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D340F" w14:textId="77777777" w:rsidR="00EA2347" w:rsidRDefault="00EA2347" w:rsidP="00EA2347">
      <w:pPr>
        <w:pStyle w:val="Portada1"/>
      </w:pPr>
      <w:r>
        <w:t>TRIBUNAL CONSTITUCIONAL</w:t>
      </w:r>
    </w:p>
    <w:p w14:paraId="0E476D9A" w14:textId="21B5EB36" w:rsidR="003754FE" w:rsidRDefault="003754FE" w:rsidP="00EA2347">
      <w:pPr>
        <w:pStyle w:val="Portada1"/>
      </w:pPr>
    </w:p>
    <w:p w14:paraId="328F7922" w14:textId="77777777" w:rsidR="00EA2347" w:rsidRDefault="00EA2347" w:rsidP="00EA2347">
      <w:pPr>
        <w:pStyle w:val="Portada2"/>
      </w:pPr>
      <w:r>
        <w:t>SECRETARÍA GENERAL</w:t>
      </w:r>
    </w:p>
    <w:p w14:paraId="4293385E" w14:textId="24E64FC8" w:rsidR="00EA2347" w:rsidRDefault="00EA2347" w:rsidP="00EA2347">
      <w:pPr>
        <w:pStyle w:val="Portada2"/>
      </w:pPr>
    </w:p>
    <w:p w14:paraId="7F71E0A0" w14:textId="77777777" w:rsidR="00EA2347" w:rsidRDefault="00EA2347" w:rsidP="00EA2347">
      <w:pPr>
        <w:pStyle w:val="Portada2"/>
      </w:pPr>
    </w:p>
    <w:p w14:paraId="37EB9493" w14:textId="77777777" w:rsidR="00EA2347" w:rsidRDefault="00EA2347" w:rsidP="00EA2347">
      <w:pPr>
        <w:pStyle w:val="Portada2"/>
      </w:pPr>
    </w:p>
    <w:p w14:paraId="612FD20D" w14:textId="77777777" w:rsidR="00EA2347" w:rsidRDefault="00EA2347" w:rsidP="00EA2347">
      <w:pPr>
        <w:pStyle w:val="Portada2"/>
      </w:pPr>
    </w:p>
    <w:p w14:paraId="6FD89C05" w14:textId="77777777" w:rsidR="00EA2347" w:rsidRDefault="00EA2347" w:rsidP="00EA2347">
      <w:pPr>
        <w:pStyle w:val="Portada2"/>
      </w:pPr>
    </w:p>
    <w:p w14:paraId="189D1226" w14:textId="77777777" w:rsidR="00EA2347" w:rsidRDefault="00EA2347" w:rsidP="00EA2347">
      <w:pPr>
        <w:pStyle w:val="Portada2"/>
      </w:pPr>
    </w:p>
    <w:p w14:paraId="649AC0BB" w14:textId="77777777" w:rsidR="00EA2347" w:rsidRDefault="00EA2347" w:rsidP="00EA2347">
      <w:pPr>
        <w:pStyle w:val="Portada2"/>
      </w:pPr>
    </w:p>
    <w:p w14:paraId="08F94E1D" w14:textId="77777777" w:rsidR="00EA2347" w:rsidRDefault="00EA2347" w:rsidP="00EA2347">
      <w:pPr>
        <w:pStyle w:val="Portada2"/>
      </w:pPr>
    </w:p>
    <w:p w14:paraId="4F6CFAA7" w14:textId="77777777" w:rsidR="00EA2347" w:rsidRDefault="00EA2347" w:rsidP="00EA2347">
      <w:pPr>
        <w:pStyle w:val="PortadaPrincipal"/>
      </w:pPr>
      <w:r>
        <w:t>JURISPRUDENCIA</w:t>
      </w:r>
    </w:p>
    <w:p w14:paraId="18416957" w14:textId="77777777" w:rsidR="00EA2347" w:rsidRDefault="00EA2347" w:rsidP="00EA2347">
      <w:pPr>
        <w:pStyle w:val="PortadaPrincipal"/>
      </w:pPr>
      <w:r>
        <w:t>CONSTITUCIONAL</w:t>
      </w:r>
    </w:p>
    <w:p w14:paraId="6D732056" w14:textId="74AC7CEC" w:rsidR="00EA2347" w:rsidRDefault="00EA2347" w:rsidP="00EA2347">
      <w:pPr>
        <w:pStyle w:val="PortadaPrincipal"/>
      </w:pPr>
    </w:p>
    <w:p w14:paraId="58000C3E" w14:textId="77777777" w:rsidR="00EA2347" w:rsidRPr="00EA2347" w:rsidRDefault="00EA2347" w:rsidP="00EA2347">
      <w:pPr>
        <w:pStyle w:val="Portada1"/>
        <w:rPr>
          <w:b/>
        </w:rPr>
      </w:pPr>
      <w:r w:rsidRPr="00EA2347">
        <w:rPr>
          <w:b/>
        </w:rPr>
        <w:t>TOMO CENTÉSIMO DÉCIMO QUINTO</w:t>
      </w:r>
    </w:p>
    <w:p w14:paraId="42DC52DB" w14:textId="77777777" w:rsidR="00EA2347" w:rsidRPr="00EA2347" w:rsidRDefault="00EA2347" w:rsidP="00EA2347">
      <w:pPr>
        <w:pStyle w:val="Portada1"/>
        <w:rPr>
          <w:b/>
        </w:rPr>
      </w:pPr>
      <w:r w:rsidRPr="00EA2347">
        <w:rPr>
          <w:b/>
        </w:rPr>
        <w:t>(julio - diciembre 2024)</w:t>
      </w:r>
    </w:p>
    <w:p w14:paraId="53CA3A45" w14:textId="102A53C4" w:rsidR="00EA2347" w:rsidRDefault="00EA2347" w:rsidP="00EA2347">
      <w:pPr>
        <w:pStyle w:val="Portada1"/>
      </w:pPr>
    </w:p>
    <w:p w14:paraId="169047C2" w14:textId="77777777" w:rsidR="00EA2347" w:rsidRDefault="00EA2347" w:rsidP="00EA2347">
      <w:pPr>
        <w:pStyle w:val="Portada1"/>
      </w:pPr>
    </w:p>
    <w:p w14:paraId="612F13BC" w14:textId="77777777" w:rsidR="00EA2347" w:rsidRDefault="00EA2347" w:rsidP="00EA2347">
      <w:pPr>
        <w:pStyle w:val="Portada1"/>
      </w:pPr>
    </w:p>
    <w:p w14:paraId="4CD43E23" w14:textId="5DA93296" w:rsidR="00EA2347" w:rsidRDefault="00EA2347" w:rsidP="00EA2347">
      <w:pPr>
        <w:pStyle w:val="Portada1"/>
      </w:pPr>
      <w:r>
        <w:rPr>
          <w:noProof/>
          <w14:ligatures w14:val="standardContextual"/>
        </w:rPr>
        <w:drawing>
          <wp:inline distT="0" distB="0" distL="0" distR="0" wp14:anchorId="3F0687D9" wp14:editId="078EC22B">
            <wp:extent cx="1047896" cy="1047896"/>
            <wp:effectExtent l="0" t="0" r="0" b="0"/>
            <wp:docPr id="174453970" name="Imagen 1"/>
            <wp:cNvGraphicFramePr/>
            <a:graphic xmlns:a="http://schemas.openxmlformats.org/drawingml/2006/main">
              <a:graphicData uri="http://schemas.openxmlformats.org/drawingml/2006/picture">
                <pic:pic xmlns:pic="http://schemas.openxmlformats.org/drawingml/2006/picture">
                  <pic:nvPicPr>
                    <pic:cNvPr id="174453970"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14:paraId="64A176EC" w14:textId="77777777" w:rsidR="00EA2347" w:rsidRDefault="00EA2347" w:rsidP="00EA2347">
      <w:pPr>
        <w:pStyle w:val="Portada1"/>
      </w:pPr>
    </w:p>
    <w:p w14:paraId="686BEF44" w14:textId="77777777" w:rsidR="00EA2347" w:rsidRDefault="00EA2347" w:rsidP="00EA2347">
      <w:pPr>
        <w:pStyle w:val="Portada1"/>
      </w:pPr>
    </w:p>
    <w:p w14:paraId="585AF034" w14:textId="77777777" w:rsidR="00EA2347" w:rsidRDefault="00EA2347" w:rsidP="00EA2347">
      <w:pPr>
        <w:pStyle w:val="Portada1"/>
      </w:pPr>
    </w:p>
    <w:p w14:paraId="1828F27C" w14:textId="77777777" w:rsidR="00EA2347" w:rsidRDefault="00EA2347" w:rsidP="00EA2347">
      <w:pPr>
        <w:pStyle w:val="Portada1"/>
      </w:pPr>
    </w:p>
    <w:p w14:paraId="5A011BBB" w14:textId="77777777" w:rsidR="00EA2347" w:rsidRDefault="00EA2347" w:rsidP="00EA2347">
      <w:pPr>
        <w:pStyle w:val="Portada1"/>
      </w:pPr>
    </w:p>
    <w:p w14:paraId="1DD46163" w14:textId="77777777" w:rsidR="00EA2347" w:rsidRDefault="00EA2347" w:rsidP="00EA2347">
      <w:pPr>
        <w:pStyle w:val="Portada2"/>
      </w:pPr>
      <w:r>
        <w:t>MADRID 2024</w:t>
      </w:r>
    </w:p>
    <w:p w14:paraId="0CF16CDD" w14:textId="0EFF4098" w:rsidR="00450063" w:rsidRDefault="00450063">
      <w:pPr>
        <w:spacing w:after="160" w:line="278"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14:paraId="1B528B75" w14:textId="77777777" w:rsidR="00450063" w:rsidRDefault="00450063" w:rsidP="00450063">
      <w:pPr>
        <w:pStyle w:val="CabeceraApartadoDerecha"/>
      </w:pPr>
      <w:r>
        <w:lastRenderedPageBreak/>
        <w:t>CONTENIDO</w:t>
      </w:r>
    </w:p>
    <w:p w14:paraId="44100D23" w14:textId="28994757" w:rsidR="003754FE" w:rsidRDefault="003754FE" w:rsidP="00450063">
      <w:pPr>
        <w:pStyle w:val="CabeceraApartadoDerecha"/>
      </w:pPr>
    </w:p>
    <w:p w14:paraId="7702293E" w14:textId="54CE0693" w:rsidR="00450063" w:rsidRDefault="00450063" w:rsidP="00450063">
      <w:pPr>
        <w:pStyle w:val="EntradandiceSumario"/>
        <w:keepNext w:val="0"/>
      </w:pPr>
      <w:r>
        <w:t>1. SENTENCIAS: STC 94/2024 A STC 157/2024</w:t>
      </w:r>
      <w:r>
        <w:tab/>
      </w:r>
      <w:r>
        <w:tab/>
      </w:r>
      <w:r>
        <w:fldChar w:fldCharType="begin"/>
      </w:r>
      <w:r>
        <w:instrText xml:space="preserve"> PAGEREF SUMARIOSENTENCIAS \h </w:instrText>
      </w:r>
      <w:r>
        <w:fldChar w:fldCharType="separate"/>
      </w:r>
      <w:r>
        <w:rPr>
          <w:noProof/>
        </w:rPr>
        <w:t>3</w:t>
      </w:r>
      <w:r>
        <w:fldChar w:fldCharType="end"/>
      </w:r>
    </w:p>
    <w:p w14:paraId="52DBB672" w14:textId="51F31F3C" w:rsidR="00450063" w:rsidRDefault="00450063" w:rsidP="00450063">
      <w:pPr>
        <w:pStyle w:val="EntradandiceSumario"/>
        <w:keepNext w:val="0"/>
      </w:pPr>
    </w:p>
    <w:p w14:paraId="02CA47A8" w14:textId="51F065CF" w:rsidR="00450063" w:rsidRDefault="00450063" w:rsidP="00450063">
      <w:pPr>
        <w:pStyle w:val="EntradandiceSumario"/>
        <w:keepNext w:val="0"/>
      </w:pPr>
      <w:bookmarkStart w:id="0" w:name="SUMARIOSINDICES"/>
      <w:r>
        <w:t>2. AUTOS: ATC 61/2024 A ATC 157/2024</w:t>
      </w:r>
      <w:r>
        <w:tab/>
      </w:r>
      <w:r>
        <w:tab/>
      </w:r>
      <w:r>
        <w:fldChar w:fldCharType="begin"/>
      </w:r>
      <w:r>
        <w:instrText xml:space="preserve"> PAGEREF SUMARIOSAUTOS \h </w:instrText>
      </w:r>
      <w:r>
        <w:fldChar w:fldCharType="separate"/>
      </w:r>
      <w:r>
        <w:rPr>
          <w:noProof/>
        </w:rPr>
        <w:t>4</w:t>
      </w:r>
      <w:r>
        <w:fldChar w:fldCharType="end"/>
      </w:r>
    </w:p>
    <w:bookmarkEnd w:id="0"/>
    <w:p w14:paraId="0A6E199F" w14:textId="3CD998DE" w:rsidR="00450063" w:rsidRDefault="00450063" w:rsidP="00450063">
      <w:pPr>
        <w:pStyle w:val="EntradandiceSumario"/>
        <w:keepNext w:val="0"/>
      </w:pPr>
    </w:p>
    <w:p w14:paraId="25439A32" w14:textId="77777777" w:rsidR="00450063" w:rsidRDefault="00450063" w:rsidP="00450063">
      <w:pPr>
        <w:pStyle w:val="EntradandiceSumario"/>
        <w:keepNext w:val="0"/>
      </w:pPr>
      <w:r>
        <w:t>3. ÍNDICE DE DISPOSICIONES CON FUERZA DE LEY IMPUGNADAS:</w:t>
      </w:r>
    </w:p>
    <w:p w14:paraId="797D1AFB" w14:textId="4F810FAF" w:rsidR="00450063" w:rsidRDefault="00450063" w:rsidP="00450063">
      <w:pPr>
        <w:pStyle w:val="EntradandiceSumario"/>
        <w:keepNext w:val="0"/>
      </w:pPr>
    </w:p>
    <w:p w14:paraId="7FA7CAA6" w14:textId="5F1E87ED" w:rsidR="00450063" w:rsidRDefault="00450063" w:rsidP="00450063">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Pr>
          <w:noProof/>
        </w:rPr>
        <w:t>2922</w:t>
      </w:r>
      <w:r>
        <w:fldChar w:fldCharType="end"/>
      </w:r>
    </w:p>
    <w:p w14:paraId="6D84CE19" w14:textId="1CAEFFCA" w:rsidR="00450063" w:rsidRDefault="00450063" w:rsidP="00450063">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Pr>
          <w:noProof/>
        </w:rPr>
        <w:t>2922</w:t>
      </w:r>
      <w:r>
        <w:fldChar w:fldCharType="end"/>
      </w:r>
    </w:p>
    <w:p w14:paraId="40D3E5C4" w14:textId="77777777" w:rsidR="00450063" w:rsidRDefault="00450063" w:rsidP="00450063"/>
    <w:p w14:paraId="54001A0C" w14:textId="77777777" w:rsidR="00450063" w:rsidRDefault="00450063" w:rsidP="00450063">
      <w:pPr>
        <w:pStyle w:val="EntradandiceSumario"/>
        <w:keepNext w:val="0"/>
      </w:pPr>
      <w:r>
        <w:t>4. ÍNDICE DE DISPOSICIONES GENERALES Y RESOLUCIONES IMPUGNADAS:</w:t>
      </w:r>
    </w:p>
    <w:p w14:paraId="19CD662D" w14:textId="77D57BED" w:rsidR="00450063" w:rsidRDefault="00450063" w:rsidP="00450063">
      <w:pPr>
        <w:pStyle w:val="EntradandiceSumario"/>
        <w:keepNext w:val="0"/>
      </w:pPr>
    </w:p>
    <w:p w14:paraId="5E1F489D" w14:textId="57E9230D" w:rsidR="00450063" w:rsidRDefault="00450063" w:rsidP="00450063">
      <w:pPr>
        <w:pStyle w:val="EntradandiceSumarioNivel2"/>
        <w:keepNext w:val="0"/>
      </w:pPr>
      <w:r>
        <w:t>A) Disposiciones del Estado</w:t>
      </w:r>
      <w:r>
        <w:tab/>
      </w:r>
      <w:r>
        <w:tab/>
      </w:r>
      <w:r>
        <w:fldChar w:fldCharType="begin"/>
      </w:r>
      <w:r>
        <w:instrText xml:space="preserve"> PAGEREF INDICE22803 \h </w:instrText>
      </w:r>
      <w:r>
        <w:fldChar w:fldCharType="separate"/>
      </w:r>
      <w:r>
        <w:rPr>
          <w:noProof/>
        </w:rPr>
        <w:t>2922</w:t>
      </w:r>
      <w:r>
        <w:fldChar w:fldCharType="end"/>
      </w:r>
    </w:p>
    <w:p w14:paraId="1B5208F4" w14:textId="66A4E64E" w:rsidR="00450063" w:rsidRDefault="00450063" w:rsidP="00450063">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Pr>
          <w:noProof/>
        </w:rPr>
        <w:t>2922</w:t>
      </w:r>
      <w:r>
        <w:fldChar w:fldCharType="end"/>
      </w:r>
    </w:p>
    <w:p w14:paraId="20B15CD2" w14:textId="092A4C38" w:rsidR="00450063" w:rsidRDefault="00450063" w:rsidP="00450063">
      <w:pPr>
        <w:pStyle w:val="EntradandiceSumarioNivel2"/>
        <w:keepNext w:val="0"/>
      </w:pPr>
      <w:r>
        <w:t>C) Disposiciones de territorios históricos y corporaciones locales</w:t>
      </w:r>
      <w:r>
        <w:tab/>
      </w:r>
      <w:r>
        <w:tab/>
      </w:r>
      <w:r>
        <w:fldChar w:fldCharType="begin"/>
      </w:r>
      <w:r>
        <w:instrText xml:space="preserve"> PAGEREF INDICE22825 \h </w:instrText>
      </w:r>
      <w:r>
        <w:fldChar w:fldCharType="separate"/>
      </w:r>
      <w:r>
        <w:rPr>
          <w:noProof/>
        </w:rPr>
        <w:t>2922</w:t>
      </w:r>
      <w:r>
        <w:fldChar w:fldCharType="end"/>
      </w:r>
    </w:p>
    <w:p w14:paraId="1BFADB37" w14:textId="77777777" w:rsidR="00450063" w:rsidRDefault="00450063" w:rsidP="00450063"/>
    <w:p w14:paraId="7FDF41B3" w14:textId="77777777" w:rsidR="00450063" w:rsidRDefault="00450063" w:rsidP="00450063">
      <w:pPr>
        <w:pStyle w:val="EntradandiceSumario"/>
        <w:keepNext w:val="0"/>
      </w:pPr>
      <w:r>
        <w:t>5. ÍNDICE DE DISPOSICIONES CITADAS:</w:t>
      </w:r>
    </w:p>
    <w:p w14:paraId="31F500E1" w14:textId="1F2F97CC" w:rsidR="00450063" w:rsidRDefault="00450063" w:rsidP="00450063">
      <w:pPr>
        <w:pStyle w:val="EntradandiceSumario"/>
        <w:keepNext w:val="0"/>
      </w:pPr>
    </w:p>
    <w:p w14:paraId="2B0E1C42" w14:textId="32F33813" w:rsidR="00450063" w:rsidRDefault="00450063" w:rsidP="00450063">
      <w:pPr>
        <w:pStyle w:val="EntradandiceSumarioNivel2"/>
        <w:keepNext w:val="0"/>
      </w:pPr>
      <w:r>
        <w:t>A) Constitución</w:t>
      </w:r>
      <w:r>
        <w:tab/>
      </w:r>
      <w:r>
        <w:tab/>
      </w:r>
      <w:r>
        <w:fldChar w:fldCharType="begin"/>
      </w:r>
      <w:r>
        <w:instrText xml:space="preserve"> PAGEREF INDICE22804 \h </w:instrText>
      </w:r>
      <w:r>
        <w:fldChar w:fldCharType="separate"/>
      </w:r>
      <w:r>
        <w:rPr>
          <w:noProof/>
        </w:rPr>
        <w:t>2922</w:t>
      </w:r>
      <w:r>
        <w:fldChar w:fldCharType="end"/>
      </w:r>
    </w:p>
    <w:p w14:paraId="5C72018A" w14:textId="1CFF938D" w:rsidR="00450063" w:rsidRDefault="00450063" w:rsidP="00450063">
      <w:pPr>
        <w:pStyle w:val="EntradandiceSumarioNivel2"/>
        <w:keepNext w:val="0"/>
      </w:pPr>
      <w:r>
        <w:t>B) Tribunal Constitucional</w:t>
      </w:r>
      <w:r>
        <w:tab/>
      </w:r>
      <w:r>
        <w:tab/>
      </w:r>
      <w:r>
        <w:fldChar w:fldCharType="begin"/>
      </w:r>
      <w:r>
        <w:instrText xml:space="preserve"> PAGEREF INDICE22843 \h </w:instrText>
      </w:r>
      <w:r>
        <w:fldChar w:fldCharType="separate"/>
      </w:r>
      <w:r>
        <w:rPr>
          <w:noProof/>
        </w:rPr>
        <w:t>2922</w:t>
      </w:r>
      <w:r>
        <w:fldChar w:fldCharType="end"/>
      </w:r>
    </w:p>
    <w:p w14:paraId="159AB568" w14:textId="21064691" w:rsidR="00450063" w:rsidRDefault="00450063" w:rsidP="00450063">
      <w:pPr>
        <w:pStyle w:val="EntradandiceSumarioNivel2"/>
        <w:keepNext w:val="0"/>
      </w:pPr>
      <w:r>
        <w:t>C) Cortes Generales</w:t>
      </w:r>
      <w:r>
        <w:tab/>
      </w:r>
      <w:r>
        <w:tab/>
      </w:r>
      <w:r>
        <w:fldChar w:fldCharType="begin"/>
      </w:r>
      <w:r>
        <w:instrText xml:space="preserve"> PAGEREF INDICE22844 \h </w:instrText>
      </w:r>
      <w:r>
        <w:fldChar w:fldCharType="separate"/>
      </w:r>
      <w:r>
        <w:rPr>
          <w:noProof/>
        </w:rPr>
        <w:t>2922</w:t>
      </w:r>
      <w:r>
        <w:fldChar w:fldCharType="end"/>
      </w:r>
    </w:p>
    <w:p w14:paraId="1EA9CFEB" w14:textId="5F6094DC" w:rsidR="00450063" w:rsidRDefault="00450063" w:rsidP="00450063">
      <w:pPr>
        <w:pStyle w:val="EntradandiceSumarioNivel2"/>
        <w:keepNext w:val="0"/>
      </w:pPr>
      <w:r>
        <w:t>D) Leyes Orgánicas</w:t>
      </w:r>
      <w:r>
        <w:tab/>
      </w:r>
      <w:r>
        <w:tab/>
      </w:r>
      <w:r>
        <w:fldChar w:fldCharType="begin"/>
      </w:r>
      <w:r>
        <w:instrText xml:space="preserve"> PAGEREF INDICE22845 \h </w:instrText>
      </w:r>
      <w:r>
        <w:fldChar w:fldCharType="separate"/>
      </w:r>
      <w:r>
        <w:rPr>
          <w:noProof/>
        </w:rPr>
        <w:t>2922</w:t>
      </w:r>
      <w:r>
        <w:fldChar w:fldCharType="end"/>
      </w:r>
    </w:p>
    <w:p w14:paraId="7EF0FB72" w14:textId="6759E411" w:rsidR="00450063" w:rsidRDefault="00450063" w:rsidP="00450063">
      <w:pPr>
        <w:pStyle w:val="EntradandiceSumarioNivel2"/>
        <w:keepNext w:val="0"/>
      </w:pPr>
      <w:r>
        <w:t>E) Leyes de las Cortes Generales</w:t>
      </w:r>
      <w:r>
        <w:tab/>
      </w:r>
      <w:r>
        <w:tab/>
      </w:r>
      <w:r>
        <w:fldChar w:fldCharType="begin"/>
      </w:r>
      <w:r>
        <w:instrText xml:space="preserve"> PAGEREF INDICE22846 \h </w:instrText>
      </w:r>
      <w:r>
        <w:fldChar w:fldCharType="separate"/>
      </w:r>
      <w:r>
        <w:rPr>
          <w:noProof/>
        </w:rPr>
        <w:t>2922</w:t>
      </w:r>
      <w:r>
        <w:fldChar w:fldCharType="end"/>
      </w:r>
    </w:p>
    <w:p w14:paraId="6E4C8C88" w14:textId="58FC0E40" w:rsidR="00450063" w:rsidRDefault="00450063" w:rsidP="00450063">
      <w:pPr>
        <w:pStyle w:val="EntradandiceSumarioNivel2"/>
        <w:keepNext w:val="0"/>
      </w:pPr>
      <w:r>
        <w:t>F) Reales Decretos Legislativos</w:t>
      </w:r>
      <w:r>
        <w:tab/>
      </w:r>
      <w:r>
        <w:tab/>
      </w:r>
      <w:r>
        <w:fldChar w:fldCharType="begin"/>
      </w:r>
      <w:r>
        <w:instrText xml:space="preserve"> PAGEREF INDICE22847 \h </w:instrText>
      </w:r>
      <w:r>
        <w:fldChar w:fldCharType="separate"/>
      </w:r>
      <w:r>
        <w:rPr>
          <w:noProof/>
        </w:rPr>
        <w:t>2922</w:t>
      </w:r>
      <w:r>
        <w:fldChar w:fldCharType="end"/>
      </w:r>
    </w:p>
    <w:p w14:paraId="2AE2282C" w14:textId="30E364DE" w:rsidR="00450063" w:rsidRDefault="00450063" w:rsidP="00450063">
      <w:pPr>
        <w:pStyle w:val="EntradandiceSumarioNivel2"/>
        <w:keepNext w:val="0"/>
      </w:pPr>
      <w:r>
        <w:t>G) Reales Decretos-leyes</w:t>
      </w:r>
      <w:r>
        <w:tab/>
      </w:r>
      <w:r>
        <w:tab/>
      </w:r>
      <w:r>
        <w:fldChar w:fldCharType="begin"/>
      </w:r>
      <w:r>
        <w:instrText xml:space="preserve"> PAGEREF INDICE22848 \h </w:instrText>
      </w:r>
      <w:r>
        <w:fldChar w:fldCharType="separate"/>
      </w:r>
      <w:r>
        <w:rPr>
          <w:noProof/>
        </w:rPr>
        <w:t>2922</w:t>
      </w:r>
      <w:r>
        <w:fldChar w:fldCharType="end"/>
      </w:r>
    </w:p>
    <w:p w14:paraId="3ED742A0" w14:textId="3283F927" w:rsidR="00450063" w:rsidRDefault="00450063" w:rsidP="00450063">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Pr>
          <w:noProof/>
        </w:rPr>
        <w:t>2922</w:t>
      </w:r>
      <w:r>
        <w:fldChar w:fldCharType="end"/>
      </w:r>
    </w:p>
    <w:p w14:paraId="301A47EB" w14:textId="15081CCD" w:rsidR="00450063" w:rsidRDefault="00450063" w:rsidP="00450063">
      <w:pPr>
        <w:pStyle w:val="EntradandiceSumarioNivel2"/>
        <w:keepNext w:val="0"/>
      </w:pPr>
      <w:r>
        <w:t>I) Legislación preconstitucional</w:t>
      </w:r>
      <w:r>
        <w:tab/>
      </w:r>
      <w:r>
        <w:tab/>
      </w:r>
      <w:r>
        <w:fldChar w:fldCharType="begin"/>
      </w:r>
      <w:r>
        <w:instrText xml:space="preserve"> PAGEREF INDICE22850 \h </w:instrText>
      </w:r>
      <w:r>
        <w:fldChar w:fldCharType="separate"/>
      </w:r>
      <w:r>
        <w:rPr>
          <w:noProof/>
        </w:rPr>
        <w:t>2922</w:t>
      </w:r>
      <w:r>
        <w:fldChar w:fldCharType="end"/>
      </w:r>
    </w:p>
    <w:p w14:paraId="5A6BE168" w14:textId="50789039" w:rsidR="00450063" w:rsidRDefault="00450063" w:rsidP="00450063">
      <w:pPr>
        <w:pStyle w:val="EntradandiceSumarioNivel2"/>
        <w:keepNext w:val="0"/>
      </w:pPr>
      <w:r>
        <w:t>J) Comunidades y Ciudades Autónomas</w:t>
      </w:r>
      <w:r>
        <w:tab/>
      </w:r>
      <w:r>
        <w:tab/>
      </w:r>
      <w:r>
        <w:fldChar w:fldCharType="begin"/>
      </w:r>
      <w:r>
        <w:instrText xml:space="preserve"> PAGEREF INDICE22851 \h </w:instrText>
      </w:r>
      <w:r>
        <w:fldChar w:fldCharType="separate"/>
      </w:r>
      <w:r>
        <w:rPr>
          <w:noProof/>
        </w:rPr>
        <w:t>2922</w:t>
      </w:r>
      <w:r>
        <w:fldChar w:fldCharType="end"/>
      </w:r>
    </w:p>
    <w:p w14:paraId="446117D9" w14:textId="420E15A2" w:rsidR="00450063" w:rsidRDefault="00450063" w:rsidP="00450063">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Pr>
          <w:noProof/>
        </w:rPr>
        <w:t>2922</w:t>
      </w:r>
      <w:r>
        <w:fldChar w:fldCharType="end"/>
      </w:r>
    </w:p>
    <w:p w14:paraId="7795807D" w14:textId="65E84C82" w:rsidR="00450063" w:rsidRDefault="00450063" w:rsidP="00450063">
      <w:pPr>
        <w:pStyle w:val="EntradandiceSumarioNivel2"/>
        <w:keepNext w:val="0"/>
      </w:pPr>
      <w:r>
        <w:t>L) Tratados y acuerdos internacionales</w:t>
      </w:r>
      <w:r>
        <w:tab/>
      </w:r>
      <w:r>
        <w:tab/>
      </w:r>
      <w:r>
        <w:fldChar w:fldCharType="begin"/>
      </w:r>
      <w:r>
        <w:instrText xml:space="preserve"> PAGEREF INDICE22870 \h </w:instrText>
      </w:r>
      <w:r>
        <w:fldChar w:fldCharType="separate"/>
      </w:r>
      <w:r>
        <w:rPr>
          <w:noProof/>
        </w:rPr>
        <w:t>2922</w:t>
      </w:r>
      <w:r>
        <w:fldChar w:fldCharType="end"/>
      </w:r>
    </w:p>
    <w:p w14:paraId="2DD916F4" w14:textId="7D054726" w:rsidR="00450063" w:rsidRDefault="00450063" w:rsidP="00450063">
      <w:pPr>
        <w:pStyle w:val="EntradandiceSumarioNivel2"/>
        <w:keepNext w:val="0"/>
      </w:pPr>
      <w:r>
        <w:t>M) Unión Europea</w:t>
      </w:r>
      <w:r>
        <w:tab/>
      </w:r>
      <w:r>
        <w:tab/>
      </w:r>
      <w:r>
        <w:fldChar w:fldCharType="begin"/>
      </w:r>
      <w:r>
        <w:instrText xml:space="preserve"> PAGEREF INDICE22871 \h </w:instrText>
      </w:r>
      <w:r>
        <w:fldChar w:fldCharType="separate"/>
      </w:r>
      <w:r>
        <w:rPr>
          <w:noProof/>
        </w:rPr>
        <w:t>2922</w:t>
      </w:r>
      <w:r>
        <w:fldChar w:fldCharType="end"/>
      </w:r>
    </w:p>
    <w:p w14:paraId="3B191330" w14:textId="40C7B0F9" w:rsidR="00450063" w:rsidRDefault="00450063" w:rsidP="00450063">
      <w:pPr>
        <w:pStyle w:val="EntradandiceSumarioNivel2"/>
        <w:keepNext w:val="0"/>
      </w:pPr>
      <w:r>
        <w:t>N) Consejo de Europa</w:t>
      </w:r>
      <w:r>
        <w:tab/>
      </w:r>
      <w:r>
        <w:tab/>
      </w:r>
      <w:r>
        <w:fldChar w:fldCharType="begin"/>
      </w:r>
      <w:r>
        <w:instrText xml:space="preserve"> PAGEREF INDICE27994 \h </w:instrText>
      </w:r>
      <w:r>
        <w:fldChar w:fldCharType="separate"/>
      </w:r>
      <w:r>
        <w:rPr>
          <w:noProof/>
        </w:rPr>
        <w:t>2922</w:t>
      </w:r>
      <w:r>
        <w:fldChar w:fldCharType="end"/>
      </w:r>
    </w:p>
    <w:p w14:paraId="656434FE" w14:textId="054729D1" w:rsidR="00450063" w:rsidRDefault="00450063" w:rsidP="00450063">
      <w:pPr>
        <w:pStyle w:val="EntradandiceSumarioNivel2"/>
        <w:keepNext w:val="0"/>
      </w:pPr>
      <w:r>
        <w:t>Ñ) Legislación extranjera</w:t>
      </w:r>
      <w:r>
        <w:tab/>
      </w:r>
      <w:r>
        <w:tab/>
      </w:r>
      <w:r>
        <w:fldChar w:fldCharType="begin"/>
      </w:r>
      <w:r>
        <w:instrText xml:space="preserve"> PAGEREF INDICE22872 \h </w:instrText>
      </w:r>
      <w:r>
        <w:fldChar w:fldCharType="separate"/>
      </w:r>
      <w:r>
        <w:rPr>
          <w:noProof/>
        </w:rPr>
        <w:t>2922</w:t>
      </w:r>
      <w:r>
        <w:fldChar w:fldCharType="end"/>
      </w:r>
    </w:p>
    <w:p w14:paraId="09889652" w14:textId="77777777" w:rsidR="00450063" w:rsidRDefault="00450063" w:rsidP="00450063"/>
    <w:p w14:paraId="4E3B267A" w14:textId="77777777" w:rsidR="00450063" w:rsidRDefault="00450063" w:rsidP="00450063">
      <w:pPr>
        <w:pStyle w:val="EntradandiceSumario"/>
        <w:keepNext w:val="0"/>
      </w:pPr>
      <w:r>
        <w:t>6. ÍNDICE DE RESOLUCIONES DE OTROS TRIBUNALES CITADAS:</w:t>
      </w:r>
    </w:p>
    <w:p w14:paraId="671FBF71" w14:textId="48004A9C" w:rsidR="00450063" w:rsidRDefault="00450063" w:rsidP="00450063">
      <w:pPr>
        <w:pStyle w:val="EntradandiceSumario"/>
        <w:keepNext w:val="0"/>
      </w:pPr>
    </w:p>
    <w:p w14:paraId="527F2EB9" w14:textId="461678F2" w:rsidR="00450063" w:rsidRDefault="00450063" w:rsidP="00450063">
      <w:pPr>
        <w:pStyle w:val="EntradandiceSumarioNivel2"/>
        <w:keepNext w:val="0"/>
      </w:pPr>
      <w:r>
        <w:t>A) Tribunal Europeo de Derechos Humanos</w:t>
      </w:r>
      <w:r>
        <w:tab/>
      </w:r>
      <w:r>
        <w:tab/>
      </w:r>
      <w:r>
        <w:fldChar w:fldCharType="begin"/>
      </w:r>
      <w:r>
        <w:instrText xml:space="preserve"> PAGEREF INDICE22805 \h </w:instrText>
      </w:r>
      <w:r>
        <w:fldChar w:fldCharType="separate"/>
      </w:r>
      <w:r>
        <w:rPr>
          <w:noProof/>
        </w:rPr>
        <w:t>2922</w:t>
      </w:r>
      <w:r>
        <w:fldChar w:fldCharType="end"/>
      </w:r>
    </w:p>
    <w:p w14:paraId="554E10EA" w14:textId="6D5D5558" w:rsidR="00450063" w:rsidRDefault="00450063" w:rsidP="00450063">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Pr>
          <w:noProof/>
        </w:rPr>
        <w:t>2922</w:t>
      </w:r>
      <w:r>
        <w:fldChar w:fldCharType="end"/>
      </w:r>
    </w:p>
    <w:p w14:paraId="605CA9BC" w14:textId="02D76F53" w:rsidR="00450063" w:rsidRDefault="00450063" w:rsidP="00450063">
      <w:pPr>
        <w:pStyle w:val="EntradandiceSumarioNivel2"/>
        <w:keepNext w:val="0"/>
      </w:pPr>
      <w:r>
        <w:t>C) Tribunal Supremo</w:t>
      </w:r>
      <w:r>
        <w:tab/>
      </w:r>
      <w:r>
        <w:tab/>
      </w:r>
      <w:r>
        <w:fldChar w:fldCharType="begin"/>
      </w:r>
      <w:r>
        <w:instrText xml:space="preserve"> PAGEREF INDICE22925 \h </w:instrText>
      </w:r>
      <w:r>
        <w:fldChar w:fldCharType="separate"/>
      </w:r>
      <w:r>
        <w:rPr>
          <w:noProof/>
        </w:rPr>
        <w:t>2922</w:t>
      </w:r>
      <w:r>
        <w:fldChar w:fldCharType="end"/>
      </w:r>
    </w:p>
    <w:p w14:paraId="34CF3B22" w14:textId="4943DCA2" w:rsidR="00450063" w:rsidRDefault="00450063" w:rsidP="00450063">
      <w:pPr>
        <w:pStyle w:val="EntradandiceSumarioNivel2"/>
        <w:keepNext w:val="0"/>
      </w:pPr>
      <w:r>
        <w:t>D) Otros Tribunales</w:t>
      </w:r>
      <w:r>
        <w:tab/>
      </w:r>
      <w:r>
        <w:tab/>
      </w:r>
      <w:r>
        <w:fldChar w:fldCharType="begin"/>
      </w:r>
      <w:r>
        <w:instrText xml:space="preserve"> PAGEREF INDICE22926 \h </w:instrText>
      </w:r>
      <w:r>
        <w:fldChar w:fldCharType="separate"/>
      </w:r>
      <w:r>
        <w:rPr>
          <w:noProof/>
        </w:rPr>
        <w:t>2922</w:t>
      </w:r>
      <w:r>
        <w:fldChar w:fldCharType="end"/>
      </w:r>
    </w:p>
    <w:p w14:paraId="58FFF8F4" w14:textId="77777777" w:rsidR="00450063" w:rsidRDefault="00450063" w:rsidP="00450063"/>
    <w:p w14:paraId="77262EAF" w14:textId="40341BA9" w:rsidR="00450063" w:rsidRDefault="00450063" w:rsidP="00450063">
      <w:pPr>
        <w:pStyle w:val="EntradandiceSumario"/>
        <w:keepNext w:val="0"/>
      </w:pPr>
      <w:r>
        <w:t>7. ÍNDICE ANALÍTICO</w:t>
      </w:r>
      <w:r>
        <w:tab/>
      </w:r>
      <w:r>
        <w:tab/>
      </w:r>
      <w:r>
        <w:fldChar w:fldCharType="begin"/>
      </w:r>
      <w:r>
        <w:instrText xml:space="preserve"> PAGEREF INDICE5ALFABETICO \h </w:instrText>
      </w:r>
      <w:r>
        <w:fldChar w:fldCharType="separate"/>
      </w:r>
      <w:r>
        <w:rPr>
          <w:noProof/>
        </w:rPr>
        <w:t>2922</w:t>
      </w:r>
      <w:r>
        <w:fldChar w:fldCharType="end"/>
      </w:r>
    </w:p>
    <w:p w14:paraId="22CE66DF" w14:textId="77777777" w:rsidR="00450063" w:rsidRDefault="00450063" w:rsidP="00450063"/>
    <w:p w14:paraId="2D0087E4" w14:textId="2749A92E" w:rsidR="00450063" w:rsidRDefault="00450063" w:rsidP="00450063">
      <w:pPr>
        <w:pStyle w:val="EntradandiceSumario"/>
        <w:keepNext w:val="0"/>
      </w:pPr>
      <w:r>
        <w:t>8. ABREVIATURAS Y ACRÓNIMOS</w:t>
      </w:r>
      <w:r>
        <w:tab/>
      </w:r>
      <w:r>
        <w:tab/>
      </w:r>
      <w:r>
        <w:fldChar w:fldCharType="begin"/>
      </w:r>
      <w:r>
        <w:instrText xml:space="preserve"> PAGEREF ACRONIMOS \h </w:instrText>
      </w:r>
      <w:r>
        <w:fldChar w:fldCharType="separate"/>
      </w:r>
      <w:r>
        <w:rPr>
          <w:noProof/>
        </w:rPr>
        <w:t>2922</w:t>
      </w:r>
      <w:r>
        <w:fldChar w:fldCharType="end"/>
      </w:r>
    </w:p>
    <w:p w14:paraId="68216234" w14:textId="63C15EF2" w:rsidR="00450063" w:rsidRDefault="00450063">
      <w:pPr>
        <w:spacing w:after="160" w:line="278" w:lineRule="auto"/>
        <w:rPr>
          <w:rFonts w:ascii="Times New Roman" w:eastAsia="Times New Roman" w:hAnsi="Times New Roman" w:cs="Times New Roman"/>
          <w:sz w:val="24"/>
          <w:szCs w:val="24"/>
          <w:lang w:eastAsia="es-ES"/>
        </w:rPr>
      </w:pPr>
      <w:r>
        <w:br w:type="page"/>
      </w:r>
    </w:p>
    <w:p w14:paraId="0C646600" w14:textId="77777777" w:rsidR="00450063" w:rsidRDefault="00450063" w:rsidP="00450063">
      <w:pPr>
        <w:pStyle w:val="EntradandiceSumario"/>
        <w:keepNext w:val="0"/>
      </w:pPr>
    </w:p>
    <w:p w14:paraId="06EDDC56" w14:textId="77777777" w:rsidR="00450063" w:rsidRDefault="00450063" w:rsidP="00450063"/>
    <w:p w14:paraId="44454471" w14:textId="77777777" w:rsidR="00450063" w:rsidRDefault="00450063" w:rsidP="00450063"/>
    <w:p w14:paraId="3015B8B2" w14:textId="77777777" w:rsidR="00450063" w:rsidRDefault="00450063" w:rsidP="00450063">
      <w:pPr>
        <w:pStyle w:val="Ttulondice"/>
      </w:pPr>
      <w:bookmarkStart w:id="1" w:name="SUMARIOSENTENCIAS"/>
      <w:r>
        <w:t>1. SENTENCIAS: STC 94/2024 A STC 157/2024</w:t>
      </w:r>
    </w:p>
    <w:bookmarkEnd w:id="1"/>
    <w:p w14:paraId="4E6B791D" w14:textId="0C122B59" w:rsidR="00450063" w:rsidRDefault="00450063" w:rsidP="00450063">
      <w:pPr>
        <w:pStyle w:val="Ttulondice"/>
      </w:pPr>
    </w:p>
    <w:p w14:paraId="64379B38" w14:textId="77777777" w:rsidR="00450063" w:rsidRDefault="00450063" w:rsidP="00450063">
      <w:pPr>
        <w:pStyle w:val="Ttulondice"/>
      </w:pPr>
    </w:p>
    <w:p w14:paraId="7F80C2EB" w14:textId="77777777" w:rsidR="00450063" w:rsidRDefault="00450063" w:rsidP="00450063">
      <w:pPr>
        <w:pStyle w:val="Ttulondice"/>
      </w:pPr>
    </w:p>
    <w:p w14:paraId="383493C5" w14:textId="77777777" w:rsidR="00450063" w:rsidRDefault="00450063" w:rsidP="00450063">
      <w:pPr>
        <w:pStyle w:val="Ttulondice"/>
      </w:pPr>
    </w:p>
    <w:p w14:paraId="6374A96D" w14:textId="77777777" w:rsidR="00450063" w:rsidRDefault="00450063" w:rsidP="00450063">
      <w:pPr>
        <w:pStyle w:val="Ttulondice"/>
      </w:pPr>
    </w:p>
    <w:p w14:paraId="180C7E7E" w14:textId="77777777" w:rsidR="00450063" w:rsidRDefault="00450063" w:rsidP="00450063">
      <w:pPr>
        <w:pStyle w:val="Ttulondice"/>
      </w:pPr>
    </w:p>
    <w:p w14:paraId="2DDF3DAC" w14:textId="77777777" w:rsidR="00450063" w:rsidRDefault="00450063" w:rsidP="00450063">
      <w:pPr>
        <w:pStyle w:val="EntradandiceSentencia"/>
      </w:pPr>
      <w:r>
        <w:t>Pleno. Sentencia 94/2024, de 2 de julio de 2024</w:t>
      </w:r>
    </w:p>
    <w:p w14:paraId="18A55DCA" w14:textId="1B0BC708" w:rsidR="00450063" w:rsidRDefault="00450063" w:rsidP="00450063">
      <w:pPr>
        <w:pStyle w:val="EntradandiceSentencia"/>
      </w:pPr>
    </w:p>
    <w:p w14:paraId="2CB40639" w14:textId="2D84D348" w:rsidR="00450063" w:rsidRDefault="00450063" w:rsidP="00450063">
      <w:pPr>
        <w:pStyle w:val="EntradaSumario"/>
      </w:pPr>
      <w:r w:rsidRPr="00450063">
        <w:rPr>
          <w:rStyle w:val="TextoNormalCaracter"/>
        </w:rPr>
        <w:t xml:space="preserve">Recurso de amparo 2136-2023. </w:t>
      </w:r>
      <w:r w:rsidRPr="00450063">
        <w:rPr>
          <w:rStyle w:val="TextoNormalCursivaCaracter"/>
        </w:rPr>
        <w:t xml:space="preserve"> Vulneración del derecho a la legalidad penal y a la presunción de inocencia: condena basada en una interpretación del todo imprevisible del tipo objetivo. Votos particulares.</w:t>
      </w:r>
      <w:r>
        <w:tab/>
      </w:r>
      <w:r>
        <w:tab/>
      </w:r>
      <w:r>
        <w:fldChar w:fldCharType="begin"/>
      </w:r>
      <w:r>
        <w:instrText xml:space="preserve"> PAGEREF SENTENCIA_2024_94 \h </w:instrText>
      </w:r>
      <w:r>
        <w:fldChar w:fldCharType="separate"/>
      </w:r>
      <w:r>
        <w:rPr>
          <w:noProof/>
        </w:rPr>
        <w:t>4</w:t>
      </w:r>
      <w:r>
        <w:fldChar w:fldCharType="end"/>
      </w:r>
    </w:p>
    <w:p w14:paraId="36CB1D59" w14:textId="77777777" w:rsidR="003754FE" w:rsidRDefault="003754FE" w:rsidP="00450063"/>
    <w:p w14:paraId="6AA34819" w14:textId="77777777" w:rsidR="00450063" w:rsidRDefault="00450063" w:rsidP="00450063">
      <w:pPr>
        <w:pStyle w:val="EntradandiceSentencia"/>
      </w:pPr>
      <w:r>
        <w:t>Pleno. Sentencia 95/2024, de 3 de julio de 2024</w:t>
      </w:r>
    </w:p>
    <w:p w14:paraId="4097BA9F" w14:textId="17DF3FE7" w:rsidR="00450063" w:rsidRDefault="00450063" w:rsidP="00450063">
      <w:pPr>
        <w:pStyle w:val="EntradandiceSentencia"/>
      </w:pPr>
    </w:p>
    <w:p w14:paraId="6003FA33" w14:textId="2B62D478" w:rsidR="00450063" w:rsidRDefault="00450063" w:rsidP="00450063">
      <w:pPr>
        <w:pStyle w:val="EntradaSumario"/>
      </w:pPr>
      <w:r w:rsidRPr="00450063">
        <w:rPr>
          <w:rStyle w:val="TextoNormalCaracter"/>
        </w:rPr>
        <w:t xml:space="preserve">Recurso de amparo 2348-2023. </w:t>
      </w:r>
      <w:r w:rsidRPr="00450063">
        <w:rPr>
          <w:rStyle w:val="TextoNormalCursivaCaracter"/>
        </w:rPr>
        <w:t xml:space="preserve"> Vulneración del derecho a la legalidad penal: condena basada en una interpretación del todo imprevisible del tipo objetivo. Votos particulares.</w:t>
      </w:r>
      <w:r>
        <w:tab/>
      </w:r>
      <w:r>
        <w:tab/>
      </w:r>
      <w:r>
        <w:fldChar w:fldCharType="begin"/>
      </w:r>
      <w:r>
        <w:instrText xml:space="preserve"> PAGEREF SENTENCIA_2024_95 \h </w:instrText>
      </w:r>
      <w:r>
        <w:fldChar w:fldCharType="separate"/>
      </w:r>
      <w:r>
        <w:rPr>
          <w:noProof/>
        </w:rPr>
        <w:t>121</w:t>
      </w:r>
      <w:r>
        <w:fldChar w:fldCharType="end"/>
      </w:r>
    </w:p>
    <w:p w14:paraId="4CB10DA4" w14:textId="77777777" w:rsidR="00450063" w:rsidRDefault="00450063" w:rsidP="00450063"/>
    <w:p w14:paraId="0A8646E0" w14:textId="77777777" w:rsidR="00450063" w:rsidRDefault="00450063" w:rsidP="00450063">
      <w:pPr>
        <w:pStyle w:val="EntradandiceSentencia"/>
      </w:pPr>
      <w:r>
        <w:t>Pleno. Sentencia 96/2024, de 3 de julio de 2024</w:t>
      </w:r>
    </w:p>
    <w:p w14:paraId="2B6C47E8" w14:textId="740F503E" w:rsidR="00450063" w:rsidRDefault="00450063" w:rsidP="00450063">
      <w:pPr>
        <w:pStyle w:val="EntradandiceSentencia"/>
      </w:pPr>
    </w:p>
    <w:p w14:paraId="14DEE640" w14:textId="3C16C87B" w:rsidR="00450063" w:rsidRDefault="00450063" w:rsidP="00450063">
      <w:pPr>
        <w:pStyle w:val="EntradaSumario"/>
      </w:pPr>
      <w:r w:rsidRPr="00450063">
        <w:rPr>
          <w:rStyle w:val="TextoNormalCaracter"/>
        </w:rPr>
        <w:t xml:space="preserve">Recurso de amparo 2360-2023. </w:t>
      </w:r>
      <w:r w:rsidRPr="00450063">
        <w:rPr>
          <w:rStyle w:val="TextoNormalCursivaCaracter"/>
        </w:rPr>
        <w:t xml:space="preserve"> Vulneración del derecho a la legalidad penal y a la presunción de inocencia: condena basada en una interpretación del todo imprevisible del tipo objetivo. Votos particulares.</w:t>
      </w:r>
      <w:r>
        <w:tab/>
      </w:r>
      <w:r>
        <w:tab/>
      </w:r>
      <w:r>
        <w:fldChar w:fldCharType="begin"/>
      </w:r>
      <w:r>
        <w:instrText xml:space="preserve"> PAGEREF SENTENCIA_2024_96 \h </w:instrText>
      </w:r>
      <w:r>
        <w:fldChar w:fldCharType="separate"/>
      </w:r>
      <w:r>
        <w:rPr>
          <w:noProof/>
        </w:rPr>
        <w:t>234</w:t>
      </w:r>
      <w:r>
        <w:fldChar w:fldCharType="end"/>
      </w:r>
    </w:p>
    <w:p w14:paraId="08450456" w14:textId="77777777" w:rsidR="00450063" w:rsidRDefault="00450063" w:rsidP="00450063"/>
    <w:p w14:paraId="1BD9624A" w14:textId="77777777" w:rsidR="00450063" w:rsidRDefault="00450063" w:rsidP="00450063">
      <w:pPr>
        <w:pStyle w:val="EntradandiceSentencia"/>
      </w:pPr>
      <w:r>
        <w:t>Pleno. Sentencia 97/2024, de 3 de julio de 2024</w:t>
      </w:r>
    </w:p>
    <w:p w14:paraId="480464D9" w14:textId="6B9DB298" w:rsidR="00450063" w:rsidRDefault="00450063" w:rsidP="00450063">
      <w:pPr>
        <w:pStyle w:val="EntradandiceSentencia"/>
      </w:pPr>
    </w:p>
    <w:p w14:paraId="255EBB9D" w14:textId="4F2F7394" w:rsidR="00450063" w:rsidRDefault="00450063" w:rsidP="00450063">
      <w:pPr>
        <w:pStyle w:val="EntradaSumario"/>
      </w:pPr>
      <w:r w:rsidRPr="00450063">
        <w:rPr>
          <w:rStyle w:val="TextoNormalCaracter"/>
        </w:rPr>
        <w:t xml:space="preserve">Recurso de amparo 2361-2023. </w:t>
      </w:r>
      <w:r w:rsidRPr="00450063">
        <w:rPr>
          <w:rStyle w:val="TextoNormalCursivaCaracter"/>
        </w:rPr>
        <w:t xml:space="preserve"> Vulneración del derecho a la legalidad penal y a la presunción de inocencia: condena basada en una interpretación del todo imprevisible del tipo objetivo. Votos particulares.</w:t>
      </w:r>
      <w:r>
        <w:tab/>
      </w:r>
      <w:r>
        <w:tab/>
      </w:r>
      <w:r>
        <w:fldChar w:fldCharType="begin"/>
      </w:r>
      <w:r>
        <w:instrText xml:space="preserve"> PAGEREF SENTENCIA_2024_97 \h </w:instrText>
      </w:r>
      <w:r>
        <w:fldChar w:fldCharType="separate"/>
      </w:r>
      <w:r>
        <w:rPr>
          <w:noProof/>
        </w:rPr>
        <w:t>359</w:t>
      </w:r>
      <w:r>
        <w:fldChar w:fldCharType="end"/>
      </w:r>
    </w:p>
    <w:p w14:paraId="725550D0" w14:textId="77777777" w:rsidR="00450063" w:rsidRDefault="00450063" w:rsidP="00450063"/>
    <w:p w14:paraId="67F38888" w14:textId="77777777" w:rsidR="00450063" w:rsidRDefault="00450063" w:rsidP="00450063">
      <w:pPr>
        <w:pStyle w:val="EntradandiceSentencia"/>
      </w:pPr>
      <w:r>
        <w:lastRenderedPageBreak/>
        <w:t>Pleno. Sentencia 98/2024, de 3 de julio de 2024</w:t>
      </w:r>
    </w:p>
    <w:p w14:paraId="56CF2C5E" w14:textId="64E608FC" w:rsidR="00450063" w:rsidRDefault="00450063" w:rsidP="00450063">
      <w:pPr>
        <w:pStyle w:val="EntradandiceSentencia"/>
      </w:pPr>
    </w:p>
    <w:p w14:paraId="35125F05" w14:textId="2C96D065" w:rsidR="00450063" w:rsidRDefault="00450063" w:rsidP="00450063">
      <w:pPr>
        <w:pStyle w:val="EntradaSumario"/>
      </w:pPr>
      <w:r w:rsidRPr="00450063">
        <w:rPr>
          <w:rStyle w:val="TextoNormalCaracter"/>
        </w:rPr>
        <w:t xml:space="preserve">Recurso de amparo 2391-2023. </w:t>
      </w:r>
      <w:r w:rsidRPr="00450063">
        <w:rPr>
          <w:rStyle w:val="TextoNormalCursivaCaracter"/>
        </w:rPr>
        <w:t xml:space="preserve"> Vulneración del derecho a la legalidad penal y a la presunción de inocencia: condena basada en una interpretación del todo imprevisible del tipo objetivo. Votos particulares.</w:t>
      </w:r>
      <w:r>
        <w:tab/>
      </w:r>
      <w:r>
        <w:tab/>
      </w:r>
      <w:r>
        <w:fldChar w:fldCharType="begin"/>
      </w:r>
      <w:r>
        <w:instrText xml:space="preserve"> PAGEREF SENTENCIA_2024_98 \h </w:instrText>
      </w:r>
      <w:r>
        <w:fldChar w:fldCharType="separate"/>
      </w:r>
      <w:r>
        <w:rPr>
          <w:noProof/>
        </w:rPr>
        <w:t>486</w:t>
      </w:r>
      <w:r>
        <w:fldChar w:fldCharType="end"/>
      </w:r>
    </w:p>
    <w:p w14:paraId="1EF27F6A" w14:textId="77777777" w:rsidR="00450063" w:rsidRDefault="00450063" w:rsidP="00450063"/>
    <w:p w14:paraId="32121973" w14:textId="77777777" w:rsidR="00450063" w:rsidRDefault="00450063" w:rsidP="00450063">
      <w:pPr>
        <w:pStyle w:val="EntradandiceSentencia"/>
      </w:pPr>
      <w:r>
        <w:t>Pleno. Sentencia 99/2024, de 16 de julio de 2024</w:t>
      </w:r>
    </w:p>
    <w:p w14:paraId="3DC7B93D" w14:textId="321A328D" w:rsidR="00450063" w:rsidRDefault="00450063" w:rsidP="00450063">
      <w:pPr>
        <w:pStyle w:val="EntradandiceSentencia"/>
      </w:pPr>
    </w:p>
    <w:p w14:paraId="74B15A4E" w14:textId="221AF835" w:rsidR="00450063" w:rsidRDefault="00450063" w:rsidP="00450063">
      <w:pPr>
        <w:pStyle w:val="EntradaSumario"/>
      </w:pPr>
      <w:r w:rsidRPr="00450063">
        <w:rPr>
          <w:rStyle w:val="TextoNormalCaracter"/>
        </w:rPr>
        <w:t xml:space="preserve">Recurso de amparo 7007-2022. </w:t>
      </w:r>
      <w:r w:rsidRPr="00450063">
        <w:rPr>
          <w:rStyle w:val="TextoNormalCursivaCaracter"/>
        </w:rPr>
        <w:t xml:space="preserve"> Vulneración del derecho a la legalidad penal: condena basada en una interpretación del todo imprevisible del tipo objetivo. Votos particulares.</w:t>
      </w:r>
      <w:r>
        <w:tab/>
      </w:r>
      <w:r>
        <w:tab/>
      </w:r>
      <w:r>
        <w:fldChar w:fldCharType="begin"/>
      </w:r>
      <w:r>
        <w:instrText xml:space="preserve"> PAGEREF SENTENCIA_2024_99 \h </w:instrText>
      </w:r>
      <w:r>
        <w:fldChar w:fldCharType="separate"/>
      </w:r>
      <w:r>
        <w:rPr>
          <w:noProof/>
        </w:rPr>
        <w:t>607</w:t>
      </w:r>
      <w:r>
        <w:fldChar w:fldCharType="end"/>
      </w:r>
    </w:p>
    <w:p w14:paraId="62C535A3" w14:textId="77777777" w:rsidR="00450063" w:rsidRDefault="00450063" w:rsidP="00450063"/>
    <w:p w14:paraId="783BE167" w14:textId="77777777" w:rsidR="00450063" w:rsidRDefault="00450063" w:rsidP="00450063">
      <w:pPr>
        <w:pStyle w:val="EntradandiceSentencia"/>
      </w:pPr>
      <w:r>
        <w:t>Pleno. Sentencia 100/2024, de 16 de julio de 2024</w:t>
      </w:r>
    </w:p>
    <w:p w14:paraId="2E941D89" w14:textId="033DE30B" w:rsidR="00450063" w:rsidRDefault="00450063" w:rsidP="00450063">
      <w:pPr>
        <w:pStyle w:val="EntradandiceSentencia"/>
      </w:pPr>
    </w:p>
    <w:p w14:paraId="045FB834" w14:textId="3B1F99C7" w:rsidR="00450063" w:rsidRDefault="00450063" w:rsidP="00450063">
      <w:pPr>
        <w:pStyle w:val="EntradaSumario"/>
      </w:pPr>
      <w:r w:rsidRPr="00450063">
        <w:rPr>
          <w:rStyle w:val="TextoNormalCaracter"/>
        </w:rPr>
        <w:t xml:space="preserve">Recurso de amparo 2119-2023. </w:t>
      </w:r>
      <w:r w:rsidRPr="00450063">
        <w:rPr>
          <w:rStyle w:val="TextoNormalCursivaCaracter"/>
        </w:rPr>
        <w:t xml:space="preserve"> Vulneración del derecho a la legalidad penal y a la presunción de inocencia: condena basada en una interpretación del todo imprevisible del tipo objetivo. Votos particulares.</w:t>
      </w:r>
      <w:r>
        <w:tab/>
      </w:r>
      <w:r>
        <w:tab/>
      </w:r>
      <w:r>
        <w:fldChar w:fldCharType="begin"/>
      </w:r>
      <w:r>
        <w:instrText xml:space="preserve"> PAGEREF SENTENCIA_2024_100 \h </w:instrText>
      </w:r>
      <w:r>
        <w:fldChar w:fldCharType="separate"/>
      </w:r>
      <w:r>
        <w:rPr>
          <w:noProof/>
        </w:rPr>
        <w:t>703</w:t>
      </w:r>
      <w:r>
        <w:fldChar w:fldCharType="end"/>
      </w:r>
    </w:p>
    <w:p w14:paraId="10D5CDA4" w14:textId="77777777" w:rsidR="00450063" w:rsidRDefault="00450063" w:rsidP="00450063"/>
    <w:p w14:paraId="79A4CD49" w14:textId="77777777" w:rsidR="00450063" w:rsidRDefault="00450063" w:rsidP="00450063">
      <w:pPr>
        <w:pStyle w:val="EntradandiceSentencia"/>
      </w:pPr>
      <w:r>
        <w:t>Pleno. Sentencia 101/2024, de 16 de julio de 2024</w:t>
      </w:r>
    </w:p>
    <w:p w14:paraId="45EA03BD" w14:textId="3D9E36B0" w:rsidR="00450063" w:rsidRDefault="00450063" w:rsidP="00450063">
      <w:pPr>
        <w:pStyle w:val="EntradandiceSentencia"/>
      </w:pPr>
    </w:p>
    <w:p w14:paraId="03B0954A" w14:textId="34E19268" w:rsidR="00450063" w:rsidRDefault="00450063" w:rsidP="00450063">
      <w:pPr>
        <w:pStyle w:val="EntradaSumario"/>
      </w:pPr>
      <w:r w:rsidRPr="00450063">
        <w:rPr>
          <w:rStyle w:val="TextoNormalCaracter"/>
        </w:rPr>
        <w:t xml:space="preserve">Recurso de amparo 2239-2023. </w:t>
      </w:r>
      <w:r w:rsidRPr="00450063">
        <w:rPr>
          <w:rStyle w:val="TextoNormalCursivaCaracter"/>
        </w:rPr>
        <w:t xml:space="preserve"> Supuesta vulneración de los derechos al honor, a la tutela judicial efectiva, a un proceso con todas las garantías y a la presunción de inocencia: razonada valoración judicial del complejo acervo probatorio aportado a la causa; inconsistencia de la queja relativa al eventual complemento fáctico de sentencia; difusión anticipada del fallo que no quebranta las garantías del proceso.</w:t>
      </w:r>
      <w:r>
        <w:tab/>
      </w:r>
      <w:r>
        <w:tab/>
      </w:r>
      <w:r>
        <w:fldChar w:fldCharType="begin"/>
      </w:r>
      <w:r>
        <w:instrText xml:space="preserve"> PAGEREF SENTENCIA_2024_101 \h </w:instrText>
      </w:r>
      <w:r>
        <w:fldChar w:fldCharType="separate"/>
      </w:r>
      <w:r>
        <w:rPr>
          <w:noProof/>
        </w:rPr>
        <w:t>867</w:t>
      </w:r>
      <w:r>
        <w:fldChar w:fldCharType="end"/>
      </w:r>
    </w:p>
    <w:p w14:paraId="2814E823" w14:textId="77777777" w:rsidR="00450063" w:rsidRDefault="00450063" w:rsidP="00450063"/>
    <w:p w14:paraId="22140848" w14:textId="77777777" w:rsidR="00450063" w:rsidRDefault="00450063" w:rsidP="00450063">
      <w:pPr>
        <w:pStyle w:val="EntradandiceSentencia"/>
      </w:pPr>
      <w:r>
        <w:t>Pleno. Sentencia 102/2024, de 17 de julio de 2024</w:t>
      </w:r>
    </w:p>
    <w:p w14:paraId="2DB8988F" w14:textId="1DC1778C" w:rsidR="00450063" w:rsidRDefault="00450063" w:rsidP="00450063">
      <w:pPr>
        <w:pStyle w:val="EntradandiceSentencia"/>
      </w:pPr>
    </w:p>
    <w:p w14:paraId="0CB89B20" w14:textId="25A27F6C" w:rsidR="00450063" w:rsidRDefault="00450063" w:rsidP="00450063">
      <w:pPr>
        <w:pStyle w:val="EntradaSumario"/>
      </w:pPr>
      <w:r w:rsidRPr="00450063">
        <w:rPr>
          <w:rStyle w:val="TextoNormalCaracter"/>
        </w:rPr>
        <w:t xml:space="preserve">Recurso de amparo 2411-2023. </w:t>
      </w:r>
      <w:r w:rsidRPr="00450063">
        <w:rPr>
          <w:rStyle w:val="TextoNormalCursivaCaracter"/>
        </w:rPr>
        <w:t xml:space="preserve"> Vulneración del derecho a la legalidad penal: condena basada en una interpretación del todo imprevisible del tipo objetivo. Votos particulares.</w:t>
      </w:r>
      <w:r>
        <w:tab/>
      </w:r>
      <w:r>
        <w:tab/>
      </w:r>
      <w:r>
        <w:fldChar w:fldCharType="begin"/>
      </w:r>
      <w:r>
        <w:instrText xml:space="preserve"> PAGEREF SENTENCIA_2024_102 \h </w:instrText>
      </w:r>
      <w:r>
        <w:fldChar w:fldCharType="separate"/>
      </w:r>
      <w:r>
        <w:rPr>
          <w:noProof/>
        </w:rPr>
        <w:t>927</w:t>
      </w:r>
      <w:r>
        <w:fldChar w:fldCharType="end"/>
      </w:r>
    </w:p>
    <w:p w14:paraId="4ECABB80" w14:textId="77777777" w:rsidR="00450063" w:rsidRDefault="00450063" w:rsidP="00450063"/>
    <w:p w14:paraId="545016EC" w14:textId="77777777" w:rsidR="00450063" w:rsidRDefault="00450063" w:rsidP="00450063">
      <w:pPr>
        <w:pStyle w:val="EntradandiceSentencia"/>
      </w:pPr>
      <w:r>
        <w:t>Pleno. Sentencia 103/2024, de 17 de julio de 2024</w:t>
      </w:r>
    </w:p>
    <w:p w14:paraId="0509EA60" w14:textId="68710EC2" w:rsidR="00450063" w:rsidRDefault="00450063" w:rsidP="00450063">
      <w:pPr>
        <w:pStyle w:val="EntradandiceSentencia"/>
      </w:pPr>
    </w:p>
    <w:p w14:paraId="4FFC244D" w14:textId="07A139B8" w:rsidR="00450063" w:rsidRDefault="00450063" w:rsidP="00450063">
      <w:pPr>
        <w:pStyle w:val="EntradaSumario"/>
      </w:pPr>
      <w:r w:rsidRPr="00450063">
        <w:rPr>
          <w:rStyle w:val="TextoNormalCaracter"/>
        </w:rPr>
        <w:t xml:space="preserve">Recurso de amparo 2485-2023. </w:t>
      </w:r>
      <w:r w:rsidRPr="00450063">
        <w:rPr>
          <w:rStyle w:val="TextoNormalCursivaCaracter"/>
        </w:rPr>
        <w:t xml:space="preserve"> Vulneración del derecho a la legalidad penal: condena basada en una interpretación del todo imprevisible del tipo objetivo. Votos particulares.</w:t>
      </w:r>
      <w:r>
        <w:tab/>
      </w:r>
      <w:r>
        <w:tab/>
      </w:r>
      <w:r>
        <w:fldChar w:fldCharType="begin"/>
      </w:r>
      <w:r>
        <w:instrText xml:space="preserve"> PAGEREF SENTENCIA_2024_103 \h </w:instrText>
      </w:r>
      <w:r>
        <w:fldChar w:fldCharType="separate"/>
      </w:r>
      <w:r>
        <w:rPr>
          <w:noProof/>
        </w:rPr>
        <w:t>1027</w:t>
      </w:r>
      <w:r>
        <w:fldChar w:fldCharType="end"/>
      </w:r>
    </w:p>
    <w:p w14:paraId="64A51675" w14:textId="77777777" w:rsidR="00450063" w:rsidRDefault="00450063" w:rsidP="00450063"/>
    <w:p w14:paraId="63A0B0FA" w14:textId="77777777" w:rsidR="00450063" w:rsidRDefault="00450063" w:rsidP="00450063">
      <w:pPr>
        <w:pStyle w:val="EntradandiceSentencia"/>
      </w:pPr>
      <w:r>
        <w:lastRenderedPageBreak/>
        <w:t>Sala Segunda. Sentencia 104/2024, de 9 de septiembre de 2024</w:t>
      </w:r>
    </w:p>
    <w:p w14:paraId="621320F7" w14:textId="12E483CB" w:rsidR="00450063" w:rsidRDefault="00450063" w:rsidP="00450063">
      <w:pPr>
        <w:pStyle w:val="EntradandiceSentencia"/>
      </w:pPr>
    </w:p>
    <w:p w14:paraId="0B7F1E68" w14:textId="7E2291F5" w:rsidR="00450063" w:rsidRDefault="00450063" w:rsidP="00450063">
      <w:pPr>
        <w:pStyle w:val="EntradaSumario"/>
      </w:pPr>
      <w:r w:rsidRPr="00450063">
        <w:rPr>
          <w:rStyle w:val="TextoNormalCaracter"/>
        </w:rPr>
        <w:t xml:space="preserve">Recurso de amparo 4054-2022. </w:t>
      </w:r>
      <w:r w:rsidRPr="00450063">
        <w:rPr>
          <w:rStyle w:val="TextoNormalCursivaCaracter"/>
        </w:rPr>
        <w:t xml:space="preserve"> Vulneración del derecho a la tutela judicial sin indefensión en relación con los derechos de defensa y a la asistencia letrada: STC 10/2022 (resoluciones judiciales que consideran gastos indebidos los honorarios del abogado en un supuesto en el que no es preceptiva la intervención de letrado).</w:t>
      </w:r>
      <w:r>
        <w:tab/>
      </w:r>
      <w:r>
        <w:tab/>
      </w:r>
      <w:r>
        <w:fldChar w:fldCharType="begin"/>
      </w:r>
      <w:r>
        <w:instrText xml:space="preserve"> PAGEREF SENTENCIA_2024_104 \h </w:instrText>
      </w:r>
      <w:r>
        <w:fldChar w:fldCharType="separate"/>
      </w:r>
      <w:r>
        <w:rPr>
          <w:noProof/>
        </w:rPr>
        <w:t>1111</w:t>
      </w:r>
      <w:r>
        <w:fldChar w:fldCharType="end"/>
      </w:r>
    </w:p>
    <w:p w14:paraId="49735EA1" w14:textId="77777777" w:rsidR="00450063" w:rsidRDefault="00450063" w:rsidP="00450063"/>
    <w:p w14:paraId="192C7CC3" w14:textId="77777777" w:rsidR="00450063" w:rsidRDefault="00450063" w:rsidP="00450063">
      <w:pPr>
        <w:pStyle w:val="EntradandiceSentencia"/>
      </w:pPr>
      <w:r>
        <w:t>Sala Segunda. Sentencia 105/2024, de 9 de septiembre de 2024</w:t>
      </w:r>
    </w:p>
    <w:p w14:paraId="0D5FFD76" w14:textId="368B4D97" w:rsidR="00450063" w:rsidRDefault="00450063" w:rsidP="00450063">
      <w:pPr>
        <w:pStyle w:val="EntradandiceSentencia"/>
      </w:pPr>
    </w:p>
    <w:p w14:paraId="31712CAB" w14:textId="1BC10885" w:rsidR="00450063" w:rsidRDefault="00450063" w:rsidP="00450063">
      <w:pPr>
        <w:pStyle w:val="EntradaSumario"/>
      </w:pPr>
      <w:r w:rsidRPr="00450063">
        <w:rPr>
          <w:rStyle w:val="TextoNormalCaracter"/>
        </w:rPr>
        <w:t xml:space="preserve">Recurso de amparo 6095-2022. </w:t>
      </w:r>
      <w:r w:rsidRPr="00450063">
        <w:rPr>
          <w:rStyle w:val="TextoNormalCursivaCaracter"/>
        </w:rPr>
        <w:t xml:space="preserve"> Vulneración del derecho a la tutela judicial efectiva, en relación con el derecho a la integridad física y moral: investigación insuficiente de una denuncia de lesiones y malos tratos que se dicen padecidos en institución penitenciaria (STC 33/2024).</w:t>
      </w:r>
      <w:r>
        <w:tab/>
      </w:r>
      <w:r>
        <w:tab/>
      </w:r>
      <w:r>
        <w:fldChar w:fldCharType="begin"/>
      </w:r>
      <w:r>
        <w:instrText xml:space="preserve"> PAGEREF SENTENCIA_2024_105 \h </w:instrText>
      </w:r>
      <w:r>
        <w:fldChar w:fldCharType="separate"/>
      </w:r>
      <w:r>
        <w:rPr>
          <w:noProof/>
        </w:rPr>
        <w:t>1120</w:t>
      </w:r>
      <w:r>
        <w:fldChar w:fldCharType="end"/>
      </w:r>
    </w:p>
    <w:p w14:paraId="4EF39ECD" w14:textId="77777777" w:rsidR="00450063" w:rsidRDefault="00450063" w:rsidP="00450063"/>
    <w:p w14:paraId="4C219790" w14:textId="77777777" w:rsidR="00450063" w:rsidRDefault="00450063" w:rsidP="00450063">
      <w:pPr>
        <w:pStyle w:val="EntradandiceSentencia"/>
      </w:pPr>
      <w:r>
        <w:t>Sala Primera. Sentencia 106/2024, de 9 de septiembre de 2024</w:t>
      </w:r>
    </w:p>
    <w:p w14:paraId="0386D69C" w14:textId="66E3CC4D" w:rsidR="00450063" w:rsidRDefault="00450063" w:rsidP="00450063">
      <w:pPr>
        <w:pStyle w:val="EntradandiceSentencia"/>
      </w:pPr>
    </w:p>
    <w:p w14:paraId="5945077B" w14:textId="142F193D" w:rsidR="00450063" w:rsidRDefault="00450063" w:rsidP="00450063">
      <w:pPr>
        <w:pStyle w:val="EntradaSumario"/>
      </w:pPr>
      <w:r w:rsidRPr="00450063">
        <w:rPr>
          <w:rStyle w:val="TextoNormalCaracter"/>
        </w:rPr>
        <w:t xml:space="preserve">Recurso de amparo 6469-2022. </w:t>
      </w:r>
      <w:r w:rsidRPr="00450063">
        <w:rPr>
          <w:rStyle w:val="TextoNormalCursivaCaracter"/>
        </w:rPr>
        <w:t xml:space="preserve"> Supuesta vulneración de los derechos a la tutela judicial efectiva y de defensa: información sobre la exploración judicial que permitió a la madre conocer las manifestaciones más relevantes de la menor.</w:t>
      </w:r>
      <w:r>
        <w:tab/>
      </w:r>
      <w:r>
        <w:tab/>
      </w:r>
      <w:r>
        <w:fldChar w:fldCharType="begin"/>
      </w:r>
      <w:r>
        <w:instrText xml:space="preserve"> PAGEREF SENTENCIA_2024_106 \h </w:instrText>
      </w:r>
      <w:r>
        <w:fldChar w:fldCharType="separate"/>
      </w:r>
      <w:r>
        <w:rPr>
          <w:noProof/>
        </w:rPr>
        <w:t>1137</w:t>
      </w:r>
      <w:r>
        <w:fldChar w:fldCharType="end"/>
      </w:r>
    </w:p>
    <w:p w14:paraId="225381F4" w14:textId="77777777" w:rsidR="00450063" w:rsidRDefault="00450063" w:rsidP="00450063"/>
    <w:p w14:paraId="75DA2A45" w14:textId="77777777" w:rsidR="00450063" w:rsidRDefault="00450063" w:rsidP="00450063">
      <w:pPr>
        <w:pStyle w:val="EntradandiceSentencia"/>
      </w:pPr>
      <w:r>
        <w:t>Sala Segunda. Sentencia 107/2024, de 9 de septiembre de 2024</w:t>
      </w:r>
    </w:p>
    <w:p w14:paraId="583A38B6" w14:textId="4C9E7422" w:rsidR="00450063" w:rsidRDefault="00450063" w:rsidP="00450063">
      <w:pPr>
        <w:pStyle w:val="EntradandiceSentencia"/>
      </w:pPr>
    </w:p>
    <w:p w14:paraId="59DC6E5F" w14:textId="7781C2F5" w:rsidR="00450063" w:rsidRDefault="00450063" w:rsidP="00450063">
      <w:pPr>
        <w:pStyle w:val="EntradaSumario"/>
      </w:pPr>
      <w:r w:rsidRPr="00450063">
        <w:rPr>
          <w:rStyle w:val="TextoNormalCaracter"/>
        </w:rPr>
        <w:t xml:space="preserve">Recurso de amparo 7630-2022. </w:t>
      </w:r>
      <w:r w:rsidRPr="00450063">
        <w:rPr>
          <w:rStyle w:val="TextoNormalCursivaCaracter"/>
        </w:rPr>
        <w:t xml:space="preserve"> Vulneración del derecho a la tutela judicial efectiva (intangibilidad de las resoluciones judiciales firmes): utilización improcedente del incidente de nulidad de actuaciones en perjuicio del recurrente aduciendo la tutela del derecho al juez ordinario predeterminado por la ley que ninguna parte legítima había invocado. Voto particular.</w:t>
      </w:r>
      <w:r>
        <w:tab/>
      </w:r>
      <w:r>
        <w:tab/>
      </w:r>
      <w:r>
        <w:fldChar w:fldCharType="begin"/>
      </w:r>
      <w:r>
        <w:instrText xml:space="preserve"> PAGEREF SENTENCIA_2024_107 \h </w:instrText>
      </w:r>
      <w:r>
        <w:fldChar w:fldCharType="separate"/>
      </w:r>
      <w:r>
        <w:rPr>
          <w:noProof/>
        </w:rPr>
        <w:t>1154</w:t>
      </w:r>
      <w:r>
        <w:fldChar w:fldCharType="end"/>
      </w:r>
    </w:p>
    <w:p w14:paraId="7E599BD2" w14:textId="77777777" w:rsidR="00450063" w:rsidRDefault="00450063" w:rsidP="00450063"/>
    <w:p w14:paraId="41F2D14D" w14:textId="77777777" w:rsidR="00450063" w:rsidRDefault="00450063" w:rsidP="00450063">
      <w:pPr>
        <w:pStyle w:val="EntradandiceSentencia"/>
      </w:pPr>
      <w:r>
        <w:t>Sala Segunda. Sentencia 108/2024, de 9 de septiembre de 2024</w:t>
      </w:r>
    </w:p>
    <w:p w14:paraId="4DBC02F9" w14:textId="40CADFA7" w:rsidR="00450063" w:rsidRDefault="00450063" w:rsidP="00450063">
      <w:pPr>
        <w:pStyle w:val="EntradandiceSentencia"/>
      </w:pPr>
    </w:p>
    <w:p w14:paraId="47BCEB2A" w14:textId="3D16083E" w:rsidR="00450063" w:rsidRDefault="00450063" w:rsidP="00450063">
      <w:pPr>
        <w:pStyle w:val="EntradaSumario"/>
      </w:pPr>
      <w:r w:rsidRPr="00450063">
        <w:rPr>
          <w:rStyle w:val="TextoNormalCaracter"/>
        </w:rPr>
        <w:t xml:space="preserve">Recurso de amparo 2922-2023. </w:t>
      </w:r>
      <w:r w:rsidRPr="00450063">
        <w:rPr>
          <w:rStyle w:val="TextoNormalCursivaCaracter"/>
        </w:rPr>
        <w:t xml:space="preserve"> Vulneración de los derechos a la tutela judicial efectiva (resolución fundada en derecho) y a la presunción de inocencia: STC 72/2024 (revocación de la sentencia absolutoria basada en una discrepancia en la valoración de la prueba que supone una extralimitación de las facultades del tribunal de apelación).</w:t>
      </w:r>
      <w:r>
        <w:tab/>
      </w:r>
      <w:r>
        <w:tab/>
      </w:r>
      <w:r>
        <w:fldChar w:fldCharType="begin"/>
      </w:r>
      <w:r>
        <w:instrText xml:space="preserve"> PAGEREF SENTENCIA_2024_108 \h </w:instrText>
      </w:r>
      <w:r>
        <w:fldChar w:fldCharType="separate"/>
      </w:r>
      <w:r>
        <w:rPr>
          <w:noProof/>
        </w:rPr>
        <w:t>1172</w:t>
      </w:r>
      <w:r>
        <w:fldChar w:fldCharType="end"/>
      </w:r>
    </w:p>
    <w:p w14:paraId="0573F368" w14:textId="77777777" w:rsidR="00450063" w:rsidRDefault="00450063" w:rsidP="00450063"/>
    <w:p w14:paraId="1CA24BC3" w14:textId="77777777" w:rsidR="00450063" w:rsidRDefault="00450063" w:rsidP="00450063">
      <w:pPr>
        <w:pStyle w:val="EntradandiceSentencia"/>
      </w:pPr>
      <w:r>
        <w:lastRenderedPageBreak/>
        <w:t>Sala Primera. Sentencia 109/2024, de 9 de septiembre de 2024</w:t>
      </w:r>
    </w:p>
    <w:p w14:paraId="0B71F2FB" w14:textId="2D832EAC" w:rsidR="00450063" w:rsidRDefault="00450063" w:rsidP="00450063">
      <w:pPr>
        <w:pStyle w:val="EntradandiceSentencia"/>
      </w:pPr>
    </w:p>
    <w:p w14:paraId="66E18E81" w14:textId="6C1CCFB1" w:rsidR="00450063" w:rsidRDefault="00450063" w:rsidP="00450063">
      <w:pPr>
        <w:pStyle w:val="EntradaSumario"/>
      </w:pPr>
      <w:r w:rsidRPr="00450063">
        <w:rPr>
          <w:rStyle w:val="TextoNormalCaracter"/>
        </w:rPr>
        <w:t xml:space="preserve">Recurso de amparo 5062-2023. </w:t>
      </w:r>
      <w:r w:rsidRPr="00450063">
        <w:rPr>
          <w:rStyle w:val="TextoNormalCursivaCaracter"/>
        </w:rPr>
        <w:t xml:space="preserve"> Vulneración del derecho al ejercicio de las funciones representativas, en conexión con el derecho de los ciudadanos a participar en los asuntos públicos a través de sus representantes: SSTC 65/2022 y 86/2024 (habilitación del voto telemático que excepciona el principio de presencialidad de quien voluntariamente ha decidido eludir la acción de la jurisdicción penal española y está sujeto a una orden judicial de busca y captura).</w:t>
      </w:r>
      <w:r>
        <w:tab/>
      </w:r>
      <w:r>
        <w:tab/>
      </w:r>
      <w:r>
        <w:fldChar w:fldCharType="begin"/>
      </w:r>
      <w:r>
        <w:instrText xml:space="preserve"> PAGEREF SENTENCIA_2024_109 \h </w:instrText>
      </w:r>
      <w:r>
        <w:fldChar w:fldCharType="separate"/>
      </w:r>
      <w:r>
        <w:rPr>
          <w:noProof/>
        </w:rPr>
        <w:t>1187</w:t>
      </w:r>
      <w:r>
        <w:fldChar w:fldCharType="end"/>
      </w:r>
    </w:p>
    <w:p w14:paraId="727B13A8" w14:textId="77777777" w:rsidR="00450063" w:rsidRDefault="00450063" w:rsidP="00450063"/>
    <w:p w14:paraId="1872A649" w14:textId="77777777" w:rsidR="00450063" w:rsidRDefault="00450063" w:rsidP="00450063">
      <w:pPr>
        <w:pStyle w:val="EntradandiceSentencia"/>
      </w:pPr>
      <w:r>
        <w:t>Sala Primera. Sentencia 110/2024, de 9 de septiembre de 2024</w:t>
      </w:r>
    </w:p>
    <w:p w14:paraId="426E4536" w14:textId="1B61F7F8" w:rsidR="00450063" w:rsidRDefault="00450063" w:rsidP="00450063">
      <w:pPr>
        <w:pStyle w:val="EntradandiceSentencia"/>
      </w:pPr>
    </w:p>
    <w:p w14:paraId="797F9BEB" w14:textId="69D7F4D3" w:rsidR="00450063" w:rsidRDefault="00450063" w:rsidP="00450063">
      <w:pPr>
        <w:pStyle w:val="EntradaSumario"/>
      </w:pPr>
      <w:r w:rsidRPr="00450063">
        <w:rPr>
          <w:rStyle w:val="TextoNormalCaracter"/>
        </w:rPr>
        <w:t xml:space="preserve">Recurso de amparo 5084-2023. </w:t>
      </w:r>
      <w:r w:rsidRPr="00450063">
        <w:rPr>
          <w:rStyle w:val="TextoNormalCursivaCaracter"/>
        </w:rPr>
        <w:t xml:space="preserve"> Vulneración del derecho al ejercicio de las funciones representativas, en conexión con el derecho de los ciudadanos a participar en los asuntos públicos a través de sus representantes: SSTC 65/2022 y 86/2024 (habilitación del voto telemático que excepciona el principio de presencialidad de quien voluntariamente ha decidido eludir la acción de la jurisdicción penal española y está sujeto a una orden judicial de busca y captura).</w:t>
      </w:r>
      <w:r>
        <w:tab/>
      </w:r>
      <w:r>
        <w:tab/>
      </w:r>
      <w:r>
        <w:fldChar w:fldCharType="begin"/>
      </w:r>
      <w:r>
        <w:instrText xml:space="preserve"> PAGEREF SENTENCIA_2024_110 \h </w:instrText>
      </w:r>
      <w:r>
        <w:fldChar w:fldCharType="separate"/>
      </w:r>
      <w:r>
        <w:rPr>
          <w:noProof/>
        </w:rPr>
        <w:t>1196</w:t>
      </w:r>
      <w:r>
        <w:fldChar w:fldCharType="end"/>
      </w:r>
    </w:p>
    <w:p w14:paraId="37176CB6" w14:textId="77777777" w:rsidR="00450063" w:rsidRDefault="00450063" w:rsidP="00450063"/>
    <w:p w14:paraId="00432FCE" w14:textId="77777777" w:rsidR="00450063" w:rsidRDefault="00450063" w:rsidP="00450063">
      <w:pPr>
        <w:pStyle w:val="EntradandiceSentencia"/>
      </w:pPr>
      <w:r>
        <w:t>Pleno. Sentencia 111/2024, de 10 de septiembre de 2024</w:t>
      </w:r>
    </w:p>
    <w:p w14:paraId="251CD8E2" w14:textId="5EB92812" w:rsidR="00450063" w:rsidRDefault="00450063" w:rsidP="00450063">
      <w:pPr>
        <w:pStyle w:val="EntradandiceSentencia"/>
      </w:pPr>
    </w:p>
    <w:p w14:paraId="2506C91D" w14:textId="2D19D94C" w:rsidR="00450063" w:rsidRDefault="00450063" w:rsidP="00450063">
      <w:pPr>
        <w:pStyle w:val="EntradaSumario"/>
      </w:pPr>
      <w:r w:rsidRPr="00450063">
        <w:rPr>
          <w:rStyle w:val="TextoNormalCaracter"/>
        </w:rPr>
        <w:t xml:space="preserve">Recurso de inconstitucionalidad 8367-2022. </w:t>
      </w:r>
      <w:r w:rsidRPr="00450063">
        <w:rPr>
          <w:rStyle w:val="TextoNormalCursivaCaracter"/>
        </w:rPr>
        <w:t xml:space="preserve"> Límites materiales de los decretos-leyes, principio de autonomía local y competencias sobre transportes terrestres: justificación suficiente del presupuesto habilitante del dictado de la norma de urgencia, concesión autonómica de autorizaciones de vehículos de transporte con conductor coherente con la concurrencia de un interés supralocal e inexistencia de invasión de competencias estatales.</w:t>
      </w:r>
      <w:r>
        <w:tab/>
      </w:r>
      <w:r>
        <w:tab/>
      </w:r>
      <w:r>
        <w:fldChar w:fldCharType="begin"/>
      </w:r>
      <w:r>
        <w:instrText xml:space="preserve"> PAGEREF SENTENCIA_2024_111 \h </w:instrText>
      </w:r>
      <w:r>
        <w:fldChar w:fldCharType="separate"/>
      </w:r>
      <w:r>
        <w:rPr>
          <w:noProof/>
        </w:rPr>
        <w:t>1205</w:t>
      </w:r>
      <w:r>
        <w:fldChar w:fldCharType="end"/>
      </w:r>
    </w:p>
    <w:p w14:paraId="70A6E5BF" w14:textId="77777777" w:rsidR="00450063" w:rsidRDefault="00450063" w:rsidP="00450063"/>
    <w:p w14:paraId="278ECBDF" w14:textId="77777777" w:rsidR="00450063" w:rsidRDefault="00450063" w:rsidP="00450063">
      <w:pPr>
        <w:pStyle w:val="EntradandiceSentencia"/>
      </w:pPr>
      <w:r>
        <w:t>Pleno. Sentencia 112/2024, de 10 de septiembre de 2024</w:t>
      </w:r>
    </w:p>
    <w:p w14:paraId="4D80D3AF" w14:textId="6245B71D" w:rsidR="00450063" w:rsidRDefault="00450063" w:rsidP="00450063">
      <w:pPr>
        <w:pStyle w:val="EntradandiceSentencia"/>
      </w:pPr>
    </w:p>
    <w:p w14:paraId="3947E141" w14:textId="6D72A5E0" w:rsidR="00450063" w:rsidRDefault="00450063" w:rsidP="00450063">
      <w:pPr>
        <w:pStyle w:val="EntradaSumario"/>
      </w:pPr>
      <w:r w:rsidRPr="00450063">
        <w:rPr>
          <w:rStyle w:val="TextoNormalCaracter"/>
        </w:rPr>
        <w:t xml:space="preserve">Cuestión de inconstitucionalidad 3263-2023. </w:t>
      </w:r>
      <w:r w:rsidRPr="00450063">
        <w:rPr>
          <w:rStyle w:val="TextoNormalCursivaCaracter"/>
        </w:rPr>
        <w:t xml:space="preserve"> Libertad de empresa: nulidad del precepto legal que introduce la exigencia de un lapso de treinta minutos de antelación mínima entre la contratación telemática y la prestación del servicio de alquiler de vehículos con conductor.</w:t>
      </w:r>
      <w:r>
        <w:tab/>
      </w:r>
      <w:r>
        <w:tab/>
      </w:r>
      <w:r>
        <w:fldChar w:fldCharType="begin"/>
      </w:r>
      <w:r>
        <w:instrText xml:space="preserve"> PAGEREF SENTENCIA_2024_112 \h </w:instrText>
      </w:r>
      <w:r>
        <w:fldChar w:fldCharType="separate"/>
      </w:r>
      <w:r>
        <w:rPr>
          <w:noProof/>
        </w:rPr>
        <w:t>1232</w:t>
      </w:r>
      <w:r>
        <w:fldChar w:fldCharType="end"/>
      </w:r>
    </w:p>
    <w:p w14:paraId="09549A19" w14:textId="77777777" w:rsidR="00450063" w:rsidRDefault="00450063" w:rsidP="00450063"/>
    <w:p w14:paraId="6E687238" w14:textId="77777777" w:rsidR="00450063" w:rsidRDefault="00450063" w:rsidP="00450063">
      <w:pPr>
        <w:pStyle w:val="EntradandiceSentencia"/>
      </w:pPr>
      <w:r>
        <w:t>Pleno. Sentencia 113/2024, de 10 de septiembre de 2024</w:t>
      </w:r>
    </w:p>
    <w:p w14:paraId="5D5F57B1" w14:textId="2DB40675" w:rsidR="00450063" w:rsidRDefault="00450063" w:rsidP="00450063">
      <w:pPr>
        <w:pStyle w:val="EntradandiceSentencia"/>
      </w:pPr>
    </w:p>
    <w:p w14:paraId="64335C5A" w14:textId="0FD5F735" w:rsidR="00450063" w:rsidRDefault="00450063" w:rsidP="00450063">
      <w:pPr>
        <w:pStyle w:val="EntradaSumario"/>
      </w:pPr>
      <w:r w:rsidRPr="00450063">
        <w:rPr>
          <w:rStyle w:val="TextoNormalCaracter"/>
        </w:rPr>
        <w:t xml:space="preserve">Recurso de inconstitucionalidad 8042-2023. </w:t>
      </w:r>
      <w:r w:rsidRPr="00450063">
        <w:rPr>
          <w:rStyle w:val="TextoNormalCursivaCaracter"/>
        </w:rPr>
        <w:t xml:space="preserve"> Límites de los decretos-leyes: nulidad de la norma de urgencia que carece de justificación de la concurrencia del presupuesto habilitante de la extraordinaria y urgente necesidad.</w:t>
      </w:r>
      <w:r>
        <w:tab/>
      </w:r>
      <w:r>
        <w:tab/>
      </w:r>
      <w:r>
        <w:fldChar w:fldCharType="begin"/>
      </w:r>
      <w:r>
        <w:instrText xml:space="preserve"> PAGEREF SENTENCIA_2024_113 \h </w:instrText>
      </w:r>
      <w:r>
        <w:fldChar w:fldCharType="separate"/>
      </w:r>
      <w:r>
        <w:rPr>
          <w:noProof/>
        </w:rPr>
        <w:t>1261</w:t>
      </w:r>
      <w:r>
        <w:fldChar w:fldCharType="end"/>
      </w:r>
    </w:p>
    <w:p w14:paraId="6C692043" w14:textId="77777777" w:rsidR="00450063" w:rsidRDefault="00450063" w:rsidP="00450063"/>
    <w:p w14:paraId="09CEF0F1" w14:textId="77777777" w:rsidR="00450063" w:rsidRDefault="00450063" w:rsidP="00450063">
      <w:pPr>
        <w:pStyle w:val="EntradandiceSentencia"/>
      </w:pPr>
      <w:r>
        <w:lastRenderedPageBreak/>
        <w:t>Pleno. Sentencia 114/2024, de 11 de septiembre de 2024</w:t>
      </w:r>
    </w:p>
    <w:p w14:paraId="73F1D7FD" w14:textId="1FF80B1C" w:rsidR="00450063" w:rsidRDefault="00450063" w:rsidP="00450063">
      <w:pPr>
        <w:pStyle w:val="EntradandiceSentencia"/>
      </w:pPr>
    </w:p>
    <w:p w14:paraId="1705BCBD" w14:textId="31127DD7" w:rsidR="00450063" w:rsidRDefault="00450063" w:rsidP="00450063">
      <w:pPr>
        <w:pStyle w:val="EntradaSumario"/>
      </w:pPr>
      <w:r w:rsidRPr="00450063">
        <w:rPr>
          <w:rStyle w:val="TextoNormalCaracter"/>
        </w:rPr>
        <w:t xml:space="preserve">Recurso de amparo 916-2022. </w:t>
      </w:r>
      <w:r w:rsidRPr="00450063">
        <w:rPr>
          <w:rStyle w:val="TextoNormalCursivaCaracter"/>
        </w:rPr>
        <w:t xml:space="preserve"> Supuesta vulneración del derecho al ejercicio del cargo representativo: ejercicio del voto telemático al que no sucede una solicitud o actuación personal tempestiva del propio diputado que acredite su expresa voluntad de optar por el ejercicio presencial de su voto y por la anulación del voto telemático autorizado y emitido. Voto particular.</w:t>
      </w:r>
      <w:r>
        <w:tab/>
      </w:r>
      <w:r>
        <w:tab/>
      </w:r>
      <w:r>
        <w:fldChar w:fldCharType="begin"/>
      </w:r>
      <w:r>
        <w:instrText xml:space="preserve"> PAGEREF SENTENCIA_2024_114 \h </w:instrText>
      </w:r>
      <w:r>
        <w:fldChar w:fldCharType="separate"/>
      </w:r>
      <w:r>
        <w:rPr>
          <w:noProof/>
        </w:rPr>
        <w:t>1297</w:t>
      </w:r>
      <w:r>
        <w:fldChar w:fldCharType="end"/>
      </w:r>
    </w:p>
    <w:p w14:paraId="117F39E1" w14:textId="77777777" w:rsidR="00450063" w:rsidRDefault="00450063" w:rsidP="00450063"/>
    <w:p w14:paraId="7D09AF26" w14:textId="77777777" w:rsidR="00450063" w:rsidRDefault="00450063" w:rsidP="00450063">
      <w:pPr>
        <w:pStyle w:val="EntradandiceSentencia"/>
      </w:pPr>
      <w:r>
        <w:t>Sala Segunda. Sentencia 115/2024, de 23 de septiembre de 2024</w:t>
      </w:r>
    </w:p>
    <w:p w14:paraId="56C12430" w14:textId="4A9624AC" w:rsidR="00450063" w:rsidRDefault="00450063" w:rsidP="00450063">
      <w:pPr>
        <w:pStyle w:val="EntradandiceSentencia"/>
      </w:pPr>
    </w:p>
    <w:p w14:paraId="3D9D28C3" w14:textId="1A035D30" w:rsidR="00450063" w:rsidRDefault="00450063" w:rsidP="00450063">
      <w:pPr>
        <w:pStyle w:val="EntradaSumario"/>
      </w:pPr>
      <w:r w:rsidRPr="00450063">
        <w:rPr>
          <w:rStyle w:val="TextoNormalCaracter"/>
        </w:rPr>
        <w:t xml:space="preserve">Recurso de amparo 3901-2021. </w:t>
      </w:r>
      <w:r w:rsidRPr="00450063">
        <w:rPr>
          <w:rStyle w:val="TextoNormalCursivaCaracter"/>
        </w:rPr>
        <w:t xml:space="preserve"> Vulneración del derecho a la tutela judicial efectiva (motivación): resoluciones judiciales que no satisfacen la obligación de motivación reforzada al pronunciarse sobre el régimen de visitas en un contexto de violencia de género. Votos particulares.</w:t>
      </w:r>
      <w:r>
        <w:tab/>
      </w:r>
      <w:r>
        <w:tab/>
      </w:r>
      <w:r>
        <w:fldChar w:fldCharType="begin"/>
      </w:r>
      <w:r>
        <w:instrText xml:space="preserve"> PAGEREF SENTENCIA_2024_115 \h </w:instrText>
      </w:r>
      <w:r>
        <w:fldChar w:fldCharType="separate"/>
      </w:r>
      <w:r>
        <w:rPr>
          <w:noProof/>
        </w:rPr>
        <w:t>1330</w:t>
      </w:r>
      <w:r>
        <w:fldChar w:fldCharType="end"/>
      </w:r>
    </w:p>
    <w:p w14:paraId="2C7706B8" w14:textId="77777777" w:rsidR="00450063" w:rsidRDefault="00450063" w:rsidP="00450063"/>
    <w:p w14:paraId="33F988B9" w14:textId="77777777" w:rsidR="00450063" w:rsidRDefault="00450063" w:rsidP="00450063">
      <w:pPr>
        <w:pStyle w:val="EntradandiceSentencia"/>
      </w:pPr>
      <w:r>
        <w:t>Sala Segunda. Sentencia 116/2024, de 23 de septiembre de 2024</w:t>
      </w:r>
    </w:p>
    <w:p w14:paraId="67CD2F24" w14:textId="459659A2" w:rsidR="00450063" w:rsidRDefault="00450063" w:rsidP="00450063">
      <w:pPr>
        <w:pStyle w:val="EntradandiceSentencia"/>
      </w:pPr>
    </w:p>
    <w:p w14:paraId="278D4B14" w14:textId="30246077" w:rsidR="00450063" w:rsidRDefault="00450063" w:rsidP="00450063">
      <w:pPr>
        <w:pStyle w:val="EntradaSumario"/>
      </w:pPr>
      <w:r w:rsidRPr="00450063">
        <w:rPr>
          <w:rStyle w:val="TextoNormalCaracter"/>
        </w:rPr>
        <w:t xml:space="preserve">Recurso de amparo 6144-2021. </w:t>
      </w:r>
      <w:r w:rsidRPr="00450063">
        <w:rPr>
          <w:rStyle w:val="TextoNormalCursivaCaracter"/>
        </w:rPr>
        <w:t xml:space="preserve"> Supuesta vulneración del derecho a la tutela judicial efectiva (acceso a la jurisdicción y acceso al recurso): resoluciones judiciales que inadmitieron, motivadamente y con fundamento en Derecho, la demanda y el posterior recurso de casación frente a la pretendida inactividad de la administración sanitaria en relación con el denominado “síndrome por Agreal” y los daños ocasionados por este fármaco.</w:t>
      </w:r>
      <w:r>
        <w:tab/>
      </w:r>
      <w:r>
        <w:tab/>
      </w:r>
      <w:r>
        <w:fldChar w:fldCharType="begin"/>
      </w:r>
      <w:r>
        <w:instrText xml:space="preserve"> PAGEREF SENTENCIA_2024_116 \h </w:instrText>
      </w:r>
      <w:r>
        <w:fldChar w:fldCharType="separate"/>
      </w:r>
      <w:r>
        <w:rPr>
          <w:noProof/>
        </w:rPr>
        <w:t>1359</w:t>
      </w:r>
      <w:r>
        <w:fldChar w:fldCharType="end"/>
      </w:r>
    </w:p>
    <w:p w14:paraId="100B944D" w14:textId="77777777" w:rsidR="00450063" w:rsidRDefault="00450063" w:rsidP="00450063"/>
    <w:p w14:paraId="045175D3" w14:textId="77777777" w:rsidR="00450063" w:rsidRDefault="00450063" w:rsidP="00450063">
      <w:pPr>
        <w:pStyle w:val="EntradandiceSentencia"/>
      </w:pPr>
      <w:r>
        <w:t>Sala Segunda. Sentencia 117/2024, de 23 de septiembre de 2024</w:t>
      </w:r>
    </w:p>
    <w:p w14:paraId="3DCE2F3D" w14:textId="29F70397" w:rsidR="00450063" w:rsidRDefault="00450063" w:rsidP="00450063">
      <w:pPr>
        <w:pStyle w:val="EntradandiceSentencia"/>
      </w:pPr>
    </w:p>
    <w:p w14:paraId="1611E9C1" w14:textId="4A67D9AB" w:rsidR="00450063" w:rsidRDefault="00450063" w:rsidP="00450063">
      <w:pPr>
        <w:pStyle w:val="EntradaSumario"/>
      </w:pPr>
      <w:r w:rsidRPr="00450063">
        <w:rPr>
          <w:rStyle w:val="TextoNormalCaracter"/>
        </w:rPr>
        <w:t xml:space="preserve">Recurso de amparo 6381-2022. </w:t>
      </w:r>
      <w:r w:rsidRPr="00450063">
        <w:rPr>
          <w:rStyle w:val="TextoNormalCursivaCaracter"/>
        </w:rPr>
        <w:t xml:space="preserve"> Vulneración del derecho a la tutela judicial efectiva (resolución fundada en Derecho): sentencia que aplicó al caso los preceptos legales declarados inconstitucionales y nulos por la STC 182/2021, dictada durante la pendencia del proceso contencioso-administrativo.</w:t>
      </w:r>
      <w:r>
        <w:tab/>
      </w:r>
      <w:r>
        <w:tab/>
      </w:r>
      <w:r>
        <w:fldChar w:fldCharType="begin"/>
      </w:r>
      <w:r>
        <w:instrText xml:space="preserve"> PAGEREF SENTENCIA_2024_117 \h </w:instrText>
      </w:r>
      <w:r>
        <w:fldChar w:fldCharType="separate"/>
      </w:r>
      <w:r>
        <w:rPr>
          <w:noProof/>
        </w:rPr>
        <w:t>1380</w:t>
      </w:r>
      <w:r>
        <w:fldChar w:fldCharType="end"/>
      </w:r>
    </w:p>
    <w:p w14:paraId="6B00AE5D" w14:textId="77777777" w:rsidR="00450063" w:rsidRDefault="00450063" w:rsidP="00450063"/>
    <w:p w14:paraId="5DFA4A25" w14:textId="77777777" w:rsidR="00450063" w:rsidRDefault="00450063" w:rsidP="00450063">
      <w:pPr>
        <w:pStyle w:val="EntradandiceSentencia"/>
      </w:pPr>
      <w:r>
        <w:t>Pleno. Sentencia 118/2024, de 25 de septiembre de 2024</w:t>
      </w:r>
    </w:p>
    <w:p w14:paraId="638C5273" w14:textId="1943ED7B" w:rsidR="00450063" w:rsidRDefault="00450063" w:rsidP="00450063">
      <w:pPr>
        <w:pStyle w:val="EntradandiceSentencia"/>
      </w:pPr>
    </w:p>
    <w:p w14:paraId="06B45BF9" w14:textId="2C0E02F9" w:rsidR="00450063" w:rsidRDefault="00450063" w:rsidP="00450063">
      <w:pPr>
        <w:pStyle w:val="EntradaSumario"/>
      </w:pPr>
      <w:r w:rsidRPr="00450063">
        <w:rPr>
          <w:rStyle w:val="TextoNormalCaracter"/>
        </w:rPr>
        <w:t xml:space="preserve">Recurso de amparo 3835-2020. </w:t>
      </w:r>
      <w:r w:rsidRPr="00450063">
        <w:rPr>
          <w:rStyle w:val="TextoNormalCursivaCaracter"/>
        </w:rPr>
        <w:t xml:space="preserve"> Vulneración del derecho a la tutela judicial efectiva (acceso a la jurisdicción): interpretación en exceso formalista del plazo de caducidad de la acción que no toma en consideración las excepcionales circunstancias del caso. Votos particulares.</w:t>
      </w:r>
      <w:r>
        <w:tab/>
      </w:r>
      <w:r>
        <w:tab/>
      </w:r>
      <w:r>
        <w:fldChar w:fldCharType="begin"/>
      </w:r>
      <w:r>
        <w:instrText xml:space="preserve"> PAGEREF SENTENCIA_2024_118 \h </w:instrText>
      </w:r>
      <w:r>
        <w:fldChar w:fldCharType="separate"/>
      </w:r>
      <w:r>
        <w:rPr>
          <w:noProof/>
        </w:rPr>
        <w:t>1393</w:t>
      </w:r>
      <w:r>
        <w:fldChar w:fldCharType="end"/>
      </w:r>
    </w:p>
    <w:p w14:paraId="35F5BC8A" w14:textId="77777777" w:rsidR="00450063" w:rsidRDefault="00450063" w:rsidP="00450063"/>
    <w:p w14:paraId="3C94D162" w14:textId="77777777" w:rsidR="00450063" w:rsidRDefault="00450063" w:rsidP="00450063">
      <w:pPr>
        <w:pStyle w:val="EntradandiceSentencia"/>
      </w:pPr>
      <w:r>
        <w:lastRenderedPageBreak/>
        <w:t>Pleno. Sentencia 119/2024, de 25 de septiembre de 2024</w:t>
      </w:r>
    </w:p>
    <w:p w14:paraId="758329FD" w14:textId="43EED602" w:rsidR="00450063" w:rsidRDefault="00450063" w:rsidP="00450063">
      <w:pPr>
        <w:pStyle w:val="EntradandiceSentencia"/>
      </w:pPr>
    </w:p>
    <w:p w14:paraId="4FA1E19D" w14:textId="56D3F9A6" w:rsidR="00450063" w:rsidRDefault="00450063" w:rsidP="00450063">
      <w:pPr>
        <w:pStyle w:val="EntradaSumario"/>
      </w:pPr>
      <w:r w:rsidRPr="00450063">
        <w:rPr>
          <w:rStyle w:val="TextoNormalCaracter"/>
        </w:rPr>
        <w:t xml:space="preserve">Conflicto positivo de competencia 3870-2024. </w:t>
      </w:r>
      <w:r w:rsidRPr="00450063">
        <w:rPr>
          <w:rStyle w:val="TextoNormalCursivaCaracter"/>
        </w:rPr>
        <w:t xml:space="preserve"> Competencias sobre el litoral: competencia de la administración del Estado para la declaración de caducidad de una concesión de uso y aprovechamiento del dominio público marítimo-terrestre.</w:t>
      </w:r>
      <w:r>
        <w:tab/>
      </w:r>
      <w:r>
        <w:tab/>
      </w:r>
      <w:r>
        <w:fldChar w:fldCharType="begin"/>
      </w:r>
      <w:r>
        <w:instrText xml:space="preserve"> PAGEREF SENTENCIA_2024_119 \h </w:instrText>
      </w:r>
      <w:r>
        <w:fldChar w:fldCharType="separate"/>
      </w:r>
      <w:r>
        <w:rPr>
          <w:noProof/>
        </w:rPr>
        <w:t>1429</w:t>
      </w:r>
      <w:r>
        <w:fldChar w:fldCharType="end"/>
      </w:r>
    </w:p>
    <w:p w14:paraId="4CE47251" w14:textId="77777777" w:rsidR="00450063" w:rsidRDefault="00450063" w:rsidP="00450063"/>
    <w:p w14:paraId="20E1A136" w14:textId="77777777" w:rsidR="00450063" w:rsidRDefault="00450063" w:rsidP="00450063">
      <w:pPr>
        <w:pStyle w:val="EntradandiceSentencia"/>
      </w:pPr>
      <w:r>
        <w:t>Pleno. Sentencia 120/2024, de 8 de octubre de 2024</w:t>
      </w:r>
    </w:p>
    <w:p w14:paraId="6F1D3913" w14:textId="4F23863D" w:rsidR="00450063" w:rsidRDefault="00450063" w:rsidP="00450063">
      <w:pPr>
        <w:pStyle w:val="EntradandiceSentencia"/>
      </w:pPr>
    </w:p>
    <w:p w14:paraId="0A4C9591" w14:textId="0497E541" w:rsidR="00450063" w:rsidRDefault="00450063" w:rsidP="00450063">
      <w:pPr>
        <w:pStyle w:val="EntradaSumario"/>
      </w:pPr>
      <w:r w:rsidRPr="00450063">
        <w:rPr>
          <w:rStyle w:val="TextoNormalCaracter"/>
        </w:rPr>
        <w:t xml:space="preserve">Recurso de inconstitucionalidad 3955-2022. </w:t>
      </w:r>
      <w:r w:rsidRPr="00450063">
        <w:rPr>
          <w:rStyle w:val="TextoNormalCursivaCaracter"/>
        </w:rPr>
        <w:t xml:space="preserve"> Competencias sobre condiciones básicas de igualdad en el ejercicio del derecho de propiedad, legislación procesal y bases de las obligaciones contractuales: nulidad de los preceptos legales autonómicos que imponen la obligación de ofrecer una propuesta de alquiler social antes de interponer una demanda judicial, así como la renovación de los contratos de alquiler social obligatorio y establecen la subrogación de las personas jurídicas adquirentes de vivienda en las consecuencias del incumplimiento de la función social de la propiedad; nulidad parcial de la regulación del ofrecimiento de propuesta de alquiler social. Votos particulares.</w:t>
      </w:r>
      <w:r>
        <w:tab/>
      </w:r>
      <w:r>
        <w:tab/>
      </w:r>
      <w:r>
        <w:fldChar w:fldCharType="begin"/>
      </w:r>
      <w:r>
        <w:instrText xml:space="preserve"> PAGEREF SENTENCIA_2024_120 \h </w:instrText>
      </w:r>
      <w:r>
        <w:fldChar w:fldCharType="separate"/>
      </w:r>
      <w:r>
        <w:rPr>
          <w:noProof/>
        </w:rPr>
        <w:t>1448</w:t>
      </w:r>
      <w:r>
        <w:fldChar w:fldCharType="end"/>
      </w:r>
    </w:p>
    <w:p w14:paraId="2EE91241" w14:textId="77777777" w:rsidR="00450063" w:rsidRDefault="00450063" w:rsidP="00450063"/>
    <w:p w14:paraId="0A91363A" w14:textId="77777777" w:rsidR="00450063" w:rsidRDefault="00450063" w:rsidP="00450063">
      <w:pPr>
        <w:pStyle w:val="EntradandiceSentencia"/>
      </w:pPr>
      <w:r>
        <w:t>Pleno. Sentencia 121/2024, de 9 de octubre de 2024</w:t>
      </w:r>
    </w:p>
    <w:p w14:paraId="540CD9ED" w14:textId="0C1130FE" w:rsidR="00450063" w:rsidRDefault="00450063" w:rsidP="00450063">
      <w:pPr>
        <w:pStyle w:val="EntradandiceSentencia"/>
      </w:pPr>
    </w:p>
    <w:p w14:paraId="5F73515D" w14:textId="611D605A" w:rsidR="00450063" w:rsidRDefault="00450063" w:rsidP="00450063">
      <w:pPr>
        <w:pStyle w:val="EntradaSumario"/>
      </w:pPr>
      <w:r w:rsidRPr="00450063">
        <w:rPr>
          <w:rStyle w:val="TextoNormalCaracter"/>
        </w:rPr>
        <w:t xml:space="preserve">Recurso de inconstitucionalidad 5542-2021. </w:t>
      </w:r>
      <w:r w:rsidRPr="00450063">
        <w:rPr>
          <w:rStyle w:val="TextoNormalCursivaCaracter"/>
        </w:rPr>
        <w:t xml:space="preserve"> Límites de los decretos leyes: nulidad de la norma autonómica al no levantarse la carga de justificación de la concurrencia del presupuesto habilitante de la extraordinaria y urgente necesidad. Votos particulares.</w:t>
      </w:r>
      <w:r>
        <w:tab/>
      </w:r>
      <w:r>
        <w:tab/>
      </w:r>
      <w:r>
        <w:fldChar w:fldCharType="begin"/>
      </w:r>
      <w:r>
        <w:instrText xml:space="preserve"> PAGEREF SENTENCIA_2024_121 \h </w:instrText>
      </w:r>
      <w:r>
        <w:fldChar w:fldCharType="separate"/>
      </w:r>
      <w:r>
        <w:rPr>
          <w:noProof/>
        </w:rPr>
        <w:t>1530</w:t>
      </w:r>
      <w:r>
        <w:fldChar w:fldCharType="end"/>
      </w:r>
    </w:p>
    <w:p w14:paraId="59176CE4" w14:textId="77777777" w:rsidR="00450063" w:rsidRDefault="00450063" w:rsidP="00450063"/>
    <w:p w14:paraId="7DB67949" w14:textId="77777777" w:rsidR="00450063" w:rsidRDefault="00450063" w:rsidP="00450063">
      <w:pPr>
        <w:pStyle w:val="EntradandiceSentencia"/>
      </w:pPr>
      <w:r>
        <w:t>Sala Segunda. Sentencia 122/2024, de 21 de octubre de 2024</w:t>
      </w:r>
    </w:p>
    <w:p w14:paraId="4437CF83" w14:textId="2C20B46D" w:rsidR="00450063" w:rsidRDefault="00450063" w:rsidP="00450063">
      <w:pPr>
        <w:pStyle w:val="EntradandiceSentencia"/>
      </w:pPr>
    </w:p>
    <w:p w14:paraId="42B58B3F" w14:textId="71B3BA66" w:rsidR="00450063" w:rsidRDefault="00450063" w:rsidP="00450063">
      <w:pPr>
        <w:pStyle w:val="EntradaSumario"/>
      </w:pPr>
      <w:r w:rsidRPr="00450063">
        <w:rPr>
          <w:rStyle w:val="TextoNormalCaracter"/>
        </w:rPr>
        <w:t xml:space="preserve">Recurso de amparo 3898-2022. </w:t>
      </w:r>
      <w:r w:rsidRPr="00450063">
        <w:rPr>
          <w:rStyle w:val="TextoNormalCursivaCaracter"/>
        </w:rPr>
        <w:t xml:space="preserve"> Vulneración del derecho a la tutela judicial efectiva (motivación) en relación con el derecho a la libertad personal: revocación de la suspensión de la pena de prisión, al no haberse satisfecho la responsabilidad civil, que no cumple las exigencias constitucionales de motivación reforzada (STC 32/2022).</w:t>
      </w:r>
      <w:r>
        <w:tab/>
      </w:r>
      <w:r>
        <w:tab/>
      </w:r>
      <w:r>
        <w:fldChar w:fldCharType="begin"/>
      </w:r>
      <w:r>
        <w:instrText xml:space="preserve"> PAGEREF SENTENCIA_2024_122 \h </w:instrText>
      </w:r>
      <w:r>
        <w:fldChar w:fldCharType="separate"/>
      </w:r>
      <w:r>
        <w:rPr>
          <w:noProof/>
        </w:rPr>
        <w:t>1583</w:t>
      </w:r>
      <w:r>
        <w:fldChar w:fldCharType="end"/>
      </w:r>
    </w:p>
    <w:p w14:paraId="11432DAE" w14:textId="77777777" w:rsidR="00450063" w:rsidRDefault="00450063" w:rsidP="00450063"/>
    <w:p w14:paraId="1CC00D18" w14:textId="77777777" w:rsidR="00450063" w:rsidRDefault="00450063" w:rsidP="00450063">
      <w:pPr>
        <w:pStyle w:val="EntradandiceSentencia"/>
      </w:pPr>
      <w:r>
        <w:t>Sala Primera. Sentencia 123/2024, de 21 de octubre de 2024</w:t>
      </w:r>
    </w:p>
    <w:p w14:paraId="5089066B" w14:textId="33C80DA4" w:rsidR="00450063" w:rsidRDefault="00450063" w:rsidP="00450063">
      <w:pPr>
        <w:pStyle w:val="EntradandiceSentencia"/>
      </w:pPr>
    </w:p>
    <w:p w14:paraId="332C5E7C" w14:textId="5F86340E" w:rsidR="00450063" w:rsidRDefault="00450063" w:rsidP="00450063">
      <w:pPr>
        <w:pStyle w:val="EntradaSumario"/>
      </w:pPr>
      <w:r w:rsidRPr="00450063">
        <w:rPr>
          <w:rStyle w:val="TextoNormalCaracter"/>
        </w:rPr>
        <w:t xml:space="preserve">Recurso de amparo 1573-2023. </w:t>
      </w:r>
      <w:r w:rsidRPr="00450063">
        <w:rPr>
          <w:rStyle w:val="TextoNormalCursivaCaracter"/>
        </w:rPr>
        <w:t xml:space="preserve"> Vulneración del derecho a la tutela judicial sin indefensión: falta de emplazamiento en los sucesivos trámites procesales a quien se tuvo como parte en calidad de acusación particular. Votos particulares.</w:t>
      </w:r>
      <w:r>
        <w:tab/>
      </w:r>
      <w:r>
        <w:tab/>
      </w:r>
      <w:r>
        <w:fldChar w:fldCharType="begin"/>
      </w:r>
      <w:r>
        <w:instrText xml:space="preserve"> PAGEREF SENTENCIA_2024_123 \h </w:instrText>
      </w:r>
      <w:r>
        <w:fldChar w:fldCharType="separate"/>
      </w:r>
      <w:r>
        <w:rPr>
          <w:noProof/>
        </w:rPr>
        <w:t>1609</w:t>
      </w:r>
      <w:r>
        <w:fldChar w:fldCharType="end"/>
      </w:r>
    </w:p>
    <w:p w14:paraId="7303C0D6" w14:textId="77777777" w:rsidR="00450063" w:rsidRDefault="00450063" w:rsidP="00450063"/>
    <w:p w14:paraId="66FF4FE5" w14:textId="77777777" w:rsidR="00450063" w:rsidRDefault="00450063" w:rsidP="00450063">
      <w:pPr>
        <w:pStyle w:val="EntradandiceSentencia"/>
      </w:pPr>
      <w:r>
        <w:lastRenderedPageBreak/>
        <w:t>Sala Segunda. Sentencia 124/2024, de 21 de octubre de 2024</w:t>
      </w:r>
    </w:p>
    <w:p w14:paraId="6FF0CFDC" w14:textId="04630D3B" w:rsidR="00450063" w:rsidRDefault="00450063" w:rsidP="00450063">
      <w:pPr>
        <w:pStyle w:val="EntradandiceSentencia"/>
      </w:pPr>
    </w:p>
    <w:p w14:paraId="5936F9D4" w14:textId="0B18D392" w:rsidR="00450063" w:rsidRDefault="00450063" w:rsidP="00450063">
      <w:pPr>
        <w:pStyle w:val="EntradaSumario"/>
      </w:pPr>
      <w:r w:rsidRPr="00450063">
        <w:rPr>
          <w:rStyle w:val="TextoNormalCaracter"/>
        </w:rPr>
        <w:t xml:space="preserve">Recurso de amparo 2799-2023. </w:t>
      </w:r>
      <w:r w:rsidRPr="00450063">
        <w:rPr>
          <w:rStyle w:val="TextoNormalCursivaCaracter"/>
        </w:rPr>
        <w:t xml:space="preserve"> Vulneración de los derechos a la tutela judicial efectiva, de defensa y a un proceso con todas las garantías: resoluciones judiciales que prescinden materialmente de la garantía de la audiencia. Voto particular.</w:t>
      </w:r>
      <w:r>
        <w:tab/>
      </w:r>
      <w:r>
        <w:tab/>
      </w:r>
      <w:r>
        <w:fldChar w:fldCharType="begin"/>
      </w:r>
      <w:r>
        <w:instrText xml:space="preserve"> PAGEREF SENTENCIA_2024_124 \h </w:instrText>
      </w:r>
      <w:r>
        <w:fldChar w:fldCharType="separate"/>
      </w:r>
      <w:r>
        <w:rPr>
          <w:noProof/>
        </w:rPr>
        <w:t>1629</w:t>
      </w:r>
      <w:r>
        <w:fldChar w:fldCharType="end"/>
      </w:r>
    </w:p>
    <w:p w14:paraId="7590BE3C" w14:textId="77777777" w:rsidR="00450063" w:rsidRDefault="00450063" w:rsidP="00450063"/>
    <w:p w14:paraId="7A7EEE0C" w14:textId="77777777" w:rsidR="00450063" w:rsidRDefault="00450063" w:rsidP="00450063">
      <w:pPr>
        <w:pStyle w:val="EntradandiceSentencia"/>
      </w:pPr>
      <w:r>
        <w:t>Sala Segunda. Sentencia 125/2024, de 21 de octubre de 2024</w:t>
      </w:r>
    </w:p>
    <w:p w14:paraId="2C851401" w14:textId="085D331F" w:rsidR="00450063" w:rsidRDefault="00450063" w:rsidP="00450063">
      <w:pPr>
        <w:pStyle w:val="EntradandiceSentencia"/>
      </w:pPr>
    </w:p>
    <w:p w14:paraId="1C57FC3E" w14:textId="114E98B9" w:rsidR="00450063" w:rsidRDefault="00450063" w:rsidP="00450063">
      <w:pPr>
        <w:pStyle w:val="EntradaSumario"/>
      </w:pPr>
      <w:r w:rsidRPr="00450063">
        <w:rPr>
          <w:rStyle w:val="TextoNormalCaracter"/>
        </w:rPr>
        <w:t xml:space="preserve">Recurso de amparo 5037-2023. </w:t>
      </w:r>
      <w:r w:rsidRPr="00450063">
        <w:rPr>
          <w:rStyle w:val="TextoNormalCursivaCaracter"/>
        </w:rPr>
        <w:t xml:space="preserve"> Alegada vulneración de los derechos a la tutela judicial efectiva, de defensa y a un proceso con todas las garantías: extinción del proceso por desaparición sobrevenida de su objeto.</w:t>
      </w:r>
      <w:r>
        <w:tab/>
      </w:r>
      <w:r>
        <w:tab/>
      </w:r>
      <w:r>
        <w:fldChar w:fldCharType="begin"/>
      </w:r>
      <w:r>
        <w:instrText xml:space="preserve"> PAGEREF SENTENCIA_2024_125 \h </w:instrText>
      </w:r>
      <w:r>
        <w:fldChar w:fldCharType="separate"/>
      </w:r>
      <w:r>
        <w:rPr>
          <w:noProof/>
        </w:rPr>
        <w:t>1646</w:t>
      </w:r>
      <w:r>
        <w:fldChar w:fldCharType="end"/>
      </w:r>
    </w:p>
    <w:p w14:paraId="2817AA9D" w14:textId="77777777" w:rsidR="00450063" w:rsidRDefault="00450063" w:rsidP="00450063"/>
    <w:p w14:paraId="40A47DDA" w14:textId="77777777" w:rsidR="00450063" w:rsidRDefault="00450063" w:rsidP="00450063">
      <w:pPr>
        <w:pStyle w:val="EntradandiceSentencia"/>
      </w:pPr>
      <w:r>
        <w:t>Sala Segunda. Sentencia 126/2024, de 21 de octubre de 2024</w:t>
      </w:r>
    </w:p>
    <w:p w14:paraId="7FA9442B" w14:textId="1BA91557" w:rsidR="00450063" w:rsidRDefault="00450063" w:rsidP="00450063">
      <w:pPr>
        <w:pStyle w:val="EntradandiceSentencia"/>
      </w:pPr>
    </w:p>
    <w:p w14:paraId="47E450CC" w14:textId="7C810E1D" w:rsidR="00450063" w:rsidRDefault="00450063" w:rsidP="00450063">
      <w:pPr>
        <w:pStyle w:val="EntradaSumario"/>
      </w:pPr>
      <w:r w:rsidRPr="00450063">
        <w:rPr>
          <w:rStyle w:val="TextoNormalCaracter"/>
        </w:rPr>
        <w:t xml:space="preserve">Recurso de amparo 885-2024. </w:t>
      </w:r>
      <w:r w:rsidRPr="00450063">
        <w:rPr>
          <w:rStyle w:val="TextoNormalCursivaCaracter"/>
        </w:rPr>
        <w:t xml:space="preserve"> Vulneración del derecho a la tutela judicial efectiva (motivación): resoluciones judiciales que, estando implicado el interés superior del menor, no satisfacen el requisito de motivación reforzada. Voto particular.</w:t>
      </w:r>
      <w:r>
        <w:tab/>
      </w:r>
      <w:r>
        <w:tab/>
      </w:r>
      <w:r>
        <w:fldChar w:fldCharType="begin"/>
      </w:r>
      <w:r>
        <w:instrText xml:space="preserve"> PAGEREF SENTENCIA_2024_126 \h </w:instrText>
      </w:r>
      <w:r>
        <w:fldChar w:fldCharType="separate"/>
      </w:r>
      <w:r>
        <w:rPr>
          <w:noProof/>
        </w:rPr>
        <w:t>1654</w:t>
      </w:r>
      <w:r>
        <w:fldChar w:fldCharType="end"/>
      </w:r>
    </w:p>
    <w:p w14:paraId="0C63FDA7" w14:textId="77777777" w:rsidR="00450063" w:rsidRDefault="00450063" w:rsidP="00450063"/>
    <w:p w14:paraId="14D20642" w14:textId="77777777" w:rsidR="00450063" w:rsidRDefault="00450063" w:rsidP="00450063">
      <w:pPr>
        <w:pStyle w:val="EntradandiceSentencia"/>
      </w:pPr>
      <w:r>
        <w:t>Pleno. Sentencia 127/2024, de 22 de octubre de 2024</w:t>
      </w:r>
    </w:p>
    <w:p w14:paraId="410CF6B5" w14:textId="29614CF4" w:rsidR="00450063" w:rsidRDefault="00450063" w:rsidP="00450063">
      <w:pPr>
        <w:pStyle w:val="EntradandiceSentencia"/>
      </w:pPr>
    </w:p>
    <w:p w14:paraId="21649003" w14:textId="002723DB" w:rsidR="00450063" w:rsidRDefault="00450063" w:rsidP="00450063">
      <w:pPr>
        <w:pStyle w:val="EntradaSumario"/>
      </w:pPr>
      <w:r w:rsidRPr="00450063">
        <w:rPr>
          <w:rStyle w:val="TextoNormalCaracter"/>
        </w:rPr>
        <w:t xml:space="preserve">Recurso de inconstitucionalidad 6305-2021. </w:t>
      </w:r>
      <w:r w:rsidRPr="00450063">
        <w:rPr>
          <w:rStyle w:val="TextoNormalCursivaCaracter"/>
        </w:rPr>
        <w:t xml:space="preserve"> Límites de los decretos-leyes: extinción del proceso constitucional que tenía por objeto la norma autonómica anulada por la STC 121/2024.</w:t>
      </w:r>
      <w:r>
        <w:tab/>
      </w:r>
      <w:r>
        <w:tab/>
      </w:r>
      <w:r>
        <w:fldChar w:fldCharType="begin"/>
      </w:r>
      <w:r>
        <w:instrText xml:space="preserve"> PAGEREF SENTENCIA_2024_127 \h </w:instrText>
      </w:r>
      <w:r>
        <w:fldChar w:fldCharType="separate"/>
      </w:r>
      <w:r>
        <w:rPr>
          <w:noProof/>
        </w:rPr>
        <w:t>1673</w:t>
      </w:r>
      <w:r>
        <w:fldChar w:fldCharType="end"/>
      </w:r>
    </w:p>
    <w:p w14:paraId="641C91B3" w14:textId="77777777" w:rsidR="00450063" w:rsidRDefault="00450063" w:rsidP="00450063"/>
    <w:p w14:paraId="7CD801C3" w14:textId="77777777" w:rsidR="00450063" w:rsidRDefault="00450063" w:rsidP="00450063">
      <w:pPr>
        <w:pStyle w:val="EntradandiceSentencia"/>
      </w:pPr>
      <w:r>
        <w:t>Pleno. Sentencia 128/2024, de 22 de octubre de 2024</w:t>
      </w:r>
    </w:p>
    <w:p w14:paraId="3BE1A52A" w14:textId="5A8A0B15" w:rsidR="00450063" w:rsidRDefault="00450063" w:rsidP="00450063">
      <w:pPr>
        <w:pStyle w:val="EntradandiceSentencia"/>
      </w:pPr>
    </w:p>
    <w:p w14:paraId="3F3F2ED5" w14:textId="5A57946E" w:rsidR="00450063" w:rsidRDefault="00450063" w:rsidP="00450063">
      <w:pPr>
        <w:pStyle w:val="EntradaSumario"/>
      </w:pPr>
      <w:r w:rsidRPr="00450063">
        <w:rPr>
          <w:rStyle w:val="TextoNormalCaracter"/>
        </w:rPr>
        <w:t xml:space="preserve">Recursos de amparo 6392-2021, 6748-2021 (acumulados). </w:t>
      </w:r>
      <w:r w:rsidRPr="00450063">
        <w:rPr>
          <w:rStyle w:val="TextoNormalCursivaCaracter"/>
        </w:rPr>
        <w:t xml:space="preserve"> Vulneración del derecho al juez ordinario predeterminado por la ley: atribución a la jurisdicción militar de la competencia para conocer de una causa por delitos cuya comisión se imputa a investigados civiles (STC 60/1991). Voto particular.</w:t>
      </w:r>
      <w:r>
        <w:tab/>
      </w:r>
      <w:r>
        <w:tab/>
      </w:r>
      <w:r>
        <w:fldChar w:fldCharType="begin"/>
      </w:r>
      <w:r>
        <w:instrText xml:space="preserve"> PAGEREF SENTENCIA_2024_128 \h </w:instrText>
      </w:r>
      <w:r>
        <w:fldChar w:fldCharType="separate"/>
      </w:r>
      <w:r>
        <w:rPr>
          <w:noProof/>
        </w:rPr>
        <w:t>1685</w:t>
      </w:r>
      <w:r>
        <w:fldChar w:fldCharType="end"/>
      </w:r>
    </w:p>
    <w:p w14:paraId="15F351EC" w14:textId="77777777" w:rsidR="00450063" w:rsidRDefault="00450063" w:rsidP="00450063"/>
    <w:p w14:paraId="27C7B214" w14:textId="77777777" w:rsidR="00450063" w:rsidRDefault="00450063" w:rsidP="00450063">
      <w:pPr>
        <w:pStyle w:val="EntradandiceSentencia"/>
      </w:pPr>
      <w:r>
        <w:t>Pleno. Sentencia 129/2024, de 22 de octubre de 2024</w:t>
      </w:r>
    </w:p>
    <w:p w14:paraId="2BE4D2A7" w14:textId="04721621" w:rsidR="00450063" w:rsidRDefault="00450063" w:rsidP="00450063">
      <w:pPr>
        <w:pStyle w:val="EntradandiceSentencia"/>
      </w:pPr>
    </w:p>
    <w:p w14:paraId="4BF9B0CE" w14:textId="51A3E8B7" w:rsidR="00450063" w:rsidRDefault="00450063" w:rsidP="00450063">
      <w:pPr>
        <w:pStyle w:val="EntradaSumario"/>
      </w:pPr>
      <w:r w:rsidRPr="00450063">
        <w:rPr>
          <w:rStyle w:val="TextoNormalCaracter"/>
        </w:rPr>
        <w:t xml:space="preserve">Recurso de amparo 917-2022. </w:t>
      </w:r>
      <w:r w:rsidRPr="00450063">
        <w:rPr>
          <w:rStyle w:val="TextoNormalCursivaCaracter"/>
        </w:rPr>
        <w:t xml:space="preserve"> Supuesta vulneración del derecho al ejercicio del cargo representativo: STC 114/2024 (ejercicio del voto telemático al que no sucede una solicitud o actuación personal tempestiva del propio diputado que acredite su expresa voluntad de optar por el ejercicio presencial de su voto y por la anulación del voto telemático autorizado y emitido). Voto particular.</w:t>
      </w:r>
      <w:r>
        <w:tab/>
      </w:r>
      <w:r>
        <w:tab/>
      </w:r>
      <w:r>
        <w:fldChar w:fldCharType="begin"/>
      </w:r>
      <w:r>
        <w:instrText xml:space="preserve"> PAGEREF SENTENCIA_2024_129 \h </w:instrText>
      </w:r>
      <w:r>
        <w:fldChar w:fldCharType="separate"/>
      </w:r>
      <w:r>
        <w:rPr>
          <w:noProof/>
        </w:rPr>
        <w:t>1710</w:t>
      </w:r>
      <w:r>
        <w:fldChar w:fldCharType="end"/>
      </w:r>
    </w:p>
    <w:p w14:paraId="10996569" w14:textId="77777777" w:rsidR="00450063" w:rsidRDefault="00450063" w:rsidP="00450063"/>
    <w:p w14:paraId="08158310" w14:textId="77777777" w:rsidR="00450063" w:rsidRDefault="00450063" w:rsidP="00450063">
      <w:pPr>
        <w:pStyle w:val="EntradandiceSentencia"/>
      </w:pPr>
      <w:r>
        <w:t>Pleno. Sentencia 130/2024, de 22 de octubre de 2024</w:t>
      </w:r>
    </w:p>
    <w:p w14:paraId="055E7D2C" w14:textId="14F4A2C8" w:rsidR="00450063" w:rsidRDefault="00450063" w:rsidP="00450063">
      <w:pPr>
        <w:pStyle w:val="EntradandiceSentencia"/>
      </w:pPr>
    </w:p>
    <w:p w14:paraId="585C0053" w14:textId="26BBB59A" w:rsidR="00450063" w:rsidRDefault="00450063" w:rsidP="00450063">
      <w:pPr>
        <w:pStyle w:val="EntradaSumario"/>
      </w:pPr>
      <w:r w:rsidRPr="00450063">
        <w:rPr>
          <w:rStyle w:val="TextoNormalCaracter"/>
        </w:rPr>
        <w:t xml:space="preserve">Recurso de inconstitucionalidad 8118-2022. </w:t>
      </w:r>
      <w:r w:rsidRPr="00450063">
        <w:rPr>
          <w:rStyle w:val="TextoNormalCursivaCaracter"/>
        </w:rPr>
        <w:t xml:space="preserve"> Competencias sobre condiciones básicas de igualdad en el ejercicio del derecho de propiedad, legislación procesal y bases de las obligaciones contractuales: extinción del proceso constitucional que tenía por objeto una norma autonómica anulada por la STC 120/2024.</w:t>
      </w:r>
      <w:r>
        <w:tab/>
      </w:r>
      <w:r>
        <w:tab/>
      </w:r>
      <w:r>
        <w:fldChar w:fldCharType="begin"/>
      </w:r>
      <w:r>
        <w:instrText xml:space="preserve"> PAGEREF SENTENCIA_2024_130 \h </w:instrText>
      </w:r>
      <w:r>
        <w:fldChar w:fldCharType="separate"/>
      </w:r>
      <w:r>
        <w:rPr>
          <w:noProof/>
        </w:rPr>
        <w:t>1733</w:t>
      </w:r>
      <w:r>
        <w:fldChar w:fldCharType="end"/>
      </w:r>
    </w:p>
    <w:p w14:paraId="08F486BA" w14:textId="77777777" w:rsidR="00450063" w:rsidRDefault="00450063" w:rsidP="00450063"/>
    <w:p w14:paraId="4101EDC4" w14:textId="77777777" w:rsidR="00450063" w:rsidRDefault="00450063" w:rsidP="00450063">
      <w:pPr>
        <w:pStyle w:val="EntradandiceSentencia"/>
      </w:pPr>
      <w:r>
        <w:t>Pleno. Sentencia 131/2024, de 23 de octubre de 2024</w:t>
      </w:r>
    </w:p>
    <w:p w14:paraId="56B312A5" w14:textId="2EDF2101" w:rsidR="00450063" w:rsidRDefault="00450063" w:rsidP="00450063">
      <w:pPr>
        <w:pStyle w:val="EntradandiceSentencia"/>
      </w:pPr>
    </w:p>
    <w:p w14:paraId="4AE6BB22" w14:textId="521B0CB6" w:rsidR="00450063" w:rsidRDefault="00450063" w:rsidP="00450063">
      <w:pPr>
        <w:pStyle w:val="EntradaSumario"/>
      </w:pPr>
      <w:r w:rsidRPr="00450063">
        <w:rPr>
          <w:rStyle w:val="TextoNormalCaracter"/>
        </w:rPr>
        <w:t xml:space="preserve">Cuestión de inconstitucionalidad 2714-2024. </w:t>
      </w:r>
      <w:r w:rsidRPr="00450063">
        <w:rPr>
          <w:rStyle w:val="TextoNormalCursivaCaracter"/>
        </w:rPr>
        <w:t xml:space="preserve"> Principio de igualdad retributiva en el ámbito de la función pública: nulidad parcial del precepto legal que establece diferencias retributivas entre los letrados coordinadores del gabinete técnico del Tribunal Supremo en función de su cuerpo de procedencia.</w:t>
      </w:r>
      <w:r>
        <w:tab/>
      </w:r>
      <w:r>
        <w:tab/>
      </w:r>
      <w:r>
        <w:fldChar w:fldCharType="begin"/>
      </w:r>
      <w:r>
        <w:instrText xml:space="preserve"> PAGEREF SENTENCIA_2024_131 \h </w:instrText>
      </w:r>
      <w:r>
        <w:fldChar w:fldCharType="separate"/>
      </w:r>
      <w:r>
        <w:rPr>
          <w:noProof/>
        </w:rPr>
        <w:t>1745</w:t>
      </w:r>
      <w:r>
        <w:fldChar w:fldCharType="end"/>
      </w:r>
    </w:p>
    <w:p w14:paraId="467E6C97" w14:textId="77777777" w:rsidR="00450063" w:rsidRDefault="00450063" w:rsidP="00450063"/>
    <w:p w14:paraId="69BA2E6B" w14:textId="77777777" w:rsidR="00450063" w:rsidRDefault="00450063" w:rsidP="00450063">
      <w:pPr>
        <w:pStyle w:val="EntradandiceSentencia"/>
      </w:pPr>
      <w:r>
        <w:t>Sala Segunda. Sentencia 132/2024, de 4 de noviembre de 2024</w:t>
      </w:r>
    </w:p>
    <w:p w14:paraId="15F6312E" w14:textId="20C9687C" w:rsidR="00450063" w:rsidRDefault="00450063" w:rsidP="00450063">
      <w:pPr>
        <w:pStyle w:val="EntradandiceSentencia"/>
      </w:pPr>
    </w:p>
    <w:p w14:paraId="06516254" w14:textId="53BE91E9" w:rsidR="00450063" w:rsidRDefault="00450063" w:rsidP="00450063">
      <w:pPr>
        <w:pStyle w:val="EntradaSumario"/>
      </w:pPr>
      <w:r w:rsidRPr="00450063">
        <w:rPr>
          <w:rStyle w:val="TextoNormalCaracter"/>
        </w:rPr>
        <w:t xml:space="preserve">Recurso de amparo 1128-2022. </w:t>
      </w:r>
      <w:r w:rsidRPr="00450063">
        <w:rPr>
          <w:rStyle w:val="TextoNormalCursivaCaracter"/>
        </w:rPr>
        <w:t xml:space="preserve"> Vulneración de los derechos a la no discriminación por razón de género y de asociación: ingreso de mujeres en una cofradía que ostenta una posición de dominio en la realización de los actos devocionales. Votos particulares.</w:t>
      </w:r>
      <w:r>
        <w:tab/>
      </w:r>
      <w:r>
        <w:tab/>
      </w:r>
      <w:r>
        <w:fldChar w:fldCharType="begin"/>
      </w:r>
      <w:r>
        <w:instrText xml:space="preserve"> PAGEREF SENTENCIA_2024_132 \h </w:instrText>
      </w:r>
      <w:r>
        <w:fldChar w:fldCharType="separate"/>
      </w:r>
      <w:r>
        <w:rPr>
          <w:noProof/>
        </w:rPr>
        <w:t>1758</w:t>
      </w:r>
      <w:r>
        <w:fldChar w:fldCharType="end"/>
      </w:r>
    </w:p>
    <w:p w14:paraId="41BB0094" w14:textId="77777777" w:rsidR="00450063" w:rsidRDefault="00450063" w:rsidP="00450063"/>
    <w:p w14:paraId="1DF307FF" w14:textId="77777777" w:rsidR="00450063" w:rsidRDefault="00450063" w:rsidP="00450063">
      <w:pPr>
        <w:pStyle w:val="EntradandiceSentencia"/>
      </w:pPr>
      <w:r>
        <w:t>Sala Segunda. Sentencia 133/2024, de 4 de noviembre de 2024</w:t>
      </w:r>
    </w:p>
    <w:p w14:paraId="4DC88C8E" w14:textId="21C50239" w:rsidR="00450063" w:rsidRDefault="00450063" w:rsidP="00450063">
      <w:pPr>
        <w:pStyle w:val="EntradandiceSentencia"/>
      </w:pPr>
    </w:p>
    <w:p w14:paraId="517D58ED" w14:textId="36D64A56" w:rsidR="00450063" w:rsidRDefault="00450063" w:rsidP="00450063">
      <w:pPr>
        <w:pStyle w:val="EntradaSumario"/>
      </w:pPr>
      <w:r w:rsidRPr="00450063">
        <w:rPr>
          <w:rStyle w:val="TextoNormalCaracter"/>
        </w:rPr>
        <w:t xml:space="preserve">Recurso de amparo 529-2023. </w:t>
      </w:r>
      <w:r w:rsidRPr="00450063">
        <w:rPr>
          <w:rStyle w:val="TextoNormalCursivaCaracter"/>
        </w:rPr>
        <w:t xml:space="preserve"> Supuesta vulneración de los derechos a la tutela judicial efectiva (motivación) y a la defensa: resolución judicial absolutoria que expresa las razones fundadas en Derecho que sustentan la decisión adoptada y que no ignora el principio de primacía del Derecho de la Unión Europea.</w:t>
      </w:r>
      <w:r>
        <w:tab/>
      </w:r>
      <w:r>
        <w:tab/>
      </w:r>
      <w:r>
        <w:fldChar w:fldCharType="begin"/>
      </w:r>
      <w:r>
        <w:instrText xml:space="preserve"> PAGEREF SENTENCIA_2024_133 \h </w:instrText>
      </w:r>
      <w:r>
        <w:fldChar w:fldCharType="separate"/>
      </w:r>
      <w:r>
        <w:rPr>
          <w:noProof/>
        </w:rPr>
        <w:t>1797</w:t>
      </w:r>
      <w:r>
        <w:fldChar w:fldCharType="end"/>
      </w:r>
    </w:p>
    <w:p w14:paraId="3F603B96" w14:textId="77777777" w:rsidR="00450063" w:rsidRDefault="00450063" w:rsidP="00450063"/>
    <w:p w14:paraId="04CBD560" w14:textId="77777777" w:rsidR="00450063" w:rsidRDefault="00450063" w:rsidP="00450063">
      <w:pPr>
        <w:pStyle w:val="EntradandiceSentencia"/>
      </w:pPr>
      <w:r>
        <w:t>Sala Segunda. Sentencia 134/2024, de 4 de noviembre de 2024</w:t>
      </w:r>
    </w:p>
    <w:p w14:paraId="33AA7958" w14:textId="2DFE0328" w:rsidR="00450063" w:rsidRDefault="00450063" w:rsidP="00450063">
      <w:pPr>
        <w:pStyle w:val="EntradandiceSentencia"/>
      </w:pPr>
    </w:p>
    <w:p w14:paraId="1F7E0738" w14:textId="3C2093E8" w:rsidR="00450063" w:rsidRDefault="00450063" w:rsidP="00450063">
      <w:pPr>
        <w:pStyle w:val="EntradaSumario"/>
      </w:pPr>
      <w:r w:rsidRPr="00450063">
        <w:rPr>
          <w:rStyle w:val="TextoNormalCaracter"/>
        </w:rPr>
        <w:t xml:space="preserve">Recurso de amparo 634-2023. </w:t>
      </w:r>
      <w:r w:rsidRPr="00450063">
        <w:rPr>
          <w:rStyle w:val="TextoNormalCursivaCaracter"/>
        </w:rPr>
        <w:t xml:space="preserve"> Supuesta vulneración del derecho a la tutela judicial efectiva (motivación): resolución judicial absolutoria que expresa las razones fundadas en Derecho que sustentan la decisión adoptada.</w:t>
      </w:r>
      <w:r>
        <w:tab/>
      </w:r>
      <w:r>
        <w:tab/>
      </w:r>
      <w:r>
        <w:fldChar w:fldCharType="begin"/>
      </w:r>
      <w:r>
        <w:instrText xml:space="preserve"> PAGEREF SENTENCIA_2024_134 \h </w:instrText>
      </w:r>
      <w:r>
        <w:fldChar w:fldCharType="separate"/>
      </w:r>
      <w:r>
        <w:rPr>
          <w:noProof/>
        </w:rPr>
        <w:t>1816</w:t>
      </w:r>
      <w:r>
        <w:fldChar w:fldCharType="end"/>
      </w:r>
    </w:p>
    <w:p w14:paraId="2F77CF13" w14:textId="77777777" w:rsidR="00450063" w:rsidRDefault="00450063" w:rsidP="00450063"/>
    <w:p w14:paraId="343B0520" w14:textId="77777777" w:rsidR="00450063" w:rsidRDefault="00450063" w:rsidP="00450063">
      <w:pPr>
        <w:pStyle w:val="EntradandiceSentencia"/>
      </w:pPr>
      <w:r>
        <w:lastRenderedPageBreak/>
        <w:t>Sala Primera. Sentencia 135/2024, de 4 de noviembre de 2024</w:t>
      </w:r>
    </w:p>
    <w:p w14:paraId="68496F99" w14:textId="644B34F2" w:rsidR="00450063" w:rsidRDefault="00450063" w:rsidP="00450063">
      <w:pPr>
        <w:pStyle w:val="EntradandiceSentencia"/>
      </w:pPr>
    </w:p>
    <w:p w14:paraId="5D1B3FDE" w14:textId="7D67B6DC" w:rsidR="00450063" w:rsidRDefault="00450063" w:rsidP="00450063">
      <w:pPr>
        <w:pStyle w:val="EntradaSumario"/>
      </w:pPr>
      <w:r w:rsidRPr="00450063">
        <w:rPr>
          <w:rStyle w:val="TextoNormalCaracter"/>
        </w:rPr>
        <w:t xml:space="preserve">Recurso de amparo 2833-2023. </w:t>
      </w:r>
      <w:r w:rsidRPr="00450063">
        <w:rPr>
          <w:rStyle w:val="TextoNormalCursivaCaracter"/>
        </w:rPr>
        <w:t xml:space="preserve"> Vulneración del derecho a un proceso sin dilaciones indebidas: señalamiento de vista con una demora de más de tres años debida a causas estructurales (STC 31/2023).</w:t>
      </w:r>
      <w:r>
        <w:tab/>
      </w:r>
      <w:r>
        <w:tab/>
      </w:r>
      <w:r>
        <w:fldChar w:fldCharType="begin"/>
      </w:r>
      <w:r>
        <w:instrText xml:space="preserve"> PAGEREF SENTENCIA_2024_135 \h </w:instrText>
      </w:r>
      <w:r>
        <w:fldChar w:fldCharType="separate"/>
      </w:r>
      <w:r>
        <w:rPr>
          <w:noProof/>
        </w:rPr>
        <w:t>1832</w:t>
      </w:r>
      <w:r>
        <w:fldChar w:fldCharType="end"/>
      </w:r>
    </w:p>
    <w:p w14:paraId="78338288" w14:textId="77777777" w:rsidR="00450063" w:rsidRDefault="00450063" w:rsidP="00450063"/>
    <w:p w14:paraId="1237582E" w14:textId="77777777" w:rsidR="00450063" w:rsidRDefault="00450063" w:rsidP="00450063">
      <w:pPr>
        <w:pStyle w:val="EntradandiceSentencia"/>
      </w:pPr>
      <w:r>
        <w:t>Pleno. Sentencia 136/2024, de 5 de noviembre de 2024</w:t>
      </w:r>
    </w:p>
    <w:p w14:paraId="20EE53C9" w14:textId="7211069B" w:rsidR="00450063" w:rsidRDefault="00450063" w:rsidP="00450063">
      <w:pPr>
        <w:pStyle w:val="EntradandiceSentencia"/>
      </w:pPr>
    </w:p>
    <w:p w14:paraId="42D24069" w14:textId="1E46E80C" w:rsidR="00450063" w:rsidRDefault="00450063" w:rsidP="00450063">
      <w:pPr>
        <w:pStyle w:val="EntradaSumario"/>
      </w:pPr>
      <w:r w:rsidRPr="00450063">
        <w:rPr>
          <w:rStyle w:val="TextoNormalCaracter"/>
        </w:rPr>
        <w:t xml:space="preserve">Recurso de inconstitucionalidad 2901-2021. </w:t>
      </w:r>
      <w:r w:rsidRPr="00450063">
        <w:rPr>
          <w:rStyle w:val="TextoNormalCursivaCaracter"/>
        </w:rPr>
        <w:t xml:space="preserve"> Reserva de ley orgánica y competencias en materia de salud: nulidad de los preceptos legales autonómicos que habilitan a los órganos autonómicos la adopción de medidas preventivas y tipifican infracciones en materia de salud pública. Voto particular.</w:t>
      </w:r>
      <w:r>
        <w:tab/>
      </w:r>
      <w:r>
        <w:tab/>
      </w:r>
      <w:r>
        <w:fldChar w:fldCharType="begin"/>
      </w:r>
      <w:r>
        <w:instrText xml:space="preserve"> PAGEREF SENTENCIA_2024_136 \h </w:instrText>
      </w:r>
      <w:r>
        <w:fldChar w:fldCharType="separate"/>
      </w:r>
      <w:r>
        <w:rPr>
          <w:noProof/>
        </w:rPr>
        <w:t>1844</w:t>
      </w:r>
      <w:r>
        <w:fldChar w:fldCharType="end"/>
      </w:r>
    </w:p>
    <w:p w14:paraId="7305C067" w14:textId="77777777" w:rsidR="00450063" w:rsidRDefault="00450063" w:rsidP="00450063"/>
    <w:p w14:paraId="554C28FC" w14:textId="77777777" w:rsidR="00450063" w:rsidRDefault="00450063" w:rsidP="00450063">
      <w:pPr>
        <w:pStyle w:val="EntradandiceSentencia"/>
      </w:pPr>
      <w:r>
        <w:t>Pleno. Sentencia 137/2024, de 6 de noviembre de 2024</w:t>
      </w:r>
    </w:p>
    <w:p w14:paraId="7B917C18" w14:textId="17528F32" w:rsidR="00450063" w:rsidRDefault="00450063" w:rsidP="00450063">
      <w:pPr>
        <w:pStyle w:val="EntradandiceSentencia"/>
      </w:pPr>
    </w:p>
    <w:p w14:paraId="2D2CFFFE" w14:textId="5141603E" w:rsidR="00450063" w:rsidRDefault="00450063" w:rsidP="00450063">
      <w:pPr>
        <w:pStyle w:val="EntradaSumario"/>
      </w:pPr>
      <w:r w:rsidRPr="00450063">
        <w:rPr>
          <w:rStyle w:val="TextoNormalCaracter"/>
        </w:rPr>
        <w:t xml:space="preserve">Recurso de amparo 1303-2022. </w:t>
      </w:r>
      <w:r w:rsidRPr="00450063">
        <w:rPr>
          <w:rStyle w:val="TextoNormalCursivaCaracter"/>
        </w:rPr>
        <w:t xml:space="preserve"> Supuesta vulneración del derecho al ejercicio del cargo representativo: STC 114/2024 (ejercicio del voto telemático al que no sucede una solicitud o actuación personal tempestiva del propio diputado que acredite su expresa voluntad de optar por el ejercicio presencial de su voto y por la anulación del voto telemático autorizado y emitido). Voto particular.</w:t>
      </w:r>
      <w:r>
        <w:tab/>
      </w:r>
      <w:r>
        <w:tab/>
      </w:r>
      <w:r>
        <w:fldChar w:fldCharType="begin"/>
      </w:r>
      <w:r>
        <w:instrText xml:space="preserve"> PAGEREF SENTENCIA_2024_137 \h </w:instrText>
      </w:r>
      <w:r>
        <w:fldChar w:fldCharType="separate"/>
      </w:r>
      <w:r>
        <w:rPr>
          <w:noProof/>
        </w:rPr>
        <w:t>1893</w:t>
      </w:r>
      <w:r>
        <w:fldChar w:fldCharType="end"/>
      </w:r>
    </w:p>
    <w:p w14:paraId="21744B31" w14:textId="77777777" w:rsidR="00450063" w:rsidRDefault="00450063" w:rsidP="00450063"/>
    <w:p w14:paraId="2582F4F2" w14:textId="77777777" w:rsidR="00450063" w:rsidRDefault="00450063" w:rsidP="00450063">
      <w:pPr>
        <w:pStyle w:val="EntradandiceSentencia"/>
      </w:pPr>
      <w:r>
        <w:t>Pleno. Sentencia 138/2024, de 6 de noviembre de 2024</w:t>
      </w:r>
    </w:p>
    <w:p w14:paraId="7A7C6155" w14:textId="10AF05EC" w:rsidR="00450063" w:rsidRDefault="00450063" w:rsidP="00450063">
      <w:pPr>
        <w:pStyle w:val="EntradandiceSentencia"/>
      </w:pPr>
    </w:p>
    <w:p w14:paraId="5405092E" w14:textId="6F5E2B2A" w:rsidR="00450063" w:rsidRDefault="00450063" w:rsidP="00450063">
      <w:pPr>
        <w:pStyle w:val="EntradaSumario"/>
      </w:pPr>
      <w:r w:rsidRPr="00450063">
        <w:rPr>
          <w:rStyle w:val="TextoNormalCaracter"/>
        </w:rPr>
        <w:t xml:space="preserve">Recurso de amparo 3616-2022. </w:t>
      </w:r>
      <w:r w:rsidRPr="00450063">
        <w:rPr>
          <w:rStyle w:val="TextoNormalCursivaCaracter"/>
        </w:rPr>
        <w:t xml:space="preserve"> Supuesta vulneración del derecho al ejercicio del cargo representativo: STC 114/2024 (ejercicio del voto telemático al que no sucede una solicitud o actuación personal tempestiva del propio diputado que acredite su expresa voluntad de optar por el ejercicio presencial de su voto y por la anulación del voto telemático autorizado y emitido). Voto particular.</w:t>
      </w:r>
      <w:r>
        <w:tab/>
      </w:r>
      <w:r>
        <w:tab/>
      </w:r>
      <w:r>
        <w:fldChar w:fldCharType="begin"/>
      </w:r>
      <w:r>
        <w:instrText xml:space="preserve"> PAGEREF SENTENCIA_2024_138 \h </w:instrText>
      </w:r>
      <w:r>
        <w:fldChar w:fldCharType="separate"/>
      </w:r>
      <w:r>
        <w:rPr>
          <w:noProof/>
        </w:rPr>
        <w:t>1922</w:t>
      </w:r>
      <w:r>
        <w:fldChar w:fldCharType="end"/>
      </w:r>
    </w:p>
    <w:p w14:paraId="3E275B6F" w14:textId="77777777" w:rsidR="00450063" w:rsidRDefault="00450063" w:rsidP="00450063"/>
    <w:p w14:paraId="4C5EDE50" w14:textId="77777777" w:rsidR="00450063" w:rsidRDefault="00450063" w:rsidP="00450063">
      <w:pPr>
        <w:pStyle w:val="EntradandiceSentencia"/>
      </w:pPr>
      <w:r>
        <w:t>Pleno. Sentencia 139/2024, de 6 de noviembre de 2024</w:t>
      </w:r>
    </w:p>
    <w:p w14:paraId="6C0CD720" w14:textId="43A5D811" w:rsidR="00450063" w:rsidRDefault="00450063" w:rsidP="00450063">
      <w:pPr>
        <w:pStyle w:val="EntradandiceSentencia"/>
      </w:pPr>
    </w:p>
    <w:p w14:paraId="6221694F" w14:textId="59256BB8" w:rsidR="00450063" w:rsidRDefault="00450063" w:rsidP="00450063">
      <w:pPr>
        <w:pStyle w:val="EntradaSumario"/>
      </w:pPr>
      <w:r w:rsidRPr="00450063">
        <w:rPr>
          <w:rStyle w:val="TextoNormalCaracter"/>
        </w:rPr>
        <w:t xml:space="preserve">Recurso de inconstitucionalidad 6914-2022. </w:t>
      </w:r>
      <w:r w:rsidRPr="00450063">
        <w:rPr>
          <w:rStyle w:val="TextoNormalCursivaCaracter"/>
        </w:rPr>
        <w:t xml:space="preserve"> Principio de interdicción de la arbitrariedad de los poderes públicos, primacía del Derecho de la Unión Europea y derecho a la participación en los asuntos públicos, régimen jurídico del Tribunal Constitucional: constitucionalidad de los preceptos legales que limitan las competencias a ejercer por el Consejo General del Poder Judicial en prórroga de funciones tras expirar su mandato. Votos particulares.</w:t>
      </w:r>
      <w:r>
        <w:tab/>
      </w:r>
      <w:r>
        <w:tab/>
      </w:r>
      <w:r>
        <w:fldChar w:fldCharType="begin"/>
      </w:r>
      <w:r>
        <w:instrText xml:space="preserve"> PAGEREF SENTENCIA_2024_139 \h </w:instrText>
      </w:r>
      <w:r>
        <w:fldChar w:fldCharType="separate"/>
      </w:r>
      <w:r>
        <w:rPr>
          <w:noProof/>
        </w:rPr>
        <w:t>1942</w:t>
      </w:r>
      <w:r>
        <w:fldChar w:fldCharType="end"/>
      </w:r>
    </w:p>
    <w:p w14:paraId="52C0D726" w14:textId="77777777" w:rsidR="00450063" w:rsidRDefault="00450063" w:rsidP="00450063"/>
    <w:p w14:paraId="6F4EBB05" w14:textId="77777777" w:rsidR="00450063" w:rsidRDefault="00450063" w:rsidP="00450063">
      <w:pPr>
        <w:pStyle w:val="EntradandiceSentencia"/>
      </w:pPr>
      <w:r>
        <w:lastRenderedPageBreak/>
        <w:t>Pleno. Sentencia 140/2024, de 6 de noviembre de 2024</w:t>
      </w:r>
    </w:p>
    <w:p w14:paraId="31C0982A" w14:textId="449A5229" w:rsidR="00450063" w:rsidRDefault="00450063" w:rsidP="00450063">
      <w:pPr>
        <w:pStyle w:val="EntradandiceSentencia"/>
      </w:pPr>
    </w:p>
    <w:p w14:paraId="7936498B" w14:textId="6FC7C181" w:rsidR="00450063" w:rsidRDefault="00450063" w:rsidP="00450063">
      <w:pPr>
        <w:pStyle w:val="EntradaSumario"/>
      </w:pPr>
      <w:r w:rsidRPr="00450063">
        <w:rPr>
          <w:rStyle w:val="TextoNormalCaracter"/>
        </w:rPr>
        <w:t xml:space="preserve">Cuestión de inconstitucionalidad 6694-2023. </w:t>
      </w:r>
      <w:r w:rsidRPr="00450063">
        <w:rPr>
          <w:rStyle w:val="TextoNormalCursivaCaracter"/>
        </w:rPr>
        <w:t xml:space="preserve"> Principios de igualdad y no discriminación por razón de sexo y de protección de la familia y de los hijos; régimen de Seguridad Social: inconstitucionalidad de la regulación legal de los permisos por nacimiento y cuidado de menor que omite la posibilidad de que las madres biológicas de familias monoparentales, trabajadoras por cuenta ajena, puedan ampliar su permiso por nacimiento disfrutando del permiso que correspondería al otro progenitor, caso de existir. Votos particulares.</w:t>
      </w:r>
      <w:r>
        <w:tab/>
      </w:r>
      <w:r>
        <w:tab/>
      </w:r>
      <w:r>
        <w:fldChar w:fldCharType="begin"/>
      </w:r>
      <w:r>
        <w:instrText xml:space="preserve"> PAGEREF SENTENCIA_2024_140 \h </w:instrText>
      </w:r>
      <w:r>
        <w:fldChar w:fldCharType="separate"/>
      </w:r>
      <w:r>
        <w:rPr>
          <w:noProof/>
        </w:rPr>
        <w:t>1984</w:t>
      </w:r>
      <w:r>
        <w:fldChar w:fldCharType="end"/>
      </w:r>
    </w:p>
    <w:p w14:paraId="5B8DE9FF" w14:textId="77777777" w:rsidR="00450063" w:rsidRDefault="00450063" w:rsidP="00450063"/>
    <w:p w14:paraId="0F80A42C" w14:textId="77777777" w:rsidR="00450063" w:rsidRDefault="00450063" w:rsidP="00450063">
      <w:pPr>
        <w:pStyle w:val="EntradandiceSentencia"/>
      </w:pPr>
      <w:r>
        <w:t>Pleno. Sentencia 141/2024, de 19 de noviembre de 2024</w:t>
      </w:r>
    </w:p>
    <w:p w14:paraId="0C354F10" w14:textId="7426CC83" w:rsidR="00450063" w:rsidRDefault="00450063" w:rsidP="00450063">
      <w:pPr>
        <w:pStyle w:val="EntradandiceSentencia"/>
      </w:pPr>
    </w:p>
    <w:p w14:paraId="6418866F" w14:textId="7F9D1DE3" w:rsidR="00450063" w:rsidRDefault="00450063" w:rsidP="00450063">
      <w:pPr>
        <w:pStyle w:val="EntradaSumario"/>
      </w:pPr>
      <w:r w:rsidRPr="00450063">
        <w:rPr>
          <w:rStyle w:val="TextoNormalCaracter"/>
        </w:rPr>
        <w:t xml:space="preserve">Recurso de inconstitucionalidad 5403-2021. </w:t>
      </w:r>
      <w:r w:rsidRPr="00450063">
        <w:rPr>
          <w:rStyle w:val="TextoNormalCursivaCaracter"/>
        </w:rPr>
        <w:t xml:space="preserve"> Límites materiales de los decretos-leyes autonómicos: nulidad de los preceptos que habilitan a los órganos autonómicos la adopción de medidas preventivas y tipifican infracciones en materia de salud pública (STC 136/2024).</w:t>
      </w:r>
      <w:r>
        <w:tab/>
      </w:r>
      <w:r>
        <w:tab/>
      </w:r>
      <w:r>
        <w:fldChar w:fldCharType="begin"/>
      </w:r>
      <w:r>
        <w:instrText xml:space="preserve"> PAGEREF SENTENCIA_2024_141 \h </w:instrText>
      </w:r>
      <w:r>
        <w:fldChar w:fldCharType="separate"/>
      </w:r>
      <w:r>
        <w:rPr>
          <w:noProof/>
        </w:rPr>
        <w:t>2030</w:t>
      </w:r>
      <w:r>
        <w:fldChar w:fldCharType="end"/>
      </w:r>
    </w:p>
    <w:p w14:paraId="62A1656B" w14:textId="77777777" w:rsidR="00450063" w:rsidRDefault="00450063" w:rsidP="00450063"/>
    <w:p w14:paraId="179F5DAC" w14:textId="77777777" w:rsidR="00450063" w:rsidRDefault="00450063" w:rsidP="00450063">
      <w:pPr>
        <w:pStyle w:val="EntradandiceSentencia"/>
      </w:pPr>
      <w:r>
        <w:t>Pleno. Sentencia 142/2024, de 20 de noviembre de 2024</w:t>
      </w:r>
    </w:p>
    <w:p w14:paraId="7E3CD22E" w14:textId="7E582C10" w:rsidR="00450063" w:rsidRDefault="00450063" w:rsidP="00450063">
      <w:pPr>
        <w:pStyle w:val="EntradandiceSentencia"/>
      </w:pPr>
    </w:p>
    <w:p w14:paraId="2F3E74C4" w14:textId="47F6DDB2" w:rsidR="00450063" w:rsidRDefault="00450063" w:rsidP="00450063">
      <w:pPr>
        <w:pStyle w:val="EntradaSumario"/>
      </w:pPr>
      <w:r w:rsidRPr="00450063">
        <w:rPr>
          <w:rStyle w:val="TextoNormalCaracter"/>
        </w:rPr>
        <w:t xml:space="preserve">Recurso de inconstitucionalidad 8583-2022. </w:t>
      </w:r>
      <w:r w:rsidRPr="00450063">
        <w:rPr>
          <w:rStyle w:val="TextoNormalCursivaCaracter"/>
        </w:rPr>
        <w:t xml:space="preserve"> Competencia sobre legislación de protección ambiental, principios de seguridad jurídica, interdicción de la arbitrariedad y legalidad sancionadora; derecho al medio ambiente: constitucionalidad de la ley estatal que atribuye personalidad jurídica a la laguna costera del Mar Menor y su cuenca. Voto particular.</w:t>
      </w:r>
      <w:r>
        <w:tab/>
      </w:r>
      <w:r>
        <w:tab/>
      </w:r>
      <w:r>
        <w:fldChar w:fldCharType="begin"/>
      </w:r>
      <w:r>
        <w:instrText xml:space="preserve"> PAGEREF SENTENCIA_2024_142 \h </w:instrText>
      </w:r>
      <w:r>
        <w:fldChar w:fldCharType="separate"/>
      </w:r>
      <w:r>
        <w:rPr>
          <w:noProof/>
        </w:rPr>
        <w:t>2058</w:t>
      </w:r>
      <w:r>
        <w:fldChar w:fldCharType="end"/>
      </w:r>
    </w:p>
    <w:p w14:paraId="78DE424C" w14:textId="77777777" w:rsidR="00450063" w:rsidRDefault="00450063" w:rsidP="00450063"/>
    <w:p w14:paraId="3E92CE59" w14:textId="77777777" w:rsidR="00450063" w:rsidRDefault="00450063" w:rsidP="00450063">
      <w:pPr>
        <w:pStyle w:val="EntradandiceSentencia"/>
      </w:pPr>
      <w:r>
        <w:t>Pleno. Sentencia 143/2024, de 20 de noviembre de 2024</w:t>
      </w:r>
    </w:p>
    <w:p w14:paraId="0812F288" w14:textId="59EEF0A5" w:rsidR="00450063" w:rsidRDefault="00450063" w:rsidP="00450063">
      <w:pPr>
        <w:pStyle w:val="EntradandiceSentencia"/>
      </w:pPr>
    </w:p>
    <w:p w14:paraId="06823C03" w14:textId="7AF1FE51" w:rsidR="00450063" w:rsidRDefault="00450063" w:rsidP="00450063">
      <w:pPr>
        <w:pStyle w:val="EntradaSumario"/>
      </w:pPr>
      <w:r w:rsidRPr="00450063">
        <w:rPr>
          <w:rStyle w:val="TextoNormalCaracter"/>
        </w:rPr>
        <w:t xml:space="preserve">Impugnación de disposiciones autonómicas 2159-2024. </w:t>
      </w:r>
      <w:r w:rsidRPr="00450063">
        <w:rPr>
          <w:rStyle w:val="TextoNormalCursivaCaracter"/>
        </w:rPr>
        <w:t xml:space="preserve"> Reforma constitucional e iniciativa legislativa popular: incumplimiento por la mesa del Parlamento de Cataluña del deber de inadmisión de una iniciativa legislativa popular cuyo contenido no puede tener cabida a través de una iniciativa legislativa autonómica. Voto particular.</w:t>
      </w:r>
      <w:r>
        <w:tab/>
      </w:r>
      <w:r>
        <w:tab/>
      </w:r>
      <w:r>
        <w:fldChar w:fldCharType="begin"/>
      </w:r>
      <w:r>
        <w:instrText xml:space="preserve"> PAGEREF SENTENCIA_2024_143 \h </w:instrText>
      </w:r>
      <w:r>
        <w:fldChar w:fldCharType="separate"/>
      </w:r>
      <w:r>
        <w:rPr>
          <w:noProof/>
        </w:rPr>
        <w:t>2096</w:t>
      </w:r>
      <w:r>
        <w:fldChar w:fldCharType="end"/>
      </w:r>
    </w:p>
    <w:p w14:paraId="4E4CE749" w14:textId="77777777" w:rsidR="00450063" w:rsidRDefault="00450063" w:rsidP="00450063"/>
    <w:p w14:paraId="648CB93F" w14:textId="77777777" w:rsidR="00450063" w:rsidRDefault="00450063" w:rsidP="00450063">
      <w:pPr>
        <w:pStyle w:val="EntradandiceSentencia"/>
      </w:pPr>
      <w:r>
        <w:t>Sala Segunda. Sentencia 144/2024, de 2 de diciembre de 2024</w:t>
      </w:r>
    </w:p>
    <w:p w14:paraId="58D23730" w14:textId="139C0C33" w:rsidR="00450063" w:rsidRDefault="00450063" w:rsidP="00450063">
      <w:pPr>
        <w:pStyle w:val="EntradandiceSentencia"/>
      </w:pPr>
    </w:p>
    <w:p w14:paraId="3C3A8E58" w14:textId="60C8799E" w:rsidR="00450063" w:rsidRDefault="00450063" w:rsidP="00450063">
      <w:pPr>
        <w:pStyle w:val="EntradaSumario"/>
      </w:pPr>
      <w:r w:rsidRPr="00450063">
        <w:rPr>
          <w:rStyle w:val="TextoNormalCaracter"/>
        </w:rPr>
        <w:t xml:space="preserve">Recurso de amparo 6446-2021. </w:t>
      </w:r>
      <w:r w:rsidRPr="00450063">
        <w:rPr>
          <w:rStyle w:val="TextoNormalCursivaCaracter"/>
        </w:rPr>
        <w:t xml:space="preserve"> Vulneración del derecho a la tutela judicial efectiva sin indefensión en relación con el derecho a la vida y a la integridad física y moral: investigación insuficiente de una muerte acaecida en dependencias policiales (STC 1/2024). Votos particulares.</w:t>
      </w:r>
      <w:r>
        <w:tab/>
      </w:r>
      <w:r>
        <w:tab/>
      </w:r>
      <w:r>
        <w:fldChar w:fldCharType="begin"/>
      </w:r>
      <w:r>
        <w:instrText xml:space="preserve"> PAGEREF SENTENCIA_2024_144 \h </w:instrText>
      </w:r>
      <w:r>
        <w:fldChar w:fldCharType="separate"/>
      </w:r>
      <w:r>
        <w:rPr>
          <w:noProof/>
        </w:rPr>
        <w:t>2128</w:t>
      </w:r>
      <w:r>
        <w:fldChar w:fldCharType="end"/>
      </w:r>
    </w:p>
    <w:p w14:paraId="02431E01" w14:textId="77777777" w:rsidR="00450063" w:rsidRDefault="00450063" w:rsidP="00450063"/>
    <w:p w14:paraId="7BFBB3A1" w14:textId="77777777" w:rsidR="00450063" w:rsidRDefault="00450063" w:rsidP="00450063">
      <w:pPr>
        <w:pStyle w:val="EntradandiceSentencia"/>
      </w:pPr>
      <w:r>
        <w:lastRenderedPageBreak/>
        <w:t>Sala Segunda. Sentencia 145/2024, de 2 de diciembre de 2024</w:t>
      </w:r>
    </w:p>
    <w:p w14:paraId="2770077B" w14:textId="0FDBBD59" w:rsidR="00450063" w:rsidRDefault="00450063" w:rsidP="00450063">
      <w:pPr>
        <w:pStyle w:val="EntradandiceSentencia"/>
      </w:pPr>
    </w:p>
    <w:p w14:paraId="7E5254A5" w14:textId="294C1FE5" w:rsidR="00450063" w:rsidRDefault="00450063" w:rsidP="00450063">
      <w:pPr>
        <w:pStyle w:val="EntradaSumario"/>
      </w:pPr>
      <w:r w:rsidRPr="00450063">
        <w:rPr>
          <w:rStyle w:val="TextoNormalCaracter"/>
        </w:rPr>
        <w:t xml:space="preserve">Recurso de amparo 7684-2021. </w:t>
      </w:r>
      <w:r w:rsidRPr="00450063">
        <w:rPr>
          <w:rStyle w:val="TextoNormalCursivaCaracter"/>
        </w:rPr>
        <w:t xml:space="preserve"> Vulneración del derecho a la tutela judicial efectiva (motivación): resoluciones judiciales que no satisfacen la obligación de motivación reforzada al pronunciarse sobre el régimen de visitas en un contexto de violencia de género (STC 115/2024). Votos particulares.</w:t>
      </w:r>
      <w:r>
        <w:tab/>
      </w:r>
      <w:r>
        <w:tab/>
      </w:r>
      <w:r>
        <w:fldChar w:fldCharType="begin"/>
      </w:r>
      <w:r>
        <w:instrText xml:space="preserve"> PAGEREF SENTENCIA_2024_145 \h </w:instrText>
      </w:r>
      <w:r>
        <w:fldChar w:fldCharType="separate"/>
      </w:r>
      <w:r>
        <w:rPr>
          <w:noProof/>
        </w:rPr>
        <w:t>2152</w:t>
      </w:r>
      <w:r>
        <w:fldChar w:fldCharType="end"/>
      </w:r>
    </w:p>
    <w:p w14:paraId="08656E2F" w14:textId="77777777" w:rsidR="00450063" w:rsidRDefault="00450063" w:rsidP="00450063"/>
    <w:p w14:paraId="7929F8C6" w14:textId="77777777" w:rsidR="00450063" w:rsidRDefault="00450063" w:rsidP="00450063">
      <w:pPr>
        <w:pStyle w:val="EntradandiceSentencia"/>
      </w:pPr>
      <w:r>
        <w:t>Sala Primera. Sentencia 146/2024, de 2 de diciembre de 2024</w:t>
      </w:r>
    </w:p>
    <w:p w14:paraId="186B2922" w14:textId="6215CB6D" w:rsidR="00450063" w:rsidRDefault="00450063" w:rsidP="00450063">
      <w:pPr>
        <w:pStyle w:val="EntradandiceSentencia"/>
      </w:pPr>
    </w:p>
    <w:p w14:paraId="03332136" w14:textId="38A503D5" w:rsidR="00450063" w:rsidRDefault="00450063" w:rsidP="00450063">
      <w:pPr>
        <w:pStyle w:val="EntradaSumario"/>
      </w:pPr>
      <w:r w:rsidRPr="00450063">
        <w:rPr>
          <w:rStyle w:val="TextoNormalCaracter"/>
        </w:rPr>
        <w:t xml:space="preserve">Recurso de amparo 921-2022. </w:t>
      </w:r>
      <w:r w:rsidRPr="00450063">
        <w:rPr>
          <w:rStyle w:val="TextoNormalCursivaCaracter"/>
        </w:rPr>
        <w:t xml:space="preserve"> Vulneración del derecho a la tutela judicial efectiva (motivación): resolución judicial que, ignorando los límites propios de la acción de anulación del laudo y extendiendo irrazonablemente la noción de orden público, lleva a cabo una revisión del fondo (STC 46/2020).</w:t>
      </w:r>
      <w:r>
        <w:tab/>
      </w:r>
      <w:r>
        <w:tab/>
      </w:r>
      <w:r>
        <w:fldChar w:fldCharType="begin"/>
      </w:r>
      <w:r>
        <w:instrText xml:space="preserve"> PAGEREF SENTENCIA_2024_146 \h </w:instrText>
      </w:r>
      <w:r>
        <w:fldChar w:fldCharType="separate"/>
      </w:r>
      <w:r>
        <w:rPr>
          <w:noProof/>
        </w:rPr>
        <w:t>2173</w:t>
      </w:r>
      <w:r>
        <w:fldChar w:fldCharType="end"/>
      </w:r>
    </w:p>
    <w:p w14:paraId="70AE2BC0" w14:textId="77777777" w:rsidR="00450063" w:rsidRDefault="00450063" w:rsidP="00450063"/>
    <w:p w14:paraId="49447BBE" w14:textId="77777777" w:rsidR="00450063" w:rsidRDefault="00450063" w:rsidP="00450063">
      <w:pPr>
        <w:pStyle w:val="EntradandiceSentencia"/>
      </w:pPr>
      <w:r>
        <w:t>Sala Primera. Sentencia 147/2024, de 2 de diciembre de 2024</w:t>
      </w:r>
    </w:p>
    <w:p w14:paraId="48992523" w14:textId="36327879" w:rsidR="00450063" w:rsidRDefault="00450063" w:rsidP="00450063">
      <w:pPr>
        <w:pStyle w:val="EntradandiceSentencia"/>
      </w:pPr>
    </w:p>
    <w:p w14:paraId="3899FEDF" w14:textId="2AD5B113" w:rsidR="00450063" w:rsidRDefault="00450063" w:rsidP="00450063">
      <w:pPr>
        <w:pStyle w:val="EntradaSumario"/>
      </w:pPr>
      <w:r w:rsidRPr="00450063">
        <w:rPr>
          <w:rStyle w:val="TextoNormalCaracter"/>
        </w:rPr>
        <w:t xml:space="preserve">Recurso de amparo 6078-2023. </w:t>
      </w:r>
      <w:r w:rsidRPr="00450063">
        <w:rPr>
          <w:rStyle w:val="TextoNormalCursivaCaracter"/>
        </w:rPr>
        <w:t xml:space="preserve"> 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SENTENCIA_2024_147 \h </w:instrText>
      </w:r>
      <w:r>
        <w:fldChar w:fldCharType="separate"/>
      </w:r>
      <w:r>
        <w:rPr>
          <w:noProof/>
        </w:rPr>
        <w:t>2233</w:t>
      </w:r>
      <w:r>
        <w:fldChar w:fldCharType="end"/>
      </w:r>
    </w:p>
    <w:p w14:paraId="36C0B41E" w14:textId="77777777" w:rsidR="00450063" w:rsidRDefault="00450063" w:rsidP="00450063"/>
    <w:p w14:paraId="0B6861E7" w14:textId="77777777" w:rsidR="00450063" w:rsidRDefault="00450063" w:rsidP="00450063">
      <w:pPr>
        <w:pStyle w:val="EntradandiceSentencia"/>
      </w:pPr>
      <w:r>
        <w:t>Sala Segunda. Sentencia 148/2024, de 2 de diciembre de 2024</w:t>
      </w:r>
    </w:p>
    <w:p w14:paraId="590697BE" w14:textId="6CF8447D" w:rsidR="00450063" w:rsidRDefault="00450063" w:rsidP="00450063">
      <w:pPr>
        <w:pStyle w:val="EntradandiceSentencia"/>
      </w:pPr>
    </w:p>
    <w:p w14:paraId="32A5A459" w14:textId="38425342" w:rsidR="00450063" w:rsidRDefault="00450063" w:rsidP="00450063">
      <w:pPr>
        <w:pStyle w:val="EntradaSumario"/>
      </w:pPr>
      <w:r w:rsidRPr="00450063">
        <w:rPr>
          <w:rStyle w:val="TextoNormalCaracter"/>
        </w:rPr>
        <w:t xml:space="preserve">Recurso de amparo 420-2024. </w:t>
      </w:r>
      <w:r w:rsidRPr="00450063">
        <w:rPr>
          <w:rStyle w:val="TextoNormalCursivaCaracter"/>
        </w:rPr>
        <w:t xml:space="preserve"> Vulneración del derecho a la libertad personal: resoluciones judiciales que acordaron la adopción de medidas cautelares una vez declarada extinta la responsabilidad criminal y sin habilitación legal previa.</w:t>
      </w:r>
      <w:r>
        <w:tab/>
      </w:r>
      <w:r>
        <w:tab/>
      </w:r>
      <w:r>
        <w:fldChar w:fldCharType="begin"/>
      </w:r>
      <w:r>
        <w:instrText xml:space="preserve"> PAGEREF SENTENCIA_2024_148 \h </w:instrText>
      </w:r>
      <w:r>
        <w:fldChar w:fldCharType="separate"/>
      </w:r>
      <w:r>
        <w:rPr>
          <w:noProof/>
        </w:rPr>
        <w:t>2244</w:t>
      </w:r>
      <w:r>
        <w:fldChar w:fldCharType="end"/>
      </w:r>
    </w:p>
    <w:p w14:paraId="11D41DD6" w14:textId="77777777" w:rsidR="00450063" w:rsidRDefault="00450063" w:rsidP="00450063"/>
    <w:p w14:paraId="2B8C1E82" w14:textId="77777777" w:rsidR="00450063" w:rsidRDefault="00450063" w:rsidP="00450063">
      <w:pPr>
        <w:pStyle w:val="EntradandiceSentencia"/>
      </w:pPr>
      <w:r>
        <w:t>Sala Primera. Sentencia 149/2024, de 2 de diciembre de 2024</w:t>
      </w:r>
    </w:p>
    <w:p w14:paraId="3431C75F" w14:textId="74BA5642" w:rsidR="00450063" w:rsidRDefault="00450063" w:rsidP="00450063">
      <w:pPr>
        <w:pStyle w:val="EntradandiceSentencia"/>
      </w:pPr>
    </w:p>
    <w:p w14:paraId="7E0C1F93" w14:textId="60953197" w:rsidR="00450063" w:rsidRDefault="00450063" w:rsidP="00450063">
      <w:pPr>
        <w:pStyle w:val="EntradaSumario"/>
      </w:pPr>
      <w:r w:rsidRPr="00450063">
        <w:rPr>
          <w:rStyle w:val="TextoNormalCaracter"/>
        </w:rPr>
        <w:t xml:space="preserve">Recurso de amparo 1084-2024. </w:t>
      </w:r>
      <w:r w:rsidRPr="00450063">
        <w:rPr>
          <w:rStyle w:val="TextoNormalCursivaCaracter"/>
        </w:rPr>
        <w:t xml:space="preserve"> 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SENTENCIA_2024_149 \h </w:instrText>
      </w:r>
      <w:r>
        <w:fldChar w:fldCharType="separate"/>
      </w:r>
      <w:r>
        <w:rPr>
          <w:noProof/>
        </w:rPr>
        <w:t>2256</w:t>
      </w:r>
      <w:r>
        <w:fldChar w:fldCharType="end"/>
      </w:r>
    </w:p>
    <w:p w14:paraId="2529424A" w14:textId="77777777" w:rsidR="00450063" w:rsidRDefault="00450063" w:rsidP="00450063"/>
    <w:p w14:paraId="3E76C09B" w14:textId="77777777" w:rsidR="00450063" w:rsidRDefault="00450063" w:rsidP="00450063">
      <w:pPr>
        <w:pStyle w:val="EntradandiceSentencia"/>
      </w:pPr>
      <w:r>
        <w:lastRenderedPageBreak/>
        <w:t>Sala Primera. Sentencia 150/2024, de 2 de diciembre de 2024</w:t>
      </w:r>
    </w:p>
    <w:p w14:paraId="16AABDB5" w14:textId="2F3C7C3B" w:rsidR="00450063" w:rsidRDefault="00450063" w:rsidP="00450063">
      <w:pPr>
        <w:pStyle w:val="EntradandiceSentencia"/>
      </w:pPr>
    </w:p>
    <w:p w14:paraId="1F4A6375" w14:textId="47CD02ED" w:rsidR="00450063" w:rsidRDefault="00450063" w:rsidP="00450063">
      <w:pPr>
        <w:pStyle w:val="EntradaSumario"/>
      </w:pPr>
      <w:r w:rsidRPr="00450063">
        <w:rPr>
          <w:rStyle w:val="TextoNormalCaracter"/>
        </w:rPr>
        <w:t xml:space="preserve">Recurso de amparo 1845-2024. </w:t>
      </w:r>
      <w:r w:rsidRPr="00450063">
        <w:rPr>
          <w:rStyle w:val="TextoNormalCursivaCaracter"/>
        </w:rPr>
        <w:t xml:space="preserve"> 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SENTENCIA_2024_150 \h </w:instrText>
      </w:r>
      <w:r>
        <w:fldChar w:fldCharType="separate"/>
      </w:r>
      <w:r>
        <w:rPr>
          <w:noProof/>
        </w:rPr>
        <w:t>2277</w:t>
      </w:r>
      <w:r>
        <w:fldChar w:fldCharType="end"/>
      </w:r>
    </w:p>
    <w:p w14:paraId="368B4307" w14:textId="77777777" w:rsidR="00450063" w:rsidRDefault="00450063" w:rsidP="00450063"/>
    <w:p w14:paraId="50B22218" w14:textId="77777777" w:rsidR="00450063" w:rsidRDefault="00450063" w:rsidP="00450063">
      <w:pPr>
        <w:pStyle w:val="EntradandiceSentencia"/>
      </w:pPr>
      <w:r>
        <w:t>Sala Primera. Sentencia 151/2024, de 2 de diciembre de 2024</w:t>
      </w:r>
    </w:p>
    <w:p w14:paraId="21091FBA" w14:textId="7612F79C" w:rsidR="00450063" w:rsidRDefault="00450063" w:rsidP="00450063">
      <w:pPr>
        <w:pStyle w:val="EntradandiceSentencia"/>
      </w:pPr>
    </w:p>
    <w:p w14:paraId="43B2A49B" w14:textId="627CBE4C" w:rsidR="00450063" w:rsidRDefault="00450063" w:rsidP="00450063">
      <w:pPr>
        <w:pStyle w:val="EntradaSumario"/>
      </w:pPr>
      <w:r w:rsidRPr="00450063">
        <w:rPr>
          <w:rStyle w:val="TextoNormalCaracter"/>
        </w:rPr>
        <w:t xml:space="preserve">Recurso de amparo 1880-2024. </w:t>
      </w:r>
      <w:r w:rsidRPr="00450063">
        <w:rPr>
          <w:rStyle w:val="TextoNormalCursivaCaracter"/>
        </w:rPr>
        <w:t xml:space="preserve"> 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SENTENCIA_2024_151 \h </w:instrText>
      </w:r>
      <w:r>
        <w:fldChar w:fldCharType="separate"/>
      </w:r>
      <w:r>
        <w:rPr>
          <w:noProof/>
        </w:rPr>
        <w:t>2289</w:t>
      </w:r>
      <w:r>
        <w:fldChar w:fldCharType="end"/>
      </w:r>
    </w:p>
    <w:p w14:paraId="032DD9EC" w14:textId="77777777" w:rsidR="00450063" w:rsidRDefault="00450063" w:rsidP="00450063"/>
    <w:p w14:paraId="3B3C90F1" w14:textId="77777777" w:rsidR="00450063" w:rsidRDefault="00450063" w:rsidP="00450063">
      <w:pPr>
        <w:pStyle w:val="EntradandiceSentencia"/>
      </w:pPr>
      <w:r>
        <w:t>Sala Primera. Sentencia 152/2024, de 16 de diciembre de 2024</w:t>
      </w:r>
    </w:p>
    <w:p w14:paraId="7CB195D1" w14:textId="43CD6F88" w:rsidR="00450063" w:rsidRDefault="00450063" w:rsidP="00450063">
      <w:pPr>
        <w:pStyle w:val="EntradandiceSentencia"/>
      </w:pPr>
    </w:p>
    <w:p w14:paraId="17FE126B" w14:textId="3C50AC02" w:rsidR="00450063" w:rsidRDefault="00450063" w:rsidP="00450063">
      <w:pPr>
        <w:pStyle w:val="EntradaSumario"/>
      </w:pPr>
      <w:r w:rsidRPr="00450063">
        <w:rPr>
          <w:rStyle w:val="TextoNormalCaracter"/>
        </w:rPr>
        <w:t xml:space="preserve">Recurso de amparo 6056-2021. </w:t>
      </w:r>
      <w:r w:rsidRPr="00450063">
        <w:rPr>
          <w:rStyle w:val="TextoNormalCursivaCaracter"/>
        </w:rPr>
        <w:t xml:space="preserve"> Supuesta vulneración de los derechos a la igualdad, de participación política, a la presunción de inocencia y a la legalidad penal; libertades ideológica y de expresión; alegada vulneración del derecho a la tutela judicial efectiva: resoluciones de la administración electoral que aprecian, en el ámbito de su competencia, la concurrencia de una causa de inelegibilidad sobrevenida que lo es también de incompatibilidad y que no constituye una pena autónoma ni vulnera la presunción de inocencia; rechazo del planteamiento de cuestión prejudicial.</w:t>
      </w:r>
      <w:r>
        <w:tab/>
      </w:r>
      <w:r>
        <w:tab/>
      </w:r>
      <w:r>
        <w:fldChar w:fldCharType="begin"/>
      </w:r>
      <w:r>
        <w:instrText xml:space="preserve"> PAGEREF SENTENCIA_2024_152 \h </w:instrText>
      </w:r>
      <w:r>
        <w:fldChar w:fldCharType="separate"/>
      </w:r>
      <w:r>
        <w:rPr>
          <w:noProof/>
        </w:rPr>
        <w:t>2302</w:t>
      </w:r>
      <w:r>
        <w:fldChar w:fldCharType="end"/>
      </w:r>
    </w:p>
    <w:p w14:paraId="7AF050C2" w14:textId="77777777" w:rsidR="00450063" w:rsidRDefault="00450063" w:rsidP="00450063"/>
    <w:p w14:paraId="2C286BBD" w14:textId="77777777" w:rsidR="00450063" w:rsidRDefault="00450063" w:rsidP="00450063">
      <w:pPr>
        <w:pStyle w:val="EntradandiceSentencia"/>
      </w:pPr>
      <w:r>
        <w:t>Sala Segunda. Sentencia 153/2024, de 16 de diciembre de 2024</w:t>
      </w:r>
    </w:p>
    <w:p w14:paraId="1950F6A3" w14:textId="52128941" w:rsidR="00450063" w:rsidRDefault="00450063" w:rsidP="00450063">
      <w:pPr>
        <w:pStyle w:val="EntradandiceSentencia"/>
      </w:pPr>
    </w:p>
    <w:p w14:paraId="5B2614AD" w14:textId="1F119B2C" w:rsidR="00450063" w:rsidRDefault="00450063" w:rsidP="00450063">
      <w:pPr>
        <w:pStyle w:val="EntradaSumario"/>
      </w:pPr>
      <w:r w:rsidRPr="00450063">
        <w:rPr>
          <w:rStyle w:val="TextoNormalCaracter"/>
        </w:rPr>
        <w:t xml:space="preserve">Recurso de amparo 8026-2022. </w:t>
      </w:r>
      <w:r w:rsidRPr="00450063">
        <w:rPr>
          <w:rStyle w:val="TextoNormalCursivaCaracter"/>
        </w:rPr>
        <w:t xml:space="preserve"> Supuesta vulneración del derecho al ejercicio de las funciones representativas: ausencia de informes del Consejo General del Poder Judicial y de la Comisión de Venecia que no vicia el procedimiento legislativo de urgencia que tiene su origen legítimo en una proposición de ley (STC 139/2024). Votos particulares.</w:t>
      </w:r>
      <w:r>
        <w:tab/>
      </w:r>
      <w:r>
        <w:tab/>
      </w:r>
      <w:r>
        <w:fldChar w:fldCharType="begin"/>
      </w:r>
      <w:r>
        <w:instrText xml:space="preserve"> PAGEREF SENTENCIA_2024_153 \h </w:instrText>
      </w:r>
      <w:r>
        <w:fldChar w:fldCharType="separate"/>
      </w:r>
      <w:r>
        <w:rPr>
          <w:noProof/>
        </w:rPr>
        <w:t>2353</w:t>
      </w:r>
      <w:r>
        <w:fldChar w:fldCharType="end"/>
      </w:r>
    </w:p>
    <w:p w14:paraId="2BF0E071" w14:textId="77777777" w:rsidR="00450063" w:rsidRDefault="00450063" w:rsidP="00450063"/>
    <w:p w14:paraId="06667E38" w14:textId="77777777" w:rsidR="00450063" w:rsidRDefault="00450063" w:rsidP="00450063">
      <w:pPr>
        <w:pStyle w:val="EntradandiceSentencia"/>
      </w:pPr>
      <w:r>
        <w:lastRenderedPageBreak/>
        <w:t>Sala Primera. Sentencia 154/2024, de 16 de diciembre de 2024</w:t>
      </w:r>
    </w:p>
    <w:p w14:paraId="30BE9518" w14:textId="1A6A986E" w:rsidR="00450063" w:rsidRDefault="00450063" w:rsidP="00450063">
      <w:pPr>
        <w:pStyle w:val="EntradandiceSentencia"/>
      </w:pPr>
    </w:p>
    <w:p w14:paraId="128C9150" w14:textId="59281FA8" w:rsidR="00450063" w:rsidRDefault="00450063" w:rsidP="00450063">
      <w:pPr>
        <w:pStyle w:val="EntradaSumario"/>
      </w:pPr>
      <w:r w:rsidRPr="00450063">
        <w:rPr>
          <w:rStyle w:val="TextoNormalCaracter"/>
        </w:rPr>
        <w:t xml:space="preserve">Recurso de amparo 2024-2024. </w:t>
      </w:r>
      <w:r w:rsidRPr="00450063">
        <w:rPr>
          <w:rStyle w:val="TextoNormalCursivaCaracter"/>
        </w:rPr>
        <w:t xml:space="preserve"> Vulneración del derecho al ejercicio de las funciones representativas: STC 143/2024 (incumplimiento por la mesa del Parlamento de Cataluña del deber de inadmisión de una iniciativa legislativa popular cuyo contenido no puede tener cabida a través de una iniciativa legislativa autonómica).</w:t>
      </w:r>
      <w:r>
        <w:tab/>
      </w:r>
      <w:r>
        <w:tab/>
      </w:r>
      <w:r>
        <w:fldChar w:fldCharType="begin"/>
      </w:r>
      <w:r>
        <w:instrText xml:space="preserve"> PAGEREF SENTENCIA_2024_154 \h </w:instrText>
      </w:r>
      <w:r>
        <w:fldChar w:fldCharType="separate"/>
      </w:r>
      <w:r>
        <w:rPr>
          <w:noProof/>
        </w:rPr>
        <w:t>2376</w:t>
      </w:r>
      <w:r>
        <w:fldChar w:fldCharType="end"/>
      </w:r>
    </w:p>
    <w:p w14:paraId="724B0CF9" w14:textId="77777777" w:rsidR="00450063" w:rsidRDefault="00450063" w:rsidP="00450063"/>
    <w:p w14:paraId="5C661245" w14:textId="77777777" w:rsidR="00450063" w:rsidRDefault="00450063" w:rsidP="00450063">
      <w:pPr>
        <w:pStyle w:val="EntradandiceSentencia"/>
      </w:pPr>
      <w:r>
        <w:t>Sala Primera. Sentencia 155/2024, de 16 de diciembre de 2024</w:t>
      </w:r>
    </w:p>
    <w:p w14:paraId="71C968AD" w14:textId="56C19B0C" w:rsidR="00450063" w:rsidRDefault="00450063" w:rsidP="00450063">
      <w:pPr>
        <w:pStyle w:val="EntradandiceSentencia"/>
      </w:pPr>
    </w:p>
    <w:p w14:paraId="28DF6D82" w14:textId="5F0638F9" w:rsidR="00450063" w:rsidRDefault="00450063" w:rsidP="00450063">
      <w:pPr>
        <w:pStyle w:val="EntradaSumario"/>
      </w:pPr>
      <w:r w:rsidRPr="00450063">
        <w:rPr>
          <w:rStyle w:val="TextoNormalCaracter"/>
        </w:rPr>
        <w:t xml:space="preserve">Recurso de amparo 2068-2024. </w:t>
      </w:r>
      <w:r w:rsidRPr="00450063">
        <w:rPr>
          <w:rStyle w:val="TextoNormalCursivaCaracter"/>
        </w:rPr>
        <w:t xml:space="preserve"> 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SENTENCIA_2024_155 \h </w:instrText>
      </w:r>
      <w:r>
        <w:fldChar w:fldCharType="separate"/>
      </w:r>
      <w:r>
        <w:rPr>
          <w:noProof/>
        </w:rPr>
        <w:t>2382</w:t>
      </w:r>
      <w:r>
        <w:fldChar w:fldCharType="end"/>
      </w:r>
    </w:p>
    <w:p w14:paraId="7DED757B" w14:textId="77777777" w:rsidR="00450063" w:rsidRDefault="00450063" w:rsidP="00450063"/>
    <w:p w14:paraId="01B03172" w14:textId="77777777" w:rsidR="00450063" w:rsidRDefault="00450063" w:rsidP="00450063">
      <w:pPr>
        <w:pStyle w:val="EntradandiceSentencia"/>
      </w:pPr>
      <w:r>
        <w:t>Sala Primera. Sentencia 156/2024, de 16 de diciembre de 2024</w:t>
      </w:r>
    </w:p>
    <w:p w14:paraId="136A940F" w14:textId="7ABEB845" w:rsidR="00450063" w:rsidRDefault="00450063" w:rsidP="00450063">
      <w:pPr>
        <w:pStyle w:val="EntradandiceSentencia"/>
      </w:pPr>
    </w:p>
    <w:p w14:paraId="2AFA8707" w14:textId="69E9EDBA" w:rsidR="00450063" w:rsidRDefault="00450063" w:rsidP="00450063">
      <w:pPr>
        <w:pStyle w:val="EntradaSumario"/>
      </w:pPr>
      <w:r w:rsidRPr="00450063">
        <w:rPr>
          <w:rStyle w:val="TextoNormalCaracter"/>
        </w:rPr>
        <w:t xml:space="preserve">Recurso de amparo 2151-2024. </w:t>
      </w:r>
      <w:r w:rsidRPr="00450063">
        <w:rPr>
          <w:rStyle w:val="TextoNormalCursivaCaracter"/>
        </w:rPr>
        <w:t xml:space="preserve"> Vulneración del derecho al ejercicio de las funciones representativas: STC 143/2024 (incumplimiento por la mesa del Parlamento de Cataluña del deber de inadmisión de una iniciativa legislativa popular cuyo contenido no puede tener cabida a través de una iniciativa legislativa autonómica).</w:t>
      </w:r>
      <w:r>
        <w:tab/>
      </w:r>
      <w:r>
        <w:tab/>
      </w:r>
      <w:r>
        <w:fldChar w:fldCharType="begin"/>
      </w:r>
      <w:r>
        <w:instrText xml:space="preserve"> PAGEREF SENTENCIA_2024_156 \h </w:instrText>
      </w:r>
      <w:r>
        <w:fldChar w:fldCharType="separate"/>
      </w:r>
      <w:r>
        <w:rPr>
          <w:noProof/>
        </w:rPr>
        <w:t>2397</w:t>
      </w:r>
      <w:r>
        <w:fldChar w:fldCharType="end"/>
      </w:r>
    </w:p>
    <w:p w14:paraId="482CE21C" w14:textId="77777777" w:rsidR="00450063" w:rsidRDefault="00450063" w:rsidP="00450063"/>
    <w:p w14:paraId="3382339A" w14:textId="77777777" w:rsidR="00450063" w:rsidRDefault="00450063" w:rsidP="00450063">
      <w:pPr>
        <w:pStyle w:val="EntradandiceSentencia"/>
      </w:pPr>
      <w:r>
        <w:t>Pleno. Sentencia 157/2024, de 17 de diciembre de 2024</w:t>
      </w:r>
    </w:p>
    <w:p w14:paraId="3E5579F7" w14:textId="7034C54E" w:rsidR="00450063" w:rsidRDefault="00450063" w:rsidP="00450063">
      <w:pPr>
        <w:pStyle w:val="EntradandiceSentencia"/>
      </w:pPr>
    </w:p>
    <w:p w14:paraId="2EBA2BEF" w14:textId="3806E985" w:rsidR="00450063" w:rsidRDefault="00450063" w:rsidP="00450063">
      <w:pPr>
        <w:pStyle w:val="EntradaSumario"/>
      </w:pPr>
      <w:r w:rsidRPr="00450063">
        <w:rPr>
          <w:rStyle w:val="TextoNormalCaracter"/>
        </w:rPr>
        <w:t xml:space="preserve">Recurso de inconstitucionalidad 1302-2022. </w:t>
      </w:r>
      <w:r w:rsidRPr="00450063">
        <w:rPr>
          <w:rStyle w:val="TextoNormalCursivaCaracter"/>
        </w:rPr>
        <w:t xml:space="preserve"> Alegada vulneración de los principios de seguridad jurídica e interdicción de la arbitrariedad y del derecho al ejercicio de las funciones representativas: inadmisión al no haberse acreditado la representación de once de los cincuenta y un diputados que se dicen promotores del recurso de inconstitucionalidad.</w:t>
      </w:r>
      <w:r>
        <w:tab/>
      </w:r>
      <w:r>
        <w:tab/>
      </w:r>
      <w:r>
        <w:fldChar w:fldCharType="begin"/>
      </w:r>
      <w:r>
        <w:instrText xml:space="preserve"> PAGEREF SENTENCIA_2024_157 \h </w:instrText>
      </w:r>
      <w:r>
        <w:fldChar w:fldCharType="separate"/>
      </w:r>
      <w:r>
        <w:rPr>
          <w:noProof/>
        </w:rPr>
        <w:t>2402</w:t>
      </w:r>
      <w:r>
        <w:fldChar w:fldCharType="end"/>
      </w:r>
    </w:p>
    <w:p w14:paraId="7976C12B" w14:textId="5BDD999D" w:rsidR="00450063" w:rsidRDefault="00450063">
      <w:pPr>
        <w:spacing w:after="160" w:line="278" w:lineRule="auto"/>
      </w:pPr>
      <w:r>
        <w:br w:type="page"/>
      </w:r>
    </w:p>
    <w:p w14:paraId="5F5AF3C6" w14:textId="77777777" w:rsidR="00450063" w:rsidRDefault="00450063" w:rsidP="00450063"/>
    <w:p w14:paraId="3FDF0105" w14:textId="77777777" w:rsidR="00450063" w:rsidRDefault="00450063" w:rsidP="00450063"/>
    <w:p w14:paraId="1E3264D0" w14:textId="77777777" w:rsidR="00450063" w:rsidRDefault="00450063" w:rsidP="00450063"/>
    <w:p w14:paraId="166B43F7" w14:textId="77777777" w:rsidR="00450063" w:rsidRDefault="00450063" w:rsidP="00450063">
      <w:pPr>
        <w:pStyle w:val="Ttulondice"/>
      </w:pPr>
      <w:bookmarkStart w:id="2" w:name="SUMARIOSAUTOS"/>
      <w:r>
        <w:t>2. AUTOS: ATC 61/2024 A ATC 157/2024</w:t>
      </w:r>
    </w:p>
    <w:bookmarkEnd w:id="2"/>
    <w:p w14:paraId="2A9606CC" w14:textId="588F8EEF" w:rsidR="00450063" w:rsidRDefault="00450063" w:rsidP="00450063">
      <w:pPr>
        <w:pStyle w:val="Ttulondice"/>
      </w:pPr>
    </w:p>
    <w:p w14:paraId="23B8078B" w14:textId="77777777" w:rsidR="00450063" w:rsidRDefault="00450063" w:rsidP="00450063">
      <w:pPr>
        <w:pStyle w:val="Ttulondice"/>
      </w:pPr>
    </w:p>
    <w:p w14:paraId="12CD83BA" w14:textId="77777777" w:rsidR="00450063" w:rsidRDefault="00450063" w:rsidP="00450063">
      <w:pPr>
        <w:pStyle w:val="Ttulondice"/>
      </w:pPr>
    </w:p>
    <w:p w14:paraId="7A019E10" w14:textId="77777777" w:rsidR="00450063" w:rsidRDefault="00450063" w:rsidP="00450063">
      <w:pPr>
        <w:pStyle w:val="Ttulondice"/>
      </w:pPr>
    </w:p>
    <w:p w14:paraId="17080EF6" w14:textId="77777777" w:rsidR="00450063" w:rsidRDefault="00450063" w:rsidP="00450063">
      <w:pPr>
        <w:pStyle w:val="Ttulondice"/>
      </w:pPr>
    </w:p>
    <w:p w14:paraId="54C0F567" w14:textId="77777777" w:rsidR="00450063" w:rsidRDefault="00450063" w:rsidP="00450063">
      <w:pPr>
        <w:pStyle w:val="Ttulondice"/>
      </w:pPr>
    </w:p>
    <w:p w14:paraId="7371EDB0" w14:textId="77777777" w:rsidR="00450063" w:rsidRDefault="00450063" w:rsidP="00450063">
      <w:pPr>
        <w:pStyle w:val="Ttulondice"/>
      </w:pPr>
    </w:p>
    <w:p w14:paraId="436DFF8E" w14:textId="3F6B883E" w:rsidR="00450063" w:rsidRDefault="00450063" w:rsidP="00450063">
      <w:pPr>
        <w:pStyle w:val="EntradandiceAuto"/>
      </w:pPr>
      <w:r>
        <w:t>Sala Segunda. Auto 61/2024, de 2 de julio de 2024. Acuerda la suspensión en el recurso de amparo 7493-2023, promovido por don Alberto Mengual Vallecillo en proceso militar.</w:t>
      </w:r>
      <w:r>
        <w:tab/>
      </w:r>
      <w:r>
        <w:tab/>
      </w:r>
      <w:r>
        <w:fldChar w:fldCharType="begin"/>
      </w:r>
      <w:r>
        <w:instrText xml:space="preserve"> PAGEREF AUTO_2024_61 \h </w:instrText>
      </w:r>
      <w:r>
        <w:fldChar w:fldCharType="separate"/>
      </w:r>
      <w:r>
        <w:rPr>
          <w:noProof/>
        </w:rPr>
        <w:t>2416</w:t>
      </w:r>
      <w:r>
        <w:fldChar w:fldCharType="end"/>
      </w:r>
    </w:p>
    <w:p w14:paraId="717A5719" w14:textId="77777777" w:rsidR="003754FE" w:rsidRDefault="003754FE" w:rsidP="00450063"/>
    <w:p w14:paraId="70032477" w14:textId="61062C75" w:rsidR="00450063" w:rsidRDefault="00450063" w:rsidP="00450063">
      <w:pPr>
        <w:pStyle w:val="EntradandiceAuto"/>
      </w:pPr>
      <w:r>
        <w:t>Sala Segunda. Auto 62/2024, de 2 de julio de 2024. Acuerda la suspensión en el recurso de amparo 7868-2023, promovido por don Oswaldo Vivas Aregall en causa penal.</w:t>
      </w:r>
      <w:r>
        <w:tab/>
      </w:r>
      <w:r>
        <w:tab/>
      </w:r>
      <w:r>
        <w:fldChar w:fldCharType="begin"/>
      </w:r>
      <w:r>
        <w:instrText xml:space="preserve"> PAGEREF AUTO_2024_62 \h </w:instrText>
      </w:r>
      <w:r>
        <w:fldChar w:fldCharType="separate"/>
      </w:r>
      <w:r>
        <w:rPr>
          <w:noProof/>
        </w:rPr>
        <w:t>2420</w:t>
      </w:r>
      <w:r>
        <w:fldChar w:fldCharType="end"/>
      </w:r>
    </w:p>
    <w:p w14:paraId="40F8CF81" w14:textId="77777777" w:rsidR="00450063" w:rsidRDefault="00450063" w:rsidP="00450063"/>
    <w:p w14:paraId="51E2436F" w14:textId="0A9949E6" w:rsidR="00450063" w:rsidRDefault="00450063" w:rsidP="00450063">
      <w:pPr>
        <w:pStyle w:val="EntradandiceAuto"/>
      </w:pPr>
      <w:r>
        <w:t>Pleno. Auto 63/2024, de 2 de julio de 2024. Desestima el recurso de súplica interpuesto en relación con el ATC 31/2024, de 9 de abril, que inadmitió la recusación formulada en el recurso de amparo 551-2024, promovido por don Antonio López Navidad en litigio social.</w:t>
      </w:r>
      <w:r>
        <w:tab/>
      </w:r>
      <w:r>
        <w:tab/>
      </w:r>
      <w:r>
        <w:fldChar w:fldCharType="begin"/>
      </w:r>
      <w:r>
        <w:instrText xml:space="preserve"> PAGEREF AUTO_2024_63 \h </w:instrText>
      </w:r>
      <w:r>
        <w:fldChar w:fldCharType="separate"/>
      </w:r>
      <w:r>
        <w:rPr>
          <w:noProof/>
        </w:rPr>
        <w:t>2424</w:t>
      </w:r>
      <w:r>
        <w:fldChar w:fldCharType="end"/>
      </w:r>
    </w:p>
    <w:p w14:paraId="07C88402" w14:textId="77777777" w:rsidR="00450063" w:rsidRDefault="00450063" w:rsidP="00450063"/>
    <w:p w14:paraId="2275A53E" w14:textId="716FE1F4" w:rsidR="00450063" w:rsidRDefault="00450063" w:rsidP="00450063">
      <w:pPr>
        <w:pStyle w:val="EntradandiceAuto"/>
      </w:pPr>
      <w:r>
        <w:t>Pleno. Auto 64/2024, de 2 de julio de 2024. Desestima el recurso de súplica interpuesto en relación con el ATC 42/2024, de 7 de mayo, que inadmitió las recusaciones formuladas en el recurso de amparo 907-2024, promovido por don Fernando Argote Pons y doña Miren Garbiñe Garagarza Echaniz en causa penal.</w:t>
      </w:r>
      <w:r>
        <w:tab/>
      </w:r>
      <w:r>
        <w:tab/>
      </w:r>
      <w:r>
        <w:fldChar w:fldCharType="begin"/>
      </w:r>
      <w:r>
        <w:instrText xml:space="preserve"> PAGEREF AUTO_2024_64 \h </w:instrText>
      </w:r>
      <w:r>
        <w:fldChar w:fldCharType="separate"/>
      </w:r>
      <w:r>
        <w:rPr>
          <w:noProof/>
        </w:rPr>
        <w:t>2428</w:t>
      </w:r>
      <w:r>
        <w:fldChar w:fldCharType="end"/>
      </w:r>
    </w:p>
    <w:p w14:paraId="65CAB704" w14:textId="77777777" w:rsidR="00450063" w:rsidRDefault="00450063" w:rsidP="00450063"/>
    <w:p w14:paraId="6D283B65" w14:textId="5DC00907" w:rsidR="00450063" w:rsidRDefault="00450063" w:rsidP="00450063">
      <w:pPr>
        <w:pStyle w:val="EntradandiceAuto"/>
      </w:pPr>
      <w:r>
        <w:t>Pleno. Auto 65/2024, de 2 de julio de 2024. Inadmite a trámite la cuestión de inconstitucionalidad 1475-2024, planteada por la Sección Cuarta de la Sala de lo Contencioso-Administrativo del Tribunal Supremo en relación con el inciso tercero del artículo 67.3 de la Ley 50/1981, de 30 de diciembre, por la que se regula el Estatuto orgánico del Ministerio Fiscal.</w:t>
      </w:r>
      <w:r>
        <w:tab/>
      </w:r>
      <w:r>
        <w:tab/>
      </w:r>
      <w:r>
        <w:fldChar w:fldCharType="begin"/>
      </w:r>
      <w:r>
        <w:instrText xml:space="preserve"> PAGEREF AUTO_2024_65 \h </w:instrText>
      </w:r>
      <w:r>
        <w:fldChar w:fldCharType="separate"/>
      </w:r>
      <w:r>
        <w:rPr>
          <w:noProof/>
        </w:rPr>
        <w:t>2431</w:t>
      </w:r>
      <w:r>
        <w:fldChar w:fldCharType="end"/>
      </w:r>
    </w:p>
    <w:p w14:paraId="27D5B897" w14:textId="77777777" w:rsidR="00450063" w:rsidRDefault="00450063" w:rsidP="00450063"/>
    <w:p w14:paraId="29A7E1CA" w14:textId="1C27B8B4" w:rsidR="00450063" w:rsidRDefault="00450063" w:rsidP="00450063">
      <w:pPr>
        <w:pStyle w:val="EntradandiceAuto"/>
      </w:pPr>
      <w:r>
        <w:lastRenderedPageBreak/>
        <w:t>Pleno. Auto 66/2024, de 2 de julio de 2024. Inadmite a trámite la cuestión de inconstitucionalidad 2672-2024, planteada por la Sección Tercera de la Sala de lo Contencioso-Administrativo del Tribunal Superior de Justicia de Cataluña, en relación con los artículos 6 y 9 de la Ley del Parlamento de Cataluña 24/2015, de 29 de julio, de medidas urgentes para afrontar la emergencia en el ámbito de la vivienda y la pobreza energética.</w:t>
      </w:r>
      <w:r>
        <w:tab/>
      </w:r>
      <w:r>
        <w:tab/>
      </w:r>
      <w:r>
        <w:fldChar w:fldCharType="begin"/>
      </w:r>
      <w:r>
        <w:instrText xml:space="preserve"> PAGEREF AUTO_2024_66 \h </w:instrText>
      </w:r>
      <w:r>
        <w:fldChar w:fldCharType="separate"/>
      </w:r>
      <w:r>
        <w:rPr>
          <w:noProof/>
        </w:rPr>
        <w:t>2446</w:t>
      </w:r>
      <w:r>
        <w:fldChar w:fldCharType="end"/>
      </w:r>
    </w:p>
    <w:p w14:paraId="31183CEF" w14:textId="77777777" w:rsidR="00450063" w:rsidRDefault="00450063" w:rsidP="00450063"/>
    <w:p w14:paraId="01FA2376" w14:textId="12D38290" w:rsidR="00450063" w:rsidRDefault="00450063" w:rsidP="00450063">
      <w:pPr>
        <w:pStyle w:val="EntradandiceAuto"/>
      </w:pPr>
      <w:r>
        <w:t>Pleno. Auto 67/2024, de 2 de julio de 2024. Acepta una abstención en la cuestión de inconstitucionalidad 2840-2024, planteada por la Sección Tercera de la Sala de lo Contencioso-Administrativo del Tribunal Superior de Justicia de la Comunidad Valenciana, en relación con la disposición adicional decimocuarta de la Ley 27/2014, de 27 de noviembre, del impuesto sobre sociedades.</w:t>
      </w:r>
      <w:r>
        <w:tab/>
      </w:r>
      <w:r>
        <w:tab/>
      </w:r>
      <w:r>
        <w:fldChar w:fldCharType="begin"/>
      </w:r>
      <w:r>
        <w:instrText xml:space="preserve"> PAGEREF AUTO_2024_67 \h </w:instrText>
      </w:r>
      <w:r>
        <w:fldChar w:fldCharType="separate"/>
      </w:r>
      <w:r>
        <w:rPr>
          <w:noProof/>
        </w:rPr>
        <w:t>2455</w:t>
      </w:r>
      <w:r>
        <w:fldChar w:fldCharType="end"/>
      </w:r>
    </w:p>
    <w:p w14:paraId="2283D758" w14:textId="77777777" w:rsidR="00450063" w:rsidRDefault="00450063" w:rsidP="00450063"/>
    <w:p w14:paraId="40BFD5D3" w14:textId="7D531019" w:rsidR="00450063" w:rsidRDefault="00450063" w:rsidP="00450063">
      <w:pPr>
        <w:pStyle w:val="EntradandiceAuto"/>
      </w:pPr>
      <w:r>
        <w:t>Pleno. Auto 68/2024, de 2 de julio de 2024. Inadmite una recusación formulada en el recurso de amparo 2930-2024, promovido por don Enric Xavier Morera i Catalá en procedimiento parlamentario.</w:t>
      </w:r>
      <w:r>
        <w:tab/>
      </w:r>
      <w:r>
        <w:tab/>
      </w:r>
      <w:r>
        <w:fldChar w:fldCharType="begin"/>
      </w:r>
      <w:r>
        <w:instrText xml:space="preserve"> PAGEREF AUTO_2024_68 \h </w:instrText>
      </w:r>
      <w:r>
        <w:fldChar w:fldCharType="separate"/>
      </w:r>
      <w:r>
        <w:rPr>
          <w:noProof/>
        </w:rPr>
        <w:t>2457</w:t>
      </w:r>
      <w:r>
        <w:fldChar w:fldCharType="end"/>
      </w:r>
    </w:p>
    <w:p w14:paraId="67EDFDB2" w14:textId="77777777" w:rsidR="00450063" w:rsidRDefault="00450063" w:rsidP="00450063"/>
    <w:p w14:paraId="38B4C7D3" w14:textId="1646ACFE" w:rsidR="00450063" w:rsidRDefault="00450063" w:rsidP="00450063">
      <w:pPr>
        <w:pStyle w:val="EntradandiceAuto"/>
      </w:pPr>
      <w:r>
        <w:t>Sección Primera. Auto 69/2024, de 10 de julio de 2024. Desestima el recurso de súplica interpuesto por el Ministerio Fiscal en relación con la providencia de inadmisión del recurso de amparo 7205-2021, promovido por don David Suárez Puente en causa penal.</w:t>
      </w:r>
      <w:r>
        <w:tab/>
      </w:r>
      <w:r>
        <w:tab/>
      </w:r>
      <w:r>
        <w:fldChar w:fldCharType="begin"/>
      </w:r>
      <w:r>
        <w:instrText xml:space="preserve"> PAGEREF AUTO_2024_69 \h </w:instrText>
      </w:r>
      <w:r>
        <w:fldChar w:fldCharType="separate"/>
      </w:r>
      <w:r>
        <w:rPr>
          <w:noProof/>
        </w:rPr>
        <w:t>2464</w:t>
      </w:r>
      <w:r>
        <w:fldChar w:fldCharType="end"/>
      </w:r>
    </w:p>
    <w:p w14:paraId="17E56D8F" w14:textId="77777777" w:rsidR="00450063" w:rsidRDefault="00450063" w:rsidP="00450063"/>
    <w:p w14:paraId="279098D2" w14:textId="05BA66C5" w:rsidR="00450063" w:rsidRDefault="00450063" w:rsidP="00450063">
      <w:pPr>
        <w:pStyle w:val="EntradandiceAuto"/>
      </w:pPr>
      <w:r>
        <w:t>Pleno. Auto 70/2024, de 16 de julio de 2024. Inadmite las recusaciones formuladas en el recurso de amparo 7007-2022 y otros cuatro más, promovidos por don Manuel Chaves González en causa penal.</w:t>
      </w:r>
      <w:r>
        <w:tab/>
      </w:r>
      <w:r>
        <w:tab/>
      </w:r>
      <w:r>
        <w:fldChar w:fldCharType="begin"/>
      </w:r>
      <w:r>
        <w:instrText xml:space="preserve"> PAGEREF AUTO_2024_70 \h </w:instrText>
      </w:r>
      <w:r>
        <w:fldChar w:fldCharType="separate"/>
      </w:r>
      <w:r>
        <w:rPr>
          <w:noProof/>
        </w:rPr>
        <w:t>2471</w:t>
      </w:r>
      <w:r>
        <w:fldChar w:fldCharType="end"/>
      </w:r>
    </w:p>
    <w:p w14:paraId="29817CFC" w14:textId="77777777" w:rsidR="00450063" w:rsidRDefault="00450063" w:rsidP="00450063"/>
    <w:p w14:paraId="2931953A" w14:textId="728F192B" w:rsidR="00450063" w:rsidRDefault="00450063" w:rsidP="00450063">
      <w:pPr>
        <w:pStyle w:val="EntradandiceAuto"/>
      </w:pPr>
      <w:r>
        <w:t>Pleno. Auto 71/2024, de 16 de julio de 2024. Desestima el recurso de súplica interpuesto en relación con el ATC 32/2024, de 9 de abril, que inadmitió una recusación formulada en el recurso de amparo 773-2024, promovido por don Antonio López Navidad en litigio social.</w:t>
      </w:r>
      <w:r>
        <w:tab/>
      </w:r>
      <w:r>
        <w:tab/>
      </w:r>
      <w:r>
        <w:fldChar w:fldCharType="begin"/>
      </w:r>
      <w:r>
        <w:instrText xml:space="preserve"> PAGEREF AUTO_2024_71 \h </w:instrText>
      </w:r>
      <w:r>
        <w:fldChar w:fldCharType="separate"/>
      </w:r>
      <w:r>
        <w:rPr>
          <w:noProof/>
        </w:rPr>
        <w:t>2480</w:t>
      </w:r>
      <w:r>
        <w:fldChar w:fldCharType="end"/>
      </w:r>
    </w:p>
    <w:p w14:paraId="740C77E1" w14:textId="77777777" w:rsidR="00450063" w:rsidRDefault="00450063" w:rsidP="00450063"/>
    <w:p w14:paraId="0BCDB722" w14:textId="10FAB39D" w:rsidR="00450063" w:rsidRDefault="00450063" w:rsidP="00450063">
      <w:pPr>
        <w:pStyle w:val="EntradandiceAuto"/>
      </w:pPr>
      <w:r>
        <w:t>Pleno. Auto 72/2024, de 16 de julio de 2024. Mantiene la suspensión acordada en la impugnación de disposiciones autonómicas 2159-2024, interpuesta por el Gobierno de la Nación en relación con el acuerdo de la mesa del Parlamento de Cataluña de 20 de febrero de 2024, que admitió a trámite una iniciativa legislativa popular con el nombre “Proposición de ley de declaración de la independencia de Cataluña”.</w:t>
      </w:r>
      <w:r>
        <w:tab/>
      </w:r>
      <w:r>
        <w:tab/>
      </w:r>
      <w:r>
        <w:fldChar w:fldCharType="begin"/>
      </w:r>
      <w:r>
        <w:instrText xml:space="preserve"> PAGEREF AUTO_2024_72 \h </w:instrText>
      </w:r>
      <w:r>
        <w:fldChar w:fldCharType="separate"/>
      </w:r>
      <w:r>
        <w:rPr>
          <w:noProof/>
        </w:rPr>
        <w:t>2487</w:t>
      </w:r>
      <w:r>
        <w:fldChar w:fldCharType="end"/>
      </w:r>
    </w:p>
    <w:p w14:paraId="2782BCEB" w14:textId="77777777" w:rsidR="00450063" w:rsidRDefault="00450063" w:rsidP="00450063"/>
    <w:p w14:paraId="1C4D40CD" w14:textId="4EAC9E3A" w:rsidR="00450063" w:rsidRDefault="00450063" w:rsidP="00450063">
      <w:pPr>
        <w:pStyle w:val="EntradandiceAuto"/>
      </w:pPr>
      <w:r>
        <w:t>Pleno. Auto 73/2024, de 16 de julio de 2024. Inadmite a trámite la cuestión de inconstitucionalidad 2486-2024, planteada por la Sala de lo Social del Tribunal Superior de Justicia de Aragón, en relación con el artículo 12.2 del Real Decreto Legislativo 8/2015, de 30 de octubre, por el que se aprueba el texto refundido de la Ley general de la Seguridad Social.</w:t>
      </w:r>
      <w:r>
        <w:tab/>
      </w:r>
      <w:r>
        <w:tab/>
      </w:r>
      <w:r>
        <w:fldChar w:fldCharType="begin"/>
      </w:r>
      <w:r>
        <w:instrText xml:space="preserve"> PAGEREF AUTO_2024_73 \h </w:instrText>
      </w:r>
      <w:r>
        <w:fldChar w:fldCharType="separate"/>
      </w:r>
      <w:r>
        <w:rPr>
          <w:noProof/>
        </w:rPr>
        <w:t>2492</w:t>
      </w:r>
      <w:r>
        <w:fldChar w:fldCharType="end"/>
      </w:r>
    </w:p>
    <w:p w14:paraId="7C953F43" w14:textId="77777777" w:rsidR="00450063" w:rsidRDefault="00450063" w:rsidP="00450063"/>
    <w:p w14:paraId="3153991C" w14:textId="4016C500" w:rsidR="00450063" w:rsidRDefault="00450063" w:rsidP="00450063">
      <w:pPr>
        <w:pStyle w:val="EntradandiceAuto"/>
      </w:pPr>
      <w:r>
        <w:t>Sección Primera. Auto 74/2024, de 29 de julio de 2024. Desestima solicitud de revisión de diligencia de ordenación dictada en el recurso de amparo 8325-2022, promovido por don Salvador López Ortiz y otros en proceso contencioso administrativo.</w:t>
      </w:r>
      <w:r>
        <w:tab/>
      </w:r>
      <w:r>
        <w:tab/>
      </w:r>
      <w:r>
        <w:fldChar w:fldCharType="begin"/>
      </w:r>
      <w:r>
        <w:instrText xml:space="preserve"> PAGEREF AUTO_2024_74 \h </w:instrText>
      </w:r>
      <w:r>
        <w:fldChar w:fldCharType="separate"/>
      </w:r>
      <w:r>
        <w:rPr>
          <w:noProof/>
        </w:rPr>
        <w:t>2509</w:t>
      </w:r>
      <w:r>
        <w:fldChar w:fldCharType="end"/>
      </w:r>
    </w:p>
    <w:p w14:paraId="472702B5" w14:textId="77777777" w:rsidR="00450063" w:rsidRDefault="00450063" w:rsidP="00450063"/>
    <w:p w14:paraId="67AB33E6" w14:textId="754835CA" w:rsidR="00450063" w:rsidRDefault="00450063" w:rsidP="00450063">
      <w:pPr>
        <w:pStyle w:val="EntradandiceAuto"/>
      </w:pPr>
      <w:r>
        <w:t>Sala Segunda. Auto 75/2024, de 9 de septiembre de 2024. Acuerda el desistimiento en el recurso de amparo 1372-2022, promovido por doña Olga Villanueva Illana en pleito civil.</w:t>
      </w:r>
      <w:r>
        <w:tab/>
      </w:r>
      <w:r>
        <w:tab/>
      </w:r>
      <w:r>
        <w:fldChar w:fldCharType="begin"/>
      </w:r>
      <w:r>
        <w:instrText xml:space="preserve"> PAGEREF AUTO_2024_75 \h </w:instrText>
      </w:r>
      <w:r>
        <w:fldChar w:fldCharType="separate"/>
      </w:r>
      <w:r>
        <w:rPr>
          <w:noProof/>
        </w:rPr>
        <w:t>2513</w:t>
      </w:r>
      <w:r>
        <w:fldChar w:fldCharType="end"/>
      </w:r>
    </w:p>
    <w:p w14:paraId="0FECB757" w14:textId="77777777" w:rsidR="00450063" w:rsidRDefault="00450063" w:rsidP="00450063"/>
    <w:p w14:paraId="32B49324" w14:textId="54598C58" w:rsidR="00450063" w:rsidRDefault="00450063" w:rsidP="00450063">
      <w:pPr>
        <w:pStyle w:val="EntradandiceAuto"/>
      </w:pPr>
      <w:r>
        <w:t>Sala Primera. Auto 76/2024, de 9 de septiembre de 2024. Acepta una abstención en el recurso de amparo 2394-2022, promovido por doña Pilar Gismera Catalinas en proceso contencioso administrativo.</w:t>
      </w:r>
      <w:r>
        <w:tab/>
      </w:r>
      <w:r>
        <w:tab/>
      </w:r>
      <w:r>
        <w:fldChar w:fldCharType="begin"/>
      </w:r>
      <w:r>
        <w:instrText xml:space="preserve"> PAGEREF AUTO_2024_76 \h </w:instrText>
      </w:r>
      <w:r>
        <w:fldChar w:fldCharType="separate"/>
      </w:r>
      <w:r>
        <w:rPr>
          <w:noProof/>
        </w:rPr>
        <w:t>2517</w:t>
      </w:r>
      <w:r>
        <w:fldChar w:fldCharType="end"/>
      </w:r>
    </w:p>
    <w:p w14:paraId="475BD671" w14:textId="77777777" w:rsidR="00450063" w:rsidRDefault="00450063" w:rsidP="00450063"/>
    <w:p w14:paraId="4E4B3C20" w14:textId="1CD879E8" w:rsidR="00450063" w:rsidRDefault="00450063" w:rsidP="00450063">
      <w:pPr>
        <w:pStyle w:val="EntradandiceAuto"/>
      </w:pPr>
      <w:r>
        <w:t>Sala Segunda. Auto 77/2024, de 9 de septiembre de 2024. Deniega la suspensión en el recurso de amparo 7511-2023, promovido por la Editorial Prensa Asturiana, S.A.U., en pleito civil.</w:t>
      </w:r>
      <w:r>
        <w:tab/>
      </w:r>
      <w:r>
        <w:tab/>
      </w:r>
      <w:r>
        <w:fldChar w:fldCharType="begin"/>
      </w:r>
      <w:r>
        <w:instrText xml:space="preserve"> PAGEREF AUTO_2024_77 \h </w:instrText>
      </w:r>
      <w:r>
        <w:fldChar w:fldCharType="separate"/>
      </w:r>
      <w:r>
        <w:rPr>
          <w:noProof/>
        </w:rPr>
        <w:t>2519</w:t>
      </w:r>
      <w:r>
        <w:fldChar w:fldCharType="end"/>
      </w:r>
    </w:p>
    <w:p w14:paraId="3C6D6F13" w14:textId="77777777" w:rsidR="00450063" w:rsidRDefault="00450063" w:rsidP="00450063"/>
    <w:p w14:paraId="51F5BABC" w14:textId="4797468B" w:rsidR="00450063" w:rsidRDefault="00450063" w:rsidP="00450063">
      <w:pPr>
        <w:pStyle w:val="EntradandiceAuto"/>
      </w:pPr>
      <w:r>
        <w:t>Pleno. Auto 78/2024, de 10 de septiembre de 2024. Inadmite una recusación en el recurso de amparo 6155-2023, promovido por don Joaquim Torra i Pla y don Josep Costa i Roselló en proceso contencioso-administrativo.</w:t>
      </w:r>
      <w:r>
        <w:tab/>
      </w:r>
      <w:r>
        <w:tab/>
      </w:r>
      <w:r>
        <w:fldChar w:fldCharType="begin"/>
      </w:r>
      <w:r>
        <w:instrText xml:space="preserve"> PAGEREF AUTO_2024_78 \h </w:instrText>
      </w:r>
      <w:r>
        <w:fldChar w:fldCharType="separate"/>
      </w:r>
      <w:r>
        <w:rPr>
          <w:noProof/>
        </w:rPr>
        <w:t>2525</w:t>
      </w:r>
      <w:r>
        <w:fldChar w:fldCharType="end"/>
      </w:r>
    </w:p>
    <w:p w14:paraId="21DAB753" w14:textId="77777777" w:rsidR="00450063" w:rsidRDefault="00450063" w:rsidP="00450063"/>
    <w:p w14:paraId="1A88A7EC" w14:textId="12FFF38A" w:rsidR="00450063" w:rsidRDefault="00450063" w:rsidP="00450063">
      <w:pPr>
        <w:pStyle w:val="EntradandiceAuto"/>
      </w:pPr>
      <w:r>
        <w:t>Pleno. Auto 79/2024, de 10 de septiembre de 2024. Desestima el recurso de súplica interpuesto en relación con el ATC 33/2024, de 9 de abril, que inadmitió las recusaciones formuladas en el recurso de amparo 787-2024, promovido por don Antonio López Navidad en litigio social.</w:t>
      </w:r>
      <w:r>
        <w:tab/>
      </w:r>
      <w:r>
        <w:tab/>
      </w:r>
      <w:r>
        <w:fldChar w:fldCharType="begin"/>
      </w:r>
      <w:r>
        <w:instrText xml:space="preserve"> PAGEREF AUTO_2024_79 \h </w:instrText>
      </w:r>
      <w:r>
        <w:fldChar w:fldCharType="separate"/>
      </w:r>
      <w:r>
        <w:rPr>
          <w:noProof/>
        </w:rPr>
        <w:t>2529</w:t>
      </w:r>
      <w:r>
        <w:fldChar w:fldCharType="end"/>
      </w:r>
    </w:p>
    <w:p w14:paraId="7264FE1D" w14:textId="77777777" w:rsidR="00450063" w:rsidRDefault="00450063" w:rsidP="00450063"/>
    <w:p w14:paraId="27BAD629" w14:textId="1BA7DC16" w:rsidR="00450063" w:rsidRDefault="00450063" w:rsidP="00450063">
      <w:pPr>
        <w:pStyle w:val="EntradandiceAuto"/>
      </w:pPr>
      <w:r>
        <w:t>Pleno. Auto 80/2024, de 10 de septiembre de 2024. Inadmite a trámite la cuestión de inconstitucionalidad 1348-2024, planteada por la Sección Cuarta de la Sala de lo Contencioso-Administrativo del Tribunal Supremo, en relación con el artículo 17 bis.2 b) de la Ley Orgánica 8/2007, de 4 de julio, sobre financiación de los partidos políticos.</w:t>
      </w:r>
      <w:r>
        <w:tab/>
      </w:r>
      <w:r>
        <w:tab/>
      </w:r>
      <w:r>
        <w:fldChar w:fldCharType="begin"/>
      </w:r>
      <w:r>
        <w:instrText xml:space="preserve"> PAGEREF AUTO_2024_80 \h </w:instrText>
      </w:r>
      <w:r>
        <w:fldChar w:fldCharType="separate"/>
      </w:r>
      <w:r>
        <w:rPr>
          <w:noProof/>
        </w:rPr>
        <w:t>2533</w:t>
      </w:r>
      <w:r>
        <w:fldChar w:fldCharType="end"/>
      </w:r>
    </w:p>
    <w:p w14:paraId="38D6CFC6" w14:textId="77777777" w:rsidR="00450063" w:rsidRDefault="00450063" w:rsidP="00450063"/>
    <w:p w14:paraId="311CEEB5" w14:textId="1725C47C" w:rsidR="00450063" w:rsidRDefault="00450063" w:rsidP="00450063">
      <w:pPr>
        <w:pStyle w:val="EntradandiceAuto"/>
      </w:pPr>
      <w:r>
        <w:t>Pleno. Auto 81/2024, de 10 de septiembre de 2024. Inadmite a trámite la cuestión de inconstitucionalidad 3207-2024, planteada por el Juzgado de lo Contencioso-Administrativo núm. 2 de Girona, en relación con el apartado primero de la disposición adicional primera de la Ley del Parlamento de Cataluña 5/2020, de 29 de abril, de medidas fiscales, financieras, administrativas y del sector público y de creación del impuesto sobre las instalaciones que inciden en el medio ambiente.</w:t>
      </w:r>
      <w:r>
        <w:tab/>
      </w:r>
      <w:r>
        <w:tab/>
      </w:r>
      <w:r>
        <w:fldChar w:fldCharType="begin"/>
      </w:r>
      <w:r>
        <w:instrText xml:space="preserve"> PAGEREF AUTO_2024_81 \h </w:instrText>
      </w:r>
      <w:r>
        <w:fldChar w:fldCharType="separate"/>
      </w:r>
      <w:r>
        <w:rPr>
          <w:noProof/>
        </w:rPr>
        <w:t>2541</w:t>
      </w:r>
      <w:r>
        <w:fldChar w:fldCharType="end"/>
      </w:r>
    </w:p>
    <w:p w14:paraId="73D58BF0" w14:textId="77777777" w:rsidR="00450063" w:rsidRDefault="00450063" w:rsidP="00450063"/>
    <w:p w14:paraId="02CADF64" w14:textId="64B1308A" w:rsidR="00450063" w:rsidRDefault="00450063" w:rsidP="00450063">
      <w:pPr>
        <w:pStyle w:val="EntradandiceAuto"/>
      </w:pPr>
      <w:r>
        <w:t>Pleno. Auto 82/2024, de 11 de septiembre de 2024. Acepta una abstención en la cuestión de inconstitucionalidad 6053-2024, planteada por la Sala de lo Penal del Tribunal Supremo en relación con el artículo 1 de la Ley Orgánica 1/2024, de 10 de junio, de amnistía para la normalización institucional, política y social en Cataluña.</w:t>
      </w:r>
      <w:r>
        <w:tab/>
      </w:r>
      <w:r>
        <w:tab/>
      </w:r>
      <w:r>
        <w:fldChar w:fldCharType="begin"/>
      </w:r>
      <w:r>
        <w:instrText xml:space="preserve"> PAGEREF AUTO_2024_82 \h </w:instrText>
      </w:r>
      <w:r>
        <w:fldChar w:fldCharType="separate"/>
      </w:r>
      <w:r>
        <w:rPr>
          <w:noProof/>
        </w:rPr>
        <w:t>2548</w:t>
      </w:r>
      <w:r>
        <w:fldChar w:fldCharType="end"/>
      </w:r>
    </w:p>
    <w:p w14:paraId="67DB6E60" w14:textId="77777777" w:rsidR="00450063" w:rsidRDefault="00450063" w:rsidP="00450063"/>
    <w:p w14:paraId="09288806" w14:textId="22C1BD0F" w:rsidR="00450063" w:rsidRDefault="00450063" w:rsidP="00450063">
      <w:pPr>
        <w:pStyle w:val="EntradandiceAuto"/>
      </w:pPr>
      <w:r>
        <w:t>Sección Tercera. Auto 83/2024, de 19 de septiembre de 2024. Acepta una abstención en el recurso de amparo 6241-2022, promovido en proceso contencioso administrativo.</w:t>
      </w:r>
      <w:r>
        <w:tab/>
      </w:r>
      <w:r>
        <w:tab/>
      </w:r>
      <w:r>
        <w:fldChar w:fldCharType="begin"/>
      </w:r>
      <w:r>
        <w:instrText xml:space="preserve"> PAGEREF AUTO_2024_83 \h </w:instrText>
      </w:r>
      <w:r>
        <w:fldChar w:fldCharType="separate"/>
      </w:r>
      <w:r>
        <w:rPr>
          <w:noProof/>
        </w:rPr>
        <w:t>2550</w:t>
      </w:r>
      <w:r>
        <w:fldChar w:fldCharType="end"/>
      </w:r>
    </w:p>
    <w:p w14:paraId="63FFD636" w14:textId="77777777" w:rsidR="00450063" w:rsidRDefault="00450063" w:rsidP="00450063"/>
    <w:p w14:paraId="5B437D79" w14:textId="7F360D7D" w:rsidR="00450063" w:rsidRDefault="00450063" w:rsidP="00450063">
      <w:pPr>
        <w:pStyle w:val="EntradandiceAuto"/>
      </w:pPr>
      <w:r>
        <w:t>Sala Segunda. Auto 84/2024, de 23 de septiembre de 2024. Deniega la suspensión en el recurso de amparo 359-2023, promovido por don Rubén Rodríguez Ortiz en causa penal.</w:t>
      </w:r>
      <w:r>
        <w:tab/>
      </w:r>
      <w:r>
        <w:tab/>
      </w:r>
      <w:r>
        <w:fldChar w:fldCharType="begin"/>
      </w:r>
      <w:r>
        <w:instrText xml:space="preserve"> PAGEREF AUTO_2024_84 \h </w:instrText>
      </w:r>
      <w:r>
        <w:fldChar w:fldCharType="separate"/>
      </w:r>
      <w:r>
        <w:rPr>
          <w:noProof/>
        </w:rPr>
        <w:t>2552</w:t>
      </w:r>
      <w:r>
        <w:fldChar w:fldCharType="end"/>
      </w:r>
    </w:p>
    <w:p w14:paraId="38D9B604" w14:textId="77777777" w:rsidR="00450063" w:rsidRDefault="00450063" w:rsidP="00450063"/>
    <w:p w14:paraId="2A9E6247" w14:textId="257C938C" w:rsidR="00450063" w:rsidRDefault="00450063" w:rsidP="00450063">
      <w:pPr>
        <w:pStyle w:val="EntradandiceAuto"/>
      </w:pPr>
      <w:r>
        <w:t>Sala Segunda. Auto 85/2024, de 23 de septiembre de 2024. Admite a trámite el recurso de amparo 7286-2023, promovido por don Alfonso Loaiza Pérez en causa penal. Voto particular.</w:t>
      </w:r>
      <w:r>
        <w:tab/>
      </w:r>
      <w:r>
        <w:tab/>
      </w:r>
      <w:r>
        <w:fldChar w:fldCharType="begin"/>
      </w:r>
      <w:r>
        <w:instrText xml:space="preserve"> PAGEREF AUTO_2024_85 \h </w:instrText>
      </w:r>
      <w:r>
        <w:fldChar w:fldCharType="separate"/>
      </w:r>
      <w:r>
        <w:rPr>
          <w:noProof/>
        </w:rPr>
        <w:t>2557</w:t>
      </w:r>
      <w:r>
        <w:fldChar w:fldCharType="end"/>
      </w:r>
    </w:p>
    <w:p w14:paraId="1BD4CEC0" w14:textId="77777777" w:rsidR="00450063" w:rsidRDefault="00450063" w:rsidP="00450063"/>
    <w:p w14:paraId="7C9ECDD7" w14:textId="0AF070E0" w:rsidR="00450063" w:rsidRDefault="00450063" w:rsidP="00450063">
      <w:pPr>
        <w:pStyle w:val="EntradandiceAuto"/>
      </w:pPr>
      <w:r>
        <w:t>Sala Segunda. Auto 86/2024, de 23 de septiembre de 2024. Acuerda la suspensión en el recurso de amparo 420-2024, promovida por doña Natividad Jauregi Espina en causa penal.</w:t>
      </w:r>
      <w:r>
        <w:tab/>
      </w:r>
      <w:r>
        <w:tab/>
      </w:r>
      <w:r>
        <w:fldChar w:fldCharType="begin"/>
      </w:r>
      <w:r>
        <w:instrText xml:space="preserve"> PAGEREF AUTO_2024_86 \h </w:instrText>
      </w:r>
      <w:r>
        <w:fldChar w:fldCharType="separate"/>
      </w:r>
      <w:r>
        <w:rPr>
          <w:noProof/>
        </w:rPr>
        <w:t>2568</w:t>
      </w:r>
      <w:r>
        <w:fldChar w:fldCharType="end"/>
      </w:r>
    </w:p>
    <w:p w14:paraId="2268A318" w14:textId="77777777" w:rsidR="00450063" w:rsidRDefault="00450063" w:rsidP="00450063"/>
    <w:p w14:paraId="5ED473C3" w14:textId="01640E31" w:rsidR="00450063" w:rsidRDefault="00450063" w:rsidP="00450063">
      <w:pPr>
        <w:pStyle w:val="EntradandiceAuto"/>
      </w:pPr>
      <w:r>
        <w:t>Sección Tercera. Auto 87/2024, de 24 de septiembre de 2024. Acepta una abstención en el recurso de amparo 6251-2022, promovido en proceso contencioso-administrativo.</w:t>
      </w:r>
      <w:r>
        <w:tab/>
      </w:r>
      <w:r>
        <w:tab/>
      </w:r>
      <w:r>
        <w:fldChar w:fldCharType="begin"/>
      </w:r>
      <w:r>
        <w:instrText xml:space="preserve"> PAGEREF AUTO_2024_87 \h </w:instrText>
      </w:r>
      <w:r>
        <w:fldChar w:fldCharType="separate"/>
      </w:r>
      <w:r>
        <w:rPr>
          <w:noProof/>
        </w:rPr>
        <w:t>2573</w:t>
      </w:r>
      <w:r>
        <w:fldChar w:fldCharType="end"/>
      </w:r>
    </w:p>
    <w:p w14:paraId="39C422B7" w14:textId="77777777" w:rsidR="00450063" w:rsidRDefault="00450063" w:rsidP="00450063"/>
    <w:p w14:paraId="03157F54" w14:textId="53340EF9" w:rsidR="00450063" w:rsidRDefault="00450063" w:rsidP="00450063">
      <w:pPr>
        <w:pStyle w:val="EntradandiceAuto"/>
      </w:pPr>
      <w:r>
        <w:t>Sección Tercera. Auto 88/2024, de 24 de septiembre de 2024. Acepta una abstención en el recurso de amparo 6254-2022, promovido en proceso contencioso administrativo.</w:t>
      </w:r>
      <w:r>
        <w:tab/>
      </w:r>
      <w:r>
        <w:tab/>
      </w:r>
      <w:r>
        <w:fldChar w:fldCharType="begin"/>
      </w:r>
      <w:r>
        <w:instrText xml:space="preserve"> PAGEREF AUTO_2024_88 \h </w:instrText>
      </w:r>
      <w:r>
        <w:fldChar w:fldCharType="separate"/>
      </w:r>
      <w:r>
        <w:rPr>
          <w:noProof/>
        </w:rPr>
        <w:t>2575</w:t>
      </w:r>
      <w:r>
        <w:fldChar w:fldCharType="end"/>
      </w:r>
    </w:p>
    <w:p w14:paraId="2EEF12D3" w14:textId="77777777" w:rsidR="00450063" w:rsidRDefault="00450063" w:rsidP="00450063"/>
    <w:p w14:paraId="21E6555A" w14:textId="25015B6B" w:rsidR="00450063" w:rsidRDefault="00450063" w:rsidP="00450063">
      <w:pPr>
        <w:pStyle w:val="EntradandiceAuto"/>
      </w:pPr>
      <w:r>
        <w:t>Pleno. Auto 89/2024, de 24 de septiembre de 2024. Inadmite a trámite la cuestión de inconstitucionalidad 7368-2023, planteada por la Sala de lo Social del Tribunal Superior de Justicia de las Illes Balears, en relación con el segundo párrafo del artículo 221.2 del texto refundido de la Ley general de la Seguridad Social, aprobado por el Real Decreto Legislativo 8/2015, de 30 de octubre.</w:t>
      </w:r>
      <w:r>
        <w:tab/>
      </w:r>
      <w:r>
        <w:tab/>
      </w:r>
      <w:r>
        <w:fldChar w:fldCharType="begin"/>
      </w:r>
      <w:r>
        <w:instrText xml:space="preserve"> PAGEREF AUTO_2024_89 \h </w:instrText>
      </w:r>
      <w:r>
        <w:fldChar w:fldCharType="separate"/>
      </w:r>
      <w:r>
        <w:rPr>
          <w:noProof/>
        </w:rPr>
        <w:t>2577</w:t>
      </w:r>
      <w:r>
        <w:fldChar w:fldCharType="end"/>
      </w:r>
    </w:p>
    <w:p w14:paraId="0E29A2B7" w14:textId="77777777" w:rsidR="00450063" w:rsidRDefault="00450063" w:rsidP="00450063"/>
    <w:p w14:paraId="6D8CFECF" w14:textId="2E9785A4" w:rsidR="00450063" w:rsidRDefault="00450063" w:rsidP="00450063">
      <w:pPr>
        <w:pStyle w:val="EntradandiceAuto"/>
      </w:pPr>
      <w:r>
        <w:t>Pleno. Auto 90/2024, de 24 de septiembre de 2024. Desestima el recurso de súplica interpuesto en relación con el ATC 68/2024, de 2 de julio, que inadmitió la recusación formulada en el recurso de amparo 2930-2024, promovido por don Enric Xavier Morera i Catalá en procedimiento parlamentario.</w:t>
      </w:r>
      <w:r>
        <w:tab/>
      </w:r>
      <w:r>
        <w:tab/>
      </w:r>
      <w:r>
        <w:fldChar w:fldCharType="begin"/>
      </w:r>
      <w:r>
        <w:instrText xml:space="preserve"> PAGEREF AUTO_2024_90 \h </w:instrText>
      </w:r>
      <w:r>
        <w:fldChar w:fldCharType="separate"/>
      </w:r>
      <w:r>
        <w:rPr>
          <w:noProof/>
        </w:rPr>
        <w:t>2592</w:t>
      </w:r>
      <w:r>
        <w:fldChar w:fldCharType="end"/>
      </w:r>
    </w:p>
    <w:p w14:paraId="75935FA9" w14:textId="77777777" w:rsidR="00450063" w:rsidRDefault="00450063" w:rsidP="00450063"/>
    <w:p w14:paraId="4B119F07" w14:textId="2EDE90A7" w:rsidR="00450063" w:rsidRDefault="00450063" w:rsidP="00450063">
      <w:pPr>
        <w:pStyle w:val="EntradandiceAuto"/>
      </w:pPr>
      <w:r>
        <w:t>Pleno. Auto 91/2024, de 24 de septiembre de 2024. Acepta una abstención en el recurso de inconstitucionalidad 6436-2024 y quince más; en la cuestión de inconstitucionalidad 6596-2024 y dos más, y declara la pérdida de objeto de la recusación de un magistrado en el recurso de inconstitucionalidad 6436-2024 y ocho más. Votos particulares.</w:t>
      </w:r>
      <w:r>
        <w:tab/>
      </w:r>
      <w:r>
        <w:tab/>
      </w:r>
      <w:r>
        <w:fldChar w:fldCharType="begin"/>
      </w:r>
      <w:r>
        <w:instrText xml:space="preserve"> PAGEREF AUTO_2024_91 \h </w:instrText>
      </w:r>
      <w:r>
        <w:fldChar w:fldCharType="separate"/>
      </w:r>
      <w:r>
        <w:rPr>
          <w:noProof/>
        </w:rPr>
        <w:t>2598</w:t>
      </w:r>
      <w:r>
        <w:fldChar w:fldCharType="end"/>
      </w:r>
    </w:p>
    <w:p w14:paraId="5EFE423D" w14:textId="77777777" w:rsidR="00450063" w:rsidRDefault="00450063" w:rsidP="00450063"/>
    <w:p w14:paraId="75AE0345" w14:textId="23E70043" w:rsidR="00450063" w:rsidRDefault="00450063" w:rsidP="00450063">
      <w:pPr>
        <w:pStyle w:val="EntradandiceAuto"/>
      </w:pPr>
      <w:r>
        <w:t>Sección Primera. Auto 92/2024, de 3 de octubre de 2024. Desestima el recurso de súplica interpuesto por el Ministerio Fiscal en relación con la providencia de inadmisión del recurso de amparo 2418-2024, promovido por don Ricardo Gomis Cacho y doña Silvia Benjumea Guzmán en pleito civil.</w:t>
      </w:r>
      <w:r>
        <w:tab/>
      </w:r>
      <w:r>
        <w:tab/>
      </w:r>
      <w:r>
        <w:fldChar w:fldCharType="begin"/>
      </w:r>
      <w:r>
        <w:instrText xml:space="preserve"> PAGEREF AUTO_2024_92 \h </w:instrText>
      </w:r>
      <w:r>
        <w:fldChar w:fldCharType="separate"/>
      </w:r>
      <w:r>
        <w:rPr>
          <w:noProof/>
        </w:rPr>
        <w:t>2610</w:t>
      </w:r>
      <w:r>
        <w:fldChar w:fldCharType="end"/>
      </w:r>
    </w:p>
    <w:p w14:paraId="7A9943F3" w14:textId="77777777" w:rsidR="00450063" w:rsidRDefault="00450063" w:rsidP="00450063"/>
    <w:p w14:paraId="69E3C499" w14:textId="125998DF" w:rsidR="00450063" w:rsidRDefault="00450063" w:rsidP="00450063">
      <w:pPr>
        <w:pStyle w:val="EntradandiceAuto"/>
      </w:pPr>
      <w:r>
        <w:t>Pleno. Auto 93/2024, de 8 de octubre de 2024. Inadmite una recusación en el recurso de inconstitucionalidad 6436-2024, interpuesto por más de cincuenta diputados y más de cincuenta senadores del Grupo Parlamentario Popular en el Congreso de los Diputados y en el Senado en relación con la Ley Orgánica 1/2024, de 10 de junio, de amnistía para la normalización institucional, política y social en Cataluña. Votos particulares.</w:t>
      </w:r>
      <w:r>
        <w:tab/>
      </w:r>
      <w:r>
        <w:tab/>
      </w:r>
      <w:r>
        <w:fldChar w:fldCharType="begin"/>
      </w:r>
      <w:r>
        <w:instrText xml:space="preserve"> PAGEREF AUTO_2024_93 \h </w:instrText>
      </w:r>
      <w:r>
        <w:fldChar w:fldCharType="separate"/>
      </w:r>
      <w:r>
        <w:rPr>
          <w:noProof/>
        </w:rPr>
        <w:t>2622</w:t>
      </w:r>
      <w:r>
        <w:fldChar w:fldCharType="end"/>
      </w:r>
    </w:p>
    <w:p w14:paraId="5BA33388" w14:textId="77777777" w:rsidR="00450063" w:rsidRDefault="00450063" w:rsidP="00450063"/>
    <w:p w14:paraId="6C2BBB9C" w14:textId="49074988" w:rsidR="00450063" w:rsidRDefault="00450063" w:rsidP="00450063">
      <w:pPr>
        <w:pStyle w:val="EntradandiceAuto"/>
      </w:pPr>
      <w:r>
        <w:t>Sección Segunda. Auto 94/2024, de 9 de octubre de 2024. Desestima el recurso de súplica interpuesto por el Ministerio Fiscal en relación con la providencia de inadmisión del recurso de amparo 5797-2024, promovido por doña Zenayda del Carmen García Sánchez y don José Antonio Hernández Herrera en causa penal.</w:t>
      </w:r>
      <w:r>
        <w:tab/>
      </w:r>
      <w:r>
        <w:tab/>
      </w:r>
      <w:r>
        <w:fldChar w:fldCharType="begin"/>
      </w:r>
      <w:r>
        <w:instrText xml:space="preserve"> PAGEREF AUTO_2024_94 \h </w:instrText>
      </w:r>
      <w:r>
        <w:fldChar w:fldCharType="separate"/>
      </w:r>
      <w:r>
        <w:rPr>
          <w:noProof/>
        </w:rPr>
        <w:t>2632</w:t>
      </w:r>
      <w:r>
        <w:fldChar w:fldCharType="end"/>
      </w:r>
    </w:p>
    <w:p w14:paraId="58467E67" w14:textId="77777777" w:rsidR="00450063" w:rsidRDefault="00450063" w:rsidP="00450063"/>
    <w:p w14:paraId="2BE320E0" w14:textId="11CD567A" w:rsidR="00450063" w:rsidRDefault="00450063" w:rsidP="00450063">
      <w:pPr>
        <w:pStyle w:val="EntradandiceAuto"/>
      </w:pPr>
      <w:r>
        <w:t>Sala Primera. Auto 95/2024, de 21 de octubre de 2024. Acepta una abstención en el recurso de amparo 4834-2020, promovido en procedimiento parlamentario.</w:t>
      </w:r>
      <w:r>
        <w:tab/>
      </w:r>
      <w:r>
        <w:tab/>
      </w:r>
      <w:r>
        <w:fldChar w:fldCharType="begin"/>
      </w:r>
      <w:r>
        <w:instrText xml:space="preserve"> PAGEREF AUTO_2024_95 \h </w:instrText>
      </w:r>
      <w:r>
        <w:fldChar w:fldCharType="separate"/>
      </w:r>
      <w:r>
        <w:rPr>
          <w:noProof/>
        </w:rPr>
        <w:t>2646</w:t>
      </w:r>
      <w:r>
        <w:fldChar w:fldCharType="end"/>
      </w:r>
    </w:p>
    <w:p w14:paraId="1F525D53" w14:textId="77777777" w:rsidR="00450063" w:rsidRDefault="00450063" w:rsidP="00450063"/>
    <w:p w14:paraId="64FDCE8C" w14:textId="4E72F59B" w:rsidR="00450063" w:rsidRDefault="00450063" w:rsidP="00450063">
      <w:pPr>
        <w:pStyle w:val="EntradandiceAuto"/>
      </w:pPr>
      <w:r>
        <w:t>Sala Primera. Auto 96/2024, de 21 de octubre de 2024. Acuerda la extinción, por pérdida sobrevenida de objeto, del recurso de amparo 4834-2020, promovido en procedimiento parlamentario.</w:t>
      </w:r>
      <w:r>
        <w:tab/>
      </w:r>
      <w:r>
        <w:tab/>
      </w:r>
      <w:r>
        <w:fldChar w:fldCharType="begin"/>
      </w:r>
      <w:r>
        <w:instrText xml:space="preserve"> PAGEREF AUTO_2024_96 \h </w:instrText>
      </w:r>
      <w:r>
        <w:fldChar w:fldCharType="separate"/>
      </w:r>
      <w:r>
        <w:rPr>
          <w:noProof/>
        </w:rPr>
        <w:t>2648</w:t>
      </w:r>
      <w:r>
        <w:fldChar w:fldCharType="end"/>
      </w:r>
    </w:p>
    <w:p w14:paraId="77688FFE" w14:textId="77777777" w:rsidR="00450063" w:rsidRDefault="00450063" w:rsidP="00450063"/>
    <w:p w14:paraId="1444442A" w14:textId="12F5F3BD" w:rsidR="00450063" w:rsidRDefault="00450063" w:rsidP="00450063">
      <w:pPr>
        <w:pStyle w:val="EntradandiceAuto"/>
      </w:pPr>
      <w:r>
        <w:t>Sala Segunda. Auto 97/2024, de 21 de octubre de 2024. Acuerda el desistimiento en el recurso de amparo 6815-2022, promovido por doña Sandra Mayor Sánchez en pleito civil.</w:t>
      </w:r>
      <w:r>
        <w:tab/>
      </w:r>
      <w:r>
        <w:tab/>
      </w:r>
      <w:r>
        <w:fldChar w:fldCharType="begin"/>
      </w:r>
      <w:r>
        <w:instrText xml:space="preserve"> PAGEREF AUTO_2024_97 \h </w:instrText>
      </w:r>
      <w:r>
        <w:fldChar w:fldCharType="separate"/>
      </w:r>
      <w:r>
        <w:rPr>
          <w:noProof/>
        </w:rPr>
        <w:t>2655</w:t>
      </w:r>
      <w:r>
        <w:fldChar w:fldCharType="end"/>
      </w:r>
    </w:p>
    <w:p w14:paraId="3EDB39B0" w14:textId="77777777" w:rsidR="00450063" w:rsidRDefault="00450063" w:rsidP="00450063"/>
    <w:p w14:paraId="7F8DEEF3" w14:textId="58315D6A" w:rsidR="00450063" w:rsidRDefault="00450063" w:rsidP="00450063">
      <w:pPr>
        <w:pStyle w:val="EntradandiceAuto"/>
      </w:pPr>
      <w:r>
        <w:t>Sala Primera. Auto 98/2024, de 21 de octubre de 2024. Acuerda la suspensión en el recurso de amparo 2151-2024, promovido por don Carlos Carrizosa Torres y otros cinco diputados del Parlamento de Cataluña en procedimiento parlamentario.</w:t>
      </w:r>
      <w:r>
        <w:tab/>
      </w:r>
      <w:r>
        <w:tab/>
      </w:r>
      <w:r>
        <w:fldChar w:fldCharType="begin"/>
      </w:r>
      <w:r>
        <w:instrText xml:space="preserve"> PAGEREF AUTO_2024_98 \h </w:instrText>
      </w:r>
      <w:r>
        <w:fldChar w:fldCharType="separate"/>
      </w:r>
      <w:r>
        <w:rPr>
          <w:noProof/>
        </w:rPr>
        <w:t>2661</w:t>
      </w:r>
      <w:r>
        <w:fldChar w:fldCharType="end"/>
      </w:r>
    </w:p>
    <w:p w14:paraId="78790ABC" w14:textId="77777777" w:rsidR="00450063" w:rsidRDefault="00450063" w:rsidP="00450063"/>
    <w:p w14:paraId="0B8BE00E" w14:textId="4E89A5B0" w:rsidR="00450063" w:rsidRDefault="00450063" w:rsidP="00450063">
      <w:pPr>
        <w:pStyle w:val="EntradandiceAuto"/>
      </w:pPr>
      <w:r>
        <w:t>Sala Segunda. Auto 99/2024, de 21 de octubre de 2024. Acuerda la suspensión en el recurso de amparo 2179-2024, promovido por don Jesús Granados Hernández y doña Marta Rodríguez Hidalgo en pleito civil.</w:t>
      </w:r>
      <w:r>
        <w:tab/>
      </w:r>
      <w:r>
        <w:tab/>
      </w:r>
      <w:r>
        <w:fldChar w:fldCharType="begin"/>
      </w:r>
      <w:r>
        <w:instrText xml:space="preserve"> PAGEREF AUTO_2024_99 \h </w:instrText>
      </w:r>
      <w:r>
        <w:fldChar w:fldCharType="separate"/>
      </w:r>
      <w:r>
        <w:rPr>
          <w:noProof/>
        </w:rPr>
        <w:t>2664</w:t>
      </w:r>
      <w:r>
        <w:fldChar w:fldCharType="end"/>
      </w:r>
    </w:p>
    <w:p w14:paraId="2C6BB889" w14:textId="77777777" w:rsidR="00450063" w:rsidRDefault="00450063" w:rsidP="00450063"/>
    <w:p w14:paraId="1726A90C" w14:textId="300017BE" w:rsidR="00450063" w:rsidRDefault="00450063" w:rsidP="00450063">
      <w:pPr>
        <w:pStyle w:val="EntradandiceAuto"/>
      </w:pPr>
      <w:r>
        <w:t>Pleno. Auto 100/2024, de 22 de octubre de 2024. Desestima el recurso de súplica interpuesto en relación con el ATC 78/2024, de 10 de septiembre, que inadmitió una recusación formulada en el recurso de amparo 6155-2023, promovido por don Joaquim Torra i Pla y don Josep Costa i Rosselló en proceso contencioso-administrativo.</w:t>
      </w:r>
      <w:r>
        <w:tab/>
      </w:r>
      <w:r>
        <w:tab/>
      </w:r>
      <w:r>
        <w:fldChar w:fldCharType="begin"/>
      </w:r>
      <w:r>
        <w:instrText xml:space="preserve"> PAGEREF AUTO_2024_100 \h </w:instrText>
      </w:r>
      <w:r>
        <w:fldChar w:fldCharType="separate"/>
      </w:r>
      <w:r>
        <w:rPr>
          <w:noProof/>
        </w:rPr>
        <w:t>2669</w:t>
      </w:r>
      <w:r>
        <w:fldChar w:fldCharType="end"/>
      </w:r>
    </w:p>
    <w:p w14:paraId="3FE77DFC" w14:textId="77777777" w:rsidR="00450063" w:rsidRDefault="00450063" w:rsidP="00450063"/>
    <w:p w14:paraId="3915632C" w14:textId="00A6FFCC" w:rsidR="00450063" w:rsidRDefault="00450063" w:rsidP="00450063">
      <w:pPr>
        <w:pStyle w:val="EntradandiceAuto"/>
      </w:pPr>
      <w:r>
        <w:t>Pleno. Auto 101/2024, de 22 de octubre de 2024. Inadmite a trámite la cuestión de inconstitucionalidad 593-2024, planteada por la Sala de lo Social del Tribunal Superior de Justicia de Madrid, en relación con el segundo párrafo del artículo 221.2 del texto refundido de la Ley general de la Seguridad Social, aprobado por el Real Decreto Legislativo 8/2015, de 30 de octubre.</w:t>
      </w:r>
      <w:r>
        <w:tab/>
      </w:r>
      <w:r>
        <w:tab/>
      </w:r>
      <w:r>
        <w:fldChar w:fldCharType="begin"/>
      </w:r>
      <w:r>
        <w:instrText xml:space="preserve"> PAGEREF AUTO_2024_101 \h </w:instrText>
      </w:r>
      <w:r>
        <w:fldChar w:fldCharType="separate"/>
      </w:r>
      <w:r>
        <w:rPr>
          <w:noProof/>
        </w:rPr>
        <w:t>2674</w:t>
      </w:r>
      <w:r>
        <w:fldChar w:fldCharType="end"/>
      </w:r>
    </w:p>
    <w:p w14:paraId="1A01B588" w14:textId="77777777" w:rsidR="00450063" w:rsidRDefault="00450063" w:rsidP="00450063"/>
    <w:p w14:paraId="79DD268B" w14:textId="71CE72F1" w:rsidR="00450063" w:rsidRDefault="00450063" w:rsidP="00450063">
      <w:pPr>
        <w:pStyle w:val="EntradandiceAuto"/>
      </w:pPr>
      <w:r>
        <w:t>Pleno. Auto 102/2024, de 22 de octubre de 2024. Inadmite a trámite la cuestión de inconstitucionalidad 594-2024, planteada por la Sala de lo Social del Tribunal Superior de Justicia de Madrid, en relación con el segundo párrafo del artículo 221.2 del texto refundido de la Ley general de la Seguridad Social, aprobado por el Real Decreto Legislativo 8/2015, de 30 de octubre.</w:t>
      </w:r>
      <w:r>
        <w:tab/>
      </w:r>
      <w:r>
        <w:tab/>
      </w:r>
      <w:r>
        <w:fldChar w:fldCharType="begin"/>
      </w:r>
      <w:r>
        <w:instrText xml:space="preserve"> PAGEREF AUTO_2024_102 \h </w:instrText>
      </w:r>
      <w:r>
        <w:fldChar w:fldCharType="separate"/>
      </w:r>
      <w:r>
        <w:rPr>
          <w:noProof/>
        </w:rPr>
        <w:t>2681</w:t>
      </w:r>
      <w:r>
        <w:fldChar w:fldCharType="end"/>
      </w:r>
    </w:p>
    <w:p w14:paraId="63DF1876" w14:textId="77777777" w:rsidR="00450063" w:rsidRDefault="00450063" w:rsidP="00450063"/>
    <w:p w14:paraId="1BA78437" w14:textId="18BAA289" w:rsidR="00450063" w:rsidRDefault="00450063" w:rsidP="00450063">
      <w:pPr>
        <w:pStyle w:val="EntradandiceAuto"/>
      </w:pPr>
      <w:r>
        <w:t>Pleno. Auto 103/2024, de 22 de octubre de 2024. Inadmite a trámite la cuestión prejudicial de validez 2279-2024, planteada por el Juzgado de lo Contencioso-Administrativo núm. 3 de Donostia-San Sebastián en relación con el artículo 4.1 de la Norma Foral del territorio histórico de Gipuzkoa 16/1989, de 5 de julio, del impuesto sobre el incremento del valor de los terrenos de naturaleza urbana.</w:t>
      </w:r>
      <w:r>
        <w:tab/>
      </w:r>
      <w:r>
        <w:tab/>
      </w:r>
      <w:r>
        <w:fldChar w:fldCharType="begin"/>
      </w:r>
      <w:r>
        <w:instrText xml:space="preserve"> PAGEREF AUTO_2024_103 \h </w:instrText>
      </w:r>
      <w:r>
        <w:fldChar w:fldCharType="separate"/>
      </w:r>
      <w:r>
        <w:rPr>
          <w:noProof/>
        </w:rPr>
        <w:t>2692</w:t>
      </w:r>
      <w:r>
        <w:fldChar w:fldCharType="end"/>
      </w:r>
    </w:p>
    <w:p w14:paraId="6F961911" w14:textId="77777777" w:rsidR="00450063" w:rsidRDefault="00450063" w:rsidP="00450063"/>
    <w:p w14:paraId="41175610" w14:textId="7891F219" w:rsidR="00450063" w:rsidRDefault="00450063" w:rsidP="00450063">
      <w:pPr>
        <w:pStyle w:val="EntradandiceAuto"/>
      </w:pPr>
      <w:r>
        <w:t>Pleno. Auto 104/2024, de 22 de octubre de 2024. Deniega la suspensión en el recurso de amparo 4403-2024, promovido por don Alejandro Fernández Álvarez y otros catorce diputados del Parlamento de Cataluña en procedimiento parlamentario.</w:t>
      </w:r>
      <w:r>
        <w:tab/>
      </w:r>
      <w:r>
        <w:tab/>
      </w:r>
      <w:r>
        <w:fldChar w:fldCharType="begin"/>
      </w:r>
      <w:r>
        <w:instrText xml:space="preserve"> PAGEREF AUTO_2024_104 \h </w:instrText>
      </w:r>
      <w:r>
        <w:fldChar w:fldCharType="separate"/>
      </w:r>
      <w:r>
        <w:rPr>
          <w:noProof/>
        </w:rPr>
        <w:t>2696</w:t>
      </w:r>
      <w:r>
        <w:fldChar w:fldCharType="end"/>
      </w:r>
    </w:p>
    <w:p w14:paraId="0F7E21CF" w14:textId="77777777" w:rsidR="00450063" w:rsidRDefault="00450063" w:rsidP="00450063"/>
    <w:p w14:paraId="137DA5C3" w14:textId="61D42934" w:rsidR="00450063" w:rsidRDefault="00450063" w:rsidP="00450063">
      <w:pPr>
        <w:pStyle w:val="EntradandiceAuto"/>
      </w:pPr>
      <w:r>
        <w:t>Pleno. Auto 105/2024, de 22 de octubre de 2024. Inadmite una recusación en el recurso de inconstitucionalidad 6436-2024, interpuesto por más de cincuenta diputados y más de cincuenta senadores del Grupo Parlamentario Popular en el Congreso de los Diputados y en el Senado en relación con la Ley Orgánica 1/2024, de 10 de junio, de amnistía para la normalización institucional, política y social en Cataluña. Votos particulares.</w:t>
      </w:r>
      <w:r>
        <w:tab/>
      </w:r>
      <w:r>
        <w:tab/>
      </w:r>
      <w:r>
        <w:fldChar w:fldCharType="begin"/>
      </w:r>
      <w:r>
        <w:instrText xml:space="preserve"> PAGEREF AUTO_2024_105 \h </w:instrText>
      </w:r>
      <w:r>
        <w:fldChar w:fldCharType="separate"/>
      </w:r>
      <w:r>
        <w:rPr>
          <w:noProof/>
        </w:rPr>
        <w:t>2704</w:t>
      </w:r>
      <w:r>
        <w:fldChar w:fldCharType="end"/>
      </w:r>
    </w:p>
    <w:p w14:paraId="509BBFD1" w14:textId="77777777" w:rsidR="00450063" w:rsidRDefault="00450063" w:rsidP="00450063"/>
    <w:p w14:paraId="15B36112" w14:textId="0C3B2CB4" w:rsidR="00450063" w:rsidRDefault="00450063" w:rsidP="00450063">
      <w:pPr>
        <w:pStyle w:val="EntradandiceAuto"/>
      </w:pPr>
      <w:r>
        <w:t>Pleno. Auto 106/2024, de 22 de octubre de 2024. Inadmite una recusación en el recurso de inconstitucionalidad 6549-2024, interpuesto por el Consejo de Gobierno de la Comunidad de Madrid en relación con la Ley Orgánica 1/2024, de 10 de junio, de amnistía para la normalización institucional, política y social en Cataluña. Votos particulares.</w:t>
      </w:r>
      <w:r>
        <w:tab/>
      </w:r>
      <w:r>
        <w:tab/>
      </w:r>
      <w:r>
        <w:fldChar w:fldCharType="begin"/>
      </w:r>
      <w:r>
        <w:instrText xml:space="preserve"> PAGEREF AUTO_2024_106 \h </w:instrText>
      </w:r>
      <w:r>
        <w:fldChar w:fldCharType="separate"/>
      </w:r>
      <w:r>
        <w:rPr>
          <w:noProof/>
        </w:rPr>
        <w:t>2714</w:t>
      </w:r>
      <w:r>
        <w:fldChar w:fldCharType="end"/>
      </w:r>
    </w:p>
    <w:p w14:paraId="17500ECA" w14:textId="77777777" w:rsidR="00450063" w:rsidRDefault="00450063" w:rsidP="00450063"/>
    <w:p w14:paraId="2C73482C" w14:textId="78C68D31" w:rsidR="00450063" w:rsidRDefault="00450063" w:rsidP="00450063">
      <w:pPr>
        <w:pStyle w:val="EntradandiceAuto"/>
      </w:pPr>
      <w:r>
        <w:t>Pleno. Auto 107/2024, de 22 de octubre de 2024. Inadmite una recusación en el recurso de inconstitucionalidad 6556-2024, interpuesto por la Xunta de Galicia en relación con la Ley Orgánica 1/2024, de 10 de junio, de amnistía para la normalización institucional, política y social en Cataluña. Votos particulares.</w:t>
      </w:r>
      <w:r>
        <w:tab/>
      </w:r>
      <w:r>
        <w:tab/>
      </w:r>
      <w:r>
        <w:fldChar w:fldCharType="begin"/>
      </w:r>
      <w:r>
        <w:instrText xml:space="preserve"> PAGEREF AUTO_2024_107 \h </w:instrText>
      </w:r>
      <w:r>
        <w:fldChar w:fldCharType="separate"/>
      </w:r>
      <w:r>
        <w:rPr>
          <w:noProof/>
        </w:rPr>
        <w:t>2720</w:t>
      </w:r>
      <w:r>
        <w:fldChar w:fldCharType="end"/>
      </w:r>
    </w:p>
    <w:p w14:paraId="1BB8795E" w14:textId="77777777" w:rsidR="00450063" w:rsidRDefault="00450063" w:rsidP="00450063"/>
    <w:p w14:paraId="01D9EE79" w14:textId="0FB5F0C5" w:rsidR="00450063" w:rsidRDefault="00450063" w:rsidP="00450063">
      <w:pPr>
        <w:pStyle w:val="EntradandiceAuto"/>
      </w:pPr>
      <w:r>
        <w:t>Pleno. Auto 108/2024, de 22 de octubre de 2024. Inadmite una recusación en el recurso de inconstitucionalidad 6575-2024, interpuesto por el Consejo de Gobierno de la Comunidad Autónoma de Andalucía en relación con la Ley Orgánica 1/2024, de 10 de junio, de amnistía para la normalización institucional, política y social en Cataluña. Votos particulares.</w:t>
      </w:r>
      <w:r>
        <w:tab/>
      </w:r>
      <w:r>
        <w:tab/>
      </w:r>
      <w:r>
        <w:fldChar w:fldCharType="begin"/>
      </w:r>
      <w:r>
        <w:instrText xml:space="preserve"> PAGEREF AUTO_2024_108 \h </w:instrText>
      </w:r>
      <w:r>
        <w:fldChar w:fldCharType="separate"/>
      </w:r>
      <w:r>
        <w:rPr>
          <w:noProof/>
        </w:rPr>
        <w:t>2725</w:t>
      </w:r>
      <w:r>
        <w:fldChar w:fldCharType="end"/>
      </w:r>
    </w:p>
    <w:p w14:paraId="565ABA02" w14:textId="77777777" w:rsidR="00450063" w:rsidRDefault="00450063" w:rsidP="00450063"/>
    <w:p w14:paraId="13357C4D" w14:textId="7914F7F0" w:rsidR="00450063" w:rsidRDefault="00450063" w:rsidP="00450063">
      <w:pPr>
        <w:pStyle w:val="EntradandiceAuto"/>
      </w:pPr>
      <w:r>
        <w:t>Pleno. Auto 109/2024, de 22 de octubre de 2024. Inadmite una recusación en el recurso de inconstitucionalidad 6588-2024, interpuesto por el Consell de la Generalitat Valenciana en relación con la Ley Orgánica 1/2024, de 10 de junio, de amnistía para la normalización institucional, política y social en Cataluña. Votos particulares.</w:t>
      </w:r>
      <w:r>
        <w:tab/>
      </w:r>
      <w:r>
        <w:tab/>
      </w:r>
      <w:r>
        <w:fldChar w:fldCharType="begin"/>
      </w:r>
      <w:r>
        <w:instrText xml:space="preserve"> PAGEREF AUTO_2024_109 \h </w:instrText>
      </w:r>
      <w:r>
        <w:fldChar w:fldCharType="separate"/>
      </w:r>
      <w:r>
        <w:rPr>
          <w:noProof/>
        </w:rPr>
        <w:t>2730</w:t>
      </w:r>
      <w:r>
        <w:fldChar w:fldCharType="end"/>
      </w:r>
    </w:p>
    <w:p w14:paraId="5FF00524" w14:textId="77777777" w:rsidR="00450063" w:rsidRDefault="00450063" w:rsidP="00450063"/>
    <w:p w14:paraId="4A9E7558" w14:textId="1263DA7B" w:rsidR="00450063" w:rsidRDefault="00450063" w:rsidP="00450063">
      <w:pPr>
        <w:pStyle w:val="EntradandiceAuto"/>
      </w:pPr>
      <w:r>
        <w:t>Pleno. Auto 110/2024, de 22 de octubre de 2024. Inadmite una recusación en el recurso de inconstitucionalidad 6595-2024, interpuesto por el Consejo de Gobierno de la Junta de Castilla y León en relación con la Ley Orgánica 1/2024, de 10 de junio, de amnistía para la normalización institucional, política y social en Cataluña. Votos particulares.</w:t>
      </w:r>
      <w:r>
        <w:tab/>
      </w:r>
      <w:r>
        <w:tab/>
      </w:r>
      <w:r>
        <w:fldChar w:fldCharType="begin"/>
      </w:r>
      <w:r>
        <w:instrText xml:space="preserve"> PAGEREF AUTO_2024_110 \h </w:instrText>
      </w:r>
      <w:r>
        <w:fldChar w:fldCharType="separate"/>
      </w:r>
      <w:r>
        <w:rPr>
          <w:noProof/>
        </w:rPr>
        <w:t>2735</w:t>
      </w:r>
      <w:r>
        <w:fldChar w:fldCharType="end"/>
      </w:r>
    </w:p>
    <w:p w14:paraId="145CC4D7" w14:textId="77777777" w:rsidR="00450063" w:rsidRDefault="00450063" w:rsidP="00450063"/>
    <w:p w14:paraId="4042151F" w14:textId="614DEB82" w:rsidR="00450063" w:rsidRDefault="00450063" w:rsidP="00450063">
      <w:pPr>
        <w:pStyle w:val="EntradandiceAuto"/>
      </w:pPr>
      <w:r>
        <w:t>Pleno. Auto 111/2024, de 22 de octubre de 2024. Inadmite una recusación en el recurso de inconstitucionalidad 6616-2024, interpuesto por el Gobierno de Cantabria en relación con la Ley Orgánica 1/2024, de 10 de junio, de amnistía para la normalización institucional, política y social en Cataluña. Votos particulares.</w:t>
      </w:r>
      <w:r>
        <w:tab/>
      </w:r>
      <w:r>
        <w:tab/>
      </w:r>
      <w:r>
        <w:fldChar w:fldCharType="begin"/>
      </w:r>
      <w:r>
        <w:instrText xml:space="preserve"> PAGEREF AUTO_2024_111 \h </w:instrText>
      </w:r>
      <w:r>
        <w:fldChar w:fldCharType="separate"/>
      </w:r>
      <w:r>
        <w:rPr>
          <w:noProof/>
        </w:rPr>
        <w:t>2741</w:t>
      </w:r>
      <w:r>
        <w:fldChar w:fldCharType="end"/>
      </w:r>
    </w:p>
    <w:p w14:paraId="7F007B64" w14:textId="77777777" w:rsidR="00450063" w:rsidRDefault="00450063" w:rsidP="00450063"/>
    <w:p w14:paraId="2CE6A9CE" w14:textId="0471DDD8" w:rsidR="00450063" w:rsidRDefault="00450063" w:rsidP="00450063">
      <w:pPr>
        <w:pStyle w:val="EntradandiceAuto"/>
      </w:pPr>
      <w:r>
        <w:t>Pleno. Auto 112/2024, de 22 de octubre de 2024. Inadmite una recusación en el recurso de inconstitucionalidad 6617-2024, interpuesto por el Consejo de Gobierno de la Junta de Extremadura en relación con la Ley Orgánica 1/2024, de 10 de junio, de amnistía para la normalización institucional, política y social en Cataluña. Votos particulares.</w:t>
      </w:r>
      <w:r>
        <w:tab/>
      </w:r>
      <w:r>
        <w:tab/>
      </w:r>
      <w:r>
        <w:fldChar w:fldCharType="begin"/>
      </w:r>
      <w:r>
        <w:instrText xml:space="preserve"> PAGEREF AUTO_2024_112 \h </w:instrText>
      </w:r>
      <w:r>
        <w:fldChar w:fldCharType="separate"/>
      </w:r>
      <w:r>
        <w:rPr>
          <w:noProof/>
        </w:rPr>
        <w:t>2746</w:t>
      </w:r>
      <w:r>
        <w:fldChar w:fldCharType="end"/>
      </w:r>
    </w:p>
    <w:p w14:paraId="783BA536" w14:textId="77777777" w:rsidR="00450063" w:rsidRDefault="00450063" w:rsidP="00450063"/>
    <w:p w14:paraId="6866FEBD" w14:textId="19AEBE38" w:rsidR="00450063" w:rsidRDefault="00450063" w:rsidP="00450063">
      <w:pPr>
        <w:pStyle w:val="EntradandiceAuto"/>
      </w:pPr>
      <w:r>
        <w:t>Pleno. Auto 113/2024, de 22 de octubre de 2024. Inadmite una recusación en el recurso de inconstitucionalidad 6621-2024, interpuesto por el Consell de Govern de les Illes Balears en relación con la Ley Orgánica 1/2024, de 10 de junio, de amnistía para la normalización institucional, política y social en Cataluña. Votos particulares.</w:t>
      </w:r>
      <w:r>
        <w:tab/>
      </w:r>
      <w:r>
        <w:tab/>
      </w:r>
      <w:r>
        <w:fldChar w:fldCharType="begin"/>
      </w:r>
      <w:r>
        <w:instrText xml:space="preserve"> PAGEREF AUTO_2024_113 \h </w:instrText>
      </w:r>
      <w:r>
        <w:fldChar w:fldCharType="separate"/>
      </w:r>
      <w:r>
        <w:rPr>
          <w:noProof/>
        </w:rPr>
        <w:t>2751</w:t>
      </w:r>
      <w:r>
        <w:fldChar w:fldCharType="end"/>
      </w:r>
    </w:p>
    <w:p w14:paraId="1A8226C3" w14:textId="77777777" w:rsidR="00450063" w:rsidRDefault="00450063" w:rsidP="00450063"/>
    <w:p w14:paraId="43769889" w14:textId="063F3ED9" w:rsidR="00450063" w:rsidRDefault="00450063" w:rsidP="00450063">
      <w:pPr>
        <w:pStyle w:val="EntradandiceAuto"/>
      </w:pPr>
      <w:r>
        <w:t>Sección Segunda. Auto 114/2024, de 30 de octubre de 2024. Acepta una abstención en el recurso de amparo 1866-2024, promovido en procedimiento parlamentario.</w:t>
      </w:r>
      <w:r>
        <w:tab/>
      </w:r>
      <w:r>
        <w:tab/>
      </w:r>
      <w:r>
        <w:fldChar w:fldCharType="begin"/>
      </w:r>
      <w:r>
        <w:instrText xml:space="preserve"> PAGEREF AUTO_2024_114 \h </w:instrText>
      </w:r>
      <w:r>
        <w:fldChar w:fldCharType="separate"/>
      </w:r>
      <w:r>
        <w:rPr>
          <w:noProof/>
        </w:rPr>
        <w:t>2756</w:t>
      </w:r>
      <w:r>
        <w:fldChar w:fldCharType="end"/>
      </w:r>
    </w:p>
    <w:p w14:paraId="7A0CBEA2" w14:textId="77777777" w:rsidR="00450063" w:rsidRDefault="00450063" w:rsidP="00450063"/>
    <w:p w14:paraId="5C5B7ABE" w14:textId="0986226C" w:rsidR="00450063" w:rsidRDefault="00450063" w:rsidP="00450063">
      <w:pPr>
        <w:pStyle w:val="EntradandiceAuto"/>
      </w:pPr>
      <w:r>
        <w:t>Pleno. Auto 115/2024, de 5 de noviembre de 2024. Inadmite a trámite la cuestión de inconstitucionalidad 7488-2023, planteada por la Sala de lo Contencioso-Administrativo del Tribunal Superior de Justicia del País Vasco en relación con la disposición final primera de la Ley 22/2021, de 28 de diciembre, de presupuestos generales del Estado para el año 2022.</w:t>
      </w:r>
      <w:r>
        <w:tab/>
      </w:r>
      <w:r>
        <w:tab/>
      </w:r>
      <w:r>
        <w:fldChar w:fldCharType="begin"/>
      </w:r>
      <w:r>
        <w:instrText xml:space="preserve"> PAGEREF AUTO_2024_115 \h </w:instrText>
      </w:r>
      <w:r>
        <w:fldChar w:fldCharType="separate"/>
      </w:r>
      <w:r>
        <w:rPr>
          <w:noProof/>
        </w:rPr>
        <w:t>2758</w:t>
      </w:r>
      <w:r>
        <w:fldChar w:fldCharType="end"/>
      </w:r>
    </w:p>
    <w:p w14:paraId="490E1233" w14:textId="77777777" w:rsidR="00450063" w:rsidRDefault="00450063" w:rsidP="00450063"/>
    <w:p w14:paraId="50E8BB71" w14:textId="1B891BB8" w:rsidR="00450063" w:rsidRDefault="00450063" w:rsidP="00450063">
      <w:pPr>
        <w:pStyle w:val="EntradandiceAuto"/>
      </w:pPr>
      <w:r>
        <w:t>Pleno. Auto 116/2024, de 5 de noviembre de 2024. Inadmite una recusación en el recurso de inconstitucionalidad 6436-2024, interpuesto por más de cincuenta diputados y más de cincuenta senadores de los grupos parlamentarios Popular en el Congreso de los Diputados y en el Senado, respectivamente, en relación con la Ley Orgánica 1/2024, de 10 de junio, de amnistía para la normalización institucional, política y social en Cataluña.</w:t>
      </w:r>
      <w:r>
        <w:tab/>
      </w:r>
      <w:r>
        <w:tab/>
      </w:r>
      <w:r>
        <w:fldChar w:fldCharType="begin"/>
      </w:r>
      <w:r>
        <w:instrText xml:space="preserve"> PAGEREF AUTO_2024_116 \h </w:instrText>
      </w:r>
      <w:r>
        <w:fldChar w:fldCharType="separate"/>
      </w:r>
      <w:r>
        <w:rPr>
          <w:noProof/>
        </w:rPr>
        <w:t>2762</w:t>
      </w:r>
      <w:r>
        <w:fldChar w:fldCharType="end"/>
      </w:r>
    </w:p>
    <w:p w14:paraId="776DCA84" w14:textId="77777777" w:rsidR="00450063" w:rsidRDefault="00450063" w:rsidP="00450063"/>
    <w:p w14:paraId="6C7DFC8E" w14:textId="6EEA8583" w:rsidR="00450063" w:rsidRDefault="00450063" w:rsidP="00450063">
      <w:pPr>
        <w:pStyle w:val="EntradandiceAuto"/>
      </w:pPr>
      <w:r>
        <w:t>Pleno. Auto 117/2024, de 5 de noviembre de 2024. Inadmite una recusación en el recurso de inconstitucionalidad 6549-2024, interpuesto por el Consejo de Gobierno de la Comunidad de Madrid en relación con la Ley Orgánica 1/2024, de 10 de junio, de amnistía para la normalización institucional, política y social en Cataluña. Votos particulares.</w:t>
      </w:r>
      <w:r>
        <w:tab/>
      </w:r>
      <w:r>
        <w:tab/>
      </w:r>
      <w:r>
        <w:fldChar w:fldCharType="begin"/>
      </w:r>
      <w:r>
        <w:instrText xml:space="preserve"> PAGEREF AUTO_2024_117 \h </w:instrText>
      </w:r>
      <w:r>
        <w:fldChar w:fldCharType="separate"/>
      </w:r>
      <w:r>
        <w:rPr>
          <w:noProof/>
        </w:rPr>
        <w:t>2766</w:t>
      </w:r>
      <w:r>
        <w:fldChar w:fldCharType="end"/>
      </w:r>
    </w:p>
    <w:p w14:paraId="3E1D3030" w14:textId="77777777" w:rsidR="00450063" w:rsidRDefault="00450063" w:rsidP="00450063"/>
    <w:p w14:paraId="31A03E22" w14:textId="406AC815" w:rsidR="00450063" w:rsidRDefault="00450063" w:rsidP="00450063">
      <w:pPr>
        <w:pStyle w:val="EntradandiceAuto"/>
      </w:pPr>
      <w:r>
        <w:t>Pleno. Auto 118/2024, de 5 de noviembre de 2024. Inadmite una recusación en el recurso de inconstitucionalidad 6556-2024, interpuesto por la Xunta de Galicia en relación con la Ley Orgánica 1/2024, de 10 de junio, de amnistía para la normalización institucional, política y social en Cataluña. Votos particulares.</w:t>
      </w:r>
      <w:r>
        <w:tab/>
      </w:r>
      <w:r>
        <w:tab/>
      </w:r>
      <w:r>
        <w:fldChar w:fldCharType="begin"/>
      </w:r>
      <w:r>
        <w:instrText xml:space="preserve"> PAGEREF AUTO_2024_118 \h </w:instrText>
      </w:r>
      <w:r>
        <w:fldChar w:fldCharType="separate"/>
      </w:r>
      <w:r>
        <w:rPr>
          <w:noProof/>
        </w:rPr>
        <w:t>2771</w:t>
      </w:r>
      <w:r>
        <w:fldChar w:fldCharType="end"/>
      </w:r>
    </w:p>
    <w:p w14:paraId="0DD599FA" w14:textId="77777777" w:rsidR="00450063" w:rsidRDefault="00450063" w:rsidP="00450063"/>
    <w:p w14:paraId="06E01EA4" w14:textId="72A9085B" w:rsidR="00450063" w:rsidRDefault="00450063" w:rsidP="00450063">
      <w:pPr>
        <w:pStyle w:val="EntradandiceAuto"/>
      </w:pPr>
      <w:r>
        <w:t>Pleno. Auto 119/2024, de 5 de noviembre de 2024. Inadmite una recusación en el recurso de inconstitucionalidad 6575-2024, interpuesto por el Consejo de Gobierno de la Comunidad Autónoma de Andalucía en relación con la Ley Orgánica 1/2024, de 10 de junio, de amnistía para la normalización institucional, política y social en Cataluña. Votos particulares.</w:t>
      </w:r>
      <w:r>
        <w:tab/>
      </w:r>
      <w:r>
        <w:tab/>
      </w:r>
      <w:r>
        <w:fldChar w:fldCharType="begin"/>
      </w:r>
      <w:r>
        <w:instrText xml:space="preserve"> PAGEREF AUTO_2024_119 \h </w:instrText>
      </w:r>
      <w:r>
        <w:fldChar w:fldCharType="separate"/>
      </w:r>
      <w:r>
        <w:rPr>
          <w:noProof/>
        </w:rPr>
        <w:t>2776</w:t>
      </w:r>
      <w:r>
        <w:fldChar w:fldCharType="end"/>
      </w:r>
    </w:p>
    <w:p w14:paraId="2373A953" w14:textId="77777777" w:rsidR="00450063" w:rsidRDefault="00450063" w:rsidP="00450063"/>
    <w:p w14:paraId="6D743FB8" w14:textId="304AC9E3" w:rsidR="00450063" w:rsidRDefault="00450063" w:rsidP="00450063">
      <w:pPr>
        <w:pStyle w:val="EntradandiceAuto"/>
      </w:pPr>
      <w:r>
        <w:t>Pleno. Auto 120/2024, de 5 de noviembre de 2024. Inadmite una recusación en el recurso de inconstitucionalidad 6588-2024, interpuesto por el Consell de la Generalitat Valenciana en relación con la Ley Orgánica 1/2024, de 10 de junio, de amnistía para la normalización institucional, política y social en Cataluña. Votos particulares.</w:t>
      </w:r>
      <w:r>
        <w:tab/>
      </w:r>
      <w:r>
        <w:tab/>
      </w:r>
      <w:r>
        <w:fldChar w:fldCharType="begin"/>
      </w:r>
      <w:r>
        <w:instrText xml:space="preserve"> PAGEREF AUTO_2024_120 \h </w:instrText>
      </w:r>
      <w:r>
        <w:fldChar w:fldCharType="separate"/>
      </w:r>
      <w:r>
        <w:rPr>
          <w:noProof/>
        </w:rPr>
        <w:t>2781</w:t>
      </w:r>
      <w:r>
        <w:fldChar w:fldCharType="end"/>
      </w:r>
    </w:p>
    <w:p w14:paraId="5C6C17DD" w14:textId="77777777" w:rsidR="00450063" w:rsidRDefault="00450063" w:rsidP="00450063"/>
    <w:p w14:paraId="647EF040" w14:textId="04674498" w:rsidR="00450063" w:rsidRDefault="00450063" w:rsidP="00450063">
      <w:pPr>
        <w:pStyle w:val="EntradandiceAuto"/>
      </w:pPr>
      <w:r>
        <w:t>Pleno. Auto 121/2024, de 5 de noviembre de 2024. Inadmite una recusación en el recurso de inconstitucionalidad 6595-2024, interpuesto por el Consejo de Gobierno de la Junta de Castilla y León en relación con la Ley Orgánica 1/2024, de 10 de junio, de amnistía para la normalización institucional, política y social en Cataluña. Votos particulares.</w:t>
      </w:r>
      <w:r>
        <w:tab/>
      </w:r>
      <w:r>
        <w:tab/>
      </w:r>
      <w:r>
        <w:fldChar w:fldCharType="begin"/>
      </w:r>
      <w:r>
        <w:instrText xml:space="preserve"> PAGEREF AUTO_2024_121 \h </w:instrText>
      </w:r>
      <w:r>
        <w:fldChar w:fldCharType="separate"/>
      </w:r>
      <w:r>
        <w:rPr>
          <w:noProof/>
        </w:rPr>
        <w:t>2786</w:t>
      </w:r>
      <w:r>
        <w:fldChar w:fldCharType="end"/>
      </w:r>
    </w:p>
    <w:p w14:paraId="5F4CAB72" w14:textId="77777777" w:rsidR="00450063" w:rsidRDefault="00450063" w:rsidP="00450063"/>
    <w:p w14:paraId="369D33E1" w14:textId="2A8607CB" w:rsidR="00450063" w:rsidRDefault="00450063" w:rsidP="00450063">
      <w:pPr>
        <w:pStyle w:val="EntradandiceAuto"/>
      </w:pPr>
      <w:r>
        <w:t>Pleno. Auto 122/2024, de 5 de noviembre de 2024. Inadmite una recusación en el recurso de inconstitucionalidad 6616-2024, interpuesto por el Gobierno de Cantabria en relación con la Ley Orgánica 1/2024, de 10 de junio, de amnistía para la normalización institucional, política y social en Cataluña. Votos particulares.</w:t>
      </w:r>
      <w:r>
        <w:tab/>
      </w:r>
      <w:r>
        <w:tab/>
      </w:r>
      <w:r>
        <w:fldChar w:fldCharType="begin"/>
      </w:r>
      <w:r>
        <w:instrText xml:space="preserve"> PAGEREF AUTO_2024_122 \h </w:instrText>
      </w:r>
      <w:r>
        <w:fldChar w:fldCharType="separate"/>
      </w:r>
      <w:r>
        <w:rPr>
          <w:noProof/>
        </w:rPr>
        <w:t>2791</w:t>
      </w:r>
      <w:r>
        <w:fldChar w:fldCharType="end"/>
      </w:r>
    </w:p>
    <w:p w14:paraId="6094292B" w14:textId="77777777" w:rsidR="00450063" w:rsidRDefault="00450063" w:rsidP="00450063"/>
    <w:p w14:paraId="67D5813D" w14:textId="730498BE" w:rsidR="00450063" w:rsidRDefault="00450063" w:rsidP="00450063">
      <w:pPr>
        <w:pStyle w:val="EntradandiceAuto"/>
      </w:pPr>
      <w:r>
        <w:t>Pleno. Auto 123/2024, de 5 de noviembre de 2024. Inadmite una recusación en el recurso de inconstitucionalidad 6617-2024, interpuesto por el Consejo de Gobierno de la Junta de Extremadura en relación con la Ley Orgánica 1/2024, de 10 de junio, de amnistía para la normalización institucional, política y social en Cataluña. Votos particulares.</w:t>
      </w:r>
      <w:r>
        <w:tab/>
      </w:r>
      <w:r>
        <w:tab/>
      </w:r>
      <w:r>
        <w:fldChar w:fldCharType="begin"/>
      </w:r>
      <w:r>
        <w:instrText xml:space="preserve"> PAGEREF AUTO_2024_123 \h </w:instrText>
      </w:r>
      <w:r>
        <w:fldChar w:fldCharType="separate"/>
      </w:r>
      <w:r>
        <w:rPr>
          <w:noProof/>
        </w:rPr>
        <w:t>2796</w:t>
      </w:r>
      <w:r>
        <w:fldChar w:fldCharType="end"/>
      </w:r>
    </w:p>
    <w:p w14:paraId="581A44CA" w14:textId="77777777" w:rsidR="00450063" w:rsidRDefault="00450063" w:rsidP="00450063"/>
    <w:p w14:paraId="4472F19B" w14:textId="3A6321AA" w:rsidR="00450063" w:rsidRDefault="00450063" w:rsidP="00450063">
      <w:pPr>
        <w:pStyle w:val="EntradandiceAuto"/>
      </w:pPr>
      <w:r>
        <w:t>Pleno. Auto 124/2024, de 5 de noviembre de 2024. Inadmite una recusación en el recurso de inconstitucionalidad 6621-2024, interpuesto por el Consell de Govern de las Illes Balears en relación con la Ley Orgánica 1/2024, de 10 de junio, de amnistía para la normalización institucional, política y social en Cataluña. Votos particulares.</w:t>
      </w:r>
      <w:r>
        <w:tab/>
      </w:r>
      <w:r>
        <w:tab/>
      </w:r>
      <w:r>
        <w:fldChar w:fldCharType="begin"/>
      </w:r>
      <w:r>
        <w:instrText xml:space="preserve"> PAGEREF AUTO_2024_124 \h </w:instrText>
      </w:r>
      <w:r>
        <w:fldChar w:fldCharType="separate"/>
      </w:r>
      <w:r>
        <w:rPr>
          <w:noProof/>
        </w:rPr>
        <w:t>2801</w:t>
      </w:r>
      <w:r>
        <w:fldChar w:fldCharType="end"/>
      </w:r>
    </w:p>
    <w:p w14:paraId="18E1EC5D" w14:textId="77777777" w:rsidR="00450063" w:rsidRDefault="00450063" w:rsidP="00450063"/>
    <w:p w14:paraId="59BCE40B" w14:textId="4E8B2FA4" w:rsidR="00450063" w:rsidRDefault="00450063" w:rsidP="00450063">
      <w:pPr>
        <w:pStyle w:val="EntradandiceAuto"/>
      </w:pPr>
      <w:r>
        <w:t>Pleno. Auto 125/2024, de 19 de noviembre de 2024. Acuerda no haber lugar al incidente de ejecución de la STC 77/2023, de 20 de junio, dictada en el recurso de amparo 2646-2019, promovido por doña Argentina Cuendias Álvarez en procedimiento parlamentario.</w:t>
      </w:r>
      <w:r>
        <w:tab/>
      </w:r>
      <w:r>
        <w:tab/>
      </w:r>
      <w:r>
        <w:fldChar w:fldCharType="begin"/>
      </w:r>
      <w:r>
        <w:instrText xml:space="preserve"> PAGEREF AUTO_2024_125 \h </w:instrText>
      </w:r>
      <w:r>
        <w:fldChar w:fldCharType="separate"/>
      </w:r>
      <w:r>
        <w:rPr>
          <w:noProof/>
        </w:rPr>
        <w:t>2806</w:t>
      </w:r>
      <w:r>
        <w:fldChar w:fldCharType="end"/>
      </w:r>
    </w:p>
    <w:p w14:paraId="082329C4" w14:textId="77777777" w:rsidR="00450063" w:rsidRDefault="00450063" w:rsidP="00450063"/>
    <w:p w14:paraId="52D498A9" w14:textId="05A765FC" w:rsidR="00450063" w:rsidRDefault="00450063" w:rsidP="00450063">
      <w:pPr>
        <w:pStyle w:val="EntradandiceAuto"/>
      </w:pPr>
      <w:r>
        <w:t>Pleno. Auto 126/2024, de 19 de noviembre de 2024. Mantiene parcialmente la suspensión en el recurso de inconstitucionalidad 4925-2024, interpuesto por el presidente del Gobierno en relación con varios apartados del artículo único de la Ley de la Asamblea de Madrid 17/2023, de 27 de diciembre, por la que se modifica la Ley 2/2016, de 29 de marzo, de identidad y expresión de género e igualdad social y no discriminación de la Comunidad de Madrid. Voto particular.</w:t>
      </w:r>
      <w:r>
        <w:tab/>
      </w:r>
      <w:r>
        <w:tab/>
      </w:r>
      <w:r>
        <w:fldChar w:fldCharType="begin"/>
      </w:r>
      <w:r>
        <w:instrText xml:space="preserve"> PAGEREF AUTO_2024_126 \h </w:instrText>
      </w:r>
      <w:r>
        <w:fldChar w:fldCharType="separate"/>
      </w:r>
      <w:r>
        <w:rPr>
          <w:noProof/>
        </w:rPr>
        <w:t>2813</w:t>
      </w:r>
      <w:r>
        <w:fldChar w:fldCharType="end"/>
      </w:r>
    </w:p>
    <w:p w14:paraId="78D528E8" w14:textId="77777777" w:rsidR="00450063" w:rsidRDefault="00450063" w:rsidP="00450063"/>
    <w:p w14:paraId="544E256E" w14:textId="5A8525EE" w:rsidR="00450063" w:rsidRDefault="00450063" w:rsidP="00450063">
      <w:pPr>
        <w:pStyle w:val="EntradandiceAuto"/>
      </w:pPr>
      <w:r>
        <w:t>Pleno. Auto 127/2024, de 19 de noviembre de 2024. Mantiene la suspensión acordada en el recurso de inconstitucionalidad 4926-2024, interpuesto por el presidente del Gobierno en relación con el apartado décimo cuarto ter del artículo único de la Ley de la Asamblea de Madrid 18/2023, de 27 de diciembre, por la que se modifica la Ley 3/2016, de 22 de julio, de protección integral contra la LGTBIfobia y la discriminación por razón de orientación e identidad sexual en la Comunidad de Madrid.</w:t>
      </w:r>
      <w:r>
        <w:tab/>
      </w:r>
      <w:r>
        <w:tab/>
      </w:r>
      <w:r>
        <w:fldChar w:fldCharType="begin"/>
      </w:r>
      <w:r>
        <w:instrText xml:space="preserve"> PAGEREF AUTO_2024_127 \h </w:instrText>
      </w:r>
      <w:r>
        <w:fldChar w:fldCharType="separate"/>
      </w:r>
      <w:r>
        <w:rPr>
          <w:noProof/>
        </w:rPr>
        <w:t>2828</w:t>
      </w:r>
      <w:r>
        <w:fldChar w:fldCharType="end"/>
      </w:r>
    </w:p>
    <w:p w14:paraId="27D1F7A1" w14:textId="77777777" w:rsidR="00450063" w:rsidRDefault="00450063" w:rsidP="00450063"/>
    <w:p w14:paraId="49CAA9BD" w14:textId="29621131" w:rsidR="00450063" w:rsidRDefault="00450063" w:rsidP="00450063">
      <w:pPr>
        <w:pStyle w:val="EntradandiceAuto"/>
      </w:pPr>
      <w:r>
        <w:t>Pleno. Auto 128/2024, de 19 de noviembre de 2024. Inadmite las recusaciones formuladas en el recurso de amparo 5554-2024, promovido por don Fernando Argote Pons en causa penal.</w:t>
      </w:r>
      <w:r>
        <w:tab/>
      </w:r>
      <w:r>
        <w:tab/>
      </w:r>
      <w:r>
        <w:fldChar w:fldCharType="begin"/>
      </w:r>
      <w:r>
        <w:instrText xml:space="preserve"> PAGEREF AUTO_2024_128 \h </w:instrText>
      </w:r>
      <w:r>
        <w:fldChar w:fldCharType="separate"/>
      </w:r>
      <w:r>
        <w:rPr>
          <w:noProof/>
        </w:rPr>
        <w:t>2838</w:t>
      </w:r>
      <w:r>
        <w:fldChar w:fldCharType="end"/>
      </w:r>
    </w:p>
    <w:p w14:paraId="1504071F" w14:textId="77777777" w:rsidR="00450063" w:rsidRDefault="00450063" w:rsidP="00450063"/>
    <w:p w14:paraId="7FC4BE33" w14:textId="02A41E65" w:rsidR="00450063" w:rsidRDefault="00450063" w:rsidP="00450063">
      <w:pPr>
        <w:pStyle w:val="EntradandiceAuto"/>
      </w:pPr>
      <w:r>
        <w:t>Pleno. Auto 129/2024, de 19 de noviembre de 2024. Inadmite una recusación en el recurso de inconstitucionalidad 6486-2024, interpuesto por las Cortes de Aragón en relación con la Ley Orgánica 1/2024, de 10 de junio, de amnistía para la normalización institucional, política y social en Cataluña.</w:t>
      </w:r>
      <w:r>
        <w:tab/>
      </w:r>
      <w:r>
        <w:tab/>
      </w:r>
      <w:r>
        <w:fldChar w:fldCharType="begin"/>
      </w:r>
      <w:r>
        <w:instrText xml:space="preserve"> PAGEREF AUTO_2024_129 \h </w:instrText>
      </w:r>
      <w:r>
        <w:fldChar w:fldCharType="separate"/>
      </w:r>
      <w:r>
        <w:rPr>
          <w:noProof/>
        </w:rPr>
        <w:t>2841</w:t>
      </w:r>
      <w:r>
        <w:fldChar w:fldCharType="end"/>
      </w:r>
    </w:p>
    <w:p w14:paraId="653DECFB" w14:textId="77777777" w:rsidR="00450063" w:rsidRDefault="00450063" w:rsidP="00450063"/>
    <w:p w14:paraId="2CF0C3DC" w14:textId="344ED6CC" w:rsidR="00450063" w:rsidRDefault="00450063" w:rsidP="00450063">
      <w:pPr>
        <w:pStyle w:val="EntradandiceAuto"/>
      </w:pPr>
      <w:r>
        <w:t>Pleno. Auto 130/2024, de 19 de noviembre de 2024. Inadmite una recusación en el recurso de inconstitucionalidad 6525-2024, interpuesto por el Parlamento de Cantabria en relación con la Ley Orgánica 1/2024, de 10 de junio, de amnistía para la normalización institucional, política y social en Cataluña.</w:t>
      </w:r>
      <w:r>
        <w:tab/>
      </w:r>
      <w:r>
        <w:tab/>
      </w:r>
      <w:r>
        <w:fldChar w:fldCharType="begin"/>
      </w:r>
      <w:r>
        <w:instrText xml:space="preserve"> PAGEREF AUTO_2024_130 \h </w:instrText>
      </w:r>
      <w:r>
        <w:fldChar w:fldCharType="separate"/>
      </w:r>
      <w:r>
        <w:rPr>
          <w:noProof/>
        </w:rPr>
        <w:t>2843</w:t>
      </w:r>
      <w:r>
        <w:fldChar w:fldCharType="end"/>
      </w:r>
    </w:p>
    <w:p w14:paraId="1CD1728A" w14:textId="77777777" w:rsidR="00450063" w:rsidRDefault="00450063" w:rsidP="00450063"/>
    <w:p w14:paraId="441493ED" w14:textId="5AB4ACD9" w:rsidR="00450063" w:rsidRDefault="00450063" w:rsidP="00450063">
      <w:pPr>
        <w:pStyle w:val="EntradandiceAuto"/>
      </w:pPr>
      <w:r>
        <w:t>Pleno. Auto 131/2024, de 19 de noviembre de 2024. Inadmite una recusación en el recurso de inconstitucionalidad 6547-2024, interpuesto por el Gobierno de Aragón en relación con la Ley Orgánica 1/2024, de 10 de junio, de amnistía para la normalización institucional, política y social en Cataluña.</w:t>
      </w:r>
      <w:r>
        <w:tab/>
      </w:r>
      <w:r>
        <w:tab/>
      </w:r>
      <w:r>
        <w:fldChar w:fldCharType="begin"/>
      </w:r>
      <w:r>
        <w:instrText xml:space="preserve"> PAGEREF AUTO_2024_131 \h </w:instrText>
      </w:r>
      <w:r>
        <w:fldChar w:fldCharType="separate"/>
      </w:r>
      <w:r>
        <w:rPr>
          <w:noProof/>
        </w:rPr>
        <w:t>2845</w:t>
      </w:r>
      <w:r>
        <w:fldChar w:fldCharType="end"/>
      </w:r>
    </w:p>
    <w:p w14:paraId="53E0356D" w14:textId="77777777" w:rsidR="00450063" w:rsidRDefault="00450063" w:rsidP="00450063"/>
    <w:p w14:paraId="4EA39BD2" w14:textId="24AF12B2" w:rsidR="00450063" w:rsidRDefault="00450063" w:rsidP="00450063">
      <w:pPr>
        <w:pStyle w:val="EntradandiceAuto"/>
      </w:pPr>
      <w:r>
        <w:t>Pleno. Auto 132/2024, de 19 de noviembre de 2024. Inadmite una recusación en el recurso de inconstitucionalidad 6549-2024, interpuesto por el Consejo de Gobierno de la Comunidad de Madrid en relación con la Ley Orgánica 1/2024, de 10 de junio, de amnistía para la normalización institucional, política y social en Cataluña.</w:t>
      </w:r>
      <w:r>
        <w:tab/>
      </w:r>
      <w:r>
        <w:tab/>
      </w:r>
      <w:r>
        <w:fldChar w:fldCharType="begin"/>
      </w:r>
      <w:r>
        <w:instrText xml:space="preserve"> PAGEREF AUTO_2024_132 \h </w:instrText>
      </w:r>
      <w:r>
        <w:fldChar w:fldCharType="separate"/>
      </w:r>
      <w:r>
        <w:rPr>
          <w:noProof/>
        </w:rPr>
        <w:t>2847</w:t>
      </w:r>
      <w:r>
        <w:fldChar w:fldCharType="end"/>
      </w:r>
    </w:p>
    <w:p w14:paraId="2F132305" w14:textId="77777777" w:rsidR="00450063" w:rsidRDefault="00450063" w:rsidP="00450063"/>
    <w:p w14:paraId="4AB47435" w14:textId="4CD23394" w:rsidR="00450063" w:rsidRDefault="00450063" w:rsidP="00450063">
      <w:pPr>
        <w:pStyle w:val="EntradandiceAuto"/>
      </w:pPr>
      <w:r>
        <w:t>Pleno. Auto 133/2024, de 19 de noviembre de 2024. Inadmite una recusación en el recurso de inconstitucionalidad 6552-2024, interpuesto por el Consejo de Gobierno de la Junta de Comunidades de Castilla-La Mancha en relación con la Ley Orgánica 1/2024, de 10 de junio, de amnistía para la normalización institucional, política y social en Cataluña.</w:t>
      </w:r>
      <w:r>
        <w:tab/>
      </w:r>
      <w:r>
        <w:tab/>
      </w:r>
      <w:r>
        <w:fldChar w:fldCharType="begin"/>
      </w:r>
      <w:r>
        <w:instrText xml:space="preserve"> PAGEREF AUTO_2024_133 \h </w:instrText>
      </w:r>
      <w:r>
        <w:fldChar w:fldCharType="separate"/>
      </w:r>
      <w:r>
        <w:rPr>
          <w:noProof/>
        </w:rPr>
        <w:t>2849</w:t>
      </w:r>
      <w:r>
        <w:fldChar w:fldCharType="end"/>
      </w:r>
    </w:p>
    <w:p w14:paraId="1A437E08" w14:textId="77777777" w:rsidR="00450063" w:rsidRDefault="00450063" w:rsidP="00450063"/>
    <w:p w14:paraId="417FDAF8" w14:textId="35D83628" w:rsidR="00450063" w:rsidRDefault="00450063" w:rsidP="00450063">
      <w:pPr>
        <w:pStyle w:val="EntradandiceAuto"/>
      </w:pPr>
      <w:r>
        <w:t>Pleno. Auto 134/2024, de 19 de noviembre de 2024. Inadmite una recusación en el recurso de inconstitucionalidad 6556-2024, interpuesto por la Xunta de Galicia en relación con la Ley Orgánica 1/2024, de 10 de junio, de amnistía para la normalización institucional, política y social en Cataluña.</w:t>
      </w:r>
      <w:r>
        <w:tab/>
      </w:r>
      <w:r>
        <w:tab/>
      </w:r>
      <w:r>
        <w:fldChar w:fldCharType="begin"/>
      </w:r>
      <w:r>
        <w:instrText xml:space="preserve"> PAGEREF AUTO_2024_134 \h </w:instrText>
      </w:r>
      <w:r>
        <w:fldChar w:fldCharType="separate"/>
      </w:r>
      <w:r>
        <w:rPr>
          <w:noProof/>
        </w:rPr>
        <w:t>2851</w:t>
      </w:r>
      <w:r>
        <w:fldChar w:fldCharType="end"/>
      </w:r>
    </w:p>
    <w:p w14:paraId="71100868" w14:textId="77777777" w:rsidR="00450063" w:rsidRDefault="00450063" w:rsidP="00450063"/>
    <w:p w14:paraId="2A268CE7" w14:textId="6C2E3CFE" w:rsidR="00450063" w:rsidRDefault="00450063" w:rsidP="00450063">
      <w:pPr>
        <w:pStyle w:val="EntradandiceAuto"/>
      </w:pPr>
      <w:r>
        <w:t>Pleno. Auto 135/2024, de 19 de noviembre de 2024. Inadmite una recusación en el recurso de inconstitucionalidad 6560-2024, interpuesto por el Gobierno de la Región de Murcia en relación con la Ley Orgánica 1/2024, de 10 de junio, de amnistía para la normalización institucional, política y social en Cataluña.</w:t>
      </w:r>
      <w:r>
        <w:tab/>
      </w:r>
      <w:r>
        <w:tab/>
      </w:r>
      <w:r>
        <w:fldChar w:fldCharType="begin"/>
      </w:r>
      <w:r>
        <w:instrText xml:space="preserve"> PAGEREF AUTO_2024_135 \h </w:instrText>
      </w:r>
      <w:r>
        <w:fldChar w:fldCharType="separate"/>
      </w:r>
      <w:r>
        <w:rPr>
          <w:noProof/>
        </w:rPr>
        <w:t>2853</w:t>
      </w:r>
      <w:r>
        <w:fldChar w:fldCharType="end"/>
      </w:r>
    </w:p>
    <w:p w14:paraId="141DA310" w14:textId="77777777" w:rsidR="00450063" w:rsidRDefault="00450063" w:rsidP="00450063"/>
    <w:p w14:paraId="3002F553" w14:textId="6760092B" w:rsidR="00450063" w:rsidRDefault="00450063" w:rsidP="00450063">
      <w:pPr>
        <w:pStyle w:val="EntradandiceAuto"/>
      </w:pPr>
      <w:r>
        <w:t>Pleno. Auto 136/2024, de 19 de noviembre de 2024. Inadmite una recusación en el recurso de inconstitucionalidad 6562-2024, interpuesto por la Asamblea Regional de Murcia en relación con la Ley Orgánica 1/2024, de 10 de junio, de amnistía para la normalización institucional, política y social en Cataluña.</w:t>
      </w:r>
      <w:r>
        <w:tab/>
      </w:r>
      <w:r>
        <w:tab/>
      </w:r>
      <w:r>
        <w:fldChar w:fldCharType="begin"/>
      </w:r>
      <w:r>
        <w:instrText xml:space="preserve"> PAGEREF AUTO_2024_136 \h </w:instrText>
      </w:r>
      <w:r>
        <w:fldChar w:fldCharType="separate"/>
      </w:r>
      <w:r>
        <w:rPr>
          <w:noProof/>
        </w:rPr>
        <w:t>2855</w:t>
      </w:r>
      <w:r>
        <w:fldChar w:fldCharType="end"/>
      </w:r>
    </w:p>
    <w:p w14:paraId="57882D38" w14:textId="77777777" w:rsidR="00450063" w:rsidRDefault="00450063" w:rsidP="00450063"/>
    <w:p w14:paraId="5BE65F4A" w14:textId="1A9BBF03" w:rsidR="00450063" w:rsidRDefault="00450063" w:rsidP="00450063">
      <w:pPr>
        <w:pStyle w:val="EntradandiceAuto"/>
      </w:pPr>
      <w:r>
        <w:t>Pleno. Auto 137/2024, de 19 de noviembre de 2024. Inadmite una recusación en el recurso de inconstitucionalidad 6575-2024, interpuesto por la Junta de Andalucía en relación con la Ley Orgánica 1/2024, de 10 de junio, de amnistía para la normalización institucional, política y social en Cataluña.</w:t>
      </w:r>
      <w:r>
        <w:tab/>
      </w:r>
      <w:r>
        <w:tab/>
      </w:r>
      <w:r>
        <w:fldChar w:fldCharType="begin"/>
      </w:r>
      <w:r>
        <w:instrText xml:space="preserve"> PAGEREF AUTO_2024_137 \h </w:instrText>
      </w:r>
      <w:r>
        <w:fldChar w:fldCharType="separate"/>
      </w:r>
      <w:r>
        <w:rPr>
          <w:noProof/>
        </w:rPr>
        <w:t>2857</w:t>
      </w:r>
      <w:r>
        <w:fldChar w:fldCharType="end"/>
      </w:r>
    </w:p>
    <w:p w14:paraId="78EEF844" w14:textId="77777777" w:rsidR="00450063" w:rsidRDefault="00450063" w:rsidP="00450063"/>
    <w:p w14:paraId="195EFF97" w14:textId="42F63B91" w:rsidR="00450063" w:rsidRDefault="00450063" w:rsidP="00450063">
      <w:pPr>
        <w:pStyle w:val="EntradandiceAuto"/>
      </w:pPr>
      <w:r>
        <w:t>Pleno. Auto 138/2024, de 19 de noviembre de 2024. Inadmite una recusación en el recurso de inconstitucionalidad 6588-2024, interpuesto por la Generalitat Valenciana en relación con la Ley Orgánica 1/2024, de 10 de junio, de amnistía para la normalización institucional, política y social en Cataluña.</w:t>
      </w:r>
      <w:r>
        <w:tab/>
      </w:r>
      <w:r>
        <w:tab/>
      </w:r>
      <w:r>
        <w:fldChar w:fldCharType="begin"/>
      </w:r>
      <w:r>
        <w:instrText xml:space="preserve"> PAGEREF AUTO_2024_138 \h </w:instrText>
      </w:r>
      <w:r>
        <w:fldChar w:fldCharType="separate"/>
      </w:r>
      <w:r>
        <w:rPr>
          <w:noProof/>
        </w:rPr>
        <w:t>2859</w:t>
      </w:r>
      <w:r>
        <w:fldChar w:fldCharType="end"/>
      </w:r>
    </w:p>
    <w:p w14:paraId="318D8EDC" w14:textId="77777777" w:rsidR="00450063" w:rsidRDefault="00450063" w:rsidP="00450063"/>
    <w:p w14:paraId="7F0C198D" w14:textId="77867369" w:rsidR="00450063" w:rsidRDefault="00450063" w:rsidP="00450063">
      <w:pPr>
        <w:pStyle w:val="EntradandiceAuto"/>
      </w:pPr>
      <w:r>
        <w:t>Pleno. Auto 139/2024, de 19 de noviembre de 2024. Inadmite una recusación en el recurso de inconstitucionalidad 6595-2024, interpuesto por la Junta de Castilla y León en relación con la Ley Orgánica 1/2024, de 10 de junio, de amnistía para la normalización institucional, política y social en Cataluña.</w:t>
      </w:r>
      <w:r>
        <w:tab/>
      </w:r>
      <w:r>
        <w:tab/>
      </w:r>
      <w:r>
        <w:fldChar w:fldCharType="begin"/>
      </w:r>
      <w:r>
        <w:instrText xml:space="preserve"> PAGEREF AUTO_2024_139 \h </w:instrText>
      </w:r>
      <w:r>
        <w:fldChar w:fldCharType="separate"/>
      </w:r>
      <w:r>
        <w:rPr>
          <w:noProof/>
        </w:rPr>
        <w:t>2861</w:t>
      </w:r>
      <w:r>
        <w:fldChar w:fldCharType="end"/>
      </w:r>
    </w:p>
    <w:p w14:paraId="53D3E59F" w14:textId="77777777" w:rsidR="00450063" w:rsidRDefault="00450063" w:rsidP="00450063"/>
    <w:p w14:paraId="47BD7A5C" w14:textId="20430695" w:rsidR="00450063" w:rsidRDefault="00450063" w:rsidP="00450063">
      <w:pPr>
        <w:pStyle w:val="EntradandiceAuto"/>
      </w:pPr>
      <w:r>
        <w:t>Pleno. Auto 140/2024, de 19 de noviembre de 2024. Inadmite una recusación en la cuestión de inconstitucionalidad 6596-2024, planteada por la Sala de lo Civil y Penal del Tribunal Superior de Justicia de Cataluña en relación con la Ley Orgánica 1/2024, de 10 de junio, de amnistía para la normalización institucional, política y social en Cataluña.</w:t>
      </w:r>
      <w:r>
        <w:tab/>
      </w:r>
      <w:r>
        <w:tab/>
      </w:r>
      <w:r>
        <w:fldChar w:fldCharType="begin"/>
      </w:r>
      <w:r>
        <w:instrText xml:space="preserve"> PAGEREF AUTO_2024_140 \h </w:instrText>
      </w:r>
      <w:r>
        <w:fldChar w:fldCharType="separate"/>
      </w:r>
      <w:r>
        <w:rPr>
          <w:noProof/>
        </w:rPr>
        <w:t>2863</w:t>
      </w:r>
      <w:r>
        <w:fldChar w:fldCharType="end"/>
      </w:r>
    </w:p>
    <w:p w14:paraId="1138CD23" w14:textId="77777777" w:rsidR="00450063" w:rsidRDefault="00450063" w:rsidP="00450063"/>
    <w:p w14:paraId="24CDDEA3" w14:textId="76457256" w:rsidR="00450063" w:rsidRDefault="00450063" w:rsidP="00450063">
      <w:pPr>
        <w:pStyle w:val="EntradandiceAuto"/>
      </w:pPr>
      <w:r>
        <w:t>Pleno. Auto 141/2024, de 19 de noviembre de 2024. Inadmite una recusación en la cuestión de inconstitucionalidad 6597-2024, planteada por la Sala de lo Civil y Penal del Tribunal Superior de Justicia de Cataluña en relación con la Ley Orgánica 1/2024, de 10 de junio, de amnistía para la normalización institucional, política y social en Cataluña.</w:t>
      </w:r>
      <w:r>
        <w:tab/>
      </w:r>
      <w:r>
        <w:tab/>
      </w:r>
      <w:r>
        <w:fldChar w:fldCharType="begin"/>
      </w:r>
      <w:r>
        <w:instrText xml:space="preserve"> PAGEREF AUTO_2024_141 \h </w:instrText>
      </w:r>
      <w:r>
        <w:fldChar w:fldCharType="separate"/>
      </w:r>
      <w:r>
        <w:rPr>
          <w:noProof/>
        </w:rPr>
        <w:t>2865</w:t>
      </w:r>
      <w:r>
        <w:fldChar w:fldCharType="end"/>
      </w:r>
    </w:p>
    <w:p w14:paraId="259C06FD" w14:textId="77777777" w:rsidR="00450063" w:rsidRDefault="00450063" w:rsidP="00450063"/>
    <w:p w14:paraId="6288A778" w14:textId="7A18E978" w:rsidR="00450063" w:rsidRDefault="00450063" w:rsidP="00450063">
      <w:pPr>
        <w:pStyle w:val="EntradandiceAuto"/>
      </w:pPr>
      <w:r>
        <w:t>Pleno. Auto 142/2024, de 19 de noviembre de 2024. Inadmite una recusación en el recurso de inconstitucionalidad 6607-2024, interpuesto por el Consejo de Gobierno de La Rioja en relación con la Ley Orgánica 1/2024, de 10 de junio, de amnistía para la normalización institucional, política y social en Cataluña.</w:t>
      </w:r>
      <w:r>
        <w:tab/>
      </w:r>
      <w:r>
        <w:tab/>
      </w:r>
      <w:r>
        <w:fldChar w:fldCharType="begin"/>
      </w:r>
      <w:r>
        <w:instrText xml:space="preserve"> PAGEREF AUTO_2024_142 \h </w:instrText>
      </w:r>
      <w:r>
        <w:fldChar w:fldCharType="separate"/>
      </w:r>
      <w:r>
        <w:rPr>
          <w:noProof/>
        </w:rPr>
        <w:t>2867</w:t>
      </w:r>
      <w:r>
        <w:fldChar w:fldCharType="end"/>
      </w:r>
    </w:p>
    <w:p w14:paraId="786B3454" w14:textId="77777777" w:rsidR="00450063" w:rsidRDefault="00450063" w:rsidP="00450063"/>
    <w:p w14:paraId="50F74444" w14:textId="26B5AA45" w:rsidR="00450063" w:rsidRDefault="00450063" w:rsidP="00450063">
      <w:pPr>
        <w:pStyle w:val="EntradandiceAuto"/>
      </w:pPr>
      <w:r>
        <w:t>Pleno. Auto 143/2024, de 19 de noviembre de 2024. Inadmite una recusación en el recurso de inconstitucionalidad 6616-2024, interpuesto por el Gobierno de Cantabria en relación con la Ley Orgánica 1/2024, de 10 de junio, de amnistía para la normalización institucional, política y social en Cataluña.</w:t>
      </w:r>
      <w:r>
        <w:tab/>
      </w:r>
      <w:r>
        <w:tab/>
      </w:r>
      <w:r>
        <w:fldChar w:fldCharType="begin"/>
      </w:r>
      <w:r>
        <w:instrText xml:space="preserve"> PAGEREF AUTO_2024_143 \h </w:instrText>
      </w:r>
      <w:r>
        <w:fldChar w:fldCharType="separate"/>
      </w:r>
      <w:r>
        <w:rPr>
          <w:noProof/>
        </w:rPr>
        <w:t>2869</w:t>
      </w:r>
      <w:r>
        <w:fldChar w:fldCharType="end"/>
      </w:r>
    </w:p>
    <w:p w14:paraId="0B970560" w14:textId="77777777" w:rsidR="00450063" w:rsidRDefault="00450063" w:rsidP="00450063"/>
    <w:p w14:paraId="66CD1A99" w14:textId="3AAA396E" w:rsidR="00450063" w:rsidRDefault="00450063" w:rsidP="00450063">
      <w:pPr>
        <w:pStyle w:val="EntradandiceAuto"/>
      </w:pPr>
      <w:r>
        <w:t>Pleno. Auto 144/2024, de 19 de noviembre de 2024. Inadmite una recusación en el recurso de inconstitucionalidad 6617-2024, interpuesto por la Junta de Extremadura en relación con la Ley Orgánica 1/2024, de 10 de junio, de amnistía para la normalización institucional, política y social en Cataluña.</w:t>
      </w:r>
      <w:r>
        <w:tab/>
      </w:r>
      <w:r>
        <w:tab/>
      </w:r>
      <w:r>
        <w:fldChar w:fldCharType="begin"/>
      </w:r>
      <w:r>
        <w:instrText xml:space="preserve"> PAGEREF AUTO_2024_144 \h </w:instrText>
      </w:r>
      <w:r>
        <w:fldChar w:fldCharType="separate"/>
      </w:r>
      <w:r>
        <w:rPr>
          <w:noProof/>
        </w:rPr>
        <w:t>2871</w:t>
      </w:r>
      <w:r>
        <w:fldChar w:fldCharType="end"/>
      </w:r>
    </w:p>
    <w:p w14:paraId="6880A2E6" w14:textId="77777777" w:rsidR="00450063" w:rsidRDefault="00450063" w:rsidP="00450063"/>
    <w:p w14:paraId="6625F4AF" w14:textId="130A8231" w:rsidR="00450063" w:rsidRDefault="00450063" w:rsidP="00450063">
      <w:pPr>
        <w:pStyle w:val="EntradandiceAuto"/>
      </w:pPr>
      <w:r>
        <w:t>Pleno. Auto 145/2024, de 19 de noviembre de 2024. Inadmite una recusación en el recurso de inconstitucionalidad 6621-2024, interpuesto por el Gobierno de las Illes Balears en relación con la Ley Orgánica 1/2024, de 10 de junio, de amnistía para la normalización institucional, política y social en Cataluña.</w:t>
      </w:r>
      <w:r>
        <w:tab/>
      </w:r>
      <w:r>
        <w:tab/>
      </w:r>
      <w:r>
        <w:fldChar w:fldCharType="begin"/>
      </w:r>
      <w:r>
        <w:instrText xml:space="preserve"> PAGEREF AUTO_2024_145 \h </w:instrText>
      </w:r>
      <w:r>
        <w:fldChar w:fldCharType="separate"/>
      </w:r>
      <w:r>
        <w:rPr>
          <w:noProof/>
        </w:rPr>
        <w:t>2873</w:t>
      </w:r>
      <w:r>
        <w:fldChar w:fldCharType="end"/>
      </w:r>
    </w:p>
    <w:p w14:paraId="68EFBECF" w14:textId="77777777" w:rsidR="00450063" w:rsidRDefault="00450063" w:rsidP="00450063"/>
    <w:p w14:paraId="311BA2EA" w14:textId="1C9AB938" w:rsidR="00450063" w:rsidRDefault="00450063" w:rsidP="00450063">
      <w:pPr>
        <w:pStyle w:val="EntradandiceAuto"/>
      </w:pPr>
      <w:r>
        <w:t>Pleno. Auto 146/2024, de 19 de noviembre de 2024. Inadmite una recusación en la cuestión de inconstitucionalidad 6699-2024, planteada por la Sala de lo Civil y Penal del Tribunal Superior de Justicia de Cataluña en relación con la Ley Orgánica 1/2024, de 10 de junio, de amnistía para la normalización institucional, política y social en Cataluña.</w:t>
      </w:r>
      <w:r>
        <w:tab/>
      </w:r>
      <w:r>
        <w:tab/>
      </w:r>
      <w:r>
        <w:fldChar w:fldCharType="begin"/>
      </w:r>
      <w:r>
        <w:instrText xml:space="preserve"> PAGEREF AUTO_2024_146 \h </w:instrText>
      </w:r>
      <w:r>
        <w:fldChar w:fldCharType="separate"/>
      </w:r>
      <w:r>
        <w:rPr>
          <w:noProof/>
        </w:rPr>
        <w:t>2875</w:t>
      </w:r>
      <w:r>
        <w:fldChar w:fldCharType="end"/>
      </w:r>
    </w:p>
    <w:p w14:paraId="5DE4A316" w14:textId="77777777" w:rsidR="00450063" w:rsidRDefault="00450063" w:rsidP="00450063"/>
    <w:p w14:paraId="36B1CD0A" w14:textId="4D8EA096" w:rsidR="00450063" w:rsidRDefault="00450063" w:rsidP="00450063">
      <w:pPr>
        <w:pStyle w:val="EntradandiceAuto"/>
      </w:pPr>
      <w:r>
        <w:t>Pleno. Auto 147/2024, de 19 de noviembre de 2024. Acepta una abstención en la cuestión de inconstitucionalidad 6754-2024, planteada por la Sala de lo Civil y Penal del Tribunal Superior de Justicia de Cataluña en relación con la Ley Orgánica 1/2024, de 10 de junio, de amnistía para la normalización institucional, política y social en Cataluña. Voto particular.</w:t>
      </w:r>
      <w:r>
        <w:tab/>
      </w:r>
      <w:r>
        <w:tab/>
      </w:r>
      <w:r>
        <w:fldChar w:fldCharType="begin"/>
      </w:r>
      <w:r>
        <w:instrText xml:space="preserve"> PAGEREF AUTO_2024_147 \h </w:instrText>
      </w:r>
      <w:r>
        <w:fldChar w:fldCharType="separate"/>
      </w:r>
      <w:r>
        <w:rPr>
          <w:noProof/>
        </w:rPr>
        <w:t>2877</w:t>
      </w:r>
      <w:r>
        <w:fldChar w:fldCharType="end"/>
      </w:r>
    </w:p>
    <w:p w14:paraId="3FA918E0" w14:textId="77777777" w:rsidR="00450063" w:rsidRDefault="00450063" w:rsidP="00450063"/>
    <w:p w14:paraId="46E9080D" w14:textId="4632362C" w:rsidR="00450063" w:rsidRDefault="00450063" w:rsidP="00450063">
      <w:pPr>
        <w:pStyle w:val="EntradandiceAuto"/>
      </w:pPr>
      <w:r>
        <w:t>Sección Segunda. Auto 148/2024, de 20 de noviembre de 2024. Desestima el recurso de súplica interpuesto por el Ministerio Fiscal en relación con la providencia de inadmisión del recurso de amparo 2505-2023, promovido por don Javier Sala Fajarnes en causa penal.</w:t>
      </w:r>
      <w:r>
        <w:tab/>
      </w:r>
      <w:r>
        <w:tab/>
      </w:r>
      <w:r>
        <w:fldChar w:fldCharType="begin"/>
      </w:r>
      <w:r>
        <w:instrText xml:space="preserve"> PAGEREF AUTO_2024_148 \h </w:instrText>
      </w:r>
      <w:r>
        <w:fldChar w:fldCharType="separate"/>
      </w:r>
      <w:r>
        <w:rPr>
          <w:noProof/>
        </w:rPr>
        <w:t>2881</w:t>
      </w:r>
      <w:r>
        <w:fldChar w:fldCharType="end"/>
      </w:r>
    </w:p>
    <w:p w14:paraId="0C14CEDF" w14:textId="77777777" w:rsidR="00450063" w:rsidRDefault="00450063" w:rsidP="00450063"/>
    <w:p w14:paraId="27D4B160" w14:textId="4D4CE353" w:rsidR="00450063" w:rsidRDefault="00450063" w:rsidP="00450063">
      <w:pPr>
        <w:pStyle w:val="EntradandiceAuto"/>
      </w:pPr>
      <w:r>
        <w:t>Sección Segunda. Auto 149/2024, de 20 de noviembre de 2024. Acepta una abstención en el recurso de amparo 7674-2023 promovido en proceso contencioso-administrativo.</w:t>
      </w:r>
      <w:r>
        <w:tab/>
      </w:r>
      <w:r>
        <w:tab/>
      </w:r>
      <w:r>
        <w:fldChar w:fldCharType="begin"/>
      </w:r>
      <w:r>
        <w:instrText xml:space="preserve"> PAGEREF AUTO_2024_149 \h </w:instrText>
      </w:r>
      <w:r>
        <w:fldChar w:fldCharType="separate"/>
      </w:r>
      <w:r>
        <w:rPr>
          <w:noProof/>
        </w:rPr>
        <w:t>2889</w:t>
      </w:r>
      <w:r>
        <w:fldChar w:fldCharType="end"/>
      </w:r>
    </w:p>
    <w:p w14:paraId="3929AFB7" w14:textId="77777777" w:rsidR="00450063" w:rsidRDefault="00450063" w:rsidP="00450063"/>
    <w:p w14:paraId="2C9B252E" w14:textId="061C62BA" w:rsidR="00450063" w:rsidRDefault="00450063" w:rsidP="00450063">
      <w:pPr>
        <w:pStyle w:val="EntradandiceAuto"/>
      </w:pPr>
      <w:r>
        <w:t>Sección Primera. Auto 150/2024, de 27 de noviembre de 2024. Acepta una abstención en el recurso de amparo 5910-2024 promovido en proceso militar.</w:t>
      </w:r>
      <w:r>
        <w:tab/>
      </w:r>
      <w:r>
        <w:tab/>
      </w:r>
      <w:r>
        <w:fldChar w:fldCharType="begin"/>
      </w:r>
      <w:r>
        <w:instrText xml:space="preserve"> PAGEREF AUTO_2024_150 \h </w:instrText>
      </w:r>
      <w:r>
        <w:fldChar w:fldCharType="separate"/>
      </w:r>
      <w:r>
        <w:rPr>
          <w:noProof/>
        </w:rPr>
        <w:t>2891</w:t>
      </w:r>
      <w:r>
        <w:fldChar w:fldCharType="end"/>
      </w:r>
    </w:p>
    <w:p w14:paraId="7FFCF9C2" w14:textId="77777777" w:rsidR="00450063" w:rsidRDefault="00450063" w:rsidP="00450063"/>
    <w:p w14:paraId="77592A23" w14:textId="5B248F58" w:rsidR="00450063" w:rsidRDefault="00450063" w:rsidP="00450063">
      <w:pPr>
        <w:pStyle w:val="EntradandiceAuto"/>
      </w:pPr>
      <w:r>
        <w:t>Sala Segunda. Auto 151/2024, de 2 de diciembre de 2024. Acuerda el archivo, por pérdida de objeto, del incidente de suspensión en el recurso de amparo 62-2024, promovido por don Guillermo Ojeda Rengifo en causa penal.</w:t>
      </w:r>
      <w:r>
        <w:tab/>
      </w:r>
      <w:r>
        <w:tab/>
      </w:r>
      <w:r>
        <w:fldChar w:fldCharType="begin"/>
      </w:r>
      <w:r>
        <w:instrText xml:space="preserve"> PAGEREF AUTO_2024_151 \h </w:instrText>
      </w:r>
      <w:r>
        <w:fldChar w:fldCharType="separate"/>
      </w:r>
      <w:r>
        <w:rPr>
          <w:noProof/>
        </w:rPr>
        <w:t>2892</w:t>
      </w:r>
      <w:r>
        <w:fldChar w:fldCharType="end"/>
      </w:r>
    </w:p>
    <w:p w14:paraId="760B868E" w14:textId="77777777" w:rsidR="00450063" w:rsidRDefault="00450063" w:rsidP="00450063"/>
    <w:p w14:paraId="537732A5" w14:textId="104C96B8" w:rsidR="00450063" w:rsidRDefault="00450063" w:rsidP="00450063">
      <w:pPr>
        <w:pStyle w:val="EntradandiceAuto"/>
      </w:pPr>
      <w:r>
        <w:t>Sala Primera. Auto 152/2024, de 2 de diciembre de 2024. Acuerda la suspensión y ordena la anotación preventiva de la demanda en el recurso de amparo 6296-2024, promovido por doña María Eugenia Antorrena Fernández en pleito civil.</w:t>
      </w:r>
      <w:r>
        <w:tab/>
      </w:r>
      <w:r>
        <w:tab/>
      </w:r>
      <w:r>
        <w:fldChar w:fldCharType="begin"/>
      </w:r>
      <w:r>
        <w:instrText xml:space="preserve"> PAGEREF AUTO_2024_152 \h </w:instrText>
      </w:r>
      <w:r>
        <w:fldChar w:fldCharType="separate"/>
      </w:r>
      <w:r>
        <w:rPr>
          <w:noProof/>
        </w:rPr>
        <w:t>2895</w:t>
      </w:r>
      <w:r>
        <w:fldChar w:fldCharType="end"/>
      </w:r>
    </w:p>
    <w:p w14:paraId="19D906C0" w14:textId="77777777" w:rsidR="00450063" w:rsidRDefault="00450063" w:rsidP="00450063"/>
    <w:p w14:paraId="2F5BD02E" w14:textId="335D56B4" w:rsidR="00450063" w:rsidRDefault="00450063" w:rsidP="00450063">
      <w:pPr>
        <w:pStyle w:val="EntradandiceAuto"/>
      </w:pPr>
      <w:r>
        <w:t>Pleno. Auto 153/2024, de 3 de diciembre de 2024. Inadmite a trámite la cuestión de inconstitucionalidad 4910-2024, planteada por la Audiencia Provincial de Málaga, en relación con el artículo 487.1 de la Ley de enjuiciamiento civil, en la redacción dada por el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w:t>
      </w:r>
      <w:r>
        <w:tab/>
      </w:r>
      <w:r>
        <w:tab/>
      </w:r>
      <w:r>
        <w:fldChar w:fldCharType="begin"/>
      </w:r>
      <w:r>
        <w:instrText xml:space="preserve"> PAGEREF AUTO_2024_153 \h </w:instrText>
      </w:r>
      <w:r>
        <w:fldChar w:fldCharType="separate"/>
      </w:r>
      <w:r>
        <w:rPr>
          <w:noProof/>
        </w:rPr>
        <w:t>2903</w:t>
      </w:r>
      <w:r>
        <w:fldChar w:fldCharType="end"/>
      </w:r>
    </w:p>
    <w:p w14:paraId="29D29FA4" w14:textId="77777777" w:rsidR="00450063" w:rsidRDefault="00450063" w:rsidP="00450063"/>
    <w:p w14:paraId="6BCCC8B7" w14:textId="48AB95D9" w:rsidR="00450063" w:rsidRDefault="00450063" w:rsidP="00450063">
      <w:pPr>
        <w:pStyle w:val="EntradandiceAuto"/>
      </w:pPr>
      <w:r>
        <w:t>Pleno. Auto 154/2024, de 3 de diciembre de 2024. Acepta una abstención en la cuestión de inconstitucionalidad 7668-2024, planteada por la Sección Vigesimotercera de la Audiencia Provincial de Madrid en relación con la Ley Orgánica 1/2024, de 10 de junio, de amnistía para la normalización institucional, política y social en Cataluña. Voto particular.</w:t>
      </w:r>
      <w:r>
        <w:tab/>
      </w:r>
      <w:r>
        <w:tab/>
      </w:r>
      <w:r>
        <w:fldChar w:fldCharType="begin"/>
      </w:r>
      <w:r>
        <w:instrText xml:space="preserve"> PAGEREF AUTO_2024_154 \h </w:instrText>
      </w:r>
      <w:r>
        <w:fldChar w:fldCharType="separate"/>
      </w:r>
      <w:r>
        <w:rPr>
          <w:noProof/>
        </w:rPr>
        <w:t>2911</w:t>
      </w:r>
      <w:r>
        <w:fldChar w:fldCharType="end"/>
      </w:r>
    </w:p>
    <w:p w14:paraId="15CF1200" w14:textId="77777777" w:rsidR="00450063" w:rsidRDefault="00450063" w:rsidP="00450063"/>
    <w:p w14:paraId="6ADDA1A4" w14:textId="1C014A29" w:rsidR="00450063" w:rsidRDefault="00450063" w:rsidP="00450063">
      <w:pPr>
        <w:pStyle w:val="EntradandiceAuto"/>
      </w:pPr>
      <w:r>
        <w:t>Sala Primera. Auto 155/2024, de 16 de diciembre de 2024. Acepta una abstención en el recurso de amparo 6420-2021, promovido por doña María José Hernández Vitoria en proceso contencioso administrativo.</w:t>
      </w:r>
      <w:r>
        <w:tab/>
      </w:r>
      <w:r>
        <w:tab/>
      </w:r>
      <w:r>
        <w:fldChar w:fldCharType="begin"/>
      </w:r>
      <w:r>
        <w:instrText xml:space="preserve"> PAGEREF AUTO_2024_155 \h </w:instrText>
      </w:r>
      <w:r>
        <w:fldChar w:fldCharType="separate"/>
      </w:r>
      <w:r>
        <w:rPr>
          <w:noProof/>
        </w:rPr>
        <w:t>2915</w:t>
      </w:r>
      <w:r>
        <w:fldChar w:fldCharType="end"/>
      </w:r>
    </w:p>
    <w:p w14:paraId="2886D6B4" w14:textId="77777777" w:rsidR="00450063" w:rsidRDefault="00450063" w:rsidP="00450063"/>
    <w:p w14:paraId="4791025D" w14:textId="6643822E" w:rsidR="00450063" w:rsidRDefault="00450063" w:rsidP="00450063">
      <w:pPr>
        <w:pStyle w:val="EntradandiceAuto"/>
      </w:pPr>
      <w:r>
        <w:t>Sala Primera. Auto 156/2024, de 16 de diciembre de 2024. Acuerda el desistimiento y archiva el recurso de amparo 5340-2023, promovido por don Manuel Fernández Chamorro en pleito civil.</w:t>
      </w:r>
      <w:r>
        <w:tab/>
      </w:r>
      <w:r>
        <w:tab/>
      </w:r>
      <w:r>
        <w:fldChar w:fldCharType="begin"/>
      </w:r>
      <w:r>
        <w:instrText xml:space="preserve"> PAGEREF AUTO_2024_156 \h </w:instrText>
      </w:r>
      <w:r>
        <w:fldChar w:fldCharType="separate"/>
      </w:r>
      <w:r>
        <w:rPr>
          <w:noProof/>
        </w:rPr>
        <w:t>2917</w:t>
      </w:r>
      <w:r>
        <w:fldChar w:fldCharType="end"/>
      </w:r>
    </w:p>
    <w:p w14:paraId="66E61F39" w14:textId="77777777" w:rsidR="00450063" w:rsidRDefault="00450063" w:rsidP="00450063"/>
    <w:p w14:paraId="3CE82394" w14:textId="7FE4863C" w:rsidR="00450063" w:rsidRDefault="00450063" w:rsidP="00450063">
      <w:pPr>
        <w:pStyle w:val="EntradandiceAuto"/>
      </w:pPr>
      <w:r>
        <w:t>Pleno. Auto 157/2024, de 17 de diciembre de 2024. Inadmite las recusaciones formuladas en el recurso de amparo 8141-2024, promovido por don Fernando Argote Pons en causa penal.</w:t>
      </w:r>
      <w:r>
        <w:tab/>
      </w:r>
      <w:r>
        <w:tab/>
      </w:r>
      <w:r>
        <w:fldChar w:fldCharType="begin"/>
      </w:r>
      <w:r>
        <w:instrText xml:space="preserve"> PAGEREF AUTO_2024_157 \h </w:instrText>
      </w:r>
      <w:r>
        <w:fldChar w:fldCharType="separate"/>
      </w:r>
      <w:r>
        <w:rPr>
          <w:noProof/>
        </w:rPr>
        <w:t>2922</w:t>
      </w:r>
      <w:r>
        <w:fldChar w:fldCharType="end"/>
      </w:r>
    </w:p>
    <w:p w14:paraId="0E1C6B66" w14:textId="7350DA41" w:rsidR="00450063" w:rsidRDefault="00450063">
      <w:pPr>
        <w:spacing w:after="160" w:line="278" w:lineRule="auto"/>
      </w:pPr>
      <w:r>
        <w:br w:type="page"/>
      </w:r>
    </w:p>
    <w:p w14:paraId="7FD1E446" w14:textId="77777777" w:rsidR="00450063" w:rsidRDefault="00450063" w:rsidP="003754FE"/>
    <w:p w14:paraId="7D470A99" w14:textId="77777777" w:rsidR="00450063" w:rsidRDefault="00450063" w:rsidP="003754FE"/>
    <w:p w14:paraId="3CBD0323" w14:textId="77777777" w:rsidR="003754FE" w:rsidRDefault="003754FE" w:rsidP="003754FE"/>
    <w:p w14:paraId="18CC2D4C" w14:textId="77777777" w:rsidR="003754FE" w:rsidRDefault="003754FE" w:rsidP="003754FE"/>
    <w:p w14:paraId="4DE297C0" w14:textId="77777777" w:rsidR="003754FE" w:rsidRDefault="003754FE" w:rsidP="003754FE"/>
    <w:p w14:paraId="425C2C37" w14:textId="77777777" w:rsidR="003754FE" w:rsidRDefault="003754FE" w:rsidP="003754FE"/>
    <w:p w14:paraId="0CE97EAC" w14:textId="77777777" w:rsidR="003754FE" w:rsidRDefault="003754FE" w:rsidP="003754FE"/>
    <w:p w14:paraId="37A37936" w14:textId="77777777" w:rsidR="003754FE" w:rsidRDefault="003754FE" w:rsidP="003754FE"/>
    <w:p w14:paraId="5F37A230" w14:textId="77777777" w:rsidR="003754FE" w:rsidRDefault="003754FE" w:rsidP="003754FE">
      <w:pPr>
        <w:pStyle w:val="CabeceraApartado"/>
      </w:pPr>
      <w:r>
        <w:t>SENTENCIAS</w:t>
      </w:r>
    </w:p>
    <w:p w14:paraId="20718DA3" w14:textId="3F5367C7" w:rsidR="003754FE" w:rsidRDefault="003754FE">
      <w:pPr>
        <w:spacing w:after="160" w:line="278" w:lineRule="auto"/>
        <w:rPr>
          <w:rFonts w:ascii="Times New Roman" w:eastAsia="Times New Roman" w:hAnsi="Times New Roman" w:cs="Times New Roman"/>
          <w:sz w:val="48"/>
          <w:szCs w:val="24"/>
          <w:lang w:eastAsia="es-ES"/>
        </w:rPr>
      </w:pPr>
      <w:r>
        <w:br w:type="page"/>
      </w:r>
    </w:p>
    <w:p w14:paraId="55CE2A40" w14:textId="77777777" w:rsidR="003754FE" w:rsidRDefault="003754FE" w:rsidP="003754FE">
      <w:pPr>
        <w:pStyle w:val="TtuloResolucin"/>
      </w:pPr>
      <w:bookmarkStart w:id="3" w:name="SENTENCIA_2024_94"/>
      <w:r>
        <w:t>SENTENCIA 94/2024, de 2 de julio de 2024</w:t>
      </w:r>
    </w:p>
    <w:bookmarkEnd w:id="3"/>
    <w:p w14:paraId="1F644D0B" w14:textId="77777777" w:rsidR="003754FE" w:rsidRDefault="003754FE" w:rsidP="003754FE">
      <w:pPr>
        <w:pStyle w:val="TtuloResolucin"/>
      </w:pPr>
      <w:r>
        <w:t>Pleno</w:t>
      </w:r>
    </w:p>
    <w:p w14:paraId="19C9274E" w14:textId="77777777" w:rsidR="003754FE" w:rsidRDefault="003754FE" w:rsidP="003754FE">
      <w:pPr>
        <w:pStyle w:val="TtuloBOE"/>
      </w:pPr>
      <w:r>
        <w:t>(BOE núm. 186, de 2 de agosto de 2024)</w:t>
      </w:r>
    </w:p>
    <w:p w14:paraId="2327536A" w14:textId="77777777" w:rsidR="003754FE" w:rsidRDefault="003754FE" w:rsidP="003754FE">
      <w:pPr>
        <w:pStyle w:val="TextoNormalCentrado"/>
      </w:pPr>
      <w:r>
        <w:t>ECLI:ES:TC:2024:94</w:t>
      </w:r>
    </w:p>
    <w:p w14:paraId="6A71DEDF" w14:textId="2D800407" w:rsidR="003754FE" w:rsidRDefault="003754FE" w:rsidP="003754FE">
      <w:pPr>
        <w:pStyle w:val="TextoNormalCentrado"/>
      </w:pPr>
    </w:p>
    <w:p w14:paraId="7F5FE377" w14:textId="77777777" w:rsidR="003754FE" w:rsidRDefault="003754FE" w:rsidP="003754FE">
      <w:pPr>
        <w:pStyle w:val="SntesisDescriptiva"/>
      </w:pPr>
      <w:r>
        <w:t>Recurso de amparo 2136-2023. Promovido por don Miguel Ángel Serrano Aguilar respecto de las sentencias dictadas por la Sala de lo Penal del Tribunal Supremo y la Audiencia Provincial de Sevilla que le condenaron por un delito continuado de prevaricación en concurso medial con un delito continuado de malversación de caudales públicos.</w:t>
      </w:r>
    </w:p>
    <w:p w14:paraId="6DA44963" w14:textId="6A7AAD86" w:rsidR="003754FE" w:rsidRDefault="003754FE" w:rsidP="003754FE">
      <w:pPr>
        <w:pStyle w:val="SntesisDescriptiva"/>
      </w:pPr>
    </w:p>
    <w:p w14:paraId="6E3F6536" w14:textId="77777777" w:rsidR="003754FE" w:rsidRDefault="003754FE" w:rsidP="003754FE">
      <w:pPr>
        <w:pStyle w:val="SntesisAnaltica"/>
      </w:pPr>
      <w:r>
        <w:t>Vulneración del derecho a la legalidad penal y a la presunción de inocencia: condena basada en una interpretación del todo imprevisible del tipo objetivo. Votos particulares.</w:t>
      </w:r>
    </w:p>
    <w:p w14:paraId="688CEBCE" w14:textId="013F2371" w:rsidR="003754FE" w:rsidRDefault="003754FE" w:rsidP="003754FE">
      <w:pPr>
        <w:pStyle w:val="SntesisAnaltica"/>
      </w:pPr>
    </w:p>
    <w:p w14:paraId="1BD0A7A4" w14:textId="7D4A1D59" w:rsidR="003754FE" w:rsidRDefault="003754FE" w:rsidP="003754FE">
      <w:pPr>
        <w:pStyle w:val="Extracto"/>
      </w:pPr>
      <w:r>
        <w:t>1.</w:t>
      </w:r>
      <w:r>
        <w:tab/>
        <w:t>En el marco de la serie de sentencias dictadas en relación con el denominado proceso “ERE”, doctrina en materia de vulneración del derecho a la legalidad penal (art. 25.1 CE) derivada de la condena por el delito de prevaricación del art. 404 CP  (STC 93/2024) [FJ 4].</w:t>
      </w:r>
    </w:p>
    <w:p w14:paraId="13729ABA" w14:textId="77777777" w:rsidR="003754FE" w:rsidRDefault="003754FE" w:rsidP="003754FE">
      <w:pPr>
        <w:pStyle w:val="Extracto"/>
      </w:pPr>
    </w:p>
    <w:p w14:paraId="477B75D0" w14:textId="666387F9" w:rsidR="003754FE" w:rsidRDefault="003754FE" w:rsidP="003754FE">
      <w:pPr>
        <w:pStyle w:val="Extracto"/>
      </w:pPr>
      <w:r>
        <w:t>2.</w:t>
      </w:r>
      <w:r>
        <w:tab/>
        <w:t>El legislador no se vincula en modo definitivo para el futuro, sino que el ordenamiento jurídico institucionaliza procesos para el cambio, siendo el procedimiento legislativo -y sus actos preparatorios- el más relevante (STC 93/2024) [FJ 4].</w:t>
      </w:r>
    </w:p>
    <w:p w14:paraId="09D2CE74" w14:textId="77777777" w:rsidR="003754FE" w:rsidRDefault="003754FE" w:rsidP="003754FE">
      <w:pPr>
        <w:pStyle w:val="Extracto"/>
      </w:pPr>
    </w:p>
    <w:p w14:paraId="763A2489" w14:textId="2F988366" w:rsidR="003754FE" w:rsidRDefault="003754FE" w:rsidP="003754FE">
      <w:pPr>
        <w:pStyle w:val="Extracto"/>
      </w:pPr>
      <w:r>
        <w:t>3.</w:t>
      </w:r>
      <w:r>
        <w:tab/>
        <w:t>La ley de presupuestos generales tiene la misma naturaleza normativa que el resto de las leyes. Se trata de una verdadera ley, considerando así superada la cuestión de su carácter formal o material (STC 76/1992) [FJ 4].</w:t>
      </w:r>
    </w:p>
    <w:p w14:paraId="51600C1C" w14:textId="77777777" w:rsidR="003754FE" w:rsidRDefault="003754FE" w:rsidP="003754FE">
      <w:pPr>
        <w:pStyle w:val="Extracto"/>
      </w:pPr>
    </w:p>
    <w:p w14:paraId="3B853328" w14:textId="5AA1A3CE" w:rsidR="003754FE" w:rsidRDefault="003754FE" w:rsidP="003754FE">
      <w:pPr>
        <w:pStyle w:val="Extracto"/>
      </w:pPr>
      <w:r>
        <w:t>4.</w:t>
      </w:r>
      <w:r>
        <w:tab/>
        <w:t>Los jueces, que están sometidos al imperio de la ley</w:t>
      </w:r>
      <w:r w:rsidRPr="003754FE">
        <w:rPr>
          <w:i/>
        </w:rPr>
        <w:t xml:space="preserve"> ex </w:t>
      </w:r>
      <w:r>
        <w:t>art. 117.1 CE, tienen el deber de respetarla cualquiera que sea el juicio que su contenido les merezca. Solo cuando consideren que es inconstitucional y que de su validez depende el fallo de un asunto deben plantear cuestión de inconstitucionalidad, pero fuera de este supuesto no podrán cuestionar sus determinaciones y, menos aún, no tomarla en consideración [FJ 4].</w:t>
      </w:r>
    </w:p>
    <w:p w14:paraId="153940E6" w14:textId="77777777" w:rsidR="003754FE" w:rsidRDefault="003754FE" w:rsidP="003754FE">
      <w:pPr>
        <w:pStyle w:val="Extracto"/>
      </w:pPr>
    </w:p>
    <w:p w14:paraId="2941A987" w14:textId="5416296E" w:rsidR="003754FE" w:rsidRDefault="003754FE" w:rsidP="003754FE">
      <w:pPr>
        <w:pStyle w:val="Extracto"/>
      </w:pPr>
      <w:r>
        <w:t>5.</w:t>
      </w:r>
      <w:r>
        <w:tab/>
        <w:t>Desde la óptica del art. 25.1 CE, no puede estimarse “previsible” que una actuación de una autoridad o funcionario público, que está amparada en las determinaciones contenidas en normas con rango de ley y en leyes de presupuestos aprobadas por un Parlamento, pueda dar lugar a una condena penal por delito de malversación; por más que esas determinaciones impliquen la supresión de los controles y procedimientos propios del régimen de las subvenciones [FJ 5].</w:t>
      </w:r>
    </w:p>
    <w:p w14:paraId="4747E5B7" w14:textId="77777777" w:rsidR="003754FE" w:rsidRDefault="003754FE" w:rsidP="003754FE">
      <w:pPr>
        <w:pStyle w:val="Extracto"/>
      </w:pPr>
    </w:p>
    <w:p w14:paraId="59465A99" w14:textId="77C799B6" w:rsidR="003754FE" w:rsidRDefault="003754FE" w:rsidP="003754FE">
      <w:pPr>
        <w:pStyle w:val="Extracto"/>
      </w:pPr>
      <w:r>
        <w:t>6.</w:t>
      </w:r>
      <w:r>
        <w:tab/>
        <w:t>Debe asegurarse estrictamente la garantía formal de que el razonamiento efectuado por el tribunal conste expresamente en la sentencia, ya que solo así podrá verificarse si aquel formó su convicción sobre una prueba de cargo capaz de desvirtuar la presunción de inocencia (SSTC 117/2000 y 124/2001); y que ninguno de los elementos constitutivos de delito se haya presumido en contra del acusado (STC 340/2006) [FJ 6].</w:t>
      </w:r>
    </w:p>
    <w:p w14:paraId="7F5246FC" w14:textId="77777777" w:rsidR="003754FE" w:rsidRDefault="003754FE" w:rsidP="003754FE">
      <w:pPr>
        <w:pStyle w:val="Extracto"/>
      </w:pPr>
    </w:p>
    <w:p w14:paraId="73B111A1" w14:textId="3A1F63CD" w:rsidR="003754FE" w:rsidRDefault="003754FE" w:rsidP="003754FE">
      <w:pPr>
        <w:pStyle w:val="Extracto"/>
      </w:pPr>
      <w:r>
        <w:t>7.</w:t>
      </w:r>
      <w:r>
        <w:tab/>
        <w:t>El derecho a la presunción de inocencia queda vulnerado cuando, habiéndose declarado la culpabilidad del encausado, dicha declaración de culpabilidad no se ha motivado suficientemente, toda vez que uno de los modos de vulneración de este derecho lo constituye precisamente la falta de motivación del</w:t>
      </w:r>
      <w:r w:rsidRPr="003754FE">
        <w:rPr>
          <w:i/>
        </w:rPr>
        <w:t xml:space="preserve"> iter </w:t>
      </w:r>
      <w:r>
        <w:t>que ha conducido de las pruebas al relato de hechos probados de signo incriminatorio (STC 245/2007) [FJ 6].</w:t>
      </w:r>
    </w:p>
    <w:p w14:paraId="1EFE0099" w14:textId="77777777" w:rsidR="003754FE" w:rsidRDefault="003754FE" w:rsidP="003754FE">
      <w:pPr>
        <w:pStyle w:val="Extracto"/>
      </w:pPr>
    </w:p>
    <w:p w14:paraId="1CD8C82D" w14:textId="3E248239" w:rsidR="003754FE" w:rsidRDefault="003754FE" w:rsidP="003754FE">
      <w:pPr>
        <w:pStyle w:val="Extracto"/>
      </w:pPr>
      <w:r>
        <w:t>8.</w:t>
      </w:r>
      <w:r>
        <w:tab/>
        <w:t>Tras declararse judicialmente la inocencia de una persona, el contenido de la presunción de inocencia impide a los poderes públicos cuestionar tal declaración; así como imputar ilícitos a una persona a pesar de que su culpabilidad no haya sido declarada por un tribunal, en el seno del proceso judicial público diseñado al efecto por el legislador y con todas las garantías (STC 77/2023) [FJ 7].</w:t>
      </w:r>
    </w:p>
    <w:p w14:paraId="57FF1996" w14:textId="77777777" w:rsidR="003754FE" w:rsidRDefault="003754FE" w:rsidP="003754FE">
      <w:pPr>
        <w:pStyle w:val="Extracto"/>
      </w:pPr>
    </w:p>
    <w:p w14:paraId="4B9F1719" w14:textId="65BC5E9C" w:rsidR="003754FE" w:rsidRDefault="003754FE" w:rsidP="003754FE">
      <w:pPr>
        <w:pStyle w:val="Extracto"/>
      </w:pPr>
      <w:r>
        <w:t>9.</w:t>
      </w:r>
      <w:r>
        <w:tab/>
        <w:t xml:space="preserve">Más allá de las manifestaciones vertidas en resoluciones judiciales, el art. 6.2 CEDH exige que los representantes del Estado -en primer lugar, los jueces que conocen del caso, pero también los representantes de otras autoridades públicas- se abstengan de declarar en público que el acusado es culpable de la comisión de delito antes de que su culpabilidad haya sido debidamente establecida por un órgano judicial (STEDH </w:t>
      </w:r>
      <w:r w:rsidRPr="003754FE">
        <w:rPr>
          <w:i/>
        </w:rPr>
        <w:t>Allenet de Ribemont c. Francia</w:t>
      </w:r>
      <w:r>
        <w:t>, § 36-37) [FJ 7].</w:t>
      </w:r>
    </w:p>
    <w:p w14:paraId="6D790484" w14:textId="77777777" w:rsidR="003754FE" w:rsidRDefault="003754FE" w:rsidP="003754FE">
      <w:pPr>
        <w:pStyle w:val="Extracto"/>
      </w:pPr>
    </w:p>
    <w:p w14:paraId="1A282D5A" w14:textId="1E7DB782" w:rsidR="003754FE" w:rsidRDefault="003754FE" w:rsidP="003754FE">
      <w:pPr>
        <w:pStyle w:val="Extracto"/>
      </w:pPr>
      <w:r>
        <w:t>10.</w:t>
      </w:r>
      <w:r>
        <w:tab/>
        <w:t xml:space="preserve">De conformidad con el art. 2 de la Directiva (UE) 2016/343, tanto este tribunal (STC 185/2014), como el Tribunal Europeo de Derechos Humanos (STEDH de 24 de mayo de 2011, asunto </w:t>
      </w:r>
      <w:r w:rsidRPr="003754FE">
        <w:rPr>
          <w:i/>
        </w:rPr>
        <w:t>Konstas c. Grecia,</w:t>
      </w:r>
      <w:r>
        <w:t xml:space="preserve"> § 35-36) proyectan la aplicación del derecho a la presunción de inocencia, en particular su significado como regla de tratamiento, a todo el proceso penal; de modo que no es sino hasta la firmeza de los pronunciamientos condenatorios cuando puede considerarse enervada [FJ 7].</w:t>
      </w:r>
    </w:p>
    <w:p w14:paraId="0ADA5DC2" w14:textId="77777777" w:rsidR="003754FE" w:rsidRDefault="003754FE" w:rsidP="003754FE">
      <w:pPr>
        <w:pStyle w:val="Extracto"/>
      </w:pPr>
    </w:p>
    <w:p w14:paraId="4CE00AFE" w14:textId="6C0540CC" w:rsidR="003754FE" w:rsidRDefault="003754FE" w:rsidP="003754FE">
      <w:pPr>
        <w:pStyle w:val="Extracto"/>
      </w:pPr>
      <w:r>
        <w:t>11.</w:t>
      </w:r>
      <w:r>
        <w:tab/>
        <w:t>La ausencia de una previsión legal que contemple la actuación cuestionada no determina la existencia de una lesión de la regla de tratamiento que impone el art. 24.2 CE. La finalidad de la llamada “dimensión extraprocesal del derecho a la presunción de inocencia” es proteger frente a atribuciones de culpabilidad no fundadas en una condena dictada en un proceso público con todas las garantías, no garantizar la práctica procesal de notificación de la sentencia íntegra que indica la normativa (art. 260.2 LOPJ). Resulta por tanto que la anticipación del fallo y la emisión de un comunicado al respecto no lesiona el derecho a la presunción de inocencia en su dimensión extraprocesal [FJ 7].</w:t>
      </w:r>
    </w:p>
    <w:p w14:paraId="5E186580" w14:textId="77777777" w:rsidR="003754FE" w:rsidRDefault="003754FE" w:rsidP="003754FE">
      <w:pPr>
        <w:pStyle w:val="Extracto"/>
      </w:pPr>
    </w:p>
    <w:p w14:paraId="780394FD" w14:textId="5279ED15" w:rsidR="003754FE" w:rsidRDefault="003754FE" w:rsidP="003754FE">
      <w:pPr>
        <w:pStyle w:val="Extracto"/>
      </w:pPr>
      <w:r>
        <w:t>12.</w:t>
      </w:r>
      <w:r>
        <w:tab/>
        <w:t>El art. 260.2 LOPJ indica la necesidad de notificar a las partes conjuntamente el texto de las sentencias con los votos particulares. Y aunque no existe precepto que prevea la publicación anticipada del fallo, sin embargo, que esa previsión no exista y pueda hablarse incluso de irregularidad procesal no significa que los derechos a la tutela judicial efectiva y a un proceso con todas las garantías resulten necesariamente lesionadas [FJ 7].</w:t>
      </w:r>
    </w:p>
    <w:p w14:paraId="6A0093CE" w14:textId="77777777" w:rsidR="003754FE" w:rsidRDefault="003754FE" w:rsidP="003754FE">
      <w:pPr>
        <w:pStyle w:val="Extracto"/>
      </w:pPr>
    </w:p>
    <w:p w14:paraId="4E1EC151" w14:textId="77777777" w:rsidR="003754FE" w:rsidRDefault="003754FE" w:rsidP="003754FE">
      <w:pPr>
        <w:pStyle w:val="Extracto"/>
      </w:pPr>
    </w:p>
    <w:p w14:paraId="3D9D96AD"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33BD0478" w14:textId="2F0067DF" w:rsidR="003754FE" w:rsidRDefault="003754FE" w:rsidP="003754FE">
      <w:pPr>
        <w:pStyle w:val="TextoNormal"/>
      </w:pPr>
    </w:p>
    <w:p w14:paraId="582020A3" w14:textId="77777777" w:rsidR="003754FE" w:rsidRDefault="003754FE" w:rsidP="003754FE">
      <w:pPr>
        <w:pStyle w:val="TextoNormalCentrado"/>
        <w:keepNext/>
      </w:pPr>
      <w:r>
        <w:t>EN NOMBRE DEL REY</w:t>
      </w:r>
    </w:p>
    <w:p w14:paraId="04F6E9B2" w14:textId="0F700944" w:rsidR="003754FE" w:rsidRDefault="003754FE" w:rsidP="003754FE">
      <w:pPr>
        <w:pStyle w:val="TextoNormalCentrado"/>
        <w:keepNext/>
      </w:pPr>
    </w:p>
    <w:p w14:paraId="4972B075" w14:textId="77777777" w:rsidR="003754FE" w:rsidRDefault="003754FE" w:rsidP="003754FE">
      <w:pPr>
        <w:pStyle w:val="TextoNormalCentrado"/>
        <w:keepNext/>
      </w:pPr>
    </w:p>
    <w:p w14:paraId="06A60547" w14:textId="77777777" w:rsidR="003754FE" w:rsidRDefault="003754FE" w:rsidP="003754FE">
      <w:pPr>
        <w:pStyle w:val="TextoNormal"/>
      </w:pPr>
      <w:r>
        <w:t>la siguiente</w:t>
      </w:r>
    </w:p>
    <w:p w14:paraId="2614DC22" w14:textId="094DBF06" w:rsidR="003754FE" w:rsidRDefault="003754FE" w:rsidP="003754FE">
      <w:pPr>
        <w:pStyle w:val="TextoNormal"/>
      </w:pPr>
    </w:p>
    <w:p w14:paraId="0B31F075" w14:textId="77777777" w:rsidR="003754FE" w:rsidRDefault="003754FE" w:rsidP="003754FE">
      <w:pPr>
        <w:pStyle w:val="TextoNormalCentrado"/>
        <w:keepNext/>
      </w:pPr>
      <w:r>
        <w:t>SENTENCIA</w:t>
      </w:r>
    </w:p>
    <w:p w14:paraId="79BFEB5C" w14:textId="52B52AA5" w:rsidR="003754FE" w:rsidRDefault="003754FE" w:rsidP="003754FE">
      <w:pPr>
        <w:pStyle w:val="TextoNormalCentrado"/>
        <w:keepNext/>
      </w:pPr>
    </w:p>
    <w:p w14:paraId="247F3A03" w14:textId="77777777" w:rsidR="003754FE" w:rsidRDefault="003754FE" w:rsidP="003754FE">
      <w:pPr>
        <w:pStyle w:val="TextoNormal"/>
      </w:pPr>
      <w:r>
        <w:t>En el recurso de amparo núm. 2136-2023, promovido por don Miguel Ángel Serrano Aguilar, representado por la procuradora de los tribunales doña Patricia Rosch Iglesias, bajo la dirección letrada de don Juan Carlos Alférez Domínguez, contra: (i) la sentencia núm. 490/2019, de 19 de noviembre, dictada por la Sección Primera de la Audiencia Provincial de Sevilla en el rollo núm. 1965-2017, dimanante del procedimiento abreviado núm. 133-2016; (ii) la sentencia núm. 749/2022, de 13 de septiembre, de la Sala de lo Penal del Tribunal Supremo, dictada en el recurso de casación núm. 601-2020, y (iii) el auto de 16 de febrero de 2023 dictado en el mismo recurso. Han sido parte el Partido Popular, representado por el procurador de los tribunales don Manuel Sánchez-Puelles y González-Carvajal, bajo la dirección técnica de los letrados don Ángel Márquez Prieto y don Alfonso Martínez Escribano; don Francisco Vallejo Serrano, representado por la procuradora de los tribunales doña Patricia Rosch Iglesias, bajo la dirección técnica de la letrada doña Encarnación Molino Barrero; don Jesús María Rodríguez Román, representado por la procuradora de los tribunales doña Patricia Rosch Iglesias, bajo la dirección técnica del letrado don Luis Aparicio Díaz; don Antonio Vicente Lozano Peña y don José Antonio Griñán Martínez, representados por el procurador de los tribunales don Roberto Granizo Palomeque, bajo la dirección técnica del letrado don José María Calero Martínez; y doña Carmen Martínez Aguayo, representada por la procuradora de los tribunales doña Olga Coca Alonso, bajo la dirección técnica del letrado don Víctor Moreno Catena. Ha intervenido el Ministerio Fiscal. Ha sido ponente la magistrada doña Inmaculada Montalbán Huertas.</w:t>
      </w:r>
    </w:p>
    <w:p w14:paraId="65B2CE57" w14:textId="1AA76FF8" w:rsidR="003754FE" w:rsidRDefault="003754FE" w:rsidP="003754FE">
      <w:pPr>
        <w:pStyle w:val="TextoNormal"/>
      </w:pPr>
    </w:p>
    <w:p w14:paraId="3BC5F9F7" w14:textId="77777777" w:rsidR="003754FE" w:rsidRDefault="003754FE" w:rsidP="003754FE">
      <w:pPr>
        <w:pStyle w:val="TextoNormalNegritaCentrado"/>
        <w:keepNext/>
      </w:pPr>
      <w:r>
        <w:t>I. Antecedentes</w:t>
      </w:r>
    </w:p>
    <w:p w14:paraId="671FB462" w14:textId="46581261" w:rsidR="003754FE" w:rsidRDefault="003754FE" w:rsidP="003754FE">
      <w:pPr>
        <w:pStyle w:val="TextoNormalNegritaCentrado"/>
        <w:keepNext/>
      </w:pPr>
    </w:p>
    <w:p w14:paraId="0FDE9B7F" w14:textId="201C89C5" w:rsidR="003754FE" w:rsidRDefault="003754FE" w:rsidP="003754FE">
      <w:pPr>
        <w:pStyle w:val="TextoNormal"/>
      </w:pPr>
      <w:r w:rsidRPr="003754FE">
        <w:rPr>
          <w:rStyle w:val="NumeroAFNegritaCaracter"/>
        </w:rPr>
        <w:t>1</w:t>
      </w:r>
      <w:r>
        <w:t>. El 30 de marzo de 2023 tuvo entrada en el registro general de este tribunal un escrito presentado por la procuradora doña Patricia Rosch Iglesias, actuando en nombre y representación de don Miguel Ángel Serrano Aguilar, bajo la dirección letrada del abogado don Juan Carlos Alférez Domínguez, mediante el que interpuso recurso de amparo contra las resoluciones judiciales que se mencionan en el encabezamiento.</w:t>
      </w:r>
    </w:p>
    <w:p w14:paraId="3BEC233B" w14:textId="77777777" w:rsidR="003754FE" w:rsidRDefault="003754FE" w:rsidP="003754FE">
      <w:pPr>
        <w:pStyle w:val="TextoNormal"/>
      </w:pPr>
    </w:p>
    <w:p w14:paraId="2A2DF8A6" w14:textId="77777777" w:rsidR="003754FE" w:rsidRDefault="003754FE" w:rsidP="003754FE">
      <w:pPr>
        <w:pStyle w:val="TextoNormal"/>
      </w:pPr>
      <w:r w:rsidRPr="003754FE">
        <w:rPr>
          <w:rStyle w:val="NumeroAFNegritaCaracter"/>
        </w:rPr>
        <w:t>2</w:t>
      </w:r>
      <w:r>
        <w:t>. El recurso tiene su origen en los siguientes antecedentes:</w:t>
      </w:r>
    </w:p>
    <w:p w14:paraId="224BA3E6" w14:textId="77777777" w:rsidR="003754FE" w:rsidRDefault="003754FE" w:rsidP="003754FE">
      <w:pPr>
        <w:pStyle w:val="TextoNormal"/>
      </w:pPr>
    </w:p>
    <w:p w14:paraId="0260D73C" w14:textId="77777777" w:rsidR="003754FE" w:rsidRDefault="003754FE" w:rsidP="003754FE">
      <w:pPr>
        <w:pStyle w:val="TextoNormal"/>
      </w:pPr>
      <w:r>
        <w:t>a) Por sentencia núm. 490/2019, de 19 de noviembre, dictada por la Sección Primera de la Audiencia Provincial de Sevilla, en el rollo núm. 1965-2017, en el marco de la denominada “pieza específica” del caso “ERE”, se condenó a diversos miembros del Consejo de Gobierno y de la administración de la Junta de Andalucía —incluyendo desde presidentes de la Comunidad a directores generales— por haber intervenido, a lo largo de casi diez años, en el diseño y/o ejecución de un sistema de concesión de ayudas sociolaborales.</w:t>
      </w:r>
    </w:p>
    <w:p w14:paraId="715B5B95" w14:textId="77777777" w:rsidR="003754FE" w:rsidRDefault="003754FE" w:rsidP="003754FE">
      <w:pPr>
        <w:pStyle w:val="TextoNormal"/>
      </w:pPr>
    </w:p>
    <w:p w14:paraId="207E2E90" w14:textId="77777777" w:rsidR="003754FE" w:rsidRDefault="003754FE" w:rsidP="003754FE">
      <w:pPr>
        <w:pStyle w:val="TextoNormal"/>
      </w:pPr>
      <w:r>
        <w:t>Según el resumen efectuado por la Sala de lo Penal del Tribunal Supremo en la sentencia de casación (folios 97 y siguientes) los hechos en los que se habría articulado el sistema de concesión ilegal de ayudas sociolaborales se dividirían en tres etapas diferentes:</w:t>
      </w:r>
    </w:p>
    <w:p w14:paraId="0B3F33E7" w14:textId="77777777" w:rsidR="003754FE" w:rsidRDefault="003754FE" w:rsidP="003754FE">
      <w:pPr>
        <w:pStyle w:val="TextoNormal"/>
      </w:pPr>
    </w:p>
    <w:p w14:paraId="0AF7739C" w14:textId="77777777" w:rsidR="003754FE" w:rsidRDefault="003754FE" w:rsidP="003754FE">
      <w:pPr>
        <w:pStyle w:val="TextoNormal"/>
      </w:pPr>
      <w:r>
        <w:t>“I) Primera etapa</w:t>
      </w:r>
    </w:p>
    <w:p w14:paraId="6B5BD237" w14:textId="77777777" w:rsidR="003754FE" w:rsidRDefault="003754FE" w:rsidP="003754FE">
      <w:pPr>
        <w:pStyle w:val="TextoNormal"/>
      </w:pPr>
    </w:p>
    <w:p w14:paraId="1EB51F78" w14:textId="77777777" w:rsidR="003754FE" w:rsidRDefault="003754FE" w:rsidP="003754FE">
      <w:pPr>
        <w:pStyle w:val="TextoNormal"/>
      </w:pPr>
      <w:r>
        <w:t>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14:paraId="7D2CB5D2" w14:textId="77777777" w:rsidR="003754FE" w:rsidRDefault="003754FE" w:rsidP="003754FE">
      <w:pPr>
        <w:pStyle w:val="TextoNormal"/>
      </w:pPr>
    </w:p>
    <w:p w14:paraId="0474DA26" w14:textId="77777777" w:rsidR="003754FE" w:rsidRDefault="003754FE" w:rsidP="003754FE">
      <w:pPr>
        <w:pStyle w:val="TextoNormal"/>
      </w:pPr>
      <w:r>
        <w:t>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14:paraId="187ADF8D" w14:textId="77777777" w:rsidR="003754FE" w:rsidRDefault="003754FE" w:rsidP="003754FE">
      <w:pPr>
        <w:pStyle w:val="TextoNormal"/>
      </w:pPr>
    </w:p>
    <w:p w14:paraId="1924EDD3" w14:textId="77777777" w:rsidR="003754FE" w:rsidRDefault="003754FE" w:rsidP="003754FE">
      <w:pPr>
        <w:pStyle w:val="TextoNormal"/>
      </w:pPr>
      <w:r>
        <w:t>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14:paraId="622C2436" w14:textId="77777777" w:rsidR="003754FE" w:rsidRDefault="003754FE" w:rsidP="003754FE">
      <w:pPr>
        <w:pStyle w:val="TextoNormal"/>
      </w:pPr>
    </w:p>
    <w:p w14:paraId="7D384C9D" w14:textId="77777777" w:rsidR="003754FE" w:rsidRDefault="003754FE" w:rsidP="003754FE">
      <w:pPr>
        <w:pStyle w:val="TextoNormal"/>
      </w:pPr>
      <w:r>
        <w:t>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14:paraId="7517168C" w14:textId="77777777" w:rsidR="003754FE" w:rsidRDefault="003754FE" w:rsidP="003754FE">
      <w:pPr>
        <w:pStyle w:val="TextoNormal"/>
      </w:pPr>
    </w:p>
    <w:p w14:paraId="64A8FC56" w14:textId="77777777" w:rsidR="003754FE" w:rsidRDefault="003754FE" w:rsidP="003754FE">
      <w:pPr>
        <w:pStyle w:val="TextoNormal"/>
      </w:pPr>
      <w:r>
        <w:t>Sin perjuicio de ahondar más adelante en el régimen jurídico aplicable a estas ayudas, las notas más relevantes de esta regulación eran las siguientes:</w:t>
      </w:r>
    </w:p>
    <w:p w14:paraId="15C6CA12" w14:textId="77777777" w:rsidR="003754FE" w:rsidRDefault="003754FE" w:rsidP="003754FE">
      <w:pPr>
        <w:pStyle w:val="TextoNormal"/>
      </w:pPr>
    </w:p>
    <w:p w14:paraId="21E4E342" w14:textId="77777777" w:rsidR="003754FE" w:rsidRDefault="003754FE" w:rsidP="003754FE">
      <w:pPr>
        <w:pStyle w:val="TextoNormal"/>
      </w:pPr>
      <w:r>
        <w:t>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14:paraId="4271C528" w14:textId="77777777" w:rsidR="003754FE" w:rsidRDefault="003754FE" w:rsidP="003754FE">
      <w:pPr>
        <w:pStyle w:val="TextoNormal"/>
      </w:pPr>
    </w:p>
    <w:p w14:paraId="627A6B2A" w14:textId="77777777" w:rsidR="003754FE" w:rsidRDefault="003754FE" w:rsidP="003754FE">
      <w:pPr>
        <w:pStyle w:val="TextoNormal"/>
      </w:pPr>
      <w:r>
        <w:t>Los beneficiarios de la subvención quedaban sujetos a las siguientes obligaciones:</w:t>
      </w:r>
    </w:p>
    <w:p w14:paraId="5282EF07" w14:textId="77777777" w:rsidR="003754FE" w:rsidRDefault="003754FE" w:rsidP="003754FE">
      <w:pPr>
        <w:pStyle w:val="TextoNormal"/>
      </w:pPr>
    </w:p>
    <w:p w14:paraId="43367A27" w14:textId="77777777" w:rsidR="003754FE" w:rsidRDefault="003754FE" w:rsidP="003754FE">
      <w:pPr>
        <w:pStyle w:val="TextoNormal"/>
      </w:pPr>
      <w:r>
        <w:t>(i) Realizar la actividad o adoptar el comportamiento que fundamente la concesión de la subvención en la forma y plazos establecidos.</w:t>
      </w:r>
    </w:p>
    <w:p w14:paraId="3C52046F" w14:textId="77777777" w:rsidR="003754FE" w:rsidRDefault="003754FE" w:rsidP="003754FE">
      <w:pPr>
        <w:pStyle w:val="TextoNormal"/>
      </w:pPr>
    </w:p>
    <w:p w14:paraId="24583E2F" w14:textId="77777777" w:rsidR="003754FE" w:rsidRDefault="003754FE" w:rsidP="003754FE">
      <w:pPr>
        <w:pStyle w:val="TextoNormal"/>
      </w:pPr>
      <w:r>
        <w:t>(ii) Justificar ante la entidad concedente o, en su caso, la entidad colaboradora la realización de la actividad o la adopción del comportamiento, así como el cumplimiento de los requisitos y condiciones que determinen la concesión o disfrute de la subvención.</w:t>
      </w:r>
    </w:p>
    <w:p w14:paraId="54311D1F" w14:textId="77777777" w:rsidR="003754FE" w:rsidRDefault="003754FE" w:rsidP="003754FE">
      <w:pPr>
        <w:pStyle w:val="TextoNormal"/>
      </w:pPr>
    </w:p>
    <w:p w14:paraId="0D704232" w14:textId="77777777" w:rsidR="003754FE" w:rsidRDefault="003754FE" w:rsidP="003754FE">
      <w:pPr>
        <w:pStyle w:val="TextoNormal"/>
      </w:pPr>
      <w:r>
        <w:t>(iii)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14:paraId="1BC48E15" w14:textId="77777777" w:rsidR="003754FE" w:rsidRDefault="003754FE" w:rsidP="003754FE">
      <w:pPr>
        <w:pStyle w:val="TextoNormal"/>
      </w:pPr>
    </w:p>
    <w:p w14:paraId="07EEFB8C" w14:textId="77777777" w:rsidR="003754FE" w:rsidRDefault="003754FE" w:rsidP="003754FE">
      <w:pPr>
        <w:pStyle w:val="TextoNormal"/>
      </w:pPr>
      <w:r>
        <w:t>(iv)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14:paraId="67BF7F85" w14:textId="77777777" w:rsidR="003754FE" w:rsidRDefault="003754FE" w:rsidP="003754FE">
      <w:pPr>
        <w:pStyle w:val="TextoNormal"/>
      </w:pPr>
    </w:p>
    <w:p w14:paraId="5036B983" w14:textId="77777777" w:rsidR="003754FE" w:rsidRDefault="003754FE" w:rsidP="003754FE">
      <w:pPr>
        <w:pStyle w:val="TextoNormal"/>
      </w:pPr>
      <w:r>
        <w:t>(v)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14:paraId="3330A12F" w14:textId="77777777" w:rsidR="003754FE" w:rsidRDefault="003754FE" w:rsidP="003754FE">
      <w:pPr>
        <w:pStyle w:val="TextoNormal"/>
      </w:pPr>
    </w:p>
    <w:p w14:paraId="48609242" w14:textId="77777777" w:rsidR="003754FE" w:rsidRDefault="003754FE" w:rsidP="003754FE">
      <w:pPr>
        <w:pStyle w:val="TextoNormal"/>
      </w:pPr>
      <w:r>
        <w:t>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14:paraId="5FAC3383" w14:textId="77777777" w:rsidR="003754FE" w:rsidRDefault="003754FE" w:rsidP="003754FE">
      <w:pPr>
        <w:pStyle w:val="TextoNormal"/>
      </w:pPr>
    </w:p>
    <w:p w14:paraId="4BA38F74" w14:textId="77777777" w:rsidR="003754FE" w:rsidRDefault="003754FE" w:rsidP="003754FE">
      <w:pPr>
        <w:pStyle w:val="TextoNormal"/>
      </w:pPr>
      <w:r>
        <w:t>En las bases reguladoras se podía disponer que la entrega fuera realizada por entidades colaboradoras. Las empresas públicas de Andalucía podían ser entidades colaboradoras y también se establecía a su cargo las siguientes obligaciones:</w:t>
      </w:r>
    </w:p>
    <w:p w14:paraId="494CA991" w14:textId="77777777" w:rsidR="003754FE" w:rsidRDefault="003754FE" w:rsidP="003754FE">
      <w:pPr>
        <w:pStyle w:val="TextoNormal"/>
      </w:pPr>
    </w:p>
    <w:p w14:paraId="3F062979" w14:textId="77777777" w:rsidR="003754FE" w:rsidRDefault="003754FE" w:rsidP="003754FE">
      <w:pPr>
        <w:pStyle w:val="TextoNormal"/>
      </w:pPr>
      <w:r>
        <w:t>(i) Entregar a los beneficiarios los fondos recibidos de acuerdo con los criterios establecidos en las normas reguladoras de la subvención o ayuda.</w:t>
      </w:r>
    </w:p>
    <w:p w14:paraId="2F8FEF59" w14:textId="77777777" w:rsidR="003754FE" w:rsidRDefault="003754FE" w:rsidP="003754FE">
      <w:pPr>
        <w:pStyle w:val="TextoNormal"/>
      </w:pPr>
    </w:p>
    <w:p w14:paraId="43437F9F" w14:textId="77777777" w:rsidR="003754FE" w:rsidRDefault="003754FE" w:rsidP="003754FE">
      <w:pPr>
        <w:pStyle w:val="TextoNormal"/>
      </w:pPr>
      <w:r>
        <w:t>(ii) Verificar, en su caso, el cumplimiento y efectividad de las condiciones determinantes para su otorgamiento.</w:t>
      </w:r>
    </w:p>
    <w:p w14:paraId="4FA42D15" w14:textId="77777777" w:rsidR="003754FE" w:rsidRDefault="003754FE" w:rsidP="003754FE">
      <w:pPr>
        <w:pStyle w:val="TextoNormal"/>
      </w:pPr>
    </w:p>
    <w:p w14:paraId="599718C7" w14:textId="77777777" w:rsidR="003754FE" w:rsidRDefault="003754FE" w:rsidP="003754FE">
      <w:pPr>
        <w:pStyle w:val="TextoNormal"/>
      </w:pPr>
      <w:r>
        <w:t>(iii) Justificar la aplicación de los fondos recibidos ante la entidad concedente y, en su caso, entregar la justificación presentada por los beneficiarios.</w:t>
      </w:r>
    </w:p>
    <w:p w14:paraId="1C8B117B" w14:textId="77777777" w:rsidR="003754FE" w:rsidRDefault="003754FE" w:rsidP="003754FE">
      <w:pPr>
        <w:pStyle w:val="TextoNormal"/>
      </w:pPr>
    </w:p>
    <w:p w14:paraId="781F573F" w14:textId="77777777" w:rsidR="003754FE" w:rsidRDefault="003754FE" w:rsidP="003754FE">
      <w:pPr>
        <w:pStyle w:val="TextoNormal"/>
      </w:pPr>
      <w:r>
        <w:t>(iv)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14:paraId="212D3EA0" w14:textId="77777777" w:rsidR="003754FE" w:rsidRDefault="003754FE" w:rsidP="003754FE">
      <w:pPr>
        <w:pStyle w:val="TextoNormal"/>
      </w:pPr>
    </w:p>
    <w:p w14:paraId="5D743398" w14:textId="77777777" w:rsidR="003754FE" w:rsidRDefault="003754FE" w:rsidP="003754FE">
      <w:pPr>
        <w:pStyle w:val="TextoNormal"/>
      </w:pPr>
      <w:r>
        <w:t>(v) Colaborar en la restitución de las subvenciones otorgadas en los supuestos en que concurra causa de reintegro, y conforme a las normas que se establezcan (artículo 106).</w:t>
      </w:r>
    </w:p>
    <w:p w14:paraId="798A04F1" w14:textId="77777777" w:rsidR="003754FE" w:rsidRDefault="003754FE" w:rsidP="003754FE">
      <w:pPr>
        <w:pStyle w:val="TextoNormal"/>
      </w:pPr>
    </w:p>
    <w:p w14:paraId="3DA52961" w14:textId="77777777" w:rsidR="003754FE" w:rsidRDefault="003754FE" w:rsidP="003754FE">
      <w:pPr>
        <w:pStyle w:val="TextoNormal"/>
      </w:pPr>
      <w:r>
        <w:t>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14:paraId="702B8A02" w14:textId="77777777" w:rsidR="003754FE" w:rsidRDefault="003754FE" w:rsidP="003754FE">
      <w:pPr>
        <w:pStyle w:val="TextoNormal"/>
      </w:pPr>
    </w:p>
    <w:p w14:paraId="62240630" w14:textId="77777777" w:rsidR="003754FE" w:rsidRDefault="003754FE" w:rsidP="003754FE">
      <w:pPr>
        <w:pStyle w:val="TextoNormal"/>
      </w:pPr>
      <w:r>
        <w:t>Los proyectos de normas reguladoras de la concesión de subvenciones debían ser sometidos a informe de la Intervención General de la Junta de Andalucía, antes de su aprobación, y publicados en el ‘Boletín Oficial de la Juntad de Andalucía’ (artículo 107).</w:t>
      </w:r>
    </w:p>
    <w:p w14:paraId="0E308E04" w14:textId="77777777" w:rsidR="003754FE" w:rsidRDefault="003754FE" w:rsidP="003754FE">
      <w:pPr>
        <w:pStyle w:val="TextoNormal"/>
      </w:pPr>
    </w:p>
    <w:p w14:paraId="08BA9F28" w14:textId="77777777" w:rsidR="003754FE" w:rsidRDefault="003754FE" w:rsidP="003754FE">
      <w:pPr>
        <w:pStyle w:val="TextoNormal"/>
      </w:pPr>
      <w:r>
        <w:t>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w:t>
      </w:r>
      <w:r w:rsidRPr="003754FE">
        <w:rPr>
          <w:i/>
        </w:rPr>
        <w:t xml:space="preserve"> 85</w:t>
      </w:r>
      <w:r>
        <w:t xml:space="preserve"> bis de la citada ley.</w:t>
      </w:r>
    </w:p>
    <w:p w14:paraId="79C0644F" w14:textId="77777777" w:rsidR="003754FE" w:rsidRDefault="003754FE" w:rsidP="003754FE">
      <w:pPr>
        <w:pStyle w:val="TextoNormal"/>
      </w:pPr>
    </w:p>
    <w:p w14:paraId="61432D02" w14:textId="77777777" w:rsidR="003754FE" w:rsidRDefault="003754FE" w:rsidP="003754FE">
      <w:pPr>
        <w:pStyle w:val="TextoNormal"/>
      </w:pPr>
      <w:r>
        <w:t>II) Segunda etapa</w:t>
      </w:r>
    </w:p>
    <w:p w14:paraId="6D423B4D" w14:textId="77777777" w:rsidR="003754FE" w:rsidRDefault="003754FE" w:rsidP="003754FE">
      <w:pPr>
        <w:pStyle w:val="TextoNormal"/>
      </w:pPr>
    </w:p>
    <w:p w14:paraId="63730CBD" w14:textId="77777777" w:rsidR="003754FE" w:rsidRDefault="003754FE" w:rsidP="003754FE">
      <w:pPr>
        <w:pStyle w:val="TextoNormal"/>
      </w:pPr>
      <w:r>
        <w:t>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14:paraId="13201662" w14:textId="77777777" w:rsidR="003754FE" w:rsidRDefault="003754FE" w:rsidP="003754FE">
      <w:pPr>
        <w:pStyle w:val="TextoNormal"/>
      </w:pPr>
    </w:p>
    <w:p w14:paraId="4BEEF27C" w14:textId="77777777" w:rsidR="003754FE" w:rsidRDefault="003754FE" w:rsidP="003754FE">
      <w:pPr>
        <w:pStyle w:val="TextoNormal"/>
      </w:pPr>
      <w:r>
        <w:t>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14:paraId="3519EF4D" w14:textId="77777777" w:rsidR="003754FE" w:rsidRDefault="003754FE" w:rsidP="003754FE">
      <w:pPr>
        <w:pStyle w:val="TextoNormal"/>
      </w:pPr>
    </w:p>
    <w:p w14:paraId="4D8B9900" w14:textId="77777777" w:rsidR="003754FE" w:rsidRDefault="003754FE" w:rsidP="003754FE">
      <w:pPr>
        <w:pStyle w:val="TextoNormal"/>
      </w:pPr>
      <w:r>
        <w:t>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14:paraId="6F2570B7" w14:textId="77777777" w:rsidR="003754FE" w:rsidRDefault="003754FE" w:rsidP="003754FE">
      <w:pPr>
        <w:pStyle w:val="TextoNormal"/>
      </w:pPr>
    </w:p>
    <w:p w14:paraId="066B61A7" w14:textId="77777777" w:rsidR="003754FE" w:rsidRDefault="003754FE" w:rsidP="003754FE">
      <w:pPr>
        <w:pStyle w:val="TextoNormal"/>
      </w:pPr>
      <w:r>
        <w:t>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14:paraId="40C51E52" w14:textId="77777777" w:rsidR="003754FE" w:rsidRDefault="003754FE" w:rsidP="003754FE">
      <w:pPr>
        <w:pStyle w:val="TextoNormal"/>
      </w:pPr>
    </w:p>
    <w:p w14:paraId="43A29531" w14:textId="77777777" w:rsidR="003754FE" w:rsidRDefault="003754FE" w:rsidP="003754FE">
      <w:pPr>
        <w:pStyle w:val="TextoNormal"/>
      </w:pPr>
      <w:r>
        <w:t>Ante las dificultades surgidas, en abril de 2000 se procedió a una modificación presupuestaria, bajo la iniciativa de la Consejería de Empleo. Se modificó la clasificación económica del gasto.</w:t>
      </w:r>
    </w:p>
    <w:p w14:paraId="40D61351" w14:textId="77777777" w:rsidR="003754FE" w:rsidRDefault="003754FE" w:rsidP="003754FE">
      <w:pPr>
        <w:pStyle w:val="TextoNormal"/>
      </w:pPr>
    </w:p>
    <w:p w14:paraId="58335A9F" w14:textId="77777777" w:rsidR="003754FE" w:rsidRDefault="003754FE" w:rsidP="003754FE">
      <w:pPr>
        <w:pStyle w:val="TextoNormal"/>
      </w:pPr>
      <w:r>
        <w:t>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14:paraId="3D1B7840" w14:textId="77777777" w:rsidR="003754FE" w:rsidRDefault="003754FE" w:rsidP="003754FE">
      <w:pPr>
        <w:pStyle w:val="TextoNormal"/>
      </w:pPr>
    </w:p>
    <w:p w14:paraId="64034D95" w14:textId="77777777" w:rsidR="003754FE" w:rsidRDefault="003754FE" w:rsidP="003754FE">
      <w:pPr>
        <w:pStyle w:val="TextoNormal"/>
      </w:pPr>
      <w:r>
        <w:t>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14:paraId="1BA72C48" w14:textId="77777777" w:rsidR="003754FE" w:rsidRDefault="003754FE" w:rsidP="003754FE">
      <w:pPr>
        <w:pStyle w:val="TextoNormal"/>
      </w:pPr>
    </w:p>
    <w:p w14:paraId="07F28B3C" w14:textId="77777777" w:rsidR="003754FE" w:rsidRDefault="003754FE" w:rsidP="003754FE">
      <w:pPr>
        <w:pStyle w:val="TextoNormal"/>
      </w:pPr>
      <w:r>
        <w:t>En vez de aprobar una nueva normativa o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14:paraId="2AC5FC34" w14:textId="77777777" w:rsidR="003754FE" w:rsidRDefault="003754FE" w:rsidP="003754FE">
      <w:pPr>
        <w:pStyle w:val="TextoNormal"/>
      </w:pPr>
    </w:p>
    <w:p w14:paraId="123F9011" w14:textId="77777777" w:rsidR="003754FE" w:rsidRDefault="003754FE" w:rsidP="003754FE">
      <w:pPr>
        <w:pStyle w:val="TextoNormal"/>
      </w:pPr>
      <w:r>
        <w:t>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14:paraId="64DD045B" w14:textId="77777777" w:rsidR="003754FE" w:rsidRDefault="003754FE" w:rsidP="003754FE">
      <w:pPr>
        <w:pStyle w:val="TextoNormal"/>
      </w:pPr>
    </w:p>
    <w:p w14:paraId="4A81B38F" w14:textId="77777777" w:rsidR="003754FE" w:rsidRDefault="003754FE" w:rsidP="003754FE">
      <w:pPr>
        <w:pStyle w:val="TextoNormal"/>
      </w:pPr>
      <w:r>
        <w:t>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w:t>
      </w:r>
      <w:r w:rsidRPr="003754FE">
        <w:rPr>
          <w:i/>
        </w:rPr>
        <w:t>o a posterio</w:t>
      </w:r>
      <w:r>
        <w:t>ri.</w:t>
      </w:r>
    </w:p>
    <w:p w14:paraId="5A1CF8F4" w14:textId="77777777" w:rsidR="003754FE" w:rsidRDefault="003754FE" w:rsidP="003754FE">
      <w:pPr>
        <w:pStyle w:val="TextoNormal"/>
      </w:pPr>
    </w:p>
    <w:p w14:paraId="3EB95572" w14:textId="77777777" w:rsidR="003754FE" w:rsidRDefault="003754FE" w:rsidP="003754FE">
      <w:pPr>
        <w:pStyle w:val="TextoNormal"/>
      </w:pPr>
      <w:r>
        <w:t>En efecto, el expediente de las transferencias de financiación no precisa la identificación de los destinatarios de las ayudas. Únicamente requiere consignar:</w:t>
      </w:r>
    </w:p>
    <w:p w14:paraId="65225A5E" w14:textId="77777777" w:rsidR="003754FE" w:rsidRDefault="003754FE" w:rsidP="003754FE">
      <w:pPr>
        <w:pStyle w:val="TextoNormal"/>
      </w:pPr>
    </w:p>
    <w:p w14:paraId="6315FC93" w14:textId="77777777" w:rsidR="003754FE" w:rsidRDefault="003754FE" w:rsidP="003754FE">
      <w:pPr>
        <w:pStyle w:val="TextoNormal"/>
      </w:pPr>
      <w:r>
        <w:t>(i) La propuesta de resolución del órgano competente autorizando la transferencia;</w:t>
      </w:r>
    </w:p>
    <w:p w14:paraId="30512B5E" w14:textId="77777777" w:rsidR="003754FE" w:rsidRDefault="003754FE" w:rsidP="003754FE">
      <w:pPr>
        <w:pStyle w:val="TextoNormal"/>
      </w:pPr>
    </w:p>
    <w:p w14:paraId="63EC9D38" w14:textId="77777777" w:rsidR="003754FE" w:rsidRDefault="003754FE" w:rsidP="003754FE">
      <w:pPr>
        <w:pStyle w:val="TextoNormal"/>
      </w:pPr>
      <w:r>
        <w:t>(ii) el calendario de pagos aprobado por la Dirección General de Tesorería;</w:t>
      </w:r>
    </w:p>
    <w:p w14:paraId="64757C4A" w14:textId="77777777" w:rsidR="003754FE" w:rsidRDefault="003754FE" w:rsidP="003754FE">
      <w:pPr>
        <w:pStyle w:val="TextoNormal"/>
      </w:pPr>
    </w:p>
    <w:p w14:paraId="3C85010D" w14:textId="77777777" w:rsidR="003754FE" w:rsidRDefault="003754FE" w:rsidP="003754FE">
      <w:pPr>
        <w:pStyle w:val="TextoNormal"/>
      </w:pPr>
      <w:r>
        <w:t>(iii) los documentos contables acreditativos de la consignación presupuestaria y el programa de actuación (PAIF) publicado en el ‘BOJA’ por orden de la Consejería de Hacienda.</w:t>
      </w:r>
    </w:p>
    <w:p w14:paraId="17EF5FBC" w14:textId="77777777" w:rsidR="003754FE" w:rsidRDefault="003754FE" w:rsidP="003754FE">
      <w:pPr>
        <w:pStyle w:val="TextoNormal"/>
      </w:pPr>
    </w:p>
    <w:p w14:paraId="283E5E5D" w14:textId="77777777" w:rsidR="003754FE" w:rsidRDefault="003754FE" w:rsidP="003754FE">
      <w:pPr>
        <w:pStyle w:val="TextoNormal"/>
      </w:pPr>
      <w:r>
        <w:t>Y en la fiscalización posterior de la actividad del IFA, realizada a través del llamado ‘control financiero permanente’, conforme a lo previsto en el […] Decreto 9/1999, de 19 de enero, únicamente tenía un triple objetivo:</w:t>
      </w:r>
    </w:p>
    <w:p w14:paraId="3395247D" w14:textId="77777777" w:rsidR="003754FE" w:rsidRDefault="003754FE" w:rsidP="003754FE">
      <w:pPr>
        <w:pStyle w:val="TextoNormal"/>
      </w:pPr>
    </w:p>
    <w:p w14:paraId="1BBCE08C" w14:textId="77777777" w:rsidR="003754FE" w:rsidRDefault="003754FE" w:rsidP="003754FE">
      <w:pPr>
        <w:pStyle w:val="TextoNormal"/>
      </w:pPr>
      <w:r>
        <w:t>(i) comprobar el cumplimiento de la legalidad;</w:t>
      </w:r>
    </w:p>
    <w:p w14:paraId="517C2C64" w14:textId="77777777" w:rsidR="003754FE" w:rsidRDefault="003754FE" w:rsidP="003754FE">
      <w:pPr>
        <w:pStyle w:val="TextoNormal"/>
      </w:pPr>
    </w:p>
    <w:p w14:paraId="1497A323" w14:textId="77777777" w:rsidR="003754FE" w:rsidRDefault="003754FE" w:rsidP="003754FE">
      <w:pPr>
        <w:pStyle w:val="TextoNormal"/>
      </w:pPr>
      <w:r>
        <w:t>(ii) examinar las cuentas anuales y</w:t>
      </w:r>
    </w:p>
    <w:p w14:paraId="55BD108A" w14:textId="77777777" w:rsidR="003754FE" w:rsidRDefault="003754FE" w:rsidP="003754FE">
      <w:pPr>
        <w:pStyle w:val="TextoNormal"/>
      </w:pPr>
    </w:p>
    <w:p w14:paraId="351530CC" w14:textId="77777777" w:rsidR="003754FE" w:rsidRDefault="003754FE" w:rsidP="003754FE">
      <w:pPr>
        <w:pStyle w:val="TextoNormal"/>
      </w:pPr>
      <w:r>
        <w:t>(iii) examinar críticamente la gestión de los programas asignados al instituto. Este control no tenía utilidad alguna para conocer el destino de las subvenciones, dado que se limitaba al control de la transferencia.</w:t>
      </w:r>
    </w:p>
    <w:p w14:paraId="0F41DB90" w14:textId="77777777" w:rsidR="003754FE" w:rsidRDefault="003754FE" w:rsidP="003754FE">
      <w:pPr>
        <w:pStyle w:val="TextoNormal"/>
      </w:pPr>
    </w:p>
    <w:p w14:paraId="779D02B4" w14:textId="77777777" w:rsidR="003754FE" w:rsidRDefault="003754FE" w:rsidP="003754FE">
      <w:pPr>
        <w:pStyle w:val="TextoNormal"/>
      </w:pPr>
      <w:r>
        <w:t>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14:paraId="39BEA735" w14:textId="77777777" w:rsidR="003754FE" w:rsidRDefault="003754FE" w:rsidP="003754FE">
      <w:pPr>
        <w:pStyle w:val="TextoNormal"/>
      </w:pPr>
    </w:p>
    <w:p w14:paraId="14310D56" w14:textId="77777777" w:rsidR="003754FE" w:rsidRDefault="003754FE" w:rsidP="003754FE">
      <w:pPr>
        <w:pStyle w:val="TextoNormal"/>
      </w:pPr>
      <w:r>
        <w:t>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14:paraId="0352BD57" w14:textId="77777777" w:rsidR="003754FE" w:rsidRDefault="003754FE" w:rsidP="003754FE">
      <w:pPr>
        <w:pStyle w:val="TextoNormal"/>
      </w:pPr>
    </w:p>
    <w:p w14:paraId="618BA750" w14:textId="77777777" w:rsidR="003754FE" w:rsidRDefault="003754FE" w:rsidP="003754FE">
      <w:pPr>
        <w:pStyle w:val="TextoNormal"/>
      </w:pPr>
      <w:r>
        <w:t>El convenio marco no fue publicado en el ‘BOJA’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14:paraId="70376691" w14:textId="77777777" w:rsidR="003754FE" w:rsidRDefault="003754FE" w:rsidP="003754FE">
      <w:pPr>
        <w:pStyle w:val="TextoNormal"/>
      </w:pPr>
    </w:p>
    <w:p w14:paraId="3E391C3F" w14:textId="77777777" w:rsidR="003754FE" w:rsidRDefault="003754FE" w:rsidP="003754FE">
      <w:pPr>
        <w:pStyle w:val="TextoNormal"/>
      </w:pPr>
      <w:r>
        <w:t>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14:paraId="27288D1E" w14:textId="77777777" w:rsidR="003754FE" w:rsidRDefault="003754FE" w:rsidP="003754FE">
      <w:pPr>
        <w:pStyle w:val="TextoNormal"/>
      </w:pPr>
    </w:p>
    <w:p w14:paraId="64537E64" w14:textId="77777777" w:rsidR="003754FE" w:rsidRDefault="003754FE" w:rsidP="003754FE">
      <w:pPr>
        <w:pStyle w:val="TextoNormal"/>
      </w:pPr>
      <w:r>
        <w:t>Por tanto, utilizando el criterio de presupuestación a que antes nos hemos referido se incluyeron las siguientes partidas presupuestarias:</w:t>
      </w:r>
    </w:p>
    <w:p w14:paraId="065917D1" w14:textId="77777777" w:rsidR="003754FE" w:rsidRDefault="003754FE" w:rsidP="003754FE">
      <w:pPr>
        <w:pStyle w:val="TextoNormal"/>
      </w:pPr>
    </w:p>
    <w:p w14:paraId="6D3C274C" w14:textId="77777777" w:rsidR="003754FE" w:rsidRDefault="003754FE" w:rsidP="003754FE">
      <w:pPr>
        <w:pStyle w:val="TextoNormal"/>
      </w:pPr>
      <w:r>
        <w:t>- En 2002: 34 341 351 €.</w:t>
      </w:r>
    </w:p>
    <w:p w14:paraId="52D48BF4" w14:textId="77777777" w:rsidR="003754FE" w:rsidRDefault="003754FE" w:rsidP="003754FE">
      <w:pPr>
        <w:pStyle w:val="TextoNormal"/>
      </w:pPr>
    </w:p>
    <w:p w14:paraId="6CD66B17" w14:textId="77777777" w:rsidR="003754FE" w:rsidRDefault="003754FE" w:rsidP="003754FE">
      <w:pPr>
        <w:pStyle w:val="TextoNormal"/>
      </w:pPr>
      <w:r>
        <w:t>- En 2003: 55 646 899 €.</w:t>
      </w:r>
    </w:p>
    <w:p w14:paraId="764139A0" w14:textId="77777777" w:rsidR="003754FE" w:rsidRDefault="003754FE" w:rsidP="003754FE">
      <w:pPr>
        <w:pStyle w:val="TextoNormal"/>
      </w:pPr>
    </w:p>
    <w:p w14:paraId="7B7080F3" w14:textId="77777777" w:rsidR="003754FE" w:rsidRDefault="003754FE" w:rsidP="003754FE">
      <w:pPr>
        <w:pStyle w:val="TextoNormal"/>
      </w:pPr>
      <w:r>
        <w:t>- En 2004: 46 146 389 €. [En este ejercicio el IFA cambió su denominación por Agencia de la Innovación y Desarrollo de Andalucía (IDEA) y pasó a estar adscrito a la Consejería de Innovación, Ciencia y Empresa].</w:t>
      </w:r>
    </w:p>
    <w:p w14:paraId="4B0AE95C" w14:textId="77777777" w:rsidR="003754FE" w:rsidRDefault="003754FE" w:rsidP="003754FE">
      <w:pPr>
        <w:pStyle w:val="TextoNormal"/>
      </w:pPr>
    </w:p>
    <w:p w14:paraId="38CE210A" w14:textId="77777777" w:rsidR="003754FE" w:rsidRDefault="003754FE" w:rsidP="003754FE">
      <w:pPr>
        <w:pStyle w:val="TextoNormal"/>
      </w:pPr>
      <w:r>
        <w:t>- En 2005: 72 261 575 €.</w:t>
      </w:r>
    </w:p>
    <w:p w14:paraId="74FD1171" w14:textId="77777777" w:rsidR="003754FE" w:rsidRDefault="003754FE" w:rsidP="003754FE">
      <w:pPr>
        <w:pStyle w:val="TextoNormal"/>
      </w:pPr>
    </w:p>
    <w:p w14:paraId="472F8195" w14:textId="77777777" w:rsidR="003754FE" w:rsidRDefault="003754FE" w:rsidP="003754FE">
      <w:pPr>
        <w:pStyle w:val="TextoNormal"/>
      </w:pPr>
      <w:r>
        <w:t>- En 2006: 77 291 000 €.</w:t>
      </w:r>
    </w:p>
    <w:p w14:paraId="633C7444" w14:textId="77777777" w:rsidR="003754FE" w:rsidRDefault="003754FE" w:rsidP="003754FE">
      <w:pPr>
        <w:pStyle w:val="TextoNormal"/>
      </w:pPr>
    </w:p>
    <w:p w14:paraId="79FFAF29" w14:textId="77777777" w:rsidR="003754FE" w:rsidRDefault="003754FE" w:rsidP="003754FE">
      <w:pPr>
        <w:pStyle w:val="TextoNormal"/>
      </w:pPr>
      <w:r>
        <w:t>- En 2007: 79 207 500 €.</w:t>
      </w:r>
    </w:p>
    <w:p w14:paraId="6531C2F3" w14:textId="77777777" w:rsidR="003754FE" w:rsidRDefault="003754FE" w:rsidP="003754FE">
      <w:pPr>
        <w:pStyle w:val="TextoNormal"/>
      </w:pPr>
    </w:p>
    <w:p w14:paraId="3F597D05" w14:textId="77777777" w:rsidR="003754FE" w:rsidRDefault="003754FE" w:rsidP="003754FE">
      <w:pPr>
        <w:pStyle w:val="TextoNormal"/>
      </w:pPr>
      <w:r>
        <w:t>- En 2008: 87 478 495 €.</w:t>
      </w:r>
    </w:p>
    <w:p w14:paraId="0669CC6C" w14:textId="77777777" w:rsidR="003754FE" w:rsidRDefault="003754FE" w:rsidP="003754FE">
      <w:pPr>
        <w:pStyle w:val="TextoNormal"/>
      </w:pPr>
    </w:p>
    <w:p w14:paraId="4195FDE9" w14:textId="77777777" w:rsidR="003754FE" w:rsidRDefault="003754FE" w:rsidP="003754FE">
      <w:pPr>
        <w:pStyle w:val="TextoNormal"/>
      </w:pPr>
      <w:r>
        <w:t>Además de estas partidas, durante los distintos ejercicios se aprobaron modificaciones presupuestarias, que incrementaron el flujo de dinero que gestionaba el IFA/IDEA y que recibía como transferencia de financiación.</w:t>
      </w:r>
    </w:p>
    <w:p w14:paraId="0DE51954" w14:textId="77777777" w:rsidR="003754FE" w:rsidRDefault="003754FE" w:rsidP="003754FE">
      <w:pPr>
        <w:pStyle w:val="TextoNormal"/>
      </w:pPr>
    </w:p>
    <w:p w14:paraId="690976DF" w14:textId="77777777" w:rsidR="003754FE" w:rsidRDefault="003754FE" w:rsidP="003754FE">
      <w:pPr>
        <w:pStyle w:val="TextoNormal"/>
      </w:pPr>
      <w:r>
        <w:t>Las modificaciones presupuestarias fueron las siguientes:</w:t>
      </w:r>
    </w:p>
    <w:p w14:paraId="5C45E153" w14:textId="77777777" w:rsidR="003754FE" w:rsidRDefault="003754FE" w:rsidP="003754FE">
      <w:pPr>
        <w:pStyle w:val="TextoNormal"/>
      </w:pPr>
    </w:p>
    <w:p w14:paraId="2029EDCE" w14:textId="77777777" w:rsidR="003754FE" w:rsidRDefault="003754FE" w:rsidP="003754FE">
      <w:pPr>
        <w:pStyle w:val="TextoNormal"/>
      </w:pPr>
      <w:r>
        <w:t>- Modificación de 15 de octubre de 2002, por importe de 9 944 099 €.</w:t>
      </w:r>
    </w:p>
    <w:p w14:paraId="7D2043D4" w14:textId="77777777" w:rsidR="003754FE" w:rsidRDefault="003754FE" w:rsidP="003754FE">
      <w:pPr>
        <w:pStyle w:val="TextoNormal"/>
      </w:pPr>
    </w:p>
    <w:p w14:paraId="2D7095EF" w14:textId="77777777" w:rsidR="003754FE" w:rsidRDefault="003754FE" w:rsidP="003754FE">
      <w:pPr>
        <w:pStyle w:val="TextoNormal"/>
      </w:pPr>
      <w:r>
        <w:t>- Modificación de 21 de octubre de 2002, por importe de 22 253 204,17 €.</w:t>
      </w:r>
    </w:p>
    <w:p w14:paraId="2BE065A5" w14:textId="77777777" w:rsidR="003754FE" w:rsidRDefault="003754FE" w:rsidP="003754FE">
      <w:pPr>
        <w:pStyle w:val="TextoNormal"/>
      </w:pPr>
    </w:p>
    <w:p w14:paraId="7BDF1B23" w14:textId="77777777" w:rsidR="003754FE" w:rsidRDefault="003754FE" w:rsidP="003754FE">
      <w:pPr>
        <w:pStyle w:val="TextoNormal"/>
      </w:pPr>
      <w:r>
        <w:t>- Modificación de 7 de diciembre de 2005, por importe de 799 895,97 €.</w:t>
      </w:r>
    </w:p>
    <w:p w14:paraId="42C6D1A3" w14:textId="77777777" w:rsidR="003754FE" w:rsidRDefault="003754FE" w:rsidP="003754FE">
      <w:pPr>
        <w:pStyle w:val="TextoNormal"/>
      </w:pPr>
    </w:p>
    <w:p w14:paraId="25E3EAC0" w14:textId="77777777" w:rsidR="003754FE" w:rsidRDefault="003754FE" w:rsidP="003754FE">
      <w:pPr>
        <w:pStyle w:val="TextoNormal"/>
      </w:pPr>
      <w:r>
        <w:t>- Modificación de 7 de noviembre de 2006, por importe de 9 300 000 €.</w:t>
      </w:r>
    </w:p>
    <w:p w14:paraId="3E99E629" w14:textId="77777777" w:rsidR="003754FE" w:rsidRDefault="003754FE" w:rsidP="003754FE">
      <w:pPr>
        <w:pStyle w:val="TextoNormal"/>
      </w:pPr>
    </w:p>
    <w:p w14:paraId="212D8811" w14:textId="77777777" w:rsidR="003754FE" w:rsidRDefault="003754FE" w:rsidP="003754FE">
      <w:pPr>
        <w:pStyle w:val="TextoNormal"/>
      </w:pPr>
      <w:r>
        <w:t>- Modificación de 27 de noviembre de 2007, por importe de 7 448 503,44 €.</w:t>
      </w:r>
    </w:p>
    <w:p w14:paraId="5933B52B" w14:textId="77777777" w:rsidR="003754FE" w:rsidRDefault="003754FE" w:rsidP="003754FE">
      <w:pPr>
        <w:pStyle w:val="TextoNormal"/>
      </w:pPr>
    </w:p>
    <w:p w14:paraId="0E5D1FAA" w14:textId="77777777" w:rsidR="003754FE" w:rsidRDefault="003754FE" w:rsidP="003754FE">
      <w:pPr>
        <w:pStyle w:val="TextoNormal"/>
      </w:pPr>
      <w:r>
        <w:t>- Modificación de 22 de diciembre de 2008, por importe de 1 253 853,89 €.</w:t>
      </w:r>
    </w:p>
    <w:p w14:paraId="4A0FE610" w14:textId="77777777" w:rsidR="003754FE" w:rsidRDefault="003754FE" w:rsidP="003754FE">
      <w:pPr>
        <w:pStyle w:val="TextoNormal"/>
      </w:pPr>
    </w:p>
    <w:p w14:paraId="3302526F" w14:textId="77777777" w:rsidR="003754FE" w:rsidRDefault="003754FE" w:rsidP="003754FE">
      <w:pPr>
        <w:pStyle w:val="TextoNormal"/>
      </w:pPr>
      <w:r>
        <w:t>- Modificación de 22 de diciembre de 2008, por importe de 6 011 836,20 €.</w:t>
      </w:r>
    </w:p>
    <w:p w14:paraId="429C9853" w14:textId="77777777" w:rsidR="003754FE" w:rsidRDefault="003754FE" w:rsidP="003754FE">
      <w:pPr>
        <w:pStyle w:val="TextoNormal"/>
      </w:pPr>
    </w:p>
    <w:p w14:paraId="03A35320" w14:textId="77777777" w:rsidR="003754FE" w:rsidRDefault="003754FE" w:rsidP="003754FE">
      <w:pPr>
        <w:pStyle w:val="TextoNormal"/>
      </w:pPr>
      <w:r>
        <w:t>- Modificación de 22 de diciembre de 2008, por importe de 8 000 000 €.</w:t>
      </w:r>
    </w:p>
    <w:p w14:paraId="645355ED" w14:textId="77777777" w:rsidR="003754FE" w:rsidRDefault="003754FE" w:rsidP="003754FE">
      <w:pPr>
        <w:pStyle w:val="TextoNormal"/>
      </w:pPr>
    </w:p>
    <w:p w14:paraId="5755A0A3" w14:textId="77777777" w:rsidR="003754FE" w:rsidRDefault="003754FE" w:rsidP="003754FE">
      <w:pPr>
        <w:pStyle w:val="TextoNormal"/>
      </w:pPr>
      <w:r>
        <w:t>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14:paraId="28FCFB94" w14:textId="77777777" w:rsidR="003754FE" w:rsidRDefault="003754FE" w:rsidP="003754FE">
      <w:pPr>
        <w:pStyle w:val="TextoNormal"/>
      </w:pPr>
    </w:p>
    <w:p w14:paraId="53993786" w14:textId="77777777" w:rsidR="003754FE" w:rsidRDefault="003754FE" w:rsidP="003754FE">
      <w:pPr>
        <w:pStyle w:val="TextoNormal"/>
      </w:pPr>
      <w:r>
        <w:t>Según han puesto de relieve distintos informes y resoluciones judiciales y administrativas, como consecuencia de todo lo anterior, las irregularidades más significativas en la concesión de las ayudas (sin hacer una enumeración exhaustiva) han sido las siguientes:</w:t>
      </w:r>
    </w:p>
    <w:p w14:paraId="2238B1AA" w14:textId="77777777" w:rsidR="003754FE" w:rsidRDefault="003754FE" w:rsidP="003754FE">
      <w:pPr>
        <w:pStyle w:val="TextoNormal"/>
      </w:pPr>
    </w:p>
    <w:p w14:paraId="6DC8FF53" w14:textId="77777777" w:rsidR="003754FE" w:rsidRDefault="003754FE" w:rsidP="003754FE">
      <w:pPr>
        <w:pStyle w:val="TextoNormal"/>
      </w:pPr>
      <w:r>
        <w:t>- En muchos casos no ha existido expediente de concesión de la ayuda.</w:t>
      </w:r>
    </w:p>
    <w:p w14:paraId="0FEEF41F" w14:textId="77777777" w:rsidR="003754FE" w:rsidRDefault="003754FE" w:rsidP="003754FE">
      <w:pPr>
        <w:pStyle w:val="TextoNormal"/>
      </w:pPr>
    </w:p>
    <w:p w14:paraId="7E613825" w14:textId="77777777" w:rsidR="003754FE" w:rsidRDefault="003754FE" w:rsidP="003754FE">
      <w:pPr>
        <w:pStyle w:val="TextoNormal"/>
      </w:pPr>
      <w:r>
        <w:t>- El director general de Trabajo y Seguridad Social no tiene delegadas competencias para la concesión de subvenciones excepcionales.</w:t>
      </w:r>
    </w:p>
    <w:p w14:paraId="799E6935" w14:textId="77777777" w:rsidR="003754FE" w:rsidRDefault="003754FE" w:rsidP="003754FE">
      <w:pPr>
        <w:pStyle w:val="TextoNormal"/>
      </w:pPr>
    </w:p>
    <w:p w14:paraId="0126ED5A" w14:textId="77777777" w:rsidR="003754FE" w:rsidRDefault="003754FE" w:rsidP="003754FE">
      <w:pPr>
        <w:pStyle w:val="TextoNormal"/>
      </w:pPr>
      <w:r>
        <w:t>- No consta que se haya dado publicidad a la concesión de las ayudas (artículo 109 LGHPA).</w:t>
      </w:r>
    </w:p>
    <w:p w14:paraId="4DDE330E" w14:textId="77777777" w:rsidR="003754FE" w:rsidRDefault="003754FE" w:rsidP="003754FE">
      <w:pPr>
        <w:pStyle w:val="TextoNormal"/>
      </w:pPr>
    </w:p>
    <w:p w14:paraId="634E2EC7" w14:textId="77777777" w:rsidR="003754FE" w:rsidRDefault="003754FE" w:rsidP="003754FE">
      <w:pPr>
        <w:pStyle w:val="TextoNormal"/>
      </w:pPr>
      <w:r>
        <w:t>- Se ha omitido la fiscalización previa.</w:t>
      </w:r>
    </w:p>
    <w:p w14:paraId="53470EF1" w14:textId="77777777" w:rsidR="003754FE" w:rsidRDefault="003754FE" w:rsidP="003754FE">
      <w:pPr>
        <w:pStyle w:val="TextoNormal"/>
      </w:pPr>
    </w:p>
    <w:p w14:paraId="0D6FC752" w14:textId="77777777" w:rsidR="003754FE" w:rsidRDefault="003754FE" w:rsidP="003754FE">
      <w:pPr>
        <w:pStyle w:val="TextoNormal"/>
      </w:pPr>
      <w:r>
        <w:t>- No consta autorización de la concesión de la subvención por el Consejo de Gobierno por razón de la cuantía.</w:t>
      </w:r>
    </w:p>
    <w:p w14:paraId="3281603B" w14:textId="77777777" w:rsidR="003754FE" w:rsidRDefault="003754FE" w:rsidP="003754FE">
      <w:pPr>
        <w:pStyle w:val="TextoNormal"/>
      </w:pPr>
    </w:p>
    <w:p w14:paraId="60927CDA" w14:textId="77777777" w:rsidR="003754FE" w:rsidRDefault="003754FE" w:rsidP="003754FE">
      <w:pPr>
        <w:pStyle w:val="TextoNormal"/>
      </w:pPr>
      <w:r>
        <w:t>- No se consigna la aplicación presupuestaria del gasto y su distribución plurianual, ni el presupuesto subvencionado y el porcentaje que representa la subvención sobre el presupuesto aceptado.</w:t>
      </w:r>
    </w:p>
    <w:p w14:paraId="3B463C86" w14:textId="77777777" w:rsidR="003754FE" w:rsidRDefault="003754FE" w:rsidP="003754FE">
      <w:pPr>
        <w:pStyle w:val="TextoNormal"/>
      </w:pPr>
    </w:p>
    <w:p w14:paraId="3B10840E" w14:textId="77777777" w:rsidR="003754FE" w:rsidRDefault="003754FE" w:rsidP="003754FE">
      <w:pPr>
        <w:pStyle w:val="TextoNormal"/>
      </w:pPr>
      <w:r>
        <w:t>- No consta informe de la Dirección General de Asuntos Europeos y Cooperación, de la Consejería de Presidencia, sobre cumplimiento del deber de notificar a la Comisión las subvenciones concedidas a empresas.</w:t>
      </w:r>
    </w:p>
    <w:p w14:paraId="33C2689D" w14:textId="77777777" w:rsidR="003754FE" w:rsidRDefault="003754FE" w:rsidP="003754FE">
      <w:pPr>
        <w:pStyle w:val="TextoNormal"/>
      </w:pPr>
    </w:p>
    <w:p w14:paraId="7DEA5AF3" w14:textId="77777777" w:rsidR="003754FE" w:rsidRDefault="003754FE" w:rsidP="003754FE">
      <w:pPr>
        <w:pStyle w:val="TextoNormal"/>
      </w:pPr>
      <w:r>
        <w:t>- No consta memoria explicativa de la excepcionalidad de las subvenciones, ni los requisitos que se exigen para ser beneficiario, ni se detalla la forma en que debería realizarse la justificación del cumplimiento de la finalidad para la que fue concedida la ayuda.</w:t>
      </w:r>
    </w:p>
    <w:p w14:paraId="58D7114A" w14:textId="77777777" w:rsidR="003754FE" w:rsidRDefault="003754FE" w:rsidP="003754FE">
      <w:pPr>
        <w:pStyle w:val="TextoNormal"/>
      </w:pPr>
    </w:p>
    <w:p w14:paraId="33CA8BDF" w14:textId="77777777" w:rsidR="003754FE" w:rsidRDefault="003754FE" w:rsidP="003754FE">
      <w:pPr>
        <w:pStyle w:val="TextoNormal"/>
      </w:pPr>
      <w:r>
        <w:t>- Los convenios de colaboración por los que se han concedido las ayudas no adoptan ni la forma ni los contenidos mínimos que exige la Ley 38/2003, de 17 de noviembre.</w:t>
      </w:r>
    </w:p>
    <w:p w14:paraId="3CDD805B" w14:textId="77777777" w:rsidR="003754FE" w:rsidRDefault="003754FE" w:rsidP="003754FE">
      <w:pPr>
        <w:pStyle w:val="TextoNormal"/>
      </w:pPr>
    </w:p>
    <w:p w14:paraId="334F58D9" w14:textId="77777777" w:rsidR="003754FE" w:rsidRDefault="003754FE" w:rsidP="003754FE">
      <w:pPr>
        <w:pStyle w:val="TextoNormal"/>
      </w:pPr>
      <w:r>
        <w:t>- Ni las subvenciones ni los convenios han sido publicados en el ‘Boletín Oficial de la Junta de Andalucía’, ni en la base de datos de subvenciones de la Junta de Andalucía.</w:t>
      </w:r>
    </w:p>
    <w:p w14:paraId="3BD4166A" w14:textId="77777777" w:rsidR="003754FE" w:rsidRDefault="003754FE" w:rsidP="003754FE">
      <w:pPr>
        <w:pStyle w:val="TextoNormal"/>
      </w:pPr>
    </w:p>
    <w:p w14:paraId="64C89661" w14:textId="77777777" w:rsidR="003754FE" w:rsidRDefault="003754FE" w:rsidP="003754FE">
      <w:pPr>
        <w:pStyle w:val="TextoNormal"/>
      </w:pPr>
      <w:r>
        <w:t>- La concesión de las subvenciones no ha sido objeto de informe previo por el Gabinete Jurídico de la Junta de Andalucía.</w:t>
      </w:r>
    </w:p>
    <w:p w14:paraId="2B09BEBC" w14:textId="77777777" w:rsidR="003754FE" w:rsidRDefault="003754FE" w:rsidP="003754FE">
      <w:pPr>
        <w:pStyle w:val="TextoNormal"/>
      </w:pPr>
    </w:p>
    <w:p w14:paraId="4C877ADF" w14:textId="77777777" w:rsidR="003754FE" w:rsidRDefault="003754FE" w:rsidP="003754FE">
      <w:pPr>
        <w:pStyle w:val="TextoNormal"/>
      </w:pPr>
      <w:r>
        <w:t>- No se acredita la personalidad de las entidades solicitantes, ni la de sus representantes.</w:t>
      </w:r>
    </w:p>
    <w:p w14:paraId="7AA1B992" w14:textId="77777777" w:rsidR="003754FE" w:rsidRDefault="003754FE" w:rsidP="003754FE">
      <w:pPr>
        <w:pStyle w:val="TextoNormal"/>
      </w:pPr>
    </w:p>
    <w:p w14:paraId="6C5D763C" w14:textId="77777777" w:rsidR="003754FE" w:rsidRDefault="003754FE" w:rsidP="003754FE">
      <w:pPr>
        <w:pStyle w:val="TextoNormal"/>
      </w:pPr>
      <w:r>
        <w:t>- No se aporta informe o memoria acreditativa de la finalidad pública, o razones de interés social o económico, en la concesión.</w:t>
      </w:r>
    </w:p>
    <w:p w14:paraId="5069B55B" w14:textId="77777777" w:rsidR="003754FE" w:rsidRDefault="003754FE" w:rsidP="003754FE">
      <w:pPr>
        <w:pStyle w:val="TextoNormal"/>
      </w:pPr>
    </w:p>
    <w:p w14:paraId="1CEA3A4E" w14:textId="77777777" w:rsidR="003754FE" w:rsidRDefault="003754FE" w:rsidP="003754FE">
      <w:pPr>
        <w:pStyle w:val="TextoNormal"/>
      </w:pPr>
      <w:r>
        <w:t>- No consta solicitud presentada por los interesados ni su aceptación expresa.</w:t>
      </w:r>
    </w:p>
    <w:p w14:paraId="791D2D9B" w14:textId="77777777" w:rsidR="003754FE" w:rsidRDefault="003754FE" w:rsidP="003754FE">
      <w:pPr>
        <w:pStyle w:val="TextoNormal"/>
      </w:pPr>
    </w:p>
    <w:p w14:paraId="206EDE7A" w14:textId="77777777" w:rsidR="003754FE" w:rsidRDefault="003754FE" w:rsidP="003754FE">
      <w:pPr>
        <w:pStyle w:val="TextoNormal"/>
      </w:pPr>
      <w:r>
        <w:t>- No se aporta declaración responsable del beneficiario de otras subvenciones o ayudas concedidas para la misma finalidad (artículos 111 y 105 de LGHPA, y artículo 15.1 del Reglamento de subvenciones).</w:t>
      </w:r>
    </w:p>
    <w:p w14:paraId="0677C90C" w14:textId="77777777" w:rsidR="003754FE" w:rsidRDefault="003754FE" w:rsidP="003754FE">
      <w:pPr>
        <w:pStyle w:val="TextoNormal"/>
      </w:pPr>
    </w:p>
    <w:p w14:paraId="0EF3CBFB" w14:textId="77777777" w:rsidR="003754FE" w:rsidRDefault="003754FE" w:rsidP="003754FE">
      <w:pPr>
        <w:pStyle w:val="TextoNormal"/>
      </w:pPr>
      <w:r>
        <w:t>- No consta declaración expresa de los beneficiarios de no haber recaído sobre ellos resolución administrativa o judicial firme de reintegro.</w:t>
      </w:r>
    </w:p>
    <w:p w14:paraId="23FB338B" w14:textId="77777777" w:rsidR="003754FE" w:rsidRDefault="003754FE" w:rsidP="003754FE">
      <w:pPr>
        <w:pStyle w:val="TextoNormal"/>
      </w:pPr>
    </w:p>
    <w:p w14:paraId="174088AA" w14:textId="77777777" w:rsidR="003754FE" w:rsidRDefault="003754FE" w:rsidP="003754FE">
      <w:pPr>
        <w:pStyle w:val="TextoNormal"/>
      </w:pPr>
      <w:r>
        <w:t>- No se acredita por los beneficiarios estar al corriente en sus obligaciones fiscales.</w:t>
      </w:r>
    </w:p>
    <w:p w14:paraId="00D48F0D" w14:textId="77777777" w:rsidR="003754FE" w:rsidRDefault="003754FE" w:rsidP="003754FE">
      <w:pPr>
        <w:pStyle w:val="TextoNormal"/>
      </w:pPr>
    </w:p>
    <w:p w14:paraId="60657801" w14:textId="77777777" w:rsidR="003754FE" w:rsidRDefault="003754FE" w:rsidP="003754FE">
      <w:pPr>
        <w:pStyle w:val="TextoNormal"/>
      </w:pPr>
      <w:r>
        <w:t>- No se determina el plazo y forma de justificación por el beneficiario del cumplimiento de la finalidad para la que se concede la ayuda.</w:t>
      </w:r>
    </w:p>
    <w:p w14:paraId="7DA39979" w14:textId="77777777" w:rsidR="003754FE" w:rsidRDefault="003754FE" w:rsidP="003754FE">
      <w:pPr>
        <w:pStyle w:val="TextoNormal"/>
      </w:pPr>
    </w:p>
    <w:p w14:paraId="47B96500" w14:textId="77777777" w:rsidR="003754FE" w:rsidRDefault="003754FE" w:rsidP="003754FE">
      <w:pPr>
        <w:pStyle w:val="TextoNormal"/>
      </w:pPr>
      <w:r>
        <w:t>- No se indica la forma y secuencia del pago y los requisitos exigidos para su abono.</w:t>
      </w:r>
    </w:p>
    <w:p w14:paraId="61D8EFA8" w14:textId="77777777" w:rsidR="003754FE" w:rsidRDefault="003754FE" w:rsidP="003754FE">
      <w:pPr>
        <w:pStyle w:val="TextoNormal"/>
      </w:pPr>
    </w:p>
    <w:p w14:paraId="1BCCEC28" w14:textId="77777777" w:rsidR="003754FE" w:rsidRDefault="003754FE" w:rsidP="003754FE">
      <w:pPr>
        <w:pStyle w:val="TextoNormal"/>
      </w:pPr>
      <w:r>
        <w:t>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14:paraId="6DBAA27A" w14:textId="77777777" w:rsidR="003754FE" w:rsidRDefault="003754FE" w:rsidP="003754FE">
      <w:pPr>
        <w:pStyle w:val="TextoNormal"/>
      </w:pPr>
    </w:p>
    <w:p w14:paraId="520488A2" w14:textId="77777777" w:rsidR="003754FE" w:rsidRDefault="003754FE" w:rsidP="003754FE">
      <w:pPr>
        <w:pStyle w:val="TextoNormal"/>
      </w:pPr>
      <w:r>
        <w:t>Las consecuencias de semejante descontrol fueron las siguientes:</w:t>
      </w:r>
    </w:p>
    <w:p w14:paraId="318B7244" w14:textId="77777777" w:rsidR="003754FE" w:rsidRDefault="003754FE" w:rsidP="003754FE">
      <w:pPr>
        <w:pStyle w:val="TextoNormal"/>
      </w:pPr>
    </w:p>
    <w:p w14:paraId="3F5430F3" w14:textId="77777777" w:rsidR="003754FE" w:rsidRDefault="003754FE" w:rsidP="003754FE">
      <w:pPr>
        <w:pStyle w:val="TextoNormal"/>
      </w:pPr>
      <w:r>
        <w:t>(i)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ayudas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14:paraId="7EA99CC5" w14:textId="77777777" w:rsidR="003754FE" w:rsidRDefault="003754FE" w:rsidP="003754FE">
      <w:pPr>
        <w:pStyle w:val="TextoNormal"/>
      </w:pPr>
    </w:p>
    <w:p w14:paraId="608318F4" w14:textId="77777777" w:rsidR="003754FE" w:rsidRDefault="003754FE" w:rsidP="003754FE">
      <w:pPr>
        <w:pStyle w:val="TextoNormal"/>
      </w:pPr>
      <w:r>
        <w:t>- En el año 2001, fueron 748, afectando a un total de 7582 trabajadores.</w:t>
      </w:r>
    </w:p>
    <w:p w14:paraId="4D7F6BCC" w14:textId="77777777" w:rsidR="003754FE" w:rsidRDefault="003754FE" w:rsidP="003754FE">
      <w:pPr>
        <w:pStyle w:val="TextoNormal"/>
      </w:pPr>
    </w:p>
    <w:p w14:paraId="2DB4C900" w14:textId="77777777" w:rsidR="003754FE" w:rsidRDefault="003754FE" w:rsidP="003754FE">
      <w:pPr>
        <w:pStyle w:val="TextoNormal"/>
      </w:pPr>
      <w:r>
        <w:t>- En el año 2002, fueron 650, afectando a un total de 4787 trabajadores.</w:t>
      </w:r>
    </w:p>
    <w:p w14:paraId="27034B32" w14:textId="77777777" w:rsidR="003754FE" w:rsidRDefault="003754FE" w:rsidP="003754FE">
      <w:pPr>
        <w:pStyle w:val="TextoNormal"/>
      </w:pPr>
    </w:p>
    <w:p w14:paraId="7A1722CF" w14:textId="77777777" w:rsidR="003754FE" w:rsidRDefault="003754FE" w:rsidP="003754FE">
      <w:pPr>
        <w:pStyle w:val="TextoNormal"/>
      </w:pPr>
      <w:r>
        <w:t>- En el año 2003, fueron 511, afectando a un total de 4957 trabajadores.</w:t>
      </w:r>
    </w:p>
    <w:p w14:paraId="51A5BDF5" w14:textId="77777777" w:rsidR="003754FE" w:rsidRDefault="003754FE" w:rsidP="003754FE">
      <w:pPr>
        <w:pStyle w:val="TextoNormal"/>
      </w:pPr>
    </w:p>
    <w:p w14:paraId="524D043C" w14:textId="77777777" w:rsidR="003754FE" w:rsidRDefault="003754FE" w:rsidP="003754FE">
      <w:pPr>
        <w:pStyle w:val="TextoNormal"/>
      </w:pPr>
      <w:r>
        <w:t>- En el año 2004, fueron 657, afectando a un total de 4833 trabajadores.</w:t>
      </w:r>
    </w:p>
    <w:p w14:paraId="27C64E3D" w14:textId="77777777" w:rsidR="003754FE" w:rsidRDefault="003754FE" w:rsidP="003754FE">
      <w:pPr>
        <w:pStyle w:val="TextoNormal"/>
      </w:pPr>
    </w:p>
    <w:p w14:paraId="1D54D977" w14:textId="77777777" w:rsidR="003754FE" w:rsidRDefault="003754FE" w:rsidP="003754FE">
      <w:pPr>
        <w:pStyle w:val="TextoNormal"/>
      </w:pPr>
      <w:r>
        <w:t>- En el año 2005, fueron 424, afectando a un total de 5476 trabajadores.</w:t>
      </w:r>
    </w:p>
    <w:p w14:paraId="10625902" w14:textId="77777777" w:rsidR="003754FE" w:rsidRDefault="003754FE" w:rsidP="003754FE">
      <w:pPr>
        <w:pStyle w:val="TextoNormal"/>
      </w:pPr>
    </w:p>
    <w:p w14:paraId="3B9DEA5E" w14:textId="77777777" w:rsidR="003754FE" w:rsidRDefault="003754FE" w:rsidP="003754FE">
      <w:pPr>
        <w:pStyle w:val="TextoNormal"/>
      </w:pPr>
      <w:r>
        <w:t>- En el año 2006, fueron 434, afectando a un total de 2968 trabajadores.</w:t>
      </w:r>
    </w:p>
    <w:p w14:paraId="6C09818A" w14:textId="77777777" w:rsidR="003754FE" w:rsidRDefault="003754FE" w:rsidP="003754FE">
      <w:pPr>
        <w:pStyle w:val="TextoNormal"/>
      </w:pPr>
    </w:p>
    <w:p w14:paraId="0B422669" w14:textId="77777777" w:rsidR="003754FE" w:rsidRDefault="003754FE" w:rsidP="003754FE">
      <w:pPr>
        <w:pStyle w:val="TextoNormal"/>
      </w:pPr>
      <w:r>
        <w:t>- En el año 2007, fueron 428, afectando a un total de 3247 trabajadores.</w:t>
      </w:r>
    </w:p>
    <w:p w14:paraId="35F35749" w14:textId="77777777" w:rsidR="003754FE" w:rsidRDefault="003754FE" w:rsidP="003754FE">
      <w:pPr>
        <w:pStyle w:val="TextoNormal"/>
      </w:pPr>
    </w:p>
    <w:p w14:paraId="55702D8E" w14:textId="77777777" w:rsidR="003754FE" w:rsidRDefault="003754FE" w:rsidP="003754FE">
      <w:pPr>
        <w:pStyle w:val="TextoNormal"/>
      </w:pPr>
      <w:r>
        <w:t>- En el año 2008, fueron 652, afectando a un total de 7000 trabajadores.</w:t>
      </w:r>
    </w:p>
    <w:p w14:paraId="038F986D" w14:textId="77777777" w:rsidR="003754FE" w:rsidRDefault="003754FE" w:rsidP="003754FE">
      <w:pPr>
        <w:pStyle w:val="TextoNormal"/>
      </w:pPr>
    </w:p>
    <w:p w14:paraId="79335B3B" w14:textId="77777777" w:rsidR="003754FE" w:rsidRDefault="003754FE" w:rsidP="003754FE">
      <w:pPr>
        <w:pStyle w:val="TextoNormal"/>
      </w:pPr>
      <w:r>
        <w:t>- En el año 2009, fueron 1379, afectando a un total de 30 821 trabajadores.</w:t>
      </w:r>
    </w:p>
    <w:p w14:paraId="2491BA3A" w14:textId="77777777" w:rsidR="003754FE" w:rsidRDefault="003754FE" w:rsidP="003754FE">
      <w:pPr>
        <w:pStyle w:val="TextoNormal"/>
      </w:pPr>
    </w:p>
    <w:p w14:paraId="35E5D7B5" w14:textId="77777777" w:rsidR="003754FE" w:rsidRDefault="003754FE" w:rsidP="003754FE">
      <w:pPr>
        <w:pStyle w:val="TextoNormal"/>
      </w:pPr>
      <w:r>
        <w:t>- En el año 2010, fueron 1490, afectando a un total de 21 450 trabajadores.</w:t>
      </w:r>
    </w:p>
    <w:p w14:paraId="507F8C05" w14:textId="77777777" w:rsidR="003754FE" w:rsidRDefault="003754FE" w:rsidP="003754FE">
      <w:pPr>
        <w:pStyle w:val="TextoNormal"/>
      </w:pPr>
    </w:p>
    <w:p w14:paraId="6A8CD89E" w14:textId="77777777" w:rsidR="003754FE" w:rsidRDefault="003754FE" w:rsidP="003754FE">
      <w:pPr>
        <w:pStyle w:val="TextoNormal"/>
      </w:pPr>
      <w:r>
        <w:t>(ii) La ausencia de cualquier mecanismo de comprobación de la pertenencia al colectivo afectado de las personas beneficiarias de las pólizas, permitió la inclusión de beneficiarios que nunca habían pertenecido a las empresas ayudadas por la Consejería de Empleo.</w:t>
      </w:r>
    </w:p>
    <w:p w14:paraId="3235B905" w14:textId="77777777" w:rsidR="003754FE" w:rsidRDefault="003754FE" w:rsidP="003754FE">
      <w:pPr>
        <w:pStyle w:val="TextoNormal"/>
      </w:pPr>
    </w:p>
    <w:p w14:paraId="5B795776" w14:textId="77777777" w:rsidR="003754FE" w:rsidRDefault="003754FE" w:rsidP="003754FE">
      <w:pPr>
        <w:pStyle w:val="TextoNormal"/>
      </w:pPr>
      <w:r>
        <w:t>(iii)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14:paraId="4F0F1B7E" w14:textId="77777777" w:rsidR="003754FE" w:rsidRDefault="003754FE" w:rsidP="003754FE">
      <w:pPr>
        <w:pStyle w:val="TextoNormal"/>
      </w:pPr>
    </w:p>
    <w:p w14:paraId="7A70695D" w14:textId="77777777" w:rsidR="003754FE" w:rsidRDefault="003754FE" w:rsidP="003754FE">
      <w:pPr>
        <w:pStyle w:val="TextoNormal"/>
      </w:pPr>
      <w:r>
        <w:t>(iv)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14:paraId="69D2A484" w14:textId="77777777" w:rsidR="003754FE" w:rsidRDefault="003754FE" w:rsidP="003754FE">
      <w:pPr>
        <w:pStyle w:val="TextoNormal"/>
      </w:pPr>
    </w:p>
    <w:p w14:paraId="5DE47B50" w14:textId="77777777" w:rsidR="003754FE" w:rsidRDefault="003754FE" w:rsidP="003754FE">
      <w:pPr>
        <w:pStyle w:val="TextoNormal"/>
      </w:pPr>
      <w:r>
        <w:t>(v)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de un curso de alta dirección, durante cinco ejercicios.</w:t>
      </w:r>
    </w:p>
    <w:p w14:paraId="511E15AE" w14:textId="77777777" w:rsidR="003754FE" w:rsidRDefault="003754FE" w:rsidP="003754FE">
      <w:pPr>
        <w:pStyle w:val="TextoNormal"/>
      </w:pPr>
    </w:p>
    <w:p w14:paraId="519FCD76" w14:textId="77777777" w:rsidR="003754FE" w:rsidRDefault="003754FE" w:rsidP="003754FE">
      <w:pPr>
        <w:pStyle w:val="TextoNormal"/>
      </w:pPr>
      <w:r>
        <w:t>III) Tercera etapa</w:t>
      </w:r>
    </w:p>
    <w:p w14:paraId="02AA7E22" w14:textId="77777777" w:rsidR="003754FE" w:rsidRDefault="003754FE" w:rsidP="003754FE">
      <w:pPr>
        <w:pStyle w:val="TextoNormal"/>
      </w:pPr>
    </w:p>
    <w:p w14:paraId="37F0D2E4" w14:textId="77777777" w:rsidR="003754FE" w:rsidRDefault="003754FE" w:rsidP="003754FE">
      <w:pPr>
        <w:pStyle w:val="TextoNormal"/>
      </w:pPr>
      <w:r>
        <w:t>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14:paraId="5C2559F4" w14:textId="77777777" w:rsidR="003754FE" w:rsidRDefault="003754FE" w:rsidP="003754FE">
      <w:pPr>
        <w:pStyle w:val="TextoNormal"/>
      </w:pPr>
    </w:p>
    <w:p w14:paraId="54DC59C9" w14:textId="77777777" w:rsidR="003754FE" w:rsidRDefault="003754FE" w:rsidP="003754FE">
      <w:pPr>
        <w:pStyle w:val="TextoNormal"/>
      </w:pPr>
      <w:r>
        <w:t>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14:paraId="1147F77A" w14:textId="77777777" w:rsidR="003754FE" w:rsidRDefault="003754FE" w:rsidP="003754FE">
      <w:pPr>
        <w:pStyle w:val="TextoNormal"/>
      </w:pPr>
    </w:p>
    <w:p w14:paraId="2606F004" w14:textId="77777777" w:rsidR="003754FE" w:rsidRDefault="003754FE" w:rsidP="003754FE">
      <w:pPr>
        <w:pStyle w:val="TextoNormal"/>
      </w:pPr>
      <w:r>
        <w:t>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14:paraId="752E6E44" w14:textId="77777777" w:rsidR="003754FE" w:rsidRDefault="003754FE" w:rsidP="003754FE">
      <w:pPr>
        <w:pStyle w:val="TextoNormal"/>
      </w:pPr>
    </w:p>
    <w:p w14:paraId="6BC80474" w14:textId="77777777" w:rsidR="003754FE" w:rsidRDefault="003754FE" w:rsidP="003754FE">
      <w:pPr>
        <w:pStyle w:val="TextoNormal"/>
      </w:pPr>
      <w:r>
        <w:t>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14:paraId="39ACB965" w14:textId="77777777" w:rsidR="003754FE" w:rsidRDefault="003754FE" w:rsidP="003754FE">
      <w:pPr>
        <w:pStyle w:val="TextoNormal"/>
      </w:pPr>
    </w:p>
    <w:p w14:paraId="2AF1AC2D" w14:textId="77777777" w:rsidR="003754FE" w:rsidRDefault="003754FE" w:rsidP="003754FE">
      <w:pPr>
        <w:pStyle w:val="TextoNormal"/>
      </w:pPr>
      <w:r>
        <w:t>b) El demandante fue condenado porque intervino en este procedimiento específico desde el cargo de director general del Instituto de Fomento de Andalucía/Agencia de Innovación y Desarrollo de Andalucía (IFA/IDEA), que desempeñó en el periodo comprendido entre junio de 2004 y mayo de 2008, en el que suscribió los convenios particulares con la Dirección General de Trabajo y en cumplimiento de los mismos ordenó el pago de las ayudas a empresas privadas y particulares, con cargo a los fondos recibidos de la partida presupuestaria 440 del programa 31L, “transferencias de financiación”, que contabilizó en la cuenta de resultados de la agencia como gastos de explotación.</w:t>
      </w:r>
    </w:p>
    <w:p w14:paraId="4CA47EFA" w14:textId="77777777" w:rsidR="003754FE" w:rsidRDefault="003754FE" w:rsidP="003754FE">
      <w:pPr>
        <w:pStyle w:val="TextoNormal"/>
      </w:pPr>
    </w:p>
    <w:p w14:paraId="7436BE34" w14:textId="77777777" w:rsidR="003754FE" w:rsidRDefault="003754FE" w:rsidP="003754FE">
      <w:pPr>
        <w:pStyle w:val="TextoNormal"/>
      </w:pPr>
      <w:r>
        <w:t>Por dichos hechos fue condenado como autor de un delito continuado de prevaricación administrativa del art. 404 del Código penal (CP), en concurso medial con un delito continuado de malversación de caudales públicos del art. 432 CP, a la pena de seis años, seis meses y un día de prisión, con la accesoria de inhabilitación especial para el derecho de sufragio pasivo durante el tiempo de la condena, y a la pena de diecisiete años y un día de inhabilitación absoluta, con la consiguiente privación definitiva de todos los honores, empleos y cargos públicos que tuviera, aunque fueran electivos, e incapacidad para obtener los mismos o cualesquiera otros honores, cargos o empleos públicos, y la de ser elegido para cargo público durante el tiempo de la condena. Se le impuso asimismo el pago de las 2/37 partes de las costas procesales causadas, excluidas las de las acusaciones populares.</w:t>
      </w:r>
    </w:p>
    <w:p w14:paraId="73D32DF2" w14:textId="77777777" w:rsidR="003754FE" w:rsidRDefault="003754FE" w:rsidP="003754FE">
      <w:pPr>
        <w:pStyle w:val="TextoNormal"/>
      </w:pPr>
    </w:p>
    <w:p w14:paraId="09615EFE" w14:textId="77777777" w:rsidR="003754FE" w:rsidRDefault="003754FE" w:rsidP="003754FE">
      <w:pPr>
        <w:pStyle w:val="TextoNormal"/>
      </w:pPr>
      <w:r>
        <w:t>c) El actor interpuso recurso de casación que fue desestimado íntegramente por la sentencia núm. 749/2022, de 13 de septiembre, de la Sala de lo Penal del Tribunal Supremo.</w:t>
      </w:r>
    </w:p>
    <w:p w14:paraId="694DE66F" w14:textId="77777777" w:rsidR="003754FE" w:rsidRDefault="003754FE" w:rsidP="003754FE">
      <w:pPr>
        <w:pStyle w:val="TextoNormal"/>
      </w:pPr>
    </w:p>
    <w:p w14:paraId="273B681A" w14:textId="6C8E2609" w:rsidR="003754FE" w:rsidRDefault="003754FE" w:rsidP="003754FE">
      <w:pPr>
        <w:pStyle w:val="TextoNormal"/>
      </w:pPr>
      <w:r>
        <w:t>d) Contra la anterior sentencia el actor promovió incidente de nulidad de actuaciones que fue inadmitido por auto de la Sala de lo Penal del Tribunal Supremo de 16 de febrero de 2023.</w:t>
      </w:r>
    </w:p>
    <w:p w14:paraId="14836954" w14:textId="77777777" w:rsidR="003754FE" w:rsidRDefault="003754FE" w:rsidP="003754FE">
      <w:pPr>
        <w:pStyle w:val="TextoNormal"/>
      </w:pPr>
    </w:p>
    <w:p w14:paraId="552F0E8B" w14:textId="77777777" w:rsidR="003754FE" w:rsidRDefault="003754FE" w:rsidP="003754FE">
      <w:pPr>
        <w:pStyle w:val="TextoNormal"/>
      </w:pPr>
      <w:r w:rsidRPr="003754FE">
        <w:rPr>
          <w:rStyle w:val="NumeroAFNegritaCaracter"/>
        </w:rPr>
        <w:t>3</w:t>
      </w:r>
      <w:r>
        <w:t>. El recurrente invoca en su demanda de amparo la vulneración de los siguientes derechos:</w:t>
      </w:r>
    </w:p>
    <w:p w14:paraId="07B6E5D0" w14:textId="77777777" w:rsidR="003754FE" w:rsidRDefault="003754FE" w:rsidP="003754FE">
      <w:pPr>
        <w:pStyle w:val="TextoNormal"/>
      </w:pPr>
    </w:p>
    <w:p w14:paraId="67A463C3" w14:textId="77777777" w:rsidR="003754FE" w:rsidRDefault="003754FE" w:rsidP="003754FE">
      <w:pPr>
        <w:pStyle w:val="TextoNormal"/>
      </w:pPr>
      <w:r>
        <w:t>a) Vulneración del derecho a la presunción de inocencia (art. 24.2 CE) en conexión con el derecho al honor (art. 18.1 CE), a un proceso con todas las garantías, entre ellas la de legalidad procesal (art. 24.2 CE) y a la tutela judicial efectiva (art. 24.1 CE).</w:t>
      </w:r>
    </w:p>
    <w:p w14:paraId="5693F838" w14:textId="77777777" w:rsidR="003754FE" w:rsidRDefault="003754FE" w:rsidP="003754FE">
      <w:pPr>
        <w:pStyle w:val="TextoNormal"/>
      </w:pPr>
    </w:p>
    <w:p w14:paraId="012D0F2B" w14:textId="77777777" w:rsidR="003754FE" w:rsidRDefault="003754FE" w:rsidP="003754FE">
      <w:pPr>
        <w:pStyle w:val="TextoNormal"/>
      </w:pPr>
      <w:r>
        <w:t>Se refiere en primer lugar a la vulneración de la presunción de inocencia como regla de tratamiento, que atribuye a la providencia de 26 de julio de 2022 por la que el Tribunal Supremo hizo público el fallo de su sentencia de casación, que no fue notificada de forma completa hasta el día 14 de septiembre de 2022, por lo que durante el tiempo intermedio se presentó ante la sociedad al demandante de amparo como culpable, sin exponer los fundamentos jurídicos que llevaban a tal conclusión.</w:t>
      </w:r>
    </w:p>
    <w:p w14:paraId="29950D27" w14:textId="77777777" w:rsidR="003754FE" w:rsidRDefault="003754FE" w:rsidP="003754FE">
      <w:pPr>
        <w:pStyle w:val="TextoNormal"/>
      </w:pPr>
    </w:p>
    <w:p w14:paraId="5CF638D5" w14:textId="77777777" w:rsidR="003754FE" w:rsidRDefault="003754FE" w:rsidP="003754FE">
      <w:pPr>
        <w:pStyle w:val="TextoNormal"/>
      </w:pPr>
      <w:r>
        <w:t xml:space="preserve">Cita en apoyo de este motivo la doctrina fijada en la STC 244/2007, de 10 de diciembre, FJ 2, que cita a su vez la STEDH de 10 de febrero de 1995, asunto </w:t>
      </w:r>
      <w:r w:rsidRPr="003754FE">
        <w:rPr>
          <w:i/>
        </w:rPr>
        <w:t>Allenet de Ribemont c. Francia</w:t>
      </w:r>
      <w:r>
        <w:t>, y las SSTC 109/1986, de 24 de septiembre, FJ 1, y 133/2018, de 13 de diciembre.</w:t>
      </w:r>
    </w:p>
    <w:p w14:paraId="2E8564E5" w14:textId="77777777" w:rsidR="003754FE" w:rsidRDefault="003754FE" w:rsidP="003754FE">
      <w:pPr>
        <w:pStyle w:val="TextoNormal"/>
      </w:pPr>
    </w:p>
    <w:p w14:paraId="04EFECF4" w14:textId="77777777" w:rsidR="003754FE" w:rsidRDefault="003754FE" w:rsidP="003754FE">
      <w:pPr>
        <w:pStyle w:val="TextoNormal"/>
      </w:pPr>
      <w:r>
        <w:t>En segundo lugar, denuncia que la actuación del Tribunal Supremo vulnera la garantía procesal como parte del derecho a un proceso con todas las garantías en tanto que la sentencia debe notificarse en su integridad y en unidad de acto conforme a la normativa aplicable [arts. 160 y 789 de la Ley de enjuiciamiento criminal (LECrim) y arts. 248, 266, 270 y ss. de la Ley Orgánica del Poder Judicial (LOPJ)]. Añade el demandante que, al haber sido objeto de difusión masiva el fallo, le fue imposible reaccionar, lo que determinó su indefensión.</w:t>
      </w:r>
    </w:p>
    <w:p w14:paraId="61F06475" w14:textId="77777777" w:rsidR="003754FE" w:rsidRDefault="003754FE" w:rsidP="003754FE">
      <w:pPr>
        <w:pStyle w:val="TextoNormal"/>
      </w:pPr>
    </w:p>
    <w:p w14:paraId="7751AA40" w14:textId="77777777" w:rsidR="003754FE" w:rsidRDefault="003754FE" w:rsidP="003754FE">
      <w:pPr>
        <w:pStyle w:val="TextoNormal"/>
      </w:pPr>
      <w:r>
        <w:t>En virtud de este motivo de amparo solicita que se declare la vulneración de estos derechos fundamentales para formular ulteriormente reclamación patrimonial por anormal funcionamiento de la administración de justicia.</w:t>
      </w:r>
    </w:p>
    <w:p w14:paraId="1C074CC5" w14:textId="77777777" w:rsidR="003754FE" w:rsidRDefault="003754FE" w:rsidP="003754FE">
      <w:pPr>
        <w:pStyle w:val="TextoNormal"/>
      </w:pPr>
    </w:p>
    <w:p w14:paraId="4B15F592" w14:textId="77777777" w:rsidR="003754FE" w:rsidRDefault="003754FE" w:rsidP="003754FE">
      <w:pPr>
        <w:pStyle w:val="TextoNormal"/>
      </w:pPr>
      <w:r>
        <w:t>b) Vulneración del derecho a un proceso con todas las garantías (art. 24.2 CE), a la presunción de inocencia (art. 24.2 CE) y a la tutela judicial efectiva sin indefensión (art. 24.1 CE), vulneraciones que atribuye a la sentencia de casación porque, con el fin de confirmar la subsunción jurídica de los hechos en el delito de malversación, incluyó datos fácticos que no estaban en el relato de hechos probados de la sentencia de instancia, ni en su fundamentación jurídica.</w:t>
      </w:r>
    </w:p>
    <w:p w14:paraId="1491CC63" w14:textId="77777777" w:rsidR="003754FE" w:rsidRDefault="003754FE" w:rsidP="003754FE">
      <w:pPr>
        <w:pStyle w:val="TextoNormal"/>
      </w:pPr>
    </w:p>
    <w:p w14:paraId="66096E9A" w14:textId="77777777" w:rsidR="003754FE" w:rsidRDefault="003754FE" w:rsidP="003754FE">
      <w:pPr>
        <w:pStyle w:val="TextoNormal"/>
      </w:pPr>
      <w:r>
        <w:t>Se refiere a estas frases: “precisamente se cambió el sistema de presupuestación para evitar todo control y para disponer del erario público de forma discrecional y arbitraria, al margen de todo condicionante legal” (págs. 348 y 349) y “[s]e modificó el sistema de presupuestación, no por razones técnicas o neutrales, sino con una deliberada finalidad: con el pretexto de agilizar el pago de las ayudas se buscó un sistema para disponer libérrimamente de los fondos públicos eliminando todos los controles y todas las exigencias de la normativa de subvenciones” (pág. 352).</w:t>
      </w:r>
    </w:p>
    <w:p w14:paraId="762DD7B5" w14:textId="77777777" w:rsidR="003754FE" w:rsidRDefault="003754FE" w:rsidP="003754FE">
      <w:pPr>
        <w:pStyle w:val="TextoNormal"/>
      </w:pPr>
    </w:p>
    <w:p w14:paraId="3A5B6887" w14:textId="77777777" w:rsidR="003754FE" w:rsidRDefault="003754FE" w:rsidP="003754FE">
      <w:pPr>
        <w:pStyle w:val="TextoNormal"/>
      </w:pPr>
      <w:r>
        <w:t xml:space="preserve">La sentencia de instancia declaró probado que el objetivo perseguido por los encausados fue agilizar el trámite del pago de las ayudas en un contexto de crisis económica, lo que supuso una reducción de los controles, pero no que se buscara con ello disponer libremente de los fondos como si fueran propios. Esta finalidad de disposición ilegal de los fondos, o el ánimo de malversación, no aparece en el </w:t>
      </w:r>
      <w:r w:rsidRPr="003754FE">
        <w:rPr>
          <w:i/>
        </w:rPr>
        <w:t>factum</w:t>
      </w:r>
      <w:r>
        <w:t xml:space="preserve"> de la sentencia de instancia, como se recoge en el voto particular de las dos magistradas disidentes.</w:t>
      </w:r>
    </w:p>
    <w:p w14:paraId="42C93205" w14:textId="77777777" w:rsidR="003754FE" w:rsidRDefault="003754FE" w:rsidP="003754FE">
      <w:pPr>
        <w:pStyle w:val="TextoNormal"/>
      </w:pPr>
    </w:p>
    <w:p w14:paraId="35EBDDBD" w14:textId="77777777" w:rsidR="003754FE" w:rsidRDefault="003754FE" w:rsidP="003754FE">
      <w:pPr>
        <w:pStyle w:val="TextoNormal"/>
      </w:pPr>
      <w:r>
        <w:t>Mediante esta mutación fáctica el Tribunal Supremo pasa a atribuir dolo directo a todos los condenados por el delito de malversación de caudales públicos que no estaban integrados en la Consejería de Empleo, cuando en la sentencia de instancia se les atribuía un dolo eventual en la medida en que debieron conocer las actividades malversadoras de los otros encausados.</w:t>
      </w:r>
    </w:p>
    <w:p w14:paraId="71161FBF" w14:textId="77777777" w:rsidR="003754FE" w:rsidRDefault="003754FE" w:rsidP="003754FE">
      <w:pPr>
        <w:pStyle w:val="TextoNormal"/>
      </w:pPr>
    </w:p>
    <w:p w14:paraId="4E69FD55" w14:textId="77777777" w:rsidR="003754FE" w:rsidRDefault="003754FE" w:rsidP="003754FE">
      <w:pPr>
        <w:pStyle w:val="TextoNormal"/>
      </w:pPr>
      <w:r>
        <w:t>La sentencia de instancia tampoco estimó acreditado que la Intervención General hubiera efectuado una advertencia de riesgo de menoscabo de los fondos públicos, ni tan siquiera en el informe adicional al informe de cumplimiento de 2003.</w:t>
      </w:r>
    </w:p>
    <w:p w14:paraId="53372D56" w14:textId="77777777" w:rsidR="003754FE" w:rsidRDefault="003754FE" w:rsidP="003754FE">
      <w:pPr>
        <w:pStyle w:val="TextoNormal"/>
      </w:pPr>
    </w:p>
    <w:p w14:paraId="64BB8F8E" w14:textId="77777777" w:rsidR="003754FE" w:rsidRDefault="003754FE" w:rsidP="003754FE">
      <w:pPr>
        <w:pStyle w:val="TextoNormal"/>
      </w:pPr>
      <w:r>
        <w:t>El actor, que impugnó en su recurso de casación la condena por el delito de malversación a título de dolo eventual que hizo la Audiencia Provincial, por considerarla errónea al no desprenderse del cambio de forma de presupuestación de las ayudas, se ve sorprendido por el Tribunal Supremo cuando en su sentencia le atribuye una finalidad o conocimiento directo de que se iba a producir la malversación que no se desprendía del relato de hechos probados.</w:t>
      </w:r>
    </w:p>
    <w:p w14:paraId="4DEB09F6" w14:textId="77777777" w:rsidR="003754FE" w:rsidRDefault="003754FE" w:rsidP="003754FE">
      <w:pPr>
        <w:pStyle w:val="TextoNormal"/>
      </w:pPr>
    </w:p>
    <w:p w14:paraId="62B4B007" w14:textId="77777777" w:rsidR="003754FE" w:rsidRDefault="003754FE" w:rsidP="003754FE">
      <w:pPr>
        <w:pStyle w:val="TextoNormal"/>
      </w:pPr>
      <w:r>
        <w:t>El Tribunal Supremo también ha vulnerado el derecho a la legalidad penal del art. 25.1 CE al modificar el fundamento de la condena por malversación de caudales públicos basándola en que el actor actuó con dolo directo y de común acuerdo con los otros acusados.</w:t>
      </w:r>
    </w:p>
    <w:p w14:paraId="3764A4E4" w14:textId="77777777" w:rsidR="003754FE" w:rsidRDefault="003754FE" w:rsidP="003754FE">
      <w:pPr>
        <w:pStyle w:val="TextoNormal"/>
      </w:pPr>
    </w:p>
    <w:p w14:paraId="765161FA" w14:textId="77777777" w:rsidR="003754FE" w:rsidRDefault="003754FE" w:rsidP="003754FE">
      <w:pPr>
        <w:pStyle w:val="TextoNormal"/>
      </w:pPr>
      <w:r>
        <w:t>En virtud de este motivo solicita la nulidad parcial de la sentencia de casación en los términos indicados.</w:t>
      </w:r>
    </w:p>
    <w:p w14:paraId="53F3B779" w14:textId="77777777" w:rsidR="003754FE" w:rsidRDefault="003754FE" w:rsidP="003754FE">
      <w:pPr>
        <w:pStyle w:val="TextoNormal"/>
      </w:pPr>
    </w:p>
    <w:p w14:paraId="3F53C3EB" w14:textId="77777777" w:rsidR="003754FE" w:rsidRDefault="003754FE" w:rsidP="003754FE">
      <w:pPr>
        <w:pStyle w:val="TextoNormal"/>
      </w:pPr>
      <w:r>
        <w:t>c) Vulneración del principio de legalidad penal del art. 25.1 CE al no relatarse en los hechos probados de la sentencia hechos subsumibles en los arts. 404 CP (prevaricación) y 432 CP (malversación). Esta vulneración la atribuye a la sentencia de la Audiencia Provincial, y a la del Tribunal Supremo por no haberla reparado.</w:t>
      </w:r>
    </w:p>
    <w:p w14:paraId="28D2480D" w14:textId="77777777" w:rsidR="003754FE" w:rsidRDefault="003754FE" w:rsidP="003754FE">
      <w:pPr>
        <w:pStyle w:val="TextoNormal"/>
      </w:pPr>
    </w:p>
    <w:p w14:paraId="04839778" w14:textId="77777777" w:rsidR="003754FE" w:rsidRDefault="003754FE" w:rsidP="003754FE">
      <w:pPr>
        <w:pStyle w:val="TextoNormal"/>
      </w:pPr>
      <w:r>
        <w:t>El relato de hechos probados de la sentencia de instancia no contiene la descripción de ningún acto administrativo, con fecha y descripción concreta, dictado por el demandante de amparo. El demandante fue director del IFA/IDEA y como tal no tramitó ningún expediente de ayuda, porque dicho ente público actuó siempre como una mera caja pagadora en función de las órdenes de pago que emitía la Dirección General de Trabajo. Tampoco aprobó las cuentas anuales del ente, competencia que correspondía a su consejo rector; el demandante solo las formulaba. El IFA/IDEA tampoco realizaba ningún acto material de confección del presupuesto.</w:t>
      </w:r>
    </w:p>
    <w:p w14:paraId="5BA0015E" w14:textId="77777777" w:rsidR="003754FE" w:rsidRDefault="003754FE" w:rsidP="003754FE">
      <w:pPr>
        <w:pStyle w:val="TextoNormal"/>
      </w:pPr>
    </w:p>
    <w:p w14:paraId="02072813" w14:textId="77777777" w:rsidR="003754FE" w:rsidRDefault="003754FE" w:rsidP="003754FE">
      <w:pPr>
        <w:pStyle w:val="TextoNormal"/>
      </w:pPr>
      <w:r>
        <w:t>En cuanto a la malversación afirma que la sentencia ha creado un tipo nuevo, distinto del establecido por el legislador, pues el demandante no se apropió de caudales públicos ni consintió que ningún tercero se los apropiara. En el relato de hechos probados de la sentencia se describen lo que la sentencia considera que son desviaciones normativas en la tramitación de los distintos procedimientos administrativos o presupuestarios, pero eso en sí mismo no es suficiente para dar por probados los elementos objetivos y subjetivos del delito del art. 432 CP. La presunta comisión de un delito de prevaricación no puede conducir sin más a dar por probada la malversación, ni siquiera a título de dolo eventual. La sentencia, al excluir el enjuiciamiento de las ayudas individuales, ha dejado fuera del objeto de enjuiciamiento la finalidad pública e interés social de cada una de ellas. La concepción de que se malversa porque se prevarica no es conforme con el tipo penal y así se dice en el voto particular de las dos magistradas del Tribunal Supremo.</w:t>
      </w:r>
    </w:p>
    <w:p w14:paraId="780E4F22" w14:textId="77777777" w:rsidR="003754FE" w:rsidRDefault="003754FE" w:rsidP="003754FE">
      <w:pPr>
        <w:pStyle w:val="TextoNormal"/>
      </w:pPr>
    </w:p>
    <w:p w14:paraId="61DA1AAD" w14:textId="77777777" w:rsidR="003754FE" w:rsidRDefault="003754FE" w:rsidP="003754FE">
      <w:pPr>
        <w:pStyle w:val="TextoNormal"/>
      </w:pPr>
      <w:r>
        <w:t>En virtud de este motivo solicita la nulidad plena de las resoluciones judiciales impugnadas.</w:t>
      </w:r>
    </w:p>
    <w:p w14:paraId="7DC5F36B" w14:textId="77777777" w:rsidR="003754FE" w:rsidRDefault="003754FE" w:rsidP="003754FE">
      <w:pPr>
        <w:pStyle w:val="TextoNormal"/>
      </w:pPr>
    </w:p>
    <w:p w14:paraId="5A2FE5FE" w14:textId="77777777" w:rsidR="003754FE" w:rsidRDefault="003754FE" w:rsidP="003754FE">
      <w:pPr>
        <w:pStyle w:val="TextoNormal"/>
      </w:pPr>
      <w:r>
        <w:t>d) Vulneración del derecho a la presunción de inocencia (art. 24.2 CE) porque al no existir un acervo probatorio concluyente para declarar la culpabilidad por delito de malversación, se ha verificado una valoración irracional, ilógica y arbitraria de la prueba.</w:t>
      </w:r>
    </w:p>
    <w:p w14:paraId="1561D1E5" w14:textId="77777777" w:rsidR="003754FE" w:rsidRDefault="003754FE" w:rsidP="003754FE">
      <w:pPr>
        <w:pStyle w:val="TextoNormal"/>
      </w:pPr>
    </w:p>
    <w:p w14:paraId="1DE76ED1" w14:textId="77777777" w:rsidR="003754FE" w:rsidRDefault="003754FE" w:rsidP="003754FE">
      <w:pPr>
        <w:pStyle w:val="TextoNormal"/>
      </w:pPr>
      <w:r>
        <w:t>El informe adicional al informe de cumplimiento del ejercicio 2003 de la Intervención, firmado en el año 2005, no tiene naturaleza jurídica de prueba y, por otra parte, afirmar, como hace la sentencia condenatoria, que todo aquel que hubiera tenido conocimiento de las irregularidades cometidas por otros a que se refiere dicho informe tenía dolo de malversar es realizar una conclusión irracional y arbitraria.</w:t>
      </w:r>
    </w:p>
    <w:p w14:paraId="709D3838" w14:textId="77777777" w:rsidR="003754FE" w:rsidRDefault="003754FE" w:rsidP="003754FE">
      <w:pPr>
        <w:pStyle w:val="TextoNormal"/>
      </w:pPr>
    </w:p>
    <w:p w14:paraId="25484E11" w14:textId="77777777" w:rsidR="003754FE" w:rsidRDefault="003754FE" w:rsidP="003754FE">
      <w:pPr>
        <w:pStyle w:val="TextoNormal"/>
      </w:pPr>
      <w:r>
        <w:t>En cualquier caso, dicho informe solo pone de manifiesto determinadas irregularidades procedimentales y administrativas, no contiene consideraciones o evidencias que pongan de manifiesto los elementos constitutivos de un dolo eventual de malversar en el demandante. Tampoco contenía ninguna advertencia de la existencia de hechos que pudieran constituir malversación.</w:t>
      </w:r>
    </w:p>
    <w:p w14:paraId="0F44D83C" w14:textId="77777777" w:rsidR="003754FE" w:rsidRDefault="003754FE" w:rsidP="003754FE">
      <w:pPr>
        <w:pStyle w:val="TextoNormal"/>
      </w:pPr>
    </w:p>
    <w:p w14:paraId="0CD30B81" w14:textId="77777777" w:rsidR="003754FE" w:rsidRDefault="003754FE" w:rsidP="003754FE">
      <w:pPr>
        <w:pStyle w:val="TextoNormal"/>
      </w:pPr>
      <w:r>
        <w:t>En virtud de este motivo solicita la nulidad parcial de las resoluciones judiciales impugnadas en lo que se refiere a la condena por delito de malversación de caudales públicos.</w:t>
      </w:r>
    </w:p>
    <w:p w14:paraId="4D8B7D18" w14:textId="77777777" w:rsidR="003754FE" w:rsidRDefault="003754FE" w:rsidP="003754FE">
      <w:pPr>
        <w:pStyle w:val="TextoNormal"/>
      </w:pPr>
    </w:p>
    <w:p w14:paraId="2EE74A09" w14:textId="33470900" w:rsidR="003754FE" w:rsidRDefault="003754FE" w:rsidP="003754FE">
      <w:pPr>
        <w:pStyle w:val="TextoNormal"/>
      </w:pPr>
      <w:r>
        <w:t>En el otrosí de la demanda se solicita asimismo, con invocación del art. 56.2 de la Ley Orgánica del Tribunal Constitucional (LOTC), la suspensión de la ejecución de la sentencia condenatoria en lo que se refiere a la pena de prisión, que el demandante empezó a cumplir el 2 de enero de 2023 en el centro penitenciario Sevilla I, argumentando que el mantenimiento la ejecución de la pena le produce un perjuicio irreparable que haría perder al amparo su finalidad y que su suspensión no ocasionaría perturbación grave a un interés constitucionalmente protegido ni a los derechos fundamentales o libertades de otra persona.</w:t>
      </w:r>
    </w:p>
    <w:p w14:paraId="40AA2499" w14:textId="77777777" w:rsidR="003754FE" w:rsidRDefault="003754FE" w:rsidP="003754FE">
      <w:pPr>
        <w:pStyle w:val="TextoNormal"/>
      </w:pPr>
    </w:p>
    <w:p w14:paraId="7F204D6B" w14:textId="77777777" w:rsidR="003754FE" w:rsidRDefault="003754FE" w:rsidP="003754FE">
      <w:pPr>
        <w:pStyle w:val="TextoNormal"/>
      </w:pPr>
      <w:r w:rsidRPr="003754FE">
        <w:rPr>
          <w:rStyle w:val="NumeroAFNegritaCaracter"/>
        </w:rPr>
        <w:t>4</w:t>
      </w:r>
      <w:r>
        <w:t>. La Sala Segunda de este tribunal dictó el ATC 288/2023, de 5 de junio, en el que, previa avocación a la Sala de la decisión, admitió a trámite el presente recurso de amparo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14:paraId="61AE530F" w14:textId="77777777" w:rsidR="003754FE" w:rsidRDefault="003754FE" w:rsidP="003754FE">
      <w:pPr>
        <w:pStyle w:val="TextoNormal"/>
      </w:pPr>
    </w:p>
    <w:p w14:paraId="6E80171C" w14:textId="77777777" w:rsidR="003754FE" w:rsidRDefault="003754FE" w:rsidP="003754FE">
      <w:pPr>
        <w:pStyle w:val="TextoNormal"/>
      </w:pPr>
      <w:r>
        <w:t>Acordó, asimismo, en aplicación del art. 51 LOTC, requerir a la Sección Primera de la Audiencia Provincial de Sevilla para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w:t>
      </w:r>
    </w:p>
    <w:p w14:paraId="790E9C4F" w14:textId="77777777" w:rsidR="003754FE" w:rsidRDefault="003754FE" w:rsidP="003754FE">
      <w:pPr>
        <w:pStyle w:val="TextoNormal"/>
      </w:pPr>
    </w:p>
    <w:p w14:paraId="39BBA986" w14:textId="77777777" w:rsidR="003754FE" w:rsidRDefault="003754FE" w:rsidP="003754FE">
      <w:pPr>
        <w:pStyle w:val="TextoNormal"/>
      </w:pPr>
      <w:r>
        <w:t>Se ordenó también formar pieza separada de suspensión y en ella conceder un plazo común de tres días al Ministerio Fiscal y al solicitante de amparo para que efectuasen alegaciones sobre dicha cuestión.</w:t>
      </w:r>
    </w:p>
    <w:p w14:paraId="50262B62" w14:textId="77777777" w:rsidR="003754FE" w:rsidRDefault="003754FE" w:rsidP="003754FE">
      <w:pPr>
        <w:pStyle w:val="TextoNormal"/>
      </w:pPr>
    </w:p>
    <w:p w14:paraId="3EDA1E4E" w14:textId="77777777" w:rsidR="003754FE" w:rsidRDefault="003754FE" w:rsidP="003754FE">
      <w:pPr>
        <w:pStyle w:val="TextoNormal"/>
      </w:pPr>
      <w:r>
        <w:t>Se propuso finalmente la avocación al Pleno del conocimiento del asunto.</w:t>
      </w:r>
    </w:p>
    <w:p w14:paraId="59771050" w14:textId="77777777" w:rsidR="003754FE" w:rsidRDefault="003754FE" w:rsidP="003754FE">
      <w:pPr>
        <w:pStyle w:val="TextoNormal"/>
      </w:pPr>
    </w:p>
    <w:p w14:paraId="1F7AEC75" w14:textId="77777777" w:rsidR="003754FE" w:rsidRDefault="003754FE" w:rsidP="003754FE">
      <w:pPr>
        <w:pStyle w:val="TextoNormal"/>
      </w:pPr>
      <w:r>
        <w:t xml:space="preserve">Por providencia de 20 de junio de 2023 el Pleno de este tribunal acordó, conforme al art. 10.1 n) LOTC, a propuesta de la Sala Segunda, “recabar para sí el conocimiento del recurso </w:t>
      </w:r>
      <w:r>
        <w:lastRenderedPageBreak/>
        <w:t>de amparo que se tramita en dicha Sala con el número 2136-2023, interpuesto por don Miguel Ángel Serrano Aguilar”.</w:t>
      </w:r>
    </w:p>
    <w:p w14:paraId="7DDD27C8" w14:textId="77777777" w:rsidR="003754FE" w:rsidRDefault="003754FE" w:rsidP="003754FE">
      <w:pPr>
        <w:pStyle w:val="TextoNormal"/>
      </w:pPr>
    </w:p>
    <w:p w14:paraId="06715D28" w14:textId="0D952ED3" w:rsidR="003754FE" w:rsidRDefault="003754FE" w:rsidP="003754FE">
      <w:pPr>
        <w:pStyle w:val="TextoNormal"/>
      </w:pPr>
      <w:r>
        <w:t>Por ATC 438/2023, de 26 de septiembre, el Pleno de este tribunal, tras recibir las alegaciones del recurrente, del Ministerio Fiscal y del Partido Popular, denegó la suspensión cautelar solicitada dada la duración de la pena de prisión que le había sido impuesta al demandante, de seis años y seis meses, superior al límite de cinco años que este tribunal ha venido tomando en consideración para dirimir la aplicación de este tipo de medida.</w:t>
      </w:r>
    </w:p>
    <w:p w14:paraId="2F6B74C5" w14:textId="77777777" w:rsidR="003754FE" w:rsidRDefault="003754FE" w:rsidP="003754FE">
      <w:pPr>
        <w:pStyle w:val="TextoNormal"/>
      </w:pPr>
    </w:p>
    <w:p w14:paraId="42C7F9FF" w14:textId="77777777" w:rsidR="003754FE" w:rsidRDefault="003754FE" w:rsidP="003754FE">
      <w:pPr>
        <w:pStyle w:val="TextoNormal"/>
      </w:pPr>
      <w:r w:rsidRPr="003754FE">
        <w:rPr>
          <w:rStyle w:val="NumeroAFNegritaCaracter"/>
        </w:rPr>
        <w:t>5</w:t>
      </w:r>
      <w:r>
        <w:t>. Se han producido las siguientes incidencias en cuanto a la comparecencia, la personación y las alegaciones de las partes procesales:</w:t>
      </w:r>
    </w:p>
    <w:p w14:paraId="68E39680" w14:textId="77777777" w:rsidR="003754FE" w:rsidRDefault="003754FE" w:rsidP="003754FE">
      <w:pPr>
        <w:pStyle w:val="TextoNormal"/>
      </w:pPr>
    </w:p>
    <w:p w14:paraId="6CE2CD4D" w14:textId="77777777" w:rsidR="003754FE" w:rsidRDefault="003754FE" w:rsidP="003754FE">
      <w:pPr>
        <w:pStyle w:val="TextoNormal"/>
      </w:pPr>
      <w:r>
        <w:t>a) Por diligencia de ordenación de la Secretaría de Justicia del Pleno de 24 de julio de 2023 se tuvo por recibida de la Sección Primera de la Audiencia Provincial de Sevilla copia en formato digital de las actuaciones correspondientes al procedimiento abreviado núm. 133-2016, rollo núm. 1965-2017, y los emplazamientos practicados. Observándose que no se había emplazado a todas las partes del mencionado procedimiento, se acordó remitir nuevo oficio a la Sección Primera de la Audiencia Provincial de Sevilla, a fin de que procediera a emplazar a todas las partes, a excepción de la recurrente en el presente proceso y de las ya emplazadas, con entrega de copia de la demanda, para que en el plazo de diez días pudieran comparecer en el presente recurso de amparo.</w:t>
      </w:r>
    </w:p>
    <w:p w14:paraId="784A9983" w14:textId="77777777" w:rsidR="003754FE" w:rsidRDefault="003754FE" w:rsidP="003754FE">
      <w:pPr>
        <w:pStyle w:val="TextoNormal"/>
      </w:pPr>
    </w:p>
    <w:p w14:paraId="09BF3D9E" w14:textId="77777777" w:rsidR="003754FE" w:rsidRDefault="003754FE" w:rsidP="003754FE">
      <w:pPr>
        <w:pStyle w:val="TextoNormal"/>
      </w:pPr>
      <w:r>
        <w:t>b) Por escrito presentado el 25 de julio de 2023, el procurador de los tribunales don Manuel Sánchez-Puelles y González-Carvajal, actuando en nombre y representación del Partido Popular, bajo la dirección técnica de los letrados don Ángel Márquez Prieto y don Alfonso Martínez Escribano, solicitó se le tuviera por personado en el procedimiento, así como la acumulación de los recursos de amparo dimanantes de la misma causa penal. Por diligencia de ordenación de la Secretaría de Justicia del Pleno de este tribunal de 27 de julio de 2023, se admitió su personación y, a tenor de lo dispuesto en el art. 52 LOTC, se acordó dar vista de todas las actuaciones del presente recurso de amparo, por un plazo común de veinte días, a la parte recurrente, al Partido Popular y al Ministerio Fiscal para que dentro de dicho término pudieran presentar las alegaciones que estimasen procedentes.</w:t>
      </w:r>
    </w:p>
    <w:p w14:paraId="371490B6" w14:textId="77777777" w:rsidR="003754FE" w:rsidRDefault="003754FE" w:rsidP="003754FE">
      <w:pPr>
        <w:pStyle w:val="TextoNormal"/>
      </w:pPr>
    </w:p>
    <w:p w14:paraId="4CD1614F" w14:textId="77777777" w:rsidR="003754FE" w:rsidRDefault="003754FE" w:rsidP="003754FE">
      <w:pPr>
        <w:pStyle w:val="TextoNormal"/>
      </w:pPr>
      <w:r>
        <w:t xml:space="preserve">c) Por escrito presentado el 26 de septiembre de 2023, el actor formuló alegaciones en las que dio por reproducidos la totalidad de los argumentos contenidos en el escrito de interposición del recurso de amparo, insistiendo particularmente en el motivo cuarto, en el que denunciaba la vulneración del derecho a la presunción de inocencia por inexistencia absoluta de prueba de cargo de la comisión de un delito de malversación de caudales públicos. Reproduce el voto particular emitido por dos de las magistradas de la Sala de lo Penal del Tribunal Supremo y aduce que la sentencia ha basado su condena únicamente en que tuvo conocimiento del informe adicional al informe de cumplimiento del ejercicio 2003, emitido por la Intervención del Control Financiero Permanente del IFA/IDEA, y en que por el solo hecho de su conocimiento asumió la eventualidad de que se malversasen fondos públicos, valoración que resulta manifiestamente irracional, arbitraria e ilógica, pues se trata de un informe que solo refleja irregularidades procedimentales y administrativas, y de cuya lectura no se obtiene información alguna que induzca a pensar que se estuvieran malversando fondos públicos. A lo sumo, lo que el demandante pudo conocer años después no </w:t>
      </w:r>
      <w:r>
        <w:lastRenderedPageBreak/>
        <w:t>sería más que una situación pasada que pudiera pensarse que estaría corregida en el momento en que el actor accedió a dicho informe.</w:t>
      </w:r>
    </w:p>
    <w:p w14:paraId="61837592" w14:textId="77777777" w:rsidR="003754FE" w:rsidRDefault="003754FE" w:rsidP="003754FE">
      <w:pPr>
        <w:pStyle w:val="TextoNormal"/>
      </w:pPr>
    </w:p>
    <w:p w14:paraId="32E7BE6D" w14:textId="77777777" w:rsidR="003754FE" w:rsidRDefault="003754FE" w:rsidP="003754FE">
      <w:pPr>
        <w:pStyle w:val="TextoNormal"/>
      </w:pPr>
      <w:r>
        <w:t>Añade que los informes de control financiero de la Intervención General de la Junta de Andalucía, incluido el informe adicional de 2003, no contenían advertencia ni conclusión alguna de la existencia de hechos que pudieran ser calificados como malversación de caudales públicos, y prueba de ello sería que el interventor general de la Junta de Andalucía, don Manuel Gómez, que venía acusado de malversación de caudales públicos, fue absuelto en la sentencia que se recurre.</w:t>
      </w:r>
    </w:p>
    <w:p w14:paraId="177F22CE" w14:textId="77777777" w:rsidR="003754FE" w:rsidRDefault="003754FE" w:rsidP="003754FE">
      <w:pPr>
        <w:pStyle w:val="TextoNormal"/>
      </w:pPr>
    </w:p>
    <w:p w14:paraId="23F6D17C" w14:textId="77777777" w:rsidR="003754FE" w:rsidRDefault="003754FE" w:rsidP="003754FE">
      <w:pPr>
        <w:pStyle w:val="TextoNormal"/>
      </w:pPr>
      <w:r>
        <w:t>d) Por escrito presentado igualmente el 26 de septiembre de 2023, el Partido Popular formuló alegaciones en las que interesó la desestimación del recurso de amparo. En síntesis, manifiesta su sustancial conformidad con los fundamentos fácticos y jurídicos de las resoluciones judiciales impugnadas, al tiempo que reprocha al recurso de amparo haber hecho una selección parcial y fragmentada de los fundamentos de la condena.</w:t>
      </w:r>
    </w:p>
    <w:p w14:paraId="00F42872" w14:textId="77777777" w:rsidR="003754FE" w:rsidRDefault="003754FE" w:rsidP="003754FE">
      <w:pPr>
        <w:pStyle w:val="TextoNormal"/>
      </w:pPr>
    </w:p>
    <w:p w14:paraId="57C09587" w14:textId="77777777" w:rsidR="003754FE" w:rsidRDefault="003754FE" w:rsidP="003754FE">
      <w:pPr>
        <w:pStyle w:val="TextoNormal"/>
      </w:pPr>
      <w:r>
        <w:t>Rebate el primer motivo de amparo, relativo a la comunicación anticipada del fallo, porque la Sala de lo Penal del Tribunal Supremo, cuando dictó la providencia que lo daba a conocer, así como un comunicado de prensa con el mismo contenido, ya había concluido sus deliberaciones y solo estaba pendiente la redacción del voto particular anunciado. No hubo por lo tanto una filtración ni una imputación anticipada de la culpabilidad de los acusados, por lo que no se vulneraron sus derechos a la presunción de inocencia y al honor, debiendo prevalecer en la ponderación de los intereses en juego la libertad de información [art. 20.1 d) CE] y el principio de publicidad de la justicia (art. 120.1 CE).</w:t>
      </w:r>
    </w:p>
    <w:p w14:paraId="1FA2E24B" w14:textId="77777777" w:rsidR="003754FE" w:rsidRDefault="003754FE" w:rsidP="003754FE">
      <w:pPr>
        <w:pStyle w:val="TextoNormal"/>
      </w:pPr>
    </w:p>
    <w:p w14:paraId="0931C0CA" w14:textId="77777777" w:rsidR="003754FE" w:rsidRDefault="003754FE" w:rsidP="003754FE">
      <w:pPr>
        <w:pStyle w:val="TextoNormal"/>
      </w:pPr>
      <w:r>
        <w:t xml:space="preserve">Rechaza el segundo motivo de amparo, que denunciaba que la sentencia de casación introdujo datos fácticos que no estaban en el relato de hechos probados de la sentencia de instancia, con el argumento de que las únicas divergencias apreciables entre ambas resoluciones judiciales son puramente jurídicas y referidas: (i) a la finalidad perseguida por los acusados, pues la sentencia de instancia asocia la agilización del sistema de subvenciones a un cúmulo de ilegalidades que detalla y que es consecuencia de la eliminación de controles; (ii) a la concurrencia de un dolo directo o eventual, distinción que es producto de la valoración jurídica de los hechos, no de la alteración del </w:t>
      </w:r>
      <w:r w:rsidRPr="003754FE">
        <w:rPr>
          <w:i/>
        </w:rPr>
        <w:t>factum</w:t>
      </w:r>
      <w:r>
        <w:t xml:space="preserve"> de la sentencia de instancia, y (iii) a los distintos criterios de autoría, fruto nuevamente de la aplicación de un distinto enfoque jurídico y argumental a los presupuestos fácticos de la sentencia recurrida en casación. Prosigue diciendo que la sentencia del Tribunal Supremo no introduce hechos nuevos cuando reitera la cita de las pruebas de cargo que hace la sentencia recurrida, y que dedica extensos razonamientos al examen de la concurrencia de los requisitos de los delitos de prevaricación y de malversación.</w:t>
      </w:r>
    </w:p>
    <w:p w14:paraId="0C8F2B6D" w14:textId="77777777" w:rsidR="003754FE" w:rsidRDefault="003754FE" w:rsidP="003754FE">
      <w:pPr>
        <w:pStyle w:val="TextoNormal"/>
      </w:pPr>
    </w:p>
    <w:p w14:paraId="3AE4E54C" w14:textId="77777777" w:rsidR="003754FE" w:rsidRDefault="003754FE" w:rsidP="003754FE">
      <w:pPr>
        <w:pStyle w:val="TextoNormal"/>
      </w:pPr>
      <w:r>
        <w:t xml:space="preserve">Rechaza el tercer motivo de amparo, relativo a la vulneración del principio de legalidad penal (art. 25.1 CE) porque se hizo una aplicación motivada y previsible de los tipos penales. El delito de prevaricación se justifica en que tanto el convenio marco como los convenios particulares tenían la consideración de resolución administrativa y condujeron al resultado materialmente injusto de la concesión de las ayudas sin tramitación de expediente alguno. El delito de malversación de caudales públicos, en que el actor intervino directa y materialmente en el engranaje delictivo, desde su cargo de director general del IFA/IDEA, al suscribir los convenios particulares, cuando podía haberse negado a firmarlos. En este punto la </w:t>
      </w:r>
      <w:r>
        <w:lastRenderedPageBreak/>
        <w:t>aprobación parlamentaria de las transferencias de financiación no autorizaba el pago de subvenciones con cargo a las mismas, siendo prueba decisiva, aunque no única, de esta operativa el informe pericial elaborado por la Intervención General de la Administración del Estado.</w:t>
      </w:r>
    </w:p>
    <w:p w14:paraId="21B783F8" w14:textId="77777777" w:rsidR="003754FE" w:rsidRDefault="003754FE" w:rsidP="003754FE">
      <w:pPr>
        <w:pStyle w:val="TextoNormal"/>
      </w:pPr>
    </w:p>
    <w:p w14:paraId="0B8F2BDF" w14:textId="77777777" w:rsidR="003754FE" w:rsidRDefault="003754FE" w:rsidP="003754FE">
      <w:pPr>
        <w:pStyle w:val="TextoNormal"/>
      </w:pPr>
      <w:r>
        <w:t>Rebate asimismo el cuarto motivo de amparo relativo a la vulneración del derecho a la presunción de inocencia en cuanto al delito de malversación de caudales públicos argumentando que la prueba se valoró de forma racional y motivada y que, contra lo que se afirma en la demanda de amparo, la condena no se basa únicamente en que el actor conoció el informe adicional al informe de cumplimiento del ejercicio de 2003 emitido por la Intervención del control financiero permanente del IFA/IDEA, sino que también se toman en consideración otros elementos de valor incriminatorio que aparecen detallados en la sentencia de instancia como son la firma de los convenios particulares que instrumentaron las ayudas, las competencias que ejerció como director de la citada agencia, la indebida contabilización de estos pagos como gastos de explotación propios de la agencia, las “salvedades por incertidumbre” que se hacían en los informes de auditoría externa en cuanto a la recepción de fondos de la Consejería de Trabajo para salvar los descubiertos que se iban generando en las cuentas de la agencia y las observaciones sobre la inadecuación de la aplicación presupuestaria verificadas por un vocal en el consejo rector celebrado el 18 de octubre de 2005.</w:t>
      </w:r>
    </w:p>
    <w:p w14:paraId="2CE12894" w14:textId="77777777" w:rsidR="003754FE" w:rsidRDefault="003754FE" w:rsidP="003754FE">
      <w:pPr>
        <w:pStyle w:val="TextoNormal"/>
      </w:pPr>
    </w:p>
    <w:p w14:paraId="02A5FEFC" w14:textId="77777777" w:rsidR="003754FE" w:rsidRDefault="003754FE" w:rsidP="003754FE">
      <w:pPr>
        <w:pStyle w:val="TextoNormal"/>
      </w:pPr>
      <w:r>
        <w:t>e) Por escrito presentado el 9 de octubre de 2023 la procuradora de los tribunales doña Patricia Rosch Iglesias, actuando en nombre y representación de don Francisco Vallejo Serrano, bajo la dirección técnica de la letrada doña Encarnación Molino Barrero, solicitó se la tuviera por personada en el procedimiento a los efectos previstos en los arts. 47.1, 51.2 y 52.1 LOTC.</w:t>
      </w:r>
    </w:p>
    <w:p w14:paraId="1F76C35F" w14:textId="77777777" w:rsidR="003754FE" w:rsidRDefault="003754FE" w:rsidP="003754FE">
      <w:pPr>
        <w:pStyle w:val="TextoNormal"/>
      </w:pPr>
    </w:p>
    <w:p w14:paraId="0CBE207B" w14:textId="77777777" w:rsidR="003754FE" w:rsidRDefault="003754FE" w:rsidP="003754FE">
      <w:pPr>
        <w:pStyle w:val="TextoNormal"/>
      </w:pPr>
      <w:r>
        <w:t>f) Por escrito presentado el 9 de octubre de 2023 la procuradora de los tribunales doña Patricia Rosch Iglesias, actuando en nombre y representación de don Jesús María Rodríguez Román, bajo la dirección técnica del letrado don Luis Aparicio Díaz, solicitó se la tuviera por personada en el procedimiento a los efectos previstos en los arts. 47.1, 51.2 y 52.1 LOTC.</w:t>
      </w:r>
    </w:p>
    <w:p w14:paraId="541BC7A4" w14:textId="77777777" w:rsidR="003754FE" w:rsidRDefault="003754FE" w:rsidP="003754FE">
      <w:pPr>
        <w:pStyle w:val="TextoNormal"/>
      </w:pPr>
    </w:p>
    <w:p w14:paraId="6041C785" w14:textId="77777777" w:rsidR="003754FE" w:rsidRDefault="003754FE" w:rsidP="003754FE">
      <w:pPr>
        <w:pStyle w:val="TextoNormal"/>
      </w:pPr>
      <w:r>
        <w:t>g) Por escrito presentado el 10 de octubre de 2023, el procurador de los tribunales don Roberto Granizo Palomeque, actuando en nombre y representación de don Antonio Vicente Lozano y don José Antonio Griñán Martínez, bajo la dirección técnica del letrado don José María Calero Martínez, solicitó se le tuviera por personado en el procedimiento con el fin de sostener los derechos y ejercitar las acciones que a sus mandantes pudieran corresponder.</w:t>
      </w:r>
    </w:p>
    <w:p w14:paraId="739CF046" w14:textId="77777777" w:rsidR="003754FE" w:rsidRDefault="003754FE" w:rsidP="003754FE">
      <w:pPr>
        <w:pStyle w:val="TextoNormal"/>
      </w:pPr>
    </w:p>
    <w:p w14:paraId="413BF60D" w14:textId="77777777" w:rsidR="003754FE" w:rsidRDefault="003754FE" w:rsidP="003754FE">
      <w:pPr>
        <w:pStyle w:val="TextoNormal"/>
      </w:pPr>
      <w:r>
        <w:t>h) Por escrito presentado el 10 de octubre de 2023, la procuradora de los tribunales doña Olga Coca Alonso, actuando en nombre y representación de doña Carmen Martínez Aguayo, bajo la dirección técnica del letrado don Víctor Moreno Catena, solicitó que se le tuviera por personado en el procedimiento, manifestando al mismo tiempo su adhesión al recurso de amparo formulado por don Miguel Ángel Serrano Aguilar en todo lo que pueda favorecer a su mandante, por entender que los fundamentos, alegaciones y vulneraciones de derechos fundamentales denunciados son plenamente aplicables y predicables de doña Carmen Martínez Aguayo.</w:t>
      </w:r>
    </w:p>
    <w:p w14:paraId="25BF478B" w14:textId="77777777" w:rsidR="003754FE" w:rsidRDefault="003754FE" w:rsidP="003754FE">
      <w:pPr>
        <w:pStyle w:val="TextoNormal"/>
      </w:pPr>
    </w:p>
    <w:p w14:paraId="68580A9E" w14:textId="77777777" w:rsidR="003754FE" w:rsidRDefault="003754FE" w:rsidP="003754FE">
      <w:pPr>
        <w:pStyle w:val="TextoNormal"/>
      </w:pPr>
      <w:r>
        <w:lastRenderedPageBreak/>
        <w:t>i) Por diligencia de ordenación de la Secretaría de Justicia del Pleno de 23 de octubre de 2023 se tuvieron por recibidos los nuevos emplazamientos practicados por la Sección Primera de la Audiencia Provincial de Sevilla y se acordó tener por personados y parte en el proceso a la procuradora doña Patricia Rosch Iglesias, en nombre y representación de don Francisco Vallejo Serrano, a la misma procuradora señora Rosch Iglesias, en nombre y representación de don Jesús María Rodríguez Román, al procurador don Roberto Granizo Palomeque, en nombre y representación de don Antonio Vicente Lozano Peña y don José Antonio Griñán Martínez, y a la procuradora doña Olga Coca Alonso, en nombre y representación de doña Carmen Martínez Aguayo.</w:t>
      </w:r>
    </w:p>
    <w:p w14:paraId="4ACF0251" w14:textId="77777777" w:rsidR="003754FE" w:rsidRDefault="003754FE" w:rsidP="003754FE">
      <w:pPr>
        <w:pStyle w:val="TextoNormal"/>
      </w:pPr>
    </w:p>
    <w:p w14:paraId="171928C1" w14:textId="77777777" w:rsidR="003754FE" w:rsidRDefault="003754FE" w:rsidP="003754FE">
      <w:pPr>
        <w:pStyle w:val="TextoNormal"/>
      </w:pPr>
      <w:r>
        <w:t>Asimismo, a tenor de lo dispuesto en el art. 52 LOTC, se dio vista de todas las actuaciones del presente recurso de amparo, por un plazo común de veinte días, a las citadas partes personadas, para que dentro de dicho término pudieran presentar las alegaciones que a su derecho conviniera.</w:t>
      </w:r>
    </w:p>
    <w:p w14:paraId="37241B00" w14:textId="77777777" w:rsidR="003754FE" w:rsidRDefault="003754FE" w:rsidP="003754FE">
      <w:pPr>
        <w:pStyle w:val="TextoNormal"/>
      </w:pPr>
    </w:p>
    <w:p w14:paraId="605927C3" w14:textId="77777777" w:rsidR="003754FE" w:rsidRDefault="003754FE" w:rsidP="003754FE">
      <w:pPr>
        <w:pStyle w:val="TextoNormal"/>
      </w:pPr>
      <w:r>
        <w:t>j) Por escrito presentado el 26 de octubre de 2023 el fiscal ante el Tribunal Constitucional solicitó una prórroga para evacuar las alegaciones previstas en el art. 52 LOTC, por un plazo de treinta días hábiles complementarios a contar desde la conclusión del plazo ordinario, prevista para el 8 de noviembre de 2023. Por diligencia de ordenación de 30 de octubre de 2023 se tuvo por recibido el anterior escrito del fiscal y se acordó ampliar el plazo en los términos solicitados.</w:t>
      </w:r>
    </w:p>
    <w:p w14:paraId="4A981A5B" w14:textId="77777777" w:rsidR="003754FE" w:rsidRDefault="003754FE" w:rsidP="003754FE">
      <w:pPr>
        <w:pStyle w:val="TextoNormal"/>
      </w:pPr>
    </w:p>
    <w:p w14:paraId="19014DF7" w14:textId="77777777" w:rsidR="003754FE" w:rsidRDefault="003754FE" w:rsidP="003754FE">
      <w:pPr>
        <w:pStyle w:val="TextoNormal"/>
      </w:pPr>
      <w:r>
        <w:t>k) Por escrito presentado el 2 de noviembre de 2023, la representación procesal de don José Antonio Griñán Martínez evacuó escrito de alegaciones en el que se adhirió a los motivos primero y segundo del presente recurso de amparo, así como a la petición de nulidad de las sentencias dictadas por la Sala de lo Penal del Tribunal Supremo y la Sección Primera de la Audiencia Provincial de Sevilla, impugnadas en el mismo.</w:t>
      </w:r>
    </w:p>
    <w:p w14:paraId="6B5FEE11" w14:textId="77777777" w:rsidR="003754FE" w:rsidRDefault="003754FE" w:rsidP="003754FE">
      <w:pPr>
        <w:pStyle w:val="TextoNormal"/>
      </w:pPr>
    </w:p>
    <w:p w14:paraId="1F9700E0" w14:textId="77777777" w:rsidR="003754FE" w:rsidRDefault="003754FE" w:rsidP="003754FE">
      <w:pPr>
        <w:pStyle w:val="TextoNormal"/>
      </w:pPr>
      <w:r>
        <w:t>l) Por escrito presentado el 2 de noviembre de 2023, la representación procesal de don Antonio Vicente Lozano Peña evacuó escrito de alegaciones en el que se adhirió a los motivos primero y segundo del presente recurso de amparo, así como a la petición de nulidad de las sentencias dictadas por la Sala de lo Penal del Tribunal Supremo y la Sección Primera de la Audiencia Provincial de Sevilla, impugnadas en el mismo.</w:t>
      </w:r>
    </w:p>
    <w:p w14:paraId="23A89997" w14:textId="77777777" w:rsidR="003754FE" w:rsidRDefault="003754FE" w:rsidP="003754FE">
      <w:pPr>
        <w:pStyle w:val="TextoNormal"/>
      </w:pPr>
    </w:p>
    <w:p w14:paraId="5C2C7663" w14:textId="77777777" w:rsidR="003754FE" w:rsidRDefault="003754FE" w:rsidP="003754FE">
      <w:pPr>
        <w:pStyle w:val="TextoNormal"/>
      </w:pPr>
      <w:r>
        <w:t>m) Por escrito presentado el 20 de noviembre de 2023, la representación procesal de doña Carmen Martínez Aguayo evacuó escrito de alegaciones en el que manifestó su adhesión al presente recurso de amparo en todo lo que pudiera favorecer a su mandante, por entender que los fundamentos, alegaciones y vulneraciones de derechos fundamentales denunciados son plenamente aplicables a la misma, lo que conllevaría la revocación de las sentencias impugnadas y su absolución.</w:t>
      </w:r>
    </w:p>
    <w:p w14:paraId="50C43542" w14:textId="77777777" w:rsidR="003754FE" w:rsidRDefault="003754FE" w:rsidP="003754FE">
      <w:pPr>
        <w:pStyle w:val="TextoNormal"/>
      </w:pPr>
    </w:p>
    <w:p w14:paraId="3C0FD6F4" w14:textId="77777777" w:rsidR="003754FE" w:rsidRDefault="003754FE" w:rsidP="003754FE">
      <w:pPr>
        <w:pStyle w:val="TextoNormal"/>
      </w:pPr>
      <w:r>
        <w:t>n) Por escrito presentado el 20 de noviembre de 2023, la representación procesal de don Jesús María Rodríguez Román evacuó escrito de alegaciones en el que solicitó la estimación del presente recurso de amparo, que se declarase la vulneración del derecho fundamental a la legalidad sancionadora (art. 25.1 CE) y que se declarasen nulas las sentencias impugnadas en el mismo.</w:t>
      </w:r>
    </w:p>
    <w:p w14:paraId="53337FC3" w14:textId="77777777" w:rsidR="003754FE" w:rsidRDefault="003754FE" w:rsidP="003754FE">
      <w:pPr>
        <w:pStyle w:val="TextoNormal"/>
      </w:pPr>
    </w:p>
    <w:p w14:paraId="4A7C9267" w14:textId="77777777" w:rsidR="003754FE" w:rsidRDefault="003754FE" w:rsidP="003754FE">
      <w:pPr>
        <w:pStyle w:val="TextoNormal"/>
      </w:pPr>
      <w:r>
        <w:t>Aduce en concreto:</w:t>
      </w:r>
    </w:p>
    <w:p w14:paraId="09027A32" w14:textId="77777777" w:rsidR="003754FE" w:rsidRDefault="003754FE" w:rsidP="003754FE">
      <w:pPr>
        <w:pStyle w:val="TextoNormal"/>
      </w:pPr>
    </w:p>
    <w:p w14:paraId="38FEDF17" w14:textId="77777777" w:rsidR="003754FE" w:rsidRDefault="003754FE" w:rsidP="003754FE">
      <w:pPr>
        <w:pStyle w:val="TextoNormal"/>
      </w:pPr>
      <w:r>
        <w:t xml:space="preserve">(i) Respecto del delito de prevaricación del art. 404 CP, que se ha verificado una interpretación extensiva </w:t>
      </w:r>
      <w:r w:rsidRPr="003754FE">
        <w:rPr>
          <w:i/>
        </w:rPr>
        <w:t>in malam partem</w:t>
      </w:r>
      <w:r>
        <w:t xml:space="preserve"> de los conceptos típicos “resolución” y “asunto administrativo”, porque los acuerdos del Consejo de Gobierno de la Junta de Andalucía y las modificaciones presupuestarias son actos políticos o de gobierno, y no pueden ser considerados como asunto administrativo susceptible de revisión en vía jurisdiccional, incluida la penal, y porque no puede existir una ley ilegal, ni ilegalidades dentro de una ley. Conforme se dictamina en el informe pericial de los profesores señores Zornoza y Martínez Lago, las leyes de presupuestos posteriores a la Ley del Parlamento de Andalucía 15/2001, que contemplaron transferencias de financiación para finalidades no previstas en el art. 18.1 de esa ley, permiten descartar la ilegalidad de las partidas presupuestarias objeto de incriminación, pues procedía resolver el conflicto de normas conforme a los principios generales de que la ley especial prevalece sobre la general y la ley posterior deroga a la anterior. En cuanto a las modificaciones presupuestarias, el informe favorable del interventor general de la Junta de Andalucía, que resultó absuelto en la causa, y del interventor adjunto a la agencia IFA/IDEA excluye la existencia de una ilegalidad palmaria, manifiesta y evidente.</w:t>
      </w:r>
    </w:p>
    <w:p w14:paraId="287DB206" w14:textId="77777777" w:rsidR="003754FE" w:rsidRDefault="003754FE" w:rsidP="003754FE">
      <w:pPr>
        <w:pStyle w:val="TextoNormal"/>
      </w:pPr>
    </w:p>
    <w:p w14:paraId="5F77A022" w14:textId="246AB7E0" w:rsidR="003754FE" w:rsidRDefault="003754FE" w:rsidP="003754FE">
      <w:pPr>
        <w:pStyle w:val="TextoNormal"/>
      </w:pPr>
      <w:r>
        <w:t>(ii) Respecto del delito de malversación de caudales públicos del art. 432 CP, que no existió connivencia o acuerdo en el actuar delictivo, ni en forma de coautoría con división de funciones, que es lo que sostiene la Audiencia Provincial, ni como autoría individual, por la que se inclina el Tribunal Supremo. No se justifica la comisión por omisión, pues no se establece el fundamento de la supuesta posición de garante de los condenados, ni tan siquiera se cita el art. 11 CP. Tampoco se justifica la concurrencia del elemento subjetivo del tipo; el Tribunal Supremo aprecia un dolo directo separándose del criterio de la sentencia de instancia, que consideró el dolo eventual.</w:t>
      </w:r>
    </w:p>
    <w:p w14:paraId="44D04AA8" w14:textId="77777777" w:rsidR="003754FE" w:rsidRDefault="003754FE" w:rsidP="003754FE">
      <w:pPr>
        <w:pStyle w:val="TextoNormal"/>
      </w:pPr>
    </w:p>
    <w:p w14:paraId="5F8C867B" w14:textId="77777777" w:rsidR="003754FE" w:rsidRDefault="003754FE" w:rsidP="003754FE">
      <w:pPr>
        <w:pStyle w:val="TextoNormal"/>
      </w:pPr>
      <w:r w:rsidRPr="003754FE">
        <w:rPr>
          <w:rStyle w:val="NumeroAFNegritaCaracter"/>
        </w:rPr>
        <w:t>6</w:t>
      </w:r>
      <w:r>
        <w:t>. Por escrito presentado el 8 de enero de 2024, el Ministerio Fiscal formuló alegaciones en las que interesó la íntegra desestimación de la demanda de amparo.</w:t>
      </w:r>
    </w:p>
    <w:p w14:paraId="598AF7AD" w14:textId="77777777" w:rsidR="003754FE" w:rsidRDefault="003754FE" w:rsidP="003754FE">
      <w:pPr>
        <w:pStyle w:val="TextoNormal"/>
      </w:pPr>
    </w:p>
    <w:p w14:paraId="5C995CC0" w14:textId="77777777" w:rsidR="003754FE" w:rsidRDefault="003754FE" w:rsidP="003754FE">
      <w:pPr>
        <w:pStyle w:val="TextoNormal"/>
      </w:pPr>
      <w:r>
        <w:t>La fiscal ante el Tribunal Constitucional que lo suscribe, tras identificar las resoluciones judiciales impugnadas en la demanda de amparo interpuesta por don Miguel Ángel Serrano Aguilar, la fecha de presentación de esta y los derechos fundamentales cuya vulneración denuncia, examina con carácter preliminar el cumplimiento de los presupuestos procesales del art. 44 LOTC y concluye que se han cumplido debidamente, indicando que el de previo agotamiento de la vía jurisdiccional ordinaria se realizó mediante los recursos de casación contra la sentencia de instancia y el incidente de nulidad de actuaciones contra la sentencia de casación, apreciando asimismo que a través de los mismos se verificó la invocación tempestiva de la vulneración de los derechos fundamentales que se dicen lesionados. Seguidamente analiza los cuatro motivos de amparo esgrimidos en la misma.</w:t>
      </w:r>
    </w:p>
    <w:p w14:paraId="3C506211" w14:textId="77777777" w:rsidR="003754FE" w:rsidRDefault="003754FE" w:rsidP="003754FE">
      <w:pPr>
        <w:pStyle w:val="TextoNormal"/>
      </w:pPr>
    </w:p>
    <w:p w14:paraId="1A208743" w14:textId="77777777" w:rsidR="003754FE" w:rsidRDefault="003754FE" w:rsidP="003754FE">
      <w:pPr>
        <w:pStyle w:val="TextoNormal"/>
      </w:pPr>
      <w:r>
        <w:t xml:space="preserve">Respecto del primero de ellos, sobre la vulneración del derecho a la presunción de inocencia en relación con el derecho al honor, que se atribuye a la providencia de la Sala de lo Penal del Tribunal Supremo de 26 de julio de 2022 que anticipó el fallo de la sentencia que resolvió el recurso de casación mediante la reproducción de un comunicado de prensa, la fiscal, tras sintetizar las alegaciones efectuadas en el recurso de amparo en sustento de este motivo y citar doctrina constitucional relativa tanto a la dimensión extraprocesal del derecho a la presunción de inocencia (SSTC 133/2018, de 13 de diciembre, FJ 4, y 77/2023, de 20 de junio, FJ 5), como al derecho al honor del art. 18.1 CE, aduce que el auto del </w:t>
      </w:r>
      <w:r>
        <w:lastRenderedPageBreak/>
        <w:t>Tribunal Supremo de 16 de febrero de 2023 que desestimó el incidente de nulidad de actuaciones realizó una ponderación adecuada de los intereses en juego al desechar que se hubieran producido estas vulneraciones con base en la relevancia pública del asunto, el derecho a comunicar o recibir libremente información veraz [art. 20.1 d) CE] y el principio de publicidad de las actuaciones judiciales (art. 120.1 CE), así como la ausencia de una norma expresa que lo prohibiera.</w:t>
      </w:r>
    </w:p>
    <w:p w14:paraId="13F3BD1E" w14:textId="77777777" w:rsidR="003754FE" w:rsidRDefault="003754FE" w:rsidP="003754FE">
      <w:pPr>
        <w:pStyle w:val="TextoNormal"/>
      </w:pPr>
    </w:p>
    <w:p w14:paraId="2FE652C1" w14:textId="77777777" w:rsidR="003754FE" w:rsidRDefault="003754FE" w:rsidP="003754FE">
      <w:pPr>
        <w:pStyle w:val="TextoNormal"/>
      </w:pPr>
      <w:r>
        <w:t xml:space="preserve">En relación con la vulneración de los derechos a un proceso con todas las garantías, a la presunción de inocencia y a la tutela judicial efectiva (art. 24.1 y 2 CE) por la inclusión en la sentencia de casación de datos fácticos que no aparecen en la de instancia, la fiscal, tras hacer una síntesis de las alegaciones del demandante y de los fundamentos del auto del Tribunal Supremo que desestimó el incidente de nulidad de actuaciones, invoca doctrina constitucional sobre el principio acusatorio (STC 45/2022, de 23 de marzo, FJ 10) y la prohibición de </w:t>
      </w:r>
      <w:r w:rsidRPr="003754FE">
        <w:rPr>
          <w:i/>
        </w:rPr>
        <w:t>reformatio in peius</w:t>
      </w:r>
      <w:r>
        <w:t xml:space="preserve"> (STC 102/2022, de 12 de septiembre, FJ 5) y concluye que el motivo no puede prosperar porque las frases cuestionadas de la sentencia de casación no añadieron nada nuevo a lo declarado en los hechos probados de la sentencia de instancia, sino que los resumieron o concretaron, sin producir alteración o ampliación de los mismos.</w:t>
      </w:r>
    </w:p>
    <w:p w14:paraId="7C6D49D1" w14:textId="77777777" w:rsidR="003754FE" w:rsidRDefault="003754FE" w:rsidP="003754FE">
      <w:pPr>
        <w:pStyle w:val="TextoNormal"/>
      </w:pPr>
    </w:p>
    <w:p w14:paraId="6F61FDDD" w14:textId="77777777" w:rsidR="003754FE" w:rsidRDefault="003754FE" w:rsidP="003754FE">
      <w:pPr>
        <w:pStyle w:val="TextoNormal"/>
      </w:pPr>
      <w:r>
        <w:t>Añade que, por lo demás, la alegada alteración de los hechos probados no tendría consecuencias en la condena del señor Serrano porque no afecta a su conducta, tal y como está fijada en los hechos declarados probados en la sentencia dictada por la Audiencia Provincial, en los que no se le imputa una participación en la elaboración de las leyes de presupuestos o en los procedimientos de modificación presupuestaria, sino que su condena se basa en las conductas desplegadas en la fase de la ejecución de las ayudas a través de los pagos efectuados por el organismo IFA/IDEA con fondos recibidos indebidamente como “transferencias de financiación” y destinados al pago de subvenciones excepcionales, que eran reflejados como “otros gastos extraordinarios”, mediante la firma de los convenios particulares por medio de los que se efectuaban los citados pagos, pese a haber sido advertido de la inadecuación del procedimiento y siendo conocedor de los desfases presupuestarios al concederse las ayudas sin una previa dotación presupuestaria. En consecuencia, considera que las expresiones contenidas en la sentencia de casación son meramente argumentativas e irrelevantes, en tanto que no tienen consecuencias en la fijación de los hechos que se le imputan al actor, ni tampoco producen un cambio en el título de imputación.</w:t>
      </w:r>
    </w:p>
    <w:p w14:paraId="5F723629" w14:textId="77777777" w:rsidR="003754FE" w:rsidRDefault="003754FE" w:rsidP="003754FE">
      <w:pPr>
        <w:pStyle w:val="TextoNormal"/>
      </w:pPr>
    </w:p>
    <w:p w14:paraId="347DE4CE" w14:textId="77777777" w:rsidR="003754FE" w:rsidRDefault="003754FE" w:rsidP="003754FE">
      <w:pPr>
        <w:pStyle w:val="TextoNormal"/>
      </w:pPr>
      <w:r>
        <w:t>Sobre la vulneración del derecho a la legalidad penal (art. 25.1 CE), la fiscal, tras sintetizar las alegaciones del demandante y los fundamentos de la sentencia de casación que desestimó la alegación de que la sentencia de instancia hubiera incurrido en tal vulneración en las condenas tanto por el delito de prevaricación como por el de malversación de caudales públicos, invoca doctrina constitucional relativa a tal derecho fundamental, que proscribe las interpretaciones y aplicaciones irrazonables de las normas penales (SSTC 129/2008, de 27 de octubre, FJ 3, y 47/2022, de 24 de marzo, FJ 8.2.1).</w:t>
      </w:r>
    </w:p>
    <w:p w14:paraId="379967A8" w14:textId="77777777" w:rsidR="003754FE" w:rsidRDefault="003754FE" w:rsidP="003754FE">
      <w:pPr>
        <w:pStyle w:val="TextoNormal"/>
      </w:pPr>
    </w:p>
    <w:p w14:paraId="7A73DDA6" w14:textId="77777777" w:rsidR="003754FE" w:rsidRDefault="003754FE" w:rsidP="003754FE">
      <w:pPr>
        <w:pStyle w:val="TextoNormal"/>
      </w:pPr>
      <w:r>
        <w:t xml:space="preserve">Aduce la fiscal que, de la misma manera que lo hizo el Tribunal Supremo, el recurrente hace una selección de los hechos probados incompleta, limitándose a reseñar los párrafos en los que se hace mención expresa a su nombre, cuando en los hechos probados se identifican otras actuaciones que se pueden imputar directamente al recurrente en atención al cargo que ostentaba y las funciones a él inherentes, que pueden fundamentar la subsunción hecha por el tribunal de los hechos en los tipos penales por los que ha sido condenado. </w:t>
      </w:r>
      <w:r>
        <w:lastRenderedPageBreak/>
        <w:t xml:space="preserve">Identifica los elementos fácticos relevantes para la incriminación del demandante que este omite mencionar en su escrito iniciador, entre otros, la firma de los convenios particulares y las consiguientes autorizaciones de pago, el fraccionamiento de la cuantía de las ayudas, la indebida contabilización en los presupuestos de la agencia IFA/IDEA como gastos de explotación de los importes de las transferencias de financiación o el conocimiento y aceptación del resultado del desvío de los fondos, y concluye que en las resoluciones combatidas existe una descripción suficiente de las conductas que se han atribuido al recurrente que permite una adecuada subsunción en los tipos penales por los que ha sido condenado, por lo que no puede apreciarse la vulneración del principio de legalidad penal invocado, al no haberse realizado una interpretación judicial de la norma irrazonable ni extensiva </w:t>
      </w:r>
      <w:r w:rsidRPr="003754FE">
        <w:rPr>
          <w:i/>
        </w:rPr>
        <w:t>in malam partem</w:t>
      </w:r>
      <w:r>
        <w:t xml:space="preserve"> que implique imprevisibilidad para el destinatario de la norma penal de manera que le impidiera acomodar su conducta a la ley, ni tampoco existe una creación judicial del tipo penal, a tenor de la motivación contenida en ambas resoluciones, en las que se justifica adecuadamente la subsunción realizada.</w:t>
      </w:r>
    </w:p>
    <w:p w14:paraId="25FCD7BD" w14:textId="77777777" w:rsidR="003754FE" w:rsidRDefault="003754FE" w:rsidP="003754FE">
      <w:pPr>
        <w:pStyle w:val="TextoNormal"/>
      </w:pPr>
    </w:p>
    <w:p w14:paraId="74321581" w14:textId="77777777" w:rsidR="003754FE" w:rsidRDefault="003754FE" w:rsidP="003754FE">
      <w:pPr>
        <w:pStyle w:val="TextoNormal"/>
      </w:pPr>
      <w:r>
        <w:t>En relación con la vulneración del derecho a la presunción de inocencia (art. 24.2 CE) por no existir un acervo probatorio suficiente para sustentar la declaración de culpabilidad por el delito de malversación de caudales públicos, la fiscal, tras hacer una síntesis de las alegaciones del demandante y citar doctrina constitucional sobre el citado derecho (STC 184/2021, de 28 de octubre, FJ 9) rebate la alegación de que la condena por malversación se funda únicamente en el conocimiento que el recurrente tuvo del informe adicional al informe de cumplimiento del ejercicio 2003 emitido por la Intervención del control financiero permanente del IFA/IDEA.</w:t>
      </w:r>
    </w:p>
    <w:p w14:paraId="214E46CA" w14:textId="77777777" w:rsidR="003754FE" w:rsidRDefault="003754FE" w:rsidP="003754FE">
      <w:pPr>
        <w:pStyle w:val="TextoNormal"/>
      </w:pPr>
    </w:p>
    <w:p w14:paraId="0AA13ED8" w14:textId="77777777" w:rsidR="003754FE" w:rsidRDefault="003754FE" w:rsidP="003754FE">
      <w:pPr>
        <w:pStyle w:val="TextoNormal"/>
      </w:pPr>
      <w:r>
        <w:t>En este sentido, señala que la sentencia de la Audiencia Provincial, en su fundamento de Derecho 31, hace referencia a una pluralidad de elementos incriminatorios, entre ellos: el cargo desempeñado por el acusado, director general de la agencia IFA/IDEA, en el periodo comprendido entre el 17 de junio de 2004 y el 14 de mayo de 2008, y las competencias que le correspondían, conforme a la normativa vigente; que en el desempeño de ese cargo firmó más de cuarenta convenios de ayudas sociolaborales y a empresas con la Dirección General de Trabajo y Seguridad Social; que fue responsable de formular las cuentas anuales en las que se recogía el modo en que la agencia contabilizaba presupuestariamente las transferencias de financiación, continuando con el sistema utilizado antes de su llegada, así como los pagos derivados de los convenios particulares, que se hacían constar como “otros gastos de explotación”, esto es, gastos ficticios, cuentas que eran firmadas, bien por el coacusado señor Vallejo Serrano, como consejero de Innovación, bien por el propio demandante; el conocimiento que tenía de los informes de auditoría externa en los que se destacaba la incertidumbre sobre las cantidades que se mantenían en descubierto, al superar los compromisos asumidos en virtud de los convenios a las cantidades efectivamente recibidas por la agencia IFA/IDEA, vía transferencias de financiación, problema que fue expuesto en la sesión del consejo rector de 22 de julio de 2004, y que este déficit se mantuvo en años sucesivos, tal y como se reconoce por el propio actor en la carta remitida al entonces director general de Trabajo, don Francisco Javier Guerrero, de 19 de abril de 2007, exigiendo que se pusiera solución a este problema.</w:t>
      </w:r>
    </w:p>
    <w:p w14:paraId="4EC1043E" w14:textId="77777777" w:rsidR="003754FE" w:rsidRDefault="003754FE" w:rsidP="003754FE">
      <w:pPr>
        <w:pStyle w:val="TextoNormal"/>
      </w:pPr>
    </w:p>
    <w:p w14:paraId="4228CDA7" w14:textId="77777777" w:rsidR="003754FE" w:rsidRDefault="003754FE" w:rsidP="003754FE">
      <w:pPr>
        <w:pStyle w:val="TextoNormal"/>
      </w:pPr>
      <w:r>
        <w:t xml:space="preserve">En cuanto a la prueba del elemento volitivo del delito de malversación de caudales públicos, la fiscal apunta que en la sentencia de la Audiencia Provincial se dice que desde que le fue notificado el informe de cumplimiento del ejercicio 2003 conoció y consintió la </w:t>
      </w:r>
      <w:r>
        <w:lastRenderedPageBreak/>
        <w:t>utilización indebida de la agencia como entidad colaboradora y que, a pesar de tomar conocimiento de cómo se estaban concediendo las ayudas en la Dirección General de Trabajo (no se aporta informe o memoria acreditativa de la finalidad pública o razones de interés social o económico; no se determina el plazo y forma de justificación por el beneficiario del cumplimiento de la finalidad para la que se concede la ayuda; se ha omitido la fiscalización previa, concluyendo que se ha prescindido de forma total y absoluta del procedimiento administrativo establecido), de la indebida presupuestación de las transferencias de financiación y de la indebida utilización del IFA como entidad colaboradora, continuó con la firma de los convenios. También se considera acreditado con base en la prueba documental que el acusado fue conocedor de los posteriores informes de control financiero permanente de IDEA, conocimiento que también se desprende de su asistencia a las reuniones del consejo rector a partir de la sesión celebrada el día 28 de junio de 2004, hasta su cese en 2008. De todo ello deduce el tribunal de instancia que “el acusado era plenamente consciente de la palmaria ilegalidad de los actos en los que participó, relatados en los hechos probados. Asumiendo la eventualidad de que los fondos vinculados al programa 31L fueran objeto de disposición con fines ajenos al fin público al que estaban destinados”.</w:t>
      </w:r>
    </w:p>
    <w:p w14:paraId="1B98C0FF" w14:textId="77777777" w:rsidR="003754FE" w:rsidRDefault="003754FE" w:rsidP="003754FE">
      <w:pPr>
        <w:pStyle w:val="TextoNormal"/>
      </w:pPr>
    </w:p>
    <w:p w14:paraId="03001EB5" w14:textId="77777777" w:rsidR="003754FE" w:rsidRDefault="003754FE" w:rsidP="003754FE">
      <w:pPr>
        <w:pStyle w:val="TextoNormal"/>
      </w:pPr>
      <w:r>
        <w:t>La fiscal considera asimismo que la sentencia de la Audiencia Provincial dio contestación expresa a las alegaciones de descargo presentadas por la defensa del recurrente sobre la supuesta carencia de conciencia de antijuridicidad y error, en la creencia de estar obrando lícitamente, y sobre el carácter no esencial de su participación en los hechos, destacando que hubiera bastado con que se hubiera negado a firmar los convenios particulares para que no se hubiera realizado el delito.</w:t>
      </w:r>
    </w:p>
    <w:p w14:paraId="32625D89" w14:textId="77777777" w:rsidR="003754FE" w:rsidRDefault="003754FE" w:rsidP="003754FE">
      <w:pPr>
        <w:pStyle w:val="TextoNormal"/>
      </w:pPr>
    </w:p>
    <w:p w14:paraId="2A78A8A5" w14:textId="77777777" w:rsidR="003754FE" w:rsidRDefault="003754FE" w:rsidP="003754FE">
      <w:pPr>
        <w:pStyle w:val="TextoNormal"/>
      </w:pPr>
      <w:r>
        <w:t>La fiscal reproduce asimismo los argumentos empleados en la sentencia de casación para confirmar la validez de la condena por el delito de malversación de caudales públicos, en virtud de los cuales el actor no fue condenado solo por haber tenido conocimiento del informe adicional de cumplimiento del IFA correspondiente al ejercicio 2003, sino que se estimó acreditado el conocimiento que tenía de la ilegalidad del sistema de concesión de ayudas objeto del presente procedimiento en virtud de múltiple prueba distinta de aquel informe, que la sentencia de casación enumera sintéticamente, añadiendo que, pese a tal conocimiento, firmó un total de cuarenta convenios particulares, en virtud de los cuales se comprometió el pago de diversas cantidades en concepto de ayudas y subvenciones con cargo a los fondos transferidos a la partida 440 del programa 31L.</w:t>
      </w:r>
    </w:p>
    <w:p w14:paraId="50C8D4EE" w14:textId="77777777" w:rsidR="003754FE" w:rsidRDefault="003754FE" w:rsidP="003754FE">
      <w:pPr>
        <w:pStyle w:val="TextoNormal"/>
      </w:pPr>
    </w:p>
    <w:p w14:paraId="6CF44D92" w14:textId="77777777" w:rsidR="003754FE" w:rsidRDefault="003754FE" w:rsidP="003754FE">
      <w:pPr>
        <w:pStyle w:val="TextoNormal"/>
      </w:pPr>
      <w:r>
        <w:t xml:space="preserve">A la vista de lo expuesto, la fiscal concluye que “[a] este motivo hay que responder que, tal y como se puede apreciar del contenido de ambas, ni en la sentencia de la Audiencia Provincial ni en la dictada por el Tribunal Supremo se hace depender la acreditación del elemento subjetivo del injusto del delito de malversación exclusivamente del conocimiento del contenido de dicho informe. La conclusión a la que llega el tribunal parte de la valoración efectuada de manera conjunta con otros elementos de prueba, omitidos por el recurrente en el desarrollo del motivo de su demanda, como son el conocimiento de los informes de cumplimiento formulados por la Intervención en años sucesivos, de su participación en las sesiones del consejo rector donde se trataban las cuestiones sobre el abono de las subvenciones, y la carta que dirigió al director general de Trabajo y Seguridad Social poniendo de manifiesto las situaciones de descubierto por falta de traspaso de fondos suficientes para efectuar los pagos comprometidos mediante la firma de los convenios particulares. De todo ello los órganos jurisdiccionales, realizando la valoración de la prueba en el ejercicio de la </w:t>
      </w:r>
      <w:r>
        <w:lastRenderedPageBreak/>
        <w:t>función que les corresponde en exclusiva, concluyen que el demandante de amparo, pese a ser conocedor de las ilegalidades cometidas durante los distintos ejercicios, continuó con el sistema establecido y firmó los convenios particulares por los que se consumaba la disposición de los fondos. En consecuencia, se considera que hay prueba de cargo suficiente para fundamentar el fallo condenatorio”.</w:t>
      </w:r>
    </w:p>
    <w:p w14:paraId="7AFA65EE" w14:textId="77777777" w:rsidR="003754FE" w:rsidRDefault="003754FE" w:rsidP="003754FE">
      <w:pPr>
        <w:pStyle w:val="TextoNormal"/>
      </w:pPr>
    </w:p>
    <w:p w14:paraId="2330AC1D" w14:textId="49641F1D" w:rsidR="003754FE" w:rsidRDefault="003754FE" w:rsidP="003754FE">
      <w:pPr>
        <w:pStyle w:val="TextoNormal"/>
      </w:pPr>
      <w:r>
        <w:t>En consecuencia, “no cabe considerar irracional o ilógica la conclusión alcanzada para dictar la condena del recurrente, cada uno de los acusados ostentaba sus respectivas responsabilidades y efectuó conductas diferentes en distintos periodos de tiempo, de lo que se deduce que la valoración concretamente efectuada por el tribunal respecto del acusado es posible y se ajusta a las reglas de la lógica, y no puede tacharse de arbitraria o irrazonable, por lo que la consideración de otras interpretaciones como la sustentada por el recurrente, queda fuera del control que corresponde efectuar al Tribunal”.</w:t>
      </w:r>
    </w:p>
    <w:p w14:paraId="2A87A710" w14:textId="77777777" w:rsidR="003754FE" w:rsidRDefault="003754FE" w:rsidP="003754FE">
      <w:pPr>
        <w:pStyle w:val="TextoNormal"/>
      </w:pPr>
    </w:p>
    <w:p w14:paraId="56979D2F" w14:textId="1175FB67" w:rsidR="003754FE" w:rsidRDefault="003754FE" w:rsidP="003754FE">
      <w:pPr>
        <w:pStyle w:val="TextoNormal"/>
      </w:pPr>
      <w:r w:rsidRPr="003754FE">
        <w:rPr>
          <w:rStyle w:val="NumeroAFNegritaCaracter"/>
        </w:rPr>
        <w:t>7</w:t>
      </w:r>
      <w:r>
        <w:t>. Por providencia de 2 de julio de 2024 se señaló ese mismo día para la deliberación y votación de la presente sentencia.</w:t>
      </w:r>
    </w:p>
    <w:p w14:paraId="392A8FEC" w14:textId="77777777" w:rsidR="003754FE" w:rsidRDefault="003754FE" w:rsidP="003754FE">
      <w:pPr>
        <w:pStyle w:val="TextoNormal"/>
      </w:pPr>
    </w:p>
    <w:p w14:paraId="521AD01A" w14:textId="77777777" w:rsidR="003754FE" w:rsidRDefault="003754FE" w:rsidP="003754FE">
      <w:pPr>
        <w:pStyle w:val="TextoNormalNegritaCentrado"/>
        <w:keepNext/>
      </w:pPr>
      <w:r>
        <w:t>II. Fundamentos jurídicos</w:t>
      </w:r>
    </w:p>
    <w:p w14:paraId="1FAEFF07" w14:textId="177A83B1" w:rsidR="003754FE" w:rsidRDefault="003754FE" w:rsidP="003754FE">
      <w:pPr>
        <w:pStyle w:val="TextoNormalNegritaCentrado"/>
        <w:keepNext/>
      </w:pPr>
    </w:p>
    <w:p w14:paraId="31BB5A4A" w14:textId="77777777" w:rsidR="003754FE" w:rsidRDefault="003754FE" w:rsidP="003754FE">
      <w:pPr>
        <w:pStyle w:val="TextoNormal"/>
      </w:pPr>
      <w:r w:rsidRPr="003754FE">
        <w:rPr>
          <w:rStyle w:val="NumeroAFNegritaCaracter"/>
        </w:rPr>
        <w:t>1</w:t>
      </w:r>
      <w:r>
        <w:t xml:space="preserve">. </w:t>
      </w:r>
      <w:r w:rsidRPr="003754FE">
        <w:rPr>
          <w:i/>
        </w:rPr>
        <w:t>Objeto del recurso, posiciones de las partes y orden de análisis de las quejas</w:t>
      </w:r>
    </w:p>
    <w:p w14:paraId="03FAE566" w14:textId="77777777" w:rsidR="003754FE" w:rsidRDefault="003754FE" w:rsidP="003754FE">
      <w:pPr>
        <w:pStyle w:val="TextoNormal"/>
      </w:pPr>
    </w:p>
    <w:p w14:paraId="542F7025" w14:textId="77777777" w:rsidR="003754FE" w:rsidRDefault="003754FE" w:rsidP="003754FE">
      <w:pPr>
        <w:pStyle w:val="TextoNormal"/>
      </w:pPr>
      <w:r>
        <w:t xml:space="preserve">1.1. </w:t>
      </w:r>
      <w:r w:rsidRPr="003754FE">
        <w:rPr>
          <w:i/>
        </w:rPr>
        <w:t>Objeto del recurso y posiciones de las partes</w:t>
      </w:r>
    </w:p>
    <w:p w14:paraId="59770B0D" w14:textId="77777777" w:rsidR="003754FE" w:rsidRDefault="003754FE" w:rsidP="003754FE">
      <w:pPr>
        <w:pStyle w:val="TextoNormal"/>
      </w:pPr>
    </w:p>
    <w:p w14:paraId="019340AA" w14:textId="77777777" w:rsidR="003754FE" w:rsidRDefault="003754FE" w:rsidP="003754FE">
      <w:pPr>
        <w:pStyle w:val="TextoNormal"/>
      </w:pPr>
      <w:r>
        <w:t>El presente recurso de amparo se dirige contra las siguientes resoluciones: (i) la sentencia núm. 490/2019, de 19 de noviembre, dictada por la Sección Primera de la Audiencia Provincial de Sevilla en el rollo núm. 1965-2017, dimanante del procedimiento abreviado núm. 133-2016, que le condenó como autor de un delito continuado de prevaricación administrativa del art. 404 CP, en concurso medial con un delito continuado de malversación de caudales públicos del art. 432 CP, a las penas de seis años, seis meses, y un día de prisión, inhabilitación especial para el derecho de sufragio pasivo durante el tiempo de la condena e inhabilitación absoluta por un tiempo de diecisiete años y un día; (ii) la sentencia de la Sala de lo Penal del Tribunal Supremo núm. 749/2022, de 13 de septiembre, que desestima el recurso de casación formulado por el demandante frente a la anterior resolución (recurso de casación núm. 601-2020), y (iii) el auto de 16 de febrero de 2023 que inadmite el incidente de nulidad de actuaciones interpuesto frente a la citada sentencia desestimatoria.</w:t>
      </w:r>
    </w:p>
    <w:p w14:paraId="574873E8" w14:textId="77777777" w:rsidR="003754FE" w:rsidRDefault="003754FE" w:rsidP="003754FE">
      <w:pPr>
        <w:pStyle w:val="TextoNormal"/>
      </w:pPr>
    </w:p>
    <w:p w14:paraId="726AE744" w14:textId="77777777" w:rsidR="003754FE" w:rsidRDefault="003754FE" w:rsidP="003754FE">
      <w:pPr>
        <w:pStyle w:val="TextoNormal"/>
      </w:pPr>
      <w:r>
        <w:t xml:space="preserve">El recurrente alega en su escrito de demanda las siguientes vulneraciones de derechos fundamentales: (i) del derecho a la presunción de inocencia (art. 24.2 CE) como regla de tratamiento en conexión con el derecho al honor (art. 18.1 CE) como consecuencia de la publicación del fallo de la sentencia de casación antes de que le fuera notificada al demandante el 14 de septiembre de 2022; (ii) de los derechos a un proceso con todas las garantías, a la presunción de inocencia y a la tutela judicial efectiva (art. 24.1 y 2 CE) porque en la sentencia de casación se han incluido datos fácticos que no aparecen en el relato de hechos probados de la sentencia de primera instancia para apreciar un dolo directo de malversar que no se desprende de aquel; (iii) del principio de legalidad penal (art. 25.1 CE) porque los hechos probados no son subsumibles ni en el delito de prevaricación administrativa del art. 404 CP ni en el delito de malversación de caudales públicos del art. 432 CP, y (iv) del </w:t>
      </w:r>
      <w:r>
        <w:lastRenderedPageBreak/>
        <w:t>derecho a la presunción de inocencia (art. 24.2 CE) porque no existe un acervo probatorio concluyente para declararle culpable del delito de malversación, de modo que la condena se basaría en una valoración irracional, ilógica y arbitraria de la prueba.</w:t>
      </w:r>
    </w:p>
    <w:p w14:paraId="7EF447ED" w14:textId="77777777" w:rsidR="003754FE" w:rsidRDefault="003754FE" w:rsidP="003754FE">
      <w:pPr>
        <w:pStyle w:val="TextoNormal"/>
      </w:pPr>
    </w:p>
    <w:p w14:paraId="3C1ED56F" w14:textId="77777777" w:rsidR="003754FE" w:rsidRDefault="003754FE" w:rsidP="003754FE">
      <w:pPr>
        <w:pStyle w:val="TextoNormal"/>
      </w:pPr>
      <w:r>
        <w:t>La representación procesal del Partido Popular ha interesado la desestimación íntegra del amparo, con los argumentos que han sido sintetizados en el antecedente 5 d).</w:t>
      </w:r>
    </w:p>
    <w:p w14:paraId="376B08A5" w14:textId="77777777" w:rsidR="003754FE" w:rsidRDefault="003754FE" w:rsidP="003754FE">
      <w:pPr>
        <w:pStyle w:val="TextoNormal"/>
      </w:pPr>
    </w:p>
    <w:p w14:paraId="3261193D" w14:textId="77777777" w:rsidR="003754FE" w:rsidRDefault="003754FE" w:rsidP="003754FE">
      <w:pPr>
        <w:pStyle w:val="TextoNormal"/>
      </w:pPr>
      <w:r>
        <w:t>Las representaciones procesales de don Francisco Vallejo Serrano, don Jesús María Rodríguez Román, don Antonio Vicente Lozano Peña, don José Antonio Griñán Martínez y doña Carmen Martínez Aguayo, se han adherido al recurso de amparo e interesado su estimación, algunas de ellas con argumentos convergentes con el mismo, que han sido sintetizados en el antecedente 5 k), l), m) y n).</w:t>
      </w:r>
    </w:p>
    <w:p w14:paraId="19F6FE1B" w14:textId="77777777" w:rsidR="003754FE" w:rsidRDefault="003754FE" w:rsidP="003754FE">
      <w:pPr>
        <w:pStyle w:val="TextoNormal"/>
      </w:pPr>
    </w:p>
    <w:p w14:paraId="30577C34" w14:textId="77777777" w:rsidR="003754FE" w:rsidRDefault="003754FE" w:rsidP="003754FE">
      <w:pPr>
        <w:pStyle w:val="TextoNormal"/>
      </w:pPr>
      <w:r>
        <w:t>Por su parte, el Ministerio Fiscal ha interesado en su escrito de alegaciones la desestimación íntegra de la demanda de amparo con los argumentos que han sido sintetizados en el antecedente 6.</w:t>
      </w:r>
    </w:p>
    <w:p w14:paraId="0C9F5CC3" w14:textId="77777777" w:rsidR="003754FE" w:rsidRDefault="003754FE" w:rsidP="003754FE">
      <w:pPr>
        <w:pStyle w:val="TextoNormal"/>
      </w:pPr>
    </w:p>
    <w:p w14:paraId="673303EA" w14:textId="77777777" w:rsidR="003754FE" w:rsidRDefault="003754FE" w:rsidP="003754FE">
      <w:pPr>
        <w:pStyle w:val="TextoNormal"/>
      </w:pPr>
      <w:r>
        <w:t xml:space="preserve">1.2. </w:t>
      </w:r>
      <w:r w:rsidRPr="003754FE">
        <w:rPr>
          <w:i/>
        </w:rPr>
        <w:t>Orden de análisis de las quejas</w:t>
      </w:r>
    </w:p>
    <w:p w14:paraId="07A97B95" w14:textId="77777777" w:rsidR="003754FE" w:rsidRDefault="003754FE" w:rsidP="003754FE">
      <w:pPr>
        <w:pStyle w:val="TextoNormal"/>
      </w:pPr>
    </w:p>
    <w:p w14:paraId="5AF13FD7" w14:textId="0E39C320" w:rsidR="003754FE" w:rsidRDefault="003754FE" w:rsidP="003754FE">
      <w:pPr>
        <w:pStyle w:val="TextoNormal"/>
      </w:pPr>
      <w:r>
        <w:t>Se considera procedente, por razones de ordenación sistemática de las materias a tratar, examinar en primer lugar la queja relativa a la vulneración del derecho a la legalidad penal (tercer motivo de amparo) y a continuación la relativa a la vulneración del derecho a la presunción de inocencia (cuarto motivo de amparo) para, seguidamente, examinar las vulneraciones acaecidas en el grado de casación (motivos primero y segundo de amparo) cuyo análisis puede verse condicionado por la respuesta que reciban las anteriores.</w:t>
      </w:r>
    </w:p>
    <w:p w14:paraId="58296303" w14:textId="77777777" w:rsidR="003754FE" w:rsidRDefault="003754FE" w:rsidP="003754FE">
      <w:pPr>
        <w:pStyle w:val="TextoNormal"/>
      </w:pPr>
    </w:p>
    <w:p w14:paraId="7C9259F9" w14:textId="77777777" w:rsidR="003754FE" w:rsidRDefault="003754FE" w:rsidP="003754FE">
      <w:pPr>
        <w:pStyle w:val="TextoNormal"/>
      </w:pPr>
      <w:r w:rsidRPr="003754FE">
        <w:rPr>
          <w:rStyle w:val="NumeroAFNegritaCaracter"/>
        </w:rPr>
        <w:t>2</w:t>
      </w:r>
      <w:r>
        <w:t xml:space="preserve">. . </w:t>
      </w:r>
      <w:r w:rsidRPr="003754FE">
        <w:rPr>
          <w:i/>
        </w:rPr>
        <w:t>Breve delimitación fáctica y jurídica del proceso “ERE” y de la condena del demandante de amparo</w:t>
      </w:r>
    </w:p>
    <w:p w14:paraId="3606D4D9" w14:textId="77777777" w:rsidR="003754FE" w:rsidRDefault="003754FE" w:rsidP="003754FE">
      <w:pPr>
        <w:pStyle w:val="TextoNormal"/>
      </w:pPr>
    </w:p>
    <w:p w14:paraId="087D329D" w14:textId="77777777" w:rsidR="003754FE" w:rsidRDefault="003754FE" w:rsidP="003754FE">
      <w:pPr>
        <w:pStyle w:val="TextoNormal"/>
      </w:pPr>
      <w:r>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w:t>
      </w:r>
      <w:r w:rsidRPr="003754FE">
        <w:rPr>
          <w:i/>
        </w:rPr>
        <w:t>a quo</w:t>
      </w:r>
      <w:r>
        <w:t xml:space="preserve">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 la demandante de amparo.</w:t>
      </w:r>
    </w:p>
    <w:p w14:paraId="403DEEB1" w14:textId="77777777" w:rsidR="003754FE" w:rsidRDefault="003754FE" w:rsidP="003754FE">
      <w:pPr>
        <w:pStyle w:val="TextoNormal"/>
      </w:pPr>
    </w:p>
    <w:p w14:paraId="098910B0" w14:textId="77777777" w:rsidR="003754FE" w:rsidRDefault="003754FE" w:rsidP="003754FE">
      <w:pPr>
        <w:pStyle w:val="TextoNormal"/>
      </w:pPr>
      <w:r>
        <w:t xml:space="preserve">2.1. </w:t>
      </w:r>
      <w:r w:rsidRPr="003754FE">
        <w:rPr>
          <w:i/>
        </w:rPr>
        <w:t>Sucinta exposición general de los hechos del proceso “ERE”</w:t>
      </w:r>
    </w:p>
    <w:p w14:paraId="63A7DE81" w14:textId="77777777" w:rsidR="003754FE" w:rsidRDefault="003754FE" w:rsidP="003754FE">
      <w:pPr>
        <w:pStyle w:val="TextoNormal"/>
      </w:pPr>
    </w:p>
    <w:p w14:paraId="529BECBC" w14:textId="77777777" w:rsidR="003754FE" w:rsidRDefault="003754FE" w:rsidP="003754FE">
      <w:pPr>
        <w:pStyle w:val="TextoNormal"/>
      </w:pPr>
      <w:r>
        <w:lastRenderedPageBreak/>
        <w:t>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14:paraId="1CD63247" w14:textId="77777777" w:rsidR="003754FE" w:rsidRDefault="003754FE" w:rsidP="003754FE">
      <w:pPr>
        <w:pStyle w:val="TextoNormal"/>
      </w:pPr>
    </w:p>
    <w:p w14:paraId="19982B44" w14:textId="77777777" w:rsidR="003754FE" w:rsidRDefault="003754FE" w:rsidP="003754FE">
      <w:pPr>
        <w:pStyle w:val="TextoNormal"/>
      </w:pPr>
      <w:r>
        <w:t>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14:paraId="61A85D03" w14:textId="77777777" w:rsidR="003754FE" w:rsidRDefault="003754FE" w:rsidP="003754FE">
      <w:pPr>
        <w:pStyle w:val="TextoNormal"/>
      </w:pPr>
    </w:p>
    <w:p w14:paraId="3B018D42" w14:textId="77777777" w:rsidR="003754FE" w:rsidRDefault="003754FE" w:rsidP="003754FE">
      <w:pPr>
        <w:pStyle w:val="TextoNormal"/>
      </w:pPr>
      <w:r>
        <w:t>En la tramitación de sendos expedientes sobre estas ayudas, el interventor delegado de la Consejería de Empleo y Desarrollo Tecnológico formuló reparos en el informe de fiscalización que, si bien no llegaron a impedir su concesión, la dificultaron y retrasaron.</w:t>
      </w:r>
    </w:p>
    <w:p w14:paraId="7D6BF180" w14:textId="77777777" w:rsidR="003754FE" w:rsidRDefault="003754FE" w:rsidP="003754FE">
      <w:pPr>
        <w:pStyle w:val="TextoNormal"/>
      </w:pPr>
    </w:p>
    <w:p w14:paraId="658C84BF" w14:textId="77777777" w:rsidR="003754FE" w:rsidRDefault="003754FE" w:rsidP="003754FE">
      <w:pPr>
        <w:pStyle w:val="TextoNormal"/>
      </w:pPr>
      <w:r>
        <w:t>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14:paraId="16B03290" w14:textId="77777777" w:rsidR="003754FE" w:rsidRDefault="003754FE" w:rsidP="003754FE">
      <w:pPr>
        <w:pStyle w:val="TextoNormal"/>
      </w:pPr>
    </w:p>
    <w:p w14:paraId="0E3CEA3E" w14:textId="77777777" w:rsidR="003754FE" w:rsidRDefault="003754FE" w:rsidP="003754FE">
      <w:pPr>
        <w:pStyle w:val="TextoNormal"/>
      </w:pPr>
      <w:r>
        <w:t xml:space="preserve">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w:t>
      </w:r>
      <w:r>
        <w:lastRenderedPageBreak/>
        <w:t>capital. Las transferencias de financiación tenían como objeto equilibrar la cuenta de pérdidas y ganancias del IFA.</w:t>
      </w:r>
    </w:p>
    <w:p w14:paraId="737BE459" w14:textId="77777777" w:rsidR="003754FE" w:rsidRDefault="003754FE" w:rsidP="003754FE">
      <w:pPr>
        <w:pStyle w:val="TextoNormal"/>
      </w:pPr>
    </w:p>
    <w:p w14:paraId="102DC233" w14:textId="77777777" w:rsidR="003754FE" w:rsidRDefault="003754FE" w:rsidP="003754FE">
      <w:pPr>
        <w:pStyle w:val="TextoNormal"/>
      </w:pPr>
      <w:r>
        <w:t>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14:paraId="306BE4C1" w14:textId="77777777" w:rsidR="003754FE" w:rsidRDefault="003754FE" w:rsidP="003754FE">
      <w:pPr>
        <w:pStyle w:val="TextoNormal"/>
      </w:pPr>
    </w:p>
    <w:p w14:paraId="5C9598EE" w14:textId="77777777" w:rsidR="003754FE" w:rsidRDefault="003754FE" w:rsidP="003754FE">
      <w:pPr>
        <w:pStyle w:val="TextoNormal"/>
      </w:pPr>
      <w:r>
        <w:t>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dar cuenta inmediata a la Dirección General de Trabajo y Seguridad Social de los pagos efectuados a las empresas u otros entes públicos o privados.</w:t>
      </w:r>
    </w:p>
    <w:p w14:paraId="3B4FD862" w14:textId="77777777" w:rsidR="003754FE" w:rsidRDefault="003754FE" w:rsidP="003754FE">
      <w:pPr>
        <w:pStyle w:val="TextoNormal"/>
      </w:pPr>
    </w:p>
    <w:p w14:paraId="1103B6B8" w14:textId="77777777" w:rsidR="003754FE" w:rsidRDefault="003754FE" w:rsidP="003754FE">
      <w:pPr>
        <w:pStyle w:val="TextoNormal"/>
      </w:pPr>
      <w:r>
        <w:t>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14:paraId="54E260EB" w14:textId="77777777" w:rsidR="003754FE" w:rsidRDefault="003754FE" w:rsidP="003754FE">
      <w:pPr>
        <w:pStyle w:val="TextoNormal"/>
      </w:pPr>
    </w:p>
    <w:p w14:paraId="5306A0D4" w14:textId="77777777" w:rsidR="003754FE" w:rsidRDefault="003754FE" w:rsidP="003754FE">
      <w:pPr>
        <w:pStyle w:val="TextoNormal"/>
      </w:pPr>
      <w:r>
        <w:t>Tras la firma del convenio marco,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14:paraId="0F051F68" w14:textId="77777777" w:rsidR="003754FE" w:rsidRDefault="003754FE" w:rsidP="003754FE">
      <w:pPr>
        <w:pStyle w:val="TextoNormal"/>
      </w:pPr>
    </w:p>
    <w:p w14:paraId="051BA760" w14:textId="77777777" w:rsidR="003754FE" w:rsidRDefault="003754FE" w:rsidP="003754FE">
      <w:pPr>
        <w:pStyle w:val="TextoNormal"/>
      </w:pPr>
      <w:r>
        <w:lastRenderedPageBreak/>
        <w:t>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pasó a denominarse Agencia de Innovación y Desarrollo de Andalucía (IDEA), adscrita a la Consejería de Innovación, Ciencia y Empresa— se destinaban a pagar lo ordenado por la Consejería conforme a lo previsto en el convenio marco.</w:t>
      </w:r>
    </w:p>
    <w:p w14:paraId="7F19ACA8" w14:textId="77777777" w:rsidR="003754FE" w:rsidRDefault="003754FE" w:rsidP="003754FE">
      <w:pPr>
        <w:pStyle w:val="TextoNormal"/>
      </w:pPr>
    </w:p>
    <w:p w14:paraId="39B0DA27" w14:textId="77777777" w:rsidR="003754FE" w:rsidRDefault="003754FE" w:rsidP="003754FE">
      <w:pPr>
        <w:pStyle w:val="TextoNormal"/>
      </w:pPr>
      <w:r>
        <w:t>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 a196):</w:t>
      </w:r>
    </w:p>
    <w:p w14:paraId="385EE5ED" w14:textId="77777777" w:rsidR="003754FE" w:rsidRDefault="003754FE" w:rsidP="003754FE">
      <w:pPr>
        <w:pStyle w:val="TextoNormal"/>
      </w:pPr>
    </w:p>
    <w:p w14:paraId="3D69399D" w14:textId="77777777" w:rsidR="003754FE" w:rsidRDefault="003754FE" w:rsidP="003754FE">
      <w:pPr>
        <w:pStyle w:val="TextoNormal"/>
      </w:pPr>
      <w:r>
        <w:t>“9. Conclusiones del análisis de la documentación anexa al proyecto de presupuesto anual de la Junta de Andalucía:</w:t>
      </w:r>
    </w:p>
    <w:p w14:paraId="49DC951E" w14:textId="77777777" w:rsidR="003754FE" w:rsidRDefault="003754FE" w:rsidP="003754FE">
      <w:pPr>
        <w:pStyle w:val="TextoNormal"/>
      </w:pPr>
    </w:p>
    <w:p w14:paraId="07AF4E37" w14:textId="77777777" w:rsidR="003754FE" w:rsidRDefault="003754FE" w:rsidP="003754FE">
      <w:pPr>
        <w:pStyle w:val="TextoNormal"/>
      </w:pPr>
      <w:r>
        <w:t>A) La descripción de los objetivos y actividades contenidos en las fichas del programa 31L, son, como hemos visto, del siguiente tenor:</w:t>
      </w:r>
    </w:p>
    <w:p w14:paraId="334A35BB" w14:textId="77777777" w:rsidR="003754FE" w:rsidRDefault="003754FE" w:rsidP="003754FE">
      <w:pPr>
        <w:pStyle w:val="TextoNormal"/>
      </w:pPr>
    </w:p>
    <w:p w14:paraId="2206AEAD" w14:textId="77777777" w:rsidR="003754FE" w:rsidRDefault="003754FE" w:rsidP="003754FE">
      <w:pPr>
        <w:pStyle w:val="TextoNormal"/>
      </w:pPr>
      <w:r>
        <w:t>• “Transferencias al IFA”.</w:t>
      </w:r>
    </w:p>
    <w:p w14:paraId="2C8D34B4" w14:textId="77777777" w:rsidR="003754FE" w:rsidRDefault="003754FE" w:rsidP="003754FE">
      <w:pPr>
        <w:pStyle w:val="TextoNormal"/>
      </w:pPr>
    </w:p>
    <w:p w14:paraId="66B134A8" w14:textId="77777777" w:rsidR="003754FE" w:rsidRDefault="003754FE" w:rsidP="003754FE">
      <w:pPr>
        <w:pStyle w:val="TextoNormal"/>
      </w:pPr>
      <w:r>
        <w:t>• “Transferencias al AIDA”.</w:t>
      </w:r>
    </w:p>
    <w:p w14:paraId="61A6CDCC" w14:textId="77777777" w:rsidR="003754FE" w:rsidRDefault="003754FE" w:rsidP="003754FE">
      <w:pPr>
        <w:pStyle w:val="TextoNormal"/>
      </w:pPr>
    </w:p>
    <w:p w14:paraId="203EC93D" w14:textId="77777777" w:rsidR="003754FE" w:rsidRDefault="003754FE" w:rsidP="003754FE">
      <w:pPr>
        <w:pStyle w:val="TextoNormal"/>
      </w:pPr>
      <w:r>
        <w:t>• “Mantenimiento empleo y tejido productivo andaluz”.</w:t>
      </w:r>
    </w:p>
    <w:p w14:paraId="5632E268" w14:textId="77777777" w:rsidR="003754FE" w:rsidRDefault="003754FE" w:rsidP="003754FE">
      <w:pPr>
        <w:pStyle w:val="TextoNormal"/>
      </w:pPr>
    </w:p>
    <w:p w14:paraId="0BD9F241" w14:textId="77777777" w:rsidR="003754FE" w:rsidRDefault="003754FE" w:rsidP="003754FE">
      <w:pPr>
        <w:pStyle w:val="TextoNormal"/>
      </w:pPr>
      <w:r>
        <w:t>• “Gestión de subvenciones”.</w:t>
      </w:r>
    </w:p>
    <w:p w14:paraId="0A36997F" w14:textId="77777777" w:rsidR="003754FE" w:rsidRDefault="003754FE" w:rsidP="003754FE">
      <w:pPr>
        <w:pStyle w:val="TextoNormal"/>
      </w:pPr>
    </w:p>
    <w:p w14:paraId="285150EA" w14:textId="77777777" w:rsidR="003754FE" w:rsidRDefault="003754FE" w:rsidP="003754FE">
      <w:pPr>
        <w:pStyle w:val="TextoNormal"/>
      </w:pPr>
      <w:r>
        <w:t>• “Ayudas prejubilaciones y expedientes de regulación de empleo”.</w:t>
      </w:r>
    </w:p>
    <w:p w14:paraId="73C6DBB7" w14:textId="77777777" w:rsidR="003754FE" w:rsidRDefault="003754FE" w:rsidP="003754FE">
      <w:pPr>
        <w:pStyle w:val="TextoNormal"/>
      </w:pPr>
    </w:p>
    <w:p w14:paraId="11F7999F" w14:textId="77777777" w:rsidR="003754FE" w:rsidRDefault="003754FE" w:rsidP="003754FE">
      <w:pPr>
        <w:pStyle w:val="TextoNormal"/>
      </w:pPr>
      <w:r>
        <w:t>• “Suscripción de convenio”.</w:t>
      </w:r>
    </w:p>
    <w:p w14:paraId="72B576D6" w14:textId="77777777" w:rsidR="003754FE" w:rsidRDefault="003754FE" w:rsidP="003754FE">
      <w:pPr>
        <w:pStyle w:val="TextoNormal"/>
      </w:pPr>
    </w:p>
    <w:p w14:paraId="61B2299A" w14:textId="77777777" w:rsidR="003754FE" w:rsidRDefault="003754FE" w:rsidP="003754FE">
      <w:pPr>
        <w:pStyle w:val="TextoNormal"/>
      </w:pPr>
      <w:r>
        <w:t>B) Por lo que se refiere a las memorias de los informes económico financieros, en la descripción de las actividades y objetivos contenidos en las mismas, son, como hemos visto igualmente, del siguiente tenor:</w:t>
      </w:r>
    </w:p>
    <w:p w14:paraId="24F9C7BD" w14:textId="77777777" w:rsidR="003754FE" w:rsidRDefault="003754FE" w:rsidP="003754FE">
      <w:pPr>
        <w:pStyle w:val="TextoNormal"/>
      </w:pPr>
    </w:p>
    <w:p w14:paraId="7CB6D16A" w14:textId="77777777" w:rsidR="003754FE" w:rsidRDefault="003754FE" w:rsidP="003754FE">
      <w:pPr>
        <w:pStyle w:val="TextoNormal"/>
      </w:pPr>
      <w:r>
        <w:t>• Potenciar la interlocución con los agentes sociales y económicos.</w:t>
      </w:r>
    </w:p>
    <w:p w14:paraId="0DF5AE4D" w14:textId="77777777" w:rsidR="003754FE" w:rsidRDefault="003754FE" w:rsidP="003754FE">
      <w:pPr>
        <w:pStyle w:val="TextoNormal"/>
      </w:pPr>
    </w:p>
    <w:p w14:paraId="38CE0C7D" w14:textId="77777777" w:rsidR="003754FE" w:rsidRDefault="003754FE" w:rsidP="003754FE">
      <w:pPr>
        <w:pStyle w:val="TextoNormal"/>
      </w:pPr>
      <w:r>
        <w:t>• Mantener las políticas de ayudas a prejubilaciones en empresas con dificultades.</w:t>
      </w:r>
    </w:p>
    <w:p w14:paraId="51232380" w14:textId="77777777" w:rsidR="003754FE" w:rsidRDefault="003754FE" w:rsidP="003754FE">
      <w:pPr>
        <w:pStyle w:val="TextoNormal"/>
      </w:pPr>
    </w:p>
    <w:p w14:paraId="5CA1DC3A" w14:textId="77777777" w:rsidR="003754FE" w:rsidRDefault="003754FE" w:rsidP="003754FE">
      <w:pPr>
        <w:pStyle w:val="TextoNormal"/>
      </w:pPr>
      <w:r>
        <w:t>•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056A9E84" w14:textId="77777777" w:rsidR="003754FE" w:rsidRDefault="003754FE" w:rsidP="003754FE">
      <w:pPr>
        <w:pStyle w:val="TextoNormal"/>
      </w:pPr>
    </w:p>
    <w:p w14:paraId="20E9F1BF" w14:textId="77777777" w:rsidR="003754FE" w:rsidRDefault="003754FE" w:rsidP="003754FE">
      <w:pPr>
        <w:pStyle w:val="TextoNormal"/>
      </w:pPr>
      <w:r>
        <w:lastRenderedPageBreak/>
        <w:t>• Así mismo y en una cuantía importante instrumenta la materialización de ayudas a empresas con especiales dificultades de mantenimiento del empleo, prejubilaciones y viabilidad económica.</w:t>
      </w:r>
    </w:p>
    <w:p w14:paraId="7E1F5798" w14:textId="77777777" w:rsidR="003754FE" w:rsidRDefault="003754FE" w:rsidP="003754FE">
      <w:pPr>
        <w:pStyle w:val="TextoNormal"/>
      </w:pPr>
    </w:p>
    <w:p w14:paraId="19B076A9" w14:textId="77777777" w:rsidR="003754FE" w:rsidRDefault="003754FE" w:rsidP="003754FE">
      <w:pPr>
        <w:pStyle w:val="TextoNormal"/>
      </w:pPr>
      <w:r>
        <w:t>•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1CF9C93E" w14:textId="77777777" w:rsidR="003754FE" w:rsidRDefault="003754FE" w:rsidP="003754FE">
      <w:pPr>
        <w:pStyle w:val="TextoNormal"/>
      </w:pPr>
    </w:p>
    <w:p w14:paraId="4329794D" w14:textId="77777777" w:rsidR="003754FE" w:rsidRDefault="003754FE" w:rsidP="003754FE">
      <w:pPr>
        <w:pStyle w:val="TextoNormal"/>
      </w:pPr>
      <w:r>
        <w:t>•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14:paraId="31968122" w14:textId="77777777" w:rsidR="003754FE" w:rsidRDefault="003754FE" w:rsidP="003754FE">
      <w:pPr>
        <w:pStyle w:val="TextoNormal"/>
      </w:pPr>
    </w:p>
    <w:p w14:paraId="6FDA1A8F" w14:textId="77777777" w:rsidR="003754FE" w:rsidRDefault="003754FE" w:rsidP="003754FE">
      <w:pPr>
        <w:pStyle w:val="TextoNormal"/>
      </w:pPr>
      <w:r>
        <w:t>• Esta Dirección General instrumenta la materialización de las ayudas a través de un convenio con el IFA y de su dotación anual específica de contribución a pólizas de prejubilaciones.</w:t>
      </w:r>
    </w:p>
    <w:p w14:paraId="50A6A67F" w14:textId="77777777" w:rsidR="003754FE" w:rsidRDefault="003754FE" w:rsidP="003754FE">
      <w:pPr>
        <w:pStyle w:val="TextoNormal"/>
      </w:pPr>
    </w:p>
    <w:p w14:paraId="692B5D9E" w14:textId="77777777" w:rsidR="003754FE" w:rsidRDefault="003754FE" w:rsidP="003754FE">
      <w:pPr>
        <w:pStyle w:val="TextoNormal"/>
      </w:pPr>
      <w:r>
        <w:t>• El centro directivo que lo ejecuta es la Dirección General de Trabajo y Seguridad Social.</w:t>
      </w:r>
    </w:p>
    <w:p w14:paraId="5E19DA52" w14:textId="77777777" w:rsidR="003754FE" w:rsidRDefault="003754FE" w:rsidP="003754FE">
      <w:pPr>
        <w:pStyle w:val="TextoNormal"/>
      </w:pPr>
    </w:p>
    <w:p w14:paraId="730C3B56" w14:textId="77777777" w:rsidR="003754FE" w:rsidRDefault="003754FE" w:rsidP="003754FE">
      <w:pPr>
        <w:pStyle w:val="TextoNormal"/>
      </w:pPr>
      <w:r>
        <w:t>• La previsión es para atender compromisos existentes y no se prevén fondos para nuevas, en su caso, contingencias.</w:t>
      </w:r>
    </w:p>
    <w:p w14:paraId="2B6F3C07" w14:textId="77777777" w:rsidR="003754FE" w:rsidRDefault="003754FE" w:rsidP="003754FE">
      <w:pPr>
        <w:pStyle w:val="TextoNormal"/>
      </w:pPr>
    </w:p>
    <w:p w14:paraId="784B00AF" w14:textId="77777777" w:rsidR="003754FE" w:rsidRDefault="003754FE" w:rsidP="003754FE">
      <w:pPr>
        <w:pStyle w:val="TextoNormal"/>
      </w:pPr>
      <w:r>
        <w:t>• Mantener las políticas de ayudas a prejubilaciones en empresas con dificultades, a través de subvenciones finalistas.</w:t>
      </w:r>
    </w:p>
    <w:p w14:paraId="190BE3C6" w14:textId="77777777" w:rsidR="003754FE" w:rsidRDefault="003754FE" w:rsidP="003754FE">
      <w:pPr>
        <w:pStyle w:val="TextoNormal"/>
      </w:pPr>
    </w:p>
    <w:p w14:paraId="25B87E11" w14:textId="77777777" w:rsidR="003754FE" w:rsidRDefault="003754FE" w:rsidP="003754FE">
      <w:pPr>
        <w:pStyle w:val="TextoNormal"/>
      </w:pPr>
      <w:r>
        <w:t>• Realización de transferencias al Instituto de Fomento de Andalucía en aplicación de concierto de ayudas a empresas en crisis para el mantenimiento del empleo y tejido productivo andaluz.</w:t>
      </w:r>
    </w:p>
    <w:p w14:paraId="0C7C94B5" w14:textId="77777777" w:rsidR="003754FE" w:rsidRDefault="003754FE" w:rsidP="003754FE">
      <w:pPr>
        <w:pStyle w:val="TextoNormal"/>
      </w:pPr>
    </w:p>
    <w:p w14:paraId="167D5264" w14:textId="77777777" w:rsidR="003754FE" w:rsidRDefault="003754FE" w:rsidP="003754FE">
      <w:pPr>
        <w:pStyle w:val="TextoNormal"/>
      </w:pPr>
      <w:r>
        <w:t>• Tramitación de transferencias a empresas mediante ayudas a prejubilaciones mediante subvención de la cuota de seguridad social.</w:t>
      </w:r>
    </w:p>
    <w:p w14:paraId="6DB33387" w14:textId="77777777" w:rsidR="003754FE" w:rsidRDefault="003754FE" w:rsidP="003754FE">
      <w:pPr>
        <w:pStyle w:val="TextoNormal"/>
      </w:pPr>
    </w:p>
    <w:p w14:paraId="45FC922B" w14:textId="77777777" w:rsidR="003754FE" w:rsidRDefault="003754FE" w:rsidP="003754FE">
      <w:pPr>
        <w:pStyle w:val="TextoNormal"/>
      </w:pPr>
      <w:r>
        <w:t>• El programa presupuestario 31L, lo ejecuta la Dirección General de Trabajo y Seguridad Social, centro directivo que tiene atribuida las competencias que corresponden a la consejería en materia de relaciones laborales.</w:t>
      </w:r>
    </w:p>
    <w:p w14:paraId="273EA2D6" w14:textId="77777777" w:rsidR="003754FE" w:rsidRDefault="003754FE" w:rsidP="003754FE">
      <w:pPr>
        <w:pStyle w:val="TextoNormal"/>
      </w:pPr>
    </w:p>
    <w:p w14:paraId="77F42457" w14:textId="77777777" w:rsidR="003754FE" w:rsidRDefault="003754FE" w:rsidP="003754FE">
      <w:pPr>
        <w:pStyle w:val="TextoNormal"/>
      </w:pPr>
      <w:r>
        <w:t>• Atender a las necesidades públicas de mantenimiento del empleo y del tejido productivo andaluz, a través de los acuerdos con la Agencia de Innovación y Desarrollo de Andalucía para la subvención y ayuda de sectores y empresas con dificultades financieras.</w:t>
      </w:r>
    </w:p>
    <w:p w14:paraId="1A49BF3A" w14:textId="77777777" w:rsidR="003754FE" w:rsidRDefault="003754FE" w:rsidP="003754FE">
      <w:pPr>
        <w:pStyle w:val="TextoNormal"/>
      </w:pPr>
    </w:p>
    <w:p w14:paraId="22C88C6F" w14:textId="77777777" w:rsidR="003754FE" w:rsidRDefault="003754FE" w:rsidP="003754FE">
      <w:pPr>
        <w:pStyle w:val="TextoNormal"/>
      </w:pPr>
      <w:r>
        <w:t>• Esta Dirección General instrumenta la materialización de las ayudas a través de un convenio con la Agencia de Innovación y Desarrollo de Andalucía y de su dotación anual específica de contribución a pólizas de prejubilaciones.</w:t>
      </w:r>
    </w:p>
    <w:p w14:paraId="220CB99B" w14:textId="77777777" w:rsidR="003754FE" w:rsidRDefault="003754FE" w:rsidP="003754FE">
      <w:pPr>
        <w:pStyle w:val="TextoNormal"/>
      </w:pPr>
    </w:p>
    <w:p w14:paraId="10E8EE5A" w14:textId="77777777" w:rsidR="003754FE" w:rsidRDefault="003754FE" w:rsidP="003754FE">
      <w:pPr>
        <w:pStyle w:val="TextoNormal"/>
      </w:pPr>
      <w:r>
        <w:lastRenderedPageBreak/>
        <w:t>• Continuar la línea de colaboración con IDEA en aplicación del concierto de ayudas para el mantenimiento del empleo y tejido productivo andaluz en vigor desde el año 2001.</w:t>
      </w:r>
    </w:p>
    <w:p w14:paraId="268C4074" w14:textId="77777777" w:rsidR="003754FE" w:rsidRDefault="003754FE" w:rsidP="003754FE">
      <w:pPr>
        <w:pStyle w:val="TextoNormal"/>
      </w:pPr>
    </w:p>
    <w:p w14:paraId="6CD8562C" w14:textId="77777777" w:rsidR="003754FE" w:rsidRDefault="003754FE" w:rsidP="003754FE">
      <w:pPr>
        <w:pStyle w:val="TextoNormal"/>
      </w:pPr>
      <w:r>
        <w:t>•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14:paraId="315DDE49" w14:textId="77777777" w:rsidR="003754FE" w:rsidRDefault="003754FE" w:rsidP="003754FE">
      <w:pPr>
        <w:pStyle w:val="TextoNormal"/>
      </w:pPr>
    </w:p>
    <w:p w14:paraId="720A75DA" w14:textId="77777777" w:rsidR="003754FE" w:rsidRDefault="003754FE" w:rsidP="003754FE">
      <w:pPr>
        <w:pStyle w:val="TextoNormal"/>
      </w:pPr>
      <w:r>
        <w:t>• Mantenimiento del empleo y tejido productivo andaluz: cobertura de las necesidades comprometidas asumidas por expedientes de regulación de empleo, ayuda prejubilaciones, proyectos de viabilidad de pequeñas, medianas y grandes empresas e impulso a la consolidación económica en aquellas empresas con dificultades de mantenimiento del empleo”.</w:t>
      </w:r>
    </w:p>
    <w:p w14:paraId="4B8D2630" w14:textId="77777777" w:rsidR="003754FE" w:rsidRDefault="003754FE" w:rsidP="003754FE">
      <w:pPr>
        <w:pStyle w:val="TextoNormal"/>
      </w:pPr>
    </w:p>
    <w:p w14:paraId="1652183D" w14:textId="77777777" w:rsidR="003754FE" w:rsidRDefault="003754FE" w:rsidP="003754FE">
      <w:pPr>
        <w:pStyle w:val="TextoNormal"/>
      </w:pPr>
      <w:r>
        <w:t>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14:paraId="3A7BAE44" w14:textId="77777777" w:rsidR="003754FE" w:rsidRDefault="003754FE" w:rsidP="003754FE">
      <w:pPr>
        <w:pStyle w:val="TextoNormal"/>
      </w:pPr>
    </w:p>
    <w:p w14:paraId="1C41837E" w14:textId="77777777" w:rsidR="003754FE" w:rsidRDefault="003754FE" w:rsidP="003754FE">
      <w:pPr>
        <w:pStyle w:val="TextoNormal"/>
      </w:pPr>
      <w:r>
        <w:t>El IFA/IDEA, como consecuencia tanto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14:paraId="6FE2C446" w14:textId="77777777" w:rsidR="003754FE" w:rsidRDefault="003754FE" w:rsidP="003754FE">
      <w:pPr>
        <w:pStyle w:val="TextoNormal"/>
      </w:pPr>
    </w:p>
    <w:p w14:paraId="2A6E71CB" w14:textId="77777777" w:rsidR="003754FE" w:rsidRDefault="003754FE" w:rsidP="003754FE">
      <w:pPr>
        <w:pStyle w:val="TextoNormal"/>
      </w:pPr>
      <w:r>
        <w:t>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14:paraId="0BD8FD39" w14:textId="77777777" w:rsidR="003754FE" w:rsidRDefault="003754FE" w:rsidP="003754FE">
      <w:pPr>
        <w:pStyle w:val="TextoNormal"/>
      </w:pPr>
    </w:p>
    <w:p w14:paraId="24E403B9" w14:textId="77777777" w:rsidR="003754FE" w:rsidRDefault="003754FE" w:rsidP="003754FE">
      <w:pPr>
        <w:pStyle w:val="TextoNormal"/>
      </w:pPr>
      <w:r>
        <w:t>En el ejercicio 2009 se dejaron de suscribir convenios particulares entre la Dirección General de Trabajo y Seguridad Social y el IDEA, dictándose por el director general de Trabajo resoluciones concediendo las ayudas y ordenando su pago al director general de IDEA.</w:t>
      </w:r>
    </w:p>
    <w:p w14:paraId="07F84A40" w14:textId="77777777" w:rsidR="003754FE" w:rsidRDefault="003754FE" w:rsidP="003754FE">
      <w:pPr>
        <w:pStyle w:val="TextoNormal"/>
      </w:pPr>
    </w:p>
    <w:p w14:paraId="3EC68058" w14:textId="77777777" w:rsidR="003754FE" w:rsidRDefault="003754FE" w:rsidP="003754FE">
      <w:pPr>
        <w:pStyle w:val="TextoNormal"/>
      </w:pPr>
      <w:r>
        <w:t>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14:paraId="27B91738" w14:textId="77777777" w:rsidR="003754FE" w:rsidRDefault="003754FE" w:rsidP="003754FE">
      <w:pPr>
        <w:pStyle w:val="TextoNormal"/>
      </w:pPr>
    </w:p>
    <w:p w14:paraId="40072B51" w14:textId="77777777" w:rsidR="003754FE" w:rsidRDefault="003754FE" w:rsidP="003754FE">
      <w:pPr>
        <w:pStyle w:val="TextoNormal"/>
      </w:pPr>
      <w:r>
        <w:t>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y 16 de marzo de 2012, hasta su derogación por el Decreto-ley 4/2012, de 16 de octubre, de la Junta de Andalucía, de medidas extraordinarias y urgentes en materia de protección sociolaboral a extrabajadores y extrabajadoras andaluces afectados por procesos de reestructuración de empresas y sectores en crisis.</w:t>
      </w:r>
    </w:p>
    <w:p w14:paraId="50299694" w14:textId="77777777" w:rsidR="003754FE" w:rsidRDefault="003754FE" w:rsidP="003754FE">
      <w:pPr>
        <w:pStyle w:val="TextoNormal"/>
      </w:pPr>
    </w:p>
    <w:p w14:paraId="5C7FDDE3" w14:textId="77777777" w:rsidR="003754FE" w:rsidRDefault="003754FE" w:rsidP="003754FE">
      <w:pPr>
        <w:pStyle w:val="TextoNormal"/>
      </w:pPr>
      <w:r>
        <w:t>En el citado decreto-ley se estableció que a estas ayudas sociolaborales no les era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14:paraId="5E66560B" w14:textId="77777777" w:rsidR="003754FE" w:rsidRDefault="003754FE" w:rsidP="003754FE">
      <w:pPr>
        <w:pStyle w:val="TextoNormal"/>
      </w:pPr>
    </w:p>
    <w:p w14:paraId="2D7A5334" w14:textId="77777777" w:rsidR="003754FE" w:rsidRDefault="003754FE" w:rsidP="003754FE">
      <w:pPr>
        <w:pStyle w:val="TextoNormal"/>
      </w:pPr>
      <w:r>
        <w:t>e) En resumen, el sistema de otorgamiento de las ayudas sociolaborales y a empresas en crisis hasta el año 2010 fue el siguiente:</w:t>
      </w:r>
    </w:p>
    <w:p w14:paraId="6FAF4081" w14:textId="77777777" w:rsidR="003754FE" w:rsidRDefault="003754FE" w:rsidP="003754FE">
      <w:pPr>
        <w:pStyle w:val="TextoNormal"/>
      </w:pPr>
    </w:p>
    <w:p w14:paraId="7CFB2BAE" w14:textId="77777777" w:rsidR="003754FE" w:rsidRDefault="003754FE" w:rsidP="003754FE">
      <w:pPr>
        <w:pStyle w:val="TextoNormal"/>
      </w:pPr>
      <w:r>
        <w:t>(i) En la década de los años 1990 estas ayudas se tramitaron como subvenciones excepcionales, siendo concedidas y pagadas por la Consejería de Empleo y Desarrollo Tecnológico.</w:t>
      </w:r>
    </w:p>
    <w:p w14:paraId="6784FBBD" w14:textId="77777777" w:rsidR="003754FE" w:rsidRDefault="003754FE" w:rsidP="003754FE">
      <w:pPr>
        <w:pStyle w:val="TextoNormal"/>
      </w:pPr>
    </w:p>
    <w:p w14:paraId="14721D63" w14:textId="77777777" w:rsidR="003754FE" w:rsidRDefault="003754FE" w:rsidP="003754FE">
      <w:pPr>
        <w:pStyle w:val="TextoNormal"/>
      </w:pPr>
      <w:r>
        <w:t>(ii)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14:paraId="7B8D1E2D" w14:textId="77777777" w:rsidR="003754FE" w:rsidRDefault="003754FE" w:rsidP="003754FE">
      <w:pPr>
        <w:pStyle w:val="TextoNormal"/>
      </w:pPr>
    </w:p>
    <w:p w14:paraId="72A0F794" w14:textId="77777777" w:rsidR="003754FE" w:rsidRDefault="003754FE" w:rsidP="003754FE">
      <w:pPr>
        <w:pStyle w:val="TextoNormal"/>
      </w:pPr>
      <w:r>
        <w:t xml:space="preserve">(iii) Al IFA/IDEA se le atribuyeron los fondos para el pago de las ayudas mediante transferencias de financiación. La utilización de estos créditos no estaba sometida a un control previo, sino a un control </w:t>
      </w:r>
      <w:r w:rsidRPr="003754FE">
        <w:rPr>
          <w:i/>
        </w:rPr>
        <w:t>ex post</w:t>
      </w:r>
      <w:r>
        <w:t>: el llamado “control financiero permanente”. Este control se limitaba a (1) comprobar la legalidad del pago; (2) examinar las cuentas anuales; y (3) analizar críticamente los programas asignados al instituto.</w:t>
      </w:r>
    </w:p>
    <w:p w14:paraId="4EE2E9BC" w14:textId="77777777" w:rsidR="003754FE" w:rsidRDefault="003754FE" w:rsidP="003754FE">
      <w:pPr>
        <w:pStyle w:val="TextoNormal"/>
      </w:pPr>
    </w:p>
    <w:p w14:paraId="7D470E0A" w14:textId="77777777" w:rsidR="003754FE" w:rsidRDefault="003754FE" w:rsidP="003754FE">
      <w:pPr>
        <w:pStyle w:val="TextoNormal"/>
      </w:pPr>
      <w:r>
        <w:t>(iv)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14:paraId="594E7137" w14:textId="77777777" w:rsidR="003754FE" w:rsidRDefault="003754FE" w:rsidP="003754FE">
      <w:pPr>
        <w:pStyle w:val="TextoNormal"/>
      </w:pPr>
    </w:p>
    <w:p w14:paraId="1F3672E1" w14:textId="77777777" w:rsidR="003754FE" w:rsidRDefault="003754FE" w:rsidP="003754FE">
      <w:pPr>
        <w:pStyle w:val="TextoNormal"/>
      </w:pPr>
      <w:r>
        <w:t>El seguimiento del referido sistema de otorgamiento de las ayudas sociolaborales y a empresas en crisis hasta el año 2010 permitió, según las resoluciones impugnadas:</w:t>
      </w:r>
    </w:p>
    <w:p w14:paraId="25693ADB" w14:textId="77777777" w:rsidR="003754FE" w:rsidRDefault="003754FE" w:rsidP="003754FE">
      <w:pPr>
        <w:pStyle w:val="TextoNormal"/>
      </w:pPr>
    </w:p>
    <w:p w14:paraId="7068CADE" w14:textId="77777777" w:rsidR="003754FE" w:rsidRDefault="003754FE" w:rsidP="003754FE">
      <w:pPr>
        <w:pStyle w:val="TextoNormal"/>
      </w:pPr>
      <w:r>
        <w:t>(i)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14:paraId="2E0CAFEA" w14:textId="77777777" w:rsidR="003754FE" w:rsidRDefault="003754FE" w:rsidP="003754FE">
      <w:pPr>
        <w:pStyle w:val="TextoNormal"/>
      </w:pPr>
    </w:p>
    <w:p w14:paraId="3401A3AD" w14:textId="77777777" w:rsidR="003754FE" w:rsidRDefault="003754FE" w:rsidP="003754FE">
      <w:pPr>
        <w:pStyle w:val="TextoNormal"/>
      </w:pPr>
      <w:r>
        <w:t>(ii)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w:t>
      </w:r>
    </w:p>
    <w:p w14:paraId="62550E31" w14:textId="77777777" w:rsidR="003754FE" w:rsidRDefault="003754FE" w:rsidP="003754FE">
      <w:pPr>
        <w:pStyle w:val="TextoNormal"/>
      </w:pPr>
    </w:p>
    <w:p w14:paraId="66C1C380" w14:textId="77777777" w:rsidR="003754FE" w:rsidRDefault="003754FE" w:rsidP="003754FE">
      <w:pPr>
        <w:pStyle w:val="TextoNormal"/>
      </w:pPr>
      <w:r>
        <w:t>(iii) Que se destinasen fondos del programa 31L a fines distintos y ajenos a los recogidos para este en los correspondientes presupuestos.</w:t>
      </w:r>
    </w:p>
    <w:p w14:paraId="73BD27F5" w14:textId="77777777" w:rsidR="003754FE" w:rsidRDefault="003754FE" w:rsidP="003754FE">
      <w:pPr>
        <w:pStyle w:val="TextoNormal"/>
      </w:pPr>
    </w:p>
    <w:p w14:paraId="5DAFDC93" w14:textId="77777777" w:rsidR="003754FE" w:rsidRDefault="003754FE" w:rsidP="003754FE">
      <w:pPr>
        <w:pStyle w:val="TextoNormal"/>
      </w:pPr>
      <w:r>
        <w:t>2.2</w:t>
      </w:r>
      <w:r w:rsidRPr="003754FE">
        <w:rPr>
          <w:i/>
        </w:rPr>
        <w:t>. La “pieza específica” y las demás piezas del proceso “ER</w:t>
      </w:r>
      <w:r>
        <w:t>E”</w:t>
      </w:r>
    </w:p>
    <w:p w14:paraId="2C5718D1" w14:textId="77777777" w:rsidR="003754FE" w:rsidRDefault="003754FE" w:rsidP="003754FE">
      <w:pPr>
        <w:pStyle w:val="TextoNormal"/>
      </w:pPr>
    </w:p>
    <w:p w14:paraId="16F541FC" w14:textId="77777777" w:rsidR="003754FE" w:rsidRDefault="003754FE" w:rsidP="003754FE">
      <w:pPr>
        <w:pStyle w:val="TextoNormal"/>
      </w:pPr>
      <w:r>
        <w:t>La causa matriz de los “ERE” se desgajó en una primera pieza denominada “pieza específica” y, en lo que aquí interesa, en un número no inferior a otras 200 piezas, que tienen por objeto las ayudas individuales concedidas a empresas o determinados grupos de empresas.</w:t>
      </w:r>
    </w:p>
    <w:p w14:paraId="147F6EFA" w14:textId="77777777" w:rsidR="003754FE" w:rsidRDefault="003754FE" w:rsidP="003754FE">
      <w:pPr>
        <w:pStyle w:val="TextoNormal"/>
      </w:pPr>
    </w:p>
    <w:p w14:paraId="4727BC52" w14:textId="77777777" w:rsidR="003754FE" w:rsidRDefault="003754FE" w:rsidP="003754FE">
      <w:pPr>
        <w:pStyle w:val="TextoNormal"/>
      </w:pPr>
      <w:r>
        <w:t>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14:paraId="24329F49" w14:textId="77777777" w:rsidR="003754FE" w:rsidRDefault="003754FE" w:rsidP="003754FE">
      <w:pPr>
        <w:pStyle w:val="TextoNormal"/>
      </w:pPr>
    </w:p>
    <w:p w14:paraId="1ECAABA2" w14:textId="77777777" w:rsidR="003754FE" w:rsidRDefault="003754FE" w:rsidP="003754FE">
      <w:pPr>
        <w:pStyle w:val="TextoNormal"/>
      </w:pPr>
      <w:r>
        <w:t xml:space="preserve">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w:t>
      </w:r>
      <w:r>
        <w:lastRenderedPageBreak/>
        <w:t>de ‘diseño y puesta en funcionamiento del procedimiento específico en todas sus variantes’ y en las distintas piezas separadas la concesión y pago de las distintas ayudas”. Esta división —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 págs. 122-133).</w:t>
      </w:r>
    </w:p>
    <w:p w14:paraId="5A30F896" w14:textId="77777777" w:rsidR="003754FE" w:rsidRDefault="003754FE" w:rsidP="003754FE">
      <w:pPr>
        <w:pStyle w:val="TextoNormal"/>
      </w:pPr>
    </w:p>
    <w:p w14:paraId="385303A0" w14:textId="77777777" w:rsidR="003754FE" w:rsidRDefault="003754FE" w:rsidP="003754FE">
      <w:pPr>
        <w:pStyle w:val="TextoNormal"/>
      </w:pPr>
      <w:r>
        <w:t>2.3</w:t>
      </w:r>
      <w:r w:rsidRPr="003754FE">
        <w:rPr>
          <w:i/>
        </w:rPr>
        <w:t>. Hechos enjuiciados en la “pieza específic</w:t>
      </w:r>
      <w:r>
        <w:t>a”</w:t>
      </w:r>
    </w:p>
    <w:p w14:paraId="2C4C0E4B" w14:textId="77777777" w:rsidR="003754FE" w:rsidRDefault="003754FE" w:rsidP="003754FE">
      <w:pPr>
        <w:pStyle w:val="TextoNormal"/>
      </w:pPr>
    </w:p>
    <w:p w14:paraId="4CE69B1D" w14:textId="77777777" w:rsidR="003754FE" w:rsidRDefault="003754FE" w:rsidP="003754FE">
      <w:pPr>
        <w:pStyle w:val="TextoNormal"/>
      </w:pPr>
      <w:r>
        <w:t>Los hechos enjuiciados en la “pieza específica” se delimitan material y cronológicamente en el fundamento de Derecho 3.4 (págs. 135-137) de la sentencia del Tribunal Supremo en estos términos:</w:t>
      </w:r>
    </w:p>
    <w:p w14:paraId="43A138EB" w14:textId="77777777" w:rsidR="003754FE" w:rsidRDefault="003754FE" w:rsidP="003754FE">
      <w:pPr>
        <w:pStyle w:val="TextoNormal"/>
      </w:pPr>
    </w:p>
    <w:p w14:paraId="73365536" w14:textId="77777777" w:rsidR="003754FE" w:rsidRDefault="003754FE" w:rsidP="003754FE">
      <w:pPr>
        <w:pStyle w:val="TextoNormal"/>
      </w:pPr>
      <w:r>
        <w:t>“(i) Temporalmente los hechos enjuiciados en esta causa son los acontecidos entre la elaboración de la primera modificación presupuestaria, cuya aprobación data del 18 de abril de 2000 y la aprobación de la última modificación presupuestaria que se produjo el 1 de diciembre de 2009, por lo que cualquier hecho ocurrido fuera de esos márgenes temporales no ha sido objeto de enjuiciamiento en este proceso.</w:t>
      </w:r>
    </w:p>
    <w:p w14:paraId="0D36E9AB" w14:textId="77777777" w:rsidR="003754FE" w:rsidRDefault="003754FE" w:rsidP="003754FE">
      <w:pPr>
        <w:pStyle w:val="TextoNormal"/>
      </w:pPr>
    </w:p>
    <w:p w14:paraId="6952F973" w14:textId="77777777" w:rsidR="003754FE" w:rsidRDefault="003754FE" w:rsidP="003754FE">
      <w:pPr>
        <w:pStyle w:val="TextoNormal"/>
      </w:pPr>
      <w:r>
        <w:t>(ii) En relación con el delito de prevaricación las personas enjuiciadas y que han resultado condenadas lo han sido por adoptar las siguientes resoluciones:</w:t>
      </w:r>
    </w:p>
    <w:p w14:paraId="2BD94B25" w14:textId="77777777" w:rsidR="003754FE" w:rsidRDefault="003754FE" w:rsidP="003754FE">
      <w:pPr>
        <w:pStyle w:val="TextoNormal"/>
      </w:pPr>
    </w:p>
    <w:p w14:paraId="5E774D43" w14:textId="77777777" w:rsidR="003754FE" w:rsidRDefault="003754FE" w:rsidP="003754FE">
      <w:pPr>
        <w:pStyle w:val="TextoNormal"/>
      </w:pPr>
      <w:r>
        <w:t>-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14:paraId="0DE2FB4E" w14:textId="77777777" w:rsidR="003754FE" w:rsidRDefault="003754FE" w:rsidP="003754FE">
      <w:pPr>
        <w:pStyle w:val="TextoNormal"/>
      </w:pPr>
    </w:p>
    <w:p w14:paraId="170C6B7E" w14:textId="77777777" w:rsidR="003754FE" w:rsidRDefault="003754FE" w:rsidP="003754FE">
      <w:pPr>
        <w:pStyle w:val="TextoNormal"/>
      </w:pPr>
      <w:r>
        <w:t>-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14:paraId="3D50053A" w14:textId="77777777" w:rsidR="003754FE" w:rsidRDefault="003754FE" w:rsidP="003754FE">
      <w:pPr>
        <w:pStyle w:val="TextoNormal"/>
      </w:pPr>
    </w:p>
    <w:p w14:paraId="526EF97D" w14:textId="77777777" w:rsidR="003754FE" w:rsidRDefault="003754FE" w:rsidP="003754FE">
      <w:pPr>
        <w:pStyle w:val="TextoNormal"/>
      </w:pPr>
      <w:r>
        <w:t>-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14:paraId="12119D08" w14:textId="77777777" w:rsidR="003754FE" w:rsidRDefault="003754FE" w:rsidP="003754FE">
      <w:pPr>
        <w:pStyle w:val="TextoNormal"/>
      </w:pPr>
    </w:p>
    <w:p w14:paraId="2FCCA54A" w14:textId="77777777" w:rsidR="003754FE" w:rsidRDefault="003754FE" w:rsidP="003754FE">
      <w:pPr>
        <w:pStyle w:val="TextoNormal"/>
      </w:pPr>
      <w:r>
        <w:t xml:space="preserve">- Otorgamiento de los convenios particulares suscritos a partir de la firma del convenio marco, firmados hasta su cese por el acusado don Francisco Javier Guerrero Benítez, como director general de Trabajo y por el IFA. En relación con este último, firmados por su </w:t>
      </w:r>
      <w:r>
        <w:lastRenderedPageBreak/>
        <w:t>presidente hasta el 28 de enero de 2003 y posteriormente por los directores generales de dicho instituto.</w:t>
      </w:r>
    </w:p>
    <w:p w14:paraId="3804F2DF" w14:textId="77777777" w:rsidR="003754FE" w:rsidRDefault="003754FE" w:rsidP="003754FE">
      <w:pPr>
        <w:pStyle w:val="TextoNormal"/>
      </w:pPr>
    </w:p>
    <w:p w14:paraId="2893835F" w14:textId="77777777" w:rsidR="003754FE" w:rsidRDefault="003754FE" w:rsidP="003754FE">
      <w:pPr>
        <w:pStyle w:val="TextoNormal"/>
      </w:pPr>
      <w:r>
        <w:t>- Fraccionamiento de las cuantías de las ayudas a partir del 27 de mayo de 2003 en función de las cantidades asignadas a cada trabajador y no de las cantidades asignadas a las empresas, todo ello para sustraer su conocimiento del consejo rector del IFA.</w:t>
      </w:r>
    </w:p>
    <w:p w14:paraId="75AD962E" w14:textId="77777777" w:rsidR="003754FE" w:rsidRDefault="003754FE" w:rsidP="003754FE">
      <w:pPr>
        <w:pStyle w:val="TextoNormal"/>
      </w:pPr>
    </w:p>
    <w:p w14:paraId="52895715" w14:textId="77777777" w:rsidR="003754FE" w:rsidRDefault="003754FE" w:rsidP="003754FE">
      <w:pPr>
        <w:pStyle w:val="TextoNormal"/>
      </w:pPr>
      <w:r>
        <w:t>-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14:paraId="6ED27CFE" w14:textId="77777777" w:rsidR="003754FE" w:rsidRDefault="003754FE" w:rsidP="003754FE">
      <w:pPr>
        <w:pStyle w:val="TextoNormal"/>
      </w:pPr>
    </w:p>
    <w:p w14:paraId="7B1DE59F" w14:textId="77777777" w:rsidR="003754FE" w:rsidRDefault="003754FE" w:rsidP="003754FE">
      <w:pPr>
        <w:pStyle w:val="TextoNormal"/>
      </w:pPr>
      <w:r>
        <w:t>- Concesión de las ayudas sociolaborales.</w:t>
      </w:r>
    </w:p>
    <w:p w14:paraId="02DF128D" w14:textId="77777777" w:rsidR="003754FE" w:rsidRDefault="003754FE" w:rsidP="003754FE">
      <w:pPr>
        <w:pStyle w:val="TextoNormal"/>
      </w:pPr>
    </w:p>
    <w:p w14:paraId="2354C4CA" w14:textId="77777777" w:rsidR="003754FE" w:rsidRDefault="003754FE" w:rsidP="003754FE">
      <w:pPr>
        <w:pStyle w:val="TextoNormal"/>
      </w:pPr>
      <w:r>
        <w:t>(iii) En relación con el delito de malversación de caudales públicos las personas enjuiciadas en este proceso y condenadas por este delito lo han sido bien por su participación directa en la disposición de fondos, bien por haber permitido esa disposición.</w:t>
      </w:r>
    </w:p>
    <w:p w14:paraId="6BA1C5A6" w14:textId="77777777" w:rsidR="003754FE" w:rsidRDefault="003754FE" w:rsidP="003754FE">
      <w:pPr>
        <w:pStyle w:val="TextoNormal"/>
      </w:pPr>
    </w:p>
    <w:p w14:paraId="54A33E73" w14:textId="77777777" w:rsidR="003754FE" w:rsidRDefault="003754FE" w:rsidP="003754FE">
      <w:pPr>
        <w:pStyle w:val="TextoNormal"/>
      </w:pPr>
      <w:r>
        <w:t>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14:paraId="26FF4FA0" w14:textId="77777777" w:rsidR="003754FE" w:rsidRDefault="003754FE" w:rsidP="003754FE">
      <w:pPr>
        <w:pStyle w:val="TextoNormal"/>
      </w:pPr>
    </w:p>
    <w:p w14:paraId="4274D443" w14:textId="77777777" w:rsidR="003754FE" w:rsidRDefault="003754FE" w:rsidP="003754FE">
      <w:pPr>
        <w:pStyle w:val="TextoNormal"/>
      </w:pPr>
      <w:r>
        <w:t>Entendemos que la condena por malversación incluye respecto de cada condenado a todas las disposiciones de fondos públicos realizadas durante el tiempo en que cada uno de ellos ejerció su cargo.</w:t>
      </w:r>
    </w:p>
    <w:p w14:paraId="72F978B1" w14:textId="77777777" w:rsidR="003754FE" w:rsidRDefault="003754FE" w:rsidP="003754FE">
      <w:pPr>
        <w:pStyle w:val="TextoNormal"/>
      </w:pPr>
    </w:p>
    <w:p w14:paraId="17E9DB1D" w14:textId="77777777" w:rsidR="003754FE" w:rsidRDefault="003754FE" w:rsidP="003754FE">
      <w:pPr>
        <w:pStyle w:val="TextoNormal"/>
      </w:pPr>
      <w:r>
        <w:t>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vigésimo 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14:paraId="4BD6A24D" w14:textId="77777777" w:rsidR="003754FE" w:rsidRDefault="003754FE" w:rsidP="003754FE">
      <w:pPr>
        <w:pStyle w:val="TextoNormal"/>
      </w:pPr>
    </w:p>
    <w:p w14:paraId="4D22BF49" w14:textId="77777777" w:rsidR="003754FE" w:rsidRDefault="003754FE" w:rsidP="003754FE">
      <w:pPr>
        <w:pStyle w:val="TextoNormal"/>
      </w:pPr>
      <w:r>
        <w:t xml:space="preserve">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w:t>
      </w:r>
      <w:r>
        <w:lastRenderedPageBreak/>
        <w:t>emplearon en fines distintos y ajenos a los recogidos en las fichas presupuestarias de dicho programa, que describe en el subapartado C).</w:t>
      </w:r>
    </w:p>
    <w:p w14:paraId="319044E8" w14:textId="77777777" w:rsidR="003754FE" w:rsidRDefault="003754FE" w:rsidP="003754FE">
      <w:pPr>
        <w:pStyle w:val="TextoNormal"/>
      </w:pPr>
    </w:p>
    <w:p w14:paraId="4C6CFCD6" w14:textId="77777777" w:rsidR="003754FE" w:rsidRDefault="003754FE" w:rsidP="003754FE">
      <w:pPr>
        <w:pStyle w:val="TextoNormal"/>
      </w:pPr>
      <w:r>
        <w:t>Este último subapartado C) resulta del siguiente tenor:</w:t>
      </w:r>
    </w:p>
    <w:p w14:paraId="239DA227" w14:textId="77777777" w:rsidR="003754FE" w:rsidRDefault="003754FE" w:rsidP="003754FE">
      <w:pPr>
        <w:pStyle w:val="TextoNormal"/>
      </w:pPr>
    </w:p>
    <w:p w14:paraId="69ED3990" w14:textId="77777777" w:rsidR="003754FE" w:rsidRDefault="003754FE" w:rsidP="003754FE">
      <w:pPr>
        <w:pStyle w:val="TextoNormal"/>
      </w:pPr>
      <w:r>
        <w:t>“C) Los fondos del programa 31L se emplearon también en fines distintos y ajenos a los recogidos en las fichas presupuestarias del mismo, así podemos reseñar que se abonó:</w:t>
      </w:r>
    </w:p>
    <w:p w14:paraId="6D4CE6A4" w14:textId="77777777" w:rsidR="003754FE" w:rsidRDefault="003754FE" w:rsidP="003754FE">
      <w:pPr>
        <w:pStyle w:val="TextoNormal"/>
      </w:pPr>
    </w:p>
    <w:p w14:paraId="4D592675" w14:textId="77777777" w:rsidR="003754FE" w:rsidRDefault="003754FE" w:rsidP="003754FE">
      <w:pPr>
        <w:pStyle w:val="TextoNormal"/>
      </w:pPr>
      <w:r>
        <w:t>• Facturas emitidas por las mercantiles Tapsa y Cicm, derivadas de varios contratos de campañas de comunicación sobre fomento de empleo y divulgación del SAE [Servicio Andaluz de Empleo], por un total de 3 386 017,00 €, que fueron abonadas por el Instituto, en el periodo 15 de julio de 2003 a 2 de marzo de 2004.</w:t>
      </w:r>
    </w:p>
    <w:p w14:paraId="5CC53CC3" w14:textId="77777777" w:rsidR="003754FE" w:rsidRDefault="003754FE" w:rsidP="003754FE">
      <w:pPr>
        <w:pStyle w:val="TextoNormal"/>
      </w:pPr>
    </w:p>
    <w:p w14:paraId="60BFDC98" w14:textId="77777777" w:rsidR="003754FE" w:rsidRDefault="003754FE" w:rsidP="003754FE">
      <w:pPr>
        <w:pStyle w:val="TextoNormal"/>
      </w:pPr>
      <w:r>
        <w:t>•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14:paraId="01EA9F22" w14:textId="77777777" w:rsidR="003754FE" w:rsidRDefault="003754FE" w:rsidP="003754FE">
      <w:pPr>
        <w:pStyle w:val="TextoNormal"/>
      </w:pPr>
    </w:p>
    <w:p w14:paraId="622E1A4F" w14:textId="77777777" w:rsidR="003754FE" w:rsidRDefault="003754FE" w:rsidP="003754FE">
      <w:pPr>
        <w:pStyle w:val="TextoNormal"/>
      </w:pPr>
      <w:r>
        <w:t>•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w:t>
      </w:r>
      <w:r w:rsidRPr="003754FE">
        <w:rPr>
          <w:i/>
        </w:rPr>
        <w:t>s on li</w:t>
      </w:r>
      <w:r>
        <w:t>ne.</w:t>
      </w:r>
    </w:p>
    <w:p w14:paraId="26EDA825" w14:textId="77777777" w:rsidR="003754FE" w:rsidRDefault="003754FE" w:rsidP="003754FE">
      <w:pPr>
        <w:pStyle w:val="TextoNormal"/>
      </w:pPr>
    </w:p>
    <w:p w14:paraId="43ADA2D6" w14:textId="77777777" w:rsidR="003754FE" w:rsidRDefault="003754FE" w:rsidP="003754FE">
      <w:pPr>
        <w:pStyle w:val="TextoNormal"/>
      </w:pPr>
      <w:r>
        <w:t>•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14:paraId="56E2FB32" w14:textId="77777777" w:rsidR="003754FE" w:rsidRDefault="003754FE" w:rsidP="003754FE">
      <w:pPr>
        <w:pStyle w:val="TextoNormal"/>
      </w:pPr>
    </w:p>
    <w:p w14:paraId="33396921" w14:textId="77777777" w:rsidR="003754FE" w:rsidRDefault="003754FE" w:rsidP="003754FE">
      <w:pPr>
        <w:pStyle w:val="TextoNormal"/>
      </w:pPr>
      <w:r>
        <w:t>•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14:paraId="03A0663F" w14:textId="77777777" w:rsidR="003754FE" w:rsidRDefault="003754FE" w:rsidP="003754FE">
      <w:pPr>
        <w:pStyle w:val="TextoNormal"/>
      </w:pPr>
    </w:p>
    <w:p w14:paraId="0E10D41A" w14:textId="77777777" w:rsidR="003754FE" w:rsidRDefault="003754FE" w:rsidP="003754FE">
      <w:pPr>
        <w:pStyle w:val="TextoNormal"/>
      </w:pPr>
      <w:r>
        <w:t>•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14:paraId="0C0E8990" w14:textId="77777777" w:rsidR="003754FE" w:rsidRDefault="003754FE" w:rsidP="003754FE">
      <w:pPr>
        <w:pStyle w:val="TextoNormal"/>
      </w:pPr>
    </w:p>
    <w:p w14:paraId="77A8E830" w14:textId="77777777" w:rsidR="003754FE" w:rsidRDefault="003754FE" w:rsidP="003754FE">
      <w:pPr>
        <w:pStyle w:val="TextoNormal"/>
      </w:pPr>
      <w:r>
        <w:lastRenderedPageBreak/>
        <w:t>• En los ejercicios 2004, 2005, 2006, 2009 y 2010, se destinaron 1 192 000 € para el pago a la Fundación San Telmo, del ‘Curso de alta dirección de instituciones sociales’, para un total de cien personas”.</w:t>
      </w:r>
    </w:p>
    <w:p w14:paraId="2F739CA7" w14:textId="77777777" w:rsidR="003754FE" w:rsidRDefault="003754FE" w:rsidP="003754FE">
      <w:pPr>
        <w:pStyle w:val="TextoNormal"/>
      </w:pPr>
    </w:p>
    <w:p w14:paraId="5005C526" w14:textId="77777777" w:rsidR="003754FE" w:rsidRDefault="003754FE" w:rsidP="003754FE">
      <w:pPr>
        <w:pStyle w:val="TextoNormal"/>
      </w:pPr>
      <w:r>
        <w:t>2.4</w:t>
      </w:r>
      <w:r w:rsidRPr="003754FE">
        <w:rPr>
          <w:i/>
        </w:rPr>
        <w:t>. Hechos por los que ha sido condenado el demandante de ampa</w:t>
      </w:r>
      <w:r>
        <w:t>ro</w:t>
      </w:r>
    </w:p>
    <w:p w14:paraId="46722593" w14:textId="77777777" w:rsidR="003754FE" w:rsidRDefault="003754FE" w:rsidP="003754FE">
      <w:pPr>
        <w:pStyle w:val="TextoNormal"/>
      </w:pPr>
    </w:p>
    <w:p w14:paraId="3BFEEA3D" w14:textId="77777777" w:rsidR="003754FE" w:rsidRDefault="003754FE" w:rsidP="003754FE">
      <w:pPr>
        <w:pStyle w:val="TextoNormal"/>
      </w:pPr>
      <w:r>
        <w:t>A partir de los hechos probados y los razonamientos jurídicos de la sentencia de la Audiencia Provincial, particularmente los contenidos en sus fundamentos de Derecho 18 y 31, se puede constatar que el sustrato material de la condena de don Miguel Ángel Serrano Aguilar es, en síntesis, el siguiente:</w:t>
      </w:r>
    </w:p>
    <w:p w14:paraId="1724CE84" w14:textId="77777777" w:rsidR="003754FE" w:rsidRDefault="003754FE" w:rsidP="003754FE">
      <w:pPr>
        <w:pStyle w:val="TextoNormal"/>
      </w:pPr>
    </w:p>
    <w:p w14:paraId="36338CBD" w14:textId="77777777" w:rsidR="003754FE" w:rsidRDefault="003754FE" w:rsidP="003754FE">
      <w:pPr>
        <w:pStyle w:val="TextoNormal"/>
      </w:pPr>
      <w:r>
        <w:t>(i) Ocupó el cargo de director general de la agencia IFA/IDEA desde el 17 de junio de 2004 hasta el 14 de mayo de 2008, y firmó más de cuarenta convenios con la Dirección General de Trabajo y Seguridad Social para el pago de ayudas sociolaborales y a empresas en crisis con cargo a los fondos de la partida presupuestaria 440 del programa 31L, de acuerdo con lo previsto en el convenio de colaboración entre la Consejería de Empleo y Desarrollo Tecnológico y el IFA para la materialización de ayudas en materia de trabajo y seguridad social, o “convenio marco”, que había sido suscrito el 17 de julio de 2001 entre los entonces consejero de empleo y presidente del IFA.</w:t>
      </w:r>
    </w:p>
    <w:p w14:paraId="2785DBC2" w14:textId="77777777" w:rsidR="003754FE" w:rsidRDefault="003754FE" w:rsidP="003754FE">
      <w:pPr>
        <w:pStyle w:val="TextoNormal"/>
      </w:pPr>
    </w:p>
    <w:p w14:paraId="13E28B02" w14:textId="77777777" w:rsidR="003754FE" w:rsidRDefault="003754FE" w:rsidP="003754FE">
      <w:pPr>
        <w:pStyle w:val="TextoNormal"/>
      </w:pPr>
      <w:r>
        <w:t>(ii) En su calidad de director general de la agencia IFA/IDEA asistió con regularidad a las sesiones de su Consejo Rector, desde la celebrada el día 28 de junio de 2004 hasta su cese. Este Consejo fue informado de un total de cincuenta y tres convenios particulares en el periodo comprendido entre enero de 2004 y junio de 2008.</w:t>
      </w:r>
    </w:p>
    <w:p w14:paraId="6E8B283A" w14:textId="77777777" w:rsidR="003754FE" w:rsidRDefault="003754FE" w:rsidP="003754FE">
      <w:pPr>
        <w:pStyle w:val="TextoNormal"/>
      </w:pPr>
    </w:p>
    <w:p w14:paraId="2A0BD14E" w14:textId="77777777" w:rsidR="003754FE" w:rsidRDefault="003754FE" w:rsidP="003754FE">
      <w:pPr>
        <w:pStyle w:val="TextoNormal"/>
      </w:pPr>
      <w:r>
        <w:t>(iii) El señor Serrano Aguilar, según las sentencias, era responsable de formular las cuentas anuales de IFA/IDEA y mantuvo el modo de presupuestación y contabilización que se había seguido antes de su llegada al cargo y que consistía en que en el presupuesto de explotación de la agencia, que tenía el formato y la estructura de una cuenta de pérdidas y ganancias, se consignaban las transferencias de financiación recibidas de la Consejería de Empleo como ingresos de la agencia, lo que era correcto, y como gastos, bajo la rúbrica “Otros gastos de explotación”, el importe de los pagos que se iban a efectuar con cargo a dichas transferencias, lo que era ficticio, tratándose de pagos a terceros y no de gastos propios, por lo que su anotación en el presupuesto de explotación respondía a los solos efectos de hacerlo cuadrar. No obstante, en la ejecución de los presupuestos anuales los pagos que se realizaron no se contabilizaron en las cuentas del balance como gastos de la agencia, sino como operaciones de cobro y pago realizadas por cuenta de la Consejería de Empleo, de acuerdo con su verdadera naturaleza económica y lo establecido en el plan general de contabilidad vigente para este tipo de empresas.</w:t>
      </w:r>
    </w:p>
    <w:p w14:paraId="3EB27D33" w14:textId="77777777" w:rsidR="003754FE" w:rsidRDefault="003754FE" w:rsidP="003754FE">
      <w:pPr>
        <w:pStyle w:val="TextoNormal"/>
      </w:pPr>
    </w:p>
    <w:p w14:paraId="5F1CEDF7" w14:textId="77777777" w:rsidR="003754FE" w:rsidRDefault="003754FE" w:rsidP="003754FE">
      <w:pPr>
        <w:pStyle w:val="TextoNormal"/>
      </w:pPr>
      <w:r>
        <w:t>(iv) Las sentencias recurridas consideran que don Miguel Ángel Serrano Aguilar tuvo conocimiento, por medio de determinados informes de auditoría externa y de control financiero permanente, de la incertidumbre y déficit generados, año tras año, por el desfase que se producía entre los compromisos de pago asumidos por la agencia y los créditos del programa 31L, al no recibir transferencias de financiación en cantidad suficiente para sufragarlos. Este problema le llevó a enviar una carta el 19 de abril de 2007 al director general de Trabajo exigiendo su solución.</w:t>
      </w:r>
    </w:p>
    <w:p w14:paraId="401BC0EF" w14:textId="77777777" w:rsidR="003754FE" w:rsidRDefault="003754FE" w:rsidP="003754FE">
      <w:pPr>
        <w:pStyle w:val="TextoNormal"/>
      </w:pPr>
    </w:p>
    <w:p w14:paraId="0708DE01" w14:textId="77777777" w:rsidR="003754FE" w:rsidRDefault="003754FE" w:rsidP="003754FE">
      <w:pPr>
        <w:pStyle w:val="TextoNormal"/>
      </w:pPr>
      <w:r>
        <w:lastRenderedPageBreak/>
        <w:t>La importancia del déficit se destaca en el informe de control financiero permanente correspondiente al ejercicio 2003, formulado por la Intervención en 2005 y notificado al demandante el 25 de julio de 2005, informe que se acompañaba de un informe adicional (anexo III) en el que se exponía asimismo la imputación presupuestaria inadecuada que representaba el uso de las transferencias de financiación y la interposición de la agencia IFA/IDEA como entidad colaboradora para el pago de este tipo de ayudas, junto a otras irregularidades que se habían detectado en el análisis de un grupo de expedientes, pese a lo cual don Miguel Ángel Serrano Aguilar continuó con la firma de los convenios. Advertencias semejantes se contenían en posteriores informes de la Intervención, que le fueron igualmente remitidos: informe definitivo de cumplimiento del ejercicio 2004, informe de auditoría de cumplimiento correspondiente al ejercicio 2005, informe definitivo de cumplimiento de 2006, informe definitivo de cuentas anuales del ejercicio 2006 e informe definitivo de cumplimiento del ejercicio 2007.</w:t>
      </w:r>
    </w:p>
    <w:p w14:paraId="0C5FDBF8" w14:textId="77777777" w:rsidR="003754FE" w:rsidRDefault="003754FE" w:rsidP="003754FE">
      <w:pPr>
        <w:pStyle w:val="TextoNormal"/>
      </w:pPr>
    </w:p>
    <w:p w14:paraId="7D892CE2" w14:textId="77777777" w:rsidR="003754FE" w:rsidRDefault="003754FE" w:rsidP="003754FE">
      <w:pPr>
        <w:pStyle w:val="TextoNormal"/>
      </w:pPr>
      <w:r>
        <w:t>(v) Don Miguel Ángel Serrano Aguilar sabía, por ello, que las transferencias de financiación que recibía del programa 31L no se aplicaban a su destino propio, que era equilibrar la cuenta de pérdidas y ganancias de la agencia que dirigía, sino a la concesión a terceros de subvenciones, eludiendo el control previo de la Intervención y su procedimiento específico. Asumió, de este modo, la eventualidad de que los fondos fueran objeto de disposición con fines ajenos al fin público al que estaban destinados.</w:t>
      </w:r>
    </w:p>
    <w:p w14:paraId="1790D320" w14:textId="77777777" w:rsidR="003754FE" w:rsidRDefault="003754FE" w:rsidP="003754FE">
      <w:pPr>
        <w:pStyle w:val="TextoNormal"/>
      </w:pPr>
    </w:p>
    <w:p w14:paraId="0B981680" w14:textId="627AA859" w:rsidR="003754FE" w:rsidRDefault="003754FE" w:rsidP="003754FE">
      <w:pPr>
        <w:pStyle w:val="TextoNormal"/>
      </w:pPr>
      <w:r>
        <w:t>(vi) Las sentencias impugnadas consideran que su participación en este procedimiento fue esencial, y no secundaria, porque de haberse negado a firmar los convenios, lo que estaba en su mano, no se hubieran realizado los pagos.</w:t>
      </w:r>
    </w:p>
    <w:p w14:paraId="12EC750B" w14:textId="77777777" w:rsidR="003754FE" w:rsidRDefault="003754FE" w:rsidP="003754FE">
      <w:pPr>
        <w:pStyle w:val="TextoNormal"/>
      </w:pPr>
    </w:p>
    <w:p w14:paraId="3A2D7076" w14:textId="77777777" w:rsidR="003754FE" w:rsidRDefault="003754FE" w:rsidP="003754FE">
      <w:pPr>
        <w:pStyle w:val="TextoNormal"/>
      </w:pPr>
      <w:r w:rsidRPr="003754FE">
        <w:rPr>
          <w:rStyle w:val="NumeroAFNegritaCaracter"/>
        </w:rPr>
        <w:t>3</w:t>
      </w:r>
      <w:r>
        <w:t xml:space="preserve">. </w:t>
      </w:r>
      <w:r w:rsidRPr="003754FE">
        <w:rPr>
          <w:i/>
        </w:rPr>
        <w:t>Doctrina constitucional sobre el derecho a la legalidad penal (art. 25.1 CE)</w:t>
      </w:r>
    </w:p>
    <w:p w14:paraId="46F7677C" w14:textId="77777777" w:rsidR="003754FE" w:rsidRDefault="003754FE" w:rsidP="003754FE">
      <w:pPr>
        <w:pStyle w:val="TextoNormal"/>
      </w:pPr>
    </w:p>
    <w:p w14:paraId="4FC59C5F" w14:textId="77777777" w:rsidR="003754FE" w:rsidRDefault="003754FE" w:rsidP="003754FE">
      <w:pPr>
        <w:pStyle w:val="TextoNormal"/>
      </w:pPr>
      <w:r>
        <w:t>El enjuiciamiento de la vulneración del art. 25.1 CE exige tener presente la doctrina de este tribunal sobre el derecho a la legalidad penal que consagra, expuesta recientemente, por ejemplo, en las SSTC 14/2021, de 28 de enero, FJ 2; 25/2022, de 23 de febrero, FJ 7.2; 47/2022, de 24 de marzo, FJ 8.2.1; 54/2023, de 22 de mayo, FJ 3, y 8/2024, de 16 de enero, FJ 6, haciendo hincapié en la prohibición de interpretaciones y aplicaciones irrazonables de las normas penales.</w:t>
      </w:r>
    </w:p>
    <w:p w14:paraId="62861401" w14:textId="77777777" w:rsidR="003754FE" w:rsidRDefault="003754FE" w:rsidP="003754FE">
      <w:pPr>
        <w:pStyle w:val="TextoNormal"/>
      </w:pPr>
    </w:p>
    <w:p w14:paraId="69719522" w14:textId="77777777" w:rsidR="003754FE" w:rsidRDefault="003754FE" w:rsidP="003754FE">
      <w:pPr>
        <w:pStyle w:val="TextoNormal"/>
      </w:pPr>
      <w:r>
        <w:t>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(SSTC 137/1997, de 21 de julio, FJ 6; 151/1997, de 29 de septiembre, FJ 3; 232/1997, de 16 de diciembre, FJ 2, y 162/1999, de 27 de septiembre, FJ 5).</w:t>
      </w:r>
    </w:p>
    <w:p w14:paraId="6BAE2538" w14:textId="77777777" w:rsidR="003754FE" w:rsidRDefault="003754FE" w:rsidP="003754FE">
      <w:pPr>
        <w:pStyle w:val="TextoNormal"/>
      </w:pPr>
    </w:p>
    <w:p w14:paraId="047CB08C" w14:textId="77777777" w:rsidR="003754FE" w:rsidRDefault="003754FE" w:rsidP="003754FE">
      <w:pPr>
        <w:pStyle w:val="TextoNormal"/>
      </w:pPr>
      <w:r>
        <w:t xml:space="preserve">En numerosas resoluciones (desde la STC 150/1989, de 25 de septiembre, FJ 6, hasta la STC 54/2023, de 22 de mayo, FJ 3), el Tribunal ha puesto de relieve que el derecho reconocido en el art. 25.1 CE es una concreción de diversos aspectos del Estado de Derecho en el ámbito del Derecho estatal sancionador y tiene un fundamento plural. Se vincula, ante </w:t>
      </w:r>
      <w:r>
        <w:lastRenderedPageBreak/>
        <w:t xml:space="preserve">todo, con el imperio de la ley como presupuesto de la actuación del Estado sobre los bienes jurídicos de los ciudadanos y con el derecho de los ciudadanos a la seguridad jurídica y a una previsibilidad de las consecuencias jurídicas de los propios actos que garantice un ámbito de libertad de actuación en niveles constitucionalmente admisibles. Ese fundamento determina el contenido </w:t>
      </w:r>
      <w:r w:rsidRPr="003754FE">
        <w:rPr>
          <w:i/>
        </w:rPr>
        <w:t>iusfundamental</w:t>
      </w:r>
      <w:r>
        <w:t xml:space="preserve"> del derecho a la legalidad penal, integrado por los diversos aspectos enunciados con el brocardo </w:t>
      </w:r>
      <w:r w:rsidRPr="003754FE">
        <w:rPr>
          <w:i/>
        </w:rPr>
        <w:t>nullum crimen nulla poena sine praevia lege scripta, certa et stricta</w:t>
      </w:r>
      <w:r>
        <w:t xml:space="preserve"> (en distintas formulaciones, entre muchas, SSTC 133/1987, de 21 de julio, FJ 4; 127/1990, de 5 de julio, FJ 3; 111/1993, de 25 de marzo, FJ 6; 53/1994, de 24 de febrero, FJ 4; 137/1997, de 21 de julio, FJ 6; 151/1997, de 29 de septiembre, FJ 3; 232/1997, de 16 de diciembre, FJ 2; 75/2002, de 8 de abril, FJ 4; 234/2007, de 5 de noviembre, FJ 3, y 14/2021, de 28 de enero, FJ 2).</w:t>
      </w:r>
    </w:p>
    <w:p w14:paraId="5939DAD4" w14:textId="77777777" w:rsidR="003754FE" w:rsidRDefault="003754FE" w:rsidP="003754FE">
      <w:pPr>
        <w:pStyle w:val="TextoNormal"/>
      </w:pPr>
    </w:p>
    <w:p w14:paraId="348A9714" w14:textId="77777777" w:rsidR="003754FE" w:rsidRDefault="003754FE" w:rsidP="003754FE">
      <w:pPr>
        <w:pStyle w:val="TextoNormal"/>
      </w:pPr>
      <w:r>
        <w:t>b) La primera garantía que contiene el principio de legalidad es la garantía formal, que impone una reserva de ley absoluta (STC 15/1981, de 7 de mayo, FJ 7) para definir delitos y fijar sus correspondientes penas, quedando así acotadas las fuentes del Derecho en materia penal [SSTC 142/1999, de 22 de julio,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w:t>
      </w:r>
      <w:r w:rsidRPr="003754FE">
        <w:rPr>
          <w:i/>
        </w:rPr>
        <w:t>lex praevia</w:t>
      </w:r>
      <w:r>
        <w:t>) que permitan predecir con el suficiente grado de certeza (</w:t>
      </w:r>
      <w:r w:rsidRPr="003754FE">
        <w:rPr>
          <w:i/>
        </w:rPr>
        <w:t>lex certa</w:t>
      </w:r>
      <w:r>
        <w:t>) dichas conductas, y se sepa a qué atenerse en cuanto a la aneja responsabilidad y a la eventual sanción” (SSTC 25/2004, de 26 de febrero, FJ 4; 218/2005, de 12 de septiembre, FJ 2; 297/2005, de 21 de noviembre, FJ 6, y 283/2006, de 9 de octubre, FJ 5).</w:t>
      </w:r>
    </w:p>
    <w:p w14:paraId="01776DF9" w14:textId="77777777" w:rsidR="003754FE" w:rsidRDefault="003754FE" w:rsidP="003754FE">
      <w:pPr>
        <w:pStyle w:val="TextoNormal"/>
      </w:pPr>
    </w:p>
    <w:p w14:paraId="677A284C" w14:textId="77777777" w:rsidR="003754FE" w:rsidRDefault="003754FE" w:rsidP="003754FE">
      <w:pPr>
        <w:pStyle w:val="TextoNormal"/>
      </w:pPr>
      <w:r>
        <w:t>c) En particular, la previsibilidad de las consecuencias de la propia conducta puede burlarse tanto por un legislador como por un juzgador que actúen desconociendo el sentido de garantía de la ley penal, bien por la formulación vaga e imprecisa de la misma, bien con su aplicación a supuestos no comprendidos en ella (SSTC 142/1999, de 22 de julio, FJ 3, y 24/2004, de 24 de febrero,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w:t>
      </w:r>
      <w:r w:rsidRPr="003754FE">
        <w:rPr>
          <w:i/>
        </w:rPr>
        <w:t>lex certa</w:t>
      </w:r>
      <w:r>
        <w:t>), para que los ciudadanos puedan conocer de antemano el ámbito de lo proscrito y prever las consecuencias de sus acciones (SSTC 242/2005, de 10 de octubre, FJ 2; 283/2006, de 9 de octubre, FJ 5; 162/2008, de 15 de diciembre, FJ 1; 81/2009, de 23 de marzo, FJ 4; 135/2010, de 2 de diciembre, FJ 4, y 9/2018, de 5 de febrero, FJ 6). Los jueces y tribunales, por su parte, están sometidos al principio de tipicidad (</w:t>
      </w:r>
      <w:r w:rsidRPr="003754FE">
        <w:rPr>
          <w:i/>
        </w:rPr>
        <w:t>lex stricta</w:t>
      </w:r>
      <w:r>
        <w:t>) en su labor de aplicación de las leyes, que implica una sujeción estricta a la ley penal y el veto a la exégesis y aplicación de las normas penales fuera de los supuestos y de los límites que determinan.</w:t>
      </w:r>
    </w:p>
    <w:p w14:paraId="5517BFAB" w14:textId="77777777" w:rsidR="003754FE" w:rsidRDefault="003754FE" w:rsidP="003754FE">
      <w:pPr>
        <w:pStyle w:val="TextoNormal"/>
      </w:pPr>
    </w:p>
    <w:p w14:paraId="5EE2CF7B" w14:textId="77777777" w:rsidR="003754FE" w:rsidRDefault="003754FE" w:rsidP="003754FE">
      <w:pPr>
        <w:pStyle w:val="TextoNormal"/>
      </w:pPr>
      <w: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w:t>
      </w:r>
      <w:r>
        <w:lastRenderedPageBreak/>
        <w:t xml:space="preserve">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 La analogía </w:t>
      </w:r>
      <w:r w:rsidRPr="003754FE">
        <w:rPr>
          <w:i/>
        </w:rPr>
        <w:t>in malam partem</w:t>
      </w:r>
      <w:r>
        <w:t xml:space="preserve">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de 17 de marzo, FJ 4; 170/2002, de 30 de septiembre, FJ 12; 229/2003, de 18 de diciembre, FJ 6, y 229/2007, de 5 de noviembre, FJ 4).</w:t>
      </w:r>
    </w:p>
    <w:p w14:paraId="7FD0416F" w14:textId="77777777" w:rsidR="003754FE" w:rsidRDefault="003754FE" w:rsidP="003754FE">
      <w:pPr>
        <w:pStyle w:val="TextoNormal"/>
      </w:pPr>
    </w:p>
    <w:p w14:paraId="66C8CB9E" w14:textId="77777777" w:rsidR="003754FE" w:rsidRDefault="003754FE" w:rsidP="003754FE">
      <w:pPr>
        <w:pStyle w:val="TextoNormal"/>
      </w:pPr>
      <w:r>
        <w:t xml:space="preserve">e) El examen de la razonabilidad de la subsunción de los hechos probados en la norma penal tiene como primer criterio el respeto al tenor de la norma y la consiguiente prohibición de la analogía </w:t>
      </w:r>
      <w:r w:rsidRPr="003754FE">
        <w:rPr>
          <w:i/>
        </w:rPr>
        <w:t>in malam partem</w:t>
      </w:r>
      <w:r>
        <w:t>. El tenor del enunciado normativo marca en todo caso una zona indudable de exclusión de comportamientos (STC 137/1997, de 21 de julio,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de 27 de octubre,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y 262/2006, de 11 de septiembre, FJ 4).</w:t>
      </w:r>
    </w:p>
    <w:p w14:paraId="4B07F707" w14:textId="77777777" w:rsidR="003754FE" w:rsidRDefault="003754FE" w:rsidP="003754FE">
      <w:pPr>
        <w:pStyle w:val="TextoNormal"/>
      </w:pPr>
    </w:p>
    <w:p w14:paraId="4929CA6A" w14:textId="66CAA2CC" w:rsidR="003754FE" w:rsidRDefault="003754FE" w:rsidP="003754FE">
      <w:pPr>
        <w:pStyle w:val="TextoNormal"/>
      </w:pPr>
      <w: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w:t>
      </w:r>
      <w:r>
        <w:lastRenderedPageBreak/>
        <w:t xml:space="preserve">de nuestro análisis la motivación judicial de tales interpretación y subsunción, pero no la argumentación del recurrente en favor de una interpretación alternativa, cuya evaluación de razonabilidad </w:t>
      </w:r>
      <w:r w:rsidRPr="003754FE">
        <w:rPr>
          <w:i/>
        </w:rPr>
        <w:t>per se</w:t>
      </w:r>
      <w:r>
        <w:t xml:space="preserve"> nos es ajena y solo podrá ser tomada en cuenta en la medida en que incida en la irrazonabilidad de la interpretación judicial impugnada” (STC 129/2008, FJ 3).</w:t>
      </w:r>
    </w:p>
    <w:p w14:paraId="18ABEB88" w14:textId="77777777" w:rsidR="003754FE" w:rsidRDefault="003754FE" w:rsidP="003754FE">
      <w:pPr>
        <w:pStyle w:val="TextoNormal"/>
      </w:pPr>
    </w:p>
    <w:p w14:paraId="6DCE0B16" w14:textId="77777777" w:rsidR="003754FE" w:rsidRDefault="003754FE" w:rsidP="003754FE">
      <w:pPr>
        <w:pStyle w:val="TextoNormal"/>
      </w:pPr>
      <w:r w:rsidRPr="003754FE">
        <w:rPr>
          <w:rStyle w:val="NumeroAFNegritaCaracter"/>
        </w:rPr>
        <w:t>4</w:t>
      </w:r>
      <w:r>
        <w:t xml:space="preserve">. </w:t>
      </w:r>
      <w:r w:rsidRPr="003754FE">
        <w:rPr>
          <w:i/>
        </w:rPr>
        <w:t>Vulneración del derecho a la legalidad penal (art. 25.1 CE) derivada de la condena por el delito de prevaricación del art. 404 CP</w:t>
      </w:r>
    </w:p>
    <w:p w14:paraId="65A9296C" w14:textId="77777777" w:rsidR="003754FE" w:rsidRDefault="003754FE" w:rsidP="003754FE">
      <w:pPr>
        <w:pStyle w:val="TextoNormal"/>
      </w:pPr>
    </w:p>
    <w:p w14:paraId="143E1014" w14:textId="77777777" w:rsidR="003754FE" w:rsidRDefault="003754FE" w:rsidP="003754FE">
      <w:pPr>
        <w:pStyle w:val="TextoNormal"/>
      </w:pPr>
      <w:r>
        <w:t xml:space="preserve">4.1. </w:t>
      </w:r>
      <w:r w:rsidRPr="003754FE">
        <w:rPr>
          <w:i/>
        </w:rPr>
        <w:t>Exposición de la queja del recurrente y de las posiciones de las partes personadas</w:t>
      </w:r>
    </w:p>
    <w:p w14:paraId="6EE13602" w14:textId="77777777" w:rsidR="003754FE" w:rsidRDefault="003754FE" w:rsidP="003754FE">
      <w:pPr>
        <w:pStyle w:val="TextoNormal"/>
      </w:pPr>
    </w:p>
    <w:p w14:paraId="19D9F1C4" w14:textId="77777777" w:rsidR="003754FE" w:rsidRDefault="003754FE" w:rsidP="003754FE">
      <w:pPr>
        <w:pStyle w:val="TextoNormal"/>
      </w:pPr>
      <w:r>
        <w:t>(i) Alegaciones del recurrente relativas a la lesión del art. 25.1 CE</w:t>
      </w:r>
    </w:p>
    <w:p w14:paraId="3D2ED077" w14:textId="77777777" w:rsidR="003754FE" w:rsidRDefault="003754FE" w:rsidP="003754FE">
      <w:pPr>
        <w:pStyle w:val="TextoNormal"/>
      </w:pPr>
    </w:p>
    <w:p w14:paraId="2C091CDF" w14:textId="77777777" w:rsidR="003754FE" w:rsidRDefault="003754FE" w:rsidP="003754FE">
      <w:pPr>
        <w:pStyle w:val="TextoNormal"/>
      </w:pPr>
      <w:r>
        <w:t>Como ya se ha expuesto, el demandante en amparo fue condenado como autor de un delito continuado de prevaricación en concurso medial con un delito continuado de malversación. En la demanda se alega, en relación con el delito de prevaricación, que los hechos probados de la sentencia de instancia no pueden subsumirse en el art. 404 CP. El recurrente afirma que dicha declaración de hechos probados incurre en una “falta de concreción específica de un singular acto administrativo prevaricador”, sin que tal omisión en dicha parte de la sentencia pueda solventarse acudiendo a lo que, en su caso, pudiera contenerse sobre este particular en el relato jurídico.</w:t>
      </w:r>
    </w:p>
    <w:p w14:paraId="06D6872E" w14:textId="77777777" w:rsidR="003754FE" w:rsidRDefault="003754FE" w:rsidP="003754FE">
      <w:pPr>
        <w:pStyle w:val="TextoNormal"/>
      </w:pPr>
    </w:p>
    <w:p w14:paraId="65195D1A" w14:textId="77777777" w:rsidR="003754FE" w:rsidRDefault="003754FE" w:rsidP="003754FE">
      <w:pPr>
        <w:pStyle w:val="TextoNormal"/>
      </w:pPr>
      <w:r>
        <w:t>Por lo que se refiere a su gestión en el IFA/IDEA afirma que dicha entidad, que no intervenía en la decisión de la concesión de las ayudas sociolaborales, se limitaba a hacer de mera caja pagadora de unos pagos cuya procedencia venía ya decidida (la concesión de las ayudas era acordada por la Consejería de Empleo). Por ello, no puede ser condenado por unos hechos en los que no participó. El recurrente alega que la circunstancia de haber recibido los informes de la Intervención General de la Junta de Andalucía tampoco es motivo para condenarle por prevaricación. De igual modo, afirma que no puede ser condenado por haber sometido las cuentas anuales del IFA a la aprobación del consejo rector, al que asistía con voz pero sin voto. Por ello, concluye que la mera formulación —que no aprobación— de dichas cuentas, que no son siquiera actos administrativos, no puede subsumirse en el tipo de prevaricación.</w:t>
      </w:r>
    </w:p>
    <w:p w14:paraId="6F94EB14" w14:textId="77777777" w:rsidR="003754FE" w:rsidRDefault="003754FE" w:rsidP="003754FE">
      <w:pPr>
        <w:pStyle w:val="TextoNormal"/>
      </w:pPr>
    </w:p>
    <w:p w14:paraId="2FB5D00D" w14:textId="77777777" w:rsidR="003754FE" w:rsidRDefault="003754FE" w:rsidP="003754FE">
      <w:pPr>
        <w:pStyle w:val="TextoNormal"/>
      </w:pPr>
      <w:r>
        <w:t>(ii) Exposición de lo alegado por las partes personadas en relación con la queja referida a la lesión del art. 25.1 CE</w:t>
      </w:r>
    </w:p>
    <w:p w14:paraId="0234B0D3" w14:textId="77777777" w:rsidR="003754FE" w:rsidRDefault="003754FE" w:rsidP="003754FE">
      <w:pPr>
        <w:pStyle w:val="TextoNormal"/>
      </w:pPr>
    </w:p>
    <w:p w14:paraId="664188F9" w14:textId="77777777" w:rsidR="003754FE" w:rsidRDefault="003754FE" w:rsidP="003754FE">
      <w:pPr>
        <w:pStyle w:val="TextoNormal"/>
      </w:pPr>
      <w:r>
        <w:t>El Partido Popular niega que se haya producido una lesión del derecho a la legalidad penal en relación con la condena del recurrente por el delito de prevaricación. Considera que tanto el convenio marco como los convenios particulares tienen la consideración de resoluciones dictadas en asunto administrativo y condujeron al resultado materialmente injusto de la concesión de las ayudas sin expediente alguno.</w:t>
      </w:r>
    </w:p>
    <w:p w14:paraId="1496BAAF" w14:textId="77777777" w:rsidR="003754FE" w:rsidRDefault="003754FE" w:rsidP="003754FE">
      <w:pPr>
        <w:pStyle w:val="TextoNormal"/>
      </w:pPr>
    </w:p>
    <w:p w14:paraId="527F349E" w14:textId="77777777" w:rsidR="003754FE" w:rsidRDefault="003754FE" w:rsidP="003754FE">
      <w:pPr>
        <w:pStyle w:val="TextoNormal"/>
      </w:pPr>
      <w:r>
        <w:t xml:space="preserve">Aunque otros condenados en el mismo proceso judicial del que este trae causa se han personado y son parte en este recurso, solo las alegaciones presentadas por don Jesús María Rodríguez Román se refieren específicamente a las razones por las que la condena por el delito de prevaricación es lesiva del art. 25.1 CE. Afirma que se ha producido una extensión </w:t>
      </w:r>
      <w:r w:rsidRPr="003754FE">
        <w:rPr>
          <w:i/>
        </w:rPr>
        <w:t>in malam partem</w:t>
      </w:r>
      <w:r>
        <w:t xml:space="preserve"> de los conceptos típicos del art. 404 CP, toda vez que los acuerdos del Consejo de Gobierno de la Junta de Andalucía y las modificaciones presupuestarias son </w:t>
      </w:r>
      <w:r>
        <w:lastRenderedPageBreak/>
        <w:t>actos de gobierno y, por ello, no pueden ser revisados en vía jurisdiccional. La representación procesal del señor Rodríguez Román niega, además, que concurra el elemento típico “arbitraria” del art. 404 CP, dado que las leyes de presupuestos posteriores a 2001 contemplan las transferencias de financiación para el pago de las ayudas sociolaborales.</w:t>
      </w:r>
    </w:p>
    <w:p w14:paraId="6085FF5D" w14:textId="77777777" w:rsidR="003754FE" w:rsidRDefault="003754FE" w:rsidP="003754FE">
      <w:pPr>
        <w:pStyle w:val="TextoNormal"/>
      </w:pPr>
    </w:p>
    <w:p w14:paraId="33E6AAD8" w14:textId="77777777" w:rsidR="003754FE" w:rsidRDefault="003754FE" w:rsidP="003754FE">
      <w:pPr>
        <w:pStyle w:val="TextoNormal"/>
      </w:pPr>
      <w:r>
        <w:t>El Ministerio Fiscal descarta que se haya producido la lesión del art. 25.1 CE. Afirma que ni la interpretación judicial del art. 404 CP ni la subsunción de los concretos hechos declarados probados en el mencionado tipo penal puede considerarse imprevisible en el sentido en que este tribunal ha interpretado las exigencias que se derivan del derecho a la legalidad penal (art. 25.1 CE). La fiscal sostiene que las resoluciones impugnadas identifican los elementos fácticos relevantes en los que se ha justificado la condena del recurrente, entre otros, la firma de convenios particulares y la consecuente autorización del pago de las ayudas.</w:t>
      </w:r>
    </w:p>
    <w:p w14:paraId="108DB03B" w14:textId="77777777" w:rsidR="003754FE" w:rsidRDefault="003754FE" w:rsidP="003754FE">
      <w:pPr>
        <w:pStyle w:val="TextoNormal"/>
      </w:pPr>
    </w:p>
    <w:p w14:paraId="0F7FE4E1" w14:textId="77777777" w:rsidR="003754FE" w:rsidRDefault="003754FE" w:rsidP="003754FE">
      <w:pPr>
        <w:pStyle w:val="TextoNormal"/>
      </w:pPr>
      <w:r>
        <w:t xml:space="preserve">4.2. </w:t>
      </w:r>
      <w:r w:rsidRPr="003754FE">
        <w:rPr>
          <w:i/>
        </w:rPr>
        <w:t>Síntesis de los argumentos en los que las resoluciones judiciales fundamentan la condena del recurrente</w:t>
      </w:r>
    </w:p>
    <w:p w14:paraId="126988F5" w14:textId="77777777" w:rsidR="003754FE" w:rsidRDefault="003754FE" w:rsidP="003754FE">
      <w:pPr>
        <w:pStyle w:val="TextoNormal"/>
      </w:pPr>
    </w:p>
    <w:p w14:paraId="56B22459" w14:textId="77777777" w:rsidR="003754FE" w:rsidRDefault="003754FE" w:rsidP="003754FE">
      <w:pPr>
        <w:pStyle w:val="TextoNormal"/>
      </w:pPr>
      <w:r>
        <w:t>A continuación, se va a efectuar un breve resumen de los argumentos de la sentencia del Tribunal Supremo que determinaron la desestimación del recurso de casación del señor Serrano Aguilar.</w:t>
      </w:r>
    </w:p>
    <w:p w14:paraId="4C3F9A17" w14:textId="77777777" w:rsidR="003754FE" w:rsidRDefault="003754FE" w:rsidP="003754FE">
      <w:pPr>
        <w:pStyle w:val="TextoNormal"/>
      </w:pPr>
    </w:p>
    <w:p w14:paraId="31BA0518" w14:textId="77777777" w:rsidR="003754FE" w:rsidRDefault="003754FE" w:rsidP="003754FE">
      <w:pPr>
        <w:pStyle w:val="TextoNormal"/>
      </w:pPr>
      <w:r>
        <w:t>(i) La Sala de lo Penal del Tribunal Supremo sostiene que “[e]n relación con el delito de prevaricación el único hecho con relevancia típica protagonizado por el Sr. Serrano Aguilar es la firma de los convenios particulares” (sentencia del Tribunal Supremo, fundamento de Derecho, fundamento 137, pág. 1031).</w:t>
      </w:r>
    </w:p>
    <w:p w14:paraId="7C64DB04" w14:textId="77777777" w:rsidR="003754FE" w:rsidRDefault="003754FE" w:rsidP="003754FE">
      <w:pPr>
        <w:pStyle w:val="TextoNormal"/>
      </w:pPr>
    </w:p>
    <w:p w14:paraId="14D50B9E" w14:textId="77777777" w:rsidR="003754FE" w:rsidRDefault="003754FE" w:rsidP="003754FE">
      <w:pPr>
        <w:pStyle w:val="TextoNormal"/>
      </w:pPr>
      <w:r>
        <w:t>(ii) El Tribunal Supremo considera que tales convenios “son resoluciones administrativas a efectos del artículo 404 CP en cuanto constituyen el acto administrativo ejecutivo mediante el cual se pagaron las ayudas gestionadas y aprobadas al margen de lo establecido en la ley” (sentencia del Tribunal Supremo, fundamento de Derecho, fundamento 137, págs. 1031-1032).</w:t>
      </w:r>
    </w:p>
    <w:p w14:paraId="3671A3E8" w14:textId="77777777" w:rsidR="003754FE" w:rsidRDefault="003754FE" w:rsidP="003754FE">
      <w:pPr>
        <w:pStyle w:val="TextoNormal"/>
      </w:pPr>
    </w:p>
    <w:p w14:paraId="3BE2A39F" w14:textId="77777777" w:rsidR="003754FE" w:rsidRDefault="003754FE" w:rsidP="003754FE">
      <w:pPr>
        <w:pStyle w:val="TextoNormal"/>
      </w:pPr>
      <w:r>
        <w:t>(iii) La Sala de lo Penal rechaza el motivo del recurso de casación por el que el señor Serrano Aguilar adujo que todas las actuaciones realizadas por los integrantes del IFA/IDEA al pagar las ayudas sociolaborales se encontraban amparadas en la ley, en concreto en el art. 38 de la Ley del Parlamento de Andalucía 5/1993, general de la hacienda pública de Andalucía, que habilitaba al citado organismo para actuar como caja pagadora, y en las memorias que acompañan a los proyectos de ley de presupuestos y en las cuentas generales aprobadas por el Parlamento andaluz.</w:t>
      </w:r>
    </w:p>
    <w:p w14:paraId="5BB8CD46" w14:textId="77777777" w:rsidR="003754FE" w:rsidRDefault="003754FE" w:rsidP="003754FE">
      <w:pPr>
        <w:pStyle w:val="TextoNormal"/>
      </w:pPr>
    </w:p>
    <w:p w14:paraId="4F677F2F" w14:textId="77777777" w:rsidR="003754FE" w:rsidRDefault="003754FE" w:rsidP="003754FE">
      <w:pPr>
        <w:pStyle w:val="TextoNormal"/>
      </w:pPr>
      <w:r>
        <w:t xml:space="preserve">El Tribunal Supremo se opone a estos argumentos al considerar que “[l]a intervención del IFA/IDEA en el pago de las ayudas sociolaborales no puede disociarse del ilegal sistema implantado, cuyo último eslabón era la intervención de la citada agencia, materializando los pagos mediante la previa firma de convenios”. Sostiene, además, que “[l]a actuación del señor Serrano Aguilar no venía obligada por el principio de especialidad presupuestaria y por el contenido de las memorias de las leyes de presupuestos porque la clasificación del gasto realizada en dichas leyes no obligaba al pago de subvenciones excepcionales mediante fondos recibidos vía transferencias de financiación, máxime si quien realizaba esos pagos </w:t>
      </w:r>
      <w:r>
        <w:lastRenderedPageBreak/>
        <w:t>conocía, como es el caso del recurrente, que los pagos eran parte de un entramado directamente diseñado para eludir los controles de las subvenciones excepcionales” (sentencia del Tribunal Supremo, fundamento de Derecho, fundamento 138.2, pág. 1036).</w:t>
      </w:r>
    </w:p>
    <w:p w14:paraId="66CBD33D" w14:textId="77777777" w:rsidR="003754FE" w:rsidRDefault="003754FE" w:rsidP="003754FE">
      <w:pPr>
        <w:pStyle w:val="TextoNormal"/>
      </w:pPr>
    </w:p>
    <w:p w14:paraId="2786A788" w14:textId="77777777" w:rsidR="003754FE" w:rsidRDefault="003754FE" w:rsidP="003754FE">
      <w:pPr>
        <w:pStyle w:val="TextoNormal"/>
      </w:pPr>
      <w:r>
        <w:t>(iv) La Sala de lo Penal afirma, citando a la sentencia de instancia, que “en la agencia se conocía que las ayudas las concedía la Consejería de Empleo, lo que no se decía ni en los presupuestos, ni en la documentación anexa a los mismos. En la agencia conocían que presupuestaban gastos ficticios para compensarlos con los ingresos procedentes de las transferencias de financiación, lo que obviamente tampoco se decía en los presupuestos, ni en la documentación anexa a los mismos” (sentencia del Tribunal Supremo, fundamento 138.2, pág. 1037). También se sostiene en la sentencia recaída en el recurso de casación que se hicieron muchas advertencias al señor Serrano Aguilar sobre este extremo (cita el informe de auditoría de cumplimiento sobre IDEA del año 2005)</w:t>
      </w:r>
      <w:r w:rsidRPr="003754FE">
        <w:rPr>
          <w:i/>
        </w:rPr>
        <w:t xml:space="preserve"> (ibid</w:t>
      </w:r>
      <w:r>
        <w:t>em).</w:t>
      </w:r>
    </w:p>
    <w:p w14:paraId="6EA9FF2B" w14:textId="77777777" w:rsidR="003754FE" w:rsidRDefault="003754FE" w:rsidP="003754FE">
      <w:pPr>
        <w:pStyle w:val="TextoNormal"/>
      </w:pPr>
    </w:p>
    <w:p w14:paraId="1242DA33" w14:textId="77777777" w:rsidR="003754FE" w:rsidRDefault="003754FE" w:rsidP="003754FE">
      <w:pPr>
        <w:pStyle w:val="TextoNormal"/>
      </w:pPr>
      <w:r>
        <w:t>(v) Por último, en lo que a este motivo del recurso se refiere, el Tribunal Supremo afirma que “ante el cúmulo de ilegalidades el señor Serrano Aguilar pudo oponerse a firmar los convenios y dejar de contribuir al sistema ilegal implantado para el pago de las ayudas sociolaborales” (sentencia del Tribunal Supremo, fundamento 138.2, pág. 1039).</w:t>
      </w:r>
    </w:p>
    <w:p w14:paraId="4F490A84" w14:textId="77777777" w:rsidR="003754FE" w:rsidRDefault="003754FE" w:rsidP="003754FE">
      <w:pPr>
        <w:pStyle w:val="TextoNormal"/>
      </w:pPr>
    </w:p>
    <w:p w14:paraId="71364DF3" w14:textId="77777777" w:rsidR="003754FE" w:rsidRDefault="003754FE" w:rsidP="003754FE">
      <w:pPr>
        <w:pStyle w:val="TextoNormal"/>
      </w:pPr>
      <w:r>
        <w:t xml:space="preserve">4.3. </w:t>
      </w:r>
      <w:r w:rsidRPr="003754FE">
        <w:rPr>
          <w:i/>
        </w:rPr>
        <w:t>El valor de la ley en nuestro sistema constitucional</w:t>
      </w:r>
    </w:p>
    <w:p w14:paraId="3D16D0C7" w14:textId="77777777" w:rsidR="003754FE" w:rsidRDefault="003754FE" w:rsidP="003754FE">
      <w:pPr>
        <w:pStyle w:val="TextoNormal"/>
      </w:pPr>
    </w:p>
    <w:p w14:paraId="5BE4D954" w14:textId="77777777" w:rsidR="003754FE" w:rsidRDefault="003754FE" w:rsidP="003754FE">
      <w:pPr>
        <w:pStyle w:val="TextoNormal"/>
      </w:pPr>
      <w:r>
        <w:t>a) Una vez vistos los razonamientos de la sentencia, antes de analizar si las resoluciones impugnadas han efectuado una interpretación de la norma aplicada lesiva del art. 25.1 CE, es preciso aludir a los elementos esenciales en los que se basa nuestro sistema constitucional, toda vez que el fundamento de la condena parte de una determinada comprensión de las relaciones entre el ejecutivo autonómico y su parlamento que trasciende del ámbito de la legalidad, adentrándose en el plano de la constitucionalidad. Ha de recordarse el valor que tiene la ley en nuestro sistema constitucional porque las sentencias impugnadas, si bien consideran que las leyes de presupuestos para los años 2002 a 2009 aprobaron el programa 31L, “Transferencias al IFA en materia de relaciones laborales”, niegan que esta previsión legal tenga eficacia. Entienden que trae causa de un proyecto de ley que consideran ilegal, al establecer un sistema de presupuestación —las transferencias de financiación— que era contrario a la normativa presupuestaria en vigor en aquel momento. Las sentencias afirman que dicho cambio de presupuestación tenía por objeto instaurar un sistema de concesión de las citadas ayudas que eludiera los controles establecidos en la ley de subvenciones y de ello deducen su ilegalidad.</w:t>
      </w:r>
    </w:p>
    <w:p w14:paraId="3C4E808F" w14:textId="77777777" w:rsidR="003754FE" w:rsidRDefault="003754FE" w:rsidP="003754FE">
      <w:pPr>
        <w:pStyle w:val="TextoNormal"/>
      </w:pPr>
    </w:p>
    <w:p w14:paraId="1BBD92E1" w14:textId="77777777" w:rsidR="003754FE" w:rsidRDefault="003754FE" w:rsidP="003754FE">
      <w:pPr>
        <w:pStyle w:val="TextoNormal"/>
      </w:pPr>
      <w:r>
        <w:t xml:space="preserve">Esta cuestión es de gran relevancia en este caso dado que el Tribunal apreció la especial trascendencia del recurso [art. 50.1 b) LOTC] por considerar que las cuestiones en él planteadas afectan a la esencia de las relaciones institucionales entre los poderes que conforman el Estado. En el ATC 288/2023, de 5 de junio, FJ único, se afirma que este recurso tiene especial trascendencia constitucional porque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sobre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ampliaciones </w:t>
      </w:r>
      <w:r>
        <w:lastRenderedPageBreak/>
        <w:t>presupuestarias”. Es a este tribunal al que corresponde en último término la interpretación de las cuestiones que se plantean en este recurso, al ser inherentes a la configuración propia del Estado constitucional.</w:t>
      </w:r>
    </w:p>
    <w:p w14:paraId="0C1ED201" w14:textId="77777777" w:rsidR="003754FE" w:rsidRDefault="003754FE" w:rsidP="003754FE">
      <w:pPr>
        <w:pStyle w:val="TextoNormal"/>
      </w:pPr>
    </w:p>
    <w:p w14:paraId="1C63B12B" w14:textId="77777777" w:rsidR="003754FE" w:rsidRDefault="003754FE" w:rsidP="003754FE">
      <w:pPr>
        <w:pStyle w:val="TextoNormal"/>
      </w:pPr>
      <w:r>
        <w:t>b) La nuestra es una democracia constitucional y parlamentaria (arts. 9.1 y 1.3 CE). En atención a lo primero, incluso la ley queda sujeta a la Constitución y puede ser controlada su validez por el Tribunal Constitucional. En virtud de lo segundo, la Constitución atribuye a las Cortes Generales, que representan al pueblo español (art. 66.1 CE), la potestad legislativa del Estado, la aprobación de sus presupuestos y el control de la acción del Gobierno (art. 66.2 CE), sin más límites que los que derivan de la propia Constitución. Así lo ha afirmado el Tribunal en reiteradas ocasiones, entre otras en la STC 124/2018, de 14 de noviembre, FJ 6, en la que se sostuvo que «“[e]l papel esencial y de centralidad que en nuestro Estado juega el Parlamento aparece reflejado en la Constitución ya en su primer artículo, donde se declara que la ‘forma política del Estado español es la Monarquía parlamentaria’ (art. 1.3 CE). La soberanía nacional, advierte el apartado 2 del mismo precepto, ‘reside en el pueblo español’, y son las Cortes Generales las que, según expresa el art. 66.1 CE, le representan. De acuerdo con nuestra Constitución, España es una democracia parlamentaria donde las Cortes Generales ejercen la potestad legislativa del Estado, aprueban sus presupuestos, controlan la acción del Gobierno y tienen las demás competencias que les atribuye la Constitución (art. 66.2 CE)” (SSTC 3/2003, de 16 de enero, FJ 3, y 136/2011, de 13 de septiembre, FJ 11)». En consecuencia, el Parlamento constituye la institución central de la democracia como forma de Estado, es decir, del Estado constitucional democrático.</w:t>
      </w:r>
    </w:p>
    <w:p w14:paraId="3D47A5CE" w14:textId="77777777" w:rsidR="003754FE" w:rsidRDefault="003754FE" w:rsidP="003754FE">
      <w:pPr>
        <w:pStyle w:val="TextoNormal"/>
      </w:pPr>
    </w:p>
    <w:p w14:paraId="0D7A51E6" w14:textId="77777777" w:rsidR="003754FE" w:rsidRDefault="003754FE" w:rsidP="003754FE">
      <w:pPr>
        <w:pStyle w:val="TextoNormal"/>
      </w:pPr>
      <w:r>
        <w:t>c) Del carácter central que la Constitución otorga al Parlamento deriva la posición privilegiada de la ley que conlleva su presunción de legitimidad constitucional y que determina 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163 CE) o cuando la ley sea preconstitucional. A diferencia de las normas infralegales, que sí pueden ser inaplicadas (art. 6 LOPJ) o, en su caso, declaradas nulas por los órganos judiciales para garantizar la supremacía constitucional, cuando se trata de normas con rango de ley solo el Tribunal Constitucional tiene el monopolio de expulsarlas del ordenamiento jurídico con efecto</w:t>
      </w:r>
      <w:r w:rsidRPr="003754FE">
        <w:rPr>
          <w:i/>
        </w:rPr>
        <w:t>s erga omn</w:t>
      </w:r>
      <w:r>
        <w:t>es.</w:t>
      </w:r>
    </w:p>
    <w:p w14:paraId="4E075577" w14:textId="77777777" w:rsidR="003754FE" w:rsidRDefault="003754FE" w:rsidP="003754FE">
      <w:pPr>
        <w:pStyle w:val="TextoNormal"/>
      </w:pPr>
    </w:p>
    <w:p w14:paraId="396DEA86" w14:textId="77777777" w:rsidR="003754FE" w:rsidRDefault="003754FE" w:rsidP="003754FE">
      <w:pPr>
        <w:pStyle w:val="TextoNormal"/>
      </w:pPr>
      <w:r>
        <w:t>4.4</w:t>
      </w:r>
      <w:r w:rsidRPr="003754FE">
        <w:rPr>
          <w:i/>
        </w:rPr>
        <w:t>. Enjuiciamiento de la que</w:t>
      </w:r>
      <w:r>
        <w:t>ja</w:t>
      </w:r>
    </w:p>
    <w:p w14:paraId="2D09A986" w14:textId="77777777" w:rsidR="003754FE" w:rsidRDefault="003754FE" w:rsidP="003754FE">
      <w:pPr>
        <w:pStyle w:val="TextoNormal"/>
      </w:pPr>
    </w:p>
    <w:p w14:paraId="4B523EBB" w14:textId="77777777" w:rsidR="003754FE" w:rsidRDefault="003754FE" w:rsidP="003754FE">
      <w:pPr>
        <w:pStyle w:val="TextoNormal"/>
      </w:pPr>
      <w:r>
        <w:t>Una vez expuestos los fundamentos de la condena del recurrente por el delito de prevaricación, así como los rasgos esenciales de nuestra democracia constitucional y parlamentaria, se va a enjuiciar a continuación la queja aducida por el demandante.</w:t>
      </w:r>
    </w:p>
    <w:p w14:paraId="2639FCD4" w14:textId="77777777" w:rsidR="003754FE" w:rsidRDefault="003754FE" w:rsidP="003754FE">
      <w:pPr>
        <w:pStyle w:val="TextoNormal"/>
      </w:pPr>
    </w:p>
    <w:p w14:paraId="2C93D5AD" w14:textId="77777777" w:rsidR="003754FE" w:rsidRDefault="003754FE" w:rsidP="003754FE">
      <w:pPr>
        <w:pStyle w:val="TextoNormal"/>
      </w:pPr>
      <w:r>
        <w:t>Antes de ello el Tribunal debe recordar que el único hecho relevante para condenar al recurrente por haber cometido un delito de prevaricación es que el demandante, en su condición de director general de la agencia IFA/IDEA entre los años 2004 a 2008, firmó convenios particulares. Así lo ha considerado la Sala de lo Penal del Tribunal Supremo, como se ha transcrito anteriormente, al enjuiciar si la resolución dictada por la Audiencia Provincial de Sevilla es respetuosa con las exigencias que se derivan del art. 25.1 CE, al partir del siguiente presupuesto:</w:t>
      </w:r>
    </w:p>
    <w:p w14:paraId="48EBBCFF" w14:textId="77777777" w:rsidR="003754FE" w:rsidRDefault="003754FE" w:rsidP="003754FE">
      <w:pPr>
        <w:pStyle w:val="TextoNormal"/>
      </w:pPr>
    </w:p>
    <w:p w14:paraId="1A52FF48" w14:textId="77777777" w:rsidR="003754FE" w:rsidRDefault="003754FE" w:rsidP="003754FE">
      <w:pPr>
        <w:pStyle w:val="TextoNormal"/>
      </w:pPr>
      <w:r>
        <w:t>“En relación con el delito de prevaricación el único hecho con relevancia típica protagonizado por el señor Serrano Aguilar es la firma de los Convenios particulares” (sentencia del Tribunal Supremo, fundamento 137, pág. 1031).</w:t>
      </w:r>
    </w:p>
    <w:p w14:paraId="2318A7F9" w14:textId="77777777" w:rsidR="003754FE" w:rsidRDefault="003754FE" w:rsidP="003754FE">
      <w:pPr>
        <w:pStyle w:val="TextoNormal"/>
      </w:pPr>
    </w:p>
    <w:p w14:paraId="6E7F3769" w14:textId="77777777" w:rsidR="003754FE" w:rsidRDefault="003754FE" w:rsidP="003754FE">
      <w:pPr>
        <w:pStyle w:val="TextoNormal"/>
      </w:pPr>
      <w:r>
        <w:t>En efecto, las sentencias recurridas aprecian la comisión del delito de prevaricación al considerar que el recurrente firmó convenios particulares y a través de ellos se pagaron ayudas al margen de lo establecido en la ley. Para enjuiciar esta queja ha de examinarse si la interpretación de los elementos típicos del delito de prevaricación (“resolución”, “asunto administrativo” y “arbitraria”) efectuada por los órganos judiciales es imprevisible o extravagante y, como consecuencia de ello, se ha efectuado una interpretación extensiv</w:t>
      </w:r>
      <w:r w:rsidRPr="003754FE">
        <w:rPr>
          <w:i/>
        </w:rPr>
        <w:t>a in malam part</w:t>
      </w:r>
      <w:r>
        <w:t>em del tipo.</w:t>
      </w:r>
    </w:p>
    <w:p w14:paraId="6A9FD4BD" w14:textId="77777777" w:rsidR="003754FE" w:rsidRDefault="003754FE" w:rsidP="003754FE">
      <w:pPr>
        <w:pStyle w:val="TextoNormal"/>
      </w:pPr>
    </w:p>
    <w:p w14:paraId="309DC23F" w14:textId="77777777" w:rsidR="003754FE" w:rsidRDefault="003754FE" w:rsidP="003754FE">
      <w:pPr>
        <w:pStyle w:val="TextoNormal"/>
      </w:pPr>
      <w:r>
        <w:t>No corresponde al Tribunal determinar la naturaleza jurídica de los actos por los que el señor Serrano Aguilar, en su condición de director general de la agencia IFA/IDEA, firmó convenios con particulares. Tan solo ha de analizar si las sentencias impugnadas, al considerar estos actos como resoluciones recaídas en un asunto administrativo, incurren en la infracción del art. 25.1 CE antes señalada. Como la Sala de lo Penal pone de manifiesto, de acuerdo con su propia jurisprudencia, el concepto de “resolución” contenido en el art. 404 CP no hace referencia necesariamente al concepto de “acto administrativo”, sino que a los efectos de apreciar si la conducta enjuiciada es una resolución recaída en un asunto administrativo es suficiente con que se trate de un acto adoptado por un empleado público o una autoridad administrativa en el ejercicio de su cargo y que tenga carácter decisorio. Es claro que, en este caso, cualquiera que sea la naturaleza jurídica de los actos enjuiciados, son actos dictados por una autoridad —un director general de un organismo público— que tienen, además, carácter decisorio. En consecuencia, no puede considerarse una interpretación imprevisible ni extravagante el que las resoluciones judiciales impugnadas hayan considerado la firma de convenios por el recurrente en su condición de titular de la Dirección General del IFA/IDEA como una resolución recaída en un asunto administrativo.</w:t>
      </w:r>
    </w:p>
    <w:p w14:paraId="1FD40D98" w14:textId="77777777" w:rsidR="003754FE" w:rsidRDefault="003754FE" w:rsidP="003754FE">
      <w:pPr>
        <w:pStyle w:val="TextoNormal"/>
      </w:pPr>
    </w:p>
    <w:p w14:paraId="2EE9406B" w14:textId="77777777" w:rsidR="003754FE" w:rsidRDefault="003754FE" w:rsidP="003754FE">
      <w:pPr>
        <w:pStyle w:val="TextoNormal"/>
      </w:pPr>
      <w:r>
        <w:t>Cuestión distinta es si estas “resoluciones” pueden considerarse arbitrarias, que es otro de los elementos típicos del art. 404 CP. El Tribunal Supremo las califica como tal porque parte de la base de que “el pago de las ayudas sociolaborales no puede disociarse del ilegal sistema implantado, cuyo último eslabón era la intervención de la citada agencia [IFA/IDEA], materializando los pagos mediante la previa firma de convenios particulares” (sentencia del Tribunal Supremo, fundamento 138.2, pág. 1036). Se añade además que “[l]a actuación del señor Serrano Aguilar no venía obligada por el principio de especialidad presupuestaria y por el contenido de las memorias de las leyes de presupuestos porque la clasificación del gasto realizada en dichas leyes no obligaba al pago de subvenciones excepcionales mediante fondos recibidos vía transferencias de financiación, máxime si quien realizaba esos pagos conocía, como es el caso del recurrente, que los pagos eran parte de un entramado directamente diseñado para eludir los controles de las subvenciones excepcionales”</w:t>
      </w:r>
      <w:r w:rsidRPr="003754FE">
        <w:rPr>
          <w:i/>
        </w:rPr>
        <w:t xml:space="preserve"> (ibid</w:t>
      </w:r>
      <w:r>
        <w:t>em).</w:t>
      </w:r>
    </w:p>
    <w:p w14:paraId="05C3C6BE" w14:textId="77777777" w:rsidR="003754FE" w:rsidRDefault="003754FE" w:rsidP="003754FE">
      <w:pPr>
        <w:pStyle w:val="TextoNormal"/>
      </w:pPr>
    </w:p>
    <w:p w14:paraId="0B27B300" w14:textId="77777777" w:rsidR="003754FE" w:rsidRDefault="003754FE" w:rsidP="003754FE">
      <w:pPr>
        <w:pStyle w:val="TextoNormal"/>
      </w:pPr>
      <w:r>
        <w:t xml:space="preserve">Esta subsunción es imprevisible. No puede considerarse acorde con las pautas interpretativas generalmente aceptadas entender que una actuación amparada en las leyes de presupuestos, concretamente en el programa 31L, es ilegal cuando esa actuación se lleva a cabo de acuerdo con lo que las memorias de las leyes de presupuestos establecen al respecto. El </w:t>
      </w:r>
      <w:r>
        <w:lastRenderedPageBreak/>
        <w:t>recurrente, por el cargo que ostentaba, venía obligado a conocer los programas establecidos en las leyes de presupuestos referentes al organismo en el que ejercía un puesto directivo y no puede ser condenado por actuar conforme a lo que expresamente se disponía en las memorias que determinaban los objetivos del programa, cómo había de ejecutarse y quién debía hacerlo.</w:t>
      </w:r>
    </w:p>
    <w:p w14:paraId="70DFBDA2" w14:textId="77777777" w:rsidR="003754FE" w:rsidRDefault="003754FE" w:rsidP="003754FE">
      <w:pPr>
        <w:pStyle w:val="TextoNormal"/>
      </w:pPr>
    </w:p>
    <w:p w14:paraId="0E2BF9D4" w14:textId="77777777" w:rsidR="003754FE" w:rsidRDefault="003754FE" w:rsidP="003754FE">
      <w:pPr>
        <w:pStyle w:val="TextoNormal"/>
      </w:pPr>
      <w:r>
        <w:t>Las sentencias recurridas transcriben estas memorias en sus pasajes más relevantes. El objetivo del programa 31L es, como se expone en las resoluciones judiciales, entre otros,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 También se incluyen entre estos objetivos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 (sentencia del Tribunal Supremo, fundamento 11.2, pág. 193, donde se transcribe un pasaje del fundamento de Derecho 16 de la sentencia de la Audiencia Provincial de Sevilla, págs. 571 y ss., que, a su vez, reproduce el contenido de las memorias de los informes económico-financieros).</w:t>
      </w:r>
    </w:p>
    <w:p w14:paraId="71B2351B" w14:textId="77777777" w:rsidR="003754FE" w:rsidRDefault="003754FE" w:rsidP="003754FE">
      <w:pPr>
        <w:pStyle w:val="TextoNormal"/>
      </w:pPr>
    </w:p>
    <w:p w14:paraId="750CABB3" w14:textId="77777777" w:rsidR="003754FE" w:rsidRDefault="003754FE" w:rsidP="003754FE">
      <w:pPr>
        <w:pStyle w:val="TextoNormal"/>
      </w:pPr>
      <w:r>
        <w:t>Las resoluciones impugnadas ponen de manifiesto cómo estas memorias determinan el órgano encargado de ejecutar el programa 31L, que es la Dirección General de Trabajo y Seguridad Social. Este centro directivo “tiene atribuidas las competencias que corresponden a la consejería en materia de relaciones laborales”. En estos documentos a los que aluden las sentencias, se detalla que la Dirección General de Trabajo y Seguridad Social instrumenta “la materialización de las ayudas a través de un convenio con [el IFA] y de su dotación anual específica de contribución a pólizas de prejubilaciones” (sentencia del Tribunal Supremo, fundamento 11.2, pág. 194).</w:t>
      </w:r>
    </w:p>
    <w:p w14:paraId="37ABF7A2" w14:textId="77777777" w:rsidR="003754FE" w:rsidRDefault="003754FE" w:rsidP="003754FE">
      <w:pPr>
        <w:pStyle w:val="TextoNormal"/>
      </w:pPr>
    </w:p>
    <w:p w14:paraId="137D68B9" w14:textId="77777777" w:rsidR="003754FE" w:rsidRDefault="003754FE" w:rsidP="003754FE">
      <w:pPr>
        <w:pStyle w:val="TextoNormal"/>
      </w:pPr>
      <w:r>
        <w:t>A pesar de ello, ni la Audiencia Provincial de Sevilla ni la Sala de lo Penal del Tribunal Supremo extraen consecuencia alguna del cambio normativo que se produce en el año 2002 y que incluye por primera vez el programa 31L en la ley de presupuestos que tiene como objeto otorgar transferencias al IFA en materia de relaciones laborales, tal y como se acaba de exponer. Como se ha afirmado en la STC 93/2024, de 19 de junio, FJ 4.3.4, “[e]l legislador no se vincula para el futuro sino que el ordenamiento jurídico institucionaliza procesos para el cambio, siendo el procedimiento legislativo —y sus actos preparatorios— el más relevante”.</w:t>
      </w:r>
    </w:p>
    <w:p w14:paraId="77C60515" w14:textId="77777777" w:rsidR="003754FE" w:rsidRDefault="003754FE" w:rsidP="003754FE">
      <w:pPr>
        <w:pStyle w:val="TextoNormal"/>
      </w:pPr>
    </w:p>
    <w:p w14:paraId="6573C96F" w14:textId="77777777" w:rsidR="003754FE" w:rsidRDefault="003754FE" w:rsidP="003754FE">
      <w:pPr>
        <w:pStyle w:val="TextoNormal"/>
      </w:pPr>
      <w:r>
        <w:t xml:space="preserve">Una vez en vigor el programa presupuestario 31L previsto en las leyes de presupuestos para los años 2004 a 2008 resulta imprevisible que los actos dictados a su amparo se consideren manifiestamente ilegales, pues la firma de los convenios tenía cobertura en una norma con rango de ley. Sin embargo, las sentencias impugnadas consideran que la firma de los convenios era el último eslabón de una operación que tiene su origen en la elaboración de unos anteproyectos de ley que califican de “ilegales”, al entender que no eran acordes con la normativa entonces vigente en materia presupuestaria. Estas pretendidas ilegalidades tenían como objeto, según las resoluciones judiciales recurridas, establecer un sistema presupuestario que permitiera la concesión de las ayudas sociolaborales eludiendo los controles propios de las subvenciones. Por ello, entienden que las leyes de presupuestos que prevén </w:t>
      </w:r>
      <w:r>
        <w:lastRenderedPageBreak/>
        <w:t>este sistema no pueden aplicarse en el sentido que de ellas se deriva, pues se incurriría en una “incontestable ilegalidad” (pág. 296). Tal forma de razonar no se compadece con el sistema de fuentes. Ni un proyecto de ley puede ser objeto de control judicial (ATC 135/2004, de 20 de abril, FJ 6) ni puede negarse a quien tiene iniciativa legislativa proponer una nueva regulación que modifique la que se encuentra en vigor en aquel momento (STC 93/2024, FJ 4.3.3). Solo de este modo puede garantizarse el carácter dinámico consustancial a un ordenamiento jurídico moderno (SSTC 73/2000, de 14 de marzo, FJ 7, y 93/2024, FJ 4.3.4).</w:t>
      </w:r>
    </w:p>
    <w:p w14:paraId="743083DE" w14:textId="77777777" w:rsidR="003754FE" w:rsidRDefault="003754FE" w:rsidP="003754FE">
      <w:pPr>
        <w:pStyle w:val="TextoNormal"/>
      </w:pPr>
    </w:p>
    <w:p w14:paraId="0F0B301A" w14:textId="77777777" w:rsidR="003754FE" w:rsidRDefault="003754FE" w:rsidP="003754FE">
      <w:pPr>
        <w:pStyle w:val="TextoNormal"/>
      </w:pPr>
      <w:r>
        <w:t>Las resoluciones impugnadas, al llegar a la conclusión de que el recurrente, por firmar convenios al amparo de la ley de presupuestos, de acuerdo con lo dispuesto en las memorias que los acompañan, ha incurrido en el delito de prevaricación, realizan una aplicación del precepto penal imprevisible. No puede considerarse delictivo realizar actos que la ley ampara.</w:t>
      </w:r>
    </w:p>
    <w:p w14:paraId="491CD61D" w14:textId="77777777" w:rsidR="003754FE" w:rsidRDefault="003754FE" w:rsidP="003754FE">
      <w:pPr>
        <w:pStyle w:val="TextoNormal"/>
      </w:pPr>
    </w:p>
    <w:p w14:paraId="4B8AE44B" w14:textId="77777777" w:rsidR="003754FE" w:rsidRDefault="003754FE" w:rsidP="003754FE">
      <w:pPr>
        <w:pStyle w:val="TextoNormal"/>
      </w:pPr>
      <w:r>
        <w:t>La interpretación imprevisible, en el sentido que a este término ha otorgado el Tribunal a los efectos de apreciar si el aplicador del Derecho ha incurrido en una infracción del principio de legalidad penal (art. 25.1 CE), trae causa del indebido entendimiento del sistema institucional constitucionalmente previsto del que parten las resoluciones impugnadas.</w:t>
      </w:r>
    </w:p>
    <w:p w14:paraId="7F3C1E66" w14:textId="77777777" w:rsidR="003754FE" w:rsidRDefault="003754FE" w:rsidP="003754FE">
      <w:pPr>
        <w:pStyle w:val="TextoNormal"/>
      </w:pPr>
    </w:p>
    <w:p w14:paraId="2CB82796" w14:textId="77777777" w:rsidR="003754FE" w:rsidRDefault="003754FE" w:rsidP="003754FE">
      <w:pPr>
        <w:pStyle w:val="TextoNormal"/>
      </w:pPr>
      <w:r>
        <w:t>Los argumentos en los que se basa el Tribunal Supremo para rechazar la alegación del recurrente suponen privar de toda relevancia a la aprobación parlamentaria de la ley, lo que conlleva desconocer la centralidad del Parlamento de Andalucía en el entramado institucional diseñado estatutariamente, que es coincidente con lo establecido en la Constitución. Una cosa es que el Gobierno, por la posición que ocupa en el sistema de poderes, tenga atribuida en exclusiva la iniciativa legislativa en materia presupuestaria y que dicha posición sea generadora de consecuencias jurídicas en el procedimiento legislativo (poder de retirada del proyecto hasta su aprobación definitiva, arts. 128 del Reglamento del Congreso y 130 del Reglamento del Parlamento de Andalucía, veto presupuestario, etc.) y otra, muy distinta, sostener que la intervención del Parlamento en la aprobación del presupuesto es meramente formal, hasta el punto de concluir que no puede entenderse aprobado el sistema de presupuestación expresamente previsto en la ley al considerar que este sistema había sido establecido ilegalmente por el Gobierno en el proyecto de ley.</w:t>
      </w:r>
    </w:p>
    <w:p w14:paraId="5F6CB5B0" w14:textId="77777777" w:rsidR="003754FE" w:rsidRDefault="003754FE" w:rsidP="003754FE">
      <w:pPr>
        <w:pStyle w:val="TextoNormal"/>
      </w:pPr>
    </w:p>
    <w:p w14:paraId="2F8082C1" w14:textId="77777777" w:rsidR="003754FE" w:rsidRDefault="003754FE" w:rsidP="003754FE">
      <w:pPr>
        <w:pStyle w:val="TextoNormal"/>
      </w:pPr>
      <w:r>
        <w:t>La ley de presupuestos generales es una ley que tiene la misma naturaleza normativa que el resto de las leyes. En la STC 76/1992, de 14 de mayo, FJ 4 a), el Tribunal afirmó que “se trata de una verdadera ley, considerando así superada la cuestión de su carácter formal o material”. Por ello, los jueces, que están sometidos al imperio de la ley (art. 117.1 CE), tienen el deber de respetarla cualquiera que sea el juicio que su contenido les merezca. Solo cuando consideren que es inconstitucional y que de su validez depende el fallo de un asunto deben plantear cuestión de inconstitucionalidad, pero fuera de este supuesto no podrán cuestionar sus determinaciones y, menos aún, no tomarla en consideración.</w:t>
      </w:r>
    </w:p>
    <w:p w14:paraId="55FAAB22" w14:textId="77777777" w:rsidR="003754FE" w:rsidRDefault="003754FE" w:rsidP="003754FE">
      <w:pPr>
        <w:pStyle w:val="TextoNormal"/>
      </w:pPr>
    </w:p>
    <w:p w14:paraId="1C9A55CA" w14:textId="77777777" w:rsidR="003754FE" w:rsidRDefault="003754FE" w:rsidP="003754FE">
      <w:pPr>
        <w:pStyle w:val="TextoNormal"/>
      </w:pPr>
      <w:r>
        <w:t xml:space="preserve">Otra cosa sería que se hubiera considerado que se actuó en fraude de ley. No es este, sin embargo, el motivo que ha determinado la condena del recurrente, pues precisamente lo que las resoluciones judiciales le imputan es haber aplicado un concepto presupuestario legalmente establecido que permitió la concesión de las ayudas sociolaborales sin los controles que, con carácter general, se exigen a las subvenciones. Es, por tanto, la propia ley la que </w:t>
      </w:r>
      <w:r>
        <w:lastRenderedPageBreak/>
        <w:t>establece que se puedan transferir fondos al IFA a través del concepto presupuestario “transferencia de financiación”. Por esta razón, deducen las sentencias impugnadas que este gasto no estaba sometido a controles previos. En consecuencia, no puede considerarse que se haya aplicado la ley para conseguir un fin prohibido por el ordenamiento jurídico, pues la finalidad que tuvo este cambio normativo fue, precisamente, establecer un sistema de presupuestación que permitiera atribuir fondos al IFA para que este organismo pudiera otorgar las ayudas sociolaborales sin las exigencias del procedimiento subvencional.</w:t>
      </w:r>
    </w:p>
    <w:p w14:paraId="3010EA59" w14:textId="77777777" w:rsidR="003754FE" w:rsidRDefault="003754FE" w:rsidP="003754FE">
      <w:pPr>
        <w:pStyle w:val="TextoNormal"/>
      </w:pPr>
    </w:p>
    <w:p w14:paraId="0D274D22" w14:textId="77777777" w:rsidR="003754FE" w:rsidRDefault="003754FE" w:rsidP="003754FE">
      <w:pPr>
        <w:pStyle w:val="TextoNormal"/>
      </w:pPr>
      <w:r>
        <w:t>A tenor de lo expuesto, es indubitado que las leyes de presupuestos de Andalucía para los ejercicios 2004 a 2008, en su programa 31L, establecieron un sistema de atribución de fondos para la concesión de ayudas sociolaborales al IFA (las transferencias de financiación) que habilitaban a la administración autonómica a conceder estas ayudas. Las resoluciones impugnadas, al no reconocer que las referidas leyes de presupuestos tienen este alcance, han efectuado, también por este motivo, una aplicación absolutamente imprevisible del elemento típico “arbitrariedad”.</w:t>
      </w:r>
    </w:p>
    <w:p w14:paraId="61F50E1B" w14:textId="77777777" w:rsidR="003754FE" w:rsidRDefault="003754FE" w:rsidP="003754FE">
      <w:pPr>
        <w:pStyle w:val="TextoNormal"/>
      </w:pPr>
    </w:p>
    <w:p w14:paraId="7E88E393" w14:textId="112B052B" w:rsidR="003754FE" w:rsidRDefault="003754FE" w:rsidP="003754FE">
      <w:pPr>
        <w:pStyle w:val="TextoNormal"/>
      </w:pPr>
      <w:r>
        <w:t>Por las consideraciones expuestas, procede estimar este motivo del recurso.</w:t>
      </w:r>
    </w:p>
    <w:p w14:paraId="40263853" w14:textId="77777777" w:rsidR="003754FE" w:rsidRDefault="003754FE" w:rsidP="003754FE">
      <w:pPr>
        <w:pStyle w:val="TextoNormal"/>
      </w:pPr>
    </w:p>
    <w:p w14:paraId="5A05CF12" w14:textId="77777777" w:rsidR="003754FE" w:rsidRDefault="003754FE" w:rsidP="003754FE">
      <w:pPr>
        <w:pStyle w:val="TextoNormal"/>
      </w:pPr>
      <w:r w:rsidRPr="003754FE">
        <w:rPr>
          <w:rStyle w:val="NumeroAFNegritaCaracter"/>
        </w:rPr>
        <w:t>5</w:t>
      </w:r>
      <w:r>
        <w:t xml:space="preserve">. </w:t>
      </w:r>
      <w:r w:rsidRPr="003754FE">
        <w:rPr>
          <w:i/>
        </w:rPr>
        <w:t>Vulneración del derecho a la legalidad penal (art. 25.1 CE) derivada de la condena por delito de malversación del art. 432 CP</w:t>
      </w:r>
    </w:p>
    <w:p w14:paraId="2B331826" w14:textId="77777777" w:rsidR="003754FE" w:rsidRDefault="003754FE" w:rsidP="003754FE">
      <w:pPr>
        <w:pStyle w:val="TextoNormal"/>
      </w:pPr>
    </w:p>
    <w:p w14:paraId="3B2C3BB4" w14:textId="77777777" w:rsidR="003754FE" w:rsidRDefault="003754FE" w:rsidP="003754FE">
      <w:pPr>
        <w:pStyle w:val="TextoNormal"/>
      </w:pPr>
      <w:r>
        <w:t xml:space="preserve">5.1. </w:t>
      </w:r>
      <w:r w:rsidRPr="003754FE">
        <w:rPr>
          <w:i/>
        </w:rPr>
        <w:t>Exposición de la queja del recurrente y de las posiciones de las partes</w:t>
      </w:r>
    </w:p>
    <w:p w14:paraId="032BAE7D" w14:textId="77777777" w:rsidR="003754FE" w:rsidRDefault="003754FE" w:rsidP="003754FE">
      <w:pPr>
        <w:pStyle w:val="TextoNormal"/>
      </w:pPr>
    </w:p>
    <w:p w14:paraId="4C011228" w14:textId="77777777" w:rsidR="003754FE" w:rsidRDefault="003754FE" w:rsidP="003754FE">
      <w:pPr>
        <w:pStyle w:val="TextoNormal"/>
      </w:pPr>
      <w:r>
        <w:t>El recurrente considera que las resoluciones impugnadas, al calificar las conductas declaradas probadas por la Audiencia Provincial como delito de malversación, proceden a una subsunción indebida en el tipo penal del art. 432 CP lesiva del derecho fundamental a la legalidad sancionadora previsto en el art. 25.1 CE.</w:t>
      </w:r>
    </w:p>
    <w:p w14:paraId="21A06E22" w14:textId="77777777" w:rsidR="003754FE" w:rsidRDefault="003754FE" w:rsidP="003754FE">
      <w:pPr>
        <w:pStyle w:val="TextoNormal"/>
      </w:pPr>
    </w:p>
    <w:p w14:paraId="30BC4C6B" w14:textId="77777777" w:rsidR="003754FE" w:rsidRDefault="003754FE" w:rsidP="003754FE">
      <w:pPr>
        <w:pStyle w:val="TextoNormal"/>
      </w:pPr>
      <w:r>
        <w:t>Los hechos declarados probados en la sentencia de instancia describen, en opinión del actor, meras desviaciones normativas en la tramitación de los distintos procedimientos administrativos o presupuestarios. Tales conductas serían, según alega, insuficientes para considerar que sustrajo o consintió la sustracción de caudales públicos. A su juicio, las resoluciones impugnadas trasladan, sin más, el contenido del injusto propio de la prevaricación al ámbito de la malversación. Se declara probada la omisión de trámites y controles en la gestión global de las ayudas sociolaborales, pero en ningún caso que dichas ayudas, concretamente consideradas, carecieran individualmente de una finalidad pública o social legitimadora, ya que la determinación de ese concreto aspecto quedó fuera del objeto de enjuiciamiento de la “pieza específica”.</w:t>
      </w:r>
    </w:p>
    <w:p w14:paraId="3A007F79" w14:textId="77777777" w:rsidR="003754FE" w:rsidRDefault="003754FE" w:rsidP="003754FE">
      <w:pPr>
        <w:pStyle w:val="TextoNormal"/>
      </w:pPr>
    </w:p>
    <w:p w14:paraId="753F8602" w14:textId="77777777" w:rsidR="003754FE" w:rsidRDefault="003754FE" w:rsidP="003754FE">
      <w:pPr>
        <w:pStyle w:val="TextoNormal"/>
      </w:pPr>
      <w:r>
        <w:t>A juicio del actor, la omisión generalizada de ciertos controles y trámites en la gestión global de las ayudas sociolaborales no resulta subsumible en el delito de malversación de caudales públicos del art. 432 CP, pues este precepto exige que la autoridad o funcionario público sustraiga o consienta que otro sustraiga dichos caudales. Esto implica, en su opinión, destinarlos a finalidades ajenas a su naturaleza pública. La mera gestión irregular de los fondos, que no cumple con todos los requisitos de procedimiento o control, no implica por sí sola, según alega el actor, su sustracción. Afirma, en todo caso, el recurrente que los hechos probados no ofrecen un soporte suficiente para justificar esa subsunción.</w:t>
      </w:r>
    </w:p>
    <w:p w14:paraId="561E5996" w14:textId="77777777" w:rsidR="003754FE" w:rsidRDefault="003754FE" w:rsidP="003754FE">
      <w:pPr>
        <w:pStyle w:val="TextoNormal"/>
      </w:pPr>
    </w:p>
    <w:p w14:paraId="771D34BB" w14:textId="77777777" w:rsidR="003754FE" w:rsidRDefault="003754FE" w:rsidP="003754FE">
      <w:pPr>
        <w:pStyle w:val="TextoNormal"/>
      </w:pPr>
      <w:r>
        <w:lastRenderedPageBreak/>
        <w:t>Entre las alegaciones de los otros condenados que han comparecido en este proceso de amparo, solo las presentadas por don Jesús María Rodríguez Román se refieren específicamente al delito de malversación. En lo que ahora interesa, se considera en ellas que la condena del recurrente por dicho delito carece de todo fundamento.</w:t>
      </w:r>
    </w:p>
    <w:p w14:paraId="701B1EE0" w14:textId="77777777" w:rsidR="003754FE" w:rsidRDefault="003754FE" w:rsidP="003754FE">
      <w:pPr>
        <w:pStyle w:val="TextoNormal"/>
      </w:pPr>
    </w:p>
    <w:p w14:paraId="4E90FF8A" w14:textId="77777777" w:rsidR="003754FE" w:rsidRDefault="003754FE" w:rsidP="003754FE">
      <w:pPr>
        <w:pStyle w:val="TextoNormal"/>
      </w:pPr>
      <w:r>
        <w:t>El Partido Popular se opone a la estimación de la queja y destaca que la condena por el delito de malversación de caudales públicos obedece, entre otros aspectos, a que el actor intervino directa y materialmente en la fase de gestión de las ayudas pues, como director general del IFA/IDEA, suscribió varios convenios particulares que condujeron al resultado materialmente injusto de la concesión de las ayudas sin tramitación de expediente alguno.</w:t>
      </w:r>
    </w:p>
    <w:p w14:paraId="6D65C58D" w14:textId="77777777" w:rsidR="003754FE" w:rsidRDefault="003754FE" w:rsidP="003754FE">
      <w:pPr>
        <w:pStyle w:val="TextoNormal"/>
      </w:pPr>
    </w:p>
    <w:p w14:paraId="7C815328" w14:textId="77777777" w:rsidR="003754FE" w:rsidRDefault="003754FE" w:rsidP="003754FE">
      <w:pPr>
        <w:pStyle w:val="TextoNormal"/>
      </w:pPr>
      <w:r>
        <w:t xml:space="preserve">El Ministerio Fiscal estima, por su parte, que no puede apreciarse la vulneración del derecho a la legalidad penal, al no haberse realizado una interpretación ni irrazonable ni extensiva </w:t>
      </w:r>
      <w:r w:rsidRPr="003754FE">
        <w:rPr>
          <w:i/>
        </w:rPr>
        <w:t>in malam partem</w:t>
      </w:r>
      <w:r>
        <w:t xml:space="preserve"> que implique imprevisibilidad de la aplicación del art. 432 CP. Reprocha en particular al recurrente que, al formular esta concreta queja, haya omitido toda referencia a los hechos probados de la sentencia de la Audiencia Provincial que le atribuyen específicas actuaciones en el ejercicio del cargo de director del IFA/IDEA que, como la firma de los convenios particulares o el pago y consiguiente reflejo contable de las ayudas, pueden fundamentar sin dificultad, a juicio del Ministerio Fiscal, la subsunción hecha por los órganos judiciales.</w:t>
      </w:r>
    </w:p>
    <w:p w14:paraId="6A13405F" w14:textId="77777777" w:rsidR="003754FE" w:rsidRDefault="003754FE" w:rsidP="003754FE">
      <w:pPr>
        <w:pStyle w:val="TextoNormal"/>
      </w:pPr>
    </w:p>
    <w:p w14:paraId="505B8FB4" w14:textId="77777777" w:rsidR="003754FE" w:rsidRDefault="003754FE" w:rsidP="003754FE">
      <w:pPr>
        <w:pStyle w:val="TextoNormal"/>
      </w:pPr>
      <w:r>
        <w:t>La queja así delimitada opera en dos planos distintos pues, como se explicó al compendiar la doctrina de este tribunal sobre el derecho a la legalidad penal (</w:t>
      </w:r>
      <w:r w:rsidRPr="003754FE">
        <w:rPr>
          <w:i/>
        </w:rPr>
        <w:t>vid. supra</w:t>
      </w:r>
      <w:r>
        <w:t xml:space="preserve"> FJ 3), el requisito de previsibilidad de la conducta penalmente sancionada se proyecta, por un lado, sobre la interpretación que los órganos judiciales realizan de la norma penal misma y, por otro, sobre la concreta operación de subsunción de los hechos declarados probados. El recurrente sostiene, como se ha expuesto, que la disposición de bienes públicos con omisión de formalidades y garantías legales no tiene cabida, en general, en el tipo de malversación del art. 432 CP y estima, al tiempo, que la subsunción de los hechos declarados probados en dicho precepto penal resulta, en todo caso, imprevisible. Nuestro análisis se estructurará examinando separadamente esos dos planos.</w:t>
      </w:r>
    </w:p>
    <w:p w14:paraId="45C55B0B" w14:textId="77777777" w:rsidR="003754FE" w:rsidRDefault="003754FE" w:rsidP="003754FE">
      <w:pPr>
        <w:pStyle w:val="TextoNormal"/>
      </w:pPr>
    </w:p>
    <w:p w14:paraId="75942EC0" w14:textId="77777777" w:rsidR="003754FE" w:rsidRDefault="003754FE" w:rsidP="003754FE">
      <w:pPr>
        <w:pStyle w:val="TextoNormal"/>
      </w:pPr>
      <w:r>
        <w:t xml:space="preserve">5.2. </w:t>
      </w:r>
      <w:r w:rsidRPr="003754FE">
        <w:rPr>
          <w:i/>
        </w:rPr>
        <w:t>Enjuiciamiento de la queja en relación con el alcance de la interpretación del tipo penal</w:t>
      </w:r>
    </w:p>
    <w:p w14:paraId="34438453" w14:textId="77777777" w:rsidR="003754FE" w:rsidRDefault="003754FE" w:rsidP="003754FE">
      <w:pPr>
        <w:pStyle w:val="TextoNormal"/>
      </w:pPr>
    </w:p>
    <w:p w14:paraId="3DF10C5E" w14:textId="77777777" w:rsidR="003754FE" w:rsidRDefault="003754FE" w:rsidP="003754FE">
      <w:pPr>
        <w:pStyle w:val="TextoNormal"/>
      </w:pPr>
      <w:r>
        <w:t>El recurrente cuestiona, en primer lugar, la interpretación de la norma penal efectuada por las sentencias impugnadas en cuanto estas incluyen, en abstracto, dentro de la tipicidad del delito de malversación, la realización de actos de disposición con omisión total o generalizada de los controles y los procedimientos legamente establecidos, sin considerar necesaria la acreditación adicional de su aplicación concreta a un destino ajeno a fines que puedan considerarse públicos. Sobre esta primera vertiente de la queja han de hacerse las siguientes consideraciones:</w:t>
      </w:r>
    </w:p>
    <w:p w14:paraId="017CA49A" w14:textId="77777777" w:rsidR="003754FE" w:rsidRDefault="003754FE" w:rsidP="003754FE">
      <w:pPr>
        <w:pStyle w:val="TextoNormal"/>
      </w:pPr>
    </w:p>
    <w:p w14:paraId="39C8337B" w14:textId="77777777" w:rsidR="003754FE" w:rsidRDefault="003754FE" w:rsidP="003754FE">
      <w:pPr>
        <w:pStyle w:val="TextoNormal"/>
      </w:pPr>
      <w:r>
        <w:t xml:space="preserve">a) No ha existido, en primer lugar, controversia alguna en el pleito </w:t>
      </w:r>
      <w:r w:rsidRPr="003754FE">
        <w:rPr>
          <w:i/>
        </w:rPr>
        <w:t>a quo</w:t>
      </w:r>
      <w:r>
        <w:t xml:space="preserve"> en torno a la norma penal aplicable, que es el art. 432.1 CP en la redacción dada a ese apartado por la propia Ley Orgánica 10/1995, de 23 de noviembre —redacción que actualmente no está en vigor, pues fue modificada, primero, por la Ley Orgánica 1/2015, de 30 de marzo, y más tarde por la Ley Orgánica 14/2022, de 22 de diciembre—.</w:t>
      </w:r>
    </w:p>
    <w:p w14:paraId="515E8C5D" w14:textId="77777777" w:rsidR="003754FE" w:rsidRDefault="003754FE" w:rsidP="003754FE">
      <w:pPr>
        <w:pStyle w:val="TextoNormal"/>
      </w:pPr>
    </w:p>
    <w:p w14:paraId="56D241DA" w14:textId="77777777" w:rsidR="003754FE" w:rsidRDefault="003754FE" w:rsidP="003754FE">
      <w:pPr>
        <w:pStyle w:val="TextoNormal"/>
      </w:pPr>
      <w:r>
        <w:t xml:space="preserve">El aludido precepto castiga, en la referida redacción, a la autoridad o funcionario público que “con ánimo de lucro, </w:t>
      </w:r>
      <w:r w:rsidRPr="003754FE">
        <w:rPr>
          <w:i/>
        </w:rPr>
        <w:t>sustrajere</w:t>
      </w:r>
      <w:r>
        <w:t xml:space="preserve"> o consintiere que un tercero, con igual ánimo, sustraiga los caudales o efectos públicos que tenga a su cargo por razón de sus funciones” (énfasis añadido). Tal descripción de la conducta típica responde a la estructura tradicional que, en nuestro Derecho, ha tenido el delito de malversación desde el Código penal de 1848, pues dicha infracción penal se ha configurado desde entonces, con la sola excepción de la citada reforma de la Ley Orgánica 1/2015, como “tipo de apoderamiento” que requiere la sustracción de un bien mueble con ánimo de lucro. No basta la gestión desleal del patrimonio público que da lugar a la irrogación de un perjuicio (como en el “tipo de daño” introducido por la citada Ley Orgánica 1/2015, de 30 de marzo) sino que se requiere, tal y como alega el recurrente de amparo, la sustracción de los caudales como acto apropiativo.</w:t>
      </w:r>
    </w:p>
    <w:p w14:paraId="2092A301" w14:textId="77777777" w:rsidR="003754FE" w:rsidRDefault="003754FE" w:rsidP="003754FE">
      <w:pPr>
        <w:pStyle w:val="TextoNormal"/>
      </w:pPr>
    </w:p>
    <w:p w14:paraId="163AC0F0" w14:textId="77777777" w:rsidR="003754FE" w:rsidRDefault="003754FE" w:rsidP="003754FE">
      <w:pPr>
        <w:pStyle w:val="TextoNormal"/>
      </w:pPr>
      <w:r>
        <w:t>No obstante, esa configuración estructural del delito de malversación como tipo de apoderamiento no implica, sin más, frente a lo que sostiene el actor en su demanda, que no sea constitucionalmente posible la subsunción en el art. 432 CP de una conducta que consiste en la realización de actos de disposición con apartamiento absoluto de los trámites y controles legalmente exigibles. Debe analizarse, para alcanzar una conclusión válida al respecto, la argumentación utilizada por las resoluciones impugnadas y contrastarla con las pautas exegéticas que fueron anticipadas en el fundamento jurídico 3, a propósito de la exposición de la doctrina de este tribunal sobre el derecho fundamental a la legalidad penal. Esto exige, en particular, verificar el respeto al tenor literal de la norma y la razonabilidad metodológica y axiológica de la interpretación efectuada por los órganos judiciales.</w:t>
      </w:r>
    </w:p>
    <w:p w14:paraId="4CDC004B" w14:textId="77777777" w:rsidR="003754FE" w:rsidRDefault="003754FE" w:rsidP="003754FE">
      <w:pPr>
        <w:pStyle w:val="TextoNormal"/>
      </w:pPr>
    </w:p>
    <w:p w14:paraId="44A36544" w14:textId="77777777" w:rsidR="003754FE" w:rsidRDefault="003754FE" w:rsidP="003754FE">
      <w:pPr>
        <w:pStyle w:val="TextoNormal"/>
      </w:pPr>
      <w:r>
        <w:t>b) Las resoluciones impugnadas, en especial la sentencia casacional de la Sala de lo Penal del Tribunal Supremo, contienen una argumentación dirigida a justificar una interpretación del alcance del tipo penal según la cual la noción de sustracción resulta compatible con la disposición definitiva de los caudales en una situación de omisión absoluta de los trámites, controles y formas exigidas en el ordenamiento jurídico.</w:t>
      </w:r>
    </w:p>
    <w:p w14:paraId="3FEB88C1" w14:textId="77777777" w:rsidR="003754FE" w:rsidRDefault="003754FE" w:rsidP="003754FE">
      <w:pPr>
        <w:pStyle w:val="TextoNormal"/>
      </w:pPr>
    </w:p>
    <w:p w14:paraId="102A1D31" w14:textId="77777777" w:rsidR="003754FE" w:rsidRDefault="003754FE" w:rsidP="003754FE">
      <w:pPr>
        <w:pStyle w:val="TextoNormal"/>
      </w:pPr>
      <w:r>
        <w:t>El Tribunal Supremo reconoce en su sentencia que la inclusión de esta clase de supuestos en la estructura apropiativa de la malversación de 1995 ofrece “mayores dificultades” que en el delito de administración desleal de patrimonio público introducido por la ya derogada Ley Orgánica 1/2015. Considera, pese a ello, que también puede entenderse, sin forzar el sentido literal posible de la norma y en coherencia con el bien jurídico protegido, que la sustracción requerida por el tipo penal se produce cuando “el caudal público [se] aparta definitivamente del patrimonio público desviándolo de las necesidades del servicio”. Esto ocurriría, en todo caso, cuando los actos de disposición de los caudales públicos se realizan de forma “arbitraria” y “libérrima”, como si se tratase de bienes pertenecientes a la autoridad que dispone de ellos, con completo apartamiento de los cauces, procedimientos y controles legalmente aplicables. Según razona el Tribunal Supremo, la autoridad o funcionario dispone, en ese tipo de supuestos, del dinero público “como si fuera propio”. La finalidad pública, concluye la sentencia, “viene condicionada al cumplimiento de las exigencias legales”, por lo que un incumplimiento “absoluto” de esas exigencias implica, en sí mismo, la sustracción a una finalidad legítima y, con ello, un acto dispositivo que conlleva una apropiación.</w:t>
      </w:r>
    </w:p>
    <w:p w14:paraId="58278632" w14:textId="77777777" w:rsidR="003754FE" w:rsidRDefault="003754FE" w:rsidP="003754FE">
      <w:pPr>
        <w:pStyle w:val="TextoNormal"/>
      </w:pPr>
    </w:p>
    <w:p w14:paraId="58A92FAA" w14:textId="77777777" w:rsidR="003754FE" w:rsidRDefault="003754FE" w:rsidP="003754FE">
      <w:pPr>
        <w:pStyle w:val="TextoNormal"/>
      </w:pPr>
      <w:r>
        <w:lastRenderedPageBreak/>
        <w:t>La resolución apoya estas consideraciones en su doctrina previa, citando varias sentencias [SSTS 908/2021, de 24 de noviembre (ECLI:ES:TS:2021:4385); 685/2021, de 15 de septiembre (ECLI:ES:TS:2021:3357), y 606/2017, de 7 de septiembre (ECLI:ES:TS:2017:3211)] en las que la esencia de la sustracción de los bienes a su finalidad pública radica en la realización del acto de disposición con omisión de todas las formalidades legalmente exigibles, que aseguran la sujeción del funcionario actuante al interés general.</w:t>
      </w:r>
    </w:p>
    <w:p w14:paraId="3FF035FA" w14:textId="77777777" w:rsidR="003754FE" w:rsidRDefault="003754FE" w:rsidP="003754FE">
      <w:pPr>
        <w:pStyle w:val="TextoNormal"/>
      </w:pPr>
    </w:p>
    <w:p w14:paraId="18A9E2F6" w14:textId="77777777" w:rsidR="003754FE" w:rsidRDefault="003754FE" w:rsidP="003754FE">
      <w:pPr>
        <w:pStyle w:val="TextoNormal"/>
      </w:pPr>
      <w:r>
        <w:t>c) El control que corresponde realizar a este tribunal de la interpretación que acaba de exponerse se circunscribe al examen de la razonabilidad de la motivación que la sustenta, pues no compete a la jurisdicción constitucional determinar la interpretación última de la norma penal, como tampoco dirimir la disyuntiva interpretativa que enfrenta la tesis del órgano judicial y la del recurrente.</w:t>
      </w:r>
    </w:p>
    <w:p w14:paraId="40C1FB82" w14:textId="77777777" w:rsidR="003754FE" w:rsidRDefault="003754FE" w:rsidP="003754FE">
      <w:pPr>
        <w:pStyle w:val="TextoNormal"/>
      </w:pPr>
    </w:p>
    <w:p w14:paraId="4743EAB1" w14:textId="77777777" w:rsidR="003754FE" w:rsidRDefault="003754FE" w:rsidP="003754FE">
      <w:pPr>
        <w:pStyle w:val="TextoNormal"/>
      </w:pPr>
      <w:r>
        <w:t>Con esa premisa, en aplicación del triple parámetro de control de razonabilidad propio de art. 25.1 CE (</w:t>
      </w:r>
      <w:r w:rsidRPr="003754FE">
        <w:rPr>
          <w:i/>
        </w:rPr>
        <w:t>vid. supra</w:t>
      </w:r>
      <w:r>
        <w:t xml:space="preserve"> FJ 3), debe concluirse que la interpretación del delito de malversación contenida en las resoluciones impugnadas no vulnera el derecho fundamental a la legalidad penal (art. 25.1 CE).</w:t>
      </w:r>
    </w:p>
    <w:p w14:paraId="7DB4FC42" w14:textId="77777777" w:rsidR="003754FE" w:rsidRDefault="003754FE" w:rsidP="003754FE">
      <w:pPr>
        <w:pStyle w:val="TextoNormal"/>
      </w:pPr>
    </w:p>
    <w:p w14:paraId="770E1003" w14:textId="77777777" w:rsidR="003754FE" w:rsidRDefault="003754FE" w:rsidP="003754FE">
      <w:pPr>
        <w:pStyle w:val="TextoNormal"/>
      </w:pPr>
      <w:r>
        <w:t>(i) No desborda, en primer lugar, el tenor literal del art. 432 CP la inclusión en el verbo típico “sustraer” de la acción que consiste en disponer de forma definitiva de los caudales o efectos en ausencia de toda finalidad pública. El Tribunal Supremo apoya, de hecho, esa comprensión del verbo rector del tipo en la definición del diccionario de la Real Academia Española, que incluye en su primera acepción las conductas de “apartar” o “separar”. Es claro que tales conductas de apartamiento o separación pueden ir referidas a las finalidades características del tipo de patrimonio (en este caso público) gestionado.</w:t>
      </w:r>
    </w:p>
    <w:p w14:paraId="383DF922" w14:textId="77777777" w:rsidR="003754FE" w:rsidRDefault="003754FE" w:rsidP="003754FE">
      <w:pPr>
        <w:pStyle w:val="TextoNormal"/>
      </w:pPr>
    </w:p>
    <w:p w14:paraId="3DA2CEDB" w14:textId="77777777" w:rsidR="003754FE" w:rsidRDefault="003754FE" w:rsidP="003754FE">
      <w:pPr>
        <w:pStyle w:val="TextoNormal"/>
      </w:pPr>
      <w:r>
        <w:t>(ii) El Tribunal Supremo sustenta su interpretación, en el plano metodológico, en elementos normativos relevantes en la configuración del delito de malversación, como la ubicación sistemática del art. 432 CP o el sujeto activo. De dichos elementos infiere, sin incurrir en quiebras lógicas, que el tipo penal no solo protege la indemnidad del patrimonio público sino también el correcto funcionamiento de la actividad económica de las administraciones.</w:t>
      </w:r>
    </w:p>
    <w:p w14:paraId="0CE1E201" w14:textId="77777777" w:rsidR="003754FE" w:rsidRDefault="003754FE" w:rsidP="003754FE">
      <w:pPr>
        <w:pStyle w:val="TextoNormal"/>
      </w:pPr>
    </w:p>
    <w:p w14:paraId="4B3890B7" w14:textId="77777777" w:rsidR="003754FE" w:rsidRDefault="003754FE" w:rsidP="003754FE">
      <w:pPr>
        <w:pStyle w:val="TextoNormal"/>
      </w:pPr>
      <w:r>
        <w:t>Subraya la sentencia casacional, en este punto, que el delito de malversación guarda una estrecha relación con “la confianza de la sociedad en el manejo honesto de los fondos públicos” y con la garantía de “los deberes de fidelidad y transparencia” de los funcionarios. Desde tal orientación teleológica, estima, con amplia exposición de los precedentes jurisprudenciales, que la interpretación del delito de malversación se ha ido adaptando a formas cada vez más complejas de gestión del patrimonio público. No se apoya, en definitiva, la resolución casacional en pautas metodológicas que puedan considerarse lesivas del art. 25.1 CE.</w:t>
      </w:r>
    </w:p>
    <w:p w14:paraId="3710BFDB" w14:textId="77777777" w:rsidR="003754FE" w:rsidRDefault="003754FE" w:rsidP="003754FE">
      <w:pPr>
        <w:pStyle w:val="TextoNormal"/>
      </w:pPr>
    </w:p>
    <w:p w14:paraId="3E9EF4D6" w14:textId="77777777" w:rsidR="003754FE" w:rsidRDefault="003754FE" w:rsidP="003754FE">
      <w:pPr>
        <w:pStyle w:val="TextoNormal"/>
      </w:pPr>
      <w:r>
        <w:t xml:space="preserve">(iii) Desde una perspectiva axiológica, la conexión que la sentencia del Tribunal Supremo establece entre la noción de “sustracción” y el manejo arbitrario de los fondos públicos resultante del incumplimiento absoluto de las nomas de gestión y control aplicables tampoco resulta reprochable. La importancia que ha adquirido en la sociedad actual la lucha de los poderes públicos contra la corrupción permite concebir el bien jurídico protegido más allá de su dimensión patrimonial, conectándolo con la cláusula constitucional que exige a </w:t>
      </w:r>
      <w:r>
        <w:lastRenderedPageBreak/>
        <w:t>las autoridades y funcionarios que componen las administraciones públicas servir con objetividad (y no arbitrariamente) a la consecución de los intereses generales (art. 103 CE).</w:t>
      </w:r>
    </w:p>
    <w:p w14:paraId="362E39F7" w14:textId="77777777" w:rsidR="003754FE" w:rsidRDefault="003754FE" w:rsidP="003754FE">
      <w:pPr>
        <w:pStyle w:val="TextoNormal"/>
      </w:pPr>
    </w:p>
    <w:p w14:paraId="76B343FD" w14:textId="77777777" w:rsidR="003754FE" w:rsidRDefault="003754FE" w:rsidP="003754FE">
      <w:pPr>
        <w:pStyle w:val="TextoNormal"/>
      </w:pPr>
      <w:r>
        <w:t>Ningún reproche puede hacerse, en suma, a las resoluciones impugnadas, desde la óptica del art. 25.1 CE, en lo que se refiere a la determinación del significado y alcance del delito del art. 432 CP, pues la interpretación cuestionada por el actor respeta el tenor literal de la norma y se apoya en una argumentación que, tanto metodológica como axiológicamente, resulta adecuada a las exigencias del derecho fundamental a la legalidad penal.</w:t>
      </w:r>
    </w:p>
    <w:p w14:paraId="11831E4E" w14:textId="77777777" w:rsidR="003754FE" w:rsidRDefault="003754FE" w:rsidP="003754FE">
      <w:pPr>
        <w:pStyle w:val="TextoNormal"/>
      </w:pPr>
    </w:p>
    <w:p w14:paraId="027ECEF8" w14:textId="77777777" w:rsidR="003754FE" w:rsidRDefault="003754FE" w:rsidP="003754FE">
      <w:pPr>
        <w:pStyle w:val="TextoNormal"/>
      </w:pPr>
      <w:r>
        <w:t xml:space="preserve">5.3. </w:t>
      </w:r>
      <w:r w:rsidRPr="003754FE">
        <w:rPr>
          <w:i/>
        </w:rPr>
        <w:t>Enjuiciamiento de la queja en relación con la subsunción de los hechos probados en el delito de malversación</w:t>
      </w:r>
    </w:p>
    <w:p w14:paraId="289CBAC0" w14:textId="77777777" w:rsidR="003754FE" w:rsidRDefault="003754FE" w:rsidP="003754FE">
      <w:pPr>
        <w:pStyle w:val="TextoNormal"/>
      </w:pPr>
    </w:p>
    <w:p w14:paraId="0B86E861" w14:textId="77777777" w:rsidR="003754FE" w:rsidRDefault="003754FE" w:rsidP="003754FE">
      <w:pPr>
        <w:pStyle w:val="TextoNormal"/>
      </w:pPr>
      <w:r>
        <w:t>En lo que se refiere al juicio de subsunción propiamente dicho, las conclusiones antes alcanzadas en el fundamento jurídico 4 en relación con el delito de prevaricación tienen influjo directo sobre la evaluación de la posible vulneración del derecho a la legalidad penal en la condena por el delito de malversación.</w:t>
      </w:r>
    </w:p>
    <w:p w14:paraId="3CC78D8B" w14:textId="77777777" w:rsidR="003754FE" w:rsidRDefault="003754FE" w:rsidP="003754FE">
      <w:pPr>
        <w:pStyle w:val="TextoNormal"/>
      </w:pPr>
    </w:p>
    <w:p w14:paraId="7974E0E3" w14:textId="77777777" w:rsidR="003754FE" w:rsidRDefault="003754FE" w:rsidP="003754FE">
      <w:pPr>
        <w:pStyle w:val="TextoNormal"/>
      </w:pPr>
      <w:r>
        <w:t>Hemos de distinguir, por tal razón: (A) la subsunción en el tipo penal de malversación de aquellos hechos probados que se refieren globalmente a la forma de gestión de las transferencias de financiación en ejecución del programa 31L en el tiempo en el que el recurrente de amparo fue director del IFA/IDEA (desde el 17 de junio de 2004 hasta el 14 de mayo de 2008) y (B) la subsunción en el delito de malversación de las concretas aplicaciones, en el mismo periodo de tiempo, de fondos públicos sin cobertura en el programa 31L.</w:t>
      </w:r>
    </w:p>
    <w:p w14:paraId="3845107E" w14:textId="77777777" w:rsidR="003754FE" w:rsidRDefault="003754FE" w:rsidP="003754FE">
      <w:pPr>
        <w:pStyle w:val="TextoNormal"/>
      </w:pPr>
    </w:p>
    <w:p w14:paraId="370F234F" w14:textId="77777777" w:rsidR="003754FE" w:rsidRDefault="003754FE" w:rsidP="003754FE">
      <w:pPr>
        <w:pStyle w:val="TextoNormal"/>
      </w:pPr>
      <w:r>
        <w:t>A) Hechos probados que se refieren globalmente a la forma de gestión de las transferencias de financiación en ejecución del programa 31L</w:t>
      </w:r>
    </w:p>
    <w:p w14:paraId="22E45FF2" w14:textId="77777777" w:rsidR="003754FE" w:rsidRDefault="003754FE" w:rsidP="003754FE">
      <w:pPr>
        <w:pStyle w:val="TextoNormal"/>
      </w:pPr>
    </w:p>
    <w:p w14:paraId="0242075D" w14:textId="77777777" w:rsidR="003754FE" w:rsidRDefault="003754FE" w:rsidP="003754FE">
      <w:pPr>
        <w:pStyle w:val="TextoNormal"/>
      </w:pPr>
      <w:r>
        <w:t>a) En lo que se refiere a la condena por malversación derivada de la gestión global llevada a cabo por el recurrente de amparo de los fondos correspondientes al programa 31L, han de hacerse las siguientes precisiones iniciales:</w:t>
      </w:r>
    </w:p>
    <w:p w14:paraId="233851B3" w14:textId="77777777" w:rsidR="003754FE" w:rsidRDefault="003754FE" w:rsidP="003754FE">
      <w:pPr>
        <w:pStyle w:val="TextoNormal"/>
      </w:pPr>
    </w:p>
    <w:p w14:paraId="076AE76E" w14:textId="77777777" w:rsidR="003754FE" w:rsidRDefault="003754FE" w:rsidP="003754FE">
      <w:pPr>
        <w:pStyle w:val="TextoNormal"/>
      </w:pPr>
      <w:r>
        <w:t>(i) La sentencia condenatoria dictada por la Audiencia Provincial de Sevilla declara probado [</w:t>
      </w:r>
      <w:r w:rsidRPr="003754FE">
        <w:rPr>
          <w:i/>
        </w:rPr>
        <w:t>vid</w:t>
      </w:r>
      <w:r>
        <w:t xml:space="preserve">. más ampliamente </w:t>
      </w:r>
      <w:r w:rsidRPr="003754FE">
        <w:rPr>
          <w:i/>
        </w:rPr>
        <w:t>supra</w:t>
      </w:r>
      <w:r>
        <w:t xml:space="preserve"> FJ 2.4)] que el actor, en su condición de director del IFA/IDEA, firmó más de cuarenta convenios con la Dirección General de Trabajo y Seguridad Social para el pago de las ayudas sociolaborales y a empresas en crisis con cargo a la partida presupuestaria 440 del programa 31L.</w:t>
      </w:r>
    </w:p>
    <w:p w14:paraId="637C5D3A" w14:textId="77777777" w:rsidR="003754FE" w:rsidRDefault="003754FE" w:rsidP="003754FE">
      <w:pPr>
        <w:pStyle w:val="TextoNormal"/>
      </w:pPr>
    </w:p>
    <w:p w14:paraId="3745F099" w14:textId="77777777" w:rsidR="003754FE" w:rsidRDefault="003754FE" w:rsidP="003754FE">
      <w:pPr>
        <w:pStyle w:val="TextoNormal"/>
      </w:pPr>
      <w:r>
        <w:t>También estima probado que el recurrente asistió con regularidad a las sesiones del consejo rector de la agencia IFA/IDEA. Le responsabiliza, igualmente, de la aprobación de las cuentas anuales en las que se recogían como “otros gastos de explotación” los importes que el IFA/IDEA recibía de la Consejería de Empleo para el pago de las ayudas. También considera acreditado que dichas cuentas reflejaban esas operaciones como una actividad de mera intermediación conforme a la cual, y puesto que el IFA/IDEA solo procedía a efectuar los pagos, los importes que iban a percibirse de la Consejería de Empleo con cargo a la partida 440 (destinadas a materializar los pagos) se reflejaban como un activo y los compromisos de pago que después iba asumiendo el IFA/IDEA por orden de la citada consejería se reflejaban como un pasivo.</w:t>
      </w:r>
    </w:p>
    <w:p w14:paraId="5CEB30FC" w14:textId="77777777" w:rsidR="003754FE" w:rsidRDefault="003754FE" w:rsidP="003754FE">
      <w:pPr>
        <w:pStyle w:val="TextoNormal"/>
      </w:pPr>
    </w:p>
    <w:p w14:paraId="4F0B989E" w14:textId="77777777" w:rsidR="003754FE" w:rsidRDefault="003754FE" w:rsidP="003754FE">
      <w:pPr>
        <w:pStyle w:val="TextoNormal"/>
      </w:pPr>
      <w:r>
        <w:lastRenderedPageBreak/>
        <w:t>(ii) Tanto la sentencia de la Audiencia Provincial como la del Tribunal Supremo estiman que esas actuaciones se efectuaban con la intención de sortear los diversos controles y procedimientos propios del régimen de las subvenciones. Para la Audiencia Provincial, el actor, al actuar de ese modo, se representaba necesariamente la alta probabilidad de que los caudales gestionados se sustrajeran a su finalidad pública. Para el Tribunal Supremo, la finalidad última del recurrente de amparo (compartida por los demás condenados) era materializar una gestión de las ayudas “libérrima y arbitraria”, situación que, como ya se ha explicado, el alto tribunal estima equivalente a la sustracción de los caudales a la consecución de cualquier finalidad que pueda considerarse pública.</w:t>
      </w:r>
    </w:p>
    <w:p w14:paraId="68DA2E4C" w14:textId="77777777" w:rsidR="003754FE" w:rsidRDefault="003754FE" w:rsidP="003754FE">
      <w:pPr>
        <w:pStyle w:val="TextoNormal"/>
      </w:pPr>
    </w:p>
    <w:p w14:paraId="678B8F2C" w14:textId="77777777" w:rsidR="003754FE" w:rsidRDefault="003754FE" w:rsidP="003754FE">
      <w:pPr>
        <w:pStyle w:val="TextoNormal"/>
      </w:pPr>
      <w:r>
        <w:t>(iii) En el fundamento relativo al juicio de autoría del recurrente de amparo, la sentencia de la Audiencia Provincial sostiene que las actuaciones que este realizó como director del IFA/IDEA supusieron una aportación esencial para la efectiva sustracción de los fondos públicos que estaban a su cargo. Según señala la Audiencia “sin la firma de los convenios, los delitos no se hubiesen podido cometer” (fundamento de Derecho 31, pág. 1069). Destaca la resolución que el recurrente de amparo “continuó con la firma de los convenios” pese a que tenía conocimiento: (1) de cómo estaba concediendo las ayudas la Dirección General de Trabajo (con omisión de fiscalización previa y prescindiendo “de forma total y absoluta del procedimiento administrativo establecido”); (2) de la “indebida presupuestación de las transferencias de financiación”, y (3) de “la indebida utilización del IFA como entidad colaboradora” (fundamento 31, págs. 1068-1069). También considera una aportación esencial a la efectiva sustracción de los fondos públicos que el recurrente realizara pagos “tanto de convenios como de resoluciones, conociendo la ilegalidad de los mismos” (fundamento 31, pág. 1069).</w:t>
      </w:r>
    </w:p>
    <w:p w14:paraId="5E22568B" w14:textId="77777777" w:rsidR="003754FE" w:rsidRDefault="003754FE" w:rsidP="003754FE">
      <w:pPr>
        <w:pStyle w:val="TextoNormal"/>
      </w:pPr>
    </w:p>
    <w:p w14:paraId="0F96C53A" w14:textId="77777777" w:rsidR="003754FE" w:rsidRDefault="003754FE" w:rsidP="003754FE">
      <w:pPr>
        <w:pStyle w:val="TextoNormal"/>
      </w:pPr>
      <w:r>
        <w:t>b) Realizadas las precisiones anteriores sobre los hechos atribuidos al actor en las resoluciones impugnadas, hemos de determinar si la subsunción de tales hechos en un delito de malversación del art. 432 CP ha vulnerado el derecho del recurrente a la legalidad penal del art. 25.1 CE. Para enjuiciar este extremo, hemos de realizar las siguientes consideraciones:</w:t>
      </w:r>
    </w:p>
    <w:p w14:paraId="2942AE7F" w14:textId="77777777" w:rsidR="003754FE" w:rsidRDefault="003754FE" w:rsidP="003754FE">
      <w:pPr>
        <w:pStyle w:val="TextoNormal"/>
      </w:pPr>
    </w:p>
    <w:p w14:paraId="13CA028F" w14:textId="77777777" w:rsidR="003754FE" w:rsidRDefault="003754FE" w:rsidP="003754FE">
      <w:pPr>
        <w:pStyle w:val="TextoNormal"/>
      </w:pPr>
      <w:r>
        <w:t>(i) Las resoluciones impugnadas atribuyen las supuestas irregularidades cometidas por el actor a la ejecución de las determinaciones contenidas en el programa 31L, esto es, a los efectos jurídicos asociados a un determinado sistema de presupuestación que imponía una forma de gestión y control radicalmente distinta a la exigible en el ámbito de las subvenciones.</w:t>
      </w:r>
    </w:p>
    <w:p w14:paraId="30F4E7FD" w14:textId="77777777" w:rsidR="003754FE" w:rsidRDefault="003754FE" w:rsidP="003754FE">
      <w:pPr>
        <w:pStyle w:val="TextoNormal"/>
      </w:pPr>
    </w:p>
    <w:p w14:paraId="31E545E2" w14:textId="77777777" w:rsidR="003754FE" w:rsidRDefault="003754FE" w:rsidP="003754FE">
      <w:pPr>
        <w:pStyle w:val="TextoNormal"/>
      </w:pPr>
      <w:r>
        <w:t>Según compendia la sentencia casacional, fue la utilización de un “indebido criterio de presupuestación” (concretamente, la inclusión de las ayudas sociolaborales en el programa 31L, correspondiente a las transferencias de financiación) lo que determinó: (1) que la Consejería de Empleo no tramitara los expedientes de concesión de ayudas sociolaborales y a empresas en crisis ante la Intervención de la Junta de Andalucía, porque los fondos para materializar dicha concesión habían sido transmitidos al IFA/IDEA; (2) que el IFA/IDEA tampoco tramitara expediente alguno, pues dicho ente no concedía las ayudas, sino que simplemente procedía a su pago; (3) que los pagos no fueran sometidos a fiscalización previa, pues ese régimen de control no era aplicable a las transferencias de financiación, y (4) que los pagos se contabilizaran como gastos de explotación cuando, en realidad, no lo eran (fundamento de Derecho 37.2, pág. 349).</w:t>
      </w:r>
    </w:p>
    <w:p w14:paraId="5530C3C4" w14:textId="77777777" w:rsidR="003754FE" w:rsidRDefault="003754FE" w:rsidP="003754FE">
      <w:pPr>
        <w:pStyle w:val="TextoNormal"/>
      </w:pPr>
    </w:p>
    <w:p w14:paraId="1A48A8CD" w14:textId="77777777" w:rsidR="003754FE" w:rsidRDefault="003754FE" w:rsidP="003754FE">
      <w:pPr>
        <w:pStyle w:val="TextoNormal"/>
      </w:pPr>
      <w:r>
        <w:lastRenderedPageBreak/>
        <w:t>(ii) Hecha esta constatación, resulta de especial relevancia que el referido sistema de presupuestación, y en particular las transferencias de financiación comprendidas en la partida 440 del programa 31L, fuera aprobado en las sucesivas leyes de presupuestos de la Comunidad Autónoma de Andalucía de los años 2002 a 2009, pues esa aprobación parlamentaria implica que las previsiones sobre la concesión y gestión de ayudas sociolaborales se incorporaron al ordenamiento jurídico como normas con rango de ley. En consecuencia, las determinaciones contenidas en dichas leyes de presupuestos en relación con el régimen de concesión y control financiero de las ayudas sociolaborales y a empresas en crisis (en concepto de “transferencias de financiación”) no podían ser calificadas de ilícitas o ilegales.</w:t>
      </w:r>
    </w:p>
    <w:p w14:paraId="0D20699B" w14:textId="77777777" w:rsidR="003754FE" w:rsidRDefault="003754FE" w:rsidP="003754FE">
      <w:pPr>
        <w:pStyle w:val="TextoNormal"/>
      </w:pPr>
    </w:p>
    <w:p w14:paraId="30F797FD" w14:textId="77777777" w:rsidR="003754FE" w:rsidRDefault="003754FE" w:rsidP="003754FE">
      <w:pPr>
        <w:pStyle w:val="TextoNormal"/>
      </w:pPr>
      <w:r>
        <w:t>En particular, las leyes de presupuestos aprobadas en el período en el que el recurrente de amparo fue director de la agencia IFA/IDEA (2004-2008) contemplaban expresamente que dicha agencia procedería a la firma de convenios particulares con la Consejería de Empleo para el pago de las ayudas sociolaborales y a empresas en crisis y que el pago de dichas ayudas se materializaría mediante transferencias de financiación al IFA/IDEA, conductas estas (firma de convenios y pago de las ayudas) que son, precisamente, las que se atribuyen al recurrente de amparo a efectos de condenarle por el delito de malversación del art. 432.1 CP.</w:t>
      </w:r>
    </w:p>
    <w:p w14:paraId="6A6D28EE" w14:textId="77777777" w:rsidR="003754FE" w:rsidRDefault="003754FE" w:rsidP="003754FE">
      <w:pPr>
        <w:pStyle w:val="TextoNormal"/>
      </w:pPr>
    </w:p>
    <w:p w14:paraId="558C2523" w14:textId="77777777" w:rsidR="003754FE" w:rsidRDefault="003754FE" w:rsidP="003754FE">
      <w:pPr>
        <w:pStyle w:val="TextoNormal"/>
      </w:pPr>
      <w:r>
        <w:t>(iii) Con estas premisas, no puede estimarse en modo alguno previsible, desde la óptica propia del art. 25.1 CE, que una actuación de una autoridad o funcionario público que está amparada en las determinaciones contenidas en leyes de presupuestos aprobadas por un Parlamento pueda dar lugar a una condena penal por delito de malversación, por más que esas determinaciones impliquen la supresión de los controles y procedimientos propios del régimen de las subvenciones. Nadie puede prever razonablemente que vaya a ser condenado por el delito de malversación, esto es, por la disposición ilícita de caudales o efectos públicos, por realizar conductas que tienen cobertura en una norma con rango de ley que regula específicamente el supuesto de hecho al que ese individuo se enfrenta en su calidad de autoridad o funcionario público, pues tal ley, en tanto no sea declarada inconstitucional, ha de considerarse válida.</w:t>
      </w:r>
    </w:p>
    <w:p w14:paraId="61C38E89" w14:textId="77777777" w:rsidR="003754FE" w:rsidRDefault="003754FE" w:rsidP="003754FE">
      <w:pPr>
        <w:pStyle w:val="TextoNormal"/>
      </w:pPr>
    </w:p>
    <w:p w14:paraId="443A2662" w14:textId="77777777" w:rsidR="003754FE" w:rsidRDefault="003754FE" w:rsidP="003754FE">
      <w:pPr>
        <w:pStyle w:val="TextoNormal"/>
      </w:pPr>
      <w:r>
        <w:t>(iv) Es importante reseñar, finalmente, que para alcanzar las conclusiones anteriores no es preciso pronunciarse sobre la eventual relación normativa de antinomia o complementariedad que pudiera existir entre el sistema de presupuestación establecido para las ayudas sociolaborales y a empresas en crisis en las sucesivas leyes de presupuestos de la Comunidad Autónoma de Andalucía de los años 2002 a 2009 y las disposiciones previstas en otras normas de rango legal, como la Ley 5/1983, de 19 de julio, de hacienda pública de Andalucía, o la Ley 38/2003, de 17 de noviembre, general de subvenciones. Las sentencias de instancia y casación son claras al considerar que existe una correspondencia absoluta entre el sistema de presupuestación aprobado por las leyes presupuestarias y el consiguiente sistema global de gestión de los fondos públicos sin sujeción al régimen de las subvenciones, rechazando, en diversos pasajes, que uno y otro puedan ser desconectados, ya que son eslabones sucesivos en la materialización de una ilegalidad originaria, contenida en el sistema de presupuestación inicialmente establecido. Es esa tesis de los órganos judiciales la que es objeto de escrutinio en este recurso de amparo y la que conduce, como se ha expresado, a apreciar que se ha producido una subsunción completamente imprevisible en el delito de malversación. A ella, por tanto, ha de ceñirse nuestro enjuiciamiento.</w:t>
      </w:r>
    </w:p>
    <w:p w14:paraId="66BC9E1B" w14:textId="77777777" w:rsidR="003754FE" w:rsidRDefault="003754FE" w:rsidP="003754FE">
      <w:pPr>
        <w:pStyle w:val="TextoNormal"/>
      </w:pPr>
    </w:p>
    <w:p w14:paraId="34A19E11" w14:textId="77777777" w:rsidR="003754FE" w:rsidRDefault="003754FE" w:rsidP="003754FE">
      <w:pPr>
        <w:pStyle w:val="TextoNormal"/>
      </w:pPr>
      <w:r>
        <w:lastRenderedPageBreak/>
        <w:t>La jurisdicción que nos corresponde ejercer en este proceso constitucional se circunscribe a la revisión de una condena penal desde la perspectiva tuitiva que es propia del derecho a la legalidad en materia sancionadora (art. 25.1 CE). Basta, por ello, con constatar que las leyes de presupuestos de los años 2002 a 2009 —que no fueron impugnadas ni cuestionadas ante este tribunal— estaban en vigor y amparaban el modo de gestión globalmente seguido por el recurrente de amparo en su calidad de director del IFA/IDEA.</w:t>
      </w:r>
    </w:p>
    <w:p w14:paraId="3B103845" w14:textId="77777777" w:rsidR="003754FE" w:rsidRDefault="003754FE" w:rsidP="003754FE">
      <w:pPr>
        <w:pStyle w:val="TextoNormal"/>
      </w:pPr>
    </w:p>
    <w:p w14:paraId="269D7443" w14:textId="77777777" w:rsidR="003754FE" w:rsidRDefault="003754FE" w:rsidP="003754FE">
      <w:pPr>
        <w:pStyle w:val="TextoNormal"/>
      </w:pPr>
      <w:r>
        <w:t>En definitiva, la subsunción en el delito de malversación basada en el hecho de haber gestionado los fondos públicos recibidos para el pago de las ayudas sociolaborales según las determinaciones del programa 31L, resultaba manifiestamente imprevisible, pues se trataba de un sistema de gestión establecido por una ley que ni siquiera fue impugnada o cuestionada ante este tribunal. En todo caso, la responsabilidad política en la que se pueda incurrir por la gestión de los asuntos públicos es una cuestión ajena a esta jurisdicción.</w:t>
      </w:r>
    </w:p>
    <w:p w14:paraId="725E76F4" w14:textId="77777777" w:rsidR="003754FE" w:rsidRDefault="003754FE" w:rsidP="003754FE">
      <w:pPr>
        <w:pStyle w:val="TextoNormal"/>
      </w:pPr>
    </w:p>
    <w:p w14:paraId="2FE53219" w14:textId="77777777" w:rsidR="003754FE" w:rsidRDefault="003754FE" w:rsidP="003754FE">
      <w:pPr>
        <w:pStyle w:val="TextoNormal"/>
      </w:pPr>
      <w:r>
        <w:t>Ha de estimarse, por ello, vulnerado el derecho a la legalidad penal (art. 25.1 CE) en lo que se refiere a la forma global de gestión que, en calidad de director del IFA/IDEA, el recurrente hizo de las ayudas sociolaborales a empresas contempladas en el programa 31L.</w:t>
      </w:r>
    </w:p>
    <w:p w14:paraId="05DF26D3" w14:textId="77777777" w:rsidR="003754FE" w:rsidRDefault="003754FE" w:rsidP="003754FE">
      <w:pPr>
        <w:pStyle w:val="TextoNormal"/>
      </w:pPr>
    </w:p>
    <w:p w14:paraId="42AEAE44" w14:textId="77777777" w:rsidR="003754FE" w:rsidRDefault="003754FE" w:rsidP="003754FE">
      <w:pPr>
        <w:pStyle w:val="TextoNormal"/>
      </w:pPr>
      <w:r>
        <w:t>B) Hechos referidos a concretas aplicaciones de fondos públicos sin cobertura en el programa 31L</w:t>
      </w:r>
    </w:p>
    <w:p w14:paraId="006DF39F" w14:textId="77777777" w:rsidR="003754FE" w:rsidRDefault="003754FE" w:rsidP="003754FE">
      <w:pPr>
        <w:pStyle w:val="TextoNormal"/>
      </w:pPr>
    </w:p>
    <w:p w14:paraId="46ABB3EF" w14:textId="77777777" w:rsidR="003754FE" w:rsidRDefault="003754FE" w:rsidP="003754FE">
      <w:pPr>
        <w:pStyle w:val="TextoNormal"/>
      </w:pPr>
      <w:r>
        <w:t>La condena por malversación incluye una serie de conductas —algunas de las cuales se materializaron en el período de tiempo en que el recurrente fue director del IFA/DEA— cuya ilicitud no obedece a la supresión de trámites y controles como consecuencia del sistema de presupuestación utilizado sino a dos factores diferentes: a) por una parte, a la concesión de las concretas ayudas del programa 31L, por parte de las autoridades de la Consejería de Empleo, en ausencia de todo fin público, cuestión de la que se ocupa el fundamento de Derecho 45 de la sentencia de la Audiencia Provincial; y b) por otra, a la asignación de fondos públicos a fines distintos y ajenos a los recogidos para el programa 31L, concretamente en los supuestos especificados en la letra C) del hecho probado vigesimosegundo.</w:t>
      </w:r>
    </w:p>
    <w:p w14:paraId="04EC3711" w14:textId="77777777" w:rsidR="003754FE" w:rsidRDefault="003754FE" w:rsidP="003754FE">
      <w:pPr>
        <w:pStyle w:val="TextoNormal"/>
      </w:pPr>
    </w:p>
    <w:p w14:paraId="305BDD5A" w14:textId="77777777" w:rsidR="003754FE" w:rsidRDefault="003754FE" w:rsidP="003754FE">
      <w:pPr>
        <w:pStyle w:val="TextoNormal"/>
      </w:pPr>
      <w:r>
        <w:t>a) La Audiencia Provincial considera que las ayudas del programa 31L fueron concedidas por “los acusados pertenecientes a la Consejería de Empleo” (fundamento 45, pág. 1722) sin que concurriera “el fin público o social” que constituía su causa legítima. Distingue, en este punto, dos clases de ayudas: (i) las que tenían como finalidad cubrir los importes de las indemnizaciones derivadas de expedientes de regulación de empleo en situaciones de insolvencia de la empresa empleadora (beneficiaria de la ayuda) y (ii) las que no guardaban relación con la tramitación y aprobación de los expedientes de regulación de empleo.</w:t>
      </w:r>
    </w:p>
    <w:p w14:paraId="060B871F" w14:textId="77777777" w:rsidR="003754FE" w:rsidRDefault="003754FE" w:rsidP="003754FE">
      <w:pPr>
        <w:pStyle w:val="TextoNormal"/>
      </w:pPr>
    </w:p>
    <w:p w14:paraId="04507872" w14:textId="77777777" w:rsidR="003754FE" w:rsidRDefault="003754FE" w:rsidP="003754FE">
      <w:pPr>
        <w:pStyle w:val="TextoNormal"/>
      </w:pPr>
      <w:r>
        <w:t>(i) En cuanto a las ayudas que tenían como finalidad cubrir los importes de las indemnizaciones por rescisión de la relación laboral en situaciones de ERE, la Audiencia Provincial estima que la Consejería de Empleo otorgó este tipo de ayudas sin comprobar que las empresas beneficiarias carecieran de capacidad económica para afrontar el pago de las indemnizaciones de los trabajadores afectados. La administración pública andaluza asumió, de ese modo, los costes de los expedientes de regulación de empleo de empresas sin determinar si estas eran solventes o no (fundamento de Derecho 45, pág. 1711), lo que “facilitaba a estas empresas la reducción de plantilla, sin el coste económico que ello conlleva”, con “el consiguiente lucro para las mismas” (fundamento 45, pág. 1712).</w:t>
      </w:r>
    </w:p>
    <w:p w14:paraId="36FD9F67" w14:textId="77777777" w:rsidR="003754FE" w:rsidRDefault="003754FE" w:rsidP="003754FE">
      <w:pPr>
        <w:pStyle w:val="TextoNormal"/>
      </w:pPr>
    </w:p>
    <w:p w14:paraId="070277D0" w14:textId="77777777" w:rsidR="003754FE" w:rsidRDefault="003754FE" w:rsidP="003754FE">
      <w:pPr>
        <w:pStyle w:val="TextoNormal"/>
      </w:pPr>
      <w:r>
        <w:t>(ii) En lo que respecta a las ayudas que no guardaban relación con la tramitación y aprobación de expedientes de regulación de empleo, considera la sentencia de la Audiencia Provincial que “[u]na parte importante” de estas otras subvenciones carecían “de objeto concreto y claramente definido” (fundamento de Derecho 45, pág. 1714) y señala que se destinaron a “fines muy diversos” como pago de nóminas, deudas, gastos de primer establecimiento de la empresa, minutas por asesoramiento jurídico en materia laboral, mejoras salariales derivadas de convenios colectivos, cursos de alta dirección, indemnizaciones derivadas de despidos improcedentes o préstamos para pago de nóminas. Añade que estas ayudas se concedieron sin comprobar las circunstancias del beneficiario, “especialmente en lo que se refiere a que la empresa no tuviera capacidad económica para hacer frente, en todo o en parte, a las obligaciones asumidas por la Junta” (fundamento 45, pág. 1715).</w:t>
      </w:r>
    </w:p>
    <w:p w14:paraId="16D79AD8" w14:textId="77777777" w:rsidR="003754FE" w:rsidRDefault="003754FE" w:rsidP="003754FE">
      <w:pPr>
        <w:pStyle w:val="TextoNormal"/>
      </w:pPr>
    </w:p>
    <w:p w14:paraId="69CAD74A" w14:textId="77777777" w:rsidR="003754FE" w:rsidRDefault="003754FE" w:rsidP="003754FE">
      <w:pPr>
        <w:pStyle w:val="TextoNormal"/>
      </w:pPr>
      <w:r>
        <w:t>Concluye la Audiencia Provincial que los fondos del programa 31L fueron, en todos estos casos, objeto de disposición para realizar pagos “completamente ajenos al interés público” (fundamento de Derecho 45, pág. 1720), lo que sintetiza señalando que tanto las ayudas concedidas para la cobertura de situaciones de ERE como las “restantes subvenciones” se otorgaron sin que se acreditara “la incapacidad de la empresa para hacer frente a los pagos”, lo que “supone disponer de los fondos públicos para un fin ajeno al interés público” (fundamento 45, pág. 1721).</w:t>
      </w:r>
    </w:p>
    <w:p w14:paraId="3C2D7639" w14:textId="77777777" w:rsidR="003754FE" w:rsidRDefault="003754FE" w:rsidP="003754FE">
      <w:pPr>
        <w:pStyle w:val="TextoNormal"/>
      </w:pPr>
    </w:p>
    <w:p w14:paraId="71426520" w14:textId="77777777" w:rsidR="003754FE" w:rsidRDefault="003754FE" w:rsidP="003754FE">
      <w:pPr>
        <w:pStyle w:val="TextoNormal"/>
      </w:pPr>
      <w:r>
        <w:t>Como puede comprobarse, la ilicitud de estos actos de disposición de los fondos públicos del programa 31L trasciende la mera omisión de trámites y procedimientos propios de la normativa de las subvenciones y está asociada a la ausencia, en el momento de la concesión de las ayudas por parte de la Consejería de Empleo, de una causa legítima, concretamente de una situación de insolvencia de la empresa beneficiaria que justificase que fuera la administración pública andaluza, y no la propia empresa afectada, la que asumiera los pagos correspondientes.</w:t>
      </w:r>
    </w:p>
    <w:p w14:paraId="603E50EF" w14:textId="77777777" w:rsidR="003754FE" w:rsidRDefault="003754FE" w:rsidP="003754FE">
      <w:pPr>
        <w:pStyle w:val="TextoNormal"/>
      </w:pPr>
    </w:p>
    <w:p w14:paraId="10E06736" w14:textId="77777777" w:rsidR="003754FE" w:rsidRDefault="003754FE" w:rsidP="003754FE">
      <w:pPr>
        <w:pStyle w:val="TextoNormal"/>
      </w:pPr>
      <w:r>
        <w:t>Es claro que las leyes de presupuestos no legitimaban la disposición de los fondos presupuestados sin la concurrencia de los fines públicos propios de las ayudas sociolaborales y a empresas en crisis, por lo que esta concreta forma de disposición de los caudales por parte de la Consejería de Empleo, asociada a la ausencia de causa justificativa, no está abarcada por los razonamientos relativos a la imprevisible subsunción en el delito de malversación de la forma global de gestión del programa 31L derivada del sistema de presupuestación utilizado</w:t>
      </w:r>
      <w:r w:rsidRPr="003754FE">
        <w:rPr>
          <w:i/>
        </w:rPr>
        <w:t xml:space="preserve"> [vid. sup</w:t>
      </w:r>
      <w:r>
        <w:t>ra FJ 5.3 A)].</w:t>
      </w:r>
    </w:p>
    <w:p w14:paraId="4BC2B67D" w14:textId="77777777" w:rsidR="003754FE" w:rsidRDefault="003754FE" w:rsidP="003754FE">
      <w:pPr>
        <w:pStyle w:val="TextoNormal"/>
      </w:pPr>
    </w:p>
    <w:p w14:paraId="13B1FFC2" w14:textId="77777777" w:rsidR="003754FE" w:rsidRDefault="003754FE" w:rsidP="003754FE">
      <w:pPr>
        <w:pStyle w:val="TextoNormal"/>
      </w:pPr>
      <w:r>
        <w:t>b) Por su parte, en todos los casos comprendidos la letra C) del hecho probado vigesimosegundo de la sentencia de la Audiencia Provincial, la carga de ilicitud que se atribuye a los actos de disposición tampoco está en la omisión de determinados controles o procedimientos propios del régimen de subvenciones sino en el apartamiento, en la concreta concesión de los fondos, de los fines públicos contemplados en las sucesivas leyes de presupuestos para el programa 31L. Estaríamos, por tanto, ante actos de disposición cuya ilicitud no se atribuye a la estricta aplicación del sistema de presupuestación establecido en las normas presupuestarias en vigor. Al contrario, se habrían realizado con apartamiento de los fines legítimos que dicho sistema de presupuestación contemplaba.</w:t>
      </w:r>
    </w:p>
    <w:p w14:paraId="4CFF3FEC" w14:textId="77777777" w:rsidR="003754FE" w:rsidRDefault="003754FE" w:rsidP="003754FE">
      <w:pPr>
        <w:pStyle w:val="TextoNormal"/>
      </w:pPr>
    </w:p>
    <w:p w14:paraId="5A501046" w14:textId="77777777" w:rsidR="003754FE" w:rsidRDefault="003754FE" w:rsidP="003754FE">
      <w:pPr>
        <w:pStyle w:val="TextoNormal"/>
      </w:pPr>
      <w:r>
        <w:lastRenderedPageBreak/>
        <w:t>En relación con todos estos casos de disposición de fondos sin amparo en el sistema de presupuestación del programa 31L, sea por ausencia o por desviación de su fin público, el recurrente de amparo nada alega en su demanda. El actor se limita a señalar en ella, en este concreto punto, que quedaron fuera del objeto de conocimiento de la llamada “pieza específica” todos los actos de disposición materializados con fondos públicos correspondientes al programa 31L. La realidad es, sin embargo, que (como se explica en el fundamento jurídico 2.2) se estableció expresamente que formaba parte del objeto de la “pieza específica” el enjuiciamiento de los concretos actos de disposición realizados por quienes desde sus cargos de responsabilidad política intervinieron en la fase de ejecución de las ayudas sociolaborales y, en particular, de quienes actuaron, como es el caso del actor, en calidad de directores del IFA/IDEA.</w:t>
      </w:r>
    </w:p>
    <w:p w14:paraId="5F420710" w14:textId="77777777" w:rsidR="003754FE" w:rsidRDefault="003754FE" w:rsidP="003754FE">
      <w:pPr>
        <w:pStyle w:val="TextoNormal"/>
      </w:pPr>
    </w:p>
    <w:p w14:paraId="11366316" w14:textId="51EBAFB8" w:rsidR="003754FE" w:rsidRDefault="003754FE" w:rsidP="003754FE">
      <w:pPr>
        <w:pStyle w:val="TextoNormal"/>
      </w:pPr>
      <w:r>
        <w:t>Constatado este extremo, es claro que el recurrente no ha desplegado argumentación alguna en relación con la relevancia penal de estos otros supuestos, en los que los fondos públicos fueron objeto de disposición en ausencia de fin público o al margen de los fines presupuestariamente previstos para el programa 31L. No ha aportado, en definitiva, ningún elemento de juicio que pueda llevarnos a considerar que la subsunción realizada por los órganos judiciales resulta, en estos casos, contraria a las exigencias del art. 25.1 CE. Ha de desestimarse, por ello, la vulneración del derecho a la legalidad penal (art. 25.1 CE) en relación con la subsunción en el delito de malversación de estas otras conductas.</w:t>
      </w:r>
    </w:p>
    <w:p w14:paraId="5A96BFD5" w14:textId="77777777" w:rsidR="003754FE" w:rsidRDefault="003754FE" w:rsidP="003754FE">
      <w:pPr>
        <w:pStyle w:val="TextoNormal"/>
      </w:pPr>
    </w:p>
    <w:p w14:paraId="264F1B55" w14:textId="77777777" w:rsidR="003754FE" w:rsidRDefault="003754FE" w:rsidP="003754FE">
      <w:pPr>
        <w:pStyle w:val="TextoNormal"/>
      </w:pPr>
      <w:r w:rsidRPr="003754FE">
        <w:rPr>
          <w:rStyle w:val="NumeroAFNegritaCaracter"/>
        </w:rPr>
        <w:t>6</w:t>
      </w:r>
      <w:r>
        <w:t xml:space="preserve">. </w:t>
      </w:r>
      <w:r w:rsidRPr="003754FE">
        <w:rPr>
          <w:i/>
        </w:rPr>
        <w:t>Enjuiciamiento de la queja relativa a la vulneración del derecho a la presunción de inocencia (art. 24.2 CE) en relación con la condena por delito de malversación de caudales públicos respecto de las ayudas concedidas en ausencia de fin público y las partidas desviadas del programa presupuestario 31L declaradas en la sentencia de instancia</w:t>
      </w:r>
    </w:p>
    <w:p w14:paraId="5BA704D9" w14:textId="77777777" w:rsidR="003754FE" w:rsidRDefault="003754FE" w:rsidP="003754FE">
      <w:pPr>
        <w:pStyle w:val="TextoNormal"/>
      </w:pPr>
    </w:p>
    <w:p w14:paraId="786C4DFA" w14:textId="77777777" w:rsidR="003754FE" w:rsidRDefault="003754FE" w:rsidP="003754FE">
      <w:pPr>
        <w:pStyle w:val="TextoNormal"/>
      </w:pPr>
      <w:r>
        <w:t xml:space="preserve">6.1. </w:t>
      </w:r>
      <w:r w:rsidRPr="003754FE">
        <w:rPr>
          <w:i/>
        </w:rPr>
        <w:t>Posiciones de las partes</w:t>
      </w:r>
    </w:p>
    <w:p w14:paraId="704198AA" w14:textId="77777777" w:rsidR="003754FE" w:rsidRDefault="003754FE" w:rsidP="003754FE">
      <w:pPr>
        <w:pStyle w:val="TextoNormal"/>
      </w:pPr>
    </w:p>
    <w:p w14:paraId="200A7AFC" w14:textId="77777777" w:rsidR="003754FE" w:rsidRDefault="003754FE" w:rsidP="003754FE">
      <w:pPr>
        <w:pStyle w:val="TextoNormal"/>
      </w:pPr>
      <w:r>
        <w:t>En el motivo cuarto de la demanda de amparo se denuncia la vulneración del derecho fundamental a la presunción de inocencia (art. 24.2 CE) al considerar el demandante que no existe acervo probatorio suficiente para declarar su culpabilidad por el delito de malversación y al haberse realizado una valoración irracional, arbitraria e ilógica de la prueba practicada a fin de concluir la condena del recurrente.</w:t>
      </w:r>
    </w:p>
    <w:p w14:paraId="663BA71F" w14:textId="77777777" w:rsidR="003754FE" w:rsidRDefault="003754FE" w:rsidP="003754FE">
      <w:pPr>
        <w:pStyle w:val="TextoNormal"/>
      </w:pPr>
    </w:p>
    <w:p w14:paraId="0FD25FEB" w14:textId="77777777" w:rsidR="003754FE" w:rsidRDefault="003754FE" w:rsidP="003754FE">
      <w:pPr>
        <w:pStyle w:val="TextoNormal"/>
      </w:pPr>
      <w:r>
        <w:t>Señala en este sentido que la sentencia condenatoria parte de la concepción de que todo aquel que hubiera tenido conocimiento de las irregularidades plasmadas en el informe adicional al informe definitivo de cumplimiento del ejercicio 2003 tenía dolo de malversar lo que, a su juicio, resulta una conclusión ilógica y arbitraria. Reclama que el Tribunal resuelva sobre la racionalidad de dicha aseveración y ello bajo la afirmación de que de la mera lectura del informe no cabe entender la asunción de eventualidad de que la Dirección General de Trabajo estuviera malversando fondos públicos.</w:t>
      </w:r>
    </w:p>
    <w:p w14:paraId="38E569DF" w14:textId="77777777" w:rsidR="003754FE" w:rsidRDefault="003754FE" w:rsidP="003754FE">
      <w:pPr>
        <w:pStyle w:val="TextoNormal"/>
      </w:pPr>
    </w:p>
    <w:p w14:paraId="11A710AD" w14:textId="77777777" w:rsidR="003754FE" w:rsidRDefault="003754FE" w:rsidP="003754FE">
      <w:pPr>
        <w:pStyle w:val="TextoNormal"/>
      </w:pPr>
      <w:r>
        <w:t xml:space="preserve">Apoya esta conclusión en los siguientes elementos: (i) con posterioridad al informe adicional al informe definitivo de cumplimiento del ejercicio 2003 no se recabó ningún otro informe adicional, lo que lleva a concluir que las irregularidades ya habían sido subsanadas; (ii) las presuntas irregularidades puestas de relieve no describen la conducta de apropiación de los caudales públicos o el desvío de su finalidad del interés general; y (iii) no se </w:t>
      </w:r>
      <w:r>
        <w:lastRenderedPageBreak/>
        <w:t>apreciaron por los interventores indicios de riesgo o menoscabo de los fondos públicos ya que no se emitieron informes de actuación.</w:t>
      </w:r>
    </w:p>
    <w:p w14:paraId="592197B3" w14:textId="77777777" w:rsidR="003754FE" w:rsidRDefault="003754FE" w:rsidP="003754FE">
      <w:pPr>
        <w:pStyle w:val="TextoNormal"/>
      </w:pPr>
    </w:p>
    <w:p w14:paraId="54A2D3D4" w14:textId="77777777" w:rsidR="003754FE" w:rsidRDefault="003754FE" w:rsidP="003754FE">
      <w:pPr>
        <w:pStyle w:val="TextoNormal"/>
      </w:pPr>
      <w:r>
        <w:t>La representación procesal del Partido Popular rebate este motivo argumentando que la prueba se valoró de forma racional y motivada y que la condena no se basa únicamente en el conocimiento del contenido del informe adicional al informe de cumplimiento del ejercicio 2003 emitido por la Intervención de control financiero permanente del IFA/IDEA, porque concurren otros elementos de valor incriminatorio identificados igualmente en la sentencia de instancia, entre ellos: la firma de los convenios particulares que instrumentaron las ayudas, las competencias que ejerció como director de la citada agencia, la indebida contabilización de estos pagos como gastos de explotación propios de la agencia, las “salvedades por incertidumbre” que se hacían en los informes de auditoría externa ante los descubiertos que se iban generando en las cuentas de la agencia y las observaciones sobre la inadecuación de la aplicación presupuestaria verificadas por un vocal en el consejo rector del IFA/IDEA celebrado el 18 de octubre de 2005.</w:t>
      </w:r>
    </w:p>
    <w:p w14:paraId="3086F375" w14:textId="77777777" w:rsidR="003754FE" w:rsidRDefault="003754FE" w:rsidP="003754FE">
      <w:pPr>
        <w:pStyle w:val="TextoNormal"/>
      </w:pPr>
    </w:p>
    <w:p w14:paraId="51892E25" w14:textId="77777777" w:rsidR="003754FE" w:rsidRDefault="003754FE" w:rsidP="003754FE">
      <w:pPr>
        <w:pStyle w:val="TextoNormal"/>
      </w:pPr>
      <w:r>
        <w:t>Por su parte, el Ministerio Fiscal resume la doctrina constitucional sobre el derecho a la presunción de inocencia y a continuación procede a extraer los elementos fácticos contenidos en las sentencias de instancia y de casación rebatiendo las alegaciones efectuadas por el demandante sobre que la condena se funda, única y exclusivamente, en el conocimiento del informe adicional al informe de cumplimiento del ejercicio 2003. En este sentido, afirma que los argumentos empleados en la sentencia de casación para confirmar la validez de la condena por delito de malversación no orbitan en solitario sobre aquel extremo sino, también, sobre el conocimiento que tenía el demandante de la ilegalidad misma del sistema de concesión de ayudas que se deduce “de los informes de cumplimiento formulados por la Intervención en años sucesivos, de su participación en las sesiones del consejo rector donde se trataban las cuestiones sobre el abono de las subvenciones, y la carta que dirigió al director general de Trabajo y Seguridad Social poniendo de manifiesto las situaciones de descubierto por falta de traspaso de fondos suficientes para efectuar los pagos comprometidos mediante la firma de los convenios particulares”. Por ello, rechaza la existencia de vacío probatorio y la ausencia de motivación que se denuncia.</w:t>
      </w:r>
    </w:p>
    <w:p w14:paraId="495E429B" w14:textId="77777777" w:rsidR="003754FE" w:rsidRDefault="003754FE" w:rsidP="003754FE">
      <w:pPr>
        <w:pStyle w:val="TextoNormal"/>
      </w:pPr>
    </w:p>
    <w:p w14:paraId="789FAE83" w14:textId="77777777" w:rsidR="003754FE" w:rsidRDefault="003754FE" w:rsidP="003754FE">
      <w:pPr>
        <w:pStyle w:val="TextoNormal"/>
      </w:pPr>
      <w:r>
        <w:t xml:space="preserve">6.2. </w:t>
      </w:r>
      <w:r w:rsidRPr="003754FE">
        <w:rPr>
          <w:i/>
        </w:rPr>
        <w:t>Pronunciamiento de los órganos judiciales</w:t>
      </w:r>
    </w:p>
    <w:p w14:paraId="36E9EDB4" w14:textId="77777777" w:rsidR="003754FE" w:rsidRDefault="003754FE" w:rsidP="003754FE">
      <w:pPr>
        <w:pStyle w:val="TextoNormal"/>
      </w:pPr>
    </w:p>
    <w:p w14:paraId="0472CAA8" w14:textId="77777777" w:rsidR="003754FE" w:rsidRDefault="003754FE" w:rsidP="003754FE">
      <w:pPr>
        <w:pStyle w:val="TextoNormal"/>
      </w:pPr>
      <w:r>
        <w:t xml:space="preserve">Como se ha expuesto </w:t>
      </w:r>
      <w:r w:rsidRPr="003754FE">
        <w:rPr>
          <w:i/>
        </w:rPr>
        <w:t>supra</w:t>
      </w:r>
      <w:r>
        <w:t>, la sentencia de la Audiencia Provincial declara probado que el actor suscribió con la Dirección General de Trabajo más de cuarenta convenios particulares para el pago de las ayudas sociolaborales y a empresas en crisis con fondos procedentes de transferencias de financiación y que actuó con conocimiento de la eventualidad de que los mismos fueran desviados de toda finalidad pública por la falta de los controles que caracterizaban el procedimiento de concesión.</w:t>
      </w:r>
    </w:p>
    <w:p w14:paraId="08517ED4" w14:textId="77777777" w:rsidR="003754FE" w:rsidRDefault="003754FE" w:rsidP="003754FE">
      <w:pPr>
        <w:pStyle w:val="TextoNormal"/>
      </w:pPr>
    </w:p>
    <w:p w14:paraId="169DA17A" w14:textId="77777777" w:rsidR="003754FE" w:rsidRDefault="003754FE" w:rsidP="003754FE">
      <w:pPr>
        <w:pStyle w:val="TextoNormal"/>
      </w:pPr>
      <w:r>
        <w:t xml:space="preserve">La sentencia del Tribunal Supremo declara que este relato fáctico basta para justificar la aplicación del delito de malversación de caudales públicos del art. 432 CP (fundamentos de Derecho 139 y 140) y que no se ha vulnerado el derecho a la presunción de inocencia porque es fruto de una valoración debidamente motivada de las pruebas practicadas (fundamentos 140 y 141). Considera que la defensa del actor “prescinde por completo del relato de hechos probados en el que se describe, de forma pormenorizada y exhaustiva, el procedimiento ilegal de concesión de las ayudas que se instauró a partir del ejercicio 2000 y en el que </w:t>
      </w:r>
      <w:r>
        <w:lastRenderedPageBreak/>
        <w:t>intervino directa y materialmente el acusado como director general del IFA/IDEA suscribiendo los convenios particulares con la Dirección General de Trabajo y abonando las ayudas derivadas de los citados convenios, pese a conocer que no se seguía procedimiento alguno, que los expedientes no eran fiscalizados ni en la Consejería de Empleo, ni en la entidad pública porque dichos expedientes quedaban depositados en la Consejería, que no contenían solicitud, memoria económica, requisitos o justificación de la finalidad pública de la ayuda, que el IFA actuaba indebidamente como entidad colaboradora y que se estaba generando un déficit presupuestario por asunción de compromisos por encima de la cobertura presupuestaria”.</w:t>
      </w:r>
    </w:p>
    <w:p w14:paraId="51F55D42" w14:textId="77777777" w:rsidR="003754FE" w:rsidRDefault="003754FE" w:rsidP="003754FE">
      <w:pPr>
        <w:pStyle w:val="TextoNormal"/>
      </w:pPr>
    </w:p>
    <w:p w14:paraId="5629B8C5" w14:textId="77777777" w:rsidR="003754FE" w:rsidRDefault="003754FE" w:rsidP="003754FE">
      <w:pPr>
        <w:pStyle w:val="TextoNormal"/>
      </w:pPr>
      <w:r>
        <w:t>De hecho, la propia sentencia de casación, a la hora de dar adecuada respuesta a los argumentos de la defensa en cuanto a la ausencia de prueba respecto al debido conocimiento de los actos de disposición que integran el delito de malversación, se remite a sus propios fundamentos jurídicos tercero y trigésimo noveno que afirma que “la conducta ilícita abarca la totalidad de las ayudas sociolaborales y demás subvenciones identificadas en la sentencia por las correspondientes partidas presupuestarias” sin perjuicio, claro está, de otorgar este carácter ilícito también a concretas disposiciones “destinadas a fines distintos y ajenos a los mencionados en las concretas partidas presupuestarias” (sentencia del Tribunal Supremo, pág. 1042).</w:t>
      </w:r>
    </w:p>
    <w:p w14:paraId="7EA788C9" w14:textId="77777777" w:rsidR="003754FE" w:rsidRDefault="003754FE" w:rsidP="003754FE">
      <w:pPr>
        <w:pStyle w:val="TextoNormal"/>
      </w:pPr>
    </w:p>
    <w:p w14:paraId="72ED51BE" w14:textId="77777777" w:rsidR="003754FE" w:rsidRDefault="003754FE" w:rsidP="003754FE">
      <w:pPr>
        <w:pStyle w:val="TextoNormal"/>
      </w:pPr>
      <w:r>
        <w:t>Así viene afirmado también en la página 1045 al consignarse que, como señalaba la sentencia de instancia (fundamento de Derecho 47), el señor Serrano Aguilar fue condenado por “asumir la eventualidad de que los fondos vinculados al programa 31L fueran objeto de disposición con fines ajenos al fin público al que estaban destinados” siendo que “su actuación formó parte de un sistema en el que el pago de las ayudas era el último eslabón, pero ese pago era necesario, por lo que, sabiendo cómo se estaban gestionando las ayudas, pudo y debió impedirlo, negándose a firmar los convenios particulares que le pasaban a la firma y no permitiendo que la agencia de la que era director actuara como entidad colaboradora, dando cobertura al pago de las ayudas sin control y sin siquiera bases reguladoras”. En definitiva, para las resoluciones judiciales impugnadas, el demandante formaba parte del “engranaje” destinado al uso ilegal de las transferencias de financiación lo que lleva a afirmar el conocimiento de la antijuridicidad de su conducta.</w:t>
      </w:r>
    </w:p>
    <w:p w14:paraId="7E38EA9B" w14:textId="77777777" w:rsidR="003754FE" w:rsidRDefault="003754FE" w:rsidP="003754FE">
      <w:pPr>
        <w:pStyle w:val="TextoNormal"/>
      </w:pPr>
    </w:p>
    <w:p w14:paraId="6D34CA3D" w14:textId="77777777" w:rsidR="003754FE" w:rsidRDefault="003754FE" w:rsidP="003754FE">
      <w:pPr>
        <w:pStyle w:val="TextoNormal"/>
      </w:pPr>
      <w:r>
        <w:t xml:space="preserve">Por todo ello, el Tribunal Supremo acaba concluyendo que el recurrente participó de forma consciente en la totalidad de los hechos expuestos en el </w:t>
      </w:r>
      <w:r w:rsidRPr="003754FE">
        <w:rPr>
          <w:i/>
        </w:rPr>
        <w:t>factum</w:t>
      </w:r>
      <w:r>
        <w:t xml:space="preserve"> de la sentencia a él atribuidos al resultar acreditados por prueba suficiente al efecto y, por tanto, que ninguna vulneración de su derecho a la presunción de inocencia se ha producido.</w:t>
      </w:r>
    </w:p>
    <w:p w14:paraId="2832399F" w14:textId="77777777" w:rsidR="003754FE" w:rsidRDefault="003754FE" w:rsidP="003754FE">
      <w:pPr>
        <w:pStyle w:val="TextoNormal"/>
      </w:pPr>
    </w:p>
    <w:p w14:paraId="40AB1D0C" w14:textId="77777777" w:rsidR="003754FE" w:rsidRDefault="003754FE" w:rsidP="003754FE">
      <w:pPr>
        <w:pStyle w:val="TextoNormal"/>
      </w:pPr>
      <w:r>
        <w:t xml:space="preserve">6.3. </w:t>
      </w:r>
      <w:r w:rsidRPr="003754FE">
        <w:rPr>
          <w:i/>
        </w:rPr>
        <w:t>Doctrina constitucional sobre el derecho a la presunción de inocencia (art. 24.2 CE</w:t>
      </w:r>
      <w:r>
        <w:t>)</w:t>
      </w:r>
    </w:p>
    <w:p w14:paraId="56976E2F" w14:textId="77777777" w:rsidR="003754FE" w:rsidRDefault="003754FE" w:rsidP="003754FE">
      <w:pPr>
        <w:pStyle w:val="TextoNormal"/>
      </w:pPr>
    </w:p>
    <w:p w14:paraId="1A0DC0CE" w14:textId="77777777" w:rsidR="003754FE" w:rsidRDefault="003754FE" w:rsidP="003754FE">
      <w:pPr>
        <w:pStyle w:val="TextoNormal"/>
      </w:pPr>
      <w:r>
        <w:t>Antes de abordar las concretas quejas alegadas por el demandante de amparo en relación con este motivo, conviene traer a colación, al menos resumidamente, la doctrina constitucional sobre el derecho a la presunción de inocencia (art. 24.2 CE) tal y como ha sido fijada por este tribunal.</w:t>
      </w:r>
    </w:p>
    <w:p w14:paraId="4E97680D" w14:textId="77777777" w:rsidR="003754FE" w:rsidRDefault="003754FE" w:rsidP="003754FE">
      <w:pPr>
        <w:pStyle w:val="TextoNormal"/>
      </w:pPr>
    </w:p>
    <w:p w14:paraId="0E35C10D" w14:textId="77777777" w:rsidR="003754FE" w:rsidRDefault="003754FE" w:rsidP="003754FE">
      <w:pPr>
        <w:pStyle w:val="TextoNormal"/>
      </w:pPr>
      <w:r>
        <w:t xml:space="preserve">Al respecto hemos consignado reiteradamente que este derecho queda configurado como el derecho a no ser condenado sin pruebas de cargo válidas (STC 31/1981, de 28 de julio), </w:t>
      </w:r>
      <w:r>
        <w:lastRenderedPageBreak/>
        <w:t xml:space="preserve">de tal manera que toda sentencia condenatoria ha de estar fundada en “una mínima actividad probatoria, realizada con las garantías necesarias, referida a todos los elementos esenciales del delito, y que de la misma quepa inferir razonablemente los hechos y la participación del acusado” (STC 105/2016, de 6 de junio, FJ 8). Esta idoneidad incriminatoria, además,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w:t>
      </w:r>
      <w:r w:rsidRPr="003754FE">
        <w:rPr>
          <w:i/>
        </w:rPr>
        <w:t>ratio decidendi</w:t>
      </w:r>
      <w:r>
        <w:t xml:space="preserve"> de la decisión judicial, sino una mínima explicación de los fundamentos probatorios del relato fáctico, con base en el cual se individualiza el caso y se posibilita la aplicación de la norma jurídica (por todas, STC 22/2013, de 31 de enero, FJ 5, y las resoluciones allí citadas)” (STC 105/2016</w:t>
      </w:r>
      <w:r w:rsidRPr="003754FE">
        <w:rPr>
          <w:i/>
        </w:rPr>
        <w:t>, ibid</w:t>
      </w:r>
      <w:r>
        <w:t>em).</w:t>
      </w:r>
    </w:p>
    <w:p w14:paraId="755A0F10" w14:textId="77777777" w:rsidR="003754FE" w:rsidRDefault="003754FE" w:rsidP="003754FE">
      <w:pPr>
        <w:pStyle w:val="TextoNormal"/>
      </w:pPr>
    </w:p>
    <w:p w14:paraId="274C5C38" w14:textId="77777777" w:rsidR="003754FE" w:rsidRDefault="003754FE" w:rsidP="003754FE">
      <w:pPr>
        <w:pStyle w:val="TextoNormal"/>
      </w:pPr>
      <w:r>
        <w:t>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En relación con esta concreta cuestión, la STC 133/2014, de 22 de julio, FJ 8, ya señalaba que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w:t>
      </w:r>
    </w:p>
    <w:p w14:paraId="7641B15E" w14:textId="77777777" w:rsidR="003754FE" w:rsidRDefault="003754FE" w:rsidP="003754FE">
      <w:pPr>
        <w:pStyle w:val="TextoNormal"/>
      </w:pPr>
    </w:p>
    <w:p w14:paraId="1E98CDE2" w14:textId="77777777" w:rsidR="003754FE" w:rsidRDefault="003754FE" w:rsidP="003754FE">
      <w:pPr>
        <w:pStyle w:val="TextoNormal"/>
      </w:pPr>
      <w:r>
        <w:t xml:space="preserve">La importancia de la motivación de la sentencia condenatoria ya venía remarcada en la STC 22/2013, de 31 de enero, FJ 5, donde se afirmaba que la culpabilidad ha de quedar plenamente probada, lo que es tanto como decir expuesta o mostrada. De esta manera, el derecho a la presunción de inocencia queda vulnerado cuando, habiéndose declarado la culpabilidad del encausado, dicha declaración de culpabilidad no se ha motivado suficientemente toda vez que “uno de los modos de vulneración de este derecho lo constituye precisamente la falta de motivación del </w:t>
      </w:r>
      <w:r w:rsidRPr="003754FE">
        <w:rPr>
          <w:i/>
        </w:rPr>
        <w:t>iter</w:t>
      </w:r>
      <w:r>
        <w:t xml:space="preserve"> que ha conducido de las pruebas al relato de hechos probados de signo incriminatorio” (STC 245/2007, de 10 de diciembre, FJ 5).</w:t>
      </w:r>
    </w:p>
    <w:p w14:paraId="2DD436B4" w14:textId="77777777" w:rsidR="003754FE" w:rsidRDefault="003754FE" w:rsidP="003754FE">
      <w:pPr>
        <w:pStyle w:val="TextoNormal"/>
      </w:pPr>
    </w:p>
    <w:p w14:paraId="6756369C" w14:textId="77777777" w:rsidR="003754FE" w:rsidRDefault="003754FE" w:rsidP="003754FE">
      <w:pPr>
        <w:pStyle w:val="TextoNormal"/>
      </w:pPr>
      <w:r>
        <w:t xml:space="preserve">La motivación de las sentencias penales es siempre exigible </w:t>
      </w:r>
      <w:r w:rsidRPr="003754FE">
        <w:rPr>
          <w:i/>
        </w:rPr>
        <w:t>ex</w:t>
      </w:r>
      <w:r>
        <w:t xml:space="preserve"> art. 120.3 CE, esto es, con independencia de su signo, condenatorio o absolutorio. No obstante, en las sentencias condenatorias el canon de motivación es más riguroso que en las absolutorias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se refuerza el parámetro de control utilizable para enjuiciar </w:t>
      </w:r>
      <w:r>
        <w:lastRenderedPageBreak/>
        <w:t>su suficiencia. Particularmente, en el plano fáctico, la sentencia penal condenatoria ha de exteriorizar en su razonamiento las pruebas relevantes tomadas en consideración y la existencia de una conexión fundada entre las pruebas y la declaración de hechos probados; conexión que debe ser aplicación razonada de las reglas de la lógica, ciencia y experiencia, de modo que sea posible realizar un juicio externo sobre las que llevan al juzgador a considerar alcanzada la convicción de culpabilidad más allá de toda duda razonable [por todas, STC 72/2024, de 7 de mayo, FJ 4 b)].</w:t>
      </w:r>
    </w:p>
    <w:p w14:paraId="6F8FD06A" w14:textId="77777777" w:rsidR="003754FE" w:rsidRDefault="003754FE" w:rsidP="003754FE">
      <w:pPr>
        <w:pStyle w:val="TextoNormal"/>
      </w:pPr>
    </w:p>
    <w:p w14:paraId="50FA4670" w14:textId="77777777" w:rsidR="003754FE" w:rsidRDefault="003754FE" w:rsidP="003754FE">
      <w:pPr>
        <w:pStyle w:val="TextoNormal"/>
      </w:pPr>
      <w:r>
        <w:t xml:space="preserve">Es, precisamente, la motivación de la resolución que declara la culpabilidad y responsabilidad de una persona la que se encuentra sometida al control de este tribunal. Así, hemos afirmado en numerosas ocasiones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Esta conclusión se ha fundamentado en dos razones de diferente índole: (i) por un lado, en que la Constitución no atribuye esa tarea de valoración a este tribunal, que no está incluida en las de amparo del derecho a la presunción de inocencia, y (ii) por otro, en que el proceso constitucional no permite el conocimiento preciso y completo de la actividad probatoria (STC 142/2012, de 2 de julio, FJ 5). De esta manera, “solo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w:t>
      </w:r>
      <w:r w:rsidRPr="003754FE">
        <w:rPr>
          <w:i/>
        </w:rPr>
        <w:t>iter</w:t>
      </w:r>
      <w:r>
        <w:t xml:space="preserve"> discursivo que conduce de la prueba al hecho probado” (STC 189/1998, de 28 de septiembre, FJ 2, y, citándola entre otras muchas, SSTC 135/2003, de 30 de junio, FJ 2; 137/2005, de 23 de mayo, FJ 2, y 26/2010, de 27 de abril, FJ 6).</w:t>
      </w:r>
    </w:p>
    <w:p w14:paraId="72395005" w14:textId="77777777" w:rsidR="003754FE" w:rsidRDefault="003754FE" w:rsidP="003754FE">
      <w:pPr>
        <w:pStyle w:val="TextoNormal"/>
      </w:pPr>
    </w:p>
    <w:p w14:paraId="1A5BCE72" w14:textId="77777777" w:rsidR="003754FE" w:rsidRDefault="003754FE" w:rsidP="003754FE">
      <w:pPr>
        <w:pStyle w:val="TextoNormal"/>
      </w:pPr>
      <w:r>
        <w:t>Este mismo canon se extiende a los supuestos de prueba indiciaria donde la supervisión de la solidez de la inferencia puede llevarse a cabo tanto desde el control de su lógica o coherencia, siendo irrazonable cuando los indicios constatados excluyan el hecho que de ellos se hace derivar o no conduzca naturalmente a él, como desde la suficiencia o carácter concluyente, excluyéndose la razonabilidad por el carácter excesivamente abierto, débil o indeterminado de la inferencia (SSTC 127/2011, de 18 de julio, FJ 6; 142/2012, de 2 de julio, FJ 5, y 46/2022, de 24 de marzo, FJ 10.1).</w:t>
      </w:r>
    </w:p>
    <w:p w14:paraId="10450FAE" w14:textId="77777777" w:rsidR="003754FE" w:rsidRDefault="003754FE" w:rsidP="003754FE">
      <w:pPr>
        <w:pStyle w:val="TextoNormal"/>
      </w:pPr>
    </w:p>
    <w:p w14:paraId="324AD85D" w14:textId="77777777" w:rsidR="003754FE" w:rsidRDefault="003754FE" w:rsidP="003754FE">
      <w:pPr>
        <w:pStyle w:val="TextoNormal"/>
      </w:pPr>
      <w:r>
        <w:t xml:space="preserve">En conclusión, es deber de los órganos judiciales realizar un esfuerzo dirigido a la motivación de la sentencia o pronunciamiento condenatorio, puesto que son aquellos quienes tienen un conocimiento cabal, completo y obtenido con todas las garantías del acervo probatorio, y función de este tribunal comprobar la coherencia de dicha motivación a través de una supervisión externa de la razonabilidad del discurso que une la actividad probatoria y el relato fáctico resultante (STC 67/2021, de 17 de marzo, FJ 3). Este control no es posible si los órganos judiciales descuidan su deber, lo que nos ha llegado a exigir que “deba asegurarse estrictamente la garantía formal de que el razonamiento efectuado por el tribunal conste expresamente en la sentencia, ya que solo así podrá verificarse si aquel formó su convicción sobre una prueba de cargo capaz de desvirtuar la presunción de inocencia (SSTC 117/2000, de 5 de mayo, FJ 3, y 124/2001, de 4 de junio, FJ 13) y que ninguno de los </w:t>
      </w:r>
      <w:r>
        <w:lastRenderedPageBreak/>
        <w:t>elementos constitutivos de delito se ha[ya] presumido en contra del acusado” (STC 340/2006, de 11 de diciembre, FJ 4).</w:t>
      </w:r>
    </w:p>
    <w:p w14:paraId="516D85C4" w14:textId="77777777" w:rsidR="003754FE" w:rsidRDefault="003754FE" w:rsidP="003754FE">
      <w:pPr>
        <w:pStyle w:val="TextoNormal"/>
      </w:pPr>
    </w:p>
    <w:p w14:paraId="435A160C" w14:textId="77777777" w:rsidR="003754FE" w:rsidRDefault="003754FE" w:rsidP="003754FE">
      <w:pPr>
        <w:pStyle w:val="TextoNormal"/>
      </w:pPr>
      <w:r>
        <w:t>6.4</w:t>
      </w:r>
      <w:r w:rsidRPr="003754FE">
        <w:rPr>
          <w:i/>
        </w:rPr>
        <w:t>. Enjuiciamiento de la que</w:t>
      </w:r>
      <w:r>
        <w:t>ja</w:t>
      </w:r>
    </w:p>
    <w:p w14:paraId="69ED0B3B" w14:textId="77777777" w:rsidR="003754FE" w:rsidRDefault="003754FE" w:rsidP="003754FE">
      <w:pPr>
        <w:pStyle w:val="TextoNormal"/>
      </w:pPr>
    </w:p>
    <w:p w14:paraId="667ABF9E" w14:textId="77777777" w:rsidR="003754FE" w:rsidRDefault="003754FE" w:rsidP="003754FE">
      <w:pPr>
        <w:pStyle w:val="TextoNormal"/>
      </w:pPr>
      <w:r>
        <w:t xml:space="preserve">En el análisis de este motivo es preciso partir de una premisa básica: que la declarada vulneración del derecho a la legalidad penal </w:t>
      </w:r>
      <w:r w:rsidRPr="003754FE">
        <w:rPr>
          <w:i/>
        </w:rPr>
        <w:t>ex</w:t>
      </w:r>
      <w:r>
        <w:t xml:space="preserve"> art. 25.1 CE, por integrarse en los títulos de prevaricación y malversación de los arts. 404 y 432 CP la gestión y pago de ayudas sociolaborales y a empresas en crisis desde la agencia IFA/IDEA, en ejercicios presupuestarios en los que dicho procedimiento tenía respaldo legal (</w:t>
      </w:r>
      <w:r w:rsidRPr="003754FE">
        <w:rPr>
          <w:i/>
        </w:rPr>
        <w:t>vid. supra</w:t>
      </w:r>
      <w:r>
        <w:t xml:space="preserve"> FFJJ 4 y 5) obliga a delimitar el análisis de la participación del demandante en dicho procedimiento desde la perspectiva del derecho fundamental a la presunción de inocencia (art. 24.2 CE). No obstante, aun esclarecido que la condena vinculada a la forma global de gestión del programa 31L es inconciliable con el derecho a la legalidad penal, resta un sustrato fáctico que no quedaría afectado por dicho reparo constitucional: nos referimos a las disposiciones de fondos efectivamente realizadas desde la Consejería de Empleo en ausencia de fin público y a las disposiciones enumeradas en el apartado C) del hecho probado vigésimo segundo, donde se hace constar que algunos fondos del programa 31L se aplicaron a fines distintos y ajenos a los determinados en el mismo. Esta posibilidad de pervivencia de la condena por malversación exige, sin embargo, una cuidadosa verificación de que la sentencia de instancia proporciona, por sí misma, sin necesidad de integración o reelaboración alguna, motivos suficientes para considerar acreditada, con el grado de certeza que la doctrina constitucional exige para enervar la presunción de inocencia, la participación personal del demandante de amparo en la realización de tales disposiciones.</w:t>
      </w:r>
    </w:p>
    <w:p w14:paraId="7F7C3622" w14:textId="77777777" w:rsidR="003754FE" w:rsidRDefault="003754FE" w:rsidP="003754FE">
      <w:pPr>
        <w:pStyle w:val="TextoNormal"/>
      </w:pPr>
    </w:p>
    <w:p w14:paraId="687316DE" w14:textId="77777777" w:rsidR="003754FE" w:rsidRDefault="003754FE" w:rsidP="003754FE">
      <w:pPr>
        <w:pStyle w:val="TextoNormal"/>
      </w:pPr>
      <w:r>
        <w:t>Consecuentemente, el control externo que este tribunal debe realizar, en garantía del derecho a la presunción de inocencia, de la existencia de un engarce lógico y reconocible entre el resultado de la prueba y el relato fáctico que le sirve de sustrato, demanda, en un caso como el presente, orientar el foco de control en la concurrencia en la sentencia de instancia de elementos fácticos y argumentales de una precisión suficiente para justificar la atribución personal al demandante de amparo, don Miguel Ángel Serrano Aguilar, de todos o de algunos de los desvíos de fondos a fines ajenos a los previstos en los programas presupuestarios en el tiempo en el que ejerció el cargo de director general de la agencia IFA/IDEA, esto es, desde el 17 de junio de 2004 al 14 de mayo de 2008.</w:t>
      </w:r>
    </w:p>
    <w:p w14:paraId="3A69D0FE" w14:textId="77777777" w:rsidR="003754FE" w:rsidRDefault="003754FE" w:rsidP="003754FE">
      <w:pPr>
        <w:pStyle w:val="TextoNormal"/>
      </w:pPr>
    </w:p>
    <w:p w14:paraId="5F661055" w14:textId="77777777" w:rsidR="003754FE" w:rsidRDefault="003754FE" w:rsidP="003754FE">
      <w:pPr>
        <w:pStyle w:val="TextoNormal"/>
      </w:pPr>
      <w:r>
        <w:t>Acotado este sustrato fáctico, en virtud del relato de hechos probados de la sentencia de instancia, es deber de este tribunal comprobar si, de acuerdo con su fundamentación jurídica, se ha motivado suficientemente, y conforme a criterios racionales y lógicos, el engarce necesario entre las conductas anteriormente expuestas y la participación del demandante de amparo, entendiendo que ello solo se producirá cuando se realice de un modo “coherente, lógico y racional, entendida la racionalidad, por supuesto, no como mero mecanismo o automatismo, sino como comprensión razonable de la realidad normalmente vivida y apreciada conforme a los criterios colectivos vigentes” (STC 169/1986, de 22 de diciembre, FJ 2).</w:t>
      </w:r>
    </w:p>
    <w:p w14:paraId="73FA6C5D" w14:textId="77777777" w:rsidR="003754FE" w:rsidRDefault="003754FE" w:rsidP="003754FE">
      <w:pPr>
        <w:pStyle w:val="TextoNormal"/>
      </w:pPr>
    </w:p>
    <w:p w14:paraId="54D97A98" w14:textId="77777777" w:rsidR="003754FE" w:rsidRDefault="003754FE" w:rsidP="003754FE">
      <w:pPr>
        <w:pStyle w:val="TextoNormal"/>
      </w:pPr>
      <w:r>
        <w:t xml:space="preserve">Y ello porque, como ya se ha explicitado anteriormente, el derecho a la presunción de inocencia queda vulnerado cuando, habiéndose declarado la culpabilidad del encausado, dicha declaración de culpabilidad no se ha motivado suficientemente toda vez que “uno de </w:t>
      </w:r>
      <w:r>
        <w:lastRenderedPageBreak/>
        <w:t xml:space="preserve">los modos de vulneración de este derecho lo constituye precisamente la falta de motivación del </w:t>
      </w:r>
      <w:r w:rsidRPr="003754FE">
        <w:rPr>
          <w:i/>
        </w:rPr>
        <w:t>iter</w:t>
      </w:r>
      <w:r>
        <w:t xml:space="preserve"> que ha conducido de las pruebas al relato de hechos probados de signo incriminatorio” (STC 245/2007, 10 de diciembre, FJ 5) no siendo, por lo tanto, misión de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(STC 137/2005, de 23 de mayo, FJ 2).</w:t>
      </w:r>
    </w:p>
    <w:p w14:paraId="78990B80" w14:textId="77777777" w:rsidR="003754FE" w:rsidRDefault="003754FE" w:rsidP="003754FE">
      <w:pPr>
        <w:pStyle w:val="TextoNormal"/>
      </w:pPr>
    </w:p>
    <w:p w14:paraId="3B8AFC65" w14:textId="77777777" w:rsidR="003754FE" w:rsidRDefault="003754FE" w:rsidP="003754FE">
      <w:pPr>
        <w:pStyle w:val="TextoNormal"/>
      </w:pPr>
      <w:r>
        <w:t>La motivación efectuada en la sentencia de instancia para concretar la participación en los hechos del señor Serrano Aguilar (sentencia de la Audiencia Provincial, fundamento 31, págs. 1048 a 1079) va dirigida claramente a constatar que intervino en el engranaje dirigido al abono de subvenciones a través del uso de las transferencias de financiación, pero en ningún caso a probar que hizo un uso desviado de fondos del programa 31L por disponer de ellos sin atender a un fin público o para fines distintos y ajenos a los previstos en dicho programa.</w:t>
      </w:r>
    </w:p>
    <w:p w14:paraId="7C2777D7" w14:textId="77777777" w:rsidR="003754FE" w:rsidRDefault="003754FE" w:rsidP="003754FE">
      <w:pPr>
        <w:pStyle w:val="TextoNormal"/>
      </w:pPr>
    </w:p>
    <w:p w14:paraId="395B58CA" w14:textId="77777777" w:rsidR="003754FE" w:rsidRDefault="003754FE" w:rsidP="003754FE">
      <w:pPr>
        <w:pStyle w:val="TextoNormal"/>
      </w:pPr>
      <w:r>
        <w:t>En efecto, así aparece recogido a lo largo del citado fundamento jurídico donde se expone con gran profusión que el demandante, como director general del IFA/IDEA, “firmó más de cuarenta convenios de ayudas sociolaborales y a empresas, con la Dirección General de Trabajo y Seguridad Social” y que “[e]ra responsable de formular las cuentas anuales […]. En ellas se recogía el modo en el que la agencia contabilizaba presupuestariamente las transferencias de financiación. Siguiendo el sistema ya utilizado antes de su llegada, incluyendo los pagos derivados de los convenios particulares, cuyo importe llegaba vía transferencia de financiación, en el apartado ‘otros gastos de explotación’” (sentencia de la Audiencia Provincial, fundamento 31, pág. 1058). La resolución añade que era conocedor de los informes de auditoría externa y del descubierto existente por los compromisos asumidos por el propio IFA/IDEA a raíz de la suscripción de los convenios particulares siendo dicho conocimiento acreditado no solo de su propia posición dentro del IFA/IDEA sino, también, a través de una carta que el recurrente dirigió al entonces director general de Trabajo, don Francisco Javier Guerrero, exigiendo que se pusiera una solución al problema derivado del déficit.</w:t>
      </w:r>
    </w:p>
    <w:p w14:paraId="0109B762" w14:textId="77777777" w:rsidR="003754FE" w:rsidRDefault="003754FE" w:rsidP="003754FE">
      <w:pPr>
        <w:pStyle w:val="TextoNormal"/>
      </w:pPr>
    </w:p>
    <w:p w14:paraId="06E55658" w14:textId="77777777" w:rsidR="003754FE" w:rsidRDefault="003754FE" w:rsidP="003754FE">
      <w:pPr>
        <w:pStyle w:val="TextoNormal"/>
      </w:pPr>
      <w:r>
        <w:t>Continúa la resolución consignando que el conocimiento que tuvo el demandante del informe adicional al informe definitivo de cumplimiento del ejercicio 2003 —así como otros posteriores informes de control financiero permanente del IFA/IDEA— acredita la plena consciencia por parte del encausado del indebido uso del instrumento “transferencias de financiación” y de cómo se estaban concediendo las ayudas por la Dirección General de Trabajo sin el debido procedimiento administrativo previo de control, a pesar de lo cual continuó con la firma de los convenios.</w:t>
      </w:r>
    </w:p>
    <w:p w14:paraId="2E8C922F" w14:textId="77777777" w:rsidR="003754FE" w:rsidRDefault="003754FE" w:rsidP="003754FE">
      <w:pPr>
        <w:pStyle w:val="TextoNormal"/>
      </w:pPr>
    </w:p>
    <w:p w14:paraId="5D9226BD" w14:textId="77777777" w:rsidR="003754FE" w:rsidRDefault="003754FE" w:rsidP="003754FE">
      <w:pPr>
        <w:pStyle w:val="TextoNormal"/>
      </w:pPr>
      <w:r>
        <w:t>Sin embargo, la profundidad del análisis de la prueba que las resoluciones impugnadas efectúan respecto al conocimiento y participación del señor Serrano Aguilar en la ejecución de un indebido sistema de presupuestación para la concesión de ayudas sociolaborales no aparece detallado con la misma exhaustividad a la hora de motivar la posible participación de aquel en la asignación de fondos del programa 31L en ausencia de interés público o a fines ajenos a los recogidos en los propios programas presupuestarios [disposiciones contenidas en el hecho probado vigésimo segundo, apartado C), de la sentencia de instancia].</w:t>
      </w:r>
    </w:p>
    <w:p w14:paraId="52615902" w14:textId="77777777" w:rsidR="003754FE" w:rsidRDefault="003754FE" w:rsidP="003754FE">
      <w:pPr>
        <w:pStyle w:val="TextoNormal"/>
      </w:pPr>
    </w:p>
    <w:p w14:paraId="0A9816CD" w14:textId="77777777" w:rsidR="003754FE" w:rsidRDefault="003754FE" w:rsidP="003754FE">
      <w:pPr>
        <w:pStyle w:val="TextoNormal"/>
      </w:pPr>
      <w:r>
        <w:t>En este sentido, la resolución de instancia no desarrolla un mínimo juicio de autoría que permita determinar si el señor Serrano Aguilar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siendo que, como ya hemos señalado, toda la motivación efectuada respecto al demandante va dirigida a acreditar su participación en el uso del instrumento presupuestario de las transferencias de financiación para la concesión de ayudas sociolaborales.</w:t>
      </w:r>
    </w:p>
    <w:p w14:paraId="6F8EC04D" w14:textId="77777777" w:rsidR="003754FE" w:rsidRDefault="003754FE" w:rsidP="003754FE">
      <w:pPr>
        <w:pStyle w:val="TextoNormal"/>
      </w:pPr>
    </w:p>
    <w:p w14:paraId="4945A148" w14:textId="77777777" w:rsidR="003754FE" w:rsidRDefault="003754FE" w:rsidP="003754FE">
      <w:pPr>
        <w:pStyle w:val="TextoNormal"/>
      </w:pPr>
      <w:r>
        <w:t>Resulta especialmente relevante la argumentación relativa al elemento subjetivo, ya que la conducta malversadora no puede provenir del uso de un procedimiento de presupuestación que contempla el pago de ayudas a través de las transferencias de financiación y la firma de convenios, amparado por la ley, sino, en su caso, de la disposición de los fondos presupuestados para fines no previstos en el programa o incluso carentes de tal interés público. El elemento subjetivo del injusto debe proyectarse sobre esas concretas disposiciones.</w:t>
      </w:r>
    </w:p>
    <w:p w14:paraId="0615EAB2" w14:textId="77777777" w:rsidR="003754FE" w:rsidRDefault="003754FE" w:rsidP="003754FE">
      <w:pPr>
        <w:pStyle w:val="TextoNormal"/>
      </w:pPr>
    </w:p>
    <w:p w14:paraId="5DD2D703" w14:textId="77777777" w:rsidR="003754FE" w:rsidRDefault="003754FE" w:rsidP="003754FE">
      <w:pPr>
        <w:pStyle w:val="TextoNormal"/>
      </w:pPr>
      <w:r>
        <w:t>El juicio de inferencia del dolo de malversar realizado en la sentencia de instancia parte de dos elementos:</w:t>
      </w:r>
    </w:p>
    <w:p w14:paraId="28169EA8" w14:textId="77777777" w:rsidR="003754FE" w:rsidRDefault="003754FE" w:rsidP="003754FE">
      <w:pPr>
        <w:pStyle w:val="TextoNormal"/>
      </w:pPr>
    </w:p>
    <w:p w14:paraId="7656D5C4" w14:textId="77777777" w:rsidR="003754FE" w:rsidRDefault="003754FE" w:rsidP="003754FE">
      <w:pPr>
        <w:pStyle w:val="TextoNormal"/>
      </w:pPr>
      <w:r>
        <w:t>(i) Los informes de control financiero permanente de la agencia IFA/IDEA, elaborados por la Intervención General de la Junta de Andalucía, y entre ellos, de manera determinante, el informe adicional (anexo III) al informe de cumplimiento de 2003 (“informe sobre determinados aspectos de la gestión del Instituto de Fomento de Andalucía de los convenios suscritos con la Consejería de Empleo y Desarrollo Tecnológico en materia de Trabajo y Seguridad Social”), argumentando que “[d]e esta disposición de fondos públicos participaron de forma activa desde el ejercicio 2000 hasta el 2009, los acusados pertenecientes a la Consejería de Empleo” y también los “otros acusados, por realizar las conductas descritas en los hechos probados, conociendo las aludidas deficiencias a través de los informes de control financiero de la Intervención General de la Junta de Andalucía” [sentencia de la Audiencia Provincial, fundamento de Derecho 45.4 D), pág. 1722].</w:t>
      </w:r>
    </w:p>
    <w:p w14:paraId="306011B1" w14:textId="77777777" w:rsidR="003754FE" w:rsidRDefault="003754FE" w:rsidP="003754FE">
      <w:pPr>
        <w:pStyle w:val="TextoNormal"/>
      </w:pPr>
    </w:p>
    <w:p w14:paraId="44F7BA53" w14:textId="77777777" w:rsidR="003754FE" w:rsidRDefault="003754FE" w:rsidP="003754FE">
      <w:pPr>
        <w:pStyle w:val="TextoNormal"/>
      </w:pPr>
      <w:r>
        <w:t>(ii) El déficit generado en la Consejería de Empleo y en la agencia IFA/IDEA como consecuencia de la aplicación de este sistema de gestión de ayudas, que lleva a apreciar en los condenados por malversación “una indiferencia hacia la alta probabilidad de que lo que ya era un despilfarro pasase a ser una malversación” en virtud de “la existencia del déficit o desfases presupuestarios, originados precisamente porque se contraían obligaciones al margen de la cobertura presupuestaria, lo que era posible porque se concedían subvenciones al margen del procedimiento legalmente establecido y sin control alguno, al haberse soslayado la fiscalización” [sentencia de la Audiencia Provincial, fundamento de Derecho 45.4 M), pág. 1732].</w:t>
      </w:r>
    </w:p>
    <w:p w14:paraId="051130B1" w14:textId="77777777" w:rsidR="003754FE" w:rsidRDefault="003754FE" w:rsidP="003754FE">
      <w:pPr>
        <w:pStyle w:val="TextoNormal"/>
      </w:pPr>
    </w:p>
    <w:p w14:paraId="4A0FE980" w14:textId="77777777" w:rsidR="003754FE" w:rsidRDefault="003754FE" w:rsidP="003754FE">
      <w:pPr>
        <w:pStyle w:val="TextoNormal"/>
      </w:pPr>
      <w:r>
        <w:t xml:space="preserve">Ese juicio de inferencia, sin embargo, no resulta suficiente para establecer de manera cierta y precisa que el señor Serrano Aguilar hubiera intervenido, con conocimiento de causa, en la realización de alguna o algunas de las disposiciones de fondos ajenas a la cobertura presupuestaria. Cierto es que, a través de los informes de control financiero y, particularmente, a través del informe adicional al informe de cumplimiento del año 2003 (notificado en 2005), tuvo conocimiento de que las ayudas no se sujetaban a los requisitos del </w:t>
      </w:r>
      <w:r>
        <w:lastRenderedPageBreak/>
        <w:t>procedimiento aplicable a las subvenciones excepcionales —y que a partir de ese conocimiento es razonable concluir que se representó los riesgos de desvío que esa minoración de controles podría generar—. Ahora bien, este riesgo era inherente al sistema de presupuestación legalmente establecido. Por ello, para apreciar que el señor Serrano Aguilar incurrió en las conductas que se le imputan no basta con poner de manifiesto que las ayudas concedidas no se ajustaban al procedimiento subvencional (conducta que estaba amparada en lo dispuesto en las leyes de presupuestos), sino que es preciso acreditar que participó activa u omisivamente con conocimiento de que los fondos públicos del programa 31L se estaban concediendo sin que existiera un fin público que justificara su concesión o para fines distintos de los previstos en dicho programa 31L.</w:t>
      </w:r>
    </w:p>
    <w:p w14:paraId="739AD256" w14:textId="77777777" w:rsidR="003754FE" w:rsidRDefault="003754FE" w:rsidP="003754FE">
      <w:pPr>
        <w:pStyle w:val="TextoNormal"/>
      </w:pPr>
    </w:p>
    <w:p w14:paraId="36213E25" w14:textId="77777777" w:rsidR="003754FE" w:rsidRDefault="003754FE" w:rsidP="003754FE">
      <w:pPr>
        <w:pStyle w:val="TextoNormal"/>
      </w:pPr>
      <w:r>
        <w:t>Hemos de considerar, en definitiva, para situar en sus justos términos la fuerza probatoria de los mismos, que los informes de la Intervención de la Junta de Andalucía que se hicieron llegar a varios de los condenados, entre ellos al señor Serrano Aguilar, rebaten la validez del concepto de transferencias de financiación al IFA/IDEA como instrumento presupuestario para gestionar subvenciones excepcionales al margen de su procedimiento propio, pero no advierten de que se hubieran producido actos de disposición ajenos a dicha cobertura.</w:t>
      </w:r>
    </w:p>
    <w:p w14:paraId="78286063" w14:textId="77777777" w:rsidR="003754FE" w:rsidRDefault="003754FE" w:rsidP="003754FE">
      <w:pPr>
        <w:pStyle w:val="TextoNormal"/>
      </w:pPr>
    </w:p>
    <w:p w14:paraId="599A5333" w14:textId="77777777" w:rsidR="003754FE" w:rsidRDefault="003754FE" w:rsidP="003754FE">
      <w:pPr>
        <w:pStyle w:val="TextoNormal"/>
      </w:pPr>
      <w:r>
        <w:t xml:space="preserve">En particular, el informe adicional al informe de cumplimiento del ejercicio 2003, al que las resoluciones judiciales otorgan una importancia decisiva en la formación de su convicción, recoge el análisis específico que el interventor general de la Junta de Andalucía, don Manuel Gómez Martínez, acusado y absuelto en la causa, encargó a la interventora doña Rosario Lobo, que se hiciera sobre una muestra de veinte convenios particulares, seleccionados de entre los 144 convenios que se suscribieron entre los años 2001 a 2004 —por lo tanto, con cargo a fondos de los programas 22E y 31L—. Los convenios fueron remitidos por la Dirección General de Trabajo, y el informe de la Intervención concluye que todos ellos presentaban las mismas deficiencias, sirviendo de muestra el convenio suscrito con la empresa Hytasal, en el que se detectan, entre otras, las siguientes deficiencias: “[i]mputación presupuestaria inadecuada, no se debe de utilizar el artículo 44 —transferencias al IFA— sino el 47 o 48, según el beneficiario. […] No consta solicitud presentada por los interesados. […] No se aporta declaración responsable del beneficiario de otras subvenciones o ayudas concedidas para la misma finalidad (artículos 111 y 105 de LGHPA, y artículo 15.1 del Reglamento de subvenciones). […] No se acredita la personalidad de las entidades solicitantes, ni de sus representantes. […] No se aporta informe o memoria acreditativa de la finalidad pública, o razones de interés social o económico, así como de la inexistencia de normas reguladoras a las que pudiera acogerse. […] No consta autorización de la concesión de la subvención por el Consejo de Gobierno por razón de la cuantía”. En el texto del “Protocolo de colaboración entre la Dirección General de Trabajo y Seguridad Social, de la Consejería de Empleo y Desarrollo Tecnológico, de la Junta de Andalucía e Hytasal”, que operaba como instrumento jurídico de concesión de la ayuda, la Intervención detecta también irregularidades, como: “No consigna plazo de ejecución de la actividad subvencionada con expresión del inicio del cómputo. […] No consigna la aplicación presupuestaria del gasto y su distribución plurianual […]. No se indica la forma y secuencia del pago y los requisitos exigidos para su abono. […] No se determina el plazo y forma de justificación por el beneficiario del cumplimiento de la finalidad para la que se concede la ayuda. […] Respecto a las inversiones que ha de realizar Hytasal, no se indica cuáles sean, ni el plazo de ejecución ni de justificación de realización de estas. […] No se aporta resolución o convenio de concesión de una subvención a la Asociación 14 de noviembre por importe de 500 000 €. […] </w:t>
      </w:r>
      <w:r>
        <w:lastRenderedPageBreak/>
        <w:t>Se ha omitido la fiscalización previa. […] El importe correspondiente a las prejubilaciones asciende a 10 285 137,38 €, en lugar de 10 500 000,00 €”.</w:t>
      </w:r>
    </w:p>
    <w:p w14:paraId="338A6F1F" w14:textId="77777777" w:rsidR="003754FE" w:rsidRDefault="003754FE" w:rsidP="003754FE">
      <w:pPr>
        <w:pStyle w:val="TextoNormal"/>
      </w:pPr>
    </w:p>
    <w:p w14:paraId="367DAF03" w14:textId="77777777" w:rsidR="003754FE" w:rsidRDefault="003754FE" w:rsidP="003754FE">
      <w:pPr>
        <w:pStyle w:val="TextoNormal"/>
      </w:pPr>
      <w:r>
        <w:t>La conclusión es la siguiente: “Vistas las anteriores deficiencias se puede concluir que la citada Dirección General ha tramitado subvenciones excepcionales prescindiendo de forma total y absoluta del procedimiento administrativo establecido. Dado que las deficiencias que presentan los expedientes son comunes a la práctica totalidad de los examinados existen dudas razonables sobre la correcta tramitación del resto de los expedientes no seleccionados” (sentencia de la Audiencia Provincial, hecho probado noveno, págs. 64 a 67).</w:t>
      </w:r>
    </w:p>
    <w:p w14:paraId="0B4B695A" w14:textId="77777777" w:rsidR="003754FE" w:rsidRDefault="003754FE" w:rsidP="003754FE">
      <w:pPr>
        <w:pStyle w:val="TextoNormal"/>
      </w:pPr>
    </w:p>
    <w:p w14:paraId="45D9E254" w14:textId="77777777" w:rsidR="003754FE" w:rsidRDefault="003754FE" w:rsidP="003754FE">
      <w:pPr>
        <w:pStyle w:val="TextoNormal"/>
      </w:pPr>
      <w:r>
        <w:t>La sentencia de instancia valora, asimismo, la declaración de los peritos de la Intervención General de la Administración del Estado, que elaboraron el informe que se incorporó a la causa. La sentencia dice que “[p]reguntados a este respecto, en las sesiones del juicio, los peritos de la Intervención General de la Administración del Estado, únicos que han visto todos y cada uno de los 270 expedientes de ayudas derivados del programa 22E y 31L, confirmaron que todas y cada una de las deficiencias transcritas en el informe de Hytasal, son plenamente extensibles no solo a la muestra de veinte, sino a todos y cada uno de los 270 expedientes que ellos han analizado, con la matización de las diferencias básicas entre ayudas sociolaborales, con suscripción de pólizas de renta colectiva y ayudas a empresas en crisis”. Añade que “[l]os dieciocho puntos ya reseñados, expuestos por la interventora señora Lobo, facilitan de manera evidente el poder afirmar que no se siguió procedimiento administrativo alguno, faltando los requisitos más elementales en la tramitación de cualquier subvención, destacando la interventora la imputación presupuestaria inadecuada, pues no se debe utilizar el artículo 440 transferencias al IFA, sino el 47 o el 48, según el beneficiario. En relación con la opacidad del sistema, confirma el informe de la interventora que la subvención no se ha incluido en la base de datos, ni consta que convenio particular alguno haya sido previamente informado por el letrado del Gabinete Jurídico, adscrito en la Consejería de Empleo, como era preceptivo” (sentencia de la Audiencia Provincial, fundamento 4, págs. 264 y 265).</w:t>
      </w:r>
    </w:p>
    <w:p w14:paraId="0DA222B0" w14:textId="77777777" w:rsidR="003754FE" w:rsidRDefault="003754FE" w:rsidP="003754FE">
      <w:pPr>
        <w:pStyle w:val="TextoNormal"/>
      </w:pPr>
    </w:p>
    <w:p w14:paraId="5D0DD312" w14:textId="77777777" w:rsidR="003754FE" w:rsidRDefault="003754FE" w:rsidP="003754FE">
      <w:pPr>
        <w:pStyle w:val="TextoNormal"/>
      </w:pPr>
      <w:r>
        <w:t>El contenido de estos informes permite inferir de manera razonable que sus destinatarios eran conscientes de que dichas aplicaciones presupuestarias permitían destinar fondos públicos al pago de ayudas sin cumplir el régimen propio de las subvenciones, pero no advertían de que se hubieran materializado pagos al margen de su cobertura, frente a lo que sostiene la sentencia de la Audiencia Provincial (fundamento de Derecho 45, pág. 1721) y como implícitamente viene a reconocer la sentencia de casación al afirmar que “el contenido del informe [adicional al de cumplimiento de 2003] no anuncia las consecuencias que se podían producir” (sentencia del Tribunal Supremo, fundamento 63.2, pág. 519).</w:t>
      </w:r>
    </w:p>
    <w:p w14:paraId="744CB251" w14:textId="77777777" w:rsidR="003754FE" w:rsidRDefault="003754FE" w:rsidP="003754FE">
      <w:pPr>
        <w:pStyle w:val="TextoNormal"/>
      </w:pPr>
    </w:p>
    <w:p w14:paraId="20B84440" w14:textId="77777777" w:rsidR="003754FE" w:rsidRDefault="003754FE" w:rsidP="003754FE">
      <w:pPr>
        <w:pStyle w:val="TextoNormal"/>
      </w:pPr>
      <w:r>
        <w:t xml:space="preserve">En definitiva, los informes de la Intervención que la sentencia de instancia analiza como medio de prueba acreditativo del tipo subjetivo de la malversación no llegan a demostrar que el señor Serrano Aguilar hubiera realizado los hechos que se le atribuyen (la firma de los convenios particulares) con una representación suficiente de que las ayudas se fueran a conceder al margen de toda finalidad pública.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que aparecen descritas en el fundamento de Derecho 45 de la sentencia de instancia. Tampoco </w:t>
      </w:r>
      <w:r>
        <w:lastRenderedPageBreak/>
        <w:t>es un dato concluyente que tuviera conocimiento del déficit contable que se producía en la agencia IDEA pues el mismo era una consecuencia asociada al sistema de presupuestación y gestión de las transferencias de financiación determinado en las leyes de presupuestos.</w:t>
      </w:r>
    </w:p>
    <w:p w14:paraId="39190BFE" w14:textId="77777777" w:rsidR="003754FE" w:rsidRDefault="003754FE" w:rsidP="003754FE">
      <w:pPr>
        <w:pStyle w:val="TextoNormal"/>
      </w:pPr>
    </w:p>
    <w:p w14:paraId="4E6D1CD8" w14:textId="77777777" w:rsidR="003754FE" w:rsidRDefault="003754FE" w:rsidP="003754FE">
      <w:pPr>
        <w:pStyle w:val="TextoNormal"/>
      </w:pPr>
      <w:r>
        <w:t>Ello no quiere decir, en modo alguno, que no existan en la causa elementos que hubieran podido servir de punto de partida para fundar un juicio de inferencia que pudiera haber llevado a esa conclusión —cuestión sobre la que a este tribunal no le corresponde pronunciarse—, sino, sencillamente, que la sentencia no ha completado el razonamiento capaz de trazar la vinculación entre los convenios suscritos por el demandante, a los que se refiere el relato de hechos probados, sin mayor especificación de su contenido y contexto, con las desviaciones expuestas en otro apartado del mismo relato de hechos probados, razonamiento que es necesario para satisfacer el canon de motivación reforzada exigible a una sentencia condenatoria desde la perspectiva del derecho a la presunción de inocencia (art. 24.2 CE) y de los derechos fundamentales concernidos por las penas impuestas.</w:t>
      </w:r>
    </w:p>
    <w:p w14:paraId="36FBF30F" w14:textId="77777777" w:rsidR="003754FE" w:rsidRDefault="003754FE" w:rsidP="003754FE">
      <w:pPr>
        <w:pStyle w:val="TextoNormal"/>
      </w:pPr>
    </w:p>
    <w:p w14:paraId="55ABEDB6" w14:textId="77777777" w:rsidR="003754FE" w:rsidRDefault="003754FE" w:rsidP="003754FE">
      <w:pPr>
        <w:pStyle w:val="TextoNormal"/>
      </w:pPr>
      <w:r>
        <w:t>La resolución judicial de instancia (sentencia de la Audiencia Provincial, fundamento de Derecho 22, pág. 696) atribuye directamente dicho desvío de fondos a los responsables de la Consejería de Empleo señalando que “[s]in el mecanismo ya descrito hubiera sido imposible que la Consejería de Empleo de la Junta de Andalucía, a través de la Dirección General de Trabajo y Seguridad Social, hubiera dispuesto de fondos para conceder y pagar a través del IFA/IDEA, los conceptos ya reseñados, sin la tramitación del correspondiente expediente, que permitiese acreditar, no ya solo el fin público o social del destino de las cantidades concedidas, sino que, acreditado este, se hubieran aplicado los fondos al mismo”. Esta fundamentación se repite a lo largo de la sentencia de instancia, como en el fundamento de Derecho 9 o el fundamento de Derecho 35, pág. 1261, donde se afirma que “[a] pesar de no estar previsto en la ficha presupuestaria del programa 31L, lo cierto es que los responsables de la Consejería de Empleo utilizaron estos fondos para fines completamente ajenos. Y así, a simple modo de ejemplo, se encuentra que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Asimismo, en el fundamento de Derecho 45, donde se concluye que se hicieron pagos completamente ajenos al interés público, “[c]omo son el pago de nóminas, deudas (sin especificar), minutas por asesoramiento jurídico en materia laboral, mejoras salariales derivadas de convenios colectivos, préstamos para pago de nóminas de los que no consta su devolución”, a empresas que no habían acreditado su falta de capacidad económica, sospechosas de haberse constituido exclusivamente para el cobro de las subvenciones, o incluyendo beneficiarios que no pertenecían a las mismas. Sin embargo, como ya se ha indicado, ninguna argumentación se realiza a lo largo de estos fundamentos jurídicos dirigida a explicitar la participación del demandante de amparo en la ejecución de este tipo de actos, los elementos probatorios de los que se deduciría dicha participación, así como la posible concurrencia del elemento subjetivo del injusto.</w:t>
      </w:r>
    </w:p>
    <w:p w14:paraId="7600D662" w14:textId="77777777" w:rsidR="003754FE" w:rsidRDefault="003754FE" w:rsidP="003754FE">
      <w:pPr>
        <w:pStyle w:val="TextoNormal"/>
      </w:pPr>
    </w:p>
    <w:p w14:paraId="0FC2DA6D" w14:textId="77777777" w:rsidR="003754FE" w:rsidRDefault="003754FE" w:rsidP="003754FE">
      <w:pPr>
        <w:pStyle w:val="TextoNormal"/>
      </w:pPr>
      <w:r>
        <w:t xml:space="preserve">Consecuentemente, y desde la perspectiva del análisis efectuado en las resoluciones judiciales impugnadas, no se considera mínimamente motivado que el señor Serrano Aguilar hubiera realizado los hechos que la sentencia declara probados —la firma de convenios </w:t>
      </w:r>
      <w:r>
        <w:lastRenderedPageBreak/>
        <w:t>particulares— con conocimiento de que la Consejería de Empleo concedía ayudas que no respondían a ningún fin público amparado en el programa 31L, y consiguientemente con representación del riesgo concreto de que dicha situación se pudiera reproducir, lo que permite concluir que su presunción de inocencia no ha sido respetada por los órganos judiciales que le condenaron y que desestimaron el recurso de casación subsiguientemente interpuesto y debe llevar a la estimación del amparo respecto a este motivo.</w:t>
      </w:r>
    </w:p>
    <w:p w14:paraId="25C9EF1A" w14:textId="77777777" w:rsidR="003754FE" w:rsidRDefault="003754FE" w:rsidP="003754FE">
      <w:pPr>
        <w:pStyle w:val="TextoNormal"/>
      </w:pPr>
    </w:p>
    <w:p w14:paraId="0F655672" w14:textId="4D53C504" w:rsidR="003754FE" w:rsidRDefault="003754FE" w:rsidP="003754FE">
      <w:pPr>
        <w:pStyle w:val="TextoNormal"/>
      </w:pPr>
      <w:r>
        <w:t>La estimación de esta queja, bastante para declarar la nulidad de la condena por delito de malversación, hace innecesario pronunciarse sobre el segundo motivo de amparo, en el que se achaca al Tribunal Supremo haber incurrido en una nueva vulneración del mismo derecho a la presunción de inocencia por haber introducido elementos fácticos que no aparecían en la sentencia de la Audiencia Provincial con el fin de justificar la concurrencia en el demandante de amparo de una intencionalidad, o dolo directo de malversar, que la sentencia de instancia no apreció. Constituye una queja distinta la relativa a las vulneraciones atribuidas a la comunicación pública y anticipada del fallo de la sentencia de casación, lo que se abordará a continuación.</w:t>
      </w:r>
    </w:p>
    <w:p w14:paraId="790F99BC" w14:textId="77777777" w:rsidR="003754FE" w:rsidRDefault="003754FE" w:rsidP="003754FE">
      <w:pPr>
        <w:pStyle w:val="TextoNormal"/>
      </w:pPr>
    </w:p>
    <w:p w14:paraId="3C0F90CC" w14:textId="77777777" w:rsidR="003754FE" w:rsidRDefault="003754FE" w:rsidP="003754FE">
      <w:pPr>
        <w:pStyle w:val="TextoNormal"/>
      </w:pPr>
      <w:r w:rsidRPr="003754FE">
        <w:rPr>
          <w:rStyle w:val="NumeroAFNegritaCaracter"/>
        </w:rPr>
        <w:t>7</w:t>
      </w:r>
      <w:r>
        <w:t xml:space="preserve">. </w:t>
      </w:r>
      <w:r w:rsidRPr="003754FE">
        <w:rPr>
          <w:i/>
        </w:rPr>
        <w:t>Vulneraciones atribuidas a la comunicación pública y anticipada del fallo de la sentencia de casación</w:t>
      </w:r>
    </w:p>
    <w:p w14:paraId="7F5EA218" w14:textId="77777777" w:rsidR="003754FE" w:rsidRDefault="003754FE" w:rsidP="003754FE">
      <w:pPr>
        <w:pStyle w:val="TextoNormal"/>
      </w:pPr>
    </w:p>
    <w:p w14:paraId="24EDAB34" w14:textId="77777777" w:rsidR="003754FE" w:rsidRDefault="003754FE" w:rsidP="003754FE">
      <w:pPr>
        <w:pStyle w:val="TextoNormal"/>
      </w:pPr>
      <w:r>
        <w:t xml:space="preserve">7.1. </w:t>
      </w:r>
      <w:r w:rsidRPr="003754FE">
        <w:rPr>
          <w:i/>
        </w:rPr>
        <w:t>Exposición de la queja del recurrente, de las posiciones de las partes personadas y del pronunciamiento del Tribunal Supremo</w:t>
      </w:r>
    </w:p>
    <w:p w14:paraId="0993545F" w14:textId="77777777" w:rsidR="003754FE" w:rsidRDefault="003754FE" w:rsidP="003754FE">
      <w:pPr>
        <w:pStyle w:val="TextoNormal"/>
      </w:pPr>
    </w:p>
    <w:p w14:paraId="59C15408" w14:textId="77777777" w:rsidR="003754FE" w:rsidRDefault="003754FE" w:rsidP="003754FE">
      <w:pPr>
        <w:pStyle w:val="TextoNormal"/>
      </w:pPr>
      <w:r>
        <w:t>El primer motivo de la demanda denuncia la vulneración del derecho a la presunción de inocencia (art. 24.2 CE), del derecho al honor (art. 18.1 CE), del derecho a un proceso con todas las garantías (art. 24.2 CE) y del derecho a la tutela judicial efectiva (art. 24.1 CE). Esa plural denuncia se vincula con la comunicación pública por parte del Tribunal Supremo del fallo condenatorio mediante providencia de 26 de julio de 2022, casi dos meses antes de la notificación de la sentencia que desestimó el recurso de casación. Se alega en primer lugar que, al anunciar ese día que sería condenado “sin que de manera real lo hubiere sido toda vez que, hasta la firma y publicación de la sentencia en septiembre de 2022, no se quebró la presunción de inocencia”, el Tribunal Supremo presentó al recurrente como culpable cuando aún gozaba de la condición de inocente y así lo mantuvo hasta el 13 de septiembre de 2022. Esa actuación desconocería la doctrina del Tribunal Europeo de Derechos Humanos sobre la dimensión extraprocesal de la presunción de inocencia [art. 6.2 del Convenio europeo de derechos humanos (CEDH)], así como la del Tribunal Constitucional, que protege esa faceta en el marco del derecho al honor y no como vertiente del derecho tutelado en el art. 24.2 CE (STC 133/2018, de 13 de diciembre).</w:t>
      </w:r>
    </w:p>
    <w:p w14:paraId="67CEBF0B" w14:textId="77777777" w:rsidR="003754FE" w:rsidRDefault="003754FE" w:rsidP="003754FE">
      <w:pPr>
        <w:pStyle w:val="TextoNormal"/>
      </w:pPr>
    </w:p>
    <w:p w14:paraId="292BEE20" w14:textId="77777777" w:rsidR="003754FE" w:rsidRDefault="003754FE" w:rsidP="003754FE">
      <w:pPr>
        <w:pStyle w:val="TextoNormal"/>
      </w:pPr>
      <w:r>
        <w:t xml:space="preserve">Se aduce en segundo lugar que el señalamiento como culpable por parte del poder público sin dar razón de los motivos de ello vulnera la garantía procesal como parte del derecho fundamental a un proceso con todas las garantías, ya que la sentencia debe notificarse en su integridad y en unidad de acto (arts. 160 y 789 LECrim y arts. 248, 266, 270 y ss. LOPJ), generando indefensión pues, al ser objeto de inmediata difusión masiva, el demandante careció de cualquier posible reacción. A su entender, las lesiones reseñadas no podrían justificarse con el argumento de la “relevancia pública del caso” esgrimido en el comunicado del órgano judicial, interés que en absoluto sería parangonable a los derechos fundamentales sacrificados. Ante la imposibilidad de reparar la lesión denunciada mediante la restitución </w:t>
      </w:r>
      <w:r>
        <w:lastRenderedPageBreak/>
        <w:t>del derecho que advierte el recurrente, la conclusión es que solo podrá venir de la mano de una indemnización sustitutoria por los daños y perjuicios desencadenados, de modo que la declaración de la vulneración abrirá la vía para el ejercicio de las acciones oportunas para reclamar la indemnización.</w:t>
      </w:r>
    </w:p>
    <w:p w14:paraId="5DF8326D" w14:textId="77777777" w:rsidR="003754FE" w:rsidRDefault="003754FE" w:rsidP="003754FE">
      <w:pPr>
        <w:pStyle w:val="TextoNormal"/>
      </w:pPr>
    </w:p>
    <w:p w14:paraId="6C18E328" w14:textId="77777777" w:rsidR="003754FE" w:rsidRDefault="003754FE" w:rsidP="003754FE">
      <w:pPr>
        <w:pStyle w:val="TextoNormal"/>
      </w:pPr>
      <w:r>
        <w:t>Como ha quedado reflejado en los antecedentes, el Partido Popular acoge los argumentos vertidos en el auto resolutorio del incidente de nulidad de actuaciones para rechazar el motivo.</w:t>
      </w:r>
    </w:p>
    <w:p w14:paraId="5EED1EBB" w14:textId="77777777" w:rsidR="003754FE" w:rsidRDefault="003754FE" w:rsidP="003754FE">
      <w:pPr>
        <w:pStyle w:val="TextoNormal"/>
      </w:pPr>
    </w:p>
    <w:p w14:paraId="039B5812" w14:textId="77777777" w:rsidR="003754FE" w:rsidRDefault="003754FE" w:rsidP="003754FE">
      <w:pPr>
        <w:pStyle w:val="TextoNormal"/>
      </w:pPr>
      <w:r>
        <w:t>La fiscal solicita asimismo la desestimación de esta queja en aplicación de la doctrina constitucional (reproduce extractos de las SSTC 180/1999, de 11 de octubre, FJ 4; 133/2018, de 13 de diciembre, FJ 4, y 77/2023, de 20 de junio, FJ 5). Argumenta que “la providencia se dicta por el órgano jurisdiccional que ya ha dictado un fallo respecto del hoy recurrente, confirmando la sentencia condenatoria” y que “[l]a presunción de inocencia en el ámbito procesal queda enervada mediante el dictado de una sentencia firme en la que se realice un pronunciamiento de condena”, como son las sentencias de casación. En este caso, advierte, la sentencia “ya ha sido dictada tras alcanzar la mayoría de votos que requiere la ley, según se dispone en el art. 255 de la LOPJ, y la publicación únicamente ha de esperar a la redacción del voto particular que ha sido anunciado por dos miembros del tribunal en el momento de la votación, una vez concluida la deliberación, en aplicación de lo dispuesto en el art. 260.2 también de la LOPJ, que establece que el voto particular debe notificarse de manera simultánea con la sentencia, es por tanto preceptivo esperar a la redacción del voto particular, lo que provoca el retraso que determina la decisión de anticipar el contenido del fallo”. Respecto a esta actuación considera que, si bien la normativa citada por el Tribunal Supremo para justificar la comunicación se refiere a supuestos diferentes y no se puede aplicar al presente, la ponderación efectuada para justificar el anticipo del fallo es adecuada, por cuanto atiende al interés de la difusión de una noticia con relevancia pública con referencia a un proceso de gran repercusión social y mediática, sin que se hayan vulnerado los derechos a la presunción de inocencia como regla de tratamiento y al honor del recurrente.</w:t>
      </w:r>
    </w:p>
    <w:p w14:paraId="64580108" w14:textId="77777777" w:rsidR="003754FE" w:rsidRDefault="003754FE" w:rsidP="003754FE">
      <w:pPr>
        <w:pStyle w:val="TextoNormal"/>
      </w:pPr>
    </w:p>
    <w:p w14:paraId="71BD9BF5" w14:textId="77777777" w:rsidR="003754FE" w:rsidRDefault="003754FE" w:rsidP="003754FE">
      <w:pPr>
        <w:pStyle w:val="TextoNormal"/>
      </w:pPr>
      <w:r>
        <w:t>En el incidente de nulidad de actuaciones promovido por el recurrente se formularon quejas análogas que fueron descartadas en el fundamento de Derecho 41 del auto del Tribunal Supremo de 16 de febrero de 2023 por remisión a lo respondido a otro recurrente en el fundamento de Derecho 2 de dicho auto. En él se parte de distinguir el contenido necesario de una sentencia, su notificación y la publicación anticipada del fallo, para subrayar (i) que esta última es una actuación no prevista en la ley, pero tampoco prohibida y prevista para determinadas resoluciones; (ii) que se viene realizando con habitualidad por las distintas salas del Tribunal Supremo en atención a la demanda de noticias por la sociedad y para evitar los efectos perniciosos de la falta de publicidad, como las filtraciones; (iii) que la sentencia ya había sido deliberada y el texto estaba concluso a falta de los votos particulares; (iv) que la “publicación anticipada del fallo, con una sucinta motivación, que se limitó a dar noticia de un hecho relevante, cierto y de naturaleza procesal, no puede equipararse a una condena pública sin motivación”; y (v) que la comunicación pública de un hecho de indudable relevancia informativa “se hizo ponderando otros derechos como el de libre comunicación y recepción de información de los ciudadanos”.</w:t>
      </w:r>
    </w:p>
    <w:p w14:paraId="4C56C885" w14:textId="77777777" w:rsidR="003754FE" w:rsidRDefault="003754FE" w:rsidP="003754FE">
      <w:pPr>
        <w:pStyle w:val="TextoNormal"/>
      </w:pPr>
    </w:p>
    <w:p w14:paraId="60F461F3" w14:textId="77777777" w:rsidR="003754FE" w:rsidRDefault="003754FE" w:rsidP="003754FE">
      <w:pPr>
        <w:pStyle w:val="TextoNormal"/>
      </w:pPr>
      <w:r>
        <w:t xml:space="preserve">A la vista del contenido de este motivo de la demanda de amparo, su examen debe escindirse en dos, de conformidad con la argumentación de una doble lesión, la del derecho a la </w:t>
      </w:r>
      <w:r>
        <w:lastRenderedPageBreak/>
        <w:t>presunción de inocencia extraprocesal y la de los derechos a un proceso con todas las garantías y a la tutela judicial efectiva.</w:t>
      </w:r>
    </w:p>
    <w:p w14:paraId="3AB97D76" w14:textId="77777777" w:rsidR="003754FE" w:rsidRDefault="003754FE" w:rsidP="003754FE">
      <w:pPr>
        <w:pStyle w:val="TextoNormal"/>
      </w:pPr>
    </w:p>
    <w:p w14:paraId="4D83BC9D" w14:textId="77777777" w:rsidR="003754FE" w:rsidRDefault="003754FE" w:rsidP="003754FE">
      <w:pPr>
        <w:pStyle w:val="TextoNormal"/>
      </w:pPr>
      <w:r>
        <w:t xml:space="preserve">7.2. </w:t>
      </w:r>
      <w:r w:rsidRPr="003754FE">
        <w:rPr>
          <w:i/>
        </w:rPr>
        <w:t>Vulneración del derecho a la presunción de inocencia extraprocesal</w:t>
      </w:r>
    </w:p>
    <w:p w14:paraId="42A8BEF9" w14:textId="77777777" w:rsidR="003754FE" w:rsidRDefault="003754FE" w:rsidP="003754FE">
      <w:pPr>
        <w:pStyle w:val="TextoNormal"/>
      </w:pPr>
    </w:p>
    <w:p w14:paraId="2CD73516" w14:textId="77777777" w:rsidR="003754FE" w:rsidRDefault="003754FE" w:rsidP="003754FE">
      <w:pPr>
        <w:pStyle w:val="TextoNormal"/>
      </w:pPr>
      <w:r>
        <w:t xml:space="preserve">7.2.1. </w:t>
      </w:r>
      <w:r w:rsidRPr="003754FE">
        <w:rPr>
          <w:i/>
        </w:rPr>
        <w:t>Doctrina sobre el derecho a la presunción de inocencia extraprocesal</w:t>
      </w:r>
    </w:p>
    <w:p w14:paraId="7463106C" w14:textId="77777777" w:rsidR="003754FE" w:rsidRDefault="003754FE" w:rsidP="003754FE">
      <w:pPr>
        <w:pStyle w:val="TextoNormal"/>
      </w:pPr>
    </w:p>
    <w:p w14:paraId="3E7A1B29" w14:textId="77777777" w:rsidR="003754FE" w:rsidRDefault="003754FE" w:rsidP="003754FE">
      <w:pPr>
        <w:pStyle w:val="TextoNormal"/>
      </w:pPr>
      <w:r>
        <w:t>A) Doctrina constitucional</w:t>
      </w:r>
    </w:p>
    <w:p w14:paraId="1C800C3D" w14:textId="77777777" w:rsidR="003754FE" w:rsidRDefault="003754FE" w:rsidP="003754FE">
      <w:pPr>
        <w:pStyle w:val="TextoNormal"/>
      </w:pPr>
    </w:p>
    <w:p w14:paraId="1B220909" w14:textId="77777777" w:rsidR="003754FE" w:rsidRDefault="003754FE" w:rsidP="003754FE">
      <w:pPr>
        <w:pStyle w:val="TextoNormal"/>
      </w:pPr>
      <w:r>
        <w:t>La doctrina constitucional, aunque reconoció tempranamente como contenido del derecho a la presunción de inocencia el derecho a ser tratado como inocente hasta que exista una condena respetuosa de las exigencias constitucionales y legales (STC 109/1986, de 24 de septiembre, FJ 1), limitó el ámbito de aplicación de la regla de tratamiento como exigencia del art. 24.2 CE a los procesos penales en curso y a determinadas actuaciones procesales efectuadas por los órganos judiciales. Esa regla de tratamiento ha operado de forma señalada en el marco de las decisiones sobre prisión preventiva, donde se excluye la posibilidad de fundamentar la medida cautelar personal en argumentos atinentes a la culpabilidad del sujeto, que convertirían la prisión preventiva en una pena anticipada respecto de un inocente [SSTC 57/2008, de 28 de abril, FJ 5; 140/2012, de 2 de julio, FJ 2; 30/2019, de 28 de febrero, FJ 3 c), o 5/2020, de 15 de enero, FJ 11]. En esta línea, más recientemente el Tribunal ha considerado asimismo contraria al derecho a la presunción de inocencia la inclusión de la cuantía de la pena de multa interesada por la acusación en el importe de la fianza impuesta al acusado por cuanto “anticipa una pena que no ha sido declarada en sentencia” (STC 69/2023, de 19 de junio, FJ 3).</w:t>
      </w:r>
    </w:p>
    <w:p w14:paraId="2CD3E241" w14:textId="77777777" w:rsidR="003754FE" w:rsidRDefault="003754FE" w:rsidP="003754FE">
      <w:pPr>
        <w:pStyle w:val="TextoNormal"/>
      </w:pPr>
    </w:p>
    <w:p w14:paraId="3D43EC2B" w14:textId="77777777" w:rsidR="003754FE" w:rsidRDefault="003754FE" w:rsidP="003754FE">
      <w:pPr>
        <w:pStyle w:val="TextoNormal"/>
      </w:pPr>
      <w:r>
        <w:t>Fuera de estos contornos, el Tribunal vino negando a esta “dimensión extraprocesal de la presunción de inocencia” la consideración de “derecho fundamental distinto o autónomo del que emana de los arts. 10 y 18 de la Constitución” [así, por primera vez en la STC 166/1995, de 20 de noviembre, FJ 3, o últimamente en la STC 133/2018, de 13 de diciembre, FJ 4 a)]. Y ello a pesar de entender que “el derecho a la presunción de inocencia opera en las situaciones extraprocesales y constituye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(SSTC 109/1986, de 24 de septiembre, FJ 1; 283/1994, de 24 de octubre, FJ 2; 166/1995, de 20 de noviembre, FJ 3, y 244/2007, de 10 de diciembre, FJ 2)” [STC 133/2018, FJ 4 a)]. A la lesión del derecho al honor (art. 18 CE) se ha reconducido el examen cuando se alega la vulneración del derecho a ser tratado como no autor o partícipe en hechos delictivos en decisiones judiciales fuera del proceso penal, por ejemplo, al apreciar una cuestión prejudicial penal en la jurisdicción civil (STC 166/1995, FJ 3) o al examinar las conclusiones de una comisión de investigación parlamentaria (STC 133/2018, FJ 4). Pero también cuando se enjuician manifestaciones del poder público realizadas al margen de un proceso, como las manifestaciones a la prensa de un gobernador civil que atribuyen a un detenido la pertenencia al comando terrorista que se dice autor de un atentado (STC 244/2007, de 10 de diciembre, FJ 2) o las declaraciones de diversas personas con responsabilidades gubernamentales que atribuyen la comisión de delitos a políticos catalanes (por todas, STC 91/2021, de 22 de abril, FJ 8.3).</w:t>
      </w:r>
    </w:p>
    <w:p w14:paraId="231D9CAB" w14:textId="77777777" w:rsidR="003754FE" w:rsidRDefault="003754FE" w:rsidP="003754FE">
      <w:pPr>
        <w:pStyle w:val="TextoNormal"/>
      </w:pPr>
    </w:p>
    <w:p w14:paraId="154550BF" w14:textId="77777777" w:rsidR="003754FE" w:rsidRDefault="003754FE" w:rsidP="003754FE">
      <w:pPr>
        <w:pStyle w:val="TextoNormal"/>
      </w:pPr>
      <w:r>
        <w:lastRenderedPageBreak/>
        <w:t xml:space="preserve">Como pone de relieve la STC 77/2023, de 20 de junio, FJ 5 a), a partir de las sentencias dictadas por el Tribunal en relación con la responsabilidad patrimonial por prisión preventiva (SSTC 8/2017, de 19 de enero; 10/2017, de 30 de enero, y 85/2019, de 19 de junio), la doctrina constitucional empieza a dotar de autonomía a la dimensión del derecho a la presunción de inocencia como regla de tratamiento y a proyectarla más allá del estricto proceso penal; y con ello, aproxima esa exigencia a su entendimiento por el Tribunal Europeo de Derechos Humanos. Tanto en dichas resoluciones como en la STC 97/2020, de 21 de julio, en la que se dirime la posible afectación de la regla de tratamiento por la aplicación del art. 384 </w:t>
      </w:r>
      <w:r w:rsidRPr="003754FE">
        <w:rPr>
          <w:i/>
        </w:rPr>
        <w:t>bis</w:t>
      </w:r>
      <w:r>
        <w:t xml:space="preserve"> LECrim por las autoridades parlamentarias, se consolida el contenido de la presunción de inocencia como regla de tratamiento que, en consonancia con los pronunciamientos sobre el art. 6.2 CEDH, impide tener por culpable a quien no ha sido declarado así tras un previo juicio justo, bien porque no fue condenado en el proceso penal, bien porque todavía no ha habido o no ha culminado el proceso penal; y la consideración de que ese contenido se sitúa y se examina con carácter autónomo en sede de presunción de inocencia (art. 24.2 CE), desligado del derecho al honor (art. 18 CE).</w:t>
      </w:r>
    </w:p>
    <w:p w14:paraId="2BA780A6" w14:textId="77777777" w:rsidR="003754FE" w:rsidRDefault="003754FE" w:rsidP="003754FE">
      <w:pPr>
        <w:pStyle w:val="TextoNormal"/>
      </w:pPr>
    </w:p>
    <w:p w14:paraId="1C3598F2" w14:textId="77777777" w:rsidR="003754FE" w:rsidRDefault="003754FE" w:rsidP="003754FE">
      <w:pPr>
        <w:pStyle w:val="TextoNormal"/>
      </w:pPr>
      <w:r>
        <w:t>La citada STC 77/2023, atinente a las conclusiones del dictamen de una comisión de investigación parlamentaria, avanza definitivamente en la doctrina constitucional sobre la dimensión extraprocesal del derecho a la presunción de inocencia para reconocer de manera expresa a ese contenido carácter autónomo en sede de presunción de inocencia y perfilar el parámetro de control constitucional. En su fundamento jurídico 6:</w:t>
      </w:r>
    </w:p>
    <w:p w14:paraId="5F2C88E3" w14:textId="77777777" w:rsidR="003754FE" w:rsidRDefault="003754FE" w:rsidP="003754FE">
      <w:pPr>
        <w:pStyle w:val="TextoNormal"/>
      </w:pPr>
    </w:p>
    <w:p w14:paraId="3A41E9D5" w14:textId="77777777" w:rsidR="003754FE" w:rsidRDefault="003754FE" w:rsidP="003754FE">
      <w:pPr>
        <w:pStyle w:val="TextoNormal"/>
      </w:pPr>
      <w:r>
        <w:t>(i) Afirma la autonomía del derecho a la presunción de inocencia como regla de tratamiento, que “tiene por objeto salvaguardar o preservar a la persona en su condición de inocente frente a declaraciones de culpabilidad vertidas por la autoridad pública en aquellos casos en que no concurren los requisitos formales y materiales exigibles en un Estado de Derecho para realizar tal aseveración”.</w:t>
      </w:r>
    </w:p>
    <w:p w14:paraId="59EC1F97" w14:textId="77777777" w:rsidR="003754FE" w:rsidRDefault="003754FE" w:rsidP="003754FE">
      <w:pPr>
        <w:pStyle w:val="TextoNormal"/>
      </w:pPr>
    </w:p>
    <w:p w14:paraId="6B37717A" w14:textId="77777777" w:rsidR="003754FE" w:rsidRDefault="003754FE" w:rsidP="003754FE">
      <w:pPr>
        <w:pStyle w:val="TextoNormal"/>
      </w:pPr>
      <w:r>
        <w:t>(ii) Especifica que ese contenido “impide a los poderes públicos, tras declararse judicialmente la inocencia de una persona, cuestionar tal declaración”, así como imputar “ilícitos a una persona a pesar de que su culpabilidad no haya sido declarada por un tribunal, en el seno del proceso judicial público diseñado al efecto por el legislador y con todas las garantías”.</w:t>
      </w:r>
    </w:p>
    <w:p w14:paraId="01C7799C" w14:textId="77777777" w:rsidR="003754FE" w:rsidRDefault="003754FE" w:rsidP="003754FE">
      <w:pPr>
        <w:pStyle w:val="TextoNormal"/>
      </w:pPr>
    </w:p>
    <w:p w14:paraId="7DA20721" w14:textId="77777777" w:rsidR="003754FE" w:rsidRDefault="003754FE" w:rsidP="003754FE">
      <w:pPr>
        <w:pStyle w:val="TextoNormal"/>
      </w:pPr>
      <w:r>
        <w:t>(iii) En sintonía con la jurisprudencia del Tribunal Europeo de Derechos Humanos, fija que la lesión del derecho “queda consumada en el momento en que desde el poder público se emitan declaraciones que no se limiten a describir un ‘estado de sospecha’ sino que vayan más allá, reflejando ‘la sensación de que la persona en cuestión es culpable’, siendo indiferente si se produce con anterioridad a la condena o con posterioridad a la absolución”.</w:t>
      </w:r>
    </w:p>
    <w:p w14:paraId="153B45E5" w14:textId="77777777" w:rsidR="003754FE" w:rsidRDefault="003754FE" w:rsidP="003754FE">
      <w:pPr>
        <w:pStyle w:val="TextoNormal"/>
      </w:pPr>
    </w:p>
    <w:p w14:paraId="222C8121" w14:textId="77777777" w:rsidR="003754FE" w:rsidRDefault="003754FE" w:rsidP="003754FE">
      <w:pPr>
        <w:pStyle w:val="TextoNormal"/>
      </w:pPr>
      <w:r>
        <w:t>B) Algunos aspectos relevantes de la doctrina del Tribunal Europeo de Derechos Humanos</w:t>
      </w:r>
    </w:p>
    <w:p w14:paraId="00FCC0D5" w14:textId="77777777" w:rsidR="003754FE" w:rsidRDefault="003754FE" w:rsidP="003754FE">
      <w:pPr>
        <w:pStyle w:val="TextoNormal"/>
      </w:pPr>
    </w:p>
    <w:p w14:paraId="516F61E6" w14:textId="77777777" w:rsidR="003754FE" w:rsidRDefault="003754FE" w:rsidP="003754FE">
      <w:pPr>
        <w:pStyle w:val="TextoNormal"/>
      </w:pPr>
      <w:r>
        <w:t xml:space="preserve">Sentado lo anterior y en atención a la importancia que en la conformación del contenido </w:t>
      </w:r>
      <w:r w:rsidRPr="003754FE">
        <w:rPr>
          <w:i/>
        </w:rPr>
        <w:t>iusfundamental</w:t>
      </w:r>
      <w:r>
        <w:t xml:space="preserve"> examinado ha tenido la jurisprudencia del Tribunal Europeo de Derechos Humanos relativa al art. 6.2 CEDH, resulta conveniente tener en cuenta algunas manifestaciones de dicha doctrina para dilucidar la vulneración aducida en la demanda.</w:t>
      </w:r>
    </w:p>
    <w:p w14:paraId="0DBB4F56" w14:textId="77777777" w:rsidR="003754FE" w:rsidRDefault="003754FE" w:rsidP="003754FE">
      <w:pPr>
        <w:pStyle w:val="TextoNormal"/>
      </w:pPr>
    </w:p>
    <w:p w14:paraId="7A6E3B8B" w14:textId="77777777" w:rsidR="003754FE" w:rsidRDefault="003754FE" w:rsidP="003754FE">
      <w:pPr>
        <w:pStyle w:val="TextoNormal"/>
      </w:pPr>
      <w:r>
        <w:lastRenderedPageBreak/>
        <w:t xml:space="preserve">a) En primer lugar, el Tribunal Europeo sitúa en la presunción de inocencia como garantía procesal las declaraciones previas a una condena penal que puedan dar la impresión de que la persona es culpable, acompañando a otros elementos relativos a la carga de la prueba, las presunciones legales sobre los hechos y el Derecho, el derecho a no declarar contra uno mismo o la publicidad antes del proceso. Considera así que, “[e]ntendido como una garantía procesal en el contexto de un proceso penal, el derecho a la presunción de inocencia establece algunas exigencias y límites en cuanto a […] las declaraciones prematuras del tribunal o de otras autoridades públicas sobre la culpabilidad del acusado”. Es en un segundo momento, cuando la garantía procesal ya ha operado en el proceso penal y en aras de la eficacia de la misma, donde sitúa la protección de quienes han sido absueltos o respecto de los que se ha acordado el sobreseimiento, prohibiendo que sean “tratados por las autoridades y funcionarios públicos como si de hecho fueran culpables del delito por el que se los acusó”, lo que constituye un segundo aspecto del derecho a la presunción de inocencia (STEDH, Gran Sala, de 12 de julio de 2013, asunto </w:t>
      </w:r>
      <w:r w:rsidRPr="003754FE">
        <w:rPr>
          <w:i/>
        </w:rPr>
        <w:t>Allen c. Reino Unido</w:t>
      </w:r>
      <w:r>
        <w:t>, § 93-94). En otras palabras, la eficacia extraprocesal del art. 6.2 CEDH se identifica con actuaciones posteriores al proceso penal, pero conectadas con él. Pero ello no empece a que la interdicción de declaraciones que denoten la culpabilidad de quien no ha sido condenado conforme a la ley opere durante el desarrollo del proceso penal, dentro del proceso, en las resoluciones que se van adoptando y fuera de él, en especial respecto de las declaraciones públicas sobre el investigado o acusado.</w:t>
      </w:r>
    </w:p>
    <w:p w14:paraId="019ACC13" w14:textId="77777777" w:rsidR="003754FE" w:rsidRDefault="003754FE" w:rsidP="003754FE">
      <w:pPr>
        <w:pStyle w:val="TextoNormal"/>
      </w:pPr>
    </w:p>
    <w:p w14:paraId="6D908B57" w14:textId="77777777" w:rsidR="003754FE" w:rsidRDefault="003754FE" w:rsidP="003754FE">
      <w:pPr>
        <w:pStyle w:val="TextoNormal"/>
      </w:pPr>
      <w:r>
        <w:t>b) La prohibición del art. 6.2 CEDH se extiende tanto a manifestaciones prematuras por parte del tribunal penal de que la persona inmersa en un proceso penal es culpable, esto es, sin que se haya demostrado que lo es con arreglo a la ley, como a las declaraciones realizadas por otros funcionarios o autoridades sobre investigaciones penales pendientes que inciten al público a creer que el sospechoso es culpable y prejuzguen la evaluación de los hechos por parte de la autoridad judicial competente (por todas, STEDH de 10 de febrero de 1995, asunt</w:t>
      </w:r>
      <w:r w:rsidRPr="003754FE">
        <w:rPr>
          <w:i/>
        </w:rPr>
        <w:t>o Allenet de Ribemont c. Franc</w:t>
      </w:r>
      <w:r>
        <w:t>ia, § 36).</w:t>
      </w:r>
    </w:p>
    <w:p w14:paraId="3E6494F3" w14:textId="77777777" w:rsidR="003754FE" w:rsidRDefault="003754FE" w:rsidP="003754FE">
      <w:pPr>
        <w:pStyle w:val="TextoNormal"/>
      </w:pPr>
    </w:p>
    <w:p w14:paraId="0C6A1AC4" w14:textId="77777777" w:rsidR="003754FE" w:rsidRDefault="003754FE" w:rsidP="003754FE">
      <w:pPr>
        <w:pStyle w:val="TextoNormal"/>
      </w:pPr>
      <w:r>
        <w:t xml:space="preserve">c) Cuando de declaraciones vertidas en decisiones judiciales se trata, examina el Tribunal Europeo la presencia de razonamientos y términos que, más allá de una constatación formal, sugieran que el órgano judicial considera culpable al acusado, por ejemplo, al resolver sobre la prórroga de la prisión preventiva (STEDH de 19 de septiembre de 2006, asunto </w:t>
      </w:r>
      <w:r w:rsidRPr="003754FE">
        <w:rPr>
          <w:i/>
        </w:rPr>
        <w:t>Matijasevic c. Serbia</w:t>
      </w:r>
      <w:r>
        <w:t xml:space="preserve">, y de 15 de octubre de 2013, asunto </w:t>
      </w:r>
      <w:r w:rsidRPr="003754FE">
        <w:rPr>
          <w:i/>
        </w:rPr>
        <w:t>Gutsanovi c. Bulgaria</w:t>
      </w:r>
      <w:r>
        <w:t xml:space="preserve">, § 202-203) o en la resolución de apelación (STEDH de 22 de abril de 2021, asunto </w:t>
      </w:r>
      <w:r w:rsidRPr="003754FE">
        <w:rPr>
          <w:i/>
        </w:rPr>
        <w:t>Avaz Zeynalov c. Azerbayán</w:t>
      </w:r>
      <w:r>
        <w:t xml:space="preserve">, 2021, § 69). La declaración de culpabilidad ulterior no obsta al mantenimiento del derecho a la presunción de inocencia hasta el momento en que se prueba legalmente la culpabilidad, pues el art. 6.2 CEDH rige el proceso penal en su conjunto, con independencia del resultado de la acusación (STEDH asunto </w:t>
      </w:r>
      <w:r w:rsidRPr="003754FE">
        <w:rPr>
          <w:i/>
        </w:rPr>
        <w:t>Matijasevic c. Serbia</w:t>
      </w:r>
      <w:r>
        <w:t>, § 49), si bien la intervención de un tribunal superior puede rectificar las declaraciones controvertidas de un tribunal inferior y eliminar cualquier expresión que sugiera culpabilidad (STEDH de 24 de marzo de 2022, asunt</w:t>
      </w:r>
      <w:r w:rsidRPr="003754FE">
        <w:rPr>
          <w:i/>
        </w:rPr>
        <w:t>o Benghezal c. Franc</w:t>
      </w:r>
      <w:r>
        <w:t>ia, § 36).</w:t>
      </w:r>
    </w:p>
    <w:p w14:paraId="31B8C31A" w14:textId="77777777" w:rsidR="003754FE" w:rsidRDefault="003754FE" w:rsidP="003754FE">
      <w:pPr>
        <w:pStyle w:val="TextoNormal"/>
      </w:pPr>
    </w:p>
    <w:p w14:paraId="25D5110A" w14:textId="77777777" w:rsidR="003754FE" w:rsidRDefault="003754FE" w:rsidP="003754FE">
      <w:pPr>
        <w:pStyle w:val="TextoNormal"/>
      </w:pPr>
      <w:r>
        <w:t xml:space="preserve">d) Más allá de las manifestaciones vertidas en resoluciones judiciales, el art. 6.2 CEDH exige que los representantes del Estado —en primer lugar, los jueces que conocen del caso, pero también los representantes de otras autoridades públicas— se abstengan de declarar en público que el acusado es culpable de la comisión del delito en cuestión antes de que su culpabilidad haya sido debidamente establecida por el tribunal (por todas, STEDH </w:t>
      </w:r>
      <w:r w:rsidRPr="003754FE">
        <w:rPr>
          <w:i/>
        </w:rPr>
        <w:t xml:space="preserve">Allenet </w:t>
      </w:r>
      <w:r w:rsidRPr="003754FE">
        <w:rPr>
          <w:i/>
        </w:rPr>
        <w:lastRenderedPageBreak/>
        <w:t>de Ribemont c. Francia</w:t>
      </w:r>
      <w:r>
        <w:t xml:space="preserve">, § 36-37). Se siguen los mismos criterios de que no es precisa una declaración formal de culpabilidad, sino que basta con que de lo manifestado se desprenda que la autoridad considera culpable a la persona (STEDH de 28 de noviembre de 2002, asunto </w:t>
      </w:r>
      <w:r w:rsidRPr="003754FE">
        <w:rPr>
          <w:i/>
        </w:rPr>
        <w:t>Lavents c. Letonia</w:t>
      </w:r>
      <w:r>
        <w:t>, § 126), y de que la posterior condena de un acusado “no puede borrar el derecho inicial a la presunción de inocencia hasta que su culpabilidad haya sido legalmente establecida” (STEDH de 21 de julio de 2015, asunt</w:t>
      </w:r>
      <w:r w:rsidRPr="003754FE">
        <w:rPr>
          <w:i/>
        </w:rPr>
        <w:t>o Neagoe c. Ruman</w:t>
      </w:r>
      <w:r>
        <w:t>ía, § 49).</w:t>
      </w:r>
    </w:p>
    <w:p w14:paraId="3C551BD3" w14:textId="77777777" w:rsidR="003754FE" w:rsidRDefault="003754FE" w:rsidP="003754FE">
      <w:pPr>
        <w:pStyle w:val="TextoNormal"/>
      </w:pPr>
    </w:p>
    <w:p w14:paraId="610B946D" w14:textId="77777777" w:rsidR="003754FE" w:rsidRDefault="003754FE" w:rsidP="003754FE">
      <w:pPr>
        <w:pStyle w:val="TextoNormal"/>
      </w:pPr>
      <w:r>
        <w:t>e) La prohibición de las declaraciones que materialmente, más allá de su tenor literal, sugieran la culpabilidad de quien no ha sido condenado en firme no es incompatible con la posibilidad de que las autoridades informen públicamente sobre los procesos penales en curso, que avala el art. 10 CEDH (</w:t>
      </w:r>
      <w:r w:rsidRPr="003754FE">
        <w:rPr>
          <w:i/>
        </w:rPr>
        <w:t>Neagoe c. Rumanía</w:t>
      </w:r>
      <w:r>
        <w:t>, § 45). Lo que el art. 6.2 CEDH impone es que la información se dé con toda la discreción y prudencia necesarias para respetar la presunción de inocencia (</w:t>
      </w:r>
      <w:r w:rsidRPr="003754FE">
        <w:rPr>
          <w:i/>
        </w:rPr>
        <w:t>Allenet de Ribemont c. Francia</w:t>
      </w:r>
      <w:r>
        <w:t>, § 38), sin acompañar la información con valoraciones, especulaciones o manifestaciones que sugieran la culpabilidad de quien no ha sido aún condenado</w:t>
      </w:r>
      <w:r w:rsidRPr="003754FE">
        <w:rPr>
          <w:i/>
        </w:rPr>
        <w:t xml:space="preserve"> (Neagoe c. Ruman</w:t>
      </w:r>
      <w:r>
        <w:t>ía, § 46 y 48).</w:t>
      </w:r>
    </w:p>
    <w:p w14:paraId="75C1CDB3" w14:textId="77777777" w:rsidR="003754FE" w:rsidRDefault="003754FE" w:rsidP="003754FE">
      <w:pPr>
        <w:pStyle w:val="TextoNormal"/>
      </w:pPr>
    </w:p>
    <w:p w14:paraId="45B6B75D" w14:textId="77777777" w:rsidR="003754FE" w:rsidRDefault="003754FE" w:rsidP="003754FE">
      <w:pPr>
        <w:pStyle w:val="TextoNormal"/>
      </w:pPr>
      <w:r>
        <w:t>En esta dirección se pronuncia también el art. 4.3 de la Directiva (UE) 2016/343 del Parlamento Europeo y del Consejo, de 9 de marzo de 2016, por la que se refuerzan en el proceso penal determinados aspectos de la presunción de inocencia y el derecho a estar presente en el juicio, al precisar que la obligación de no referirse a los sospechosos o acusados como culpables que establece el art. 4.1 “no impedirá a las autoridades públicas divulgar información sobre el proceso penal cuando sea estrictamente necesario por motivos relacionados con la investigación penal o el interés público” (art. 4.3).</w:t>
      </w:r>
    </w:p>
    <w:p w14:paraId="16103947" w14:textId="77777777" w:rsidR="003754FE" w:rsidRDefault="003754FE" w:rsidP="003754FE">
      <w:pPr>
        <w:pStyle w:val="TextoNormal"/>
      </w:pPr>
    </w:p>
    <w:p w14:paraId="0D17F9A2" w14:textId="77777777" w:rsidR="003754FE" w:rsidRDefault="003754FE" w:rsidP="003754FE">
      <w:pPr>
        <w:pStyle w:val="TextoNormal"/>
      </w:pPr>
      <w:r>
        <w:t>7.2</w:t>
      </w:r>
      <w:r w:rsidRPr="003754FE">
        <w:rPr>
          <w:i/>
        </w:rPr>
        <w:t>.2. Enjuiciamiento de la q</w:t>
      </w:r>
      <w:r>
        <w:t>ueja</w:t>
      </w:r>
    </w:p>
    <w:p w14:paraId="38E0DD71" w14:textId="77777777" w:rsidR="003754FE" w:rsidRDefault="003754FE" w:rsidP="003754FE">
      <w:pPr>
        <w:pStyle w:val="TextoNormal"/>
      </w:pPr>
    </w:p>
    <w:p w14:paraId="710516E0" w14:textId="77777777" w:rsidR="003754FE" w:rsidRDefault="003754FE" w:rsidP="003754FE">
      <w:pPr>
        <w:pStyle w:val="TextoNormal"/>
      </w:pPr>
      <w:r>
        <w:t>A) Puntualizaciones</w:t>
      </w:r>
    </w:p>
    <w:p w14:paraId="4A0CD254" w14:textId="77777777" w:rsidR="003754FE" w:rsidRDefault="003754FE" w:rsidP="003754FE">
      <w:pPr>
        <w:pStyle w:val="TextoNormal"/>
      </w:pPr>
    </w:p>
    <w:p w14:paraId="4F4CD7D9" w14:textId="77777777" w:rsidR="003754FE" w:rsidRDefault="003754FE" w:rsidP="003754FE">
      <w:pPr>
        <w:pStyle w:val="TextoNormal"/>
      </w:pPr>
      <w:r>
        <w:t>El examen de la queja formulada por el recurrente conforme a los parámetros reseñados requiere efectuar tres puntualizaciones, atinentes a la concreta actuación cuestionada y al momento procesal en el que se dice producida la lesión.</w:t>
      </w:r>
    </w:p>
    <w:p w14:paraId="1BD6CD72" w14:textId="77777777" w:rsidR="003754FE" w:rsidRDefault="003754FE" w:rsidP="003754FE">
      <w:pPr>
        <w:pStyle w:val="TextoNormal"/>
      </w:pPr>
    </w:p>
    <w:p w14:paraId="0440CDDD" w14:textId="77777777" w:rsidR="003754FE" w:rsidRDefault="003754FE" w:rsidP="003754FE">
      <w:pPr>
        <w:pStyle w:val="TextoNormal"/>
      </w:pPr>
      <w:r>
        <w:t>a) La vulneración del derecho a la presunción de inocencia como regla de tratamiento en su dimensión extraprocesal se predica en la demanda de la difusión pública del comunicado que anticipa el fallo desestimatorio del recurso de casación. No se cuestiona la difusión pública del resultado negativo para el recurrente, sino que esa difusión se efectuara sin que se hubiera notificado íntegramente la sentencia e incidiera así en el derecho a no ser tratado como culpable en tanto no lo haya fijado así una condena firme conforme a Derecho. De este modo, la vulneración alegada sobre la que debemos pronunciarnos queda circunscrita al derecho a la presunción de inocencia como regla de tratamiento, en la que queda subsumida la vulneración del derecho al honor [STC 77/2023, FJ 7 C)], sin que se haya alegado la posible injerencia en el derecho a la intimidad fruto de la difusión.</w:t>
      </w:r>
    </w:p>
    <w:p w14:paraId="6A5F3D61" w14:textId="77777777" w:rsidR="003754FE" w:rsidRDefault="003754FE" w:rsidP="003754FE">
      <w:pPr>
        <w:pStyle w:val="TextoNormal"/>
      </w:pPr>
    </w:p>
    <w:p w14:paraId="777A1725" w14:textId="77777777" w:rsidR="003754FE" w:rsidRDefault="003754FE" w:rsidP="003754FE">
      <w:pPr>
        <w:pStyle w:val="TextoNormal"/>
      </w:pPr>
      <w:r>
        <w:t xml:space="preserve">b) Conviene también dejar claro desde este momento que la prohibición de efectuar manifestaciones que denoten una consideración como culpable de quien, sometido al proceso penal, aún no ha sido condenado en firme vincula sin duda al juez penal competente, aun cuando se trate del tribunal penal de casación y en fases anteriores se haya dictado ya una condena. Tanto este tribunal (STC 185/2014, de 6 de noviembre, FJ 6) como el Tribunal </w:t>
      </w:r>
      <w:r>
        <w:lastRenderedPageBreak/>
        <w:t xml:space="preserve">Europeo de Derechos Humanos (STEDH de 24 de mayo de 2011, asunto </w:t>
      </w:r>
      <w:r w:rsidRPr="003754FE">
        <w:rPr>
          <w:i/>
        </w:rPr>
        <w:t>Konstas c. Grecia</w:t>
      </w:r>
      <w:r>
        <w:t>, § 35-36) proyectan la aplicación del derecho a la presunción de inocencia, en particular su significado como regla de tratamiento, a todo el proceso penal, de modo que no es sino hasta la firmeza de los pronunciamientos condenatorios cuando puede considerarse enervada. En este mismo sentido, el art. 2 de la Directiva (UE) 2016/343 expresa que “[e]s aplicable a todas las fases del proceso penal, desde el momento en que una persona es sospechosa o acusada de haber cometido una infracción penal, o una presunta infracción penal, hasta que adquiera firmeza la resolución final sobre si la persona ha cometido o no la infracción penal en cuestión”.</w:t>
      </w:r>
    </w:p>
    <w:p w14:paraId="4C275C04" w14:textId="77777777" w:rsidR="003754FE" w:rsidRDefault="003754FE" w:rsidP="003754FE">
      <w:pPr>
        <w:pStyle w:val="TextoNormal"/>
      </w:pPr>
    </w:p>
    <w:p w14:paraId="41C56F43" w14:textId="77777777" w:rsidR="003754FE" w:rsidRDefault="003754FE" w:rsidP="003754FE">
      <w:pPr>
        <w:pStyle w:val="TextoNormal"/>
      </w:pPr>
      <w:r>
        <w:t>c) Por otro lado, ciertamente el devenir del proceso penal implica ir adoptando decisiones fundadas tanto en la existencia de indicios de comisión de un delito, por ejemplo la adopción de medidas cautelares como la prisión preventiva o la apertura de juicio oral, como en la certeza más allá de toda duda razonable de la culpabilidad del sujeto cuando se dicta sentencia condenatoria no firme. Se trata de pronunciamientos compatibles con el derecho a la presunción de inocencia, pero en los que también debe evitarse reflejar la opinión de que la persona es culpable cuando se asientan en la sospecha de culpabilidad (considerando 16 y art. 4.1 de la citada Directiva) y que, a pesar de su posible sentido condenatorio (donde obviamente es admisible la referencia a la persona como culpable, art. 4.1 de la Directiva), tienen un componente eventual que solo la firmeza de la resolución confirma, poniendo fin a la exigencia de no tratar a la persona investigada, acusada o condenada como culpable.</w:t>
      </w:r>
    </w:p>
    <w:p w14:paraId="0F001F39" w14:textId="77777777" w:rsidR="003754FE" w:rsidRDefault="003754FE" w:rsidP="003754FE">
      <w:pPr>
        <w:pStyle w:val="TextoNormal"/>
      </w:pPr>
    </w:p>
    <w:p w14:paraId="1AC0B9CE" w14:textId="77777777" w:rsidR="003754FE" w:rsidRDefault="003754FE" w:rsidP="003754FE">
      <w:pPr>
        <w:pStyle w:val="TextoNormal"/>
      </w:pPr>
      <w:r>
        <w:t>B) Contenido del comunicado de prensa</w:t>
      </w:r>
    </w:p>
    <w:p w14:paraId="451CDB9A" w14:textId="77777777" w:rsidR="003754FE" w:rsidRDefault="003754FE" w:rsidP="003754FE">
      <w:pPr>
        <w:pStyle w:val="TextoNormal"/>
      </w:pPr>
    </w:p>
    <w:p w14:paraId="49B6A607" w14:textId="77777777" w:rsidR="003754FE" w:rsidRDefault="003754FE" w:rsidP="003754FE">
      <w:pPr>
        <w:pStyle w:val="TextoNormal"/>
      </w:pPr>
      <w:r>
        <w:t>La importancia de las expresiones utilizadas en las declaraciones cuestionadas para apreciar una lesión del derecho a la presunción de inocencia obliga a que el examen del motivo parta del contenido y tenor del comunicado de prensa difundido, que a continuación se reproduce:</w:t>
      </w:r>
    </w:p>
    <w:p w14:paraId="117C0E33" w14:textId="77777777" w:rsidR="003754FE" w:rsidRDefault="003754FE" w:rsidP="003754FE">
      <w:pPr>
        <w:pStyle w:val="TextoNormal"/>
      </w:pPr>
    </w:p>
    <w:p w14:paraId="3B8E1365" w14:textId="77777777" w:rsidR="003754FE" w:rsidRDefault="003754FE" w:rsidP="003754FE">
      <w:pPr>
        <w:pStyle w:val="TextoNormal"/>
      </w:pPr>
      <w:r>
        <w:t>“COMUNICADO DE PRENSA</w:t>
      </w:r>
    </w:p>
    <w:p w14:paraId="6E78B363" w14:textId="77777777" w:rsidR="003754FE" w:rsidRDefault="003754FE" w:rsidP="003754FE">
      <w:pPr>
        <w:pStyle w:val="TextoNormal"/>
      </w:pPr>
    </w:p>
    <w:p w14:paraId="7A475EBB" w14:textId="77777777" w:rsidR="003754FE" w:rsidRDefault="003754FE" w:rsidP="003754FE">
      <w:pPr>
        <w:pStyle w:val="TextoNormal"/>
      </w:pPr>
      <w:r>
        <w:t>CASO ERE</w:t>
      </w:r>
    </w:p>
    <w:p w14:paraId="60FC1289" w14:textId="77777777" w:rsidR="003754FE" w:rsidRDefault="003754FE" w:rsidP="003754FE">
      <w:pPr>
        <w:pStyle w:val="TextoNormal"/>
      </w:pPr>
    </w:p>
    <w:p w14:paraId="07236C03" w14:textId="77777777" w:rsidR="003754FE" w:rsidRDefault="003754FE" w:rsidP="003754FE">
      <w:pPr>
        <w:pStyle w:val="TextoNormal"/>
      </w:pPr>
      <w:r>
        <w:t>El tribunal de la Sala II del Tribunal Supremo compuesto por los/as Excmos/as. Sres/as. Magistrados/as don Juan Ramón Berdugo Gómez de la Torre (presidente), doña Ana Ferrer García, doña Susana Polo García, doña Carmen Lamela Díez y don Eduardo de Porres Ortiz de Urbina (ponente) ha concluido la deliberación de los recursos de casación interpuestos contra la sentencia 490/2019, de 19 de noviembre de 2019, de la Sección Primera de la Audiencia Provincial de Sevilla (caso ERE).</w:t>
      </w:r>
    </w:p>
    <w:p w14:paraId="36D454F6" w14:textId="77777777" w:rsidR="003754FE" w:rsidRDefault="003754FE" w:rsidP="003754FE">
      <w:pPr>
        <w:pStyle w:val="TextoNormal"/>
      </w:pPr>
    </w:p>
    <w:p w14:paraId="58C5E964" w14:textId="77777777" w:rsidR="003754FE" w:rsidRDefault="003754FE" w:rsidP="003754FE">
      <w:pPr>
        <w:pStyle w:val="TextoNormal"/>
      </w:pPr>
      <w:r>
        <w:t>En atención a la relevancia pública del caso y como en otras ocasiones similares el tribunal procede a anticipar el fallo de su sentencia.</w:t>
      </w:r>
    </w:p>
    <w:p w14:paraId="3CC77905" w14:textId="77777777" w:rsidR="003754FE" w:rsidRDefault="003754FE" w:rsidP="003754FE">
      <w:pPr>
        <w:pStyle w:val="TextoNormal"/>
      </w:pPr>
    </w:p>
    <w:p w14:paraId="63C26A9D" w14:textId="77777777" w:rsidR="003754FE" w:rsidRDefault="003754FE" w:rsidP="003754FE">
      <w:pPr>
        <w:pStyle w:val="TextoNormal"/>
      </w:pPr>
      <w:r>
        <w:t>Estimando totalmente tres recursos de casación y parcialmente uno de ellos y desestimando los restantes recursos, ha acordado por mayoría de sus miembros anular la sentencia de primera instancia, dictando nueva sentencia con los siguientes pronunciamientos:</w:t>
      </w:r>
    </w:p>
    <w:p w14:paraId="52D0F76A" w14:textId="77777777" w:rsidR="003754FE" w:rsidRDefault="003754FE" w:rsidP="003754FE">
      <w:pPr>
        <w:pStyle w:val="TextoNormal"/>
      </w:pPr>
    </w:p>
    <w:p w14:paraId="2DAA77F4" w14:textId="77777777" w:rsidR="003754FE" w:rsidRDefault="003754FE" w:rsidP="003754FE">
      <w:pPr>
        <w:pStyle w:val="TextoNormal"/>
      </w:pPr>
      <w:r>
        <w:lastRenderedPageBreak/>
        <w:t>1. Absolvemos del delito continuado de prevaricación administrativa a don Javier Aguado Hinojal, a don Juan Francisco Sánchez García y a doña Lourdes Medina Varo, declarando de oficio las costas procesales de primera instancia y las derivadas de sus recursos de casación.</w:t>
      </w:r>
    </w:p>
    <w:p w14:paraId="4BB59D11" w14:textId="77777777" w:rsidR="003754FE" w:rsidRDefault="003754FE" w:rsidP="003754FE">
      <w:pPr>
        <w:pStyle w:val="TextoNormal"/>
      </w:pPr>
    </w:p>
    <w:p w14:paraId="1644657D" w14:textId="77777777" w:rsidR="003754FE" w:rsidRDefault="003754FE" w:rsidP="003754FE">
      <w:pPr>
        <w:pStyle w:val="TextoNormal"/>
      </w:pPr>
      <w:r>
        <w:t>2. Condenamos a don Juan Márquez Contreras, como autor responsable de sendos delitos continuados de malversación de caudales públicos y prevaricación administrativa, en relación de concurso ideal, apreciando la atenuante analógica y muy cualificada de reparación del daño, con la consiguiente reducción de sanciones, imponiéndole la pena de prisión de tres años, con la accesoria de inhabilitación especial para el ejercicio del derecho de sufragio pasivo durante el tiempo de la condena, y la pena de inhabilitación absoluta por tiempo de siete años y seis meses, que conlleva la privación definitiva de todos los honores, empleos y cargos públicos que tuviere el penado o cualesquiera otros honores, cargos o empleos públicos, con imposición de las 2/37 partes de las costas procesales de primera instancia y declarando de oficio las causadas con su recurso de casación.</w:t>
      </w:r>
    </w:p>
    <w:p w14:paraId="78AD310B" w14:textId="77777777" w:rsidR="003754FE" w:rsidRDefault="003754FE" w:rsidP="003754FE">
      <w:pPr>
        <w:pStyle w:val="TextoNormal"/>
      </w:pPr>
    </w:p>
    <w:p w14:paraId="466751F7" w14:textId="77777777" w:rsidR="003754FE" w:rsidRDefault="003754FE" w:rsidP="003754FE">
      <w:pPr>
        <w:pStyle w:val="TextoNormal"/>
      </w:pPr>
      <w:r>
        <w:t>3. Se mantienen los restantes pronunciamientos de la sentencia impugnada.</w:t>
      </w:r>
    </w:p>
    <w:p w14:paraId="62079D0B" w14:textId="77777777" w:rsidR="003754FE" w:rsidRDefault="003754FE" w:rsidP="003754FE">
      <w:pPr>
        <w:pStyle w:val="TextoNormal"/>
      </w:pPr>
    </w:p>
    <w:p w14:paraId="678BE26B" w14:textId="77777777" w:rsidR="003754FE" w:rsidRDefault="003754FE" w:rsidP="003754FE">
      <w:pPr>
        <w:pStyle w:val="TextoNormal"/>
      </w:pPr>
      <w:r>
        <w:t>El texto íntegro de la sentencia será publicado una vez se redacte el voto discrepante anunciado por las excelentísimas señoras magistradas doña Ana Ferrer García y doña Susana Polo García.</w:t>
      </w:r>
    </w:p>
    <w:p w14:paraId="70E04CC4" w14:textId="77777777" w:rsidR="003754FE" w:rsidRDefault="003754FE" w:rsidP="003754FE">
      <w:pPr>
        <w:pStyle w:val="TextoNormal"/>
      </w:pPr>
    </w:p>
    <w:p w14:paraId="6EF580BB" w14:textId="77777777" w:rsidR="003754FE" w:rsidRDefault="003754FE" w:rsidP="003754FE">
      <w:pPr>
        <w:pStyle w:val="TextoNormal"/>
      </w:pPr>
      <w:r>
        <w:t>En dicho voto se considera que también deberían haber sido estimados parcialmente los recursos interpuestos por don Miguel Ángel Serrano Aguilar, don Jesús María Rodríguez Román, don Francisco Vallejo Serrano, doña Carmen Martínez Aguayo y don José Antonio Griñán Martínez y que, anulada la sentencia de instancia, estos recurrentes deberían haber sido absueltos del delito continuado de malversación de caudales públicos.</w:t>
      </w:r>
    </w:p>
    <w:p w14:paraId="6D7805F6" w14:textId="77777777" w:rsidR="003754FE" w:rsidRDefault="003754FE" w:rsidP="003754FE">
      <w:pPr>
        <w:pStyle w:val="TextoNormal"/>
      </w:pPr>
    </w:p>
    <w:p w14:paraId="2988706A" w14:textId="77777777" w:rsidR="003754FE" w:rsidRDefault="003754FE" w:rsidP="003754FE">
      <w:pPr>
        <w:pStyle w:val="TextoNormal"/>
      </w:pPr>
      <w:r>
        <w:t>En Madrid, a veintiséis de julio de dos mil veintidós”.</w:t>
      </w:r>
    </w:p>
    <w:p w14:paraId="1F118634" w14:textId="77777777" w:rsidR="003754FE" w:rsidRDefault="003754FE" w:rsidP="003754FE">
      <w:pPr>
        <w:pStyle w:val="TextoNormal"/>
      </w:pPr>
    </w:p>
    <w:p w14:paraId="4FA26DC3" w14:textId="77777777" w:rsidR="003754FE" w:rsidRDefault="003754FE" w:rsidP="003754FE">
      <w:pPr>
        <w:pStyle w:val="TextoNormal"/>
      </w:pPr>
      <w:r>
        <w:t>C) Desestimación de la queja</w:t>
      </w:r>
    </w:p>
    <w:p w14:paraId="7C9A7E30" w14:textId="77777777" w:rsidR="003754FE" w:rsidRDefault="003754FE" w:rsidP="003754FE">
      <w:pPr>
        <w:pStyle w:val="TextoNormal"/>
      </w:pPr>
    </w:p>
    <w:p w14:paraId="73045DDB" w14:textId="77777777" w:rsidR="003754FE" w:rsidRDefault="003754FE" w:rsidP="003754FE">
      <w:pPr>
        <w:pStyle w:val="TextoNormal"/>
      </w:pPr>
      <w:r>
        <w:t>La lectura de la nota reseñada desde la óptica de las exigencias del derecho a la presunción de inocencia como regla de tratamiento conduce a este tribunal a rechazar la existencia de la vulneración denunciada.</w:t>
      </w:r>
    </w:p>
    <w:p w14:paraId="31558350" w14:textId="77777777" w:rsidR="003754FE" w:rsidRDefault="003754FE" w:rsidP="003754FE">
      <w:pPr>
        <w:pStyle w:val="TextoNormal"/>
      </w:pPr>
    </w:p>
    <w:p w14:paraId="6A09AC8E" w14:textId="77777777" w:rsidR="003754FE" w:rsidRDefault="003754FE" w:rsidP="003754FE">
      <w:pPr>
        <w:pStyle w:val="TextoNormal"/>
      </w:pPr>
      <w:r>
        <w:t xml:space="preserve">El art. 24.2 CE prohíbe declaraciones públicas del órgano judicial competente, sea en primera instancia o en ulteriores, que den la impresión de que el acusado es culpable sin que exista una resolución firme que así lo establezca. Sin embargo, en el presente caso no existe una manifestación sobre la culpabilidad del recurrente que suponga tratarle como autor de los delitos de prevaricación y malversación sin respaldo en una condena conforme a la ley. La declaración cuestionada constituye una información ofrecida por el órgano competente para resolver el recurso de quien de forma notoria fue condenado en primera instancia en una causa mediática, como se reconoce en la demanda; que da a conocer el resultado desfavorable al respecto; que tiene, a su vez, el efecto de confirmar la condena, ya que con el pronunciamiento se agotan los recursos disponibles para el condenado. Según indica el comunicado, se ha deliberado y ya existe una decisión cerrada del tribunal encargado de </w:t>
      </w:r>
      <w:r>
        <w:lastRenderedPageBreak/>
        <w:t>resolver el recurso de casación, que es quien la difunde, aun cuando se demore la notificación íntegra de la sentencia al momento en que esté redactado el voto discrepante.</w:t>
      </w:r>
    </w:p>
    <w:p w14:paraId="4175EAD7" w14:textId="77777777" w:rsidR="003754FE" w:rsidRDefault="003754FE" w:rsidP="003754FE">
      <w:pPr>
        <w:pStyle w:val="TextoNormal"/>
      </w:pPr>
    </w:p>
    <w:p w14:paraId="265B76DE" w14:textId="77777777" w:rsidR="003754FE" w:rsidRDefault="003754FE" w:rsidP="003754FE">
      <w:pPr>
        <w:pStyle w:val="TextoNormal"/>
      </w:pPr>
      <w:r>
        <w:t>En tales circunstancias no puede afirmarse que se trate como culpable a quien no ha sido condenado en firme, pues justamente lo que se anuncia decidido de forma definitiva por el único órgano judicial que así puede hacerlo es la desestimación del recurso de casación que implica la firmeza de la sentencia condenatoria. Dicho de otro modo, existe una primera condena bien conocida que de forma asimismo notoria ha sido recurrida en casación y, en atención a la relevancia pública del asunto y ante el riesgo de difusión de información no fidedigna, se informa por quien debe resolver el recurso de acuerdo con las normas de competencia de que ha sido desestimado tras la deliberación, anunciando que existe una resolución que debe completarse antes de ser notificada con el texto del voto particular, del que también se da sucinta noticia. Efectivamente, unos dos meses después se notifica la sentencia íntegra, donde se exponen las consideraciones que han llevado a la Sala de lo Penal a desestimar el recurso del ahora demandante de amparo. En momento alguno se aprecia una actuación o una declaración en términos que sugieran la consideración como culpable de una persona cuya culpabilidad no se ha probado en un proceso con todas las garantías, solo la información por quien la ley designa para resolver sobre tal culpabilidad de que ha apreciado que concurre.</w:t>
      </w:r>
    </w:p>
    <w:p w14:paraId="7F0EB26D" w14:textId="77777777" w:rsidR="003754FE" w:rsidRDefault="003754FE" w:rsidP="003754FE">
      <w:pPr>
        <w:pStyle w:val="TextoNormal"/>
      </w:pPr>
    </w:p>
    <w:p w14:paraId="383490D4" w14:textId="77777777" w:rsidR="003754FE" w:rsidRDefault="003754FE" w:rsidP="003754FE">
      <w:pPr>
        <w:pStyle w:val="TextoNormal"/>
      </w:pPr>
      <w:r>
        <w:t>La ausencia de una previsión legal que contemple la actuación cuestionada no determina la existencia de una lesión de la regla de tratamiento que impone el art. 24.2 CE. La finalidad de la llamada dimensión extraprocesal del derecho a la presunción de inocencia es proteger frente a atribuciones de culpabilidad no fundadas en una condena dictada en un proceso público con todas las garantías, no garantizar la práctica procesal de notificación de la sentencia íntegra que indica la normativa (art. 260.2 LOPJ). Resulta por tanto que la anticipación del fallo y la emisión de un comunicado al respecto no lesiona el derecho a la presunción de inocencia en su dimensión extraprocesal.</w:t>
      </w:r>
    </w:p>
    <w:p w14:paraId="76A3394D" w14:textId="77777777" w:rsidR="003754FE" w:rsidRDefault="003754FE" w:rsidP="003754FE">
      <w:pPr>
        <w:pStyle w:val="TextoNormal"/>
      </w:pPr>
    </w:p>
    <w:p w14:paraId="2B27A8ED" w14:textId="77777777" w:rsidR="003754FE" w:rsidRDefault="003754FE" w:rsidP="003754FE">
      <w:pPr>
        <w:pStyle w:val="TextoNormal"/>
      </w:pPr>
      <w:r>
        <w:t xml:space="preserve">7.3. </w:t>
      </w:r>
      <w:r w:rsidRPr="003754FE">
        <w:rPr>
          <w:i/>
        </w:rPr>
        <w:t>Vulneración del derecho a un proceso con todas las garantías y del derecho a la tutela judicial efectiva (art. 24 CE</w:t>
      </w:r>
      <w:r>
        <w:t>)</w:t>
      </w:r>
    </w:p>
    <w:p w14:paraId="2A3FDF6C" w14:textId="77777777" w:rsidR="003754FE" w:rsidRDefault="003754FE" w:rsidP="003754FE">
      <w:pPr>
        <w:pStyle w:val="TextoNormal"/>
      </w:pPr>
    </w:p>
    <w:p w14:paraId="24AEEAD8" w14:textId="77777777" w:rsidR="003754FE" w:rsidRDefault="003754FE" w:rsidP="003754FE">
      <w:pPr>
        <w:pStyle w:val="TextoNormal"/>
      </w:pPr>
      <w:r>
        <w:t>La referida ausencia de cobertura normativa, no obstante, se esgrime también en la demanda desde la perspectiva de la lesión del derecho a un proceso con todas las garantías y el derecho a la tutela judicial efectiva, que la demanda atribuye a la difusión pública del comunicado que anticipa el fallo en tanto que carente de base legal y generadora de indefensión.</w:t>
      </w:r>
    </w:p>
    <w:p w14:paraId="3674FFCE" w14:textId="77777777" w:rsidR="003754FE" w:rsidRDefault="003754FE" w:rsidP="003754FE">
      <w:pPr>
        <w:pStyle w:val="TextoNormal"/>
      </w:pPr>
    </w:p>
    <w:p w14:paraId="5797EEA0" w14:textId="77777777" w:rsidR="003754FE" w:rsidRDefault="003754FE" w:rsidP="003754FE">
      <w:pPr>
        <w:pStyle w:val="TextoNormal"/>
      </w:pPr>
      <w:r>
        <w:t>7.3.1</w:t>
      </w:r>
      <w:r w:rsidRPr="003754FE">
        <w:rPr>
          <w:i/>
        </w:rPr>
        <w:t>. Doctrina sobre el derecho a no padecer indefensi</w:t>
      </w:r>
      <w:r>
        <w:t>ón</w:t>
      </w:r>
    </w:p>
    <w:p w14:paraId="74B2FA11" w14:textId="77777777" w:rsidR="003754FE" w:rsidRDefault="003754FE" w:rsidP="003754FE">
      <w:pPr>
        <w:pStyle w:val="TextoNormal"/>
      </w:pPr>
    </w:p>
    <w:p w14:paraId="552B2DD0" w14:textId="77777777" w:rsidR="003754FE" w:rsidRDefault="003754FE" w:rsidP="003754FE">
      <w:pPr>
        <w:pStyle w:val="TextoNormal"/>
      </w:pPr>
      <w:r>
        <w:t xml:space="preserve">En relación con la queja de que se ha producido una irregularidad procesal causante de indefensión, debe tenerse presente que el derecho a la tutela judicial efectiva (art. 24.1 CE) comprende, entre sus múltiples vertientes, el derecho a no sufrir indefensión, que en nuestra jurisprudencia se entiende como un derecho a la defensa contradictoria, se vincula con las garantías del proceso debido reconocidas en el art. 24.2 CE y requiere indefensión material. Así se ha puesto de relieve, entre muchas, en las SSTC 266/2015, de 14 de diciembre, FJ 4; 91/2021, de 22 de abril, FJ 4.4; 121/2021, de 2 de junio, FJ 5.4; 47/2022, de 24 de marzo, </w:t>
      </w:r>
      <w:r>
        <w:lastRenderedPageBreak/>
        <w:t>FJ 6.3 A), o 131/2023, de 23 de octubre, FJ 2, todas ellas atinentes a procesos penales. Cabe destacar ahora los siguientes extremos de esta jurisprudencia:</w:t>
      </w:r>
    </w:p>
    <w:p w14:paraId="54C96928" w14:textId="77777777" w:rsidR="003754FE" w:rsidRDefault="003754FE" w:rsidP="003754FE">
      <w:pPr>
        <w:pStyle w:val="TextoNormal"/>
      </w:pPr>
    </w:p>
    <w:p w14:paraId="5FA86BF9" w14:textId="77777777" w:rsidR="003754FE" w:rsidRDefault="003754FE" w:rsidP="003754FE">
      <w:pPr>
        <w:pStyle w:val="TextoNormal"/>
      </w:pPr>
      <w:r>
        <w:t>(i) Por lo que atañe al proceso penal, ya la STC 186/1990, de 15 de noviembre, FJ 5, subraya que, “[s]egún constante y reiterada doctrina de este tribunal —entre otras muchas, SSTC 76/1982, 118/1984, 27/1985, 109/1985, 47/1987, 155/1988 y 66/1989—, el art. 24 de la Constitución, en cuanto reconoce los derechos a la tutela judicial efectiva con interdicción de la indefensión, a un proceso con todas las garantías y a la defensa, ha consagrado, entre otros, los citados principios de contradicción e igualdad, garantizando el libre acceso de las partes al proceso en defensa de derechos e intereses legítimos”, que, entre otras exigencias, precisa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w:t>
      </w:r>
    </w:p>
    <w:p w14:paraId="3694911A" w14:textId="77777777" w:rsidR="003754FE" w:rsidRDefault="003754FE" w:rsidP="003754FE">
      <w:pPr>
        <w:pStyle w:val="TextoNormal"/>
      </w:pPr>
    </w:p>
    <w:p w14:paraId="2CF3AA63" w14:textId="77777777" w:rsidR="003754FE" w:rsidRDefault="003754FE" w:rsidP="003754FE">
      <w:pPr>
        <w:pStyle w:val="TextoNormal"/>
      </w:pPr>
      <w:r>
        <w:t>(ii) Igualmente reiterada es la jurisprudencia que limita la relevancia constitucional de la indefensión a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en análogo sentido, SSTC 185/2003, de 27 de octubre, FJ 4; 164/2005, de 20 de junio, FJ 2, y 25/2011, de 14 de marzo, FJ 7).</w:t>
      </w:r>
    </w:p>
    <w:p w14:paraId="10FF0E74" w14:textId="77777777" w:rsidR="003754FE" w:rsidRDefault="003754FE" w:rsidP="003754FE">
      <w:pPr>
        <w:pStyle w:val="TextoNormal"/>
      </w:pPr>
    </w:p>
    <w:p w14:paraId="0BE262D2" w14:textId="77777777" w:rsidR="003754FE" w:rsidRDefault="003754FE" w:rsidP="003754FE">
      <w:pPr>
        <w:pStyle w:val="TextoNormal"/>
      </w:pPr>
      <w:r>
        <w:t>7.3.2</w:t>
      </w:r>
      <w:r w:rsidRPr="003754FE">
        <w:rPr>
          <w:i/>
        </w:rPr>
        <w:t>. Enjuiciamiento de la que</w:t>
      </w:r>
      <w:r>
        <w:t>ja</w:t>
      </w:r>
    </w:p>
    <w:p w14:paraId="1E299370" w14:textId="77777777" w:rsidR="003754FE" w:rsidRDefault="003754FE" w:rsidP="003754FE">
      <w:pPr>
        <w:pStyle w:val="TextoNormal"/>
      </w:pPr>
    </w:p>
    <w:p w14:paraId="24BD1CD1" w14:textId="77777777" w:rsidR="003754FE" w:rsidRDefault="003754FE" w:rsidP="003754FE">
      <w:pPr>
        <w:pStyle w:val="TextoNormal"/>
      </w:pPr>
      <w:r>
        <w:t xml:space="preserve">Es cierto que, como subraya el demandante, no existe ningún precepto que prevea la publicación anticipada del fallo y, sin embargo, el art. 260.2 LOPJ indica la necesidad de notificar conjuntamente el texto de las sentencias con los votos particulares. Y también lo es que las referencias que efectúa el Tribunal Supremo en el auto resolutorio del incidente de nulidad de actuaciones a los arts. 787.6 y 789.2 LECrim (relativos a las sentencias </w:t>
      </w:r>
      <w:r w:rsidRPr="003754FE">
        <w:rPr>
          <w:i/>
        </w:rPr>
        <w:t>in voce</w:t>
      </w:r>
      <w:r>
        <w:t>) no son asimilables, pues no son una habilitación de la publicidad de la anticipación del fallo sin motivación, sino supuestos de notificación de una sentencia con una motivación sucinta. Sin embargo, que esa previsión no exista y pueda hablarse incluso de irregularidad procesal no significa que los derechos a la tutela judicial efectiva y a un proceso con todas las garantías se hayan lesionado.</w:t>
      </w:r>
    </w:p>
    <w:p w14:paraId="5D554A35" w14:textId="77777777" w:rsidR="003754FE" w:rsidRDefault="003754FE" w:rsidP="003754FE">
      <w:pPr>
        <w:pStyle w:val="TextoNormal"/>
      </w:pPr>
    </w:p>
    <w:p w14:paraId="09686851" w14:textId="77777777" w:rsidR="003754FE" w:rsidRDefault="003754FE" w:rsidP="003754FE">
      <w:pPr>
        <w:pStyle w:val="TextoNormal"/>
      </w:pPr>
      <w:r>
        <w:t xml:space="preserve">En primer lugar, porque no existe una infracción de la normativa procesal en sentido estricto, ni de los preceptos invocados por el recurrente —arts. 160 y 789 LECrim y arts. 248, 266 y 270 LOPJ—, que en ningún caso contemplan una prohibición, ni explícita ni implícita, de anticipar el fallo, sino normas sobre la estructura, contenido, notificación y acceso a las sentencias; ni del art. 260.2 LOPJ. El Tribunal Supremo notifica en septiembre </w:t>
      </w:r>
      <w:r>
        <w:lastRenderedPageBreak/>
        <w:t>la sentencia íntegra, que se data en su encabezamiento el 13 de septiembre de 2022. Con ello respeta tanto esa última previsión de integración del voto en la sentencia (art. 260.2 LOPJ) como las anteriores citadas en la demanda, relativas a la notificación de las sentencias el día que se firmen o el día siguiente (art. 160 LECrim), a la disposición específica sobre la sentencia en el procedimiento abreviado (art. 768 LECrim), a la estructura (encabezamiento, antecedentes, hechos probados, fundamentos jurídicos y fallo) con que deben formularse las sentencias (art. 248 LOPJ), al depósito y acceso a las mismas (art. 266 LOPJ) y al deber de notificar las resoluciones judiciales a todos los que sean parte en el pleito, puedan verse perjudicados o dispongan las propias resoluciones de conformidad con la ley (art. 270 LOPJ).</w:t>
      </w:r>
    </w:p>
    <w:p w14:paraId="3122A7F5" w14:textId="77777777" w:rsidR="003754FE" w:rsidRDefault="003754FE" w:rsidP="003754FE">
      <w:pPr>
        <w:pStyle w:val="TextoNormal"/>
      </w:pPr>
    </w:p>
    <w:p w14:paraId="37829446" w14:textId="77777777" w:rsidR="003754FE" w:rsidRDefault="003754FE" w:rsidP="003754FE">
      <w:pPr>
        <w:pStyle w:val="TextoNormal"/>
      </w:pPr>
      <w:r>
        <w:t>En segundo lugar y de forma determinante, porque no se concreta la indefensión que el recurrente ha sufrido, que parece identificar genéricamente y sin ulterior argumento con la imposibilidad de reaccionar dada la inmediata difusión masiva, cabe entender que de cara a la opinión pública. En ningún caso aduce, ni este tribunal aprecia, que se haya causado indefensión al recurrente en el proceso, donde, como se ha dicho, le fue notificada la sentencia del Tribunal Supremo conforme a la ley, iniciándose entonces el plazo para agotar las posibilidades de cuestionamiento de la decisión de condena; señaladamente, para formular el incidente de nulidad de actuaciones, que efectivamente planteó y fue resuelto por la Sala de lo Penal. De ninguna manera la actuación judicial cuestionada ha situado al interesado al margen de toda posibilidad de alegar y defender en el proceso sus derechos, por lo que no se aprecia un efecto material de indefensión, con real menoscabo de su derecho de defensa y con el consiguiente perjuicio real y efectivo para sus intereses.</w:t>
      </w:r>
    </w:p>
    <w:p w14:paraId="53AA67B3" w14:textId="77777777" w:rsidR="003754FE" w:rsidRDefault="003754FE" w:rsidP="003754FE">
      <w:pPr>
        <w:pStyle w:val="TextoNormal"/>
      </w:pPr>
    </w:p>
    <w:p w14:paraId="4A252776" w14:textId="37CC8517" w:rsidR="003754FE" w:rsidRDefault="003754FE" w:rsidP="003754FE">
      <w:pPr>
        <w:pStyle w:val="TextoNormal"/>
      </w:pPr>
      <w:r>
        <w:t>La falta de una infracción formal y de indefensión con relevancia constitucional conduce a desestimar la vulneración del art. 24 CE alegada y, con ello, el primer motivo de la demanda de amparo.</w:t>
      </w:r>
    </w:p>
    <w:p w14:paraId="657D4848" w14:textId="77777777" w:rsidR="003754FE" w:rsidRDefault="003754FE" w:rsidP="003754FE">
      <w:pPr>
        <w:pStyle w:val="TextoNormal"/>
      </w:pPr>
    </w:p>
    <w:p w14:paraId="4A8DA851" w14:textId="77777777" w:rsidR="003754FE" w:rsidRDefault="003754FE" w:rsidP="003754FE">
      <w:pPr>
        <w:pStyle w:val="TextoNormal"/>
      </w:pPr>
      <w:r w:rsidRPr="003754FE">
        <w:rPr>
          <w:rStyle w:val="NumeroAFNegritaCaracter"/>
        </w:rPr>
        <w:t>8</w:t>
      </w:r>
      <w:r>
        <w:t xml:space="preserve">. </w:t>
      </w:r>
      <w:r w:rsidRPr="003754FE">
        <w:rPr>
          <w:i/>
        </w:rPr>
        <w:t>Conclusión y efectos de la estimación parcial del recurso amparo</w:t>
      </w:r>
    </w:p>
    <w:p w14:paraId="2177F6AB" w14:textId="77777777" w:rsidR="003754FE" w:rsidRDefault="003754FE" w:rsidP="003754FE">
      <w:pPr>
        <w:pStyle w:val="TextoNormal"/>
      </w:pPr>
    </w:p>
    <w:p w14:paraId="5BDF7788" w14:textId="26B7CA31" w:rsidR="003754FE" w:rsidRDefault="003754FE" w:rsidP="003754FE">
      <w:pPr>
        <w:pStyle w:val="TextoNormal"/>
      </w:pPr>
      <w:r>
        <w:t>La estimación del tercer y cuarto motivos de amparo, que nos ha llevado a declarar que se ha vulnerado el derecho a la legalidad penal del recurrente (art. 25.1 CE) por subsunción impredecible de los hechos probados en los delitos de prevaricación y malversación de caudales públicos y su derecho a la presunción de inocencia (art. 24.2 CE) por deficiente motivación del juicio de autoría, determina que deba declararse la nulidad de la sentencia de la Audiencia Provincial de Sevilla y de las resoluciones posteriormente adoptadas por la Sala de lo Penal del Tribunal Supremo (sentencia de casación y auto desestimatorio del incidente de nulidad de actuaciones) en tanto en cuanto no repararon tales vulneraciones.</w:t>
      </w:r>
    </w:p>
    <w:p w14:paraId="37938CEA" w14:textId="77777777" w:rsidR="003754FE" w:rsidRDefault="003754FE" w:rsidP="003754FE">
      <w:pPr>
        <w:pStyle w:val="TextoNormal"/>
      </w:pPr>
    </w:p>
    <w:p w14:paraId="51EB0704" w14:textId="77777777" w:rsidR="003754FE" w:rsidRDefault="003754FE" w:rsidP="003754FE">
      <w:pPr>
        <w:pStyle w:val="TextoNormalCentrado"/>
        <w:keepNext/>
      </w:pPr>
      <w:r>
        <w:t>FALLO</w:t>
      </w:r>
    </w:p>
    <w:p w14:paraId="1BD1582A" w14:textId="493002DF" w:rsidR="003754FE" w:rsidRDefault="003754FE" w:rsidP="003754FE">
      <w:pPr>
        <w:pStyle w:val="TextoNormalCentrado"/>
        <w:keepNext/>
      </w:pPr>
    </w:p>
    <w:p w14:paraId="2416C38B" w14:textId="77777777" w:rsidR="003754FE" w:rsidRDefault="003754FE" w:rsidP="003754FE">
      <w:pPr>
        <w:pStyle w:val="TextoNormal"/>
      </w:pPr>
      <w:r>
        <w:t>En atención a todo lo expuesto, el Tribunal Constitucional, por la autoridad que le confiere la Constitución de la Nación española, ha decidido estimar parcialmente el recurso de amparo interpuesto por don Miguel Ángel Serrano Aguilar y, en su virtud:</w:t>
      </w:r>
    </w:p>
    <w:p w14:paraId="1270FA6C" w14:textId="77777777" w:rsidR="003754FE" w:rsidRDefault="003754FE" w:rsidP="003754FE">
      <w:pPr>
        <w:pStyle w:val="TextoNormal"/>
      </w:pPr>
    </w:p>
    <w:p w14:paraId="00E9341A" w14:textId="77777777" w:rsidR="003754FE" w:rsidRDefault="003754FE" w:rsidP="003754FE">
      <w:pPr>
        <w:pStyle w:val="TextoNormal"/>
      </w:pPr>
      <w:r>
        <w:t>1º Reconocer que se han vulnerado sus derechos fundamentales a la legalidad penal (art. 25.1 CE) y a la presunción de inocencia (art. 24.2 CE).</w:t>
      </w:r>
    </w:p>
    <w:p w14:paraId="13932EF0" w14:textId="77777777" w:rsidR="003754FE" w:rsidRDefault="003754FE" w:rsidP="003754FE">
      <w:pPr>
        <w:pStyle w:val="TextoNormal"/>
      </w:pPr>
    </w:p>
    <w:p w14:paraId="4256B4DE" w14:textId="77777777" w:rsidR="003754FE" w:rsidRDefault="003754FE" w:rsidP="003754FE">
      <w:pPr>
        <w:pStyle w:val="TextoNormal"/>
      </w:pPr>
      <w:r>
        <w:t>2º Restablecerle en estos derechos y, a tal fin, declarar la nulidad de la sentencia núm. 490/2019, de 19 de noviembre, dictada por la Sección Primera de la Audiencia Provincial de Sevilla, de la sentencia núm. 749/2022, de 13 de septiembre, de la Sala de lo Penal del Tribunal Supremo, y del auto del mismo tribunal de 16 de febrero de 2023.</w:t>
      </w:r>
    </w:p>
    <w:p w14:paraId="39AEC726" w14:textId="77777777" w:rsidR="003754FE" w:rsidRDefault="003754FE" w:rsidP="003754FE">
      <w:pPr>
        <w:pStyle w:val="TextoNormal"/>
      </w:pPr>
    </w:p>
    <w:p w14:paraId="1873C7E6" w14:textId="7C955606" w:rsidR="003754FE" w:rsidRDefault="003754FE" w:rsidP="003754FE">
      <w:pPr>
        <w:pStyle w:val="TextoNormal"/>
      </w:pPr>
      <w:r>
        <w:t>3º Desestimar el recurso de amparo en lo restante.</w:t>
      </w:r>
    </w:p>
    <w:p w14:paraId="3CC54CF9" w14:textId="77777777" w:rsidR="003754FE" w:rsidRDefault="003754FE" w:rsidP="003754FE">
      <w:pPr>
        <w:pStyle w:val="TextoNormal"/>
      </w:pPr>
    </w:p>
    <w:p w14:paraId="56652163" w14:textId="77777777" w:rsidR="003754FE" w:rsidRDefault="003754FE" w:rsidP="003754FE">
      <w:pPr>
        <w:pStyle w:val="TextoNormal"/>
      </w:pPr>
      <w:r>
        <w:t>Publíquese esta sentencia en el “Boletín Oficial del Estado”.</w:t>
      </w:r>
    </w:p>
    <w:p w14:paraId="3219FCEB" w14:textId="77777777" w:rsidR="003754FE" w:rsidRDefault="003754FE" w:rsidP="003754FE">
      <w:pPr>
        <w:pStyle w:val="TextoNormal"/>
      </w:pPr>
      <w:r>
        <w:t>Dada en Madrid, a dos de julio de dos mil veinticuatro.</w:t>
      </w:r>
    </w:p>
    <w:p w14:paraId="0044DDCC" w14:textId="00BEC862" w:rsidR="003754FE" w:rsidRDefault="003754FE" w:rsidP="003754FE">
      <w:pPr>
        <w:pStyle w:val="ParrafoNormal"/>
      </w:pPr>
    </w:p>
    <w:p w14:paraId="05E03337" w14:textId="77777777" w:rsidR="003754FE" w:rsidRDefault="003754FE" w:rsidP="003754FE">
      <w:pPr>
        <w:pStyle w:val="TextoNormalNegritaCentrado"/>
        <w:keepNext/>
      </w:pPr>
      <w:r>
        <w:t>Voto particular que formula el magistrado don Ricardo Enríquez Sancho a la sentencia dictada en el recurso de amparo avocado núm. 2136-2023</w:t>
      </w:r>
    </w:p>
    <w:p w14:paraId="0905E382" w14:textId="41F5984A" w:rsidR="003754FE" w:rsidRDefault="003754FE" w:rsidP="003754FE">
      <w:pPr>
        <w:pStyle w:val="TextoNormalNegritaCentrado"/>
        <w:keepNext/>
      </w:pPr>
    </w:p>
    <w:p w14:paraId="247F2478" w14:textId="77777777" w:rsidR="003754FE" w:rsidRDefault="003754FE" w:rsidP="003754FE">
      <w:pPr>
        <w:pStyle w:val="TextoNormal"/>
      </w:pPr>
      <w:r>
        <w:t>En el ejercicio de la facultad que me confiere el artículo 90.2 de la Ley Orgánica del Tribunal Constitucional, y con el máximo respeto a la opinión de los magistrados que han conformado la mayoría del Pleno, formulo el presente voto particular por discrepar de la fundamentación y del fallo de la sentencia recaída en el recurso de amparo avocado por el Pleno núm. 2136-2023 interpuesto por don Miguel Ángel Serrano Aguilar, el cual a mi juicio debió ser desestimado porque las sentencias impugnadas no vulneraron sus derechos fundamentales a la legalidad penal (art. 25.1 CE) y a la presunción de inocencia (art. 24.2 CE). Las razones de este parecer son las que a continuación se exponen.</w:t>
      </w:r>
    </w:p>
    <w:p w14:paraId="69284693" w14:textId="77777777" w:rsidR="003754FE" w:rsidRDefault="003754FE" w:rsidP="003754FE">
      <w:pPr>
        <w:pStyle w:val="TextoNormal"/>
      </w:pPr>
    </w:p>
    <w:p w14:paraId="2BFE9D7B" w14:textId="77777777" w:rsidR="003754FE" w:rsidRDefault="003754FE" w:rsidP="003754FE">
      <w:pPr>
        <w:pStyle w:val="TextoNormal"/>
      </w:pPr>
      <w:r>
        <w:t xml:space="preserve">1. </w:t>
      </w:r>
      <w:r w:rsidRPr="003754FE">
        <w:rPr>
          <w:i/>
        </w:rPr>
        <w:t>Consideración previa</w:t>
      </w:r>
    </w:p>
    <w:p w14:paraId="3DD02397" w14:textId="77777777" w:rsidR="003754FE" w:rsidRDefault="003754FE" w:rsidP="003754FE">
      <w:pPr>
        <w:pStyle w:val="TextoNormal"/>
      </w:pPr>
    </w:p>
    <w:p w14:paraId="04C168D9" w14:textId="77777777" w:rsidR="003754FE" w:rsidRDefault="003754FE" w:rsidP="003754FE">
      <w:pPr>
        <w:pStyle w:val="TextoNormal"/>
      </w:pPr>
      <w:r>
        <w:t>a) El recurso de amparo avocado 2136-2023 es el primero de los cinco recursos que fueron incluidos en el orden del día del Pleno de 2 de julio de 2024 para su deliberación y votación. Cada uno de ellos fue interpuesto por personas condenadas en la llamada causa de los “ERE” por la sentencia de la Sección Primera de la Audiencia Provincial de Sevilla de 19 de noviembre de 2019, confirmada en casación por la sentencia de la Sala de lo Penal del Tribunal Supremo de 13 de septiembre de 2022, resoluciones que son las que se impugnan en amparo ante nosotros (junto con el auto de la misma Sala de lo Penal de 16 de febrero de 2023 que rechazó el incidente de nulidad de actuaciones promovido contra su sentencia). Los recurrentes ocuparon cargos de relevancia en determinados periodos entre los años 2000 a 2009 en las Consejerías de Empleo y Desarrollo Tecnológico, Economía y Hacienda, Justicia y Administración Pública, e Innovación, Ciencia y Empresa de la Junta de Andalucía o bien en el Instituto de Fomento de Andalucía (IFA), denominado a partir de 2004 Agencia de la Innovación y Desarrollo de Andalucía (IDEA), como es el caso justamente del promotor del presente recurso, el señor Serrano Aguilar.</w:t>
      </w:r>
    </w:p>
    <w:p w14:paraId="4CAF9CEF" w14:textId="77777777" w:rsidR="003754FE" w:rsidRDefault="003754FE" w:rsidP="003754FE">
      <w:pPr>
        <w:pStyle w:val="TextoNormal"/>
      </w:pPr>
    </w:p>
    <w:p w14:paraId="0E2C2E1E" w14:textId="77777777" w:rsidR="003754FE" w:rsidRDefault="003754FE" w:rsidP="003754FE">
      <w:pPr>
        <w:pStyle w:val="TextoNormal"/>
      </w:pPr>
      <w:r>
        <w:t xml:space="preserve">b) Ya en el anterior Pleno de 19 de junio de 2024 se había deliberado el primero en antigüedad de los recursos de amparo que conforman esta serie de los “ERE”, el 6971-2022, interpuesto por doña Magdalena Álvarez Arza, el cual resultó estimado por la mayoría de los magistrados en cuanto a la queja de vulneración del derecho fundamental a la legalidad penal (art. 25.1 CE) de la recurrente; decisión de la que discrepé en un voto particular razonado y firmado junto con los magistrados don Enrique Arnaldo Alcubilla y doña Concepción Espejel Jorquera. Teniendo en cuenta que en los cinco recursos que son objeto de enjuiciamiento en este Pleno de 2 de julio de 2024 y, en lo que ahora importa, respecto del </w:t>
      </w:r>
      <w:r>
        <w:lastRenderedPageBreak/>
        <w:t>presente recurso de amparo 2136-2023, se plantea también la queja de vulneración del derecho a la legalidad penal (art. 25.1 CE), para cuya resolución la mayoría del Pleno ha hecho aplicación de la doctrina sentada en la STC 93/2024 (recurso de amparo avocado 6971-2022), procederá a su vez que efectúe las correspondientes remisiones a aquel voto particular conjunto a esta última sentencia, como luego se verá.</w:t>
      </w:r>
    </w:p>
    <w:p w14:paraId="0DCE63AA" w14:textId="77777777" w:rsidR="003754FE" w:rsidRDefault="003754FE" w:rsidP="003754FE">
      <w:pPr>
        <w:pStyle w:val="TextoNormal"/>
      </w:pPr>
    </w:p>
    <w:p w14:paraId="08C35FC8" w14:textId="77777777" w:rsidR="003754FE" w:rsidRDefault="003754FE" w:rsidP="003754FE">
      <w:pPr>
        <w:pStyle w:val="TextoNormal"/>
      </w:pPr>
      <w:r>
        <w:t>Aclarado esto, paso a referirme a los razonamientos de la sentencia ahora aprobada con los que mantengo un parecer discrepante, al haber estimado dos de las quejas del recurrente.</w:t>
      </w:r>
    </w:p>
    <w:p w14:paraId="4FAB7120" w14:textId="77777777" w:rsidR="003754FE" w:rsidRDefault="003754FE" w:rsidP="003754FE">
      <w:pPr>
        <w:pStyle w:val="TextoNormal"/>
      </w:pPr>
    </w:p>
    <w:p w14:paraId="491CDD67" w14:textId="77777777" w:rsidR="003754FE" w:rsidRDefault="003754FE" w:rsidP="003754FE">
      <w:pPr>
        <w:pStyle w:val="TextoNormal"/>
      </w:pPr>
      <w:r>
        <w:t xml:space="preserve">2. </w:t>
      </w:r>
      <w:r w:rsidRPr="003754FE">
        <w:rPr>
          <w:i/>
        </w:rPr>
        <w:t>Sobre la estimación de la demanda de amparo por vulneración del derecho a la legalidad penal (art. 25.1 CE) derivada de la condena al recurrente por el delito de prevaricación</w:t>
      </w:r>
    </w:p>
    <w:p w14:paraId="425330A6" w14:textId="77777777" w:rsidR="003754FE" w:rsidRDefault="003754FE" w:rsidP="003754FE">
      <w:pPr>
        <w:pStyle w:val="TextoNormal"/>
      </w:pPr>
    </w:p>
    <w:p w14:paraId="07B80E38" w14:textId="77777777" w:rsidR="003754FE" w:rsidRDefault="003754FE" w:rsidP="003754FE">
      <w:pPr>
        <w:pStyle w:val="TextoNormal"/>
      </w:pPr>
      <w:r>
        <w:t>a) La sentencia aprobada por la mayoría del Pleno resuelve esta queja del recurrente en el fundamento jurídico 4.4, haciendo aplicación de la doctrina sentada en la STC 93/2024, de 19 de junio, FFJJ 4.3.3 y 4.3.4. Las sentencias impugnadas atribuyen a aquel la responsabilidad penal por la firma de los convenios suscritos entre el IFA/IDEA —que entonces dirigía— y la Dirección General de Trabajo, ordenando en su consecuencia el pago de ayudas a empresas privadas y particulares con cargo a fondos de la partida presupuestaria del programa 31L, “Transferencias de financiación” del IFA/IDEA, entre junio de 2004 y mayo de 2008 sin sujeción a los controles de la normativa sobre subvenciones, y la sentencia de la que ahora discrepo reconoce (i) que no resulta imprevisible calificar tales actos de “resoluciones” recaídas en procedimientos administrativos, a efectos del art. 404 CP que define el delito de prevaricación, pero (ii) que sí resulta imprevisible considerarlos como actos “arbitrarios”, conforme igualmente exige el tipo penal, al estar amparados esos convenios y los ulteriores pagos en aquel programa 31L de las correspondientes leyes de presupuestos y en las memorias que acompañan a tales leyes. La consideración de esa arbitrariedad deriva de un “indebido entendimiento del sistema institucional constitucionalmente previsto del que parten las resoluciones impugnadas”; de modo que “no puede considerarse que se haya aplicado la ley para conseguir un fin prohibido por el ordenamiento jurídico, pues la finalidad que tuvo este cambio normativo fue, precisamente, establecer un sistema de presupuestación que permitiera atribuir fondos al IFA para que este organismo pudiera otorgar las ayudas sociolaborales sin las exigencias del procedimiento subvencional”.</w:t>
      </w:r>
    </w:p>
    <w:p w14:paraId="773B2168" w14:textId="77777777" w:rsidR="003754FE" w:rsidRDefault="003754FE" w:rsidP="003754FE">
      <w:pPr>
        <w:pStyle w:val="TextoNormal"/>
      </w:pPr>
    </w:p>
    <w:p w14:paraId="6F8C0A46" w14:textId="77777777" w:rsidR="003754FE" w:rsidRDefault="003754FE" w:rsidP="003754FE">
      <w:pPr>
        <w:pStyle w:val="TextoNormal"/>
      </w:pPr>
      <w:r>
        <w:t xml:space="preserve">b) Así defendido por la sentencia de la que ahora discrepo, debo por fuerza remitirme a los razonamientos contenidos en el voto particular conjunto a la STC 93/2024, de 19 de junio, al que ya he hecho referencia, donde hubo ocasión de desmontar el postulado de la imposibilidad de control jurisdiccional de las actuaciones previas a la aprobación por el Gobierno autonómico de los anteproyectos de leyes anuales de presupuestos. Así, en el apartado 2 del citado voto particular conjunto, “La elaboración de anteproyectos y proyectos de ley puede ser considerada ‘asunto administrativo’ por la jurisprudencia penal”, se explicó que los trabajos preparatorios que anteceden a un proyecto de ley de presupuestos es una actividad de “inequívoca naturaleza administrativa”, como resulta de lo expresado (i) en los arts. 26 y siguientes de la Ley 50/1997, del Gobierno, que regula la tramitación de los anteproyectos de ley antes de su elevación al Consejo de Ministros —naturaleza de ese procedimiento que resulta trasladable sin dificultad dialéctica a la preparación de los anteproyectos de ley por los gobiernos de las comunidades autónomas— y (ii) también en los arts. 127 y siguientes de la Ley 39/2015, del procedimiento administrativo común, sin olvidar que la </w:t>
      </w:r>
      <w:r>
        <w:lastRenderedPageBreak/>
        <w:t>STC 55/2018 resolvió el recurso de inconstitucionalidad promovido por el Gobierno de la Generalitat de Cataluña, con examen entre otros de estos artículos de la Ley 39/2015 (al margen de los problemas de competencia que se suscitaban), donde este tribunal consideró esa actividad prelegislativa como procedimiento administrativo.</w:t>
      </w:r>
    </w:p>
    <w:p w14:paraId="5D12E14A" w14:textId="77777777" w:rsidR="003754FE" w:rsidRDefault="003754FE" w:rsidP="003754FE">
      <w:pPr>
        <w:pStyle w:val="TextoNormal"/>
      </w:pPr>
    </w:p>
    <w:p w14:paraId="3B8C8720" w14:textId="77777777" w:rsidR="003754FE" w:rsidRDefault="003754FE" w:rsidP="003754FE">
      <w:pPr>
        <w:pStyle w:val="TextoNormal"/>
      </w:pPr>
      <w:r>
        <w:t>Por otro lado, en este apartado 2 del voto particular conjunto a la STC 93/2024 se destacó cuál debía ser el correcto entendimiento de la doctrina sentada por el ATC 135/2004, distinta a la que sostenía la STC 93/2024; entre otras cosas porque debe distinguirse entre el procedimiento que antecede a la redacción de una propuesta que se pretende sea llevada al Parlamento y el producto resultante de esa iniciativa, que sí es un acto de gobierno (STC 45/1990). De allí que las sentencias impugnadas en el recurso de amparo 6971-2022, que son las mismas que se atacan en el presente recurso, al enjuiciar la responsabilidad penal de algunos acusados por la actuación realizada en el procedimiento previo a la aprobación por la Junta de Andalucía de los anteproyectos de leyes de presupuestos para los años 2002 y siguientes, con la inserción en ellos de una partida dirigida a cobijar los créditos al IFA/IDEA, no se mueven en el ámbito de la inconstitucionalidad de las leyes, como erróneamente aprecia la STC 93/2024 y ahora esta, y al no hacerlo permiten por tanto el control de aquel procedimiento por los tribunales penales.</w:t>
      </w:r>
    </w:p>
    <w:p w14:paraId="4A1A8A7D" w14:textId="77777777" w:rsidR="003754FE" w:rsidRDefault="003754FE" w:rsidP="003754FE">
      <w:pPr>
        <w:pStyle w:val="TextoNormal"/>
      </w:pPr>
    </w:p>
    <w:p w14:paraId="6921F886" w14:textId="77777777" w:rsidR="003754FE" w:rsidRDefault="003754FE" w:rsidP="003754FE">
      <w:pPr>
        <w:pStyle w:val="TextoNormal"/>
      </w:pPr>
      <w:r>
        <w:t>Más adelante, el apartado 3 del voto particular conjunto a la STC 93/2024, “El incumplimiento de la normativa general sobre subvenciones puede considerarse ‘arbitraria’ por la jurisdicción penal”, ya con referencia al tratamiento de la queja de vulneración del derecho fundamental a la legalidad penal por la STC 93/2024, FJ 4.4.1 b), repasaba la corrección del juicio de legalidad ordinaria formulado por la Sala de lo Penal del Tribunal Supremo en la sentencia impugnada, acerca del carácter “arbitrario” de la resolución administrativa como elemento del tipo del art. 404 CP, la cual identifica de manera reiterada en su jurisprudencia la arbitrariedad, propia del delito de prevaricación, como equivalente a una ilegalidad patente, grosera, palmaria, clamorosa y flagrante. Calificativos que podían ser aplicados sin esfuerzo al cambio de sistema de financiación de las ayudas sociolaborales acometido por los altos cargos de la Junta de Andalucía condenados por las sentencias recurridas; sistema que trajo consigo la falta de control y la absoluta ilegalidad de las subvenciones que bajo su cobertura se concedieron.</w:t>
      </w:r>
    </w:p>
    <w:p w14:paraId="062574D4" w14:textId="77777777" w:rsidR="003754FE" w:rsidRDefault="003754FE" w:rsidP="003754FE">
      <w:pPr>
        <w:pStyle w:val="TextoNormal"/>
      </w:pPr>
    </w:p>
    <w:p w14:paraId="18147F82" w14:textId="77777777" w:rsidR="003754FE" w:rsidRDefault="003754FE" w:rsidP="003754FE">
      <w:pPr>
        <w:pStyle w:val="TextoNormal"/>
      </w:pPr>
      <w:r>
        <w:t>La STC 93/2024, conforme se advirtió en este punto del voto particular conjunto, una vez más reitera “la idea de la aprobación parlamentaria como sanadora de todos los posibles vicios denunciados y la imprevisibilidad de la interpretación llevada a cabo por la Audiencia Provincial de Sevilla y por el Tribunal Supremo”. Lo cierto es que la condena en el caso de los “ERE” deriva del incumplimiento de los principios por los que debía regirse la concesión de subvenciones, de acuerdo con las normas vigentes (por ejemplo, la Ley del Parlamento de Andalucía 5/1983, de hacienda Pública de Andalucía), las cuales podían haberse dejado sin efecto para este concreto ámbito por las leyes de presupuestos, pero no resultó así hasta el dictado del Decreto-ley 4/2012.</w:t>
      </w:r>
    </w:p>
    <w:p w14:paraId="0778D8B6" w14:textId="77777777" w:rsidR="003754FE" w:rsidRDefault="003754FE" w:rsidP="003754FE">
      <w:pPr>
        <w:pStyle w:val="TextoNormal"/>
      </w:pPr>
    </w:p>
    <w:p w14:paraId="2EF61B31" w14:textId="77777777" w:rsidR="003754FE" w:rsidRDefault="003754FE" w:rsidP="003754FE">
      <w:pPr>
        <w:pStyle w:val="TextoNormal"/>
      </w:pPr>
      <w:r>
        <w:t xml:space="preserve">Finalmente, el apartado 4 del voto particular conjunto a la STC 93/2014, “Interpretación de las leyes de presupuestos efectuada por las sentencias recurridas”, se centró en la falta de valor legal de la documentación anexa que acompaña a los anteproyectos de presupuestos, incluyendo la memoria, informes económico-financieros y fichas en este caso del programa 31L, y desde esa perspectiva, el adecuado entendimiento dado por las dos sentencias </w:t>
      </w:r>
      <w:r>
        <w:lastRenderedPageBreak/>
        <w:t>impugnadas a dicha documentación, negándoles eficacia normativa y vinculante, de modo que el otorgamiento de las ayudas sociolaborales no podía excluir los controles propios de las subvenciones. Se observó también en el voto particular conjunto que al no tener aquella “documentación anexa” valor legal, no se vulneraba el derecho fundamental a la legalidad sancionadora del art. 25.1 CE por considerar una ilicitud injustificada de los acusados el eludir los controles legales de las ayudas sociolaborales, so pretexto de la remisión a la memoria que acompaña al anteproyecto de ley de presupuestos. Ausencia de valor normativo recogido en diversos instrumentos legales (arts. 134.2 del Reglamento del Congreso de los Diputados y 150.2 del Reglamento del Senado; arts. 34.5 y 35 de la Ley del Parlamento de Andalucía 5/1983, de hacienda pública de Andalucía en la dicción vigente en la fecha de los hechos, y art. 37 de la Ley 47/2003, general presupuestaria); así como en nuestra STC 63/1986, de 21 de mayo, FJ 8, con relación a las memorias de los presupuestos.</w:t>
      </w:r>
    </w:p>
    <w:p w14:paraId="23EBE7C8" w14:textId="77777777" w:rsidR="003754FE" w:rsidRDefault="003754FE" w:rsidP="003754FE">
      <w:pPr>
        <w:pStyle w:val="TextoNormal"/>
      </w:pPr>
    </w:p>
    <w:p w14:paraId="2135EF06" w14:textId="77777777" w:rsidR="003754FE" w:rsidRDefault="003754FE" w:rsidP="003754FE">
      <w:pPr>
        <w:pStyle w:val="TextoNormal"/>
      </w:pPr>
      <w:r>
        <w:t>Y añadió el voto particular conjunto respecto de las modificaciones presupuestarias en los años 2000, 2001 y 2002, que “por las mismas razones que entendemos que las leyes de presupuestos que incluyeron desde el año 2002 esa célebre partida 31L no sanaron el vicio que arrastraban en cuanto a su oculta finalidad de eludir los controles previos de la Intervención, tampoco las modificaciones presupuestarias de 2002 pueden escudarse en la ley de presupuestos”. En definitiva, concluyó ese voto particular al que ahora como digo he de remitirme que resulta infundada la afirmación de la STC 93/2024 de que las sentencias impugnadas de la Audiencia Provincial de Sevilla y de la Sala de lo Penal del Tribunal Supremo interpretasen de modo imprevisible las leyes de presupuestos de la Comunidad Autónoma de Andalucía para los años 2002, 2003 y 2004.</w:t>
      </w:r>
    </w:p>
    <w:p w14:paraId="2BF3DF8C" w14:textId="77777777" w:rsidR="003754FE" w:rsidRDefault="003754FE" w:rsidP="003754FE">
      <w:pPr>
        <w:pStyle w:val="TextoNormal"/>
      </w:pPr>
    </w:p>
    <w:p w14:paraId="34A44758" w14:textId="77777777" w:rsidR="003754FE" w:rsidRDefault="003754FE" w:rsidP="003754FE">
      <w:pPr>
        <w:pStyle w:val="TextoNormal"/>
      </w:pPr>
      <w:r>
        <w:t xml:space="preserve">3. </w:t>
      </w:r>
      <w:r w:rsidRPr="003754FE">
        <w:rPr>
          <w:i/>
        </w:rPr>
        <w:t>Sobre la estimación de la demanda de amparo por vulneración del derecho a la legalidad penal (art. 25.1 CE) derivada de la condena al recurrente por el delito de malversación</w:t>
      </w:r>
    </w:p>
    <w:p w14:paraId="667AC516" w14:textId="77777777" w:rsidR="003754FE" w:rsidRDefault="003754FE" w:rsidP="003754FE">
      <w:pPr>
        <w:pStyle w:val="TextoNormal"/>
      </w:pPr>
    </w:p>
    <w:p w14:paraId="66FC269C" w14:textId="77777777" w:rsidR="003754FE" w:rsidRDefault="003754FE" w:rsidP="003754FE">
      <w:pPr>
        <w:pStyle w:val="TextoNormal"/>
      </w:pPr>
      <w:r>
        <w:t>a) Tras rechazar correctamente la sentencia de la que discrepo, en el fundamento jurídico 5.2, que resulte contraria al art. 25.1 CE la interpretación que hacen las sentencias impugnadas del art. 432 CP, “según la cual la noción de sustracción [quien con ánimo de lucro sustrajere o consintiere que un tercero, con igual ánimo, sustraiga los caudales o efectos públicos] resulta compatible con la disposición definitiva de los caudales en una situación de omisión absoluta de los trámites, controles y formas exigidas en el ordenamiento jurídico”, que es precisamente lo que dichas sentencias predican de la operativa montada para el reparto de las ayudas sociolaborales en los años indicados en las consejerías concernidas y en el IFA/IDEA, estima sin embargo la demanda en el fundamento jurídico 5.3, por la vulneración del mismo derecho fundamental del recurrente a la legalidad penal, en lo que hace a la labor de subsunción de los hechos probados en aquellos conceptos jurídico penales.</w:t>
      </w:r>
    </w:p>
    <w:p w14:paraId="384BDFFA" w14:textId="77777777" w:rsidR="003754FE" w:rsidRDefault="003754FE" w:rsidP="003754FE">
      <w:pPr>
        <w:pStyle w:val="TextoNormal"/>
      </w:pPr>
    </w:p>
    <w:p w14:paraId="7281E365" w14:textId="77777777" w:rsidR="003754FE" w:rsidRDefault="003754FE" w:rsidP="003754FE">
      <w:pPr>
        <w:pStyle w:val="TextoNormal"/>
      </w:pPr>
      <w:r>
        <w:t>Para llegar a esta decisión, la sentencia de la mayoría traza una distinción entre “A) Hechos probados que se refieren globalmente a la forma de gestión de las transferencias de financiación en ejecución del programa 31L” y “B) Hechos referidos a concretas aplicaciones de fondos públicos sin cobertura en el programa 31L”.</w:t>
      </w:r>
    </w:p>
    <w:p w14:paraId="471A8526" w14:textId="77777777" w:rsidR="003754FE" w:rsidRDefault="003754FE" w:rsidP="003754FE">
      <w:pPr>
        <w:pStyle w:val="TextoNormal"/>
      </w:pPr>
    </w:p>
    <w:p w14:paraId="10BD86E3" w14:textId="77777777" w:rsidR="003754FE" w:rsidRDefault="003754FE" w:rsidP="003754FE">
      <w:pPr>
        <w:pStyle w:val="TextoNormal"/>
      </w:pPr>
      <w:r>
        <w:t xml:space="preserve">b) Así las cosas, para las ayudas que sitúa en el grupo A) la sentencia adoptada ahora por la mayoría del Pleno vuelve al argumento circular de la inmunidad de control jurisdiccional penal de toda ayuda con cargo a las transferencias de financiación al IFA/IDEA, programa </w:t>
      </w:r>
      <w:r>
        <w:lastRenderedPageBreak/>
        <w:t>31L de las leyes de presupuestos, con el resultado de considerar que “no puede estimarse en modo alguno previsible, desde la óptica propia del art. 25.1 CE, que una actuación de una autoridad o funcionario público que está amparada en las determinaciones contenidas en leyes de presupuestos aprobadas por un Parlamento pueda dar lugar a una condena penal por delito de malversación”; por lo que estima vulnerado el derecho a la legalidad penal (art. 25.1 CE) del recurrente.</w:t>
      </w:r>
    </w:p>
    <w:p w14:paraId="789077DF" w14:textId="77777777" w:rsidR="003754FE" w:rsidRDefault="003754FE" w:rsidP="003754FE">
      <w:pPr>
        <w:pStyle w:val="TextoNormal"/>
      </w:pPr>
    </w:p>
    <w:p w14:paraId="0200DA74" w14:textId="77777777" w:rsidR="003754FE" w:rsidRDefault="003754FE" w:rsidP="003754FE">
      <w:pPr>
        <w:pStyle w:val="TextoNormal"/>
      </w:pPr>
      <w:r>
        <w:t>Frente a esta respuesta cabe de nuevo oponer el mencionado voto particular conjunto a la STC 93/2024, de 19 de junio, en los términos ya recordados en el apartado anterior del presente voto particular.</w:t>
      </w:r>
    </w:p>
    <w:p w14:paraId="45884D2D" w14:textId="77777777" w:rsidR="003754FE" w:rsidRDefault="003754FE" w:rsidP="003754FE">
      <w:pPr>
        <w:pStyle w:val="TextoNormal"/>
      </w:pPr>
    </w:p>
    <w:p w14:paraId="4352809E" w14:textId="77777777" w:rsidR="003754FE" w:rsidRDefault="003754FE" w:rsidP="003754FE">
      <w:pPr>
        <w:pStyle w:val="TextoNormal"/>
      </w:pPr>
      <w:r>
        <w:t>Tan solo resulta pertinente añadir, respecto de la afirmación que se hace en este punto por la sentencia de la mayoría en el sentido de que “para alcanzar las conclusiones anteriores no es preciso pronunciarse sobre la eventual relación normativa de antinomia o complementariedad que pudiera existir entre el sistema de presupuestación establecido para las ayudas sociolaborales y a empresas en crisis en las sucesivas leyes de presupuestos de la comunidad autónoma de Andalucía de los años 2002 a 2009 y las disposiciones previstas en otras normas de rango legal, como la Ley 5/1983, de 19 de julio, de hacienda pública de Andalucía, o la Ley 38/2003, de 17 de noviembre, general de subvenciones”, oponer lo siguiente:</w:t>
      </w:r>
    </w:p>
    <w:p w14:paraId="2A3DC338" w14:textId="77777777" w:rsidR="003754FE" w:rsidRDefault="003754FE" w:rsidP="003754FE">
      <w:pPr>
        <w:pStyle w:val="TextoNormal"/>
      </w:pPr>
    </w:p>
    <w:p w14:paraId="73CB3092" w14:textId="77777777" w:rsidR="003754FE" w:rsidRDefault="003754FE" w:rsidP="003754FE">
      <w:pPr>
        <w:pStyle w:val="TextoNormal"/>
      </w:pPr>
      <w:r>
        <w:t>(i) De un lado, que no existe tal antinomia, en todo caso sí complementariedad entre todas ellas ya que la partida del programa 31L sobre transferencias al IFA de las leyes de presupuestos no dejaba sin efecto los controles en materia de subvenciones de los arts. 103 y siguientes de aquella Ley 5/1983 (en la redacción dada por la Ley 7/1996, de 31 de julio), los cuales de hecho regían, ni tampoco quedaron sin efecto por lo dispuesto en el art. 18 de la Ley del Parlamento de Andalucía 14/2001, de 26 de diciembre, del presupuesto de la Comunidad Autónoma de Andalucía para el año 2002. Ni siquiera en las memorias o en las fichas correspondientes se decía que la previsión de esa partida como cambio de presupuestación, obedeciera a la finalidad de eludir los controles que aquellas normas legales sobre subvenciones exigían para la concesión de estas.</w:t>
      </w:r>
    </w:p>
    <w:p w14:paraId="5FB65990" w14:textId="77777777" w:rsidR="003754FE" w:rsidRDefault="003754FE" w:rsidP="003754FE">
      <w:pPr>
        <w:pStyle w:val="TextoNormal"/>
      </w:pPr>
    </w:p>
    <w:p w14:paraId="258854C1" w14:textId="77777777" w:rsidR="003754FE" w:rsidRDefault="003754FE" w:rsidP="003754FE">
      <w:pPr>
        <w:pStyle w:val="TextoNormal"/>
      </w:pPr>
      <w:r>
        <w:t>(ii) De otro lado, que en todo caso el Gobierno autonómico tenía la potestad de haber instado un proyecto de ley para reformar dicho marco legal y no lo hizo entonces (solo en 2012), como advierte la sentencia de casación aquí impugnada y recuerda el apartado 4 del voto particular conjunto a la STC 93/2024, de 19 de junio. Es más, la Sala de lo Penal del Tribunal Supremo justamente invocó (fundamento de Derecho 23.2) nuestra STC 238/2007, de 21 de noviembre, en cuyo FJ 4 declaramos, entre otras cuestiones, que “una vez admitido que la ley de presupuestos generales […] puede abordar una modificación directa y expresa de cualquier otra norma legal, insistimos, en tanto en cuanto dicha modificación respete los condicionamientos que para su incorporación al contenido eventual del instrumento presupuestario ha exigido este tribunal, cabe añadir, a renglón seguido,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La ley de presupuestos, como previsión de ingresos y autorización de gastos para un ejercicio dado debe respetar, en tanto no las modifique expresamente, las exigencias previstas en el ordenamiento jurídico a cuya ejecución responde, so pena de poder provocar con su desconocimiento situaciones de inseguridad jurídica contrarias al art. 9.3 CE”.</w:t>
      </w:r>
    </w:p>
    <w:p w14:paraId="738ACB43" w14:textId="77777777" w:rsidR="003754FE" w:rsidRDefault="003754FE" w:rsidP="003754FE">
      <w:pPr>
        <w:pStyle w:val="TextoNormal"/>
      </w:pPr>
    </w:p>
    <w:p w14:paraId="12095DCD" w14:textId="77777777" w:rsidR="003754FE" w:rsidRDefault="003754FE" w:rsidP="003754FE">
      <w:pPr>
        <w:pStyle w:val="TextoNormal"/>
      </w:pPr>
      <w:r>
        <w:t>c) Sentado lo anterior, el fundamento jurídico 5.3 B) de la sentencia que acaba de aprobar el Pleno desestima a su vez la queja de vulneración del derecho a la legalidad penal (art. 25.1 CE) por imprevisible subsunción de los hechos en el tipo de malversación, solo respecto de las ayudas que no tenían cobertura en el programa 31L, con el argumento de que “las leyes de presupuestos no legitimaban la disposición de los fondos presupuestados sin la concurrencia de los fines públicos propios de las ayudas sociolaborales y a empresas en crisis”.</w:t>
      </w:r>
    </w:p>
    <w:p w14:paraId="631E1176" w14:textId="77777777" w:rsidR="003754FE" w:rsidRDefault="003754FE" w:rsidP="003754FE">
      <w:pPr>
        <w:pStyle w:val="TextoNormal"/>
      </w:pPr>
    </w:p>
    <w:p w14:paraId="5636B37D" w14:textId="77777777" w:rsidR="003754FE" w:rsidRDefault="003754FE" w:rsidP="003754FE">
      <w:pPr>
        <w:pStyle w:val="TextoNormal"/>
      </w:pPr>
      <w:r>
        <w:t>Comparto ese desenlace desestimatorio, pero no en la pequeña porción que aquí selecciona la sentencia de la que discrepo. Lo correcto era desestimar del todo la queja sin cuestionar la tarea de subsunción fáctica de los hechos realizados por el recurrente en el delito de malversación, subtipo agravado, que realiza la sentencia de instancia y confirma la de casación.</w:t>
      </w:r>
    </w:p>
    <w:p w14:paraId="498729BA" w14:textId="77777777" w:rsidR="003754FE" w:rsidRDefault="003754FE" w:rsidP="003754FE">
      <w:pPr>
        <w:pStyle w:val="TextoNormal"/>
      </w:pPr>
    </w:p>
    <w:p w14:paraId="0E1A9C32" w14:textId="77777777" w:rsidR="003754FE" w:rsidRDefault="003754FE" w:rsidP="003754FE">
      <w:pPr>
        <w:pStyle w:val="TextoNormal"/>
      </w:pPr>
      <w:r>
        <w:t xml:space="preserve">4. </w:t>
      </w:r>
      <w:r w:rsidRPr="003754FE">
        <w:rPr>
          <w:i/>
        </w:rPr>
        <w:t>Sobre la estimación de la demanda de amparo por vulneración del derecho a la presunción de inocencia (art. 24.2 CE) del recurrente, en relación con la condena por delito de malversación respecto de las ayudas concedidas en ausencia de fin público y las partidas desviadas del programa presupuestario 31L declaradas en la sentencia de instancia</w:t>
      </w:r>
    </w:p>
    <w:p w14:paraId="0E38FE16" w14:textId="77777777" w:rsidR="003754FE" w:rsidRDefault="003754FE" w:rsidP="003754FE">
      <w:pPr>
        <w:pStyle w:val="TextoNormal"/>
      </w:pPr>
    </w:p>
    <w:p w14:paraId="72D0C52D" w14:textId="77777777" w:rsidR="003754FE" w:rsidRDefault="003754FE" w:rsidP="003754FE">
      <w:pPr>
        <w:pStyle w:val="TextoNormal"/>
      </w:pPr>
      <w:r>
        <w:t>a) Acotados por la sentencia de la mayoría los únicos hechos atribuidos al recurrente que podrían ser susceptibles de poder ser castigados por el delito de malversación de caudales públicos del art. 432 CP, en los términos que se acaban de exponer, resulta que la condena a la postre no es validada, al apreciar dicha sentencia de la que discrepo, en su FJ 6.4, que se ha producido la vulneración del derecho fundamental de aquel a la presunción de inocencia (art. 24.2 CE). Según se explica por la mayoría del Pleno, la motivación de la sentencia de instancia “va dirigida claramente a constatar que [el recurrente] intervino en el engranaje dirigido al abono de subvenciones a través del uso de las transferencias de financiación, pero en ningún caso a probar que hizo un uso desviado de fondos del programa 31L por disponer de ellos sin atender a un fin público o para fines distintos y ajenos a los previstos en dicho programa”; “no desarrolla un mínimo juicio de autoría que permita determinar si el señor Serrano Aguilar tuvo el dominio funcional del hecho y si realizó u omitió, dentro del marco de dicho dominio, actos que favorecieron directamente la asignación material de estos fondos. Tampoco describe […] un plan preconcebido dirigido al desvío de estas cantidades”; repitiendo hasta por una tercera vez, en fin, que el elemento subjetivo del tipo de malversación ha de consistir en motivar “la disposición de los fondos presupuestados para fines no previstos en el programa o incluso carentes de tal interés público”.</w:t>
      </w:r>
    </w:p>
    <w:p w14:paraId="22A9BCDD" w14:textId="77777777" w:rsidR="003754FE" w:rsidRDefault="003754FE" w:rsidP="003754FE">
      <w:pPr>
        <w:pStyle w:val="TextoNormal"/>
      </w:pPr>
    </w:p>
    <w:p w14:paraId="7C0465DF" w14:textId="77777777" w:rsidR="003754FE" w:rsidRDefault="003754FE" w:rsidP="003754FE">
      <w:pPr>
        <w:pStyle w:val="TextoNormal"/>
      </w:pPr>
      <w:r>
        <w:t xml:space="preserve">Para llegar a esta conclusión la sentencia aprobada ahora por la mayoría efectúa su propia valoración de las pruebas obrantes en las actuaciones, en concreto de los informes de la Intervención General de la Junta de Andalucía, “y entre ellos, de manera determinante, el informe adicional (anexo III) al informe de cumplimiento de 2003 (‘informe sobre determinados aspectos de la gestión del Instituto de Fomento de Andalucía de los convenios suscritos con la Consejería de Empleo y Desarrollo Tecnológico en materia de Trabajo y Seguridad Social’)”; así como también valora “la declaración de los peritos de la Intervención General de la Administración del Estado, que elaboraron el informe que se incorporó a la causa”. El resultado de esta valoración propia es que tales pruebas “no llegan a demostrar que el señor Serrano Aguilar hubiera realizado los hechos que se le atribuyen (la firma de </w:t>
      </w:r>
      <w:r>
        <w:lastRenderedPageBreak/>
        <w:t>los convenios particulares) con una representación suficiente de que las ayudas se fueran a conceder al margen de toda finalidad pública.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que aparecen descritas en el fundamento de Derecho 45 de la sentencia de instancia”.</w:t>
      </w:r>
    </w:p>
    <w:p w14:paraId="5545F96B" w14:textId="77777777" w:rsidR="003754FE" w:rsidRDefault="003754FE" w:rsidP="003754FE">
      <w:pPr>
        <w:pStyle w:val="TextoNormal"/>
      </w:pPr>
    </w:p>
    <w:p w14:paraId="7F1585F2" w14:textId="77777777" w:rsidR="003754FE" w:rsidRDefault="003754FE" w:rsidP="003754FE">
      <w:pPr>
        <w:pStyle w:val="TextoNormal"/>
      </w:pPr>
      <w:r>
        <w:t>La misma sentencia de la que discrepo reconoce más adelante que la Audiencia Provincial hace mención expresa a ayudas concretas que carecen de un fin público, como son las del apartado C) del hecho probado vigesimosegundo, así como a otras irregularidades descritas en el fundamento 45, pero que “ninguna argumentación se realiza a lo largo de estos fundamentos jurídicos dirigida a explicitar la participación del demandante de amparo en la ejecución de este tipo de actos, los elementos probatorios de los que se deduciría dicha participación, así como la posible concurrencia del elemento subjetivo del injusto”. Al no haberse respetado la presunción de inocencia del recurrente, remata el fundamento jurídico 6.4 de la sentencia de la que discrepo, la estimación de la queja es “bastante para declarar la nulidad de la condena por delito de malversación”, lo que releva de más examen de fondo.</w:t>
      </w:r>
    </w:p>
    <w:p w14:paraId="32958CAD" w14:textId="77777777" w:rsidR="003754FE" w:rsidRDefault="003754FE" w:rsidP="003754FE">
      <w:pPr>
        <w:pStyle w:val="TextoNormal"/>
      </w:pPr>
    </w:p>
    <w:p w14:paraId="0EF69B62" w14:textId="77777777" w:rsidR="003754FE" w:rsidRDefault="003754FE" w:rsidP="003754FE">
      <w:pPr>
        <w:pStyle w:val="TextoNormal"/>
      </w:pPr>
      <w:r>
        <w:t>b) Así expuesto, se impone una primera consideración: la sentencia desborda claramente el papel que le corresponde a este Tribunal Constitucional en cuanto a constatar mediante un juicio externo, de acuerdo con la doctrina que se cita en el fundamento jurídico 6.3 de la misma sentencia, si existe prueba de cargo válida y si, a falta de una convicción directa de los hechos, el juicio inferencial en la llamada prueba por presunciones judiciales o de indicios no resulta tan lábil o abierto que conduzca a varios resultados posibles, sin despejar posibles dudas razonables sobre la culpabilidad del acusado. Rebasando de manera ostensible esta tarea revisora, la sentencia de la que discrepo sustituye por completo, con sus propias apreciaciones de convicción probatoria, las vertidas por la sentencia de la Audiencia Provincial (confirmadas por la de casación).</w:t>
      </w:r>
    </w:p>
    <w:p w14:paraId="7CC2F867" w14:textId="77777777" w:rsidR="003754FE" w:rsidRDefault="003754FE" w:rsidP="003754FE">
      <w:pPr>
        <w:pStyle w:val="TextoNormal"/>
      </w:pPr>
    </w:p>
    <w:p w14:paraId="00264F07" w14:textId="77777777" w:rsidR="003754FE" w:rsidRDefault="003754FE" w:rsidP="003754FE">
      <w:pPr>
        <w:pStyle w:val="TextoNormal"/>
      </w:pPr>
      <w:r>
        <w:t>Hasta tal punto esto es así, es decir, que actúa como un auténtico tribunal de instancia, lo cual carece de justificación alguna en esta jurisdicción constitucional de amparo, que la propia sentencia apoyada por la mayoría, en medio de sus reflexiones probatorias, se permite decir que, descartada la motivación dada por las resoluciones recurridas, “[e]llo no quiere decir, en modo alguno, que no existan en la causa elementos que hubieran podido servir de punto de partida para fundar un juicio de inferencia que pudiera haber llevado a esa conclusión —cuestión sobre la que a este tribunal no le corresponde pronunciarse—, sino, sencillamente, que la sentencia no ha completado el razonamiento capaz de trazar la vinculación entre los convenios suscritos por el demandante, […] con las desviaciones expuestas”. Para entendernos: no solamente la sentencia de instancia no ha motivado suficientemente la condena por malversación (vulnerando así la presunción de inocencia del recurrente), sino que no lo ha hecho por torpeza, ya que en realidad “elementos que hubieran podido servir” para ello sí que existían, si bien de manera enigmática se reserva el derecho de no revelar cuáles eran. Sobran las palabras.</w:t>
      </w:r>
    </w:p>
    <w:p w14:paraId="4FD3E56C" w14:textId="77777777" w:rsidR="003754FE" w:rsidRDefault="003754FE" w:rsidP="003754FE">
      <w:pPr>
        <w:pStyle w:val="TextoNormal"/>
      </w:pPr>
    </w:p>
    <w:p w14:paraId="2A54AC72" w14:textId="77777777" w:rsidR="003754FE" w:rsidRDefault="003754FE" w:rsidP="003754FE">
      <w:pPr>
        <w:pStyle w:val="TextoNormal"/>
      </w:pPr>
      <w:r>
        <w:t xml:space="preserve">c) La inferencia paralela que acomete la sentencia de la que discrepo para supuestamente —en realidad, sin éxito— desvirtuar el juicio probatorio de la sentencia de instancia, ofrece sin embargo quiebras lógicas o adolece de la misma labilidad de la que hace reproche. La sentencia de instancia condenó al aquí recurrente por su gestión como director general de la </w:t>
      </w:r>
      <w:r>
        <w:lastRenderedPageBreak/>
        <w:t>Agencia IDEA, al haber firmado más de cuarenta convenios de ayudas sociolaborales y a empresas con la Dirección General de Trabajo y Seguridad Social; por ser responsable de las cuentas anuales de la entidad, donde se recogía la operativa de contabilización de las transferencias de financiación; y por autorizar los pagos de las ayudas durante los años al frente de aquella entidad, pese a tener conocimiento de los informes de la Intervención de la Junta de Andalucía, en especial el del año 2005 sobre la gestión del IFA del año 2003, cuyas conclusiones fueron repitiéndose en los sucesivos informes de la Intervención sobre las cuentas anuales de IDEA de los ejercicios siguientes, pormenorizando esos informes la falta de controles y requisitos que debían acreditar los beneficiarios de las ayudas.</w:t>
      </w:r>
    </w:p>
    <w:p w14:paraId="749AAB53" w14:textId="77777777" w:rsidR="003754FE" w:rsidRDefault="003754FE" w:rsidP="003754FE">
      <w:pPr>
        <w:pStyle w:val="TextoNormal"/>
      </w:pPr>
    </w:p>
    <w:p w14:paraId="5B205C9B" w14:textId="77777777" w:rsidR="003754FE" w:rsidRDefault="003754FE" w:rsidP="003754FE">
      <w:pPr>
        <w:pStyle w:val="TextoNormal"/>
      </w:pPr>
      <w:r>
        <w:t>Esa opinión técnica fue respaldada, como también reconoce la sentencia de la que discrepo, por los peritos de la Intervención General de la Administración del Estado, que examinaron los 270 expedientes de ayudas derivados de los programas 22E y 31L confirmando que en todos ellos se reproducía la misma ausencia de controles y de la documentación pertinente. En este punto conviene recordar una vez más que los delitos de prevaricación y malversación atribuidos a los condenados por la sentencia de instancia, confirmada por la del Tribunal Supremo que nos ocupa, y en lo que aquí importa al recurrente señor Serrano Aguilar, se debieron a la ilegalidad sistémica inmanente a la totalidad de la operativa de previsión de la partida presupuestaria de transferencias de financiación al IFA/IDEA, como medio de evadir la normativa de subvenciones a particulares, y a la ejecución de esa operativa en la que fue pieza fundamental el recurrente, prescindiendo así de las reglas de transparencia y libre concurrencia de candidatos a estas ayudas.</w:t>
      </w:r>
    </w:p>
    <w:p w14:paraId="658E4E14" w14:textId="77777777" w:rsidR="003754FE" w:rsidRDefault="003754FE" w:rsidP="003754FE">
      <w:pPr>
        <w:pStyle w:val="TextoNormal"/>
      </w:pPr>
    </w:p>
    <w:p w14:paraId="208A11DC" w14:textId="77777777" w:rsidR="003754FE" w:rsidRDefault="003754FE" w:rsidP="003754FE">
      <w:pPr>
        <w:pStyle w:val="TextoNormal"/>
      </w:pPr>
      <w:r>
        <w:t>Por lo tanto no cabe, como de manera selectiva y voluntarista proclama la sentencia de la que discrepo, exigir como prueba de la autoría la acreditación de que el recurrente conocía el uso ajeno o desviado del fin público de tales o cuales ayudas efectivamente repartidas cuando este tenía encomendada como función esencial inherente a su cargo la de velar por la integridad de los fondos públicos que recibía y entregaba después a los beneficiarios, en ejecución de aquellos convenios suscritos con la Dirección General de Trabajo y Seguridad Social.</w:t>
      </w:r>
    </w:p>
    <w:p w14:paraId="6D1206D3" w14:textId="77777777" w:rsidR="003754FE" w:rsidRDefault="003754FE" w:rsidP="003754FE">
      <w:pPr>
        <w:pStyle w:val="TextoNormal"/>
      </w:pPr>
    </w:p>
    <w:p w14:paraId="1FC14920" w14:textId="77777777" w:rsidR="003754FE" w:rsidRDefault="003754FE" w:rsidP="003754FE">
      <w:pPr>
        <w:pStyle w:val="TextoNormal"/>
      </w:pPr>
      <w:r>
        <w:t xml:space="preserve">La posibilidad de que unos fondos públicos se utilicen de manera desviada porque no existen los necesarios controles legales es lo que justifica que tales controles se articulen por la Ley de hacienda de Andalucía y la Ley estatal de subvenciones cuando se trata del otorgamiento de esta clase de ayudas. Cuestión aparte son los limitados controles </w:t>
      </w:r>
      <w:r w:rsidRPr="003754FE">
        <w:rPr>
          <w:i/>
        </w:rPr>
        <w:t>a posteriori</w:t>
      </w:r>
      <w:r>
        <w:t xml:space="preserve"> que tenía el IFA/IDEA, solo por el uso de los fondos por vía de transferencia de financiación de dicha entidad, para cuadrar sus propias cuentas respecto de las cuales, por cierto, también los informes técnicos descubrieron una situación de déficit presupuestario.</w:t>
      </w:r>
    </w:p>
    <w:p w14:paraId="24CFE9E2" w14:textId="77777777" w:rsidR="003754FE" w:rsidRDefault="003754FE" w:rsidP="003754FE">
      <w:pPr>
        <w:pStyle w:val="TextoNormal"/>
      </w:pPr>
    </w:p>
    <w:p w14:paraId="1886767C" w14:textId="77777777" w:rsidR="003754FE" w:rsidRDefault="003754FE" w:rsidP="003754FE">
      <w:pPr>
        <w:pStyle w:val="TextoNormal"/>
      </w:pPr>
      <w:r>
        <w:t xml:space="preserve">En definitiva, nada hay que reprochar a la sentencia de instancia porque haya condenado por dolo eventual, esto es, por la eventualidad de que el recurrente asumiera que los fondos vinculados al programa 31L fueran objeto de disposición con fines ajenos al fin público al que estaban destinados. Como señala expresamente la sentencia de casación (fundamento de Derecho 34): “Es cierto que parte de esos pagos fueron destinados al pago de ayudas sociolaborales y que, de haberse cumplido las exigencias legales y reglamentarias, se trataría de pagos realizados para el cumplimiento de fines públicos, pero </w:t>
      </w:r>
      <w:r w:rsidRPr="003754FE">
        <w:rPr>
          <w:i/>
        </w:rPr>
        <w:t xml:space="preserve">la finalidad pública y la licitud viene condicionada al cumplimiento de las exigencias legales y en este caso el </w:t>
      </w:r>
      <w:r w:rsidRPr="003754FE">
        <w:rPr>
          <w:i/>
        </w:rPr>
        <w:lastRenderedPageBreak/>
        <w:t>incumplimiento de esas exigencias fue absoluto dando lugar a un total descontrol del manejo de los fondos públicos</w:t>
      </w:r>
      <w:r>
        <w:t>” (las cursivas son mías).</w:t>
      </w:r>
    </w:p>
    <w:p w14:paraId="2A4EFAD2" w14:textId="77777777" w:rsidR="003754FE" w:rsidRDefault="003754FE" w:rsidP="003754FE">
      <w:pPr>
        <w:pStyle w:val="TextoNormal"/>
      </w:pPr>
    </w:p>
    <w:p w14:paraId="1A859BA6" w14:textId="77777777" w:rsidR="003754FE" w:rsidRDefault="003754FE" w:rsidP="003754FE">
      <w:pPr>
        <w:pStyle w:val="TextoNormal"/>
      </w:pPr>
      <w:r>
        <w:t>Decir que no es razonable suponer —como hacen la Audiencia Provincial y el Tribunal Supremo— que la supresión de controles de gasto puede conducir a un gasto sin control es lo que a mí me parece poco razonable.</w:t>
      </w:r>
    </w:p>
    <w:p w14:paraId="29D0239C" w14:textId="77777777" w:rsidR="003754FE" w:rsidRDefault="003754FE" w:rsidP="003754FE">
      <w:pPr>
        <w:pStyle w:val="TextoNormal"/>
      </w:pPr>
    </w:p>
    <w:p w14:paraId="17F0C456" w14:textId="77777777" w:rsidR="003754FE" w:rsidRDefault="003754FE" w:rsidP="003754FE">
      <w:pPr>
        <w:pStyle w:val="TextoNormal"/>
      </w:pPr>
      <w:r>
        <w:t>Es absurdo sostener que como los informes de las intervenciones andaluza y estatal alertaban de la ausencia de controles, pero no del desvío de fondos, los recurrentes no podrían representarse este desvío, sino solo la ausencia de controles. Una cosa conduce casi inevitablemente a la otra.</w:t>
      </w:r>
    </w:p>
    <w:p w14:paraId="0CC594DC" w14:textId="77777777" w:rsidR="003754FE" w:rsidRDefault="003754FE" w:rsidP="003754FE">
      <w:pPr>
        <w:pStyle w:val="TextoNormal"/>
      </w:pPr>
    </w:p>
    <w:p w14:paraId="21F4E49D" w14:textId="77777777" w:rsidR="003754FE" w:rsidRDefault="003754FE" w:rsidP="003754FE">
      <w:pPr>
        <w:pStyle w:val="TextoNormal"/>
      </w:pPr>
      <w:r>
        <w:t>Las sentencias impugnadas en este amparo, por ello, no causaron la vulneración del derecho a la presunción de inocencia del recurrente y la demanda de amparo, por tal razón, debió desestimarse en su integridad.</w:t>
      </w:r>
    </w:p>
    <w:p w14:paraId="6BBC8F86" w14:textId="77777777" w:rsidR="003754FE" w:rsidRDefault="003754FE" w:rsidP="003754FE">
      <w:pPr>
        <w:pStyle w:val="TextoNormal"/>
      </w:pPr>
    </w:p>
    <w:p w14:paraId="5A8E3482" w14:textId="77777777" w:rsidR="003754FE" w:rsidRDefault="003754FE" w:rsidP="003754FE">
      <w:pPr>
        <w:pStyle w:val="TextoNormal"/>
      </w:pPr>
      <w:r>
        <w:t>Y en este sentido emito mi voto particular.</w:t>
      </w:r>
    </w:p>
    <w:p w14:paraId="26909AAA" w14:textId="77777777" w:rsidR="003754FE" w:rsidRDefault="003754FE" w:rsidP="003754FE">
      <w:pPr>
        <w:pStyle w:val="TextoNormal"/>
      </w:pPr>
    </w:p>
    <w:p w14:paraId="084DC465" w14:textId="148A41C7" w:rsidR="003754FE" w:rsidRDefault="003754FE" w:rsidP="003754FE">
      <w:pPr>
        <w:pStyle w:val="TextoNormal"/>
      </w:pPr>
      <w:r>
        <w:t>Madrid, a dos de julio de dos mil veinticuatro.</w:t>
      </w:r>
    </w:p>
    <w:p w14:paraId="7DE70E93" w14:textId="77777777" w:rsidR="003754FE" w:rsidRDefault="003754FE" w:rsidP="003754FE">
      <w:pPr>
        <w:pStyle w:val="TextoNormal"/>
      </w:pPr>
    </w:p>
    <w:p w14:paraId="03814634" w14:textId="77777777" w:rsidR="003754FE" w:rsidRDefault="003754FE" w:rsidP="003754FE">
      <w:pPr>
        <w:pStyle w:val="TextoNormalNegritaCentrado"/>
        <w:keepNext/>
      </w:pPr>
      <w:r>
        <w:t>Voto particular que formula el magistrado don Enrique Arnaldo Alcubilla a la sentencia dictada por el Pleno en el recurso de amparo núm. 2136-2023</w:t>
      </w:r>
    </w:p>
    <w:p w14:paraId="0CCCC7DE" w14:textId="271C4B4B" w:rsidR="003754FE" w:rsidRDefault="003754FE" w:rsidP="003754FE">
      <w:pPr>
        <w:pStyle w:val="TextoNormalNegritaCentrado"/>
        <w:keepNext/>
      </w:pPr>
    </w:p>
    <w:p w14:paraId="7521D382" w14:textId="77777777" w:rsidR="003754FE" w:rsidRDefault="003754FE" w:rsidP="003754FE">
      <w:pPr>
        <w:pStyle w:val="TextoNormal"/>
      </w:pPr>
      <w:r>
        <w:t>En el ejercicio de la facultad que me confiere el art. 90.2 de la Ley Orgánica del Tribunal Constitucional, formulo el presente voto particular por discrepar de la fundamentación y del fallo de la sentencia recaída en el recurso de amparo interpuesto por don Miguel Ángel Serrano Aguilar, el cual a mi parecer debió ser desestimado, por las razones defendidas durante la deliberación y en los términos que seguidamente paso a exponer.</w:t>
      </w:r>
    </w:p>
    <w:p w14:paraId="26CF18B5" w14:textId="77777777" w:rsidR="003754FE" w:rsidRDefault="003754FE" w:rsidP="003754FE">
      <w:pPr>
        <w:pStyle w:val="TextoNormal"/>
      </w:pPr>
    </w:p>
    <w:p w14:paraId="2B449929" w14:textId="77777777" w:rsidR="003754FE" w:rsidRDefault="003754FE" w:rsidP="003754FE">
      <w:pPr>
        <w:pStyle w:val="TextoNormal"/>
      </w:pPr>
      <w:r>
        <w:t xml:space="preserve">1. </w:t>
      </w:r>
      <w:r w:rsidRPr="003754FE">
        <w:rPr>
          <w:i/>
        </w:rPr>
        <w:t>Consideración preliminar</w:t>
      </w:r>
    </w:p>
    <w:p w14:paraId="078EA53B" w14:textId="77777777" w:rsidR="003754FE" w:rsidRDefault="003754FE" w:rsidP="003754FE">
      <w:pPr>
        <w:pStyle w:val="TextoNormal"/>
      </w:pPr>
    </w:p>
    <w:p w14:paraId="53AA7385" w14:textId="77777777" w:rsidR="003754FE" w:rsidRDefault="003754FE" w:rsidP="003754FE">
      <w:pPr>
        <w:pStyle w:val="TextoNormal"/>
      </w:pPr>
      <w:r>
        <w:t>La fundamentación de la presente sentencia descansa en buena medida en los argumentos empleados por la mayoría del Pleno en la STC 93/2024, de 19 de junio, que estimó parcialmente el recurso de amparo núm. 6971-2022, interpuesto por doña Magdalena Álvarez Arza contra las mismas resoluciones judiciales, que la condenaron por un delito de prevaricación en la pieza específica del conocido como “caso de los ERE de Andalucía”.</w:t>
      </w:r>
    </w:p>
    <w:p w14:paraId="29555879" w14:textId="77777777" w:rsidR="003754FE" w:rsidRDefault="003754FE" w:rsidP="003754FE">
      <w:pPr>
        <w:pStyle w:val="TextoNormal"/>
      </w:pPr>
    </w:p>
    <w:p w14:paraId="3A130DCD" w14:textId="77777777" w:rsidR="003754FE" w:rsidRDefault="003754FE" w:rsidP="003754FE">
      <w:pPr>
        <w:pStyle w:val="TextoNormal"/>
      </w:pPr>
      <w:r>
        <w:t xml:space="preserve">Es procedente, por ello, que me remita a las consideraciones expuestas en el voto particular que suscribí juntamente con los magistrados Enríquez Sancho y Espejel Jorquera a la referida sentencia y a las que formuló el magistrado Tolosa Tribiño en su voto, al que asimismo nos adherimos. Esta remisión se explica porque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otro de los altos cargos de la Junta de Andalucía condenados en el referido asunto, en este supuesto por delitos de prevaricación y de malversación de caudales públicos. Se trata de don Miguel Ángel Serrano Aguilar, que ocupó el cargo de director general del Instituto de Fomento de Andalucía (IFA), luego </w:t>
      </w:r>
      <w:r>
        <w:lastRenderedPageBreak/>
        <w:t>Agencia de Innovación y Desarrollo de Andalucía (IDEA), desde el 17 de junio de 2004 al 14 de mayo de 2008, estando descritos los hechos por los que fue condenado en el relato de hechos probados y en los fundamentos de Derecho 18 y 31 de la sentencia de la Audiencia Provincial de Sevilla, como se pone de manifiesto en el fundamento jurídico 2.4 de la presente sentencia del Tribunal Constitucional.</w:t>
      </w:r>
    </w:p>
    <w:p w14:paraId="4D7A957E" w14:textId="77777777" w:rsidR="003754FE" w:rsidRDefault="003754FE" w:rsidP="003754FE">
      <w:pPr>
        <w:pStyle w:val="TextoNormal"/>
      </w:pPr>
    </w:p>
    <w:p w14:paraId="524180DF" w14:textId="77777777" w:rsidR="003754FE" w:rsidRDefault="003754FE" w:rsidP="003754FE">
      <w:pPr>
        <w:pStyle w:val="TextoNormal"/>
      </w:pPr>
      <w:r>
        <w:t xml:space="preserve">2. </w:t>
      </w:r>
      <w:r w:rsidRPr="003754FE">
        <w:rPr>
          <w:i/>
        </w:rPr>
        <w:t>Una premisa errónea: la pretendida virtud sanadora de las leyes de presupuestos de Andalucía para los años 2002 a 2009</w:t>
      </w:r>
      <w:r>
        <w:t xml:space="preserve"> </w:t>
      </w:r>
    </w:p>
    <w:p w14:paraId="493B59CA" w14:textId="77777777" w:rsidR="003754FE" w:rsidRDefault="003754FE" w:rsidP="003754FE">
      <w:pPr>
        <w:pStyle w:val="TextoNormal"/>
      </w:pPr>
    </w:p>
    <w:p w14:paraId="5E57AE36" w14:textId="77777777" w:rsidR="003754FE" w:rsidRDefault="003754FE" w:rsidP="003754FE">
      <w:pPr>
        <w:pStyle w:val="TextoNormal"/>
      </w:pPr>
      <w:r>
        <w:t>Como en la STC 93/2024, la presente sentencia considera que la actuación del recurrente no puede entenderse subsumible en los delitos de prevaricación y malversación por los que ha sido condenado, conclusión que asienta sobre la premisa, a mi parecer errónea, de que obraba amparado por lo previsto en la correspondiente ley de presupuestos para cada ejercicio.</w:t>
      </w:r>
    </w:p>
    <w:p w14:paraId="31D296E1" w14:textId="77777777" w:rsidR="003754FE" w:rsidRDefault="003754FE" w:rsidP="003754FE">
      <w:pPr>
        <w:pStyle w:val="TextoNormal"/>
      </w:pPr>
    </w:p>
    <w:p w14:paraId="4DC988D0" w14:textId="77777777" w:rsidR="003754FE" w:rsidRDefault="003754FE" w:rsidP="003754FE">
      <w:pPr>
        <w:pStyle w:val="TextoNormal"/>
      </w:pPr>
      <w:r>
        <w:t>Nada más lejos de la realidad. Las sentencias impugnadas en amparo han condenado al recurrente porque, en su calidad de director general del IFA/IDEA, suscribió convenios particulares con la Dirección General de Trabajo y Seguridad Social mediante los que se pagaron ayudas sociolaborales a trabajadores y a empresas en crisis al margen de lo establecido legalmente. La sentencia de este tribunal no niega que esas actuaciones puedan considerarse como resoluciones dictadas en asunto administrativo a los efectos de integrar el tipo prevaricador del art. 404 del Código penal pero, como en la STC 93/2024, sostiene que la conducta del recurrente, como la del resto de condenados en el “caso de los ERE de Andalucía” no merecía reproche penal ni desde la perspectiva de la prevaricación, ni desde la perspectiva de la malversación, porque se amparaba en las leyes de presupuestos de Andalucía para los años 2002 al 2009, que “en su programa 31L, establecieron un sistema de atribución de fondos para la concesión de ayudas sociolaborales al IFA (las transferencias de financiación) que [de acuerdo con lo establecido en sus propias memorias] habilitaban a la administración autonómica a conceder estas ayudas” por tal vía (fundamento jurídico 4), lo que habría supuesto la supresión de los controles y procedimiento propios del régimen de subvenciones.</w:t>
      </w:r>
    </w:p>
    <w:p w14:paraId="5A7E376E" w14:textId="77777777" w:rsidR="003754FE" w:rsidRDefault="003754FE" w:rsidP="003754FE">
      <w:pPr>
        <w:pStyle w:val="TextoNormal"/>
      </w:pPr>
    </w:p>
    <w:p w14:paraId="663F90D9" w14:textId="77777777" w:rsidR="003754FE" w:rsidRDefault="003754FE" w:rsidP="003754FE">
      <w:pPr>
        <w:pStyle w:val="TextoNormal"/>
      </w:pPr>
      <w:r>
        <w:t>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subvenciones, en particular, la fiscalización previa por parte de la Intervención de la Junta de Andalucía. Se viene a afirmar que resulta imprevisible condenar por prevaricación y malversación conductas amparadas en lo dispuesto en el programa 31L incorporado a las leyes de presupuestos de Andalucía para los años 2002 al 2009. La Ley curaría, según la mayoría del Tribunal, todo vicio y haría inatacable la actuación de los gestores públicos, que estarían habilitados para actuar al margen de cualquier procedimiento y sin el control previo exigible en cualquier disposición de fondos públicos.</w:t>
      </w:r>
    </w:p>
    <w:p w14:paraId="5D0FBFAC" w14:textId="77777777" w:rsidR="003754FE" w:rsidRDefault="003754FE" w:rsidP="003754FE">
      <w:pPr>
        <w:pStyle w:val="TextoNormal"/>
      </w:pPr>
    </w:p>
    <w:p w14:paraId="4D3AFCB8" w14:textId="77777777" w:rsidR="003754FE" w:rsidRDefault="003754FE" w:rsidP="003754FE">
      <w:pPr>
        <w:pStyle w:val="TextoNormal"/>
      </w:pPr>
      <w:r>
        <w:t xml:space="preserve">Semejante premisa, la de la supuesta cobertura de la actuación del recurrente en la legalidad presupuestaria, descansa en una errónea apreciación del contenido de las leyes de presupuestos consideradas. No es cierto que las sentencias de la jurisdicción penal que condenaron al recurrente hayan privado de toda relevancia a la circunstancia de la aprobación </w:t>
      </w:r>
      <w:r>
        <w:lastRenderedPageBreak/>
        <w:t>parlamentaria de las sucesivas leyes de presupuestos. Lo que sucede, frente a lo que de manera incorrecta ha entendido la mayoría en la sentencia de la que disiento es que, en realidad, la introducción del programa 31L en las leyes de presupuestos andaluzas de los 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de lo Penal del Tribunal Supremo.</w:t>
      </w:r>
    </w:p>
    <w:p w14:paraId="2CAA3E34" w14:textId="77777777" w:rsidR="003754FE" w:rsidRDefault="003754FE" w:rsidP="003754FE">
      <w:pPr>
        <w:pStyle w:val="TextoNormal"/>
      </w:pPr>
    </w:p>
    <w:p w14:paraId="353A4868" w14:textId="77777777" w:rsidR="003754FE" w:rsidRDefault="003754FE" w:rsidP="003754FE">
      <w:pPr>
        <w:pStyle w:val="TextoNormal"/>
      </w:pPr>
      <w:r>
        <w:t>Ambas resoluciones judiciales niegan con razón, por otra parte, el pretendido valor legal que se pretende dar a las memorias presupuestarias, informes económico-financieros y fichas del programa 31L. La ausencia de eficacia vinculante de esa documentación anexa a las leyes de presupuestos resulta corroborada por diversos instrumentos legales, como ya se señaló en el voto particular conjunto a la STC 93/2014,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meras previsiones hipotéticas” (STC 63/1986, de 21 de mayo, FJ 8). El argumento que utiliza la mayoría en la sentencia de la que discrepo, según el cual han de interpretarse las partidas presupuestarias conforme a la memoria, es fruto de un voluntarismo jurídico que no se puede compartir.</w:t>
      </w:r>
    </w:p>
    <w:p w14:paraId="3481DB98" w14:textId="77777777" w:rsidR="003754FE" w:rsidRDefault="003754FE" w:rsidP="003754FE">
      <w:pPr>
        <w:pStyle w:val="TextoNormal"/>
      </w:pPr>
    </w:p>
    <w:p w14:paraId="270DF498" w14:textId="77777777" w:rsidR="003754FE" w:rsidRDefault="003754FE" w:rsidP="003754FE">
      <w:pPr>
        <w:pStyle w:val="TextoNormal"/>
      </w:pPr>
      <w:r>
        <w:t>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correspondiente ley de presupuestos, excluyera la aplicación de la normativa general en materia de subvenciones.</w:t>
      </w:r>
    </w:p>
    <w:p w14:paraId="426134BF" w14:textId="77777777" w:rsidR="003754FE" w:rsidRDefault="003754FE" w:rsidP="003754FE">
      <w:pPr>
        <w:pStyle w:val="TextoNormal"/>
      </w:pPr>
    </w:p>
    <w:p w14:paraId="71E533B5" w14:textId="77777777" w:rsidR="003754FE" w:rsidRDefault="003754FE" w:rsidP="003754FE">
      <w:pPr>
        <w:pStyle w:val="TextoNormal"/>
      </w:pPr>
      <w:r>
        <w:t>Habida cuenta de lo anterior, no parece que la respuesta penal a la actuación del recurrente pueda calificarse de imprevisible. La razón de la condena del recurrente es clara: como con arreglo a la Ley del Parlamento de Andalucía 5/1983, de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los altos cargos de la Junta de Andalucía implicados en la trama idearon como solución para eludir esos controles incluir una nueva partida en los presupuestos titulada de manera indeterminada para sus propios fines, eludiendo de este modo los controles exigibles con arreglo a una legalidad que no fue derogada por lo dispuesto en las leyes de presupuestos andaluzas de los años 2002 a 2009.</w:t>
      </w:r>
    </w:p>
    <w:p w14:paraId="1BBBF09E" w14:textId="77777777" w:rsidR="003754FE" w:rsidRDefault="003754FE" w:rsidP="003754FE">
      <w:pPr>
        <w:pStyle w:val="TextoNormal"/>
      </w:pPr>
    </w:p>
    <w:p w14:paraId="360FE81B" w14:textId="77777777" w:rsidR="003754FE" w:rsidRDefault="003754FE" w:rsidP="003754FE">
      <w:pPr>
        <w:pStyle w:val="TextoNormal"/>
      </w:pPr>
      <w:r>
        <w:t xml:space="preserve">Ciertamente, las cosas podrían haber sucedido de otro modo. Las leyes de presupuestos andaluzas hubieran podido derogar esa legalidad, o excluirla para la concesión de esas </w:t>
      </w:r>
      <w:r>
        <w:lastRenderedPageBreak/>
        <w:t>ayudas, como hizo luego el Decreto-ley 4/2012 en la llamada “tercera etapa” de los ERE (primer bloque de los fundamentos de Derecho de la sentencia del Tribunal Supremo, “Resumen de los hechos probados”), cuyo art.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a disponer, después, libérrimamente de los fondos incluidos en la partida 440 del programa 31L y solo y exclusivamente en esa partida.</w:t>
      </w:r>
    </w:p>
    <w:p w14:paraId="387CA877" w14:textId="77777777" w:rsidR="003754FE" w:rsidRDefault="003754FE" w:rsidP="003754FE">
      <w:pPr>
        <w:pStyle w:val="TextoNormal"/>
      </w:pPr>
    </w:p>
    <w:p w14:paraId="5BB93A3D" w14:textId="77777777" w:rsidR="003754FE" w:rsidRDefault="003754FE" w:rsidP="003754FE">
      <w:pPr>
        <w:pStyle w:val="TextoNormal"/>
      </w:pPr>
      <w:r>
        <w:t>La consecuencia de ello es que las conductas enjuiciadas del recurrente fueron correctamente subsumidas en el delito de malversación en concurso ideal con el precedente de prevaricación, no solo porque el programa 31L no concedía una cobertura legal para conceder ayudas con elusión de los controles previstos en la normativa subvencional, pues nada se establecía en las leyes de presupuestos en tal sentido, sino porque, en todo caso, con la omisión de aquellos controles se dispuso libremente de las ingentes cantidades dinerarias a las que se refieren los hechos probados de la sentencia condenatoria de la Audiencia Provincial de Sevilla, confirmada en casación por la Sala de lo Penal del Tribunal Supremo.</w:t>
      </w:r>
    </w:p>
    <w:p w14:paraId="42ECDFEB" w14:textId="77777777" w:rsidR="003754FE" w:rsidRDefault="003754FE" w:rsidP="003754FE">
      <w:pPr>
        <w:pStyle w:val="TextoNormal"/>
      </w:pPr>
    </w:p>
    <w:p w14:paraId="6B6A3064" w14:textId="77777777" w:rsidR="003754FE" w:rsidRDefault="003754FE" w:rsidP="003754FE">
      <w:pPr>
        <w:pStyle w:val="TextoNormal"/>
      </w:pPr>
      <w:r>
        <w:t xml:space="preserve">3. </w:t>
      </w:r>
      <w:r w:rsidRPr="003754FE">
        <w:rPr>
          <w:i/>
        </w:rPr>
        <w:t>La presente sentencia desconoce los principios constitucionales rectores del gasto público y su control</w:t>
      </w:r>
    </w:p>
    <w:p w14:paraId="25054BDE" w14:textId="77777777" w:rsidR="003754FE" w:rsidRDefault="003754FE" w:rsidP="003754FE">
      <w:pPr>
        <w:pStyle w:val="TextoNormal"/>
      </w:pPr>
    </w:p>
    <w:p w14:paraId="6A282E03" w14:textId="77777777" w:rsidR="003754FE" w:rsidRDefault="003754FE" w:rsidP="003754FE">
      <w:pPr>
        <w:pStyle w:val="TextoNormal"/>
      </w:pPr>
      <w:r>
        <w:t>En un precepto original en el Derecho Constitucional contemporáneo, la Constitución en su art. 31.2 establece que: “El gasto público realizará una asignación equitativa de los recursos públicos, y su programación y ejecución responderán a los criterios de eficiencia y economía”.</w:t>
      </w:r>
    </w:p>
    <w:p w14:paraId="4252C225" w14:textId="77777777" w:rsidR="003754FE" w:rsidRDefault="003754FE" w:rsidP="003754FE">
      <w:pPr>
        <w:pStyle w:val="TextoNormal"/>
      </w:pPr>
    </w:p>
    <w:p w14:paraId="4F10087F" w14:textId="77777777" w:rsidR="003754FE" w:rsidRDefault="003754FE" w:rsidP="003754FE">
      <w:pPr>
        <w:pStyle w:val="TextoNormal"/>
      </w:pPr>
      <w:r>
        <w:t>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pude hacer el Estado a través del Tribunal de Cuentas sobre la actividad financiera de las corporaciones locales. Pueden coexistir y superponerse, sin perjuicio de “evitar duplicidades innecesarias o disfuncionalidades”, que serían contrarias al art. 31.2 CE. También en la STC 204/1992, de 26 de noviembre, sobre los consejos consultivos autonómicos y el Consejo de Estado, si bien aquí el Tribunal añade al art. 31.2 CE el art. 103.1 CE, que obliga a la administración pública a actuar con sujeción tanto al principio de legalidad (lo que incluye la legalidad presupuestaria, claro está) como al principio de eficacia administrativa.</w:t>
      </w:r>
    </w:p>
    <w:p w14:paraId="1465F994" w14:textId="77777777" w:rsidR="003754FE" w:rsidRDefault="003754FE" w:rsidP="003754FE">
      <w:pPr>
        <w:pStyle w:val="TextoNormal"/>
      </w:pPr>
    </w:p>
    <w:p w14:paraId="6A54C90A" w14:textId="77777777" w:rsidR="003754FE" w:rsidRDefault="003754FE" w:rsidP="003754FE">
      <w:pPr>
        <w:pStyle w:val="TextoNormal"/>
      </w:pPr>
      <w:r>
        <w:t xml:space="preserve">Pero, sin duda, el pronunciamiento más importante se contiene en la STC 45/2017, de 27 de abril, en la que se afirma que “la actividad financiera de las distintas haciendas [ha de] asegurar los principios constitucionales que, conforme a nuestra Constitución, han de regir el gasto público: legalidad (art. 133.4 CE); eficiencia y economía (art. 31.2 CE); asignación equitativa de los recursos públicos (art. 31.2 CE); subordinación de la riqueza […] al interés </w:t>
      </w:r>
      <w:r>
        <w:lastRenderedPageBreak/>
        <w:t>general (art. 128.1 CE); estabilidad presupuestaria (art. 135 CE […]); y control (art. 136 CE)”.</w:t>
      </w:r>
    </w:p>
    <w:p w14:paraId="208CEB13" w14:textId="77777777" w:rsidR="003754FE" w:rsidRDefault="003754FE" w:rsidP="003754FE">
      <w:pPr>
        <w:pStyle w:val="TextoNormal"/>
      </w:pPr>
    </w:p>
    <w:p w14:paraId="752F70B9" w14:textId="77777777" w:rsidR="003754FE" w:rsidRDefault="003754FE" w:rsidP="003754FE">
      <w:pPr>
        <w:pStyle w:val="TextoNormal"/>
      </w:pPr>
      <w:r>
        <w:t>Sobre el principio de legalidad (que la sentencia presenta como respetado y salutífero para el recurrente) ya me he expresado, sin perjuicio de volver después. Me importa detenerme ahora en los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pagos. Ello queda confirmado, por lo demás, en un precepto transversal de nuestra Constitución, íntimamente ligado, entre otros, al citado art. 31.2 CE, y que no es otro que el también citado art. 103.1 CE, a cuyo tenor “La Administración pública sirve con objetividad 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14:paraId="182242CD" w14:textId="77777777" w:rsidR="003754FE" w:rsidRDefault="003754FE" w:rsidP="003754FE">
      <w:pPr>
        <w:pStyle w:val="TextoNormal"/>
      </w:pPr>
    </w:p>
    <w:p w14:paraId="0FE8EFC1" w14:textId="77777777" w:rsidR="003754FE" w:rsidRDefault="003754FE" w:rsidP="003754FE">
      <w:pPr>
        <w:pStyle w:val="TextoNormal"/>
      </w:pPr>
      <w: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enunciadas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w:t>
      </w:r>
      <w:r w:rsidRPr="003754FE">
        <w:rPr>
          <w:i/>
        </w:rPr>
        <w:t>in fine</w:t>
      </w:r>
      <w:r>
        <w:t xml:space="preserve"> que el sometimiento de la administración pública a la ley y al Derecho sea pleno, o sea, completo, sin excepción ni matiz, lo que corrobora el enunciado del art. 106.1 CE.</w:t>
      </w:r>
    </w:p>
    <w:p w14:paraId="6EFC1379" w14:textId="77777777" w:rsidR="003754FE" w:rsidRDefault="003754FE" w:rsidP="003754FE">
      <w:pPr>
        <w:pStyle w:val="TextoNormal"/>
      </w:pPr>
    </w:p>
    <w:p w14:paraId="7F0C60AC" w14:textId="77777777" w:rsidR="003754FE" w:rsidRDefault="003754FE" w:rsidP="003754FE">
      <w:pPr>
        <w:pStyle w:val="TextoNormal"/>
      </w:pPr>
      <w:r>
        <w:t>Adelanto ya que las conclusiones a las que llega la sentencia de este tribunal de la que disiento no se acomodan a estos principios constitucionales, pues se asientan en la incertidumbre jurídica, en la irresponsabilidad, y en la falta de objetividad y de transparencia de la administración pública.</w:t>
      </w:r>
    </w:p>
    <w:p w14:paraId="3CDC83D3" w14:textId="77777777" w:rsidR="003754FE" w:rsidRDefault="003754FE" w:rsidP="003754FE">
      <w:pPr>
        <w:pStyle w:val="TextoNormal"/>
      </w:pPr>
    </w:p>
    <w:p w14:paraId="7412D21A" w14:textId="77777777" w:rsidR="003754FE" w:rsidRDefault="003754FE" w:rsidP="003754FE">
      <w:pPr>
        <w:pStyle w:val="TextoNormal"/>
      </w:pPr>
      <w:r>
        <w:t xml:space="preserve">La sentencia de este tribunal descubre con la linterna de Diógenes el argumento de la salvadora ley de presupuestos que todo lo ampara y que borra toda responsabilidad penal en la conducta del recurrente y el resto de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w:t>
      </w:r>
      <w:r w:rsidRPr="003754FE">
        <w:rPr>
          <w:i/>
        </w:rPr>
        <w:t>ius</w:t>
      </w:r>
      <w:r>
        <w:t xml:space="preserve">. La ley no agota el ámbito del Derecho, que es algo más. Y en ese algo más están desde luego los principios actuales de actuación de las administraciones públicas, que enuncian muy en particular los arts. 9.3, 31.2, 103.1, 105 y 106.1 CE y los propios principios generales del </w:t>
      </w:r>
      <w:r>
        <w:lastRenderedPageBreak/>
        <w:t xml:space="preserve">Derecho, que no tienen por qué ser norma escrita y que sintetizan nuestra cultura jurídica, que es la propia de un Estado constitucional y democrático de Derecho (art. 1.1 CE). Y, por supuesto, en el </w:t>
      </w:r>
      <w:r w:rsidRPr="003754FE">
        <w:rPr>
          <w:i/>
        </w:rPr>
        <w:t>ius</w:t>
      </w:r>
      <w:r>
        <w:t xml:space="preserve"> están también los principios del Derecho de la Unión Europea, a los que luego me referiré.</w:t>
      </w:r>
    </w:p>
    <w:p w14:paraId="2690D6A4" w14:textId="77777777" w:rsidR="003754FE" w:rsidRDefault="003754FE" w:rsidP="003754FE">
      <w:pPr>
        <w:pStyle w:val="TextoNormal"/>
      </w:pPr>
    </w:p>
    <w:p w14:paraId="33016DE0" w14:textId="77777777" w:rsidR="003754FE" w:rsidRDefault="003754FE" w:rsidP="003754FE">
      <w:pPr>
        <w:pStyle w:val="TextoNormal"/>
      </w:pPr>
      <w:r>
        <w:t>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no es nunca ilimitado ni puede ejercerse al puro arbitrio o capricho de quienes lo lleven a 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14:paraId="47B9CE33" w14:textId="77777777" w:rsidR="003754FE" w:rsidRDefault="003754FE" w:rsidP="003754FE">
      <w:pPr>
        <w:pStyle w:val="TextoNormal"/>
      </w:pPr>
    </w:p>
    <w:p w14:paraId="7E661832" w14:textId="77777777" w:rsidR="003754FE" w:rsidRDefault="003754FE" w:rsidP="003754FE">
      <w:pPr>
        <w:pStyle w:val="TextoNormal"/>
      </w:pPr>
      <w:r>
        <w:t xml:space="preserve">4. </w:t>
      </w:r>
      <w:r w:rsidRPr="003754FE">
        <w:rPr>
          <w:i/>
        </w:rPr>
        <w:t>Sobre la aplicación de los principios del Derecho de la Unión Europea en materia de control del gasto público, como dique de contención en la lucha contra el fraude y la corrupción política</w:t>
      </w:r>
    </w:p>
    <w:p w14:paraId="04212EE1" w14:textId="77777777" w:rsidR="003754FE" w:rsidRDefault="003754FE" w:rsidP="003754FE">
      <w:pPr>
        <w:pStyle w:val="TextoNormal"/>
      </w:pPr>
    </w:p>
    <w:p w14:paraId="5F39AEE4" w14:textId="77777777" w:rsidR="003754FE" w:rsidRDefault="003754FE" w:rsidP="003754FE">
      <w:pPr>
        <w:pStyle w:val="TextoNormal"/>
      </w:pPr>
      <w:r>
        <w:t>Si bien el Derecho de la Unión Europea no es directamente aplicable en el asunto que nos ocupa, al no tener los fondos públicos malversados origen comunitario, no puede desconocerse que los principios del Derecho de la Unión sobre el control del gasto público son muy relevantes para analizar la regularidad de la actuación de los gestores de los caudales públicos. En tal sentido, no me parece aventurado afirmar que esa gestión, en el conocido como “caso de los ERE de Andalucía”, y como se desprende de las sentencias condenatorias que se impugnan en amparo, ha sido contraria no solo a los principios del Derecho interno, sino también a los principios del Derecho de la Unión Europea.</w:t>
      </w:r>
    </w:p>
    <w:p w14:paraId="259A755E" w14:textId="77777777" w:rsidR="003754FE" w:rsidRDefault="003754FE" w:rsidP="003754FE">
      <w:pPr>
        <w:pStyle w:val="TextoNormal"/>
      </w:pPr>
    </w:p>
    <w:p w14:paraId="6E932A64" w14:textId="77777777" w:rsidR="003754FE" w:rsidRDefault="003754FE" w:rsidP="003754FE">
      <w:pPr>
        <w:pStyle w:val="TextoNormal"/>
      </w:pPr>
      <w:r>
        <w:t>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peligro los intereses financieros del poder público y sería contraria al Derecho de la Unión Europea.</w:t>
      </w:r>
    </w:p>
    <w:p w14:paraId="69C03376" w14:textId="77777777" w:rsidR="003754FE" w:rsidRDefault="003754FE" w:rsidP="003754FE">
      <w:pPr>
        <w:pStyle w:val="TextoNormal"/>
      </w:pPr>
    </w:p>
    <w:p w14:paraId="73EDBF55" w14:textId="77777777" w:rsidR="003754FE" w:rsidRDefault="003754FE" w:rsidP="003754FE">
      <w:pPr>
        <w:pStyle w:val="TextoNormal"/>
      </w:pPr>
      <w: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el fraude. Conforme al art. 325 del Tratado de funcionamiento de la Unión Europea (TFUE), relativo a la lucha contra el fraude, “1. La Unión y los Estados miembros </w:t>
      </w:r>
      <w:r w:rsidRPr="003754FE">
        <w:rPr>
          <w:i/>
        </w:rPr>
        <w:t xml:space="preserve">combatirán el </w:t>
      </w:r>
      <w:r w:rsidRPr="003754FE">
        <w:rPr>
          <w:i/>
        </w:rPr>
        <w:lastRenderedPageBreak/>
        <w:t>fraude y toda actividad ilegal</w:t>
      </w:r>
      <w:r>
        <w:t xml:space="preserve"> que afecte a los intereses financieros de la Unión mediante medidas adoptadas en virtud de lo dispuesto en el presente artículo, que deberán tener un </w:t>
      </w:r>
      <w:r w:rsidRPr="003754FE">
        <w:rPr>
          <w:i/>
        </w:rPr>
        <w:t>efecto disuasorio</w:t>
      </w:r>
      <w:r>
        <w:t xml:space="preserve"> y ser capaces de ofrecer una protección eficaz en los Estados miembros y en las instituciones, órganos y organismos de la Unión. 2. Los Estados miembros adoptarán para combatir el fraude que afecte a los intereses financieros de la Unión </w:t>
      </w:r>
      <w:r w:rsidRPr="003754FE">
        <w:rPr>
          <w:i/>
        </w:rPr>
        <w:t>las mismas medidas</w:t>
      </w:r>
      <w:r>
        <w:t xml:space="preserve"> que para combatir el fraude que afecte a sus propios intereses financieros”.</w:t>
      </w:r>
    </w:p>
    <w:p w14:paraId="4DEFA7CC" w14:textId="77777777" w:rsidR="003754FE" w:rsidRDefault="003754FE" w:rsidP="003754FE">
      <w:pPr>
        <w:pStyle w:val="TextoNormal"/>
      </w:pPr>
    </w:p>
    <w:p w14:paraId="1D5E0EF7" w14:textId="77777777" w:rsidR="003754FE" w:rsidRDefault="003754FE" w:rsidP="003754FE">
      <w:pPr>
        <w:pStyle w:val="TextoNormal"/>
      </w:pPr>
      <w:r>
        <w:t xml:space="preserve">En cuanto a los principios que deben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STJUE de 21 de diciembre de 2021, </w:t>
      </w:r>
      <w:r w:rsidRPr="003754FE">
        <w:rPr>
          <w:i/>
        </w:rPr>
        <w:t>Euro Box Promotion y otros</w:t>
      </w:r>
      <w:r>
        <w:t>, asuntos acumulados C‑357/19, C‑379/19, C‑547/19, C‑811/19 y C‑840/19 (y jurisprudencia citada en esta), recordando las líneas más importantes de esa doctrina, de las que interesa destacar las siguientes.</w:t>
      </w:r>
    </w:p>
    <w:p w14:paraId="537F423F" w14:textId="77777777" w:rsidR="003754FE" w:rsidRDefault="003754FE" w:rsidP="003754FE">
      <w:pPr>
        <w:pStyle w:val="TextoNormal"/>
      </w:pPr>
    </w:p>
    <w:p w14:paraId="2053608B" w14:textId="77777777" w:rsidR="003754FE" w:rsidRDefault="003754FE" w:rsidP="003754FE">
      <w:pPr>
        <w:pStyle w:val="TextoNormal"/>
      </w:pPr>
      <w:r>
        <w:t xml:space="preserve">a) Por lo que se refiere a las obligaciones derivadas del art. 325.1 TFUE, esta disposición impone a los Estados miembros el deber de luchar contra el fraude y </w:t>
      </w:r>
      <w:r w:rsidRPr="003754FE">
        <w:rPr>
          <w:i/>
        </w:rPr>
        <w:t>toda actividad ilegal que afecte a los intereses financieros</w:t>
      </w:r>
      <w:r>
        <w:t xml:space="preserve"> de la Unión mediante medidas disuasorias y eficaces. Medidas de lucha que deben ser equivalentes a las medidas implementadas en el ámbito nacional.</w:t>
      </w:r>
    </w:p>
    <w:p w14:paraId="0041FE51" w14:textId="77777777" w:rsidR="003754FE" w:rsidRDefault="003754FE" w:rsidP="003754FE">
      <w:pPr>
        <w:pStyle w:val="TextoNormal"/>
      </w:pPr>
    </w:p>
    <w:p w14:paraId="1C7587B9" w14:textId="77777777" w:rsidR="003754FE" w:rsidRDefault="003754FE" w:rsidP="003754FE">
      <w:pPr>
        <w:pStyle w:val="TextoNormal"/>
      </w:pPr>
      <w:r>
        <w:t xml:space="preserve">b) Por otra parte, en lo referente a la expresión “toda actividad ilegal”, que figura en el art. 325.1 TFUE, recuerda el Tribunal de Justicia que ese concepto comprende en particular todo acto de corrupción de los funcionarios o todo </w:t>
      </w:r>
      <w:r w:rsidRPr="003754FE">
        <w:rPr>
          <w:i/>
        </w:rPr>
        <w:t>abuso</w:t>
      </w:r>
      <w:r>
        <w:t xml:space="preserve">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acción, como ocurre, por ejemplo, </w:t>
      </w:r>
      <w:r w:rsidRPr="003754FE">
        <w:rPr>
          <w:i/>
        </w:rPr>
        <w:t>con la omisión por parte de un funcionario de efectuar los controles y las comprobaciones exigidas respecto de los gastos cubiertos por el presupuesto de la Unión o la autorización de gastos inadecuados o incorrectos de los fondos de la Unión</w:t>
      </w:r>
      <w:r>
        <w:t>.</w:t>
      </w:r>
    </w:p>
    <w:p w14:paraId="51BBA49F" w14:textId="77777777" w:rsidR="003754FE" w:rsidRDefault="003754FE" w:rsidP="003754FE">
      <w:pPr>
        <w:pStyle w:val="TextoNormal"/>
      </w:pPr>
    </w:p>
    <w:p w14:paraId="154F09D0" w14:textId="77777777" w:rsidR="003754FE" w:rsidRDefault="003754FE" w:rsidP="003754FE">
      <w:pPr>
        <w:pStyle w:val="TextoNormal"/>
      </w:pPr>
      <w:r>
        <w:t xml:space="preserve">c) Además, subraya el Tribunal de Justicia que los Estados deben garantizar que las normas de Derecho penal y de procedimiento penal permitan una represión eficaz de los delitos de fraude que afecten a los intereses financieros de la Unión y </w:t>
      </w:r>
      <w:r w:rsidRPr="003754FE">
        <w:rPr>
          <w:i/>
        </w:rPr>
        <w:t>de corrupción en general</w:t>
      </w:r>
      <w:r>
        <w:t xml:space="preserve">. Esta exigencia de efectividad se extiende necesariamente tanto a las acciones penales y a las sanciones de los delitos de fraude que afecten a los intereses financieros de la Unión y de </w:t>
      </w:r>
      <w:r w:rsidRPr="003754FE">
        <w:rPr>
          <w:i/>
        </w:rPr>
        <w:t>corrupción en general</w:t>
      </w:r>
      <w:r>
        <w:t xml:space="preserve"> como a la aplicación de las penas impuestas, en la medida en que, de no existir una ejecución efectiva de las sanciones, estas no pueden ser eficaces y disuasorias; todo ello para evitar un </w:t>
      </w:r>
      <w:r w:rsidRPr="003754FE">
        <w:rPr>
          <w:i/>
        </w:rPr>
        <w:t>riesgo sistémico de impunidad</w:t>
      </w:r>
      <w:r>
        <w:t xml:space="preserve"> de los hechos constitutivos de tales delitos, así como garantizar la protección de los derechos fundamentales de las personas acusadas.</w:t>
      </w:r>
    </w:p>
    <w:p w14:paraId="48EB03E2" w14:textId="77777777" w:rsidR="003754FE" w:rsidRDefault="003754FE" w:rsidP="003754FE">
      <w:pPr>
        <w:pStyle w:val="TextoNormal"/>
      </w:pPr>
    </w:p>
    <w:p w14:paraId="77D301FE" w14:textId="77777777" w:rsidR="003754FE" w:rsidRDefault="003754FE" w:rsidP="003754FE">
      <w:pPr>
        <w:pStyle w:val="TextoNormal"/>
      </w:pPr>
      <w:r>
        <w:t xml:space="preserve">Por otra parte, a los órganos jurisdiccionales nacionales les corresponde dar plenos efectos a las obligaciones que resultan del art. 325.1 TFUE, así como de la Decisión 2006/928, y </w:t>
      </w:r>
      <w:r w:rsidRPr="003754FE">
        <w:rPr>
          <w:i/>
        </w:rPr>
        <w:t xml:space="preserve">dejar sin aplicación disposiciones internas que, en el marco de un procedimiento relativo </w:t>
      </w:r>
      <w:r w:rsidRPr="003754FE">
        <w:rPr>
          <w:i/>
        </w:rPr>
        <w:lastRenderedPageBreak/>
        <w:t>a delitos graves de fraude que afecten a los intereses financieros de la Unión o a delitos de corrupción en general, impiden la aplicación de sanciones eficaces y disuasorias para luchar contra tales delitos</w:t>
      </w:r>
      <w:r>
        <w:t>.</w:t>
      </w:r>
    </w:p>
    <w:p w14:paraId="2BF358F7" w14:textId="77777777" w:rsidR="003754FE" w:rsidRDefault="003754FE" w:rsidP="003754FE">
      <w:pPr>
        <w:pStyle w:val="TextoNormal"/>
      </w:pPr>
    </w:p>
    <w:p w14:paraId="7EFA6F63" w14:textId="77777777" w:rsidR="003754FE" w:rsidRDefault="003754FE" w:rsidP="003754FE">
      <w:pPr>
        <w:pStyle w:val="TextoNormal"/>
      </w:pPr>
      <w:r>
        <w:t xml:space="preserve">Pues bien, teniendo en cuenta que, </w:t>
      </w:r>
      <w:r w:rsidRPr="003754FE">
        <w:rPr>
          <w:i/>
        </w:rPr>
        <w:t>ex</w:t>
      </w:r>
      <w:r>
        <w:t xml:space="preserve">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el recurrente. Lo que entre otras cosas significa que no existe razón para entender que el control interno de esa gestión de fondos públicos deba ser menos intenso que el que se aplicaría si los fondos malversados hubieran sido europeos.</w:t>
      </w:r>
    </w:p>
    <w:p w14:paraId="7DF84365" w14:textId="77777777" w:rsidR="003754FE" w:rsidRDefault="003754FE" w:rsidP="003754FE">
      <w:pPr>
        <w:pStyle w:val="TextoNormal"/>
      </w:pPr>
    </w:p>
    <w:p w14:paraId="3576D23F" w14:textId="77777777" w:rsidR="003754FE" w:rsidRDefault="003754FE" w:rsidP="003754FE">
      <w:pPr>
        <w:pStyle w:val="TextoNormal"/>
      </w:pPr>
      <w:r>
        <w:t>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el recurrente y el resto de implicados de la Junta de Andalucía pretendiesen a partir de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14:paraId="1F7BF8CF" w14:textId="77777777" w:rsidR="003754FE" w:rsidRDefault="003754FE" w:rsidP="003754FE">
      <w:pPr>
        <w:pStyle w:val="TextoNormal"/>
      </w:pPr>
    </w:p>
    <w:p w14:paraId="3CE2ADD3" w14:textId="77777777" w:rsidR="003754FE" w:rsidRDefault="003754FE" w:rsidP="003754FE">
      <w:pPr>
        <w:pStyle w:val="TextoNormal"/>
      </w:pPr>
      <w:r>
        <w:t>En todo caso, es cierto que ha quedado acreditado, como resulta de las sentencias impugnadas en amparo, que en el conocido como “caso de los ERE de Andalucía” se buscó de manera intencionada la elusión de los controles ordinarios del gasto público, lo que supuso 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14:paraId="4F541A3D" w14:textId="77777777" w:rsidR="003754FE" w:rsidRDefault="003754FE" w:rsidP="003754FE">
      <w:pPr>
        <w:pStyle w:val="TextoNormal"/>
      </w:pPr>
    </w:p>
    <w:p w14:paraId="33DF2535" w14:textId="77777777" w:rsidR="003754FE" w:rsidRDefault="003754FE" w:rsidP="003754FE">
      <w:pPr>
        <w:pStyle w:val="TextoNormal"/>
      </w:pPr>
      <w:r>
        <w:t xml:space="preserve">En definitiva, llama poderosamente la atención el elocuente contraste entre la protección reforzada que la Unión Europea atribuye al delito de malversación de caudales públicos y la respuesta dada por esta y las restantes sentencias de este tribunal a uno de los casos más graves de corrupción política institucionalizada en España. Una sentencia que no ha dudado en desbordar los límites del control que a este tribunal corresponde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penal que no puede calificarse de imprevisible ni irrazonable, habían condenado al demandante de amparo como autor de un delito de prevaricación en concurso medial con un delito de malversación. Por eso, resulta especialmente difícil conciliar la decisión de la sentencia </w:t>
      </w:r>
      <w:r>
        <w:lastRenderedPageBreak/>
        <w:t>de este tribunal, que conduce a la postre a dejar impunes unas conductas de especial gravedad cometidas por unos concretos responsables políticos en el desempeño de sus funciones públicas, con el esfuerzo de la Unión Europea por eliminar márgenes de impunidad para los malversadores.</w:t>
      </w:r>
    </w:p>
    <w:p w14:paraId="1911CFBE" w14:textId="77777777" w:rsidR="003754FE" w:rsidRDefault="003754FE" w:rsidP="003754FE">
      <w:pPr>
        <w:pStyle w:val="TextoNormal"/>
      </w:pPr>
    </w:p>
    <w:p w14:paraId="5BAAC053" w14:textId="77777777" w:rsidR="003754FE" w:rsidRDefault="003754FE" w:rsidP="003754FE">
      <w:pPr>
        <w:pStyle w:val="TextoNormal"/>
      </w:pPr>
      <w:r>
        <w:t xml:space="preserve">5. </w:t>
      </w:r>
      <w:r w:rsidRPr="003754FE">
        <w:rPr>
          <w:i/>
        </w:rPr>
        <w:t>Colofón: las sentencias impugnadas en amparo no vulneraron los derechos del recurrente a la legalidad penal y a la presunción de inocencia</w:t>
      </w:r>
    </w:p>
    <w:p w14:paraId="00A0FD91" w14:textId="77777777" w:rsidR="003754FE" w:rsidRDefault="003754FE" w:rsidP="003754FE">
      <w:pPr>
        <w:pStyle w:val="TextoNormal"/>
      </w:pPr>
    </w:p>
    <w:p w14:paraId="526F77A8" w14:textId="77777777" w:rsidR="003754FE" w:rsidRDefault="003754FE" w:rsidP="003754FE">
      <w:pPr>
        <w:pStyle w:val="TextoNormal"/>
      </w:pPr>
      <w:r>
        <w:t>Como conclusión a cuanto ha quedado antes expuesto, considero que las sentencias recurridas en amparo han efectuado una interpretación razonada de los elementos típicos de los delitos de prevaricación y malversación, y que su aplicación al caso en dichas resoluciones judiciales supera sin dificultad el canon de control referido a la prohibición de interpretaciones “ilógicas” o “arbitrarias” que impone el art. 25.1 CE, conforme a la doctrina consolidada de este tribunal. La subsunción de la conducta del recurrente, a partir de los hechos declarados probados [sobre los que a este tribunal nada le cabe decir: art. 44.1 b) LOTC], en los delitos de prevaricación y malversación, que han efectuado la Audiencia Provincial de Sevilla y especialmente el Tribunal Supremo como órgano jurisdiccional superior en la materia (art. 123.1 CE), no es irrazonable ni imprevisible ni, por consiguiente, contraria al derecho fundamental a la legalidad penal que garantiza el art. 25.1 CE.</w:t>
      </w:r>
    </w:p>
    <w:p w14:paraId="6CF69A83" w14:textId="77777777" w:rsidR="003754FE" w:rsidRDefault="003754FE" w:rsidP="003754FE">
      <w:pPr>
        <w:pStyle w:val="TextoNormal"/>
      </w:pPr>
    </w:p>
    <w:p w14:paraId="0BF92CA8" w14:textId="77777777" w:rsidR="003754FE" w:rsidRDefault="003754FE" w:rsidP="003754FE">
      <w:pPr>
        <w:pStyle w:val="TextoNormal"/>
      </w:pPr>
      <w:r>
        <w:t>Tampoco vulneran las sentencias impugnadas el derecho a la presunción de inocencia (art. 24.2 CE), frente a lo que sostiene este tribunal, pues la condena del recurrente se fundamenta en pruebas de cargo practicadas en el juicio oral con plenas garantías de inmediación, contradicción y defensa, y susceptibles de enervar esa presunción más allá de toda duda razonable, como resulta de las resoluciones judiciales impugnadas en amparo. La sentencia de este tribunal incurre en un claro exceso de jurisdicción, al suplantar a los órganos judiciales del orden penal en la función que constitucionalmente les correspond</w:t>
      </w:r>
      <w:r w:rsidRPr="003754FE">
        <w:rPr>
          <w:i/>
        </w:rPr>
        <w:t xml:space="preserve">e </w:t>
      </w:r>
      <w:r>
        <w:t>ex art. 117.3 CE.</w:t>
      </w:r>
    </w:p>
    <w:p w14:paraId="479E34C3" w14:textId="77777777" w:rsidR="003754FE" w:rsidRDefault="003754FE" w:rsidP="003754FE">
      <w:pPr>
        <w:pStyle w:val="TextoNormal"/>
      </w:pPr>
    </w:p>
    <w:p w14:paraId="0926E05F" w14:textId="77777777" w:rsidR="003754FE" w:rsidRDefault="003754FE" w:rsidP="003754FE">
      <w:pPr>
        <w:pStyle w:val="TextoNormal"/>
      </w:pPr>
      <w:r>
        <w:t>Por todo ello, considero que el recurso de amparo debió ser íntegramente desestimado.</w:t>
      </w:r>
    </w:p>
    <w:p w14:paraId="791E8EC4" w14:textId="77777777" w:rsidR="003754FE" w:rsidRDefault="003754FE" w:rsidP="003754FE">
      <w:pPr>
        <w:pStyle w:val="TextoNormal"/>
      </w:pPr>
    </w:p>
    <w:p w14:paraId="5AEA857F" w14:textId="77777777" w:rsidR="003754FE" w:rsidRDefault="003754FE" w:rsidP="003754FE">
      <w:pPr>
        <w:pStyle w:val="TextoNormal"/>
      </w:pPr>
      <w:r>
        <w:t>6</w:t>
      </w:r>
      <w:r w:rsidRPr="003754FE">
        <w:rPr>
          <w:i/>
        </w:rPr>
        <w:t>. A modo de epílogo decepcionado, con una necesaria llamada de advertenc</w:t>
      </w:r>
      <w:r>
        <w:t>ia</w:t>
      </w:r>
    </w:p>
    <w:p w14:paraId="73D68319" w14:textId="77777777" w:rsidR="003754FE" w:rsidRDefault="003754FE" w:rsidP="003754FE">
      <w:pPr>
        <w:pStyle w:val="TextoNormal"/>
      </w:pPr>
    </w:p>
    <w:p w14:paraId="14D2926A" w14:textId="77777777" w:rsidR="003754FE" w:rsidRDefault="003754FE" w:rsidP="003754FE">
      <w:pPr>
        <w:pStyle w:val="TextoNormal"/>
      </w:pPr>
      <w:r>
        <w:t>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14:paraId="6F4FFE09" w14:textId="77777777" w:rsidR="003754FE" w:rsidRDefault="003754FE" w:rsidP="003754FE">
      <w:pPr>
        <w:pStyle w:val="TextoNormal"/>
      </w:pPr>
    </w:p>
    <w:p w14:paraId="4D48325E" w14:textId="77777777" w:rsidR="003754FE" w:rsidRDefault="003754FE" w:rsidP="003754FE">
      <w:pPr>
        <w:pStyle w:val="TextoNormal"/>
      </w:pPr>
      <w:r>
        <w:t xml:space="preserve">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prestidigitador, pues las leyes de presupuestos andaluzas a las que se refiere la sentencia de este tribunal en ningún momento establecen aquello que esta sentencia afirma, la pretendida </w:t>
      </w:r>
      <w:r>
        <w:lastRenderedPageBreak/>
        <w:t>modificación o eliminación del régimen de controles de las ayudas y subvenciones previsto en la normativa aplicable.</w:t>
      </w:r>
    </w:p>
    <w:p w14:paraId="3B767770" w14:textId="77777777" w:rsidR="003754FE" w:rsidRDefault="003754FE" w:rsidP="003754FE">
      <w:pPr>
        <w:pStyle w:val="TextoNormal"/>
      </w:pPr>
    </w:p>
    <w:p w14:paraId="69696B24" w14:textId="77777777" w:rsidR="003754FE" w:rsidRDefault="003754FE" w:rsidP="003754FE">
      <w:pPr>
        <w:pStyle w:val="TextoNormal"/>
      </w:pPr>
      <w:r>
        <w:t>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precepto de la ley de presupuestos remite, por ser esas partidas presupuestarias necesarias para dar cumplimiento al mandato que aquel precepto contiene.</w:t>
      </w:r>
    </w:p>
    <w:p w14:paraId="16B984A7" w14:textId="77777777" w:rsidR="003754FE" w:rsidRDefault="003754FE" w:rsidP="003754FE">
      <w:pPr>
        <w:pStyle w:val="TextoNormal"/>
      </w:pPr>
    </w:p>
    <w:p w14:paraId="06EF5A6A" w14:textId="77777777" w:rsidR="003754FE" w:rsidRDefault="003754FE" w:rsidP="003754FE">
      <w:pPr>
        <w:pStyle w:val="TextoNormal"/>
      </w:pPr>
      <w:r>
        <w:t>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14:paraId="7EADF040" w14:textId="77777777" w:rsidR="003754FE" w:rsidRDefault="003754FE" w:rsidP="003754FE">
      <w:pPr>
        <w:pStyle w:val="TextoNormal"/>
      </w:pPr>
    </w:p>
    <w:p w14:paraId="27808AAA" w14:textId="77777777" w:rsidR="003754FE" w:rsidRDefault="003754FE" w:rsidP="003754FE">
      <w:pPr>
        <w:pStyle w:val="TextoNormal"/>
      </w:pPr>
      <w:r>
        <w:t>Si, como decía García de Enterría, la justicia constitucional trata los problemas políticos con criterios jurídicos, poniendo la razón, la razón del Derecho, donde otros ponen otros motivos, pasiones o subjetivismos varios, me parece incuestionable que la presente sentencia, de la que respetuosa pero enérgicamente discrepo, hace tambalearse los pilares básicos del Estado de Derecho, por cuanto:</w:t>
      </w:r>
    </w:p>
    <w:p w14:paraId="085E3E30" w14:textId="77777777" w:rsidR="003754FE" w:rsidRDefault="003754FE" w:rsidP="003754FE">
      <w:pPr>
        <w:pStyle w:val="TextoNormal"/>
      </w:pPr>
    </w:p>
    <w:p w14:paraId="7B465582" w14:textId="77777777" w:rsidR="003754FE" w:rsidRDefault="003754FE" w:rsidP="003754FE">
      <w:pPr>
        <w:pStyle w:val="TextoNormal"/>
      </w:pPr>
      <w:r>
        <w:t>(i)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14:paraId="6A67D6CE" w14:textId="77777777" w:rsidR="003754FE" w:rsidRDefault="003754FE" w:rsidP="003754FE">
      <w:pPr>
        <w:pStyle w:val="TextoNormal"/>
      </w:pPr>
    </w:p>
    <w:p w14:paraId="0E37006E" w14:textId="77777777" w:rsidR="003754FE" w:rsidRDefault="003754FE" w:rsidP="003754FE">
      <w:pPr>
        <w:pStyle w:val="TextoNormal"/>
      </w:pPr>
      <w:r>
        <w:t>(ii)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olvidando que la jurisdicción constitucional debe evitar (por su propia naturaleza de jurisdicción de garantías) caer por desfiladeros abruptos.</w:t>
      </w:r>
    </w:p>
    <w:p w14:paraId="0F399DD8" w14:textId="77777777" w:rsidR="003754FE" w:rsidRDefault="003754FE" w:rsidP="003754FE">
      <w:pPr>
        <w:pStyle w:val="TextoNormal"/>
      </w:pPr>
    </w:p>
    <w:p w14:paraId="2C1AE133" w14:textId="77777777" w:rsidR="003754FE" w:rsidRDefault="003754FE" w:rsidP="003754FE">
      <w:pPr>
        <w:pStyle w:val="TextoNormal"/>
      </w:pPr>
      <w:r>
        <w:lastRenderedPageBreak/>
        <w:t>(iii) Contraviene los arts. 9.3, 31.2, 103.1, 105 y 106.1 CE, al dejar de lado los principios en que se ha de basa</w:t>
      </w:r>
      <w:r w:rsidRPr="003754FE">
        <w:rPr>
          <w:i/>
        </w:rPr>
        <w:t>r ex constitutio</w:t>
      </w:r>
      <w:r>
        <w:t>ne la actuación de la administración pública.</w:t>
      </w:r>
    </w:p>
    <w:p w14:paraId="4FE66B75" w14:textId="77777777" w:rsidR="003754FE" w:rsidRDefault="003754FE" w:rsidP="003754FE">
      <w:pPr>
        <w:pStyle w:val="TextoNormal"/>
      </w:pPr>
    </w:p>
    <w:p w14:paraId="3C0F3142" w14:textId="77777777" w:rsidR="003754FE" w:rsidRDefault="003754FE" w:rsidP="003754FE">
      <w:pPr>
        <w:pStyle w:val="TextoNormal"/>
      </w:pPr>
      <w:r>
        <w:t>(iv)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14:paraId="41FBB590" w14:textId="77777777" w:rsidR="003754FE" w:rsidRDefault="003754FE" w:rsidP="003754FE">
      <w:pPr>
        <w:pStyle w:val="TextoNormal"/>
      </w:pPr>
    </w:p>
    <w:p w14:paraId="64D90C15" w14:textId="77777777" w:rsidR="003754FE" w:rsidRDefault="003754FE" w:rsidP="003754FE">
      <w:pPr>
        <w:pStyle w:val="TextoNormal"/>
      </w:pPr>
      <w:r>
        <w:t>(v) Y, en fin, contraviene los principios nucleares en la materia del Derecho de la Unión Europea.</w:t>
      </w:r>
    </w:p>
    <w:p w14:paraId="304579CF" w14:textId="77777777" w:rsidR="003754FE" w:rsidRDefault="003754FE" w:rsidP="003754FE">
      <w:pPr>
        <w:pStyle w:val="TextoNormal"/>
      </w:pPr>
    </w:p>
    <w:p w14:paraId="798D3895" w14:textId="77777777" w:rsidR="003754FE" w:rsidRDefault="003754FE" w:rsidP="003754FE">
      <w:pPr>
        <w:pStyle w:val="TextoNormal"/>
      </w:pPr>
      <w:r>
        <w:t>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No estará de más recordar que quien fuera presidente de este tribunal, el magistrado Tomás y Valiente, ya aludió en 1994, en una conferencia titulada “La Constitución y el Tribunal Constitucional”, a “la importancia de las deliberaciones y a 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14:paraId="2F2FEF99" w14:textId="77777777" w:rsidR="003754FE" w:rsidRDefault="003754FE" w:rsidP="003754FE">
      <w:pPr>
        <w:pStyle w:val="TextoNormal"/>
      </w:pPr>
    </w:p>
    <w:p w14:paraId="671C166E" w14:textId="5D077AE0" w:rsidR="003754FE" w:rsidRDefault="003754FE" w:rsidP="003754FE">
      <w:pPr>
        <w:pStyle w:val="TextoNormal"/>
      </w:pPr>
      <w:r>
        <w:t>Madrid, a dos de julio de dos mil veinticuatro.</w:t>
      </w:r>
    </w:p>
    <w:p w14:paraId="769663B3" w14:textId="77777777" w:rsidR="003754FE" w:rsidRDefault="003754FE" w:rsidP="003754FE">
      <w:pPr>
        <w:pStyle w:val="TextoNormal"/>
      </w:pPr>
    </w:p>
    <w:p w14:paraId="0E75EF35" w14:textId="77777777" w:rsidR="003754FE" w:rsidRDefault="003754FE" w:rsidP="003754FE">
      <w:pPr>
        <w:pStyle w:val="TextoNormalNegritaCentrado"/>
        <w:keepNext/>
      </w:pPr>
      <w:r>
        <w:t>Voto particular que formula la magistrada doña María Luisa Segoviano Astaburuaga respecto de la sentencia dictada en el recurso de amparo avocado núm. 2136-2023</w:t>
      </w:r>
    </w:p>
    <w:p w14:paraId="5FA8BD86" w14:textId="677BABAD" w:rsidR="003754FE" w:rsidRDefault="003754FE" w:rsidP="003754FE">
      <w:pPr>
        <w:pStyle w:val="TextoNormalNegritaCentrado"/>
        <w:keepNext/>
      </w:pPr>
    </w:p>
    <w:p w14:paraId="03B689CB" w14:textId="77777777" w:rsidR="003754FE" w:rsidRDefault="003754FE" w:rsidP="003754FE">
      <w:pPr>
        <w:pStyle w:val="TextoNormal"/>
      </w:pPr>
      <w:r>
        <w:t>En el ejercicio de la facultad que me confiere el art. 90.2 de la Ley Orgánica del Tribunal Constitucional, y con el máximo respeto a los magistrados y magistradas del Tribunal, formulo el presente voto particular.</w:t>
      </w:r>
    </w:p>
    <w:p w14:paraId="46DB58D7" w14:textId="77777777" w:rsidR="003754FE" w:rsidRDefault="003754FE" w:rsidP="003754FE">
      <w:pPr>
        <w:pStyle w:val="TextoNormal"/>
      </w:pPr>
    </w:p>
    <w:p w14:paraId="32CAAABF" w14:textId="77777777" w:rsidR="003754FE" w:rsidRDefault="003754FE" w:rsidP="003754FE">
      <w:pPr>
        <w:pStyle w:val="TextoNormal"/>
      </w:pPr>
      <w:r>
        <w:t>Sin perjuicio de mi total conformidad con el resto de los pronunciamientos de la sentencia, creo necesario exponer la posición que sostuve en la deliberación sobre la invocación del derecho a la presunción de inocencia (art. 24.2 CE), que ha sido analizada en el fundamento jurídico 6 de la citada resolución y ha llevado a estimar vulnerado ese derecho fundamental.</w:t>
      </w:r>
    </w:p>
    <w:p w14:paraId="78256D15" w14:textId="77777777" w:rsidR="003754FE" w:rsidRDefault="003754FE" w:rsidP="003754FE">
      <w:pPr>
        <w:pStyle w:val="TextoNormal"/>
      </w:pPr>
    </w:p>
    <w:p w14:paraId="25C63439" w14:textId="77777777" w:rsidR="003754FE" w:rsidRDefault="003754FE" w:rsidP="003754FE">
      <w:pPr>
        <w:pStyle w:val="TextoNormal"/>
      </w:pPr>
      <w:r>
        <w:t xml:space="preserve">1. El demandante de amparo fue condenado por un delito de malversación por la forma global de cómo se gestionó el programa presupuestario 31L. No obstante, tras el análisis de la invocación del derecho a la legalidad penal y la estimación de ese motivo de amparo, solo perviven como posibles conductas malversadoras del demandante de amparo las concesiones de las ayudas destinadas a fines distintos y ajenos a los mencionados en ese programa </w:t>
      </w:r>
      <w:r>
        <w:lastRenderedPageBreak/>
        <w:t>presupuestario. Es únicamente la participación del demandante de amparo en estas concretas ayudas la que se somete al control de constitucionalidad desde la perspectiva del derecho a la presunción de inocencia.</w:t>
      </w:r>
    </w:p>
    <w:p w14:paraId="677A17C3" w14:textId="77777777" w:rsidR="003754FE" w:rsidRDefault="003754FE" w:rsidP="003754FE">
      <w:pPr>
        <w:pStyle w:val="TextoNormal"/>
      </w:pPr>
    </w:p>
    <w:p w14:paraId="3D9F1A0E" w14:textId="77777777" w:rsidR="003754FE" w:rsidRDefault="003754FE" w:rsidP="003754FE">
      <w:pPr>
        <w:pStyle w:val="TextoNormal"/>
      </w:pPr>
      <w:r>
        <w:t>Comparto el razonamiento de que en ese contexto la invocación del derecho a la presunción de inocencia exige de este tribunal verificar un control externo de que las resoluciones judiciales impugnadas proporcionan la motivación suficiente para considerar acreditado, entre otros extremos, que el demandante de amparo participó de todos o de algunos de los desvíos de fondos a fines ajenos a los previstos en este programa presupuestario durante el tiempo en el que ejerció el cargo de director general de la agencia IFA/IDEA —desde el 17 de junio de 2004 al 14 de mayo de 2008— y de que, además, le era imputable subjetivamente el desvío de esos fondos.</w:t>
      </w:r>
    </w:p>
    <w:p w14:paraId="67961386" w14:textId="77777777" w:rsidR="003754FE" w:rsidRDefault="003754FE" w:rsidP="003754FE">
      <w:pPr>
        <w:pStyle w:val="TextoNormal"/>
      </w:pPr>
    </w:p>
    <w:p w14:paraId="2A383F1B" w14:textId="77777777" w:rsidR="003754FE" w:rsidRDefault="003754FE" w:rsidP="003754FE">
      <w:pPr>
        <w:pStyle w:val="TextoNormal"/>
      </w:pPr>
      <w:r>
        <w:t>2. La estimación de este motivo de amparo se hace descansar en una doble consideración.</w:t>
      </w:r>
    </w:p>
    <w:p w14:paraId="1F0D6453" w14:textId="77777777" w:rsidR="003754FE" w:rsidRDefault="003754FE" w:rsidP="003754FE">
      <w:pPr>
        <w:pStyle w:val="TextoNormal"/>
      </w:pPr>
    </w:p>
    <w:p w14:paraId="26D2D340" w14:textId="77777777" w:rsidR="003754FE" w:rsidRDefault="003754FE" w:rsidP="003754FE">
      <w:pPr>
        <w:pStyle w:val="TextoNormal"/>
      </w:pPr>
      <w:r>
        <w:t>(i) Se afirma que la motivación desarrollada en las resoluciones judiciales impugnadas para concretar la participación del demandante en las conductas de malversación va dirigida a constatar que intervino en el engranaje general dirigido al abono de subvenciones a través del uso de las transferencias de financiación, pero no a probar que hizo un uso desviado de fondos del programa 31L por disponer de ellos sin atender a un fin público o para fines distintos y ajenos a los previstos en dicho programa. A esos efectos, se concluye que “la resolución de instancia no desarrolla un mínimo juicio de autoría que permita determinar si el señor Serrano Aguilar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(FJ 6.4).</w:t>
      </w:r>
    </w:p>
    <w:p w14:paraId="54D34175" w14:textId="77777777" w:rsidR="003754FE" w:rsidRDefault="003754FE" w:rsidP="003754FE">
      <w:pPr>
        <w:pStyle w:val="TextoNormal"/>
      </w:pPr>
    </w:p>
    <w:p w14:paraId="39AB9C11" w14:textId="77777777" w:rsidR="003754FE" w:rsidRDefault="003754FE" w:rsidP="003754FE">
      <w:pPr>
        <w:pStyle w:val="TextoNormal"/>
      </w:pPr>
      <w:r>
        <w:t>(ii) También se incide en que el juicio de inferencia para acreditar el dolo de malversar del demandante de amparo, que se hace radicar en los informes de control financiero permanente de la agencia IFA/IDEA, elaborados por la Intervención General de la Junta de Andalucía, y el déficit generado en la Consejería de Empleo y en la agencia IFA/IDEA como consecuencia de la aplicación de este sistema de gestión de ayudas, “no resulta suficiente para establecer de manera cierta y precisa que el señor Serrano Aguilar hubiera intervenido, con conocimiento de causa, en la realización de alguna o algunas de las disposiciones de fondos ajenas a la cobertura presupuestaria”. A partir de ello, se concluye que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que aparecen descritas en el fundamento de Derecho 45 de la sentencia de instancia” (FJ 6.4).</w:t>
      </w:r>
    </w:p>
    <w:p w14:paraId="15BBC040" w14:textId="77777777" w:rsidR="003754FE" w:rsidRDefault="003754FE" w:rsidP="003754FE">
      <w:pPr>
        <w:pStyle w:val="TextoNormal"/>
      </w:pPr>
    </w:p>
    <w:p w14:paraId="5A8A7D5A" w14:textId="77777777" w:rsidR="003754FE" w:rsidRDefault="003754FE" w:rsidP="003754FE">
      <w:pPr>
        <w:pStyle w:val="TextoNormal"/>
      </w:pPr>
      <w:r>
        <w:t xml:space="preserve">Esa doble consideración es la que lleva a afirmar que “[c]onsecuentemente, y desde la perspectiva del análisis efectuado en las resoluciones judiciales impugnadas, no se considera mínimamente motivado que el señor Serrano Aguilar hubiera realizado los hechos que la sentencia declara probados —la firma de convenios particulares— con conocimiento de que la Consejería de Empleo concedía ayudas que no respondían a ningún fin público amparado en el programa 31L, y consiguientemente con representación del riesgo concreto de que dicha situación se pudiera reproducir, lo que permite concluir que su presunción de </w:t>
      </w:r>
      <w:r>
        <w:lastRenderedPageBreak/>
        <w:t>inocencia no ha sido respetada por los órganos judiciales que condenaron y que desestimaron el recurso de casación subsiguientemente interpuesto y debe llevar a la estimación del amparo respecto a este motivo” (FJ 6.4).</w:t>
      </w:r>
    </w:p>
    <w:p w14:paraId="76674653" w14:textId="77777777" w:rsidR="003754FE" w:rsidRDefault="003754FE" w:rsidP="003754FE">
      <w:pPr>
        <w:pStyle w:val="TextoNormal"/>
      </w:pPr>
    </w:p>
    <w:p w14:paraId="30B7A8B8" w14:textId="77777777" w:rsidR="003754FE" w:rsidRDefault="003754FE" w:rsidP="003754FE">
      <w:pPr>
        <w:pStyle w:val="TextoNormal"/>
      </w:pPr>
      <w:r>
        <w:t>3. No considero adecuado sustentar que ha existido un déficit de motivación en las resoluciones impugnadas lesivo del derecho a la presunción de inocencia en cuanto al juicio de autoría del demandante de amparo por las razones siguientes:</w:t>
      </w:r>
    </w:p>
    <w:p w14:paraId="27F3D0EE" w14:textId="77777777" w:rsidR="003754FE" w:rsidRDefault="003754FE" w:rsidP="003754FE">
      <w:pPr>
        <w:pStyle w:val="TextoNormal"/>
      </w:pPr>
    </w:p>
    <w:p w14:paraId="14C9193C" w14:textId="77777777" w:rsidR="003754FE" w:rsidRDefault="003754FE" w:rsidP="003754FE">
      <w:pPr>
        <w:pStyle w:val="TextoNormal"/>
      </w:pPr>
      <w:r>
        <w:t>(i) Es un hecho declarado probado en la vía judicial y no controvertido que el demandante de amparo, en su condición de director general de la agencia IFA/IDEA desde el 17 de junio de 2004 al 14 de mayo de 2008, intervino directa y materialmente en la disposición de estos fondos públicos firmando los convenios particulares con la Dirección General de Trabajo y abonando las ayudas derivadas de los citados convenios. Entre dichos convenios, como destacan las sentencias de instancia (hecho probado vigesimosegundo) y de casación (fundamentos de Derecho 39 y 139), estaban también los destinados a la concesión y pago de ayudas que no respondían a ningún fin público amparado en el programa 31L.</w:t>
      </w:r>
    </w:p>
    <w:p w14:paraId="1DBFF8C3" w14:textId="77777777" w:rsidR="003754FE" w:rsidRDefault="003754FE" w:rsidP="003754FE">
      <w:pPr>
        <w:pStyle w:val="TextoNormal"/>
      </w:pPr>
    </w:p>
    <w:p w14:paraId="23D95EBC" w14:textId="77777777" w:rsidR="003754FE" w:rsidRDefault="003754FE" w:rsidP="003754FE">
      <w:pPr>
        <w:pStyle w:val="TextoNormal"/>
      </w:pPr>
      <w:r>
        <w:t>Por tanto, desde la perspectiva de control externo que compete desarrollar a este tribunal en la jurisdicción de amparo bajo la invocación del derecho a la presunción de inocencia, considero que las resoluciones judiciales han colmado la exigencia de identificar y motivar adecuadamente, a partir de la prueba documental practicada en la vista oral, la concurrencia de concretos actos ejecutivos desarrollados por el demandante de amparo de disposición de los fondos destinados a la concesión y pago de ayudas que no respondían a ningún fin público amparado en el programa 31L, consistentes en la firma de los convenios particulares y en el acto material de abono de los fondos.</w:t>
      </w:r>
    </w:p>
    <w:p w14:paraId="503BFFEA" w14:textId="77777777" w:rsidR="003754FE" w:rsidRDefault="003754FE" w:rsidP="003754FE">
      <w:pPr>
        <w:pStyle w:val="TextoNormal"/>
      </w:pPr>
    </w:p>
    <w:p w14:paraId="27997058" w14:textId="77777777" w:rsidR="003754FE" w:rsidRDefault="003754FE" w:rsidP="003754FE">
      <w:pPr>
        <w:pStyle w:val="TextoNormal"/>
      </w:pPr>
      <w:r>
        <w:t>(ii) En los términos ya expuestos, a pesar de la objetividad del desarrollo por parte del demandante de amparo de actos materiales de ejecución, de disposición de los fondos para fines ajenos a lo legalmente establecido, se utiliza como argumento para sustentar la lesión de su derecho a la presunción de inocencia que no se verifica en las resoluciones judiciales impugnadas un juicio de autoría que permita determinar que el demandante de amparo “tuvo el dominio funcional del hecho [o que] realizó u omitió, dentro del marco de dicho dominio, actos que favorecieron directamente la asignación material de estos fondos. Tampoco describe la sentencia alguna modalidad de acuerdo o adhesión del encausado a un plan preconcebido dirigido al desvío de estas cantidades” (FJ 6.4).</w:t>
      </w:r>
    </w:p>
    <w:p w14:paraId="3B5D42B5" w14:textId="77777777" w:rsidR="003754FE" w:rsidRDefault="003754FE" w:rsidP="003754FE">
      <w:pPr>
        <w:pStyle w:val="TextoNormal"/>
      </w:pPr>
    </w:p>
    <w:p w14:paraId="40D0953D" w14:textId="77777777" w:rsidR="003754FE" w:rsidRDefault="003754FE" w:rsidP="003754FE">
      <w:pPr>
        <w:pStyle w:val="TextoNormal"/>
      </w:pPr>
      <w:r>
        <w:t>Considero que una exigencia de esas características excede de la labor de control externo que corresponde desarrollar a este tribunal ante una invocación del derecho a la presunción de inocencia, ya que parte de una consideración sobre la dinámica comisiva que es expresamente negada por las resoluciones judiciales impugnadas.</w:t>
      </w:r>
    </w:p>
    <w:p w14:paraId="44A91BF8" w14:textId="77777777" w:rsidR="003754FE" w:rsidRDefault="003754FE" w:rsidP="003754FE">
      <w:pPr>
        <w:pStyle w:val="TextoNormal"/>
      </w:pPr>
    </w:p>
    <w:p w14:paraId="41E37658" w14:textId="77777777" w:rsidR="003754FE" w:rsidRDefault="003754FE" w:rsidP="003754FE">
      <w:pPr>
        <w:pStyle w:val="TextoNormal"/>
      </w:pPr>
      <w:r>
        <w:t xml:space="preserve">En primer lugar, es de destacar, como se reconoce en la sentencia, que la labor de control de este derecho fundamental lo es respecto de la motivación proporcionada por las resoluciones impugnadas “sin necesidad de integración o reelaboración alguna”. A esos efectos, hay que reparar en que la sentencia de casación es muy expresiva en su fundamento de Derecho 43.3 cuando, al abordar el llamado juicio de autoría en contestación a la alegación de algunos recurrentes —entre ellos el ahora demandante de amparo— sobre la inexistencia de un dominio funcional del hecho entre los diversos participes para el delito de </w:t>
      </w:r>
      <w:r>
        <w:lastRenderedPageBreak/>
        <w:t>malversación, afirma que no es necesario acreditar ese extremo. Insiste en que es suficiente individualizar la conducta de cada acusado y desde su singularidad determinar si en cada caso concurrían los elementos típicos. Así, se expone que no hay ninguna declaración en los hechos probados respecto a que los acusados actuaran de forma conjunta o de mutuo acuerdo y que en la fundamentación jurídica tampoco se argumenta sobre la concurrencia de los elementos estructurales de la coautoría, tales como acuerdo de voluntades, dominio funcional del hecho o imputación recíproca a todos los coautores de sus aportaciones individuales. Es más, incide la sentencia de casación en que para el juicio de autoría de cada uno de los acusados (a) la sentencia de instancia identifica individualmente los hechos que se atribuyen a cada uno de ellos aisladamente y (b) no imputa a todos los acusados la totalidad de los actos calificados como delictivos, por lo que excluye el efecto más característico de la coautoría, la imputación recíproca. A partir de ello, concluye que “[l]a dinámica comisiva no ha consistido en la realización de un hecho al que contribuyen las aportaciones de cada acusado, sino en distintos hechos, realizados individualmente por distintas autoridades a lo largo de un periodo dilatado de tiempo, que se explican porque tenían una finalidad común y se produjeron en el ámbito de una misma organización administrativa” (fundamento de Derecho 43.3, pág. 370, de la sentencia de casación).</w:t>
      </w:r>
    </w:p>
    <w:p w14:paraId="05143D38" w14:textId="77777777" w:rsidR="003754FE" w:rsidRDefault="003754FE" w:rsidP="003754FE">
      <w:pPr>
        <w:pStyle w:val="TextoNormal"/>
      </w:pPr>
    </w:p>
    <w:p w14:paraId="6DDEE12B" w14:textId="77777777" w:rsidR="003754FE" w:rsidRDefault="003754FE" w:rsidP="003754FE">
      <w:pPr>
        <w:pStyle w:val="TextoNormal"/>
      </w:pPr>
      <w:r>
        <w:t>Pues bien, partiendo de la base de que en la vía judicial se ha negado que la responsabilidad penal por el delito de malversación, incluyendo la del demandante de amparo, traiga causa de un supuesto dominio funcional del hecho o de alguna modalidad de acuerdo o de adhesión a un plan preconcebido dirigido al desvío de las cantidades malversadas entre los acusados, sino en la individual comisión de actos de ejecución de cada uno de ellos —en el caso del demandante de amparo la firma de los convenios y el pago de los fondos—, no puedo compartir que el fundamento último para estimar el recurso de amparo respecto de este particular sea el déficit o la inexistencia de motivación sobre un juicio de autoría que no es el asumido o establecido en las resoluciones impugnadas sino alternativo a estas.</w:t>
      </w:r>
    </w:p>
    <w:p w14:paraId="01665A44" w14:textId="77777777" w:rsidR="003754FE" w:rsidRDefault="003754FE" w:rsidP="003754FE">
      <w:pPr>
        <w:pStyle w:val="TextoNormal"/>
      </w:pPr>
    </w:p>
    <w:p w14:paraId="1806024E" w14:textId="77777777" w:rsidR="003754FE" w:rsidRDefault="003754FE" w:rsidP="003754FE">
      <w:pPr>
        <w:pStyle w:val="TextoNormal"/>
      </w:pPr>
      <w:r>
        <w:t>(iii) Por tanto, partiendo del presupuesto de que el control externo a desarrollar por este tribunal sobre la motivación de la prueba ha de serlo respecto de la proporcionada por las resoluciones judiciales y no respecto de otras posibles alternativas, entiendo que las sentencias impugnadas, al hacer radicar la responsabilidad penal del demandante de amparo por el delito de malversación en su intervención directa y material en la disposición de estos fondos públicos firmando los convenios particulares con la Dirección General de Trabajo y abonando las ayudas derivadas de los citados convenios, solo tenían que acreditar a partir de la prueba practicada esas conductas para entender probada la autoría del demandante. Ese es un extremo no controvertido que hace inadecuado que haya sido considerado vulnerado el derecho a la presunción de inocencia respecto de este particular.</w:t>
      </w:r>
    </w:p>
    <w:p w14:paraId="5FD0F95B" w14:textId="77777777" w:rsidR="003754FE" w:rsidRDefault="003754FE" w:rsidP="003754FE">
      <w:pPr>
        <w:pStyle w:val="TextoNormal"/>
      </w:pPr>
    </w:p>
    <w:p w14:paraId="6A72DEF8" w14:textId="77777777" w:rsidR="003754FE" w:rsidRDefault="003754FE" w:rsidP="003754FE">
      <w:pPr>
        <w:pStyle w:val="TextoNormal"/>
      </w:pPr>
      <w:r>
        <w:t>4. Tampoco considero procedente sustentar que ha existido un déficit de motivación en las resoluciones impugnadas lesivo del derecho a la presunción de inocencia en cuanto a la concurrencia del elemento subjetivo del delito de malversación en el demandante de amparo por las razones siguientes:</w:t>
      </w:r>
    </w:p>
    <w:p w14:paraId="72C643BA" w14:textId="77777777" w:rsidR="003754FE" w:rsidRDefault="003754FE" w:rsidP="003754FE">
      <w:pPr>
        <w:pStyle w:val="TextoNormal"/>
      </w:pPr>
    </w:p>
    <w:p w14:paraId="7C782261" w14:textId="77777777" w:rsidR="003754FE" w:rsidRDefault="003754FE" w:rsidP="003754FE">
      <w:pPr>
        <w:pStyle w:val="TextoNormal"/>
      </w:pPr>
      <w:r>
        <w:t xml:space="preserve">(i) Las resoluciones judiciales impugnadas han establecido, respecto del elemento subjetivo del delito de malversación del art. 432 CP en la redacción que resultaba de aplicación, que puede ser cometido por dolo eventual. En concreto, la sentencia de casación insiste en que jurisprudencialmente se ha admitido que para la existencia del delito en su modalidad </w:t>
      </w:r>
      <w:r>
        <w:lastRenderedPageBreak/>
        <w:t>activa basta el dolo eventual y que en cuanto al tipo de omisión impropia también se admite este título de imputación subjetiva, cuando el sujeto se represente la alta probabilidad de la existencia de la situación que le obliga a actuar y aun así no actúe [fundamento de Derecho 32.3 (viii), pág. 320]. El Tribunal no ha objetado desde la perspectiva del art. 25.1 CE esta interpretación y ha rechazado que vulnere el derecho a la legalidad penal del demandante de amparo en el fundamento jurídico 5.2. Por tanto, en coherencia con esta conclusión, la actividad probatoria a desarrollar en la vía judicial respecto de la concurrencia del elemento subjetivo de este delito lo puede ser en su modalidad de dolo eventual.</w:t>
      </w:r>
    </w:p>
    <w:p w14:paraId="54BBADF8" w14:textId="77777777" w:rsidR="003754FE" w:rsidRDefault="003754FE" w:rsidP="003754FE">
      <w:pPr>
        <w:pStyle w:val="TextoNormal"/>
      </w:pPr>
    </w:p>
    <w:p w14:paraId="3CEF34E0" w14:textId="77777777" w:rsidR="003754FE" w:rsidRDefault="003754FE" w:rsidP="003754FE">
      <w:pPr>
        <w:pStyle w:val="TextoNormal"/>
      </w:pPr>
      <w:r>
        <w:t>Las resoluciones judiciales, con fundamento en la anterior interpretación, han establecido la responsabilidad penal del demandante de amparo por el delito de malversación al considerar, en la vertiente subjetiva de este delito, que al desarrollar los actos ejecutivos de la firma de los convenios particulares y el pago de las ayudas asumía la eventualidad de que algunos de los fondos vinculados al programa presupuestario 31L fueran objeto de disposición con fines ajenos al fin público al que estaban destinados, tal como finalmente sucedió.</w:t>
      </w:r>
    </w:p>
    <w:p w14:paraId="1E15CAFD" w14:textId="77777777" w:rsidR="003754FE" w:rsidRDefault="003754FE" w:rsidP="003754FE">
      <w:pPr>
        <w:pStyle w:val="TextoNormal"/>
      </w:pPr>
    </w:p>
    <w:p w14:paraId="5E91909F" w14:textId="77777777" w:rsidR="003754FE" w:rsidRDefault="003754FE" w:rsidP="003754FE">
      <w:pPr>
        <w:pStyle w:val="TextoNormal"/>
      </w:pPr>
      <w:r>
        <w:t>En este contexto, no considero adecuado que se estime vulnerado el derecho a la presunción de inocencia con fundamento en que era preciso que en la vía judicial se acreditara que el demandante de amparo “participó activa u omisivamente con conocimiento de que los fondos públicos del programa 31L se estaban concediendo sin que existiera un fin público que justificara su concesión o para fines distintos de los previstos en dicho programa 31L” (FJ 6.4) y, por tanto, que es una inferencia excesivamente abierta concluir que se representó, con el grado de concreción que demanda la imputación subjetiva de un delito de resultado como es el delito de malversación, las graves desviaciones cometidas por las autoridades de la Consejería de Empleo.</w:t>
      </w:r>
    </w:p>
    <w:p w14:paraId="147EE36D" w14:textId="77777777" w:rsidR="003754FE" w:rsidRDefault="003754FE" w:rsidP="003754FE">
      <w:pPr>
        <w:pStyle w:val="TextoNormal"/>
      </w:pPr>
    </w:p>
    <w:p w14:paraId="4AEA9FDF" w14:textId="77777777" w:rsidR="003754FE" w:rsidRDefault="003754FE" w:rsidP="003754FE">
      <w:pPr>
        <w:pStyle w:val="TextoNormal"/>
      </w:pPr>
      <w:r>
        <w:t>En efecto, partiendo del presupuesto de que tanto en la vía judicial como en esta jurisdicción de amparo no se ha controvertido la posible imputación subjetiva de este delito a título de dolo eventual y que bastaba para ello asumir la eventualidad de que los fondos vinculados al programa presupuestario 31L fueran objeto de disposición con fines ajenos al que estaban destinados, el elemento a probar en la vía judicial no sería el conocimiento efectivo y actual por parte del demandante de amparo de que había concretos fondos públicos que se estuvieran concediendo sin que existiera un fin público que los justificara o para fines distintos de los previstos, sino tan solo la eventualidad de que pudieran estar siendo concedidos para esos fines ajenos a lo legalmente establecido.</w:t>
      </w:r>
    </w:p>
    <w:p w14:paraId="06E702C1" w14:textId="77777777" w:rsidR="003754FE" w:rsidRDefault="003754FE" w:rsidP="003754FE">
      <w:pPr>
        <w:pStyle w:val="TextoNormal"/>
      </w:pPr>
    </w:p>
    <w:p w14:paraId="5FAC53F9" w14:textId="77777777" w:rsidR="003754FE" w:rsidRDefault="003754FE" w:rsidP="003754FE">
      <w:pPr>
        <w:pStyle w:val="TextoNormal"/>
      </w:pPr>
      <w:r>
        <w:t>(ii) La anterior precisión determina que el control externo a desarrollar por el Tribunal bajo la invocación del derecho a la presunción de inocencia tuviera como objeto verificar que las resoluciones judiciales impugnadas hubieran considerado acreditado no que el demandante de amparo conoció que los fondos vinculados al programa presupuestario 31L, de los que estaba disponiendo mediante la suscripción de los convenios particulares, lo eran con fines ajenos a los que estaban legalmente destinados —lo que hubiera constituido un dolo directo— sino, meramente, que asumió esa eventualidad —lo que constituía un dolo eventual—.</w:t>
      </w:r>
    </w:p>
    <w:p w14:paraId="3443F538" w14:textId="77777777" w:rsidR="003754FE" w:rsidRDefault="003754FE" w:rsidP="003754FE">
      <w:pPr>
        <w:pStyle w:val="TextoNormal"/>
      </w:pPr>
    </w:p>
    <w:p w14:paraId="3418C8DB" w14:textId="77777777" w:rsidR="003754FE" w:rsidRDefault="003754FE" w:rsidP="003754FE">
      <w:pPr>
        <w:pStyle w:val="TextoNormal"/>
      </w:pPr>
      <w:r>
        <w:t xml:space="preserve">A estos efectos, ha sido expuesta con extensión y acierto la jurisprudencia constitucional sobre la prueba de los elementos subjetivos del delito a partir de la llamada prueba indiciaria, conforme a la cual, bajo la invocación del derecho a la presunción de inocencia, lo que </w:t>
      </w:r>
      <w:r>
        <w:lastRenderedPageBreak/>
        <w:t>resulta preciso en el control externo a desarrollar por el Tribunal en la jurisdicción de amparo es verificar (a) que los hechos objetivos base indiciarios están plenamente probados; (b) que el elemento subjetivo se deduce de esos hechos indiciarios base; y (c) la razonabilidad de la inferencia en el sentido de que en la vía judicial se hayan exteriorizado los hechos indiciarios base y se haya explicado el razonamiento de la deducción asentado en las reglas del criterio humano o en las reglas de la experiencia común.</w:t>
      </w:r>
    </w:p>
    <w:p w14:paraId="2C82E99E" w14:textId="77777777" w:rsidR="003754FE" w:rsidRDefault="003754FE" w:rsidP="003754FE">
      <w:pPr>
        <w:pStyle w:val="TextoNormal"/>
      </w:pPr>
    </w:p>
    <w:p w14:paraId="49B3E47B" w14:textId="77777777" w:rsidR="003754FE" w:rsidRDefault="003754FE" w:rsidP="003754FE">
      <w:pPr>
        <w:pStyle w:val="TextoNormal"/>
      </w:pPr>
      <w:r>
        <w:t>No obstante, creo que también es preciso añadir que la jurisprudencia constitucional ha destacado que en la labor de control externo a desarrollar por el Tribunal debe tomarse en consideración que “cuando se aduce la vulneración del derecho a la presunción de inocencia nuestro análisis debe realizarse respecto del conjunto de estos elementos sin que quepa la posibilidad de fragmentar o disgregar esta apreciación probatoria, ni de considerar cada una de las afirmaciones de hecho acreditadas de modo aislado, pues como ya hemos afirmado en no pocas ocasiones no puede realizarse una operación de análisis aislado de los hechos acreditados por el tribunal sentenciador, ni de desagregación de los distintos elementos de prueba, ni de disgregación de la línea argumental llevada a cabo por el Tribunal Supremo [léase por el órgano judicial].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(así, SSTC 133/2014, de 22 de julio, FJ 10, o 146/2014, de 22 de septiembre, FJ 5, con abundantes referencias).</w:t>
      </w:r>
    </w:p>
    <w:p w14:paraId="63BA529C" w14:textId="77777777" w:rsidR="003754FE" w:rsidRDefault="003754FE" w:rsidP="003754FE">
      <w:pPr>
        <w:pStyle w:val="TextoNormal"/>
      </w:pPr>
    </w:p>
    <w:p w14:paraId="27ED04CF" w14:textId="77777777" w:rsidR="003754FE" w:rsidRDefault="003754FE" w:rsidP="003754FE">
      <w:pPr>
        <w:pStyle w:val="TextoNormal"/>
      </w:pPr>
      <w:r>
        <w:t>(iii) Considero, en el mismo sentido que ha sido afirmado por el Ministerio Fiscal en sus alegaciones en el presente recurso de amparo, que las resoluciones judiciales han dado debido cumplimiento a las exigencias derivadas del derecho a la presunción de inocencia al concluir acreditado el elemento subjetivo del delito de malversación en el demandante de amparo a título de dolo eventual —asumir la eventualidad de que los fondos vinculados al programa presupuestario 31L de los que estaba disponiendo mediante la suscripción de los convenios particulares lo estaban siendo con fines ajenos a los que estaban legalmente destinados— a partir de la prueba indiciaria.</w:t>
      </w:r>
    </w:p>
    <w:p w14:paraId="48F5CCFC" w14:textId="77777777" w:rsidR="003754FE" w:rsidRDefault="003754FE" w:rsidP="003754FE">
      <w:pPr>
        <w:pStyle w:val="TextoNormal"/>
      </w:pPr>
    </w:p>
    <w:p w14:paraId="6AE37BE0" w14:textId="77777777" w:rsidR="003754FE" w:rsidRDefault="003754FE" w:rsidP="003754FE">
      <w:pPr>
        <w:pStyle w:val="TextoNormal"/>
      </w:pPr>
      <w:r>
        <w:t>(a) En la vía judicial se ha establecido como un primer hecho objetivo base indiciario plenamente probado que el demandante de amparo, en su condición de director general del IFA/IDEA, en tanto que esta agencia estaba sujeta al control financiero permanente por la Intervención General de la Junta de Andalucía, que se materializaba básicamente en la emisión de tres informes anuales, era uno de los destinatarios de dichos informes.</w:t>
      </w:r>
    </w:p>
    <w:p w14:paraId="035DF4CC" w14:textId="77777777" w:rsidR="003754FE" w:rsidRDefault="003754FE" w:rsidP="003754FE">
      <w:pPr>
        <w:pStyle w:val="TextoNormal"/>
      </w:pPr>
    </w:p>
    <w:p w14:paraId="662A99F8" w14:textId="77777777" w:rsidR="003754FE" w:rsidRDefault="003754FE" w:rsidP="003754FE">
      <w:pPr>
        <w:pStyle w:val="TextoNormal"/>
      </w:pPr>
      <w:r>
        <w:t xml:space="preserve">La sentencia de instancia hace en el apartado noveno de los hechos probados (págs. 62 y ss.) y en el fundamento de Derecho 31 (págs. 1058 y ss.), en el que se abordan singularmente los hechos imputados al demandante de amparo, una relación pormenorizada de esos informes y de las deficiencias e incidencias reflejadas en los mismos, haciendo un especial análisis del informe adicional de ayudas, realizado en el año 2005, que figura como anexo III, dentro del informe de cumplimiento del ejercicio 2003, que incluye “Informe sobre determinados aspectos de la gestión del Instituto de Fomento de Andalucía de los convenios </w:t>
      </w:r>
      <w:r>
        <w:lastRenderedPageBreak/>
        <w:t>suscritos con la Consejería de Empleo y Desarrollo Tecnológico en materia de Trabajo y Seguridad Social”, en el que se relataban numerosas irregularidades.</w:t>
      </w:r>
    </w:p>
    <w:p w14:paraId="3A4BD976" w14:textId="77777777" w:rsidR="003754FE" w:rsidRDefault="003754FE" w:rsidP="003754FE">
      <w:pPr>
        <w:pStyle w:val="TextoNormal"/>
      </w:pPr>
    </w:p>
    <w:p w14:paraId="556E28D2" w14:textId="77777777" w:rsidR="003754FE" w:rsidRDefault="003754FE" w:rsidP="003754FE">
      <w:pPr>
        <w:pStyle w:val="TextoNormal"/>
      </w:pPr>
      <w:r>
        <w:t>A partir del contenido de ese informe, la sentencia de instancia, al valorar la concurrencia de dolo eventual en el delito de malversación, contando ya con el resultado de los informes periciales practicados en la vista oral sobre la totalidad de los convenios particulares suscritos por el IFA/IDEA, afirma que la circunstancia de que se pudieran hacer pagos completamente ajenos al interés público o con fines diversos sin relación alguna con las ayudas sociolaborales o dirigidos a empresas sospechosas de haberse constituido exclusivamente para el cobro de las ayudas, careciendo incluso de trabajadores, “ya [se] advertía [por] la Intervención en sus informes”, reiterando algunas de las deficiencias e irregularidades que se ponían de manifiesto en el informe adicional al de cumplimiento de 2003 (págs. 1721 y ss.).</w:t>
      </w:r>
    </w:p>
    <w:p w14:paraId="4E76A8FC" w14:textId="77777777" w:rsidR="003754FE" w:rsidRDefault="003754FE" w:rsidP="003754FE">
      <w:pPr>
        <w:pStyle w:val="TextoNormal"/>
      </w:pPr>
    </w:p>
    <w:p w14:paraId="471C1CCD" w14:textId="77777777" w:rsidR="003754FE" w:rsidRDefault="003754FE" w:rsidP="003754FE">
      <w:pPr>
        <w:pStyle w:val="TextoNormal"/>
      </w:pPr>
      <w:r>
        <w:t>(b) En la vía judicial se hace mención, como un segundo hecho objetivo base indiciario plenamente probado, a que el demandante de amparo, en su condición de director general del IFA/IDEA, tenía la responsabilidad de formular las cuentas anuales de la agencia, que bien firmaba el presidente de la agencia bien el demandante de amparo, y de participar en las reuniones de su consejo rector.</w:t>
      </w:r>
    </w:p>
    <w:p w14:paraId="6B59B49A" w14:textId="77777777" w:rsidR="003754FE" w:rsidRDefault="003754FE" w:rsidP="003754FE">
      <w:pPr>
        <w:pStyle w:val="TextoNormal"/>
      </w:pPr>
    </w:p>
    <w:p w14:paraId="38AFBCA8" w14:textId="77777777" w:rsidR="003754FE" w:rsidRDefault="003754FE" w:rsidP="003754FE">
      <w:pPr>
        <w:pStyle w:val="TextoNormal"/>
      </w:pPr>
      <w:r>
        <w:t>La sentencia de instancia hace en el apartado noveno de los hechos probados (págs. 62 y ss.) y en el fundamento de Derecho 31 (págs. 1058 y ss.), en el que se abordan singularmente los hechos imputados al demandante de amparo, una relación pormenorizada de las incidencias contables, incluyendo que los pagos derivados de los convenios particulares, cuyo importe llegaba vía transferencia de financiación, se contabilizaban en el apartado “otros gastos de explotación” y, por tanto, como gastos ficticios; y que, estando sometidas las cuentas a informes de auditoría externa, en estos se destacaba la incertidumbre sobre el abono de las cantidades que mantenía en descubierto, al exceder los compromisos asumidos en los convenios, con la cantidad efectivamente recibida en la agencia, vía transferencia de financiación; dirigiendo al respecto el demandante de amparo una carta al director general de Trabajo exigiendo que se pusiera solución a este problema, precisando que consideraba necesario que tal solución pasara por la aprobación del secretario general técnico de Empleo. Igualmente se destacaba cómo en el acta de una reunión del consejo rector consta la adopción de un acuerdo provisional para someterlo a la ratificación del Consejo de Gobierno en relación con la autorización de la firma de un convenio de colaboración entre IDEA y la Dirección General de Trabajo y Seguridad Social en el que se encomienda a aquella el abono de la subvención excepcional a una empresa por importe de 3 800 000 €, que según se constató en la prueba pericial practicada no constaba en la documentación examinada que se hubiera remitido a dicha ratificación.</w:t>
      </w:r>
    </w:p>
    <w:p w14:paraId="200B04CD" w14:textId="77777777" w:rsidR="003754FE" w:rsidRDefault="003754FE" w:rsidP="003754FE">
      <w:pPr>
        <w:pStyle w:val="TextoNormal"/>
      </w:pPr>
    </w:p>
    <w:p w14:paraId="39571359" w14:textId="77777777" w:rsidR="003754FE" w:rsidRDefault="003754FE" w:rsidP="003754FE">
      <w:pPr>
        <w:pStyle w:val="TextoNormal"/>
      </w:pPr>
      <w:r>
        <w:t xml:space="preserve">A partir de estos hechos probados, la sentencia de instancia, al valorar la concurrencia de dolo eventual en el delito de malversación, afirma que “el acusado era plenamente consciente de la palmaria ilegalidad de los actos en los que participó, relatados en los hechos probados. Asumiendo la eventualidad de que los fondos vinculados al programa 31L fueran objeto de disposición con fines ajenos al fin público al que estaban destinados” (págs. 1066 y 1067). A esos efectos, se insiste en la sentencia de instancia en que “respecto a los desembolsos con ausencia total de controles, que revela una indiferencia hacia la alta probabilidad de que lo que ya era un despilfarro pasase a ser una malversación. Consta en la causa la existencia del déficit o desfases presupuestarios, originados precisamente porque se </w:t>
      </w:r>
      <w:r>
        <w:lastRenderedPageBreak/>
        <w:t>contraían obligaciones al margen de la cobertura presupuestaria, lo que era posible porque se concedían subvenciones al margen del procedimiento legalmente establecido y sin control alguno, al haberse soslayado la fiscalización” (págs. 1732 y 1733).</w:t>
      </w:r>
    </w:p>
    <w:p w14:paraId="504FD959" w14:textId="77777777" w:rsidR="003754FE" w:rsidRDefault="003754FE" w:rsidP="003754FE">
      <w:pPr>
        <w:pStyle w:val="TextoNormal"/>
      </w:pPr>
    </w:p>
    <w:p w14:paraId="52A15294" w14:textId="77777777" w:rsidR="003754FE" w:rsidRDefault="003754FE" w:rsidP="003754FE">
      <w:pPr>
        <w:pStyle w:val="TextoNormal"/>
      </w:pPr>
      <w:r>
        <w:t>(c) En definitiva, cabe apreciar que, en la vía judicial, a partir de esos hechos objetivos base, se ha inferido que el demandante de amparo asumió la eventualidad de que hubiera fondos vinculados al programa presupuestario 31L de los que estaba disponiendo mediante la suscripción de los convenios particulares que lo fueran con fines ajenos a los que estaban legalmente destinados.</w:t>
      </w:r>
    </w:p>
    <w:p w14:paraId="556AF2D4" w14:textId="77777777" w:rsidR="003754FE" w:rsidRDefault="003754FE" w:rsidP="003754FE">
      <w:pPr>
        <w:pStyle w:val="TextoNormal"/>
      </w:pPr>
    </w:p>
    <w:p w14:paraId="27D9563F" w14:textId="77777777" w:rsidR="003754FE" w:rsidRDefault="003754FE" w:rsidP="003754FE">
      <w:pPr>
        <w:pStyle w:val="TextoNormal"/>
      </w:pPr>
      <w:r>
        <w:t>Esa inferencia se sustenta, en el plano abstracto, en la regla de experiencia de que quien conoce suficientemente el peligro concreto generado por su acción y, sin embargo, actúa conscientemente, obra con dolo pues sabe lo que hace, y de dicho conocimiento y actuación puede inferirse racionalmente su aceptación del resultado; y en el plano concreto, en que el demandante de amparo, al autorizar los pagos y permitir la actuación de la agencia de la que era director en el sistema creado para la gestión de estas ayudas, conociendo la forma en que se gestionaban, asumía el riesgo de menoscabo de los caudales públicos, aceptando ese riesgo sin adoptar, pudiendo hacerlo, medida alguna para ponerle fin o para no contribuir a su mantenimiento (así, fundamento de Derecho 140, pág. 1046, de la sentencia de casación).</w:t>
      </w:r>
    </w:p>
    <w:p w14:paraId="26665B84" w14:textId="77777777" w:rsidR="003754FE" w:rsidRDefault="003754FE" w:rsidP="003754FE">
      <w:pPr>
        <w:pStyle w:val="TextoNormal"/>
      </w:pPr>
    </w:p>
    <w:p w14:paraId="3DDBA9EA" w14:textId="77777777" w:rsidR="003754FE" w:rsidRDefault="003754FE" w:rsidP="003754FE">
      <w:pPr>
        <w:pStyle w:val="TextoNormal"/>
      </w:pPr>
      <w:r>
        <w:t>(iv) Por tanto, desde la perspectiva del control externo que es propio de la jurisdicción de amparo, globalmente considerada la prueba practicada y la inferencia derivada de la misma respecto de la concurrencia del elemento subjetivo del delito de malversación tal como había sido configurado legalmente en la vía judicial, que admitía la imputación subjetiva a título de dolo eventual, entiendo que tampoco resulta adecuado concluir que las resoluciones judiciales hayan desatendido la exigencias del derecho fundamental a la presunción de inocencia sobre ese particular, en la medida en que la inferencia alcanzada de que el demandante de amparo actuó asumiendo la eventualidad de que los fondos vinculados al programa presupuestario 31L estuvieran siendo dispuestos con fines ajenos a los que estaban legalmente destinados responde a las reglas del criterio humano o a las reglas de la experiencia común.</w:t>
      </w:r>
    </w:p>
    <w:p w14:paraId="69692DB7" w14:textId="77777777" w:rsidR="003754FE" w:rsidRDefault="003754FE" w:rsidP="003754FE">
      <w:pPr>
        <w:pStyle w:val="TextoNormal"/>
      </w:pPr>
    </w:p>
    <w:p w14:paraId="35C97B40" w14:textId="030BA1DF" w:rsidR="003754FE" w:rsidRDefault="003754FE" w:rsidP="003754FE">
      <w:pPr>
        <w:pStyle w:val="TextoNormal"/>
      </w:pPr>
      <w:r>
        <w:t>Madrid, a dos de julio de dos mil veinticuatro.</w:t>
      </w:r>
    </w:p>
    <w:p w14:paraId="6C1C3E8A" w14:textId="77777777" w:rsidR="003754FE" w:rsidRDefault="003754FE" w:rsidP="003754FE">
      <w:pPr>
        <w:pStyle w:val="TextoNormal"/>
      </w:pPr>
    </w:p>
    <w:p w14:paraId="428E54A5" w14:textId="77777777" w:rsidR="003754FE" w:rsidRDefault="003754FE" w:rsidP="003754FE">
      <w:pPr>
        <w:pStyle w:val="TextoNormalNegritaCentrado"/>
        <w:keepNext/>
      </w:pPr>
      <w:r>
        <w:t>Voto particular conjunto que formulan los magistrados don César Tolosa Tribiño y doña Concepción Espejel Jorquera a la sentencia dictada en el recurso de amparo núm. 2136-2023 interpuesto por don Miguel Ángel Serrano Aguilar</w:t>
      </w:r>
    </w:p>
    <w:p w14:paraId="71FA718F" w14:textId="2FE36B0B" w:rsidR="003754FE" w:rsidRDefault="003754FE" w:rsidP="003754FE">
      <w:pPr>
        <w:pStyle w:val="TextoNormalNegritaCentrado"/>
        <w:keepNext/>
      </w:pPr>
    </w:p>
    <w:p w14:paraId="0F8E216C" w14:textId="77777777" w:rsidR="003754FE" w:rsidRDefault="003754FE" w:rsidP="003754FE">
      <w:pPr>
        <w:pStyle w:val="TextoNormal"/>
      </w:pPr>
      <w:r>
        <w:t>En el ejercicio de la facultad que nos confiere el artículo 90.2 de la Ley Orgánica del Tribunal Constitucional, formulamos el presente voto particular. Consideramos que el recurso de amparo debió ser inicialmente inadmitido —como se expuso en el voto particular al ATC 288/2023, de 5 de junio— y una vez admitido desestimado, por las razones que se exponen a continuación.</w:t>
      </w:r>
    </w:p>
    <w:p w14:paraId="02DF1284" w14:textId="77777777" w:rsidR="003754FE" w:rsidRDefault="003754FE" w:rsidP="003754FE">
      <w:pPr>
        <w:pStyle w:val="TextoNormal"/>
      </w:pPr>
    </w:p>
    <w:p w14:paraId="40DFC757" w14:textId="77777777" w:rsidR="003754FE" w:rsidRDefault="003754FE" w:rsidP="003754FE">
      <w:pPr>
        <w:pStyle w:val="TextoNormal"/>
      </w:pPr>
      <w:r>
        <w:t xml:space="preserve">La presente sentencia se construye argumentalmente aplicando el razonamiento contenido en la STC 93/2024, de 19 de junio, que resolvió el recurso de amparo interpuesto por </w:t>
      </w:r>
      <w:r>
        <w:lastRenderedPageBreak/>
        <w:t>doña Magdalena Álvarez Arza (recurso de amparo 6971-2022) junto con el que se contiene en las ponencias incluidas en el mismo orden del día, que resuelven los recursos de amparo interpuestos por don Antonio Fernández García (recurso de amparo 2348-2023), don Francisco Vallejo Serrano (recurso de amparo 2360-2023), don Jesús María Rodríguez Román (recurso de amparo 2361-2023) y doña Carmen Martínez Aguayo (recurso de amparo 2391-2023), en los que se reconoce bien exclusivamente la vulneración del derecho a la legalidad penal —en relación con el delito de prevaricación administrativa y/o el de malversación— y/o también la del derecho a la presunción de inocencia.</w:t>
      </w:r>
    </w:p>
    <w:p w14:paraId="68968B70" w14:textId="77777777" w:rsidR="003754FE" w:rsidRDefault="003754FE" w:rsidP="003754FE">
      <w:pPr>
        <w:pStyle w:val="TextoNormal"/>
      </w:pPr>
    </w:p>
    <w:p w14:paraId="49CBB5E2" w14:textId="77777777" w:rsidR="003754FE" w:rsidRDefault="003754FE" w:rsidP="003754FE">
      <w:pPr>
        <w:pStyle w:val="TextoNormal"/>
      </w:pPr>
      <w:r>
        <w:t xml:space="preserve">1. </w:t>
      </w:r>
      <w:r w:rsidRPr="003754FE">
        <w:rPr>
          <w:i/>
        </w:rPr>
        <w:t>Consideraciones comunes a las sentencias que resuelven los indicados recursos de amparo frente a las condenas recaídas en el conocido caso de los “ERE”</w:t>
      </w:r>
    </w:p>
    <w:p w14:paraId="4D6C4A20" w14:textId="77777777" w:rsidR="003754FE" w:rsidRDefault="003754FE" w:rsidP="003754FE">
      <w:pPr>
        <w:pStyle w:val="TextoNormal"/>
      </w:pPr>
    </w:p>
    <w:p w14:paraId="44A32180" w14:textId="77777777" w:rsidR="003754FE" w:rsidRDefault="003754FE" w:rsidP="003754FE">
      <w:pPr>
        <w:pStyle w:val="TextoNormal"/>
      </w:pPr>
      <w:r>
        <w:t>a) Debe indicarse que todas las sentencias que resuelven los referidos recursos de amparo relativos a las condenas por los denominados “ERE”, dan una respuesta estandarizada cuando se enfrentan a la vulneración del derecho a la legalidad penal (art. 25.1 CE) sea en su proyección a las condenas por prevaricación o por malversación y ello con independencia del contenido de las demandas e incluso prescindiendo de que tal derecho haya sido o no invocado. Existe una predeterminación argumental que margina el contenido de los recursos, se desvincula de los mismos, los orilla, procediendo incluso en relación con la vulneración del derecho a la legalidad penal a proyectar sobre el delito de malversación de caudales públicos una prohibida reconstrucción del recurso o directamente a dar respuesta a un planteamiento inexistente. Se incumple la acrisolada doctrina constitucional por la que se prohíbe la reconstrucción de oficio de la demanda y de modo expreso suplir las razones del recurrente o efectuar una labor de integración de las mismas cuando no se aportan al recurso (SSTC 123/2006, de 24 de abril, FJ 3; 196/2006, de 3 de julio, FJ 3; 74/2007, de 16 de abril, FJ 2; 42/2008, de 10 de marzo, FJ 2, y 182/2009, de 7 de septiembre, FJ 2).</w:t>
      </w:r>
    </w:p>
    <w:p w14:paraId="2A25035B" w14:textId="77777777" w:rsidR="003754FE" w:rsidRDefault="003754FE" w:rsidP="003754FE">
      <w:pPr>
        <w:pStyle w:val="TextoNormal"/>
      </w:pPr>
    </w:p>
    <w:p w14:paraId="070CEC4B" w14:textId="77777777" w:rsidR="003754FE" w:rsidRDefault="003754FE" w:rsidP="003754FE">
      <w:pPr>
        <w:pStyle w:val="TextoNormal"/>
      </w:pPr>
      <w:r>
        <w:t>Las sentencias, en los motivos de amparo que estiman, efectúan una revisión de oficio de las sentencias del Tribunal Supremo desvinculándose de los argumentos de los recurrentes.</w:t>
      </w:r>
    </w:p>
    <w:p w14:paraId="2993D318" w14:textId="77777777" w:rsidR="003754FE" w:rsidRDefault="003754FE" w:rsidP="003754FE">
      <w:pPr>
        <w:pStyle w:val="TextoNormal"/>
      </w:pPr>
    </w:p>
    <w:p w14:paraId="61270DF1" w14:textId="77777777" w:rsidR="003754FE" w:rsidRDefault="003754FE" w:rsidP="003754FE">
      <w:pPr>
        <w:pStyle w:val="TextoNormal"/>
      </w:pPr>
      <w:r>
        <w:t xml:space="preserve">b) La doctrina plasmada en las sentencias produce el resultado de exonerar de responsabilidad a los miembros del Gobierno de la Junta de Andalucía en todo lo concerniente a la elaboración, aprobación y ejecución de los presupuestos y a las enmiendas presupuestarias o su ejecución. Los declara </w:t>
      </w:r>
      <w:r w:rsidRPr="003754FE">
        <w:rPr>
          <w:i/>
        </w:rPr>
        <w:t>de facto</w:t>
      </w:r>
      <w:r>
        <w:t xml:space="preserve"> irresponsables y extiende sobre ellos un privilegio de inviolabilidad e inmunidad. La consecuencia de dicha doctrina es la estimación de todas las demandas de amparo y seguramente ocasionará el archivo de buena parte del centenar de piezas separadas que se encuentran pendientes de enjuiciamiento.</w:t>
      </w:r>
    </w:p>
    <w:p w14:paraId="137AD3D8" w14:textId="77777777" w:rsidR="003754FE" w:rsidRDefault="003754FE" w:rsidP="003754FE">
      <w:pPr>
        <w:pStyle w:val="TextoNormal"/>
      </w:pPr>
    </w:p>
    <w:p w14:paraId="4478387D" w14:textId="77777777" w:rsidR="003754FE" w:rsidRDefault="003754FE" w:rsidP="003754FE">
      <w:pPr>
        <w:pStyle w:val="TextoNormal"/>
      </w:pPr>
      <w:r>
        <w:t xml:space="preserve">c) Tal doctrina es inasumible pues deja al margen de todo control aquello que tenga que ver con la actividad presupuestaria desde la fase inicial de elaboración de los presupuestos a la fase final de su ejecución. Con ello se desprotege la indemnidad del patrimonio público, el correcto funcionamiento de la actividad patrimonial del Estado, la confianza de la sociedad en el manejo honesto de los fondos públicos, los deberes de fidelidad y transparencia que tienen los funcionarios públicos a cuyo cargo se encuentran los bienes de la administración pública. Dicha doctrina incumple las exigencias internacionales de lucha contra la corrupción política y cuando tenga proyección en la protección de los intereses financieros de la Unión Europea producirá un incumplimiento de las obligaciones de España, incompatible </w:t>
      </w:r>
      <w:r>
        <w:lastRenderedPageBreak/>
        <w:t xml:space="preserve">con lo dispuesto en el artículo 325.1 del Tratado de funcionamiento de la Unión Europea, de luchar contra el fraude y contra toda actividad ilegal que afecte a los intereses financieros de la Unión, de prevenir y combatir la corrupción en general y de prever la aplicación de sanciones eficaces y disuasorias en caso de que tales infracciones se produzcan (SSTJUE de 21 de diciembre de 2021, </w:t>
      </w:r>
      <w:r w:rsidRPr="003754FE">
        <w:rPr>
          <w:i/>
        </w:rPr>
        <w:t>Euro Box Promotion</w:t>
      </w:r>
      <w:r>
        <w:t xml:space="preserve">, asunto C-357/19, § 184-187 y 193-194, y de 24 de julio de 2023, </w:t>
      </w:r>
      <w:r w:rsidRPr="003754FE">
        <w:rPr>
          <w:i/>
        </w:rPr>
        <w:t>Lin</w:t>
      </w:r>
      <w:r>
        <w:t xml:space="preserve">, asunto C-107/23 PPU, § 83-84, 86, y 91-94, y auto de la Sala Sexta del Tribunal de Justicia de la Unión Europea, de 7 de noviembre de 2022, </w:t>
      </w:r>
      <w:r w:rsidRPr="003754FE">
        <w:rPr>
          <w:i/>
        </w:rPr>
        <w:t>FX y otros</w:t>
      </w:r>
      <w:r>
        <w:t>, asuntos acumulados C‑859/19, C‑926/19 y C‑929/19, § 92).</w:t>
      </w:r>
    </w:p>
    <w:p w14:paraId="709A8B3B" w14:textId="77777777" w:rsidR="003754FE" w:rsidRDefault="003754FE" w:rsidP="003754FE">
      <w:pPr>
        <w:pStyle w:val="TextoNormal"/>
      </w:pPr>
    </w:p>
    <w:p w14:paraId="104DE279" w14:textId="77777777" w:rsidR="003754FE" w:rsidRDefault="003754FE" w:rsidP="003754FE">
      <w:pPr>
        <w:pStyle w:val="TextoNormal"/>
      </w:pPr>
      <w:r>
        <w:t>d) La impunidad que establece la sentencia se aplica: (i) a quienes elaboraron los proyectos de ley o las modificaciones presupuestarias para provisionar fondos al IFA/IDEA mediante un instrumento lícito, las “transferencias de financiación”, con la finalidad de preparar el camino para que otros miembros del Gobierno pudieran destinar tales provisiones a fines no previstos en el presupuesto, las “ayudas sociolaborales”; (ii) a quienes al ejecutar el programa presupuestario en lugar de aplicar los fondos a gastos de explotación dispusieron de los mismos de modo libérrimo como si fueran propios o permitieron conscientemente, teniendo la obligación de impedirlo, que otros efectuaran tales disposiciones.</w:t>
      </w:r>
    </w:p>
    <w:p w14:paraId="72EF7281" w14:textId="77777777" w:rsidR="003754FE" w:rsidRDefault="003754FE" w:rsidP="003754FE">
      <w:pPr>
        <w:pStyle w:val="TextoNormal"/>
      </w:pPr>
    </w:p>
    <w:p w14:paraId="11E7917B" w14:textId="77777777" w:rsidR="003754FE" w:rsidRDefault="003754FE" w:rsidP="003754FE">
      <w:pPr>
        <w:pStyle w:val="TextoNormal"/>
      </w:pPr>
      <w:r>
        <w:t xml:space="preserve">e) En todos los casos esa irresponsabilidad e imposibilidad de control se apoya en una construcción artificiosa a modo de </w:t>
      </w:r>
      <w:r w:rsidRPr="003754FE">
        <w:rPr>
          <w:i/>
        </w:rPr>
        <w:t>mantra</w:t>
      </w:r>
      <w:r>
        <w:t xml:space="preserve"> jurídico que carece de sustento racional y de apoyo en la sentencia del Tribunal Supremo y que se repite en todas las sentencias como piedra angular para afirmar la vulneración del derecho a la legalidad penal: quien obra amparado por la ley de presupuestos no puede prevaricar ni puede malversar caudales públicos.</w:t>
      </w:r>
    </w:p>
    <w:p w14:paraId="4AD5CC57" w14:textId="77777777" w:rsidR="003754FE" w:rsidRDefault="003754FE" w:rsidP="003754FE">
      <w:pPr>
        <w:pStyle w:val="TextoNormal"/>
      </w:pPr>
    </w:p>
    <w:p w14:paraId="26597B64" w14:textId="77777777" w:rsidR="003754FE" w:rsidRDefault="003754FE" w:rsidP="003754FE">
      <w:pPr>
        <w:pStyle w:val="TextoNormal"/>
      </w:pPr>
      <w:r>
        <w:t>Sin embargo, ninguno de los condenados estaba amparado por las sucesivas leyes de presupuestos para cometer los delitos. Las leyes no delinquieron, eran neutras en la previsión de transferencias de financiación para gastos de explotación. Quienes delinquieron fueron quienes previeron las trasferencias de financiación de modo innecesario con la idea de que otros tuvieran recursos para destinarlos a fines ajenos a los presupuestados. Así lo afirma el Tribunal Supremo cuando indica que la actuación de desvío de fondos no venía obligada por los presupuestos. O cuando refiere que “no puede afirmarse que [el Parlamento]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w:t>
      </w:r>
    </w:p>
    <w:p w14:paraId="06C55724" w14:textId="77777777" w:rsidR="003754FE" w:rsidRDefault="003754FE" w:rsidP="003754FE">
      <w:pPr>
        <w:pStyle w:val="TextoNormal"/>
      </w:pPr>
    </w:p>
    <w:p w14:paraId="048611E0" w14:textId="77777777" w:rsidR="003754FE" w:rsidRDefault="003754FE" w:rsidP="003754FE">
      <w:pPr>
        <w:pStyle w:val="TextoNormal"/>
      </w:pPr>
      <w:r>
        <w:t xml:space="preserve">f) Ese mismo </w:t>
      </w:r>
      <w:r w:rsidRPr="003754FE">
        <w:rPr>
          <w:i/>
        </w:rPr>
        <w:t>mantra</w:t>
      </w:r>
      <w:r>
        <w:t xml:space="preserve"> jurídico sirve de modo inconsistente para distinguir, a los efectos de resolver la vulneración del derecho a la legalidad penal, entre aquellas modificaciones presupuestarias o disposiciones de fondos según tuvieran o no amparo en el sistema de presupuestación del programa 31L. Como se ha indicado el mencionado programa no determinaba que las trasferencias de financiación con que el mismo se dotaba pudieran destinarse a fines distintos a los de gastos de explotación.</w:t>
      </w:r>
    </w:p>
    <w:p w14:paraId="108582A1" w14:textId="77777777" w:rsidR="003754FE" w:rsidRDefault="003754FE" w:rsidP="003754FE">
      <w:pPr>
        <w:pStyle w:val="TextoNormal"/>
      </w:pPr>
    </w:p>
    <w:p w14:paraId="6C5807DF" w14:textId="77777777" w:rsidR="003754FE" w:rsidRDefault="003754FE" w:rsidP="003754FE">
      <w:pPr>
        <w:pStyle w:val="TextoNormal"/>
      </w:pPr>
      <w:r>
        <w:t xml:space="preserve">g) Puede considerarse común a todas las sentencias que con el pretexto de enjuiciar la vulneración del derecho a la legalidad penal irrumpen en el ámbito reservado a la jurisdicción ordinaria y suplantan la función del Tribunal Supremo como máximo intérprete de la ley (art. 123 CE) erigiéndose de este modo el Tribunal Constitucional en Tribunal de </w:t>
      </w:r>
      <w:r>
        <w:lastRenderedPageBreak/>
        <w:t>Casación al interpretar el concepto de “resolución” y de “asunto administrativo”. Y también es común a todas ellas que con un entendimiento indebido del enjuiciamiento que le corresponde al Tribunal Constitucional en relación con el derecho a la presunción de inocencia, se apartan de la acrisolada doctrina de este tribunal y revisa, conforme a criterios de calidad o de oportunidad, la valoración probatoria de los tribunales ordinarios para reelaborarla previa selección sesgada del acervo probatorio, convirtiéndose de este modo en tribunal de apelación.</w:t>
      </w:r>
    </w:p>
    <w:p w14:paraId="234AEE1D" w14:textId="77777777" w:rsidR="003754FE" w:rsidRDefault="003754FE" w:rsidP="003754FE">
      <w:pPr>
        <w:pStyle w:val="TextoNormal"/>
      </w:pPr>
    </w:p>
    <w:p w14:paraId="3578B068" w14:textId="77777777" w:rsidR="003754FE" w:rsidRDefault="003754FE" w:rsidP="003754FE">
      <w:pPr>
        <w:pStyle w:val="TextoNormal"/>
      </w:pPr>
      <w:r>
        <w:t>h) Y finalmente, como consecuencia de todo ello, las sentencias ocasionan un daño institucional difícilmente reparable, pues para anular las condenas recaídas en el asunto de corrupción más importante de la historia reciente de España rectifican por primera vez desde que el Tribunal Constitucional entró en funcionamiento el criterio del Tribunal Supremo en la interpretación de un elemento recogido en la descripción de la conducta típica, sustituyen la valoración probatoria efectuada por los órganos judiciales y dejan al margen de todo control el proceso de elaboración, modificación y ejecución presupuestaria.</w:t>
      </w:r>
    </w:p>
    <w:p w14:paraId="123ACD39" w14:textId="77777777" w:rsidR="003754FE" w:rsidRDefault="003754FE" w:rsidP="003754FE">
      <w:pPr>
        <w:pStyle w:val="TextoNormal"/>
      </w:pPr>
    </w:p>
    <w:p w14:paraId="19D6A1BF" w14:textId="77777777" w:rsidR="003754FE" w:rsidRDefault="003754FE" w:rsidP="003754FE">
      <w:pPr>
        <w:pStyle w:val="TextoNormal"/>
      </w:pPr>
      <w:r>
        <w:t xml:space="preserve">2. </w:t>
      </w:r>
      <w:r w:rsidRPr="003754FE">
        <w:rPr>
          <w:i/>
        </w:rPr>
        <w:t>Contenido de la sentencia del Tribunal Supremo como respuesta al planteamiento del recurrente en el recurso de casación</w:t>
      </w:r>
    </w:p>
    <w:p w14:paraId="7BBDA06C" w14:textId="77777777" w:rsidR="003754FE" w:rsidRDefault="003754FE" w:rsidP="003754FE">
      <w:pPr>
        <w:pStyle w:val="TextoNormal"/>
      </w:pPr>
    </w:p>
    <w:p w14:paraId="4292C801" w14:textId="77777777" w:rsidR="003754FE" w:rsidRDefault="003754FE" w:rsidP="003754FE">
      <w:pPr>
        <w:pStyle w:val="TextoNormal"/>
      </w:pPr>
      <w:r>
        <w:t>En segundo lugar, el deber de respeto institucional a la plausible labor desempeñada por la Sala de lo Penal del Tribunal Supremo y la exigencia de poner en el primer plano —que es donde merecen estar y exige el examen metodológico de la vulneración del principio de legalidad penal— los argumentos que llevan al Tribunal Supremo en su sentencia 749/2022, de 13 de septiembre, a calificar la conducta del recurrente de delito continuado de prevaricación administrativa en concurso medial con un delito continuado de malversación de caudales públicos, obligarían a suplir la injustificada omisión de la sentencia y a sintetizar las sólidas razones que el Tribunal Supremo dedica en el apartado VI de los fundamentos de Derecho, a lo largo de noventa páginas, con la rúbrica “Juicio de tipicidad del delito de prevaricación administrativa”, páginas 220 a 310; en el apartado VII, a lo largo de cincuenta y tres páginas, con la rúbrica “Juicio de tipicidad del delito de malversación de caudales públicos”, páginas 310 a 363; y en el apartado VIII al “Juicio de autoría”, páginas 364 a 373.</w:t>
      </w:r>
    </w:p>
    <w:p w14:paraId="36D74E85" w14:textId="77777777" w:rsidR="003754FE" w:rsidRDefault="003754FE" w:rsidP="003754FE">
      <w:pPr>
        <w:pStyle w:val="TextoNormal"/>
      </w:pPr>
    </w:p>
    <w:p w14:paraId="2FF99D39" w14:textId="77777777" w:rsidR="003754FE" w:rsidRDefault="003754FE" w:rsidP="003754FE">
      <w:pPr>
        <w:pStyle w:val="TextoNormal"/>
      </w:pPr>
      <w:r>
        <w:t>Su mera lectura evidencia por sí sola la razón del desencuentro con la sentencia que resuelve el recurso de amparo y el incomprensible silencio que sobre su contenido se guarda en los antecedentes. Sin embargo, las características de concisión que debe contener un voto particular, mal que nos pese, impiden que podamos exponerlas, debiendo remitirnos directamente a su contenido fácilmente accesible, sin perjuicio de referirnos a sus fundamentos al exponer nuestra discrepancia con la sentencia que resuelve el recurso de amparo.</w:t>
      </w:r>
    </w:p>
    <w:p w14:paraId="31B652CC" w14:textId="77777777" w:rsidR="003754FE" w:rsidRDefault="003754FE" w:rsidP="003754FE">
      <w:pPr>
        <w:pStyle w:val="TextoNormal"/>
      </w:pPr>
    </w:p>
    <w:p w14:paraId="3A28185E" w14:textId="77777777" w:rsidR="003754FE" w:rsidRDefault="003754FE" w:rsidP="003754FE">
      <w:pPr>
        <w:pStyle w:val="TextoNormal"/>
      </w:pPr>
      <w:r>
        <w:t xml:space="preserve">3. </w:t>
      </w:r>
      <w:r w:rsidRPr="003754FE">
        <w:rPr>
          <w:i/>
        </w:rPr>
        <w:t>Contenido y alcance del principio de legalidad penal y su incidencia en los pronunciamientos del Tribunal Constitucional</w:t>
      </w:r>
    </w:p>
    <w:p w14:paraId="1D49B65D" w14:textId="77777777" w:rsidR="003754FE" w:rsidRDefault="003754FE" w:rsidP="003754FE">
      <w:pPr>
        <w:pStyle w:val="TextoNormal"/>
      </w:pPr>
    </w:p>
    <w:p w14:paraId="1CBDF2CE" w14:textId="77777777" w:rsidR="003754FE" w:rsidRDefault="003754FE" w:rsidP="003754FE">
      <w:pPr>
        <w:pStyle w:val="TextoNormal"/>
      </w:pPr>
      <w:r>
        <w:t xml:space="preserve">3.1. </w:t>
      </w:r>
      <w:r w:rsidRPr="003754FE">
        <w:rPr>
          <w:i/>
        </w:rPr>
        <w:t>Contenido del principio de legalidad penal</w:t>
      </w:r>
    </w:p>
    <w:p w14:paraId="512E63A4" w14:textId="77777777" w:rsidR="003754FE" w:rsidRDefault="003754FE" w:rsidP="003754FE">
      <w:pPr>
        <w:pStyle w:val="TextoNormal"/>
      </w:pPr>
    </w:p>
    <w:p w14:paraId="65FC5F5A" w14:textId="77777777" w:rsidR="003754FE" w:rsidRDefault="003754FE" w:rsidP="003754FE">
      <w:pPr>
        <w:pStyle w:val="TextoNormal"/>
      </w:pPr>
      <w:r>
        <w:t>Es preciso ahora examinar cuál es la doctrina sobre el derecho a la legalidad penal (art. 25.1 CE) que la sentencia aborda en su fundamento jurídico 3, al que nos remitimos al compartir su exposición. Debemos destacar de dicha doctrina tres aspectos:</w:t>
      </w:r>
    </w:p>
    <w:p w14:paraId="23DCC1A4" w14:textId="77777777" w:rsidR="003754FE" w:rsidRDefault="003754FE" w:rsidP="003754FE">
      <w:pPr>
        <w:pStyle w:val="TextoNormal"/>
      </w:pPr>
    </w:p>
    <w:p w14:paraId="23FC875A" w14:textId="77777777" w:rsidR="003754FE" w:rsidRDefault="003754FE" w:rsidP="003754FE">
      <w:pPr>
        <w:pStyle w:val="TextoNormal"/>
      </w:pPr>
      <w:r>
        <w:t>a) El fundamento plural del principio de legalidad: la seguridad jurídica y la previsibilidad de las consecuencias jurídicas de los actos a fin de garantizar al ciudadano un ámbito de libertad de actuación.</w:t>
      </w:r>
    </w:p>
    <w:p w14:paraId="43C9D493" w14:textId="77777777" w:rsidR="003754FE" w:rsidRDefault="003754FE" w:rsidP="003754FE">
      <w:pPr>
        <w:pStyle w:val="TextoNormal"/>
      </w:pPr>
    </w:p>
    <w:p w14:paraId="345EFAA3" w14:textId="77777777" w:rsidR="003754FE" w:rsidRDefault="003754FE" w:rsidP="003754FE">
      <w:pPr>
        <w:pStyle w:val="TextoNormal"/>
      </w:pPr>
      <w:r>
        <w:t xml:space="preserve">b) Su proyección sobre los jueces y tribunales que deben aplicar la norma sancionadora, que se concreta en la prohibición de aplicarla a casos no comprendidos en ella realizando una subsunción irrazonable. De modo que queda excluida la analogía </w:t>
      </w:r>
      <w:r w:rsidRPr="003754FE">
        <w:rPr>
          <w:i/>
        </w:rPr>
        <w:t>in malam partem</w:t>
      </w:r>
      <w:r>
        <w:t xml:space="preserve"> y las interpretaciones extensivas de la norma en tanto exegesis y aplicación de las normas fuera de los supuestos que las mismas determinan. Por otra parte, exige que la aplicación metodológica de la norma no incurra en quiebras lógicas o se aparte de modelos de argumentación aceptados por la comunidad jurídica y que desde un punto de vista axiológico su aplicación se corresponda con pautas valorativas que informa el texto constitucional.</w:t>
      </w:r>
    </w:p>
    <w:p w14:paraId="42288CB1" w14:textId="77777777" w:rsidR="003754FE" w:rsidRDefault="003754FE" w:rsidP="003754FE">
      <w:pPr>
        <w:pStyle w:val="TextoNormal"/>
      </w:pPr>
    </w:p>
    <w:p w14:paraId="354DCB2B" w14:textId="77777777" w:rsidR="003754FE" w:rsidRDefault="003754FE" w:rsidP="003754FE">
      <w:pPr>
        <w:pStyle w:val="TextoNormal"/>
      </w:pPr>
      <w:r>
        <w:t>c) Y, finalmente, que el Tribunal Constitucional al fiscalizar la interpretación y aplicación de la norma penal debe tener presente que la labor aplicativa le corresponde en exclusiva a la jurisdicción ordinaria (art. 117.3 CE). De modo que hemos reiterado en múltiples pronunciamientos que al Tribunal Constitucional no le corresponde la determinación de la interpretación última, en cuanto más correcta, de un enunciado penal, ni siquiera desde los parámetros que delimitan los valores y principios constitucionales. En otras palabras, “es ajena al contenido propio de nuestra jurisdicción la interpretación última del contenido de los tipos sancionadores y el control de la corrección del proceso de subsunción de los hechos probados en los preceptos aplicados” (STC 137/1997, de 21 de julio, FJ 7).</w:t>
      </w:r>
    </w:p>
    <w:p w14:paraId="0AD49273" w14:textId="77777777" w:rsidR="003754FE" w:rsidRDefault="003754FE" w:rsidP="003754FE">
      <w:pPr>
        <w:pStyle w:val="TextoNormal"/>
      </w:pPr>
    </w:p>
    <w:p w14:paraId="7D02D8A5" w14:textId="77777777" w:rsidR="003754FE" w:rsidRDefault="003754FE" w:rsidP="003754FE">
      <w:pPr>
        <w:pStyle w:val="TextoNormal"/>
      </w:pPr>
      <w:r>
        <w:t xml:space="preserve">3.2. </w:t>
      </w:r>
      <w:r w:rsidRPr="003754FE">
        <w:rPr>
          <w:i/>
        </w:rPr>
        <w:t>Proyección de la doctrina del Tribunal Constitucional acerca del principio de legalidad a los casos que se le han planteado desde su constitución</w:t>
      </w:r>
    </w:p>
    <w:p w14:paraId="78619AD8" w14:textId="77777777" w:rsidR="003754FE" w:rsidRDefault="003754FE" w:rsidP="003754FE">
      <w:pPr>
        <w:pStyle w:val="TextoNormal"/>
      </w:pPr>
    </w:p>
    <w:p w14:paraId="0FFD2E4D" w14:textId="77777777" w:rsidR="003754FE" w:rsidRDefault="003754FE" w:rsidP="003754FE">
      <w:pPr>
        <w:pStyle w:val="TextoNormal"/>
      </w:pPr>
      <w:r>
        <w:t>En el fundamento jurídico 3, como aval de la doctrina sobre el principio de legalidad penal se citan, con alguna reiteración cuarenta y cuatro sentencias de este tribunal (SSTC 14/2021, de 28 de enero; 25/2022, de 23 de febrero; 47/2022, de 24 de marzo; 54/2023, de 22 de mayo; 8/2024, de 16 de enero;137/1997, de 21 de julio; 151/1997, de 29 de septiembre; 232/1997, de 16 de diciembre; 162/1999, de 27 de septiembre; 150/1989, de 25 de septiembre; 133/1987, de 21 de julio; 127/1990, de 5 de julio; 111/1993, de 25 de marzo; 53/1994, de 24 de febrero; 75/2002,de 8 de abril; 234/2007, de 5 de noviembre; 15/1981, de 7 de mayo; 142/1999, de 22 de julio; 64/2001, de 17 de marzo; 25/2004, de 26 de febrero; 218/2005, de 12 de septiembre; 297/2005, de 21 de noviembre; 283/2006, de 9 de octubre; 24/2004, de 24 de febrero; 242/2005, de 10 de octubre; 162/2008, de 15 de diciembre; 81/2009, de 23 de marzo; 135/2010, de 2 de diciembre; 9/2018, de 5 de febrero; 129/2008, de 27 de octubre; 153/2011, de 17 de octubre; 185/2014, de 6 de noviembre; 150/2015, de 6 de julio; 123/2001, de 4 de junio; 81/1995, de 5 de junio; 34/1996, de 11 de marzo; 170/2002, de 30 de septiembre; 229/2003, de 18 de diciembre; 229/2007, de 5 de noviembre; 189/1998, de 28 de septiembre; 13/2003, de 28 de enero; 138/2004, de 13 de septiembre; 9/2006, de 16 de enero, y 262/2006, de 11 de septiembre).</w:t>
      </w:r>
    </w:p>
    <w:p w14:paraId="592358A5" w14:textId="77777777" w:rsidR="003754FE" w:rsidRDefault="003754FE" w:rsidP="003754FE">
      <w:pPr>
        <w:pStyle w:val="TextoNormal"/>
      </w:pPr>
    </w:p>
    <w:p w14:paraId="335F4B8F" w14:textId="77777777" w:rsidR="003754FE" w:rsidRDefault="003754FE" w:rsidP="003754FE">
      <w:pPr>
        <w:pStyle w:val="TextoNormal"/>
      </w:pPr>
      <w:r>
        <w:t xml:space="preserve">De todas las sentencias citadas, únicamente se refieren a supuestos en que, como en el caso planteado en la demanda de amparo, se cuestiona la subsunción del hecho probado en la parte objetiva del tipo penal —dejando por tanto de lado las que versan sobre sanciones administrativas— las SSTC 25/2022, 47/2022, 137/1997, 129/2008, 153/2011, 150/2015, </w:t>
      </w:r>
      <w:r>
        <w:lastRenderedPageBreak/>
        <w:t>123/2001, 34/1996, 170/2002, 229/2003, 189/1998, 111/1993, 142/1999 y 262/2006 que enjuician la subsunción de diversas conductas en otros tantos delitos y faltas.</w:t>
      </w:r>
    </w:p>
    <w:p w14:paraId="2FFE2037" w14:textId="77777777" w:rsidR="003754FE" w:rsidRDefault="003754FE" w:rsidP="003754FE">
      <w:pPr>
        <w:pStyle w:val="TextoNormal"/>
      </w:pPr>
    </w:p>
    <w:p w14:paraId="1D41B820" w14:textId="77777777" w:rsidR="003754FE" w:rsidRDefault="003754FE" w:rsidP="003754FE">
      <w:pPr>
        <w:pStyle w:val="TextoNormal"/>
      </w:pPr>
      <w:r>
        <w:t>Pues bien, las once primeras (SSTC 25/2022, 47/2022, 137/1997, 129/2008, 153/2011, 150/2015, 123/2001, 34/1996, 170/2002, 229/2003 y 189/1998) se refieren respectivamente a quejas sobre la subsunción de la conducta en los delitos o faltas de desobediencia, sedición, coacciones, contra la hacienda pública, imprudencia leve, falsedad documental (en dos ocasiones), descubrimiento y revelación de secretos, apropiación indebida, prevaricación judicial y contra la salud pública y, siguiendo la arraigada doctrina por la que la función de interpretar y aplicar la legislación vigente, subsumiendo en las normas los hechos que llevan a su conocimiento, corresponde en exclusiva a los jueces y tribunales, de acuerdo con lo establecido en el art. 117.3 CE, en todas ellas se desestimó la vulneración del principio de legalidad penal.</w:t>
      </w:r>
    </w:p>
    <w:p w14:paraId="53A25979" w14:textId="77777777" w:rsidR="003754FE" w:rsidRDefault="003754FE" w:rsidP="003754FE">
      <w:pPr>
        <w:pStyle w:val="TextoNormal"/>
      </w:pPr>
    </w:p>
    <w:p w14:paraId="7B73292B" w14:textId="77777777" w:rsidR="003754FE" w:rsidRDefault="003754FE" w:rsidP="003754FE">
      <w:pPr>
        <w:pStyle w:val="TextoNormal"/>
      </w:pPr>
      <w:r>
        <w:t>Únicamente se estimó la vulneración del principio de legalidad penal en tres casos, las STC 111/1993, 142/1999 y 262/2006. En las dos primeras relativas a condenas por delito de intrusismo al entender que “título oficial” a que se refiere el art. 321.1 del Código penal no puede ser entendido sino como “título académico oficial” y en la tercera por delito de lesiones graves, al no constar en los hechos probados la gravedad de las mismas. Ninguna de estas condenas fue dictada o confirmada por el Tribunal Supremo, que, como órgano jurisdiccional superior en todos los órdenes, es la máxima autoridad jurisdiccional en la función de interpretar y aplicar la legislación vigente (art. 117.3 y 123.1 CE).</w:t>
      </w:r>
    </w:p>
    <w:p w14:paraId="5C459EBF" w14:textId="77777777" w:rsidR="003754FE" w:rsidRDefault="003754FE" w:rsidP="003754FE">
      <w:pPr>
        <w:pStyle w:val="TextoNormal"/>
      </w:pPr>
    </w:p>
    <w:p w14:paraId="2833F919" w14:textId="77777777" w:rsidR="003754FE" w:rsidRDefault="003754FE" w:rsidP="003754FE">
      <w:pPr>
        <w:pStyle w:val="TextoNormal"/>
      </w:pPr>
      <w:r>
        <w:t>Resulta por tanto llamativo que sea en el caso más grave de corrupción política institucionalizada y mantenida durante más de diez años, cuando el Tribunal Constitucional rectifique por primera vez desde que inició su andadura al Tribunal Supremo en la interpretación de un elemento recogido en la descripción de la conducta típica de un delito.</w:t>
      </w:r>
    </w:p>
    <w:p w14:paraId="1CB2F0B0" w14:textId="77777777" w:rsidR="003754FE" w:rsidRDefault="003754FE" w:rsidP="003754FE">
      <w:pPr>
        <w:pStyle w:val="TextoNormal"/>
      </w:pPr>
    </w:p>
    <w:p w14:paraId="6F389C88" w14:textId="77777777" w:rsidR="003754FE" w:rsidRDefault="003754FE" w:rsidP="003754FE">
      <w:pPr>
        <w:pStyle w:val="TextoNormal"/>
      </w:pPr>
      <w:r>
        <w:t xml:space="preserve">4. </w:t>
      </w:r>
      <w:r w:rsidRPr="003754FE">
        <w:rPr>
          <w:i/>
        </w:rPr>
        <w:t>Sobre la improcedente reconstrucción de la demanda de amparo en que incurre la sentencia y la desviación de su objeto para reconocer la vulneración del derecho a la legalidad penal en relación con los delitos continuados de prevaricación y de malversación</w:t>
      </w:r>
    </w:p>
    <w:p w14:paraId="6D7CA917" w14:textId="77777777" w:rsidR="003754FE" w:rsidRDefault="003754FE" w:rsidP="003754FE">
      <w:pPr>
        <w:pStyle w:val="TextoNormal"/>
      </w:pPr>
    </w:p>
    <w:p w14:paraId="62EEA3E6" w14:textId="77777777" w:rsidR="003754FE" w:rsidRDefault="003754FE" w:rsidP="003754FE">
      <w:pPr>
        <w:pStyle w:val="TextoNormal"/>
      </w:pPr>
      <w:r>
        <w:t xml:space="preserve">4.1. </w:t>
      </w:r>
      <w:r w:rsidRPr="003754FE">
        <w:rPr>
          <w:i/>
        </w:rPr>
        <w:t>Objeto de la demanda de amparo: planteamiento de la vulneración del principio de legalidad penal por el recurrente y respuesta dada por la fiscal que formula las alegaciones</w:t>
      </w:r>
    </w:p>
    <w:p w14:paraId="7F1AA1E8" w14:textId="77777777" w:rsidR="003754FE" w:rsidRDefault="003754FE" w:rsidP="003754FE">
      <w:pPr>
        <w:pStyle w:val="TextoNormal"/>
      </w:pPr>
    </w:p>
    <w:p w14:paraId="231B290B" w14:textId="77777777" w:rsidR="003754FE" w:rsidRDefault="003754FE" w:rsidP="003754FE">
      <w:pPr>
        <w:pStyle w:val="TextoNormal"/>
      </w:pPr>
      <w:r>
        <w:t>4.1.1. Planteamiento de recurrente</w:t>
      </w:r>
    </w:p>
    <w:p w14:paraId="45C19284" w14:textId="77777777" w:rsidR="003754FE" w:rsidRDefault="003754FE" w:rsidP="003754FE">
      <w:pPr>
        <w:pStyle w:val="TextoNormal"/>
      </w:pPr>
    </w:p>
    <w:p w14:paraId="7D7A43C6" w14:textId="77777777" w:rsidR="003754FE" w:rsidRDefault="003754FE" w:rsidP="003754FE">
      <w:pPr>
        <w:pStyle w:val="TextoNormal"/>
      </w:pPr>
      <w:r>
        <w:t>El recurrente plantea como motivo tercero de la demanda de amparo la vulneración del principio de legalidad penal (art. 25.1 CE). Dicha argumentación se recoge en la letra c) del antecedente 3 de la sentencia. Considera el demandante que los hechos probados de la sentencia de la Audiencia Provincial no son subsumibles en los delitos de prevaricación y malversación y el Tribunal Supremo no ha reparado la vulneración.</w:t>
      </w:r>
    </w:p>
    <w:p w14:paraId="151FBAA3" w14:textId="77777777" w:rsidR="003754FE" w:rsidRDefault="003754FE" w:rsidP="003754FE">
      <w:pPr>
        <w:pStyle w:val="TextoNormal"/>
      </w:pPr>
    </w:p>
    <w:p w14:paraId="0C5F9C0C" w14:textId="77777777" w:rsidR="003754FE" w:rsidRDefault="003754FE" w:rsidP="003754FE">
      <w:pPr>
        <w:pStyle w:val="TextoNormal"/>
      </w:pPr>
      <w:r>
        <w:t xml:space="preserve">Destaca que en los hechos probados no se describe ningún acto administrativo dictado por el recurrente, quien no tramitó ningún expediente de ayuda como director del IFA/IDEA, al actuar esta entidad como mera caja pagadora en función de las órdenes de pago emitidas por la Dirección General de Trabajo. El recurrente destaca que no aprobó las </w:t>
      </w:r>
      <w:r>
        <w:lastRenderedPageBreak/>
        <w:t>cuentas del IFA/IDEA, solo las formulaba, ni realizó acto alguno de confección del presupuesto.</w:t>
      </w:r>
    </w:p>
    <w:p w14:paraId="476BC3B5" w14:textId="77777777" w:rsidR="003754FE" w:rsidRDefault="003754FE" w:rsidP="003754FE">
      <w:pPr>
        <w:pStyle w:val="TextoNormal"/>
      </w:pPr>
    </w:p>
    <w:p w14:paraId="4075AE9A" w14:textId="77777777" w:rsidR="003754FE" w:rsidRDefault="003754FE" w:rsidP="003754FE">
      <w:pPr>
        <w:pStyle w:val="TextoNormal"/>
      </w:pPr>
      <w:r>
        <w:t>En relación con la malversación, indica que no se apropió de caudales ni consintió que ningún tercero se apropiara. Afirma que los hechos probados describen desviaciones normativas en la tramitación de los procedimientos administrativos o presupuestarios, pero ello no es suficiente para acreditar los elementos objetivos y subjetivos del delito. La comisión de la prevaricación no puede conducir a dar por probada la malversación. La sentencia, al excluir del enjuiciamiento las ayudas individuales, ha dejado fuera del objeto de enjuiciamiento la finalidad pública y el interés social de cada una de ellas. La concepción de que se malversa porque se prevarica no es conforme con el tipo penal.</w:t>
      </w:r>
    </w:p>
    <w:p w14:paraId="1919EC09" w14:textId="77777777" w:rsidR="003754FE" w:rsidRDefault="003754FE" w:rsidP="003754FE">
      <w:pPr>
        <w:pStyle w:val="TextoNormal"/>
      </w:pPr>
    </w:p>
    <w:p w14:paraId="72A4CD6B" w14:textId="77777777" w:rsidR="003754FE" w:rsidRDefault="003754FE" w:rsidP="003754FE">
      <w:pPr>
        <w:pStyle w:val="TextoNormal"/>
      </w:pPr>
      <w:r>
        <w:t>4.1.2. Posición del Ministerio Fiscal</w:t>
      </w:r>
    </w:p>
    <w:p w14:paraId="61C791A7" w14:textId="77777777" w:rsidR="003754FE" w:rsidRDefault="003754FE" w:rsidP="003754FE">
      <w:pPr>
        <w:pStyle w:val="TextoNormal"/>
      </w:pPr>
    </w:p>
    <w:p w14:paraId="7B016507" w14:textId="77777777" w:rsidR="003754FE" w:rsidRDefault="003754FE" w:rsidP="003754FE">
      <w:pPr>
        <w:pStyle w:val="TextoNormal"/>
      </w:pPr>
      <w:r>
        <w:t>La fiscal responde al planteamiento del recurrente solicitando la desestimación de la vulneración invocada. Sus argumentos se recogen en el antecedente 6 de la sentencia. Sostiene que omite los elementos fácticos relevantes que le incriminan, entre otros, la firma de los convenios particulares, las consiguientes autorizaciones de pago, el fraccionamiento de la cuantía de las ayudas, la indebida contabilización en los presupuestos de la agencia IFA/IDEA como gastos de explotación de los importes de las trasferencias de financiación o el conocimiento y aceptación del resultado del desvío de los fondos. Por ello concluye que en las resoluciones existe una descripción suficiente de las conductas que permite una adecuada subsunción en los tipos por los que ha sido condenado por lo que, en línea con los fiscales que formularon la acusación y que solicitaron que se mantuviera la condena, concluye que no puede apreciarse la vulneración del principio de legalidad penal.</w:t>
      </w:r>
    </w:p>
    <w:p w14:paraId="7811C408" w14:textId="77777777" w:rsidR="003754FE" w:rsidRDefault="003754FE" w:rsidP="003754FE">
      <w:pPr>
        <w:pStyle w:val="TextoNormal"/>
      </w:pPr>
    </w:p>
    <w:p w14:paraId="2A4FF079" w14:textId="77777777" w:rsidR="003754FE" w:rsidRDefault="003754FE" w:rsidP="003754FE">
      <w:pPr>
        <w:pStyle w:val="TextoNormal"/>
      </w:pPr>
      <w:r>
        <w:t>A continuación, expondremos cómo la sentencia se desconecta de los argumentos de la demanda de amparo para llevar a cabo una revisión de oficio de la sentencia del Tribunal Supremo.</w:t>
      </w:r>
    </w:p>
    <w:p w14:paraId="5885C69A" w14:textId="77777777" w:rsidR="003754FE" w:rsidRDefault="003754FE" w:rsidP="003754FE">
      <w:pPr>
        <w:pStyle w:val="TextoNormal"/>
      </w:pPr>
    </w:p>
    <w:p w14:paraId="4EE3AE6B" w14:textId="77777777" w:rsidR="003754FE" w:rsidRDefault="003754FE" w:rsidP="003754FE">
      <w:pPr>
        <w:pStyle w:val="TextoNormal"/>
      </w:pPr>
      <w:r>
        <w:t xml:space="preserve">4.2. </w:t>
      </w:r>
      <w:r w:rsidRPr="003754FE">
        <w:rPr>
          <w:i/>
        </w:rPr>
        <w:t>Desvinculación de la argumentación de la sentencia del Tribunal Constitucional del planteamiento de la demanda de amparo para estimar la vulneración del principio de legalidad penal</w:t>
      </w:r>
    </w:p>
    <w:p w14:paraId="18C4EBC8" w14:textId="77777777" w:rsidR="003754FE" w:rsidRDefault="003754FE" w:rsidP="003754FE">
      <w:pPr>
        <w:pStyle w:val="TextoNormal"/>
      </w:pPr>
    </w:p>
    <w:p w14:paraId="71EAC9B8" w14:textId="77777777" w:rsidR="003754FE" w:rsidRDefault="003754FE" w:rsidP="003754FE">
      <w:pPr>
        <w:pStyle w:val="TextoNormal"/>
      </w:pPr>
      <w:r>
        <w:t>La inexistencia de arbitrariedad como motivo para estimar la vulneración del derecho a la legalidad penal en la condena por prevaricación no ha sido planteada por el recurrente.</w:t>
      </w:r>
    </w:p>
    <w:p w14:paraId="3D4F56A0" w14:textId="77777777" w:rsidR="003754FE" w:rsidRDefault="003754FE" w:rsidP="003754FE">
      <w:pPr>
        <w:pStyle w:val="TextoNormal"/>
      </w:pPr>
    </w:p>
    <w:p w14:paraId="67DBE3B4" w14:textId="77777777" w:rsidR="003754FE" w:rsidRDefault="003754FE" w:rsidP="003754FE">
      <w:pPr>
        <w:pStyle w:val="TextoNormal"/>
      </w:pPr>
      <w:r>
        <w:t>a) La sentencia, en el fundamento jurídico 4, desconectado del planteamiento del recurrente que únicamente considera vulnerada la legalidad penal por entender que los hechos probados no son subsumibles en los tipos aplicados, abre el portillo argumental que conduce a la estimación de la demanda de amparo y por ende, como se puso de manifiesto en la deliberación infructuosamente, produce un alto riesgo de impunidad de todas las piezas separadas de los expedientes de regulación de empleo que están pendientes de enjuiciamiento, al introducir el siguiente argumento novedoso: es imprevisible calificar como arbitraria la conducta del recurrente pues la misma está amparada por la Ley.</w:t>
      </w:r>
    </w:p>
    <w:p w14:paraId="2565A52B" w14:textId="77777777" w:rsidR="003754FE" w:rsidRDefault="003754FE" w:rsidP="003754FE">
      <w:pPr>
        <w:pStyle w:val="TextoNormal"/>
      </w:pPr>
    </w:p>
    <w:p w14:paraId="14DD5DBD" w14:textId="77777777" w:rsidR="003754FE" w:rsidRDefault="003754FE" w:rsidP="003754FE">
      <w:pPr>
        <w:pStyle w:val="TextoNormal"/>
      </w:pPr>
      <w:r>
        <w:t xml:space="preserve">Sin embargo, el recurrente ni tan siquiera cuestionó la arbitrariedad de sus resoluciones y por tanto no calificó de imprevisible que las mismas merecieran la consideración de </w:t>
      </w:r>
      <w:r>
        <w:lastRenderedPageBreak/>
        <w:t>arbitrarias. La sentencia que resuelve el recurso de amparo efectúa un control de oficio de la sentencia del Tribunal Supremo desvinculándose del contenido de la demanda de amparo.</w:t>
      </w:r>
    </w:p>
    <w:p w14:paraId="44C9C710" w14:textId="77777777" w:rsidR="003754FE" w:rsidRDefault="003754FE" w:rsidP="003754FE">
      <w:pPr>
        <w:pStyle w:val="TextoNormal"/>
      </w:pPr>
    </w:p>
    <w:p w14:paraId="574BA8EB" w14:textId="77777777" w:rsidR="003754FE" w:rsidRDefault="003754FE" w:rsidP="003754FE">
      <w:pPr>
        <w:pStyle w:val="TextoNormal"/>
      </w:pPr>
      <w:r>
        <w:t>b) El demandante de amparo en modo alguno plantea que el Tribunal Supremo fundamente su condena en una determinada comprensión de las relaciones entre el Ejecutivo autonómico y su Parlamento, o que desconozca el papel esencial y la centralidad del Parlamento o la posición privilegiada de la ley. Tampoco plantea que las subvenciones o pagos no fueran arbitrarios. No cuestiona la concurrencia de ese elemento del tipo que determina la condena por prevaricación administrativa. La sentencia construye una demanda de amparo paralela para reconocer la vulneración del derecho a la legalidad penal.</w:t>
      </w:r>
    </w:p>
    <w:p w14:paraId="5ACAE66F" w14:textId="77777777" w:rsidR="003754FE" w:rsidRDefault="003754FE" w:rsidP="003754FE">
      <w:pPr>
        <w:pStyle w:val="TextoNormal"/>
      </w:pPr>
    </w:p>
    <w:p w14:paraId="128014CB" w14:textId="77777777" w:rsidR="003754FE" w:rsidRDefault="003754FE" w:rsidP="003754FE">
      <w:pPr>
        <w:pStyle w:val="TextoNormal"/>
      </w:pPr>
      <w:r>
        <w:t>c) El recurrente discute la existencia de dolo en su conducta. Esto es a lo más que alcanza —en línea con el voto particular de la sentencia del Tribunal Supremo, que tampoco niega el carácter arbitrario de las subvenciones— y llega a decir que no “se ha acreditado que estuvieran al tanto de que se estaban concediendo de forma arbitraria como subvenciones o como pagos a profesionales cantidades muy superiores a las legalmente autorizadas” e indica que no existen pruebas directas ni indicios objetivables de que tuvieran conocimiento de una conducta dolosa fraudulenta. Pero no discute que la arbitrariedad existiera (pág. 56 de la demanda de amparo). Por tanto, acepta, no cuestiona, su carácter ilegal, pero niega que lo conociera.</w:t>
      </w:r>
    </w:p>
    <w:p w14:paraId="6065A21F" w14:textId="77777777" w:rsidR="003754FE" w:rsidRDefault="003754FE" w:rsidP="003754FE">
      <w:pPr>
        <w:pStyle w:val="TextoNormal"/>
      </w:pPr>
    </w:p>
    <w:p w14:paraId="3C747734" w14:textId="77777777" w:rsidR="003754FE" w:rsidRDefault="003754FE" w:rsidP="003754FE">
      <w:pPr>
        <w:pStyle w:val="TextoNormal"/>
      </w:pPr>
      <w:r>
        <w:t>d) En consecuencia, no se apoya en el argumento de que su actuación estaba amparada por la ley como sostiene la sentencia, al contrario, asume la ilegalidad de las ayudas, pero alega desconocimiento. No cuestiona que las resoluciones impugnadas se califiquen como “arbitrarias”. Es decir, no impugna el carácter arbitrario de: (i) las órdenes de pago de ayudas; (ii) la firma de cerca de cincuenta y tres convenios particulares que daban sustento al pago de las ayudas; o (iii) la formulación de sucesivas cuentas anuales cursadas. No califica de imprevisible esa calificación. Es la sentencia de la que discrepamos la que lo efectúa por el recurrente.</w:t>
      </w:r>
    </w:p>
    <w:p w14:paraId="3F5DEE52" w14:textId="77777777" w:rsidR="003754FE" w:rsidRDefault="003754FE" w:rsidP="003754FE">
      <w:pPr>
        <w:pStyle w:val="TextoNormal"/>
      </w:pPr>
    </w:p>
    <w:p w14:paraId="456F6871" w14:textId="77777777" w:rsidR="003754FE" w:rsidRDefault="003754FE" w:rsidP="003754FE">
      <w:pPr>
        <w:pStyle w:val="TextoNormal"/>
      </w:pPr>
      <w:r>
        <w:t>e) El recurrente tampoco cuestiona el hecho probado de que “en la agencia se conocía que las ayudas las concedía la Consejería de Empleo, lo que no se decía ni en los presupuestos, ni en la documentación anexa a los mismos. En la agencia conocían que presupuestaban gastos ficticios para compensarlos con los ingresos procedentes de las transferencias de financiación, lo que obviamente tampoco se decía en los presupuestos, ni en la documentación anexa a los mismos”, sin que el IFA/IDEA actuara mediante encargo de ejecución, sino como una entidad colaboradora, con conocimiento del recurrente de las advertencias que se efectuaron sobre la irregularidad. El recurrente, simplemente, como indica la fiscal, efectúa una selección sesgada de los hechos para sostener que los mismos no son típicos y que se ha vulnerado la legalidad penal. Pero no cuestiona la ilegalidad de las ayudas concedidas. No plantea el recurrente que, encontrándose en vigor el programa presupuestario 31L, era imprevisible que se consideraran manifiestamente ilegales los actos dictados a su amparo.</w:t>
      </w:r>
    </w:p>
    <w:p w14:paraId="3B957C26" w14:textId="77777777" w:rsidR="003754FE" w:rsidRDefault="003754FE" w:rsidP="003754FE">
      <w:pPr>
        <w:pStyle w:val="TextoNormal"/>
      </w:pPr>
    </w:p>
    <w:p w14:paraId="627CC846" w14:textId="77777777" w:rsidR="003754FE" w:rsidRDefault="003754FE" w:rsidP="003754FE">
      <w:pPr>
        <w:pStyle w:val="TextoNormal"/>
      </w:pPr>
      <w:r>
        <w:t xml:space="preserve">f) Por tanto, es claro que la sentencia que resuelve el recurso de amparo se desvincula de la demanda de amparo al construir un argumento estimatorio del recurso no planteado por el recurrente y concluir que la condena por prevaricación vulneró el derecho a la legalidad penal al efectuar una interpretación imprevisible. El recurrente no afirma que fuera imprevisible calificar su conducta de prevaricación continuada de arbitraria. La sentencia ha </w:t>
      </w:r>
      <w:r>
        <w:lastRenderedPageBreak/>
        <w:t>completado la demanda con un argumento no planteado por el recurrente para sustentar la vulneración del derecho a la legalidad penal y estimar el recurso de amparo.</w:t>
      </w:r>
    </w:p>
    <w:p w14:paraId="1614009E" w14:textId="77777777" w:rsidR="003754FE" w:rsidRDefault="003754FE" w:rsidP="003754FE">
      <w:pPr>
        <w:pStyle w:val="TextoNormal"/>
      </w:pPr>
    </w:p>
    <w:p w14:paraId="26FE6DEA" w14:textId="77777777" w:rsidR="003754FE" w:rsidRDefault="003754FE" w:rsidP="003754FE">
      <w:pPr>
        <w:pStyle w:val="TextoNormal"/>
      </w:pPr>
      <w:r>
        <w:t xml:space="preserve">4.3. </w:t>
      </w:r>
      <w:r w:rsidRPr="003754FE">
        <w:rPr>
          <w:i/>
        </w:rPr>
        <w:t>Reutilización del argumento no planteado por el demandante: “la condena por malversación fue imprevisible porque el recurrente ajustó su comportamiento a las previsiones de las sucesivas leyes de presupuestos y por ello se vulneró la legalidad penal” al condenar por el delito de malversación</w:t>
      </w:r>
    </w:p>
    <w:p w14:paraId="5D0CEA58" w14:textId="77777777" w:rsidR="003754FE" w:rsidRDefault="003754FE" w:rsidP="003754FE">
      <w:pPr>
        <w:pStyle w:val="TextoNormal"/>
      </w:pPr>
    </w:p>
    <w:p w14:paraId="211304E0" w14:textId="77777777" w:rsidR="003754FE" w:rsidRDefault="003754FE" w:rsidP="003754FE">
      <w:pPr>
        <w:pStyle w:val="TextoNormal"/>
      </w:pPr>
      <w:r>
        <w:t>a) Como se ha indicado, el demandante de amparo fundamenta en la demanda —como ya lo hiciera en el recurso de casación, obteniendo razonable respuesta en los fundamentos de Derecho 139 y 140 de la sentencia del Tribunal Supremo— que la condena por el delito de malversación quiebra la legalidad penal al entender que se le condena por unos hechos que la norma penal no sanciona. Indica que solo es posible realizar la subsunción típica aplicando el derecho a los hechos probados, sin que los hechos desparramados por los más de mil folios puedan tener virtualidad a efectos de subsunción. Sostiene que en los hechos probados no se llega a describir un episodio fáctico que integre el tipo, lo que se describe serían “distintas desviaciones normativas en la tramitación de distintos procedimientos administrativos y presupuestarios, lo que en sí mismo no es suficiente para dar por probados los elementos objetivo y subjetivo del tipo del artículo 432 del Código penal”. Considera, en línea con el voto particular emitido por dos magistradas del Tribunal Supremo, que se equipara la prevaricación a la malversación, sin enjuiciar si efectivamente se ha producido la desviación de caudales públicos. Examina los apartados A), B) y C) del hecho vigésimo séptimo de los hechos probados y concluye que la ausencia de una concreta descripción del empleo del caudal público imposibilita la calificación de la conducta como malversación.</w:t>
      </w:r>
    </w:p>
    <w:p w14:paraId="5801A8D7" w14:textId="77777777" w:rsidR="003754FE" w:rsidRDefault="003754FE" w:rsidP="003754FE">
      <w:pPr>
        <w:pStyle w:val="TextoNormal"/>
      </w:pPr>
    </w:p>
    <w:p w14:paraId="3A7BCD54" w14:textId="77777777" w:rsidR="003754FE" w:rsidRDefault="003754FE" w:rsidP="003754FE">
      <w:pPr>
        <w:pStyle w:val="TextoNormal"/>
      </w:pPr>
      <w:r>
        <w:t>b) La sentencia frente a la que manifestamos nuestra discrepancia identifica la alegación del recurrente en el primer párrafo del fundamento jurídico 5.2. En primer lugar, la sentencia considera que no es contraria al principio de legalidad la interpretación que el Tribunal Supremo efectúa del art. 432 CP, interpretación que por otra parte el recurrente no había cuestionado y por tanto no formaba parte del objeto de la demanda.</w:t>
      </w:r>
    </w:p>
    <w:p w14:paraId="7C68B20A" w14:textId="77777777" w:rsidR="003754FE" w:rsidRDefault="003754FE" w:rsidP="003754FE">
      <w:pPr>
        <w:pStyle w:val="TextoNormal"/>
      </w:pPr>
    </w:p>
    <w:p w14:paraId="2C1A19BB" w14:textId="77777777" w:rsidR="003754FE" w:rsidRDefault="003754FE" w:rsidP="003754FE">
      <w:pPr>
        <w:pStyle w:val="TextoNormal"/>
      </w:pPr>
      <w:r>
        <w:t>c) A partir de ahí, la sentencia debería haber razonado, como afirma la fiscal, que el recurrente hace una selección de los hechos probados incompleta en la que omite mencionar elementos fácticos relevantes que permiten una adecuada subsunción en los tipos penales por los que ha sido condenado. Esta apreciación de la fiscal es coincidente tanto con el criterio del fiscal que sostuvo la acusación como con el del fiscal que solicitó que se mantuviera la condena, y respetuosa con el principio de unidad de actuación (art. 124.2 CE).</w:t>
      </w:r>
    </w:p>
    <w:p w14:paraId="162440B3" w14:textId="77777777" w:rsidR="003754FE" w:rsidRDefault="003754FE" w:rsidP="003754FE">
      <w:pPr>
        <w:pStyle w:val="TextoNormal"/>
      </w:pPr>
    </w:p>
    <w:p w14:paraId="3C67D7CC" w14:textId="77777777" w:rsidR="003754FE" w:rsidRDefault="003754FE" w:rsidP="003754FE">
      <w:pPr>
        <w:pStyle w:val="TextoNormal"/>
      </w:pPr>
      <w:r>
        <w:t xml:space="preserve">d) En efecto, el relato de hechos probados, como acertadamente argumenta la sentencia del Tribunal Supremo, describe el procedimiento ilegal de concesión de las ayudas que se instauró a partir del ejercicio 2000 y en el que intervino directa y materialmente el acusado como director general del IFA/IDEA suscribiendo los convenios particulares con la Dirección General de Trabajo y abonando las ayudas derivadas de los citados convenios, pese a conocer que no se seguía procedimiento alguno, que los expedientes no eran fiscalizados ni en la Consejería de Empleo, ni en la entidad pública porque dichos expedientes quedaban depositados en la consejería, que no contenían solicitud, memoria económica, requisitos o justificación de la finalidad pública de la ayuda, que el IFA actuaba indebidamente como entidad colaboradora y que se estaba generando un déficit presupuestario por asunción de </w:t>
      </w:r>
      <w:r>
        <w:lastRenderedPageBreak/>
        <w:t>compromisos por encima de la cobertura presupuestaria. No eran simples irregularidades administrativas, sino la disposición de fondos como si fueran propios, al margen de todo requisito legal y al margen de todo control. Añade que su actuación formó parte de un sistema en el que el pago de las ayudas era el último eslabón, pero ese pago era necesario, por lo que, sabiendo cómo se estaban gestionando las ayudas, pudo y debió impedirlo, negándose a firmar los convenios particulares que le pasaban a la firma y no permitiendo que la agencia de la que era director actuara como entidad colaboradora, dando cobertura al pago de las ayudas sin control y sin siquiera bases reguladoras.</w:t>
      </w:r>
    </w:p>
    <w:p w14:paraId="68FCCDE6" w14:textId="77777777" w:rsidR="003754FE" w:rsidRDefault="003754FE" w:rsidP="003754FE">
      <w:pPr>
        <w:pStyle w:val="TextoNormal"/>
      </w:pPr>
    </w:p>
    <w:p w14:paraId="52C6AFFA" w14:textId="77777777" w:rsidR="003754FE" w:rsidRDefault="003754FE" w:rsidP="003754FE">
      <w:pPr>
        <w:pStyle w:val="TextoNormal"/>
      </w:pPr>
      <w:r>
        <w:t>e) Sin embargo, la sentencia se desvincula del recurso de amparo y en lugar de dar respuesta a lo que plantea el recurrente —y que es contestado por la fiscal— y consiguientemente atendidos los hechos probados considerar que existió desviación de caudales públicos y que se respetó la legalidad penal, deforma el proceso de amparo al integrar la demanda de amparo con un argumento inexistente en la misma.</w:t>
      </w:r>
    </w:p>
    <w:p w14:paraId="360073B8" w14:textId="77777777" w:rsidR="003754FE" w:rsidRDefault="003754FE" w:rsidP="003754FE">
      <w:pPr>
        <w:pStyle w:val="TextoNormal"/>
      </w:pPr>
    </w:p>
    <w:p w14:paraId="65435F58" w14:textId="77777777" w:rsidR="003754FE" w:rsidRDefault="003754FE" w:rsidP="003754FE">
      <w:pPr>
        <w:pStyle w:val="TextoNormal"/>
      </w:pPr>
      <w:r>
        <w:t>f) La sentencia que resuelve el recurso de amparo innova la demanda y de modo sorpresivo considera que las resoluciones impugnadas vulneraron el principio de legalidad por subsumir en el delito de malversación la gestión de fondos públicos cuando dicha gestión fue conforme a las determinaciones del programa 31L establecido por una ley no impugnada ni cuestionada ante el Tribunal. Dicha creación argumental, elaborada al margen de los planteamientos de los recurrentes, permitirá estimar buena parte de los recursos de amparo y seguramente afectará al centenar de piezas de los ERE que se encuentran actualmente en tramitación.</w:t>
      </w:r>
    </w:p>
    <w:p w14:paraId="74722B2A" w14:textId="77777777" w:rsidR="003754FE" w:rsidRDefault="003754FE" w:rsidP="003754FE">
      <w:pPr>
        <w:pStyle w:val="TextoNormal"/>
      </w:pPr>
    </w:p>
    <w:p w14:paraId="1BC390EC" w14:textId="77777777" w:rsidR="003754FE" w:rsidRDefault="003754FE" w:rsidP="003754FE">
      <w:pPr>
        <w:pStyle w:val="TextoNormal"/>
      </w:pPr>
      <w:r>
        <w:t>g) El indicado argumento parte de una premisa que no es cierta pues las leyes de presupuestos no autorizaban el pago de ayudas sociolaborales, sino que preveían ingentes e innecesarios fondos en concepto de trasferencias de financiación para el IFA/IDEA que debían destinarse a gastos de explotación pero que eran desviados, con conocimiento de todos los implicados, a fines distintos a los que estaban destinados, concediendo ayudas al margen de los mecanismos reguladores de las mismas aprovechándose de su responsabilidad en IFA/IDEA.</w:t>
      </w:r>
    </w:p>
    <w:p w14:paraId="3CED11C8" w14:textId="77777777" w:rsidR="003754FE" w:rsidRDefault="003754FE" w:rsidP="003754FE">
      <w:pPr>
        <w:pStyle w:val="TextoNormal"/>
      </w:pPr>
    </w:p>
    <w:p w14:paraId="650A1E26" w14:textId="77777777" w:rsidR="003754FE" w:rsidRDefault="003754FE" w:rsidP="003754FE">
      <w:pPr>
        <w:pStyle w:val="TextoNormal"/>
      </w:pPr>
      <w:r>
        <w:t>h) No cabe sostener como piedra angular para la impunidad de la mayor trama de corrupción institucionalizada desde un Gobierno autonómico el mantra de que los responsables ajustaron su comportamiento a la ley y que las “leyes no delinquen”. Quienes delinquieron fueron los que dictaron resoluciones con la finalidad de dotar arbitraria e innecesariamente mediante transferencias de financiación al IFA/IDEA de unos fondos para hacer frente a unos gastos de explotación que el IFA/IDEA no tenía y facilitaron de este modo el camino para que los responsables del instituto pudieran disponer de tales fondos que debían ser destinados a gastos de explotación y desviarlos al pago de ayudas sociolaborales al margen de todo control disponiendo de los fondos públicos como si fueran propios.</w:t>
      </w:r>
    </w:p>
    <w:p w14:paraId="64F126B1" w14:textId="77777777" w:rsidR="003754FE" w:rsidRPr="003754FE" w:rsidRDefault="003754FE" w:rsidP="003754FE">
      <w:pPr>
        <w:pStyle w:val="TextoNormal"/>
        <w:rPr>
          <w:i/>
        </w:rPr>
      </w:pPr>
    </w:p>
    <w:p w14:paraId="78074A16" w14:textId="77777777" w:rsidR="003754FE" w:rsidRDefault="003754FE" w:rsidP="003754FE">
      <w:pPr>
        <w:pStyle w:val="TextoNormal"/>
      </w:pPr>
      <w:r w:rsidRPr="003754FE">
        <w:rPr>
          <w:i/>
        </w:rPr>
        <w:t>5. Vulneración del principio a la presunción de inoce</w:t>
      </w:r>
      <w:r>
        <w:t>ncia</w:t>
      </w:r>
    </w:p>
    <w:p w14:paraId="31C838B9" w14:textId="77777777" w:rsidR="003754FE" w:rsidRDefault="003754FE" w:rsidP="003754FE">
      <w:pPr>
        <w:pStyle w:val="TextoNormal"/>
      </w:pPr>
    </w:p>
    <w:p w14:paraId="29A39127" w14:textId="77777777" w:rsidR="003754FE" w:rsidRDefault="003754FE" w:rsidP="003754FE">
      <w:pPr>
        <w:pStyle w:val="TextoNormal"/>
      </w:pPr>
      <w:r>
        <w:t>5.1</w:t>
      </w:r>
      <w:r w:rsidRPr="003754FE">
        <w:rPr>
          <w:i/>
        </w:rPr>
        <w:t>. Planteamiento del demandan</w:t>
      </w:r>
      <w:r>
        <w:t>te</w:t>
      </w:r>
    </w:p>
    <w:p w14:paraId="5598F11E" w14:textId="77777777" w:rsidR="003754FE" w:rsidRDefault="003754FE" w:rsidP="003754FE">
      <w:pPr>
        <w:pStyle w:val="TextoNormal"/>
      </w:pPr>
    </w:p>
    <w:p w14:paraId="5693EDE3" w14:textId="77777777" w:rsidR="003754FE" w:rsidRDefault="003754FE" w:rsidP="003754FE">
      <w:pPr>
        <w:pStyle w:val="TextoNormal"/>
      </w:pPr>
      <w:r>
        <w:t xml:space="preserve">El demandante considera que ha sido condenado por el delito de malversación de caudales públicos al considerarse acreditado que asumió la eventualidad de que se malversaran </w:t>
      </w:r>
      <w:r>
        <w:lastRenderedPageBreak/>
        <w:t>fondos públicos. Considera que tal hecho probado resulta acreditado exclusivamente por haber tenido conocimiento del informe adicional de cumplimiento del ejercicio 2003 por la Intervención del control financiero permanente del IFA/IDEA. Entiende que la valoración que el Tribunal ha realizado del conocimiento de dicho informe es manifiestamente irracional y que del mismo no se puede concluir la existencia de dolo eventual ni siquiera tangencialmente.</w:t>
      </w:r>
    </w:p>
    <w:p w14:paraId="752E061D" w14:textId="77777777" w:rsidR="003754FE" w:rsidRDefault="003754FE" w:rsidP="003754FE">
      <w:pPr>
        <w:pStyle w:val="TextoNormal"/>
      </w:pPr>
    </w:p>
    <w:p w14:paraId="78F17429" w14:textId="77777777" w:rsidR="003754FE" w:rsidRDefault="003754FE" w:rsidP="003754FE">
      <w:pPr>
        <w:pStyle w:val="TextoNormal"/>
      </w:pPr>
      <w:r>
        <w:t>5.2</w:t>
      </w:r>
      <w:r w:rsidRPr="003754FE">
        <w:rPr>
          <w:i/>
        </w:rPr>
        <w:t>. Alegaciones de la fisc</w:t>
      </w:r>
      <w:r>
        <w:t>al</w:t>
      </w:r>
    </w:p>
    <w:p w14:paraId="0B485D85" w14:textId="77777777" w:rsidR="003754FE" w:rsidRDefault="003754FE" w:rsidP="003754FE">
      <w:pPr>
        <w:pStyle w:val="TextoNormal"/>
      </w:pPr>
    </w:p>
    <w:p w14:paraId="034A70B6" w14:textId="77777777" w:rsidR="003754FE" w:rsidRDefault="003754FE" w:rsidP="003754FE">
      <w:pPr>
        <w:pStyle w:val="TextoNormal"/>
      </w:pPr>
      <w:r>
        <w:t>Por su parte, la fiscal afirma que ni la sentencia de la Audiencia Provincial ni la del Tribunal Supremo hacen depender la acreditación del elemento subjetivo del injusto del delito de malversación exclusivamente del conocimiento del contenido del referido informe. A juicio de la fiscal, la conclusión a la que llega el órgano judicial parte de la valoración efectuada de manera conjunta con otros elementos de prueba omitidos por el recurrente y está fundada en una prueba de cargo suficiente, constituida por múltiples elementos de prueba de distinta naturaleza, identificados en la sentencia y cuya validez no ha sido cuestionada.</w:t>
      </w:r>
    </w:p>
    <w:p w14:paraId="01D23D1F" w14:textId="77777777" w:rsidR="003754FE" w:rsidRDefault="003754FE" w:rsidP="003754FE">
      <w:pPr>
        <w:pStyle w:val="TextoNormal"/>
      </w:pPr>
    </w:p>
    <w:p w14:paraId="2B4DA516" w14:textId="77777777" w:rsidR="003754FE" w:rsidRDefault="003754FE" w:rsidP="003754FE">
      <w:pPr>
        <w:pStyle w:val="TextoNormal"/>
      </w:pPr>
      <w:r>
        <w:t>5.3</w:t>
      </w:r>
      <w:r w:rsidRPr="003754FE">
        <w:rPr>
          <w:i/>
        </w:rPr>
        <w:t>. Fundamentación de la sentencia del Tribunal Supre</w:t>
      </w:r>
      <w:r>
        <w:t>mo</w:t>
      </w:r>
    </w:p>
    <w:p w14:paraId="419ACEB5" w14:textId="77777777" w:rsidR="003754FE" w:rsidRDefault="003754FE" w:rsidP="003754FE">
      <w:pPr>
        <w:pStyle w:val="TextoNormal"/>
      </w:pPr>
    </w:p>
    <w:p w14:paraId="1FCACA6B" w14:textId="77777777" w:rsidR="003754FE" w:rsidRDefault="003754FE" w:rsidP="003754FE">
      <w:pPr>
        <w:pStyle w:val="TextoNormal"/>
      </w:pPr>
      <w:r>
        <w:t>La STS 749/2022, frente a la alegación —ya planteada en el recurso de casación— de que ha sido condenado exclusivamente por haber tenido conocimiento del informe adicional de cumplimiento del IFA correspondiente al año 2003 y los argumentos esgrimidos por el recurrente, que coinciden con los que se formulan en la demanda de amparo, razona que:</w:t>
      </w:r>
    </w:p>
    <w:p w14:paraId="202E1B92" w14:textId="77777777" w:rsidR="003754FE" w:rsidRDefault="003754FE" w:rsidP="003754FE">
      <w:pPr>
        <w:pStyle w:val="TextoNormal"/>
      </w:pPr>
    </w:p>
    <w:p w14:paraId="227C0B2D" w14:textId="77777777" w:rsidR="003754FE" w:rsidRDefault="003754FE" w:rsidP="003754FE">
      <w:pPr>
        <w:pStyle w:val="TextoNormal"/>
      </w:pPr>
      <w:r>
        <w:t>“El señor Serrano Aguilar no ha sido condenado por el delito de malversación con base, exclusiva, en el contenido del informe adicional al informe de cumplimiento del año 2003. La prueba expuesta, que hemos examinado, evidencia que el conocimiento de la ilegalidad del sistema de concesión de ayudas objeto del presente procedimiento tuvo su origen en múltiple prueba distinta de aquel informe. Asimismo, evidencia que, pese a tal conocimiento, firmó un total de cuarenta convenios particulares, en virtud de los cuales se comprometió el pago de diversas cantidades en concepto de ayudas y subvenciones, con cargo a los fondos transferidos a la partida 440 del programa 31L. A ello debe añadirse que, desde un punto de vista contable, las cantidades transferidas solo podían ser destinadas a cubrir unos supuestos ‘gastos de explotación’, cuando, en realidad, fueron utilizados para el pago de las ayudas antes referidas”.</w:t>
      </w:r>
    </w:p>
    <w:p w14:paraId="3574078D" w14:textId="77777777" w:rsidR="003754FE" w:rsidRDefault="003754FE" w:rsidP="003754FE">
      <w:pPr>
        <w:pStyle w:val="TextoNormal"/>
      </w:pPr>
    </w:p>
    <w:p w14:paraId="2B5514F5" w14:textId="77777777" w:rsidR="003754FE" w:rsidRDefault="003754FE" w:rsidP="003754FE">
      <w:pPr>
        <w:pStyle w:val="TextoNormal"/>
      </w:pPr>
      <w:r>
        <w:t xml:space="preserve">Añade, haciendo mención a lo argumentado en relación con don José Antonio Griñán, que “la sentencia expone y justifica de forma bastante y racional todas aquellas pruebas directas e indirectas, en virtud de las cuales asumió la virtualidad de que los fondos vinculados al programa 31L, que se nutrían con las transferencias de financiación, serían destinados al pago de las ayudas comprometidas por la Consejería de Empleo. El uso de las transferencias de financiación para eludir la normativa de las subvenciones y, singularmente, el control previo de la Intervención ya era un dato muy revelador de que la gestión de las ayudas podía dar lugar a la arbitrariedad y el despilfarro. Pero el conocimiento efectivo de la forma absolutamente ilegal que se estaba utilizando para la concesión y pago de las ayudas es un elemento de prueba suficiente para declarar que el señor Griñán asumió la </w:t>
      </w:r>
      <w:r>
        <w:lastRenderedPageBreak/>
        <w:t>eventualidad de que los fondos transferidos podrían destinarse a fines distintos del interés público, en el sentido expuesto en esta resolución”.</w:t>
      </w:r>
    </w:p>
    <w:p w14:paraId="18C05869" w14:textId="77777777" w:rsidR="003754FE" w:rsidRDefault="003754FE" w:rsidP="003754FE">
      <w:pPr>
        <w:pStyle w:val="TextoNormal"/>
      </w:pPr>
    </w:p>
    <w:p w14:paraId="5010A1C1" w14:textId="77777777" w:rsidR="003754FE" w:rsidRDefault="003754FE" w:rsidP="003754FE">
      <w:pPr>
        <w:pStyle w:val="TextoNormal"/>
      </w:pPr>
      <w:r>
        <w:t>Y concluye que “la prueba de cargo demostrativa del dolo en el delito de malversación es plural y bastante. Asimismo, constatamos que la misma fue racionalmente valorada por el tri</w:t>
      </w:r>
      <w:r w:rsidRPr="003754FE">
        <w:rPr>
          <w:i/>
        </w:rPr>
        <w:t>bunal</w:t>
      </w:r>
      <w:r>
        <w:t xml:space="preserve"> a quo”.</w:t>
      </w:r>
    </w:p>
    <w:p w14:paraId="71AC639C" w14:textId="77777777" w:rsidR="003754FE" w:rsidRDefault="003754FE" w:rsidP="003754FE">
      <w:pPr>
        <w:pStyle w:val="TextoNormal"/>
      </w:pPr>
    </w:p>
    <w:p w14:paraId="3D0B0118" w14:textId="77777777" w:rsidR="003754FE" w:rsidRDefault="003754FE" w:rsidP="003754FE">
      <w:pPr>
        <w:pStyle w:val="TextoNormal"/>
      </w:pPr>
      <w:r>
        <w:t>Finalmente indica que:</w:t>
      </w:r>
    </w:p>
    <w:p w14:paraId="2DFDEBE6" w14:textId="77777777" w:rsidR="003754FE" w:rsidRDefault="003754FE" w:rsidP="003754FE">
      <w:pPr>
        <w:pStyle w:val="TextoNormal"/>
      </w:pPr>
    </w:p>
    <w:p w14:paraId="65BF4BEF" w14:textId="77777777" w:rsidR="003754FE" w:rsidRDefault="003754FE" w:rsidP="003754FE">
      <w:pPr>
        <w:pStyle w:val="TextoNormal"/>
      </w:pPr>
      <w:r>
        <w:t>“En resumen, las pruebas acreditan que el señor Serrano Aguilar:</w:t>
      </w:r>
    </w:p>
    <w:p w14:paraId="4C91C2FD" w14:textId="77777777" w:rsidR="003754FE" w:rsidRDefault="003754FE" w:rsidP="003754FE">
      <w:pPr>
        <w:pStyle w:val="TextoNormal"/>
      </w:pPr>
    </w:p>
    <w:p w14:paraId="747AFBC2" w14:textId="77777777" w:rsidR="003754FE" w:rsidRDefault="003754FE" w:rsidP="003754FE">
      <w:pPr>
        <w:pStyle w:val="TextoNormal"/>
      </w:pPr>
      <w:r>
        <w:t>(i) Ocupó el cargo de director general de la agencia IDEA desde el 17 de junio de 2004, hasta el 14 de mayo de 2008.</w:t>
      </w:r>
    </w:p>
    <w:p w14:paraId="38CF1D67" w14:textId="77777777" w:rsidR="003754FE" w:rsidRDefault="003754FE" w:rsidP="003754FE">
      <w:pPr>
        <w:pStyle w:val="TextoNormal"/>
      </w:pPr>
    </w:p>
    <w:p w14:paraId="7CC6026A" w14:textId="77777777" w:rsidR="003754FE" w:rsidRDefault="003754FE" w:rsidP="003754FE">
      <w:pPr>
        <w:pStyle w:val="TextoNormal"/>
      </w:pPr>
      <w:r>
        <w:t>Al tiempo de su toma de posesión, se hallaba instaurado el sistema de concesión ilegal de ayudas objeto de este procedimiento, en el que, desde el punto de vista presupuestario, las transferencias de financiación al IFA/IDEA desarrollaban un papel principal, al ser el mecanismo a través del cual de dotaba de fondos a la partida 440, del programa 22E/31L; y, desde el punto de vista de la ejecución del presupuesto, los convenios particulares otorgados al amparo del convenio marco de 17 de julio de 2001 constituyeron el instrumento a través del cual se comprometieron las ayudas que finalmente eran pagadas por el IFA/IDEA, que, a tal efecto, actuaba indebidamente como entidad colaboradora de la Consejería de Empleo.</w:t>
      </w:r>
    </w:p>
    <w:p w14:paraId="6143B962" w14:textId="77777777" w:rsidR="003754FE" w:rsidRDefault="003754FE" w:rsidP="003754FE">
      <w:pPr>
        <w:pStyle w:val="TextoNormal"/>
      </w:pPr>
    </w:p>
    <w:p w14:paraId="150325FD" w14:textId="77777777" w:rsidR="003754FE" w:rsidRDefault="003754FE" w:rsidP="003754FE">
      <w:pPr>
        <w:pStyle w:val="TextoNormal"/>
      </w:pPr>
      <w:r>
        <w:t>(ii) Al menos desde que le fueron comunicados el informe adicional al de cumplimiento del ejercicio 2003 de la agencia IDEA (el día 25 de julio de 2005), formulado por la Intervención General de la Junta de Andalucía y los sucesivos informes de cumplimiento, en su condición de director general de IDEA, tuvo conocimiento tanto del inadecuado uso de las transferencias para dotar de fondos a la partida 440, del programa 31L; como de la indebida utilización del IFA como entidad colaboradora para el pago de las ayudas comprometidas por la Dirección General de Trabajo de la Consejería de Empleo, de conformidad con la normativa vigente, así como de las graves irregularidades que se realizaban en la tramitación de los expedientes tramitados por la Dirección General de Trabajo.</w:t>
      </w:r>
    </w:p>
    <w:p w14:paraId="6EF72238" w14:textId="77777777" w:rsidR="003754FE" w:rsidRDefault="003754FE" w:rsidP="003754FE">
      <w:pPr>
        <w:pStyle w:val="TextoNormal"/>
      </w:pPr>
    </w:p>
    <w:p w14:paraId="3E241C9F" w14:textId="77777777" w:rsidR="003754FE" w:rsidRDefault="003754FE" w:rsidP="003754FE">
      <w:pPr>
        <w:pStyle w:val="TextoNormal"/>
      </w:pPr>
      <w:r>
        <w:t>(iii) Pese a ese conocimiento, firmó más de cuarenta convenios de ayudas sociolaborales y a empresas, con la Dirección General de Trabajo y Seguridad Social, al amparo del convenio marco de 17 de julio de 2001.</w:t>
      </w:r>
    </w:p>
    <w:p w14:paraId="3E3C50DD" w14:textId="77777777" w:rsidR="003754FE" w:rsidRDefault="003754FE" w:rsidP="003754FE">
      <w:pPr>
        <w:pStyle w:val="TextoNormal"/>
      </w:pPr>
    </w:p>
    <w:p w14:paraId="14204DB9" w14:textId="77777777" w:rsidR="003754FE" w:rsidRDefault="003754FE" w:rsidP="003754FE">
      <w:pPr>
        <w:pStyle w:val="TextoNormal"/>
      </w:pPr>
      <w:r>
        <w:t>(iv) A través de esos convenios, se comprometió el pago de cantidades sin cobertura presupuestaria, lo que conllevó que el IFA reconoció un pasivo exigible con solicitantes de ayudas por esas cantidades, causando un déficit en las cuentas de la agencia IDEA. Ese resultado negativo provocó una disminución neta por ese importe de los fondos propios y esa disminución, siquiera temporal, de los fondos propios del organismo, afectó a determinadas magnitudes financieras, en particular, al fondo de maniobra/capital circulante, a la autonomía financiera, al endeudamiento y a la solvencia. Fue consciente de ese déficit, en la medida en que era el encargado de elaborar las cuentas de la agencia IDEA y, asimismo, por cuanto le fue advertido en los informes antes referidos.</w:t>
      </w:r>
    </w:p>
    <w:p w14:paraId="10F7290D" w14:textId="77777777" w:rsidR="003754FE" w:rsidRDefault="003754FE" w:rsidP="003754FE">
      <w:pPr>
        <w:pStyle w:val="TextoNormal"/>
      </w:pPr>
    </w:p>
    <w:p w14:paraId="05AF721E" w14:textId="77777777" w:rsidR="003754FE" w:rsidRDefault="003754FE" w:rsidP="003754FE">
      <w:pPr>
        <w:pStyle w:val="TextoNormal"/>
      </w:pPr>
      <w:r>
        <w:lastRenderedPageBreak/>
        <w:t>(v) De acuerdo con lo expuesto, el señor Serrano Aguilar, consciente de la ilegalidad del sistema de concesión de ayudas, en cuyo desarrollo y ejecución intervino de forma directa (en particular, al firmar los convenios particulares), asumió la eventualidad de que los fondos vinculados al programa 31L fueran dispuestos con fines ajenos al fin público al que estaban destinados.</w:t>
      </w:r>
    </w:p>
    <w:p w14:paraId="09A857EF" w14:textId="77777777" w:rsidR="003754FE" w:rsidRDefault="003754FE" w:rsidP="003754FE">
      <w:pPr>
        <w:pStyle w:val="TextoNormal"/>
      </w:pPr>
    </w:p>
    <w:p w14:paraId="46E6FE85" w14:textId="77777777" w:rsidR="003754FE" w:rsidRDefault="003754FE" w:rsidP="003754FE">
      <w:pPr>
        <w:pStyle w:val="TextoNormal"/>
      </w:pPr>
      <w:r>
        <w:t xml:space="preserve">Por todo ello, concluimos que participó de forma consciente en la totalidad de los hechos expuestos en el </w:t>
      </w:r>
      <w:r w:rsidRPr="003754FE">
        <w:rPr>
          <w:i/>
        </w:rPr>
        <w:t>factum</w:t>
      </w:r>
      <w:r>
        <w:t xml:space="preserve"> de la sentencia a él atribuidos, al resultar acreditados por prueba suficiente al efecto, y, por tanto, que ninguna vulneración de su derecho a la presunción de inocencia se ha producido. La prueba de cargo fue bastante y su valoración lógica y racional”.</w:t>
      </w:r>
    </w:p>
    <w:p w14:paraId="0ADC82B7" w14:textId="77777777" w:rsidR="003754FE" w:rsidRDefault="003754FE" w:rsidP="003754FE">
      <w:pPr>
        <w:pStyle w:val="TextoNormal"/>
      </w:pPr>
    </w:p>
    <w:p w14:paraId="3EFC37DB" w14:textId="77777777" w:rsidR="003754FE" w:rsidRDefault="003754FE" w:rsidP="003754FE">
      <w:pPr>
        <w:pStyle w:val="TextoNormal"/>
      </w:pPr>
      <w:r>
        <w:t>5.4</w:t>
      </w:r>
      <w:r w:rsidRPr="003754FE">
        <w:rPr>
          <w:i/>
        </w:rPr>
        <w:t>. Fundamentación de la sentencia de la Audiencia Provincial de Sevil</w:t>
      </w:r>
      <w:r>
        <w:t>la</w:t>
      </w:r>
    </w:p>
    <w:p w14:paraId="749A7E82" w14:textId="77777777" w:rsidR="003754FE" w:rsidRDefault="003754FE" w:rsidP="003754FE">
      <w:pPr>
        <w:pStyle w:val="TextoNormal"/>
      </w:pPr>
    </w:p>
    <w:p w14:paraId="61BD9C94" w14:textId="77777777" w:rsidR="003754FE" w:rsidRDefault="003754FE" w:rsidP="003754FE">
      <w:pPr>
        <w:pStyle w:val="TextoNormal"/>
      </w:pPr>
      <w:r>
        <w:t xml:space="preserve">La sentencia de la Audiencia Provincial 490/2019, de 19 de noviembre, con fundamento en la prueba documental, considera acreditado que: (i) El informe de auditoría financiera de las cuentas anuales del IFA del ejercicio 2003, dirigido a su consejo rector y firmado el 15 de julio de 2004, cuantifica el déficit presupuestario en materia de ayudas sociolaborales y ayudas a empresas en crisis. (ii) Los responsables del IFA era conocedores de que dicha institución no concedía ayuda alguna. (iii) Tras la adscripción del IFA a la Consejería de Innovación en el año 2004 fue presidente don Francisco Vallejo Serrano, como consejero de Innovación (desde el 25 de abril de 2004 hasta el 24 de abril de 2009) y don Jesús María Rodríguez Román (desde el 19 de marzo de 2005 hasta el 1 de abril de 2010) estuvo presente en las sesiones del consejo rector en su calidad de viceconsejero de Innovación y Miguel Ángel Serrano Aguilar como director general del IFA/IDEA (entre junio de 2004 y mayo de 2008). (iv) El IFA/IDEA estaba sujeto a control financiero permanente de la Intervención General de la Junta de Andalucía que materializaba tres informes anuales, entre cuyos destinatarios estaba el director y el presidente del instituto. (v) En todos los referidos informes de cuentas anuales y auditorias de cumplimiento desde el año 2001 hasta el 2009 se recogía que la utilización de los fondos recibidos como </w:t>
      </w:r>
      <w:r w:rsidRPr="003754FE">
        <w:rPr>
          <w:i/>
        </w:rPr>
        <w:t>transferencias de financiación para el gasto publico realizado de subvenciones excepcionales era inadecuado</w:t>
      </w:r>
      <w:r>
        <w:t xml:space="preserve">. (vi) En los informes de auditoría de cumplimiento, desde el 2005 hasta el 2009, se recoge que el IFA/IDEA </w:t>
      </w:r>
      <w:r w:rsidRPr="003754FE">
        <w:rPr>
          <w:i/>
        </w:rPr>
        <w:t>actuaba de manera improcedente porque lo que se estaba pagando por este eran subvenciones excepcionales, que no podían ser objeto de pago a través de entidades colaboradoras</w:t>
      </w:r>
      <w:r>
        <w:t>. (vii) El recurrente era destinatario de los informes de control financiero permanente del IFA/IDEA y tuvo conocimiento por tanto del uso del improcedente procedimiento descrito por el que se usaban transferencias de financiación para la concesión de ayudas sin cumplir los mecanismos de control de las mismas.</w:t>
      </w:r>
    </w:p>
    <w:p w14:paraId="4AF29073" w14:textId="77777777" w:rsidR="003754FE" w:rsidRDefault="003754FE" w:rsidP="003754FE">
      <w:pPr>
        <w:pStyle w:val="TextoNormal"/>
      </w:pPr>
    </w:p>
    <w:p w14:paraId="4AB67BC4" w14:textId="77777777" w:rsidR="003754FE" w:rsidRDefault="003754FE" w:rsidP="003754FE">
      <w:pPr>
        <w:pStyle w:val="TextoNormal"/>
      </w:pPr>
      <w:r>
        <w:t>5.5</w:t>
      </w:r>
      <w:r w:rsidRPr="003754FE">
        <w:rPr>
          <w:i/>
        </w:rPr>
        <w:t>. Doctrina constitucional sobre la presunción de inocenc</w:t>
      </w:r>
      <w:r>
        <w:t>ia</w:t>
      </w:r>
    </w:p>
    <w:p w14:paraId="65A5D785" w14:textId="77777777" w:rsidR="003754FE" w:rsidRDefault="003754FE" w:rsidP="003754FE">
      <w:pPr>
        <w:pStyle w:val="TextoNormal"/>
      </w:pPr>
    </w:p>
    <w:p w14:paraId="7174FD3E" w14:textId="77777777" w:rsidR="003754FE" w:rsidRDefault="003754FE" w:rsidP="003754FE">
      <w:pPr>
        <w:pStyle w:val="TextoNormal"/>
      </w:pPr>
      <w:r>
        <w:t xml:space="preserve">Este tribunal viene afirmando desde la STC 31/1981, de 28 de julio, que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“solo cabrá constatar una vulneración del </w:t>
      </w:r>
      <w:r>
        <w:lastRenderedPageBreak/>
        <w:t>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w:t>
      </w:r>
      <w:r w:rsidRPr="003754FE">
        <w:rPr>
          <w:i/>
        </w:rPr>
        <w:t>l it</w:t>
      </w:r>
      <w:r>
        <w:t>er discursivo que conduce de la prueba al hecho probado” (FJ 2).</w:t>
      </w:r>
    </w:p>
    <w:p w14:paraId="76462ABC" w14:textId="77777777" w:rsidR="003754FE" w:rsidRDefault="003754FE" w:rsidP="003754FE">
      <w:pPr>
        <w:pStyle w:val="TextoNormal"/>
      </w:pPr>
    </w:p>
    <w:p w14:paraId="154CE99F" w14:textId="77777777" w:rsidR="003754FE" w:rsidRDefault="003754FE" w:rsidP="003754FE">
      <w:pPr>
        <w:pStyle w:val="TextoNormal"/>
      </w:pPr>
      <w:r>
        <w:t>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(por todas, STC 137/2005, de 23 de mayo, FJ 2).</w:t>
      </w:r>
    </w:p>
    <w:p w14:paraId="3DA73C7E" w14:textId="77777777" w:rsidR="003754FE" w:rsidRDefault="003754FE" w:rsidP="003754FE">
      <w:pPr>
        <w:pStyle w:val="TextoNormal"/>
      </w:pPr>
    </w:p>
    <w:p w14:paraId="2E8CC3B0" w14:textId="77777777" w:rsidR="003754FE" w:rsidRDefault="003754FE" w:rsidP="003754FE">
      <w:pPr>
        <w:pStyle w:val="TextoNormal"/>
      </w:pPr>
      <w:r>
        <w:t>De este modo, hemos declarado con especial contundencia que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[entre otras, SSTC 111/2008, de 22 de septiembre, FJ 3 a), y 68/2010, de 18 de octubre, FJ 4], advirtiendo que esta supervisión externa que hemos de realizar para apreciar la razonabilidad del expresado discurso ha de ser “extraordinariamente cautelosa” pues, en rigor, “la función de este tribunal no consiste en enjuiciar el resultado alcanzado, sino el control externo del razonamiento lógico seguido para llegar a él” (STC 66/2009, de 9 de marzo, FJ 6).</w:t>
      </w:r>
    </w:p>
    <w:p w14:paraId="411A426F" w14:textId="77777777" w:rsidR="003754FE" w:rsidRDefault="003754FE" w:rsidP="003754FE">
      <w:pPr>
        <w:pStyle w:val="TextoNormal"/>
      </w:pPr>
    </w:p>
    <w:p w14:paraId="71CB2757" w14:textId="77777777" w:rsidR="003754FE" w:rsidRDefault="003754FE" w:rsidP="003754FE">
      <w:pPr>
        <w:pStyle w:val="TextoNormal"/>
      </w:pPr>
      <w:r>
        <w:t>Esta imposibilidad de revisar por parte de este Tribunal Constitucional los diferentes elementos probatorios en que los tribunales penales basan su convicción, en la forma expuesta, resulta fundamentada, además, tanto por la prohibición legal de que el Tribunal Constitucional entre a valorar los hechos del proceso [art. 44.1 b) LOTC], como por la imposibilidad material de que los procesos constitucionales puedan contar con las garantías de oralidad, inmediación y contradicción que deben rodear a la valoración probatoria.</w:t>
      </w:r>
    </w:p>
    <w:p w14:paraId="3B77FB39" w14:textId="77777777" w:rsidR="003754FE" w:rsidRDefault="003754FE" w:rsidP="003754FE">
      <w:pPr>
        <w:pStyle w:val="TextoNormal"/>
      </w:pPr>
    </w:p>
    <w:p w14:paraId="29D4CCF0" w14:textId="77777777" w:rsidR="003754FE" w:rsidRDefault="003754FE" w:rsidP="003754FE">
      <w:pPr>
        <w:pStyle w:val="TextoNormal"/>
      </w:pPr>
      <w:r>
        <w:t>5.6</w:t>
      </w:r>
      <w:r w:rsidRPr="003754FE">
        <w:rPr>
          <w:i/>
        </w:rPr>
        <w:t>. Aplicación del derecho a la presunción de inocencia (art. 24.2 C</w:t>
      </w:r>
      <w:r>
        <w:t>E)</w:t>
      </w:r>
    </w:p>
    <w:p w14:paraId="5EAE77AD" w14:textId="77777777" w:rsidR="003754FE" w:rsidRDefault="003754FE" w:rsidP="003754FE">
      <w:pPr>
        <w:pStyle w:val="TextoNormal"/>
      </w:pPr>
    </w:p>
    <w:p w14:paraId="51C3D876" w14:textId="77777777" w:rsidR="003754FE" w:rsidRDefault="003754FE" w:rsidP="003754FE">
      <w:pPr>
        <w:pStyle w:val="TextoNormal"/>
      </w:pPr>
      <w:r>
        <w:t xml:space="preserve">Como se ha expuesto, el recurrente considera que la única prueba de la que se infiere el conocimiento del mal uso de los fondos es la de haber tenido conocimiento del informe adicional de cumplimiento del ejercicio 2003 por la Intervención del control financiero permanente del IFA/IDEA. Dicho argumento, a la vista del contenido de la sentencia del Tribunal Supremo 749/2022 y de la sentencia de la Audiencia Provincial 490/2019, no es sostenible como bien indica la fiscal en sus alegaciones. La atribución al recurrente del conocimiento del mal uso de los fondos no se sustentó, como resulta de lo expuesto, en el del informe adicional de cumplimiento del ejercicio 2003 por la Intervención del control financiero permanente del IFA/IDEA, sino en la abundante prueba documental consistente en informes de cuentas anuales y auditorías de cumplimiento que año tras año recogían que la utilización de los fondos recibidos como </w:t>
      </w:r>
      <w:r w:rsidRPr="003754FE">
        <w:rPr>
          <w:i/>
        </w:rPr>
        <w:t>transferencias de financiación para el gasto público realizado de subvenciones excepcionales era inadecuado</w:t>
      </w:r>
      <w:r>
        <w:t xml:space="preserve"> y que se facilitaban al recurrente atendida su condición de director del IFA/IDEA.</w:t>
      </w:r>
    </w:p>
    <w:p w14:paraId="70AB9A67" w14:textId="77777777" w:rsidR="003754FE" w:rsidRDefault="003754FE" w:rsidP="003754FE">
      <w:pPr>
        <w:pStyle w:val="TextoNormal"/>
      </w:pPr>
    </w:p>
    <w:p w14:paraId="5E0C8ECF" w14:textId="77777777" w:rsidR="003754FE" w:rsidRDefault="003754FE" w:rsidP="003754FE">
      <w:pPr>
        <w:pStyle w:val="TextoNormal"/>
      </w:pPr>
      <w:r>
        <w:lastRenderedPageBreak/>
        <w:t>Desde la proclamada falta de competencia de esta jurisdicción de amparo para la valoración de la actividad probatoria practicada en un proceso penal y para la evaluación de dicha valoración conforme a criterios de calidad o de oportunidad, puede indicarse que el discurso de las sentencias por las que se ha sustentado que el recurrente actuó con conocimiento de la ilicitud del comportamiento no es irrazonable, sin que nos corresponda enjuiciar el resultado alcanzado, sino el control externo del razonamiento lógico seguido para llegar a él.</w:t>
      </w:r>
    </w:p>
    <w:p w14:paraId="0F84275F" w14:textId="77777777" w:rsidR="003754FE" w:rsidRDefault="003754FE" w:rsidP="003754FE">
      <w:pPr>
        <w:pStyle w:val="TextoNormal"/>
      </w:pPr>
    </w:p>
    <w:p w14:paraId="4DE0581D" w14:textId="77777777" w:rsidR="003754FE" w:rsidRDefault="003754FE" w:rsidP="003754FE">
      <w:pPr>
        <w:pStyle w:val="TextoNormal"/>
      </w:pPr>
      <w:r>
        <w:t>Es por ello por lo que la vulneración del derecho a la presunción de inocencia (art. 24.1 CE) debió ser desestimada.</w:t>
      </w:r>
    </w:p>
    <w:p w14:paraId="6CC96C33" w14:textId="77777777" w:rsidR="003754FE" w:rsidRDefault="003754FE" w:rsidP="003754FE">
      <w:pPr>
        <w:pStyle w:val="TextoNormal"/>
      </w:pPr>
    </w:p>
    <w:p w14:paraId="5C3AB476" w14:textId="77777777" w:rsidR="003754FE" w:rsidRDefault="003754FE" w:rsidP="003754FE">
      <w:pPr>
        <w:pStyle w:val="TextoNormal"/>
      </w:pPr>
      <w:r>
        <w:t>5.7</w:t>
      </w:r>
      <w:r w:rsidRPr="003754FE">
        <w:rPr>
          <w:i/>
        </w:rPr>
        <w:t>. Extralimitación de la sentencia de las funciones que le corresponden al Tribunal Constitucional al examinar la vulneración del derecho a la presunción de inocenc</w:t>
      </w:r>
      <w:r>
        <w:t>ia</w:t>
      </w:r>
    </w:p>
    <w:p w14:paraId="0DA6882F" w14:textId="77777777" w:rsidR="003754FE" w:rsidRDefault="003754FE" w:rsidP="003754FE">
      <w:pPr>
        <w:pStyle w:val="TextoNormal"/>
      </w:pPr>
    </w:p>
    <w:p w14:paraId="089F7969" w14:textId="77777777" w:rsidR="003754FE" w:rsidRDefault="003754FE" w:rsidP="003754FE">
      <w:pPr>
        <w:pStyle w:val="TextoNormal"/>
      </w:pPr>
      <w:r>
        <w:t>a) La sentencia a la que formulamos el presente voto particular estima la vulneración del derecho a la presunción de inocencia. Para ello efectúa un extracto mínimo y sesgado del contenido de la sentencia del Tribunal Supremo, que puede ser efectuado por el silencio que de la misma se guarda en los antecedentes y por la mínima mención que se efectúa al razonamiento de la sentencia de la Audiencia Provincial 490/2019. No toma en consideración los argumentos que, expuestos en ambas sentencias y referidos a la ingente prueba documental, sustentan la existencia de prueba de cargo del conocimiento de la ilicitud, única cuestión que plantea el recurrente vinculada a la presunción de inocencia.</w:t>
      </w:r>
    </w:p>
    <w:p w14:paraId="7801DC76" w14:textId="77777777" w:rsidR="003754FE" w:rsidRDefault="003754FE" w:rsidP="003754FE">
      <w:pPr>
        <w:pStyle w:val="TextoNormal"/>
      </w:pPr>
    </w:p>
    <w:p w14:paraId="0212C01C" w14:textId="77777777" w:rsidR="003754FE" w:rsidRDefault="003754FE" w:rsidP="003754FE">
      <w:pPr>
        <w:pStyle w:val="TextoNormal"/>
      </w:pPr>
      <w:r>
        <w:t>b) La sentencia que resuelve el recurso de amparo asume la posición de tribunal de apelación para de este modo revisar la valoración probatoria y sustituir a los jueces y tribunales ordinarios en la función exclusiva que les atribuye el art. 117.3 CE. Ahora bien, ni el recurso de amparo es un recurso de apelación, ni el Tribunal Constitucional una segunda instancia.</w:t>
      </w:r>
    </w:p>
    <w:p w14:paraId="2D0CE878" w14:textId="77777777" w:rsidR="003754FE" w:rsidRDefault="003754FE" w:rsidP="003754FE">
      <w:pPr>
        <w:pStyle w:val="TextoNormal"/>
      </w:pPr>
    </w:p>
    <w:p w14:paraId="19983B68" w14:textId="77777777" w:rsidR="003754FE" w:rsidRDefault="003754FE" w:rsidP="003754FE">
      <w:pPr>
        <w:pStyle w:val="TextoNormal"/>
      </w:pPr>
      <w:r>
        <w:t>c) La sentencia que resuelve el recurso de amparo, desborda lo planteado en el recurso de amparo y efectúa un verdadero control de oficio de las resoluciones impugnadas al afirmar, en referencia al razonamiento de las sentencias de instancia y de casación, que “no aparece detallado con la misma exhaustividad a la hora de motivar la posible participación de aquel en la asignación de fondos del programa 31L […] no desarrolla un mínimo juicio de autoría que permita determinar si el señor Serrano Aguilar tuvo el dominio funcional del hecho y si realizó u omitió, dentro del marco de dicho dominio, actos que favorecieron directamente la asignación material de estos fondos”.</w:t>
      </w:r>
    </w:p>
    <w:p w14:paraId="279375CC" w14:textId="77777777" w:rsidR="003754FE" w:rsidRDefault="003754FE" w:rsidP="003754FE">
      <w:pPr>
        <w:pStyle w:val="TextoNormal"/>
      </w:pPr>
    </w:p>
    <w:p w14:paraId="14FB3182" w14:textId="77777777" w:rsidR="003754FE" w:rsidRDefault="003754FE" w:rsidP="003754FE">
      <w:pPr>
        <w:pStyle w:val="TextoNormal"/>
      </w:pPr>
      <w:r>
        <w:t>d) Para efectuar tales aseveraciones omite los razonamientos anteriormente expuestos en los apartados 5.3 y 5.4 en virtud de los cuales el recurrente fue director del IFA/IDEA, conocía que el instituto no daba ayudas, pero firmaba las mismas pese a las alertas de improcedencia de los informes anuales que se efectuaban.</w:t>
      </w:r>
    </w:p>
    <w:p w14:paraId="373883E4" w14:textId="77777777" w:rsidR="003754FE" w:rsidRDefault="003754FE" w:rsidP="003754FE">
      <w:pPr>
        <w:pStyle w:val="TextoNormal"/>
      </w:pPr>
    </w:p>
    <w:p w14:paraId="5DFED115" w14:textId="77777777" w:rsidR="003754FE" w:rsidRDefault="003754FE" w:rsidP="003754FE">
      <w:pPr>
        <w:pStyle w:val="TextoNormal"/>
      </w:pPr>
      <w:r>
        <w:t xml:space="preserve">e) Finalmente, cuando la sentencia aborda lo que realmente plantea el recurrente en relación con la presunción de inocencia, se limita a minimizar, en dos párrafos [FJ 6.4 (i) y (ii)], el razonamiento de las sentencias. Ignora la multitud de informes anuales que se remitían al recurrente en su condición de director del IFA/IDEA en los que se indicaba que la utilización de los fondos recibidos como transferencias de financiación para el gasto público realizado de subvenciones excepcionales era inadecuado y de este modo, excluida la extensa referencia que las sentencias efectúan a tales informes de auditoría y al concreto contenido </w:t>
      </w:r>
      <w:r>
        <w:lastRenderedPageBreak/>
        <w:t>de los mismos, alcanza la conclusión, sin más, de que el juicio de inferencia no resulta suficiente.</w:t>
      </w:r>
    </w:p>
    <w:p w14:paraId="306EB7FE" w14:textId="77777777" w:rsidR="003754FE" w:rsidRDefault="003754FE" w:rsidP="003754FE">
      <w:pPr>
        <w:pStyle w:val="TextoNormal"/>
      </w:pPr>
    </w:p>
    <w:p w14:paraId="24F12C42" w14:textId="77777777" w:rsidR="003754FE" w:rsidRDefault="003754FE" w:rsidP="003754FE">
      <w:pPr>
        <w:pStyle w:val="TextoNormal"/>
      </w:pPr>
      <w:r>
        <w:t>f) La sentencia ha efectuado una revisión de oficio de la motivación de las resoluciones impugnadas adentrándose en aspectos probatorios no controvertidos por el recurrente.</w:t>
      </w:r>
    </w:p>
    <w:p w14:paraId="2F949AD0" w14:textId="77777777" w:rsidR="003754FE" w:rsidRDefault="003754FE" w:rsidP="003754FE">
      <w:pPr>
        <w:pStyle w:val="TextoNormal"/>
      </w:pPr>
    </w:p>
    <w:p w14:paraId="58A4A778" w14:textId="77777777" w:rsidR="003754FE" w:rsidRDefault="003754FE" w:rsidP="003754FE">
      <w:pPr>
        <w:pStyle w:val="TextoNormal"/>
      </w:pPr>
      <w:r>
        <w:t>g) Finalmente, cuando la sentencia examina la queja del recurrente realiza un análisis sesgado y parcial del razonamiento de las sentencias de instancia y de casación para poder así considerar que no quedó acreditado que participó de forma activa u omisiva y con conocimiento de que los fondos públicos del programa 31L se estaban concediendo sin que existiera un fin público con el que justificar la concesión o para fines distintos de los previstos. De este modo margina la valoración probatoria de las sentencias a la que antes se ha hecho referencia y suplanta a los tribunales ordinarios en la función que les corresponde.</w:t>
      </w:r>
    </w:p>
    <w:p w14:paraId="4C9A7BD0" w14:textId="77777777" w:rsidR="003754FE" w:rsidRDefault="003754FE" w:rsidP="003754FE">
      <w:pPr>
        <w:pStyle w:val="TextoNormal"/>
      </w:pPr>
    </w:p>
    <w:p w14:paraId="3323DFB6" w14:textId="77777777" w:rsidR="003754FE" w:rsidRDefault="003754FE" w:rsidP="003754FE">
      <w:pPr>
        <w:pStyle w:val="TextoNormal"/>
      </w:pPr>
      <w:r>
        <w:t>h) La sentencia efectúa un viraje en relación al tradicional modo de enfocar la vulneración del derecho a la presunción de inocencia y enjuicia la valoración de la prueba conforme a criterios de calidad o de oportunidad, alejándose de la supervisión externa que le corresponde y de la “extraordinaria cautela” que debe asumir, al no ser función del Tribunal enjuiciar el resultado alcanzado, sino controlar externamente el razonamiento lógico seguido por las resoluciones impugnadas. La argumentación de las sentencias de instancia y de casación, en razón a lo indicado, justifica de modo coherente el conocimiento que el recurrente tenía de la ilicitud de la concesión de ayudas por el IFA/IDEA en el periodo en el que él fue director.</w:t>
      </w:r>
    </w:p>
    <w:p w14:paraId="70236E92" w14:textId="77777777" w:rsidR="003754FE" w:rsidRDefault="003754FE" w:rsidP="003754FE">
      <w:pPr>
        <w:pStyle w:val="TextoNormal"/>
      </w:pPr>
    </w:p>
    <w:p w14:paraId="697196BB" w14:textId="77777777" w:rsidR="003754FE" w:rsidRDefault="003754FE" w:rsidP="003754FE">
      <w:pPr>
        <w:pStyle w:val="TextoNormal"/>
      </w:pPr>
      <w:r>
        <w:t>En atención a lo expuesto formulamos el presente voto particular.</w:t>
      </w:r>
    </w:p>
    <w:p w14:paraId="1EE12EDD" w14:textId="77777777" w:rsidR="003754FE" w:rsidRDefault="003754FE" w:rsidP="003754FE">
      <w:pPr>
        <w:pStyle w:val="TextoNormal"/>
      </w:pPr>
    </w:p>
    <w:p w14:paraId="0F056B3B" w14:textId="1B8EC7DD" w:rsidR="003754FE" w:rsidRDefault="003754FE" w:rsidP="003754FE">
      <w:pPr>
        <w:pStyle w:val="TextoNormal"/>
      </w:pPr>
      <w:r>
        <w:t>Madrid, a dos de julio de dos mil veinticuatro.</w:t>
      </w:r>
    </w:p>
    <w:p w14:paraId="4D3ED1FC" w14:textId="7E0A9326" w:rsidR="003754FE" w:rsidRDefault="003754FE">
      <w:pPr>
        <w:spacing w:after="160" w:line="278" w:lineRule="auto"/>
        <w:rPr>
          <w:rFonts w:ascii="Times New Roman" w:eastAsia="Times New Roman" w:hAnsi="Times New Roman" w:cs="Times New Roman"/>
          <w:sz w:val="24"/>
          <w:szCs w:val="24"/>
          <w:lang w:eastAsia="es-ES"/>
        </w:rPr>
      </w:pPr>
      <w:r>
        <w:br w:type="page"/>
      </w:r>
    </w:p>
    <w:p w14:paraId="3DFBCF34" w14:textId="77777777" w:rsidR="003754FE" w:rsidRDefault="003754FE" w:rsidP="003754FE">
      <w:pPr>
        <w:pStyle w:val="TtuloResolucin"/>
      </w:pPr>
      <w:bookmarkStart w:id="4" w:name="SENTENCIA_2024_95"/>
      <w:r>
        <w:lastRenderedPageBreak/>
        <w:t>SENTENCIA 95/2024, de 3 de julio de 2024</w:t>
      </w:r>
    </w:p>
    <w:bookmarkEnd w:id="4"/>
    <w:p w14:paraId="1B33452E" w14:textId="77777777" w:rsidR="003754FE" w:rsidRDefault="003754FE" w:rsidP="003754FE">
      <w:pPr>
        <w:pStyle w:val="TtuloResolucin"/>
      </w:pPr>
      <w:r>
        <w:t>Pleno</w:t>
      </w:r>
    </w:p>
    <w:p w14:paraId="2E20B282" w14:textId="77777777" w:rsidR="003754FE" w:rsidRDefault="003754FE" w:rsidP="003754FE">
      <w:pPr>
        <w:pStyle w:val="TtuloBOE"/>
      </w:pPr>
      <w:r>
        <w:t>(BOE núm. 186, de 2 de agosto de 2024)</w:t>
      </w:r>
    </w:p>
    <w:p w14:paraId="50410F56" w14:textId="77777777" w:rsidR="003754FE" w:rsidRDefault="003754FE" w:rsidP="003754FE">
      <w:pPr>
        <w:pStyle w:val="TextoNormalCentrado"/>
      </w:pPr>
      <w:r>
        <w:t>ECLI:ES:TC:2024:95</w:t>
      </w:r>
    </w:p>
    <w:p w14:paraId="686CF458" w14:textId="36E6D333" w:rsidR="003754FE" w:rsidRDefault="003754FE" w:rsidP="003754FE">
      <w:pPr>
        <w:pStyle w:val="TextoNormalCentrado"/>
      </w:pPr>
    </w:p>
    <w:p w14:paraId="19708019" w14:textId="77777777" w:rsidR="003754FE" w:rsidRDefault="003754FE" w:rsidP="003754FE">
      <w:pPr>
        <w:pStyle w:val="SntesisDescriptiva"/>
      </w:pPr>
      <w:r>
        <w:t>Recurso de amparo 2348-2023. Promovido por don Antonio Fernández García respecto de las sentencias dictadas por la Sala de lo Penal del Tribunal Supremo y la Audiencia Provincial de Sevilla que le condenaron por un delito continuado de prevaricación en concurso medial con un delito continuado de malversación de caudales públicos.</w:t>
      </w:r>
    </w:p>
    <w:p w14:paraId="69982BD3" w14:textId="6BD9B137" w:rsidR="003754FE" w:rsidRDefault="003754FE" w:rsidP="003754FE">
      <w:pPr>
        <w:pStyle w:val="SntesisDescriptiva"/>
      </w:pPr>
    </w:p>
    <w:p w14:paraId="7CB8FBE1" w14:textId="77777777" w:rsidR="003754FE" w:rsidRDefault="003754FE" w:rsidP="003754FE">
      <w:pPr>
        <w:pStyle w:val="SntesisAnaltica"/>
      </w:pPr>
      <w:r>
        <w:t>Vulneración del derecho a la legalidad penal: condena basada en una interpretación del todo imprevisible del tipo objetivo. Votos particulares.</w:t>
      </w:r>
    </w:p>
    <w:p w14:paraId="40E5A6A9" w14:textId="45377CBB" w:rsidR="003754FE" w:rsidRDefault="003754FE" w:rsidP="003754FE">
      <w:pPr>
        <w:pStyle w:val="SntesisAnaltica"/>
      </w:pPr>
    </w:p>
    <w:p w14:paraId="4544BF92" w14:textId="445F2729" w:rsidR="003754FE" w:rsidRDefault="003754FE" w:rsidP="003754FE">
      <w:pPr>
        <w:pStyle w:val="Extracto"/>
      </w:pPr>
      <w:r>
        <w:t>1.</w:t>
      </w:r>
      <w:r>
        <w:tab/>
        <w:t xml:space="preserve">En el marco de la serie de sentencias dictadas en relación con el denominado proceso “ERE”, -que en este caso derivó en condena por delito continuado de prevaricación administrativa del art. 404 CP, en concurso medial con un delito continuado de malversación de caudales públicos del art. 432 CP-, se reitera doctrina en materia de la vulneración del derecho a la legalidad penal </w:t>
      </w:r>
      <w:r w:rsidRPr="003754FE">
        <w:rPr>
          <w:i/>
        </w:rPr>
        <w:t>ex</w:t>
      </w:r>
      <w:r>
        <w:t xml:space="preserve"> art. 25.1 CE (SSTC 93/2024 y 94/2024) [FJ 3].</w:t>
      </w:r>
    </w:p>
    <w:p w14:paraId="4838BA81" w14:textId="77777777" w:rsidR="003754FE" w:rsidRDefault="003754FE" w:rsidP="003754FE">
      <w:pPr>
        <w:pStyle w:val="Extracto"/>
      </w:pPr>
    </w:p>
    <w:p w14:paraId="1BA1E75F" w14:textId="77777777" w:rsidR="003754FE" w:rsidRDefault="003754FE" w:rsidP="003754FE">
      <w:pPr>
        <w:pStyle w:val="Extracto"/>
      </w:pPr>
    </w:p>
    <w:p w14:paraId="4BDA4474"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08131715" w14:textId="63B5ADD2" w:rsidR="003754FE" w:rsidRDefault="003754FE" w:rsidP="003754FE">
      <w:pPr>
        <w:pStyle w:val="TextoNormal"/>
      </w:pPr>
    </w:p>
    <w:p w14:paraId="0CB6C2AE" w14:textId="77777777" w:rsidR="003754FE" w:rsidRDefault="003754FE" w:rsidP="003754FE">
      <w:pPr>
        <w:pStyle w:val="TextoNormalCentrado"/>
        <w:keepNext/>
      </w:pPr>
      <w:r>
        <w:t>EN NOMBRE DEL REY</w:t>
      </w:r>
    </w:p>
    <w:p w14:paraId="21C8265D" w14:textId="167474EF" w:rsidR="003754FE" w:rsidRDefault="003754FE" w:rsidP="003754FE">
      <w:pPr>
        <w:pStyle w:val="TextoNormalCentrado"/>
        <w:keepNext/>
      </w:pPr>
    </w:p>
    <w:p w14:paraId="5EC423D8" w14:textId="77777777" w:rsidR="003754FE" w:rsidRDefault="003754FE" w:rsidP="003754FE">
      <w:pPr>
        <w:pStyle w:val="TextoNormalCentrado"/>
        <w:keepNext/>
      </w:pPr>
    </w:p>
    <w:p w14:paraId="606C8DAF" w14:textId="77777777" w:rsidR="003754FE" w:rsidRDefault="003754FE" w:rsidP="003754FE">
      <w:pPr>
        <w:pStyle w:val="TextoNormal"/>
      </w:pPr>
      <w:r>
        <w:t>la siguiente</w:t>
      </w:r>
    </w:p>
    <w:p w14:paraId="5AF13E22" w14:textId="73E983A7" w:rsidR="003754FE" w:rsidRDefault="003754FE" w:rsidP="003754FE">
      <w:pPr>
        <w:pStyle w:val="TextoNormal"/>
      </w:pPr>
    </w:p>
    <w:p w14:paraId="7E72C490" w14:textId="77777777" w:rsidR="003754FE" w:rsidRDefault="003754FE" w:rsidP="003754FE">
      <w:pPr>
        <w:pStyle w:val="TextoNormalCentrado"/>
        <w:keepNext/>
      </w:pPr>
      <w:r>
        <w:t>SENTENCIA</w:t>
      </w:r>
    </w:p>
    <w:p w14:paraId="0B7C8342" w14:textId="42C44408" w:rsidR="003754FE" w:rsidRDefault="003754FE" w:rsidP="003754FE">
      <w:pPr>
        <w:pStyle w:val="TextoNormalCentrado"/>
        <w:keepNext/>
      </w:pPr>
    </w:p>
    <w:p w14:paraId="0874229C" w14:textId="77777777" w:rsidR="003754FE" w:rsidRDefault="003754FE" w:rsidP="003754FE">
      <w:pPr>
        <w:pStyle w:val="TextoNormal"/>
      </w:pPr>
      <w:r>
        <w:t xml:space="preserve">En el recurso de amparo núm. 2348-2023, promovido por don Antonio Fernández García, representado por el procurador de los tribunales don Manuel Ignacio Pérez Espina, bajo la dirección letrada de don Alfonso Martínez del Hoyo, contra: (i) la sentencia núm. 490/2019, de 19 de noviembre, dictada por la Sección Primera de la Audiencia Provincial de Sevilla en el rollo núm. 1965-2017, dimanante del procedimiento abreviado núm. 133-2016; (ii) la sentencia núm. 749/2022, de 13 de septiembre, de la Sala de lo Penal del Tribunal Supremo, dictada en el recurso de casación núm. 601-2020, y (iii) el auto de 16 de febrero de 2023 dictado en el mismo recurso. Han sido parte el Partido Popular, representado por el procurador de los tribunales don Manuel Sánchez-Puelles y González-Carvajal, bajo la dirección técnica de los letrados don Ángel Márquez Prieto y don Alfonso Martínez Escribano; don José Antonio Griñán Martínez y don Antonio Vicente Lozano Peña, representados por el procurador de los tribunales don Roberto Granizo Palomeque, bajo la dirección técnica del </w:t>
      </w:r>
      <w:r>
        <w:lastRenderedPageBreak/>
        <w:t>letrado don José María Calero Martínez; don Jesús María Rodríguez Román, representado por la procuradora de los tribunales doña Patricia Rosch Iglesias, bajo la dirección técnica del letrado don Luis Aparicio Díaz; y don Francisco Vallejo Serrano, representado por la procuradora de los tribunales doña Patricia Rosch Iglesias, bajo la dirección técnica de la letrada doña Encarnación Molino Barrero. Ha intervenido el Ministerio Fiscal. Ha sido ponente la magistrada de este tribunal, doña Inmaculada Montalbán Huertas.</w:t>
      </w:r>
    </w:p>
    <w:p w14:paraId="2741D558" w14:textId="5C356BC4" w:rsidR="003754FE" w:rsidRDefault="003754FE" w:rsidP="003754FE">
      <w:pPr>
        <w:pStyle w:val="TextoNormal"/>
      </w:pPr>
    </w:p>
    <w:p w14:paraId="5ED7272C" w14:textId="77777777" w:rsidR="003754FE" w:rsidRDefault="003754FE" w:rsidP="003754FE">
      <w:pPr>
        <w:pStyle w:val="TextoNormalNegritaCentrado"/>
        <w:keepNext/>
      </w:pPr>
      <w:r>
        <w:t>I. Antecedentes</w:t>
      </w:r>
    </w:p>
    <w:p w14:paraId="723EFBB4" w14:textId="754B24FE" w:rsidR="003754FE" w:rsidRDefault="003754FE" w:rsidP="003754FE">
      <w:pPr>
        <w:pStyle w:val="TextoNormalNegritaCentrado"/>
        <w:keepNext/>
      </w:pPr>
    </w:p>
    <w:p w14:paraId="4BD68587" w14:textId="05CA60C7" w:rsidR="003754FE" w:rsidRDefault="003754FE" w:rsidP="003754FE">
      <w:pPr>
        <w:pStyle w:val="TextoNormal"/>
      </w:pPr>
      <w:r w:rsidRPr="003754FE">
        <w:rPr>
          <w:rStyle w:val="NumeroAFNegritaCaracter"/>
        </w:rPr>
        <w:t>1</w:t>
      </w:r>
      <w:r>
        <w:t>. El 10 de abril de 2023 tuvo entrada en el registro general de este tribunal un escrito presentado por el procurador don Manuel Pérez Espina, actuando en nombre y representación de don Antonio Fernández García bajo la dirección letrada del abogado don Alfonso Martínez del Hoyo, mediante el que interpuso recurso de amparo contra las resoluciones judiciales que se mencionan en el encabezamiento.</w:t>
      </w:r>
    </w:p>
    <w:p w14:paraId="5E1488C1" w14:textId="77777777" w:rsidR="003754FE" w:rsidRDefault="003754FE" w:rsidP="003754FE">
      <w:pPr>
        <w:pStyle w:val="TextoNormal"/>
      </w:pPr>
    </w:p>
    <w:p w14:paraId="6C06CCC1" w14:textId="77777777" w:rsidR="003754FE" w:rsidRDefault="003754FE" w:rsidP="003754FE">
      <w:pPr>
        <w:pStyle w:val="TextoNormal"/>
      </w:pPr>
      <w:r w:rsidRPr="003754FE">
        <w:rPr>
          <w:rStyle w:val="NumeroAFNegritaCaracter"/>
        </w:rPr>
        <w:t>2</w:t>
      </w:r>
      <w:r>
        <w:t>. El recurso tiene su origen en los siguientes antecedentes:</w:t>
      </w:r>
    </w:p>
    <w:p w14:paraId="3C3C9DF3" w14:textId="77777777" w:rsidR="003754FE" w:rsidRDefault="003754FE" w:rsidP="003754FE">
      <w:pPr>
        <w:pStyle w:val="TextoNormal"/>
      </w:pPr>
    </w:p>
    <w:p w14:paraId="5F6D49DE" w14:textId="77777777" w:rsidR="003754FE" w:rsidRDefault="003754FE" w:rsidP="003754FE">
      <w:pPr>
        <w:pStyle w:val="TextoNormal"/>
      </w:pPr>
      <w:r>
        <w:t>a) Las resoluciones impugnadas en el presente proceso de amparo han sido dictadas en el marco de la denominada “pieza específica” del caso “ERE”, en la que fueron condenados diversos miembros del Consejo de Gobierno y la administración de la Junta de Andalucía —incluyendo desde presidentes de la comunidad autónoma a directores generales— por haber intervenido, a lo largo de casi diez años, en el diseño y/o ejecución de un sistema de concesión de ayudas sociolaborales.</w:t>
      </w:r>
    </w:p>
    <w:p w14:paraId="688027A1" w14:textId="77777777" w:rsidR="003754FE" w:rsidRDefault="003754FE" w:rsidP="003754FE">
      <w:pPr>
        <w:pStyle w:val="TextoNormal"/>
      </w:pPr>
    </w:p>
    <w:p w14:paraId="6BEDFBB5" w14:textId="77777777" w:rsidR="003754FE" w:rsidRDefault="003754FE" w:rsidP="003754FE">
      <w:pPr>
        <w:pStyle w:val="TextoNormal"/>
      </w:pPr>
      <w:r>
        <w:t>Según el resumen efectuado por el Tribunal Supremo en la sentencia de casación (págs. 97 y siguientes), los hechos en los que se habría articulado ese sistema de concesión ilegal de ayudas sociolaborales se dividirían en tres etapas diferentes:</w:t>
      </w:r>
    </w:p>
    <w:p w14:paraId="1F9F602C" w14:textId="77777777" w:rsidR="003754FE" w:rsidRDefault="003754FE" w:rsidP="003754FE">
      <w:pPr>
        <w:pStyle w:val="TextoNormal"/>
      </w:pPr>
    </w:p>
    <w:p w14:paraId="70EE09DE" w14:textId="77777777" w:rsidR="003754FE" w:rsidRDefault="003754FE" w:rsidP="003754FE">
      <w:pPr>
        <w:pStyle w:val="TextoNormal"/>
      </w:pPr>
      <w:r>
        <w:t xml:space="preserve">“I) </w:t>
      </w:r>
      <w:r w:rsidRPr="003754FE">
        <w:rPr>
          <w:i/>
        </w:rPr>
        <w:t>Primera etapa</w:t>
      </w:r>
    </w:p>
    <w:p w14:paraId="7437490D" w14:textId="77777777" w:rsidR="003754FE" w:rsidRDefault="003754FE" w:rsidP="003754FE">
      <w:pPr>
        <w:pStyle w:val="TextoNormal"/>
      </w:pPr>
    </w:p>
    <w:p w14:paraId="7D365761" w14:textId="77777777" w:rsidR="003754FE" w:rsidRDefault="003754FE" w:rsidP="003754FE">
      <w:pPr>
        <w:pStyle w:val="TextoNormal"/>
      </w:pPr>
      <w:r>
        <w:t>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05 de octubre de 1994 y Orden de 5 de abril de 1995, del Ministerio de Trabajo y Seguridad Social).</w:t>
      </w:r>
    </w:p>
    <w:p w14:paraId="5E65D6BC" w14:textId="77777777" w:rsidR="003754FE" w:rsidRDefault="003754FE" w:rsidP="003754FE">
      <w:pPr>
        <w:pStyle w:val="TextoNormal"/>
      </w:pPr>
    </w:p>
    <w:p w14:paraId="7AB143E7" w14:textId="77777777" w:rsidR="003754FE" w:rsidRDefault="003754FE" w:rsidP="003754FE">
      <w:pPr>
        <w:pStyle w:val="TextoNormal"/>
      </w:pPr>
      <w:r>
        <w:t>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14:paraId="3CE0FEBC" w14:textId="77777777" w:rsidR="003754FE" w:rsidRDefault="003754FE" w:rsidP="003754FE">
      <w:pPr>
        <w:pStyle w:val="TextoNormal"/>
      </w:pPr>
    </w:p>
    <w:p w14:paraId="7E893736" w14:textId="77777777" w:rsidR="003754FE" w:rsidRDefault="003754FE" w:rsidP="003754FE">
      <w:pPr>
        <w:pStyle w:val="TextoNormal"/>
      </w:pPr>
      <w:r>
        <w:t xml:space="preserve">Los expedientes para la concesión de estas ayudas se integraban por los siguientes documentos: memoria justificativa, acreditación de la personalidad del solicitante, documento </w:t>
      </w:r>
      <w:r>
        <w:lastRenderedPageBreak/>
        <w:t>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14:paraId="44B926E6" w14:textId="77777777" w:rsidR="003754FE" w:rsidRDefault="003754FE" w:rsidP="003754FE">
      <w:pPr>
        <w:pStyle w:val="TextoNormal"/>
      </w:pPr>
    </w:p>
    <w:p w14:paraId="7B623CB9" w14:textId="77777777" w:rsidR="003754FE" w:rsidRDefault="003754FE" w:rsidP="003754FE">
      <w:pPr>
        <w:pStyle w:val="TextoNormal"/>
      </w:pPr>
      <w:r>
        <w:t>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14:paraId="2D43F07B" w14:textId="77777777" w:rsidR="003754FE" w:rsidRDefault="003754FE" w:rsidP="003754FE">
      <w:pPr>
        <w:pStyle w:val="TextoNormal"/>
      </w:pPr>
    </w:p>
    <w:p w14:paraId="5B70C3F8" w14:textId="77777777" w:rsidR="003754FE" w:rsidRDefault="003754FE" w:rsidP="003754FE">
      <w:pPr>
        <w:pStyle w:val="TextoNormal"/>
      </w:pPr>
      <w:r>
        <w:t>Sin perjuicio de ahondar más adelante en el régimen jurídico aplicable a estas ayudas, las notas más relevantes de esta regulación eran las siguientes:</w:t>
      </w:r>
    </w:p>
    <w:p w14:paraId="70ACDBBC" w14:textId="77777777" w:rsidR="003754FE" w:rsidRDefault="003754FE" w:rsidP="003754FE">
      <w:pPr>
        <w:pStyle w:val="TextoNormal"/>
      </w:pPr>
    </w:p>
    <w:p w14:paraId="5E8AF806" w14:textId="77777777" w:rsidR="003754FE" w:rsidRDefault="003754FE" w:rsidP="003754FE">
      <w:pPr>
        <w:pStyle w:val="TextoNormal"/>
      </w:pPr>
      <w:r>
        <w:t>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14:paraId="5941E123" w14:textId="77777777" w:rsidR="003754FE" w:rsidRDefault="003754FE" w:rsidP="003754FE">
      <w:pPr>
        <w:pStyle w:val="TextoNormal"/>
      </w:pPr>
    </w:p>
    <w:p w14:paraId="72BE28E7" w14:textId="77777777" w:rsidR="003754FE" w:rsidRDefault="003754FE" w:rsidP="003754FE">
      <w:pPr>
        <w:pStyle w:val="TextoNormal"/>
      </w:pPr>
      <w:r>
        <w:t>Los beneficiarios de la subvención quedaban sujetos a las siguientes obligaciones:</w:t>
      </w:r>
    </w:p>
    <w:p w14:paraId="60006113" w14:textId="77777777" w:rsidR="003754FE" w:rsidRDefault="003754FE" w:rsidP="003754FE">
      <w:pPr>
        <w:pStyle w:val="TextoNormal"/>
      </w:pPr>
    </w:p>
    <w:p w14:paraId="4B51BC46" w14:textId="77777777" w:rsidR="003754FE" w:rsidRDefault="003754FE" w:rsidP="003754FE">
      <w:pPr>
        <w:pStyle w:val="TextoNormal"/>
      </w:pPr>
      <w:r>
        <w:t>(i) Realizar la actividad o adoptar el comportamiento que fundamente la concesión de la subvención en la forma y plazos establecidos.</w:t>
      </w:r>
    </w:p>
    <w:p w14:paraId="2757CC8B" w14:textId="77777777" w:rsidR="003754FE" w:rsidRDefault="003754FE" w:rsidP="003754FE">
      <w:pPr>
        <w:pStyle w:val="TextoNormal"/>
      </w:pPr>
    </w:p>
    <w:p w14:paraId="1E271394" w14:textId="77777777" w:rsidR="003754FE" w:rsidRDefault="003754FE" w:rsidP="003754FE">
      <w:pPr>
        <w:pStyle w:val="TextoNormal"/>
      </w:pPr>
      <w:r>
        <w:t>(ii) Justificar ante la entidad concedente o, en su caso, la entidad colaboradora la realización de la actividad o la adopción del comportamiento, así como el cumplimiento de los requisitos y condiciones que determinen la concesión o disfrute de la subvención.</w:t>
      </w:r>
    </w:p>
    <w:p w14:paraId="56D42495" w14:textId="77777777" w:rsidR="003754FE" w:rsidRDefault="003754FE" w:rsidP="003754FE">
      <w:pPr>
        <w:pStyle w:val="TextoNormal"/>
      </w:pPr>
    </w:p>
    <w:p w14:paraId="274215B0" w14:textId="77777777" w:rsidR="003754FE" w:rsidRDefault="003754FE" w:rsidP="003754FE">
      <w:pPr>
        <w:pStyle w:val="TextoNormal"/>
      </w:pPr>
      <w:r>
        <w:t>(iii)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14:paraId="0CBAB5BA" w14:textId="77777777" w:rsidR="003754FE" w:rsidRDefault="003754FE" w:rsidP="003754FE">
      <w:pPr>
        <w:pStyle w:val="TextoNormal"/>
      </w:pPr>
    </w:p>
    <w:p w14:paraId="39D43B53" w14:textId="77777777" w:rsidR="003754FE" w:rsidRDefault="003754FE" w:rsidP="003754FE">
      <w:pPr>
        <w:pStyle w:val="TextoNormal"/>
      </w:pPr>
      <w:r>
        <w:t>(iv)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14:paraId="4E33736C" w14:textId="77777777" w:rsidR="003754FE" w:rsidRDefault="003754FE" w:rsidP="003754FE">
      <w:pPr>
        <w:pStyle w:val="TextoNormal"/>
      </w:pPr>
    </w:p>
    <w:p w14:paraId="6087CC5F" w14:textId="77777777" w:rsidR="003754FE" w:rsidRDefault="003754FE" w:rsidP="003754FE">
      <w:pPr>
        <w:pStyle w:val="TextoNormal"/>
      </w:pPr>
      <w:r>
        <w:t>(v)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14:paraId="3C0B5A5D" w14:textId="77777777" w:rsidR="003754FE" w:rsidRDefault="003754FE" w:rsidP="003754FE">
      <w:pPr>
        <w:pStyle w:val="TextoNormal"/>
      </w:pPr>
    </w:p>
    <w:p w14:paraId="40B54C9F" w14:textId="77777777" w:rsidR="003754FE" w:rsidRDefault="003754FE" w:rsidP="003754FE">
      <w:pPr>
        <w:pStyle w:val="TextoNormal"/>
      </w:pPr>
      <w:r>
        <w:lastRenderedPageBreak/>
        <w:t>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14:paraId="41CACAF3" w14:textId="77777777" w:rsidR="003754FE" w:rsidRDefault="003754FE" w:rsidP="003754FE">
      <w:pPr>
        <w:pStyle w:val="TextoNormal"/>
      </w:pPr>
    </w:p>
    <w:p w14:paraId="35F4092D" w14:textId="77777777" w:rsidR="003754FE" w:rsidRDefault="003754FE" w:rsidP="003754FE">
      <w:pPr>
        <w:pStyle w:val="TextoNormal"/>
      </w:pPr>
      <w:r>
        <w:t>En las bases reguladoras se podía disponer que la entrega fuera realizada por entidades colaboradoras. Las empresas públicas de Andalucía podían ser entidades colaboradoras y también se establecía a su cargo las siguientes obligaciones:</w:t>
      </w:r>
    </w:p>
    <w:p w14:paraId="1786B1AC" w14:textId="77777777" w:rsidR="003754FE" w:rsidRDefault="003754FE" w:rsidP="003754FE">
      <w:pPr>
        <w:pStyle w:val="TextoNormal"/>
      </w:pPr>
    </w:p>
    <w:p w14:paraId="2A1074B1" w14:textId="77777777" w:rsidR="003754FE" w:rsidRDefault="003754FE" w:rsidP="003754FE">
      <w:pPr>
        <w:pStyle w:val="TextoNormal"/>
      </w:pPr>
      <w:r>
        <w:t>(i) Entregar a los beneficiarios los fondos recibidos de acuerdo con los criterios establecidos en las normas reguladoras de la subvención o ayuda.</w:t>
      </w:r>
    </w:p>
    <w:p w14:paraId="06270DAC" w14:textId="77777777" w:rsidR="003754FE" w:rsidRDefault="003754FE" w:rsidP="003754FE">
      <w:pPr>
        <w:pStyle w:val="TextoNormal"/>
      </w:pPr>
    </w:p>
    <w:p w14:paraId="7A708675" w14:textId="77777777" w:rsidR="003754FE" w:rsidRDefault="003754FE" w:rsidP="003754FE">
      <w:pPr>
        <w:pStyle w:val="TextoNormal"/>
      </w:pPr>
      <w:r>
        <w:t>(ii) Verificar, en su caso, el cumplimiento y efectividad de las condiciones determinantes para su otorgamiento.</w:t>
      </w:r>
    </w:p>
    <w:p w14:paraId="2ABF860F" w14:textId="77777777" w:rsidR="003754FE" w:rsidRDefault="003754FE" w:rsidP="003754FE">
      <w:pPr>
        <w:pStyle w:val="TextoNormal"/>
      </w:pPr>
    </w:p>
    <w:p w14:paraId="1C5EE1A7" w14:textId="77777777" w:rsidR="003754FE" w:rsidRDefault="003754FE" w:rsidP="003754FE">
      <w:pPr>
        <w:pStyle w:val="TextoNormal"/>
      </w:pPr>
      <w:r>
        <w:t>(iii) Justificar la aplicación de los fondos recibidos ante la entidad concedente y, en su caso, entregar la justificación presentada por los beneficiarios.</w:t>
      </w:r>
    </w:p>
    <w:p w14:paraId="4700C9F2" w14:textId="77777777" w:rsidR="003754FE" w:rsidRDefault="003754FE" w:rsidP="003754FE">
      <w:pPr>
        <w:pStyle w:val="TextoNormal"/>
      </w:pPr>
    </w:p>
    <w:p w14:paraId="591E0C0F" w14:textId="77777777" w:rsidR="003754FE" w:rsidRDefault="003754FE" w:rsidP="003754FE">
      <w:pPr>
        <w:pStyle w:val="TextoNormal"/>
      </w:pPr>
      <w:r>
        <w:t>(iv)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14:paraId="4BBFC6E5" w14:textId="77777777" w:rsidR="003754FE" w:rsidRDefault="003754FE" w:rsidP="003754FE">
      <w:pPr>
        <w:pStyle w:val="TextoNormal"/>
      </w:pPr>
    </w:p>
    <w:p w14:paraId="457E0C21" w14:textId="77777777" w:rsidR="003754FE" w:rsidRDefault="003754FE" w:rsidP="003754FE">
      <w:pPr>
        <w:pStyle w:val="TextoNormal"/>
      </w:pPr>
      <w:r>
        <w:t>(v) Colaborar en la restitución de las subvenciones otorgadas en los supuestos en que concurra causa de reintegro, y conforme a las normas que se establezcan (artículo 106).</w:t>
      </w:r>
    </w:p>
    <w:p w14:paraId="268A8DD9" w14:textId="77777777" w:rsidR="003754FE" w:rsidRDefault="003754FE" w:rsidP="003754FE">
      <w:pPr>
        <w:pStyle w:val="TextoNormal"/>
      </w:pPr>
    </w:p>
    <w:p w14:paraId="361FF324" w14:textId="77777777" w:rsidR="003754FE" w:rsidRDefault="003754FE" w:rsidP="003754FE">
      <w:pPr>
        <w:pStyle w:val="TextoNormal"/>
      </w:pPr>
      <w:r>
        <w:t>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14:paraId="0736C8EB" w14:textId="77777777" w:rsidR="003754FE" w:rsidRDefault="003754FE" w:rsidP="003754FE">
      <w:pPr>
        <w:pStyle w:val="TextoNormal"/>
      </w:pPr>
    </w:p>
    <w:p w14:paraId="31A38D68" w14:textId="77777777" w:rsidR="003754FE" w:rsidRDefault="003754FE" w:rsidP="003754FE">
      <w:pPr>
        <w:pStyle w:val="TextoNormal"/>
      </w:pPr>
      <w:r>
        <w:t>Los proyectos de normas reguladoras de la concesión de subvenciones debían ser sometidos a informe de la Intervención General de la Junta de Andalucía, antes de su aprobación, y publicados en el ‘Boletín Oficial de la Junta de Andalucía’ (artículo 107).</w:t>
      </w:r>
    </w:p>
    <w:p w14:paraId="14DDD6D2" w14:textId="77777777" w:rsidR="003754FE" w:rsidRDefault="003754FE" w:rsidP="003754FE">
      <w:pPr>
        <w:pStyle w:val="TextoNormal"/>
      </w:pPr>
    </w:p>
    <w:p w14:paraId="126F3225" w14:textId="77777777" w:rsidR="003754FE" w:rsidRDefault="003754FE" w:rsidP="003754FE">
      <w:pPr>
        <w:pStyle w:val="TextoNormal"/>
      </w:pPr>
      <w:r>
        <w:t>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w:t>
      </w:r>
      <w:r w:rsidRPr="003754FE">
        <w:rPr>
          <w:i/>
        </w:rPr>
        <w:t xml:space="preserve"> 85</w:t>
      </w:r>
      <w:r>
        <w:t xml:space="preserve"> bis de la citada ley.</w:t>
      </w:r>
    </w:p>
    <w:p w14:paraId="0878ABCD" w14:textId="77777777" w:rsidR="003754FE" w:rsidRDefault="003754FE" w:rsidP="003754FE">
      <w:pPr>
        <w:pStyle w:val="TextoNormal"/>
      </w:pPr>
    </w:p>
    <w:p w14:paraId="3E211A96" w14:textId="77777777" w:rsidR="003754FE" w:rsidRDefault="003754FE" w:rsidP="003754FE">
      <w:pPr>
        <w:pStyle w:val="TextoNormal"/>
      </w:pPr>
      <w:r>
        <w:t>II</w:t>
      </w:r>
      <w:r w:rsidRPr="003754FE">
        <w:rPr>
          <w:i/>
        </w:rPr>
        <w:t>) Segunda eta</w:t>
      </w:r>
      <w:r>
        <w:t>pa</w:t>
      </w:r>
    </w:p>
    <w:p w14:paraId="54B5EF9E" w14:textId="77777777" w:rsidR="003754FE" w:rsidRDefault="003754FE" w:rsidP="003754FE">
      <w:pPr>
        <w:pStyle w:val="TextoNormal"/>
      </w:pPr>
    </w:p>
    <w:p w14:paraId="42CB8DFE" w14:textId="77777777" w:rsidR="003754FE" w:rsidRDefault="003754FE" w:rsidP="003754FE">
      <w:pPr>
        <w:pStyle w:val="TextoNormal"/>
      </w:pPr>
      <w:r>
        <w:t xml:space="preserve">Ante la necesidad de dar respuesta ágil a las graves crisis empresariales que afectaban a algunas importantes empresas de Andalucía en el año 1999 se decidió que el Instituto de Fomento de Andalucía (IFA) adelantara algunas de estas subvenciones, y así aconteció en </w:t>
      </w:r>
      <w:r>
        <w:lastRenderedPageBreak/>
        <w:t>relación con las ayudas concedidas a las empresas IAMASA y HAMSA. Con tal procedimiento se procedía al pago sin la necesaria fiscalización previa.</w:t>
      </w:r>
    </w:p>
    <w:p w14:paraId="76CC85FD" w14:textId="77777777" w:rsidR="003754FE" w:rsidRDefault="003754FE" w:rsidP="003754FE">
      <w:pPr>
        <w:pStyle w:val="TextoNormal"/>
      </w:pPr>
    </w:p>
    <w:p w14:paraId="1ECB1751" w14:textId="77777777" w:rsidR="003754FE" w:rsidRDefault="003754FE" w:rsidP="003754FE">
      <w:pPr>
        <w:pStyle w:val="TextoNormal"/>
      </w:pPr>
      <w:r>
        <w:t>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14:paraId="6B9403A1" w14:textId="77777777" w:rsidR="003754FE" w:rsidRDefault="003754FE" w:rsidP="003754FE">
      <w:pPr>
        <w:pStyle w:val="TextoNormal"/>
      </w:pPr>
    </w:p>
    <w:p w14:paraId="675EF70B" w14:textId="77777777" w:rsidR="003754FE" w:rsidRDefault="003754FE" w:rsidP="003754FE">
      <w:pPr>
        <w:pStyle w:val="TextoNormal"/>
      </w:pPr>
      <w:r>
        <w:t>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14:paraId="2A54BA71" w14:textId="77777777" w:rsidR="003754FE" w:rsidRDefault="003754FE" w:rsidP="003754FE">
      <w:pPr>
        <w:pStyle w:val="TextoNormal"/>
      </w:pPr>
    </w:p>
    <w:p w14:paraId="533AC288" w14:textId="77777777" w:rsidR="003754FE" w:rsidRDefault="003754FE" w:rsidP="003754FE">
      <w:pPr>
        <w:pStyle w:val="TextoNormal"/>
      </w:pPr>
      <w:r>
        <w:t>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14:paraId="60E779C9" w14:textId="77777777" w:rsidR="003754FE" w:rsidRDefault="003754FE" w:rsidP="003754FE">
      <w:pPr>
        <w:pStyle w:val="TextoNormal"/>
      </w:pPr>
    </w:p>
    <w:p w14:paraId="01795C52" w14:textId="77777777" w:rsidR="003754FE" w:rsidRDefault="003754FE" w:rsidP="003754FE">
      <w:pPr>
        <w:pStyle w:val="TextoNormal"/>
      </w:pPr>
      <w:r>
        <w:t>Ante las dificultades surgidas, en abril de 2000 se procedió a una modificación presupuestaria, bajo la iniciativa de la Consejería de Empleo. Se modificó la clasificación económica del gasto.</w:t>
      </w:r>
    </w:p>
    <w:p w14:paraId="0ECE5D4B" w14:textId="77777777" w:rsidR="003754FE" w:rsidRDefault="003754FE" w:rsidP="003754FE">
      <w:pPr>
        <w:pStyle w:val="TextoNormal"/>
      </w:pPr>
    </w:p>
    <w:p w14:paraId="0AB8D2D3" w14:textId="77777777" w:rsidR="003754FE" w:rsidRDefault="003754FE" w:rsidP="003754FE">
      <w:pPr>
        <w:pStyle w:val="TextoNormal"/>
      </w:pPr>
      <w:r>
        <w:t>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14:paraId="1D52CF13" w14:textId="77777777" w:rsidR="003754FE" w:rsidRDefault="003754FE" w:rsidP="003754FE">
      <w:pPr>
        <w:pStyle w:val="TextoNormal"/>
      </w:pPr>
    </w:p>
    <w:p w14:paraId="61113862" w14:textId="77777777" w:rsidR="003754FE" w:rsidRDefault="003754FE" w:rsidP="003754FE">
      <w:pPr>
        <w:pStyle w:val="TextoNormal"/>
      </w:pPr>
      <w:r>
        <w:t>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14:paraId="4111E98C" w14:textId="77777777" w:rsidR="003754FE" w:rsidRDefault="003754FE" w:rsidP="003754FE">
      <w:pPr>
        <w:pStyle w:val="TextoNormal"/>
      </w:pPr>
    </w:p>
    <w:p w14:paraId="4D5CE44C" w14:textId="77777777" w:rsidR="003754FE" w:rsidRDefault="003754FE" w:rsidP="003754FE">
      <w:pPr>
        <w:pStyle w:val="TextoNormal"/>
      </w:pPr>
      <w:r>
        <w:t>En vez de aprobar una nueva normativa o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14:paraId="797CA31C" w14:textId="77777777" w:rsidR="003754FE" w:rsidRDefault="003754FE" w:rsidP="003754FE">
      <w:pPr>
        <w:pStyle w:val="TextoNormal"/>
      </w:pPr>
    </w:p>
    <w:p w14:paraId="3138C7D6" w14:textId="77777777" w:rsidR="003754FE" w:rsidRDefault="003754FE" w:rsidP="003754FE">
      <w:pPr>
        <w:pStyle w:val="TextoNormal"/>
      </w:pPr>
      <w:r>
        <w:lastRenderedPageBreak/>
        <w:t>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14:paraId="2B8E6991" w14:textId="77777777" w:rsidR="003754FE" w:rsidRDefault="003754FE" w:rsidP="003754FE">
      <w:pPr>
        <w:pStyle w:val="TextoNormal"/>
      </w:pPr>
    </w:p>
    <w:p w14:paraId="35D09844" w14:textId="77777777" w:rsidR="003754FE" w:rsidRDefault="003754FE" w:rsidP="003754FE">
      <w:pPr>
        <w:pStyle w:val="TextoNormal"/>
      </w:pPr>
      <w:r>
        <w:t>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w:t>
      </w:r>
      <w:r w:rsidRPr="003754FE">
        <w:rPr>
          <w:i/>
        </w:rPr>
        <w:t>o a posterio</w:t>
      </w:r>
      <w:r>
        <w:t>ri.</w:t>
      </w:r>
    </w:p>
    <w:p w14:paraId="068E6516" w14:textId="77777777" w:rsidR="003754FE" w:rsidRDefault="003754FE" w:rsidP="003754FE">
      <w:pPr>
        <w:pStyle w:val="TextoNormal"/>
      </w:pPr>
    </w:p>
    <w:p w14:paraId="718E389B" w14:textId="77777777" w:rsidR="003754FE" w:rsidRDefault="003754FE" w:rsidP="003754FE">
      <w:pPr>
        <w:pStyle w:val="TextoNormal"/>
      </w:pPr>
      <w:r>
        <w:t>En efecto, el expediente de las transferencias de financiación no precisa la identificación de los destinatarios de las ayudas. Únicamente requiere consignar:</w:t>
      </w:r>
    </w:p>
    <w:p w14:paraId="4899B551" w14:textId="77777777" w:rsidR="003754FE" w:rsidRDefault="003754FE" w:rsidP="003754FE">
      <w:pPr>
        <w:pStyle w:val="TextoNormal"/>
      </w:pPr>
    </w:p>
    <w:p w14:paraId="64A3839E" w14:textId="77777777" w:rsidR="003754FE" w:rsidRDefault="003754FE" w:rsidP="003754FE">
      <w:pPr>
        <w:pStyle w:val="TextoNormal"/>
      </w:pPr>
      <w:r>
        <w:t>(i) La propuesta de resolución del órgano competente autorizando la transferencia;</w:t>
      </w:r>
    </w:p>
    <w:p w14:paraId="5DF66AE4" w14:textId="77777777" w:rsidR="003754FE" w:rsidRDefault="003754FE" w:rsidP="003754FE">
      <w:pPr>
        <w:pStyle w:val="TextoNormal"/>
      </w:pPr>
    </w:p>
    <w:p w14:paraId="3E15653A" w14:textId="77777777" w:rsidR="003754FE" w:rsidRDefault="003754FE" w:rsidP="003754FE">
      <w:pPr>
        <w:pStyle w:val="TextoNormal"/>
      </w:pPr>
      <w:r>
        <w:t>(ii) El calendario de pagos aprobado por la Dirección General de Tesorería;</w:t>
      </w:r>
    </w:p>
    <w:p w14:paraId="06FC4C6D" w14:textId="77777777" w:rsidR="003754FE" w:rsidRDefault="003754FE" w:rsidP="003754FE">
      <w:pPr>
        <w:pStyle w:val="TextoNormal"/>
      </w:pPr>
    </w:p>
    <w:p w14:paraId="46919875" w14:textId="77777777" w:rsidR="003754FE" w:rsidRDefault="003754FE" w:rsidP="003754FE">
      <w:pPr>
        <w:pStyle w:val="TextoNormal"/>
      </w:pPr>
      <w:r>
        <w:t>(iii) Los documentos contables acreditativos de la consignación presupuestaria y el programa de actuación (PAIF) publicado en el ‘Boletín Oficial de la Junta de Andalucía’ por orden de la Consejería de Hacienda.</w:t>
      </w:r>
    </w:p>
    <w:p w14:paraId="46040A75" w14:textId="77777777" w:rsidR="003754FE" w:rsidRDefault="003754FE" w:rsidP="003754FE">
      <w:pPr>
        <w:pStyle w:val="TextoNormal"/>
      </w:pPr>
    </w:p>
    <w:p w14:paraId="1BB973BE" w14:textId="77777777" w:rsidR="003754FE" w:rsidRDefault="003754FE" w:rsidP="003754FE">
      <w:pPr>
        <w:pStyle w:val="TextoNormal"/>
      </w:pPr>
      <w:r>
        <w:t>Y en la fiscalización posterior de la actividad del IFA, realizada a través del llamado ‘control financiero permanente’, conforme a lo previsto en el […] Decreto 9/1999, de 19 de enero, únicamente tenía un triple objetivo:</w:t>
      </w:r>
    </w:p>
    <w:p w14:paraId="1404E5CF" w14:textId="77777777" w:rsidR="003754FE" w:rsidRDefault="003754FE" w:rsidP="003754FE">
      <w:pPr>
        <w:pStyle w:val="TextoNormal"/>
      </w:pPr>
    </w:p>
    <w:p w14:paraId="28D3D16A" w14:textId="77777777" w:rsidR="003754FE" w:rsidRDefault="003754FE" w:rsidP="003754FE">
      <w:pPr>
        <w:pStyle w:val="TextoNormal"/>
      </w:pPr>
      <w:r>
        <w:t>(i) Comprobar el cumplimiento de la legalidad;</w:t>
      </w:r>
    </w:p>
    <w:p w14:paraId="16C3D05F" w14:textId="77777777" w:rsidR="003754FE" w:rsidRDefault="003754FE" w:rsidP="003754FE">
      <w:pPr>
        <w:pStyle w:val="TextoNormal"/>
      </w:pPr>
    </w:p>
    <w:p w14:paraId="1281ED12" w14:textId="77777777" w:rsidR="003754FE" w:rsidRDefault="003754FE" w:rsidP="003754FE">
      <w:pPr>
        <w:pStyle w:val="TextoNormal"/>
      </w:pPr>
      <w:r>
        <w:t>(ii) examinar las cuentas anuales y</w:t>
      </w:r>
    </w:p>
    <w:p w14:paraId="7FE80C92" w14:textId="77777777" w:rsidR="003754FE" w:rsidRDefault="003754FE" w:rsidP="003754FE">
      <w:pPr>
        <w:pStyle w:val="TextoNormal"/>
      </w:pPr>
    </w:p>
    <w:p w14:paraId="7E539542" w14:textId="77777777" w:rsidR="003754FE" w:rsidRDefault="003754FE" w:rsidP="003754FE">
      <w:pPr>
        <w:pStyle w:val="TextoNormal"/>
      </w:pPr>
      <w:r>
        <w:t>(iii) examinar críticamente la gestión de los programas asignados al instituto. Este control no tenía utilidad alguna para conocer el destino de las subvenciones, dado que se limitaba al control de la transferencia.</w:t>
      </w:r>
    </w:p>
    <w:p w14:paraId="685C01C4" w14:textId="77777777" w:rsidR="003754FE" w:rsidRDefault="003754FE" w:rsidP="003754FE">
      <w:pPr>
        <w:pStyle w:val="TextoNormal"/>
      </w:pPr>
    </w:p>
    <w:p w14:paraId="26D0DFD8" w14:textId="77777777" w:rsidR="003754FE" w:rsidRDefault="003754FE" w:rsidP="003754FE">
      <w:pPr>
        <w:pStyle w:val="TextoNormal"/>
      </w:pPr>
      <w:r>
        <w:t>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14:paraId="3F4A44F3" w14:textId="77777777" w:rsidR="003754FE" w:rsidRDefault="003754FE" w:rsidP="003754FE">
      <w:pPr>
        <w:pStyle w:val="TextoNormal"/>
      </w:pPr>
    </w:p>
    <w:p w14:paraId="38E96FF7" w14:textId="77777777" w:rsidR="003754FE" w:rsidRDefault="003754FE" w:rsidP="003754FE">
      <w:pPr>
        <w:pStyle w:val="TextoNormal"/>
      </w:pPr>
      <w:r>
        <w:t xml:space="preserve">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w:t>
      </w:r>
      <w:r>
        <w:lastRenderedPageBreak/>
        <w:t>y Seguridad Social, en el que se preveía que el IFA prestaría asistencia técnica permanente, materializando las ayudas y se establecía que habrían de suscribirse convenios particulares entre el director general de Trabajo y el IFA para la gestión de los fondos.</w:t>
      </w:r>
    </w:p>
    <w:p w14:paraId="3A9C7EF6" w14:textId="77777777" w:rsidR="003754FE" w:rsidRDefault="003754FE" w:rsidP="003754FE">
      <w:pPr>
        <w:pStyle w:val="TextoNormal"/>
      </w:pPr>
    </w:p>
    <w:p w14:paraId="6F5708BB" w14:textId="77777777" w:rsidR="003754FE" w:rsidRDefault="003754FE" w:rsidP="003754FE">
      <w:pPr>
        <w:pStyle w:val="TextoNormal"/>
      </w:pPr>
      <w:r>
        <w:t>El convenio marco no fue publicado en el ‘Boletín Oficial de la Junta de Andalucía’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14:paraId="32517AF3" w14:textId="77777777" w:rsidR="003754FE" w:rsidRDefault="003754FE" w:rsidP="003754FE">
      <w:pPr>
        <w:pStyle w:val="TextoNormal"/>
      </w:pPr>
    </w:p>
    <w:p w14:paraId="7B70A14C" w14:textId="77777777" w:rsidR="003754FE" w:rsidRDefault="003754FE" w:rsidP="003754FE">
      <w:pPr>
        <w:pStyle w:val="TextoNormal"/>
      </w:pPr>
      <w:r>
        <w:t>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14:paraId="44B769DB" w14:textId="77777777" w:rsidR="003754FE" w:rsidRDefault="003754FE" w:rsidP="003754FE">
      <w:pPr>
        <w:pStyle w:val="TextoNormal"/>
      </w:pPr>
    </w:p>
    <w:p w14:paraId="765C420F" w14:textId="77777777" w:rsidR="003754FE" w:rsidRDefault="003754FE" w:rsidP="003754FE">
      <w:pPr>
        <w:pStyle w:val="TextoNormal"/>
      </w:pPr>
      <w:r>
        <w:t>Por tanto, utilizando el criterio de presupuestación a que antes nos hemos referido se incluyeron las siguientes partidas presupuestarias:</w:t>
      </w:r>
    </w:p>
    <w:p w14:paraId="7AFFFB2D" w14:textId="77777777" w:rsidR="003754FE" w:rsidRDefault="003754FE" w:rsidP="003754FE">
      <w:pPr>
        <w:pStyle w:val="TextoNormal"/>
      </w:pPr>
    </w:p>
    <w:p w14:paraId="30D34E51" w14:textId="77777777" w:rsidR="003754FE" w:rsidRDefault="003754FE" w:rsidP="003754FE">
      <w:pPr>
        <w:pStyle w:val="TextoNormal"/>
      </w:pPr>
      <w:r>
        <w:t>- En 2002: 34 341 351 €.</w:t>
      </w:r>
    </w:p>
    <w:p w14:paraId="302BD567" w14:textId="77777777" w:rsidR="003754FE" w:rsidRDefault="003754FE" w:rsidP="003754FE">
      <w:pPr>
        <w:pStyle w:val="TextoNormal"/>
      </w:pPr>
    </w:p>
    <w:p w14:paraId="749A67E5" w14:textId="77777777" w:rsidR="003754FE" w:rsidRDefault="003754FE" w:rsidP="003754FE">
      <w:pPr>
        <w:pStyle w:val="TextoNormal"/>
      </w:pPr>
      <w:r>
        <w:t>- En 2003: 55 646 899 €.</w:t>
      </w:r>
    </w:p>
    <w:p w14:paraId="633C9B98" w14:textId="77777777" w:rsidR="003754FE" w:rsidRDefault="003754FE" w:rsidP="003754FE">
      <w:pPr>
        <w:pStyle w:val="TextoNormal"/>
      </w:pPr>
    </w:p>
    <w:p w14:paraId="131B70E3" w14:textId="77777777" w:rsidR="003754FE" w:rsidRDefault="003754FE" w:rsidP="003754FE">
      <w:pPr>
        <w:pStyle w:val="TextoNormal"/>
      </w:pPr>
      <w:r>
        <w:t>- En 2004: 46 146 389 €. [En este ejercicio el IFA cambió su denominación por Agencia de Innovación y Desarrollo de Andalucía (IDEA) y pasó a estar adscrito a la Consejería de Innovación, Ciencia y Empresa].</w:t>
      </w:r>
    </w:p>
    <w:p w14:paraId="3C187F87" w14:textId="77777777" w:rsidR="003754FE" w:rsidRDefault="003754FE" w:rsidP="003754FE">
      <w:pPr>
        <w:pStyle w:val="TextoNormal"/>
      </w:pPr>
    </w:p>
    <w:p w14:paraId="61ABB2FE" w14:textId="77777777" w:rsidR="003754FE" w:rsidRDefault="003754FE" w:rsidP="003754FE">
      <w:pPr>
        <w:pStyle w:val="TextoNormal"/>
      </w:pPr>
      <w:r>
        <w:t>- En 2005: 72 261 575 €.</w:t>
      </w:r>
    </w:p>
    <w:p w14:paraId="4DCC73F4" w14:textId="77777777" w:rsidR="003754FE" w:rsidRDefault="003754FE" w:rsidP="003754FE">
      <w:pPr>
        <w:pStyle w:val="TextoNormal"/>
      </w:pPr>
    </w:p>
    <w:p w14:paraId="1B6DAD48" w14:textId="77777777" w:rsidR="003754FE" w:rsidRDefault="003754FE" w:rsidP="003754FE">
      <w:pPr>
        <w:pStyle w:val="TextoNormal"/>
      </w:pPr>
      <w:r>
        <w:t>- En 2006: 77 291 000 €.</w:t>
      </w:r>
    </w:p>
    <w:p w14:paraId="078C6E70" w14:textId="77777777" w:rsidR="003754FE" w:rsidRDefault="003754FE" w:rsidP="003754FE">
      <w:pPr>
        <w:pStyle w:val="TextoNormal"/>
      </w:pPr>
    </w:p>
    <w:p w14:paraId="7FDD9B9E" w14:textId="77777777" w:rsidR="003754FE" w:rsidRDefault="003754FE" w:rsidP="003754FE">
      <w:pPr>
        <w:pStyle w:val="TextoNormal"/>
      </w:pPr>
      <w:r>
        <w:t>- En 2007: 79 207 500 €.</w:t>
      </w:r>
    </w:p>
    <w:p w14:paraId="0F95260E" w14:textId="77777777" w:rsidR="003754FE" w:rsidRDefault="003754FE" w:rsidP="003754FE">
      <w:pPr>
        <w:pStyle w:val="TextoNormal"/>
      </w:pPr>
    </w:p>
    <w:p w14:paraId="57D8F69E" w14:textId="77777777" w:rsidR="003754FE" w:rsidRDefault="003754FE" w:rsidP="003754FE">
      <w:pPr>
        <w:pStyle w:val="TextoNormal"/>
      </w:pPr>
      <w:r>
        <w:t>- En 2008: 87 478 495 €.</w:t>
      </w:r>
    </w:p>
    <w:p w14:paraId="15EE94BB" w14:textId="77777777" w:rsidR="003754FE" w:rsidRDefault="003754FE" w:rsidP="003754FE">
      <w:pPr>
        <w:pStyle w:val="TextoNormal"/>
      </w:pPr>
    </w:p>
    <w:p w14:paraId="3629C829" w14:textId="77777777" w:rsidR="003754FE" w:rsidRDefault="003754FE" w:rsidP="003754FE">
      <w:pPr>
        <w:pStyle w:val="TextoNormal"/>
      </w:pPr>
      <w:r>
        <w:t>Además de estas partidas, durante los distintos ejercicios se aprobaron modificaciones presupuestarias, que incrementaron el flujo de dinero que gestionaba el IFA/IDEA y que recibía como transferencia de financiación.</w:t>
      </w:r>
    </w:p>
    <w:p w14:paraId="570610D3" w14:textId="77777777" w:rsidR="003754FE" w:rsidRDefault="003754FE" w:rsidP="003754FE">
      <w:pPr>
        <w:pStyle w:val="TextoNormal"/>
      </w:pPr>
    </w:p>
    <w:p w14:paraId="5524F35A" w14:textId="77777777" w:rsidR="003754FE" w:rsidRDefault="003754FE" w:rsidP="003754FE">
      <w:pPr>
        <w:pStyle w:val="TextoNormal"/>
      </w:pPr>
      <w:r>
        <w:t>Las modificaciones presupuestarias fueron las siguientes:</w:t>
      </w:r>
    </w:p>
    <w:p w14:paraId="4ED434EB" w14:textId="77777777" w:rsidR="003754FE" w:rsidRDefault="003754FE" w:rsidP="003754FE">
      <w:pPr>
        <w:pStyle w:val="TextoNormal"/>
      </w:pPr>
    </w:p>
    <w:p w14:paraId="7A149EA5" w14:textId="77777777" w:rsidR="003754FE" w:rsidRDefault="003754FE" w:rsidP="003754FE">
      <w:pPr>
        <w:pStyle w:val="TextoNormal"/>
      </w:pPr>
      <w:r>
        <w:t>- Modificación de 15 de octubre de 2002, por importe de 9 944 099 €.</w:t>
      </w:r>
    </w:p>
    <w:p w14:paraId="081067FC" w14:textId="77777777" w:rsidR="003754FE" w:rsidRDefault="003754FE" w:rsidP="003754FE">
      <w:pPr>
        <w:pStyle w:val="TextoNormal"/>
      </w:pPr>
    </w:p>
    <w:p w14:paraId="41668F78" w14:textId="77777777" w:rsidR="003754FE" w:rsidRDefault="003754FE" w:rsidP="003754FE">
      <w:pPr>
        <w:pStyle w:val="TextoNormal"/>
      </w:pPr>
      <w:r>
        <w:t>- Modificación de 21 de octubre de 2002, por importe de 22 253 204,17 €.</w:t>
      </w:r>
    </w:p>
    <w:p w14:paraId="48AC7727" w14:textId="77777777" w:rsidR="003754FE" w:rsidRDefault="003754FE" w:rsidP="003754FE">
      <w:pPr>
        <w:pStyle w:val="TextoNormal"/>
      </w:pPr>
    </w:p>
    <w:p w14:paraId="18C5EED5" w14:textId="77777777" w:rsidR="003754FE" w:rsidRDefault="003754FE" w:rsidP="003754FE">
      <w:pPr>
        <w:pStyle w:val="TextoNormal"/>
      </w:pPr>
      <w:r>
        <w:t>- Modificación de 7 de diciembre de 2005, por importe de 799 895,97 €.</w:t>
      </w:r>
    </w:p>
    <w:p w14:paraId="42702AA6" w14:textId="77777777" w:rsidR="003754FE" w:rsidRDefault="003754FE" w:rsidP="003754FE">
      <w:pPr>
        <w:pStyle w:val="TextoNormal"/>
      </w:pPr>
    </w:p>
    <w:p w14:paraId="61E5D88F" w14:textId="77777777" w:rsidR="003754FE" w:rsidRDefault="003754FE" w:rsidP="003754FE">
      <w:pPr>
        <w:pStyle w:val="TextoNormal"/>
      </w:pPr>
      <w:r>
        <w:t>- Modificación de 7 de noviembre de 2006, por importe de 9 300 000 €.</w:t>
      </w:r>
    </w:p>
    <w:p w14:paraId="44762A47" w14:textId="77777777" w:rsidR="003754FE" w:rsidRDefault="003754FE" w:rsidP="003754FE">
      <w:pPr>
        <w:pStyle w:val="TextoNormal"/>
      </w:pPr>
    </w:p>
    <w:p w14:paraId="42580348" w14:textId="77777777" w:rsidR="003754FE" w:rsidRDefault="003754FE" w:rsidP="003754FE">
      <w:pPr>
        <w:pStyle w:val="TextoNormal"/>
      </w:pPr>
      <w:r>
        <w:t>- Modificación de 27 de noviembre de 2007, por importe de 7 448 503, 44 €.</w:t>
      </w:r>
    </w:p>
    <w:p w14:paraId="45CABD99" w14:textId="77777777" w:rsidR="003754FE" w:rsidRDefault="003754FE" w:rsidP="003754FE">
      <w:pPr>
        <w:pStyle w:val="TextoNormal"/>
      </w:pPr>
    </w:p>
    <w:p w14:paraId="002655CD" w14:textId="77777777" w:rsidR="003754FE" w:rsidRDefault="003754FE" w:rsidP="003754FE">
      <w:pPr>
        <w:pStyle w:val="TextoNormal"/>
      </w:pPr>
      <w:r>
        <w:t>- Modificación de 22 de diciembre de 2008, por importe de 1 253 853, 89 €.</w:t>
      </w:r>
    </w:p>
    <w:p w14:paraId="44001D70" w14:textId="77777777" w:rsidR="003754FE" w:rsidRDefault="003754FE" w:rsidP="003754FE">
      <w:pPr>
        <w:pStyle w:val="TextoNormal"/>
      </w:pPr>
    </w:p>
    <w:p w14:paraId="7967B514" w14:textId="77777777" w:rsidR="003754FE" w:rsidRDefault="003754FE" w:rsidP="003754FE">
      <w:pPr>
        <w:pStyle w:val="TextoNormal"/>
      </w:pPr>
      <w:r>
        <w:t>- Modificación de 22 de diciembre de 2008, por importe de 6 011 836,20 €.</w:t>
      </w:r>
    </w:p>
    <w:p w14:paraId="3EED60B9" w14:textId="77777777" w:rsidR="003754FE" w:rsidRDefault="003754FE" w:rsidP="003754FE">
      <w:pPr>
        <w:pStyle w:val="TextoNormal"/>
      </w:pPr>
    </w:p>
    <w:p w14:paraId="4463219D" w14:textId="77777777" w:rsidR="003754FE" w:rsidRDefault="003754FE" w:rsidP="003754FE">
      <w:pPr>
        <w:pStyle w:val="TextoNormal"/>
      </w:pPr>
      <w:r>
        <w:t>- Modificación de 22 de diciembre de 2008, por importe de 8 000 000 €.</w:t>
      </w:r>
    </w:p>
    <w:p w14:paraId="5C479E06" w14:textId="77777777" w:rsidR="003754FE" w:rsidRDefault="003754FE" w:rsidP="003754FE">
      <w:pPr>
        <w:pStyle w:val="TextoNormal"/>
      </w:pPr>
    </w:p>
    <w:p w14:paraId="1482DDA7" w14:textId="77777777" w:rsidR="003754FE" w:rsidRDefault="003754FE" w:rsidP="003754FE">
      <w:pPr>
        <w:pStyle w:val="TextoNormal"/>
      </w:pPr>
      <w:r>
        <w:t>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14:paraId="301CC825" w14:textId="77777777" w:rsidR="003754FE" w:rsidRDefault="003754FE" w:rsidP="003754FE">
      <w:pPr>
        <w:pStyle w:val="TextoNormal"/>
      </w:pPr>
    </w:p>
    <w:p w14:paraId="3EC3A025" w14:textId="77777777" w:rsidR="003754FE" w:rsidRDefault="003754FE" w:rsidP="003754FE">
      <w:pPr>
        <w:pStyle w:val="TextoNormal"/>
      </w:pPr>
      <w:r>
        <w:t>Según han puesto de relieve distintos informes y resoluciones judiciales y administrativas, como consecuencia de todo lo anterior, las irregularidades más significativas en la concesión de las ayudas (sin hacer una enumeración exhaustiva) han sido las siguientes:</w:t>
      </w:r>
    </w:p>
    <w:p w14:paraId="40B94A1D" w14:textId="77777777" w:rsidR="003754FE" w:rsidRDefault="003754FE" w:rsidP="003754FE">
      <w:pPr>
        <w:pStyle w:val="TextoNormal"/>
      </w:pPr>
    </w:p>
    <w:p w14:paraId="4F5C8A22" w14:textId="77777777" w:rsidR="003754FE" w:rsidRDefault="003754FE" w:rsidP="003754FE">
      <w:pPr>
        <w:pStyle w:val="TextoNormal"/>
      </w:pPr>
      <w:r>
        <w:t>- En muchos casos no ha existido expediente de concesión de la ayuda.</w:t>
      </w:r>
    </w:p>
    <w:p w14:paraId="357F05E6" w14:textId="77777777" w:rsidR="003754FE" w:rsidRDefault="003754FE" w:rsidP="003754FE">
      <w:pPr>
        <w:pStyle w:val="TextoNormal"/>
      </w:pPr>
    </w:p>
    <w:p w14:paraId="046AC69C" w14:textId="77777777" w:rsidR="003754FE" w:rsidRDefault="003754FE" w:rsidP="003754FE">
      <w:pPr>
        <w:pStyle w:val="TextoNormal"/>
      </w:pPr>
      <w:r>
        <w:t>- El director general de Trabajo y Seguridad Social no tiene delegadas competencias para la concesión de subvenciones excepcionales.</w:t>
      </w:r>
    </w:p>
    <w:p w14:paraId="55889BBD" w14:textId="77777777" w:rsidR="003754FE" w:rsidRDefault="003754FE" w:rsidP="003754FE">
      <w:pPr>
        <w:pStyle w:val="TextoNormal"/>
      </w:pPr>
    </w:p>
    <w:p w14:paraId="3E05A6E5" w14:textId="77777777" w:rsidR="003754FE" w:rsidRDefault="003754FE" w:rsidP="003754FE">
      <w:pPr>
        <w:pStyle w:val="TextoNormal"/>
      </w:pPr>
      <w:r>
        <w:t>- No consta que se haya dado publicidad a la concesión de las ayudas (artículo 109 LGHPA).</w:t>
      </w:r>
    </w:p>
    <w:p w14:paraId="343C71D2" w14:textId="77777777" w:rsidR="003754FE" w:rsidRDefault="003754FE" w:rsidP="003754FE">
      <w:pPr>
        <w:pStyle w:val="TextoNormal"/>
      </w:pPr>
    </w:p>
    <w:p w14:paraId="7D9E64A9" w14:textId="77777777" w:rsidR="003754FE" w:rsidRDefault="003754FE" w:rsidP="003754FE">
      <w:pPr>
        <w:pStyle w:val="TextoNormal"/>
      </w:pPr>
      <w:r>
        <w:t>- Se ha omitido la fiscalización previa.</w:t>
      </w:r>
    </w:p>
    <w:p w14:paraId="550E3047" w14:textId="77777777" w:rsidR="003754FE" w:rsidRDefault="003754FE" w:rsidP="003754FE">
      <w:pPr>
        <w:pStyle w:val="TextoNormal"/>
      </w:pPr>
    </w:p>
    <w:p w14:paraId="01730A28" w14:textId="77777777" w:rsidR="003754FE" w:rsidRDefault="003754FE" w:rsidP="003754FE">
      <w:pPr>
        <w:pStyle w:val="TextoNormal"/>
      </w:pPr>
      <w:r>
        <w:t>- No consta autorización de la concesión de la subvención por el Consejo de Gobierno por razón de la cuantía.</w:t>
      </w:r>
    </w:p>
    <w:p w14:paraId="3E324B53" w14:textId="77777777" w:rsidR="003754FE" w:rsidRDefault="003754FE" w:rsidP="003754FE">
      <w:pPr>
        <w:pStyle w:val="TextoNormal"/>
      </w:pPr>
    </w:p>
    <w:p w14:paraId="262BB427" w14:textId="77777777" w:rsidR="003754FE" w:rsidRDefault="003754FE" w:rsidP="003754FE">
      <w:pPr>
        <w:pStyle w:val="TextoNormal"/>
      </w:pPr>
      <w:r>
        <w:t>- No se consigna la aplicación presupuestaria del gasto y su distribución plurianual, ni el presupuesto subvencionado y el porcentaje que representa la subvención sobre el presupuesto aceptado.</w:t>
      </w:r>
    </w:p>
    <w:p w14:paraId="3E0B0CD3" w14:textId="77777777" w:rsidR="003754FE" w:rsidRDefault="003754FE" w:rsidP="003754FE">
      <w:pPr>
        <w:pStyle w:val="TextoNormal"/>
      </w:pPr>
    </w:p>
    <w:p w14:paraId="1C97A65D" w14:textId="77777777" w:rsidR="003754FE" w:rsidRDefault="003754FE" w:rsidP="003754FE">
      <w:pPr>
        <w:pStyle w:val="TextoNormal"/>
      </w:pPr>
      <w:r>
        <w:t>- No consta informe de la Dirección General de Asuntos Europeos y Cooperación, de la Consejería de Presidencia, sobre cumplimiento del deber de notificar a la comisión las subvenciones concedidas a empresas.</w:t>
      </w:r>
    </w:p>
    <w:p w14:paraId="29C95232" w14:textId="77777777" w:rsidR="003754FE" w:rsidRDefault="003754FE" w:rsidP="003754FE">
      <w:pPr>
        <w:pStyle w:val="TextoNormal"/>
      </w:pPr>
    </w:p>
    <w:p w14:paraId="200DBC59" w14:textId="77777777" w:rsidR="003754FE" w:rsidRDefault="003754FE" w:rsidP="003754FE">
      <w:pPr>
        <w:pStyle w:val="TextoNormal"/>
      </w:pPr>
      <w:r>
        <w:t>- No consta memoria explicativa de la excepcionalidad de las subvenciones, ni los requisitos que se exigen para ser beneficiario, ni se detalla la forma en que debería realizarse la justificación del cumplimiento de la finalidad para la que fue concedida la ayuda.</w:t>
      </w:r>
    </w:p>
    <w:p w14:paraId="680DD3F2" w14:textId="77777777" w:rsidR="003754FE" w:rsidRDefault="003754FE" w:rsidP="003754FE">
      <w:pPr>
        <w:pStyle w:val="TextoNormal"/>
      </w:pPr>
    </w:p>
    <w:p w14:paraId="7CCE3779" w14:textId="77777777" w:rsidR="003754FE" w:rsidRDefault="003754FE" w:rsidP="003754FE">
      <w:pPr>
        <w:pStyle w:val="TextoNormal"/>
      </w:pPr>
      <w:r>
        <w:lastRenderedPageBreak/>
        <w:t>- Los convenios de colaboración por los que se han concedido las ayudas no adoptan ni la forma ni los contenidos mínimos que exige la Ley 38/2003, de 17 de noviembre.</w:t>
      </w:r>
    </w:p>
    <w:p w14:paraId="5806F5AE" w14:textId="77777777" w:rsidR="003754FE" w:rsidRDefault="003754FE" w:rsidP="003754FE">
      <w:pPr>
        <w:pStyle w:val="TextoNormal"/>
      </w:pPr>
    </w:p>
    <w:p w14:paraId="4CC642BA" w14:textId="77777777" w:rsidR="003754FE" w:rsidRDefault="003754FE" w:rsidP="003754FE">
      <w:pPr>
        <w:pStyle w:val="TextoNormal"/>
      </w:pPr>
      <w:r>
        <w:t>- Ni las subvenciones ni los convenios han sido publicados en el ‘Boletín Oficial de la Junta de Andalucía’, ni en la base de datos de subvenciones de la Junta de Andalucía.</w:t>
      </w:r>
    </w:p>
    <w:p w14:paraId="6AA75EF5" w14:textId="77777777" w:rsidR="003754FE" w:rsidRDefault="003754FE" w:rsidP="003754FE">
      <w:pPr>
        <w:pStyle w:val="TextoNormal"/>
      </w:pPr>
    </w:p>
    <w:p w14:paraId="3F449DAC" w14:textId="77777777" w:rsidR="003754FE" w:rsidRDefault="003754FE" w:rsidP="003754FE">
      <w:pPr>
        <w:pStyle w:val="TextoNormal"/>
      </w:pPr>
      <w:r>
        <w:t>- La concesión de las subvenciones no ha sido objeto de informe previo por el Gabinete Jurídico de la Junta de Andalucía.</w:t>
      </w:r>
    </w:p>
    <w:p w14:paraId="2AF48EF9" w14:textId="77777777" w:rsidR="003754FE" w:rsidRDefault="003754FE" w:rsidP="003754FE">
      <w:pPr>
        <w:pStyle w:val="TextoNormal"/>
      </w:pPr>
    </w:p>
    <w:p w14:paraId="25FFA573" w14:textId="77777777" w:rsidR="003754FE" w:rsidRDefault="003754FE" w:rsidP="003754FE">
      <w:pPr>
        <w:pStyle w:val="TextoNormal"/>
      </w:pPr>
      <w:r>
        <w:t>- No se acredita la personalidad de las entidades solicitantes, ni la de sus representantes.</w:t>
      </w:r>
    </w:p>
    <w:p w14:paraId="165E4ABF" w14:textId="77777777" w:rsidR="003754FE" w:rsidRDefault="003754FE" w:rsidP="003754FE">
      <w:pPr>
        <w:pStyle w:val="TextoNormal"/>
      </w:pPr>
    </w:p>
    <w:p w14:paraId="78D6EA9B" w14:textId="77777777" w:rsidR="003754FE" w:rsidRDefault="003754FE" w:rsidP="003754FE">
      <w:pPr>
        <w:pStyle w:val="TextoNormal"/>
      </w:pPr>
      <w:r>
        <w:t>- No se aporta informe o memoria acreditativa de la finalidad pública, o razones de interés social o económico, en la concesión.</w:t>
      </w:r>
    </w:p>
    <w:p w14:paraId="79B5BBB6" w14:textId="77777777" w:rsidR="003754FE" w:rsidRDefault="003754FE" w:rsidP="003754FE">
      <w:pPr>
        <w:pStyle w:val="TextoNormal"/>
      </w:pPr>
    </w:p>
    <w:p w14:paraId="33CBF1E1" w14:textId="77777777" w:rsidR="003754FE" w:rsidRDefault="003754FE" w:rsidP="003754FE">
      <w:pPr>
        <w:pStyle w:val="TextoNormal"/>
      </w:pPr>
      <w:r>
        <w:t>- No consta solicitud presentada por los interesados ni su aceptación expresa.</w:t>
      </w:r>
    </w:p>
    <w:p w14:paraId="6C622ACF" w14:textId="77777777" w:rsidR="003754FE" w:rsidRDefault="003754FE" w:rsidP="003754FE">
      <w:pPr>
        <w:pStyle w:val="TextoNormal"/>
      </w:pPr>
    </w:p>
    <w:p w14:paraId="75A2AFE2" w14:textId="77777777" w:rsidR="003754FE" w:rsidRDefault="003754FE" w:rsidP="003754FE">
      <w:pPr>
        <w:pStyle w:val="TextoNormal"/>
      </w:pPr>
      <w:r>
        <w:t>- No se aporta declaración responsable del beneficiario de otras subvenciones o ayudas concedidas para la misma finalidad (artículos 111 y 105 LGHPA, y artículo 15.1 del Reglamento de subvenciones).</w:t>
      </w:r>
    </w:p>
    <w:p w14:paraId="783E17E0" w14:textId="77777777" w:rsidR="003754FE" w:rsidRDefault="003754FE" w:rsidP="003754FE">
      <w:pPr>
        <w:pStyle w:val="TextoNormal"/>
      </w:pPr>
    </w:p>
    <w:p w14:paraId="4A4C5E2C" w14:textId="77777777" w:rsidR="003754FE" w:rsidRDefault="003754FE" w:rsidP="003754FE">
      <w:pPr>
        <w:pStyle w:val="TextoNormal"/>
      </w:pPr>
      <w:r>
        <w:t>- No consta declaración expresa de los beneficiarios de no haber recaído sobre ellos resolución administrativa o judicial firme de reintegro.</w:t>
      </w:r>
    </w:p>
    <w:p w14:paraId="2D21F981" w14:textId="77777777" w:rsidR="003754FE" w:rsidRDefault="003754FE" w:rsidP="003754FE">
      <w:pPr>
        <w:pStyle w:val="TextoNormal"/>
      </w:pPr>
    </w:p>
    <w:p w14:paraId="05923F05" w14:textId="77777777" w:rsidR="003754FE" w:rsidRDefault="003754FE" w:rsidP="003754FE">
      <w:pPr>
        <w:pStyle w:val="TextoNormal"/>
      </w:pPr>
      <w:r>
        <w:t>- No se acredita por los beneficiarios estar al corriente en sus obligaciones fiscales.</w:t>
      </w:r>
    </w:p>
    <w:p w14:paraId="46C53408" w14:textId="77777777" w:rsidR="003754FE" w:rsidRDefault="003754FE" w:rsidP="003754FE">
      <w:pPr>
        <w:pStyle w:val="TextoNormal"/>
      </w:pPr>
    </w:p>
    <w:p w14:paraId="78AD47E9" w14:textId="77777777" w:rsidR="003754FE" w:rsidRDefault="003754FE" w:rsidP="003754FE">
      <w:pPr>
        <w:pStyle w:val="TextoNormal"/>
      </w:pPr>
      <w:r>
        <w:t>- No se determina el plazo y forma de justificación por el beneficiario del cumplimiento de la finalidad para la que se concede la ayuda.</w:t>
      </w:r>
    </w:p>
    <w:p w14:paraId="3CF48C96" w14:textId="77777777" w:rsidR="003754FE" w:rsidRDefault="003754FE" w:rsidP="003754FE">
      <w:pPr>
        <w:pStyle w:val="TextoNormal"/>
      </w:pPr>
    </w:p>
    <w:p w14:paraId="3BB5F2B6" w14:textId="77777777" w:rsidR="003754FE" w:rsidRDefault="003754FE" w:rsidP="003754FE">
      <w:pPr>
        <w:pStyle w:val="TextoNormal"/>
      </w:pPr>
      <w:r>
        <w:t>- No se indica la forma y secuencia del pago y los requisitos exigidos para su abono.</w:t>
      </w:r>
    </w:p>
    <w:p w14:paraId="31F7C143" w14:textId="77777777" w:rsidR="003754FE" w:rsidRDefault="003754FE" w:rsidP="003754FE">
      <w:pPr>
        <w:pStyle w:val="TextoNormal"/>
      </w:pPr>
    </w:p>
    <w:p w14:paraId="3F8BC624" w14:textId="77777777" w:rsidR="003754FE" w:rsidRDefault="003754FE" w:rsidP="003754FE">
      <w:pPr>
        <w:pStyle w:val="TextoNormal"/>
      </w:pPr>
      <w:r>
        <w:t>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14:paraId="7663FFDE" w14:textId="77777777" w:rsidR="003754FE" w:rsidRDefault="003754FE" w:rsidP="003754FE">
      <w:pPr>
        <w:pStyle w:val="TextoNormal"/>
      </w:pPr>
    </w:p>
    <w:p w14:paraId="5FE9E20A" w14:textId="77777777" w:rsidR="003754FE" w:rsidRDefault="003754FE" w:rsidP="003754FE">
      <w:pPr>
        <w:pStyle w:val="TextoNormal"/>
      </w:pPr>
      <w:r>
        <w:t>Las consecuencias de semejante descontrol fueron las siguientes:</w:t>
      </w:r>
    </w:p>
    <w:p w14:paraId="2A74CA35" w14:textId="77777777" w:rsidR="003754FE" w:rsidRDefault="003754FE" w:rsidP="003754FE">
      <w:pPr>
        <w:pStyle w:val="TextoNormal"/>
      </w:pPr>
    </w:p>
    <w:p w14:paraId="36C9E925" w14:textId="77777777" w:rsidR="003754FE" w:rsidRDefault="003754FE" w:rsidP="003754FE">
      <w:pPr>
        <w:pStyle w:val="TextoNormal"/>
      </w:pPr>
      <w:r>
        <w:t>(i)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ayudas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14:paraId="14C7C692" w14:textId="77777777" w:rsidR="003754FE" w:rsidRDefault="003754FE" w:rsidP="003754FE">
      <w:pPr>
        <w:pStyle w:val="TextoNormal"/>
      </w:pPr>
    </w:p>
    <w:p w14:paraId="527F1423" w14:textId="77777777" w:rsidR="003754FE" w:rsidRDefault="003754FE" w:rsidP="003754FE">
      <w:pPr>
        <w:pStyle w:val="TextoNormal"/>
      </w:pPr>
      <w:r>
        <w:t>- En el año 2001, fueron 748, afectando a un total de 7582 trabajadores.</w:t>
      </w:r>
    </w:p>
    <w:p w14:paraId="22E0EFFE" w14:textId="77777777" w:rsidR="003754FE" w:rsidRDefault="003754FE" w:rsidP="003754FE">
      <w:pPr>
        <w:pStyle w:val="TextoNormal"/>
      </w:pPr>
    </w:p>
    <w:p w14:paraId="4ED0D96A" w14:textId="77777777" w:rsidR="003754FE" w:rsidRDefault="003754FE" w:rsidP="003754FE">
      <w:pPr>
        <w:pStyle w:val="TextoNormal"/>
      </w:pPr>
      <w:r>
        <w:t>- En el año 2002, fueron 650, afectando a un total de 4787 trabajadores.</w:t>
      </w:r>
    </w:p>
    <w:p w14:paraId="32768B6F" w14:textId="77777777" w:rsidR="003754FE" w:rsidRDefault="003754FE" w:rsidP="003754FE">
      <w:pPr>
        <w:pStyle w:val="TextoNormal"/>
      </w:pPr>
    </w:p>
    <w:p w14:paraId="2E1CC958" w14:textId="77777777" w:rsidR="003754FE" w:rsidRDefault="003754FE" w:rsidP="003754FE">
      <w:pPr>
        <w:pStyle w:val="TextoNormal"/>
      </w:pPr>
      <w:r>
        <w:t>- En el año 2003, fueron 511, afectando a un total de 4957 trabajadores.</w:t>
      </w:r>
    </w:p>
    <w:p w14:paraId="3C0A377A" w14:textId="77777777" w:rsidR="003754FE" w:rsidRDefault="003754FE" w:rsidP="003754FE">
      <w:pPr>
        <w:pStyle w:val="TextoNormal"/>
      </w:pPr>
    </w:p>
    <w:p w14:paraId="4AE38D04" w14:textId="77777777" w:rsidR="003754FE" w:rsidRDefault="003754FE" w:rsidP="003754FE">
      <w:pPr>
        <w:pStyle w:val="TextoNormal"/>
      </w:pPr>
      <w:r>
        <w:t>- En el año 2004, fueron 657, afectando a un total de 4833 trabajadores.</w:t>
      </w:r>
    </w:p>
    <w:p w14:paraId="6DC1000D" w14:textId="77777777" w:rsidR="003754FE" w:rsidRDefault="003754FE" w:rsidP="003754FE">
      <w:pPr>
        <w:pStyle w:val="TextoNormal"/>
      </w:pPr>
    </w:p>
    <w:p w14:paraId="2991AFCC" w14:textId="77777777" w:rsidR="003754FE" w:rsidRDefault="003754FE" w:rsidP="003754FE">
      <w:pPr>
        <w:pStyle w:val="TextoNormal"/>
      </w:pPr>
      <w:r>
        <w:t>- En el año 2005, fueron 424, afectando a un total de 5476 trabajadores.</w:t>
      </w:r>
    </w:p>
    <w:p w14:paraId="2B1028C0" w14:textId="77777777" w:rsidR="003754FE" w:rsidRDefault="003754FE" w:rsidP="003754FE">
      <w:pPr>
        <w:pStyle w:val="TextoNormal"/>
      </w:pPr>
    </w:p>
    <w:p w14:paraId="37901184" w14:textId="77777777" w:rsidR="003754FE" w:rsidRDefault="003754FE" w:rsidP="003754FE">
      <w:pPr>
        <w:pStyle w:val="TextoNormal"/>
      </w:pPr>
      <w:r>
        <w:t>- En el año 2006, fueron 434, afectando a un total de 2968 trabajadores.</w:t>
      </w:r>
    </w:p>
    <w:p w14:paraId="7A930809" w14:textId="77777777" w:rsidR="003754FE" w:rsidRDefault="003754FE" w:rsidP="003754FE">
      <w:pPr>
        <w:pStyle w:val="TextoNormal"/>
      </w:pPr>
    </w:p>
    <w:p w14:paraId="50386F7C" w14:textId="77777777" w:rsidR="003754FE" w:rsidRDefault="003754FE" w:rsidP="003754FE">
      <w:pPr>
        <w:pStyle w:val="TextoNormal"/>
      </w:pPr>
      <w:r>
        <w:t>- En el año 2007, fueron 428, afectando a un total de 3247 trabajadores.</w:t>
      </w:r>
    </w:p>
    <w:p w14:paraId="15AEC478" w14:textId="77777777" w:rsidR="003754FE" w:rsidRDefault="003754FE" w:rsidP="003754FE">
      <w:pPr>
        <w:pStyle w:val="TextoNormal"/>
      </w:pPr>
    </w:p>
    <w:p w14:paraId="300D32BA" w14:textId="77777777" w:rsidR="003754FE" w:rsidRDefault="003754FE" w:rsidP="003754FE">
      <w:pPr>
        <w:pStyle w:val="TextoNormal"/>
      </w:pPr>
      <w:r>
        <w:t>- En el año 2008, fueron 652, afectando a un total de 7000 trabajadores.</w:t>
      </w:r>
    </w:p>
    <w:p w14:paraId="4A7EA67F" w14:textId="77777777" w:rsidR="003754FE" w:rsidRDefault="003754FE" w:rsidP="003754FE">
      <w:pPr>
        <w:pStyle w:val="TextoNormal"/>
      </w:pPr>
    </w:p>
    <w:p w14:paraId="0B61A205" w14:textId="77777777" w:rsidR="003754FE" w:rsidRDefault="003754FE" w:rsidP="003754FE">
      <w:pPr>
        <w:pStyle w:val="TextoNormal"/>
      </w:pPr>
      <w:r>
        <w:t>- En el año 2009, fueron 1379, afectando a un total de 30 821 trabajadores.</w:t>
      </w:r>
    </w:p>
    <w:p w14:paraId="4F52134C" w14:textId="77777777" w:rsidR="003754FE" w:rsidRDefault="003754FE" w:rsidP="003754FE">
      <w:pPr>
        <w:pStyle w:val="TextoNormal"/>
      </w:pPr>
    </w:p>
    <w:p w14:paraId="1AFBC439" w14:textId="77777777" w:rsidR="003754FE" w:rsidRDefault="003754FE" w:rsidP="003754FE">
      <w:pPr>
        <w:pStyle w:val="TextoNormal"/>
      </w:pPr>
      <w:r>
        <w:t>- En el año 2010, fueron 1490, afectando a un total de 21 450 trabajadores.</w:t>
      </w:r>
    </w:p>
    <w:p w14:paraId="687697AB" w14:textId="77777777" w:rsidR="003754FE" w:rsidRDefault="003754FE" w:rsidP="003754FE">
      <w:pPr>
        <w:pStyle w:val="TextoNormal"/>
      </w:pPr>
    </w:p>
    <w:p w14:paraId="11C7AA63" w14:textId="77777777" w:rsidR="003754FE" w:rsidRDefault="003754FE" w:rsidP="003754FE">
      <w:pPr>
        <w:pStyle w:val="TextoNormal"/>
      </w:pPr>
      <w:r>
        <w:t>(ii) La ausencia de cualquier mecanismo de comprobación de la pertenencia al colectivo afectado de las personas beneficiarias de las pólizas, permitió la inclusión de beneficiarios que nunca habían pertenecido a las empresas ayudadas por la Consejería de Empleo.</w:t>
      </w:r>
    </w:p>
    <w:p w14:paraId="3F7E76EE" w14:textId="77777777" w:rsidR="003754FE" w:rsidRDefault="003754FE" w:rsidP="003754FE">
      <w:pPr>
        <w:pStyle w:val="TextoNormal"/>
      </w:pPr>
    </w:p>
    <w:p w14:paraId="4E608E55" w14:textId="77777777" w:rsidR="003754FE" w:rsidRDefault="003754FE" w:rsidP="003754FE">
      <w:pPr>
        <w:pStyle w:val="TextoNormal"/>
      </w:pPr>
      <w:r>
        <w:t>(iii)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14:paraId="028E9557" w14:textId="77777777" w:rsidR="003754FE" w:rsidRDefault="003754FE" w:rsidP="003754FE">
      <w:pPr>
        <w:pStyle w:val="TextoNormal"/>
      </w:pPr>
    </w:p>
    <w:p w14:paraId="4F607D83" w14:textId="77777777" w:rsidR="003754FE" w:rsidRDefault="003754FE" w:rsidP="003754FE">
      <w:pPr>
        <w:pStyle w:val="TextoNormal"/>
      </w:pPr>
      <w:r>
        <w:t>(iv)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14:paraId="198209C8" w14:textId="77777777" w:rsidR="003754FE" w:rsidRDefault="003754FE" w:rsidP="003754FE">
      <w:pPr>
        <w:pStyle w:val="TextoNormal"/>
      </w:pPr>
    </w:p>
    <w:p w14:paraId="3FFF2E38" w14:textId="77777777" w:rsidR="003754FE" w:rsidRDefault="003754FE" w:rsidP="003754FE">
      <w:pPr>
        <w:pStyle w:val="TextoNormal"/>
      </w:pPr>
      <w:r>
        <w:t>(v)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de un curso de alta dirección, durante cinco ejercicios.</w:t>
      </w:r>
    </w:p>
    <w:p w14:paraId="10367667" w14:textId="77777777" w:rsidR="003754FE" w:rsidRDefault="003754FE" w:rsidP="003754FE">
      <w:pPr>
        <w:pStyle w:val="TextoNormal"/>
      </w:pPr>
    </w:p>
    <w:p w14:paraId="1D98C8BE" w14:textId="77777777" w:rsidR="003754FE" w:rsidRDefault="003754FE" w:rsidP="003754FE">
      <w:pPr>
        <w:pStyle w:val="TextoNormal"/>
      </w:pPr>
      <w:r>
        <w:lastRenderedPageBreak/>
        <w:t>III</w:t>
      </w:r>
      <w:r w:rsidRPr="003754FE">
        <w:rPr>
          <w:i/>
        </w:rPr>
        <w:t>) Tercera eta</w:t>
      </w:r>
      <w:r>
        <w:t>pa</w:t>
      </w:r>
    </w:p>
    <w:p w14:paraId="57E37108" w14:textId="77777777" w:rsidR="003754FE" w:rsidRDefault="003754FE" w:rsidP="003754FE">
      <w:pPr>
        <w:pStyle w:val="TextoNormal"/>
      </w:pPr>
    </w:p>
    <w:p w14:paraId="20BFDF9C" w14:textId="77777777" w:rsidR="003754FE" w:rsidRDefault="003754FE" w:rsidP="003754FE">
      <w:pPr>
        <w:pStyle w:val="TextoNormal"/>
      </w:pPr>
      <w:r>
        <w:t>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14:paraId="110A4302" w14:textId="77777777" w:rsidR="003754FE" w:rsidRDefault="003754FE" w:rsidP="003754FE">
      <w:pPr>
        <w:pStyle w:val="TextoNormal"/>
      </w:pPr>
    </w:p>
    <w:p w14:paraId="465276B2" w14:textId="77777777" w:rsidR="003754FE" w:rsidRDefault="003754FE" w:rsidP="003754FE">
      <w:pPr>
        <w:pStyle w:val="TextoNormal"/>
      </w:pPr>
      <w:r>
        <w:t>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14:paraId="7ACEBCEB" w14:textId="77777777" w:rsidR="003754FE" w:rsidRDefault="003754FE" w:rsidP="003754FE">
      <w:pPr>
        <w:pStyle w:val="TextoNormal"/>
      </w:pPr>
    </w:p>
    <w:p w14:paraId="7458EC5C" w14:textId="77777777" w:rsidR="003754FE" w:rsidRDefault="003754FE" w:rsidP="003754FE">
      <w:pPr>
        <w:pStyle w:val="TextoNormal"/>
      </w:pPr>
      <w:r>
        <w:t>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14:paraId="7E0E95EF" w14:textId="77777777" w:rsidR="003754FE" w:rsidRDefault="003754FE" w:rsidP="003754FE">
      <w:pPr>
        <w:pStyle w:val="TextoNormal"/>
      </w:pPr>
    </w:p>
    <w:p w14:paraId="69279DB0" w14:textId="77777777" w:rsidR="003754FE" w:rsidRDefault="003754FE" w:rsidP="003754FE">
      <w:pPr>
        <w:pStyle w:val="TextoNormal"/>
      </w:pPr>
      <w:r>
        <w:t>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14:paraId="3DDAD2D8" w14:textId="77777777" w:rsidR="003754FE" w:rsidRDefault="003754FE" w:rsidP="003754FE">
      <w:pPr>
        <w:pStyle w:val="TextoNormal"/>
      </w:pPr>
    </w:p>
    <w:p w14:paraId="58B62E77" w14:textId="77777777" w:rsidR="003754FE" w:rsidRDefault="003754FE" w:rsidP="003754FE">
      <w:pPr>
        <w:pStyle w:val="TextoNormal"/>
      </w:pPr>
      <w:r>
        <w:t>b) El demandante de amparo fue condenado en sentencia núm. 490/2019, de 19 de noviembre, dictada por la Sección Primera de la Audiencia Provincial de Sevilla, en el rollo núm. 1965-2017, por haber participado en los hechos anteriores, en su condición de viceconsejero (29 de abril de 2000 a 25 de abril de 2004) y consejero de Empleo (25 de abril de 2004 a 22 de marzo de 2010) de la Junta de Andalucía así como de presidente del Instituto de Fomento de Andalucía (6 de junio de 2001 a 28 de enero de 2003), como autor de un delito de prevaricación continuado en concurso medial con un delito de malversación continuado a la pena de siete años y once meses y un día de prisión, inhabilitación especial para el derecho de sufragio pasivo durante el tiempo de la condena, e inhabilitación absoluta por tiempo de diecinueve años, seis meses y un día,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Se le impuso asimismo el pago de 2/37 partes de las costas procesales causadas, excluidas las de las acusaciones populares.</w:t>
      </w:r>
    </w:p>
    <w:p w14:paraId="003726CA" w14:textId="77777777" w:rsidR="003754FE" w:rsidRDefault="003754FE" w:rsidP="003754FE">
      <w:pPr>
        <w:pStyle w:val="TextoNormal"/>
      </w:pPr>
    </w:p>
    <w:p w14:paraId="32102440" w14:textId="77777777" w:rsidR="003754FE" w:rsidRDefault="003754FE" w:rsidP="003754FE">
      <w:pPr>
        <w:pStyle w:val="TextoNormal"/>
      </w:pPr>
      <w:r>
        <w:t>c) Interpuesto recurso de casación por la representación procesal del demandante, fue desestimado íntegramente por sentencia de la Sala de lo Penal del Tribunal Supremo núm. 749/2022, de 13 de septiembre.</w:t>
      </w:r>
    </w:p>
    <w:p w14:paraId="5A776976" w14:textId="77777777" w:rsidR="003754FE" w:rsidRDefault="003754FE" w:rsidP="003754FE">
      <w:pPr>
        <w:pStyle w:val="TextoNormal"/>
      </w:pPr>
    </w:p>
    <w:p w14:paraId="2D89DFA3" w14:textId="047C4D04" w:rsidR="003754FE" w:rsidRDefault="003754FE" w:rsidP="003754FE">
      <w:pPr>
        <w:pStyle w:val="TextoNormal"/>
      </w:pPr>
      <w:r>
        <w:t>d) Por auto del Tribunal Supremo de 16 de febrero de 2023 se inadmitió el incidente de nulidad de actuaciones formulado por el recurrente frente a la sentencia del Tribunal Supremo que desestimó el recurso de casación.</w:t>
      </w:r>
    </w:p>
    <w:p w14:paraId="2687C415" w14:textId="77777777" w:rsidR="003754FE" w:rsidRDefault="003754FE" w:rsidP="003754FE">
      <w:pPr>
        <w:pStyle w:val="TextoNormal"/>
      </w:pPr>
    </w:p>
    <w:p w14:paraId="2098C5CB" w14:textId="77777777" w:rsidR="003754FE" w:rsidRDefault="003754FE" w:rsidP="003754FE">
      <w:pPr>
        <w:pStyle w:val="TextoNormal"/>
      </w:pPr>
      <w:r w:rsidRPr="003754FE">
        <w:rPr>
          <w:rStyle w:val="NumeroAFNegritaCaracter"/>
        </w:rPr>
        <w:t>3</w:t>
      </w:r>
      <w:r>
        <w:t xml:space="preserve">. La demanda de amparo distingue entre las vulneraciones producidas por la sentencia de instancia —los tres primeros motivos— y las que atribuye </w:t>
      </w:r>
      <w:r w:rsidRPr="003754FE">
        <w:rPr>
          <w:i/>
        </w:rPr>
        <w:t>ex novo</w:t>
      </w:r>
      <w:r>
        <w:t xml:space="preserve"> a la sentencia de casación —otros cuatro motivos— que cabe sintetizar como sigue:</w:t>
      </w:r>
    </w:p>
    <w:p w14:paraId="4032A48C" w14:textId="77777777" w:rsidR="003754FE" w:rsidRDefault="003754FE" w:rsidP="003754FE">
      <w:pPr>
        <w:pStyle w:val="TextoNormal"/>
      </w:pPr>
    </w:p>
    <w:p w14:paraId="23F774F6" w14:textId="77777777" w:rsidR="003754FE" w:rsidRDefault="003754FE" w:rsidP="003754FE">
      <w:pPr>
        <w:pStyle w:val="TextoNormal"/>
      </w:pPr>
      <w:r>
        <w:t>a) Vulneración del derecho a la presunción de inocencia (art. 24.2 CE), al condenarse con base en “una resultancia de ‘hechos probados’ absolutamente inconcreta e imprecisa, que no integra los elementos del delito de malversación ni […] describe la participación del recurrente en ellos”.</w:t>
      </w:r>
    </w:p>
    <w:p w14:paraId="52C44566" w14:textId="77777777" w:rsidR="003754FE" w:rsidRDefault="003754FE" w:rsidP="003754FE">
      <w:pPr>
        <w:pStyle w:val="TextoNormal"/>
      </w:pPr>
    </w:p>
    <w:p w14:paraId="7C75163F" w14:textId="77777777" w:rsidR="003754FE" w:rsidRDefault="003754FE" w:rsidP="003754FE">
      <w:pPr>
        <w:pStyle w:val="TextoNormal"/>
      </w:pPr>
      <w:r>
        <w:t>Sostiene el recurrente que la sentencia condenatoria describe en los hechos probados dos tipos de conductas que no integran el delito de malversación de caudales públicos en grado de consumación por el que se le condena. Por un lado, un grupo de conductas que pueden resumirse como “haber puesto a disposición del director general de Trabajo caudales para que este dispusiera de los mismos”, que a lo sumo constituirían actos preparatorios, pero no un delito de malversación consumado, ya que es un delito de resultado que se consuma con la realidad dispositiva de los fondos y no con la mera puesta disposición del gestor para que este pueda disponer de ellos o gestionarlos más adelante. Un segundo grupo de conductas recogidas en los hechos probados aludiría a “haber dispuesto de los caudales”, pero en ellas no se le atribuye participación. El actor subraya que los hechos remiten siempre al centro directivo que recibió los fondos para disponer de ellos y que fue gestor, como es natural por ser el responsable del programa presupuestario 31L (antes 22E): la Dirección General de Trabajo y Seguridad Social y su titular.</w:t>
      </w:r>
    </w:p>
    <w:p w14:paraId="58B6C7DC" w14:textId="77777777" w:rsidR="003754FE" w:rsidRDefault="003754FE" w:rsidP="003754FE">
      <w:pPr>
        <w:pStyle w:val="TextoNormal"/>
      </w:pPr>
    </w:p>
    <w:p w14:paraId="16F010BA" w14:textId="77777777" w:rsidR="003754FE" w:rsidRDefault="003754FE" w:rsidP="003754FE">
      <w:pPr>
        <w:pStyle w:val="TextoNormal"/>
      </w:pPr>
      <w:r>
        <w:t xml:space="preserve">Descarta asimismo que el “artificioso” mecanismo de la integración del </w:t>
      </w:r>
      <w:r w:rsidRPr="003754FE">
        <w:rPr>
          <w:i/>
        </w:rPr>
        <w:t>factum</w:t>
      </w:r>
      <w:r>
        <w:t xml:space="preserve"> en los fundamentos jurídicos permita completarlo en este caso, ya que en ellos se sigue aludiendo al centro directivo y cargo público que era competente (Dirección General de Trabajo y Seguridad Social) ; y en la subsunción de su actuación efectuada en los fundamentos de Derecho 26 y 46 no habría, a su juicio, más que un intento de complementación vago e inconsistente. En suma, se subsumiría su actuación en la conducta activa (sustraer) de forma contradictoria con la previa afirmación de que quien dispuso de fondos fue la Dirección General de Trabajo y Seguridad Social y la ausencia de cualquier resolución de concesión de las ayudas y en la modalidad pasiva (consentir que un tercero sustraiga), obviando que el director general de Trabajo al que se habría permitido la sustracción no es un tercero en el sentido del art. 432.1 del Código Penal (CP), ya que es quien tiene confiados los fondos por razón de su cargo.</w:t>
      </w:r>
    </w:p>
    <w:p w14:paraId="2EC1FFD3" w14:textId="77777777" w:rsidR="003754FE" w:rsidRDefault="003754FE" w:rsidP="003754FE">
      <w:pPr>
        <w:pStyle w:val="TextoNormal"/>
      </w:pPr>
    </w:p>
    <w:p w14:paraId="4E26F802" w14:textId="77777777" w:rsidR="003754FE" w:rsidRDefault="003754FE" w:rsidP="003754FE">
      <w:pPr>
        <w:pStyle w:val="TextoNormal"/>
      </w:pPr>
      <w:r>
        <w:t>b) “Vulneración de las garantías asociadas al principio de legalidad (art. 25.1 CE): condena del recurrente sin la concurrencia de los requisitos típicos del delito de malversación”.</w:t>
      </w:r>
    </w:p>
    <w:p w14:paraId="0F6B8DC0" w14:textId="77777777" w:rsidR="003754FE" w:rsidRDefault="003754FE" w:rsidP="003754FE">
      <w:pPr>
        <w:pStyle w:val="TextoNormal"/>
      </w:pPr>
    </w:p>
    <w:p w14:paraId="0F36CF81" w14:textId="77777777" w:rsidR="003754FE" w:rsidRDefault="003754FE" w:rsidP="003754FE">
      <w:pPr>
        <w:pStyle w:val="TextoNormal"/>
      </w:pPr>
      <w:r>
        <w:t>En este motivo se denuncia una aplicación inesperada e imprevisible del delito de malversación, en tanto incluye en su marco típico “un comportamiento objetivo descrito en los hechos probados que resulta completamente extraño o ajeno a las conductas penalmente tipificadas en el art. 432 CP”, tanto a la modalidad activa como a la pasiva.</w:t>
      </w:r>
    </w:p>
    <w:p w14:paraId="1471601F" w14:textId="77777777" w:rsidR="003754FE" w:rsidRDefault="003754FE" w:rsidP="003754FE">
      <w:pPr>
        <w:pStyle w:val="TextoNormal"/>
      </w:pPr>
    </w:p>
    <w:p w14:paraId="43915937" w14:textId="77777777" w:rsidR="003754FE" w:rsidRDefault="003754FE" w:rsidP="003754FE">
      <w:pPr>
        <w:pStyle w:val="TextoNormal"/>
      </w:pPr>
      <w:r>
        <w:t xml:space="preserve">Por lo que atañe a la modalidad activa “sustrajere”, se advierte que la afirmación de que participó directamente en la disposición de fondos es contradictoria con la afirmación reiterada de que quien tenía a su cargo y dispuso de los fondos fue la Dirección General de Trabajo y su titular, dato que, según el recurrente, viene a ratificar el “menudeo” de ciertos episodios en que pretende sustentarse la subsunción (prueba 24, pág. 872 de la sentencia de la Audiencia Provincial), que pondrían de manifiesto que la disposición se realizó por la Dirección General de Trabajo y Seguridad Social, y en momento alguno se vincula con una resolución de concesión de ayudas o aplicación de fondos del programa 31L por su parte. Se detiene el recurso en las exigencias en cuanto a la acción que impone el verbo típico “sustraer”, que, según entiende, remite a actos concluyentes y a una relación causa-efecto que implica el dictado de una resolución acorde con las funciones competenciales del agente cuando, en su caso, solo se enuncian acciones evanescentes. En conexión con lo anterior, se defiende que el tipo exige una específica relación entre sujeto activo y objeto material, que conlleva “la facultad de intervenir y gestionar los bienes públicos que constituyen el objeto material […] la posesión de una situación o </w:t>
      </w:r>
      <w:r w:rsidRPr="003754FE">
        <w:rPr>
          <w:i/>
        </w:rPr>
        <w:t>status</w:t>
      </w:r>
      <w:r>
        <w:t xml:space="preserve"> de administración y custodia que implica, en cualquier caso, la facultad de adoptar decisiones vinculantes sobre los mismos”. El demandante reitera que ni como viceconsejero ni como consejero ostentó funciones propias o responsabilidades competenciales relacionadas con el programa 31L que sí tenía el director general de Trabajo.</w:t>
      </w:r>
    </w:p>
    <w:p w14:paraId="564FE33E" w14:textId="77777777" w:rsidR="003754FE" w:rsidRDefault="003754FE" w:rsidP="003754FE">
      <w:pPr>
        <w:pStyle w:val="TextoNormal"/>
      </w:pPr>
    </w:p>
    <w:p w14:paraId="55D93E3F" w14:textId="77777777" w:rsidR="003754FE" w:rsidRDefault="003754FE" w:rsidP="003754FE">
      <w:pPr>
        <w:pStyle w:val="TextoNormal"/>
      </w:pPr>
      <w:r>
        <w:t>Por lo que se refiere a la modalidad pasiva “permitiere que un tercero sustraiga”, que, a juicio del actor, es la que sostiene su condena, existiría “un artificioso forzamiento del contenido literal del precepto, pues quien consiente la participación del tercero siempre ha de ser, y solo puede ser, quien tiene a su cargo los caudales; y por ello mismo, en cualquiera de los casos, es así que el ‘tercero’ no puede ser sujeto activo idóneo del tipo”. La situación en el caso es la inversa: él no disponía de los caudales y el tercero era quien tenía a su cargo los fondos (director general de Trabajo). Además del tenor literal, entiende que avala la exclusión como posible tercero del funcionario o autoridad que tiene a su cargo los bienes el hecho de que ya sería autor de la modalidad activa y que la modalidad omisiva se dirige a evitar aporías penológicas en los delitos especiales. Todavía en relación con la subsunción en la modalidad pasiva, se argumenta en la demanda sobre la falta de justificación del dolo, que debe abarcar el conocimiento del ánimo de lucro concurrente en el tercero (que no puede ser el director general de Trabajo), dado que no se oyó en juicio a ninguno de esos beneficiarios terceros.</w:t>
      </w:r>
    </w:p>
    <w:p w14:paraId="51D99019" w14:textId="77777777" w:rsidR="003754FE" w:rsidRDefault="003754FE" w:rsidP="003754FE">
      <w:pPr>
        <w:pStyle w:val="TextoNormal"/>
      </w:pPr>
    </w:p>
    <w:p w14:paraId="028F1494" w14:textId="77777777" w:rsidR="003754FE" w:rsidRDefault="003754FE" w:rsidP="003754FE">
      <w:pPr>
        <w:pStyle w:val="TextoNormal"/>
      </w:pPr>
      <w:r>
        <w:t xml:space="preserve">Se añade que, planteado el </w:t>
      </w:r>
      <w:r w:rsidRPr="003754FE">
        <w:rPr>
          <w:i/>
        </w:rPr>
        <w:t>error iuris</w:t>
      </w:r>
      <w:r>
        <w:t xml:space="preserve"> en casación, la sentencia elude un análisis en profundidad de los puntos anteriores y apela a un pretendido precedente para mantener lo que probablemente es la primera condena con base en la modalidad pasiva por haber permitido que un tercero sustrajere los caudales, pero siendo ese tercero el sujeto agente principal de la sustracción. La interpretación que se efectúa, según el demandante, desagrega los distintos elementos que conforman la conducta típica y genera un producto normativo interpretado que poco tiene que ver con el producto original legislado y que, por ello, “compromete los mandatos de certeza y de taxatividad interpretativa como garantías específicas del derecho a la libertad de los ciudadanos”. En apoyo de tal conclusión invoca doctrina del Tribunal Europeo de Derechos Humanos (SSTEDH de 29 de marzo de 2006, asunto </w:t>
      </w:r>
      <w:r w:rsidRPr="003754FE">
        <w:rPr>
          <w:i/>
        </w:rPr>
        <w:t>Achour c. Francia</w:t>
      </w:r>
      <w:r>
        <w:t xml:space="preserve">; de 21 de octubre de 2013, asunto </w:t>
      </w:r>
      <w:r w:rsidRPr="003754FE">
        <w:rPr>
          <w:i/>
        </w:rPr>
        <w:t>Del Río c. España</w:t>
      </w:r>
      <w:r>
        <w:t xml:space="preserve">, y de 27 de enero de 2015, asunto </w:t>
      </w:r>
      <w:r w:rsidRPr="003754FE">
        <w:rPr>
          <w:i/>
        </w:rPr>
        <w:t>Rohlena c. República Checa</w:t>
      </w:r>
      <w:r>
        <w:t xml:space="preserve">) y del Tribunal Constitucional (SSTC 137/1997, de 21 de julio; </w:t>
      </w:r>
      <w:r>
        <w:lastRenderedPageBreak/>
        <w:t>129/2008, de 27 de octubre, y 59/2010, de 4 de octubre) sobre los límites de la interpretación judicial.</w:t>
      </w:r>
    </w:p>
    <w:p w14:paraId="367E9376" w14:textId="77777777" w:rsidR="003754FE" w:rsidRDefault="003754FE" w:rsidP="003754FE">
      <w:pPr>
        <w:pStyle w:val="TextoNormal"/>
      </w:pPr>
    </w:p>
    <w:p w14:paraId="678E3675" w14:textId="77777777" w:rsidR="003754FE" w:rsidRDefault="003754FE" w:rsidP="003754FE">
      <w:pPr>
        <w:pStyle w:val="TextoNormal"/>
      </w:pPr>
      <w:r>
        <w:t>c) “Vulneración del derecho constitucional a la presunción de inocencia (art. 24.2 CE) al no haberse efectuado una valoración racional de la prueba”.</w:t>
      </w:r>
    </w:p>
    <w:p w14:paraId="106F280A" w14:textId="77777777" w:rsidR="003754FE" w:rsidRDefault="003754FE" w:rsidP="003754FE">
      <w:pPr>
        <w:pStyle w:val="TextoNormal"/>
      </w:pPr>
    </w:p>
    <w:p w14:paraId="576A919A" w14:textId="77777777" w:rsidR="003754FE" w:rsidRDefault="003754FE" w:rsidP="003754FE">
      <w:pPr>
        <w:pStyle w:val="TextoNormal"/>
      </w:pPr>
      <w:r>
        <w:t xml:space="preserve">De nuevo en relación con la malversación se alega la infracción del art. 24.2 CE “al no haber efectuado el tribunal de instancia una valoración racional de la prueba y ya que de la practicada no se infiere racionalmente la comisión del hecho y la participación del acusado, siendo ilógico, irrazonable e insuficiente el </w:t>
      </w:r>
      <w:r w:rsidRPr="003754FE">
        <w:rPr>
          <w:i/>
        </w:rPr>
        <w:t>iter</w:t>
      </w:r>
      <w:r>
        <w:t xml:space="preserve"> discursivo que conduce desde la prueba al hecho probado; con resultado de infracción, por aplicación indebida, del artículo 432-1-2 del Código penal”.</w:t>
      </w:r>
    </w:p>
    <w:p w14:paraId="4CCB2F6C" w14:textId="77777777" w:rsidR="003754FE" w:rsidRDefault="003754FE" w:rsidP="003754FE">
      <w:pPr>
        <w:pStyle w:val="TextoNormal"/>
      </w:pPr>
    </w:p>
    <w:p w14:paraId="705874B5" w14:textId="77777777" w:rsidR="003754FE" w:rsidRDefault="003754FE" w:rsidP="003754FE">
      <w:pPr>
        <w:pStyle w:val="TextoNormal"/>
      </w:pPr>
      <w:r>
        <w:t xml:space="preserve">En apoyo de tal denuncia y tras reiterar el recurrente que el </w:t>
      </w:r>
      <w:r w:rsidRPr="003754FE">
        <w:rPr>
          <w:i/>
        </w:rPr>
        <w:t>factum</w:t>
      </w:r>
      <w:r>
        <w:t xml:space="preserve"> no le atribuye participación en el delito, hace en este punto del recurso un repaso por lo referido en el hecho probado 22 y en los fundamentos jurídicos 2 (apartado 34), 14, y 45 de la sentencia de la Audiencia Provincial. Del mismo concluye, en primer lugar, que las ayudas sociolaborales y a empresas en crisis a que se alude eran en principio ayudas para un fin público o social legítimo, como evidencia la afirmación de la sentencia condenatoria de que “parte de los fondos del programa se habrían destinado a fines ajenos al interés público”. Y, apunta en segundo lugar, “no se determina o concreta, siquiera mínimamente, el qué, el cuánto, el cuándo, el cómo ni el beneficiario de lo malversado; ni en absoluto se especifican los actos a través de los cuales se produjo la sustracción o desvío de los caudales”. Destaca que no resulta una cuestión de hecho controvertida que “una parte no cuantificada ni por aproximación en la sentencia, pero en cualquier caso significativa de los fondos de la partida presupuestaria examinada, se otorgó para un legítimo fin público y social: atender necesidades urgentes de trabajadores despedidos y empresas en crisis”.</w:t>
      </w:r>
    </w:p>
    <w:p w14:paraId="7C6A6044" w14:textId="77777777" w:rsidR="003754FE" w:rsidRDefault="003754FE" w:rsidP="003754FE">
      <w:pPr>
        <w:pStyle w:val="TextoNormal"/>
      </w:pPr>
    </w:p>
    <w:p w14:paraId="11712F83" w14:textId="77777777" w:rsidR="003754FE" w:rsidRDefault="003754FE" w:rsidP="003754FE">
      <w:pPr>
        <w:pStyle w:val="TextoNormal"/>
      </w:pPr>
      <w:r>
        <w:t>Pone de relieve que “no se debatió ni practicó prueba alguna en relación a ni una sola de las ayudas concedidas con cargo al programa 31L: circunstancias de concesión, adecuación a un fin público o social, aplicación a la finalidad pública que justificó su concesión”. Frente a esa “desertización probatoria”, concluye que es irracional tener por probado “(i) que los beneficiarios de ayudas tuvieran o no capacidad económica para hacer frente a las obligaciones y eventualmente su solicitud fuese fraudulenta, o que (ii) los mismos hubieren o no acreditado esa falta de capacidad en su momento, o que (iii) el órgano responsable, la [Dirección General de Trabajo y Seguridad Social], a la hora de la concesión hubiere arbitrado o no los medios para efectuar las comprobaciones correspondientes sobre esa capacidad de los solicitantes”. El recurrente rechaza asimismo la argumentación que alude a la ausencia de procedimiento como elemento justificativo de la malversación, ya que confunde el plano de la prevaricación con el de la malversación, atinente a la sustracción o desvío de caudales. Y advierte que “[p]artiendo de una premisa inicial consistente en la ausencia de ‘expediente que permita acreditar el fin público y el destino de la ayuda’, se produce un salto al vacío en el discurso y la sentencia llega de manera ilógica e irracional a la conclusión de que las ayudas no se concedieron por razón de legítima finalidad pública o social y no se destinaron a la misma”.</w:t>
      </w:r>
    </w:p>
    <w:p w14:paraId="17EE43F8" w14:textId="77777777" w:rsidR="003754FE" w:rsidRDefault="003754FE" w:rsidP="003754FE">
      <w:pPr>
        <w:pStyle w:val="TextoNormal"/>
      </w:pPr>
    </w:p>
    <w:p w14:paraId="27F4AA60" w14:textId="77777777" w:rsidR="003754FE" w:rsidRDefault="003754FE" w:rsidP="003754FE">
      <w:pPr>
        <w:pStyle w:val="TextoNormal"/>
      </w:pPr>
      <w:r>
        <w:t xml:space="preserve">Por último, destaca que la condena se justifica en una inconsistente lectura e interpretación de jurisprudencia de la Sala Segunda del Tribunal Supremo, a partir de la cual, aun </w:t>
      </w:r>
      <w:r>
        <w:lastRenderedPageBreak/>
        <w:t>reconociéndose por el órgano judicial que no se ha practicado y, por tanto, carece de prueba sobre el cuánto, cómo y en favor de quién se malversó en cada caso, tiene por probado y pasa a condenar por un delito de malversación, de carácter continuado entre 2000 y 2009, y por un montante de 690 000 000 €. El demandante considera, sin embargo, que las referencias jurisprudenciales aducidas atañerían a supuestos en los que tras el debate y prueba no se pudo determinar con precisión la cantidad defraudada, pero no a supuestos de ausencia de elementos probatorios, como es el caso, dado que no se debatió al respecto ni se sometió a prueba en juicio.</w:t>
      </w:r>
    </w:p>
    <w:p w14:paraId="534EBE25" w14:textId="77777777" w:rsidR="003754FE" w:rsidRDefault="003754FE" w:rsidP="003754FE">
      <w:pPr>
        <w:pStyle w:val="TextoNormal"/>
      </w:pPr>
    </w:p>
    <w:p w14:paraId="41B533D3" w14:textId="77777777" w:rsidR="003754FE" w:rsidRDefault="003754FE" w:rsidP="003754FE">
      <w:pPr>
        <w:pStyle w:val="TextoNormal"/>
      </w:pPr>
      <w:r>
        <w:t>d) Vulneración del derecho a la tutela judicial efectiva (art. 24.1 CE) por incongruencia omisiva, dada la falta de respuesta a determinadas pretensiones explícitamente incorporadas al recurso de casación.</w:t>
      </w:r>
    </w:p>
    <w:p w14:paraId="7CC4704F" w14:textId="77777777" w:rsidR="003754FE" w:rsidRDefault="003754FE" w:rsidP="003754FE">
      <w:pPr>
        <w:pStyle w:val="TextoNormal"/>
      </w:pPr>
    </w:p>
    <w:p w14:paraId="0D0F7E03" w14:textId="77777777" w:rsidR="003754FE" w:rsidRDefault="003754FE" w:rsidP="003754FE">
      <w:pPr>
        <w:pStyle w:val="TextoNormal"/>
      </w:pPr>
      <w:r>
        <w:t>En el primero y segundo de los motivos en que se alegan vulneraciones atribuidas originariamente a la sentencia del Tribunal Supremo, la demanda defiende la existencia de incongruencia omisiva contraria al art. 24.1 CE, que pone en relación tanto con el delito de malversación como con el de prevaricación. En concreto, el demandante denuncia que no se da una respuesta racionalmente fundada a los motivos décimo y undécimo de su recurso de casación ni a los motivos duodécimo y decimotercero . La pretensión jurídica sin mínima o adecuada respuesta instaba la revisión de una serie de hechos relevantes, con modificación del relato fáctico, por así justificarlo el contenido y significación de múltiples documentos que, frente a lo sostenido en la sentencia de casación, considera literosuficientes y no contradichos. A su entender, tales hechos tenían directa incidencia en el fallo, pues servían para negar el designio de elusión de controles, que es elemento basal de la decisión de condena por malversación, y para negar la idea de que la oscuridad en la información suministrada al Parlamento provocó que durante una década se debatieran, enmendaran y aprobaran leyes del presupuesto enteramente a ciegas, que es elemento basal de la decisión de condena por prevaricación.</w:t>
      </w:r>
    </w:p>
    <w:p w14:paraId="14CBD337" w14:textId="77777777" w:rsidR="003754FE" w:rsidRDefault="003754FE" w:rsidP="003754FE">
      <w:pPr>
        <w:pStyle w:val="TextoNormal"/>
      </w:pPr>
    </w:p>
    <w:p w14:paraId="224E1D15" w14:textId="77777777" w:rsidR="003754FE" w:rsidRDefault="003754FE" w:rsidP="003754FE">
      <w:pPr>
        <w:pStyle w:val="TextoNormal"/>
      </w:pPr>
      <w:r>
        <w:t xml:space="preserve">e) Vulneración del derecho a la presunción de inocencia (art. 24.2 CE), por la inclusión </w:t>
      </w:r>
      <w:r w:rsidRPr="003754FE">
        <w:rPr>
          <w:i/>
        </w:rPr>
        <w:t>ex novo</w:t>
      </w:r>
      <w:r>
        <w:t xml:space="preserve"> en la sentencia de casación de datos fácticos ajenos al </w:t>
      </w:r>
      <w:r w:rsidRPr="003754FE">
        <w:rPr>
          <w:i/>
        </w:rPr>
        <w:t>factum</w:t>
      </w:r>
      <w:r>
        <w:t xml:space="preserve"> de la sentencia de instancia, que se erigen en factor dirimente en la confirmación de la subsunción delictiva contenida en aquella.</w:t>
      </w:r>
    </w:p>
    <w:p w14:paraId="0C1EE56F" w14:textId="77777777" w:rsidR="003754FE" w:rsidRDefault="003754FE" w:rsidP="003754FE">
      <w:pPr>
        <w:pStyle w:val="TextoNormal"/>
      </w:pPr>
    </w:p>
    <w:p w14:paraId="6968A706" w14:textId="77777777" w:rsidR="003754FE" w:rsidRDefault="003754FE" w:rsidP="003754FE">
      <w:pPr>
        <w:pStyle w:val="TextoNormal"/>
      </w:pPr>
      <w:r>
        <w:t xml:space="preserve">Argumenta que un primer hecho viene dado por la consideración de que “precisamente se cambió el sistema de presupuestación para evitar todo control y para disponer del erario público de forma discrecional y arbitraria, al margen de todo condicionante legal” (págs. 348 y 349) y de que “se modificó el sistema de presupuestación, no por razones técnicas o neutrales, sino con una deliberada finalidad: con el pretexto de agilizar el pago de ayudas se buscó un sistema para disponer libérrimamente de los fondos públicos eliminando todos los controles y todas las exigencias de la normativa de subvenciones” (pág. 352). De ese modo, según entiende el demandante, la sentencia de casación incorpora datos fácticos absolutamente nuevos, que (i) degradan “la agilización del pago de las ayudas a mero “pretexto”, cuando en la sentencia de instancia se incluía como hecho probado que tal agilización constituía la genuina finalidad perseguida por los encausados; (ii) e incorporan la existencia del propósito real (“deliberada finalidad”) —precisamente ocultado mediante aquel ‘pretexto’— de ‘disponer libérrimamente de los fondos’ (‘como si fueran propios’)”. Y lo hace —continúa diciendo— desbordando los límites de su revisión, “dado que el </w:t>
      </w:r>
      <w:r>
        <w:lastRenderedPageBreak/>
        <w:t xml:space="preserve">aquietamiento de las acusaciones a la fórmula de declaración de hechos probados incorporada a la resolución recurrida le impedía toda labor reconstructiva de los mismos, pues ello habría supuesto la necesidad de revisar y revalorar toda la prueba de la acusación para extraer conclusiones fácticas integrativas que incorporarían una evidente extralimitación del objeto devolutivo, delimitado por nuestro propio recurso —y el de las demás defensas—, con una indeseable consecuencia en términos de </w:t>
      </w:r>
      <w:r w:rsidRPr="003754FE">
        <w:rPr>
          <w:i/>
        </w:rPr>
        <w:t>reformatio in peius</w:t>
      </w:r>
      <w:r>
        <w:t xml:space="preserve"> (STC 310/2005)”.</w:t>
      </w:r>
    </w:p>
    <w:p w14:paraId="1BE52F41" w14:textId="77777777" w:rsidR="003754FE" w:rsidRDefault="003754FE" w:rsidP="003754FE">
      <w:pPr>
        <w:pStyle w:val="TextoNormal"/>
      </w:pPr>
    </w:p>
    <w:p w14:paraId="10E51F66" w14:textId="77777777" w:rsidR="003754FE" w:rsidRDefault="003754FE" w:rsidP="003754FE">
      <w:pPr>
        <w:pStyle w:val="TextoNormal"/>
      </w:pPr>
      <w:r>
        <w:t xml:space="preserve">El segundo dato fáctico esencial que considera que la sentencia de casación ha incorporado al </w:t>
      </w:r>
      <w:r w:rsidRPr="003754FE">
        <w:rPr>
          <w:i/>
        </w:rPr>
        <w:t>factum</w:t>
      </w:r>
      <w:r>
        <w:t xml:space="preserve"> viene dado por alejarse del pronunciamiento del tribunal de instancia, que, de entre los condenados por delito de malversación, consideró incursos en dolo directo a quienes habían formado parte de la Consejería de Empleo y en dolo eventual al resto. El Tribunal Supremo pasa a considerar que todos los condenados por el delito de malversación son autores en la modalidad de dolo directo. Así estima que se sigue de las afirmaciones efectuadas en los apartados 43.3 y 43.5, pp. 370 y ss., de la sentencia de casación de que “todas las acciones respondían a un propósito común, pero los hechos punibles han sido configurados de forma individual” o de que “no se trata de una simple dejación de deber, sino una dejación con la finalidad de que otro actúe ilícitamente”. La afectación de esa nueva atribución en detrimento de la posición defensiva del recurrente deviene de que, en el recurso de casación, se combatieron los fundamentos de la condena decidida por el tribunal de instancia a partir de los propios términos y alcance de la sentencia. El recurrente subraya que sostuvo que, en el ejercicio de sus funciones y competencias como viceconsejero o consejero, no dispuso en ningún momento de los fondos ni conoció o consintió que su subordinado, el director general de Trabajo, quien los tenía a su cargo, los desviase de su finalidad pública. En la sentencia de casación se alteran sustancialmente los términos bajo los que la sentencia de instancia fundamentó la autoría del delito de malversación: ahora ya no se trata de que en el circunscrito ámbito de la Consejería de Empleo el director general, con conocimiento y anuencia —o no: ese era el debate casacional en inicio— de sus superiores directos, al conceder las ayudas dispusiera fraudulentamente de los fondos en la fase final de la ejecución presupuestaria. Lo que se afirma es que el recurrente ha actuado de previo acuerdo para delinquir con las más altas autoridades de los Gobiernos de la Junta de Andalucía y ya no se trata de conocer o consentir actuaciones ilícitas de un subordinado, sino de estar de acuerdo con sus pares y superiores en el Gobierno para que ese subordinado actuara de la forma en que lo hizo.</w:t>
      </w:r>
    </w:p>
    <w:p w14:paraId="2C19AC70" w14:textId="77777777" w:rsidR="003754FE" w:rsidRDefault="003754FE" w:rsidP="003754FE">
      <w:pPr>
        <w:pStyle w:val="TextoNormal"/>
      </w:pPr>
    </w:p>
    <w:p w14:paraId="0E3BD10E" w14:textId="77777777" w:rsidR="003754FE" w:rsidRDefault="003754FE" w:rsidP="003754FE">
      <w:pPr>
        <w:pStyle w:val="TextoNormal"/>
      </w:pPr>
      <w:r>
        <w:t xml:space="preserve">Sentado lo anterior, en el punto dos del motivo se defiende la aplicabilidad de los argumentos del voto particular sobre los condenados ajenos a la Consejería de Empleo a los responsables de esta, como es su caso, ya que no tenía a su cargo ni, por tanto, pudo disponer de los fondos públicos objeto del procedimiento. Sostiene que no cabe objetivamente entender que, en cuanto que superior jerárquico, conociese o consintiese —o tuviese que conocer y hubiere necesariamente consentido— las decisiones adoptadas por el director general de Trabajo en el ejercicio de sus propias y exclusivas competencias. Ni la acusación ni luego la sentencia objetivaron o concretaron qué actuación del demandante, suprimida, hubiese impedido la realización de tales supuestos excesos por parte del director. Tampoco se advierte que haya realizado o aportado algo sin lo cual tales excesos no hubieran podido cometerse ni, en fin, la existencia de conductas concretas a las cuales hubiera venido obligado por ley y que, por su supuesta inobservancia, hubieran tenido como resultado aquellas desviadas disposiciones de fondos. Desde tal premisa proyecta los argumentos del voto relativos a la errónea práctica de identificar prevaricación y malversación que realiza la </w:t>
      </w:r>
      <w:r>
        <w:lastRenderedPageBreak/>
        <w:t>sentencia: “una cosa es asumir el sistema para agilizar y otra conocer que parte de los fondos se estuvieran distribuyendo de forma dolosamente fraudulenta por los funcionarios ejecutores del presupuesto, a quienes les eran entregados para que les dieran el destino social y económico establecido en la ley”.</w:t>
      </w:r>
    </w:p>
    <w:p w14:paraId="68E605C6" w14:textId="77777777" w:rsidR="003754FE" w:rsidRDefault="003754FE" w:rsidP="003754FE">
      <w:pPr>
        <w:pStyle w:val="TextoNormal"/>
      </w:pPr>
    </w:p>
    <w:p w14:paraId="56535BF9" w14:textId="77777777" w:rsidR="003754FE" w:rsidRDefault="003754FE" w:rsidP="003754FE">
      <w:pPr>
        <w:pStyle w:val="TextoNormal"/>
      </w:pPr>
      <w:r>
        <w:t>f) Vulneración del derecho a la presunción de inocencia (art. 24.2 CE), dada la comunicación pública del fallo sin motivación mediante providencia de 26 de julio de 2022, y vulneración correlativa del derecho al honor (art. 18.1 CE), a un proceso con todas las garantías y, entre ellas, la de legalidad procesal (art. 24.2 CE), y a la tutela judicial efectiva (art. 24.1 CE).</w:t>
      </w:r>
    </w:p>
    <w:p w14:paraId="264E5D5A" w14:textId="77777777" w:rsidR="003754FE" w:rsidRDefault="003754FE" w:rsidP="003754FE">
      <w:pPr>
        <w:pStyle w:val="TextoNormal"/>
      </w:pPr>
    </w:p>
    <w:p w14:paraId="0199701E" w14:textId="77777777" w:rsidR="003754FE" w:rsidRDefault="003754FE" w:rsidP="003754FE">
      <w:pPr>
        <w:pStyle w:val="TextoNormal"/>
      </w:pPr>
      <w:r>
        <w:t>En la última queja de la demanda el recurrente imputa diversas lesiones a la providencia del Tribunal Supremo de 26 de julio de 2002 anticipatoria del fallo resolutorio del recurso de casación. Considera que la notificación del texto de la sentencia del Tribunal Supremo cincuenta días después de notificarse el fallo y hacerse público no es solo una irregularidad procesal contraria a las previsiones de los arts. 160, 789 y 900 de la Ley de enjuiciamiento criminal (LECrim) y 248, 266, y 270 y ss. de la Ley Orgánica del Poder Judicial (LOPJ), sino una lesión de los derechos antedichos al emitirse una declaración firme de culpabilidad desprovista de cualquier motivación, diferida indefinidamente a pesar del público señalamiento del ciudadano como penalmente responsable, sin que pudiera reaccionar.</w:t>
      </w:r>
    </w:p>
    <w:p w14:paraId="16B8B102" w14:textId="77777777" w:rsidR="003754FE" w:rsidRDefault="003754FE" w:rsidP="003754FE">
      <w:pPr>
        <w:pStyle w:val="TextoNormal"/>
      </w:pPr>
    </w:p>
    <w:p w14:paraId="4D1FA016" w14:textId="77777777" w:rsidR="003754FE" w:rsidRDefault="003754FE" w:rsidP="003754FE">
      <w:pPr>
        <w:pStyle w:val="TextoNormal"/>
      </w:pPr>
      <w:r>
        <w:t>El demandante pone el acento en que no había concluido la fase de deliberación, dado que el voto particular no estaba redactado, como se reconoce en la providencia, y rechaza que pueda anteponerse el interés difuso de “la relevancia pública del caso” a los derechos constitucionales de la persona condenada. Por todas estas razones interpreta “en términos de pérdida de apariencia de imparcialidad este insólito modo en que el Tribunal decidió actuar” que debiera haber llevado a una nueva deliberación y dictado de sentencia por una sala de nueva composición.</w:t>
      </w:r>
    </w:p>
    <w:p w14:paraId="1CA50C3E" w14:textId="77777777" w:rsidR="003754FE" w:rsidRDefault="003754FE" w:rsidP="003754FE">
      <w:pPr>
        <w:pStyle w:val="TextoNormal"/>
      </w:pPr>
    </w:p>
    <w:p w14:paraId="116ECBC4" w14:textId="77777777" w:rsidR="003754FE" w:rsidRDefault="003754FE" w:rsidP="003754FE">
      <w:pPr>
        <w:pStyle w:val="TextoNormal"/>
      </w:pPr>
      <w:r>
        <w:t>Defiende, por último, que además de la lesión de derechos constitucionales, la actuación controvertida le ha irrogado un daño moral susceptible de reparación a través de una eventual reclamación patrimonial por anormal funcionamiento de los servicios públicos.</w:t>
      </w:r>
    </w:p>
    <w:p w14:paraId="27598888" w14:textId="77777777" w:rsidR="003754FE" w:rsidRDefault="003754FE" w:rsidP="003754FE">
      <w:pPr>
        <w:pStyle w:val="TextoNormal"/>
      </w:pPr>
    </w:p>
    <w:p w14:paraId="05077772" w14:textId="1ED6FEAB" w:rsidR="003754FE" w:rsidRDefault="003754FE" w:rsidP="003754FE">
      <w:pPr>
        <w:pStyle w:val="TextoNormal"/>
      </w:pPr>
      <w:r>
        <w:t>El recurrente solicita que se declare la vulneración de los derechos invocados y, en consecuencia, la nulidad de las resoluciones impugnadas. Por otrosí solicita la suspensión parcial de la ejecución de la sentencia (de la pena privativa de libertad) al amparo de lo dispuesto en el art. 56.6 de la Ley Orgánica del Tribunal Constitucional (LOTC), justificando la urgencia excepcional a que alude el precepto por la finalidad de evitar que el amparo pierda su eficacia reparadora.</w:t>
      </w:r>
    </w:p>
    <w:p w14:paraId="1E8C6807" w14:textId="77777777" w:rsidR="003754FE" w:rsidRDefault="003754FE" w:rsidP="003754FE">
      <w:pPr>
        <w:pStyle w:val="TextoNormal"/>
      </w:pPr>
    </w:p>
    <w:p w14:paraId="3035E5A7" w14:textId="77777777" w:rsidR="003754FE" w:rsidRDefault="003754FE" w:rsidP="003754FE">
      <w:pPr>
        <w:pStyle w:val="TextoNormal"/>
      </w:pPr>
      <w:r w:rsidRPr="003754FE">
        <w:rPr>
          <w:rStyle w:val="NumeroAFNegritaCaracter"/>
        </w:rPr>
        <w:t>4</w:t>
      </w:r>
      <w:r>
        <w:t>. La Sala Segunda de este tribunal dictó el ATC 290/2023, de 5 de junio, en el que se adoptaron los siguientes pronunciamientos:</w:t>
      </w:r>
    </w:p>
    <w:p w14:paraId="15D801A9" w14:textId="77777777" w:rsidR="003754FE" w:rsidRDefault="003754FE" w:rsidP="003754FE">
      <w:pPr>
        <w:pStyle w:val="TextoNormal"/>
      </w:pPr>
    </w:p>
    <w:p w14:paraId="6B03F40B" w14:textId="77777777" w:rsidR="003754FE" w:rsidRDefault="003754FE" w:rsidP="003754FE">
      <w:pPr>
        <w:pStyle w:val="TextoNormal"/>
      </w:pPr>
      <w:r>
        <w:t xml:space="preserve">(i) Previa avocación a la Sala de la decisión, se admitió a trámite el presente recurso de amparo “porque el recurso plantea un problema o afecta a una faceta de un derecho fundamental sobre el que no hay doctrina de este tribunal [STC 155/2009, FJ 2 a)], y porque el asunto suscitado trasciende del caso concreto porque plantea una cuestión jurídica de </w:t>
      </w:r>
      <w:r>
        <w:lastRenderedPageBreak/>
        <w:t>relevante y general repercusión social y tiene unas consecuencias políticas generales [STC 155/2009, FJ 2 g)]”.</w:t>
      </w:r>
    </w:p>
    <w:p w14:paraId="160A9DBA" w14:textId="77777777" w:rsidR="003754FE" w:rsidRDefault="003754FE" w:rsidP="003754FE">
      <w:pPr>
        <w:pStyle w:val="TextoNormal"/>
      </w:pPr>
    </w:p>
    <w:p w14:paraId="51C85066" w14:textId="77777777" w:rsidR="003754FE" w:rsidRDefault="003754FE" w:rsidP="003754FE">
      <w:pPr>
        <w:pStyle w:val="TextoNormal"/>
      </w:pPr>
      <w:r>
        <w:t>(ii) En aplicación del art. 51 LOTC, se acordó requerir a la Sección Primera de la Audiencia Provincial de Sevilla a fin de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610-2020. Mediante diligencia de ordenación de fecha 24 de julio de 2023 se tuvieron por recibidas en este tribunal las actuaciones correspondientes al procedimiento abreviado núm. 133-2016, rollo núm. 1965-2017.</w:t>
      </w:r>
    </w:p>
    <w:p w14:paraId="6E4564C5" w14:textId="77777777" w:rsidR="003754FE" w:rsidRDefault="003754FE" w:rsidP="003754FE">
      <w:pPr>
        <w:pStyle w:val="TextoNormal"/>
      </w:pPr>
    </w:p>
    <w:p w14:paraId="645C8DC4" w14:textId="77777777" w:rsidR="003754FE" w:rsidRDefault="003754FE" w:rsidP="003754FE">
      <w:pPr>
        <w:pStyle w:val="TextoNormal"/>
      </w:pPr>
      <w:r>
        <w:t>(iii) Se rechazó la solicitud de suspensión formulada en la demanda de amparo con base en el art. 56.6 LOTC y se ordenó formar pieza separada de suspensión y en ella conceder un plazo común de tres días al Ministerio Fiscal y al solicitante de amparo para que efectuasen alegaciones sobre dicha cuestión. Hechas las alegaciones correspondientes, el Pleno de este tribunal dictó ATC 440/2023, de 26 de septiembre, en el que acordó denegar la suspensión interesada por el actor.</w:t>
      </w:r>
    </w:p>
    <w:p w14:paraId="12E692EE" w14:textId="77777777" w:rsidR="003754FE" w:rsidRDefault="003754FE" w:rsidP="003754FE">
      <w:pPr>
        <w:pStyle w:val="TextoNormal"/>
      </w:pPr>
    </w:p>
    <w:p w14:paraId="3801E8EF" w14:textId="247ABEBF" w:rsidR="003754FE" w:rsidRDefault="003754FE" w:rsidP="003754FE">
      <w:pPr>
        <w:pStyle w:val="TextoNormal"/>
      </w:pPr>
      <w:r>
        <w:t>(iv) Se propuso finalmente la avocación al Pleno del conocimiento del asunto. Por providencia de 20 de junio de 2023 el Pleno de este tribunal acordó, conforme al artículo 10.1 n) LOTC, a propuesta de la Sala Segunda, “recabar para sí el conocimiento del recurso de amparo que se tramita en dicha Sala con el número 2348-2023, interpuesto por don Antonio Fernández García”.</w:t>
      </w:r>
    </w:p>
    <w:p w14:paraId="225AACEE" w14:textId="77777777" w:rsidR="003754FE" w:rsidRDefault="003754FE" w:rsidP="003754FE">
      <w:pPr>
        <w:pStyle w:val="TextoNormal"/>
      </w:pPr>
    </w:p>
    <w:p w14:paraId="6763E5C0" w14:textId="77777777" w:rsidR="003754FE" w:rsidRDefault="003754FE" w:rsidP="003754FE">
      <w:pPr>
        <w:pStyle w:val="TextoNormal"/>
      </w:pPr>
      <w:r w:rsidRPr="003754FE">
        <w:rPr>
          <w:rStyle w:val="NumeroAFNegritaCaracter"/>
        </w:rPr>
        <w:t>5</w:t>
      </w:r>
      <w:r>
        <w:t xml:space="preserve">. a) El recurrente de amparo ha ratificado las alegaciones ya formuladas en la demanda en escrito registrado en este tribunal el 28 de julio de 2023, argumentando además, al amparo de lo dispuesto en el art. 52 LOTC y en línea con lo sostenido en la justificación de la especial trascendencia constitucional, que se ha producido una aplicación inesperada e imprevisible del delito de prevaricación a su conducta lesiva del derecho a la legalidad penal (art. 25.1 CE). Aduce que el Parlamento de Andalucía tuvo siempre conocimiento y asumió todas y cada una de las modificaciones presupuestarias referidas en el </w:t>
      </w:r>
      <w:r w:rsidRPr="003754FE">
        <w:rPr>
          <w:i/>
        </w:rPr>
        <w:t>factum</w:t>
      </w:r>
      <w:r>
        <w:t xml:space="preserve"> y que en él se debatió, enmendó y aprobó año tras año la partida presupuestaria “Transferencias de financiación a IFA/IDEA”. En consecuencia, todas las actuaciones de los acusados, también la suya, habrían sido </w:t>
      </w:r>
      <w:r w:rsidRPr="003754FE">
        <w:rPr>
          <w:i/>
        </w:rPr>
        <w:t>secundum legem</w:t>
      </w:r>
      <w:r>
        <w:t xml:space="preserve"> y en la razonable confianza de su adecuación a las sucesivas leyes de presupuestos. Concluye que no concurren los requisitos legales del art. 404 CP, ya que la condena se asienta en una “paradoja esencial —un sinsentido evidente— como lo es la propia concepción de una ley ilegal”, sin que la participación en la elaboración de un proyecto de ley constituya una resolución de carácter administrativo, sino un acto que posibilita la formación de la voluntad general por parte del Parlamento. Pone el acento finalmente en el dato de que se haya apreciado un concurso medial entre los delitos continuados de prevaricación y malversación, por cuanto “la anulación de la condena por el delito-base del concurso, la prevaricación, tendría un irremediable efecto arrastre en cuanto al delito-consecuencia”, el de malversación.</w:t>
      </w:r>
    </w:p>
    <w:p w14:paraId="70E01111" w14:textId="77777777" w:rsidR="003754FE" w:rsidRDefault="003754FE" w:rsidP="003754FE">
      <w:pPr>
        <w:pStyle w:val="TextoNormal"/>
      </w:pPr>
    </w:p>
    <w:p w14:paraId="771271DE" w14:textId="77777777" w:rsidR="003754FE" w:rsidRDefault="003754FE" w:rsidP="003754FE">
      <w:pPr>
        <w:pStyle w:val="TextoNormal"/>
      </w:pPr>
      <w:r>
        <w:lastRenderedPageBreak/>
        <w:t>b) Las partes personadas en el presente proceso de amparo han presentado las siguientes alegaciones:</w:t>
      </w:r>
    </w:p>
    <w:p w14:paraId="3F0AF743" w14:textId="77777777" w:rsidR="003754FE" w:rsidRDefault="003754FE" w:rsidP="003754FE">
      <w:pPr>
        <w:pStyle w:val="TextoNormal"/>
      </w:pPr>
    </w:p>
    <w:p w14:paraId="65958D28" w14:textId="77777777" w:rsidR="003754FE" w:rsidRDefault="003754FE" w:rsidP="003754FE">
      <w:pPr>
        <w:pStyle w:val="TextoNormal"/>
      </w:pPr>
      <w:r>
        <w:t>(i) El Partido Popular, al que se tuvo por personado en diligencia de ordenación 27 de julio de 2023, ha interesado, en escrito registrado en este tribunal el 26 de septiembre de 2023, la desestimación del recurso de amparo.</w:t>
      </w:r>
    </w:p>
    <w:p w14:paraId="1C79B053" w14:textId="77777777" w:rsidR="003754FE" w:rsidRDefault="003754FE" w:rsidP="003754FE">
      <w:pPr>
        <w:pStyle w:val="TextoNormal"/>
      </w:pPr>
    </w:p>
    <w:p w14:paraId="7CD7E531" w14:textId="77777777" w:rsidR="003754FE" w:rsidRDefault="003754FE" w:rsidP="003754FE">
      <w:pPr>
        <w:pStyle w:val="TextoNormal"/>
      </w:pPr>
      <w:r>
        <w:t>El escrito de alegaciones del Partido Popular comienza efectuando diversas consideraciones generales sobre los recursos de amparo planteados contra las sentencias de la Audiencia Provincial y del Tribunal Supremo que incluyen un reflejo amplio del relato fáctico y referencias al juicio probatorio y de autoría sin mayor especificidad respecto del actor. Aborda a continuación los motivos planteados en la demanda de amparo, empezando por las vulneraciones de derechos imputadas a la sentencia de instancia. Descarta el primer motivo —lesión del derecho a la presunción de inocencia, porque los hechos probados no integran los elementos típicos del delito de malversación ni la participación del demandante— tras reproducir en extenso los fundamentos de la sentencia de casación que se ocuparon de una queja análoga, cuyo resumen de los hechos probados y exposición de la motivación probatoria y fáctica del mismo, en particular respecto a los alegatos de descargo, hace suyas. Constata así que no puede apreciarse la lesión del derecho a la presunción de inocencia invocada, ya que la condena “tiene apoyo y justificación en prueba de cargo suficiente, directa en muchos casos y rectamente valorada”. Sobre esta cuestión vuelve al alegar respecto del tercer motivo de la demanda, que denuncia la vulneración del derecho a la presunción de inocencia por no haberse efectuado una valoración racional de la prueba respecto de la disposición de fondos públicos con fines ajenos al interés público general. Comparte lo dicho en el fundamento 111.2 de la sentencia de casación, que reproduce y nuevamente hace suyo. Sostiene que allí responde el Tribunal Supremo a las consideraciones del demandante “con cita de los argumentos de la sentencia de instancia relevantes para entender que los hechos, lejos de lo que se dice, fueron debatidos y que existen numerosos medios de prueba que acreditan que hubo pleno debate probatorio, que permite sostener, sin duda, la ausencia de finalidad pública o social”, en especial, las pruebas que se detallan sobre las finalidades de cada grupo o tipo de ayudas, a partir de la cuales, “un juicio racional y lógico permite calificar al sistema como carente de interés público general, como sistema destinado al reparto libérrimo o arbitrario de fondos públicos”.</w:t>
      </w:r>
    </w:p>
    <w:p w14:paraId="3A348733" w14:textId="77777777" w:rsidR="003754FE" w:rsidRDefault="003754FE" w:rsidP="003754FE">
      <w:pPr>
        <w:pStyle w:val="TextoNormal"/>
      </w:pPr>
    </w:p>
    <w:p w14:paraId="1A94767B" w14:textId="77777777" w:rsidR="003754FE" w:rsidRDefault="003754FE" w:rsidP="003754FE">
      <w:pPr>
        <w:pStyle w:val="TextoNormal"/>
      </w:pPr>
      <w:r>
        <w:t xml:space="preserve">Tampoco considera que concurra la vulneración de las garantías asociadas al principio de legalidad (art. 25.1 CE) que la demanda atribuye a la sentencia de instancia por haber condenado a pesar de la falta de concurrencia de los requisitos típicos del delito de malversación. De nuevo con apoyo en la extensa cita de los pasajes pertinentes de la sentencia del Tribunal Supremo en respuesta al motivo de casación que cuestionaba la calificación de los hechos, concluye que el repaso de las actuaciones del recurrente consignadas en los hechos probados “basta para justificar que se le apliquen ambas modalidades de disposición de fondos, por su dominio funcional de los actos que así se indican de concesión con su intervención directa en el cambio de sistema de presupuestación y uso de transferencias de financiación, firma de convenios y otros, por todo lo cual es razonable plenamente que le impute participación directa de la disposición de los fondos (modalidad activa) y permitir que el director general de Trabajo dispusiera de los mismos (modalidad pasiva)”. Subraya la parte que “en su mandato como consejero era el titular legal de la competencia para otorgar subvenciones, lo que refuerza su responsabilidad respecto de actos de quienes actuaron </w:t>
      </w:r>
      <w:r>
        <w:lastRenderedPageBreak/>
        <w:t>de hecho como delegados suyos (dos directores generales), tanto por permitir su realización, como por evitar controles”. A su entender, no hay nada de imprevisible o irracional en su condena por malversación, sino que “[f]ue plenamente consciente de la significación del cambio de sistema de presupuestación y, con seguridad, determinante en la solución sistemática adoptada o acordada con el Sr. Viera, cuando eran consejero y viceconsejero, respectivamente, ante los reparos en las ayudas a HAMSA, actuación que persistió durante tantos años y por tan elevado importe”.</w:t>
      </w:r>
    </w:p>
    <w:p w14:paraId="1A02C0B7" w14:textId="77777777" w:rsidR="003754FE" w:rsidRDefault="003754FE" w:rsidP="003754FE">
      <w:pPr>
        <w:pStyle w:val="TextoNormal"/>
      </w:pPr>
    </w:p>
    <w:p w14:paraId="49074205" w14:textId="77777777" w:rsidR="003754FE" w:rsidRDefault="003754FE" w:rsidP="003754FE">
      <w:pPr>
        <w:pStyle w:val="TextoNormal"/>
      </w:pPr>
      <w:r>
        <w:t>Por lo que se refiere a las vulneraciones imputadas únicamente a la sentencia del Tribunal Supremo, el escrito de alegaciones del Partido Popular descarta la doble denuncia de incongruencia omisiva efectuada en los motivos primero y segundo de este bloque de quejas con apoyo en la respuesta ofrecida en este punto por el auto del Tribunal Supremo que resolvió los incidentes de nulidad actuaciones formulados contra la sentencia de casación (FFJJ 22 y 23) y en lo argumentado sobre los motivos décimo, undécimo, duodécimo y decimotercero en esa sentencia (FJ 109 —motivo décimo—, FJ 102 y respuesta común en el apartado V —motivo undécimo—, FJ 110 —motivo duodécimo— y FJ 103 —motivo decimotercero—).</w:t>
      </w:r>
    </w:p>
    <w:p w14:paraId="661C4FF9" w14:textId="77777777" w:rsidR="003754FE" w:rsidRDefault="003754FE" w:rsidP="003754FE">
      <w:pPr>
        <w:pStyle w:val="TextoNormal"/>
      </w:pPr>
    </w:p>
    <w:p w14:paraId="3BBCFEC2" w14:textId="77777777" w:rsidR="003754FE" w:rsidRDefault="003754FE" w:rsidP="003754FE">
      <w:pPr>
        <w:pStyle w:val="TextoNormal"/>
      </w:pPr>
      <w:r>
        <w:t xml:space="preserve">En cuanto al tercer motivo dirigido contra la sentencia de casación, niega categóricamente que esa sentencia haya introducido, sin la debida inmediación, elementos fácticos novedosos, carentes de sustento probatorio, para confirmar la condena por malversación. Subraya que la Sala Segunda ni ha revocado una sentencia absolutoria ni ha agravado la condena del recurrente y concluye, con amplia cita de dicha sentencia y del auto resolutorio del incidente de nulidad de actuaciones, que nada de lo expuesto en esa resolución “altera hecho probado alguno”, pues se trata de “meras consideraciones jurídicas en el juicio de autoría o tipicidad” y ello en la medida en que “la función revisora de la casación no se limita en la forma estrecha que las partes sostienen en sus incidentes”. Se rechaza igualmente que la sentencia casacional haya alterado “la modalidad de dolo que aprecia, a la vista de los hechos probados”, siendo, en todo caso, lo “decisivo” que los hechos probados no hayan sido modificados ni se hayan reelaborado las pruebas. En este punto opone a la pretendida aplicabilidad al recurrente de la tesis del voto particular sobre la ausencia del elemento subjetivo del delito de malversación no solo que el voto excluye expresamente de sus razonamientos a las autoridades de la Consejería de Empleo, sino los errores jurídicos de su argumentación. Destaca entre ellos que el voto desconozca que el </w:t>
      </w:r>
      <w:r w:rsidRPr="003754FE">
        <w:rPr>
          <w:i/>
        </w:rPr>
        <w:t>factum</w:t>
      </w:r>
      <w:r>
        <w:t xml:space="preserve"> recoge que los acusados ajenos a la Consejería de Empleo “conocieron la alta probabilidad o, en muchos casos, la efectiva concurrencia del riesgo de desvío de fondos públicos”.</w:t>
      </w:r>
    </w:p>
    <w:p w14:paraId="2084DEC9" w14:textId="77777777" w:rsidR="003754FE" w:rsidRDefault="003754FE" w:rsidP="003754FE">
      <w:pPr>
        <w:pStyle w:val="TextoNormal"/>
      </w:pPr>
    </w:p>
    <w:p w14:paraId="27654DC1" w14:textId="77777777" w:rsidR="003754FE" w:rsidRDefault="003754FE" w:rsidP="003754FE">
      <w:pPr>
        <w:pStyle w:val="TextoNormal"/>
      </w:pPr>
      <w:r>
        <w:t xml:space="preserve">Respecto del último motivo de la demanda, referido a la difusión del fallo de casación sin motivación, el escrito de alegaciones puntualiza que no se trató de una filtración ni de una mera comunicación pública, sino de la difusión de una resolución (providencia) previamente notificada a las partes, concluidas las deliberaciones y fijado el fallo, pendiente solo de redacción el voto particular. Niega por ello que vulnerara el derecho a la presunción de inocencia o el derecho al honor, ya que “se limitó a dar noticia de un hecho relevante, cierto y de naturaleza procesal”, lo que no puede “equipararse a una condena pública sin motivación”. Rechaza asimismo que el motivo pueda fundamentarse en la Directiva 2016/343, de 9 de marzo, que se cita en la demanda, ya que en su artículo 4 prevé la posibilidad de divulgar información sobre el proceso penal por motivos de interés público, siempre que la sospecha no sea una declaración de culpabilidad del acusado, por lo que con mayor razón cabe </w:t>
      </w:r>
      <w:r>
        <w:lastRenderedPageBreak/>
        <w:t>informar de una resolución alcanzada en una deliberación del Tribunal Supremo tras una previa condena por la sentencia de la Audiencia Provincial. Descarta también la lesión del derecho a un proceso con todas las garantías, ya que la anticipación del fallo no mermó la imparcialidad de los miembros del Tribunal Supremo, pues se produjo una vez finalizada la deliberación y quedando pendiente la redacción del voto particular frente a la sentencia mayoritaria ya redactada, circunstancias análogas a las de la sentencia “</w:t>
      </w:r>
      <w:r w:rsidRPr="003754FE">
        <w:rPr>
          <w:i/>
        </w:rPr>
        <w:t>in voce</w:t>
      </w:r>
      <w:r>
        <w:t>” prevista en nuestra legislación (art. 789.2 LECrim). A los anteriores argumentos suma los manifestados por el Tribunal Supremo en el auto resolutorio del incidente de nulidad de actuaciones.</w:t>
      </w:r>
    </w:p>
    <w:p w14:paraId="53BCF953" w14:textId="77777777" w:rsidR="003754FE" w:rsidRDefault="003754FE" w:rsidP="003754FE">
      <w:pPr>
        <w:pStyle w:val="TextoNormal"/>
      </w:pPr>
    </w:p>
    <w:p w14:paraId="060FF0F2" w14:textId="77777777" w:rsidR="003754FE" w:rsidRDefault="003754FE" w:rsidP="003754FE">
      <w:pPr>
        <w:pStyle w:val="TextoNormal"/>
      </w:pPr>
      <w:r>
        <w:t>(ii) Don José Antonio Griñán Martínez, al que se tuvo por personado en diligencia de ordenación de 23 de octubre de 2023, evacuó el trámite de vista en escrito registrado en este tribunal el 7 de noviembre de 2023, dándose por instruido.</w:t>
      </w:r>
    </w:p>
    <w:p w14:paraId="587C4AE7" w14:textId="77777777" w:rsidR="003754FE" w:rsidRDefault="003754FE" w:rsidP="003754FE">
      <w:pPr>
        <w:pStyle w:val="TextoNormal"/>
      </w:pPr>
    </w:p>
    <w:p w14:paraId="48D4668F" w14:textId="77777777" w:rsidR="003754FE" w:rsidRDefault="003754FE" w:rsidP="003754FE">
      <w:pPr>
        <w:pStyle w:val="TextoNormal"/>
      </w:pPr>
      <w:r>
        <w:t>(iii) Don Antonio Vicente Lozano Peña, al que se tuvo por personado en diligencia de ordenación de 23 de octubre de 2023, evacuó el trámite de vista en escrito registrado en este tribunal el 7 de noviembre de 2023, dándose por instruido.</w:t>
      </w:r>
    </w:p>
    <w:p w14:paraId="25C4F1D9" w14:textId="77777777" w:rsidR="003754FE" w:rsidRDefault="003754FE" w:rsidP="003754FE">
      <w:pPr>
        <w:pStyle w:val="TextoNormal"/>
      </w:pPr>
    </w:p>
    <w:p w14:paraId="7EE74485" w14:textId="77777777" w:rsidR="003754FE" w:rsidRDefault="003754FE" w:rsidP="003754FE">
      <w:pPr>
        <w:pStyle w:val="TextoNormal"/>
      </w:pPr>
      <w:r>
        <w:t>(iv) Don Jesús María Rodríguez Román, al que se tuvo por personado en diligencia de ordenación de 23 de octubre de 2023, ha solicitado, en escrito registrado en este tribunal el 20 de noviembre de 2023, que se declare la vulneración del derecho fundamental a la legalidad sancionadora (art. 25.1 CE) en las diferentes vertientes desarrolladas en el recurso.</w:t>
      </w:r>
    </w:p>
    <w:p w14:paraId="737BF95B" w14:textId="77777777" w:rsidR="003754FE" w:rsidRDefault="003754FE" w:rsidP="003754FE">
      <w:pPr>
        <w:pStyle w:val="TextoNormal"/>
      </w:pPr>
    </w:p>
    <w:p w14:paraId="1EF2FEA8" w14:textId="77777777" w:rsidR="003754FE" w:rsidRDefault="003754FE" w:rsidP="003754FE">
      <w:pPr>
        <w:pStyle w:val="TextoNormal"/>
      </w:pPr>
      <w:r>
        <w:t>El escrito de alegaciones incluye “argumentos de apoyo” en relación con la condena por el delito de malversación del art. 432 CP, tanto en lo referido a sus elementos objetivos como subjetivos. Destaca, de un lado, la inexistencia de connivencia o acuerdo en el actuar delictivo y que, mientras que la sentencia de instancia afirma la existencia de una coautoría con división de funciones, el Tribunal Supremo la convierte en autoría individual directa; así como que no existe referencia alguna al art. 11 CP o argumentos para fundar una posición de garante a pesar de condenarse por un delito en comisión por omisión. De otro lado, en lo que atañe al elemento subjetivo, denuncia que la sentencia de casación desborda y transforma la convicción alcanzada por la Audiencia Provincial en lo que atañe a la existencia de dolo eventual, unificando la parte subjetiva (el dolo) de los delitos de prevaricación y de malversación.</w:t>
      </w:r>
    </w:p>
    <w:p w14:paraId="4B697B49" w14:textId="77777777" w:rsidR="003754FE" w:rsidRDefault="003754FE" w:rsidP="003754FE">
      <w:pPr>
        <w:pStyle w:val="TextoNormal"/>
      </w:pPr>
    </w:p>
    <w:p w14:paraId="6AD41A4B" w14:textId="20B5F09E" w:rsidR="003754FE" w:rsidRDefault="003754FE" w:rsidP="003754FE">
      <w:pPr>
        <w:pStyle w:val="TextoNormal"/>
      </w:pPr>
      <w:r>
        <w:t>(v) Don Francisco Vallejo Serrano, al que se tuvo por personado en diligencia de ordenación de 23 de octubre de 2023, ha solicitado, en escrito registrado en este tribunal el 23 de noviembre de 2023, que se declare la vulneración del derecho fundamental a la legalidad sancionadora (art. 25.1 CE) en las diferentes vertientes desarrolladas en el recurso con argumentos análogos a los reflejados en el escrito de don Jesús María Rodríguez Román que acaban de exponerse.</w:t>
      </w:r>
    </w:p>
    <w:p w14:paraId="702D01D8" w14:textId="77777777" w:rsidR="003754FE" w:rsidRDefault="003754FE" w:rsidP="003754FE">
      <w:pPr>
        <w:pStyle w:val="TextoNormal"/>
      </w:pPr>
    </w:p>
    <w:p w14:paraId="70E920D4" w14:textId="77777777" w:rsidR="003754FE" w:rsidRDefault="003754FE" w:rsidP="003754FE">
      <w:pPr>
        <w:pStyle w:val="TextoNormal"/>
      </w:pPr>
      <w:r w:rsidRPr="003754FE">
        <w:rPr>
          <w:rStyle w:val="NumeroAFNegritaCaracter"/>
        </w:rPr>
        <w:t>6</w:t>
      </w:r>
      <w:r>
        <w:t>. El Ministerio Fiscal ha presentado alegaciones, registradas en este tribunal en fecha 8 de enero de 2024, previa prórroga del plazo conferido al efecto acordada en diligencia de ordenación de 30 de octubre de 2023, en las que solicita que se dicte sentencia que desestime íntegramente el recurso de amparo. Tras una sucinta exposición de los antecedentes y de los motivos de la demanda, el fiscal responde a cada uno de los motivos tal y como han sido articulados en la demanda, si bien antepone el examen del tercero al del segundo por denunciar, como el primero, la vulneración del derecho a la presunción de inocencia.</w:t>
      </w:r>
    </w:p>
    <w:p w14:paraId="3ECBBA82" w14:textId="77777777" w:rsidR="003754FE" w:rsidRDefault="003754FE" w:rsidP="003754FE">
      <w:pPr>
        <w:pStyle w:val="TextoNormal"/>
      </w:pPr>
    </w:p>
    <w:p w14:paraId="14CA2C2D" w14:textId="77777777" w:rsidR="003754FE" w:rsidRDefault="003754FE" w:rsidP="003754FE">
      <w:pPr>
        <w:pStyle w:val="TextoNormal"/>
      </w:pPr>
      <w:r>
        <w:t>(i) Frente a ese primer motivo, el fiscal recuerda que el análisis de la queja de presunción de inocencia debe partir del conjunto de los elementos probatorios, sin fragmentar o disgregar la apreciación y, con tal premisa, descarta la alegada lesión del derecho por la inconcreción e insuficiencia del relato de hechos probados. A esa conclusión conduce, en su opinión, el repaso de la exposición de las pruebas de cargo en la sentencia de instancia en los folios 852 y siguientes y de la respuesta de la sentencia de casación a los motivos por infracción de la presunción de inocencia en el fundamento jurídico 111 (folios 761 y ss.). Considera que ambas resoluciones “han expuesto y analizado extensamente el conjunto de pruebas de cargo practicadas en el juicio oral en forma contradictoria respecto del demandante amparo, y específicamente han respondido a lo que expone en este motivo de amparo en lo que se refiere a la condena por delito consumado de malversación, tanto en la modalidad activa como pasiva, en el marco de una actividad continuada […] de forma que incluyen actos de disposición de fondos, en ambas modalidades”. Todavía en las alegaciones relativas al primer motivo de la demanda aclara el fiscal que la alusión en él al derecho a conocer la acusación, formulado como el derecho de las partes a conocer con claridad y precisión los hechos sobre los que se basa la declaración de condena, carece de sustantividad propia, al insistir en la falta de hechos que sustenten la decisión, con lo que estaría en juego la presunción de inocencia en el mismo sentido ya rechazado.</w:t>
      </w:r>
    </w:p>
    <w:p w14:paraId="40AAA1C0" w14:textId="77777777" w:rsidR="003754FE" w:rsidRDefault="003754FE" w:rsidP="003754FE">
      <w:pPr>
        <w:pStyle w:val="TextoNormal"/>
      </w:pPr>
    </w:p>
    <w:p w14:paraId="7757B4E5" w14:textId="77777777" w:rsidR="003754FE" w:rsidRDefault="003754FE" w:rsidP="003754FE">
      <w:pPr>
        <w:pStyle w:val="TextoNormal"/>
      </w:pPr>
      <w:r>
        <w:t>(ii) Sostiene el fiscal que tampoco concurre la vulneración del derecho a la presunción de inocencia por no haberse efectuado una correcta valoración de la prueba que se alega en el tercer motivo del recurso de amparo, alusivo a la falta de prueba sobre el desvío del fin público de los fondos y la participación del recurrente en los hechos, a la luz de las respuestas dadas a estas cuestiones en las sentencias impugnadas y sus consideraciones en general sobre la prueba y su valoración, a las que se remite. No obstante, trae a sus alegaciones algunas de las consideraciones efectuadas por la sentencia condenatoria al valorar la prueba y por la sentencia de casación al rechazar el motivo de casación análogo.</w:t>
      </w:r>
    </w:p>
    <w:p w14:paraId="3DCE3AFF" w14:textId="77777777" w:rsidR="003754FE" w:rsidRDefault="003754FE" w:rsidP="003754FE">
      <w:pPr>
        <w:pStyle w:val="TextoNormal"/>
      </w:pPr>
    </w:p>
    <w:p w14:paraId="54A8A2AB" w14:textId="77777777" w:rsidR="003754FE" w:rsidRDefault="003754FE" w:rsidP="003754FE">
      <w:pPr>
        <w:pStyle w:val="TextoNormal"/>
      </w:pPr>
      <w:r>
        <w:t>Por lo que se refiere a la sentencia de instancia, recoge parte de sus afirmaciones sobre el programa 31L en relación con la actuación del recurrente como viceconsejero y consejero de empleo:</w:t>
      </w:r>
    </w:p>
    <w:p w14:paraId="03D53989" w14:textId="77777777" w:rsidR="003754FE" w:rsidRDefault="003754FE" w:rsidP="003754FE">
      <w:pPr>
        <w:pStyle w:val="TextoNormal"/>
      </w:pPr>
    </w:p>
    <w:p w14:paraId="2FAF1D92" w14:textId="77777777" w:rsidR="003754FE" w:rsidRDefault="003754FE" w:rsidP="003754FE">
      <w:pPr>
        <w:pStyle w:val="TextoNormal"/>
      </w:pPr>
      <w:r>
        <w:t>“1ª: Punto 8: Como viceconsejero, intervino en la elaboración de los presupuestos de los años 2002, 2003 y 2004. Y por primera vez, en los presupuestos del 2002, se incluyó en el anteproyecto de presupuesto el uso de la transferencia de financiación al IFA dentro del programa 31L, a sabiendas de que su finalidad era la concesión de subvenciones por parte de la Consejería de Empleo, siendo el órgano gestor la Dirección General de Trabajo.</w:t>
      </w:r>
    </w:p>
    <w:p w14:paraId="7B1DD718" w14:textId="77777777" w:rsidR="003754FE" w:rsidRDefault="003754FE" w:rsidP="003754FE">
      <w:pPr>
        <w:pStyle w:val="TextoNormal"/>
      </w:pPr>
    </w:p>
    <w:p w14:paraId="53B5869C" w14:textId="77777777" w:rsidR="003754FE" w:rsidRDefault="003754FE" w:rsidP="003754FE">
      <w:pPr>
        <w:pStyle w:val="TextoNormal"/>
      </w:pPr>
      <w:r>
        <w:t>2ª: Punto 13: Siendo Consejero de Empleo, siguió haciendo este uso inadecuado de las transferencias de financiación en las distintas modificaciones presupuestarias que se produjeron, incrementando el programa 22E y luego 31L, en lo relativo a las transferencias de financiación al IFA, en materia de relaciones laborales. Interviniendo igualmente en su aprobación en el Consejo de Gobierno.</w:t>
      </w:r>
    </w:p>
    <w:p w14:paraId="0EA78349" w14:textId="77777777" w:rsidR="003754FE" w:rsidRDefault="003754FE" w:rsidP="003754FE">
      <w:pPr>
        <w:pStyle w:val="TextoNormal"/>
      </w:pPr>
    </w:p>
    <w:p w14:paraId="7CD3ADC4" w14:textId="77777777" w:rsidR="003754FE" w:rsidRDefault="003754FE" w:rsidP="003754FE">
      <w:pPr>
        <w:pStyle w:val="TextoNormal"/>
      </w:pPr>
      <w:r>
        <w:t>3ª: Punto 22: tenía conocimiento del déficit en la Consejería de Empleo, de la que era titular, concretamente en el programa 31L.</w:t>
      </w:r>
    </w:p>
    <w:p w14:paraId="1F2DA377" w14:textId="77777777" w:rsidR="003754FE" w:rsidRDefault="003754FE" w:rsidP="003754FE">
      <w:pPr>
        <w:pStyle w:val="TextoNormal"/>
      </w:pPr>
    </w:p>
    <w:p w14:paraId="2C307330" w14:textId="77777777" w:rsidR="003754FE" w:rsidRDefault="003754FE" w:rsidP="003754FE">
      <w:pPr>
        <w:pStyle w:val="TextoNormal"/>
      </w:pPr>
      <w:r>
        <w:lastRenderedPageBreak/>
        <w:t>4ª: Punto 24: a): tomó la decisión de firmar, en su calidad de viceconsejero de empleo, con varios directivos de la empresa Santana, unos documentos/contratos de garantía indemnizatoria por permanencia en la empresa, mientras se ejecutaba el plan de acción social. Contratos que remitió en fecha 24 de julio de 2003, al entonces director general de Trabajo, Francisco Javier Guerrero, y que se plasmaron en la suscripción de pólizas a favor de cada directivo, como beneficiario, y la empresa Santana, como tomadora, cuya prima se pagó con fondos del programa 31L.</w:t>
      </w:r>
    </w:p>
    <w:p w14:paraId="2D0CF553" w14:textId="77777777" w:rsidR="003754FE" w:rsidRDefault="003754FE" w:rsidP="003754FE">
      <w:pPr>
        <w:pStyle w:val="TextoNormal"/>
      </w:pPr>
    </w:p>
    <w:p w14:paraId="47BB5E4D" w14:textId="77777777" w:rsidR="003754FE" w:rsidRDefault="003754FE" w:rsidP="003754FE">
      <w:pPr>
        <w:pStyle w:val="TextoNormal"/>
      </w:pPr>
      <w:r>
        <w:t>b): Tuvo conocimiento, como viceconsejero, de la decisión del consejero, José Antonio Viera, de dar ayudas a los ayuntamientos con cargo al programa 31L, porque constan los convenios en las sesiones del consejo rector.</w:t>
      </w:r>
    </w:p>
    <w:p w14:paraId="5C986713" w14:textId="77777777" w:rsidR="003754FE" w:rsidRDefault="003754FE" w:rsidP="003754FE">
      <w:pPr>
        <w:pStyle w:val="TextoNormal"/>
      </w:pPr>
    </w:p>
    <w:p w14:paraId="5775373E" w14:textId="77777777" w:rsidR="003754FE" w:rsidRDefault="003754FE" w:rsidP="003754FE">
      <w:pPr>
        <w:pStyle w:val="TextoNormal"/>
      </w:pPr>
      <w:r>
        <w:t>c): Tuvo conocimiento de que con cargo al programa 31L se pagaron nóminas a trabajadores de empresas en situación de crisis.</w:t>
      </w:r>
    </w:p>
    <w:p w14:paraId="7B2C2CEB" w14:textId="77777777" w:rsidR="003754FE" w:rsidRDefault="003754FE" w:rsidP="003754FE">
      <w:pPr>
        <w:pStyle w:val="TextoNormal"/>
      </w:pPr>
    </w:p>
    <w:p w14:paraId="3C6D51A7" w14:textId="77777777" w:rsidR="003754FE" w:rsidRDefault="003754FE" w:rsidP="003754FE">
      <w:pPr>
        <w:pStyle w:val="TextoNormal"/>
      </w:pPr>
      <w:r>
        <w:t>d): Por consiguiente, el acusado era plenamente consciente de la palmaria ilegalidad de los actos en los que participó, relatados en los hechos probados. Disponiendo, y permitiendo que el director general de Trabajo dispusiera, de los fondos vinculados al programa 31L con fines ajenos al fin público al que estaban destinados”.</w:t>
      </w:r>
    </w:p>
    <w:p w14:paraId="2B7C94A5" w14:textId="77777777" w:rsidR="003754FE" w:rsidRDefault="003754FE" w:rsidP="003754FE">
      <w:pPr>
        <w:pStyle w:val="TextoNormal"/>
      </w:pPr>
    </w:p>
    <w:p w14:paraId="3632A855" w14:textId="77777777" w:rsidR="003754FE" w:rsidRDefault="003754FE" w:rsidP="003754FE">
      <w:pPr>
        <w:pStyle w:val="TextoNormal"/>
      </w:pPr>
      <w:r>
        <w:t>Asimismo, el fiscal apela al análisis en esa resolución de las circunstancias que llevan a apreciar la existencia del delito de malversación en relación con las subvenciones a empresas vinculadas a indemnizaciones por despido en un expediente de regulación de empleo, pero en cuyo expediente no consta la existencia de ningún análisis económico por la Consejería de Empleo sobre las circunstancias del beneficiario y su capacidad para hacer frente a las obligaciones; y con otras subvenciones con fines diversos, en ocasiones sin ningún objeto claramente definido y sin relación directa con la tramitación y aprobación de un expediente de regulación de empleo, que se recogen en un cuadro en los folios 1713 y 1714.</w:t>
      </w:r>
    </w:p>
    <w:p w14:paraId="0C99BE1B" w14:textId="77777777" w:rsidR="003754FE" w:rsidRDefault="003754FE" w:rsidP="003754FE">
      <w:pPr>
        <w:pStyle w:val="TextoNormal"/>
      </w:pPr>
    </w:p>
    <w:p w14:paraId="499727DE" w14:textId="77777777" w:rsidR="003754FE" w:rsidRDefault="003754FE" w:rsidP="003754FE">
      <w:pPr>
        <w:pStyle w:val="TextoNormal"/>
      </w:pPr>
      <w:r>
        <w:t>Por último recuerda que la sentencia condenatoria, respecto de los cargos de la Consejería de Empleo, concluye que la gravedad de los incumplimientos evidencian la ausencia de procedimiento o control y que el sistema permitía destinar los fondos a “su antojo”, sin atender a interés público alguno, incluir beneficiarios que nunca habían pertenecido a las empresas ayudadas o que un número indeterminado de ellos siguiera percibiendo las rentas aun habiéndose incorporado de nuevo al mercado laboral o haber pasado a la situación de incapacidad.</w:t>
      </w:r>
    </w:p>
    <w:p w14:paraId="4D41515F" w14:textId="77777777" w:rsidR="003754FE" w:rsidRDefault="003754FE" w:rsidP="003754FE">
      <w:pPr>
        <w:pStyle w:val="TextoNormal"/>
      </w:pPr>
    </w:p>
    <w:p w14:paraId="14975337" w14:textId="77777777" w:rsidR="003754FE" w:rsidRDefault="003754FE" w:rsidP="003754FE">
      <w:pPr>
        <w:pStyle w:val="TextoNormal"/>
      </w:pPr>
      <w:r>
        <w:t xml:space="preserve">Por lo que atañe a la sentencia del Tribunal Supremo, el fiscal subraya que “recuerda los cargos que desempeñó y sus funciones y competencias, afirma que la inclusión de las transferencias de financiación en los anteproyectos de presupuestos de los años 2002, 2003 y 2004, constituyó una suerte de evolución del sistema de concesión de ayudas ilegales, pues hasta ese momento se habían estado usando, según hemos expuesto, las modificaciones de presupuestos, resume las pruebas que permiten afirmar que (i) suscribió el convenio marco que, unido a las transferencias de financiación, permitían la concesión ilegal de las ayudas sociolaborales; (ii) sabía de su ilegalidad, por cuanto quedaban exentas de la fiscalización previa, entre otros aspectos; y (iii) sabía que el destinatario e importe de las ayudas se decidían en la Consejería de Empleo, ya que él mismo no solo firmó los acuerdos para llevar a cabo las transferencias de financiación al IFA por delegación del consejero, sino que, </w:t>
      </w:r>
      <w:r>
        <w:lastRenderedPageBreak/>
        <w:t>además, como presidente del Instituto de Fomento de Andalucía (IFA) emitió las oportunas certificaciones de incorporación de dichos fondos al PAIF de la entidad. Afirma asimismo que siguió haciendo uso de las transferencias de financiación durante el tiempo en que fue consejero de Empleo y miembro del Gobierno y que si tuvo conocimiento del uso de las transferencias de financiación en su condición de viceconsejero, el mismo conocimiento debe atribuírsele en su condición de consejero de Empleo, máxime cuando durante el tiempo en que ocupó el cargo el procedimiento ilegal de concesión de subvenciones se desarrolló y consolidó (recordemos que fue consejero de Empleo hasta el 22 de marzo de 2010). Posteriormente menciona el sistema de fragmentación de ayudas a Pickman, y cómo a partir del consejo rector de 27 de mayo de 2003, se decidió que el criterio para calcular las ayudas sociolaborales se llevaría a cabo por cada trabajador y no por el importe total de la ayuda, y ello, pese a que, al firmarse el convenio, se hacía por la totalidad de la ayuda concedida o por una parte de ella y esa era la cantidad que se pagaba, con lo que se evitaba someter los convenios provisionales a la ratificación del Consejo de Gobierno, y al Gabinete Jurídico de la Junta de Andalucía”.</w:t>
      </w:r>
    </w:p>
    <w:p w14:paraId="5C2442DB" w14:textId="77777777" w:rsidR="003754FE" w:rsidRDefault="003754FE" w:rsidP="003754FE">
      <w:pPr>
        <w:pStyle w:val="TextoNormal"/>
      </w:pPr>
    </w:p>
    <w:p w14:paraId="3D49AE43" w14:textId="77777777" w:rsidR="003754FE" w:rsidRDefault="003754FE" w:rsidP="003754FE">
      <w:pPr>
        <w:pStyle w:val="TextoNormal"/>
      </w:pPr>
      <w:r>
        <w:t>El fiscal termina sus alegaciones sobre el motivo aclarando que solo ha transcrito parte de los argumentos empleados por las resoluciones judiciales, que no se circunscriben a la queja formulada, sino que realizan una valoración del conjunto de la prueba, pero dicha transcripción muestra que, “dadas las pruebas y su valoración por los tribunales, no se ha producido la lesión constitucional denunciada”.</w:t>
      </w:r>
    </w:p>
    <w:p w14:paraId="2D447721" w14:textId="77777777" w:rsidR="003754FE" w:rsidRDefault="003754FE" w:rsidP="003754FE">
      <w:pPr>
        <w:pStyle w:val="TextoNormal"/>
      </w:pPr>
    </w:p>
    <w:p w14:paraId="12DD4501" w14:textId="77777777" w:rsidR="003754FE" w:rsidRDefault="003754FE" w:rsidP="003754FE">
      <w:pPr>
        <w:pStyle w:val="TextoNormal"/>
      </w:pPr>
      <w:r>
        <w:t>(iii) El fiscal descarta a continuación la vulneración de las garantías del principio de legalidad que el recurrente vincula a la falta de concurrencia de los requisitos típicos del delito de malversación, no sin antes advertir de que el motivo reproduce en gran medida lo aducido en desarrollo de la primera queja de amparo, relativa a la presunción de inocencia, remitiéndose a lo ya dicho al respecto en el escrito. Parte en sus alegaciones de que el recurrente ha sido condenado por un delito continuado en relación con actos realizados a lo largo de un dilatado periodo de tiempo en el que desempeñó diversos cargos y a partir de una valoración en conjunto de la prueba, circunstancias que impedirían “aplicar a todo el período considerado algunas de las afirmaciones efectuadas por el recurrente”.</w:t>
      </w:r>
    </w:p>
    <w:p w14:paraId="7E2D069A" w14:textId="77777777" w:rsidR="003754FE" w:rsidRDefault="003754FE" w:rsidP="003754FE">
      <w:pPr>
        <w:pStyle w:val="TextoNormal"/>
      </w:pPr>
    </w:p>
    <w:p w14:paraId="364A2032" w14:textId="77777777" w:rsidR="003754FE" w:rsidRDefault="003754FE" w:rsidP="003754FE">
      <w:pPr>
        <w:pStyle w:val="TextoNormal"/>
      </w:pPr>
      <w:r>
        <w:t>Respecto a la queja del recurrente de que no tenía a su disposición los fondos objeto de delito de malversación, opone que de las “competencias de los diversos órganos cuya titularidad correspondió a lo largo del tiempo al demandante de amparo se desprende que las sentencias recurridas razonaron sobre su competencia para disponer de los fondos y, en consecuencia, su atribución de responsabilidad por el primer inciso del artículo 404 (</w:t>
      </w:r>
      <w:r w:rsidRPr="003754FE">
        <w:rPr>
          <w:i/>
        </w:rPr>
        <w:t>rectius</w:t>
      </w:r>
      <w:r>
        <w:t>, art. 432) del Código penal”.</w:t>
      </w:r>
    </w:p>
    <w:p w14:paraId="312BA656" w14:textId="77777777" w:rsidR="003754FE" w:rsidRDefault="003754FE" w:rsidP="003754FE">
      <w:pPr>
        <w:pStyle w:val="TextoNormal"/>
      </w:pPr>
    </w:p>
    <w:p w14:paraId="420C37D0" w14:textId="77777777" w:rsidR="003754FE" w:rsidRDefault="003754FE" w:rsidP="003754FE">
      <w:pPr>
        <w:pStyle w:val="TextoNormal"/>
      </w:pPr>
      <w:r>
        <w:t>Por lo que atañe a la imposibilidad de aplicar el segundo inciso del art. 404 CP (</w:t>
      </w:r>
      <w:r w:rsidRPr="003754FE">
        <w:rPr>
          <w:i/>
        </w:rPr>
        <w:t>rectius</w:t>
      </w:r>
      <w:r>
        <w:t xml:space="preserve">, art. 432) y sancionar por permitir que un tercero sustraiga los caudales públicos, no solo destaca que el recurrente tenía la disposición de los fondos, sino que el director general de Empleo no tenía competencia jurídica para ello, sin que de la lectura del convenio marco de 17 de junio de 2001 se desprenda “que sea dicha Dirección General, y no el propio consejero, el competente para otorgar esas ayudas, de modo que dicha Dirección General se configura más bien como una simple ejecutora de lo acordado por el consejero, como se desprende de las estipulaciones primera y segunda de dicho convenio”. A ello suma que la competencia “no fue objeto de delegación en favor del director general hasta la Orden de la </w:t>
      </w:r>
      <w:r>
        <w:lastRenderedPageBreak/>
        <w:t>Consejería de Empleo de 3 de marzo de 2010” y que el recurrente impartió directrices al director general de Trabajo sobre la aplicación del citado convenio marco. No considera, en fin, exigible a los tribunales “una especificación de a qué título de imputación había de atribuirse cada uno de los hechos relevantes por los que fue condenado”.</w:t>
      </w:r>
    </w:p>
    <w:p w14:paraId="6E4C0718" w14:textId="77777777" w:rsidR="003754FE" w:rsidRDefault="003754FE" w:rsidP="003754FE">
      <w:pPr>
        <w:pStyle w:val="TextoNormal"/>
      </w:pPr>
    </w:p>
    <w:p w14:paraId="4229ABA5" w14:textId="77777777" w:rsidR="003754FE" w:rsidRDefault="003754FE" w:rsidP="003754FE">
      <w:pPr>
        <w:pStyle w:val="TextoNormal"/>
      </w:pPr>
      <w:r>
        <w:t>(iv) El fiscal considera infundada la vulneración del derecho a la tutela judicial efectiva (art. 24.1 CE) por incongruencia omisiva atribuida en los motivos cuarto y quinto de la demanda a la sentencia del Tribunal Supremo, por la falta de respuesta a determinadas pretensiones explicitadas en diversos motivos de casación. Opone a la queja las respuestas dadas en la sentencia de casación a esos motivos de casación en los que se solicitaba la exclusión de determinados hechos y la inclusión de otros en el relato fáctico, así como lo razonado frente a quejas análogas en el auto resolutorio del incidente de nulidad de actuaciones.</w:t>
      </w:r>
    </w:p>
    <w:p w14:paraId="5914B7BF" w14:textId="77777777" w:rsidR="003754FE" w:rsidRDefault="003754FE" w:rsidP="003754FE">
      <w:pPr>
        <w:pStyle w:val="TextoNormal"/>
      </w:pPr>
    </w:p>
    <w:p w14:paraId="1CA4D7F8" w14:textId="77777777" w:rsidR="003754FE" w:rsidRDefault="003754FE" w:rsidP="003754FE">
      <w:pPr>
        <w:pStyle w:val="TextoNormal"/>
      </w:pPr>
      <w:r>
        <w:t xml:space="preserve">(v) También solicita el fiscal la desestimación del motivo sexto, ya que, como mostraría la argumentación que conduce a rechazar una denuncia análoga en el fundamento jurídico 4 del auto resolutorio del incidente de nulidad de actuaciones, las frases cuestionadas en la demanda en tanto que introducción de datos fácticos ajenos al </w:t>
      </w:r>
      <w:r w:rsidRPr="003754FE">
        <w:rPr>
          <w:i/>
        </w:rPr>
        <w:t>factum</w:t>
      </w:r>
      <w:r>
        <w:t xml:space="preserve"> “no han añadido nada nuevo a lo declarado en los hechos probados de la sentencia de instancia, sino resumido o concretado todo el conjunto de hechos declarados probados por dicha sentencia”. En la fundamentación jurídica de esa sentencia estaba ya la alusión a la finalidad del cambio del sistema presupuestario para justificar la vinculación causal entre el criterio ilegal de presupuestación y la posterior malversación y en ella se contenían afirmaciones coincidentes con las cuestionadas, alusivas a que se pretendía “eludir la fiscalización previa” y la “tramitación de los correspondientes expedientes”.</w:t>
      </w:r>
    </w:p>
    <w:p w14:paraId="0082B92F" w14:textId="77777777" w:rsidR="003754FE" w:rsidRDefault="003754FE" w:rsidP="003754FE">
      <w:pPr>
        <w:pStyle w:val="TextoNormal"/>
      </w:pPr>
    </w:p>
    <w:p w14:paraId="1845F1BA" w14:textId="77777777" w:rsidR="003754FE" w:rsidRDefault="003754FE" w:rsidP="003754FE">
      <w:pPr>
        <w:pStyle w:val="TextoNormal"/>
      </w:pPr>
      <w:r>
        <w:t>(vi) Respecto del motivo séptimo (</w:t>
      </w:r>
      <w:r w:rsidRPr="003754FE">
        <w:rPr>
          <w:i/>
        </w:rPr>
        <w:t>sic</w:t>
      </w:r>
      <w:r>
        <w:t>), dirigido contra el voto particular de la sentencia de casación, el fiscal apunta en primer lugar que la queja no se efectuó en el incidente de nulidad de actuaciones, por lo que concurriría una causa de inadmisión del recurso [art. 50.1 LOTC en relación con el art. 44.1 a) y c) LOTC]. Subsidiariamente observa que el motivo debe desestimarse, ya que los votos particulares, aun cuando se incorporan a la resolución, no se pueden identificar con la sentencia, sin que lo afirmado en ellos, tanto desde una perspectiva fáctica como jurídica, sea base o fundamento del fallo de la sentencia, por lo que no pueden lesionar derecho fundamental alguno.</w:t>
      </w:r>
    </w:p>
    <w:p w14:paraId="01B9E3E9" w14:textId="77777777" w:rsidR="003754FE" w:rsidRDefault="003754FE" w:rsidP="003754FE">
      <w:pPr>
        <w:pStyle w:val="TextoNormal"/>
      </w:pPr>
    </w:p>
    <w:p w14:paraId="2AE2C0A9" w14:textId="77777777" w:rsidR="003754FE" w:rsidRDefault="003754FE" w:rsidP="003754FE">
      <w:pPr>
        <w:pStyle w:val="TextoNormal"/>
      </w:pPr>
      <w:r>
        <w:t>(vii) Por último se aborda la queja que pone fin al recurso, formulada como vulneración del derecho a la presunción de inocencia (art. 24.2 CE), dada la comunicación pública del fallo sin motivación y vulneración correlativa de derecho al honor (art. 18.1 CE), a un proceso con todas las garantías (art. 24.2 CE) y a la tutela judicial efectiva (art. 24.1 CE). El análisis de lo aducido en el motivo, la respuesta dada en el auto resolutorio del incidente de nulidad de actuaciones, las previsiones normativas aplicables y la doctrina constitucional concernida —en especial, la STC 244/2007, de 10 de diciembre— lleva al fiscal a circunscribir la queja a una posible lesión del derecho al honor. En efecto, estima que, en tanto la sentencia, según refiere el auto del Tribunal Supremo, estaba ya redactada y faltaba solo el texto del voto particular, “no puede afirmarse en ningún caso que los magistrados integrantes de la Sala hubieran perdido su imparcialidad”. Y, de otro lado, que el fallo anticipado informaba de la confirmación de la sentencia de instancia condenatoria, por lo que “no hubo lesión del derecho a la presunción de inocencia en su vertiente extraprocesal”.</w:t>
      </w:r>
    </w:p>
    <w:p w14:paraId="76230BB3" w14:textId="77777777" w:rsidR="003754FE" w:rsidRDefault="003754FE" w:rsidP="003754FE">
      <w:pPr>
        <w:pStyle w:val="TextoNormal"/>
      </w:pPr>
    </w:p>
    <w:p w14:paraId="40F39AE4" w14:textId="27FBD317" w:rsidR="003754FE" w:rsidRDefault="003754FE" w:rsidP="003754FE">
      <w:pPr>
        <w:pStyle w:val="TextoNormal"/>
      </w:pPr>
      <w:r>
        <w:lastRenderedPageBreak/>
        <w:t>Para valorar la posible lesión del derecho al honor considera necesario “llevar a cabo una valoración ponderativa que tome en consideración todas las circunstancias del caso, y en particular, la eventual colisión del derecho invocado por el recurrente con el interés constitucionalmente legítimo que se identifica con la existencia de una opinión pública libre, e incluso, desde una perspectiva simétrica a la que sugiere la doctrina constitucional expuesta, con el derecho a recibir información veraz que con carácter general —y extensión al conjunto de la ciudadanía— proclama el artículo 20.1 d) CE”. En el caso, a su juicio, el hecho de que hubiera sido ya condenado en primera instancia, siendo dicha condena pública y notoria, el interés público del asunto y la finalidad del Tribunal Supremo de responder a esa atención con información veraz y fidedigna son factores muy relevantes que determinan la inexistencia de la lesión denunciada. Insiste en que, a diferencia de otros supuestos examinados por la doctrina constitucional, “en el presente caso no se enjuicia la actuación de un tercero ajeno al proceso que implica una vulneración de la presunción de inocencia como regla de tratamiento extraprocesal, sino que es el propio órgano constitucionalmente competente para declarar la culpabilidad o la inocencia de acusado el que, sobre la base de una previa condena en la instancia, y con la certeza —que además hace expresamente pública— de que la decisión adoptada es ya definitiva, la difunde para dar satisfacción a un interés constitucionalmente legítimo como es el de asegurar una información institucional que ofrezca garantías plenas de veracidad y certeza, dando satisfacción al correlativo derecho de los ciudadanos”.</w:t>
      </w:r>
    </w:p>
    <w:p w14:paraId="1432A018" w14:textId="77777777" w:rsidR="003754FE" w:rsidRDefault="003754FE" w:rsidP="003754FE">
      <w:pPr>
        <w:pStyle w:val="TextoNormal"/>
      </w:pPr>
    </w:p>
    <w:p w14:paraId="78A031E5" w14:textId="34A7121B" w:rsidR="003754FE" w:rsidRDefault="003754FE" w:rsidP="003754FE">
      <w:pPr>
        <w:pStyle w:val="TextoNormal"/>
      </w:pPr>
      <w:r w:rsidRPr="003754FE">
        <w:rPr>
          <w:rStyle w:val="NumeroAFNegritaCaracter"/>
        </w:rPr>
        <w:t>7</w:t>
      </w:r>
      <w:r>
        <w:t>. Por providencia de 2 de julio de 2024 se señaló para la deliberación y votación de la presente sentencia el día 3 del mismo mes y año.</w:t>
      </w:r>
    </w:p>
    <w:p w14:paraId="0FBE04FB" w14:textId="77777777" w:rsidR="003754FE" w:rsidRDefault="003754FE" w:rsidP="003754FE">
      <w:pPr>
        <w:pStyle w:val="TextoNormal"/>
      </w:pPr>
    </w:p>
    <w:p w14:paraId="4E6B39AF" w14:textId="77777777" w:rsidR="003754FE" w:rsidRDefault="003754FE" w:rsidP="003754FE">
      <w:pPr>
        <w:pStyle w:val="TextoNormalNegritaCentrado"/>
        <w:keepNext/>
      </w:pPr>
      <w:r>
        <w:t>II. Fundamentos jurídicos</w:t>
      </w:r>
    </w:p>
    <w:p w14:paraId="156119D8" w14:textId="49293F39" w:rsidR="003754FE" w:rsidRDefault="003754FE" w:rsidP="003754FE">
      <w:pPr>
        <w:pStyle w:val="TextoNormalNegritaCentrado"/>
        <w:keepNext/>
      </w:pPr>
    </w:p>
    <w:p w14:paraId="78D30396" w14:textId="77777777" w:rsidR="003754FE" w:rsidRDefault="003754FE" w:rsidP="003754FE">
      <w:pPr>
        <w:pStyle w:val="TextoNormal"/>
      </w:pPr>
      <w:r w:rsidRPr="003754FE">
        <w:rPr>
          <w:rStyle w:val="NumeroAFNegritaCaracter"/>
        </w:rPr>
        <w:t>1</w:t>
      </w:r>
      <w:r>
        <w:t xml:space="preserve">. </w:t>
      </w:r>
      <w:r w:rsidRPr="003754FE">
        <w:rPr>
          <w:i/>
        </w:rPr>
        <w:t>Objeto del recurso, posiciones de las partes y orden de análisis de las quejas</w:t>
      </w:r>
    </w:p>
    <w:p w14:paraId="1D3C604F" w14:textId="77777777" w:rsidR="003754FE" w:rsidRDefault="003754FE" w:rsidP="003754FE">
      <w:pPr>
        <w:pStyle w:val="TextoNormal"/>
      </w:pPr>
    </w:p>
    <w:p w14:paraId="42788736" w14:textId="77777777" w:rsidR="003754FE" w:rsidRDefault="003754FE" w:rsidP="003754FE">
      <w:pPr>
        <w:pStyle w:val="TextoNormal"/>
      </w:pPr>
      <w:r>
        <w:t xml:space="preserve">1.1. </w:t>
      </w:r>
      <w:r w:rsidRPr="003754FE">
        <w:rPr>
          <w:i/>
        </w:rPr>
        <w:t>Objeto del recurso y posiciones de las partes</w:t>
      </w:r>
    </w:p>
    <w:p w14:paraId="75482998" w14:textId="77777777" w:rsidR="003754FE" w:rsidRDefault="003754FE" w:rsidP="003754FE">
      <w:pPr>
        <w:pStyle w:val="TextoNormal"/>
      </w:pPr>
    </w:p>
    <w:p w14:paraId="4C7644F3" w14:textId="77777777" w:rsidR="003754FE" w:rsidRDefault="003754FE" w:rsidP="003754FE">
      <w:pPr>
        <w:pStyle w:val="TextoNormal"/>
      </w:pPr>
      <w:r>
        <w:t>El presente recurso de amparo se dirige contra las siguientes resoluciones: (i) la sentencia núm. 490/2019, de 19 de noviembre, dictada por la Sección Primera de la Audiencia Provincial de Sevilla en el rollo núm. 1965-2017, dimanante del procedimiento abreviado núm. 133-2016, que le condenó como autor de un delito continuado de prevaricación administrativa del art. 404 CP, en concurso medial con un delito continuado de malversación de caudales públicos del art. 432 CP, a las penas de siete años, once meses, y un día de prisión, inhabilitación especial para el derecho de sufragio pasivo durante el tiempo de la condena e inhabilitación absoluta por un tiempo de diecinueve años; (ii) la sentencia de la Sala de lo Penal del Tribunal Supremo núm. 749/2022, de 13 de septiembre, que desestima el recurso de casación formulado por el demandante frente a la anterior resolución (recurso de casación núm. 601-2020), y (iii) el auto de 16 de febrero de 2023 que inadmite el incidente de nulidad de actuaciones interpuesto frente a la citada sentencia desestimatoria.</w:t>
      </w:r>
    </w:p>
    <w:p w14:paraId="62605A16" w14:textId="77777777" w:rsidR="003754FE" w:rsidRDefault="003754FE" w:rsidP="003754FE">
      <w:pPr>
        <w:pStyle w:val="TextoNormal"/>
      </w:pPr>
    </w:p>
    <w:p w14:paraId="3A65456E" w14:textId="77777777" w:rsidR="003754FE" w:rsidRDefault="003754FE" w:rsidP="003754FE">
      <w:pPr>
        <w:pStyle w:val="TextoNormal"/>
      </w:pPr>
      <w:r>
        <w:t xml:space="preserve">El recurrente alega en su escrito de demanda diversas vulneraciones de derechos fundamentales que cabe ordenar como sigue: (i) del derecho a la presunción de inocencia (art. 24.2 CE) por tres razones: en tanto la condena por el delito de malversación se basa en unos hechos probados inconcretos e imprecisos que no integran el tipo penal ni describen su </w:t>
      </w:r>
      <w:r>
        <w:lastRenderedPageBreak/>
        <w:t xml:space="preserve">participación en ellos —motivo primero de la demanda—, se asienta en una valoración de la prueba irracional, sin que se infiera la comisión del hecho y su participación y siendo ilógico, irrazonable e insuficiente el </w:t>
      </w:r>
      <w:r w:rsidRPr="003754FE">
        <w:rPr>
          <w:i/>
        </w:rPr>
        <w:t>iter</w:t>
      </w:r>
      <w:r>
        <w:t xml:space="preserve"> discursivo que conduce desde la prueba al hecho probado —motivo tercero— y se confirma por el Tribunal Supremo a partir de datos fácticos ajenos al </w:t>
      </w:r>
      <w:r w:rsidRPr="003754FE">
        <w:rPr>
          <w:i/>
        </w:rPr>
        <w:t>factum</w:t>
      </w:r>
      <w:r>
        <w:t xml:space="preserve"> de la sentencia de instancia introducidos </w:t>
      </w:r>
      <w:r w:rsidRPr="003754FE">
        <w:rPr>
          <w:i/>
        </w:rPr>
        <w:t>ex novo</w:t>
      </w:r>
      <w:r>
        <w:t xml:space="preserve"> en la sentencia de casación —motivo sexto—; (ii) del derecho a la legalidad penal (art. 25.1 CE), por no concurrir los requisitos típicos del delito de malversación, ni en la modalidad activa de sustraer ni en la pasiva de permitir que un tercero sustraiga —motivo segundo—; (iii) del derecho a la tutela judicial efectiva (art. 24.1 CE), por incongruencia omisiva de la sentencia del Tribunal Supremo dada la falta de respuesta a determinadas pretensiones del recurso de casación —motivos cuarto y quinto—; (iv) y del derecho a la presunción de inocencia extraprocesal (art. 24.2 CE) en relación con los derechos al honor (art. 18.1 CE), a un proceso con todas las garantías (art. 24.2 CE) y a la tutela judicial efectiva (art. 24.1 CE), por haberse publicado el fallo de la sentencia de casación antes de ser notificada íntegramente al demandante —motivo séptimo—.</w:t>
      </w:r>
    </w:p>
    <w:p w14:paraId="640E845F" w14:textId="77777777" w:rsidR="003754FE" w:rsidRDefault="003754FE" w:rsidP="003754FE">
      <w:pPr>
        <w:pStyle w:val="TextoNormal"/>
      </w:pPr>
    </w:p>
    <w:p w14:paraId="403C4042" w14:textId="77777777" w:rsidR="003754FE" w:rsidRDefault="003754FE" w:rsidP="003754FE">
      <w:pPr>
        <w:pStyle w:val="TextoNormal"/>
      </w:pPr>
      <w:r>
        <w:t>La representación procesal del Partido Popular ha interesado la desestimación íntegra del amparo, con los argumentos que han sido sintetizados en el antecedente de hecho 5 b).</w:t>
      </w:r>
    </w:p>
    <w:p w14:paraId="7D334AC9" w14:textId="77777777" w:rsidR="003754FE" w:rsidRDefault="003754FE" w:rsidP="003754FE">
      <w:pPr>
        <w:pStyle w:val="TextoNormal"/>
      </w:pPr>
    </w:p>
    <w:p w14:paraId="179D7E14" w14:textId="77777777" w:rsidR="003754FE" w:rsidRDefault="003754FE" w:rsidP="003754FE">
      <w:pPr>
        <w:pStyle w:val="TextoNormal"/>
      </w:pPr>
      <w:r>
        <w:t>Las representaciones procesales de don José Antonio Griñán Martínez y don Antonio Vicente Lozano Peña evacuaron vista dándose por instruidas y las de don Jesús María Rodríguez Román y don Francisco Vallejo Serrano han interesado que se declare la vulneración del derecho fundamental a la legalidad sancionadora (art. 25.1 CE) en las diferentes vertientes desarrolladas en el recurso con los argumentos expuestos asimismo en el antecedente 5 b).</w:t>
      </w:r>
    </w:p>
    <w:p w14:paraId="1641CAD8" w14:textId="77777777" w:rsidR="003754FE" w:rsidRDefault="003754FE" w:rsidP="003754FE">
      <w:pPr>
        <w:pStyle w:val="TextoNormal"/>
      </w:pPr>
    </w:p>
    <w:p w14:paraId="179053A5" w14:textId="77777777" w:rsidR="003754FE" w:rsidRDefault="003754FE" w:rsidP="003754FE">
      <w:pPr>
        <w:pStyle w:val="TextoNormal"/>
      </w:pPr>
      <w:r>
        <w:t>Por su parte, el Ministerio Fiscal ha interesado en su escrito de alegaciones la desestimación íntegra de la demanda de amparo con los argumentos que han sido expuestos en el antecedente de hecho 6.</w:t>
      </w:r>
    </w:p>
    <w:p w14:paraId="044732D6" w14:textId="77777777" w:rsidR="003754FE" w:rsidRDefault="003754FE" w:rsidP="003754FE">
      <w:pPr>
        <w:pStyle w:val="TextoNormal"/>
      </w:pPr>
    </w:p>
    <w:p w14:paraId="3BB5E1C6" w14:textId="77777777" w:rsidR="003754FE" w:rsidRDefault="003754FE" w:rsidP="003754FE">
      <w:pPr>
        <w:pStyle w:val="TextoNormal"/>
      </w:pPr>
      <w:r>
        <w:t>Debe precisarse que la delimitación del contenido impugnatorio del recurso viene dada por las quejas formuladas por el actor en la demanda de amparo y no se ve alterada por la denuncia de vulneración del derecho a la legalidad penal (art. 25.1 CE) por una aplicación inesperada e imprevisible del delito de prevaricación a su conducta que efectuó en el trámite de alegaciones del art. 52 LOTC.</w:t>
      </w:r>
    </w:p>
    <w:p w14:paraId="51D22AE7" w14:textId="77777777" w:rsidR="003754FE" w:rsidRDefault="003754FE" w:rsidP="003754FE">
      <w:pPr>
        <w:pStyle w:val="TextoNormal"/>
      </w:pPr>
    </w:p>
    <w:p w14:paraId="3D6F8BCC" w14:textId="77777777" w:rsidR="003754FE" w:rsidRDefault="003754FE" w:rsidP="003754FE">
      <w:pPr>
        <w:pStyle w:val="TextoNormal"/>
      </w:pPr>
      <w:r>
        <w:t xml:space="preserve">Como recuerda la STC 90/2024, de 17 junio, FJ 2 A), es en la demanda donde “ha de individualizarse el acto o la disposición cuya nulidad se pretenda, con indicación de la razón para pedirla o </w:t>
      </w:r>
      <w:r w:rsidRPr="003754FE">
        <w:rPr>
          <w:i/>
        </w:rPr>
        <w:t>causa petendi</w:t>
      </w:r>
      <w:r>
        <w:t xml:space="preserve"> (STC 185/1996, de 25 de noviembre, FJ 1), sin que sean viables las alteraciones introducidas con ulteriores alegaciones (SSTC 109/1997, de 2 de junio, FJ 1, y 39/1999, de 22 de marzo, FJ 2), cuya ratio es completar y, en su caso, reforzar la fundamentación del recurso, mas no ampliarlo o variarlo sustancialmente (STC 85/1999, de 10 de mayo, FJ 2)” [por todas, SSTC 13/2008, de 31 de enero, FJ 3, y 52/2021, de 15 de marzo, FJ 2 c)]. En particular, no cabe esa ampliación en el trámite de alegaciones previsto en el art. 52 LOTC, pues “es en la demanda de amparo donde queda fijado el objeto procesal, definiendo y delimitando la pretensión” (SSTC 235/1994, de 20 de julio, FJ 1; 26/1995, de 6 de febrero, FJ 3; 124/1999, de 28 de junio, FJ 1, y 205/1999, de 8 de noviembre, FJ 4).</w:t>
      </w:r>
    </w:p>
    <w:p w14:paraId="38C6EA09" w14:textId="77777777" w:rsidR="003754FE" w:rsidRDefault="003754FE" w:rsidP="003754FE">
      <w:pPr>
        <w:pStyle w:val="TextoNormal"/>
      </w:pPr>
    </w:p>
    <w:p w14:paraId="548C01C3" w14:textId="77777777" w:rsidR="003754FE" w:rsidRDefault="003754FE" w:rsidP="003754FE">
      <w:pPr>
        <w:pStyle w:val="TextoNormal"/>
      </w:pPr>
      <w:r>
        <w:lastRenderedPageBreak/>
        <w:t>En el presente caso, el recurrente planteó la vulneración del derecho a la legalidad penal en su demanda de amparo exclusivamente en relación con su condena como autor de un delito de malversación de caudales públicos. No es sino al cumplimentar el trámite de alegaciones del art. 52 LOTC que introduce como pretensión novedosa la lesión del art. 25.1 CE por su condena como autor de un delito de prevaricación, que no puede entenderse como reforzamiento de la argumentación preexistente, sino como una nueva queja que, por tal autonomía y novedad, no puede conectarse con el contenido original de la demanda como refuerzo o argumento adicional y sobre la que las partes no han podido formular alegación alguna. En tal medida, este motivo no puede ser objeto de pronunciamiento.</w:t>
      </w:r>
    </w:p>
    <w:p w14:paraId="36CACC1D" w14:textId="77777777" w:rsidR="003754FE" w:rsidRDefault="003754FE" w:rsidP="003754FE">
      <w:pPr>
        <w:pStyle w:val="TextoNormal"/>
      </w:pPr>
    </w:p>
    <w:p w14:paraId="57770C54" w14:textId="77777777" w:rsidR="003754FE" w:rsidRDefault="003754FE" w:rsidP="003754FE">
      <w:pPr>
        <w:pStyle w:val="TextoNormal"/>
      </w:pPr>
      <w:r>
        <w:t xml:space="preserve">1.2. </w:t>
      </w:r>
      <w:r w:rsidRPr="003754FE">
        <w:rPr>
          <w:i/>
        </w:rPr>
        <w:t>Orden de análisis de las quejas</w:t>
      </w:r>
    </w:p>
    <w:p w14:paraId="42B35E09" w14:textId="77777777" w:rsidR="003754FE" w:rsidRDefault="003754FE" w:rsidP="003754FE">
      <w:pPr>
        <w:pStyle w:val="TextoNormal"/>
      </w:pPr>
    </w:p>
    <w:p w14:paraId="5CF77FB9" w14:textId="717D8AA2" w:rsidR="003754FE" w:rsidRDefault="003754FE" w:rsidP="003754FE">
      <w:pPr>
        <w:pStyle w:val="TextoNormal"/>
      </w:pPr>
      <w:r>
        <w:t>Se considera procedente, por razones de ordenación sistemática de las materias a tratar, examinar en primer lugar la queja relativa a la vulneración del derecho a la legalidad penal (segundo motivo de amparo) y a continuación las relativas a la vulneración del derecho a la presunción de inocencia, primero las atribuidas a la sentencia condenatoria (motivos primero y tercero) y después la imputada a la sentencia de casación (motivo sexto), para, seguidamente, examinar el resto de vulneraciones atribuidas a la sentencia del Tribunal Supremo (motivos cuarto, quinto y séptimo), cuyo análisis puede verse condicionado por la respuesta que reciban las anteriores.</w:t>
      </w:r>
    </w:p>
    <w:p w14:paraId="412109A0" w14:textId="77777777" w:rsidR="003754FE" w:rsidRDefault="003754FE" w:rsidP="003754FE">
      <w:pPr>
        <w:pStyle w:val="TextoNormal"/>
      </w:pPr>
    </w:p>
    <w:p w14:paraId="1D0D320D" w14:textId="77777777" w:rsidR="003754FE" w:rsidRDefault="003754FE" w:rsidP="003754FE">
      <w:pPr>
        <w:pStyle w:val="TextoNormal"/>
      </w:pPr>
      <w:r w:rsidRPr="003754FE">
        <w:rPr>
          <w:rStyle w:val="NumeroAFNegritaCaracter"/>
        </w:rPr>
        <w:t>2</w:t>
      </w:r>
      <w:r>
        <w:t xml:space="preserve">. </w:t>
      </w:r>
      <w:r w:rsidRPr="003754FE">
        <w:rPr>
          <w:i/>
        </w:rPr>
        <w:t>Breve delimitación fáctica y jurídica del proceso “ERE” y de la condena del demandante de amparo</w:t>
      </w:r>
    </w:p>
    <w:p w14:paraId="76BB8CEC" w14:textId="77777777" w:rsidR="003754FE" w:rsidRDefault="003754FE" w:rsidP="003754FE">
      <w:pPr>
        <w:pStyle w:val="TextoNormal"/>
      </w:pPr>
    </w:p>
    <w:p w14:paraId="3226BBCF" w14:textId="77777777" w:rsidR="003754FE" w:rsidRDefault="003754FE" w:rsidP="003754FE">
      <w:pPr>
        <w:pStyle w:val="TextoNormal"/>
      </w:pPr>
      <w:r>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w:t>
      </w:r>
      <w:r w:rsidRPr="003754FE">
        <w:rPr>
          <w:i/>
        </w:rPr>
        <w:t>a quo</w:t>
      </w:r>
      <w:r>
        <w:t xml:space="preserve">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del demandante de amparo.</w:t>
      </w:r>
    </w:p>
    <w:p w14:paraId="7A736898" w14:textId="77777777" w:rsidR="003754FE" w:rsidRDefault="003754FE" w:rsidP="003754FE">
      <w:pPr>
        <w:pStyle w:val="TextoNormal"/>
      </w:pPr>
    </w:p>
    <w:p w14:paraId="3766EFD8" w14:textId="77777777" w:rsidR="003754FE" w:rsidRDefault="003754FE" w:rsidP="003754FE">
      <w:pPr>
        <w:pStyle w:val="TextoNormal"/>
      </w:pPr>
      <w:r>
        <w:t xml:space="preserve">2.1. </w:t>
      </w:r>
      <w:r w:rsidRPr="003754FE">
        <w:rPr>
          <w:i/>
        </w:rPr>
        <w:t>Sucinta exposición general de los hechos del proceso “ERE”</w:t>
      </w:r>
    </w:p>
    <w:p w14:paraId="7E90D916" w14:textId="77777777" w:rsidR="003754FE" w:rsidRDefault="003754FE" w:rsidP="003754FE">
      <w:pPr>
        <w:pStyle w:val="TextoNormal"/>
      </w:pPr>
    </w:p>
    <w:p w14:paraId="2EF0FC41" w14:textId="77777777" w:rsidR="003754FE" w:rsidRDefault="003754FE" w:rsidP="003754FE">
      <w:pPr>
        <w:pStyle w:val="TextoNormal"/>
      </w:pPr>
      <w:r>
        <w:t xml:space="preserve">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w:t>
      </w:r>
      <w:r>
        <w:lastRenderedPageBreak/>
        <w:t>las ayudas previas a la jubilación ordinaria del sistema general de la Seguridad Social y las ayudas extraordinarias a trabajadores afectados por procesos de reestructuración de empresas.</w:t>
      </w:r>
    </w:p>
    <w:p w14:paraId="12F10DFE" w14:textId="77777777" w:rsidR="003754FE" w:rsidRDefault="003754FE" w:rsidP="003754FE">
      <w:pPr>
        <w:pStyle w:val="TextoNormal"/>
      </w:pPr>
    </w:p>
    <w:p w14:paraId="1FDAACA7" w14:textId="77777777" w:rsidR="003754FE" w:rsidRDefault="003754FE" w:rsidP="003754FE">
      <w:pPr>
        <w:pStyle w:val="TextoNormal"/>
      </w:pPr>
      <w:r>
        <w:t>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14:paraId="5BB09CDA" w14:textId="77777777" w:rsidR="003754FE" w:rsidRDefault="003754FE" w:rsidP="003754FE">
      <w:pPr>
        <w:pStyle w:val="TextoNormal"/>
      </w:pPr>
    </w:p>
    <w:p w14:paraId="51EC4240" w14:textId="77777777" w:rsidR="003754FE" w:rsidRDefault="003754FE" w:rsidP="003754FE">
      <w:pPr>
        <w:pStyle w:val="TextoNormal"/>
      </w:pPr>
      <w:r>
        <w:t>En la tramitación de sendos expedientes sobre estas ayudas, el interventor delegado de la Consejería de Empleo y Desarrollo Tecnológico formuló reparos en el informe de fiscalización, que, si bien no llegaron a impedir su concesión, la dificultaron y retrasaron.</w:t>
      </w:r>
    </w:p>
    <w:p w14:paraId="43F51463" w14:textId="77777777" w:rsidR="003754FE" w:rsidRDefault="003754FE" w:rsidP="003754FE">
      <w:pPr>
        <w:pStyle w:val="TextoNormal"/>
      </w:pPr>
    </w:p>
    <w:p w14:paraId="6300E69F" w14:textId="77777777" w:rsidR="003754FE" w:rsidRDefault="003754FE" w:rsidP="003754FE">
      <w:pPr>
        <w:pStyle w:val="TextoNormal"/>
      </w:pPr>
      <w:r>
        <w:t>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14:paraId="6BFFEE13" w14:textId="77777777" w:rsidR="003754FE" w:rsidRDefault="003754FE" w:rsidP="003754FE">
      <w:pPr>
        <w:pStyle w:val="TextoNormal"/>
      </w:pPr>
    </w:p>
    <w:p w14:paraId="37F7F884" w14:textId="77777777" w:rsidR="003754FE" w:rsidRDefault="003754FE" w:rsidP="003754FE">
      <w:pPr>
        <w:pStyle w:val="TextoNormal"/>
      </w:pPr>
      <w:r>
        <w:t>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14:paraId="59A9F2EF" w14:textId="77777777" w:rsidR="003754FE" w:rsidRDefault="003754FE" w:rsidP="003754FE">
      <w:pPr>
        <w:pStyle w:val="TextoNormal"/>
      </w:pPr>
    </w:p>
    <w:p w14:paraId="587B1C9A" w14:textId="77777777" w:rsidR="003754FE" w:rsidRDefault="003754FE" w:rsidP="003754FE">
      <w:pPr>
        <w:pStyle w:val="TextoNormal"/>
      </w:pPr>
      <w:r>
        <w:t xml:space="preserve">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w:t>
      </w:r>
      <w:r>
        <w:lastRenderedPageBreak/>
        <w:t>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14:paraId="0D1421B0" w14:textId="77777777" w:rsidR="003754FE" w:rsidRDefault="003754FE" w:rsidP="003754FE">
      <w:pPr>
        <w:pStyle w:val="TextoNormal"/>
      </w:pPr>
    </w:p>
    <w:p w14:paraId="1B17B330" w14:textId="77777777" w:rsidR="003754FE" w:rsidRDefault="003754FE" w:rsidP="003754FE">
      <w:pPr>
        <w:pStyle w:val="TextoNormal"/>
      </w:pPr>
      <w:r>
        <w:t>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(DGTSS),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14:paraId="36FE81F0" w14:textId="77777777" w:rsidR="003754FE" w:rsidRDefault="003754FE" w:rsidP="003754FE">
      <w:pPr>
        <w:pStyle w:val="TextoNormal"/>
      </w:pPr>
    </w:p>
    <w:p w14:paraId="60E2AED3" w14:textId="77777777" w:rsidR="003754FE" w:rsidRDefault="003754FE" w:rsidP="003754FE">
      <w:pPr>
        <w:pStyle w:val="TextoNormal"/>
      </w:pPr>
      <w:r>
        <w:t>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14:paraId="530663C1" w14:textId="77777777" w:rsidR="003754FE" w:rsidRDefault="003754FE" w:rsidP="003754FE">
      <w:pPr>
        <w:pStyle w:val="TextoNormal"/>
      </w:pPr>
    </w:p>
    <w:p w14:paraId="40B24D95" w14:textId="77777777" w:rsidR="003754FE" w:rsidRDefault="003754FE" w:rsidP="003754FE">
      <w:pPr>
        <w:pStyle w:val="TextoNormal"/>
      </w:pPr>
      <w:r>
        <w:t>Tras la firma del convenio marco, el consejo rector del IFA debía de intervenir en la materialización del pago de las ayudas, aprobando, en su caso, los pagos derivados de la firma de cada convenio particular de importe superior a 450.000 €. Las ayudas que superasen la cuantía de 1 200 000 € debían ser autorizadas por el Consejo de Gobierno y publicadas en el “Boletín Oficial de la Junta de Andalucía”.</w:t>
      </w:r>
    </w:p>
    <w:p w14:paraId="11A707F5" w14:textId="77777777" w:rsidR="003754FE" w:rsidRDefault="003754FE" w:rsidP="003754FE">
      <w:pPr>
        <w:pStyle w:val="TextoNormal"/>
      </w:pPr>
    </w:p>
    <w:p w14:paraId="78F9D8A0" w14:textId="77777777" w:rsidR="003754FE" w:rsidRDefault="003754FE" w:rsidP="003754FE">
      <w:pPr>
        <w:pStyle w:val="TextoNormal"/>
      </w:pPr>
      <w:r>
        <w:t>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pasó a denominarse Agencia de Innovación y Desarrollo de Andalucía (IDEA), adscrita a la Consejería de Innovación, Ciencia y Empresa— se destinaban a pagar lo ordenado por la consejería conforme a lo previsto en el Convenio Marco.</w:t>
      </w:r>
    </w:p>
    <w:p w14:paraId="0A0817B7" w14:textId="77777777" w:rsidR="003754FE" w:rsidRDefault="003754FE" w:rsidP="003754FE">
      <w:pPr>
        <w:pStyle w:val="TextoNormal"/>
      </w:pPr>
    </w:p>
    <w:p w14:paraId="793E837D" w14:textId="77777777" w:rsidR="003754FE" w:rsidRDefault="003754FE" w:rsidP="003754FE">
      <w:pPr>
        <w:pStyle w:val="TextoNormal"/>
      </w:pPr>
      <w:r>
        <w:t>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193-196):</w:t>
      </w:r>
    </w:p>
    <w:p w14:paraId="41A37DEC" w14:textId="77777777" w:rsidR="003754FE" w:rsidRDefault="003754FE" w:rsidP="003754FE">
      <w:pPr>
        <w:pStyle w:val="TextoNormal"/>
      </w:pPr>
    </w:p>
    <w:p w14:paraId="1871766B" w14:textId="77777777" w:rsidR="003754FE" w:rsidRDefault="003754FE" w:rsidP="003754FE">
      <w:pPr>
        <w:pStyle w:val="TextoNormal"/>
      </w:pPr>
      <w:r>
        <w:t>“9. Conclusiones del análisis de la documentación anexa al proyecto de presupuesto anual de la Junta de Andalucía:</w:t>
      </w:r>
    </w:p>
    <w:p w14:paraId="3C1B46A9" w14:textId="77777777" w:rsidR="003754FE" w:rsidRDefault="003754FE" w:rsidP="003754FE">
      <w:pPr>
        <w:pStyle w:val="TextoNormal"/>
      </w:pPr>
    </w:p>
    <w:p w14:paraId="32B127D6" w14:textId="77777777" w:rsidR="003754FE" w:rsidRDefault="003754FE" w:rsidP="003754FE">
      <w:pPr>
        <w:pStyle w:val="TextoNormal"/>
      </w:pPr>
      <w:r>
        <w:t>A) La descripción de los objetivos y actividades contenidos en las fichas del programa 31L, son, como hemos visto, del siguiente tenor:</w:t>
      </w:r>
    </w:p>
    <w:p w14:paraId="5652D720" w14:textId="77777777" w:rsidR="003754FE" w:rsidRDefault="003754FE" w:rsidP="003754FE">
      <w:pPr>
        <w:pStyle w:val="TextoNormal"/>
      </w:pPr>
    </w:p>
    <w:p w14:paraId="6A71C861" w14:textId="77777777" w:rsidR="003754FE" w:rsidRDefault="003754FE" w:rsidP="003754FE">
      <w:pPr>
        <w:pStyle w:val="TextoNormal"/>
      </w:pPr>
      <w:r>
        <w:t>• ‘Transferencias al IFA’.</w:t>
      </w:r>
    </w:p>
    <w:p w14:paraId="545BE5C7" w14:textId="77777777" w:rsidR="003754FE" w:rsidRDefault="003754FE" w:rsidP="003754FE">
      <w:pPr>
        <w:pStyle w:val="TextoNormal"/>
      </w:pPr>
    </w:p>
    <w:p w14:paraId="3E243518" w14:textId="77777777" w:rsidR="003754FE" w:rsidRDefault="003754FE" w:rsidP="003754FE">
      <w:pPr>
        <w:pStyle w:val="TextoNormal"/>
      </w:pPr>
      <w:r>
        <w:t>• ‘Transferencias al AIDA’.</w:t>
      </w:r>
    </w:p>
    <w:p w14:paraId="6FE71A04" w14:textId="77777777" w:rsidR="003754FE" w:rsidRDefault="003754FE" w:rsidP="003754FE">
      <w:pPr>
        <w:pStyle w:val="TextoNormal"/>
      </w:pPr>
    </w:p>
    <w:p w14:paraId="1A6F1DF8" w14:textId="77777777" w:rsidR="003754FE" w:rsidRDefault="003754FE" w:rsidP="003754FE">
      <w:pPr>
        <w:pStyle w:val="TextoNormal"/>
      </w:pPr>
      <w:r>
        <w:t>• ‘Mantenimiento empleo y tejido productivo andaluz’.</w:t>
      </w:r>
    </w:p>
    <w:p w14:paraId="50447A3E" w14:textId="77777777" w:rsidR="003754FE" w:rsidRDefault="003754FE" w:rsidP="003754FE">
      <w:pPr>
        <w:pStyle w:val="TextoNormal"/>
      </w:pPr>
    </w:p>
    <w:p w14:paraId="58DFF697" w14:textId="77777777" w:rsidR="003754FE" w:rsidRDefault="003754FE" w:rsidP="003754FE">
      <w:pPr>
        <w:pStyle w:val="TextoNormal"/>
      </w:pPr>
      <w:r>
        <w:t>• ‘Gestión de subvenciones’.</w:t>
      </w:r>
    </w:p>
    <w:p w14:paraId="65E1F33B" w14:textId="77777777" w:rsidR="003754FE" w:rsidRDefault="003754FE" w:rsidP="003754FE">
      <w:pPr>
        <w:pStyle w:val="TextoNormal"/>
      </w:pPr>
    </w:p>
    <w:p w14:paraId="48690BF1" w14:textId="77777777" w:rsidR="003754FE" w:rsidRDefault="003754FE" w:rsidP="003754FE">
      <w:pPr>
        <w:pStyle w:val="TextoNormal"/>
      </w:pPr>
      <w:r>
        <w:t>• ‘Ayudas prejubilaciones y expedientes de regulación de empleo’.</w:t>
      </w:r>
    </w:p>
    <w:p w14:paraId="5FA08F8C" w14:textId="77777777" w:rsidR="003754FE" w:rsidRDefault="003754FE" w:rsidP="003754FE">
      <w:pPr>
        <w:pStyle w:val="TextoNormal"/>
      </w:pPr>
    </w:p>
    <w:p w14:paraId="4D9823A0" w14:textId="77777777" w:rsidR="003754FE" w:rsidRDefault="003754FE" w:rsidP="003754FE">
      <w:pPr>
        <w:pStyle w:val="TextoNormal"/>
      </w:pPr>
      <w:r>
        <w:t>• ‘Suscripción de convenio’.</w:t>
      </w:r>
    </w:p>
    <w:p w14:paraId="4B7F4845" w14:textId="77777777" w:rsidR="003754FE" w:rsidRDefault="003754FE" w:rsidP="003754FE">
      <w:pPr>
        <w:pStyle w:val="TextoNormal"/>
      </w:pPr>
    </w:p>
    <w:p w14:paraId="1E1C919A" w14:textId="77777777" w:rsidR="003754FE" w:rsidRDefault="003754FE" w:rsidP="003754FE">
      <w:pPr>
        <w:pStyle w:val="TextoNormal"/>
      </w:pPr>
      <w:r>
        <w:t>B) Por lo que se refiere a las memorias de los informes económico financieros, en la descripción de las actividades y objetivos contenidos en las mismas, son, como hemos visto igualmente, del siguiente tenor:</w:t>
      </w:r>
    </w:p>
    <w:p w14:paraId="31018654" w14:textId="77777777" w:rsidR="003754FE" w:rsidRDefault="003754FE" w:rsidP="003754FE">
      <w:pPr>
        <w:pStyle w:val="TextoNormal"/>
      </w:pPr>
    </w:p>
    <w:p w14:paraId="4F126F7A" w14:textId="77777777" w:rsidR="003754FE" w:rsidRDefault="003754FE" w:rsidP="003754FE">
      <w:pPr>
        <w:pStyle w:val="TextoNormal"/>
      </w:pPr>
      <w:r>
        <w:t>• Potenciar la interlocución con los agentes sociales y económicos.</w:t>
      </w:r>
    </w:p>
    <w:p w14:paraId="1A8C2D05" w14:textId="77777777" w:rsidR="003754FE" w:rsidRDefault="003754FE" w:rsidP="003754FE">
      <w:pPr>
        <w:pStyle w:val="TextoNormal"/>
      </w:pPr>
    </w:p>
    <w:p w14:paraId="31673C92" w14:textId="77777777" w:rsidR="003754FE" w:rsidRDefault="003754FE" w:rsidP="003754FE">
      <w:pPr>
        <w:pStyle w:val="TextoNormal"/>
      </w:pPr>
      <w:r>
        <w:t>• Mantener las políticas de ayudas a prejubilaciones en empresas con dificultades.</w:t>
      </w:r>
    </w:p>
    <w:p w14:paraId="635ABC10" w14:textId="77777777" w:rsidR="003754FE" w:rsidRDefault="003754FE" w:rsidP="003754FE">
      <w:pPr>
        <w:pStyle w:val="TextoNormal"/>
      </w:pPr>
    </w:p>
    <w:p w14:paraId="0B83AA1C" w14:textId="77777777" w:rsidR="003754FE" w:rsidRDefault="003754FE" w:rsidP="003754FE">
      <w:pPr>
        <w:pStyle w:val="TextoNormal"/>
      </w:pPr>
      <w:r>
        <w:t>•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0706DE88" w14:textId="77777777" w:rsidR="003754FE" w:rsidRDefault="003754FE" w:rsidP="003754FE">
      <w:pPr>
        <w:pStyle w:val="TextoNormal"/>
      </w:pPr>
    </w:p>
    <w:p w14:paraId="190D6F69" w14:textId="77777777" w:rsidR="003754FE" w:rsidRDefault="003754FE" w:rsidP="003754FE">
      <w:pPr>
        <w:pStyle w:val="TextoNormal"/>
      </w:pPr>
      <w:r>
        <w:t>• Así mismo y en una cuantía importante instrumenta la materialización de ayudas a empresas con especiales dificultades de mantenimiento del empleo, prejubilaciones y viabilidad económica.</w:t>
      </w:r>
    </w:p>
    <w:p w14:paraId="18AAEECF" w14:textId="77777777" w:rsidR="003754FE" w:rsidRDefault="003754FE" w:rsidP="003754FE">
      <w:pPr>
        <w:pStyle w:val="TextoNormal"/>
      </w:pPr>
    </w:p>
    <w:p w14:paraId="736C2B06" w14:textId="77777777" w:rsidR="003754FE" w:rsidRDefault="003754FE" w:rsidP="003754FE">
      <w:pPr>
        <w:pStyle w:val="TextoNormal"/>
      </w:pPr>
      <w:r>
        <w:t>•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0D58309D" w14:textId="77777777" w:rsidR="003754FE" w:rsidRDefault="003754FE" w:rsidP="003754FE">
      <w:pPr>
        <w:pStyle w:val="TextoNormal"/>
      </w:pPr>
    </w:p>
    <w:p w14:paraId="749E158F" w14:textId="77777777" w:rsidR="003754FE" w:rsidRDefault="003754FE" w:rsidP="003754FE">
      <w:pPr>
        <w:pStyle w:val="TextoNormal"/>
      </w:pPr>
      <w:r>
        <w:t>•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14:paraId="04DB4DA9" w14:textId="77777777" w:rsidR="003754FE" w:rsidRDefault="003754FE" w:rsidP="003754FE">
      <w:pPr>
        <w:pStyle w:val="TextoNormal"/>
      </w:pPr>
    </w:p>
    <w:p w14:paraId="759D5E2B" w14:textId="77777777" w:rsidR="003754FE" w:rsidRDefault="003754FE" w:rsidP="003754FE">
      <w:pPr>
        <w:pStyle w:val="TextoNormal"/>
      </w:pPr>
      <w:r>
        <w:t>• Esta dirección general instrumenta la materialización de las ayudas a través de un convenio con el IFA y de su dotación anual específica de contribución a pólizas de prejubilaciones.</w:t>
      </w:r>
    </w:p>
    <w:p w14:paraId="7DFCDFB4" w14:textId="77777777" w:rsidR="003754FE" w:rsidRDefault="003754FE" w:rsidP="003754FE">
      <w:pPr>
        <w:pStyle w:val="TextoNormal"/>
      </w:pPr>
    </w:p>
    <w:p w14:paraId="625D611A" w14:textId="77777777" w:rsidR="003754FE" w:rsidRDefault="003754FE" w:rsidP="003754FE">
      <w:pPr>
        <w:pStyle w:val="TextoNormal"/>
      </w:pPr>
      <w:r>
        <w:t>• El centro directivo que lo ejecuta es la Dirección General de Trabajo y Seguridad Social.</w:t>
      </w:r>
    </w:p>
    <w:p w14:paraId="7B43C259" w14:textId="77777777" w:rsidR="003754FE" w:rsidRDefault="003754FE" w:rsidP="003754FE">
      <w:pPr>
        <w:pStyle w:val="TextoNormal"/>
      </w:pPr>
    </w:p>
    <w:p w14:paraId="3442D776" w14:textId="77777777" w:rsidR="003754FE" w:rsidRDefault="003754FE" w:rsidP="003754FE">
      <w:pPr>
        <w:pStyle w:val="TextoNormal"/>
      </w:pPr>
      <w:r>
        <w:t>• La previsión es para atender compromisos existentes y no se prevén fondos para nuevas, en su caso, contingencias.</w:t>
      </w:r>
    </w:p>
    <w:p w14:paraId="4626D9A0" w14:textId="77777777" w:rsidR="003754FE" w:rsidRDefault="003754FE" w:rsidP="003754FE">
      <w:pPr>
        <w:pStyle w:val="TextoNormal"/>
      </w:pPr>
    </w:p>
    <w:p w14:paraId="1A2F422C" w14:textId="77777777" w:rsidR="003754FE" w:rsidRDefault="003754FE" w:rsidP="003754FE">
      <w:pPr>
        <w:pStyle w:val="TextoNormal"/>
      </w:pPr>
      <w:r>
        <w:t>• Mantener las políticas de ayudas a prejubilaciones en empresas con dificultades, a través de subvenciones finalistas.</w:t>
      </w:r>
    </w:p>
    <w:p w14:paraId="0292A974" w14:textId="77777777" w:rsidR="003754FE" w:rsidRDefault="003754FE" w:rsidP="003754FE">
      <w:pPr>
        <w:pStyle w:val="TextoNormal"/>
      </w:pPr>
    </w:p>
    <w:p w14:paraId="0D2E616E" w14:textId="77777777" w:rsidR="003754FE" w:rsidRDefault="003754FE" w:rsidP="003754FE">
      <w:pPr>
        <w:pStyle w:val="TextoNormal"/>
      </w:pPr>
      <w:r>
        <w:t>• Realización de transferencias al Instituto de Fomento de Andalucía en aplicación de concierto de ayudas a empresas en crisis para el mantenimiento del empleo y tejido productivo andaluz.</w:t>
      </w:r>
    </w:p>
    <w:p w14:paraId="3F235D16" w14:textId="77777777" w:rsidR="003754FE" w:rsidRDefault="003754FE" w:rsidP="003754FE">
      <w:pPr>
        <w:pStyle w:val="TextoNormal"/>
      </w:pPr>
    </w:p>
    <w:p w14:paraId="64828F3E" w14:textId="77777777" w:rsidR="003754FE" w:rsidRDefault="003754FE" w:rsidP="003754FE">
      <w:pPr>
        <w:pStyle w:val="TextoNormal"/>
      </w:pPr>
      <w:r>
        <w:t>• Tramitación de transferencias a empresas mediante ayudas a prejubilaciones mediante subvención de la cuota de seguridad social.</w:t>
      </w:r>
    </w:p>
    <w:p w14:paraId="3CE9018F" w14:textId="77777777" w:rsidR="003754FE" w:rsidRDefault="003754FE" w:rsidP="003754FE">
      <w:pPr>
        <w:pStyle w:val="TextoNormal"/>
      </w:pPr>
    </w:p>
    <w:p w14:paraId="77479D27" w14:textId="77777777" w:rsidR="003754FE" w:rsidRDefault="003754FE" w:rsidP="003754FE">
      <w:pPr>
        <w:pStyle w:val="TextoNormal"/>
      </w:pPr>
      <w:r>
        <w:t>• El programa presupuestario 31L, lo ejecuta la Dirección General de Trabajo y Seguridad Social, centro directivo que tiene atribuidas las competencias que corresponden a la consejería en materia de relaciones laborales.</w:t>
      </w:r>
    </w:p>
    <w:p w14:paraId="65CDAF31" w14:textId="77777777" w:rsidR="003754FE" w:rsidRDefault="003754FE" w:rsidP="003754FE">
      <w:pPr>
        <w:pStyle w:val="TextoNormal"/>
      </w:pPr>
    </w:p>
    <w:p w14:paraId="604371D1" w14:textId="77777777" w:rsidR="003754FE" w:rsidRDefault="003754FE" w:rsidP="003754FE">
      <w:pPr>
        <w:pStyle w:val="TextoNormal"/>
      </w:pPr>
      <w:r>
        <w:t>• Atender a las necesidades públicas de mantenimiento del empleo y del tejido productivo andaluz, a través de los acuerdos con la Agencia de Innovación y Desarrollo de Andalucía para la subvención y ayuda de sectores y empresas con dificultades financieras.</w:t>
      </w:r>
    </w:p>
    <w:p w14:paraId="38A1F5BC" w14:textId="77777777" w:rsidR="003754FE" w:rsidRDefault="003754FE" w:rsidP="003754FE">
      <w:pPr>
        <w:pStyle w:val="TextoNormal"/>
      </w:pPr>
    </w:p>
    <w:p w14:paraId="17E80554" w14:textId="77777777" w:rsidR="003754FE" w:rsidRDefault="003754FE" w:rsidP="003754FE">
      <w:pPr>
        <w:pStyle w:val="TextoNormal"/>
      </w:pPr>
      <w:r>
        <w:t>• Esta dirección general instrumenta la materialización de las ayudas a través de un convenio con la Agencia de Innovación y Desarrollo de Andalucía y de su dotación anual específica de contribución a pólizas de prejubilaciones.</w:t>
      </w:r>
    </w:p>
    <w:p w14:paraId="00ECEA40" w14:textId="77777777" w:rsidR="003754FE" w:rsidRDefault="003754FE" w:rsidP="003754FE">
      <w:pPr>
        <w:pStyle w:val="TextoNormal"/>
      </w:pPr>
    </w:p>
    <w:p w14:paraId="5816AE3D" w14:textId="77777777" w:rsidR="003754FE" w:rsidRDefault="003754FE" w:rsidP="003754FE">
      <w:pPr>
        <w:pStyle w:val="TextoNormal"/>
      </w:pPr>
      <w:r>
        <w:t>• Continuar la línea de colaboración con IDEA en aplicación del concierto de ayudas para el mantenimiento del empleo y tejido productivo andaluz en vigor desde el año 2001.</w:t>
      </w:r>
    </w:p>
    <w:p w14:paraId="744144C9" w14:textId="77777777" w:rsidR="003754FE" w:rsidRDefault="003754FE" w:rsidP="003754FE">
      <w:pPr>
        <w:pStyle w:val="TextoNormal"/>
      </w:pPr>
    </w:p>
    <w:p w14:paraId="7E1C4D87" w14:textId="77777777" w:rsidR="003754FE" w:rsidRDefault="003754FE" w:rsidP="003754FE">
      <w:pPr>
        <w:pStyle w:val="TextoNormal"/>
      </w:pPr>
      <w:r>
        <w:t>•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14:paraId="3EF99DB5" w14:textId="77777777" w:rsidR="003754FE" w:rsidRDefault="003754FE" w:rsidP="003754FE">
      <w:pPr>
        <w:pStyle w:val="TextoNormal"/>
      </w:pPr>
    </w:p>
    <w:p w14:paraId="50F4B815" w14:textId="77777777" w:rsidR="003754FE" w:rsidRDefault="003754FE" w:rsidP="003754FE">
      <w:pPr>
        <w:pStyle w:val="TextoNormal"/>
      </w:pPr>
      <w:r>
        <w:lastRenderedPageBreak/>
        <w:t>• Mantenimiento del empleo y tejido productivo andaluz: cobertura de las necesidades comprometidas asumidas por expedientes de regulación de empleo, ayuda prejubilaciones, proyectos de viabilidad de pequeñas, medianas y grandes empresas e impulso a la consolidación económica en aquellas empresas con dificultades de mantenimiento del empleo”.</w:t>
      </w:r>
    </w:p>
    <w:p w14:paraId="5282F6C0" w14:textId="77777777" w:rsidR="003754FE" w:rsidRDefault="003754FE" w:rsidP="003754FE">
      <w:pPr>
        <w:pStyle w:val="TextoNormal"/>
      </w:pPr>
    </w:p>
    <w:p w14:paraId="6F004993" w14:textId="77777777" w:rsidR="003754FE" w:rsidRDefault="003754FE" w:rsidP="003754FE">
      <w:pPr>
        <w:pStyle w:val="TextoNormal"/>
      </w:pPr>
      <w:r>
        <w:t>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14:paraId="7C623AEF" w14:textId="77777777" w:rsidR="003754FE" w:rsidRDefault="003754FE" w:rsidP="003754FE">
      <w:pPr>
        <w:pStyle w:val="TextoNormal"/>
      </w:pPr>
    </w:p>
    <w:p w14:paraId="11FE8750" w14:textId="77777777" w:rsidR="003754FE" w:rsidRDefault="003754FE" w:rsidP="003754FE">
      <w:pPr>
        <w:pStyle w:val="TextoNormal"/>
      </w:pPr>
      <w:r>
        <w:t>El IFA/IDEA, como consecuencia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14:paraId="626B9B67" w14:textId="77777777" w:rsidR="003754FE" w:rsidRDefault="003754FE" w:rsidP="003754FE">
      <w:pPr>
        <w:pStyle w:val="TextoNormal"/>
      </w:pPr>
    </w:p>
    <w:p w14:paraId="0D9B7832" w14:textId="77777777" w:rsidR="003754FE" w:rsidRDefault="003754FE" w:rsidP="003754FE">
      <w:pPr>
        <w:pStyle w:val="TextoNormal"/>
      </w:pPr>
      <w:r>
        <w:t>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14:paraId="6FC0A65E" w14:textId="77777777" w:rsidR="003754FE" w:rsidRDefault="003754FE" w:rsidP="003754FE">
      <w:pPr>
        <w:pStyle w:val="TextoNormal"/>
      </w:pPr>
    </w:p>
    <w:p w14:paraId="5E340687" w14:textId="77777777" w:rsidR="003754FE" w:rsidRDefault="003754FE" w:rsidP="003754FE">
      <w:pPr>
        <w:pStyle w:val="TextoNormal"/>
      </w:pPr>
      <w:r>
        <w:t>En el ejercicio 2009 se dejaron de suscribir convenios particulares entre la Dirección General de Trabajo y Seguridad Social y el IDEA, dictándose por el director general de Trabajo resoluciones concediendo las ayudas y ordenando su pago al director general de IDEA.</w:t>
      </w:r>
    </w:p>
    <w:p w14:paraId="3AD8CE19" w14:textId="77777777" w:rsidR="003754FE" w:rsidRDefault="003754FE" w:rsidP="003754FE">
      <w:pPr>
        <w:pStyle w:val="TextoNormal"/>
      </w:pPr>
    </w:p>
    <w:p w14:paraId="5C02E02B" w14:textId="77777777" w:rsidR="003754FE" w:rsidRDefault="003754FE" w:rsidP="003754FE">
      <w:pPr>
        <w:pStyle w:val="TextoNormal"/>
      </w:pPr>
      <w:r>
        <w:t>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14:paraId="4FE6D15E" w14:textId="77777777" w:rsidR="003754FE" w:rsidRDefault="003754FE" w:rsidP="003754FE">
      <w:pPr>
        <w:pStyle w:val="TextoNormal"/>
      </w:pPr>
    </w:p>
    <w:p w14:paraId="54407547" w14:textId="77777777" w:rsidR="003754FE" w:rsidRDefault="003754FE" w:rsidP="003754FE">
      <w:pPr>
        <w:pStyle w:val="TextoNormal"/>
      </w:pPr>
      <w:r>
        <w:t xml:space="preserve">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y de 16 </w:t>
      </w:r>
      <w:r>
        <w:lastRenderedPageBreak/>
        <w:t>de marzo de 2012, hasta su derogación por el Decreto ley 4/2012, de 16 de octubre, de la Junta de Andalucía, de medidas extraordinarias y urgentes en materia de protección sociolaboral a extrabajadores y extrabajadoras andaluces afectados por procesos de reestructuración de empresas y sectores en crisis.</w:t>
      </w:r>
    </w:p>
    <w:p w14:paraId="79E75F9C" w14:textId="77777777" w:rsidR="003754FE" w:rsidRDefault="003754FE" w:rsidP="003754FE">
      <w:pPr>
        <w:pStyle w:val="TextoNormal"/>
      </w:pPr>
    </w:p>
    <w:p w14:paraId="730F7025" w14:textId="77777777" w:rsidR="003754FE" w:rsidRDefault="003754FE" w:rsidP="003754FE">
      <w:pPr>
        <w:pStyle w:val="TextoNormal"/>
      </w:pPr>
      <w:r>
        <w:t>En el citado decreto-ley se estableció que a estas ayudas sociolaborales no les eran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14:paraId="7A1FEB0E" w14:textId="77777777" w:rsidR="003754FE" w:rsidRDefault="003754FE" w:rsidP="003754FE">
      <w:pPr>
        <w:pStyle w:val="TextoNormal"/>
      </w:pPr>
    </w:p>
    <w:p w14:paraId="3FA40F9B" w14:textId="77777777" w:rsidR="003754FE" w:rsidRDefault="003754FE" w:rsidP="003754FE">
      <w:pPr>
        <w:pStyle w:val="TextoNormal"/>
      </w:pPr>
      <w:r>
        <w:t>e) En resumen, el sistema de otorgamiento de las ayudas sociolaborales y a empresas en crisis hasta el año 2010 fue el siguiente:</w:t>
      </w:r>
    </w:p>
    <w:p w14:paraId="16C1343E" w14:textId="77777777" w:rsidR="003754FE" w:rsidRDefault="003754FE" w:rsidP="003754FE">
      <w:pPr>
        <w:pStyle w:val="TextoNormal"/>
      </w:pPr>
    </w:p>
    <w:p w14:paraId="7D1446F9" w14:textId="77777777" w:rsidR="003754FE" w:rsidRDefault="003754FE" w:rsidP="003754FE">
      <w:pPr>
        <w:pStyle w:val="TextoNormal"/>
      </w:pPr>
      <w:r>
        <w:t>(i) En la década de los años 1990 estas ayudas se tramitaron como subvenciones excepcionales, siendo concedidas y pagadas por la Consejería de Empleo y Desarrollo Tecnológico.</w:t>
      </w:r>
    </w:p>
    <w:p w14:paraId="57E0EE01" w14:textId="77777777" w:rsidR="003754FE" w:rsidRDefault="003754FE" w:rsidP="003754FE">
      <w:pPr>
        <w:pStyle w:val="TextoNormal"/>
      </w:pPr>
    </w:p>
    <w:p w14:paraId="273F47E5" w14:textId="77777777" w:rsidR="003754FE" w:rsidRDefault="003754FE" w:rsidP="003754FE">
      <w:pPr>
        <w:pStyle w:val="TextoNormal"/>
      </w:pPr>
      <w:r>
        <w:t>(ii)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14:paraId="779EDCC6" w14:textId="77777777" w:rsidR="003754FE" w:rsidRDefault="003754FE" w:rsidP="003754FE">
      <w:pPr>
        <w:pStyle w:val="TextoNormal"/>
      </w:pPr>
    </w:p>
    <w:p w14:paraId="3F736867" w14:textId="77777777" w:rsidR="003754FE" w:rsidRDefault="003754FE" w:rsidP="003754FE">
      <w:pPr>
        <w:pStyle w:val="TextoNormal"/>
      </w:pPr>
      <w:r>
        <w:t xml:space="preserve">(iii) Al IFA/IDEA se le atribuyeron los fondos para el pago de las ayudas mediante transferencias de financiación. La utilización de estos créditos no estaba sometida a un control previo, sino a un control </w:t>
      </w:r>
      <w:r w:rsidRPr="003754FE">
        <w:rPr>
          <w:i/>
        </w:rPr>
        <w:t>ex post</w:t>
      </w:r>
      <w:r>
        <w:t>: el llamado “control financiero permanente”. Este control se limitaba a comprobar la legalidad del pago; examinar las cuentas anuales, y analizar críticamente los programas asignados al instituto.</w:t>
      </w:r>
    </w:p>
    <w:p w14:paraId="45DCB409" w14:textId="77777777" w:rsidR="003754FE" w:rsidRDefault="003754FE" w:rsidP="003754FE">
      <w:pPr>
        <w:pStyle w:val="TextoNormal"/>
      </w:pPr>
    </w:p>
    <w:p w14:paraId="385C0447" w14:textId="77777777" w:rsidR="003754FE" w:rsidRDefault="003754FE" w:rsidP="003754FE">
      <w:pPr>
        <w:pStyle w:val="TextoNormal"/>
      </w:pPr>
      <w:r>
        <w:t>(iv)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14:paraId="1A1E2926" w14:textId="77777777" w:rsidR="003754FE" w:rsidRDefault="003754FE" w:rsidP="003754FE">
      <w:pPr>
        <w:pStyle w:val="TextoNormal"/>
      </w:pPr>
    </w:p>
    <w:p w14:paraId="25D633A0" w14:textId="77777777" w:rsidR="003754FE" w:rsidRDefault="003754FE" w:rsidP="003754FE">
      <w:pPr>
        <w:pStyle w:val="TextoNormal"/>
      </w:pPr>
      <w:r>
        <w:t>El seguimiento del referido sistema de otorgamiento de las ayudas sociolaborales y a empresas en crisis hasta el año 2010 permitió, según las resoluciones impugnadas:</w:t>
      </w:r>
    </w:p>
    <w:p w14:paraId="52DF3CBE" w14:textId="77777777" w:rsidR="003754FE" w:rsidRDefault="003754FE" w:rsidP="003754FE">
      <w:pPr>
        <w:pStyle w:val="TextoNormal"/>
      </w:pPr>
    </w:p>
    <w:p w14:paraId="11E6C0F6" w14:textId="77777777" w:rsidR="003754FE" w:rsidRDefault="003754FE" w:rsidP="003754FE">
      <w:pPr>
        <w:pStyle w:val="TextoNormal"/>
      </w:pPr>
      <w:r>
        <w:t>(i)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14:paraId="0030AF04" w14:textId="77777777" w:rsidR="003754FE" w:rsidRDefault="003754FE" w:rsidP="003754FE">
      <w:pPr>
        <w:pStyle w:val="TextoNormal"/>
      </w:pPr>
    </w:p>
    <w:p w14:paraId="332E45E7" w14:textId="77777777" w:rsidR="003754FE" w:rsidRDefault="003754FE" w:rsidP="003754FE">
      <w:pPr>
        <w:pStyle w:val="TextoNormal"/>
      </w:pPr>
      <w:r>
        <w:t>(ii)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 y</w:t>
      </w:r>
    </w:p>
    <w:p w14:paraId="5A03EFE6" w14:textId="77777777" w:rsidR="003754FE" w:rsidRDefault="003754FE" w:rsidP="003754FE">
      <w:pPr>
        <w:pStyle w:val="TextoNormal"/>
      </w:pPr>
    </w:p>
    <w:p w14:paraId="67746182" w14:textId="77777777" w:rsidR="003754FE" w:rsidRDefault="003754FE" w:rsidP="003754FE">
      <w:pPr>
        <w:pStyle w:val="TextoNormal"/>
      </w:pPr>
      <w:r>
        <w:t>(iii) que se destinasen fondos del programa 31L a fines distintos y ajenos a los recogidos para este en los correspondientes presupuestos.</w:t>
      </w:r>
    </w:p>
    <w:p w14:paraId="491B7452" w14:textId="77777777" w:rsidR="003754FE" w:rsidRDefault="003754FE" w:rsidP="003754FE">
      <w:pPr>
        <w:pStyle w:val="TextoNormal"/>
      </w:pPr>
    </w:p>
    <w:p w14:paraId="0DB2D830" w14:textId="77777777" w:rsidR="003754FE" w:rsidRDefault="003754FE" w:rsidP="003754FE">
      <w:pPr>
        <w:pStyle w:val="TextoNormal"/>
      </w:pPr>
      <w:r>
        <w:t>2.2</w:t>
      </w:r>
      <w:r w:rsidRPr="003754FE">
        <w:rPr>
          <w:i/>
        </w:rPr>
        <w:t>. La “pieza específica” y las demás piezas del proceso “ER</w:t>
      </w:r>
      <w:r>
        <w:t>E”</w:t>
      </w:r>
    </w:p>
    <w:p w14:paraId="5B474A99" w14:textId="77777777" w:rsidR="003754FE" w:rsidRDefault="003754FE" w:rsidP="003754FE">
      <w:pPr>
        <w:pStyle w:val="TextoNormal"/>
      </w:pPr>
    </w:p>
    <w:p w14:paraId="4D6907B0" w14:textId="77777777" w:rsidR="003754FE" w:rsidRDefault="003754FE" w:rsidP="003754FE">
      <w:pPr>
        <w:pStyle w:val="TextoNormal"/>
      </w:pPr>
      <w:r>
        <w:t>La causa matriz de los “ERE” se desgajó en una primera pieza denominada “pieza específica” y, en lo que aquí interesa, en un número no inferior a otras 200 piezas que tienen por objeto las ayudas individuales concedidas a empresas o determinados grupos de empresas.</w:t>
      </w:r>
    </w:p>
    <w:p w14:paraId="5445A631" w14:textId="77777777" w:rsidR="003754FE" w:rsidRDefault="003754FE" w:rsidP="003754FE">
      <w:pPr>
        <w:pStyle w:val="TextoNormal"/>
      </w:pPr>
    </w:p>
    <w:p w14:paraId="29D85EB1" w14:textId="77777777" w:rsidR="003754FE" w:rsidRDefault="003754FE" w:rsidP="003754FE">
      <w:pPr>
        <w:pStyle w:val="TextoNormal"/>
      </w:pPr>
      <w:r>
        <w:t>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14:paraId="072AAFD2" w14:textId="77777777" w:rsidR="003754FE" w:rsidRDefault="003754FE" w:rsidP="003754FE">
      <w:pPr>
        <w:pStyle w:val="TextoNormal"/>
      </w:pPr>
    </w:p>
    <w:p w14:paraId="4DEB994C" w14:textId="77777777" w:rsidR="003754FE" w:rsidRDefault="003754FE" w:rsidP="003754FE">
      <w:pPr>
        <w:pStyle w:val="TextoNormal"/>
      </w:pPr>
      <w:r>
        <w:t>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3.4; págs. 122-133).</w:t>
      </w:r>
    </w:p>
    <w:p w14:paraId="4EFBEDB1" w14:textId="77777777" w:rsidR="003754FE" w:rsidRDefault="003754FE" w:rsidP="003754FE">
      <w:pPr>
        <w:pStyle w:val="TextoNormal"/>
      </w:pPr>
    </w:p>
    <w:p w14:paraId="28124CF9" w14:textId="77777777" w:rsidR="003754FE" w:rsidRDefault="003754FE" w:rsidP="003754FE">
      <w:pPr>
        <w:pStyle w:val="TextoNormal"/>
      </w:pPr>
      <w:r>
        <w:t>2.3</w:t>
      </w:r>
      <w:r w:rsidRPr="003754FE">
        <w:rPr>
          <w:i/>
        </w:rPr>
        <w:t>. Hechos enjuiciados en la “pieza específic</w:t>
      </w:r>
      <w:r>
        <w:t>a”</w:t>
      </w:r>
    </w:p>
    <w:p w14:paraId="17B44991" w14:textId="77777777" w:rsidR="003754FE" w:rsidRDefault="003754FE" w:rsidP="003754FE">
      <w:pPr>
        <w:pStyle w:val="TextoNormal"/>
      </w:pPr>
    </w:p>
    <w:p w14:paraId="1994C186" w14:textId="77777777" w:rsidR="003754FE" w:rsidRDefault="003754FE" w:rsidP="003754FE">
      <w:pPr>
        <w:pStyle w:val="TextoNormal"/>
      </w:pPr>
      <w:r>
        <w:t>Los hechos enjuiciados en la “pieza específica” se delimitan material y cronológicamente en el fundamento de Derecho 3.4 (págs. 135-137) de la sentencia del Tribunal Supremo en estos términos:</w:t>
      </w:r>
    </w:p>
    <w:p w14:paraId="3E88F7F3" w14:textId="77777777" w:rsidR="003754FE" w:rsidRDefault="003754FE" w:rsidP="003754FE">
      <w:pPr>
        <w:pStyle w:val="TextoNormal"/>
      </w:pPr>
    </w:p>
    <w:p w14:paraId="1CF32A65" w14:textId="77777777" w:rsidR="003754FE" w:rsidRDefault="003754FE" w:rsidP="003754FE">
      <w:pPr>
        <w:pStyle w:val="TextoNormal"/>
      </w:pPr>
      <w:r>
        <w:t>“(i) Temporalmente los hechos enjuiciados en esta causa son los acontecidos entre la elaboración de la primera modificación presupuestaria, cuya aprobación data del 18 de abril de 2000 y la aprobación de la última modificación presupuestaria que se produjo el 01 de diciembre de 2009, por lo que cualquier hecho ocurrido fuera de esos márgenes temporales no ha sido objeto de enjuiciamiento en este proceso.</w:t>
      </w:r>
    </w:p>
    <w:p w14:paraId="30B90F11" w14:textId="77777777" w:rsidR="003754FE" w:rsidRDefault="003754FE" w:rsidP="003754FE">
      <w:pPr>
        <w:pStyle w:val="TextoNormal"/>
      </w:pPr>
    </w:p>
    <w:p w14:paraId="46D971C9" w14:textId="77777777" w:rsidR="003754FE" w:rsidRDefault="003754FE" w:rsidP="003754FE">
      <w:pPr>
        <w:pStyle w:val="TextoNormal"/>
      </w:pPr>
      <w:r>
        <w:t>(ii) En relación con el delito de prevaricación las personas enjuiciadas y que han resultado condenadas lo han sido por adoptar las siguientes resoluciones:</w:t>
      </w:r>
    </w:p>
    <w:p w14:paraId="541F4AD1" w14:textId="77777777" w:rsidR="003754FE" w:rsidRDefault="003754FE" w:rsidP="003754FE">
      <w:pPr>
        <w:pStyle w:val="TextoNormal"/>
      </w:pPr>
    </w:p>
    <w:p w14:paraId="6135D443" w14:textId="77777777" w:rsidR="003754FE" w:rsidRDefault="003754FE" w:rsidP="003754FE">
      <w:pPr>
        <w:pStyle w:val="TextoNormal"/>
      </w:pPr>
      <w:r>
        <w:t>-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14:paraId="15D2F513" w14:textId="77777777" w:rsidR="003754FE" w:rsidRDefault="003754FE" w:rsidP="003754FE">
      <w:pPr>
        <w:pStyle w:val="TextoNormal"/>
      </w:pPr>
    </w:p>
    <w:p w14:paraId="41A780EE" w14:textId="77777777" w:rsidR="003754FE" w:rsidRDefault="003754FE" w:rsidP="003754FE">
      <w:pPr>
        <w:pStyle w:val="TextoNormal"/>
      </w:pPr>
      <w:r>
        <w:t>-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14:paraId="64A47788" w14:textId="77777777" w:rsidR="003754FE" w:rsidRDefault="003754FE" w:rsidP="003754FE">
      <w:pPr>
        <w:pStyle w:val="TextoNormal"/>
      </w:pPr>
    </w:p>
    <w:p w14:paraId="76097B0D" w14:textId="77777777" w:rsidR="003754FE" w:rsidRDefault="003754FE" w:rsidP="003754FE">
      <w:pPr>
        <w:pStyle w:val="TextoNormal"/>
      </w:pPr>
      <w:r>
        <w:t>-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14:paraId="165B3A6C" w14:textId="77777777" w:rsidR="003754FE" w:rsidRDefault="003754FE" w:rsidP="003754FE">
      <w:pPr>
        <w:pStyle w:val="TextoNormal"/>
      </w:pPr>
    </w:p>
    <w:p w14:paraId="358BBD7A" w14:textId="77777777" w:rsidR="003754FE" w:rsidRDefault="003754FE" w:rsidP="003754FE">
      <w:pPr>
        <w:pStyle w:val="TextoNormal"/>
      </w:pPr>
      <w:r>
        <w:t>-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14:paraId="4C24BBC6" w14:textId="77777777" w:rsidR="003754FE" w:rsidRDefault="003754FE" w:rsidP="003754FE">
      <w:pPr>
        <w:pStyle w:val="TextoNormal"/>
      </w:pPr>
    </w:p>
    <w:p w14:paraId="661F4875" w14:textId="77777777" w:rsidR="003754FE" w:rsidRDefault="003754FE" w:rsidP="003754FE">
      <w:pPr>
        <w:pStyle w:val="TextoNormal"/>
      </w:pPr>
      <w:r>
        <w:t>- Fraccionamiento de las cuantías de las ayudas a partir del 27 de mayo de 2003 en función de las cantidades asignadas a cada trabajador y no de las cantidades asignadas a las empresas, todo ello para sustraer su conocimiento del consejo rector del IFA.</w:t>
      </w:r>
    </w:p>
    <w:p w14:paraId="78D127D5" w14:textId="77777777" w:rsidR="003754FE" w:rsidRDefault="003754FE" w:rsidP="003754FE">
      <w:pPr>
        <w:pStyle w:val="TextoNormal"/>
      </w:pPr>
    </w:p>
    <w:p w14:paraId="11F5D95C" w14:textId="77777777" w:rsidR="003754FE" w:rsidRDefault="003754FE" w:rsidP="003754FE">
      <w:pPr>
        <w:pStyle w:val="TextoNormal"/>
      </w:pPr>
      <w:r>
        <w:t>-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14:paraId="685DE917" w14:textId="77777777" w:rsidR="003754FE" w:rsidRDefault="003754FE" w:rsidP="003754FE">
      <w:pPr>
        <w:pStyle w:val="TextoNormal"/>
      </w:pPr>
    </w:p>
    <w:p w14:paraId="7BE5DBDB" w14:textId="77777777" w:rsidR="003754FE" w:rsidRDefault="003754FE" w:rsidP="003754FE">
      <w:pPr>
        <w:pStyle w:val="TextoNormal"/>
      </w:pPr>
      <w:r>
        <w:t>- Concesión de las ayudas sociolaborales.</w:t>
      </w:r>
    </w:p>
    <w:p w14:paraId="24ACC53B" w14:textId="77777777" w:rsidR="003754FE" w:rsidRDefault="003754FE" w:rsidP="003754FE">
      <w:pPr>
        <w:pStyle w:val="TextoNormal"/>
      </w:pPr>
    </w:p>
    <w:p w14:paraId="2A80C517" w14:textId="77777777" w:rsidR="003754FE" w:rsidRDefault="003754FE" w:rsidP="003754FE">
      <w:pPr>
        <w:pStyle w:val="TextoNormal"/>
      </w:pPr>
      <w:r>
        <w:t>(iii) En relación con el delito de malversación de caudales públicos las personas enjuiciadas en este proceso y condenadas por este delito lo han sido bien por su participación directa en la disposición de fondos, bien por haber permitido esa disposición.</w:t>
      </w:r>
    </w:p>
    <w:p w14:paraId="42334E1E" w14:textId="77777777" w:rsidR="003754FE" w:rsidRDefault="003754FE" w:rsidP="003754FE">
      <w:pPr>
        <w:pStyle w:val="TextoNormal"/>
      </w:pPr>
    </w:p>
    <w:p w14:paraId="3B92667E" w14:textId="77777777" w:rsidR="003754FE" w:rsidRDefault="003754FE" w:rsidP="003754FE">
      <w:pPr>
        <w:pStyle w:val="TextoNormal"/>
      </w:pPr>
      <w:r>
        <w:t>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14:paraId="2043027F" w14:textId="77777777" w:rsidR="003754FE" w:rsidRDefault="003754FE" w:rsidP="003754FE">
      <w:pPr>
        <w:pStyle w:val="TextoNormal"/>
      </w:pPr>
    </w:p>
    <w:p w14:paraId="7A505C1C" w14:textId="77777777" w:rsidR="003754FE" w:rsidRDefault="003754FE" w:rsidP="003754FE">
      <w:pPr>
        <w:pStyle w:val="TextoNormal"/>
      </w:pPr>
      <w:r>
        <w:t>Entendemos que la condena por malversación incluye respecto de cada condenado a todas las disposiciones de fondos públicos realizadas durante el tiempo en que cada uno de ellos ejerció su cargo.</w:t>
      </w:r>
    </w:p>
    <w:p w14:paraId="7C0D3A2D" w14:textId="77777777" w:rsidR="003754FE" w:rsidRDefault="003754FE" w:rsidP="003754FE">
      <w:pPr>
        <w:pStyle w:val="TextoNormal"/>
      </w:pPr>
    </w:p>
    <w:p w14:paraId="6639D479" w14:textId="77777777" w:rsidR="003754FE" w:rsidRDefault="003754FE" w:rsidP="003754FE">
      <w:pPr>
        <w:pStyle w:val="TextoNormal"/>
      </w:pPr>
      <w:r>
        <w:t>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vigésimo 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14:paraId="30D9186D" w14:textId="77777777" w:rsidR="003754FE" w:rsidRDefault="003754FE" w:rsidP="003754FE">
      <w:pPr>
        <w:pStyle w:val="TextoNormal"/>
      </w:pPr>
    </w:p>
    <w:p w14:paraId="7895144F" w14:textId="77777777" w:rsidR="003754FE" w:rsidRDefault="003754FE" w:rsidP="003754FE">
      <w:pPr>
        <w:pStyle w:val="TextoNormal"/>
      </w:pPr>
      <w:r>
        <w:t>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14:paraId="4B4B675B" w14:textId="77777777" w:rsidR="003754FE" w:rsidRDefault="003754FE" w:rsidP="003754FE">
      <w:pPr>
        <w:pStyle w:val="TextoNormal"/>
      </w:pPr>
    </w:p>
    <w:p w14:paraId="4ACD8241" w14:textId="77777777" w:rsidR="003754FE" w:rsidRDefault="003754FE" w:rsidP="003754FE">
      <w:pPr>
        <w:pStyle w:val="TextoNormal"/>
      </w:pPr>
      <w:r>
        <w:t>Este último subapartado C) resulta del siguiente tenor:</w:t>
      </w:r>
    </w:p>
    <w:p w14:paraId="401A94EA" w14:textId="77777777" w:rsidR="003754FE" w:rsidRDefault="003754FE" w:rsidP="003754FE">
      <w:pPr>
        <w:pStyle w:val="TextoNormal"/>
      </w:pPr>
    </w:p>
    <w:p w14:paraId="790EC584" w14:textId="77777777" w:rsidR="003754FE" w:rsidRDefault="003754FE" w:rsidP="003754FE">
      <w:pPr>
        <w:pStyle w:val="TextoNormal"/>
      </w:pPr>
      <w:r>
        <w:t>“C) Los fondos del programa 31L se emplearon también en fines distintos y ajenos a los recogidos en las fichas presupuestarias del mismo, así podemos reseñar que se abonó:</w:t>
      </w:r>
    </w:p>
    <w:p w14:paraId="43C918DD" w14:textId="77777777" w:rsidR="003754FE" w:rsidRDefault="003754FE" w:rsidP="003754FE">
      <w:pPr>
        <w:pStyle w:val="TextoNormal"/>
      </w:pPr>
    </w:p>
    <w:p w14:paraId="209543FC" w14:textId="77777777" w:rsidR="003754FE" w:rsidRDefault="003754FE" w:rsidP="003754FE">
      <w:pPr>
        <w:pStyle w:val="TextoNormal"/>
      </w:pPr>
      <w:r>
        <w:t xml:space="preserve">• Facturas emitidas por las mercantiles Tapsa y Cicm, derivadas de varios contratos de campañas de comunicación sobre fomento de empleo y divulgación del [Servicio Andaluz </w:t>
      </w:r>
      <w:r>
        <w:lastRenderedPageBreak/>
        <w:t>de Empleo], por un total de 3 386 017,00 €, que fueron abonadas por el Instituto, en el periodo 15 de julio de 2003 a 2 de marzo de 2004.</w:t>
      </w:r>
    </w:p>
    <w:p w14:paraId="3E9E8EE3" w14:textId="77777777" w:rsidR="003754FE" w:rsidRDefault="003754FE" w:rsidP="003754FE">
      <w:pPr>
        <w:pStyle w:val="TextoNormal"/>
      </w:pPr>
    </w:p>
    <w:p w14:paraId="55D90598" w14:textId="77777777" w:rsidR="003754FE" w:rsidRDefault="003754FE" w:rsidP="003754FE">
      <w:pPr>
        <w:pStyle w:val="TextoNormal"/>
      </w:pPr>
      <w:r>
        <w:t>•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14:paraId="1F0D37D1" w14:textId="77777777" w:rsidR="003754FE" w:rsidRDefault="003754FE" w:rsidP="003754FE">
      <w:pPr>
        <w:pStyle w:val="TextoNormal"/>
      </w:pPr>
    </w:p>
    <w:p w14:paraId="042599FB" w14:textId="77777777" w:rsidR="003754FE" w:rsidRDefault="003754FE" w:rsidP="003754FE">
      <w:pPr>
        <w:pStyle w:val="TextoNormal"/>
      </w:pPr>
      <w:r>
        <w:t>•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w:t>
      </w:r>
      <w:r w:rsidRPr="003754FE">
        <w:rPr>
          <w:i/>
        </w:rPr>
        <w:t>s on li</w:t>
      </w:r>
      <w:r>
        <w:t>ne.</w:t>
      </w:r>
    </w:p>
    <w:p w14:paraId="1EF27421" w14:textId="77777777" w:rsidR="003754FE" w:rsidRDefault="003754FE" w:rsidP="003754FE">
      <w:pPr>
        <w:pStyle w:val="TextoNormal"/>
      </w:pPr>
    </w:p>
    <w:p w14:paraId="69049A0E" w14:textId="77777777" w:rsidR="003754FE" w:rsidRDefault="003754FE" w:rsidP="003754FE">
      <w:pPr>
        <w:pStyle w:val="TextoNormal"/>
      </w:pPr>
      <w:r>
        <w:t>•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14:paraId="6D1D4D1D" w14:textId="77777777" w:rsidR="003754FE" w:rsidRDefault="003754FE" w:rsidP="003754FE">
      <w:pPr>
        <w:pStyle w:val="TextoNormal"/>
      </w:pPr>
    </w:p>
    <w:p w14:paraId="442D3DA1" w14:textId="77777777" w:rsidR="003754FE" w:rsidRDefault="003754FE" w:rsidP="003754FE">
      <w:pPr>
        <w:pStyle w:val="TextoNormal"/>
      </w:pPr>
      <w:r>
        <w:t>•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14:paraId="6534FF0E" w14:textId="77777777" w:rsidR="003754FE" w:rsidRDefault="003754FE" w:rsidP="003754FE">
      <w:pPr>
        <w:pStyle w:val="TextoNormal"/>
      </w:pPr>
    </w:p>
    <w:p w14:paraId="02E69CAE" w14:textId="77777777" w:rsidR="003754FE" w:rsidRDefault="003754FE" w:rsidP="003754FE">
      <w:pPr>
        <w:pStyle w:val="TextoNormal"/>
      </w:pPr>
      <w:r>
        <w:t>•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14:paraId="2733AC39" w14:textId="77777777" w:rsidR="003754FE" w:rsidRDefault="003754FE" w:rsidP="003754FE">
      <w:pPr>
        <w:pStyle w:val="TextoNormal"/>
      </w:pPr>
    </w:p>
    <w:p w14:paraId="5F2DB976" w14:textId="77777777" w:rsidR="003754FE" w:rsidRDefault="003754FE" w:rsidP="003754FE">
      <w:pPr>
        <w:pStyle w:val="TextoNormal"/>
      </w:pPr>
      <w:r>
        <w:t>• En los ejercicios 2004, 2005, 2006, 2009 y 2010, se destinaron 1 192 000 € para el pago a la Fundación San Telmo, del ‘Curso de alta dirección de instituciones sociales’, para un total de cien personas”.</w:t>
      </w:r>
    </w:p>
    <w:p w14:paraId="051DAA10" w14:textId="77777777" w:rsidR="003754FE" w:rsidRDefault="003754FE" w:rsidP="003754FE">
      <w:pPr>
        <w:pStyle w:val="TextoNormal"/>
      </w:pPr>
    </w:p>
    <w:p w14:paraId="148DA67A" w14:textId="77777777" w:rsidR="003754FE" w:rsidRDefault="003754FE" w:rsidP="003754FE">
      <w:pPr>
        <w:pStyle w:val="TextoNormal"/>
      </w:pPr>
      <w:r>
        <w:t>2.4</w:t>
      </w:r>
      <w:r w:rsidRPr="003754FE">
        <w:rPr>
          <w:i/>
        </w:rPr>
        <w:t>. Hechos por los que ha sido condenado el demandante de ampa</w:t>
      </w:r>
      <w:r>
        <w:t>ro</w:t>
      </w:r>
    </w:p>
    <w:p w14:paraId="1E153890" w14:textId="77777777" w:rsidR="003754FE" w:rsidRDefault="003754FE" w:rsidP="003754FE">
      <w:pPr>
        <w:pStyle w:val="TextoNormal"/>
      </w:pPr>
    </w:p>
    <w:p w14:paraId="1D606A53" w14:textId="77777777" w:rsidR="003754FE" w:rsidRDefault="003754FE" w:rsidP="003754FE">
      <w:pPr>
        <w:pStyle w:val="TextoNormal"/>
      </w:pPr>
      <w:r>
        <w:t xml:space="preserve">El fundamento fáctico de la condena de don Antonio Fernández García, conforme a lo referido en los hechos probados y en los fundamentos de Derecho 26 y 49 de la sentencia de la Audiencia Provincial de Sevilla, viene integrado por (i) su intervención en la elaboración y tramitación de los presupuestos de Andalucía de los ejercicios 2002 a 2009; (ii) su intervención en la tramitación y/o aprobación de diversas modificaciones presupuestarias desde el año 2000 hasta el año 2009; (iii) y su relevante papel en relación con las ayudas </w:t>
      </w:r>
      <w:r>
        <w:lastRenderedPageBreak/>
        <w:t>sociolaborales y los convenios a través de los que se instrumentaron, ya que tomó parte en las decisiones sobre la concesión de aquellas, la forma de cuantificarlas y la información sobre las mismas y firmó tanto el convenio marco como diversos convenios particulares; (iv) todo ello en el ejercicio de sus diversos cargos y con conocimiento “de la palmaria ilegalidad de los actos en los que participó”.</w:t>
      </w:r>
    </w:p>
    <w:p w14:paraId="085BD5E4" w14:textId="77777777" w:rsidR="003754FE" w:rsidRDefault="003754FE" w:rsidP="003754FE">
      <w:pPr>
        <w:pStyle w:val="TextoNormal"/>
      </w:pPr>
    </w:p>
    <w:p w14:paraId="6993D60F" w14:textId="77777777" w:rsidR="003754FE" w:rsidRDefault="003754FE" w:rsidP="003754FE">
      <w:pPr>
        <w:pStyle w:val="TextoNormal"/>
      </w:pPr>
      <w:r>
        <w:t>El demandante fue viceconsejero de Empleo de 29 de abril de 2000 a 25 de abril de 2004, consejero de Empleo desde ese día hasta el 22 de marzo de 2010 y presidente del IFA de 6 de junio de 2001 a 28 de enero de 2003. En relación con el ejercicio de esos cargos se reseñan en el extenso relato fáctico y los fundamentos de Derecho 26 y 49 los siguientes hechos relevantes:</w:t>
      </w:r>
    </w:p>
    <w:p w14:paraId="620A5BAA" w14:textId="77777777" w:rsidR="003754FE" w:rsidRDefault="003754FE" w:rsidP="003754FE">
      <w:pPr>
        <w:pStyle w:val="TextoNormal"/>
      </w:pPr>
    </w:p>
    <w:p w14:paraId="56E28DCE" w14:textId="77777777" w:rsidR="003754FE" w:rsidRDefault="003754FE" w:rsidP="003754FE">
      <w:pPr>
        <w:pStyle w:val="TextoNormal"/>
      </w:pPr>
      <w:r>
        <w:t>(i) Tuvo conocimiento de las dificultades que habían surgido en el pago de las ayudas sociolaborales como subvenciones excepcionales sometidas a control previo y asistió a las sesiones de la Comisión general de viceconsejeros celebradas el 13 de diciembre de 2000 y el 17 y 21 de enero de 2001 en las que presentó un proyecto de decreto para regular la tramitación de las ayudas de otra forma, con intermediación del IFA, que fue objeto de observaciones por el interventor general, alusivas a la necesidad de indicar la aplicación presupuestaria o de fijar un contenido mínimo de exigencias. El proyecto, finalmente, no fue elevado para su aprobación al Consejo de Gobierno.</w:t>
      </w:r>
    </w:p>
    <w:p w14:paraId="2540E0CA" w14:textId="77777777" w:rsidR="003754FE" w:rsidRDefault="003754FE" w:rsidP="003754FE">
      <w:pPr>
        <w:pStyle w:val="TextoNormal"/>
      </w:pPr>
    </w:p>
    <w:p w14:paraId="18D87EF6" w14:textId="77777777" w:rsidR="003754FE" w:rsidRDefault="003754FE" w:rsidP="003754FE">
      <w:pPr>
        <w:pStyle w:val="TextoNormal"/>
      </w:pPr>
      <w:r>
        <w:t>(ii) En los ejercicios presupuestarios de 2000 y 2001, el recurrente intervino como viceconsejero de Empleo en varias modificaciones al presupuesto de la Junta de Andalucía para eludir la fiscalización previa, y en todo caso, para lograr una mayor rapidez en la concesión y pago de ayudas. Las modificaciones eran siempre a propuesta de la Consejería de Empleo y, en tanto superaran determinada cuantía, se aprobaban por el Consejo de Gobierno previo estudio y aprobación por la Comisión General de Viceconsejeros. En ellas se introdujo en el programa 22E el uso inadecuado de las transferencias de financiación al IFA, con lo que suponía de dejar de cumplir los requisitos de la normativa de subvenciones para seguir dando ayudas al margen de este procedimiento.</w:t>
      </w:r>
    </w:p>
    <w:p w14:paraId="34F63B72" w14:textId="77777777" w:rsidR="003754FE" w:rsidRDefault="003754FE" w:rsidP="003754FE">
      <w:pPr>
        <w:pStyle w:val="TextoNormal"/>
      </w:pPr>
    </w:p>
    <w:p w14:paraId="49FC3FE3" w14:textId="77777777" w:rsidR="003754FE" w:rsidRDefault="003754FE" w:rsidP="003754FE">
      <w:pPr>
        <w:pStyle w:val="TextoNormal"/>
      </w:pPr>
      <w:r>
        <w:t>En concreto, el recurrente asistió a las sesiones de esta comisión de 11 de abril y 26 de julio de 2000 y de 12 de septiembre y 7 de noviembre de 2001, en las que se acordó elevar al Consejo de Gobierno las modificaciones finalmente aprobadas por este el 18 de abril de 2000 (1 544 601 €), el 28 de julio de 2000 (5 433 149 €), el 18 de septiembre de 2001 (7 362 398 €) y el 13 de noviembre de 2001 (3 966 680 €). La sentencia de instancia considera que son tantos y tan evidentes los incumplimientos producidos con las citadas modificaciones que hace impensable que ello pasara desapercibido a su paso por la Comisión general de viceconsejeros de la que el recurrente formaba parte.</w:t>
      </w:r>
    </w:p>
    <w:p w14:paraId="424A8304" w14:textId="77777777" w:rsidR="003754FE" w:rsidRDefault="003754FE" w:rsidP="003754FE">
      <w:pPr>
        <w:pStyle w:val="TextoNormal"/>
      </w:pPr>
    </w:p>
    <w:p w14:paraId="00C16853" w14:textId="77777777" w:rsidR="003754FE" w:rsidRDefault="003754FE" w:rsidP="003754FE">
      <w:pPr>
        <w:pStyle w:val="TextoNormal"/>
      </w:pPr>
      <w:r>
        <w:t>El Sr. Fernández García, además, firmó los acuerdos para llevar a cabo las transferencias de financiación al IFA por delegación del consejero de Empleo, reseñándose como ejemplo el acuerdo relativo a los fondos provenientes de las modificaciones presupuestarias de 28 de julio de 2000 y de 13 de noviembre de 2001, e intervino como presidente del IFA emitiendo la oportuna certificación de incorporación de dichos fondos a la entidad.</w:t>
      </w:r>
    </w:p>
    <w:p w14:paraId="25AE6D19" w14:textId="77777777" w:rsidR="003754FE" w:rsidRDefault="003754FE" w:rsidP="003754FE">
      <w:pPr>
        <w:pStyle w:val="TextoNormal"/>
      </w:pPr>
    </w:p>
    <w:p w14:paraId="6596F863" w14:textId="77777777" w:rsidR="003754FE" w:rsidRDefault="003754FE" w:rsidP="003754FE">
      <w:pPr>
        <w:pStyle w:val="TextoNormal"/>
      </w:pPr>
      <w:r>
        <w:t xml:space="preserve">(iii) El 17 de julio de 2001 firmó como presidente del IFA (al tiempo que viceconsejero) el Convenio de colaboración entre la Consejería de Empleo y Desarrollo Tecnológico </w:t>
      </w:r>
      <w:r>
        <w:lastRenderedPageBreak/>
        <w:t>(CEDT), y el Instituto de Fomento de Andalucía (IFA), para la materialización de ayudas en materia de Trabajo y Seguridad Social, que disponía la celebración de convenios particulares entre el director general de Trabajo y el IFA para materializar las ayudas. Impartió directrices al director general de Trabajo sobre la aplicación del convenio marco.</w:t>
      </w:r>
    </w:p>
    <w:p w14:paraId="53F86766" w14:textId="77777777" w:rsidR="003754FE" w:rsidRDefault="003754FE" w:rsidP="003754FE">
      <w:pPr>
        <w:pStyle w:val="TextoNormal"/>
      </w:pPr>
    </w:p>
    <w:p w14:paraId="0F8F9BC4" w14:textId="77777777" w:rsidR="003754FE" w:rsidRDefault="003754FE" w:rsidP="003754FE">
      <w:pPr>
        <w:pStyle w:val="TextoNormal"/>
      </w:pPr>
      <w:r>
        <w:t>Firmó numerosos convenios de colaboración en su calidad de presidente del IFA, como, por ejemplo, el convenio de 19 de julio de 2001 en el expediente HAMSA, conociendo que con el sistema de las transferencias de financiación y el convenio marco la concesión de las ayudas quedaba sin fiscalización previa.</w:t>
      </w:r>
    </w:p>
    <w:p w14:paraId="1C36ABC5" w14:textId="77777777" w:rsidR="003754FE" w:rsidRDefault="003754FE" w:rsidP="003754FE">
      <w:pPr>
        <w:pStyle w:val="TextoNormal"/>
      </w:pPr>
    </w:p>
    <w:p w14:paraId="1B41B68B" w14:textId="77777777" w:rsidR="003754FE" w:rsidRDefault="003754FE" w:rsidP="003754FE">
      <w:pPr>
        <w:pStyle w:val="TextoNormal"/>
      </w:pPr>
      <w:r>
        <w:t>(iv) Intervino como viceconsejero de Empleo en la elaboración y tramitación de los anteproyectos de ley de presupuestos para Andalucía de los ejercicios 2002, donde por primera vez se incluyó el uso de la transferencia de financiación al IFA dentro del programa 31L por iniciativa de los responsables de la Consejería de Empleo, 2003 y 2004, en los que se mantiene el concepto presupuestario “Transferencias de financiación al IFA” en el programa 31L, con conocimiento de los incumplimientos y de las consecuencias que derivaban del uso de las transferencias de financiación como mecanismo de allegar fondos al IFA para abonar lo que ordenara la Consejería de Empleo en materia de ayudas sociolaborales.</w:t>
      </w:r>
    </w:p>
    <w:p w14:paraId="269659A7" w14:textId="77777777" w:rsidR="003754FE" w:rsidRDefault="003754FE" w:rsidP="003754FE">
      <w:pPr>
        <w:pStyle w:val="TextoNormal"/>
      </w:pPr>
    </w:p>
    <w:p w14:paraId="634CB9C0" w14:textId="77777777" w:rsidR="003754FE" w:rsidRDefault="003754FE" w:rsidP="003754FE">
      <w:pPr>
        <w:pStyle w:val="TextoNormal"/>
      </w:pPr>
      <w:r>
        <w:t>(v) El Sr. Fernández García asistió asimismo como viceconsejero a la Comisión general de Viceconsejeros de 8 de octubre de 2002 en la que se acordó elevar al Consejo de Gobierno modificaciones presupuestarias por importe de 9 944 090 € para incrementar la aplicación presupuestaria 440.00.31L “Transferencias al IFA en materia de relaciones laborales”, que fueron aprobadas el 15 de octubre de 2002.</w:t>
      </w:r>
    </w:p>
    <w:p w14:paraId="49BCD5E1" w14:textId="77777777" w:rsidR="003754FE" w:rsidRDefault="003754FE" w:rsidP="003754FE">
      <w:pPr>
        <w:pStyle w:val="TextoNormal"/>
      </w:pPr>
    </w:p>
    <w:p w14:paraId="7389D733" w14:textId="77777777" w:rsidR="003754FE" w:rsidRDefault="003754FE" w:rsidP="003754FE">
      <w:pPr>
        <w:pStyle w:val="TextoNormal"/>
      </w:pPr>
      <w:r>
        <w:t>(vi) Como consejero de Empleo, aprobó el anteproyecto de presupuesto de su consejería y, en tanto que miembro del Consejo de Gobierno, participó en la aprobación de los proyectos de ley de presupuestos para los ejercicios 2005, 2006, 2007, 2008 y 2009, en los que asimismo se introdujeron aplicaciones presupuestarias en el nuevo programa 31L que recogían las transferencias de financiación a IDEA para abonar lo que ordenara la Consejería de Empleo.</w:t>
      </w:r>
    </w:p>
    <w:p w14:paraId="620CE7AF" w14:textId="77777777" w:rsidR="003754FE" w:rsidRDefault="003754FE" w:rsidP="003754FE">
      <w:pPr>
        <w:pStyle w:val="TextoNormal"/>
      </w:pPr>
    </w:p>
    <w:p w14:paraId="36C46C4F" w14:textId="77777777" w:rsidR="003754FE" w:rsidRDefault="003754FE" w:rsidP="003754FE">
      <w:pPr>
        <w:pStyle w:val="TextoNormal"/>
      </w:pPr>
      <w:r>
        <w:t>(vii) También en su condición de miembro del Consejo de Gobierno participó en la aprobación de diversas modificaciones presupuestarias realizadas a propuesta de los órganos gestores de la Consejería de Empleo. Se consignan las modificaciones presupuestarias que incrementan la aplicación presupuestaria de transferencias de financiación al IFA/IDEA en el programa 31L aprobadas por el Consejo de Gobierno el 7 de diciembre de 2005 (799 895,97 €), el 7 de noviembre de 2006 (9 300 000 €), el 27 de noviembre de 2007 (7 448 503,44 €) y el 22 de diciembre de 2008 (tres modificaciones por importe de 1 253 853,89, 6 011 836,20 y 8 000 000 €, si bien los hechos probados de la sentencia de la Audiencia Provincial indican expresamente que esta última modificación, al tener carácter finalista y estar dotada de fondos procedentes de la administración central, sí fue objeto de fiscalización por la intervención delegada de la Consejería de Empleo). Por otro lado, una modificación presupuestaria que incrementaba el programa 32H “Servicio Andaluz de Empleo” por importe de 2 994 876 €, aprobada por el Consejo de Gobierno el 9 de diciembre de 2004, a pesar de que los fines del programa 32H eran ajenos a la concesión de ayudas sociolaborales y ayudas a empresas, que se destinó al pago de ayudas del programa 31L.</w:t>
      </w:r>
    </w:p>
    <w:p w14:paraId="35003DE0" w14:textId="77777777" w:rsidR="003754FE" w:rsidRDefault="003754FE" w:rsidP="003754FE">
      <w:pPr>
        <w:pStyle w:val="TextoNormal"/>
      </w:pPr>
    </w:p>
    <w:p w14:paraId="23331A43" w14:textId="77777777" w:rsidR="003754FE" w:rsidRDefault="003754FE" w:rsidP="003754FE">
      <w:pPr>
        <w:pStyle w:val="TextoNormal"/>
      </w:pPr>
      <w:r>
        <w:lastRenderedPageBreak/>
        <w:t>(viii) La sentencia de la Audiencia Provincial insiste en que a través de las sucesivas actuaciones presupuestarias se puso a disposición del director general de Trabajo y Seguridad Social de la Consejería de Empleo fondos para que este pudiera disponer de ellos sin sujeción a la fiscalización de la Intervención de la Junta de Andalucía y sin necesidad de tramitar expediente alguno, en este caso, el de subvenciones excepcionales.</w:t>
      </w:r>
    </w:p>
    <w:p w14:paraId="181E5BF6" w14:textId="77777777" w:rsidR="003754FE" w:rsidRDefault="003754FE" w:rsidP="003754FE">
      <w:pPr>
        <w:pStyle w:val="TextoNormal"/>
      </w:pPr>
    </w:p>
    <w:p w14:paraId="3DB8BD57" w14:textId="77777777" w:rsidR="003754FE" w:rsidRDefault="003754FE" w:rsidP="003754FE">
      <w:pPr>
        <w:pStyle w:val="TextoNormal"/>
      </w:pPr>
      <w:r>
        <w:t>(ix) El Sr. Fernández García conoció los convenios firmados por el director general de Trabajo, al que dio instrucciones, y adoptó decisiones sobre la condición o pago de las ayudas. Se recoge en particular su intervención en el año 2003 como viceconsejero en las ayudas a la empresa Santana, la Faja Pirítica (2003) y el ayuntamiento de Chiclana.</w:t>
      </w:r>
    </w:p>
    <w:p w14:paraId="27C4237A" w14:textId="77777777" w:rsidR="003754FE" w:rsidRDefault="003754FE" w:rsidP="003754FE">
      <w:pPr>
        <w:pStyle w:val="TextoNormal"/>
      </w:pPr>
    </w:p>
    <w:p w14:paraId="043DF64A" w14:textId="77777777" w:rsidR="003754FE" w:rsidRDefault="003754FE" w:rsidP="003754FE">
      <w:pPr>
        <w:pStyle w:val="TextoNormal"/>
      </w:pPr>
      <w:r>
        <w:t>(x) El recurrente tomó la decisión de calcular las ayudas sociolaborales por lo que iba a recibir cada trabajador y no el conjunto para evitar tener que dar más información a los miembros del consejo rector del IFA ajenos a la Consejería de Empleo y que tuvieran que ser ratificados por el Consejo de Gobierno los de importe superior a 1 200 000 €. Esa decisión se hizo efectiva en el consejo rector de 27 de mayo de 2003 que presidió el Sr. Fernández García, donde retiró del orden del día la ayuda a la empresa Primayor con apoyo en tal criterio de contabilización por trabajador y no global.</w:t>
      </w:r>
    </w:p>
    <w:p w14:paraId="164A36C1" w14:textId="77777777" w:rsidR="003754FE" w:rsidRDefault="003754FE" w:rsidP="003754FE">
      <w:pPr>
        <w:pStyle w:val="TextoNormal"/>
      </w:pPr>
    </w:p>
    <w:p w14:paraId="7B09A1C0" w14:textId="77777777" w:rsidR="003754FE" w:rsidRDefault="003754FE" w:rsidP="003754FE">
      <w:pPr>
        <w:pStyle w:val="TextoNormal"/>
      </w:pPr>
      <w:r>
        <w:t>(xi) En la tramitación de la ayuda a la empresa Pickman, asistió a la reunión del consejo rector del IFA de 30 de enero de 2004 en la que se ratifica el convenio correspondiente por importe de 1 800 000 €, convenio que presentó en la Comisión General de Viceconsejeros de 25 de febrero de 2004, en el que se acuerda retirarla del orden del día. Asistió a un consejo rector del IFA posterior —de 2 de marzo de 2004— que acordó revocar el acuerdo que ratificaba el convenio de colaboración y ratificar la adenda al mismo que revocaba la ayuda de 1,8 millones y concedía tres nuevas ayudas por importes de 625 000 € (año 2004), 600 000 € (año 2005) y 575 000 € (año 2006), cuya cuantía evitaba que tuviera que pasar por el Consejo de Gobierno, sumando en total 1,8 millones de euros.</w:t>
      </w:r>
    </w:p>
    <w:p w14:paraId="7FE35503" w14:textId="77777777" w:rsidR="003754FE" w:rsidRDefault="003754FE" w:rsidP="003754FE">
      <w:pPr>
        <w:pStyle w:val="TextoNormal"/>
      </w:pPr>
    </w:p>
    <w:p w14:paraId="2C908C5F" w14:textId="0441098D" w:rsidR="003754FE" w:rsidRDefault="003754FE" w:rsidP="003754FE">
      <w:pPr>
        <w:pStyle w:val="TextoNormal"/>
      </w:pPr>
      <w:r>
        <w:t xml:space="preserve">Las anteriores actuaciones del recurrente, unidas a las realizadas por el resto de los condenados, condujeron a que, en los referidos ejercicios: (i) se concedieran ayudas sociolaborales sin cumplir los requisitos previstos en la normativa sobre subvenciones, lo que dio lugar a que se percibieran rentas de pólizas por personas que nunca habían pertenecido al colectivo afectado o que siguieran percibiéndolas quienes ya se habían incorporado al mercado laboral; (ii) se concedieran ayudas a empresas en crisis sin convocatorias públicas ni registro en la base de datos de subvenciones, lo permitió que se otorgaran para fines muy diversos, entre otros el pago de nóminas, minutas por asesoramientos jurídicos y avales; (iii) se destinasen fondos del programa 31L a fines distintos y ajenos a los recogidos para este en los correspondientes presupuestos (más ampliamente, </w:t>
      </w:r>
      <w:r w:rsidRPr="003754FE">
        <w:rPr>
          <w:i/>
        </w:rPr>
        <w:t>vid supra</w:t>
      </w:r>
      <w:r>
        <w:t xml:space="preserve"> FJ 2.1).</w:t>
      </w:r>
    </w:p>
    <w:p w14:paraId="0CE9A1DA" w14:textId="77777777" w:rsidR="003754FE" w:rsidRDefault="003754FE" w:rsidP="003754FE">
      <w:pPr>
        <w:pStyle w:val="TextoNormal"/>
      </w:pPr>
    </w:p>
    <w:p w14:paraId="760D9C8E" w14:textId="77777777" w:rsidR="003754FE" w:rsidRDefault="003754FE" w:rsidP="003754FE">
      <w:pPr>
        <w:pStyle w:val="TextoNormal"/>
      </w:pPr>
      <w:r w:rsidRPr="003754FE">
        <w:rPr>
          <w:rStyle w:val="NumeroAFNegritaCaracter"/>
        </w:rPr>
        <w:t>3</w:t>
      </w:r>
      <w:r>
        <w:t xml:space="preserve">. </w:t>
      </w:r>
      <w:r w:rsidRPr="003754FE">
        <w:rPr>
          <w:i/>
        </w:rPr>
        <w:t>Vulneración del derecho a la legalidad penal (art. 25.1 CE) derivada de la condena por delito de malversación del art. 432 CP</w:t>
      </w:r>
    </w:p>
    <w:p w14:paraId="2F0FB207" w14:textId="77777777" w:rsidR="003754FE" w:rsidRDefault="003754FE" w:rsidP="003754FE">
      <w:pPr>
        <w:pStyle w:val="TextoNormal"/>
      </w:pPr>
    </w:p>
    <w:p w14:paraId="57060868" w14:textId="77777777" w:rsidR="003754FE" w:rsidRDefault="003754FE" w:rsidP="003754FE">
      <w:pPr>
        <w:pStyle w:val="TextoNormal"/>
      </w:pPr>
      <w:r>
        <w:t xml:space="preserve">3.1. </w:t>
      </w:r>
      <w:r w:rsidRPr="003754FE">
        <w:rPr>
          <w:i/>
        </w:rPr>
        <w:t>Exposición de la queja del recurrente y de las posiciones de las partes</w:t>
      </w:r>
    </w:p>
    <w:p w14:paraId="6BC849BE" w14:textId="77777777" w:rsidR="003754FE" w:rsidRDefault="003754FE" w:rsidP="003754FE">
      <w:pPr>
        <w:pStyle w:val="TextoNormal"/>
      </w:pPr>
    </w:p>
    <w:p w14:paraId="719975BE" w14:textId="77777777" w:rsidR="003754FE" w:rsidRDefault="003754FE" w:rsidP="003754FE">
      <w:pPr>
        <w:pStyle w:val="TextoNormal"/>
      </w:pPr>
      <w:r>
        <w:t xml:space="preserve">El recurrente sostiene en el segundo motivo de la demanda que su condena por delito de malversación sin que concurran los requisitos típicos del art. 432 CP supone una aplicación imprevisible del precepto, tanto de su modalidad activa como de la pasiva, contraria al art. </w:t>
      </w:r>
      <w:r>
        <w:lastRenderedPageBreak/>
        <w:t>25.1 CE. Esta queja ha de ponerse en relación con algunas de las alegaciones desarrolladas en el primer y tercer motivo de la demanda, en los que formalmente se denuncia la vulneración del derecho a la presunción de inocencia, pero se efectúan también consideraciones normativas sobre la subsunción de los hechos probados propias del derecho a la legalidad penal. A la vista de lo aducido, los reparos del recurrente a la calificación de su conducta como malversación pueden sintetizarse como sigue:</w:t>
      </w:r>
    </w:p>
    <w:p w14:paraId="67FA8066" w14:textId="77777777" w:rsidR="003754FE" w:rsidRDefault="003754FE" w:rsidP="003754FE">
      <w:pPr>
        <w:pStyle w:val="TextoNormal"/>
      </w:pPr>
    </w:p>
    <w:p w14:paraId="08F4A0C5" w14:textId="77777777" w:rsidR="003754FE" w:rsidRDefault="003754FE" w:rsidP="003754FE">
      <w:pPr>
        <w:pStyle w:val="TextoNormal"/>
      </w:pPr>
      <w:r>
        <w:t>(i) En lo que se refiere a la modalidad activa, a la que el tipo penal alude con el verbo “sustraer”, el demandante subraya que la sentencia condenatoria indica de forma reiterada que era la Dirección General de Trabajo y Seguridad Social la que tenía a su cargo y dispuso de los fondos, sin que exista resolución alguna de concesión de ayudas por su parte.</w:t>
      </w:r>
    </w:p>
    <w:p w14:paraId="3EB0FC51" w14:textId="77777777" w:rsidR="003754FE" w:rsidRDefault="003754FE" w:rsidP="003754FE">
      <w:pPr>
        <w:pStyle w:val="TextoNormal"/>
      </w:pPr>
    </w:p>
    <w:p w14:paraId="14A4D7A2" w14:textId="77777777" w:rsidR="003754FE" w:rsidRDefault="003754FE" w:rsidP="003754FE">
      <w:pPr>
        <w:pStyle w:val="TextoNormal"/>
      </w:pPr>
      <w:r>
        <w:t xml:space="preserve">Argumenta, de un lado, que las conductas de consignación de créditos en las sucesivas leyes de presupuestos y las modificaciones presupuestarias sobre los programas 22E y 31L mediante las que, según reitera el relato fáctico, se habría puesto a disposición del director general de Trabajo determinados caudales públicos, aun cuando eventualmente pudieran integrar el delito de prevaricación, en ningún caso pueden calificarse como delito de malversación consumado, sino, a lo sumo, como actos preparatorios. El delito de malversación “es un delito de resultado, que se consuma con la realidad dispositiva de los fondos, es decir, por el hecho de la disposición en sí y nunca mediante una mera </w:t>
      </w:r>
      <w:r w:rsidRPr="003754FE">
        <w:rPr>
          <w:i/>
        </w:rPr>
        <w:t>puesta a disposición</w:t>
      </w:r>
      <w:r>
        <w:t xml:space="preserve"> del gestor para que este pueda disponer de ellos y gestionarlos más adelante”. La acción típica de sustracción supone la efectiva aplicación de los fondos que, con separación de su destino, quedan ya fuera del dominio de la administración.</w:t>
      </w:r>
    </w:p>
    <w:p w14:paraId="48166ECE" w14:textId="77777777" w:rsidR="003754FE" w:rsidRDefault="003754FE" w:rsidP="003754FE">
      <w:pPr>
        <w:pStyle w:val="TextoNormal"/>
      </w:pPr>
    </w:p>
    <w:p w14:paraId="76CBB4AE" w14:textId="77777777" w:rsidR="003754FE" w:rsidRDefault="003754FE" w:rsidP="003754FE">
      <w:pPr>
        <w:pStyle w:val="TextoNormal"/>
      </w:pPr>
      <w:r>
        <w:t>De otro lado, rechaza que constituyan una disposición típica las actuaciones recogidas en la fundamentación jurídica en relación con las ayudas a las empresas Santana y Jerez Industrial, los compromisos de la Faja Pirítica o la ayuda al ayuntamiento de Chiclana, todas ellas —insiste— concedidas por el director general de Trabajo. Las conductas a las que alude allí la sentencia (suscribir contratos, emitir escritos, enviar faxes o reenviar cartas) o el conocimiento de los convenios al que también apela son, a su juicio, hechos absolutamente alejados de cualquier modalidad de realización del tipo activo de malversación.</w:t>
      </w:r>
    </w:p>
    <w:p w14:paraId="3BC9A5AF" w14:textId="77777777" w:rsidR="003754FE" w:rsidRDefault="003754FE" w:rsidP="003754FE">
      <w:pPr>
        <w:pStyle w:val="TextoNormal"/>
      </w:pPr>
    </w:p>
    <w:p w14:paraId="1EC4774E" w14:textId="77777777" w:rsidR="003754FE" w:rsidRDefault="003754FE" w:rsidP="003754FE">
      <w:pPr>
        <w:pStyle w:val="TextoNormal"/>
      </w:pPr>
      <w:r>
        <w:t>El recurrente defiende que el verbo típico “sustraer” exige actos concluyentes, lo que requiere una relación causa-efecto que implica el dictado de una resolución dentro del ámbito competencial del agente, así como una específica relación sujeto activo-objeto material que entronca con la exigencia típica de que el autor “tenga a su cargo por sus funciones” los caudales públicos. Al respecto sostiene que ni como viceconsejero ni como consejero tuvo la facultad de disposición de los bienes públicos como competencia específica que le otorgara su detentación ni la facultad de adoptar decisiones vinculantes sobre los mismos, que sí tenía el director general de Trabajo.</w:t>
      </w:r>
    </w:p>
    <w:p w14:paraId="112F2835" w14:textId="77777777" w:rsidR="003754FE" w:rsidRDefault="003754FE" w:rsidP="003754FE">
      <w:pPr>
        <w:pStyle w:val="TextoNormal"/>
      </w:pPr>
    </w:p>
    <w:p w14:paraId="5EE6D44D" w14:textId="77777777" w:rsidR="003754FE" w:rsidRDefault="003754FE" w:rsidP="003754FE">
      <w:pPr>
        <w:pStyle w:val="TextoNormal"/>
      </w:pPr>
      <w:r>
        <w:t xml:space="preserve">(ii) Por lo que atañe a la modalidad pasiva, “permitir que un tercero sustraiga”, el actor aprecia asimismo un forzamiento del contenido literal del precepto desde el entendimiento de que quien permite la sustracción ha de ser quien tiene a su cargo los caudales y el tercero que dispone, sin embargo, no puede ser sujeto activo idóneo del tipo, pues en tal caso la conducta de disposición del tercero sería ya punible por la modalidad activa. Ese esquema, advierte, no se corresponde con los hechos acaecidos, ya que él no disponía de los fondos y era el director general de Trabajo, al que se designa como tercero, quien los tenía a su cargo. </w:t>
      </w:r>
      <w:r>
        <w:lastRenderedPageBreak/>
        <w:t>Aprecia, además, la falta de justificación del dolo que exige el tipo penal, que debe comprender, además del propio, el conocimiento del ánimo de lucro concurrente en el tercero, ya que, descartado que pueda serlo el director general de Trabajo, en el juicio no se oyó a ninguno de los beneficiarios terceros. No existe, por ello, acreditación (ni mención en la sentencia de instancia) de que conociera y consintiera que dichos beneficiarios actuaran bajo ilícito ánimo de lucro.</w:t>
      </w:r>
    </w:p>
    <w:p w14:paraId="2F45FC86" w14:textId="77777777" w:rsidR="003754FE" w:rsidRDefault="003754FE" w:rsidP="003754FE">
      <w:pPr>
        <w:pStyle w:val="TextoNormal"/>
      </w:pPr>
    </w:p>
    <w:p w14:paraId="127B317B" w14:textId="77777777" w:rsidR="003754FE" w:rsidRDefault="003754FE" w:rsidP="003754FE">
      <w:pPr>
        <w:pStyle w:val="TextoNormal"/>
      </w:pPr>
      <w:r>
        <w:t>El recurrente discrepa de la respuesta dada por el Tribunal Supremo a estos argumentos al resolver el recurso de casación, ya que la condena por la modalidad pasiva consistente en haber permitido sustraer a un tercero que era agente principal de la sustracción constituye una interpretación que, a su parecer, desagrega los elementos que conforman la conducta típica, con una modalidad activa de sustracción (funcionario que sustrajere) incompatible con la modalidad pasiva (funcionario que consintiera que un tercero sustraiga) cuando del funcionario que detenta los caudales se trata, de modo que se crea un producto normativo distinto del original legislado. En este punto se queja también de que el Tribunal Supremo no explica cuáles son las competencias funcionales para evitar la sustracción que, desde las exigencias del art. 11 CP, vinculan a los superiores jerárquicos en las que se apoya su condena por malversación.</w:t>
      </w:r>
    </w:p>
    <w:p w14:paraId="1A577DEE" w14:textId="77777777" w:rsidR="003754FE" w:rsidRDefault="003754FE" w:rsidP="003754FE">
      <w:pPr>
        <w:pStyle w:val="TextoNormal"/>
      </w:pPr>
    </w:p>
    <w:p w14:paraId="45EDFF8B" w14:textId="77777777" w:rsidR="003754FE" w:rsidRDefault="003754FE" w:rsidP="003754FE">
      <w:pPr>
        <w:pStyle w:val="TextoNormal"/>
      </w:pPr>
      <w:r>
        <w:t>(iii) Rechaza de forma global que la ausencia de procedimiento como elemento justificativo de la ausencia de finalidad pública de las ayudas y, con ello, de la existencia de una sustracción de caudales públicos. Con ello, según aprecia, se confundiría el plano de la malversación, que exige dicha sustracción, con el de la prevaricación, que podría asociarse a una falta de procedimiento. A su juicio “en el contexto de la legítima decisión política de implantación de este sistema de ayudas excepcionales, los procedimientos presupuestarios para financiar no pueden en modo alguno confundirse ni entenderse en relación de causa-efecto con las eventuales desviaciones de su finalidad pública”.</w:t>
      </w:r>
    </w:p>
    <w:p w14:paraId="51DD3DD9" w14:textId="77777777" w:rsidR="003754FE" w:rsidRDefault="003754FE" w:rsidP="003754FE">
      <w:pPr>
        <w:pStyle w:val="TextoNormal"/>
      </w:pPr>
    </w:p>
    <w:p w14:paraId="1F25B849" w14:textId="77777777" w:rsidR="003754FE" w:rsidRDefault="003754FE" w:rsidP="003754FE">
      <w:pPr>
        <w:pStyle w:val="TextoNormal"/>
      </w:pPr>
      <w:r>
        <w:t>El Partido Popular descarta la vulneración de las garantías del art. 25.1 CE al considerar que la subsunción en la modalidad activa y pasiva del art. 432 CP es razonable, ya que los hechos probados reflejan actuaciones del recurrente que muestran su dominio funcional de los actos de concesión “con su intervención directa en el cambio de sistema de presupuestación y uso de transferencias de financiación, firma de convenios y otros”. Añade que, en su condición de consejero, era el titular de la competencia para otorgar las subvenciones, “lo que refuerza su responsabilidad respecto de actos de quienes actuaron de hecho como delegados suyos (dos directores generales), tanto por permitir su realización, como por evitar controles”.</w:t>
      </w:r>
    </w:p>
    <w:p w14:paraId="0A73972F" w14:textId="77777777" w:rsidR="003754FE" w:rsidRDefault="003754FE" w:rsidP="003754FE">
      <w:pPr>
        <w:pStyle w:val="TextoNormal"/>
      </w:pPr>
    </w:p>
    <w:p w14:paraId="1AD1144E" w14:textId="77777777" w:rsidR="003754FE" w:rsidRDefault="003754FE" w:rsidP="003754FE">
      <w:pPr>
        <w:pStyle w:val="TextoNormal"/>
      </w:pPr>
      <w:r>
        <w:t>Los Sres. Rodríguez Román y Vallejo Serrano solicitaron que se declare la vulneración del derecho a la legalidad sancionadora (art. 25.1 CE) en las vertientes desarrolladas en el recurso, argumentando que la sentencia de instancia parte de una coautoría sin que exista acuerdo mientras que el Tribunal Supremo afirma que hay autoría individual, que no se funda la posición de garante necesaria para castigar la comisión por omisión y que el dolo eventual apreciado por la Audiencia Provincial muta en la sentencia de casación, que unifica el dolo de los delitos de prevaricación y malversación.</w:t>
      </w:r>
    </w:p>
    <w:p w14:paraId="69F6CD97" w14:textId="77777777" w:rsidR="003754FE" w:rsidRDefault="003754FE" w:rsidP="003754FE">
      <w:pPr>
        <w:pStyle w:val="TextoNormal"/>
      </w:pPr>
    </w:p>
    <w:p w14:paraId="22A0B898" w14:textId="77777777" w:rsidR="003754FE" w:rsidRDefault="003754FE" w:rsidP="003754FE">
      <w:pPr>
        <w:pStyle w:val="TextoNormal"/>
      </w:pPr>
      <w:r>
        <w:t xml:space="preserve">El Ministerio Fiscal solicitó la desestimación del motivo, cuyo contenido vincula con la denuncia de la vulneración del derecho a la presunción de inocencia. En primer lugar, </w:t>
      </w:r>
      <w:r>
        <w:lastRenderedPageBreak/>
        <w:t>considera que las sentencias impugnadas razonaron sobre su competencia para disponer de fondos y ser condenado por la modalidad activa del delito de malversación. En segundo lugar, por lo que se refiere a la modalidad pasiva de permitir que un tercero sustraiga los caudales públicos, opone a lo aducido por el demandante que el director general no tenía competencia jurídica para la disposición de fondos. Descarta que el convenio marco dispusiera una delegación de la competencia atribuida al consejero a favor del director general, pues, a juicio del fiscal, configura un sistema en el que la Dirección General de Trabajo sería más bien una ejecutora de lo acordado por el consejero. A lo anterior suma el hecho de que el demandante impartiera directrices al director general de Trabajo sobre la aplicación del convenio marco, como manifestó en su declaración sumarial. El fiscal termina sus alegaciones sobre este motivo defendiendo que no era exigible a los tribunales “una especificación de a qué título de imputación habría de atribuirse cada uno de los hechos relevantes por los que fue condenado”.</w:t>
      </w:r>
    </w:p>
    <w:p w14:paraId="5CD2F574" w14:textId="77777777" w:rsidR="003754FE" w:rsidRDefault="003754FE" w:rsidP="003754FE">
      <w:pPr>
        <w:pStyle w:val="TextoNormal"/>
      </w:pPr>
    </w:p>
    <w:p w14:paraId="5F33A6AE" w14:textId="77777777" w:rsidR="003754FE" w:rsidRDefault="003754FE" w:rsidP="003754FE">
      <w:pPr>
        <w:pStyle w:val="TextoNormal"/>
      </w:pPr>
      <w:r>
        <w:t xml:space="preserve">3.2. </w:t>
      </w:r>
      <w:r w:rsidRPr="003754FE">
        <w:rPr>
          <w:i/>
        </w:rPr>
        <w:t>Síntesis de los argumentos en los que las resoluciones judiciales fundamentan la condena del recurrente</w:t>
      </w:r>
    </w:p>
    <w:p w14:paraId="7BCF6421" w14:textId="77777777" w:rsidR="003754FE" w:rsidRDefault="003754FE" w:rsidP="003754FE">
      <w:pPr>
        <w:pStyle w:val="TextoNormal"/>
      </w:pPr>
    </w:p>
    <w:p w14:paraId="754F3EF1" w14:textId="77777777" w:rsidR="003754FE" w:rsidRDefault="003754FE" w:rsidP="003754FE">
      <w:pPr>
        <w:pStyle w:val="TextoNormal"/>
      </w:pPr>
      <w:r>
        <w:t>Conforme reiteran las resoluciones impugnadas, el recurrente fue condenado como autor de un delito de malversación por disponer y permitir que el director general de Trabajo dispusiera de caudales públicos con fines ajenos al fin público al que estaban destinados mediante su intervención en un elevado número de ejercicios presupuestarios en el que se concedieron un elevado número de ayudas, desempeñando un papel relevante tanto en la Consejería de Empleo como en el consejo rector del IFA (sentencia de la Audiencia Provincial: fundamentos de Derecho 26, pág. 880; 47, pág. 1754, y 49, págs. 1797-1798; STS 749/2022, fundamentos 33.6, pág. 333, y 111.1, pág. 799).</w:t>
      </w:r>
    </w:p>
    <w:p w14:paraId="220E0EBA" w14:textId="77777777" w:rsidR="003754FE" w:rsidRDefault="003754FE" w:rsidP="003754FE">
      <w:pPr>
        <w:pStyle w:val="TextoNormal"/>
      </w:pPr>
    </w:p>
    <w:p w14:paraId="11C2D795" w14:textId="77777777" w:rsidR="003754FE" w:rsidRDefault="003754FE" w:rsidP="003754FE">
      <w:pPr>
        <w:pStyle w:val="TextoNormal"/>
      </w:pPr>
      <w:r>
        <w:t>A) Pronunciamientos de la sentencia de la Audiencia Provincial</w:t>
      </w:r>
    </w:p>
    <w:p w14:paraId="5D022CF6" w14:textId="77777777" w:rsidR="003754FE" w:rsidRDefault="003754FE" w:rsidP="003754FE">
      <w:pPr>
        <w:pStyle w:val="TextoNormal"/>
      </w:pPr>
    </w:p>
    <w:p w14:paraId="34DEB58E" w14:textId="77777777" w:rsidR="003754FE" w:rsidRDefault="003754FE" w:rsidP="003754FE">
      <w:pPr>
        <w:pStyle w:val="TextoNormal"/>
      </w:pPr>
      <w:r>
        <w:t>La Audiencia Provincial alcanza la anterior conclusión tras examinar (a) la prueba de cargo en el fundamento de Derecho 26, donde se desgranan las actuaciones concretas que realizó el demandante en el ejercicio de sus cargos de las que infiere su autoría del delito de malversación en el fundamento de Derecho 47 en relación (b) con la calificación de la conducta de los acusados pertenecientes a la Consejería de Empleo como tal delito, que desarrolla en el fundamento 45.</w:t>
      </w:r>
    </w:p>
    <w:p w14:paraId="7E4B5F45" w14:textId="77777777" w:rsidR="003754FE" w:rsidRDefault="003754FE" w:rsidP="003754FE">
      <w:pPr>
        <w:pStyle w:val="TextoNormal"/>
      </w:pPr>
    </w:p>
    <w:p w14:paraId="184820C4" w14:textId="77777777" w:rsidR="003754FE" w:rsidRDefault="003754FE" w:rsidP="003754FE">
      <w:pPr>
        <w:pStyle w:val="TextoNormal"/>
      </w:pPr>
      <w:r>
        <w:t>a) La sentencia de instancia atiende a las siguientes actuaciones del recurrente (fundamento de Derecho 26):</w:t>
      </w:r>
    </w:p>
    <w:p w14:paraId="69006782" w14:textId="77777777" w:rsidR="003754FE" w:rsidRDefault="003754FE" w:rsidP="003754FE">
      <w:pPr>
        <w:pStyle w:val="TextoNormal"/>
      </w:pPr>
    </w:p>
    <w:p w14:paraId="0EA829D5" w14:textId="77777777" w:rsidR="003754FE" w:rsidRDefault="003754FE" w:rsidP="003754FE">
      <w:pPr>
        <w:pStyle w:val="TextoNormal"/>
      </w:pPr>
      <w:r>
        <w:t xml:space="preserve">(i) Con conocimiento de que las ayudas sociolaborales venían tramitándose como subvenciones excepcionales y de los reparos que había formulado la Intervención al respecto, intervino en la tramitación de diversas modificaciones presupuestarias en los años 2000 y 2001 (detalladas en el fundamento jurídico 2.4) “que introdujeron en el programa 22E, el uso inadecuado de las transferencias de financiación. Con lo que suponía de dejar cumplir los requisitos de la normativa de subvenciones, para seguir dando ayudas al margen de este procedimiento” (pág. 853). Se reseña que asistió a las sesiones de la Comisión general de viceconsejeros de 11 de abril y 26 de julio de 2000 en las que se tramitaron las dos primeras modificaciones presupuestarias de 18 de abril y 28 de julio de 2000 en las que se dotó de fondos la partida 440.01 “Transferencia al IFA en materia de relaciones laborales” </w:t>
      </w:r>
      <w:r>
        <w:lastRenderedPageBreak/>
        <w:t>detrayéndolos de partidas apropiadas para conceder subvenciones, por tanto, sin que hubiera déficit de financiación. A juicio de la Sala, “son tantos y tan evidentes los incumplimientos producidos con las citadas modificaciones presupuestarias que hace impensable que ello pasara desapercibido a su paso por la Comisión general de viceconsejeros, de la que formaba parte” (pág. 855).</w:t>
      </w:r>
    </w:p>
    <w:p w14:paraId="57808D1C" w14:textId="77777777" w:rsidR="003754FE" w:rsidRDefault="003754FE" w:rsidP="003754FE">
      <w:pPr>
        <w:pStyle w:val="TextoNormal"/>
      </w:pPr>
    </w:p>
    <w:p w14:paraId="709D7226" w14:textId="77777777" w:rsidR="003754FE" w:rsidRDefault="003754FE" w:rsidP="003754FE">
      <w:pPr>
        <w:pStyle w:val="TextoNormal"/>
      </w:pPr>
      <w:r>
        <w:t>También como viceconsejero firmó por delegación del consejero dos acuerdos para llevar a cabo las transferencias de financiación al IFA con los fondos provenientes de las modificaciones presupuestarias de 28 de julio de 2000 y 13 de noviembre de 2001. Como presidente del IFA emitió la oportuna certificación de incorporación de dichos fondos al presupuesto de la entidad.</w:t>
      </w:r>
    </w:p>
    <w:p w14:paraId="6D209513" w14:textId="77777777" w:rsidR="003754FE" w:rsidRDefault="003754FE" w:rsidP="003754FE">
      <w:pPr>
        <w:pStyle w:val="TextoNormal"/>
      </w:pPr>
    </w:p>
    <w:p w14:paraId="239FC3E6" w14:textId="77777777" w:rsidR="003754FE" w:rsidRDefault="003754FE" w:rsidP="003754FE">
      <w:pPr>
        <w:pStyle w:val="TextoNormal"/>
      </w:pPr>
      <w:r>
        <w:t>(ii) Por otro lado, también como presidente del IFA, firmó el convenio marco de 17 de julio de 2001, impartiendo directrices al director general de trabajo sobre su aplicación, y firmó varios convenios de colaboración con dicho director general, ordenando el pago de las ayudas “usando ya la partida 440.00 ‘Transferencias de financiación a IFA’, del programa 22E” (pág. 857). En tanto que presidente del IFA, cargo en el que permaneció hasta el 28 de enero de 2003, le correspondía la firma de los convenios particulares del Instituto con la Dirección General de Trabajo.</w:t>
      </w:r>
    </w:p>
    <w:p w14:paraId="67AE53E6" w14:textId="77777777" w:rsidR="003754FE" w:rsidRDefault="003754FE" w:rsidP="003754FE">
      <w:pPr>
        <w:pStyle w:val="TextoNormal"/>
      </w:pPr>
    </w:p>
    <w:p w14:paraId="304CB8B0" w14:textId="77777777" w:rsidR="003754FE" w:rsidRDefault="003754FE" w:rsidP="003754FE">
      <w:pPr>
        <w:pStyle w:val="TextoNormal"/>
      </w:pPr>
      <w:r>
        <w:t>(iii) Como viceconsejero intervino después en la elaboración de los presupuestos de los años 2002, 2003 y 2004, siendo el anteproyecto de presupuesto de 2002 en el que se incluyó por primera vez “el uso de la transferencia de financiación al IFA dentro del programa 31L, a sabiendas de que su finalidad era la concesión de subvenciones por parte de la Consejería de Empleo, siendo el órgano gestor la Dirección General de Trabajo”, como constaba en la memoria del presupuesto de 2002 y luego en las de los presupuestos de 2003 y 2004. El recurrente “conocía que con el sistema implantado de las transferencias de financiación y el convenio marco, la concesión de ayudas quedaban sin fiscalización previa” (pág. 859). Intervino asimismo en la tramitación de las modificaciones presupuestarias de 15 de octubre de 2002, asistiendo a la sesión de la Comisión General de Viceconsejeros de 9 de octubre en la que se acordó elevarlas al Consejo de Gobierno.</w:t>
      </w:r>
    </w:p>
    <w:p w14:paraId="2100A778" w14:textId="77777777" w:rsidR="003754FE" w:rsidRDefault="003754FE" w:rsidP="003754FE">
      <w:pPr>
        <w:pStyle w:val="TextoNormal"/>
      </w:pPr>
    </w:p>
    <w:p w14:paraId="771209C6" w14:textId="77777777" w:rsidR="003754FE" w:rsidRDefault="003754FE" w:rsidP="003754FE">
      <w:pPr>
        <w:pStyle w:val="TextoNormal"/>
      </w:pPr>
      <w:r>
        <w:t xml:space="preserve">(iv) En relación con su asistencia a diversas reuniones del consejo rector del IFA, se destacan tres intervenciones vinculadas a concretas ayudas. En primer lugar, que tomó la importante decisión adoptada a partir de la sesión de 27 de mayo de 2003, que presidió en ausencia del entonces presidente del IFA, “de implantar el criterio de calcular las ayudas sociolaborales por lo que iba a recibir cada trabajador, y no el conjunto [que] evitaba la deliberación y votación en el consejo rector de toda ayuda que superase el 1 200 000 €, así como su ratificación por el Consejo de Gobierno” (pág. 864). En segundo lugar, que en la sesión de 2 de marzo de 2004 se revocó un acuerdo anterior de 30 de enero de 2004 para conceder un ayuda que, por su cuantía, 1 800 000 €, había sido elevada para ratificación por el Consejo de Gobierno si bien fue luego retirada del orden del día de la Comisión general de viceconsejeros de 25 de febrero en la que el Sr. Fernández García la había presentado. En esa sesión de 2 de marzo se acuerdan tres ayudas para la misma empresa por importe inferior a 1 200 000 €, “evitando así, que tuviera que pasar por Consejo de Gobierno” (pág. 864). En tercer lugar, que en la tramitación del convenio de SANDETEL, el consejo rector del IFA de 24 de noviembre de 2003, presidido por el demandante, acordó, ante las dudas manifestadas sobre la necesidad de ratificación del acuerdo por el Consejo de Gobierno, </w:t>
      </w:r>
      <w:r>
        <w:lastRenderedPageBreak/>
        <w:t>recabar consulta al Gabinete Jurídico, a lo que se comprometió el Sr. Fernández García, que, sin embargo, no pidió tal informe, aprobándose en el consejo rector de 30 de noviembre de 2003 al que asiste como vicepresidente revocar la decisión anterior y aprobar una ayuda reducida (de 2 250 000 € a 1 150 000 €), que ya no precisaba ratificación por el Consejo de Gobierno.</w:t>
      </w:r>
    </w:p>
    <w:p w14:paraId="50C0BB83" w14:textId="77777777" w:rsidR="003754FE" w:rsidRDefault="003754FE" w:rsidP="003754FE">
      <w:pPr>
        <w:pStyle w:val="TextoNormal"/>
      </w:pPr>
    </w:p>
    <w:p w14:paraId="05776784" w14:textId="77777777" w:rsidR="003754FE" w:rsidRDefault="003754FE" w:rsidP="003754FE">
      <w:pPr>
        <w:pStyle w:val="TextoNormal"/>
      </w:pPr>
      <w:r>
        <w:t>(v) Como consejero de Empleo aprobó los correspondientes anteproyectos de presupuestos de la Consejería de Empleo y participó, como miembro del Consejo de Gobierno, en la aprobación de los proyectos de ley de presupuestos de 2005 a 2009. Asimismo, siguió haciendo uso inadecuado de las transferencias de financiación en las distintas modificaciones presupuestarias que se produjeron en el programa 31L (detalladas en el fundamento jurídico 2.4) interviniendo en su aprobación por el Consejo de Gobierno.</w:t>
      </w:r>
    </w:p>
    <w:p w14:paraId="112C6043" w14:textId="77777777" w:rsidR="003754FE" w:rsidRDefault="003754FE" w:rsidP="003754FE">
      <w:pPr>
        <w:pStyle w:val="TextoNormal"/>
      </w:pPr>
    </w:p>
    <w:p w14:paraId="235DB62C" w14:textId="77777777" w:rsidR="003754FE" w:rsidRDefault="003754FE" w:rsidP="003754FE">
      <w:pPr>
        <w:pStyle w:val="TextoNormal"/>
      </w:pPr>
      <w:r>
        <w:t>(vi) Durante todo ese tiempo tuvo conocimiento de diversos informes que apreciaban irregularidades y deficiencias graves en el sistema así como del desfase presupuestario tanto del IFA como de la Consejería de Empleo, que reflejaba que la Dirección General de Trabajo comprometía ayudas por un montante global superior al importe de las transferencias de financiación de cada año.</w:t>
      </w:r>
    </w:p>
    <w:p w14:paraId="0C2C05EE" w14:textId="77777777" w:rsidR="003754FE" w:rsidRDefault="003754FE" w:rsidP="003754FE">
      <w:pPr>
        <w:pStyle w:val="TextoNormal"/>
      </w:pPr>
    </w:p>
    <w:p w14:paraId="26AB7688" w14:textId="77777777" w:rsidR="003754FE" w:rsidRDefault="003754FE" w:rsidP="003754FE">
      <w:pPr>
        <w:pStyle w:val="TextoNormal"/>
      </w:pPr>
      <w:r>
        <w:t>(vii) Tenía, en suma, “perfecto conocimiento del programa, y de la forma que se gestionaba” (pág. 872) y constan “decisiones suyas sobre la concesión o pago de ayudas” (pág. 872) así como su negativa a facilitar los expedientes de concesión de las mismas al IFA y la presión al director general del IFA para que, a pesar de ello, firmara los convenios particulares (pág. 876).</w:t>
      </w:r>
    </w:p>
    <w:p w14:paraId="5C1F3751" w14:textId="77777777" w:rsidR="003754FE" w:rsidRDefault="003754FE" w:rsidP="003754FE">
      <w:pPr>
        <w:pStyle w:val="TextoNormal"/>
      </w:pPr>
    </w:p>
    <w:p w14:paraId="5C74A340" w14:textId="77777777" w:rsidR="003754FE" w:rsidRDefault="003754FE" w:rsidP="003754FE">
      <w:pPr>
        <w:pStyle w:val="TextoNormal"/>
      </w:pPr>
      <w:r>
        <w:t>b) La sentencia de la Audiencia Provincial, después de fijar la prueba referida a cada acusado, aborda de forma global la calificación jurídica de los hechos en el fundamento de Derecho 45. En lo que atañe al delito de malversación, considera que hubo ayudas del programa 31L que fueron concedidas por “los acusados pertenecientes a la Consejería de Empleo” (pág. 1722) sin que concurriera “el fin público o social” que constituía su causa legítima. Distingue, en este punto, dos clases de ayudas: (i) las que tenían como finalidad cubrir los importes de las indemnizaciones derivadas de expedientes de regulación de empleo (ERE) en situaciones de insolvencia de la empresa empleadora (beneficiaria de la ayuda) y (ii) las que no guardaban relación con la tramitación y aprobación de expedientes de regulación de empleo.</w:t>
      </w:r>
    </w:p>
    <w:p w14:paraId="18B742B8" w14:textId="77777777" w:rsidR="003754FE" w:rsidRDefault="003754FE" w:rsidP="003754FE">
      <w:pPr>
        <w:pStyle w:val="TextoNormal"/>
      </w:pPr>
    </w:p>
    <w:p w14:paraId="56AD0FCA" w14:textId="77777777" w:rsidR="003754FE" w:rsidRDefault="003754FE" w:rsidP="003754FE">
      <w:pPr>
        <w:pStyle w:val="TextoNormal"/>
      </w:pPr>
      <w:r>
        <w:t>(i) En cuanto a las ayudas que tenían como finalidad cubrir los importes de las indemnizaciones por rescisión de la relación laboral en situaciones de expedientes de regulación de empleo, la Audiencia Provincial estima que la Consejería de Empleo otorgó este tipo de ayudas sin comprobar que las empresas beneficiarias carecieran de capacidad económica para afrontar el pago de las indemnizaciones de los trabajadores afectados. La administración pública andaluza asumió, de ese modo, “los costes de los expedientes de regulación de empleo de empresas sin determinar si estas [eran] solventes o no” (pág. 1711), lo que “facilitaba a estas empresas la reducción de plantillas, sin el coste económico que ello conlleva”, con “el consiguiente lucro para las mismas” (pág. 1712).</w:t>
      </w:r>
    </w:p>
    <w:p w14:paraId="676F36C9" w14:textId="77777777" w:rsidR="003754FE" w:rsidRDefault="003754FE" w:rsidP="003754FE">
      <w:pPr>
        <w:pStyle w:val="TextoNormal"/>
      </w:pPr>
    </w:p>
    <w:p w14:paraId="33E9C0AD" w14:textId="77777777" w:rsidR="003754FE" w:rsidRDefault="003754FE" w:rsidP="003754FE">
      <w:pPr>
        <w:pStyle w:val="TextoNormal"/>
      </w:pPr>
      <w:r>
        <w:t xml:space="preserve">(ii) En lo que respecta a las ayudas que no guardaban relación con la tramitación y aprobación de expedientes de regulación de empleo, considera la sentencia de la Audiencia </w:t>
      </w:r>
      <w:r>
        <w:lastRenderedPageBreak/>
        <w:t>Provincial que “[u]na parte importante” de estas otras subvenciones carecían “de objeto concreto y claramente definido” (pág. 1714) y señala que se destinaron a “fines muy diversos” (como pago de nóminas, deudas, gastos de primer establecimiento de la empresa, minutas por asesoramiento jurídico en materia laboral, mejoras salariales derivadas de convenios colectivos, cursos de alta dirección, indemnizaciones derivadas de despidos improcedentes o préstamos para pago de nóminas). Añade que estas ayudas se concedieron sin comprobar las circunstancias del beneficiario, “especialmente en lo que se refiere a que la empresa no tuviera capacidad económica para hacer frente, en todo o en parte, a las obligaciones asumidas por la Junta” (pág. 1715).</w:t>
      </w:r>
    </w:p>
    <w:p w14:paraId="4CBB38B3" w14:textId="77777777" w:rsidR="003754FE" w:rsidRDefault="003754FE" w:rsidP="003754FE">
      <w:pPr>
        <w:pStyle w:val="TextoNormal"/>
      </w:pPr>
    </w:p>
    <w:p w14:paraId="6C2E9177" w14:textId="77777777" w:rsidR="003754FE" w:rsidRDefault="003754FE" w:rsidP="003754FE">
      <w:pPr>
        <w:pStyle w:val="TextoNormal"/>
      </w:pPr>
      <w:r>
        <w:t>Concluye la Audiencia Provincial (i) que los fondos del programa 31L fueron, en todos estos casos, objeto de disposición para realizar pagos “completamente ajenos al interés público” (pág. 1720), lo que sintetiza señalando que tanto las ayudas concedidas para la cobertura de situaciones de expedientes de regulación de empleo como las “restantes subvenciones” se otorgaron sin que se acreditara “la incapacidad de la empresa para hacer frente a los pagos”, lo que “supone disponer de los fondos públicos para un fin ajeno al interés público”(pág. 1721). Y (ii) que “[d]e esta disposición de fondos públicos participaron de forma activa desde el ejercicio 2000 hasta el 2009, los acusados pertenecientes a la Consejería de Empleo” (pág. 1722).</w:t>
      </w:r>
    </w:p>
    <w:p w14:paraId="08FED47D" w14:textId="77777777" w:rsidR="003754FE" w:rsidRDefault="003754FE" w:rsidP="003754FE">
      <w:pPr>
        <w:pStyle w:val="TextoNormal"/>
      </w:pPr>
    </w:p>
    <w:p w14:paraId="7C4FF99C" w14:textId="77777777" w:rsidR="003754FE" w:rsidRDefault="003754FE" w:rsidP="003754FE">
      <w:pPr>
        <w:pStyle w:val="TextoNormal"/>
      </w:pPr>
      <w:r>
        <w:t>B) Pronunciamientos de la sentencia del Tribunal Supremo</w:t>
      </w:r>
    </w:p>
    <w:p w14:paraId="4B221A17" w14:textId="77777777" w:rsidR="003754FE" w:rsidRDefault="003754FE" w:rsidP="003754FE">
      <w:pPr>
        <w:pStyle w:val="TextoNormal"/>
      </w:pPr>
    </w:p>
    <w:p w14:paraId="09B186A4" w14:textId="77777777" w:rsidR="003754FE" w:rsidRDefault="003754FE" w:rsidP="003754FE">
      <w:pPr>
        <w:pStyle w:val="TextoNormal"/>
      </w:pPr>
      <w:r>
        <w:t>La sentencia de casación dedica los fundamentos de Derecho 32 a 42 al juicio de tipicidad del delito de malversación de caudales públicos. La Sala Segunda, después de explicitar los elementos típicos del delito de malversación al tiempo de los hechos (art. 432 CP previo a la reforma de la Ley Orgánica 1/2015), considera que el juicio de tipicidad se colma (fundamento 33.2, págs. 321-322) en tanto que la sentencia de instancia precisa que (i) los condenados tenían la condición de autoridad o funcionario público (art. 24 CP); (ii) “tenían una facultad decisoria sobre los caudales públicos de los que se dispuso ilícitamente, bien por tenerlos materialmente a su cargo, bien por tener funcionalmente la capacidad de decidir sobre su destino, en función de una posición jerárquica superior”; (iii) dichos caudales fueron objeto de actos que han de incluirse en el amplio concepto de “sustracción”, porque los condenados, “lejos de destinarlos al cumplimiento de las previstas atenciones públicas, los separaron de las mismas, y extrayéndolos del control público y con ánimo de lucro, los entregaron a terceros, en forma de ayudas o subvenciones concedidas ilegalmente”, sin que las ayudas cumplieran un fin público, “porque se concedieron, no ya al margen de todo control, sino al margen de cualquier criterio mínimamente objetivo y reglado y de forma absolutamente arbitraria”; y (iv) el conocimiento de la situación “era incuestionable por quienes concedieron las subvenciones”, pero también por “algunas de las autoridades que aprobaron las partidas presupuestarias y que fueron informadas de la gestión altamente irregular de las ayudas”.</w:t>
      </w:r>
    </w:p>
    <w:p w14:paraId="297C08D7" w14:textId="77777777" w:rsidR="003754FE" w:rsidRDefault="003754FE" w:rsidP="003754FE">
      <w:pPr>
        <w:pStyle w:val="TextoNormal"/>
      </w:pPr>
    </w:p>
    <w:p w14:paraId="7C29FACA" w14:textId="77777777" w:rsidR="003754FE" w:rsidRDefault="003754FE" w:rsidP="003754FE">
      <w:pPr>
        <w:pStyle w:val="TextoNormal"/>
      </w:pPr>
      <w:r>
        <w:t xml:space="preserve">La Sala Segunda explica que el delito de malversación incluye dos modalidades (fundamento de Derecho 43.5, págs. 370-373). La primera, la sustracción o disposición, atribuida a quienes intervinieron directamente en la disposición de fondos. La segunda, la comisión por omisión, en que se sanciona el incumplimiento del deber propio del funcionario con la finalidad de que otro actúe ilícitamente, por la que se ha condenado “a los acusados que conociendo cómo se estaba llevando a cabo la concesión y pago de las ayudas y teniendo </w:t>
      </w:r>
      <w:r>
        <w:lastRenderedPageBreak/>
        <w:t>competencia para impedir que se llevara a cabo la sustracción de los fondos no lo impidieron” (pág. 371). Insiste en que, en todo caso, resulta determinante la aprobación de las partidas presupuestarias en contra de lo establecido en las leyes, que posibilitó el descontrol absoluto en la concesión de las ayudas sociolaborales, de forma que existe una vinculación causal entre el criterio de presupuestación y la concesión de las ayudas. (pág. 373).</w:t>
      </w:r>
    </w:p>
    <w:p w14:paraId="656FF4F2" w14:textId="77777777" w:rsidR="003754FE" w:rsidRDefault="003754FE" w:rsidP="003754FE">
      <w:pPr>
        <w:pStyle w:val="TextoNormal"/>
      </w:pPr>
    </w:p>
    <w:p w14:paraId="5A49CFEC" w14:textId="77777777" w:rsidR="003754FE" w:rsidRDefault="003754FE" w:rsidP="003754FE">
      <w:pPr>
        <w:pStyle w:val="TextoNormal"/>
      </w:pPr>
      <w:r>
        <w:t>La Sala Segunda rechaza expresamente que por ello exista confusión entre prevaricación y malversación. Considera que, además de un criterio de presupuestación manifiestamente ilegal y de la utilización de las transferencias de financiación “como artificio contable para eludir la normativa de subvenciones”, conducta en sí misma determinante del delito de prevaricación, se dispuso después “de los fondos públicos presupuestados al margen de todo control y de forma libérrima y arbitraria. El manejo de esos caudales se realizó como si fueran propios, en favor de empresas y personas libremente determinadas y según las preferencias e intereses políticos de las autoridades que concedían las subvenciones. Sin bases de convocatoria, sin publicidad, en ocasiones sin precisar el objeto de la ayuda, y sin el cumplimiento de todo el amplio sistema de controles y garantías establecidos en la ley” y, en tal medida, la antijuridicidad no se agota en la prevaricación, sino que existe un delito de malversación en relación de concurso medial (fundamento de Derecho 33.1, págs. 320-321).</w:t>
      </w:r>
    </w:p>
    <w:p w14:paraId="7771D13E" w14:textId="77777777" w:rsidR="003754FE" w:rsidRDefault="003754FE" w:rsidP="003754FE">
      <w:pPr>
        <w:pStyle w:val="TextoNormal"/>
      </w:pPr>
    </w:p>
    <w:p w14:paraId="1FE675FE" w14:textId="77777777" w:rsidR="003754FE" w:rsidRDefault="003754FE" w:rsidP="003754FE">
      <w:pPr>
        <w:pStyle w:val="TextoNormal"/>
      </w:pPr>
      <w:r>
        <w:t>En lo que se refiere al Sr. Fernández García, precisa que, según el fundamento de Derecho 47 de la sentencia de instancia, su autoría se asienta en “su participación directa en la disposición de los fondos, y permitir que el director general de Trabajo dispusiera de los mismos” (STS 749/2022, fundamento 33.6, pág. 333). Conforme a lo que ha venido reseñándose y compila la sentencia de casación (fundamento 111.6, págs. 849-851), la condena del recurrente como autor de un delito continuado de malversación atiende a su participación de forma activa en la instauración, desarrollo y ejecución del mecanismo de concesión de subvenciones ilegales desde su creación hasta su extinción mediante conductas realizadas en su distinta condición de viceconsejero de Empleo, presidente del IFA y consejero de Empleo con conciencia de su palmaria ilegalidad, disponiendo y permitiendo que el director general de Trabajo dispusiera de cuantiosos fondos con fines ajenos al fin público al que estaban destinados.</w:t>
      </w:r>
    </w:p>
    <w:p w14:paraId="02521ABE" w14:textId="77777777" w:rsidR="003754FE" w:rsidRDefault="003754FE" w:rsidP="003754FE">
      <w:pPr>
        <w:pStyle w:val="TextoNormal"/>
      </w:pPr>
    </w:p>
    <w:p w14:paraId="457F6F3A" w14:textId="77777777" w:rsidR="003754FE" w:rsidRDefault="003754FE" w:rsidP="003754FE">
      <w:pPr>
        <w:pStyle w:val="TextoNormal"/>
      </w:pPr>
      <w:r>
        <w:t>El citado mecanismo integraba el uso de las transferencias de financiación al IFA con el convenio marco de colaboración entre la Dirección General de Trabajo y el IFA. El Tribunal Supremo destaca que en la instauración de ambos instrumentos intervino el recurrente. En su condición de viceconsejero de Empleo participó en la tramitación de distintas modificaciones presupuestarias durante los años 2000 y 2001 del programa 22E en las que se introdujo la aplicación presupuestaria de transferencias de financiación al IFA para eludir la normativa de subvenciones y, en particular, la fiscalización previa; y como presidente del IFA, firmó el convenio marco de 17 de julio de 2001.</w:t>
      </w:r>
    </w:p>
    <w:p w14:paraId="18DF6395" w14:textId="77777777" w:rsidR="003754FE" w:rsidRDefault="003754FE" w:rsidP="003754FE">
      <w:pPr>
        <w:pStyle w:val="TextoNormal"/>
      </w:pPr>
    </w:p>
    <w:p w14:paraId="2E983FBB" w14:textId="77777777" w:rsidR="003754FE" w:rsidRDefault="003754FE" w:rsidP="003754FE">
      <w:pPr>
        <w:pStyle w:val="TextoNormal"/>
      </w:pPr>
      <w:r>
        <w:t xml:space="preserve">A ello añade que posteriormente participó en la previsión de las transferencias de financiación al IFA para el pago de las ayudas sociolaborales comprometidas en aplicación del convenio marco en los presupuestos de 2002 a 2009 en el programa 31L, bien mediante su intervención en la tramitación y elevación al Consejo de Gobierno de los anteproyectos de presupuestos (2002-2004) durante su etapa de viceconsejero, bien aprobando el proyecto de presupuestos (2005-2009) durante su mandato de consejero. Durante ese tiempo, además, </w:t>
      </w:r>
      <w:r>
        <w:lastRenderedPageBreak/>
        <w:t>tramitó o aprobó diversas modificaciones presupuestarias que incrementaban la aplicación presupuestaria de transferencias al IFA en el programa 31L.</w:t>
      </w:r>
    </w:p>
    <w:p w14:paraId="02502F79" w14:textId="77777777" w:rsidR="003754FE" w:rsidRDefault="003754FE" w:rsidP="003754FE">
      <w:pPr>
        <w:pStyle w:val="TextoNormal"/>
      </w:pPr>
    </w:p>
    <w:p w14:paraId="370C3F06" w14:textId="77777777" w:rsidR="003754FE" w:rsidRDefault="003754FE" w:rsidP="003754FE">
      <w:pPr>
        <w:pStyle w:val="TextoNormal"/>
      </w:pPr>
      <w:r>
        <w:t>Por otra parte, refiere que el recurrente intervino también en la gestión de las ayudas, firmando como presidente del IFA numerosos convenios particulares, “plenamente consciente de que, a través de los mismos, se concederían ayudas haciendo uso del mecanismo ilícito de concesión” (fundamento de Derecho 111.6, pág. 851), y decidiendo como viceconsejero o consejero de Empleo de forma discrecional sobre la concesión de concretas ayudas, las empresas que debían beneficiarse y el importe, y determinando su forma de contabilización para sustraer los convenios del control del consejo rector del IFA y de la ratificación por el Consejo de Gobierno. Elementos que revelan su conocimiento de la ilicitud en la concesión de las ayudas.</w:t>
      </w:r>
    </w:p>
    <w:p w14:paraId="3E50A11E" w14:textId="77777777" w:rsidR="003754FE" w:rsidRDefault="003754FE" w:rsidP="003754FE">
      <w:pPr>
        <w:pStyle w:val="TextoNormal"/>
      </w:pPr>
    </w:p>
    <w:p w14:paraId="15EE0E21" w14:textId="77777777" w:rsidR="003754FE" w:rsidRDefault="003754FE" w:rsidP="003754FE">
      <w:pPr>
        <w:pStyle w:val="TextoNormal"/>
      </w:pPr>
      <w:r>
        <w:t xml:space="preserve">3.3. </w:t>
      </w:r>
      <w:r w:rsidRPr="003754FE">
        <w:rPr>
          <w:i/>
        </w:rPr>
        <w:t>Doctrina constitucional sobre el derecho a la legalidad penal (art. 25.1 CE)</w:t>
      </w:r>
    </w:p>
    <w:p w14:paraId="7AF3C280" w14:textId="77777777" w:rsidR="003754FE" w:rsidRDefault="003754FE" w:rsidP="003754FE">
      <w:pPr>
        <w:pStyle w:val="TextoNormal"/>
      </w:pPr>
    </w:p>
    <w:p w14:paraId="3FEB63FA" w14:textId="77777777" w:rsidR="003754FE" w:rsidRDefault="003754FE" w:rsidP="003754FE">
      <w:pPr>
        <w:pStyle w:val="TextoNormal"/>
      </w:pPr>
      <w:r>
        <w:t>El enjuiciamiento de la vulneración del art. 25.1 CE exige tener presente la doctrina de este tribunal sobre el derecho a la legalidad penal que consagra, expuesta recientemente, por ejemplo, en las SSTC 14/2021, de 28 de enero, FJ 2; 25/2022, de 23 de febrero, FJ 7.2; 47/2022, de 24 de marzo, FJ 8.2.1; 54/2023, de 22 de mayo, FJ 3, y 8/2024, de 16 de enero, haciendo hincapié en la prohibición de interpretaciones y aplicaciones irrazonables de las normas penales.</w:t>
      </w:r>
    </w:p>
    <w:p w14:paraId="46DF0AF7" w14:textId="77777777" w:rsidR="003754FE" w:rsidRDefault="003754FE" w:rsidP="003754FE">
      <w:pPr>
        <w:pStyle w:val="TextoNormal"/>
      </w:pPr>
    </w:p>
    <w:p w14:paraId="38858750" w14:textId="77777777" w:rsidR="003754FE" w:rsidRDefault="003754FE" w:rsidP="003754FE">
      <w:pPr>
        <w:pStyle w:val="TextoNormal"/>
      </w:pPr>
      <w:r>
        <w:t>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(art. 25.1 CE) (SSTC 137/1997, de 21 de julio, FJ 6; 151/1997, de 29 de septiembre, FJ 3; 232/1997, de 21 de enero, FJ 2, y 162/1999, de 27 de septiembre, FJ 5). En numerosas resoluciones (desde la STC 150/1989, de 25 de septiembre, FJ 6, hasta la STC 54/2023, de 22 de mayo, FJ 3, y, entre ellas, muchas intermedias) hemos puesto de relieve que el derecho reconocido en el art. 25.1 CE es una concreción de diversos aspectos del Estado de Derecho en el ámbito del Derecho estatal sancionador. Se vincula, ante todo, con el imperio de la ley como presupuesto de la actuación del Estado sobre los bienes jurídicos de los ciudadanos, pero también con el derecho de los ciudadanos a la seguridad jurídica, así como con la prohibición de la arbitrariedad y el derecho a la objetividad e imparcialidad del juicio de los Tribunales, que garantizan el art. 24.2 y el art. 117.1 CE, especialmente cuando este declara que los jueces y magistrados están “sometidos únicamente al imperio de la ley”.</w:t>
      </w:r>
    </w:p>
    <w:p w14:paraId="4DBB17C9" w14:textId="77777777" w:rsidR="003754FE" w:rsidRDefault="003754FE" w:rsidP="003754FE">
      <w:pPr>
        <w:pStyle w:val="TextoNormal"/>
      </w:pPr>
    </w:p>
    <w:p w14:paraId="4E2FC36C" w14:textId="77777777" w:rsidR="003754FE" w:rsidRDefault="003754FE" w:rsidP="003754FE">
      <w:pPr>
        <w:pStyle w:val="TextoNormal"/>
      </w:pPr>
      <w:r>
        <w:t xml:space="preserve">Convergen en él diversos fundamentos. De un lado, la libertad, con la regla general de la licitud de lo no prohibido, y la seguridad jurídica, que exige saber a qué atenerse (SSTC 101/1988, de 8 de junio, FJ 3; 239/1988, de 14 de diciembre, FJ 2, o 215/2016, de 15 de diciembre, FJ 8). La previsibilidad de las consecuencias jurídicas de los propios actos resulta una exigencia material imprescindible para mantener la seguridad y, con ello, la libertad de actuación en niveles constitucionalmente admisibles. De otro lado, la exigencia de legitimidad democrática de las normas penales es garantía de intervención del pueblo en una </w:t>
      </w:r>
      <w:r>
        <w:lastRenderedPageBreak/>
        <w:t xml:space="preserve">decisión tan trascendental para sus derechos como la definición de la conducta prohibida bajo amenaza de pena (STC 142/1999, de 22 de julio, FJ 3). La garantía imbricada de la libertad y de la seguridad jurídica junto con su legitimación democrática operan como criterios rectores de la tarea de definir los contenidos del art. 25.1 CE, que hemos identificado con los diversos aspectos característicos enunciados con el brocardo </w:t>
      </w:r>
      <w:r w:rsidRPr="003754FE">
        <w:rPr>
          <w:i/>
        </w:rPr>
        <w:t>nullum crimen, nulla poena sine praevia lege scripta, certa et stricta</w:t>
      </w:r>
      <w:r>
        <w:t xml:space="preserve"> (en distintas formulaciones, entre muchas, SSTC 133/1987, de 21 de julio, FJ 4; 127/1990, de 5 de julio, FJ 3; 111/1993, de 25 de marzo, FJ 6; 53/1994, de 24 de febrero, FJ 4; 137/1997, FJ 6; 151/1997, FJ 3; 232/1997, FJ 2; 75/2002, de 8 de abril, FJ 4; 234/2007, de 5 de noviembre, FJ 3, y 14/2021, FJ 2).</w:t>
      </w:r>
    </w:p>
    <w:p w14:paraId="6918372C" w14:textId="77777777" w:rsidR="003754FE" w:rsidRDefault="003754FE" w:rsidP="003754FE">
      <w:pPr>
        <w:pStyle w:val="TextoNormal"/>
      </w:pPr>
    </w:p>
    <w:p w14:paraId="5C5FBE81" w14:textId="77777777" w:rsidR="003754FE" w:rsidRDefault="003754FE" w:rsidP="003754FE">
      <w:pPr>
        <w:pStyle w:val="TextoNormal"/>
      </w:pPr>
      <w:r>
        <w:t>b) La primera garantía que contiene el principio de legalidad es la garantía formal, que impone una reserva de ley absoluta (STC 15/1981, de 7 de mayo, FJ 7) para definir delitos y para amenazarlos con penas, quedando así acotadas las fuentes del Derecho en materia penal [SSTC 142/1999,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w:t>
      </w:r>
      <w:r w:rsidRPr="003754FE">
        <w:rPr>
          <w:i/>
        </w:rPr>
        <w:t>lex praevia</w:t>
      </w:r>
      <w:r>
        <w:t>) que permitan predecir con el suficiente grado de certeza (</w:t>
      </w:r>
      <w:r w:rsidRPr="003754FE">
        <w:rPr>
          <w:i/>
        </w:rPr>
        <w:t>lex certa</w:t>
      </w:r>
      <w:r>
        <w:t>) dichas conductas, y se sepa a qué atenerse en cuanto a la aneja responsabilidad y a la eventual sanción” (SSTC 25/2004, de 26 de febrero, FJ 4; 218/2005, de 12 de septiembre, FJ 2; 297/2005, de 21 de noviembre, FJ 6, y 283/2006, de 9 de octubre, FJ 5).</w:t>
      </w:r>
    </w:p>
    <w:p w14:paraId="36803F28" w14:textId="77777777" w:rsidR="003754FE" w:rsidRDefault="003754FE" w:rsidP="003754FE">
      <w:pPr>
        <w:pStyle w:val="TextoNormal"/>
      </w:pPr>
    </w:p>
    <w:p w14:paraId="62A3DDE9" w14:textId="77777777" w:rsidR="003754FE" w:rsidRDefault="003754FE" w:rsidP="003754FE">
      <w:pPr>
        <w:pStyle w:val="TextoNormal"/>
      </w:pPr>
      <w:r>
        <w:t>c) En particular, la previsibilidad de las consecuencias de la propia conducta puede burlarse tanto por un legislador como por un juzgador que actúen desconociendo el sentido de garantía de la ley penal, bien por la formulación vaga e imprecisa de la misma, bien con su aplicación a supuestos no comprendidos en ella (SSTC 142/1999, FJ 3, y 24/2004, de 24 de febrero,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w:t>
      </w:r>
      <w:r w:rsidRPr="003754FE">
        <w:rPr>
          <w:i/>
        </w:rPr>
        <w:t>lex certa</w:t>
      </w:r>
      <w:r>
        <w:t>), para que los ciudadanos puedan conocer de antemano el ámbito de lo proscrito y prever las consecuencias de sus acciones (SSTC 242/2005, de 10 de octubre, FJ 2; 283/2006, FJ 5; 162/2008, de 15 de diciembre, FJ 1; 81/2009, de 23 de marzo, FJ 4; 135/2010, de 2 de diciembre, FJ 4, y 9/2018, de 5 de febrero, FJ 6). Los jueces y tribunales, por su parte, están sometidos al principio de tipicidad (</w:t>
      </w:r>
      <w:r w:rsidRPr="003754FE">
        <w:rPr>
          <w:i/>
        </w:rPr>
        <w:t>lex stricta</w:t>
      </w:r>
      <w:r>
        <w:t>) en su labor de aplicación de las leyes, que implica una sujeción estricta a la ley penal y el veto a la exégesis y aplicación de las normas penales fuera de los supuestos y de los límites que determinan.</w:t>
      </w:r>
    </w:p>
    <w:p w14:paraId="631DF750" w14:textId="77777777" w:rsidR="003754FE" w:rsidRDefault="003754FE" w:rsidP="003754FE">
      <w:pPr>
        <w:pStyle w:val="TextoNormal"/>
      </w:pPr>
    </w:p>
    <w:p w14:paraId="30A47019" w14:textId="77777777" w:rsidR="003754FE" w:rsidRDefault="003754FE" w:rsidP="003754FE">
      <w:pPr>
        <w:pStyle w:val="TextoNormal"/>
      </w:pPr>
      <w: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w:t>
      </w:r>
      <w:r>
        <w:lastRenderedPageBreak/>
        <w:t xml:space="preserve">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 La analogía </w:t>
      </w:r>
      <w:r w:rsidRPr="003754FE">
        <w:rPr>
          <w:i/>
        </w:rPr>
        <w:t>in malam partem</w:t>
      </w:r>
      <w:r>
        <w:t xml:space="preserve">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de 17 de marzo, FJ 4; 170/2002, de 30 de septiembre, FJ 12; 229/2003, de 18 de diciembre, FJ 6, y 229/2007, de 5 de noviembre, FJ 4).</w:t>
      </w:r>
    </w:p>
    <w:p w14:paraId="0EBB9599" w14:textId="77777777" w:rsidR="003754FE" w:rsidRDefault="003754FE" w:rsidP="003754FE">
      <w:pPr>
        <w:pStyle w:val="TextoNormal"/>
      </w:pPr>
    </w:p>
    <w:p w14:paraId="7A03589F" w14:textId="77777777" w:rsidR="003754FE" w:rsidRDefault="003754FE" w:rsidP="003754FE">
      <w:pPr>
        <w:pStyle w:val="TextoNormal"/>
      </w:pPr>
      <w:r>
        <w:t xml:space="preserve">e) El examen de la razonabilidad de la subsunción de los hechos probados en la norma penal tiene como primer criterio el respeto al tenor literal de la norma, y la consiguiente prohibición de la analogía </w:t>
      </w:r>
      <w:r w:rsidRPr="003754FE">
        <w:rPr>
          <w:i/>
        </w:rPr>
        <w:t>in malam partem</w:t>
      </w:r>
      <w:r>
        <w:t>. El tenor literal del enunciado normativo marca en todo caso una zona indudable de exclusión de comportamientos (STC 137/1997,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y 262/2006, de 11 de septiembre, FJ 4).</w:t>
      </w:r>
    </w:p>
    <w:p w14:paraId="5CB30682" w14:textId="77777777" w:rsidR="003754FE" w:rsidRDefault="003754FE" w:rsidP="003754FE">
      <w:pPr>
        <w:pStyle w:val="TextoNormal"/>
      </w:pPr>
    </w:p>
    <w:p w14:paraId="1051186D" w14:textId="77777777" w:rsidR="003754FE" w:rsidRDefault="003754FE" w:rsidP="003754FE">
      <w:pPr>
        <w:pStyle w:val="TextoNormal"/>
      </w:pPr>
      <w: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w:t>
      </w:r>
      <w:r w:rsidRPr="003754FE">
        <w:rPr>
          <w:i/>
        </w:rPr>
        <w:t>per se</w:t>
      </w:r>
      <w:r>
        <w:t xml:space="preserve"> nos es ajena y solo podrá ser tomada en cuenta en la medida en </w:t>
      </w:r>
      <w:r>
        <w:lastRenderedPageBreak/>
        <w:t>que incida en la irrazonabilidad de la interpretación judicial impugnada” (STC 129/2008, FJ 3).</w:t>
      </w:r>
    </w:p>
    <w:p w14:paraId="5CE52A16" w14:textId="77777777" w:rsidR="003754FE" w:rsidRDefault="003754FE" w:rsidP="003754FE">
      <w:pPr>
        <w:pStyle w:val="TextoNormal"/>
      </w:pPr>
    </w:p>
    <w:p w14:paraId="4E524734" w14:textId="77777777" w:rsidR="003754FE" w:rsidRDefault="003754FE" w:rsidP="003754FE">
      <w:pPr>
        <w:pStyle w:val="TextoNormal"/>
      </w:pPr>
      <w:r>
        <w:t>3.4</w:t>
      </w:r>
      <w:r w:rsidRPr="003754FE">
        <w:rPr>
          <w:i/>
        </w:rPr>
        <w:t>. Enjuiciamiento de la queja del recurren</w:t>
      </w:r>
      <w:r>
        <w:t>te</w:t>
      </w:r>
    </w:p>
    <w:p w14:paraId="36503E44" w14:textId="77777777" w:rsidR="003754FE" w:rsidRDefault="003754FE" w:rsidP="003754FE">
      <w:pPr>
        <w:pStyle w:val="TextoNormal"/>
      </w:pPr>
    </w:p>
    <w:p w14:paraId="7B95CA79" w14:textId="77777777" w:rsidR="003754FE" w:rsidRDefault="003754FE" w:rsidP="003754FE">
      <w:pPr>
        <w:pStyle w:val="TextoNormal"/>
      </w:pPr>
      <w:r>
        <w:t>La anterior exposición muestra que las resoluciones impugnadas identifican como elemento decisivo de la calificación de malversación, de un lado, la existencia de un sistema de presupuestación ilegal que disponía una forma de gestión y control de las ayudas sociolaborales radicalmente distinta a la exigible en el ámbito de las subvenciones caracterizada por la falta de control. Frente a este planteamiento, el recurrente opone de forma reiterada que la contribución a tal sistema puede, eventualmente, integrar un delito de prevaricación, pero no justificar una condena por el art. 432 CP, cuyos elementos típicos no concurrirían. De otro lado, su intervención en la concreta gestión y concesión de las ayudas con cargo a los créditos presupuestarios desarrollada en la Consejería de Empleo, en la que el recurrente niega haber tenido un papel penalmente relevante.</w:t>
      </w:r>
    </w:p>
    <w:p w14:paraId="661E0DD1" w14:textId="77777777" w:rsidR="003754FE" w:rsidRDefault="003754FE" w:rsidP="003754FE">
      <w:pPr>
        <w:pStyle w:val="TextoNormal"/>
      </w:pPr>
    </w:p>
    <w:p w14:paraId="6E1ED92E" w14:textId="77777777" w:rsidR="003754FE" w:rsidRDefault="003754FE" w:rsidP="003754FE">
      <w:pPr>
        <w:pStyle w:val="TextoNormal"/>
      </w:pPr>
      <w:r>
        <w:t>Para un adecuado examen de las quejas formuladas es preciso partir de un dato en el que se ha puesto el acento en varias resoluciones aprobadas este mismo día: que las leyes de presupuestos de Andalucía para los años 2002 al 2009, en su programa 31L, establecieron un sistema de atribución de fondos al IFA/IDEA (las transferencias de financiación) para la concesión de ayudas sociolaborales que, de acuerdo con lo establecido en sus memorias, habilitaban a la administración autonómica a conceder estas ayudas por tal vía. Por ello, en contra de lo que sostienen las resoluciones judiciales impugnadas, no puede considerarse ilegal ni indebido otorgar las referidas ayudas, de acuerdo con lo establecido en el programa 31L de las leyes de presupuestos de aquellos años y las memorias que las acompañaban (SSTC 94/2024, de 2 de julio, FJ 5.3; 96/2024, de 3 de julio de 2024, FJ 5.3; 97/2024, de 3 de julio de 2024, FJ 4.3, y 98/2024, de 3 de julio de 2024, FJ 5.3). Debe por ello distinguirse desde un principio el análisis de la subsunción de las conductas del recurrente que estaban expresamente amparadas en las leyes de presupuestos y el examen de la condena por malversación respecto de los comportamientos que carecían de dicho amparo legal. Será después de esta delimitación, con los importantes efectos que tiene desde la perspectiva del derecho a la legalidad penal del art. 25.1 CE, cuando se examinen las concretas alegaciones sobre la concurrencia de los específicos elementos típicos del delito de malversación.</w:t>
      </w:r>
    </w:p>
    <w:p w14:paraId="05A13AEF" w14:textId="77777777" w:rsidR="003754FE" w:rsidRDefault="003754FE" w:rsidP="003754FE">
      <w:pPr>
        <w:pStyle w:val="TextoNormal"/>
      </w:pPr>
    </w:p>
    <w:p w14:paraId="4F3EB892" w14:textId="77777777" w:rsidR="003754FE" w:rsidRDefault="003754FE" w:rsidP="003754FE">
      <w:pPr>
        <w:pStyle w:val="TextoNormal"/>
      </w:pPr>
      <w:r>
        <w:t xml:space="preserve">3.4.1. </w:t>
      </w:r>
      <w:r w:rsidRPr="003754FE">
        <w:rPr>
          <w:i/>
        </w:rPr>
        <w:t>Enjuiciamiento de la subsunción en el delito de malversación de las conductas del recurrente relacionadas con la presupuestación y la gestión de las ayudas comprendidas en el programa 31L</w:t>
      </w:r>
    </w:p>
    <w:p w14:paraId="702D68FD" w14:textId="77777777" w:rsidR="003754FE" w:rsidRDefault="003754FE" w:rsidP="003754FE">
      <w:pPr>
        <w:pStyle w:val="TextoNormal"/>
      </w:pPr>
    </w:p>
    <w:p w14:paraId="315D0F03" w14:textId="77777777" w:rsidR="003754FE" w:rsidRDefault="003754FE" w:rsidP="003754FE">
      <w:pPr>
        <w:pStyle w:val="TextoNormal"/>
      </w:pPr>
      <w:r>
        <w:t xml:space="preserve">En relación con las leyes de presupuestos que contemplaban en el programa 31L distintas aplicaciones presupuestarias de transferencias de financiación al IFA para hacer frente al pago de las ayudas sociolaborales acordadas conforme al convenio marco de 2001, se contarían las siguientes actuaciones del recurrente: (i) la tramitación de los anteproyectos de leyes de presupuestos de 2002 a 2004, en los que participó en calidad de viceconsejero de Empleo; (ii) la modificación presupuestaria de fecha 15 de octubre de 2002 en la que el actor intervino asimismo en ejercicio del cargo de viceconsejero de Empleo; (iii) la aprobación de los proyectos de leyes de presupuestos de 2005 a 2009 como consejero de Empleo; (iv) la tramitación de las modificaciones presupuestarias correspondientes a los ejercicios 2005 a 2008 en las que también intervino en esta última condición; (v) la firma como </w:t>
      </w:r>
      <w:r>
        <w:lastRenderedPageBreak/>
        <w:t>presidente del IFA de convenios particulares con la Consejería de Empleo para el pago de las ayudas sociolaborales y a empresas en crisis en 2002 y hasta el 28 de enero de 2003; y (vi) las decisiones sobre la concesión de las ayudas del programa 31L tomadas en el periodo de 2002 a 2009.</w:t>
      </w:r>
    </w:p>
    <w:p w14:paraId="0C8B4081" w14:textId="77777777" w:rsidR="003754FE" w:rsidRDefault="003754FE" w:rsidP="003754FE">
      <w:pPr>
        <w:pStyle w:val="TextoNormal"/>
      </w:pPr>
    </w:p>
    <w:p w14:paraId="02F5B4CE" w14:textId="77777777" w:rsidR="003754FE" w:rsidRDefault="003754FE" w:rsidP="003754FE">
      <w:pPr>
        <w:pStyle w:val="TextoNormal"/>
      </w:pPr>
      <w:r>
        <w:t>A efectos de evaluar el ajuste al derecho a la legalidad penal de la condena por delito de malversación en relación con todas estas actuaciones, han de distinguirse las conductas activas y omisivas que son atribuidas al demandante de amparo.</w:t>
      </w:r>
    </w:p>
    <w:p w14:paraId="77A07EA3" w14:textId="77777777" w:rsidR="003754FE" w:rsidRDefault="003754FE" w:rsidP="003754FE">
      <w:pPr>
        <w:pStyle w:val="TextoNormal"/>
      </w:pPr>
    </w:p>
    <w:p w14:paraId="713A29A2" w14:textId="77777777" w:rsidR="003754FE" w:rsidRDefault="003754FE" w:rsidP="003754FE">
      <w:pPr>
        <w:pStyle w:val="TextoNormal"/>
      </w:pPr>
      <w:r>
        <w:t>A</w:t>
      </w:r>
      <w:r w:rsidRPr="003754FE">
        <w:rPr>
          <w:i/>
        </w:rPr>
        <w:t>) Modalidad activa del delito de malversació</w:t>
      </w:r>
      <w:r>
        <w:t>n:</w:t>
      </w:r>
    </w:p>
    <w:p w14:paraId="6D18D202" w14:textId="77777777" w:rsidR="003754FE" w:rsidRDefault="003754FE" w:rsidP="003754FE">
      <w:pPr>
        <w:pStyle w:val="TextoNormal"/>
      </w:pPr>
    </w:p>
    <w:p w14:paraId="7152572F" w14:textId="77777777" w:rsidR="003754FE" w:rsidRDefault="003754FE" w:rsidP="003754FE">
      <w:pPr>
        <w:pStyle w:val="TextoNormal"/>
      </w:pPr>
      <w:r>
        <w:t xml:space="preserve">a) </w:t>
      </w:r>
      <w:r w:rsidRPr="003754FE">
        <w:rPr>
          <w:i/>
        </w:rPr>
        <w:t>Contribución al sistema de presupuestación.</w:t>
      </w:r>
      <w:r>
        <w:t xml:space="preserve"> Según razonan las resoluciones impugnadas, el recurrente, al participar por razón de su cargo de viceconsejero y consejero en la tramitación de los anteproyectos de presupuestos de 2002 a 2009 y de las modificaciones presupuestarias de los años 2002, 2005, 2006, 2007 y 2008, habría realizado una contribución necesaria para que las ayudas sociolaborales y a empresas en crisis pudieran gestionarse sin sujeción al régimen jurídico de las subvenciones. Como reiteran, en diversos pasajes, las sentencias de instancia y casación, el “indebido sistema de presupuestación” habría dado lugar a la consiguiente sustracción de los caudales públicos, consistente en la omisión radical y absoluta del régimen jurídico previsto para las subvenciones, un régimen al que las ayudas sociolaborales y a empresas en crisis sí se habrían sometido, en cambio, si hubieran sido correctamente presupuestadas.</w:t>
      </w:r>
    </w:p>
    <w:p w14:paraId="143F6D72" w14:textId="77777777" w:rsidR="003754FE" w:rsidRDefault="003754FE" w:rsidP="003754FE">
      <w:pPr>
        <w:pStyle w:val="TextoNormal"/>
      </w:pPr>
    </w:p>
    <w:p w14:paraId="11BBC634" w14:textId="77777777" w:rsidR="003754FE" w:rsidRDefault="003754FE" w:rsidP="003754FE">
      <w:pPr>
        <w:pStyle w:val="TextoNormal"/>
      </w:pPr>
      <w:r>
        <w:t>Esta subsunción en la modalidad activa del delito de malversación resulta imprevisible y, por ello, contraria al art. 25.1 CE por dos razones fundamentales:</w:t>
      </w:r>
    </w:p>
    <w:p w14:paraId="4735BD48" w14:textId="77777777" w:rsidR="003754FE" w:rsidRDefault="003754FE" w:rsidP="003754FE">
      <w:pPr>
        <w:pStyle w:val="TextoNormal"/>
      </w:pPr>
    </w:p>
    <w:p w14:paraId="61204D8D" w14:textId="77777777" w:rsidR="003754FE" w:rsidRDefault="003754FE" w:rsidP="003754FE">
      <w:pPr>
        <w:pStyle w:val="TextoNormal"/>
      </w:pPr>
      <w:r>
        <w:t>(i) En primer lugar, el sistema de presupuestación contemplado en un anteproyecto o proyecto de ley de presupuestos solo puede ser considerado “indebido” o “ilícito” —y en tal concepto generador de un sistema de gestión igualmente indebido o ilegal— si es sometido a control o escrutinio jurídico, lo que no puede hacer ningún órgano judicial, tampoco los órganos de la jurisdicción penal.</w:t>
      </w:r>
    </w:p>
    <w:p w14:paraId="0F8B7F3D" w14:textId="77777777" w:rsidR="003754FE" w:rsidRDefault="003754FE" w:rsidP="003754FE">
      <w:pPr>
        <w:pStyle w:val="TextoNormal"/>
      </w:pPr>
    </w:p>
    <w:p w14:paraId="09C78339" w14:textId="77777777" w:rsidR="003754FE" w:rsidRDefault="003754FE" w:rsidP="003754FE">
      <w:pPr>
        <w:pStyle w:val="TextoNormal"/>
      </w:pPr>
      <w:r>
        <w:t>Como se señaló en la STC 93/2024, de 19 de junio, FJ 4.4.1 a), la doctrina de este tribunal establece “con toda claridad que el contenido de los anteproyectos y proyectos de ley no puede ser objeto de control por ningún órgano judicial” y que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w:t>
      </w:r>
    </w:p>
    <w:p w14:paraId="506791B8" w14:textId="77777777" w:rsidR="003754FE" w:rsidRDefault="003754FE" w:rsidP="003754FE">
      <w:pPr>
        <w:pStyle w:val="TextoNormal"/>
      </w:pPr>
    </w:p>
    <w:p w14:paraId="6B2BD833" w14:textId="77777777" w:rsidR="003754FE" w:rsidRDefault="003754FE" w:rsidP="003754FE">
      <w:pPr>
        <w:pStyle w:val="TextoNormal"/>
      </w:pPr>
      <w:r>
        <w:t xml:space="preserve">Las resoluciones impugnadas, al considerar que los anteproyectos de leyes de presupuestos en cuya tramitación participó el actor establecían un sistema de presupuestación “indebido” o “ilegal”, causalmente determinante de la posterior malversación, han realizado un control jurídico del contenido de los actos de iniciativa legislativa del Gobierno que les estaba constitucionalmente vedado. El ejercicio de ese control jurídico indebido produce, por sí solo, una subsunción completamente imprevisible en el tipo penal de la malversación, </w:t>
      </w:r>
      <w:r>
        <w:lastRenderedPageBreak/>
        <w:t>pues nadie puede esperar razonablemente que será penalmente condenado por la ilegalidad de un acto cuyo contenido no es susceptible de ser fiscalizado por la jurisdicción penal.</w:t>
      </w:r>
    </w:p>
    <w:p w14:paraId="2927FA42" w14:textId="77777777" w:rsidR="003754FE" w:rsidRDefault="003754FE" w:rsidP="003754FE">
      <w:pPr>
        <w:pStyle w:val="TextoNormal"/>
      </w:pPr>
    </w:p>
    <w:p w14:paraId="07654EDA" w14:textId="77777777" w:rsidR="003754FE" w:rsidRDefault="003754FE" w:rsidP="003754FE">
      <w:pPr>
        <w:pStyle w:val="TextoNormal"/>
      </w:pPr>
      <w:r>
        <w:t xml:space="preserve">(ii) El juicio de ilegalidad que las sentencias impugnadas efectúan del sistema de presupuestación contemplado en los anteproyectos y proyectos de leyes de presupuestos desconoce, igualmente, que dichas iniciativas legislativas carecen de cualquier eficacia jurídica </w:t>
      </w:r>
      <w:r w:rsidRPr="003754FE">
        <w:rPr>
          <w:i/>
        </w:rPr>
        <w:t>ad extra</w:t>
      </w:r>
      <w:r>
        <w:t xml:space="preserve"> mientras no sean aprobadas por el Parlamento, momento en el que adquieren rango de ley y a partir del cual han de considerarse válidas, sin que puedan constituir la fuente de actos de disposición ilícita de caudales públicos a efectos de condenar por delito de malversación.</w:t>
      </w:r>
    </w:p>
    <w:p w14:paraId="0154408F" w14:textId="77777777" w:rsidR="003754FE" w:rsidRDefault="003754FE" w:rsidP="003754FE">
      <w:pPr>
        <w:pStyle w:val="TextoNormal"/>
      </w:pPr>
    </w:p>
    <w:p w14:paraId="146165F9" w14:textId="77777777" w:rsidR="003754FE" w:rsidRDefault="003754FE" w:rsidP="003754FE">
      <w:pPr>
        <w:pStyle w:val="TextoNormal"/>
      </w:pPr>
      <w:r>
        <w:t>Como también señaló la STC 93/2024, FJ 4.4.1 B), considerar que “la intervención del Parlamento en la aprobación del presupuesto es meramente formal, hasta el punto de concluir que no puede entenderse aprobado el sistema de presupuestación expresamente previsto en la ley al considerar que este sistema había sido establecido ilegalmente por el Gobierno en el proyecto de ley” implica “privar de toda relevancia a la aprobación parlamentaria de la ley” y “desconocer la centralidad del Parlamento andaluz en el entramado institucional diseñado estatutariamente”, lo que es contrario a los “principios que rigen nuestro sistema constitucional, en particular los que otorgan la centralidad al Parlamento en la conformación del Estado”.</w:t>
      </w:r>
    </w:p>
    <w:p w14:paraId="2DFEEDAB" w14:textId="77777777" w:rsidR="003754FE" w:rsidRDefault="003754FE" w:rsidP="003754FE">
      <w:pPr>
        <w:pStyle w:val="TextoNormal"/>
      </w:pPr>
    </w:p>
    <w:p w14:paraId="30A38973" w14:textId="77777777" w:rsidR="003754FE" w:rsidRDefault="003754FE" w:rsidP="003754FE">
      <w:pPr>
        <w:pStyle w:val="TextoNormal"/>
      </w:pPr>
      <w:r>
        <w:t xml:space="preserve">La aprobación de anteproyectos y proyectos de leyes no puede considerarse, por tanto, un acto con eficacia jurídica </w:t>
      </w:r>
      <w:r w:rsidRPr="003754FE">
        <w:rPr>
          <w:i/>
        </w:rPr>
        <w:t>ad extra</w:t>
      </w:r>
      <w:r>
        <w:t xml:space="preserve"> desvinculada de su posterior aprobación parlamentaria; no es susceptible, por ello, de subsunción mínimamente previsible en la modalidad activa del delito de malversación consistente en sustraer, como pretendida fuente de ilicitud de un determinado sistema de gestión.</w:t>
      </w:r>
    </w:p>
    <w:p w14:paraId="0D0CAFFC" w14:textId="77777777" w:rsidR="003754FE" w:rsidRDefault="003754FE" w:rsidP="003754FE">
      <w:pPr>
        <w:pStyle w:val="TextoNormal"/>
      </w:pPr>
    </w:p>
    <w:p w14:paraId="1449EAA4" w14:textId="77777777" w:rsidR="003754FE" w:rsidRDefault="003754FE" w:rsidP="003754FE">
      <w:pPr>
        <w:pStyle w:val="TextoNormal"/>
      </w:pPr>
      <w:r>
        <w:t xml:space="preserve">b) </w:t>
      </w:r>
      <w:r w:rsidRPr="003754FE">
        <w:rPr>
          <w:i/>
        </w:rPr>
        <w:t>Intervención en la ejecución de las ayudas.</w:t>
      </w:r>
      <w:r>
        <w:t xml:space="preserve"> De otro lado y como se ha apreciado en la STC 94/2024, de 2 de julio, FJ 5.3 A), el hecho de que el referido sistema de presupuestación, y en particular las transferencias de financiación comprendidas en la partida 440 del programa 31L, fuera aprobado en las sucesivas leyes de presupuestos de Andalucía de los años 2002 a 2009 tiene asimismo incidencia en la consideración como conductas de malversación de las actuaciones de ejecución de las ayudas realizadas por el Sr. Fernández García bajo tales leyes.</w:t>
      </w:r>
    </w:p>
    <w:p w14:paraId="18E26DBF" w14:textId="77777777" w:rsidR="003754FE" w:rsidRDefault="003754FE" w:rsidP="003754FE">
      <w:pPr>
        <w:pStyle w:val="TextoNormal"/>
      </w:pPr>
    </w:p>
    <w:p w14:paraId="20B0CA9B" w14:textId="77777777" w:rsidR="003754FE" w:rsidRDefault="003754FE" w:rsidP="003754FE">
      <w:pPr>
        <w:pStyle w:val="TextoNormal"/>
      </w:pPr>
      <w:r>
        <w:t>En las referidas leyes de presupuestos y las memorias que las acompañan se preveía expresamente que la concesión de las ayudas sociolaborales y a empresas en crisis del programa 31L se efectuara mediante la firma de convenios particulares; también se contemplaba de forma explícita que el pago de las ayudas concedidas se materializara mediante transferencias de financiación a IFA/IDEA. En consecuencia, las determinaciones contenidas en dichas leyes de presupuestos en relación con el régimen de concesión y control financiero de las ayudas sociolaborales o a empresas en crisis (en concepto de “transferencias de financiación”) no podían ser calificadas de ilícitas o ilegales.</w:t>
      </w:r>
    </w:p>
    <w:p w14:paraId="35DA5B37" w14:textId="77777777" w:rsidR="003754FE" w:rsidRDefault="003754FE" w:rsidP="003754FE">
      <w:pPr>
        <w:pStyle w:val="TextoNormal"/>
      </w:pPr>
    </w:p>
    <w:p w14:paraId="798D2CD3" w14:textId="77777777" w:rsidR="003754FE" w:rsidRDefault="003754FE" w:rsidP="003754FE">
      <w:pPr>
        <w:pStyle w:val="TextoNormal"/>
      </w:pPr>
      <w:r>
        <w:t xml:space="preserve">Con estas premisas, no puede estimarse en modo alguno previsible, desde la óptica propia del art. 25.1 CE, que la ejecución por parte de una autoridad o funcionario público de las determinaciones contenidas en leyes de presupuestos aprobadas por un Parlamento pueda dar lugar a una condena penal por delito de malversación, por más que esas determinaciones </w:t>
      </w:r>
      <w:r>
        <w:lastRenderedPageBreak/>
        <w:t>impliquen, de facto, la supresión de los controles y procedimientos propios del régimen de las subvenciones. Nadie puede prever razonablemente que vaya a ser condenado por delito de malversación, esto es, por la disposición ilícita de caudales o efectos públicos, por realizar conductas que tienen cobertura en una norma con rango de ley que regula específicamente el supuesto de hecho al que ese individuo se enfrenta en su calidad de autoridad o funcionario público, pues tal ley, en tanto no sea declarada inconstitucional, ha de considerarse válida.</w:t>
      </w:r>
    </w:p>
    <w:p w14:paraId="133C8293" w14:textId="77777777" w:rsidR="003754FE" w:rsidRDefault="003754FE" w:rsidP="003754FE">
      <w:pPr>
        <w:pStyle w:val="TextoNormal"/>
      </w:pPr>
    </w:p>
    <w:p w14:paraId="578883DD" w14:textId="77777777" w:rsidR="003754FE" w:rsidRDefault="003754FE" w:rsidP="003754FE">
      <w:pPr>
        <w:pStyle w:val="TextoNormal"/>
      </w:pPr>
      <w:r>
        <w:t>En suma, no resulta compatible con el derecho a la legalidad penal sustentar la condena del recurrente como autor de un delito de malversación en su intervención activa en la concesión de concretas ayudas en tanto se sujete a la previsión de las sucesivas leyes de presupuestos de uso de las transferencias de financiación para el pago de ayudas sociolaborales a través del instrumento de los convenios particulares. Sin embargo, como enseguida se examinará, la conducta del Sr. Fernández García que ha sido calificada como malversación desborda el sistema legal diseñado en las citadas leyes presupuestarias.</w:t>
      </w:r>
    </w:p>
    <w:p w14:paraId="10ADCB71" w14:textId="77777777" w:rsidR="003754FE" w:rsidRDefault="003754FE" w:rsidP="003754FE">
      <w:pPr>
        <w:pStyle w:val="TextoNormal"/>
      </w:pPr>
    </w:p>
    <w:p w14:paraId="2E8251D6" w14:textId="77777777" w:rsidR="003754FE" w:rsidRDefault="003754FE" w:rsidP="003754FE">
      <w:pPr>
        <w:pStyle w:val="TextoNormal"/>
      </w:pPr>
      <w:r>
        <w:t xml:space="preserve">B) </w:t>
      </w:r>
      <w:r w:rsidRPr="003754FE">
        <w:rPr>
          <w:i/>
        </w:rPr>
        <w:t>Modalidad omisiva del delito de malversación:</w:t>
      </w:r>
      <w:r>
        <w:t xml:space="preserve"> En lo que se refiere a la modalidad omisiva consistente en consentir que un tercero sustraiga, la cobertura que las leyes de presupuestos daban a la utilización de las transferencias de financiación a la agencia IFA/IDEA para el pago de las ayudas sociolaborales y a empresas en crisis determina que la subsunción en el tipo de malversación resulte, igualmente, imprevisible desde la óptica del art. 25.1 CE en tanto que vinculada al sistema de presupuestación, por las razones siguientes:</w:t>
      </w:r>
    </w:p>
    <w:p w14:paraId="4E699E51" w14:textId="77777777" w:rsidR="003754FE" w:rsidRDefault="003754FE" w:rsidP="003754FE">
      <w:pPr>
        <w:pStyle w:val="TextoNormal"/>
      </w:pPr>
    </w:p>
    <w:p w14:paraId="0E64BE2F" w14:textId="77777777" w:rsidR="003754FE" w:rsidRDefault="003754FE" w:rsidP="003754FE">
      <w:pPr>
        <w:pStyle w:val="TextoNormal"/>
      </w:pPr>
      <w:r>
        <w:t>(i) En el delito de malversación no hay omisión sancionable si no existe, previamente, un resultado ilícito, esto es, si no hay un acto de sustracción. En la propia construcción del Tribunal Supremo, la omisión castigada en el tipo del art. 432 CP se concibe como una omisión impropia, también llamada comisión por omisión. Dicha modalidad omisiva no consiste en la mera inactividad de la autoridad o funcionario, esto es, en un simple incumplimiento de un deber de actuar. Lo que se atribuye a la autoridad o funcionario público en la modalidad omisiva del delito de malversación es, empleando los términos del art. 11 CP, la “no evitación” de un determinado resultado.</w:t>
      </w:r>
    </w:p>
    <w:p w14:paraId="4D239AF1" w14:textId="77777777" w:rsidR="003754FE" w:rsidRDefault="003754FE" w:rsidP="003754FE">
      <w:pPr>
        <w:pStyle w:val="TextoNormal"/>
      </w:pPr>
    </w:p>
    <w:p w14:paraId="6CA71A9D" w14:textId="77777777" w:rsidR="003754FE" w:rsidRDefault="003754FE" w:rsidP="003754FE">
      <w:pPr>
        <w:pStyle w:val="TextoNormal"/>
      </w:pPr>
      <w:r>
        <w:t>El resultado que el recurrente de amparo tenía el deber de evitar era, según expone la sentencia de casación, la sustracción por terceros de los caudales públicos, entendida como la omisión global y absoluta, en la gestión de las ayudas sociolaborales y a empresas en crisis, de los requisitos y controles propios del régimen de las subvenciones.</w:t>
      </w:r>
    </w:p>
    <w:p w14:paraId="76297225" w14:textId="77777777" w:rsidR="003754FE" w:rsidRDefault="003754FE" w:rsidP="003754FE">
      <w:pPr>
        <w:pStyle w:val="TextoNormal"/>
      </w:pPr>
    </w:p>
    <w:p w14:paraId="3C26C9DE" w14:textId="77777777" w:rsidR="003754FE" w:rsidRDefault="003754FE" w:rsidP="003754FE">
      <w:pPr>
        <w:pStyle w:val="TextoNormal"/>
      </w:pPr>
      <w:r>
        <w:t>Sin embargo, como se acaba de señalar, es completamente imprevisible calificar como disposición ilícita la actuación conforme a los procedimientos y controles expresamente establecidos en las sucesivas leyes de presupuestos, como normas que tienen el mismo rango legal que cualquier otra ley [STC 94/2024, de 2 de julio, FJ 5.3 A)]. Y sin resultado típico susceptible de válida subsunción en la norma penal, desparece también toda posibilidad de subsumir en el mismo precepto la conducta omisiva impropia que castiga a la autoridad que no ha evitado la materialización de ese resultado.</w:t>
      </w:r>
    </w:p>
    <w:p w14:paraId="23E5E9D9" w14:textId="77777777" w:rsidR="003754FE" w:rsidRDefault="003754FE" w:rsidP="003754FE">
      <w:pPr>
        <w:pStyle w:val="TextoNormal"/>
      </w:pPr>
    </w:p>
    <w:p w14:paraId="16DD4B20" w14:textId="77777777" w:rsidR="003754FE" w:rsidRDefault="003754FE" w:rsidP="003754FE">
      <w:pPr>
        <w:pStyle w:val="TextoNormal"/>
      </w:pPr>
      <w:r>
        <w:t xml:space="preserve">En otras palabras, si la omisión de formalidades y procedimientos por parte de las autoridades y funcionarios que intervenían en la gestión de los fondos estaba amparada en la ley, la supresión de esos controles no puede considerarse una sustracción; en consecuencia, </w:t>
      </w:r>
      <w:r>
        <w:lastRenderedPageBreak/>
        <w:t>las autoridades implicadas en la fase de presupuestación y en la materialización del pago de la ayudas de conformidad con las leyes de presupuestos, como era el caso del recurrente de amparo en su triple condición de viceconsejero, consejero y presidente del IFA, no pudieron consentir sustracción alguna consistente en la supresión de tales trámites y controles.</w:t>
      </w:r>
    </w:p>
    <w:p w14:paraId="5302D601" w14:textId="77777777" w:rsidR="003754FE" w:rsidRDefault="003754FE" w:rsidP="003754FE">
      <w:pPr>
        <w:pStyle w:val="TextoNormal"/>
      </w:pPr>
    </w:p>
    <w:p w14:paraId="7B6AF24E" w14:textId="77777777" w:rsidR="003754FE" w:rsidRDefault="003754FE" w:rsidP="003754FE">
      <w:pPr>
        <w:pStyle w:val="TextoNormal"/>
      </w:pPr>
      <w:r>
        <w:t xml:space="preserve">(ii) Por las mismas razones ha de considerarse imprevisible la subsunción en la norma penal del deber de actuar supuestamente infringido por el recurrente de evitar las irregularidades que se consumaban en la gestión de las ayudas sociolaborales y a empresas en crisis como consecuencia del “indebido” sistema de presupuestación. Si esas irregularidades eran, como es la tesis de las sentencias impugnadas, la consecuencia necesaria del sistema de presupuestación del programa 31L y este había sido aprobado en las sucesivas las leyes de presupuestos, el recurrente no tenía la obligación de oponerse a esas supuestas ilegalidades, pues no puede establecerse, como omisión sancionada en el delito de malversación, una exigencia de actuación </w:t>
      </w:r>
      <w:r w:rsidRPr="003754FE">
        <w:rPr>
          <w:i/>
        </w:rPr>
        <w:t>contra legem</w:t>
      </w:r>
      <w:r>
        <w:t>, esto es, una obligación de actuar para impedir la realización de actos que tienen expresa cobertura en las leyes de presupuestos en vigor. Tal cosa equivaldría a considerar que la conducta exigible al recurrente de amparo era impedir la aplicación, por parte de las autoridades y funcionarios competentes, de las previsiones expresamente contempladas en una norma con rango de ley.</w:t>
      </w:r>
    </w:p>
    <w:p w14:paraId="07EC85AC" w14:textId="77777777" w:rsidR="003754FE" w:rsidRDefault="003754FE" w:rsidP="003754FE">
      <w:pPr>
        <w:pStyle w:val="TextoNormal"/>
      </w:pPr>
    </w:p>
    <w:p w14:paraId="1B4D46B1" w14:textId="77777777" w:rsidR="003754FE" w:rsidRDefault="003754FE" w:rsidP="003754FE">
      <w:pPr>
        <w:pStyle w:val="TextoNormal"/>
      </w:pPr>
      <w:r>
        <w:t>Es importante reseñar, finalmente, que para alcanzar las conclusiones anteriores no es preciso pronunciarse sobre la eventual relación normativa de antinomia o complementariedad que pudiera existir entre el sistema de presupuestación establecido para las ayudas sociolaborales en las sucesivas leyes de presupuestos de los años 2002 a 2009 y las disposiciones previstas en otras normas de rango legal, como la Ley 5/1983, de 19 de julio, de hacienda pública de Andalucía o la Ley 38/2003, de 17 de noviembre, general de subvenciones. Las sentencias de instancia y casación son claras al considerar que existe una correspondencia absoluta entre el sistema de presupuestación aprobado por las leyes presupuestarias y el consiguiente sistema global de gestión de los fondos públicos sin sujeción al régimen de las subvenciones, rechazando, en diversos pasajes, que uno y otro puedan ser desconectados, ya que son eslabones sucesivos en la materialización de una ilegalidad originaria, contenida en el sistema de presupuestación inicialmente establecido. Es esa tesis de los órganos judiciales la que es objeto de escrutinio en este punto y la que conduce, como se ha expresado, a apreciar que se ha producido una subsunción completamente imprevisible en el delito de malversación. A ella, por tanto, ha de ceñirse nuestro enjuiciamiento.</w:t>
      </w:r>
    </w:p>
    <w:p w14:paraId="0356B6A8" w14:textId="77777777" w:rsidR="003754FE" w:rsidRDefault="003754FE" w:rsidP="003754FE">
      <w:pPr>
        <w:pStyle w:val="TextoNormal"/>
      </w:pPr>
    </w:p>
    <w:p w14:paraId="506BE674" w14:textId="77777777" w:rsidR="003754FE" w:rsidRDefault="003754FE" w:rsidP="003754FE">
      <w:pPr>
        <w:pStyle w:val="TextoNormal"/>
      </w:pPr>
      <w:r>
        <w:t>La jurisdicción que nos corresponde ejercer en este proceso constitucional se circunscribe a la revisión de una condena penal desde la perspectiva tuitiva que es propia del derecho a la legalidad en materia sancionadora (art. 25.1 CE). Basta, por ello, con constatar que las leyes de presupuestos de los años 2002 a 2009 —que no fueron impugnadas ni cuestionadas ante este tribunal y que establecieron el sistema de presupuestación que las sentencias impugnadas consideran la fuente de todas las ilegalidades en la posterior concesión de las ayudas— estaban en vigor y amparaban el modo de gestión globalmente seguido para conceder las ayudas sociolaborales y a empresas en crisis a través de transferencias de financiación a la agencia IFA/IDEA.</w:t>
      </w:r>
    </w:p>
    <w:p w14:paraId="5C5272E0" w14:textId="77777777" w:rsidR="003754FE" w:rsidRDefault="003754FE" w:rsidP="003754FE">
      <w:pPr>
        <w:pStyle w:val="TextoNormal"/>
      </w:pPr>
    </w:p>
    <w:p w14:paraId="0E691926" w14:textId="77777777" w:rsidR="003754FE" w:rsidRDefault="003754FE" w:rsidP="003754FE">
      <w:pPr>
        <w:pStyle w:val="TextoNormal"/>
      </w:pPr>
      <w:r>
        <w:t xml:space="preserve">Ha de estimarse, por ello, vulnerado el derecho a la legalidad penal (art. 25.1 CE) en lo que se refiere a la forma global de gestión que el recurrente habría propiciado: (i) al participar en la tramitación de los anteproyectos de leyes de presupuestos de 2002 a 2004, de los </w:t>
      </w:r>
      <w:r>
        <w:lastRenderedPageBreak/>
        <w:t>proyectos de leyes de presupuestos de 2005 a 2008 y en la tramitación de las modificaciones presupuestarias efectuadas para los ejercicios de 2002, 2005, 2006, 2007 y 2008; (ii) al firmar los convenios particulares de colaboración en 2002 y hasta el 28 de enero de 2003 o intervenir en la decisión sobre la concesión de ayudas al amparo del programa 31L a partir de 2002; y (iii) al no impedir que siguiera el sistema de presupuestación que permitía por la vía de las transferencias de financiación minorar los controles en la concesión de las ayudas.</w:t>
      </w:r>
    </w:p>
    <w:p w14:paraId="39B579BA" w14:textId="77777777" w:rsidR="003754FE" w:rsidRDefault="003754FE" w:rsidP="003754FE">
      <w:pPr>
        <w:pStyle w:val="TextoNormal"/>
      </w:pPr>
    </w:p>
    <w:p w14:paraId="2C808951" w14:textId="77777777" w:rsidR="003754FE" w:rsidRDefault="003754FE" w:rsidP="003754FE">
      <w:pPr>
        <w:pStyle w:val="TextoNormal"/>
      </w:pPr>
      <w:r>
        <w:t>3.4.2. Enjuiciamiento de la subsunción en el delito de malversación de conductas que carecían de amparo legal (gestión global de las ayudas comprendidas en el programa 22E y uso de fondos comprendidos en el programa 31L en ausencia o con desviación de su fin público)</w:t>
      </w:r>
    </w:p>
    <w:p w14:paraId="33E6921A" w14:textId="77777777" w:rsidR="003754FE" w:rsidRDefault="003754FE" w:rsidP="003754FE">
      <w:pPr>
        <w:pStyle w:val="TextoNormal"/>
      </w:pPr>
    </w:p>
    <w:p w14:paraId="6E9326EF" w14:textId="77777777" w:rsidR="003754FE" w:rsidRDefault="003754FE" w:rsidP="003754FE">
      <w:pPr>
        <w:pStyle w:val="TextoNormal"/>
      </w:pPr>
      <w:r>
        <w:t>El relato de hechos probados de la sentencia de la Audiencia Provincial incluye una serie de conductas sobre las que no pueden proyectarse, en lo que respecta al delito de malversación, las consideraciones anteriores. Se trata, concretamente, (i) de la forma global de gestión, al margen de la normativa sobre subvenciones, de las ayudas comprendidas en el programa 22E derivada de las modificaciones presupuestarias de fecha 18 de abril de 2000, 28 de julio de 2000, 18 de septiembre de 2001 y 13 de noviembre de 2001, en las que el recurrente intervino en calidad de viceconsejero de Empleo; y (ii) de las aplicaciones de fondos del programa 31L en ausencia de todo fin público o para fines distintos de los expresamente autorizados en las leyes de presupuestos de 2002 a 2009, algunas de las cuales se produjeron mientras el recurrente ejerció sus cargos.</w:t>
      </w:r>
    </w:p>
    <w:p w14:paraId="093B8329" w14:textId="77777777" w:rsidR="003754FE" w:rsidRDefault="003754FE" w:rsidP="003754FE">
      <w:pPr>
        <w:pStyle w:val="TextoNormal"/>
      </w:pPr>
    </w:p>
    <w:p w14:paraId="3E2C07D5" w14:textId="77777777" w:rsidR="003754FE" w:rsidRDefault="003754FE" w:rsidP="003754FE">
      <w:pPr>
        <w:pStyle w:val="TextoNormal"/>
      </w:pPr>
      <w:r>
        <w:t>En el caso de las modificaciones presupuestarias operadas en el programa 22E, no es contrario al art. 25.1 CE que las resoluciones impugnadas hayan considerado que se ha utilizado un sistema de presupuestación indebido, que carecía de toda cobertura legal. La partida presupuestaria utilizada —440.01 “Transferencia al IFA en materia de relaciones laborales”— era, según razona la Audiencia Provincial, “legalmente inapropiada” para cubrir el pago de este tipo de subvenciones, ya que no estaba ordenada “para tal fin en la Orden de la Consejería de Hacienda, de 22 de mayo de 1998, por la que se estableció la clasificación económica del presupuesto, la cual había sido dictada en cumplimiento del mandato contenido en el artículo 33 de la Ley 5/1983, general de hacienda pública de Andalucía” (sentencia de la Audiencia Provincial, fundamento de Derecho 33, pág. 1139). Y las leyes de presupuestos para los ejercicios de 2000 y 2001 no amparaban la utilización de la aludida partida para proceder al pago de ayudas sociolaborales o a empresas en crisis. Las modificaciones presupuestarias en cuya tramitación participó el recurrente de amparo en los años 2000 y 2001 infringían, en suma, las previsiones contenidas en las leyes de presupuestos en vigor y las normas presupuestarías que se citan en las sentencias impugnadas.</w:t>
      </w:r>
    </w:p>
    <w:p w14:paraId="2C2AB0CF" w14:textId="77777777" w:rsidR="003754FE" w:rsidRDefault="003754FE" w:rsidP="003754FE">
      <w:pPr>
        <w:pStyle w:val="TextoNormal"/>
      </w:pPr>
    </w:p>
    <w:p w14:paraId="07333595" w14:textId="77777777" w:rsidR="003754FE" w:rsidRDefault="003754FE" w:rsidP="003754FE">
      <w:pPr>
        <w:pStyle w:val="TextoNormal"/>
      </w:pPr>
      <w:r>
        <w:t>Por lo que se refiere a la asignación de fondos públicos del programa 31L en ausencia o con desviación de su fin público, que el relato de hechos probados aprecia respecto de las actuaciones enunciadas en el apartado C) del hecho probado 22 y puede apreciarse también respecto de la ayuda para el pago de las pólizas suscritas con directivos de la empresa Santana, tampoco vienen amparadas por las leyes de presupuestos que contemplaban el citado programa, por más que las actuaciones tuvieran lugar durante su vigencia. La ilicitud de estos actos de disposición de los fondos públicos del programa 31L trasciende la mera omisión de trámites y procedimientos propios de la normativa de las subvenciones.</w:t>
      </w:r>
    </w:p>
    <w:p w14:paraId="2C623B48" w14:textId="77777777" w:rsidR="003754FE" w:rsidRDefault="003754FE" w:rsidP="003754FE">
      <w:pPr>
        <w:pStyle w:val="TextoNormal"/>
      </w:pPr>
    </w:p>
    <w:p w14:paraId="2D46FB6F" w14:textId="77777777" w:rsidR="003754FE" w:rsidRDefault="003754FE" w:rsidP="003754FE">
      <w:pPr>
        <w:pStyle w:val="TextoNormal"/>
      </w:pPr>
      <w:r>
        <w:lastRenderedPageBreak/>
        <w:t>De un lado, la ilicitud está asociada a la ausencia, en el momento de la concesión de las ayudas por parte de la Consejería de Empleo, de una causa legítima, concretamente de una situación de insolvencia de la empresa beneficiaria que justificase que fuera la administración pública andaluza, y no la propia empresa afectada, la que asumiera los pagos correspondientes. Es claro que las leyes de presupuestos no legitimaban la disposición de los fondos presupuestados sin la concurrencia de los fines públicos propios de las ayudas sociolaborales y a empresas en crisis, por lo que esta concreta forma de disposición de los caudales por parte de la Consejería de Empleo, asociada a la ausencia de causa justificativa, no está abarcada por los razonamientos relativos a la imprevisible subsunción en el delito de malversación de la forma global de gestión del programa 31L derivada del sistema de presupuestación utilizado</w:t>
      </w:r>
      <w:r w:rsidRPr="003754FE">
        <w:rPr>
          <w:i/>
        </w:rPr>
        <w:t xml:space="preserve"> (vid. sup</w:t>
      </w:r>
      <w:r>
        <w:t>ra FJ 3.4.1).</w:t>
      </w:r>
    </w:p>
    <w:p w14:paraId="0DF63F09" w14:textId="77777777" w:rsidR="003754FE" w:rsidRDefault="003754FE" w:rsidP="003754FE">
      <w:pPr>
        <w:pStyle w:val="TextoNormal"/>
      </w:pPr>
    </w:p>
    <w:p w14:paraId="54BDDBA4" w14:textId="77777777" w:rsidR="003754FE" w:rsidRDefault="003754FE" w:rsidP="003754FE">
      <w:pPr>
        <w:pStyle w:val="TextoNormal"/>
      </w:pPr>
      <w:r>
        <w:t>De otro lado, en todos los casos comprendidos la letra C) del hecho probado vigésimo segundo de la sentencia de la Audiencia Provincial y en otras posibles disposiciones desviadas, la carga de ilicitud que se atribuye a los actos de disposición tampoco está en la omisión de determinados controles o procedimientos en aplicación del sistema legal de presupuestación, sino en el apartamiento, en la concreta concesión de los fondos, de los fines públicos previstos en las sucesivas leyes de presupuestos para el programa 31L. La aplicación de los caudales a fines no previstos en el citado programa carecía, en tal medida, de cobertura en las leyes de presupuestos.</w:t>
      </w:r>
    </w:p>
    <w:p w14:paraId="1DEE4EB1" w14:textId="77777777" w:rsidR="003754FE" w:rsidRDefault="003754FE" w:rsidP="003754FE">
      <w:pPr>
        <w:pStyle w:val="TextoNormal"/>
      </w:pPr>
    </w:p>
    <w:p w14:paraId="180554F7" w14:textId="77777777" w:rsidR="003754FE" w:rsidRDefault="003754FE" w:rsidP="003754FE">
      <w:pPr>
        <w:pStyle w:val="TextoNormal"/>
      </w:pPr>
      <w:r>
        <w:t>En relación con todos estos supuestos de disposición de fondos sin amparo en el sistema de presupuestación del programa 31L, sea por ausencia o por desviación de su fin público, debe examinarse si, como alega el recurrente, la condena como autor de un delito de malversación vulnera el derecho a la legalidad penal contemplado en el art. 25.1 CE por no concurrir los requisitos típicos del art. 432 CP. Aduce, en concreto, que no realizó actos de disposición que integren el verbo típico “sustraer” de la modalidad activa del inciso primero del art. 432.1 CP, que no permitió la sustracción por un tercero de fondos a su cargo a la que alude segundo inciso del art. 432.1 CP y, en todo caso, que las ayudas atendieron a finalidades públicas, que no decaen por la ausencia de procedimiento, por lo que no puede hablarse de sustracción. El análisis comenzará por esta última consideración global.</w:t>
      </w:r>
    </w:p>
    <w:p w14:paraId="58F93E74" w14:textId="77777777" w:rsidR="003754FE" w:rsidRDefault="003754FE" w:rsidP="003754FE">
      <w:pPr>
        <w:pStyle w:val="TextoNormal"/>
      </w:pPr>
    </w:p>
    <w:p w14:paraId="13C07C57" w14:textId="77777777" w:rsidR="003754FE" w:rsidRDefault="003754FE" w:rsidP="003754FE">
      <w:pPr>
        <w:pStyle w:val="TextoNormal"/>
      </w:pPr>
      <w:r>
        <w:t>a) Ausencia de procedimiento y sustracción de caudales públicos</w:t>
      </w:r>
    </w:p>
    <w:p w14:paraId="67BA7593" w14:textId="77777777" w:rsidR="003754FE" w:rsidRDefault="003754FE" w:rsidP="003754FE">
      <w:pPr>
        <w:pStyle w:val="TextoNormal"/>
      </w:pPr>
    </w:p>
    <w:p w14:paraId="1BC34722" w14:textId="77777777" w:rsidR="003754FE" w:rsidRDefault="003754FE" w:rsidP="003754FE">
      <w:pPr>
        <w:pStyle w:val="TextoNormal"/>
      </w:pPr>
      <w:r>
        <w:t>La sentencia casacional rechaza en el fundamento de Derecho 34 (págs. 334-338) el argumento de las defensas de que las ayudas públicas concedidas cumplieran fines públicos, bien que distintos de los previstos legalmente, y, en tal medida, que no hubiera habido sustracción o consentimiento de la sustracción. La Sala Segunda mantiene que “la finalidad pública y la licitud viene condicionada al cumplimiento de las exigencias legales y en este caso el incumplimiento de esas exigencias fue absoluto dando lugar a un total descontrol del manejo de los fondos públicos” (pág. 336), en línea con precedentes que incluyen en el concepto de “sustracción” las disposiciones definitivas de caudales públicos en favor de terceros y con incumplimiento absoluto de los controles y presupuestos legales [SSTS de 29 de junio de 2008; 908/2021, de 24 de noviembre (ECLI:ES:TS:2021:4385); 685/2021, de 15 de septiembre (ECLI:ES:TS:2021:3357), y 606/2017, de 7 de septiembre (ECLI:ES:TS:2017:3211)].</w:t>
      </w:r>
    </w:p>
    <w:p w14:paraId="06E784A8" w14:textId="77777777" w:rsidR="003754FE" w:rsidRDefault="003754FE" w:rsidP="003754FE">
      <w:pPr>
        <w:pStyle w:val="TextoNormal"/>
      </w:pPr>
    </w:p>
    <w:p w14:paraId="329BBB43" w14:textId="77777777" w:rsidR="003754FE" w:rsidRDefault="003754FE" w:rsidP="003754FE">
      <w:pPr>
        <w:pStyle w:val="TextoNormal"/>
      </w:pPr>
      <w:r>
        <w:lastRenderedPageBreak/>
        <w:t>El tribunal ya ha tenido ocasión de enjuiciar y desestimar una queja análoga a la formulada por el actor frente al entendimiento de las resoluciones impugnadas de que la sustracción de los caudales públicos que sanciona el art. 432 CP puede consistir en el apartamiento total y absoluto de los trámites y controles legalmente exigidos para su gestión, en ausencia de los cuales se materializa una gestión libérrima y arbitraria que no puede estimarse, por concepto, que atienda a ninguna finalidad que pueda reputarse pública. En la STC 94/2024, de 2 de julio, FJ 5.2, se concluyó que esa comprensión resulta compatible con el derecho fundamental a la legalidad penal contemplado en el art. 25.1 CE. El examen de los argumentos de las resoluciones impugnadas puso de manifiesto que esta interpretación del delito de malversación respeta las exigencias de previsibilidad gramatical, metodológica y axiológica propias del art. 25.1 CE. A los razonamientos allí desarrollados nos remitimos.</w:t>
      </w:r>
    </w:p>
    <w:p w14:paraId="11E4E525" w14:textId="77777777" w:rsidR="003754FE" w:rsidRDefault="003754FE" w:rsidP="003754FE">
      <w:pPr>
        <w:pStyle w:val="TextoNormal"/>
      </w:pPr>
    </w:p>
    <w:p w14:paraId="2460BF1D" w14:textId="77777777" w:rsidR="003754FE" w:rsidRDefault="003754FE" w:rsidP="003754FE">
      <w:pPr>
        <w:pStyle w:val="TextoNormal"/>
      </w:pPr>
      <w:r>
        <w:t>Por ello debe descartarse cualquier reproche desde la óptica del art. 25.1 CE a la comprensión cuestionada por el demandante y, por ende, a la subsunción de su conducta en el delito de malversación con tal base.</w:t>
      </w:r>
    </w:p>
    <w:p w14:paraId="7AF8FE78" w14:textId="77777777" w:rsidR="003754FE" w:rsidRDefault="003754FE" w:rsidP="003754FE">
      <w:pPr>
        <w:pStyle w:val="TextoNormal"/>
      </w:pPr>
    </w:p>
    <w:p w14:paraId="6E41887B" w14:textId="77777777" w:rsidR="003754FE" w:rsidRDefault="003754FE" w:rsidP="003754FE">
      <w:pPr>
        <w:pStyle w:val="TextoNormal"/>
      </w:pPr>
      <w:r>
        <w:t>b) Modalidad activa de disposición de fondos (sustraer): ausencia de una disposición por parte del recurrente de fondos a su cargo</w:t>
      </w:r>
    </w:p>
    <w:p w14:paraId="0A98B67D" w14:textId="77777777" w:rsidR="003754FE" w:rsidRDefault="003754FE" w:rsidP="003754FE">
      <w:pPr>
        <w:pStyle w:val="TextoNormal"/>
      </w:pPr>
    </w:p>
    <w:p w14:paraId="798BD67B" w14:textId="77777777" w:rsidR="003754FE" w:rsidRDefault="003754FE" w:rsidP="003754FE">
      <w:pPr>
        <w:pStyle w:val="TextoNormal"/>
      </w:pPr>
      <w:r>
        <w:t>El actor sostiene que el delito de malversación es un delito de resultado que exige una efectiva realidad dispositiva de los fondos sin la que no puede entenderse presente la acción típica de sustraer, que, según defiende, implica tanto el dictado de una resolución como la facultad específica de detentación de los bienes públicos. Ni él dictó una resolución de concesión de fondos ni tuvo la facultad de adoptar decisiones vinculantes sobre los mismos.</w:t>
      </w:r>
    </w:p>
    <w:p w14:paraId="7751DFCA" w14:textId="77777777" w:rsidR="003754FE" w:rsidRDefault="003754FE" w:rsidP="003754FE">
      <w:pPr>
        <w:pStyle w:val="TextoNormal"/>
      </w:pPr>
    </w:p>
    <w:p w14:paraId="64768B67" w14:textId="77777777" w:rsidR="003754FE" w:rsidRDefault="003754FE" w:rsidP="003754FE">
      <w:pPr>
        <w:pStyle w:val="TextoNormal"/>
      </w:pPr>
      <w:r>
        <w:t xml:space="preserve">Al respecto debe precisarse de inicio que el Sr. Fernández García fue condenado en relación con las ayudas comprendidas en el programa 22E no solo por haber intervenido en las modificaciones presupuestarias que arbitraron los fondos para el pago de las ayudas sociolaborales, sino por haber firmado como presidente del IFA numerosos convenios particulares con el director general de Trabajo a través de los cuales se materializaron concretas ayudas. Intervino, en suma, en la materialización de las ayudas con actuaciones que las sentencias recurridas han considerados resoluciones. Del mismo modo, en ejecución ya del programa 31L, cuya disposición de fondos en ausencia de fin público o desviada ahora se examina, el actor siguió firmando convenios hasta el 28 de enero de 2003 en su condición de presidente del IFA. El recurrente no ha cuestionado esta calificación de la firma de convenios, que, por otro lado, el tribunal no ha juzgado contraria al art. 25.1 CE. En la STC 94/2024, de 2 de julio, FJ 4.4, se ha apreciado que “no puede considerarse una interpretación imprevisible ni extravagante el que las resoluciones judiciales impugnadas hayan considerado la firma de convenios por el recurrente en su condición de titular de la Dirección General del IFA/IDEA como una resolución recaída en un asunto administrativo”. Esa conclusión impide ahora </w:t>
      </w:r>
      <w:r w:rsidRPr="003754FE">
        <w:rPr>
          <w:i/>
        </w:rPr>
        <w:t>mutatis mutandis</w:t>
      </w:r>
      <w:r>
        <w:t xml:space="preserve"> acoger la premisa fáctica de la que parte el actor, esto es, que no dictó resolución alguna de disposición directa de fondos, ya que firmó convenios en su condición de presidente del IFA.</w:t>
      </w:r>
    </w:p>
    <w:p w14:paraId="4432A323" w14:textId="77777777" w:rsidR="003754FE" w:rsidRDefault="003754FE" w:rsidP="003754FE">
      <w:pPr>
        <w:pStyle w:val="TextoNormal"/>
      </w:pPr>
    </w:p>
    <w:p w14:paraId="234351EE" w14:textId="77777777" w:rsidR="003754FE" w:rsidRDefault="003754FE" w:rsidP="003754FE">
      <w:pPr>
        <w:pStyle w:val="TextoNormal"/>
      </w:pPr>
      <w:r>
        <w:t xml:space="preserve">De cualquier manera y con carácter general, frente a la tesis interpretativa que implícitamente defiende el demandante al cuestionar la subsunción de su conducta en el inciso primero del art. 432.1 CP, esto es, la necesidad de que el autor de un delito de malversación activo adopte resoluciones de concesión de fondos de los que disponga materialmente en </w:t>
      </w:r>
      <w:r>
        <w:lastRenderedPageBreak/>
        <w:t>virtud de una competencia específica, se opone otro entendimiento del verbo típico “sustraer” y de la expresión “tener a su cargo” por parte de la Audiencia Provincial y del Tribunal Supremo en el que se apoya la calificación de la conducta del actor como delito de malversación. Al resolver sobre la lesión del derecho a la legalidad penal no corresponde a este tribunal dilucidar esa alternativa interpretativa, sino verificar la previsibilidad de la comprensión mantenida en las sentencias en la que se asienta la condena del actor.</w:t>
      </w:r>
    </w:p>
    <w:p w14:paraId="7CA25A90" w14:textId="77777777" w:rsidR="003754FE" w:rsidRDefault="003754FE" w:rsidP="003754FE">
      <w:pPr>
        <w:pStyle w:val="TextoNormal"/>
      </w:pPr>
    </w:p>
    <w:p w14:paraId="767D90DD" w14:textId="77777777" w:rsidR="003754FE" w:rsidRDefault="003754FE" w:rsidP="003754FE">
      <w:pPr>
        <w:pStyle w:val="TextoNormal"/>
      </w:pPr>
      <w:r>
        <w:t>El órgano de casación razona que, “[e]n estructuras complejas la acción del delito de malversación no puede limitarse a quienes efectúan materialmente los pagos sino a todos aquellos que los hacen posible o, en otras palabras, a todos aquellos que sin su concurso la acción no puede llevarse a cabo, a todas las autoridades que de forma expresa o genérica o de facto tienen competencia sobre el destino de los fondos” (STS 749/2022, fundamento de Derecho 35, pág. 341), citándose la STS de 29 de julio de 2008 (asunto Marey y fondos reservados, ECLI:ES:TS:1998:8421). Trae también la STS 827/2012, de 24 de octubre, (ECLI:ES:TS:2012:7363), en la que se señala que lo trascendente no son las competencias formalmente atribuidas, concretas o genéricas, sino que el funcionario tenga verdaderas facultades de disposición facilitadas por tal condición, sin que, como expresó la STS 277/2015, de 3 de junio, (ECLI:ES:TS:2015:2563), sea preciso el dictado de una resolución administrativa (fundamento de Derecho 35, págs. 342-343).</w:t>
      </w:r>
    </w:p>
    <w:p w14:paraId="7E9C6A31" w14:textId="77777777" w:rsidR="003754FE" w:rsidRDefault="003754FE" w:rsidP="003754FE">
      <w:pPr>
        <w:pStyle w:val="TextoNormal"/>
      </w:pPr>
    </w:p>
    <w:p w14:paraId="113F7ECF" w14:textId="77777777" w:rsidR="003754FE" w:rsidRDefault="003754FE" w:rsidP="003754FE">
      <w:pPr>
        <w:pStyle w:val="TextoNormal"/>
      </w:pPr>
      <w:r>
        <w:t>Esta respuesta enlaza con la concepción amplia respecto del elemento típico “tener a su cargo” por la que se inclina el Tribunal Supremo y ya había sostenido la Audiencia Provincial. Lo identifica con una facultad decisoria jurídica o detentación material de los caudales, ya sea de hecho o de derecho, relación especial que en la administración pública moderna es la facultad o poder de disposición de las diferentes partidas de que se compone el presupuesto y que se identifica con la capacidad de gasto o de control (fundamento de Derecho 32.3, págs. 316-317).</w:t>
      </w:r>
    </w:p>
    <w:p w14:paraId="638937E8" w14:textId="77777777" w:rsidR="003754FE" w:rsidRDefault="003754FE" w:rsidP="003754FE">
      <w:pPr>
        <w:pStyle w:val="TextoNormal"/>
      </w:pPr>
    </w:p>
    <w:p w14:paraId="499F3555" w14:textId="77777777" w:rsidR="003754FE" w:rsidRDefault="003754FE" w:rsidP="003754FE">
      <w:pPr>
        <w:pStyle w:val="TextoNormal"/>
      </w:pPr>
      <w:r>
        <w:t>En línea con lo resuelto en la STC 98/2024, 3 de julio de 2024, FJ 5.3 B), se aprecia que esta interpretación no desborda el sentido literal de la norma, ya que la referencia típica a la expresión tener “a cargo” implica, según el sentido común de esta locución contemplado en el diccionario de la Real Academia Española, que los caudales están confiados o al cuidado de una persona. En el art. 432.1 CP esa confianza o cuidado viene determinada, además, “por razón de sus funciones o con ocasión de las mismas”. Tal inteligencia del precepto tampoco es contraria a las pautas metodológicas generalmente aceptadas, pues obedece a una interpretación teleológica o finalista que conecta el delito de malversación con “la confianza de la sociedad en el manejo honesto de los fondos públicos” y con la garantía de “los deberes de fidelidad y transparencia” de los funcionarios. Tampoco es axiológicamente reprochable, pues engarza la interpretación del tipo con el deber de los funcionarios que componen las administraciones públicas de servir con objetividad a los intereses generales (art. 103 CE), lo que es incompatible con la asunción, por parte de un alto cargo político con facultades funcionales de disposición de una posición de indiferencia o ajenidad al uso desviado del patrimonio público.</w:t>
      </w:r>
    </w:p>
    <w:p w14:paraId="217ACF4C" w14:textId="77777777" w:rsidR="003754FE" w:rsidRDefault="003754FE" w:rsidP="003754FE">
      <w:pPr>
        <w:pStyle w:val="TextoNormal"/>
      </w:pPr>
    </w:p>
    <w:p w14:paraId="0ACE2920" w14:textId="77777777" w:rsidR="003754FE" w:rsidRDefault="003754FE" w:rsidP="003754FE">
      <w:pPr>
        <w:pStyle w:val="TextoNormal"/>
      </w:pPr>
      <w:r>
        <w:t xml:space="preserve">Debe tenerse presente que la calificación de la conducta del recurrente como autoría de un delito continuado de malversación se apoya en importante medida en su relevante papel en la gestión y concesión de las ayudas, dictando instrucciones sobre la aplicación del convenio marco, imponiendo criterios de cuantificación y otras medidas orientadas a eludir los </w:t>
      </w:r>
      <w:r>
        <w:lastRenderedPageBreak/>
        <w:t>controles de las ayudas externos a la Consejería de Empleo y decidiendo discrecionalmente sobre las empresas beneficiarias y el importe dispuesto. La consideración de que los distintos intervinientes en la concesión y pago de las ayudas sociolaborales como los que aprobaban los créditos presupuestarios haciendo posible dicha conducta son autores de un delito consumado de malversación atiende igualmente a la complejidad de los hechos y de la estructura administrativa que los hizo posibles. La atención al carácter determinante de las distintas conductas de quienes tenían capacidad de disposición para calificarlas de autoría no puede considerarse imprevisible y, por ende, contraria al art. 25.1 CE.</w:t>
      </w:r>
    </w:p>
    <w:p w14:paraId="52DE8ECB" w14:textId="77777777" w:rsidR="003754FE" w:rsidRDefault="003754FE" w:rsidP="003754FE">
      <w:pPr>
        <w:pStyle w:val="TextoNormal"/>
      </w:pPr>
    </w:p>
    <w:p w14:paraId="0F7EF597" w14:textId="77777777" w:rsidR="003754FE" w:rsidRDefault="003754FE" w:rsidP="003754FE">
      <w:pPr>
        <w:pStyle w:val="TextoNormal"/>
      </w:pPr>
      <w:r>
        <w:t>Ha de desestimarse, por ello, la vulneración del derecho a la legalidad penal (art. 25.1 CE) en relación con la subsunción en la modalidad activa del delito de malversación de todas aquellas actuaciones del demandante no amparadas en las leyes de presupuestos vigentes al tiempo de su realización.</w:t>
      </w:r>
    </w:p>
    <w:p w14:paraId="654157B2" w14:textId="77777777" w:rsidR="003754FE" w:rsidRDefault="003754FE" w:rsidP="003754FE">
      <w:pPr>
        <w:pStyle w:val="TextoNormal"/>
      </w:pPr>
    </w:p>
    <w:p w14:paraId="0140917D" w14:textId="77777777" w:rsidR="003754FE" w:rsidRDefault="003754FE" w:rsidP="003754FE">
      <w:pPr>
        <w:pStyle w:val="TextoNormal"/>
      </w:pPr>
      <w:r>
        <w:t>c) Modalidad pasiva de malversación (permitir que otro sustraiga): el tercero al que se permite la sustracción no puede ser quien tiene la competencia sobre los fondos</w:t>
      </w:r>
    </w:p>
    <w:p w14:paraId="7810E997" w14:textId="77777777" w:rsidR="003754FE" w:rsidRDefault="003754FE" w:rsidP="003754FE">
      <w:pPr>
        <w:pStyle w:val="TextoNormal"/>
      </w:pPr>
    </w:p>
    <w:p w14:paraId="06525D8F" w14:textId="77777777" w:rsidR="003754FE" w:rsidRDefault="003754FE" w:rsidP="003754FE">
      <w:pPr>
        <w:pStyle w:val="TextoNormal"/>
      </w:pPr>
      <w:r>
        <w:t>Discrepa el recurrente de la aplicación a su conducta de la modalidad pasiva del delito de malversación desde el entendimiento de que el tercero al que se permite sustraer no puede ser un sujeto idóneo para cometer la modalidad activa y quien permite la sustracción, por el contrario, debe ser quien tiene a su cargo los fondos. Sentada tal premisa, razona que el supuesto tercero sería el director general de Trabajo, justamente quien tenía confiados los fondos por razón de su cargo, mientras que él, como viene insistiendo, no tenía los caudales a su disposición. Desde tal planteamiento censura también la ausencia de ánimo de lucro y de una posición de garante específica.</w:t>
      </w:r>
    </w:p>
    <w:p w14:paraId="3058624A" w14:textId="77777777" w:rsidR="003754FE" w:rsidRDefault="003754FE" w:rsidP="003754FE">
      <w:pPr>
        <w:pStyle w:val="TextoNormal"/>
      </w:pPr>
    </w:p>
    <w:p w14:paraId="2CC7053B" w14:textId="77777777" w:rsidR="003754FE" w:rsidRDefault="003754FE" w:rsidP="003754FE">
      <w:pPr>
        <w:pStyle w:val="TextoNormal"/>
      </w:pPr>
      <w:r>
        <w:t>De inicio debe aclararse que la afirmación de que no tenía facultades de disposición sobre los fondos no resulta admisible de acuerdo con la consideración que se acaba de examinar de que las resoluciones judiciales manejan un concepto amplio —respetuoso de las exigencias del art. 25.1 CE— del elemento típico “tener a su cargo”, que no lo limita a la detentación material de los caudales públicos, sino que incluye una capacidad funcional de decidir el destino de los mismos, como sería el caso del recurrente, que fue viceconsejero y consejero de Empleo, esto es, alto responsable de la consejería que decidía sobre el destino de los fondos de los programas 22E y 31L.</w:t>
      </w:r>
    </w:p>
    <w:p w14:paraId="7CA2A40E" w14:textId="77777777" w:rsidR="003754FE" w:rsidRDefault="003754FE" w:rsidP="003754FE">
      <w:pPr>
        <w:pStyle w:val="TextoNormal"/>
      </w:pPr>
    </w:p>
    <w:p w14:paraId="3BBEA2EE" w14:textId="77777777" w:rsidR="003754FE" w:rsidRDefault="003754FE" w:rsidP="003754FE">
      <w:pPr>
        <w:pStyle w:val="TextoNormal"/>
      </w:pPr>
      <w:r>
        <w:t xml:space="preserve">De cualquier modo, tampoco en este punto se aprecia una aplicación del delito de malversación imprevisible y, por ello, lesiva del art. 25.1 CE por razones coincidentes con las ya expuestas. La sentencia de casación razona, tras aludir como precedente a la STS 445/1992, de 2 de marzo, que “[u]na interpretación finalista del precepto y respetuosa con los bienes jurídicos que se pretende proteger con este delito admite, sin retorcer la interpretación gramatical, que una autoridad o funcionario pueda consentir la sustracción por otro funcionario y ello es posible precisamente porque las competencias sobre la gestión de los fondos públicos pueden ser concurrentes” (STS 749/2022, fundamento de Derecho 36, pág. 345). En el caso, se añade, el director general de Trabajo “dispuso de los fondos autorizando el pago de las ayudas, pero lo hizo porque otras autoridades, superiormente jerárquicas, y, por lo mismo, con competencias funcionales para evitar la sustracción, no hicieron nada. No solo eso, autorizaron año a año, con incumplimiento patente de la legalidad, las partidas </w:t>
      </w:r>
      <w:r>
        <w:lastRenderedPageBreak/>
        <w:t>presupuestarias que hicieron posible la concesión y pago de las ayudas” (STS 749/2022, fundamento de Derecho 36, págs. 345-346).</w:t>
      </w:r>
    </w:p>
    <w:p w14:paraId="34975623" w14:textId="77777777" w:rsidR="003754FE" w:rsidRDefault="003754FE" w:rsidP="003754FE">
      <w:pPr>
        <w:pStyle w:val="TextoNormal"/>
      </w:pPr>
    </w:p>
    <w:p w14:paraId="5BE79B96" w14:textId="77777777" w:rsidR="003754FE" w:rsidRDefault="003754FE" w:rsidP="003754FE">
      <w:pPr>
        <w:pStyle w:val="TextoNormal"/>
      </w:pPr>
      <w:r>
        <w:t>Se trata de un entendimiento del delito tipificado en el inciso segundo del art. 432.2 CP vinculado al bien jurídico protegido y a la realidad de la complejidad de la actuación administrativa contemporánea y al papel decisivo que tiene la presupuestación; en otras palabras, se atiende a los orígenes plurales de los riesgos de afectación al patrimonio público y, con ello, al buen funcionamiento de la administración pública. Esa comprensión no rebasa el tenor literal del precepto, que alude sin más a “un tercero”, y responde a una interpretación teleológica orientada a la tutela de los intereses protegidos en absoluto extravagante, sin que quepa censura alguna desde la perspectiva del derecho fundamental a la legalidad penal (art. 25.1 CE).</w:t>
      </w:r>
    </w:p>
    <w:p w14:paraId="01CB58C0" w14:textId="77777777" w:rsidR="003754FE" w:rsidRDefault="003754FE" w:rsidP="003754FE">
      <w:pPr>
        <w:pStyle w:val="TextoNormal"/>
      </w:pPr>
    </w:p>
    <w:p w14:paraId="413AA682" w14:textId="77777777" w:rsidR="003754FE" w:rsidRDefault="003754FE" w:rsidP="003754FE">
      <w:pPr>
        <w:pStyle w:val="TextoNormal"/>
      </w:pPr>
      <w:r>
        <w:t>Afirmado lo anterior, decae la premisa interpretativa del reproche de la demanda sobre la necesidad de acreditar el ánimo de lucro de los concretos beneficiarios de las ayudas por no poder ser el director general de Trabajo el tercero al que se permite la sustracción. A ello debe añadirse que el Tribunal Supremo precisa (STS 749/2022, fundamento de Derecho 41, pp. 358-359) que la exigencia típica de ánimo de lucro debe interpretarse, como viene haciéndose, en un sentido amplio, que incluye “toda clase de ventaja, patrimonial o espiritual (</w:t>
      </w:r>
      <w:r w:rsidRPr="003754FE">
        <w:rPr>
          <w:i/>
        </w:rPr>
        <w:t>animus lucri faciendi gratia</w:t>
      </w:r>
      <w:r>
        <w:t>)”, sin que en la malversación se exija el lucro personal del sustractor, sino su actuación con ánimo de cualquier beneficio, incluso no patrimonial (STS 507/2020, de 14 de octubre: ECLI:ES:TS:2020:3191) y referido a un tercero (STS 277/2015, de 3 de junio). El recurrente no ha cuestionado esta concepción del elemento típico, sostenida también por la Audiencia Provincial (sentencia de la Audiencia Provincial, fundamento 45, pág. 1708), ni que en el caso, como afirma la sentencia de casación, las empresas que se vieron beneficiadas por las ayudas sociolaborales obtuvieron un beneficio económico, como se recoge en el apartado 22 del juicio histórico. Tampoco la afirmación específica de la sentencia de instancia de que la forma en que la Consejería de Empleo “disponía de los fondos públicos del programa 22E/31L […] permitía el enriquecimiento de empresas, a través del ahorro de gastos y de terceros, ajeno a cualquier interés social o público debidamente acreditado” (sentencia de la Audiencia Provincial, fundamento 45, pág. 1723).</w:t>
      </w:r>
    </w:p>
    <w:p w14:paraId="1F8DDA48" w14:textId="77777777" w:rsidR="003754FE" w:rsidRDefault="003754FE" w:rsidP="003754FE">
      <w:pPr>
        <w:pStyle w:val="TextoNormal"/>
      </w:pPr>
    </w:p>
    <w:p w14:paraId="08ACF2A1" w14:textId="77777777" w:rsidR="003754FE" w:rsidRDefault="003754FE" w:rsidP="003754FE">
      <w:pPr>
        <w:pStyle w:val="TextoNormal"/>
      </w:pPr>
      <w:r>
        <w:t>Por último, la Sala Segunda estima que “todas las autoridades condenadas por intervenir en el proceso de presupuestación tenían funcionalmente asignada la competencia para decidir sobre el destino de los fondos públicos, aprobando o no las partidas presupuestarias, sin cuya existencia la concesión y pago de las ayudas no habría sido posible, y todos aquellos que conocieron las ilegalidades en su concesión y pago, contribuyeron causalmente al desarrollo de la acción en la medida en que no lo impidieron” (STS 749/2022, fundamento de Derecho 37, pág. 347). Con carácter general fija que la disposición de la custodia del patrimonio público por el funcionario implica una posición de garante “en la medida en que el ordenamiento jurídico no solo espera que actúe en cumplimiento de su deber, sino que también espera que evite el resultado” (STS 749/2022, fundamento 43.5, pág. 371). Concluye que “[e]s impensable admitir que el Director General de Trabajo pudiera disponer de los fondos públicos al margen de los controles y requisitos legales sin la autorización de los restantes responsables políticos condenados. Todos ellos tenían funcionalmente asignada la competencia para decidir sobre el destino de estos fondos, aprobando o no las correspondientes partidas presupuestarias” (STS 749/2022, fundamento 37, pág. 348).</w:t>
      </w:r>
    </w:p>
    <w:p w14:paraId="7C21B559" w14:textId="77777777" w:rsidR="003754FE" w:rsidRDefault="003754FE" w:rsidP="003754FE">
      <w:pPr>
        <w:pStyle w:val="TextoNormal"/>
      </w:pPr>
    </w:p>
    <w:p w14:paraId="24BFEC04" w14:textId="77777777" w:rsidR="003754FE" w:rsidRDefault="003754FE" w:rsidP="003754FE">
      <w:pPr>
        <w:pStyle w:val="TextoNormal"/>
      </w:pPr>
      <w:r>
        <w:t>No resulta en modo alguno imprevisible ni metodológica o axiológicamente reprochable el entendimiento de que el recurrente, como alto cargo de la Consejería de Empleo que otorgaba las ayudas con cargo a partidas que dependían de ese departamento, se encontraba, en una posición funcional y competencial idónea para tomar medidas tendentes a evitar que se realizaran actos de disposición con fondos procedentes del programa 31L a fines distintos de aquellos presupuestariamente autorizados como era su deber.</w:t>
      </w:r>
    </w:p>
    <w:p w14:paraId="0BBD1BA8" w14:textId="77777777" w:rsidR="003754FE" w:rsidRDefault="003754FE" w:rsidP="003754FE">
      <w:pPr>
        <w:pStyle w:val="TextoNormal"/>
      </w:pPr>
    </w:p>
    <w:p w14:paraId="737AD752" w14:textId="12A84797" w:rsidR="003754FE" w:rsidRDefault="003754FE" w:rsidP="003754FE">
      <w:pPr>
        <w:pStyle w:val="TextoNormal"/>
      </w:pPr>
      <w:r>
        <w:t>A la luz de todo lo expuesto ha de desestimarse la vulneración del derecho a la legalidad penal (art. 25.1 CE) en relación con la aplicación del delito de malversación a las conductas del demandante vinculadas al programa 22E de los años 2000 y 2001 y a las conductas que impliquen un uso de los fondos incluidos en el programa 31L en ausencia o con desviación de su fin público.</w:t>
      </w:r>
    </w:p>
    <w:p w14:paraId="0FC6DF01" w14:textId="77777777" w:rsidR="003754FE" w:rsidRDefault="003754FE" w:rsidP="003754FE">
      <w:pPr>
        <w:pStyle w:val="TextoNormal"/>
      </w:pPr>
    </w:p>
    <w:p w14:paraId="083FF75B" w14:textId="77777777" w:rsidR="003754FE" w:rsidRDefault="003754FE" w:rsidP="003754FE">
      <w:pPr>
        <w:pStyle w:val="TextoNormal"/>
      </w:pPr>
      <w:r w:rsidRPr="003754FE">
        <w:rPr>
          <w:rStyle w:val="NumeroAFNegritaCaracter"/>
        </w:rPr>
        <w:t>4</w:t>
      </w:r>
      <w:r>
        <w:t xml:space="preserve">. </w:t>
      </w:r>
      <w:r w:rsidRPr="003754FE">
        <w:rPr>
          <w:i/>
        </w:rPr>
        <w:t>Enjuiciamiento de la queja relativa a la vulneración del derecho a la presunción de inocencia (art. 24.2 CE) en relación con la condena por delito de malversación de caudales públicos respecto de las partidas de los programas presupuestarios 22E y 31L declaradas en la sentencia de instancia</w:t>
      </w:r>
    </w:p>
    <w:p w14:paraId="5BD9261C" w14:textId="77777777" w:rsidR="003754FE" w:rsidRDefault="003754FE" w:rsidP="003754FE">
      <w:pPr>
        <w:pStyle w:val="TextoNormal"/>
      </w:pPr>
    </w:p>
    <w:p w14:paraId="4156EDF8" w14:textId="77777777" w:rsidR="003754FE" w:rsidRDefault="003754FE" w:rsidP="003754FE">
      <w:pPr>
        <w:pStyle w:val="TextoNormal"/>
      </w:pPr>
      <w:r>
        <w:t xml:space="preserve">4.1. </w:t>
      </w:r>
      <w:r w:rsidRPr="003754FE">
        <w:rPr>
          <w:i/>
        </w:rPr>
        <w:t>Posiciones de las partes</w:t>
      </w:r>
    </w:p>
    <w:p w14:paraId="34352373" w14:textId="77777777" w:rsidR="003754FE" w:rsidRDefault="003754FE" w:rsidP="003754FE">
      <w:pPr>
        <w:pStyle w:val="TextoNormal"/>
      </w:pPr>
    </w:p>
    <w:p w14:paraId="18198362" w14:textId="77777777" w:rsidR="003754FE" w:rsidRDefault="003754FE" w:rsidP="003754FE">
      <w:pPr>
        <w:pStyle w:val="TextoNormal"/>
      </w:pPr>
      <w:r>
        <w:t xml:space="preserve">La demanda de amparo denuncia, de una manera específica en sus motivos primero y tercero, y entremezclada con argumentos de legalidad penal en su motivo segundo, que se ha vulnerado el derecho a la presunción de inocencia del demandante (art. 24.2 CE) porque se le ha condenado por un delito de malversación de caudales públicos (art. 432.1 y 2 CP) en base a: (i) un relato de hechos probados inconcreto e indeterminado, en el que no se describe su participación en la gestión de las ayudas, que correspondía a la Dirección General de Trabajo, ni se le atribuye ninguna resolución de pago, y (ii) un </w:t>
      </w:r>
      <w:r w:rsidRPr="003754FE">
        <w:rPr>
          <w:i/>
        </w:rPr>
        <w:t>iter</w:t>
      </w:r>
      <w:r>
        <w:t xml:space="preserve"> discursivo en la valoración de la prueba caracterizado por su falta de lógica y carácter contradictorio, en virtud del cual: (1) el demandante cometió malversación activa (sustraer) porque desvió fondos del programa 31L, sobre los que no tenía capacidad de disposición, y, a su vez, malversación pasiva (permitir que un tercero sustraiga) porque los puso a disposición de la Dirección General de Trabajo, que era, precisamente, el centro directivo competente para su gestión; y (2) reconocido el hecho de que las ayudas sociolaborales y a empresas en crisis eran, en principio, ayudas destinadas a un fin público o social legítimo, no se concreta ningún acto de sustracción o desvío, porque, de hecho, ni se debatió ni se practicó prueba en relación con ninguna de las ayudas concedidas con cargo al programa 31L, llegándose a la conclusión, no acreditada mediante prueba ni directa ni indiciaria, de que fueron desviadas de su legítima finalidad pública la totalidad de la ayudas concedidas a través del programa presupuestario 31L (antes 22E), por importe de 680 millones de euros, en el periodo de 2000 a 2009.</w:t>
      </w:r>
    </w:p>
    <w:p w14:paraId="05F1C63B" w14:textId="77777777" w:rsidR="003754FE" w:rsidRDefault="003754FE" w:rsidP="003754FE">
      <w:pPr>
        <w:pStyle w:val="TextoNormal"/>
      </w:pPr>
    </w:p>
    <w:p w14:paraId="6AAD2EBF" w14:textId="77777777" w:rsidR="003754FE" w:rsidRDefault="003754FE" w:rsidP="003754FE">
      <w:pPr>
        <w:pStyle w:val="TextoNormal"/>
      </w:pPr>
      <w:r>
        <w:t xml:space="preserve">La representación procesal del Partido Popular rechaza los motivos de amparo que inciden en la vulneración del derecho a la presunción de inocencia porque, a su juicio, la condena por delito de malversación de caudales públicos tiene apoyo y justificación en prueba de cargo suficiente y rectamente valorada en las resoluciones judiciales impugnadas, adhiriéndose a los fundamentos dedicados a esta cuestión en la sentencia de casación, </w:t>
      </w:r>
      <w:r>
        <w:lastRenderedPageBreak/>
        <w:t>particularmente en su extenso fundamento de Derecho 111, donde se efectúa un resumen razonado de los hechos y de los medios de prueba en virtud de los cuales se consideran acreditados.</w:t>
      </w:r>
    </w:p>
    <w:p w14:paraId="15EDD1FA" w14:textId="77777777" w:rsidR="003754FE" w:rsidRDefault="003754FE" w:rsidP="003754FE">
      <w:pPr>
        <w:pStyle w:val="TextoNormal"/>
      </w:pPr>
    </w:p>
    <w:p w14:paraId="768B0866" w14:textId="77777777" w:rsidR="003754FE" w:rsidRDefault="003754FE" w:rsidP="003754FE">
      <w:pPr>
        <w:pStyle w:val="TextoNormal"/>
      </w:pPr>
      <w:r>
        <w:t>El fiscal, por su parte, en su escrito de alegaciones, rebate la vulneración del derecho a la presunción de inocencia argumentando que tanto la sentencia de instancia como la de casación exponen y valoran extensamente las pruebas de cargo que justifican su condena por malversación, en su modalidad activa y pasiva, valoración que estima correcta.</w:t>
      </w:r>
    </w:p>
    <w:p w14:paraId="586115FE" w14:textId="77777777" w:rsidR="003754FE" w:rsidRDefault="003754FE" w:rsidP="003754FE">
      <w:pPr>
        <w:pStyle w:val="TextoNormal"/>
      </w:pPr>
    </w:p>
    <w:p w14:paraId="6967C0C4" w14:textId="77777777" w:rsidR="003754FE" w:rsidRDefault="003754FE" w:rsidP="003754FE">
      <w:pPr>
        <w:pStyle w:val="TextoNormal"/>
      </w:pPr>
      <w:r>
        <w:t>El fiscal reproduce algunas de las consideraciones realizadas en la sentencia de instancia, destacando las relativas a que el demandante, como viceconsejero y consejero de empleo, participó en la elaboración y aprobación de anteproyectos de presupuestos y modificaciones presupuestarias que incluían las transferencias de financiación al IFA/IDEA, a sabiendas de que su finalidad era la concesión de subvenciones por parte de la Dirección General de Trabajo y del déficit que generaban en su consejería; también se hace referencia a que suscribió contratos de garantía indemnizatoria para directivos de la empresa Santana, conoció la decisión del consejero de empleo, don José Antonio Viera, de dar ayudas a ayuntamientos, que se pagaron nóminas a trabajadores de empresas en crisis, y que, en definitiva, era plenamente consciente de la ilegalidad de los actos que se le atribuyen en los hechos probados, al disponer y permitir que el director general de trabajo dispusiera de los fondos vinculados al programa 31L con fines ajenos al fin público al que estaban destinados. Asimismo, se evidenció, por la gravedad de los incumplimientos, la ausencia de procedimiento y control en la concesión de las ayudas, lo que permitía su concesión libre sin atender a interés público alguno, lo que supuso que las recibieran personas que nunca habían pertenecido a las empresas ayudadas, o que un número de beneficiarios las siguieran percibiendo aun después de haberse incorporado de nuevo al mercado laboral o haber pasado a situación de incapacidad.</w:t>
      </w:r>
    </w:p>
    <w:p w14:paraId="5A3BDF37" w14:textId="77777777" w:rsidR="003754FE" w:rsidRDefault="003754FE" w:rsidP="003754FE">
      <w:pPr>
        <w:pStyle w:val="TextoNormal"/>
      </w:pPr>
    </w:p>
    <w:p w14:paraId="7725000D" w14:textId="77777777" w:rsidR="003754FE" w:rsidRDefault="003754FE" w:rsidP="003754FE">
      <w:pPr>
        <w:pStyle w:val="TextoNormal"/>
      </w:pPr>
      <w:r>
        <w:t>El fiscal remite asimismo a los argumentos de la sentencia de casación, que recuerda que el demandante era perfecto conocedor del sistema creado pues él mismo había firmado el convenio marco que, junto con las transferencias de financiación, permitió su funcionamiento, y que no podía ignorar, por los cargos que ocupó en la Consejería de Empleo (consejero y viceconsejero) y en la agencia IFA (presidente), que las ayudas se concedían en su consejería y cuál era el uso y destino que se daba a las transferencias de financiación. Se destaca también su intervención en el consejo rector de la agencia IFA, celebrado el 27 de mayo de 2003, en el que se decidió calcular el importe de las ayudas en función de lo recibido por cada trabajador, y no del importe total de la misma, para evitar someter los convenios particulares a la ratificación del Consejo de Gobierno de la Junta de Andalucía, como era preceptivo cuando superaban la cuantía de 1 200 000 €.</w:t>
      </w:r>
    </w:p>
    <w:p w14:paraId="010528F9" w14:textId="77777777" w:rsidR="003754FE" w:rsidRDefault="003754FE" w:rsidP="003754FE">
      <w:pPr>
        <w:pStyle w:val="TextoNormal"/>
      </w:pPr>
    </w:p>
    <w:p w14:paraId="5E47EBA4" w14:textId="77777777" w:rsidR="003754FE" w:rsidRDefault="003754FE" w:rsidP="003754FE">
      <w:pPr>
        <w:pStyle w:val="TextoNormal"/>
      </w:pPr>
      <w:r>
        <w:t xml:space="preserve">4.2. </w:t>
      </w:r>
      <w:r w:rsidRPr="003754FE">
        <w:rPr>
          <w:i/>
        </w:rPr>
        <w:t>Pronunciamiento de los órganos judiciales</w:t>
      </w:r>
    </w:p>
    <w:p w14:paraId="7A9D6DBF" w14:textId="77777777" w:rsidR="003754FE" w:rsidRDefault="003754FE" w:rsidP="003754FE">
      <w:pPr>
        <w:pStyle w:val="TextoNormal"/>
      </w:pPr>
    </w:p>
    <w:p w14:paraId="697CF797" w14:textId="77777777" w:rsidR="003754FE" w:rsidRDefault="003754FE" w:rsidP="003754FE">
      <w:pPr>
        <w:pStyle w:val="TextoNormal"/>
      </w:pPr>
      <w:r>
        <w:t>La sentencia de la Audiencia Provincial concluye que “el acusado era plenamente consciente de la palmaria ilegalidad de los actos en los que participó, relatados en los hechos probados. Disponiendo, y permitiendo que el director general de Trabajo dispusiera, de los fondos vinculados al programa 31L con fines ajenos al fin público al que estaban destinados” (sentencia de la Audiencia Provincial, fundamento de Derecho 26, pág. 880).</w:t>
      </w:r>
    </w:p>
    <w:p w14:paraId="1C93BD53" w14:textId="77777777" w:rsidR="003754FE" w:rsidRDefault="003754FE" w:rsidP="003754FE">
      <w:pPr>
        <w:pStyle w:val="TextoNormal"/>
      </w:pPr>
    </w:p>
    <w:p w14:paraId="6CE026C4" w14:textId="77777777" w:rsidR="003754FE" w:rsidRDefault="003754FE" w:rsidP="003754FE">
      <w:pPr>
        <w:pStyle w:val="TextoNormal"/>
      </w:pPr>
      <w:r>
        <w:lastRenderedPageBreak/>
        <w:t>Para ello, empieza enumerando los cargos que desempeñó el demandante de amparo en el período en que se produjeron los hechos objeto de enjuiciamiento y las competencias que la legislación le otorgaba en razón de los mismos. Destaca, así, que el actor venía desempeñando el cargo de viceconsejero de empleo desde el año 1996 y que lo ejerció hasta el 25 de abril de 2004, fecha en que fue nombrado consejero de empleo, en el que permaneció hasta el 22 de marzo de 2010. Señala que fue asimismo presidente del IFA desde el 6 de junio de 2001 hasta el 28 de enero de 2003 (sentencia de la Audiencia Provincial, fundamento de Derecho 26, apartados I y II, págs. 815 a 825).</w:t>
      </w:r>
    </w:p>
    <w:p w14:paraId="15816249" w14:textId="77777777" w:rsidR="003754FE" w:rsidRDefault="003754FE" w:rsidP="003754FE">
      <w:pPr>
        <w:pStyle w:val="TextoNormal"/>
      </w:pPr>
    </w:p>
    <w:p w14:paraId="4476F785" w14:textId="77777777" w:rsidR="003754FE" w:rsidRDefault="003754FE" w:rsidP="003754FE">
      <w:pPr>
        <w:pStyle w:val="TextoNormal"/>
      </w:pPr>
      <w:r>
        <w:t>La sentencia argumenta que en el desempeño de estos cargos tuvo “un completo conocimiento del contenido de los acuerdos de concertación y pactos por el empleo, desde al menos la firma del pacto por empleo de año 1997” y “de la decisión política de conceder ayudas sociolaborales durante los años 90, hasta el 2000” conociendo que entonces se articulaban, dentro de su propia consejería, como subvenciones excepcionales. También conoció el reparo que opuso la Intervención al expediente de ayudas sociolaborales a “Hijos de Andrés Molina”, pues fue quien firmó las alegaciones al primer informe de fiscalización con disconformidad.</w:t>
      </w:r>
    </w:p>
    <w:p w14:paraId="2FED640B" w14:textId="77777777" w:rsidR="003754FE" w:rsidRDefault="003754FE" w:rsidP="003754FE">
      <w:pPr>
        <w:pStyle w:val="TextoNormal"/>
      </w:pPr>
    </w:p>
    <w:p w14:paraId="567BFAA8" w14:textId="77777777" w:rsidR="003754FE" w:rsidRDefault="003754FE" w:rsidP="003754FE">
      <w:pPr>
        <w:pStyle w:val="TextoNormal"/>
      </w:pPr>
      <w:r>
        <w:t>Como viceconsejero de empleo: (i) intervino en las sesiones de la Comisión General de viceconsejeros que acordaron elevar al Consejo de Gobierno de la Junta de Andalucía las modificaciones presupuestarias que se aprobaron el 18 de abril de 2000, el 28 de julio de 2000, el 18 de septiembre de 2001 y el 13 de noviembre de 2001, en las que se incrementó, dentro del programa 22E, la partida “transferencia al IFA en materia de relaciones laborales” (440.01), que no existía en el presupuesto de la Junta de Andalucía, reduciendo las partidas 472.00 y 481.00, que eran las previstas para conceder subvenciones a empresas y particulares; (ii) formó parte de los grupos de trabajo que analizaban los programas presupuestarios de la Consejería de Empleo, e intervino en la elaboración de los presupuestos de los años 2002, 2003 y 2004, siendo el presupuesto de 2002 el primero que incluyó el uso de las transferencias de financiación al IFA dentro del programa 31L “a sabiendas de que su finalidad era la concesión de subvenciones por parte de la Consejería de Empleo, siendo el órgano gestor la Dirección General de Trabajo”, lo que se hacía constar en las memorias de los presupuestos, de modo que “[c]onocía que con el sistema implantado de las transferencias de financiación y el convenio marco, la concesión de ayudas quedaban sin fiscalización previa”; (iii) firmó con varios directivos de la empresa Santana unos documentos/contratos de garantía indemnizatoria por permanencia en la empresa, que remitió el 24 de julio de 2003 al director general de trabajo, que se plasmaron en la suscripción de pólizas a favor de cada directivo, como beneficiario, y la empresa Santana, como tomadora, con cargo a los fondos del programa 31L; tuvo asimismo conocimiento de la decisión del entonces consejero de Empleo, don José Antonio Viera, de dar ayudas a ayuntamientos con cargo a dicho programa, porque los convenios constaban en las sesiones del consejo rector del IFA, y que conoció una ayuda al ayuntamiento de Chiclana por una carta que remitió al director general de trabajo.</w:t>
      </w:r>
    </w:p>
    <w:p w14:paraId="158329E1" w14:textId="77777777" w:rsidR="003754FE" w:rsidRDefault="003754FE" w:rsidP="003754FE">
      <w:pPr>
        <w:pStyle w:val="TextoNormal"/>
      </w:pPr>
    </w:p>
    <w:p w14:paraId="48D17581" w14:textId="77777777" w:rsidR="003754FE" w:rsidRDefault="003754FE" w:rsidP="003754FE">
      <w:pPr>
        <w:pStyle w:val="TextoNormal"/>
      </w:pPr>
      <w:r>
        <w:t xml:space="preserve">Como presidente del IFA: (i) suscribió el 17 de julio de 2001 con el entonces consejero de empleo, don José Antonio Viera Chacón, el convenio marco de 17 de julio de 2001, informó del mismo a los vocales del consejo rector del IFA en sesión de 23 de julio de 2001, e impartió directrices al director general de trabajo sobre su aplicación; (ii) firmó convenios particulares con el director general de trabajo para el pago de ayudas “usando ya la partida </w:t>
      </w:r>
      <w:r>
        <w:lastRenderedPageBreak/>
        <w:t>440.00 ‘Transferencias de financiación a IFA’, del programa 22E. Así, a título de ejemplo, el convenio de fecha 19 de julio de 2001, dentro del expediente de HAMSA”; conocía el papel que cumplía la agencia IFA/IDEA en el pago de las ayudas, y las irregularidades que se producían, lo que se desprende de sus intervenciones en varias sesiones de su consejo rector, siendo destacadas la sesión de 27 de marzo de 2002, en la que informó a sus miembros de los informes de control financiero permanente de los años 2000 y primer semestre de 2001; la sesión de 27 de mayo de 2003, en el que, con ocasión de la retirada del orden del día de la ayuda a la empresa Primayor, se acordó sustraer al conocimiento del Consejo de Gobierno de la Junta de Andalucía las ayudas sociolaborales, calculando su cuantía en función de lo que iba a recibir cada trabajador, y no en función del importe total de la ayuda, para evitar superar el umbral de 1 200 000 € a partir del cual la ayuda debía ser aprobada definitivamente por el Consejo de Gobierno; la sesión de 24 de noviembre de 2003, en la que se acordó solicitar informe al Gabinete Jurídico de la Junta de Andalucía en relación con la necesidad de someter a ratificación del Consejo de Gobierno de la Junta de Andalucía la ayuda autorizada para la empresa Sandetel, informe que el demandante finalmente no solicitó; y la sesión de 12 de marzo de 2004 en la que se decidió distribuir la subvención concedida a la empresa Pickman, por importe de 1 800 000 €, en tres anualidades distintas con el mismo fin.</w:t>
      </w:r>
    </w:p>
    <w:p w14:paraId="5A8D5B04" w14:textId="77777777" w:rsidR="003754FE" w:rsidRDefault="003754FE" w:rsidP="003754FE">
      <w:pPr>
        <w:pStyle w:val="TextoNormal"/>
      </w:pPr>
    </w:p>
    <w:p w14:paraId="5C548189" w14:textId="77777777" w:rsidR="003754FE" w:rsidRDefault="003754FE" w:rsidP="003754FE">
      <w:pPr>
        <w:pStyle w:val="TextoNormal"/>
      </w:pPr>
      <w:r>
        <w:t>Como consejero de empleo: (i) aprobó los anteproyectos de presupuestos de su consejería y participó en los Consejos de Gobierno que aprobaron los proyectos de ley de presupuestos; (ii) recibió en el mes de julio de 2005 el informe adicional al informe de cumplimiento del IFA, elaborado por la Intervención, en el que se advertía de la irregular concesión de las ayudas, sin fiscalización previa y sin seguir el procedimiento subvencional; (iii) tuvo conocimiento del déficit que se producía en la Consejería de Empleo, así como en la agencia IFA/IDEA; y (iv) aprobó los planes de control financiero permanente de las entidades públicas dependientes de la Junta de Andalucía—entre ellas IFA/IDEA— para los años 2005, 2006 y 2007, planes en cuya documentación se hacía constar que se utilizaba el expediente de transferencias de financiación para el pago de subvenciones especiales.</w:t>
      </w:r>
    </w:p>
    <w:p w14:paraId="0B57C2C7" w14:textId="77777777" w:rsidR="003754FE" w:rsidRDefault="003754FE" w:rsidP="003754FE">
      <w:pPr>
        <w:pStyle w:val="TextoNormal"/>
      </w:pPr>
    </w:p>
    <w:p w14:paraId="3AF4DA08" w14:textId="77777777" w:rsidR="003754FE" w:rsidRDefault="003754FE" w:rsidP="003754FE">
      <w:pPr>
        <w:pStyle w:val="TextoNormal"/>
      </w:pPr>
      <w:r>
        <w:t>En el hecho probado vigésimo segundo se cuantifica el montante de las ayudas concedidas por esta vía, desglosado por años, como objeto de malversación (letra A), las irregularidades generadas por el sistema seguido en la concesión de ayudas a trabajadores y empresas (letra B), haciendo finalmente una enumeración de supuestos en que los fondos se emplearon para fines distintos y ajenos a los propios del programa 31L (letra C).</w:t>
      </w:r>
    </w:p>
    <w:p w14:paraId="3BF1E367" w14:textId="77777777" w:rsidR="003754FE" w:rsidRDefault="003754FE" w:rsidP="003754FE">
      <w:pPr>
        <w:pStyle w:val="TextoNormal"/>
      </w:pPr>
    </w:p>
    <w:p w14:paraId="554D099B" w14:textId="77777777" w:rsidR="003754FE" w:rsidRDefault="003754FE" w:rsidP="003754FE">
      <w:pPr>
        <w:pStyle w:val="TextoNormal"/>
      </w:pPr>
      <w:r>
        <w:t>La sentencia del Tribunal Supremo, por su parte, desestima los tres motivos de casación en los que el demandante denunció la infracción de precepto constitucional por vulneración del derecho a la presunción de inocencia, dando respuesta a las dos objeciones principales que se le habían planteado sobre este particular: la insuficiencia de la prueba de cargo para acreditar la participación del recurrente en los hechos y la insuficiencia de prueba para demostrar que el dinero se hubiese destinado a fines ajenos al interés público.</w:t>
      </w:r>
    </w:p>
    <w:p w14:paraId="65C1F062" w14:textId="77777777" w:rsidR="003754FE" w:rsidRDefault="003754FE" w:rsidP="003754FE">
      <w:pPr>
        <w:pStyle w:val="TextoNormal"/>
      </w:pPr>
    </w:p>
    <w:p w14:paraId="32AF4CD7" w14:textId="77777777" w:rsidR="003754FE" w:rsidRDefault="003754FE" w:rsidP="003754FE">
      <w:pPr>
        <w:pStyle w:val="TextoNormal"/>
      </w:pPr>
      <w:r>
        <w:t xml:space="preserve">(i) Sobre la participación del demandante en los hechos, la sentencia de casación confirma el criterio del tribunal de instancia porque de la valoración conjunta de las pruebas e indicios expuestos en su sentencia “se puede afirmar desde parámetros de racionalidad que el Sr. Fernández García no solo tenía conocimiento de la ilegalidad del criterio de presupuestación utilizado con las transferencias de financiación, sino que lo impulsó, dictando </w:t>
      </w:r>
      <w:r>
        <w:lastRenderedPageBreak/>
        <w:t>una serie de resoluciones administrativas que lo hicieron posible” (STS 749/2022, fundamento de Derecho 111.2.1, pág. 825).</w:t>
      </w:r>
    </w:p>
    <w:p w14:paraId="13652AA7" w14:textId="77777777" w:rsidR="003754FE" w:rsidRDefault="003754FE" w:rsidP="003754FE">
      <w:pPr>
        <w:pStyle w:val="TextoNormal"/>
      </w:pPr>
    </w:p>
    <w:p w14:paraId="08C6C35D" w14:textId="77777777" w:rsidR="003754FE" w:rsidRDefault="003754FE" w:rsidP="003754FE">
      <w:pPr>
        <w:pStyle w:val="TextoNormal"/>
      </w:pPr>
      <w:r>
        <w:t>Más adelante, al examinar y desestimar la alegación de invalidez del informe adicional al informe de cumplimiento del IFA de 2003, deducida también por el recurrente, la sentencia de casación dice que “aun cuando a título hipotético se admitiese la nulidad del Informe o se declararse su errónea valoración, en nada afectaría al valor incriminatorio de la prueba hasta ahora examinada, pues en su caso no era necesario que ningún informe le advirtiese de una eventual ilegalidad, cuando él mismo fue, junto con otros acusados, artífice del sistema ilegal de concesión de ayudas y de su ejecución, en su triple condición de viceconsejero de Empleo, consejero de Empleo y presidente del IFA” (STS 749/2022, fundamento de Derecho 111.3, pág. 838).</w:t>
      </w:r>
    </w:p>
    <w:p w14:paraId="09A28F7F" w14:textId="77777777" w:rsidR="003754FE" w:rsidRDefault="003754FE" w:rsidP="003754FE">
      <w:pPr>
        <w:pStyle w:val="TextoNormal"/>
      </w:pPr>
    </w:p>
    <w:p w14:paraId="66930706" w14:textId="77777777" w:rsidR="003754FE" w:rsidRDefault="003754FE" w:rsidP="003754FE">
      <w:pPr>
        <w:pStyle w:val="TextoNormal"/>
      </w:pPr>
      <w:r>
        <w:t>Apunta la sentencia de casación que “[a]demás, como presidente del IFA firmó numerosos convenios particulares con quien era el director General de Trabajo, plenamente consciente de que, a través de los mismos, se concederían ayudas haciendo uso del mecanismo ilícito de concesión antes referido. Asimismo, era consciente de la ilicitud en la concesión de tales ayudas, por cuanto, en numerosas ocasiones, él mismo o en consenso con el entonces consejero de Empleo, decidió de forma discrecional las empresas que debían beneficiarse y el importe de las ayudas” (STS 749/2022, fundamento de Derecho 111.6, pág. 581).</w:t>
      </w:r>
    </w:p>
    <w:p w14:paraId="4D43B5A5" w14:textId="77777777" w:rsidR="003754FE" w:rsidRDefault="003754FE" w:rsidP="003754FE">
      <w:pPr>
        <w:pStyle w:val="TextoNormal"/>
      </w:pPr>
    </w:p>
    <w:p w14:paraId="2F1C00AF" w14:textId="77777777" w:rsidR="003754FE" w:rsidRDefault="003754FE" w:rsidP="003754FE">
      <w:pPr>
        <w:pStyle w:val="TextoNormal"/>
      </w:pPr>
      <w:r>
        <w:t>(ii) Sobre el destino de los fondos a fines ajenos al interés público, el Tribunal Supremo ratifica igualmente el criterio de la sentencia de instancia de que el delito del art. 432 CP “se consuma con la sola realidad dispositiva de los caudales”, a través de IFA/IDEA, sin la tramitación del correspondiente expediente “que permitiese acreditar, no ya solo el fin público o social del destino de las cantidades concedidas, sino que, suponiendo este, se hubieran aplicado los fondos al mismo” y manifiesta que “[e]stamos ante un supuesto excepcional, la creación y mantenimiento de un modo de proceder buscado de propósito para eludir de forma absoluta la normativa aplicable, buscando con ello disponer libremente y al margen de todo control de unas cuantiosas cantidades de fondos públicos”. Añade que el incumplimiento de la normativa vigente y la ausencia de control del destino dado a las ayudas evidencia que, en realidad, fueron destinadas a intereses ajenos al fin público “bien porque, en los supuestos de rescisión de relación laboral […] el correspondiente expediente subvencional no se tramitó en legal forma, con acreditación, en particular, de la necesaria incapacidad de la empresa para hacer frente al pago de las indemnizaciones y de concurrir en los supuestos legales para ser beneficiario de la ayuda; bien porque, al amparo del programa 31L, se concedieron ayudas a empresas para fines absolutamente ajenos a los del referido programa”. Concluye que “[d]e conformidad con la prueba expuesta, debemos convenir con el Tribunal de instancia que la totalidad de las ayudas a las que se refiere el relato de hechos de la sentencia fueron destinadas a fines ajenos al interés público” (STS 749/2022, fundamento de Derecho 111.2.2, págs. 825 y 826).</w:t>
      </w:r>
    </w:p>
    <w:p w14:paraId="6B6ABA37" w14:textId="77777777" w:rsidR="003754FE" w:rsidRDefault="003754FE" w:rsidP="003754FE">
      <w:pPr>
        <w:pStyle w:val="TextoNormal"/>
      </w:pPr>
    </w:p>
    <w:p w14:paraId="557B1DD2" w14:textId="77777777" w:rsidR="003754FE" w:rsidRDefault="003754FE" w:rsidP="003754FE">
      <w:pPr>
        <w:pStyle w:val="TextoNormal"/>
      </w:pPr>
      <w:r>
        <w:t xml:space="preserve">La sentencia de casación considera que las disposiciones de fondos quedaron probadas en el informe pericial de la Intervención General del Estado, ratificado por sus autores en el juicio oral y sometido a la contradicción, que se refiere a las subvenciones a empresas para financiar el coste de las indemnizaciones por despido colectivo de sus trabajadores afectados por un expediente de regulación de empleo, concluyendo que se asumía un coste “[a]jeno, desde luego, al interés público, pues el beneficiario era una empresa que no había acreditado </w:t>
      </w:r>
      <w:r>
        <w:lastRenderedPageBreak/>
        <w:t>ser merecedora de la ayuda que recibía”, al igual que pasaba con las subvenciones a empresas concedidas para otros fines y, en ocasiones, sin objeto definido, que se consideran acreditadas mediante el citado informe de la Intervención General de la Administración del Estado, y además por los dos informes encargados a PriceWaterhouseCoopers Auditores, S.L., relativos al estudio de dieciséis subvenciones por importe de 11 416 454 €, concedidas por la Dirección General de Trabajo entre los años 2002 a 2008, en los que se ponen de manifiesto las innumerables ilegalidades habidas en la concesión de tales ayudas y su absoluta falta de control del destino, el informe de la Cámara de Cuentas de Andalucía de fiscalización de las ayudas sociolaborales a trabajadores afectados por expedientes de regulación de empleo y empresas en crisis, otorgadas por la administración de la Junta de Andalucía en los ejercicios 2001-2010, así como por los informes de control financiero del IFA en los que se advierte de la irregularidad del sistema seguido para la concesión de subvenciones, en particular el informe adicional al informe de cumplimiento del año 2003, comunicado al demandante el día 25 de julio de 2005.</w:t>
      </w:r>
    </w:p>
    <w:p w14:paraId="3780A396" w14:textId="77777777" w:rsidR="003754FE" w:rsidRDefault="003754FE" w:rsidP="003754FE">
      <w:pPr>
        <w:pStyle w:val="TextoNormal"/>
      </w:pPr>
    </w:p>
    <w:p w14:paraId="2EB7D0E8" w14:textId="77777777" w:rsidR="003754FE" w:rsidRDefault="003754FE" w:rsidP="003754FE">
      <w:pPr>
        <w:pStyle w:val="TextoNormal"/>
      </w:pPr>
      <w:r>
        <w:t>La sentencia de casación asevera finalmente que para considerar perfeccionado el delito de malversación “no es necesario delimitar de forma concreta el último beneficiado de la conducta malversadora, pues como elemento de la conducta típica no se incluye la determinación concreta del perceptor del dinero malversado, sino la acreditación de la sustracción del mismo en perjuicio del caudal público”, por lo que no era necesaria la declaración en el plenario de los supuestos beneficiarios “cuando a tal conclusión puede llegarse a través de otros medios probatorios” (STS 749/2022, fundamento de Derecho 111.2.2, pág. 835).</w:t>
      </w:r>
    </w:p>
    <w:p w14:paraId="1E66BBF0" w14:textId="77777777" w:rsidR="003754FE" w:rsidRDefault="003754FE" w:rsidP="003754FE">
      <w:pPr>
        <w:pStyle w:val="TextoNormal"/>
      </w:pPr>
    </w:p>
    <w:p w14:paraId="523CD834" w14:textId="77777777" w:rsidR="003754FE" w:rsidRDefault="003754FE" w:rsidP="003754FE">
      <w:pPr>
        <w:pStyle w:val="TextoNormal"/>
      </w:pPr>
      <w:r>
        <w:t xml:space="preserve">4.3. </w:t>
      </w:r>
      <w:r w:rsidRPr="003754FE">
        <w:rPr>
          <w:i/>
        </w:rPr>
        <w:t>Doctrina constitucional sobre el derecho a la presunción de inocencia (art. 24.2 CE)</w:t>
      </w:r>
    </w:p>
    <w:p w14:paraId="26ED873A" w14:textId="77777777" w:rsidR="003754FE" w:rsidRDefault="003754FE" w:rsidP="003754FE">
      <w:pPr>
        <w:pStyle w:val="TextoNormal"/>
      </w:pPr>
    </w:p>
    <w:p w14:paraId="7224EA54" w14:textId="77777777" w:rsidR="003754FE" w:rsidRDefault="003754FE" w:rsidP="003754FE">
      <w:pPr>
        <w:pStyle w:val="TextoNormal"/>
      </w:pPr>
      <w:r>
        <w:t>Antes de abordar las concretas quejas alegadas por el demandante de amparo en relación con este motivo, conviene traer a colación, al menos resumidamente, la doctrina constitucional sobre el derecho a la presunción de inocencia (art. 24.2 CE) tal y como ha sido fijada por este tribunal.</w:t>
      </w:r>
    </w:p>
    <w:p w14:paraId="3572BCCC" w14:textId="77777777" w:rsidR="003754FE" w:rsidRDefault="003754FE" w:rsidP="003754FE">
      <w:pPr>
        <w:pStyle w:val="TextoNormal"/>
      </w:pPr>
    </w:p>
    <w:p w14:paraId="70FE8430" w14:textId="77777777" w:rsidR="003754FE" w:rsidRDefault="003754FE" w:rsidP="003754FE">
      <w:pPr>
        <w:pStyle w:val="TextoNormal"/>
      </w:pPr>
      <w:r>
        <w:t xml:space="preserve">Al respecto hemos consignado reiteradamente que este derecho queda configurado como “el derecho a no ser condenado sin pruebas de cargo válidas” (STC 31/1981,de 28 de julio), de tal manera que toda sentencia condenatoria ha de estar fundada en “una mínima actividad probatoria, realizada con las garantías necesarias, referida a todos los elementos esenciales del delito, y que de la misma quepa inferir razonablemente los hechos y la participación del acusado” (STC 105/2016, de 6 de junio, FJ 8). Esta idoneidad incriminatoria, además,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w:t>
      </w:r>
      <w:r w:rsidRPr="003754FE">
        <w:rPr>
          <w:i/>
        </w:rPr>
        <w:t>ratio decidendi</w:t>
      </w:r>
      <w:r>
        <w:t xml:space="preserve"> de la decisión judicial, sino una mínima explicación de los fundamentos probatorios del relato fáctico, con base en el cual se individualiza el caso y se posibilita la aplicación de la norma jurídica (por todas, STC 22/2013, de 31 de enero, FJ 5, y las resoluciones allí citadas)” (STC 105/2016, de 6 de junio, FJ 8).</w:t>
      </w:r>
    </w:p>
    <w:p w14:paraId="0C0AD654" w14:textId="77777777" w:rsidR="003754FE" w:rsidRDefault="003754FE" w:rsidP="003754FE">
      <w:pPr>
        <w:pStyle w:val="TextoNormal"/>
      </w:pPr>
    </w:p>
    <w:p w14:paraId="789CA879" w14:textId="77777777" w:rsidR="003754FE" w:rsidRDefault="003754FE" w:rsidP="003754FE">
      <w:pPr>
        <w:pStyle w:val="TextoNormal"/>
      </w:pPr>
      <w:r>
        <w:t xml:space="preserve">Igualmente se ha destacado que, a falta de prueba directa, la prueba de cargo sobre la concurrencia de los elementos objetivos y subjetivos del delito puede ser indiciaria, siempre </w:t>
      </w:r>
      <w:r>
        <w:lastRenderedPageBreak/>
        <w:t>que se parta de hechos plenamente probados y que los hechos constitutivos de delito se deduzcan de esos indicios a través de un proceso mental razonado y acorde con las reglas del criterio humano. En relación con esta concreta cuestión, la STC 133/2014, de 22 de julio, FJ 8, ya señalaba que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del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w:t>
      </w:r>
    </w:p>
    <w:p w14:paraId="44F2559C" w14:textId="77777777" w:rsidR="003754FE" w:rsidRDefault="003754FE" w:rsidP="003754FE">
      <w:pPr>
        <w:pStyle w:val="TextoNormal"/>
      </w:pPr>
    </w:p>
    <w:p w14:paraId="5BDB968E" w14:textId="77777777" w:rsidR="003754FE" w:rsidRDefault="003754FE" w:rsidP="003754FE">
      <w:pPr>
        <w:pStyle w:val="TextoNormal"/>
      </w:pPr>
      <w:r>
        <w:t xml:space="preserve">La importancia de la motivación de la sentencia condenatoria ya venía remarcada en la STC 22/2013, de 31 de enero, FJ 5, donde se afirmaba que la culpabilidad ha de quedar plenamente probada, lo que es tanto como decir expuesta o mostrada. De esta manera, el derecho a la presunción de inocencia queda vulnerado cuando, habiéndose declarado la culpabilidad del encausado, dicha declaración de culpabilidad no se ha motivado suficientemente toda vez que “uno de los modos de la vulneración de este derecho lo constituye precisamente la falta de motivación del </w:t>
      </w:r>
      <w:r w:rsidRPr="003754FE">
        <w:rPr>
          <w:i/>
        </w:rPr>
        <w:t>iter</w:t>
      </w:r>
      <w:r>
        <w:t xml:space="preserve"> que ha conducido de las pruebas al relato de hechos probados de signo incriminatorio” (STC 245/2007, 10 de diciembre, FJ 5).</w:t>
      </w:r>
    </w:p>
    <w:p w14:paraId="32BD3A29" w14:textId="77777777" w:rsidR="003754FE" w:rsidRDefault="003754FE" w:rsidP="003754FE">
      <w:pPr>
        <w:pStyle w:val="TextoNormal"/>
      </w:pPr>
    </w:p>
    <w:p w14:paraId="0BFE375C" w14:textId="77777777" w:rsidR="003754FE" w:rsidRDefault="003754FE" w:rsidP="003754FE">
      <w:pPr>
        <w:pStyle w:val="TextoNormal"/>
      </w:pPr>
      <w:r>
        <w:t xml:space="preserve">La motivación de las sentencias penales es siempre exigible </w:t>
      </w:r>
      <w:r w:rsidRPr="003754FE">
        <w:rPr>
          <w:i/>
        </w:rPr>
        <w:t>ex</w:t>
      </w:r>
      <w:r>
        <w:t xml:space="preserve"> art. 120.3 CE, esto es, con independencia de su signo, condenatorio o absolutorio. No obstante, en las sentencias condenatorias el canon de motivación es más riguroso que en las absolutorias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se refuerza el parámetro de control utilizable para enjuiciar su suficiencia. Particularmente, en el plano fáctico, la sentencia penal condenatoria ha de exteriorizar en su razonamiento las pruebas relevantes tomadas en consideración y la existencia de una conexión fundada entre las pruebas y la declaración de hechos probados; conexión que debe ser aplicación razonada de las reglas de la lógica, ciencia y experiencia, de modo que sea posible realizar un juicio externo sobre las que llevan al juzgador a considerar alcanzada la convicción de culpabilidad más allá de toda duda razonable [por todas, STC 72/2024, de 7 de mayo, FJ 4 b)].</w:t>
      </w:r>
    </w:p>
    <w:p w14:paraId="048D02AE" w14:textId="77777777" w:rsidR="003754FE" w:rsidRDefault="003754FE" w:rsidP="003754FE">
      <w:pPr>
        <w:pStyle w:val="TextoNormal"/>
      </w:pPr>
    </w:p>
    <w:p w14:paraId="7C69F63E" w14:textId="77777777" w:rsidR="003754FE" w:rsidRDefault="003754FE" w:rsidP="003754FE">
      <w:pPr>
        <w:pStyle w:val="TextoNormal"/>
      </w:pPr>
      <w:r>
        <w:t xml:space="preserve">Es, precisamente, la motivación de la resolución que declara la culpabilidad y responsabilidad de una persona la que se encuentra sometida al control de este tribunal. Así, hemos afirmado en numerosas ocasiones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w:t>
      </w:r>
      <w:r>
        <w:lastRenderedPageBreak/>
        <w:t xml:space="preserve">la actividad probatoria y el relato fáctico resultante. Esta conclusión se ha fundamentado en dos razones de diferente índole: (i) por un lado, en que la Constitución no atribuye esa tarea de valoración a este tribunal, que no está incluida en las de amparo del derecho a la presunción de inocencia, y, (ii) por otro, en que el proceso constitucional no permite el conocimiento preciso y completo de la actividad probatoria (STC 142/2012, de 2 de julio, FJ 5). De esta manera, “solo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w:t>
      </w:r>
      <w:r w:rsidRPr="003754FE">
        <w:rPr>
          <w:i/>
        </w:rPr>
        <w:t>iter</w:t>
      </w:r>
      <w:r>
        <w:t xml:space="preserve"> discursivo que conduce de la prueba al hecho probado” (STC 189/1998, de 28 de septiembre, FJ 2, y, citándola entre otras muchas, SSTC 135/2003, de 30 de junio, FJ 2; 137/2005, de 23 de mayo, FJ 2, y 26/2010, de 27 de abril, FJ 6).</w:t>
      </w:r>
    </w:p>
    <w:p w14:paraId="352A7806" w14:textId="77777777" w:rsidR="003754FE" w:rsidRDefault="003754FE" w:rsidP="003754FE">
      <w:pPr>
        <w:pStyle w:val="TextoNormal"/>
      </w:pPr>
    </w:p>
    <w:p w14:paraId="3B2435A2" w14:textId="77777777" w:rsidR="003754FE" w:rsidRDefault="003754FE" w:rsidP="003754FE">
      <w:pPr>
        <w:pStyle w:val="TextoNormal"/>
      </w:pPr>
      <w:r>
        <w:t>Este mismo canon se extiende a los supuestos de prueba indiciaria donde la supervisión de la solidez de la inferencia puede llevarse a cabo tanto desde el control de su lógica o coherencia, siendo irrazonable cuando los indicios constatados excluyan el hecho que de ellos se hace derivar o no conduzca naturalmente a él, como desde la suficiencia o carácter concluyente, excluyéndose la razonabilidad por el carácter excesivamente abierto, débil o indeterminado de la inferencia (SSTC 127/2011, de 18 de julio, FJ 6; 142/2012, de 2 de julio, FJ 5, y 46/2022, de 24 de marzo, FJ 10.1)</w:t>
      </w:r>
    </w:p>
    <w:p w14:paraId="30B8EC0D" w14:textId="77777777" w:rsidR="003754FE" w:rsidRDefault="003754FE" w:rsidP="003754FE">
      <w:pPr>
        <w:pStyle w:val="TextoNormal"/>
      </w:pPr>
    </w:p>
    <w:p w14:paraId="17138D27" w14:textId="77777777" w:rsidR="003754FE" w:rsidRDefault="003754FE" w:rsidP="003754FE">
      <w:pPr>
        <w:pStyle w:val="TextoNormal"/>
      </w:pPr>
      <w:r>
        <w:t>En conclusión, es deber de los órganos judiciales realizar un esfuerzo dirigido a la motivación de la sentencia o pronunciamiento condenatorio, puesto que son aquellos quienes tienen un conocimiento cabal, completo y obtenido con todas las garantías del acervo probatorio, y función de este tribunal comprobar la coherencia de dicha motivación a través de una supervisión externa de la razonabilidad del discurso que une la actividad probatoria y el relato fáctico resultante (STC 67/2021, de 17 de marzo, FJ 3). Este control no es posible si los órganos judiciales descuidan su deber, lo que nos ha llegado a exigir que “deba asegurarse estrictamente la garantía formal de que el razonamiento efectuado por el tribunal conste expresamente en la sentencia, ya que solo así podrá verificarse si aquel formó su convicción sobre una prueba de cargo capaz de desvirtuar la presunción de inocencia (SSTC 117/2000, de 5 de mayo, FJ 3, y 124/2001, de 4 de junio, FJ 13) y que ninguno de los elementos constitutivos del delito se ha[ya] presumido en contra del acusado” (STC 340/2006, de 11 de diciembre, FJ 4).</w:t>
      </w:r>
    </w:p>
    <w:p w14:paraId="7172858F" w14:textId="77777777" w:rsidR="003754FE" w:rsidRDefault="003754FE" w:rsidP="003754FE">
      <w:pPr>
        <w:pStyle w:val="TextoNormal"/>
      </w:pPr>
    </w:p>
    <w:p w14:paraId="6C9C9191" w14:textId="77777777" w:rsidR="003754FE" w:rsidRDefault="003754FE" w:rsidP="003754FE">
      <w:pPr>
        <w:pStyle w:val="TextoNormal"/>
      </w:pPr>
      <w:r>
        <w:t>4.4</w:t>
      </w:r>
      <w:r w:rsidRPr="003754FE">
        <w:rPr>
          <w:i/>
        </w:rPr>
        <w:t>. Enjuiciamiento de la que</w:t>
      </w:r>
      <w:r>
        <w:t>ja</w:t>
      </w:r>
    </w:p>
    <w:p w14:paraId="2B99921B" w14:textId="77777777" w:rsidR="003754FE" w:rsidRDefault="003754FE" w:rsidP="003754FE">
      <w:pPr>
        <w:pStyle w:val="TextoNormal"/>
      </w:pPr>
    </w:p>
    <w:p w14:paraId="1F1777B7" w14:textId="77777777" w:rsidR="003754FE" w:rsidRDefault="003754FE" w:rsidP="003754FE">
      <w:pPr>
        <w:pStyle w:val="TextoNormal"/>
      </w:pPr>
      <w:r>
        <w:t xml:space="preserve">En el análisis de este motivo es preciso partir de una premisa básica: que la declarada vulneración del derecho a la legalidad penal, </w:t>
      </w:r>
      <w:r w:rsidRPr="003754FE">
        <w:rPr>
          <w:i/>
        </w:rPr>
        <w:t>ex</w:t>
      </w:r>
      <w:r>
        <w:t xml:space="preserve"> art. 25.1 CE, por integrarse en el título de malversación de caudales públicos del art. 432 CP la presupuestación y gestión de ayudas sociolaborales y a empresas en crisis mediante la agencia IFA/IDEA, en ejercicios presupuestarios en los que dicho procedimiento tenía respaldo legal (</w:t>
      </w:r>
      <w:r w:rsidRPr="003754FE">
        <w:rPr>
          <w:i/>
        </w:rPr>
        <w:t>vid. supra</w:t>
      </w:r>
      <w:r>
        <w:t xml:space="preserve"> FJ 3.4.1) obliga a delimitar el análisis de la participación del demandante en dicho procedimiento desde la perspectiva del derecho fundamental a la presunción de inocencia (art. 24.2 CE), por lo que, aún esclarecido que la condena vinculada a la forma global de gestión del programa 31L es inconciliable con el derecho a la legalidad penal, resta un sustrato fáctico que no quedaría afectado por dicho reparo constitucional, teniendo en cuenta que la condena del Sr. </w:t>
      </w:r>
      <w:r>
        <w:lastRenderedPageBreak/>
        <w:t>Fernández García también abarca conductas cuya subsunción en el delito de malversación hemos declarado que no resulta impredecible</w:t>
      </w:r>
      <w:r w:rsidRPr="003754FE">
        <w:rPr>
          <w:i/>
        </w:rPr>
        <w:t xml:space="preserve"> (vid. sup</w:t>
      </w:r>
      <w:r>
        <w:t>ra fundamento de Derecho 3.4.2), en concreto:</w:t>
      </w:r>
    </w:p>
    <w:p w14:paraId="72589E2A" w14:textId="77777777" w:rsidR="003754FE" w:rsidRDefault="003754FE" w:rsidP="003754FE">
      <w:pPr>
        <w:pStyle w:val="TextoNormal"/>
      </w:pPr>
    </w:p>
    <w:p w14:paraId="190C5669" w14:textId="77777777" w:rsidR="003754FE" w:rsidRDefault="003754FE" w:rsidP="003754FE">
      <w:pPr>
        <w:pStyle w:val="TextoNormal"/>
      </w:pPr>
      <w:r>
        <w:t>(a) Los actos de presupuestación y gestión que realizó antes de que las leyes de presupuestos hubieran incorporado el concepto de transferencias de financiación al IFA/IDEA como instrumento apto para la concesión y pago de ayudas sociolaborales y a empresas en crisis, es decir, las modificaciones presupuestarias de fecha 18 de abril de 2000, 28 de julio de 2000, 18 de septiembre de 2001 y 13 de noviembre de 2001, en las que el recurrente intervino en calidad de viceconsejero de Empleo, así como la suscripción del convenio marco de 17 de julio de 2001 y de los convenios particulares que instrumentaron el pago de ayudas en los años 2000 y 2001, en los que el demandante intervino en calidad de presidente del IFA.</w:t>
      </w:r>
    </w:p>
    <w:p w14:paraId="1D87F9C8" w14:textId="77777777" w:rsidR="003754FE" w:rsidRDefault="003754FE" w:rsidP="003754FE">
      <w:pPr>
        <w:pStyle w:val="TextoNormal"/>
      </w:pPr>
    </w:p>
    <w:p w14:paraId="6A2FDDD5" w14:textId="77777777" w:rsidR="003754FE" w:rsidRDefault="003754FE" w:rsidP="003754FE">
      <w:pPr>
        <w:pStyle w:val="TextoNormal"/>
      </w:pPr>
      <w:r>
        <w:t>(b) Las disposiciones de fondos ordenadas en el ámbito de la Consejería de Empleo, en la que ocupó cargos de dirección preeminentes en el tiempo en que se desarrollaron las conductas enjuiciadas, bajo la vigencia de las leyes de presupuestos que incorporaban tales aplicaciones en el programa 31L, pero que excedieron su ámbito de cobertura en tanto que se hicieron en ausencia de fin público o para fines distintos de los previstos en dicho programa.</w:t>
      </w:r>
    </w:p>
    <w:p w14:paraId="3DBDD925" w14:textId="77777777" w:rsidR="003754FE" w:rsidRDefault="003754FE" w:rsidP="003754FE">
      <w:pPr>
        <w:pStyle w:val="TextoNormal"/>
      </w:pPr>
    </w:p>
    <w:p w14:paraId="049AEF37" w14:textId="77777777" w:rsidR="003754FE" w:rsidRDefault="003754FE" w:rsidP="003754FE">
      <w:pPr>
        <w:pStyle w:val="TextoNormal"/>
      </w:pPr>
      <w:r>
        <w:t>Acotado este sustrato fáctico, en virtud del relato de hechos probados de la sentencia de instancia, es deber de este tribunal comprobar si, de acuerdo con su fundamentación jurídica, se ha motivado suficientemente, y conforme a criterios racionales y lógicos, el engarce necesario entre las conductas anteriormente expuestas y la participación del demandante de amparo, entendiendo que ello solo se producirá cuando se realice de un modo “coherente, lógico y racional, entendida la racionalidad, por supuesto, no como mero mecanismo o automatismo, sino como compresión razonable de la realidad normalmente vivida y apreciada conforme a criterios colectivos vigentes” (STC 169/1986, de 22 de diciembre, FJ 2).</w:t>
      </w:r>
    </w:p>
    <w:p w14:paraId="5BF7EC70" w14:textId="77777777" w:rsidR="003754FE" w:rsidRDefault="003754FE" w:rsidP="003754FE">
      <w:pPr>
        <w:pStyle w:val="TextoNormal"/>
      </w:pPr>
    </w:p>
    <w:p w14:paraId="1A6F5613" w14:textId="77777777" w:rsidR="003754FE" w:rsidRDefault="003754FE" w:rsidP="003754FE">
      <w:pPr>
        <w:pStyle w:val="TextoNormal"/>
      </w:pPr>
      <w:r>
        <w:t xml:space="preserve">Y ello porque, como ya se ha explicitado anteriormente, el derecho a la presunción de inocencia queda vulnerado cuando, habiéndose declarado la culpabilidad del encausado, dicha declaración de culpabilidad no se ha motivado suficientemente toda vez que “uno de los modos de la vulneración de este derecho lo constituye precisamente la falta de motivación del </w:t>
      </w:r>
      <w:r w:rsidRPr="003754FE">
        <w:rPr>
          <w:i/>
        </w:rPr>
        <w:t>iter</w:t>
      </w:r>
      <w:r>
        <w:t xml:space="preserve"> que ha conducido de las pruebas al relato de hechos probados de signo incriminatorio” (STC 245/2007, 10 de diciembre, FJ 5) no siendo, por lo tanto, misión de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(STC 137/2005, de 23 de mayo, FJ 2).</w:t>
      </w:r>
    </w:p>
    <w:p w14:paraId="5F433C73" w14:textId="77777777" w:rsidR="003754FE" w:rsidRDefault="003754FE" w:rsidP="003754FE">
      <w:pPr>
        <w:pStyle w:val="TextoNormal"/>
      </w:pPr>
    </w:p>
    <w:p w14:paraId="1F6B9A64" w14:textId="77777777" w:rsidR="003754FE" w:rsidRDefault="003754FE" w:rsidP="003754FE">
      <w:pPr>
        <w:pStyle w:val="TextoNormal"/>
      </w:pPr>
      <w:r>
        <w:t>a) Sobre la prueba de la intervención del demandante de amparo en los actos de presupuestación y gestión de los fondos del programa 22E (ejercicios 2000 y 2001).</w:t>
      </w:r>
    </w:p>
    <w:p w14:paraId="15C92653" w14:textId="77777777" w:rsidR="003754FE" w:rsidRDefault="003754FE" w:rsidP="003754FE">
      <w:pPr>
        <w:pStyle w:val="TextoNormal"/>
      </w:pPr>
    </w:p>
    <w:p w14:paraId="3A05F3E9" w14:textId="77777777" w:rsidR="003754FE" w:rsidRDefault="003754FE" w:rsidP="003754FE">
      <w:pPr>
        <w:pStyle w:val="TextoNormal"/>
      </w:pPr>
      <w:r>
        <w:t xml:space="preserve">La sentencia de instancia expone en su fundamento de Derecho 26, apartado IV, medios de prueba que permiten concluir que el demandante de amparo intervino personalmente en </w:t>
      </w:r>
      <w:r>
        <w:lastRenderedPageBreak/>
        <w:t>la presupuestación y pago de las ayudas en este periodo inicial con conocimiento de su ilegalidad. Su intervención en los procedimientos de elaboración de las modificaciones presupuestarias ya reseñadas, en su calidad de viceconsejero de Empleo, queda reflejada en los documentos que los instrumentan, y no ha sido negada por el propio demandante. Lo mismo ocurre con la suscripción, como presidente del IFA, del convenio marco de 17 de julio de 2001 y de varios convenios particulares que sirvieron para conceder ayudas en dicho periodo, de los que se cita, a título de ejemplo, el convenio de 19 de julio de 2001, en el expediente HAMSA, con cita de la pieza documental que lo recoge, convenio que el demandante remitió al director general de trabajo para que lo tomase como modelo para el convenio de Jerez Industrial que se iba a firmar.</w:t>
      </w:r>
    </w:p>
    <w:p w14:paraId="53E6573C" w14:textId="77777777" w:rsidR="003754FE" w:rsidRDefault="003754FE" w:rsidP="003754FE">
      <w:pPr>
        <w:pStyle w:val="TextoNormal"/>
      </w:pPr>
    </w:p>
    <w:p w14:paraId="5ECE26C4" w14:textId="77777777" w:rsidR="003754FE" w:rsidRDefault="003754FE" w:rsidP="003754FE">
      <w:pPr>
        <w:pStyle w:val="TextoNormal"/>
      </w:pPr>
      <w:r>
        <w:t>El conocimiento de la inadecuación del sistema se infiere del conocimiento del reparo que la Intervención de la Junta de Andalucía había opuesto al expediente de ayudas sociolaborales a siete trabajadores de la empresa Hijos de Andrés Molina, y del informe del Gabinete Jurídico que negaba la posibilidad de convalidación del gasto en una ayuda a trabajadores de la empresa IAMASA. Se apoya igualmente en datos que afloraron en declaraciones prestadas por el propio demandante de amparo, en concreto, las declaraciones sumariales que evacuó en el Juzgado de Instrucción núm. 6 de Sevilla los días 20, 21 y 22 de abril de 2012, y 2 de febrero de 2016, en las que se mostraba conocedor de que los expedientes de ayudas no se sometían a fiscalización previa de la Intervención, así como la declaración prestada ante el magistrado instructor del Tribunal Supremo de 30 de abril de 2015, declaraciones que fueron introducidas en el plenario al ser interrogado sobre las mismas, y que no ratificó, optando por acogerse a su derecho a guardar silencio, lo que dio lugar a que la Audiencia Provincial otorgase credibilidad a aquellas, por entender que eran precisas y próximas a la fecha de acaecimiento de los hechos.</w:t>
      </w:r>
    </w:p>
    <w:p w14:paraId="3988A562" w14:textId="77777777" w:rsidR="003754FE" w:rsidRDefault="003754FE" w:rsidP="003754FE">
      <w:pPr>
        <w:pStyle w:val="TextoNormal"/>
      </w:pPr>
    </w:p>
    <w:p w14:paraId="6B2FD0ED" w14:textId="77777777" w:rsidR="003754FE" w:rsidRDefault="003754FE" w:rsidP="003754FE">
      <w:pPr>
        <w:pStyle w:val="TextoNormal"/>
      </w:pPr>
      <w:r>
        <w:t>Su conocimiento de sus efectos se plasma asimismo en su intervención en la sesión del consejo rector del IFA de 23 de julio de 2001, en la que informó a los consejeros de la firma de los primeros convenios de ayudas, y en la sesión de 29 de octubre de 2001, en la que informó de su funcionamiento, remiendo la sentencia a las correspondientes actas.</w:t>
      </w:r>
    </w:p>
    <w:p w14:paraId="53F1E526" w14:textId="77777777" w:rsidR="003754FE" w:rsidRDefault="003754FE" w:rsidP="003754FE">
      <w:pPr>
        <w:pStyle w:val="TextoNormal"/>
      </w:pPr>
    </w:p>
    <w:p w14:paraId="2A4A4098" w14:textId="77777777" w:rsidR="003754FE" w:rsidRDefault="003754FE" w:rsidP="003754FE">
      <w:pPr>
        <w:pStyle w:val="TextoNormal"/>
      </w:pPr>
      <w:r>
        <w:t>En la sentencia se refleja igualmente que instruyó al entonces director general de trabajo, don Francisco Javier Guerrero, sobre la aplicación del convenio marco, lo que se entiende acreditado en base a la declaración que prestó el demandante el 21 de abril de 2012 en el Juzgado de Instrucción núm. 6 de Sevilla.</w:t>
      </w:r>
    </w:p>
    <w:p w14:paraId="02C3F88B" w14:textId="77777777" w:rsidR="003754FE" w:rsidRDefault="003754FE" w:rsidP="003754FE">
      <w:pPr>
        <w:pStyle w:val="TextoNormal"/>
      </w:pPr>
    </w:p>
    <w:p w14:paraId="3BCE0EB3" w14:textId="77777777" w:rsidR="003754FE" w:rsidRDefault="003754FE" w:rsidP="003754FE">
      <w:pPr>
        <w:pStyle w:val="TextoNormal"/>
      </w:pPr>
      <w:r>
        <w:t>Se ha de concluir, por ello, que la sentencia de instancia expone, analiza y valora de una forma razonada medios de prueba cuyo resultado permite afirmar, más allá de toda duda razonable, que el demandante de amparo participó en actos de presupuestación y gestión en ejercicios presupuestarios en los que las leyes no legitimaban el uso de las transferencias de financiación al IFA como medio de pago de ayudas sociolaborales y a empresas en crisis.</w:t>
      </w:r>
    </w:p>
    <w:p w14:paraId="60E8AB38" w14:textId="77777777" w:rsidR="003754FE" w:rsidRDefault="003754FE" w:rsidP="003754FE">
      <w:pPr>
        <w:pStyle w:val="TextoNormal"/>
      </w:pPr>
    </w:p>
    <w:p w14:paraId="20C36C36" w14:textId="77777777" w:rsidR="003754FE" w:rsidRDefault="003754FE" w:rsidP="003754FE">
      <w:pPr>
        <w:pStyle w:val="TextoNormal"/>
      </w:pPr>
      <w:r>
        <w:t xml:space="preserve">La sentencia desarrolla igualmente los medios de prueba que confirman que con posterioridad siguió ejerciendo la dirección del procedimiento de gestión de las ayudas, aunque ya bajo la vigencia de las leyes de presupuestos que les daban cobertura: son significativas las menciones a las actas de las sesiones del consejo rector del IFA/IDEA de 27 de marzo de 2002, en la que comunicó a los consejeros los informes de control financiero permanente correspondientes al año 2000 y primer semestre del 2001, donde se recogían irregularidades </w:t>
      </w:r>
      <w:r>
        <w:lastRenderedPageBreak/>
        <w:t>del procedimiento; de 27 de mayo de 2003, sesión en la que se trató del déficit financiero que sufría la agencia y de la forma de solucionarlo, de sus conversaciones con el viceconsejero de Hacienda, y en la que el demandante impuso el criterio de fraccionar las ayudas sociolaborales en función del importe recibido por cada trabajador para evitar la elevación del acuerdo al Consejo de Gobierno de la Junta de Andalucía, lo que se produjo con ocasión de la retirada del orden del día del convenio de ayuda a la empresa Primayor; de 24 de noviembre de 2003, en la que los consejeros acordaron por unanimidad elevar consulta al Gabinete Jurídico de la Junta de Andalucía sobre la necesidad de ratificación por el Consejo de Gobierno del convenio particular de ayuda por un importe de 2 250 000 € que habían autorizado con la empresa Sandetel, consulta que tenía que realizar el demandante y que no hizo; y de 30 de enero de 2004 y 2 de marzo de 2004, sesiones en las que se acordó la concesión de subvención a Pickman y su posterior anulación y fraccionamiento en anualidades para eludir la aprobación definitiva del Consejo de Gobierno.</w:t>
      </w:r>
    </w:p>
    <w:p w14:paraId="1F69ED2C" w14:textId="77777777" w:rsidR="003754FE" w:rsidRDefault="003754FE" w:rsidP="003754FE">
      <w:pPr>
        <w:pStyle w:val="TextoNormal"/>
      </w:pPr>
    </w:p>
    <w:p w14:paraId="16A5650D" w14:textId="77777777" w:rsidR="003754FE" w:rsidRDefault="003754FE" w:rsidP="003754FE">
      <w:pPr>
        <w:pStyle w:val="TextoNormal"/>
      </w:pPr>
      <w:r>
        <w:t>b) Sobre la prueba de la intervención del demandante de amparo en disposiciones de fondos del programa 31L carentes de cobertura legal por realizarse en ausencia de fin público o para fines distintos de los previstos en dicho programa (ejercicios 2002 a 2009).</w:t>
      </w:r>
    </w:p>
    <w:p w14:paraId="5DE7C0A0" w14:textId="77777777" w:rsidR="003754FE" w:rsidRDefault="003754FE" w:rsidP="003754FE">
      <w:pPr>
        <w:pStyle w:val="TextoNormal"/>
      </w:pPr>
    </w:p>
    <w:p w14:paraId="3FC8B107" w14:textId="77777777" w:rsidR="003754FE" w:rsidRDefault="003754FE" w:rsidP="003754FE">
      <w:pPr>
        <w:pStyle w:val="TextoNormal"/>
      </w:pPr>
      <w:r>
        <w:t>La sentencia expone y valora medios de prueba reveladores de que el demandante de amparo, en su desempeño como viceconsejero y consejero de Empleo, retuvo el control de la concesión de ayudas, lo que desmiente su alegación de que dichas decisiones las tomara en solitario el director general de trabajo. El demandante tenía conocimiento de los convenios firmados por el director general de trabajo, como acreditaba el correo que este le remitió adjuntándole copia de la ayuda a la empresa Valeo, de diciembre de 2007; el demandante reconoció en el acto de juicio que cuando no estaba conforme con un convenio, lo devolvía a la Dirección General de Trabajo. Se detalla, además, la declaración que prestó en el Juzgado de Instrucción núm. 6 de Sevilla en la que manifestó que “las ayudas, hasta lo que conoce el dicente, las proponía el director general. No obstante cuando las ayudas eran importantes en el caso de las sociolaborales por el número de trabajadores afectados y en el caso de las ayudas directas por la cuantía de las ayudas, o por el sector afectado, era el Consejero de Empleo en colaboración con el viceconsejero, los que decidían las directrices de concesión de estas ayudas, y luego el director general era el que las concretaba y las tramitaba”.</w:t>
      </w:r>
    </w:p>
    <w:p w14:paraId="4CBD1196" w14:textId="77777777" w:rsidR="003754FE" w:rsidRDefault="003754FE" w:rsidP="003754FE">
      <w:pPr>
        <w:pStyle w:val="TextoNormal"/>
      </w:pPr>
    </w:p>
    <w:p w14:paraId="79ACAD77" w14:textId="77777777" w:rsidR="003754FE" w:rsidRDefault="003754FE" w:rsidP="003754FE">
      <w:pPr>
        <w:pStyle w:val="TextoNormal"/>
      </w:pPr>
      <w:r>
        <w:t>La testigo doña María José Rofa, técnico que fue contratada por don Juan Márquez Contreras, cuando ocupó el cargo de director general de trabajo, para que pusiera orden en la tramitación de los expedientes de ayudas, declaró en sede policial, y ratificó posteriormente en sede judicial, que habitualmente las decisiones las tomaban el consejero (refiriéndose a don Antonio Fernández García) y el viceconsejero, y que los directores generales de trabajo (entre ellos, don Juan Márquez) las consultaban con el consejero.</w:t>
      </w:r>
    </w:p>
    <w:p w14:paraId="1E53000F" w14:textId="77777777" w:rsidR="003754FE" w:rsidRDefault="003754FE" w:rsidP="003754FE">
      <w:pPr>
        <w:pStyle w:val="TextoNormal"/>
      </w:pPr>
    </w:p>
    <w:p w14:paraId="0DB7C11B" w14:textId="77777777" w:rsidR="003754FE" w:rsidRDefault="003754FE" w:rsidP="003754FE">
      <w:pPr>
        <w:pStyle w:val="TextoNormal"/>
      </w:pPr>
      <w:r>
        <w:t xml:space="preserve">Como ejemplo de decisiones adoptadas directamente por el demandante, la sentencia de instancia identifica, en base al informe de la Intervención General del Estado, unos documentos-contrato de garantía indemnizatoria por permanencia en la empresa que el demandante firmó, como viceconsejero de empleo, con varios directivos de la empresa Santana, y que remitió el 24 de julio de 2003 al director general de Trabajo, plasmándose en la suscripción de pólizas cuya prima se abonó con fondos del programa 31L, lo que constituye un caso de desviación de los fondos a fines distintos de los programados. También se relaciona </w:t>
      </w:r>
      <w:r>
        <w:lastRenderedPageBreak/>
        <w:t>la orden que dio de pago de una ayuda a Faja Pirítica de Huelva, y su mediación para la concesión de una ayuda al ayuntamiento de Chiclana.</w:t>
      </w:r>
    </w:p>
    <w:p w14:paraId="5C97F3AE" w14:textId="77777777" w:rsidR="003754FE" w:rsidRDefault="003754FE" w:rsidP="003754FE">
      <w:pPr>
        <w:pStyle w:val="TextoNormal"/>
      </w:pPr>
    </w:p>
    <w:p w14:paraId="011D226D" w14:textId="77777777" w:rsidR="003754FE" w:rsidRDefault="003754FE" w:rsidP="003754FE">
      <w:pPr>
        <w:pStyle w:val="TextoNormal"/>
      </w:pPr>
      <w:r>
        <w:t>La sentencia valora asimismo, las declaraciones de otros acusados, como don Francisco Javier Guerrero, que expuso algunos aspectos de la participación del demandante en la creación y funcionamiento del sistema de ayudas, y de algunos testigos, como don Francisco José Oyonarte Molina, jefe de la asesoría jurídica del IFA desde febrero de 2003 hasta junio de 2004, y secretario general del IFA, quien en declaración sumarial de 18 de mayo de 2015 expuso la intervención que tuvo el demandante en el consejo rector de 27 de mayo de 2003, en el que se negó a que los expedientes de las ayudas fueran remitidos al IFA/IDEA, exigiendo que la agencia firmara los convenios particulares sin conocer la cuantía de la ayuda; este testigo manifiesta que para ello “era necesario que pudieran acceder a los expedientes que se encontraban en la Consejería de Empleo en la Dirección General, y le consta que el sr. Mencía los pidió varias veces, (y) que los pidió varias veces la Sr. Palma Muñoz, pero que a ello se negaron en rotundo el director general de Trabajo y el viceconsejero de Empleo [el demandante] […] Que podría considerar presiones el contenido de la reunión del consejo rector de 27 de mayo de 2003, ya relatada donde por la enfermedad del Sr. Mencía llevó el declarante el peso de la discusión con el presidente de la sesión Sr. Fernández […] Que por parte del Sr. Fernández se le dijo que el declarante tenía una concepción intervencionista del instituto, con lo cual le estaba quitando la agilidad para su actuación y que debería de volver sus ojos al derecho privado. Que bajo esta concepción que le exponía el Sr. Fernández era muy difícil mantener los parámetros de legalidad”. En otro momento este testigo afirma “que si hubiesen conocido los expedientes y hubiesen sabido, no ya la ilicitud si no (sic) una mera irregularidad, los hubiesen devuelto a la Consejería de Empleo para su subsanación antes de proceder a firmarlos […] Que es cierto que le chocó enormemente que no le facilitaran los expedientes, pero ni se le pasaba por la imaginación que pudieran existir las ilegalidades puestas de manifiesto con posterioridad. Que a su celo profesional sí que le rechinaba al menos, porque no era normal, que no les dejaron conocer los expedientes”.</w:t>
      </w:r>
    </w:p>
    <w:p w14:paraId="032DEA1D" w14:textId="77777777" w:rsidR="003754FE" w:rsidRDefault="003754FE" w:rsidP="003754FE">
      <w:pPr>
        <w:pStyle w:val="TextoNormal"/>
      </w:pPr>
    </w:p>
    <w:p w14:paraId="52042EAB" w14:textId="77777777" w:rsidR="003754FE" w:rsidRDefault="003754FE" w:rsidP="003754FE">
      <w:pPr>
        <w:pStyle w:val="TextoNormal"/>
      </w:pPr>
      <w:r>
        <w:t>La sentencia de instancia remite nuevamente al testimonio de la técnico contratada, doña María José Rofa (declaración en sede policial de 2 de febrero de 2012, ratificada en sede sumarial el 6 de julio de 2012), en tanto que puso de manifiesto el descontrol total que observó en la gestión de los expedientes a su llegada a la dirección general de Trabajo, declarando que “si bien para las ayudas sociolaborales se contaba con la base de los datos de las propias aseguradoras, en lo relativo a las ayudas a empresa no había un listado a donde recurrir para saber lo comprometido, lo pagado hasta el momento, y lo pendiente. Lo anterior hacía imposible cualquier control de las empresas beneficiarias, de las cantidades pagadas y de las pendientes”.</w:t>
      </w:r>
    </w:p>
    <w:p w14:paraId="7A9C4AD4" w14:textId="77777777" w:rsidR="003754FE" w:rsidRDefault="003754FE" w:rsidP="003754FE">
      <w:pPr>
        <w:pStyle w:val="TextoNormal"/>
      </w:pPr>
    </w:p>
    <w:p w14:paraId="79BEB6C9" w14:textId="77777777" w:rsidR="003754FE" w:rsidRDefault="003754FE" w:rsidP="003754FE">
      <w:pPr>
        <w:pStyle w:val="TextoNormal"/>
      </w:pPr>
      <w:r>
        <w:t xml:space="preserve">La sentencia de instancia también aprecia el desvío de los fondos de su finalidad pública, a partir de informaciones suministradas en el informe pericial de la Intervención General del Estado, que fue ratificado por sus autores en el juicio oral y sometido a la contradicción, y en los dos informes encargados a PriceWaterhouseCoopers Auditores, S.L., relativos al estudio de dieciseis subvenciones por importe de 11 416 454 €, concedidas por la dirección general de Trabajo entre los años 2002 a 2008, en los que se ponen de manifiesto las innumerables ilegalidades habidas en la concesión de tales ayudas y su absoluta falta de control del destino. En el fundamento de Derecho 45 de la sentencia de instancia se reproduce un cuadro de ayudas a empresas para fines diversos en el que se reflejan ayudas “sin objeto </w:t>
      </w:r>
      <w:r>
        <w:lastRenderedPageBreak/>
        <w:t>claramente definido”, para pago de nóminas, avales, gastos de asesoramiento jurídico, o publicidad. También se identifican las irregularidades plasmadas en los informes de PriceWaterhouseCoopers, Auditores, S.L., que incluían la concesión de ayudas a empresas interrelacionadas, por compartir accionistas y órganos de administración, empresas que se habían constituido con muy poca antelación, con escaso patrimonio propio, o que carecían de trabajadores. Se exponen asimismo las irregularidades detectadas por la Cámara de Cuentas de Andalucía.</w:t>
      </w:r>
    </w:p>
    <w:p w14:paraId="0DD08152" w14:textId="77777777" w:rsidR="003754FE" w:rsidRDefault="003754FE" w:rsidP="003754FE">
      <w:pPr>
        <w:pStyle w:val="TextoNormal"/>
      </w:pPr>
    </w:p>
    <w:p w14:paraId="02D19AAA" w14:textId="77777777" w:rsidR="003754FE" w:rsidRDefault="003754FE" w:rsidP="003754FE">
      <w:pPr>
        <w:pStyle w:val="TextoNormal"/>
      </w:pPr>
      <w:r>
        <w:t>La sentencia de instancia, por lo tanto, expone, analiza y valora de una forma razonada medios de prueba cuyo resultado permite inferir que el demandante de amparo, en el desempeño de sus cargos de viceconsejero y consejero de Empleo, ejerció un control efectivo en la concesión de las ayudas, en un periodo en que una parte de ellas se concedieron sin responder a fin público reconocible o para fines ajenos a los del programa 31L, por lo que no es irracional ni representa una inferencia excesivamente laxa o indeterminada la conclusión de que el demandante tuvo intervención eficiente en tales desviaciones. Procede por ello desestimar el motivo de amparo en el que denuncia la vulneración de su derecho a la presunción de inocencia.</w:t>
      </w:r>
    </w:p>
    <w:p w14:paraId="7F2DC3B9" w14:textId="77777777" w:rsidR="003754FE" w:rsidRDefault="003754FE" w:rsidP="003754FE">
      <w:pPr>
        <w:pStyle w:val="TextoNormal"/>
      </w:pPr>
    </w:p>
    <w:p w14:paraId="2739E756" w14:textId="77777777" w:rsidR="003754FE" w:rsidRDefault="003754FE" w:rsidP="003754FE">
      <w:pPr>
        <w:pStyle w:val="TextoNormal"/>
      </w:pPr>
      <w:r>
        <w:t xml:space="preserve">4.5. </w:t>
      </w:r>
      <w:r w:rsidRPr="003754FE">
        <w:rPr>
          <w:i/>
        </w:rPr>
        <w:t>Vulneración del derecho a la presunción de inocencia por incorporación en la sentencia de casación de elementos fácticos nuevos</w:t>
      </w:r>
    </w:p>
    <w:p w14:paraId="27E6BCEB" w14:textId="77777777" w:rsidR="003754FE" w:rsidRDefault="003754FE" w:rsidP="003754FE">
      <w:pPr>
        <w:pStyle w:val="TextoNormal"/>
      </w:pPr>
    </w:p>
    <w:p w14:paraId="192FBD3C" w14:textId="77777777" w:rsidR="003754FE" w:rsidRDefault="003754FE" w:rsidP="003754FE">
      <w:pPr>
        <w:pStyle w:val="TextoNormal"/>
      </w:pPr>
      <w:r>
        <w:t>4.5.1</w:t>
      </w:r>
      <w:r w:rsidRPr="003754FE">
        <w:rPr>
          <w:i/>
        </w:rPr>
        <w:t>. Posiciones de las part</w:t>
      </w:r>
      <w:r>
        <w:t>es</w:t>
      </w:r>
    </w:p>
    <w:p w14:paraId="35FA764C" w14:textId="77777777" w:rsidR="003754FE" w:rsidRDefault="003754FE" w:rsidP="003754FE">
      <w:pPr>
        <w:pStyle w:val="TextoNormal"/>
      </w:pPr>
    </w:p>
    <w:p w14:paraId="7E2EC4B1" w14:textId="77777777" w:rsidR="003754FE" w:rsidRDefault="003754FE" w:rsidP="003754FE">
      <w:pPr>
        <w:pStyle w:val="TextoNormal"/>
      </w:pPr>
      <w:r>
        <w:t>Además de la vulneración del derecho a la presunción de inocencia examinada, la demanda de amparo, en el tercero de los motivos dirigidos contra la sentencia casacional, reprocha a esta resolución haber incurrido en una vulneración autónoma del derecho a la presunción de inocencia del recurrente por haber incorporado datos fácticos nuevos, ajenos a la sentencia de instancia, para justificar la confirmación de la condena por delito de malversación de caudales públicos. Se refiere a las expresiones “precisamente se cambió el sistema de presupuestación para evitar todo control y para disponer del erario público de forma discrecional y arbitraria, al margen de todo condicionante legal” (págs. 348 y 349) y “se modificó el sistema de presupuestación, no por razones técnicas o neutrales, sino con una deliberada finalidad: con el pretexto de agilizar el pago de ayudas se buscó un sistema para disponer libérrimamente de los fondos públicos eliminando todos los controles y todas las exigencias de la normativa de subvenciones” (pág. 352).</w:t>
      </w:r>
    </w:p>
    <w:p w14:paraId="2BA65A5E" w14:textId="77777777" w:rsidR="003754FE" w:rsidRDefault="003754FE" w:rsidP="003754FE">
      <w:pPr>
        <w:pStyle w:val="TextoNormal"/>
      </w:pPr>
    </w:p>
    <w:p w14:paraId="3A49A363" w14:textId="77777777" w:rsidR="003754FE" w:rsidRDefault="003754FE" w:rsidP="003754FE">
      <w:pPr>
        <w:pStyle w:val="TextoNormal"/>
      </w:pPr>
      <w:r>
        <w:t>Estas afirmaciones, a juicio del recurrente, exceden las posibilidades revisoras y efecto devolutivo del recurso de casación, pues las acusaciones se aquietaron con la fórmula de declaración de los hechos probados utilizada en la sentencia recurrida, y colocan al recurrente en la tesitura de no conocer con la necesaria claridad y precisión los hechos por los que ha sido condenado, que no pueden ser otros que los determinados en la sentencia de instancia, con la consecuencia de haberse incurrido en un</w:t>
      </w:r>
      <w:r w:rsidRPr="003754FE">
        <w:rPr>
          <w:i/>
        </w:rPr>
        <w:t>a reformatio in pei</w:t>
      </w:r>
      <w:r>
        <w:t>us.</w:t>
      </w:r>
    </w:p>
    <w:p w14:paraId="4B59E12B" w14:textId="77777777" w:rsidR="003754FE" w:rsidRDefault="003754FE" w:rsidP="003754FE">
      <w:pPr>
        <w:pStyle w:val="TextoNormal"/>
      </w:pPr>
    </w:p>
    <w:p w14:paraId="35859458" w14:textId="77777777" w:rsidR="003754FE" w:rsidRDefault="003754FE" w:rsidP="003754FE">
      <w:pPr>
        <w:pStyle w:val="TextoNormal"/>
      </w:pPr>
      <w:r>
        <w:t xml:space="preserve">Considera que la sentencia de instancia estableció, de manera clara y reiterada, y asimismo vinculante para el tribunal de casación, que las modificaciones presupuestarias se propusieron, tramitaron y aprobaron para eludir la fiscalización previa y, en todo caso, para lograr una mayor rapidez en la concesión y pago de ayudas. Sin embargo, el Tribunal Supremo, incomprensiblemente, establece </w:t>
      </w:r>
      <w:r w:rsidRPr="003754FE">
        <w:rPr>
          <w:i/>
        </w:rPr>
        <w:t>ex novo</w:t>
      </w:r>
      <w:r>
        <w:t xml:space="preserve"> que la finalidad buscada por la totalidad de </w:t>
      </w:r>
      <w:r>
        <w:lastRenderedPageBreak/>
        <w:t>los condenados en la causa —no solo los cargos de la Consejería de Empleo— fue la disposición ilegal de los fondos, cosa que en ningún momento se afirma en la sentencia de instancia. Como consecuencia de ello, todos los condenados por el delito de malversación quedan situados como autores en la modalidad de dolo directo, destacándose que todas las acciones respondían a un propósito común, y que no se trató de una simple dejación del deber, sino de una dejación con la finalidad de que otro actúe ilícitamente, desbordándose así los contornos fácticos definidos por la Audiencia Provincial, que había concluido que algunos de los acusados conocieron y quisieron las actuaciones malversadoras, y que el resto debieron conocer dichas actuaciones, de modo que a unos se les atribuyó “disponer o consentir que un tercero disponga de los fondos con fines ajenos a su fin público” y a otros “asumir la eventualidad de que los fondos vinculados al programa 31L fueran objeto de disposición con fines ajenos al fin público al que estaban destinados” (sentencia de la Audiencia Provincial, fundamento de Derecho 47.2, págs. 1754 y ss.). Sobre este suelo se articuló el recurso de casación, y no debió ser ignorado ni excedido en la sentencia de casación.</w:t>
      </w:r>
    </w:p>
    <w:p w14:paraId="5D2E3D22" w14:textId="77777777" w:rsidR="003754FE" w:rsidRDefault="003754FE" w:rsidP="003754FE">
      <w:pPr>
        <w:pStyle w:val="TextoNormal"/>
      </w:pPr>
    </w:p>
    <w:p w14:paraId="5C554855" w14:textId="77777777" w:rsidR="003754FE" w:rsidRDefault="003754FE" w:rsidP="003754FE">
      <w:pPr>
        <w:pStyle w:val="TextoNormal"/>
      </w:pPr>
      <w:r>
        <w:t>De este modo, insiste, la sentencia de casación ya no le atribuye decisiones relacionadas con la actuación de su subordinado, el director general de Trabajo, en el ámbito de la Consejería de Empleo, sino que pasa a atribuírsele un propósito común con todos los demás condenados, de quienes, sin excepción, pasa a declararse la existencia de un designio o intención directa de malversar fondos públicos, lo que intensifica el carácter incriminatorio de su conducta, vulnera su derecho a la presunción de inocencia y afecta a su posición defensiva. Quedan asimismo alterados los términos bajo los que la sentencia de instancia fundamentó la autoría por el delito de malversación, pues ahora ya no se trata de que en el circunscrito ámbito de la Consejería de Empleo, su subordinado, el director general de trabajo, con su conocimiento o anuencia del demandante o sin él, pues ese era el objeto de debate, al conceder las ayudas dispusiera fraudulentamente de los fondos en la fase de ejecución presupuestaria, sino que lo que el Tribunal Supremo dice ahora es que el demandante de amparo habría actuado de previo acuerdo con sus iguales y con las más altas autoridades del gobierno de la Junta de Andalucía para delinquir, lo que es muy distinto.</w:t>
      </w:r>
    </w:p>
    <w:p w14:paraId="6CB2EC11" w14:textId="77777777" w:rsidR="003754FE" w:rsidRDefault="003754FE" w:rsidP="003754FE">
      <w:pPr>
        <w:pStyle w:val="TextoNormal"/>
      </w:pPr>
    </w:p>
    <w:p w14:paraId="3B28D25C" w14:textId="77777777" w:rsidR="003754FE" w:rsidRDefault="003754FE" w:rsidP="003754FE">
      <w:pPr>
        <w:pStyle w:val="TextoNormal"/>
      </w:pPr>
      <w:r>
        <w:t>En atención a estos argumentos el actor solicita la nulidad de la sentencia de casación por vulneración del derecho a la presunción de inocencia y que se dicte nueva resolución en la que se excluyan estos elementos fácticos.</w:t>
      </w:r>
    </w:p>
    <w:p w14:paraId="2BEA7691" w14:textId="77777777" w:rsidR="003754FE" w:rsidRDefault="003754FE" w:rsidP="003754FE">
      <w:pPr>
        <w:pStyle w:val="TextoNormal"/>
      </w:pPr>
    </w:p>
    <w:p w14:paraId="2645AD28" w14:textId="77777777" w:rsidR="003754FE" w:rsidRDefault="003754FE" w:rsidP="003754FE">
      <w:pPr>
        <w:pStyle w:val="TextoNormal"/>
      </w:pPr>
      <w:r>
        <w:t>El Partido Popular niega que la sentencia de casación haya introducido elementos fácticos novedosos para confirmar la condena por malversación, como pone de manifiesto el auto resolutorio del incidente de nulidad de actuaciones, limitándose a efectuar “meras consideraciones jurídicas en el juicio de autoría o tipicidad” sin modificar los hechos probados.</w:t>
      </w:r>
    </w:p>
    <w:p w14:paraId="4B26F591" w14:textId="77777777" w:rsidR="003754FE" w:rsidRDefault="003754FE" w:rsidP="003754FE">
      <w:pPr>
        <w:pStyle w:val="TextoNormal"/>
      </w:pPr>
    </w:p>
    <w:p w14:paraId="5A86B6FB" w14:textId="77777777" w:rsidR="003754FE" w:rsidRDefault="003754FE" w:rsidP="003754FE">
      <w:pPr>
        <w:pStyle w:val="TextoNormal"/>
      </w:pPr>
      <w:r>
        <w:t>El fiscal comparte también la argumentación que conduce a rechazar una queja análoga en el fundamento de Derecho 4 del auto resolutorio del incidente de nulidad de actuaciones. Considera que las frases cuestionadas en la demanda “no han añadido nada nuevo a lo declarado en los hechos probados de la sentencia de instancia, sino resumido o concretado todo el conjunto de hechos declarados probados por dicha sentencia”.</w:t>
      </w:r>
    </w:p>
    <w:p w14:paraId="4D636B03" w14:textId="77777777" w:rsidR="003754FE" w:rsidRDefault="003754FE" w:rsidP="003754FE">
      <w:pPr>
        <w:pStyle w:val="TextoNormal"/>
      </w:pPr>
    </w:p>
    <w:p w14:paraId="69353A48" w14:textId="77777777" w:rsidR="003754FE" w:rsidRDefault="003754FE" w:rsidP="003754FE">
      <w:pPr>
        <w:pStyle w:val="TextoNormal"/>
      </w:pPr>
      <w:r>
        <w:t>4.5.2</w:t>
      </w:r>
      <w:r w:rsidRPr="003754FE">
        <w:rPr>
          <w:i/>
        </w:rPr>
        <w:t>. Enjuiciamiento de la que</w:t>
      </w:r>
      <w:r>
        <w:t>ja</w:t>
      </w:r>
    </w:p>
    <w:p w14:paraId="25A29AC1" w14:textId="77777777" w:rsidR="003754FE" w:rsidRDefault="003754FE" w:rsidP="003754FE">
      <w:pPr>
        <w:pStyle w:val="TextoNormal"/>
      </w:pPr>
    </w:p>
    <w:p w14:paraId="640A59B8" w14:textId="77777777" w:rsidR="003754FE" w:rsidRDefault="003754FE" w:rsidP="003754FE">
      <w:pPr>
        <w:pStyle w:val="TextoNormal"/>
      </w:pPr>
      <w:r>
        <w:lastRenderedPageBreak/>
        <w:t>El análisis del presente motivo de amparo deviene innecesario como consecuencia de lo establecido en los fundamentos anteriores de esta resolución:</w:t>
      </w:r>
    </w:p>
    <w:p w14:paraId="114E35C1" w14:textId="77777777" w:rsidR="003754FE" w:rsidRDefault="003754FE" w:rsidP="003754FE">
      <w:pPr>
        <w:pStyle w:val="TextoNormal"/>
      </w:pPr>
    </w:p>
    <w:p w14:paraId="5843FAF4" w14:textId="77777777" w:rsidR="003754FE" w:rsidRDefault="003754FE" w:rsidP="003754FE">
      <w:pPr>
        <w:pStyle w:val="TextoNormal"/>
      </w:pPr>
      <w:r>
        <w:t>(i) En los fundamentos jurídicos 2.4 y 3.2 A) se ha indicado que la Audiencia Provincial fundó su condena por delito de malversación no solo en su intervención en la fase de presupuestación de los programas 22E y 31L, mediante su participación en la aprobación de modificaciones, anteproyectos y proyectos de presupuestos en el desempeño de los cargos públicos que ocupó, sino que también le atribuye una participación directa y personal en actos de gestión, como fueron la firma de convenios particulares en el año 2000 y hasta el 28 de enero de 2003, siendo presidente del IFA, que materializaron el pago de ayudas siguiendo el esquema de actuación del convenio marco, que también firmó, las instrucciones que dirigió al director general de Trabajo y al propio consejo rector del IFA sobre el modo en que debía desarrollarse dicha gestión, así como la atribución de la decisión de conceder ciertas ayudas.</w:t>
      </w:r>
    </w:p>
    <w:p w14:paraId="5483AF12" w14:textId="77777777" w:rsidR="003754FE" w:rsidRDefault="003754FE" w:rsidP="003754FE">
      <w:pPr>
        <w:pStyle w:val="TextoNormal"/>
      </w:pPr>
    </w:p>
    <w:p w14:paraId="6F171D03" w14:textId="77777777" w:rsidR="003754FE" w:rsidRDefault="003754FE" w:rsidP="003754FE">
      <w:pPr>
        <w:pStyle w:val="TextoNormal"/>
      </w:pPr>
      <w:r>
        <w:t>(ii) En el fundamento jurídico 3.4.1 se ha establecido que las leyes de presupuestos correspondientes a los ejercicios 2002 a 2009 incorporaron al ordenamiento jurídico este sistema de gestión de ayudas y que por ello el cumplimiento de sus determinaciones en cuanto a régimen de concesión y control financiero impedía su calificación de ilícitas o ilegales, aunque hubiesen conllevado la supresión de los controles y procedimientos propios del régimen de las subvenciones. De forma opuesta, en el fundamento jurídico 3.4.2 se ha descartado que vulnerara el derecho a la legalidad penal la subsunción en el delito de malversación de la intervención del recurrente en la disposición de los fondos del programa 22E con carácter global y en la de los vinculados al programa 31L en tanto que la disposición se realizara en ausencia de un fin público o con desvío de los previstos en el citado programa.</w:t>
      </w:r>
    </w:p>
    <w:p w14:paraId="57BBBC19" w14:textId="77777777" w:rsidR="003754FE" w:rsidRDefault="003754FE" w:rsidP="003754FE">
      <w:pPr>
        <w:pStyle w:val="TextoNormal"/>
      </w:pPr>
    </w:p>
    <w:p w14:paraId="20B966AC" w14:textId="77777777" w:rsidR="003754FE" w:rsidRDefault="003754FE" w:rsidP="003754FE">
      <w:pPr>
        <w:pStyle w:val="TextoNormal"/>
      </w:pPr>
      <w:r>
        <w:t>(iii) En el fundamento jurídico 4.4 se ha apreciado que la sentencia de instancia expone, analiza y valora de una forma razonada medios de prueba cuyo resultado permite afirmar que el demandante de amparo, en el ejercicio de sus cargos, participó de las referidas disposiciones de fondos ilícitas en relación con los créditos de los programas 22E y 31L.</w:t>
      </w:r>
    </w:p>
    <w:p w14:paraId="5A45B6EF" w14:textId="77777777" w:rsidR="003754FE" w:rsidRDefault="003754FE" w:rsidP="003754FE">
      <w:pPr>
        <w:pStyle w:val="TextoNormal"/>
      </w:pPr>
    </w:p>
    <w:p w14:paraId="6EC1AB2C" w14:textId="3F043511" w:rsidR="003754FE" w:rsidRDefault="003754FE" w:rsidP="003754FE">
      <w:pPr>
        <w:pStyle w:val="TextoNormal"/>
      </w:pPr>
      <w:r>
        <w:t>Sentado lo anterior, la queja del recurrente resulta inane, ya que cuestiona un supuesto complemento fáctico por parte de la sentencia de casación que permitiría sustentar la condena por el delito de malversación. Sin embargo, como acaba de exponerse, se ha concluido que la sentencia de instancia ofrece argumentos suficientes desde la perspectiva del derecho a la presunción de inocencia para justificar la condena por delito de malversación de caudales públicos del recurrente por su intervención en la disposición de los fondos públicos de los programas 22E y 31L. En estos casos, que son los que permiten sostener la calificación de la conducta del recurrente como autoría de un delito de malversación de caudales públicos, los elementos fácticos novedosos que, según se afirma en la demanda, se introdujeron en la sentencia de casación, la concurrencia de un propósito o una finalidad de desviar los fondos de su finalidad pública, resultan irrelevantes. La actuación a sabiendas de la inexistencia de finalidad pública en la disposición de fondos venía determinada por el incumplimiento de las exigencias legales para la concesión que conocía el recurrente (programa 22E) y por el control efectivo en la concesión de ayudas en un periodo en el que una parte de ellas no respondía a un fin público o a los dispuestos en el programa presupuestario (programa 31L). Procede por ello desestimar también este motivo de amparo.</w:t>
      </w:r>
    </w:p>
    <w:p w14:paraId="564F979F" w14:textId="77777777" w:rsidR="003754FE" w:rsidRDefault="003754FE" w:rsidP="003754FE">
      <w:pPr>
        <w:pStyle w:val="TextoNormal"/>
      </w:pPr>
    </w:p>
    <w:p w14:paraId="7043D2F0" w14:textId="77777777" w:rsidR="003754FE" w:rsidRDefault="003754FE" w:rsidP="003754FE">
      <w:pPr>
        <w:pStyle w:val="TextoNormal"/>
      </w:pPr>
      <w:r w:rsidRPr="003754FE">
        <w:rPr>
          <w:rStyle w:val="NumeroAFNegritaCaracter"/>
        </w:rPr>
        <w:lastRenderedPageBreak/>
        <w:t>5</w:t>
      </w:r>
      <w:r>
        <w:t xml:space="preserve">. </w:t>
      </w:r>
      <w:r w:rsidRPr="003754FE">
        <w:rPr>
          <w:i/>
        </w:rPr>
        <w:t>Vulneración del derecho a la tutela judicial efectiva (art. 24.1 CE) por incongruencia omisiva</w:t>
      </w:r>
    </w:p>
    <w:p w14:paraId="233029CD" w14:textId="77777777" w:rsidR="003754FE" w:rsidRDefault="003754FE" w:rsidP="003754FE">
      <w:pPr>
        <w:pStyle w:val="TextoNormal"/>
      </w:pPr>
    </w:p>
    <w:p w14:paraId="369A1627" w14:textId="77777777" w:rsidR="003754FE" w:rsidRDefault="003754FE" w:rsidP="003754FE">
      <w:pPr>
        <w:pStyle w:val="TextoNormal"/>
      </w:pPr>
      <w:r>
        <w:t xml:space="preserve">5.1. </w:t>
      </w:r>
      <w:r w:rsidRPr="003754FE">
        <w:rPr>
          <w:i/>
        </w:rPr>
        <w:t>Posiciones de las partes</w:t>
      </w:r>
    </w:p>
    <w:p w14:paraId="3E77FCB3" w14:textId="77777777" w:rsidR="003754FE" w:rsidRDefault="003754FE" w:rsidP="003754FE">
      <w:pPr>
        <w:pStyle w:val="TextoNormal"/>
      </w:pPr>
    </w:p>
    <w:p w14:paraId="32DF3AB2" w14:textId="77777777" w:rsidR="003754FE" w:rsidRDefault="003754FE" w:rsidP="003754FE">
      <w:pPr>
        <w:pStyle w:val="TextoNormal"/>
      </w:pPr>
      <w:r>
        <w:t>En el primero y segundo de los motivos de la demanda en que se alegan lesiones causadas por la sentencia del Tribunal Supremo, se denuncia la vulneración del derecho a la tutela judicial efectiva (art. 24.1 CE) por incongruencia omisiva, dada la falta de respuesta a determinadas pretensiones explícitamente incorporadas al recurso de casación. En concreto, no se habría dado una respuesta racionalmente fundada a los motivos décimo y undécimo de dicho recurso ni a los motivos duodécimoy decimotercero. El demandante explica que la pretensión jurídica sin mínima o adecuada respuesta sostenida en los motivos 10 y 12 (error en la apreciación de la prueba basado en documentos del art. 849.2 LECrim) instaba la revisión de una serie de hechos relevantes, con modificación del relato fáctico, por así justificarlo el contenido y significación de múltiples documentos que, frente a lo sostenido en la sentencia de casación, considera literosuficientes y no contradichos. A su entender, tales hechos tenían directa incidencia en el fallo, pues servían, de un lado, para negar el designio de elusión de controles, que es elemento basal de la decisión de condena por malversación; y de otro lado, para negar la idea de que la oscuridad en la información suministrada al Parlamento provocó que durante una década se debatieran, enmendaran y aprobaran leyes del presupuesto enteramente a ciegas, que es determinante de la decisión de condena por prevaricación. Con esa base planteaba por infracción de ley del art. 849.1 LECrim la violación de los arts. 404 y 432 CP en los motivos undécimo y decimotercero.</w:t>
      </w:r>
    </w:p>
    <w:p w14:paraId="5B20226A" w14:textId="77777777" w:rsidR="003754FE" w:rsidRDefault="003754FE" w:rsidP="003754FE">
      <w:pPr>
        <w:pStyle w:val="TextoNormal"/>
      </w:pPr>
    </w:p>
    <w:p w14:paraId="1C510BFE" w14:textId="77777777" w:rsidR="003754FE" w:rsidRDefault="003754FE" w:rsidP="003754FE">
      <w:pPr>
        <w:pStyle w:val="TextoNormal"/>
      </w:pPr>
      <w:r>
        <w:t>El Partido Popular descarta en sus alegaciones la doble denuncia de incongruencia omisiva con apoyo tanto en la respuesta ofrecida por el auto del Tribunal Supremo que resolvió los incidentes de nulidad actuaciones formulados contra la sentencia de casación (fundamentos de Derecho 22 y 23) como en lo argumentado sobre los motivos décimo, undécimo, duodécimoy decimotercero en dicha sentencia (fundamento 109 —motivo décimo—, fundamento 102 y respuesta común en el apartado V —motivo undécimo—, fundamento 110 —motivo duodécimo— y fundamento 103 —motivo decimotercero—).</w:t>
      </w:r>
    </w:p>
    <w:p w14:paraId="4F0A465B" w14:textId="77777777" w:rsidR="003754FE" w:rsidRDefault="003754FE" w:rsidP="003754FE">
      <w:pPr>
        <w:pStyle w:val="TextoNormal"/>
      </w:pPr>
    </w:p>
    <w:p w14:paraId="5C221D36" w14:textId="77777777" w:rsidR="003754FE" w:rsidRDefault="003754FE" w:rsidP="003754FE">
      <w:pPr>
        <w:pStyle w:val="TextoNormal"/>
      </w:pPr>
      <w:r>
        <w:t>Tampoco el fiscal considera que se haya producido incongruencia omisiva, tras recordar igualmente la respuesta dada por el Tribunal Supremo en su sentencia y la respuesta a las quejas de incongruencia omisiva ofrecidas en el auto resolutorio del incidente de nulidad de actuaciones.</w:t>
      </w:r>
    </w:p>
    <w:p w14:paraId="3B3DD7CD" w14:textId="77777777" w:rsidR="003754FE" w:rsidRDefault="003754FE" w:rsidP="003754FE">
      <w:pPr>
        <w:pStyle w:val="TextoNormal"/>
      </w:pPr>
    </w:p>
    <w:p w14:paraId="02E7EA02" w14:textId="77777777" w:rsidR="003754FE" w:rsidRDefault="003754FE" w:rsidP="003754FE">
      <w:pPr>
        <w:pStyle w:val="TextoNormal"/>
      </w:pPr>
      <w:r>
        <w:t xml:space="preserve">5.2. </w:t>
      </w:r>
      <w:r w:rsidRPr="003754FE">
        <w:rPr>
          <w:i/>
        </w:rPr>
        <w:t>Pronunciamientos del Tribunal Supremo</w:t>
      </w:r>
    </w:p>
    <w:p w14:paraId="7544186E" w14:textId="77777777" w:rsidR="003754FE" w:rsidRDefault="003754FE" w:rsidP="003754FE">
      <w:pPr>
        <w:pStyle w:val="TextoNormal"/>
      </w:pPr>
    </w:p>
    <w:p w14:paraId="3593F9CC" w14:textId="77777777" w:rsidR="003754FE" w:rsidRDefault="003754FE" w:rsidP="003754FE">
      <w:pPr>
        <w:pStyle w:val="TextoNormal"/>
      </w:pPr>
      <w:r>
        <w:t>El demandante planteó en dos motivos de su recurso de casación la modificación del relato fáctico con base en múltiples documentos (motivos décimo y duodécimo) y consecuentes motivos por infracción de ley (motivos undécimo y decimotercero), por entender que la aceptación de esos cambios incidía directamente en el fallo por excluir elementos basales de la condena por los delitos de malversación y prevaricación. Estos motivos se desestimaron en los fundamentos de Derecho 109 (motivo décimo), 102 (motivo undécimo), 110 (motivo duodécimo) y 103 (motivo decimotercero) con remisión, además, a lo referido en el apartado V (fundamento 13 y siguientes) sobre el “control de las transferencias de financiación y de las ayudas sociolaborales”.</w:t>
      </w:r>
    </w:p>
    <w:p w14:paraId="027AE05A" w14:textId="77777777" w:rsidR="003754FE" w:rsidRDefault="003754FE" w:rsidP="003754FE">
      <w:pPr>
        <w:pStyle w:val="TextoNormal"/>
      </w:pPr>
    </w:p>
    <w:p w14:paraId="78E6D533" w14:textId="77777777" w:rsidR="003754FE" w:rsidRDefault="003754FE" w:rsidP="003754FE">
      <w:pPr>
        <w:pStyle w:val="TextoNormal"/>
      </w:pPr>
      <w:r>
        <w:t xml:space="preserve">El Tribunal Supremo opuso en primer lugar los estrechos límites del motivo casacional planteado con los ordinales decímo y duodécimo (error en la apreciación de la prueba del art. 849.2 LECrim) y rechazó que los documentos aducidos fueran literosuficientes, recordando que los hechos cuestionados son fruto de una valoración de pruebas mucho más numerosas que las reseñadas por el recurrente que es la que se propugna con los motivos desbordando el motivo casacional (fundamentos de Derecho 109 y 110). En segundo lugar, desestimó el motivo undécimo en el fundamento de Derecho 102 con remisión a los fundamentos de Derecho 13 y siguientes, así como el motivo decimotercero en el fundamento de Derecho 103, por entender que se denunciaba la aplicación indebida del art. 404 CP sin aceptar el </w:t>
      </w:r>
      <w:r w:rsidRPr="003754FE">
        <w:rPr>
          <w:i/>
        </w:rPr>
        <w:t>factum</w:t>
      </w:r>
      <w:r>
        <w:t xml:space="preserve"> fijado por la sentencia de instancia y, en tal medida, partía de un relato de hechos probados distinto y opuesto a los consignado en la sentencia de la Audiencia Provincial.</w:t>
      </w:r>
    </w:p>
    <w:p w14:paraId="45988771" w14:textId="77777777" w:rsidR="003754FE" w:rsidRDefault="003754FE" w:rsidP="003754FE">
      <w:pPr>
        <w:pStyle w:val="TextoNormal"/>
      </w:pPr>
    </w:p>
    <w:p w14:paraId="65D53292" w14:textId="77777777" w:rsidR="003754FE" w:rsidRDefault="003754FE" w:rsidP="003754FE">
      <w:pPr>
        <w:pStyle w:val="TextoNormal"/>
      </w:pPr>
      <w:r>
        <w:t>Por auto de 16 de febrero de 2023 el Tribunal Supremo descartó la vulneración del derecho a la tutela judicial efectiva (art. 24.1 CE) por incongruencia omisiva que el recurrente había denunciado en el incidente de nulidad de actuaciones que formuló frente a la sentencia casacional. Por lo que se refiere al tratamiento del motivo 10 del recurso, recuerda en el fundamento de Derecho 22 que el motivo de casación se respondió y desestimó en el fundamento de Derecho 109 de la sentencia de casación, porque lo pretendido, nuevas inferencias probatorias sobre la finalidad del sistema de presupuestación a partir de una extensa documentación, desbordaba el cauce casacional, ya que los documentos no eran literosuficientes y se pretendía una reevaluación global de la prueba cuyo cauce sería el de lesión del derecho a la presunción de inocencia. Tampoco aprecia incongruencia omisiva por falta de respuesta a las pretensiones formuladas en el motivo 11 del recurso de casación, ya que en el fundamento de Derecho 102 de la sentencia de casación se dio respuesta expresa a las alegaciones sobre la fiscalización efectuada por la intervención delegada de la Junta de Andalucía. Recuerda que, dado que era un motivo común a varios recursos, se dio una respuesta común (a la que se remite el citado fundamento de Derecho 102) en el apartado V de la sentencia relativo al “control de las transferencias de financiación y de las ayudas sociolaborales” junto con lo dicho en los apartados III y IV sobre el régimen jurídico de las ayudas sociolaborales y el régimen jurídico de las transferencias de financiación. En concreto se explica que en el apartado V de la sentencia del Tribunal Supremo (fundamentos de Derecho 14, 15 y 16) se analizó específicamente si, a pesar del cambio del criterio de presupuestación, era posible efectuar el control previo, propio de las subvenciones; se analizó el conocimiento que tuvo la intervención delegada del destino último de las transferencias de financiación; si hubo o no engaño a esta sobre lo que estaba sucediendo; si había o no obligación de emitir un informe de actuación; qué tipo de control se debía efectuar y qué consecuencias en orden al control de las ayudas tuvo el cambio de presupuestación; se analizó la vinculación causal entre presupuestación y gasto y su deficiente forma de control; y se justificó también la inexistencia del deber de formular reparo en los expedientes de transferencia de financiación o de formular informe de actuación y las consecuencias de ello.</w:t>
      </w:r>
    </w:p>
    <w:p w14:paraId="4C64DBF9" w14:textId="77777777" w:rsidR="003754FE" w:rsidRDefault="003754FE" w:rsidP="003754FE">
      <w:pPr>
        <w:pStyle w:val="TextoNormal"/>
      </w:pPr>
    </w:p>
    <w:p w14:paraId="1280621B" w14:textId="77777777" w:rsidR="003754FE" w:rsidRDefault="003754FE" w:rsidP="003754FE">
      <w:pPr>
        <w:pStyle w:val="TextoNormal"/>
      </w:pPr>
      <w:r>
        <w:t xml:space="preserve">5.3. </w:t>
      </w:r>
      <w:r w:rsidRPr="003754FE">
        <w:rPr>
          <w:i/>
        </w:rPr>
        <w:t>Enjuiciamiento de la queja</w:t>
      </w:r>
    </w:p>
    <w:p w14:paraId="58E2005F" w14:textId="77777777" w:rsidR="003754FE" w:rsidRDefault="003754FE" w:rsidP="003754FE">
      <w:pPr>
        <w:pStyle w:val="TextoNormal"/>
      </w:pPr>
    </w:p>
    <w:p w14:paraId="2030C3A2" w14:textId="77777777" w:rsidR="003754FE" w:rsidRDefault="003754FE" w:rsidP="003754FE">
      <w:pPr>
        <w:pStyle w:val="TextoNormal"/>
      </w:pPr>
      <w:r>
        <w:t xml:space="preserve">5.3.1. </w:t>
      </w:r>
      <w:r w:rsidRPr="003754FE">
        <w:rPr>
          <w:i/>
        </w:rPr>
        <w:t>Doctrina constitucional</w:t>
      </w:r>
    </w:p>
    <w:p w14:paraId="38C48B1A" w14:textId="77777777" w:rsidR="003754FE" w:rsidRDefault="003754FE" w:rsidP="003754FE">
      <w:pPr>
        <w:pStyle w:val="TextoNormal"/>
      </w:pPr>
    </w:p>
    <w:p w14:paraId="4A7BB7C6" w14:textId="77777777" w:rsidR="003754FE" w:rsidRDefault="003754FE" w:rsidP="003754FE">
      <w:pPr>
        <w:pStyle w:val="TextoNormal"/>
      </w:pPr>
      <w:r>
        <w:lastRenderedPageBreak/>
        <w:t xml:space="preserve">Existe una doctrina constitucional consolidada sobre el derecho a una resolución judicial congruente (art. 24.1 CE) y cuándo se está ante su vulneración por haberse incurrido en incongruencia en sus distintas modalidades (por todas, con ulteriores referencias, STC 104/2022, de 12 septiembre, FJ 3). Conforme a ella, el vicio de incongruencia se define como “aquel desajuste entre el fallo judicial y los términos en los que las partes han formulado su pretensión o pretensiones que constituyen el objeto del proceso en los escritos esenciales del mismo”, de modo que “[a]l conceder más, menos o cosa distinta a lo pedido, el órgano judicial incurre en las formas de incongruencia conocidas como </w:t>
      </w:r>
      <w:r w:rsidRPr="003754FE">
        <w:rPr>
          <w:i/>
        </w:rPr>
        <w:t>ultra petita</w:t>
      </w:r>
      <w:r>
        <w:t xml:space="preserve">, </w:t>
      </w:r>
      <w:r w:rsidRPr="003754FE">
        <w:rPr>
          <w:i/>
        </w:rPr>
        <w:t>citra petita</w:t>
      </w:r>
      <w:r>
        <w:t xml:space="preserve"> o </w:t>
      </w:r>
      <w:r w:rsidRPr="003754FE">
        <w:rPr>
          <w:i/>
        </w:rPr>
        <w:t>extra petita partium</w:t>
      </w:r>
      <w:r>
        <w:t xml:space="preserve">”. La incongruencia omisiva o </w:t>
      </w:r>
      <w:r w:rsidRPr="003754FE">
        <w:rPr>
          <w:i/>
        </w:rPr>
        <w:t>ex silentio</w:t>
      </w:r>
      <w:r>
        <w:t xml:space="preserv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w:t>
      </w:r>
    </w:p>
    <w:p w14:paraId="2398573E" w14:textId="77777777" w:rsidR="003754FE" w:rsidRDefault="003754FE" w:rsidP="003754FE">
      <w:pPr>
        <w:pStyle w:val="TextoNormal"/>
      </w:pPr>
    </w:p>
    <w:p w14:paraId="0CA15763" w14:textId="77777777" w:rsidR="003754FE" w:rsidRDefault="003754FE" w:rsidP="003754FE">
      <w:pPr>
        <w:pStyle w:val="TextoNormal"/>
      </w:pPr>
      <w:r>
        <w:t>A tales efectos resulta imprescindible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w:t>
      </w:r>
    </w:p>
    <w:p w14:paraId="7C6B0890" w14:textId="77777777" w:rsidR="003754FE" w:rsidRDefault="003754FE" w:rsidP="003754FE">
      <w:pPr>
        <w:pStyle w:val="TextoNormal"/>
      </w:pPr>
    </w:p>
    <w:p w14:paraId="44F8ACF1" w14:textId="77777777" w:rsidR="003754FE" w:rsidRDefault="003754FE" w:rsidP="003754FE">
      <w:pPr>
        <w:pStyle w:val="TextoNormal"/>
      </w:pPr>
      <w:r>
        <w:t>5.3.2</w:t>
      </w:r>
      <w:r w:rsidRPr="003754FE">
        <w:rPr>
          <w:i/>
        </w:rPr>
        <w:t>. Resolución de la que</w:t>
      </w:r>
      <w:r>
        <w:t>ja</w:t>
      </w:r>
    </w:p>
    <w:p w14:paraId="53DBA8B7" w14:textId="77777777" w:rsidR="003754FE" w:rsidRDefault="003754FE" w:rsidP="003754FE">
      <w:pPr>
        <w:pStyle w:val="TextoNormal"/>
      </w:pPr>
    </w:p>
    <w:p w14:paraId="0B520CB3" w14:textId="77777777" w:rsidR="003754FE" w:rsidRDefault="003754FE" w:rsidP="003754FE">
      <w:pPr>
        <w:pStyle w:val="TextoNormal"/>
      </w:pPr>
      <w:r>
        <w:t xml:space="preserve">La demanda plantea la existencia de una doble incongruencia omisiva, ya que no se habría contestado a los motivos décimo, undécimo, duodécimo y decimotercero de su recurso de casación en los que pretendía la modificación del relato fáctico (motivos decímo y  duodécimo ) y, a partir del nuevo </w:t>
      </w:r>
      <w:r w:rsidRPr="003754FE">
        <w:rPr>
          <w:i/>
        </w:rPr>
        <w:t>factum</w:t>
      </w:r>
      <w:r>
        <w:t xml:space="preserve">, la apreciación de un </w:t>
      </w:r>
      <w:r w:rsidRPr="003754FE">
        <w:rPr>
          <w:i/>
        </w:rPr>
        <w:t>error iuris</w:t>
      </w:r>
      <w:r>
        <w:t xml:space="preserve"> en su condena como autor de un delito de malversación y de prevaricación (motivos undécimo y decimotercero).</w:t>
      </w:r>
    </w:p>
    <w:p w14:paraId="3FA1AC4E" w14:textId="77777777" w:rsidR="003754FE" w:rsidRDefault="003754FE" w:rsidP="003754FE">
      <w:pPr>
        <w:pStyle w:val="TextoNormal"/>
      </w:pPr>
    </w:p>
    <w:p w14:paraId="18067A2A" w14:textId="06571924" w:rsidR="003754FE" w:rsidRDefault="003754FE" w:rsidP="003754FE">
      <w:pPr>
        <w:pStyle w:val="TextoNormal"/>
      </w:pPr>
      <w:r>
        <w:t xml:space="preserve">Este planteamiento no puede ser acogido. La doctrina constitucional referida sitúa la lesión del derecho a la tutela judicial efectiva por incongruencia omisiva en la ausencia de respuesta a las pretensiones formuladas por las partes. En el presente caso, las pretensiones de los citados motivos de casación, según el propio recurrente identifica en su demanda: rechazar la finalidad de elusión del control y la falta de información al Parlamento, determinantes, en su caso, de una infracción legal, fueron explícitamente contestadas por el Tribunal Supremo en la sentencia de casación. La motivación ofrecida en dicha resolución, que reitera el auto de 16 de febrero de 2023, cumple en ambos casos las exigencias que se derivan del art. 24.1 CE, descartando la viabilidad de los motivos por varias razones, tal y como se ha expuesto. Se trata de una respuesta inequívoca, con una motivación suficiente que permite entender el razonamiento que la sostiene. Cuestión distinta es que el actor no esté de acuerdo ni con la desestimación de los motivos ni con la argumentación utilizada por el órgano judicial para fundar su respuesta, pero lo que en absoluto puede apreciarse es una </w:t>
      </w:r>
      <w:r>
        <w:lastRenderedPageBreak/>
        <w:t>ausencia de la misma. En consecuencia, los motivos de amparo que denuncian la vulneración del art. 24.1 CE, en su vertiente de la interdicción de la incongruencia omisiva, deben ser desestimados.</w:t>
      </w:r>
    </w:p>
    <w:p w14:paraId="0D08AA30" w14:textId="77777777" w:rsidR="003754FE" w:rsidRDefault="003754FE" w:rsidP="003754FE">
      <w:pPr>
        <w:pStyle w:val="TextoNormal"/>
      </w:pPr>
    </w:p>
    <w:p w14:paraId="03940FC7" w14:textId="77777777" w:rsidR="003754FE" w:rsidRDefault="003754FE" w:rsidP="003754FE">
      <w:pPr>
        <w:pStyle w:val="TextoNormal"/>
      </w:pPr>
      <w:r w:rsidRPr="003754FE">
        <w:rPr>
          <w:rStyle w:val="NumeroAFNegritaCaracter"/>
        </w:rPr>
        <w:t>6</w:t>
      </w:r>
      <w:r>
        <w:t xml:space="preserve">. </w:t>
      </w:r>
      <w:r w:rsidRPr="003754FE">
        <w:rPr>
          <w:i/>
        </w:rPr>
        <w:t>Vulneraciones atribuidas a la comunicación pública y anticipada del fallo de la sentencia de casación</w:t>
      </w:r>
    </w:p>
    <w:p w14:paraId="198AC548" w14:textId="77777777" w:rsidR="003754FE" w:rsidRDefault="003754FE" w:rsidP="003754FE">
      <w:pPr>
        <w:pStyle w:val="TextoNormal"/>
      </w:pPr>
    </w:p>
    <w:p w14:paraId="6FC01F0F" w14:textId="77777777" w:rsidR="003754FE" w:rsidRDefault="003754FE" w:rsidP="003754FE">
      <w:pPr>
        <w:pStyle w:val="TextoNormal"/>
      </w:pPr>
      <w:r>
        <w:t xml:space="preserve">6.1. </w:t>
      </w:r>
      <w:r w:rsidRPr="003754FE">
        <w:rPr>
          <w:i/>
        </w:rPr>
        <w:t>Exposición de la queja del recurrente, de las posiciones de las partes personadas y del pronunciamiento del Tribunal Supremo</w:t>
      </w:r>
    </w:p>
    <w:p w14:paraId="6646EF20" w14:textId="77777777" w:rsidR="003754FE" w:rsidRDefault="003754FE" w:rsidP="003754FE">
      <w:pPr>
        <w:pStyle w:val="TextoNormal"/>
      </w:pPr>
    </w:p>
    <w:p w14:paraId="23A05FC0" w14:textId="77777777" w:rsidR="003754FE" w:rsidRDefault="003754FE" w:rsidP="003754FE">
      <w:pPr>
        <w:pStyle w:val="TextoNormal"/>
      </w:pPr>
      <w:r>
        <w:t>El último motivo de la demanda denuncia la vulneración del derecho a la presunción de inocencia (art. 24.2 CE), del derecho al honor (art. 18.1 CE), del derecho a un proceso con todas las garantías (art. 24.2 CE) y del derecho a la tutela judicial efectiva (art. 24.1 CE). Esa plural denuncia se vincula con la comunicación pública por parte del Tribunal Supremo del fallo condenatorio mediante providencia de 26 de julio de 2022, casi dos meses antes de la notificación de la sentencia que desestimó el recurso de casación.</w:t>
      </w:r>
    </w:p>
    <w:p w14:paraId="65CD3954" w14:textId="77777777" w:rsidR="003754FE" w:rsidRDefault="003754FE" w:rsidP="003754FE">
      <w:pPr>
        <w:pStyle w:val="TextoNormal"/>
      </w:pPr>
    </w:p>
    <w:p w14:paraId="0706FF10" w14:textId="77777777" w:rsidR="003754FE" w:rsidRDefault="003754FE" w:rsidP="003754FE">
      <w:pPr>
        <w:pStyle w:val="TextoNormal"/>
      </w:pPr>
      <w:r>
        <w:t>Esa actuación supuso, según el demandante, la emisión de una declaración de culpabilidad desprovista de motivación en un caso que concitaba intensa atención mediática que, conforme a la doctrina del Tribunal Europeo de Derechos Humanos y del Tribunal Constitucional, constituye un demérito de su derecho a la presunción de inocencia que tiene como efecto lesivo reflejo la lesión del derecho al honor.</w:t>
      </w:r>
    </w:p>
    <w:p w14:paraId="1F0DBD68" w14:textId="77777777" w:rsidR="003754FE" w:rsidRDefault="003754FE" w:rsidP="003754FE">
      <w:pPr>
        <w:pStyle w:val="TextoNormal"/>
      </w:pPr>
    </w:p>
    <w:p w14:paraId="32CBAEFE" w14:textId="77777777" w:rsidR="003754FE" w:rsidRDefault="003754FE" w:rsidP="003754FE">
      <w:pPr>
        <w:pStyle w:val="TextoNormal"/>
      </w:pPr>
      <w:r>
        <w:t>Aduce también que el señalamiento como culpable por parte del poder público sin dar razón de los motivos de ello vulnera la garantía procesal como parte del derecho fundamental a un proceso con todas las garantías, ya que la sentencia debe notificarse en su integridad y en unidad de acto (arts. 160 y 789 LECrim y 248, 266, 270 y ss. LOPJ), generando indefensión, pues, al ser objeto de inmediata difusión masiva, el demandante careció de cualquier posible reacción. De otro lado, desde el entendimiento de que la fase de deliberación no había concluido, ya que el retraso se vinculó a la redacción del voto particular, considera que la publicación anticipada del falló impidió el desarrollo de la deliberación y, con ello, la pérdida de apariencia de imparcialidad. A su entender, las lesiones reseñadas no podrían justificarse con el argumento de la “relevancia pública del caso” esgrimido en el comunicado del órgano judicial, interés que en absoluto sería parangonable a los derechos fundamentales sacrificados.</w:t>
      </w:r>
    </w:p>
    <w:p w14:paraId="1A77DAB5" w14:textId="77777777" w:rsidR="003754FE" w:rsidRDefault="003754FE" w:rsidP="003754FE">
      <w:pPr>
        <w:pStyle w:val="TextoNormal"/>
      </w:pPr>
    </w:p>
    <w:p w14:paraId="03F3B602" w14:textId="77777777" w:rsidR="003754FE" w:rsidRDefault="003754FE" w:rsidP="003754FE">
      <w:pPr>
        <w:pStyle w:val="TextoNormal"/>
      </w:pPr>
      <w:r>
        <w:t>Como ha quedado reflejado en los antecedentes, el Partido Popular rechaza el motivo, ya que entiende que se dio difusión a una resolución previamente notificada a las partes, concluidas las deliberaciones y fijado el fallo, y comparte los argumentos vertidos en el auto resolutorio del incidente de nulidad de actuaciones para descartar la vulneración de derechos.</w:t>
      </w:r>
    </w:p>
    <w:p w14:paraId="2C88B974" w14:textId="77777777" w:rsidR="003754FE" w:rsidRDefault="003754FE" w:rsidP="003754FE">
      <w:pPr>
        <w:pStyle w:val="TextoNormal"/>
      </w:pPr>
    </w:p>
    <w:p w14:paraId="634CC0E9" w14:textId="77777777" w:rsidR="003754FE" w:rsidRDefault="003754FE" w:rsidP="003754FE">
      <w:pPr>
        <w:pStyle w:val="TextoNormal"/>
      </w:pPr>
      <w:r>
        <w:t xml:space="preserve">El fiscal solicita asimismo la desestimación de esta queja, que circunscribe a una posible lesión del derecho al honor tras rechazar que se pueda hablar de una pérdida de imparcialidad, dado que la sentencia estaba ya redactada y faltaba solo el texto del voto particular, o de una lesión del derecho a la presunción de inocencia en su vertiente extraprocesal, ya que el fallo anticipado informaba de la confirmación de la sentencia de instancia condenatoria. Descarta la vulneración del derecho al honor de la mano de una valoración ponderativa de </w:t>
      </w:r>
      <w:r>
        <w:lastRenderedPageBreak/>
        <w:t>las circunstancias concurrentes en la que pone el acento en el hecho de que el recurrente hubiera sido ya condenado en primera instancia, siendo dicha condena pública y notoria, el interés público del asunto y la finalidad del Tribunal Supremo de responder a esa atención con información veraz y fidedigna. Subraya que “es el propio órgano constitucionalmente competente para declarar la culpabilidad o la inocencia del acusado el que, sobre la base de una previa condena en la instancia, y con la certeza —que además hace expresamente pública— de que la decisión adoptada es ya definitiva, la difunde para dar satisfacción a un interés constitucionalmente legítimo como es el de asegurar una información institucional que ofrezca garantías plenas de veracidad y certeza, dando satisfacción al correlativo derecho de los ciudadanos”.</w:t>
      </w:r>
    </w:p>
    <w:p w14:paraId="75E48B8A" w14:textId="77777777" w:rsidR="003754FE" w:rsidRDefault="003754FE" w:rsidP="003754FE">
      <w:pPr>
        <w:pStyle w:val="TextoNormal"/>
      </w:pPr>
    </w:p>
    <w:p w14:paraId="742B9A66" w14:textId="77777777" w:rsidR="003754FE" w:rsidRDefault="003754FE" w:rsidP="003754FE">
      <w:pPr>
        <w:pStyle w:val="TextoNormal"/>
      </w:pPr>
      <w:r>
        <w:t>En el incidente de nulidad de actuaciones formulado por el recurrente ya se alegaron quejas análogas que fueron descartadas en el fundamento jurídico 21 del auto del Tribunal Supremo de 16 de febrero de 2023 por remisión a lo respondido a otro recurrente en el segundo fundamento de dicho auto. En él se parte de distinguir el contenido necesario de una sentencia, su notificación y la publicación anticipada del fallo, para subrayar (i) que esta última es un actuación no prevista en la ley, pero tampoco prohibida y prevista para determinadas resoluciones; (ii) que se viene realizando con habitualidad por las distintas Salas del Tribunal Supremo en atención a la demanda de noticias por la sociedad y para evitar los efectos perniciosos de la falta de publicidad, como las filtraciones; (iii) que la sentencia ya había sido deliberada y el texto estaba concluso a falta de los votos particulares; (iv) que la “publicación anticipada del fallo, con una sucinta motivación, que se limitó a dar noticia de un hecho relevante, cierto y de naturaleza procesal, no puede equipararse a una condena pública sin motivación”; y (v) que la comunicación pública de un hecho de indudable relevancia informativa “se hizo ponderando otros derechos como el de libre comunicación y recepción de información de los ciudadanos”.</w:t>
      </w:r>
    </w:p>
    <w:p w14:paraId="732FAF95" w14:textId="77777777" w:rsidR="003754FE" w:rsidRDefault="003754FE" w:rsidP="003754FE">
      <w:pPr>
        <w:pStyle w:val="TextoNormal"/>
      </w:pPr>
    </w:p>
    <w:p w14:paraId="3126A288" w14:textId="77777777" w:rsidR="003754FE" w:rsidRDefault="003754FE" w:rsidP="003754FE">
      <w:pPr>
        <w:pStyle w:val="TextoNormal"/>
      </w:pPr>
      <w:r>
        <w:t>A la vista del contenido de este motivo de la demanda de amparo, su examen debe escindirse en dos, de conformidad con la argumentación de una doble lesión, la del derecho a la presunción de inocencia extraprocesal y la de los derechos a un proceso con todas las garantías y a la tutela judicial efectiva.</w:t>
      </w:r>
    </w:p>
    <w:p w14:paraId="5CB507C5" w14:textId="77777777" w:rsidR="003754FE" w:rsidRDefault="003754FE" w:rsidP="003754FE">
      <w:pPr>
        <w:pStyle w:val="TextoNormal"/>
      </w:pPr>
    </w:p>
    <w:p w14:paraId="507C70D0" w14:textId="77777777" w:rsidR="003754FE" w:rsidRDefault="003754FE" w:rsidP="003754FE">
      <w:pPr>
        <w:pStyle w:val="TextoNormal"/>
      </w:pPr>
      <w:r>
        <w:t xml:space="preserve">6.2. </w:t>
      </w:r>
      <w:r w:rsidRPr="003754FE">
        <w:rPr>
          <w:i/>
        </w:rPr>
        <w:t>Vulneración del derecho a la presunción de inocencia extraprocesal</w:t>
      </w:r>
    </w:p>
    <w:p w14:paraId="236A0006" w14:textId="77777777" w:rsidR="003754FE" w:rsidRDefault="003754FE" w:rsidP="003754FE">
      <w:pPr>
        <w:pStyle w:val="TextoNormal"/>
      </w:pPr>
    </w:p>
    <w:p w14:paraId="059341DC" w14:textId="77777777" w:rsidR="003754FE" w:rsidRDefault="003754FE" w:rsidP="003754FE">
      <w:pPr>
        <w:pStyle w:val="TextoNormal"/>
      </w:pPr>
      <w:r>
        <w:t xml:space="preserve">6.2.1. </w:t>
      </w:r>
      <w:r w:rsidRPr="003754FE">
        <w:rPr>
          <w:i/>
        </w:rPr>
        <w:t>Doctrina sobre el derecho a la presunción de inocencia extraprocesal</w:t>
      </w:r>
    </w:p>
    <w:p w14:paraId="59A1B7DD" w14:textId="77777777" w:rsidR="003754FE" w:rsidRDefault="003754FE" w:rsidP="003754FE">
      <w:pPr>
        <w:pStyle w:val="TextoNormal"/>
      </w:pPr>
    </w:p>
    <w:p w14:paraId="64B5F2BF" w14:textId="77777777" w:rsidR="003754FE" w:rsidRDefault="003754FE" w:rsidP="003754FE">
      <w:pPr>
        <w:pStyle w:val="TextoNormal"/>
      </w:pPr>
      <w:r>
        <w:t>La evolución de la jurisprudencia constitucional sobre la vertiente del derecho a la presunción de inocencia como regla de tratamiento que opera dentro y fuera del proceso penal cristaliza en la doctrina consignada en la STC 77/2023, de 20 de junio, FJ 6, tal y como se expone en la STC 94/2024, de 2 de julio, FJ 7.2.1, donde se destacan tres elementos de dicha doctrina:</w:t>
      </w:r>
    </w:p>
    <w:p w14:paraId="18BDB5EC" w14:textId="77777777" w:rsidR="003754FE" w:rsidRDefault="003754FE" w:rsidP="003754FE">
      <w:pPr>
        <w:pStyle w:val="TextoNormal"/>
      </w:pPr>
    </w:p>
    <w:p w14:paraId="523ECEC9" w14:textId="77777777" w:rsidR="003754FE" w:rsidRDefault="003754FE" w:rsidP="003754FE">
      <w:pPr>
        <w:pStyle w:val="TextoNormal"/>
      </w:pPr>
      <w:r>
        <w:t>(i) Frente a la tradicional reconducción al derecho al honor (art. 18 CE) en la jurisprudencia constitucional, afirma la autonomía del derecho a la presunción de inocencia como regla de tratamiento, que “tiene por objeto salvaguardar o preservar a la persona en su condición de inocente frente a declaraciones de culpabilidad vertidas por la autoridad pública en aquellos casos en que no concurren los requisitos formales y materiales exigibles en un Estado de Derecho para realizar tal aseveración”.</w:t>
      </w:r>
    </w:p>
    <w:p w14:paraId="7C5352DC" w14:textId="77777777" w:rsidR="003754FE" w:rsidRDefault="003754FE" w:rsidP="003754FE">
      <w:pPr>
        <w:pStyle w:val="TextoNormal"/>
      </w:pPr>
    </w:p>
    <w:p w14:paraId="066B159F" w14:textId="77777777" w:rsidR="003754FE" w:rsidRDefault="003754FE" w:rsidP="003754FE">
      <w:pPr>
        <w:pStyle w:val="TextoNormal"/>
      </w:pPr>
      <w:r>
        <w:t>(ii) Especifica que ese contenido “impide a los poderes públicos, tras declararse judicialmente la inocencia de una persona, cuestionar tal declaración”, así como imputar “ilícitos a una persona a pesar de que su culpabilidad no haya sido declarada por un tribunal, en el seno del proceso judicial público diseñado al efecto por el legislador y con todas las garantías”.</w:t>
      </w:r>
    </w:p>
    <w:p w14:paraId="267263EA" w14:textId="77777777" w:rsidR="003754FE" w:rsidRDefault="003754FE" w:rsidP="003754FE">
      <w:pPr>
        <w:pStyle w:val="TextoNormal"/>
      </w:pPr>
    </w:p>
    <w:p w14:paraId="79B2B8DF" w14:textId="77777777" w:rsidR="003754FE" w:rsidRDefault="003754FE" w:rsidP="003754FE">
      <w:pPr>
        <w:pStyle w:val="TextoNormal"/>
      </w:pPr>
      <w:r>
        <w:t>(iii) En sintonía con la jurisprudencia del Tribunal Europeo de Derechos Humanos, fija que la lesión del derecho “queda consumada en el momento en que desde el poder público se emitan declaraciones que no se limiten a describir un ‘estado de sospecha’ sino que vayan más allá, reflejando ‘la sensación de que la persona en cuestión es culpable’, siendo indiferente si se produce con anterioridad a la condena o con posterioridad a la absolución”.</w:t>
      </w:r>
    </w:p>
    <w:p w14:paraId="255A8E2D" w14:textId="77777777" w:rsidR="003754FE" w:rsidRDefault="003754FE" w:rsidP="003754FE">
      <w:pPr>
        <w:pStyle w:val="TextoNormal"/>
      </w:pPr>
    </w:p>
    <w:p w14:paraId="2F19FBF9" w14:textId="77777777" w:rsidR="003754FE" w:rsidRDefault="003754FE" w:rsidP="003754FE">
      <w:pPr>
        <w:pStyle w:val="TextoNormal"/>
      </w:pPr>
      <w:r>
        <w:t>En la citada STC 94/2024, de 2 de julio, FJ 7.2, se ha puesto de relieve que la conformación de esta dimensión del derecho a la presunción de inocencia se ha visto particularmente influida por la jurisprudencia del Tribunal Europeo de Derechos Humanos al respecto (art. 6.2 del Convenio europeo de derechos humanos: CEDH), de la que reseñó varios aspectos por su relevancia para el caso que ahora resulta pertinente recordar, siquiera sea resumidamente:</w:t>
      </w:r>
    </w:p>
    <w:p w14:paraId="5DAA05A0" w14:textId="77777777" w:rsidR="003754FE" w:rsidRDefault="003754FE" w:rsidP="003754FE">
      <w:pPr>
        <w:pStyle w:val="TextoNormal"/>
      </w:pPr>
    </w:p>
    <w:p w14:paraId="3E6E45DF" w14:textId="77777777" w:rsidR="003754FE" w:rsidRDefault="003754FE" w:rsidP="003754FE">
      <w:pPr>
        <w:pStyle w:val="TextoNormal"/>
      </w:pPr>
      <w:r>
        <w:t xml:space="preserve">(i) El Tribunal Europeo considera que, “[e]ntendido como una garantía procesal en el contexto de un proceso penal, el derecho a la presunción de inocencia establece algunas exigencias y límites en cuanto a […] las declaraciones prematuras del tribunal o de otras autoridades públicas sobre la culpabilidad del acusado” (por todas, STEDH, Gran Sala, de 12 de julio de 2013, asunto </w:t>
      </w:r>
      <w:r w:rsidRPr="003754FE">
        <w:rPr>
          <w:i/>
        </w:rPr>
        <w:t>Allen c. Reino Unido</w:t>
      </w:r>
      <w:r>
        <w:t xml:space="preserve">, § 93). La prohibición del art. 6.2 CEDH se extiende tanto a manifestaciones prematuras por parte del tribunal penal de que la persona inmersa en un proceso penal es culpable, esto es, sin que se haya demostrado que lo es con arreglo a la ley, como a las declaraciones realizadas por otros funcionarios o autoridades sobre investigaciones penales pendientes que inciten al público a creer que el sospechoso es culpable y prejuzguen la evaluación de los hechos por parte de la autoridad judicial competente (por todas, STEDH de 10 de febrero de 1995, asunto </w:t>
      </w:r>
      <w:r w:rsidRPr="003754FE">
        <w:rPr>
          <w:i/>
        </w:rPr>
        <w:t>Allenet de Ribemont c. Francia</w:t>
      </w:r>
      <w:r>
        <w:t>, § 36-37).</w:t>
      </w:r>
    </w:p>
    <w:p w14:paraId="42CFCFE6" w14:textId="77777777" w:rsidR="003754FE" w:rsidRDefault="003754FE" w:rsidP="003754FE">
      <w:pPr>
        <w:pStyle w:val="TextoNormal"/>
      </w:pPr>
    </w:p>
    <w:p w14:paraId="3CE6C1B9" w14:textId="77777777" w:rsidR="003754FE" w:rsidRDefault="003754FE" w:rsidP="003754FE">
      <w:pPr>
        <w:pStyle w:val="TextoNormal"/>
      </w:pPr>
      <w:r>
        <w:t>(ii) En ambos casos, el Tribunal subraya que lo que importa es el significado real de las declaraciones en cuestión, no su literalidad. No es precisa una declaración formal de culpabilidad, sino que basta con que de lo manifestado se desprenda que se considera culpable a la persona (STEDH de 28 de noviembre de 2002, asunt</w:t>
      </w:r>
      <w:r w:rsidRPr="003754FE">
        <w:rPr>
          <w:i/>
        </w:rPr>
        <w:t>o Lavents c. Leton</w:t>
      </w:r>
      <w:r>
        <w:t>ia, § 126).</w:t>
      </w:r>
    </w:p>
    <w:p w14:paraId="282971FC" w14:textId="77777777" w:rsidR="003754FE" w:rsidRDefault="003754FE" w:rsidP="003754FE">
      <w:pPr>
        <w:pStyle w:val="TextoNormal"/>
      </w:pPr>
    </w:p>
    <w:p w14:paraId="615D1832" w14:textId="77777777" w:rsidR="003754FE" w:rsidRDefault="003754FE" w:rsidP="003754FE">
      <w:pPr>
        <w:pStyle w:val="TextoNormal"/>
      </w:pPr>
      <w:r>
        <w:t xml:space="preserve">(iii) La declaración de culpabilidad ulterior no obsta al mantenimiento del derecho a la presunción de inocencia hasta el momento en que se prueba legalmente la culpabilidad, pues el art. 6.2 CEDH rige el proceso penal en su conjunto, con independencia del resultado de la acusación (STEDH de 19 de septiembre de 2006, asunto </w:t>
      </w:r>
      <w:r w:rsidRPr="003754FE">
        <w:rPr>
          <w:i/>
        </w:rPr>
        <w:t>Matijasevic c. Serbia</w:t>
      </w:r>
      <w:r>
        <w:t>, § 49). La posterior condena de un acusado “no puede borrar el derecho inicial a la presunción de inocencia hasta que su culpabilidad haya sido legalmente establecida” (STEDH de 21 de julio de 2015, asunt</w:t>
      </w:r>
      <w:r w:rsidRPr="003754FE">
        <w:rPr>
          <w:i/>
        </w:rPr>
        <w:t>o Neagoe c. Ruman</w:t>
      </w:r>
      <w:r>
        <w:t>ía, § 49).</w:t>
      </w:r>
    </w:p>
    <w:p w14:paraId="0FDFD388" w14:textId="77777777" w:rsidR="003754FE" w:rsidRDefault="003754FE" w:rsidP="003754FE">
      <w:pPr>
        <w:pStyle w:val="TextoNormal"/>
      </w:pPr>
    </w:p>
    <w:p w14:paraId="46C9270D" w14:textId="77777777" w:rsidR="003754FE" w:rsidRDefault="003754FE" w:rsidP="003754FE">
      <w:pPr>
        <w:pStyle w:val="TextoNormal"/>
      </w:pPr>
      <w:r>
        <w:t xml:space="preserve">(iv) La prohibición de las declaraciones que materialmente, más allá de su tenor literal, sugieran la culpabilidad de quien no ha sido condenado en firme no es incompatible con la </w:t>
      </w:r>
      <w:r>
        <w:lastRenderedPageBreak/>
        <w:t>posibilidad de que las autoridades informen públicamente sobre los procesos penales en curso, que avala el art. 10 CEDH (</w:t>
      </w:r>
      <w:r w:rsidRPr="003754FE">
        <w:rPr>
          <w:i/>
        </w:rPr>
        <w:t>Neagoe c. Rumanía</w:t>
      </w:r>
      <w:r>
        <w:t>, § 45). Lo que el art. 6.2 CEDH impone es que la información se dé con toda la discreción y prudencia necesarias para respetar la presunción de inocencia (</w:t>
      </w:r>
      <w:r w:rsidRPr="003754FE">
        <w:rPr>
          <w:i/>
        </w:rPr>
        <w:t>Allenet de Ribemont c. Francia</w:t>
      </w:r>
      <w:r>
        <w:t>, § 38), sin acompañar la información con valoraciones, especulaciones o manifestaciones que sugieran la culpabilidad de quien no ha sido aún condenado</w:t>
      </w:r>
      <w:r w:rsidRPr="003754FE">
        <w:rPr>
          <w:i/>
        </w:rPr>
        <w:t xml:space="preserve"> (Neagoe c. Ruman</w:t>
      </w:r>
      <w:r>
        <w:t>ía, § 46 y 48).</w:t>
      </w:r>
    </w:p>
    <w:p w14:paraId="53791EF9" w14:textId="77777777" w:rsidR="003754FE" w:rsidRDefault="003754FE" w:rsidP="003754FE">
      <w:pPr>
        <w:pStyle w:val="TextoNormal"/>
      </w:pPr>
    </w:p>
    <w:p w14:paraId="5F8CA1B6" w14:textId="77777777" w:rsidR="003754FE" w:rsidRDefault="003754FE" w:rsidP="003754FE">
      <w:pPr>
        <w:pStyle w:val="TextoNormal"/>
      </w:pPr>
      <w:r>
        <w:t>En esta dirección se pronuncia también el art. 4.3 de la Directiva (UE) 2016/343 del Parlamento Europeo y del Consejo, de 9 de marzo de 2016, por la que se refuerzan en el proceso penal determinados aspectos de la presunción de inocencia y el derecho a estar presente en el juicio, al precisar que la obligación de no referirse a los sospechosos o acusados como culpables que establece el art. 4.1 “no impedirá a las autoridades públicas divulgar información sobre el proceso penal cuando sea estrictamente necesario por motivos relacionados con la investigación penal o el interés público”.</w:t>
      </w:r>
    </w:p>
    <w:p w14:paraId="64CB92FE" w14:textId="77777777" w:rsidR="003754FE" w:rsidRDefault="003754FE" w:rsidP="003754FE">
      <w:pPr>
        <w:pStyle w:val="TextoNormal"/>
      </w:pPr>
    </w:p>
    <w:p w14:paraId="6B52C705" w14:textId="77777777" w:rsidR="003754FE" w:rsidRDefault="003754FE" w:rsidP="003754FE">
      <w:pPr>
        <w:pStyle w:val="TextoNormal"/>
      </w:pPr>
      <w:r>
        <w:t>6.2.2</w:t>
      </w:r>
      <w:r w:rsidRPr="003754FE">
        <w:rPr>
          <w:i/>
        </w:rPr>
        <w:t>. Enjuiciamiento de la que</w:t>
      </w:r>
      <w:r>
        <w:t>ja</w:t>
      </w:r>
    </w:p>
    <w:p w14:paraId="503F758D" w14:textId="77777777" w:rsidR="003754FE" w:rsidRDefault="003754FE" w:rsidP="003754FE">
      <w:pPr>
        <w:pStyle w:val="TextoNormal"/>
      </w:pPr>
    </w:p>
    <w:p w14:paraId="273F2A99" w14:textId="77777777" w:rsidR="003754FE" w:rsidRDefault="003754FE" w:rsidP="003754FE">
      <w:pPr>
        <w:pStyle w:val="TextoNormal"/>
      </w:pPr>
      <w:r>
        <w:t>a) Puntualizaciones</w:t>
      </w:r>
    </w:p>
    <w:p w14:paraId="0EA7ECC4" w14:textId="77777777" w:rsidR="003754FE" w:rsidRDefault="003754FE" w:rsidP="003754FE">
      <w:pPr>
        <w:pStyle w:val="TextoNormal"/>
      </w:pPr>
    </w:p>
    <w:p w14:paraId="10B93ED0" w14:textId="77777777" w:rsidR="003754FE" w:rsidRDefault="003754FE" w:rsidP="003754FE">
      <w:pPr>
        <w:pStyle w:val="TextoNormal"/>
      </w:pPr>
      <w:r>
        <w:t>El examen de la queja formulada por el recurrente conforme a los parámetros reseñados requiere efectuar tres puntualizaciones atinentes a la concreta actuación cuestionada y al momento procesal en el que se dice producida la lesión como también ocurría con la queja análoga resuelta en la citada STC 94/2024, de 2 de julio, FJ 7.2.2 A), a cuyos razonamientos al respecto nos remitimos: (i) no se cuestiona la difusión pública del fallo, sino que se efectuara antes de la notificación íntegra de la sentencia, lo que se valora como una indebida declaración prematura de culpabilidad, de modo que la vulneración denunciada se circunscribe al derecho a la presunción de inocencia como regla de tratamiento; (ii) la prohibición de efectuar manifestaciones que denoten una consideración como culpable de quien aún no ha sido condenado en firme vincula al juez penal competente aun cuando se trate del tribunal penal de casación y en fases anteriores se haya dictado ya una condena; y (iii) el devenir del proceso penal implica ir adoptando decisiones fundadas tanto en la existencia de indicios de comisión de un delito como en la certeza más allá de toda duda razonable de la culpabilidad del sujeto, pronunciamientos que son compatibles con el derecho a la presunción de inocencia, pero en los que debe evitarse reflejar la opinión de que la persona es culpable cuando se asientan en la sospecha de culpabilidad y tienen, incluso si se trata de una condena no firme que afirma la culpabilidad, un componente eventual que solo la firmeza de la resolución confirma, poniendo fin a la exigencia de no tratar a la persona investigada, acusada o condenada como culpable.</w:t>
      </w:r>
    </w:p>
    <w:p w14:paraId="22478E34" w14:textId="77777777" w:rsidR="003754FE" w:rsidRDefault="003754FE" w:rsidP="003754FE">
      <w:pPr>
        <w:pStyle w:val="TextoNormal"/>
      </w:pPr>
    </w:p>
    <w:p w14:paraId="31473224" w14:textId="77777777" w:rsidR="003754FE" w:rsidRDefault="003754FE" w:rsidP="003754FE">
      <w:pPr>
        <w:pStyle w:val="TextoNormal"/>
      </w:pPr>
      <w:r>
        <w:t>b) Contenido del comunicado de prensa</w:t>
      </w:r>
    </w:p>
    <w:p w14:paraId="3547CBDF" w14:textId="77777777" w:rsidR="003754FE" w:rsidRDefault="003754FE" w:rsidP="003754FE">
      <w:pPr>
        <w:pStyle w:val="TextoNormal"/>
      </w:pPr>
    </w:p>
    <w:p w14:paraId="592D2A50" w14:textId="77777777" w:rsidR="003754FE" w:rsidRDefault="003754FE" w:rsidP="003754FE">
      <w:pPr>
        <w:pStyle w:val="TextoNormal"/>
      </w:pPr>
      <w:r>
        <w:t>La importancia de las expresiones utilizadas en las declaraciones cuestionadas para apreciar una lesión del derecho a la presunción de inocencia obliga a que el examen del motivo parta del contenido y tenor del comunicado de prensa difundido, que a continuación se reproduce:</w:t>
      </w:r>
    </w:p>
    <w:p w14:paraId="56543D5F" w14:textId="77777777" w:rsidR="003754FE" w:rsidRDefault="003754FE" w:rsidP="003754FE">
      <w:pPr>
        <w:pStyle w:val="TextoNormal"/>
      </w:pPr>
    </w:p>
    <w:p w14:paraId="7844F021" w14:textId="77777777" w:rsidR="003754FE" w:rsidRDefault="003754FE" w:rsidP="003754FE">
      <w:pPr>
        <w:pStyle w:val="TextoNormal"/>
      </w:pPr>
      <w:r>
        <w:t>“COMUNICADO DE PRENSA</w:t>
      </w:r>
    </w:p>
    <w:p w14:paraId="7A492C69" w14:textId="77777777" w:rsidR="003754FE" w:rsidRDefault="003754FE" w:rsidP="003754FE">
      <w:pPr>
        <w:pStyle w:val="TextoNormal"/>
      </w:pPr>
    </w:p>
    <w:p w14:paraId="160B9887" w14:textId="77777777" w:rsidR="003754FE" w:rsidRDefault="003754FE" w:rsidP="003754FE">
      <w:pPr>
        <w:pStyle w:val="TextoNormal"/>
      </w:pPr>
      <w:r>
        <w:lastRenderedPageBreak/>
        <w:t>CASO ERE</w:t>
      </w:r>
    </w:p>
    <w:p w14:paraId="1FD1AD16" w14:textId="77777777" w:rsidR="003754FE" w:rsidRDefault="003754FE" w:rsidP="003754FE">
      <w:pPr>
        <w:pStyle w:val="TextoNormal"/>
      </w:pPr>
    </w:p>
    <w:p w14:paraId="12D61E7B" w14:textId="77777777" w:rsidR="003754FE" w:rsidRDefault="003754FE" w:rsidP="003754FE">
      <w:pPr>
        <w:pStyle w:val="TextoNormal"/>
      </w:pPr>
      <w:r>
        <w:t>El tribunal de la Sala II del Tribunal Supremo compuesto por los/as Excmos/as. Sres/as. Magistrados/as don Juan Ramón Berdugo Gómez de la Torre (presidente), doña Ana Ferrer García, doña Susana Polo García, doña Carmen Lamela Díez y don Eduardo de Porres Ortiz de Urbina (ponente) ha concluido la deliberación de los recursos de casación interpuestos contra la sentencia 490/2019, de 19 de noviembre de 2019, de la Sección Primera de la Audiencia Provincial de Sevilla (caso ERE).</w:t>
      </w:r>
    </w:p>
    <w:p w14:paraId="57B9FBA6" w14:textId="77777777" w:rsidR="003754FE" w:rsidRDefault="003754FE" w:rsidP="003754FE">
      <w:pPr>
        <w:pStyle w:val="TextoNormal"/>
      </w:pPr>
    </w:p>
    <w:p w14:paraId="05A10327" w14:textId="77777777" w:rsidR="003754FE" w:rsidRDefault="003754FE" w:rsidP="003754FE">
      <w:pPr>
        <w:pStyle w:val="TextoNormal"/>
      </w:pPr>
      <w:r>
        <w:t>En atención a la relevancia pública del caso y como en otras ocasiones similares el tribunal procede a anticipar el fallo de su sentencia.</w:t>
      </w:r>
    </w:p>
    <w:p w14:paraId="38462FB4" w14:textId="77777777" w:rsidR="003754FE" w:rsidRDefault="003754FE" w:rsidP="003754FE">
      <w:pPr>
        <w:pStyle w:val="TextoNormal"/>
      </w:pPr>
    </w:p>
    <w:p w14:paraId="6909DBC5" w14:textId="77777777" w:rsidR="003754FE" w:rsidRDefault="003754FE" w:rsidP="003754FE">
      <w:pPr>
        <w:pStyle w:val="TextoNormal"/>
      </w:pPr>
      <w:r>
        <w:t>Estimando totalmente tres recursos de casación y parcialmente uno de ellos y desestimando los restantes recursos, ha acordado por mayoría de sus miembros anular la sentencia de primera instancia, dictando nueva sentencia con los siguientes pronunciamientos:</w:t>
      </w:r>
    </w:p>
    <w:p w14:paraId="6D3121F6" w14:textId="77777777" w:rsidR="003754FE" w:rsidRDefault="003754FE" w:rsidP="003754FE">
      <w:pPr>
        <w:pStyle w:val="TextoNormal"/>
      </w:pPr>
    </w:p>
    <w:p w14:paraId="7343AE23" w14:textId="77777777" w:rsidR="003754FE" w:rsidRDefault="003754FE" w:rsidP="003754FE">
      <w:pPr>
        <w:pStyle w:val="TextoNormal"/>
      </w:pPr>
      <w:r>
        <w:t>1. Absolvemos del delito continuado de prevaricación administrativa a don Javier Aguado Hinojal, a don Juan Francisco Sánchez García y a doña Lourdes Medina Varo, declarando de oficio las costas procesales de primera instancia y las derivadas de sus recursos de casación.</w:t>
      </w:r>
    </w:p>
    <w:p w14:paraId="6F5EEFF6" w14:textId="77777777" w:rsidR="003754FE" w:rsidRDefault="003754FE" w:rsidP="003754FE">
      <w:pPr>
        <w:pStyle w:val="TextoNormal"/>
      </w:pPr>
    </w:p>
    <w:p w14:paraId="23AE22B5" w14:textId="77777777" w:rsidR="003754FE" w:rsidRDefault="003754FE" w:rsidP="003754FE">
      <w:pPr>
        <w:pStyle w:val="TextoNormal"/>
      </w:pPr>
      <w:r>
        <w:t>2. Condenamos a don Juan Márquez Contreras, como autor responsable de sendos delitos continuados de malversación de caudales públicos y prevaricación administrativa, en relación de concurso ideal, apreciando la atenuante analógica y muy cualificada de reparación del daño, con la consiguiente reducción de sanciones, imponiéndole la pena de prisión de tres años, con la accesoria de inhabilitación especial para el ejercicio del derecho de sufragio pasivo durante el tiempo de la condena y a la pena de inhabilitación absoluta por tiempo de siete años y seis meses, que conlleva la privación definitiva de todos los honores, empleos y cargos públicos que tuviere el penado o cualesquiera otros honores, cargos o empleos públicos, con imposición de las 2/37 partes de las costas procesales de primera instancia y declarando de oficio las causadas con su recurso de casación.</w:t>
      </w:r>
    </w:p>
    <w:p w14:paraId="52BD8196" w14:textId="77777777" w:rsidR="003754FE" w:rsidRDefault="003754FE" w:rsidP="003754FE">
      <w:pPr>
        <w:pStyle w:val="TextoNormal"/>
      </w:pPr>
    </w:p>
    <w:p w14:paraId="56A47690" w14:textId="77777777" w:rsidR="003754FE" w:rsidRDefault="003754FE" w:rsidP="003754FE">
      <w:pPr>
        <w:pStyle w:val="TextoNormal"/>
      </w:pPr>
      <w:r>
        <w:t>3. Se mantienen los restantes pronunciamientos de la sentencia impugnada.</w:t>
      </w:r>
    </w:p>
    <w:p w14:paraId="10AE3441" w14:textId="77777777" w:rsidR="003754FE" w:rsidRDefault="003754FE" w:rsidP="003754FE">
      <w:pPr>
        <w:pStyle w:val="TextoNormal"/>
      </w:pPr>
    </w:p>
    <w:p w14:paraId="350A6981" w14:textId="77777777" w:rsidR="003754FE" w:rsidRDefault="003754FE" w:rsidP="003754FE">
      <w:pPr>
        <w:pStyle w:val="TextoNormal"/>
      </w:pPr>
      <w:r>
        <w:t>El texto íntegro de la sentencia será publicado una vez se redacte el voto discrepante anunciado por las excelentísimas señoras magistradas doña Ana Ferrer García y doña Susana Polo García.</w:t>
      </w:r>
    </w:p>
    <w:p w14:paraId="6621EBCC" w14:textId="77777777" w:rsidR="003754FE" w:rsidRDefault="003754FE" w:rsidP="003754FE">
      <w:pPr>
        <w:pStyle w:val="TextoNormal"/>
      </w:pPr>
    </w:p>
    <w:p w14:paraId="7AEDF08A" w14:textId="77777777" w:rsidR="003754FE" w:rsidRDefault="003754FE" w:rsidP="003754FE">
      <w:pPr>
        <w:pStyle w:val="TextoNormal"/>
      </w:pPr>
      <w:r>
        <w:t>En dicho voto se considera que también deberían haber sido estimados parcialmente los recursos interpuestos por don Miguel Ángel Serrano Aguilar, don Jesús María Rodríguez Román, don Francisco Vallejo Serrano, doña Carmen Martínez Aguayo y don José Antonio Griñán Martínez y que, anulada la sentencia de instancia, estos recurrentes deberían haber sido absueltos del delito continuado de malversación de caudales públicos.</w:t>
      </w:r>
    </w:p>
    <w:p w14:paraId="329ED846" w14:textId="77777777" w:rsidR="003754FE" w:rsidRDefault="003754FE" w:rsidP="003754FE">
      <w:pPr>
        <w:pStyle w:val="TextoNormal"/>
      </w:pPr>
    </w:p>
    <w:p w14:paraId="1210A541" w14:textId="77777777" w:rsidR="003754FE" w:rsidRDefault="003754FE" w:rsidP="003754FE">
      <w:pPr>
        <w:pStyle w:val="TextoNormal"/>
      </w:pPr>
      <w:r>
        <w:t>En Madrid, a veintiséis de julio de dos mil veintidós”.</w:t>
      </w:r>
    </w:p>
    <w:p w14:paraId="5D949EDC" w14:textId="77777777" w:rsidR="003754FE" w:rsidRDefault="003754FE" w:rsidP="003754FE">
      <w:pPr>
        <w:pStyle w:val="TextoNormal"/>
      </w:pPr>
    </w:p>
    <w:p w14:paraId="5CBD9EEA" w14:textId="77777777" w:rsidR="003754FE" w:rsidRDefault="003754FE" w:rsidP="003754FE">
      <w:pPr>
        <w:pStyle w:val="TextoNormal"/>
      </w:pPr>
      <w:r>
        <w:t>c) Desestimación de la queja</w:t>
      </w:r>
    </w:p>
    <w:p w14:paraId="4BC6A4C0" w14:textId="77777777" w:rsidR="003754FE" w:rsidRDefault="003754FE" w:rsidP="003754FE">
      <w:pPr>
        <w:pStyle w:val="TextoNormal"/>
      </w:pPr>
    </w:p>
    <w:p w14:paraId="7A20B0AE" w14:textId="77777777" w:rsidR="003754FE" w:rsidRDefault="003754FE" w:rsidP="003754FE">
      <w:pPr>
        <w:pStyle w:val="TextoNormal"/>
      </w:pPr>
      <w:r>
        <w:lastRenderedPageBreak/>
        <w:t>La lectura de la nota reseñada desde la óptica de las exigencias del derecho a la presunción de inocencia como regla de tratamiento conduce a rechazar la existencia de la vulneración denunciada, ya que no existe una manifestación sobre la culpabilidad del demandante que suponga tratarlo como autor de los delitos de prevaricación y malversación sin respaldo en una condena conforme a la ley.</w:t>
      </w:r>
    </w:p>
    <w:p w14:paraId="19C9561F" w14:textId="77777777" w:rsidR="003754FE" w:rsidRDefault="003754FE" w:rsidP="003754FE">
      <w:pPr>
        <w:pStyle w:val="TextoNormal"/>
      </w:pPr>
    </w:p>
    <w:p w14:paraId="2111B388" w14:textId="77777777" w:rsidR="003754FE" w:rsidRDefault="003754FE" w:rsidP="003754FE">
      <w:pPr>
        <w:pStyle w:val="TextoNormal"/>
      </w:pPr>
      <w:r>
        <w:t>Esa conclusión se asienta, en esencia, en las mismas razones expuestas en la STC 94/2024, FJ 7.2.2 C), a cuyo desarrollo hay que remitirse, sin perjuicio de reiterar frente al planteamiento del demandante que la declaración cuestionada constituye una información ofrecida por el órgano competente para resolver el recurso de quien de forma notoria fue condenado en primera instancia en una causa mediática, como se reconoce en la demanda, que da a conocer el resultado desfavorable al respecto una vez se ha deliberado y resuelto, que tiene, a su vez, el efecto de confirmar la condena, ya que con el pronunciamiento se agotan los recursos disponibles para el condenado. En tales circunstancias no puede afirmarse que se trata como culpable a quien no ha sido condenado en firme, pues justamente lo que se anuncia decidido de forma definitiva por el único órgano judicial que así puede hacerlo es la desestimación del recurso de casación que implica la firmeza de la sentencia condenatoria.</w:t>
      </w:r>
    </w:p>
    <w:p w14:paraId="76E3AE61" w14:textId="77777777" w:rsidR="003754FE" w:rsidRDefault="003754FE" w:rsidP="003754FE">
      <w:pPr>
        <w:pStyle w:val="TextoNormal"/>
      </w:pPr>
    </w:p>
    <w:p w14:paraId="0E698452" w14:textId="77777777" w:rsidR="003754FE" w:rsidRDefault="003754FE" w:rsidP="003754FE">
      <w:pPr>
        <w:pStyle w:val="TextoNormal"/>
      </w:pPr>
      <w:r>
        <w:t>La ausencia de una previsión legal expresa que contemple la actuación cuestionada no determina la existencia de una lesión de la regla de tratamiento que impone el art. 24.2 CE. La finalidad de la llamada dimensión extraprocesal del derecho a la presunción de inocencia es proteger frente a atribuciones de culpabilidad no fundadas en una condena dictada en un proceso público con todas las garantías, no garantizar la práctica procesal de notificación de la sentencia íntegra que indica la normativa (art. 260.2 LOPJ) sin anticipar el fallo ni emitir un comunicado al respecto, por más que sea lo habitual. Debe, en consecuencia, desestimarse la queja.</w:t>
      </w:r>
    </w:p>
    <w:p w14:paraId="5B7B9595" w14:textId="77777777" w:rsidR="003754FE" w:rsidRDefault="003754FE" w:rsidP="003754FE">
      <w:pPr>
        <w:pStyle w:val="TextoNormal"/>
      </w:pPr>
    </w:p>
    <w:p w14:paraId="48500DB7" w14:textId="77777777" w:rsidR="003754FE" w:rsidRDefault="003754FE" w:rsidP="003754FE">
      <w:pPr>
        <w:pStyle w:val="TextoNormal"/>
      </w:pPr>
      <w:r>
        <w:t xml:space="preserve">6.3. </w:t>
      </w:r>
      <w:r w:rsidRPr="003754FE">
        <w:rPr>
          <w:i/>
        </w:rPr>
        <w:t>Vulneración del derecho a un proceso con todas las garantías y del derecho a la tutela judicial efectiva (art. 24 CE)</w:t>
      </w:r>
    </w:p>
    <w:p w14:paraId="067ABF80" w14:textId="77777777" w:rsidR="003754FE" w:rsidRDefault="003754FE" w:rsidP="003754FE">
      <w:pPr>
        <w:pStyle w:val="TextoNormal"/>
      </w:pPr>
    </w:p>
    <w:p w14:paraId="006203B2" w14:textId="77777777" w:rsidR="003754FE" w:rsidRDefault="003754FE" w:rsidP="003754FE">
      <w:pPr>
        <w:pStyle w:val="TextoNormal"/>
      </w:pPr>
      <w:r>
        <w:t>La referida ausencia de cobertura normativa, no obstante, se esgrime también en la demanda desde la perspectiva de la lesión del derecho a un proceso con todas las garantías y el derecho a la tutela judicial efectiva, que la demanda atribuye a la difusión pública del comunicado que anticipa el fallo en tanto que carente de base legal y generadora de indefensión.</w:t>
      </w:r>
    </w:p>
    <w:p w14:paraId="366C9605" w14:textId="77777777" w:rsidR="003754FE" w:rsidRDefault="003754FE" w:rsidP="003754FE">
      <w:pPr>
        <w:pStyle w:val="TextoNormal"/>
      </w:pPr>
    </w:p>
    <w:p w14:paraId="43453FC8" w14:textId="77777777" w:rsidR="003754FE" w:rsidRDefault="003754FE" w:rsidP="003754FE">
      <w:pPr>
        <w:pStyle w:val="TextoNormal"/>
      </w:pPr>
      <w:r>
        <w:t>6.3.1</w:t>
      </w:r>
      <w:r w:rsidRPr="003754FE">
        <w:rPr>
          <w:i/>
        </w:rPr>
        <w:t>. Doctrina sobre el derecho a no padecer indefensi</w:t>
      </w:r>
      <w:r>
        <w:t>ón</w:t>
      </w:r>
    </w:p>
    <w:p w14:paraId="46F51839" w14:textId="77777777" w:rsidR="003754FE" w:rsidRDefault="003754FE" w:rsidP="003754FE">
      <w:pPr>
        <w:pStyle w:val="TextoNormal"/>
      </w:pPr>
    </w:p>
    <w:p w14:paraId="62BA3BFD" w14:textId="77777777" w:rsidR="003754FE" w:rsidRDefault="003754FE" w:rsidP="003754FE">
      <w:pPr>
        <w:pStyle w:val="TextoNormal"/>
      </w:pPr>
      <w:r>
        <w:t xml:space="preserve">En relación con la queja de que se ha producido una irregularidad procesal causante de indefensión, debe tenerse presente que el derecho a la tutela judicial efectiva (art. 24.1 CE) comprende, entre sus múltiples vertientes, el derecho a no sufrir indefensión, que en nuestra jurisprudencia se entiende como un derecho a la defensa contradictoria, se vincula con las garantías del proceso debido reconocidas en el art. 24.2 CE y requiere indefensión material. Así se ha puesto de relieve, entre muchas, en las SSTC 266/2015, de 14 de diciembre, FJ 4; 91/2021, de 22 de abril, FJ 4.4; 121/2021, de 2 de junio, FJ 5.4; 47/2022, de 24 de marzo, FJ 6.3 A), o 131/2023, de 23 de octubre, FJ 2, todas ellas atinentes a procesos penales. La STC 94/2024, FJ 7.3.1, ha destacado como extremos relevantes de esta doctrina: (i) que el </w:t>
      </w:r>
      <w:r>
        <w:lastRenderedPageBreak/>
        <w:t>art. 24 CE garantiza el libre acceso de las partes al proceso en defensa de derechos e intereses legítimos, que, entre otras exigencias, precisa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(STC 186/1990, de 15 de noviembre, FJ 5); y (ii) que la relevancia constitucional de la indefensión prohibida por el art. 24 CE exige indefensión material, de modo que “[n]o basta, pues, la existencia de un defecto procesal si no conlleva la privación o limitación, menoscabo o negación, del derecho a la defensa en un proceso público con todas las garantías ‘en relación con algún interés’ de quien lo invoca” (STC 181/1994, de 20 de junio, FJ 2).</w:t>
      </w:r>
    </w:p>
    <w:p w14:paraId="0ECC24F9" w14:textId="77777777" w:rsidR="003754FE" w:rsidRDefault="003754FE" w:rsidP="003754FE">
      <w:pPr>
        <w:pStyle w:val="TextoNormal"/>
      </w:pPr>
    </w:p>
    <w:p w14:paraId="1BB525F6" w14:textId="77777777" w:rsidR="003754FE" w:rsidRDefault="003754FE" w:rsidP="003754FE">
      <w:pPr>
        <w:pStyle w:val="TextoNormal"/>
      </w:pPr>
      <w:r>
        <w:t>6.3.2</w:t>
      </w:r>
      <w:r w:rsidRPr="003754FE">
        <w:rPr>
          <w:i/>
        </w:rPr>
        <w:t>. Enjuiciamiento de la que</w:t>
      </w:r>
      <w:r>
        <w:t>ja</w:t>
      </w:r>
    </w:p>
    <w:p w14:paraId="729D702B" w14:textId="77777777" w:rsidR="003754FE" w:rsidRDefault="003754FE" w:rsidP="003754FE">
      <w:pPr>
        <w:pStyle w:val="TextoNormal"/>
      </w:pPr>
    </w:p>
    <w:p w14:paraId="1EEF3EE9" w14:textId="77777777" w:rsidR="003754FE" w:rsidRDefault="003754FE" w:rsidP="003754FE">
      <w:pPr>
        <w:pStyle w:val="TextoNormal"/>
      </w:pPr>
      <w:r>
        <w:t>Es cierto que no existe ningún precepto que autorice expresamente la publicación anticipada del fallo de una sentencia de casación. Sin embargo, que esa previsión no exista (y pueda hablarse incluso de irregularidad procesal) no significa que los derechos a la tutela judicial efectiva y a un proceso con todas las garantías se hayan lesionado.</w:t>
      </w:r>
    </w:p>
    <w:p w14:paraId="3A302245" w14:textId="77777777" w:rsidR="003754FE" w:rsidRDefault="003754FE" w:rsidP="003754FE">
      <w:pPr>
        <w:pStyle w:val="TextoNormal"/>
      </w:pPr>
    </w:p>
    <w:p w14:paraId="14FED2D3" w14:textId="77777777" w:rsidR="003754FE" w:rsidRDefault="003754FE" w:rsidP="003754FE">
      <w:pPr>
        <w:pStyle w:val="TextoNormal"/>
      </w:pPr>
      <w:r>
        <w:t>En primer lugar, porque no existe una infracción de la normativa procesal en sentido estricto, ni de los preceptos invocados por el recurrente (arts. 160 y 789 LECrim y arts. 248, 266 y 270 LOPJ), que en ningún caso contemplan una prohibición, ni explícita ni implícita, de anticipar el fallo, sino normas sobre la estructura, contenido, notificación y acceso a las sentencias; ni del art. 260.2 LOPJ. El Tribunal Supremo notifica en septiembre la sentencia íntegra, que se data en su encabezamiento el 13 de septiembre de 2022. Con ello respeta tanto esa última previsión de integración del voto en la sentencia (art. 260.2 LOPJ) como las anteriores citadas en la demanda, relativas a la notificación de las sentencias el día que se firmen o el día siguiente (art. 160 LECrim), a la disposición específica sobre la sentencia en el procedimiento abreviado (art. 768 LECrim), a la estructura (encabezamiento, antecedentes, hechos probados, fundamentos de Derecho y fallo) con que deben formulares las sentencias (art. 248 LOPJ), al depósito y acceso a las mismas (art. 266 LOPJ) y al deber de notificar las resoluciones judiciales a todos los que sean parte en el pleito, puedan verse perjudicados o dispongan las propias resoluciones de conformidad con la ley (art. 270 LOPJ).</w:t>
      </w:r>
    </w:p>
    <w:p w14:paraId="5A6304ED" w14:textId="77777777" w:rsidR="003754FE" w:rsidRDefault="003754FE" w:rsidP="003754FE">
      <w:pPr>
        <w:pStyle w:val="TextoNormal"/>
      </w:pPr>
    </w:p>
    <w:p w14:paraId="1076644B" w14:textId="77777777" w:rsidR="003754FE" w:rsidRDefault="003754FE" w:rsidP="003754FE">
      <w:pPr>
        <w:pStyle w:val="TextoNormal"/>
      </w:pPr>
      <w:r>
        <w:t>Debe, además, tenerse presente, frente a lo aducido por el demandante sobre la imposibilidad de entender finalizada la deliberación hasta que conste la redacción del voto particular, que el art. 260.1 LOPJ dispone que “[t]odo el que tome parte en la votación de una sentencia o auto definitivo firmará lo acordado, aunque hubiere disentido de la mayoría; pero podrá, en este caso, anunciándolo en el momento de la votación o en el de la firma, formular voto particular”. Su lectura pone de manifiesto que es justamente finalizada la deliberación, al tiempo de la votación o la firma, cuando se anuncia la formulación del voto que, por lógica, se redactará después de haberse resuelto. Decae en tal medida la premisa de la queja de pérdida de imparcialidad planteada en la demanda, asentada en el reproche de un cierre prematuro de la deliberación por parte del órgano judicial al publicar el fallo sin constar el texto del voto particular.</w:t>
      </w:r>
    </w:p>
    <w:p w14:paraId="6FEA4E65" w14:textId="77777777" w:rsidR="003754FE" w:rsidRDefault="003754FE" w:rsidP="003754FE">
      <w:pPr>
        <w:pStyle w:val="TextoNormal"/>
      </w:pPr>
    </w:p>
    <w:p w14:paraId="4DCCB02D" w14:textId="77777777" w:rsidR="003754FE" w:rsidRDefault="003754FE" w:rsidP="003754FE">
      <w:pPr>
        <w:pStyle w:val="TextoNormal"/>
      </w:pPr>
      <w:r>
        <w:lastRenderedPageBreak/>
        <w:t>En segundo lugar y de forma determinante, porque no se concreta la indefensión que el recurrente ha sufrido, que parece identificar genéricamente y sin ulterior argumento con la imposibilidad de reaccionar dada la inmediata difusión masiva, cabe entender que de cara a la opinión pública. En ningún caso aduce, ni este tribunal aprecia, que se haya causado indefensión al recurrente en el proceso, donde, como se ha dicho, le fue notificada la sentencia del Tribunal Supremo conforme a la ley, iniciándose entonces el plazo para agotar las posibilidades de cuestionamiento de la decisión de condena; señaladamente, para formular el incidente de nulidad de actuaciones, que efectivamente planteó y fue resuelto por la Sala de lo Penal. De ninguna manera la actuación judicial cuestionada ha situado al interesado al margen de toda posibilidad de alegar y defender en el proceso sus derechos, por lo que no se aprecia un efecto material de indefensión, con real menoscabo de su derecho de defensa y con el consiguiente perjuicio real y efectivo para sus intereses.</w:t>
      </w:r>
    </w:p>
    <w:p w14:paraId="60FA81FB" w14:textId="77777777" w:rsidR="003754FE" w:rsidRDefault="003754FE" w:rsidP="003754FE">
      <w:pPr>
        <w:pStyle w:val="TextoNormal"/>
      </w:pPr>
    </w:p>
    <w:p w14:paraId="5BC519DC" w14:textId="53BC0504" w:rsidR="003754FE" w:rsidRDefault="003754FE" w:rsidP="003754FE">
      <w:pPr>
        <w:pStyle w:val="TextoNormal"/>
      </w:pPr>
      <w:r>
        <w:t>La falta de una infracción formal y de indefensión con relevancia constitucional conduce a desestimar la vulneración del art. 24 CE alegada y, con ello, el último motivo de la demanda de amparo.</w:t>
      </w:r>
    </w:p>
    <w:p w14:paraId="39E765B1" w14:textId="77777777" w:rsidR="003754FE" w:rsidRDefault="003754FE" w:rsidP="003754FE">
      <w:pPr>
        <w:pStyle w:val="TextoNormal"/>
      </w:pPr>
    </w:p>
    <w:p w14:paraId="262E131D" w14:textId="77777777" w:rsidR="003754FE" w:rsidRDefault="003754FE" w:rsidP="003754FE">
      <w:pPr>
        <w:pStyle w:val="TextoNormal"/>
      </w:pPr>
      <w:r w:rsidRPr="003754FE">
        <w:rPr>
          <w:rStyle w:val="NumeroAFNegritaCaracter"/>
        </w:rPr>
        <w:t>7</w:t>
      </w:r>
      <w:r>
        <w:t xml:space="preserve">. </w:t>
      </w:r>
      <w:r w:rsidRPr="003754FE">
        <w:rPr>
          <w:i/>
        </w:rPr>
        <w:t>Conclusión y efectos de la estimación parcial del recurso de amparo</w:t>
      </w:r>
    </w:p>
    <w:p w14:paraId="244B9F7A" w14:textId="77777777" w:rsidR="003754FE" w:rsidRDefault="003754FE" w:rsidP="003754FE">
      <w:pPr>
        <w:pStyle w:val="TextoNormal"/>
      </w:pPr>
    </w:p>
    <w:p w14:paraId="6D3FD533" w14:textId="77777777" w:rsidR="003754FE" w:rsidRDefault="003754FE" w:rsidP="003754FE">
      <w:pPr>
        <w:pStyle w:val="TextoNormal"/>
      </w:pPr>
      <w:r>
        <w:t>Los argumentos expuestos en los fundamentos jurídicos anteriores determinan que la estimación parcial del presente recurso de amparo tenga como efecto la nulidad parcial de las resoluciones impugnadas en relación con la condena del recurrente por el delito de malversación de caudales públicos del art. 432 CP.</w:t>
      </w:r>
    </w:p>
    <w:p w14:paraId="52268249" w14:textId="77777777" w:rsidR="003754FE" w:rsidRDefault="003754FE" w:rsidP="003754FE">
      <w:pPr>
        <w:pStyle w:val="TextoNormal"/>
      </w:pPr>
    </w:p>
    <w:p w14:paraId="6977D1FE" w14:textId="77777777" w:rsidR="003754FE" w:rsidRDefault="003754FE" w:rsidP="003754FE">
      <w:pPr>
        <w:pStyle w:val="TextoNormal"/>
      </w:pPr>
      <w:r>
        <w:t>Los argumentos expresados en los fundamentos jurídicos 3 y 4 de esta resolución ponen de manifiesto:</w:t>
      </w:r>
    </w:p>
    <w:p w14:paraId="4360AF05" w14:textId="77777777" w:rsidR="003754FE" w:rsidRDefault="003754FE" w:rsidP="003754FE">
      <w:pPr>
        <w:pStyle w:val="TextoNormal"/>
      </w:pPr>
    </w:p>
    <w:p w14:paraId="70A484AF" w14:textId="77777777" w:rsidR="003754FE" w:rsidRDefault="003754FE" w:rsidP="003754FE">
      <w:pPr>
        <w:pStyle w:val="TextoNormal"/>
      </w:pPr>
      <w:r>
        <w:t>a) La estimación parcial de la vulneración del derecho a la legalidad penal (art. 25.1 CE) en relación con la subsunción imprevisible en el tipo penal del art. 432 CP de todos los hechos que han motivado la condena por malversación con la excepción de la participación del recurrente: (i) en las modificaciones presupuestarias del programa 22E de los años 2000-2001 y la concesión de ayudas sociolaborales con los créditos dispuestos conforme a ellas; y (ii) en la disposición de fondos incluidos en el programa 31L en ausencia o con desviación de su fin público.</w:t>
      </w:r>
    </w:p>
    <w:p w14:paraId="2AF37A53" w14:textId="77777777" w:rsidR="003754FE" w:rsidRDefault="003754FE" w:rsidP="003754FE">
      <w:pPr>
        <w:pStyle w:val="TextoNormal"/>
      </w:pPr>
    </w:p>
    <w:p w14:paraId="36DF304B" w14:textId="77777777" w:rsidR="003754FE" w:rsidRDefault="003754FE" w:rsidP="003754FE">
      <w:pPr>
        <w:pStyle w:val="TextoNormal"/>
      </w:pPr>
      <w:r>
        <w:t>b) La desestimación de la vulneración del derecho a la presunción de inocencia (art. 24.2 CE) en lo que se refiere a la intervención del demandante en la disposición de los fondos del programa 22E (ejercicios 2000 y 2001) y de los fondos del programa 31L en ausencia con desviación de su fin público (ejercicios 2002 a 2009).</w:t>
      </w:r>
    </w:p>
    <w:p w14:paraId="2F71A4FD" w14:textId="77777777" w:rsidR="003754FE" w:rsidRDefault="003754FE" w:rsidP="003754FE">
      <w:pPr>
        <w:pStyle w:val="TextoNormal"/>
      </w:pPr>
    </w:p>
    <w:p w14:paraId="7635F6E3" w14:textId="1DE1EFDD" w:rsidR="003754FE" w:rsidRDefault="003754FE" w:rsidP="003754FE">
      <w:pPr>
        <w:pStyle w:val="TextoNormal"/>
      </w:pPr>
      <w:r>
        <w:t xml:space="preserve">En consecuencia, el fallo parcialmente estimatorio determina la nulidad de las resoluciones impugnadas y la retroacción del procedimiento al momento anterior al dictado de la sentencia de instancia para que por la Audiencia Provincial de Sevilla se dicte un nuevo pronunciamiento exclusivamente en lo relativo a la posible comisión de un delito de malversación de caudales públicos como consecuencia de la participación del demandante (i) en las modificaciones presupuestarias del programa 22E de los años 2000-2001 y la concesión de ayudas sociolaborales con los créditos dispuestos conforme a ellas; y (ii) en la </w:t>
      </w:r>
      <w:r>
        <w:lastRenderedPageBreak/>
        <w:t>disposición de fondos incluidos en el programa 31L en ausencia o con desviación de su fin público.</w:t>
      </w:r>
    </w:p>
    <w:p w14:paraId="5F7E1E0D" w14:textId="77777777" w:rsidR="003754FE" w:rsidRDefault="003754FE" w:rsidP="003754FE">
      <w:pPr>
        <w:pStyle w:val="TextoNormal"/>
      </w:pPr>
    </w:p>
    <w:p w14:paraId="6A2C9B40" w14:textId="77777777" w:rsidR="003754FE" w:rsidRDefault="003754FE" w:rsidP="003754FE">
      <w:pPr>
        <w:pStyle w:val="TextoNormalCentrado"/>
        <w:keepNext/>
      </w:pPr>
      <w:r>
        <w:t>FALLO</w:t>
      </w:r>
    </w:p>
    <w:p w14:paraId="1A1E4E2D" w14:textId="17A9DA69" w:rsidR="003754FE" w:rsidRDefault="003754FE" w:rsidP="003754FE">
      <w:pPr>
        <w:pStyle w:val="TextoNormalCentrado"/>
        <w:keepNext/>
      </w:pPr>
    </w:p>
    <w:p w14:paraId="1B3733B9" w14:textId="77777777" w:rsidR="003754FE" w:rsidRDefault="003754FE" w:rsidP="003754FE">
      <w:pPr>
        <w:pStyle w:val="TextoNormal"/>
      </w:pPr>
      <w:r>
        <w:t>En atención a todo lo expuesto, el Tribunal Constitucional, por la autoridad que le confiere la Constitución de la Nación española, ha decidido:</w:t>
      </w:r>
    </w:p>
    <w:p w14:paraId="252FAE7F" w14:textId="77777777" w:rsidR="003754FE" w:rsidRDefault="003754FE" w:rsidP="003754FE">
      <w:pPr>
        <w:pStyle w:val="TextoNormal"/>
      </w:pPr>
    </w:p>
    <w:p w14:paraId="6857CBE5" w14:textId="77777777" w:rsidR="003754FE" w:rsidRDefault="003754FE" w:rsidP="003754FE">
      <w:pPr>
        <w:pStyle w:val="TextoNormal"/>
      </w:pPr>
      <w:r>
        <w:t>1º Reconocer que se ha vulnerado el derecho fundamental del recurrente a la legalidad penal (art. 25.1 CE).</w:t>
      </w:r>
    </w:p>
    <w:p w14:paraId="33F4A64E" w14:textId="77777777" w:rsidR="003754FE" w:rsidRDefault="003754FE" w:rsidP="003754FE">
      <w:pPr>
        <w:pStyle w:val="TextoNormal"/>
      </w:pPr>
    </w:p>
    <w:p w14:paraId="7E1B62E9" w14:textId="77777777" w:rsidR="003754FE" w:rsidRDefault="003754FE" w:rsidP="003754FE">
      <w:pPr>
        <w:pStyle w:val="TextoNormal"/>
      </w:pPr>
      <w:r>
        <w:t>2º Restablecer al recurrente en su derecho y, a tal fin, declarar la nulidad de la sentencia núm. 490/2019, de 19 de noviembre, dictada por la Sección Primera de la Audiencia Provincial de Sevilla, de la sentencia núm. 749/2022, de 13 de septiembre, de la Sala de lo Penal del Tribunal Supremo, así como del auto del mismo Tribunal de 16 de febrero de 2023, ordenando la retroacción del proceso al momento anterior al dictado de la sentencia de instancia para que por la Audiencia Provincial de Sevilla se dicte un nuevo pronunciamiento respetuoso con el derecho fundamental vulnerado, en los términos que se indican en el fundamento jurídico 7 de esta sentencia.</w:t>
      </w:r>
    </w:p>
    <w:p w14:paraId="6E038EFE" w14:textId="77777777" w:rsidR="003754FE" w:rsidRDefault="003754FE" w:rsidP="003754FE">
      <w:pPr>
        <w:pStyle w:val="TextoNormal"/>
      </w:pPr>
    </w:p>
    <w:p w14:paraId="7BC3B823" w14:textId="199194CC" w:rsidR="003754FE" w:rsidRDefault="003754FE" w:rsidP="003754FE">
      <w:pPr>
        <w:pStyle w:val="TextoNormal"/>
      </w:pPr>
      <w:r>
        <w:t>3º Desestimar el recurso de amparo en lo restante.</w:t>
      </w:r>
    </w:p>
    <w:p w14:paraId="5F379656" w14:textId="77777777" w:rsidR="003754FE" w:rsidRDefault="003754FE" w:rsidP="003754FE">
      <w:pPr>
        <w:pStyle w:val="TextoNormal"/>
      </w:pPr>
    </w:p>
    <w:p w14:paraId="710EB1D4" w14:textId="77777777" w:rsidR="003754FE" w:rsidRDefault="003754FE" w:rsidP="003754FE">
      <w:pPr>
        <w:pStyle w:val="TextoNormal"/>
      </w:pPr>
      <w:r>
        <w:t>Publíquese esta sentencia en el “Boletín Oficial del Estado”.</w:t>
      </w:r>
    </w:p>
    <w:p w14:paraId="4AA4AD56" w14:textId="77777777" w:rsidR="003754FE" w:rsidRDefault="003754FE" w:rsidP="003754FE">
      <w:pPr>
        <w:pStyle w:val="TextoNormal"/>
      </w:pPr>
      <w:r>
        <w:t>Dada en Madrid, a tres de julio de dos mil veinticuatro.</w:t>
      </w:r>
    </w:p>
    <w:p w14:paraId="7D7E1EE1" w14:textId="5BC90A80" w:rsidR="003754FE" w:rsidRDefault="003754FE" w:rsidP="003754FE">
      <w:pPr>
        <w:pStyle w:val="ParrafoNormal"/>
      </w:pPr>
    </w:p>
    <w:p w14:paraId="4EC240DD" w14:textId="77777777" w:rsidR="003754FE" w:rsidRDefault="003754FE" w:rsidP="003754FE">
      <w:pPr>
        <w:pStyle w:val="TextoNormalNegritaCentrado"/>
        <w:keepNext/>
      </w:pPr>
      <w:r>
        <w:t>Voto particular que formula el magistrado don Ricardo Enríquez Sancho a la sentencia dictada en el recurso de amparo avocado núm. 2348-2023</w:t>
      </w:r>
    </w:p>
    <w:p w14:paraId="78CE077B" w14:textId="1301FFE2" w:rsidR="003754FE" w:rsidRDefault="003754FE" w:rsidP="003754FE">
      <w:pPr>
        <w:pStyle w:val="TextoNormalNegritaCentrado"/>
        <w:keepNext/>
      </w:pPr>
    </w:p>
    <w:p w14:paraId="24CE3C8D" w14:textId="77777777" w:rsidR="003754FE" w:rsidRDefault="003754FE" w:rsidP="003754FE">
      <w:pPr>
        <w:pStyle w:val="TextoNormal"/>
      </w:pPr>
      <w:r>
        <w:t>En el ejercicio de la facultad que me confiere el artículo 90.2 de la Ley Orgánica del Tribunal Constitucional (LOTC), y con el máximo respeto a la opinión de la mayoría, formulo el presente voto particular por discrepar de la fundamentación y del fallo de la sentencia recaída en el recurso de amparo avocado por el Pleno núm. 2348-2023, interpuesto por don Antonio Fernández García, el cual a mi juicio debió ser desestimado porque las sentencias impugnadas no vulneraron su derecho fundamental a la legalidad penal (art. 25.1 CE).</w:t>
      </w:r>
    </w:p>
    <w:p w14:paraId="6B5E9F73" w14:textId="77777777" w:rsidR="003754FE" w:rsidRDefault="003754FE" w:rsidP="003754FE">
      <w:pPr>
        <w:pStyle w:val="TextoNormal"/>
      </w:pPr>
    </w:p>
    <w:p w14:paraId="56C3DD26" w14:textId="77777777" w:rsidR="003754FE" w:rsidRDefault="003754FE" w:rsidP="003754FE">
      <w:pPr>
        <w:pStyle w:val="TextoNormal"/>
      </w:pPr>
      <w:r>
        <w:t xml:space="preserve">Las razones de mi discrepancia han quedado detalladamente expuestas en el voto particular formulado a la sentencia dictada en el día de ayer, STC 94/2024, de 2 de julio, que resolvió una demanda de amparo sustancialmente idéntica a la presente (recurso de amparo avocado 2136-2023), al que por tanto me remito. En ambos recursos de amparo, y en otros tres que se deliberaron en el Pleno del día de hoy, se impugnó la sentencia de la Sección Primera de la Audiencia Provincial de Sevilla de 19 de noviembre de 2019, confirmada en casación por la sentencia de la Sala de lo Penal del Tribunal Supremo de 13 de septiembre de 2022 (junto con el auto de la misma Sala de lo Penal de 16 de febrero de 2023, que rechazó el incidente de nulidad de actuaciones promovido contra su sentencia); resoluciones recaídas en la llamada causa de los “ERE” en la cual se condenó a cargos de relevancia en determinados periodos entre los años 2000 a 2009, en las Consejerías de Empleo y Desarrollo Tecnológico, Economía y Hacienda, Justicia y Administración Pública, e Innovación, </w:t>
      </w:r>
      <w:r>
        <w:lastRenderedPageBreak/>
        <w:t>Ciencia y Empresa, de la Junta de Andalucía; o bien en el Instituto de Fomento de Andalucía (IFA), denominado a partir de 2004 Agencia de Innovación y Desarrollo de Andalucía (IDEA). En el caso del promotor del presente recurso de amparo, señor Fernández García, este desempeñó los cargos de viceconsejero de Empleo de la Junta de Andalucía (del 29 de abril de 2000 al 25 de abril de 2004), de consejero de Empleo de la Junta de Andalucía (del 25 de abril de 2004 al 22 de marzo de 2010), y de presidente del IFA del 6 de junio de 2001 al 28 de enero de 2003.</w:t>
      </w:r>
    </w:p>
    <w:p w14:paraId="51F38764" w14:textId="77777777" w:rsidR="003754FE" w:rsidRDefault="003754FE" w:rsidP="003754FE">
      <w:pPr>
        <w:pStyle w:val="TextoNormal"/>
      </w:pPr>
    </w:p>
    <w:p w14:paraId="5CCCF029" w14:textId="77777777" w:rsidR="003754FE" w:rsidRDefault="003754FE" w:rsidP="003754FE">
      <w:pPr>
        <w:pStyle w:val="TextoNormal"/>
      </w:pPr>
      <w:r>
        <w:t>En síntesis, la sentencia de la que ahora discrepo ha estimado en el fundamento jurídico 3.4 la queja de lesión del derecho fundamental del recurrente a la legalidad penal, respecto del delito de malversación de caudales públicos del art. 432 CP:</w:t>
      </w:r>
    </w:p>
    <w:p w14:paraId="00510C24" w14:textId="77777777" w:rsidR="003754FE" w:rsidRDefault="003754FE" w:rsidP="003754FE">
      <w:pPr>
        <w:pStyle w:val="TextoNormal"/>
      </w:pPr>
    </w:p>
    <w:p w14:paraId="663EC93C" w14:textId="77777777" w:rsidR="003754FE" w:rsidRDefault="003754FE" w:rsidP="003754FE">
      <w:pPr>
        <w:pStyle w:val="TextoNormal"/>
      </w:pPr>
      <w:r>
        <w:t>(i) En el fundamento jurídico 3.4.1 a), la sentencia de la que discrepo señala que la subsunción en la modalidad activa del delito de malversación del art. 432 CP (sustracción de caudales públicos), de los hechos probados que se refieren a irregularidades en la gestión global de las ayudas sociolaborales con cobertura en el programa 31L de las leyes de presupuestos, durante los años 2002 a 2004 como viceconsejero de Empleo y de 2005 a 2009 como consejero de Empleo, tanto la tramitación de los respectivos anteproyectos de ley como de modificaciones presupuestarias en los años 2005 a 2008, además de su firma como presidente del IFA de los convenios particulares con la Consejería de Empleo en los años 2002 y 2003, resulta imprevisible y por tanto contraria al derecho fundamental a la legalidad (art. 25.1 CE) del recurrente, por no ser una actividad fiscalizable por los tribunales penales; pues aquellas iniciativas quedan cubiertas una vez resultan aprobados como leyes de presupuesto por el Parlamento autonómico, sin que por ello puedan ser fuente de actos de disposición ilícita en orden al delito de malversación. En línea con lo ya defendido por la mayoría del Pleno en la STC 93/2024, de 19 de junio (entonces, a propósito de la condena por prevaricación de otra de las acusadas en esta causa de los ERE).</w:t>
      </w:r>
    </w:p>
    <w:p w14:paraId="4CA01D7E" w14:textId="77777777" w:rsidR="003754FE" w:rsidRDefault="003754FE" w:rsidP="003754FE">
      <w:pPr>
        <w:pStyle w:val="TextoNormal"/>
      </w:pPr>
    </w:p>
    <w:p w14:paraId="1F61A812" w14:textId="77777777" w:rsidR="003754FE" w:rsidRDefault="003754FE" w:rsidP="003754FE">
      <w:pPr>
        <w:pStyle w:val="TextoNormal"/>
      </w:pPr>
      <w:r>
        <w:t>(ii) Otro tanto defiende la sentencia de la que ahora discrepo (recurso de amparo 2348-2023) en el fundamento jurídico 3.4.1 b), sobre la condena al recurrente por la modalidad omisiva del mismo delito de malversación (por no impedir el descontrol en la gestión de las ayudas), en cuanto a las ayudas sociolaborales con cobertura en aquel programa 31L.</w:t>
      </w:r>
    </w:p>
    <w:p w14:paraId="4F58ABC9" w14:textId="77777777" w:rsidR="003754FE" w:rsidRDefault="003754FE" w:rsidP="003754FE">
      <w:pPr>
        <w:pStyle w:val="TextoNormal"/>
      </w:pPr>
    </w:p>
    <w:p w14:paraId="0621CF26" w14:textId="77777777" w:rsidR="003754FE" w:rsidRDefault="003754FE" w:rsidP="003754FE">
      <w:pPr>
        <w:pStyle w:val="TextoNormal"/>
      </w:pPr>
      <w:r>
        <w:t>En ambos casos, se trata de un argumento circular al que a su vez ya di contestación en los apartados 2 (respecto del delito de prevaricación) y 3 (respecto del delito de malversación, teniendo en cuenta lo dicho en el apartado previo) de mi voto particular a la STC 94/2024, donde traje a colación a su vez el voto particular firmado junto con los magistrados don Enrique Arnaldo Alcubilla y doña Concepción Espejel Jorquera a la STC 93/2024. Apartado 2 al que ahora me remito, donde se razona que el procedimiento de preparación de un anteproyecto de presupuesto tiene “inequívoca naturaleza administrativa” y no se mueve en el ámbito de la inconstitucionalidad de las leyes, ni las de presupuesto aprobadas en sede parlamentaria permitieron sanar todos los posibles vicios denunciados.</w:t>
      </w:r>
    </w:p>
    <w:p w14:paraId="639E6E44" w14:textId="77777777" w:rsidR="003754FE" w:rsidRDefault="003754FE" w:rsidP="003754FE">
      <w:pPr>
        <w:pStyle w:val="TextoNormal"/>
      </w:pPr>
    </w:p>
    <w:p w14:paraId="7E6DC658" w14:textId="77777777" w:rsidR="003754FE" w:rsidRDefault="003754FE" w:rsidP="003754FE">
      <w:pPr>
        <w:pStyle w:val="TextoNormal"/>
      </w:pPr>
      <w:r>
        <w:t>Por su lado, en el apartado 3 del mismo voto particular a la STC 94/2024 al que también me remito y que se refería al delito de malversación, reiteré que las normas y controles sobre subvenciones no fueron modificados por las leyes de presupuestos a las que se alude, de modo que tales controles regían en esos años y fueron deliberadamente obviados.</w:t>
      </w:r>
    </w:p>
    <w:p w14:paraId="5D74ADFE" w14:textId="77777777" w:rsidR="003754FE" w:rsidRDefault="003754FE" w:rsidP="003754FE">
      <w:pPr>
        <w:pStyle w:val="TextoNormal"/>
      </w:pPr>
    </w:p>
    <w:p w14:paraId="24644CE8" w14:textId="77777777" w:rsidR="003754FE" w:rsidRDefault="003754FE" w:rsidP="003754FE">
      <w:pPr>
        <w:pStyle w:val="TextoNormal"/>
      </w:pPr>
      <w:r>
        <w:lastRenderedPageBreak/>
        <w:t>Y en tal sentido emito mi voto particular.</w:t>
      </w:r>
    </w:p>
    <w:p w14:paraId="5AA2E300" w14:textId="77777777" w:rsidR="003754FE" w:rsidRDefault="003754FE" w:rsidP="003754FE">
      <w:pPr>
        <w:pStyle w:val="TextoNormal"/>
      </w:pPr>
    </w:p>
    <w:p w14:paraId="0B92C00B" w14:textId="35EB594F" w:rsidR="003754FE" w:rsidRDefault="003754FE" w:rsidP="003754FE">
      <w:pPr>
        <w:pStyle w:val="TextoNormal"/>
      </w:pPr>
      <w:r>
        <w:t>Madrid, a tres de julio de dos mil veinticuatro.</w:t>
      </w:r>
    </w:p>
    <w:p w14:paraId="16C37E55" w14:textId="77777777" w:rsidR="003754FE" w:rsidRDefault="003754FE" w:rsidP="003754FE">
      <w:pPr>
        <w:pStyle w:val="TextoNormal"/>
      </w:pPr>
    </w:p>
    <w:p w14:paraId="49586EC5" w14:textId="77777777" w:rsidR="003754FE" w:rsidRDefault="003754FE" w:rsidP="003754FE">
      <w:pPr>
        <w:pStyle w:val="TextoNormalNegritaCentrado"/>
        <w:keepNext/>
      </w:pPr>
      <w:r>
        <w:t>Voto particular que formula el magistrado don Enrique Arnaldo Alcubilla a la sentencia dictada por el Pleno en el recurso de amparo núm. 2348-2023</w:t>
      </w:r>
    </w:p>
    <w:p w14:paraId="6E56DFEB" w14:textId="15D9387A" w:rsidR="003754FE" w:rsidRDefault="003754FE" w:rsidP="003754FE">
      <w:pPr>
        <w:pStyle w:val="TextoNormalNegritaCentrado"/>
        <w:keepNext/>
      </w:pPr>
    </w:p>
    <w:p w14:paraId="40162D75" w14:textId="77777777" w:rsidR="003754FE" w:rsidRDefault="003754FE" w:rsidP="003754FE">
      <w:pPr>
        <w:pStyle w:val="TextoNormal"/>
      </w:pPr>
      <w:r>
        <w:t>En el ejercicio de la facultad que me confiere el art. 90.2 de la Ley Orgánica del Tribunal Constitucional (LOTC), formulo el presente voto particular por discrepar de la fundamentación y del fallo de la sentencia recaída en el recurso de amparo interpuesto por don Antonio Fernández García, el cual a mi parecer debió ser desestimado, por las razones defendidas durante la deliberación y en los términos que seguidamente paso a exponer.</w:t>
      </w:r>
    </w:p>
    <w:p w14:paraId="3BDBEA6F" w14:textId="77777777" w:rsidR="003754FE" w:rsidRDefault="003754FE" w:rsidP="003754FE">
      <w:pPr>
        <w:pStyle w:val="TextoNormal"/>
      </w:pPr>
    </w:p>
    <w:p w14:paraId="45A6AE0D" w14:textId="77777777" w:rsidR="003754FE" w:rsidRDefault="003754FE" w:rsidP="003754FE">
      <w:pPr>
        <w:pStyle w:val="TextoNormal"/>
      </w:pPr>
      <w:r>
        <w:t xml:space="preserve">1. </w:t>
      </w:r>
      <w:r w:rsidRPr="003754FE">
        <w:rPr>
          <w:i/>
        </w:rPr>
        <w:t>Consideración preliminar</w:t>
      </w:r>
    </w:p>
    <w:p w14:paraId="336C90FC" w14:textId="77777777" w:rsidR="003754FE" w:rsidRDefault="003754FE" w:rsidP="003754FE">
      <w:pPr>
        <w:pStyle w:val="TextoNormal"/>
      </w:pPr>
    </w:p>
    <w:p w14:paraId="5126658A" w14:textId="77777777" w:rsidR="003754FE" w:rsidRDefault="003754FE" w:rsidP="003754FE">
      <w:pPr>
        <w:pStyle w:val="TextoNormal"/>
      </w:pPr>
      <w:r>
        <w:t>La fundamentación de la presente sentencia descansa en buena medida en los argumentos empleados por la mayoría del Pleno en la STC 93/2024, de 19 de junio, que estimó parcialmente el recurso de amparo núm. 6971-2022, interpuesto por doña Magdalena Álvarez Arza contra las mismas resoluciones judiciales, que la condenaron por un delito de prevaricación en la pieza específica del conocido como “caso de los ERE de Andalucía”.</w:t>
      </w:r>
    </w:p>
    <w:p w14:paraId="5B4B9830" w14:textId="77777777" w:rsidR="003754FE" w:rsidRDefault="003754FE" w:rsidP="003754FE">
      <w:pPr>
        <w:pStyle w:val="TextoNormal"/>
      </w:pPr>
    </w:p>
    <w:p w14:paraId="352ADCB4" w14:textId="77777777" w:rsidR="003754FE" w:rsidRDefault="003754FE" w:rsidP="003754FE">
      <w:pPr>
        <w:pStyle w:val="TextoNormal"/>
      </w:pPr>
      <w:r>
        <w:t>Es procedente, por ello, que me remita a las consideraciones expuestas en el voto particular que suscribí juntamente con los magistrados Enríquez Sancho y Espejel Jorquera a la referida sentencia, y a las que formuló el magistrado Tolosa Tribiño en su voto, al que asimismo nos adherimos. Esta remisión se explica porque en cuanto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otro de los altos cargos de la Junta de Andalucía condenados en el referido asunto, en este supuesto por delitos de prevaricación y de malversación de caudales públicos. Se trata de don Antonio Fernández García, que ocupó los cargos de viceconsejero de Empleo desde el 29 de abril de 2000 hasta el 25 de abril de 2004, de consejero de Empleo desde el 26 de abril de 2004 al 22 de marzo de 2010 y de presidente del Instituto de Fomento de Andalucía (IFA) desde el 6 de junio de 2001 al 28 de enero de 2003, estando descritos los hechos por los que fue condenado en el relato de hechos probados y en los fundamentos de Derecho 26 y 49 de la sentencia de la Audiencia Provincial de Sevilla, como se pone de manifiesto en el fundamento jurídico 2.4 de la presente sentencia del Tribunal Constitucional.</w:t>
      </w:r>
    </w:p>
    <w:p w14:paraId="65C1B0D5" w14:textId="77777777" w:rsidR="003754FE" w:rsidRDefault="003754FE" w:rsidP="003754FE">
      <w:pPr>
        <w:pStyle w:val="TextoNormal"/>
      </w:pPr>
    </w:p>
    <w:p w14:paraId="5674162A" w14:textId="77777777" w:rsidR="003754FE" w:rsidRDefault="003754FE" w:rsidP="003754FE">
      <w:pPr>
        <w:pStyle w:val="TextoNormal"/>
      </w:pPr>
      <w:r>
        <w:t xml:space="preserve">2. </w:t>
      </w:r>
      <w:r w:rsidRPr="003754FE">
        <w:rPr>
          <w:i/>
        </w:rPr>
        <w:t>Una premisa errónea: la pretendida virtud sanadora de las leyes de presupuestos de Andalucía para los años 2002 a 2009</w:t>
      </w:r>
      <w:r>
        <w:t xml:space="preserve"> </w:t>
      </w:r>
    </w:p>
    <w:p w14:paraId="4BF11932" w14:textId="77777777" w:rsidR="003754FE" w:rsidRDefault="003754FE" w:rsidP="003754FE">
      <w:pPr>
        <w:pStyle w:val="TextoNormal"/>
      </w:pPr>
    </w:p>
    <w:p w14:paraId="1050FD4B" w14:textId="77777777" w:rsidR="003754FE" w:rsidRDefault="003754FE" w:rsidP="003754FE">
      <w:pPr>
        <w:pStyle w:val="TextoNormal"/>
      </w:pPr>
      <w:r>
        <w:t xml:space="preserve">Como en la STC 93/2024, la presente sentencia considera que la actuación del recurrente no puede entenderse subsumible en el delito de malversación por el que fue condenado (no se entra en la queja referida a la subsunción en el delito de prevaricación por el que también fue condenado porque no se planteó por el recurrente en la demanda de amparo sino, intempestivamente, en las alegaciones del art. 52.1 LOTC). Conclusión esta que asienta sobre la </w:t>
      </w:r>
      <w:r>
        <w:lastRenderedPageBreak/>
        <w:t>premisa, a mi parecer errónea, de que obraba amparado por lo previsto en la correspondiente ley de presupuestos para cada ejercicio.</w:t>
      </w:r>
    </w:p>
    <w:p w14:paraId="6175165D" w14:textId="77777777" w:rsidR="003754FE" w:rsidRDefault="003754FE" w:rsidP="003754FE">
      <w:pPr>
        <w:pStyle w:val="TextoNormal"/>
      </w:pPr>
    </w:p>
    <w:p w14:paraId="7BC5EEDF" w14:textId="77777777" w:rsidR="003754FE" w:rsidRDefault="003754FE" w:rsidP="003754FE">
      <w:pPr>
        <w:pStyle w:val="TextoNormal"/>
      </w:pPr>
      <w:r>
        <w:t>Nada más lejos de la realidad. Las sentencias impugnadas en amparo han condenado al recurrente por las conductas que, en su calidad de viceconsejero y luego consejero de Empleo, así como de presidente del IFA, llevó a cabo en relación con la presupuestación y gestión de ayudas sociolaborales a trabajadores y empresas en crisis al margen de lo establecido legalmente. La sentencia de este tribunal (que no entra a examinar, por el motivo indicado, si esas actuaciones puedan considerarse como resoluciones dictadas en asunto administrativo a los efectos de integrar el tipo prevaricador del art. 404 del Código Penal), siguiendo la pauta marcada en la STC 93/2024, sostiene que la conducta del recurrente, como la del resto de condenados en la pieza específica del “caso de los ERE de Andalucía” no merecía reproche penal desde la perspectiva de la malversación, en cuanto se amparaba en las leyes de presupuestos de Andalucía para los años 2002 al 2009, que en su programa 31L, establecieron un sistema de atribución de fondos al IFA/IDEA (las transferencias de financiación) para la concesión de ayudas sociolaborales que, [de acuerdo con lo establecido en sus propias memorias] habilitaban a la administración autonómica a conceder estas ayudas por tal vía (fundamento jurídico 3), lo que habría supuesto la supresión de los controles y procedimiento propios del régimen de subvenciones.</w:t>
      </w:r>
    </w:p>
    <w:p w14:paraId="3FDACDC3" w14:textId="77777777" w:rsidR="003754FE" w:rsidRDefault="003754FE" w:rsidP="003754FE">
      <w:pPr>
        <w:pStyle w:val="TextoNormal"/>
      </w:pPr>
    </w:p>
    <w:p w14:paraId="539D3B98" w14:textId="77777777" w:rsidR="003754FE" w:rsidRDefault="003754FE" w:rsidP="003754FE">
      <w:pPr>
        <w:pStyle w:val="TextoNormal"/>
      </w:pPr>
      <w:r>
        <w:t>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subvenciones, en particular, la fiscalización previa por parte de la Intervención de la Junta de Andalucía. Se viene a afirmar que resulta imprevisible condenar por prevaricación y malversación conductas amparadas en lo dispuesto en el programa 31L incorporado a las leyes de presupuestos de Andalucía para los años 2002 al 2009. La Ley curaría, según la mayoría del Tribunal, todo vicio y haría inatacable la actuación de los gestores públicos, que estarían habituados para actuar al margen de cualquier procedimiento y sin el control previo exigible en cualquier disposición de fondos públicos.</w:t>
      </w:r>
    </w:p>
    <w:p w14:paraId="00B52374" w14:textId="77777777" w:rsidR="003754FE" w:rsidRDefault="003754FE" w:rsidP="003754FE">
      <w:pPr>
        <w:pStyle w:val="TextoNormal"/>
      </w:pPr>
    </w:p>
    <w:p w14:paraId="753BE60A" w14:textId="77777777" w:rsidR="003754FE" w:rsidRDefault="003754FE" w:rsidP="003754FE">
      <w:pPr>
        <w:pStyle w:val="TextoNormal"/>
      </w:pPr>
      <w:r>
        <w:t>Semejante premisa, la de la supuesta cobertura de la actuación del recurrente en la legalidad presupuestaria, descansa en una errónea apreciación del contenido de las leyes de presupuestos consideradas. No es cierto que las sentencias de la jurisdicción penal que condenaron al recurrente hayan privado de toda relevancia a la circunstancia de la aprobación parlamentaria de las sucesivas leyes de presupuestos. Lo que sucede, frente a lo que de manera incorrecta ha entendido la mayoría en la sentencia de la que disiento es que, en realidad, la introducción del programa 31L en las leyes de presupuestos andaluzas de los 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Segunda del Tribunal Supremo.</w:t>
      </w:r>
    </w:p>
    <w:p w14:paraId="7631B046" w14:textId="77777777" w:rsidR="003754FE" w:rsidRDefault="003754FE" w:rsidP="003754FE">
      <w:pPr>
        <w:pStyle w:val="TextoNormal"/>
      </w:pPr>
    </w:p>
    <w:p w14:paraId="724105D4" w14:textId="77777777" w:rsidR="003754FE" w:rsidRDefault="003754FE" w:rsidP="003754FE">
      <w:pPr>
        <w:pStyle w:val="TextoNormal"/>
      </w:pPr>
      <w:r>
        <w:t xml:space="preserve">Ambas resoluciones judiciales niegan con razón, por otra parte, el pretendido valor legal que se pretende dar a las memorias presupuestarias, informes económico-financieros y fichas del programa 31L. La ausencia de eficacia vinculante de esa documentación anexa a </w:t>
      </w:r>
      <w:r>
        <w:lastRenderedPageBreak/>
        <w:t>las leyes de presupuestos resulta corroborada por diversos instrumentos legales, como ya se señaló en el voto particular conjunto a la STC 93/2014,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meras previsiones hipotéticas” (STC 63/1986, de 21 de mayo, FJ 8). El argumento que utiliza la mayoría en la sentencia de la que discrepo, según el cual han de interpretarse las partidas presupuestarias conforme a la memoria, es fruto de un voluntarismo jurídico que no se puede compartir.</w:t>
      </w:r>
    </w:p>
    <w:p w14:paraId="1051D44C" w14:textId="77777777" w:rsidR="003754FE" w:rsidRDefault="003754FE" w:rsidP="003754FE">
      <w:pPr>
        <w:pStyle w:val="TextoNormal"/>
      </w:pPr>
    </w:p>
    <w:p w14:paraId="04F892AF" w14:textId="77777777" w:rsidR="003754FE" w:rsidRDefault="003754FE" w:rsidP="003754FE">
      <w:pPr>
        <w:pStyle w:val="TextoNormal"/>
      </w:pPr>
      <w:r>
        <w:t>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correspondiente ley de presupuestos, excluyera la aplicación de la normativa general en materia de subvenciones.</w:t>
      </w:r>
    </w:p>
    <w:p w14:paraId="18AE9B63" w14:textId="77777777" w:rsidR="003754FE" w:rsidRDefault="003754FE" w:rsidP="003754FE">
      <w:pPr>
        <w:pStyle w:val="TextoNormal"/>
      </w:pPr>
    </w:p>
    <w:p w14:paraId="58C51F2E" w14:textId="77777777" w:rsidR="003754FE" w:rsidRDefault="003754FE" w:rsidP="003754FE">
      <w:pPr>
        <w:pStyle w:val="TextoNormal"/>
      </w:pPr>
      <w:r>
        <w:t>Habida cuenta de lo anterior, no parece que la respuesta penal a la actuación del recurrente pueda calificarse de imprevisible. La razón de la condena del recurrente es clara: como con arreglo a la Ley del Parlamento de Andalucía 5/1983, general de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los altos cargos de la Junta de Andalucía implicados en la trama idearon como solución para eludir esos controles incluir una nueva partida en los presupuestos titulada de manera indeterminada para sus propios fines, eludiendo de este modo los controles exigibles con arreglo a una legalidad que no fue derogada por lo dispuesto en las leyes de presupuestos andaluzas de los años 2002 a 2009.</w:t>
      </w:r>
    </w:p>
    <w:p w14:paraId="3E5D8B09" w14:textId="77777777" w:rsidR="003754FE" w:rsidRDefault="003754FE" w:rsidP="003754FE">
      <w:pPr>
        <w:pStyle w:val="TextoNormal"/>
      </w:pPr>
    </w:p>
    <w:p w14:paraId="07558A7C" w14:textId="77777777" w:rsidR="003754FE" w:rsidRDefault="003754FE" w:rsidP="003754FE">
      <w:pPr>
        <w:pStyle w:val="TextoNormal"/>
      </w:pPr>
      <w:r>
        <w:t xml:space="preserve">Ciertamente, las cosas podrían haber sucedido de otro modo. Las leyes de presupuestos andaluzas hubieran podido derogar esa legalidad, o excluirla para la concesión de esas ayudas, como hizo luego el Decreto-ley 4/2012 en la llamada “tercera etapa” de los ERE (primer bloque de los fundamentos de Derecho de la sentencia del Tribunal Supremo, “Resumen de los hechos probados”), cuyo artículo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w:t>
      </w:r>
      <w:r>
        <w:lastRenderedPageBreak/>
        <w:t>a disponer, después, libérrimamente de los fondos incluidos en la partida 440 del programa 31L y solo y exclusivamente en esa partida.</w:t>
      </w:r>
    </w:p>
    <w:p w14:paraId="7A58DB6A" w14:textId="77777777" w:rsidR="003754FE" w:rsidRDefault="003754FE" w:rsidP="003754FE">
      <w:pPr>
        <w:pStyle w:val="TextoNormal"/>
      </w:pPr>
    </w:p>
    <w:p w14:paraId="56AF5DB8" w14:textId="77777777" w:rsidR="003754FE" w:rsidRDefault="003754FE" w:rsidP="003754FE">
      <w:pPr>
        <w:pStyle w:val="TextoNormal"/>
      </w:pPr>
      <w:r>
        <w:t>La consecuencia de ello es que las conductas enjuiciadas del recurrente fueron correctamente subsumidas en el delito de malversación en concurso ideal con el precedente de prevaricación, no solo porque el programa 31L. no concedía una cobertura legal para conceder ayudas con elusión de los controles previstos en la normativa subvencional, pues nada se establecía en las leyes de presupuestos en tal sentido, sino porque, en todo caso, con la omisión de aquellos controles se dispuso libremente de las ingentes cantidades dinerarias a las que se refieren los hechos probados de la sentencia condenatoria de la Audiencia Provincial de Sevilla, confirmada en casación por la Sala de lo Penal del Tribunal Supremo.</w:t>
      </w:r>
    </w:p>
    <w:p w14:paraId="620C59B2" w14:textId="77777777" w:rsidR="003754FE" w:rsidRDefault="003754FE" w:rsidP="003754FE">
      <w:pPr>
        <w:pStyle w:val="TextoNormal"/>
      </w:pPr>
    </w:p>
    <w:p w14:paraId="57B26AEE" w14:textId="77777777" w:rsidR="003754FE" w:rsidRDefault="003754FE" w:rsidP="003754FE">
      <w:pPr>
        <w:pStyle w:val="TextoNormal"/>
      </w:pPr>
      <w:r>
        <w:t xml:space="preserve">3. </w:t>
      </w:r>
      <w:r w:rsidRPr="003754FE">
        <w:rPr>
          <w:i/>
        </w:rPr>
        <w:t>La presente sentencia desconoce los principios constitucionales rectores del gasto público y su control</w:t>
      </w:r>
    </w:p>
    <w:p w14:paraId="59AFFDBF" w14:textId="77777777" w:rsidR="003754FE" w:rsidRDefault="003754FE" w:rsidP="003754FE">
      <w:pPr>
        <w:pStyle w:val="TextoNormal"/>
      </w:pPr>
    </w:p>
    <w:p w14:paraId="47AA0216" w14:textId="77777777" w:rsidR="003754FE" w:rsidRDefault="003754FE" w:rsidP="003754FE">
      <w:pPr>
        <w:pStyle w:val="TextoNormal"/>
      </w:pPr>
      <w:r>
        <w:t>En un precepto original en el Derecho Constitucional contemporáneo, la Constitución en su artículo 31.2 establece que “el gasto público realizará una asignación equitativa de los recursos públicos, y su programación y ejecución responderán a los criterios de eficiencia y economía”.</w:t>
      </w:r>
    </w:p>
    <w:p w14:paraId="1E521F77" w14:textId="77777777" w:rsidR="003754FE" w:rsidRDefault="003754FE" w:rsidP="003754FE">
      <w:pPr>
        <w:pStyle w:val="TextoNormal"/>
      </w:pPr>
    </w:p>
    <w:p w14:paraId="52CA1AF8" w14:textId="77777777" w:rsidR="003754FE" w:rsidRDefault="003754FE" w:rsidP="003754FE">
      <w:pPr>
        <w:pStyle w:val="TextoNormal"/>
      </w:pPr>
      <w:r>
        <w:t>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puede hacer el Estado a través del Tribunal de Cuentas sobre la actividad financiera de las corporaciones locales. Pueden coexistir y superponerse, sin perjuicio de “evitar duplicidades innecesarias o disfuncionalidades”, que serían contrarias al art. 31.2 CE. También en la STC 204/1992, de 26 de noviembre, sobre los Consejos consultivos autonómicos y el Consejo de Estado, si bien aquí el Tribunal añade al art. 31.2 CE el art. 103.1 CE, que obliga a la administración pública a actuar con sujeción tanto al principio de legalidad (lo que incluye la legalidad presupuestaria, claro está), como al principio de eficacia administrativa).</w:t>
      </w:r>
    </w:p>
    <w:p w14:paraId="05D08D71" w14:textId="77777777" w:rsidR="003754FE" w:rsidRDefault="003754FE" w:rsidP="003754FE">
      <w:pPr>
        <w:pStyle w:val="TextoNormal"/>
      </w:pPr>
    </w:p>
    <w:p w14:paraId="71165319" w14:textId="77777777" w:rsidR="003754FE" w:rsidRDefault="003754FE" w:rsidP="003754FE">
      <w:pPr>
        <w:pStyle w:val="TextoNormal"/>
      </w:pPr>
      <w:r>
        <w:t>Pero, sin duda, el pronunciamiento más importante se contiene en la STC 45/2017, de 27 de abril, en la que se afirma que “la actividad financiera de las distintas Haciendas ha de asegurar los principios constitucionales que, conforme a nuestra Constitución han de regir el gasto público: legalidad (art. 133.4 CE), eficiencia y economía (art. 31.2 CE), asignación equitativa de los recursos públicos (art. 31.2 CE), subordinación de la riqueza […] al interés general (art. 128.1 CE), estabilidad presupuestaria (art. 135 CE) y control (art. 136 CE)”.</w:t>
      </w:r>
    </w:p>
    <w:p w14:paraId="1ADD43BE" w14:textId="77777777" w:rsidR="003754FE" w:rsidRDefault="003754FE" w:rsidP="003754FE">
      <w:pPr>
        <w:pStyle w:val="TextoNormal"/>
      </w:pPr>
    </w:p>
    <w:p w14:paraId="0DCC238D" w14:textId="77777777" w:rsidR="003754FE" w:rsidRDefault="003754FE" w:rsidP="003754FE">
      <w:pPr>
        <w:pStyle w:val="TextoNormal"/>
      </w:pPr>
      <w:r>
        <w:t xml:space="preserve">Sobre el principio de legalidad (que la sentencia presenta como respetado y salutífero para el recurrente) ya me he expresado, sin perjuicio de volver después. Me importa detenerme ahora en los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pagos. Ello queda confirmado, por lo demás, en un precepto transversal de nuestra Constitución, íntimamente ligado, entre otros, al citado art. 31.2 CE, y que no es otro que el también citado art. 103.1 CE, a cuyo tenor “la administración pública sirve con objetividad </w:t>
      </w:r>
      <w:r>
        <w:lastRenderedPageBreak/>
        <w:t>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14:paraId="24897DE2" w14:textId="77777777" w:rsidR="003754FE" w:rsidRDefault="003754FE" w:rsidP="003754FE">
      <w:pPr>
        <w:pStyle w:val="TextoNormal"/>
      </w:pPr>
    </w:p>
    <w:p w14:paraId="18EB889D" w14:textId="77777777" w:rsidR="003754FE" w:rsidRDefault="003754FE" w:rsidP="003754FE">
      <w:pPr>
        <w:pStyle w:val="TextoNormal"/>
      </w:pPr>
      <w: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enunciadas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w:t>
      </w:r>
      <w:r w:rsidRPr="003754FE">
        <w:rPr>
          <w:i/>
        </w:rPr>
        <w:t>in fine</w:t>
      </w:r>
      <w:r>
        <w:t xml:space="preserve"> que el sometimiento de la administración pública a la ley y al Derecho sea pleno, o sea completo, sin excepción ni matiz, lo que corrobora el enunciado del art. 106.1 CE.</w:t>
      </w:r>
    </w:p>
    <w:p w14:paraId="45CADB49" w14:textId="77777777" w:rsidR="003754FE" w:rsidRDefault="003754FE" w:rsidP="003754FE">
      <w:pPr>
        <w:pStyle w:val="TextoNormal"/>
      </w:pPr>
    </w:p>
    <w:p w14:paraId="4994A0F0" w14:textId="77777777" w:rsidR="003754FE" w:rsidRDefault="003754FE" w:rsidP="003754FE">
      <w:pPr>
        <w:pStyle w:val="TextoNormal"/>
      </w:pPr>
      <w:r>
        <w:t>Adelanto ya que las conclusiones a las que llega la sentencia de este tribunal de la que disiento no se acomodan a estos principios constitucionales, pues se asientan en la incertidumbre jurídica, en la irresponsabilidad, y en la falta de objetividad y de transparencia de la administración pública.</w:t>
      </w:r>
    </w:p>
    <w:p w14:paraId="1A8A6C41" w14:textId="77777777" w:rsidR="003754FE" w:rsidRDefault="003754FE" w:rsidP="003754FE">
      <w:pPr>
        <w:pStyle w:val="TextoNormal"/>
      </w:pPr>
    </w:p>
    <w:p w14:paraId="6394C94A" w14:textId="77777777" w:rsidR="003754FE" w:rsidRDefault="003754FE" w:rsidP="003754FE">
      <w:pPr>
        <w:pStyle w:val="TextoNormal"/>
      </w:pPr>
      <w:r>
        <w:t xml:space="preserve">La sentencia de este tribunal descubre con la linterna de Diógenes el argumento de la salvadora ley de presupuestos que todo lo ampara y que borra toda responsabilidad penal en la conducta del recurrente y el resto de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w:t>
      </w:r>
      <w:r w:rsidRPr="003754FE">
        <w:rPr>
          <w:i/>
        </w:rPr>
        <w:t>ius</w:t>
      </w:r>
      <w:r>
        <w:t xml:space="preserve">. La ley no agota el ámbito del Derecho, que es algo más. Y en ese algo más están desde luego los principios actuales de actuación de las administraciones públicas, que enuncian muy en particular los arts. 9.3, 31.2, 103.1, 105 y 106.1 CE, y los propios principios generales del Derecho, que no tienen por qué ser norma escrita y que sintetizan nuestra cultura jurídica, que es la propia de un Estado constitucional y democrático de Derecho (art. 1.1 CE). Y, por supuesto, en el </w:t>
      </w:r>
      <w:r w:rsidRPr="003754FE">
        <w:rPr>
          <w:i/>
        </w:rPr>
        <w:t>ius</w:t>
      </w:r>
      <w:r>
        <w:t xml:space="preserve"> están también los principios del Derecho de la Unión Europea, a los que luego me referiré.</w:t>
      </w:r>
    </w:p>
    <w:p w14:paraId="01C833D4" w14:textId="77777777" w:rsidR="003754FE" w:rsidRDefault="003754FE" w:rsidP="003754FE">
      <w:pPr>
        <w:pStyle w:val="TextoNormal"/>
      </w:pPr>
    </w:p>
    <w:p w14:paraId="498679F8" w14:textId="77777777" w:rsidR="003754FE" w:rsidRDefault="003754FE" w:rsidP="003754FE">
      <w:pPr>
        <w:pStyle w:val="TextoNormal"/>
      </w:pPr>
      <w:r>
        <w:t xml:space="preserve">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no es nunca ilimitado ni puede ejercerse al puro arbitrio o capricho de quienes lo lleven a </w:t>
      </w:r>
      <w:r>
        <w:lastRenderedPageBreak/>
        <w:t>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14:paraId="317B6ADA" w14:textId="77777777" w:rsidR="003754FE" w:rsidRDefault="003754FE" w:rsidP="003754FE">
      <w:pPr>
        <w:pStyle w:val="TextoNormal"/>
      </w:pPr>
    </w:p>
    <w:p w14:paraId="2E880CFA" w14:textId="77777777" w:rsidR="003754FE" w:rsidRDefault="003754FE" w:rsidP="003754FE">
      <w:pPr>
        <w:pStyle w:val="TextoNormal"/>
      </w:pPr>
      <w:r>
        <w:t xml:space="preserve">4. </w:t>
      </w:r>
      <w:r w:rsidRPr="003754FE">
        <w:rPr>
          <w:i/>
        </w:rPr>
        <w:t>Sobre la aplicación de los principios del Derecho de la Unión Europea en materia de control del gasto público, como dique de contención en la lucha contra el fraude y la corrupción política</w:t>
      </w:r>
    </w:p>
    <w:p w14:paraId="5D715550" w14:textId="77777777" w:rsidR="003754FE" w:rsidRDefault="003754FE" w:rsidP="003754FE">
      <w:pPr>
        <w:pStyle w:val="TextoNormal"/>
      </w:pPr>
    </w:p>
    <w:p w14:paraId="5930F659" w14:textId="77777777" w:rsidR="003754FE" w:rsidRDefault="003754FE" w:rsidP="003754FE">
      <w:pPr>
        <w:pStyle w:val="TextoNormal"/>
      </w:pPr>
      <w:r>
        <w:t>Si bien el Derecho de la Unión Europea no es directamente aplicable en el asunto que nos ocupa, al no tener los fondos públicos malversados origen comunitario, no puede desconocerse que los principios del Derecho de la Unión sobre el control del gasto público son muy relevantes para analizar la regularidad de la actuación de los gestores de los caudales públicos. En tal sentido, no me parece aventurado afirmar que esa gestión, en el conocido como “caso de los ERE de Andalucía”, y como se desprende de las sentencias condenatorias que se impugnan en amparo, ha sido contraria no solo a los principios del Derecho interno, sino también a los principios del Derecho de la Unión Europea.</w:t>
      </w:r>
    </w:p>
    <w:p w14:paraId="0F724C64" w14:textId="77777777" w:rsidR="003754FE" w:rsidRDefault="003754FE" w:rsidP="003754FE">
      <w:pPr>
        <w:pStyle w:val="TextoNormal"/>
      </w:pPr>
    </w:p>
    <w:p w14:paraId="090FD4CD" w14:textId="77777777" w:rsidR="003754FE" w:rsidRDefault="003754FE" w:rsidP="003754FE">
      <w:pPr>
        <w:pStyle w:val="TextoNormal"/>
      </w:pPr>
      <w:r>
        <w:t>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peligro los intereses financieros del poder público y sería, contraria al Derecho de la Unión Europea.</w:t>
      </w:r>
    </w:p>
    <w:p w14:paraId="676E108E" w14:textId="77777777" w:rsidR="003754FE" w:rsidRDefault="003754FE" w:rsidP="003754FE">
      <w:pPr>
        <w:pStyle w:val="TextoNormal"/>
      </w:pPr>
    </w:p>
    <w:p w14:paraId="6514EA0C" w14:textId="77777777" w:rsidR="003754FE" w:rsidRDefault="003754FE" w:rsidP="003754FE">
      <w:pPr>
        <w:pStyle w:val="TextoNormal"/>
      </w:pPr>
      <w: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el fraude. Conforme al art. 325 del Tratado de funcionamiento de la Unión Europea (TFUE), relativo a la lucha contra el fraude, “1. La Unión y los Estados miembros </w:t>
      </w:r>
      <w:r w:rsidRPr="003754FE">
        <w:rPr>
          <w:i/>
        </w:rPr>
        <w:t>combatirán el fraude y toda actividad ilegal</w:t>
      </w:r>
      <w:r>
        <w:t xml:space="preserve"> que afecte a los intereses financieros de la Unión mediante medidas adoptadas en virtud de lo dispuesto en el presente artículo, que deberán tener un </w:t>
      </w:r>
      <w:r w:rsidRPr="003754FE">
        <w:rPr>
          <w:i/>
        </w:rPr>
        <w:t>efecto disuasorio</w:t>
      </w:r>
      <w:r>
        <w:t xml:space="preserve"> y ser capaces de ofrecer una protección eficaz en los Estados miembros y en las instituciones, órganos y organismos de la Unión. 2. Los Estados miembros adoptarán para combatir el fraude que afecte a los intereses financieros de la Unión </w:t>
      </w:r>
      <w:r w:rsidRPr="003754FE">
        <w:rPr>
          <w:i/>
        </w:rPr>
        <w:t>las mismas medidas</w:t>
      </w:r>
      <w:r>
        <w:t xml:space="preserve"> que para combatir el fraude que afecte a sus propios intereses financieros”.</w:t>
      </w:r>
    </w:p>
    <w:p w14:paraId="04DE88AA" w14:textId="77777777" w:rsidR="003754FE" w:rsidRDefault="003754FE" w:rsidP="003754FE">
      <w:pPr>
        <w:pStyle w:val="TextoNormal"/>
      </w:pPr>
    </w:p>
    <w:p w14:paraId="1A2E537D" w14:textId="77777777" w:rsidR="003754FE" w:rsidRDefault="003754FE" w:rsidP="003754FE">
      <w:pPr>
        <w:pStyle w:val="TextoNormal"/>
      </w:pPr>
      <w:r>
        <w:t xml:space="preserve">En cuanto a los principios que debe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STJUE de 21 de diciembre de 2021, </w:t>
      </w:r>
      <w:r w:rsidRPr="003754FE">
        <w:rPr>
          <w:i/>
        </w:rPr>
        <w:t>Euro Box Promotion y otros</w:t>
      </w:r>
      <w:r>
        <w:t xml:space="preserve">, asuntos acumulados C‑357/19, C‑379/19, C‑547/19, C‑811/19 y </w:t>
      </w:r>
      <w:r>
        <w:lastRenderedPageBreak/>
        <w:t>C‑840/19 (y jurisprudencia citada en esta), recordando las líneas más importantes de esa doctrina, de las que interesa destacar las siguientes:</w:t>
      </w:r>
    </w:p>
    <w:p w14:paraId="50DE5CC1" w14:textId="77777777" w:rsidR="003754FE" w:rsidRDefault="003754FE" w:rsidP="003754FE">
      <w:pPr>
        <w:pStyle w:val="TextoNormal"/>
      </w:pPr>
    </w:p>
    <w:p w14:paraId="19401D4C" w14:textId="77777777" w:rsidR="003754FE" w:rsidRDefault="003754FE" w:rsidP="003754FE">
      <w:pPr>
        <w:pStyle w:val="TextoNormal"/>
      </w:pPr>
      <w:r>
        <w:t xml:space="preserve">a) Por lo que se refiere a las obligaciones derivadas del art. 325.1 TFUE, esta disposición impone a los Estados miembros el deber de luchar contra el fraude y </w:t>
      </w:r>
      <w:r w:rsidRPr="003754FE">
        <w:rPr>
          <w:i/>
        </w:rPr>
        <w:t>toda actividad ilegal que afecte a los intereses financieros</w:t>
      </w:r>
      <w:r>
        <w:t xml:space="preserve"> de la Unión mediante medidas disuasorias y eficaces. Medidas de lucha que deben ser equivalentes a las medidas implementadas en el ámbito nacional.</w:t>
      </w:r>
    </w:p>
    <w:p w14:paraId="518FE273" w14:textId="77777777" w:rsidR="003754FE" w:rsidRDefault="003754FE" w:rsidP="003754FE">
      <w:pPr>
        <w:pStyle w:val="TextoNormal"/>
      </w:pPr>
    </w:p>
    <w:p w14:paraId="48901B0E" w14:textId="77777777" w:rsidR="003754FE" w:rsidRDefault="003754FE" w:rsidP="003754FE">
      <w:pPr>
        <w:pStyle w:val="TextoNormal"/>
      </w:pPr>
      <w:r>
        <w:t xml:space="preserve">b) Por otra parte, en lo referente a la expresión “toda actividad ilegal”, que figura en el art. 325.1 TFUE, recuerda el Tribunal de Justicia que ese concepto comprende en particular todo acto de corrupción de los funcionarios o todo </w:t>
      </w:r>
      <w:r w:rsidRPr="003754FE">
        <w:rPr>
          <w:i/>
        </w:rPr>
        <w:t>abuso</w:t>
      </w:r>
      <w:r>
        <w:t xml:space="preserve">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acción, como ocurre, por ejemplo, </w:t>
      </w:r>
      <w:r w:rsidRPr="003754FE">
        <w:rPr>
          <w:i/>
        </w:rPr>
        <w:t>con la omisión por parte de un funcionario de efectuar los controles y las comprobaciones exigidas respecto de los gastos cubiertos por el presupuesto de la Unión o la autorización de gastos inadecuados o incorrectos de los fondos de la Unión</w:t>
      </w:r>
      <w:r>
        <w:t>.</w:t>
      </w:r>
    </w:p>
    <w:p w14:paraId="2B19E1B3" w14:textId="77777777" w:rsidR="003754FE" w:rsidRDefault="003754FE" w:rsidP="003754FE">
      <w:pPr>
        <w:pStyle w:val="TextoNormal"/>
      </w:pPr>
    </w:p>
    <w:p w14:paraId="69A49CC7" w14:textId="77777777" w:rsidR="003754FE" w:rsidRDefault="003754FE" w:rsidP="003754FE">
      <w:pPr>
        <w:pStyle w:val="TextoNormal"/>
      </w:pPr>
      <w:r>
        <w:t xml:space="preserve">c) Además, subraya el Tribunal de Justicia que los Estados deben garantizar que las normas de Derecho penal y de procedimiento penal permitan una represión eficaz de los delitos de fraude que afecten a los intereses financieros de la Unión y </w:t>
      </w:r>
      <w:r w:rsidRPr="003754FE">
        <w:rPr>
          <w:i/>
        </w:rPr>
        <w:t>de corrupción en general</w:t>
      </w:r>
      <w:r>
        <w:t xml:space="preserve">. Esta exigencia de efectividad se extiende necesariamente tanto a las acciones penales y a las sanciones de los delitos de fraude que afecten a los intereses financieros de la Unión y de </w:t>
      </w:r>
      <w:r w:rsidRPr="003754FE">
        <w:rPr>
          <w:i/>
        </w:rPr>
        <w:t>corrupción en general</w:t>
      </w:r>
      <w:r>
        <w:t xml:space="preserve"> como a la aplicación de las penas impuestas, en la medida en que, de no existir una ejecución efectiva de las sanciones, estas no pueden ser eficaces y disuasorias; todo ello para evitar un </w:t>
      </w:r>
      <w:r w:rsidRPr="003754FE">
        <w:rPr>
          <w:i/>
        </w:rPr>
        <w:t>riesgo sistémico de impunidad</w:t>
      </w:r>
      <w:r>
        <w:t xml:space="preserve"> de los hechos constitutivos de tales delitos, así como garantizar la protección de los derechos fundamentales de las personas acusadas.</w:t>
      </w:r>
    </w:p>
    <w:p w14:paraId="2E1A2FCA" w14:textId="77777777" w:rsidR="003754FE" w:rsidRDefault="003754FE" w:rsidP="003754FE">
      <w:pPr>
        <w:pStyle w:val="TextoNormal"/>
      </w:pPr>
    </w:p>
    <w:p w14:paraId="7AD4AE90" w14:textId="77777777" w:rsidR="003754FE" w:rsidRDefault="003754FE" w:rsidP="003754FE">
      <w:pPr>
        <w:pStyle w:val="TextoNormal"/>
      </w:pPr>
      <w:r>
        <w:t xml:space="preserve">Por otra parte, a los órganos jurisdiccionales nacionales les corresponde dar plenos efectos a las obligaciones que resultan del art. 325.1 TFUE, así como de la Decisión 2006/928, y </w:t>
      </w:r>
      <w:r w:rsidRPr="003754FE">
        <w:rPr>
          <w:i/>
        </w:rPr>
        <w:t>dejar sin aplicación disposiciones internas que, en el marco de un procedimiento relativo a delitos graves de fraude que afecten a los intereses financieros de la Unión o a delitos de corrupción en general, impiden la aplicación de sanciones eficaces y disuasorias para luchar contra tales delitos</w:t>
      </w:r>
      <w:r>
        <w:t>.</w:t>
      </w:r>
    </w:p>
    <w:p w14:paraId="6103D126" w14:textId="77777777" w:rsidR="003754FE" w:rsidRDefault="003754FE" w:rsidP="003754FE">
      <w:pPr>
        <w:pStyle w:val="TextoNormal"/>
      </w:pPr>
    </w:p>
    <w:p w14:paraId="71A88CA0" w14:textId="77777777" w:rsidR="003754FE" w:rsidRDefault="003754FE" w:rsidP="003754FE">
      <w:pPr>
        <w:pStyle w:val="TextoNormal"/>
      </w:pPr>
      <w:r>
        <w:t xml:space="preserve">Pues bien, teniendo en cuenta que, </w:t>
      </w:r>
      <w:r w:rsidRPr="003754FE">
        <w:rPr>
          <w:i/>
        </w:rPr>
        <w:t>ex</w:t>
      </w:r>
      <w:r>
        <w:t xml:space="preserve">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el recurrente. Lo que entre otras cosas significa que no existe razón para entender que el control interno de esa gestión de fondos públicos deba ser menos intenso que el que se aplicaría si los fondos malversados hubieran sido europeos.</w:t>
      </w:r>
    </w:p>
    <w:p w14:paraId="16223D28" w14:textId="77777777" w:rsidR="003754FE" w:rsidRDefault="003754FE" w:rsidP="003754FE">
      <w:pPr>
        <w:pStyle w:val="TextoNormal"/>
      </w:pPr>
    </w:p>
    <w:p w14:paraId="3FDB2425" w14:textId="77777777" w:rsidR="003754FE" w:rsidRDefault="003754FE" w:rsidP="003754FE">
      <w:pPr>
        <w:pStyle w:val="TextoNormal"/>
      </w:pPr>
      <w:r>
        <w:t>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el recurrente y el resto de implicados de la Junta de Andalucía pretendiesen a partir de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14:paraId="761F5D0A" w14:textId="77777777" w:rsidR="003754FE" w:rsidRDefault="003754FE" w:rsidP="003754FE">
      <w:pPr>
        <w:pStyle w:val="TextoNormal"/>
      </w:pPr>
    </w:p>
    <w:p w14:paraId="3466D851" w14:textId="77777777" w:rsidR="003754FE" w:rsidRDefault="003754FE" w:rsidP="003754FE">
      <w:pPr>
        <w:pStyle w:val="TextoNormal"/>
      </w:pPr>
      <w:r>
        <w:t>En todo caso, es cierto que ha quedado acreditado, como resulta de las sentencias impugnadas en amparo, que en el conocido como “caso de los ERE de Andalucía”, se buscó de manera intencionada la elusión de los controles ordinarios del gasto público, lo que supuso 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14:paraId="5FCBA796" w14:textId="77777777" w:rsidR="003754FE" w:rsidRDefault="003754FE" w:rsidP="003754FE">
      <w:pPr>
        <w:pStyle w:val="TextoNormal"/>
      </w:pPr>
    </w:p>
    <w:p w14:paraId="1FF66CAC" w14:textId="77777777" w:rsidR="003754FE" w:rsidRDefault="003754FE" w:rsidP="003754FE">
      <w:pPr>
        <w:pStyle w:val="TextoNormal"/>
      </w:pPr>
      <w:r>
        <w:t>En definitiva, llama poderosamente la atención el elocuente contraste entre la protección reforzada que la Unión Europea atribuye al delito de malversación de caudales públicos y la respuesta dada por esta y las restantes sentencias de este tribunal a uno de los casos más graves de corrupción política institucionalizada en España. Una sentencia que no ha dudado en desbordar los límites del control que a este tribunal corresponden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penal que no puede calificarse de imprevisible ni irrazonable, habían condenado al demandante de amparo como autor de un delito de prevaricación en concurso medial con un delito de malversación. Por eso, resulta especialmente difícil conciliar la decisión de la sentencia de este tribunal, que conduce a la postre a dejar impunes unas conductas de especial gravedad cometidas por unos concretos responsables políticos en el desempeño de sus funciones públicas, con el esfuerzo de la Unión Europea por eliminar márgenes de impunidad para los malversadores.</w:t>
      </w:r>
    </w:p>
    <w:p w14:paraId="4932E636" w14:textId="77777777" w:rsidR="003754FE" w:rsidRDefault="003754FE" w:rsidP="003754FE">
      <w:pPr>
        <w:pStyle w:val="TextoNormal"/>
      </w:pPr>
    </w:p>
    <w:p w14:paraId="7DC1C693" w14:textId="77777777" w:rsidR="003754FE" w:rsidRDefault="003754FE" w:rsidP="003754FE">
      <w:pPr>
        <w:pStyle w:val="TextoNormal"/>
      </w:pPr>
      <w:r>
        <w:t xml:space="preserve">5. </w:t>
      </w:r>
      <w:r w:rsidRPr="003754FE">
        <w:rPr>
          <w:i/>
        </w:rPr>
        <w:t>Colofón: las sentencias impugnadas en amparo no vulneraron el derecho del recurrente a la legalidad penal</w:t>
      </w:r>
    </w:p>
    <w:p w14:paraId="2F2EB929" w14:textId="77777777" w:rsidR="003754FE" w:rsidRDefault="003754FE" w:rsidP="003754FE">
      <w:pPr>
        <w:pStyle w:val="TextoNormal"/>
      </w:pPr>
    </w:p>
    <w:p w14:paraId="3735ABD5" w14:textId="77777777" w:rsidR="003754FE" w:rsidRDefault="003754FE" w:rsidP="003754FE">
      <w:pPr>
        <w:pStyle w:val="TextoNormal"/>
      </w:pPr>
      <w:r>
        <w:t xml:space="preserve">Como conclusión a cuanto ha quedado antes expuesto, considero que las sentencias recurridas en amparo han efectuado una interpretación razonada de los elementos típicos del delito de malversación (también del delito de prevaricación) y que su aplicación al caso en dichas resoluciones judiciales supera sin dificultad el canon de control referido a la </w:t>
      </w:r>
      <w:r>
        <w:lastRenderedPageBreak/>
        <w:t>prohibición de interpretaciones “ilógicas” o “arbitrarias” que impone el art. 25.1 CE, conforme a la doctrina consolidada de este tribunal. La subsunción de la conducta del recurrente, a partir de los hechos declarados probados [sobre los que a este tribunal nada le cabe decir: art. 44.1 b) LOTC], en los delitos de prevaricación y malversación, que han efectuado la Audiencia Provincial de Sevilla y especialmente el Tribunal Supremo como órgano jurisdiccional superior en la materia (art. 123.1 CE), no es irrazonable ni imprevisible ni, por consiguiente, contraria al derecho fundamental a la legalidad penal que garantiza el art. 25.1 CE.</w:t>
      </w:r>
    </w:p>
    <w:p w14:paraId="2AEDE18E" w14:textId="77777777" w:rsidR="003754FE" w:rsidRDefault="003754FE" w:rsidP="003754FE">
      <w:pPr>
        <w:pStyle w:val="TextoNormal"/>
      </w:pPr>
    </w:p>
    <w:p w14:paraId="60250B43" w14:textId="77777777" w:rsidR="003754FE" w:rsidRDefault="003754FE" w:rsidP="003754FE">
      <w:pPr>
        <w:pStyle w:val="TextoNormal"/>
      </w:pPr>
      <w:r>
        <w:t>Por todo ello, considero que el recurso de amparo debió ser íntegramente desestimado.</w:t>
      </w:r>
    </w:p>
    <w:p w14:paraId="6365ADE6" w14:textId="77777777" w:rsidR="003754FE" w:rsidRDefault="003754FE" w:rsidP="003754FE">
      <w:pPr>
        <w:pStyle w:val="TextoNormal"/>
      </w:pPr>
    </w:p>
    <w:p w14:paraId="32475AB0" w14:textId="77777777" w:rsidR="003754FE" w:rsidRDefault="003754FE" w:rsidP="003754FE">
      <w:pPr>
        <w:pStyle w:val="TextoNormal"/>
      </w:pPr>
      <w:r>
        <w:t>6</w:t>
      </w:r>
      <w:r w:rsidRPr="003754FE">
        <w:rPr>
          <w:i/>
        </w:rPr>
        <w:t>. A modo de epílogo decepcionado, con una necesaria llamada de advertenc</w:t>
      </w:r>
      <w:r>
        <w:t>ia</w:t>
      </w:r>
    </w:p>
    <w:p w14:paraId="185802F8" w14:textId="77777777" w:rsidR="003754FE" w:rsidRDefault="003754FE" w:rsidP="003754FE">
      <w:pPr>
        <w:pStyle w:val="TextoNormal"/>
      </w:pPr>
    </w:p>
    <w:p w14:paraId="460D00B7" w14:textId="77777777" w:rsidR="003754FE" w:rsidRDefault="003754FE" w:rsidP="003754FE">
      <w:pPr>
        <w:pStyle w:val="TextoNormal"/>
      </w:pPr>
      <w:r>
        <w:t>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14:paraId="0D5EDD70" w14:textId="77777777" w:rsidR="003754FE" w:rsidRDefault="003754FE" w:rsidP="003754FE">
      <w:pPr>
        <w:pStyle w:val="TextoNormal"/>
      </w:pPr>
    </w:p>
    <w:p w14:paraId="6BBA2BFC" w14:textId="77777777" w:rsidR="003754FE" w:rsidRDefault="003754FE" w:rsidP="003754FE">
      <w:pPr>
        <w:pStyle w:val="TextoNormal"/>
      </w:pPr>
      <w:r>
        <w:t>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prestidigitador, pues las leyes de presupuestos andaluzas a las que se refiere la sentencia de este tribunal en ningún momento establecen aquello que esta sentencia afirma, la pretendida modificación o eliminación del régimen de controles de las ayudas y subvenciones previsto en la normativa aplicable.</w:t>
      </w:r>
    </w:p>
    <w:p w14:paraId="1F636980" w14:textId="77777777" w:rsidR="003754FE" w:rsidRDefault="003754FE" w:rsidP="003754FE">
      <w:pPr>
        <w:pStyle w:val="TextoNormal"/>
      </w:pPr>
    </w:p>
    <w:p w14:paraId="66C38096" w14:textId="77777777" w:rsidR="003754FE" w:rsidRDefault="003754FE" w:rsidP="003754FE">
      <w:pPr>
        <w:pStyle w:val="TextoNormal"/>
      </w:pPr>
      <w:r>
        <w:t>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precepto de la ley de presupuestos remite, por ser esas partidas presupuestarias necesarias para dar cumplimiento al mandato que aquel precepto contiene.</w:t>
      </w:r>
    </w:p>
    <w:p w14:paraId="401AD0DB" w14:textId="77777777" w:rsidR="003754FE" w:rsidRDefault="003754FE" w:rsidP="003754FE">
      <w:pPr>
        <w:pStyle w:val="TextoNormal"/>
      </w:pPr>
    </w:p>
    <w:p w14:paraId="1FECD1C0" w14:textId="77777777" w:rsidR="003754FE" w:rsidRDefault="003754FE" w:rsidP="003754FE">
      <w:pPr>
        <w:pStyle w:val="TextoNormal"/>
      </w:pPr>
      <w:r>
        <w:lastRenderedPageBreak/>
        <w:t>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14:paraId="7AEE877C" w14:textId="77777777" w:rsidR="003754FE" w:rsidRDefault="003754FE" w:rsidP="003754FE">
      <w:pPr>
        <w:pStyle w:val="TextoNormal"/>
      </w:pPr>
    </w:p>
    <w:p w14:paraId="795C78C1" w14:textId="77777777" w:rsidR="003754FE" w:rsidRDefault="003754FE" w:rsidP="003754FE">
      <w:pPr>
        <w:pStyle w:val="TextoNormal"/>
      </w:pPr>
      <w:r>
        <w:t>Si, como decía García de Enterría, la justicia constitucional trata los problemas políticos con criterios jurídicos, poniendo la razón, la razón del Derecho, donde otros ponen otros motivos, pasiones o subjetivismos varios, me parece incuestionable que la presente sentencia, de la que respetuosa pero enérgicamente discrepo, hace tambalearse los pilares básicos del Estado de Derecho, por cuanto:</w:t>
      </w:r>
    </w:p>
    <w:p w14:paraId="4A4E54FF" w14:textId="77777777" w:rsidR="003754FE" w:rsidRDefault="003754FE" w:rsidP="003754FE">
      <w:pPr>
        <w:pStyle w:val="TextoNormal"/>
      </w:pPr>
    </w:p>
    <w:p w14:paraId="788ADD0B" w14:textId="77777777" w:rsidR="003754FE" w:rsidRDefault="003754FE" w:rsidP="003754FE">
      <w:pPr>
        <w:pStyle w:val="TextoNormal"/>
      </w:pPr>
      <w:r>
        <w:t>(i)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14:paraId="2583D402" w14:textId="77777777" w:rsidR="003754FE" w:rsidRDefault="003754FE" w:rsidP="003754FE">
      <w:pPr>
        <w:pStyle w:val="TextoNormal"/>
      </w:pPr>
    </w:p>
    <w:p w14:paraId="21FB55A0" w14:textId="77777777" w:rsidR="003754FE" w:rsidRDefault="003754FE" w:rsidP="003754FE">
      <w:pPr>
        <w:pStyle w:val="TextoNormal"/>
      </w:pPr>
      <w:r>
        <w:t>(ii)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olvidando que la jurisdicción constitucional debe evitar (por su propia naturaleza de jurisdicción de garantías) caer por desfiladeros abruptos.</w:t>
      </w:r>
    </w:p>
    <w:p w14:paraId="105DFA12" w14:textId="77777777" w:rsidR="003754FE" w:rsidRDefault="003754FE" w:rsidP="003754FE">
      <w:pPr>
        <w:pStyle w:val="TextoNormal"/>
      </w:pPr>
    </w:p>
    <w:p w14:paraId="1902C8DB" w14:textId="77777777" w:rsidR="003754FE" w:rsidRDefault="003754FE" w:rsidP="003754FE">
      <w:pPr>
        <w:pStyle w:val="TextoNormal"/>
      </w:pPr>
      <w:r>
        <w:t>(iii) Contraviene los arts. 9.3, 31.2, 103.1, 105 y 106.1 CE, al dejar de lado los principios en que se ha de basa</w:t>
      </w:r>
      <w:r w:rsidRPr="003754FE">
        <w:rPr>
          <w:i/>
        </w:rPr>
        <w:t>r ex constitutio</w:t>
      </w:r>
      <w:r>
        <w:t>ne la actuación de la administración pública.</w:t>
      </w:r>
    </w:p>
    <w:p w14:paraId="2873DE2E" w14:textId="77777777" w:rsidR="003754FE" w:rsidRDefault="003754FE" w:rsidP="003754FE">
      <w:pPr>
        <w:pStyle w:val="TextoNormal"/>
      </w:pPr>
    </w:p>
    <w:p w14:paraId="508D59CB" w14:textId="77777777" w:rsidR="003754FE" w:rsidRDefault="003754FE" w:rsidP="003754FE">
      <w:pPr>
        <w:pStyle w:val="TextoNormal"/>
      </w:pPr>
      <w:r>
        <w:t>(iv)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14:paraId="67CED265" w14:textId="77777777" w:rsidR="003754FE" w:rsidRDefault="003754FE" w:rsidP="003754FE">
      <w:pPr>
        <w:pStyle w:val="TextoNormal"/>
      </w:pPr>
    </w:p>
    <w:p w14:paraId="7ECB6BBC" w14:textId="77777777" w:rsidR="003754FE" w:rsidRDefault="003754FE" w:rsidP="003754FE">
      <w:pPr>
        <w:pStyle w:val="TextoNormal"/>
      </w:pPr>
      <w:r>
        <w:t>(v) Y, en fin, contraviene los principios nucleares en la materia del Derecho de la Unión Europea.</w:t>
      </w:r>
    </w:p>
    <w:p w14:paraId="24FA0EC5" w14:textId="77777777" w:rsidR="003754FE" w:rsidRDefault="003754FE" w:rsidP="003754FE">
      <w:pPr>
        <w:pStyle w:val="TextoNormal"/>
      </w:pPr>
    </w:p>
    <w:p w14:paraId="67FE5049" w14:textId="77777777" w:rsidR="003754FE" w:rsidRDefault="003754FE" w:rsidP="003754FE">
      <w:pPr>
        <w:pStyle w:val="TextoNormal"/>
      </w:pPr>
      <w:r>
        <w:t xml:space="preserve">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No estará de más recordar que quien fuera presidente de este tribunal, el magistrado Tomás y Valiente, ya aludió en 1994, en una conferencia titulada “La Constitución y el Tribunal Constitucional”, a “la importancia de las deliberaciones y a </w:t>
      </w:r>
      <w:r>
        <w:lastRenderedPageBreak/>
        <w:t>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14:paraId="1679FEED" w14:textId="77777777" w:rsidR="003754FE" w:rsidRDefault="003754FE" w:rsidP="003754FE">
      <w:pPr>
        <w:pStyle w:val="TextoNormal"/>
      </w:pPr>
    </w:p>
    <w:p w14:paraId="5CD6A915" w14:textId="61359613" w:rsidR="003754FE" w:rsidRDefault="003754FE" w:rsidP="003754FE">
      <w:pPr>
        <w:pStyle w:val="TextoNormal"/>
      </w:pPr>
      <w:r>
        <w:t>Madrid, a tres de julio de dos mil veinticuatro.</w:t>
      </w:r>
    </w:p>
    <w:p w14:paraId="1227EE8B" w14:textId="77777777" w:rsidR="003754FE" w:rsidRDefault="003754FE" w:rsidP="003754FE">
      <w:pPr>
        <w:pStyle w:val="TextoNormal"/>
      </w:pPr>
    </w:p>
    <w:p w14:paraId="38F42E1C" w14:textId="77777777" w:rsidR="003754FE" w:rsidRDefault="003754FE" w:rsidP="003754FE">
      <w:pPr>
        <w:pStyle w:val="TextoNormalNegritaCentrado"/>
        <w:keepNext/>
      </w:pPr>
      <w:r>
        <w:t>Voto particular conjunto que formulan los magistrados don César Tolosa Tribiño y doña Concepción Espejel Jorquera a la sentencia dictada en el recurso de amparo núm. 2348-2023 interpuesto por don Antonio Fernández García</w:t>
      </w:r>
    </w:p>
    <w:p w14:paraId="3DD9125F" w14:textId="4BA2A080" w:rsidR="003754FE" w:rsidRDefault="003754FE" w:rsidP="003754FE">
      <w:pPr>
        <w:pStyle w:val="TextoNormalNegritaCentrado"/>
        <w:keepNext/>
      </w:pPr>
    </w:p>
    <w:p w14:paraId="0CA158A0" w14:textId="77777777" w:rsidR="003754FE" w:rsidRDefault="003754FE" w:rsidP="003754FE">
      <w:pPr>
        <w:pStyle w:val="TextoNormal"/>
      </w:pPr>
      <w:r>
        <w:t>En el ejercicio de la facultad que nos confiere el artículo 90.2 de la Ley Orgánica del Tribunal Constitucional, formulamos el presente voto particular. Consideramos que el recurso de amparo debió ser inicialmente inadmitido —como ya se expuso en el voto particular al ATC 288/2023, de 5 de junio— y una vez admitido desestimado, por las razones que se exponen a continuación.</w:t>
      </w:r>
    </w:p>
    <w:p w14:paraId="1A660FA3" w14:textId="77777777" w:rsidR="003754FE" w:rsidRDefault="003754FE" w:rsidP="003754FE">
      <w:pPr>
        <w:pStyle w:val="TextoNormal"/>
      </w:pPr>
    </w:p>
    <w:p w14:paraId="523BDCA0" w14:textId="77777777" w:rsidR="003754FE" w:rsidRDefault="003754FE" w:rsidP="003754FE">
      <w:pPr>
        <w:pStyle w:val="TextoNormal"/>
      </w:pPr>
      <w:r>
        <w:t>La presente sentencia se construye argumentalmente aplicando el razonamiento contenido en la STC 93/2024, de 19 de junio, que resolvió el recurso de amparo interpuesto por doña Magdalena Álvarez Arza (recurso de amparo 6971-2022) junto con el que se contiene en las ponencias incluidas en el mismo orden del día que resuelven los recursos de amparo interpuestos por don Miguel Ángel Serrano Aguilar (recurso de amparo 2136-2023), don Francisco Vallejo Serrano (recurso de amparo 2360-2023), don Jesús María Rodríguez Román (recurso de amparo 2361-2023) y doña Carmen Martínez Aguayo (recurso de amparo 2391-2023), en los que se reconoce bien exclusivamente la vulneración del derecho a la legalidad penal —en relación con el delito de prevaricación administrativa y/o el de malversación— y/o también del derecho a la presunción de inocencia.</w:t>
      </w:r>
    </w:p>
    <w:p w14:paraId="55C0535C" w14:textId="77777777" w:rsidR="003754FE" w:rsidRDefault="003754FE" w:rsidP="003754FE">
      <w:pPr>
        <w:pStyle w:val="TextoNormal"/>
      </w:pPr>
    </w:p>
    <w:p w14:paraId="5E8937BD" w14:textId="77777777" w:rsidR="003754FE" w:rsidRDefault="003754FE" w:rsidP="003754FE">
      <w:pPr>
        <w:pStyle w:val="TextoNormal"/>
      </w:pPr>
      <w:r>
        <w:t xml:space="preserve">1. </w:t>
      </w:r>
      <w:r w:rsidRPr="003754FE">
        <w:rPr>
          <w:i/>
        </w:rPr>
        <w:t>Consideraciones comunes a las sentencias que resuelven los indicados recursos de amparo frente a las condenas recaídas en el conocido caso de los “ERE”</w:t>
      </w:r>
    </w:p>
    <w:p w14:paraId="29EDBD64" w14:textId="77777777" w:rsidR="003754FE" w:rsidRDefault="003754FE" w:rsidP="003754FE">
      <w:pPr>
        <w:pStyle w:val="TextoNormal"/>
      </w:pPr>
    </w:p>
    <w:p w14:paraId="2819605C" w14:textId="77777777" w:rsidR="003754FE" w:rsidRDefault="003754FE" w:rsidP="003754FE">
      <w:pPr>
        <w:pStyle w:val="TextoNormal"/>
      </w:pPr>
      <w:r>
        <w:t>a) Debe indicarse que todas las sentencias que resuelven los referidos recursos de amparo relativos a las condenas por los denominados “ERE”, dan una respuesta estandarizada cuando se enfrentan a la vulneración del derecho a la legalidad penal (art. 25.1 CE) sea en su proyección a las condenas por prevaricación o por malversación y ello con independencia del contenido de las demandas e incluso prescindiendo de que tal derecho haya sido o no invocado. Existe una predeterminación argumental que margina el contenido de los recursos, se desvincula de los mismos, los orilla, procediendo incluso en relación con la vulneración del derecho a la legalidad penal a proyectar sobre el delito de malversación de caudales públicos una prohibida reconstrucción del recurso o directamente a dar respuesta a un planteamiento inexistente. Se incumple la acrisolada doctrina constitucional por la que se prohíbe la reconstrucción de oficio de la demanda y de modo expreso suplir las razones del recurrente o efectuar una labor de integración de las mismas cuando no se aportan al recurso (SSTC 123/2006, de 24 de abril, FJ 3; 196/2006, de 3 de julio, FJ 3; 74/2007, de 16 de abril, FJ 2; 42/2008, de 10 de marzo, FJ 2, y 182/2009, de 7 de septiembre, FJ 2).</w:t>
      </w:r>
    </w:p>
    <w:p w14:paraId="3A3F1283" w14:textId="77777777" w:rsidR="003754FE" w:rsidRDefault="003754FE" w:rsidP="003754FE">
      <w:pPr>
        <w:pStyle w:val="TextoNormal"/>
      </w:pPr>
    </w:p>
    <w:p w14:paraId="0074303A" w14:textId="77777777" w:rsidR="003754FE" w:rsidRDefault="003754FE" w:rsidP="003754FE">
      <w:pPr>
        <w:pStyle w:val="TextoNormal"/>
      </w:pPr>
      <w:r>
        <w:t>Las sentencias, en los motivos de amparo que estiman, efectúan una revisión de oficio de las sentencias del Tribunal Supremo desvinculándose de los argumentos de los recurrentes.</w:t>
      </w:r>
    </w:p>
    <w:p w14:paraId="0F18AB2D" w14:textId="77777777" w:rsidR="003754FE" w:rsidRDefault="003754FE" w:rsidP="003754FE">
      <w:pPr>
        <w:pStyle w:val="TextoNormal"/>
      </w:pPr>
    </w:p>
    <w:p w14:paraId="022A2497" w14:textId="77777777" w:rsidR="003754FE" w:rsidRDefault="003754FE" w:rsidP="003754FE">
      <w:pPr>
        <w:pStyle w:val="TextoNormal"/>
      </w:pPr>
      <w:r>
        <w:t xml:space="preserve">b) La doctrina plasmada en las sentencias produce el resultado de exonerar de responsabilidad a los miembros del Gobierno de la Junta de Andalucía en todo lo concerniente a la elaboración, aprobación y ejecución de los presupuestos y a las enmiendas presupuestarias o su ejecución. Los declara </w:t>
      </w:r>
      <w:r w:rsidRPr="003754FE">
        <w:rPr>
          <w:i/>
        </w:rPr>
        <w:t>de facto</w:t>
      </w:r>
      <w:r>
        <w:t xml:space="preserve"> irresponsables y extiende sobre ellos un privilegio de inviolabilidad e inmunidad. La consecuencia de dicha doctrina es la estimación de todas las demandas de amparo y seguramente ocasionará el archivo de buena parte del centenar de piezas separadas que se encuentran pendientes de enjuiciamiento.</w:t>
      </w:r>
    </w:p>
    <w:p w14:paraId="5FB86612" w14:textId="77777777" w:rsidR="003754FE" w:rsidRDefault="003754FE" w:rsidP="003754FE">
      <w:pPr>
        <w:pStyle w:val="TextoNormal"/>
      </w:pPr>
    </w:p>
    <w:p w14:paraId="30838ED1" w14:textId="77777777" w:rsidR="003754FE" w:rsidRDefault="003754FE" w:rsidP="003754FE">
      <w:pPr>
        <w:pStyle w:val="TextoNormal"/>
      </w:pPr>
      <w:r>
        <w:t xml:space="preserve">c) Tal doctrina es inasumible pues deja al margen de todo control aquello que tenga que ver con la actividad presupuestaria desde la fase inicial de elaboración de los presupuestos a la fase final de su ejecución y con ello se desprotege la indemnidad del patrimonio público, el correcto funcionamiento de la actividad patrimonial del Estado, la confianza de la sociedad en el manejo honesto de los fondos públicos, los deberes de fidelidad y transparencia que tienen los funcionarios públicos a cuyo cargo se encuentran los bienes de la administración pública. Dicha doctrina incumple las exigencias internacionales de lucha contra la corrupción política y cuando tenga proyección en la protección de los intereses financieros de la Unión Europea producirá un incumplimiento de las obligaciones de España, incompatible con lo dispuesto en el artículo 325.1 del Tratado de funcionamiento de la Unión Europea, de luchar contra el fraude y contra toda actividad ilegal que afecte a los intereses financieros de la Unión, de prevenir y combatir la corrupción en general y de prever la aplicación de sanciones eficaces y disuasorias en caso de que tales infracciones se produzcan (SSTJUE de 21 de diciembre de 2021, </w:t>
      </w:r>
      <w:r w:rsidRPr="003754FE">
        <w:rPr>
          <w:i/>
        </w:rPr>
        <w:t xml:space="preserve">Euro Box Promotion </w:t>
      </w:r>
      <w:r>
        <w:t xml:space="preserve">, asunto C-357/19, § 184-187 y 193-194, y de 24 de julio de 2023, </w:t>
      </w:r>
      <w:r w:rsidRPr="003754FE">
        <w:rPr>
          <w:i/>
        </w:rPr>
        <w:t>Lin</w:t>
      </w:r>
      <w:r>
        <w:t xml:space="preserve">, asunto C-107/23 PPU , § 83-84, 86, y 91-94 y auto de la Sala Sexta del Tribunal de Justicia de la Unión Europea de 7 de noviembre de 2022, </w:t>
      </w:r>
      <w:r w:rsidRPr="003754FE">
        <w:rPr>
          <w:i/>
        </w:rPr>
        <w:t>FX y otros</w:t>
      </w:r>
      <w:r>
        <w:t>, asuntos acumulados C‑859/19, C‑926/19 y C‑929/19, § 92).</w:t>
      </w:r>
    </w:p>
    <w:p w14:paraId="2E6B33E6" w14:textId="77777777" w:rsidR="003754FE" w:rsidRDefault="003754FE" w:rsidP="003754FE">
      <w:pPr>
        <w:pStyle w:val="TextoNormal"/>
      </w:pPr>
    </w:p>
    <w:p w14:paraId="5D4E86F9" w14:textId="77777777" w:rsidR="003754FE" w:rsidRDefault="003754FE" w:rsidP="003754FE">
      <w:pPr>
        <w:pStyle w:val="TextoNormal"/>
      </w:pPr>
      <w:r>
        <w:t>d) La impunidad que establece la sentencia se aplica: (i) a quienes elaboraron los proyectos de ley o las modificaciones presupuestarias para provisionar fondos al IFA/IDEA mediante un instrumento lícito, las “transferencias de financiación”, con la finalidad de preparar el camino para que otros miembros del Gobierno pudieran destinar tales provisiones a fines no previstos en el presupuesto, las “ayudas sociolaborales”; (ii) a quienes al ejecutar el programa presupuestario en lugar de aplicar los fondos a gastos de explotación dispusieron de los mismos de modo libérrimo como si fueran propios o permitieron conscientemente, teniendo la obligación de impedirlo, que otros efectuaran tales disposiciones.</w:t>
      </w:r>
    </w:p>
    <w:p w14:paraId="28C01821" w14:textId="77777777" w:rsidR="003754FE" w:rsidRDefault="003754FE" w:rsidP="003754FE">
      <w:pPr>
        <w:pStyle w:val="TextoNormal"/>
      </w:pPr>
    </w:p>
    <w:p w14:paraId="57213D7A" w14:textId="77777777" w:rsidR="003754FE" w:rsidRDefault="003754FE" w:rsidP="003754FE">
      <w:pPr>
        <w:pStyle w:val="TextoNormal"/>
      </w:pPr>
      <w:r>
        <w:t xml:space="preserve">e) En todos los casos esa irresponsabilidad e imposibilidad de control se apoya en una construcción artificiosa a modo de </w:t>
      </w:r>
      <w:r w:rsidRPr="003754FE">
        <w:rPr>
          <w:i/>
        </w:rPr>
        <w:t>mantra</w:t>
      </w:r>
      <w:r>
        <w:t xml:space="preserve"> jurídico que carece de sustento racional y de apoyo en la sentencia del Tribunal Supremo y que se repite en todas las sentencias como piedra angular para afirmar la vulneración del derecho a la legalidad penal: quien obra amparado por la ley de presupuestos no puede prevaricar ni puede malversar caudales públicos.</w:t>
      </w:r>
    </w:p>
    <w:p w14:paraId="0AF4D10B" w14:textId="77777777" w:rsidR="003754FE" w:rsidRDefault="003754FE" w:rsidP="003754FE">
      <w:pPr>
        <w:pStyle w:val="TextoNormal"/>
      </w:pPr>
    </w:p>
    <w:p w14:paraId="275EB306" w14:textId="77777777" w:rsidR="003754FE" w:rsidRDefault="003754FE" w:rsidP="003754FE">
      <w:pPr>
        <w:pStyle w:val="TextoNormal"/>
      </w:pPr>
      <w:r>
        <w:t xml:space="preserve">Sin embargo, ninguno de los condenados estaba amparado por las sucesivas leyes de presupuestos para cometer los delitos. Las leyes no delinquieron, eran neutras en la </w:t>
      </w:r>
      <w:r>
        <w:lastRenderedPageBreak/>
        <w:t>previsión de transferencias de financiación para gastos de explotación. Quienes delinquieron fueron quienes previeron las trasferencias de financiación de modo innecesario con la idea de que otros tuvieran recursos para destinarlos a fines ajenos a los presupuestados. Así lo afirma el Tribunal Supremo cuando indica que la actuación de desvío de fondos no venía obligada por los presupuestos. O cuando refiere que “no puede afirmarse que [el Parlamento]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w:t>
      </w:r>
    </w:p>
    <w:p w14:paraId="57B237A5" w14:textId="77777777" w:rsidR="003754FE" w:rsidRDefault="003754FE" w:rsidP="003754FE">
      <w:pPr>
        <w:pStyle w:val="TextoNormal"/>
      </w:pPr>
    </w:p>
    <w:p w14:paraId="2F52BE06" w14:textId="77777777" w:rsidR="003754FE" w:rsidRDefault="003754FE" w:rsidP="003754FE">
      <w:pPr>
        <w:pStyle w:val="TextoNormal"/>
      </w:pPr>
      <w:r>
        <w:t xml:space="preserve">f) Ese mismo </w:t>
      </w:r>
      <w:r w:rsidRPr="003754FE">
        <w:rPr>
          <w:i/>
        </w:rPr>
        <w:t>mantra</w:t>
      </w:r>
      <w:r>
        <w:t xml:space="preserve"> jurídico sirve de modo inconsistente para distinguir a los efectos de resolver la vulneración del derecho a la legalidad penal entre aquellas modificaciones presupuestarias o disposiciones de fondos según tuvieran o no amparo en el sistema de presupuestación del programa 31L. Como se ha indicado el mencionado programa no determinaba que las trasferencias de financiación con que el mismo se dotaba pudieran destinarse a fines distintos a los de gastos de explotación.</w:t>
      </w:r>
    </w:p>
    <w:p w14:paraId="782B921C" w14:textId="77777777" w:rsidR="003754FE" w:rsidRDefault="003754FE" w:rsidP="003754FE">
      <w:pPr>
        <w:pStyle w:val="TextoNormal"/>
      </w:pPr>
    </w:p>
    <w:p w14:paraId="0EFB8943" w14:textId="77777777" w:rsidR="003754FE" w:rsidRDefault="003754FE" w:rsidP="003754FE">
      <w:pPr>
        <w:pStyle w:val="TextoNormal"/>
      </w:pPr>
      <w:r>
        <w:t>g) Puede considerarse común a todas las sentencias que con el pretexto de enjuiciar la vulneración del derecho a la legalidad penal irrumpen en el ámbito reservado a la jurisdicción ordinaria y suplantan la función del Tribunal Supremo como máximo intérprete de la ley (art. 123 CE) erigiéndose de este modo el Tribunal Constitucional en Tribunal de Casación al interpretar el concepto de “resolución” y de “asunto administrativo”. Y, también es común a todas ellas que con un entendimiento indebido del enjuiciamiento que le corresponde al Tribunal Constitucional en relación con el derecho a la presunción de inocencia, se apartase de la acrisolada doctrina de este tribunal y revisa, conforme a criterios de calidad o de oportunidad, la valoración probatoria de los tribunales ordinarios para reelaborarla previa selección sesgada del acervo probatorio convirtiéndose de este modo en tribunal de apelación.</w:t>
      </w:r>
    </w:p>
    <w:p w14:paraId="018D98B0" w14:textId="77777777" w:rsidR="003754FE" w:rsidRDefault="003754FE" w:rsidP="003754FE">
      <w:pPr>
        <w:pStyle w:val="TextoNormal"/>
      </w:pPr>
    </w:p>
    <w:p w14:paraId="7DA4B732" w14:textId="77777777" w:rsidR="003754FE" w:rsidRDefault="003754FE" w:rsidP="003754FE">
      <w:pPr>
        <w:pStyle w:val="TextoNormal"/>
      </w:pPr>
      <w:r>
        <w:t>h) Y finalmente, como consecuencia de todo ello, las sentencias ocasionan un daño institucional difícilmente reparable, pues para anular las condenas recaídas en el asunto de corrupción más importante de la historia reciente de España, rectifican por primera vez desde que el Tribunal Constitucional entró en funcionamiento el criterio del Tribunal Supremo en la interpretación de un elemento recogido en la descripción de la conducta típica, sustituyen la valoración probatoria efectuada por los órganos judiciales y dejan al margen de todo control el proceso de elaboración, modificación y ejecución presupuestaria.</w:t>
      </w:r>
    </w:p>
    <w:p w14:paraId="45A9C897" w14:textId="77777777" w:rsidR="003754FE" w:rsidRDefault="003754FE" w:rsidP="003754FE">
      <w:pPr>
        <w:pStyle w:val="TextoNormal"/>
      </w:pPr>
    </w:p>
    <w:p w14:paraId="145C27DD" w14:textId="77777777" w:rsidR="003754FE" w:rsidRDefault="003754FE" w:rsidP="003754FE">
      <w:pPr>
        <w:pStyle w:val="TextoNormal"/>
      </w:pPr>
      <w:r>
        <w:t xml:space="preserve">2. </w:t>
      </w:r>
      <w:r w:rsidRPr="003754FE">
        <w:rPr>
          <w:i/>
        </w:rPr>
        <w:t>Contenido de la sentencia del Tribunal Supremo como respuesta al planteamiento del recurrente en el recurso de casación</w:t>
      </w:r>
    </w:p>
    <w:p w14:paraId="68F1745E" w14:textId="77777777" w:rsidR="003754FE" w:rsidRDefault="003754FE" w:rsidP="003754FE">
      <w:pPr>
        <w:pStyle w:val="TextoNormal"/>
      </w:pPr>
    </w:p>
    <w:p w14:paraId="5AFA29D7" w14:textId="77777777" w:rsidR="003754FE" w:rsidRDefault="003754FE" w:rsidP="003754FE">
      <w:pPr>
        <w:pStyle w:val="TextoNormal"/>
      </w:pPr>
      <w:r>
        <w:t xml:space="preserve">En segundo lugar, el deber de respeto institucional a la plausible labor desempeñada por la Sala de lo penal del Tribunal Supremo y la exigencia de poner en el primer plano —que es donde merecen estar y exige el examen metodológico de la vulneración del principio de legalidad penal— los argumentos que llevan al Tribunal Supremo en su sentencia 749/2022, de 13 de septiembre, a calificar la conducta del recurrente de delito continuado de prevaricación administrativa en concurso medial con un delito continuado de malversación de caudales públicos, obligarían a suplir la injustificada omisión de la sentencia y a sintetizar las </w:t>
      </w:r>
      <w:r>
        <w:lastRenderedPageBreak/>
        <w:t>sólidas razones que el Tribunal Supremo dedica en el apartado VI de los fundamentos de Derecho, a lo largo de noventa páginas, con la rúbrica “Juicio de tipicidad del delito de prevaricación administrativa”, páginas 220 a 310; en el apartado VII, a lo largo de cincuenta y tres páginas, con la rúbrica “Juicio de tipicidad del delito de malversación de caudales públicos”, páginas 310 a 363; y en el apartado VIII al “Juicio de autoría”, páginas 364 a 373.</w:t>
      </w:r>
    </w:p>
    <w:p w14:paraId="64C4C58B" w14:textId="77777777" w:rsidR="003754FE" w:rsidRDefault="003754FE" w:rsidP="003754FE">
      <w:pPr>
        <w:pStyle w:val="TextoNormal"/>
      </w:pPr>
    </w:p>
    <w:p w14:paraId="62B255BC" w14:textId="77777777" w:rsidR="003754FE" w:rsidRDefault="003754FE" w:rsidP="003754FE">
      <w:pPr>
        <w:pStyle w:val="TextoNormal"/>
      </w:pPr>
      <w:r>
        <w:t>Su mera lectura evidencia por sí sola la razón del desencuentro con la sentencia frente a la que formulo voto particular y el incomprensible silencio que sobre su contenido se guarda en los antecedentes. Sin embargo, las características de concisión que debe contener un voto particular, mal que nos pese, impiden que podamos exponerlas, debiendo remitirnos directamente a su contenido fácilmente accesible, sin perjuicio de referirnos a sus fundamentos al exponer nuestra discrepancia con la sentencia que resuelve el recurso de amparo.</w:t>
      </w:r>
    </w:p>
    <w:p w14:paraId="24E495E2" w14:textId="77777777" w:rsidR="003754FE" w:rsidRDefault="003754FE" w:rsidP="003754FE">
      <w:pPr>
        <w:pStyle w:val="TextoNormal"/>
      </w:pPr>
    </w:p>
    <w:p w14:paraId="09E3106F" w14:textId="77777777" w:rsidR="003754FE" w:rsidRDefault="003754FE" w:rsidP="003754FE">
      <w:pPr>
        <w:pStyle w:val="TextoNormal"/>
      </w:pPr>
      <w:r>
        <w:t xml:space="preserve">3. </w:t>
      </w:r>
      <w:r w:rsidRPr="003754FE">
        <w:rPr>
          <w:i/>
        </w:rPr>
        <w:t>Contenido y alcance del principio de legalidad penal y su incidencia en los pronunciamientos del Tribunal Constitucional</w:t>
      </w:r>
    </w:p>
    <w:p w14:paraId="26EA8B3D" w14:textId="77777777" w:rsidR="003754FE" w:rsidRDefault="003754FE" w:rsidP="003754FE">
      <w:pPr>
        <w:pStyle w:val="TextoNormal"/>
      </w:pPr>
    </w:p>
    <w:p w14:paraId="2039A98C" w14:textId="77777777" w:rsidR="003754FE" w:rsidRDefault="003754FE" w:rsidP="003754FE">
      <w:pPr>
        <w:pStyle w:val="TextoNormal"/>
      </w:pPr>
      <w:r>
        <w:t>3.1. Contenido del principio de legalidad penal</w:t>
      </w:r>
    </w:p>
    <w:p w14:paraId="6E2BA548" w14:textId="77777777" w:rsidR="003754FE" w:rsidRDefault="003754FE" w:rsidP="003754FE">
      <w:pPr>
        <w:pStyle w:val="TextoNormal"/>
      </w:pPr>
    </w:p>
    <w:p w14:paraId="6D28EB7B" w14:textId="77777777" w:rsidR="003754FE" w:rsidRDefault="003754FE" w:rsidP="003754FE">
      <w:pPr>
        <w:pStyle w:val="TextoNormal"/>
      </w:pPr>
      <w:r>
        <w:t>Es preciso ahora examinar cuál es la doctrina sobre el derecho a la legalidad penal (art. 25.1 CE) que la sentencia aborda en su fundamento jurídico 3, al que nos remitimos al compartir su exposición. Debemos destacar de dicha doctrina tres aspectos:</w:t>
      </w:r>
    </w:p>
    <w:p w14:paraId="5D8226BF" w14:textId="77777777" w:rsidR="003754FE" w:rsidRDefault="003754FE" w:rsidP="003754FE">
      <w:pPr>
        <w:pStyle w:val="TextoNormal"/>
      </w:pPr>
    </w:p>
    <w:p w14:paraId="22E3ED12" w14:textId="77777777" w:rsidR="003754FE" w:rsidRDefault="003754FE" w:rsidP="003754FE">
      <w:pPr>
        <w:pStyle w:val="TextoNormal"/>
      </w:pPr>
      <w:r>
        <w:t>a) El fundamento plural del principio de legalidad: la seguridad jurídica y la previsibilidad de las consecuencias jurídicas de los actos a fin de garantizar al ciudadano un ámbito de libertad de actuación.</w:t>
      </w:r>
    </w:p>
    <w:p w14:paraId="387245B6" w14:textId="77777777" w:rsidR="003754FE" w:rsidRDefault="003754FE" w:rsidP="003754FE">
      <w:pPr>
        <w:pStyle w:val="TextoNormal"/>
      </w:pPr>
    </w:p>
    <w:p w14:paraId="0C2B1364" w14:textId="77777777" w:rsidR="003754FE" w:rsidRDefault="003754FE" w:rsidP="003754FE">
      <w:pPr>
        <w:pStyle w:val="TextoNormal"/>
      </w:pPr>
      <w:r>
        <w:t xml:space="preserve">b) Su proyección sobre los jueces y tribunales que deben aplicar la norma sancionadora, que se concreta en la prohibición de aplicarla a casos no comprendidos en ella realizando una subsunción irrazonable. De modo que queda excluida la analogía </w:t>
      </w:r>
      <w:r w:rsidRPr="003754FE">
        <w:rPr>
          <w:i/>
        </w:rPr>
        <w:t>in malam partem</w:t>
      </w:r>
      <w:r>
        <w:t xml:space="preserve"> y las interpretaciones extensivas de la norma en tanto exégesis y aplicación de las normas fuera de los supuestos que las mismas determinan. Por otra parte, exige que la aplicación metodológica de la norma no incurra en quiebras lógicas o se aparte de modelos de argumentación aceptados por la comunidad jurídica y que desde un punto de vista axiológico su aplicación se corresponda con pautas valorativas que informa el texto constitucional.</w:t>
      </w:r>
    </w:p>
    <w:p w14:paraId="16AE7E4A" w14:textId="77777777" w:rsidR="003754FE" w:rsidRDefault="003754FE" w:rsidP="003754FE">
      <w:pPr>
        <w:pStyle w:val="TextoNormal"/>
      </w:pPr>
    </w:p>
    <w:p w14:paraId="70E68F84" w14:textId="77777777" w:rsidR="003754FE" w:rsidRDefault="003754FE" w:rsidP="003754FE">
      <w:pPr>
        <w:pStyle w:val="TextoNormal"/>
      </w:pPr>
      <w:r>
        <w:t>c) Y, finalmente, que el Tribunal Constitucional al fiscalizar la interpretación y aplicación de la norma penal debe tener presente que la labor aplicativa le corresponde en exclusiva a la jurisdicción ordinaria (art. 117.3 CE). De modo que hemos reiterado en múltiples pronunciamientos que al Tribunal Constitucional no le corresponde la determinación de la interpretación última, en cuanto más correcta, de un enunciado penal, ni siquiera desde los parámetros que delimitan los valores y principios constitucionales. En otras palabras, “es ajena al contenido propio de nuestra jurisdicción la interpretación última del contenido de los tipos sancionadores y el control de la corrección del proceso de subsunción de los hechos probados en los preceptos aplicados” (STC 137/1997, de 21 de julio, FJ 7).</w:t>
      </w:r>
    </w:p>
    <w:p w14:paraId="6072E8CB" w14:textId="77777777" w:rsidR="003754FE" w:rsidRDefault="003754FE" w:rsidP="003754FE">
      <w:pPr>
        <w:pStyle w:val="TextoNormal"/>
      </w:pPr>
    </w:p>
    <w:p w14:paraId="7AD168D2" w14:textId="77777777" w:rsidR="003754FE" w:rsidRDefault="003754FE" w:rsidP="003754FE">
      <w:pPr>
        <w:pStyle w:val="TextoNormal"/>
      </w:pPr>
      <w:r>
        <w:t>3.2. Proyección de la doctrina del Tribunal Constitucional acerca del principio de legalidad a los casos que se le han planteado desde su constitución</w:t>
      </w:r>
    </w:p>
    <w:p w14:paraId="325B89C4" w14:textId="77777777" w:rsidR="003754FE" w:rsidRDefault="003754FE" w:rsidP="003754FE">
      <w:pPr>
        <w:pStyle w:val="TextoNormal"/>
      </w:pPr>
    </w:p>
    <w:p w14:paraId="69C0C2BB" w14:textId="77777777" w:rsidR="003754FE" w:rsidRDefault="003754FE" w:rsidP="003754FE">
      <w:pPr>
        <w:pStyle w:val="TextoNormal"/>
      </w:pPr>
      <w:r>
        <w:t>En el fundamento jurídico 3, como aval de la doctrina sobre el principio de legalidad penal se citan, con alguna reiteración cuarenta y cuatro sentencias de este tribunal (SSTC 14/2021, de 28 de enero; 25/2022, de 23 de febrero; 47/2022, de 24 de marzo; 54/2023, de 22 de mayo; 8/2024, de 16 de enero;137/1997, de 21 de julio; 151/1997, de 29 de septiembre; 232/1997, de 16 de diciembre; 162/1999, de 27 de septiembre; 150/1989, de 25 de septiembre; 133/1987, de 21 de julio; 127/1990, de 5 de julio; 111/1993, de 25 de marzo; 53/1994, de 24 de febrero; 75/2002,de 8 de abril; 234/2007, de 5 de noviembre; 15/1981, de 7 de mayo; 142/1999, de 22 de julio; 64/2001, de 17 de marzo; 25/2004, de 26 de febrero; 218/2005, de 12 de septiembre; 297/2005, de 21 de noviembre; 283/2006, de 9 de octubre; 24/2004, de 24 de febrero; 242/2005, de 10 de octubre; 162/2008, de 15 de diciembre; 81/2009, de 23 de marzo; 135/2010, de 2 de diciembre; 9/2018, de 5 de febrero; 129/2008, de 27 de octubre; 153/2011, de 17 de octubre; 185/2014, de 6 de noviembre; 150/2015, de 6 de julio; 123/2001, de 4 de junio; 81/1995, de 5 de junio; 34/1996, de 11 de marzo; 170/2002, de 30 de septiembre; 229/2003, de 18 de diciembre; 229/2007, de 5 de noviembre; 189/1998, de 28 de septiembre; 13/2003, de 28 de enero; 138/2004, de 13 de septiembre; 9/2006, de 16 de enero, y 262/2006, de 11 de septiembre).</w:t>
      </w:r>
    </w:p>
    <w:p w14:paraId="21FD1818" w14:textId="77777777" w:rsidR="003754FE" w:rsidRDefault="003754FE" w:rsidP="003754FE">
      <w:pPr>
        <w:pStyle w:val="TextoNormal"/>
      </w:pPr>
    </w:p>
    <w:p w14:paraId="1A730D22" w14:textId="77777777" w:rsidR="003754FE" w:rsidRDefault="003754FE" w:rsidP="003754FE">
      <w:pPr>
        <w:pStyle w:val="TextoNormal"/>
      </w:pPr>
      <w:r>
        <w:t>De todas las sentencias citadas, únicamente se refieren a supuestos en que, como en el caso planteado en la demanda de amparo, se cuestiona la subsunción del hecho probado en la parte objetiva del tipo penal —dejando por tanto de lado las que versan sobre sanciones administrativas— las SSTC 25/2022, 47/2022, 137/1997, 129/2008, 153/2011, 150/2015, 123/2001, 34/1996, 170/2002, 229/2003, 189/1998, 111/1993, 142/1999 y 262/2006 que enjuician la subsunción de diversas conductas en otros tantos delitos y faltas.</w:t>
      </w:r>
    </w:p>
    <w:p w14:paraId="7DD01DE1" w14:textId="77777777" w:rsidR="003754FE" w:rsidRDefault="003754FE" w:rsidP="003754FE">
      <w:pPr>
        <w:pStyle w:val="TextoNormal"/>
      </w:pPr>
    </w:p>
    <w:p w14:paraId="0C3C31F8" w14:textId="77777777" w:rsidR="003754FE" w:rsidRDefault="003754FE" w:rsidP="003754FE">
      <w:pPr>
        <w:pStyle w:val="TextoNormal"/>
      </w:pPr>
      <w:r>
        <w:t>Pues bien, las once primeras (SSTC 25/2022, 47/2022, 137/1997, 129/2008, 153/2011, 150/2015, 123/2001, 34/1996, 170/2002, 229/2003, y 189/1998) se refieren respectivamente a quejas sobre la subsunción de la conducta en los delitos o faltas de desobediencia, sedición, coacciones, contra la hacienda pública, imprudencia leve, falsedad documental (en dos ocasiones), descubrimiento y revelación de secretos, apropiación indebida, prevaricación judicial y contra la salud pública y, siguiendo la arraigada doctrina por la que la función de interpretar y aplicar la legislación vigente, subsumiendo en las normas los hechos que llevan a su conocimiento, corresponde en exclusiva a los jueces y tribunales, de acuerdo con lo establecido en el art. 117.3 CE, en todas ellas se desestimó la vulneración del principio de legalidad penal.</w:t>
      </w:r>
    </w:p>
    <w:p w14:paraId="7DB9D1FE" w14:textId="77777777" w:rsidR="003754FE" w:rsidRDefault="003754FE" w:rsidP="003754FE">
      <w:pPr>
        <w:pStyle w:val="TextoNormal"/>
      </w:pPr>
    </w:p>
    <w:p w14:paraId="45204D4C" w14:textId="77777777" w:rsidR="003754FE" w:rsidRDefault="003754FE" w:rsidP="003754FE">
      <w:pPr>
        <w:pStyle w:val="TextoNormal"/>
      </w:pPr>
      <w:r>
        <w:t>Únicamente se estimó la vulneración del principio de legalidad penal en tres casos, las STC 111/1993, 142/1999 y 262/2006. En las dos primeras relativas a condenas por delito de intrusismo al entender que “título oficial” a que se refiere el art. 321.1 del código Penal no puede ser entendido sino como “título académico oficial” y en la tercera por delito de lesiones graves, al no constar en los hechos probados la gravedad de las mismas. Ninguna de estas condenas fue dictada o confirmada por el Tribunal Supremo, que, como órgano jurisdiccional superior en todos los órdenes, es la máxima autoridad jurisdiccional en la función de interpretar y aplicar la legislación vigente (art. 117.3 y 123.1 CE).</w:t>
      </w:r>
    </w:p>
    <w:p w14:paraId="1EEA830C" w14:textId="77777777" w:rsidR="003754FE" w:rsidRDefault="003754FE" w:rsidP="003754FE">
      <w:pPr>
        <w:pStyle w:val="TextoNormal"/>
      </w:pPr>
    </w:p>
    <w:p w14:paraId="6F742EDD" w14:textId="77777777" w:rsidR="003754FE" w:rsidRDefault="003754FE" w:rsidP="003754FE">
      <w:pPr>
        <w:pStyle w:val="TextoNormal"/>
      </w:pPr>
      <w:r>
        <w:t xml:space="preserve">Resulta por tanto llamativo que sea en el caso más grave de corrupción política institucionalizada y mantenida durante más de diez años, cuando el Tribunal Constitucional </w:t>
      </w:r>
      <w:r>
        <w:lastRenderedPageBreak/>
        <w:t>rectifique por primera vez desde que inició su andadura al Tribunal Supremo en la interpretación de un elemento recogido en la descripción de la conducta típica de un delito.</w:t>
      </w:r>
    </w:p>
    <w:p w14:paraId="6C0FC1EA" w14:textId="77777777" w:rsidR="003754FE" w:rsidRDefault="003754FE" w:rsidP="003754FE">
      <w:pPr>
        <w:pStyle w:val="TextoNormal"/>
      </w:pPr>
    </w:p>
    <w:p w14:paraId="1947ED4C" w14:textId="77777777" w:rsidR="003754FE" w:rsidRDefault="003754FE" w:rsidP="003754FE">
      <w:pPr>
        <w:pStyle w:val="TextoNormal"/>
      </w:pPr>
      <w:r>
        <w:t xml:space="preserve">4. </w:t>
      </w:r>
      <w:r w:rsidRPr="003754FE">
        <w:rPr>
          <w:i/>
        </w:rPr>
        <w:t>Sobre la improcedente reconstrucción de la demanda de amparo en que incurre la sentencia y la desviación de su objeto para reconocer la vulneración del derecho a la legalidad penal en relación con el delito continuado de malversación</w:t>
      </w:r>
    </w:p>
    <w:p w14:paraId="4FB4AABF" w14:textId="77777777" w:rsidR="003754FE" w:rsidRDefault="003754FE" w:rsidP="003754FE">
      <w:pPr>
        <w:pStyle w:val="TextoNormal"/>
      </w:pPr>
    </w:p>
    <w:p w14:paraId="6D60F2C6" w14:textId="77777777" w:rsidR="003754FE" w:rsidRDefault="003754FE" w:rsidP="003754FE">
      <w:pPr>
        <w:pStyle w:val="TextoNormal"/>
      </w:pPr>
      <w:r>
        <w:t>4.1. Objeto de la demanda de amparo: planteamiento de la vulneración del principio de legalidad penal por el recurrente y respuesta dada por la fiscal que formula las alegaciones</w:t>
      </w:r>
    </w:p>
    <w:p w14:paraId="5002322F" w14:textId="77777777" w:rsidR="003754FE" w:rsidRDefault="003754FE" w:rsidP="003754FE">
      <w:pPr>
        <w:pStyle w:val="TextoNormal"/>
      </w:pPr>
    </w:p>
    <w:p w14:paraId="270CB457" w14:textId="77777777" w:rsidR="003754FE" w:rsidRDefault="003754FE" w:rsidP="003754FE">
      <w:pPr>
        <w:pStyle w:val="TextoNormal"/>
      </w:pPr>
      <w:r>
        <w:t>4.1.1. Planteamiento del recurrente</w:t>
      </w:r>
    </w:p>
    <w:p w14:paraId="1FF53F05" w14:textId="77777777" w:rsidR="003754FE" w:rsidRDefault="003754FE" w:rsidP="003754FE">
      <w:pPr>
        <w:pStyle w:val="TextoNormal"/>
      </w:pPr>
    </w:p>
    <w:p w14:paraId="5F62AEE6" w14:textId="77777777" w:rsidR="003754FE" w:rsidRDefault="003754FE" w:rsidP="003754FE">
      <w:pPr>
        <w:pStyle w:val="TextoNormal"/>
      </w:pPr>
      <w:r>
        <w:t>El recurrente plantea en el motivo segundo de la demanda la vulneración de las garantías asociadas al principio de legalidad penal (art. 25.1 CE). Considera que ha existido una aplicación imprevisible, por inviable, del marco típico objetivo del delito de malversación. Las sentencias, a su juicio, crean un delito de malversación distinto al vigente que suprime la necesaria relación entre el autor con los fondos y con el tercero a quien se le permite sustraer. Distingue:</w:t>
      </w:r>
    </w:p>
    <w:p w14:paraId="13FDAB73" w14:textId="77777777" w:rsidR="003754FE" w:rsidRDefault="003754FE" w:rsidP="003754FE">
      <w:pPr>
        <w:pStyle w:val="TextoNormal"/>
      </w:pPr>
    </w:p>
    <w:p w14:paraId="39BA09FB" w14:textId="77777777" w:rsidR="003754FE" w:rsidRDefault="003754FE" w:rsidP="003754FE">
      <w:pPr>
        <w:pStyle w:val="TextoNormal"/>
      </w:pPr>
      <w:r>
        <w:t>a) En relación con la modalidad activa “sustrajere”, afirma que la sentencia incurre en una contradicción insalvable cuando dice que el señor Fernández tuvo participación directa en la disposición de fondos, pues a lo largo de la misma se señala que únicamente podía disponer y efectivamente dispuso de los fondos del programa 31L quien fue director general de Trabajo y Seguridad Social y no el consejero de Empleo. No existe resolución alguna de concesión de ayudas por su parte desde el 2000 al 2010.</w:t>
      </w:r>
    </w:p>
    <w:p w14:paraId="5C55C8C4" w14:textId="77777777" w:rsidR="003754FE" w:rsidRDefault="003754FE" w:rsidP="003754FE">
      <w:pPr>
        <w:pStyle w:val="TextoNormal"/>
      </w:pPr>
    </w:p>
    <w:p w14:paraId="6312C8D1" w14:textId="77777777" w:rsidR="003754FE" w:rsidRDefault="003754FE" w:rsidP="003754FE">
      <w:pPr>
        <w:pStyle w:val="TextoNormal"/>
      </w:pPr>
      <w:r>
        <w:t>Para apoyar su falta de participación directa en la disposición de fondos destaca que: en el contrato de permanencia firmado con directivos de Santana, que llevó a la suscripción de pólizas cuya prima se pagó con fondos del programa 31L, quien ordenó la disposición de fondos del programa fue el director general de Trabajo y Seguridad Social; en el caso de los compromisos con Faja Pirítica pagados con fondos del referido programa para ayudas sociolaborales, quien concedió las ayudas y ordenó su disposición fue el director general de Trabajo y Seguridad Social; esto mismo afirma que se produce en relación con el convenio de Jerez Industrial o se desprende de la carta que el recurrente envió al delegado de Empleo en Cádiz en relación con la petición de ayuda económica del alcalde de Chiclana y también de otros pasajes de la sentencia de la Audiencia Provincial.</w:t>
      </w:r>
    </w:p>
    <w:p w14:paraId="6D68598A" w14:textId="77777777" w:rsidR="003754FE" w:rsidRDefault="003754FE" w:rsidP="003754FE">
      <w:pPr>
        <w:pStyle w:val="TextoNormal"/>
      </w:pPr>
    </w:p>
    <w:p w14:paraId="4943803D" w14:textId="77777777" w:rsidR="003754FE" w:rsidRDefault="003754FE" w:rsidP="003754FE">
      <w:pPr>
        <w:pStyle w:val="TextoNormal"/>
      </w:pPr>
      <w:r>
        <w:t>Ello le lleva a concluir que no se cumplen los requisitos del tipo en cuanto a la acción de sustraer.</w:t>
      </w:r>
    </w:p>
    <w:p w14:paraId="0EC25442" w14:textId="77777777" w:rsidR="003754FE" w:rsidRDefault="003754FE" w:rsidP="003754FE">
      <w:pPr>
        <w:pStyle w:val="TextoNormal"/>
      </w:pPr>
    </w:p>
    <w:p w14:paraId="3B78741D" w14:textId="77777777" w:rsidR="003754FE" w:rsidRDefault="003754FE" w:rsidP="003754FE">
      <w:pPr>
        <w:pStyle w:val="TextoNormal"/>
      </w:pPr>
      <w:r>
        <w:t xml:space="preserve">b) Respecto de la modalidad pasiva “permitiere que un tercero sustraiga”, afirma que esta modalidad es la que sostiene y justifica la condena. Considera sin embargo que su aplicación supone un artificioso forzamiento del contenido literal del precepto, pues a su juicio, quien consiente la participación del tercero siempre ha de ser, y sólo puede ser, quien tiene a su cargo los caudales. De modo que tercero, solo lo podrá ser, bien otro funcionario distinto de aquél que tuviera a su disposición los caudales por razón de su cargo o un particular. El director general de Trabajo y Seguridad Social no puede ser tercero porque tenía confiados </w:t>
      </w:r>
      <w:r>
        <w:lastRenderedPageBreak/>
        <w:t>los fondos por razón de su cargo. Afirma que cualquier otra lectura es contraria al principio de legalidad.</w:t>
      </w:r>
    </w:p>
    <w:p w14:paraId="28651967" w14:textId="77777777" w:rsidR="003754FE" w:rsidRDefault="003754FE" w:rsidP="003754FE">
      <w:pPr>
        <w:pStyle w:val="TextoNormal"/>
      </w:pPr>
    </w:p>
    <w:p w14:paraId="1E5D91D7" w14:textId="77777777" w:rsidR="003754FE" w:rsidRDefault="003754FE" w:rsidP="003754FE">
      <w:pPr>
        <w:pStyle w:val="TextoNormal"/>
      </w:pPr>
      <w:r>
        <w:t xml:space="preserve">c) Considera que ni el tribunal </w:t>
      </w:r>
      <w:r w:rsidRPr="003754FE">
        <w:rPr>
          <w:i/>
        </w:rPr>
        <w:t>a quo</w:t>
      </w:r>
      <w:r>
        <w:t xml:space="preserve"> ni el de casación han advertido la exigencia del dolo en la comisión por omisión que a su juicio debe abarcar el conocimiento del ánimo de lucro concurrente del tercero. No se acredita, ni se alude en la sentencia, que el señor Fernández conociera o consintiera que los beneficiarios de las ayudas, al recibirlas, actuaran bajo ilícito ánimo de lucro.</w:t>
      </w:r>
    </w:p>
    <w:p w14:paraId="4347165B" w14:textId="77777777" w:rsidR="003754FE" w:rsidRDefault="003754FE" w:rsidP="003754FE">
      <w:pPr>
        <w:pStyle w:val="TextoNormal"/>
      </w:pPr>
    </w:p>
    <w:p w14:paraId="0B02596A" w14:textId="77777777" w:rsidR="003754FE" w:rsidRDefault="003754FE" w:rsidP="003754FE">
      <w:pPr>
        <w:pStyle w:val="TextoNormal"/>
      </w:pPr>
      <w:r>
        <w:t>d) Entiende que ha existido un nulo tratamiento de los aludidos defectos de calificación en la sentencia del Tribunal Supremo. No basta con sostener apodícticamente que el tercero puede serlo el funcionario que detenta los causales, citando un solo precedente jurisprudencial. Sostiene que no explica cuáles son las competencias funcionales que tenía el recurrente para evitar la sustracción conforme a lo dispuesto en el art. 11 CP.</w:t>
      </w:r>
    </w:p>
    <w:p w14:paraId="7AAFB22C" w14:textId="77777777" w:rsidR="003754FE" w:rsidRDefault="003754FE" w:rsidP="003754FE">
      <w:pPr>
        <w:pStyle w:val="TextoNormal"/>
      </w:pPr>
    </w:p>
    <w:p w14:paraId="30F9CA60" w14:textId="77777777" w:rsidR="003754FE" w:rsidRDefault="003754FE" w:rsidP="003754FE">
      <w:pPr>
        <w:pStyle w:val="TextoNormal"/>
      </w:pPr>
      <w:r>
        <w:t>4.1.2. Posición del Ministerio Fiscal</w:t>
      </w:r>
    </w:p>
    <w:p w14:paraId="13F17BC0" w14:textId="77777777" w:rsidR="003754FE" w:rsidRDefault="003754FE" w:rsidP="003754FE">
      <w:pPr>
        <w:pStyle w:val="TextoNormal"/>
      </w:pPr>
    </w:p>
    <w:p w14:paraId="02139BFB" w14:textId="77777777" w:rsidR="003754FE" w:rsidRDefault="003754FE" w:rsidP="003754FE">
      <w:pPr>
        <w:pStyle w:val="TextoNormal"/>
      </w:pPr>
      <w:r>
        <w:t>El fiscal se opone en sus alegaciones a la estimación de la vulneración del principio de legalidad penal que el recurrente invoca. Afirma que el motivo segundo es más bien una reproducción del primero a cuya contestación se remite. Expone los cargos que ocupó el recurrente: viceconsejero de trabajo desde 1996 a 2004, consejero de empleo desde 2004 hasta 2010 y presidente del IFA desde el 6 de junio de 2001 hasta el 28 de enero de 2003.</w:t>
      </w:r>
    </w:p>
    <w:p w14:paraId="329CD987" w14:textId="77777777" w:rsidR="003754FE" w:rsidRDefault="003754FE" w:rsidP="003754FE">
      <w:pPr>
        <w:pStyle w:val="TextoNormal"/>
      </w:pPr>
    </w:p>
    <w:p w14:paraId="7AEF78ED" w14:textId="77777777" w:rsidR="003754FE" w:rsidRDefault="003754FE" w:rsidP="003754FE">
      <w:pPr>
        <w:pStyle w:val="TextoNormal"/>
      </w:pPr>
      <w:r>
        <w:t>Destaca los hechos extraídos de la sentencia de instancia y considera que atendidos los cargos que ocupó tenía competencia para disponer de los fondos. Considera que el director general de Trabajo y Seguridad Social no tenía competencias para disponer de los fondos, por lo que es razonable entender que los hechos encajan en el art. 404 CP. Del convenio marco no se desprende que fuera el director general de Trabajo y Seguridad Social quien otorgara las ayudas. El director general de Trabajo y Seguridad Social era un ejecutor de lo acordado por el consejero, como se desprende de las estipulaciones primera y segunda del convenio. La competencia del consejero no fue delegada hasta la Orden de la Consejería de Empleo de 3 de marzo de 2010 publicada en el ‘Boletín Oficial de la Junta de Andalucía’ de 6 de abril de 2010. Señala que atendido que fue condenado por las dos modalidades no era exigible a los tribunales que especificaran el título de imputación que había de atribuirse a cada uno de los hechos relevantes.</w:t>
      </w:r>
    </w:p>
    <w:p w14:paraId="05A62D7D" w14:textId="77777777" w:rsidR="003754FE" w:rsidRDefault="003754FE" w:rsidP="003754FE">
      <w:pPr>
        <w:pStyle w:val="TextoNormal"/>
      </w:pPr>
    </w:p>
    <w:p w14:paraId="00A43AFB" w14:textId="77777777" w:rsidR="003754FE" w:rsidRDefault="003754FE" w:rsidP="003754FE">
      <w:pPr>
        <w:pStyle w:val="TextoNormal"/>
      </w:pPr>
      <w:r>
        <w:t>A continuación, expondremos cómo la sentencia se desconecta de los argumentos de la demanda de amparo para llevar a cabo una revisión de oficio de la sentencia del Tribunal Supremo, alejándose de lo alegado por el recurrente para conceder el amparo en relación con buena parte de las conductas calificadas de malversación.</w:t>
      </w:r>
    </w:p>
    <w:p w14:paraId="7C4FA533" w14:textId="77777777" w:rsidR="003754FE" w:rsidRDefault="003754FE" w:rsidP="003754FE">
      <w:pPr>
        <w:pStyle w:val="TextoNormal"/>
      </w:pPr>
    </w:p>
    <w:p w14:paraId="0337A5D2" w14:textId="77777777" w:rsidR="003754FE" w:rsidRDefault="003754FE" w:rsidP="003754FE">
      <w:pPr>
        <w:pStyle w:val="TextoNormal"/>
      </w:pPr>
      <w:r>
        <w:t xml:space="preserve">4.2. </w:t>
      </w:r>
      <w:r w:rsidRPr="003754FE">
        <w:rPr>
          <w:i/>
        </w:rPr>
        <w:t>Desvinculación de la argumentación de la sentencia del Tribunal Constitucional del planteamiento de la demanda de amparo para estimar la vulneración del principio de legalidad penal</w:t>
      </w:r>
    </w:p>
    <w:p w14:paraId="40416F8F" w14:textId="77777777" w:rsidR="003754FE" w:rsidRDefault="003754FE" w:rsidP="003754FE">
      <w:pPr>
        <w:pStyle w:val="TextoNormal"/>
      </w:pPr>
    </w:p>
    <w:p w14:paraId="0CAFBBB8" w14:textId="77777777" w:rsidR="003754FE" w:rsidRDefault="003754FE" w:rsidP="003754FE">
      <w:pPr>
        <w:pStyle w:val="TextoNormal"/>
      </w:pPr>
      <w:r>
        <w:t xml:space="preserve">a) Puede afirmarse, aunque pueda sorprender, que realmente la sentencia que resuelve el recurso de amparo desestima completamente la vulneración del principio de legalidad penal (art. 25.1 CE) invocada por el demandante de amparo y lo hace precisamente al final del </w:t>
      </w:r>
      <w:r>
        <w:lastRenderedPageBreak/>
        <w:t>fundamento jurídico 3.4. En concreto la sentencia de la que discrepamos desestima la queja del recurrente en el fundamento jurídico 3.4.2. b) y c), si bien únicamente se refiere a lo que denomina “conductas que carecían de amparo legal (gestión global de las ayudas comprendidas en el programa 22E y uso de fondos comprendidos en el programa 31L en ausencia o con desviación de su fin publico)”. El razonamiento plasmado en dicho fundamento sería también de aplicación para desestimar la queja en relación con lo que la sentencia que resuelve el recurso de amparo denomina “las conductas del recurrente relacionadas con la presupuestación y la gestión de las ayudas comprendidas en el programa 31L”. Le sería proyectable, lo examinaremos a continuación.</w:t>
      </w:r>
    </w:p>
    <w:p w14:paraId="2A3BA711" w14:textId="77777777" w:rsidR="003754FE" w:rsidRDefault="003754FE" w:rsidP="003754FE">
      <w:pPr>
        <w:pStyle w:val="TextoNormal"/>
      </w:pPr>
    </w:p>
    <w:p w14:paraId="6A3FD862" w14:textId="77777777" w:rsidR="003754FE" w:rsidRDefault="003754FE" w:rsidP="003754FE">
      <w:pPr>
        <w:pStyle w:val="TextoNormal"/>
      </w:pPr>
      <w:r>
        <w:t>En consecuencia, puede considerarse, como veremos, que la sentencia ha desestimado la vulneración del principio de legalidad penal (art. 25.1 CE) invocado por el recurrente, al descartar el único argumento que el recurrente planteaba en su recurso de amparo.</w:t>
      </w:r>
    </w:p>
    <w:p w14:paraId="44F85097" w14:textId="77777777" w:rsidR="003754FE" w:rsidRDefault="003754FE" w:rsidP="003754FE">
      <w:pPr>
        <w:pStyle w:val="TextoNormal"/>
      </w:pPr>
    </w:p>
    <w:p w14:paraId="63F795B1" w14:textId="77777777" w:rsidR="003754FE" w:rsidRDefault="003754FE" w:rsidP="003754FE">
      <w:pPr>
        <w:pStyle w:val="TextoNormal"/>
      </w:pPr>
      <w:r>
        <w:t>b) Lo que sucede es que la sentencia que resuelve el recurso de amparo se desvincula radicalmente de la vulneración planteada por el recurrente y resuelve de modo irracional, incongruente e ilógico, una queja que el recurrente no incorpora en su demanda cuando invoca la lesión del derecho a la legalidad penal (art. 25.1 CE). Lo hace en el fundamento jurídico 3.4.1. que no guarda relación alguna con el motivo planteado en la demanda y supone una revisión de oficio de las sentencias impugnadas, para de este modo estimar la vulneración del derecho a la legalidad penal. Es un patrón que se repite en todas las sentencias que resuelven las impugnaciones de la STS 749/2022 y de la SAP 490/2019 respecto de las que hemos formulado voto particular. Sobra el fundamento jurídico 3.4.1 de la sentencia que resuelve el recurso de amparo en el que se innova el contenido de la demanda con un argumento no planteado por el recurrente con el resultado de sustentar la vulneración del derecho a la legalidad penal y estimar el recurso de amparo.</w:t>
      </w:r>
    </w:p>
    <w:p w14:paraId="462CAF5D" w14:textId="77777777" w:rsidR="003754FE" w:rsidRDefault="003754FE" w:rsidP="003754FE">
      <w:pPr>
        <w:pStyle w:val="TextoNormal"/>
      </w:pPr>
    </w:p>
    <w:p w14:paraId="152F159A" w14:textId="77777777" w:rsidR="003754FE" w:rsidRDefault="003754FE" w:rsidP="003754FE">
      <w:pPr>
        <w:pStyle w:val="TextoNormal"/>
      </w:pPr>
      <w:r>
        <w:t>Tales conclusiones las pasamos a exponer a continuación.</w:t>
      </w:r>
    </w:p>
    <w:p w14:paraId="570D5E2C" w14:textId="77777777" w:rsidR="003754FE" w:rsidRDefault="003754FE" w:rsidP="003754FE">
      <w:pPr>
        <w:pStyle w:val="TextoNormal"/>
      </w:pPr>
    </w:p>
    <w:p w14:paraId="2E51A68A" w14:textId="77777777" w:rsidR="003754FE" w:rsidRDefault="003754FE" w:rsidP="003754FE">
      <w:pPr>
        <w:pStyle w:val="TextoNormal"/>
      </w:pPr>
      <w:r>
        <w:t>4.2.1. Creación artificiosa del argumento troncal en el que se sustenta la estimación de las demandas de amparo</w:t>
      </w:r>
    </w:p>
    <w:p w14:paraId="7027A239" w14:textId="77777777" w:rsidR="003754FE" w:rsidRDefault="003754FE" w:rsidP="003754FE">
      <w:pPr>
        <w:pStyle w:val="TextoNormal"/>
      </w:pPr>
    </w:p>
    <w:p w14:paraId="71EE1190" w14:textId="77777777" w:rsidR="003754FE" w:rsidRDefault="003754FE" w:rsidP="003754FE">
      <w:pPr>
        <w:pStyle w:val="TextoNormal"/>
      </w:pPr>
      <w:r>
        <w:t>a) La sentencia, que resuelve el recurso de amparo, en su fundamento jurídico 3.4.1., se desentiende de la vulneración del principio de legalidad penal (art. 25.1 CE) vinculada a la condena por el delito de malversación del art. 432 CP que el recurrente invocó en su demanda.</w:t>
      </w:r>
    </w:p>
    <w:p w14:paraId="7D6E7EB7" w14:textId="77777777" w:rsidR="003754FE" w:rsidRDefault="003754FE" w:rsidP="003754FE">
      <w:pPr>
        <w:pStyle w:val="TextoNormal"/>
      </w:pPr>
    </w:p>
    <w:p w14:paraId="280A8ECA" w14:textId="77777777" w:rsidR="003754FE" w:rsidRDefault="003754FE" w:rsidP="003754FE">
      <w:pPr>
        <w:pStyle w:val="TextoNormal"/>
      </w:pPr>
      <w:r>
        <w:t>b) Lo primero que llama la atención es que el indicado fundamento jurídico —“3.4. Enjuiciamiento de la queja del recurrente”—, no se ajusta al contenido del motivo segundo de la demanda de amparo expuesto en el punto 4.1.1. a), b), c) y d) anterior.</w:t>
      </w:r>
    </w:p>
    <w:p w14:paraId="0C98E778" w14:textId="77777777" w:rsidR="003754FE" w:rsidRDefault="003754FE" w:rsidP="003754FE">
      <w:pPr>
        <w:pStyle w:val="TextoNormal"/>
      </w:pPr>
    </w:p>
    <w:p w14:paraId="14333413" w14:textId="77777777" w:rsidR="003754FE" w:rsidRDefault="003754FE" w:rsidP="003754FE">
      <w:pPr>
        <w:pStyle w:val="TextoNormal"/>
      </w:pPr>
      <w:r>
        <w:t>Dicha desvinculación del recurso de amparo lamentablemente la hemos tenido que advertir en otros votos particulares emitidos en relación con las sentencias que han resuelto las impugnaciones contra la STS 749/2022 y la SAP 490/2019. Con dicho proceder la sentencia que resuelve el recurso de amparo parece asumir una función de complemento de las demandas de amparo o de refuerzo argumental que no deja de ser llamativa y no solo, evidentemente, por su carácter reiterado.</w:t>
      </w:r>
    </w:p>
    <w:p w14:paraId="3648F215" w14:textId="77777777" w:rsidR="003754FE" w:rsidRDefault="003754FE" w:rsidP="003754FE">
      <w:pPr>
        <w:pStyle w:val="TextoNormal"/>
      </w:pPr>
    </w:p>
    <w:p w14:paraId="44B868D8" w14:textId="77777777" w:rsidR="003754FE" w:rsidRDefault="003754FE" w:rsidP="003754FE">
      <w:pPr>
        <w:pStyle w:val="TextoNormal"/>
      </w:pPr>
      <w:r>
        <w:lastRenderedPageBreak/>
        <w:t>c) La sentencia comienza la argumentación del fundamento jurídico 3.4., efectuando dos atribuciones. La primera a las resoluciones impugnadas y la segunda al recurrente. Tanto una como otra carecen de soporte alguno en las resoluciones impugnadas y en el contenido del motivo por el que el demandante desarrolla su alegato sobre la vulneración del principio de legalidad penal.</w:t>
      </w:r>
    </w:p>
    <w:p w14:paraId="5FE3C557" w14:textId="77777777" w:rsidR="003754FE" w:rsidRDefault="003754FE" w:rsidP="003754FE">
      <w:pPr>
        <w:pStyle w:val="TextoNormal"/>
      </w:pPr>
    </w:p>
    <w:p w14:paraId="4FE55781" w14:textId="77777777" w:rsidR="003754FE" w:rsidRDefault="003754FE" w:rsidP="003754FE">
      <w:pPr>
        <w:pStyle w:val="TextoNormal"/>
      </w:pPr>
      <w:r>
        <w:t xml:space="preserve">d) Tales injustificadas atribuciones son las siguientes: (i) “las resoluciones impugnadas identifican </w:t>
      </w:r>
      <w:r w:rsidRPr="003754FE">
        <w:rPr>
          <w:i/>
        </w:rPr>
        <w:t>como elemento decisivo de la calificación de malversación</w:t>
      </w:r>
      <w:r>
        <w:t xml:space="preserve">, de un lado, la existencia de </w:t>
      </w:r>
      <w:r w:rsidRPr="003754FE">
        <w:rPr>
          <w:i/>
        </w:rPr>
        <w:t>un sistema de presupuestación ilegal</w:t>
      </w:r>
      <w:r>
        <w:t xml:space="preserve"> que disponía una forma de gestión y control de las ayudas sociolaborales radicalmente distinta a la exigible en el ámbito de las subvenciones caracterizada por la falta de control”; (ii) En segundo lugar, indica la sentencia que “[f]rente a este planteamiento, el recurrente opone de forma reiterada que la contribución a tal sistema puede, eventualmente, integrar un delito de prevaricación, pero no justificar una condena por el art. 432 CP, cuyos elementos típicos no concurrirían”.</w:t>
      </w:r>
    </w:p>
    <w:p w14:paraId="3254CBED" w14:textId="77777777" w:rsidR="003754FE" w:rsidRDefault="003754FE" w:rsidP="003754FE">
      <w:pPr>
        <w:pStyle w:val="TextoNormal"/>
      </w:pPr>
    </w:p>
    <w:p w14:paraId="1196E2CA" w14:textId="77777777" w:rsidR="003754FE" w:rsidRDefault="003754FE" w:rsidP="003754FE">
      <w:pPr>
        <w:pStyle w:val="TextoNormal"/>
      </w:pPr>
      <w:r>
        <w:t xml:space="preserve">e) Pues bien, del pormenorizado razonamiento de la sentencia del Tribunal Supremo recogido a lo largo de las cincuenta y tres páginas del fundamento de Derecho VII, con la rúbrica “Juicio de tipicidad del delito de malversación de caudales públicos”, páginas 310 a 363 (al que se remite la STS 749/2022 para resolver la vulneración del principio de legalidad penal invocado por el recurrente en el recurso de casación), duele tener que afirmar que es inadmisible que la sentencia que resuelve el recurso de amparo atribuya, de modo infundado y erróneo, al máximo intérprete de la legalidad penal lo que se puede considerar una elemental confusión dogmática por la que el Tribunal Supremo entendería </w:t>
      </w:r>
      <w:r w:rsidRPr="003754FE">
        <w:rPr>
          <w:i/>
        </w:rPr>
        <w:t>como elemento decisivo de la calificación de malversación</w:t>
      </w:r>
      <w:r>
        <w:t xml:space="preserve"> la existencia d</w:t>
      </w:r>
      <w:r w:rsidRPr="003754FE">
        <w:rPr>
          <w:i/>
        </w:rPr>
        <w:t>e un sistema de presupuestación ileg</w:t>
      </w:r>
      <w:r>
        <w:t>al, caracterizado por la falta de control.</w:t>
      </w:r>
    </w:p>
    <w:p w14:paraId="2DB1AAAC" w14:textId="77777777" w:rsidR="003754FE" w:rsidRDefault="003754FE" w:rsidP="003754FE">
      <w:pPr>
        <w:pStyle w:val="TextoNormal"/>
      </w:pPr>
    </w:p>
    <w:p w14:paraId="127217E4" w14:textId="77777777" w:rsidR="003754FE" w:rsidRDefault="003754FE" w:rsidP="003754FE">
      <w:pPr>
        <w:pStyle w:val="TextoNormal"/>
      </w:pPr>
      <w:r>
        <w:t>Ni lo afirma el Tribunal Supremo ni evidentemente se lo reprocha el recurrente al invocar la vulneración del principio de legalidad penal.</w:t>
      </w:r>
    </w:p>
    <w:p w14:paraId="515A0338" w14:textId="77777777" w:rsidR="003754FE" w:rsidRDefault="003754FE" w:rsidP="003754FE">
      <w:pPr>
        <w:pStyle w:val="TextoNormal"/>
      </w:pPr>
    </w:p>
    <w:p w14:paraId="68E94C09" w14:textId="77777777" w:rsidR="003754FE" w:rsidRDefault="003754FE" w:rsidP="003754FE">
      <w:pPr>
        <w:pStyle w:val="TextoNormal"/>
      </w:pPr>
      <w:r>
        <w:t>f) El Tribunal Supremo sostiene expresamente lo contrario —y podemos indicar, a diferencia de la sentencia que resuelve el recurso de amparo, donde lo hace: en su fundamento de Derecho 141.2.4, pág. 1066 de la STS 749/2022— cuando afirma que “si bien el Parlamento aprobó las partidas presupuestarias aludidas en el relato fáctico durante los años 2002 a 2009, también lo es que no puede afirmarse que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 Y, añade en relación con la actuación del director general del IFA/IDEA que “la aprobación parlamentaria de los distintos créditos presupuestarios no puede ser coartada para justificar los pagos ilegales. La actuación del director general de IFA/IDEA no era obligada”.</w:t>
      </w:r>
    </w:p>
    <w:p w14:paraId="60D6D47F" w14:textId="77777777" w:rsidR="003754FE" w:rsidRDefault="003754FE" w:rsidP="003754FE">
      <w:pPr>
        <w:pStyle w:val="TextoNormal"/>
      </w:pPr>
    </w:p>
    <w:p w14:paraId="75751137" w14:textId="77777777" w:rsidR="003754FE" w:rsidRDefault="003754FE" w:rsidP="003754FE">
      <w:pPr>
        <w:pStyle w:val="TextoNormal"/>
      </w:pPr>
      <w:r>
        <w:t>g) Tal errónea atribución no es inocua. Le sirve, a la sentencia que resuelve el recurso de amparo, para abrir el portillo mediante el que, de modo inadmisible y contrario a lo sostenido por el Tribunal Supremo, se permite afirmar, desentendiéndose nuevamente del contenido del recurso planteado, que: “las leyes de presupuestos de Andalucía para los años 2002 al 2009, en su programa 31L, establecieron un sistema de atribución de fondos al IFA/IDEA (las transferencias de financiación</w:t>
      </w:r>
      <w:r w:rsidRPr="003754FE">
        <w:rPr>
          <w:i/>
        </w:rPr>
        <w:t>) para la concesión de ayudas sociolaboral</w:t>
      </w:r>
      <w:r>
        <w:t>es”.</w:t>
      </w:r>
    </w:p>
    <w:p w14:paraId="6B072364" w14:textId="77777777" w:rsidR="003754FE" w:rsidRDefault="003754FE" w:rsidP="003754FE">
      <w:pPr>
        <w:pStyle w:val="TextoNormal"/>
      </w:pPr>
    </w:p>
    <w:p w14:paraId="24469184" w14:textId="77777777" w:rsidR="003754FE" w:rsidRDefault="003754FE" w:rsidP="003754FE">
      <w:pPr>
        <w:pStyle w:val="TextoNormal"/>
      </w:pPr>
      <w:r>
        <w:t>h) Tal afirmación no se corresponde con la realidad jurídica plasmada en la STS 749/2022. Las leyes no delinquieron, ni —como le atribuye la sentencia de la que discrepamos mediante la errónea atribución efectuada a la STS 749/2022— pretendieron delinquir en el caso de corrupción política más importante de la reciente historia de España. Delinquieron, como aseveran las sentencias, quienes concedieron, de modo libérrimo y voluntario, las ayudas sociolaborales y dispusieron de los fondos públicos como si fueran propios. Eso es precisamente lo que afirma la sentencia del Tribunal Supremo y no lo contrario.</w:t>
      </w:r>
    </w:p>
    <w:p w14:paraId="0FAE86F3" w14:textId="77777777" w:rsidR="003754FE" w:rsidRDefault="003754FE" w:rsidP="003754FE">
      <w:pPr>
        <w:pStyle w:val="TextoNormal"/>
      </w:pPr>
    </w:p>
    <w:p w14:paraId="75BF8410" w14:textId="77777777" w:rsidR="003754FE" w:rsidRDefault="003754FE" w:rsidP="003754FE">
      <w:pPr>
        <w:pStyle w:val="TextoNormal"/>
      </w:pPr>
      <w:r>
        <w:t xml:space="preserve">i) Ese torcimiento argumental de la sentencia, de la que discrepamos, tiene su buscado desenlace, a modo de </w:t>
      </w:r>
      <w:r w:rsidRPr="003754FE">
        <w:rPr>
          <w:i/>
        </w:rPr>
        <w:t>mantra</w:t>
      </w:r>
      <w:r>
        <w:t xml:space="preserve"> jurídico reiterado en las sucesivas sentencias que se han sometido a deliberación: “no puede considerarse ilegal ni indebido otorgar las referidas ayudas, de acuerdo con lo establecido en el programa 3.1L de las leyes de presupuestos de aquellos años y las memorias que las acompañaban (SSTC 94/2024, de 2 de julio, FJ 5.3; 96/2024, de 3 de julio de 2024, FJ 5.3; 97/2024, de 3 de julio de 2024, FJ 4.3, y 98/2024, de 3 de julio de 2024, FJ 5.3)”. </w:t>
      </w:r>
    </w:p>
    <w:p w14:paraId="0B8549D3" w14:textId="77777777" w:rsidR="003754FE" w:rsidRDefault="003754FE" w:rsidP="003754FE">
      <w:pPr>
        <w:pStyle w:val="TextoNormal"/>
      </w:pPr>
    </w:p>
    <w:p w14:paraId="61B68F85" w14:textId="77777777" w:rsidR="003754FE" w:rsidRDefault="003754FE" w:rsidP="003754FE">
      <w:pPr>
        <w:pStyle w:val="TextoNormal"/>
      </w:pPr>
      <w:r>
        <w:t>j) Recordemos, para tener presente la deriva argumental de la sentencia y la desvinculación de la misma del contenido de la demanda, que el recurrente exclusivamente planteaba, en el motivo segundo de la demanda de amparo objeto de enjuiciamiento, la vulneración del principio de legalidad penal. Para ello partía de la premisa de que carecía de la disponibilidad de los fondos públicos distraídos, por lo que no podía, a su juicio, realizar la modalidad activa ni pasiva (comisión por omisión o comisión impropia).</w:t>
      </w:r>
    </w:p>
    <w:p w14:paraId="06BCA660" w14:textId="77777777" w:rsidR="003754FE" w:rsidRDefault="003754FE" w:rsidP="003754FE">
      <w:pPr>
        <w:pStyle w:val="TextoNormal"/>
      </w:pPr>
    </w:p>
    <w:p w14:paraId="0147B935" w14:textId="77777777" w:rsidR="003754FE" w:rsidRDefault="003754FE" w:rsidP="003754FE">
      <w:pPr>
        <w:pStyle w:val="TextoNormal"/>
      </w:pPr>
      <w:r>
        <w:t>4.2.2. Cierre del círculo argumental. Proyección del ficticio argumento a la subsunción en el delito de malversación de lo que la sentencia denomina: “conductas del recurrente relacionadas con la presupuestación y la gestión de las ayudas comprendidas en el programa 31L”</w:t>
      </w:r>
    </w:p>
    <w:p w14:paraId="7B19ECCE" w14:textId="77777777" w:rsidR="003754FE" w:rsidRDefault="003754FE" w:rsidP="003754FE">
      <w:pPr>
        <w:pStyle w:val="TextoNormal"/>
      </w:pPr>
    </w:p>
    <w:p w14:paraId="2EAA60F3" w14:textId="77777777" w:rsidR="003754FE" w:rsidRDefault="003754FE" w:rsidP="003754FE">
      <w:pPr>
        <w:pStyle w:val="TextoNormal"/>
      </w:pPr>
      <w:r>
        <w:t>a) Como se ha indicado la sentencia que resuelve el recurso de amparo atribuye al Tribunal Supremo de modo inadmisible —aunque no irrelevante— la consideración de que el elemento decisivo de la calificación de la malversación es la existencia de un sistema de presupuestación ilegal. A continuación, como se ha expuesto, de modo insólito y absolutamente incompatible con lo sostenido en la sentencia del Tribunal Supremo (fundamento de Derecho 141.2.4, pág. 1066 de la STS 749/2022), la sentencia que resuelve el recurso de amparo atribuye la autoría del delito a las sucesivas leyes de presupuestos al afirmar “las leyes de presupuestos de Andalucía para los años 2002 al 2009, en su programa 31L, establecieron un sistema de atribución de fondos al IFA/IDEA (las transferencias de financiación</w:t>
      </w:r>
      <w:r w:rsidRPr="003754FE">
        <w:rPr>
          <w:i/>
        </w:rPr>
        <w:t>) para la concesión de ayudas sociolaboral</w:t>
      </w:r>
      <w:r>
        <w:t>es”.</w:t>
      </w:r>
    </w:p>
    <w:p w14:paraId="55F9E3FF" w14:textId="77777777" w:rsidR="003754FE" w:rsidRDefault="003754FE" w:rsidP="003754FE">
      <w:pPr>
        <w:pStyle w:val="TextoNormal"/>
      </w:pPr>
    </w:p>
    <w:p w14:paraId="50436E99" w14:textId="77777777" w:rsidR="003754FE" w:rsidRDefault="003754FE" w:rsidP="003754FE">
      <w:pPr>
        <w:pStyle w:val="TextoNormal"/>
      </w:pPr>
      <w:r>
        <w:t xml:space="preserve">b) Solo falta cerrar el círculo argumental, que ya adelanta cuando alude a lo que nos hemos permitido denominar —atendida su reiterada reproducción en las diversas sentencias— como </w:t>
      </w:r>
      <w:r w:rsidRPr="003754FE">
        <w:rPr>
          <w:i/>
        </w:rPr>
        <w:t>mantra</w:t>
      </w:r>
      <w:r>
        <w:t xml:space="preserve"> jurídico: “no puede considerarse ilegal ni indebido otorgar las referidas ayudas, de acuerdo con lo establecido en el programa 31L de las leyes de presupuestos de aquellos años y las memorias que las acompañaban”.</w:t>
      </w:r>
    </w:p>
    <w:p w14:paraId="27C1D368" w14:textId="77777777" w:rsidR="003754FE" w:rsidRDefault="003754FE" w:rsidP="003754FE">
      <w:pPr>
        <w:pStyle w:val="TextoNormal"/>
      </w:pPr>
    </w:p>
    <w:p w14:paraId="36CE1BB6" w14:textId="77777777" w:rsidR="003754FE" w:rsidRDefault="003754FE" w:rsidP="003754FE">
      <w:pPr>
        <w:pStyle w:val="TextoNormal"/>
      </w:pPr>
      <w:r>
        <w:t xml:space="preserve">c) Y, a partir de allí, solo queda aplicarlo en el fundamento jurídico 3.4.1. Así lo hace la sentencia que resuelve el recurso de amparo al considerar completamente imprevisible la </w:t>
      </w:r>
      <w:r>
        <w:lastRenderedPageBreak/>
        <w:t>subsunción en el delito de malversación de las modalidades de comisión [FJ 3.4.1 a) Intervención en la ejecución de ayudas y FJ 3.4.1 b) (i) y (ii) modalidad omisiva del delito de malversación] al entender imprevisible calificar de disposición ilícita la que es conforme o está amparada en las leyes de presupuestos.</w:t>
      </w:r>
    </w:p>
    <w:p w14:paraId="424993E3" w14:textId="77777777" w:rsidR="003754FE" w:rsidRDefault="003754FE" w:rsidP="003754FE">
      <w:pPr>
        <w:pStyle w:val="TextoNormal"/>
      </w:pPr>
    </w:p>
    <w:p w14:paraId="02F334B7" w14:textId="77777777" w:rsidR="003754FE" w:rsidRDefault="003754FE" w:rsidP="003754FE">
      <w:pPr>
        <w:pStyle w:val="TextoNormal"/>
      </w:pPr>
      <w:r>
        <w:t>Dicha argumentación es irracional, ilógica y extravagante pues desconoce el lógico razonamiento del Tribunal Supremo cuando indica que no puede afirmarse que el Parlamento modificara de forma implícita el uso de las transferencias de financiación para fines diferentes que la cobertura de los gastos de explotación o necesidades de capital del IFA/IDEA cuando aprobó las partidas presupuestarias aludidas en el relato fáctico durante los años 2002 a 2009, y, mucho menos, que aprobase la forma en que se llevó a cabo la ejecución del gasto, disociando concesión y pago y eludiendo los requisitos y controles establecidos en la normativa de subvenciones.</w:t>
      </w:r>
    </w:p>
    <w:p w14:paraId="17DEDDDF" w14:textId="77777777" w:rsidR="003754FE" w:rsidRDefault="003754FE" w:rsidP="003754FE">
      <w:pPr>
        <w:pStyle w:val="TextoNormal"/>
      </w:pPr>
    </w:p>
    <w:p w14:paraId="389B61C3" w14:textId="77777777" w:rsidR="003754FE" w:rsidRDefault="003754FE" w:rsidP="003754FE">
      <w:pPr>
        <w:pStyle w:val="TextoNormal"/>
      </w:pPr>
      <w:r>
        <w:t>Como afirma el Tribunal Supremo, contradiciendo palmariamente el insostenible razonamiento de la sentencia de la que discrepamos, la aprobación parlamentaria de los distintos créditos presupuestarios no puede ser coartada para justificar los pagos ilegales. La actuación de quienes efectuaron tales pagos no era obligada ni suponía aplicación de las leyes de presupuestos. Estas no aprobaron que el gasto se dedicara a finalidades distintas a los gastos de explotación o necesidades de capital.</w:t>
      </w:r>
    </w:p>
    <w:p w14:paraId="3DE8CCB4" w14:textId="77777777" w:rsidR="003754FE" w:rsidRDefault="003754FE" w:rsidP="003754FE">
      <w:pPr>
        <w:pStyle w:val="TextoNormal"/>
      </w:pPr>
    </w:p>
    <w:p w14:paraId="11E4495B" w14:textId="77777777" w:rsidR="003754FE" w:rsidRDefault="003754FE" w:rsidP="003754FE">
      <w:pPr>
        <w:pStyle w:val="TextoNormal"/>
      </w:pPr>
      <w:r>
        <w:t>4.3. La sentencia resuelve desestima el motivo realmente planteado por el recurrente [FJ 3.4.2 b) y c)]</w:t>
      </w:r>
    </w:p>
    <w:p w14:paraId="6BF76D27" w14:textId="77777777" w:rsidR="003754FE" w:rsidRDefault="003754FE" w:rsidP="003754FE">
      <w:pPr>
        <w:pStyle w:val="TextoNormal"/>
      </w:pPr>
    </w:p>
    <w:p w14:paraId="7CDE8800" w14:textId="77777777" w:rsidR="003754FE" w:rsidRDefault="003754FE" w:rsidP="003754FE">
      <w:pPr>
        <w:pStyle w:val="TextoNormal"/>
      </w:pPr>
      <w:r>
        <w:t>4.3.1 Breve síntesis de lo planteado por el recurrente</w:t>
      </w:r>
    </w:p>
    <w:p w14:paraId="2BDFAE31" w14:textId="77777777" w:rsidR="003754FE" w:rsidRDefault="003754FE" w:rsidP="003754FE">
      <w:pPr>
        <w:pStyle w:val="TextoNormal"/>
      </w:pPr>
    </w:p>
    <w:p w14:paraId="285B0920" w14:textId="77777777" w:rsidR="003754FE" w:rsidRDefault="003754FE" w:rsidP="003754FE">
      <w:pPr>
        <w:pStyle w:val="TextoNormal"/>
      </w:pPr>
      <w:r>
        <w:t>a) Como se ha expuesto en el apartado 4.1.1, el recurrente considera que no tuvo participación directa en la disposición de fondos, pues únicamente podía disponer y efectivamente dispuso de los fondos del programa 31L quien fue director general de Trabajo y Seguridad Social y que no existe resolución alguna de concesión de ayudas por su parte desde el 2000 al 2010. Ello le lleva a concluir que no se cumplen los requisitos del tipo en cuanto a la acción de sustraer. Reconoce, sin embargo, que es la modalidad de comisión por omisión la que sostiene la condena, pero indica que se fuerza artificiosamente el contenido literal del art. 432 CP pues sólo puede ser sujeto activo por comisión por omisión quien tiene a su cargo los caudales y tercero solo lo podrá ser, bien otro funcionario distinto de aquél que tuviera a su disposición los caudales por razón de su cargo o un particular. El director general de Trabajo y Seguridad Social no podía ser tercero porque tenía confiados los fondos por razón de su cargo. Afirma que no se acredita que el señor  Fernández conociera o consintiera que los beneficiarios de las ayudas, al recibirlas, actuaran bajo ilícito ánimo de lucro. Sostiene que no explica cuáles son las competencias funcionales que tenía el recurrente para evitar la sustracción conforme a lo dispuesto en el art. 11 CP.</w:t>
      </w:r>
    </w:p>
    <w:p w14:paraId="29A37A3C" w14:textId="77777777" w:rsidR="003754FE" w:rsidRDefault="003754FE" w:rsidP="003754FE">
      <w:pPr>
        <w:pStyle w:val="TextoNormal"/>
      </w:pPr>
    </w:p>
    <w:p w14:paraId="4261DF8E" w14:textId="77777777" w:rsidR="003754FE" w:rsidRDefault="003754FE" w:rsidP="003754FE">
      <w:pPr>
        <w:pStyle w:val="TextoNormal"/>
      </w:pPr>
      <w:r>
        <w:t>4.3.2 Razonamiento que estima la queja planteada por el recurrente [FJ 3.4.2 b) y c)]</w:t>
      </w:r>
    </w:p>
    <w:p w14:paraId="48BEDCF3" w14:textId="77777777" w:rsidR="003754FE" w:rsidRDefault="003754FE" w:rsidP="003754FE">
      <w:pPr>
        <w:pStyle w:val="TextoNormal"/>
      </w:pPr>
    </w:p>
    <w:p w14:paraId="2EF8F6E4" w14:textId="77777777" w:rsidR="003754FE" w:rsidRDefault="003754FE" w:rsidP="003754FE">
      <w:pPr>
        <w:pStyle w:val="TextoNormal"/>
      </w:pPr>
      <w:r>
        <w:t xml:space="preserve">a) Así planteado el motivo resulta desestimado en el fundamento jurídico 3.4.2 b) y c) de la sentencia de la que discrepamos, si bien refiriéndose exclusivamente a las conductas que califica como carentes de amparo legal, esto es: (i) la gestión global de las ayudas </w:t>
      </w:r>
      <w:r>
        <w:lastRenderedPageBreak/>
        <w:t>comprendidas en el programa 22E y (ii) el uso de fondos comprendidos en el programa 31L en ausencia o con desviación de su fin público.</w:t>
      </w:r>
    </w:p>
    <w:p w14:paraId="2CC224A0" w14:textId="77777777" w:rsidR="003754FE" w:rsidRDefault="003754FE" w:rsidP="003754FE">
      <w:pPr>
        <w:pStyle w:val="TextoNormal"/>
      </w:pPr>
    </w:p>
    <w:p w14:paraId="16D27D4B" w14:textId="77777777" w:rsidR="003754FE" w:rsidRDefault="003754FE" w:rsidP="003754FE">
      <w:pPr>
        <w:pStyle w:val="TextoNormal"/>
      </w:pPr>
      <w:r>
        <w:t>b) La premisa de la que parte la sentencia para examinar la queja en el fundamento jurídico 3.4.1., en línea con la desvinculación del contenido de la demanda, es que no considera irrazonable entender en el primer caso (gestión global de las ayudas comprendidas en el programa 22E) que era indebido la utilización de dicho programa para proceder al pago de ayudas sociolaborales y en el segundo caso (uso de fondos comprendidos en el programa 31L en ausencia o con desviación de su fin público) que carecía la disposición de causa legítima, pues en el caso de la empresa Santana no existía situación de insolvencia por lo que no concurría un fin legitimo.</w:t>
      </w:r>
    </w:p>
    <w:p w14:paraId="14F3C0C9" w14:textId="77777777" w:rsidR="003754FE" w:rsidRDefault="003754FE" w:rsidP="003754FE">
      <w:pPr>
        <w:pStyle w:val="TextoNormal"/>
      </w:pPr>
    </w:p>
    <w:p w14:paraId="289E1A27" w14:textId="77777777" w:rsidR="003754FE" w:rsidRDefault="003754FE" w:rsidP="003754FE">
      <w:pPr>
        <w:pStyle w:val="TextoNormal"/>
      </w:pPr>
      <w:r>
        <w:t>d) Sentada la ilegalidad de tales disposiciones, entra por fin a examinar la única queja del recurrente en relación con el principio de legalidad en el fundamento jurídico 3.4.2 b) y c). En tal sentido indica:</w:t>
      </w:r>
    </w:p>
    <w:p w14:paraId="3722E5BC" w14:textId="77777777" w:rsidR="003754FE" w:rsidRDefault="003754FE" w:rsidP="003754FE">
      <w:pPr>
        <w:pStyle w:val="TextoNormal"/>
      </w:pPr>
    </w:p>
    <w:p w14:paraId="75320F77" w14:textId="77777777" w:rsidR="003754FE" w:rsidRDefault="003754FE" w:rsidP="003754FE">
      <w:pPr>
        <w:pStyle w:val="TextoNormal"/>
      </w:pPr>
      <w:r>
        <w:t>(1). En relación con la modalidad activa:</w:t>
      </w:r>
    </w:p>
    <w:p w14:paraId="33133EDD" w14:textId="77777777" w:rsidR="003754FE" w:rsidRDefault="003754FE" w:rsidP="003754FE">
      <w:pPr>
        <w:pStyle w:val="TextoNormal"/>
      </w:pPr>
    </w:p>
    <w:p w14:paraId="6408B978" w14:textId="77777777" w:rsidR="003754FE" w:rsidRDefault="003754FE" w:rsidP="003754FE">
      <w:pPr>
        <w:pStyle w:val="TextoNormal"/>
      </w:pPr>
      <w:r>
        <w:t>(i) “[E]l señor. Fernández García fue condenado en relación con las ayudas comprendidas en el programa 22E no solo por haber intervenido en las modificaciones presupuestarias que arbitraron los fondos para el pago de las ayudas sociolaborales, sino por haber firmado como presidente del IFA numerosos convenios particulares con el director general de Trabajo a través de los cuales se materializaron concretas ayudas.” [FJ 3.4.2 b)].</w:t>
      </w:r>
    </w:p>
    <w:p w14:paraId="0BD8B070" w14:textId="77777777" w:rsidR="003754FE" w:rsidRDefault="003754FE" w:rsidP="003754FE">
      <w:pPr>
        <w:pStyle w:val="TextoNormal"/>
      </w:pPr>
    </w:p>
    <w:p w14:paraId="7F6E5EE4" w14:textId="77777777" w:rsidR="003754FE" w:rsidRDefault="003754FE" w:rsidP="003754FE">
      <w:pPr>
        <w:pStyle w:val="TextoNormal"/>
      </w:pPr>
      <w:r>
        <w:t>(ii) En relación con la ejecución del programa 31L, “el actor siguió firmando convenios hasta el 28 de enero de 2003 en su condición de presidente del IFA. El recurrente no ha cuestionado esta calificación de la firma de convenios, que, por otro lado, el tribunal no ha juzgado contraria al art. 25.1 CE. […] Esa conclusión impide ahora mutatis mutandis acoger la premisa fáctica de la que parte el actor, esto es, que no dictó resolución alguna de disposición directa de fondos, ya que firmó convenios en su condición de presidente del IFA” [FJ 3.4.2 b)].</w:t>
      </w:r>
    </w:p>
    <w:p w14:paraId="24982923" w14:textId="77777777" w:rsidR="003754FE" w:rsidRDefault="003754FE" w:rsidP="003754FE">
      <w:pPr>
        <w:pStyle w:val="TextoNormal"/>
      </w:pPr>
    </w:p>
    <w:p w14:paraId="482FD87E" w14:textId="77777777" w:rsidR="003754FE" w:rsidRDefault="003754FE" w:rsidP="003754FE">
      <w:pPr>
        <w:pStyle w:val="TextoNormal"/>
      </w:pPr>
      <w:r>
        <w:t>(iii) “[L]la calificación de la conducta del recurrente como autoría de un delito continuado de malversación se apoya en importante medida en su relevante papel en la gestión y concesión de las ayudas; dictando instrucciones sobre la aplicación del convenio marco, imponiendo criterios de cuantificación y otras medidas orientadas a eludir los controles de las ayudas externos a la Consejería de Empleo y decidiendo discrecionalmente sobre las empresas beneficiarias y el importe dispuesto. La consideración de que los distintos intervinientes en la concesión y pago de las ayudas sociolaborales como los que aprobaban los créditos presupuestarios haciendo posible dicha conducta son autores de un delito consumado de malversación atiende igualmente a la complejidad de los hechos y de la estructura administrativa que los hizo posibles. La atención al carácter determinante de las distintas conductas de quienes tenían capacidad de disposición para calificarlas de autoría no puede considerarse imprevisible y, por ende, contraria al art. 25.1 CE” [FJ 3.4.2 b)].</w:t>
      </w:r>
    </w:p>
    <w:p w14:paraId="53422209" w14:textId="77777777" w:rsidR="003754FE" w:rsidRDefault="003754FE" w:rsidP="003754FE">
      <w:pPr>
        <w:pStyle w:val="TextoNormal"/>
      </w:pPr>
    </w:p>
    <w:p w14:paraId="1A5F4205" w14:textId="77777777" w:rsidR="003754FE" w:rsidRDefault="003754FE" w:rsidP="003754FE">
      <w:pPr>
        <w:pStyle w:val="TextoNormal"/>
      </w:pPr>
      <w:r>
        <w:t>(2). En relación con la comisión por omisión:</w:t>
      </w:r>
    </w:p>
    <w:p w14:paraId="3635550A" w14:textId="77777777" w:rsidR="003754FE" w:rsidRDefault="003754FE" w:rsidP="003754FE">
      <w:pPr>
        <w:pStyle w:val="TextoNormal"/>
      </w:pPr>
    </w:p>
    <w:p w14:paraId="38F589CD" w14:textId="77777777" w:rsidR="003754FE" w:rsidRDefault="003754FE" w:rsidP="003754FE">
      <w:pPr>
        <w:pStyle w:val="TextoNormal"/>
      </w:pPr>
      <w:r>
        <w:lastRenderedPageBreak/>
        <w:t>(iv) “la afirmación de que no tenía facultades de disposición sobre los fondos no resulta admisible de acuerdo con la consideración que se acaba de examinar” [FJ 3.4.2 c)].</w:t>
      </w:r>
    </w:p>
    <w:p w14:paraId="28CB3B1F" w14:textId="77777777" w:rsidR="003754FE" w:rsidRDefault="003754FE" w:rsidP="003754FE">
      <w:pPr>
        <w:pStyle w:val="TextoNormal"/>
      </w:pPr>
    </w:p>
    <w:p w14:paraId="77F3127E" w14:textId="77777777" w:rsidR="003754FE" w:rsidRDefault="003754FE" w:rsidP="003754FE">
      <w:pPr>
        <w:pStyle w:val="TextoNormal"/>
      </w:pPr>
      <w:r>
        <w:t>(v) En relación con el concepto de tercero, indica que la comprensión de la sentencia del Tribunal Supremo “no rebasa el tenor literal del precepto, que alude sin más a ‘un tercero’, y. responde a una interpretación teleológica orientada a la tutela de los intereses protegidos en absoluto extravagante, sin que quepa censura alguna desde la perspectiva del derecho fundamental a la legalidad penal (art. 25.1 CE)”.</w:t>
      </w:r>
    </w:p>
    <w:p w14:paraId="3F985B6E" w14:textId="77777777" w:rsidR="003754FE" w:rsidRDefault="003754FE" w:rsidP="003754FE">
      <w:pPr>
        <w:pStyle w:val="TextoNormal"/>
      </w:pPr>
    </w:p>
    <w:p w14:paraId="4D403581" w14:textId="77777777" w:rsidR="003754FE" w:rsidRDefault="003754FE" w:rsidP="003754FE">
      <w:pPr>
        <w:pStyle w:val="TextoNormal"/>
      </w:pPr>
      <w:r>
        <w:t>(vi) En relación con la posición de garante del recurrente indica que “[n]o resulta en modo alguno imprevisible ni metodológica o axiológicamente reprochable el entendimiento de que el recurrente, como alto cargo de la Consejería de Empleo que otorgaba las ayudas con cargo a partidas que dependían de ese departamento, se encontraba, en una posición funcional y competencial idónea para tomar medidas tendentes a evitar que se realizaran actos dé disposición con fondos procedentes del programa 31L a fines distintos de aquellos presupuestariamente autorizados como era su deber”.</w:t>
      </w:r>
    </w:p>
    <w:p w14:paraId="542355FD" w14:textId="77777777" w:rsidR="003754FE" w:rsidRDefault="003754FE" w:rsidP="003754FE">
      <w:pPr>
        <w:pStyle w:val="TextoNormal"/>
      </w:pPr>
    </w:p>
    <w:p w14:paraId="7C3A34F3" w14:textId="77777777" w:rsidR="003754FE" w:rsidRDefault="003754FE" w:rsidP="003754FE">
      <w:pPr>
        <w:pStyle w:val="TextoNormal"/>
      </w:pPr>
      <w:r>
        <w:t>(vii) Concluye su exposición al indicar que: “A la luz de todo lo expuesto ha de desestimarse la vulneración del derecho a la legalidad penal (art. 25.1 CE) en relación con la aplicación del delito de malversación a las conductas del demandante vinculadas al programa 22E de los años 2000 y 2001 y a las conductas que impliquen un uso de los fondos incluidos en el programa 31L en ausencia o con desviación de su fin público”.</w:t>
      </w:r>
    </w:p>
    <w:p w14:paraId="20C2EC66" w14:textId="77777777" w:rsidR="003754FE" w:rsidRDefault="003754FE" w:rsidP="003754FE">
      <w:pPr>
        <w:pStyle w:val="TextoNormal"/>
      </w:pPr>
    </w:p>
    <w:p w14:paraId="5519FB9D" w14:textId="77777777" w:rsidR="003754FE" w:rsidRDefault="003754FE" w:rsidP="003754FE">
      <w:pPr>
        <w:pStyle w:val="TextoNormal"/>
      </w:pPr>
      <w:r>
        <w:t>4.3.3. Conclusión: la vulneración del derecho a la legalidad penal planteada por el recurrente debió ser desestimada tal y como indica la sentencia</w:t>
      </w:r>
    </w:p>
    <w:p w14:paraId="259BF08B" w14:textId="77777777" w:rsidR="003754FE" w:rsidRDefault="003754FE" w:rsidP="003754FE">
      <w:pPr>
        <w:pStyle w:val="TextoNormal"/>
      </w:pPr>
    </w:p>
    <w:p w14:paraId="228EC1EA" w14:textId="77777777" w:rsidR="003754FE" w:rsidRDefault="003754FE" w:rsidP="003754FE">
      <w:pPr>
        <w:pStyle w:val="TextoNormal"/>
      </w:pPr>
      <w:r>
        <w:t>a) La sentencia desestima la única queja que bajo el paraguas del derecho a la legalidad penal (art. 25.1 CE) hizo el recurrente en el motivo segundo de su demanda y lo hace en términos claros: no es contrario a tal derecho atribuir al recurrente su participación activa en la disposición de fondos y su participación por comisión por omisión, atendida la posición que ocupaba en la Junta de Andalucía y la razonable interpretación, metodológica, axiológica y teleológica que efectúa la sentencia del concepto sustraer, tener a su cargo y del concepto de tercero. Ese pronunciamiento, debió llevar a desestimar la queja planteada por el recurrente y con ella la demanda de amparo.</w:t>
      </w:r>
    </w:p>
    <w:p w14:paraId="1C7C91AC" w14:textId="77777777" w:rsidR="003754FE" w:rsidRDefault="003754FE" w:rsidP="003754FE">
      <w:pPr>
        <w:pStyle w:val="TextoNormal"/>
      </w:pPr>
    </w:p>
    <w:p w14:paraId="3982C977" w14:textId="77777777" w:rsidR="003754FE" w:rsidRDefault="003754FE" w:rsidP="003754FE">
      <w:pPr>
        <w:pStyle w:val="TextoNormal"/>
      </w:pPr>
      <w:r>
        <w:t>b) La sentencia ha incurrido en una inadmisible deriva argumental pues la demanda de amparo planteaba un problema que nada tenía que ver con “la legitimidad” y “la licitud” o no de los actos de disposición de fondos, esto es, si se ajustaban o no a las leyes de presupuestos, si se apartaban o no de los fines legítimos que tales leyes establecían. La sentencia efectúa una revisión de oficio de la sentencia de instancia y de casación inadmisible desde todo punto de vista para alcanzar la conclusión estimatoria de la demanda.</w:t>
      </w:r>
    </w:p>
    <w:p w14:paraId="302169C4" w14:textId="77777777" w:rsidR="003754FE" w:rsidRDefault="003754FE" w:rsidP="003754FE">
      <w:pPr>
        <w:pStyle w:val="TextoNormal"/>
      </w:pPr>
    </w:p>
    <w:p w14:paraId="05740D86" w14:textId="77777777" w:rsidR="003754FE" w:rsidRDefault="003754FE" w:rsidP="003754FE">
      <w:pPr>
        <w:pStyle w:val="TextoNormal"/>
      </w:pPr>
      <w:r>
        <w:t>En atención a lo expuesto formulamos el presente voto particular.</w:t>
      </w:r>
    </w:p>
    <w:p w14:paraId="7ADBBECA" w14:textId="77777777" w:rsidR="003754FE" w:rsidRDefault="003754FE" w:rsidP="003754FE">
      <w:pPr>
        <w:pStyle w:val="TextoNormal"/>
      </w:pPr>
    </w:p>
    <w:p w14:paraId="38A50623" w14:textId="5B333C26" w:rsidR="003754FE" w:rsidRDefault="003754FE" w:rsidP="003754FE">
      <w:pPr>
        <w:pStyle w:val="TextoNormal"/>
      </w:pPr>
      <w:r>
        <w:t>Madrid, a tres de julio de dos mil veinticuatro.</w:t>
      </w:r>
    </w:p>
    <w:p w14:paraId="662C4E0A" w14:textId="4CBAC5A6" w:rsidR="003754FE" w:rsidRDefault="003754FE">
      <w:pPr>
        <w:spacing w:after="160" w:line="278" w:lineRule="auto"/>
        <w:rPr>
          <w:rFonts w:ascii="Times New Roman" w:eastAsia="Times New Roman" w:hAnsi="Times New Roman" w:cs="Times New Roman"/>
          <w:sz w:val="24"/>
          <w:szCs w:val="24"/>
          <w:lang w:eastAsia="es-ES"/>
        </w:rPr>
      </w:pPr>
      <w:r>
        <w:br w:type="page"/>
      </w:r>
    </w:p>
    <w:p w14:paraId="4BE0ECFB" w14:textId="77777777" w:rsidR="003754FE" w:rsidRDefault="003754FE" w:rsidP="003754FE">
      <w:pPr>
        <w:pStyle w:val="TtuloResolucin"/>
      </w:pPr>
      <w:bookmarkStart w:id="5" w:name="SENTENCIA_2024_96"/>
      <w:r>
        <w:lastRenderedPageBreak/>
        <w:t>SENTENCIA 96/2024, de 3 de julio de 2024</w:t>
      </w:r>
    </w:p>
    <w:bookmarkEnd w:id="5"/>
    <w:p w14:paraId="2906DA92" w14:textId="77777777" w:rsidR="003754FE" w:rsidRDefault="003754FE" w:rsidP="003754FE">
      <w:pPr>
        <w:pStyle w:val="TtuloResolucin"/>
      </w:pPr>
      <w:r>
        <w:t>Pleno</w:t>
      </w:r>
    </w:p>
    <w:p w14:paraId="5ED6A0C0" w14:textId="77777777" w:rsidR="003754FE" w:rsidRDefault="003754FE" w:rsidP="003754FE">
      <w:pPr>
        <w:pStyle w:val="TtuloBOE"/>
      </w:pPr>
      <w:r>
        <w:t>(BOE núm. 186, de 2 de agosto de 2024)</w:t>
      </w:r>
    </w:p>
    <w:p w14:paraId="733EFBE8" w14:textId="77777777" w:rsidR="003754FE" w:rsidRDefault="003754FE" w:rsidP="003754FE">
      <w:pPr>
        <w:pStyle w:val="TextoNormalCentrado"/>
      </w:pPr>
      <w:r>
        <w:t>ECLI:ES:TC:2024:96</w:t>
      </w:r>
    </w:p>
    <w:p w14:paraId="72154ECD" w14:textId="367CF7E6" w:rsidR="003754FE" w:rsidRDefault="003754FE" w:rsidP="003754FE">
      <w:pPr>
        <w:pStyle w:val="TextoNormalCentrado"/>
      </w:pPr>
    </w:p>
    <w:p w14:paraId="200C912F" w14:textId="77777777" w:rsidR="003754FE" w:rsidRDefault="003754FE" w:rsidP="003754FE">
      <w:pPr>
        <w:pStyle w:val="SntesisDescriptiva"/>
      </w:pPr>
      <w:r>
        <w:t>Recurso de amparo 2360-2023. Promovido por don Francisco Vallejo Serrano respecto de las sentencias dictadas por la Sala de lo Penal del Tribunal Supremo y la Audiencia Provincial de Sevilla que le condenaron por un delito continuado de prevaricación en concurso medial con un delito continuado de malversación de caudales públicos.</w:t>
      </w:r>
    </w:p>
    <w:p w14:paraId="763DCEC1" w14:textId="5AF5BAD0" w:rsidR="003754FE" w:rsidRDefault="003754FE" w:rsidP="003754FE">
      <w:pPr>
        <w:pStyle w:val="SntesisDescriptiva"/>
      </w:pPr>
    </w:p>
    <w:p w14:paraId="5CDA348F" w14:textId="77777777" w:rsidR="003754FE" w:rsidRDefault="003754FE" w:rsidP="003754FE">
      <w:pPr>
        <w:pStyle w:val="SntesisAnaltica"/>
      </w:pPr>
      <w:r>
        <w:t>Vulneración del derecho a la legalidad penal y a la presunción de inocencia: condena basada en una interpretación del todo imprevisible del tipo objetivo. Votos particulares.</w:t>
      </w:r>
    </w:p>
    <w:p w14:paraId="7DC08728" w14:textId="5E0E1220" w:rsidR="003754FE" w:rsidRDefault="003754FE" w:rsidP="003754FE">
      <w:pPr>
        <w:pStyle w:val="SntesisAnaltica"/>
      </w:pPr>
    </w:p>
    <w:p w14:paraId="4CA724F1" w14:textId="3208655F" w:rsidR="003754FE" w:rsidRDefault="003754FE" w:rsidP="003754FE">
      <w:pPr>
        <w:pStyle w:val="Extracto"/>
      </w:pPr>
      <w:r>
        <w:t>1.</w:t>
      </w:r>
      <w:r>
        <w:tab/>
        <w:t xml:space="preserve">En el marco de la serie de sentencias dictadas en relación con el denominado proceso “ERE”, -que en este caso derivó en condena por delito continuado de prevaricación administrativa del art. 404 CP, en concurso medial con un delito continuado de malversación de caudales públicos del art. 432 CP-, se reitera doctrina en materia de la vulneración de los derechos a la legalidad penal </w:t>
      </w:r>
      <w:r w:rsidRPr="003754FE">
        <w:rPr>
          <w:i/>
        </w:rPr>
        <w:t xml:space="preserve">ex </w:t>
      </w:r>
      <w:r>
        <w:t xml:space="preserve">art. 25.1 CE y a la presunción de inocencia </w:t>
      </w:r>
      <w:r w:rsidRPr="003754FE">
        <w:rPr>
          <w:i/>
        </w:rPr>
        <w:t>ex</w:t>
      </w:r>
      <w:r>
        <w:t xml:space="preserve"> art. 24.2 CE (SSTC 93/2024 y 94/2024) [FFJJ 4 a 7].</w:t>
      </w:r>
    </w:p>
    <w:p w14:paraId="4D5B1084" w14:textId="77777777" w:rsidR="003754FE" w:rsidRDefault="003754FE" w:rsidP="003754FE">
      <w:pPr>
        <w:pStyle w:val="Extracto"/>
      </w:pPr>
    </w:p>
    <w:p w14:paraId="367A5C10" w14:textId="77777777" w:rsidR="003754FE" w:rsidRDefault="003754FE" w:rsidP="003754FE">
      <w:pPr>
        <w:pStyle w:val="Extracto"/>
      </w:pPr>
    </w:p>
    <w:p w14:paraId="785C25F4"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7366D312" w14:textId="339864B4" w:rsidR="003754FE" w:rsidRDefault="003754FE" w:rsidP="003754FE">
      <w:pPr>
        <w:pStyle w:val="TextoNormal"/>
      </w:pPr>
    </w:p>
    <w:p w14:paraId="39514814" w14:textId="77777777" w:rsidR="003754FE" w:rsidRDefault="003754FE" w:rsidP="003754FE">
      <w:pPr>
        <w:pStyle w:val="TextoNormalCentrado"/>
        <w:keepNext/>
      </w:pPr>
      <w:r>
        <w:t>EN NOMBRE DEL REY</w:t>
      </w:r>
    </w:p>
    <w:p w14:paraId="01D14691" w14:textId="548CD196" w:rsidR="003754FE" w:rsidRDefault="003754FE" w:rsidP="003754FE">
      <w:pPr>
        <w:pStyle w:val="TextoNormalCentrado"/>
        <w:keepNext/>
      </w:pPr>
    </w:p>
    <w:p w14:paraId="037B4C13" w14:textId="77777777" w:rsidR="003754FE" w:rsidRDefault="003754FE" w:rsidP="003754FE">
      <w:pPr>
        <w:pStyle w:val="TextoNormalCentrado"/>
        <w:keepNext/>
      </w:pPr>
    </w:p>
    <w:p w14:paraId="301341E5" w14:textId="77777777" w:rsidR="003754FE" w:rsidRDefault="003754FE" w:rsidP="003754FE">
      <w:pPr>
        <w:pStyle w:val="TextoNormal"/>
      </w:pPr>
      <w:r>
        <w:t>la siguiente</w:t>
      </w:r>
    </w:p>
    <w:p w14:paraId="1586E422" w14:textId="72EAAD9C" w:rsidR="003754FE" w:rsidRDefault="003754FE" w:rsidP="003754FE">
      <w:pPr>
        <w:pStyle w:val="TextoNormal"/>
      </w:pPr>
    </w:p>
    <w:p w14:paraId="05718FC3" w14:textId="77777777" w:rsidR="003754FE" w:rsidRDefault="003754FE" w:rsidP="003754FE">
      <w:pPr>
        <w:pStyle w:val="TextoNormalCentrado"/>
        <w:keepNext/>
      </w:pPr>
      <w:r>
        <w:t>SENTENCIA</w:t>
      </w:r>
    </w:p>
    <w:p w14:paraId="14281348" w14:textId="607862C2" w:rsidR="003754FE" w:rsidRDefault="003754FE" w:rsidP="003754FE">
      <w:pPr>
        <w:pStyle w:val="TextoNormalCentrado"/>
        <w:keepNext/>
      </w:pPr>
    </w:p>
    <w:p w14:paraId="5B80AD70" w14:textId="77777777" w:rsidR="003754FE" w:rsidRDefault="003754FE" w:rsidP="003754FE">
      <w:pPr>
        <w:pStyle w:val="TextoNormal"/>
      </w:pPr>
      <w:r>
        <w:t xml:space="preserve">En el recurso de amparo núm. 2360-2023, promovido por don Francisco Vallejo Serrano, representado por la procuradora de los tribunales doña Patricia Rosch Iglesias, bajo la dirección letrada de doña María Encarnación Molino Barrero, contra la sentencia núm. 490/2019, de 19 de noviembre, dictada por la Sección Primera de la Audiencia Provincial de Sevilla en el rollo núm. 1965-2017, dimanante del procedimiento abreviado núm. 133-2016; la sentencia núm. 749/2022, de 13 de septiembre, de la Sala de lo Penal del Tribunal Supremo, dictada en el recurso de casación núm. 601-2020, y el auto de 16 de febrero de 2023 dictado en el mismo recurso. Han sido parte el Partido Popular, representado por el procurador de los tribunales don Manuel Sánchez-Puelles y González-Carvajal, bajo la dirección técnica de los letrados don Ángel Márquez Prieto y don Alfonso Martínez Escribano; don José Antonio Griñán Martínez y don Antonio Vicente Lozano Peña, </w:t>
      </w:r>
      <w:r>
        <w:lastRenderedPageBreak/>
        <w:t>representados por el procurador de los tribunales don Roberto Granizo Palomeque, bajo la dirección técnica del letrado don José María Calero Martínez; don Jesús María Rodríguez Román, representado por la procuradora de los tribunales doña Patricia Rosch Iglesias, bajo la dirección técnica del letrado don Luis Aparicio Díaz; doña Carmen Martínez Aguayo, representada por la procuradora de los tribunales doña Olga Coca Alonso, bajo la dirección técnica del letrado don Víctor Moreno Catena, y don Gaspar Zarrías Arévalo, representado por la procuradora de los tribunales doña Virginia Aragón Segura, bajo la dirección técnica del letrado don Gonzalo Martínez-Fresneda Ortiz de Solórzano. Ha intervenido el Ministerio Fiscal. Ha sido ponente la magistrada doña Inmaculada Montalbán Huertas.</w:t>
      </w:r>
    </w:p>
    <w:p w14:paraId="0CDA6E45" w14:textId="4E8B9284" w:rsidR="003754FE" w:rsidRDefault="003754FE" w:rsidP="003754FE">
      <w:pPr>
        <w:pStyle w:val="TextoNormal"/>
      </w:pPr>
    </w:p>
    <w:p w14:paraId="428492AC" w14:textId="77777777" w:rsidR="003754FE" w:rsidRDefault="003754FE" w:rsidP="003754FE">
      <w:pPr>
        <w:pStyle w:val="TextoNormalNegritaCentrado"/>
        <w:keepNext/>
      </w:pPr>
      <w:r>
        <w:t>I. Antecedentes</w:t>
      </w:r>
    </w:p>
    <w:p w14:paraId="12349E6C" w14:textId="07AE3DC6" w:rsidR="003754FE" w:rsidRDefault="003754FE" w:rsidP="003754FE">
      <w:pPr>
        <w:pStyle w:val="TextoNormalNegritaCentrado"/>
        <w:keepNext/>
      </w:pPr>
    </w:p>
    <w:p w14:paraId="4E8284E6" w14:textId="7C544FF7" w:rsidR="003754FE" w:rsidRDefault="003754FE" w:rsidP="003754FE">
      <w:pPr>
        <w:pStyle w:val="TextoNormal"/>
      </w:pPr>
      <w:r w:rsidRPr="003754FE">
        <w:rPr>
          <w:rStyle w:val="NumeroAFNegritaCaracter"/>
        </w:rPr>
        <w:t>1</w:t>
      </w:r>
      <w:r>
        <w:t>. El 10 de abril de 2023 tuvo entrada en el registro general de este tribunal un escrito presentado por la procuradora de los tribunales doña Patricia Rosch Iglesias, actuando en nombre y representación de don Francisco Vallejo Serrano, bajo la dirección letrada de la abogada doña María Encarnación Molino Barrero, mediante el que interpuso recurso de amparo contra las resoluciones judiciales que se mencionan en el encabezamiento.</w:t>
      </w:r>
    </w:p>
    <w:p w14:paraId="3527DC68" w14:textId="77777777" w:rsidR="003754FE" w:rsidRDefault="003754FE" w:rsidP="003754FE">
      <w:pPr>
        <w:pStyle w:val="TextoNormal"/>
      </w:pPr>
    </w:p>
    <w:p w14:paraId="66220436" w14:textId="77777777" w:rsidR="003754FE" w:rsidRDefault="003754FE" w:rsidP="003754FE">
      <w:pPr>
        <w:pStyle w:val="TextoNormal"/>
      </w:pPr>
      <w:r w:rsidRPr="003754FE">
        <w:rPr>
          <w:rStyle w:val="NumeroAFNegritaCaracter"/>
        </w:rPr>
        <w:t>2</w:t>
      </w:r>
      <w:r>
        <w:t>. Son antecedentes relevantes de la demanda los siguientes:</w:t>
      </w:r>
    </w:p>
    <w:p w14:paraId="59B58DD1" w14:textId="77777777" w:rsidR="003754FE" w:rsidRDefault="003754FE" w:rsidP="003754FE">
      <w:pPr>
        <w:pStyle w:val="TextoNormal"/>
      </w:pPr>
    </w:p>
    <w:p w14:paraId="064363BD" w14:textId="77777777" w:rsidR="003754FE" w:rsidRDefault="003754FE" w:rsidP="003754FE">
      <w:pPr>
        <w:pStyle w:val="TextoNormal"/>
      </w:pPr>
      <w:r>
        <w:t>a) Las resoluciones impugnadas en el presente proceso de amparo han sido dictadas en el marco de la denominada “pieza específica” del caso “ERE”, en la que fueron condenados diversos miembros del Gobierno y de la administración de la Junta de Andalucía —incluyendo desde presidentes de la comunidad autónoma a directores generales— por haber intervenido, a lo largo de casi diez años, en el diseño y/o ejecución de un sistema ilegal de concesión de ayudas sociolaborales. Según el resumen efectuado por el Tribunal Supremo en la sentencia de casación (folio 97 y siguientes), los hechos en los que se habría articulado ese sistema de concesión ilegal de ayudas sociolaborales se dividirían en tres etapas diferentes:</w:t>
      </w:r>
    </w:p>
    <w:p w14:paraId="15FA0F1E" w14:textId="77777777" w:rsidR="003754FE" w:rsidRDefault="003754FE" w:rsidP="003754FE">
      <w:pPr>
        <w:pStyle w:val="TextoNormal"/>
      </w:pPr>
    </w:p>
    <w:p w14:paraId="0D62E339" w14:textId="77777777" w:rsidR="003754FE" w:rsidRDefault="003754FE" w:rsidP="003754FE">
      <w:pPr>
        <w:pStyle w:val="TextoNormal"/>
      </w:pPr>
      <w:r>
        <w:t xml:space="preserve">“I) </w:t>
      </w:r>
      <w:r w:rsidRPr="003754FE">
        <w:rPr>
          <w:i/>
        </w:rPr>
        <w:t>Primera etapa</w:t>
      </w:r>
    </w:p>
    <w:p w14:paraId="7A8B1A1F" w14:textId="77777777" w:rsidR="003754FE" w:rsidRDefault="003754FE" w:rsidP="003754FE">
      <w:pPr>
        <w:pStyle w:val="TextoNormal"/>
      </w:pPr>
    </w:p>
    <w:p w14:paraId="6C923E5C" w14:textId="77777777" w:rsidR="003754FE" w:rsidRDefault="003754FE" w:rsidP="003754FE">
      <w:pPr>
        <w:pStyle w:val="TextoNormal"/>
      </w:pPr>
      <w:r>
        <w:t>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14:paraId="65D5C44D" w14:textId="77777777" w:rsidR="003754FE" w:rsidRDefault="003754FE" w:rsidP="003754FE">
      <w:pPr>
        <w:pStyle w:val="TextoNormal"/>
      </w:pPr>
    </w:p>
    <w:p w14:paraId="0626AB08" w14:textId="77777777" w:rsidR="003754FE" w:rsidRDefault="003754FE" w:rsidP="003754FE">
      <w:pPr>
        <w:pStyle w:val="TextoNormal"/>
      </w:pPr>
      <w:r>
        <w:t>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14:paraId="75828B49" w14:textId="77777777" w:rsidR="003754FE" w:rsidRDefault="003754FE" w:rsidP="003754FE">
      <w:pPr>
        <w:pStyle w:val="TextoNormal"/>
      </w:pPr>
    </w:p>
    <w:p w14:paraId="26956F92" w14:textId="77777777" w:rsidR="003754FE" w:rsidRDefault="003754FE" w:rsidP="003754FE">
      <w:pPr>
        <w:pStyle w:val="TextoNormal"/>
      </w:pPr>
      <w:r>
        <w:lastRenderedPageBreak/>
        <w:t>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14:paraId="0CB52DAA" w14:textId="77777777" w:rsidR="003754FE" w:rsidRDefault="003754FE" w:rsidP="003754FE">
      <w:pPr>
        <w:pStyle w:val="TextoNormal"/>
      </w:pPr>
    </w:p>
    <w:p w14:paraId="6068E5C7" w14:textId="77777777" w:rsidR="003754FE" w:rsidRDefault="003754FE" w:rsidP="003754FE">
      <w:pPr>
        <w:pStyle w:val="TextoNormal"/>
      </w:pPr>
      <w:r>
        <w:t>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14:paraId="52163E84" w14:textId="77777777" w:rsidR="003754FE" w:rsidRDefault="003754FE" w:rsidP="003754FE">
      <w:pPr>
        <w:pStyle w:val="TextoNormal"/>
      </w:pPr>
    </w:p>
    <w:p w14:paraId="71504F96" w14:textId="77777777" w:rsidR="003754FE" w:rsidRDefault="003754FE" w:rsidP="003754FE">
      <w:pPr>
        <w:pStyle w:val="TextoNormal"/>
      </w:pPr>
      <w:r>
        <w:t>Sin perjuicio de ahondar más adelante en el régimen jurídico aplicable a estas ayudas, las notas más relevantes de esta regulación eran las siguientes:</w:t>
      </w:r>
    </w:p>
    <w:p w14:paraId="6ADEC192" w14:textId="77777777" w:rsidR="003754FE" w:rsidRDefault="003754FE" w:rsidP="003754FE">
      <w:pPr>
        <w:pStyle w:val="TextoNormal"/>
      </w:pPr>
    </w:p>
    <w:p w14:paraId="13C04902" w14:textId="77777777" w:rsidR="003754FE" w:rsidRDefault="003754FE" w:rsidP="003754FE">
      <w:pPr>
        <w:pStyle w:val="TextoNormal"/>
      </w:pPr>
      <w:r>
        <w:t>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14:paraId="4AAEF8F1" w14:textId="77777777" w:rsidR="003754FE" w:rsidRDefault="003754FE" w:rsidP="003754FE">
      <w:pPr>
        <w:pStyle w:val="TextoNormal"/>
      </w:pPr>
    </w:p>
    <w:p w14:paraId="46DBF1AE" w14:textId="77777777" w:rsidR="003754FE" w:rsidRDefault="003754FE" w:rsidP="003754FE">
      <w:pPr>
        <w:pStyle w:val="TextoNormal"/>
      </w:pPr>
      <w:r>
        <w:t>Los beneficiarios de la subvención quedaban sujetos a las siguientes obligaciones:</w:t>
      </w:r>
    </w:p>
    <w:p w14:paraId="11713CBC" w14:textId="77777777" w:rsidR="003754FE" w:rsidRDefault="003754FE" w:rsidP="003754FE">
      <w:pPr>
        <w:pStyle w:val="TextoNormal"/>
      </w:pPr>
    </w:p>
    <w:p w14:paraId="1AC74BCB" w14:textId="77777777" w:rsidR="003754FE" w:rsidRDefault="003754FE" w:rsidP="003754FE">
      <w:pPr>
        <w:pStyle w:val="TextoNormal"/>
      </w:pPr>
      <w:r>
        <w:t>(i) Realizar la actividad o adoptar el comportamiento que fundamente la concesión de la subvención en la forma y plazos establecidos.</w:t>
      </w:r>
    </w:p>
    <w:p w14:paraId="7E5500D3" w14:textId="77777777" w:rsidR="003754FE" w:rsidRDefault="003754FE" w:rsidP="003754FE">
      <w:pPr>
        <w:pStyle w:val="TextoNormal"/>
      </w:pPr>
    </w:p>
    <w:p w14:paraId="72DA2287" w14:textId="77777777" w:rsidR="003754FE" w:rsidRDefault="003754FE" w:rsidP="003754FE">
      <w:pPr>
        <w:pStyle w:val="TextoNormal"/>
      </w:pPr>
      <w:r>
        <w:t>(ii) Justificar ante la entidad concedente o, en su caso, la entidad colaboradora la realización de la actividad o la adopción del comportamiento, así como el cumplimiento de los requisitos y condiciones que determinen la concesión o disfrute de la subvención.</w:t>
      </w:r>
    </w:p>
    <w:p w14:paraId="7BC7DDF1" w14:textId="77777777" w:rsidR="003754FE" w:rsidRDefault="003754FE" w:rsidP="003754FE">
      <w:pPr>
        <w:pStyle w:val="TextoNormal"/>
      </w:pPr>
    </w:p>
    <w:p w14:paraId="18228F5E" w14:textId="77777777" w:rsidR="003754FE" w:rsidRDefault="003754FE" w:rsidP="003754FE">
      <w:pPr>
        <w:pStyle w:val="TextoNormal"/>
      </w:pPr>
      <w:r>
        <w:t>(iii)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14:paraId="145A0416" w14:textId="77777777" w:rsidR="003754FE" w:rsidRDefault="003754FE" w:rsidP="003754FE">
      <w:pPr>
        <w:pStyle w:val="TextoNormal"/>
      </w:pPr>
    </w:p>
    <w:p w14:paraId="035DFD75" w14:textId="77777777" w:rsidR="003754FE" w:rsidRDefault="003754FE" w:rsidP="003754FE">
      <w:pPr>
        <w:pStyle w:val="TextoNormal"/>
      </w:pPr>
      <w:r>
        <w:t>(iv)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14:paraId="3F0B7144" w14:textId="77777777" w:rsidR="003754FE" w:rsidRDefault="003754FE" w:rsidP="003754FE">
      <w:pPr>
        <w:pStyle w:val="TextoNormal"/>
      </w:pPr>
    </w:p>
    <w:p w14:paraId="1246E6CD" w14:textId="77777777" w:rsidR="003754FE" w:rsidRDefault="003754FE" w:rsidP="003754FE">
      <w:pPr>
        <w:pStyle w:val="TextoNormal"/>
      </w:pPr>
      <w:r>
        <w:t>(v)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14:paraId="3AB8A9C4" w14:textId="77777777" w:rsidR="003754FE" w:rsidRDefault="003754FE" w:rsidP="003754FE">
      <w:pPr>
        <w:pStyle w:val="TextoNormal"/>
      </w:pPr>
    </w:p>
    <w:p w14:paraId="0CD4FFA0" w14:textId="77777777" w:rsidR="003754FE" w:rsidRDefault="003754FE" w:rsidP="003754FE">
      <w:pPr>
        <w:pStyle w:val="TextoNormal"/>
      </w:pPr>
      <w:r>
        <w:t>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14:paraId="7D845709" w14:textId="77777777" w:rsidR="003754FE" w:rsidRDefault="003754FE" w:rsidP="003754FE">
      <w:pPr>
        <w:pStyle w:val="TextoNormal"/>
      </w:pPr>
    </w:p>
    <w:p w14:paraId="50EF911B" w14:textId="77777777" w:rsidR="003754FE" w:rsidRDefault="003754FE" w:rsidP="003754FE">
      <w:pPr>
        <w:pStyle w:val="TextoNormal"/>
      </w:pPr>
      <w:r>
        <w:t>En las bases reguladoras se podía disponer que la entrega fuera realizada por entidades colaboradoras. Las empresas públicas de Andalucía podían ser entidades colaboradoras y también se establecían a su cargo las siguientes obligaciones:</w:t>
      </w:r>
    </w:p>
    <w:p w14:paraId="0D5565FF" w14:textId="77777777" w:rsidR="003754FE" w:rsidRDefault="003754FE" w:rsidP="003754FE">
      <w:pPr>
        <w:pStyle w:val="TextoNormal"/>
      </w:pPr>
    </w:p>
    <w:p w14:paraId="68570B4F" w14:textId="77777777" w:rsidR="003754FE" w:rsidRDefault="003754FE" w:rsidP="003754FE">
      <w:pPr>
        <w:pStyle w:val="TextoNormal"/>
      </w:pPr>
      <w:r>
        <w:t>(i) Entregar a los beneficiarios los fondos recibidos de acuerdo con los criterios establecidos en las normas reguladoras de la subvención o ayuda.</w:t>
      </w:r>
    </w:p>
    <w:p w14:paraId="07980EC8" w14:textId="77777777" w:rsidR="003754FE" w:rsidRDefault="003754FE" w:rsidP="003754FE">
      <w:pPr>
        <w:pStyle w:val="TextoNormal"/>
      </w:pPr>
    </w:p>
    <w:p w14:paraId="11E7A89B" w14:textId="77777777" w:rsidR="003754FE" w:rsidRDefault="003754FE" w:rsidP="003754FE">
      <w:pPr>
        <w:pStyle w:val="TextoNormal"/>
      </w:pPr>
      <w:r>
        <w:t>(ii) Verificar, en su caso, el cumplimiento y efectividad de las condiciones determinantes para su otorgamiento.</w:t>
      </w:r>
    </w:p>
    <w:p w14:paraId="3D19D19E" w14:textId="77777777" w:rsidR="003754FE" w:rsidRDefault="003754FE" w:rsidP="003754FE">
      <w:pPr>
        <w:pStyle w:val="TextoNormal"/>
      </w:pPr>
    </w:p>
    <w:p w14:paraId="5CFC828D" w14:textId="77777777" w:rsidR="003754FE" w:rsidRDefault="003754FE" w:rsidP="003754FE">
      <w:pPr>
        <w:pStyle w:val="TextoNormal"/>
      </w:pPr>
      <w:r>
        <w:t>(iii) Justificar la aplicación de los fondos recibidos ante la entidad concedente y, en su caso, entregar la justificación presentada por los beneficiarios.</w:t>
      </w:r>
    </w:p>
    <w:p w14:paraId="71A58D49" w14:textId="77777777" w:rsidR="003754FE" w:rsidRDefault="003754FE" w:rsidP="003754FE">
      <w:pPr>
        <w:pStyle w:val="TextoNormal"/>
      </w:pPr>
    </w:p>
    <w:p w14:paraId="510E6954" w14:textId="77777777" w:rsidR="003754FE" w:rsidRDefault="003754FE" w:rsidP="003754FE">
      <w:pPr>
        <w:pStyle w:val="TextoNormal"/>
      </w:pPr>
      <w:r>
        <w:t>(iv)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14:paraId="5B123B9B" w14:textId="77777777" w:rsidR="003754FE" w:rsidRDefault="003754FE" w:rsidP="003754FE">
      <w:pPr>
        <w:pStyle w:val="TextoNormal"/>
      </w:pPr>
    </w:p>
    <w:p w14:paraId="4FAE8756" w14:textId="77777777" w:rsidR="003754FE" w:rsidRDefault="003754FE" w:rsidP="003754FE">
      <w:pPr>
        <w:pStyle w:val="TextoNormal"/>
      </w:pPr>
      <w:r>
        <w:t>(v) Colaborar en la restitución de las subvenciones otorgadas en los supuestos en que concurra causa de reintegro, y conforme a las normas que se establezcan (artículo 106).</w:t>
      </w:r>
    </w:p>
    <w:p w14:paraId="68AED959" w14:textId="77777777" w:rsidR="003754FE" w:rsidRDefault="003754FE" w:rsidP="003754FE">
      <w:pPr>
        <w:pStyle w:val="TextoNormal"/>
      </w:pPr>
    </w:p>
    <w:p w14:paraId="6F6CA224" w14:textId="77777777" w:rsidR="003754FE" w:rsidRDefault="003754FE" w:rsidP="003754FE">
      <w:pPr>
        <w:pStyle w:val="TextoNormal"/>
      </w:pPr>
      <w:r>
        <w:t>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14:paraId="366224AB" w14:textId="77777777" w:rsidR="003754FE" w:rsidRDefault="003754FE" w:rsidP="003754FE">
      <w:pPr>
        <w:pStyle w:val="TextoNormal"/>
      </w:pPr>
    </w:p>
    <w:p w14:paraId="2C799903" w14:textId="77777777" w:rsidR="003754FE" w:rsidRDefault="003754FE" w:rsidP="003754FE">
      <w:pPr>
        <w:pStyle w:val="TextoNormal"/>
      </w:pPr>
      <w:r>
        <w:t>Los proyectos de normas reguladoras de la concesión de subvenciones debían ser sometidos a informe de la Intervención General de la Junta de Andalucía, antes de su aprobación, y publicados en el ‘Boletín Oficial de la Junta de Andalucía’ (artículo 107).</w:t>
      </w:r>
    </w:p>
    <w:p w14:paraId="3E3A35F9" w14:textId="77777777" w:rsidR="003754FE" w:rsidRDefault="003754FE" w:rsidP="003754FE">
      <w:pPr>
        <w:pStyle w:val="TextoNormal"/>
      </w:pPr>
    </w:p>
    <w:p w14:paraId="750A9E34" w14:textId="77777777" w:rsidR="003754FE" w:rsidRDefault="003754FE" w:rsidP="003754FE">
      <w:pPr>
        <w:pStyle w:val="TextoNormal"/>
      </w:pPr>
      <w:r>
        <w:t>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 también sometida a seguimiento y control posterior, conforme a lo previsto en el artículo</w:t>
      </w:r>
      <w:r w:rsidRPr="003754FE">
        <w:rPr>
          <w:i/>
        </w:rPr>
        <w:t xml:space="preserve"> 85</w:t>
      </w:r>
      <w:r>
        <w:t xml:space="preserve"> bis de la citada ley.</w:t>
      </w:r>
    </w:p>
    <w:p w14:paraId="21AE863B" w14:textId="77777777" w:rsidR="003754FE" w:rsidRDefault="003754FE" w:rsidP="003754FE">
      <w:pPr>
        <w:pStyle w:val="TextoNormal"/>
      </w:pPr>
    </w:p>
    <w:p w14:paraId="6A34ABA6" w14:textId="77777777" w:rsidR="003754FE" w:rsidRDefault="003754FE" w:rsidP="003754FE">
      <w:pPr>
        <w:pStyle w:val="TextoNormal"/>
      </w:pPr>
      <w:r>
        <w:t>II</w:t>
      </w:r>
      <w:r w:rsidRPr="003754FE">
        <w:rPr>
          <w:i/>
        </w:rPr>
        <w:t>) Segunda eta</w:t>
      </w:r>
      <w:r>
        <w:t>pa</w:t>
      </w:r>
    </w:p>
    <w:p w14:paraId="70885DBC" w14:textId="77777777" w:rsidR="003754FE" w:rsidRDefault="003754FE" w:rsidP="003754FE">
      <w:pPr>
        <w:pStyle w:val="TextoNormal"/>
      </w:pPr>
    </w:p>
    <w:p w14:paraId="7FABDD6E" w14:textId="77777777" w:rsidR="003754FE" w:rsidRDefault="003754FE" w:rsidP="003754FE">
      <w:pPr>
        <w:pStyle w:val="TextoNormal"/>
      </w:pPr>
      <w:r>
        <w:t xml:space="preserve">Ante la necesidad de dar respuesta ágil a las graves crisis empresariales que afectaban a algunas importantes empresas de Andalucía en el año 1999 se decidió que el Instituto de Fomento de Andalucía (IFA) adelantara algunas de estas subvenciones, y así aconteció en </w:t>
      </w:r>
      <w:r>
        <w:lastRenderedPageBreak/>
        <w:t>relación con las ayudas concedidas a las empresas IAMASA y HAMSA. Con tal procedimiento se procedía al pago sin la necesaria fiscalización previa.</w:t>
      </w:r>
    </w:p>
    <w:p w14:paraId="55D24A75" w14:textId="77777777" w:rsidR="003754FE" w:rsidRDefault="003754FE" w:rsidP="003754FE">
      <w:pPr>
        <w:pStyle w:val="TextoNormal"/>
      </w:pPr>
    </w:p>
    <w:p w14:paraId="6BCCBCC8" w14:textId="77777777" w:rsidR="003754FE" w:rsidRDefault="003754FE" w:rsidP="003754FE">
      <w:pPr>
        <w:pStyle w:val="TextoNormal"/>
      </w:pPr>
      <w:r>
        <w:t>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14:paraId="66D5584F" w14:textId="77777777" w:rsidR="003754FE" w:rsidRDefault="003754FE" w:rsidP="003754FE">
      <w:pPr>
        <w:pStyle w:val="TextoNormal"/>
      </w:pPr>
    </w:p>
    <w:p w14:paraId="64834551" w14:textId="77777777" w:rsidR="003754FE" w:rsidRDefault="003754FE" w:rsidP="003754FE">
      <w:pPr>
        <w:pStyle w:val="TextoNormal"/>
      </w:pPr>
      <w:r>
        <w:t>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14:paraId="7C1C5172" w14:textId="77777777" w:rsidR="003754FE" w:rsidRDefault="003754FE" w:rsidP="003754FE">
      <w:pPr>
        <w:pStyle w:val="TextoNormal"/>
      </w:pPr>
    </w:p>
    <w:p w14:paraId="045F9895" w14:textId="77777777" w:rsidR="003754FE" w:rsidRDefault="003754FE" w:rsidP="003754FE">
      <w:pPr>
        <w:pStyle w:val="TextoNormal"/>
      </w:pPr>
      <w:r>
        <w:t>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(IGAE).</w:t>
      </w:r>
    </w:p>
    <w:p w14:paraId="139B5594" w14:textId="77777777" w:rsidR="003754FE" w:rsidRDefault="003754FE" w:rsidP="003754FE">
      <w:pPr>
        <w:pStyle w:val="TextoNormal"/>
      </w:pPr>
    </w:p>
    <w:p w14:paraId="66F1B16C" w14:textId="77777777" w:rsidR="003754FE" w:rsidRDefault="003754FE" w:rsidP="003754FE">
      <w:pPr>
        <w:pStyle w:val="TextoNormal"/>
      </w:pPr>
      <w:r>
        <w:t>Ante las dificultades surgidas, en abril de 2000 se procedió a una modificación presupuestaria, bajo la iniciativa de la Consejería de Empleo. Se modificó la clasificación económica del gasto.</w:t>
      </w:r>
    </w:p>
    <w:p w14:paraId="1690E682" w14:textId="77777777" w:rsidR="003754FE" w:rsidRDefault="003754FE" w:rsidP="003754FE">
      <w:pPr>
        <w:pStyle w:val="TextoNormal"/>
      </w:pPr>
    </w:p>
    <w:p w14:paraId="309FC719" w14:textId="77777777" w:rsidR="003754FE" w:rsidRDefault="003754FE" w:rsidP="003754FE">
      <w:pPr>
        <w:pStyle w:val="TextoNormal"/>
      </w:pPr>
      <w:r>
        <w:t>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14:paraId="02F1E8BD" w14:textId="77777777" w:rsidR="003754FE" w:rsidRDefault="003754FE" w:rsidP="003754FE">
      <w:pPr>
        <w:pStyle w:val="TextoNormal"/>
      </w:pPr>
    </w:p>
    <w:p w14:paraId="58FB0A78" w14:textId="77777777" w:rsidR="003754FE" w:rsidRDefault="003754FE" w:rsidP="003754FE">
      <w:pPr>
        <w:pStyle w:val="TextoNormal"/>
      </w:pPr>
      <w:r>
        <w:t>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14:paraId="344BB966" w14:textId="77777777" w:rsidR="003754FE" w:rsidRDefault="003754FE" w:rsidP="003754FE">
      <w:pPr>
        <w:pStyle w:val="TextoNormal"/>
      </w:pPr>
    </w:p>
    <w:p w14:paraId="546CF7F1" w14:textId="77777777" w:rsidR="003754FE" w:rsidRDefault="003754FE" w:rsidP="003754FE">
      <w:pPr>
        <w:pStyle w:val="TextoNormal"/>
      </w:pPr>
      <w:r>
        <w:t>En vez de aprobar una nueva normativa o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14:paraId="45223BE1" w14:textId="77777777" w:rsidR="003754FE" w:rsidRDefault="003754FE" w:rsidP="003754FE">
      <w:pPr>
        <w:pStyle w:val="TextoNormal"/>
      </w:pPr>
    </w:p>
    <w:p w14:paraId="27AEB477" w14:textId="77777777" w:rsidR="003754FE" w:rsidRDefault="003754FE" w:rsidP="003754FE">
      <w:pPr>
        <w:pStyle w:val="TextoNormal"/>
      </w:pPr>
      <w:r>
        <w:lastRenderedPageBreak/>
        <w:t>A tal fin idearon un mecanismo que, como indica el Ministerio Fiscal en su informe, era relativamente sencillo y sumamente eficaz para la finalidad perseguida. Tanto en los proyectos de presupuestos como en las distintas modificaciones presupuestarias aprobadas durante siete años, cambiaron la clasificación presupuestaria que se venía haciendo, incluyendo las ayudas sociolaborales en la partida de ‘Transferencia de financiación al IFA’.</w:t>
      </w:r>
    </w:p>
    <w:p w14:paraId="71ABD1CE" w14:textId="77777777" w:rsidR="003754FE" w:rsidRDefault="003754FE" w:rsidP="003754FE">
      <w:pPr>
        <w:pStyle w:val="TextoNormal"/>
      </w:pPr>
    </w:p>
    <w:p w14:paraId="6D143A89" w14:textId="77777777" w:rsidR="003754FE" w:rsidRDefault="003754FE" w:rsidP="003754FE">
      <w:pPr>
        <w:pStyle w:val="TextoNormal"/>
      </w:pPr>
      <w:r>
        <w:t>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w:t>
      </w:r>
      <w:r w:rsidRPr="003754FE">
        <w:rPr>
          <w:i/>
        </w:rPr>
        <w:t>o a posterio</w:t>
      </w:r>
      <w:r>
        <w:t>ri.</w:t>
      </w:r>
    </w:p>
    <w:p w14:paraId="45946B74" w14:textId="77777777" w:rsidR="003754FE" w:rsidRDefault="003754FE" w:rsidP="003754FE">
      <w:pPr>
        <w:pStyle w:val="TextoNormal"/>
      </w:pPr>
    </w:p>
    <w:p w14:paraId="78FB9D6F" w14:textId="77777777" w:rsidR="003754FE" w:rsidRDefault="003754FE" w:rsidP="003754FE">
      <w:pPr>
        <w:pStyle w:val="TextoNormal"/>
      </w:pPr>
      <w:r>
        <w:t>En efecto, el expediente de las transferencias de financiación no precisa la identificación de los destinatarios de las ayudas. Únicamente requiere consignar:</w:t>
      </w:r>
    </w:p>
    <w:p w14:paraId="3CD89DB1" w14:textId="77777777" w:rsidR="003754FE" w:rsidRDefault="003754FE" w:rsidP="003754FE">
      <w:pPr>
        <w:pStyle w:val="TextoNormal"/>
      </w:pPr>
    </w:p>
    <w:p w14:paraId="5131B89F" w14:textId="77777777" w:rsidR="003754FE" w:rsidRDefault="003754FE" w:rsidP="003754FE">
      <w:pPr>
        <w:pStyle w:val="TextoNormal"/>
      </w:pPr>
      <w:r>
        <w:t>(i) La propuesta de resolución del órgano competente autorizando la transferencia.</w:t>
      </w:r>
    </w:p>
    <w:p w14:paraId="27BB22F6" w14:textId="77777777" w:rsidR="003754FE" w:rsidRDefault="003754FE" w:rsidP="003754FE">
      <w:pPr>
        <w:pStyle w:val="TextoNormal"/>
      </w:pPr>
    </w:p>
    <w:p w14:paraId="1367862C" w14:textId="77777777" w:rsidR="003754FE" w:rsidRDefault="003754FE" w:rsidP="003754FE">
      <w:pPr>
        <w:pStyle w:val="TextoNormal"/>
      </w:pPr>
      <w:r>
        <w:t>(ii) El calendario de pagos aprobado por la Dirección General de Tesorería.</w:t>
      </w:r>
    </w:p>
    <w:p w14:paraId="752516C2" w14:textId="77777777" w:rsidR="003754FE" w:rsidRDefault="003754FE" w:rsidP="003754FE">
      <w:pPr>
        <w:pStyle w:val="TextoNormal"/>
      </w:pPr>
    </w:p>
    <w:p w14:paraId="72FB8BB9" w14:textId="77777777" w:rsidR="003754FE" w:rsidRDefault="003754FE" w:rsidP="003754FE">
      <w:pPr>
        <w:pStyle w:val="TextoNormal"/>
      </w:pPr>
      <w:r>
        <w:t>(iii) Los documentos contables acreditativos de la consignación presupuestaria y el programa de actuación (PAIF) publicado en el ‘Boletín Oficial de la Junta de Andalucía’ por orden de la Consejería de Hacienda.</w:t>
      </w:r>
    </w:p>
    <w:p w14:paraId="34C7F98D" w14:textId="77777777" w:rsidR="003754FE" w:rsidRDefault="003754FE" w:rsidP="003754FE">
      <w:pPr>
        <w:pStyle w:val="TextoNormal"/>
      </w:pPr>
    </w:p>
    <w:p w14:paraId="238D0B9D" w14:textId="77777777" w:rsidR="003754FE" w:rsidRDefault="003754FE" w:rsidP="003754FE">
      <w:pPr>
        <w:pStyle w:val="TextoNormal"/>
      </w:pPr>
      <w:r>
        <w:t>Y en la fiscalización posterior de la actividad del IFA, realizada a través del llamado ‘control financiero permanente’, conforme a lo previsto en el […] Decreto 9/1999, de 19 de enero, únicamente tenía un triple objetivo:</w:t>
      </w:r>
    </w:p>
    <w:p w14:paraId="19E16FD2" w14:textId="77777777" w:rsidR="003754FE" w:rsidRDefault="003754FE" w:rsidP="003754FE">
      <w:pPr>
        <w:pStyle w:val="TextoNormal"/>
      </w:pPr>
    </w:p>
    <w:p w14:paraId="1E7EC95B" w14:textId="77777777" w:rsidR="003754FE" w:rsidRDefault="003754FE" w:rsidP="003754FE">
      <w:pPr>
        <w:pStyle w:val="TextoNormal"/>
      </w:pPr>
      <w:r>
        <w:t>(i) Comprobar el cumplimiento de la legalidad;</w:t>
      </w:r>
    </w:p>
    <w:p w14:paraId="606FDC8B" w14:textId="77777777" w:rsidR="003754FE" w:rsidRDefault="003754FE" w:rsidP="003754FE">
      <w:pPr>
        <w:pStyle w:val="TextoNormal"/>
      </w:pPr>
    </w:p>
    <w:p w14:paraId="6804EB64" w14:textId="77777777" w:rsidR="003754FE" w:rsidRDefault="003754FE" w:rsidP="003754FE">
      <w:pPr>
        <w:pStyle w:val="TextoNormal"/>
      </w:pPr>
      <w:r>
        <w:t>(ii) examinar las cuentas anuales y</w:t>
      </w:r>
    </w:p>
    <w:p w14:paraId="3DEFA380" w14:textId="77777777" w:rsidR="003754FE" w:rsidRDefault="003754FE" w:rsidP="003754FE">
      <w:pPr>
        <w:pStyle w:val="TextoNormal"/>
      </w:pPr>
    </w:p>
    <w:p w14:paraId="74007FAB" w14:textId="77777777" w:rsidR="003754FE" w:rsidRDefault="003754FE" w:rsidP="003754FE">
      <w:pPr>
        <w:pStyle w:val="TextoNormal"/>
      </w:pPr>
      <w:r>
        <w:t>(iii) examinar críticamente la gestión de los programas asignados al Instituto. Este control no tenía utilidad alguna para conocer el destino de las subvenciones, dado que se limitaba al control de la transferencia.</w:t>
      </w:r>
    </w:p>
    <w:p w14:paraId="646D36E7" w14:textId="77777777" w:rsidR="003754FE" w:rsidRDefault="003754FE" w:rsidP="003754FE">
      <w:pPr>
        <w:pStyle w:val="TextoNormal"/>
      </w:pPr>
    </w:p>
    <w:p w14:paraId="0975F1EC" w14:textId="77777777" w:rsidR="003754FE" w:rsidRDefault="003754FE" w:rsidP="003754FE">
      <w:pPr>
        <w:pStyle w:val="TextoNormal"/>
      </w:pPr>
      <w:r>
        <w:t>En el año 2000 el Consejo de Gobierno de la Junta de Andalucía aprobó dos modificaciones presupuestarias, siguiendo el criterio de presupuestación al que antes nos hemos referido (18 de abril de 2000 y 28 de julio de 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14:paraId="6F6CDA35" w14:textId="77777777" w:rsidR="003754FE" w:rsidRDefault="003754FE" w:rsidP="003754FE">
      <w:pPr>
        <w:pStyle w:val="TextoNormal"/>
      </w:pPr>
    </w:p>
    <w:p w14:paraId="4CA4AEBF" w14:textId="77777777" w:rsidR="003754FE" w:rsidRDefault="003754FE" w:rsidP="003754FE">
      <w:pPr>
        <w:pStyle w:val="TextoNormal"/>
      </w:pPr>
      <w:r>
        <w:t xml:space="preserve">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w:t>
      </w:r>
      <w:r>
        <w:lastRenderedPageBreak/>
        <w:t>y Seguridad Social, en el que se preveía que el IFA prestaría asistencia técnica permanente, materializando las ayudas y se establecía que habrían de suscribirse convenios particulares entre el director general de Trabajo y el IFA para la gestión de los fondos.</w:t>
      </w:r>
    </w:p>
    <w:p w14:paraId="35B0EC4D" w14:textId="77777777" w:rsidR="003754FE" w:rsidRDefault="003754FE" w:rsidP="003754FE">
      <w:pPr>
        <w:pStyle w:val="TextoNormal"/>
      </w:pPr>
    </w:p>
    <w:p w14:paraId="6BD1D9DE" w14:textId="77777777" w:rsidR="003754FE" w:rsidRDefault="003754FE" w:rsidP="003754FE">
      <w:pPr>
        <w:pStyle w:val="TextoNormal"/>
      </w:pPr>
      <w:r>
        <w:t>El convenio marco no fue publicado en el ‘Boletín Oficial de la Junta de Andalucía’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14:paraId="5399C2B3" w14:textId="77777777" w:rsidR="003754FE" w:rsidRDefault="003754FE" w:rsidP="003754FE">
      <w:pPr>
        <w:pStyle w:val="TextoNormal"/>
      </w:pPr>
    </w:p>
    <w:p w14:paraId="01C243D7" w14:textId="77777777" w:rsidR="003754FE" w:rsidRDefault="003754FE" w:rsidP="003754FE">
      <w:pPr>
        <w:pStyle w:val="TextoNormal"/>
      </w:pPr>
      <w:r>
        <w:t>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14:paraId="6DB6326C" w14:textId="77777777" w:rsidR="003754FE" w:rsidRDefault="003754FE" w:rsidP="003754FE">
      <w:pPr>
        <w:pStyle w:val="TextoNormal"/>
      </w:pPr>
    </w:p>
    <w:p w14:paraId="3EFC4B9C" w14:textId="77777777" w:rsidR="003754FE" w:rsidRDefault="003754FE" w:rsidP="003754FE">
      <w:pPr>
        <w:pStyle w:val="TextoNormal"/>
      </w:pPr>
      <w:r>
        <w:t>Por tanto, utilizando el criterio de presupuestación al que antes nos hemos referido se incluyeron las siguientes partidas presupuestarias:</w:t>
      </w:r>
    </w:p>
    <w:p w14:paraId="03A0A7AD" w14:textId="77777777" w:rsidR="003754FE" w:rsidRDefault="003754FE" w:rsidP="003754FE">
      <w:pPr>
        <w:pStyle w:val="TextoNormal"/>
      </w:pPr>
    </w:p>
    <w:p w14:paraId="3FC8926A" w14:textId="77777777" w:rsidR="003754FE" w:rsidRDefault="003754FE" w:rsidP="003754FE">
      <w:pPr>
        <w:pStyle w:val="TextoNormal"/>
      </w:pPr>
      <w:r>
        <w:t>- En 2002: 34 341 351 €.</w:t>
      </w:r>
    </w:p>
    <w:p w14:paraId="4C66F0A5" w14:textId="77777777" w:rsidR="003754FE" w:rsidRDefault="003754FE" w:rsidP="003754FE">
      <w:pPr>
        <w:pStyle w:val="TextoNormal"/>
      </w:pPr>
    </w:p>
    <w:p w14:paraId="20ABBE59" w14:textId="77777777" w:rsidR="003754FE" w:rsidRDefault="003754FE" w:rsidP="003754FE">
      <w:pPr>
        <w:pStyle w:val="TextoNormal"/>
      </w:pPr>
      <w:r>
        <w:t>- En 2003: 55 646 899 €.</w:t>
      </w:r>
    </w:p>
    <w:p w14:paraId="06B6171F" w14:textId="77777777" w:rsidR="003754FE" w:rsidRDefault="003754FE" w:rsidP="003754FE">
      <w:pPr>
        <w:pStyle w:val="TextoNormal"/>
      </w:pPr>
    </w:p>
    <w:p w14:paraId="62DA8FEA" w14:textId="77777777" w:rsidR="003754FE" w:rsidRDefault="003754FE" w:rsidP="003754FE">
      <w:pPr>
        <w:pStyle w:val="TextoNormal"/>
      </w:pPr>
      <w:r>
        <w:t>- En 2004: 46 146 389 €. [En este ejercicio el IFA cambió su denominación por Agencia de Innovación y Desarrollo de Andalucía (IDEA) y pasó a estar adscrito a la Consejería de Innovación, Ciencia y Empresa].</w:t>
      </w:r>
    </w:p>
    <w:p w14:paraId="43BAD147" w14:textId="77777777" w:rsidR="003754FE" w:rsidRDefault="003754FE" w:rsidP="003754FE">
      <w:pPr>
        <w:pStyle w:val="TextoNormal"/>
      </w:pPr>
    </w:p>
    <w:p w14:paraId="79338F24" w14:textId="77777777" w:rsidR="003754FE" w:rsidRDefault="003754FE" w:rsidP="003754FE">
      <w:pPr>
        <w:pStyle w:val="TextoNormal"/>
      </w:pPr>
      <w:r>
        <w:t>- En 2005: 72 261 575 €.</w:t>
      </w:r>
    </w:p>
    <w:p w14:paraId="142C326D" w14:textId="77777777" w:rsidR="003754FE" w:rsidRDefault="003754FE" w:rsidP="003754FE">
      <w:pPr>
        <w:pStyle w:val="TextoNormal"/>
      </w:pPr>
    </w:p>
    <w:p w14:paraId="58DE1EAC" w14:textId="77777777" w:rsidR="003754FE" w:rsidRDefault="003754FE" w:rsidP="003754FE">
      <w:pPr>
        <w:pStyle w:val="TextoNormal"/>
      </w:pPr>
      <w:r>
        <w:t>- En 2006: 77 291 000 €.</w:t>
      </w:r>
    </w:p>
    <w:p w14:paraId="5B38AF9F" w14:textId="77777777" w:rsidR="003754FE" w:rsidRDefault="003754FE" w:rsidP="003754FE">
      <w:pPr>
        <w:pStyle w:val="TextoNormal"/>
      </w:pPr>
    </w:p>
    <w:p w14:paraId="743AB5B5" w14:textId="77777777" w:rsidR="003754FE" w:rsidRDefault="003754FE" w:rsidP="003754FE">
      <w:pPr>
        <w:pStyle w:val="TextoNormal"/>
      </w:pPr>
      <w:r>
        <w:t>- En 2007: 79 207 500 €.</w:t>
      </w:r>
    </w:p>
    <w:p w14:paraId="10CD578D" w14:textId="77777777" w:rsidR="003754FE" w:rsidRDefault="003754FE" w:rsidP="003754FE">
      <w:pPr>
        <w:pStyle w:val="TextoNormal"/>
      </w:pPr>
    </w:p>
    <w:p w14:paraId="31550112" w14:textId="77777777" w:rsidR="003754FE" w:rsidRDefault="003754FE" w:rsidP="003754FE">
      <w:pPr>
        <w:pStyle w:val="TextoNormal"/>
      </w:pPr>
      <w:r>
        <w:t>- En 2008: 87 478 495 €.</w:t>
      </w:r>
    </w:p>
    <w:p w14:paraId="765B1594" w14:textId="77777777" w:rsidR="003754FE" w:rsidRDefault="003754FE" w:rsidP="003754FE">
      <w:pPr>
        <w:pStyle w:val="TextoNormal"/>
      </w:pPr>
    </w:p>
    <w:p w14:paraId="55D77B7F" w14:textId="77777777" w:rsidR="003754FE" w:rsidRDefault="003754FE" w:rsidP="003754FE">
      <w:pPr>
        <w:pStyle w:val="TextoNormal"/>
      </w:pPr>
      <w:r>
        <w:t>Además de estas partidas, durante los distintos ejercicios se aprobaron modificaciones presupuestarias, que incrementaron el flujo de dinero que gestionaba el IFA/IDEA y que recibía como transferencia de financiación.</w:t>
      </w:r>
    </w:p>
    <w:p w14:paraId="7408C305" w14:textId="77777777" w:rsidR="003754FE" w:rsidRDefault="003754FE" w:rsidP="003754FE">
      <w:pPr>
        <w:pStyle w:val="TextoNormal"/>
      </w:pPr>
    </w:p>
    <w:p w14:paraId="0A4A6239" w14:textId="77777777" w:rsidR="003754FE" w:rsidRDefault="003754FE" w:rsidP="003754FE">
      <w:pPr>
        <w:pStyle w:val="TextoNormal"/>
      </w:pPr>
      <w:r>
        <w:t>Las modificaciones presupuestarias fueron las siguientes:</w:t>
      </w:r>
    </w:p>
    <w:p w14:paraId="335090D0" w14:textId="77777777" w:rsidR="003754FE" w:rsidRDefault="003754FE" w:rsidP="003754FE">
      <w:pPr>
        <w:pStyle w:val="TextoNormal"/>
      </w:pPr>
    </w:p>
    <w:p w14:paraId="33613085" w14:textId="77777777" w:rsidR="003754FE" w:rsidRDefault="003754FE" w:rsidP="003754FE">
      <w:pPr>
        <w:pStyle w:val="TextoNormal"/>
      </w:pPr>
      <w:r>
        <w:t>- Modificación de 15 de octubre de 2002, por importe de 9 944 099 €.</w:t>
      </w:r>
    </w:p>
    <w:p w14:paraId="38D7E5D2" w14:textId="77777777" w:rsidR="003754FE" w:rsidRDefault="003754FE" w:rsidP="003754FE">
      <w:pPr>
        <w:pStyle w:val="TextoNormal"/>
      </w:pPr>
    </w:p>
    <w:p w14:paraId="6C8CD5F2" w14:textId="77777777" w:rsidR="003754FE" w:rsidRDefault="003754FE" w:rsidP="003754FE">
      <w:pPr>
        <w:pStyle w:val="TextoNormal"/>
      </w:pPr>
      <w:r>
        <w:t>- Modificación de 21 de octubre de 2002, por importe de 22 253 204,17 €.</w:t>
      </w:r>
    </w:p>
    <w:p w14:paraId="68E6789C" w14:textId="77777777" w:rsidR="003754FE" w:rsidRDefault="003754FE" w:rsidP="003754FE">
      <w:pPr>
        <w:pStyle w:val="TextoNormal"/>
      </w:pPr>
    </w:p>
    <w:p w14:paraId="192C5054" w14:textId="77777777" w:rsidR="003754FE" w:rsidRDefault="003754FE" w:rsidP="003754FE">
      <w:pPr>
        <w:pStyle w:val="TextoNormal"/>
      </w:pPr>
      <w:r>
        <w:t>- Modificación de 7 de diciembre de 2005, por importe de 799 895,97 €.</w:t>
      </w:r>
    </w:p>
    <w:p w14:paraId="5E7ADDCC" w14:textId="77777777" w:rsidR="003754FE" w:rsidRDefault="003754FE" w:rsidP="003754FE">
      <w:pPr>
        <w:pStyle w:val="TextoNormal"/>
      </w:pPr>
    </w:p>
    <w:p w14:paraId="3664D2D1" w14:textId="77777777" w:rsidR="003754FE" w:rsidRDefault="003754FE" w:rsidP="003754FE">
      <w:pPr>
        <w:pStyle w:val="TextoNormal"/>
      </w:pPr>
      <w:r>
        <w:t>- Modificación de 7 de noviembre de 2006, por importe de 9 300 000 €.</w:t>
      </w:r>
    </w:p>
    <w:p w14:paraId="57E7F31C" w14:textId="77777777" w:rsidR="003754FE" w:rsidRDefault="003754FE" w:rsidP="003754FE">
      <w:pPr>
        <w:pStyle w:val="TextoNormal"/>
      </w:pPr>
    </w:p>
    <w:p w14:paraId="0BF82452" w14:textId="77777777" w:rsidR="003754FE" w:rsidRDefault="003754FE" w:rsidP="003754FE">
      <w:pPr>
        <w:pStyle w:val="TextoNormal"/>
      </w:pPr>
      <w:r>
        <w:t>- Modificación de 27 de noviembre de 2007, por importe de 7 448 503,44 €.</w:t>
      </w:r>
    </w:p>
    <w:p w14:paraId="1E6EA060" w14:textId="77777777" w:rsidR="003754FE" w:rsidRDefault="003754FE" w:rsidP="003754FE">
      <w:pPr>
        <w:pStyle w:val="TextoNormal"/>
      </w:pPr>
    </w:p>
    <w:p w14:paraId="402C5A04" w14:textId="77777777" w:rsidR="003754FE" w:rsidRDefault="003754FE" w:rsidP="003754FE">
      <w:pPr>
        <w:pStyle w:val="TextoNormal"/>
      </w:pPr>
      <w:r>
        <w:t>- Modificación de 22 de diciembre de 2008, por importe de 1 253 853,89 €.</w:t>
      </w:r>
    </w:p>
    <w:p w14:paraId="373FE9AD" w14:textId="77777777" w:rsidR="003754FE" w:rsidRDefault="003754FE" w:rsidP="003754FE">
      <w:pPr>
        <w:pStyle w:val="TextoNormal"/>
      </w:pPr>
    </w:p>
    <w:p w14:paraId="1E057C68" w14:textId="77777777" w:rsidR="003754FE" w:rsidRDefault="003754FE" w:rsidP="003754FE">
      <w:pPr>
        <w:pStyle w:val="TextoNormal"/>
      </w:pPr>
      <w:r>
        <w:t>- Modificación de 22 de diciembre de 2008, por importe de 6 011 836,20 €.</w:t>
      </w:r>
    </w:p>
    <w:p w14:paraId="4DB3CC9E" w14:textId="77777777" w:rsidR="003754FE" w:rsidRDefault="003754FE" w:rsidP="003754FE">
      <w:pPr>
        <w:pStyle w:val="TextoNormal"/>
      </w:pPr>
    </w:p>
    <w:p w14:paraId="579C47CA" w14:textId="77777777" w:rsidR="003754FE" w:rsidRDefault="003754FE" w:rsidP="003754FE">
      <w:pPr>
        <w:pStyle w:val="TextoNormal"/>
      </w:pPr>
      <w:r>
        <w:t>- Modificación de 22 de diciembre de 2008, por importe de 8 000 000 €.</w:t>
      </w:r>
    </w:p>
    <w:p w14:paraId="02504BB4" w14:textId="77777777" w:rsidR="003754FE" w:rsidRDefault="003754FE" w:rsidP="003754FE">
      <w:pPr>
        <w:pStyle w:val="TextoNormal"/>
      </w:pPr>
    </w:p>
    <w:p w14:paraId="23D6E47D" w14:textId="77777777" w:rsidR="003754FE" w:rsidRDefault="003754FE" w:rsidP="003754FE">
      <w:pPr>
        <w:pStyle w:val="TextoNormal"/>
      </w:pPr>
      <w:r>
        <w:t>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14:paraId="08D7CF2A" w14:textId="77777777" w:rsidR="003754FE" w:rsidRDefault="003754FE" w:rsidP="003754FE">
      <w:pPr>
        <w:pStyle w:val="TextoNormal"/>
      </w:pPr>
    </w:p>
    <w:p w14:paraId="1012C61F" w14:textId="77777777" w:rsidR="003754FE" w:rsidRDefault="003754FE" w:rsidP="003754FE">
      <w:pPr>
        <w:pStyle w:val="TextoNormal"/>
      </w:pPr>
      <w:r>
        <w:t>Según han puesto de relieve distintos informes y resoluciones judiciales y administrativas, como consecuencia de todo lo anterior, las irregularidades más significativas en la concesión de las ayudas (sin hacer una enumeración exhaustiva) han sido las siguientes:</w:t>
      </w:r>
    </w:p>
    <w:p w14:paraId="369A278B" w14:textId="77777777" w:rsidR="003754FE" w:rsidRDefault="003754FE" w:rsidP="003754FE">
      <w:pPr>
        <w:pStyle w:val="TextoNormal"/>
      </w:pPr>
    </w:p>
    <w:p w14:paraId="3AB8E40A" w14:textId="77777777" w:rsidR="003754FE" w:rsidRDefault="003754FE" w:rsidP="003754FE">
      <w:pPr>
        <w:pStyle w:val="TextoNormal"/>
      </w:pPr>
      <w:r>
        <w:t>- En muchos casos no ha existido expediente de concesión de la ayuda.</w:t>
      </w:r>
    </w:p>
    <w:p w14:paraId="463E6152" w14:textId="77777777" w:rsidR="003754FE" w:rsidRDefault="003754FE" w:rsidP="003754FE">
      <w:pPr>
        <w:pStyle w:val="TextoNormal"/>
      </w:pPr>
    </w:p>
    <w:p w14:paraId="43128685" w14:textId="77777777" w:rsidR="003754FE" w:rsidRDefault="003754FE" w:rsidP="003754FE">
      <w:pPr>
        <w:pStyle w:val="TextoNormal"/>
      </w:pPr>
      <w:r>
        <w:t>- El director general de Trabajo y Seguridad Social no tiene delegadas competencias para la concesión de subvenciones excepcionales.</w:t>
      </w:r>
    </w:p>
    <w:p w14:paraId="25FC18FF" w14:textId="77777777" w:rsidR="003754FE" w:rsidRDefault="003754FE" w:rsidP="003754FE">
      <w:pPr>
        <w:pStyle w:val="TextoNormal"/>
      </w:pPr>
    </w:p>
    <w:p w14:paraId="66152BA2" w14:textId="77777777" w:rsidR="003754FE" w:rsidRDefault="003754FE" w:rsidP="003754FE">
      <w:pPr>
        <w:pStyle w:val="TextoNormal"/>
      </w:pPr>
      <w:r>
        <w:t>- No consta que se haya dado publicidad a la concesión de las ayudas (artículo 109 LGHPA).</w:t>
      </w:r>
    </w:p>
    <w:p w14:paraId="5A1494B1" w14:textId="77777777" w:rsidR="003754FE" w:rsidRDefault="003754FE" w:rsidP="003754FE">
      <w:pPr>
        <w:pStyle w:val="TextoNormal"/>
      </w:pPr>
    </w:p>
    <w:p w14:paraId="2925FE14" w14:textId="77777777" w:rsidR="003754FE" w:rsidRDefault="003754FE" w:rsidP="003754FE">
      <w:pPr>
        <w:pStyle w:val="TextoNormal"/>
      </w:pPr>
      <w:r>
        <w:t>- Se ha omitido la fiscalización previa.</w:t>
      </w:r>
    </w:p>
    <w:p w14:paraId="2449C42D" w14:textId="77777777" w:rsidR="003754FE" w:rsidRDefault="003754FE" w:rsidP="003754FE">
      <w:pPr>
        <w:pStyle w:val="TextoNormal"/>
      </w:pPr>
    </w:p>
    <w:p w14:paraId="074A772B" w14:textId="77777777" w:rsidR="003754FE" w:rsidRDefault="003754FE" w:rsidP="003754FE">
      <w:pPr>
        <w:pStyle w:val="TextoNormal"/>
      </w:pPr>
      <w:r>
        <w:t>- No consta autorización de la concesión de la subvención por el Consejo de Gobierno por razón de la cuantía.</w:t>
      </w:r>
    </w:p>
    <w:p w14:paraId="44A772D3" w14:textId="77777777" w:rsidR="003754FE" w:rsidRDefault="003754FE" w:rsidP="003754FE">
      <w:pPr>
        <w:pStyle w:val="TextoNormal"/>
      </w:pPr>
    </w:p>
    <w:p w14:paraId="5DC95C34" w14:textId="77777777" w:rsidR="003754FE" w:rsidRDefault="003754FE" w:rsidP="003754FE">
      <w:pPr>
        <w:pStyle w:val="TextoNormal"/>
      </w:pPr>
      <w:r>
        <w:t>- No se consigna la aplicación presupuestaria del gasto y su distribución plurianual, ni el presupuesto subvencionado y el porcentaje que representa la subvención sobre el presupuesto aceptado.</w:t>
      </w:r>
    </w:p>
    <w:p w14:paraId="735BB836" w14:textId="77777777" w:rsidR="003754FE" w:rsidRDefault="003754FE" w:rsidP="003754FE">
      <w:pPr>
        <w:pStyle w:val="TextoNormal"/>
      </w:pPr>
    </w:p>
    <w:p w14:paraId="57145146" w14:textId="77777777" w:rsidR="003754FE" w:rsidRDefault="003754FE" w:rsidP="003754FE">
      <w:pPr>
        <w:pStyle w:val="TextoNormal"/>
      </w:pPr>
      <w:r>
        <w:t>- No consta informe de la Dirección General de Asuntos Europeos y Cooperación, de la Consejería de Presidencia, sobre cumplimiento del deber de notificar a la Comisión las subvenciones concedidas a empresas.</w:t>
      </w:r>
    </w:p>
    <w:p w14:paraId="3B63ECE3" w14:textId="77777777" w:rsidR="003754FE" w:rsidRDefault="003754FE" w:rsidP="003754FE">
      <w:pPr>
        <w:pStyle w:val="TextoNormal"/>
      </w:pPr>
    </w:p>
    <w:p w14:paraId="5161948F" w14:textId="77777777" w:rsidR="003754FE" w:rsidRDefault="003754FE" w:rsidP="003754FE">
      <w:pPr>
        <w:pStyle w:val="TextoNormal"/>
      </w:pPr>
      <w:r>
        <w:t>- No consta memoria explicativa de la excepcionalidad de las subvenciones, ni los requisitos que se exigen para ser beneficiario, ni se detalla la forma en que debería realizarse la justificación del cumplimiento de la finalidad para la que fue concedida la ayuda.</w:t>
      </w:r>
    </w:p>
    <w:p w14:paraId="6885DC00" w14:textId="77777777" w:rsidR="003754FE" w:rsidRDefault="003754FE" w:rsidP="003754FE">
      <w:pPr>
        <w:pStyle w:val="TextoNormal"/>
      </w:pPr>
    </w:p>
    <w:p w14:paraId="479281CA" w14:textId="77777777" w:rsidR="003754FE" w:rsidRDefault="003754FE" w:rsidP="003754FE">
      <w:pPr>
        <w:pStyle w:val="TextoNormal"/>
      </w:pPr>
      <w:r>
        <w:lastRenderedPageBreak/>
        <w:t>- Los convenios de colaboración por los que se han concedido las ayudas no adoptan ni la forma ni los contenidos mínimos que exige la Ley 38/2003, de 17 de noviembre.</w:t>
      </w:r>
    </w:p>
    <w:p w14:paraId="78F19BA5" w14:textId="77777777" w:rsidR="003754FE" w:rsidRDefault="003754FE" w:rsidP="003754FE">
      <w:pPr>
        <w:pStyle w:val="TextoNormal"/>
      </w:pPr>
    </w:p>
    <w:p w14:paraId="0B7C0281" w14:textId="77777777" w:rsidR="003754FE" w:rsidRDefault="003754FE" w:rsidP="003754FE">
      <w:pPr>
        <w:pStyle w:val="TextoNormal"/>
      </w:pPr>
      <w:r>
        <w:t>- Ni las subvenciones ni los convenios han sido publicados en el ‘Boletín Oficial de la Junta de Andalucía’, ni en la base de datos de subvenciones de la Junta de Andalucía.</w:t>
      </w:r>
    </w:p>
    <w:p w14:paraId="488D60B7" w14:textId="77777777" w:rsidR="003754FE" w:rsidRDefault="003754FE" w:rsidP="003754FE">
      <w:pPr>
        <w:pStyle w:val="TextoNormal"/>
      </w:pPr>
    </w:p>
    <w:p w14:paraId="3461BC79" w14:textId="77777777" w:rsidR="003754FE" w:rsidRDefault="003754FE" w:rsidP="003754FE">
      <w:pPr>
        <w:pStyle w:val="TextoNormal"/>
      </w:pPr>
      <w:r>
        <w:t>- La concesión de las subvenciones no ha sido objeto de informe previo por el Gabinete Jurídico de la Junta de Andalucía.</w:t>
      </w:r>
    </w:p>
    <w:p w14:paraId="17E17532" w14:textId="77777777" w:rsidR="003754FE" w:rsidRDefault="003754FE" w:rsidP="003754FE">
      <w:pPr>
        <w:pStyle w:val="TextoNormal"/>
      </w:pPr>
    </w:p>
    <w:p w14:paraId="6E88F65C" w14:textId="77777777" w:rsidR="003754FE" w:rsidRDefault="003754FE" w:rsidP="003754FE">
      <w:pPr>
        <w:pStyle w:val="TextoNormal"/>
      </w:pPr>
      <w:r>
        <w:t>- No se acredita la personalidad de las entidades solicitantes, ni la de sus representantes.</w:t>
      </w:r>
    </w:p>
    <w:p w14:paraId="5E449DCD" w14:textId="77777777" w:rsidR="003754FE" w:rsidRDefault="003754FE" w:rsidP="003754FE">
      <w:pPr>
        <w:pStyle w:val="TextoNormal"/>
      </w:pPr>
    </w:p>
    <w:p w14:paraId="5112122C" w14:textId="77777777" w:rsidR="003754FE" w:rsidRDefault="003754FE" w:rsidP="003754FE">
      <w:pPr>
        <w:pStyle w:val="TextoNormal"/>
      </w:pPr>
      <w:r>
        <w:t>- No se aporta informe o memoria acreditativa de la finalidad pública, o razones de interés social o económico, en la concesión.</w:t>
      </w:r>
    </w:p>
    <w:p w14:paraId="4009A47F" w14:textId="77777777" w:rsidR="003754FE" w:rsidRDefault="003754FE" w:rsidP="003754FE">
      <w:pPr>
        <w:pStyle w:val="TextoNormal"/>
      </w:pPr>
    </w:p>
    <w:p w14:paraId="7476769C" w14:textId="77777777" w:rsidR="003754FE" w:rsidRDefault="003754FE" w:rsidP="003754FE">
      <w:pPr>
        <w:pStyle w:val="TextoNormal"/>
      </w:pPr>
      <w:r>
        <w:t>- No consta solicitud presentada por los interesados ni su aceptación expresa.</w:t>
      </w:r>
    </w:p>
    <w:p w14:paraId="49C69729" w14:textId="77777777" w:rsidR="003754FE" w:rsidRDefault="003754FE" w:rsidP="003754FE">
      <w:pPr>
        <w:pStyle w:val="TextoNormal"/>
      </w:pPr>
    </w:p>
    <w:p w14:paraId="363BFE4E" w14:textId="77777777" w:rsidR="003754FE" w:rsidRDefault="003754FE" w:rsidP="003754FE">
      <w:pPr>
        <w:pStyle w:val="TextoNormal"/>
      </w:pPr>
      <w:r>
        <w:t>- No se aporta declaración responsable del beneficiario de otras subvenciones o ayudas concedidas para la misma finalidad (artículos 111 y 105 de LGHPA, y artículo 15.1 del Reglamento de subvenciones).</w:t>
      </w:r>
    </w:p>
    <w:p w14:paraId="77C6EF47" w14:textId="77777777" w:rsidR="003754FE" w:rsidRDefault="003754FE" w:rsidP="003754FE">
      <w:pPr>
        <w:pStyle w:val="TextoNormal"/>
      </w:pPr>
    </w:p>
    <w:p w14:paraId="2DB17CA1" w14:textId="77777777" w:rsidR="003754FE" w:rsidRDefault="003754FE" w:rsidP="003754FE">
      <w:pPr>
        <w:pStyle w:val="TextoNormal"/>
      </w:pPr>
      <w:r>
        <w:t>- No consta declaración expresa de los beneficiarios de no haber recaído sobre ellos resolución administrativa o judicial firme de reintegro.</w:t>
      </w:r>
    </w:p>
    <w:p w14:paraId="5F824D98" w14:textId="77777777" w:rsidR="003754FE" w:rsidRDefault="003754FE" w:rsidP="003754FE">
      <w:pPr>
        <w:pStyle w:val="TextoNormal"/>
      </w:pPr>
    </w:p>
    <w:p w14:paraId="3B63FF7D" w14:textId="77777777" w:rsidR="003754FE" w:rsidRDefault="003754FE" w:rsidP="003754FE">
      <w:pPr>
        <w:pStyle w:val="TextoNormal"/>
      </w:pPr>
      <w:r>
        <w:t>- No se acredita por los beneficiarios estar al corriente en sus obligaciones fiscales.</w:t>
      </w:r>
    </w:p>
    <w:p w14:paraId="5A9F0A7E" w14:textId="77777777" w:rsidR="003754FE" w:rsidRDefault="003754FE" w:rsidP="003754FE">
      <w:pPr>
        <w:pStyle w:val="TextoNormal"/>
      </w:pPr>
    </w:p>
    <w:p w14:paraId="325225D9" w14:textId="77777777" w:rsidR="003754FE" w:rsidRDefault="003754FE" w:rsidP="003754FE">
      <w:pPr>
        <w:pStyle w:val="TextoNormal"/>
      </w:pPr>
      <w:r>
        <w:t>- No se determina el plazo y forma de justificación por el beneficiario del cumplimiento de la finalidad para la que se concede la ayuda.</w:t>
      </w:r>
    </w:p>
    <w:p w14:paraId="7618B12D" w14:textId="77777777" w:rsidR="003754FE" w:rsidRDefault="003754FE" w:rsidP="003754FE">
      <w:pPr>
        <w:pStyle w:val="TextoNormal"/>
      </w:pPr>
    </w:p>
    <w:p w14:paraId="4F799781" w14:textId="77777777" w:rsidR="003754FE" w:rsidRDefault="003754FE" w:rsidP="003754FE">
      <w:pPr>
        <w:pStyle w:val="TextoNormal"/>
      </w:pPr>
      <w:r>
        <w:t>- No se indica la forma y secuencia del pago y los requisitos exigidos para su abono.</w:t>
      </w:r>
    </w:p>
    <w:p w14:paraId="1328B2D6" w14:textId="77777777" w:rsidR="003754FE" w:rsidRDefault="003754FE" w:rsidP="003754FE">
      <w:pPr>
        <w:pStyle w:val="TextoNormal"/>
      </w:pPr>
    </w:p>
    <w:p w14:paraId="2357C80C" w14:textId="77777777" w:rsidR="003754FE" w:rsidRDefault="003754FE" w:rsidP="003754FE">
      <w:pPr>
        <w:pStyle w:val="TextoNormal"/>
      </w:pPr>
      <w:r>
        <w:t>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14:paraId="5E51DDBB" w14:textId="77777777" w:rsidR="003754FE" w:rsidRDefault="003754FE" w:rsidP="003754FE">
      <w:pPr>
        <w:pStyle w:val="TextoNormal"/>
      </w:pPr>
    </w:p>
    <w:p w14:paraId="66D0DEE6" w14:textId="77777777" w:rsidR="003754FE" w:rsidRDefault="003754FE" w:rsidP="003754FE">
      <w:pPr>
        <w:pStyle w:val="TextoNormal"/>
      </w:pPr>
      <w:r>
        <w:t>Las consecuencias de semejante descontrol fueron las siguientes:</w:t>
      </w:r>
    </w:p>
    <w:p w14:paraId="134D5750" w14:textId="77777777" w:rsidR="003754FE" w:rsidRDefault="003754FE" w:rsidP="003754FE">
      <w:pPr>
        <w:pStyle w:val="TextoNormal"/>
      </w:pPr>
    </w:p>
    <w:p w14:paraId="6EA8C61B" w14:textId="77777777" w:rsidR="003754FE" w:rsidRDefault="003754FE" w:rsidP="003754FE">
      <w:pPr>
        <w:pStyle w:val="TextoNormal"/>
      </w:pPr>
      <w:r>
        <w:t>(i)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14:paraId="2A7F4777" w14:textId="77777777" w:rsidR="003754FE" w:rsidRDefault="003754FE" w:rsidP="003754FE">
      <w:pPr>
        <w:pStyle w:val="TextoNormal"/>
      </w:pPr>
    </w:p>
    <w:p w14:paraId="1DAB9DAF" w14:textId="77777777" w:rsidR="003754FE" w:rsidRDefault="003754FE" w:rsidP="003754FE">
      <w:pPr>
        <w:pStyle w:val="TextoNormal"/>
      </w:pPr>
      <w:r>
        <w:t>- En el año 2001, fueron 748, afectando a un total de 7582 trabajadores.</w:t>
      </w:r>
    </w:p>
    <w:p w14:paraId="64F35542" w14:textId="77777777" w:rsidR="003754FE" w:rsidRDefault="003754FE" w:rsidP="003754FE">
      <w:pPr>
        <w:pStyle w:val="TextoNormal"/>
      </w:pPr>
    </w:p>
    <w:p w14:paraId="2928889F" w14:textId="77777777" w:rsidR="003754FE" w:rsidRDefault="003754FE" w:rsidP="003754FE">
      <w:pPr>
        <w:pStyle w:val="TextoNormal"/>
      </w:pPr>
      <w:r>
        <w:t>- En el año 2002, fueron 650, afectando a un total de 4787 trabajadores.</w:t>
      </w:r>
    </w:p>
    <w:p w14:paraId="1C0C8164" w14:textId="77777777" w:rsidR="003754FE" w:rsidRDefault="003754FE" w:rsidP="003754FE">
      <w:pPr>
        <w:pStyle w:val="TextoNormal"/>
      </w:pPr>
    </w:p>
    <w:p w14:paraId="118D1DA3" w14:textId="77777777" w:rsidR="003754FE" w:rsidRDefault="003754FE" w:rsidP="003754FE">
      <w:pPr>
        <w:pStyle w:val="TextoNormal"/>
      </w:pPr>
      <w:r>
        <w:t>- En el año 2003, fueron 511, afectando a un total de 4957 trabajadores.</w:t>
      </w:r>
    </w:p>
    <w:p w14:paraId="173EF2F2" w14:textId="77777777" w:rsidR="003754FE" w:rsidRDefault="003754FE" w:rsidP="003754FE">
      <w:pPr>
        <w:pStyle w:val="TextoNormal"/>
      </w:pPr>
    </w:p>
    <w:p w14:paraId="081885D5" w14:textId="77777777" w:rsidR="003754FE" w:rsidRDefault="003754FE" w:rsidP="003754FE">
      <w:pPr>
        <w:pStyle w:val="TextoNormal"/>
      </w:pPr>
      <w:r>
        <w:t>- En el año 2004, fueron 657, afectando a un total de 4833 trabajadores.</w:t>
      </w:r>
    </w:p>
    <w:p w14:paraId="48824AAA" w14:textId="77777777" w:rsidR="003754FE" w:rsidRDefault="003754FE" w:rsidP="003754FE">
      <w:pPr>
        <w:pStyle w:val="TextoNormal"/>
      </w:pPr>
    </w:p>
    <w:p w14:paraId="63A65130" w14:textId="77777777" w:rsidR="003754FE" w:rsidRDefault="003754FE" w:rsidP="003754FE">
      <w:pPr>
        <w:pStyle w:val="TextoNormal"/>
      </w:pPr>
      <w:r>
        <w:t>- En el año 2005, fueron 424, afectando a un total de 5476 trabajadores.</w:t>
      </w:r>
    </w:p>
    <w:p w14:paraId="6449AC19" w14:textId="77777777" w:rsidR="003754FE" w:rsidRDefault="003754FE" w:rsidP="003754FE">
      <w:pPr>
        <w:pStyle w:val="TextoNormal"/>
      </w:pPr>
    </w:p>
    <w:p w14:paraId="5E2DE14D" w14:textId="77777777" w:rsidR="003754FE" w:rsidRDefault="003754FE" w:rsidP="003754FE">
      <w:pPr>
        <w:pStyle w:val="TextoNormal"/>
      </w:pPr>
      <w:r>
        <w:t>- En el año 2006, fueron 434, afectando a un total de 2968 trabajadores.</w:t>
      </w:r>
    </w:p>
    <w:p w14:paraId="4197A057" w14:textId="77777777" w:rsidR="003754FE" w:rsidRDefault="003754FE" w:rsidP="003754FE">
      <w:pPr>
        <w:pStyle w:val="TextoNormal"/>
      </w:pPr>
    </w:p>
    <w:p w14:paraId="19E5DACD" w14:textId="77777777" w:rsidR="003754FE" w:rsidRDefault="003754FE" w:rsidP="003754FE">
      <w:pPr>
        <w:pStyle w:val="TextoNormal"/>
      </w:pPr>
      <w:r>
        <w:t>- En el año 2007, fueron 428, afectando a un total de 3247 trabajadores.</w:t>
      </w:r>
    </w:p>
    <w:p w14:paraId="1851CFD1" w14:textId="77777777" w:rsidR="003754FE" w:rsidRDefault="003754FE" w:rsidP="003754FE">
      <w:pPr>
        <w:pStyle w:val="TextoNormal"/>
      </w:pPr>
    </w:p>
    <w:p w14:paraId="4C325C17" w14:textId="77777777" w:rsidR="003754FE" w:rsidRDefault="003754FE" w:rsidP="003754FE">
      <w:pPr>
        <w:pStyle w:val="TextoNormal"/>
      </w:pPr>
      <w:r>
        <w:t>- En el año 2008, fueron 652, afectando a un total de 7000 trabajadores.</w:t>
      </w:r>
    </w:p>
    <w:p w14:paraId="7F59B7DE" w14:textId="77777777" w:rsidR="003754FE" w:rsidRDefault="003754FE" w:rsidP="003754FE">
      <w:pPr>
        <w:pStyle w:val="TextoNormal"/>
      </w:pPr>
    </w:p>
    <w:p w14:paraId="1D660B83" w14:textId="77777777" w:rsidR="003754FE" w:rsidRDefault="003754FE" w:rsidP="003754FE">
      <w:pPr>
        <w:pStyle w:val="TextoNormal"/>
      </w:pPr>
      <w:r>
        <w:t>- En el año 2009, fueron 1379, afectando a un total de 30 821 trabajadores.</w:t>
      </w:r>
    </w:p>
    <w:p w14:paraId="63CC34C9" w14:textId="77777777" w:rsidR="003754FE" w:rsidRDefault="003754FE" w:rsidP="003754FE">
      <w:pPr>
        <w:pStyle w:val="TextoNormal"/>
      </w:pPr>
    </w:p>
    <w:p w14:paraId="4521AC48" w14:textId="77777777" w:rsidR="003754FE" w:rsidRDefault="003754FE" w:rsidP="003754FE">
      <w:pPr>
        <w:pStyle w:val="TextoNormal"/>
      </w:pPr>
      <w:r>
        <w:t>- En el año 2010, fueron 1490, afectando a un total de 21 450 trabajadores.</w:t>
      </w:r>
    </w:p>
    <w:p w14:paraId="6DDCFA7E" w14:textId="77777777" w:rsidR="003754FE" w:rsidRDefault="003754FE" w:rsidP="003754FE">
      <w:pPr>
        <w:pStyle w:val="TextoNormal"/>
      </w:pPr>
    </w:p>
    <w:p w14:paraId="292944B9" w14:textId="77777777" w:rsidR="003754FE" w:rsidRDefault="003754FE" w:rsidP="003754FE">
      <w:pPr>
        <w:pStyle w:val="TextoNormal"/>
      </w:pPr>
      <w:r>
        <w:t>(ii) La ausencia de cualquier mecanismo de comprobación de la pertenencia al colectivo afectado de las personas beneficiarias de las pólizas, permitió la inclusión de beneficiarios que nunca habían pertenecido a las empresas ayudadas por la Consejería de Empleo.</w:t>
      </w:r>
    </w:p>
    <w:p w14:paraId="01893C6F" w14:textId="77777777" w:rsidR="003754FE" w:rsidRDefault="003754FE" w:rsidP="003754FE">
      <w:pPr>
        <w:pStyle w:val="TextoNormal"/>
      </w:pPr>
    </w:p>
    <w:p w14:paraId="4226934C" w14:textId="77777777" w:rsidR="003754FE" w:rsidRDefault="003754FE" w:rsidP="003754FE">
      <w:pPr>
        <w:pStyle w:val="TextoNormal"/>
      </w:pPr>
      <w:r>
        <w:t>(iii)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14:paraId="230A0A1E" w14:textId="77777777" w:rsidR="003754FE" w:rsidRDefault="003754FE" w:rsidP="003754FE">
      <w:pPr>
        <w:pStyle w:val="TextoNormal"/>
      </w:pPr>
    </w:p>
    <w:p w14:paraId="6F4977DC" w14:textId="77777777" w:rsidR="003754FE" w:rsidRDefault="003754FE" w:rsidP="003754FE">
      <w:pPr>
        <w:pStyle w:val="TextoNormal"/>
      </w:pPr>
      <w:r>
        <w:t>(iv)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14:paraId="31F63D34" w14:textId="77777777" w:rsidR="003754FE" w:rsidRDefault="003754FE" w:rsidP="003754FE">
      <w:pPr>
        <w:pStyle w:val="TextoNormal"/>
      </w:pPr>
    </w:p>
    <w:p w14:paraId="449C90DB" w14:textId="77777777" w:rsidR="003754FE" w:rsidRDefault="003754FE" w:rsidP="003754FE">
      <w:pPr>
        <w:pStyle w:val="TextoNormal"/>
      </w:pPr>
      <w:r>
        <w:t>(v)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[año] 2006, que puso fin a una conflictividad laboral de la limpieza pública de la provincia de Granada; se financiaron dieciséis muestras de artesanía y jornadas relacionadas con el empleo en diversos municipios andaluces; y se pagó a la fundación San Telmo un curso de alta dirección, durante cinco ejercicios.</w:t>
      </w:r>
    </w:p>
    <w:p w14:paraId="27ED82BF" w14:textId="77777777" w:rsidR="003754FE" w:rsidRDefault="003754FE" w:rsidP="003754FE">
      <w:pPr>
        <w:pStyle w:val="TextoNormal"/>
      </w:pPr>
    </w:p>
    <w:p w14:paraId="4CE5BF8B" w14:textId="77777777" w:rsidR="003754FE" w:rsidRDefault="003754FE" w:rsidP="003754FE">
      <w:pPr>
        <w:pStyle w:val="TextoNormal"/>
      </w:pPr>
      <w:r>
        <w:lastRenderedPageBreak/>
        <w:t>III</w:t>
      </w:r>
      <w:r w:rsidRPr="003754FE">
        <w:rPr>
          <w:i/>
        </w:rPr>
        <w:t>) Tercera eta</w:t>
      </w:r>
      <w:r>
        <w:t>pa</w:t>
      </w:r>
    </w:p>
    <w:p w14:paraId="73B2B761" w14:textId="77777777" w:rsidR="003754FE" w:rsidRDefault="003754FE" w:rsidP="003754FE">
      <w:pPr>
        <w:pStyle w:val="TextoNormal"/>
      </w:pPr>
    </w:p>
    <w:p w14:paraId="33125035" w14:textId="77777777" w:rsidR="003754FE" w:rsidRDefault="003754FE" w:rsidP="003754FE">
      <w:pPr>
        <w:pStyle w:val="TextoNormal"/>
      </w:pPr>
      <w:r>
        <w:t>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14:paraId="55F77BFA" w14:textId="77777777" w:rsidR="003754FE" w:rsidRDefault="003754FE" w:rsidP="003754FE">
      <w:pPr>
        <w:pStyle w:val="TextoNormal"/>
      </w:pPr>
    </w:p>
    <w:p w14:paraId="5F2801E9" w14:textId="77777777" w:rsidR="003754FE" w:rsidRDefault="003754FE" w:rsidP="003754FE">
      <w:pPr>
        <w:pStyle w:val="TextoNormal"/>
      </w:pPr>
      <w:r>
        <w:t>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14:paraId="12EACA60" w14:textId="77777777" w:rsidR="003754FE" w:rsidRDefault="003754FE" w:rsidP="003754FE">
      <w:pPr>
        <w:pStyle w:val="TextoNormal"/>
      </w:pPr>
    </w:p>
    <w:p w14:paraId="6A082BA0" w14:textId="77777777" w:rsidR="003754FE" w:rsidRDefault="003754FE" w:rsidP="003754FE">
      <w:pPr>
        <w:pStyle w:val="TextoNormal"/>
      </w:pPr>
      <w:r>
        <w:t>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14:paraId="513A63C8" w14:textId="77777777" w:rsidR="003754FE" w:rsidRDefault="003754FE" w:rsidP="003754FE">
      <w:pPr>
        <w:pStyle w:val="TextoNormal"/>
      </w:pPr>
    </w:p>
    <w:p w14:paraId="0FD56076" w14:textId="77777777" w:rsidR="003754FE" w:rsidRDefault="003754FE" w:rsidP="003754FE">
      <w:pPr>
        <w:pStyle w:val="TextoNormal"/>
      </w:pPr>
      <w:r>
        <w:t>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14:paraId="0E45F993" w14:textId="77777777" w:rsidR="003754FE" w:rsidRDefault="003754FE" w:rsidP="003754FE">
      <w:pPr>
        <w:pStyle w:val="TextoNormal"/>
      </w:pPr>
    </w:p>
    <w:p w14:paraId="46F39565" w14:textId="77777777" w:rsidR="003754FE" w:rsidRDefault="003754FE" w:rsidP="003754FE">
      <w:pPr>
        <w:pStyle w:val="TextoNormal"/>
      </w:pPr>
      <w:r>
        <w:t>b) El demandante de amparo fue condenado en sentencia núm. 490/2019, de 19 de noviembre, dictada por la Sección Primera de la Audiencia Provincial de Sevilla, en el rollo núm. 1965-2017, por haber participado en los hechos anteriores, en su calidad de consejero de Innovación, Ciencia y Empresa de la Junta de Andalucía entre abril de 2004 y abril de 2009, como autor de “un delito de prevaricación en concurso medial con un delito de malversación, agravado por su especial gravedad, […] a la pena de siete años y un día de prisión, inhabilitación especial para el derecho de sufragio pasivo durante el tiempo de la condena, e inhabilitación absoluta por tiempo de dieciocho años y un día,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14:paraId="5081C140" w14:textId="77777777" w:rsidR="003754FE" w:rsidRDefault="003754FE" w:rsidP="003754FE">
      <w:pPr>
        <w:pStyle w:val="TextoNormal"/>
      </w:pPr>
    </w:p>
    <w:p w14:paraId="631D6459" w14:textId="77777777" w:rsidR="003754FE" w:rsidRDefault="003754FE" w:rsidP="003754FE">
      <w:pPr>
        <w:pStyle w:val="TextoNormal"/>
      </w:pPr>
      <w:r>
        <w:t xml:space="preserve">La resolución fundamenta la condena del señor Vallejo Serrano en el hecho de haber participado, de acuerdo con sus funciones y competencias como consejero de Innovación, Ciencia y Empresa, en la aprobación por el Consejo de Gobierno, de proyectos de leyes de presupuestos de Andalucía para los ejercicios 2005, 2006, 2007, 2008 y 2009 y varias modificaciones presupuestarias. Asimismo, la sentencia también funda la condena del recurrente en su condición de presidente del IFA/IDEA en la medida en que, como miembro del consejo rector de esta institución, no se opuso a la firma de convenios particulares, sino que </w:t>
      </w:r>
      <w:r>
        <w:lastRenderedPageBreak/>
        <w:t>los autorizó, permitiendo así que los fondos de la partida 31L fueran destinados al pago de las subvenciones que la Consejería de Empleo y Desarrollo Tecnológico ordenaba.</w:t>
      </w:r>
    </w:p>
    <w:p w14:paraId="78E32F0A" w14:textId="77777777" w:rsidR="003754FE" w:rsidRDefault="003754FE" w:rsidP="003754FE">
      <w:pPr>
        <w:pStyle w:val="TextoNormal"/>
      </w:pPr>
    </w:p>
    <w:p w14:paraId="40BCA991" w14:textId="77777777" w:rsidR="003754FE" w:rsidRDefault="003754FE" w:rsidP="003754FE">
      <w:pPr>
        <w:pStyle w:val="TextoNormal"/>
      </w:pPr>
      <w:r>
        <w:t>La Audiencia Provincial considera que estas conductas son constitutivas de un delito continuado de prevaricación del art. 404 del Código penal (CP) en cuanto que la aprobación de cada proyecto de ley y de cada modificación presupuestaria constituiría una resolución arbitraria dictada en un asunto administrativo a sabiendas de su manifiesta injusticia. La condena por el delito de malversación del recurrente lo funda la Audiencia Provincial en que el señor Vallejo Serrano conocía y tenía el deber de evitar la utilización ilícita de los fondos consignados en las partidas. La conexión instrumental entre ambos delitos determina que la resolución aprecie una relación de concurso medial, con el consiguiente reflejo en una penalidad conjunta.</w:t>
      </w:r>
    </w:p>
    <w:p w14:paraId="4EAA7650" w14:textId="77777777" w:rsidR="003754FE" w:rsidRDefault="003754FE" w:rsidP="003754FE">
      <w:pPr>
        <w:pStyle w:val="TextoNormal"/>
      </w:pPr>
    </w:p>
    <w:p w14:paraId="48BD214C" w14:textId="77777777" w:rsidR="003754FE" w:rsidRDefault="003754FE" w:rsidP="003754FE">
      <w:pPr>
        <w:pStyle w:val="TextoNormal"/>
      </w:pPr>
      <w:r>
        <w:t>c) Interpuesto recurso de casación por la representación procesal del demandante fue desestimado íntegramente por sentencia del Tribunal Supremo núm. 749/2022, de 13 de septiembre.</w:t>
      </w:r>
    </w:p>
    <w:p w14:paraId="6AFE069E" w14:textId="77777777" w:rsidR="003754FE" w:rsidRDefault="003754FE" w:rsidP="003754FE">
      <w:pPr>
        <w:pStyle w:val="TextoNormal"/>
      </w:pPr>
    </w:p>
    <w:p w14:paraId="7BE9C613" w14:textId="2E50C32D" w:rsidR="003754FE" w:rsidRDefault="003754FE" w:rsidP="003754FE">
      <w:pPr>
        <w:pStyle w:val="TextoNormal"/>
      </w:pPr>
      <w:r>
        <w:t>d) Por auto del Tribunal Supremo de 16 de febrero de 2023 se inadmitió el incidente de nulidad de actuaciones formulado por el recurrente frente a la sentencia del Tribunal Supremo que desestimó el recurso de casación.</w:t>
      </w:r>
    </w:p>
    <w:p w14:paraId="51AFB24D" w14:textId="77777777" w:rsidR="003754FE" w:rsidRDefault="003754FE" w:rsidP="003754FE">
      <w:pPr>
        <w:pStyle w:val="TextoNormal"/>
      </w:pPr>
    </w:p>
    <w:p w14:paraId="3F212AD7" w14:textId="77777777" w:rsidR="003754FE" w:rsidRDefault="003754FE" w:rsidP="003754FE">
      <w:pPr>
        <w:pStyle w:val="TextoNormal"/>
      </w:pPr>
      <w:r w:rsidRPr="003754FE">
        <w:rPr>
          <w:rStyle w:val="NumeroAFNegritaCaracter"/>
        </w:rPr>
        <w:t>3</w:t>
      </w:r>
      <w:r>
        <w:t>. En la demanda se alegan, como motivos de amparo, las siguientes vulneraciones de derechos fundamentales:</w:t>
      </w:r>
    </w:p>
    <w:p w14:paraId="0B7BDB1C" w14:textId="77777777" w:rsidR="003754FE" w:rsidRDefault="003754FE" w:rsidP="003754FE">
      <w:pPr>
        <w:pStyle w:val="TextoNormal"/>
      </w:pPr>
    </w:p>
    <w:p w14:paraId="7AC644C5" w14:textId="77777777" w:rsidR="003754FE" w:rsidRDefault="003754FE" w:rsidP="003754FE">
      <w:pPr>
        <w:pStyle w:val="TextoNormal"/>
      </w:pPr>
      <w:r>
        <w:t>a) Se plantea, en primer lugar, la vulneración del derecho al juez ordinario predeterminado por la ley (art. 24.2 CE). En la demanda se parte del presupuesto, con base en lo dispuesto en la STC 131/2004, de 19 de julio y en el ATC 42/1996, de 14 de febrero, de que el contenido y la proyección del derecho al juez ordinario predeterminado por la ley no se limita exclusivamente a la determinación del órgano jurisdiccional que habrá de conocer del asunto, sino también a la concreta persona sobre la que recae la función jurisdiccional. Alega que, a pesar de que la magistrada doña María Núñez Bolaños, titular del Juzgado de Instrucción núm. 6 de Sevilla, había venido asumiendo de forma exclusiva la tramitación de las diligencias previas núm. 6645-2015, el día 9 de diciembre de 2015, a instancias de la Sala de Gobierno del Tribunal Superior de Justicia de Andalucía, Ceuta y Melilla formuló, junto al magistrado señor Martín Gómez, propuesta de distribución de cometidos, mediante el que ambos acordaban una redistribución de las competencias y funciones que estaban ejerciendo respecto al conocimiento de los asuntos del Juzgado. Según el demandante de amparo dicho acuerdo contraviene lo previsto en el expediente de refuerzo para el Juzgado de Instrucción núm. 6 de Sevilla, de 21 de mayo de 2015, de acuerdo con el cual el magistrado señor Martín Gómez únicamente fue designado para el trámite de asuntos de nuevo ingreso o pendientes de señalamiento. Debido a que las diligencias previas núm. 6645-2015 ya estaban instruyéndose por la magistrada titular, la medida de refuerzo acordada el 21 de mayo de 2015 no se dictó para asumir la instrucción de dichas diligencias. Fue un acuerdo posterior de la Comisión Permanente del Consejo General del Poder Judicial de 21 de enero de 2016 el que ratificó el acuerdo de la Sala de Gobierno del Tribunal Superior de Justicia de Andalucía, Ceuta y Melilla de 14 de diciembre de 2015 en el que se valoró y aprobó la propuesta realizada conjuntamente por los magistrados destinados en el Juzgado de Instrucción núm. 6 de Sevilla.</w:t>
      </w:r>
    </w:p>
    <w:p w14:paraId="48B3497C" w14:textId="77777777" w:rsidR="003754FE" w:rsidRDefault="003754FE" w:rsidP="003754FE">
      <w:pPr>
        <w:pStyle w:val="TextoNormal"/>
      </w:pPr>
    </w:p>
    <w:p w14:paraId="7FD25F8A" w14:textId="77777777" w:rsidR="003754FE" w:rsidRDefault="003754FE" w:rsidP="003754FE">
      <w:pPr>
        <w:pStyle w:val="TextoNormal"/>
      </w:pPr>
      <w:r>
        <w:t xml:space="preserve">Según el recurrente, tal actuación, además de contraria al art. 216 </w:t>
      </w:r>
      <w:r w:rsidRPr="003754FE">
        <w:rPr>
          <w:i/>
        </w:rPr>
        <w:t>bis</w:t>
      </w:r>
      <w:r>
        <w:t>.2.4 de la Ley Orgánica del Poder Judicial (LOPJ), supuso un cambio del magistrado (juez-persona) encargado de tramitar dichas diligencias, con infracción del derecho al juez ordinario predeterminado por la ley. Dicha modificación, que supuso que el magistrado don Álvaro Martín Gómez participara en la instrucción y en la fase intermedia de las diligencias previas núm. 6645-2015, ni tiene cobertura legal ni está motivada, limitándose a afirmar, sin más explicación, su carácter “adecuado”. Se alega en la demanda que las razones aducidas en las sentencias impugnadas para descartar la lesión del derecho no se compadecen ni con la legalidad ni con el derecho fundamental garantizado en la Constitución.</w:t>
      </w:r>
    </w:p>
    <w:p w14:paraId="04CCC9A9" w14:textId="77777777" w:rsidR="003754FE" w:rsidRDefault="003754FE" w:rsidP="003754FE">
      <w:pPr>
        <w:pStyle w:val="TextoNormal"/>
      </w:pPr>
    </w:p>
    <w:p w14:paraId="15734FB4" w14:textId="77777777" w:rsidR="003754FE" w:rsidRDefault="003754FE" w:rsidP="003754FE">
      <w:pPr>
        <w:pStyle w:val="TextoNormal"/>
      </w:pPr>
      <w:r>
        <w:t xml:space="preserve">b) Se denuncia como segundo motivo del amparo la lesión del derecho a la tutela judicial efectiva [arts. 24.1 CE y 6 del Convenio Europeo para la protección de los derechos humanos y de las libertades fundamentales (CEDH)], del derecho de defensa y del derecho a la intangibilidad de las resoluciones judiciales firmes (art. 24.2 CE). La lesión de tales derechos se imputa a la sentencia dictada en casación porque, a juicio del recurrente, se produjo una irregular ampliación del objeto de enjuiciamiento. A pesar de que el auto de la Audiencia Provincial de Sevilla de 9 de febrero de 2018, resolutorio de las cuestiones previas —y cuyo contenido quedó incorporado a la sentencia de instancia—, excluyó expresamente las ayudas individuales del objeto de enjuiciamiento, la sentencia del Tribunal Supremo las considera el soporte fáctico del delito de malversación. Tal forma de actuar, además de desconocer el carácter firme del auto de 9 de febrero de 2018, vulnera los derechos de defensa, de intangibilidad de las resoluciones judiciales e incurre en una </w:t>
      </w:r>
      <w:r w:rsidRPr="003754FE">
        <w:rPr>
          <w:i/>
        </w:rPr>
        <w:t>reformatio in peius</w:t>
      </w:r>
      <w:r>
        <w:t xml:space="preserve"> prohibida por la Constitución. Alega el recurrente que esta queja, a pesar de haber sido oportunamente denunciada en el incidente de nulidad de actuaciones, no obtuvo respuesta por parte del Tribunal Supremo en la forma en que fue planteada por el recurrente en el recurso de casación. El recurrente admite que sí se dio respuesta a otros recurrentes que plantearon esta misma queja ligada a la lesión del principio acusatorio.</w:t>
      </w:r>
    </w:p>
    <w:p w14:paraId="46DEAF1A" w14:textId="77777777" w:rsidR="003754FE" w:rsidRDefault="003754FE" w:rsidP="003754FE">
      <w:pPr>
        <w:pStyle w:val="TextoNormal"/>
      </w:pPr>
    </w:p>
    <w:p w14:paraId="2BEF6323" w14:textId="77777777" w:rsidR="003754FE" w:rsidRDefault="003754FE" w:rsidP="003754FE">
      <w:pPr>
        <w:pStyle w:val="TextoNormal"/>
      </w:pPr>
      <w:r>
        <w:t>c) Como tercer motivo del recurso se denuncia la vulneración del derecho a la tutela judicial efectiva, del derecho de defensa, a la presunción de inocencia y al justo proceso (arts. 24 CE y 6.1 CEDH) por no haber tomado en consideración las resoluciones impugnadas la prueba de descargo y haber basado la condena en datos erróneos y argumentos incriminatorios irrazonables y arbitrarios, así como por no haber dado respuesta a pretensiones y alegaciones sustanciales suscitadas por la parte en el proceso. Dichas vulneraciones, tal y como se exponen en la demanda, se concretan en los siguientes extremos:</w:t>
      </w:r>
    </w:p>
    <w:p w14:paraId="388CE98B" w14:textId="77777777" w:rsidR="003754FE" w:rsidRDefault="003754FE" w:rsidP="003754FE">
      <w:pPr>
        <w:pStyle w:val="TextoNormal"/>
      </w:pPr>
    </w:p>
    <w:p w14:paraId="2F949257" w14:textId="77777777" w:rsidR="003754FE" w:rsidRDefault="003754FE" w:rsidP="003754FE">
      <w:pPr>
        <w:pStyle w:val="TextoNormal"/>
      </w:pPr>
      <w:r>
        <w:t xml:space="preserve">(i) Según el recurrente, las sentencias impugnadas incurren en razonamientos ilógicos, arbitrarios e irrazonables tales como atribuir al señor Vallejo Serrano el conocimiento de los informes de control financiero permanente, en los que se recogían las deficiencias detectadas, por el mero hecho de que la Consejería de Innovación, Ciencia y Empresa era la destinataria de tales informes. Según los recurrentes, tal conclusión es errónea debido a que “[r]emitir no equivale a recibir ni tampoco implica conocer”. Por lo que se refiere al informe adicional del año 2003 se afirma en la demanda que en esa fecha ni la Consejería de Innovación, Ciencia y Empresa había sido creada, ni el señor Vallejo Serrano era consejero, por lo que mal pudo conocer dicho informe. El juicio inferencial que realizan las resoluciones respecto de este extremo es arbitrario e ilógico sobre todo teniendo en cuenta, según se afirma en la demanda, que el señor Vallejo Serrano probó en el juicio oral que no recibió ni </w:t>
      </w:r>
      <w:r>
        <w:lastRenderedPageBreak/>
        <w:t>conoció esos informes. La sentencia del Tribunal Supremo afirma que, en atención a la gravedad del contenido de los informes, la lógica y las máximas de experiencia conllevan que dicho contenido fuera puesto en conocimiento del consejero, esto es, del recurrente. Según el recurrente dicha conclusión es ilógica ya que el contenido y los reproches contenidos en dichos informes iban dirigidos a la Consejería de Empleo y Desarrollo Tecnológico, no a la de Innovación, Ciencia y Empresa. También resulta ilógico e irrazonable según los recurrentes que las sentencias impugnadas se refieran de forma genérica a las competencias que ostentaba el señor Vallejo Serrano para fundar su condena, a pesar de que el cargo que ocupaba en IFA/IDEA no era ejecutivo y no tenía ninguna competencia en materia presupuestaria. Según el recurrente constituye también un argumento absurdo y desvirtuado la imputación al señor Vallejo Serrano del conocimiento de las ilegalidades del programa anual de control financiero permanente a pesar de haberse probado que el señor Vallejo Serrano no estuvo presente cuando se aprobó dicho programa.</w:t>
      </w:r>
    </w:p>
    <w:p w14:paraId="4060D15C" w14:textId="77777777" w:rsidR="003754FE" w:rsidRDefault="003754FE" w:rsidP="003754FE">
      <w:pPr>
        <w:pStyle w:val="TextoNormal"/>
      </w:pPr>
    </w:p>
    <w:p w14:paraId="76E2E912" w14:textId="77777777" w:rsidR="003754FE" w:rsidRDefault="003754FE" w:rsidP="003754FE">
      <w:pPr>
        <w:pStyle w:val="TextoNormal"/>
      </w:pPr>
      <w:r>
        <w:t>(ii) Se queja también el recurrente de que ni la Audiencia Provincial ni el Tribunal Supremo valoraron la abundante prueba de descargo aportada en su día por el señor Vallejo Serrano y que se expone de forma prolija en el recurso de amparo, subrayando, asimismo, los errores patentes en los que incurren las sentencias para fundar su condena.</w:t>
      </w:r>
    </w:p>
    <w:p w14:paraId="755DB50C" w14:textId="77777777" w:rsidR="003754FE" w:rsidRDefault="003754FE" w:rsidP="003754FE">
      <w:pPr>
        <w:pStyle w:val="TextoNormal"/>
      </w:pPr>
    </w:p>
    <w:p w14:paraId="3DB11E58" w14:textId="77777777" w:rsidR="003754FE" w:rsidRDefault="003754FE" w:rsidP="003754FE">
      <w:pPr>
        <w:pStyle w:val="TextoNormal"/>
      </w:pPr>
      <w:r>
        <w:t xml:space="preserve">d) Se alega como cuarto motivo del recurso, la vulneración del derecho a la tutela judicial efectiva (art. 24.1 CE) “al no haberse dado respuesta a las pretensiones esenciales y a la presunción de inocencia por inexistencia de prueba de cargo alguna en la que pueda sostenerse el pronunciamiento condenatorio (art. 24.2 CE)”. Afirma a tal efecto que las resoluciones impugnadas han realizado una extensión arbitraria de la responsabilidad penal al señor Vallejo Serrano por actuaciones anteriores a que él asumiera la función de consejero. Resulta evidente que él, que tomó posesión como consejero de Innovación, Ciencia y Empresa en el año 2004, nada tuvo que ver en el cambio de presupuestación que se llevó a efecto, ni con la firma del convenio marco ni con las primeras modificaciones presupuestarias que se llevaron a cabo. Además, su ámbito de actuación no ha sido la Consejería de Empleo y Desarrollo Tecnológico. No hay indicio en las resoluciones judiciales impugnadas de que haya existido acuerdo, connivencia o plan delictivo entre las personas condenadas en el proceso que tiene causa en este recurso de amparo. No hay explicación alguna en la que se acredite que el señor Vallejo Serrano formara parte de “una […] maquinaria delictiva que supuestamente, según el Tribunal </w:t>
      </w:r>
      <w:r w:rsidRPr="003754FE">
        <w:rPr>
          <w:i/>
        </w:rPr>
        <w:t>a quo</w:t>
      </w:r>
      <w:r>
        <w:t>, ya existía desde 1999, y que abarcaba distintos departamentos y niveles de la Junta de Andalucía”. Por ello, sostiene el recurrente que no procede “hablar del inventado e inexistente procedimiento específico”. Para llevar a cabo tal construcción “se han mezclado […] sin ningún rigor ni rubor competencias y actuaciones, unas de carácter político o de gobierno, y otras de diversa naturaleza administrativa (unas con contenido resolutorio y otras no), obviándose en todo caso la intervención del Parlamento”. En el ámbito penal cada persona debe ser responsable únicamente de sus actos, sin que pueda existir una responsabilidad solidaria. Sin embargo, la sentencia extiende la responsabilidad penal a terceros ajenos a una deficiente tramitación y concesión de subvenciones.</w:t>
      </w:r>
    </w:p>
    <w:p w14:paraId="646A0229" w14:textId="77777777" w:rsidR="003754FE" w:rsidRDefault="003754FE" w:rsidP="003754FE">
      <w:pPr>
        <w:pStyle w:val="TextoNormal"/>
      </w:pPr>
    </w:p>
    <w:p w14:paraId="222BD80C" w14:textId="77777777" w:rsidR="003754FE" w:rsidRDefault="003754FE" w:rsidP="003754FE">
      <w:pPr>
        <w:pStyle w:val="TextoNormal"/>
      </w:pPr>
      <w:r>
        <w:t xml:space="preserve">e) Se alega, como quinto motivo, la vulneración del principio de legalidad (art. 25.2 CE) por la interpretación extensiva del concepto resolución a los efectos del delito tipificado en el art. 404 CP, incluyendo por primera vez en dicho tipo actos políticos no sujetos a control jurisdiccional. El recurrente afirma que el principio de taxatividad (art. 25 CE) no permite </w:t>
      </w:r>
      <w:r>
        <w:lastRenderedPageBreak/>
        <w:t>interpretar que la resolución que constituye el elemento objetivo del tipo pueda ser cualquiera, sino que debe tratarse de una resolución dictada en un asunto administrativo en el sentido estricto del término, sin que quepa incluir en el mismo los anteproyectos y proyectos de ley. Con cita de doctrina constitucional (SSTC 45/1990, de 15 de marzo, y 196/1990, de 29 de noviembre) y de jurisprudencia del Tribunal Supremo [STS 787/2013, de 23 de octubre (ECLI:ES:TS:2013:5318)] alega la exclusión de los actos políticos o de gobierno del concepto de resolución administrativa a la que se refiere el art. 404 CP. Por ello, el art. 25 CE impide interpretar de forma extensiva el término “resolución administrativa” que debe ser únicamente la dictada en un asunto administrativo. Afirma que la aprobación del proyecto de la ley de presupuestos, así como las modificaciones presupuestarias se enmarcan en la iniciativa legislativa del Consejo de Gobierno por lo que su naturaleza política se corresponde con la de los actos políticos. Según el recurrente, las sentencias impugnadas construyen una teoría según la cual el procedimiento de elaboración del anteproyecto de presupuestos sería un “procedimiento minuciosamente reglado” siendo ahí donde cabría situar el control judicial y donde se habría producido la vulneración de la ley, afirmando la sentencia dictada en casación la existencia de asuntos administrativos a efectos penales que serían divergentes y más amplios que lo son para el propio Derecho administrativo. Según el recurrente, el resultado de la interpretación extensiva que llevan a cabo las resoluciones judiciales “allanan el camino para sostener la existencia de leyes ‘ilegales’, o que cobijan dentro de sí alguna o algunas normas ‘ilegales’ derivadas de un supuesto quebranto normativo sufrido durante la fase prelegislativa”. Tal es lo que sucede, según el recurrente, en el delito de prevaricación por el que ha sido condenado, ya que se basa en el carácter ilegal de una partida presupuestaria (31L) —contenida en las sucesivas leyes de presupuestos autonómicos aprobadas por el Parlamento— por no acomodarse a las prescripciones establecidas en la Ley del Parlamento de Andalucía 15/2001, de 26 de diciembre, por la que se aprueban medidas fiscales, presupuestarias, de control y administrativas. Según el recurrente, resulta obvio que las transferencias de financiación (como instrumento presupuestario) tendrán la finalidad que la ley establezca y, desde el año 2002, todas las leyes de presupuestos aprobadas válidamente por el Parlamento de Andalucía han previsto en sus estados de gastos que el dinero para el pago por el IFA/IDEA de las ayudas socio laborales, concedidas por la Dirección General de Trabajo y Seguridad Social de la Consejería de Empleo y Desarrollo Tecnológico, se hiciera llegar al ente instrumental mediante transferencias de financiación. No hay más que ver las leyes de presupuestos en sus estados de gasto y en sus memorias para descartar de plano que el Parlamento de Andalucía aprobara la partida 31L para equilibrar las cuentas del IFA/IDEA sin que pueda oponerse de contrario que el Parlamento no sabía lo que aprobaba o que este fuera inducido a error, que es, en definitiva, el razonamiento sostenido en las sentencias para condenar por el delito de prevaricación.</w:t>
      </w:r>
    </w:p>
    <w:p w14:paraId="7354A5B6" w14:textId="77777777" w:rsidR="003754FE" w:rsidRDefault="003754FE" w:rsidP="003754FE">
      <w:pPr>
        <w:pStyle w:val="TextoNormal"/>
      </w:pPr>
    </w:p>
    <w:p w14:paraId="51189046" w14:textId="77777777" w:rsidR="003754FE" w:rsidRDefault="003754FE" w:rsidP="003754FE">
      <w:pPr>
        <w:pStyle w:val="TextoNormal"/>
      </w:pPr>
      <w:r>
        <w:t xml:space="preserve">Las resoluciones impugnadas, aunque parten de la base de que el procedimiento de elaboración del anteproyecto de presupuestos es un procedimiento minuciosamente reglado, siendo en esa fase en la que se produce el control judicial y en la que se aprecia la vulneración de la ley, no analizan las actuaciones y competencias de cada uno de los intervinientes en dicho procedimiento. Teniendo en cuenta que el proyecto de ley llega ya elaborado por la Consejería de Hacienda al Consejo de Gobierno, es erróneo, arbitrario e inadmisible que se concluya en las sentencias que las transferencias de financiación se incluyeron indebidamente en el anteproyecto y proyecto de presupuestos, pues de la misma forma se pudo añadir que se incluyeron en el anteproyecto, proyecto y en la propia ley de presupuestos. Desde la perspectiva del derecho penal debería haberse determinado e individualizado la actuación </w:t>
      </w:r>
      <w:r>
        <w:lastRenderedPageBreak/>
        <w:t>que cada uno de los condenados llevó a cabo en relación con los hechos por los que se les exige responsabilidad penal. Si este examen se hubiera realizado, hubiera resultado patente que el señor Vallejo Serrano no hubiera tenido ninguna intervención en la aprobación de los proyectos de presupuestos antes descrita.</w:t>
      </w:r>
    </w:p>
    <w:p w14:paraId="27CCF6F9" w14:textId="77777777" w:rsidR="003754FE" w:rsidRDefault="003754FE" w:rsidP="003754FE">
      <w:pPr>
        <w:pStyle w:val="TextoNormal"/>
      </w:pPr>
    </w:p>
    <w:p w14:paraId="3F8F142A" w14:textId="77777777" w:rsidR="003754FE" w:rsidRDefault="003754FE" w:rsidP="003754FE">
      <w:pPr>
        <w:pStyle w:val="TextoNormal"/>
      </w:pPr>
      <w:r>
        <w:t>Por lo que se refiere a las modificaciones presupuestarias aprobadas por el Consejo de Gobierno fueron tramitadas con arreglo a las previsiones de la Ley general de hacienda pública de la Comunidad Autónoma de Andalucía, a las que se dio estricto cumplimiento. La sentencia de instancia no expresa ni individualiza por qué concretas modificaciones presupuestarias se condena al recurrente, ni cuál fue la conducta delictiva que este llevó a cabo ni su aportación personal más allá de estar en la Comisión de Viceconsejeros, sobre todo teniendo en cuenta que tanto el interventor general y el interventor adjunto informaron favorablemente estas modificaciones presupuestarias como garantes de la legalidad presupuestaria (y ambos fueron absueltos).</w:t>
      </w:r>
    </w:p>
    <w:p w14:paraId="3BF16906" w14:textId="77777777" w:rsidR="003754FE" w:rsidRDefault="003754FE" w:rsidP="003754FE">
      <w:pPr>
        <w:pStyle w:val="TextoNormal"/>
      </w:pPr>
    </w:p>
    <w:p w14:paraId="4651FC4B" w14:textId="77777777" w:rsidR="003754FE" w:rsidRDefault="003754FE" w:rsidP="003754FE">
      <w:pPr>
        <w:pStyle w:val="TextoNormal"/>
      </w:pPr>
      <w:r>
        <w:t>f) Como último motivo del recurso, el recurrente alega que las resoluciones impugnadas vulneran el derecho a la tutela judicial efectiva (arts. 24.1 CE y 6.1 CEDH), a un proceso público con todas las garantías, incluyendo la presunción de inocencia y el principio de legalidad penal. Según el recurrente, la condena por el delito de malversación se lleva a cabo también con vulneración de derechos fundamentales en relación con los siguientes extremos:</w:t>
      </w:r>
    </w:p>
    <w:p w14:paraId="469720D2" w14:textId="77777777" w:rsidR="003754FE" w:rsidRDefault="003754FE" w:rsidP="003754FE">
      <w:pPr>
        <w:pStyle w:val="TextoNormal"/>
      </w:pPr>
    </w:p>
    <w:p w14:paraId="6529D477" w14:textId="77777777" w:rsidR="003754FE" w:rsidRDefault="003754FE" w:rsidP="003754FE">
      <w:pPr>
        <w:pStyle w:val="TextoNormal"/>
      </w:pPr>
      <w:r>
        <w:t>(i) Respecto a la autoría en el delito de malversación se alega que las sentencias impugnadas parten de la presunción de participación. En los hechos probados de la sentencia de la Audiencia Provincial se afirma una actuación coral de los acusados, esto es, una coautoría con división de funciones entre los intervinientes. Sin embargo, tal conclusión no se sostiene ya que no existe prueba directa ni indiciaria de que el señor Vallejo Serrano y el resto de los condenados ajenos a la Consejería de Empleo y Desarrollo Tecnológico actuaran de forma concertada. Por otra parte, es imposible sostener, al mismo tiempo, que los acusados son responsables individualmente por los hechos que han cometido, sin que exista coautoría; y al mismo tiempo sostener que el castigo de los condenados debe examinarse sin aislar la actuación de cada uno de los autores en la creación de un sistema complejo e integrado. La sentencia dictada en casación, al no apreciar acuerdo de voluntades para delinquir, reinterpreta la sentencia impugnada y convierte la coautoría en una autoría directa e individual. Según el recurrente, tal forma de razonar del Tribunal Supremo es insostenible y arbitraria, particularmente respecto de la condena por malversación.</w:t>
      </w:r>
    </w:p>
    <w:p w14:paraId="01DD64EF" w14:textId="77777777" w:rsidR="003754FE" w:rsidRDefault="003754FE" w:rsidP="003754FE">
      <w:pPr>
        <w:pStyle w:val="TextoNormal"/>
      </w:pPr>
    </w:p>
    <w:p w14:paraId="4C96C946" w14:textId="77777777" w:rsidR="003754FE" w:rsidRDefault="003754FE" w:rsidP="003754FE">
      <w:pPr>
        <w:pStyle w:val="TextoNormal"/>
      </w:pPr>
      <w:r>
        <w:t>(ii) Respecto a la indeterminación de los hechos constitutivos de la malversación cometida en comisión por omisión. Se queja el recurrente de que la sentencia de instancia no concreta ni identifica los hechos que se integran en la calificación del delito de malversación en relación con los condenados ajenos a la Consejería de Empleo y Desarrollo Tecnológico. La sentencia dictada por el Tribunal Supremo imputa el delito de malversación en comisión por omisión, pero sin justificar en ningún caso la posición de garante en la que, en su caso, debería encontrarse el señor Vallejo Serrano.</w:t>
      </w:r>
    </w:p>
    <w:p w14:paraId="534D8B5F" w14:textId="77777777" w:rsidR="003754FE" w:rsidRDefault="003754FE" w:rsidP="003754FE">
      <w:pPr>
        <w:pStyle w:val="TextoNormal"/>
      </w:pPr>
    </w:p>
    <w:p w14:paraId="6BFDD485" w14:textId="77777777" w:rsidR="003754FE" w:rsidRDefault="003754FE" w:rsidP="003754FE">
      <w:pPr>
        <w:pStyle w:val="TextoNormal"/>
      </w:pPr>
      <w:r>
        <w:t xml:space="preserve">(iii) Respecto de la indeterminación e irrazonabilidad de la prueba indiciaria del elemento subjetivo del delito de malversación. Al igual que respecto de la autoría y la comisión por omisión, no existe tampoco prueba ni directa ni indiciaria de la concurrencia del elemento </w:t>
      </w:r>
      <w:r>
        <w:lastRenderedPageBreak/>
        <w:t>subjetivo del tipo de malversación. La sentencia de instancia no razona las causas que llevan a la Sala a apreciar la concurrencia de un dolo eventual, ni lo distingue del elemento subjetivo del tipo de prevaricación. Por lo que se refiere a la sentencia dictada en casación, omite por completo cualquier consideración acerca de la parte subjetiva del tipo de malversación, creando una especie de “dolo omnicomprensivo” que abarca los hechos calificados como prevaricación y malversación. Para justificar la queja, se remite y transcribe buena parte del voto particular formulado a la sentencia del Tribunal Supremo.</w:t>
      </w:r>
    </w:p>
    <w:p w14:paraId="346E932C" w14:textId="77777777" w:rsidR="003754FE" w:rsidRDefault="003754FE" w:rsidP="003754FE">
      <w:pPr>
        <w:pStyle w:val="TextoNormal"/>
      </w:pPr>
    </w:p>
    <w:p w14:paraId="3B6C9B56" w14:textId="34601515" w:rsidR="003754FE" w:rsidRDefault="003754FE" w:rsidP="003754FE">
      <w:pPr>
        <w:pStyle w:val="TextoNormal"/>
      </w:pPr>
      <w:r>
        <w:t>En el suplico de la demanda se interesa que se declare la vulneración de los derechos fundamentales aludidos y, en consecuencia, la nulidad de las resoluciones impugnadas “con los efectos de retroacción de las actuaciones en el caso de estimarse el primer motivo, y de absolución de […], don Francisco Vallejo Serrano, que en cada caso resulten procedentes”. Asimismo, mediante otrosí, se interesa, al amparo de lo dispuesto en el art. 56.2 de la Ley Orgánica del Tribunal Constitucional (LOTC), la suspensión de la eficacia de las sentencias impugnadas hasta tanto recaiga una resolución definitiva en el recurso de amparo.</w:t>
      </w:r>
    </w:p>
    <w:p w14:paraId="086C7C45" w14:textId="77777777" w:rsidR="003754FE" w:rsidRDefault="003754FE" w:rsidP="003754FE">
      <w:pPr>
        <w:pStyle w:val="TextoNormal"/>
      </w:pPr>
    </w:p>
    <w:p w14:paraId="0F7352F4" w14:textId="77777777" w:rsidR="003754FE" w:rsidRDefault="003754FE" w:rsidP="003754FE">
      <w:pPr>
        <w:pStyle w:val="TextoNormal"/>
      </w:pPr>
      <w:r w:rsidRPr="003754FE">
        <w:rPr>
          <w:rStyle w:val="NumeroAFNegritaCaracter"/>
        </w:rPr>
        <w:t>4</w:t>
      </w:r>
      <w:r>
        <w:t>. La Sala Segunda de este tribunal dictó el ATC 291/2023, de 5 de junio, en el que se adoptaron los siguientes pronunciamientos:</w:t>
      </w:r>
    </w:p>
    <w:p w14:paraId="4221042B" w14:textId="77777777" w:rsidR="003754FE" w:rsidRDefault="003754FE" w:rsidP="003754FE">
      <w:pPr>
        <w:pStyle w:val="TextoNormal"/>
      </w:pPr>
    </w:p>
    <w:p w14:paraId="2B8693E5" w14:textId="77777777" w:rsidR="003754FE" w:rsidRDefault="003754FE" w:rsidP="003754FE">
      <w:pPr>
        <w:pStyle w:val="TextoNormal"/>
      </w:pPr>
      <w:r>
        <w:t>(i) Previa avocación a la Sala de la decisión se admitió a trámite el presente recurso de amparo “porque el recurso plantea un problema o afecta a una faceta de un derecho fundamental sobre el que no hay doctrina de este tribunal [STC 155/2009, de 25 de junio, FJ 2 a)], […] porque el asunto trasciende del caso concreto debido a que plantea una cuestión jurídica de relevante y general repercusión social y tiene unas consecuencias políticas generales [STC 155/2009, FJ 2 g)]”.</w:t>
      </w:r>
    </w:p>
    <w:p w14:paraId="2B00456A" w14:textId="77777777" w:rsidR="003754FE" w:rsidRDefault="003754FE" w:rsidP="003754FE">
      <w:pPr>
        <w:pStyle w:val="TextoNormal"/>
      </w:pPr>
    </w:p>
    <w:p w14:paraId="2095898A" w14:textId="77777777" w:rsidR="003754FE" w:rsidRDefault="003754FE" w:rsidP="003754FE">
      <w:pPr>
        <w:pStyle w:val="TextoNormal"/>
      </w:pPr>
      <w:r>
        <w:t>(ii) En aplicación del art. 51 LOTC, se acordó requerir a la Sección Primera de la Audiencia Provincial de Sevilla a fin de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 Mediante diligencia de ordenación de 24 de julio de 2023 se tuvieron por recibidas en este tribunal las actuaciones correspondientes al procedimiento abreviado núm. 133-2016, rollo núm. 1965-2017.</w:t>
      </w:r>
    </w:p>
    <w:p w14:paraId="22142F9A" w14:textId="77777777" w:rsidR="003754FE" w:rsidRDefault="003754FE" w:rsidP="003754FE">
      <w:pPr>
        <w:pStyle w:val="TextoNormal"/>
      </w:pPr>
    </w:p>
    <w:p w14:paraId="096122B8" w14:textId="77777777" w:rsidR="003754FE" w:rsidRDefault="003754FE" w:rsidP="003754FE">
      <w:pPr>
        <w:pStyle w:val="TextoNormal"/>
      </w:pPr>
      <w:r>
        <w:t>(iii) Se ordenó, asimismo, formar pieza separada de suspensión y en ella conceder un plazo común de tres días al Ministerio Fiscal y al solicitante de amparo para que efectuasen alegaciones sobre dicha cuestión. Hechas las alegaciones correspondientes, el Pleno de este tribunal dictó ATC 441/2023, de 26 de septiembre, en el que acordó denegar la suspensión interesada por la actora.</w:t>
      </w:r>
    </w:p>
    <w:p w14:paraId="66EBFF65" w14:textId="77777777" w:rsidR="003754FE" w:rsidRDefault="003754FE" w:rsidP="003754FE">
      <w:pPr>
        <w:pStyle w:val="TextoNormal"/>
      </w:pPr>
    </w:p>
    <w:p w14:paraId="194AC66D" w14:textId="6B2A4912" w:rsidR="003754FE" w:rsidRDefault="003754FE" w:rsidP="003754FE">
      <w:pPr>
        <w:pStyle w:val="TextoNormal"/>
      </w:pPr>
      <w:r>
        <w:t>(iv) Se propuso finalmente la avocación al Pleno del conocimiento del asunto. Por providencia de 20 de junio de 2023 el Pleno de este tribunal acordó, conforme al artículo 10.1 n) LOTC, a propuesta de la Sala Segunda, “recabar para sí el conocimiento del recurso de amparo que se tramita en dicha sala con el número 2360-2023, interpuesto por don Francisco Vallejo Serrano”.</w:t>
      </w:r>
    </w:p>
    <w:p w14:paraId="151C9FE6" w14:textId="77777777" w:rsidR="003754FE" w:rsidRDefault="003754FE" w:rsidP="003754FE">
      <w:pPr>
        <w:pStyle w:val="TextoNormal"/>
      </w:pPr>
    </w:p>
    <w:p w14:paraId="52AD242C" w14:textId="77777777" w:rsidR="003754FE" w:rsidRDefault="003754FE" w:rsidP="003754FE">
      <w:pPr>
        <w:pStyle w:val="TextoNormal"/>
      </w:pPr>
      <w:r w:rsidRPr="003754FE">
        <w:rPr>
          <w:rStyle w:val="NumeroAFNegritaCaracter"/>
        </w:rPr>
        <w:t>5</w:t>
      </w:r>
      <w:r>
        <w:t>. Además del Ministerio Fiscal, las partes personadas en este proceso de amparo son las siguientes:</w:t>
      </w:r>
    </w:p>
    <w:p w14:paraId="6C48AFAD" w14:textId="77777777" w:rsidR="003754FE" w:rsidRDefault="003754FE" w:rsidP="003754FE">
      <w:pPr>
        <w:pStyle w:val="TextoNormal"/>
      </w:pPr>
    </w:p>
    <w:p w14:paraId="7E23EA5C" w14:textId="77777777" w:rsidR="003754FE" w:rsidRDefault="003754FE" w:rsidP="003754FE">
      <w:pPr>
        <w:pStyle w:val="TextoNormal"/>
      </w:pPr>
      <w:r>
        <w:t>(i) El Partido Popular, al que se tuvo por personado en diligencia de ordenación de 27 de julio de 2023.</w:t>
      </w:r>
    </w:p>
    <w:p w14:paraId="12BB9EAA" w14:textId="77777777" w:rsidR="003754FE" w:rsidRDefault="003754FE" w:rsidP="003754FE">
      <w:pPr>
        <w:pStyle w:val="TextoNormal"/>
      </w:pPr>
    </w:p>
    <w:p w14:paraId="3BB278C9" w14:textId="77777777" w:rsidR="003754FE" w:rsidRDefault="003754FE" w:rsidP="003754FE">
      <w:pPr>
        <w:pStyle w:val="TextoNormal"/>
      </w:pPr>
      <w:r>
        <w:t>(ii) Don José Antonio Griñán Martínez, al que se tuvo por personado en diligencia de ordenación de 23 de octubre de 2023, si bien no ha presentado escrito de alegaciones.</w:t>
      </w:r>
    </w:p>
    <w:p w14:paraId="010ABF5C" w14:textId="77777777" w:rsidR="003754FE" w:rsidRDefault="003754FE" w:rsidP="003754FE">
      <w:pPr>
        <w:pStyle w:val="TextoNormal"/>
      </w:pPr>
    </w:p>
    <w:p w14:paraId="16ED7A11" w14:textId="77777777" w:rsidR="003754FE" w:rsidRDefault="003754FE" w:rsidP="003754FE">
      <w:pPr>
        <w:pStyle w:val="TextoNormal"/>
      </w:pPr>
      <w:r>
        <w:t>(iii) Don Antonio Vicente Lozano Peña, al que se tuvo por personado en diligencia de ordenación de 23 de octubre de 2023, si bien no ha presentado alegaciones.</w:t>
      </w:r>
    </w:p>
    <w:p w14:paraId="0BBD3ED9" w14:textId="77777777" w:rsidR="003754FE" w:rsidRDefault="003754FE" w:rsidP="003754FE">
      <w:pPr>
        <w:pStyle w:val="TextoNormal"/>
      </w:pPr>
    </w:p>
    <w:p w14:paraId="636684F5" w14:textId="77777777" w:rsidR="003754FE" w:rsidRDefault="003754FE" w:rsidP="003754FE">
      <w:pPr>
        <w:pStyle w:val="TextoNormal"/>
      </w:pPr>
      <w:r>
        <w:t>(iv) Don Jesús María Rodríguez Román, al que se tuvo por personado en diligencia de ordenación de 23 de octubre de 2023.</w:t>
      </w:r>
    </w:p>
    <w:p w14:paraId="10B38ACC" w14:textId="77777777" w:rsidR="003754FE" w:rsidRDefault="003754FE" w:rsidP="003754FE">
      <w:pPr>
        <w:pStyle w:val="TextoNormal"/>
      </w:pPr>
    </w:p>
    <w:p w14:paraId="029C6326" w14:textId="77777777" w:rsidR="003754FE" w:rsidRDefault="003754FE" w:rsidP="003754FE">
      <w:pPr>
        <w:pStyle w:val="TextoNormal"/>
      </w:pPr>
      <w:r>
        <w:t>(v) Doña Carmen Martínez Aguayo, a la que se tuvo por personada en diligencia de ordenación de 23 de octubre de 2023.</w:t>
      </w:r>
    </w:p>
    <w:p w14:paraId="0CDB4E5B" w14:textId="77777777" w:rsidR="003754FE" w:rsidRDefault="003754FE" w:rsidP="003754FE">
      <w:pPr>
        <w:pStyle w:val="TextoNormal"/>
      </w:pPr>
    </w:p>
    <w:p w14:paraId="50ADE33E" w14:textId="5459BCDE" w:rsidR="003754FE" w:rsidRDefault="003754FE" w:rsidP="003754FE">
      <w:pPr>
        <w:pStyle w:val="TextoNormal"/>
      </w:pPr>
      <w:r>
        <w:t>(vi) Don Gaspar Zarrías Arévalo, al que se tuvo por personado en diligencia de ordenación de 23 de octubre de 2023.</w:t>
      </w:r>
    </w:p>
    <w:p w14:paraId="13CB559C" w14:textId="77777777" w:rsidR="003754FE" w:rsidRDefault="003754FE" w:rsidP="003754FE">
      <w:pPr>
        <w:pStyle w:val="TextoNormal"/>
      </w:pPr>
    </w:p>
    <w:p w14:paraId="639FB32A" w14:textId="77777777" w:rsidR="003754FE" w:rsidRDefault="003754FE" w:rsidP="003754FE">
      <w:pPr>
        <w:pStyle w:val="TextoNormal"/>
      </w:pPr>
      <w:r w:rsidRPr="003754FE">
        <w:rPr>
          <w:rStyle w:val="NumeroAFNegritaCaracter"/>
        </w:rPr>
        <w:t>6</w:t>
      </w:r>
      <w:r>
        <w:t>. Las partes personadas en el presente proceso de amparo han presentado las siguientes alegaciones:</w:t>
      </w:r>
    </w:p>
    <w:p w14:paraId="790CDEB6" w14:textId="77777777" w:rsidR="003754FE" w:rsidRDefault="003754FE" w:rsidP="003754FE">
      <w:pPr>
        <w:pStyle w:val="TextoNormal"/>
      </w:pPr>
    </w:p>
    <w:p w14:paraId="1EA933E4" w14:textId="77777777" w:rsidR="003754FE" w:rsidRDefault="003754FE" w:rsidP="003754FE">
      <w:pPr>
        <w:pStyle w:val="TextoNormal"/>
      </w:pPr>
      <w:r>
        <w:t>a) El Partido Popular ha interesado, en escrito registrado en este tribunal el 26 de septiembre de 2023, la desestimación del recurso de amparo.</w:t>
      </w:r>
    </w:p>
    <w:p w14:paraId="7B342BC3" w14:textId="77777777" w:rsidR="003754FE" w:rsidRDefault="003754FE" w:rsidP="003754FE">
      <w:pPr>
        <w:pStyle w:val="TextoNormal"/>
      </w:pPr>
    </w:p>
    <w:p w14:paraId="15A012DF" w14:textId="77777777" w:rsidR="003754FE" w:rsidRDefault="003754FE" w:rsidP="003754FE">
      <w:pPr>
        <w:pStyle w:val="TextoNormal"/>
      </w:pPr>
      <w:r>
        <w:t>El escrito comienza con unas alegaciones generales respecto de la totalidad de los motivos aducidos en el recurso de amparo. Se afirma que las resoluciones judiciales impugnadas realizan una interpretación razonable y previsible del ordenamiento jurídico y que las quejas del recurrente parten de una selección parcial y fragmentada de los fundamentos de la condena.</w:t>
      </w:r>
    </w:p>
    <w:p w14:paraId="68E239DD" w14:textId="77777777" w:rsidR="003754FE" w:rsidRDefault="003754FE" w:rsidP="003754FE">
      <w:pPr>
        <w:pStyle w:val="TextoNormal"/>
      </w:pPr>
    </w:p>
    <w:p w14:paraId="69E21130" w14:textId="77777777" w:rsidR="003754FE" w:rsidRDefault="003754FE" w:rsidP="003754FE">
      <w:pPr>
        <w:pStyle w:val="TextoNormal"/>
      </w:pPr>
      <w:r>
        <w:t xml:space="preserve">Respecto del primer motivo de amparo, el escrito de alegaciones descarta que se haya producido lesión alguna del derecho al juez ordinario predeterminado por la ley toda vez que ni hubo un nombramiento contrario a lo previsto en la Ley Orgánica del Poder Judicial, ni un nombramiento de un juez </w:t>
      </w:r>
      <w:r w:rsidRPr="003754FE">
        <w:rPr>
          <w:i/>
        </w:rPr>
        <w:t>ad hoc</w:t>
      </w:r>
      <w:r>
        <w:t xml:space="preserve">, ni se privó a la magistrada titular del Juzgado de ningún procedimiento de su competencia. Añade que, dado que la comisión de servicios se concedió por la concurrencia de un supuesto excepcional —la tramitación de la macrocausa— no le resulta de aplicación el art. 216 </w:t>
      </w:r>
      <w:r w:rsidRPr="003754FE">
        <w:rPr>
          <w:i/>
        </w:rPr>
        <w:t>bis</w:t>
      </w:r>
      <w:r>
        <w:t>.2.4 LOPJ, pues no resultaba exigible un plan de actualización.</w:t>
      </w:r>
    </w:p>
    <w:p w14:paraId="253B7461" w14:textId="77777777" w:rsidR="003754FE" w:rsidRDefault="003754FE" w:rsidP="003754FE">
      <w:pPr>
        <w:pStyle w:val="TextoNormal"/>
      </w:pPr>
    </w:p>
    <w:p w14:paraId="67207176" w14:textId="77777777" w:rsidR="003754FE" w:rsidRDefault="003754FE" w:rsidP="003754FE">
      <w:pPr>
        <w:pStyle w:val="TextoNormal"/>
      </w:pPr>
      <w:r>
        <w:t xml:space="preserve">Respecto del segundo de los motivos de amparo, referido al objeto de enjuiciamiento en el proceso penal, el escrito de alegaciones del Partido Popular afirma que el recurrente debería haber detallado la queja concretando, en su caso, qué hechos de los conocidos en este proceso están siendo también objeto de enjuiciamiento en otros. Descarta en todo caso que se haya producido la vulneración del derecho a la intangibilidad de las resoluciones </w:t>
      </w:r>
      <w:r>
        <w:lastRenderedPageBreak/>
        <w:t xml:space="preserve">judiciales ya que la construcción “dada por el Tribunal Supremo es respetuosa con el derecho al </w:t>
      </w:r>
      <w:r w:rsidRPr="003754FE">
        <w:rPr>
          <w:i/>
        </w:rPr>
        <w:t>non bis in idem</w:t>
      </w:r>
      <w:r>
        <w:t>, dado que ello se articula a través de la cosa juzgada negativa o excluyente”, en virtud de la cual ninguno de los aquí condenados puede volver a ser juzgado por los mismos hechos. Afirma que “los autos de ‘exclusión’ como el que se dictó en cuestiones previas, no siendo de sobreseimiento libre, no tiene valor de cosa juzgada […] ni debe entenderse que vincule al Tribunal de enjuiciamiento o ahora en casación”. Los hechos enjuiciados se concretaron en los escritos de acusación y sobre ellos hubo debate contradictorio, por lo que se descarta, asimismo, que se haya vulnerado el derecho de defensa ya que las partes han podido alegar y probar tal y como pone de manifiesto el Tribunal Supremo en el auto que resuelve el incidente de nulidad de actuaciones interpuesto frente a la sentencia dictada en casación, sin que, además, se haya concretado por el recurrente la prueba o las diligencias que, en su caso, se dejaron de practicar y que fueron causantes de indefensión.</w:t>
      </w:r>
    </w:p>
    <w:p w14:paraId="38B9ADE6" w14:textId="77777777" w:rsidR="003754FE" w:rsidRDefault="003754FE" w:rsidP="003754FE">
      <w:pPr>
        <w:pStyle w:val="TextoNormal"/>
      </w:pPr>
    </w:p>
    <w:p w14:paraId="2D6D7813" w14:textId="77777777" w:rsidR="003754FE" w:rsidRDefault="003754FE" w:rsidP="003754FE">
      <w:pPr>
        <w:pStyle w:val="TextoNormal"/>
      </w:pPr>
      <w:r>
        <w:t>Respecto del tercer motivo del recurso de amparo, considera en primer término que el recurrente “entremezcla infracciones de distintos derechos […]. Tampoco el enunciado guarda correlación con el contenido”. En contra de lo sostenido por el recurrente, se alega que la motivación fáctica y probatoria es plenamente legal y lógica en relación con la recepción de los informes de intervención, con la gravedad de las deficiencias advertidas en dichos informes y con el hecho de que las competencias que tenía atribuidas el recurrente en su calidad de consejero permitieron la disposición de fondos públicos por otros e incluso con cargo a presupuestos de su propia consejería. Tampoco es cierto, según el escrito de alegaciones, que los órganos judiciales no hayan valorado la prueba de descargo, en concreto de pruebas testificales, cumpliendo así con lo exigido por la doctrina constitucional. Por lo que se refiere a la existencia de errores patentes, el escrito de alegaciones subraya que el auto resolutorio del incidente de nulidad de actuaciones asume que la sentencia dictada en casación sí contiene algunos errores fácticos, pero que estos carecen absolutamente de relevancia.</w:t>
      </w:r>
    </w:p>
    <w:p w14:paraId="440E83A9" w14:textId="77777777" w:rsidR="003754FE" w:rsidRDefault="003754FE" w:rsidP="003754FE">
      <w:pPr>
        <w:pStyle w:val="TextoNormal"/>
      </w:pPr>
    </w:p>
    <w:p w14:paraId="71221D0B" w14:textId="77777777" w:rsidR="003754FE" w:rsidRDefault="003754FE" w:rsidP="003754FE">
      <w:pPr>
        <w:pStyle w:val="TextoNormal"/>
      </w:pPr>
      <w:r>
        <w:t>Se alega que tampoco debe estimarse el motivo cuarto de la demanda, pues no existe lesión alguna ni del derecho a la tutela judicial efectiva ni a la presunción de inocencia. El escrito de alegaciones afirma que el recurso de amparo parte de nuevo de premisas sesgadas e incompletas ya que se deriva de las sentencias impugnadas que el recurrente no ha sido solo condenado por el mero hecho de haber sido consejero de Innovación, Ciencia y Empresa. El recurrente ha sido condenado por la comisión de “hechos propios, como incumplir deberes de garante por su dominio funcional respecto a las decisiones afectantes a la financiación y presupuestación, así como pago por el IFA de las ayudas”.</w:t>
      </w:r>
    </w:p>
    <w:p w14:paraId="41E36D35" w14:textId="77777777" w:rsidR="003754FE" w:rsidRDefault="003754FE" w:rsidP="003754FE">
      <w:pPr>
        <w:pStyle w:val="TextoNormal"/>
      </w:pPr>
    </w:p>
    <w:p w14:paraId="550DC675" w14:textId="77777777" w:rsidR="003754FE" w:rsidRDefault="003754FE" w:rsidP="003754FE">
      <w:pPr>
        <w:pStyle w:val="TextoNormal"/>
      </w:pPr>
      <w:r>
        <w:t xml:space="preserve">Por lo que se refiere al motivo quinto del recurso, el escrito de alegaciones del Partido Popular descarta que se haya realizado por los órganos judiciales una interpretación extensiva del concepto de resolución administrativa contenida en el art. 404 CP ya que las sentencias impugnadas, en lo atinente a la condena por prevaricación cumplen escrupulosamente con el deber de motivación razonada y razonable sobre el sentido del art. 404 CP y su aplicación al caso, superando con mucho el escrutinio de legalidad penal </w:t>
      </w:r>
      <w:r w:rsidRPr="003754FE">
        <w:rPr>
          <w:i/>
        </w:rPr>
        <w:t>ex</w:t>
      </w:r>
      <w:r>
        <w:t xml:space="preserve"> art. 25 CE. En todo caso, el señor Vallejo Serrano fue condenado por prevaricación no solo por haber participado en los actos de preparación de los proyectos de ley de presupuestos y las modificaciones presupuestarias sino también en otros actos o resoluciones prevaricadoras, particularmente en la gestión de las ayudas con los “convenios particulares” y las resoluciones de pago llevadas a cabo a través del IFA/IDEA. Con abundante reproducción de extractos </w:t>
      </w:r>
      <w:r>
        <w:lastRenderedPageBreak/>
        <w:t>de las resoluciones impugnadas, sostiene que las sentencias impugnadas no desconocen la inmunidad jurisdiccional de los actos políticos, “sino que extensa y detalladamente motivan hasta concluir que los actos enjuiciados no son de tal clase”, sin infringir la doctrina constitucional ni la jurisprudencia como se desprende de los precedentes que ambas resoluciones se citan para apoyar su interpretación. Se alega, además, que existen otros argumentos complementarios que pueden reforzar la adecuación de las sentencias recurridas al principio de legalidad, tales como las previsiones normativas contenidas en la Ley de procedimiento administrativo de 1958 o en la posterior de 1992 en las que se consideraban que un acto de elaboración de una disposición de carácter general constituye una resolución administrativa o un procedimiento administrativo, lo que justifica que esos actos puedan integrarse en el entendimiento penal del concepto. “Igual sucede en el ámbito de la legislación presupuestaria, donde coexisten la legislación presupuestaria general con vocación permanente y la ley de presupuestos de cada ejercicio, disciplinando la primera, en el ámbito estatal y autonómico, el procedimiento de elaboración y otras muchas materias con un régimen que ha de respetarse por la segunda. La sentencia del Tribunal Supremo contiene una mención que es necesario resaltar de la STC 238/2007[, de 21 de noviembre]”. Se afirma en el escrito de alegaciones que no se trata aquí de enjuiciar unos meros actos prelegislativos, “sino estos con otros que evidencian la injusticia de los mismos y su finalidad de establecer un sistema irregular de concesión de subvenciones”.</w:t>
      </w:r>
    </w:p>
    <w:p w14:paraId="250A0D81" w14:textId="77777777" w:rsidR="003754FE" w:rsidRDefault="003754FE" w:rsidP="003754FE">
      <w:pPr>
        <w:pStyle w:val="TextoNormal"/>
      </w:pPr>
    </w:p>
    <w:p w14:paraId="7577E145" w14:textId="77777777" w:rsidR="003754FE" w:rsidRDefault="003754FE" w:rsidP="003754FE">
      <w:pPr>
        <w:pStyle w:val="TextoNormal"/>
      </w:pPr>
      <w:r>
        <w:t>El escrito de alegaciones niega también que se hayan producido las vulneraciones, invocadas en el motivo sexto de la demanda, de los derechos a la tutela judicial efectiva, a un proceso con todas las garantías, a la presunción de inocencia y del principio de legalidad penal por la inexistencia de prueba de la comisión de un delito subsumible en el tipo de malversación. Con cita de numerosos extractos de las sentencias impugnadas, se afirma que la motivación probatoria y fáctica para condenar por el delito de malversación es perfectamente previsible y racional, con precisas referencias a la autoría y a los diversos elementos del tipo y a la vinculación entre el sistema de presupuestación y el delito de malversación. Asimismo, niega categóricamente que se haya lesionado el derecho a un proceso con todas las garantías ya que, en contra de lo sostenido por el recurrente, descarta que la sentencia casacional haya reinterpretado o introducido, sin la debida inmediación, elementos fácticos novedosos, carentes de sustento probatorio, para confirmar la condena por malversación. Afirma, en este punto, que la Sala Segunda del Tribunal Supremo ni ha revocado una sentencia absolutoria ni ha agravado la condena del recurrente. En todo caso, con amplia cita de fragmentos de la sentencia casacional, considera que el Tribunal Supremo ha respetado en todo momento los hechos declarados probados en la instancia, pues ha realizado, en relación con ellos, valoraciones puramente jurídicas, complementarias de las ya contenidas en la resolución de la Audiencia Provincial. Se rechaza igualmente que la sentencia casacional haya alterado la modalidad de dolo que aprecia.</w:t>
      </w:r>
    </w:p>
    <w:p w14:paraId="03F4F59C" w14:textId="77777777" w:rsidR="003754FE" w:rsidRDefault="003754FE" w:rsidP="003754FE">
      <w:pPr>
        <w:pStyle w:val="TextoNormal"/>
      </w:pPr>
    </w:p>
    <w:p w14:paraId="1D69B925" w14:textId="77777777" w:rsidR="003754FE" w:rsidRDefault="003754FE" w:rsidP="003754FE">
      <w:pPr>
        <w:pStyle w:val="TextoNormal"/>
      </w:pPr>
      <w:r>
        <w:t>b) Don Jesús María Rodríguez Román ha solicitado, en escrito registrado en este tribunal el 20 de noviembre de 2023, que se declare la vulneración del derecho fundamental a la legalidad sancionadora (art. 25.1 CE), tanto en lo que se refiere a la condena por delito de prevaricación como a la condena por delito de malversación.</w:t>
      </w:r>
    </w:p>
    <w:p w14:paraId="53034B63" w14:textId="77777777" w:rsidR="003754FE" w:rsidRDefault="003754FE" w:rsidP="003754FE">
      <w:pPr>
        <w:pStyle w:val="TextoNormal"/>
      </w:pPr>
    </w:p>
    <w:p w14:paraId="41BC67FC" w14:textId="77777777" w:rsidR="003754FE" w:rsidRDefault="003754FE" w:rsidP="003754FE">
      <w:pPr>
        <w:pStyle w:val="TextoNormal"/>
      </w:pPr>
      <w:r>
        <w:t xml:space="preserve">El escrito de alegaciones incluye “argumentos de apoyo” en relación con la alegada interpretación extensiva e </w:t>
      </w:r>
      <w:r w:rsidRPr="003754FE">
        <w:rPr>
          <w:i/>
        </w:rPr>
        <w:t>in malam partem</w:t>
      </w:r>
      <w:r>
        <w:t xml:space="preserve"> del delito de prevaricación del art. 404 CP. Se insiste, en este punto, en la inconsistencia lógica que supone entender que existen “leyes </w:t>
      </w:r>
      <w:r>
        <w:lastRenderedPageBreak/>
        <w:t xml:space="preserve">‘ilegales’” o que “cobijan dentro de sí alguna o algunas normas ‘ilegales’ derivadas de un supuesto quebranto normativo sufrido durante la fase prelegislativa”. Se toma, asimismo, como referencia fundamental el informe, aportado y sometido a contradicción en el proceso, de dos catedráticos de Derecho financiero y tributario, que consideraron que el conflicto normativo que se produce entre el art. 18.1 de la Ley del Parlamento de Andalucía 15/2001, que restringe las finalidades de las transferencias de financiación, y las sucesivas leyes de presupuestos, que “usan expresamente transferencias de financiación para fines no previstos en el citado art. 18”, tiene que resolverse de acuerdo con la máxima según la cual la “ley especial se aplica con preferencia a la ley general, ley especial deroga ley general, o ley posterior deroga ley anterior”. De ello se derivaría “la validez y efectos de las sucesivas leyes de presupuestos en las que se recogen las transferencias de financiación con finalidad distinta a la de la cobertura de pérdidas de las empresas públicas, por la sencilla razón de que derogaron tácitamente la previsión del art. 18 de la Ley 15/2001”. Asimismo, de acuerdo con la citada pericial, la partida presupuestaria aprobada en una ley de presupuestos sería “absolutamente vinculante </w:t>
      </w:r>
      <w:r w:rsidRPr="003754FE">
        <w:rPr>
          <w:i/>
        </w:rPr>
        <w:t>erga omnes</w:t>
      </w:r>
      <w:r>
        <w:t>” por lo que no habría “resolución administrativa” susceptible de ser subsumida en el tipo de prevaricación. Afirma que las transferencias de financiación no pueden considerarse ilegales ni, en consecuencia, las modificaciones presupuestarias que las recogen, pues contaban con el informe favorable de la Intervención. Resulta irracional e incoherente que algunos miembros del Consejo de Gobierno que aprobaron dichas modificaciones hayan sido condenados cuando el interventor general que las informó ha resultado absuelto.</w:t>
      </w:r>
    </w:p>
    <w:p w14:paraId="0D82729D" w14:textId="77777777" w:rsidR="003754FE" w:rsidRDefault="003754FE" w:rsidP="003754FE">
      <w:pPr>
        <w:pStyle w:val="TextoNormal"/>
      </w:pPr>
    </w:p>
    <w:p w14:paraId="1C14DDBC" w14:textId="77777777" w:rsidR="003754FE" w:rsidRDefault="003754FE" w:rsidP="003754FE">
      <w:pPr>
        <w:pStyle w:val="TextoNormal"/>
      </w:pPr>
      <w:r>
        <w:t>En lo que se refiere a la condena por delito de malversación, se denuncia que se ha producido un cambio de título de imputación en la sentencia casacional. La Sala de lo Penal del Tribunal Supremo habría convertido la coautoría en autoría directa ligándola, de modo novedoso, a una comisión por omisión del art. 11 CP, a la que la sentencia de instancia no hacía, sin embargo, referencia alguna. También se alega que la sentencia casacional “obvia tratar el elemento subjetivo del delito de malversación”, pues vincula, con el solo soporte de la relación de concurso medial, el dolo malversador al previo dolo del delito de prevaricación, sin darle a aquel una justificación propia y específica, apartándose nuevamente, en este punto, de la sentencia de instancia.</w:t>
      </w:r>
    </w:p>
    <w:p w14:paraId="5FF8AD7D" w14:textId="77777777" w:rsidR="003754FE" w:rsidRDefault="003754FE" w:rsidP="003754FE">
      <w:pPr>
        <w:pStyle w:val="TextoNormal"/>
      </w:pPr>
    </w:p>
    <w:p w14:paraId="7C771A28" w14:textId="77777777" w:rsidR="003754FE" w:rsidRDefault="003754FE" w:rsidP="003754FE">
      <w:pPr>
        <w:pStyle w:val="TextoNormal"/>
      </w:pPr>
      <w:r>
        <w:t>c) Doña Carmen Martínez Aguayo se ha adherido, en escrito registrado en este tribunal el 20 de noviembre de 2023, al recurso de amparo en todo lo que le pueda favorecer, por entender que los fundamentos, alegaciones y vulneraciones de derechos fundamentales puestas de manifiesto por el actor, le son plenamente aplicables debido a que ha sido condenada por participar en los mismos hechos que se le atribuyen al señor Vallejo Serrano. Afirma que la estimación del recurso conllevaría la revocación de las sentencias condenatorias y la absolución del actor, debiendo extenderse a ella los efectos de dicha declaración.</w:t>
      </w:r>
    </w:p>
    <w:p w14:paraId="4FA9B75B" w14:textId="77777777" w:rsidR="003754FE" w:rsidRDefault="003754FE" w:rsidP="003754FE">
      <w:pPr>
        <w:pStyle w:val="TextoNormal"/>
      </w:pPr>
    </w:p>
    <w:p w14:paraId="648CAFFC" w14:textId="430538F3" w:rsidR="003754FE" w:rsidRDefault="003754FE" w:rsidP="003754FE">
      <w:pPr>
        <w:pStyle w:val="TextoNormal"/>
      </w:pPr>
      <w:r>
        <w:t>d) Don Gaspar Zarrías Arévalo, se ha adherido, en el propio escrito de personación, registrado en este tribunal el 6 de octubre de 2023, al primer motivo de amparo por ser coincidente con el planteado como motivo primero en su propio recurso que se tramita en este tribunal con el núm. 2411-2023.</w:t>
      </w:r>
    </w:p>
    <w:p w14:paraId="0E3AD42B" w14:textId="77777777" w:rsidR="003754FE" w:rsidRDefault="003754FE" w:rsidP="003754FE">
      <w:pPr>
        <w:pStyle w:val="TextoNormal"/>
      </w:pPr>
    </w:p>
    <w:p w14:paraId="78F4224D" w14:textId="77777777" w:rsidR="003754FE" w:rsidRDefault="003754FE" w:rsidP="003754FE">
      <w:pPr>
        <w:pStyle w:val="TextoNormal"/>
      </w:pPr>
      <w:r w:rsidRPr="003754FE">
        <w:rPr>
          <w:rStyle w:val="NumeroAFNegritaCaracter"/>
        </w:rPr>
        <w:t>7</w:t>
      </w:r>
      <w:r>
        <w:t xml:space="preserve">. El Ministerio Fiscal ha presentado alegaciones, registradas en este tribunal el 8 de enero de 2024, previa prórroga del plazo conferido al efecto, acordada en diligencia de ordenación de 30 de octubre de 2023. En ellas interesa la estimación parcial del recurso en los </w:t>
      </w:r>
      <w:r>
        <w:lastRenderedPageBreak/>
        <w:t xml:space="preserve">términos que se expondrán a continuación. El fiscal expone que el motivo quinto del recurso, referido a la lesión del art. 25.1 CE por haber realizado las resoluciones impugnadas una extensión </w:t>
      </w:r>
      <w:r w:rsidRPr="003754FE">
        <w:rPr>
          <w:i/>
        </w:rPr>
        <w:t>in malam partem</w:t>
      </w:r>
      <w:r>
        <w:t xml:space="preserve"> del tipo del art. 404 CP, será examinado en último lugar. Asimismo, con carácter previo al examen de cada uno de los motivos aducidos en el recurso de amparo, el Ministerio Fiscal afirma que la demanda cumple los requisitos de admisibilidad.</w:t>
      </w:r>
    </w:p>
    <w:p w14:paraId="26659096" w14:textId="77777777" w:rsidR="003754FE" w:rsidRDefault="003754FE" w:rsidP="003754FE">
      <w:pPr>
        <w:pStyle w:val="TextoNormal"/>
      </w:pPr>
    </w:p>
    <w:p w14:paraId="0DE6EE6B" w14:textId="77777777" w:rsidR="003754FE" w:rsidRDefault="003754FE" w:rsidP="003754FE">
      <w:pPr>
        <w:pStyle w:val="TextoNormal"/>
      </w:pPr>
      <w:r>
        <w:t xml:space="preserve">a) El fiscal descarta que se haya lesionado el derecho al juez ordinario predeterminado por la ley. Considera, a diferencia de lo sostenido en la demanda de amparo, que las medidas de refuerzo y apoyo adoptadas para el Juzgado de Instrucción núm. 6 de Sevilla que instruyó el caso ERE, no les era de aplicación el art. 216 </w:t>
      </w:r>
      <w:r w:rsidRPr="003754FE">
        <w:rPr>
          <w:i/>
        </w:rPr>
        <w:t>bis</w:t>
      </w:r>
      <w:r>
        <w:t>.2.4, que reserva al juez de apoyo la tramitación de nuevas causas. La razón de ser de la medida de refuerzo en el caso de dicho juzgado de instrucción fue, precisamente, prestar apoyo a la instrucción de las voluminosas causas que ya se encontraban en tramitación en el mencionado juzgado, en particular, la que dio origen a este recurso. Por ello, el Ministerio Fiscal interesa que se desestime el primer motivo del recurso.</w:t>
      </w:r>
    </w:p>
    <w:p w14:paraId="31541F32" w14:textId="77777777" w:rsidR="003754FE" w:rsidRDefault="003754FE" w:rsidP="003754FE">
      <w:pPr>
        <w:pStyle w:val="TextoNormal"/>
      </w:pPr>
    </w:p>
    <w:p w14:paraId="0A2BBBEF" w14:textId="77777777" w:rsidR="003754FE" w:rsidRDefault="003754FE" w:rsidP="003754FE">
      <w:pPr>
        <w:pStyle w:val="TextoNormal"/>
      </w:pPr>
      <w:r>
        <w:t xml:space="preserve">b) Esta parte procesal descarta también que se haya vulnerado el derecho a la intangibilidad de las resoluciones judiciales. Afirma para llegar a tal conclusión que no se puede reprochar al Tribunal Supremo que, para realizar el juicio casacional, haya partido de los hechos probados de la sentencia de instancia y no del auto de 9 de febrero de 2018. Si la Sala Segunda del Tribunal Supremo se hubiera desentendido de los hechos declarados probados y hubiera tomado como referencia para enjuiciar el recurso de casación una resolución interlocutoria dictada con carácter previo al juicio oral, hubiera generado indefensión material, pues introduciría hechos nuevos que no se contienen en una sentencia definitiva. Además de lo anterior, el fiscal considera que al no haberse producido una </w:t>
      </w:r>
      <w:r w:rsidRPr="003754FE">
        <w:rPr>
          <w:i/>
        </w:rPr>
        <w:t>reformatio in peius</w:t>
      </w:r>
      <w:r>
        <w:t xml:space="preserve"> en el juicio casacional no puede afirmarse que se vulnere el derecho alegado en el segundo motivo del recurso de amparo.</w:t>
      </w:r>
    </w:p>
    <w:p w14:paraId="79114A03" w14:textId="77777777" w:rsidR="003754FE" w:rsidRDefault="003754FE" w:rsidP="003754FE">
      <w:pPr>
        <w:pStyle w:val="TextoNormal"/>
      </w:pPr>
    </w:p>
    <w:p w14:paraId="7D96B8E2" w14:textId="77777777" w:rsidR="003754FE" w:rsidRDefault="003754FE" w:rsidP="003754FE">
      <w:pPr>
        <w:pStyle w:val="TextoNormal"/>
      </w:pPr>
      <w:r>
        <w:t>c) Con carácter previo al examen del tercer motivo del recurso, el Ministerio Fiscal afirma que, aunque para fundarlo se citan diversas vulneraciones de derechos fundamentales, todas son reconducibles al derecho a la presunción de inocencia. Para interesar su desestimación el Ministerio Fiscal analiza el fundamento jurídico 34 de la sentencia de instancia, el fundamento de Derecho 21 de la sentencia dictada en casación por el Tribunal Supremo, así como el auto que resuelve el incidente de nulidad de actuaciones interpuesto por el recurrente contra la sentencia casacional. Según el fiscal, la queja del recurrente constituye una mera discrepancia con las sentencias impugnadas ya que estas contienen suficiente prueba de cargo para condenar. Ha quedado acreditado según el fiscal que el recurrente conocía la ilegalidad del nuevo sistema de presupuestación y la improcedencia de que el IFA/IDEA —instituto que presidió— hiciera de pagador de las ayudas sociolaborales. Las sentencias acreditan que el señor Vallejo Serrano contribuyó con su actuación ilegal a la disposición de fondos públicos para efectuar el pago de dichas ayudas.</w:t>
      </w:r>
    </w:p>
    <w:p w14:paraId="192D80EA" w14:textId="77777777" w:rsidR="003754FE" w:rsidRDefault="003754FE" w:rsidP="003754FE">
      <w:pPr>
        <w:pStyle w:val="TextoNormal"/>
      </w:pPr>
    </w:p>
    <w:p w14:paraId="3FD32F16" w14:textId="77777777" w:rsidR="003754FE" w:rsidRDefault="003754FE" w:rsidP="003754FE">
      <w:pPr>
        <w:pStyle w:val="TextoNormal"/>
      </w:pPr>
      <w:r>
        <w:t xml:space="preserve">d) Por lo que se refiere al motivo cuarto del recurso, el Ministerio Fiscal interesa su desestimación. Comienza por señalar que el recurrente vuelve a alegar en este motivo la lesión de diversos derechos fundamentales y que, dado que ya se ha respondido en el motivo anterior a la alegada lesión del derecho a la presunción de inocencia, examinará si las resoluciones impugnadas son contrarias al derecho a la tutela judicial efectiva, en particular a la </w:t>
      </w:r>
      <w:r>
        <w:lastRenderedPageBreak/>
        <w:t xml:space="preserve">falta de pronunciamiento en relación con alegaciones sustanciales que el recurrente formuló en el proceso judicial (art. 24.1 CE). El Ministerio Fiscal analiza la sentencia dictada por el Tribunal Supremo y el auto resolutorio del incidente de nulidad de actuaciones con la finalidad de examinar si ha existido incongruencia omisiva o </w:t>
      </w:r>
      <w:r w:rsidRPr="003754FE">
        <w:rPr>
          <w:i/>
        </w:rPr>
        <w:t>ex silentio</w:t>
      </w:r>
      <w:r>
        <w:t xml:space="preserve"> en el recurso de casación o en el incidente de nulidad de actuaciones interpuesto contra esta a las alegaciones formuladas por el recurrente. Tras exponer la doctrina constitucional que considera de aplicación al caso, el fiscal afirma que el recurrente ha obtenido respuesta a todas las cuestiones que planteó. Es cierto que algunas de las quejas formuladas por el señor Vallejo Serrano han sido respondidas de forma conjunta a las planteadas por otras defensas, pero tal forma de resolver y motivar las resoluciones judiciales no resulta contraria según el fiscal a las exigencias del art. 24.1 CE.</w:t>
      </w:r>
    </w:p>
    <w:p w14:paraId="6AF74CF9" w14:textId="77777777" w:rsidR="003754FE" w:rsidRDefault="003754FE" w:rsidP="003754FE">
      <w:pPr>
        <w:pStyle w:val="TextoNormal"/>
      </w:pPr>
    </w:p>
    <w:p w14:paraId="48A1C879" w14:textId="77777777" w:rsidR="003754FE" w:rsidRDefault="003754FE" w:rsidP="003754FE">
      <w:pPr>
        <w:pStyle w:val="TextoNormal"/>
      </w:pPr>
      <w:r>
        <w:t>e) Afirma esta parte procesal que el sexto motivo del recurso debe ser también desestimado. Tras aludir al contenido de las resoluciones judiciales impugnadas y la doctrina constitucional que, considera de aplicación, el fiscal afirma que, teniendo en cuenta el examen de control externo que corresponde a la jurisdicción constitucional, cabe concluir que las sentencias impugnadas contienen una argumentación lógica y razonable “que se infiere de los hechos declarados probados y abarca todos los elementos del tipo del injusto —incluidos los subjetivos— respecto de las dos conductas delictivas, la prevaricación administrativa y la malversación de caudales públicos”.</w:t>
      </w:r>
    </w:p>
    <w:p w14:paraId="3D0F29C9" w14:textId="77777777" w:rsidR="003754FE" w:rsidRDefault="003754FE" w:rsidP="003754FE">
      <w:pPr>
        <w:pStyle w:val="TextoNormal"/>
      </w:pPr>
    </w:p>
    <w:p w14:paraId="749DA445" w14:textId="77777777" w:rsidR="003754FE" w:rsidRDefault="003754FE" w:rsidP="003754FE">
      <w:pPr>
        <w:pStyle w:val="TextoNormal"/>
      </w:pPr>
      <w:r>
        <w:t xml:space="preserve">f) Por lo que se refiere a la alegación del recurrente referida al cambio del título de imputación que lleva a cabo la sentencia dictada en casación —que afirma que la autoría es directa e individual— a diferencia de lo apreciado en la instancia —en la que se afirmaba la coautoría—, el fiscal considera que la doctrina constitucional invocada por el recurrente —referida a las limitaciones del juez </w:t>
      </w:r>
      <w:r w:rsidRPr="003754FE">
        <w:rPr>
          <w:i/>
        </w:rPr>
        <w:t>ad quem</w:t>
      </w:r>
      <w:r>
        <w:t xml:space="preserve"> tras la absolución en la instancia— no resulta de aplicación a este caso. Según el Ministerio Fiscal la sentencia de instancia permanece inalterable en sus aspectos relevantes (los hechos probados, la calificación jurídica, la autoría y la condena) tras el juicio casacional. Por ello, según afirma, el auto que resuelve el incidente de nulidad de actuaciones rechaza dicha alegación del recurrente al negarse de forma categórica que el Tribunal Supremo haya modificado el título de imputación realizado por el tribunal de instancia.</w:t>
      </w:r>
    </w:p>
    <w:p w14:paraId="37ABC3EF" w14:textId="77777777" w:rsidR="003754FE" w:rsidRDefault="003754FE" w:rsidP="003754FE">
      <w:pPr>
        <w:pStyle w:val="TextoNormal"/>
      </w:pPr>
    </w:p>
    <w:p w14:paraId="17A38DAE" w14:textId="77777777" w:rsidR="003754FE" w:rsidRDefault="003754FE" w:rsidP="003754FE">
      <w:pPr>
        <w:pStyle w:val="TextoNormal"/>
      </w:pPr>
      <w:r>
        <w:t xml:space="preserve">g) El fiscal analiza en último lugar el motivo quinto del recurso de amparo en el que se alega la infracción del art. 25.1 CE por haberse realizado una interpretación extensiva </w:t>
      </w:r>
      <w:r w:rsidRPr="003754FE">
        <w:rPr>
          <w:i/>
        </w:rPr>
        <w:t>in malam partem</w:t>
      </w:r>
      <w:r>
        <w:t xml:space="preserve"> del art. 404 CP, al considerar que los actos políticos o de gobierno no son resoluciones dictadas en asunto administrativo. El Ministerio Fiscal considera que la posición mantenida por el Tribunal Supremo y la Audiencia Provincial de Sevilla en virtud de la cual el procedimiento prelegislativo tendría una doble dimensión (una dimensión política no susceptible de control judicial y que incluiría la decisión sobre el destino o distribución de los créditos, y otra dimensión técnica regida por un procedimiento administrativo reglado) constituye una novedad que no tiene antecedente. Para el fiscal, la cuestión constitucional planteada orbitaría en determinar no tanto la asimilación o extensión de la inviolabilidad parlamentaria a los miembros del Ejecutivo, sino la comprobación de que la misma razón por la que se establece un régimen de inviolabilidad para los parlamentarios justifica que la iniciativa legislativa quede también, en todas sus fases, al margen del control jurisdiccional penal.</w:t>
      </w:r>
    </w:p>
    <w:p w14:paraId="3C9983CC" w14:textId="77777777" w:rsidR="003754FE" w:rsidRDefault="003754FE" w:rsidP="003754FE">
      <w:pPr>
        <w:pStyle w:val="TextoNormal"/>
      </w:pPr>
    </w:p>
    <w:p w14:paraId="133846ED" w14:textId="77777777" w:rsidR="003754FE" w:rsidRDefault="003754FE" w:rsidP="003754FE">
      <w:pPr>
        <w:pStyle w:val="TextoNormal"/>
      </w:pPr>
      <w:r>
        <w:lastRenderedPageBreak/>
        <w:t>Los argumentos a través de los cuales las resoluciones impugnadas niegan la naturaleza legislativa a los actos de aprobación de un proyecto de ley para su remisión al Parlamento permiten detectar, a juicio de la Fiscalía ante el Tribunal Constitucional, una falla lógica determinante pues “constituyen afirmaciones apodícticas que además encierran conclusiones tautológicas, porque las tres hacen presupuesto de la cuestión”. En este sentido, afirma el Ministerio Fiscal que las referencias efectuadas a la STS 163/2019, de 26 de marzo (ECLI:ES:TS:2019:881) no permiten en ningún caso deducir que el acto de aprobación y elevación al Parlamento constituye una resolución dictada en asunto administrativo. Máxime, precisamente, cuando el propio Reglamento del Parlamento de Andalucía incluye la iniciativa legislativa atribuida al Consejo de Gobierno en el procedimiento legislativo en cuestión (art. 108 del Reglamento del Parlamento andaluz).</w:t>
      </w:r>
    </w:p>
    <w:p w14:paraId="0065ED50" w14:textId="77777777" w:rsidR="003754FE" w:rsidRDefault="003754FE" w:rsidP="003754FE">
      <w:pPr>
        <w:pStyle w:val="TextoNormal"/>
      </w:pPr>
    </w:p>
    <w:p w14:paraId="380010C3" w14:textId="77777777" w:rsidR="003754FE" w:rsidRDefault="003754FE" w:rsidP="003754FE">
      <w:pPr>
        <w:pStyle w:val="TextoNormal"/>
      </w:pPr>
      <w:r>
        <w:t>Ello dificultaría también, por otra parte, la atribución de eficacia decisoria a los actos adoptados en cuanto se exige “un daño específico a personas o servicios públicos” que, en el presente caso, resulte imposible identificar con otro efecto jurídico que no sea el de la apertura de la fase parlamentaria.</w:t>
      </w:r>
    </w:p>
    <w:p w14:paraId="2BB301FD" w14:textId="77777777" w:rsidR="003754FE" w:rsidRDefault="003754FE" w:rsidP="003754FE">
      <w:pPr>
        <w:pStyle w:val="TextoNormal"/>
      </w:pPr>
    </w:p>
    <w:p w14:paraId="3B7B41D1" w14:textId="77777777" w:rsidR="003754FE" w:rsidRDefault="003754FE" w:rsidP="003754FE">
      <w:pPr>
        <w:pStyle w:val="TextoNormal"/>
      </w:pPr>
      <w:r>
        <w:t>Por ello, el fiscal considera que los razonamientos judiciales que conforman este primer bloque argumental sobre la naturaleza administrativa del procedimiento legislativo y su naturaleza decisoria no responden a una traslación debidamente justificada de la doctrina jurisprudencial ni resultan, por lo tanto, concluyentes a la hora de calificar como resolución dictada en un asunto administrativo el ejercicio de la iniciativa legislativa. Ello le lleva a concluir, por lo tanto, la ausencia de previsibilidad en la aplicación de la norma. Respecto al segundo grupo de argumentos esgrimidos por las resoluciones impugnadas para justificar la condena por delito de prevaricación como consecuencia de la aprobación de los proyectos de ley —y que orbitan sobre la distinción entre la legalidad del acto y el enjuiciamiento de sus autores— el fiscal afirma que presentan una consistencia lógica evidentemente discutible. Para el ministerio público, existe la imposibilidad de cohonestar dos afirmaciones cuya compatibilidad es esencial para la condena del recurrente: que la aprobación del anteproyecto de ley de presupuestos es inmune al control jurisdiccional y que la jurisdicción penal puede, no obstante, examinar las diferentes decisiones adoptadas para aprobar un proyecto de ley para determinar si quien las realiza incurre en responsabilidad penal. Esta pretendida distinción entre ámbitos de control jurisdiccional sería contraria a la lógica constitucional que concibe la iniciativa legislativa como inmune al control judicial y atentaría, incluso, contra el principio de intervención mínima del Derecho penal.</w:t>
      </w:r>
    </w:p>
    <w:p w14:paraId="37753A3E" w14:textId="77777777" w:rsidR="003754FE" w:rsidRDefault="003754FE" w:rsidP="003754FE">
      <w:pPr>
        <w:pStyle w:val="TextoNormal"/>
      </w:pPr>
    </w:p>
    <w:p w14:paraId="78D75107" w14:textId="77777777" w:rsidR="003754FE" w:rsidRDefault="003754FE" w:rsidP="003754FE">
      <w:pPr>
        <w:pStyle w:val="TextoNormal"/>
      </w:pPr>
      <w:r>
        <w:t>La autonomía funcional de la jurisdicción penal para apreciar, con arreglo a criterios propios, determinados aspectos de la realidad administrativa o de otras ramas del Derecho no puede traducirse, en modo alguno, en un autoposicionamiento de la jurisdicción penal como primera y única barrera jurisdiccional de control de la legalidad de una iniciativa legislativa.</w:t>
      </w:r>
    </w:p>
    <w:p w14:paraId="498321C1" w14:textId="77777777" w:rsidR="003754FE" w:rsidRDefault="003754FE" w:rsidP="003754FE">
      <w:pPr>
        <w:pStyle w:val="TextoNormal"/>
      </w:pPr>
    </w:p>
    <w:p w14:paraId="0ADB42B4" w14:textId="77777777" w:rsidR="003754FE" w:rsidRDefault="003754FE" w:rsidP="003754FE">
      <w:pPr>
        <w:pStyle w:val="TextoNormal"/>
      </w:pPr>
      <w:r>
        <w:t xml:space="preserve">Es en este punto cuando surgiría para el Ministerio Fiscal, de nuevo, un factor de imprevisibilidad ante la inexistencia de precedentes de persecución y condena en supuestos similares y ante el contexto de sólida negación del control jurisdiccional sobre este tipo de actos. Frente a ello, la sensación de impunidad argumentada por el Tribunal Supremo choca con una insalvable contradicción que permitiría ubicar a la jurisdicción penal como “baluarte de primera —y única— línea de control de una decisión intrínsecamente política, sobre la base </w:t>
      </w:r>
      <w:r>
        <w:lastRenderedPageBreak/>
        <w:t>de la ‘ilegalidad’ del contenido de una ley antes de que ni siquiera pueda saberse si llegará […] a ser ley y de que […] produzca efecto alguno”.</w:t>
      </w:r>
    </w:p>
    <w:p w14:paraId="7DCCFDAA" w14:textId="77777777" w:rsidR="003754FE" w:rsidRDefault="003754FE" w:rsidP="003754FE">
      <w:pPr>
        <w:pStyle w:val="TextoNormal"/>
      </w:pPr>
    </w:p>
    <w:p w14:paraId="1B40E5EF" w14:textId="77777777" w:rsidR="003754FE" w:rsidRDefault="003754FE" w:rsidP="003754FE">
      <w:pPr>
        <w:pStyle w:val="TextoNormal"/>
      </w:pPr>
      <w:r>
        <w:t>Consecuentemente, considera que “esta compleja conclusión es fruto de un razonamiento que pretende disociar ambas vertientes, administrativa y político-legislativa, de un mismo acto, pero no alcanza a explicar cómo las consecuencias a las que aboca esa disociación en el plano penal, político, institucional, legal y constitucional podrían resultar razonablemente compatibles entre sí” por lo que “no cabe más remedio que concluir que el razonamiento en sí mismo adolece, […] de un déficit de coherencia y completitud lógico-jurídica, que impide considerarlo ajustado al canon de idoneidad metodológica que impone la aplicación del artículo 25.1 CE”.</w:t>
      </w:r>
    </w:p>
    <w:p w14:paraId="58D6A255" w14:textId="77777777" w:rsidR="003754FE" w:rsidRDefault="003754FE" w:rsidP="003754FE">
      <w:pPr>
        <w:pStyle w:val="TextoNormal"/>
      </w:pPr>
    </w:p>
    <w:p w14:paraId="727C45F7" w14:textId="77777777" w:rsidR="003754FE" w:rsidRDefault="003754FE" w:rsidP="003754FE">
      <w:pPr>
        <w:pStyle w:val="TextoNormal"/>
      </w:pPr>
      <w:r>
        <w:t xml:space="preserve">En relación con el argumentario referido a la necesidad de evitar un efecto de impunidad, el fiscal considera que no ha sido sometido a una valoración conforme a las exigencias derivadas del principio de legalidad penal (art. 25.1 CE). Así entiende que, en determinados casos, resulta prioritaria la preservación de otros intereses constitucionalmente tutelados que pueden entrar en conflicto con la propia aplicación de la norma penal, lo que obligatoriamente ha de llevar a la eventual limitación del </w:t>
      </w:r>
      <w:r w:rsidRPr="003754FE">
        <w:rPr>
          <w:i/>
        </w:rPr>
        <w:t>ius puniendi</w:t>
      </w:r>
      <w:r>
        <w:t xml:space="preserve"> en determinados supuestos, no pudiendo hacerse valer la condena sin una previa reflexión y ponderación sobre los derechos e intereses en juego.</w:t>
      </w:r>
    </w:p>
    <w:p w14:paraId="06A442C0" w14:textId="77777777" w:rsidR="003754FE" w:rsidRDefault="003754FE" w:rsidP="003754FE">
      <w:pPr>
        <w:pStyle w:val="TextoNormal"/>
      </w:pPr>
    </w:p>
    <w:p w14:paraId="1AE73CC9" w14:textId="77777777" w:rsidR="003754FE" w:rsidRDefault="003754FE" w:rsidP="003754FE">
      <w:pPr>
        <w:pStyle w:val="TextoNormal"/>
      </w:pPr>
      <w:r>
        <w:t>En el caso presente, y aunque las resoluciones tratan de salvar el obstáculo justificando que la condena se produce no por el resultado sino por el procedimiento en sí, este argumentario choca en una nueva contradicción toda vez que el señor Vallejo Serrano no ha sido condenado por su eventual participación en ninguno de estos actos, sino por una conducta propia que consiste en la difusa e indefinida participación en la aprobación del proyecto de ley y en su aprobación por el Consejo de Gobierno de la Junta de Andalucía para su posterior remisión al Parlamento. A pesar de que la propia sentencia del Tribunal Supremo vinculara todas estas actuaciones a una finalidad palmariamente ilegal, no se identifica esta finalidad con ninguna forma típica de participación delictiva sino con el programa político del Gobierno. La conducta del señor Vallejo Serrano, consecuentemente, quedaría enmarcada en el ámbito de su voluntad —y por tanto de su responsabilidad— política pero no el de la responsabilidad penal, dándose la paradoja que de los actos de los que sí debe responder —debido a su naturaleza político legislativa— quedan al margen del ejercicio de</w:t>
      </w:r>
      <w:r w:rsidRPr="003754FE">
        <w:rPr>
          <w:i/>
        </w:rPr>
        <w:t>l ius punien</w:t>
      </w:r>
      <w:r>
        <w:t>di.</w:t>
      </w:r>
    </w:p>
    <w:p w14:paraId="6FC29F29" w14:textId="77777777" w:rsidR="003754FE" w:rsidRDefault="003754FE" w:rsidP="003754FE">
      <w:pPr>
        <w:pStyle w:val="TextoNormal"/>
      </w:pPr>
    </w:p>
    <w:p w14:paraId="41E09D19" w14:textId="77777777" w:rsidR="003754FE" w:rsidRDefault="003754FE" w:rsidP="003754FE">
      <w:pPr>
        <w:pStyle w:val="TextoNormal"/>
      </w:pPr>
      <w:r>
        <w:t xml:space="preserve">Por último, afirma que la tesis de que la jurisdicción penal no controla la legalidad de los actos de gobierno, sino que ejerce su potestad jurisdiccional respecto de la conducta de sus autores pasa por una disociación forzada de dos dimensiones que se revela como inasumible cuando la propia sentencia afirma que el fundamento de su juicio incluye no solo la legalidad de estos actos sino la legitimación constitucional de su resultado. Para el representante del ministerio público, y desde una vertiente eminentemente axiológica, la distinción entre estas dos dimensiones —administrativa y político-legislativa— implica atribuir a dicha decisión política una función de control de la legalidad del procedimiento previo que la jurisprudencia del Tribunal Constitucional excluye, incluso, en fases posteriores. Esto implicaría una conclusión constitucionalmente inasumible: que los tribunales de orden jurisdiccional penal pueden fiscalizar sistemáticamente la legalidad de los proyectos de ley antes —o al margen— de su toma de consideración, su valoración, enmienda y aprobación por los </w:t>
      </w:r>
      <w:r>
        <w:lastRenderedPageBreak/>
        <w:t>parlamentos, lo que se revela manifiestamente incompatible con la jurisprudencia del Tribunal Constitucional.</w:t>
      </w:r>
    </w:p>
    <w:p w14:paraId="16A9F0CE" w14:textId="77777777" w:rsidR="003754FE" w:rsidRDefault="003754FE" w:rsidP="003754FE">
      <w:pPr>
        <w:pStyle w:val="TextoNormal"/>
      </w:pPr>
    </w:p>
    <w:p w14:paraId="03235262" w14:textId="77777777" w:rsidR="003754FE" w:rsidRDefault="003754FE" w:rsidP="003754FE">
      <w:pPr>
        <w:pStyle w:val="TextoNormal"/>
      </w:pPr>
      <w:r>
        <w:t xml:space="preserve">El origen de dicha posición jurisprudencial se encuentra en la propia preservación del ejercicio de la potestad legislativa, como manifestación directa de la voluntad de poder y que responde al propio principio de división de poderes. El rechazo a la involucración de un poder en las funciones propias de otro no puede resultar indiferente al objeto del presente procedimiento, en el que la propia sentencia del Tribunal Supremo recurrida en amparo muestra, como ya se ha puesto de relieve, la visible contradicción entre la eficacia de ese efecto delimitador del ejercicio de la jurisdicción contencioso administrativa y la pretendida intervención autónoma de la jurisdicción penal. En este sentido, afirma que existe amplia jurisprudencia constitucional que viene negando toda posibilidad de control </w:t>
      </w:r>
      <w:r w:rsidRPr="003754FE">
        <w:rPr>
          <w:i/>
        </w:rPr>
        <w:t>ab initio</w:t>
      </w:r>
      <w:r>
        <w:t xml:space="preserve"> de la constitucionalidad formal de las iniciativas legislativas, más allá del cumplimiento de los requisitos de procedimiento que reglamentariamente rige su presentación (AATC 85/2006, de 15 de marzo, y 131/2022, de 11 de octubre).</w:t>
      </w:r>
    </w:p>
    <w:p w14:paraId="3E1F5CC0" w14:textId="77777777" w:rsidR="003754FE" w:rsidRDefault="003754FE" w:rsidP="003754FE">
      <w:pPr>
        <w:pStyle w:val="TextoNormal"/>
      </w:pPr>
    </w:p>
    <w:p w14:paraId="275F5C9B" w14:textId="77777777" w:rsidR="003754FE" w:rsidRDefault="003754FE" w:rsidP="003754FE">
      <w:pPr>
        <w:pStyle w:val="TextoNormal"/>
      </w:pPr>
      <w:r>
        <w:t xml:space="preserve">Afirma el fiscal que resultaría, por lo tanto, “inconcebiblemente paradójico, […] que la exclusión de cualquier control jurisdiccional atinente a la constitucionalidad de un mero proyecto legislativo, basada en un imprescindible respeto a la separación de poderes […], pudiera convivir, como pretenden las sentencias impugnadas, con un juicio </w:t>
      </w:r>
      <w:r w:rsidRPr="003754FE">
        <w:rPr>
          <w:i/>
        </w:rPr>
        <w:t>ex</w:t>
      </w:r>
      <w:r>
        <w:t xml:space="preserve"> ante de la jurisdicción penal sobre la ‘legalidad’ formal y material del contenido de la iniciativa legislativa, de modo que el ejercicio de la potestad parlamentaria haya de llevarse a cabo sobre la base de un proyecto cuyo acuerdo de aprobación para su remisión al Parlamento es calificado de delictivo por un tribunal penal”.</w:t>
      </w:r>
    </w:p>
    <w:p w14:paraId="44BABCF4" w14:textId="77777777" w:rsidR="003754FE" w:rsidRDefault="003754FE" w:rsidP="003754FE">
      <w:pPr>
        <w:pStyle w:val="TextoNormal"/>
      </w:pPr>
    </w:p>
    <w:p w14:paraId="53B48D87" w14:textId="77777777" w:rsidR="003754FE" w:rsidRDefault="003754FE" w:rsidP="003754FE">
      <w:pPr>
        <w:pStyle w:val="TextoNormal"/>
      </w:pPr>
      <w:r>
        <w:t>Todo ello le lleva a concluir que una correcta interpretación del conflicto entre la aplicación de la norma penal y la tutela de la autonomía del Parlamento para legislar forzosamente ha de resolverse a favor de la exclusión del control penal. La sola idea de que un acto exento al control jurisdiccional contencioso administrativo e, incluso, constitucional, pueda, sin embargo, ser objeto de control por los tribunales penales entre en contradicción con la división de poderes y cualquier posible lectura conjunta de la Constitución y la jurisprudencia del Tribunal Constitucional. Por ello mismo, solicita la estimación de amparo de este motivo por lo que respecta a la condena del recurrente como consecuencia de su participación en la aprobación de los proyectos de ley.</w:t>
      </w:r>
    </w:p>
    <w:p w14:paraId="18A49627" w14:textId="77777777" w:rsidR="003754FE" w:rsidRDefault="003754FE" w:rsidP="003754FE">
      <w:pPr>
        <w:pStyle w:val="TextoNormal"/>
      </w:pPr>
    </w:p>
    <w:p w14:paraId="33A5A9D6" w14:textId="77777777" w:rsidR="003754FE" w:rsidRDefault="003754FE" w:rsidP="003754FE">
      <w:pPr>
        <w:pStyle w:val="TextoNormal"/>
      </w:pPr>
      <w:r>
        <w:t>En relación con las modificaciones presupuestarias, el fiscal considera que las argumentaciones vertidas anteriormente y referidas a la vulneración del principio de legalidad penal (art. 25.1 CE) por indebida subsunción jurídica en el art. 404 CP de las actuaciones practicadas en la fase de elaboración, aprobación y remisión del proyecto de ley no son automáticamente extrapolables a la aprobación de las modificaciones presupuestarias que sí pueden ser consideradas, por el contrario, decisiones de naturaleza administrativa.</w:t>
      </w:r>
    </w:p>
    <w:p w14:paraId="13B7DDA3" w14:textId="77777777" w:rsidR="003754FE" w:rsidRDefault="003754FE" w:rsidP="003754FE">
      <w:pPr>
        <w:pStyle w:val="TextoNormal"/>
      </w:pPr>
    </w:p>
    <w:p w14:paraId="471075F6" w14:textId="77777777" w:rsidR="003754FE" w:rsidRDefault="003754FE" w:rsidP="003754FE">
      <w:pPr>
        <w:pStyle w:val="TextoNormal"/>
      </w:pPr>
      <w:r>
        <w:t xml:space="preserve">Fundamenta el fiscal dicha afirmación —con amplía cita de la normativa reguladora de la Ley general de la hacienda pública de Andalucía— en la circunstancia de que las modificaciones o transferencias de crédito, una vez aprobada la ley anual de presupuestos, y que afectan al contenido de los créditos en los estados de gastos autorizados —pero no modifican el monto global del presupuesto— son competencia del Consejo de Gobierno o de la Consejería de Hacienda. Esto se contrapone directamente a aquellos supuestos en que las </w:t>
      </w:r>
      <w:r>
        <w:lastRenderedPageBreak/>
        <w:t>modificaciones o transferencias de crédito sí afectan al crédito global consignado en los presupuestos, en cuyo caso, esta vez sí, el Ejecutivo ha de someter al Legislativo la aprobación de un nuevo proyecto de ley.</w:t>
      </w:r>
    </w:p>
    <w:p w14:paraId="1B7E30B6" w14:textId="77777777" w:rsidR="003754FE" w:rsidRDefault="003754FE" w:rsidP="003754FE">
      <w:pPr>
        <w:pStyle w:val="TextoNormal"/>
      </w:pPr>
    </w:p>
    <w:p w14:paraId="06F3A15E" w14:textId="77777777" w:rsidR="003754FE" w:rsidRDefault="003754FE" w:rsidP="003754FE">
      <w:pPr>
        <w:pStyle w:val="TextoNormal"/>
      </w:pPr>
      <w:r>
        <w:t>Por ello, en un marco legal regido por el principio de jerarquía normativa no puede sostenerse que la previsión explícita de una modificación presupuestaria a cargo del Gobierno o de uno de sus miembros pueda identificarse como una especie de mecanismo de autorreforma operado mediante una especie de delegación tácita o de atribución de potestad legislativa al ejecutivo que, como se ha visto, carecería de todo soporte constitucional o estatutario. Que el Gobierno pueda modificar el contenido de un crédito o transferirlo a otro, con arreglo a las exclusiones o excepciones señaladas, no convierte esa modificación del crédito en ley, sino que, simplemente, constituye una aplicación de la ley. La mera comunicación posterior al Parlamento, además, no supone la atribución de rango normativo al acto, sino que se concreta, más bien, en una mera obligación adjetiva.</w:t>
      </w:r>
    </w:p>
    <w:p w14:paraId="621B1FEE" w14:textId="77777777" w:rsidR="003754FE" w:rsidRDefault="003754FE" w:rsidP="003754FE">
      <w:pPr>
        <w:pStyle w:val="TextoNormal"/>
      </w:pPr>
    </w:p>
    <w:p w14:paraId="53AA8827" w14:textId="77777777" w:rsidR="003754FE" w:rsidRDefault="003754FE" w:rsidP="003754FE">
      <w:pPr>
        <w:pStyle w:val="TextoNormal"/>
      </w:pPr>
      <w:r>
        <w:t>Todo ello lleva al Ministerio Fiscal a concluir que la calificación de los actos de aprobación de modificaciones presupuestarias que se imputan al recurrente no choca con una eventual naturaleza legal fruto de reserva de ley que impone el art. 134 CE en materia presupuestaria. Según el fiscal, no hay razón para temer por la autonomía parlamentaria en el ejercicio de la potestad legislativa, que no está en juego en este caso, ni tampoco con el principio consustancial de separación de poderes. Afirma que el Poder Ejecutivo actúa —o hubiera debido actuar— en el marco de su competencia delimitada en la propia ley, sin asumir ninguna facultad de iniciativa o modificación de una norma con rango o valor legal. Consecuentemente, los razonamientos esgrimidos por las sentencias impugnadas para excluir las modificaciones presupuestarias del carácter propio de los actos con valor, rango y fuerza de ley se ajustan a la normativa y no presentan indicio alguno de vulneración de derecho fundamental a la legalidad penal (art. 25.1 CE).</w:t>
      </w:r>
    </w:p>
    <w:p w14:paraId="49B28C51" w14:textId="77777777" w:rsidR="003754FE" w:rsidRDefault="003754FE" w:rsidP="003754FE">
      <w:pPr>
        <w:pStyle w:val="TextoNormal"/>
      </w:pPr>
    </w:p>
    <w:p w14:paraId="0F40155F" w14:textId="0B811049" w:rsidR="003754FE" w:rsidRDefault="003754FE" w:rsidP="003754FE">
      <w:pPr>
        <w:pStyle w:val="TextoNormal"/>
      </w:pPr>
      <w:r>
        <w:t>El fiscal afirma que la estimación parcial de este motivo debería llevar aparejada la declaración de inconstitucionalidad de la condena por el delito de prevaricación por la participación del recurrente en la aprobación de los proyectos de ley de presupuestos con retroacción de las actuaciones al momento anterior a dictar sentencia con la finalidad de que la Audiencia Provincial de Sevilla proceda a una nueva determinación de la pena con exclusión de la conducta del señor Vallejo Serrano relativa a su participación en los proyectos de ley de presupuestos.</w:t>
      </w:r>
    </w:p>
    <w:p w14:paraId="34E49D89" w14:textId="77777777" w:rsidR="003754FE" w:rsidRDefault="003754FE" w:rsidP="003754FE">
      <w:pPr>
        <w:pStyle w:val="TextoNormal"/>
      </w:pPr>
    </w:p>
    <w:p w14:paraId="5BF34146" w14:textId="1E1C104B" w:rsidR="003754FE" w:rsidRDefault="003754FE" w:rsidP="003754FE">
      <w:pPr>
        <w:pStyle w:val="TextoNormal"/>
      </w:pPr>
      <w:r w:rsidRPr="003754FE">
        <w:rPr>
          <w:rStyle w:val="NumeroAFNegritaCaracter"/>
        </w:rPr>
        <w:t>8</w:t>
      </w:r>
      <w:r>
        <w:t>. Por providencia de 2 de julio de 2024 se señaló para la deliberación y votación de la presente sentencia el día 3 del mismo mes y año.</w:t>
      </w:r>
    </w:p>
    <w:p w14:paraId="5077FB28" w14:textId="77777777" w:rsidR="003754FE" w:rsidRDefault="003754FE" w:rsidP="003754FE">
      <w:pPr>
        <w:pStyle w:val="TextoNormal"/>
      </w:pPr>
    </w:p>
    <w:p w14:paraId="072FACC1" w14:textId="77777777" w:rsidR="003754FE" w:rsidRDefault="003754FE" w:rsidP="003754FE">
      <w:pPr>
        <w:pStyle w:val="TextoNormalNegritaCentrado"/>
        <w:keepNext/>
      </w:pPr>
      <w:r>
        <w:t>II. Fundamentos jurídicos</w:t>
      </w:r>
    </w:p>
    <w:p w14:paraId="46892209" w14:textId="15EB83E5" w:rsidR="003754FE" w:rsidRDefault="003754FE" w:rsidP="003754FE">
      <w:pPr>
        <w:pStyle w:val="TextoNormalNegritaCentrado"/>
        <w:keepNext/>
      </w:pPr>
    </w:p>
    <w:p w14:paraId="50492F08" w14:textId="77777777" w:rsidR="003754FE" w:rsidRDefault="003754FE" w:rsidP="003754FE">
      <w:pPr>
        <w:pStyle w:val="TextoNormal"/>
      </w:pPr>
      <w:r w:rsidRPr="003754FE">
        <w:rPr>
          <w:rStyle w:val="NumeroAFNegritaCaracter"/>
        </w:rPr>
        <w:t>1</w:t>
      </w:r>
      <w:r>
        <w:t xml:space="preserve">. </w:t>
      </w:r>
      <w:r w:rsidRPr="003754FE">
        <w:rPr>
          <w:i/>
        </w:rPr>
        <w:t>Objeto del recurso, posiciones de las partes y orden de análisis de las quejas</w:t>
      </w:r>
    </w:p>
    <w:p w14:paraId="27CFED14" w14:textId="77777777" w:rsidR="003754FE" w:rsidRDefault="003754FE" w:rsidP="003754FE">
      <w:pPr>
        <w:pStyle w:val="TextoNormal"/>
      </w:pPr>
    </w:p>
    <w:p w14:paraId="5C96FD47" w14:textId="77777777" w:rsidR="003754FE" w:rsidRDefault="003754FE" w:rsidP="003754FE">
      <w:pPr>
        <w:pStyle w:val="TextoNormal"/>
      </w:pPr>
      <w:r>
        <w:t xml:space="preserve">1.1. </w:t>
      </w:r>
      <w:r w:rsidRPr="003754FE">
        <w:rPr>
          <w:i/>
        </w:rPr>
        <w:t>Objeto del recurso y posiciones de las partes</w:t>
      </w:r>
    </w:p>
    <w:p w14:paraId="61797984" w14:textId="77777777" w:rsidR="003754FE" w:rsidRDefault="003754FE" w:rsidP="003754FE">
      <w:pPr>
        <w:pStyle w:val="TextoNormal"/>
      </w:pPr>
    </w:p>
    <w:p w14:paraId="346467AD" w14:textId="77777777" w:rsidR="003754FE" w:rsidRDefault="003754FE" w:rsidP="003754FE">
      <w:pPr>
        <w:pStyle w:val="TextoNormal"/>
      </w:pPr>
      <w:r>
        <w:t xml:space="preserve">El presente recurso de amparo se dirige contra las siguientes resoluciones: (i) la sentencia núm. 490/2019, de 19 de noviembre, dictada por la Sección Primera de la Audiencia </w:t>
      </w:r>
      <w:r>
        <w:lastRenderedPageBreak/>
        <w:t>Provincial de Sevilla en el rollo núm. 1965-2017, dimanante del procedimiento abreviado núm. 133-2016, que condenó al demandante de amparo como autor de un delito de prevaricación administrativa del art. 404 CP, en concurso medial con un delito continuado de malversación de caudales públicos del art. 432 CP, a las penas de siete años y un día de prisión, inhabilitación especial para el derecho de sufragio pasivo durante el tiempo de la condena e inhabilitación absoluta por tiempo de dieciocho años y un día; (ii) la sentencia de la Sala de lo Penal del Tribunal Supremo núm. 749/2022, de 13 de septiembre, que desestima el recurso de casación formulado frente a la anterior resolución (recurso de casación núm. 601-20), y (iii) el auto de 16 de febrero de 2023 que inadmite el incidente de nulidad de actuaciones interpuesto frente a la sentencia dictada en casación.</w:t>
      </w:r>
    </w:p>
    <w:p w14:paraId="561C37A0" w14:textId="77777777" w:rsidR="003754FE" w:rsidRDefault="003754FE" w:rsidP="003754FE">
      <w:pPr>
        <w:pStyle w:val="TextoNormal"/>
      </w:pPr>
    </w:p>
    <w:p w14:paraId="294BE170" w14:textId="77777777" w:rsidR="003754FE" w:rsidRDefault="003754FE" w:rsidP="003754FE">
      <w:pPr>
        <w:pStyle w:val="TextoNormal"/>
      </w:pPr>
      <w:r>
        <w:t xml:space="preserve">El demandante de amparo fundamenta el recurso en seis motivos. El primero de ellos es la vulneración del derecho al juez predeterminado por la ley (art. 24.2 CE). Aduce que se le ha vulnerado este derecho fundamental al haber cambiado a la magistrada que estaba inicialmente instruyendo el asunto por el magistrado de refuerzo asignado al juzgado. Considera que la vulneración del referido derecho fundamental se ha producido al efectuarse esta sustitución sin concurrir los requisitos exigidos para ello en el art. 216 </w:t>
      </w:r>
      <w:r w:rsidRPr="003754FE">
        <w:rPr>
          <w:i/>
        </w:rPr>
        <w:t>bis</w:t>
      </w:r>
      <w:r>
        <w:t xml:space="preserve">.2.4 LOPJ. En segundo lugar, alega la vulneración del derecho a la tutela judicial efectiva (arts. 24.1 CE y 6.1 CEDH) y de los derechos de defensa e intangibilidad de las resoluciones judiciales. Esta vulneración se la imputa a la sentencia dictada en el recurso de casación. El recurrente entiende que el Tribunal Supremo efectuó una ampliación arbitraria del objeto de enjuiciamiento al incluir dentro de él las ayudas individuales, que habían sido excluidas por la Audiencia Provincial por auto de 9 de febrero de 2018. El tercero de los motivos aducidos es la vulneración del derecho a la tutela judicial efectiva, el derecho de defensa, el derecho a la presunción de inocencia y a un proceso justo (arts. 24.2 CE y 6.1 CEDH). A su juicio, las resoluciones impugnadas incurren en estas infracciones constitucionales por no haber tomado en consideración la prueba de descargo; por basar la condena en argumentos incriminatorios irrazonables y arbitrarios y por no responder a alegaciones sustanciales formuladas. En el cuarto motivo del recurso se sostiene que las resoluciones impugnadas han vulnerado el derecho a la tutela judicial efectiva por no haber dado respuesta a pretensiones esenciales y el derecho a la presunción de inocencia por inexistencia de prueba de cargo en la que pueda fundarse el pronunciamiento condenatorio (art. 24.2 CE). En el quinto motivo se queja de la vulneración del derecho a legalidad penal (art. 25.1 CE) por interpretación extensiva </w:t>
      </w:r>
      <w:r w:rsidRPr="003754FE">
        <w:rPr>
          <w:i/>
        </w:rPr>
        <w:t>in malam partem</w:t>
      </w:r>
      <w:r>
        <w:t xml:space="preserve"> del concepto de resolución administrativa que establece el art. 404 CP al definir los elementos típicos del delito de prevaricación. El recurrente considera que las resoluciones impugnadas han incurrido en esta infracción constitucional al apreciar que tanto los proyectos de ley como las modificaciones presupuestarias son resoluciones dictadas en asuntos administrativos. Entiende que estas actuaciones son actos de naturaleza política que no están sujetos a control jurisdiccional. En el sexto y último motivo, el demandante aduce la vulneración del derecho a la tutela judicial efectiva (arts. 24.1 CE y 6 CEDH), a un proceso público con todas las garantías, incluyendo la presunción de inocencia (arts. 24.2 CE y 6 CEDH) y la vulneración del principio de legalidad penal (arts. 25.1 CE y 7 CEDH). El demandante de amparo considera que su condena por malversación es contraria a los derechos fundamentales enunciados.</w:t>
      </w:r>
    </w:p>
    <w:p w14:paraId="26AB08E1" w14:textId="77777777" w:rsidR="003754FE" w:rsidRDefault="003754FE" w:rsidP="003754FE">
      <w:pPr>
        <w:pStyle w:val="TextoNormal"/>
      </w:pPr>
    </w:p>
    <w:p w14:paraId="7AB7179C" w14:textId="77777777" w:rsidR="003754FE" w:rsidRDefault="003754FE" w:rsidP="003754FE">
      <w:pPr>
        <w:pStyle w:val="TextoNormal"/>
      </w:pPr>
      <w:r>
        <w:t>Con base en las alegaciones que se han expuesto en los antecedentes, la representación procesal del Partido Popular ha interesado la desestimación íntegra del amparo.</w:t>
      </w:r>
    </w:p>
    <w:p w14:paraId="0D92046B" w14:textId="77777777" w:rsidR="003754FE" w:rsidRDefault="003754FE" w:rsidP="003754FE">
      <w:pPr>
        <w:pStyle w:val="TextoNormal"/>
      </w:pPr>
    </w:p>
    <w:p w14:paraId="6C4B4DE3" w14:textId="77777777" w:rsidR="003754FE" w:rsidRDefault="003754FE" w:rsidP="003754FE">
      <w:pPr>
        <w:pStyle w:val="TextoNormal"/>
      </w:pPr>
      <w:r>
        <w:lastRenderedPageBreak/>
        <w:t>Las representaciones procesales de don Gaspar Zarrías Arévalo, don Jesús María Rodríguez Román y doña Carmen Martínez Aguayo han presentado alegaciones, adhiriéndose al presente recurso y solicitando su estimación.</w:t>
      </w:r>
    </w:p>
    <w:p w14:paraId="0592347A" w14:textId="77777777" w:rsidR="003754FE" w:rsidRDefault="003754FE" w:rsidP="003754FE">
      <w:pPr>
        <w:pStyle w:val="TextoNormal"/>
      </w:pPr>
    </w:p>
    <w:p w14:paraId="6D566257" w14:textId="77777777" w:rsidR="003754FE" w:rsidRDefault="003754FE" w:rsidP="003754FE">
      <w:pPr>
        <w:pStyle w:val="TextoNormal"/>
      </w:pPr>
      <w:r>
        <w:t>El Ministerio Fiscal interesa la estimación parcial del recurso de amparo con el consiguiente otorgamiento del amparo al recurrente por indebida subsunción en el delito de prevaricación (art. 404 CP) de los hechos consistentes en la aprobación de los proyectos de ley de presupuestos que le ha sido atribuida por las sentencias impugnadas, que se declare vulnerado su derecho a la legalidad penal (art. 25.1 CE) en relación con esa parte de la condena, que se acuerde la nulidad de las resoluciones impugnadas y se retrotraiga el procedimiento al momento anterior al dictado de la sentencia para que se dicte un nuevo fallo respetuoso con el derecho vulnerado.</w:t>
      </w:r>
    </w:p>
    <w:p w14:paraId="0DFBCFC3" w14:textId="77777777" w:rsidR="003754FE" w:rsidRDefault="003754FE" w:rsidP="003754FE">
      <w:pPr>
        <w:pStyle w:val="TextoNormal"/>
      </w:pPr>
    </w:p>
    <w:p w14:paraId="04042DB3" w14:textId="77777777" w:rsidR="003754FE" w:rsidRDefault="003754FE" w:rsidP="003754FE">
      <w:pPr>
        <w:pStyle w:val="TextoNormal"/>
      </w:pPr>
      <w:r>
        <w:t xml:space="preserve">1.2. </w:t>
      </w:r>
      <w:r w:rsidRPr="003754FE">
        <w:rPr>
          <w:i/>
        </w:rPr>
        <w:t>Orden de análisis de las quejas</w:t>
      </w:r>
    </w:p>
    <w:p w14:paraId="2575CE52" w14:textId="77777777" w:rsidR="003754FE" w:rsidRDefault="003754FE" w:rsidP="003754FE">
      <w:pPr>
        <w:pStyle w:val="TextoNormal"/>
      </w:pPr>
    </w:p>
    <w:p w14:paraId="5FF4026F" w14:textId="6798EFE4" w:rsidR="003754FE" w:rsidRDefault="003754FE" w:rsidP="003754FE">
      <w:pPr>
        <w:pStyle w:val="TextoNormal"/>
      </w:pPr>
      <w:r>
        <w:t>Dado el contenido de las alegaciones aducidas en los motivos en los que el recurrente fundamenta la demanda de amparo su análisis se va a efectuar agrupándolos del siguiente modo: (i) vulneración del derecho al juez predeterminado por la ley; (ii) vulneración del derecho a la legalidad penal (art. 25.1 CE) por la interpretación y aplicación de los elementos típicos del delito de prevaricación que han efectuado las resoluciones judiciales; (iii) vulneración del derecho a la legalidad penal (art. 25.1 CE) por la interpretación y aplicación de los elementos típicos del delito de malversación que han efectuado las resoluciones judiciales; (iv) vulneración del derecho a la presunción de inocencia; y (v) vulneración del derecho a la defensa y a la intangibilidad de las resoluciones judiciales.</w:t>
      </w:r>
    </w:p>
    <w:p w14:paraId="088453D6" w14:textId="77777777" w:rsidR="003754FE" w:rsidRDefault="003754FE" w:rsidP="003754FE">
      <w:pPr>
        <w:pStyle w:val="TextoNormal"/>
      </w:pPr>
    </w:p>
    <w:p w14:paraId="4A0EF389" w14:textId="77777777" w:rsidR="003754FE" w:rsidRDefault="003754FE" w:rsidP="003754FE">
      <w:pPr>
        <w:pStyle w:val="TextoNormal"/>
      </w:pPr>
      <w:r w:rsidRPr="003754FE">
        <w:rPr>
          <w:rStyle w:val="NumeroAFNegritaCaracter"/>
        </w:rPr>
        <w:t>2</w:t>
      </w:r>
      <w:r>
        <w:t xml:space="preserve">. </w:t>
      </w:r>
      <w:r w:rsidRPr="003754FE">
        <w:rPr>
          <w:i/>
        </w:rPr>
        <w:t>Breve delimitación fáctica y jurídica del proceso “ERE” y de la condena del demandante de amparo</w:t>
      </w:r>
    </w:p>
    <w:p w14:paraId="6510AE63" w14:textId="77777777" w:rsidR="003754FE" w:rsidRDefault="003754FE" w:rsidP="003754FE">
      <w:pPr>
        <w:pStyle w:val="TextoNormal"/>
      </w:pPr>
    </w:p>
    <w:p w14:paraId="75F64BDE" w14:textId="77777777" w:rsidR="003754FE" w:rsidRDefault="003754FE" w:rsidP="003754FE">
      <w:pPr>
        <w:pStyle w:val="TextoNormal"/>
      </w:pPr>
      <w:r>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w:t>
      </w:r>
      <w:r w:rsidRPr="003754FE">
        <w:rPr>
          <w:i/>
        </w:rPr>
        <w:t>a quo</w:t>
      </w:r>
      <w:r>
        <w:t xml:space="preserve">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del demandante de amparo.</w:t>
      </w:r>
    </w:p>
    <w:p w14:paraId="4086A2F2" w14:textId="77777777" w:rsidR="003754FE" w:rsidRDefault="003754FE" w:rsidP="003754FE">
      <w:pPr>
        <w:pStyle w:val="TextoNormal"/>
      </w:pPr>
    </w:p>
    <w:p w14:paraId="317F313B" w14:textId="77777777" w:rsidR="003754FE" w:rsidRDefault="003754FE" w:rsidP="003754FE">
      <w:pPr>
        <w:pStyle w:val="TextoNormal"/>
      </w:pPr>
      <w:r>
        <w:t>Con base en las alegaciones que se han expuesto en los antecedentes, la representación procesal del Partido Popular ha interesado la desestimación íntegra del amparo.</w:t>
      </w:r>
    </w:p>
    <w:p w14:paraId="7935A40B" w14:textId="77777777" w:rsidR="003754FE" w:rsidRDefault="003754FE" w:rsidP="003754FE">
      <w:pPr>
        <w:pStyle w:val="TextoNormal"/>
      </w:pPr>
    </w:p>
    <w:p w14:paraId="3D25894F" w14:textId="77777777" w:rsidR="003754FE" w:rsidRDefault="003754FE" w:rsidP="003754FE">
      <w:pPr>
        <w:pStyle w:val="TextoNormal"/>
      </w:pPr>
      <w:r>
        <w:lastRenderedPageBreak/>
        <w:t>Las representaciones procesales de don Gaspar Zarrías Arévalo, don Jesús María Rodríguez Román y doña Carmen Martínez Aguayo han presentado alegaciones, adhiriéndose al presente recurso y solicitando su estimación.</w:t>
      </w:r>
    </w:p>
    <w:p w14:paraId="0D021EDE" w14:textId="77777777" w:rsidR="003754FE" w:rsidRDefault="003754FE" w:rsidP="003754FE">
      <w:pPr>
        <w:pStyle w:val="TextoNormal"/>
      </w:pPr>
    </w:p>
    <w:p w14:paraId="5FF6A4C7" w14:textId="77777777" w:rsidR="003754FE" w:rsidRDefault="003754FE" w:rsidP="003754FE">
      <w:pPr>
        <w:pStyle w:val="TextoNormal"/>
      </w:pPr>
      <w:r>
        <w:t>El Ministerio Fiscal interesa la estimación parcial del recurso de amparo con el consiguiente otorgamiento del amparo al recurrente por indebida subsunción en el delito de prevaricación (art. 404 CP) de los hechos consistentes en la aprobación de los proyectos de ley de presupuestos que le ha sido atribuida por las sentencias impugnadas, que se declare vulnerado su derecho a la legalidad penal (art. 25.1 CE) en relación con esa parte de la condena, que se acuerde la nulidad de las resoluciones impugnadas y se retrotraiga el procedimiento al momento anterior al dictado de la sentencia para que se dicte un nuevo fallo respetuoso con el derecho vulnerado.</w:t>
      </w:r>
    </w:p>
    <w:p w14:paraId="1F3BF754" w14:textId="77777777" w:rsidR="003754FE" w:rsidRDefault="003754FE" w:rsidP="003754FE">
      <w:pPr>
        <w:pStyle w:val="TextoNormal"/>
      </w:pPr>
    </w:p>
    <w:p w14:paraId="4DB5DBC0" w14:textId="77777777" w:rsidR="003754FE" w:rsidRDefault="003754FE" w:rsidP="003754FE">
      <w:pPr>
        <w:pStyle w:val="TextoNormal"/>
      </w:pPr>
      <w:r>
        <w:t xml:space="preserve">2.1. </w:t>
      </w:r>
      <w:r w:rsidRPr="003754FE">
        <w:rPr>
          <w:i/>
        </w:rPr>
        <w:t>Sucinta exposición general de los hechos del proceso “ERE”</w:t>
      </w:r>
    </w:p>
    <w:p w14:paraId="504EBFCE" w14:textId="77777777" w:rsidR="003754FE" w:rsidRDefault="003754FE" w:rsidP="003754FE">
      <w:pPr>
        <w:pStyle w:val="TextoNormal"/>
      </w:pPr>
    </w:p>
    <w:p w14:paraId="55EA2930" w14:textId="77777777" w:rsidR="003754FE" w:rsidRDefault="003754FE" w:rsidP="003754FE">
      <w:pPr>
        <w:pStyle w:val="TextoNormal"/>
      </w:pPr>
      <w:r>
        <w:t>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14:paraId="59E0E5C7" w14:textId="77777777" w:rsidR="003754FE" w:rsidRDefault="003754FE" w:rsidP="003754FE">
      <w:pPr>
        <w:pStyle w:val="TextoNormal"/>
      </w:pPr>
    </w:p>
    <w:p w14:paraId="766C4A63" w14:textId="77777777" w:rsidR="003754FE" w:rsidRDefault="003754FE" w:rsidP="003754FE">
      <w:pPr>
        <w:pStyle w:val="TextoNormal"/>
      </w:pPr>
      <w:r>
        <w:t>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14:paraId="39377FD2" w14:textId="77777777" w:rsidR="003754FE" w:rsidRDefault="003754FE" w:rsidP="003754FE">
      <w:pPr>
        <w:pStyle w:val="TextoNormal"/>
      </w:pPr>
    </w:p>
    <w:p w14:paraId="64B484E3" w14:textId="77777777" w:rsidR="003754FE" w:rsidRDefault="003754FE" w:rsidP="003754FE">
      <w:pPr>
        <w:pStyle w:val="TextoNormal"/>
      </w:pPr>
      <w:r>
        <w:t>En la tramitación de sendos expedientes sobre estas ayudas, el interventor delegado de la Consejería de Empleo y Desarrollo Tecnológico formuló reparos en el informe de fiscalización que, si bien no llegaron a impedir su concesión, la dificultaron y retrasaron.</w:t>
      </w:r>
    </w:p>
    <w:p w14:paraId="45C6AF0A" w14:textId="77777777" w:rsidR="003754FE" w:rsidRDefault="003754FE" w:rsidP="003754FE">
      <w:pPr>
        <w:pStyle w:val="TextoNormal"/>
      </w:pPr>
    </w:p>
    <w:p w14:paraId="7E65F4CB" w14:textId="77777777" w:rsidR="003754FE" w:rsidRDefault="003754FE" w:rsidP="003754FE">
      <w:pPr>
        <w:pStyle w:val="TextoNormal"/>
      </w:pPr>
      <w:r>
        <w:t xml:space="preserve">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“Transferencias al IFA en materia de relaciones </w:t>
      </w:r>
      <w:r>
        <w:lastRenderedPageBreak/>
        <w:t>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14:paraId="7C6E1EFC" w14:textId="77777777" w:rsidR="003754FE" w:rsidRDefault="003754FE" w:rsidP="003754FE">
      <w:pPr>
        <w:pStyle w:val="TextoNormal"/>
      </w:pPr>
    </w:p>
    <w:p w14:paraId="15B9FD85" w14:textId="77777777" w:rsidR="003754FE" w:rsidRDefault="003754FE" w:rsidP="003754FE">
      <w:pPr>
        <w:pStyle w:val="TextoNormal"/>
      </w:pPr>
      <w:r>
        <w:t>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14:paraId="6FB3BFCE" w14:textId="77777777" w:rsidR="003754FE" w:rsidRDefault="003754FE" w:rsidP="003754FE">
      <w:pPr>
        <w:pStyle w:val="TextoNormal"/>
      </w:pPr>
    </w:p>
    <w:p w14:paraId="6A9DE602" w14:textId="77777777" w:rsidR="003754FE" w:rsidRDefault="003754FE" w:rsidP="003754FE">
      <w:pPr>
        <w:pStyle w:val="TextoNormal"/>
      </w:pPr>
      <w:r>
        <w:t>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14:paraId="4B652A83" w14:textId="77777777" w:rsidR="003754FE" w:rsidRDefault="003754FE" w:rsidP="003754FE">
      <w:pPr>
        <w:pStyle w:val="TextoNormal"/>
      </w:pPr>
    </w:p>
    <w:p w14:paraId="0E6BD5DA" w14:textId="77777777" w:rsidR="003754FE" w:rsidRDefault="003754FE" w:rsidP="003754FE">
      <w:pPr>
        <w:pStyle w:val="TextoNormal"/>
      </w:pPr>
      <w:r>
        <w:t>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14:paraId="0F6A27B4" w14:textId="77777777" w:rsidR="003754FE" w:rsidRDefault="003754FE" w:rsidP="003754FE">
      <w:pPr>
        <w:pStyle w:val="TextoNormal"/>
      </w:pPr>
    </w:p>
    <w:p w14:paraId="1CA63D43" w14:textId="77777777" w:rsidR="003754FE" w:rsidRDefault="003754FE" w:rsidP="003754FE">
      <w:pPr>
        <w:pStyle w:val="TextoNormal"/>
      </w:pPr>
      <w:r>
        <w:t>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14:paraId="120B2F12" w14:textId="77777777" w:rsidR="003754FE" w:rsidRDefault="003754FE" w:rsidP="003754FE">
      <w:pPr>
        <w:pStyle w:val="TextoNormal"/>
      </w:pPr>
    </w:p>
    <w:p w14:paraId="195775DA" w14:textId="77777777" w:rsidR="003754FE" w:rsidRDefault="003754FE" w:rsidP="003754FE">
      <w:pPr>
        <w:pStyle w:val="TextoNormal"/>
      </w:pPr>
      <w:r>
        <w:t>Tras la firma del convenio marco,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14:paraId="79F4CBE4" w14:textId="77777777" w:rsidR="003754FE" w:rsidRDefault="003754FE" w:rsidP="003754FE">
      <w:pPr>
        <w:pStyle w:val="TextoNormal"/>
      </w:pPr>
    </w:p>
    <w:p w14:paraId="3FB34236" w14:textId="77777777" w:rsidR="003754FE" w:rsidRDefault="003754FE" w:rsidP="003754FE">
      <w:pPr>
        <w:pStyle w:val="TextoNormal"/>
      </w:pPr>
      <w:r>
        <w:t>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paso a denominarse Agencia de Innovación y Desarrollo de Andalucía (IDEA), adscrita a la Consejería de Innovación, Ciencia y Empresa— se destinaban a pagar lo ordenado por la Consejería conforme a lo previsto en el convenio marco.</w:t>
      </w:r>
    </w:p>
    <w:p w14:paraId="29431ECC" w14:textId="77777777" w:rsidR="003754FE" w:rsidRDefault="003754FE" w:rsidP="003754FE">
      <w:pPr>
        <w:pStyle w:val="TextoNormal"/>
      </w:pPr>
    </w:p>
    <w:p w14:paraId="7D362D3B" w14:textId="77777777" w:rsidR="003754FE" w:rsidRDefault="003754FE" w:rsidP="003754FE">
      <w:pPr>
        <w:pStyle w:val="TextoNormal"/>
      </w:pPr>
      <w:r>
        <w:t>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193-196):</w:t>
      </w:r>
    </w:p>
    <w:p w14:paraId="12956565" w14:textId="77777777" w:rsidR="003754FE" w:rsidRDefault="003754FE" w:rsidP="003754FE">
      <w:pPr>
        <w:pStyle w:val="TextoNormal"/>
      </w:pPr>
    </w:p>
    <w:p w14:paraId="4CCA2A48" w14:textId="77777777" w:rsidR="003754FE" w:rsidRDefault="003754FE" w:rsidP="003754FE">
      <w:pPr>
        <w:pStyle w:val="TextoNormal"/>
      </w:pPr>
      <w:r>
        <w:t>“9. Conclusiones del análisis de la documentación anexa al proyecto de presupuesto anual de la Junta de Andalucía:</w:t>
      </w:r>
    </w:p>
    <w:p w14:paraId="55930680" w14:textId="77777777" w:rsidR="003754FE" w:rsidRDefault="003754FE" w:rsidP="003754FE">
      <w:pPr>
        <w:pStyle w:val="TextoNormal"/>
      </w:pPr>
    </w:p>
    <w:p w14:paraId="6C7A13E6" w14:textId="77777777" w:rsidR="003754FE" w:rsidRDefault="003754FE" w:rsidP="003754FE">
      <w:pPr>
        <w:pStyle w:val="TextoNormal"/>
      </w:pPr>
      <w:r>
        <w:t>A) La descripción de los objetivos y actividades contenidos en las fichas del programa 31L, son, como hemos visto, del siguiente tenor:</w:t>
      </w:r>
    </w:p>
    <w:p w14:paraId="7E907A0D" w14:textId="77777777" w:rsidR="003754FE" w:rsidRDefault="003754FE" w:rsidP="003754FE">
      <w:pPr>
        <w:pStyle w:val="TextoNormal"/>
      </w:pPr>
    </w:p>
    <w:p w14:paraId="38341C99" w14:textId="77777777" w:rsidR="003754FE" w:rsidRDefault="003754FE" w:rsidP="003754FE">
      <w:pPr>
        <w:pStyle w:val="TextoNormal"/>
      </w:pPr>
      <w:r>
        <w:t>• ‘Transferencias a IFA’.</w:t>
      </w:r>
    </w:p>
    <w:p w14:paraId="45E2D4E5" w14:textId="77777777" w:rsidR="003754FE" w:rsidRDefault="003754FE" w:rsidP="003754FE">
      <w:pPr>
        <w:pStyle w:val="TextoNormal"/>
      </w:pPr>
    </w:p>
    <w:p w14:paraId="7E516A83" w14:textId="77777777" w:rsidR="003754FE" w:rsidRDefault="003754FE" w:rsidP="003754FE">
      <w:pPr>
        <w:pStyle w:val="TextoNormal"/>
      </w:pPr>
      <w:r>
        <w:t>• ‘Transferencias a AIDA’.</w:t>
      </w:r>
    </w:p>
    <w:p w14:paraId="2DE60B63" w14:textId="77777777" w:rsidR="003754FE" w:rsidRDefault="003754FE" w:rsidP="003754FE">
      <w:pPr>
        <w:pStyle w:val="TextoNormal"/>
      </w:pPr>
    </w:p>
    <w:p w14:paraId="325C901C" w14:textId="77777777" w:rsidR="003754FE" w:rsidRDefault="003754FE" w:rsidP="003754FE">
      <w:pPr>
        <w:pStyle w:val="TextoNormal"/>
      </w:pPr>
      <w:r>
        <w:t>• ‘Mantenimiento empleo y tejido productivo andaluz’.</w:t>
      </w:r>
    </w:p>
    <w:p w14:paraId="4626B1BD" w14:textId="77777777" w:rsidR="003754FE" w:rsidRDefault="003754FE" w:rsidP="003754FE">
      <w:pPr>
        <w:pStyle w:val="TextoNormal"/>
      </w:pPr>
    </w:p>
    <w:p w14:paraId="4BDB7BF4" w14:textId="77777777" w:rsidR="003754FE" w:rsidRDefault="003754FE" w:rsidP="003754FE">
      <w:pPr>
        <w:pStyle w:val="TextoNormal"/>
      </w:pPr>
      <w:r>
        <w:t>• ‘Gestión de subvenciones’.</w:t>
      </w:r>
    </w:p>
    <w:p w14:paraId="302DB2A4" w14:textId="77777777" w:rsidR="003754FE" w:rsidRDefault="003754FE" w:rsidP="003754FE">
      <w:pPr>
        <w:pStyle w:val="TextoNormal"/>
      </w:pPr>
    </w:p>
    <w:p w14:paraId="62A46742" w14:textId="77777777" w:rsidR="003754FE" w:rsidRDefault="003754FE" w:rsidP="003754FE">
      <w:pPr>
        <w:pStyle w:val="TextoNormal"/>
      </w:pPr>
      <w:r>
        <w:t>• ‘Ayudas prejubilaciones y expedientes de regulación de empleo’.</w:t>
      </w:r>
    </w:p>
    <w:p w14:paraId="02AA5CEA" w14:textId="77777777" w:rsidR="003754FE" w:rsidRDefault="003754FE" w:rsidP="003754FE">
      <w:pPr>
        <w:pStyle w:val="TextoNormal"/>
      </w:pPr>
    </w:p>
    <w:p w14:paraId="157368E3" w14:textId="77777777" w:rsidR="003754FE" w:rsidRDefault="003754FE" w:rsidP="003754FE">
      <w:pPr>
        <w:pStyle w:val="TextoNormal"/>
      </w:pPr>
      <w:r>
        <w:t>• ‘Suscripción de convenio’.</w:t>
      </w:r>
    </w:p>
    <w:p w14:paraId="0E420C05" w14:textId="77777777" w:rsidR="003754FE" w:rsidRDefault="003754FE" w:rsidP="003754FE">
      <w:pPr>
        <w:pStyle w:val="TextoNormal"/>
      </w:pPr>
    </w:p>
    <w:p w14:paraId="367A1B2A" w14:textId="77777777" w:rsidR="003754FE" w:rsidRDefault="003754FE" w:rsidP="003754FE">
      <w:pPr>
        <w:pStyle w:val="TextoNormal"/>
      </w:pPr>
      <w:r>
        <w:lastRenderedPageBreak/>
        <w:t>B) Por lo que se refiere a las memorias de los informes económico financieros, en la descripción de las actividades y objetivos contenidos en las mismas, son, como hemos visto igualmente, del siguiente tenor:</w:t>
      </w:r>
    </w:p>
    <w:p w14:paraId="587F5E32" w14:textId="77777777" w:rsidR="003754FE" w:rsidRDefault="003754FE" w:rsidP="003754FE">
      <w:pPr>
        <w:pStyle w:val="TextoNormal"/>
      </w:pPr>
    </w:p>
    <w:p w14:paraId="1BEDA94A" w14:textId="77777777" w:rsidR="003754FE" w:rsidRDefault="003754FE" w:rsidP="003754FE">
      <w:pPr>
        <w:pStyle w:val="TextoNormal"/>
      </w:pPr>
      <w:r>
        <w:t>• Potenciar la interlocución con los agentes sociales y económicos.</w:t>
      </w:r>
    </w:p>
    <w:p w14:paraId="770537FA" w14:textId="77777777" w:rsidR="003754FE" w:rsidRDefault="003754FE" w:rsidP="003754FE">
      <w:pPr>
        <w:pStyle w:val="TextoNormal"/>
      </w:pPr>
    </w:p>
    <w:p w14:paraId="193CD8E8" w14:textId="77777777" w:rsidR="003754FE" w:rsidRDefault="003754FE" w:rsidP="003754FE">
      <w:pPr>
        <w:pStyle w:val="TextoNormal"/>
      </w:pPr>
      <w:r>
        <w:t>• Mantener las políticas de ayudas a prejubilaciones en empresas con dificultades.</w:t>
      </w:r>
    </w:p>
    <w:p w14:paraId="6FDEC2A4" w14:textId="77777777" w:rsidR="003754FE" w:rsidRDefault="003754FE" w:rsidP="003754FE">
      <w:pPr>
        <w:pStyle w:val="TextoNormal"/>
      </w:pPr>
    </w:p>
    <w:p w14:paraId="539089C3" w14:textId="77777777" w:rsidR="003754FE" w:rsidRDefault="003754FE" w:rsidP="003754FE">
      <w:pPr>
        <w:pStyle w:val="TextoNormal"/>
      </w:pPr>
      <w:r>
        <w:t>•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4368211A" w14:textId="77777777" w:rsidR="003754FE" w:rsidRDefault="003754FE" w:rsidP="003754FE">
      <w:pPr>
        <w:pStyle w:val="TextoNormal"/>
      </w:pPr>
    </w:p>
    <w:p w14:paraId="5B12F241" w14:textId="77777777" w:rsidR="003754FE" w:rsidRDefault="003754FE" w:rsidP="003754FE">
      <w:pPr>
        <w:pStyle w:val="TextoNormal"/>
      </w:pPr>
      <w:r>
        <w:t>• Así mismo y en una cuantía importante instrumenta la materialización de ayudas a empresas con especiales dificultades de mantenimiento del empleo, prejubilaciones y viabilidad económica.</w:t>
      </w:r>
    </w:p>
    <w:p w14:paraId="5DCA9CD2" w14:textId="77777777" w:rsidR="003754FE" w:rsidRDefault="003754FE" w:rsidP="003754FE">
      <w:pPr>
        <w:pStyle w:val="TextoNormal"/>
      </w:pPr>
    </w:p>
    <w:p w14:paraId="097B570F" w14:textId="77777777" w:rsidR="003754FE" w:rsidRDefault="003754FE" w:rsidP="003754FE">
      <w:pPr>
        <w:pStyle w:val="TextoNormal"/>
      </w:pPr>
      <w:r>
        <w:t>•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1362BA57" w14:textId="77777777" w:rsidR="003754FE" w:rsidRDefault="003754FE" w:rsidP="003754FE">
      <w:pPr>
        <w:pStyle w:val="TextoNormal"/>
      </w:pPr>
    </w:p>
    <w:p w14:paraId="5BBE747C" w14:textId="77777777" w:rsidR="003754FE" w:rsidRDefault="003754FE" w:rsidP="003754FE">
      <w:pPr>
        <w:pStyle w:val="TextoNormal"/>
      </w:pPr>
      <w:r>
        <w:t>•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14:paraId="54900CCB" w14:textId="77777777" w:rsidR="003754FE" w:rsidRDefault="003754FE" w:rsidP="003754FE">
      <w:pPr>
        <w:pStyle w:val="TextoNormal"/>
      </w:pPr>
    </w:p>
    <w:p w14:paraId="6C6A8C83" w14:textId="77777777" w:rsidR="003754FE" w:rsidRDefault="003754FE" w:rsidP="003754FE">
      <w:pPr>
        <w:pStyle w:val="TextoNormal"/>
      </w:pPr>
      <w:r>
        <w:t>• Esta dirección general instrumenta la materialización de las ayudas a través de un convenio con el IFA y de su dotación anual específica de contribución a pólizas de prejubilaciones.</w:t>
      </w:r>
    </w:p>
    <w:p w14:paraId="0785CDD0" w14:textId="77777777" w:rsidR="003754FE" w:rsidRDefault="003754FE" w:rsidP="003754FE">
      <w:pPr>
        <w:pStyle w:val="TextoNormal"/>
      </w:pPr>
    </w:p>
    <w:p w14:paraId="1F7F74D1" w14:textId="77777777" w:rsidR="003754FE" w:rsidRDefault="003754FE" w:rsidP="003754FE">
      <w:pPr>
        <w:pStyle w:val="TextoNormal"/>
      </w:pPr>
      <w:r>
        <w:t>• El centro directivo que lo ejecuta es la Dirección General de Trabajo y Seguridad Social.</w:t>
      </w:r>
    </w:p>
    <w:p w14:paraId="65B5E1BF" w14:textId="77777777" w:rsidR="003754FE" w:rsidRDefault="003754FE" w:rsidP="003754FE">
      <w:pPr>
        <w:pStyle w:val="TextoNormal"/>
      </w:pPr>
    </w:p>
    <w:p w14:paraId="5CD25D5D" w14:textId="77777777" w:rsidR="003754FE" w:rsidRDefault="003754FE" w:rsidP="003754FE">
      <w:pPr>
        <w:pStyle w:val="TextoNormal"/>
      </w:pPr>
      <w:r>
        <w:t>• La previsión es para atender compromisos existentes y no se prevén fondos para nuevas, en su caso, contingencias.</w:t>
      </w:r>
    </w:p>
    <w:p w14:paraId="04AE8614" w14:textId="77777777" w:rsidR="003754FE" w:rsidRDefault="003754FE" w:rsidP="003754FE">
      <w:pPr>
        <w:pStyle w:val="TextoNormal"/>
      </w:pPr>
    </w:p>
    <w:p w14:paraId="4640B38C" w14:textId="77777777" w:rsidR="003754FE" w:rsidRDefault="003754FE" w:rsidP="003754FE">
      <w:pPr>
        <w:pStyle w:val="TextoNormal"/>
      </w:pPr>
      <w:r>
        <w:t>• Mantener las políticas de ayudas a prejubilaciones en empresas con dificultades, a través de subvenciones finalistas.</w:t>
      </w:r>
    </w:p>
    <w:p w14:paraId="747BA39A" w14:textId="77777777" w:rsidR="003754FE" w:rsidRDefault="003754FE" w:rsidP="003754FE">
      <w:pPr>
        <w:pStyle w:val="TextoNormal"/>
      </w:pPr>
    </w:p>
    <w:p w14:paraId="237EF631" w14:textId="77777777" w:rsidR="003754FE" w:rsidRDefault="003754FE" w:rsidP="003754FE">
      <w:pPr>
        <w:pStyle w:val="TextoNormal"/>
      </w:pPr>
      <w:r>
        <w:t>• Realización de transferencias al Instituto de Fomento de Andalucía en aplicación de concierto de ayudas a empresas en crisis para el mantenimiento del empleo y tejido productivo andaluz.</w:t>
      </w:r>
    </w:p>
    <w:p w14:paraId="121D3A23" w14:textId="77777777" w:rsidR="003754FE" w:rsidRDefault="003754FE" w:rsidP="003754FE">
      <w:pPr>
        <w:pStyle w:val="TextoNormal"/>
      </w:pPr>
    </w:p>
    <w:p w14:paraId="2E0D14AE" w14:textId="77777777" w:rsidR="003754FE" w:rsidRDefault="003754FE" w:rsidP="003754FE">
      <w:pPr>
        <w:pStyle w:val="TextoNormal"/>
      </w:pPr>
      <w:r>
        <w:t>• Tramitación de transferencias a empresas mediante ayudas a prejubilaciones mediante subvención de la cuota de la seguridad social.</w:t>
      </w:r>
    </w:p>
    <w:p w14:paraId="7997E658" w14:textId="77777777" w:rsidR="003754FE" w:rsidRDefault="003754FE" w:rsidP="003754FE">
      <w:pPr>
        <w:pStyle w:val="TextoNormal"/>
      </w:pPr>
    </w:p>
    <w:p w14:paraId="77A22B67" w14:textId="77777777" w:rsidR="003754FE" w:rsidRDefault="003754FE" w:rsidP="003754FE">
      <w:pPr>
        <w:pStyle w:val="TextoNormal"/>
      </w:pPr>
      <w:r>
        <w:lastRenderedPageBreak/>
        <w:t>• El programa presupuestario 31L, lo ejecuta la Dirección General de Trabajo y Seguridad Social, centro directivo que tiene atribuidas las competencias que corresponden a la Consejería en materia de relaciones laborales, […].</w:t>
      </w:r>
    </w:p>
    <w:p w14:paraId="676519C5" w14:textId="77777777" w:rsidR="003754FE" w:rsidRDefault="003754FE" w:rsidP="003754FE">
      <w:pPr>
        <w:pStyle w:val="TextoNormal"/>
      </w:pPr>
    </w:p>
    <w:p w14:paraId="65D1AB5D" w14:textId="77777777" w:rsidR="003754FE" w:rsidRDefault="003754FE" w:rsidP="003754FE">
      <w:pPr>
        <w:pStyle w:val="TextoNormal"/>
      </w:pPr>
      <w:r>
        <w:t>• Atender a las necesidades públicas de mantenimiento del empleo y del tejido productivo andaluz, a través de los acuerdos con la Agencia de Innovación y Desarrollo de Andalucía para la subvención y ayuda de sectores y empresas con dificultades financieras.</w:t>
      </w:r>
    </w:p>
    <w:p w14:paraId="40E74489" w14:textId="77777777" w:rsidR="003754FE" w:rsidRDefault="003754FE" w:rsidP="003754FE">
      <w:pPr>
        <w:pStyle w:val="TextoNormal"/>
      </w:pPr>
    </w:p>
    <w:p w14:paraId="1124DEDF" w14:textId="77777777" w:rsidR="003754FE" w:rsidRDefault="003754FE" w:rsidP="003754FE">
      <w:pPr>
        <w:pStyle w:val="TextoNormal"/>
      </w:pPr>
      <w:r>
        <w:t>• Esta dirección general instrumenta la materialización de las ayudas a través de un convenio con la Agencia de Innovación y Desarrollo de Andalucía y de su dotación anual específica de contribución a pólizas de prejubilaciones.</w:t>
      </w:r>
    </w:p>
    <w:p w14:paraId="225DCA65" w14:textId="77777777" w:rsidR="003754FE" w:rsidRDefault="003754FE" w:rsidP="003754FE">
      <w:pPr>
        <w:pStyle w:val="TextoNormal"/>
      </w:pPr>
    </w:p>
    <w:p w14:paraId="1E4C7130" w14:textId="77777777" w:rsidR="003754FE" w:rsidRDefault="003754FE" w:rsidP="003754FE">
      <w:pPr>
        <w:pStyle w:val="TextoNormal"/>
      </w:pPr>
      <w:r>
        <w:t>• Continuar la línea de colaboración con [el] IDEA en aplicación del concierto de ayudas para el mantenimiento del empleo y tejido productivo andaluz en vigor desde el año 2001.</w:t>
      </w:r>
    </w:p>
    <w:p w14:paraId="6D2ED9A7" w14:textId="77777777" w:rsidR="003754FE" w:rsidRDefault="003754FE" w:rsidP="003754FE">
      <w:pPr>
        <w:pStyle w:val="TextoNormal"/>
      </w:pPr>
    </w:p>
    <w:p w14:paraId="3AD5F1B2" w14:textId="77777777" w:rsidR="003754FE" w:rsidRDefault="003754FE" w:rsidP="003754FE">
      <w:pPr>
        <w:pStyle w:val="TextoNormal"/>
      </w:pPr>
      <w:r>
        <w:t>•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14:paraId="480B0745" w14:textId="77777777" w:rsidR="003754FE" w:rsidRDefault="003754FE" w:rsidP="003754FE">
      <w:pPr>
        <w:pStyle w:val="TextoNormal"/>
      </w:pPr>
    </w:p>
    <w:p w14:paraId="175BB796" w14:textId="77777777" w:rsidR="003754FE" w:rsidRDefault="003754FE" w:rsidP="003754FE">
      <w:pPr>
        <w:pStyle w:val="TextoNormal"/>
      </w:pPr>
      <w:r>
        <w:t>• Mantenimiento del empleo y tejido productivo andaluz: cobertura de las necesidades comprometidas asumidas por expedientes de regulación de empleo, ayuda prejubilaciones, proyectos de viabilidad de pequeñas, medianas y grandes empresas e impulso a la consolidación económica en aquellas empresas con dificultades de mantenimiento del empleo”.</w:t>
      </w:r>
    </w:p>
    <w:p w14:paraId="48C7611B" w14:textId="77777777" w:rsidR="003754FE" w:rsidRDefault="003754FE" w:rsidP="003754FE">
      <w:pPr>
        <w:pStyle w:val="TextoNormal"/>
      </w:pPr>
    </w:p>
    <w:p w14:paraId="33F28D87" w14:textId="77777777" w:rsidR="003754FE" w:rsidRDefault="003754FE" w:rsidP="003754FE">
      <w:pPr>
        <w:pStyle w:val="TextoNormal"/>
      </w:pPr>
      <w:r>
        <w:t>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14:paraId="69819924" w14:textId="77777777" w:rsidR="003754FE" w:rsidRDefault="003754FE" w:rsidP="003754FE">
      <w:pPr>
        <w:pStyle w:val="TextoNormal"/>
      </w:pPr>
    </w:p>
    <w:p w14:paraId="7087898C" w14:textId="77777777" w:rsidR="003754FE" w:rsidRDefault="003754FE" w:rsidP="003754FE">
      <w:pPr>
        <w:pStyle w:val="TextoNormal"/>
      </w:pPr>
      <w:r>
        <w:t>El IFA/IDEA, tanto como consecuencia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14:paraId="207B971E" w14:textId="77777777" w:rsidR="003754FE" w:rsidRDefault="003754FE" w:rsidP="003754FE">
      <w:pPr>
        <w:pStyle w:val="TextoNormal"/>
      </w:pPr>
    </w:p>
    <w:p w14:paraId="5A2CCDC9" w14:textId="77777777" w:rsidR="003754FE" w:rsidRDefault="003754FE" w:rsidP="003754FE">
      <w:pPr>
        <w:pStyle w:val="TextoNormal"/>
      </w:pPr>
      <w:r>
        <w:t xml:space="preserve">Según consta en la sentencia de la Audiencia Provincial, el consejero de Empleo —don José Antonio Viera Chacón— y el vicepresidente del IFA —don Antonio Fernández García—, para evitar dar información a los miembros del consejo rector del IFA ajenos a la Consejería de Empleo y Desarrollo Tecnológico, así como que tuvieran que ser ratificadas </w:t>
      </w:r>
      <w:r>
        <w:lastRenderedPageBreak/>
        <w:t>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14:paraId="2E847212" w14:textId="77777777" w:rsidR="003754FE" w:rsidRDefault="003754FE" w:rsidP="003754FE">
      <w:pPr>
        <w:pStyle w:val="TextoNormal"/>
      </w:pPr>
    </w:p>
    <w:p w14:paraId="620D3938" w14:textId="77777777" w:rsidR="003754FE" w:rsidRDefault="003754FE" w:rsidP="003754FE">
      <w:pPr>
        <w:pStyle w:val="TextoNormal"/>
      </w:pPr>
      <w:r>
        <w:t>En el ejercicio del año 2009 se dejaron de suscribir convenios particulares entre la Direccion General de Trabajo y Seguridad Social y el IDEA, dictándose por el director general de Trabajo resoluciones concediendo las ayudas y ordenando su pago al director general de IDEA.</w:t>
      </w:r>
    </w:p>
    <w:p w14:paraId="644A2C22" w14:textId="77777777" w:rsidR="003754FE" w:rsidRDefault="003754FE" w:rsidP="003754FE">
      <w:pPr>
        <w:pStyle w:val="TextoNormal"/>
      </w:pPr>
    </w:p>
    <w:p w14:paraId="6A5481BC" w14:textId="77777777" w:rsidR="003754FE" w:rsidRDefault="003754FE" w:rsidP="003754FE">
      <w:pPr>
        <w:pStyle w:val="TextoNormal"/>
      </w:pPr>
      <w:r>
        <w:t>El control financiero del IFA/IDEA se limitó a verificar que se había efectuado el pago de las ayudas ordenado por la Consejería de Empleo y Desarrollo Tecnológico o la Consejería de Innovación, Ciencia y Empresa, a través de la Dirección General de Trabajo y Seguridad Social, ya que formalmente no se trataba de ayudas concedidas por el IFA/IDEA.</w:t>
      </w:r>
    </w:p>
    <w:p w14:paraId="32619A20" w14:textId="77777777" w:rsidR="003754FE" w:rsidRDefault="003754FE" w:rsidP="003754FE">
      <w:pPr>
        <w:pStyle w:val="TextoNormal"/>
      </w:pPr>
    </w:p>
    <w:p w14:paraId="4F1C5CB9" w14:textId="77777777" w:rsidR="003754FE" w:rsidRDefault="003754FE" w:rsidP="003754FE">
      <w:pPr>
        <w:pStyle w:val="TextoNormal"/>
      </w:pPr>
      <w:r>
        <w:t>d) En el año 2010 se abandonaron las transferencias de financiación a IDEA y se presupuestaron en los correspondientes programas las partidas destinadas a ayudas sociolaborales y a empresas en crisis, publicándose las bases reguladoras de las convocatorias para su concesión mediante órdenes de la Consejería de Empleo y Desarrollo Tecnológico de 1 de abril de 2011 y de 13 y 16 de marzo de 2012, hasta su derogación por el Decreto-ley de la Junta de Andalucía 4/2012, de 16 de octubre, de medidas extraordinarias y urgentes en materia de protección sociolaboral a extrabajadores y extrabajadoras andaluces afectados por procesos de reestructuración de empresas y sectores en crisis.</w:t>
      </w:r>
    </w:p>
    <w:p w14:paraId="310D52AD" w14:textId="77777777" w:rsidR="003754FE" w:rsidRDefault="003754FE" w:rsidP="003754FE">
      <w:pPr>
        <w:pStyle w:val="TextoNormal"/>
      </w:pPr>
    </w:p>
    <w:p w14:paraId="40ECE5BB" w14:textId="77777777" w:rsidR="003754FE" w:rsidRDefault="003754FE" w:rsidP="003754FE">
      <w:pPr>
        <w:pStyle w:val="TextoNormal"/>
      </w:pPr>
      <w:r>
        <w:t>En el citado decreto ley se estableció que a estas ayudas sociolaborales no les eran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14:paraId="41E6C7DB" w14:textId="77777777" w:rsidR="003754FE" w:rsidRDefault="003754FE" w:rsidP="003754FE">
      <w:pPr>
        <w:pStyle w:val="TextoNormal"/>
      </w:pPr>
    </w:p>
    <w:p w14:paraId="5904A64E" w14:textId="77777777" w:rsidR="003754FE" w:rsidRDefault="003754FE" w:rsidP="003754FE">
      <w:pPr>
        <w:pStyle w:val="TextoNormal"/>
      </w:pPr>
      <w:r>
        <w:t>e) En resumen: el sistema de otorgamiento de las ayudas sociolaborales y a empresas en crisis hasta el año 2010 fue el siguiente:</w:t>
      </w:r>
    </w:p>
    <w:p w14:paraId="4637D64D" w14:textId="77777777" w:rsidR="003754FE" w:rsidRDefault="003754FE" w:rsidP="003754FE">
      <w:pPr>
        <w:pStyle w:val="TextoNormal"/>
      </w:pPr>
    </w:p>
    <w:p w14:paraId="665E27FD" w14:textId="77777777" w:rsidR="003754FE" w:rsidRDefault="003754FE" w:rsidP="003754FE">
      <w:pPr>
        <w:pStyle w:val="TextoNormal"/>
      </w:pPr>
      <w:r>
        <w:t>(i) En la década de los años 1990, estas ayudas se tramitaron como subvenciones excepcionales, siendo concedidas y pagadas por la Consejería de Empleo y Desarrollo Tecnológico.</w:t>
      </w:r>
    </w:p>
    <w:p w14:paraId="019489CE" w14:textId="77777777" w:rsidR="003754FE" w:rsidRDefault="003754FE" w:rsidP="003754FE">
      <w:pPr>
        <w:pStyle w:val="TextoNormal"/>
      </w:pPr>
    </w:p>
    <w:p w14:paraId="4E651A59" w14:textId="77777777" w:rsidR="003754FE" w:rsidRDefault="003754FE" w:rsidP="003754FE">
      <w:pPr>
        <w:pStyle w:val="TextoNormal"/>
      </w:pPr>
      <w:r>
        <w:t>(ii) Desde el año 2000 hasta el año 2010, las ayudas las concedió la Consejería de Empleo y Desarrollo Tecnológico o la Consejería de Innovación, Ciencia y Empresa,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14:paraId="6EF3DC06" w14:textId="77777777" w:rsidR="003754FE" w:rsidRDefault="003754FE" w:rsidP="003754FE">
      <w:pPr>
        <w:pStyle w:val="TextoNormal"/>
      </w:pPr>
    </w:p>
    <w:p w14:paraId="0B5A0B65" w14:textId="77777777" w:rsidR="003754FE" w:rsidRDefault="003754FE" w:rsidP="003754FE">
      <w:pPr>
        <w:pStyle w:val="TextoNormal"/>
      </w:pPr>
      <w:r>
        <w:lastRenderedPageBreak/>
        <w:t xml:space="preserve">(iii) Al IFA/IDEA se le atribuyeron los fondos para el pago de las ayudas mediante transferencias de financiación. La utilización de estos créditos no estaba sometida a un control previo, sino a un control </w:t>
      </w:r>
      <w:r w:rsidRPr="003754FE">
        <w:rPr>
          <w:i/>
        </w:rPr>
        <w:t>ex post</w:t>
      </w:r>
      <w:r>
        <w:t>: el llamado “control financiero permanente”. Este control se limitaba a comprobar la legalidad del pago; examinar las cuentas anuales, y analizar críticamente los programas asignados al instituto.</w:t>
      </w:r>
    </w:p>
    <w:p w14:paraId="2E7AE7A8" w14:textId="77777777" w:rsidR="003754FE" w:rsidRDefault="003754FE" w:rsidP="003754FE">
      <w:pPr>
        <w:pStyle w:val="TextoNormal"/>
      </w:pPr>
    </w:p>
    <w:p w14:paraId="04FB1640" w14:textId="77777777" w:rsidR="003754FE" w:rsidRDefault="003754FE" w:rsidP="003754FE">
      <w:pPr>
        <w:pStyle w:val="TextoNormal"/>
      </w:pPr>
      <w:r>
        <w:t>(iv)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14:paraId="73215EEE" w14:textId="77777777" w:rsidR="003754FE" w:rsidRDefault="003754FE" w:rsidP="003754FE">
      <w:pPr>
        <w:pStyle w:val="TextoNormal"/>
      </w:pPr>
    </w:p>
    <w:p w14:paraId="2AD16030" w14:textId="77777777" w:rsidR="003754FE" w:rsidRDefault="003754FE" w:rsidP="003754FE">
      <w:pPr>
        <w:pStyle w:val="TextoNormal"/>
      </w:pPr>
      <w:r>
        <w:t>El seguimiento del referido sistema de otorgamiento de las ayudas sociolaborales y a empresas en crisis hasta el año 2010 permitió, según las resoluciones impugnadas:</w:t>
      </w:r>
    </w:p>
    <w:p w14:paraId="38778BD1" w14:textId="77777777" w:rsidR="003754FE" w:rsidRDefault="003754FE" w:rsidP="003754FE">
      <w:pPr>
        <w:pStyle w:val="TextoNormal"/>
      </w:pPr>
    </w:p>
    <w:p w14:paraId="62F07012" w14:textId="77777777" w:rsidR="003754FE" w:rsidRDefault="003754FE" w:rsidP="003754FE">
      <w:pPr>
        <w:pStyle w:val="TextoNormal"/>
      </w:pPr>
      <w:r>
        <w:t>(i)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Desarrollo Tecnológico;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14:paraId="01C7527B" w14:textId="77777777" w:rsidR="003754FE" w:rsidRDefault="003754FE" w:rsidP="003754FE">
      <w:pPr>
        <w:pStyle w:val="TextoNormal"/>
      </w:pPr>
    </w:p>
    <w:p w14:paraId="47D0DA52" w14:textId="77777777" w:rsidR="003754FE" w:rsidRDefault="003754FE" w:rsidP="003754FE">
      <w:pPr>
        <w:pStyle w:val="TextoNormal"/>
      </w:pPr>
      <w:r>
        <w:t>(ii)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 y</w:t>
      </w:r>
    </w:p>
    <w:p w14:paraId="67EFF876" w14:textId="77777777" w:rsidR="003754FE" w:rsidRDefault="003754FE" w:rsidP="003754FE">
      <w:pPr>
        <w:pStyle w:val="TextoNormal"/>
      </w:pPr>
    </w:p>
    <w:p w14:paraId="4D32D76E" w14:textId="77777777" w:rsidR="003754FE" w:rsidRDefault="003754FE" w:rsidP="003754FE">
      <w:pPr>
        <w:pStyle w:val="TextoNormal"/>
      </w:pPr>
      <w:r>
        <w:t>(iii) que se destinasen fondos del programa 31L a fines distintos y ajenos a los recogidos para este en los correspondientes presupuestos.</w:t>
      </w:r>
    </w:p>
    <w:p w14:paraId="60619FC3" w14:textId="77777777" w:rsidR="003754FE" w:rsidRDefault="003754FE" w:rsidP="003754FE">
      <w:pPr>
        <w:pStyle w:val="TextoNormal"/>
      </w:pPr>
    </w:p>
    <w:p w14:paraId="189180F9" w14:textId="77777777" w:rsidR="003754FE" w:rsidRDefault="003754FE" w:rsidP="003754FE">
      <w:pPr>
        <w:pStyle w:val="TextoNormal"/>
      </w:pPr>
      <w:r>
        <w:t>2.2</w:t>
      </w:r>
      <w:r w:rsidRPr="003754FE">
        <w:rPr>
          <w:i/>
        </w:rPr>
        <w:t>. La “pieza específica” y las demás piezas del proceso “ER</w:t>
      </w:r>
      <w:r>
        <w:t>E”</w:t>
      </w:r>
    </w:p>
    <w:p w14:paraId="1E013FB5" w14:textId="77777777" w:rsidR="003754FE" w:rsidRDefault="003754FE" w:rsidP="003754FE">
      <w:pPr>
        <w:pStyle w:val="TextoNormal"/>
      </w:pPr>
    </w:p>
    <w:p w14:paraId="2BA9CC1C" w14:textId="77777777" w:rsidR="003754FE" w:rsidRDefault="003754FE" w:rsidP="003754FE">
      <w:pPr>
        <w:pStyle w:val="TextoNormal"/>
      </w:pPr>
      <w:r>
        <w:t>La causa matriz de los “ERE” se desgajó en una primera pieza denominada “pieza específica” y, en lo que aquí interesa, en un número no inferior a otras 200 piezas, que tienen por objeto las ayudas individuales concedidas a empresas o determinados grupos de empresas.</w:t>
      </w:r>
    </w:p>
    <w:p w14:paraId="4C9E132C" w14:textId="77777777" w:rsidR="003754FE" w:rsidRDefault="003754FE" w:rsidP="003754FE">
      <w:pPr>
        <w:pStyle w:val="TextoNormal"/>
      </w:pPr>
    </w:p>
    <w:p w14:paraId="6247A45C" w14:textId="77777777" w:rsidR="003754FE" w:rsidRDefault="003754FE" w:rsidP="003754FE">
      <w:pPr>
        <w:pStyle w:val="TextoNormal"/>
      </w:pPr>
      <w:r>
        <w:t xml:space="preserve">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w:t>
      </w:r>
      <w:r>
        <w:lastRenderedPageBreak/>
        <w:t>que incluye a todas aquellas personas que de forma activa y consciente participaron en la gestión, concesión de las ayudas desde todos los ámbitos administrativos o privados, o se beneficiaron ilícitamente de las mismas”.</w:t>
      </w:r>
    </w:p>
    <w:p w14:paraId="5488BD25" w14:textId="77777777" w:rsidR="003754FE" w:rsidRDefault="003754FE" w:rsidP="003754FE">
      <w:pPr>
        <w:pStyle w:val="TextoNormal"/>
      </w:pPr>
    </w:p>
    <w:p w14:paraId="7C6EE323" w14:textId="77777777" w:rsidR="003754FE" w:rsidRDefault="003754FE" w:rsidP="003754FE">
      <w:pPr>
        <w:pStyle w:val="TextoNormal"/>
      </w:pPr>
      <w:r>
        <w:t>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3.4; págs. 122-133).</w:t>
      </w:r>
    </w:p>
    <w:p w14:paraId="1432E41E" w14:textId="77777777" w:rsidR="003754FE" w:rsidRDefault="003754FE" w:rsidP="003754FE">
      <w:pPr>
        <w:pStyle w:val="TextoNormal"/>
      </w:pPr>
    </w:p>
    <w:p w14:paraId="09CCEE81" w14:textId="77777777" w:rsidR="003754FE" w:rsidRDefault="003754FE" w:rsidP="003754FE">
      <w:pPr>
        <w:pStyle w:val="TextoNormal"/>
      </w:pPr>
      <w:r>
        <w:t>2.3</w:t>
      </w:r>
      <w:r w:rsidRPr="003754FE">
        <w:rPr>
          <w:i/>
        </w:rPr>
        <w:t>. Hechos enjuiciados en la “pieza específic</w:t>
      </w:r>
      <w:r>
        <w:t>a”</w:t>
      </w:r>
    </w:p>
    <w:p w14:paraId="487DCAC6" w14:textId="77777777" w:rsidR="003754FE" w:rsidRDefault="003754FE" w:rsidP="003754FE">
      <w:pPr>
        <w:pStyle w:val="TextoNormal"/>
      </w:pPr>
    </w:p>
    <w:p w14:paraId="5E08D6EE" w14:textId="77777777" w:rsidR="003754FE" w:rsidRDefault="003754FE" w:rsidP="003754FE">
      <w:pPr>
        <w:pStyle w:val="TextoNormal"/>
      </w:pPr>
      <w:r>
        <w:t>Los hechos enjuiciados en la “pieza específica” se delimitan material y cronológicamente en el fundamento de Derecho 3.4 (págs. 135-137) de la sentencia del Tribunal Supremo en estos términos:</w:t>
      </w:r>
    </w:p>
    <w:p w14:paraId="3549A99E" w14:textId="77777777" w:rsidR="003754FE" w:rsidRDefault="003754FE" w:rsidP="003754FE">
      <w:pPr>
        <w:pStyle w:val="TextoNormal"/>
      </w:pPr>
    </w:p>
    <w:p w14:paraId="7BA83096" w14:textId="77777777" w:rsidR="003754FE" w:rsidRDefault="003754FE" w:rsidP="003754FE">
      <w:pPr>
        <w:pStyle w:val="TextoNormal"/>
      </w:pPr>
      <w:r>
        <w:t>“(i) Temporalmente los hechos enjuiciados en esta causa son los acontecidos entre la elaboración de la primera modificación presupuestaria, cuya aprobación data del 18 de abril de 2000 y la aprobación de la última modificación presupuestaria que se produjo el 1 de diciembre de 2009, por lo que cualquier hecho ocurrido fuera de esos márgenes temporales no ha sido objeto de enjuiciamiento en este proceso.</w:t>
      </w:r>
    </w:p>
    <w:p w14:paraId="4C0F32B8" w14:textId="77777777" w:rsidR="003754FE" w:rsidRDefault="003754FE" w:rsidP="003754FE">
      <w:pPr>
        <w:pStyle w:val="TextoNormal"/>
      </w:pPr>
    </w:p>
    <w:p w14:paraId="39966824" w14:textId="77777777" w:rsidR="003754FE" w:rsidRDefault="003754FE" w:rsidP="003754FE">
      <w:pPr>
        <w:pStyle w:val="TextoNormal"/>
      </w:pPr>
      <w:r>
        <w:t>(ii) En relación con el delito de prevaricación las personas enjuiciadas y que han resultado condenadas lo han sido por adoptar las siguientes resoluciones:</w:t>
      </w:r>
    </w:p>
    <w:p w14:paraId="7CF8D8AA" w14:textId="77777777" w:rsidR="003754FE" w:rsidRDefault="003754FE" w:rsidP="003754FE">
      <w:pPr>
        <w:pStyle w:val="TextoNormal"/>
      </w:pPr>
    </w:p>
    <w:p w14:paraId="04CC46A7" w14:textId="77777777" w:rsidR="003754FE" w:rsidRDefault="003754FE" w:rsidP="003754FE">
      <w:pPr>
        <w:pStyle w:val="TextoNormal"/>
      </w:pPr>
      <w:r>
        <w:t>-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14:paraId="61B2CB3F" w14:textId="77777777" w:rsidR="003754FE" w:rsidRDefault="003754FE" w:rsidP="003754FE">
      <w:pPr>
        <w:pStyle w:val="TextoNormal"/>
      </w:pPr>
    </w:p>
    <w:p w14:paraId="7D5339B3" w14:textId="77777777" w:rsidR="003754FE" w:rsidRDefault="003754FE" w:rsidP="003754FE">
      <w:pPr>
        <w:pStyle w:val="TextoNormal"/>
      </w:pPr>
      <w:r>
        <w:lastRenderedPageBreak/>
        <w:t>-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14:paraId="418E02B2" w14:textId="77777777" w:rsidR="003754FE" w:rsidRDefault="003754FE" w:rsidP="003754FE">
      <w:pPr>
        <w:pStyle w:val="TextoNormal"/>
      </w:pPr>
    </w:p>
    <w:p w14:paraId="7C8EE25A" w14:textId="77777777" w:rsidR="003754FE" w:rsidRDefault="003754FE" w:rsidP="003754FE">
      <w:pPr>
        <w:pStyle w:val="TextoNormal"/>
      </w:pPr>
      <w:r>
        <w:t>-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14:paraId="49B881DF" w14:textId="77777777" w:rsidR="003754FE" w:rsidRDefault="003754FE" w:rsidP="003754FE">
      <w:pPr>
        <w:pStyle w:val="TextoNormal"/>
      </w:pPr>
    </w:p>
    <w:p w14:paraId="7CE3B02B" w14:textId="77777777" w:rsidR="003754FE" w:rsidRDefault="003754FE" w:rsidP="003754FE">
      <w:pPr>
        <w:pStyle w:val="TextoNormal"/>
      </w:pPr>
      <w:r>
        <w:t>-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14:paraId="4BA66E2D" w14:textId="77777777" w:rsidR="003754FE" w:rsidRDefault="003754FE" w:rsidP="003754FE">
      <w:pPr>
        <w:pStyle w:val="TextoNormal"/>
      </w:pPr>
    </w:p>
    <w:p w14:paraId="497154F3" w14:textId="77777777" w:rsidR="003754FE" w:rsidRDefault="003754FE" w:rsidP="003754FE">
      <w:pPr>
        <w:pStyle w:val="TextoNormal"/>
      </w:pPr>
      <w:r>
        <w:t>- Fraccionamiento de las cuantías de las ayudas a partir del 27 de mayo de 2003 en función de las cantidades asignadas a cada trabajador y no de las cantidades asignadas a las empresas, todo ello para sustraer su conocimiento del consejo rector del IFA.</w:t>
      </w:r>
    </w:p>
    <w:p w14:paraId="4BBAC7D5" w14:textId="77777777" w:rsidR="003754FE" w:rsidRDefault="003754FE" w:rsidP="003754FE">
      <w:pPr>
        <w:pStyle w:val="TextoNormal"/>
      </w:pPr>
    </w:p>
    <w:p w14:paraId="4A2C7BA6" w14:textId="77777777" w:rsidR="003754FE" w:rsidRDefault="003754FE" w:rsidP="003754FE">
      <w:pPr>
        <w:pStyle w:val="TextoNormal"/>
      </w:pPr>
      <w:r>
        <w:t>-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14:paraId="6A3B40D1" w14:textId="77777777" w:rsidR="003754FE" w:rsidRDefault="003754FE" w:rsidP="003754FE">
      <w:pPr>
        <w:pStyle w:val="TextoNormal"/>
      </w:pPr>
    </w:p>
    <w:p w14:paraId="78F072BE" w14:textId="77777777" w:rsidR="003754FE" w:rsidRDefault="003754FE" w:rsidP="003754FE">
      <w:pPr>
        <w:pStyle w:val="TextoNormal"/>
      </w:pPr>
      <w:r>
        <w:t>- Concesión de las ayudas sociolaborales.</w:t>
      </w:r>
    </w:p>
    <w:p w14:paraId="25F39222" w14:textId="77777777" w:rsidR="003754FE" w:rsidRDefault="003754FE" w:rsidP="003754FE">
      <w:pPr>
        <w:pStyle w:val="TextoNormal"/>
      </w:pPr>
    </w:p>
    <w:p w14:paraId="5CB64DE1" w14:textId="77777777" w:rsidR="003754FE" w:rsidRDefault="003754FE" w:rsidP="003754FE">
      <w:pPr>
        <w:pStyle w:val="TextoNormal"/>
      </w:pPr>
      <w:r>
        <w:t>(iii) En relación con el delito de malversación de caudales públicos las personas enjuiciadas en este proceso y condenadas por este delito lo han sido bien por su participación directa en la disposición de fondos, bien por haber permitido esa disposición.</w:t>
      </w:r>
    </w:p>
    <w:p w14:paraId="3C917EC7" w14:textId="77777777" w:rsidR="003754FE" w:rsidRDefault="003754FE" w:rsidP="003754FE">
      <w:pPr>
        <w:pStyle w:val="TextoNormal"/>
      </w:pPr>
    </w:p>
    <w:p w14:paraId="661E746A" w14:textId="77777777" w:rsidR="003754FE" w:rsidRDefault="003754FE" w:rsidP="003754FE">
      <w:pPr>
        <w:pStyle w:val="TextoNormal"/>
      </w:pPr>
      <w:r>
        <w:t>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14:paraId="71FBFA17" w14:textId="77777777" w:rsidR="003754FE" w:rsidRDefault="003754FE" w:rsidP="003754FE">
      <w:pPr>
        <w:pStyle w:val="TextoNormal"/>
      </w:pPr>
    </w:p>
    <w:p w14:paraId="529DEE5A" w14:textId="77777777" w:rsidR="003754FE" w:rsidRDefault="003754FE" w:rsidP="003754FE">
      <w:pPr>
        <w:pStyle w:val="TextoNormal"/>
      </w:pPr>
      <w:r>
        <w:t>Entendemos que la condena por malversación incluye respecto de cada condenado a todas las disposiciones de fondos públicos realizadas durante el tiempo en que cada uno de ellos ejerció su cargo.</w:t>
      </w:r>
    </w:p>
    <w:p w14:paraId="64FE7782" w14:textId="77777777" w:rsidR="003754FE" w:rsidRDefault="003754FE" w:rsidP="003754FE">
      <w:pPr>
        <w:pStyle w:val="TextoNormal"/>
      </w:pPr>
    </w:p>
    <w:p w14:paraId="2AFC4F28" w14:textId="77777777" w:rsidR="003754FE" w:rsidRDefault="003754FE" w:rsidP="003754FE">
      <w:pPr>
        <w:pStyle w:val="TextoNormal"/>
      </w:pPr>
      <w:r>
        <w:t xml:space="preserve">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vigésimo segundo de la sentencia de instancia en el que, al concretar las disposiciones de fondos públicos realizadas y </w:t>
      </w:r>
      <w:r>
        <w:lastRenderedPageBreak/>
        <w:t>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14:paraId="2FDEA1D2" w14:textId="77777777" w:rsidR="003754FE" w:rsidRDefault="003754FE" w:rsidP="003754FE">
      <w:pPr>
        <w:pStyle w:val="TextoNormal"/>
      </w:pPr>
    </w:p>
    <w:p w14:paraId="562B017F" w14:textId="77777777" w:rsidR="003754FE" w:rsidRDefault="003754FE" w:rsidP="003754FE">
      <w:pPr>
        <w:pStyle w:val="TextoNormal"/>
      </w:pPr>
      <w:r>
        <w:t>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14:paraId="57299471" w14:textId="77777777" w:rsidR="003754FE" w:rsidRDefault="003754FE" w:rsidP="003754FE">
      <w:pPr>
        <w:pStyle w:val="TextoNormal"/>
      </w:pPr>
    </w:p>
    <w:p w14:paraId="6E325D27" w14:textId="77777777" w:rsidR="003754FE" w:rsidRDefault="003754FE" w:rsidP="003754FE">
      <w:pPr>
        <w:pStyle w:val="TextoNormal"/>
      </w:pPr>
      <w:r>
        <w:t>Este último subapartado C) resulta del siguiente tenor:</w:t>
      </w:r>
    </w:p>
    <w:p w14:paraId="53689492" w14:textId="77777777" w:rsidR="003754FE" w:rsidRDefault="003754FE" w:rsidP="003754FE">
      <w:pPr>
        <w:pStyle w:val="TextoNormal"/>
      </w:pPr>
    </w:p>
    <w:p w14:paraId="502103F7" w14:textId="77777777" w:rsidR="003754FE" w:rsidRDefault="003754FE" w:rsidP="003754FE">
      <w:pPr>
        <w:pStyle w:val="TextoNormal"/>
      </w:pPr>
      <w:r>
        <w:t>“C) Los fondos del programa 31L se emplearon también en fines distintos y ajenos a los recogidos en las fichas presupuestarias del mismo, así podemos reseñar que se abonó:</w:t>
      </w:r>
    </w:p>
    <w:p w14:paraId="6B7D9C32" w14:textId="77777777" w:rsidR="003754FE" w:rsidRDefault="003754FE" w:rsidP="003754FE">
      <w:pPr>
        <w:pStyle w:val="TextoNormal"/>
      </w:pPr>
    </w:p>
    <w:p w14:paraId="5505EE47" w14:textId="77777777" w:rsidR="003754FE" w:rsidRDefault="003754FE" w:rsidP="003754FE">
      <w:pPr>
        <w:pStyle w:val="TextoNormal"/>
      </w:pPr>
      <w:r>
        <w:t>• Facturas emitidas por las mercantiles TAPSA y CICM, derivadas de varios contratos de campañas de comunicación sobre fomento de empleo y divulgación del SAE [Servicio Andaluz de Empleo], por un total de 3 386 017,00 €, que fueron abonadas por el Instituto, en el periodo 15 de julio de 2003 a 2 de marzo de 2004.</w:t>
      </w:r>
    </w:p>
    <w:p w14:paraId="256B2194" w14:textId="77777777" w:rsidR="003754FE" w:rsidRDefault="003754FE" w:rsidP="003754FE">
      <w:pPr>
        <w:pStyle w:val="TextoNormal"/>
      </w:pPr>
    </w:p>
    <w:p w14:paraId="480E485D" w14:textId="77777777" w:rsidR="003754FE" w:rsidRDefault="003754FE" w:rsidP="003754FE">
      <w:pPr>
        <w:pStyle w:val="TextoNormal"/>
      </w:pPr>
      <w:r>
        <w:t>•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14:paraId="46EE77F3" w14:textId="77777777" w:rsidR="003754FE" w:rsidRDefault="003754FE" w:rsidP="003754FE">
      <w:pPr>
        <w:pStyle w:val="TextoNormal"/>
      </w:pPr>
    </w:p>
    <w:p w14:paraId="4200A20C" w14:textId="77777777" w:rsidR="003754FE" w:rsidRDefault="003754FE" w:rsidP="003754FE">
      <w:pPr>
        <w:pStyle w:val="TextoNormal"/>
      </w:pPr>
      <w:r>
        <w:t>•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w:t>
      </w:r>
      <w:r w:rsidRPr="003754FE">
        <w:rPr>
          <w:i/>
        </w:rPr>
        <w:t>s on li</w:t>
      </w:r>
      <w:r>
        <w:t>ne.</w:t>
      </w:r>
    </w:p>
    <w:p w14:paraId="455D481A" w14:textId="77777777" w:rsidR="003754FE" w:rsidRDefault="003754FE" w:rsidP="003754FE">
      <w:pPr>
        <w:pStyle w:val="TextoNormal"/>
      </w:pPr>
    </w:p>
    <w:p w14:paraId="08DD9506" w14:textId="77777777" w:rsidR="003754FE" w:rsidRDefault="003754FE" w:rsidP="003754FE">
      <w:pPr>
        <w:pStyle w:val="TextoNormal"/>
      </w:pPr>
      <w:r>
        <w:t>•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14:paraId="2EB00F36" w14:textId="77777777" w:rsidR="003754FE" w:rsidRDefault="003754FE" w:rsidP="003754FE">
      <w:pPr>
        <w:pStyle w:val="TextoNormal"/>
      </w:pPr>
    </w:p>
    <w:p w14:paraId="0D23D34F" w14:textId="77777777" w:rsidR="003754FE" w:rsidRDefault="003754FE" w:rsidP="003754FE">
      <w:pPr>
        <w:pStyle w:val="TextoNormal"/>
      </w:pPr>
      <w:r>
        <w:lastRenderedPageBreak/>
        <w:t>•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14:paraId="47674845" w14:textId="77777777" w:rsidR="003754FE" w:rsidRDefault="003754FE" w:rsidP="003754FE">
      <w:pPr>
        <w:pStyle w:val="TextoNormal"/>
      </w:pPr>
    </w:p>
    <w:p w14:paraId="558A5E55" w14:textId="77777777" w:rsidR="003754FE" w:rsidRDefault="003754FE" w:rsidP="003754FE">
      <w:pPr>
        <w:pStyle w:val="TextoNormal"/>
      </w:pPr>
      <w:r>
        <w:t>•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14:paraId="34DE1834" w14:textId="77777777" w:rsidR="003754FE" w:rsidRDefault="003754FE" w:rsidP="003754FE">
      <w:pPr>
        <w:pStyle w:val="TextoNormal"/>
      </w:pPr>
    </w:p>
    <w:p w14:paraId="0F1B924B" w14:textId="77777777" w:rsidR="003754FE" w:rsidRDefault="003754FE" w:rsidP="003754FE">
      <w:pPr>
        <w:pStyle w:val="TextoNormal"/>
      </w:pPr>
      <w:r>
        <w:t>• En los ejercicios 2004, 2005, 2006, 2009 y 2010, se destinaron 1 192 000 € para el pago a la Fundación San Telmo, del ‘Curso de alta dirección de instituciones sociales’, para un total de cien personas”.</w:t>
      </w:r>
    </w:p>
    <w:p w14:paraId="23F91341" w14:textId="77777777" w:rsidR="003754FE" w:rsidRDefault="003754FE" w:rsidP="003754FE">
      <w:pPr>
        <w:pStyle w:val="TextoNormal"/>
      </w:pPr>
    </w:p>
    <w:p w14:paraId="18DE7623" w14:textId="77777777" w:rsidR="003754FE" w:rsidRDefault="003754FE" w:rsidP="003754FE">
      <w:pPr>
        <w:pStyle w:val="TextoNormal"/>
      </w:pPr>
      <w:r>
        <w:t>2.4</w:t>
      </w:r>
      <w:r w:rsidRPr="003754FE">
        <w:rPr>
          <w:i/>
        </w:rPr>
        <w:t>. Hechos por los que ha sido condenado el demandante de ampa</w:t>
      </w:r>
      <w:r>
        <w:t>ro</w:t>
      </w:r>
    </w:p>
    <w:p w14:paraId="6B41B775" w14:textId="77777777" w:rsidR="003754FE" w:rsidRDefault="003754FE" w:rsidP="003754FE">
      <w:pPr>
        <w:pStyle w:val="TextoNormal"/>
      </w:pPr>
    </w:p>
    <w:p w14:paraId="50E53FBF" w14:textId="77777777" w:rsidR="003754FE" w:rsidRDefault="003754FE" w:rsidP="003754FE">
      <w:pPr>
        <w:pStyle w:val="TextoNormal"/>
      </w:pPr>
      <w:r>
        <w:t>Del relato de hechos probados de la sentencia de la Audiencia Provincial de Sevilla y de los fundamentos de Derecho 34 y 49 de esta resolución se deduce el fundamento fáctico en el que se sustenta la condena del recurrente.</w:t>
      </w:r>
    </w:p>
    <w:p w14:paraId="67CB95A7" w14:textId="77777777" w:rsidR="003754FE" w:rsidRDefault="003754FE" w:rsidP="003754FE">
      <w:pPr>
        <w:pStyle w:val="TextoNormal"/>
      </w:pPr>
    </w:p>
    <w:p w14:paraId="479925A2" w14:textId="77777777" w:rsidR="003754FE" w:rsidRDefault="003754FE" w:rsidP="003754FE">
      <w:pPr>
        <w:pStyle w:val="TextoNormal"/>
      </w:pPr>
      <w:r>
        <w:t>Don Francisco Vallejo Serrano fue consejero de Innovación, Ciencia y Empresa desde el 25 de abril de 2004 hasta el 24 de abril de 2009. Como titular de este cargo le correspondía la presidencia del IFA, posteriormente IDEA. Los hechos por los que ha sido condenado son los que a continuación se exponen:</w:t>
      </w:r>
    </w:p>
    <w:p w14:paraId="5F79C7DF" w14:textId="77777777" w:rsidR="003754FE" w:rsidRDefault="003754FE" w:rsidP="003754FE">
      <w:pPr>
        <w:pStyle w:val="TextoNormal"/>
      </w:pPr>
    </w:p>
    <w:p w14:paraId="79BBC139" w14:textId="77777777" w:rsidR="003754FE" w:rsidRDefault="003754FE" w:rsidP="003754FE">
      <w:pPr>
        <w:pStyle w:val="TextoNormal"/>
      </w:pPr>
      <w:r>
        <w:t>A) En su condición de miembro del Consejo de Gobierno participó:</w:t>
      </w:r>
    </w:p>
    <w:p w14:paraId="542FF55C" w14:textId="77777777" w:rsidR="003754FE" w:rsidRDefault="003754FE" w:rsidP="003754FE">
      <w:pPr>
        <w:pStyle w:val="TextoNormal"/>
      </w:pPr>
    </w:p>
    <w:p w14:paraId="332E1F25" w14:textId="77777777" w:rsidR="003754FE" w:rsidRDefault="003754FE" w:rsidP="003754FE">
      <w:pPr>
        <w:pStyle w:val="TextoNormal"/>
      </w:pPr>
      <w:r>
        <w:t>a) En la aprobación de los proyectos de las leyes de presupuestos de la comunidad autónoma de Andalucía para los ejercicios de 2005, 2006, 2007, 2008 y 2009.</w:t>
      </w:r>
    </w:p>
    <w:p w14:paraId="06512130" w14:textId="77777777" w:rsidR="003754FE" w:rsidRDefault="003754FE" w:rsidP="003754FE">
      <w:pPr>
        <w:pStyle w:val="TextoNormal"/>
      </w:pPr>
    </w:p>
    <w:p w14:paraId="41432E0C" w14:textId="77777777" w:rsidR="003754FE" w:rsidRDefault="003754FE" w:rsidP="003754FE">
      <w:pPr>
        <w:pStyle w:val="TextoNormal"/>
      </w:pPr>
      <w:r>
        <w:t>b) En la aprobación de modificaciones presupuestarias por las que se incrementaba el programa 31L en la aplicación presupuestaria 440.51 o 740.51. Estas modificaciones presupuestarias fueron aprobadas por el Consejo de Gobierno el 7 de diciembre de 2005, por importe de 799 895,97 €; el 7 de noviembre de 2006, por importe de 9 300 000 €; el 27 de noviembre de 2007, por importe de 7 448 503,44 €; el 22 de diciembre de 2008 aprobó tres modificaciones presupuestarias: una por importe de 1 253 853,89 €, otra por importe de 6 011 836, 20 € y la tercera por importe de 8 000 000 €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 y Desarrollo Tecnológico).</w:t>
      </w:r>
    </w:p>
    <w:p w14:paraId="42757C95" w14:textId="77777777" w:rsidR="003754FE" w:rsidRDefault="003754FE" w:rsidP="003754FE">
      <w:pPr>
        <w:pStyle w:val="TextoNormal"/>
      </w:pPr>
    </w:p>
    <w:p w14:paraId="00D67A10" w14:textId="77777777" w:rsidR="003754FE" w:rsidRDefault="003754FE" w:rsidP="003754FE">
      <w:pPr>
        <w:pStyle w:val="TextoNormal"/>
      </w:pPr>
      <w:r>
        <w:t xml:space="preserve">c) En la modificación presupuestaria aprobada por el Consejo de Gobierno el 9 de diciembre de 2004 que incrementó el programa 32H (“Dirección y servicios generales del </w:t>
      </w:r>
      <w:r>
        <w:lastRenderedPageBreak/>
        <w:t>Servicio Andaluz de Empleo”) por importe de 2 994 876 €. Se considera probado que el importe de esta modificación presupuestaria se destinó al pago de las ayudas del programa 31L.</w:t>
      </w:r>
    </w:p>
    <w:p w14:paraId="34F559B8" w14:textId="77777777" w:rsidR="003754FE" w:rsidRDefault="003754FE" w:rsidP="003754FE">
      <w:pPr>
        <w:pStyle w:val="TextoNormal"/>
      </w:pPr>
    </w:p>
    <w:p w14:paraId="70A08686" w14:textId="77777777" w:rsidR="003754FE" w:rsidRDefault="003754FE" w:rsidP="003754FE">
      <w:pPr>
        <w:pStyle w:val="TextoNormal"/>
      </w:pPr>
      <w:r>
        <w:t>B) Como presidente del IFA/IDEA permitió que se continuara realizando el pago de las ayudas sociolaborales concedidas por la Dirección General de Trabajo y Seguridad Social. La sentencia de la Audiencia provincial de Sevilla sostiene que una vez que IFA/IDEA recibía fondos de la Consejería de Empleo y Desarrollo Tecnológico, vía transferencia de financiación, los destinaba al pago de las subvenciones que esta le ordenaba. Afirma también que tales pagos habían eludido la fiscalización previa.</w:t>
      </w:r>
    </w:p>
    <w:p w14:paraId="46791402" w14:textId="77777777" w:rsidR="003754FE" w:rsidRDefault="003754FE" w:rsidP="003754FE">
      <w:pPr>
        <w:pStyle w:val="TextoNormal"/>
      </w:pPr>
    </w:p>
    <w:p w14:paraId="38E2FC1A" w14:textId="77777777" w:rsidR="003754FE" w:rsidRDefault="003754FE" w:rsidP="003754FE">
      <w:pPr>
        <w:pStyle w:val="TextoNormal"/>
      </w:pPr>
      <w:r>
        <w:t>C) Como presidente del consejo rector del IFA/IDEA no se opuso a la firma de convenios suscritos por la Dirección General de Trabajo y Seguridad Social a pesar de que el convenio marco no estaba en vigor. La sentencia de instancia considera que debía de haberse opuesto a la firma de esos convenios porque la vigencia del acuerdo marco, según lo establecido en su estipulación cuarta, terminaba el 31 de diciembre de 2003.</w:t>
      </w:r>
    </w:p>
    <w:p w14:paraId="2D3B732B" w14:textId="77777777" w:rsidR="003754FE" w:rsidRDefault="003754FE" w:rsidP="003754FE">
      <w:pPr>
        <w:pStyle w:val="TextoNormal"/>
      </w:pPr>
    </w:p>
    <w:p w14:paraId="53BB9DE5" w14:textId="77777777" w:rsidR="003754FE" w:rsidRDefault="003754FE" w:rsidP="003754FE">
      <w:pPr>
        <w:pStyle w:val="TextoNormal"/>
      </w:pPr>
      <w:r>
        <w:t>D) Como presidente del IFA/IDEA intervino en las sesiones del consejo rector autorizando la firma de convenios particulares al director general.</w:t>
      </w:r>
    </w:p>
    <w:p w14:paraId="618D4B46" w14:textId="77777777" w:rsidR="003754FE" w:rsidRDefault="003754FE" w:rsidP="003754FE">
      <w:pPr>
        <w:pStyle w:val="TextoNormal"/>
      </w:pPr>
    </w:p>
    <w:p w14:paraId="6F3E60F1" w14:textId="784B4468" w:rsidR="003754FE" w:rsidRDefault="003754FE" w:rsidP="003754FE">
      <w:pPr>
        <w:pStyle w:val="TextoNormal"/>
      </w:pPr>
      <w:r>
        <w:t xml:space="preserve">E) Las anteriores actuaciones del recurrente de amparo, unidas a las realizadas por el resto de los condenados, permitieron que en los referidos ejercicios (más ampliamente, </w:t>
      </w:r>
      <w:r w:rsidRPr="003754FE">
        <w:rPr>
          <w:i/>
        </w:rPr>
        <w:t>vid. supra</w:t>
      </w:r>
      <w:r>
        <w:t xml:space="preserve"> fundamento jurídico 2.1 </w:t>
      </w:r>
      <w:r w:rsidRPr="003754FE">
        <w:rPr>
          <w:i/>
        </w:rPr>
        <w:t>in fine</w:t>
      </w:r>
      <w:r>
        <w:t>): (i) se percibieran rentas de pólizas por personas que nunca habían pertenecido al colectivo afectado al que se destinaban las ayudas sociolaborales o siguieran percibiéndolas quienes ya se habían incorporado al mercado laboral; (ii) se otorgaran las ayudas a empresas en crisis para fines muy diversos, entre otros el pago de nóminas, minutas por asesoramientos jurídicos y avales; y (iii) se destinasen fondos del programa 31L a fines distintos y ajenos a los recogidos para este en los correspondientes presupuestos.</w:t>
      </w:r>
    </w:p>
    <w:p w14:paraId="73BFB1B3" w14:textId="77777777" w:rsidR="003754FE" w:rsidRDefault="003754FE" w:rsidP="003754FE">
      <w:pPr>
        <w:pStyle w:val="TextoNormal"/>
      </w:pPr>
    </w:p>
    <w:p w14:paraId="0E716EDE" w14:textId="77777777" w:rsidR="003754FE" w:rsidRDefault="003754FE" w:rsidP="003754FE">
      <w:pPr>
        <w:pStyle w:val="TextoNormal"/>
      </w:pPr>
      <w:r w:rsidRPr="003754FE">
        <w:rPr>
          <w:rStyle w:val="NumeroAFNegritaCaracter"/>
        </w:rPr>
        <w:t>3</w:t>
      </w:r>
      <w:r>
        <w:t xml:space="preserve">. </w:t>
      </w:r>
      <w:r w:rsidRPr="003754FE">
        <w:rPr>
          <w:i/>
        </w:rPr>
        <w:t>Vulneración del derecho al juez ordinario predeterminado por la ley (art. 24.2 CE)</w:t>
      </w:r>
    </w:p>
    <w:p w14:paraId="7691DF82" w14:textId="77777777" w:rsidR="003754FE" w:rsidRDefault="003754FE" w:rsidP="003754FE">
      <w:pPr>
        <w:pStyle w:val="TextoNormal"/>
      </w:pPr>
    </w:p>
    <w:p w14:paraId="70C4D165" w14:textId="77777777" w:rsidR="003754FE" w:rsidRDefault="003754FE" w:rsidP="003754FE">
      <w:pPr>
        <w:pStyle w:val="TextoNormal"/>
      </w:pPr>
      <w:r>
        <w:t xml:space="preserve">3.1. </w:t>
      </w:r>
      <w:r w:rsidRPr="003754FE">
        <w:rPr>
          <w:i/>
        </w:rPr>
        <w:t>Posiciones de las partes</w:t>
      </w:r>
    </w:p>
    <w:p w14:paraId="6900B93E" w14:textId="77777777" w:rsidR="003754FE" w:rsidRDefault="003754FE" w:rsidP="003754FE">
      <w:pPr>
        <w:pStyle w:val="TextoNormal"/>
      </w:pPr>
    </w:p>
    <w:p w14:paraId="710FA415" w14:textId="77777777" w:rsidR="003754FE" w:rsidRDefault="003754FE" w:rsidP="003754FE">
      <w:pPr>
        <w:pStyle w:val="TextoNormal"/>
      </w:pPr>
      <w:r>
        <w:t xml:space="preserve">El primer motivo de la demanda denuncia la vulneración del derecho al juez ordinario predeterminado por la ley fruto de la asunción de competencias por parte del magistrado de refuerzo para la finalización de la fase de instrucción y la fase intermedia de las diligencias previas núm. 6645-2015 incoada por auto de 17 de noviembre de 2015, que hasta ese momento conducía la magistrada titular del Juzgado de Instrucción núm. 6 de Sevilla y que concluyeron en la sentencia recurrida. Sostiene que, en virtud de la propuesta de reparto de 9 de diciembre de 2015, consensuada entre la magistrada titular y el magistrado comisionado, validada por el acuerdo de la Sala de Gobierno del Tribunal Superior de Justicia de Andalucía, Ceuta y Melilla de 14 de diciembre de 2015 y posteriormente por acuerdo de la Comisión Permanente del Consejo General del Poder Judicial de 21 de enero de 2016, se lleva a cabo una redistribución de competencias inmotivada, contraria a la ley (art. 216 </w:t>
      </w:r>
      <w:r w:rsidRPr="003754FE">
        <w:rPr>
          <w:i/>
        </w:rPr>
        <w:t>bis</w:t>
      </w:r>
      <w:r>
        <w:t xml:space="preserve">.2.4 LOPJ) y sin sujeción a ningún criterio previo definido. El recurrente aduce que tal medida lesiona su derecho al juez ordinario predeterminado por la ley, que conforme a la jurisprudencia constitucional no se limita a la determinación del órgano jurisdiccional que </w:t>
      </w:r>
      <w:r>
        <w:lastRenderedPageBreak/>
        <w:t>ha de conocer de un asunto, sino que atiende también a la persona sobre la que recae en concreto la función judicial.</w:t>
      </w:r>
    </w:p>
    <w:p w14:paraId="0276B70B" w14:textId="77777777" w:rsidR="003754FE" w:rsidRDefault="003754FE" w:rsidP="003754FE">
      <w:pPr>
        <w:pStyle w:val="TextoNormal"/>
      </w:pPr>
    </w:p>
    <w:p w14:paraId="7E3EF12E" w14:textId="77777777" w:rsidR="003754FE" w:rsidRDefault="003754FE" w:rsidP="003754FE">
      <w:pPr>
        <w:pStyle w:val="TextoNormal"/>
      </w:pPr>
      <w:r>
        <w:t>De las partes personadas, solo ha formulado alegaciones sobre la aducida vulneración el Partido Popular, que instó la desestimación del motivo con apoyo en los razonamientos del Tribunal Supremo, de los que expone una síntesis.</w:t>
      </w:r>
    </w:p>
    <w:p w14:paraId="4D8579B7" w14:textId="77777777" w:rsidR="003754FE" w:rsidRDefault="003754FE" w:rsidP="003754FE">
      <w:pPr>
        <w:pStyle w:val="TextoNormal"/>
      </w:pPr>
    </w:p>
    <w:p w14:paraId="6F862852" w14:textId="77777777" w:rsidR="003754FE" w:rsidRDefault="003754FE" w:rsidP="003754FE">
      <w:pPr>
        <w:pStyle w:val="TextoNormal"/>
      </w:pPr>
      <w:r>
        <w:t>En su escrito, el fiscal rechazó asimismo la lesión del derecho en tanto la incorporación del juez de refuerzo se había efectuado mucho antes (en el año 2013) de que el órgano judicial competente (el Juzgado de Instrucción núm. 6 de Sevilla) acordara por auto de 9 de noviembre de 2015 el desglose de la causa en distintas piezas separadas, una de la cuales se incoó el 17 de noviembre de 2015 como diligencias previas núm. 6645-2015, y la razón del refuerzo era el apoyo en la instrucción de las causas en tramitación, que lógicamente se incluyeron después en el acuerdo de distribución de asuntos.</w:t>
      </w:r>
    </w:p>
    <w:p w14:paraId="250DB1F1" w14:textId="77777777" w:rsidR="003754FE" w:rsidRDefault="003754FE" w:rsidP="003754FE">
      <w:pPr>
        <w:pStyle w:val="TextoNormal"/>
      </w:pPr>
    </w:p>
    <w:p w14:paraId="7E3C98B4" w14:textId="77777777" w:rsidR="003754FE" w:rsidRDefault="003754FE" w:rsidP="003754FE">
      <w:pPr>
        <w:pStyle w:val="TextoNormal"/>
      </w:pPr>
      <w:r>
        <w:t xml:space="preserve">3.2. </w:t>
      </w:r>
      <w:r w:rsidRPr="003754FE">
        <w:rPr>
          <w:i/>
        </w:rPr>
        <w:t>Respuesta de los órganos judiciales</w:t>
      </w:r>
    </w:p>
    <w:p w14:paraId="26202BEF" w14:textId="77777777" w:rsidR="003754FE" w:rsidRDefault="003754FE" w:rsidP="003754FE">
      <w:pPr>
        <w:pStyle w:val="TextoNormal"/>
      </w:pPr>
    </w:p>
    <w:p w14:paraId="600EAFE2" w14:textId="77777777" w:rsidR="003754FE" w:rsidRDefault="003754FE" w:rsidP="003754FE">
      <w:pPr>
        <w:pStyle w:val="TextoNormal"/>
      </w:pPr>
      <w:r>
        <w:t xml:space="preserve">La sentencia de la Audiencia Provincial transcribe en el fundamento de Derecho primero los razonamientos del auto de 9 de febrero de 2018 que resolvió las distintas cuestiones previas, entre las que se hallaba la vulneración del derecho al juez ordinario predeterminado por la ley imputada a la designación del juez de refuerzo como instructor de las diligencias previas correspondientes al procedimiento específico. La sala, a partir de un detallado relato sobre las vicisitudes del nombramiento del juez de refuerzo, concluye que “no se ha designado ningún juez </w:t>
      </w:r>
      <w:r w:rsidRPr="003754FE">
        <w:rPr>
          <w:i/>
        </w:rPr>
        <w:t>ad hoc</w:t>
      </w:r>
      <w:r>
        <w:t xml:space="preserve"> para tramitar una causa ya iniciada, sino que se ha procedido con arreglo a la estricta legalidad y atendiendo a las evidentes necesidades derivadas del retraso que se había originado por la acumulación de asuntos de una gran envergadura en un solo juzgado y en un solo juez”.</w:t>
      </w:r>
    </w:p>
    <w:p w14:paraId="42A29C75" w14:textId="77777777" w:rsidR="003754FE" w:rsidRDefault="003754FE" w:rsidP="003754FE">
      <w:pPr>
        <w:pStyle w:val="TextoNormal"/>
      </w:pPr>
    </w:p>
    <w:p w14:paraId="775368CC" w14:textId="77777777" w:rsidR="003754FE" w:rsidRDefault="003754FE" w:rsidP="003754FE">
      <w:pPr>
        <w:pStyle w:val="TextoNormal"/>
      </w:pPr>
      <w:r>
        <w:t>También el Tribunal Supremo rechaza la vulneración del derecho fundamental al juez ordinario predeterminado por la ley que se denuncia en los recursos de tres de los condenados, entre los que se cuenta el demandante de amparo (fundamento de Derecho 2). Esa respuesta conjunta se asienta en la doctrina constitucional, con cita de la STC 110/2017, de 5 de octubre, con las sucesivas actuaciones de refuerzo operadas en el juzgado, todas ellas realizadas a petición de la magistrada titular, y la constatación de que las quejas se dirigen contra el procedimiento de distribución de funciones, sin cuestionar ni la adopción de la medida de refuerzo ni el nombramiento del magistrado de apoyo en cuestión.</w:t>
      </w:r>
    </w:p>
    <w:p w14:paraId="4B8A7B81" w14:textId="77777777" w:rsidR="003754FE" w:rsidRDefault="003754FE" w:rsidP="003754FE">
      <w:pPr>
        <w:pStyle w:val="TextoNormal"/>
      </w:pPr>
    </w:p>
    <w:p w14:paraId="641140A9" w14:textId="77777777" w:rsidR="003754FE" w:rsidRDefault="003754FE" w:rsidP="003754FE">
      <w:pPr>
        <w:pStyle w:val="TextoNormal"/>
      </w:pPr>
      <w:r>
        <w:t xml:space="preserve">Al respecto puntualiza la Sala Segunda que “la atribución de competencia viene determinada, no por normas de reparto o por disposiciones normativas específicas, sino por el acuerdo gubernativo correspondiente, en función del plan de trabajo acordado entre el juez titular y el juez comisionado”; plan que “tiene por objeto evitar que al titular del órgano se le pueda privar del conocimiento de asunto alguno de su competencia por orden del órgano gubernativo y se justifica también porque son los magistrados que van a gestionar el órgano judicial quienes mejor conocen la forma en que debe llevarse a cabo la distribución de funciones jurisdiccionales”. Sentado lo anterior, concluye que “la magistrada titular solicitó la medida de refuerzo y determinó, en función de las concretas circunstancias, el criterio de distribución más adecuado para una mejor gestión de los asuntos atribuidos al órgano judicial, por lo que ni hubo un nombramiento contrario a las normas establecidas en la Ley </w:t>
      </w:r>
      <w:r>
        <w:lastRenderedPageBreak/>
        <w:t xml:space="preserve">Orgánica del Poder Judicial, ni nombramiento de un juez </w:t>
      </w:r>
      <w:r w:rsidRPr="003754FE">
        <w:rPr>
          <w:i/>
        </w:rPr>
        <w:t>ad hoc</w:t>
      </w:r>
      <w:r>
        <w:t>, ni se le privó del conocimiento de asunto alguno de su competencia, de la magistrada titular, y por lo mismo, tampoco ha habido lesión del derecho al juez ordinario predeterminado por la ley”.</w:t>
      </w:r>
    </w:p>
    <w:p w14:paraId="31EBB745" w14:textId="77777777" w:rsidR="003754FE" w:rsidRDefault="003754FE" w:rsidP="003754FE">
      <w:pPr>
        <w:pStyle w:val="TextoNormal"/>
      </w:pPr>
    </w:p>
    <w:p w14:paraId="03C74A44" w14:textId="77777777" w:rsidR="003754FE" w:rsidRDefault="003754FE" w:rsidP="003754FE">
      <w:pPr>
        <w:pStyle w:val="TextoNormal"/>
      </w:pPr>
      <w:r>
        <w:t xml:space="preserve">Tampoco considera el Tribunal Supremo que la distribución de asuntos lesionara el art. 24.2 CE por haberse contravenido lo preceptuado en el art. 216 </w:t>
      </w:r>
      <w:r w:rsidRPr="003754FE">
        <w:rPr>
          <w:i/>
        </w:rPr>
        <w:t>bis</w:t>
      </w:r>
      <w:r>
        <w:t xml:space="preserve">.2.4 LOPJ. Sin perjuicio de la falta de claridad que aprecia en la normativa orgánica que regula las comisiones de servicio en la carrera judicial, de ella infiere que pueden concederse por múltiples circunstancias. Distingue así entre supuestos varios de sustitución del titular y los de necesidad de afrontar situaciones excepcionales, que a su vez pueden precisar o no un plan de actuación del juzgado, sin que del art. 216 </w:t>
      </w:r>
      <w:r w:rsidRPr="003754FE">
        <w:rPr>
          <w:i/>
        </w:rPr>
        <w:t>bis</w:t>
      </w:r>
      <w:r>
        <w:t xml:space="preserve">.2.4 LOPJ se siga que el juez de refuerzo solo pueda atender asuntos de nuevo ingreso, como habría puesto de manifiesto ya la Sala de lo Contencioso-Administrativo del Tribunal Supremo en una sentencia de 6 de noviembre de 2009. Por lo que respecta a la cuestión controvertida en el caso, considera que “la comisión de servicios se concedió por la concurrencia de una situación excepcional, la tramitación de una macro causa, lo que excluye la aplicación del artículo 216 </w:t>
      </w:r>
      <w:r w:rsidRPr="003754FE">
        <w:rPr>
          <w:i/>
        </w:rPr>
        <w:t>bis</w:t>
      </w:r>
      <w:r>
        <w:t>.2.4 LOPJ, invocado por los recurrentes, que no parecía exigir un plan de actualización del Juzgado, sino un criterio de distribución de la macro-causa que allí se instruía, y a tal fin se requirió a la magistrada titular y al magistrado comisionado para que presentaran un acuerdo de distribución de funciones que fue finalmente aprobado por el órgano gubernativo”, con el añadido de que el magistrado designado ya había intervenido como refuerzo en la instrucción de la causa. Añade que así se consideró respecto de un acuerdo posterior similar en la misma macrocausa por otra sentencia de la Sala de lo Contencioso-Administrativo, la núm. 1301/2021, de 2 de noviembre.</w:t>
      </w:r>
    </w:p>
    <w:p w14:paraId="28D8D30E" w14:textId="77777777" w:rsidR="003754FE" w:rsidRDefault="003754FE" w:rsidP="003754FE">
      <w:pPr>
        <w:pStyle w:val="TextoNormal"/>
      </w:pPr>
    </w:p>
    <w:p w14:paraId="383905AC" w14:textId="77777777" w:rsidR="003754FE" w:rsidRDefault="003754FE" w:rsidP="003754FE">
      <w:pPr>
        <w:pStyle w:val="TextoNormal"/>
      </w:pPr>
      <w:r>
        <w:t xml:space="preserve">3.3. </w:t>
      </w:r>
      <w:r w:rsidRPr="003754FE">
        <w:rPr>
          <w:i/>
        </w:rPr>
        <w:t>Doctrina constitucional</w:t>
      </w:r>
    </w:p>
    <w:p w14:paraId="28803B0E" w14:textId="77777777" w:rsidR="003754FE" w:rsidRDefault="003754FE" w:rsidP="003754FE">
      <w:pPr>
        <w:pStyle w:val="TextoNormal"/>
      </w:pPr>
    </w:p>
    <w:p w14:paraId="1B4970D8" w14:textId="77777777" w:rsidR="003754FE" w:rsidRDefault="003754FE" w:rsidP="003754FE">
      <w:pPr>
        <w:pStyle w:val="TextoNormal"/>
      </w:pPr>
      <w:r>
        <w:t>La jurisprudencia constitucional sobre el derecho alegado, últimamente expuesta con amplitud en las SSTC 34/2021, de 17 de febrero; 91/2021, de 22 de abril; 106/2021, de 11 de mayo; 121/2021 y 122/2021, de 2 de junio, o 184/2021, de 28 de octubre, y sintetizada en las SSTC 25/2022, de 23 de febrero, FJ 3, y 83/2022, de 27 de junio, FJ 8, ha considerado que el derecho al juez ordinario predeterminado por la ley, reconocido en el art. 24.2 CE, es una consecuencia necesaria del principio de división de poderes que se proyecta tanto sobre el órgano judicial como sobre sus integrantes.</w:t>
      </w:r>
    </w:p>
    <w:p w14:paraId="62381283" w14:textId="77777777" w:rsidR="003754FE" w:rsidRDefault="003754FE" w:rsidP="003754FE">
      <w:pPr>
        <w:pStyle w:val="TextoNormal"/>
      </w:pPr>
    </w:p>
    <w:p w14:paraId="652FEBA9" w14:textId="77777777" w:rsidR="003754FE" w:rsidRDefault="003754FE" w:rsidP="003754FE">
      <w:pPr>
        <w:pStyle w:val="TextoNormal"/>
      </w:pPr>
      <w:r>
        <w:t xml:space="preserve">Este derecho exige, de un lado,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w:t>
      </w:r>
      <w:r w:rsidRPr="003754FE">
        <w:rPr>
          <w:i/>
        </w:rPr>
        <w:t>ad hoc</w:t>
      </w:r>
      <w:r>
        <w:t xml:space="preserve">;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(STC 101/1984, de 8 de noviembre, FJ 4, y 199/1987, de 16 de diciembre, FJ 8). De otro lado, en relación con quienes integran el órgano judicial, el derecho alegado garantiza también que la composición del órgano judicial venga determinada por la ley y, además, que en cada caso concreto se siga el procedimiento legalmente establecido para la designación de los </w:t>
      </w:r>
      <w:r>
        <w:lastRenderedPageBreak/>
        <w:t>miembros que han de constituir el órgano correspondiente (SSTC 47/1983, de 31 de mayo, FJ 2, y 93/1988, de 24 de mayo, FJ 4).</w:t>
      </w:r>
    </w:p>
    <w:p w14:paraId="4B89E26A" w14:textId="77777777" w:rsidR="003754FE" w:rsidRDefault="003754FE" w:rsidP="003754FE">
      <w:pPr>
        <w:pStyle w:val="TextoNormal"/>
      </w:pPr>
    </w:p>
    <w:p w14:paraId="4F04C4B5" w14:textId="77777777" w:rsidR="003754FE" w:rsidRDefault="003754FE" w:rsidP="003754FE">
      <w:pPr>
        <w:pStyle w:val="TextoNormal"/>
      </w:pPr>
      <w:r>
        <w:t>A través de las referidas exigencias de predeterminación, que son fuente objetiva de legitimación de la función judicial, se trata de garantizar la independencia e imparcialidad de los órganos judiciales, lo que constituye el interés directo protegido por el derecho al juez ordinario legalmente predeterminado, proclamado también expresamente, aunque con distinta dicción, en el art. 14.1 del Pacto internacional de derechos civiles y políticos y en el art. 6.1 CEDH. No obstante, el Tribunal ha puntualizado que “no cabe exigir el mismo grado de fijeza y predeterminación al órgano que a sus titulares, dadas las diversas contingencias que pueden afectar a estos en su situación personal y la exigencia, dimanante del interés público —las llamadas ‘necesidades del servicio’—, de que los distintos miembros del Poder Judicial colaboren dentro de la administración de justicia en los lugares en que su labor pueda ser más eficaz, supliendo, en la medida de lo posible, las disfuncionalidades del sistema” (STC 152/2015, de 6 de julio, FJ 9, con cita de otras anteriores).</w:t>
      </w:r>
    </w:p>
    <w:p w14:paraId="31F17ED3" w14:textId="77777777" w:rsidR="003754FE" w:rsidRDefault="003754FE" w:rsidP="003754FE">
      <w:pPr>
        <w:pStyle w:val="TextoNormal"/>
      </w:pPr>
    </w:p>
    <w:p w14:paraId="3D81F85B" w14:textId="77777777" w:rsidR="003754FE" w:rsidRDefault="003754FE" w:rsidP="003754FE">
      <w:pPr>
        <w:pStyle w:val="TextoNormal"/>
      </w:pPr>
      <w:r>
        <w:t xml:space="preserve">No debe olvidarse en tal sentido que la “garantía respecto de las personas físicas que encarnan el Tribunal llamado a juzgar la causa o litigio, no vela por la pureza de los procedimientos gubernativos seguidos en la designación. Su finalidad es más modesta, y más importante: asegurar la independencia y la imparcialidad de los jueces que forman la Sala de Justicia, evitando que se mantenga el Tribunal, pero se alteren arbitrariamente sus componentes” (SSTC 238/1998, de 15 de diciembre, FJ 5; 162/2000, de 12 de junio, FJ 2, y STC 69/2001, de 17 de marzo, FJ 9). Por eso, “una posible irregularidad procesal en la determinación de los miembros de un tribunal solo constituye una violación del derecho fundamental al juez ordinario predeterminado por la ley si supone una alteración arbitraria de la composición del órgano judicial susceptible de afectar a su imagen de imparcialidad e independencia” (STC 152/2015, FJ 9). En este punto, el análisis que corresponde a este tribunal cuando se denuncia la defectuosa constitución personal del órgano judicial no se proyecta a las razones que la motivaron, sino solo, en el sentido de la protección constitucional que dispensa el derecho fundamental en juego, si existen datos para concluir que ha sido alterada arbitrariamente la composición del órgano judicial, creando un tribunal </w:t>
      </w:r>
      <w:r w:rsidRPr="003754FE">
        <w:rPr>
          <w:i/>
        </w:rPr>
        <w:t>ad casum</w:t>
      </w:r>
      <w:r>
        <w:t>, con pérdida de la necesaria independencia e imparcialidad de la que debió estar revestido (STC 162/2000, FJ 2).</w:t>
      </w:r>
    </w:p>
    <w:p w14:paraId="26746E98" w14:textId="77777777" w:rsidR="003754FE" w:rsidRDefault="003754FE" w:rsidP="003754FE">
      <w:pPr>
        <w:pStyle w:val="TextoNormal"/>
      </w:pPr>
    </w:p>
    <w:p w14:paraId="77D1FFC7" w14:textId="77777777" w:rsidR="003754FE" w:rsidRDefault="003754FE" w:rsidP="003754FE">
      <w:pPr>
        <w:pStyle w:val="TextoNormal"/>
      </w:pPr>
      <w:r>
        <w:t>3.4</w:t>
      </w:r>
      <w:r w:rsidRPr="003754FE">
        <w:rPr>
          <w:i/>
        </w:rPr>
        <w:t>. Enjuiciamiento de la que</w:t>
      </w:r>
      <w:r>
        <w:t>ja</w:t>
      </w:r>
    </w:p>
    <w:p w14:paraId="2F104826" w14:textId="77777777" w:rsidR="003754FE" w:rsidRDefault="003754FE" w:rsidP="003754FE">
      <w:pPr>
        <w:pStyle w:val="TextoNormal"/>
      </w:pPr>
    </w:p>
    <w:p w14:paraId="611E8200" w14:textId="77777777" w:rsidR="003754FE" w:rsidRDefault="003754FE" w:rsidP="003754FE">
      <w:pPr>
        <w:pStyle w:val="TextoNormal"/>
      </w:pPr>
      <w:r>
        <w:t xml:space="preserve">3.4.1. </w:t>
      </w:r>
      <w:r w:rsidRPr="003754FE">
        <w:rPr>
          <w:i/>
        </w:rPr>
        <w:t>Actuaciones de refuerzo en el Juzgado de Instrucción núm. 6 de Sevilla</w:t>
      </w:r>
    </w:p>
    <w:p w14:paraId="206B5DB2" w14:textId="77777777" w:rsidR="003754FE" w:rsidRDefault="003754FE" w:rsidP="003754FE">
      <w:pPr>
        <w:pStyle w:val="TextoNormal"/>
      </w:pPr>
    </w:p>
    <w:p w14:paraId="0C6EE4FF" w14:textId="77777777" w:rsidR="003754FE" w:rsidRDefault="003754FE" w:rsidP="003754FE">
      <w:pPr>
        <w:pStyle w:val="TextoNormal"/>
      </w:pPr>
      <w:r>
        <w:t>La denuncia de vulneración del derecho al juez ordinario predeterminado por la ley no cuestiona la competencia del Juzgado de Instrucción núm. 6 de Sevilla ni la necesidad de refuerzo y, por tanto, la adopción de las medidas de apoyo; como tampoco pone en duda la legalidad del nombramiento del magistrado señor Martín Gómez como juez comisionado. El dato al que se vincula la vulneración del derecho alegado es el acuerdo de distribución de funciones que determinó que el magistrado de refuerzo asumiera en exclusiva la instrucción de las diligencias previas que concluyeron en la sentencia condenatoria. No obstante, para resolver esta queja resulta imprescindible tener presente la sucesión, objeto y justificación de las medidas de refuerzo.</w:t>
      </w:r>
    </w:p>
    <w:p w14:paraId="4AB0D930" w14:textId="77777777" w:rsidR="003754FE" w:rsidRDefault="003754FE" w:rsidP="003754FE">
      <w:pPr>
        <w:pStyle w:val="TextoNormal"/>
      </w:pPr>
    </w:p>
    <w:p w14:paraId="6125EF34" w14:textId="77777777" w:rsidR="003754FE" w:rsidRDefault="003754FE" w:rsidP="003754FE">
      <w:pPr>
        <w:pStyle w:val="TextoNormal"/>
      </w:pPr>
      <w:r>
        <w:lastRenderedPageBreak/>
        <w:t>La descripción en la sentencia de instancia de las actuaciones de refuerzo efectuadas, que toma del expediente de refuerzo núm. 103-2015 remitido por el Tribunal Superior de Justicia de Andalucía, Ceuta y Melilla, pone de relieve:</w:t>
      </w:r>
    </w:p>
    <w:p w14:paraId="1D83985B" w14:textId="77777777" w:rsidR="003754FE" w:rsidRDefault="003754FE" w:rsidP="003754FE">
      <w:pPr>
        <w:pStyle w:val="TextoNormal"/>
      </w:pPr>
    </w:p>
    <w:p w14:paraId="762808DC" w14:textId="77777777" w:rsidR="003754FE" w:rsidRDefault="003754FE" w:rsidP="003754FE">
      <w:pPr>
        <w:pStyle w:val="TextoNormal"/>
      </w:pPr>
      <w:r>
        <w:t>(i) La incorporación del juez de refuerzo al Juzgado de Instrucción núm. 6 de Sevilla se había producido tiempo atrás, en septiembre de 2013, en virtud del acuerdo de la Comisión Permanente del Consejo General del Poder Judicial de 24 de julio de 2013. A petición de la entonces magistrada titular, el presidente del Tribunal Superior de Justicia de Andalucía, Ceuta y Melilla acordó que el magistrado en comisión de servicio extendiera su función de apoyo, además de a las actuaciones que requiriera la marcha ordinaria del Juzgado, a la tramitación de las diligencias previas núm. 174-2011 (causa matriz del caso) y 2172-2008.</w:t>
      </w:r>
    </w:p>
    <w:p w14:paraId="171F1211" w14:textId="77777777" w:rsidR="003754FE" w:rsidRDefault="003754FE" w:rsidP="003754FE">
      <w:pPr>
        <w:pStyle w:val="TextoNormal"/>
      </w:pPr>
    </w:p>
    <w:p w14:paraId="2BE35F66" w14:textId="77777777" w:rsidR="003754FE" w:rsidRDefault="003754FE" w:rsidP="003754FE">
      <w:pPr>
        <w:pStyle w:val="TextoNormal"/>
      </w:pPr>
      <w:r>
        <w:t>(ii) El señor Martín Gómez venía así desempeñando funciones jurisdiccionales en el juzgado competente cuando se aprobó el 21 mayo de 2015 por la Comisión Permanente del Consejo General del Poder Judicial una medida de refuerzo con el fin de dar respuesta a los problemas de sobrecarga de trabajo generados por la acumulación de macrocausas. La medida de apoyo consistió en asignar dos comisiones de servicio para colaborar con la nueva titular del Juzgado en todos los asuntos, siendo designados para desempeñar la medida de refuerzo el magistrado señor Martín Gómez y la anterior titular. En el plan de actuación presentado por la nueva magistrada titular se especificaba que el magistrado de refuerzo asumiría los asuntos nuevos o pendientes de señalamiento sin perjuicio de colaborar con ella, lo que fue validado por la Sala de Gobierno del Tribunal Superior de Justicia de Andalucía, Ceuta y Melilla el 23 de junio de 2015 y luego por la Comisión Permanente del Consejo General del Poder Judicial el 15 de octubre de 2015.</w:t>
      </w:r>
    </w:p>
    <w:p w14:paraId="50538AF5" w14:textId="77777777" w:rsidR="003754FE" w:rsidRDefault="003754FE" w:rsidP="003754FE">
      <w:pPr>
        <w:pStyle w:val="TextoNormal"/>
      </w:pPr>
    </w:p>
    <w:p w14:paraId="63E75FDD" w14:textId="77777777" w:rsidR="003754FE" w:rsidRDefault="003754FE" w:rsidP="003754FE">
      <w:pPr>
        <w:pStyle w:val="TextoNormal"/>
      </w:pPr>
      <w:r>
        <w:t>(iii) En la medida en que esa colaboración era posible, también en la tramitación de las macrocausas, la magistrada titular consideró que la medida de apoyo podía continuar solo con el magistrado señor Martín Gómez, sin perjuicio de concretar más adelante entre ellos la distribución de las piezas separadas desgajadas en la causa ERE, siendo renovada la comisión de servicio a favor de dicho magistrado por acuerdo de 24 de septiembre de 2015 de la Comisión Permanente del Consejo General del Poder Judicial.</w:t>
      </w:r>
    </w:p>
    <w:p w14:paraId="7294BE69" w14:textId="77777777" w:rsidR="003754FE" w:rsidRDefault="003754FE" w:rsidP="003754FE">
      <w:pPr>
        <w:pStyle w:val="TextoNormal"/>
      </w:pPr>
    </w:p>
    <w:p w14:paraId="69A33687" w14:textId="77777777" w:rsidR="003754FE" w:rsidRDefault="003754FE" w:rsidP="003754FE">
      <w:pPr>
        <w:pStyle w:val="TextoNormal"/>
      </w:pPr>
      <w:r>
        <w:t>(iv) El plan de actuación presentado conjuntamente por la magistrada titular y el magistrado en comisión de servicio se aprobó por el Tribunal Superior de Justicia de Andalucía, Ceuta y Melilla el 14 de diciembre de 2015, con la finalidad de impulsar la tramitación de las diligencias previas incoadas como consecuencia del acuerdo de división de las diligencias previas del caso “ERE” núm. 174-2011, siendo avalado después por acuerdo de la Comisión Permanente del Consejo General del Poder Judicial de 21 de enero de 2016.</w:t>
      </w:r>
    </w:p>
    <w:p w14:paraId="1C9B1255" w14:textId="77777777" w:rsidR="003754FE" w:rsidRDefault="003754FE" w:rsidP="003754FE">
      <w:pPr>
        <w:pStyle w:val="TextoNormal"/>
      </w:pPr>
    </w:p>
    <w:p w14:paraId="1B4DD7DC" w14:textId="77777777" w:rsidR="003754FE" w:rsidRDefault="003754FE" w:rsidP="003754FE">
      <w:pPr>
        <w:pStyle w:val="TextoNormal"/>
      </w:pPr>
      <w:r>
        <w:t>3.4.2</w:t>
      </w:r>
      <w:r w:rsidRPr="003754FE">
        <w:rPr>
          <w:i/>
        </w:rPr>
        <w:t>. Desestimación de la que</w:t>
      </w:r>
      <w:r>
        <w:t>ja</w:t>
      </w:r>
    </w:p>
    <w:p w14:paraId="16943EB3" w14:textId="77777777" w:rsidR="003754FE" w:rsidRDefault="003754FE" w:rsidP="003754FE">
      <w:pPr>
        <w:pStyle w:val="TextoNormal"/>
      </w:pPr>
    </w:p>
    <w:p w14:paraId="469D3A68" w14:textId="77777777" w:rsidR="003754FE" w:rsidRDefault="003754FE" w:rsidP="003754FE">
      <w:pPr>
        <w:pStyle w:val="TextoNormal"/>
      </w:pPr>
      <w:r>
        <w:t xml:space="preserve">Como se ha venido reiterando, el demandante no cuestiona la competencia del Juzgado de Instrucción núm. 6 de Sevilla ni la incorporación como juez de refuerzo del señor Martín Gómez. La queja se circunscribe a que su actuación como tal se concretara en la instrucción de las diligencias previas núm. 6645-2015, de las que trae causa la condena, en virtud de un acuerdo de la Comisión Permanente del Consejo General del Poder Judicial de 9 de diciembre de 2015 que es posterior al auto de incoación de las citadas diligencias, dictado el 17 de noviembre de 2015. Ese acuerdo gubernativo le habría atribuido expresamente la causa a </w:t>
      </w:r>
      <w:r>
        <w:lastRenderedPageBreak/>
        <w:t xml:space="preserve">pesar de que estaba siendo instruida por la titular del Juzgado y de que, según el art. 216 </w:t>
      </w:r>
      <w:r w:rsidRPr="003754FE">
        <w:rPr>
          <w:i/>
        </w:rPr>
        <w:t>bis</w:t>
      </w:r>
      <w:r>
        <w:t>.2.4 LOPJ, solo podía hacerse cargo de asuntos de nueva entrada o pendientes de señalamiento.</w:t>
      </w:r>
    </w:p>
    <w:p w14:paraId="7677169B" w14:textId="77777777" w:rsidR="003754FE" w:rsidRDefault="003754FE" w:rsidP="003754FE">
      <w:pPr>
        <w:pStyle w:val="TextoNormal"/>
      </w:pPr>
    </w:p>
    <w:p w14:paraId="251C57D1" w14:textId="77777777" w:rsidR="003754FE" w:rsidRDefault="003754FE" w:rsidP="003754FE">
      <w:pPr>
        <w:pStyle w:val="TextoNormal"/>
      </w:pPr>
      <w:r>
        <w:t xml:space="preserve">Es cierto que la división de las diligencias previas de origen núm. 174-2011 se efectuó por auto de 9 de noviembre de 2015 y que las diligencias previas núm. 6645-2015 correspondientes al procedimiento específico que dio origen a la condena se incoaron por auto de 17 de noviembre de 2015. También lo es que hasta después de ese desglose no se acordó por la magistrada titular y el magistrado comisionado la distribución de asuntos que luego aprobó el Tribunal Superior de Justicia de Andalucía, Ceuta y Melilla, y la Comisión Permanente del Consejo General del Poder Judicial. Sin embargo, de tales circunstancias, en absoluto puede extraerse como conclusión que ha existido una designación </w:t>
      </w:r>
      <w:r w:rsidRPr="003754FE">
        <w:rPr>
          <w:i/>
        </w:rPr>
        <w:t>ad hoc</w:t>
      </w:r>
      <w:r>
        <w:t xml:space="preserve"> de la juez responsable contraria a las garantías de independencia e imparcialidad y, por tanto, que se haya producido una vulneración del derecho al juez ordinario predeterminado por la ley. El recurrente obvia en su planteamiento una consideración de conjunto del devenir de la causa y las actuaciones de refuerzo que se articularon en el Juzgado.</w:t>
      </w:r>
    </w:p>
    <w:p w14:paraId="7D0E0D2C" w14:textId="77777777" w:rsidR="003754FE" w:rsidRDefault="003754FE" w:rsidP="003754FE">
      <w:pPr>
        <w:pStyle w:val="TextoNormal"/>
      </w:pPr>
    </w:p>
    <w:p w14:paraId="62DF1870" w14:textId="77777777" w:rsidR="003754FE" w:rsidRDefault="003754FE" w:rsidP="003754FE">
      <w:pPr>
        <w:pStyle w:val="TextoNormal"/>
      </w:pPr>
      <w:r>
        <w:t>A la luz de lo referido en el punto anterior: (i) todas las medidas de apoyo se adoptaron a instancia de la titular del Juzgado de Instrucción competente; (ii) todas ellas vienen impulsadas por la sobrecarga de trabajo fruto de la investigación del caso ERE y la necesidad de impulsar su tramitación; (iii) el juez de refuerzo actúa desde septiembre de 2013 con unas atribuciones que incluyen actuaciones en la instrucción de la macrocausa del caso ERE; (iv) incorporada la nueva titular, se mantiene la comisión de servicio del magistrado comisionado a petición de la misma, con previsión expresa de colaborar en la tramitación de las macrocausas y de distribución entre ambos magistrados cuando se fijen las piezas separadas; y (v) el plan de actuación por el que el juez de refuerzo asume la instrucción de la pieza de procedimiento específico (diligencias previas núm. 6645-2015) es fruto del acuerdo de la magistrada titular y el comisionado, que luego es avalado por el Tribunal Superior de Justicia de Andalucía, Ceuta y Melilla y la Comisión Permanente del Consejo General del Poder Judicial.</w:t>
      </w:r>
    </w:p>
    <w:p w14:paraId="19205B3A" w14:textId="77777777" w:rsidR="003754FE" w:rsidRDefault="003754FE" w:rsidP="003754FE">
      <w:pPr>
        <w:pStyle w:val="TextoNormal"/>
      </w:pPr>
    </w:p>
    <w:p w14:paraId="59CDD399" w14:textId="77777777" w:rsidR="003754FE" w:rsidRDefault="003754FE" w:rsidP="003754FE">
      <w:pPr>
        <w:pStyle w:val="TextoNormal"/>
      </w:pPr>
      <w:r>
        <w:t>No puede hablarse, por tanto, ni de una alteración arbitraria del juez encargado de la instrucción ni de una privación de las funciones jurisdiccionales del juez competente por decisiones de los órganos gubernativos. La sucesión de medidas de refuerzo provocadas por la instrucción de la causa ERE pone de relieve que no se asume por el juez de refuerzo la instrucción de una causa asignada a la juez titular, privándola de su competencia en virtud de una decisión ajena a ella. Por el contrario, siendo preciso el plan de refuerzo precisamente para la gestión de las piezas separadas de la causa matriz, se opta por la decisión razonable de que la labor de instrucción se asuma por el juez comisionado que venía ejerciendo desde tiempo atrás funciones jurisdiccionales en el Juzgado y colaborando con la tramitación de las diligencias previas de origen.</w:t>
      </w:r>
    </w:p>
    <w:p w14:paraId="2DB9D7DF" w14:textId="77777777" w:rsidR="003754FE" w:rsidRDefault="003754FE" w:rsidP="003754FE">
      <w:pPr>
        <w:pStyle w:val="TextoNormal"/>
      </w:pPr>
    </w:p>
    <w:p w14:paraId="54E8B5DC" w14:textId="77777777" w:rsidR="003754FE" w:rsidRDefault="003754FE" w:rsidP="003754FE">
      <w:pPr>
        <w:pStyle w:val="TextoNormal"/>
      </w:pPr>
      <w:r>
        <w:t xml:space="preserve">Frente a ello no cabe entender, como sostiene el recurrente, que esta medida sea contraria al juez ordinario predeterminado por la ley por no respetar la previsión contenida en el art. 216 </w:t>
      </w:r>
      <w:r w:rsidRPr="003754FE">
        <w:rPr>
          <w:i/>
        </w:rPr>
        <w:t>bis</w:t>
      </w:r>
      <w:r>
        <w:t xml:space="preserve">.2.4 LOPJ. Este precepto, por el que se regula cómo han de elevarse al Consejo General del Poder Judicial las propuestas de medidas de apoyo judicial, establece, entre otros requisitos, que estas propuestas deberán contener un “[p]lan de actualización del Juzgado o Tribunal con indicación de su extensión temporal y del proyecto de ordenación de </w:t>
      </w:r>
      <w:r>
        <w:lastRenderedPageBreak/>
        <w:t>la concreta función del juez o equipo de apoyo, cuyo cometido, con plena jurisdicción, se proyectará en el trámite y resolución de los asuntos de nuevo ingreso o pendientes de señalamiento, quedando reservados al titular o titulares del órgano los asuntos en tramitación que no hubieren alcanzado aquel estado procesal”.</w:t>
      </w:r>
    </w:p>
    <w:p w14:paraId="4F39C5D3" w14:textId="77777777" w:rsidR="003754FE" w:rsidRDefault="003754FE" w:rsidP="003754FE">
      <w:pPr>
        <w:pStyle w:val="TextoNormal"/>
      </w:pPr>
    </w:p>
    <w:p w14:paraId="35A4CF10" w14:textId="77777777" w:rsidR="003754FE" w:rsidRDefault="003754FE" w:rsidP="003754FE">
      <w:pPr>
        <w:pStyle w:val="TextoNormal"/>
      </w:pPr>
      <w:r>
        <w:t xml:space="preserve">Ahora bien, esta regla, como aprecia la Sala Segunda, con apoyo en las sentencias de la Sala de lo Contencioso-Administrativo del Tribunal Supremo de 6 de noviembre de 2009 (ECLI:ES:TS:2009:8364) y de 2 de noviembre de 2021 (ECLI:ES:TS:2021:4120), está prevista para los supuestos en los que el juez de apoyo se solicita como medida para llevar a cabo “un plan de actualización del juzgado”, pero no en los demás casos en los que, de acuerdo con la Ley Orgánica del Poder Judicial, cabe adoptar medidas de refuerzo judicial (art. 216 </w:t>
      </w:r>
      <w:r w:rsidRPr="003754FE">
        <w:rPr>
          <w:i/>
        </w:rPr>
        <w:t>bis</w:t>
      </w:r>
      <w:r>
        <w:t xml:space="preserve">.1). En el supuesto que ahora se analiza, la comisión de servicio al juez de refuerzo se otorgó no porque existiera un plan de actualización del juzgado, sino porque concurría una situación excepcional, la tramitación de una macrocausa, por lo que, al no concurrir el supuesto de hecho previsto en el art. 216. </w:t>
      </w:r>
      <w:r w:rsidRPr="003754FE">
        <w:rPr>
          <w:i/>
        </w:rPr>
        <w:t>bis</w:t>
      </w:r>
      <w:r>
        <w:t xml:space="preserve"> 2, apartado cuarto LOPJ, no puede considerarse que la no aplicación de lo dispuesto en esta norma en este caso constituya, como sostiene el recurrente, una vulneración del derecho al juez ordinario predeterminado por la ley (art. 24.2 CE).</w:t>
      </w:r>
    </w:p>
    <w:p w14:paraId="7009996A" w14:textId="77777777" w:rsidR="003754FE" w:rsidRDefault="003754FE" w:rsidP="003754FE">
      <w:pPr>
        <w:pStyle w:val="TextoNormal"/>
      </w:pPr>
    </w:p>
    <w:p w14:paraId="4F67156F" w14:textId="77777777" w:rsidR="003754FE" w:rsidRDefault="003754FE" w:rsidP="003754FE">
      <w:pPr>
        <w:pStyle w:val="TextoNormal"/>
      </w:pPr>
      <w:r>
        <w:t>Este tribunal ha sido siempre consciente (ya en la STC 47/1983, FJ 2) de la necesidad de armonizar la predeterminación y fijeza de los titulares del órgano competente con la organización de las labores jurisdiccionales para suplir las disfuncionalidades del sistema. Si, como es el caso, el juez de refuerzo ya venía desempeñando funciones jurisdiccionales en el órgano judicial competente y se encontraba familiarizado con esa instrucción, no lesiona el derecho al juez ordinario predeterminado por la ley que la distribución de funciones lo tenga en cuenta, aproveche dicho conocimiento y le atribuya la instrucción. Todo ello, hay que insistir, como decisión de la magistrada titular de acuerdo con el magistrado de apoyo y no como imposición o privación gubernativa de la competencia.</w:t>
      </w:r>
    </w:p>
    <w:p w14:paraId="727C479C" w14:textId="77777777" w:rsidR="003754FE" w:rsidRDefault="003754FE" w:rsidP="003754FE">
      <w:pPr>
        <w:pStyle w:val="TextoNormal"/>
      </w:pPr>
    </w:p>
    <w:p w14:paraId="58F43ED5" w14:textId="771A8AC8" w:rsidR="003754FE" w:rsidRDefault="003754FE" w:rsidP="003754FE">
      <w:pPr>
        <w:pStyle w:val="TextoNormal"/>
      </w:pPr>
      <w:r>
        <w:t>Resulta, por tanto, que el juez de refuerzo fue designado instructor de las diligencias previas núm. 6645-2015 conforme a la normativa legal y sin injerencia de los órganos gubernativos, por lo que debe desestimarse el motivo.</w:t>
      </w:r>
    </w:p>
    <w:p w14:paraId="6B526740" w14:textId="77777777" w:rsidR="003754FE" w:rsidRDefault="003754FE" w:rsidP="003754FE">
      <w:pPr>
        <w:pStyle w:val="TextoNormal"/>
      </w:pPr>
    </w:p>
    <w:p w14:paraId="3666A286" w14:textId="77777777" w:rsidR="003754FE" w:rsidRDefault="003754FE" w:rsidP="003754FE">
      <w:pPr>
        <w:pStyle w:val="TextoNormal"/>
      </w:pPr>
      <w:r w:rsidRPr="003754FE">
        <w:rPr>
          <w:rStyle w:val="NumeroAFNegritaCaracter"/>
        </w:rPr>
        <w:t>4</w:t>
      </w:r>
      <w:r>
        <w:t xml:space="preserve">. </w:t>
      </w:r>
      <w:r w:rsidRPr="003754FE">
        <w:rPr>
          <w:i/>
        </w:rPr>
        <w:t>Doctrina constitucional sobre el derecho a la legalidad penal (art. 25.1 CE)</w:t>
      </w:r>
    </w:p>
    <w:p w14:paraId="325B5658" w14:textId="77777777" w:rsidR="003754FE" w:rsidRDefault="003754FE" w:rsidP="003754FE">
      <w:pPr>
        <w:pStyle w:val="TextoNormal"/>
      </w:pPr>
    </w:p>
    <w:p w14:paraId="06BA2178" w14:textId="77777777" w:rsidR="003754FE" w:rsidRDefault="003754FE" w:rsidP="003754FE">
      <w:pPr>
        <w:pStyle w:val="TextoNormal"/>
      </w:pPr>
      <w:r>
        <w:t>El enjuiciamiento de la vulneración del art. 25.1 CE exige tener presente la doctrina de este tribunal sobre el derecho a la legalidad penal que consagra, expuesta recientemente, por ejemplo, en las SSTC 14/2021, de 28 de enero, FJ 2; 25/2022, FJ 7.2; 47/2022, de 24 de marzo, FJ 8.2.1; 54/2023, de 22 de mayo, FJ 3, y 8/2024, de 16 de enero, haciendo hincapié en la prohibición de interpretaciones y aplicaciones irrazonables de las normas penales.</w:t>
      </w:r>
    </w:p>
    <w:p w14:paraId="53C16AF2" w14:textId="77777777" w:rsidR="003754FE" w:rsidRDefault="003754FE" w:rsidP="003754FE">
      <w:pPr>
        <w:pStyle w:val="TextoNormal"/>
      </w:pPr>
    </w:p>
    <w:p w14:paraId="22242930" w14:textId="77777777" w:rsidR="003754FE" w:rsidRDefault="003754FE" w:rsidP="003754FE">
      <w:pPr>
        <w:pStyle w:val="TextoNormal"/>
      </w:pPr>
      <w:r>
        <w:t xml:space="preserve">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(art. 25.1 CE) (SSTC </w:t>
      </w:r>
      <w:r>
        <w:lastRenderedPageBreak/>
        <w:t>137/1997, de 21 de julio, FJ 6; 151/1997, de 29 de septiembre, FJ 4; 232/1997, de 16 de diciembre, FJ 2, y 162/1999, de 27 de septiembre, FJ 5).</w:t>
      </w:r>
    </w:p>
    <w:p w14:paraId="7CABAA85" w14:textId="77777777" w:rsidR="003754FE" w:rsidRDefault="003754FE" w:rsidP="003754FE">
      <w:pPr>
        <w:pStyle w:val="TextoNormal"/>
      </w:pPr>
    </w:p>
    <w:p w14:paraId="74D3EEA9" w14:textId="77777777" w:rsidR="003754FE" w:rsidRDefault="003754FE" w:rsidP="003754FE">
      <w:pPr>
        <w:pStyle w:val="TextoNormal"/>
      </w:pPr>
      <w:r>
        <w:t xml:space="preserve">En numerosas resoluciones (desde la STC 150/1989, de 25 de septiembre, FJ 6, hasta la STC 54/2023, FJ 3, y entre ellas, muchas intermedias), el Tribunal ha puesto de relieve que el derecho reconocido en el art. 25.1 CE es una concreción de diversos aspectos del Estado de Derecho en el ámbito del Derecho estatal sancionador y tiene un fundamento plural. Se vincula, ante todo, con el imperio de la ley como presupuesto de la actuación del Estado sobre los bienes jurídicos de los ciudadanos y con el derecho de los ciudadanos a la seguridad jurídica y a una previsibilidad de las consecuencias jurídicas de los propios actos que garantice un ámbito de libertad de actuación en niveles constitucionalmente admisibles. Ese fundamento determina el contenido </w:t>
      </w:r>
      <w:r w:rsidRPr="003754FE">
        <w:rPr>
          <w:i/>
        </w:rPr>
        <w:t>iusfundamental</w:t>
      </w:r>
      <w:r>
        <w:t xml:space="preserve"> del derecho a la legalidad penal, integrado por los diversos aspectos enunciados con el brocardo </w:t>
      </w:r>
      <w:r w:rsidRPr="003754FE">
        <w:rPr>
          <w:i/>
        </w:rPr>
        <w:t>nullum crimen nulla poena sine praevia lege scripta, certa et stricta</w:t>
      </w:r>
      <w:r>
        <w:t xml:space="preserve"> (en distintas formulaciones, entre muchas, SSTC 133/1987, de 21 de julio, FJ 4; 127/1990, de 5 de julio, FJ 3; 111/1993, de 25 de marzo, FJ 6; 53/1994, de 24 de febrero, FJ 4; 137/1997, FJ 6; 151/1997, FJ 3; 232/1997, FJ 2; 75/2002, de 8 de abril, FJ 4; 234/2007, de 5 de noviembre, FJ 3, y 14/2021, FJ 2).</w:t>
      </w:r>
    </w:p>
    <w:p w14:paraId="683F09C7" w14:textId="77777777" w:rsidR="003754FE" w:rsidRDefault="003754FE" w:rsidP="003754FE">
      <w:pPr>
        <w:pStyle w:val="TextoNormal"/>
      </w:pPr>
    </w:p>
    <w:p w14:paraId="6754E0CF" w14:textId="77777777" w:rsidR="003754FE" w:rsidRDefault="003754FE" w:rsidP="003754FE">
      <w:pPr>
        <w:pStyle w:val="TextoNormal"/>
      </w:pPr>
      <w:r>
        <w:t>b) La primera garantía que contiene el principio de legalidad es la garantía formal, que impone una reserva de ley absoluta (STC 15/1981, de 7 de mayo, FJ 7) para definir delitos y para amenazarlos con penas, quedando así acotadas las fuentes del Derecho en materia penal [SSTC 142/1999, de 22 de julio,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w:t>
      </w:r>
      <w:r w:rsidRPr="003754FE">
        <w:rPr>
          <w:i/>
        </w:rPr>
        <w:t>lex praevia</w:t>
      </w:r>
      <w:r>
        <w:t>) que permitan predecir con el suficiente grado de certeza (</w:t>
      </w:r>
      <w:r w:rsidRPr="003754FE">
        <w:rPr>
          <w:i/>
        </w:rPr>
        <w:t>lex certa</w:t>
      </w:r>
      <w:r>
        <w:t>) dichas conductas, y se sepa a qué atenerse en cuanto a la aneja responsabilidad y a la eventual sanción” (SSTC 25/2004, de 26 de febrero, FJ 4; 218/2005, de 12 de septiembre, FJ 2; 297/2005, de 21 de noviembre, FJ 6, y 283/2006, de 9 de octubre, FJ 5).</w:t>
      </w:r>
    </w:p>
    <w:p w14:paraId="687DEFE8" w14:textId="77777777" w:rsidR="003754FE" w:rsidRDefault="003754FE" w:rsidP="003754FE">
      <w:pPr>
        <w:pStyle w:val="TextoNormal"/>
      </w:pPr>
    </w:p>
    <w:p w14:paraId="7F145ED6" w14:textId="77777777" w:rsidR="003754FE" w:rsidRDefault="003754FE" w:rsidP="003754FE">
      <w:pPr>
        <w:pStyle w:val="TextoNormal"/>
      </w:pPr>
      <w:r>
        <w:t>c) En particular, la previsibilidad de las consecuencias de la propia conducta puede burlarse tanto por un legislador como por un juzgador que actúen desconociendo el sentido de garantía de la ley penal, bien por la formulación vaga e imprecisa de la misma, bien con su aplicación a supuestos no comprendidos en ella (SSTC 142/1999, FJ 3, y 24/2004, de 24 de febrero,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w:t>
      </w:r>
      <w:r w:rsidRPr="003754FE">
        <w:rPr>
          <w:i/>
        </w:rPr>
        <w:t>lex certa</w:t>
      </w:r>
      <w:r>
        <w:t>), para que los ciudadanos puedan conocer de antemano el ámbito de lo proscrito y prever las consecuencias de sus acciones (SSTC 242/2005, de 10 de octubre, FJ 2; 283/2006, FJ 5; 162/2008, de 15 de diciembre, FJ 1; 81/2009, de 23 de marzo, FJ 4; 135/2010, de 2 de diciembre, FJ 4, y 9/2018, de 5 de febrero, FJ 6). Los jueces y tribunales, por su parte, están sometidos al principio de tipicidad (</w:t>
      </w:r>
      <w:r w:rsidRPr="003754FE">
        <w:rPr>
          <w:i/>
        </w:rPr>
        <w:t>lex stricta</w:t>
      </w:r>
      <w:r>
        <w:t>) en su labor de aplicación de las leyes, que implica una sujeción estricta a la ley penal y el veto a la exégesis y aplicación de las normas penales fuera de los supuestos y de los límites que determinan.</w:t>
      </w:r>
    </w:p>
    <w:p w14:paraId="1CFE7626" w14:textId="77777777" w:rsidR="003754FE" w:rsidRDefault="003754FE" w:rsidP="003754FE">
      <w:pPr>
        <w:pStyle w:val="TextoNormal"/>
      </w:pPr>
    </w:p>
    <w:p w14:paraId="38BA56AF" w14:textId="77777777" w:rsidR="003754FE" w:rsidRDefault="003754FE" w:rsidP="003754FE">
      <w:pPr>
        <w:pStyle w:val="TextoNormal"/>
      </w:pPr>
      <w:r>
        <w:lastRenderedPageBreak/>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FJ 6). La analogía </w:t>
      </w:r>
      <w:r w:rsidRPr="003754FE">
        <w:rPr>
          <w:i/>
        </w:rPr>
        <w:t>in malam partem</w:t>
      </w:r>
      <w:r>
        <w:t xml:space="preserve">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FJ 4; 170/2002, de 30 de septiembre, FJ 12; 229/2003, de 18 de diciembre, FJ 6, y 229/2007, de 5 de noviembre, FJ 4).</w:t>
      </w:r>
    </w:p>
    <w:p w14:paraId="0C8CEE6E" w14:textId="77777777" w:rsidR="003754FE" w:rsidRDefault="003754FE" w:rsidP="003754FE">
      <w:pPr>
        <w:pStyle w:val="TextoNormal"/>
      </w:pPr>
    </w:p>
    <w:p w14:paraId="02E58A06" w14:textId="77777777" w:rsidR="003754FE" w:rsidRDefault="003754FE" w:rsidP="003754FE">
      <w:pPr>
        <w:pStyle w:val="TextoNormal"/>
      </w:pPr>
      <w:r>
        <w:t xml:space="preserve">e) El examen de la razonabilidad de la subsunción de los hechos probados en la norma penal tiene como primer criterio el respeto al tenor literal de la norma y la consiguiente prohibición de la analogía </w:t>
      </w:r>
      <w:r w:rsidRPr="003754FE">
        <w:rPr>
          <w:i/>
        </w:rPr>
        <w:t>in malam partem</w:t>
      </w:r>
      <w:r>
        <w:t>. El tenor literal del enunciado normativo marca en todo caso una zona indudable de exclusión de comportamientos (STC 137/1997,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FJ 7; también, entre otras, SSTC 189/1998, de 28 de septiembre, FJ 7; 13/2003, de 28 de enero, FJ 3; 138/2004, de 13 de septiembre, FJ 3; 242/2005, FJ 4; 9/2006, de 16 de enero, FJ 4, y 262/2006, de 11 de septiembre, FJ 4).</w:t>
      </w:r>
    </w:p>
    <w:p w14:paraId="27C8239F" w14:textId="77777777" w:rsidR="003754FE" w:rsidRDefault="003754FE" w:rsidP="003754FE">
      <w:pPr>
        <w:pStyle w:val="TextoNormal"/>
      </w:pPr>
    </w:p>
    <w:p w14:paraId="3EF993C8" w14:textId="2AAD569E" w:rsidR="003754FE" w:rsidRDefault="003754FE" w:rsidP="003754FE">
      <w:pPr>
        <w:pStyle w:val="TextoNormal"/>
      </w:pPr>
      <w: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w:t>
      </w:r>
      <w:r>
        <w:lastRenderedPageBreak/>
        <w:t xml:space="preserve">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w:t>
      </w:r>
      <w:r w:rsidRPr="003754FE">
        <w:rPr>
          <w:i/>
        </w:rPr>
        <w:t>per se</w:t>
      </w:r>
      <w:r>
        <w:t xml:space="preserve"> nos es ajena y solo podrá ser tomada en cuenta en la medida en que incida en la irrazonabilidad de la interpretación judicial impugnada” (STC 129/2008, FJ 3).</w:t>
      </w:r>
    </w:p>
    <w:p w14:paraId="06AB35F8" w14:textId="77777777" w:rsidR="003754FE" w:rsidRDefault="003754FE" w:rsidP="003754FE">
      <w:pPr>
        <w:pStyle w:val="TextoNormal"/>
      </w:pPr>
    </w:p>
    <w:p w14:paraId="5207A64B" w14:textId="77777777" w:rsidR="003754FE" w:rsidRDefault="003754FE" w:rsidP="003754FE">
      <w:pPr>
        <w:pStyle w:val="TextoNormal"/>
      </w:pPr>
      <w:r w:rsidRPr="003754FE">
        <w:rPr>
          <w:rStyle w:val="NumeroAFNegritaCaracter"/>
        </w:rPr>
        <w:t>5</w:t>
      </w:r>
      <w:r>
        <w:t xml:space="preserve">. </w:t>
      </w:r>
      <w:r w:rsidRPr="003754FE">
        <w:rPr>
          <w:i/>
        </w:rPr>
        <w:t>Vulneración del derecho a la legalidad penal (art. 25.1 CE) derivada de la condena por el delito de prevaricación del art. 404 CP</w:t>
      </w:r>
    </w:p>
    <w:p w14:paraId="6FE63659" w14:textId="77777777" w:rsidR="003754FE" w:rsidRDefault="003754FE" w:rsidP="003754FE">
      <w:pPr>
        <w:pStyle w:val="TextoNormal"/>
      </w:pPr>
    </w:p>
    <w:p w14:paraId="76E44B39" w14:textId="77777777" w:rsidR="003754FE" w:rsidRDefault="003754FE" w:rsidP="003754FE">
      <w:pPr>
        <w:pStyle w:val="TextoNormal"/>
      </w:pPr>
      <w:r>
        <w:t xml:space="preserve">5.1. </w:t>
      </w:r>
      <w:r w:rsidRPr="003754FE">
        <w:rPr>
          <w:i/>
        </w:rPr>
        <w:t>Exposición de la queja del recurrente y de las posiciones de las partes personadas</w:t>
      </w:r>
    </w:p>
    <w:p w14:paraId="7B931E9E" w14:textId="77777777" w:rsidR="003754FE" w:rsidRDefault="003754FE" w:rsidP="003754FE">
      <w:pPr>
        <w:pStyle w:val="TextoNormal"/>
      </w:pPr>
    </w:p>
    <w:p w14:paraId="6D2A13BA" w14:textId="77777777" w:rsidR="003754FE" w:rsidRDefault="003754FE" w:rsidP="003754FE">
      <w:pPr>
        <w:pStyle w:val="TextoNormal"/>
      </w:pPr>
      <w:r>
        <w:t xml:space="preserve">5.1.1. </w:t>
      </w:r>
      <w:r w:rsidRPr="003754FE">
        <w:rPr>
          <w:i/>
        </w:rPr>
        <w:t>Alegaciones del recurrente</w:t>
      </w:r>
    </w:p>
    <w:p w14:paraId="7CD16FD0" w14:textId="77777777" w:rsidR="003754FE" w:rsidRDefault="003754FE" w:rsidP="003754FE">
      <w:pPr>
        <w:pStyle w:val="TextoNormal"/>
      </w:pPr>
    </w:p>
    <w:p w14:paraId="3BFA7CB8" w14:textId="77777777" w:rsidR="003754FE" w:rsidRDefault="003754FE" w:rsidP="003754FE">
      <w:pPr>
        <w:pStyle w:val="TextoNormal"/>
      </w:pPr>
      <w:r>
        <w:t xml:space="preserve">Como ya se ha expuesto, el demandante en amparo fue condenado como autor de un delito de prevaricación en concurso medial con un delito de malversación. El recurrente considera que las resoluciones judiciales impugnadas han vulnerado el derecho fundamental a la legalidad penal (art. 25.1 CE). Aduce que este derecho fundamental ha sido lesionado porque las sentencias impugnadas han efectuado una interpretación extensiva </w:t>
      </w:r>
      <w:r w:rsidRPr="003754FE">
        <w:rPr>
          <w:i/>
        </w:rPr>
        <w:t>in malam partem</w:t>
      </w:r>
      <w:r>
        <w:t xml:space="preserve"> del elemento objetivo del delito de prevaricación del art. 404 CP al no existir en el caso enjuiciado una “resolución dictada en asunto administrativo”. Alega que los proyectos de ley no pueden considerarse resoluciones dictadas en asunto administrativo ni pueden calificarse de arbitrarias. Se afirma en la demanda que dichos actos, según la doctrina constitucional y la jurisprudencia de la Sala de lo Contencioso-Administrativo del Tribunal Supremo, son actos de gobierno por lo que el principio de taxatividad y certeza que se predica del Derecho penal no permite interpretar que la resolución que constituye el elemento objetivo del delito de prevaricación administrativa pueda ser un acto que es expresión de la iniciativa legislativa del Gobierno. Asimismo, el recurrente afirma que el resultado de la interpretación extensiva en la que incurren las resoluciones judiciales lleva a los órganos judiciales a afirmar la existencia de leyes “que cobijan dentro de sí alguna o algunas normas ‘ilegales’ derivadas de un supuesto quebranto normativo sufrido durante la fase prelegislativa”. Según la demanda estas afirmaciones constituyen una aporía toda vez que, aprobada una ley por el Parlamento, esta despliega todos sus efectos, sin que pueda calificarse de “ilegal” sus enunciados. El recurrente afirma que lo que puede valorarse en todo caso es la constitucionalidad de la ley.</w:t>
      </w:r>
    </w:p>
    <w:p w14:paraId="7FA8BF2D" w14:textId="77777777" w:rsidR="003754FE" w:rsidRDefault="003754FE" w:rsidP="003754FE">
      <w:pPr>
        <w:pStyle w:val="TextoNormal"/>
      </w:pPr>
    </w:p>
    <w:p w14:paraId="0FB166BD" w14:textId="77777777" w:rsidR="003754FE" w:rsidRDefault="003754FE" w:rsidP="003754FE">
      <w:pPr>
        <w:pStyle w:val="TextoNormal"/>
      </w:pPr>
      <w:r>
        <w:t>Por lo que se refiere a las modificaciones presupuestarias aprobadas por el Consejo de Gobierno, el demandante alega que todas ellas tuvieron la finalidad establecida por las leyes que desde el año 2002 han previsto en sus estados de gastos una partida —la 31L— para el pago de ayudas sociolaborales concedidas por la Dirección General de Trabajo y Seguridad Social de la Consejería de Empleo y Desarrollo Tecnológico y de cuyo pago se encargaba el IFA/IDEA.</w:t>
      </w:r>
    </w:p>
    <w:p w14:paraId="7799302C" w14:textId="77777777" w:rsidR="003754FE" w:rsidRDefault="003754FE" w:rsidP="003754FE">
      <w:pPr>
        <w:pStyle w:val="TextoNormal"/>
      </w:pPr>
    </w:p>
    <w:p w14:paraId="4E3C4376" w14:textId="77777777" w:rsidR="003754FE" w:rsidRDefault="003754FE" w:rsidP="003754FE">
      <w:pPr>
        <w:pStyle w:val="TextoNormal"/>
      </w:pPr>
      <w:r>
        <w:t xml:space="preserve">5.1.2. </w:t>
      </w:r>
      <w:r w:rsidRPr="003754FE">
        <w:rPr>
          <w:i/>
        </w:rPr>
        <w:t>Exposición de lo alegado por las partes personadas</w:t>
      </w:r>
    </w:p>
    <w:p w14:paraId="6605EB1D" w14:textId="77777777" w:rsidR="003754FE" w:rsidRDefault="003754FE" w:rsidP="003754FE">
      <w:pPr>
        <w:pStyle w:val="TextoNormal"/>
      </w:pPr>
    </w:p>
    <w:p w14:paraId="11B96D3E" w14:textId="77777777" w:rsidR="003754FE" w:rsidRDefault="003754FE" w:rsidP="003754FE">
      <w:pPr>
        <w:pStyle w:val="TextoNormal"/>
      </w:pPr>
      <w:r>
        <w:t>El Partido Popular considera que las sentencias de instancia y casación han fundamentado la condena por delito de prevaricación efectuando una aplicación razonada y razonable del art. 404 CP. Alega que la interpretación efectuada se apoya en nuestra tradición legal y en criterios hermenéuticos que son acordes con el orden constitucional. Se afirma en el escrito de alegaciones que el recurrente ha sido condenado no solo por aprobar los proyectos de ley de presupuestos, sino también por haber realizado otros actos en la gestión de las ayudas, entre otros, los convenios particulares.</w:t>
      </w:r>
    </w:p>
    <w:p w14:paraId="5BC48A87" w14:textId="77777777" w:rsidR="003754FE" w:rsidRDefault="003754FE" w:rsidP="003754FE">
      <w:pPr>
        <w:pStyle w:val="TextoNormal"/>
      </w:pPr>
    </w:p>
    <w:p w14:paraId="31264DFF" w14:textId="77777777" w:rsidR="003754FE" w:rsidRDefault="003754FE" w:rsidP="003754FE">
      <w:pPr>
        <w:pStyle w:val="TextoNormal"/>
      </w:pPr>
      <w:r>
        <w:t>Don Gaspar Zarrías Arévalo, don Antonio Vicente Lozano Peña, doña Carmen Martínez Aguayo y don Jesús María Rodríguez Román, que se han personado en este proceso constitucional, se adhieren a este motivo del recurso. El señor Rodríguez Román alega que la aprobación de un proyecto de ley, en cuanto iniciativa legislativa del Consejo de Gobierno, es una actuación recaída en asunto de Gobierno que no puede subsumirse en el concepto de “asunto administrativo” del art. 404 CP. Asimismo, considera también que la noción de ley ilegal o de ilegalidades dentro de la ley es una “aporía” y que vistas “las leyes de presupuestos en sus estados de gastos (actividades y objetivos de la partida 31L) y en sus memorias […], no puede afirmarse que el Parlamento […] no sabía lo que aprobaba, o que el Parlamento fuera inducido a error, que es la base del razonamiento que sostiene el castigo por prevaricación”.</w:t>
      </w:r>
    </w:p>
    <w:p w14:paraId="617BC48D" w14:textId="77777777" w:rsidR="003754FE" w:rsidRDefault="003754FE" w:rsidP="003754FE">
      <w:pPr>
        <w:pStyle w:val="TextoNormal"/>
      </w:pPr>
    </w:p>
    <w:p w14:paraId="42935A9B" w14:textId="77777777" w:rsidR="003754FE" w:rsidRDefault="003754FE" w:rsidP="003754FE">
      <w:pPr>
        <w:pStyle w:val="TextoNormal"/>
      </w:pPr>
      <w:r>
        <w:t>El Ministerio Fiscal sostiene que el análisis formal de la argumentación desplegada por el Tribunal Supremo no permite concluir que la consideración como “resolución dictada en asunto administrativo del acto de aprobación de un anteproyecto de ley y su remisión como proyecto al Parlamento encaje dentro del margen de previsibilidad de la interpretación y aplicación de la norma penal”, como exigencia inherente al derecho a la legalidad penal (art. 25.1 CE). El fiscal también aprecia que el Tribunal Supremo incurre en una “contradicción lógica insalvable” al disociar el control de la legalidad del acto de aprobación y remisión al Parlamento de un proyecto de ley (lo que no sería jurídicamente viable) y el enjuiciamiento penal de sus autores (ámbito en el que, según la sentencia de casación, sí sería posible valorar, con el fin de evitar una impunidad contraria al principio de igualdad). A juicio del fiscal, en el caso que se analiza, no puede disociarse el control de legalidad de los actos dictados y el enjuiciamiento penal de la conducta de sus autores, pues considera que el delito de prevaricación contiene “elementos objetivos sustanciales”, como “la injusticia y la arbitrariedad”, que exigen un control de la legalidad de los actos dictados.</w:t>
      </w:r>
    </w:p>
    <w:p w14:paraId="07663BA7" w14:textId="77777777" w:rsidR="003754FE" w:rsidRDefault="003754FE" w:rsidP="003754FE">
      <w:pPr>
        <w:pStyle w:val="TextoNormal"/>
      </w:pPr>
    </w:p>
    <w:p w14:paraId="53862A14" w14:textId="77777777" w:rsidR="003754FE" w:rsidRDefault="003754FE" w:rsidP="003754FE">
      <w:pPr>
        <w:pStyle w:val="TextoNormal"/>
      </w:pPr>
      <w:r>
        <w:t>El fiscal entiende que el Tribunal Supremo, al fundamentar la intervención de la jurisdicción penal en la evitación de situaciones de impunidad, omite cualquier valoración sobre la importancia que la autonomía del Parlamento y la división de poderes tienen en nuestro orden constitucional. Considera que el razonamiento de las sentencias impugnadas, al no efectuar un tratamiento constitucional de este conflicto de legitimidades, carece de un soporte axiológico conforme a los valores de la Constitución. Por todo ello, sostiene que las sentencias recurridas, al haber atribuido la naturaleza de “resolución en asunto administrativo”, a efectos de condenar por delito de prevaricación, a los acuerdos del Consejo de Gobierno de la Junta de Andalucía que aprobaron los anteproyectos de ley de presupuestos de la comunidad autónoma y acordaron su remisión al Parlamento de Andalucía como proyectos de ley, han vulnerado el derecho del recurrente a la legalidad penal.</w:t>
      </w:r>
    </w:p>
    <w:p w14:paraId="3FF49CE8" w14:textId="77777777" w:rsidR="003754FE" w:rsidRDefault="003754FE" w:rsidP="003754FE">
      <w:pPr>
        <w:pStyle w:val="TextoNormal"/>
      </w:pPr>
    </w:p>
    <w:p w14:paraId="3E5378C3" w14:textId="77777777" w:rsidR="003754FE" w:rsidRDefault="003754FE" w:rsidP="003754FE">
      <w:pPr>
        <w:pStyle w:val="TextoNormal"/>
      </w:pPr>
      <w:r>
        <w:lastRenderedPageBreak/>
        <w:t>El fiscal concluye sus alegaciones respecto de la prevaricación analizando si la vulneración del art. 25.1 CE, que entiende materializada en relación con los anteproyectos de ley de presupuestos, ha de extenderse también a la aprobación de las modificaciones presupuestarias. En su opinión, tanto la sentencia de instancia como la casacional no incurren en vulneración del art. 25.1 CE por calificar estas actuaciones como actos de naturaleza administrativa. Según el fiscal, en un marco legal regido por el principio de jerarquía normativa no puede sostenerse que la previsión explícita de una modificación presupuestaria a cargo del Gobierno o de uno de sus miembros pueda identificarse como una especie de mecanismo de autorreforma operado mediante una variedad de delegación tácita o de atribución de potestad legislativa al Ejecutivo que carece de todo soporte constitucional o estatutario. A su juicio, el que el Gobierno pueda modificar el contenido de un crédito o transferirlo a otro, con arreglo a las exclusiones o excepciones previstas en la ley, no convierte esa modificación del crédito en ley, sino que, simplemente, constituye una aplicación de la ley. Por todo ello afirma, que la consideración como “resolución en asunto administrativo” a efectos de condenar por delito de prevaricación, a los acuerdos del Consejo de Gobierno de la Junta de Andalucía relativos a la aprobación de determinadas modificaciones presupuestarias de los programas 22E y 31L, no vulnera el derecho a la legalidad penal (art. 25.1 CE).</w:t>
      </w:r>
    </w:p>
    <w:p w14:paraId="4CA4A4C2" w14:textId="77777777" w:rsidR="003754FE" w:rsidRDefault="003754FE" w:rsidP="003754FE">
      <w:pPr>
        <w:pStyle w:val="TextoNormal"/>
      </w:pPr>
    </w:p>
    <w:p w14:paraId="4C355284" w14:textId="77777777" w:rsidR="003754FE" w:rsidRDefault="003754FE" w:rsidP="003754FE">
      <w:pPr>
        <w:pStyle w:val="TextoNormal"/>
      </w:pPr>
      <w:r>
        <w:t xml:space="preserve">5.2 </w:t>
      </w:r>
      <w:r w:rsidRPr="003754FE">
        <w:rPr>
          <w:i/>
        </w:rPr>
        <w:t>Síntesis de los argumentos en los que las resoluciones judiciales fundamentan la condena del recurrente</w:t>
      </w:r>
    </w:p>
    <w:p w14:paraId="2DA9AF8F" w14:textId="77777777" w:rsidR="003754FE" w:rsidRDefault="003754FE" w:rsidP="003754FE">
      <w:pPr>
        <w:pStyle w:val="TextoNormal"/>
      </w:pPr>
    </w:p>
    <w:p w14:paraId="771325C8" w14:textId="77777777" w:rsidR="003754FE" w:rsidRDefault="003754FE" w:rsidP="003754FE">
      <w:pPr>
        <w:pStyle w:val="TextoNormal"/>
      </w:pPr>
      <w:r>
        <w:t>El Tribunal Supremo desestima el motivo por el que el recurrente adujo que las aprobaciones de los proyectos de leyes de presupuestos no pueden ser calificadas como resoluciones administrativas a efectos penales porque carecen de eficacia ejecutiva y deben ser objeto de posterior aprobación parlamentaria. Asimismo, rechazó el argumento del demandante por el que alegó que las modificaciones presupuestarias no forman parte de un proceso administrativo al ser actos de gobierno no sometidos a control jurisdiccional.</w:t>
      </w:r>
    </w:p>
    <w:p w14:paraId="15B3B184" w14:textId="77777777" w:rsidR="003754FE" w:rsidRDefault="003754FE" w:rsidP="003754FE">
      <w:pPr>
        <w:pStyle w:val="TextoNormal"/>
      </w:pPr>
    </w:p>
    <w:p w14:paraId="25690D65" w14:textId="77777777" w:rsidR="003754FE" w:rsidRDefault="003754FE" w:rsidP="003754FE">
      <w:pPr>
        <w:pStyle w:val="TextoNormal"/>
      </w:pPr>
      <w:r>
        <w:t>El Tribunal Supremo rechaza este motivo del recurso por las razones expuestas en los fundamentos jurídicos vigésimo a vigesimosegundo y vigesimosexto, destinados a la resolución de lo que denomina “cuestiones generales”. En estos fundamentos se sostiene, resumidamente expuesto:</w:t>
      </w:r>
    </w:p>
    <w:p w14:paraId="391EDE3D" w14:textId="77777777" w:rsidR="003754FE" w:rsidRDefault="003754FE" w:rsidP="003754FE">
      <w:pPr>
        <w:pStyle w:val="TextoNormal"/>
      </w:pPr>
    </w:p>
    <w:p w14:paraId="58440BCE" w14:textId="77777777" w:rsidR="003754FE" w:rsidRDefault="003754FE" w:rsidP="003754FE">
      <w:pPr>
        <w:pStyle w:val="TextoNormal"/>
      </w:pPr>
      <w:r>
        <w:t>(i) La Sala de lo Penal del Tribunal Supremo rechaza las alegaciones del recurrente en las que, basándose en la jurisprudencia constitucional y en la de la Sala de lo Contencioso-Administrativo del Tribunal Supremo, sostiene que no puede considerarse resolución recaída en un asunto administrativo a las actuaciones llevadas a cabo con ocasión de la elaboración de un anteproyecto ni a su aprobación como proyecto de ley. La Sala de lo Penal afirma que esta cuestión debe tener otro enfoque “cuando se trata de determinar qué deb[e] entenderse por asunto administrativo a efectos penales”. Sostiene que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[concluye la Sala] posibilitaría un ámbito de inmunidad difícilmente justificable” (fundamento de Derecho 20.3, págs. 238-239).</w:t>
      </w:r>
    </w:p>
    <w:p w14:paraId="351542D5" w14:textId="77777777" w:rsidR="003754FE" w:rsidRDefault="003754FE" w:rsidP="003754FE">
      <w:pPr>
        <w:pStyle w:val="TextoNormal"/>
      </w:pPr>
    </w:p>
    <w:p w14:paraId="56494B5E" w14:textId="77777777" w:rsidR="003754FE" w:rsidRDefault="003754FE" w:rsidP="003754FE">
      <w:pPr>
        <w:pStyle w:val="TextoNormal"/>
      </w:pPr>
      <w:r>
        <w:lastRenderedPageBreak/>
        <w:t>(ii) La sentencia de la Sala de lo Penal afirma que “los procedimientos reglados que culminan en la decisión de elevar un proyecto de ley al Gobierno no son actos propiamente legislativos, sino actos de gobierno que, por ser reglados, pueden ser el contexto objetivo para la comisión de un delito de prevaricación” (fundamento de Derecho 20.3, pág. 239).</w:t>
      </w:r>
    </w:p>
    <w:p w14:paraId="46297D05" w14:textId="77777777" w:rsidR="003754FE" w:rsidRDefault="003754FE" w:rsidP="003754FE">
      <w:pPr>
        <w:pStyle w:val="TextoNormal"/>
      </w:pPr>
    </w:p>
    <w:p w14:paraId="011BCF81" w14:textId="77777777" w:rsidR="003754FE" w:rsidRDefault="003754FE" w:rsidP="003754FE">
      <w:pPr>
        <w:pStyle w:val="TextoNormal"/>
      </w:pPr>
      <w:r>
        <w:t>(iii) También considera que “lo que se debe determinar en este caso no es si las resoluciones adoptadas en el proceso prelegislativo son susceptibles de control por la jurisdicción contencioso administrativa, cuestión que es ajena a la jurisdicción penal, sino si esas resoluciones pueden cumplir con las exigencias típicas del artículo 404 CP, que es algo sustancialmente diferente” (fundamento de Derecho 21.2, pág. 245).</w:t>
      </w:r>
    </w:p>
    <w:p w14:paraId="105E55B8" w14:textId="77777777" w:rsidR="003754FE" w:rsidRDefault="003754FE" w:rsidP="003754FE">
      <w:pPr>
        <w:pStyle w:val="TextoNormal"/>
      </w:pPr>
    </w:p>
    <w:p w14:paraId="52F2479A" w14:textId="77777777" w:rsidR="003754FE" w:rsidRDefault="003754FE" w:rsidP="003754FE">
      <w:pPr>
        <w:pStyle w:val="TextoNormal"/>
      </w:pPr>
      <w:r>
        <w:t>(iv) La sentencia de la Sala de lo Penal, a los efectos de determinar si concurren los elementos típicos del delito de prevaricación distingue, por una parte, “entre la decisión de elevar un proyecto de ley al Gobierno así como el contenido del proyecto normativo, en cuanto incorpora decisiones sujetas a criterios de oportunidad y discrecionalidad, que es un acto de Gobierno inmune al control jurisdiccional” y, por otra,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[se afirma en la sentencia impugnada] que la ley imponga unas reglas en la elaboración del proyecto de ley o de una norma con fuerza de ley y que esas reglas imperativas puedan ser desconocidas sin consecuencias, cuando lo pretendido sea violar de forma patente y arbitraria la ley” (fundamento de Derecho 21.2, pág. 246).</w:t>
      </w:r>
    </w:p>
    <w:p w14:paraId="44303E03" w14:textId="77777777" w:rsidR="003754FE" w:rsidRDefault="003754FE" w:rsidP="003754FE">
      <w:pPr>
        <w:pStyle w:val="TextoNormal"/>
      </w:pPr>
    </w:p>
    <w:p w14:paraId="761427D7" w14:textId="77777777" w:rsidR="003754FE" w:rsidRDefault="003754FE" w:rsidP="003754FE">
      <w:pPr>
        <w:pStyle w:val="TextoNormal"/>
      </w:pPr>
      <w:r>
        <w:t>(v) Las consideraciones expuestas llevan al Tribunal Supremo a apreciar que “las resoluciones dictadas relativas a este segundo contenido [las adoptadas en la elaboración del anteproyecto y proyecto de ley] no son actos de gobierno inmunes al control de la jurisdicción penal, sino ‘resoluciones en asunto administrativo’, a los efectos del artículo 404 del Código penal” (fundamento de Derecho 21.2, pág. 246).</w:t>
      </w:r>
    </w:p>
    <w:p w14:paraId="5D6E624F" w14:textId="77777777" w:rsidR="003754FE" w:rsidRDefault="003754FE" w:rsidP="003754FE">
      <w:pPr>
        <w:pStyle w:val="TextoNormal"/>
      </w:pPr>
    </w:p>
    <w:p w14:paraId="380C59FE" w14:textId="77777777" w:rsidR="003754FE" w:rsidRDefault="003754FE" w:rsidP="003754FE">
      <w:pPr>
        <w:pStyle w:val="TextoNormal"/>
      </w:pPr>
      <w:r>
        <w:t>(vi) Con invocación de sus propios precedentes, la Sala concluye “que el concepto de resolución al que alude el artículo 404 CP no se reduce a la decisión que pone fin a un procedimiento administrativo, sino que puede extenderse a actuaciones posteriores que ejecutan la resolución y actuaciones anteriores de relevancia que hayan sido imprescindibles para adoptar la resolución final quebrantando los controles establecidos en la ley” (fundamento de Derecho 22, pág. 253).</w:t>
      </w:r>
    </w:p>
    <w:p w14:paraId="0FCA6332" w14:textId="77777777" w:rsidR="003754FE" w:rsidRDefault="003754FE" w:rsidP="003754FE">
      <w:pPr>
        <w:pStyle w:val="TextoNormal"/>
      </w:pPr>
    </w:p>
    <w:p w14:paraId="67327BA4" w14:textId="77777777" w:rsidR="003754FE" w:rsidRDefault="003754FE" w:rsidP="003754FE">
      <w:pPr>
        <w:pStyle w:val="TextoNormal"/>
      </w:pPr>
      <w:r>
        <w:t>(vii) Las consideraciones expuestas llevan al Tribunal Supremo a afirmar que la elaboración de un anteproyecto de ley, su aprobación como proyecto, así como el proceso de elaboración y aprobación de una modificación presupuestaria pueden ser calificadas como resolución en asunto administrativo en el sentido del art. 404 CP.</w:t>
      </w:r>
    </w:p>
    <w:p w14:paraId="1BC727D3" w14:textId="77777777" w:rsidR="003754FE" w:rsidRDefault="003754FE" w:rsidP="003754FE">
      <w:pPr>
        <w:pStyle w:val="TextoNormal"/>
      </w:pPr>
    </w:p>
    <w:p w14:paraId="08909505" w14:textId="77777777" w:rsidR="003754FE" w:rsidRDefault="003754FE" w:rsidP="003754FE">
      <w:pPr>
        <w:pStyle w:val="TextoNormal"/>
      </w:pPr>
      <w:r>
        <w:t xml:space="preserve">5.3. </w:t>
      </w:r>
      <w:r w:rsidRPr="003754FE">
        <w:rPr>
          <w:i/>
        </w:rPr>
        <w:t>Características de nuestra democracia constitucional y parlamentaria</w:t>
      </w:r>
    </w:p>
    <w:p w14:paraId="1161C99C" w14:textId="77777777" w:rsidR="003754FE" w:rsidRDefault="003754FE" w:rsidP="003754FE">
      <w:pPr>
        <w:pStyle w:val="TextoNormal"/>
      </w:pPr>
    </w:p>
    <w:p w14:paraId="677705C7" w14:textId="77777777" w:rsidR="003754FE" w:rsidRDefault="003754FE" w:rsidP="003754FE">
      <w:pPr>
        <w:pStyle w:val="TextoNormal"/>
      </w:pPr>
      <w:r>
        <w:t xml:space="preserve">Una vez reseñados los razonamientos de la sentencia, antes de analizar si la interpretación que de la norma aplicada efectúan las resoluciones impugnadas es lesiva del art. 25.1 CE, </w:t>
      </w:r>
      <w:r>
        <w:lastRenderedPageBreak/>
        <w:t>es preciso recordar cuáles son los elementos esenciales en los que se basa nuestro sistema constitucional, toda vez que el fundamento de la condena parte de una determinada comprensión de las relaciones entre el Ejecutivo autonómico y su Parlamento que trasciende del ámbito de la legalidad y se adentra en el plano de la constitucionalidad. Esta cuestión es de gran relevancia en este caso dado que el Tribunal apreció la especial trascendencia del recurso [art. 50.1 b) LOTC] por considerar que las cuestiones en él planteadas afectan a la esencia de las relaciones institucionales entre los poderes que conforman el Estado. En el ATC 291/2023, FJ único, se afirma que uno de los motivos por los que este recurso tiene especial trascendencia constitucional es porque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Es a este tribunal al que corresponde en último término la interpretación de las cuestiones que se plantean en este recurso, al ser inherentes a la configuración propia del Estado constitucional.</w:t>
      </w:r>
    </w:p>
    <w:p w14:paraId="26D96088" w14:textId="77777777" w:rsidR="003754FE" w:rsidRDefault="003754FE" w:rsidP="003754FE">
      <w:pPr>
        <w:pStyle w:val="TextoNormal"/>
      </w:pPr>
    </w:p>
    <w:p w14:paraId="0960734D" w14:textId="77777777" w:rsidR="003754FE" w:rsidRDefault="003754FE" w:rsidP="003754FE">
      <w:pPr>
        <w:pStyle w:val="TextoNormal"/>
      </w:pPr>
      <w:r>
        <w:t>A) Por todo ello, la resolución del presente recurso de amparo exige partir de las consecuencias que se derivan de que nuestra forma de Estado sea una democracia constitucional y parlamentaria. Esta cuestión ha sido analizada en la STC 93/2024, de 19 de junio, FJ 4.3, por lo que ahora se va a exponer sucintamente la doctrina en ella contenida, con remisión a lo que en la referida sentencia se establece.</w:t>
      </w:r>
    </w:p>
    <w:p w14:paraId="6AB2806A" w14:textId="77777777" w:rsidR="003754FE" w:rsidRDefault="003754FE" w:rsidP="003754FE">
      <w:pPr>
        <w:pStyle w:val="TextoNormal"/>
      </w:pPr>
    </w:p>
    <w:p w14:paraId="117CF08A" w14:textId="77777777" w:rsidR="003754FE" w:rsidRDefault="003754FE" w:rsidP="003754FE">
      <w:pPr>
        <w:pStyle w:val="TextoNormal"/>
      </w:pPr>
      <w:r>
        <w:t>a) La centralidad del Parlamento, el carácter privilegiado de la ley y el monopolio de control de su constitucionalidad por el Tribunal Constitucional definen nuestro sistema constitucional.</w:t>
      </w:r>
    </w:p>
    <w:p w14:paraId="74E9E8B5" w14:textId="77777777" w:rsidR="003754FE" w:rsidRDefault="003754FE" w:rsidP="003754FE">
      <w:pPr>
        <w:pStyle w:val="TextoNormal"/>
      </w:pPr>
    </w:p>
    <w:p w14:paraId="2F70C238" w14:textId="77777777" w:rsidR="003754FE" w:rsidRDefault="003754FE" w:rsidP="003754FE">
      <w:pPr>
        <w:pStyle w:val="TextoNormal"/>
      </w:pPr>
      <w:r>
        <w:t>b) Nuestra Constitución ha acogido la forma de gobierno parlamentaria. Ha delimitado, por una parte, las funciones del Parlamento (título III), por otra, las del Gobierno (título IV) y ha regulado y dedicado su título V a establecer las relaciones entre ambos poderes. La función de control del Gobierno que desempeñan los parlamentos (art. 66.2 CE) es inherente a su carácter representativo y a la forma de gobierno parlamentaria que se establece en el art. 1.3 CE. Solo de este modo se garantiza el equilibrio entre estos poderes previsto en nuestra norma fundamental.</w:t>
      </w:r>
    </w:p>
    <w:p w14:paraId="54CA7FDE" w14:textId="77777777" w:rsidR="003754FE" w:rsidRDefault="003754FE" w:rsidP="003754FE">
      <w:pPr>
        <w:pStyle w:val="TextoNormal"/>
      </w:pPr>
    </w:p>
    <w:p w14:paraId="73F1424D" w14:textId="77777777" w:rsidR="003754FE" w:rsidRDefault="003754FE" w:rsidP="003754FE">
      <w:pPr>
        <w:pStyle w:val="TextoNormal"/>
      </w:pPr>
      <w:r>
        <w:t>c) La Constitución no define en qué consiste esta forma de control al Gobierno, pero una interpretación sistemática y teleológica ha llevado al Tribunal a entender que este control no se limita a los instrumentos que prevé su título V, sino que incluye también el que se ejerce a través de la función legislativa y, dentro de esta, de la función presupuestaria, al permitir el debate público y, de este modo, el conocimiento de los ciudadanos de la actuación del Gobierno.</w:t>
      </w:r>
    </w:p>
    <w:p w14:paraId="7A4D535A" w14:textId="77777777" w:rsidR="003754FE" w:rsidRDefault="003754FE" w:rsidP="003754FE">
      <w:pPr>
        <w:pStyle w:val="TextoNormal"/>
      </w:pPr>
    </w:p>
    <w:p w14:paraId="19D05F3A" w14:textId="77777777" w:rsidR="003754FE" w:rsidRDefault="003754FE" w:rsidP="003754FE">
      <w:pPr>
        <w:pStyle w:val="TextoNormal"/>
      </w:pPr>
      <w:r>
        <w:t xml:space="preserve">d) Uno de los modos de ejercer la función de </w:t>
      </w:r>
      <w:r w:rsidRPr="003754FE">
        <w:rPr>
          <w:i/>
        </w:rPr>
        <w:t>indirizzo politico</w:t>
      </w:r>
      <w:r>
        <w:t xml:space="preserve"> (orientación política) que constitucionalmente corresponde al Gobierno es el ejercicio de la iniciativa legislativa (art. 87.1 CE) y, a los efectos que ahora interesan, es especialmente relevante la iniciativa legislativa en materia presupuestaria que corresponde en exclusiva al Gobierno (art. 134.1 CE).</w:t>
      </w:r>
    </w:p>
    <w:p w14:paraId="1BE9C71C" w14:textId="77777777" w:rsidR="003754FE" w:rsidRDefault="003754FE" w:rsidP="003754FE">
      <w:pPr>
        <w:pStyle w:val="TextoNormal"/>
      </w:pPr>
    </w:p>
    <w:p w14:paraId="342AAB5E" w14:textId="77777777" w:rsidR="003754FE" w:rsidRDefault="003754FE" w:rsidP="003754FE">
      <w:pPr>
        <w:pStyle w:val="TextoNormal"/>
      </w:pPr>
      <w:r>
        <w:t xml:space="preserve">e) La ley de presupuestos no es únicamente un conjunto de previsiones contables. También es un vehículo de dirección y orientación de la política económica que corresponde al Gobierno. Es, además, una “verdadera ley, considerando así superada la cuestión de su carácter formal o material” [STC 76/1992, de 14 de mayo, FJ 4 a)]. “[L]os presupuestos —en el sentido estricto de previsiones de ingresos y habilitaciones de gastos— y el articulado de la ley que los aprueba integran un todo, cuyo contenido adquiere fuerza de ley” [STC 76/1992, de 14 de mayo, FJ 4 a), que cita a su vez la STC 63/1986, de 21 de mayo, FJ 5]”. A través del debate parlamentario del proyecto de ley de presupuestos se fiscaliza el conjunto de la actividad financiera pública para ese ejercicio, se aprueba o se rechaza el programa político, económico y social del Gobierno que los presenta y se controla que la asignación de los recursos públicos sea equitativa. “Precisamente para que dicha función pueda ser realizada, al margen de un posible contenido eventual o disponible, la ley de presupuestos tiene un contenido constitucionalmente determinado que se concreta en la previsión de ingresos y la autorización de gastos, debiendo esta última extenderse tanto al </w:t>
      </w:r>
      <w:r w:rsidRPr="003754FE">
        <w:rPr>
          <w:i/>
        </w:rPr>
        <w:t>quantum</w:t>
      </w:r>
      <w:r>
        <w:t xml:space="preserve"> como a su destino” (STC 3/2003, de 16 de enero, FJ 7).</w:t>
      </w:r>
    </w:p>
    <w:p w14:paraId="7E295219" w14:textId="77777777" w:rsidR="003754FE" w:rsidRDefault="003754FE" w:rsidP="003754FE">
      <w:pPr>
        <w:pStyle w:val="TextoNormal"/>
      </w:pPr>
    </w:p>
    <w:p w14:paraId="03349EFD" w14:textId="77777777" w:rsidR="003754FE" w:rsidRDefault="003754FE" w:rsidP="003754FE">
      <w:pPr>
        <w:pStyle w:val="TextoNormal"/>
      </w:pPr>
      <w:r>
        <w:t>f) Del carácter central que la Constitución otorga al Parlamento deriva la posición privilegiada de la ley que conlleva su presunción de legitimidad constitucional y que determina 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161.1 CE) o cuando la ley sea preconstitucional. A diferencia de las normas infralegales, que sí pueden ser inaplicadas (art. 6 LOPJ) o, en su caso, declaradas nulas por los órganos judiciales para garantizar la supremacía constitucional, cuando se trata de normas con rango de ley solo el Tribunal Constitucional tiene el monopolio de expulsarlas del ordenamiento jurídico con efecto</w:t>
      </w:r>
      <w:r w:rsidRPr="003754FE">
        <w:rPr>
          <w:i/>
        </w:rPr>
        <w:t>s erga omn</w:t>
      </w:r>
      <w:r>
        <w:t>es.</w:t>
      </w:r>
    </w:p>
    <w:p w14:paraId="4166403F" w14:textId="77777777" w:rsidR="003754FE" w:rsidRDefault="003754FE" w:rsidP="003754FE">
      <w:pPr>
        <w:pStyle w:val="TextoNormal"/>
      </w:pPr>
    </w:p>
    <w:p w14:paraId="2BAE97AC" w14:textId="77777777" w:rsidR="003754FE" w:rsidRDefault="003754FE" w:rsidP="003754FE">
      <w:pPr>
        <w:pStyle w:val="TextoNormal"/>
      </w:pPr>
      <w:r>
        <w:t>B) Para la resolución de este recurso de amparo es importante también analizar la naturaleza jurídica de los anteproyectos y proyectos de leyes, pues, el ahora recurrente ha sido condenado por incurrir en un delito de prevaricación en concurso medial con el de malversación por participar, entre otras actuaciones, en la aprobación, en su condición de consejero de Innovación, Ciencia y Empresa de los proyectos de las leyes de presupuestos para los años 2005, 2006, 2007, 2008 y 2009.</w:t>
      </w:r>
    </w:p>
    <w:p w14:paraId="0B15777F" w14:textId="77777777" w:rsidR="003754FE" w:rsidRDefault="003754FE" w:rsidP="003754FE">
      <w:pPr>
        <w:pStyle w:val="TextoNormal"/>
      </w:pPr>
    </w:p>
    <w:p w14:paraId="136D6895" w14:textId="77777777" w:rsidR="003754FE" w:rsidRDefault="003754FE" w:rsidP="003754FE">
      <w:pPr>
        <w:pStyle w:val="TextoNormal"/>
      </w:pPr>
      <w:r>
        <w:t>a) En la STC 93/2024, y en la jurisprudencia allí citada, el Tribunal ha establecido que los anteproyectos y proyectos de leyes no pueden ser objeto de control jurídico.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 (ATC 135/2004, de 20 de abril, FJ 6).</w:t>
      </w:r>
    </w:p>
    <w:p w14:paraId="49009A32" w14:textId="77777777" w:rsidR="003754FE" w:rsidRDefault="003754FE" w:rsidP="003754FE">
      <w:pPr>
        <w:pStyle w:val="TextoNormal"/>
      </w:pPr>
    </w:p>
    <w:p w14:paraId="65050418" w14:textId="77777777" w:rsidR="003754FE" w:rsidRDefault="003754FE" w:rsidP="003754FE">
      <w:pPr>
        <w:pStyle w:val="TextoNormal"/>
      </w:pPr>
      <w:r>
        <w:lastRenderedPageBreak/>
        <w:t xml:space="preserve">b) La iniciativa legislativa es el cauce institucionalizado para la modificación de las leyes y normas con rango de ley preexistentes. Por ello, como con detalle se expone en la STC 93/2024, FJ 4.3.4, “el proyecto [de ley] cuyo contenido contraviene la normativa existente mientras que es proyecto no puede someterse a un juicio de legalidad —en ese momento es un acto inexistente para el Derecho— y, una vez que se ha aprobado, al haberse convertido en ley, el único juicio que cabe es el de constitucionalidad. Este juicio solo puede efectuarse respecto de la ley aprobada, no respecto de los actos que conforman su procedimiento de elaboración, que nunca tienen eficacia </w:t>
      </w:r>
      <w:r w:rsidRPr="003754FE">
        <w:rPr>
          <w:i/>
        </w:rPr>
        <w:t>ad extra</w:t>
      </w:r>
      <w:r>
        <w:t xml:space="preserve"> y, como meros actos de trámite, una vez dictado el acto final, esto es, la ley, carecen de autonomía respecto de ella”.</w:t>
      </w:r>
    </w:p>
    <w:p w14:paraId="66F9536C" w14:textId="77777777" w:rsidR="003754FE" w:rsidRDefault="003754FE" w:rsidP="003754FE">
      <w:pPr>
        <w:pStyle w:val="TextoNormal"/>
      </w:pPr>
    </w:p>
    <w:p w14:paraId="6B88A67D" w14:textId="77777777" w:rsidR="003754FE" w:rsidRDefault="003754FE" w:rsidP="003754FE">
      <w:pPr>
        <w:pStyle w:val="TextoNormal"/>
      </w:pPr>
      <w:r>
        <w:t>c) Resulta, por tanto, que “[e]l contenido del anteproyecto o del proyecto, en tanto tales, es infiscalizable y no puede ejercerse más control que el político” (ATC 135/2004, FJ 6, y STC 93/2024).</w:t>
      </w:r>
    </w:p>
    <w:p w14:paraId="55EC81B7" w14:textId="77777777" w:rsidR="003754FE" w:rsidRDefault="003754FE" w:rsidP="003754FE">
      <w:pPr>
        <w:pStyle w:val="TextoNormal"/>
      </w:pPr>
    </w:p>
    <w:p w14:paraId="2D621D33" w14:textId="77777777" w:rsidR="003754FE" w:rsidRDefault="003754FE" w:rsidP="003754FE">
      <w:pPr>
        <w:pStyle w:val="TextoNormal"/>
      </w:pPr>
      <w:r>
        <w:t>C) “El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por un ámbito material, sino también por la forma en que han de relacionarse entre ellos. Cuando un poder del Estado se extralimita en el ejercicio de sus atribuciones se infringe el principio de separación de poderes y se altera el diseño institucional constitucionalmente previsto” (STC 93/2024, FJ 4.3.5).</w:t>
      </w:r>
    </w:p>
    <w:p w14:paraId="2D095CFB" w14:textId="77777777" w:rsidR="003754FE" w:rsidRDefault="003754FE" w:rsidP="003754FE">
      <w:pPr>
        <w:pStyle w:val="TextoNormal"/>
      </w:pPr>
    </w:p>
    <w:p w14:paraId="635DAE55" w14:textId="77777777" w:rsidR="003754FE" w:rsidRDefault="003754FE" w:rsidP="003754FE">
      <w:pPr>
        <w:pStyle w:val="TextoNormal"/>
      </w:pPr>
      <w:r>
        <w:t>5.4</w:t>
      </w:r>
      <w:r w:rsidRPr="003754FE">
        <w:rPr>
          <w:i/>
        </w:rPr>
        <w:t>. Enjuiciamiento de la que</w:t>
      </w:r>
      <w:r>
        <w:t>ja</w:t>
      </w:r>
    </w:p>
    <w:p w14:paraId="42F19B87" w14:textId="77777777" w:rsidR="003754FE" w:rsidRDefault="003754FE" w:rsidP="003754FE">
      <w:pPr>
        <w:pStyle w:val="TextoNormal"/>
      </w:pPr>
    </w:p>
    <w:p w14:paraId="01905AAB" w14:textId="77777777" w:rsidR="003754FE" w:rsidRDefault="003754FE" w:rsidP="003754FE">
      <w:pPr>
        <w:pStyle w:val="TextoNormal"/>
      </w:pPr>
      <w:r>
        <w:t>Una vez expuestos los fundamentos de la condena del recurrente por el delito de prevaricación, así como los rasgos esenciales de nuestra democracia constitucional y parlamentaria —sobre esta última cuestión, como se acaba de indicar, se efectúa una mera síntesis de lo establecido por el Tribunal en la STC 93/2024, FJ 4.3— se van a enjuiciar a continuación las quejas aducidas por el demandante.</w:t>
      </w:r>
    </w:p>
    <w:p w14:paraId="1D133A46" w14:textId="77777777" w:rsidR="003754FE" w:rsidRDefault="003754FE" w:rsidP="003754FE">
      <w:pPr>
        <w:pStyle w:val="TextoNormal"/>
      </w:pPr>
    </w:p>
    <w:p w14:paraId="08D53CF6" w14:textId="77777777" w:rsidR="003754FE" w:rsidRDefault="003754FE" w:rsidP="003754FE">
      <w:pPr>
        <w:pStyle w:val="TextoNormal"/>
      </w:pPr>
      <w:r>
        <w:t>Para ello, han de distinguirse los distintos hechos por los que el recurrente ha sido condenado como autor de un delito continuado de prevaricación: (A) haber participado, en su condición de consejero de Innovación, Ciencia y Empresa en la aprobación de los proyectos de las leyes de presupuestos de la comunidad autónoma de Andalucía para los ejercicios 2005, 2006, 2007, 2008 y 2009; (B) haber participado en la aprobación, también en su condición de consejero de Innovación, Ciencia y Empresa, en varias modificaciones presupuestarias que afectan a distintos programas y aplicaciones presupuestarias; (C) como presidente del IFA permitió que se firmaran convenios particulares para el pago de ayudas sociolaborales vía transferencias de financiación acordadas por la Consejería de Empleo y Desarrollo Tecnológico, eludiendo la fiscalización previa, e intervino en las sesiones del consejo rector autorizando la firma de convenios particulares al director general.</w:t>
      </w:r>
    </w:p>
    <w:p w14:paraId="79F008FF" w14:textId="77777777" w:rsidR="003754FE" w:rsidRDefault="003754FE" w:rsidP="003754FE">
      <w:pPr>
        <w:pStyle w:val="TextoNormal"/>
      </w:pPr>
    </w:p>
    <w:p w14:paraId="02B3E9A6" w14:textId="77777777" w:rsidR="003754FE" w:rsidRDefault="003754FE" w:rsidP="003754FE">
      <w:pPr>
        <w:pStyle w:val="TextoNormal"/>
      </w:pPr>
      <w:r>
        <w:t xml:space="preserve">A) </w:t>
      </w:r>
      <w:r w:rsidRPr="003754FE">
        <w:rPr>
          <w:i/>
        </w:rPr>
        <w:t>Participación en la aprobación de los proyectos de leyes de presupuestos de Andalucía para los años 2005 a 2009</w:t>
      </w:r>
    </w:p>
    <w:p w14:paraId="54FE416D" w14:textId="77777777" w:rsidR="003754FE" w:rsidRDefault="003754FE" w:rsidP="003754FE">
      <w:pPr>
        <w:pStyle w:val="TextoNormal"/>
      </w:pPr>
    </w:p>
    <w:p w14:paraId="3ECE68C1" w14:textId="77777777" w:rsidR="003754FE" w:rsidRDefault="003754FE" w:rsidP="003754FE">
      <w:pPr>
        <w:pStyle w:val="TextoNormal"/>
      </w:pPr>
      <w:r>
        <w:t xml:space="preserve">a) A efectos de apreciar si los órganos judiciales han realizado una interpretación extensiva de los elementos típicos del art. 404 CP y han vulnerado por ello el art. 25.1 CE, como </w:t>
      </w:r>
      <w:r>
        <w:lastRenderedPageBreak/>
        <w:t>alega el recurrente, es preciso examinar, en primer lugar, si la interpretación que las sentencias recurridas han realizado de los conceptos “resolución arbitraria en un asunto administrativo” (art. 404 CP) es o no lesiva del art. 25.1 CE. Para ello, es necesario atender a la naturaleza jurídica de los proyectos de ley.</w:t>
      </w:r>
    </w:p>
    <w:p w14:paraId="796D848C" w14:textId="77777777" w:rsidR="003754FE" w:rsidRDefault="003754FE" w:rsidP="003754FE">
      <w:pPr>
        <w:pStyle w:val="TextoNormal"/>
      </w:pPr>
    </w:p>
    <w:p w14:paraId="5F9801B8" w14:textId="77777777" w:rsidR="003754FE" w:rsidRDefault="003754FE" w:rsidP="003754FE">
      <w:pPr>
        <w:pStyle w:val="TextoNormal"/>
      </w:pPr>
      <w:r>
        <w:t>De conformidad con lo dispuesto en la STC 93/2024, es claro “que las actuaciones realizadas cuando el Gobierno ejerce la iniciativa legislativa no pueden considerarse en modo alguno una actuación administrativa”, sino una “actividad propia de la función de gobierno en sentido estricto, pues es una prerrogativa que corresponde al Gobierno en virtud de su posición institucional, no a la organización a su servicio, que es la administración pública” [FJ 4.4.1 a)]. Como ya ha afirmado el Tribunal en la citada STC 93/2024, dichas actuaciones ni tienen el carácter de definitivas ni el hecho de que existan normas que disciplinen cómo han de elaborarse los proyectos de ley y su aprobación como proyecto de ley los convierte en actos reglados. De lo anterior se deduce “que el contenido de los anteproyectos y proyectos de ley no puede ser objeto de control por ningún órgano judicial.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[FJ 4.4.1 a)].</w:t>
      </w:r>
    </w:p>
    <w:p w14:paraId="019A71BB" w14:textId="77777777" w:rsidR="003754FE" w:rsidRDefault="003754FE" w:rsidP="003754FE">
      <w:pPr>
        <w:pStyle w:val="TextoNormal"/>
      </w:pPr>
    </w:p>
    <w:p w14:paraId="1B321A16" w14:textId="77777777" w:rsidR="003754FE" w:rsidRDefault="003754FE" w:rsidP="003754FE">
      <w:pPr>
        <w:pStyle w:val="TextoNormal"/>
      </w:pPr>
      <w:r>
        <w:t>Las consideraciones que acaban de hacerse son incompatibles con las contenidas en las sentencias impugnadas en las que se sostiene que las actuaciones realizadas con ocasión de la aprobación de los proyectos de ley —las actuaciones prelegislativas, en terminología de las resoluciones impugnadas— han de calificarse como resoluciones recaídas en un asunto administrativo para apreciar que concurren los elementos típicos del delito de prevaricación (art. 404 CP).</w:t>
      </w:r>
    </w:p>
    <w:p w14:paraId="116FCACE" w14:textId="77777777" w:rsidR="003754FE" w:rsidRDefault="003754FE" w:rsidP="003754FE">
      <w:pPr>
        <w:pStyle w:val="TextoNormal"/>
      </w:pPr>
    </w:p>
    <w:p w14:paraId="73425BF6" w14:textId="77777777" w:rsidR="003754FE" w:rsidRDefault="003754FE" w:rsidP="003754FE">
      <w:pPr>
        <w:pStyle w:val="TextoNormal"/>
      </w:pPr>
      <w:r>
        <w:t>Por lo expuesto, no cabe considerar que la aprobación del proyecto de ley de presupuestos pueda ser calificada como resolución recaída en asunto administrativo. Al haberlo entendido así las sentencias recurridas han incurrido en una interpretación extravagante e imprevisible de los elementos típicos “resolución” y “asunto administrativo” que vulnera el derecho fundamental a la legalidad penal que garantiza el art. 25 CE.</w:t>
      </w:r>
    </w:p>
    <w:p w14:paraId="4467AE03" w14:textId="77777777" w:rsidR="003754FE" w:rsidRDefault="003754FE" w:rsidP="003754FE">
      <w:pPr>
        <w:pStyle w:val="TextoNormal"/>
      </w:pPr>
    </w:p>
    <w:p w14:paraId="7FEA991F" w14:textId="77777777" w:rsidR="003754FE" w:rsidRDefault="003754FE" w:rsidP="003754FE">
      <w:pPr>
        <w:pStyle w:val="TextoNormal"/>
      </w:pPr>
      <w:r>
        <w:t>b) Por otra parte, el recurrente ha alegado que, en contra de lo afirmado en las sentencias impugnadas, las leyes de presupuestos de Andalucía para los años 2002 a 2009 incluyeron un criterio de presupuestación, el contenido en el programa 31L, que desplegó plenos efectos jurídicos. Según el recurrente es una aporía sostener, como hacen las sentencias impugnadas, que dicha partida no desplegó tales efectos como consecuencia de su carácter ilegal por no ajustarse a lo previsto en otra ley.</w:t>
      </w:r>
    </w:p>
    <w:p w14:paraId="59EA4501" w14:textId="77777777" w:rsidR="003754FE" w:rsidRDefault="003754FE" w:rsidP="003754FE">
      <w:pPr>
        <w:pStyle w:val="TextoNormal"/>
      </w:pPr>
    </w:p>
    <w:p w14:paraId="2235F174" w14:textId="77777777" w:rsidR="003754FE" w:rsidRDefault="003754FE" w:rsidP="003754FE">
      <w:pPr>
        <w:pStyle w:val="TextoNormal"/>
      </w:pPr>
      <w:r>
        <w:t>En efecto, la forma de razonar de las sentencias recurridas, como ya se puso de relieve en la STC 93/2024, FJ 4.4.1 b), supone “privar de toda relevancia a la aprobación parlamentaria de la ley, lo que conlleva desconocer la centralidad del Parlamento andaluz en el entramado institucional diseñado estatutariamente”.</w:t>
      </w:r>
    </w:p>
    <w:p w14:paraId="6BA24B9E" w14:textId="77777777" w:rsidR="003754FE" w:rsidRDefault="003754FE" w:rsidP="003754FE">
      <w:pPr>
        <w:pStyle w:val="TextoNormal"/>
      </w:pPr>
    </w:p>
    <w:p w14:paraId="5DEFAA04" w14:textId="77777777" w:rsidR="003754FE" w:rsidRDefault="003754FE" w:rsidP="003754FE">
      <w:pPr>
        <w:pStyle w:val="TextoNormal"/>
      </w:pPr>
      <w:r>
        <w:t xml:space="preserve">De acuerdo con lo establecido en la STC 93/2024, FJ 4.4.1 b), “la ley de presupuestos generales es una ley que tiene la misma naturaleza normativa que el resto de las leyes. En </w:t>
      </w:r>
      <w:r>
        <w:lastRenderedPageBreak/>
        <w:t>la STC 76/1992, de 14 de mayo, FJ 4 a), el Tribunal afirmó que ‘se trata de una verdadera ley, considerando así superada la cuestión de su carácter formal o material’. Por ello, los jueces, que están sometidos al imperio de la ley (art. 117.1 CE), tienen el deber de respetarla cualquiera que sea el juicio que su contenido les merezca. Solo cuando consideran que es inconstitucional y que de su validez depende el fallo de un asunto deben plantear cuestión de inconstitucionalidad, pero fuera de este supuesto no podrán cuestionar sus determinaciones y, menos aún, no tomarla en consideración”.</w:t>
      </w:r>
    </w:p>
    <w:p w14:paraId="76FA618F" w14:textId="77777777" w:rsidR="003754FE" w:rsidRDefault="003754FE" w:rsidP="003754FE">
      <w:pPr>
        <w:pStyle w:val="TextoNormal"/>
      </w:pPr>
    </w:p>
    <w:p w14:paraId="1A085FF7" w14:textId="77777777" w:rsidR="003754FE" w:rsidRDefault="003754FE" w:rsidP="003754FE">
      <w:pPr>
        <w:pStyle w:val="TextoNormal"/>
      </w:pPr>
      <w:r>
        <w:t>Es indubitado que las leyes de presupuestos de Andalucía para los años 2002 a 2009, en su programa 31L, establecieron un sistema de atribución de fondos al IFA/IDEA (las transferencias de financiación) para la concesión de ayudas sociolaborales que, de acuerdo con lo establecido en sus memorias, habilitaban a la administración autonómica a conceder estas ayudas por tal vía.</w:t>
      </w:r>
    </w:p>
    <w:p w14:paraId="5E2BE79B" w14:textId="77777777" w:rsidR="003754FE" w:rsidRDefault="003754FE" w:rsidP="003754FE">
      <w:pPr>
        <w:pStyle w:val="TextoNormal"/>
      </w:pPr>
    </w:p>
    <w:p w14:paraId="5C19AF6F" w14:textId="77777777" w:rsidR="003754FE" w:rsidRDefault="003754FE" w:rsidP="003754FE">
      <w:pPr>
        <w:pStyle w:val="TextoNormal"/>
      </w:pPr>
      <w:r>
        <w:t>Las resoluciones impugnadas, al no reconocer que las leyes de presupuestos para los años 2002 a 2009 contienen una previsión —la establecida en el programa 31L— que dotaba de fondos al IFA/IDEA (las transferencias de financiación) para la concesión de ayudas sociolaborales que habilitaban a la administración autonómica a conceder estas ayudas por tal vía, han efectuado, también por este motivo, una interpretación absolutamente imprevisible del elemento típico arbitrariedad lesiva del art. 25.1 CE.</w:t>
      </w:r>
    </w:p>
    <w:p w14:paraId="2DC7E1D6" w14:textId="77777777" w:rsidR="003754FE" w:rsidRDefault="003754FE" w:rsidP="003754FE">
      <w:pPr>
        <w:pStyle w:val="TextoNormal"/>
      </w:pPr>
    </w:p>
    <w:p w14:paraId="0F624936" w14:textId="77777777" w:rsidR="003754FE" w:rsidRDefault="003754FE" w:rsidP="003754FE">
      <w:pPr>
        <w:pStyle w:val="TextoNormal"/>
      </w:pPr>
      <w:r>
        <w:t>En suma, como ha afirmado el Tribunal en relación con esta misma cuestión en la STC 93/2024, y por las razones allí expuestas, ha de concluirse que la apreciación de los elementos típicos del art. 404 CP efectuada por las resoluciones impugnadas es contraria al art. 25.1 CE.</w:t>
      </w:r>
    </w:p>
    <w:p w14:paraId="235A8B30" w14:textId="77777777" w:rsidR="003754FE" w:rsidRDefault="003754FE" w:rsidP="003754FE">
      <w:pPr>
        <w:pStyle w:val="TextoNormal"/>
      </w:pPr>
    </w:p>
    <w:p w14:paraId="054AEA42" w14:textId="77777777" w:rsidR="003754FE" w:rsidRDefault="003754FE" w:rsidP="003754FE">
      <w:pPr>
        <w:pStyle w:val="TextoNormal"/>
      </w:pPr>
      <w:r>
        <w:t>B</w:t>
      </w:r>
      <w:r w:rsidRPr="003754FE">
        <w:rPr>
          <w:i/>
        </w:rPr>
        <w:t>) Las modificaciones presupuestari</w:t>
      </w:r>
      <w:r>
        <w:t>as</w:t>
      </w:r>
    </w:p>
    <w:p w14:paraId="57739E48" w14:textId="77777777" w:rsidR="003754FE" w:rsidRDefault="003754FE" w:rsidP="003754FE">
      <w:pPr>
        <w:pStyle w:val="TextoNormal"/>
      </w:pPr>
    </w:p>
    <w:p w14:paraId="0940AAF0" w14:textId="77777777" w:rsidR="003754FE" w:rsidRDefault="003754FE" w:rsidP="003754FE">
      <w:pPr>
        <w:pStyle w:val="TextoNormal"/>
      </w:pPr>
      <w:r>
        <w:t>Como ya se ha señalado en este mismo fundamento jurídico, apartado 5.1, el recurrente fue condenado como autor de un delito de prevaricación en un concurso medial con un delito de malversación por haber aprobado también las modificaciones presupuestarias en los años 2004, 2005, 2006, 2007 y 2008 incumpliendo según las sentencias impugnadas las normas de estructura presupuestaria y clasificación del gasto establecidas en la Orden de la Consejería de Hacienda de 22 de mayo de 1998. Además, y respecto de la modificación presupuestaria aprobada para el pago de ayudas sociolaborales por el Consejo de Gobierno el día 9 de diciembre de 2004 por importe de 2 994 876 € en el programa 32H (“Dirección y servicios generales del Servicio Andaluz de Empleo”), las sentencias impugnadas consideran que los fines de dicho programa eran por completo ajenos a la finalidad a la que se dedicaron, por lo que la califican de ilegal.</w:t>
      </w:r>
    </w:p>
    <w:p w14:paraId="0CA803D0" w14:textId="77777777" w:rsidR="003754FE" w:rsidRDefault="003754FE" w:rsidP="003754FE">
      <w:pPr>
        <w:pStyle w:val="TextoNormal"/>
      </w:pPr>
    </w:p>
    <w:p w14:paraId="1EEAB7C5" w14:textId="77777777" w:rsidR="003754FE" w:rsidRDefault="003754FE" w:rsidP="003754FE">
      <w:pPr>
        <w:pStyle w:val="TextoNormal"/>
      </w:pPr>
      <w:r>
        <w:t>Procede analizar, del mismo modo que se acaba de hacer respecto de los proyectos de ley, si las resoluciones judiciales impugnadas han realizado una interpretación imprevisible —y por ello contraria al art. 25.1 CE— al considerar que las modificaciones presupuestarias son “resoluciones” “arbitrarias” dictadas en “asunto administrativo” (art. 404 CP).</w:t>
      </w:r>
    </w:p>
    <w:p w14:paraId="596A7732" w14:textId="77777777" w:rsidR="003754FE" w:rsidRDefault="003754FE" w:rsidP="003754FE">
      <w:pPr>
        <w:pStyle w:val="TextoNormal"/>
      </w:pPr>
    </w:p>
    <w:p w14:paraId="23126ACE" w14:textId="77777777" w:rsidR="003754FE" w:rsidRDefault="003754FE" w:rsidP="003754FE">
      <w:pPr>
        <w:pStyle w:val="TextoNormal"/>
      </w:pPr>
      <w:r>
        <w:t xml:space="preserve">En la STC 93/2024, FJ 4.4.2, se afirmó respecto de las modificaciones presupuestarias que “[c]alificar estos actos como administrativos entra dentro de los márgenes de interpretación admisibles en Derecho, dado que no existe norma ni principio alguno que impida </w:t>
      </w:r>
      <w:r>
        <w:lastRenderedPageBreak/>
        <w:t>llegar a esta conclusión”. Por los motivos allí expuestos, a los que también procede ahora remitirse, no constituye una interpretación imprevisible ni extravagante del elemento típico “resolución dictada en procedimiento administrativo” del art. 404 CP calificar a las modificaciones presupuestarias como actos administrativos.</w:t>
      </w:r>
    </w:p>
    <w:p w14:paraId="2ECAD3A0" w14:textId="77777777" w:rsidR="003754FE" w:rsidRDefault="003754FE" w:rsidP="003754FE">
      <w:pPr>
        <w:pStyle w:val="TextoNormal"/>
      </w:pPr>
    </w:p>
    <w:p w14:paraId="4045EBDC" w14:textId="77777777" w:rsidR="003754FE" w:rsidRDefault="003754FE" w:rsidP="003754FE">
      <w:pPr>
        <w:pStyle w:val="TextoNormal"/>
      </w:pPr>
      <w:r>
        <w:t>Cuestión distinta es si esta clase de actos pueden considerarse arbitrarios. Las sentencias recurridas así lo consideran. Sostienen que se realizaron prescindiendo de las exigencias procedimentales y materiales con el fin de eludir los controles exigidos por la normativa subvencional (sentencia del Tribunal Supremo, fundamento de Derecho 24.2, págs. 266 a 271). En efecto, tanto la Audiencia Provincial como el Tribunal Supremo llegan a la conclusión de que las modificaciones presupuestarias efectuadas no respetan la normativa presupuestaria, en particular la Orden de la Consejería de Hacienda de 22 de mayo de 1998, y por ello aprecian su manifiesta ilegalidad. En la STC 93/2024, FJ 4.4.2, se sostiene que aunque no es función del Tribunal enjuiciar la corrección jurídica de dicha apreciación, “sí entra dentro de sus atribuciones el efectuar un juicio externo de las razones que llevan a los órganos judiciales a resolver en el sentido expuesto, pues solo de este modo puede verificarse que las resoluciones judiciales, al calificar como manifiestamente ilegales las modificaciones presupuestarias efectuadas, no han desbordado los límites que impone el art. 25.1 CE”.</w:t>
      </w:r>
    </w:p>
    <w:p w14:paraId="30EEE963" w14:textId="77777777" w:rsidR="003754FE" w:rsidRDefault="003754FE" w:rsidP="003754FE">
      <w:pPr>
        <w:pStyle w:val="TextoNormal"/>
      </w:pPr>
    </w:p>
    <w:p w14:paraId="69303F4A" w14:textId="77777777" w:rsidR="003754FE" w:rsidRDefault="003754FE" w:rsidP="003754FE">
      <w:pPr>
        <w:pStyle w:val="TextoNormal"/>
      </w:pPr>
      <w:r>
        <w:t>El Tribunal consideró en el fundamento 4.4.2, de la mencionada sentencia que para hacer tal juicio externo no puede desconocerse que, desde el año 2002, se incluyó en las leyes de presupuestos el programa 31L, que tiene por objeto otorgar transferencias de financiación al IFA/IDEA en materia de relaciones laborales. En los documentos que acompañan a dichas leyes, “en particular, en las memorias —transcritas en sus pasajes más relevantes en las sentencias que ahora se recurren— se hace referencia a la finalidad que con ese programa se pretende, quién ha de ejecutarlo y cómo debe hacerlo”. Estos datos, a los que ahora procede remitirse, quedaron expuestos en el la STC 93/2024, FJ 4.4.2.</w:t>
      </w:r>
    </w:p>
    <w:p w14:paraId="3A23AC3F" w14:textId="77777777" w:rsidR="003754FE" w:rsidRDefault="003754FE" w:rsidP="003754FE">
      <w:pPr>
        <w:pStyle w:val="TextoNormal"/>
      </w:pPr>
    </w:p>
    <w:p w14:paraId="217C3141" w14:textId="77777777" w:rsidR="003754FE" w:rsidRDefault="003754FE" w:rsidP="003754FE">
      <w:pPr>
        <w:pStyle w:val="TextoNormal"/>
      </w:pPr>
      <w:r>
        <w:t>El Tribunal concluyó que los órganos judiciales, al interpretar el elemento típico “arbitraria” del art. 404 CP, debieron haber tomado en consideración el cambio de presupuestación antes referido —aprobado a partir del año 2002—. Al no hacerlo, resulta imprevisible considerar manifiestamente ilegales actos —las modificaciones presupuestarias, pero no solo como se verá más adelante— dictados al amparo del programa 31L incluido en las leyes de presupuestos.</w:t>
      </w:r>
    </w:p>
    <w:p w14:paraId="5267761C" w14:textId="77777777" w:rsidR="003754FE" w:rsidRDefault="003754FE" w:rsidP="003754FE">
      <w:pPr>
        <w:pStyle w:val="TextoNormal"/>
      </w:pPr>
    </w:p>
    <w:p w14:paraId="504693E4" w14:textId="77777777" w:rsidR="003754FE" w:rsidRDefault="003754FE" w:rsidP="003754FE">
      <w:pPr>
        <w:pStyle w:val="TextoNormal"/>
      </w:pPr>
      <w:r>
        <w:t>Una vez expuesta la doctrina que debe aplicarse a este extremo, procede examinar si las modificaciones presupuestarias en las que participó el demandante de amparo tenían cobertura en el programa 31L. Como ya se ha expuesto en el fundamento jurídico 2.4, se afirma en las resoluciones judiciales que el recurrente participó en la aprobación de las siguientes modificaciones presupuestarias que se destinaron al pago de ayudas sociolaborales:</w:t>
      </w:r>
    </w:p>
    <w:p w14:paraId="430E6473" w14:textId="77777777" w:rsidR="003754FE" w:rsidRDefault="003754FE" w:rsidP="003754FE">
      <w:pPr>
        <w:pStyle w:val="TextoNormal"/>
      </w:pPr>
    </w:p>
    <w:p w14:paraId="00E16479" w14:textId="77777777" w:rsidR="003754FE" w:rsidRDefault="003754FE" w:rsidP="003754FE">
      <w:pPr>
        <w:pStyle w:val="TextoNormal"/>
      </w:pPr>
      <w:r>
        <w:t xml:space="preserve">(i) seis modificaciones presupuestarias por las que se incrementaba la partida 31L en la aplicación presupuestaria 440.51 o 740.51. Estas modificaciones presupuestarias fueron aprobadas por el Consejo de Gobierno el 7 de diciembre de 2005, por importe de 799 895,97 €; el 7 de noviembre de 2006, por importe de 9 300 000 €; el 27 de noviembre de 2007, por importe de 7 448 503,44 €; el 22 de diciembre de 2008 aprobó tres modificaciones presupuestarias: una por importe de 1 253 853,89 €; otra por importe de 6 011 836, 20 € y la </w:t>
      </w:r>
      <w:r>
        <w:lastRenderedPageBreak/>
        <w:t>tercera por importe de 8 000 000 €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 y Desarrollo Tecnológico).</w:t>
      </w:r>
    </w:p>
    <w:p w14:paraId="3A9551B3" w14:textId="77777777" w:rsidR="003754FE" w:rsidRDefault="003754FE" w:rsidP="003754FE">
      <w:pPr>
        <w:pStyle w:val="TextoNormal"/>
      </w:pPr>
    </w:p>
    <w:p w14:paraId="3DEE651D" w14:textId="77777777" w:rsidR="003754FE" w:rsidRDefault="003754FE" w:rsidP="003754FE">
      <w:pPr>
        <w:pStyle w:val="TextoNormal"/>
      </w:pPr>
      <w:r>
        <w:t>(ii) una modificación presupuestaria aprobada por el Consejo de Gobierno el 9 de diciembre de 2004 que incrementó el programa 32H (“Dirección y servicios generales del Servicio Andaluz de Empleo”) por importe de 2 994 876 €.</w:t>
      </w:r>
    </w:p>
    <w:p w14:paraId="77E99E0A" w14:textId="77777777" w:rsidR="003754FE" w:rsidRDefault="003754FE" w:rsidP="003754FE">
      <w:pPr>
        <w:pStyle w:val="TextoNormal"/>
      </w:pPr>
    </w:p>
    <w:p w14:paraId="645E0E1A" w14:textId="77777777" w:rsidR="003754FE" w:rsidRDefault="003754FE" w:rsidP="003754FE">
      <w:pPr>
        <w:pStyle w:val="TextoNormal"/>
      </w:pPr>
      <w:r>
        <w:t>De conformidad con lo expuesto, no pueden considerarse arbitrarias las modificaciones presupuestarias identificadas en el apartado (i), esto es, las aprobadas por el Consejo de Gobierno el 7 de diciembre de 2005, el 7 de noviembre de 2006, el 27 de noviembre de 2007 y el 22 de diciembre de 2008, al encontrarse amparadas en el programa 31L de las leyes de presupuestos para los años 2005, 2006, 2007 y 2008. Por todo ello, las resoluciones impugnadas, en lo que se refiere a estas concretas modificaciones presupuestarias, al calificarlas como manifiestamente ilegales, han incurrido en una interpretación del todo imprevisible del tipo penal que ha determinado la condena.</w:t>
      </w:r>
    </w:p>
    <w:p w14:paraId="21B269C6" w14:textId="77777777" w:rsidR="003754FE" w:rsidRDefault="003754FE" w:rsidP="003754FE">
      <w:pPr>
        <w:pStyle w:val="TextoNormal"/>
      </w:pPr>
    </w:p>
    <w:p w14:paraId="5BE75621" w14:textId="77777777" w:rsidR="003754FE" w:rsidRDefault="003754FE" w:rsidP="003754FE">
      <w:pPr>
        <w:pStyle w:val="TextoNormal"/>
      </w:pPr>
      <w:r>
        <w:t>No ocurre lo mismo con la modificación presupuestaria realizada en el programa 32H. Los fines de este programa no eran la concesión de ayudas sociolaborales, por lo que, al ser dedicados estos fondos a ayudas sociolaborales, su consideración por las resoluciones judiciales impugnadas como resolución arbitraria recaída en un asunto administrativo no desborda los límites del art. 404 CP.</w:t>
      </w:r>
    </w:p>
    <w:p w14:paraId="32D470F4" w14:textId="77777777" w:rsidR="003754FE" w:rsidRDefault="003754FE" w:rsidP="003754FE">
      <w:pPr>
        <w:pStyle w:val="TextoNormal"/>
      </w:pPr>
    </w:p>
    <w:p w14:paraId="39D67467" w14:textId="77777777" w:rsidR="003754FE" w:rsidRDefault="003754FE" w:rsidP="003754FE">
      <w:pPr>
        <w:pStyle w:val="TextoNormal"/>
      </w:pPr>
      <w:r>
        <w:t xml:space="preserve">C) </w:t>
      </w:r>
      <w:r w:rsidRPr="003754FE">
        <w:rPr>
          <w:i/>
        </w:rPr>
        <w:t>Conocer la existencia de cincuenta y tres convenios particulares y no haber evitado su firma o su ejecución [apartados A), C) y D) del fundamento jurídico 2.4 de esta sentencia]</w:t>
      </w:r>
    </w:p>
    <w:p w14:paraId="708E8AC4" w14:textId="77777777" w:rsidR="003754FE" w:rsidRDefault="003754FE" w:rsidP="003754FE">
      <w:pPr>
        <w:pStyle w:val="TextoNormal"/>
      </w:pPr>
    </w:p>
    <w:p w14:paraId="50842887" w14:textId="77777777" w:rsidR="003754FE" w:rsidRDefault="003754FE" w:rsidP="003754FE">
      <w:pPr>
        <w:pStyle w:val="TextoNormal"/>
      </w:pPr>
      <w:r>
        <w:t>Como ya se ha expuesto, las sentencias impugnadas consideran que el demandante de amparo incurrió en un delito de prevaricación debido a que, en su calidad de miembro del consejo rector de IDEA, tuvo conocimiento de los cincuenta y tres convenios particulares que el IFA/IDEA firmó con la Consejería de Empleo y Desarrollo Tecnológico. A juicio de las sentencias impugnadas, el señor Vallejo Serrano incurrió en el delito de prevaricación en la medida en que no realizó actuación alguna con el fin de evitar que se procediera a la firma y ejecución de dichos convenios, a pesar de conocer la ilegalidad del sistema de presupuestación establecido para el pago de estas ayudas.</w:t>
      </w:r>
    </w:p>
    <w:p w14:paraId="00765BC7" w14:textId="77777777" w:rsidR="003754FE" w:rsidRDefault="003754FE" w:rsidP="003754FE">
      <w:pPr>
        <w:pStyle w:val="TextoNormal"/>
      </w:pPr>
    </w:p>
    <w:p w14:paraId="77433073" w14:textId="77777777" w:rsidR="003754FE" w:rsidRDefault="003754FE" w:rsidP="003754FE">
      <w:pPr>
        <w:pStyle w:val="TextoNormal"/>
      </w:pPr>
      <w:r>
        <w:t>Procede ahora analizar, siguiendo el mismo orden de enjuiciamiento que respecto de las actuaciones anteriores, si el hecho de conocer la firma de los convenios particulares obligó al recurrente a realizar algún tipo de conducta que tuviera por objeto impedir que estos se formalizaran y ejecutaran.</w:t>
      </w:r>
    </w:p>
    <w:p w14:paraId="7CFBB223" w14:textId="77777777" w:rsidR="003754FE" w:rsidRDefault="003754FE" w:rsidP="003754FE">
      <w:pPr>
        <w:pStyle w:val="TextoNormal"/>
      </w:pPr>
    </w:p>
    <w:p w14:paraId="44897BD2" w14:textId="77777777" w:rsidR="003754FE" w:rsidRDefault="003754FE" w:rsidP="003754FE">
      <w:pPr>
        <w:pStyle w:val="TextoNormal"/>
      </w:pPr>
      <w:r>
        <w:t xml:space="preserve">En la STC 94/2024, de 2 de julio, F.J. 4.4, el Tribunal ha afirmado que “[u]na vez en vigor el programa presupuestario 31L previsto en las leyes de presupuestos para los años 2004 a 2008 resulta imprevisible que los actos dictados a su amparo se consideren manifiestamente ilegales, pues la firma de los convenios tenía cobertura en una norma con rango de ley”. Las mismas razones a las que se aludió en la meritada sentencia —y a las que ahora </w:t>
      </w:r>
      <w:r>
        <w:lastRenderedPageBreak/>
        <w:t>procede remitirse— llevan a concluir que las sentencias impugnadas incurrieron en una aplicación imprevisible del tipo lesiva del art. 25.1 CE. La firma de convenios al amparo de la ley de presupuestos y de acuerdo con lo establecido en las memorias que la acompañan no puede considerarse constitutiva de un delito de prevaricación, al tratarse de actuaciones que tienen cobertura legal.</w:t>
      </w:r>
    </w:p>
    <w:p w14:paraId="247C90A0" w14:textId="77777777" w:rsidR="003754FE" w:rsidRDefault="003754FE" w:rsidP="003754FE">
      <w:pPr>
        <w:pStyle w:val="TextoNormal"/>
      </w:pPr>
    </w:p>
    <w:p w14:paraId="0E0F1612" w14:textId="45F03BFB" w:rsidR="003754FE" w:rsidRDefault="003754FE" w:rsidP="003754FE">
      <w:pPr>
        <w:pStyle w:val="TextoNormal"/>
      </w:pPr>
      <w:r>
        <w:t>El demandante de amparo formó parte del consejo rector de IDEA desde abril de 2004, esto es, una vez que se produjo el cambio de presupuestación mediante la introducción del programa 31L en las leyes de presupuestos. Por ello, el hecho de exigir al recurrente que realizara actos tendentes a evitar la firma o la ejecución de convenios dictados al amparo de las leyes de presupuestos supone una interpretación extensiva del elemento típico “arbitraria” del art. 404 CP, dado que, como se acaba de exponer y con más detalle se explica en las tantas veces citada STC 93/2024, tales actuaciones al tener cobertura legal no pueden considerarse ilegales ni, por tanto, “arbitrarias” en el sentido que a este término le atribuye el art. 404 CP. La circunstancia de que el convenio marco contuviera una estipulación en la que disponía que estaría en vigor hasta el 31 de diciembre 2003, que es, según sostienen las resoluciones impugnadas, lo que determinaba que a partir de esa fecha no pudieran suscribirse nuevos convenios, carece de relevancia a estos efectos, pues, como se acaba de señalar son las leyes de presupuestos que estaban en vigor cuando se firmaron o se ejecutaron esos convenios —las leyes de presupuestos para los años 2005 a 2009—, las que, al contener el programa 31L y establecer en sus memorias que el pago de las ayudas sociolaborales a las que este programa se refiere se efectuaría a través de los convenios que suscribiera el IFA, otorgan cobertura legal a los convenios que se firmaran o ejecutaran al amparo de ellas. Al no entenderlo así las resoluciones judiciales impugnadas han efectuado una subsunción de los elementos típicos del delito de prevaricación del todo imprevisible y han lesionado por ello el derecho del recurrente a la legalidad penal (art. 25.1 CE).</w:t>
      </w:r>
    </w:p>
    <w:p w14:paraId="4303D3D2" w14:textId="77777777" w:rsidR="003754FE" w:rsidRDefault="003754FE" w:rsidP="003754FE">
      <w:pPr>
        <w:pStyle w:val="TextoNormal"/>
      </w:pPr>
    </w:p>
    <w:p w14:paraId="26D216AA" w14:textId="77777777" w:rsidR="003754FE" w:rsidRDefault="003754FE" w:rsidP="003754FE">
      <w:pPr>
        <w:pStyle w:val="TextoNormal"/>
      </w:pPr>
      <w:r w:rsidRPr="003754FE">
        <w:rPr>
          <w:rStyle w:val="NumeroAFNegritaCaracter"/>
        </w:rPr>
        <w:t>6</w:t>
      </w:r>
      <w:r>
        <w:t xml:space="preserve">. </w:t>
      </w:r>
      <w:r w:rsidRPr="003754FE">
        <w:rPr>
          <w:i/>
        </w:rPr>
        <w:t>Vulneración del derecho a la legalidad penal (art. 25.1 CE) derivada de la condena por delito de malversación del art. 432 CP</w:t>
      </w:r>
    </w:p>
    <w:p w14:paraId="270EF234" w14:textId="77777777" w:rsidR="003754FE" w:rsidRDefault="003754FE" w:rsidP="003754FE">
      <w:pPr>
        <w:pStyle w:val="TextoNormal"/>
      </w:pPr>
    </w:p>
    <w:p w14:paraId="42FEF243" w14:textId="77777777" w:rsidR="003754FE" w:rsidRDefault="003754FE" w:rsidP="003754FE">
      <w:pPr>
        <w:pStyle w:val="TextoNormal"/>
      </w:pPr>
      <w:r>
        <w:t xml:space="preserve">6.1. </w:t>
      </w:r>
      <w:r w:rsidRPr="003754FE">
        <w:rPr>
          <w:i/>
        </w:rPr>
        <w:t>Exposición de la queja del recurrente y de las posiciones de las partes</w:t>
      </w:r>
    </w:p>
    <w:p w14:paraId="383DD5F4" w14:textId="77777777" w:rsidR="003754FE" w:rsidRDefault="003754FE" w:rsidP="003754FE">
      <w:pPr>
        <w:pStyle w:val="TextoNormal"/>
      </w:pPr>
    </w:p>
    <w:p w14:paraId="46394CDF" w14:textId="77777777" w:rsidR="003754FE" w:rsidRDefault="003754FE" w:rsidP="003754FE">
      <w:pPr>
        <w:pStyle w:val="TextoNormal"/>
      </w:pPr>
      <w:r>
        <w:t>Al articular el motivo sexto de su recurso de amparo, el recurrente alega que la subsunción de los hechos declarados probados en el delito de malversación de caudales públicos del art. 432 CP vulnera el derecho a la legalidad penal (art. 25.1 CE). Entiende que las sentencias recurridas le atribuyen una responsabilidad en “comisión por omisión” por este delito sin justificar cuál es la posición de garante que le correspondía en relación con una “sustracción” de fondos públicos que se producía exclusivamente en el ámbito de gestión propio de la Consejería de Empleo y Desarrollo Tecnológico. Añade el demandante que los condenados ajenos a dicha consejería no pueden ser considerados garantes de la correcta gestión de las ayudas sociolaborales y a empresas en crisis comprendidas en el programa 31L, pues solo la Consejería de Empleo y Desarrollo Tecnológico era responsable de conceder tales ayudas.</w:t>
      </w:r>
    </w:p>
    <w:p w14:paraId="7E71AE40" w14:textId="77777777" w:rsidR="003754FE" w:rsidRDefault="003754FE" w:rsidP="003754FE">
      <w:pPr>
        <w:pStyle w:val="TextoNormal"/>
      </w:pPr>
    </w:p>
    <w:p w14:paraId="34738F65" w14:textId="77777777" w:rsidR="003754FE" w:rsidRDefault="003754FE" w:rsidP="003754FE">
      <w:pPr>
        <w:pStyle w:val="TextoNormal"/>
      </w:pPr>
      <w:r>
        <w:t xml:space="preserve">El Partido Popular se opone a la estimación de esta queja al considerar que la subsunción de los hechos declarados probados en el delito de malversación del art. 432 CP respeta el tenor literal del enunciado normativo contenido en dicho precepto y resulta previsible si se analiza desde las pautas axiológicas que informan nuestro texto constitucional y conforme </w:t>
      </w:r>
      <w:r>
        <w:lastRenderedPageBreak/>
        <w:t>a modelos de argumentación aceptados por la propia comunidad jurídica. Reproduce, en apoyo de esta tesis, diversos fragmentos de las resoluciones impugnadas. Dicha tesis también es sostenida por el Ministerio Fiscal, que estima que no puede apreciarse la vulneración del derecho a la legalidad penal en relación con la subsunción realizada en el delito de malversación y afirma que la sentencia de instancia contiene una argumentación suficiente sobre la concurrencia de los diversos elementos que componen este tipo penal.</w:t>
      </w:r>
    </w:p>
    <w:p w14:paraId="4AEE127E" w14:textId="77777777" w:rsidR="003754FE" w:rsidRDefault="003754FE" w:rsidP="003754FE">
      <w:pPr>
        <w:pStyle w:val="TextoNormal"/>
      </w:pPr>
    </w:p>
    <w:p w14:paraId="3B76D14E" w14:textId="77777777" w:rsidR="003754FE" w:rsidRDefault="003754FE" w:rsidP="003754FE">
      <w:pPr>
        <w:pStyle w:val="TextoNormal"/>
      </w:pPr>
      <w:r>
        <w:t xml:space="preserve">6.2. </w:t>
      </w:r>
      <w:r w:rsidRPr="003754FE">
        <w:rPr>
          <w:i/>
        </w:rPr>
        <w:t>Síntesis de los argumentos en los que las resoluciones judiciales fundamentan la condena del recurrente</w:t>
      </w:r>
    </w:p>
    <w:p w14:paraId="7038DDB2" w14:textId="77777777" w:rsidR="003754FE" w:rsidRDefault="003754FE" w:rsidP="003754FE">
      <w:pPr>
        <w:pStyle w:val="TextoNormal"/>
      </w:pPr>
    </w:p>
    <w:p w14:paraId="3A475C71" w14:textId="77777777" w:rsidR="003754FE" w:rsidRDefault="003754FE" w:rsidP="003754FE">
      <w:pPr>
        <w:pStyle w:val="TextoNormal"/>
      </w:pPr>
      <w:r>
        <w:t>A continuación, se va a efectuar un breve resumen de los argumentos de las sentencias de la Audiencia Provincial y del Tribunal Supremo que sirven para fundamentar la condena por malversación del demandante de amparo:</w:t>
      </w:r>
    </w:p>
    <w:p w14:paraId="77758B8C" w14:textId="77777777" w:rsidR="003754FE" w:rsidRDefault="003754FE" w:rsidP="003754FE">
      <w:pPr>
        <w:pStyle w:val="TextoNormal"/>
      </w:pPr>
    </w:p>
    <w:p w14:paraId="473124FA" w14:textId="77777777" w:rsidR="003754FE" w:rsidRDefault="003754FE" w:rsidP="003754FE">
      <w:pPr>
        <w:pStyle w:val="TextoNormal"/>
      </w:pPr>
      <w:r>
        <w:t xml:space="preserve">A) </w:t>
      </w:r>
      <w:r w:rsidRPr="003754FE">
        <w:rPr>
          <w:i/>
        </w:rPr>
        <w:t>Objeto de la condena por malversación</w:t>
      </w:r>
    </w:p>
    <w:p w14:paraId="7D25FCAF" w14:textId="77777777" w:rsidR="003754FE" w:rsidRDefault="003754FE" w:rsidP="003754FE">
      <w:pPr>
        <w:pStyle w:val="TextoNormal"/>
      </w:pPr>
    </w:p>
    <w:p w14:paraId="11D5CD36" w14:textId="77777777" w:rsidR="003754FE" w:rsidRDefault="003754FE" w:rsidP="003754FE">
      <w:pPr>
        <w:pStyle w:val="TextoNormal"/>
      </w:pPr>
      <w:r>
        <w:t>Tal y como se especifica en el fundamento de Derecho 49 de la sentencia de la Audiencia Provincial de Sevilla (págs. 1805-1807), don Antonio Vallejo Serrano ha sido condenado, en lo que al delito de malversación se refiere:</w:t>
      </w:r>
    </w:p>
    <w:p w14:paraId="573E78A0" w14:textId="77777777" w:rsidR="003754FE" w:rsidRDefault="003754FE" w:rsidP="003754FE">
      <w:pPr>
        <w:pStyle w:val="TextoNormal"/>
      </w:pPr>
    </w:p>
    <w:p w14:paraId="6126EFE7" w14:textId="77777777" w:rsidR="003754FE" w:rsidRDefault="003754FE" w:rsidP="003754FE">
      <w:pPr>
        <w:pStyle w:val="TextoNormal"/>
      </w:pPr>
      <w:r>
        <w:t>a) Por su intervención personal, en calidad de consejero de Innovación, Ciencia y Empresa, en la aprobación por parte del Consejo de Gobierno de la Junta de Andalucía de los proyectos de leyes de presupuestos de los ejercicios 2005 a 2009, en los que se consignaron los créditos iniciales del programa 31L (con los importes que se especifican en el fundamento jurídico 2.4), y de diversas modificaciones presupuestarias que incrementaron esos créditos (con las fechas e importes especificados en el fundamento jurídico 2.4) en relación con concretas aplicaciones destinadas a transferencias de financiación a la agencia IFA/IDEA para el pago de ayudas sociolaborales y a empresas en crisis.</w:t>
      </w:r>
    </w:p>
    <w:p w14:paraId="60A068EB" w14:textId="77777777" w:rsidR="003754FE" w:rsidRDefault="003754FE" w:rsidP="003754FE">
      <w:pPr>
        <w:pStyle w:val="TextoNormal"/>
      </w:pPr>
    </w:p>
    <w:p w14:paraId="49118679" w14:textId="77777777" w:rsidR="003754FE" w:rsidRDefault="003754FE" w:rsidP="003754FE">
      <w:pPr>
        <w:pStyle w:val="TextoNormal"/>
      </w:pPr>
      <w:r>
        <w:t>b) En su calidad de presidente del IFA/IDEA, por no impedir, pudiendo hacerlo, que los pagos de las ayudas sociolaborales y a empresas en crisis comprendidas en el programa 31L se materializaran a través de esta entidad pública como tales transferencias de financiación.</w:t>
      </w:r>
    </w:p>
    <w:p w14:paraId="58D19819" w14:textId="77777777" w:rsidR="003754FE" w:rsidRDefault="003754FE" w:rsidP="003754FE">
      <w:pPr>
        <w:pStyle w:val="TextoNormal"/>
      </w:pPr>
    </w:p>
    <w:p w14:paraId="2A1C88EC" w14:textId="77777777" w:rsidR="003754FE" w:rsidRDefault="003754FE" w:rsidP="003754FE">
      <w:pPr>
        <w:pStyle w:val="TextoNormal"/>
      </w:pPr>
      <w:r>
        <w:t>Según señala la sentencia, el recurrente de amparo fue consejero de Innovación, Ciencia y Empresa desde el 25 de abril de 2004 hasta el 24 de abril de 2009. Como titular de este cargo le correspondía la presidencia del IFA, posteriormente IDEA.</w:t>
      </w:r>
    </w:p>
    <w:p w14:paraId="39F09AFC" w14:textId="77777777" w:rsidR="003754FE" w:rsidRDefault="003754FE" w:rsidP="003754FE">
      <w:pPr>
        <w:pStyle w:val="TextoNormal"/>
      </w:pPr>
    </w:p>
    <w:p w14:paraId="6D0EA984" w14:textId="77777777" w:rsidR="003754FE" w:rsidRDefault="003754FE" w:rsidP="003754FE">
      <w:pPr>
        <w:pStyle w:val="TextoNormal"/>
      </w:pPr>
      <w:r>
        <w:t xml:space="preserve">B) </w:t>
      </w:r>
      <w:r w:rsidRPr="003754FE">
        <w:rPr>
          <w:i/>
        </w:rPr>
        <w:t>Fundamentación de la condena por malversación en la sentencia de instancia</w:t>
      </w:r>
    </w:p>
    <w:p w14:paraId="5DFEA8C2" w14:textId="77777777" w:rsidR="003754FE" w:rsidRDefault="003754FE" w:rsidP="003754FE">
      <w:pPr>
        <w:pStyle w:val="TextoNormal"/>
      </w:pPr>
    </w:p>
    <w:p w14:paraId="5D970815" w14:textId="77777777" w:rsidR="003754FE" w:rsidRDefault="003754FE" w:rsidP="003754FE">
      <w:pPr>
        <w:pStyle w:val="TextoNormal"/>
      </w:pPr>
      <w:r>
        <w:t>La fundamentación de la condena del recurrente por delito de malversación se sustenta, en la sentencia de instancia, en los siguientes argumentos:</w:t>
      </w:r>
    </w:p>
    <w:p w14:paraId="45DB0608" w14:textId="77777777" w:rsidR="003754FE" w:rsidRDefault="003754FE" w:rsidP="003754FE">
      <w:pPr>
        <w:pStyle w:val="TextoNormal"/>
      </w:pPr>
    </w:p>
    <w:p w14:paraId="74A9FFC1" w14:textId="77777777" w:rsidR="003754FE" w:rsidRDefault="003754FE" w:rsidP="003754FE">
      <w:pPr>
        <w:pStyle w:val="TextoNormal"/>
      </w:pPr>
      <w:r>
        <w:t xml:space="preserve">a) Según la Audiencia Provincial, el recurrente, en su calidad de presidente del IFA/IDEA, tuvo conocimiento de los siguientes extremos: (i) que el IFA/IDEA asumía obligaciones de pago frente a terceros que superaban el límite de los créditos presupuestariamente aprobados y originaban un déficit (fundamento de Derecho 34, págs. 1173, 1184, 1191, 1193 y 1196); (ii) que dichos compromisos de pago derivaban de ayudas que no eran concedidas por el IFA/IDEA sino por la Consejería de Empleo y Desarrollo Tecnológico </w:t>
      </w:r>
      <w:r>
        <w:lastRenderedPageBreak/>
        <w:t>(fundamento 34, pág. 1173), pues el IFA/IDEA actuaba como “mera caja pagadora” (fundamento 34, pág. 1202); (iii) que la intervención del IFA/IDEA como entidad colaboradora para el pago de ayudas concedidas por la Consejería de Empleo y Desarrollo Tecnológico era irregular (fundamento 34, págs. 1177, 1178, 1180, 1185, 1191, 1193 y 1194); y (iv) que el pago de estas ayudas a través de transferencias de financiación a la referida agencia era, igualmente, inadecuado (fundamento 34, págs. 1174, 1178 y 1194) pues habrían debido instrumentarse como “encargos de ejecución” con una “tramitación administrativa propia y sometida a fiscalización previa” (fundamento 34, pág. 1188).</w:t>
      </w:r>
    </w:p>
    <w:p w14:paraId="0B3AE914" w14:textId="77777777" w:rsidR="003754FE" w:rsidRDefault="003754FE" w:rsidP="003754FE">
      <w:pPr>
        <w:pStyle w:val="TextoNormal"/>
      </w:pPr>
    </w:p>
    <w:p w14:paraId="3AC37F7E" w14:textId="77777777" w:rsidR="003754FE" w:rsidRDefault="003754FE" w:rsidP="003754FE">
      <w:pPr>
        <w:pStyle w:val="TextoNormal"/>
      </w:pPr>
      <w:r>
        <w:t>b) Según la Audiencia Provincial, el recurrente de amparo, pese a conocer las irregularidades descritas, permitió, como presidente del IFA/IDEA, que esta entidad siguiera suscribiendo convenios particulares con la Consejería de Empleo y Desarrollo Tecnológico para materializar el pago, en calidad de transferencias de financiación, de las ayudas sociolaborales y a empresas en crisis. Sostiene la resolución que el demandante, en su condición de presidente del IFA/IDEA, conservaba “importantes funciones en la gestión” de dicha agencia que no habían sido delegadas al director general (fundamento de Derecho 34, pág. 1172) y tenía, en particular, atribuciones para proponer al consejo rector, en asuntos de competencia de este órgano, cualquier medida encaminada a “un mejor cumplimiento de los fines” de la mencionada entidad (fundamento 34, pág. 1187). Pudo, por ello, oponerse a que el consejo rector autorizara la firma de nuevos convenios (fundamento 34, págs. 1173, 1187, 1188 y 1199) y pudo impedir también que el IFA/IDEA siguiera actuando como entidad colaboradora para el pago de las ayudas sociolaborales y a empresas en crisis (fundamento 34, págs. 1194-1195 y 1199).</w:t>
      </w:r>
    </w:p>
    <w:p w14:paraId="6322508D" w14:textId="77777777" w:rsidR="003754FE" w:rsidRDefault="003754FE" w:rsidP="003754FE">
      <w:pPr>
        <w:pStyle w:val="TextoNormal"/>
      </w:pPr>
    </w:p>
    <w:p w14:paraId="7BF7C042" w14:textId="77777777" w:rsidR="003754FE" w:rsidRDefault="003754FE" w:rsidP="003754FE">
      <w:pPr>
        <w:pStyle w:val="TextoNormal"/>
      </w:pPr>
      <w:r>
        <w:t>c) El recurrente en amparo, como consejero de Innovación, Ciencia y Empresa, participó, asimismo, con conocimiento de las irregularidades ya descritas, “en la aprobación de los proyectos de presupuestos, que permitieron que la Consejería de Empleo y Desarrollo Tecnológico siguiera tramitando los expedientes de gastos de transferencias de financiación, vulnerando el régimen legal de estas, así como la aprobación de modificaciones presupuestarias, competencia del Consejo de Gobierno, en las que se incrementaban los fondos de esta aplicación” (fundamento de Derecho 34, págs. 1186-1187). Y ello pese a que conocía, en particular, que la partida presupuestaria utilizada “no era la adecuada” para establecer “créditos con destino al otorgamiento de subvenciones sociolaborales” (fundamento 34, pág. 1197).</w:t>
      </w:r>
    </w:p>
    <w:p w14:paraId="57AA5D36" w14:textId="77777777" w:rsidR="003754FE" w:rsidRDefault="003754FE" w:rsidP="003754FE">
      <w:pPr>
        <w:pStyle w:val="TextoNormal"/>
      </w:pPr>
    </w:p>
    <w:p w14:paraId="5BFB55B1" w14:textId="77777777" w:rsidR="003754FE" w:rsidRDefault="003754FE" w:rsidP="003754FE">
      <w:pPr>
        <w:pStyle w:val="TextoNormal"/>
      </w:pPr>
      <w:r>
        <w:t>d) La Audiencia Provincial considera que el recurrente de amparo era consciente, en definitiva, de la “palmaria ilegalidad” de los actos en que participó y estima que, tanto al tramitar los proyectos de leyes de presupuestos que establecían el régimen de concesión de las ayudas como al permitir que el IFA/IDEA siguiera operando irregularmente como caja pagadora de estas, asumió “la eventualidad de que los fondos vinculados al programa 31L fueran objeto de disposición con fines ajenos al fin público al que estaban destinados” (fundamentos de Derecho 34, pág. 1190, y 49, pág. 1806).</w:t>
      </w:r>
    </w:p>
    <w:p w14:paraId="0282EA92" w14:textId="77777777" w:rsidR="003754FE" w:rsidRDefault="003754FE" w:rsidP="003754FE">
      <w:pPr>
        <w:pStyle w:val="TextoNormal"/>
      </w:pPr>
    </w:p>
    <w:p w14:paraId="5047DFB4" w14:textId="77777777" w:rsidR="003754FE" w:rsidRDefault="003754FE" w:rsidP="003754FE">
      <w:pPr>
        <w:pStyle w:val="TextoNormal"/>
      </w:pPr>
      <w:r>
        <w:t xml:space="preserve">C) </w:t>
      </w:r>
      <w:r w:rsidRPr="003754FE">
        <w:rPr>
          <w:i/>
        </w:rPr>
        <w:t>Fundamentación de la condena por malversación en la sentencia de casación</w:t>
      </w:r>
    </w:p>
    <w:p w14:paraId="594CB9FC" w14:textId="77777777" w:rsidR="003754FE" w:rsidRDefault="003754FE" w:rsidP="003754FE">
      <w:pPr>
        <w:pStyle w:val="TextoNormal"/>
      </w:pPr>
    </w:p>
    <w:p w14:paraId="1A5C3508" w14:textId="77777777" w:rsidR="003754FE" w:rsidRDefault="003754FE" w:rsidP="003754FE">
      <w:pPr>
        <w:pStyle w:val="TextoNormal"/>
      </w:pPr>
      <w:r>
        <w:t xml:space="preserve">La sentencia casacional de la Sala de lo Penal del Tribunal Supremo incluye una extensa fundamentación explicativa de la interpretación del alcance del tipo penal del art. 432 CP y </w:t>
      </w:r>
      <w:r>
        <w:lastRenderedPageBreak/>
        <w:t>de su aplicación al supuesto de hecho del recurrente de amparo. En lo que a la resolución de esta concreta queja interesa, caben destacar los siguientes argumentos:</w:t>
      </w:r>
    </w:p>
    <w:p w14:paraId="4EE6F6E1" w14:textId="77777777" w:rsidR="003754FE" w:rsidRDefault="003754FE" w:rsidP="003754FE">
      <w:pPr>
        <w:pStyle w:val="TextoNormal"/>
      </w:pPr>
    </w:p>
    <w:p w14:paraId="01DC5137" w14:textId="77777777" w:rsidR="003754FE" w:rsidRDefault="003754FE" w:rsidP="003754FE">
      <w:pPr>
        <w:pStyle w:val="TextoNormal"/>
      </w:pPr>
      <w:r>
        <w:t>a) El Tribunal Supremo estima que la “sustracción” requerida por el tipo penal aplicado (el art. 432.1 CP en su redacción anterior a la Ley Orgánica 1/2015, de 30 de marzo) puede producirse cuando “el caudal público se aparta definitivamente del patrimonio público desviándolo de las necesidades del servicio”. Esto ocurriría, en todo caso, cuando los actos de disposición de los caudales públicos se realizan de forma “arbitraria” y “libérrima”, como si se tratase de bienes pertenecientes a la autoridad que dispone de ellos, con completo apartamiento de los cauces, procedimientos y controles legalmente aplicables. Según razona el Tribunal Supremo, la autoridad o funcionario dispone, en ese tipo de supuestos, del dinero público “como si fuera propio”. La finalidad pública, concluye la sentencia, “viene condicionada al cumplimiento de las exigencias legales”, por lo que un incumplimiento “absoluto” de esas exigencias implica, en sí mismo, la sustracción a una finalidad legítima y, con ello, un acto dispositivo que conlleva una apropiación.</w:t>
      </w:r>
    </w:p>
    <w:p w14:paraId="1B371572" w14:textId="77777777" w:rsidR="003754FE" w:rsidRDefault="003754FE" w:rsidP="003754FE">
      <w:pPr>
        <w:pStyle w:val="TextoNormal"/>
      </w:pPr>
    </w:p>
    <w:p w14:paraId="01BD4F48" w14:textId="77777777" w:rsidR="003754FE" w:rsidRDefault="003754FE" w:rsidP="003754FE">
      <w:pPr>
        <w:pStyle w:val="TextoNormal"/>
      </w:pPr>
      <w:r>
        <w:t>Esta interpretación del concepto de “sustracción” no ha sido cuestionada por el recurrente de amparo. En todo caso, ya en la STC 94/2024, FJ 5.2, se ha señalado que dicha interpretación resulta compatible, abstractamente considerada, con el derecho fundamental a la legalidad penal contemplado en el art. 25.1 CE.</w:t>
      </w:r>
    </w:p>
    <w:p w14:paraId="0184E4C8" w14:textId="77777777" w:rsidR="003754FE" w:rsidRDefault="003754FE" w:rsidP="003754FE">
      <w:pPr>
        <w:pStyle w:val="TextoNormal"/>
      </w:pPr>
    </w:p>
    <w:p w14:paraId="2B5DEAC4" w14:textId="77777777" w:rsidR="003754FE" w:rsidRDefault="003754FE" w:rsidP="003754FE">
      <w:pPr>
        <w:pStyle w:val="TextoNormal"/>
      </w:pPr>
      <w:r>
        <w:t>b) El Tribunal Supremo concreta cómo se ha producido, en el presente caso, la “sustracción” de los caudales públicos. Considera que, más allá de la utilización de las transferencias de financiación “como artificio contable para eludir la normativa de subvenciones”, conducta en sí misma determinante del delito de prevaricación, se dispuso después “de los fondos públicos presupuestados al margen de todo control y de forma libérrima y arbitraria” (fundamento de Derecho 33, pág. 320). El manejo de los caudales se realizó “como si fueran propios, en favor de empresas y personas libremente determinadas y según las preferencias e intereses políticos de las autoridades que concedían las subvenciones”, en particular “[s]in bases de convocatoria, sin publicidad, en ocasiones sin precisar el objeto de la ayuda, y sin el cumplimiento de todo el amplio sistema de controles y garantías establecido en la ley” (fundamento 33, pág. 321).</w:t>
      </w:r>
    </w:p>
    <w:p w14:paraId="3617C9A5" w14:textId="77777777" w:rsidR="003754FE" w:rsidRDefault="003754FE" w:rsidP="003754FE">
      <w:pPr>
        <w:pStyle w:val="TextoNormal"/>
      </w:pPr>
    </w:p>
    <w:p w14:paraId="30ECAF57" w14:textId="77777777" w:rsidR="003754FE" w:rsidRDefault="003754FE" w:rsidP="003754FE">
      <w:pPr>
        <w:pStyle w:val="TextoNormal"/>
      </w:pPr>
      <w:r>
        <w:t>Se articuló, en definitiva, según señala el Tribunal Supremo, “un sistema para dotar de fondos a la Dirección General de Trabajo de la Junta de Andalucía para que esta dispusiera de ellos libremente”, sin que pueda “afirmarse siquiera que las ayudas concedidas cumplieran un fin público porque se concedieron, no ya al margen de todo control, sino al margen de cualquier criterio mínimamente objetivo y reglado y de forma absolutamente arbitraria”. Concluye la Sala de lo Penal que “las irregularidades advertidas en el proceso de concesión son tan graves y contumaces que excluyen la satisfacción de intereses públicos” (fundamento de Derecho 33, págs. 324-326).</w:t>
      </w:r>
    </w:p>
    <w:p w14:paraId="0398E115" w14:textId="77777777" w:rsidR="003754FE" w:rsidRDefault="003754FE" w:rsidP="003754FE">
      <w:pPr>
        <w:pStyle w:val="TextoNormal"/>
      </w:pPr>
    </w:p>
    <w:p w14:paraId="03317FB2" w14:textId="77777777" w:rsidR="003754FE" w:rsidRDefault="003754FE" w:rsidP="003754FE">
      <w:pPr>
        <w:pStyle w:val="TextoNormal"/>
      </w:pPr>
      <w:r>
        <w:t xml:space="preserve">c) Al igual que la Audiencia Provincial, el Tribunal Supremo estima que fue la aprobación “en contra de lo establecido en las leyes” de las partidas presupuestarias —y el incremento de su crédito inicial a través de las correspondientes modificaciones presupuestarias—, lo que posibilitó un “descontrol absoluto en la concesión de las ayudas sociolaborales”. Fue, por tanto, “el indebido criterio de presupuestación” el que “hizo posible la concesión de las ayudas y eso permite también afirmar la vinculación causal entre el criterio de </w:t>
      </w:r>
      <w:r>
        <w:lastRenderedPageBreak/>
        <w:t>presupuestación y la falta de control y demás ilegalidades producidas en el proceso de concesión de las ayudas” (fundamento de Derecho 37.2, pág. 348).</w:t>
      </w:r>
    </w:p>
    <w:p w14:paraId="1E5C8C76" w14:textId="77777777" w:rsidR="003754FE" w:rsidRDefault="003754FE" w:rsidP="003754FE">
      <w:pPr>
        <w:pStyle w:val="TextoNormal"/>
      </w:pPr>
    </w:p>
    <w:p w14:paraId="38870776" w14:textId="77777777" w:rsidR="003754FE" w:rsidRDefault="003754FE" w:rsidP="003754FE">
      <w:pPr>
        <w:pStyle w:val="TextoNormal"/>
      </w:pPr>
      <w:r>
        <w:t>Las “ilegalidades” directamente vinculadas al “indebido criterio de presupuestación” utilizado son sintetizadas por el Tribunal Supremo del siguiente modo: “La Consejería de Empleo no tramitó ante la Intervención de la Junta de Andalucía los expedientes de concesión de las ayudas porque presupuestariamente no disponía de fondos para su concesión ya que los había transferido al IFA/IDEA. Por su parte, IFA/IDEA no tenía que tramitar expediente alguno porque no concedía las ayudas (solo las pagaba) y esos pagos no estaban sometidos a fiscalización previa porque el ente estaba sujeto a control financiero, cuyo objeto no era la fiscalización de las ayudas, sino la fiscalización de la transferencia recibida, a cuyo fin, además, se contabilizaban los pagos de las ayudas como gastos de explotación, criterio de contabilización incorrecto dado que esos pagos no eran debidos al ejercicio de la actividad propia del ente público” (aspecto este último en el que el Tribunal Supremo incurre en contradicción con lo que señala la Audiencia Provincial en el fundamento jurídico 18 de la sentencia de instancia, donde se consigna que los pagos fueron correctamente contabilizados como meras operaciones de tesorería y que lo incorrecto fue su presupuestación como gastos de explotación).</w:t>
      </w:r>
    </w:p>
    <w:p w14:paraId="49794E99" w14:textId="77777777" w:rsidR="003754FE" w:rsidRDefault="003754FE" w:rsidP="003754FE">
      <w:pPr>
        <w:pStyle w:val="TextoNormal"/>
      </w:pPr>
    </w:p>
    <w:p w14:paraId="2E482883" w14:textId="77777777" w:rsidR="003754FE" w:rsidRDefault="003754FE" w:rsidP="003754FE">
      <w:pPr>
        <w:pStyle w:val="TextoNormal"/>
      </w:pPr>
      <w:r>
        <w:t>De ello deduce el Alto Tribunal que hubo “vinculación causal entre las decisiones adoptadas al aprobar los proyectos de ley de presupuestos y las modificaciones presupuestarias y el modo posterior de gestión de esos fondos” (fundamento de Derecho 37.2, pág. 349).</w:t>
      </w:r>
    </w:p>
    <w:p w14:paraId="3B5010A9" w14:textId="77777777" w:rsidR="003754FE" w:rsidRDefault="003754FE" w:rsidP="003754FE">
      <w:pPr>
        <w:pStyle w:val="TextoNormal"/>
      </w:pPr>
    </w:p>
    <w:p w14:paraId="483C9B8B" w14:textId="77777777" w:rsidR="003754FE" w:rsidRDefault="003754FE" w:rsidP="003754FE">
      <w:pPr>
        <w:pStyle w:val="TextoNormal"/>
      </w:pPr>
      <w:r>
        <w:t>d) El Tribunal Supremo precisa que la condena por malversación de don Francisco Vallejo Serrano se sustenta, tal y como señala también la sentencia de instancia, en su doble intervención en el proceso de concesión de las ayudas: primero, como consejero de Innovación, Ciencia y Empresa, en la fase de presupuestación y, después, en calidad de presidente del IFA/IDEA, en la fase de ejecución o gestión (fundamento de Derecho 118.4, págs. 888-889).</w:t>
      </w:r>
    </w:p>
    <w:p w14:paraId="0F209595" w14:textId="77777777" w:rsidR="003754FE" w:rsidRDefault="003754FE" w:rsidP="003754FE">
      <w:pPr>
        <w:pStyle w:val="TextoNormal"/>
      </w:pPr>
    </w:p>
    <w:p w14:paraId="4735092C" w14:textId="77777777" w:rsidR="003754FE" w:rsidRDefault="003754FE" w:rsidP="003754FE">
      <w:pPr>
        <w:pStyle w:val="TextoNormal"/>
      </w:pPr>
      <w:r>
        <w:t>e) En cuanto a la “fase de presupuestación”, el Alto Tribunal funda la condena del recurrente en los siguientes argumentos:</w:t>
      </w:r>
    </w:p>
    <w:p w14:paraId="1DC9B19E" w14:textId="77777777" w:rsidR="003754FE" w:rsidRDefault="003754FE" w:rsidP="003754FE">
      <w:pPr>
        <w:pStyle w:val="TextoNormal"/>
      </w:pPr>
    </w:p>
    <w:p w14:paraId="54F2F524" w14:textId="77777777" w:rsidR="003754FE" w:rsidRDefault="003754FE" w:rsidP="003754FE">
      <w:pPr>
        <w:pStyle w:val="TextoNormal"/>
      </w:pPr>
      <w:r>
        <w:t>(i) Estima la Sala de lo Penal que la aprobación de los proyectos de leyes de presupuestos y de las correspondientes modificaciones presupuestarias supone tanto una contribución activa para la comisión de “la acción típica” de “sustraer” —pues sin la aprobación de los presupuestos y las modificaciones presupuestarias no habría sido posible la gestión libérrima de las ayudas— como también la “omisión de medidas eficaces para evitar el dispendio, una vez que fue conocido”, lo que puede subsumirse en la modalidad comisiva consistente en “consentir que otro sustraiga” (fundamento de Derecho 35.2, pág. 341).</w:t>
      </w:r>
    </w:p>
    <w:p w14:paraId="02770E3F" w14:textId="77777777" w:rsidR="003754FE" w:rsidRDefault="003754FE" w:rsidP="003754FE">
      <w:pPr>
        <w:pStyle w:val="TextoNormal"/>
      </w:pPr>
    </w:p>
    <w:p w14:paraId="5F10DF80" w14:textId="77777777" w:rsidR="003754FE" w:rsidRDefault="003754FE" w:rsidP="003754FE">
      <w:pPr>
        <w:pStyle w:val="TextoNormal"/>
      </w:pPr>
      <w:r>
        <w:t xml:space="preserve">(ii) La sentencia dedica un especial desarrollo argumental a la subsunción en la modalidad omisiva de malversación de los hechos cometidos por quienes participaron en la aprobación de los “instrumentos de presupuestación”. Afirma que “una autoridad o funcionario” no solo puede incurrir en esta modalidad omisiva permitiendo la acción sustractora de terceros ajenos a la función pública, sino también consintiendo, con la “dejación de la obligación de defensa del patrimonio”, la actuación ilícita de otros funcionarios públicos que están situados en una escala jerárquica inferior o que intervienen en un eslabón distinto del </w:t>
      </w:r>
      <w:r>
        <w:lastRenderedPageBreak/>
        <w:t>proceso global de gestión de los caudales. En palabras de la sentencia casacional “una autoridad o funcionario puede consentir la sustracción por otro funcionario y ello es posible precisamente porque las competencias sobre la gestión de los fondos públicos pueden ser concurrentes” (fundamento de Derecho 36.2, pág. 345).</w:t>
      </w:r>
    </w:p>
    <w:p w14:paraId="31A67094" w14:textId="77777777" w:rsidR="003754FE" w:rsidRDefault="003754FE" w:rsidP="003754FE">
      <w:pPr>
        <w:pStyle w:val="TextoNormal"/>
      </w:pPr>
    </w:p>
    <w:p w14:paraId="70B7AA66" w14:textId="77777777" w:rsidR="003754FE" w:rsidRDefault="003754FE" w:rsidP="003754FE">
      <w:pPr>
        <w:pStyle w:val="TextoNormal"/>
      </w:pPr>
      <w:r>
        <w:t>Por tal razón, las autoridades que intervenían en la fase de presupuestación pudieron “consentir” o permitir que las autoridades o funcionarios que después intervinieron en la fase de gestión de los fondos presupuestados realizaran los actos de disposición con los que se materializó la efectiv</w:t>
      </w:r>
      <w:r w:rsidRPr="003754FE">
        <w:rPr>
          <w:i/>
        </w:rPr>
        <w:t>a sustracci</w:t>
      </w:r>
      <w:r>
        <w:t>ón de los caudales.</w:t>
      </w:r>
    </w:p>
    <w:p w14:paraId="12351F67" w14:textId="77777777" w:rsidR="003754FE" w:rsidRDefault="003754FE" w:rsidP="003754FE">
      <w:pPr>
        <w:pStyle w:val="TextoNormal"/>
      </w:pPr>
    </w:p>
    <w:p w14:paraId="0A12715A" w14:textId="77777777" w:rsidR="003754FE" w:rsidRDefault="003754FE" w:rsidP="003754FE">
      <w:pPr>
        <w:pStyle w:val="TextoNormal"/>
      </w:pPr>
      <w:r>
        <w:t>(iii) En lo que se refiere a la “posición de garantía” que sustenta la condena por esa modalidad omisiva de malversación en la fase de presupuestación, la sentencia casacional sostiene que las personas condenadas por su intervención en la elaboración de los presupuestos y de las modificaciones presupuestarias tenían “competencias funcionales para evitar la sustracción”, pero “no hicieron nada” y “[n]o solo eso, autorizaron año a año, con incumplimiento patente de la legalidad, las partidas presupuestarias que hicieron posible la concesión y pago de las ayudas” (fundamento de Derecho 36.2, pág. 346).</w:t>
      </w:r>
    </w:p>
    <w:p w14:paraId="2EAF4F5A" w14:textId="77777777" w:rsidR="003754FE" w:rsidRDefault="003754FE" w:rsidP="003754FE">
      <w:pPr>
        <w:pStyle w:val="TextoNormal"/>
      </w:pPr>
    </w:p>
    <w:p w14:paraId="1AC5BE61" w14:textId="77777777" w:rsidR="003754FE" w:rsidRDefault="003754FE" w:rsidP="003754FE">
      <w:pPr>
        <w:pStyle w:val="TextoNormal"/>
      </w:pPr>
      <w:r>
        <w:t>Según el Tribunal Supremo, “las autoridades condenadas por intervenir en el proceso de presupuestación” tenían “funcionalmente asignada la competencia para decidir sobre el destino de los fondos públicos, aprobando o no las correspondientes partidas presupuestarias, sin cuya existencia la concesión y pago de las ayudas no habría sido posible, y todos aquellos que conocieron las ilegalidades en su concesión y pago, contribuyeron causalmente al desarrollo de la acción en la medida en que no lo impidieron” (fundamento jurídico 37.2, pág. 348).</w:t>
      </w:r>
    </w:p>
    <w:p w14:paraId="45EA1C38" w14:textId="77777777" w:rsidR="003754FE" w:rsidRDefault="003754FE" w:rsidP="003754FE">
      <w:pPr>
        <w:pStyle w:val="TextoNormal"/>
      </w:pPr>
    </w:p>
    <w:p w14:paraId="45839037" w14:textId="77777777" w:rsidR="003754FE" w:rsidRDefault="003754FE" w:rsidP="003754FE">
      <w:pPr>
        <w:pStyle w:val="TextoNormal"/>
      </w:pPr>
      <w:r>
        <w:t>(iv) En el caso particular del recurrente de amparo, estima la Sala de lo Penal que, a diferencia de otros miembros del Consejo de Gobierno que no han sido condenados, tuvo conocimiento directo, como presidente del IFA/IDEA, de las “irregularidades que se estaban produciendo en la gestión de los fondos”, lo que generaba una obligación de actuar que no podía alcanzar, en cambio, a quien ignoraba la existencia de tales irregularidades (fundamento de Derecho 118.4, pág. 889).</w:t>
      </w:r>
    </w:p>
    <w:p w14:paraId="374F06CF" w14:textId="77777777" w:rsidR="003754FE" w:rsidRDefault="003754FE" w:rsidP="003754FE">
      <w:pPr>
        <w:pStyle w:val="TextoNormal"/>
      </w:pPr>
    </w:p>
    <w:p w14:paraId="7CEF0A37" w14:textId="77777777" w:rsidR="003754FE" w:rsidRDefault="003754FE" w:rsidP="003754FE">
      <w:pPr>
        <w:pStyle w:val="TextoNormal"/>
      </w:pPr>
      <w:r>
        <w:t>f) En cuanto a la intervención del recurrente en la fase de ejecución o gestión de las ayudas sociolaborales y a empresas en crisis, el Tribunal Supremo aclara que la condena de la malversación “tiene como fundamento un comportamiento omisivo” (fundamento de Derecho 118.2, pág. 886). Añade el Tribunal Supremo que “la sentencia de instancia precisa las competencias del señor Vallejo Serrano sobre el control de los fondos y la conducta que se le atribuye es omisiva, permitir la distribución ilegal de fondos” pese a que conocía “las irregularidades concretas que se producían” (fundamento 118.3, pág. 887).</w:t>
      </w:r>
    </w:p>
    <w:p w14:paraId="22550E22" w14:textId="77777777" w:rsidR="003754FE" w:rsidRDefault="003754FE" w:rsidP="003754FE">
      <w:pPr>
        <w:pStyle w:val="TextoNormal"/>
      </w:pPr>
    </w:p>
    <w:p w14:paraId="69FAB8A7" w14:textId="77777777" w:rsidR="003754FE" w:rsidRDefault="003754FE" w:rsidP="003754FE">
      <w:pPr>
        <w:pStyle w:val="TextoNormal"/>
      </w:pPr>
      <w:r>
        <w:t>Concluye, en definitiva, que, como presidente del IFA/IDEA, el demandante “realizó una serie de acciones que tienen en común la permisividad frente a lo que estaba ocurriendo con los fondos públicos, también descritas en los hechos probados” (fundamento de Derecho 118.3, pág. 889).</w:t>
      </w:r>
    </w:p>
    <w:p w14:paraId="3452C5A9" w14:textId="77777777" w:rsidR="003754FE" w:rsidRDefault="003754FE" w:rsidP="003754FE">
      <w:pPr>
        <w:pStyle w:val="TextoNormal"/>
      </w:pPr>
    </w:p>
    <w:p w14:paraId="4AF3994B" w14:textId="77777777" w:rsidR="003754FE" w:rsidRDefault="003754FE" w:rsidP="003754FE">
      <w:pPr>
        <w:pStyle w:val="TextoNormal"/>
      </w:pPr>
      <w:r>
        <w:t>6.3</w:t>
      </w:r>
      <w:r w:rsidRPr="003754FE">
        <w:rPr>
          <w:i/>
        </w:rPr>
        <w:t>. Enjuiciamiento de la que</w:t>
      </w:r>
      <w:r>
        <w:t>ja</w:t>
      </w:r>
    </w:p>
    <w:p w14:paraId="5CFA0A9B" w14:textId="77777777" w:rsidR="003754FE" w:rsidRDefault="003754FE" w:rsidP="003754FE">
      <w:pPr>
        <w:pStyle w:val="TextoNormal"/>
      </w:pPr>
    </w:p>
    <w:p w14:paraId="3DE1DB5C" w14:textId="77777777" w:rsidR="003754FE" w:rsidRDefault="003754FE" w:rsidP="003754FE">
      <w:pPr>
        <w:pStyle w:val="TextoNormal"/>
      </w:pPr>
      <w:r>
        <w:lastRenderedPageBreak/>
        <w:t>La fundamentación empleada en las resoluciones impugnadas pone de manifiesto que la condena del demandante de amparo por el delito de malversación se sustenta en la realización de conductas diversas que habrían supuesto:</w:t>
      </w:r>
    </w:p>
    <w:p w14:paraId="241F0D50" w14:textId="77777777" w:rsidR="003754FE" w:rsidRDefault="003754FE" w:rsidP="003754FE">
      <w:pPr>
        <w:pStyle w:val="TextoNormal"/>
      </w:pPr>
    </w:p>
    <w:p w14:paraId="57BE9C29" w14:textId="77777777" w:rsidR="003754FE" w:rsidRDefault="003754FE" w:rsidP="003754FE">
      <w:pPr>
        <w:pStyle w:val="TextoNormal"/>
      </w:pPr>
      <w:r>
        <w:t>a) De un lado, una contribución “activa” a la materialización de la “sustracción” sancionada en el art. 432.1 CP, pues sin el “indebido criterio de presupuestación”, en cuya aprobación participó el recurrente en su condición de miembro del Consejo de Gobierno, no se habrían omitido los trámites y requisitos propios del régimen de las subvenciones y no se habría materializado el “descontrol absoluto” en la concesión de las ayudas.</w:t>
      </w:r>
    </w:p>
    <w:p w14:paraId="4785FE37" w14:textId="77777777" w:rsidR="003754FE" w:rsidRDefault="003754FE" w:rsidP="003754FE">
      <w:pPr>
        <w:pStyle w:val="TextoNormal"/>
      </w:pPr>
    </w:p>
    <w:p w14:paraId="31E2CFF6" w14:textId="77777777" w:rsidR="003754FE" w:rsidRDefault="003754FE" w:rsidP="003754FE">
      <w:pPr>
        <w:pStyle w:val="TextoNormal"/>
      </w:pPr>
      <w:r>
        <w:t>b) Una contribución “omisiva” a esa misma “sustracción” sancionada expresamente en el mismo precepto del Código penal, pues el recurrente de amparo, a sabiendas de las irregularidades que se materializaban en la gestión de las ayudas como consecuencia de ese sistema indebido de presupuestación: (i) no utilizó su posición institucional, como consejero de Innovación, Ciencia y Empresa, en el proceso de aprobación de los presupuestos y las modificaciones presupuestarias para evitar que esas irregularidades se repitiesen en los ejercicios siguientes; (ii) tampoco utilizó su posición institucional, como presidente del IFA/IDEA, para evitar que el consejo rector de esta entidad siguiera autorizando al director general de dicha agencia la firma de nuevos convenios con la Consejería de Empleo y Desarrollo Tecnológico a efectos de realizar el pago de las ayudas. En definitiva, tanto en su condición de miembro del Consejo de Gobierno como en la de presidente del IFA/IDEA, el recurrente “consintió” que las autoridades o funcionarios que gestionaban las ayudas las “sustrajeran” nuevamente de sus fines públicos legítimos a través de una gestión global “libérrima” y “arbitraria”.</w:t>
      </w:r>
    </w:p>
    <w:p w14:paraId="6B780D75" w14:textId="77777777" w:rsidR="003754FE" w:rsidRDefault="003754FE" w:rsidP="003754FE">
      <w:pPr>
        <w:pStyle w:val="TextoNormal"/>
      </w:pPr>
    </w:p>
    <w:p w14:paraId="6EC72751" w14:textId="77777777" w:rsidR="003754FE" w:rsidRDefault="003754FE" w:rsidP="003754FE">
      <w:pPr>
        <w:pStyle w:val="TextoNormal"/>
      </w:pPr>
      <w:r>
        <w:t>Siendo este el fundamento de la condena del recurrente, es claro que las conclusiones alcanzadas en el fundamento jurídico 5 tienen influjo directo sobre la evaluación de la posible vulneración del derecho a la legalidad penal (art. 25.1 CE) en la condena por delito de malversación. Hemos de distinguir, por tal razón: (A) la subsunción en el tipo penal de malversación de aquellos hechos probados que se refieren a las irregularidades en la gestión global de las ayudas sociolaborales y a empresas en crisis; y (B) la subsunción en el delito de malversación de las concretas aplicaciones de fondos públicos sin cobertura en el programa 31L.</w:t>
      </w:r>
    </w:p>
    <w:p w14:paraId="4A0E8352" w14:textId="77777777" w:rsidR="003754FE" w:rsidRDefault="003754FE" w:rsidP="003754FE">
      <w:pPr>
        <w:pStyle w:val="TextoNormal"/>
      </w:pPr>
    </w:p>
    <w:p w14:paraId="4815DE57" w14:textId="77777777" w:rsidR="003754FE" w:rsidRDefault="003754FE" w:rsidP="003754FE">
      <w:pPr>
        <w:pStyle w:val="TextoNormal"/>
      </w:pPr>
      <w:r>
        <w:t xml:space="preserve">A) </w:t>
      </w:r>
      <w:r w:rsidRPr="003754FE">
        <w:rPr>
          <w:i/>
        </w:rPr>
        <w:t>Hechos probados que se refieren globalmente a la forma de gestión de las transferencias de financiación derivada de un “indebido” sistema de presupuestación</w:t>
      </w:r>
    </w:p>
    <w:p w14:paraId="2C2BC1DF" w14:textId="77777777" w:rsidR="003754FE" w:rsidRDefault="003754FE" w:rsidP="003754FE">
      <w:pPr>
        <w:pStyle w:val="TextoNormal"/>
      </w:pPr>
    </w:p>
    <w:p w14:paraId="3D22D8EB" w14:textId="77777777" w:rsidR="003754FE" w:rsidRDefault="003754FE" w:rsidP="003754FE">
      <w:pPr>
        <w:pStyle w:val="TextoNormal"/>
      </w:pPr>
      <w:r>
        <w:t>a</w:t>
      </w:r>
      <w:r w:rsidRPr="003754FE">
        <w:rPr>
          <w:i/>
        </w:rPr>
        <w:t>) Modalidad activa del delito de malversaci</w:t>
      </w:r>
      <w:r>
        <w:t>ón</w:t>
      </w:r>
    </w:p>
    <w:p w14:paraId="01156096" w14:textId="77777777" w:rsidR="003754FE" w:rsidRDefault="003754FE" w:rsidP="003754FE">
      <w:pPr>
        <w:pStyle w:val="TextoNormal"/>
      </w:pPr>
    </w:p>
    <w:p w14:paraId="34E6ACEA" w14:textId="77777777" w:rsidR="003754FE" w:rsidRDefault="003754FE" w:rsidP="003754FE">
      <w:pPr>
        <w:pStyle w:val="TextoNormal"/>
      </w:pPr>
      <w:r>
        <w:t xml:space="preserve">Según razonan las resoluciones impugnadas, el recurrente, al participar por razón de su cargo de consejero de Innovación, Ciencia y Empresa en la elaboración de los presupuestos y las modificaciones presupuestarias de los años 2005 a 2009, habría realizado una contribución necesaria para que las ayudas sociolaborales y a empresas en crisis pudieran gestionarse sin sujeción al régimen jurídico de las subvenciones. Como reiteran, en diversos pasajes, las sentencias de instancia y casación, el “indebido criterio de presupuestación” habría dado lugar a la consiguiente “sustracción” de los caudales públicos, consistente en la omisión radical y absoluta del régimen jurídico previsto para las subvenciones, un régimen al </w:t>
      </w:r>
      <w:r>
        <w:lastRenderedPageBreak/>
        <w:t>que las ayudas sociolaborales y a empresas en crisis sí se habrían sometido, en cambio, si hubieran sido correctamente presupuestadas.</w:t>
      </w:r>
    </w:p>
    <w:p w14:paraId="42AF6166" w14:textId="77777777" w:rsidR="003754FE" w:rsidRDefault="003754FE" w:rsidP="003754FE">
      <w:pPr>
        <w:pStyle w:val="TextoNormal"/>
      </w:pPr>
    </w:p>
    <w:p w14:paraId="591F4AB4" w14:textId="77777777" w:rsidR="003754FE" w:rsidRDefault="003754FE" w:rsidP="003754FE">
      <w:pPr>
        <w:pStyle w:val="TextoNormal"/>
      </w:pPr>
      <w:r>
        <w:t>Esta subsunción en la modalidad activa del delito de malversación resulta imprevisible y, por ello, contraria al art. 25.1 CE por dos razones fundamentales:</w:t>
      </w:r>
    </w:p>
    <w:p w14:paraId="2D8ACDA8" w14:textId="77777777" w:rsidR="003754FE" w:rsidRDefault="003754FE" w:rsidP="003754FE">
      <w:pPr>
        <w:pStyle w:val="TextoNormal"/>
      </w:pPr>
    </w:p>
    <w:p w14:paraId="1783900C" w14:textId="77777777" w:rsidR="003754FE" w:rsidRDefault="003754FE" w:rsidP="003754FE">
      <w:pPr>
        <w:pStyle w:val="TextoNormal"/>
      </w:pPr>
      <w:r>
        <w:t>(i) En primer lugar, el sistema de presupuestación contemplado en un anteproyecto o proyecto de ley de presupuestos solo puede ser considerado “indebido” o “ilícito” —y en tal concepto generador de un sistema de gestión igualmente indebido o ilegal— si es sometido a control o escrutinio jurídico, lo que no puede hacer ningún órgano judicial, tampoco los órganos de la jurisdicción penal.</w:t>
      </w:r>
    </w:p>
    <w:p w14:paraId="1D79DB55" w14:textId="77777777" w:rsidR="003754FE" w:rsidRDefault="003754FE" w:rsidP="003754FE">
      <w:pPr>
        <w:pStyle w:val="TextoNormal"/>
      </w:pPr>
    </w:p>
    <w:p w14:paraId="4C6FAE46" w14:textId="77777777" w:rsidR="003754FE" w:rsidRDefault="003754FE" w:rsidP="003754FE">
      <w:pPr>
        <w:pStyle w:val="TextoNormal"/>
      </w:pPr>
      <w:r>
        <w:t>Como se señaló en la STC 93/2024, FJ 4.4.1 a), la doctrina de este tribunal establece “con toda claridad que el contenido de los anteproyectos y proyectos de ley no puede ser objeto de control por ningún órgano judicial” y que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tal y como ya se ha expuesto”.</w:t>
      </w:r>
    </w:p>
    <w:p w14:paraId="345EEDB2" w14:textId="77777777" w:rsidR="003754FE" w:rsidRDefault="003754FE" w:rsidP="003754FE">
      <w:pPr>
        <w:pStyle w:val="TextoNormal"/>
      </w:pPr>
    </w:p>
    <w:p w14:paraId="62E8134B" w14:textId="77777777" w:rsidR="003754FE" w:rsidRDefault="003754FE" w:rsidP="003754FE">
      <w:pPr>
        <w:pStyle w:val="TextoNormal"/>
      </w:pPr>
      <w:r>
        <w:t>Las resoluciones impugnadas, al considerar que los anteproyectos y proyectos de leyes de presupuestos en cuya elaboración participó el actor establecían un sistema de presupuestación “indebido” o “ilegal”, causalmente determinante de la posterior malversación, han realizado un control jurídico del contenido de los actos de iniciativa legislativa del Gobierno que les estaba constitucionalmente vedado. El ejercicio de ese control jurídico indebido produce, por sí solo, una subsunción completamente imprevisible en el tipo penal de la malversación, pues nadie puede esperar razonablemente que será penalmente condenado por la “ilegalidad” de un acto cuyo contenido no es susceptible de ser fiscalizado por la jurisdicción penal.</w:t>
      </w:r>
    </w:p>
    <w:p w14:paraId="3283B7A3" w14:textId="77777777" w:rsidR="003754FE" w:rsidRDefault="003754FE" w:rsidP="003754FE">
      <w:pPr>
        <w:pStyle w:val="TextoNormal"/>
      </w:pPr>
    </w:p>
    <w:p w14:paraId="521E0CE0" w14:textId="77777777" w:rsidR="003754FE" w:rsidRDefault="003754FE" w:rsidP="003754FE">
      <w:pPr>
        <w:pStyle w:val="TextoNormal"/>
      </w:pPr>
      <w:r>
        <w:t xml:space="preserve">(ii) El juicio de “ilegalidad” que las sentencias impugnadas efectúan del sistema de presupuestación contemplado en los anteproyectos y proyectos de leyes de presupuestos desconoce, igualmente, que dichas iniciativas legislativas carecen de cualquier eficacia jurídica </w:t>
      </w:r>
      <w:r w:rsidRPr="003754FE">
        <w:rPr>
          <w:i/>
        </w:rPr>
        <w:t>ad extra</w:t>
      </w:r>
      <w:r>
        <w:t xml:space="preserve"> mientras no sean aprobadas por el Parlamento, momento en el que adquieren rango de ley y a partir del cual han de considerarse válidas y obligatorias, sin que puedan constituir la fuente de actos de disposición “ilícita” de caudales públicos a efectos de condenar por delito de malversación.</w:t>
      </w:r>
    </w:p>
    <w:p w14:paraId="7D8EE065" w14:textId="77777777" w:rsidR="003754FE" w:rsidRDefault="003754FE" w:rsidP="003754FE">
      <w:pPr>
        <w:pStyle w:val="TextoNormal"/>
      </w:pPr>
    </w:p>
    <w:p w14:paraId="1BF0F5DD" w14:textId="77777777" w:rsidR="003754FE" w:rsidRDefault="003754FE" w:rsidP="003754FE">
      <w:pPr>
        <w:pStyle w:val="TextoNormal"/>
      </w:pPr>
      <w:r>
        <w:t>Como ya se señaló en la STC 93/2024, FJ 4.4.1 b), considerar que “la intervención del Parlamento en la aprobación del presupuesto es meramente formal, hasta el punto de concluir que no puede entenderse aprobado el sistema de presupuestación expresamente previsto en la ley al considerar que este sistema había sido establecido ilegalmente por el Gobierno en el proyecto de ley” implica “privar de toda relevancia a la aprobación parlamentaria de la ley” y “desconocer la centralidad del Parlamento andaluz en el entramado institucional diseñado estatutariamente”, lo que es contrario a los “principios que rigen nuestro sistema constitucional, en particular los que otorgan la centralidad al Parlamento en la conformación del Estado”.</w:t>
      </w:r>
    </w:p>
    <w:p w14:paraId="6BE88657" w14:textId="77777777" w:rsidR="003754FE" w:rsidRDefault="003754FE" w:rsidP="003754FE">
      <w:pPr>
        <w:pStyle w:val="TextoNormal"/>
      </w:pPr>
    </w:p>
    <w:p w14:paraId="3852EB5F" w14:textId="77777777" w:rsidR="003754FE" w:rsidRDefault="003754FE" w:rsidP="003754FE">
      <w:pPr>
        <w:pStyle w:val="TextoNormal"/>
      </w:pPr>
      <w:r>
        <w:t xml:space="preserve">La aprobación de anteproyectos y proyectos de leyes no puede considerarse, por tanto, un acto con eficacia jurídica </w:t>
      </w:r>
      <w:r w:rsidRPr="003754FE">
        <w:rPr>
          <w:i/>
        </w:rPr>
        <w:t>ad extra</w:t>
      </w:r>
      <w:r>
        <w:t xml:space="preserve"> desvinculada de su posterior aprobación parlamentaria; no es susceptible, por ello, de subsunción mínimamente previsible en la modalidad activa del delito de malversación consistente en “sustraer”, como pretendida fuente de “ilicitud” de un determinado sistema de gestión.</w:t>
      </w:r>
    </w:p>
    <w:p w14:paraId="3CF1A4D6" w14:textId="77777777" w:rsidR="003754FE" w:rsidRDefault="003754FE" w:rsidP="003754FE">
      <w:pPr>
        <w:pStyle w:val="TextoNormal"/>
      </w:pPr>
    </w:p>
    <w:p w14:paraId="401BD4B3" w14:textId="77777777" w:rsidR="003754FE" w:rsidRDefault="003754FE" w:rsidP="003754FE">
      <w:pPr>
        <w:pStyle w:val="TextoNormal"/>
      </w:pPr>
      <w:r>
        <w:t>b</w:t>
      </w:r>
      <w:r w:rsidRPr="003754FE">
        <w:rPr>
          <w:i/>
        </w:rPr>
        <w:t>) Modalidad omisiva del delito de malversaci</w:t>
      </w:r>
      <w:r>
        <w:t>ón</w:t>
      </w:r>
    </w:p>
    <w:p w14:paraId="68BF4EDB" w14:textId="77777777" w:rsidR="003754FE" w:rsidRDefault="003754FE" w:rsidP="003754FE">
      <w:pPr>
        <w:pStyle w:val="TextoNormal"/>
      </w:pPr>
    </w:p>
    <w:p w14:paraId="59887AC7" w14:textId="77777777" w:rsidR="003754FE" w:rsidRDefault="003754FE" w:rsidP="003754FE">
      <w:pPr>
        <w:pStyle w:val="TextoNormal"/>
      </w:pPr>
      <w:r>
        <w:t>En lo que se refiere a la modalidad omisiva consistente en “consentir que otro sustraiga”, la cobertura que las leyes de presupuestos de los años 2005 a 2009 daban a la utilización de las transferencias de financiación a la agencia IFA/IDEA para el pago de las ayudas sociolaborales y a empresas en crisis determina que la subsunción en el tipo de malversación resulte, igualmente, imprevisible desde la óptica del art. 25.1 CE, por las razones siguientes:</w:t>
      </w:r>
    </w:p>
    <w:p w14:paraId="64260695" w14:textId="77777777" w:rsidR="003754FE" w:rsidRDefault="003754FE" w:rsidP="003754FE">
      <w:pPr>
        <w:pStyle w:val="TextoNormal"/>
      </w:pPr>
    </w:p>
    <w:p w14:paraId="134644D8" w14:textId="77777777" w:rsidR="003754FE" w:rsidRDefault="003754FE" w:rsidP="003754FE">
      <w:pPr>
        <w:pStyle w:val="TextoNormal"/>
      </w:pPr>
      <w:r>
        <w:t>(i) En el delito de malversación no hay omisión sancionable si no existe, previamente, un resultado ilícito, esto es, si no hay un acto de “sustracción”. En la propia construcción del Tribunal Supremo, la omisión castigada en el tipo del art. 432 CP se concibe como una omisión “impropia”, también llamada “comisión por omisión”. Dicha modalidad omisiva no consiste en la mera inactividad de la autoridad o funcionario, esto es, en un simple incumplimiento de un deber de actuar. Lo que se atribuye a la autoridad o funcionario público en la modalidad omisiva del delito de malversación es, empleando los términos del art. 11 CP, la “no evitación” de un determinado resultado.</w:t>
      </w:r>
    </w:p>
    <w:p w14:paraId="6B80CF0C" w14:textId="77777777" w:rsidR="003754FE" w:rsidRDefault="003754FE" w:rsidP="003754FE">
      <w:pPr>
        <w:pStyle w:val="TextoNormal"/>
      </w:pPr>
    </w:p>
    <w:p w14:paraId="39F1444C" w14:textId="77777777" w:rsidR="003754FE" w:rsidRDefault="003754FE" w:rsidP="003754FE">
      <w:pPr>
        <w:pStyle w:val="TextoNormal"/>
      </w:pPr>
      <w:r>
        <w:t>El resultado que el recurrente de amparo tenía el deber de evitar era, según expone con toda claridad la sentencia de casación, la “sustracción” por terceros de los caudales públicos, entendida como la omisión global y absoluta, en la gestión de las ayudas sociolaborales y a empresas en crisis, de los requisitos y controles propios del régimen de las subvenciones.</w:t>
      </w:r>
    </w:p>
    <w:p w14:paraId="6454E931" w14:textId="77777777" w:rsidR="003754FE" w:rsidRDefault="003754FE" w:rsidP="003754FE">
      <w:pPr>
        <w:pStyle w:val="TextoNormal"/>
      </w:pPr>
    </w:p>
    <w:p w14:paraId="79667ADD" w14:textId="77777777" w:rsidR="003754FE" w:rsidRDefault="003754FE" w:rsidP="003754FE">
      <w:pPr>
        <w:pStyle w:val="TextoNormal"/>
      </w:pPr>
      <w:r>
        <w:t>Como se ha explicado, las resoluciones impugnadas entienden que el recurrente de amparo debió actuar para evitar esa “sustracción” en dos momentos distintos. Primero, al intervenir, como miembro del Consejo de Gobierno, en la fase de presupuestación de esas ayudas, pues sabía que ese sistema de presupuestación era indebido y generaba graves irregularidades en su posterior gestión. Después, en su calidad de presidente del IFA/IDEA, en la fase de gestión de las ayudas, ya que podía impedir que el consejo rector de la agencia autorizara la firma de nuevos convenios de colaboración con la Consejería de Empleo y Desarrollo Tecnológico y podía oponerse, en todo caso, a que la agencia que presidía siguiera siendo utilizada como entidad colaboradora para efectuar dichos pagos.</w:t>
      </w:r>
    </w:p>
    <w:p w14:paraId="53F030BE" w14:textId="77777777" w:rsidR="003754FE" w:rsidRDefault="003754FE" w:rsidP="003754FE">
      <w:pPr>
        <w:pStyle w:val="TextoNormal"/>
      </w:pPr>
    </w:p>
    <w:p w14:paraId="4AE7BD8E" w14:textId="77777777" w:rsidR="003754FE" w:rsidRDefault="003754FE" w:rsidP="003754FE">
      <w:pPr>
        <w:pStyle w:val="TextoNormal"/>
      </w:pPr>
      <w:r>
        <w:t>Sin embargo, como ya hemos señalado en la STC 94/2024, FJ 5.3, la consideración como “sustracción” del sistema global que fue empleado en la gestión de los fondos públicos destinados al pago de las ayudas sociolaborales y a empresas en crisis resulta contraria al art. 25.1 CE, pues es completamente imprevisible calificar como disposición “ilícita” la actuación conforme a los procedimientos y controles expresamente establecidos en las sucesivas leyes de presupuestos, como normas que tienen el mismo rango que cualquier otra ley.</w:t>
      </w:r>
    </w:p>
    <w:p w14:paraId="72AE94B4" w14:textId="77777777" w:rsidR="003754FE" w:rsidRDefault="003754FE" w:rsidP="003754FE">
      <w:pPr>
        <w:pStyle w:val="TextoNormal"/>
      </w:pPr>
    </w:p>
    <w:p w14:paraId="48ACC4D4" w14:textId="77777777" w:rsidR="003754FE" w:rsidRDefault="003754FE" w:rsidP="003754FE">
      <w:pPr>
        <w:pStyle w:val="TextoNormal"/>
      </w:pPr>
      <w:r>
        <w:t xml:space="preserve">Las transferencias de financiación comprendidas en el programa 31L fueron aprobadas en las sucesivas leyes de presupuestos de la Junta de Andalucía y concretamente, en lo que </w:t>
      </w:r>
      <w:r>
        <w:lastRenderedPageBreak/>
        <w:t>al recurrente de amparo se refiere, en las leyes de presupuestos de los años 2005 a 2009. En las referidas leyes de presupuestos se preveía expresamente que la concesión de las ayudas sociolaborales y a empresas en crisis del programa 31L se efectuaría mediante la firma de convenios particulares; también se contemplaba de forma explícita que el pago de las ayudas concedidas se materializara mediante transferencias de financiación al IFA/IDEA. Estas previsiones sobre la concesión, gestión y pago de las ayudas sociolaborales se incorporaron, por tanto, al ordenamiento jurídico como leyes. En consecuencia, las determinaciones contenidas en dichas leyes en relación con el régimen de concesión, control financiero y pago de las ayudas sociolaborales o a empresas en crisis (en concepto de “transferencias de financiación”) no podían ser calificadas de ilícitas o ilegales y la consiguiente consideración de la mera ejecución de tales determinaciones como una “sustracción” de fondos públicos constitutiva de delito de malversación resultaba, por tal razón, completamente imprevisible y contraria a las exigencias del art. 25.1 CE.</w:t>
      </w:r>
    </w:p>
    <w:p w14:paraId="74AF1084" w14:textId="77777777" w:rsidR="003754FE" w:rsidRDefault="003754FE" w:rsidP="003754FE">
      <w:pPr>
        <w:pStyle w:val="TextoNormal"/>
      </w:pPr>
    </w:p>
    <w:p w14:paraId="61444CBD" w14:textId="77777777" w:rsidR="003754FE" w:rsidRDefault="003754FE" w:rsidP="003754FE">
      <w:pPr>
        <w:pStyle w:val="TextoNormal"/>
      </w:pPr>
      <w:r>
        <w:t>Según señalamos en la citada STC 94/2024, nadie puede prever razonablemente que vaya a ser condenado por delito de malversación, esto es, por la disposición “ilícita” de caudales o efectos públicos, por realizar conductas que tienen cobertura en una norma con rango de ley que regula específicamente el supuesto de hecho al que ese individuo se enfrenta en su calidad de autoridad o funcionario público, pues tal ley, en tanto no sea declarada inconstitucional, ha de considerarse válida.</w:t>
      </w:r>
    </w:p>
    <w:p w14:paraId="19AB2AE0" w14:textId="77777777" w:rsidR="003754FE" w:rsidRDefault="003754FE" w:rsidP="003754FE">
      <w:pPr>
        <w:pStyle w:val="TextoNormal"/>
      </w:pPr>
    </w:p>
    <w:p w14:paraId="57FA65F5" w14:textId="77777777" w:rsidR="003754FE" w:rsidRDefault="003754FE" w:rsidP="003754FE">
      <w:pPr>
        <w:pStyle w:val="TextoNormal"/>
      </w:pPr>
      <w:r>
        <w:t>Es obvio que sin resultado típico susceptible de válida subsunción en la norma penal desaparece también toda posibilidad de subsumir en el mismo precepto la conducta omisiva impropia que castiga a la autoridad que no ha evitado la materialización de ese resultado. En otras palabras, si la omisión de formalidades y procedimientos por parte de las autoridades y funcionarios que intervenían en la gestión de los fondos estaba amparada en la ley, la supresión de esos controles no puede considerarse una “sustracción”; en consecuencia, las autoridades implicadas en la fase de presupuestación o en la materialización del pago de la ayudas, como era el caso del recurrente de amparo en su doble calidad de consejero de Innovación, Ciencia y Empresa y presidente del IFA/IDEA, no pudieron “consentir” sustracción alguna consistente en la supresión de tales trámites y controles.</w:t>
      </w:r>
    </w:p>
    <w:p w14:paraId="24765919" w14:textId="77777777" w:rsidR="003754FE" w:rsidRDefault="003754FE" w:rsidP="003754FE">
      <w:pPr>
        <w:pStyle w:val="TextoNormal"/>
      </w:pPr>
    </w:p>
    <w:p w14:paraId="5CA0674D" w14:textId="77777777" w:rsidR="003754FE" w:rsidRDefault="003754FE" w:rsidP="003754FE">
      <w:pPr>
        <w:pStyle w:val="TextoNormal"/>
      </w:pPr>
      <w:r>
        <w:t xml:space="preserve">(ii) Por las mismas razones ha de considerarse imprevisible la subsunción en la norma penal del deber de actuar supuestamente infringido por el recurrente. Según las resoluciones impugnadas, el demandante de amparo nada hizo, ni en su calidad de consejero de Innovación, Ciencia y Empresa ni tampoco en su condición de presidente del IFA/IDEA, para evitar las irregularidades que se consumaban en la gestión de las ayudas sociolaborales y a empresas en crisis como consecuencia del “indebido” sistema de presupuestación. Sin embargo, si esas irregularidades eran, como es la tesis de las sentencias impugnadas, la consecuencia necesaria del sistema de presupuestación del programa 31L y este había sido aprobado en las sucesivas leyes de presupuestos, el recurrente no tenía la obligación de oponerse a esas supuestas “ilegalidades”, pues no puede establecerse, como omisión sancionada en el delito de malversación, una exigencia de actuación </w:t>
      </w:r>
      <w:r w:rsidRPr="003754FE">
        <w:rPr>
          <w:i/>
        </w:rPr>
        <w:t>contra legem</w:t>
      </w:r>
      <w:r>
        <w:t>, esto es, una obligación de actuar para impedir la realización de actos que tienen expresa cobertura en las leyes de presupuestos en vigor. Tal cosa equivaldría a considerar que la conducta exigible al recurrente de amparo era impedir la aplicación, por parte de las autoridades y funcionarios competentes, de las previsiones expresamente contempladas en una norma con rango de ley.</w:t>
      </w:r>
    </w:p>
    <w:p w14:paraId="103FF88A" w14:textId="77777777" w:rsidR="003754FE" w:rsidRDefault="003754FE" w:rsidP="003754FE">
      <w:pPr>
        <w:pStyle w:val="TextoNormal"/>
      </w:pPr>
    </w:p>
    <w:p w14:paraId="21B72063" w14:textId="77777777" w:rsidR="003754FE" w:rsidRDefault="003754FE" w:rsidP="003754FE">
      <w:pPr>
        <w:pStyle w:val="TextoNormal"/>
      </w:pPr>
      <w:r>
        <w:lastRenderedPageBreak/>
        <w:t>En otras palabras, y en lo que a la concreta intervención del recurrente como presidente del IFA/IDEA se refiere, si la firma de convenios particulares con la Consejería de Empleo y Desarrollo Tecnológico y el posterior pago de esas ayudas a través de transferencias de financiación al IFA/IDEA eran actos que estaban expresamente contemplados en las leyes de presupuestos en vigor, el recurrente no podía tener el “deber de actuar” para evitar que esos convenios fueran firmados y que esos pagos fueran materializados, pues esas actuaciones eran ejecución de normas vigentes con rango de ley.</w:t>
      </w:r>
    </w:p>
    <w:p w14:paraId="17B130A5" w14:textId="77777777" w:rsidR="003754FE" w:rsidRDefault="003754FE" w:rsidP="003754FE">
      <w:pPr>
        <w:pStyle w:val="TextoNormal"/>
      </w:pPr>
    </w:p>
    <w:p w14:paraId="3073E76E" w14:textId="77777777" w:rsidR="003754FE" w:rsidRDefault="003754FE" w:rsidP="003754FE">
      <w:pPr>
        <w:pStyle w:val="TextoNormal"/>
      </w:pPr>
      <w:r>
        <w:t>Es importante reseñar, finalmente, que para alcanzar las conclusiones anteriores no es preciso pronunciarse sobre la eventual relación normativa de antinomia o complementariedad que pudiera existir entre el sistema de presupuestación establecido para las ayudas sociolaborales y a empresas en crisis en las sucesivas leyes de presupuestos de la comunidad autónoma Andalucía de los años 2002 a 2009 y las disposiciones previstas en otras normas de rango legal, como la Ley del Parlamento de Andalucía 5/1983, de 19 de julio, general de la hacienda pública de la Comunidad Autónoma de Andalucía o la Ley 38/2003, de 17 de noviembre. Las sentencias de instancia y casación son claras al considerar que existe una correspondencia absoluta entre el sistema de presupuestación aprobado por las leyes presupuestarias y el consiguiente sistema global de gestión de los fondos públicos sin sujeción al régimen de las subvenciones, rechazando, en diversos pasajes, que uno y otro puedan ser desconectados, ya que son eslabones sucesivos en la materialización de una “ilegalidad” originaria, contenida en el sistema de presupuestación inicialmente establecido. Es esa tesis de los órganos judiciales la que es objeto de escrutinio en este recurso de amparo y la que conduce, como se ha expresado, a apreciar que se ha producido una subsunción completamente imprevisible en el delito de malversación. A ella, por tanto, ha de ceñirse nuestro enjuiciamiento.</w:t>
      </w:r>
    </w:p>
    <w:p w14:paraId="41A7108E" w14:textId="77777777" w:rsidR="003754FE" w:rsidRDefault="003754FE" w:rsidP="003754FE">
      <w:pPr>
        <w:pStyle w:val="TextoNormal"/>
      </w:pPr>
    </w:p>
    <w:p w14:paraId="099FFE65" w14:textId="77777777" w:rsidR="003754FE" w:rsidRDefault="003754FE" w:rsidP="003754FE">
      <w:pPr>
        <w:pStyle w:val="TextoNormal"/>
      </w:pPr>
      <w:r>
        <w:t>La jurisdicción que nos corresponde ejercer en este proceso constitucional se circunscribe a la revisión de una condena penal desde la perspectiva tuitiva que es propia del derecho a la legalidad en materia sancionadora (art. 25.1 CE). Basta, por ello, con constatar que las leyes de presupuestos de los años 2002 a 2009 —que no fueron impugnadas ni cuestionadas ante este tribunal y que establecieron el sistema de presupuestación que las sentencias impugnadas consideran la fuente de todas las “ilegalidades” en la posterior concesión de las ayudas— estaban en vigor y amparaban el modo de gestión globalmente seguido para conceder las ayudas sociolaborales y a empresas en crisis a través de transferencias de financiación a la agencia IFA/IDEA.</w:t>
      </w:r>
    </w:p>
    <w:p w14:paraId="4620E365" w14:textId="77777777" w:rsidR="003754FE" w:rsidRDefault="003754FE" w:rsidP="003754FE">
      <w:pPr>
        <w:pStyle w:val="TextoNormal"/>
      </w:pPr>
    </w:p>
    <w:p w14:paraId="4D62A835" w14:textId="77777777" w:rsidR="003754FE" w:rsidRDefault="003754FE" w:rsidP="003754FE">
      <w:pPr>
        <w:pStyle w:val="TextoNormal"/>
      </w:pPr>
      <w:r>
        <w:t>Ha de estimarse, por ello, vulnerado el derecho a la legalidad penal (art. 25.1 CE) en lo que se refiere a la forma global de gestión que el recurrente habría propiciado al participar en la aprobación de los proyectos de leyes de presupuestos de los años 2005 a 2009 —y en la tramitación de las correspondientes modificaciones presupuestarias— y al no impedir, en su calidad de presidente del IFA/IDEA, la utilización de esta agencia como entidad colaboradora para el pago de las ayudas por la vía de transferencias de financiación.</w:t>
      </w:r>
    </w:p>
    <w:p w14:paraId="7660E6DB" w14:textId="77777777" w:rsidR="003754FE" w:rsidRDefault="003754FE" w:rsidP="003754FE">
      <w:pPr>
        <w:pStyle w:val="TextoNormal"/>
      </w:pPr>
    </w:p>
    <w:p w14:paraId="447185FC" w14:textId="77777777" w:rsidR="003754FE" w:rsidRDefault="003754FE" w:rsidP="003754FE">
      <w:pPr>
        <w:pStyle w:val="TextoNormal"/>
      </w:pPr>
      <w:r>
        <w:t>B</w:t>
      </w:r>
      <w:r w:rsidRPr="003754FE">
        <w:rPr>
          <w:i/>
        </w:rPr>
        <w:t>) Hechos referidos a concretas aplicaciones de fondos públicos sin cobertura en el programa 3</w:t>
      </w:r>
      <w:r>
        <w:t>1L</w:t>
      </w:r>
    </w:p>
    <w:p w14:paraId="4664460B" w14:textId="77777777" w:rsidR="003754FE" w:rsidRDefault="003754FE" w:rsidP="003754FE">
      <w:pPr>
        <w:pStyle w:val="TextoNormal"/>
      </w:pPr>
    </w:p>
    <w:p w14:paraId="0129F5E1" w14:textId="77777777" w:rsidR="003754FE" w:rsidRDefault="003754FE" w:rsidP="003754FE">
      <w:pPr>
        <w:pStyle w:val="TextoNormal"/>
      </w:pPr>
      <w:r>
        <w:t xml:space="preserve">La condena por malversación incluye una serie de conductas —algunas de las cuales se materializaron en el período de tiempo en que el recurrente fue consejero de Innovación, </w:t>
      </w:r>
      <w:r>
        <w:lastRenderedPageBreak/>
        <w:t>Ciencia y Empresa y presidente del IFA/IDEA— cuya ilicitud no obedece a la supresión de trámites y controles como consecuencia del sistema de presupuestación utilizado sino a dos factores diferentes: a) por una parte, a la concesión de las concretas ayudas del programa 31L, por parte de las autoridades de la Consejería de Empleo y Desarrollo Tecnológico, en ausencia de todo fin público, cuestión de la que se ocupa el fundamento de Derecho 45 de la sentencia de la Audiencia Provincial; y b) por otra, a la asignación de fondos públicos a fines distintos y ajenos a los recogidos para el programa 31L, concretamente en los supuestos especificados en la letra C) del hecho probado vigesimosegundo.</w:t>
      </w:r>
    </w:p>
    <w:p w14:paraId="0BE5DFD5" w14:textId="77777777" w:rsidR="003754FE" w:rsidRDefault="003754FE" w:rsidP="003754FE">
      <w:pPr>
        <w:pStyle w:val="TextoNormal"/>
      </w:pPr>
    </w:p>
    <w:p w14:paraId="1292E90E" w14:textId="77777777" w:rsidR="003754FE" w:rsidRDefault="003754FE" w:rsidP="003754FE">
      <w:pPr>
        <w:pStyle w:val="TextoNormal"/>
      </w:pPr>
      <w:r>
        <w:t>a) La Audiencia Provincial considera que las ayudas del programa 31L fueron concedidas por “los acusados pertenecientes a la Consejería de Empleo” (fundamento de Derecho 45, pág. 1722) sin que concurriera “el fin público o social” que constituía su causa legítima. Distingue, en este punto, dos clases de ayudas: (i) las que tenían como finalidad cubrir los importes de las indemnizaciones derivadas de expedientes de regulación de empleo en situaciones de insolvencia de la empresa empleadora (beneficiaria de la ayuda); y (ii) las que no guardaban relación con la tramitación y aprobación de los expedientes de regulación de empleo.</w:t>
      </w:r>
    </w:p>
    <w:p w14:paraId="06D77414" w14:textId="77777777" w:rsidR="003754FE" w:rsidRDefault="003754FE" w:rsidP="003754FE">
      <w:pPr>
        <w:pStyle w:val="TextoNormal"/>
      </w:pPr>
    </w:p>
    <w:p w14:paraId="219D843A" w14:textId="77777777" w:rsidR="003754FE" w:rsidRDefault="003754FE" w:rsidP="003754FE">
      <w:pPr>
        <w:pStyle w:val="TextoNormal"/>
      </w:pPr>
      <w:r>
        <w:t>(i) En cuanto a las ayudas que tenían como finalidad cubrir los importes de las indemnizaciones por rescisión de la relación laboral en situaciones de expedientes de regulación de empleo, la Audiencia Provincial estima que la Consejería de Empleo y Desarrollo Tecnológico otorgó este tipo de ayudas sin comprobar que las empresas beneficiarias carecieran de capacidad económica para afrontar el pago de las indemnizaciones de los trabajadores afectados. La administración pública andaluza asumió, de ese modo, “los costes de los expedientes de regulación de empleo de empresas sin determinar si estas eran solventes o no” (fundamento de Derecho 45, pág. 1711), lo que “facilitaba a estas empresas la reducción de plantilla, sin el coste económico que ello conlleva”, con “el consiguiente lucro para las mismas” (fundamento 45, pág. 1712).</w:t>
      </w:r>
    </w:p>
    <w:p w14:paraId="4AD139AB" w14:textId="77777777" w:rsidR="003754FE" w:rsidRDefault="003754FE" w:rsidP="003754FE">
      <w:pPr>
        <w:pStyle w:val="TextoNormal"/>
      </w:pPr>
    </w:p>
    <w:p w14:paraId="6F4D70D1" w14:textId="77777777" w:rsidR="003754FE" w:rsidRDefault="003754FE" w:rsidP="003754FE">
      <w:pPr>
        <w:pStyle w:val="TextoNormal"/>
      </w:pPr>
      <w:r>
        <w:t>(ii) En lo que respecta a las ayudas que no guardaban relación con la tramitación y aprobación de expedientes de regulación de empleo, considera la sentencia de la Audiencia Provincial que “[u]na parte importante” de estas otras subvenciones carecían “de objeto concreto y claramente definido” (fundamento de Derecho 45, pág. 1714) y señala que se destinaron a “fines muy diversos” como pago de nóminas, deudas, gastos de primer establecimiento de la empresa, minutas por asesoramiento jurídico en materia laboral, mejoras salariales derivadas de convenios colectivos, cursos de alta dirección, indemnizaciones derivadas de despidos improcedentes o préstamos para pago de nóminas. Añade que estas ayudas se concedieron sin comprobar las circunstancias del beneficiario, “especialmente en lo que se refiere a que la empresa no tuviera capacidad económica para hacer frente, en todo o en parte, a las obligaciones asumidas por la Junta” (fundamento 45, pág. 1715).</w:t>
      </w:r>
    </w:p>
    <w:p w14:paraId="291D340E" w14:textId="77777777" w:rsidR="003754FE" w:rsidRDefault="003754FE" w:rsidP="003754FE">
      <w:pPr>
        <w:pStyle w:val="TextoNormal"/>
      </w:pPr>
    </w:p>
    <w:p w14:paraId="7D8D3C37" w14:textId="77777777" w:rsidR="003754FE" w:rsidRDefault="003754FE" w:rsidP="003754FE">
      <w:pPr>
        <w:pStyle w:val="TextoNormal"/>
      </w:pPr>
      <w:r>
        <w:t>Concluye la Audiencia Provincial que los fondos del programa 31L fueron, en todos estos casos, objeto de disposición para realizar pagos “completamente ajenos al interés público” (fundamento de Derecho 45, pág. 1720), lo que sintetiza señalando que tanto las ayudas concedidas para la cobertura de situaciones de expedientes de regulación de empleo como las “restantes subvenciones” se otorgaron sin que se acreditara “la incapacidad de la empresa para hacer frente a los pagos”, lo que “supone disponer de los fondos públicos para un fin ajeno al interés público” (fundamento 45, pág. 1721).</w:t>
      </w:r>
    </w:p>
    <w:p w14:paraId="36FB95B7" w14:textId="77777777" w:rsidR="003754FE" w:rsidRDefault="003754FE" w:rsidP="003754FE">
      <w:pPr>
        <w:pStyle w:val="TextoNormal"/>
      </w:pPr>
    </w:p>
    <w:p w14:paraId="0DCF037C" w14:textId="77777777" w:rsidR="003754FE" w:rsidRDefault="003754FE" w:rsidP="003754FE">
      <w:pPr>
        <w:pStyle w:val="TextoNormal"/>
      </w:pPr>
      <w:r>
        <w:t>Como puede comprobarse, la ilicitud de estos actos de disposición de los fondos públicos del programa 31L trasciende la mera omisión de trámites y procedimientos propios de la normativa de las subvenciones y está asociada a la ausencia, en el momento de la concesión de las ayudas por parte de la Consejería de Empleo y Desarrollo Tecnológico, de una causa legítima, concretamente de una situación de insolvencia de la empresa beneficiaria que justificase que fuera la administración pública andaluza, y no la propia empresa afectada, la que asumiera los pagos correspondientes.</w:t>
      </w:r>
    </w:p>
    <w:p w14:paraId="06A04A51" w14:textId="77777777" w:rsidR="003754FE" w:rsidRDefault="003754FE" w:rsidP="003754FE">
      <w:pPr>
        <w:pStyle w:val="TextoNormal"/>
      </w:pPr>
    </w:p>
    <w:p w14:paraId="19C86167" w14:textId="77777777" w:rsidR="003754FE" w:rsidRDefault="003754FE" w:rsidP="003754FE">
      <w:pPr>
        <w:pStyle w:val="TextoNormal"/>
      </w:pPr>
      <w:r>
        <w:t>Es claro que las leyes de presupuestos no legitimaban la disposición de los fondos presupuestados sin la concurrencia de los fines públicos propios de las ayudas sociolaborales y a empresas en crisis, por lo que esta concreta forma de disposición de los caudales por parte de la Consejería de Empleo y Desarrollo Tecnológico, asociada a la ausencia de causa justificativa, no está abarcada por los razonamientos relativos a la imprevisible subsunción en el delito de malversación de la forma global de gestión del programa 31L derivada del sistema de presupuestación utilizado</w:t>
      </w:r>
      <w:r w:rsidRPr="003754FE">
        <w:rPr>
          <w:i/>
        </w:rPr>
        <w:t xml:space="preserve"> [vid. sup</w:t>
      </w:r>
      <w:r>
        <w:t>ra FJ 6.3 A)].</w:t>
      </w:r>
    </w:p>
    <w:p w14:paraId="3272572E" w14:textId="77777777" w:rsidR="003754FE" w:rsidRDefault="003754FE" w:rsidP="003754FE">
      <w:pPr>
        <w:pStyle w:val="TextoNormal"/>
      </w:pPr>
    </w:p>
    <w:p w14:paraId="4E876D5E" w14:textId="77777777" w:rsidR="003754FE" w:rsidRDefault="003754FE" w:rsidP="003754FE">
      <w:pPr>
        <w:pStyle w:val="TextoNormal"/>
      </w:pPr>
      <w:r>
        <w:t>b) Por su parte, en todos los casos comprendidos en la letra C) del hecho probado vigesimosegundo de la sentencia de la Audiencia Provincial, la carga de ilicitud que se atribuye a los actos de disposición tampoco está en la omisión de determinados controles o procedimientos propios del régimen de subvenciones sino en el apartamiento, en la concreta concesión de los fondos, de los fines públicos contemplados en las sucesivas leyes de presupuestos para el programa 31L. Estaríamos, por tanto, ante actos de disposición cuya ilicitud no se atribuye a la estricta aplicación del sistema de presupuestación establecido en las normas presupuestarias en vigor. Al contrario, se habrían realizado con apartamiento de los fines legítimos que dicho sistema de presupuestación contemplaba.</w:t>
      </w:r>
    </w:p>
    <w:p w14:paraId="6B3A5875" w14:textId="77777777" w:rsidR="003754FE" w:rsidRDefault="003754FE" w:rsidP="003754FE">
      <w:pPr>
        <w:pStyle w:val="TextoNormal"/>
      </w:pPr>
    </w:p>
    <w:p w14:paraId="2DEA7713" w14:textId="77777777" w:rsidR="003754FE" w:rsidRDefault="003754FE" w:rsidP="003754FE">
      <w:pPr>
        <w:pStyle w:val="TextoNormal"/>
      </w:pPr>
      <w:r>
        <w:t>En relación con todos estos supuestos de disposición de fondos sin amparo en el sistema de presupuestación del programa 31L, sea por ausencia o por desviación de su fin público, ha de determinarse si, tal y como se aduce en la demanda, la posición de garantía que sustenta la condena del recurrente por el delito de malversación carece de toda justificación argumental y si está, en todo caso, inadecuadamente fundada desde la óptica propia del derecho a la legalidad penal contemplado en el art. 25.1 CE. Para ello, han de hacerse las siguientes consideraciones:</w:t>
      </w:r>
    </w:p>
    <w:p w14:paraId="30BD6BEB" w14:textId="77777777" w:rsidR="003754FE" w:rsidRDefault="003754FE" w:rsidP="003754FE">
      <w:pPr>
        <w:pStyle w:val="TextoNormal"/>
      </w:pPr>
    </w:p>
    <w:p w14:paraId="5D5199A7" w14:textId="77777777" w:rsidR="003754FE" w:rsidRDefault="003754FE" w:rsidP="003754FE">
      <w:pPr>
        <w:pStyle w:val="TextoNormal"/>
      </w:pPr>
      <w:r>
        <w:t>a) La sentencia de la Audiencia Provincial razona que las competencias que correspondían al recurrente de amparo como presidente de la agencia IFA/IDEA no eran meramente nominales o puramente representativas y que la delegación de funciones previamente efectuada, el 1 de febrero de 2003, al director general de la referida entidad no suponía el completo vaciamiento de la labor gestora atribuida a la presidencia (fundamento de Derecho 34, pág. 1172). Destaca la resolución, en particular, que al recurrente le correspondía, en todo caso, proponer al consejo rector del IFA/IDEA la adopción de cualquier medida que fuera necesaria para el adecuado cumplimiento de los fines de la entidad (fundamento 34, pág. 1187).</w:t>
      </w:r>
    </w:p>
    <w:p w14:paraId="44B24529" w14:textId="77777777" w:rsidR="003754FE" w:rsidRDefault="003754FE" w:rsidP="003754FE">
      <w:pPr>
        <w:pStyle w:val="TextoNormal"/>
      </w:pPr>
    </w:p>
    <w:p w14:paraId="1CEA92AC" w14:textId="77777777" w:rsidR="003754FE" w:rsidRDefault="003754FE" w:rsidP="003754FE">
      <w:pPr>
        <w:pStyle w:val="TextoNormal"/>
      </w:pPr>
      <w:r>
        <w:t xml:space="preserve">b) Al tiempo, las sentencias de instancia y casación razonan que el recurrente de amparo tenía una posición cualificada, dentro del Consejo de Gobierno, en relación con la aprobación de las aplicaciones presupuestarias concretamente concernientes a la agencia </w:t>
      </w:r>
      <w:r>
        <w:lastRenderedPageBreak/>
        <w:t>IFA/IDEA, como era el caso de las transferencias de financiación para el pago de las ayudas sociolaborales y a empresas en crisis. Consideran, en particular, que el recurrente conocía la posible disposición de los fondos del programa 31L en ausencia o con desviación de su fin público, lo que le colocaba, según razonan, en una posición especial, distinta a la de otros consejeros, a efectos de evitar tal resultado ilícito (véase, en este punto, la sentencia casacional en el fundamento de Derecho 118.3, pág. 887).</w:t>
      </w:r>
    </w:p>
    <w:p w14:paraId="00C18765" w14:textId="77777777" w:rsidR="003754FE" w:rsidRDefault="003754FE" w:rsidP="003754FE">
      <w:pPr>
        <w:pStyle w:val="TextoNormal"/>
      </w:pPr>
    </w:p>
    <w:p w14:paraId="6BF944F6" w14:textId="77777777" w:rsidR="003754FE" w:rsidRDefault="003754FE" w:rsidP="003754FE">
      <w:pPr>
        <w:pStyle w:val="TextoNormal"/>
      </w:pPr>
      <w:r>
        <w:t>c) Los razonamientos expuestos ponen de relieve que no es cierto, como se argumenta en la demanda, que no exista justificación jurídica alguna, en las resoluciones impugnadas, de la posición de garantía que se atribuye al recurrente. Dicha posición está expresamente argumentada y se sustenta en el examen individualizado de las competencias que correspondían al demandante, tanto en su condición de presidente del IFA/IDEA como en la calidad de consejero de Innovación, Ciencia y Empresa.</w:t>
      </w:r>
    </w:p>
    <w:p w14:paraId="68BF9069" w14:textId="77777777" w:rsidR="003754FE" w:rsidRDefault="003754FE" w:rsidP="003754FE">
      <w:pPr>
        <w:pStyle w:val="TextoNormal"/>
      </w:pPr>
    </w:p>
    <w:p w14:paraId="3C99F19A" w14:textId="77777777" w:rsidR="003754FE" w:rsidRDefault="003754FE" w:rsidP="003754FE">
      <w:pPr>
        <w:pStyle w:val="TextoNormal"/>
      </w:pPr>
      <w:r>
        <w:t>d) La argumentación expuesta no es, asimismo, irrazonable. Nada puede reprocharse, especialmente en defecto de un mayor desarrollo argumental de la demanda en este concreto punto, a la inferencia que las resoluciones impugnadas realizan, a partir de la doble condición del recurrente de consejero de Innovación, Ciencia y Empresa y presidente del IFA/IDEA, de dos deberes de actuación correlativos: (i) el de poner de manifiesto, en el curso de las deliberaciones del Consejo de Gobierno, la posible utilización de los fondos del programa 31L en ausencia o con desviación de su fin público —a efectos, por ejemplo, de que la Consejería de Empleo y Desarrollo Tecnológico, adoptase medidas eficaces tendentes a evitar que se reiterasen esos comportamientos en los ejercicios posteriores—; y (ii) el de informar al consejo rector del IFA/IDEA de las posibles disposiciones ilícitas, para que pudieran adoptarse, dentro de dicha entidad, cuantas medidas fueran necesarias a efectos de evitar el pago, por parte de esta agencia, de gastos que no estuvieran debidamente amparados en las leyes de presupuestos.</w:t>
      </w:r>
    </w:p>
    <w:p w14:paraId="54AA7FCA" w14:textId="77777777" w:rsidR="003754FE" w:rsidRDefault="003754FE" w:rsidP="003754FE">
      <w:pPr>
        <w:pStyle w:val="TextoNormal"/>
      </w:pPr>
    </w:p>
    <w:p w14:paraId="46D1F7FE" w14:textId="77777777" w:rsidR="003754FE" w:rsidRDefault="003754FE" w:rsidP="003754FE">
      <w:pPr>
        <w:pStyle w:val="TextoNormal"/>
      </w:pPr>
      <w:r>
        <w:t>Tal inteligencia de la posición de garantía del delito de malversación del art. 432 CP no es contraria a las pautas metodológicas generalmente aceptadas, pues obedece a una interpretación teleológica o finalista que conecta el delito de malversación con “la confianza de la sociedad en el manejo honesto de los fondos públicos” y con la garantía de “los deberes de fidelidad y transparencia” de los funcionarios. Tampoco es axiológicamente reprochable, pues engarza la interpretación del tipo con el deber de los funcionarios que componen las administraciones públicas de servir con objetividad a los intereses generales (art. 103 CE), lo que es incompatible con la asunción, por parte de quien preside un ente público y tiene, al tiempo, un alto cargo de responsabilidad política, de una posición de indiferencia o ajenidad al uso ilícito de los fondos transferidos al ente que preside.</w:t>
      </w:r>
    </w:p>
    <w:p w14:paraId="73A46E24" w14:textId="77777777" w:rsidR="003754FE" w:rsidRDefault="003754FE" w:rsidP="003754FE">
      <w:pPr>
        <w:pStyle w:val="TextoNormal"/>
      </w:pPr>
    </w:p>
    <w:p w14:paraId="69C393D1" w14:textId="0622609B" w:rsidR="003754FE" w:rsidRDefault="003754FE" w:rsidP="003754FE">
      <w:pPr>
        <w:pStyle w:val="TextoNormal"/>
      </w:pPr>
      <w:r>
        <w:t>Ha de desestimarse, por ello, la vulneración del derecho a la legalidad penal (art. 25.1 CE) en relación con la subsunción en el delito de malversación de estas otras conductas.</w:t>
      </w:r>
    </w:p>
    <w:p w14:paraId="1E99A5D0" w14:textId="77777777" w:rsidR="003754FE" w:rsidRDefault="003754FE" w:rsidP="003754FE">
      <w:pPr>
        <w:pStyle w:val="TextoNormal"/>
      </w:pPr>
    </w:p>
    <w:p w14:paraId="41D5F582" w14:textId="77777777" w:rsidR="003754FE" w:rsidRDefault="003754FE" w:rsidP="003754FE">
      <w:pPr>
        <w:pStyle w:val="TextoNormal"/>
      </w:pPr>
      <w:r w:rsidRPr="003754FE">
        <w:rPr>
          <w:rStyle w:val="NumeroAFNegritaCaracter"/>
        </w:rPr>
        <w:t>7</w:t>
      </w:r>
      <w:r>
        <w:t xml:space="preserve">. </w:t>
      </w:r>
      <w:r w:rsidRPr="003754FE">
        <w:rPr>
          <w:i/>
        </w:rPr>
        <w:t>Enjuiciamiento de la queja relativa a la vulneración del derecho a la presunción de inocencia (art. 24.2 CE) en relación con la condena por delito de malversación de caudales públicos respecto de las ayudas concedidas en ausencia de un fin público y de las partidas desviadas del programa presupuestario 31L declaradas en la sentencia de instancia</w:t>
      </w:r>
    </w:p>
    <w:p w14:paraId="34D495A4" w14:textId="77777777" w:rsidR="003754FE" w:rsidRDefault="003754FE" w:rsidP="003754FE">
      <w:pPr>
        <w:pStyle w:val="TextoNormal"/>
      </w:pPr>
    </w:p>
    <w:p w14:paraId="1CD63BAB" w14:textId="77777777" w:rsidR="003754FE" w:rsidRDefault="003754FE" w:rsidP="003754FE">
      <w:pPr>
        <w:pStyle w:val="TextoNormal"/>
      </w:pPr>
      <w:r>
        <w:t xml:space="preserve">7.1. </w:t>
      </w:r>
      <w:r w:rsidRPr="003754FE">
        <w:rPr>
          <w:i/>
        </w:rPr>
        <w:t>Posiciones de las partes</w:t>
      </w:r>
    </w:p>
    <w:p w14:paraId="7C72AA40" w14:textId="77777777" w:rsidR="003754FE" w:rsidRDefault="003754FE" w:rsidP="003754FE">
      <w:pPr>
        <w:pStyle w:val="TextoNormal"/>
      </w:pPr>
    </w:p>
    <w:p w14:paraId="14B233B1" w14:textId="77777777" w:rsidR="003754FE" w:rsidRDefault="003754FE" w:rsidP="003754FE">
      <w:pPr>
        <w:pStyle w:val="TextoNormal"/>
      </w:pPr>
      <w:r>
        <w:t>En los motivos tercero, cuarto y sexto de la demanda de amparo se denuncia la vulneración del derecho fundamental a la presunción de inocencia (art. 24.2 CE) al considerar el demandante que no existe material probatorio suficiente para declarar su culpabilidad por el delito de malversación y al haberse realizado una valoración irracional, arbitraria e ilógica de la prueba practicada a fin de concluir su condena. Centra el desarrollo de este motivo en cuatro argumentos diferenciados:</w:t>
      </w:r>
    </w:p>
    <w:p w14:paraId="26A26D47" w14:textId="77777777" w:rsidR="003754FE" w:rsidRDefault="003754FE" w:rsidP="003754FE">
      <w:pPr>
        <w:pStyle w:val="TextoNormal"/>
      </w:pPr>
    </w:p>
    <w:p w14:paraId="5C818C0F" w14:textId="77777777" w:rsidR="003754FE" w:rsidRDefault="003754FE" w:rsidP="003754FE">
      <w:pPr>
        <w:pStyle w:val="TextoNormal"/>
      </w:pPr>
      <w:r>
        <w:t>(i) En primer lugar, alega que ni la Audiencia Provincial de Sevilla ni el Tribunal Supremo han valorado la prueba de descargo del señor Vallejo Serrano lo que provoca una “grieta irreparable” en el contenido material del derecho a la presunción de inocencia. A lo largo de este razonamiento se expone además que resulta irracional considerar que el señor Vallejo Serrano fuera conocedor de los informes que recogían las deficiencias detectadas, que la gravedad del contenido del informe no implicaba su conocimiento, que la atribución de responsabilidad derivada de las competencias del demandante como consejero y presidente del IFA/IDEA resulta injusta y arbitraria y que no ha quedado concretado en qué convenios intervino, cuál era su contenido, qué cantidades se pagaban o quiénes eran sus beneficiarios.</w:t>
      </w:r>
    </w:p>
    <w:p w14:paraId="6907C64F" w14:textId="77777777" w:rsidR="003754FE" w:rsidRDefault="003754FE" w:rsidP="003754FE">
      <w:pPr>
        <w:pStyle w:val="TextoNormal"/>
      </w:pPr>
    </w:p>
    <w:p w14:paraId="027571F6" w14:textId="77777777" w:rsidR="003754FE" w:rsidRDefault="003754FE" w:rsidP="003754FE">
      <w:pPr>
        <w:pStyle w:val="TextoNormal"/>
      </w:pPr>
      <w:r>
        <w:t>(ii) En segundo lugar, afirma que la sentencia condenatoria parte de la concepción de que todos los encausados actuaron conjuntamente existiendo, por lo tanto, una coautoría con división de funciones entre los intervinientes. Sin embargo, dicha conclusión no se sostiene en el resultado de la prueba practicada toda vez que no solamente no existe prueba directa o indirecta de que el señor Vallejo Serrano actuara de forma concertada con los miembros de la Consejería de Empleo y Desarrollo Tecnológico, sino que ni siquiera consta que aquel tuviera la más mínima responsabilidad respecto de la gestión y ejecución de la partida presupuestaria 31L. Alega, además, que la sentencia dictada en casación, al no apreciar acuerdo de voluntades para delinquir, reinterpreta la sentencia impugnada y convierte la coautoría en una autoría directa e individual.</w:t>
      </w:r>
    </w:p>
    <w:p w14:paraId="4759CE5A" w14:textId="77777777" w:rsidR="003754FE" w:rsidRDefault="003754FE" w:rsidP="003754FE">
      <w:pPr>
        <w:pStyle w:val="TextoNormal"/>
      </w:pPr>
    </w:p>
    <w:p w14:paraId="0B4AF6AA" w14:textId="77777777" w:rsidR="003754FE" w:rsidRDefault="003754FE" w:rsidP="003754FE">
      <w:pPr>
        <w:pStyle w:val="TextoNormal"/>
      </w:pPr>
      <w:r>
        <w:t>(iii) En tercer lugar, sostiene que existe una indeterminación de los hechos no diferenciándose los que son constitutivos de prevaricación y los que lo son de malversación. En este punto, señala que la sentencia de instancia no habría elaborado ninguna motivación dirigida a justificar que el señor Vallejo Serrano fuera responsable del delito de malversación en comisión por omisión toda vez que no se motiva ni se justifica la preceptiva posición de garante en el que aquel debería haberse encontrado, elemento que, por otra parte, sería requisito esencial e imprescindible para poderle atribuir responsabilidad penal conforme a esta figura.</w:t>
      </w:r>
    </w:p>
    <w:p w14:paraId="606941FF" w14:textId="77777777" w:rsidR="003754FE" w:rsidRDefault="003754FE" w:rsidP="003754FE">
      <w:pPr>
        <w:pStyle w:val="TextoNormal"/>
      </w:pPr>
    </w:p>
    <w:p w14:paraId="1D4D09C9" w14:textId="77777777" w:rsidR="003754FE" w:rsidRDefault="003754FE" w:rsidP="003754FE">
      <w:pPr>
        <w:pStyle w:val="TextoNormal"/>
      </w:pPr>
      <w:r>
        <w:t xml:space="preserve">(iv) En cuarto lugar, concluye que tampoco existiría prueba directa e indirecta del elemento subjetivo del injusto respecto al delito del art. 432 CP. Afirma también que la sentencia de instancia ha omitido la explicitación del proceso racional que le lleva a considerar su concurrencia y los indicios en que esta aseveración se apoya. Para el demandante, no cabe confundir el dolo del delito de prevaricación y el dolo del delito de malversación. La sentencia del Tribunal Supremo, al resolver este motivo casacional, omite cualquier consideración al respecto creando una especie de “dolo omnicomprensivo” que “conduce a contemplar el elemento subjetivo […] [del injusto] de una forma unificada, de forma tal que </w:t>
      </w:r>
      <w:r>
        <w:lastRenderedPageBreak/>
        <w:t>pareciera que probado el elemento subjetivo del tipo de prevaricación, este también abarcara el elemento subjetivo del delito de malversación”.</w:t>
      </w:r>
    </w:p>
    <w:p w14:paraId="6DF269AF" w14:textId="77777777" w:rsidR="003754FE" w:rsidRDefault="003754FE" w:rsidP="003754FE">
      <w:pPr>
        <w:pStyle w:val="TextoNormal"/>
      </w:pPr>
    </w:p>
    <w:p w14:paraId="376720E0" w14:textId="77777777" w:rsidR="003754FE" w:rsidRDefault="003754FE" w:rsidP="003754FE">
      <w:pPr>
        <w:pStyle w:val="TextoNormal"/>
      </w:pPr>
      <w:r>
        <w:t>La representación procesal del Partido Popular rebate estas alegaciones argumentando que la motivación probatoria y fáctica para condenar por el delito de malversación es perfectamente previsible y racional, existiendo referencias precisas a la autoría y a los diversos elementos del tipo, así como a la necesaria vinculación entre el sistema de presupuestación y el delito de malversación. Respecto de las quejas dirigidas contra la sentencia del Tribunal Supremo, considera que la sentencia de casación ha respetado en todo momento los hechos declarados probados, habiéndose limitado a realizar alegaciones jurídicas complementarias a las ya utilizadas por la Audiencia Provincial de Sevilla.</w:t>
      </w:r>
    </w:p>
    <w:p w14:paraId="61E4C938" w14:textId="77777777" w:rsidR="003754FE" w:rsidRDefault="003754FE" w:rsidP="003754FE">
      <w:pPr>
        <w:pStyle w:val="TextoNormal"/>
      </w:pPr>
    </w:p>
    <w:p w14:paraId="1DC270B1" w14:textId="77777777" w:rsidR="003754FE" w:rsidRDefault="003754FE" w:rsidP="003754FE">
      <w:pPr>
        <w:pStyle w:val="TextoNormal"/>
      </w:pPr>
      <w:r>
        <w:t>El Ministerio Fiscal interesa la desestimación de las quejas por las que se aduce la presunción de inocencia (motivos tercero y cuarto del recurso de amparo). Tras analizar el fundamento jurídico 34 de la sentencia de instancia y el fundamento de Derecho 21 de la recaída en casación, llega a la conclusión de que estas resoluciones contienen suficiente prueba de cargo para condenar. El fiscal considera que ha quedado suficientemente acreditado que el recurrente conocía la ilegalidad del nuevo sistema de presupuestación y la improcedencia de que el IFA/IDEA —instituto del que el demandante fue presidente— efectuara el pago de las ayudas sociolaborales. A su juicio, las resoluciones impugnadas contienen una argumentación lógica y razonable “que se infiere de los hechos declarados probados y abarca todos los elementos del tipo del injusto —incluidos los subjetivos— respecto de las dos conductas delictivas; la prevaricación administrativa y la malversación de caudales públicos”.</w:t>
      </w:r>
    </w:p>
    <w:p w14:paraId="45CA0280" w14:textId="77777777" w:rsidR="003754FE" w:rsidRDefault="003754FE" w:rsidP="003754FE">
      <w:pPr>
        <w:pStyle w:val="TextoNormal"/>
      </w:pPr>
    </w:p>
    <w:p w14:paraId="21CEEEA1" w14:textId="77777777" w:rsidR="003754FE" w:rsidRDefault="003754FE" w:rsidP="003754FE">
      <w:pPr>
        <w:pStyle w:val="TextoNormal"/>
      </w:pPr>
      <w:r>
        <w:t xml:space="preserve">7.2. </w:t>
      </w:r>
      <w:r w:rsidRPr="003754FE">
        <w:rPr>
          <w:i/>
        </w:rPr>
        <w:t>Pronunciamiento de los órganos judiciales</w:t>
      </w:r>
    </w:p>
    <w:p w14:paraId="5258574C" w14:textId="77777777" w:rsidR="003754FE" w:rsidRDefault="003754FE" w:rsidP="003754FE">
      <w:pPr>
        <w:pStyle w:val="TextoNormal"/>
      </w:pPr>
    </w:p>
    <w:p w14:paraId="1F4AADD3" w14:textId="77777777" w:rsidR="003754FE" w:rsidRDefault="003754FE" w:rsidP="003754FE">
      <w:pPr>
        <w:pStyle w:val="TextoNormal"/>
      </w:pPr>
      <w:r>
        <w:t xml:space="preserve">Como se ha expuesto </w:t>
      </w:r>
      <w:r w:rsidRPr="003754FE">
        <w:rPr>
          <w:i/>
        </w:rPr>
        <w:t>supra</w:t>
      </w:r>
      <w:r>
        <w:t>, la sentencia de la Audiencia Provincial declara probado que el actor, como consejero de Innovación, Ciencia y Empresa y presidente del IFA/IDEA, realizó los siguientes actos: (i) participó en la aprobación de los proyectos de leyes de la comunidad autónoma de Andalucía para los ejercicios de los años 2005 a 2009; (ii) participó en la aprobación de modificaciones presupuestarias de 9 de diciembre de 2004, 7 de diciembre de 2005, 7 de noviembre de 2006, 27 de noviembre de 2007 y 22 de diciembre de 2008; (iii) permitió que por el IFA/IDEA se continuara realizando el pago de las ayudas sociolaborales concedidas por la Dirección General de Trabajo y Seguridad Social; y (iv) no se opuso a la firma de convenios suscritos por la Dirección General de Trabajo y Seguridad Social e intervino en las sesiones del consejo rector en las que se autorizó la firma de convenios particulares al director general.</w:t>
      </w:r>
    </w:p>
    <w:p w14:paraId="573645B1" w14:textId="77777777" w:rsidR="003754FE" w:rsidRDefault="003754FE" w:rsidP="003754FE">
      <w:pPr>
        <w:pStyle w:val="TextoNormal"/>
      </w:pPr>
    </w:p>
    <w:p w14:paraId="1BB23112" w14:textId="77777777" w:rsidR="003754FE" w:rsidRDefault="003754FE" w:rsidP="003754FE">
      <w:pPr>
        <w:pStyle w:val="TextoNormal"/>
      </w:pPr>
      <w:r>
        <w:t xml:space="preserve">La sentencia del Tribunal Supremo declara que este relato fáctico basta para justificar la aplicación del delito de malversación de caudales públicos del art. 432 CP (fundamentos de Derecho 118 y 119, págs. 884 y ss.) y que no se ha vulnerado el derecho a la presunción de inocencia al ser aquella conclusión fruto de una valoración debidamente motivada de las pruebas practicadas. Considera, en definitiva, que los acusados que fueron finalmente condenados por el delito de malversación —como es el caso del recurrente— era porque tenían conocimiento de las irregularidades concretas que se producían en la gestión de los fondos públicos, a pesar de lo cual no modificaron en ningún extremo el proceder de los años anteriores. La Sala de lo Penal considera que como el demandante de amparo conocía esas </w:t>
      </w:r>
      <w:r>
        <w:lastRenderedPageBreak/>
        <w:t>“irregularidades era inobjetable que […] podía y debía actuar de otra manera en defensa de la integridad del patrimonio público”.</w:t>
      </w:r>
    </w:p>
    <w:p w14:paraId="1526CEE5" w14:textId="77777777" w:rsidR="003754FE" w:rsidRDefault="003754FE" w:rsidP="003754FE">
      <w:pPr>
        <w:pStyle w:val="TextoNormal"/>
      </w:pPr>
    </w:p>
    <w:p w14:paraId="1A9F8A2F" w14:textId="77777777" w:rsidR="003754FE" w:rsidRDefault="003754FE" w:rsidP="003754FE">
      <w:pPr>
        <w:pStyle w:val="TextoNormal"/>
      </w:pPr>
      <w:r>
        <w:t>En el caso del señor Vallejo Serrano, las resoluciones judiciales impugnadas concretan que este conocimiento se deriva de su participación en la aprobación de los planes anuales de control financiero permanente de las empresas de la Junta de Andalucía durante los años 2005 a 2007 (sentencia del Tribunal Supremo, fundamento de Derecho 119, pág. 907), en la formulación y aprobación de las cuentas anuales del IFA/IDEA (sentencia del Tribunal Supremo, fundamento 119, pág. 896) donde año tras año se reflejaba un importante déficit derivado de las ayudas comprometidas por la Dirección General de Trabajo y Seguridad Social, así como de la recepción de los informes de auditoría externa efectuados por la entidad Price Waterhouse Coopers, Auditores, S.L. (sentencia del Tribunal Supremo, fundamento 119, pág. 896) en los que fue recogido la existencia del citado desfase.</w:t>
      </w:r>
    </w:p>
    <w:p w14:paraId="04B01E05" w14:textId="77777777" w:rsidR="003754FE" w:rsidRDefault="003754FE" w:rsidP="003754FE">
      <w:pPr>
        <w:pStyle w:val="TextoNormal"/>
      </w:pPr>
    </w:p>
    <w:p w14:paraId="76247139" w14:textId="77777777" w:rsidR="003754FE" w:rsidRDefault="003754FE" w:rsidP="003754FE">
      <w:pPr>
        <w:pStyle w:val="TextoNormal"/>
      </w:pPr>
      <w:r>
        <w:t>A la contribución de este conocimiento se añade también determinadas declaraciones testificales y numerosos informes que advertían del uso de un ilegal sistema de concesión de ayudas, informes a los que se refiere extensamente el fundamento de Derecho 119 de la sentencia de casación (págs. 898 y ss.) y el fundamento de Derecho 34 de la sentencia de instancia (págs. 1149 a 1207). Ambas resoluciones acaban concluyendo que la existencia de estos informes —cuyo traslado al consejero de Innovación, Ciencia y Empresa era obligatorio en virtud del art. 12 del Decreto 9/1999, de 19 de enero, sobre régimen presupuestario, financiero, de control y contable de las empresas de la Junta de Andalucía— permitían inferir que el señor Vallejo Serrano fue consciente no solo de la utilización de un sistema de presupuestación aparentemente ilegal sino de que, además, el origen del déficit del IFA/IDEA se encontraba en los distintos compromisos asumidos por la Dirección General de Trabajo y Seguridad Social, que aquellos superaban con creces los límites de los créditos aprobados, y que con ello se generaban obligaciones contables para la Junta de Andalucía sin la existencia de cobertura presupuestaria.</w:t>
      </w:r>
    </w:p>
    <w:p w14:paraId="1AEAD59A" w14:textId="77777777" w:rsidR="003754FE" w:rsidRDefault="003754FE" w:rsidP="003754FE">
      <w:pPr>
        <w:pStyle w:val="TextoNormal"/>
      </w:pPr>
    </w:p>
    <w:p w14:paraId="40A0EAA7" w14:textId="77777777" w:rsidR="003754FE" w:rsidRDefault="003754FE" w:rsidP="003754FE">
      <w:pPr>
        <w:pStyle w:val="TextoNormal"/>
      </w:pPr>
      <w:r>
        <w:t xml:space="preserve">Para el Tribunal Supremo, en definitiva, “[l]a complacencia con esa situación y la ausencia de toda medida correcta es lo que ha justificado la condena por el delito de malversación de caudales públicos” (fundamento de Derecho 119, pág. 901), pues el señor Vallejo Serrano: (i) como miembro del Consejo de Gobierno participó, de forma directa, en el desarrollo y ejecución de un sistema ilegal de concesión de ayudas a través de su intervención en la aprobación de las modificaciones presupuestarias y de los anteproyectos de presupuestos relacionados en el </w:t>
      </w:r>
      <w:r w:rsidRPr="003754FE">
        <w:rPr>
          <w:i/>
        </w:rPr>
        <w:t>factum</w:t>
      </w:r>
      <w:r>
        <w:t xml:space="preserve"> de la sentencia; y (ii) como presidente del IFA/IDEA, y como miembro de su consejo rector, intervino en múltiples sesiones en las que autorizó la firma de distintos convenios particulares que permitieron que la agencia IFA/IDEA continuase suscribiendo convenios particulares con la Dirección General de Trabajo y Seguridad Social, siendo que ambos grupos de conductas fueron ejecutadas “[a]sumiendo la eventualidad de que los fondos vinculados al programa 31L fueran objeto de disposición con fines ajenos al fin público al que estaban destinados”.</w:t>
      </w:r>
    </w:p>
    <w:p w14:paraId="36D23732" w14:textId="77777777" w:rsidR="003754FE" w:rsidRDefault="003754FE" w:rsidP="003754FE">
      <w:pPr>
        <w:pStyle w:val="TextoNormal"/>
      </w:pPr>
    </w:p>
    <w:p w14:paraId="3A6BBE97" w14:textId="77777777" w:rsidR="003754FE" w:rsidRDefault="003754FE" w:rsidP="003754FE">
      <w:pPr>
        <w:pStyle w:val="TextoNormal"/>
      </w:pPr>
      <w:r>
        <w:t xml:space="preserve">7.3. </w:t>
      </w:r>
      <w:r w:rsidRPr="003754FE">
        <w:rPr>
          <w:i/>
        </w:rPr>
        <w:t>Doctrina constitucional sobre el derecho a la presunción de inocencia (art. 24.2 CE)</w:t>
      </w:r>
    </w:p>
    <w:p w14:paraId="682A3124" w14:textId="77777777" w:rsidR="003754FE" w:rsidRDefault="003754FE" w:rsidP="003754FE">
      <w:pPr>
        <w:pStyle w:val="TextoNormal"/>
      </w:pPr>
    </w:p>
    <w:p w14:paraId="6B45CDA7" w14:textId="77777777" w:rsidR="003754FE" w:rsidRDefault="003754FE" w:rsidP="003754FE">
      <w:pPr>
        <w:pStyle w:val="TextoNormal"/>
      </w:pPr>
      <w:r>
        <w:t xml:space="preserve">Antes de abordar las concretas quejas alegadas por el demandante de amparo en relación con este motivo, conviene traer a colación, al menos resumidamente, la doctrina </w:t>
      </w:r>
      <w:r>
        <w:lastRenderedPageBreak/>
        <w:t>constitucional sobre el derecho a la presunción de inocencia (art. 24.2 CE) tal y como ha sido fijada por este tribunal.</w:t>
      </w:r>
    </w:p>
    <w:p w14:paraId="5131C962" w14:textId="77777777" w:rsidR="003754FE" w:rsidRDefault="003754FE" w:rsidP="003754FE">
      <w:pPr>
        <w:pStyle w:val="TextoNormal"/>
      </w:pPr>
    </w:p>
    <w:p w14:paraId="00A5702A" w14:textId="77777777" w:rsidR="003754FE" w:rsidRDefault="003754FE" w:rsidP="003754FE">
      <w:pPr>
        <w:pStyle w:val="TextoNormal"/>
      </w:pPr>
      <w:r>
        <w:t xml:space="preserve">Al respecto la jurisprudencia constitucional ha consignado reiteradamente que este derecho queda configurado como “el derecho a no ser condenado sin pruebas de cargo válidas” (STC 31/1981,de 28 de julio), de tal manera que toda sentencia condenatoria ha de estar fundada en “una mínima actividad probatoria, realizada con las garantías necesarias, referida a todos los elementos esenciales del delito, y que de la misma quepa inferir razonablemente los hechos y la participación del acusado” (STC 105/2016, de 6 de junio, FJ 8). Esta idoneidad incriminatoria, además,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w:t>
      </w:r>
      <w:r w:rsidRPr="003754FE">
        <w:rPr>
          <w:i/>
        </w:rPr>
        <w:t>ratio decidendi</w:t>
      </w:r>
      <w:r>
        <w:t xml:space="preserve"> de la decisión judicial, sino una mínima explicación de los fundamentos probatorios del relato fáctico, con base en el cual se individualiza el caso y se posibilita la aplicación de la norma jurídica (por todas, STC 22/2013, de 31 de enero, FJ 5, y las resoluciones allí citadas)” (STC 105/2016, FJ 8).</w:t>
      </w:r>
    </w:p>
    <w:p w14:paraId="770AC2F8" w14:textId="77777777" w:rsidR="003754FE" w:rsidRDefault="003754FE" w:rsidP="003754FE">
      <w:pPr>
        <w:pStyle w:val="TextoNormal"/>
      </w:pPr>
    </w:p>
    <w:p w14:paraId="6BD4D681" w14:textId="77777777" w:rsidR="003754FE" w:rsidRDefault="003754FE" w:rsidP="003754FE">
      <w:pPr>
        <w:pStyle w:val="TextoNormal"/>
      </w:pPr>
      <w:r>
        <w:t>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En relación con esta concreta cuestión, la STC 133/2014, de 22 de julio, FJ 8, ya señalaba que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del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y 111/2008, de 22 de septiembre, FJ 3)”.</w:t>
      </w:r>
    </w:p>
    <w:p w14:paraId="33EBB9F2" w14:textId="77777777" w:rsidR="003754FE" w:rsidRDefault="003754FE" w:rsidP="003754FE">
      <w:pPr>
        <w:pStyle w:val="TextoNormal"/>
      </w:pPr>
    </w:p>
    <w:p w14:paraId="11D6A758" w14:textId="77777777" w:rsidR="003754FE" w:rsidRDefault="003754FE" w:rsidP="003754FE">
      <w:pPr>
        <w:pStyle w:val="TextoNormal"/>
      </w:pPr>
      <w:r>
        <w:t xml:space="preserve">La importancia de la motivación de la sentencia condenatoria ya venía remarcada en la STC 22/2013, FJ 5, donde se afirmaba que la culpabilidad ha de quedar plenamente probada, lo que es tanto como decir expuesta o mostrada. De esta manera, el derecho a la presunción de inocencia queda vulnerado cuando, habiéndose declarado la culpabilidad del encausado, dicha declaración de culpabilidad no se ha motivado suficientemente toda vez que “uno de los modos de vulneración de este derecho lo constituye precisamente la falta de motivación del </w:t>
      </w:r>
      <w:r w:rsidRPr="003754FE">
        <w:rPr>
          <w:i/>
        </w:rPr>
        <w:t>iter</w:t>
      </w:r>
      <w:r>
        <w:t xml:space="preserve"> que ha conducido de las pruebas al relato de hechos probados de signo incriminatorio” (STC 245/2007, 10 de diciembre, FJ 5).</w:t>
      </w:r>
    </w:p>
    <w:p w14:paraId="62081AAF" w14:textId="77777777" w:rsidR="003754FE" w:rsidRDefault="003754FE" w:rsidP="003754FE">
      <w:pPr>
        <w:pStyle w:val="TextoNormal"/>
      </w:pPr>
    </w:p>
    <w:p w14:paraId="259CFF15" w14:textId="77777777" w:rsidR="003754FE" w:rsidRDefault="003754FE" w:rsidP="003754FE">
      <w:pPr>
        <w:pStyle w:val="TextoNormal"/>
      </w:pPr>
      <w:r>
        <w:t xml:space="preserve">La motivación de las sentencias penales es siempre exigible </w:t>
      </w:r>
      <w:r w:rsidRPr="003754FE">
        <w:rPr>
          <w:i/>
        </w:rPr>
        <w:t>ex</w:t>
      </w:r>
      <w:r>
        <w:t xml:space="preserve"> art. 120.3 CE, esto es, con independencia de su signo, condenatorio o absolutorio. No obstante, en las sentencias </w:t>
      </w:r>
      <w:r>
        <w:lastRenderedPageBreak/>
        <w:t>condenatorias el canon de motivación es más riguroso que en las absolutorias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se refuerza el parámetro de control utilizable para enjuiciar su suficiencia. Particularmente, en el plano fáctico, la sentencia penal condenatoria ha de exteriorizar en su razonamiento las pruebas relevantes tomadas en consideración y la existencia de una conexión fundada entre las pruebas y la declaración de hechos probados; conexión que debe ser aplicación razonada de las reglas de la lógica, ciencia y experiencia, de modo que sea posible realizar un juicio externo sobre las que llevan al juzgador a considerar alcanzada la convicción de culpabilidad más allá de toda duda razonable [por todas, STC 72/2024, de 7 de mayo, FJ 4 b)].</w:t>
      </w:r>
    </w:p>
    <w:p w14:paraId="7E58C967" w14:textId="77777777" w:rsidR="003754FE" w:rsidRDefault="003754FE" w:rsidP="003754FE">
      <w:pPr>
        <w:pStyle w:val="TextoNormal"/>
      </w:pPr>
    </w:p>
    <w:p w14:paraId="0FBBB95C" w14:textId="77777777" w:rsidR="003754FE" w:rsidRDefault="003754FE" w:rsidP="003754FE">
      <w:pPr>
        <w:pStyle w:val="TextoNormal"/>
      </w:pPr>
      <w:r>
        <w:t xml:space="preserve">Es, precisamente, la motivación de la resolución que declara la culpabilidad y responsabilidad de una persona la que se encuentra sometida al control de este tribunal. Así, hemos afirmado en numerosas ocasiones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Esta conclusión se ha fundamentado en dos razones de diferente índole: (i) por un lado, en que la Constitución no atribuye esa tarea de valoración a este tribunal, que no está incluida en las de amparo del derecho a la presunción de inocencia, y (ii) por otro, en que el proceso constitucional no permite el conocimiento preciso y completo de la actividad probatoria (STC 142/2012, de 2 de julio, FJ 5). De esta manera, “solo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w:t>
      </w:r>
      <w:r w:rsidRPr="003754FE">
        <w:rPr>
          <w:i/>
        </w:rPr>
        <w:t>iter</w:t>
      </w:r>
      <w:r>
        <w:t xml:space="preserve"> discursivo que conduce de la prueba al hecho probado” (STC 189/1998, FJ 2 y, citándola entre otras muchas, SSTC 135/2003, de 30 de junio, FJ 2; 137/2005, de 23 de mayo, FJ 2, y 26/2010, de 27 de abril, FJ 6).</w:t>
      </w:r>
    </w:p>
    <w:p w14:paraId="5D68BC9E" w14:textId="77777777" w:rsidR="003754FE" w:rsidRDefault="003754FE" w:rsidP="003754FE">
      <w:pPr>
        <w:pStyle w:val="TextoNormal"/>
      </w:pPr>
    </w:p>
    <w:p w14:paraId="5EAB4E68" w14:textId="77777777" w:rsidR="003754FE" w:rsidRDefault="003754FE" w:rsidP="003754FE">
      <w:pPr>
        <w:pStyle w:val="TextoNormal"/>
      </w:pPr>
      <w:r>
        <w:t>Este mismo canon se extiende a los supuestos de prueba indiciaria donde la supervisión de la solidez de la inferencia puede llevarse a cabo tanto desde el control de su lógica o coherencia, siendo irrazonable cuando los indicios constatados excluyan el hecho que de ellos se hace derivar o no conduzca naturalmente a él, como desde la suficiencia o carácter concluyente, excluyéndose la razonabilidad por el carácter excesivamente abierto, débil o indeterminado de la inferencia (SSTC 127/2011, de 18 de julio, FJ 6; 142/2012, FJ 5, y 46/2022, de 24 de marzo, FJ 10.1).</w:t>
      </w:r>
    </w:p>
    <w:p w14:paraId="30EE7E0C" w14:textId="77777777" w:rsidR="003754FE" w:rsidRDefault="003754FE" w:rsidP="003754FE">
      <w:pPr>
        <w:pStyle w:val="TextoNormal"/>
      </w:pPr>
    </w:p>
    <w:p w14:paraId="39427CBC" w14:textId="77777777" w:rsidR="003754FE" w:rsidRDefault="003754FE" w:rsidP="003754FE">
      <w:pPr>
        <w:pStyle w:val="TextoNormal"/>
      </w:pPr>
      <w:r>
        <w:t xml:space="preserve">En conclusión, es deber de los órganos judiciales realizar un esfuerzo dirigido a la motivación de la sentencia o pronunciamiento condenatorio, puesto que son aquellos quienes tienen un conocimiento cabal, completo y obtenido con todas las garantías del acervo probatorio, y función de este tribunal comprobar la coherencia de dicha motivación a través de una supervisión externa de la razonabilidad del discurso que une la actividad probatoria y el relato fáctico resultante (STC 67/2021, de 17 de marzo, FJ 3). Este control no es posible si los órganos judiciales descuidan su deber, lo que nos ha llevado a exigir que “deba </w:t>
      </w:r>
      <w:r>
        <w:lastRenderedPageBreak/>
        <w:t>asegurarse estrictamente la garantía formal de que el razonamiento efectuado por el tribunal conste expresamente en la sentencia, ya que solo así podrá verificarse si aquel formó su convicción sobre una prueba de cargo capaz de desvirtuar la presunción de inocencia (SSTC 117/2000, de 5 de mayo, FJ 3, y 124/2001, de 4 de junio, FJ 13) y que ninguno de los elementos constitutivos del delito se ha[ya] presumido en contra del acusado” (STC 340/2006, de 11 de diciembre, FJ 4).</w:t>
      </w:r>
    </w:p>
    <w:p w14:paraId="1F26942E" w14:textId="77777777" w:rsidR="003754FE" w:rsidRDefault="003754FE" w:rsidP="003754FE">
      <w:pPr>
        <w:pStyle w:val="TextoNormal"/>
      </w:pPr>
    </w:p>
    <w:p w14:paraId="3B18F804" w14:textId="77777777" w:rsidR="003754FE" w:rsidRDefault="003754FE" w:rsidP="003754FE">
      <w:pPr>
        <w:pStyle w:val="TextoNormal"/>
      </w:pPr>
      <w:r>
        <w:t>7.4</w:t>
      </w:r>
      <w:r w:rsidRPr="003754FE">
        <w:rPr>
          <w:i/>
        </w:rPr>
        <w:t>. Enjuiciamiento de la que</w:t>
      </w:r>
      <w:r>
        <w:t>ja</w:t>
      </w:r>
    </w:p>
    <w:p w14:paraId="4D0CFEEA" w14:textId="77777777" w:rsidR="003754FE" w:rsidRDefault="003754FE" w:rsidP="003754FE">
      <w:pPr>
        <w:pStyle w:val="TextoNormal"/>
      </w:pPr>
    </w:p>
    <w:p w14:paraId="53E7F24F" w14:textId="77777777" w:rsidR="003754FE" w:rsidRDefault="003754FE" w:rsidP="003754FE">
      <w:pPr>
        <w:pStyle w:val="TextoNormal"/>
      </w:pPr>
      <w:r>
        <w:t xml:space="preserve">En el análisis de este motivo es preciso partir de una premisa básica: que la declarada vulneración del derecho a legalidad penal </w:t>
      </w:r>
      <w:r w:rsidRPr="003754FE">
        <w:rPr>
          <w:i/>
        </w:rPr>
        <w:t>ex</w:t>
      </w:r>
      <w:r>
        <w:t xml:space="preserve"> art. 25.1 CE, por integrarse en los títulos de prevaricación y malversación de los arts. 404 y 432 CP la gestión y pago de ayudas sociolaborales y a empresas en crisis desde la agencia IFA/IDEA, en ejercicios presupuestarios en los que dicho procedimiento tenía respaldo legal (</w:t>
      </w:r>
      <w:r w:rsidRPr="003754FE">
        <w:rPr>
          <w:i/>
        </w:rPr>
        <w:t>vid. supra</w:t>
      </w:r>
      <w:r>
        <w:t xml:space="preserve"> fundamentos jurídicos 4 y 5) obliga a delimitar el análisis de la participación del demandante en dicho procedimiento desde la perspectiva del derecho fundamental a la presunción de inocencia (art. 24.2 CE). En efecto, aun esclarecido que la condena vinculada a la forma global de gestión del programa 31L es inconciliable con el derecho a la legalidad penal, resta un sustrato fáctico que no quedaría afectado por dicho reparo constitucional: nos referimos a las disposiciones de fondos efectivamente realizadas desde la Consejería de Empleo y Desarrollo Tecnológico en ausencia de fin público y a las disposiciones enumeradas en el apartado C) del hecho probado vigesimosegundo, donde se hace constar que algunos fondos del programa 31L se aplicaron a fines distintos y ajenos a los determinados en el mismo. Esta posibilidad de pervivencia de la condena por malversación exige, sin embargo, una cuidadosa verificación de que la sentencia de instancia proporciona, por sí misma, sin necesidad de integración o reelaboración alguna, motivos suficientes para considerar acreditada, con el grado de certeza que la doctrina constitucional exige para enervar la presunción de inocencia, la participación personal del demandante de amparo en la realización de tales disposiciones.</w:t>
      </w:r>
    </w:p>
    <w:p w14:paraId="4D140E5E" w14:textId="77777777" w:rsidR="003754FE" w:rsidRDefault="003754FE" w:rsidP="003754FE">
      <w:pPr>
        <w:pStyle w:val="TextoNormal"/>
      </w:pPr>
    </w:p>
    <w:p w14:paraId="4248EA0B" w14:textId="77777777" w:rsidR="003754FE" w:rsidRDefault="003754FE" w:rsidP="003754FE">
      <w:pPr>
        <w:pStyle w:val="TextoNormal"/>
      </w:pPr>
      <w:r>
        <w:t>Consecuentemente, el control externo que este tribunal debe realizar, en garantía del derecho a la presunción de inocencia, de la existencia de un engarce lógico y reconocible entre el resultado de la prueba y el relato fáctico que le sirve de sustrato, demanda, en un caso como el presente, orientar el foco de control en la concurrencia en la sentencia de instancia de elementos fácticos y argumentales de una precisión suficiente para justificar la atribución personal al demandante de amparo, don Francisco Vallejo Serrano, de todos o de algunos de los desvíos de fondos a fines ajenos a los previstos en los programas presupuestarios en el tiempo en el que ejerció el cargo de consejero de Innovación, Ciencia y Empresa y presidente de la agencia IFA/IDEA, esto es, desde el 25 de abril de 2004 al 24 de abril de 2009.</w:t>
      </w:r>
    </w:p>
    <w:p w14:paraId="0CE239B1" w14:textId="77777777" w:rsidR="003754FE" w:rsidRDefault="003754FE" w:rsidP="003754FE">
      <w:pPr>
        <w:pStyle w:val="TextoNormal"/>
      </w:pPr>
    </w:p>
    <w:p w14:paraId="75779A6E" w14:textId="77777777" w:rsidR="003754FE" w:rsidRDefault="003754FE" w:rsidP="003754FE">
      <w:pPr>
        <w:pStyle w:val="TextoNormal"/>
      </w:pPr>
      <w:r>
        <w:t>Acotado este sustrato fáctico, en virtud del relato de hechos probados de la sentencia de instancia, es deber de este tribunal comprobar si, de acuerdo con su fundamentación jurídica, se ha motivado suficientemente, y conforme a criterios racionales y lógicos, el engarce necesario entre las conductas anteriormente expuestas y la participación del demandante de amparo, entendiendo que ello solo se producirá cuando se realice de un modo “coherente, lógico y racional, entendida la racionalidad, por supuesto, no como mero mecanismo o automatismo, sino como comprensión razonable de la realidad normalmente vivida y apreciada conforme a los criterios colectivos vigentes” (STC 169/1986, de 22 de diciembre, FJ 2).</w:t>
      </w:r>
    </w:p>
    <w:p w14:paraId="408C2CDF" w14:textId="77777777" w:rsidR="003754FE" w:rsidRDefault="003754FE" w:rsidP="003754FE">
      <w:pPr>
        <w:pStyle w:val="TextoNormal"/>
      </w:pPr>
    </w:p>
    <w:p w14:paraId="26A9D463" w14:textId="77777777" w:rsidR="003754FE" w:rsidRDefault="003754FE" w:rsidP="003754FE">
      <w:pPr>
        <w:pStyle w:val="TextoNormal"/>
      </w:pPr>
      <w:r>
        <w:t xml:space="preserve">Y ello porque, como ya se ha explicitado anteriormente, el derecho a la presunción de inocencia queda vulnerado cuando, habiéndose declarado la culpabilidad del encausado, dicha declaración de culpabilidad no se ha motivado suficientemente toda vez que “uno de los modos de vulneración de este derecho lo constituye precisamente la falta de motivación del </w:t>
      </w:r>
      <w:r w:rsidRPr="003754FE">
        <w:rPr>
          <w:i/>
        </w:rPr>
        <w:t>iter</w:t>
      </w:r>
      <w:r>
        <w:t xml:space="preserve"> que ha conducido de las pruebas al relato de hechos probados de signo incriminatorio” (STC 245/2007, FJ 5) no siendo, por lo tanto, misión de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(STC 137/2005, FJ 2).</w:t>
      </w:r>
    </w:p>
    <w:p w14:paraId="766F15C4" w14:textId="77777777" w:rsidR="003754FE" w:rsidRDefault="003754FE" w:rsidP="003754FE">
      <w:pPr>
        <w:pStyle w:val="TextoNormal"/>
      </w:pPr>
    </w:p>
    <w:p w14:paraId="3EBFF4A6" w14:textId="77777777" w:rsidR="003754FE" w:rsidRDefault="003754FE" w:rsidP="003754FE">
      <w:pPr>
        <w:pStyle w:val="TextoNormal"/>
      </w:pPr>
      <w:r>
        <w:t>La motivación efectuada en la sentencia de instancia para concretar la participación en los hechos del señor Vallejo Serrano (sentencia de la Audiencia Provincial, fundamento de Derecho 34, págs. 1149 a 1207) va dirigida claramente a constatar que intervino en el engranaje dirigido al abono de subvenciones a través del uso de las transferencias de financiación, pero en ningún caso a probar que hizo un uso desviado de fondos del programa 31L por disponer de ellos sin atender a un fin público o para fines distintos y ajenos a los previstos en dicho programa.</w:t>
      </w:r>
    </w:p>
    <w:p w14:paraId="19FE1A73" w14:textId="77777777" w:rsidR="003754FE" w:rsidRDefault="003754FE" w:rsidP="003754FE">
      <w:pPr>
        <w:pStyle w:val="TextoNormal"/>
      </w:pPr>
    </w:p>
    <w:p w14:paraId="009B5627" w14:textId="77777777" w:rsidR="003754FE" w:rsidRDefault="003754FE" w:rsidP="003754FE">
      <w:pPr>
        <w:pStyle w:val="TextoNormal"/>
      </w:pPr>
      <w:r>
        <w:t>Así aparece recogido a lo largo del citado fundamento jurídico donde se expone con gran profusión que el demandante, como consejero de Innovación, Ciencia y Empresa y presidente del IFA/IDEA, le fue dado traslado de los diferentes informes de control financiero permanente, de los informes definitivos de cumplimiento o del informe adicional de 2003 —informes, todos ellos, en los que se advertía de las irregularidades en la utilización del instrumento “transferencias de financiación” y de los déficits generados como consecuencia de su aplicación—, a pesar de lo cual “participó en la aprobación de los proyectos de presupuestos, que permitieron que la Consejería de Empleo siguiera tramitando los expedientes de gastos de transferencias de financiación, vulnerando el régimen legal de estas, así como la aprobación de modificaciones presupuestarias, competencias del Consejo de Gobierno, en las que se incrementaban los fondos de esta aplicación” contribuyendo, por lo tanto, a “que continuara materializándo[se] el pago de ayudas, con los incumplimientos ya descritos, presidiendo incluso sesiones del consejo rector, en las que se daba cuenta de convenios suscritos con la Dirección General de Trabajo. A pesar de que el convenio marco tenía una vigencia hasta 2003, y no contemplaba la prórroga del mismo”.</w:t>
      </w:r>
    </w:p>
    <w:p w14:paraId="03D0526E" w14:textId="77777777" w:rsidR="003754FE" w:rsidRDefault="003754FE" w:rsidP="003754FE">
      <w:pPr>
        <w:pStyle w:val="TextoNormal"/>
      </w:pPr>
    </w:p>
    <w:p w14:paraId="152013A9" w14:textId="77777777" w:rsidR="003754FE" w:rsidRDefault="003754FE" w:rsidP="003754FE">
      <w:pPr>
        <w:pStyle w:val="TextoNormal"/>
      </w:pPr>
      <w:r>
        <w:t xml:space="preserve">La existencia de dichos informes, unido a la circunstancia de que participara en la formulación y aprobación de las cuentas anuales del IFA/IDEA para los ejercicios 2003, 2004 y 2005 (donde se recogía la existencia de lo que se denomina déficit por cobertura) lleva al órgano de instancia a afirmar que “el acusado era plenamente consciente de la palmaria ilegalidad de los actos en los que participó, relatados en los hechos probados. Asumiendo la eventualidad de que los fondos vinculados al programa 31L fueran objeto de disposición con fines ajenos al fin público al que estaban destinados”. En definitiva, para la Audiencia Provincial se encontraba en manos del señor Vallejo Serrano, en su doble condición de presidente del IFA/IDEA y consejero de Innovación, Ciencia y Empresa, que la citada agencia dejara de ser utilizada como entidad colaboradora, realizando pagos que la Intervención </w:t>
      </w:r>
      <w:r>
        <w:lastRenderedPageBreak/>
        <w:t>consideraba contrarios a la ley, a pesar de lo cual realizó una serie de acciones que tienen en común la permisividad frente a lo que estaba ocurriendo con los fondos públicos.</w:t>
      </w:r>
    </w:p>
    <w:p w14:paraId="0DF0177F" w14:textId="77777777" w:rsidR="003754FE" w:rsidRDefault="003754FE" w:rsidP="003754FE">
      <w:pPr>
        <w:pStyle w:val="TextoNormal"/>
      </w:pPr>
    </w:p>
    <w:p w14:paraId="50060CC6" w14:textId="77777777" w:rsidR="003754FE" w:rsidRDefault="003754FE" w:rsidP="003754FE">
      <w:pPr>
        <w:pStyle w:val="TextoNormal"/>
      </w:pPr>
      <w:r>
        <w:t>Hasta tal punto el foco de la valoración probatoria orbita sobre el diseño y ejecución de un sistema de presupuestación que, ante la queja formulada por el demandante en casación por la falta de concreción de qué convenios fueron aprobados con su autorización, qué deficiencias contenían, qué cantidades debían abonarse o quiénes eran los beneficiarios, el Tribunal Supremo consigna que “para afirmar la existencia del delito de malversación, atendiendo a la complejidad de los hechos, no es preciso detallar los datos singulares de cada acto dispositivo o de cada una de las resoluciones o actos en los que intervino el señor Vallejo Serrano. La sentencia de instancia ha precisado los más relevantes y ha concretado con suficiencia en qué consistió la disposición de fondos y su cuantía, incorporando en el hecho probado vigesimosegundo datos suficientes que cuantifican el montante total y las partidas más significativas, lo que resulta suficiente para la calificación jurídico-penal del hecho” (sentencia del Tribunal Supremo, fundamento de Derecho 118.4, pág. 889).</w:t>
      </w:r>
    </w:p>
    <w:p w14:paraId="0BC4B3E9" w14:textId="77777777" w:rsidR="003754FE" w:rsidRDefault="003754FE" w:rsidP="003754FE">
      <w:pPr>
        <w:pStyle w:val="TextoNormal"/>
      </w:pPr>
    </w:p>
    <w:p w14:paraId="7B79CB18" w14:textId="77777777" w:rsidR="003754FE" w:rsidRDefault="003754FE" w:rsidP="003754FE">
      <w:pPr>
        <w:pStyle w:val="TextoNormal"/>
      </w:pPr>
      <w:r>
        <w:t>Es precisamente la ausencia de esta motivación adicional la que debe llevar a la estimación del recurso de amparo. Como se ha señalado previamente (</w:t>
      </w:r>
      <w:r w:rsidRPr="003754FE">
        <w:rPr>
          <w:i/>
        </w:rPr>
        <w:t>vid. supra</w:t>
      </w:r>
      <w:r>
        <w:t xml:space="preserve"> FFJJ 5 y 6), la declarada vulneración del principio de legalidad penal </w:t>
      </w:r>
      <w:r w:rsidRPr="003754FE">
        <w:rPr>
          <w:i/>
        </w:rPr>
        <w:t>ex</w:t>
      </w:r>
      <w:r>
        <w:t xml:space="preserve"> art. 25.1 CE, por integrarse en los títulos de prevaricación y malversación de los arts. 404 y 432 CP la gestión y pago de ayudas sociolaborales y a empresas en crisis desde la agencia IFA/IDEA, en ejercicios presupuestarios en los que dicho procedimiento tenía respaldo legal, deja como sustrato fáctico resultante aquellas disposiciones económicas efectuadas sin atender a un fin público o en favor de fines distintos de los establecidos en los propios programas presupuestarios.</w:t>
      </w:r>
    </w:p>
    <w:p w14:paraId="39F062ED" w14:textId="77777777" w:rsidR="003754FE" w:rsidRDefault="003754FE" w:rsidP="003754FE">
      <w:pPr>
        <w:pStyle w:val="TextoNormal"/>
      </w:pPr>
    </w:p>
    <w:p w14:paraId="3016C4B5" w14:textId="77777777" w:rsidR="003754FE" w:rsidRDefault="003754FE" w:rsidP="003754FE">
      <w:pPr>
        <w:pStyle w:val="TextoNormal"/>
      </w:pPr>
      <w:r>
        <w:t>La profundidad del análisis de la prueba que las resoluciones impugnadas efectúan respecto al conocimiento y participación del señor Vallejo Serrano en la ejecución de un indebido sistema de presupuestación para la concesión de ayudas sociolaborales no aparece detallado con la misma exhaustividad a la hora de motivar la posible participación de aquel en la asignación de fondos del programa 31L en ausencia de interés público o a fines ajenos a los recogidos en los propios programas presupuestarios [disposiciones contenidas en el hecho probado vigesimosegundo, apartado C), de la sentencia de instancia].</w:t>
      </w:r>
    </w:p>
    <w:p w14:paraId="3424928A" w14:textId="77777777" w:rsidR="003754FE" w:rsidRDefault="003754FE" w:rsidP="003754FE">
      <w:pPr>
        <w:pStyle w:val="TextoNormal"/>
      </w:pPr>
    </w:p>
    <w:p w14:paraId="311112B0" w14:textId="77777777" w:rsidR="003754FE" w:rsidRDefault="003754FE" w:rsidP="003754FE">
      <w:pPr>
        <w:pStyle w:val="TextoNormal"/>
      </w:pPr>
      <w:r>
        <w:t>En este sentido, la resolución de instancia no desarrolla un mínimo juicio de autoría que permita determinar si el señor Vallejo Serrano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siendo que, como ya hemos señalado, toda la motivación efectuada respecto al demandante va dirigida a acreditar su participación en el uso del instrumento presupuestario de las transferencias de financiación para la concesión de ayudas sociolaborales.</w:t>
      </w:r>
    </w:p>
    <w:p w14:paraId="5760F42F" w14:textId="77777777" w:rsidR="003754FE" w:rsidRDefault="003754FE" w:rsidP="003754FE">
      <w:pPr>
        <w:pStyle w:val="TextoNormal"/>
      </w:pPr>
    </w:p>
    <w:p w14:paraId="7C0EB1AE" w14:textId="77777777" w:rsidR="003754FE" w:rsidRDefault="003754FE" w:rsidP="003754FE">
      <w:pPr>
        <w:pStyle w:val="TextoNormal"/>
      </w:pPr>
      <w:r>
        <w:t>Resulta especialmente relevante la argumentación relativa al elemento subjetivo, ya que la conducta malversadora no puede provenir del uso de un procedimiento de presupuestación que contempla el pago de ayudas a través de las transferencias de financiación y la firma de convenios amparado en la ley, sino, en su caso, de la disposición de los fondos presupuestados para fines no previstos en el programa o incluso carentes de tal interés público. El elemento subjetivo de injusto debe proyectarse sobre esas concretas disposiciones.</w:t>
      </w:r>
    </w:p>
    <w:p w14:paraId="11DE30B6" w14:textId="77777777" w:rsidR="003754FE" w:rsidRDefault="003754FE" w:rsidP="003754FE">
      <w:pPr>
        <w:pStyle w:val="TextoNormal"/>
      </w:pPr>
    </w:p>
    <w:p w14:paraId="47606AF4" w14:textId="77777777" w:rsidR="003754FE" w:rsidRDefault="003754FE" w:rsidP="003754FE">
      <w:pPr>
        <w:pStyle w:val="TextoNormal"/>
      </w:pPr>
      <w:r>
        <w:t>Al respecto, el juicio de inferencia del dolo de malversar realizado en la sentencia de instancia parte de dos elementos:</w:t>
      </w:r>
    </w:p>
    <w:p w14:paraId="1FD56717" w14:textId="77777777" w:rsidR="003754FE" w:rsidRDefault="003754FE" w:rsidP="003754FE">
      <w:pPr>
        <w:pStyle w:val="TextoNormal"/>
      </w:pPr>
    </w:p>
    <w:p w14:paraId="065777E2" w14:textId="77777777" w:rsidR="003754FE" w:rsidRDefault="003754FE" w:rsidP="003754FE">
      <w:pPr>
        <w:pStyle w:val="TextoNormal"/>
      </w:pPr>
      <w:r>
        <w:t>(i) Los informes de control financiero permanente de la agencia IFA/IDEA, elaborados por la Intervención General de la Junta de Andalucía, y entre ellos, de manera determinante, el informe adicional (anexo III) al informe de cumplimiento del año 2003 (“informe sobre determinados aspectos de la gestión del Instituto de Fomento de Andalucía de los convenios suscritos con la Consejería de Empleo y Desarrollo Tecnológico en materia de trabajo y Seguridad Social”), argumentando que “[d]e esta disposición de fondos públicos participaron de forma activa desde el ejercicio 2000 hasta el 2009, los acusados pertenecientes a la Consejería de Empleo” y también los “otros acusados, por realizar las conductas descritas en los hechos probados, conociendo las aludidas deficiencias a través de los informes de control financiero de la Intervención General de la Junta de Andalucía” [sentencia de la Audiencia Provincial, fundamento de Derecho 45.4 D), pág. 1722].</w:t>
      </w:r>
    </w:p>
    <w:p w14:paraId="39E78947" w14:textId="77777777" w:rsidR="003754FE" w:rsidRDefault="003754FE" w:rsidP="003754FE">
      <w:pPr>
        <w:pStyle w:val="TextoNormal"/>
      </w:pPr>
    </w:p>
    <w:p w14:paraId="50370E7E" w14:textId="77777777" w:rsidR="003754FE" w:rsidRDefault="003754FE" w:rsidP="003754FE">
      <w:pPr>
        <w:pStyle w:val="TextoNormal"/>
      </w:pPr>
      <w:r>
        <w:t>(ii) El déficit generado en la Consejería de Empleo y Desarrollo Tecnológico y en la agencia IFA/IDEA como consecuencia de la aplicación de este sistema de gestión de ayudas, lleva a apreciar en los condenados por malversación “una indiferencia hacia la alta probabilidad de que lo que ya era un despilfarro pasase a ser una malversación” en virtud de “la existencia del déficit o desfases presupuestarios, originados precisamente porque se contraían obligaciones al margen de la cobertura presupuestaria, lo que era posible porque se concedían subvenciones al margen del procedimiento legalmente establecido y sin control alguno, al haberse soslayado la fiscalización” [sentencia de la Audiencia Provincial, fundamento de Derecho 45.4 M), pág. 1732].</w:t>
      </w:r>
    </w:p>
    <w:p w14:paraId="4109BE19" w14:textId="77777777" w:rsidR="003754FE" w:rsidRDefault="003754FE" w:rsidP="003754FE">
      <w:pPr>
        <w:pStyle w:val="TextoNormal"/>
      </w:pPr>
    </w:p>
    <w:p w14:paraId="25BEB84D" w14:textId="77777777" w:rsidR="003754FE" w:rsidRDefault="003754FE" w:rsidP="003754FE">
      <w:pPr>
        <w:pStyle w:val="TextoNormal"/>
      </w:pPr>
      <w:r>
        <w:t>Ese juicio de inferencia, sin embargo, no resulta suficiente para establecer de manera cierta y precisa que el señor Vallejo Serrano hubiera intervenido, con conocimiento de causa, en la realización de alguna o algunas de las disposiciones de fondos ajenas a la cobertura presupuestaria. Cierto es que, a través de los informes de control financiero, y, particularmente, a través del informe adicional al informe de cumplimiento del año 2003 (notificado en el año 2005), tuvo conocimiento de que las ayudas no se sujetaban a los requisitos del procedimiento aplicable a las subvenciones excepcionales —y que a partir de ese conocimiento es razonable concluir que se representó los riesgos de desvío que esa minoración de controles podría generar—. Ahora bien, este riesgo era inherente al sistema de presupuestación legalmente establecido. Por ello, para apreciar que el señor Vallejo Serrano incurrió en las conductas que se le imputan no basta con poner de manifiesto que las ayudas concedidas no se ajustaban al procedimiento subvencional (conducta que estaba amparada en lo dispuesto en las leyes de presupuestos), sino que es preciso acreditar que participó activa u omisivamente con conocimiento de que los fondos públicos del programa 31L se estaban concediendo sin que existiera un fin público que justificara su concesión o para fines distintos de los previstos en dicho programa 31L.</w:t>
      </w:r>
    </w:p>
    <w:p w14:paraId="48B83E99" w14:textId="77777777" w:rsidR="003754FE" w:rsidRDefault="003754FE" w:rsidP="003754FE">
      <w:pPr>
        <w:pStyle w:val="TextoNormal"/>
      </w:pPr>
    </w:p>
    <w:p w14:paraId="1803F7DB" w14:textId="77777777" w:rsidR="003754FE" w:rsidRDefault="003754FE" w:rsidP="003754FE">
      <w:pPr>
        <w:pStyle w:val="TextoNormal"/>
      </w:pPr>
      <w:r>
        <w:t xml:space="preserve">Hemos de considerar, en definitiva, para situar en sus justos términos la fuerza probatoria de los mismos, que los informes de la Intervención de la Junta de Andalucía que se hicieron llegar a varios de los condenados, entre ellos al señor Vallejo Serrano, rebaten la validez del concepto de transferencias de financiación al IFA/IDEA como instrumento presupuestario </w:t>
      </w:r>
      <w:r>
        <w:lastRenderedPageBreak/>
        <w:t>para gestionar subvenciones excepcionales al margen de su procedimiento propio, pero no advierten de que se hubieran producido actos de disposición ajenos a dicha cobertura.</w:t>
      </w:r>
    </w:p>
    <w:p w14:paraId="4F3D5A63" w14:textId="77777777" w:rsidR="003754FE" w:rsidRDefault="003754FE" w:rsidP="003754FE">
      <w:pPr>
        <w:pStyle w:val="TextoNormal"/>
      </w:pPr>
    </w:p>
    <w:p w14:paraId="37BB3D7A" w14:textId="77777777" w:rsidR="003754FE" w:rsidRDefault="003754FE" w:rsidP="003754FE">
      <w:pPr>
        <w:pStyle w:val="TextoNormal"/>
      </w:pPr>
      <w:r>
        <w:t>En particular, el informe adicional al informe de cumplimiento del ejercicio 2003, al que las resoluciones judiciales otorgan una importancia decisiva en la formación de su convicción, recoge el análisis específico que el interventor general de la Junta de Andalucía, don Manuel Gómez Martínez, acusado y absuelto en la causa, encargó a la interventora señora Lobo, que se hiciera sobre una muestra de veinte convenios particulares, seleccionados de entre los 144 convenios que se suscribieron entre los años 2001 a 2004 —por lo tanto, con cargo a fondos de los programas 22E y 31L—. Los convenios fueron remitidos por la Dirección General de Trabajo y Seguridad Social, y el informe de la Intervención concluye que todos ellos presentaban las mismas deficiencias, sirviendo de muestra el convenio suscrito con la empresa Hytasal, en el que se detectan, entre otras, las siguientes deficiencias: “[i]mputación presupuestaria inadecuada, no se debe de utilizar el artículo 44 —transferencias al IFA— sino los artículos 47 o 48, según el beneficiario”. […] No consta solicitud presentada por los interesados. […] No se aporta declaración responsable del beneficiario de otras subvenciones o ayudas concedidas para la misma finalidad (artículos 111 y 105 LGHPA, y artículo 15.1 del Reglamento de subvenciones). […] No se acredita la personalidad de las entidades solicitantes, ni de sus representantes. […] No se aporta informe o memoria acreditativa de la finalidad pública, o razones de interés social o económico, así como de la inexistencia de normas reguladoras a las que pudiera acogerse. No consta autorización de la concesión de la subvención por el Consejo de Gobierno por razón de la cuantía”. En el texto del “Protocolo de colaboración entre la Dirección General de Trabajo y Seguridad Social, de la Consejería de Empleo y Desarrollo Tecnológico, de la Junta de Andalucía e HYTASAL”, que operaba como instrumento jurídico de concesión de la ayuda, la Intervención detecta también irregularidades, como: “No consigna plazo de ejecución de la actividad subvencionada con expresión del inicio del cómputo. No consigna la aplicación presupuestaria del gasto y su distribución plurianual […]. No se indica la forma y secuencia del pago y los requisitos exigidos para su abono. […] No se determina el plazo y forma de justificación por el beneficiario del cumplimiento de la finalidad para la que se concede la ayuda. […] Respecto a las inversiones que ha de realizar Hytasal, no se indica cuáles sean, ni el plazo de ejecución ni de justificación de realización de estas. […] No se aporta resolución o convenio de concesión de una subvención a la Asociación 14 de noviembre por importe de 500 000 €. […] Se ha omitido la fiscalización previa. […] El importe correspondiente a las prejubilaciones asciende a 10 285 137,38 €, en lugar de 10 500 000,00 €”.</w:t>
      </w:r>
    </w:p>
    <w:p w14:paraId="158894EC" w14:textId="77777777" w:rsidR="003754FE" w:rsidRDefault="003754FE" w:rsidP="003754FE">
      <w:pPr>
        <w:pStyle w:val="TextoNormal"/>
      </w:pPr>
    </w:p>
    <w:p w14:paraId="24FAF47F" w14:textId="77777777" w:rsidR="003754FE" w:rsidRDefault="003754FE" w:rsidP="003754FE">
      <w:pPr>
        <w:pStyle w:val="TextoNormal"/>
      </w:pPr>
      <w:r>
        <w:t>La conclusión es la siguiente: “Vistas las anteriores deficiencias se puede concluir que la citada Dirección General ha tramitado subvenciones excepcionales prescindiendo de forma total y absoluta del procedimiento administrativo establecido. Dado que las deficiencias que presentan los expedientes son comunes a la práctica totalidad de los examinados existen dudas razonables sobre la correcta tramitación del resto de los expedientes no seleccionados” (sentencia de la Audiencia Provincial, hecho probado noveno, págs. 64 a 67).</w:t>
      </w:r>
    </w:p>
    <w:p w14:paraId="09105F63" w14:textId="77777777" w:rsidR="003754FE" w:rsidRDefault="003754FE" w:rsidP="003754FE">
      <w:pPr>
        <w:pStyle w:val="TextoNormal"/>
      </w:pPr>
    </w:p>
    <w:p w14:paraId="6C160852" w14:textId="77777777" w:rsidR="003754FE" w:rsidRDefault="003754FE" w:rsidP="003754FE">
      <w:pPr>
        <w:pStyle w:val="TextoNormal"/>
      </w:pPr>
      <w:r>
        <w:t xml:space="preserve">La sentencia de instancia valora, asimismo, la declaración de los peritos de la Intervención General de la Administración del Estado, que elaboraron el informe que se incorporó a la causa. La sentencia dice que “[p]reguntados a este respecto, en las sesiones del juicio, los peritos de la IGAE, únicos que han visto todos y cada uno de los 270 expedientes de ayudas derivados del programa 22E y 31L, confirmaron que todas y cada una de las </w:t>
      </w:r>
      <w:r>
        <w:lastRenderedPageBreak/>
        <w:t>deficiencias transcritas en el informe de HYTASAL, son plenamente extensibles no solo a la muestra de veinte, sino a todos y cada uno de los 270 expedientes que ellos han analizado, con la matización de las diferencias básicas entre ayudas sociolaborales, con suscripción de pólizas de renta colectiva y ayudas a empresas en crisis”. Añade que “[l]os dieciocho puntos ya reseñados, expuestos por la interventora señora Lobo, facilitan de manera evidente el poder afirmar que no se siguió procedimiento administrativo alguno, faltando los requisitos más elementales en la tramitación de cualquier subvención, destacando la interventora la imputación presupuestaria inadecuada, pues no se debe utilizar el artículo 440 transferencias al IFA, sino el 47 o el 48, según el beneficiario. En relación con la opacidad del sistema, confirma el informe de la interventora que la subvención no se ha incluido en la base de datos, ni consta que convenio particular alguno haya sido previamente informado por el letrado del Gabinete Jurídico, adscrito en la Consejería de Empleo, como era preceptivo” (sentencia de la Audiencia Provincial, fundamento de Derecho 4, págs. 264 y 265).</w:t>
      </w:r>
    </w:p>
    <w:p w14:paraId="49731CCD" w14:textId="77777777" w:rsidR="003754FE" w:rsidRDefault="003754FE" w:rsidP="003754FE">
      <w:pPr>
        <w:pStyle w:val="TextoNormal"/>
      </w:pPr>
    </w:p>
    <w:p w14:paraId="76609605" w14:textId="77777777" w:rsidR="003754FE" w:rsidRDefault="003754FE" w:rsidP="003754FE">
      <w:pPr>
        <w:pStyle w:val="TextoNormal"/>
      </w:pPr>
      <w:r>
        <w:t>El contenido de estos informes permite inferir de manera razonable que sus destinatarios eran conscientes de que dichas aplicaciones presupuestarias permitían destinar fondos públicos al pago de ayudas sin cumplir el régimen propio de las subvenciones, pero no advertían de que se hubieran materializado pagos al margen de su cobertura frente a lo que sostiene la sentencia de la Audiencia Provincial (fundamento de Derecho 45, pág. 1721) y como implícitamente viene a recoger la sentencia de casación al afirmar que “el contenido del informe [adicional al de cumplimiento de 2003] no anunciaba las consecuencias que podían producir” (sentencia del Tribunal Supremo, fundamento 63.2, pág. 519).</w:t>
      </w:r>
    </w:p>
    <w:p w14:paraId="22D5865D" w14:textId="77777777" w:rsidR="003754FE" w:rsidRDefault="003754FE" w:rsidP="003754FE">
      <w:pPr>
        <w:pStyle w:val="TextoNormal"/>
      </w:pPr>
    </w:p>
    <w:p w14:paraId="4E1503F8" w14:textId="77777777" w:rsidR="003754FE" w:rsidRDefault="003754FE" w:rsidP="003754FE">
      <w:pPr>
        <w:pStyle w:val="TextoNormal"/>
      </w:pPr>
      <w:r>
        <w:t>En definitiva, los informes de la Intervención que la sentencia de instancia analiza como medio de prueba acreditativo del tipo subjetivo de la malversación no llegan a demostrar que el señor Vallejo Serrano hubiera realizado los hechos que se le atribuyen con una representación suficiente de que las ayudas se fueran a conceder al margen de toda finalidad pública.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y Desarrollo Tecnológico que aparecen descritas en el fundamento de Derecho 45 de la sentencia de instancia. Tampoco es un dato concluyente que tuviera conocimiento del déficit contable que se producía en la agencia IDEA pues el mismo era una consecuencia asociada al sistema de presupuestación y gestión de las transferencias de financiación determinado en las leyes de presupuestos.</w:t>
      </w:r>
    </w:p>
    <w:p w14:paraId="7AEDED2D" w14:textId="77777777" w:rsidR="003754FE" w:rsidRDefault="003754FE" w:rsidP="003754FE">
      <w:pPr>
        <w:pStyle w:val="TextoNormal"/>
      </w:pPr>
    </w:p>
    <w:p w14:paraId="05A958D2" w14:textId="77777777" w:rsidR="003754FE" w:rsidRDefault="003754FE" w:rsidP="003754FE">
      <w:pPr>
        <w:pStyle w:val="TextoNormal"/>
      </w:pPr>
      <w:r>
        <w:t>Ello no quiere decir, en modo alguno, que no existan en la causa elementos que hubieran podido servir de punto de partida para fundar un juicio de inferencia que pudiera haber llevado a esa conclusión —cuestión sobre la que a este tribunal no le corresponde pronunciarse—, sino, sencillamente, que la sentencia no ha completado el razonamiento capaz de trazar la vinculación entre los actos realizados por el demandante y las desviaciones expuestas anteriormente, razonamiento que es necesario para satisfacer el canon de motivación reforzada exigible a una sentencia condenatoria desde la perspectiva del derecho a la presunción de inocencia (art. 24.2 CE) y de los derechos fundamentales concernidos por las penas impuestas.</w:t>
      </w:r>
    </w:p>
    <w:p w14:paraId="2AEFEC12" w14:textId="77777777" w:rsidR="003754FE" w:rsidRDefault="003754FE" w:rsidP="003754FE">
      <w:pPr>
        <w:pStyle w:val="TextoNormal"/>
      </w:pPr>
    </w:p>
    <w:p w14:paraId="047913CC" w14:textId="77777777" w:rsidR="003754FE" w:rsidRDefault="003754FE" w:rsidP="003754FE">
      <w:pPr>
        <w:pStyle w:val="TextoNormal"/>
      </w:pPr>
      <w:r>
        <w:t xml:space="preserve">La resolución judicial de instancia (sentencia de la Audiencia Provincial, fundamento de Derecho 23, pág 696) atribuye directamente dicho desvío de fondos a los responsables de </w:t>
      </w:r>
      <w:r>
        <w:lastRenderedPageBreak/>
        <w:t>la Consejería de Empleo señalando que “[s]in el mecanismo ya descrito, hubiera sido imposible que la Consejería de Empleo de la Junta de Andalucía, a través de la Dirección General de Trabajo y Seguridad Social, hubiera dispuesto de fondos para conceder y pagar a través del IFA/IDEA, los conceptos ya reseñados, sin la tramitación del expediente debido, que permitiese acreditar, no ya solo el fin público o social del destino de las cantidades, sino que, suponiendo este, se hubieran aplicado los fondos al mismo”. Esta fundamentación se repite a lo largo de la sentencia de instancia, como en el fundamento de Derecho 9 o en el 35 (pág. 1261) donde se afirma que “[a] pesar de no estar previsto en la ficha presupuestaria del programa 31L, lo cierto es que los responsables de la Consejería de Empleo, utilizaron estos fondos para fines completamente ajenos”. Y así, a simple modo de ejemplo, se encuentra que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Asimismo, en el fundamento 45, es donde se concluye que se hicieron pagos completamente ajenos al interés público, “[c]omo son el pago de nóminas, deudas (sin especificar), minutas por asesoramiento jurídico en materia laboral, mejoras salariales derivadas de convenios colectivos, préstamos para pago de nóminas de los que no consta su devolución”, a empresas que no habían acreditado su falta de capacidad económica, sospechosas de haberse constituido exclusivamente para el cobro de las subvenciones, o incluyendo beneficiarios que no pertenecían a las mismas. Sin embargo, como ya se ha indicado, ninguna argumentación se realiza a lo largo de estos fundamentos jurídicos dirigida a explicitar la participación del demandante de amparo en la ejecución de este tipo de actos, los elementos probatorios de los que se deduciría dicha participación, así como la posible concurrencia del elemento subjetivo del injusto.</w:t>
      </w:r>
    </w:p>
    <w:p w14:paraId="7678A775" w14:textId="77777777" w:rsidR="003754FE" w:rsidRDefault="003754FE" w:rsidP="003754FE">
      <w:pPr>
        <w:pStyle w:val="TextoNormal"/>
      </w:pPr>
    </w:p>
    <w:p w14:paraId="0EFEEDCC" w14:textId="77777777" w:rsidR="003754FE" w:rsidRDefault="003754FE" w:rsidP="003754FE">
      <w:pPr>
        <w:pStyle w:val="TextoNormal"/>
      </w:pPr>
      <w:r>
        <w:t>Consecuentemente, y desde la perspectiva del análisis efectuado en las resoluciones judiciales impugnadas, no se considera mínimamente motivado que el señor Vallejo Serrano hubiera realizado los hechos que la sentencia declara probados con conocimiento de que la Consejería de Empleo y Desarrollo Tecnológico concedía ayudas que no respondían a ningún fin público amparado en el programa 31L, y consiguientemente con representación del riesgo concreto de que dicha situación se pudiera reproducir lo que ha de llevar a concluir que su presunción de inocencia no ha sido respetada por los órganos judiciales que pronunciaron la condena y que desestimaron el recurso de casación subsiguientemente interpuesto, lo que debe llevar a la estimación del amparo respecto a este motivo.</w:t>
      </w:r>
    </w:p>
    <w:p w14:paraId="345FD07C" w14:textId="77777777" w:rsidR="003754FE" w:rsidRDefault="003754FE" w:rsidP="003754FE">
      <w:pPr>
        <w:pStyle w:val="TextoNormal"/>
      </w:pPr>
    </w:p>
    <w:p w14:paraId="11F2AE9D" w14:textId="499FD0F5" w:rsidR="003754FE" w:rsidRDefault="003754FE" w:rsidP="003754FE">
      <w:pPr>
        <w:pStyle w:val="TextoNormal"/>
      </w:pPr>
      <w:r>
        <w:t>La estimación de esta queja, bastante para declarar la nulidad de la condena por delito de malversación, hace innecesario pronunciarse sobre el segundo motivo de amparo, en el que se achaca al Tribunal Supremo haber incurrido en una vulneración del derecho a la tutela judicial efectiva (arts. 24.1 CE y 6 CEDH) y del derecho de defensa e intangibilidad de las resoluciones judiciales firmes (art. 24.2 CE), por haber considerado las ayudas individuales como soporte fáctico del delito de malversación a pesar de, según el demandante, haber quedado excluida del enjuiciamiento por parte del auto de la Audiencia Provincial de Sevilla de 9 de febrero de 2018.</w:t>
      </w:r>
    </w:p>
    <w:p w14:paraId="509EE6E7" w14:textId="77777777" w:rsidR="003754FE" w:rsidRDefault="003754FE" w:rsidP="003754FE">
      <w:pPr>
        <w:pStyle w:val="TextoNormal"/>
      </w:pPr>
    </w:p>
    <w:p w14:paraId="0EBAFD71" w14:textId="77777777" w:rsidR="003754FE" w:rsidRDefault="003754FE" w:rsidP="003754FE">
      <w:pPr>
        <w:pStyle w:val="TextoNormal"/>
      </w:pPr>
      <w:r w:rsidRPr="003754FE">
        <w:rPr>
          <w:rStyle w:val="NumeroAFNegritaCaracter"/>
        </w:rPr>
        <w:t>8</w:t>
      </w:r>
      <w:r>
        <w:t xml:space="preserve">. </w:t>
      </w:r>
      <w:r w:rsidRPr="003754FE">
        <w:rPr>
          <w:i/>
        </w:rPr>
        <w:t>Conclusión y efectos de la estimación parcial del recurso de amparo</w:t>
      </w:r>
    </w:p>
    <w:p w14:paraId="3EEEA4A9" w14:textId="77777777" w:rsidR="003754FE" w:rsidRDefault="003754FE" w:rsidP="003754FE">
      <w:pPr>
        <w:pStyle w:val="TextoNormal"/>
      </w:pPr>
    </w:p>
    <w:p w14:paraId="28F09A5A" w14:textId="77777777" w:rsidR="003754FE" w:rsidRDefault="003754FE" w:rsidP="003754FE">
      <w:pPr>
        <w:pStyle w:val="TextoNormal"/>
      </w:pPr>
      <w:r>
        <w:lastRenderedPageBreak/>
        <w:t>Los argumentos expuestos en los fundamentos jurídicos anteriores determinan que la estimación del presente recuso de amparo despliegue efectos diversos en relación con la condena por delito de malversación de caudales públicos del art. 432 CP y la condena por delito de prevaricación del art. 404 CP.</w:t>
      </w:r>
    </w:p>
    <w:p w14:paraId="05CD0714" w14:textId="77777777" w:rsidR="003754FE" w:rsidRDefault="003754FE" w:rsidP="003754FE">
      <w:pPr>
        <w:pStyle w:val="TextoNormal"/>
      </w:pPr>
    </w:p>
    <w:p w14:paraId="0247D52C" w14:textId="77777777" w:rsidR="003754FE" w:rsidRDefault="003754FE" w:rsidP="003754FE">
      <w:pPr>
        <w:pStyle w:val="TextoNormal"/>
      </w:pPr>
      <w:r>
        <w:t>A) En relación con la condena por “malversación de caudales públicos”, ha de acordarse la íntegra nulidad de las resoluciones impugnadas, sin retroacción alguna, pues los argumentos expresados en los fundamentos jurídicos 5 y 6 de esta resolución ponen de manifiesto que dicha condena carece de todo soporte constitucional como consecuencia de:</w:t>
      </w:r>
    </w:p>
    <w:p w14:paraId="0B8E00AF" w14:textId="77777777" w:rsidR="003754FE" w:rsidRDefault="003754FE" w:rsidP="003754FE">
      <w:pPr>
        <w:pStyle w:val="TextoNormal"/>
      </w:pPr>
    </w:p>
    <w:p w14:paraId="00A7177F" w14:textId="77777777" w:rsidR="003754FE" w:rsidRDefault="003754FE" w:rsidP="003754FE">
      <w:pPr>
        <w:pStyle w:val="TextoNormal"/>
      </w:pPr>
      <w:r>
        <w:t>a) La estimación parcial de la vulneración del derecho a la legalidad penal (art. 25.1 CE) en relación con la subsunción imprevisible en el tipo penal del art. 432 CP de todos los hechos que han motivado la condena por malversación con la sola excepción de los referidos a concretas aplicaciones de fondos públicos sin cobertura en el programa 31L.</w:t>
      </w:r>
    </w:p>
    <w:p w14:paraId="30605BD3" w14:textId="77777777" w:rsidR="003754FE" w:rsidRDefault="003754FE" w:rsidP="003754FE">
      <w:pPr>
        <w:pStyle w:val="TextoNormal"/>
      </w:pPr>
    </w:p>
    <w:p w14:paraId="2653FB4E" w14:textId="77777777" w:rsidR="003754FE" w:rsidRDefault="003754FE" w:rsidP="003754FE">
      <w:pPr>
        <w:pStyle w:val="TextoNormal"/>
      </w:pPr>
      <w:r>
        <w:t>b) La estimación de la vulneración del derecho a la presunción de inocencia (art. 24.2 CE) respecto de la atribución al recurrente de amparo de la comisión de los hechos referidos a concretas aplicaciones de fondos públicos sin cobertura en el programa 31L.</w:t>
      </w:r>
    </w:p>
    <w:p w14:paraId="6F522339" w14:textId="77777777" w:rsidR="003754FE" w:rsidRDefault="003754FE" w:rsidP="003754FE">
      <w:pPr>
        <w:pStyle w:val="TextoNormal"/>
      </w:pPr>
    </w:p>
    <w:p w14:paraId="4ADF2FE5" w14:textId="77777777" w:rsidR="003754FE" w:rsidRDefault="003754FE" w:rsidP="003754FE">
      <w:pPr>
        <w:pStyle w:val="TextoNormal"/>
      </w:pPr>
      <w:r>
        <w:t>B) En relación con el delito de “prevaricación administrativa” del art. 404 CP, ha de acordarse, en cambio, la nulidad parcial de las resoluciones impugnadas, pues:</w:t>
      </w:r>
    </w:p>
    <w:p w14:paraId="1AB573C3" w14:textId="77777777" w:rsidR="003754FE" w:rsidRDefault="003754FE" w:rsidP="003754FE">
      <w:pPr>
        <w:pStyle w:val="TextoNormal"/>
      </w:pPr>
    </w:p>
    <w:p w14:paraId="493F034D" w14:textId="77777777" w:rsidR="003754FE" w:rsidRDefault="003754FE" w:rsidP="003754FE">
      <w:pPr>
        <w:pStyle w:val="TextoNormal"/>
      </w:pPr>
      <w:r>
        <w:t>a) Infringe el derecho a la legalidad penal (art. 25.1 CE), la aplicación que han efectuado los órganos judiciales del art. 404 CP al condenar al recurrente en amparo como autor de un delito continuado de prevaricación (art. 404 CP): (i) por haber participado en la aprobación de los proyectos de leyes de presupuestos de Andalucía para los años 2005 a 2009; (ii) por haber participado en la tramitación de las modificaciones presupuestarias efectuadas en los años 2005, 2006, 2007 y 2008 en relación con el programa 31L, y (iii) por conocer la existencia de cincuenta y tres convenios particulares y no haber evitado su firma o su ejecución.</w:t>
      </w:r>
    </w:p>
    <w:p w14:paraId="554ADC2A" w14:textId="77777777" w:rsidR="003754FE" w:rsidRDefault="003754FE" w:rsidP="003754FE">
      <w:pPr>
        <w:pStyle w:val="TextoNormal"/>
      </w:pPr>
    </w:p>
    <w:p w14:paraId="7A1C219C" w14:textId="77777777" w:rsidR="003754FE" w:rsidRDefault="003754FE" w:rsidP="003754FE">
      <w:pPr>
        <w:pStyle w:val="TextoNormal"/>
      </w:pPr>
      <w:r>
        <w:t>b) No es lesiva del derecho a la legalidad penal (art. 25.1 CE), la condena por delito de prevaricación del recurrente de amparo en relación con su intervención en la aprobación de la modificación presupuestaria de 9 de diciembre de 2004, por la que se incrementaron los créditos correspondientes al programa 32H.</w:t>
      </w:r>
    </w:p>
    <w:p w14:paraId="1D5AF744" w14:textId="77777777" w:rsidR="003754FE" w:rsidRDefault="003754FE" w:rsidP="003754FE">
      <w:pPr>
        <w:pStyle w:val="TextoNormal"/>
      </w:pPr>
    </w:p>
    <w:p w14:paraId="3D077C22" w14:textId="01A88D1B" w:rsidR="003754FE" w:rsidRDefault="003754FE" w:rsidP="003754FE">
      <w:pPr>
        <w:pStyle w:val="TextoNormal"/>
      </w:pPr>
      <w:r>
        <w:t>En consecuencia, el fallo parcialmente estimatorio determina la nulidad de la resoluciones impugnadas y la retroacción del procedimiento al momento anterior al dictado de la sentencia de instancia para que por la Audiencia Provincial de Sevilla se dicte un nuevo pronunciamiento exclusivamente en lo relativo a la posible comisión de un delito de prevaricación administrativa del art. 404 CP derivado de la intervención del recurrente de amparo en la aprobación de la modificación presupuestaria de 9 de diciembre de 2004 para el incremento del crédito presupuestario del programa 32H.</w:t>
      </w:r>
    </w:p>
    <w:p w14:paraId="5EC2C580" w14:textId="77777777" w:rsidR="003754FE" w:rsidRDefault="003754FE" w:rsidP="003754FE">
      <w:pPr>
        <w:pStyle w:val="TextoNormal"/>
      </w:pPr>
    </w:p>
    <w:p w14:paraId="5A830C83" w14:textId="77777777" w:rsidR="003754FE" w:rsidRDefault="003754FE" w:rsidP="003754FE">
      <w:pPr>
        <w:pStyle w:val="TextoNormalCentrado"/>
        <w:keepNext/>
      </w:pPr>
      <w:r>
        <w:t>FALLO</w:t>
      </w:r>
    </w:p>
    <w:p w14:paraId="64DD09AE" w14:textId="0EC945AF" w:rsidR="003754FE" w:rsidRDefault="003754FE" w:rsidP="003754FE">
      <w:pPr>
        <w:pStyle w:val="TextoNormalCentrado"/>
        <w:keepNext/>
      </w:pPr>
    </w:p>
    <w:p w14:paraId="1B0CA57A" w14:textId="77777777" w:rsidR="003754FE" w:rsidRDefault="003754FE" w:rsidP="003754FE">
      <w:pPr>
        <w:pStyle w:val="TextoNormal"/>
      </w:pPr>
      <w:r>
        <w:t>En atención a todo lo expuesto, el Tribunal Constitucional, por la autoridad que le confiere la Constitución de la Nación española, ha decidido:</w:t>
      </w:r>
    </w:p>
    <w:p w14:paraId="3BBAE7CD" w14:textId="77777777" w:rsidR="003754FE" w:rsidRDefault="003754FE" w:rsidP="003754FE">
      <w:pPr>
        <w:pStyle w:val="TextoNormal"/>
      </w:pPr>
    </w:p>
    <w:p w14:paraId="1A5B8C5F" w14:textId="77777777" w:rsidR="003754FE" w:rsidRDefault="003754FE" w:rsidP="003754FE">
      <w:pPr>
        <w:pStyle w:val="TextoNormal"/>
      </w:pPr>
      <w:r>
        <w:lastRenderedPageBreak/>
        <w:t>1º Reconocer que se han vulnerado los derechos fundamentales del recurrente a la legalidad penal (art. 25.1 CE) y a la presunción de inocencia (art. 24.2 CE).</w:t>
      </w:r>
    </w:p>
    <w:p w14:paraId="2F595E98" w14:textId="77777777" w:rsidR="003754FE" w:rsidRDefault="003754FE" w:rsidP="003754FE">
      <w:pPr>
        <w:pStyle w:val="TextoNormal"/>
      </w:pPr>
    </w:p>
    <w:p w14:paraId="04CE8022" w14:textId="77777777" w:rsidR="003754FE" w:rsidRDefault="003754FE" w:rsidP="003754FE">
      <w:pPr>
        <w:pStyle w:val="TextoNormal"/>
      </w:pPr>
      <w:r>
        <w:t>2º Restablecerle en sus derechos y, a tal fin, declarar la nulidad de la sentencia núm. 490/2019, de 19 de noviembre, dictada por la Sección Primera de la Audiencia Provincial de Sevilla, de la sentencia núm. 749/2022, de 13 de septiembre, de la Sala de lo Penal del Tribunal Supremo y del auto del mismo tribunal de 16 de febrero de 2023, ordenando la retroacción del proceso al momento anterior al dictado de la sentencia de instancia para que por la Audiencia Provincial de Sevilla se dicte un nuevo pronunciamiento respetuoso con los derechos fundamentales vulnerados, en los términos que se indican en el fundamento jurídico 8 de esta sentencia.</w:t>
      </w:r>
    </w:p>
    <w:p w14:paraId="4D820B8B" w14:textId="77777777" w:rsidR="003754FE" w:rsidRDefault="003754FE" w:rsidP="003754FE">
      <w:pPr>
        <w:pStyle w:val="TextoNormal"/>
      </w:pPr>
    </w:p>
    <w:p w14:paraId="38E51045" w14:textId="1101B2CF" w:rsidR="003754FE" w:rsidRDefault="003754FE" w:rsidP="003754FE">
      <w:pPr>
        <w:pStyle w:val="TextoNormal"/>
      </w:pPr>
      <w:r>
        <w:t>3º Desestimar el recurso de amparo en lo restante.</w:t>
      </w:r>
    </w:p>
    <w:p w14:paraId="621421A1" w14:textId="77777777" w:rsidR="003754FE" w:rsidRDefault="003754FE" w:rsidP="003754FE">
      <w:pPr>
        <w:pStyle w:val="TextoNormal"/>
      </w:pPr>
    </w:p>
    <w:p w14:paraId="25899D9B" w14:textId="77777777" w:rsidR="003754FE" w:rsidRDefault="003754FE" w:rsidP="003754FE">
      <w:pPr>
        <w:pStyle w:val="TextoNormal"/>
      </w:pPr>
      <w:r>
        <w:t>Publíquese esta sentencia en el “Boletín Oficial del Estado”.</w:t>
      </w:r>
    </w:p>
    <w:p w14:paraId="061B37FE" w14:textId="77777777" w:rsidR="003754FE" w:rsidRDefault="003754FE" w:rsidP="003754FE">
      <w:pPr>
        <w:pStyle w:val="TextoNormal"/>
      </w:pPr>
      <w:r>
        <w:t>Dada en Madrid, a tres de julio de dos mil veinticuatro.</w:t>
      </w:r>
    </w:p>
    <w:p w14:paraId="71A9C4DE" w14:textId="2B70167B" w:rsidR="003754FE" w:rsidRDefault="003754FE" w:rsidP="003754FE">
      <w:pPr>
        <w:pStyle w:val="ParrafoNormal"/>
      </w:pPr>
    </w:p>
    <w:p w14:paraId="703B0125" w14:textId="77777777" w:rsidR="003754FE" w:rsidRDefault="003754FE" w:rsidP="003754FE">
      <w:pPr>
        <w:pStyle w:val="TextoNormalNegritaCentrado"/>
        <w:keepNext/>
      </w:pPr>
      <w:r>
        <w:t>Voto particular que formula el magistrado don Ricardo Enríquez Sancho a la sentencia dictada en el recurso de amparo avocado núm. 2360-2023</w:t>
      </w:r>
    </w:p>
    <w:p w14:paraId="33D596A9" w14:textId="2401B2F4" w:rsidR="003754FE" w:rsidRDefault="003754FE" w:rsidP="003754FE">
      <w:pPr>
        <w:pStyle w:val="TextoNormalNegritaCentrado"/>
        <w:keepNext/>
      </w:pPr>
    </w:p>
    <w:p w14:paraId="110ED260" w14:textId="77777777" w:rsidR="003754FE" w:rsidRDefault="003754FE" w:rsidP="003754FE">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avocado por el Pleno núm. 2360-2023, interpuesto por don Francisco Vallejo Serrano, el cual a mi juicio debió ser desestimado porque las sentencias impugnadas no vulneraron sus derechos fundamentales a la legalidad penal (art. 25.1 CE) y a la presunción de inocencia (art. 24.2 CE).</w:t>
      </w:r>
    </w:p>
    <w:p w14:paraId="007A04FD" w14:textId="77777777" w:rsidR="003754FE" w:rsidRDefault="003754FE" w:rsidP="003754FE">
      <w:pPr>
        <w:pStyle w:val="TextoNormal"/>
      </w:pPr>
    </w:p>
    <w:p w14:paraId="74A785A2" w14:textId="77777777" w:rsidR="003754FE" w:rsidRDefault="003754FE" w:rsidP="003754FE">
      <w:pPr>
        <w:pStyle w:val="TextoNormal"/>
      </w:pPr>
      <w:r>
        <w:t>a) Las razones de mi discrepancia han quedado detalladamente expuestas en el voto particular formulado a la sentencia dictada en el día de ayer, STC 94/2024, de 2 de julio, que resolvió una demanda de amparo sustancialmente idéntica a la presente (recurso de amparo avocado 2136-2023), al que por tanto me remito. En ambos recursos de amparo, y en otros tres que se deliberaron en el Pleno del día de hoy, se impugnó la sentencia de la Sección Primera de la Audiencia Provincial de Sevilla de 19 de noviembre de 2019, confirmada en casación por la sentencia de la Sala de lo Penal del Tribunal Supremo de 13 de septiembre de 2022 (junto con el auto de la misma Sala de lo Penal de 16 de febrero de 2023, que rechazó el incidente de nulidad de actuaciones promovido contra su sentencia); resoluciones recaídas en la llamada causa de los “ERE” en la cual se condenó a cargos de relevancia en determinados periodos entre los años 2000 a 2009, en las consejerías de Empleo y Desarrollo Tecnológico; Economía y Hacienda; Justicia y Administración Pública, e Innovación, Ciencia y Empresa, de la Junta de Andalucía; o bien en el Instituto de Fomento de Andalucía (IFA), denominado a partir del año 2004: Agencia de Innovación y Desarrollo de Andalucía (IDEA). En el caso del promotor del presente recurso de amparo, señor Vallejo Serrano, este desempeñó los cargos de consejero de Innovación, Ciencia y Empresa de la Junta de Andalucía entre abril de 2004 y abril de 2009, y presidente del IFA/IDEA.</w:t>
      </w:r>
    </w:p>
    <w:p w14:paraId="010FB513" w14:textId="77777777" w:rsidR="003754FE" w:rsidRDefault="003754FE" w:rsidP="003754FE">
      <w:pPr>
        <w:pStyle w:val="TextoNormal"/>
      </w:pPr>
    </w:p>
    <w:p w14:paraId="36AD7D5A" w14:textId="77777777" w:rsidR="003754FE" w:rsidRDefault="003754FE" w:rsidP="003754FE">
      <w:pPr>
        <w:pStyle w:val="TextoNormal"/>
      </w:pPr>
      <w:r>
        <w:t>b) En síntesis, la sentencia de la que ahora discrepo ha estimado en primer lugar la queja de lesión del derecho fundamental del recurrente a la legalidad penal:</w:t>
      </w:r>
    </w:p>
    <w:p w14:paraId="23B473E8" w14:textId="77777777" w:rsidR="003754FE" w:rsidRDefault="003754FE" w:rsidP="003754FE">
      <w:pPr>
        <w:pStyle w:val="TextoNormal"/>
      </w:pPr>
    </w:p>
    <w:p w14:paraId="1AD1AEA9" w14:textId="77777777" w:rsidR="003754FE" w:rsidRDefault="003754FE" w:rsidP="003754FE">
      <w:pPr>
        <w:pStyle w:val="TextoNormal"/>
      </w:pPr>
      <w:r>
        <w:t>1. Respecto del delito de prevaricación:</w:t>
      </w:r>
    </w:p>
    <w:p w14:paraId="4E4722A9" w14:textId="77777777" w:rsidR="003754FE" w:rsidRDefault="003754FE" w:rsidP="003754FE">
      <w:pPr>
        <w:pStyle w:val="TextoNormal"/>
      </w:pPr>
    </w:p>
    <w:p w14:paraId="793CD753" w14:textId="77777777" w:rsidR="003754FE" w:rsidRDefault="003754FE" w:rsidP="003754FE">
      <w:pPr>
        <w:pStyle w:val="TextoNormal"/>
      </w:pPr>
      <w:r>
        <w:t>(i) En concreto en el fundamento jurídico 5.4 A), se afirma que la actividad de elaboración de los anteproyectos de leyes de presupuestos de la Comunidad Autónoma de Andalucía para los años 2005 a 2009 y su elevación al Consejo de Gobierno, fases en las que tuvo participación destacada el recurrente, no puede considerarse una “resolución” y un “asunto administrativo” a efectos de integrar el delito de prevaricación del art. 404 CP por el que fue condenado (en concurso medial con otro delito de malversación de caudales públicos), al estar excluida aquella actividad de todo control por un órgano judicial, y tener cobertura legal en la partida 31L (transferencias de financiación IFA/IDEA), una vez que aquellos anteproyectos de leyes de presupuestos fueron aprobados por el Parlamento autonómico en los años correspondientes. De este modo, la interpretación efectuada por las sentencias impugnadas que declararon que concurrían los citados elementos del tipo delictivo del art. 404 CP, vulneró según la sentencia de la que discrepo el derecho fundamental del recurrente a la legalidad penal (art. 25.1 CE); criterio que la mayoría del Pleno ya había aplicado en la STC 93/2024, de 19 de junio (primer recurso de amparo de esta serie de los “ERE”, resuelto por el Tribunal).</w:t>
      </w:r>
    </w:p>
    <w:p w14:paraId="3A814188" w14:textId="77777777" w:rsidR="003754FE" w:rsidRDefault="003754FE" w:rsidP="003754FE">
      <w:pPr>
        <w:pStyle w:val="TextoNormal"/>
      </w:pPr>
    </w:p>
    <w:p w14:paraId="7166236B" w14:textId="77777777" w:rsidR="003754FE" w:rsidRDefault="003754FE" w:rsidP="003754FE">
      <w:pPr>
        <w:pStyle w:val="TextoNormal"/>
      </w:pPr>
      <w:r>
        <w:t>(ii) En el fundamento jurídico 5.4 B) i), se afirma que el procedimiento para la elaboración y elevación al Consejo de Gobierno de modificaciones presupuestarias al programa 31L en los años 2005 a 2008, si bien no se considera imprevisible que puedan considerarse resoluciones administrativas a los efectos del art. 404 CP (delito de prevaricación), no cabe sin embargo calificarlas de “arbitrarias” en orden a dicho precepto penal, por tener tales modificaciones su cobertura en aquella partida incluida en las sucesivas leyes de presupuestos.</w:t>
      </w:r>
    </w:p>
    <w:p w14:paraId="51DDABF1" w14:textId="77777777" w:rsidR="003754FE" w:rsidRDefault="003754FE" w:rsidP="003754FE">
      <w:pPr>
        <w:pStyle w:val="TextoNormal"/>
      </w:pPr>
    </w:p>
    <w:p w14:paraId="3C29451A" w14:textId="77777777" w:rsidR="003754FE" w:rsidRDefault="003754FE" w:rsidP="003754FE">
      <w:pPr>
        <w:pStyle w:val="TextoNormal"/>
      </w:pPr>
      <w:r>
        <w:t>(iii) Y en tercer lugar, sostiene el fundamento jurídico 5.4 C) que el conocimiento por el recurrente de hasta cincuenta y tres convenios particulares suscritos entre la Dirección General de Empleo y Desarrollo Tecnológico y el IFA/IDEA, sin realizar actuación alguna dirigida a evitar la suscripción o en su caso la ejecución de tales convenios, de nuevo en aplicación de la doctrina sentada por la STC 93/2024, FJ 4.4, no puede considerarse “arbitraria” y por ello no integra la figura delictiva de la prevaricación del art. 404 CP, pues toda su conducta estaba cubierta por las leyes de presupuestos que incluían la partida 31L para ayudas sociolaborales.</w:t>
      </w:r>
    </w:p>
    <w:p w14:paraId="1C410DCC" w14:textId="77777777" w:rsidR="003754FE" w:rsidRDefault="003754FE" w:rsidP="003754FE">
      <w:pPr>
        <w:pStyle w:val="TextoNormal"/>
      </w:pPr>
    </w:p>
    <w:p w14:paraId="63CDB618" w14:textId="77777777" w:rsidR="003754FE" w:rsidRDefault="003754FE" w:rsidP="003754FE">
      <w:pPr>
        <w:pStyle w:val="TextoNormal"/>
      </w:pPr>
      <w:r>
        <w:t xml:space="preserve">Pues bien, respecto de estos tres pronunciamientos debo remitirme a las consideraciones efectuadas en el apartado 2 del voto particular a la STC 94/2024, recurso de amparo avocado 2136-2023, en el que a su vez hice un amplio recordatorio del voto particular (apartados 2 a 4) firmado junto con los magistrados don Enrique Arnaldo Alcubilla y doña Concepción Espejel Jorquera a la STC 93/2024, respecto de una queja constitucional similar a la que ahora se comenta y donde se aclaró: (1) que los trabajos preparatorios de un proyecto de ley de presupuestos es una actividad de “inequívoca naturaleza administrativa”, con cita de preceptos de nuestro ordenamiento que así lo respaldan; (2) que las actuaciones realizadas en ese procedimiento previo “no se mueven en el ámbito de la inconstitucionalidad de las leyes” y por tanto sí permiten su control por los tribunales penales; (3) que el sistema de financiación desplegado en los citados años por los altos cargos de la Junta de Andalucía condenados en esta causa, revestía una ilegalidad propia del delito de prevaricación </w:t>
      </w:r>
      <w:r>
        <w:lastRenderedPageBreak/>
        <w:t>(arbitrariedad), al degenerar en la falta de control que imponían las normas sobre subvenciones, sin que la aprobación parlamentaria de los proyectos de leyes resultase “sanadora de todos los posibles vicios denunciados”; y (4) en particular, recordé en el voto particular a la STC 94/2024, recurso de amparo avocado 2136-2023 (mismo apartado 2), con remisión al voto particular conjunto a la STC 93/2024, apartado 4, el por qué carece igualmente de valor legal la documentación anexa que acompaña a los anteproyectos de presupuestos, incluyendo la memoria. Todo lo expuesto permite concluir que las sentencias recurridas no conculcaron el derecho fundamental a la legalidad punitiva (art. 25.1 CE) del recurrente, como erróneamente ha venido a apreciar la mayoría del Pleno de este tribunal en la sentencia de la que ahora discrepo.</w:t>
      </w:r>
    </w:p>
    <w:p w14:paraId="67738969" w14:textId="77777777" w:rsidR="003754FE" w:rsidRDefault="003754FE" w:rsidP="003754FE">
      <w:pPr>
        <w:pStyle w:val="TextoNormal"/>
      </w:pPr>
    </w:p>
    <w:p w14:paraId="7456D01F" w14:textId="77777777" w:rsidR="003754FE" w:rsidRDefault="003754FE" w:rsidP="003754FE">
      <w:pPr>
        <w:pStyle w:val="TextoNormal"/>
      </w:pPr>
      <w:r>
        <w:t>2. Respecto del delito de malversación:</w:t>
      </w:r>
    </w:p>
    <w:p w14:paraId="300C58FA" w14:textId="77777777" w:rsidR="003754FE" w:rsidRDefault="003754FE" w:rsidP="003754FE">
      <w:pPr>
        <w:pStyle w:val="TextoNormal"/>
      </w:pPr>
    </w:p>
    <w:p w14:paraId="54EC45B0" w14:textId="77777777" w:rsidR="003754FE" w:rsidRDefault="003754FE" w:rsidP="003754FE">
      <w:pPr>
        <w:pStyle w:val="TextoNormal"/>
      </w:pPr>
      <w:r>
        <w:t>(i) En el fundamento jurídico 6.3 A) a), la sentencia de la que discrepo señala que la subsunción en la modalidad activa del delito de malversación del art. 432 CP (sustracción de caudales públicos), de los hechos probados que se refieren a irregularidades en la gestión global de las ayudas sociolaborales con cobertura en el programa 31L, tanto la elaboración de los respectivos anteproyectos de leyes como de modificaciones presupuestarias en los años 2005 a 2009, resulta imprevisible y por tanto contraria al derecho fundamental a la legalidad (art. 25.1 CE) del recurrente, con reiteración para ello de los motivos ya esgrimidos respecto del delito de prevaricación (no ser una actividad fiscalizable por los tribunales penales).</w:t>
      </w:r>
    </w:p>
    <w:p w14:paraId="662A99BC" w14:textId="77777777" w:rsidR="003754FE" w:rsidRDefault="003754FE" w:rsidP="003754FE">
      <w:pPr>
        <w:pStyle w:val="TextoNormal"/>
      </w:pPr>
    </w:p>
    <w:p w14:paraId="3A41245C" w14:textId="77777777" w:rsidR="003754FE" w:rsidRDefault="003754FE" w:rsidP="003754FE">
      <w:pPr>
        <w:pStyle w:val="TextoNormal"/>
      </w:pPr>
      <w:r>
        <w:t>(ii) Otro tanto defiende la sentencia de la que discrepo en el fundamento jurídico 6. 3 A) b) sobre la condena al recurrente por la modalidad omisiva del mismo delito de malversación (por no impedir el descontrol en la gestión), en cuanto a las ayudas sociolaborales con cobertura en aquel programa 31L.</w:t>
      </w:r>
    </w:p>
    <w:p w14:paraId="1861BA82" w14:textId="77777777" w:rsidR="003754FE" w:rsidRDefault="003754FE" w:rsidP="003754FE">
      <w:pPr>
        <w:pStyle w:val="TextoNormal"/>
      </w:pPr>
    </w:p>
    <w:p w14:paraId="3199D381" w14:textId="77777777" w:rsidR="003754FE" w:rsidRDefault="003754FE" w:rsidP="003754FE">
      <w:pPr>
        <w:pStyle w:val="TextoNormal"/>
      </w:pPr>
      <w:r>
        <w:t>En ambos casos, se trata de un argumento circular al que a su vez ya di contestación en el apartado 3 de mi voto particular a la STC 94/2024, recurso de amparo avocado 2136-2023 (trayendo de nuevo a colación el voto particular conjunto a la STC 93/2024), apartado 3 al que ahora me remito, insistiendo en que las normas y controles sobre subvenciones no fueron modificados por las leyes de presupuestos a las que se alude, de modo que tales controles regían en esos años y fueron deliberadamente obviados.</w:t>
      </w:r>
    </w:p>
    <w:p w14:paraId="29B0894B" w14:textId="77777777" w:rsidR="003754FE" w:rsidRDefault="003754FE" w:rsidP="003754FE">
      <w:pPr>
        <w:pStyle w:val="TextoNormal"/>
      </w:pPr>
    </w:p>
    <w:p w14:paraId="16E6DB0F" w14:textId="77777777" w:rsidR="003754FE" w:rsidRDefault="003754FE" w:rsidP="003754FE">
      <w:pPr>
        <w:pStyle w:val="TextoNormal"/>
      </w:pPr>
      <w:r>
        <w:t xml:space="preserve">c) Finalmente, por lo que atañe a la estimación en el fundamento jurídico 7.4 de la sentencia de la que ahora discrepo, sobre la queja de vulneración del derecho a la presunción de inocencia (art. 24.2 CE) del recurrente, procede que me remita a su vez a lo dicho en el apartado 4 de mi voto particular a la STC 94/2024, recurso de amparo avocado 2136-2023, donde expliqué que la sentencia de instancia que se ha impugnado disponía en las actuaciones de informes periciales concluyentes de la Intervención General de la Junta de Andalucía y de la Intervención General de la Administración del Estado, no contradichos por los expertos que declararon en el plenario, acerca de la culpabilidad de los acusados en los hechos delictivos que se les atribuyen, medios de prueba de los que se hace un examen razonado que luego confirma la sentencia del Tribunal Supremo, sin que quepa hacer excepción por lo que hace al aquí recurrente en cuanto al delito de malversación de caudales públicos. En concreto, por el reparto de aquellas ayudas otorgadas sin cobertura en la partida 31L de las </w:t>
      </w:r>
      <w:r>
        <w:lastRenderedPageBreak/>
        <w:t>leyes de presupuestos (tras la criba efectuada por la misma sentencia, en cuanto a los hechos susceptibles de ser enjuiciados en ese tipo penal).</w:t>
      </w:r>
    </w:p>
    <w:p w14:paraId="7994BA95" w14:textId="77777777" w:rsidR="003754FE" w:rsidRDefault="003754FE" w:rsidP="003754FE">
      <w:pPr>
        <w:pStyle w:val="TextoNormal"/>
      </w:pPr>
    </w:p>
    <w:p w14:paraId="26DD28EC" w14:textId="77777777" w:rsidR="003754FE" w:rsidRDefault="003754FE" w:rsidP="003754FE">
      <w:pPr>
        <w:pStyle w:val="TextoNormal"/>
      </w:pPr>
      <w:r>
        <w:t>Por tanto, no puede calificarse de demasiado abierta o lábil la inferencia que aprecia el dolo eventual necesario para condenar al recurrente, como afirma la sentencia que ahora respalda la mayoría del Pleno, la cual para llegar a ese desenlace se erige en tribunal de instancia formulando su propio juicio de valoración probatoria, llegando incluso a decir que sí existían otros datos en los que sustentar esa culpabilidad, los cuales sin embargo no revela, y que de tal guisa habrían sido ignorados por la Audiencia Provincial. El derecho a la presunción de inocencia del recurrente, en definitiva, fue respetado por las sentencias recurridas, por lo que la demanda debió ser íntegramente desestimada.</w:t>
      </w:r>
    </w:p>
    <w:p w14:paraId="420C4978" w14:textId="77777777" w:rsidR="003754FE" w:rsidRDefault="003754FE" w:rsidP="003754FE">
      <w:pPr>
        <w:pStyle w:val="TextoNormal"/>
      </w:pPr>
    </w:p>
    <w:p w14:paraId="6BB5DA4C" w14:textId="77777777" w:rsidR="003754FE" w:rsidRDefault="003754FE" w:rsidP="003754FE">
      <w:pPr>
        <w:pStyle w:val="TextoNormal"/>
      </w:pPr>
      <w:r>
        <w:t>Y en tal sentido emito mi voto particular.</w:t>
      </w:r>
    </w:p>
    <w:p w14:paraId="0A9F67E2" w14:textId="77777777" w:rsidR="003754FE" w:rsidRDefault="003754FE" w:rsidP="003754FE">
      <w:pPr>
        <w:pStyle w:val="TextoNormal"/>
      </w:pPr>
    </w:p>
    <w:p w14:paraId="2C9476EB" w14:textId="20610126" w:rsidR="003754FE" w:rsidRDefault="003754FE" w:rsidP="003754FE">
      <w:pPr>
        <w:pStyle w:val="TextoNormal"/>
      </w:pPr>
      <w:r>
        <w:t>Madrid, a tres de julio de dos mil veinticuatro.</w:t>
      </w:r>
    </w:p>
    <w:p w14:paraId="79A75C67" w14:textId="77777777" w:rsidR="003754FE" w:rsidRDefault="003754FE" w:rsidP="003754FE">
      <w:pPr>
        <w:pStyle w:val="TextoNormal"/>
      </w:pPr>
    </w:p>
    <w:p w14:paraId="0DA02604" w14:textId="77777777" w:rsidR="003754FE" w:rsidRDefault="003754FE" w:rsidP="003754FE">
      <w:pPr>
        <w:pStyle w:val="TextoNormalNegritaCentrado"/>
        <w:keepNext/>
      </w:pPr>
      <w:r>
        <w:t>Voto particular que formula el magistrado don Enrique Arnaldo Alcubilla a la sentencia dictada por el Pleno en el recurso de amparo núm. 2360-2023</w:t>
      </w:r>
    </w:p>
    <w:p w14:paraId="65F5611C" w14:textId="119B4B30" w:rsidR="003754FE" w:rsidRDefault="003754FE" w:rsidP="003754FE">
      <w:pPr>
        <w:pStyle w:val="TextoNormalNegritaCentrado"/>
        <w:keepNext/>
      </w:pPr>
    </w:p>
    <w:p w14:paraId="07DF3F74" w14:textId="77777777" w:rsidR="003754FE" w:rsidRDefault="003754FE" w:rsidP="003754FE">
      <w:pPr>
        <w:pStyle w:val="TextoNormal"/>
      </w:pPr>
      <w:r>
        <w:t>En el ejercicio de la facultad que me confiere el art. 90.2 de la Ley Orgánica del Tribunal Constitucional (LOTC), formulo el presente voto particular por discrepar de la fundamentación y del fallo de la sentencia recaída en el recurso de amparo interpuesto por don Francisco Vallejo Serrano, el cual a mi parecer debió ser desestimado, por las razones defendidas durante la deliberación y en los términos que seguidamente paso a exponer.</w:t>
      </w:r>
    </w:p>
    <w:p w14:paraId="6B3B2B3E" w14:textId="77777777" w:rsidR="003754FE" w:rsidRDefault="003754FE" w:rsidP="003754FE">
      <w:pPr>
        <w:pStyle w:val="TextoNormal"/>
      </w:pPr>
    </w:p>
    <w:p w14:paraId="34FBA721" w14:textId="77777777" w:rsidR="003754FE" w:rsidRDefault="003754FE" w:rsidP="003754FE">
      <w:pPr>
        <w:pStyle w:val="TextoNormal"/>
      </w:pPr>
      <w:r>
        <w:t xml:space="preserve">1. </w:t>
      </w:r>
      <w:r w:rsidRPr="003754FE">
        <w:rPr>
          <w:i/>
        </w:rPr>
        <w:t>Consideración preliminar</w:t>
      </w:r>
    </w:p>
    <w:p w14:paraId="126CCBC4" w14:textId="77777777" w:rsidR="003754FE" w:rsidRDefault="003754FE" w:rsidP="003754FE">
      <w:pPr>
        <w:pStyle w:val="TextoNormal"/>
      </w:pPr>
    </w:p>
    <w:p w14:paraId="47738FC3" w14:textId="77777777" w:rsidR="003754FE" w:rsidRDefault="003754FE" w:rsidP="003754FE">
      <w:pPr>
        <w:pStyle w:val="TextoNormal"/>
      </w:pPr>
      <w:r>
        <w:t>La fundamentación de la presente sentencia descansa en buena medida en los argumentos empleados por la mayoría del Pleno en la sentencia que estimó parcialmente el recurso de amparo núm. 6971-2022, interpuesto por doña Magdalena Álvarez Arza (STC 93/2024, de 19 de junio) contra las mismas resoluciones judiciales, que la condenaron por un delito de prevaricación en la pieza específica del conocido como “caso de los ERE de Andalucía”.</w:t>
      </w:r>
    </w:p>
    <w:p w14:paraId="5144AE95" w14:textId="77777777" w:rsidR="003754FE" w:rsidRDefault="003754FE" w:rsidP="003754FE">
      <w:pPr>
        <w:pStyle w:val="TextoNormal"/>
      </w:pPr>
    </w:p>
    <w:p w14:paraId="12729614" w14:textId="77777777" w:rsidR="003754FE" w:rsidRDefault="003754FE" w:rsidP="003754FE">
      <w:pPr>
        <w:pStyle w:val="TextoNormal"/>
      </w:pPr>
      <w:r>
        <w:t xml:space="preserve">Es procedente, por ello, que me remita a las consideraciones expuestas en el voto particular que suscribí juntamente con los magistrados señor Enríquez Sancho y señora Espejel Jorquera a la referida sentencia, y a las que formuló el magistrado señor Tolosa Tribiño en su voto, al que asimismo nos adherimos. Esta remisión se explica porque en cuanto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otra de los altos cargos de la Junta de Andalucía condenados en el referido asunto, en este supuesto por delitos de prevaricación y de malversación de caudales públicos. Se trata de don Francisco Vallejo Serrano, que ocupó el cargo de consejero de Innovación, Ciencia y Empresa de la Junta de Andalucía desde el 25 de abril de 2004 al 24 de abril de 2009, correspondiéndole la presidencia del Instituto de Fomento de Andalucía (IFA), luego Agencia de Innovación y Desarrollo de Andalucía (IDEA), y estando descritos los hechos por los que fue condenado en el relato de hechos probados y en los fundamentos de Derecho 34 y 49 de la sentencia de la </w:t>
      </w:r>
      <w:r>
        <w:lastRenderedPageBreak/>
        <w:t>Audiencia Provincial de Sevilla, como se pone de manifiesto en el fundamento jurídico 2.4 de la presente sentencia del Tribunal Constitucional.</w:t>
      </w:r>
    </w:p>
    <w:p w14:paraId="468831F5" w14:textId="77777777" w:rsidR="003754FE" w:rsidRDefault="003754FE" w:rsidP="003754FE">
      <w:pPr>
        <w:pStyle w:val="TextoNormal"/>
      </w:pPr>
    </w:p>
    <w:p w14:paraId="54874F2E" w14:textId="77777777" w:rsidR="003754FE" w:rsidRDefault="003754FE" w:rsidP="003754FE">
      <w:pPr>
        <w:pStyle w:val="TextoNormal"/>
      </w:pPr>
      <w:r>
        <w:t xml:space="preserve">2. </w:t>
      </w:r>
      <w:r w:rsidRPr="003754FE">
        <w:rPr>
          <w:i/>
        </w:rPr>
        <w:t>Una premisa errónea: la pretendida virtud sanadora de las leyes de presupuestos de Andalucía para los años 2002 a 2009</w:t>
      </w:r>
    </w:p>
    <w:p w14:paraId="1833D04E" w14:textId="77777777" w:rsidR="003754FE" w:rsidRDefault="003754FE" w:rsidP="003754FE">
      <w:pPr>
        <w:pStyle w:val="TextoNormal"/>
      </w:pPr>
    </w:p>
    <w:p w14:paraId="0ECFCE1D" w14:textId="77777777" w:rsidR="003754FE" w:rsidRDefault="003754FE" w:rsidP="003754FE">
      <w:pPr>
        <w:pStyle w:val="TextoNormal"/>
      </w:pPr>
      <w:r>
        <w:t>Como en la STC 93/2024, la presente sentencia considera que la actuación del recurrente no puede entenderse subsumible en los delitos de prevaricación y malversación por los que ha sido condenado, conclusión que asienta sobre la premisa, a mi parecer errónea, de que obraba amparado por lo previsto en la correspondiente ley de presupuestos para cada ejercicio.</w:t>
      </w:r>
    </w:p>
    <w:p w14:paraId="372594AD" w14:textId="77777777" w:rsidR="003754FE" w:rsidRDefault="003754FE" w:rsidP="003754FE">
      <w:pPr>
        <w:pStyle w:val="TextoNormal"/>
      </w:pPr>
    </w:p>
    <w:p w14:paraId="74D254A7" w14:textId="77777777" w:rsidR="003754FE" w:rsidRDefault="003754FE" w:rsidP="003754FE">
      <w:pPr>
        <w:pStyle w:val="TextoNormal"/>
      </w:pPr>
      <w:r>
        <w:t>Nada más lejos de la realidad. Las sentencias impugnadas en amparo han entendido que los trabajos preparatorios de esas leyes (la actividad “prelegislativa”), esto es, la actividad tendente a la elaboración de los anteproyectos de leyes que luego se convertirán en proyectos remitidos al Parlamento puede considerarse integrante de un procedimiento administrativo y, por consiguiente, que las decisiones que se adoptan en ese ámbito pueden calificarse como resoluciones recaídas en asunto administrativo, que es el término empleado en el art. 404 del Código penal para el delito de prevaricación administrativa. Por las razones expresadas en el voto particular a la STC 93/2024, no me parece que esa interpretación realizada por la jurisdicción penal, en el ámbito que le compete conforme al art. 117.3 CE, pueda tildarse de irrazonable o imprevisible. A mi entender, los actos prelegislativos son susceptibles de control penal. Entender lo contrario, como hace la mayoría del Tribunal en la sentencia de la que disiento, equivale a consagrar un inadmisible ámbito de impunidad que resulta patentemente contrario a la Constitución.</w:t>
      </w:r>
    </w:p>
    <w:p w14:paraId="46B1C54C" w14:textId="77777777" w:rsidR="003754FE" w:rsidRDefault="003754FE" w:rsidP="003754FE">
      <w:pPr>
        <w:pStyle w:val="TextoNormal"/>
      </w:pPr>
    </w:p>
    <w:p w14:paraId="7D655CE6" w14:textId="77777777" w:rsidR="003754FE" w:rsidRDefault="003754FE" w:rsidP="003754FE">
      <w:pPr>
        <w:pStyle w:val="TextoNormal"/>
      </w:pPr>
      <w:r>
        <w:t>Pero la sentencia aprobada por la mayoría va aún más lejos y, como en la STC 93/2024, sostiene que la conducta del recurrente, como la del resto de condenados en el “caso de los ERE de Andalucía” no merecía reproche penal ni desde la perspectiva de la prevaricación, ni desde la perspectiva de la malversación, porque se amparaba en las leyes de presupuestos de Andalucía para los años 2002 a 2009, que “en su programa 31L, establecieron un sistema de atribución de fondos al IFA/IDEA (las transferencias de financiación) para la concesión de ayudas sociolaborales que, de acuerdo con lo establecido en sus memorias, habilitaban a la administración autonómica a conceder estas ayudas por tal vía” (fundamento jurídico quinto), lo que habría supuesto la supresión de los controles y procedimiento propios del régimen de subvenciones.</w:t>
      </w:r>
    </w:p>
    <w:p w14:paraId="72C76FEA" w14:textId="77777777" w:rsidR="003754FE" w:rsidRDefault="003754FE" w:rsidP="003754FE">
      <w:pPr>
        <w:pStyle w:val="TextoNormal"/>
      </w:pPr>
    </w:p>
    <w:p w14:paraId="150621BB" w14:textId="77777777" w:rsidR="003754FE" w:rsidRDefault="003754FE" w:rsidP="003754FE">
      <w:pPr>
        <w:pStyle w:val="TextoNormal"/>
      </w:pPr>
      <w:r>
        <w:t>Lo mismo se afirma respecto de las conductas calificables de prevaricación y de malversación relativas a las modificaciones presupuestarias y a la gestión directa de ayudas amparadas en el programa 31L, habidas con posterioridad a la aprobación de las distintas leyes de presupuestos, pues, asimismo, encontrarían cobijo en el “sistema de atribución de fondos al IFA/IDEA (las transferencias de financiación) para la concesión de ayudas sociolaborales”, según sostiene la mayoría del Pleno en la sentencia de la que disiento.</w:t>
      </w:r>
    </w:p>
    <w:p w14:paraId="2AB31584" w14:textId="77777777" w:rsidR="003754FE" w:rsidRDefault="003754FE" w:rsidP="003754FE">
      <w:pPr>
        <w:pStyle w:val="TextoNormal"/>
      </w:pPr>
    </w:p>
    <w:p w14:paraId="779ADCEA" w14:textId="77777777" w:rsidR="003754FE" w:rsidRDefault="003754FE" w:rsidP="003754FE">
      <w:pPr>
        <w:pStyle w:val="TextoNormal"/>
      </w:pPr>
      <w:r>
        <w:t xml:space="preserve">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w:t>
      </w:r>
      <w:r>
        <w:lastRenderedPageBreak/>
        <w:t>subvenciones, en particular, la fiscalización previa por parte de la Intervención de la Junta de Andalucía. Se viene a afirmar que resulta imprevisible condenar por prevaricación conductas amparadas en lo dispuesto en el programa 31L incorporado a las leyes de presupuestos de Andalucía para los años 2002 a 2009. La ley curaría, según la mayoría del Tribunal, todo vicio y haría inatacable la actuación de los gestores públicos, que estarían habilitados para actuar al margen de cualquier procedimiento y sin el control previo exigible en cualquier disposición de fondos públicos.</w:t>
      </w:r>
    </w:p>
    <w:p w14:paraId="7AF7C1B2" w14:textId="77777777" w:rsidR="003754FE" w:rsidRDefault="003754FE" w:rsidP="003754FE">
      <w:pPr>
        <w:pStyle w:val="TextoNormal"/>
      </w:pPr>
    </w:p>
    <w:p w14:paraId="33E12EA3" w14:textId="77777777" w:rsidR="003754FE" w:rsidRDefault="003754FE" w:rsidP="003754FE">
      <w:pPr>
        <w:pStyle w:val="TextoNormal"/>
      </w:pPr>
      <w:r>
        <w:t>Semejante premisa, la de la supuesta cobertura de la actuación del recurrente en la legalidad presupuestaria, descansa en una errónea apreciación del contenido de las leyes de presupuestos consideradas. No es cierto que las sentencias de la jurisdicción penal que condenaron al recurrente hayan privado de toda relevancia a la circunstancia de la aprobación parlamentaria de las sucesivas leyes de presupuestos. Lo que sucede, frente a lo que de manera incorrecta ha entendido la mayoría en la sentencia de la que disiento es que, en realidad, la introducción del programa 31L en las leyes de presupuestos andaluzas de los 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de lo Penal del Tribunal Supremo.</w:t>
      </w:r>
    </w:p>
    <w:p w14:paraId="4B5185FE" w14:textId="77777777" w:rsidR="003754FE" w:rsidRDefault="003754FE" w:rsidP="003754FE">
      <w:pPr>
        <w:pStyle w:val="TextoNormal"/>
      </w:pPr>
    </w:p>
    <w:p w14:paraId="716728BC" w14:textId="77777777" w:rsidR="003754FE" w:rsidRDefault="003754FE" w:rsidP="003754FE">
      <w:pPr>
        <w:pStyle w:val="TextoNormal"/>
      </w:pPr>
      <w:r>
        <w:t>Ambas resoluciones judiciales niegan con razón, por otra parte, el pretendido valor legal que se pretende dar a las memorias presupuestarias, informes económico-financieros y fichas del programa 31L. La ausencia de eficacia vinculante de esa documentación anexa a las leyes de presupuestos resulta corroborada por diversos instrumentos legales, como ya se señaló en el voto particular conjunto a la STC 93/2014,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meras previsiones hipotéticas” (STC 63/1986, FJ 8). El argumento que utiliza la mayoría en la sentencia de la que discrepo, según el cual han de interpretarse las partidas presupuestarias conforme a la memoria, es fruto de un voluntarismo jurídico que no se puede compartir.</w:t>
      </w:r>
    </w:p>
    <w:p w14:paraId="1B7D59CA" w14:textId="77777777" w:rsidR="003754FE" w:rsidRDefault="003754FE" w:rsidP="003754FE">
      <w:pPr>
        <w:pStyle w:val="TextoNormal"/>
      </w:pPr>
    </w:p>
    <w:p w14:paraId="1AFBB39C" w14:textId="77777777" w:rsidR="003754FE" w:rsidRDefault="003754FE" w:rsidP="003754FE">
      <w:pPr>
        <w:pStyle w:val="TextoNormal"/>
      </w:pPr>
      <w:r>
        <w:t>En cuanto a las modificaciones presupuestarias producidas en los años 2005 a 2008, por las mismas razones que entendemos que las leyes de presupuestos que incluyeron desde el año 2002 esa célebre partida 440 del programa 31L no sanaron el vicio que arrastraban en cuanto a su oculta finalidad de eludir los controles previos de la intervención, tampoco las modificaciones presupuestarias pueden escudarse en la ley de presupuestos.</w:t>
      </w:r>
    </w:p>
    <w:p w14:paraId="646795E5" w14:textId="77777777" w:rsidR="003754FE" w:rsidRDefault="003754FE" w:rsidP="003754FE">
      <w:pPr>
        <w:pStyle w:val="TextoNormal"/>
      </w:pPr>
    </w:p>
    <w:p w14:paraId="77B1A173" w14:textId="77777777" w:rsidR="003754FE" w:rsidRDefault="003754FE" w:rsidP="003754FE">
      <w:pPr>
        <w:pStyle w:val="TextoNormal"/>
      </w:pPr>
      <w:r>
        <w:t xml:space="preserve">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w:t>
      </w:r>
      <w:r>
        <w:lastRenderedPageBreak/>
        <w:t>correspondiente ley de presupuestos, excluyera la aplicación de la normativa general en materia de subvenciones.</w:t>
      </w:r>
    </w:p>
    <w:p w14:paraId="2F8C23A0" w14:textId="77777777" w:rsidR="003754FE" w:rsidRDefault="003754FE" w:rsidP="003754FE">
      <w:pPr>
        <w:pStyle w:val="TextoNormal"/>
      </w:pPr>
    </w:p>
    <w:p w14:paraId="54E9F4FB" w14:textId="77777777" w:rsidR="003754FE" w:rsidRDefault="003754FE" w:rsidP="003754FE">
      <w:pPr>
        <w:pStyle w:val="TextoNormal"/>
      </w:pPr>
      <w:r>
        <w:t>Habida cuenta de lo anterior, no parece que la respuesta penal a la actuación del recurrente pueda calificarse de imprevisible. La razón de la condena del recurrente es clara: como con arreglo a la Ley 5/1983, general de la hacienda pública de la Comunidad Autónoma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el recurrente y otros funcionarios idearon como solución para eludir esos controles incluir una nueva partida en los presupuestos titulada de manera indeterminada para sus propios fines, eludiendo de este modo los controles exigibles con arreglo a una legalidad que no fue derogada por lo dispuesto en las leyes de presupuestos andaluzas de los años 2002 a 2009.</w:t>
      </w:r>
    </w:p>
    <w:p w14:paraId="69BC540A" w14:textId="77777777" w:rsidR="003754FE" w:rsidRDefault="003754FE" w:rsidP="003754FE">
      <w:pPr>
        <w:pStyle w:val="TextoNormal"/>
      </w:pPr>
    </w:p>
    <w:p w14:paraId="6BA4F28E" w14:textId="77777777" w:rsidR="003754FE" w:rsidRDefault="003754FE" w:rsidP="003754FE">
      <w:pPr>
        <w:pStyle w:val="TextoNormal"/>
      </w:pPr>
      <w:r>
        <w:t>Ciertamente, las cosas podrían haber sucedido de otro modo. Las leyes de presupuestos andaluzas hubieran podido derogar esa legalidad, o excluirla para la concesión de esas ayudas, como hizo luego el Decreto-ley 4/2012 en la llamada “tercera etapa” de los ERE (fundamento jurídico de la sentencia del Tribunal Supremo, “resumen de los hechos probados”), cuyo art.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a disponer, después, libérrimamente de los fondos incluidos en la partida 440 del programa 31L y solo y exclusivamente en esa partida.</w:t>
      </w:r>
    </w:p>
    <w:p w14:paraId="64411C21" w14:textId="77777777" w:rsidR="003754FE" w:rsidRDefault="003754FE" w:rsidP="003754FE">
      <w:pPr>
        <w:pStyle w:val="TextoNormal"/>
      </w:pPr>
    </w:p>
    <w:p w14:paraId="4A75AE36" w14:textId="77777777" w:rsidR="003754FE" w:rsidRDefault="003754FE" w:rsidP="003754FE">
      <w:pPr>
        <w:pStyle w:val="TextoNormal"/>
      </w:pPr>
      <w:r>
        <w:t>La consecuencia de ello es que las conductas enjuiciadas del recurrente fueron correctamente subsumidas en el delito de malversación en concurso ideal con el precedente de prevaricación, no solo porque el programa 31L no concedía una cobertura legal para conceder ayudas con elusión de los controles previstos en la normativa subvencional, pues nada se establecía en las leyes de presupuestos en tal sentido, sino porque, en todo caso, con la omisión de aquellos controles se dispuso libremente de ingentes cantidades dinerarias a las que se refieren los hechos probados de la sentencia condenatoria de la Audiencia Provincial de Sevilla, confirmada en casación por la Sala de lo Penal del Tribunal Supremo.</w:t>
      </w:r>
    </w:p>
    <w:p w14:paraId="369DCDB6" w14:textId="77777777" w:rsidR="003754FE" w:rsidRDefault="003754FE" w:rsidP="003754FE">
      <w:pPr>
        <w:pStyle w:val="TextoNormal"/>
      </w:pPr>
    </w:p>
    <w:p w14:paraId="4310BB81" w14:textId="77777777" w:rsidR="003754FE" w:rsidRDefault="003754FE" w:rsidP="003754FE">
      <w:pPr>
        <w:pStyle w:val="TextoNormal"/>
      </w:pPr>
      <w:r>
        <w:t xml:space="preserve">3. </w:t>
      </w:r>
      <w:r w:rsidRPr="003754FE">
        <w:rPr>
          <w:i/>
        </w:rPr>
        <w:t>La presente sentencia desconoce los principios constitucionales rectores del gasto público y su control</w:t>
      </w:r>
    </w:p>
    <w:p w14:paraId="4218287F" w14:textId="77777777" w:rsidR="003754FE" w:rsidRDefault="003754FE" w:rsidP="003754FE">
      <w:pPr>
        <w:pStyle w:val="TextoNormal"/>
      </w:pPr>
    </w:p>
    <w:p w14:paraId="2B710E5A" w14:textId="77777777" w:rsidR="003754FE" w:rsidRDefault="003754FE" w:rsidP="003754FE">
      <w:pPr>
        <w:pStyle w:val="TextoNormal"/>
      </w:pPr>
      <w:r>
        <w:t>En un precepto original en el Derecho Constitucional contemporáneo, la Constitución en su art. 31.2 establece: “El gasto público realizará una asignación equitativa de los recursos públicos, y su programación y ejecución responderán a los criterios de eficiencia y economía”.</w:t>
      </w:r>
    </w:p>
    <w:p w14:paraId="5EB3966B" w14:textId="77777777" w:rsidR="003754FE" w:rsidRDefault="003754FE" w:rsidP="003754FE">
      <w:pPr>
        <w:pStyle w:val="TextoNormal"/>
      </w:pPr>
    </w:p>
    <w:p w14:paraId="389CFC20" w14:textId="77777777" w:rsidR="003754FE" w:rsidRDefault="003754FE" w:rsidP="003754FE">
      <w:pPr>
        <w:pStyle w:val="TextoNormal"/>
      </w:pPr>
      <w:r>
        <w:lastRenderedPageBreak/>
        <w:t>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puede hacer el Estado a través del Tribunal de Cuentas sobre la actividad financiera de las corporaciones locales. Pueden coexistir y superponerse, sin perjuicio de “evitar duplicidades innecesarias o disfuncionalidades”, que serían contrarias al art. 31.2 CE. También en la STC 204/1992, de 26 de noviembre, sobre los consejos consultivos autonómicos y el Consejo de Estado, si bien aquí el Tribunal añade al art. 31.2 CE el art. 103.1 CE, que obliga a la administración pública a actuar con sujeción tanto al principio de legalidad (lo que incluye la legalidad presupuestaria, claro está), como al principio de eficacia administrativa).</w:t>
      </w:r>
    </w:p>
    <w:p w14:paraId="6A034E8B" w14:textId="77777777" w:rsidR="003754FE" w:rsidRDefault="003754FE" w:rsidP="003754FE">
      <w:pPr>
        <w:pStyle w:val="TextoNormal"/>
      </w:pPr>
    </w:p>
    <w:p w14:paraId="4DE24D72" w14:textId="77777777" w:rsidR="003754FE" w:rsidRDefault="003754FE" w:rsidP="003754FE">
      <w:pPr>
        <w:pStyle w:val="TextoNormal"/>
      </w:pPr>
      <w:r>
        <w:t>Pero, sin duda, el pronunciamiento más importante se contiene en la STC 45/2017, de 27 de abril, en la que se afirma que “la actividad financiera de las distintas haciendas ha de asegurar los principios constitucionales que, conforme a la Constitución han de regir el gasto público: legalidad (art. 133.4 CE), eficiencia y economía (art. 31.2 CE), asignación equitativa de los recursos públicos (art. 31.2 CE), subordinación de la riqueza […] al interés general (art. 128.1 CE), estabilidad presupuestaria (art. 135 CE) y control (art. 136 CE)”.</w:t>
      </w:r>
    </w:p>
    <w:p w14:paraId="13AFCF03" w14:textId="77777777" w:rsidR="003754FE" w:rsidRDefault="003754FE" w:rsidP="003754FE">
      <w:pPr>
        <w:pStyle w:val="TextoNormal"/>
      </w:pPr>
    </w:p>
    <w:p w14:paraId="4BF0A0AC" w14:textId="77777777" w:rsidR="003754FE" w:rsidRDefault="003754FE" w:rsidP="003754FE">
      <w:pPr>
        <w:pStyle w:val="TextoNormal"/>
      </w:pPr>
      <w:r>
        <w:t>Sobre el principio de legalidad (que la sentencia presenta como respetado y salutífero para el recurrente) ya me he expresado, sin perjuicio de volver después. Me importa detenerme ahora en los principios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pagos. Ello queda confirmado, por lo demás, en un precepto transversal de nuestra Constitución, íntimamente ligado, entre otros, al citado art. 31.2 CE, y que no es otro que el también citado art. 103.1 CE, a cuyo tenor “[l]a administración pública sirve con objetividad 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14:paraId="5BC94C7C" w14:textId="77777777" w:rsidR="003754FE" w:rsidRDefault="003754FE" w:rsidP="003754FE">
      <w:pPr>
        <w:pStyle w:val="TextoNormal"/>
      </w:pPr>
    </w:p>
    <w:p w14:paraId="3E840587" w14:textId="77777777" w:rsidR="003754FE" w:rsidRDefault="003754FE" w:rsidP="003754FE">
      <w:pPr>
        <w:pStyle w:val="TextoNormal"/>
      </w:pPr>
      <w: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enunciados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w:t>
      </w:r>
      <w:r w:rsidRPr="003754FE">
        <w:rPr>
          <w:i/>
        </w:rPr>
        <w:t>in fine</w:t>
      </w:r>
      <w:r>
        <w:t xml:space="preserve"> que el sometimiento de la administración pública a la ley y al Derecho sea pleno, o sea completo, sin excepción ni matiz, lo que corrobora el enunciado del art. 106.1 CE.</w:t>
      </w:r>
    </w:p>
    <w:p w14:paraId="263C2F85" w14:textId="77777777" w:rsidR="003754FE" w:rsidRDefault="003754FE" w:rsidP="003754FE">
      <w:pPr>
        <w:pStyle w:val="TextoNormal"/>
      </w:pPr>
    </w:p>
    <w:p w14:paraId="1942024B" w14:textId="77777777" w:rsidR="003754FE" w:rsidRDefault="003754FE" w:rsidP="003754FE">
      <w:pPr>
        <w:pStyle w:val="TextoNormal"/>
      </w:pPr>
      <w:r>
        <w:t xml:space="preserve">Adelanto ya que las conclusiones a las que llega la sentencia de este tribunal de la que disiento no se acomodan a estos principios constitucionales, pues se asientan en la </w:t>
      </w:r>
      <w:r>
        <w:lastRenderedPageBreak/>
        <w:t>incertidumbre jurídica, en la irresponsabilidad, y en la falta de objetividad y de transparencia de la administración pública.</w:t>
      </w:r>
    </w:p>
    <w:p w14:paraId="101E5D7E" w14:textId="77777777" w:rsidR="003754FE" w:rsidRDefault="003754FE" w:rsidP="003754FE">
      <w:pPr>
        <w:pStyle w:val="TextoNormal"/>
      </w:pPr>
    </w:p>
    <w:p w14:paraId="619378E4" w14:textId="77777777" w:rsidR="003754FE" w:rsidRDefault="003754FE" w:rsidP="003754FE">
      <w:pPr>
        <w:pStyle w:val="TextoNormal"/>
      </w:pPr>
      <w:r>
        <w:t xml:space="preserve">La sentencia de este tribunal descubre con la linterna de Diógenes el argumento de la salvadora ley de presupuestos que todo lo ampara y que borra toda responsabilidad penal en la conducta del recurrente y el resto de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w:t>
      </w:r>
      <w:r w:rsidRPr="003754FE">
        <w:rPr>
          <w:i/>
        </w:rPr>
        <w:t>ius</w:t>
      </w:r>
      <w:r>
        <w:t xml:space="preserve">. La ley no agota el ámbito del Derecho, que es algo más. Y en ese algo más están desde luego los principios actuales de actuación de las administraciones públicas, que enuncian muy en particular los arts. 9.3, 31.2, 103.1, 105 y 106.1 CE, y los propios principios generales del Derecho, que no tienen por qué ser norma escrita y que sintetizan nuestra cultura jurídica, que es la propia de un Estado constitucional y democrático de Derecho (art. 1.1 CE). Y, por supuesto, en el </w:t>
      </w:r>
      <w:r w:rsidRPr="003754FE">
        <w:rPr>
          <w:i/>
        </w:rPr>
        <w:t>ius</w:t>
      </w:r>
      <w:r>
        <w:t xml:space="preserve"> están también los principios del Derecho de la Unión Europea, a los que luego me referiré.</w:t>
      </w:r>
    </w:p>
    <w:p w14:paraId="7EA66A94" w14:textId="77777777" w:rsidR="003754FE" w:rsidRDefault="003754FE" w:rsidP="003754FE">
      <w:pPr>
        <w:pStyle w:val="TextoNormal"/>
      </w:pPr>
    </w:p>
    <w:p w14:paraId="3FCB3904" w14:textId="77777777" w:rsidR="003754FE" w:rsidRDefault="003754FE" w:rsidP="003754FE">
      <w:pPr>
        <w:pStyle w:val="TextoNormal"/>
      </w:pPr>
      <w:r>
        <w:t>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no es nunca ilimitado ni puede ejercerse al puro arbitrio o capricho de quienes lo lleven a 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14:paraId="1172DC4C" w14:textId="77777777" w:rsidR="003754FE" w:rsidRDefault="003754FE" w:rsidP="003754FE">
      <w:pPr>
        <w:pStyle w:val="TextoNormal"/>
      </w:pPr>
    </w:p>
    <w:p w14:paraId="3445A92E" w14:textId="77777777" w:rsidR="003754FE" w:rsidRDefault="003754FE" w:rsidP="003754FE">
      <w:pPr>
        <w:pStyle w:val="TextoNormal"/>
      </w:pPr>
      <w:r>
        <w:t xml:space="preserve">4. </w:t>
      </w:r>
      <w:r w:rsidRPr="003754FE">
        <w:rPr>
          <w:i/>
        </w:rPr>
        <w:t>Sobre la aplicación de los principios del Derecho de la Unión Europea en materia de control del gasto público, como dique de contención en la lucha contra el fraude y la corrupción política</w:t>
      </w:r>
    </w:p>
    <w:p w14:paraId="6E3DD24C" w14:textId="77777777" w:rsidR="003754FE" w:rsidRDefault="003754FE" w:rsidP="003754FE">
      <w:pPr>
        <w:pStyle w:val="TextoNormal"/>
      </w:pPr>
    </w:p>
    <w:p w14:paraId="495A6E8C" w14:textId="77777777" w:rsidR="003754FE" w:rsidRDefault="003754FE" w:rsidP="003754FE">
      <w:pPr>
        <w:pStyle w:val="TextoNormal"/>
      </w:pPr>
      <w:r>
        <w:t xml:space="preserve">Si bien el Derecho de la Unión Europea no es directamente aplicable en el asunto que nos ocupa, al no tener los fondos públicos malversados origen comunitario, no puede desconocerse que los principios del Derecho de la Unión sobre el control del gasto público son muy relevantes para analizar la regularidad de la actuación de los gestores de los caudales públicos. En tal sentido, no me parece aventurado afirmar que esa gestión, en el conocido como “caso de los ERE de Andalucía”, y como se desprende de las sentencias condenatorias </w:t>
      </w:r>
      <w:r>
        <w:lastRenderedPageBreak/>
        <w:t>que se impugnan en amparo, ha sido contraria no solo a los principios del Derecho interno, sino también a los principios del Derecho de la Unión Europea.</w:t>
      </w:r>
    </w:p>
    <w:p w14:paraId="6981C24D" w14:textId="77777777" w:rsidR="003754FE" w:rsidRDefault="003754FE" w:rsidP="003754FE">
      <w:pPr>
        <w:pStyle w:val="TextoNormal"/>
      </w:pPr>
    </w:p>
    <w:p w14:paraId="3F54F39D" w14:textId="77777777" w:rsidR="003754FE" w:rsidRDefault="003754FE" w:rsidP="003754FE">
      <w:pPr>
        <w:pStyle w:val="TextoNormal"/>
      </w:pPr>
      <w:r>
        <w:t>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peligro los intereses financieros del poder público y sería, contraria al Derecho de la Unión Europea.</w:t>
      </w:r>
    </w:p>
    <w:p w14:paraId="1BE46C5E" w14:textId="77777777" w:rsidR="003754FE" w:rsidRDefault="003754FE" w:rsidP="003754FE">
      <w:pPr>
        <w:pStyle w:val="TextoNormal"/>
      </w:pPr>
    </w:p>
    <w:p w14:paraId="6A14BAA6" w14:textId="77777777" w:rsidR="003754FE" w:rsidRDefault="003754FE" w:rsidP="003754FE">
      <w:pPr>
        <w:pStyle w:val="TextoNormal"/>
      </w:pPr>
      <w: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el fraude. Conforme al art. 325 del Tratado de funcionamiento de la Unión Europea (TFUE), relativo a la lucha contra el fraude, “1. La Unión y los Estados miembros </w:t>
      </w:r>
      <w:r w:rsidRPr="003754FE">
        <w:rPr>
          <w:i/>
        </w:rPr>
        <w:t>combatirán el fraude y toda actividad ilegal</w:t>
      </w:r>
      <w:r>
        <w:t xml:space="preserve"> que afecte a los intereses financieros de la Unión mediante medidas adoptadas en virtud de lo dispuesto en el presente artículo, que deberán tener un </w:t>
      </w:r>
      <w:r w:rsidRPr="003754FE">
        <w:rPr>
          <w:i/>
        </w:rPr>
        <w:t>efecto disuasorio</w:t>
      </w:r>
      <w:r>
        <w:t xml:space="preserve"> y ser capaces de ofrecer una protección eficaz en los Estados miembros y en las instituciones, órganos y organismos de la Unión. 2. Los Estados miembros adoptarán para combatir el fraude que afecte a los intereses financieros de la Unión </w:t>
      </w:r>
      <w:r w:rsidRPr="003754FE">
        <w:rPr>
          <w:i/>
        </w:rPr>
        <w:t>las mismas medidas</w:t>
      </w:r>
      <w:r>
        <w:t xml:space="preserve"> que para combatir el fraude que afecte a sus propios intereses financieros.”</w:t>
      </w:r>
    </w:p>
    <w:p w14:paraId="73FCFF6E" w14:textId="77777777" w:rsidR="003754FE" w:rsidRDefault="003754FE" w:rsidP="003754FE">
      <w:pPr>
        <w:pStyle w:val="TextoNormal"/>
      </w:pPr>
    </w:p>
    <w:p w14:paraId="03B79993" w14:textId="77777777" w:rsidR="003754FE" w:rsidRDefault="003754FE" w:rsidP="003754FE">
      <w:pPr>
        <w:pStyle w:val="TextoNormal"/>
      </w:pPr>
      <w:r>
        <w:t xml:space="preserve">En cuanto a los principios que debe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STEDH de 21 de diciembre de 2021, </w:t>
      </w:r>
      <w:r w:rsidRPr="003754FE">
        <w:rPr>
          <w:i/>
        </w:rPr>
        <w:t>Euro Box Promotion y otros</w:t>
      </w:r>
      <w:r>
        <w:t>, asuntos acumulados C‑357/19, C‑379/19, C‑547/19, C‑811/19 y C‑840/19 (y jurisprudencia citada en esta), recordando las líneas más importantes de esa doctrina, de las que interesa destacar las siguientes:</w:t>
      </w:r>
    </w:p>
    <w:p w14:paraId="3E6FC64C" w14:textId="77777777" w:rsidR="003754FE" w:rsidRDefault="003754FE" w:rsidP="003754FE">
      <w:pPr>
        <w:pStyle w:val="TextoNormal"/>
      </w:pPr>
    </w:p>
    <w:p w14:paraId="063AD550" w14:textId="77777777" w:rsidR="003754FE" w:rsidRDefault="003754FE" w:rsidP="003754FE">
      <w:pPr>
        <w:pStyle w:val="TextoNormal"/>
      </w:pPr>
      <w:r>
        <w:t xml:space="preserve">a) Por lo que se refiere a las obligaciones derivadas del art. 325.1 TFUE, esta disposición impone a los Estados miembros el deber de luchar contra el fraude y </w:t>
      </w:r>
      <w:r w:rsidRPr="003754FE">
        <w:rPr>
          <w:i/>
        </w:rPr>
        <w:t>toda actividad ilegal que afecte a los intereses financieros</w:t>
      </w:r>
      <w:r>
        <w:t xml:space="preserve"> de la Unión mediante medidas disuasorias y eficaces. Medidas de lucha que deben ser equivalentes a las medidas implementadas en el ámbito nacional.</w:t>
      </w:r>
    </w:p>
    <w:p w14:paraId="58FCABB6" w14:textId="77777777" w:rsidR="003754FE" w:rsidRDefault="003754FE" w:rsidP="003754FE">
      <w:pPr>
        <w:pStyle w:val="TextoNormal"/>
      </w:pPr>
    </w:p>
    <w:p w14:paraId="0A197D34" w14:textId="77777777" w:rsidR="003754FE" w:rsidRDefault="003754FE" w:rsidP="003754FE">
      <w:pPr>
        <w:pStyle w:val="TextoNormal"/>
      </w:pPr>
      <w:r>
        <w:t xml:space="preserve">b) Por otra parte, en lo referente a la expresión “toda actividad ilegal”, que figura en el art. 325.1 TFUE, recuerda el Tribunal de Justicia que ese concepto comprende en particular todo acto de corrupción de los funcionarios o todo </w:t>
      </w:r>
      <w:r w:rsidRPr="003754FE">
        <w:rPr>
          <w:i/>
        </w:rPr>
        <w:t>abuso</w:t>
      </w:r>
      <w:r>
        <w:t xml:space="preserve">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acción, como ocurre, por ejemplo, </w:t>
      </w:r>
      <w:r w:rsidRPr="003754FE">
        <w:rPr>
          <w:i/>
        </w:rPr>
        <w:t xml:space="preserve">con la omisión por parte de un funcionario de efectuar los controles y las comprobaciones exigidas respecto de los gastos cubiertos por el </w:t>
      </w:r>
      <w:r w:rsidRPr="003754FE">
        <w:rPr>
          <w:i/>
        </w:rPr>
        <w:lastRenderedPageBreak/>
        <w:t>presupuesto de la Unión o la autorización de gastos inadecuados o incorrectos de los fondos de la Unión.</w:t>
      </w:r>
    </w:p>
    <w:p w14:paraId="7C9009B5" w14:textId="77777777" w:rsidR="003754FE" w:rsidRDefault="003754FE" w:rsidP="003754FE">
      <w:pPr>
        <w:pStyle w:val="TextoNormal"/>
      </w:pPr>
    </w:p>
    <w:p w14:paraId="1EA72517" w14:textId="77777777" w:rsidR="003754FE" w:rsidRDefault="003754FE" w:rsidP="003754FE">
      <w:pPr>
        <w:pStyle w:val="TextoNormal"/>
      </w:pPr>
      <w:r>
        <w:t xml:space="preserve">c) Además, subraya el Tribunal de Justicia que los Estados deben garantizar que las normas de Derecho penal y de procedimiento penal permitan una represión eficaz de los delitos de fraude que afecten a los intereses financieros de la Unión y </w:t>
      </w:r>
      <w:r w:rsidRPr="003754FE">
        <w:rPr>
          <w:i/>
        </w:rPr>
        <w:t>de corrupción en general</w:t>
      </w:r>
      <w:r>
        <w:t xml:space="preserve">. Esta exigencia de efectividad se extiende necesariamente tanto a las acciones penales y a las sanciones de los delitos de fraude que afecten a los intereses financieros de la Unión y de </w:t>
      </w:r>
      <w:r w:rsidRPr="003754FE">
        <w:rPr>
          <w:i/>
        </w:rPr>
        <w:t>corrupción en general</w:t>
      </w:r>
      <w:r>
        <w:t xml:space="preserve"> como a la aplicación de las penas impuestas, en la medida en que, de no existir una ejecución efectiva de las sanciones, estas no pueden ser eficaces y disuasorias; todo ello para evitar un </w:t>
      </w:r>
      <w:r w:rsidRPr="003754FE">
        <w:rPr>
          <w:i/>
        </w:rPr>
        <w:t>riesgo sistémico de impunidad</w:t>
      </w:r>
      <w:r>
        <w:t xml:space="preserve"> de los hechos constitutivos de tales delitos, así como garantizar la protección de los derechos fundamentales de las personas acusadas.</w:t>
      </w:r>
    </w:p>
    <w:p w14:paraId="68AAB453" w14:textId="77777777" w:rsidR="003754FE" w:rsidRDefault="003754FE" w:rsidP="003754FE">
      <w:pPr>
        <w:pStyle w:val="TextoNormal"/>
      </w:pPr>
    </w:p>
    <w:p w14:paraId="4D059B55" w14:textId="77777777" w:rsidR="003754FE" w:rsidRDefault="003754FE" w:rsidP="003754FE">
      <w:pPr>
        <w:pStyle w:val="TextoNormal"/>
      </w:pPr>
      <w:r>
        <w:t xml:space="preserve">Por otra parte, a los órganos jurisdiccionales nacionales les corresponde dar plenos efectos a las obligaciones que resultan del art. 325.1 TFUE, así como de la Decisión 2006/928, y </w:t>
      </w:r>
      <w:r w:rsidRPr="003754FE">
        <w:rPr>
          <w:i/>
        </w:rPr>
        <w:t>dejar sin aplicación disposiciones internas que, en el marco de un procedimiento relativo a delitos graves de fraude que afecten a los intereses financieros de la Unión o a delitos de corrupción en general, impiden la aplicación de sanciones eficaces y disuasorias para luchar contra tales delitos.</w:t>
      </w:r>
    </w:p>
    <w:p w14:paraId="7FFB279E" w14:textId="77777777" w:rsidR="003754FE" w:rsidRDefault="003754FE" w:rsidP="003754FE">
      <w:pPr>
        <w:pStyle w:val="TextoNormal"/>
      </w:pPr>
    </w:p>
    <w:p w14:paraId="5F3A33BE" w14:textId="77777777" w:rsidR="003754FE" w:rsidRDefault="003754FE" w:rsidP="003754FE">
      <w:pPr>
        <w:pStyle w:val="TextoNormal"/>
      </w:pPr>
      <w:r>
        <w:t xml:space="preserve">Pues bien, teniendo en cuenta que, </w:t>
      </w:r>
      <w:r w:rsidRPr="003754FE">
        <w:rPr>
          <w:i/>
        </w:rPr>
        <w:t>ex</w:t>
      </w:r>
      <w:r>
        <w:t xml:space="preserve">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el recurrente. Lo que entre otras cosas significa que no existe razón para entender que el control interno de esa gestión de fondos públicos deba ser menos intenso que el que se aplicaría si los fondos malversados hubieran sido europeos.</w:t>
      </w:r>
    </w:p>
    <w:p w14:paraId="65B5A4E9" w14:textId="77777777" w:rsidR="003754FE" w:rsidRDefault="003754FE" w:rsidP="003754FE">
      <w:pPr>
        <w:pStyle w:val="TextoNormal"/>
      </w:pPr>
    </w:p>
    <w:p w14:paraId="4624891E" w14:textId="77777777" w:rsidR="003754FE" w:rsidRDefault="003754FE" w:rsidP="003754FE">
      <w:pPr>
        <w:pStyle w:val="TextoNormal"/>
      </w:pPr>
      <w:r>
        <w:t>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el recurrente y el resto de implicados de la Junta de Andalucía pretendiesen mediante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14:paraId="47C4DD09" w14:textId="77777777" w:rsidR="003754FE" w:rsidRDefault="003754FE" w:rsidP="003754FE">
      <w:pPr>
        <w:pStyle w:val="TextoNormal"/>
      </w:pPr>
    </w:p>
    <w:p w14:paraId="2ED0416A" w14:textId="77777777" w:rsidR="003754FE" w:rsidRDefault="003754FE" w:rsidP="003754FE">
      <w:pPr>
        <w:pStyle w:val="TextoNormal"/>
      </w:pPr>
      <w:r>
        <w:t xml:space="preserve">En todo caso, es cierto que ha quedado acreditado, como resulta de las sentencias impugnadas en amparo, que en el conocido como “caso de los ERE de Andalucía”, se buscó de manera intencionada la elusión de los controles ordinarios del gasto público, lo que supuso </w:t>
      </w:r>
      <w:r>
        <w:lastRenderedPageBreak/>
        <w:t>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14:paraId="38124718" w14:textId="77777777" w:rsidR="003754FE" w:rsidRDefault="003754FE" w:rsidP="003754FE">
      <w:pPr>
        <w:pStyle w:val="TextoNormal"/>
      </w:pPr>
    </w:p>
    <w:p w14:paraId="1CF3092B" w14:textId="77777777" w:rsidR="003754FE" w:rsidRDefault="003754FE" w:rsidP="003754FE">
      <w:pPr>
        <w:pStyle w:val="TextoNormal"/>
      </w:pPr>
      <w:r>
        <w:t>En definitiva, llama poderosamente la atención el elocuente contraste entre la protección reforzada que la Unión Europea atribuye al delito de malversación de caudales públicos y la respuesta dada por esta y las restantes sentencias de este tribunal a uno de los casos más graves de corrupción política institucionalizada en España. Una sentencia que no ha dudado en desbordar los límites del control que a este tribunal corresponden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penal que no puede calificarse de imprevisible ni irrazonable, habían condenado al demandante de amparo como autor de un delito de prevaricación en concurso medial con un delito de malversación. Por eso, resulta especialmente difícil conciliar la decisión de la sentencia de este tribunal, que conduce a la postre a dejar impunes unas conductas de especial gravedad cometidas por unos concretos responsables políticos en el desempeño de sus funciones públicas, con el esfuerzo de la Unión Europea por eliminar márgenes de impunidad para los malversadores.</w:t>
      </w:r>
    </w:p>
    <w:p w14:paraId="2B444CDD" w14:textId="77777777" w:rsidR="003754FE" w:rsidRDefault="003754FE" w:rsidP="003754FE">
      <w:pPr>
        <w:pStyle w:val="TextoNormal"/>
      </w:pPr>
    </w:p>
    <w:p w14:paraId="72347B4C" w14:textId="77777777" w:rsidR="003754FE" w:rsidRDefault="003754FE" w:rsidP="003754FE">
      <w:pPr>
        <w:pStyle w:val="TextoNormal"/>
      </w:pPr>
      <w:r>
        <w:t xml:space="preserve">5. </w:t>
      </w:r>
      <w:r w:rsidRPr="003754FE">
        <w:rPr>
          <w:i/>
        </w:rPr>
        <w:t>Colofón: las sentencias impugnadas en amparo no vulneraron los derechos del recurrente a la legalidad penal y a la presunción de inocencia</w:t>
      </w:r>
    </w:p>
    <w:p w14:paraId="3D900BD6" w14:textId="77777777" w:rsidR="003754FE" w:rsidRDefault="003754FE" w:rsidP="003754FE">
      <w:pPr>
        <w:pStyle w:val="TextoNormal"/>
      </w:pPr>
    </w:p>
    <w:p w14:paraId="3DB072EC" w14:textId="77777777" w:rsidR="003754FE" w:rsidRDefault="003754FE" w:rsidP="003754FE">
      <w:pPr>
        <w:pStyle w:val="TextoNormal"/>
      </w:pPr>
      <w:r>
        <w:t>Como conclusión a cuanto ha quedado antes expuesto, considero que las sentencias recurridas en amparo han efectuado una interpretación razonada de los elementos típicos de los delitos de prevaricación y malversación, y que su aplicación al caso en dichas resoluciones judiciales supera sin dificultad el canon de control referido a la prohibición de interpretaciones “ilógicas” o “arbitrarias” que impone el art. 25.1 CE, conforme a la doctrina consolidada de este tribunal. La subsunción de la conducta del recurrente, a partir de los hechos declarados probados [sobre los que a este tribunal nada le cabe decir: art. 44.1 b) LOTC], en los delitos de prevaricación y malversación, que han efectuado la Audiencia Provincial de Sevilla y especialmente el Tribunal Supremo como órgano jurisdiccional superior en la materia (art. 123.1 CE), no es irrazonable ni imprevisible ni, por consiguiente, contraria al derecho fundamental a la legalidad penal que garantiza el art. 25.1 CE.</w:t>
      </w:r>
    </w:p>
    <w:p w14:paraId="65257A57" w14:textId="77777777" w:rsidR="003754FE" w:rsidRDefault="003754FE" w:rsidP="003754FE">
      <w:pPr>
        <w:pStyle w:val="TextoNormal"/>
      </w:pPr>
    </w:p>
    <w:p w14:paraId="29097A81" w14:textId="77777777" w:rsidR="003754FE" w:rsidRDefault="003754FE" w:rsidP="003754FE">
      <w:pPr>
        <w:pStyle w:val="TextoNormal"/>
      </w:pPr>
      <w:r>
        <w:t>Tampoco vulneran las sentencias impugnadas el derecho a la presunción de inocencia (art. 24.2 CE), frente a lo que sostiene este tribunal, pues la condena del recurrente se fundamenta en pruebas de cargo practicadas en el juicio oral con plenas garantías de inmediación, contradicción y defensa, y susceptibles de enervar esa presunción más allá de toda duda razonable, como resulta de las resoluciones judiciales impugnadas en amparo. La sentencia de este tribunal incurre en un claro exceso de jurisdicción, al suplantar a los órganos judiciales del orden penal en la función que constitucionalmente les correspond</w:t>
      </w:r>
      <w:r w:rsidRPr="003754FE">
        <w:rPr>
          <w:i/>
        </w:rPr>
        <w:t xml:space="preserve">e </w:t>
      </w:r>
      <w:r>
        <w:t>ex art. 117.3 CE.</w:t>
      </w:r>
    </w:p>
    <w:p w14:paraId="7A3ACA8B" w14:textId="77777777" w:rsidR="003754FE" w:rsidRDefault="003754FE" w:rsidP="003754FE">
      <w:pPr>
        <w:pStyle w:val="TextoNormal"/>
      </w:pPr>
    </w:p>
    <w:p w14:paraId="0EB05FBF" w14:textId="77777777" w:rsidR="003754FE" w:rsidRDefault="003754FE" w:rsidP="003754FE">
      <w:pPr>
        <w:pStyle w:val="TextoNormal"/>
      </w:pPr>
      <w:r>
        <w:t>Por todo ello, considero que el recurso de amparo debió ser íntegramente desestimado.</w:t>
      </w:r>
    </w:p>
    <w:p w14:paraId="3C506191" w14:textId="77777777" w:rsidR="003754FE" w:rsidRDefault="003754FE" w:rsidP="003754FE">
      <w:pPr>
        <w:pStyle w:val="TextoNormal"/>
      </w:pPr>
    </w:p>
    <w:p w14:paraId="3557F01C" w14:textId="77777777" w:rsidR="003754FE" w:rsidRDefault="003754FE" w:rsidP="003754FE">
      <w:pPr>
        <w:pStyle w:val="TextoNormal"/>
      </w:pPr>
      <w:r>
        <w:lastRenderedPageBreak/>
        <w:t>6</w:t>
      </w:r>
      <w:r w:rsidRPr="003754FE">
        <w:rPr>
          <w:i/>
        </w:rPr>
        <w:t>. A modo de epílogo decepcionado, con una necesaria llamada de advertenc</w:t>
      </w:r>
      <w:r>
        <w:t>ia</w:t>
      </w:r>
    </w:p>
    <w:p w14:paraId="55B53719" w14:textId="77777777" w:rsidR="003754FE" w:rsidRDefault="003754FE" w:rsidP="003754FE">
      <w:pPr>
        <w:pStyle w:val="TextoNormal"/>
      </w:pPr>
    </w:p>
    <w:p w14:paraId="30D44911" w14:textId="77777777" w:rsidR="003754FE" w:rsidRDefault="003754FE" w:rsidP="003754FE">
      <w:pPr>
        <w:pStyle w:val="TextoNormal"/>
      </w:pPr>
      <w:r>
        <w:t>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14:paraId="401C8CF8" w14:textId="77777777" w:rsidR="003754FE" w:rsidRDefault="003754FE" w:rsidP="003754FE">
      <w:pPr>
        <w:pStyle w:val="TextoNormal"/>
      </w:pPr>
    </w:p>
    <w:p w14:paraId="7373B83C" w14:textId="77777777" w:rsidR="003754FE" w:rsidRDefault="003754FE" w:rsidP="003754FE">
      <w:pPr>
        <w:pStyle w:val="TextoNormal"/>
      </w:pPr>
      <w:r>
        <w:t>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prestidigitador, pues las leyes de presupuestos andaluzas a las que se refiere la sentencia de este tribunal en ningún momento establecen aquello que esta sentencia afirma, la pretendida modificación o eliminación del régimen de controles de las ayudas y subvenciones previsto en la normativa aplicable.</w:t>
      </w:r>
    </w:p>
    <w:p w14:paraId="1235328A" w14:textId="77777777" w:rsidR="003754FE" w:rsidRDefault="003754FE" w:rsidP="003754FE">
      <w:pPr>
        <w:pStyle w:val="TextoNormal"/>
      </w:pPr>
    </w:p>
    <w:p w14:paraId="127BD84A" w14:textId="77777777" w:rsidR="003754FE" w:rsidRDefault="003754FE" w:rsidP="003754FE">
      <w:pPr>
        <w:pStyle w:val="TextoNormal"/>
      </w:pPr>
      <w:r>
        <w:t>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precepto de la ley de presupuestos remite, por ser esas partidas presupuestarias necesarias para dar cumplimiento al mandato que aquel precepto contiene.</w:t>
      </w:r>
    </w:p>
    <w:p w14:paraId="186087B4" w14:textId="77777777" w:rsidR="003754FE" w:rsidRDefault="003754FE" w:rsidP="003754FE">
      <w:pPr>
        <w:pStyle w:val="TextoNormal"/>
      </w:pPr>
    </w:p>
    <w:p w14:paraId="3B53B07D" w14:textId="77777777" w:rsidR="003754FE" w:rsidRDefault="003754FE" w:rsidP="003754FE">
      <w:pPr>
        <w:pStyle w:val="TextoNormal"/>
      </w:pPr>
      <w:r>
        <w:t>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14:paraId="5183EEBE" w14:textId="77777777" w:rsidR="003754FE" w:rsidRDefault="003754FE" w:rsidP="003754FE">
      <w:pPr>
        <w:pStyle w:val="TextoNormal"/>
      </w:pPr>
    </w:p>
    <w:p w14:paraId="0E903D52" w14:textId="77777777" w:rsidR="003754FE" w:rsidRDefault="003754FE" w:rsidP="003754FE">
      <w:pPr>
        <w:pStyle w:val="TextoNormal"/>
      </w:pPr>
      <w:r>
        <w:t xml:space="preserve">Si, como decía García de Enterría, la justicia constitucional trata los problemas políticos con criterios jurídicos, poniendo la razón, la razón del Derecho, donde otros ponen otros motivos, pasiones o subjetivismos varios, me parece incuestionable que la presente </w:t>
      </w:r>
      <w:r>
        <w:lastRenderedPageBreak/>
        <w:t>sentencia, de la que respetuosa pero enérgicamente discrepo, hace tambalearse los pilares básicos del Estado de Derecho, por cuanto:</w:t>
      </w:r>
    </w:p>
    <w:p w14:paraId="19DC1B0A" w14:textId="77777777" w:rsidR="003754FE" w:rsidRDefault="003754FE" w:rsidP="003754FE">
      <w:pPr>
        <w:pStyle w:val="TextoNormal"/>
      </w:pPr>
    </w:p>
    <w:p w14:paraId="1C20B81A" w14:textId="77777777" w:rsidR="003754FE" w:rsidRDefault="003754FE" w:rsidP="003754FE">
      <w:pPr>
        <w:pStyle w:val="TextoNormal"/>
      </w:pPr>
      <w:r>
        <w:t>(i)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14:paraId="6C66DE5F" w14:textId="77777777" w:rsidR="003754FE" w:rsidRDefault="003754FE" w:rsidP="003754FE">
      <w:pPr>
        <w:pStyle w:val="TextoNormal"/>
      </w:pPr>
    </w:p>
    <w:p w14:paraId="169950A2" w14:textId="77777777" w:rsidR="003754FE" w:rsidRDefault="003754FE" w:rsidP="003754FE">
      <w:pPr>
        <w:pStyle w:val="TextoNormal"/>
      </w:pPr>
      <w:r>
        <w:t>(ii)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olvidando que la jurisdicción constitucional debe evitar (por su propia naturaleza de jurisdicción de garantías) caer por desfiladeros abruptos.</w:t>
      </w:r>
    </w:p>
    <w:p w14:paraId="16726364" w14:textId="77777777" w:rsidR="003754FE" w:rsidRDefault="003754FE" w:rsidP="003754FE">
      <w:pPr>
        <w:pStyle w:val="TextoNormal"/>
      </w:pPr>
    </w:p>
    <w:p w14:paraId="25E7EBFA" w14:textId="77777777" w:rsidR="003754FE" w:rsidRDefault="003754FE" w:rsidP="003754FE">
      <w:pPr>
        <w:pStyle w:val="TextoNormal"/>
      </w:pPr>
      <w:r>
        <w:t>(iii) Contraviene los arts. 9.3, 31.2, 103.1, 105 y 106.1 CE, al dejar de lado los principios en que se ha de basa</w:t>
      </w:r>
      <w:r w:rsidRPr="003754FE">
        <w:rPr>
          <w:i/>
        </w:rPr>
        <w:t>r ex constitutio</w:t>
      </w:r>
      <w:r>
        <w:t>ne la actuación de la administración pública.</w:t>
      </w:r>
    </w:p>
    <w:p w14:paraId="420C78C9" w14:textId="77777777" w:rsidR="003754FE" w:rsidRDefault="003754FE" w:rsidP="003754FE">
      <w:pPr>
        <w:pStyle w:val="TextoNormal"/>
      </w:pPr>
    </w:p>
    <w:p w14:paraId="66937113" w14:textId="77777777" w:rsidR="003754FE" w:rsidRDefault="003754FE" w:rsidP="003754FE">
      <w:pPr>
        <w:pStyle w:val="TextoNormal"/>
      </w:pPr>
      <w:r>
        <w:t>(iv)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14:paraId="7CAC91D0" w14:textId="77777777" w:rsidR="003754FE" w:rsidRDefault="003754FE" w:rsidP="003754FE">
      <w:pPr>
        <w:pStyle w:val="TextoNormal"/>
      </w:pPr>
    </w:p>
    <w:p w14:paraId="03957832" w14:textId="77777777" w:rsidR="003754FE" w:rsidRDefault="003754FE" w:rsidP="003754FE">
      <w:pPr>
        <w:pStyle w:val="TextoNormal"/>
      </w:pPr>
      <w:r>
        <w:t>(v) Y, en fin, contraviene los principios nucleares en la materia del Derecho de la Unión Europea.</w:t>
      </w:r>
    </w:p>
    <w:p w14:paraId="23750196" w14:textId="77777777" w:rsidR="003754FE" w:rsidRDefault="003754FE" w:rsidP="003754FE">
      <w:pPr>
        <w:pStyle w:val="TextoNormal"/>
      </w:pPr>
    </w:p>
    <w:p w14:paraId="1F4495B6" w14:textId="77777777" w:rsidR="003754FE" w:rsidRDefault="003754FE" w:rsidP="003754FE">
      <w:pPr>
        <w:pStyle w:val="TextoNormal"/>
      </w:pPr>
      <w:r>
        <w:t>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No estará de más recordar que quien fuera presidente de este tribunal, el magistrado señor Tomás y Valiente, ya aludió en 1994, en una conferencia titulada “La Constitución y el Tribunal Constitucional”, a “la importancia de las deliberaciones y a 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14:paraId="413CAD9B" w14:textId="77777777" w:rsidR="003754FE" w:rsidRDefault="003754FE" w:rsidP="003754FE">
      <w:pPr>
        <w:pStyle w:val="TextoNormal"/>
      </w:pPr>
    </w:p>
    <w:p w14:paraId="4A5C5512" w14:textId="6AE9EC4F" w:rsidR="003754FE" w:rsidRDefault="003754FE" w:rsidP="003754FE">
      <w:pPr>
        <w:pStyle w:val="TextoNormal"/>
      </w:pPr>
      <w:r>
        <w:t>Madrid, a tres de julio de dos mil veinticuatro.</w:t>
      </w:r>
    </w:p>
    <w:p w14:paraId="5958B6D6" w14:textId="77777777" w:rsidR="003754FE" w:rsidRDefault="003754FE" w:rsidP="003754FE">
      <w:pPr>
        <w:pStyle w:val="TextoNormal"/>
      </w:pPr>
    </w:p>
    <w:p w14:paraId="712779A5" w14:textId="77777777" w:rsidR="003754FE" w:rsidRDefault="003754FE" w:rsidP="003754FE">
      <w:pPr>
        <w:pStyle w:val="TextoNormalNegritaCentrado"/>
        <w:keepNext/>
      </w:pPr>
      <w:r>
        <w:lastRenderedPageBreak/>
        <w:t>Voto particular que formula la magistrada doña María Luisa Segoviano Astaburuaga respecto de la sentencia dictada en el recurso de amparo avocado núm. 2360-2023</w:t>
      </w:r>
    </w:p>
    <w:p w14:paraId="175AE846" w14:textId="158D84AC" w:rsidR="003754FE" w:rsidRDefault="003754FE" w:rsidP="003754FE">
      <w:pPr>
        <w:pStyle w:val="TextoNormalNegritaCentrado"/>
        <w:keepNext/>
      </w:pPr>
    </w:p>
    <w:p w14:paraId="78B96C19" w14:textId="77777777" w:rsidR="003754FE" w:rsidRDefault="003754FE" w:rsidP="003754FE">
      <w:pPr>
        <w:pStyle w:val="TextoNormal"/>
      </w:pPr>
      <w:r>
        <w:t>En el ejercicio de la facultad que me confiere el art. 90.2 de la Ley Orgánica del Tribunal Constitucional (LOTC), y con el máximo respeto a los magistrados y magistradas del Tribunal, formulo el presente voto particular.</w:t>
      </w:r>
    </w:p>
    <w:p w14:paraId="2FECE4DA" w14:textId="77777777" w:rsidR="003754FE" w:rsidRDefault="003754FE" w:rsidP="003754FE">
      <w:pPr>
        <w:pStyle w:val="TextoNormal"/>
      </w:pPr>
    </w:p>
    <w:p w14:paraId="0316722E" w14:textId="77777777" w:rsidR="003754FE" w:rsidRDefault="003754FE" w:rsidP="003754FE">
      <w:pPr>
        <w:pStyle w:val="TextoNormal"/>
      </w:pPr>
      <w:r>
        <w:t>Sin perjuicio de mi total conformidad con el resto de los pronunciamientos de la sentencia, creo necesario exponer la posición que sostuve en la deliberación sobre la invocación del derecho a la presunción de inocencia (art. 24.2 CE), que ha sido analizada en el fundamento jurídico 7 de la citada resolución y ha llevado a estimar vulnerado ese derecho fundamental.</w:t>
      </w:r>
    </w:p>
    <w:p w14:paraId="67F02D13" w14:textId="77777777" w:rsidR="003754FE" w:rsidRDefault="003754FE" w:rsidP="003754FE">
      <w:pPr>
        <w:pStyle w:val="TextoNormal"/>
      </w:pPr>
    </w:p>
    <w:p w14:paraId="3CC0D217" w14:textId="77777777" w:rsidR="003754FE" w:rsidRDefault="003754FE" w:rsidP="003754FE">
      <w:pPr>
        <w:pStyle w:val="TextoNormal"/>
      </w:pPr>
      <w:r>
        <w:t>1. El demandante de amparo fue condenado, entre otros, por un delito continuado de malversación por la forma global de cómo se gestionó el programa presupuestario 31L. No obstante, tras el análisis de la invocación del derecho a la legalidad penal y la estimación de ese motivo de amparo, solo perviven como posibles conductas malversadoras del demandante de amparo las concesiones de las ayudas destinadas a fines distintos y ajenos a los mencionados en ese programa presupuestario. Es únicamente la participación del demandante de amparo en estas concretas ayudas la que se somete al control de constitucionalidad desde la perspectiva del derecho a la presunción de inocencia.</w:t>
      </w:r>
    </w:p>
    <w:p w14:paraId="180A2A17" w14:textId="77777777" w:rsidR="003754FE" w:rsidRDefault="003754FE" w:rsidP="003754FE">
      <w:pPr>
        <w:pStyle w:val="TextoNormal"/>
      </w:pPr>
    </w:p>
    <w:p w14:paraId="6A4617AE" w14:textId="77777777" w:rsidR="003754FE" w:rsidRDefault="003754FE" w:rsidP="003754FE">
      <w:pPr>
        <w:pStyle w:val="TextoNormal"/>
      </w:pPr>
      <w:r>
        <w:t>Comparto el razonamiento de que en ese contexto la invocación del derecho a la presunción de inocencia exige de este tribunal verificar un control externo de que las resoluciones judiciales impugnadas proporcionan la motivación suficiente para considerar acreditado, entre otros extremos, que el demandante de amparo participó de todos o de algunos de los desvíos de fondos a fines ajenos a los previstos en este programa presupuestario durante el tiempo en el que ejerció los cargos de consejero de Innovación, Ciencia y Empresa y presidente de la agencia IFA/IDEA —desde el 25 de abril de 2004 al 24 de abril de 2009— y de que, además, le era imputable subjetivamente el desvío de esos fondos.</w:t>
      </w:r>
    </w:p>
    <w:p w14:paraId="1C99DBE6" w14:textId="77777777" w:rsidR="003754FE" w:rsidRDefault="003754FE" w:rsidP="003754FE">
      <w:pPr>
        <w:pStyle w:val="TextoNormal"/>
      </w:pPr>
    </w:p>
    <w:p w14:paraId="07FED7B0" w14:textId="77777777" w:rsidR="003754FE" w:rsidRDefault="003754FE" w:rsidP="003754FE">
      <w:pPr>
        <w:pStyle w:val="TextoNormal"/>
      </w:pPr>
      <w:r>
        <w:t>2. La estimación de este motivo de amparo se hace descansar en una doble consideración.</w:t>
      </w:r>
    </w:p>
    <w:p w14:paraId="1B3FDB2E" w14:textId="77777777" w:rsidR="003754FE" w:rsidRDefault="003754FE" w:rsidP="003754FE">
      <w:pPr>
        <w:pStyle w:val="TextoNormal"/>
      </w:pPr>
    </w:p>
    <w:p w14:paraId="3223C284" w14:textId="77777777" w:rsidR="003754FE" w:rsidRDefault="003754FE" w:rsidP="003754FE">
      <w:pPr>
        <w:pStyle w:val="TextoNormal"/>
      </w:pPr>
      <w:r>
        <w:t>(i) Se afirma que la motivación desarrollada en las resoluciones judiciales impugnadas para concretar la participación del demandante en las conductas de malversación va dirigida a constatar que intervino en el engranaje general dirigido al abono de subvenciones a través del uso de las transferencias de financiación, pero no a probar que hizo un uso desviado de fondos del programa 31L por disponer de ellos sin atender a un fin público o para fines distintos y ajenos a los previstos en dicho programa. A esos efectos, se concluye que “la resolución de instancia no desarrolla un mínimo juicio de autoría que permita determinar si el señor Vallejo Serrano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(FJ 7.4).</w:t>
      </w:r>
    </w:p>
    <w:p w14:paraId="4E0885A3" w14:textId="77777777" w:rsidR="003754FE" w:rsidRDefault="003754FE" w:rsidP="003754FE">
      <w:pPr>
        <w:pStyle w:val="TextoNormal"/>
      </w:pPr>
    </w:p>
    <w:p w14:paraId="58897C84" w14:textId="77777777" w:rsidR="003754FE" w:rsidRDefault="003754FE" w:rsidP="003754FE">
      <w:pPr>
        <w:pStyle w:val="TextoNormal"/>
      </w:pPr>
      <w:r>
        <w:t xml:space="preserve">(ii) También se incide en que el juicio de inferencia para acreditar el dolo de malversar del demandante de amparo, que se hace radicar en los informes de control financiero </w:t>
      </w:r>
      <w:r>
        <w:lastRenderedPageBreak/>
        <w:t>permanente de la agencia IFA/IDEA, elaborados por la Intervención General de la Junta de Andalucía, y el déficit generado en la Consejería de Empleo y Desarrollo Tecnológico y en la agencia IFA/IDEA como consecuencia de la aplicación de este sistema de gestión de ayudas, “no resulta suficiente para establecer de manera cierta y precisa que el señor Vallejo Serrano hubiera intervenido, con conocimiento de causa, en la realización de alguna o algunas de las disposiciones de fondos ajenas a la cobertura presupuestaria”. A partir de ello, se concluye que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y Desarrollo Tecnológico que aparecen descritas en el fundamento de Derecho 45 de la sentencia de instancia” (FJ 7.4).</w:t>
      </w:r>
    </w:p>
    <w:p w14:paraId="567595E6" w14:textId="77777777" w:rsidR="003754FE" w:rsidRDefault="003754FE" w:rsidP="003754FE">
      <w:pPr>
        <w:pStyle w:val="TextoNormal"/>
      </w:pPr>
    </w:p>
    <w:p w14:paraId="44CCF1B0" w14:textId="77777777" w:rsidR="003754FE" w:rsidRDefault="003754FE" w:rsidP="003754FE">
      <w:pPr>
        <w:pStyle w:val="TextoNormal"/>
      </w:pPr>
      <w:r>
        <w:t>Esa doble consideración es la que lleva a afirmar que “[c]onsecuentemente, y desde la perspectiva del análisis efectuado en las resoluciones judiciales impugnadas, no se considera mínimamente motivado que el señor Vallejo Serrano hubiera realizado los hechos que la sentencia declara probados, con conocimiento de que la Consejería de Empleo y Desarrollo Tecnológico concedía ayudas que no respondían a ningún fin público amparado en el programa 31L, y consiguientemente con representación del riesgo concreto de que dicha situación se pudiera reproducir, lo que ha de llevar a concluir que su presunción de inocencia no ha sido respetada por los órganos judiciales que pronunciaron la condena y que desestimaron el recurso de casación subsiguientemente interpuesto, lo que debe llevar a la estimación del amparo respecto a este motivo” (FJ 7.4).</w:t>
      </w:r>
    </w:p>
    <w:p w14:paraId="6CDBF048" w14:textId="77777777" w:rsidR="003754FE" w:rsidRDefault="003754FE" w:rsidP="003754FE">
      <w:pPr>
        <w:pStyle w:val="TextoNormal"/>
      </w:pPr>
    </w:p>
    <w:p w14:paraId="2EE157B4" w14:textId="77777777" w:rsidR="003754FE" w:rsidRDefault="003754FE" w:rsidP="003754FE">
      <w:pPr>
        <w:pStyle w:val="TextoNormal"/>
      </w:pPr>
      <w:r>
        <w:t>3. No considero adecuado sustentar que ha existido un déficit de motivación en las resoluciones impugnadas lesivo del derecho a la presunción de inocencia en cuanto al juicio de autoría del demandante de amparo por las razones siguientes:</w:t>
      </w:r>
    </w:p>
    <w:p w14:paraId="73D18417" w14:textId="77777777" w:rsidR="003754FE" w:rsidRDefault="003754FE" w:rsidP="003754FE">
      <w:pPr>
        <w:pStyle w:val="TextoNormal"/>
      </w:pPr>
    </w:p>
    <w:p w14:paraId="52B0C842" w14:textId="77777777" w:rsidR="003754FE" w:rsidRDefault="003754FE" w:rsidP="003754FE">
      <w:pPr>
        <w:pStyle w:val="TextoNormal"/>
      </w:pPr>
      <w:r>
        <w:t>(i) Es un hecho declarado probado en la vía judicial y no controvertido que el demandante de amparo, en su condición de consejero de Innovación, Ciencia y Empresa y presidente de la agencia IFA/IDEA desde el 25 de abril de 2004 al 24 de abril de 2009, intervino directa y materialmente en la disposición de estos fondos públicos autorizando que por parte de la agencia se continuaran firmando los convenios particulares con la Dirección General de Trabajo y Seguridad Social y abonando las ayudas derivadas de los citados convenios, permitiendo con ello la distribución de esos fondos. Entre dichos convenios, como destacan las sentencias de instancia (hecho probado vigesimosegundo) y de casación (fundamento jurídico 39), estaban también los destinados a la concesión y pago de ayudas que no respondían a ningún fin público amparado en el programa 31L.</w:t>
      </w:r>
    </w:p>
    <w:p w14:paraId="7CDA7E9C" w14:textId="77777777" w:rsidR="003754FE" w:rsidRDefault="003754FE" w:rsidP="003754FE">
      <w:pPr>
        <w:pStyle w:val="TextoNormal"/>
      </w:pPr>
    </w:p>
    <w:p w14:paraId="0A26B41F" w14:textId="77777777" w:rsidR="003754FE" w:rsidRDefault="003754FE" w:rsidP="003754FE">
      <w:pPr>
        <w:pStyle w:val="TextoNormal"/>
      </w:pPr>
      <w:r>
        <w:t>Por tanto, desde la perspectiva de control externo que compete desarrollar a este tribunal en la jurisdicción de amparo bajo la invocación del derecho a la presunción de inocencia, considero que las resoluciones judiciales han colmado la exigencia de identificar y motivar adecuadamente, a partir de la prueba practicada en la vista oral, la concurrencia de concretos actos ejecutivos desarrollados por el demandante de amparo de disposición de los fondos destinados a la concesión y pago de ayudas que no respondían a ningún fin público amparado en el programa 31L, consistentes en autorizar que por parte de la agencia se continuaran firmando convenios particulares con la Dirección General de Trabajo y Seguridad Social y abonando las ayudas derivadas de los citados convenios, permitiendo con ello la distribución de los fondos.</w:t>
      </w:r>
    </w:p>
    <w:p w14:paraId="59520167" w14:textId="77777777" w:rsidR="003754FE" w:rsidRDefault="003754FE" w:rsidP="003754FE">
      <w:pPr>
        <w:pStyle w:val="TextoNormal"/>
      </w:pPr>
    </w:p>
    <w:p w14:paraId="6ED4F250" w14:textId="77777777" w:rsidR="003754FE" w:rsidRDefault="003754FE" w:rsidP="003754FE">
      <w:pPr>
        <w:pStyle w:val="TextoNormal"/>
      </w:pPr>
      <w:r>
        <w:t>(ii) En los términos ya expuestos, a pesar de la objetividad del desarrollo por parte del demandante de amparo de estos actos de ejecución, de disposición de los fondos para fines ajenos a lo legalmente establecido, se utiliza como argumento para sustentar la lesión de su derecho a la presunción de inocencia que no se verifica en las resoluciones judiciales impugnadas un juicio de autoría que permita determinar que el demandante de amparo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(FJ 7.4).</w:t>
      </w:r>
    </w:p>
    <w:p w14:paraId="6F6771F9" w14:textId="77777777" w:rsidR="003754FE" w:rsidRDefault="003754FE" w:rsidP="003754FE">
      <w:pPr>
        <w:pStyle w:val="TextoNormal"/>
      </w:pPr>
    </w:p>
    <w:p w14:paraId="0B78ADA1" w14:textId="77777777" w:rsidR="003754FE" w:rsidRDefault="003754FE" w:rsidP="003754FE">
      <w:pPr>
        <w:pStyle w:val="TextoNormal"/>
      </w:pPr>
      <w:r>
        <w:t>Considero que una exigencia de esas características excede de la labor de control externo que corresponde desarrollar a este tribunal ante una invocación del derecho a la presunción de inocencia, ya que parte de una consideración sobre la dinámica comisiva que es expresamente negada por las resoluciones judiciales impugnadas.</w:t>
      </w:r>
    </w:p>
    <w:p w14:paraId="19C803A4" w14:textId="77777777" w:rsidR="003754FE" w:rsidRDefault="003754FE" w:rsidP="003754FE">
      <w:pPr>
        <w:pStyle w:val="TextoNormal"/>
      </w:pPr>
    </w:p>
    <w:p w14:paraId="67BCAE50" w14:textId="77777777" w:rsidR="003754FE" w:rsidRDefault="003754FE" w:rsidP="003754FE">
      <w:pPr>
        <w:pStyle w:val="TextoNormal"/>
      </w:pPr>
      <w:r>
        <w:t>En primer lugar, es de destacar, como se reconoce en la sentencia, que la labor de control de este derecho fundamental lo es respecto de la motivación proporcionada por las resoluciones impugnadas “sin necesidad de integración o reelaboración alguna”. A esos efectos, hay que reparar en que la sentencia de casación es muy expresiva en su fundamento de Derecho 43.3 cuando, al abordar el llamado juicio de autoría en contestación a la alegación de algunos recurrentes sobre la inexistencia de un dominio funcional del hecho entre los diversos partícipes para el delito de malversación, afirma que no es necesario acreditar ese extremo. Insiste en que es suficiente individualizar la conducta de cada acusado y desde su singularidad determinar si en cada caso concurrían los elementos típicos. Así se expone que no hay ninguna declaración en los hechos probados respecto a que los acusados actuaran de forma conjunta o de mutuo acuerdo y que en la fundamentación jurídica tampoco se argumenta sobre la concurrencia de los elementos estructurales de la coautoría, tales como acuerdo de voluntades, dominio funcional del hecho o imputación recíproca a todos los coautores de sus aportaciones individuales. Es más, incide la sentencia de casación en que para el juicio de autoría de cada uno de los acusados: (a) la sentencia de instancia identifica individualmente los hechos que se atribuyen a cada uno de ellos aisladamente, y (b) no imputa a todos los acusados la totalidad de los actos calificados como delictivos por lo que excluye el efecto más característico de la coautoría, la imputación recíproca. A partir de ello, concluye que “[l]a dinámica comisiva no ha consistido en la realización de un hecho al que contribuyen las aportaciones de cada acusado, sino en distintos hechos, realizados individualmente por distintas autoridades a lo largo de un periodo dilatado de tiempo, que se explican porque tenían una finalidad común y se produjeron en el ámbito de una misma organización administrativa” (fundamento 43.3, pág. 370, de la sentencia de casación).</w:t>
      </w:r>
    </w:p>
    <w:p w14:paraId="3856C044" w14:textId="77777777" w:rsidR="003754FE" w:rsidRDefault="003754FE" w:rsidP="003754FE">
      <w:pPr>
        <w:pStyle w:val="TextoNormal"/>
      </w:pPr>
    </w:p>
    <w:p w14:paraId="5B141EDF" w14:textId="77777777" w:rsidR="003754FE" w:rsidRDefault="003754FE" w:rsidP="003754FE">
      <w:pPr>
        <w:pStyle w:val="TextoNormal"/>
      </w:pPr>
      <w:r>
        <w:t xml:space="preserve">Pues bien, partiendo de la base de que en la vía judicial se ha negado que la responsabilidad penal por el delito de malversación, incluyendo la del demandante de amparo, traiga causa de un supuesto dominio funcional del hecho o de alguna modalidad de acuerdo o de adhesión a un plan preconcebido dirigido al desvío de las cantidades malversadas entre los acusados, sino en la individual comisión de conductas de ejecución de cada uno de ellos —en el caso del demandante de amparo autorizar la firma de los convenios y el pago de los fondos, permitiendo con ello su distribución—, no puedo compartir que el fundamento último para estimar el recurso de amparo respecto de este particular sea un déficit o la </w:t>
      </w:r>
      <w:r>
        <w:lastRenderedPageBreak/>
        <w:t>inexistencia de motivación sobre un juicio de autoría que no es el asumido o establecido en las resoluciones impugnadas sino alternativo a estas.</w:t>
      </w:r>
    </w:p>
    <w:p w14:paraId="19E2E967" w14:textId="77777777" w:rsidR="003754FE" w:rsidRDefault="003754FE" w:rsidP="003754FE">
      <w:pPr>
        <w:pStyle w:val="TextoNormal"/>
      </w:pPr>
    </w:p>
    <w:p w14:paraId="65E7F12C" w14:textId="77777777" w:rsidR="003754FE" w:rsidRDefault="003754FE" w:rsidP="003754FE">
      <w:pPr>
        <w:pStyle w:val="TextoNormal"/>
      </w:pPr>
      <w:r>
        <w:t>(iii) Por tanto, partiendo del presupuesto de que el control externo a desarrollar por este tribunal sobre la motivación de la prueba ha de serlo respecto de la proporcionada por las resoluciones judiciales y no respecto de otras posibles alternativas, entiendo que las sentencias impugnadas, al hacer radicar la responsabilidad penal del demandante de amparo por el delito de malversación en su intervención directa autorizando la firma de los convenios particulares con la Dirección General de Trabajo y Seguridad Social y el abono de las ayudas derivadas de los citados convenios, permitiendo con ello la distribución de los fondos, solo tenían que acreditar a partir de la prueba practicada esas conductas para entender probada la autoría del demandante. Ese es un extremo no controvertido que hace inadecuado que haya sido considerado vulnerado el derecho a la presunción de inocencia respecto de este particular.</w:t>
      </w:r>
    </w:p>
    <w:p w14:paraId="66E889D6" w14:textId="77777777" w:rsidR="003754FE" w:rsidRDefault="003754FE" w:rsidP="003754FE">
      <w:pPr>
        <w:pStyle w:val="TextoNormal"/>
      </w:pPr>
    </w:p>
    <w:p w14:paraId="3A8E0848" w14:textId="77777777" w:rsidR="003754FE" w:rsidRDefault="003754FE" w:rsidP="003754FE">
      <w:pPr>
        <w:pStyle w:val="TextoNormal"/>
      </w:pPr>
      <w:r>
        <w:t>(iv) Por otra parte, también considero relevante destacar, por tener una conexión inmediata con el análisis de la invocación del derecho a la presunción de inocencia vinculado al juicio de autoría del demandante de amparo, la circunstancia de que el Tribunal, al analizar la invocación del derecho a la legalidad penal derivada de la condena del demandante de amparo por el delito de malversación en el fundamento jurídico 6.3 B), dedicado exclusivamente a su participación en relación con las disposiciones de fondos públicos sin cobertura en el programa 31L, ha desestimado dicha invocación.</w:t>
      </w:r>
    </w:p>
    <w:p w14:paraId="425C07D3" w14:textId="77777777" w:rsidR="003754FE" w:rsidRDefault="003754FE" w:rsidP="003754FE">
      <w:pPr>
        <w:pStyle w:val="TextoNormal"/>
      </w:pPr>
    </w:p>
    <w:p w14:paraId="0B9D2C73" w14:textId="77777777" w:rsidR="003754FE" w:rsidRDefault="003754FE" w:rsidP="003754FE">
      <w:pPr>
        <w:pStyle w:val="TextoNormal"/>
      </w:pPr>
      <w:r>
        <w:t>Los motivos para dicha desestimación han sido que la posición de garantía que sustenta la condena del demandante de amparo, por un lado, está debidamente razonada al destacarse que las competencias que le correspondían como presidente de la agencia IFA/IDEA no eran meramente nominales o representativas y que la delegación de funciones al director general de la referida entidad no suponía el completo vaciamiento de su labor gestora; manteniendo, además, una posición cualificada dentro del Consejo de Gobierno en relación con la aprobación de las aplicaciones presupuestarias concretamente concernientes a la agencia IFA/IDEA, como era el caso de las transferencias de financiación para el pago de las ayudas sociolaborales y a empresas en crisis. Y, por otro, que tampoco esa subsunción de la conducta del demandante en el delito de malversación atendiendo a su posición de garantía resultaba, en los términos razonados en las resoluciones judiciales impugnadas, imprevisible ni arbitraria, al tomar como fundamento concretos deberes de actuación derivados de su condición institucional.</w:t>
      </w:r>
    </w:p>
    <w:p w14:paraId="60C74021" w14:textId="77777777" w:rsidR="003754FE" w:rsidRDefault="003754FE" w:rsidP="003754FE">
      <w:pPr>
        <w:pStyle w:val="TextoNormal"/>
      </w:pPr>
    </w:p>
    <w:p w14:paraId="3DED6B2B" w14:textId="77777777" w:rsidR="003754FE" w:rsidRDefault="003754FE" w:rsidP="003754FE">
      <w:pPr>
        <w:pStyle w:val="TextoNormal"/>
      </w:pPr>
      <w:r>
        <w:t>En ese sentido, compartiendo estas consideraciones para desestimar la invocación del derecho a la legalidad penal, y en plena coherencia con ellas, no puedo compartir la conclusión de que, en atención a las concretas conductas desarrolladas por el demandante de amparo y asumiendo su posición de garantía, pudiera afirmarse que se ha vulnerado su derecho a la presunción de inocencia por falta de motivación de un supuesto dominio funcional del hecho o de alguna modalidad de acuerdo o de adhesión a un plan preconcebido dirigido al desvío de las cantidades malversadas entre los acusados.</w:t>
      </w:r>
    </w:p>
    <w:p w14:paraId="08889B1D" w14:textId="77777777" w:rsidR="003754FE" w:rsidRDefault="003754FE" w:rsidP="003754FE">
      <w:pPr>
        <w:pStyle w:val="TextoNormal"/>
      </w:pPr>
    </w:p>
    <w:p w14:paraId="36319B13" w14:textId="77777777" w:rsidR="003754FE" w:rsidRDefault="003754FE" w:rsidP="003754FE">
      <w:pPr>
        <w:pStyle w:val="TextoNormal"/>
      </w:pPr>
      <w:r>
        <w:t xml:space="preserve">4. Tampoco considero procedente sustentar que ha existido un déficit de motivación en las resoluciones impugnadas lesivo del derecho a la presunción de inocencia en cuanto a la </w:t>
      </w:r>
      <w:r>
        <w:lastRenderedPageBreak/>
        <w:t>concurrencia del elemento subjetivo del delito de malversación en el demandante de amparo por las razones siguientes:</w:t>
      </w:r>
    </w:p>
    <w:p w14:paraId="15F84435" w14:textId="77777777" w:rsidR="003754FE" w:rsidRDefault="003754FE" w:rsidP="003754FE">
      <w:pPr>
        <w:pStyle w:val="TextoNormal"/>
      </w:pPr>
    </w:p>
    <w:p w14:paraId="437920B3" w14:textId="77777777" w:rsidR="003754FE" w:rsidRDefault="003754FE" w:rsidP="003754FE">
      <w:pPr>
        <w:pStyle w:val="TextoNormal"/>
      </w:pPr>
      <w:r>
        <w:t>(i) Las resoluciones judiciales impugnadas han establecido, respecto del elemento subjetivo del delito de malversación del art. 432 CP en la redacción que resultaba de aplicación, que puede ser cometido por dolo eventual. En concreto, la sentencia de casación insiste en que jurisprudencialmente se ha admitido que para la existencia del delito en su modalidad activa basta el dolo eventual y que, en cuanto al tipo de omisión impropia también se admite este título de imputación subjetiva, cuando el sujeto se represente la alta probabilidad de la existencia de la situación que le obliga a actuar y aun así no actúe [fundamento de Derecho 32.3 (viii), pág. 320]. El Tribunal no ha objetado desde la perspectiva del art. 25.1 CE esta interpretación y ha rechazado que vulnere el derecho a la legalidad penal del demandante de amparo en el fundamento jurídico 6.3. Por tanto, en coherencia con esta conclusión, la actividad probatoria a desarrollar en la vía judicial respecto de la concurrencia del elemento subjetivo de este delito lo puede ser en su modalidad de dolo eventual.</w:t>
      </w:r>
    </w:p>
    <w:p w14:paraId="22107B60" w14:textId="77777777" w:rsidR="003754FE" w:rsidRDefault="003754FE" w:rsidP="003754FE">
      <w:pPr>
        <w:pStyle w:val="TextoNormal"/>
      </w:pPr>
    </w:p>
    <w:p w14:paraId="55D19AD1" w14:textId="77777777" w:rsidR="003754FE" w:rsidRDefault="003754FE" w:rsidP="003754FE">
      <w:pPr>
        <w:pStyle w:val="TextoNormal"/>
      </w:pPr>
      <w:r>
        <w:t>Las resoluciones judiciales, con fundamento en la anterior interpretación, han establecido la responsabilidad penal del demandante de amparo por el delito de malversación, al considerar, en la vertiente subjetiva de este delito, que al desarrollar los actos ejecutivos de autorizar la firma de los convenios particulares y el pago de las ayudas, asumía la eventualidad de que algunos de los fondos vinculados al programa presupuestario 31L fueran objeto de disposición con fines ajenos al fin público al que estaban destinados, tal como finalmente sucedió.</w:t>
      </w:r>
    </w:p>
    <w:p w14:paraId="120C1526" w14:textId="77777777" w:rsidR="003754FE" w:rsidRDefault="003754FE" w:rsidP="003754FE">
      <w:pPr>
        <w:pStyle w:val="TextoNormal"/>
      </w:pPr>
    </w:p>
    <w:p w14:paraId="67463C1F" w14:textId="77777777" w:rsidR="003754FE" w:rsidRDefault="003754FE" w:rsidP="003754FE">
      <w:pPr>
        <w:pStyle w:val="TextoNormal"/>
      </w:pPr>
      <w:r>
        <w:t>En este contexto, no considero adecuado que se estime vulnerado el derecho a la presunción de inocencia con fundamento en que era preciso que en la vía judicial se acreditara que el demandante de amparo “participó activa u omisivamente con conocimiento de que los fondos públicos del programa 31L se estaban concediendo sin que existiera un fin público que justificara su concesión o para fines distintos de los previstos en dicho programa 31L” (FJ 7.4) y, por tanto, que es una inferencia excesivamente abierta, concluir que se representó, con el grado de concreción que demanda la imputación subjetiva de un delito de resultado como es el delito de malversación, las graves desviaciones cometidas por las autoridades de la Consejería de Empleo y Desarrollo Tecnológico.</w:t>
      </w:r>
    </w:p>
    <w:p w14:paraId="400CDB38" w14:textId="77777777" w:rsidR="003754FE" w:rsidRDefault="003754FE" w:rsidP="003754FE">
      <w:pPr>
        <w:pStyle w:val="TextoNormal"/>
      </w:pPr>
    </w:p>
    <w:p w14:paraId="6E729E0F" w14:textId="77777777" w:rsidR="003754FE" w:rsidRDefault="003754FE" w:rsidP="003754FE">
      <w:pPr>
        <w:pStyle w:val="TextoNormal"/>
      </w:pPr>
      <w:r>
        <w:t>En efecto, partiendo del presupuesto de que tanto en la vía judicial como en esta jurisdicción de amparo no se ha controvertido la posible imputación subjetiva de este delito a título de dolo eventual y que bastaba para ello asumir la eventualidad de que los fondos vinculados al programa presupuestario 31L fueran objeto de disposición con fines ajenos al que estaban destinados, el elemento a probar en la vía judicial no sería el conocimiento efectivo y actual por parte del demandante de amparo de que había concretos fondos públicos que se estuvieran concediendo sin que existiera un fin público que los justificara o para fines distintos de los previstos; sino tan solo la eventualidad de que pudieran estar siendo concedidos para esos fines ajenos a lo legalmente establecido.</w:t>
      </w:r>
    </w:p>
    <w:p w14:paraId="6A4679A7" w14:textId="77777777" w:rsidR="003754FE" w:rsidRDefault="003754FE" w:rsidP="003754FE">
      <w:pPr>
        <w:pStyle w:val="TextoNormal"/>
      </w:pPr>
    </w:p>
    <w:p w14:paraId="7A9EF80A" w14:textId="77777777" w:rsidR="003754FE" w:rsidRDefault="003754FE" w:rsidP="003754FE">
      <w:pPr>
        <w:pStyle w:val="TextoNormal"/>
      </w:pPr>
      <w:r>
        <w:t xml:space="preserve">(ii) La anterior precisión determina que el control externo a desarrollar por el Tribunal bajo la invocación del derecho a la presunción de inocencia tuviera como objeto verificar que las resoluciones judiciales impugnadas hubieran considerado acreditado no que el demandante de amparo conoció que los fondos vinculados al programa presupuestario 31L, </w:t>
      </w:r>
      <w:r>
        <w:lastRenderedPageBreak/>
        <w:t>de los que estaba disponiendo mediante la suscripción de los convenios particulares, lo eran con fines ajenos a los que estaban legalmente destinados —lo que hubiera constituido un dolo directo— sino, meramente, que asumió esa eventualidad —lo que constituía un dolo eventual—.</w:t>
      </w:r>
    </w:p>
    <w:p w14:paraId="423C5E2D" w14:textId="77777777" w:rsidR="003754FE" w:rsidRDefault="003754FE" w:rsidP="003754FE">
      <w:pPr>
        <w:pStyle w:val="TextoNormal"/>
      </w:pPr>
    </w:p>
    <w:p w14:paraId="0B2912EA" w14:textId="77777777" w:rsidR="003754FE" w:rsidRDefault="003754FE" w:rsidP="003754FE">
      <w:pPr>
        <w:pStyle w:val="TextoNormal"/>
      </w:pPr>
      <w:r>
        <w:t>A esos efectos, ha sido expuesto con extensión y acierto la jurisprudencia constitucional sobre la prueba de los elementos subjetivos del delito a partir de la llamada prueba indiciaria, conforme a la cual, bajo la invocación del derecho a la presunción de inocencia, lo que resulta preciso en el control externo a desarrollar por el Tribunal en la jurisdicción de amparo es verificar que: (a) los hechos objetivos base indiciarios han de estar plenamente probados; (b) el elemento subjetivo debe deducirse de esos hechos indiciarios base; y (c) la razonabilidad de la inferencia en el sentido de que en la vía judicial se hayan exteriorizado los hechos indiciarios base y se haya explicado el razonamiento de la deducción asentado en las reglas del criterio humano o en las reglas de la experiencia común.</w:t>
      </w:r>
    </w:p>
    <w:p w14:paraId="15010965" w14:textId="77777777" w:rsidR="003754FE" w:rsidRDefault="003754FE" w:rsidP="003754FE">
      <w:pPr>
        <w:pStyle w:val="TextoNormal"/>
      </w:pPr>
    </w:p>
    <w:p w14:paraId="41390C22" w14:textId="77777777" w:rsidR="003754FE" w:rsidRDefault="003754FE" w:rsidP="003754FE">
      <w:pPr>
        <w:pStyle w:val="TextoNormal"/>
      </w:pPr>
      <w:r>
        <w:t>No obstante, creo que también es preciso añadir que la jurisprudencia constitucional ha destacado que en la labor de control externo a desarrollar por el Tribunal debe tomarse en consideración que “cuando se aduce la vulneración del derecho a la presunción de inocencia nuestro análisis debe realizarse respecto del conjunto de estos elementos sin que quepa la posibilidad de fragmentar o disgregar esta apreciación probatoria, ni de considerar cada una de las afirmaciones de hecho acreditadas de modo aislado, pues como ya hemos afirmado en no pocas ocasiones no puede realizarse una operación de análisis aislado de los hechos acreditados por el Tribunal sentenciador, ni de desagregación de los distintos elementos de prueba, ni de disgregación de la línea argumental llevada a cabo por el Tribunal Supremo [léase por el órgano judicial].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(así, SSTC 133/2014, FJ 10, o 146/2014, de 22 de septiembre, FJ 5, con abundantes referencias).</w:t>
      </w:r>
    </w:p>
    <w:p w14:paraId="63D4EC55" w14:textId="77777777" w:rsidR="003754FE" w:rsidRDefault="003754FE" w:rsidP="003754FE">
      <w:pPr>
        <w:pStyle w:val="TextoNormal"/>
      </w:pPr>
    </w:p>
    <w:p w14:paraId="78940285" w14:textId="77777777" w:rsidR="003754FE" w:rsidRDefault="003754FE" w:rsidP="003754FE">
      <w:pPr>
        <w:pStyle w:val="TextoNormal"/>
      </w:pPr>
      <w:r>
        <w:t>(iii) Considero, en el mismo sentido que ha sido afirmado por el Ministerio Fiscal en sus alegaciones en el presente recurso de amparo, que las resoluciones judiciales han dado debido cumplimiento a las exigencias derivadas del derecho a la presunción de inocencia, al concluir acreditado el elemento subjetivo del delito de malversación en el demandante de amparo a título de dolo eventual —asumir la eventualidad de que los fondos vinculados al programa presupuestario 31L de los que estaba disponiendo mediante autorización de la suscripción de los convenios particulares lo eran con fines ajenos a los que estaban legalmente destinados— a partir de la prueba indiciaria.</w:t>
      </w:r>
    </w:p>
    <w:p w14:paraId="45B6AF1F" w14:textId="77777777" w:rsidR="003754FE" w:rsidRDefault="003754FE" w:rsidP="003754FE">
      <w:pPr>
        <w:pStyle w:val="TextoNormal"/>
      </w:pPr>
    </w:p>
    <w:p w14:paraId="3D7A8DC2" w14:textId="77777777" w:rsidR="003754FE" w:rsidRDefault="003754FE" w:rsidP="003754FE">
      <w:pPr>
        <w:pStyle w:val="TextoNormal"/>
      </w:pPr>
      <w:r>
        <w:t>(a) En la vía judicial se ha establecido como un primer hecho objetivo base indiciario plenamente probado que el demandante de amparo, en su condición de presidente del IFA/IDEA, en tanto que esta agencia estaba sujeta al control financiero permanente por la Intervención General de la Junta de Andalucía, que se materializaba básicamente en la emisión de tres informes anuales, era uno de los destinatarios de dichos informes.</w:t>
      </w:r>
    </w:p>
    <w:p w14:paraId="241DAC91" w14:textId="77777777" w:rsidR="003754FE" w:rsidRDefault="003754FE" w:rsidP="003754FE">
      <w:pPr>
        <w:pStyle w:val="TextoNormal"/>
      </w:pPr>
    </w:p>
    <w:p w14:paraId="0784F570" w14:textId="77777777" w:rsidR="003754FE" w:rsidRDefault="003754FE" w:rsidP="003754FE">
      <w:pPr>
        <w:pStyle w:val="TextoNormal"/>
      </w:pPr>
      <w:r>
        <w:t>La sentencia de instancia hace, en el apartado noveno de los hechos probados (págs. 62 y ss.) y en el fundamento de Derecho trigésimo cuarto (págs. 1172 y ss.), en el que se aborda singularmente los hechos imputados al demandante de amparo, una relación pormenorizada de esos informes y de las deficiencias e incidencias reflejadas en los mismos, haciendo un especial análisis del informe adicional de ayudas, realizado en el año 2005, que figura como anexo III, dentro del informe de cumplimiento del ejercicio 2003, que incluye el “[i]nforme sobre determinados aspectos de la gestión del Instituto de Fomento de Andalucía de los convenios suscritos con la Consejería de Empleo y Desarrollo Tecnológico en materia de Trabajo y Seguridad Social”, en el que se relataban numerosas irregularidades.</w:t>
      </w:r>
    </w:p>
    <w:p w14:paraId="2F5FB27A" w14:textId="77777777" w:rsidR="003754FE" w:rsidRDefault="003754FE" w:rsidP="003754FE">
      <w:pPr>
        <w:pStyle w:val="TextoNormal"/>
      </w:pPr>
    </w:p>
    <w:p w14:paraId="430E925D" w14:textId="77777777" w:rsidR="003754FE" w:rsidRDefault="003754FE" w:rsidP="003754FE">
      <w:pPr>
        <w:pStyle w:val="TextoNormal"/>
      </w:pPr>
      <w:r>
        <w:t>A partir del contenido de ese informe, la sentencia de instancia, al valorar la concurrencia de dolo eventual en el delito de malversación, contando ya con el resultado de los informes periciales practicados en la vista oral sobre la totalidad de los convenios particulares suscritos por el IFA/IDEA, afirma que la circunstancia de que se pudieran hacer pagos completamente ajenos al interés público o con fines diversos sin relación alguna con las ayudas sociolaborales o dirigidas a empresas sospechosas de haberse constituido exclusivamente para el cobro de las ayudas, careciendo incluso de trabajadores, “ya lo advertía la Intervención en sus informes”, reiterando algunas de las deficiencias e irregularidades que se ponían de manifiesto en el informe adicional al de cumplimiento del año 2003 (págs. 1721 y ss.).</w:t>
      </w:r>
    </w:p>
    <w:p w14:paraId="4623D973" w14:textId="77777777" w:rsidR="003754FE" w:rsidRDefault="003754FE" w:rsidP="003754FE">
      <w:pPr>
        <w:pStyle w:val="TextoNormal"/>
      </w:pPr>
    </w:p>
    <w:p w14:paraId="775199CA" w14:textId="77777777" w:rsidR="003754FE" w:rsidRDefault="003754FE" w:rsidP="003754FE">
      <w:pPr>
        <w:pStyle w:val="TextoNormal"/>
      </w:pPr>
      <w:r>
        <w:t>(b) En la vía judicial se hace mención, como un segundo hecho objetivo base indiciario plenamente probado, a que el demandante de amparo, en su condición de presidente del IFA/IDEA, tenía la responsabilidad de formular las cuentas anuales de la agencia, que bien firmaba el director general de la agencia bien el demandante de amparo, y participar en las reuniones del consejo rector, que aprobaba las cuentas anuales, tras su debate y examen del informe de auditoría.</w:t>
      </w:r>
    </w:p>
    <w:p w14:paraId="78B54E88" w14:textId="77777777" w:rsidR="003754FE" w:rsidRDefault="003754FE" w:rsidP="003754FE">
      <w:pPr>
        <w:pStyle w:val="TextoNormal"/>
      </w:pPr>
    </w:p>
    <w:p w14:paraId="4C1D4E7F" w14:textId="77777777" w:rsidR="003754FE" w:rsidRDefault="003754FE" w:rsidP="003754FE">
      <w:pPr>
        <w:pStyle w:val="TextoNormal"/>
      </w:pPr>
      <w:r>
        <w:t>La sentencia de instancia hace en el apartado noveno de los hechos probados (págs. 62 y ss.) y en el fundamento de Derecho trigésimo cuarto (págs. 1172 y ss., y, por remisión, págs. 1058 y ss.), en los que se abordan singularmente los hechos imputados al demandante de amparo, una relación pormenorizada de las incidencias contables, incluyendo que los pagos derivados de los convenios particulares, cuyo importe llegaba vía transferencia de financiación, se contabilizaban en el apartado “otros gastos de explotación” y, por tanto, como gastos ficticios; y que, estando sometidas las cuentas a informes de auditoría externa, en estos se destacaba la incertidumbre sobre el abono de las cantidades que mantenía en descubierto, al exceder los compromisos asumidos en los convenios, con la cantidad efectivamente recibida en la agencia, vía transferencia de financiación; dirigiendo al respecto el director general del IFA/IDEA una carta al director general de Trabajo y Seguridad Social exigiendo que se pusiera solución a este problema, precisando que consideraba necesario que tal solución pasara por la aprobación del secretario general técnico de Empleo. Igualmente se destacaba como en el acta de una reunión del consejo rector consta la adopción de un acuerdo provisional para someterlo a la ratificación del Consejo de Gobierno en relación con la autorización de la firma de un convenio de colaboración entre IDEA y la Dirección General de Trabajo y Seguridad Social en el que se encomienda a aquella el abono de la subvención excepcional a una empresa por importe de 3 800 000 €, que según se constató en la prueba pericial practicada no constaba en la documentación examinada que se hubiera remitido a dicha ratificación.</w:t>
      </w:r>
    </w:p>
    <w:p w14:paraId="4752742D" w14:textId="77777777" w:rsidR="003754FE" w:rsidRDefault="003754FE" w:rsidP="003754FE">
      <w:pPr>
        <w:pStyle w:val="TextoNormal"/>
      </w:pPr>
    </w:p>
    <w:p w14:paraId="54A4A7B4" w14:textId="77777777" w:rsidR="003754FE" w:rsidRDefault="003754FE" w:rsidP="003754FE">
      <w:pPr>
        <w:pStyle w:val="TextoNormal"/>
      </w:pPr>
      <w:r>
        <w:t>A partir de estos hechos probados, la sentencia de instancia, al valorar la concurrencia de dolo eventual en el delito de malversación, afirma que “el acusado era plenamente consciente de la palmaria ilegalidad de los actos en los que participó, relatados en los hechos probados. Asumiendo la eventualidad de que los fondos vinculados al programa 31L fueran objeto de disposición con fines ajenos al fin público al que estaban destinados” (págs. 1190). A esos efectos, se insiste en la sentencia de instancia en que “respecto a los desembolsos con ausencia total de controles, que revela una indiferencia hacia la alta probabilidad de que lo que ya era un despilfarro pasase a ser una malversación. Consta en la causa la existencia del déficit o desfases presupuestarios, originados precisamente porque se contraían obligaciones al margen de la cobertura presupuestaria, lo que era posible porque se concedían subvenciones al margen del procedimiento legalmente establecido y sin control alguno, al haberse soslayado la fiscalización” (págs. 1732 y 1733).</w:t>
      </w:r>
    </w:p>
    <w:p w14:paraId="00B360A0" w14:textId="77777777" w:rsidR="003754FE" w:rsidRDefault="003754FE" w:rsidP="003754FE">
      <w:pPr>
        <w:pStyle w:val="TextoNormal"/>
      </w:pPr>
    </w:p>
    <w:p w14:paraId="4AB0173B" w14:textId="77777777" w:rsidR="003754FE" w:rsidRDefault="003754FE" w:rsidP="003754FE">
      <w:pPr>
        <w:pStyle w:val="TextoNormal"/>
      </w:pPr>
      <w:r>
        <w:t>(c) En definitiva, cabe apreciar que, en la vía judicial, a partir de esos hechos objetivos base, se ha extraído la inferencia de que el demandante de amparo asumió la eventualidad de que hubiera fondos vinculados al programa presupuestario 31L de los que estaba disponiendo mediante la autorización de suscripción de los convenios particulares y que estos lo fueran con fines ajenos a los que estaban legalmente destinados.</w:t>
      </w:r>
    </w:p>
    <w:p w14:paraId="791CA3DB" w14:textId="77777777" w:rsidR="003754FE" w:rsidRDefault="003754FE" w:rsidP="003754FE">
      <w:pPr>
        <w:pStyle w:val="TextoNormal"/>
      </w:pPr>
    </w:p>
    <w:p w14:paraId="1AA17437" w14:textId="77777777" w:rsidR="003754FE" w:rsidRDefault="003754FE" w:rsidP="003754FE">
      <w:pPr>
        <w:pStyle w:val="TextoNormal"/>
      </w:pPr>
      <w:r>
        <w:t>Esa inferencia se sustenta, en el plano abstracto, en la regla de experiencia, expuesta por la sentencia de casación, a partir de la jurisprudencia de la Sala de lo Penal del Tribunal Supremo, de que quien conoce suficientemente el peligro concreto generado por su acción y, sin embargo, actúa conscientemente, obra con dolo pues sabe lo que hace, y de dicho conocimiento y actuación puede inferirse racionalmente su aceptación del resultado (fundamento de Derecho 140, pág. 1046); y, en un plano concreto, en que el demandante de amparo, al autorizar los pagos y permitir la actuación de la agencia de la que era presidente en el sistema creado para la gestión de estas ayudas, conociendo la forma en que se gestionaban, “asumió la eventualidad de que los fondos vinculados al programa 31L fueran objeto de disposición con fines ajenos al fin público al que estaban destinados” (fundamento jurídico 119.1, pág. 910, de la sentencia de casación).</w:t>
      </w:r>
    </w:p>
    <w:p w14:paraId="34B15DA2" w14:textId="77777777" w:rsidR="003754FE" w:rsidRDefault="003754FE" w:rsidP="003754FE">
      <w:pPr>
        <w:pStyle w:val="TextoNormal"/>
      </w:pPr>
    </w:p>
    <w:p w14:paraId="6256EDBC" w14:textId="77777777" w:rsidR="003754FE" w:rsidRDefault="003754FE" w:rsidP="003754FE">
      <w:pPr>
        <w:pStyle w:val="TextoNormal"/>
      </w:pPr>
      <w:r>
        <w:t>(iv) Por tanto, desde la perspectiva del control externo que es propia a la jurisdicción de amparo, globalmente considerada la prueba practicada y la inferencia derivada de la misma respecto de la concurrencia del elemento subjetivo del delito de malversación tal como había sido configurado legalmente en la vía judicial, que admitía la imputación subjetiva a título de dolo eventual, entiendo que tampoco resulta adecuado concluir que las resoluciones judiciales hayan desatendido la exigencias del derecho fundamental a la presunción de inocencia sobre ese particular, en la medida en que la inferencia alcanzada de que el demandante de amparo actuó asumiendo la eventualidad de que los fondos vinculados al programa presupuestario 31L estuvieran siendo dispuestos con fines ajenos a los que estaban legalmente destinados responde a las reglas del criterio humano o las reglas de la experiencia común.</w:t>
      </w:r>
    </w:p>
    <w:p w14:paraId="496EECD9" w14:textId="77777777" w:rsidR="003754FE" w:rsidRDefault="003754FE" w:rsidP="003754FE">
      <w:pPr>
        <w:pStyle w:val="TextoNormal"/>
      </w:pPr>
    </w:p>
    <w:p w14:paraId="0F131FE2" w14:textId="3F8119C6" w:rsidR="003754FE" w:rsidRDefault="003754FE" w:rsidP="003754FE">
      <w:pPr>
        <w:pStyle w:val="TextoNormal"/>
      </w:pPr>
      <w:r>
        <w:t>Madrid, a tres de julio de dos mil veinticuatro.</w:t>
      </w:r>
    </w:p>
    <w:p w14:paraId="19EA833C" w14:textId="77777777" w:rsidR="003754FE" w:rsidRDefault="003754FE" w:rsidP="003754FE">
      <w:pPr>
        <w:pStyle w:val="TextoNormal"/>
      </w:pPr>
    </w:p>
    <w:p w14:paraId="6B7D6130" w14:textId="77777777" w:rsidR="003754FE" w:rsidRDefault="003754FE" w:rsidP="003754FE">
      <w:pPr>
        <w:pStyle w:val="TextoNormalNegritaCentrado"/>
        <w:keepNext/>
      </w:pPr>
      <w:r>
        <w:lastRenderedPageBreak/>
        <w:t>Voto particular que formulan los magistrados don César Tolosa Tribiño y doña Concepción Espejel Jorquera a la sentencia dictada en el recurso de amparo avocado núm. 2360-2023 interpuesto por don Francisco Vallejo Serrano</w:t>
      </w:r>
    </w:p>
    <w:p w14:paraId="666C30B1" w14:textId="5F94D35C" w:rsidR="003754FE" w:rsidRDefault="003754FE" w:rsidP="003754FE">
      <w:pPr>
        <w:pStyle w:val="TextoNormalNegritaCentrado"/>
        <w:keepNext/>
      </w:pPr>
    </w:p>
    <w:p w14:paraId="6A5EA45F" w14:textId="77777777" w:rsidR="003754FE" w:rsidRDefault="003754FE" w:rsidP="003754FE">
      <w:pPr>
        <w:pStyle w:val="TextoNormal"/>
      </w:pPr>
      <w:r>
        <w:t>En el ejercicio de la facultad que nos confiere el artículo 90.2 de la Ley Orgánica del Tribunal Constitucional (LOTC) formulamos el presente voto particular. Consideramos que el recurso de amparo debió ser inicialmente inadmitido —como ya se expuso en el voto particular al ATC 291/2023, de 5 junio— y una vez admitido desestimado, por las razones que se exponen a continuación.</w:t>
      </w:r>
    </w:p>
    <w:p w14:paraId="393EC8DE" w14:textId="77777777" w:rsidR="003754FE" w:rsidRDefault="003754FE" w:rsidP="003754FE">
      <w:pPr>
        <w:pStyle w:val="TextoNormal"/>
      </w:pPr>
    </w:p>
    <w:p w14:paraId="48AEEAE6" w14:textId="77777777" w:rsidR="003754FE" w:rsidRDefault="003754FE" w:rsidP="003754FE">
      <w:pPr>
        <w:pStyle w:val="TextoNormal"/>
      </w:pPr>
      <w:r>
        <w:t>La presente sentencia se construye argumentalmente aplicando el razonamiento de las sentencias de este tribunal ya deliberadas y aprobadas que resuelven los recursos de amparo interpuestos por doña Magdalena Álvarez Arza (recurso de amparo núm. 6971-2022), don Miguel Ángel Serrano Aguilar (recurso de amparo núm. 2136-2023) y don Antonio Fernández García (recurso de amparo núm. 2348-2023), en los que se reconoce bien exclusivamente la vulneración del derecho a la legalidad penal o también del derecho a la presunción de inocencia.</w:t>
      </w:r>
    </w:p>
    <w:p w14:paraId="4B813155" w14:textId="77777777" w:rsidR="003754FE" w:rsidRDefault="003754FE" w:rsidP="003754FE">
      <w:pPr>
        <w:pStyle w:val="TextoNormal"/>
      </w:pPr>
    </w:p>
    <w:p w14:paraId="77B9227F" w14:textId="77777777" w:rsidR="003754FE" w:rsidRDefault="003754FE" w:rsidP="003754FE">
      <w:pPr>
        <w:pStyle w:val="TextoNormal"/>
      </w:pPr>
      <w:r>
        <w:t xml:space="preserve">1. </w:t>
      </w:r>
      <w:r w:rsidRPr="003754FE">
        <w:rPr>
          <w:i/>
        </w:rPr>
        <w:t>Consideraciones comunes a todas las sentencias de los casos “ERE”</w:t>
      </w:r>
    </w:p>
    <w:p w14:paraId="422C0352" w14:textId="77777777" w:rsidR="003754FE" w:rsidRDefault="003754FE" w:rsidP="003754FE">
      <w:pPr>
        <w:pStyle w:val="TextoNormal"/>
      </w:pPr>
    </w:p>
    <w:p w14:paraId="3339E401" w14:textId="77777777" w:rsidR="003754FE" w:rsidRDefault="003754FE" w:rsidP="003754FE">
      <w:pPr>
        <w:pStyle w:val="TextoNormal"/>
      </w:pPr>
      <w:r>
        <w:t>a) Debe indicarse que todas las sentencias que resuelven los recursos de amparo relativas a las condenas por los denominados “ERE”, dan una respuesta estandarizada cuando se enfrentan a la vulneración del derecho a la legalidad penal (art. 25.1 CE) sea en su proyección a las condenas por prevaricación o por malversación y ello con independencia del contenido de las demandas e incluso prescindiendo de que tal derecho haya sido o no invocado. Existe una predeterminación argumental que margina el contenido de los recursos, se desvincula de los mismos, los orilla, procediendo incluso en relación con la vulneración del derecho a la legalidad penal proyectado sobre el delito de malversación de caudales públicos a una prohibida reconstrucción de la queja o directamente a dar respuesta a una queja inexistente.</w:t>
      </w:r>
    </w:p>
    <w:p w14:paraId="6B8AA39C" w14:textId="77777777" w:rsidR="003754FE" w:rsidRDefault="003754FE" w:rsidP="003754FE">
      <w:pPr>
        <w:pStyle w:val="TextoNormal"/>
      </w:pPr>
    </w:p>
    <w:p w14:paraId="55503BE5" w14:textId="77777777" w:rsidR="003754FE" w:rsidRDefault="003754FE" w:rsidP="003754FE">
      <w:pPr>
        <w:pStyle w:val="TextoNormal"/>
      </w:pPr>
      <w:r>
        <w:t xml:space="preserve">b) La doctrina plasmada en las sentencias produce el resultado de exonerar de responsabilidad a los miembros del Gobierno de la Junta de Andalucía en todo lo concerniente a la elaboración, aprobación y ejecución de los presupuestos y a las enmiendas presupuestarias o su ejecución. Los declara </w:t>
      </w:r>
      <w:r w:rsidRPr="003754FE">
        <w:rPr>
          <w:i/>
        </w:rPr>
        <w:t>de facto</w:t>
      </w:r>
      <w:r>
        <w:t xml:space="preserve"> irresponsables y extiende sobre ellos un privilegio de inviolabilidad e inmunidad.</w:t>
      </w:r>
    </w:p>
    <w:p w14:paraId="380337DF" w14:textId="77777777" w:rsidR="003754FE" w:rsidRDefault="003754FE" w:rsidP="003754FE">
      <w:pPr>
        <w:pStyle w:val="TextoNormal"/>
      </w:pPr>
    </w:p>
    <w:p w14:paraId="06A70028" w14:textId="77777777" w:rsidR="003754FE" w:rsidRDefault="003754FE" w:rsidP="003754FE">
      <w:pPr>
        <w:pStyle w:val="TextoNormal"/>
      </w:pPr>
      <w:r>
        <w:t xml:space="preserve">c) Tal doctrina es inasumible pues deja al margen de todo control aquello que tenga que ver con la actividad presupuestaria desde la fase inicial de elaboración de los presupuestos a la fase final de su ejecución y con ello se desprotege la indemnidad del patrimonio público, el correcto funcionamiento de la actividad patrimonial del Estado, la confianza de la sociedad en el manejo honesto de los fondos públicos y los deberes de fidelidad y transparencia que tienen los funcionarios públicos a cuyo cargo se encuentran los bienes de la administración pública. Dicha doctrina incumple las exigencias internacionales de lucha contra la corrupción política y cuando tenga proyección en la protección de los intereses financieros de la Unión Europea producirá un incumplimiento de las obligaciones de España, incompatible con lo dispuesto en el artículo 325.1 del Tratado de funcionamiento de la Unión Europea (TFUE), de luchar contra el fraude y contra toda actividad ilegal que afecte a los intereses financieros de la Unión, de prevenir y combatir la corrupción en general y de prever la </w:t>
      </w:r>
      <w:r>
        <w:lastRenderedPageBreak/>
        <w:t xml:space="preserve">aplicación de sanciones eficaces y disuasorias en caso de que tales infracciones se produzcan (SSTJUE de 21 de diciembre de 2021, </w:t>
      </w:r>
      <w:r w:rsidRPr="003754FE">
        <w:rPr>
          <w:i/>
        </w:rPr>
        <w:t>Euro Box Promotion</w:t>
      </w:r>
      <w:r>
        <w:t xml:space="preserve">, asunto C-357/19, § 184-187 y 193-194, y de 24 de julio de 2023, </w:t>
      </w:r>
      <w:r w:rsidRPr="003754FE">
        <w:rPr>
          <w:i/>
        </w:rPr>
        <w:t>Lin</w:t>
      </w:r>
      <w:r>
        <w:t xml:space="preserve">, asunto C- 107/23 PPU, § 83-84, 86, y 91-94, y auto de la Sala Sexta del Tribunal de Justicia de la Unión Europea, de 7 de noviembre de 2022, </w:t>
      </w:r>
      <w:r w:rsidRPr="003754FE">
        <w:rPr>
          <w:i/>
        </w:rPr>
        <w:t>FX y otros</w:t>
      </w:r>
      <w:r>
        <w:t>, asuntos acumulados C‑859/19, C‑926/19 y C‑929/19, § 92).</w:t>
      </w:r>
    </w:p>
    <w:p w14:paraId="3BECC231" w14:textId="77777777" w:rsidR="003754FE" w:rsidRDefault="003754FE" w:rsidP="003754FE">
      <w:pPr>
        <w:pStyle w:val="TextoNormal"/>
      </w:pPr>
    </w:p>
    <w:p w14:paraId="3CE911DB" w14:textId="77777777" w:rsidR="003754FE" w:rsidRDefault="003754FE" w:rsidP="003754FE">
      <w:pPr>
        <w:pStyle w:val="TextoNormal"/>
      </w:pPr>
      <w:r>
        <w:t>d) La impunidad que establece la sentencia se aplica: (i) a quienes elaboraron los proyectos de leyes o las modificaciones presupuestarias para provisionar fondos al IFA/IDEA mediante un instrumento lícito: las “transferencias de financiación”, con la finalidad de preparar el camino para que otros miembros del Gobierno pudieran destinar tales provisiones a fines no previstos en el presupuesto: las “ayudas sociolaborales”; (ii) a quienes al ejecutar el programa presupuestario en lugar de aplicar los fondos a gastos de explotación dispusieron de los mismos de modo libérrimo como si fueran propios o permitieron conscientemente, teniendo la obligación de impedirlo, que otros efectuaran tales disposiciones.</w:t>
      </w:r>
    </w:p>
    <w:p w14:paraId="54A67DFA" w14:textId="77777777" w:rsidR="003754FE" w:rsidRDefault="003754FE" w:rsidP="003754FE">
      <w:pPr>
        <w:pStyle w:val="TextoNormal"/>
      </w:pPr>
    </w:p>
    <w:p w14:paraId="00A87694" w14:textId="77777777" w:rsidR="003754FE" w:rsidRDefault="003754FE" w:rsidP="003754FE">
      <w:pPr>
        <w:pStyle w:val="TextoNormal"/>
      </w:pPr>
      <w:r>
        <w:t xml:space="preserve">e) En todos los casos esa irresponsabilidad e imposibilidad de control se apoya en una construcción artificiosa a modo de </w:t>
      </w:r>
      <w:r w:rsidRPr="003754FE">
        <w:rPr>
          <w:i/>
        </w:rPr>
        <w:t>mantra</w:t>
      </w:r>
      <w:r>
        <w:t xml:space="preserve"> jurídico que carece de sustento racional y de apoyo en la sentencia del Tribunal Supremo y que se repite en todas las sentencias como piedra angular para afirmar la vulneración del derecho a la legalidad penal: quien obra amparado por la ley de presupuestos no puede prevaricar ni puede malversar caudales públicos.</w:t>
      </w:r>
    </w:p>
    <w:p w14:paraId="112BA378" w14:textId="77777777" w:rsidR="003754FE" w:rsidRDefault="003754FE" w:rsidP="003754FE">
      <w:pPr>
        <w:pStyle w:val="TextoNormal"/>
      </w:pPr>
    </w:p>
    <w:p w14:paraId="0FEF7176" w14:textId="77777777" w:rsidR="003754FE" w:rsidRDefault="003754FE" w:rsidP="003754FE">
      <w:pPr>
        <w:pStyle w:val="TextoNormal"/>
      </w:pPr>
      <w:r>
        <w:t>Sin embargo, ninguno de los condenados estaba amparado por las sucesivas leyes de presupuestos para cometer los delitos. Las leyes no delinquieron, eran neutras en la previsión de transferencias de financiación para gastos de explotación. Quienes delinquieron fueron quienes previeron las trasferencias de financiación de modo innecesario con la idea de que otros tuvieran recursos para destinarlos a fines ajenos a los presupuestados. Así lo afirma el Tribunal Supremo cuando indica que la actuación de desvío de fondos no venía obligada por los presupuestos. O cuando refiere que “no puede afirmarse que [el Parlamento]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w:t>
      </w:r>
    </w:p>
    <w:p w14:paraId="0EC923E8" w14:textId="77777777" w:rsidR="003754FE" w:rsidRDefault="003754FE" w:rsidP="003754FE">
      <w:pPr>
        <w:pStyle w:val="TextoNormal"/>
      </w:pPr>
    </w:p>
    <w:p w14:paraId="0C385801" w14:textId="77777777" w:rsidR="003754FE" w:rsidRDefault="003754FE" w:rsidP="003754FE">
      <w:pPr>
        <w:pStyle w:val="TextoNormal"/>
      </w:pPr>
      <w:r>
        <w:t xml:space="preserve">f) Ese mismo </w:t>
      </w:r>
      <w:r w:rsidRPr="003754FE">
        <w:rPr>
          <w:i/>
        </w:rPr>
        <w:t>mantra</w:t>
      </w:r>
      <w:r>
        <w:t xml:space="preserve"> jurídico sirve de modo inconsistente para distinguir, a los efectos de resolver la vulneración del derecho a la legalidad penal, entre aquellas modificaciones presupuestarias o disposiciones de fondos según tuvieran o no amparo en el sistema de presupuestación del programa 31L. Como se ha indicado, el mencionado programa no determinaba que las trasferencias de financiación con que el mismo se dotaba pudieran destinarse a fines distintos a los de gastos de explotación.</w:t>
      </w:r>
    </w:p>
    <w:p w14:paraId="305CD59D" w14:textId="77777777" w:rsidR="003754FE" w:rsidRDefault="003754FE" w:rsidP="003754FE">
      <w:pPr>
        <w:pStyle w:val="TextoNormal"/>
      </w:pPr>
    </w:p>
    <w:p w14:paraId="5C40218D" w14:textId="77777777" w:rsidR="003754FE" w:rsidRDefault="003754FE" w:rsidP="003754FE">
      <w:pPr>
        <w:pStyle w:val="TextoNormal"/>
      </w:pPr>
      <w:r>
        <w:t xml:space="preserve">g) Finalmente, puede considerarse común a todas las sentencias que con el pretexto de enjuiciar la vulneración del derecho a la legalidad penal irrumpen en el ámbito reservado a la jurisdicción ordinaria y suplantan la función del Tribunal Supremo como máximo intérprete de la ley (art. 123 CE) erigiéndose de este modo el Tribunal Constitucional en Tribunal de Casación al interpretar el concepto de “resolución” y de “asunto administrativo”. Y, también es común a todas ellas, que con un entendimiento indebido del enjuiciamiento que le corresponde al Tribunal Constitucional en relación con el derecho a la presunción de </w:t>
      </w:r>
      <w:r>
        <w:lastRenderedPageBreak/>
        <w:t>inocencia, se apartan de la acrisolada doctrina de este tribunal y revisa, conforme a criterios de calidad o de oportunidad, la valoración probatoria de los tribunales ordinarios para reelaborarla previa selección sesgada del acervo probatorio, convirtiéndose de este modo en tribunal de apelación.</w:t>
      </w:r>
    </w:p>
    <w:p w14:paraId="6AFDE5D7" w14:textId="77777777" w:rsidR="003754FE" w:rsidRDefault="003754FE" w:rsidP="003754FE">
      <w:pPr>
        <w:pStyle w:val="TextoNormal"/>
      </w:pPr>
    </w:p>
    <w:p w14:paraId="660AEDBB" w14:textId="77777777" w:rsidR="003754FE" w:rsidRDefault="003754FE" w:rsidP="003754FE">
      <w:pPr>
        <w:pStyle w:val="TextoNormal"/>
      </w:pPr>
      <w:r>
        <w:t>h) Como consecuencia de todo ello, las sentencias ocasionan un daño institucional difícilmente reparable pues para anular las condenas recaídas en el asunto de corrupción más importante de la historia reciente de España rectifican por primera vez desde que el Tribunal Constitucional entró en funcionamiento el criterio del Tribunal Supremo en la interpretación de un elemento recogido en la descripción de la conducta típica y sustituyen la valoración probatoria efectuada por los órganos judiciales y dejan al margen de todo control el proceso de elaboración, modificación y ejecución presupuestaria.</w:t>
      </w:r>
    </w:p>
    <w:p w14:paraId="0E45A31C" w14:textId="77777777" w:rsidR="003754FE" w:rsidRDefault="003754FE" w:rsidP="003754FE">
      <w:pPr>
        <w:pStyle w:val="TextoNormal"/>
      </w:pPr>
    </w:p>
    <w:p w14:paraId="727D601C" w14:textId="77777777" w:rsidR="003754FE" w:rsidRDefault="003754FE" w:rsidP="003754FE">
      <w:pPr>
        <w:pStyle w:val="TextoNormal"/>
      </w:pPr>
      <w:r>
        <w:t xml:space="preserve">2. </w:t>
      </w:r>
      <w:r w:rsidRPr="003754FE">
        <w:rPr>
          <w:i/>
        </w:rPr>
        <w:t>Concretas razones de la discrepancia respecto de la sentencia que resuelve el recurso de amparo núm. 2360-2023 interpuesto por don Francisco Vallejo Serrano</w:t>
      </w:r>
    </w:p>
    <w:p w14:paraId="111F89BF" w14:textId="77777777" w:rsidR="003754FE" w:rsidRDefault="003754FE" w:rsidP="003754FE">
      <w:pPr>
        <w:pStyle w:val="TextoNormal"/>
      </w:pPr>
    </w:p>
    <w:p w14:paraId="4B0AEC4C" w14:textId="77777777" w:rsidR="003754FE" w:rsidRDefault="003754FE" w:rsidP="003754FE">
      <w:pPr>
        <w:pStyle w:val="TextoNormal"/>
      </w:pPr>
      <w:r>
        <w:t>Frente a los argumentos por los que las sentencias estiman las demandas de amparo sea por vulneración del derecho a la legalidad penal y/o del derecho a la presunción de inocencia hemos formulado votos particulares (recursos de amparo núm. 6971-2022, 2136-2023 y 2348-2023) a los que debemos remitirnos atendida la identidad argumental que presenta esta sentencia con las tres referidas. No renunciamos con ello a exponer sintéticamente los motivos de nuestro absoluto desencuentro con la sentencia que resuelve el recurso de amparo ya expresado de modo más extenso en los referidos votos particulares.</w:t>
      </w:r>
    </w:p>
    <w:p w14:paraId="1CFFF47C" w14:textId="77777777" w:rsidR="003754FE" w:rsidRDefault="003754FE" w:rsidP="003754FE">
      <w:pPr>
        <w:pStyle w:val="TextoNormal"/>
      </w:pPr>
    </w:p>
    <w:p w14:paraId="3E8BEA38" w14:textId="77777777" w:rsidR="003754FE" w:rsidRDefault="003754FE" w:rsidP="003754FE">
      <w:pPr>
        <w:pStyle w:val="TextoNormal"/>
      </w:pPr>
      <w:r>
        <w:t>A) En relación con las condenas anuladas por delito de prevaricación</w:t>
      </w:r>
    </w:p>
    <w:p w14:paraId="149993E6" w14:textId="77777777" w:rsidR="003754FE" w:rsidRDefault="003754FE" w:rsidP="003754FE">
      <w:pPr>
        <w:pStyle w:val="TextoNormal"/>
      </w:pPr>
    </w:p>
    <w:p w14:paraId="15052131" w14:textId="77777777" w:rsidR="003754FE" w:rsidRDefault="003754FE" w:rsidP="003754FE">
      <w:pPr>
        <w:pStyle w:val="TextoNormal"/>
      </w:pPr>
      <w:r>
        <w:t>a) En primer lugar, debemos afirmar nuevamente que la sentencia supera los límites de la jurisdicción constitucional, al irrumpir en el ámbito reservado a la jurisdicción ordinaria y suplantar la función del Tribunal Supremo como máximo intérprete de la ley (art. 123 CE), y que como consecuencia de ello ocasiona un daño institucional difícilmente reparable, al anular las sentencias dictadas en el asunto de corrupción más importante de la historia reciente de España y rectificar por primera vez desde que el Tribunal Constitucional entró en funcionamiento el criterio del Tribunal Supremo en la interpretación de un elemento recogido en la descripción de la conducta típica del delito de prevaricación administrativa: “resolución” en “asunto administrativo” (art. 404 CP).</w:t>
      </w:r>
    </w:p>
    <w:p w14:paraId="5487DBE9" w14:textId="77777777" w:rsidR="003754FE" w:rsidRDefault="003754FE" w:rsidP="003754FE">
      <w:pPr>
        <w:pStyle w:val="TextoNormal"/>
      </w:pPr>
    </w:p>
    <w:p w14:paraId="02A80EC2" w14:textId="77777777" w:rsidR="003754FE" w:rsidRDefault="003754FE" w:rsidP="003754FE">
      <w:pPr>
        <w:pStyle w:val="TextoNormal"/>
      </w:pPr>
      <w:r>
        <w:t>b) Resulta llamativo que sea en el caso de corrupción política institucionalizada más grave —tanto por el número de altos responsables políticos condenados, el importe de afectación al erario público así como su duración temporal—, cuando el Tribunal Constitucional rectifique por primera vez desde que inició su andadura al Tribunal Supremo en la interpretación de un elemento recogido en la descripción de la conducta típica de un delito y desconozca la posición constitucional del Tribunal Supremo como órgano jurisdiccional superior en todos los órdenes y máxima autoridad jurisdiccional en la función de interpretar y aplicar la legislación vigente (arts. 117.3 y 123.1 CE).</w:t>
      </w:r>
    </w:p>
    <w:p w14:paraId="47CAE6F8" w14:textId="77777777" w:rsidR="003754FE" w:rsidRDefault="003754FE" w:rsidP="003754FE">
      <w:pPr>
        <w:pStyle w:val="TextoNormal"/>
      </w:pPr>
    </w:p>
    <w:p w14:paraId="57F3B16B" w14:textId="77777777" w:rsidR="003754FE" w:rsidRDefault="003754FE" w:rsidP="003754FE">
      <w:pPr>
        <w:pStyle w:val="TextoNormal"/>
      </w:pPr>
      <w:r>
        <w:t xml:space="preserve">c) La sentencia determina la impunidad de los miembros del Gobierno de la Junta de Andalucía. Los declara </w:t>
      </w:r>
      <w:r w:rsidRPr="003754FE">
        <w:rPr>
          <w:i/>
        </w:rPr>
        <w:t>de facto</w:t>
      </w:r>
      <w:r>
        <w:t xml:space="preserve"> irresponsables, extiende sobre ellos el privilegio de inviolabilidad e inmunidad en lo que a la elaboración y aprobación de proyectos, anteproyectos </w:t>
      </w:r>
      <w:r>
        <w:lastRenderedPageBreak/>
        <w:t>de ley o enmiendas presupuestarias se refiere, aun cuando su propósito acreditado en la sentencia condenatoria, era prever dotaciones presupuestarias ingentes para que otros miembros del Gobierno pudieran malversarlas. Dicha declaración de irresponsabilidad penal desconoce el deber constitucional de interpretación estricta y finalista del privilegio de la inviolabilidad y de la inmunidad —al que no se refiere— y consiguientemente ignora su inviable proyección en términos constitucionales a los miembros del Gobierno por no existir previsión constitucional en tal sentido (STC 9/1990, de 18 de enero, FJ 4).</w:t>
      </w:r>
    </w:p>
    <w:p w14:paraId="48B32292" w14:textId="77777777" w:rsidR="003754FE" w:rsidRDefault="003754FE" w:rsidP="003754FE">
      <w:pPr>
        <w:pStyle w:val="TextoNormal"/>
      </w:pPr>
    </w:p>
    <w:p w14:paraId="61DD200A" w14:textId="77777777" w:rsidR="003754FE" w:rsidRDefault="003754FE" w:rsidP="003754FE">
      <w:pPr>
        <w:pStyle w:val="TextoNormal"/>
      </w:pPr>
      <w:r>
        <w:t>En un Estado de Derecho pretender situar a los miembros del Gobierno, en cualquier ámbito, por encima de la ley, como resulta de la doctrina apuntalada en la sentencia de la que discrepamos, ni está justificado (art. 9.1 y 3 CE) —como acertadamente afirma la STS 749/2022— ni podría estarlo so derrumbe del propio Estado de Derecho.</w:t>
      </w:r>
    </w:p>
    <w:p w14:paraId="0B39010F" w14:textId="77777777" w:rsidR="003754FE" w:rsidRDefault="003754FE" w:rsidP="003754FE">
      <w:pPr>
        <w:pStyle w:val="TextoNormal"/>
      </w:pPr>
    </w:p>
    <w:p w14:paraId="5F6BBF65" w14:textId="77777777" w:rsidR="003754FE" w:rsidRDefault="003754FE" w:rsidP="003754FE">
      <w:pPr>
        <w:pStyle w:val="TextoNormal"/>
      </w:pPr>
      <w:r>
        <w:t xml:space="preserve">d) Dicha doctrina produce un riesgo sistémico de impunidad de aquellas estrategias presupuestarias, sean proyectos o anteproyectos de ley o modificaciones presupuestarias que, plasmadas en </w:t>
      </w:r>
      <w:r w:rsidRPr="003754FE">
        <w:rPr>
          <w:i/>
        </w:rPr>
        <w:t>resoluciones administrativas</w:t>
      </w:r>
      <w:r>
        <w:t>, son diseñadas con ánimo de preparar un escenario de defraudación de fondos públicos. De modo que cuando tenga su proyección en la protección de intereses financieros de la Unión Europea producirá un incumplimiento de las obligaciones de España con la Unión Europea incompatible con lo dispuesto en el artículo 325.1 TFUE.</w:t>
      </w:r>
    </w:p>
    <w:p w14:paraId="1507ADCE" w14:textId="77777777" w:rsidR="003754FE" w:rsidRDefault="003754FE" w:rsidP="003754FE">
      <w:pPr>
        <w:pStyle w:val="TextoNormal"/>
      </w:pPr>
    </w:p>
    <w:p w14:paraId="7A5CE669" w14:textId="77777777" w:rsidR="003754FE" w:rsidRDefault="003754FE" w:rsidP="003754FE">
      <w:pPr>
        <w:pStyle w:val="TextoNormal"/>
      </w:pPr>
      <w:r>
        <w:t xml:space="preserve">Este precepto obliga por un lado a luchar contra el fraude y contra toda actividad ilegal que afecte a los intereses financieros de la Unión y por otro a prevenir y combatir la corrupción en general y prever la aplicación de sanciones eficaces y disuasorias en caso de que tales infracciones se produzcan (SSTJUE </w:t>
      </w:r>
      <w:r w:rsidRPr="003754FE">
        <w:rPr>
          <w:i/>
        </w:rPr>
        <w:t>Euro Box Promotion</w:t>
      </w:r>
      <w:r>
        <w:t xml:space="preserve">, asunto C-357/19, § 184-187 y 193-194, y </w:t>
      </w:r>
      <w:r w:rsidRPr="003754FE">
        <w:rPr>
          <w:i/>
        </w:rPr>
        <w:t>Lin</w:t>
      </w:r>
      <w:r>
        <w:t>, asunto C-107/23 PPU, § 83-84, 86, y 91-94, y auto de 7 de noviembre de 2022, de la Sala Sexta del Tribunal de Justicia de la Unión Europea, asuntos acumulados C‑859/19, C‑926/19 y C‑929/19, § 92).</w:t>
      </w:r>
    </w:p>
    <w:p w14:paraId="783D0C03" w14:textId="77777777" w:rsidR="003754FE" w:rsidRDefault="003754FE" w:rsidP="003754FE">
      <w:pPr>
        <w:pStyle w:val="TextoNormal"/>
      </w:pPr>
    </w:p>
    <w:p w14:paraId="1B8EC5AC" w14:textId="77777777" w:rsidR="003754FE" w:rsidRDefault="003754FE" w:rsidP="003754FE">
      <w:pPr>
        <w:pStyle w:val="TextoNormal"/>
      </w:pPr>
      <w:r>
        <w:t>e) Esta sentencia —mediante su remisión a la STC 93/2024, que resuelve el recurso de amparo núm. 6971-2022, interpuesto por doña Magdalena Álvarez Arza— insiste en la creación de un novedoso parámetro de control del proceso de subsunción penal efectuado por los jueces y tribunales: “la perspectiva constitucional”, si bien en esta sentencia no se cita expresamente con ese término se aplica del mismo modo, y lo proyecta a los conceptos penales “resoluciones” y “asuntos administrativos”. Sin ambages, con la cobertura de lo que se acuña como “perspectiva constitucional”, se erige por primera vez desde que el Tribunal Constitucional ejerce su cometido constitucional, en máximo intérprete de la legalidad penal y suplanta también por vez primera desde que ejerce su jurisdicción, la función de interpretación de la Sala de lo Penal del Tribunal Supremo acerca de los elementos que integran la parte objetiva del tipo de injusto del delito, socavando la jurisdicción del Tribunal Supremo como órgano jurisdiccional superior en todos los órdenes y máxima autoridad jurisdiccional en la función de interpretar y aplicar la legislación vigente (arts. 117.3 y 123.1 CE).</w:t>
      </w:r>
    </w:p>
    <w:p w14:paraId="3454E969" w14:textId="77777777" w:rsidR="003754FE" w:rsidRDefault="003754FE" w:rsidP="003754FE">
      <w:pPr>
        <w:pStyle w:val="TextoNormal"/>
      </w:pPr>
    </w:p>
    <w:p w14:paraId="56522E3A" w14:textId="77777777" w:rsidR="003754FE" w:rsidRDefault="003754FE" w:rsidP="003754FE">
      <w:pPr>
        <w:pStyle w:val="TextoNormal"/>
      </w:pPr>
      <w:r>
        <w:t xml:space="preserve">f) El radical viraje en la doctrina del Tribunal Constitucional que representa esta sentencia se evidencia con la lectura, entre otras, de la STC 229/2003, de 18 de diciembre, FJ 16, en la que este tribunal abordó, desde la perspectiva del principio de legalidad penal, la condena no a un político, sino a un magistrado, y no por delito de prevaricación administrativa, sino por prevaricación judicial y a cuyo contenido nos hemos referido en el voto particular </w:t>
      </w:r>
      <w:r>
        <w:lastRenderedPageBreak/>
        <w:t>a la STC 93/2024 que resuelve el recurso de amparo núm. 6971-2022 y que no vamos a reproducir ahora.</w:t>
      </w:r>
    </w:p>
    <w:p w14:paraId="6959D80C" w14:textId="77777777" w:rsidR="003754FE" w:rsidRDefault="003754FE" w:rsidP="003754FE">
      <w:pPr>
        <w:pStyle w:val="TextoNormal"/>
      </w:pPr>
    </w:p>
    <w:p w14:paraId="15E6CA15" w14:textId="77777777" w:rsidR="003754FE" w:rsidRDefault="003754FE" w:rsidP="003754FE">
      <w:pPr>
        <w:pStyle w:val="TextoNormal"/>
      </w:pPr>
      <w:r>
        <w:t>A dicho voto debemos remitirnos para dejar constancia del exhaustivo y pormenorizado razonamiento de la Sala de lo Penal del Tribunal Supremo que merece el calificativo de impecable. No puede compartirse que la comunidad jurídica, a la que la sentencia de la que discrepamos apela, vaya a cuestionar los criterios metodológicos y axiológicos o los modelos interpretativos que utiliza la sentencia de Tribunal Supremo. ¿Acaso alguien puede pensar que el recurrente podía considerar imprevisible o extravagante que pudiera ser condenado cuanto menos por un delito de prevaricación administrativa (dictar una resolución arbitraria en un asunto administrativo a sabiendas de su injusticia) cuando aprobó y sometió a aprobación del Gobierno y posteriormente, con el resto de los miembros del Gobierno, a aprobación parlamentaria los anteproyectos y proyectos de presupuestos y participó en la aprobación de las modificaciones presupuestarias con la exclusiva intención probada de dotar de ingentes e injustificadas cantidades en concepto de trasferencias de financiación al IFA a sabiendas y con la intención de que otros condenados pudieran desviar tales fondos del destino previsto presupuestariamente y disponer ilícita y libérrimamente en concepto de “ayudas sociolaborales” facilitando así evitar los controles establecidos en la ley para la concesión de subvenciones?</w:t>
      </w:r>
    </w:p>
    <w:p w14:paraId="152B8ED0" w14:textId="77777777" w:rsidR="003754FE" w:rsidRDefault="003754FE" w:rsidP="003754FE">
      <w:pPr>
        <w:pStyle w:val="TextoNormal"/>
      </w:pPr>
    </w:p>
    <w:p w14:paraId="5C9B3B1A" w14:textId="77777777" w:rsidR="003754FE" w:rsidRDefault="003754FE" w:rsidP="003754FE">
      <w:pPr>
        <w:pStyle w:val="TextoNormal"/>
      </w:pPr>
      <w:r>
        <w:t xml:space="preserve">g) Puede afirmarse con rotundidad que el Tribunal Constitucional ha sustituido al Tribunal Supremo y se ha erigido en tercera instancia, en máximo intérprete del concepto legal “resolución” que contiene el art. 404 CP, para considerar de forma apodíctica que las resoluciones que carecen del carácter de definitivas o que no producen efectos </w:t>
      </w:r>
      <w:r w:rsidRPr="003754FE">
        <w:rPr>
          <w:i/>
        </w:rPr>
        <w:t>ad extra</w:t>
      </w:r>
      <w:r>
        <w:t xml:space="preserve"> no integran el tipo penal. De este modo efectúa la interpretación última del tipo sancionador que desplaza la jurisprudencia del Tribunal Supremo y la propia interpretación de la naturaleza del delito y de los fines que lo justifican. La sentencia no ha dudado para ello en silenciar la jurisprudencia del propio Tribunal Supremo plasmada en la completa argumentación de la sentencia impugnada.</w:t>
      </w:r>
    </w:p>
    <w:p w14:paraId="42AF6FEA" w14:textId="77777777" w:rsidR="003754FE" w:rsidRDefault="003754FE" w:rsidP="003754FE">
      <w:pPr>
        <w:pStyle w:val="TextoNormal"/>
      </w:pPr>
    </w:p>
    <w:p w14:paraId="3DEEE743" w14:textId="77777777" w:rsidR="003754FE" w:rsidRDefault="003754FE" w:rsidP="003754FE">
      <w:pPr>
        <w:pStyle w:val="TextoNormal"/>
      </w:pPr>
      <w:r>
        <w:t>h) Como se expuso también en el voto particular a la STC 93/2024, recurso de amparo núm. 6971-2022, el argumento por el que la sentencia entiende que la STS 749/2022 no tomó en consideración que las leyes de presupuestos fueron aprobadas por el Parlamento y con ello desconocieron la centralidad del mismo en el Estado de Derecho es irrazonable. Con dicho argumento la sentencia somete la responsabilidad penal por el delito consumado de prevaricación administrativa —pues ya ha lesionado el bien jurídico que protege— a condición resolutoria —la aprobación o no de la ley— por lo que introduce un factor de incertidumbre e imprevisibilidad contrario a la certeza en la que se asienta el principio de legalidad penal que dice aplicar.</w:t>
      </w:r>
    </w:p>
    <w:p w14:paraId="2F66EB66" w14:textId="77777777" w:rsidR="003754FE" w:rsidRDefault="003754FE" w:rsidP="003754FE">
      <w:pPr>
        <w:pStyle w:val="TextoNormal"/>
      </w:pPr>
    </w:p>
    <w:p w14:paraId="5047B767" w14:textId="77777777" w:rsidR="003754FE" w:rsidRDefault="003754FE" w:rsidP="003754FE">
      <w:pPr>
        <w:pStyle w:val="TextoNormal"/>
      </w:pPr>
      <w:r>
        <w:t xml:space="preserve">i) También manifestamos en el indicado voto particular que era incomprensible descartar que los proyectos y anteproyectos de leyes fueran resoluciones dictadas en asunto administrativo con el argumento de que la función de iniciativa legislativa del Gobierno no es controlable por ningún órgano judicial, pues suponía personificar o encarnar al Gobierno de la Junta de Andalucía en la figura de un consejero. Ni un consejero, ni un ministro, tienen atribuida la función de iniciativa legislativa, ni la función de dirección política que le corresponde al Gobierno como órgano colegiado. El argumento empleado desconoce el coherente razonamiento del Tribunal Supremo. No se enfrenta al mismo. La sentencia del </w:t>
      </w:r>
      <w:r>
        <w:lastRenderedPageBreak/>
        <w:t>Tribunal Supremo recuerda que el momento inicial del proceso legislativo es la recepción del proyecto de ley por el Parlamento (art. 108 de su Reglamento) y olvida que no se atribuye la iniciativa legislativa a los consejeros y viceconsejeros sino “1. Al Consejo de Gobierno” (art. 108 del Reglamento).</w:t>
      </w:r>
    </w:p>
    <w:p w14:paraId="2BB69CFA" w14:textId="77777777" w:rsidR="003754FE" w:rsidRDefault="003754FE" w:rsidP="003754FE">
      <w:pPr>
        <w:pStyle w:val="TextoNormal"/>
      </w:pPr>
    </w:p>
    <w:p w14:paraId="49B541B3" w14:textId="77777777" w:rsidR="003754FE" w:rsidRDefault="003754FE" w:rsidP="003754FE">
      <w:pPr>
        <w:pStyle w:val="TextoNormal"/>
      </w:pPr>
      <w:r>
        <w:t>j) Finalmente, en relación con la exoneración al recurrente por las condenas referentes al delito de prevaricación, insistimos en nuestra inquietud y preocupación por que en un procedimiento penal de tanta relevancia perezca uno de los principios vertebradores del Estatuto Orgánico del Ministerio Fiscal: su “unidad de actuación” (art. 2.1 del citado Estatuto), pues el Ministerio Fiscal ahora refuta como contraria al principio de legalidad penal (art. 25.1 CE) la condena por delito de prevaricación administrativa por la participación del recurrente en la aprobación de los anteproyectos de presupuestos o en las modificaciones presupuestarias pese a que otros fiscales previamente habían formulado acusación por tales delitos y solicitado al Tribunal Supremo que confirmara dichas condenas por no vulnerar el derecho de legalidad del recurrente.</w:t>
      </w:r>
    </w:p>
    <w:p w14:paraId="0A1F2A53" w14:textId="77777777" w:rsidR="003754FE" w:rsidRDefault="003754FE" w:rsidP="003754FE">
      <w:pPr>
        <w:pStyle w:val="TextoNormal"/>
      </w:pPr>
    </w:p>
    <w:p w14:paraId="7C066CE0" w14:textId="77777777" w:rsidR="003754FE" w:rsidRDefault="003754FE" w:rsidP="003754FE">
      <w:pPr>
        <w:pStyle w:val="TextoNormal"/>
      </w:pPr>
      <w:r>
        <w:t xml:space="preserve">Dicha preocupación se agudiza al leer el escrito de alegaciones del Ministerio Fiscal. En el mismo, es el propio fiscal que formula las alegaciones, el que alude a dicho principio constitucional, si bien para expresar su unidad de respuesta, pero solo respecto al criterio mantenido en las alegaciones formuladas en relación con las otras demandas de amparo presentadas por los </w:t>
      </w:r>
      <w:r w:rsidRPr="003754FE">
        <w:rPr>
          <w:i/>
        </w:rPr>
        <w:t>otros consejeros de la Junta de Andalucía</w:t>
      </w:r>
      <w:r>
        <w:t xml:space="preserve"> (pág. 78 de sus alegaciones), pero no en relación con el previamente sostenido por los fiscales que formularon la acusación y solicitaron en el recurso de casación que se mantuvieran tales condenas de prevaricación al entender, entonces, que no se vulneraba el derecho de legalidad penal.</w:t>
      </w:r>
    </w:p>
    <w:p w14:paraId="175A7884" w14:textId="77777777" w:rsidR="003754FE" w:rsidRDefault="003754FE" w:rsidP="003754FE">
      <w:pPr>
        <w:pStyle w:val="TextoNormal"/>
      </w:pPr>
    </w:p>
    <w:p w14:paraId="71C64961" w14:textId="77777777" w:rsidR="003754FE" w:rsidRDefault="003754FE" w:rsidP="003754FE">
      <w:pPr>
        <w:pStyle w:val="TextoNormal"/>
      </w:pPr>
      <w:r>
        <w:t xml:space="preserve">B) </w:t>
      </w:r>
      <w:r w:rsidRPr="003754FE">
        <w:rPr>
          <w:i/>
        </w:rPr>
        <w:t>Condenas anuladas por el delito continuado de malversación de caudales públicos</w:t>
      </w:r>
    </w:p>
    <w:p w14:paraId="37FACE64" w14:textId="77777777" w:rsidR="003754FE" w:rsidRDefault="003754FE" w:rsidP="003754FE">
      <w:pPr>
        <w:pStyle w:val="TextoNormal"/>
      </w:pPr>
    </w:p>
    <w:p w14:paraId="27EF9B6D" w14:textId="77777777" w:rsidR="003754FE" w:rsidRDefault="003754FE" w:rsidP="003754FE">
      <w:pPr>
        <w:pStyle w:val="TextoNormal"/>
      </w:pPr>
      <w:r>
        <w:t xml:space="preserve">1. </w:t>
      </w:r>
      <w:r w:rsidRPr="003754FE">
        <w:rPr>
          <w:i/>
        </w:rPr>
        <w:t>Principio de legalidad (fundamento jurídico 6). La sentencia de la que discrepamos tergiversa el contenido del motivo sexto de la demanda de amparo y la alegación del Ministerio Fiscal</w:t>
      </w:r>
    </w:p>
    <w:p w14:paraId="2ED9E504" w14:textId="77777777" w:rsidR="003754FE" w:rsidRDefault="003754FE" w:rsidP="003754FE">
      <w:pPr>
        <w:pStyle w:val="TextoNormal"/>
      </w:pPr>
    </w:p>
    <w:p w14:paraId="014BDA24" w14:textId="77777777" w:rsidR="003754FE" w:rsidRDefault="003754FE" w:rsidP="003754FE">
      <w:pPr>
        <w:pStyle w:val="TextoNormal"/>
      </w:pPr>
      <w:r>
        <w:t>a) Se constata nuevamente que la sentencia al abordar el motivo sexto del recurso de amparo altera su contenido para reconducirlo al principio de legalidad penal y de este modo conceder el amparo y exonerar de responsabilidad penal por buena parte de los delitos de malversación de caudales públicos al que fuera consejero de la Junta de Andalucía. Nada tiene que ver lo que don Francisco Vallejo Serrano alega en el motivo sexto de su demanda (págs. 68 a 82) con lo que la sentencia que resuelve el recurso dice que alega en el primer párrafo del fundamento jurídico 6.1.</w:t>
      </w:r>
    </w:p>
    <w:p w14:paraId="488340C0" w14:textId="77777777" w:rsidR="003754FE" w:rsidRDefault="003754FE" w:rsidP="003754FE">
      <w:pPr>
        <w:pStyle w:val="TextoNormal"/>
      </w:pPr>
    </w:p>
    <w:p w14:paraId="3CB78519" w14:textId="77777777" w:rsidR="003754FE" w:rsidRDefault="003754FE" w:rsidP="003754FE">
      <w:pPr>
        <w:pStyle w:val="TextoNormal"/>
      </w:pPr>
      <w:r>
        <w:t>b) Sorprende que modifique las alegaciones del Ministerio Fiscal para que se ajusten al nuevo motivo sexto de la demanda de amparo construido en la sentencia. Ni el demandante ni el Ministerio Fiscal dicen lo que la sentencia indica que dicen en relación con el motivo sexto de la demanda.</w:t>
      </w:r>
    </w:p>
    <w:p w14:paraId="4844149C" w14:textId="77777777" w:rsidR="003754FE" w:rsidRDefault="003754FE" w:rsidP="003754FE">
      <w:pPr>
        <w:pStyle w:val="TextoNormal"/>
      </w:pPr>
    </w:p>
    <w:p w14:paraId="237E23BA" w14:textId="77777777" w:rsidR="003754FE" w:rsidRDefault="003754FE" w:rsidP="003754FE">
      <w:pPr>
        <w:pStyle w:val="TextoNormal"/>
      </w:pPr>
      <w:r>
        <w:t xml:space="preserve">c) El motivo sexto de la demanda de amparo realmente se aborda en el fundamento jurídico 7 de la sentencia del Tribunal Constitucional bajo el prisma del derecho a la presunción de inocencia. No se formula queja subsumible en el principio de legalidad penal en el motivo sexto de la demanda. La propia sentencia lo reconoce cuando aborda el motivo sexto en su </w:t>
      </w:r>
      <w:r>
        <w:lastRenderedPageBreak/>
        <w:t>fundamento jurídico 7 como vulneración del derecho a la presunción de inocencia. La sentencia de la que discrepamos añade a la demanda, la vulneración del principio de legalidad penal en relación con la malversación de caudales públicos lo que es absolutamente incomprensible. De este modo el recurso de amparo pasa a tener siete motivos y no seis.</w:t>
      </w:r>
    </w:p>
    <w:p w14:paraId="1A67558F" w14:textId="77777777" w:rsidR="003754FE" w:rsidRDefault="003754FE" w:rsidP="003754FE">
      <w:pPr>
        <w:pStyle w:val="TextoNormal"/>
      </w:pPr>
    </w:p>
    <w:p w14:paraId="78F26E41" w14:textId="77777777" w:rsidR="003754FE" w:rsidRDefault="003754FE" w:rsidP="003754FE">
      <w:pPr>
        <w:pStyle w:val="TextoNormal"/>
      </w:pPr>
      <w:r>
        <w:t>Lo examinamos a continuación:</w:t>
      </w:r>
    </w:p>
    <w:p w14:paraId="572D7D89" w14:textId="77777777" w:rsidR="003754FE" w:rsidRDefault="003754FE" w:rsidP="003754FE">
      <w:pPr>
        <w:pStyle w:val="TextoNormal"/>
      </w:pPr>
    </w:p>
    <w:p w14:paraId="01912B99" w14:textId="77777777" w:rsidR="003754FE" w:rsidRDefault="003754FE" w:rsidP="003754FE">
      <w:pPr>
        <w:pStyle w:val="TextoNormal"/>
      </w:pPr>
      <w:r>
        <w:t xml:space="preserve">1.1. </w:t>
      </w:r>
      <w:r w:rsidRPr="003754FE">
        <w:rPr>
          <w:i/>
        </w:rPr>
        <w:t>Contraste entre el contenido de la demanda y el que le atribuye la sentencia, de la que resuelve el recurso de amparo en el fundamento jurídico 6.1:</w:t>
      </w:r>
      <w:r>
        <w:t xml:space="preserve"> </w:t>
      </w:r>
    </w:p>
    <w:p w14:paraId="3FDF3742" w14:textId="77777777" w:rsidR="003754FE" w:rsidRDefault="003754FE" w:rsidP="003754FE">
      <w:pPr>
        <w:pStyle w:val="TextoNormal"/>
      </w:pPr>
    </w:p>
    <w:p w14:paraId="4C37A8A9" w14:textId="77777777" w:rsidR="003754FE" w:rsidRDefault="003754FE" w:rsidP="003754FE">
      <w:pPr>
        <w:pStyle w:val="TextoNormal"/>
      </w:pPr>
      <w:r>
        <w:t>(i) Síntesis del contenido real del motivo sexto de la demanda de amparo:</w:t>
      </w:r>
    </w:p>
    <w:p w14:paraId="68715B12" w14:textId="77777777" w:rsidR="003754FE" w:rsidRDefault="003754FE" w:rsidP="003754FE">
      <w:pPr>
        <w:pStyle w:val="TextoNormal"/>
      </w:pPr>
    </w:p>
    <w:p w14:paraId="44E1DF39" w14:textId="77777777" w:rsidR="003754FE" w:rsidRDefault="003754FE" w:rsidP="003754FE">
      <w:pPr>
        <w:pStyle w:val="TextoNormal"/>
      </w:pPr>
      <w:r>
        <w:t>El demandante intitula el referido motivo del siguiente modo: “Motivo sexto: Vulneración del derecho a la tutela judicial efectiva (arts. 24.1 CE y 6 CEDH), a un proceso público con todas las garantías incluyendo la presunción de inocencia (arts. 24.2 CE y 6 CEDH) y vulneración del principio de legalidad penal (arts. 25 CE y 7 CEDH). Negativa manifiesta del deber de acatamiento de la doctrina del Tribunal Constitucional en materia de condena por prueba indiciaria”.</w:t>
      </w:r>
    </w:p>
    <w:p w14:paraId="57C2ABA2" w14:textId="77777777" w:rsidR="003754FE" w:rsidRDefault="003754FE" w:rsidP="003754FE">
      <w:pPr>
        <w:pStyle w:val="TextoNormal"/>
      </w:pPr>
    </w:p>
    <w:p w14:paraId="2827AD02" w14:textId="77777777" w:rsidR="003754FE" w:rsidRDefault="003754FE" w:rsidP="003754FE">
      <w:pPr>
        <w:pStyle w:val="TextoNormal"/>
      </w:pPr>
      <w:r>
        <w:t>En su desarrollo cuestiona la autoría en la malversación en tanto que no existe prueba directa ni indiciaria. Indica que la sentencia de la Audiencia Provincial parte de una actuación coral de los acusados. Los hechos y la participación en los mismos no se encuentran individualizados sino genéricamente expuestos y concatenados unos con otros. Sin embargo, afirma que la Sala de lo Penal del Tribunal Supremo considera que son autores independientes cada uno de los condenados, por lo que innova respecto de la sentencia de instancia.</w:t>
      </w:r>
    </w:p>
    <w:p w14:paraId="459004D1" w14:textId="77777777" w:rsidR="003754FE" w:rsidRDefault="003754FE" w:rsidP="003754FE">
      <w:pPr>
        <w:pStyle w:val="TextoNormal"/>
      </w:pPr>
    </w:p>
    <w:p w14:paraId="4EF913A3" w14:textId="77777777" w:rsidR="003754FE" w:rsidRDefault="003754FE" w:rsidP="003754FE">
      <w:pPr>
        <w:pStyle w:val="TextoNormal"/>
      </w:pPr>
      <w:r>
        <w:t>Sostiene que existe una indeterminación de los hechos constitutivos de la malversación cometida en comisión por omisión, inexistencia de la posición de garante y de su prueba indiciara. Se queja el recurrente de que la sentencia de instancia no diferencia claramente los hechos constitutivos del delito de prevaricación de los hechos constitutivos del delito de malversación de caudales públicos. Afirma que la sentencia de casación no da respuesta a las censuras casacionales y deja sin determinar ni identificar qué concretos hechos, distintos de los prevaricadores, serían los constitutivos del delito de malversación. Concluye que la sentencia de la Audiencia Provincial de Sevilla no motivó la conducta de comisión por omisión, no motivó ni justificó en modo alguno la preceptiva posición de “garante”.</w:t>
      </w:r>
    </w:p>
    <w:p w14:paraId="116A2462" w14:textId="77777777" w:rsidR="003754FE" w:rsidRDefault="003754FE" w:rsidP="003754FE">
      <w:pPr>
        <w:pStyle w:val="TextoNormal"/>
      </w:pPr>
    </w:p>
    <w:p w14:paraId="11E25CB6" w14:textId="77777777" w:rsidR="003754FE" w:rsidRDefault="003754FE" w:rsidP="003754FE">
      <w:pPr>
        <w:pStyle w:val="TextoNormal"/>
      </w:pPr>
      <w:r>
        <w:t>Entiende que existe una indeterminación e irrazonabilidad de la prueba indiciaria del elemento subjetivo del delito de malversación. Se alega que la sentencia de instancia no describe el proceso racional que le lleva a considerar que existe ese dolo eventual, ni contiene los indicios en los que se apoya, ni los distingue de los indicios que constituyen el elemento subjetivo del delito de prevaricación. Crítica que extiende a la sentencia de casación ya que considera que se omite el análisis sistemático y ordenado de la parte subjetiva del tipo. De este modo, la sentencia de casación, sencillamente, obvia tratar el elemento subjetivo del delito de malversación. Dicho argumento, lo apoya, igualmente, en el voto particular emitido en la sentencia de casación. Con cita del voto particular, se dice que la sentencia de casación rebasa el techo de la convicción probatoria que fija la sentencia de instancia y que es intangible para la Sala de casación.</w:t>
      </w:r>
    </w:p>
    <w:p w14:paraId="34C3C434" w14:textId="77777777" w:rsidR="003754FE" w:rsidRDefault="003754FE" w:rsidP="003754FE">
      <w:pPr>
        <w:pStyle w:val="TextoNormal"/>
      </w:pPr>
    </w:p>
    <w:p w14:paraId="2F2AC07E" w14:textId="77777777" w:rsidR="003754FE" w:rsidRDefault="003754FE" w:rsidP="003754FE">
      <w:pPr>
        <w:pStyle w:val="TextoNormal"/>
      </w:pPr>
      <w:r>
        <w:t>Debe indicarse que es en el antecedente 3 f) de la sentencia donde sí se recoge una síntesis fiel del contenido del motivo sexto de la demanda de amparo.</w:t>
      </w:r>
    </w:p>
    <w:p w14:paraId="0168229C" w14:textId="77777777" w:rsidR="003754FE" w:rsidRDefault="003754FE" w:rsidP="003754FE">
      <w:pPr>
        <w:pStyle w:val="TextoNormal"/>
      </w:pPr>
    </w:p>
    <w:p w14:paraId="30BD73A0" w14:textId="77777777" w:rsidR="003754FE" w:rsidRDefault="003754FE" w:rsidP="003754FE">
      <w:pPr>
        <w:pStyle w:val="TextoNormal"/>
      </w:pPr>
      <w:r>
        <w:t>(ii) Exposición de la queja del recurrente que se efectúa en el fundamento jurídico 6.1 de la sentencia. Se indica lo siguiente:</w:t>
      </w:r>
    </w:p>
    <w:p w14:paraId="5D0B08AA" w14:textId="77777777" w:rsidR="003754FE" w:rsidRDefault="003754FE" w:rsidP="003754FE">
      <w:pPr>
        <w:pStyle w:val="TextoNormal"/>
      </w:pPr>
    </w:p>
    <w:p w14:paraId="7EF8D3CA" w14:textId="77777777" w:rsidR="003754FE" w:rsidRDefault="003754FE" w:rsidP="003754FE">
      <w:pPr>
        <w:pStyle w:val="TextoNormal"/>
      </w:pPr>
      <w:r>
        <w:t>“Al articular el motivo sexto de su recurso de amparo, el recurrente alega que la subsunción de los hechos declarados probados en el delito de malversación de caudales públicos del art. 432 CP vulnera el derecho a la legalidad penal (art. 25.1 CE). Entiende que las sentencias recurridas le atribuyen una responsabilidad en ‘comisión por omisión’ por este delito sin justificar cuál es la posición de garante que le correspondía en relación con una ‘sustracción’ de fondos públicos que se producía exclusivamente en el ámbito de gestión propio de la Consejería de Empleo y Desarrollo Tecnológico. Añade el demandante que los condenados ajenos a dicha consejería no pueden ser considerados garantes de la correcta gestión de las ayudas sociolaborales y a empresas en crisis comprendidas en el programa 31L, pues solo la Consejería de Empleo y Desarrollo Tecnológico era responsable de conceder tales ayudas”.</w:t>
      </w:r>
    </w:p>
    <w:p w14:paraId="38272034" w14:textId="77777777" w:rsidR="003754FE" w:rsidRDefault="003754FE" w:rsidP="003754FE">
      <w:pPr>
        <w:pStyle w:val="TextoNormal"/>
      </w:pPr>
    </w:p>
    <w:p w14:paraId="591C8557" w14:textId="77777777" w:rsidR="003754FE" w:rsidRDefault="003754FE" w:rsidP="003754FE">
      <w:pPr>
        <w:pStyle w:val="TextoNormal"/>
      </w:pPr>
      <w:r>
        <w:t>(iii) La evidencia del resultado del contraste efectuado obvia la necesidad de cualquier análisis añadido.</w:t>
      </w:r>
    </w:p>
    <w:p w14:paraId="0DE652E8" w14:textId="77777777" w:rsidR="003754FE" w:rsidRDefault="003754FE" w:rsidP="003754FE">
      <w:pPr>
        <w:pStyle w:val="TextoNormal"/>
      </w:pPr>
    </w:p>
    <w:p w14:paraId="30CA4FC6" w14:textId="77777777" w:rsidR="003754FE" w:rsidRDefault="003754FE" w:rsidP="003754FE">
      <w:pPr>
        <w:pStyle w:val="TextoNormal"/>
      </w:pPr>
      <w:r>
        <w:t xml:space="preserve">1.2. </w:t>
      </w:r>
      <w:r w:rsidRPr="003754FE">
        <w:rPr>
          <w:i/>
        </w:rPr>
        <w:t>Contraste entre el contenido de las alegaciones del Ministerio Fiscal y el que le atribuye la sentencia, de la que resuelve el recurso de amparo:</w:t>
      </w:r>
    </w:p>
    <w:p w14:paraId="60EB2443" w14:textId="77777777" w:rsidR="003754FE" w:rsidRDefault="003754FE" w:rsidP="003754FE">
      <w:pPr>
        <w:pStyle w:val="TextoNormal"/>
      </w:pPr>
    </w:p>
    <w:p w14:paraId="669DCC50" w14:textId="77777777" w:rsidR="003754FE" w:rsidRDefault="003754FE" w:rsidP="003754FE">
      <w:pPr>
        <w:pStyle w:val="TextoNormal"/>
      </w:pPr>
      <w:r>
        <w:t>(i) Síntesis real del contenido de la respuesta dada por el fiscal al motivo sexto de la demanda (punto 7.6, págs. 58 y ss. de sus alegaciones).</w:t>
      </w:r>
    </w:p>
    <w:p w14:paraId="6A0707BE" w14:textId="77777777" w:rsidR="003754FE" w:rsidRDefault="003754FE" w:rsidP="003754FE">
      <w:pPr>
        <w:pStyle w:val="TextoNormal"/>
      </w:pPr>
    </w:p>
    <w:p w14:paraId="44FDAE18" w14:textId="77777777" w:rsidR="003754FE" w:rsidRDefault="003754FE" w:rsidP="003754FE">
      <w:pPr>
        <w:pStyle w:val="TextoNormal"/>
      </w:pPr>
      <w:r>
        <w:t>El fiscal comienza por calificar las quejas expuestas en el motivo sexto, e indica:</w:t>
      </w:r>
    </w:p>
    <w:p w14:paraId="277789F3" w14:textId="77777777" w:rsidR="003754FE" w:rsidRDefault="003754FE" w:rsidP="003754FE">
      <w:pPr>
        <w:pStyle w:val="TextoNormal"/>
      </w:pPr>
    </w:p>
    <w:p w14:paraId="6FD92B6D" w14:textId="77777777" w:rsidR="003754FE" w:rsidRDefault="003754FE" w:rsidP="003754FE">
      <w:pPr>
        <w:pStyle w:val="TextoNormal"/>
      </w:pPr>
      <w:r>
        <w:t>“La variedad de los derechos fundamentales cuya vulneración se denuncia en el enunciado del motivo hace que no resulte fácil optar por la doctrina constitucional que resulta más aplicable al caso, si bien el desarrollo argumental del motivo se divide por un lado en la vulneración del derecho a la presunción de inocencia por ausencia de prueba directa o indiciaria del dolo y por otro, en la vulneración del derecho a la tutela judicial efectiva por lo que considera el recurrente que es el cambio de título de imputación que realiza la sentencia de casación”.</w:t>
      </w:r>
    </w:p>
    <w:p w14:paraId="0B684626" w14:textId="77777777" w:rsidR="003754FE" w:rsidRDefault="003754FE" w:rsidP="003754FE">
      <w:pPr>
        <w:pStyle w:val="TextoNormal"/>
      </w:pPr>
    </w:p>
    <w:p w14:paraId="78BA98D5" w14:textId="77777777" w:rsidR="003754FE" w:rsidRDefault="003754FE" w:rsidP="003754FE">
      <w:pPr>
        <w:pStyle w:val="TextoNormal"/>
      </w:pPr>
      <w:r>
        <w:t>Es de observar que en ningún momento considera que lo invocado sea un problema atinente al derecho a la legalidad penal, pese a que dicho derecho se cita en el ramillete de derechos invocados. Indica que la argumentación de las resoluciones impugnadas en relación con la prueba indiciaria es lógica y razonable y abarca a todos los elementos del tipo de injusto. Afirma que la sentencia de casación no ha producido una alteración de la motivación jurídica esencial de la sentencia de la Audiencia Provincial que permanece intacta.</w:t>
      </w:r>
    </w:p>
    <w:p w14:paraId="1A99D6AC" w14:textId="77777777" w:rsidR="003754FE" w:rsidRDefault="003754FE" w:rsidP="003754FE">
      <w:pPr>
        <w:pStyle w:val="TextoNormal"/>
      </w:pPr>
    </w:p>
    <w:p w14:paraId="4DFCC922" w14:textId="77777777" w:rsidR="003754FE" w:rsidRDefault="003754FE" w:rsidP="003754FE">
      <w:pPr>
        <w:pStyle w:val="TextoNormal"/>
      </w:pPr>
      <w:r>
        <w:t>(ii) Síntesis que efectúa la sentencia de la respuesta dada por el Ministerio Fiscal:</w:t>
      </w:r>
    </w:p>
    <w:p w14:paraId="6EBFB4D2" w14:textId="77777777" w:rsidR="003754FE" w:rsidRDefault="003754FE" w:rsidP="003754FE">
      <w:pPr>
        <w:pStyle w:val="TextoNormal"/>
      </w:pPr>
    </w:p>
    <w:p w14:paraId="410B2324" w14:textId="77777777" w:rsidR="003754FE" w:rsidRDefault="003754FE" w:rsidP="003754FE">
      <w:pPr>
        <w:pStyle w:val="TextoNormal"/>
      </w:pPr>
      <w:r>
        <w:lastRenderedPageBreak/>
        <w:t>“Dicha tesis también es sostenida por el Ministerio Fiscal, que estima que no puede apreciarse la vulneración del derecho a la legalidad penal en relación con la subsunción realizada en el delito de malversación y afirma que la sentencia de instancia contiene una argumentación suficiente sobre la concurrencia de los diversos elementos que componen este tipo penal”.</w:t>
      </w:r>
    </w:p>
    <w:p w14:paraId="0DAB4945" w14:textId="77777777" w:rsidR="003754FE" w:rsidRDefault="003754FE" w:rsidP="003754FE">
      <w:pPr>
        <w:pStyle w:val="TextoNormal"/>
      </w:pPr>
    </w:p>
    <w:p w14:paraId="07578269" w14:textId="77777777" w:rsidR="003754FE" w:rsidRDefault="003754FE" w:rsidP="003754FE">
      <w:pPr>
        <w:pStyle w:val="TextoNormal"/>
      </w:pPr>
      <w:r>
        <w:t>(iii) Conclusión:</w:t>
      </w:r>
    </w:p>
    <w:p w14:paraId="0A2084BF" w14:textId="77777777" w:rsidR="003754FE" w:rsidRDefault="003754FE" w:rsidP="003754FE">
      <w:pPr>
        <w:pStyle w:val="TextoNormal"/>
      </w:pPr>
    </w:p>
    <w:p w14:paraId="62794116" w14:textId="77777777" w:rsidR="003754FE" w:rsidRDefault="003754FE" w:rsidP="003754FE">
      <w:pPr>
        <w:pStyle w:val="TextoNormal"/>
      </w:pPr>
      <w:r>
        <w:t>Como se ha afirmado, el fiscal no afirma que se pueda apreciar o no la vulneración del derecho a la legalidad penal, sencillamente porque no considera que el recurrente esté planteando un problema atinente a dicho derecho. Expresamente califica las quejas comprendidas en el motivo sexto como referentes al derecho a la presunción de inocencia por ausencia de prueba directa o indiciaria del dolo y por otro de vulneración del derecho a la tutela judicial efectiva por el supuesto cambio de imputación que realiza la sentencia de casación. No es cierto que el Ministerio Fiscal afirme que “no puede apreciarse la vulneración del derecho a la legalidad penal” cuando da respuesta al motivo sexto de la demanda de amparo.</w:t>
      </w:r>
    </w:p>
    <w:p w14:paraId="2CA7A0CF" w14:textId="77777777" w:rsidR="003754FE" w:rsidRDefault="003754FE" w:rsidP="003754FE">
      <w:pPr>
        <w:pStyle w:val="TextoNormal"/>
      </w:pPr>
    </w:p>
    <w:p w14:paraId="1F39B41B" w14:textId="77777777" w:rsidR="003754FE" w:rsidRDefault="003754FE" w:rsidP="003754FE">
      <w:pPr>
        <w:pStyle w:val="TextoNormal"/>
      </w:pPr>
      <w:r>
        <w:t>d) La sentencia que resuelve el recurso de amparo se desvincula radicalmente de la vulneración planteada por el recurrente y resuelve de modo irracional, incongruente e ilógico, el motivo sexto de la demanda de amparo, que como se ha indicado no expresa ninguna vulneración del derecho a la legalidad penal (art. 25.1 CE).</w:t>
      </w:r>
    </w:p>
    <w:p w14:paraId="5A1212A7" w14:textId="77777777" w:rsidR="003754FE" w:rsidRDefault="003754FE" w:rsidP="003754FE">
      <w:pPr>
        <w:pStyle w:val="TextoNormal"/>
      </w:pPr>
    </w:p>
    <w:p w14:paraId="336D3042" w14:textId="77777777" w:rsidR="003754FE" w:rsidRDefault="003754FE" w:rsidP="003754FE">
      <w:pPr>
        <w:pStyle w:val="TextoNormal"/>
      </w:pPr>
      <w:r>
        <w:t>e) En efecto, en el fundamento jurídico 6.3 bajo la rúbrica “Enjuiciamiento de la queja” efectúa un examen de oficio de las resoluciones impugnadas en relación a la condena por malversación en su contribución activa y omisiva que no tienen nada que ver con el contenido de la demanda de amparo y menos aún con el del motivo sexto del recurso.</w:t>
      </w:r>
    </w:p>
    <w:p w14:paraId="20AFF0B4" w14:textId="77777777" w:rsidR="003754FE" w:rsidRDefault="003754FE" w:rsidP="003754FE">
      <w:pPr>
        <w:pStyle w:val="TextoNormal"/>
      </w:pPr>
    </w:p>
    <w:p w14:paraId="71DF875D" w14:textId="77777777" w:rsidR="003754FE" w:rsidRDefault="003754FE" w:rsidP="003754FE">
      <w:pPr>
        <w:pStyle w:val="TextoNormal"/>
      </w:pPr>
      <w:r>
        <w:t xml:space="preserve">La sentencia se desentiende del recurso para poder aplicar su construcción argumental en virtud de la cual los proyectos de leyes no son susceptibles de control por la jurisdicción penal (argumento que ya hemos cuestionado al tratar de la condena por delito de prevaricación) y el </w:t>
      </w:r>
      <w:r w:rsidRPr="003754FE">
        <w:rPr>
          <w:i/>
        </w:rPr>
        <w:t>mantra</w:t>
      </w:r>
      <w:r>
        <w:t xml:space="preserve"> jurídico: “no puede considerarse ilegal ni indebido otorgar las referidas ayudas, de acuerdo con lo establecido en el programa 31L de las leyes de presupuestos de aquellos años y las memorias que las acompañaban”.</w:t>
      </w:r>
    </w:p>
    <w:p w14:paraId="19C1832F" w14:textId="77777777" w:rsidR="003754FE" w:rsidRDefault="003754FE" w:rsidP="003754FE">
      <w:pPr>
        <w:pStyle w:val="TextoNormal"/>
      </w:pPr>
    </w:p>
    <w:p w14:paraId="0658C129" w14:textId="77777777" w:rsidR="003754FE" w:rsidRDefault="003754FE" w:rsidP="003754FE">
      <w:pPr>
        <w:pStyle w:val="TextoNormal"/>
      </w:pPr>
      <w:r>
        <w:t xml:space="preserve">f) En relación con las conductas activas y omisivas que en su condición de presidente del IFA/IDEA dieron lugar a la condena como autor de un delito continuado de malversación de caudales públicos, la sentencia que resuelve el recurso de amparo fundamenta la vulneración del derecho a la legalidad penal por el carácter imprevisible de ser condenado como consecuencia de aplicar las sucesivas leyes de presupuestos. Dicho argumento es falaz y se repite a modo de </w:t>
      </w:r>
      <w:r w:rsidRPr="003754FE">
        <w:rPr>
          <w:i/>
        </w:rPr>
        <w:t>mantra</w:t>
      </w:r>
      <w:r>
        <w:t xml:space="preserve"> jurídico reiterado en las sucesivas sentencias que se han sometido a deliberación: “no puede considerarse ilegal ni indebido otorgar las referidas ayudas, de acuerdo con lo establecido en el programa 31L de las leyes de presupuestos de aquellos años y las memorias que las acompañaban (SSTC 94/2024, FJ 5.3; 98/2024, FJ 5.3, y 97/2024, FJ 4.3)”.</w:t>
      </w:r>
    </w:p>
    <w:p w14:paraId="41212D4D" w14:textId="77777777" w:rsidR="003754FE" w:rsidRDefault="003754FE" w:rsidP="003754FE">
      <w:pPr>
        <w:pStyle w:val="TextoNormal"/>
      </w:pPr>
    </w:p>
    <w:p w14:paraId="0D695B72" w14:textId="77777777" w:rsidR="003754FE" w:rsidRDefault="003754FE" w:rsidP="003754FE">
      <w:pPr>
        <w:pStyle w:val="TextoNormal"/>
      </w:pPr>
      <w:r>
        <w:t xml:space="preserve">g) Tal afirmación es insostenible por la sencilla razón de que las leyes no delinquieron, ni —como le atribuye la sentencia mediante la errónea atribución efectuada a la sentencia del Tribunal Supremo— pretendieron delinquir en el caso de corrupción política más </w:t>
      </w:r>
      <w:r>
        <w:lastRenderedPageBreak/>
        <w:t>importante de la reciente historia de España. Delinquieron, como aseveran las sentencias, quienes concedieron, de modo libérrimo y voluntario, las ayudas sociolaborales y dispusieron de los fondos públicos como si fueran propios o quienes pudiendo evitarlo y conociéndolo consintieron esa disposición de fondos.</w:t>
      </w:r>
    </w:p>
    <w:p w14:paraId="1575990E" w14:textId="77777777" w:rsidR="003754FE" w:rsidRDefault="003754FE" w:rsidP="003754FE">
      <w:pPr>
        <w:pStyle w:val="TextoNormal"/>
      </w:pPr>
    </w:p>
    <w:p w14:paraId="1AF4A4EE" w14:textId="77777777" w:rsidR="003754FE" w:rsidRDefault="003754FE" w:rsidP="003754FE">
      <w:pPr>
        <w:pStyle w:val="TextoNormal"/>
      </w:pPr>
      <w:r>
        <w:t>h) Así lo afirmó la STS 749/2022, en su fundamento jurídico 141.2.4, pág. 1066 cuando indicó que “si bien el Parlamento aprobó las partidas presupuestarias aludidas en el relato fáctico durante los años 2002 a 2009, también lo es que no puede afirmarse que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 Y añade que: “La aprobación parlamentaria de los distintos créditos presupuestarios no puede ser coartada para justificar los pagos ilegales. La actuación del director general del IFA/IDEA no era obligada”.</w:t>
      </w:r>
    </w:p>
    <w:p w14:paraId="4C185D1A" w14:textId="77777777" w:rsidR="003754FE" w:rsidRDefault="003754FE" w:rsidP="003754FE">
      <w:pPr>
        <w:pStyle w:val="TextoNormal"/>
      </w:pPr>
    </w:p>
    <w:p w14:paraId="1C048D6F" w14:textId="77777777" w:rsidR="003754FE" w:rsidRDefault="003754FE" w:rsidP="003754FE">
      <w:pPr>
        <w:pStyle w:val="TextoNormal"/>
      </w:pPr>
      <w:r>
        <w:t>i) Ninguno de los condenados estaba amparado, ni venía obligado por las sucesivas leyes de presupuestos para cometer los delitos. Las leyes eran neutras en la previsión de transferencias de financiación para gastos de explotación. Quienes delinquieron fueron quienes programaron las trasferencias de financiación de modo innecesario con la idea de que otros tuvieran recursos para destinarlos a fines ajenos a los presupuestados o quienes se aprovecharon de su dotación presupuestaria para dedicarlas no a su destino de gastos de explotación sino a otros no previstos en los presupuestos.</w:t>
      </w:r>
    </w:p>
    <w:p w14:paraId="60B24266" w14:textId="77777777" w:rsidR="003754FE" w:rsidRDefault="003754FE" w:rsidP="003754FE">
      <w:pPr>
        <w:pStyle w:val="TextoNormal"/>
      </w:pPr>
    </w:p>
    <w:p w14:paraId="7B30DDED" w14:textId="77777777" w:rsidR="003754FE" w:rsidRDefault="003754FE" w:rsidP="003754FE">
      <w:pPr>
        <w:pStyle w:val="TextoNormal"/>
      </w:pPr>
      <w:r>
        <w:t>j) En todo caso debemos recordar, para tener presente la inadmisible deriva argumental de la sentencia, que el recurrente, en el motivo sexto de la demanda de amparo planteaba un problema de presunción de inocencia y de motivación de las sentencias, pero en ningún caso relativo a la vulneración de la legalidad penal.</w:t>
      </w:r>
    </w:p>
    <w:p w14:paraId="5F6F2DCA" w14:textId="77777777" w:rsidR="003754FE" w:rsidRDefault="003754FE" w:rsidP="003754FE">
      <w:pPr>
        <w:pStyle w:val="TextoNormal"/>
      </w:pPr>
    </w:p>
    <w:p w14:paraId="44207C1E" w14:textId="77777777" w:rsidR="003754FE" w:rsidRDefault="003754FE" w:rsidP="003754FE">
      <w:pPr>
        <w:pStyle w:val="TextoNormal"/>
      </w:pPr>
      <w:r>
        <w:t xml:space="preserve">2. </w:t>
      </w:r>
      <w:r w:rsidRPr="003754FE">
        <w:rPr>
          <w:i/>
        </w:rPr>
        <w:t>Extralimitación de la sentencia de las funciones que le corresponde al Tribunal Constitucional al examinar la vulneración del derecho a la presunción de inocencia</w:t>
      </w:r>
    </w:p>
    <w:p w14:paraId="01906CF5" w14:textId="77777777" w:rsidR="003754FE" w:rsidRDefault="003754FE" w:rsidP="003754FE">
      <w:pPr>
        <w:pStyle w:val="TextoNormal"/>
      </w:pPr>
    </w:p>
    <w:p w14:paraId="3D436D23" w14:textId="77777777" w:rsidR="003754FE" w:rsidRDefault="003754FE" w:rsidP="003754FE">
      <w:pPr>
        <w:pStyle w:val="TextoNormal"/>
      </w:pPr>
      <w:r>
        <w:t>2.1</w:t>
      </w:r>
      <w:r w:rsidRPr="003754FE">
        <w:rPr>
          <w:i/>
        </w:rPr>
        <w:t>. Planeamiento del recurren</w:t>
      </w:r>
      <w:r>
        <w:t>te</w:t>
      </w:r>
    </w:p>
    <w:p w14:paraId="53D83FEE" w14:textId="77777777" w:rsidR="003754FE" w:rsidRDefault="003754FE" w:rsidP="003754FE">
      <w:pPr>
        <w:pStyle w:val="TextoNormal"/>
      </w:pPr>
    </w:p>
    <w:p w14:paraId="4C5C909F" w14:textId="77777777" w:rsidR="003754FE" w:rsidRDefault="003754FE" w:rsidP="003754FE">
      <w:pPr>
        <w:pStyle w:val="TextoNormal"/>
      </w:pPr>
      <w:r>
        <w:t>Como hemos expuesto, el demandante intitula el referido motivo del siguiente modo: “Motivo sexto. Vulneración del derecho a la tutela judicial efectiva (arts. 24.1 CE y 6 CEDH), a un proceso público con todas las garantías incluyendo la presunción de inocencia (arts. 24.2 CE y 6 CEDH) y vulneración del principio de legalidad penal (art. 25 CE y 7 CEDH). Negativa manifiesta del deber de acatamiento de la doctrina del Tribunal Constitucional en materia de condena por prueba indiciaria”.</w:t>
      </w:r>
    </w:p>
    <w:p w14:paraId="22DA1D5D" w14:textId="77777777" w:rsidR="003754FE" w:rsidRDefault="003754FE" w:rsidP="003754FE">
      <w:pPr>
        <w:pStyle w:val="TextoNormal"/>
      </w:pPr>
    </w:p>
    <w:p w14:paraId="42FA0951" w14:textId="77777777" w:rsidR="003754FE" w:rsidRDefault="003754FE" w:rsidP="003754FE">
      <w:pPr>
        <w:pStyle w:val="TextoNormal"/>
      </w:pPr>
      <w:r>
        <w:t>En su desarrollo cuestiona la autoría en la malversación en tanto que no existe prueba directa ni indiciaria. Indica que la sentencia de la Audiencia Provincial parte de una actuación coral de los acusados. Los hechos y la participación en los mismos no se encuentran individualizados sino genéricamente expuestos y concatenados unos con otros. Sin embargo, afirma que la Sala de lo Penal del Tribunal Supremo considera que son autores independientes cada uno de los condenados, por lo que innova respecto de la sentencia de instancia.</w:t>
      </w:r>
    </w:p>
    <w:p w14:paraId="0D86E9B3" w14:textId="77777777" w:rsidR="003754FE" w:rsidRDefault="003754FE" w:rsidP="003754FE">
      <w:pPr>
        <w:pStyle w:val="TextoNormal"/>
      </w:pPr>
    </w:p>
    <w:p w14:paraId="054F70FB" w14:textId="77777777" w:rsidR="003754FE" w:rsidRDefault="003754FE" w:rsidP="003754FE">
      <w:pPr>
        <w:pStyle w:val="TextoNormal"/>
      </w:pPr>
      <w:r>
        <w:t>Sostiene que existe una indeterminación de los hechos constitutivos de la malversación cometida en comisión por omisión, inexistencia de la posición de garante y de su prueba indiciara. Se queja el recurrente de que la sentencia de instancia no diferencia claramente los hechos constitutivos del delito de prevaricación de los hechos constitutivos del delito de malversación de caudales públicos. Afirma que la sentencia de casación no da respuesta a las censuras casacionales y deja sin determinar ni identificar qué concretos hechos, distintos de los prevaricadores, serían los constitutivos del delito de malversación. Concluye que la sentencia de la Audiencia Provincial de Sevilla no motivó la conducta de comisión por omisión; no motivó ni justificó en modo alguno la preceptiva posición de “garante”.</w:t>
      </w:r>
    </w:p>
    <w:p w14:paraId="562B1BC1" w14:textId="77777777" w:rsidR="003754FE" w:rsidRDefault="003754FE" w:rsidP="003754FE">
      <w:pPr>
        <w:pStyle w:val="TextoNormal"/>
      </w:pPr>
    </w:p>
    <w:p w14:paraId="6B5304BB" w14:textId="77777777" w:rsidR="003754FE" w:rsidRDefault="003754FE" w:rsidP="003754FE">
      <w:pPr>
        <w:pStyle w:val="TextoNormal"/>
      </w:pPr>
      <w:r>
        <w:t>Se alega que la sentencia de instancia no describe el proceso racional que le lleva a considerar que existe ese dolo eventual, ni contiene los indicios en los que se apoya, ni lo distingue de los indicios que constituyen el elemento subjetivo del delito de prevaricación. Crítica que se extiende a la sentencia de casación ya que se considera que se omite el análisis sistemático y ordenado de la parte subjetiva del tipo. Cosa que sí hace en relación con el delito de prevaricación. De este modo, la sentencia de casación, sencillamente, obvia tratar el elemento subjetivo del delito de malversación. Argumento, que se apoya, igualmente, en el voto particular emitido en la sentencia de casación. Con cita del voto particular, se dice que la sentencia de casación rebasa el techo de la convicción probatoria que fija la sentencia de instancia y que es intangible para la Sala de casación.</w:t>
      </w:r>
    </w:p>
    <w:p w14:paraId="174D8181" w14:textId="77777777" w:rsidR="003754FE" w:rsidRDefault="003754FE" w:rsidP="003754FE">
      <w:pPr>
        <w:pStyle w:val="TextoNormal"/>
      </w:pPr>
    </w:p>
    <w:p w14:paraId="79BF0F61" w14:textId="77777777" w:rsidR="003754FE" w:rsidRDefault="003754FE" w:rsidP="003754FE">
      <w:pPr>
        <w:pStyle w:val="TextoNormal"/>
      </w:pPr>
      <w:r>
        <w:t>2.2</w:t>
      </w:r>
      <w:r w:rsidRPr="003754FE">
        <w:rPr>
          <w:i/>
        </w:rPr>
        <w:t>. Doctrina constitucional sobre la presunción de inocenc</w:t>
      </w:r>
      <w:r>
        <w:t>ia</w:t>
      </w:r>
    </w:p>
    <w:p w14:paraId="5E0C2982" w14:textId="77777777" w:rsidR="003754FE" w:rsidRDefault="003754FE" w:rsidP="003754FE">
      <w:pPr>
        <w:pStyle w:val="TextoNormal"/>
      </w:pPr>
    </w:p>
    <w:p w14:paraId="44698CE7" w14:textId="77777777" w:rsidR="003754FE" w:rsidRDefault="003754FE" w:rsidP="003754FE">
      <w:pPr>
        <w:pStyle w:val="TextoNormal"/>
      </w:pPr>
      <w:r>
        <w:t>Este tribunal viene afirmando desde la STC 31/1981, que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de la que quepa inferir razonablemente los hechos y la participación del acusado en los mismos. De modo que, como se declara en la STC 189/1998, “solo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w:t>
      </w:r>
      <w:r w:rsidRPr="003754FE">
        <w:rPr>
          <w:i/>
        </w:rPr>
        <w:t>l it</w:t>
      </w:r>
      <w:r>
        <w:t>er discursivo que conduce de la prueba al hecho probado” (FJ 2).</w:t>
      </w:r>
    </w:p>
    <w:p w14:paraId="1C22441C" w14:textId="77777777" w:rsidR="003754FE" w:rsidRDefault="003754FE" w:rsidP="003754FE">
      <w:pPr>
        <w:pStyle w:val="TextoNormal"/>
      </w:pPr>
    </w:p>
    <w:p w14:paraId="231286AA" w14:textId="77777777" w:rsidR="003754FE" w:rsidRDefault="003754FE" w:rsidP="003754FE">
      <w:pPr>
        <w:pStyle w:val="TextoNormal"/>
      </w:pPr>
      <w:r>
        <w:t>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(por todas, STC 137/2005, FJ 2).</w:t>
      </w:r>
    </w:p>
    <w:p w14:paraId="577C6C08" w14:textId="77777777" w:rsidR="003754FE" w:rsidRDefault="003754FE" w:rsidP="003754FE">
      <w:pPr>
        <w:pStyle w:val="TextoNormal"/>
      </w:pPr>
    </w:p>
    <w:p w14:paraId="359F1D57" w14:textId="77777777" w:rsidR="003754FE" w:rsidRDefault="003754FE" w:rsidP="003754FE">
      <w:pPr>
        <w:pStyle w:val="TextoNormal"/>
      </w:pPr>
      <w:r>
        <w:t xml:space="preserve">De este modo hemos declarado, con especial contundencia, que el examen de la vulneración del derecho a la presunción de inocencia “ha de partir de la radical falta de competencia de esta jurisdicción de amparo para la valoración de la actividad probatoria practicada </w:t>
      </w:r>
      <w:r>
        <w:lastRenderedPageBreak/>
        <w:t>en un proceso penal y para la evaluación de dicha valoración conforme a criterios de calidad o de oportunidad” [entre otras, SSTC 111/2008, de 22 de septiembre, FJ 3 a) y 68/2010, de 18 de octubre, FJ 4], advirtiendo que esta supervisión externa que hemos de realizar para apreciar la razonabilidad del expresado discurso ha de ser ‘extraordinariamente cautelosa’, pues, en rigor, ‘la función de este tribunal no consiste en enjuiciar el resultado alcanzado, sino el control externo del razonamiento lógico seguido para llegar a él’ (STC 66/2009, de 9 de marzo, FJ 6)” (STC 111/2011, de 4 de julio).</w:t>
      </w:r>
    </w:p>
    <w:p w14:paraId="7DD68261" w14:textId="77777777" w:rsidR="003754FE" w:rsidRDefault="003754FE" w:rsidP="003754FE">
      <w:pPr>
        <w:pStyle w:val="TextoNormal"/>
      </w:pPr>
    </w:p>
    <w:p w14:paraId="138C3D14" w14:textId="77777777" w:rsidR="003754FE" w:rsidRDefault="003754FE" w:rsidP="003754FE">
      <w:pPr>
        <w:pStyle w:val="TextoNormal"/>
      </w:pPr>
      <w:r>
        <w:t>Esta imposibilidad de revisar por parte de este Tribunal Constitucional los diferentes elementos probatorios en que los tribunales penales basan su convicción, en la forma expuesta, resulta fundamentada, además, tanto por la prohibición legal de que el Tribunal Constitucional entre a valorar los hechos del proceso [art. 44.1 b) LOTC], como por la imposibilidad material de que los procesos constitucionales puedan contar con las garantías de oralidad, inmediación y contradicción que deben rodear a la valoración probatoria.</w:t>
      </w:r>
    </w:p>
    <w:p w14:paraId="2B9B809C" w14:textId="77777777" w:rsidR="003754FE" w:rsidRDefault="003754FE" w:rsidP="003754FE">
      <w:pPr>
        <w:pStyle w:val="TextoNormal"/>
      </w:pPr>
    </w:p>
    <w:p w14:paraId="5D97BDA5" w14:textId="77777777" w:rsidR="003754FE" w:rsidRDefault="003754FE" w:rsidP="003754FE">
      <w:pPr>
        <w:pStyle w:val="TextoNormal"/>
      </w:pPr>
      <w:r>
        <w:t xml:space="preserve">2.3. </w:t>
      </w:r>
      <w:r w:rsidRPr="003754FE">
        <w:rPr>
          <w:i/>
        </w:rPr>
        <w:t>Extralimitación de la sentencia de las funciones que le corresponde al Tribunal Constitucional al examinar la vulneración del derecho a la presunción de inocencia</w:t>
      </w:r>
    </w:p>
    <w:p w14:paraId="160C9FC1" w14:textId="77777777" w:rsidR="003754FE" w:rsidRDefault="003754FE" w:rsidP="003754FE">
      <w:pPr>
        <w:pStyle w:val="TextoNormal"/>
      </w:pPr>
    </w:p>
    <w:p w14:paraId="7CE06BD7" w14:textId="77777777" w:rsidR="003754FE" w:rsidRDefault="003754FE" w:rsidP="003754FE">
      <w:pPr>
        <w:pStyle w:val="TextoNormal"/>
      </w:pPr>
      <w:r>
        <w:t>2.3.1</w:t>
      </w:r>
      <w:r w:rsidRPr="003754FE">
        <w:rPr>
          <w:i/>
        </w:rPr>
        <w:t>. Modo en que la sentencia enfoca la queja relativa a la vulneración del derecho fundamental a la presunción de inocenc</w:t>
      </w:r>
      <w:r>
        <w:t>ia</w:t>
      </w:r>
    </w:p>
    <w:p w14:paraId="4302ECAF" w14:textId="77777777" w:rsidR="003754FE" w:rsidRDefault="003754FE" w:rsidP="003754FE">
      <w:pPr>
        <w:pStyle w:val="TextoNormal"/>
      </w:pPr>
    </w:p>
    <w:p w14:paraId="2C20DD0E" w14:textId="77777777" w:rsidR="003754FE" w:rsidRDefault="003754FE" w:rsidP="003754FE">
      <w:pPr>
        <w:pStyle w:val="TextoNormal"/>
      </w:pPr>
      <w:r>
        <w:t>a) La sentencia frente a la que formulamos voto particular comienza el examen del motivo sexto de la demanda dejando claro que la garantía del control de la presunción de inocencia exige orientar el foco de control en la concurrencia de elementos fácticos y argumentales “de una precisión suficiente” para justificar la atribución personal de todos o de alguno de los desvíos ajenos a los previstos en los programas presupuestarios en el tiempo en que el demandante fue consejero de Innovación, Ciencia y Empresa y presidente del IFA/IDEA. Pretende verificar si se ha motivado suficientemente el engarce necesario entre las conductas que se le atribuyen y su participación.</w:t>
      </w:r>
    </w:p>
    <w:p w14:paraId="6E847E30" w14:textId="77777777" w:rsidR="003754FE" w:rsidRDefault="003754FE" w:rsidP="003754FE">
      <w:pPr>
        <w:pStyle w:val="TextoNormal"/>
      </w:pPr>
    </w:p>
    <w:p w14:paraId="4344E7E8" w14:textId="77777777" w:rsidR="003754FE" w:rsidRDefault="003754FE" w:rsidP="003754FE">
      <w:pPr>
        <w:pStyle w:val="TextoNormal"/>
      </w:pPr>
      <w:r>
        <w:t>b) Afirma de inicio que la motivación de la sentencia de la Audiencia Provincial (fundamento jurídico 34, págs. 1149 a 1207) constata que “intervino en el engranaje dirigido al abono de subvenciones a través del uso de las transferencias de financiación, pero en ningún caso a probar que hizo un uso desviado de fondos del programa 31L”. La sentencia de este tribunal reconoce que se constató que: (i) como consejero le dieron traslado de diferentes informes de control financiero permanente, en los que se advertían las irregularidades en la utilización del instrumento de “transferencias de financiación”; (ii) que con ese conocimiento participó con conocimiento del irregular uso en la aprobación de presupuestos y en las modificaciones presupuestarias; y (iii) tuvo conocimiento como presidente del IFA/IDEA de los convenios suscritos con el director general de Trabajo y Seguridad Social, pese a que el convenio marco que sustentaba tales convenios no estaba en vigor.</w:t>
      </w:r>
    </w:p>
    <w:p w14:paraId="12FAF885" w14:textId="77777777" w:rsidR="003754FE" w:rsidRDefault="003754FE" w:rsidP="003754FE">
      <w:pPr>
        <w:pStyle w:val="TextoNormal"/>
      </w:pPr>
    </w:p>
    <w:p w14:paraId="40D8B5F1" w14:textId="77777777" w:rsidR="003754FE" w:rsidRDefault="003754FE" w:rsidP="003754FE">
      <w:pPr>
        <w:pStyle w:val="TextoNormal"/>
      </w:pPr>
      <w:r>
        <w:t xml:space="preserve">c) La sentencia de la que discrepamos indica que de tales circunstancias extrae la sentencia de la Audiencia Provincial que era plenamente consciente de la palmaria ilegalidad de los actos en los que participó relatados en los hechos probados, asumiendo la eventualidad de que los fondos se destinaran a fines ajenos al que debían ser destinados. No se llegaron a detallar los datos singulares de cada acto dispositivo. Y concluye “es precisamente la ausencia de esta motivación adicional la que debe llevar a la estimación del recurso de </w:t>
      </w:r>
      <w:r>
        <w:lastRenderedPageBreak/>
        <w:t>amparo”. La sentencia no desarrolla un mínimo juicio de autoría que permita determinar que el señor Vallejo Serrano tuvo el dominio funcional del hecho, ni describe modalidad alguna de adhesión al plan preconcebido dirigido al desvío de fondos. No argumenta sobre el elemento subjetivo de la conducta malversadora ya que esta no puede provenir de un procedimiento de presupuestación.</w:t>
      </w:r>
    </w:p>
    <w:p w14:paraId="359E2BBF" w14:textId="77777777" w:rsidR="003754FE" w:rsidRDefault="003754FE" w:rsidP="003754FE">
      <w:pPr>
        <w:pStyle w:val="TextoNormal"/>
      </w:pPr>
    </w:p>
    <w:p w14:paraId="7ABF28DE" w14:textId="77777777" w:rsidR="003754FE" w:rsidRDefault="003754FE" w:rsidP="003754FE">
      <w:pPr>
        <w:pStyle w:val="TextoNormal"/>
      </w:pPr>
      <w:r>
        <w:t>d) La sentencia de este tribunal detalla el juicio de inferencia sobre el dolo de malversar que realiza la sentencia de la Audiencia Provincial, basado en: (i) los informes de control financiero permanente elaborados por la Intervención General de la Junta de Andalucía y el informe adicional al informe de cumplimiento del año 2003; (ii) el déficit generado en la Consejería de Empleo y Desarrollo Tecnológico y en la agencia IFA/IDEA, del que infiere la indiferencia hacia la alta probabilidad de que el despilfarro pasara a ser malversación. Sin embargo la sentencia de este tribunal considera que el juicio de inferencia es insuficiente para establecer que intervino con conocimiento de causa en la realización de disposiciones. Afirma que “es razonable concluir que se representó los riesgos de desvío” por el conocimiento de los informes, pero “este riesgo era inherente al sistema de presupuestación legalmente establecido”.</w:t>
      </w:r>
    </w:p>
    <w:p w14:paraId="2F7F324B" w14:textId="77777777" w:rsidR="003754FE" w:rsidRDefault="003754FE" w:rsidP="003754FE">
      <w:pPr>
        <w:pStyle w:val="TextoNormal"/>
      </w:pPr>
    </w:p>
    <w:p w14:paraId="556E5088" w14:textId="77777777" w:rsidR="003754FE" w:rsidRDefault="003754FE" w:rsidP="003754FE">
      <w:pPr>
        <w:pStyle w:val="TextoNormal"/>
      </w:pPr>
      <w:r>
        <w:t>e) A partir de allí la sentencia sustenta la falta de acreditación de la participación activa u omisiva del recurrente en el reexamen de parte de la prueba valorada en la sentencia de la Audiencia Provincial: (i) el informe adicional al informe de cumplimiento del ejercicio 2003; y (ii) la declaración de los peritos. Concluye que los informes analizados por la sentencia de instancia no permiten concluir el dolo del recurrente. Tampoco del conocimiento del déficit contable se puede obtener esa inferencia.</w:t>
      </w:r>
    </w:p>
    <w:p w14:paraId="1D79B8CD" w14:textId="77777777" w:rsidR="003754FE" w:rsidRDefault="003754FE" w:rsidP="003754FE">
      <w:pPr>
        <w:pStyle w:val="TextoNormal"/>
      </w:pPr>
    </w:p>
    <w:p w14:paraId="3DE736D5" w14:textId="77777777" w:rsidR="003754FE" w:rsidRDefault="003754FE" w:rsidP="003754FE">
      <w:pPr>
        <w:pStyle w:val="TextoNormal"/>
      </w:pPr>
      <w:r>
        <w:t>f) Refiere que la sentencia de instancia indica que a pesar de no estar previsto en la ficha presupuestaria del programa 31L, lo cierto es que los responsables de la Consejería de Empleo y Desarrollo Tecnológico utilizaron estos fondos para fines ajenos, y cita algunos ejemplos, pero no explicita la participación del demandante, de modo que no está mínimamente motivado que el señor Vallejo Serrano hubiera realizado los hechos probados, por lo que estima la vulneración del derecho a la presunción de inocencia.</w:t>
      </w:r>
    </w:p>
    <w:p w14:paraId="34F8C44C" w14:textId="77777777" w:rsidR="003754FE" w:rsidRDefault="003754FE" w:rsidP="003754FE">
      <w:pPr>
        <w:pStyle w:val="TextoNormal"/>
      </w:pPr>
    </w:p>
    <w:p w14:paraId="041D8733" w14:textId="77777777" w:rsidR="003754FE" w:rsidRDefault="003754FE" w:rsidP="003754FE">
      <w:pPr>
        <w:pStyle w:val="TextoNormal"/>
      </w:pPr>
      <w:r>
        <w:t xml:space="preserve">2.3.2. </w:t>
      </w:r>
      <w:r w:rsidRPr="003754FE">
        <w:rPr>
          <w:i/>
        </w:rPr>
        <w:t>Extralimitación de la sentencia de las funciones que le corresponde al Tribunal Constitucional al examinar la vulneración del derecho a la presunción de inocencia</w:t>
      </w:r>
    </w:p>
    <w:p w14:paraId="3840E4B1" w14:textId="77777777" w:rsidR="003754FE" w:rsidRDefault="003754FE" w:rsidP="003754FE">
      <w:pPr>
        <w:pStyle w:val="TextoNormal"/>
      </w:pPr>
    </w:p>
    <w:p w14:paraId="66B6950A" w14:textId="77777777" w:rsidR="003754FE" w:rsidRDefault="003754FE" w:rsidP="003754FE">
      <w:pPr>
        <w:pStyle w:val="TextoNormal"/>
      </w:pPr>
      <w:r>
        <w:t>a) La sentencia frente a la que formulamos el presente voto particular estima la vulneración del derecho a la presunción de inocencia. Para ello efectúa un extracto mínimo y sesgado del contenido de la sentencia de la Audiencia Provincial y apenas se refiere a la sentencia del Tribunal Supremo. En apenas diez páginas reexamina la valoración probatoria de la sentencia de la Audiencia Provincial efectuada en las págs. 1149 a 1207 y apenas dedica alguna frase al modo en que el Tribunal Supremo aborda la lesión del derecho a la presunción de inocencia. Las razones de las extensas sentencias de la Audiencia Provincial y del Tribunal Supremo, no pueden ser suplidas por el silencio que de la misma se guarda en los antecedentes de la sentencia de este tribunal, ni por la mínima mención que se efectúa al razonamiento de ambas.</w:t>
      </w:r>
    </w:p>
    <w:p w14:paraId="2DCA5B6A" w14:textId="77777777" w:rsidR="003754FE" w:rsidRDefault="003754FE" w:rsidP="003754FE">
      <w:pPr>
        <w:pStyle w:val="TextoNormal"/>
      </w:pPr>
    </w:p>
    <w:p w14:paraId="212B5A02" w14:textId="77777777" w:rsidR="003754FE" w:rsidRDefault="003754FE" w:rsidP="003754FE">
      <w:pPr>
        <w:pStyle w:val="TextoNormal"/>
      </w:pPr>
      <w:r>
        <w:t xml:space="preserve">b) La sentencia de la que discrepamos no toma en consideración los argumentos que, expuestos en ambas sentencias y referidos a la extensa prueba documental, sustentan la </w:t>
      </w:r>
      <w:r>
        <w:lastRenderedPageBreak/>
        <w:t>existencia de prueba de cargo tanto de la posición de garante atendida su condición de máximo responsable del IFA/IDEA y de Consejero de Innovación, Ciencia y Empresa del que dependía la agencia IDEA, como del conocimiento del desvío de las cantidades que como transferencias de financiación se debían aplicar y no se aplicaban a los gastos de explotación de la agencia que presidía. El hecho de considerar que es una inferencia excesivamente abierta atribuir a quien era el máximo responsable de la agencia, al que se le entregaban los informes sucesivamente, año tras año, en el que constaban las irregularidades del destino de los bienes, que desconocía el ilícito destino de los mismos es absurdo y supone suplantar la función de valoración de la prueba que le corresponde exclusivamente a los tribunales ordinarios.</w:t>
      </w:r>
    </w:p>
    <w:p w14:paraId="11826CF6" w14:textId="77777777" w:rsidR="003754FE" w:rsidRDefault="003754FE" w:rsidP="003754FE">
      <w:pPr>
        <w:pStyle w:val="TextoNormal"/>
      </w:pPr>
    </w:p>
    <w:p w14:paraId="36AA2DC7" w14:textId="77777777" w:rsidR="003754FE" w:rsidRDefault="003754FE" w:rsidP="003754FE">
      <w:pPr>
        <w:pStyle w:val="TextoNormal"/>
      </w:pPr>
      <w:r>
        <w:t>c) La sentencia que estima el recurso de amparo asume una posición de Tribunal revisor de la valoración probatoria que no le corresponde, y sustituye a los jueces y tribunales ordinarios en la función exclusiva que les atribuye el art. 117.3 CE. El recurso de amparo no es, ni puede convertirse, en un recurso de apelación, como tampoco el Tribunal Constitucional es una tercera instancia. La sentencia que resuelve el recurso de amparo selecciona unos pocos párrafos en los que examina únicamente una parte de la extensa prueba practicada y materializa su propio juicio inferencial para descartar la acreditación de la autoría y del dolo.</w:t>
      </w:r>
    </w:p>
    <w:p w14:paraId="7038C34C" w14:textId="77777777" w:rsidR="003754FE" w:rsidRDefault="003754FE" w:rsidP="003754FE">
      <w:pPr>
        <w:pStyle w:val="TextoNormal"/>
      </w:pPr>
    </w:p>
    <w:p w14:paraId="2142B37D" w14:textId="77777777" w:rsidR="003754FE" w:rsidRDefault="003754FE" w:rsidP="003754FE">
      <w:pPr>
        <w:pStyle w:val="TextoNormal"/>
      </w:pPr>
      <w:r>
        <w:t>d) Con dicho modo de proceder se aparta, en un asunto de tanta trascendencia, del criterio rector que ha orientado desde los inicios el funcionamiento del Tribunal Constitucional —conforme a nuestra consolidada doctrina— el enjuiciamiento de las denuncias por vulneración del derecho a la presunción de inocencia. Dicho enjuiciamiento tradicionalmente ha sido marcadamente respetuoso con la valoración probatoria que efectúan los tribunales ordinarios que son los que con inmediación y contradicción presencian, a través de múltiples sesiones de juicio —como es el caso— la actividad probatoria y están en mejores condiciones para valorarla. Sustituir al tribunal de instancia en ese cometido en un juicio de tal envergadura como el que ha originado este proceso constitucional y contraviene nuestra doctrina, aunque sea con el manido argumento de insuficiente motivación que en este caso carece de sustento alguno.</w:t>
      </w:r>
    </w:p>
    <w:p w14:paraId="09C3A802" w14:textId="77777777" w:rsidR="003754FE" w:rsidRDefault="003754FE" w:rsidP="003754FE">
      <w:pPr>
        <w:pStyle w:val="TextoNormal"/>
      </w:pPr>
    </w:p>
    <w:p w14:paraId="16DE6037" w14:textId="77777777" w:rsidR="003754FE" w:rsidRDefault="003754FE" w:rsidP="003754FE">
      <w:pPr>
        <w:pStyle w:val="TextoNormal"/>
      </w:pPr>
      <w:r>
        <w:t>e) La mínima actividad probatoria referida a la comisión de la conducta típica por el recurrente de amparo, valorada por los órganos judiciales de modo que no sea ilógica o insuficiente por irrazonable, que se exige para descartar la vulneración del derecho a la presunción de inocencia, ha sido satisfecha con creces en las sentencias recurridas. No le correspondía al Tribunal revisar la valoración efectuada a través de la cual los jueces alcanzaron su íntima convicción, sino solo controlar la razonabilidad del discurso que une la actividad probatoria y el relato fáctico pero mediante una supervisión externa “extraordinariamente cautelosa”.</w:t>
      </w:r>
    </w:p>
    <w:p w14:paraId="4E63CDE6" w14:textId="77777777" w:rsidR="003754FE" w:rsidRDefault="003754FE" w:rsidP="003754FE">
      <w:pPr>
        <w:pStyle w:val="TextoNormal"/>
      </w:pPr>
    </w:p>
    <w:p w14:paraId="157E09D5" w14:textId="77777777" w:rsidR="003754FE" w:rsidRDefault="003754FE" w:rsidP="003754FE">
      <w:pPr>
        <w:pStyle w:val="TextoNormal"/>
      </w:pPr>
      <w:r>
        <w:t xml:space="preserve">f) Debe indicarse que la sentencia de instancia dedica su fundamento jurídico 34 a valorar las pruebas de cargo y descargo practicadas en el juicio respecto del recurrente don Francisco Vallejo Serrano. Destaca la sentencia, la importancia del informe sobre determinados aspectos de la gestión del Instituto de Fomento de Andalucía de los convenios suscritos con la Consejería de Empleo y Desarrollo Tecnológico en materia de trabajo y Seguridad Social, ya que a través de este, el recurrente tuvo conocimiento de las graves irregularidades que se recogían y de los informes de auditoría de cumplimiento sobre el IDEA en los sucesivos ejercicios. La sentencia, como afirma con acierto el fiscal, que descarta la vulneración del </w:t>
      </w:r>
      <w:r>
        <w:lastRenderedPageBreak/>
        <w:t>derecho a la presunción de inocencia, rechaza de forma motivada la alegación del acusado sobre el desconocimiento de los incumplimientos y analiza las consideraciones de los auditores de la Cámara de Cuentas de Andalucía. Con estos datos concluye afirmando que, por consiguiente, el acusado era plenamente consciente de la palmaria ilegalidad de los actos en los que participó, relatados en los hechos probados.</w:t>
      </w:r>
    </w:p>
    <w:p w14:paraId="3D73FA1A" w14:textId="77777777" w:rsidR="003754FE" w:rsidRDefault="003754FE" w:rsidP="003754FE">
      <w:pPr>
        <w:pStyle w:val="TextoNormal"/>
      </w:pPr>
    </w:p>
    <w:p w14:paraId="220A204C" w14:textId="77777777" w:rsidR="003754FE" w:rsidRDefault="003754FE" w:rsidP="003754FE">
      <w:pPr>
        <w:pStyle w:val="TextoNormal"/>
      </w:pPr>
      <w:r>
        <w:t>Además del razonable conocimiento de las ilegalidades que se cometían y que eran advertidas reiteradamente por los informes de auditoría, inferencia absolutamente razonable dada la responsabilidad que el consejero ostentaba en el IFA/IDEA, añade que “se dispuso de los fondos públicos para conceder y pagar a través del IFA/IDEA, los conceptos reseñados en los hechos probados, sin la tramitación del correspondiente expediente que permitiese acreditar, no ya solo el fin público o social del destino de las cantidades concedidas, sino que, suponiendo este, se hubieran aplicado los fondos al mismo y de esta disposición de fondos públicos participaron de forma activa desde el ejercicio 2000 hasta el 2009, los acusados pertenecientes a la Consejería de Empleo. Y otros acusados —entre los que se encuentra el recurrente—, por realizar las conductas descritas en los hechos probados, conociendo las aludidas deficiencias a través de los informes de control financiero de la Intervención General de la Junta de Andalucía”.</w:t>
      </w:r>
    </w:p>
    <w:p w14:paraId="1AFB6B16" w14:textId="77777777" w:rsidR="003754FE" w:rsidRDefault="003754FE" w:rsidP="003754FE">
      <w:pPr>
        <w:pStyle w:val="TextoNormal"/>
      </w:pPr>
    </w:p>
    <w:p w14:paraId="268295EF" w14:textId="77777777" w:rsidR="003754FE" w:rsidRDefault="003754FE" w:rsidP="003754FE">
      <w:pPr>
        <w:pStyle w:val="TextoNormal"/>
      </w:pPr>
      <w:r>
        <w:t>g) Posteriormente el Tribunal Supremo infiere claramente el conocimiento de las constantes ilegalidades porque en su condición de miembro del Consejo de Gobierno, participó de forma directa en la aprobación de distintas modificaciones presupuestarias y proyectos de presupuestos, pese a tener conocimiento del ilegal sistema de concesión de las ayudas objeto del presente procedimiento. El recurrente, pese a tener la posibilidad de evitar el desvío masivo de fondos, atendida la posición que ostentaba en la agencia y que evidentemente le situaban en una posición de garante y custodio de la correcta aplicación de los mismos, participó ya no por omisión, sino directamente en la sustracción al suscribir diversos convenios particulares celebrados al amparo del convenio marco de 2001 y, permitiendo que el IFA/IDEA actuase como mera caja pagadora de los compromisos asumidos por la Dirección General de Trabajo y Seguridad Social, para la concesión libérrima y arbitraria de ayudas y subvenciones ilegales, al margen de cualquier garantía procedimental, afectando a la partida que dotada por las transferencias de financiación debía aplicarse a los gastos de explotación.</w:t>
      </w:r>
    </w:p>
    <w:p w14:paraId="04672CA2" w14:textId="77777777" w:rsidR="003754FE" w:rsidRDefault="003754FE" w:rsidP="003754FE">
      <w:pPr>
        <w:pStyle w:val="TextoNormal"/>
      </w:pPr>
    </w:p>
    <w:p w14:paraId="699D382E" w14:textId="77777777" w:rsidR="003754FE" w:rsidRDefault="003754FE" w:rsidP="003754FE">
      <w:pPr>
        <w:pStyle w:val="TextoNormal"/>
      </w:pPr>
      <w:r>
        <w:t>h) Por tanto puede concluirse, de modo contundente, que las resoluciones impugnadas desde la perspectiva de la doctrina constitucional contienen una argumentación lógica y razonable que se infiere de los hechos declarados probados y abarca todos los elementos del tipo del injusto —incluidos los subjetivos— respecto de la malversación de caudales públicos.</w:t>
      </w:r>
    </w:p>
    <w:p w14:paraId="27CC1F91" w14:textId="77777777" w:rsidR="003754FE" w:rsidRDefault="003754FE" w:rsidP="003754FE">
      <w:pPr>
        <w:pStyle w:val="TextoNormal"/>
      </w:pPr>
    </w:p>
    <w:p w14:paraId="4ACA6701" w14:textId="77777777" w:rsidR="003754FE" w:rsidRDefault="003754FE" w:rsidP="003754FE">
      <w:pPr>
        <w:pStyle w:val="TextoNormal"/>
      </w:pPr>
      <w:r>
        <w:t>i) De este modo, el control externo de las sentencias que le corresponde a esta jurisdicción constitucional permite afirmar, contrariamente a lo sostenido en la sentencia frente a la que formulamos el presente voto particular, la razonabilidad del nexo establecido por las resoluciones, sin perjuicio de la respetable discrepancia del recurrente sobre otras alternativas posibles a las conclusiones alcanzadas por los órganos judiciales, sobre las que este tribunal no debe pronunciarse.</w:t>
      </w:r>
    </w:p>
    <w:p w14:paraId="5B310DAB" w14:textId="77777777" w:rsidR="003754FE" w:rsidRDefault="003754FE" w:rsidP="003754FE">
      <w:pPr>
        <w:pStyle w:val="TextoNormal"/>
      </w:pPr>
    </w:p>
    <w:p w14:paraId="3450AAB3" w14:textId="77777777" w:rsidR="003754FE" w:rsidRDefault="003754FE" w:rsidP="003754FE">
      <w:pPr>
        <w:pStyle w:val="TextoNormal"/>
      </w:pPr>
      <w:r>
        <w:lastRenderedPageBreak/>
        <w:t>j) La sentencia ha efectuado una revisión de oficio de la motivación de las resoluciones impugnadas marginando la valoración probatoria de las sentencias a la que antes se ha hecho referencia y suplantando a los tribunales ordinarios en la función que les corresponde. De este modo, la sentencia efectúa un viraje en relación al tradicional modo de enfocar la vulneración del derecho a la presunción de inocencia y evalúa la valoración de la prueba conforme a criterios de calidad o de oportunidad, alejándose de la supervisión externa que le corresponde y de la “extraordinaria cautela” que debe asumir, al no ser función del Tribunal enjuiciar el resultado alcanzado, sino el control externo del razonamiento lógico seguido por las resoluciones impugnadas. La argumentación de las sentencias de instancia y de casación, en razón a lo expuesto, justifica de modo coherente el conocimiento que el recurrente tenía de la ilicitud de la concesión de ayudas por el IFA/IDEA en el periodo que él fue director.</w:t>
      </w:r>
    </w:p>
    <w:p w14:paraId="53A9444D" w14:textId="77777777" w:rsidR="003754FE" w:rsidRDefault="003754FE" w:rsidP="003754FE">
      <w:pPr>
        <w:pStyle w:val="TextoNormal"/>
      </w:pPr>
    </w:p>
    <w:p w14:paraId="76B74281" w14:textId="77777777" w:rsidR="003754FE" w:rsidRDefault="003754FE" w:rsidP="003754FE">
      <w:pPr>
        <w:pStyle w:val="TextoNormal"/>
      </w:pPr>
      <w:r>
        <w:t>Por lo expuesto, formulamos el presente voto particular.</w:t>
      </w:r>
    </w:p>
    <w:p w14:paraId="01B2D4CE" w14:textId="77777777" w:rsidR="003754FE" w:rsidRDefault="003754FE" w:rsidP="003754FE">
      <w:pPr>
        <w:pStyle w:val="TextoNormal"/>
      </w:pPr>
    </w:p>
    <w:p w14:paraId="68A0534F" w14:textId="449AA572" w:rsidR="003754FE" w:rsidRDefault="003754FE" w:rsidP="003754FE">
      <w:pPr>
        <w:pStyle w:val="TextoNormal"/>
      </w:pPr>
      <w:r>
        <w:t>Madrid, a tres de julio de dos mil veinticuatro.</w:t>
      </w:r>
    </w:p>
    <w:p w14:paraId="0D6D469B" w14:textId="343A6C92" w:rsidR="003754FE" w:rsidRDefault="003754FE">
      <w:pPr>
        <w:spacing w:after="160" w:line="278" w:lineRule="auto"/>
        <w:rPr>
          <w:rFonts w:ascii="Times New Roman" w:eastAsia="Times New Roman" w:hAnsi="Times New Roman" w:cs="Times New Roman"/>
          <w:sz w:val="24"/>
          <w:szCs w:val="24"/>
          <w:lang w:eastAsia="es-ES"/>
        </w:rPr>
      </w:pPr>
      <w:r>
        <w:br w:type="page"/>
      </w:r>
    </w:p>
    <w:p w14:paraId="68773BF2" w14:textId="77777777" w:rsidR="003754FE" w:rsidRDefault="003754FE" w:rsidP="003754FE">
      <w:pPr>
        <w:pStyle w:val="TtuloResolucin"/>
      </w:pPr>
      <w:bookmarkStart w:id="6" w:name="SENTENCIA_2024_97"/>
      <w:r>
        <w:lastRenderedPageBreak/>
        <w:t>SENTENCIA 97/2024, de 3 de julio de 2024</w:t>
      </w:r>
    </w:p>
    <w:bookmarkEnd w:id="6"/>
    <w:p w14:paraId="68440AAB" w14:textId="77777777" w:rsidR="003754FE" w:rsidRDefault="003754FE" w:rsidP="003754FE">
      <w:pPr>
        <w:pStyle w:val="TtuloResolucin"/>
      </w:pPr>
      <w:r>
        <w:t>Pleno</w:t>
      </w:r>
    </w:p>
    <w:p w14:paraId="649E9978" w14:textId="77777777" w:rsidR="003754FE" w:rsidRDefault="003754FE" w:rsidP="003754FE">
      <w:pPr>
        <w:pStyle w:val="TtuloBOE"/>
      </w:pPr>
      <w:r>
        <w:t>(BOE núm. 186, de 2 de agosto de 2024)</w:t>
      </w:r>
    </w:p>
    <w:p w14:paraId="0C3EDDAC" w14:textId="77777777" w:rsidR="003754FE" w:rsidRDefault="003754FE" w:rsidP="003754FE">
      <w:pPr>
        <w:pStyle w:val="TextoNormalCentrado"/>
      </w:pPr>
      <w:r>
        <w:t>ECLI:ES:TC:2024:97</w:t>
      </w:r>
    </w:p>
    <w:p w14:paraId="48A06807" w14:textId="4CC3BD38" w:rsidR="003754FE" w:rsidRDefault="003754FE" w:rsidP="003754FE">
      <w:pPr>
        <w:pStyle w:val="TextoNormalCentrado"/>
      </w:pPr>
    </w:p>
    <w:p w14:paraId="2629DC07" w14:textId="77777777" w:rsidR="003754FE" w:rsidRDefault="003754FE" w:rsidP="003754FE">
      <w:pPr>
        <w:pStyle w:val="SntesisDescriptiva"/>
      </w:pPr>
      <w:r>
        <w:t>Recurso de amparo 2361-2023. Promovido por don Jesús María Rodríguez Román respecto de las sentencias dictadas por la Sala de lo Penal del Tribunal Supremo y la Audiencia Provincial de Sevilla que le condenaron por un delito continuado de prevaricación en concurso medial con un delito continuado de malversación de caudales públicos.</w:t>
      </w:r>
    </w:p>
    <w:p w14:paraId="0A481D36" w14:textId="79ED7837" w:rsidR="003754FE" w:rsidRDefault="003754FE" w:rsidP="003754FE">
      <w:pPr>
        <w:pStyle w:val="SntesisDescriptiva"/>
      </w:pPr>
    </w:p>
    <w:p w14:paraId="68CD9DF2" w14:textId="77777777" w:rsidR="003754FE" w:rsidRDefault="003754FE" w:rsidP="003754FE">
      <w:pPr>
        <w:pStyle w:val="SntesisAnaltica"/>
      </w:pPr>
      <w:r>
        <w:t>Vulneración del derecho a la legalidad penal y a la presunción de inocencia: condena basada en una interpretación del todo imprevisible del tipo objetivo. Votos particulares.</w:t>
      </w:r>
    </w:p>
    <w:p w14:paraId="6B57030D" w14:textId="041D0821" w:rsidR="003754FE" w:rsidRDefault="003754FE" w:rsidP="003754FE">
      <w:pPr>
        <w:pStyle w:val="SntesisAnaltica"/>
      </w:pPr>
    </w:p>
    <w:p w14:paraId="28A8C308" w14:textId="03818AB9" w:rsidR="003754FE" w:rsidRDefault="003754FE" w:rsidP="003754FE">
      <w:pPr>
        <w:pStyle w:val="Extracto"/>
      </w:pPr>
      <w:r>
        <w:t>1.</w:t>
      </w:r>
      <w:r>
        <w:tab/>
        <w:t xml:space="preserve">En el marco de la serie de sentencias dictadas en relación con el denominado proceso “ERE”, -que en este caso derivó en condena por delito continuado de prevaricación administrativa del art. 404 CP, en concurso medial con un delito continuado de malversación de caudales públicos del art. 432 CP-, se reitera doctrina en materia de la vulneración de los derechos a la legalidad penal </w:t>
      </w:r>
      <w:r w:rsidRPr="003754FE">
        <w:rPr>
          <w:i/>
        </w:rPr>
        <w:t>ex</w:t>
      </w:r>
      <w:r>
        <w:t xml:space="preserve"> art. 25.1 CE y a la presunción de inocencia </w:t>
      </w:r>
      <w:r w:rsidRPr="003754FE">
        <w:rPr>
          <w:i/>
        </w:rPr>
        <w:t>ex</w:t>
      </w:r>
      <w:r>
        <w:t xml:space="preserve"> art. 24.2 CE (SSTC 93/2024 y 94/2024) [FFJJ 3 a 6].</w:t>
      </w:r>
    </w:p>
    <w:p w14:paraId="5133AFBB" w14:textId="77777777" w:rsidR="003754FE" w:rsidRDefault="003754FE" w:rsidP="003754FE">
      <w:pPr>
        <w:pStyle w:val="Extracto"/>
      </w:pPr>
    </w:p>
    <w:p w14:paraId="0501A650" w14:textId="77777777" w:rsidR="003754FE" w:rsidRDefault="003754FE" w:rsidP="003754FE">
      <w:pPr>
        <w:pStyle w:val="Extracto"/>
      </w:pPr>
    </w:p>
    <w:p w14:paraId="7D8D9F20"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1C944B7F" w14:textId="10573B61" w:rsidR="003754FE" w:rsidRDefault="003754FE" w:rsidP="003754FE">
      <w:pPr>
        <w:pStyle w:val="TextoNormal"/>
      </w:pPr>
    </w:p>
    <w:p w14:paraId="118424B2" w14:textId="77777777" w:rsidR="003754FE" w:rsidRDefault="003754FE" w:rsidP="003754FE">
      <w:pPr>
        <w:pStyle w:val="TextoNormalCentrado"/>
        <w:keepNext/>
      </w:pPr>
      <w:r>
        <w:t>EN NOMBRE DEL REY</w:t>
      </w:r>
    </w:p>
    <w:p w14:paraId="2427E15B" w14:textId="28FD1E67" w:rsidR="003754FE" w:rsidRDefault="003754FE" w:rsidP="003754FE">
      <w:pPr>
        <w:pStyle w:val="TextoNormalCentrado"/>
        <w:keepNext/>
      </w:pPr>
    </w:p>
    <w:p w14:paraId="7CF70F1B" w14:textId="77777777" w:rsidR="003754FE" w:rsidRDefault="003754FE" w:rsidP="003754FE">
      <w:pPr>
        <w:pStyle w:val="TextoNormalCentrado"/>
        <w:keepNext/>
      </w:pPr>
    </w:p>
    <w:p w14:paraId="017472D0" w14:textId="77777777" w:rsidR="003754FE" w:rsidRDefault="003754FE" w:rsidP="003754FE">
      <w:pPr>
        <w:pStyle w:val="TextoNormal"/>
      </w:pPr>
      <w:r>
        <w:t>la siguiente</w:t>
      </w:r>
    </w:p>
    <w:p w14:paraId="1143D9CE" w14:textId="73077DDD" w:rsidR="003754FE" w:rsidRDefault="003754FE" w:rsidP="003754FE">
      <w:pPr>
        <w:pStyle w:val="TextoNormal"/>
      </w:pPr>
    </w:p>
    <w:p w14:paraId="102A2B08" w14:textId="77777777" w:rsidR="003754FE" w:rsidRDefault="003754FE" w:rsidP="003754FE">
      <w:pPr>
        <w:pStyle w:val="TextoNormalCentrado"/>
        <w:keepNext/>
      </w:pPr>
      <w:r>
        <w:t>SENTENCIA</w:t>
      </w:r>
    </w:p>
    <w:p w14:paraId="78B90130" w14:textId="6C6F9814" w:rsidR="003754FE" w:rsidRDefault="003754FE" w:rsidP="003754FE">
      <w:pPr>
        <w:pStyle w:val="TextoNormalCentrado"/>
        <w:keepNext/>
      </w:pPr>
    </w:p>
    <w:p w14:paraId="2A210441" w14:textId="77777777" w:rsidR="003754FE" w:rsidRDefault="003754FE" w:rsidP="003754FE">
      <w:pPr>
        <w:pStyle w:val="TextoNormal"/>
      </w:pPr>
      <w:r>
        <w:t xml:space="preserve">En el recurso de amparo núm. 2361-2023, promovido por don Jesús María Rodríguez Román, representado por la procuradora de los tribunales doña Patricia Rosch Iglesias, bajo la dirección letrada de don Luis Aparicio Díaz, contra la sentencia núm. 490/2019, de 19 de noviembre, dictada por la Sección Primera de la Audiencia Provincial de Sevilla en el rollo núm. 1965-2017, dimanante del procedimiento abreviado núm. 133-2016; la sentencia núm. 749/2022, de 13 de septiembre, de la Sala de lo Penal del Tribunal Supremo, dictada en el recurso de casación núm. 601-2020, y el auto de 16 de febrero de 2023 dictado en el mismo recurso. Han sido parte el Partido Popular, representado por el procurador de los tribunales don Manuel Sánchez-Puelles González-Carvajal, bajo la dirección técnica de los letrados don Ángel Márquez Prieto y don Alfonso Martínez Escribano; don José Antonio Griñán Martínez y don Antonio Vicente Lozano Peña, representados por el procurador de los </w:t>
      </w:r>
      <w:r>
        <w:lastRenderedPageBreak/>
        <w:t>tribunales don Roberto Granizo Palomeque, bajo la dirección técnica del letrado don José María Calero Martínez; don Francisco Vallejo Serrano, representado por la procuradora de los tribunales doña Patricia Rosch Iglesias, bajo la dirección técnica de la letrada doña María Encarnación Molino Barrero; doña Carmen Martínez Aguayo, representada por la procuradora doña Olga Coca Alonso, bajo la dirección técnica del letrado don Víctor Moreno Catena, y don Gaspar Zarrías Arévalo, representado por la procuradora de los tribunales doña Virginia Aragón Segura, bajo la dirección técnica del letrado don Gonzalo Martínez-Fresneda Ortiz de Solórzano. Ha intervenido el Ministerio Fiscal. Ha sido ponente la magistrada doña Inmaculada Montalbán Huertas.</w:t>
      </w:r>
    </w:p>
    <w:p w14:paraId="711D88B0" w14:textId="6F54FAA8" w:rsidR="003754FE" w:rsidRDefault="003754FE" w:rsidP="003754FE">
      <w:pPr>
        <w:pStyle w:val="TextoNormal"/>
      </w:pPr>
    </w:p>
    <w:p w14:paraId="49D38544" w14:textId="77777777" w:rsidR="003754FE" w:rsidRDefault="003754FE" w:rsidP="003754FE">
      <w:pPr>
        <w:pStyle w:val="TextoNormalNegritaCentrado"/>
        <w:keepNext/>
      </w:pPr>
      <w:r>
        <w:t>I. Antecedentes</w:t>
      </w:r>
    </w:p>
    <w:p w14:paraId="3426D0D0" w14:textId="50258105" w:rsidR="003754FE" w:rsidRDefault="003754FE" w:rsidP="003754FE">
      <w:pPr>
        <w:pStyle w:val="TextoNormalNegritaCentrado"/>
        <w:keepNext/>
      </w:pPr>
    </w:p>
    <w:p w14:paraId="7039D2CE" w14:textId="77F87CD8" w:rsidR="003754FE" w:rsidRDefault="003754FE" w:rsidP="003754FE">
      <w:pPr>
        <w:pStyle w:val="TextoNormal"/>
      </w:pPr>
      <w:r w:rsidRPr="003754FE">
        <w:rPr>
          <w:rStyle w:val="NumeroAFNegritaCaracter"/>
        </w:rPr>
        <w:t>1</w:t>
      </w:r>
      <w:r>
        <w:t>. El 10 de abril de 2023 tuvo entrada en el registro general de este tribunal un escrito presentado por la procuradora doña Patricia Rosch Iglesias, actuando en nombre y representación de don Jesús María Rodríguez Román bajo la dirección letrada del abogado don Luis Aparicio Díaz, mediante el que interpuso recurso de amparo contra las resoluciones judiciales que se mencionan en el encabezamiento.</w:t>
      </w:r>
    </w:p>
    <w:p w14:paraId="5D9A787E" w14:textId="77777777" w:rsidR="003754FE" w:rsidRDefault="003754FE" w:rsidP="003754FE">
      <w:pPr>
        <w:pStyle w:val="TextoNormal"/>
      </w:pPr>
    </w:p>
    <w:p w14:paraId="3DF6B580" w14:textId="77777777" w:rsidR="003754FE" w:rsidRDefault="003754FE" w:rsidP="003754FE">
      <w:pPr>
        <w:pStyle w:val="TextoNormal"/>
      </w:pPr>
      <w:r w:rsidRPr="003754FE">
        <w:rPr>
          <w:rStyle w:val="NumeroAFNegritaCaracter"/>
        </w:rPr>
        <w:t>2</w:t>
      </w:r>
      <w:r>
        <w:t>. Son antecedentes relevantes de la demanda los siguientes:</w:t>
      </w:r>
    </w:p>
    <w:p w14:paraId="0D86B1AB" w14:textId="77777777" w:rsidR="003754FE" w:rsidRDefault="003754FE" w:rsidP="003754FE">
      <w:pPr>
        <w:pStyle w:val="TextoNormal"/>
      </w:pPr>
    </w:p>
    <w:p w14:paraId="4090C6FA" w14:textId="77777777" w:rsidR="003754FE" w:rsidRDefault="003754FE" w:rsidP="003754FE">
      <w:pPr>
        <w:pStyle w:val="TextoNormal"/>
      </w:pPr>
      <w:r>
        <w:t>a) Las resoluciones impugnadas en el presente proceso de amparo han sido dictadas en el marco de la denominada “pieza específica” del caso “ERE”, en la que fueron condenados diversos miembros del Gobierno y la administración de la Junta de Andalucía —incluyendo desde presidentes de la comunidad autónoma a directores generales— por haber intervenido, a lo largo de casi diez años, en el diseño y/o ejecución de un sistema ilegal de concesión de ayudas sociolaborales.</w:t>
      </w:r>
    </w:p>
    <w:p w14:paraId="406EDEDB" w14:textId="77777777" w:rsidR="003754FE" w:rsidRDefault="003754FE" w:rsidP="003754FE">
      <w:pPr>
        <w:pStyle w:val="TextoNormal"/>
      </w:pPr>
    </w:p>
    <w:p w14:paraId="09CABE4B" w14:textId="77777777" w:rsidR="003754FE" w:rsidRDefault="003754FE" w:rsidP="003754FE">
      <w:pPr>
        <w:pStyle w:val="TextoNormal"/>
      </w:pPr>
      <w:r>
        <w:t>Según el resumen efectuado por el Tribunal Supremo en la sentencia de casación (folio 97 y siguientes), los hechos en los que se habría articulado ese sistema de concesión ilegal de ayudas sociolaborales se dividirían en tres etapas diferentes:</w:t>
      </w:r>
    </w:p>
    <w:p w14:paraId="20ED0903" w14:textId="77777777" w:rsidR="003754FE" w:rsidRDefault="003754FE" w:rsidP="003754FE">
      <w:pPr>
        <w:pStyle w:val="TextoNormal"/>
      </w:pPr>
    </w:p>
    <w:p w14:paraId="73DB4502" w14:textId="77777777" w:rsidR="003754FE" w:rsidRDefault="003754FE" w:rsidP="003754FE">
      <w:pPr>
        <w:pStyle w:val="TextoNormal"/>
      </w:pPr>
      <w:r>
        <w:t>“I) Primera etapa</w:t>
      </w:r>
    </w:p>
    <w:p w14:paraId="3AD1F785" w14:textId="77777777" w:rsidR="003754FE" w:rsidRDefault="003754FE" w:rsidP="003754FE">
      <w:pPr>
        <w:pStyle w:val="TextoNormal"/>
      </w:pPr>
    </w:p>
    <w:p w14:paraId="2FED4486" w14:textId="77777777" w:rsidR="003754FE" w:rsidRDefault="003754FE" w:rsidP="003754FE">
      <w:pPr>
        <w:pStyle w:val="TextoNormal"/>
      </w:pPr>
      <w:r>
        <w:t>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14:paraId="600C6F74" w14:textId="77777777" w:rsidR="003754FE" w:rsidRDefault="003754FE" w:rsidP="003754FE">
      <w:pPr>
        <w:pStyle w:val="TextoNormal"/>
      </w:pPr>
    </w:p>
    <w:p w14:paraId="199AD907" w14:textId="77777777" w:rsidR="003754FE" w:rsidRDefault="003754FE" w:rsidP="003754FE">
      <w:pPr>
        <w:pStyle w:val="TextoNormal"/>
      </w:pPr>
      <w:r>
        <w:t>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14:paraId="51ED5D98" w14:textId="77777777" w:rsidR="003754FE" w:rsidRDefault="003754FE" w:rsidP="003754FE">
      <w:pPr>
        <w:pStyle w:val="TextoNormal"/>
      </w:pPr>
    </w:p>
    <w:p w14:paraId="03507B5F" w14:textId="77777777" w:rsidR="003754FE" w:rsidRDefault="003754FE" w:rsidP="003754FE">
      <w:pPr>
        <w:pStyle w:val="TextoNormal"/>
      </w:pPr>
      <w:r>
        <w:t>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14:paraId="3E58375E" w14:textId="77777777" w:rsidR="003754FE" w:rsidRDefault="003754FE" w:rsidP="003754FE">
      <w:pPr>
        <w:pStyle w:val="TextoNormal"/>
      </w:pPr>
    </w:p>
    <w:p w14:paraId="08BBB171" w14:textId="77777777" w:rsidR="003754FE" w:rsidRDefault="003754FE" w:rsidP="003754FE">
      <w:pPr>
        <w:pStyle w:val="TextoNormal"/>
      </w:pPr>
      <w:r>
        <w:t>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del Parlamento de Andalucía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14:paraId="554FA9FA" w14:textId="77777777" w:rsidR="003754FE" w:rsidRDefault="003754FE" w:rsidP="003754FE">
      <w:pPr>
        <w:pStyle w:val="TextoNormal"/>
      </w:pPr>
    </w:p>
    <w:p w14:paraId="58B03E2B" w14:textId="77777777" w:rsidR="003754FE" w:rsidRDefault="003754FE" w:rsidP="003754FE">
      <w:pPr>
        <w:pStyle w:val="TextoNormal"/>
      </w:pPr>
      <w:r>
        <w:t>Sin perjuicio de ahondar más adelante en el régimen jurídico aplicable a estas ayudas, las notas más relevantes de esta regulación eran las siguientes:</w:t>
      </w:r>
    </w:p>
    <w:p w14:paraId="50DC685E" w14:textId="77777777" w:rsidR="003754FE" w:rsidRDefault="003754FE" w:rsidP="003754FE">
      <w:pPr>
        <w:pStyle w:val="TextoNormal"/>
      </w:pPr>
    </w:p>
    <w:p w14:paraId="4A914493" w14:textId="77777777" w:rsidR="003754FE" w:rsidRDefault="003754FE" w:rsidP="003754FE">
      <w:pPr>
        <w:pStyle w:val="TextoNormal"/>
      </w:pPr>
      <w:r>
        <w:t>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14:paraId="2C6A11B0" w14:textId="77777777" w:rsidR="003754FE" w:rsidRDefault="003754FE" w:rsidP="003754FE">
      <w:pPr>
        <w:pStyle w:val="TextoNormal"/>
      </w:pPr>
    </w:p>
    <w:p w14:paraId="2384F83C" w14:textId="77777777" w:rsidR="003754FE" w:rsidRDefault="003754FE" w:rsidP="003754FE">
      <w:pPr>
        <w:pStyle w:val="TextoNormal"/>
      </w:pPr>
      <w:r>
        <w:t>Los beneficiarios de la subvención quedaban sujetos a las siguientes obligaciones:</w:t>
      </w:r>
    </w:p>
    <w:p w14:paraId="40D732F0" w14:textId="77777777" w:rsidR="003754FE" w:rsidRDefault="003754FE" w:rsidP="003754FE">
      <w:pPr>
        <w:pStyle w:val="TextoNormal"/>
      </w:pPr>
    </w:p>
    <w:p w14:paraId="51CFABCB" w14:textId="77777777" w:rsidR="003754FE" w:rsidRDefault="003754FE" w:rsidP="003754FE">
      <w:pPr>
        <w:pStyle w:val="TextoNormal"/>
      </w:pPr>
      <w:r>
        <w:t>(i) Realizar la actividad o adoptar el comportamiento que fundamente la concesión de la subvención en la forma y plazos establecidos.</w:t>
      </w:r>
    </w:p>
    <w:p w14:paraId="07490CF9" w14:textId="77777777" w:rsidR="003754FE" w:rsidRDefault="003754FE" w:rsidP="003754FE">
      <w:pPr>
        <w:pStyle w:val="TextoNormal"/>
      </w:pPr>
    </w:p>
    <w:p w14:paraId="2E097DA1" w14:textId="77777777" w:rsidR="003754FE" w:rsidRDefault="003754FE" w:rsidP="003754FE">
      <w:pPr>
        <w:pStyle w:val="TextoNormal"/>
      </w:pPr>
      <w:r>
        <w:t>(ii) Justificar ante la entidad concedente o, en su caso, la entidad colaboradora la realización de la actividad o la adopción del comportamiento, así como el cumplimiento de los requisitos y condiciones que determinen la concesión o disfrute de la subvención.</w:t>
      </w:r>
    </w:p>
    <w:p w14:paraId="5D4C771A" w14:textId="77777777" w:rsidR="003754FE" w:rsidRDefault="003754FE" w:rsidP="003754FE">
      <w:pPr>
        <w:pStyle w:val="TextoNormal"/>
      </w:pPr>
    </w:p>
    <w:p w14:paraId="56747DF1" w14:textId="77777777" w:rsidR="003754FE" w:rsidRDefault="003754FE" w:rsidP="003754FE">
      <w:pPr>
        <w:pStyle w:val="TextoNormal"/>
      </w:pPr>
      <w:r>
        <w:t>(iii)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14:paraId="651250B7" w14:textId="77777777" w:rsidR="003754FE" w:rsidRDefault="003754FE" w:rsidP="003754FE">
      <w:pPr>
        <w:pStyle w:val="TextoNormal"/>
      </w:pPr>
    </w:p>
    <w:p w14:paraId="05C99198" w14:textId="77777777" w:rsidR="003754FE" w:rsidRDefault="003754FE" w:rsidP="003754FE">
      <w:pPr>
        <w:pStyle w:val="TextoNormal"/>
      </w:pPr>
      <w:r>
        <w:t>(iv)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14:paraId="44FDEEC5" w14:textId="77777777" w:rsidR="003754FE" w:rsidRDefault="003754FE" w:rsidP="003754FE">
      <w:pPr>
        <w:pStyle w:val="TextoNormal"/>
      </w:pPr>
    </w:p>
    <w:p w14:paraId="479CFF85" w14:textId="77777777" w:rsidR="003754FE" w:rsidRDefault="003754FE" w:rsidP="003754FE">
      <w:pPr>
        <w:pStyle w:val="TextoNormal"/>
      </w:pPr>
      <w:r>
        <w:t xml:space="preserve">(v) Acreditar, previamente al cobro de la subvención, que se encuentra al corriente de sus obligaciones fiscales y frente a la Seguridad Social, en la forma que se determine por la </w:t>
      </w:r>
      <w:r>
        <w:lastRenderedPageBreak/>
        <w:t>Consejería de Economía y Hacienda que, asimismo, establecerá los supuestos de exoneración de tal acreditación (artículo 105).</w:t>
      </w:r>
    </w:p>
    <w:p w14:paraId="3857E203" w14:textId="77777777" w:rsidR="003754FE" w:rsidRDefault="003754FE" w:rsidP="003754FE">
      <w:pPr>
        <w:pStyle w:val="TextoNormal"/>
      </w:pPr>
    </w:p>
    <w:p w14:paraId="2226317F" w14:textId="77777777" w:rsidR="003754FE" w:rsidRDefault="003754FE" w:rsidP="003754FE">
      <w:pPr>
        <w:pStyle w:val="TextoNormal"/>
      </w:pPr>
      <w:r>
        <w:t>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14:paraId="3D8835D8" w14:textId="77777777" w:rsidR="003754FE" w:rsidRDefault="003754FE" w:rsidP="003754FE">
      <w:pPr>
        <w:pStyle w:val="TextoNormal"/>
      </w:pPr>
    </w:p>
    <w:p w14:paraId="27F6ACDF" w14:textId="77777777" w:rsidR="003754FE" w:rsidRDefault="003754FE" w:rsidP="003754FE">
      <w:pPr>
        <w:pStyle w:val="TextoNormal"/>
      </w:pPr>
      <w:r>
        <w:t>En las bases reguladoras se podía disponer que la entrega fuera realizada por entidades colaboradoras. Las empresas públicas de Andalucía podían ser entidades colaboradoras y también se establecían a su cargo las siguientes obligaciones:</w:t>
      </w:r>
    </w:p>
    <w:p w14:paraId="27FCFC8E" w14:textId="77777777" w:rsidR="003754FE" w:rsidRDefault="003754FE" w:rsidP="003754FE">
      <w:pPr>
        <w:pStyle w:val="TextoNormal"/>
      </w:pPr>
    </w:p>
    <w:p w14:paraId="1CCD5946" w14:textId="77777777" w:rsidR="003754FE" w:rsidRDefault="003754FE" w:rsidP="003754FE">
      <w:pPr>
        <w:pStyle w:val="TextoNormal"/>
      </w:pPr>
      <w:r>
        <w:t>(i) Entregar a los beneficiarios los fondos recibidos de acuerdo con los criterios establecidos en las normas reguladoras de la subvención o ayuda.</w:t>
      </w:r>
    </w:p>
    <w:p w14:paraId="03FF17B2" w14:textId="77777777" w:rsidR="003754FE" w:rsidRDefault="003754FE" w:rsidP="003754FE">
      <w:pPr>
        <w:pStyle w:val="TextoNormal"/>
      </w:pPr>
    </w:p>
    <w:p w14:paraId="72B0110E" w14:textId="77777777" w:rsidR="003754FE" w:rsidRDefault="003754FE" w:rsidP="003754FE">
      <w:pPr>
        <w:pStyle w:val="TextoNormal"/>
      </w:pPr>
      <w:r>
        <w:t>(ii) Verificar, en su caso, el cumplimiento y efectividad de las condiciones determinantes para su otorgamiento.</w:t>
      </w:r>
    </w:p>
    <w:p w14:paraId="63F4E38F" w14:textId="77777777" w:rsidR="003754FE" w:rsidRDefault="003754FE" w:rsidP="003754FE">
      <w:pPr>
        <w:pStyle w:val="TextoNormal"/>
      </w:pPr>
    </w:p>
    <w:p w14:paraId="7D08A669" w14:textId="77777777" w:rsidR="003754FE" w:rsidRDefault="003754FE" w:rsidP="003754FE">
      <w:pPr>
        <w:pStyle w:val="TextoNormal"/>
      </w:pPr>
      <w:r>
        <w:t>(iii) Justificar la aplicación de los fondos recibidos ante la entidad concedente y, en su caso, entregar la justificación presentada por los beneficiarios.</w:t>
      </w:r>
    </w:p>
    <w:p w14:paraId="22463903" w14:textId="77777777" w:rsidR="003754FE" w:rsidRDefault="003754FE" w:rsidP="003754FE">
      <w:pPr>
        <w:pStyle w:val="TextoNormal"/>
      </w:pPr>
    </w:p>
    <w:p w14:paraId="3F56ED58" w14:textId="77777777" w:rsidR="003754FE" w:rsidRDefault="003754FE" w:rsidP="003754FE">
      <w:pPr>
        <w:pStyle w:val="TextoNormal"/>
      </w:pPr>
      <w:r>
        <w:t>(iv)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14:paraId="0B361C20" w14:textId="77777777" w:rsidR="003754FE" w:rsidRDefault="003754FE" w:rsidP="003754FE">
      <w:pPr>
        <w:pStyle w:val="TextoNormal"/>
      </w:pPr>
    </w:p>
    <w:p w14:paraId="12C4D198" w14:textId="77777777" w:rsidR="003754FE" w:rsidRDefault="003754FE" w:rsidP="003754FE">
      <w:pPr>
        <w:pStyle w:val="TextoNormal"/>
      </w:pPr>
      <w:r>
        <w:t>(v) Colaborar en la restitución de las subvenciones otorgadas en los supuestos en que concurra causa de reintegro, y conforme a las normas que se establezcan (artículo 106).</w:t>
      </w:r>
    </w:p>
    <w:p w14:paraId="37185106" w14:textId="77777777" w:rsidR="003754FE" w:rsidRDefault="003754FE" w:rsidP="003754FE">
      <w:pPr>
        <w:pStyle w:val="TextoNormal"/>
      </w:pPr>
    </w:p>
    <w:p w14:paraId="43B8BE64" w14:textId="77777777" w:rsidR="003754FE" w:rsidRDefault="003754FE" w:rsidP="003754FE">
      <w:pPr>
        <w:pStyle w:val="TextoNormal"/>
      </w:pPr>
      <w:r>
        <w:t>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14:paraId="6655E5AA" w14:textId="77777777" w:rsidR="003754FE" w:rsidRDefault="003754FE" w:rsidP="003754FE">
      <w:pPr>
        <w:pStyle w:val="TextoNormal"/>
      </w:pPr>
    </w:p>
    <w:p w14:paraId="5EF7CFF7" w14:textId="77777777" w:rsidR="003754FE" w:rsidRDefault="003754FE" w:rsidP="003754FE">
      <w:pPr>
        <w:pStyle w:val="TextoNormal"/>
      </w:pPr>
      <w:r>
        <w:t>Los proyectos de normas reguladoras de la concesión de subvenciones debían ser sometidos a informe de la Intervención General de la Junta de Andalucía, antes de su aprobación, y publicados en el ‘Boletín Oficial de la Junta de Andalucía’ (artículo 107).</w:t>
      </w:r>
    </w:p>
    <w:p w14:paraId="5BA89DB9" w14:textId="77777777" w:rsidR="003754FE" w:rsidRDefault="003754FE" w:rsidP="003754FE">
      <w:pPr>
        <w:pStyle w:val="TextoNormal"/>
      </w:pPr>
    </w:p>
    <w:p w14:paraId="60210327" w14:textId="77777777" w:rsidR="003754FE" w:rsidRDefault="003754FE" w:rsidP="003754FE">
      <w:pPr>
        <w:pStyle w:val="TextoNormal"/>
      </w:pPr>
      <w:r>
        <w:t>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 también sometida a seguimiento y control posterior, conforme a lo previsto en el artículo</w:t>
      </w:r>
      <w:r w:rsidRPr="003754FE">
        <w:rPr>
          <w:i/>
        </w:rPr>
        <w:t xml:space="preserve"> 85</w:t>
      </w:r>
      <w:r>
        <w:t xml:space="preserve"> bis de la citada ley.</w:t>
      </w:r>
    </w:p>
    <w:p w14:paraId="4D0467CC" w14:textId="77777777" w:rsidR="003754FE" w:rsidRDefault="003754FE" w:rsidP="003754FE">
      <w:pPr>
        <w:pStyle w:val="TextoNormal"/>
      </w:pPr>
    </w:p>
    <w:p w14:paraId="7B4811BE" w14:textId="77777777" w:rsidR="003754FE" w:rsidRDefault="003754FE" w:rsidP="003754FE">
      <w:pPr>
        <w:pStyle w:val="TextoNormal"/>
      </w:pPr>
      <w:r>
        <w:t>II) Segunda etapa</w:t>
      </w:r>
    </w:p>
    <w:p w14:paraId="4ED4A11D" w14:textId="77777777" w:rsidR="003754FE" w:rsidRDefault="003754FE" w:rsidP="003754FE">
      <w:pPr>
        <w:pStyle w:val="TextoNormal"/>
      </w:pPr>
    </w:p>
    <w:p w14:paraId="0D8CA9C3" w14:textId="77777777" w:rsidR="003754FE" w:rsidRDefault="003754FE" w:rsidP="003754FE">
      <w:pPr>
        <w:pStyle w:val="TextoNormal"/>
      </w:pPr>
      <w:r>
        <w:lastRenderedPageBreak/>
        <w:t>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14:paraId="46DED319" w14:textId="77777777" w:rsidR="003754FE" w:rsidRDefault="003754FE" w:rsidP="003754FE">
      <w:pPr>
        <w:pStyle w:val="TextoNormal"/>
      </w:pPr>
    </w:p>
    <w:p w14:paraId="34280A37" w14:textId="77777777" w:rsidR="003754FE" w:rsidRDefault="003754FE" w:rsidP="003754FE">
      <w:pPr>
        <w:pStyle w:val="TextoNormal"/>
      </w:pPr>
      <w:r>
        <w:t>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14:paraId="0C3C9D06" w14:textId="77777777" w:rsidR="003754FE" w:rsidRDefault="003754FE" w:rsidP="003754FE">
      <w:pPr>
        <w:pStyle w:val="TextoNormal"/>
      </w:pPr>
    </w:p>
    <w:p w14:paraId="0370704C" w14:textId="77777777" w:rsidR="003754FE" w:rsidRDefault="003754FE" w:rsidP="003754FE">
      <w:pPr>
        <w:pStyle w:val="TextoNormal"/>
      </w:pPr>
      <w:r>
        <w:t>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14:paraId="4C3B0847" w14:textId="77777777" w:rsidR="003754FE" w:rsidRDefault="003754FE" w:rsidP="003754FE">
      <w:pPr>
        <w:pStyle w:val="TextoNormal"/>
      </w:pPr>
    </w:p>
    <w:p w14:paraId="24BF3518" w14:textId="77777777" w:rsidR="003754FE" w:rsidRDefault="003754FE" w:rsidP="003754FE">
      <w:pPr>
        <w:pStyle w:val="TextoNormal"/>
      </w:pPr>
      <w:r>
        <w:t>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14:paraId="6C6F52FA" w14:textId="77777777" w:rsidR="003754FE" w:rsidRDefault="003754FE" w:rsidP="003754FE">
      <w:pPr>
        <w:pStyle w:val="TextoNormal"/>
      </w:pPr>
    </w:p>
    <w:p w14:paraId="6CAE9F9E" w14:textId="77777777" w:rsidR="003754FE" w:rsidRDefault="003754FE" w:rsidP="003754FE">
      <w:pPr>
        <w:pStyle w:val="TextoNormal"/>
      </w:pPr>
      <w:r>
        <w:t>Ante las dificultades surgidas, en abril de 2000 se procedió a una modificación presupuestaria, bajo la iniciativa de la Consejería de Empleo. Se modificó la clasificación económica del gasto.</w:t>
      </w:r>
    </w:p>
    <w:p w14:paraId="48A8AC74" w14:textId="77777777" w:rsidR="003754FE" w:rsidRDefault="003754FE" w:rsidP="003754FE">
      <w:pPr>
        <w:pStyle w:val="TextoNormal"/>
      </w:pPr>
    </w:p>
    <w:p w14:paraId="1E7B1FD9" w14:textId="77777777" w:rsidR="003754FE" w:rsidRDefault="003754FE" w:rsidP="003754FE">
      <w:pPr>
        <w:pStyle w:val="TextoNormal"/>
      </w:pPr>
      <w:r>
        <w:t>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14:paraId="26AF1403" w14:textId="77777777" w:rsidR="003754FE" w:rsidRDefault="003754FE" w:rsidP="003754FE">
      <w:pPr>
        <w:pStyle w:val="TextoNormal"/>
      </w:pPr>
    </w:p>
    <w:p w14:paraId="08DDECCA" w14:textId="77777777" w:rsidR="003754FE" w:rsidRDefault="003754FE" w:rsidP="003754FE">
      <w:pPr>
        <w:pStyle w:val="TextoNormal"/>
      </w:pPr>
      <w:r>
        <w:t>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14:paraId="39FD85A6" w14:textId="77777777" w:rsidR="003754FE" w:rsidRDefault="003754FE" w:rsidP="003754FE">
      <w:pPr>
        <w:pStyle w:val="TextoNormal"/>
      </w:pPr>
    </w:p>
    <w:p w14:paraId="07F0FFAE" w14:textId="77777777" w:rsidR="003754FE" w:rsidRDefault="003754FE" w:rsidP="003754FE">
      <w:pPr>
        <w:pStyle w:val="TextoNormal"/>
      </w:pPr>
      <w:r>
        <w:t xml:space="preserve">En vez de aprobar una nueva normativa o de cumplir con la normativa entonces vigente se inclinaron por la utilización de un indebido criterio de presupuestación, que permitía </w:t>
      </w:r>
      <w:r>
        <w:lastRenderedPageBreak/>
        <w:t>conceder las subvenciones de forma libre, sin control previo de la Intervención y sin cumplir con los requisitos de las normas reguladoras de las subvenciones.</w:t>
      </w:r>
    </w:p>
    <w:p w14:paraId="207BB4E0" w14:textId="77777777" w:rsidR="003754FE" w:rsidRDefault="003754FE" w:rsidP="003754FE">
      <w:pPr>
        <w:pStyle w:val="TextoNormal"/>
      </w:pPr>
    </w:p>
    <w:p w14:paraId="190AE4EA" w14:textId="77777777" w:rsidR="003754FE" w:rsidRDefault="003754FE" w:rsidP="003754FE">
      <w:pPr>
        <w:pStyle w:val="TextoNormal"/>
      </w:pPr>
      <w:r>
        <w:t>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14:paraId="621982BA" w14:textId="77777777" w:rsidR="003754FE" w:rsidRDefault="003754FE" w:rsidP="003754FE">
      <w:pPr>
        <w:pStyle w:val="TextoNormal"/>
      </w:pPr>
    </w:p>
    <w:p w14:paraId="201615B4" w14:textId="77777777" w:rsidR="003754FE" w:rsidRDefault="003754FE" w:rsidP="003754FE">
      <w:pPr>
        <w:pStyle w:val="TextoNormal"/>
      </w:pPr>
      <w:r>
        <w:t>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w:t>
      </w:r>
      <w:r w:rsidRPr="003754FE">
        <w:rPr>
          <w:i/>
        </w:rPr>
        <w:t>o a posterio</w:t>
      </w:r>
      <w:r>
        <w:t>ri.</w:t>
      </w:r>
    </w:p>
    <w:p w14:paraId="09D102F7" w14:textId="77777777" w:rsidR="003754FE" w:rsidRDefault="003754FE" w:rsidP="003754FE">
      <w:pPr>
        <w:pStyle w:val="TextoNormal"/>
      </w:pPr>
    </w:p>
    <w:p w14:paraId="5FB4A67C" w14:textId="77777777" w:rsidR="003754FE" w:rsidRDefault="003754FE" w:rsidP="003754FE">
      <w:pPr>
        <w:pStyle w:val="TextoNormal"/>
      </w:pPr>
      <w:r>
        <w:t>En efecto, el expediente de las transferencias de financiación no precisa la identificación de los destinatarios de las ayudas. Únicamente requiere consignar:</w:t>
      </w:r>
    </w:p>
    <w:p w14:paraId="7E29B86F" w14:textId="77777777" w:rsidR="003754FE" w:rsidRDefault="003754FE" w:rsidP="003754FE">
      <w:pPr>
        <w:pStyle w:val="TextoNormal"/>
      </w:pPr>
    </w:p>
    <w:p w14:paraId="09BFF1B3" w14:textId="77777777" w:rsidR="003754FE" w:rsidRDefault="003754FE" w:rsidP="003754FE">
      <w:pPr>
        <w:pStyle w:val="TextoNormal"/>
      </w:pPr>
      <w:r>
        <w:t>(i) La propuesta de resolución del órgano competente autorizando la transferencia;</w:t>
      </w:r>
    </w:p>
    <w:p w14:paraId="0411F5BE" w14:textId="77777777" w:rsidR="003754FE" w:rsidRDefault="003754FE" w:rsidP="003754FE">
      <w:pPr>
        <w:pStyle w:val="TextoNormal"/>
      </w:pPr>
    </w:p>
    <w:p w14:paraId="55DF0A6D" w14:textId="77777777" w:rsidR="003754FE" w:rsidRDefault="003754FE" w:rsidP="003754FE">
      <w:pPr>
        <w:pStyle w:val="TextoNormal"/>
      </w:pPr>
      <w:r>
        <w:t>(ii) el calendario de pagos aprobado por la Dirección General de Tesorería;</w:t>
      </w:r>
    </w:p>
    <w:p w14:paraId="5A76D637" w14:textId="77777777" w:rsidR="003754FE" w:rsidRDefault="003754FE" w:rsidP="003754FE">
      <w:pPr>
        <w:pStyle w:val="TextoNormal"/>
      </w:pPr>
    </w:p>
    <w:p w14:paraId="14D20B5B" w14:textId="77777777" w:rsidR="003754FE" w:rsidRDefault="003754FE" w:rsidP="003754FE">
      <w:pPr>
        <w:pStyle w:val="TextoNormal"/>
      </w:pPr>
      <w:r>
        <w:t>(iii) los documentos contables acreditativos de la consignación presupuestaria y el programa de actuación (PAIF) publicado en el ‘BOJA’ por orden de la Consejería de Hacienda.</w:t>
      </w:r>
    </w:p>
    <w:p w14:paraId="7F96C260" w14:textId="77777777" w:rsidR="003754FE" w:rsidRDefault="003754FE" w:rsidP="003754FE">
      <w:pPr>
        <w:pStyle w:val="TextoNormal"/>
      </w:pPr>
    </w:p>
    <w:p w14:paraId="57FAE917" w14:textId="77777777" w:rsidR="003754FE" w:rsidRDefault="003754FE" w:rsidP="003754FE">
      <w:pPr>
        <w:pStyle w:val="TextoNormal"/>
      </w:pPr>
      <w:r>
        <w:t>Y en la fiscalización posterior de la actividad del IFA, realizada a través del llamado ‘control financiero permanente’, conforme a lo previsto en el Real Decreto 9/1999, de 19 de enero, únicamente tenía un triple objetivo:</w:t>
      </w:r>
    </w:p>
    <w:p w14:paraId="036DA6ED" w14:textId="77777777" w:rsidR="003754FE" w:rsidRDefault="003754FE" w:rsidP="003754FE">
      <w:pPr>
        <w:pStyle w:val="TextoNormal"/>
      </w:pPr>
    </w:p>
    <w:p w14:paraId="249291C3" w14:textId="77777777" w:rsidR="003754FE" w:rsidRDefault="003754FE" w:rsidP="003754FE">
      <w:pPr>
        <w:pStyle w:val="TextoNormal"/>
      </w:pPr>
      <w:r>
        <w:t>(i) Comprobar el cumplimiento de la legalidad;</w:t>
      </w:r>
    </w:p>
    <w:p w14:paraId="520B9597" w14:textId="77777777" w:rsidR="003754FE" w:rsidRDefault="003754FE" w:rsidP="003754FE">
      <w:pPr>
        <w:pStyle w:val="TextoNormal"/>
      </w:pPr>
    </w:p>
    <w:p w14:paraId="6067B481" w14:textId="77777777" w:rsidR="003754FE" w:rsidRDefault="003754FE" w:rsidP="003754FE">
      <w:pPr>
        <w:pStyle w:val="TextoNormal"/>
      </w:pPr>
      <w:r>
        <w:t>(ii) examinar las cuentas anuales y</w:t>
      </w:r>
    </w:p>
    <w:p w14:paraId="4C137D02" w14:textId="77777777" w:rsidR="003754FE" w:rsidRDefault="003754FE" w:rsidP="003754FE">
      <w:pPr>
        <w:pStyle w:val="TextoNormal"/>
      </w:pPr>
    </w:p>
    <w:p w14:paraId="59F2FA48" w14:textId="77777777" w:rsidR="003754FE" w:rsidRDefault="003754FE" w:rsidP="003754FE">
      <w:pPr>
        <w:pStyle w:val="TextoNormal"/>
      </w:pPr>
      <w:r>
        <w:t>(iii) examinar críticamente la gestión de los programas asignados al Instituto. Este control no tenía utilidad alguna para conocer el destino de las subvenciones, dado que se limitaba al control de la transferencia.</w:t>
      </w:r>
    </w:p>
    <w:p w14:paraId="018F388F" w14:textId="77777777" w:rsidR="003754FE" w:rsidRDefault="003754FE" w:rsidP="003754FE">
      <w:pPr>
        <w:pStyle w:val="TextoNormal"/>
      </w:pPr>
    </w:p>
    <w:p w14:paraId="3B3089C3" w14:textId="77777777" w:rsidR="003754FE" w:rsidRDefault="003754FE" w:rsidP="003754FE">
      <w:pPr>
        <w:pStyle w:val="TextoNormal"/>
      </w:pPr>
      <w:r>
        <w:t>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(7 de mayo de 2001, 29 de mayo de 2001, 18 de septiembre 2001, 3 de noviembre de 2001 y 5 de diciembre de 2001) por importe, respectivamente, de 500, 5573, 1225, 660 y 6355 millones de pesetas.</w:t>
      </w:r>
    </w:p>
    <w:p w14:paraId="3D05C3C3" w14:textId="77777777" w:rsidR="003754FE" w:rsidRDefault="003754FE" w:rsidP="003754FE">
      <w:pPr>
        <w:pStyle w:val="TextoNormal"/>
      </w:pPr>
    </w:p>
    <w:p w14:paraId="315C91E6" w14:textId="77777777" w:rsidR="003754FE" w:rsidRDefault="003754FE" w:rsidP="003754FE">
      <w:pPr>
        <w:pStyle w:val="TextoNormal"/>
      </w:pPr>
      <w:r>
        <w:t xml:space="preserve">Hasta el mes de julio de 2001 los fondos recibidos por el IFA eran movilizados al destinatario final mediante la suscripción de convenios particulares entre la Consejería de </w:t>
      </w:r>
      <w:r>
        <w:lastRenderedPageBreak/>
        <w:t>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14:paraId="476F4CFC" w14:textId="77777777" w:rsidR="003754FE" w:rsidRDefault="003754FE" w:rsidP="003754FE">
      <w:pPr>
        <w:pStyle w:val="TextoNormal"/>
      </w:pPr>
    </w:p>
    <w:p w14:paraId="62EB020E" w14:textId="77777777" w:rsidR="003754FE" w:rsidRDefault="003754FE" w:rsidP="003754FE">
      <w:pPr>
        <w:pStyle w:val="TextoNormal"/>
      </w:pPr>
      <w:r>
        <w:t>El convenio marco no fue publicado en el ‘BOJA’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14:paraId="52745BA7" w14:textId="77777777" w:rsidR="003754FE" w:rsidRDefault="003754FE" w:rsidP="003754FE">
      <w:pPr>
        <w:pStyle w:val="TextoNormal"/>
      </w:pPr>
    </w:p>
    <w:p w14:paraId="32DD199F" w14:textId="77777777" w:rsidR="003754FE" w:rsidRDefault="003754FE" w:rsidP="003754FE">
      <w:pPr>
        <w:pStyle w:val="TextoNormal"/>
      </w:pPr>
      <w:r>
        <w:t>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14:paraId="37FC449B" w14:textId="77777777" w:rsidR="003754FE" w:rsidRDefault="003754FE" w:rsidP="003754FE">
      <w:pPr>
        <w:pStyle w:val="TextoNormal"/>
      </w:pPr>
    </w:p>
    <w:p w14:paraId="3FC1BE9E" w14:textId="77777777" w:rsidR="003754FE" w:rsidRDefault="003754FE" w:rsidP="003754FE">
      <w:pPr>
        <w:pStyle w:val="TextoNormal"/>
      </w:pPr>
      <w:r>
        <w:t>Por tanto, utilizando el criterio de presupuestación a que antes nos hemos referido se incluyeron las siguientes partidas presupuestarias:</w:t>
      </w:r>
    </w:p>
    <w:p w14:paraId="3D227655" w14:textId="77777777" w:rsidR="003754FE" w:rsidRDefault="003754FE" w:rsidP="003754FE">
      <w:pPr>
        <w:pStyle w:val="TextoNormal"/>
      </w:pPr>
    </w:p>
    <w:p w14:paraId="3C267A08" w14:textId="77777777" w:rsidR="003754FE" w:rsidRDefault="003754FE" w:rsidP="003754FE">
      <w:pPr>
        <w:pStyle w:val="TextoNormal"/>
      </w:pPr>
      <w:r>
        <w:t>- En 2002: 34 341 351 €.</w:t>
      </w:r>
    </w:p>
    <w:p w14:paraId="2D1A19A6" w14:textId="77777777" w:rsidR="003754FE" w:rsidRDefault="003754FE" w:rsidP="003754FE">
      <w:pPr>
        <w:pStyle w:val="TextoNormal"/>
      </w:pPr>
    </w:p>
    <w:p w14:paraId="615F0946" w14:textId="77777777" w:rsidR="003754FE" w:rsidRDefault="003754FE" w:rsidP="003754FE">
      <w:pPr>
        <w:pStyle w:val="TextoNormal"/>
      </w:pPr>
      <w:r>
        <w:t>- En 2003: 55 64 .899 €.</w:t>
      </w:r>
    </w:p>
    <w:p w14:paraId="4070B5B3" w14:textId="77777777" w:rsidR="003754FE" w:rsidRDefault="003754FE" w:rsidP="003754FE">
      <w:pPr>
        <w:pStyle w:val="TextoNormal"/>
      </w:pPr>
    </w:p>
    <w:p w14:paraId="6A008E96" w14:textId="77777777" w:rsidR="003754FE" w:rsidRDefault="003754FE" w:rsidP="003754FE">
      <w:pPr>
        <w:pStyle w:val="TextoNormal"/>
      </w:pPr>
      <w:r>
        <w:t>- En 2004: 46 146 389 €. [En este ejercicio el IFA cambió su denominación por Agencia de Innovación y Desarrollo de Andalucía (IDEA) y pasó a estar adscrito a la Consejería de Innovación, Ciencia y Empresa].</w:t>
      </w:r>
    </w:p>
    <w:p w14:paraId="4EE2800E" w14:textId="77777777" w:rsidR="003754FE" w:rsidRDefault="003754FE" w:rsidP="003754FE">
      <w:pPr>
        <w:pStyle w:val="TextoNormal"/>
      </w:pPr>
    </w:p>
    <w:p w14:paraId="4E2EB34C" w14:textId="77777777" w:rsidR="003754FE" w:rsidRDefault="003754FE" w:rsidP="003754FE">
      <w:pPr>
        <w:pStyle w:val="TextoNormal"/>
      </w:pPr>
      <w:r>
        <w:t>- En 2005: 72 261 575 €.</w:t>
      </w:r>
    </w:p>
    <w:p w14:paraId="76FF539C" w14:textId="77777777" w:rsidR="003754FE" w:rsidRDefault="003754FE" w:rsidP="003754FE">
      <w:pPr>
        <w:pStyle w:val="TextoNormal"/>
      </w:pPr>
    </w:p>
    <w:p w14:paraId="367ECF7D" w14:textId="77777777" w:rsidR="003754FE" w:rsidRDefault="003754FE" w:rsidP="003754FE">
      <w:pPr>
        <w:pStyle w:val="TextoNormal"/>
      </w:pPr>
      <w:r>
        <w:t>- En 2006: 77 291 000 €.</w:t>
      </w:r>
    </w:p>
    <w:p w14:paraId="7E67788C" w14:textId="77777777" w:rsidR="003754FE" w:rsidRDefault="003754FE" w:rsidP="003754FE">
      <w:pPr>
        <w:pStyle w:val="TextoNormal"/>
      </w:pPr>
    </w:p>
    <w:p w14:paraId="2E5EA90A" w14:textId="77777777" w:rsidR="003754FE" w:rsidRDefault="003754FE" w:rsidP="003754FE">
      <w:pPr>
        <w:pStyle w:val="TextoNormal"/>
      </w:pPr>
      <w:r>
        <w:t>- En 2007: 79 207 500 €.</w:t>
      </w:r>
    </w:p>
    <w:p w14:paraId="6F41C08E" w14:textId="77777777" w:rsidR="003754FE" w:rsidRDefault="003754FE" w:rsidP="003754FE">
      <w:pPr>
        <w:pStyle w:val="TextoNormal"/>
      </w:pPr>
    </w:p>
    <w:p w14:paraId="4706F080" w14:textId="77777777" w:rsidR="003754FE" w:rsidRDefault="003754FE" w:rsidP="003754FE">
      <w:pPr>
        <w:pStyle w:val="TextoNormal"/>
      </w:pPr>
      <w:r>
        <w:t>- En 2008: 87 478 495 €.</w:t>
      </w:r>
    </w:p>
    <w:p w14:paraId="293642CC" w14:textId="77777777" w:rsidR="003754FE" w:rsidRDefault="003754FE" w:rsidP="003754FE">
      <w:pPr>
        <w:pStyle w:val="TextoNormal"/>
      </w:pPr>
    </w:p>
    <w:p w14:paraId="138074B6" w14:textId="77777777" w:rsidR="003754FE" w:rsidRDefault="003754FE" w:rsidP="003754FE">
      <w:pPr>
        <w:pStyle w:val="TextoNormal"/>
      </w:pPr>
      <w:r>
        <w:t>Además de estas partidas, durante los distintos ejercicios se aprobaron modificaciones presupuestarias, que incrementaron el flujo de dinero que gestionaba el IFA/IDEA y que recibía como transferencia de financiación.</w:t>
      </w:r>
    </w:p>
    <w:p w14:paraId="1B9C452F" w14:textId="77777777" w:rsidR="003754FE" w:rsidRDefault="003754FE" w:rsidP="003754FE">
      <w:pPr>
        <w:pStyle w:val="TextoNormal"/>
      </w:pPr>
    </w:p>
    <w:p w14:paraId="1AF963B6" w14:textId="77777777" w:rsidR="003754FE" w:rsidRDefault="003754FE" w:rsidP="003754FE">
      <w:pPr>
        <w:pStyle w:val="TextoNormal"/>
      </w:pPr>
      <w:r>
        <w:t>Las modificaciones presupuestarias fueron las siguientes:</w:t>
      </w:r>
    </w:p>
    <w:p w14:paraId="12D20E62" w14:textId="77777777" w:rsidR="003754FE" w:rsidRDefault="003754FE" w:rsidP="003754FE">
      <w:pPr>
        <w:pStyle w:val="TextoNormal"/>
      </w:pPr>
    </w:p>
    <w:p w14:paraId="51C9C802" w14:textId="77777777" w:rsidR="003754FE" w:rsidRDefault="003754FE" w:rsidP="003754FE">
      <w:pPr>
        <w:pStyle w:val="TextoNormal"/>
      </w:pPr>
      <w:r>
        <w:t>- Modificación de 15 de octubre de 2002, por importe de 9 944 099 €.</w:t>
      </w:r>
    </w:p>
    <w:p w14:paraId="48F435BF" w14:textId="77777777" w:rsidR="003754FE" w:rsidRDefault="003754FE" w:rsidP="003754FE">
      <w:pPr>
        <w:pStyle w:val="TextoNormal"/>
      </w:pPr>
    </w:p>
    <w:p w14:paraId="3F908E04" w14:textId="77777777" w:rsidR="003754FE" w:rsidRDefault="003754FE" w:rsidP="003754FE">
      <w:pPr>
        <w:pStyle w:val="TextoNormal"/>
      </w:pPr>
      <w:r>
        <w:t>- Modificación de 21 de octubre de 2002, por importe de 22 253 204,17 €.</w:t>
      </w:r>
    </w:p>
    <w:p w14:paraId="03B27948" w14:textId="77777777" w:rsidR="003754FE" w:rsidRDefault="003754FE" w:rsidP="003754FE">
      <w:pPr>
        <w:pStyle w:val="TextoNormal"/>
      </w:pPr>
    </w:p>
    <w:p w14:paraId="111B6018" w14:textId="77777777" w:rsidR="003754FE" w:rsidRDefault="003754FE" w:rsidP="003754FE">
      <w:pPr>
        <w:pStyle w:val="TextoNormal"/>
      </w:pPr>
      <w:r>
        <w:t>- Modificación de 7 de diciembre de 2005, por importe de 799 895,97 €.</w:t>
      </w:r>
    </w:p>
    <w:p w14:paraId="21B4542C" w14:textId="77777777" w:rsidR="003754FE" w:rsidRDefault="003754FE" w:rsidP="003754FE">
      <w:pPr>
        <w:pStyle w:val="TextoNormal"/>
      </w:pPr>
    </w:p>
    <w:p w14:paraId="14C27DB0" w14:textId="77777777" w:rsidR="003754FE" w:rsidRDefault="003754FE" w:rsidP="003754FE">
      <w:pPr>
        <w:pStyle w:val="TextoNormal"/>
      </w:pPr>
      <w:r>
        <w:t>- Modificación de 7 de noviembre de 2006, por importe de 9 300 000 €.</w:t>
      </w:r>
    </w:p>
    <w:p w14:paraId="6A296B2C" w14:textId="77777777" w:rsidR="003754FE" w:rsidRDefault="003754FE" w:rsidP="003754FE">
      <w:pPr>
        <w:pStyle w:val="TextoNormal"/>
      </w:pPr>
    </w:p>
    <w:p w14:paraId="1835D870" w14:textId="77777777" w:rsidR="003754FE" w:rsidRDefault="003754FE" w:rsidP="003754FE">
      <w:pPr>
        <w:pStyle w:val="TextoNormal"/>
      </w:pPr>
      <w:r>
        <w:t>- Modificación de 27 de noviembre de 2007, por importe de 7 448 503, 44 €.</w:t>
      </w:r>
    </w:p>
    <w:p w14:paraId="4270C417" w14:textId="77777777" w:rsidR="003754FE" w:rsidRDefault="003754FE" w:rsidP="003754FE">
      <w:pPr>
        <w:pStyle w:val="TextoNormal"/>
      </w:pPr>
    </w:p>
    <w:p w14:paraId="02B6ADA4" w14:textId="77777777" w:rsidR="003754FE" w:rsidRDefault="003754FE" w:rsidP="003754FE">
      <w:pPr>
        <w:pStyle w:val="TextoNormal"/>
      </w:pPr>
      <w:r>
        <w:t>- Modificación de 22 de diciembre de 2008, por importe de 1 253 853, 89 €.</w:t>
      </w:r>
    </w:p>
    <w:p w14:paraId="133BFFE6" w14:textId="77777777" w:rsidR="003754FE" w:rsidRDefault="003754FE" w:rsidP="003754FE">
      <w:pPr>
        <w:pStyle w:val="TextoNormal"/>
      </w:pPr>
    </w:p>
    <w:p w14:paraId="2D7BC3A2" w14:textId="77777777" w:rsidR="003754FE" w:rsidRDefault="003754FE" w:rsidP="003754FE">
      <w:pPr>
        <w:pStyle w:val="TextoNormal"/>
      </w:pPr>
      <w:r>
        <w:t>- Modificación de 22 de diciembre de 2008, por importe de 6 011 836,20 €.</w:t>
      </w:r>
    </w:p>
    <w:p w14:paraId="0ACF46C3" w14:textId="77777777" w:rsidR="003754FE" w:rsidRDefault="003754FE" w:rsidP="003754FE">
      <w:pPr>
        <w:pStyle w:val="TextoNormal"/>
      </w:pPr>
    </w:p>
    <w:p w14:paraId="723778B0" w14:textId="77777777" w:rsidR="003754FE" w:rsidRDefault="003754FE" w:rsidP="003754FE">
      <w:pPr>
        <w:pStyle w:val="TextoNormal"/>
      </w:pPr>
      <w:r>
        <w:t>- Modificación de 22 de diciembre de 2008, por importe de 8 000 000 €.</w:t>
      </w:r>
    </w:p>
    <w:p w14:paraId="77136DDC" w14:textId="77777777" w:rsidR="003754FE" w:rsidRDefault="003754FE" w:rsidP="003754FE">
      <w:pPr>
        <w:pStyle w:val="TextoNormal"/>
      </w:pPr>
    </w:p>
    <w:p w14:paraId="7C1C1015" w14:textId="77777777" w:rsidR="003754FE" w:rsidRDefault="003754FE" w:rsidP="003754FE">
      <w:pPr>
        <w:pStyle w:val="TextoNormal"/>
      </w:pPr>
      <w:r>
        <w:t>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14:paraId="712CA96E" w14:textId="77777777" w:rsidR="003754FE" w:rsidRDefault="003754FE" w:rsidP="003754FE">
      <w:pPr>
        <w:pStyle w:val="TextoNormal"/>
      </w:pPr>
    </w:p>
    <w:p w14:paraId="5E6F5F93" w14:textId="77777777" w:rsidR="003754FE" w:rsidRDefault="003754FE" w:rsidP="003754FE">
      <w:pPr>
        <w:pStyle w:val="TextoNormal"/>
      </w:pPr>
      <w:r>
        <w:t>Según han puesto de relieve distintos informes y resoluciones judiciales y administrativas, como consecuencia de todo lo anterior, las irregularidades más significativas en la concesión de las ayudas (sin hacer una enumeración exhaustiva) han sido las siguientes:</w:t>
      </w:r>
    </w:p>
    <w:p w14:paraId="66011612" w14:textId="77777777" w:rsidR="003754FE" w:rsidRDefault="003754FE" w:rsidP="003754FE">
      <w:pPr>
        <w:pStyle w:val="TextoNormal"/>
      </w:pPr>
    </w:p>
    <w:p w14:paraId="0E4AE9C6" w14:textId="77777777" w:rsidR="003754FE" w:rsidRDefault="003754FE" w:rsidP="003754FE">
      <w:pPr>
        <w:pStyle w:val="TextoNormal"/>
      </w:pPr>
      <w:r>
        <w:t>- En muchos casos no ha existido expediente de concesión de la ayuda.</w:t>
      </w:r>
    </w:p>
    <w:p w14:paraId="21F51582" w14:textId="77777777" w:rsidR="003754FE" w:rsidRDefault="003754FE" w:rsidP="003754FE">
      <w:pPr>
        <w:pStyle w:val="TextoNormal"/>
      </w:pPr>
    </w:p>
    <w:p w14:paraId="01DFFAF6" w14:textId="77777777" w:rsidR="003754FE" w:rsidRDefault="003754FE" w:rsidP="003754FE">
      <w:pPr>
        <w:pStyle w:val="TextoNormal"/>
      </w:pPr>
      <w:r>
        <w:t>- El director general de Trabajo y Seguridad Social no tiene delegadas competencias para la concesión de subvenciones excepcionales.</w:t>
      </w:r>
    </w:p>
    <w:p w14:paraId="34576EFC" w14:textId="77777777" w:rsidR="003754FE" w:rsidRDefault="003754FE" w:rsidP="003754FE">
      <w:pPr>
        <w:pStyle w:val="TextoNormal"/>
      </w:pPr>
    </w:p>
    <w:p w14:paraId="509E1FB6" w14:textId="77777777" w:rsidR="003754FE" w:rsidRDefault="003754FE" w:rsidP="003754FE">
      <w:pPr>
        <w:pStyle w:val="TextoNormal"/>
      </w:pPr>
      <w:r>
        <w:t>- No consta que se haya dado publicidad a la concesión de las ayudas (artículo 109 LGHPA).</w:t>
      </w:r>
    </w:p>
    <w:p w14:paraId="1895F519" w14:textId="77777777" w:rsidR="003754FE" w:rsidRDefault="003754FE" w:rsidP="003754FE">
      <w:pPr>
        <w:pStyle w:val="TextoNormal"/>
      </w:pPr>
    </w:p>
    <w:p w14:paraId="33B977AD" w14:textId="77777777" w:rsidR="003754FE" w:rsidRDefault="003754FE" w:rsidP="003754FE">
      <w:pPr>
        <w:pStyle w:val="TextoNormal"/>
      </w:pPr>
      <w:r>
        <w:t>- Se ha omitido la fiscalización previa.</w:t>
      </w:r>
    </w:p>
    <w:p w14:paraId="0C11EF00" w14:textId="77777777" w:rsidR="003754FE" w:rsidRDefault="003754FE" w:rsidP="003754FE">
      <w:pPr>
        <w:pStyle w:val="TextoNormal"/>
      </w:pPr>
    </w:p>
    <w:p w14:paraId="5BA1B34C" w14:textId="77777777" w:rsidR="003754FE" w:rsidRDefault="003754FE" w:rsidP="003754FE">
      <w:pPr>
        <w:pStyle w:val="TextoNormal"/>
      </w:pPr>
      <w:r>
        <w:t>- No consta autorización de la concesión de la subvención por el Consejo de Gobierno por razón de la cuantía.</w:t>
      </w:r>
    </w:p>
    <w:p w14:paraId="70B14C6C" w14:textId="77777777" w:rsidR="003754FE" w:rsidRDefault="003754FE" w:rsidP="003754FE">
      <w:pPr>
        <w:pStyle w:val="TextoNormal"/>
      </w:pPr>
    </w:p>
    <w:p w14:paraId="0B7A42BF" w14:textId="77777777" w:rsidR="003754FE" w:rsidRDefault="003754FE" w:rsidP="003754FE">
      <w:pPr>
        <w:pStyle w:val="TextoNormal"/>
      </w:pPr>
      <w:r>
        <w:t>- No se consigna la aplicación presupuestaria del gasto y su distribución plurianual, ni el presupuesto subvencionado y el porcentaje que representa la subvención sobre el presupuesto aceptado.</w:t>
      </w:r>
    </w:p>
    <w:p w14:paraId="20E63702" w14:textId="77777777" w:rsidR="003754FE" w:rsidRDefault="003754FE" w:rsidP="003754FE">
      <w:pPr>
        <w:pStyle w:val="TextoNormal"/>
      </w:pPr>
    </w:p>
    <w:p w14:paraId="65F743E6" w14:textId="77777777" w:rsidR="003754FE" w:rsidRDefault="003754FE" w:rsidP="003754FE">
      <w:pPr>
        <w:pStyle w:val="TextoNormal"/>
      </w:pPr>
      <w:r>
        <w:t>- No consta informe de la Dirección General de Asuntos Europeos y Cooperación, de la Consejería de Presidencia, sobre cumplimiento del deber de notificar a la comisión las subvenciones concedidas a empresas.</w:t>
      </w:r>
    </w:p>
    <w:p w14:paraId="1D87B2DA" w14:textId="77777777" w:rsidR="003754FE" w:rsidRDefault="003754FE" w:rsidP="003754FE">
      <w:pPr>
        <w:pStyle w:val="TextoNormal"/>
      </w:pPr>
    </w:p>
    <w:p w14:paraId="07A079AE" w14:textId="77777777" w:rsidR="003754FE" w:rsidRDefault="003754FE" w:rsidP="003754FE">
      <w:pPr>
        <w:pStyle w:val="TextoNormal"/>
      </w:pPr>
      <w:r>
        <w:t>- No consta memoria explicativa de la excepcionalidad de las subvenciones, ni los requisitos que se exigen para ser beneficiario, ni se detalla la forma en que debería realizarse la justificación del cumplimiento de la finalidad para la que fue concedida la ayuda.</w:t>
      </w:r>
    </w:p>
    <w:p w14:paraId="794DE594" w14:textId="77777777" w:rsidR="003754FE" w:rsidRDefault="003754FE" w:rsidP="003754FE">
      <w:pPr>
        <w:pStyle w:val="TextoNormal"/>
      </w:pPr>
    </w:p>
    <w:p w14:paraId="22AEED40" w14:textId="77777777" w:rsidR="003754FE" w:rsidRDefault="003754FE" w:rsidP="003754FE">
      <w:pPr>
        <w:pStyle w:val="TextoNormal"/>
      </w:pPr>
      <w:r>
        <w:t>- Los convenios de colaboración por los que se han concedido las ayudas no adoptan ni la forma ni los contenidos mínimos que exige la Ley 38/2003, de 17 de noviembre.</w:t>
      </w:r>
    </w:p>
    <w:p w14:paraId="7585DD1E" w14:textId="77777777" w:rsidR="003754FE" w:rsidRDefault="003754FE" w:rsidP="003754FE">
      <w:pPr>
        <w:pStyle w:val="TextoNormal"/>
      </w:pPr>
    </w:p>
    <w:p w14:paraId="05196FC0" w14:textId="77777777" w:rsidR="003754FE" w:rsidRDefault="003754FE" w:rsidP="003754FE">
      <w:pPr>
        <w:pStyle w:val="TextoNormal"/>
      </w:pPr>
      <w:r>
        <w:t>- Ni las subvenciones ni los convenios han sido publicados en el ‘Boletín Oficial de la Junta de Andalucía’, ni en la base de datos de subvenciones de la Junta de Andalucía.</w:t>
      </w:r>
    </w:p>
    <w:p w14:paraId="3991C40C" w14:textId="77777777" w:rsidR="003754FE" w:rsidRDefault="003754FE" w:rsidP="003754FE">
      <w:pPr>
        <w:pStyle w:val="TextoNormal"/>
      </w:pPr>
    </w:p>
    <w:p w14:paraId="7983E1EB" w14:textId="77777777" w:rsidR="003754FE" w:rsidRDefault="003754FE" w:rsidP="003754FE">
      <w:pPr>
        <w:pStyle w:val="TextoNormal"/>
      </w:pPr>
      <w:r>
        <w:t>- La concesión de las subvenciones no ha sido objeto de informe previo por el Gabinete Jurídico de la Junta de Andalucía.</w:t>
      </w:r>
    </w:p>
    <w:p w14:paraId="468553A7" w14:textId="77777777" w:rsidR="003754FE" w:rsidRDefault="003754FE" w:rsidP="003754FE">
      <w:pPr>
        <w:pStyle w:val="TextoNormal"/>
      </w:pPr>
    </w:p>
    <w:p w14:paraId="504BC114" w14:textId="77777777" w:rsidR="003754FE" w:rsidRDefault="003754FE" w:rsidP="003754FE">
      <w:pPr>
        <w:pStyle w:val="TextoNormal"/>
      </w:pPr>
      <w:r>
        <w:t>- No se acredita la personalidad de las entidades solicitantes, ni la de sus representantes.</w:t>
      </w:r>
    </w:p>
    <w:p w14:paraId="4589B2BE" w14:textId="77777777" w:rsidR="003754FE" w:rsidRDefault="003754FE" w:rsidP="003754FE">
      <w:pPr>
        <w:pStyle w:val="TextoNormal"/>
      </w:pPr>
    </w:p>
    <w:p w14:paraId="1F4518FA" w14:textId="77777777" w:rsidR="003754FE" w:rsidRDefault="003754FE" w:rsidP="003754FE">
      <w:pPr>
        <w:pStyle w:val="TextoNormal"/>
      </w:pPr>
      <w:r>
        <w:t>- No se aporta informe o memoria acreditativa de la finalidad pública, o razones de interés social o económico, en la concesión.</w:t>
      </w:r>
    </w:p>
    <w:p w14:paraId="691A7189" w14:textId="77777777" w:rsidR="003754FE" w:rsidRDefault="003754FE" w:rsidP="003754FE">
      <w:pPr>
        <w:pStyle w:val="TextoNormal"/>
      </w:pPr>
    </w:p>
    <w:p w14:paraId="467815B9" w14:textId="77777777" w:rsidR="003754FE" w:rsidRDefault="003754FE" w:rsidP="003754FE">
      <w:pPr>
        <w:pStyle w:val="TextoNormal"/>
      </w:pPr>
      <w:r>
        <w:t>- No consta solicitud presentada por los interesados ni su aceptación expresa.</w:t>
      </w:r>
    </w:p>
    <w:p w14:paraId="22A461D9" w14:textId="77777777" w:rsidR="003754FE" w:rsidRDefault="003754FE" w:rsidP="003754FE">
      <w:pPr>
        <w:pStyle w:val="TextoNormal"/>
      </w:pPr>
    </w:p>
    <w:p w14:paraId="7B26ABB8" w14:textId="77777777" w:rsidR="003754FE" w:rsidRDefault="003754FE" w:rsidP="003754FE">
      <w:pPr>
        <w:pStyle w:val="TextoNormal"/>
      </w:pPr>
      <w:r>
        <w:t>- No se aporta declaración responsable del beneficiario de otras subvenciones o ayudas concedidas para la misma finalidad (artículos 111 y 105 de LGHPA, y artículo 15.1 del Reglamento de subvenciones).</w:t>
      </w:r>
    </w:p>
    <w:p w14:paraId="4FE3376C" w14:textId="77777777" w:rsidR="003754FE" w:rsidRDefault="003754FE" w:rsidP="003754FE">
      <w:pPr>
        <w:pStyle w:val="TextoNormal"/>
      </w:pPr>
    </w:p>
    <w:p w14:paraId="44A2CDB5" w14:textId="77777777" w:rsidR="003754FE" w:rsidRDefault="003754FE" w:rsidP="003754FE">
      <w:pPr>
        <w:pStyle w:val="TextoNormal"/>
      </w:pPr>
      <w:r>
        <w:t>- No consta declaración expresa de los beneficiarios de no haber recaído sobre ellos resolución administrativa o judicial firme de reintegro.</w:t>
      </w:r>
    </w:p>
    <w:p w14:paraId="6D3E803F" w14:textId="77777777" w:rsidR="003754FE" w:rsidRDefault="003754FE" w:rsidP="003754FE">
      <w:pPr>
        <w:pStyle w:val="TextoNormal"/>
      </w:pPr>
    </w:p>
    <w:p w14:paraId="2F0DCBC6" w14:textId="77777777" w:rsidR="003754FE" w:rsidRDefault="003754FE" w:rsidP="003754FE">
      <w:pPr>
        <w:pStyle w:val="TextoNormal"/>
      </w:pPr>
      <w:r>
        <w:t>- No se acredita por los beneficiarios estar al corriente en sus obligaciones fiscales.</w:t>
      </w:r>
    </w:p>
    <w:p w14:paraId="5B4DF66F" w14:textId="77777777" w:rsidR="003754FE" w:rsidRDefault="003754FE" w:rsidP="003754FE">
      <w:pPr>
        <w:pStyle w:val="TextoNormal"/>
      </w:pPr>
    </w:p>
    <w:p w14:paraId="1D41D7BA" w14:textId="77777777" w:rsidR="003754FE" w:rsidRDefault="003754FE" w:rsidP="003754FE">
      <w:pPr>
        <w:pStyle w:val="TextoNormal"/>
      </w:pPr>
      <w:r>
        <w:t>- No se determina el plazo y forma de justificación por el beneficiario del cumplimiento de la finalidad para la que se concede la ayuda.</w:t>
      </w:r>
    </w:p>
    <w:p w14:paraId="7DBA00A1" w14:textId="77777777" w:rsidR="003754FE" w:rsidRDefault="003754FE" w:rsidP="003754FE">
      <w:pPr>
        <w:pStyle w:val="TextoNormal"/>
      </w:pPr>
    </w:p>
    <w:p w14:paraId="1EA6E425" w14:textId="77777777" w:rsidR="003754FE" w:rsidRDefault="003754FE" w:rsidP="003754FE">
      <w:pPr>
        <w:pStyle w:val="TextoNormal"/>
      </w:pPr>
      <w:r>
        <w:t>- No se indica la forma y secuencia del pago y los requisitos exigidos para su abono.</w:t>
      </w:r>
    </w:p>
    <w:p w14:paraId="09EBA3D8" w14:textId="77777777" w:rsidR="003754FE" w:rsidRDefault="003754FE" w:rsidP="003754FE">
      <w:pPr>
        <w:pStyle w:val="TextoNormal"/>
      </w:pPr>
    </w:p>
    <w:p w14:paraId="0707DD85" w14:textId="77777777" w:rsidR="003754FE" w:rsidRDefault="003754FE" w:rsidP="003754FE">
      <w:pPr>
        <w:pStyle w:val="TextoNormal"/>
      </w:pPr>
      <w:r>
        <w:t>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14:paraId="026414E4" w14:textId="77777777" w:rsidR="003754FE" w:rsidRDefault="003754FE" w:rsidP="003754FE">
      <w:pPr>
        <w:pStyle w:val="TextoNormal"/>
      </w:pPr>
    </w:p>
    <w:p w14:paraId="1E6267E9" w14:textId="77777777" w:rsidR="003754FE" w:rsidRDefault="003754FE" w:rsidP="003754FE">
      <w:pPr>
        <w:pStyle w:val="TextoNormal"/>
      </w:pPr>
      <w:r>
        <w:t>Las consecuencias de semejante descontrol fueron las siguientes:</w:t>
      </w:r>
    </w:p>
    <w:p w14:paraId="69D47CC4" w14:textId="77777777" w:rsidR="003754FE" w:rsidRDefault="003754FE" w:rsidP="003754FE">
      <w:pPr>
        <w:pStyle w:val="TextoNormal"/>
      </w:pPr>
    </w:p>
    <w:p w14:paraId="18720180" w14:textId="77777777" w:rsidR="003754FE" w:rsidRDefault="003754FE" w:rsidP="003754FE">
      <w:pPr>
        <w:pStyle w:val="TextoNormal"/>
      </w:pPr>
      <w:r>
        <w:t>(i)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14:paraId="4DDCBDF0" w14:textId="77777777" w:rsidR="003754FE" w:rsidRDefault="003754FE" w:rsidP="003754FE">
      <w:pPr>
        <w:pStyle w:val="TextoNormal"/>
      </w:pPr>
    </w:p>
    <w:p w14:paraId="5907E070" w14:textId="77777777" w:rsidR="003754FE" w:rsidRDefault="003754FE" w:rsidP="003754FE">
      <w:pPr>
        <w:pStyle w:val="TextoNormal"/>
      </w:pPr>
      <w:r>
        <w:lastRenderedPageBreak/>
        <w:t>- En el año 2001, fueron 748, afectando a un total de 7582 trabajadores.</w:t>
      </w:r>
    </w:p>
    <w:p w14:paraId="31D34E7A" w14:textId="77777777" w:rsidR="003754FE" w:rsidRDefault="003754FE" w:rsidP="003754FE">
      <w:pPr>
        <w:pStyle w:val="TextoNormal"/>
      </w:pPr>
    </w:p>
    <w:p w14:paraId="536235C6" w14:textId="77777777" w:rsidR="003754FE" w:rsidRDefault="003754FE" w:rsidP="003754FE">
      <w:pPr>
        <w:pStyle w:val="TextoNormal"/>
      </w:pPr>
      <w:r>
        <w:t>- En el año 2002, fueron 650, afectando a un total de 4787 trabajadores.</w:t>
      </w:r>
    </w:p>
    <w:p w14:paraId="4CD0EE29" w14:textId="77777777" w:rsidR="003754FE" w:rsidRDefault="003754FE" w:rsidP="003754FE">
      <w:pPr>
        <w:pStyle w:val="TextoNormal"/>
      </w:pPr>
    </w:p>
    <w:p w14:paraId="66D44753" w14:textId="77777777" w:rsidR="003754FE" w:rsidRDefault="003754FE" w:rsidP="003754FE">
      <w:pPr>
        <w:pStyle w:val="TextoNormal"/>
      </w:pPr>
      <w:r>
        <w:t>- En el año 2003, fueron 511, afectando a un total de 4957 trabajadores.</w:t>
      </w:r>
    </w:p>
    <w:p w14:paraId="273FED0B" w14:textId="77777777" w:rsidR="003754FE" w:rsidRDefault="003754FE" w:rsidP="003754FE">
      <w:pPr>
        <w:pStyle w:val="TextoNormal"/>
      </w:pPr>
    </w:p>
    <w:p w14:paraId="6AE2AD84" w14:textId="77777777" w:rsidR="003754FE" w:rsidRDefault="003754FE" w:rsidP="003754FE">
      <w:pPr>
        <w:pStyle w:val="TextoNormal"/>
      </w:pPr>
      <w:r>
        <w:t>- En el año 2004, fueron 657, afectando a un total de 4833 trabajadores.</w:t>
      </w:r>
    </w:p>
    <w:p w14:paraId="2C868B78" w14:textId="77777777" w:rsidR="003754FE" w:rsidRDefault="003754FE" w:rsidP="003754FE">
      <w:pPr>
        <w:pStyle w:val="TextoNormal"/>
      </w:pPr>
    </w:p>
    <w:p w14:paraId="06456E1D" w14:textId="77777777" w:rsidR="003754FE" w:rsidRDefault="003754FE" w:rsidP="003754FE">
      <w:pPr>
        <w:pStyle w:val="TextoNormal"/>
      </w:pPr>
      <w:r>
        <w:t>- En el año 2005, fueron 424, afectando a un total de 5476 trabajadores.</w:t>
      </w:r>
    </w:p>
    <w:p w14:paraId="3ACE0718" w14:textId="77777777" w:rsidR="003754FE" w:rsidRDefault="003754FE" w:rsidP="003754FE">
      <w:pPr>
        <w:pStyle w:val="TextoNormal"/>
      </w:pPr>
    </w:p>
    <w:p w14:paraId="2AFD1CAD" w14:textId="77777777" w:rsidR="003754FE" w:rsidRDefault="003754FE" w:rsidP="003754FE">
      <w:pPr>
        <w:pStyle w:val="TextoNormal"/>
      </w:pPr>
      <w:r>
        <w:t>- En el año 2006, fueron 434, afectando a un total de 2968 trabajadores.</w:t>
      </w:r>
    </w:p>
    <w:p w14:paraId="384806CE" w14:textId="77777777" w:rsidR="003754FE" w:rsidRDefault="003754FE" w:rsidP="003754FE">
      <w:pPr>
        <w:pStyle w:val="TextoNormal"/>
      </w:pPr>
    </w:p>
    <w:p w14:paraId="4D8FD550" w14:textId="77777777" w:rsidR="003754FE" w:rsidRDefault="003754FE" w:rsidP="003754FE">
      <w:pPr>
        <w:pStyle w:val="TextoNormal"/>
      </w:pPr>
      <w:r>
        <w:t>- En el año 2007, fueron 428, afectando a un total de 3247 trabajadores.</w:t>
      </w:r>
    </w:p>
    <w:p w14:paraId="25D79731" w14:textId="77777777" w:rsidR="003754FE" w:rsidRDefault="003754FE" w:rsidP="003754FE">
      <w:pPr>
        <w:pStyle w:val="TextoNormal"/>
      </w:pPr>
    </w:p>
    <w:p w14:paraId="79C9C986" w14:textId="77777777" w:rsidR="003754FE" w:rsidRDefault="003754FE" w:rsidP="003754FE">
      <w:pPr>
        <w:pStyle w:val="TextoNormal"/>
      </w:pPr>
      <w:r>
        <w:t>- En el año 2008, fueron 652, afectando a un total de 7000 trabajadores.</w:t>
      </w:r>
    </w:p>
    <w:p w14:paraId="6E358DE6" w14:textId="77777777" w:rsidR="003754FE" w:rsidRDefault="003754FE" w:rsidP="003754FE">
      <w:pPr>
        <w:pStyle w:val="TextoNormal"/>
      </w:pPr>
    </w:p>
    <w:p w14:paraId="13B9CA95" w14:textId="77777777" w:rsidR="003754FE" w:rsidRDefault="003754FE" w:rsidP="003754FE">
      <w:pPr>
        <w:pStyle w:val="TextoNormal"/>
      </w:pPr>
      <w:r>
        <w:t>- En el año 2009, fueron 1379, afectando a un total de 30 821 trabajadores.</w:t>
      </w:r>
    </w:p>
    <w:p w14:paraId="07BDE76A" w14:textId="77777777" w:rsidR="003754FE" w:rsidRDefault="003754FE" w:rsidP="003754FE">
      <w:pPr>
        <w:pStyle w:val="TextoNormal"/>
      </w:pPr>
    </w:p>
    <w:p w14:paraId="539192A2" w14:textId="77777777" w:rsidR="003754FE" w:rsidRDefault="003754FE" w:rsidP="003754FE">
      <w:pPr>
        <w:pStyle w:val="TextoNormal"/>
      </w:pPr>
      <w:r>
        <w:t>- En el año 2010, fueron 1490, afectando a un total de 21 450 trabajadores.</w:t>
      </w:r>
    </w:p>
    <w:p w14:paraId="7D8DE493" w14:textId="77777777" w:rsidR="003754FE" w:rsidRDefault="003754FE" w:rsidP="003754FE">
      <w:pPr>
        <w:pStyle w:val="TextoNormal"/>
      </w:pPr>
    </w:p>
    <w:p w14:paraId="21E543D1" w14:textId="77777777" w:rsidR="003754FE" w:rsidRDefault="003754FE" w:rsidP="003754FE">
      <w:pPr>
        <w:pStyle w:val="TextoNormal"/>
      </w:pPr>
      <w:r>
        <w:t>(ii) La ausencia de cualquier mecanismo de comprobación de la pertenencia al colectivo afectado de las personas beneficiarias de las pólizas, permitió la inclusión de beneficiarios que nunca habían pertenecido a las empresas ayudadas por la Consejería de Empleo.</w:t>
      </w:r>
    </w:p>
    <w:p w14:paraId="629DC711" w14:textId="77777777" w:rsidR="003754FE" w:rsidRDefault="003754FE" w:rsidP="003754FE">
      <w:pPr>
        <w:pStyle w:val="TextoNormal"/>
      </w:pPr>
    </w:p>
    <w:p w14:paraId="72FB8645" w14:textId="77777777" w:rsidR="003754FE" w:rsidRDefault="003754FE" w:rsidP="003754FE">
      <w:pPr>
        <w:pStyle w:val="TextoNormal"/>
      </w:pPr>
      <w:r>
        <w:t>(iii)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haber pasado a situación de incapacidad.</w:t>
      </w:r>
    </w:p>
    <w:p w14:paraId="5B566BB7" w14:textId="77777777" w:rsidR="003754FE" w:rsidRDefault="003754FE" w:rsidP="003754FE">
      <w:pPr>
        <w:pStyle w:val="TextoNormal"/>
      </w:pPr>
    </w:p>
    <w:p w14:paraId="498D6EBD" w14:textId="77777777" w:rsidR="003754FE" w:rsidRDefault="003754FE" w:rsidP="003754FE">
      <w:pPr>
        <w:pStyle w:val="TextoNormal"/>
      </w:pPr>
      <w:r>
        <w:t>(iv)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14:paraId="53934683" w14:textId="77777777" w:rsidR="003754FE" w:rsidRDefault="003754FE" w:rsidP="003754FE">
      <w:pPr>
        <w:pStyle w:val="TextoNormal"/>
      </w:pPr>
    </w:p>
    <w:p w14:paraId="4D82E832" w14:textId="77777777" w:rsidR="003754FE" w:rsidRDefault="003754FE" w:rsidP="003754FE">
      <w:pPr>
        <w:pStyle w:val="TextoNormal"/>
      </w:pPr>
      <w:r>
        <w:t>(v)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de un curso de alta dirección, durante cinco ejercicios.</w:t>
      </w:r>
    </w:p>
    <w:p w14:paraId="0DFEAA25" w14:textId="77777777" w:rsidR="003754FE" w:rsidRDefault="003754FE" w:rsidP="003754FE">
      <w:pPr>
        <w:pStyle w:val="TextoNormal"/>
      </w:pPr>
    </w:p>
    <w:p w14:paraId="7CA2473B" w14:textId="77777777" w:rsidR="003754FE" w:rsidRDefault="003754FE" w:rsidP="003754FE">
      <w:pPr>
        <w:pStyle w:val="TextoNormal"/>
      </w:pPr>
      <w:r>
        <w:t>III) Tercera etapa</w:t>
      </w:r>
    </w:p>
    <w:p w14:paraId="4FDC3B1A" w14:textId="77777777" w:rsidR="003754FE" w:rsidRDefault="003754FE" w:rsidP="003754FE">
      <w:pPr>
        <w:pStyle w:val="TextoNormal"/>
      </w:pPr>
    </w:p>
    <w:p w14:paraId="37BB622E" w14:textId="77777777" w:rsidR="003754FE" w:rsidRDefault="003754FE" w:rsidP="003754FE">
      <w:pPr>
        <w:pStyle w:val="TextoNormal"/>
      </w:pPr>
      <w:r>
        <w:t>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14:paraId="150D8C9B" w14:textId="77777777" w:rsidR="003754FE" w:rsidRDefault="003754FE" w:rsidP="003754FE">
      <w:pPr>
        <w:pStyle w:val="TextoNormal"/>
      </w:pPr>
    </w:p>
    <w:p w14:paraId="2BC13F17" w14:textId="77777777" w:rsidR="003754FE" w:rsidRDefault="003754FE" w:rsidP="003754FE">
      <w:pPr>
        <w:pStyle w:val="TextoNormal"/>
      </w:pPr>
      <w:r>
        <w:t>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14:paraId="60439CD4" w14:textId="77777777" w:rsidR="003754FE" w:rsidRDefault="003754FE" w:rsidP="003754FE">
      <w:pPr>
        <w:pStyle w:val="TextoNormal"/>
      </w:pPr>
    </w:p>
    <w:p w14:paraId="124D7096" w14:textId="77777777" w:rsidR="003754FE" w:rsidRDefault="003754FE" w:rsidP="003754FE">
      <w:pPr>
        <w:pStyle w:val="TextoNormal"/>
      </w:pPr>
      <w:r>
        <w:t>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14:paraId="4D02B3B9" w14:textId="77777777" w:rsidR="003754FE" w:rsidRDefault="003754FE" w:rsidP="003754FE">
      <w:pPr>
        <w:pStyle w:val="TextoNormal"/>
      </w:pPr>
    </w:p>
    <w:p w14:paraId="40E00C13" w14:textId="77777777" w:rsidR="003754FE" w:rsidRDefault="003754FE" w:rsidP="003754FE">
      <w:pPr>
        <w:pStyle w:val="TextoNormal"/>
      </w:pPr>
      <w:r>
        <w:t>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14:paraId="118A069A" w14:textId="77777777" w:rsidR="003754FE" w:rsidRDefault="003754FE" w:rsidP="003754FE">
      <w:pPr>
        <w:pStyle w:val="TextoNormal"/>
      </w:pPr>
    </w:p>
    <w:p w14:paraId="6B1E7893" w14:textId="77777777" w:rsidR="003754FE" w:rsidRDefault="003754FE" w:rsidP="003754FE">
      <w:pPr>
        <w:pStyle w:val="TextoNormal"/>
      </w:pPr>
      <w:r>
        <w:t>b) El demandante de amparo fue condenado en la citada sentencia de la Audiencia Provincial de Sevilla, por haber participado en los hechos anteriores, en su calidad, primero de viceconsejero de Justicia y Administración Pública desde 2000 a 2005 y, posteriormente, de viceconsejero de la Consejería de Innovación, Ciencia y Empresa entre marzo de 2005 y 2010, ostentando también la vicepresidencia de la Agencia IDEA, como autor de “un delito de prevaricación en concurso medial con un delito de malversación, agravado por su especial gravedad […] a la pena de seis años y dos días de prisión, inhabilitación especial para el derecho de sufragio pasivo durante el tiempo de la condena, e inhabilitación absoluta por tiempo de quince años y dos días,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14:paraId="486691EB" w14:textId="77777777" w:rsidR="003754FE" w:rsidRDefault="003754FE" w:rsidP="003754FE">
      <w:pPr>
        <w:pStyle w:val="TextoNormal"/>
      </w:pPr>
    </w:p>
    <w:p w14:paraId="53C84B63" w14:textId="77777777" w:rsidR="003754FE" w:rsidRDefault="003754FE" w:rsidP="003754FE">
      <w:pPr>
        <w:pStyle w:val="TextoNormal"/>
      </w:pPr>
      <w:r>
        <w:t>c) Interpuesto recurso de casación por la representación procesal del demandante fue desestimado íntegramente por sentencia del Tribunal Supremo núm. 749/2022, de 13 de septiembre.</w:t>
      </w:r>
    </w:p>
    <w:p w14:paraId="2C7A2AA6" w14:textId="77777777" w:rsidR="003754FE" w:rsidRDefault="003754FE" w:rsidP="003754FE">
      <w:pPr>
        <w:pStyle w:val="TextoNormal"/>
      </w:pPr>
    </w:p>
    <w:p w14:paraId="1A5FC0E3" w14:textId="77777777" w:rsidR="003754FE" w:rsidRDefault="003754FE" w:rsidP="003754FE">
      <w:pPr>
        <w:pStyle w:val="TextoNormal"/>
      </w:pPr>
      <w:r>
        <w:lastRenderedPageBreak/>
        <w:t>La resolución fundamenta la condena del señor Rodríguez Román en haber participado en los hechos anteriores en su condición de viceconsejero de Justicia entre 2000 y 2004 y viceconsejero de Innovación, Ciencia y Empresa entre 2005 y 2010, en concreto, por participar en la Comisión General de Viceconsejeros en la que se acordó elevar al Consejo de Gobierno modificaciones presupuestarias que afectan a distintos programas y partidas presupuestarias; y por participar en la Comisión General de Viconsejeros en la elaboración de los anteproyectos de leyes de presupuestos para los años 2005, 2006, 2007 y 2008. Asimismo, en su condición de vicepresidente del IFA, no puso reparo alguno en que se firmaran convenios particulares para el pago de ayudas sociolaborales a pesar de que, según se afirma en las resoluciones judiciales impugnadas, conocía que el sistema de presupuestación establecido era ilegal.</w:t>
      </w:r>
    </w:p>
    <w:p w14:paraId="123B1377" w14:textId="77777777" w:rsidR="003754FE" w:rsidRDefault="003754FE" w:rsidP="003754FE">
      <w:pPr>
        <w:pStyle w:val="TextoNormal"/>
      </w:pPr>
    </w:p>
    <w:p w14:paraId="3E10CB67" w14:textId="1850FEFF" w:rsidR="003754FE" w:rsidRDefault="003754FE" w:rsidP="003754FE">
      <w:pPr>
        <w:pStyle w:val="TextoNormal"/>
      </w:pPr>
      <w:r>
        <w:t>d) Por auto del Tribunal Supremo de 16 de febrero de 2023 se inadmitió el incidente de nulidad de actuaciones formulado por el recurrente frente a la sentencia del Tribunal Supremo que desestimó el recurso de casación.</w:t>
      </w:r>
    </w:p>
    <w:p w14:paraId="7326FAA6" w14:textId="77777777" w:rsidR="003754FE" w:rsidRDefault="003754FE" w:rsidP="003754FE">
      <w:pPr>
        <w:pStyle w:val="TextoNormal"/>
      </w:pPr>
    </w:p>
    <w:p w14:paraId="06C19B53" w14:textId="77777777" w:rsidR="003754FE" w:rsidRDefault="003754FE" w:rsidP="003754FE">
      <w:pPr>
        <w:pStyle w:val="TextoNormal"/>
      </w:pPr>
      <w:r w:rsidRPr="003754FE">
        <w:rPr>
          <w:rStyle w:val="NumeroAFNegritaCaracter"/>
        </w:rPr>
        <w:t>3</w:t>
      </w:r>
      <w:r>
        <w:t>. En la demanda se alegan, como motivos de amparo, las siguientes vulneraciones de derechos fundamentales:</w:t>
      </w:r>
    </w:p>
    <w:p w14:paraId="107A4135" w14:textId="77777777" w:rsidR="003754FE" w:rsidRDefault="003754FE" w:rsidP="003754FE">
      <w:pPr>
        <w:pStyle w:val="TextoNormal"/>
      </w:pPr>
    </w:p>
    <w:p w14:paraId="787E1EB3" w14:textId="77777777" w:rsidR="003754FE" w:rsidRDefault="003754FE" w:rsidP="003754FE">
      <w:pPr>
        <w:pStyle w:val="TextoNormal"/>
      </w:pPr>
      <w:r>
        <w:t>a) Se alega, en primer lugar, la vulneración del derecho a la tutela judicial efectiva [arts. 24.1 CE y 6.1 del Convenio europeo de derechos humanos (CEDH)], a un proceso público con todas las garantías incluyendo la presunción de inocencia y vulneración del principio de legalidad penal (arts. 25.1 CE y 7 CEDH), incurriendo en una negativa manifiesta del deber de acatamiento de la doctrina del Tribunal Constitucional en materia de condena por prueba indiciaria.</w:t>
      </w:r>
    </w:p>
    <w:p w14:paraId="7CA5F9FF" w14:textId="77777777" w:rsidR="003754FE" w:rsidRDefault="003754FE" w:rsidP="003754FE">
      <w:pPr>
        <w:pStyle w:val="TextoNormal"/>
      </w:pPr>
    </w:p>
    <w:p w14:paraId="09E5AB19" w14:textId="77777777" w:rsidR="003754FE" w:rsidRDefault="003754FE" w:rsidP="003754FE">
      <w:pPr>
        <w:pStyle w:val="TextoNormal"/>
      </w:pPr>
      <w:r>
        <w:t>Según el recurrente no existen pruebas, ni directas ni indiciarias, que acrediten que el recurrente de amparo —y el resto de los condenados que no formaban parte de la Consejería de Empleo— conocían la forma en que esta consejería gestionaba los fondos de la partida presupuestaria 31L, resultando arbitraria la vinculación de las fases de presupuestación y ejecución presupuestaria realizada por las sentencias de la Audiencia Provincial de Sevilla y del Tribunal Supremo para condenar por el delito de malversación. Dicha ausencia de prueba de cargo se produce respecto de:</w:t>
      </w:r>
    </w:p>
    <w:p w14:paraId="4AD649E8" w14:textId="77777777" w:rsidR="003754FE" w:rsidRDefault="003754FE" w:rsidP="003754FE">
      <w:pPr>
        <w:pStyle w:val="TextoNormal"/>
      </w:pPr>
    </w:p>
    <w:p w14:paraId="32543B27" w14:textId="77777777" w:rsidR="003754FE" w:rsidRDefault="003754FE" w:rsidP="003754FE">
      <w:pPr>
        <w:pStyle w:val="TextoNormal"/>
      </w:pPr>
      <w:r>
        <w:t xml:space="preserve">(i) la autoría referida al delito de malversación debido a que las resoluciones judiciales impugnadas, contraviniendo doctrina constitucional reiterada y pacífica, parten de la presunción de participación en lugar de la presunción de inocencia. La Audiencia Provincial de Sevilla, sin ninguna prueba que lo avale, declara en los hechos probados de la sentencia que el delito de malversación se llevó a cabo en coautoría, con la correspondiente división de funciones entre los distintos intervinientes. La sentencia de instancia no distingue “qué hechos concretos distintos de los prevaricadores, son constitutivos del delito de malversación”. Alega que el hecho de que determinadas conductas puedan ser prevaricadoras no las convierte automáticamente en un supuesto de sustracción de caudales públicos. Consciente la Sala de lo Penal del Tribunal Supremo de la ausencia de pruebas del concierto de voluntades para delinquir, convierte la coautoría en una autoría directa e individual, pero afirmando al mismo tiempo la articulación, organización o ideación de un sistema de presupuestación o de otorgamiento de ayudas, razón por la cual no considera procedente analizar </w:t>
      </w:r>
      <w:r>
        <w:lastRenderedPageBreak/>
        <w:t>de forma aislada la participación de cada uno de los acusados, incurriendo así en arbitrariedad.</w:t>
      </w:r>
    </w:p>
    <w:p w14:paraId="70A193A3" w14:textId="77777777" w:rsidR="003754FE" w:rsidRDefault="003754FE" w:rsidP="003754FE">
      <w:pPr>
        <w:pStyle w:val="TextoNormal"/>
      </w:pPr>
    </w:p>
    <w:p w14:paraId="11510721" w14:textId="77777777" w:rsidR="003754FE" w:rsidRDefault="003754FE" w:rsidP="003754FE">
      <w:pPr>
        <w:pStyle w:val="TextoNormal"/>
      </w:pPr>
      <w:r>
        <w:t>(ii) La indeterminación e irrazonabilidad de la prueba indiciaria respecto de la conducta constitutiva de la malversación cometida en comisión por omisión. Según el recurrente, la sentencia dictada por la Audiencia Provincial de Sevilla no identifica las actuaciones constitutivas del delito de malversación y la dictada por el Tribunal Supremo, lejos de aclarar tal extremo, imputa dicho delito en comisión por omisión, pero sin justificar en ningún caso la posición de garante en la que, en su caso, se encontraba el señor Rodríguez Román y el resto de los condenados ajenos a la Consejería de Empleo. La sentencia del Tribunal Supremo, lejos de reparar la vulneración del derecho a la presunción de inocencia en la que incurrió la Audiencia Provincial, reitera y agrava dicha lesión al condenar en la modalidad de comisión por omisión en ausencia de todo razonamiento.</w:t>
      </w:r>
    </w:p>
    <w:p w14:paraId="31A1447C" w14:textId="77777777" w:rsidR="003754FE" w:rsidRDefault="003754FE" w:rsidP="003754FE">
      <w:pPr>
        <w:pStyle w:val="TextoNormal"/>
      </w:pPr>
    </w:p>
    <w:p w14:paraId="7EC83625" w14:textId="77777777" w:rsidR="003754FE" w:rsidRDefault="003754FE" w:rsidP="003754FE">
      <w:pPr>
        <w:pStyle w:val="TextoNormal"/>
      </w:pPr>
      <w:r>
        <w:t>(iii) La indeterminación e irrazonabilidad de la prueba indiciaria del elemento subjetivo del tipo de malversación. El recurrente alega que la sentencia de instancia, sin ninguna justificación, afirma que el título de imputación subjetiva de los condenados ajenos a la Consejería de Empleo es el dolo eventual, razón por la cual, dicho extremo fue objeto de motivo casacional. Sin embargo, la sentencia dictada en casación obvia examinar el elemento subjetivo del delito de malversación, afirmando la existencia de un “dolo unificado” o “omnicomprensivo” de los delitos de prevaricación y malversación, “rebasando el techo de la convicción probatoria que fija la sentencia de instancia” y mutando, en consecuencia, el elemento subjetivo del tipo. De esta manera, afirma que lo que en la sentencia de instancia era una situación de dolo eventual se convierte, en la de casación, en dolo directo.</w:t>
      </w:r>
    </w:p>
    <w:p w14:paraId="562175DC" w14:textId="77777777" w:rsidR="003754FE" w:rsidRDefault="003754FE" w:rsidP="003754FE">
      <w:pPr>
        <w:pStyle w:val="TextoNormal"/>
      </w:pPr>
    </w:p>
    <w:p w14:paraId="3842F234" w14:textId="77777777" w:rsidR="003754FE" w:rsidRDefault="003754FE" w:rsidP="003754FE">
      <w:pPr>
        <w:pStyle w:val="TextoNormal"/>
      </w:pPr>
      <w:r>
        <w:t xml:space="preserve">b) Se denuncia, en segundo lugar, la vulneración del derecho fundamental a la legalidad penal (art. 25.1 CE), a la tutela judicial efectiva (arts. 24.1 CE y 6 CEDH) y a los derechos de defensa e intangibilidad de las resoluciones judiciales firmes (art. 24.1 CE). La lesión de tales derechos se imputa a la sentencia dictada en casación porque, a juicio del recurrente, se produjo una irregular ampliación del objeto de enjuiciamiento. A pesar de que el auto de la Audiencia Provincial de Sevilla de 9 de febrero de 2018, resolutorio de las cuestiones previas —y cuyo contenido quedó incorporado a la sentencia de instancia—, excluyó expresamente las ayudas individuales del objeto de enjuiciamiento, la sentencia del Tribunal Supremo las considera el soporte fáctico del delito de malversación. Tal forma de actuar, además de desconocer el carácter firme del auto de 9 de febrero de 2018, vulnera los derechos de defensa, de intangibilidad de las resoluciones judiciales e incurre en una </w:t>
      </w:r>
      <w:r w:rsidRPr="003754FE">
        <w:rPr>
          <w:i/>
        </w:rPr>
        <w:t>reformatio in peius</w:t>
      </w:r>
      <w:r>
        <w:t xml:space="preserve"> prohibida por la Constitución. El recurrente afirma que dicha queja, a pesar de haber sido oportunamente denunciada en el incidente de nulidad de actuaciones, no obtuvo respuesta por parte del Tribunal Supremo.</w:t>
      </w:r>
    </w:p>
    <w:p w14:paraId="2A2BE2BE" w14:textId="77777777" w:rsidR="003754FE" w:rsidRDefault="003754FE" w:rsidP="003754FE">
      <w:pPr>
        <w:pStyle w:val="TextoNormal"/>
      </w:pPr>
    </w:p>
    <w:p w14:paraId="41355AA2" w14:textId="77777777" w:rsidR="003754FE" w:rsidRDefault="003754FE" w:rsidP="003754FE">
      <w:pPr>
        <w:pStyle w:val="TextoNormal"/>
      </w:pPr>
      <w:r>
        <w:t xml:space="preserve">c) Se alega, como tercer motivo, la vulneración del principio de legalidad (art. 25.1 CE) por la interpretación extensiva del concepto resolución a los efectos del delito tipificado en el art. 404 del Código penal (CP), incluyendo por primera vez en dicho tipo actos políticos no sujetos a control jurisdiccional. El recurrente afirma que el principio de taxatividad (art. 25 CE) no permite interpretar que la resolución que constituye el elemento objetivo del tipo pueda ser cualquiera, sino que debe tratarse de una resolución dictada en un asunto administrativo en el sentido estricto del término, sin que quepa incluir en el mismo a los anteproyectos y proyectos de ley. Con cita de doctrina constitucional (SSTC 45/1990, de 15 de </w:t>
      </w:r>
      <w:r>
        <w:lastRenderedPageBreak/>
        <w:t>marzo, y 196/1990, de 29 de noviembre) y de jurisprudencia del Tribunal Supremo [STS 787/2013, de 23 de octubre (ECLI:ES:TS:2013:5318)] alega la exclusión de los actos políticos o de gobierno del concepto de resolución administrativa a la que se refiere el art. 404 CP. Por ello, el art. 25.1 CE impide interpretar de forma extensiva el término “resolución administrativa”, que debe ser únicamente la dictada en un asunto administrativo. Afirma que la aprobación del proyecto de ley de presupuestos, así como las modificaciones presupuestarias se enmarcan en la iniciativa legislativa del Consejo de Gobierno por lo que su naturaleza política se corresponde con la de los actos políticos. Según el recurrente las sentencias impugnadas construyen una teoría según la cual el procedimiento de elaboración del anteproyecto de presupuestos sería un “procedimiento minuciosamente reglado” siendo ahí donde cabría situar el control judicial y donde se habría producido la vulneración de la ley, afirmando la sentencia dictada en casación la existencia de asuntos administrativos a efectos penales que serían divergentes y más amplios que lo son para el propio Derecho administrativo. Según el recurrente, el resultado de la interpretación extensiva que llevan a cabo las resoluciones judiciales “allanan el camino para sostener la existencia de leyes ‘ilegales’, o que cobijan dentro de sí alguna o algunas normas ‘ilegales’ derivadas de un supuesto quebranto normativo sufrido durante la fase prelegislativa”. Tal es lo que sucede, según el recurrente, en el delito de prevaricación por el que se condena al señor Rodríguez Román, ya que se basa en el carácter ilegal de una partida presupuestaria (31L) —contenida en las sucesivas leyes de presupuestos autonómicos aprobadas por el Parlamento— por no acomodarse a las prescripciones establecidas en la Ley 15/2001, de 26 de diciembre, por la que se aprueban medidas fiscales, presupuestarias, de control y administrativas. Según el recurrente, resulta obvio que las transferencias de financiación (como instrumento presupuestario) tendrán la finalidad que la ley establezca y, desde el año 2002, todas las leyes de presupuestos aprobadas válidamente por el Parlamento de Andalucía han previsto en sus estados de gastos que el dinero para el pago por el IFA/IDEA de las ayudas sociolaborales, concedidas por la Dirección General de Trabajo y Seguridad Social de la Consejería de Empleo, se hiciera llegar al ente instrumental mediante transferencias de financiación. No hay más que ver las leyes de presupuestos en sus estados de gasto y en sus memorias para descartar de plano que el Parlamento de Andalucía aprobara la partida 31L para equilibrar las cuentas de IFA/IDEA sin que pueda oponerse de contrario que el Parlamento no sabía lo que aprobaba o que este fuera inducido a error, que es, en definitiva, el razonamiento sostenido en las sentencias para condenar por el delito de prevaricación.</w:t>
      </w:r>
    </w:p>
    <w:p w14:paraId="35F90AA3" w14:textId="77777777" w:rsidR="003754FE" w:rsidRDefault="003754FE" w:rsidP="003754FE">
      <w:pPr>
        <w:pStyle w:val="TextoNormal"/>
      </w:pPr>
    </w:p>
    <w:p w14:paraId="22B53908" w14:textId="77777777" w:rsidR="003754FE" w:rsidRDefault="003754FE" w:rsidP="003754FE">
      <w:pPr>
        <w:pStyle w:val="TextoNormal"/>
      </w:pPr>
      <w:r>
        <w:t>Según el recurrente, las resoluciones impugnadas, aunque parten de la base de que el procedimiento de elaboración del anteproyecto de presupuestos es un procedimiento minuciosamente reglado, siendo en esa fase en la que se produce el control judicial y en la que se aprecia la vulneración de la ley, no analizan las actuaciones y competencias de cada uno de los intervinientes en dicho procedimiento. Teniendo en cuenta que el proyecto de ley llega ya elaborado por la Consejería de Hacienda al Consejo de Gobierno, es erróneo, arbitrario e inadmisible que se concluya en las sentencias que las transferencias de financiación se incluyeron indebidamente en el anteproyecto y proyecto de presupuestos, pues de la misma forma se pudo añadir que se incluyeron en el anteproyecto, proyecto y en la propia ley de presupuestos. Desde la perspectiva del Derecho penal debería haberse determinado e individualizado la actuación que cada uno de los condenados llevó a cabo en relación con los hechos por los que se les exige responsabilidad penal. Si este examen se hubiera realizado, habría resultado patente que el señor Rodríguez Román no ha tenido ninguna intervención en la elaboración del anteproyecto de presupuestos antes descrita.</w:t>
      </w:r>
    </w:p>
    <w:p w14:paraId="11EA0D6E" w14:textId="77777777" w:rsidR="003754FE" w:rsidRDefault="003754FE" w:rsidP="003754FE">
      <w:pPr>
        <w:pStyle w:val="TextoNormal"/>
      </w:pPr>
    </w:p>
    <w:p w14:paraId="3D855837" w14:textId="77777777" w:rsidR="003754FE" w:rsidRDefault="003754FE" w:rsidP="003754FE">
      <w:pPr>
        <w:pStyle w:val="TextoNormal"/>
      </w:pPr>
      <w:r>
        <w:t>Por lo que se refiere a las modificaciones presupuestarias aprobadas por el Consejo de Gobierno, se afirma en la demanda que fueron tramitadas con arreglo a las previsiones de la Ley general de hacienda pública de la Comunidad Autónoma de Andalucía, a las que se dio estricto cumplimiento. La sentencia de instancia no expresa ni individualiza las concretas modificaciones presupuestarias por las que se condena al recurrente, ni cuál fue la conducta delictiva que este llevó a cabo, ni su aportación personal más allá de estar en la Comisión de viceconsejeros, sobre todo teniendo en cuenta que tanto el interventor general como el interventor adjunto informaron favorablemente estas modificaciones presupuestarias como garantes de la legalidad presupuestaria —y ambos fueron absueltos—.</w:t>
      </w:r>
    </w:p>
    <w:p w14:paraId="7D0064E7" w14:textId="77777777" w:rsidR="003754FE" w:rsidRDefault="003754FE" w:rsidP="003754FE">
      <w:pPr>
        <w:pStyle w:val="TextoNormal"/>
      </w:pPr>
    </w:p>
    <w:p w14:paraId="4C0D0575" w14:textId="4E5411A5" w:rsidR="003754FE" w:rsidRDefault="003754FE" w:rsidP="003754FE">
      <w:pPr>
        <w:pStyle w:val="TextoNormal"/>
      </w:pPr>
      <w:r>
        <w:t>En el suplico de la demanda se interesa que se declare la vulneración de los derechos fundamentales aludidos y, en consecuencia, la nulidad de las resoluciones impugnadas “con los efectos de retroacción o absolución de […] don Jesús María Rodríguez Román que en cada caso resulten procedentes”. Asimismo, mediante otrosí, se interesa, al amparo de lo dispuesto en el art. 56.2 de la Ley Orgánica del Tribunal Constitucional (LOTC), la suspensión de la eficacia de las sentencias impugnadas hasta tanto recaiga una resolución definitiva en el recurso de amparo.</w:t>
      </w:r>
    </w:p>
    <w:p w14:paraId="4ECF20AF" w14:textId="77777777" w:rsidR="003754FE" w:rsidRDefault="003754FE" w:rsidP="003754FE">
      <w:pPr>
        <w:pStyle w:val="TextoNormal"/>
      </w:pPr>
    </w:p>
    <w:p w14:paraId="72AB20CB" w14:textId="2B4835DA" w:rsidR="003754FE" w:rsidRDefault="003754FE" w:rsidP="003754FE">
      <w:pPr>
        <w:pStyle w:val="TextoNormal"/>
      </w:pPr>
      <w:r w:rsidRPr="003754FE">
        <w:rPr>
          <w:rStyle w:val="NumeroAFNegritaCaracter"/>
        </w:rPr>
        <w:t>4</w:t>
      </w:r>
      <w:r>
        <w:t>. El 16 de mayo de 2016 tuvo entrada en el registro de este tribunal un escrito presentado por la representación del recurrente en el que pone de manifiesto que ha tenido conocimiento de que otros condenados por las resoluciones judiciales aquí impugnadas han interpuesto también recurso de amparo, por lo que suplica a este tribunal que examine la existencia de conexidad de este recurso de amparo con los ya interpuestos por otros condenados.</w:t>
      </w:r>
    </w:p>
    <w:p w14:paraId="116D415A" w14:textId="77777777" w:rsidR="003754FE" w:rsidRDefault="003754FE" w:rsidP="003754FE">
      <w:pPr>
        <w:pStyle w:val="TextoNormal"/>
      </w:pPr>
    </w:p>
    <w:p w14:paraId="3576EA6B" w14:textId="77777777" w:rsidR="003754FE" w:rsidRDefault="003754FE" w:rsidP="003754FE">
      <w:pPr>
        <w:pStyle w:val="TextoNormal"/>
      </w:pPr>
      <w:r w:rsidRPr="003754FE">
        <w:rPr>
          <w:rStyle w:val="NumeroAFNegritaCaracter"/>
        </w:rPr>
        <w:t>5</w:t>
      </w:r>
      <w:r>
        <w:t>. La Sala Segunda de este tribunal dictó el ATC 292/2023, de 5 de junio, en el que se adoptaron los siguientes pronunciamientos:</w:t>
      </w:r>
    </w:p>
    <w:p w14:paraId="19604B25" w14:textId="77777777" w:rsidR="003754FE" w:rsidRDefault="003754FE" w:rsidP="003754FE">
      <w:pPr>
        <w:pStyle w:val="TextoNormal"/>
      </w:pPr>
    </w:p>
    <w:p w14:paraId="4E07A807" w14:textId="77777777" w:rsidR="003754FE" w:rsidRDefault="003754FE" w:rsidP="003754FE">
      <w:pPr>
        <w:pStyle w:val="TextoNormal"/>
      </w:pPr>
      <w:r>
        <w:t>(i) Previa avocación a la Sala de la decisión, se admitió a trámite el presente recurso de amparo “porque el recurso plantea un problema o afecta a una faceta de un derecho fundamental sobre el que no hay doctrina de este tribunal [STC 155/2009, FJ 2 a)] […] y […]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14:paraId="44CC7AF3" w14:textId="77777777" w:rsidR="003754FE" w:rsidRDefault="003754FE" w:rsidP="003754FE">
      <w:pPr>
        <w:pStyle w:val="TextoNormal"/>
      </w:pPr>
    </w:p>
    <w:p w14:paraId="697237CE" w14:textId="77777777" w:rsidR="003754FE" w:rsidRDefault="003754FE" w:rsidP="003754FE">
      <w:pPr>
        <w:pStyle w:val="TextoNormal"/>
      </w:pPr>
      <w:r>
        <w:t>(ii) En aplicación del art. 51 LOTC, se acordó requerir a la Sección Primera de la Audiencia Provincial de Sevilla a fin de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 Mediante diligencia de ordenación de fecha 24 de julio de 2023 se tuvieron por recibidas en este tribunal las actuaciones correspondientes al procedimiento abreviado núm. 133-2016, rollo núm. 1965-2017.</w:t>
      </w:r>
    </w:p>
    <w:p w14:paraId="2172198D" w14:textId="77777777" w:rsidR="003754FE" w:rsidRDefault="003754FE" w:rsidP="003754FE">
      <w:pPr>
        <w:pStyle w:val="TextoNormal"/>
      </w:pPr>
    </w:p>
    <w:p w14:paraId="3932A365" w14:textId="77777777" w:rsidR="003754FE" w:rsidRDefault="003754FE" w:rsidP="003754FE">
      <w:pPr>
        <w:pStyle w:val="TextoNormal"/>
      </w:pPr>
      <w:r>
        <w:lastRenderedPageBreak/>
        <w:t>(iii) Se ordenó, asimismo, formar pieza separada de suspensión y en ella conceder un plazo común de tres días al Ministerio Fiscal y al solicitante de amparo para que efectuasen alegaciones sobre dicha cuestión. Hechas las alegaciones correspondientes, el Pleno de este tribunal dictó ATC 442/2023, de 26 de septiembre, en el que acordó denegar la suspensión interesada por la actora.</w:t>
      </w:r>
    </w:p>
    <w:p w14:paraId="03EC58A9" w14:textId="77777777" w:rsidR="003754FE" w:rsidRDefault="003754FE" w:rsidP="003754FE">
      <w:pPr>
        <w:pStyle w:val="TextoNormal"/>
      </w:pPr>
    </w:p>
    <w:p w14:paraId="2D50C499" w14:textId="504659CA" w:rsidR="003754FE" w:rsidRDefault="003754FE" w:rsidP="003754FE">
      <w:pPr>
        <w:pStyle w:val="TextoNormal"/>
      </w:pPr>
      <w:r>
        <w:t>(iv) Se propuso finalmente la avocación al Pleno del conocimiento del asunto. Por providencia de 20 de junio de 2023 el Pleno de este tribunal acordó, conforme al artículo 10.1. n) LOTC, a propuesta de la Sala Segunda, “recabar para sí el conocimiento del recurso de amparo que se tramita en dicha Sala con el número 2361-2023, interpuesto por don Jesús Rodríguez Román”.</w:t>
      </w:r>
    </w:p>
    <w:p w14:paraId="3CBDD23A" w14:textId="77777777" w:rsidR="003754FE" w:rsidRDefault="003754FE" w:rsidP="003754FE">
      <w:pPr>
        <w:pStyle w:val="TextoNormal"/>
      </w:pPr>
    </w:p>
    <w:p w14:paraId="160258B0" w14:textId="77777777" w:rsidR="003754FE" w:rsidRDefault="003754FE" w:rsidP="003754FE">
      <w:pPr>
        <w:pStyle w:val="TextoNormal"/>
      </w:pPr>
      <w:r w:rsidRPr="003754FE">
        <w:rPr>
          <w:rStyle w:val="NumeroAFNegritaCaracter"/>
        </w:rPr>
        <w:t>6</w:t>
      </w:r>
      <w:r>
        <w:t>. Además del Ministerio Fiscal, las partes personadas en este proceso de amparo son las siguientes:</w:t>
      </w:r>
    </w:p>
    <w:p w14:paraId="727F15B1" w14:textId="77777777" w:rsidR="003754FE" w:rsidRDefault="003754FE" w:rsidP="003754FE">
      <w:pPr>
        <w:pStyle w:val="TextoNormal"/>
      </w:pPr>
    </w:p>
    <w:p w14:paraId="36C872B8" w14:textId="77777777" w:rsidR="003754FE" w:rsidRDefault="003754FE" w:rsidP="003754FE">
      <w:pPr>
        <w:pStyle w:val="TextoNormal"/>
      </w:pPr>
      <w:r>
        <w:t>(i) El Partido Popular, al que se tuvo por personado en diligencia de ordenación de 27 de julio de 2023.</w:t>
      </w:r>
    </w:p>
    <w:p w14:paraId="0483FF1B" w14:textId="77777777" w:rsidR="003754FE" w:rsidRDefault="003754FE" w:rsidP="003754FE">
      <w:pPr>
        <w:pStyle w:val="TextoNormal"/>
      </w:pPr>
    </w:p>
    <w:p w14:paraId="6C8ACF35" w14:textId="77777777" w:rsidR="003754FE" w:rsidRDefault="003754FE" w:rsidP="003754FE">
      <w:pPr>
        <w:pStyle w:val="TextoNormal"/>
      </w:pPr>
      <w:r>
        <w:t>(ii) Don José Antonio Griñán Martínez, al que se tuvo por personado en diligencia de ordenación de 23 de octubre de 2023, si bien no ha presentado escrito de alegaciones.</w:t>
      </w:r>
    </w:p>
    <w:p w14:paraId="2EEB554F" w14:textId="77777777" w:rsidR="003754FE" w:rsidRDefault="003754FE" w:rsidP="003754FE">
      <w:pPr>
        <w:pStyle w:val="TextoNormal"/>
      </w:pPr>
    </w:p>
    <w:p w14:paraId="5AC763FB" w14:textId="77777777" w:rsidR="003754FE" w:rsidRDefault="003754FE" w:rsidP="003754FE">
      <w:pPr>
        <w:pStyle w:val="TextoNormal"/>
      </w:pPr>
      <w:r>
        <w:t>(iii) Don Antonio Vicente Lozano Peña, al que se tuvo por personado en diligencia de ordenación de 23 de octubre de 2023, pero no ha presentado alegaciones.</w:t>
      </w:r>
    </w:p>
    <w:p w14:paraId="56063BEE" w14:textId="77777777" w:rsidR="003754FE" w:rsidRDefault="003754FE" w:rsidP="003754FE">
      <w:pPr>
        <w:pStyle w:val="TextoNormal"/>
      </w:pPr>
    </w:p>
    <w:p w14:paraId="5BC5FFFC" w14:textId="77777777" w:rsidR="003754FE" w:rsidRDefault="003754FE" w:rsidP="003754FE">
      <w:pPr>
        <w:pStyle w:val="TextoNormal"/>
      </w:pPr>
      <w:r>
        <w:t>(iv) Don Francisco Vallejo Serrano, al que se tuvo por personado en diligencia de ordenación de 23 de octubre de 2023.</w:t>
      </w:r>
    </w:p>
    <w:p w14:paraId="7DAA1A71" w14:textId="77777777" w:rsidR="003754FE" w:rsidRDefault="003754FE" w:rsidP="003754FE">
      <w:pPr>
        <w:pStyle w:val="TextoNormal"/>
      </w:pPr>
    </w:p>
    <w:p w14:paraId="2B836409" w14:textId="77777777" w:rsidR="003754FE" w:rsidRDefault="003754FE" w:rsidP="003754FE">
      <w:pPr>
        <w:pStyle w:val="TextoNormal"/>
      </w:pPr>
      <w:r>
        <w:t>(v) Doña Carmen Martínez Aguayo, a la que se tuvo por personada en diligencia de ordenación de 23 de octubre de 2023.</w:t>
      </w:r>
    </w:p>
    <w:p w14:paraId="4E05BE31" w14:textId="77777777" w:rsidR="003754FE" w:rsidRDefault="003754FE" w:rsidP="003754FE">
      <w:pPr>
        <w:pStyle w:val="TextoNormal"/>
      </w:pPr>
    </w:p>
    <w:p w14:paraId="267ECCBC" w14:textId="4D5E4B32" w:rsidR="003754FE" w:rsidRDefault="003754FE" w:rsidP="003754FE">
      <w:pPr>
        <w:pStyle w:val="TextoNormal"/>
      </w:pPr>
      <w:r>
        <w:t>(vi) Don Gaspar Zarrías Arévalo, al que se tuvo por personado en diligencia de ordenación de 23 de octubre de 2023.</w:t>
      </w:r>
    </w:p>
    <w:p w14:paraId="4908461A" w14:textId="77777777" w:rsidR="003754FE" w:rsidRDefault="003754FE" w:rsidP="003754FE">
      <w:pPr>
        <w:pStyle w:val="TextoNormal"/>
      </w:pPr>
    </w:p>
    <w:p w14:paraId="5B979F93" w14:textId="77777777" w:rsidR="003754FE" w:rsidRDefault="003754FE" w:rsidP="003754FE">
      <w:pPr>
        <w:pStyle w:val="TextoNormal"/>
      </w:pPr>
      <w:r w:rsidRPr="003754FE">
        <w:rPr>
          <w:rStyle w:val="NumeroAFNegritaCaracter"/>
        </w:rPr>
        <w:t>7</w:t>
      </w:r>
      <w:r>
        <w:t>. Las partes personadas en el presente proceso de amparo han presentado las siguientes alegaciones:</w:t>
      </w:r>
    </w:p>
    <w:p w14:paraId="1FFE2B8B" w14:textId="77777777" w:rsidR="003754FE" w:rsidRDefault="003754FE" w:rsidP="003754FE">
      <w:pPr>
        <w:pStyle w:val="TextoNormal"/>
      </w:pPr>
    </w:p>
    <w:p w14:paraId="4A6B281C" w14:textId="77777777" w:rsidR="003754FE" w:rsidRDefault="003754FE" w:rsidP="003754FE">
      <w:pPr>
        <w:pStyle w:val="TextoNormal"/>
      </w:pPr>
      <w:r>
        <w:t>(i) El Partido Popular ha interesado, en escrito registrado en este tribunal el 26 de septiembre de 2023, la desestimación del recurso de amparo.</w:t>
      </w:r>
    </w:p>
    <w:p w14:paraId="5C93F309" w14:textId="77777777" w:rsidR="003754FE" w:rsidRDefault="003754FE" w:rsidP="003754FE">
      <w:pPr>
        <w:pStyle w:val="TextoNormal"/>
      </w:pPr>
    </w:p>
    <w:p w14:paraId="7E131810" w14:textId="77777777" w:rsidR="003754FE" w:rsidRDefault="003754FE" w:rsidP="003754FE">
      <w:pPr>
        <w:pStyle w:val="TextoNormal"/>
      </w:pPr>
      <w:r>
        <w:t>El escrito comienza con unas alegaciones generales respecto de la totalidad de los motivos aducidos en el recurso de amparo. Se afirma que las resoluciones judiciales impugnadas realizan una interpretación razonable y previsible del ordenamiento jurídico y que las quejas del recurrente parten de una selección parcial y fragmentada de los fundamentos de la condena.</w:t>
      </w:r>
    </w:p>
    <w:p w14:paraId="32FE798D" w14:textId="77777777" w:rsidR="003754FE" w:rsidRDefault="003754FE" w:rsidP="003754FE">
      <w:pPr>
        <w:pStyle w:val="TextoNormal"/>
      </w:pPr>
    </w:p>
    <w:p w14:paraId="027953D2" w14:textId="77777777" w:rsidR="003754FE" w:rsidRDefault="003754FE" w:rsidP="003754FE">
      <w:pPr>
        <w:pStyle w:val="TextoNormal"/>
      </w:pPr>
      <w:r>
        <w:t xml:space="preserve">Respecto del primer motivo de amparo, el Partido Popular descarta que se haya producido lesión alguna de los derechos a la tutela judicial efectiva (art. 24.1 CE), a un juicio con todas las garantías y a la presunción de inocencia (art. 24.2 CE) y al principio de legalidad </w:t>
      </w:r>
      <w:r>
        <w:lastRenderedPageBreak/>
        <w:t>en materia penal (art. 25.1 CE). Con reproducción de extractos de las resoluciones impugnadas, la representación del Partido Popular aduce que se condenó al señor Rodríguez Román con abundante prueba de cargo y que el conjunto de razonamientos, normas constitucionales y legales invocadas, así como los precedentes mencionados en las resoluciones recurridas “evidencian que estamos ante un pronunciamiento racional y previsible”. Se afirma en las alegaciones que, en contra de lo sostenido por el recurrente —que funda su pretensión sin respetar las consideraciones fácticas realizadas por el Tribunal Supremo—, existe una motivación adicional sobre la prueba de los elementos subjetivos del delito de malversación y que sí existe una motivación suficiente en las sentencias sobre la vinculación entre el sistema de presupuestación y el delito de malversación. Asimismo, niega categóricamente que se haya lesionado el derecho a un proceso con todas las garantías ya que, en contra de lo sostenido por el recurrente, descarta que la sentencia casacional haya reinterpretado o introducido, sin la debida inmediación, elementos fácticos novedosos, carentes de sustento probatorio, para confirmar la condena por malversación. Afirma, en este punto, que la Sala Segunda ni ha revocado una sentencia absolutoria ni ha agravado la condena de la recurrente. En todo caso, con amplia cita de fragmentos de la sentencia casacional, considera que el Tribunal Supremo ha respetado en todo momento los hechos declarados probados en la instancia, pues ha realizado, en relación con ellos, valoraciones puramente jurídicas, complementarias de las ya contenidas en la resolución de la Audiencia. Se rechaza igualmente que la sentencia casacional haya alterado la modalidad de dolo que aprecia.</w:t>
      </w:r>
    </w:p>
    <w:p w14:paraId="7B4EAD48" w14:textId="77777777" w:rsidR="003754FE" w:rsidRDefault="003754FE" w:rsidP="003754FE">
      <w:pPr>
        <w:pStyle w:val="TextoNormal"/>
      </w:pPr>
    </w:p>
    <w:p w14:paraId="40BD6EDD" w14:textId="77777777" w:rsidR="003754FE" w:rsidRDefault="003754FE" w:rsidP="003754FE">
      <w:pPr>
        <w:pStyle w:val="TextoNormal"/>
      </w:pPr>
      <w:r>
        <w:t xml:space="preserve">Respecto del segundo de los motivos de amparo, referido al objeto de enjuiciamiento en el proceso penal, el escrito de alegaciones del Partido Popular afirma que el recurrente debería haber detallado la queja concretando, en su caso, qué hechos de los conocidos en este proceso están siendo también objeto de enjuiciamiento en otros. Descarta en todo caso que se haya producido la vulneración del derecho a la intangibilidad de las resoluciones judiciales ya que la construcción “dada por el Tribunal Supremo es respetuosa con el derecho al </w:t>
      </w:r>
      <w:r w:rsidRPr="003754FE">
        <w:rPr>
          <w:i/>
        </w:rPr>
        <w:t>non bis in idem</w:t>
      </w:r>
      <w:r>
        <w:t>, dado que ello se articula a través de la cosa juzgada negativa o excluyente”, en virtud de la cual ninguno de los aquí condenados puede volver a ser juzgado por los mismos hechos. Afirma que “los autos de ‘exclusión’ como el que se dictó en cuestiones previas, no siendo de sobreseimiento libre, no tiene valor de cosa juzgada […] ni debe entenderse que vincule al Tribunal de enjuiciamiento o ahora en casación”. Los hechos enjuiciados se concretaron en los escritos de acusación y sobre ellos hubo debate contradictorio, por lo que se descarta, asimismo, que se haya vulnerado el derecho de defensa ya que las partes han podido alegar y probar tal y como pone de manifiesto el Tribunal Supremo en el auto que resuelve el incidente de nulidad de actuaciones interpuesto frente a la sentencia dictada en casación, sin que, además, se haya concretado por el recurrente la prueba o las diligencias que, en su caso, se dejaron de practicar y que fueron causantes de indefensión.</w:t>
      </w:r>
    </w:p>
    <w:p w14:paraId="0FF322E0" w14:textId="77777777" w:rsidR="003754FE" w:rsidRDefault="003754FE" w:rsidP="003754FE">
      <w:pPr>
        <w:pStyle w:val="TextoNormal"/>
      </w:pPr>
    </w:p>
    <w:p w14:paraId="1330CDB5" w14:textId="77777777" w:rsidR="003754FE" w:rsidRDefault="003754FE" w:rsidP="003754FE">
      <w:pPr>
        <w:pStyle w:val="TextoNormal"/>
      </w:pPr>
      <w:r>
        <w:t xml:space="preserve">Por lo que se refiere al tercer motivo de amparo el escrito de alegaciones del Partido Popular descarta que se haya realizado por los órganos judiciales una interpretación extensiva del concepto de resolución administrativa contenida en el art. 404 CP ya que las sentencias impugnadas, en lo atinente a la condena por prevaricación, “cumplen escrupulosamente con el deber de motivación razonada y razonable sobre el sentido del art. 404 CP y su aplicación al caso, superando con mucho el escrutinio de legalidad penal </w:t>
      </w:r>
      <w:r w:rsidRPr="003754FE">
        <w:rPr>
          <w:i/>
        </w:rPr>
        <w:t>ex</w:t>
      </w:r>
      <w:r>
        <w:t xml:space="preserve"> art. 25 CE”. En todo caso, el señor Rodríguez Román fue condenado por prevaricación no solo por haber participado en los actos de preparación de los proyectos de ley de presupuestos y las modificaciones presupuestarias sino también en otros actos o resoluciones prevaricadoras, </w:t>
      </w:r>
      <w:r>
        <w:lastRenderedPageBreak/>
        <w:t>particularmente en la gestión de las ayudas con los “convenios particulares” y las resoluciones de pago llevados a cabo a través de IFA/IDEA. Con abundante reproducción de extractos de las resoluciones impugnadas, sostiene que las sentencias impugnadas no desconocen la inmunidad jurisdiccional de los actos políticos, “sino que extensa y detalladamente motivan hasta concluir que los actos enjuiciados no son de tal clase”, sin infringir la doctrina constitucional ni la jurisprudencia como se desprende de los precedentes que ambas resoluciones citan para apoyar su interpretación. Se alega, además, que existen otros argumentos complementarios que pueden reforzar la adecuación de las sentencias recurridas al principio de legalidad, tales como las previsiones normativas contenidas en la Ley de procedimiento administrativo de 1958 o en la posterior de 1992 en las que se consideraba que un acto de elaboración de una disposición de carácter general constituye una resolución administrativa o en procedimiento administrativo, lo que justifica que esos actos puedan integrarse en el entendimiento penal del concepto. “Igual sucede en el ámbito de la legislación presupuestaria, donde coexisten la legislación presupuestaria general con vocación permanente y la ley de presupuestos de cada ejercicio, disciplinando la primera, en el ámbito estatal y autonómico, el procedimiento de elaboración y otras muchas materias con un régimen que ha de respetarse por la segunda. La sentencia del Tribunal Supremo contiene una mención que es necesario resaltar de la STC 238/2007, de 21 de noviembre”. Se afirma en el escrito de alegaciones que no se trata aquí de enjuiciar unos meros actos prelegislativos, “sino estos con otros que evidencian la injusticia de los mismos y su finalidad de establecer un sistema irregular de concesión de subvenciones”.</w:t>
      </w:r>
    </w:p>
    <w:p w14:paraId="712F7B12" w14:textId="77777777" w:rsidR="003754FE" w:rsidRDefault="003754FE" w:rsidP="003754FE">
      <w:pPr>
        <w:pStyle w:val="TextoNormal"/>
      </w:pPr>
    </w:p>
    <w:p w14:paraId="1B27A027" w14:textId="77777777" w:rsidR="003754FE" w:rsidRDefault="003754FE" w:rsidP="003754FE">
      <w:pPr>
        <w:pStyle w:val="TextoNormal"/>
      </w:pPr>
      <w:r>
        <w:t>(ii) Don Gaspar Zarrías Arévalo se ha adherido, en el propio escrito de personación, registrado en este tribunal el 6 de octubre de 2023, al motivo tercero del recurso de amparo, por ser coincidente con lo planteado en el motivo segundo de su propio recurso, que se tramita en este tribunal con el núm. 2411-2023.</w:t>
      </w:r>
    </w:p>
    <w:p w14:paraId="2741ADC7" w14:textId="77777777" w:rsidR="003754FE" w:rsidRDefault="003754FE" w:rsidP="003754FE">
      <w:pPr>
        <w:pStyle w:val="TextoNormal"/>
      </w:pPr>
    </w:p>
    <w:p w14:paraId="652D50E5" w14:textId="77777777" w:rsidR="003754FE" w:rsidRDefault="003754FE" w:rsidP="003754FE">
      <w:pPr>
        <w:pStyle w:val="TextoNormal"/>
      </w:pPr>
      <w:r>
        <w:t>(iii) Doña Carmen Martínez Aguayo se ha adherido, en escrito registrado en este tribunal el 20 de noviembre de 2023, al recurso de amparo en todo lo que le pueda favorecer, por entender que los fundamentos, alegaciones y vulneraciones de derechos fundamentales puestas de manifiesto por el actor, le son plenamente aplicables debido a que ha sido condenada por participar en los mismos hechos que se le atribuyen al señor Rodríguez Román. Afirma que la estimación del recurso conllevaría la revocación de las sentencias condenatorias y la absolución del actor, debiendo extenderse a ella los efectos de dicha declaración.</w:t>
      </w:r>
    </w:p>
    <w:p w14:paraId="10A0CECC" w14:textId="77777777" w:rsidR="003754FE" w:rsidRDefault="003754FE" w:rsidP="003754FE">
      <w:pPr>
        <w:pStyle w:val="TextoNormal"/>
      </w:pPr>
    </w:p>
    <w:p w14:paraId="3818D8E2" w14:textId="77777777" w:rsidR="003754FE" w:rsidRDefault="003754FE" w:rsidP="003754FE">
      <w:pPr>
        <w:pStyle w:val="TextoNormal"/>
      </w:pPr>
      <w:r>
        <w:t>(iv) Don Francisco Vallejo Serrano ha solicitado, en escrito registrado en este tribunal el 22 de noviembre de 2023, que se declare la vulneración del derecho fundamental a la legalidad sancionadora (art. 25.1 CE), tanto en relación con la condena por delito de prevaricación como por delito de malversación.</w:t>
      </w:r>
    </w:p>
    <w:p w14:paraId="73F411BD" w14:textId="77777777" w:rsidR="003754FE" w:rsidRDefault="003754FE" w:rsidP="003754FE">
      <w:pPr>
        <w:pStyle w:val="TextoNormal"/>
      </w:pPr>
    </w:p>
    <w:p w14:paraId="417C940D" w14:textId="77777777" w:rsidR="003754FE" w:rsidRDefault="003754FE" w:rsidP="003754FE">
      <w:pPr>
        <w:pStyle w:val="TextoNormal"/>
      </w:pPr>
      <w:r>
        <w:t xml:space="preserve">En lo que se refiere a la subsunción en el tipo de la prevaricación (art. 404 CP), alega que las resoluciones impugnadas confunden el procedimiento de elaboración y tramitación del anteproyecto de ley de presupuestos, la aprobación del proyecto de ley de presupuestos, el procedimiento de aprobación de la ley de presupuestos, el procedimiento de concesión de ayudas sociolaborales a empresas en crisis, el pago de las ayudas y las modificaciones presupuestarias. Pese a que estos procedimientos son distintos y están encomendados a órganos diversos, con responsabilidades diferentes, las resoluciones impugnadas construyen artificiosamente un único “procedimiento específico” del que extraen ilegítimamente una suerte </w:t>
      </w:r>
      <w:r>
        <w:lastRenderedPageBreak/>
        <w:t>de responsabilidad penal “solidaria”. En todo caso, la aprobación del proyecto de ley de presupuestos, en cuanto acto de iniciativa legislativa del Consejo de Gobierno, es una actuación en asunto político que no puede subsumirse legítimamente en el concepto de “asunto administrativo” del art. 404 CP.</w:t>
      </w:r>
    </w:p>
    <w:p w14:paraId="70326940" w14:textId="77777777" w:rsidR="003754FE" w:rsidRDefault="003754FE" w:rsidP="003754FE">
      <w:pPr>
        <w:pStyle w:val="TextoNormal"/>
      </w:pPr>
    </w:p>
    <w:p w14:paraId="0B200F0A" w14:textId="77777777" w:rsidR="003754FE" w:rsidRDefault="003754FE" w:rsidP="003754FE">
      <w:pPr>
        <w:pStyle w:val="TextoNormal"/>
      </w:pPr>
      <w:r>
        <w:t>Insiste, asimismo, en que la noción de “ley ilegal” o de “ilegalidades dentro de una ley” es una “aporía”, pues “no puede considerar[se] ilegal una parte de la norma aprobada válidamente por el Parlamento de Andalucía”, como ocurrió con todas las leyes de presupuestos de la comunidad autónoma de Andalucía desde el año 2002. Asimismo, vistas “las leyes de presupuestos en sus estados de gastos (actividades y objetivos de la partida 31L) y en sus memorias […], no puede afirmarse que el Parlamento no sabía lo que aprobaba, o que el Parlamento fuera inducido a error, que es la base del razonamiento que sostiene el castigo por prevaricación”.</w:t>
      </w:r>
    </w:p>
    <w:p w14:paraId="233E0F85" w14:textId="77777777" w:rsidR="003754FE" w:rsidRDefault="003754FE" w:rsidP="003754FE">
      <w:pPr>
        <w:pStyle w:val="TextoNormal"/>
      </w:pPr>
    </w:p>
    <w:p w14:paraId="1B1E4AE6" w14:textId="34940152" w:rsidR="003754FE" w:rsidRDefault="003754FE" w:rsidP="003754FE">
      <w:pPr>
        <w:pStyle w:val="TextoNormal"/>
      </w:pPr>
      <w:r>
        <w:t xml:space="preserve">En lo relativo a la malversación, se denuncia que la sentencia casacional introduce una autoría directa allí donde la Audiencia aprecia una coautoría con división de funciones. También construiría </w:t>
      </w:r>
      <w:r w:rsidRPr="003754FE">
        <w:rPr>
          <w:i/>
        </w:rPr>
        <w:t>ex novo</w:t>
      </w:r>
      <w:r>
        <w:t xml:space="preserve"> la sentencia casacional la posición de garantía de la que deduce la comisión por omisión del art. 11 CP. Y afirma, igualmente, que el nexo del elemento subjetivo de la prevaricación y la malversación, que consistiría en que el delito medio (prevaricación) se habría cometido con dolo directo y el delito fin (malversación) con dolo eventual, es un “disparate jurídico”, con el que se trata de encubrir que, en realidad, no existe ningún elemento justificativo del elemento subjetivo del delito de malversación.</w:t>
      </w:r>
    </w:p>
    <w:p w14:paraId="7614E414" w14:textId="77777777" w:rsidR="003754FE" w:rsidRDefault="003754FE" w:rsidP="003754FE">
      <w:pPr>
        <w:pStyle w:val="TextoNormal"/>
      </w:pPr>
    </w:p>
    <w:p w14:paraId="751346B2" w14:textId="77777777" w:rsidR="003754FE" w:rsidRDefault="003754FE" w:rsidP="003754FE">
      <w:pPr>
        <w:pStyle w:val="TextoNormal"/>
      </w:pPr>
      <w:r w:rsidRPr="003754FE">
        <w:rPr>
          <w:rStyle w:val="NumeroAFNegritaCaracter"/>
        </w:rPr>
        <w:t>8</w:t>
      </w:r>
      <w:r>
        <w:t>. El Ministerio Fiscal ha presentado alegaciones, registradas en este tribunal en fecha 8 de enero de 2024, previa prórroga del plazo conferido al efecto, acordada en diligencia de ordenación de 30 de octubre de 2023. En ellas, interesa la estimación parcial del recurso de amparo respecto de la condena por prevaricación consistente en la participación del demandante, a través de la Comisión General de Viceconsejeros, en la aprobación de los sucesivos anteproyectos de leyes de presupuestos que le fue atribuida en las sentencias impugnadas y que, en consecuencia, se acuerde declarar vulnerado el derecho a la legalidad penal (art. 25.1 CE) en relación con el citado aspecto de la condena y que se restituya al recurrente en su derecho, acordando la nulidad de las resoluciones impugnadas en cuanto condenan al recurrente por las actuaciones referidas. Asimismo, considera que el recurso debe desestimarse en todo lo demás.</w:t>
      </w:r>
    </w:p>
    <w:p w14:paraId="3AADC277" w14:textId="77777777" w:rsidR="003754FE" w:rsidRDefault="003754FE" w:rsidP="003754FE">
      <w:pPr>
        <w:pStyle w:val="TextoNormal"/>
      </w:pPr>
    </w:p>
    <w:p w14:paraId="7BDB8111" w14:textId="77777777" w:rsidR="003754FE" w:rsidRDefault="003754FE" w:rsidP="003754FE">
      <w:pPr>
        <w:pStyle w:val="TextoNormal"/>
      </w:pPr>
      <w:r>
        <w:t>El fiscal, tras hacer un resumen de los antecedentes de los que trae causa este recurso y de las alegaciones del recurso de amparo, afirma que la demanda cumple con los requisitos de procedibilidad para ser admitida a trámite.</w:t>
      </w:r>
    </w:p>
    <w:p w14:paraId="47CE8610" w14:textId="77777777" w:rsidR="003754FE" w:rsidRDefault="003754FE" w:rsidP="003754FE">
      <w:pPr>
        <w:pStyle w:val="TextoNormal"/>
      </w:pPr>
    </w:p>
    <w:p w14:paraId="4FD0AB0F" w14:textId="77777777" w:rsidR="003754FE" w:rsidRDefault="003754FE" w:rsidP="003754FE">
      <w:pPr>
        <w:pStyle w:val="TextoNormal"/>
      </w:pPr>
      <w:r>
        <w:t xml:space="preserve">a) Respecto del primer motivo del recurso, el Ministerio Fiscal interesa su desestimación. Afirma que, en contra de lo sostenido por el recurrente, sí hay pruebas para fundar la condena del señor Rodríguez Román. Las sentencias realizan un “análisis amplio de los múltiples indicios y se argumenta de forma razonable la necesidad de valorar conjuntamente todos los indicios para poder comprender la ilicitud de la actuación de la recurrente”. Por lo que se refiere a que no existen pruebas respecto a la coautoría —actuación coordinada con el resto de los condenados dirigida a malversar—, el fiscal alega que en la sentencia de instancia no se afirma que el señor Rodríguez Román actuase de forma coordinada con otros condenados para cometer un delito de malversación. Sostiene que el Tribunal Supremo no </w:t>
      </w:r>
      <w:r>
        <w:lastRenderedPageBreak/>
        <w:t>ha modificado el título de imputación acordado por la sentencia de instancia. En la sentencia dictada en casación se explica de forma razonada y razonable que no hay imputación por coautoría en la sentencia de la Audiencia Provincial, sino que se condena a cada uno de los acusados —también al aquí recurrente— como autor individual por sus propios actos. Es cierto que respecto del delito de malversación no todos los condenados actuaron con dolo directo; unos tenían como finalidad malversar y crearon para ello un sistema de presupuestación indebido y, otros, sin acuerdo con los anteriores en cuanto a la finalidad, realizaron actos de prevaricación mediante los que “conseguían una ausencia de fiscalización previa en la disposición de los fondos objeto de este procedimiento, de tal modo que era patente el riesgo de que el funcionario que disponía de dichos bienes lo hiciera de forma arbitraria; y a pesar de la elevada probabilidad de que sucediera, aceptando que eso pudiera pasar, decidió realizar por su parte los actos que servían para que ese sistema de disposición de fondos se llevase a efecto”. Según el fiscal, la actuación del demandante de amparo aceptando ese riesgo se produjo en dos momentos distintos: primero, participando en la tramitación de las modificaciones presupuestarias y los anteproyectos de presupuestos y, posteriormente, aceptando como miembro del consejo rector del IFA la firma de convenios individuales a través de los que se materializó el pago de las ayudas. No hay condena por hechos ajenos como afirma el recurrente.</w:t>
      </w:r>
    </w:p>
    <w:p w14:paraId="7E505EAB" w14:textId="77777777" w:rsidR="003754FE" w:rsidRDefault="003754FE" w:rsidP="003754FE">
      <w:pPr>
        <w:pStyle w:val="TextoNormal"/>
      </w:pPr>
    </w:p>
    <w:p w14:paraId="4B76C2E7" w14:textId="77777777" w:rsidR="003754FE" w:rsidRDefault="003754FE" w:rsidP="003754FE">
      <w:pPr>
        <w:pStyle w:val="TextoNormal"/>
      </w:pPr>
      <w:r>
        <w:t>El Ministerio Fiscal descarta que la sentencia del Tribunal Supremo haya incurrido en arbitrariedad al razonar acerca de la existencia de dolo eventual respecto del delito de malversación y la existencia de concurso medial. En primer lugar, porque es también la sentencia de instancia la que, en relación con determinados acusados —entre los que se encuentra el hoy recurrente— sostiene que han cometido la malversación con dolo eventual. Según el fiscal no resulta irracional o ilógico a la vista de la prueba existente afirmar que el demandante de amparo actuaba aceptando el patente riesgo de que pudiera disponerse de los fondos públicos de forma arbitraria. Afirma asimismo que tampoco es irracional “por mucho que de entrada pueda parecer chocante, que respecto del demandante de amparo el delito medio se haya cometido por dolo directo y el delito fin por dolo eventual”. No solo hay jurisprudencia en la que así se ha entendido, sino que, además, la sentencia explica en su juicio histórico cómo actuaron los distintos acusados.</w:t>
      </w:r>
    </w:p>
    <w:p w14:paraId="3085086E" w14:textId="77777777" w:rsidR="003754FE" w:rsidRDefault="003754FE" w:rsidP="003754FE">
      <w:pPr>
        <w:pStyle w:val="TextoNormal"/>
      </w:pPr>
    </w:p>
    <w:p w14:paraId="00922865" w14:textId="77777777" w:rsidR="003754FE" w:rsidRDefault="003754FE" w:rsidP="003754FE">
      <w:pPr>
        <w:pStyle w:val="TextoNormal"/>
      </w:pPr>
      <w:r>
        <w:t>Por otra parte, y en contra de lo sostenido por el recurrente, el Ministerio Fiscal afirma que el Tribunal Supremo no suple el silencio de la sentencia de instancia, sino que se limita a completarla pues en esta ya se afirma que se condena al señor Rodríguez Román por no evitar la disposición arbitraria de fondos. El hecho de que la sentencia de casación haya incurrido en errores materiales intrascendentes respecto a este extremo —tal y como se apreció en el auto resolutorio del incidente de nulidad de actuaciones— no vulnera ningún derecho fundamental.</w:t>
      </w:r>
    </w:p>
    <w:p w14:paraId="453DEBD3" w14:textId="77777777" w:rsidR="003754FE" w:rsidRDefault="003754FE" w:rsidP="003754FE">
      <w:pPr>
        <w:pStyle w:val="TextoNormal"/>
      </w:pPr>
    </w:p>
    <w:p w14:paraId="16CF534A" w14:textId="77777777" w:rsidR="003754FE" w:rsidRDefault="003754FE" w:rsidP="003754FE">
      <w:pPr>
        <w:pStyle w:val="TextoNormal"/>
      </w:pPr>
      <w:r>
        <w:t>En definitiva, según el fiscal de la sentencia de casación no se deduce que el Tribunal Supremo haya añadido una calificación jurídica o una responsabilidad no contenida en la sentencia de instancia, sino que esta se ha limitado a explicar de forma más amplia la dictada en la instancia.</w:t>
      </w:r>
    </w:p>
    <w:p w14:paraId="62B891D9" w14:textId="77777777" w:rsidR="003754FE" w:rsidRDefault="003754FE" w:rsidP="003754FE">
      <w:pPr>
        <w:pStyle w:val="TextoNormal"/>
      </w:pPr>
    </w:p>
    <w:p w14:paraId="3F8A6AC7" w14:textId="77777777" w:rsidR="003754FE" w:rsidRDefault="003754FE" w:rsidP="003754FE">
      <w:pPr>
        <w:pStyle w:val="TextoNormal"/>
      </w:pPr>
      <w:r>
        <w:t xml:space="preserve">b) Por lo que respecta al segundo motivo del recurso, el fiscal, tras hacer un resumen de la doctrina constitucional que considera de aplicación, concluye que no se han lesionado los derechos invocados por el recurrente. Por lo que se refiere a la queja referida a la lesión del </w:t>
      </w:r>
      <w:r>
        <w:lastRenderedPageBreak/>
        <w:t>derecho a la intangibilidad de las resoluciones judiciales firmes, el fiscal afirma que el recurrente ha incurrido en una incongruencia evidente a la hora de plantearla, dado que de su argumentación puede derivarse que fue la sentencia recaída en la instancia la que amplió el objeto del proceso. Si esto hubiera sido así, esta queja incurriría en causa de inadmisibilidad al deberse haber planteado tempestivamente en el recurso de casación, cosa que no se hizo. En la hipótesis de que dicha lesión se impute solo a la sentencia dictada en casación el fiscal considera que debe desestimarse. En efecto, el recurrente afirma que el objeto del enjuiciamiento del que partió el Tribunal Supremo lo constituye, no el fijado en la instancia al comienzo de las sesiones del juicio, sino de las conclusiones definitivas de las acusaciones, del contenido de los hechos probados de la sentencia de instancia y de los argumentos utilizados por la Audiencia Provincial para realizar la calificación jurídico penal. Según el fiscal este planteamiento es inconsistente ya que nada impide que las partes modifiquen sus conclusiones con base en la prueba realizada en el acto de juicio y que la sentencia se pronuncie sobre tales extremos siempre que no supongan una modificación sustancial de los hechos ni del objeto de enjuiciamiento. Alega el Ministerio Fiscal que nada se le puede reprochar al Tribunal Supremo por el hecho de partir de los hechos probados de la sentencia recurrida pues es precisamente eso lo que exige la ley, concretamente el art. 849.1 de la Ley de enjuiciamiento criminal (LECrim.).</w:t>
      </w:r>
    </w:p>
    <w:p w14:paraId="78B65AC6" w14:textId="77777777" w:rsidR="003754FE" w:rsidRDefault="003754FE" w:rsidP="003754FE">
      <w:pPr>
        <w:pStyle w:val="TextoNormal"/>
      </w:pPr>
    </w:p>
    <w:p w14:paraId="6599BE5D" w14:textId="77777777" w:rsidR="003754FE" w:rsidRDefault="003754FE" w:rsidP="003754FE">
      <w:pPr>
        <w:pStyle w:val="TextoNormal"/>
      </w:pPr>
      <w:r>
        <w:t xml:space="preserve">c) El fiscal interesa que se estime el motivo tercero del recurso en el que se alega la lesión del derecho de legalidad penal (art. 25.1 CE) debido a que las resoluciones impugnadas realizan una interpretación extensiva </w:t>
      </w:r>
      <w:r w:rsidRPr="003754FE">
        <w:rPr>
          <w:i/>
        </w:rPr>
        <w:t>in malam partem</w:t>
      </w:r>
      <w:r>
        <w:t xml:space="preserve"> del concepto de “resolución administrativa” a los efectos del delito tipificado en el art. 404 CP, pues incluyen en el delito de prevaricación actos de carácter político que no están sujetos a control jurisdiccional y no integran la conducta típica.</w:t>
      </w:r>
    </w:p>
    <w:p w14:paraId="7BCB0414" w14:textId="77777777" w:rsidR="003754FE" w:rsidRDefault="003754FE" w:rsidP="003754FE">
      <w:pPr>
        <w:pStyle w:val="TextoNormal"/>
      </w:pPr>
    </w:p>
    <w:p w14:paraId="66BA6532" w14:textId="77777777" w:rsidR="003754FE" w:rsidRDefault="003754FE" w:rsidP="003754FE">
      <w:pPr>
        <w:pStyle w:val="TextoNormal"/>
      </w:pPr>
      <w:r>
        <w:t>El fiscal considera que la posición mantenida por el Tribunal Supremo y la Audiencia Provincial de Sevilla en virtud de la cual el procedimiento prelegislativo tendría una doble dimensión (una dimensión política no susceptible de control judicial y que incluiría la decisión sobre el destino o distribución de los créditos, y otra dimensión técnica regida por un procedimiento administrativo reglado) constituye una novedad que no tiene antecedente. Para el Ministerio Fiscal, la cuestión constitucional planteada orbitaría en determinar no tanto la asimilación o extensión de la inviolabilidad parlamentaria a los miembros del Ejecutivo, sino la comprobación de que la misma razón por la que se establece un régimen de inviolabilidad para los parlamentarios justifica que la iniciativa legislativa quede también, en todas sus fases, al margen del control jurisdiccional penal.</w:t>
      </w:r>
    </w:p>
    <w:p w14:paraId="18AA232C" w14:textId="77777777" w:rsidR="003754FE" w:rsidRDefault="003754FE" w:rsidP="003754FE">
      <w:pPr>
        <w:pStyle w:val="TextoNormal"/>
      </w:pPr>
    </w:p>
    <w:p w14:paraId="4C01AD90" w14:textId="77777777" w:rsidR="003754FE" w:rsidRDefault="003754FE" w:rsidP="003754FE">
      <w:pPr>
        <w:pStyle w:val="TextoNormal"/>
      </w:pPr>
      <w:r>
        <w:t xml:space="preserve">Los argumentos a través de los cuales las resoluciones impugnadas niegan la naturaleza legislativa a los actos de aprobación de un proyecto de ley para su remisión al Parlamento permiten detectar, a juicio de la Fiscalía ante el Tribunal Constitucional, una falla lógica determinante. Tales argumentos, además de ser contrarios a la doctrina constitucional que impide admitir un recurso contra un proyecto de ley que aún no es norma, cercenan la iniciativa legislativa del Gobierno, imponiendo al Parlamento tutelas innecesarias. Por ello, el fiscal considera que los razonamientos judiciales que conforman este primer bloque argumental sobre la naturaleza administrativa del procedimiento legislativo y su naturaleza decisoria no responden a una traslación debidamente justificada de la doctrina jurisprudencial ni resultan, por lo tanto, concluyentes a la hora de calificar como resolución dictada en </w:t>
      </w:r>
      <w:r>
        <w:lastRenderedPageBreak/>
        <w:t>asunto administrativo el ejercicio de la iniciativa legislativa. Ello le lleva a concluir, por lo tanto, la ausencia de previsibilidad en la aplicación de la norma.</w:t>
      </w:r>
    </w:p>
    <w:p w14:paraId="12EC3292" w14:textId="77777777" w:rsidR="003754FE" w:rsidRDefault="003754FE" w:rsidP="003754FE">
      <w:pPr>
        <w:pStyle w:val="TextoNormal"/>
      </w:pPr>
    </w:p>
    <w:p w14:paraId="5DE75022" w14:textId="77777777" w:rsidR="003754FE" w:rsidRDefault="003754FE" w:rsidP="003754FE">
      <w:pPr>
        <w:pStyle w:val="TextoNormal"/>
      </w:pPr>
      <w:r>
        <w:t>Respecto al segundo grupo de argumentos esgrimidos por las resoluciones impugnadas para justificar la condena por delito de prevaricación como consecuencia de la aprobación de los proyectos de ley —y que orbitan sobre la distinción entre la legalidad del acto y el enjuiciamiento de sus autores— el fiscal afirma que presentan una consistencia lógica evidentemente discutible. Para el Ministerio Público, existe la imposibilidad de cohonestar dos afirmaciones cuya compatibilidad es esencial para la condena del recurrente: que la aprobación del anteproyecto de ley de presupuestos es inmune al control jurisdiccional y que la jurisdicción penal puede, no obstante, examinar las diferentes decisiones adoptadas para aprobar un proyecto de ley y así determinar si quien las realiza incurre en responsabilidad penal. Esta pretendida distinción entre ámbitos de control jurisdiccional sería contraria a la lógica constitucional que concibe la iniciativa legislativa como inmune al control judicial y atentaría, incluso, contra el principio de intervención mínima del derecho penal.</w:t>
      </w:r>
    </w:p>
    <w:p w14:paraId="4CBF91A0" w14:textId="77777777" w:rsidR="003754FE" w:rsidRDefault="003754FE" w:rsidP="003754FE">
      <w:pPr>
        <w:pStyle w:val="TextoNormal"/>
      </w:pPr>
    </w:p>
    <w:p w14:paraId="29A5E8C6" w14:textId="77777777" w:rsidR="003754FE" w:rsidRDefault="003754FE" w:rsidP="003754FE">
      <w:pPr>
        <w:pStyle w:val="TextoNormal"/>
      </w:pPr>
      <w:r>
        <w:t>La autonomía funcional de la jurisdicción penal para apreciar con arreglo a criterios propios determinados aspectos de la realidad administrativa o de otras ramas del derecho no puede traducirse, en modo alguno, en un autoposicionamiento de la jurisdicción penal como primera y única barrera jurisdiccional de control de la legalidad de una iniciativa legislativa.</w:t>
      </w:r>
    </w:p>
    <w:p w14:paraId="10367821" w14:textId="77777777" w:rsidR="003754FE" w:rsidRDefault="003754FE" w:rsidP="003754FE">
      <w:pPr>
        <w:pStyle w:val="TextoNormal"/>
      </w:pPr>
    </w:p>
    <w:p w14:paraId="24456724" w14:textId="77777777" w:rsidR="003754FE" w:rsidRDefault="003754FE" w:rsidP="003754FE">
      <w:pPr>
        <w:pStyle w:val="TextoNormal"/>
      </w:pPr>
      <w:r>
        <w:t>Es en este punto cuando surgiría, para el Ministerio Fiscal, de nuevo, un factor de imprevisibilidad ante la inexistencia de precedentes de persecución y condena en supuestos simulares y ante el contexto de una sólida denegación del control jurisdiccional sobre este tipo de actos. Frente a ello, la sensación de impunidad argumentada por el Tribunal Supremo choca con una insalvable contradicción que permitiría ubicar a la jurisdicción penal como “baluarte de primera —y única— línea de control de una decisión intrínsecamente político-legislativa, sobre la base de la ‘ilegalidad’ del contenido de una ley antes de que ni siquiera pudiera saberse si llegará […] a ser ley y de que […] produzca efecto alguno”.</w:t>
      </w:r>
    </w:p>
    <w:p w14:paraId="310A0D8B" w14:textId="77777777" w:rsidR="003754FE" w:rsidRDefault="003754FE" w:rsidP="003754FE">
      <w:pPr>
        <w:pStyle w:val="TextoNormal"/>
      </w:pPr>
    </w:p>
    <w:p w14:paraId="6B7F045B" w14:textId="77777777" w:rsidR="003754FE" w:rsidRDefault="003754FE" w:rsidP="003754FE">
      <w:pPr>
        <w:pStyle w:val="TextoNormal"/>
      </w:pPr>
      <w:r>
        <w:t>Consecuentemente, considera que “esta compleja conclusión es fruto de un razonamiento que pretende disociar ambas vertientes, administrativa y político-legislativa, de un mismo acto, pero no alcanza a explicar cómo las consecuencias a las que aboca esa disociación en el ámbito penal, político, institucional, legal y constitucional podrían resultar razonablemente compatibles entre sí” por lo que “no cabe más remedio que concluir que el razonamiento en sí mismo adolece de un déficit de coherencia y completitud lógico-jurídica que impide considerarlo ajustado al canon de idoneidad metodológica que impone la aplicación de art. 25.1 CE”.</w:t>
      </w:r>
    </w:p>
    <w:p w14:paraId="0C2C2A90" w14:textId="77777777" w:rsidR="003754FE" w:rsidRDefault="003754FE" w:rsidP="003754FE">
      <w:pPr>
        <w:pStyle w:val="TextoNormal"/>
      </w:pPr>
    </w:p>
    <w:p w14:paraId="6E690FD1" w14:textId="77777777" w:rsidR="003754FE" w:rsidRDefault="003754FE" w:rsidP="003754FE">
      <w:pPr>
        <w:pStyle w:val="TextoNormal"/>
      </w:pPr>
      <w:r>
        <w:t xml:space="preserve">En relación con el argumentario referido a la necesidad de evitar un efecto de impunidad, el fiscal considera que no ha sido sometido a una valoración conforme a las exigencias derivadas del principio de legalidad penal (art. 25.1 CE). Así, entiende que, en determinados casos, resulta prioritaria la preservación de otros intereses constitucionalmente tutelados que pueden entrar en conflicto con la propia aplicación de la norma penal, lo que obligatoriamente ha de llevar a la eventual limitación del </w:t>
      </w:r>
      <w:r w:rsidRPr="003754FE">
        <w:rPr>
          <w:i/>
        </w:rPr>
        <w:t>ius puniendi</w:t>
      </w:r>
      <w:r>
        <w:t xml:space="preserve"> en determinados supuestos, no pudiendo hacerse valer la condena sin una previa reflexión y ponderación sobre los derechos e intereses en juego.</w:t>
      </w:r>
    </w:p>
    <w:p w14:paraId="7D706115" w14:textId="77777777" w:rsidR="003754FE" w:rsidRDefault="003754FE" w:rsidP="003754FE">
      <w:pPr>
        <w:pStyle w:val="TextoNormal"/>
      </w:pPr>
    </w:p>
    <w:p w14:paraId="27C46405" w14:textId="77777777" w:rsidR="003754FE" w:rsidRDefault="003754FE" w:rsidP="003754FE">
      <w:pPr>
        <w:pStyle w:val="TextoNormal"/>
      </w:pPr>
      <w:r>
        <w:lastRenderedPageBreak/>
        <w:t>En el caso presente, y aunque las resoluciones tratan de salvar el obstáculo justificando que la condena se produce no por el resultado sino por el procedimiento en sí, este argumentario incurre en una nueva contradicción toda vez que el señor Rodríguez Román no ha sido condenado por su eventual participación en ninguno de estos actos, sino por una conducta propia que consiste en participar en la Comisión General de Viceconsejeros, en la que se toma la resolución de remitir al Consejo de Gobierno de la Junta de Andalucía un anteproyecto de ley para su aprobación para su posterior remisión al Parlamento. A pesar de que la propia sentencia del Tribunal Supremo vinculara todas estas actuaciones a una finalidad palmariamente ilegal, no se identifica esta finalidad con ninguna forma típica de participación delictiva sino con el programa político del Gobierno. La conducta del señor Rodríguez Román, consecuentemente, quedaría enmarcada en el ámbito de su voluntad —y por tanto de su responsabilidad— política, pero no el de la responsabilidad penal, dándose la paradoja que de los actos de los que sí debe responder —debido a su naturaleza político legislativa— quedan al margen del ejercicio de</w:t>
      </w:r>
      <w:r w:rsidRPr="003754FE">
        <w:rPr>
          <w:i/>
        </w:rPr>
        <w:t>l ius punien</w:t>
      </w:r>
      <w:r>
        <w:t>di.</w:t>
      </w:r>
    </w:p>
    <w:p w14:paraId="42218DC3" w14:textId="77777777" w:rsidR="003754FE" w:rsidRDefault="003754FE" w:rsidP="003754FE">
      <w:pPr>
        <w:pStyle w:val="TextoNormal"/>
      </w:pPr>
    </w:p>
    <w:p w14:paraId="2E6F1AA5" w14:textId="77777777" w:rsidR="003754FE" w:rsidRDefault="003754FE" w:rsidP="003754FE">
      <w:pPr>
        <w:pStyle w:val="TextoNormal"/>
      </w:pPr>
      <w:r>
        <w:t>Por último, afirma que la tesis de que la jurisdicción penal no controla la legalidad de los actos del Gobierno, sino que ejerce su potestad jurisdiccional respecto de la conducta de sus autores pasa por una disociación forzada de dos dimensiones que se revela como inasumible cuando la propia sentencia afirma que el fundamento de su juicio incluye no solo la legalidad de estos actos sino la legitimación constitucional de su resultado.</w:t>
      </w:r>
    </w:p>
    <w:p w14:paraId="6BC32A54" w14:textId="77777777" w:rsidR="003754FE" w:rsidRDefault="003754FE" w:rsidP="003754FE">
      <w:pPr>
        <w:pStyle w:val="TextoNormal"/>
      </w:pPr>
    </w:p>
    <w:p w14:paraId="64C305CC" w14:textId="77777777" w:rsidR="003754FE" w:rsidRDefault="003754FE" w:rsidP="003754FE">
      <w:pPr>
        <w:pStyle w:val="TextoNormal"/>
      </w:pPr>
      <w:r>
        <w:t>Para el representante del Ministerio Público, y desde una vertiente eminentemente axiológica, la distinción entre estas dos dimensiones —administrativa y político-legislativa— implica atribuir a dicha decisión política una función de control de la legalidad del procedimiento previo que la jurisprudencia del Tribunal Constitucional excluye, incluso, en fases posteriores. Esto implicaría una conclusión constitucionalmente inasumible: que los tribunales de orden jurisdiccional penal pueden fiscalizar sistemáticamente la legalidad de los proyectos de ley antes —o al margen— de su toma de consideración, su valoración, enmienda y aprobación por los parlamentos, lo que se revela manifiestamente incompatible con la jurisprudencia del Tribunal Constitucional.</w:t>
      </w:r>
    </w:p>
    <w:p w14:paraId="440CC9DF" w14:textId="77777777" w:rsidR="003754FE" w:rsidRDefault="003754FE" w:rsidP="003754FE">
      <w:pPr>
        <w:pStyle w:val="TextoNormal"/>
      </w:pPr>
    </w:p>
    <w:p w14:paraId="4492656E" w14:textId="77777777" w:rsidR="003754FE" w:rsidRDefault="003754FE" w:rsidP="003754FE">
      <w:pPr>
        <w:pStyle w:val="TextoNormal"/>
      </w:pPr>
      <w:r>
        <w:t xml:space="preserve">El origen de dicha posición jurisprudencial se encuentra en la propia preservación del ejercicio de la potestad legislativa, como manifestación directa de la voluntad de poder y que responde al propio principio de división de poderes. El rechazo a la involucración de un poder en las funciones propias de otro no puede resultar indiferente al objeto del presente procedimiento, en el que la propia sentencia del Tribunal Supremo recurrida en amparo muestra, como ya se ha expuesto, la visible contradicción entre la eficacia de ese efecto delimitador del ejercicio de la jurisdicción contencioso-administrativa y la pretendida intervención autónoma de la jurisdicción penal. En este sentido, afirma que existe amplia jurisprudencia constitucional que viene negando toda posibilidad de control </w:t>
      </w:r>
      <w:r w:rsidRPr="003754FE">
        <w:rPr>
          <w:i/>
        </w:rPr>
        <w:t>ab initio</w:t>
      </w:r>
      <w:r>
        <w:t xml:space="preserve"> de la constitucionalidad formal de las iniciativas legislativas, más allá del cumplimiento de los requisitos de procedimiento que reglamentariamente rige su presentación (AATC 85/2006, de 15 de marzo, y 131/2022, de 11 de octubre).</w:t>
      </w:r>
    </w:p>
    <w:p w14:paraId="14F6C387" w14:textId="77777777" w:rsidR="003754FE" w:rsidRDefault="003754FE" w:rsidP="003754FE">
      <w:pPr>
        <w:pStyle w:val="TextoNormal"/>
      </w:pPr>
    </w:p>
    <w:p w14:paraId="1B11CD1A" w14:textId="77777777" w:rsidR="003754FE" w:rsidRDefault="003754FE" w:rsidP="003754FE">
      <w:pPr>
        <w:pStyle w:val="TextoNormal"/>
      </w:pPr>
      <w:r>
        <w:t xml:space="preserve">Afirma el fiscal que resultaría, por lo tanto, “inconcebiblemente paradójico […] que la exclusión de cualquier control jurisdiccional atinente a la constitucionalidad de un mero proyecto legislativo, basada en un imprescindible respeto a la separación de poderes, pudiera convivir, como pretenden las sentencias impugnadas, con un juicio </w:t>
      </w:r>
      <w:r w:rsidRPr="003754FE">
        <w:rPr>
          <w:i/>
        </w:rPr>
        <w:t>ex ante</w:t>
      </w:r>
      <w:r>
        <w:t xml:space="preserve"> de la </w:t>
      </w:r>
      <w:r>
        <w:lastRenderedPageBreak/>
        <w:t>jurisdicción penal sobre la ‘legalidad’ formal y material del contenido de la iniciativa legislativa, de modo que el ejercicio de la potestad parlamentaria haya de llevarse a cabo sobre la base de un proyecto cuyo acuerdo de aprobación para su remisión al Parlamento es calificado de delictivo por un tribunal penal”.</w:t>
      </w:r>
    </w:p>
    <w:p w14:paraId="3F7EF7E1" w14:textId="77777777" w:rsidR="003754FE" w:rsidRDefault="003754FE" w:rsidP="003754FE">
      <w:pPr>
        <w:pStyle w:val="TextoNormal"/>
      </w:pPr>
    </w:p>
    <w:p w14:paraId="59DCCDC6" w14:textId="77777777" w:rsidR="003754FE" w:rsidRDefault="003754FE" w:rsidP="003754FE">
      <w:pPr>
        <w:pStyle w:val="TextoNormal"/>
      </w:pPr>
      <w:r>
        <w:t>Todo ello le lleva a concluir que una correcta interpretación del conflicto entre la aplicación de la norma penal y la tutela de la autonomía del Parlamento para legislar ha de resolverse forzosamente a favor de la exclusión del control penal. La sola idea de que un acto exento al control jurisdiccional contencioso-administrativo e, incluso, constitucional, pueda, sin embargo, ser objeto de control por los tribunales penales entra en contradicción con la división de poderes y con cualquier posible lectura conjunta de la Constitución y la jurisprudencia del Tribunal Constitucional. Por ello mismo, solicita la estimación de amparo de este motivo por lo que respecta a la condena del recurrente como consecuencia de su participación en la aprobación de los proyectos de ley.</w:t>
      </w:r>
    </w:p>
    <w:p w14:paraId="4DF3DE88" w14:textId="77777777" w:rsidR="003754FE" w:rsidRDefault="003754FE" w:rsidP="003754FE">
      <w:pPr>
        <w:pStyle w:val="TextoNormal"/>
      </w:pPr>
    </w:p>
    <w:p w14:paraId="0E9377F1" w14:textId="77777777" w:rsidR="003754FE" w:rsidRDefault="003754FE" w:rsidP="003754FE">
      <w:pPr>
        <w:pStyle w:val="TextoNormal"/>
      </w:pPr>
      <w:r>
        <w:t>En relación con las modificaciones presupuestarias, el fiscal considera que las argumentaciones vertidas anteriormente y referidas a la vulneración del principio de legalidad penal (art. 25.1 CE) por indebida subsunción jurídica en el art. 404 CP de las actuaciones practicadas en la fase de elaboración, aprobación y remisión del proyecto de ley no son automáticamente extrapolables a la aprobación de las modificaciones presupuestarias que sí pueden ser consideradas, por el contrario, decisiones de naturaleza administrativa.</w:t>
      </w:r>
    </w:p>
    <w:p w14:paraId="570B3C57" w14:textId="77777777" w:rsidR="003754FE" w:rsidRDefault="003754FE" w:rsidP="003754FE">
      <w:pPr>
        <w:pStyle w:val="TextoNormal"/>
      </w:pPr>
    </w:p>
    <w:p w14:paraId="212D9AE0" w14:textId="77777777" w:rsidR="003754FE" w:rsidRDefault="003754FE" w:rsidP="003754FE">
      <w:pPr>
        <w:pStyle w:val="TextoNormal"/>
      </w:pPr>
      <w:r>
        <w:t>Fundamenta el fiscal dicha afirmación —con amplía cita de la normativa reguladora de la Ley general de la hacienda pública de Andalucía— en la circunstancia de que las modificaciones o transferencias de crédito, una vez aprobada la ley anual de presupuestos, y que afectan al contenido de los créditos en los estados de gastos autorizados —pero no modifican el monto global del presupuesto— son competencia del Consejo de Gobierno o la Consejería de Hacienda. Esto se contrapone directamente a aquellos supuestos en que las modificaciones o transferencias de crédito sí afectan al crédito global consignado en los presupuestos en cuyo caso, esta vez sí, el Ejecutivo ha de someter al Legislativo la aprobación de un nuevo proyecto de ley.</w:t>
      </w:r>
    </w:p>
    <w:p w14:paraId="793D5C37" w14:textId="77777777" w:rsidR="003754FE" w:rsidRDefault="003754FE" w:rsidP="003754FE">
      <w:pPr>
        <w:pStyle w:val="TextoNormal"/>
      </w:pPr>
    </w:p>
    <w:p w14:paraId="61232456" w14:textId="77777777" w:rsidR="003754FE" w:rsidRDefault="003754FE" w:rsidP="003754FE">
      <w:pPr>
        <w:pStyle w:val="TextoNormal"/>
      </w:pPr>
      <w:r>
        <w:t>Por ello, en un marco legal regido por el principio de jerarquía normativa no puede sostenerse que la previsión explícita de una modificación presupuestaria a cargo del Gobierno o de uno de sus miembros pueda identificarse como una especie de mecanismo de autorreforma operado mediante un tipo de delegación tácita o de atribución de potestad legislativa al Ejecutivo que, como se ha visto, carecería de todo soporte constitucional o estatutario. Que el Gobierno pueda modificar el contenido de un crédito o transferirlo a otro, con arreglo a las exclusiones o excepciones señaladas, no convierte esa modificación del crédito en ley, sino que, simplemente, constituye una aplicación de la ley. La mera comunicación posterior al Parlamento, además, no supone la atribución de rango normativo al acto, sino que se concreta, más bien, en una mera obligación adjetiva.</w:t>
      </w:r>
    </w:p>
    <w:p w14:paraId="5CF846DF" w14:textId="77777777" w:rsidR="003754FE" w:rsidRDefault="003754FE" w:rsidP="003754FE">
      <w:pPr>
        <w:pStyle w:val="TextoNormal"/>
      </w:pPr>
    </w:p>
    <w:p w14:paraId="7375A99A" w14:textId="77777777" w:rsidR="003754FE" w:rsidRDefault="003754FE" w:rsidP="003754FE">
      <w:pPr>
        <w:pStyle w:val="TextoNormal"/>
      </w:pPr>
      <w:r>
        <w:t xml:space="preserve">Todo ello lleva al Ministerio Fiscal a concluir que la calificación de los actos de aprobación de modificaciones presupuestarias que se imputan al recurrente no choca con una eventual naturaleza legal fruto de reserva de ley que impone el art. 134 CE en materia presupuestaria. Según el fiscal no hay razón para temer por la autonomía parlamentaria en el ejercicio de la potestad legislativa, que no está en juego en este caso, ni tampoco con el </w:t>
      </w:r>
      <w:r>
        <w:lastRenderedPageBreak/>
        <w:t>principio consustancial de separación de poderes. Afirma que “el Poder Ejecutivo actúa —o hubiera debido actuar— en el marco de su competencia delimitada en la propia ley, sin asumir ninguna facultad de iniciativa o modificación de una norma con rango o valor legal”. Consecuentemente, los razonamientos esgrimidos por las sentencias impugnadas para excluir las modificaciones presupuestarias del carácter propio de los actos con valor, rango y fuerza de ley se ajustan a la normativa y no presentan indicio alguno de vulneración del derecho fundamental a la legalidad penal (art. 25.1 CE).</w:t>
      </w:r>
    </w:p>
    <w:p w14:paraId="6A0549E6" w14:textId="77777777" w:rsidR="003754FE" w:rsidRDefault="003754FE" w:rsidP="003754FE">
      <w:pPr>
        <w:pStyle w:val="TextoNormal"/>
      </w:pPr>
    </w:p>
    <w:p w14:paraId="0B5E988E" w14:textId="0D2E47ED" w:rsidR="003754FE" w:rsidRDefault="003754FE" w:rsidP="003754FE">
      <w:pPr>
        <w:pStyle w:val="TextoNormal"/>
      </w:pPr>
      <w:r>
        <w:t>El fiscal afirma que la estimación parcial de este motivo debería llevar aparejada la declaración de inconstitucionalidad de la condena por el delito de prevaricación por la participación del recurrente en la elaboración de los anteproyectos de ley de presupuestos con retroacción de las actuaciones al momento anterior a dictar sentencia con la finalidad de que la Audiencia Provincial de Sevilla proceda a una nueva determinación de la pena con exclusión de la conducta del señor Rodríguez Román relativa a su participación en la elaboración de los proyectos de ley de presupuestos. No obstante, dado que al recurrente se le ha impuesto la pena mínima tanto en las nominales para cada delito, como en la pena efectiva única por aplicación del art. 77 CP, teniendo en cuenta que no resulta posible que se le imponga una pena inferior, no considera necesaria la devolución de las actuaciones a la Audiencia Provincial para el dictado de una nueva sentencia, ya que resulta innecesario para restituir al demandante en el derecho fundamental que se considera vulnerado.</w:t>
      </w:r>
    </w:p>
    <w:p w14:paraId="1F9A5E33" w14:textId="77777777" w:rsidR="003754FE" w:rsidRDefault="003754FE" w:rsidP="003754FE">
      <w:pPr>
        <w:pStyle w:val="TextoNormal"/>
      </w:pPr>
    </w:p>
    <w:p w14:paraId="61682F08" w14:textId="74E133F9" w:rsidR="003754FE" w:rsidRDefault="003754FE" w:rsidP="003754FE">
      <w:pPr>
        <w:pStyle w:val="TextoNormal"/>
      </w:pPr>
      <w:r w:rsidRPr="003754FE">
        <w:rPr>
          <w:rStyle w:val="NumeroAFNegritaCaracter"/>
        </w:rPr>
        <w:t>9</w:t>
      </w:r>
      <w:r>
        <w:t>. Por providencia de 2 de julio de 2024 se señaló para la deliberación y votación de la presente sentencia el día 3 del mismo mes y año.</w:t>
      </w:r>
    </w:p>
    <w:p w14:paraId="09F3127E" w14:textId="77777777" w:rsidR="003754FE" w:rsidRDefault="003754FE" w:rsidP="003754FE">
      <w:pPr>
        <w:pStyle w:val="TextoNormal"/>
      </w:pPr>
    </w:p>
    <w:p w14:paraId="51B679D7" w14:textId="77777777" w:rsidR="003754FE" w:rsidRDefault="003754FE" w:rsidP="003754FE">
      <w:pPr>
        <w:pStyle w:val="TextoNormalNegritaCentrado"/>
        <w:keepNext/>
      </w:pPr>
      <w:r>
        <w:t>II. Fundamentos jurídicos</w:t>
      </w:r>
    </w:p>
    <w:p w14:paraId="56273F10" w14:textId="3AAB1E4E" w:rsidR="003754FE" w:rsidRDefault="003754FE" w:rsidP="003754FE">
      <w:pPr>
        <w:pStyle w:val="TextoNormalNegritaCentrado"/>
        <w:keepNext/>
      </w:pPr>
    </w:p>
    <w:p w14:paraId="0A9E6092" w14:textId="77777777" w:rsidR="003754FE" w:rsidRDefault="003754FE" w:rsidP="003754FE">
      <w:pPr>
        <w:pStyle w:val="TextoNormal"/>
      </w:pPr>
      <w:r w:rsidRPr="003754FE">
        <w:rPr>
          <w:rStyle w:val="NumeroAFNegritaCaracter"/>
        </w:rPr>
        <w:t>1</w:t>
      </w:r>
      <w:r>
        <w:t xml:space="preserve">. </w:t>
      </w:r>
      <w:r w:rsidRPr="003754FE">
        <w:rPr>
          <w:i/>
        </w:rPr>
        <w:t>Objeto del recurso, posiciones de las partes y orden de análisis de las quejas</w:t>
      </w:r>
    </w:p>
    <w:p w14:paraId="79E214A4" w14:textId="77777777" w:rsidR="003754FE" w:rsidRDefault="003754FE" w:rsidP="003754FE">
      <w:pPr>
        <w:pStyle w:val="TextoNormal"/>
      </w:pPr>
    </w:p>
    <w:p w14:paraId="1389DE2A" w14:textId="77777777" w:rsidR="003754FE" w:rsidRDefault="003754FE" w:rsidP="003754FE">
      <w:pPr>
        <w:pStyle w:val="TextoNormal"/>
      </w:pPr>
      <w:r>
        <w:t xml:space="preserve">1.1. </w:t>
      </w:r>
      <w:r w:rsidRPr="003754FE">
        <w:rPr>
          <w:i/>
        </w:rPr>
        <w:t>Objeto del recurso y posiciones de las partes</w:t>
      </w:r>
    </w:p>
    <w:p w14:paraId="05CE87A0" w14:textId="77777777" w:rsidR="003754FE" w:rsidRDefault="003754FE" w:rsidP="003754FE">
      <w:pPr>
        <w:pStyle w:val="TextoNormal"/>
      </w:pPr>
    </w:p>
    <w:p w14:paraId="2905CA2E" w14:textId="77777777" w:rsidR="003754FE" w:rsidRDefault="003754FE" w:rsidP="003754FE">
      <w:pPr>
        <w:pStyle w:val="TextoNormal"/>
      </w:pPr>
      <w:r>
        <w:t>El presente recurso de amparo se dirige contra las siguientes resoluciones: (i) la sentencia núm. 490/2019, de 19 de noviembre, dictada por la Sección Primera de la Audiencia Provincial de Sevilla en el rollo núm. 1965-2017, dimanante del procedimiento abreviado núm. 133-2016, que condenó al demandante de amparo como autor de un delito de prevaricación administrativa del art. 404 CP, en concurso medial con un delito continuado de malversación de caudales públicos del art. 432 CP, a las penas de seis años y dos días de prisión, inhabilitación especial para el derecho de sufragio pasivo durante el tiempo de la condena e inhabilitación absoluta por tiempo de quince años y dos días; (ii) la sentencia de la Sala de lo Penal del Tribunal Supremo núm. 749/2022, de 13 de septiembre, que desestimó el recurso de casación formulado frente a la anterior resolución (recurso de casación núm. 601-2020); y (iii) el auto de 16 de febrero de 2023 inadmitió el incidente de nulidad de actuaciones interpuesto frente a la sentencia dictada en casación.</w:t>
      </w:r>
    </w:p>
    <w:p w14:paraId="0DE6C8BA" w14:textId="77777777" w:rsidR="003754FE" w:rsidRDefault="003754FE" w:rsidP="003754FE">
      <w:pPr>
        <w:pStyle w:val="TextoNormal"/>
      </w:pPr>
    </w:p>
    <w:p w14:paraId="375D6CF5" w14:textId="77777777" w:rsidR="003754FE" w:rsidRDefault="003754FE" w:rsidP="003754FE">
      <w:pPr>
        <w:pStyle w:val="TextoNormal"/>
      </w:pPr>
      <w:r>
        <w:t xml:space="preserve">El demandante de amparo fundamenta el recurso en tres motivos. El primero de ellos es la vulneración del derecho a la tutela judicial efectiva, a un proceso público con todas las garantías, incluyendo la presunción de inocencia y la legalidad penal (arts. 24.1, 24.2 y 25.1 CE). Aduce que se vulneran dichos derechos toda vez que las sentencias impugnadas </w:t>
      </w:r>
      <w:r>
        <w:lastRenderedPageBreak/>
        <w:t xml:space="preserve">condenan al recurrente por un delito de malversación a pesar de la indeterminación e irrazonabilidad de la prueba indiciaria y de que la sentencia del Tribunal Supremo modifica el criterio de imputación y el elemento subjetivo del tipo establecido en la sentencia de instancia. En segundo lugar, alega la vulneración del derecho a la legalidad penal (art. 25.1 CE), a la tutela judicial efectiva (arts. 24.1 CE y 6.1 CEDH) y de los derechos de defensa e intangibilidad de las resoluciones judiciales (art. 24.1 CE). Dicha vulneración se imputa a la sentencia dictada en el recurso de casación debido a que, según el recurrente, efectúo una ampliación arbitraria del objeto de enjuiciamiento al incluir las ayudas individuales a pesar de que habían sido excluidas por la Audiencia Provincial por auto de 9 de febrero de 2018. El tercero de los motivos aducidos es la vulneración del derecho de legalidad penal (art. 25.1 CE) por interpretación extensiva </w:t>
      </w:r>
      <w:r w:rsidRPr="003754FE">
        <w:rPr>
          <w:i/>
        </w:rPr>
        <w:t>in malam partem</w:t>
      </w:r>
      <w:r>
        <w:t xml:space="preserve"> del concepto de resolución administrativa que establece el art. 404 CP al definir los elementos típicos del delito de prevaricación. El recurrente considera que las resoluciones impugnadas han incurrido en esta infracción constitucional al apreciar que tanto los anteproyectos de ley como las modificaciones presupuestarias son resoluciones dictadas en asuntos administrativos, no actuaciones de naturaleza política no sujetas a control judicial.</w:t>
      </w:r>
    </w:p>
    <w:p w14:paraId="5D8A41CB" w14:textId="77777777" w:rsidR="003754FE" w:rsidRDefault="003754FE" w:rsidP="003754FE">
      <w:pPr>
        <w:pStyle w:val="TextoNormal"/>
      </w:pPr>
    </w:p>
    <w:p w14:paraId="6322C08F" w14:textId="77777777" w:rsidR="003754FE" w:rsidRDefault="003754FE" w:rsidP="003754FE">
      <w:pPr>
        <w:pStyle w:val="TextoNormal"/>
      </w:pPr>
      <w:r>
        <w:t>Con base en las alegaciones que se han expuesto en los antecedentes, la representación procesal del Partido Popular ha interesado la desestimación integra del amparo.</w:t>
      </w:r>
    </w:p>
    <w:p w14:paraId="4F0E7591" w14:textId="77777777" w:rsidR="003754FE" w:rsidRDefault="003754FE" w:rsidP="003754FE">
      <w:pPr>
        <w:pStyle w:val="TextoNormal"/>
      </w:pPr>
    </w:p>
    <w:p w14:paraId="14C0578D" w14:textId="77777777" w:rsidR="003754FE" w:rsidRDefault="003754FE" w:rsidP="003754FE">
      <w:pPr>
        <w:pStyle w:val="TextoNormal"/>
      </w:pPr>
      <w:r>
        <w:t>Las representaciones procesales de don Gaspar Zarrías Arévalo, don Francisco Vallejo Serrano y doña Carmen Martínez Aguayo han presentado alegaciones, adhiriéndose al presente recurso y solicitando su estimación.</w:t>
      </w:r>
    </w:p>
    <w:p w14:paraId="2F6E201B" w14:textId="77777777" w:rsidR="003754FE" w:rsidRDefault="003754FE" w:rsidP="003754FE">
      <w:pPr>
        <w:pStyle w:val="TextoNormal"/>
      </w:pPr>
    </w:p>
    <w:p w14:paraId="770CD4CC" w14:textId="77777777" w:rsidR="003754FE" w:rsidRDefault="003754FE" w:rsidP="003754FE">
      <w:pPr>
        <w:pStyle w:val="TextoNormal"/>
      </w:pPr>
      <w:r>
        <w:t>El fiscal interesa la estimación parcial del recurso de amparo con el consiguiente otorgamiento del amparo al recurrente por indebida subsunción en el delito de prevaricación (art. 404 CP) de los hechos consistentes en la aprobación de los proyectos de ley de presupuestos que le ha sido atribuida por las sentencias impugnadas, que se declare vulnerado su derecho a la legalidad penal (art. 25.1 CE) en relación con esa parte de la condena y que se acuerde la nulidad de las resoluciones impugnadas en lo que a esta cuestión se refiere. No interesa que se retrotraigan las actuaciones debido a que no es necesario para restituir al recurrente en la integridad su derecho fundamental a la legalidad penal garantizado en el art. 25.1 CE.</w:t>
      </w:r>
    </w:p>
    <w:p w14:paraId="0F3DAC17" w14:textId="77777777" w:rsidR="003754FE" w:rsidRDefault="003754FE" w:rsidP="003754FE">
      <w:pPr>
        <w:pStyle w:val="TextoNormal"/>
      </w:pPr>
    </w:p>
    <w:p w14:paraId="24796ADB" w14:textId="77777777" w:rsidR="003754FE" w:rsidRDefault="003754FE" w:rsidP="003754FE">
      <w:pPr>
        <w:pStyle w:val="TextoNormal"/>
      </w:pPr>
      <w:r>
        <w:t xml:space="preserve">1.2. </w:t>
      </w:r>
      <w:r w:rsidRPr="003754FE">
        <w:rPr>
          <w:i/>
        </w:rPr>
        <w:t>Orden de análisis de las quejas</w:t>
      </w:r>
    </w:p>
    <w:p w14:paraId="1E6676D5" w14:textId="77777777" w:rsidR="003754FE" w:rsidRDefault="003754FE" w:rsidP="003754FE">
      <w:pPr>
        <w:pStyle w:val="TextoNormal"/>
      </w:pPr>
    </w:p>
    <w:p w14:paraId="68948509" w14:textId="3B7E381E" w:rsidR="003754FE" w:rsidRDefault="003754FE" w:rsidP="003754FE">
      <w:pPr>
        <w:pStyle w:val="TextoNormal"/>
      </w:pPr>
      <w:r>
        <w:t>Dado el contenido de las alegaciones aducidas en los motivos que se acaban de exponer, su análisis se va a efectuar agrupándolos del siguiente modo: a) vulneración del derecho a la legalidad penal (art. 25.1 CE) por la interpretación y aplicación de los elementos típicos del delito de prevaricación que han efectuado las resoluciones judiciales; b) vulneración del derecho a la legalidad penal (art. 25.1 CE) por la interpretación y aplicación de los elementos típicos del delito de malversación que han efectuado las resoluciones judiciales; c) vulneración del derecho a la presunción de inocencia; y d) vulneración del derecho a la defensa y a la intangibilidad de las resoluciones judiciales.</w:t>
      </w:r>
    </w:p>
    <w:p w14:paraId="2E435380" w14:textId="77777777" w:rsidR="003754FE" w:rsidRDefault="003754FE" w:rsidP="003754FE">
      <w:pPr>
        <w:pStyle w:val="TextoNormal"/>
      </w:pPr>
    </w:p>
    <w:p w14:paraId="46E6B3BA" w14:textId="77777777" w:rsidR="003754FE" w:rsidRDefault="003754FE" w:rsidP="003754FE">
      <w:pPr>
        <w:pStyle w:val="TextoNormal"/>
      </w:pPr>
      <w:r w:rsidRPr="003754FE">
        <w:rPr>
          <w:rStyle w:val="NumeroAFNegritaCaracter"/>
        </w:rPr>
        <w:t>2</w:t>
      </w:r>
      <w:r>
        <w:t xml:space="preserve">. </w:t>
      </w:r>
      <w:r w:rsidRPr="003754FE">
        <w:rPr>
          <w:i/>
        </w:rPr>
        <w:t>Breve delimitación fáctica y jurídica del proceso “ERE” y de la condena del demandante de amparo</w:t>
      </w:r>
    </w:p>
    <w:p w14:paraId="1084785A" w14:textId="77777777" w:rsidR="003754FE" w:rsidRDefault="003754FE" w:rsidP="003754FE">
      <w:pPr>
        <w:pStyle w:val="TextoNormal"/>
      </w:pPr>
    </w:p>
    <w:p w14:paraId="61C360E6" w14:textId="77777777" w:rsidR="003754FE" w:rsidRDefault="003754FE" w:rsidP="003754FE">
      <w:pPr>
        <w:pStyle w:val="TextoNormal"/>
      </w:pPr>
      <w:r>
        <w:lastRenderedPageBreak/>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w:t>
      </w:r>
      <w:r w:rsidRPr="003754FE">
        <w:rPr>
          <w:i/>
        </w:rPr>
        <w:t>a quo</w:t>
      </w:r>
      <w:r>
        <w:t xml:space="preserve">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 la demandante de amparo.</w:t>
      </w:r>
    </w:p>
    <w:p w14:paraId="226A97ED" w14:textId="77777777" w:rsidR="003754FE" w:rsidRDefault="003754FE" w:rsidP="003754FE">
      <w:pPr>
        <w:pStyle w:val="TextoNormal"/>
      </w:pPr>
    </w:p>
    <w:p w14:paraId="04D3F961" w14:textId="77777777" w:rsidR="003754FE" w:rsidRDefault="003754FE" w:rsidP="003754FE">
      <w:pPr>
        <w:pStyle w:val="TextoNormal"/>
      </w:pPr>
      <w:r>
        <w:t xml:space="preserve">2.1. </w:t>
      </w:r>
      <w:r w:rsidRPr="003754FE">
        <w:rPr>
          <w:i/>
        </w:rPr>
        <w:t>Sucinta exposición general de los hechos del proceso “ERE”</w:t>
      </w:r>
    </w:p>
    <w:p w14:paraId="0ED6CF8D" w14:textId="77777777" w:rsidR="003754FE" w:rsidRDefault="003754FE" w:rsidP="003754FE">
      <w:pPr>
        <w:pStyle w:val="TextoNormal"/>
      </w:pPr>
    </w:p>
    <w:p w14:paraId="485C8DDD" w14:textId="77777777" w:rsidR="003754FE" w:rsidRDefault="003754FE" w:rsidP="003754FE">
      <w:pPr>
        <w:pStyle w:val="TextoNormal"/>
      </w:pPr>
      <w:r>
        <w:t>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14:paraId="28076B64" w14:textId="77777777" w:rsidR="003754FE" w:rsidRDefault="003754FE" w:rsidP="003754FE">
      <w:pPr>
        <w:pStyle w:val="TextoNormal"/>
      </w:pPr>
    </w:p>
    <w:p w14:paraId="261685A8" w14:textId="77777777" w:rsidR="003754FE" w:rsidRDefault="003754FE" w:rsidP="003754FE">
      <w:pPr>
        <w:pStyle w:val="TextoNormal"/>
      </w:pPr>
      <w:r>
        <w:t>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14:paraId="5A4716CB" w14:textId="77777777" w:rsidR="003754FE" w:rsidRDefault="003754FE" w:rsidP="003754FE">
      <w:pPr>
        <w:pStyle w:val="TextoNormal"/>
      </w:pPr>
    </w:p>
    <w:p w14:paraId="5A6E38AF" w14:textId="77777777" w:rsidR="003754FE" w:rsidRDefault="003754FE" w:rsidP="003754FE">
      <w:pPr>
        <w:pStyle w:val="TextoNormal"/>
      </w:pPr>
      <w:r>
        <w:t>En la tramitación de sendos expedientes sobre estas ayudas, el interventor delegado de la Consejería de Empleo y Desarrollo Tecnológico formuló reparos en el informe de fiscalización, que, si bien no llegaron a impedir su concesión, la dificultaron y retrasaron.</w:t>
      </w:r>
    </w:p>
    <w:p w14:paraId="714F81A5" w14:textId="77777777" w:rsidR="003754FE" w:rsidRDefault="003754FE" w:rsidP="003754FE">
      <w:pPr>
        <w:pStyle w:val="TextoNormal"/>
      </w:pPr>
    </w:p>
    <w:p w14:paraId="51B43C6E" w14:textId="77777777" w:rsidR="003754FE" w:rsidRDefault="003754FE" w:rsidP="003754FE">
      <w:pPr>
        <w:pStyle w:val="TextoNormal"/>
      </w:pPr>
      <w:r>
        <w:t xml:space="preserve">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w:t>
      </w:r>
      <w:r>
        <w:lastRenderedPageBreak/>
        <w:t>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14:paraId="4C3D5041" w14:textId="77777777" w:rsidR="003754FE" w:rsidRDefault="003754FE" w:rsidP="003754FE">
      <w:pPr>
        <w:pStyle w:val="TextoNormal"/>
      </w:pPr>
    </w:p>
    <w:p w14:paraId="028DC09C" w14:textId="77777777" w:rsidR="003754FE" w:rsidRDefault="003754FE" w:rsidP="003754FE">
      <w:pPr>
        <w:pStyle w:val="TextoNormal"/>
      </w:pPr>
      <w:r>
        <w:t>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14:paraId="3803E092" w14:textId="77777777" w:rsidR="003754FE" w:rsidRDefault="003754FE" w:rsidP="003754FE">
      <w:pPr>
        <w:pStyle w:val="TextoNormal"/>
      </w:pPr>
    </w:p>
    <w:p w14:paraId="037F4847" w14:textId="77777777" w:rsidR="003754FE" w:rsidRDefault="003754FE" w:rsidP="003754FE">
      <w:pPr>
        <w:pStyle w:val="TextoNormal"/>
      </w:pPr>
      <w:r>
        <w:t>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14:paraId="58A48AF6" w14:textId="77777777" w:rsidR="003754FE" w:rsidRDefault="003754FE" w:rsidP="003754FE">
      <w:pPr>
        <w:pStyle w:val="TextoNormal"/>
      </w:pPr>
    </w:p>
    <w:p w14:paraId="3F76132D" w14:textId="77777777" w:rsidR="003754FE" w:rsidRDefault="003754FE" w:rsidP="003754FE">
      <w:pPr>
        <w:pStyle w:val="TextoNormal"/>
      </w:pPr>
      <w:r>
        <w:t xml:space="preserve">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las transferencias de fondos al IFA; (iii) plazo máximo de ejecución de cada una de las acciones comprometidas; (iv) composición, en su caso, de la comisión de seguimiento </w:t>
      </w:r>
      <w:r>
        <w:lastRenderedPageBreak/>
        <w:t>de la asistencia técnica encargada. El IFA debía de dar cuenta inmediata a la Dirección General de Trabajo y Seguridad Social de los pagos efectuados a las empresas u otros entes públicos o privados.</w:t>
      </w:r>
    </w:p>
    <w:p w14:paraId="0419E1A9" w14:textId="77777777" w:rsidR="003754FE" w:rsidRDefault="003754FE" w:rsidP="003754FE">
      <w:pPr>
        <w:pStyle w:val="TextoNormal"/>
      </w:pPr>
    </w:p>
    <w:p w14:paraId="36C8293E" w14:textId="77777777" w:rsidR="003754FE" w:rsidRDefault="003754FE" w:rsidP="003754FE">
      <w:pPr>
        <w:pStyle w:val="TextoNormal"/>
      </w:pPr>
      <w:r>
        <w:t>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14:paraId="1A0DDBED" w14:textId="77777777" w:rsidR="003754FE" w:rsidRDefault="003754FE" w:rsidP="003754FE">
      <w:pPr>
        <w:pStyle w:val="TextoNormal"/>
      </w:pPr>
    </w:p>
    <w:p w14:paraId="5F47B75E" w14:textId="77777777" w:rsidR="003754FE" w:rsidRDefault="003754FE" w:rsidP="003754FE">
      <w:pPr>
        <w:pStyle w:val="TextoNormal"/>
      </w:pPr>
      <w:r>
        <w:t>Tras la firma del convenio marco,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14:paraId="4276E8B0" w14:textId="77777777" w:rsidR="003754FE" w:rsidRDefault="003754FE" w:rsidP="003754FE">
      <w:pPr>
        <w:pStyle w:val="TextoNormal"/>
      </w:pPr>
    </w:p>
    <w:p w14:paraId="15650A21" w14:textId="77777777" w:rsidR="003754FE" w:rsidRDefault="003754FE" w:rsidP="003754FE">
      <w:pPr>
        <w:pStyle w:val="TextoNormal"/>
      </w:pPr>
      <w:r>
        <w:t>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pasó a denominarse Agencia de Innovación y Desarrollo de Andalucía (IDEA), adscrita a la Consejería de Innovación, Ciencia y Empresa— se destinaban a pagar lo ordenado por la consejería conforme a lo previsto en el convenio marco.</w:t>
      </w:r>
    </w:p>
    <w:p w14:paraId="6A85A8D9" w14:textId="77777777" w:rsidR="003754FE" w:rsidRDefault="003754FE" w:rsidP="003754FE">
      <w:pPr>
        <w:pStyle w:val="TextoNormal"/>
      </w:pPr>
    </w:p>
    <w:p w14:paraId="3D0BCDA0" w14:textId="77777777" w:rsidR="003754FE" w:rsidRDefault="003754FE" w:rsidP="003754FE">
      <w:pPr>
        <w:pStyle w:val="TextoNormal"/>
      </w:pPr>
      <w:r>
        <w:t>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 a196):</w:t>
      </w:r>
    </w:p>
    <w:p w14:paraId="04370BCA" w14:textId="77777777" w:rsidR="003754FE" w:rsidRDefault="003754FE" w:rsidP="003754FE">
      <w:pPr>
        <w:pStyle w:val="TextoNormal"/>
      </w:pPr>
    </w:p>
    <w:p w14:paraId="795AE612" w14:textId="77777777" w:rsidR="003754FE" w:rsidRDefault="003754FE" w:rsidP="003754FE">
      <w:pPr>
        <w:pStyle w:val="TextoNormal"/>
      </w:pPr>
      <w:r>
        <w:t>“9. Conclusiones del análisis de la documentación anexa al proyecto de presupuesto anual de la Junta de Andalucía:</w:t>
      </w:r>
    </w:p>
    <w:p w14:paraId="43A92865" w14:textId="77777777" w:rsidR="003754FE" w:rsidRDefault="003754FE" w:rsidP="003754FE">
      <w:pPr>
        <w:pStyle w:val="TextoNormal"/>
      </w:pPr>
    </w:p>
    <w:p w14:paraId="78BB282B" w14:textId="77777777" w:rsidR="003754FE" w:rsidRDefault="003754FE" w:rsidP="003754FE">
      <w:pPr>
        <w:pStyle w:val="TextoNormal"/>
      </w:pPr>
      <w:r>
        <w:t>A) La descripción de los objetivos y actividades contenidos en las fichas del programa 31L, son, como hemos visto, del siguiente tenor:</w:t>
      </w:r>
    </w:p>
    <w:p w14:paraId="1F8BF2B8" w14:textId="77777777" w:rsidR="003754FE" w:rsidRDefault="003754FE" w:rsidP="003754FE">
      <w:pPr>
        <w:pStyle w:val="TextoNormal"/>
      </w:pPr>
    </w:p>
    <w:p w14:paraId="1BA5FD8E" w14:textId="77777777" w:rsidR="003754FE" w:rsidRDefault="003754FE" w:rsidP="003754FE">
      <w:pPr>
        <w:pStyle w:val="TextoNormal"/>
      </w:pPr>
      <w:r>
        <w:t>• ‘Transferencias al IFA’.</w:t>
      </w:r>
    </w:p>
    <w:p w14:paraId="04EE7530" w14:textId="77777777" w:rsidR="003754FE" w:rsidRDefault="003754FE" w:rsidP="003754FE">
      <w:pPr>
        <w:pStyle w:val="TextoNormal"/>
      </w:pPr>
    </w:p>
    <w:p w14:paraId="1C1EB0B5" w14:textId="77777777" w:rsidR="003754FE" w:rsidRDefault="003754FE" w:rsidP="003754FE">
      <w:pPr>
        <w:pStyle w:val="TextoNormal"/>
      </w:pPr>
      <w:r>
        <w:t>• ‘Transferencias al AIDA’.</w:t>
      </w:r>
    </w:p>
    <w:p w14:paraId="70E13DD5" w14:textId="77777777" w:rsidR="003754FE" w:rsidRDefault="003754FE" w:rsidP="003754FE">
      <w:pPr>
        <w:pStyle w:val="TextoNormal"/>
      </w:pPr>
    </w:p>
    <w:p w14:paraId="6CE21F63" w14:textId="77777777" w:rsidR="003754FE" w:rsidRDefault="003754FE" w:rsidP="003754FE">
      <w:pPr>
        <w:pStyle w:val="TextoNormal"/>
      </w:pPr>
      <w:r>
        <w:t>• ‘Mantenimiento empleo y tejido productivo andaluz’.</w:t>
      </w:r>
    </w:p>
    <w:p w14:paraId="25E5926C" w14:textId="77777777" w:rsidR="003754FE" w:rsidRDefault="003754FE" w:rsidP="003754FE">
      <w:pPr>
        <w:pStyle w:val="TextoNormal"/>
      </w:pPr>
    </w:p>
    <w:p w14:paraId="6B8C24A8" w14:textId="77777777" w:rsidR="003754FE" w:rsidRDefault="003754FE" w:rsidP="003754FE">
      <w:pPr>
        <w:pStyle w:val="TextoNormal"/>
      </w:pPr>
      <w:r>
        <w:t>• ‘Gestión de subvenciones’.</w:t>
      </w:r>
    </w:p>
    <w:p w14:paraId="62EB92D3" w14:textId="77777777" w:rsidR="003754FE" w:rsidRDefault="003754FE" w:rsidP="003754FE">
      <w:pPr>
        <w:pStyle w:val="TextoNormal"/>
      </w:pPr>
    </w:p>
    <w:p w14:paraId="17A8EF84" w14:textId="77777777" w:rsidR="003754FE" w:rsidRDefault="003754FE" w:rsidP="003754FE">
      <w:pPr>
        <w:pStyle w:val="TextoNormal"/>
      </w:pPr>
      <w:r>
        <w:t>• ‘Ayudas prejubilaciones y expedientes de regulación de empleo’.</w:t>
      </w:r>
    </w:p>
    <w:p w14:paraId="69534BD1" w14:textId="77777777" w:rsidR="003754FE" w:rsidRDefault="003754FE" w:rsidP="003754FE">
      <w:pPr>
        <w:pStyle w:val="TextoNormal"/>
      </w:pPr>
    </w:p>
    <w:p w14:paraId="33561996" w14:textId="77777777" w:rsidR="003754FE" w:rsidRDefault="003754FE" w:rsidP="003754FE">
      <w:pPr>
        <w:pStyle w:val="TextoNormal"/>
      </w:pPr>
      <w:r>
        <w:t>• ‘Suscripción de convenio’.</w:t>
      </w:r>
    </w:p>
    <w:p w14:paraId="38033B41" w14:textId="77777777" w:rsidR="003754FE" w:rsidRDefault="003754FE" w:rsidP="003754FE">
      <w:pPr>
        <w:pStyle w:val="TextoNormal"/>
      </w:pPr>
    </w:p>
    <w:p w14:paraId="786939E2" w14:textId="77777777" w:rsidR="003754FE" w:rsidRDefault="003754FE" w:rsidP="003754FE">
      <w:pPr>
        <w:pStyle w:val="TextoNormal"/>
      </w:pPr>
      <w:r>
        <w:t>B) Por lo que se refiere a las memorias de los informes económico financieros, en la descripción de las actividades y objetivos contenidos en las mismas, son, como hemos visto igualmente, del siguiente tenor:</w:t>
      </w:r>
    </w:p>
    <w:p w14:paraId="2F1F5C05" w14:textId="77777777" w:rsidR="003754FE" w:rsidRDefault="003754FE" w:rsidP="003754FE">
      <w:pPr>
        <w:pStyle w:val="TextoNormal"/>
      </w:pPr>
    </w:p>
    <w:p w14:paraId="3D15DE30" w14:textId="77777777" w:rsidR="003754FE" w:rsidRDefault="003754FE" w:rsidP="003754FE">
      <w:pPr>
        <w:pStyle w:val="TextoNormal"/>
      </w:pPr>
      <w:r>
        <w:t>• Potenciar la interlocución con los agentes sociales y económicos.</w:t>
      </w:r>
    </w:p>
    <w:p w14:paraId="282F812C" w14:textId="77777777" w:rsidR="003754FE" w:rsidRDefault="003754FE" w:rsidP="003754FE">
      <w:pPr>
        <w:pStyle w:val="TextoNormal"/>
      </w:pPr>
    </w:p>
    <w:p w14:paraId="320D4C04" w14:textId="77777777" w:rsidR="003754FE" w:rsidRDefault="003754FE" w:rsidP="003754FE">
      <w:pPr>
        <w:pStyle w:val="TextoNormal"/>
      </w:pPr>
      <w:r>
        <w:t>• Mantener las políticas de ayudas a prejubilaciones en empresas con dificultades.</w:t>
      </w:r>
    </w:p>
    <w:p w14:paraId="3DF5D4CD" w14:textId="77777777" w:rsidR="003754FE" w:rsidRDefault="003754FE" w:rsidP="003754FE">
      <w:pPr>
        <w:pStyle w:val="TextoNormal"/>
      </w:pPr>
    </w:p>
    <w:p w14:paraId="142F091A" w14:textId="77777777" w:rsidR="003754FE" w:rsidRDefault="003754FE" w:rsidP="003754FE">
      <w:pPr>
        <w:pStyle w:val="TextoNormal"/>
      </w:pPr>
      <w:r>
        <w:t>•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30AAF4C9" w14:textId="77777777" w:rsidR="003754FE" w:rsidRDefault="003754FE" w:rsidP="003754FE">
      <w:pPr>
        <w:pStyle w:val="TextoNormal"/>
      </w:pPr>
    </w:p>
    <w:p w14:paraId="52E076A1" w14:textId="77777777" w:rsidR="003754FE" w:rsidRDefault="003754FE" w:rsidP="003754FE">
      <w:pPr>
        <w:pStyle w:val="TextoNormal"/>
      </w:pPr>
      <w:r>
        <w:t>• Así mismo y en una cuantía importante instrumenta la materialización de ayudas a empresas con especiales dificultades de mantenimiento del empleo, prejubilaciones y viabilidad económica.</w:t>
      </w:r>
    </w:p>
    <w:p w14:paraId="471EAA46" w14:textId="77777777" w:rsidR="003754FE" w:rsidRDefault="003754FE" w:rsidP="003754FE">
      <w:pPr>
        <w:pStyle w:val="TextoNormal"/>
      </w:pPr>
    </w:p>
    <w:p w14:paraId="562E47CF" w14:textId="77777777" w:rsidR="003754FE" w:rsidRDefault="003754FE" w:rsidP="003754FE">
      <w:pPr>
        <w:pStyle w:val="TextoNormal"/>
      </w:pPr>
      <w:r>
        <w:t>•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4BC4C8B3" w14:textId="77777777" w:rsidR="003754FE" w:rsidRDefault="003754FE" w:rsidP="003754FE">
      <w:pPr>
        <w:pStyle w:val="TextoNormal"/>
      </w:pPr>
    </w:p>
    <w:p w14:paraId="72A3231E" w14:textId="77777777" w:rsidR="003754FE" w:rsidRDefault="003754FE" w:rsidP="003754FE">
      <w:pPr>
        <w:pStyle w:val="TextoNormal"/>
      </w:pPr>
      <w:r>
        <w:t>•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14:paraId="16E04FE4" w14:textId="77777777" w:rsidR="003754FE" w:rsidRDefault="003754FE" w:rsidP="003754FE">
      <w:pPr>
        <w:pStyle w:val="TextoNormal"/>
      </w:pPr>
    </w:p>
    <w:p w14:paraId="6EF4346E" w14:textId="77777777" w:rsidR="003754FE" w:rsidRDefault="003754FE" w:rsidP="003754FE">
      <w:pPr>
        <w:pStyle w:val="TextoNormal"/>
      </w:pPr>
      <w:r>
        <w:t>• Esta dirección general instrumenta la materialización de las ayudas a través de un convenio con el IFA y de su dotación anual específica de contribución a pólizas de prejubilaciones.</w:t>
      </w:r>
    </w:p>
    <w:p w14:paraId="085AC821" w14:textId="77777777" w:rsidR="003754FE" w:rsidRDefault="003754FE" w:rsidP="003754FE">
      <w:pPr>
        <w:pStyle w:val="TextoNormal"/>
      </w:pPr>
    </w:p>
    <w:p w14:paraId="5E4D64DF" w14:textId="77777777" w:rsidR="003754FE" w:rsidRDefault="003754FE" w:rsidP="003754FE">
      <w:pPr>
        <w:pStyle w:val="TextoNormal"/>
      </w:pPr>
      <w:r>
        <w:t>• El centro directivo que lo ejecuta es la Dirección General de Trabajo y Seguridad Social.</w:t>
      </w:r>
    </w:p>
    <w:p w14:paraId="25C2314E" w14:textId="77777777" w:rsidR="003754FE" w:rsidRDefault="003754FE" w:rsidP="003754FE">
      <w:pPr>
        <w:pStyle w:val="TextoNormal"/>
      </w:pPr>
    </w:p>
    <w:p w14:paraId="20EB2927" w14:textId="77777777" w:rsidR="003754FE" w:rsidRDefault="003754FE" w:rsidP="003754FE">
      <w:pPr>
        <w:pStyle w:val="TextoNormal"/>
      </w:pPr>
      <w:r>
        <w:t>• La previsión es para atender compromisos existentes y no se prevén fondos para nuevas, en su caso, contingencias.</w:t>
      </w:r>
    </w:p>
    <w:p w14:paraId="3E0A8003" w14:textId="77777777" w:rsidR="003754FE" w:rsidRDefault="003754FE" w:rsidP="003754FE">
      <w:pPr>
        <w:pStyle w:val="TextoNormal"/>
      </w:pPr>
    </w:p>
    <w:p w14:paraId="5CFAAFED" w14:textId="77777777" w:rsidR="003754FE" w:rsidRDefault="003754FE" w:rsidP="003754FE">
      <w:pPr>
        <w:pStyle w:val="TextoNormal"/>
      </w:pPr>
      <w:r>
        <w:t>• Mantener las políticas de ayudas a prejubilaciones en empresas con dificultades, a través de subvenciones finalistas.</w:t>
      </w:r>
    </w:p>
    <w:p w14:paraId="52EC86F0" w14:textId="77777777" w:rsidR="003754FE" w:rsidRDefault="003754FE" w:rsidP="003754FE">
      <w:pPr>
        <w:pStyle w:val="TextoNormal"/>
      </w:pPr>
    </w:p>
    <w:p w14:paraId="1BB94F12" w14:textId="77777777" w:rsidR="003754FE" w:rsidRDefault="003754FE" w:rsidP="003754FE">
      <w:pPr>
        <w:pStyle w:val="TextoNormal"/>
      </w:pPr>
      <w:r>
        <w:t>• Realización de transferencias al Instituto de Fomento de Andalucía en aplicación de concierto de ayudas a empresas en crisis para el mantenimiento del empleo y tejido productivo andaluz.</w:t>
      </w:r>
    </w:p>
    <w:p w14:paraId="3F6D2B2D" w14:textId="77777777" w:rsidR="003754FE" w:rsidRDefault="003754FE" w:rsidP="003754FE">
      <w:pPr>
        <w:pStyle w:val="TextoNormal"/>
      </w:pPr>
    </w:p>
    <w:p w14:paraId="51D69987" w14:textId="77777777" w:rsidR="003754FE" w:rsidRDefault="003754FE" w:rsidP="003754FE">
      <w:pPr>
        <w:pStyle w:val="TextoNormal"/>
      </w:pPr>
      <w:r>
        <w:lastRenderedPageBreak/>
        <w:t>• Tramitación de transferencias a empresas mediante ayudas a prejubilaciones mediante subvención de la cuota de la seguridad social.</w:t>
      </w:r>
    </w:p>
    <w:p w14:paraId="353F648D" w14:textId="77777777" w:rsidR="003754FE" w:rsidRDefault="003754FE" w:rsidP="003754FE">
      <w:pPr>
        <w:pStyle w:val="TextoNormal"/>
      </w:pPr>
    </w:p>
    <w:p w14:paraId="045E4B31" w14:textId="77777777" w:rsidR="003754FE" w:rsidRDefault="003754FE" w:rsidP="003754FE">
      <w:pPr>
        <w:pStyle w:val="TextoNormal"/>
      </w:pPr>
      <w:r>
        <w:t>• El programa presupuestario 31 L, lo ejecuta la Dirección General de Trabajo y Seguridad Social, centro directivo que tiene atribuidas las competencias que corresponden a la consejería en materia de relaciones laborales.</w:t>
      </w:r>
    </w:p>
    <w:p w14:paraId="6C5DAC78" w14:textId="77777777" w:rsidR="003754FE" w:rsidRDefault="003754FE" w:rsidP="003754FE">
      <w:pPr>
        <w:pStyle w:val="TextoNormal"/>
      </w:pPr>
    </w:p>
    <w:p w14:paraId="7867C5C4" w14:textId="77777777" w:rsidR="003754FE" w:rsidRDefault="003754FE" w:rsidP="003754FE">
      <w:pPr>
        <w:pStyle w:val="TextoNormal"/>
      </w:pPr>
      <w:r>
        <w:t>• Atender a las necesidades públicas de mantenimiento del empleo y del tejido productivo andaluz, a través de los acuerdos con la Agencia de Innovación y Desarrollo de Andalucía para la subvención y ayuda de sectores y empresas con dificultades financieras.</w:t>
      </w:r>
    </w:p>
    <w:p w14:paraId="633266C9" w14:textId="77777777" w:rsidR="003754FE" w:rsidRDefault="003754FE" w:rsidP="003754FE">
      <w:pPr>
        <w:pStyle w:val="TextoNormal"/>
      </w:pPr>
    </w:p>
    <w:p w14:paraId="43357644" w14:textId="77777777" w:rsidR="003754FE" w:rsidRDefault="003754FE" w:rsidP="003754FE">
      <w:pPr>
        <w:pStyle w:val="TextoNormal"/>
      </w:pPr>
      <w:r>
        <w:t>• Esta dirección general instrumenta la materialización de las ayudas a través de un convenio con la Agencia de Innovación y Desarrollo de Andalucía y de su dotación anual específica de contribución a pólizas de prejubilaciones.</w:t>
      </w:r>
    </w:p>
    <w:p w14:paraId="24A6B316" w14:textId="77777777" w:rsidR="003754FE" w:rsidRDefault="003754FE" w:rsidP="003754FE">
      <w:pPr>
        <w:pStyle w:val="TextoNormal"/>
      </w:pPr>
    </w:p>
    <w:p w14:paraId="55881D28" w14:textId="77777777" w:rsidR="003754FE" w:rsidRDefault="003754FE" w:rsidP="003754FE">
      <w:pPr>
        <w:pStyle w:val="TextoNormal"/>
      </w:pPr>
      <w:r>
        <w:t>• Continuar la línea de colaboración con IDEA en aplicación del concierto de ayudas para el mantenimiento del empleo y tejido productivo andaluz en vigor desde el año 2001.</w:t>
      </w:r>
    </w:p>
    <w:p w14:paraId="059327F4" w14:textId="77777777" w:rsidR="003754FE" w:rsidRDefault="003754FE" w:rsidP="003754FE">
      <w:pPr>
        <w:pStyle w:val="TextoNormal"/>
      </w:pPr>
    </w:p>
    <w:p w14:paraId="09204690" w14:textId="77777777" w:rsidR="003754FE" w:rsidRDefault="003754FE" w:rsidP="003754FE">
      <w:pPr>
        <w:pStyle w:val="TextoNormal"/>
      </w:pPr>
      <w:r>
        <w:t>•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14:paraId="47F0F83E" w14:textId="77777777" w:rsidR="003754FE" w:rsidRDefault="003754FE" w:rsidP="003754FE">
      <w:pPr>
        <w:pStyle w:val="TextoNormal"/>
      </w:pPr>
    </w:p>
    <w:p w14:paraId="794AF362" w14:textId="77777777" w:rsidR="003754FE" w:rsidRDefault="003754FE" w:rsidP="003754FE">
      <w:pPr>
        <w:pStyle w:val="TextoNormal"/>
      </w:pPr>
      <w:r>
        <w:t>• Mantenimiento del empleo y tejido productivo andaluz: cobertura de las necesidades comprometidas y asumidas por expedientes de regulación de empleo, ayuda prejubilaciones, proyectos de viabilidad de pequeñas, medianas y grandes empresas e impulso a la consolidación económica en aquellas empresas con dificultades de mantenimiento del empleo”.</w:t>
      </w:r>
    </w:p>
    <w:p w14:paraId="6F150757" w14:textId="77777777" w:rsidR="003754FE" w:rsidRDefault="003754FE" w:rsidP="003754FE">
      <w:pPr>
        <w:pStyle w:val="TextoNormal"/>
      </w:pPr>
    </w:p>
    <w:p w14:paraId="4D6B07A0" w14:textId="77777777" w:rsidR="003754FE" w:rsidRDefault="003754FE" w:rsidP="003754FE">
      <w:pPr>
        <w:pStyle w:val="TextoNormal"/>
      </w:pPr>
      <w:r>
        <w:t>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14:paraId="776540E3" w14:textId="77777777" w:rsidR="003754FE" w:rsidRDefault="003754FE" w:rsidP="003754FE">
      <w:pPr>
        <w:pStyle w:val="TextoNormal"/>
      </w:pPr>
    </w:p>
    <w:p w14:paraId="2C90F6BC" w14:textId="77777777" w:rsidR="003754FE" w:rsidRDefault="003754FE" w:rsidP="003754FE">
      <w:pPr>
        <w:pStyle w:val="TextoNormal"/>
      </w:pPr>
      <w:r>
        <w:t>El IFA/IDEA, como consecuencia tanto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14:paraId="1B0A9E62" w14:textId="77777777" w:rsidR="003754FE" w:rsidRDefault="003754FE" w:rsidP="003754FE">
      <w:pPr>
        <w:pStyle w:val="TextoNormal"/>
      </w:pPr>
    </w:p>
    <w:p w14:paraId="2D7A1EE6" w14:textId="77777777" w:rsidR="003754FE" w:rsidRDefault="003754FE" w:rsidP="003754FE">
      <w:pPr>
        <w:pStyle w:val="TextoNormal"/>
      </w:pPr>
      <w:r>
        <w:lastRenderedPageBreak/>
        <w:t>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14:paraId="3BB3E4E8" w14:textId="77777777" w:rsidR="003754FE" w:rsidRDefault="003754FE" w:rsidP="003754FE">
      <w:pPr>
        <w:pStyle w:val="TextoNormal"/>
      </w:pPr>
    </w:p>
    <w:p w14:paraId="26CEE08B" w14:textId="77777777" w:rsidR="003754FE" w:rsidRDefault="003754FE" w:rsidP="003754FE">
      <w:pPr>
        <w:pStyle w:val="TextoNormal"/>
      </w:pPr>
      <w:r>
        <w:t>En el ejercicio del año 2009 se dejaron de suscribir convenios particulares entre la Dirección General de Trabajo y Seguridad Social y el IDEA, dictándose por el director general de Trabajo resoluciones concediendo las ayudas y ordenando su pago al director general de IDEA.</w:t>
      </w:r>
    </w:p>
    <w:p w14:paraId="465194F2" w14:textId="77777777" w:rsidR="003754FE" w:rsidRDefault="003754FE" w:rsidP="003754FE">
      <w:pPr>
        <w:pStyle w:val="TextoNormal"/>
      </w:pPr>
    </w:p>
    <w:p w14:paraId="098C31FD" w14:textId="77777777" w:rsidR="003754FE" w:rsidRDefault="003754FE" w:rsidP="003754FE">
      <w:pPr>
        <w:pStyle w:val="TextoNormal"/>
      </w:pPr>
      <w:r>
        <w:t>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14:paraId="0F315C73" w14:textId="77777777" w:rsidR="003754FE" w:rsidRDefault="003754FE" w:rsidP="003754FE">
      <w:pPr>
        <w:pStyle w:val="TextoNormal"/>
      </w:pPr>
    </w:p>
    <w:p w14:paraId="0E843F74" w14:textId="77777777" w:rsidR="003754FE" w:rsidRDefault="003754FE" w:rsidP="003754FE">
      <w:pPr>
        <w:pStyle w:val="TextoNormal"/>
      </w:pPr>
      <w:r>
        <w:t>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y 16 de marzo de 2012, hasta su derogación por el Decreto ley 4/2012, de 16 de octubre, de la Junta de Andalucía, de medidas extraordinarias y urgentes en materia de protección sociolaboral a extrabajadores y extrabajadoras andaluces afectados por procesos de reestructuración de empresas y sectores en crisis.</w:t>
      </w:r>
    </w:p>
    <w:p w14:paraId="75EA52AC" w14:textId="77777777" w:rsidR="003754FE" w:rsidRDefault="003754FE" w:rsidP="003754FE">
      <w:pPr>
        <w:pStyle w:val="TextoNormal"/>
      </w:pPr>
    </w:p>
    <w:p w14:paraId="76D7EC88" w14:textId="77777777" w:rsidR="003754FE" w:rsidRDefault="003754FE" w:rsidP="003754FE">
      <w:pPr>
        <w:pStyle w:val="TextoNormal"/>
      </w:pPr>
      <w:r>
        <w:t>En el citado decreto-ley se estableció que a estas ayudas sociolaborales no les eran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14:paraId="33F96341" w14:textId="77777777" w:rsidR="003754FE" w:rsidRDefault="003754FE" w:rsidP="003754FE">
      <w:pPr>
        <w:pStyle w:val="TextoNormal"/>
      </w:pPr>
    </w:p>
    <w:p w14:paraId="5F59719C" w14:textId="77777777" w:rsidR="003754FE" w:rsidRDefault="003754FE" w:rsidP="003754FE">
      <w:pPr>
        <w:pStyle w:val="TextoNormal"/>
      </w:pPr>
      <w:r>
        <w:t>e) En resumen: el sistema de otorgamiento de las ayudas sociolaborales y a empresas en crisis hasta el año 2010 fue el siguiente:</w:t>
      </w:r>
    </w:p>
    <w:p w14:paraId="0E22FC01" w14:textId="77777777" w:rsidR="003754FE" w:rsidRDefault="003754FE" w:rsidP="003754FE">
      <w:pPr>
        <w:pStyle w:val="TextoNormal"/>
      </w:pPr>
    </w:p>
    <w:p w14:paraId="64A99876" w14:textId="77777777" w:rsidR="003754FE" w:rsidRDefault="003754FE" w:rsidP="003754FE">
      <w:pPr>
        <w:pStyle w:val="TextoNormal"/>
      </w:pPr>
      <w:r>
        <w:t>(i) En la década de los años 1990 estas ayudas se tramitaron como subvenciones excepcionales, siendo concedidas y pagadas por la Consejería de Empleo y Desarrollo Tecnológico.</w:t>
      </w:r>
    </w:p>
    <w:p w14:paraId="2456CB59" w14:textId="77777777" w:rsidR="003754FE" w:rsidRDefault="003754FE" w:rsidP="003754FE">
      <w:pPr>
        <w:pStyle w:val="TextoNormal"/>
      </w:pPr>
    </w:p>
    <w:p w14:paraId="3A8BFFD0" w14:textId="77777777" w:rsidR="003754FE" w:rsidRDefault="003754FE" w:rsidP="003754FE">
      <w:pPr>
        <w:pStyle w:val="TextoNormal"/>
      </w:pPr>
      <w:r>
        <w:t xml:space="preserve">(ii) Desde el año 2000 hasta el año 2010 las ayudas las concedió la Consejería de Empleo y Desarrollo Tecnológico, a través de la Dirección General de Trabajo y Seguridad Social, y el pago lo efectuaba el IFA/IDEA. Su régimen se establecía en los convenios particulares </w:t>
      </w:r>
      <w:r>
        <w:lastRenderedPageBreak/>
        <w:t>suscritos entre la Dirección General de Trabajo y Seguridad Social y el IFA/IDEA, al amparo del convenio marco de 17 de julio de 2001.</w:t>
      </w:r>
    </w:p>
    <w:p w14:paraId="138B312F" w14:textId="77777777" w:rsidR="003754FE" w:rsidRDefault="003754FE" w:rsidP="003754FE">
      <w:pPr>
        <w:pStyle w:val="TextoNormal"/>
      </w:pPr>
    </w:p>
    <w:p w14:paraId="721D7B5C" w14:textId="77777777" w:rsidR="003754FE" w:rsidRDefault="003754FE" w:rsidP="003754FE">
      <w:pPr>
        <w:pStyle w:val="TextoNormal"/>
      </w:pPr>
      <w:r>
        <w:t xml:space="preserve">(iii) Al IFA/IDEA se le atribuyeron los fondos para el pago de las ayudas mediante transferencias de financiación. La utilización de estos créditos no estaba sometida a un control previo, sino a un control </w:t>
      </w:r>
      <w:r w:rsidRPr="003754FE">
        <w:rPr>
          <w:i/>
        </w:rPr>
        <w:t>ex post</w:t>
      </w:r>
      <w:r>
        <w:t>: el llamado “control financiero permanente”. Este control se limitaba a (1) comprobar la legalidad del pago; (2) examinar las cuentas anuales; y (3) analizar críticamente los programas asignados al instituto.</w:t>
      </w:r>
    </w:p>
    <w:p w14:paraId="0FEF60C5" w14:textId="77777777" w:rsidR="003754FE" w:rsidRDefault="003754FE" w:rsidP="003754FE">
      <w:pPr>
        <w:pStyle w:val="TextoNormal"/>
      </w:pPr>
    </w:p>
    <w:p w14:paraId="0298146D" w14:textId="77777777" w:rsidR="003754FE" w:rsidRDefault="003754FE" w:rsidP="003754FE">
      <w:pPr>
        <w:pStyle w:val="TextoNormal"/>
      </w:pPr>
      <w:r>
        <w:t>(iv)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14:paraId="0048C1A4" w14:textId="77777777" w:rsidR="003754FE" w:rsidRDefault="003754FE" w:rsidP="003754FE">
      <w:pPr>
        <w:pStyle w:val="TextoNormal"/>
      </w:pPr>
    </w:p>
    <w:p w14:paraId="34E7898E" w14:textId="77777777" w:rsidR="003754FE" w:rsidRDefault="003754FE" w:rsidP="003754FE">
      <w:pPr>
        <w:pStyle w:val="TextoNormal"/>
      </w:pPr>
      <w:r>
        <w:t>El seguimiento del referido sistema de otorgamiento de las ayudas sociolaborales y a empresas en crisis hasta el año 2010 permitió, según las resoluciones impugnadas:</w:t>
      </w:r>
    </w:p>
    <w:p w14:paraId="353F58F7" w14:textId="77777777" w:rsidR="003754FE" w:rsidRDefault="003754FE" w:rsidP="003754FE">
      <w:pPr>
        <w:pStyle w:val="TextoNormal"/>
      </w:pPr>
    </w:p>
    <w:p w14:paraId="5ED7EE42" w14:textId="77777777" w:rsidR="003754FE" w:rsidRDefault="003754FE" w:rsidP="003754FE">
      <w:pPr>
        <w:pStyle w:val="TextoNormal"/>
      </w:pPr>
      <w:r>
        <w:t>(i)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14:paraId="49D8E6C6" w14:textId="77777777" w:rsidR="003754FE" w:rsidRDefault="003754FE" w:rsidP="003754FE">
      <w:pPr>
        <w:pStyle w:val="TextoNormal"/>
      </w:pPr>
    </w:p>
    <w:p w14:paraId="6AF9CE94" w14:textId="77777777" w:rsidR="003754FE" w:rsidRDefault="003754FE" w:rsidP="003754FE">
      <w:pPr>
        <w:pStyle w:val="TextoNormal"/>
      </w:pPr>
      <w:r>
        <w:t>(ii)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 y</w:t>
      </w:r>
    </w:p>
    <w:p w14:paraId="48E6809F" w14:textId="77777777" w:rsidR="003754FE" w:rsidRDefault="003754FE" w:rsidP="003754FE">
      <w:pPr>
        <w:pStyle w:val="TextoNormal"/>
      </w:pPr>
    </w:p>
    <w:p w14:paraId="53C1918E" w14:textId="77777777" w:rsidR="003754FE" w:rsidRDefault="003754FE" w:rsidP="003754FE">
      <w:pPr>
        <w:pStyle w:val="TextoNormal"/>
      </w:pPr>
      <w:r>
        <w:t>(iii) que se destinasen fondos del programa 31L a fines distintos y ajenos a los recogidos para este en los correspondientes presupuestos.</w:t>
      </w:r>
    </w:p>
    <w:p w14:paraId="623D1416" w14:textId="77777777" w:rsidR="003754FE" w:rsidRDefault="003754FE" w:rsidP="003754FE">
      <w:pPr>
        <w:pStyle w:val="TextoNormal"/>
      </w:pPr>
    </w:p>
    <w:p w14:paraId="340F6BE3" w14:textId="77777777" w:rsidR="003754FE" w:rsidRDefault="003754FE" w:rsidP="003754FE">
      <w:pPr>
        <w:pStyle w:val="TextoNormal"/>
      </w:pPr>
      <w:r>
        <w:t>2.2</w:t>
      </w:r>
      <w:r w:rsidRPr="003754FE">
        <w:rPr>
          <w:i/>
        </w:rPr>
        <w:t>. La “pieza específica” y las demás piezas del proceso “ER</w:t>
      </w:r>
      <w:r>
        <w:t>E”</w:t>
      </w:r>
    </w:p>
    <w:p w14:paraId="0458CB9A" w14:textId="77777777" w:rsidR="003754FE" w:rsidRDefault="003754FE" w:rsidP="003754FE">
      <w:pPr>
        <w:pStyle w:val="TextoNormal"/>
      </w:pPr>
    </w:p>
    <w:p w14:paraId="264F3C64" w14:textId="77777777" w:rsidR="003754FE" w:rsidRDefault="003754FE" w:rsidP="003754FE">
      <w:pPr>
        <w:pStyle w:val="TextoNormal"/>
      </w:pPr>
      <w:r>
        <w:t>La causa matriz de los “ERE” se desgajó en una primera pieza denominada “pieza específica” y, en lo que aquí interesa, en un número no inferior a otras 200 piezas, que tienen por objeto las ayudas individuales concedidas a empresas o determinados grupos de empresas.</w:t>
      </w:r>
    </w:p>
    <w:p w14:paraId="6D67BDF0" w14:textId="77777777" w:rsidR="003754FE" w:rsidRDefault="003754FE" w:rsidP="003754FE">
      <w:pPr>
        <w:pStyle w:val="TextoNormal"/>
      </w:pPr>
    </w:p>
    <w:p w14:paraId="28810DAD" w14:textId="77777777" w:rsidR="003754FE" w:rsidRDefault="003754FE" w:rsidP="003754FE">
      <w:pPr>
        <w:pStyle w:val="TextoNormal"/>
      </w:pPr>
      <w:r>
        <w:t xml:space="preserve">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w:t>
      </w:r>
      <w:r>
        <w:lastRenderedPageBreak/>
        <w:t>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14:paraId="7BB38C7A" w14:textId="77777777" w:rsidR="003754FE" w:rsidRDefault="003754FE" w:rsidP="003754FE">
      <w:pPr>
        <w:pStyle w:val="TextoNormal"/>
      </w:pPr>
    </w:p>
    <w:p w14:paraId="5394FFF7" w14:textId="77777777" w:rsidR="003754FE" w:rsidRDefault="003754FE" w:rsidP="003754FE">
      <w:pPr>
        <w:pStyle w:val="TextoNormal"/>
      </w:pPr>
      <w:r>
        <w:t>Entre la “pieza específica” y las piezas individuales existe, afirma la sentencia de casación, una posible zona de coincidencia, “la de aquellas personas que intervinieron en el diseño, puesta en funcionamiento o mantenimiento del sistema, y a la vez, dispusieron de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coincidencias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del IFA/IDEA y, en general, […] cualquier otro acusado que haya sido enjuiciado en esta pieza matriz y que esté acusado o se pretenda su acusación en cualquier otra pieza por delito de malversación de caudales públicos” (fundamento de Derecho 3.4; págs. 122-133).</w:t>
      </w:r>
    </w:p>
    <w:p w14:paraId="43D19846" w14:textId="77777777" w:rsidR="003754FE" w:rsidRDefault="003754FE" w:rsidP="003754FE">
      <w:pPr>
        <w:pStyle w:val="TextoNormal"/>
      </w:pPr>
    </w:p>
    <w:p w14:paraId="109FD708" w14:textId="77777777" w:rsidR="003754FE" w:rsidRDefault="003754FE" w:rsidP="003754FE">
      <w:pPr>
        <w:pStyle w:val="TextoNormal"/>
      </w:pPr>
      <w:r>
        <w:t>2.3</w:t>
      </w:r>
      <w:r w:rsidRPr="003754FE">
        <w:rPr>
          <w:i/>
        </w:rPr>
        <w:t>. Hechos enjuiciados en la “pieza específic</w:t>
      </w:r>
      <w:r>
        <w:t>a”</w:t>
      </w:r>
    </w:p>
    <w:p w14:paraId="75FFEFDC" w14:textId="77777777" w:rsidR="003754FE" w:rsidRDefault="003754FE" w:rsidP="003754FE">
      <w:pPr>
        <w:pStyle w:val="TextoNormal"/>
      </w:pPr>
    </w:p>
    <w:p w14:paraId="35AA3704" w14:textId="77777777" w:rsidR="003754FE" w:rsidRDefault="003754FE" w:rsidP="003754FE">
      <w:pPr>
        <w:pStyle w:val="TextoNormal"/>
      </w:pPr>
      <w:r>
        <w:t>Los hechos enjuiciados en la “pieza específica” se delimitan material y cronológicamente en el fundamento de Derecho 3.4 (págs. 135-137) de la sentencia del Tribunal Supremo en estos términos:</w:t>
      </w:r>
    </w:p>
    <w:p w14:paraId="4047F338" w14:textId="77777777" w:rsidR="003754FE" w:rsidRDefault="003754FE" w:rsidP="003754FE">
      <w:pPr>
        <w:pStyle w:val="TextoNormal"/>
      </w:pPr>
    </w:p>
    <w:p w14:paraId="0FC29403" w14:textId="77777777" w:rsidR="003754FE" w:rsidRDefault="003754FE" w:rsidP="003754FE">
      <w:pPr>
        <w:pStyle w:val="TextoNormal"/>
      </w:pPr>
      <w:r>
        <w:t>“(i) Temporalmente los hechos enjuiciados en esta causa son los acontecidos entre la elaboración de la primera modificación presupuestaria, cuya aprobación data del 18 de abril de 2000 y la aprobación de la última modificación presupuestaria que se produjo el 01 de diciembre de 2009, por lo que cualquier hecho ocurrido fuera de esos márgenes temporales no ha sido objeto de enjuiciamiento en este proceso.</w:t>
      </w:r>
    </w:p>
    <w:p w14:paraId="54EE0CFB" w14:textId="77777777" w:rsidR="003754FE" w:rsidRDefault="003754FE" w:rsidP="003754FE">
      <w:pPr>
        <w:pStyle w:val="TextoNormal"/>
      </w:pPr>
    </w:p>
    <w:p w14:paraId="5C5498E7" w14:textId="77777777" w:rsidR="003754FE" w:rsidRDefault="003754FE" w:rsidP="003754FE">
      <w:pPr>
        <w:pStyle w:val="TextoNormal"/>
      </w:pPr>
      <w:r>
        <w:t>(ii) En relación con el delito de prevaricación las personas enjuiciadas y que han resultado condenadas lo han sido por adoptar las siguientes resoluciones:</w:t>
      </w:r>
    </w:p>
    <w:p w14:paraId="61FA740B" w14:textId="77777777" w:rsidR="003754FE" w:rsidRDefault="003754FE" w:rsidP="003754FE">
      <w:pPr>
        <w:pStyle w:val="TextoNormal"/>
      </w:pPr>
    </w:p>
    <w:p w14:paraId="0D756970" w14:textId="77777777" w:rsidR="003754FE" w:rsidRDefault="003754FE" w:rsidP="003754FE">
      <w:pPr>
        <w:pStyle w:val="TextoNormal"/>
      </w:pPr>
      <w:r>
        <w:t xml:space="preserve">- Elaboración y aprobación de los presupuestos de los ejercicios 2002 a 2009, incluyendo el programa 31L en sustitución del 22E, introduciendo indebidamente la aplicación presupuestaria ‘Transferencias al IFA en materia de relaciones laborales’, habilitando anualmente </w:t>
      </w:r>
      <w:r>
        <w:lastRenderedPageBreak/>
        <w:t>mediante transferencias de financiación unas cuantías muy relevantes que se precisan en el relato fáctico.</w:t>
      </w:r>
    </w:p>
    <w:p w14:paraId="6EFEF63C" w14:textId="77777777" w:rsidR="003754FE" w:rsidRDefault="003754FE" w:rsidP="003754FE">
      <w:pPr>
        <w:pStyle w:val="TextoNormal"/>
      </w:pPr>
    </w:p>
    <w:p w14:paraId="73492D5C" w14:textId="77777777" w:rsidR="003754FE" w:rsidRDefault="003754FE" w:rsidP="003754FE">
      <w:pPr>
        <w:pStyle w:val="TextoNormal"/>
      </w:pPr>
      <w:r>
        <w:t>- Aprobación de las modificaciones presupuestarias de fechas 28 de julio de 2000, 7 de mayo de 2001, 29de mayo de 2001, 18 de septiembre de 2001, 13 de noviembre de 2001, 05 de diciembre de 2001, 15 de octubre de 2002, 21 de octubre de 2002, 18 de marzo de 2004, 17 de diciembre de 2005, 7 de noviembre de 2006, 27 de noviembre de 2007, 22 de diciembre de 2008 (tres modificaciones presupuestarias en esa fecha) y 1 de diciembre de 2009.</w:t>
      </w:r>
    </w:p>
    <w:p w14:paraId="086F27D0" w14:textId="77777777" w:rsidR="003754FE" w:rsidRDefault="003754FE" w:rsidP="003754FE">
      <w:pPr>
        <w:pStyle w:val="TextoNormal"/>
      </w:pPr>
    </w:p>
    <w:p w14:paraId="4ADFB147" w14:textId="77777777" w:rsidR="003754FE" w:rsidRDefault="003754FE" w:rsidP="003754FE">
      <w:pPr>
        <w:pStyle w:val="TextoNormal"/>
      </w:pPr>
      <w:r>
        <w:t>- Otorgamiento del convenio marco de colaboración entre la Consejería de Empleo y Desarrollo Tecnológico y el Instituto de Fomento de Andalucía (IFA) de 17 de julio de 2001, suscrito por don José Antonio Viera Chacón, como consejero de Empleo de la Junta de Andalucía y don Antonio Fernández García, como presidente del IFA.</w:t>
      </w:r>
    </w:p>
    <w:p w14:paraId="6CF5013F" w14:textId="77777777" w:rsidR="003754FE" w:rsidRDefault="003754FE" w:rsidP="003754FE">
      <w:pPr>
        <w:pStyle w:val="TextoNormal"/>
      </w:pPr>
    </w:p>
    <w:p w14:paraId="7727A410" w14:textId="77777777" w:rsidR="003754FE" w:rsidRDefault="003754FE" w:rsidP="003754FE">
      <w:pPr>
        <w:pStyle w:val="TextoNormal"/>
      </w:pPr>
      <w:r>
        <w:t>-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14:paraId="64A75819" w14:textId="77777777" w:rsidR="003754FE" w:rsidRDefault="003754FE" w:rsidP="003754FE">
      <w:pPr>
        <w:pStyle w:val="TextoNormal"/>
      </w:pPr>
    </w:p>
    <w:p w14:paraId="11325B6C" w14:textId="77777777" w:rsidR="003754FE" w:rsidRDefault="003754FE" w:rsidP="003754FE">
      <w:pPr>
        <w:pStyle w:val="TextoNormal"/>
      </w:pPr>
      <w:r>
        <w:t>- Fraccionamiento de las cuantías de las ayudas a partir del 27 de mayo de 2003 en función de las cantidades asignadas a cada trabajador y no de las cantidades asignadas a las empresas, todo ello para sustraer su conocimiento del consejo rector del IFA.</w:t>
      </w:r>
    </w:p>
    <w:p w14:paraId="50244DB6" w14:textId="77777777" w:rsidR="003754FE" w:rsidRDefault="003754FE" w:rsidP="003754FE">
      <w:pPr>
        <w:pStyle w:val="TextoNormal"/>
      </w:pPr>
    </w:p>
    <w:p w14:paraId="569659F4" w14:textId="77777777" w:rsidR="003754FE" w:rsidRDefault="003754FE" w:rsidP="003754FE">
      <w:pPr>
        <w:pStyle w:val="TextoNormal"/>
      </w:pPr>
      <w:r>
        <w:t>-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14:paraId="337E8FA4" w14:textId="77777777" w:rsidR="003754FE" w:rsidRDefault="003754FE" w:rsidP="003754FE">
      <w:pPr>
        <w:pStyle w:val="TextoNormal"/>
      </w:pPr>
    </w:p>
    <w:p w14:paraId="15F14DBE" w14:textId="77777777" w:rsidR="003754FE" w:rsidRDefault="003754FE" w:rsidP="003754FE">
      <w:pPr>
        <w:pStyle w:val="TextoNormal"/>
      </w:pPr>
      <w:r>
        <w:t>- Concesión de las ayudas sociolaborales.</w:t>
      </w:r>
    </w:p>
    <w:p w14:paraId="6AF3B9C3" w14:textId="77777777" w:rsidR="003754FE" w:rsidRDefault="003754FE" w:rsidP="003754FE">
      <w:pPr>
        <w:pStyle w:val="TextoNormal"/>
      </w:pPr>
    </w:p>
    <w:p w14:paraId="388771BA" w14:textId="77777777" w:rsidR="003754FE" w:rsidRDefault="003754FE" w:rsidP="003754FE">
      <w:pPr>
        <w:pStyle w:val="TextoNormal"/>
      </w:pPr>
      <w:r>
        <w:t>(iii) En relación con el delito de malversación de caudales públicos las personas enjuiciadas en este proceso y condenadas por este delito lo han sido bien por su participación directa en la disposición de fondos, bien por haber permitido esa disposición.</w:t>
      </w:r>
    </w:p>
    <w:p w14:paraId="35532E1C" w14:textId="77777777" w:rsidR="003754FE" w:rsidRDefault="003754FE" w:rsidP="003754FE">
      <w:pPr>
        <w:pStyle w:val="TextoNormal"/>
      </w:pPr>
    </w:p>
    <w:p w14:paraId="41C5B689" w14:textId="77777777" w:rsidR="003754FE" w:rsidRDefault="003754FE" w:rsidP="003754FE">
      <w:pPr>
        <w:pStyle w:val="TextoNormal"/>
      </w:pPr>
      <w:r>
        <w:t>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14:paraId="4E9248DF" w14:textId="77777777" w:rsidR="003754FE" w:rsidRDefault="003754FE" w:rsidP="003754FE">
      <w:pPr>
        <w:pStyle w:val="TextoNormal"/>
      </w:pPr>
    </w:p>
    <w:p w14:paraId="372D3857" w14:textId="77777777" w:rsidR="003754FE" w:rsidRDefault="003754FE" w:rsidP="003754FE">
      <w:pPr>
        <w:pStyle w:val="TextoNormal"/>
      </w:pPr>
      <w:r>
        <w:t>Entendemos que la condena por malversación incluye respecto de cada condenado a todas las disposiciones de fondos públicos realizadas durante el tiempo en que cada uno de ellos ejerció su cargo.</w:t>
      </w:r>
    </w:p>
    <w:p w14:paraId="4694E728" w14:textId="77777777" w:rsidR="003754FE" w:rsidRDefault="003754FE" w:rsidP="003754FE">
      <w:pPr>
        <w:pStyle w:val="TextoNormal"/>
      </w:pPr>
    </w:p>
    <w:p w14:paraId="18245BAC" w14:textId="77777777" w:rsidR="003754FE" w:rsidRDefault="003754FE" w:rsidP="003754FE">
      <w:pPr>
        <w:pStyle w:val="TextoNormal"/>
      </w:pPr>
      <w:r>
        <w:t xml:space="preserve">En efecto, no puede afirmarse que la malversación se refiera únicamente a las ayudas que se destinaron a fines distintos a las ayudas sociolaborales [disposiciones relacionadas en el apartado b], ya que en la sentencia impugnada hay multitud de referencias a lo largo </w:t>
      </w:r>
      <w:r>
        <w:lastRenderedPageBreak/>
        <w:t>de sus extensos fundamentos jurídicos a ayudas singulares. La mayor evidencia de ese planteamiento la encontramos en el contenido del hecho probado vigésimo 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14:paraId="607FC428" w14:textId="77777777" w:rsidR="003754FE" w:rsidRDefault="003754FE" w:rsidP="003754FE">
      <w:pPr>
        <w:pStyle w:val="TextoNormal"/>
      </w:pPr>
    </w:p>
    <w:p w14:paraId="5F60DED1" w14:textId="77777777" w:rsidR="003754FE" w:rsidRDefault="003754FE" w:rsidP="003754FE">
      <w:pPr>
        <w:pStyle w:val="TextoNormal"/>
      </w:pPr>
      <w:r>
        <w:t>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 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14:paraId="166E859F" w14:textId="77777777" w:rsidR="003754FE" w:rsidRDefault="003754FE" w:rsidP="003754FE">
      <w:pPr>
        <w:pStyle w:val="TextoNormal"/>
      </w:pPr>
    </w:p>
    <w:p w14:paraId="66836139" w14:textId="77777777" w:rsidR="003754FE" w:rsidRDefault="003754FE" w:rsidP="003754FE">
      <w:pPr>
        <w:pStyle w:val="TextoNormal"/>
      </w:pPr>
      <w:r>
        <w:t>Este último subapartado C) resulta del siguiente tenor:</w:t>
      </w:r>
    </w:p>
    <w:p w14:paraId="7F3D4792" w14:textId="77777777" w:rsidR="003754FE" w:rsidRDefault="003754FE" w:rsidP="003754FE">
      <w:pPr>
        <w:pStyle w:val="TextoNormal"/>
      </w:pPr>
    </w:p>
    <w:p w14:paraId="42DA8AD2" w14:textId="77777777" w:rsidR="003754FE" w:rsidRDefault="003754FE" w:rsidP="003754FE">
      <w:pPr>
        <w:pStyle w:val="TextoNormal"/>
      </w:pPr>
      <w:r>
        <w:t>“C) Los fondos del programa 31L se emplearon también en fines distintos y ajenos a los recogidos en las fichas presupuestarias del mismo, así podemos reseñar que se abonó:</w:t>
      </w:r>
    </w:p>
    <w:p w14:paraId="59CFE7A9" w14:textId="77777777" w:rsidR="003754FE" w:rsidRDefault="003754FE" w:rsidP="003754FE">
      <w:pPr>
        <w:pStyle w:val="TextoNormal"/>
      </w:pPr>
    </w:p>
    <w:p w14:paraId="0E99B3A2" w14:textId="77777777" w:rsidR="003754FE" w:rsidRDefault="003754FE" w:rsidP="003754FE">
      <w:pPr>
        <w:pStyle w:val="TextoNormal"/>
      </w:pPr>
      <w:r>
        <w:t>• Facturas emitidas por las mercantiles Tapsa y Cicm, derivadas de varios contratos de campañas de comunicación sobre fomento de empleo y divulgación del SAE [Servicio Andaluz de Empleo], por un total de 3 386 017,00 €, que fueron abonadas por el Instituto, en el periodo 15 de julio de 2003 a 2 de marzo de 2004.</w:t>
      </w:r>
    </w:p>
    <w:p w14:paraId="73924D00" w14:textId="77777777" w:rsidR="003754FE" w:rsidRDefault="003754FE" w:rsidP="003754FE">
      <w:pPr>
        <w:pStyle w:val="TextoNormal"/>
      </w:pPr>
    </w:p>
    <w:p w14:paraId="4FAABF46" w14:textId="77777777" w:rsidR="003754FE" w:rsidRDefault="003754FE" w:rsidP="003754FE">
      <w:pPr>
        <w:pStyle w:val="TextoNormal"/>
      </w:pPr>
      <w:r>
        <w:t>• Financiación del protocolo suscrito el 16 de diciembre de 2002, por el acusado don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14:paraId="085D85EC" w14:textId="77777777" w:rsidR="003754FE" w:rsidRDefault="003754FE" w:rsidP="003754FE">
      <w:pPr>
        <w:pStyle w:val="TextoNormal"/>
      </w:pPr>
    </w:p>
    <w:p w14:paraId="481D9670" w14:textId="77777777" w:rsidR="003754FE" w:rsidRDefault="003754FE" w:rsidP="003754FE">
      <w:pPr>
        <w:pStyle w:val="TextoNormal"/>
      </w:pPr>
      <w:r>
        <w:t>• Financiación del programa de formación del voluntariado de los Juegos del Mediterráneo en Almería, conforme al convenio firmado el 26 de noviembre de 2003, por el acusado don José Antonio Viera Chacón, como consejero de Empleo, asumiendo el pago de 180 304 €, para la realización de curso</w:t>
      </w:r>
      <w:r w:rsidRPr="003754FE">
        <w:rPr>
          <w:i/>
        </w:rPr>
        <w:t>s on li</w:t>
      </w:r>
      <w:r>
        <w:t>ne.</w:t>
      </w:r>
    </w:p>
    <w:p w14:paraId="3CDB21DA" w14:textId="77777777" w:rsidR="003754FE" w:rsidRDefault="003754FE" w:rsidP="003754FE">
      <w:pPr>
        <w:pStyle w:val="TextoNormal"/>
      </w:pPr>
    </w:p>
    <w:p w14:paraId="3E3A2A20" w14:textId="77777777" w:rsidR="003754FE" w:rsidRDefault="003754FE" w:rsidP="003754FE">
      <w:pPr>
        <w:pStyle w:val="TextoNormal"/>
      </w:pPr>
      <w:r>
        <w:t xml:space="preserve">•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w:t>
      </w:r>
      <w:r>
        <w:lastRenderedPageBreak/>
        <w:t>de rentas y de capital, en la que figuraba como beneficiario don José Antonio Gómez Román.</w:t>
      </w:r>
    </w:p>
    <w:p w14:paraId="33563F06" w14:textId="77777777" w:rsidR="003754FE" w:rsidRDefault="003754FE" w:rsidP="003754FE">
      <w:pPr>
        <w:pStyle w:val="TextoNormal"/>
      </w:pPr>
    </w:p>
    <w:p w14:paraId="0237CA98" w14:textId="77777777" w:rsidR="003754FE" w:rsidRDefault="003754FE" w:rsidP="003754FE">
      <w:pPr>
        <w:pStyle w:val="TextoNormal"/>
      </w:pPr>
      <w:r>
        <w:t>•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14:paraId="5C2DEBD5" w14:textId="77777777" w:rsidR="003754FE" w:rsidRDefault="003754FE" w:rsidP="003754FE">
      <w:pPr>
        <w:pStyle w:val="TextoNormal"/>
      </w:pPr>
    </w:p>
    <w:p w14:paraId="54EC7B46" w14:textId="77777777" w:rsidR="003754FE" w:rsidRDefault="003754FE" w:rsidP="003754FE">
      <w:pPr>
        <w:pStyle w:val="TextoNormal"/>
      </w:pPr>
      <w:r>
        <w:t>•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14:paraId="75027F33" w14:textId="77777777" w:rsidR="003754FE" w:rsidRDefault="003754FE" w:rsidP="003754FE">
      <w:pPr>
        <w:pStyle w:val="TextoNormal"/>
      </w:pPr>
    </w:p>
    <w:p w14:paraId="767D47EC" w14:textId="77777777" w:rsidR="003754FE" w:rsidRDefault="003754FE" w:rsidP="003754FE">
      <w:pPr>
        <w:pStyle w:val="TextoNormal"/>
      </w:pPr>
      <w:r>
        <w:t>• En los ejercicios 2004, 2005, 2006, 2009 y 2010, se destinaron 1 192 000 € para el pago a la Fundación San Telmo, del ‘Curso de alta dirección de instituciones sociales’, para un total de 100 personas”.</w:t>
      </w:r>
    </w:p>
    <w:p w14:paraId="28F949B2" w14:textId="77777777" w:rsidR="003754FE" w:rsidRDefault="003754FE" w:rsidP="003754FE">
      <w:pPr>
        <w:pStyle w:val="TextoNormal"/>
      </w:pPr>
    </w:p>
    <w:p w14:paraId="6936B793" w14:textId="77777777" w:rsidR="003754FE" w:rsidRDefault="003754FE" w:rsidP="003754FE">
      <w:pPr>
        <w:pStyle w:val="TextoNormal"/>
      </w:pPr>
      <w:r>
        <w:t>2.4</w:t>
      </w:r>
      <w:r w:rsidRPr="003754FE">
        <w:rPr>
          <w:i/>
        </w:rPr>
        <w:t>. Hechos por los que ha sido condenado el demandante de ampa</w:t>
      </w:r>
      <w:r>
        <w:t>ro</w:t>
      </w:r>
    </w:p>
    <w:p w14:paraId="31F89D00" w14:textId="77777777" w:rsidR="003754FE" w:rsidRDefault="003754FE" w:rsidP="003754FE">
      <w:pPr>
        <w:pStyle w:val="TextoNormal"/>
      </w:pPr>
    </w:p>
    <w:p w14:paraId="05128C90" w14:textId="77777777" w:rsidR="003754FE" w:rsidRDefault="003754FE" w:rsidP="003754FE">
      <w:pPr>
        <w:pStyle w:val="TextoNormal"/>
      </w:pPr>
      <w:r>
        <w:t>Los hechos por los que ha sido condenado el señor Rodríguez Román están descritos en los hechos probados de la sentencia de la Audiencia Provincial de Sevilla (págs. 31 a 97), así como en los fundamentos de Derecho 33, apartado IV, en el que se detalla la prueba de cargo en la que se fundamenta su condena y 49, apartado 11.</w:t>
      </w:r>
    </w:p>
    <w:p w14:paraId="2F7C1DE4" w14:textId="77777777" w:rsidR="003754FE" w:rsidRDefault="003754FE" w:rsidP="003754FE">
      <w:pPr>
        <w:pStyle w:val="TextoNormal"/>
      </w:pPr>
    </w:p>
    <w:p w14:paraId="15F7F5BD" w14:textId="77777777" w:rsidR="003754FE" w:rsidRDefault="003754FE" w:rsidP="003754FE">
      <w:pPr>
        <w:pStyle w:val="TextoNormal"/>
      </w:pPr>
      <w:r>
        <w:t>El señor Rodríguez Román ha sido condenado como consecuencia de las actuaciones y omisiones que realizó en el ejercicio de su cargo como: (1) viceconsejero de Justicia de 2000 a 2005; (2) viceconsejero de Innovación, Ciencia y Empresa del 19 de marzo de 2005 al 1 de abril de 2010 y miembro del consejo rector de IFA/IDEA.</w:t>
      </w:r>
    </w:p>
    <w:p w14:paraId="2D4D88A6" w14:textId="77777777" w:rsidR="003754FE" w:rsidRDefault="003754FE" w:rsidP="003754FE">
      <w:pPr>
        <w:pStyle w:val="TextoNormal"/>
      </w:pPr>
    </w:p>
    <w:p w14:paraId="75764316" w14:textId="77777777" w:rsidR="003754FE" w:rsidRDefault="003754FE" w:rsidP="003754FE">
      <w:pPr>
        <w:pStyle w:val="TextoNormal"/>
      </w:pPr>
      <w:r>
        <w:t>a) En su calidad de viceconsejero de Justicia ha sido condenado por los siguientes hechos:</w:t>
      </w:r>
    </w:p>
    <w:p w14:paraId="5EF3256E" w14:textId="77777777" w:rsidR="003754FE" w:rsidRDefault="003754FE" w:rsidP="003754FE">
      <w:pPr>
        <w:pStyle w:val="TextoNormal"/>
      </w:pPr>
    </w:p>
    <w:p w14:paraId="705354CF" w14:textId="77777777" w:rsidR="003754FE" w:rsidRDefault="003754FE" w:rsidP="003754FE">
      <w:pPr>
        <w:pStyle w:val="TextoNormal"/>
      </w:pPr>
      <w:r>
        <w:t>- El señor Rodríguez Román participó en la modificación presupuestaria de la partida 440.01. Según el fundamento de Derecho 33 (pág. 1139) de la sentencia de instancia el señor Rodríguez Román estuvo presente en la Comisión General de Viceconsejeros de 26 de julio de 2000, en su calidad de viceconsejero de Justicia y Administración Pública, en la que se acordó elevar al Consejo de Gobierno una modificación presupuestaria que finalmente fue aprobada por este último órgano el 28 de julio de 2000. Dicha modificación presupuestaria tenía por objeto reducir la partida 481.00 y aumentar la 440.01 prevista según la sentencia de instancia “para las subvenciones de explotación a las empresas de la Junta de Andalucía”. A pesar de ello, esta transferencia se vincula con un convenio marco con el IFA con la finalidad, entre otras, de reestructurar empresas. Con esta actuación se eludieron los procedimientos para conceder subvenciones y se evitó la fiscalización de las ayudas por la intervención delegada de la Junta de Andalucía.</w:t>
      </w:r>
    </w:p>
    <w:p w14:paraId="60D0F9A2" w14:textId="77777777" w:rsidR="003754FE" w:rsidRDefault="003754FE" w:rsidP="003754FE">
      <w:pPr>
        <w:pStyle w:val="TextoNormal"/>
      </w:pPr>
    </w:p>
    <w:p w14:paraId="09E36822" w14:textId="77777777" w:rsidR="003754FE" w:rsidRDefault="003754FE" w:rsidP="003754FE">
      <w:pPr>
        <w:pStyle w:val="TextoNormal"/>
      </w:pPr>
      <w:r>
        <w:lastRenderedPageBreak/>
        <w:t>-El señor Rodríguez Román participó en varias modificaciones presupuestarias que afectaban al programa 22 E a pesar de que, según la sentencia de instancia, en esas fechas el señor Rodríguez Román ya conocía, por las observaciones realizadas por la intervención general al proyecto de decreto para cambiar el régimen jurídico de las ayudas sociolaborales, que el IFA no podía intervenir como entidad colaboradora. Dichas modificaciones son las siguientes:</w:t>
      </w:r>
    </w:p>
    <w:p w14:paraId="55EBA8BC" w14:textId="77777777" w:rsidR="003754FE" w:rsidRDefault="003754FE" w:rsidP="003754FE">
      <w:pPr>
        <w:pStyle w:val="TextoNormal"/>
      </w:pPr>
    </w:p>
    <w:p w14:paraId="7108D71C" w14:textId="77777777" w:rsidR="003754FE" w:rsidRDefault="003754FE" w:rsidP="003754FE">
      <w:pPr>
        <w:pStyle w:val="TextoNormal"/>
      </w:pPr>
      <w:r>
        <w:t>(i) en la sesión de 12 de septiembre de 2001 el señor Rodríguez Román asistió a la Comisión General de viceconsejeros en la que se acordó elevar al Consejo de Gobierno la modificación presupuestaria finalmente aprobada el 18 de septiembre de 2001 por importe de 1 225 000 000 pesetas;</w:t>
      </w:r>
    </w:p>
    <w:p w14:paraId="2DFC276A" w14:textId="77777777" w:rsidR="003754FE" w:rsidRDefault="003754FE" w:rsidP="003754FE">
      <w:pPr>
        <w:pStyle w:val="TextoNormal"/>
      </w:pPr>
    </w:p>
    <w:p w14:paraId="157135E2" w14:textId="77777777" w:rsidR="003754FE" w:rsidRDefault="003754FE" w:rsidP="003754FE">
      <w:pPr>
        <w:pStyle w:val="TextoNormal"/>
      </w:pPr>
      <w:r>
        <w:t>(ii) en la sesión de 7 de noviembre de 2001 el señor Rodríguez Román asistió a la Comisión General de viceconsejeros en la que se acordó elevar al Consejo de Gobierno la modificación presupuestaria finalmente aprobada el 13 de noviembre de 2001 por importe de 660 000 000 de pesetas;</w:t>
      </w:r>
    </w:p>
    <w:p w14:paraId="584CB84F" w14:textId="77777777" w:rsidR="003754FE" w:rsidRDefault="003754FE" w:rsidP="003754FE">
      <w:pPr>
        <w:pStyle w:val="TextoNormal"/>
      </w:pPr>
    </w:p>
    <w:p w14:paraId="72E50617" w14:textId="77777777" w:rsidR="003754FE" w:rsidRDefault="003754FE" w:rsidP="003754FE">
      <w:pPr>
        <w:pStyle w:val="TextoNormal"/>
      </w:pPr>
      <w:r>
        <w:t>-El señor Rodríguez Román participó en una modificación presupuestaria del programa 32H. En la Comisión General de Viceconsejeros de 9 de diciembre de 2004 se acordó elevar al Consejo de Gobierno la modificación presupuestaria finalmente aprobada por este último órgano mediante la cual se incrementaba en 2 994 876 € el programa 32H “Servicio Andaluz de Empleo”, a pesar de que los fines de este eran ajenos a la concesión de ayudas sociolaborales.</w:t>
      </w:r>
    </w:p>
    <w:p w14:paraId="22DD8703" w14:textId="77777777" w:rsidR="003754FE" w:rsidRDefault="003754FE" w:rsidP="003754FE">
      <w:pPr>
        <w:pStyle w:val="TextoNormal"/>
      </w:pPr>
    </w:p>
    <w:p w14:paraId="24580134" w14:textId="77777777" w:rsidR="003754FE" w:rsidRDefault="003754FE" w:rsidP="003754FE">
      <w:pPr>
        <w:pStyle w:val="TextoNormal"/>
      </w:pPr>
      <w:r>
        <w:t>-El señor Rodríguez Román participó también en la modificación presupuestaria del programa 31L. Así, en la Comisión General de Viceconsejeros en su sesión de 9 de octubre de 2002 se acordó elevar al Consejo de Gobierno modificaciones presupuestarias por importe de 9 944 099 € a la aplicación presupuestaria 440.00.31L. Dicha modificación presupuestaria fue aprobada por el Consejo de Gobierno el 15 de octubre de 2002.</w:t>
      </w:r>
    </w:p>
    <w:p w14:paraId="41B3E1AB" w14:textId="77777777" w:rsidR="003754FE" w:rsidRDefault="003754FE" w:rsidP="003754FE">
      <w:pPr>
        <w:pStyle w:val="TextoNormal"/>
      </w:pPr>
    </w:p>
    <w:p w14:paraId="5E15FD19" w14:textId="77777777" w:rsidR="003754FE" w:rsidRDefault="003754FE" w:rsidP="003754FE">
      <w:pPr>
        <w:pStyle w:val="TextoNormal"/>
      </w:pPr>
      <w:r>
        <w:t>b) En su calidad de viceconsejero de Innovación y miembro del consejo rector de IDEA ha sido condenado por los siguientes hechos y omisiones:</w:t>
      </w:r>
    </w:p>
    <w:p w14:paraId="443313A6" w14:textId="77777777" w:rsidR="003754FE" w:rsidRDefault="003754FE" w:rsidP="003754FE">
      <w:pPr>
        <w:pStyle w:val="TextoNormal"/>
      </w:pPr>
    </w:p>
    <w:p w14:paraId="5CE037B4" w14:textId="77777777" w:rsidR="003754FE" w:rsidRDefault="003754FE" w:rsidP="003754FE">
      <w:pPr>
        <w:pStyle w:val="TextoNormal"/>
      </w:pPr>
      <w:r>
        <w:t>-El señor Rodríguez Román, en el ejercicio de sus competencias de viceconsejero de Innovación, Ciencia y Empresa y con conocimiento de los incumplimientos en la gestión presupuestaria de las ayudas tramitadas por el IFA en materia sociolaboral, intervino en la tramitación de los anteproyectos de presupuestos de Andalucía para los años 2005, 2006, 2007 y 2008, dotando de fondos al programa 31L.</w:t>
      </w:r>
    </w:p>
    <w:p w14:paraId="63A74F83" w14:textId="77777777" w:rsidR="003754FE" w:rsidRDefault="003754FE" w:rsidP="003754FE">
      <w:pPr>
        <w:pStyle w:val="TextoNormal"/>
      </w:pPr>
    </w:p>
    <w:p w14:paraId="6BE101A7" w14:textId="77777777" w:rsidR="003754FE" w:rsidRDefault="003754FE" w:rsidP="003754FE">
      <w:pPr>
        <w:pStyle w:val="TextoNormal"/>
      </w:pPr>
      <w:r>
        <w:t>-El señor Rodríguez Román participó en las siguientes modificaciones presupuestarias del programa 31L:</w:t>
      </w:r>
    </w:p>
    <w:p w14:paraId="2D3234CB" w14:textId="77777777" w:rsidR="003754FE" w:rsidRDefault="003754FE" w:rsidP="003754FE">
      <w:pPr>
        <w:pStyle w:val="TextoNormal"/>
      </w:pPr>
    </w:p>
    <w:p w14:paraId="62D32615" w14:textId="77777777" w:rsidR="003754FE" w:rsidRDefault="003754FE" w:rsidP="003754FE">
      <w:pPr>
        <w:pStyle w:val="TextoNormal"/>
      </w:pPr>
      <w:r>
        <w:t>(i) Modificación presupuestaria aprobada por el Consejo de Gobierno el 7 de diciembre de 2005 mediante la que se incrementó el programa 31L. El señor Rodríguez Román participó en la Comisión General de Viceconsejeros de 30 de noviembre de 2005 en la que se acordó elevar dicha modificación al Consejo de Gobierno.</w:t>
      </w:r>
    </w:p>
    <w:p w14:paraId="24C4A496" w14:textId="77777777" w:rsidR="003754FE" w:rsidRDefault="003754FE" w:rsidP="003754FE">
      <w:pPr>
        <w:pStyle w:val="TextoNormal"/>
      </w:pPr>
    </w:p>
    <w:p w14:paraId="4ABA4577" w14:textId="77777777" w:rsidR="003754FE" w:rsidRDefault="003754FE" w:rsidP="003754FE">
      <w:pPr>
        <w:pStyle w:val="TextoNormal"/>
      </w:pPr>
      <w:r>
        <w:lastRenderedPageBreak/>
        <w:t>(ii) Modificación presupuestaria por importe de 9 300 000 € aprobada por el Consejo de Gobierno el 7 de noviembre de 2006 mediante la que se incrementó el programa 31L. El señor Rodríguez Román participó en la Comisión General de viceconsejeros de 31 de octubre de 2006 en la que se acordó elevar dicha modificación al Consejo de Gobierno.</w:t>
      </w:r>
    </w:p>
    <w:p w14:paraId="2D665AF9" w14:textId="77777777" w:rsidR="003754FE" w:rsidRDefault="003754FE" w:rsidP="003754FE">
      <w:pPr>
        <w:pStyle w:val="TextoNormal"/>
      </w:pPr>
    </w:p>
    <w:p w14:paraId="4883FE23" w14:textId="77777777" w:rsidR="003754FE" w:rsidRDefault="003754FE" w:rsidP="003754FE">
      <w:pPr>
        <w:pStyle w:val="TextoNormal"/>
      </w:pPr>
      <w:r>
        <w:t>(iii) Modificación presupuestaria por importe de 7 448 503,44 € aprobada por el Consejo de Gobierno el 27 de noviembre de 2007 mediante la que se incrementó el programa 31L. El señor Rodríguez Román participó en la Comisión General de Viceconsejeros de 21 de noviembre de 2007 en la que se acordó elevar dicha modificación al Consejo de Gobierno.</w:t>
      </w:r>
    </w:p>
    <w:p w14:paraId="02119A6C" w14:textId="77777777" w:rsidR="003754FE" w:rsidRDefault="003754FE" w:rsidP="003754FE">
      <w:pPr>
        <w:pStyle w:val="TextoNormal"/>
      </w:pPr>
    </w:p>
    <w:p w14:paraId="6F850E37" w14:textId="77777777" w:rsidR="003754FE" w:rsidRDefault="003754FE" w:rsidP="003754FE">
      <w:pPr>
        <w:pStyle w:val="TextoNormal"/>
      </w:pPr>
      <w:r>
        <w:t>(iv) Se afirma expresamente en la sentencia de instancia que el señor Rodríguez Román no acudió a la sesión de la Comisión General de Viceconsejeros de 17 de diciembre de 2008 en la que se acordó elevar al Consejo de Gobierno modificaciones presupuestarias que este aprobó el 22 de diciembre de 2008.</w:t>
      </w:r>
    </w:p>
    <w:p w14:paraId="52386A00" w14:textId="77777777" w:rsidR="003754FE" w:rsidRDefault="003754FE" w:rsidP="003754FE">
      <w:pPr>
        <w:pStyle w:val="TextoNormal"/>
      </w:pPr>
    </w:p>
    <w:p w14:paraId="4A94095D" w14:textId="77777777" w:rsidR="003754FE" w:rsidRDefault="003754FE" w:rsidP="003754FE">
      <w:pPr>
        <w:pStyle w:val="TextoNormal"/>
      </w:pPr>
      <w:r>
        <w:t>- El señor Rodríguez Román tuvo responsabilidades en el IFA/IDEA desde el 19 de marzo de 2005 hasta el 1 de abril de 2010 en su condición de viceconsejero de Innovación, Ciencia y Empresa. Estuvo presente en las reuniones de su consejo rector por lo que tuvo conocimiento de que las transferencias de financiación recibidas lo eran para el pago de las subvenciones concedidas por la Dirección General de Trabajo. Además, no hizo nada para impedir la firma de convenios particulares a pesar de que en su calidad de miembro de dicho consejo rector fue informado de la firma de cincuenta y tres de esta clase de convenios.</w:t>
      </w:r>
    </w:p>
    <w:p w14:paraId="7B541BCA" w14:textId="77777777" w:rsidR="003754FE" w:rsidRDefault="003754FE" w:rsidP="003754FE">
      <w:pPr>
        <w:pStyle w:val="TextoNormal"/>
      </w:pPr>
    </w:p>
    <w:p w14:paraId="2A5DB64C" w14:textId="75A78BF7" w:rsidR="003754FE" w:rsidRDefault="003754FE" w:rsidP="003754FE">
      <w:pPr>
        <w:pStyle w:val="TextoNormal"/>
      </w:pPr>
      <w:r>
        <w:t>Mediante todas estas actuaciones, el señor Rodríguez Román asumió la eventualidad de que los fondos vinculados al programa 31L fueran objeto de disposición con fines ajenos al fin público al que estaban destinados. El señor Rodríguez Román no hizo nada por cambiar dicho sistema a pesar de conocer su ilegalidad.</w:t>
      </w:r>
    </w:p>
    <w:p w14:paraId="30747716" w14:textId="77777777" w:rsidR="003754FE" w:rsidRDefault="003754FE" w:rsidP="003754FE">
      <w:pPr>
        <w:pStyle w:val="TextoNormal"/>
      </w:pPr>
    </w:p>
    <w:p w14:paraId="2CBD7BDA" w14:textId="77777777" w:rsidR="003754FE" w:rsidRDefault="003754FE" w:rsidP="003754FE">
      <w:pPr>
        <w:pStyle w:val="TextoNormal"/>
      </w:pPr>
      <w:r w:rsidRPr="003754FE">
        <w:rPr>
          <w:rStyle w:val="NumeroAFNegritaCaracter"/>
        </w:rPr>
        <w:t>3</w:t>
      </w:r>
      <w:r>
        <w:t xml:space="preserve">. </w:t>
      </w:r>
      <w:r w:rsidRPr="003754FE">
        <w:rPr>
          <w:i/>
        </w:rPr>
        <w:t>Doctrina constitucional sobre el derecho a la legalidad penal (art. 25.1 CE)</w:t>
      </w:r>
    </w:p>
    <w:p w14:paraId="067F8838" w14:textId="77777777" w:rsidR="003754FE" w:rsidRDefault="003754FE" w:rsidP="003754FE">
      <w:pPr>
        <w:pStyle w:val="TextoNormal"/>
      </w:pPr>
    </w:p>
    <w:p w14:paraId="1E1FF4E1" w14:textId="77777777" w:rsidR="003754FE" w:rsidRDefault="003754FE" w:rsidP="003754FE">
      <w:pPr>
        <w:pStyle w:val="TextoNormal"/>
      </w:pPr>
      <w:r>
        <w:t>El enjuiciamiento de la vulneración del art. 25.1 CE exige tener presente la doctrina de este tribunal sobre el derecho a la legalidad penal que consagra, expuesta recientemente, por ejemplo, en las SSTC 14/2021, de 28 de enero, FJ 2; 25/2022, de 23 de febrero, FJ 7.2; 47/2022, de 24 de marzo, FJ 8.2.1; 54/2023, de 22 de mayo, FJ 3, y 8/2024, de 16 de enero, FJ 6, haciendo hincapié en la prohibición de interpretaciones y aplicaciones irrazonables de las normas penales.</w:t>
      </w:r>
    </w:p>
    <w:p w14:paraId="2C27DEF6" w14:textId="77777777" w:rsidR="003754FE" w:rsidRDefault="003754FE" w:rsidP="003754FE">
      <w:pPr>
        <w:pStyle w:val="TextoNormal"/>
      </w:pPr>
    </w:p>
    <w:p w14:paraId="19555F40" w14:textId="77777777" w:rsidR="003754FE" w:rsidRDefault="003754FE" w:rsidP="003754FE">
      <w:pPr>
        <w:pStyle w:val="TextoNormal"/>
      </w:pPr>
      <w:r>
        <w:t>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(art. 25.1 CE) (SSTC 137/1997, de 21 de julio, FJ 6; 151/1997, de 29 de septiembre, FJ 3; 232/1997, de 16 de diciembre, FJ 2, y 162/1999, de 27 de septiembre, FJ 5).</w:t>
      </w:r>
    </w:p>
    <w:p w14:paraId="102CBA5E" w14:textId="77777777" w:rsidR="003754FE" w:rsidRDefault="003754FE" w:rsidP="003754FE">
      <w:pPr>
        <w:pStyle w:val="TextoNormal"/>
      </w:pPr>
    </w:p>
    <w:p w14:paraId="5C3CD79D" w14:textId="77777777" w:rsidR="003754FE" w:rsidRDefault="003754FE" w:rsidP="003754FE">
      <w:pPr>
        <w:pStyle w:val="TextoNormal"/>
      </w:pPr>
      <w:r>
        <w:lastRenderedPageBreak/>
        <w:t xml:space="preserve">En numerosas resoluciones (desde la STC 150/1989, de 25 de septiembre, FJ 6, hasta la STC 54/2023, de 22 de mayo, FJ 3, y, entre ellas, muchas intermedias), el Tribunal ha puesto de relieve que el derecho reconocido en el art. 25.1 CE es una concreción de diversos aspectos del Estado de Derecho en el ámbito del Derecho estatal sancionador y tiene un fundamento plural. Se vincula, ante todo, con el imperio de la ley como presupuesto de la actuación del Estado sobre los bienes jurídicos de los ciudadanos y con el derecho de los ciudadanos a la seguridad jurídica y a una previsibilidad de las consecuencias jurídicas de los propios actos que garantice un ámbito de libertad de actuación en niveles constitucionalmente admisibles. Ese fundamento determina el contenido </w:t>
      </w:r>
      <w:r w:rsidRPr="003754FE">
        <w:rPr>
          <w:i/>
        </w:rPr>
        <w:t>iusfundamental</w:t>
      </w:r>
      <w:r>
        <w:t xml:space="preserve"> del derecho a la legalidad penal, integrado por los diversos aspectos enunciados con el brocardo </w:t>
      </w:r>
      <w:r w:rsidRPr="003754FE">
        <w:rPr>
          <w:i/>
        </w:rPr>
        <w:t>nullum crimen, nulla poena sine praevia lege scripta, certa et stricta</w:t>
      </w:r>
      <w:r>
        <w:t xml:space="preserve"> (en distintas formulaciones, entre muchas, SSTC 133/1987, de 21 de julio, FJ 4; 127/1990, de 5 de julio, FJ 3; 111/1993, de 25 de marzo, FJ 6; 53/1994, de 24 de febrero, FJ 4; 137/1997, de 21 de julio, FJ 6; 151/1997, de 29 de septiembre, FJ 3; 232/1997, de 16 de diciembre, FJ 2; 75/2002, de 8 de abril, FJ 4; 234/2007, de 5 de noviembre, FJ 3, y 14/2021, de 28 de enero, FJ 2).</w:t>
      </w:r>
    </w:p>
    <w:p w14:paraId="1E2206AB" w14:textId="77777777" w:rsidR="003754FE" w:rsidRDefault="003754FE" w:rsidP="003754FE">
      <w:pPr>
        <w:pStyle w:val="TextoNormal"/>
      </w:pPr>
    </w:p>
    <w:p w14:paraId="702931D9" w14:textId="77777777" w:rsidR="003754FE" w:rsidRDefault="003754FE" w:rsidP="003754FE">
      <w:pPr>
        <w:pStyle w:val="TextoNormal"/>
      </w:pPr>
      <w:r>
        <w:t>b) La primera garantía que contiene el principio de legalidad es la garantía formal, que impone una reserva de ley absoluta (STC 15/1981, de 7 de mayo, FJ 7) para definir delitos y para amenazarlos con penas, quedando así acotadas las fuentes del Derecho en materia penal [SSTC 142/1999, de 22 de julio,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w:t>
      </w:r>
      <w:r w:rsidRPr="003754FE">
        <w:rPr>
          <w:i/>
        </w:rPr>
        <w:t>lex praevia</w:t>
      </w:r>
      <w:r>
        <w:t>) que permitan predecir con el suficiente grado de certeza (</w:t>
      </w:r>
      <w:r w:rsidRPr="003754FE">
        <w:rPr>
          <w:i/>
        </w:rPr>
        <w:t>lex certa</w:t>
      </w:r>
      <w:r>
        <w:t>) dichas conductas, y se sepa a qué atenerse en cuanto a la aneja responsabilidad y a la eventual sanción” (SSTC 25/2004, de 26 de febrero, FJ 4; 218/2005, de 12 de septiembre, FJ 2; 297/2005, de 21 de noviembre, FJ 6, y 283/2006, de 9 de octubre, FJ 5).</w:t>
      </w:r>
    </w:p>
    <w:p w14:paraId="42D1AC80" w14:textId="77777777" w:rsidR="003754FE" w:rsidRDefault="003754FE" w:rsidP="003754FE">
      <w:pPr>
        <w:pStyle w:val="TextoNormal"/>
      </w:pPr>
    </w:p>
    <w:p w14:paraId="43635925" w14:textId="77777777" w:rsidR="003754FE" w:rsidRDefault="003754FE" w:rsidP="003754FE">
      <w:pPr>
        <w:pStyle w:val="TextoNormal"/>
      </w:pPr>
      <w:r>
        <w:t>c) En particular, la previsibilidad de las consecuencias de la propia conducta se puede eludir tanto por un legislador como por un juzgador que actúen desconociendo el sentido de garantía de la ley penal, bien por la formulación vaga e imprecisa de la misma, bien con su aplicación a supuestos no comprendidos en ella (SSTC 142/1999, de 22 de julio, FJ 3, y 24/2004, de 24 de febrero,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w:t>
      </w:r>
      <w:r w:rsidRPr="003754FE">
        <w:rPr>
          <w:i/>
        </w:rPr>
        <w:t>lex certa</w:t>
      </w:r>
      <w:r>
        <w:t>), para que los ciudadanos puedan conocer de antemano el ámbito de lo proscrito y prever las consecuencias de sus acciones (SSTC 242/2005, de 10 de octubre, FJ 2; 283/2006, de 9 de octubre, FJ 5; 162/2008, de 15 de diciembre, FJ 1; 81/2009, de 23 de marzo, FJ 4; 135/2010, de 2 de diciembre, FJ 4, y 9/2018, de 5 de febrero, FJ 6). Los jueces y tribunales, por su parte, están sometidos al principio de tipicidad (</w:t>
      </w:r>
      <w:r w:rsidRPr="003754FE">
        <w:rPr>
          <w:i/>
        </w:rPr>
        <w:t>lex stricta</w:t>
      </w:r>
      <w:r>
        <w:t>) en su labor de aplicación de las leyes, que implica una sujeción estricta a la ley penal y el veto a la exégesis y aplicación de las normas penales fuera de los supuestos y de los límites que determinan.</w:t>
      </w:r>
    </w:p>
    <w:p w14:paraId="569F3520" w14:textId="77777777" w:rsidR="003754FE" w:rsidRDefault="003754FE" w:rsidP="003754FE">
      <w:pPr>
        <w:pStyle w:val="TextoNormal"/>
      </w:pPr>
    </w:p>
    <w:p w14:paraId="17694A10" w14:textId="77777777" w:rsidR="003754FE" w:rsidRDefault="003754FE" w:rsidP="003754FE">
      <w:pPr>
        <w:pStyle w:val="TextoNormal"/>
      </w:pPr>
      <w:r>
        <w:t xml:space="preserve">d) En la determinación negativa de la previsibilidad y, con ello, de los límites de una aplicación de las normas penales conforme con el art. 25.1 CE, es doctrina reiterada de este </w:t>
      </w:r>
      <w:r>
        <w:lastRenderedPageBreak/>
        <w:t xml:space="preserve">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 La analogía </w:t>
      </w:r>
      <w:r w:rsidRPr="003754FE">
        <w:rPr>
          <w:i/>
        </w:rPr>
        <w:t>in malam partem</w:t>
      </w:r>
      <w:r>
        <w:t xml:space="preserve">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de 17 de marzo, FJ 4; 170/2002, de 30 de septiembre, FJ 12; 229/2003, de 18 de diciembre, FJ 6, y 229/2007, de 5 de noviembre, FJ 4).</w:t>
      </w:r>
    </w:p>
    <w:p w14:paraId="02322511" w14:textId="77777777" w:rsidR="003754FE" w:rsidRDefault="003754FE" w:rsidP="003754FE">
      <w:pPr>
        <w:pStyle w:val="TextoNormal"/>
      </w:pPr>
    </w:p>
    <w:p w14:paraId="466CC17C" w14:textId="77777777" w:rsidR="003754FE" w:rsidRDefault="003754FE" w:rsidP="003754FE">
      <w:pPr>
        <w:pStyle w:val="TextoNormal"/>
      </w:pPr>
      <w:r>
        <w:t xml:space="preserve">e) El examen de la razonabilidad de la subsunción de los hechos probados en la norma penal tiene como primer criterio el respeto al tenor literal de la norma, y la consiguiente prohibición de la analogía </w:t>
      </w:r>
      <w:r w:rsidRPr="003754FE">
        <w:rPr>
          <w:i/>
        </w:rPr>
        <w:t>in malam partem</w:t>
      </w:r>
      <w:r>
        <w:t>. El tenor literal del enunciado normativo marca en todo caso una zona indudable de exclusión de comportamientos (STC 137/1997, de 21 de julio,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de 27 de octubre,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y 262/2006, de 11 de septiembre, FJ 4).</w:t>
      </w:r>
    </w:p>
    <w:p w14:paraId="353E7018" w14:textId="77777777" w:rsidR="003754FE" w:rsidRDefault="003754FE" w:rsidP="003754FE">
      <w:pPr>
        <w:pStyle w:val="TextoNormal"/>
      </w:pPr>
    </w:p>
    <w:p w14:paraId="244ACEC5" w14:textId="28DD0C08" w:rsidR="003754FE" w:rsidRDefault="003754FE" w:rsidP="003754FE">
      <w:pPr>
        <w:pStyle w:val="TextoNormal"/>
      </w:pPr>
      <w: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w:t>
      </w:r>
      <w:r>
        <w:lastRenderedPageBreak/>
        <w:t xml:space="preserve">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w:t>
      </w:r>
      <w:r w:rsidRPr="003754FE">
        <w:rPr>
          <w:i/>
        </w:rPr>
        <w:t>per se</w:t>
      </w:r>
      <w:r>
        <w:t xml:space="preserve"> nos es ajena y solo podrá ser tomada en cuenta en la medida en que incida en la irrazonabilidad de la interpretación judicial impugnada” (STC 129/2008, FJ 3).</w:t>
      </w:r>
    </w:p>
    <w:p w14:paraId="3B9C70EE" w14:textId="77777777" w:rsidR="003754FE" w:rsidRDefault="003754FE" w:rsidP="003754FE">
      <w:pPr>
        <w:pStyle w:val="TextoNormal"/>
      </w:pPr>
    </w:p>
    <w:p w14:paraId="0A514A40" w14:textId="77777777" w:rsidR="003754FE" w:rsidRDefault="003754FE" w:rsidP="003754FE">
      <w:pPr>
        <w:pStyle w:val="TextoNormal"/>
      </w:pPr>
      <w:r w:rsidRPr="003754FE">
        <w:rPr>
          <w:rStyle w:val="NumeroAFNegritaCaracter"/>
        </w:rPr>
        <w:t>4</w:t>
      </w:r>
      <w:r>
        <w:t xml:space="preserve">. </w:t>
      </w:r>
      <w:r w:rsidRPr="003754FE">
        <w:rPr>
          <w:i/>
        </w:rPr>
        <w:t>Vulneración del derecho a la legalidad penal (art. 25.1 CE) derivada de la condena por el delito de prevaricación del art. 404 CP</w:t>
      </w:r>
    </w:p>
    <w:p w14:paraId="1536E74C" w14:textId="77777777" w:rsidR="003754FE" w:rsidRDefault="003754FE" w:rsidP="003754FE">
      <w:pPr>
        <w:pStyle w:val="TextoNormal"/>
      </w:pPr>
    </w:p>
    <w:p w14:paraId="1025D490" w14:textId="77777777" w:rsidR="003754FE" w:rsidRDefault="003754FE" w:rsidP="003754FE">
      <w:pPr>
        <w:pStyle w:val="TextoNormal"/>
      </w:pPr>
      <w:r>
        <w:t xml:space="preserve">4.1. </w:t>
      </w:r>
      <w:r w:rsidRPr="003754FE">
        <w:rPr>
          <w:i/>
        </w:rPr>
        <w:t>Exposición de la queja del recurrente y de las posiciones de las partes personadas</w:t>
      </w:r>
    </w:p>
    <w:p w14:paraId="56C1BAA3" w14:textId="77777777" w:rsidR="003754FE" w:rsidRDefault="003754FE" w:rsidP="003754FE">
      <w:pPr>
        <w:pStyle w:val="TextoNormal"/>
      </w:pPr>
    </w:p>
    <w:p w14:paraId="305ACED7" w14:textId="77777777" w:rsidR="003754FE" w:rsidRDefault="003754FE" w:rsidP="003754FE">
      <w:pPr>
        <w:pStyle w:val="TextoNormal"/>
      </w:pPr>
      <w:r>
        <w:t>(i) Alegaciones del recurrente relativas a la lesión del art. 25.1 CE</w:t>
      </w:r>
    </w:p>
    <w:p w14:paraId="5D2A8F96" w14:textId="77777777" w:rsidR="003754FE" w:rsidRDefault="003754FE" w:rsidP="003754FE">
      <w:pPr>
        <w:pStyle w:val="TextoNormal"/>
      </w:pPr>
    </w:p>
    <w:p w14:paraId="4D0B49D8" w14:textId="77777777" w:rsidR="003754FE" w:rsidRDefault="003754FE" w:rsidP="003754FE">
      <w:pPr>
        <w:pStyle w:val="TextoNormal"/>
      </w:pPr>
      <w:r>
        <w:t xml:space="preserve">Como ya se ha expuesto, el demandante en amparo fue condenado como autor de un delito de prevaricación en concurso medial con un delito de malversación. El recurrente considera que las resoluciones judiciales impugnadas han vulnerado el derecho fundamental a la legalidad penal (art. 25.1 CE). Aduce que este derecho fundamental ha sido lesionado porque las sentencias impugnadas han efectuado una interpretación extensiva e </w:t>
      </w:r>
      <w:r w:rsidRPr="003754FE">
        <w:rPr>
          <w:i/>
        </w:rPr>
        <w:t>in malam partem</w:t>
      </w:r>
      <w:r>
        <w:t xml:space="preserve"> del elemento objetivo del delito de prevaricación del art. 404 CP al no existir, en el caso enjuiciado, una “resolución en asunto administrativo”. Alega que la elaboración de los anteproyectos de ley y su posterior aprobación por el Consejo de Gobierno son actos de gobierno que, según la doctrina constitucional y la jurisprudencia de la Sala de lo Contencioso-Administrativo del Tribunal Supremo, carecen de sustantividad propia y no producen efectos jurídicos fuera del puro ámbito parlamentario. Por ello, considera que tales actos han de quedar fuera del control judicial del art. 106.2 CE, lo que impide que puedan subsumirse en el tipo de prevaricación. Asimismo, el recurrente afirma que el resultado de la interpretación extensiva en la que incurren las resoluciones impugnadas lleva a los órganos judiciales a afirmar la existencia de leyes “que cobijan dentro de sí alguna o algunas normas ‘ilegales’ derivadas de un supuesto quebranto normativo sufrido durante la fase prelegislativa”. Según la demanda estas afirmaciones constituyen una aporía toda vez que, aprobada una ley por el Parlamento, esta despliega todos sus efectos sin que pueda calificarse de “ilegal” su contenido. El recurrente afirma que lo que puede valorarse en todo caso es la constitucionalidad de la ley.</w:t>
      </w:r>
    </w:p>
    <w:p w14:paraId="78DCA549" w14:textId="77777777" w:rsidR="003754FE" w:rsidRDefault="003754FE" w:rsidP="003754FE">
      <w:pPr>
        <w:pStyle w:val="TextoNormal"/>
      </w:pPr>
    </w:p>
    <w:p w14:paraId="0F716572" w14:textId="77777777" w:rsidR="003754FE" w:rsidRDefault="003754FE" w:rsidP="003754FE">
      <w:pPr>
        <w:pStyle w:val="TextoNormal"/>
      </w:pPr>
      <w:r>
        <w:t>Por lo que se refiere a las modificaciones presupuestarias aprobadas por el Consejo de Gobierno, el recurrente alega que todas ellas tuvieron la finalidad establecida por las leyes que desde el año 2002 han previsto en sus estados de gastos una partida —la 31L— para el pago de ayudas sociolaborales concedidas por la Dirección General de Trabajo y Seguridad Social de la Consejería de Empleo y de cuyo pago se encargaba el IFA/IDEA.</w:t>
      </w:r>
    </w:p>
    <w:p w14:paraId="1169E71A" w14:textId="77777777" w:rsidR="003754FE" w:rsidRDefault="003754FE" w:rsidP="003754FE">
      <w:pPr>
        <w:pStyle w:val="TextoNormal"/>
      </w:pPr>
    </w:p>
    <w:p w14:paraId="13330F38" w14:textId="77777777" w:rsidR="003754FE" w:rsidRDefault="003754FE" w:rsidP="003754FE">
      <w:pPr>
        <w:pStyle w:val="TextoNormal"/>
      </w:pPr>
      <w:r>
        <w:t>(ii) Exposición de lo alegado por las partes personadas en relación con la queja referida a la lesión del art. 25.1 CE</w:t>
      </w:r>
    </w:p>
    <w:p w14:paraId="0B57D5B8" w14:textId="77777777" w:rsidR="003754FE" w:rsidRDefault="003754FE" w:rsidP="003754FE">
      <w:pPr>
        <w:pStyle w:val="TextoNormal"/>
      </w:pPr>
    </w:p>
    <w:p w14:paraId="3BFEA554" w14:textId="77777777" w:rsidR="003754FE" w:rsidRDefault="003754FE" w:rsidP="003754FE">
      <w:pPr>
        <w:pStyle w:val="TextoNormal"/>
      </w:pPr>
      <w:r>
        <w:t xml:space="preserve">El Partido Popular considera que las sentencias de instancia y casación han fundamentado la condena por delito de prevaricación efectuando una aplicación razonada y razonable </w:t>
      </w:r>
      <w:r>
        <w:lastRenderedPageBreak/>
        <w:t>del art. 404 CP. Alega que la interpretación efectuada se apoya en nuestra tradición legal y en criterios hermenéuticos que son acordes con el orden constitucional. Se afirma en el escrito de alegaciones que el recurrente ha sido condenado no solo por aprobar los proyectos de ley de presupuestos sino también por haber realizado otros actos en la gestión de las ayudas.</w:t>
      </w:r>
    </w:p>
    <w:p w14:paraId="6D518D67" w14:textId="77777777" w:rsidR="003754FE" w:rsidRDefault="003754FE" w:rsidP="003754FE">
      <w:pPr>
        <w:pStyle w:val="TextoNormal"/>
      </w:pPr>
    </w:p>
    <w:p w14:paraId="6EE8932B" w14:textId="77777777" w:rsidR="003754FE" w:rsidRDefault="003754FE" w:rsidP="003754FE">
      <w:pPr>
        <w:pStyle w:val="TextoNormal"/>
      </w:pPr>
      <w:r>
        <w:t>Don Gaspar Zarrías Arévalo, doña Carmen Martínez Aguayo y don Francisco Vallejo Serrano, que se han personado en este proceso constitucional, se adhieren a este motivo del recurso. El señor Vallejo Serrano alega que la aprobación de un proyecto de ley, en cuanto iniciativa legislativa del Consejo de Gobierno, es una actuación recaída en asunto político que no puede subsumirse en el concepto de “asunto administrativo” del art. 404 CP. Asimismo, considera también que la noción de “ley ilegal” o de “ilegalidades dentro de la ley” es una “aporía” y que vistas “las leyes de presupuestos en sus estados de gastos (actividades y objetivos de la partida 31L) y en sus memorias […], no puede afirmarse que el Parlamento no sabía lo que aprobaba, o que el Parlamento fuera inducido a error, que es la base del razonamiento que sostiene el castigo por prevaricación”.</w:t>
      </w:r>
    </w:p>
    <w:p w14:paraId="4A2AA824" w14:textId="77777777" w:rsidR="003754FE" w:rsidRDefault="003754FE" w:rsidP="003754FE">
      <w:pPr>
        <w:pStyle w:val="TextoNormal"/>
      </w:pPr>
    </w:p>
    <w:p w14:paraId="436341AB" w14:textId="77777777" w:rsidR="003754FE" w:rsidRDefault="003754FE" w:rsidP="003754FE">
      <w:pPr>
        <w:pStyle w:val="TextoNormal"/>
      </w:pPr>
      <w:r>
        <w:t>El Ministerio Fiscal sostiene que el análisis formal de la argumentación desplegada por el Tribunal Supremo no permite concluir que la consideración como “resolución dictada en asunto administrativo del acto de aprobación de un anteproyecto de ley y su remisión como proyecto al Parlamento encaje dentro del margen de previsibilidad de la interpretación y aplicación de la norma penal”, como exigencia inherente al derecho a la legalidad penal (art. 25.1 CE). El fiscal también aprecia que el Tribunal Supremo incurre en una “contradicción lógica insalvable” al disociar el control de la legalidad del acto de aprobación y remisión al Parlamento de un proyecto de ley (lo que no sería jurídicamente viable) y el enjuiciamiento penal de sus autores (ámbito en el que, según la sentencia de casación, sí sería posible valorar, con el fin de evitar una impunidad contraria al principio de igualdad). A juicio del fiscal, en el caso que se analiza, no puede disociarse el control de legalidad de los actos dictados y el enjuiciamiento penal de la conducta de sus autores, pues considera que el delito de prevaricación contiene “elementos objetivos sustanciales”, como “la injusticia y la arbitrariedad”, que exigen un control de la legalidad de los actos dictados.</w:t>
      </w:r>
    </w:p>
    <w:p w14:paraId="5C3236DE" w14:textId="77777777" w:rsidR="003754FE" w:rsidRDefault="003754FE" w:rsidP="003754FE">
      <w:pPr>
        <w:pStyle w:val="TextoNormal"/>
      </w:pPr>
    </w:p>
    <w:p w14:paraId="4557A36E" w14:textId="77777777" w:rsidR="003754FE" w:rsidRDefault="003754FE" w:rsidP="003754FE">
      <w:pPr>
        <w:pStyle w:val="TextoNormal"/>
      </w:pPr>
      <w:r>
        <w:t>El fiscal entiende que el Tribunal Supremo, al fundamentar la intervención de la jurisdicción penal en la evitación de situaciones de impunidad, omite cualquier valoración sobre la importancia que la autonomía del Parlamento y la división de poderes tienen en nuestro orden constitucional. Considera que el razonamiento de las sentencias impugnadas, al no efectuar un tratamiento constitucional de este conflicto de legitimidades, carece de un soporte axiológico conforme a los valores de la Constitución. Por todo ello, sostiene que las sentencias recurridas, al haber atribuido la naturaleza de “resolución en asunto administrativo”, a efectos de condenar por delito de prevaricación, a los acuerdos del Consejo de Gobierno de la Junta de Andalucía que aprobaron los anteproyectos de ley de presupuestos de la comunidad autónoma y acordaron su remisión al Parlamento de Andalucía como proyectos de ley, han vulnerado el derecho del recurrente a la legalidad penal.</w:t>
      </w:r>
    </w:p>
    <w:p w14:paraId="118BE6AA" w14:textId="77777777" w:rsidR="003754FE" w:rsidRDefault="003754FE" w:rsidP="003754FE">
      <w:pPr>
        <w:pStyle w:val="TextoNormal"/>
      </w:pPr>
    </w:p>
    <w:p w14:paraId="5E2D9ADF" w14:textId="77777777" w:rsidR="003754FE" w:rsidRDefault="003754FE" w:rsidP="003754FE">
      <w:pPr>
        <w:pStyle w:val="TextoNormal"/>
      </w:pPr>
      <w:r>
        <w:t xml:space="preserve">El fiscal concluye sus alegaciones respecto de la prevaricación analizando si la vulneración del art. 25.1 CE, que entiende materializada en relación con los anteproyectos de leyes de presupuestos, ha de extenderse también a la aprobación de las modificaciones presupuestarias. En su opinión, tanto la sentencia de instancia como la casacional no incurren en </w:t>
      </w:r>
      <w:r>
        <w:lastRenderedPageBreak/>
        <w:t>vulneración del art. 25.1 CE por calificar estas actuaciones como actos de naturaleza administrativa. Según el fiscal en un marco legal regido por el principio de jerarquía normativa no puede sostenerse que la previsión explícita de una modificación presupuestaria a cargo del Gobierno o de uno de sus miembros pueda identificarse como una especie de mecanismo de autorreforma operado mediante una variedad de delegación tácita o de atribución de potestad legislativa al Ejecutivo que carece de todo soporte constitucional o estatutario. A su juicio, el que el Gobierno pueda modificar el contenido de un crédito o transferirlo a otro, con arreglo a las exclusiones o excepciones previstas en la ley, no convierte esa modificación del crédito en ley, sino que, simplemente, constituye una aplicación de la ley. Por todo ello, afirma que la consideración como “resolución en asunto administrativo”, a efectos de condenar por delito de prevaricación, de los acuerdos del Consejo de Gobierno de la Junta de Andalucía relativos a la aprobación de determinadas modificaciones presupuestarias de los programas 22E y 31L, no vulnera el derecho a la legalidad penal (art. 25.1 CE).</w:t>
      </w:r>
    </w:p>
    <w:p w14:paraId="5CA24EB6" w14:textId="77777777" w:rsidR="003754FE" w:rsidRDefault="003754FE" w:rsidP="003754FE">
      <w:pPr>
        <w:pStyle w:val="TextoNormal"/>
      </w:pPr>
    </w:p>
    <w:p w14:paraId="2DC310EB" w14:textId="77777777" w:rsidR="003754FE" w:rsidRDefault="003754FE" w:rsidP="003754FE">
      <w:pPr>
        <w:pStyle w:val="TextoNormal"/>
      </w:pPr>
      <w:r>
        <w:t xml:space="preserve">4.2. </w:t>
      </w:r>
      <w:r w:rsidRPr="003754FE">
        <w:rPr>
          <w:i/>
        </w:rPr>
        <w:t>Síntesis de los argumentos en los que las resoluciones judiciales fundamentan la condena del recurrente</w:t>
      </w:r>
    </w:p>
    <w:p w14:paraId="7F0E6607" w14:textId="77777777" w:rsidR="003754FE" w:rsidRDefault="003754FE" w:rsidP="003754FE">
      <w:pPr>
        <w:pStyle w:val="TextoNormal"/>
      </w:pPr>
    </w:p>
    <w:p w14:paraId="02530BB5" w14:textId="77777777" w:rsidR="003754FE" w:rsidRDefault="003754FE" w:rsidP="003754FE">
      <w:pPr>
        <w:pStyle w:val="TextoNormal"/>
      </w:pPr>
      <w:r>
        <w:t>El Tribunal Supremo rechaza el motivo por el que el recurrente adujo que las aprobaciones de los anteproyectos de leyes de presupuestos no pueden ser calificadas como resolución administrativa a efectos penales porque carecen de eficacia ejecutiva y deben ser objeto de posterior aprobación parlamentaria. El recurrente también alegó que las modificaciones presupuestarias no forman parte de un proceso administrativo al ser actos de gobierno no sometidos a control jurisdiccional.</w:t>
      </w:r>
    </w:p>
    <w:p w14:paraId="36D79036" w14:textId="77777777" w:rsidR="003754FE" w:rsidRDefault="003754FE" w:rsidP="003754FE">
      <w:pPr>
        <w:pStyle w:val="TextoNormal"/>
      </w:pPr>
    </w:p>
    <w:p w14:paraId="23F4C3A8" w14:textId="77777777" w:rsidR="003754FE" w:rsidRDefault="003754FE" w:rsidP="003754FE">
      <w:pPr>
        <w:pStyle w:val="TextoNormal"/>
      </w:pPr>
      <w:r>
        <w:t>Lo hace por las razones expuestas en los fundamentos jurídicos vigésimo a vigesimosegundo y vigesimosexto, destinados a la resolución de lo que denomina “cuestiones generales”. En estos fundamentos se sostiene, resumidamente expuesto, que:</w:t>
      </w:r>
    </w:p>
    <w:p w14:paraId="03524763" w14:textId="77777777" w:rsidR="003754FE" w:rsidRDefault="003754FE" w:rsidP="003754FE">
      <w:pPr>
        <w:pStyle w:val="TextoNormal"/>
      </w:pPr>
    </w:p>
    <w:p w14:paraId="0F09A057" w14:textId="77777777" w:rsidR="003754FE" w:rsidRDefault="003754FE" w:rsidP="003754FE">
      <w:pPr>
        <w:pStyle w:val="TextoNormal"/>
      </w:pPr>
      <w:r>
        <w:t>(i) La Sala de lo Penal del Tribunal Supremo rechaza las alegaciones del recurrente en las que, basándose en la jurisprudencia constitucional y en la de la Sala de lo Contencioso-Administrativo del Tribunal Supremo, sostiene que no puede considerarse resolución recaída en un asunto administrativo a las actuaciones llevadas a cabo con ocasión de la elaboración de un anteproyecto ni a su aprobación como proyecto de ley. La Sala de lo Penal afirma que esta cuestión debe tener otro enfoque “cuando se trata de determinar qué deb[e] entenderse por asunto administrativo a efectos penales”. Sostiene que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[concluye la Sala] posibilitaría un ámbito de inmunidad difícilmente justificable” (fundamento de Derecho 20.3, págs. 238-239).</w:t>
      </w:r>
    </w:p>
    <w:p w14:paraId="0E9C4683" w14:textId="77777777" w:rsidR="003754FE" w:rsidRDefault="003754FE" w:rsidP="003754FE">
      <w:pPr>
        <w:pStyle w:val="TextoNormal"/>
      </w:pPr>
    </w:p>
    <w:p w14:paraId="1C58B1EA" w14:textId="77777777" w:rsidR="003754FE" w:rsidRDefault="003754FE" w:rsidP="003754FE">
      <w:pPr>
        <w:pStyle w:val="TextoNormal"/>
      </w:pPr>
      <w:r>
        <w:t>(ii) La sentencia de la Sala de lo Penal afirma que “los procedimientos reglados que culminan en la decisión de elevar un proyecto de ley al Gobierno no son actos propiamente legislativos, sino actos de gobierno que, por ser reglados, pueden ser el contexto objetivo para la comisión de un delito de prevaricación” (fundamento 20.3, pág. 239).</w:t>
      </w:r>
    </w:p>
    <w:p w14:paraId="6068569E" w14:textId="77777777" w:rsidR="003754FE" w:rsidRDefault="003754FE" w:rsidP="003754FE">
      <w:pPr>
        <w:pStyle w:val="TextoNormal"/>
      </w:pPr>
    </w:p>
    <w:p w14:paraId="108202C1" w14:textId="77777777" w:rsidR="003754FE" w:rsidRDefault="003754FE" w:rsidP="003754FE">
      <w:pPr>
        <w:pStyle w:val="TextoNormal"/>
      </w:pPr>
      <w:r>
        <w:lastRenderedPageBreak/>
        <w:t>(iii) También considera que “lo que se debe determinar en este caso no es si las resoluciones adoptadas en el proceso prelegislativo son susceptibles de control por la jurisdicción contencioso-administrativa, cuestión que es ajena a la jurisdicción penal, sino si esas resoluciones pueden cumplir con las exigencias típicas del artículo 404 CP, que es algo sustancialmente diferente” (fundamento de Derecho 21.2, pág. 245).</w:t>
      </w:r>
    </w:p>
    <w:p w14:paraId="1766BC26" w14:textId="77777777" w:rsidR="003754FE" w:rsidRDefault="003754FE" w:rsidP="003754FE">
      <w:pPr>
        <w:pStyle w:val="TextoNormal"/>
      </w:pPr>
    </w:p>
    <w:p w14:paraId="1CF8829A" w14:textId="77777777" w:rsidR="003754FE" w:rsidRDefault="003754FE" w:rsidP="003754FE">
      <w:pPr>
        <w:pStyle w:val="TextoNormal"/>
      </w:pPr>
      <w:r>
        <w:t>(iv) La sentencia de la Sala de lo Penal, a los efectos de determinar si concurren los elementos típicos del delito de prevaricación distingue, por una parte, “entre la decisión de elevar un proyecto de ley al Gobierno así como el contenido del proyecto normativo, en cuanto incorpora decisiones sujetas a criterios de oportunidad y discrecionalidad, que es un acto de gobierno inmune al control jurisdiccional” y, por otra,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[se afirma en la sentencia impugnada] que la ley imponga unas reglas en la elaboración del proyecto de ley o de una norma con fuerza de ley y que esas reglas imperativas puedan ser desconocidas sin consecuencias, cuando lo pretendido sea violar de forma patente y arbitraria la ley” (fundamento de Derecho 21.2, pág. 246).</w:t>
      </w:r>
    </w:p>
    <w:p w14:paraId="7C53D72E" w14:textId="77777777" w:rsidR="003754FE" w:rsidRDefault="003754FE" w:rsidP="003754FE">
      <w:pPr>
        <w:pStyle w:val="TextoNormal"/>
      </w:pPr>
    </w:p>
    <w:p w14:paraId="26479704" w14:textId="77777777" w:rsidR="003754FE" w:rsidRDefault="003754FE" w:rsidP="003754FE">
      <w:pPr>
        <w:pStyle w:val="TextoNormal"/>
      </w:pPr>
      <w:r>
        <w:t>(v) Las consideraciones expuestas llevan al Tribunal Supremo a concluir que “las resoluciones dictadas relativas a este segundo contenido [las adoptadas en la elaboración del anteproyecto y proyecto de ley] no son actos de gobierno inmunes al control de la jurisdicción penal, sino ‘resoluciones en asunto administrativo’, a los efectos del artículo 404 del Código penal” (fundamento de Derecho 21.2, pág. 246).</w:t>
      </w:r>
    </w:p>
    <w:p w14:paraId="7E367681" w14:textId="77777777" w:rsidR="003754FE" w:rsidRDefault="003754FE" w:rsidP="003754FE">
      <w:pPr>
        <w:pStyle w:val="TextoNormal"/>
      </w:pPr>
    </w:p>
    <w:p w14:paraId="564DDC9D" w14:textId="77777777" w:rsidR="003754FE" w:rsidRDefault="003754FE" w:rsidP="003754FE">
      <w:pPr>
        <w:pStyle w:val="TextoNormal"/>
      </w:pPr>
      <w:r>
        <w:t>(vi) Con invocación de sus propios precedentes, la Sala concluye “que el concepto de resolución al que alude el artículo 404 CP no se reduce a la decisión que pone fin a un procedimiento administrativo, sino que puede extenderse a actuaciones posteriores que ejecutan la resolución y actuaciones anteriores de relevancia que hayan sido imprescindibles para adoptar la resolución final quebrantando los controles establecidos en la ley” (fundamento 22).</w:t>
      </w:r>
    </w:p>
    <w:p w14:paraId="4385D8C4" w14:textId="77777777" w:rsidR="003754FE" w:rsidRDefault="003754FE" w:rsidP="003754FE">
      <w:pPr>
        <w:pStyle w:val="TextoNormal"/>
      </w:pPr>
    </w:p>
    <w:p w14:paraId="20060827" w14:textId="77777777" w:rsidR="003754FE" w:rsidRDefault="003754FE" w:rsidP="003754FE">
      <w:pPr>
        <w:pStyle w:val="TextoNormal"/>
      </w:pPr>
      <w:r>
        <w:t>(vii) Las consideraciones expuestas llevan al Tribunal Supremo a afirmar que la elaboración de un anteproyecto de ley, su aprobación como proyecto, así como el proceso de elaboración y aprobación de una modificación presupuestaria pueden ser calificadas como resolución en asunto administrativo en el sentido del art. 404 CP.</w:t>
      </w:r>
    </w:p>
    <w:p w14:paraId="449DD64A" w14:textId="77777777" w:rsidR="003754FE" w:rsidRDefault="003754FE" w:rsidP="003754FE">
      <w:pPr>
        <w:pStyle w:val="TextoNormal"/>
      </w:pPr>
    </w:p>
    <w:p w14:paraId="140F023B" w14:textId="77777777" w:rsidR="003754FE" w:rsidRDefault="003754FE" w:rsidP="003754FE">
      <w:pPr>
        <w:pStyle w:val="TextoNormal"/>
      </w:pPr>
      <w:r>
        <w:t xml:space="preserve">4.3. </w:t>
      </w:r>
      <w:r w:rsidRPr="003754FE">
        <w:rPr>
          <w:i/>
        </w:rPr>
        <w:t>Características de nuestra democracia constitucional y parlamentaria</w:t>
      </w:r>
    </w:p>
    <w:p w14:paraId="79CF4D23" w14:textId="77777777" w:rsidR="003754FE" w:rsidRDefault="003754FE" w:rsidP="003754FE">
      <w:pPr>
        <w:pStyle w:val="TextoNormal"/>
      </w:pPr>
    </w:p>
    <w:p w14:paraId="5D7BF7FF" w14:textId="77777777" w:rsidR="003754FE" w:rsidRDefault="003754FE" w:rsidP="003754FE">
      <w:pPr>
        <w:pStyle w:val="TextoNormal"/>
      </w:pPr>
      <w:r>
        <w:t xml:space="preserve">Una vez reseñados los razonamientos de la sentencia, antes de analizar si la interpretación que de la norma aplicada efectúan las resoluciones impugnadas es lesiva del art. 25.1 CE, es preciso recordar cuáles son los elementos esenciales en los que se basa nuestro sistema constitucional, toda vez que el fundamento de la condena parte de una determinada comprensión de las relaciones entre el Ejecutivo autonómico y su Parlamento que trasciende del ámbito de la legalidad y se adentra en el plano de la constitucionalidad. Esta cuestión es de gran relevancia en este caso dado que el Tribunal apreció la especial trascendencia del </w:t>
      </w:r>
      <w:r>
        <w:lastRenderedPageBreak/>
        <w:t>recurso [art. 50.1 b) LOTC] por considerar que las cuestiones en él planteadas afectan a la esencia de las relaciones institucionales entre los poderes que conforman el Estado. En el ATC 292 /2023, de 5 de junio, FJ único, se afirma que, uno de los motivos por los que este recurso tiene especial trascendencia constitucional es porque “plantea un problema o afecta a una faceta de un derecho fundamental sobre el que no hay doctrina de este tribunal [STC 155/2009, de 25 de junio,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Es a este tribunal al que corresponde en último término la interpretación de las cuestiones que se plantean en este recurso, al ser inherentes a la configuración propia del Estado constitucional.</w:t>
      </w:r>
    </w:p>
    <w:p w14:paraId="4673D0B7" w14:textId="77777777" w:rsidR="003754FE" w:rsidRDefault="003754FE" w:rsidP="003754FE">
      <w:pPr>
        <w:pStyle w:val="TextoNormal"/>
      </w:pPr>
    </w:p>
    <w:p w14:paraId="059C4772" w14:textId="77777777" w:rsidR="003754FE" w:rsidRDefault="003754FE" w:rsidP="003754FE">
      <w:pPr>
        <w:pStyle w:val="TextoNormal"/>
      </w:pPr>
      <w:r>
        <w:t>A) Por todo ello, la resolución del presente recurso de amparo exige partir de las consecuencias que se derivan de que nuestra forma de Estado sea una democracia constitucional y parlamentaria. Esta cuestión ha sido analizada en la STC 93/2024, de 19 de junio, FJ 4.3, por lo que ahora se va a exponer sucintamente la doctrina en ella contenida, con remisión a lo que en la referida sentencia se establece.</w:t>
      </w:r>
    </w:p>
    <w:p w14:paraId="2392AF33" w14:textId="77777777" w:rsidR="003754FE" w:rsidRDefault="003754FE" w:rsidP="003754FE">
      <w:pPr>
        <w:pStyle w:val="TextoNormal"/>
      </w:pPr>
    </w:p>
    <w:p w14:paraId="41946EE3" w14:textId="77777777" w:rsidR="003754FE" w:rsidRDefault="003754FE" w:rsidP="003754FE">
      <w:pPr>
        <w:pStyle w:val="TextoNormal"/>
      </w:pPr>
      <w:r>
        <w:t>a) La centralidad del Parlamento, el carácter privilegiado de la ley y el monopolio de control de su constitucionalidad por el Tribunal Constitucional definen nuestro sistema constitucional.</w:t>
      </w:r>
    </w:p>
    <w:p w14:paraId="16185766" w14:textId="77777777" w:rsidR="003754FE" w:rsidRDefault="003754FE" w:rsidP="003754FE">
      <w:pPr>
        <w:pStyle w:val="TextoNormal"/>
      </w:pPr>
    </w:p>
    <w:p w14:paraId="1874CCB0" w14:textId="77777777" w:rsidR="003754FE" w:rsidRDefault="003754FE" w:rsidP="003754FE">
      <w:pPr>
        <w:pStyle w:val="TextoNormal"/>
      </w:pPr>
      <w:r>
        <w:t>b) Nuestra Constitución ha acogido la forma de gobierno parlamentaria. Ha delimitado, por una parte, las funciones del Parlamento (título III), por otra, las del Gobierno (título IV) y ha regulado y dedicado su título V a establecer las relaciones entre ambos poderes. La función de control del Gobierno que desempeñan los parlamentos (art. 66.2 CE) es inherente a su carácter representativo y a la forma de gobierno parlamentaria que se establece en el art. 1.3 CE. Solo de este modo se garantiza el equilibrio entre estos poderes previsto en nuestra norma fundamental.</w:t>
      </w:r>
    </w:p>
    <w:p w14:paraId="6A1728A8" w14:textId="77777777" w:rsidR="003754FE" w:rsidRDefault="003754FE" w:rsidP="003754FE">
      <w:pPr>
        <w:pStyle w:val="TextoNormal"/>
      </w:pPr>
    </w:p>
    <w:p w14:paraId="44823552" w14:textId="77777777" w:rsidR="003754FE" w:rsidRDefault="003754FE" w:rsidP="003754FE">
      <w:pPr>
        <w:pStyle w:val="TextoNormal"/>
      </w:pPr>
      <w:r>
        <w:t>c) La Constitución no define en qué consiste esta forma de control al Gobierno, pero una interpretación sistemática y teleológica ha llevado al Tribunal a entender que este control no se limita a los instrumentos que prevé su título V, sino que incluye también el que se ejerce a través de la función legislativa y, dentro de esta, de la función presupuestaria, al permitir el debate público y, de este modo, el conocimiento de los ciudadanos de la actuación del Gobierno.</w:t>
      </w:r>
    </w:p>
    <w:p w14:paraId="2425EE0D" w14:textId="77777777" w:rsidR="003754FE" w:rsidRDefault="003754FE" w:rsidP="003754FE">
      <w:pPr>
        <w:pStyle w:val="TextoNormal"/>
      </w:pPr>
    </w:p>
    <w:p w14:paraId="46A368C3" w14:textId="77777777" w:rsidR="003754FE" w:rsidRDefault="003754FE" w:rsidP="003754FE">
      <w:pPr>
        <w:pStyle w:val="TextoNormal"/>
      </w:pPr>
      <w:r>
        <w:t xml:space="preserve">d) Uno de los modos de ejercer la función de </w:t>
      </w:r>
      <w:r w:rsidRPr="003754FE">
        <w:rPr>
          <w:i/>
        </w:rPr>
        <w:t>indirizzo politico</w:t>
      </w:r>
      <w:r>
        <w:t xml:space="preserve"> (orientación política) que constitucionalmente corresponde al Gobierno es el ejercicio de la iniciativa legislativa (art. 87.1 CE) y, a los efectos que ahora interesan, es especialmente relevante la iniciativa legislativa en materia presupuestaria que corresponde en exclusiva al Gobierno (art. 134.1 CE).</w:t>
      </w:r>
    </w:p>
    <w:p w14:paraId="6B5DE94D" w14:textId="77777777" w:rsidR="003754FE" w:rsidRDefault="003754FE" w:rsidP="003754FE">
      <w:pPr>
        <w:pStyle w:val="TextoNormal"/>
      </w:pPr>
    </w:p>
    <w:p w14:paraId="1E31E271" w14:textId="77777777" w:rsidR="003754FE" w:rsidRDefault="003754FE" w:rsidP="003754FE">
      <w:pPr>
        <w:pStyle w:val="TextoNormal"/>
      </w:pPr>
      <w:r>
        <w:t xml:space="preserve">e) La ley de presupuestos no es únicamente un conjunto de previsiones contables. También es un vehículo de dirección y orientación de la política económica que corresponde al Gobierno. Es, además, una “verdadera ley, considerando así superada la cuestión de su carácter formal o material” [STC 76/1992, de 14 de mayo, FJ 4 a)]. “[L]os presupuestos —en </w:t>
      </w:r>
      <w:r>
        <w:lastRenderedPageBreak/>
        <w:t xml:space="preserve">el sentido estricto de previsiones de ingresos y habilitaciones de gastos— y el articulado de la ley que los aprueba integran un todo, cuyo contenido adquiere fuerza de ley [STC 76/1992, de 14 de mayo, FJ 4 a), que cita a su vez la STC 63/1986, de 21 de mayo, FJ 5]”. A través del debate parlamentario del proyecto de ley de presupuestos se fiscaliza el conjunto de la actividad financiera pública para ese ejercicio, se aprueba o se rechaza el programa político, económico y social del Gobierno que los presenta y se controla que la asignación de los recursos públicos sea equitativa. “Precisamente para que dicha función pueda ser realizada, al margen de un posible contenido eventual o disponible, la ley de presupuestos tiene un contenido constitucionalmente determinado que se concreta en la previsión de ingresos y la autorización de gastos, debiendo esta última extenderse tanto al </w:t>
      </w:r>
      <w:r w:rsidRPr="003754FE">
        <w:rPr>
          <w:i/>
        </w:rPr>
        <w:t>quantum</w:t>
      </w:r>
      <w:r>
        <w:t xml:space="preserve"> como a su destino” (STC 3/2003, de 16 de enero, FJ 7).</w:t>
      </w:r>
    </w:p>
    <w:p w14:paraId="03F501B3" w14:textId="77777777" w:rsidR="003754FE" w:rsidRDefault="003754FE" w:rsidP="003754FE">
      <w:pPr>
        <w:pStyle w:val="TextoNormal"/>
      </w:pPr>
    </w:p>
    <w:p w14:paraId="71FB89CA" w14:textId="77777777" w:rsidR="003754FE" w:rsidRDefault="003754FE" w:rsidP="003754FE">
      <w:pPr>
        <w:pStyle w:val="TextoNormal"/>
      </w:pPr>
      <w:r>
        <w:t>f) Del carácter central que la Constitución otorga al Parlamento deriva la posición privilegiada de la ley que conlleva su presunción de legitimidad constitucional y que determina 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161.1 CE) o cuando la ley sea preconstitucional. A diferencia de las normas infralegales, que sí pueden ser inaplicadas [art. 6 de la Ley Orgánica del Poder Judicial (LOPJ)] o, en su caso, declaradas nulas por los órganos judiciales para garantizar la primacía constitucional, cuando se trata de normas con rango de ley solo el Tribunal Constitucional tiene el monopolio de expulsarlas del ordenamiento jurídic</w:t>
      </w:r>
      <w:r w:rsidRPr="003754FE">
        <w:rPr>
          <w:i/>
        </w:rPr>
        <w:t>o erga omn</w:t>
      </w:r>
      <w:r>
        <w:t>es.</w:t>
      </w:r>
    </w:p>
    <w:p w14:paraId="4EF3B74B" w14:textId="77777777" w:rsidR="003754FE" w:rsidRDefault="003754FE" w:rsidP="003754FE">
      <w:pPr>
        <w:pStyle w:val="TextoNormal"/>
      </w:pPr>
    </w:p>
    <w:p w14:paraId="160755BD" w14:textId="77777777" w:rsidR="003754FE" w:rsidRDefault="003754FE" w:rsidP="003754FE">
      <w:pPr>
        <w:pStyle w:val="TextoNormal"/>
      </w:pPr>
      <w:r>
        <w:t>B) Para la resolución de este recurso de amparo es importante también analizar la naturaleza jurídica de los anteproyectos y proyectos de ley, pues, el ahora recurrente ha sido condenado por incurrir en un delito de prevaricación en concurso medial con el de malversación por participar, entre otras actuaciones, en la tramitación, en su condición de viceconsejero de Innovación, de los anteproyectos de las leyes de presupuestos para los años 2005, 2006, 2007 y 2008.</w:t>
      </w:r>
    </w:p>
    <w:p w14:paraId="321D8758" w14:textId="77777777" w:rsidR="003754FE" w:rsidRDefault="003754FE" w:rsidP="003754FE">
      <w:pPr>
        <w:pStyle w:val="TextoNormal"/>
      </w:pPr>
    </w:p>
    <w:p w14:paraId="536562AE" w14:textId="77777777" w:rsidR="003754FE" w:rsidRDefault="003754FE" w:rsidP="003754FE">
      <w:pPr>
        <w:pStyle w:val="TextoNormal"/>
      </w:pPr>
      <w:r>
        <w:t>a) En la STC 93/2024 y en la jurisprudencia allí citada el Tribunal ha establecido que los anteproyectos y proyectos de ley no puedan ser objeto de control jurídico.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 (ATC 135/2004, de 20 de abril, FJ 6).</w:t>
      </w:r>
    </w:p>
    <w:p w14:paraId="30C235FE" w14:textId="77777777" w:rsidR="003754FE" w:rsidRDefault="003754FE" w:rsidP="003754FE">
      <w:pPr>
        <w:pStyle w:val="TextoNormal"/>
      </w:pPr>
    </w:p>
    <w:p w14:paraId="19095802" w14:textId="77777777" w:rsidR="003754FE" w:rsidRDefault="003754FE" w:rsidP="003754FE">
      <w:pPr>
        <w:pStyle w:val="TextoNormal"/>
      </w:pPr>
      <w:r>
        <w:t xml:space="preserve">b) La iniciativa legislativa es el cauce institucionalizado para la modificación de las leyes y normas con rango de ley preexistentes. Por ello, como con detalle se expone en la STC 93/2024, FJ 4.3.4, “el proyecto [de ley] cuyo contenido contraviene la normativa existente mientras que es proyecto no puede someterse a un juicio de legalidad —en ese momento es un acto inexistente para el Derecho— y, una vez que se ha aprobado, al haberse convertido </w:t>
      </w:r>
      <w:r>
        <w:lastRenderedPageBreak/>
        <w:t xml:space="preserve">en ley, el único juicio que cabe es el de constitucionalidad. Este juicio solo puede efectuarse respecto de la ley aprobada, no respecto de los actos que conforman su procedimiento de elaboración, que nunca tienen eficacia </w:t>
      </w:r>
      <w:r w:rsidRPr="003754FE">
        <w:rPr>
          <w:i/>
        </w:rPr>
        <w:t>ad extra</w:t>
      </w:r>
      <w:r>
        <w:t xml:space="preserve"> y, como meros actos de trámite, una vez dictado el acto final, esto es, la ley, carecen de autonomía respecto de ella”.</w:t>
      </w:r>
    </w:p>
    <w:p w14:paraId="1751A411" w14:textId="77777777" w:rsidR="003754FE" w:rsidRDefault="003754FE" w:rsidP="003754FE">
      <w:pPr>
        <w:pStyle w:val="TextoNormal"/>
      </w:pPr>
    </w:p>
    <w:p w14:paraId="01685887" w14:textId="77777777" w:rsidR="003754FE" w:rsidRDefault="003754FE" w:rsidP="003754FE">
      <w:pPr>
        <w:pStyle w:val="TextoNormal"/>
      </w:pPr>
      <w:r>
        <w:t>c) Resulta, por tanto, que “el contenido del anteproyecto o del proyecto, en tanto tales, es infiscalizable y no puede ejercerse más control que el político” (STC 93/2024, que cita a su vez el ATC 135/2004, de 20 de abril, FJ 6).</w:t>
      </w:r>
    </w:p>
    <w:p w14:paraId="2697FF40" w14:textId="77777777" w:rsidR="003754FE" w:rsidRDefault="003754FE" w:rsidP="003754FE">
      <w:pPr>
        <w:pStyle w:val="TextoNormal"/>
      </w:pPr>
    </w:p>
    <w:p w14:paraId="14554FF3" w14:textId="77777777" w:rsidR="003754FE" w:rsidRDefault="003754FE" w:rsidP="003754FE">
      <w:pPr>
        <w:pStyle w:val="TextoNormal"/>
      </w:pPr>
      <w:r>
        <w:t>C) “El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por un ámbito material, sino también por la forma en que han de relacionarse entre ellos. Cuando un poder del Estado se extralimita en el ejercicio de sus atribuciones se infringe el principio de separación de poderes y se altera el diseño institucional constitucionalmente previsto” (STC 93/2024, FJ 4.3.5).</w:t>
      </w:r>
    </w:p>
    <w:p w14:paraId="299D4DC9" w14:textId="77777777" w:rsidR="003754FE" w:rsidRDefault="003754FE" w:rsidP="003754FE">
      <w:pPr>
        <w:pStyle w:val="TextoNormal"/>
      </w:pPr>
    </w:p>
    <w:p w14:paraId="1BE3175F" w14:textId="77777777" w:rsidR="003754FE" w:rsidRDefault="003754FE" w:rsidP="003754FE">
      <w:pPr>
        <w:pStyle w:val="TextoNormal"/>
      </w:pPr>
      <w:r>
        <w:t>4.4</w:t>
      </w:r>
      <w:r w:rsidRPr="003754FE">
        <w:rPr>
          <w:i/>
        </w:rPr>
        <w:t>. Enjuiciamiento de la que</w:t>
      </w:r>
      <w:r>
        <w:t>ja</w:t>
      </w:r>
    </w:p>
    <w:p w14:paraId="2D60F3AF" w14:textId="77777777" w:rsidR="003754FE" w:rsidRDefault="003754FE" w:rsidP="003754FE">
      <w:pPr>
        <w:pStyle w:val="TextoNormal"/>
      </w:pPr>
    </w:p>
    <w:p w14:paraId="463EB9BC" w14:textId="77777777" w:rsidR="003754FE" w:rsidRDefault="003754FE" w:rsidP="003754FE">
      <w:pPr>
        <w:pStyle w:val="TextoNormal"/>
      </w:pPr>
      <w:r>
        <w:t>Una vez expuestos los fundamentos de la condena del recurrente por el delito de prevaricación, así como los rasgos esenciales de nuestra democracia constitucional y parlamentaria —cuestión sobre la que, como se acaba de indicar, se efectúa una mera síntesis de lo establecido por el Tribunal en la STC 93/2024, FJ 4.3— se van a enjuiciar a continuación las quejas aducidas por el demandante.</w:t>
      </w:r>
    </w:p>
    <w:p w14:paraId="0CAE9F85" w14:textId="77777777" w:rsidR="003754FE" w:rsidRDefault="003754FE" w:rsidP="003754FE">
      <w:pPr>
        <w:pStyle w:val="TextoNormal"/>
      </w:pPr>
    </w:p>
    <w:p w14:paraId="5BF875B4" w14:textId="77777777" w:rsidR="003754FE" w:rsidRDefault="003754FE" w:rsidP="003754FE">
      <w:pPr>
        <w:pStyle w:val="TextoNormal"/>
      </w:pPr>
      <w:r>
        <w:t>Para ello, han de distinguirse los diferentes hechos por los que ha sido condenado: (A) haber intervenido en la elaboración de los anteproyectos de leyes de presupuestos de Andalucía para los ejercicios de 2005 a 2008; (B) haber participado en modificaciones presupuestarias referidas a distintas partidas (en concreto la núm. 481.00) y programas (22E, 32H y 31L) durante los años 2000 a 2007, en su condición de consejero de Justicia o de Innovación y (C) Tener conocimiento de la existencia de cincuenta y tres convenios particulares y no haber evitado su firma.</w:t>
      </w:r>
    </w:p>
    <w:p w14:paraId="51936A42" w14:textId="77777777" w:rsidR="003754FE" w:rsidRDefault="003754FE" w:rsidP="003754FE">
      <w:pPr>
        <w:pStyle w:val="TextoNormal"/>
      </w:pPr>
    </w:p>
    <w:p w14:paraId="117751FD" w14:textId="77777777" w:rsidR="003754FE" w:rsidRDefault="003754FE" w:rsidP="003754FE">
      <w:pPr>
        <w:pStyle w:val="TextoNormal"/>
      </w:pPr>
      <w:r>
        <w:t>A) Participación en la elaboración de los anteproyectos de leyes de presupuestos de Andalucía para los ejercicios 2005 a 2008</w:t>
      </w:r>
    </w:p>
    <w:p w14:paraId="3B42B568" w14:textId="77777777" w:rsidR="003754FE" w:rsidRDefault="003754FE" w:rsidP="003754FE">
      <w:pPr>
        <w:pStyle w:val="TextoNormal"/>
      </w:pPr>
    </w:p>
    <w:p w14:paraId="52337E2C" w14:textId="77777777" w:rsidR="003754FE" w:rsidRDefault="003754FE" w:rsidP="003754FE">
      <w:pPr>
        <w:pStyle w:val="TextoNormal"/>
      </w:pPr>
      <w:r>
        <w:t>a) A efectos de apreciar si los órganos judiciales han realizado una interpretación extensiva de los elementos típicos del art. 404 CP y han vulnerado por ello el art. 25.1 CE, como alega el recurrente, es preciso examinar, en primer lugar, si la interpretación que las sentencias recurridas han realizado de los conceptos “resolución arbitraria en un asunto administrativo” (art. 404 CP) es o no lesiva del art. 25.1 CE. Para ello, es necesario atender a la naturaleza jurídica de los anteproyectos de ley.</w:t>
      </w:r>
    </w:p>
    <w:p w14:paraId="62F81C86" w14:textId="77777777" w:rsidR="003754FE" w:rsidRDefault="003754FE" w:rsidP="003754FE">
      <w:pPr>
        <w:pStyle w:val="TextoNormal"/>
      </w:pPr>
    </w:p>
    <w:p w14:paraId="745B8502" w14:textId="77777777" w:rsidR="003754FE" w:rsidRDefault="003754FE" w:rsidP="003754FE">
      <w:pPr>
        <w:pStyle w:val="TextoNormal"/>
      </w:pPr>
      <w:r>
        <w:t xml:space="preserve">De conformidad con lo dispuesto en la STC 93/2024, es claro “que las actuaciones realizadas cuando el Gobierno ejerce la iniciativa legislativa no pueden considerarse en modo alguno una actuación administrativa”, sino una “actividad propia de la función de gobierno en sentido estricto, pues es una prerrogativa que corresponde al Gobierno en virtud de su </w:t>
      </w:r>
      <w:r>
        <w:lastRenderedPageBreak/>
        <w:t>posición institucional, no a la organización a su servicio, que es la administración pública” [FJ 4.4.1 a)]. Como ya ha afirmado el Tribunal en la citada STC 93/2024, dichas actuaciones ni tienen el carácter de definitivas ni el hecho de que existan normas que disciplinen cómo han de elaborarse los proyectos de ley y su aprobación como proyecto de ley los convierte en actos reglados. De lo anterior se deduce “que el contenido de los anteproyectos y proyectos de ley no puede ser objeto de control por ningún órgano judicial.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[FJ 4.4.1 a)].</w:t>
      </w:r>
    </w:p>
    <w:p w14:paraId="112E3BA4" w14:textId="77777777" w:rsidR="003754FE" w:rsidRDefault="003754FE" w:rsidP="003754FE">
      <w:pPr>
        <w:pStyle w:val="TextoNormal"/>
      </w:pPr>
    </w:p>
    <w:p w14:paraId="2E6B70FE" w14:textId="77777777" w:rsidR="003754FE" w:rsidRDefault="003754FE" w:rsidP="003754FE">
      <w:pPr>
        <w:pStyle w:val="TextoNormal"/>
      </w:pPr>
      <w:r>
        <w:t>Las consideraciones que acaban de hacerse son incompatibles con las contenidas en las sentencias impugnadas en las que se sostiene que las actuaciones realizadas con ocasión de la elaboración de los anteproyectos de ley —las actuaciones prelegislativas, en terminología de las resoluciones impugnadas— han de calificarse como resoluciones recaídas en un asunto administrativo para apreciar que concurren los elementos típicos del delito de prevaricación (art. 404 CP).</w:t>
      </w:r>
    </w:p>
    <w:p w14:paraId="5A8E934C" w14:textId="77777777" w:rsidR="003754FE" w:rsidRDefault="003754FE" w:rsidP="003754FE">
      <w:pPr>
        <w:pStyle w:val="TextoNormal"/>
      </w:pPr>
    </w:p>
    <w:p w14:paraId="757497B5" w14:textId="77777777" w:rsidR="003754FE" w:rsidRDefault="003754FE" w:rsidP="003754FE">
      <w:pPr>
        <w:pStyle w:val="TextoNormal"/>
      </w:pPr>
      <w:r>
        <w:t>Por lo expuesto, no cabe considerar que las decisiones adoptadas en el procedimiento de elaboración de un anteproyecto de ley de presupuestos puedan ser calificadas como resoluciones recaídas en asunto administrativo. Al haberlo entendido así las sentencias recurridas han incurrido en una interpretación extravagante e imprevisible de los elementos típicos “resolución” y “asunto administrativo” que vulnera el derecho fundamental a la legalidad penal que garantiza el art. 25 CE.</w:t>
      </w:r>
    </w:p>
    <w:p w14:paraId="5ED8039E" w14:textId="77777777" w:rsidR="003754FE" w:rsidRDefault="003754FE" w:rsidP="003754FE">
      <w:pPr>
        <w:pStyle w:val="TextoNormal"/>
      </w:pPr>
    </w:p>
    <w:p w14:paraId="34F876C1" w14:textId="77777777" w:rsidR="003754FE" w:rsidRDefault="003754FE" w:rsidP="003754FE">
      <w:pPr>
        <w:pStyle w:val="TextoNormal"/>
      </w:pPr>
      <w:r>
        <w:t>b) Por otra parte, el recurrente ha alegado que, en contra de lo afirmado en las sentencias impugnadas, las leyes de presupuestos de Andalucía para los ejercicios 2002 a 2009 incluyeron un criterio de presupuestación, el contenido en el programa 31L, que desplegó plenos efectos jurídicos. Según el recurrente es una aporía sostener, como hacen las sentencias impugnadas, que dicha partida no desplegó tales efectos como consecuencia de su carácter ilegal por no ajustarse a lo previsto en otra ley.</w:t>
      </w:r>
    </w:p>
    <w:p w14:paraId="3E0DAAF5" w14:textId="77777777" w:rsidR="003754FE" w:rsidRDefault="003754FE" w:rsidP="003754FE">
      <w:pPr>
        <w:pStyle w:val="TextoNormal"/>
      </w:pPr>
    </w:p>
    <w:p w14:paraId="48FEB6DC" w14:textId="77777777" w:rsidR="003754FE" w:rsidRDefault="003754FE" w:rsidP="003754FE">
      <w:pPr>
        <w:pStyle w:val="TextoNormal"/>
      </w:pPr>
      <w:r>
        <w:t>En efecto, la forma de razonar de las sentencias recurridas, como ya se puso de relieve en la STC 93/2024, FJ 4.4.1 b) supone “privar de toda relevancia a la aprobación parlamentaria de la ley, lo que conlleva desconocer la centralidad del Parlamento andaluz en el entramado institucional diseñado estatutariamente”.</w:t>
      </w:r>
    </w:p>
    <w:p w14:paraId="6E525BF5" w14:textId="77777777" w:rsidR="003754FE" w:rsidRDefault="003754FE" w:rsidP="003754FE">
      <w:pPr>
        <w:pStyle w:val="TextoNormal"/>
      </w:pPr>
    </w:p>
    <w:p w14:paraId="589FE315" w14:textId="77777777" w:rsidR="003754FE" w:rsidRDefault="003754FE" w:rsidP="003754FE">
      <w:pPr>
        <w:pStyle w:val="TextoNormal"/>
      </w:pPr>
      <w:r>
        <w:t>De acuerdo con lo establecido en la STC 93/2024, FJ 4.4.1 b), “la ley de presupuestos generales es una ley que tiene la misma naturaleza normativa que el resto de las leyes. En la STC 76/1992, de 14 de mayo, FJ 4 a), el Tribunal afirmó que ‘se trata de una verdadera ley, considerando así superada la cuestión de su carácter formal o material’. Por ello, los jueces, que están sometidos al imperio de la ley (art. 117.1 CE), tienen el deber de respetarla cualquiera que sea el juicio que su contenido les merezca. Solo cuando consideran que es inconstitucional y que de su validez depende el fallo de un asunto deben plantear cuestión de inconstitucionalidad, pero fuera de este supuesto no podrán cuestionar sus determinaciones y, menos aún, no tomarla en consideración”.</w:t>
      </w:r>
    </w:p>
    <w:p w14:paraId="4DFC9EDA" w14:textId="77777777" w:rsidR="003754FE" w:rsidRDefault="003754FE" w:rsidP="003754FE">
      <w:pPr>
        <w:pStyle w:val="TextoNormal"/>
      </w:pPr>
    </w:p>
    <w:p w14:paraId="6BBDD91D" w14:textId="77777777" w:rsidR="003754FE" w:rsidRDefault="003754FE" w:rsidP="003754FE">
      <w:pPr>
        <w:pStyle w:val="TextoNormal"/>
      </w:pPr>
      <w:r>
        <w:lastRenderedPageBreak/>
        <w:t>Es indubitado que las leyes de presupuestos de Andalucía para los ejercicios 2002 al 2009, en su programa 31L, establecieron un sistema de atribución de fondos al IFA/IDEA (las transferencias de financiación) para la concesión de ayudas sociolaborales que, de acuerdo con lo establecido en sus memorias, habilitaban a la administración autonómica a conceder estas ayudas por tal vía.</w:t>
      </w:r>
    </w:p>
    <w:p w14:paraId="2B0CC5F2" w14:textId="77777777" w:rsidR="003754FE" w:rsidRDefault="003754FE" w:rsidP="003754FE">
      <w:pPr>
        <w:pStyle w:val="TextoNormal"/>
      </w:pPr>
    </w:p>
    <w:p w14:paraId="597600CC" w14:textId="77777777" w:rsidR="003754FE" w:rsidRDefault="003754FE" w:rsidP="003754FE">
      <w:pPr>
        <w:pStyle w:val="TextoNormal"/>
      </w:pPr>
      <w:r>
        <w:t>Las resoluciones impugnadas, al no reconocer que las leyes de presupuestos para los ejercicios 2002 al 2009 contienen una previsión —la establecida en el programa 31L— que dotaba de fondos al IFA/IDEA (las transferencias de financiación) para la concesión de ayudas sociolaborales que habilitaban a la administración autonómica a conceder estas ayudas por tal vía, han efectuado, también por este motivo, una interpretación absolutamente imprevisible del elemento típico arbitrariedad lesiva del art. 25.1 CE.</w:t>
      </w:r>
    </w:p>
    <w:p w14:paraId="4A7318F0" w14:textId="77777777" w:rsidR="003754FE" w:rsidRDefault="003754FE" w:rsidP="003754FE">
      <w:pPr>
        <w:pStyle w:val="TextoNormal"/>
      </w:pPr>
    </w:p>
    <w:p w14:paraId="50917721" w14:textId="77777777" w:rsidR="003754FE" w:rsidRDefault="003754FE" w:rsidP="003754FE">
      <w:pPr>
        <w:pStyle w:val="TextoNormal"/>
      </w:pPr>
      <w:r>
        <w:t>En suma, como ha afirmado el Tribunal en relación con esta misma cuestión en la STC 93/2024 y por las razones allí expuestas, ha de concluirse que la apreciación de los elementos típicos del art. 404 CP respecto de la elaboración y elevación al Consejo de Gobierno de los anteproyectos de leyes de presupuestos efectuada por las resoluciones impugnadas es contraria al art. 25.1 CE.</w:t>
      </w:r>
    </w:p>
    <w:p w14:paraId="07046B9A" w14:textId="77777777" w:rsidR="003754FE" w:rsidRDefault="003754FE" w:rsidP="003754FE">
      <w:pPr>
        <w:pStyle w:val="TextoNormal"/>
      </w:pPr>
    </w:p>
    <w:p w14:paraId="61F7C513" w14:textId="77777777" w:rsidR="003754FE" w:rsidRDefault="003754FE" w:rsidP="003754FE">
      <w:pPr>
        <w:pStyle w:val="TextoNormal"/>
      </w:pPr>
      <w:r>
        <w:t>B) Las modificaciones presupuestarias</w:t>
      </w:r>
    </w:p>
    <w:p w14:paraId="1C00AB1F" w14:textId="77777777" w:rsidR="003754FE" w:rsidRDefault="003754FE" w:rsidP="003754FE">
      <w:pPr>
        <w:pStyle w:val="TextoNormal"/>
      </w:pPr>
    </w:p>
    <w:p w14:paraId="1B446B8B" w14:textId="77777777" w:rsidR="003754FE" w:rsidRDefault="003754FE" w:rsidP="003754FE">
      <w:pPr>
        <w:pStyle w:val="TextoNormal"/>
      </w:pPr>
      <w:r>
        <w:t>Como ya se ha señalado en este mismo fundamento jurídico, apartado 4.1, el recurrente fue condenado como autor de un delito de prevaricación en concurso medial con un delito de malversación por haber aprobado también las modificaciones presupuestarias en los años 2000, 2001, 2002, 2004, 2005, 2006 y 2007, incumpliendo las normas de estructura presupuestaria y clasificación del gasto establecidas en la Orden de la Consejería de Hacienda de 22 de mayo de 1998. Además, y respecto de la modificación presupuestaria aprobada para el pago de ayudas sociolaborales por el Consejo de Gobierno el día 9 de diciembre de 2004 por importe de 2 994 876 € en el programa 32H (“Dirección y servicios generales del Servicio Andaluz de Empleo”), las sentencias impugnadas consideran que los fines de dicho programa eran por completo ajenos a la finalidad a la que se dedicaron, por lo que la califican de ilegal.</w:t>
      </w:r>
    </w:p>
    <w:p w14:paraId="34854913" w14:textId="77777777" w:rsidR="003754FE" w:rsidRDefault="003754FE" w:rsidP="003754FE">
      <w:pPr>
        <w:pStyle w:val="TextoNormal"/>
      </w:pPr>
    </w:p>
    <w:p w14:paraId="20B2A092" w14:textId="77777777" w:rsidR="003754FE" w:rsidRDefault="003754FE" w:rsidP="003754FE">
      <w:pPr>
        <w:pStyle w:val="TextoNormal"/>
      </w:pPr>
      <w:r>
        <w:t>Procede analizar, del mismo modo que se acaba de hacer respecto de los anteproyectos de ley, si las resoluciones judiciales impugnadas han realizado una interpretación imprevisible —y por ello contraria al art. 25.1 CE— al considerar que las modificaciones presupuestarias son “resoluciones” “arbitrarias” dictadas en “asunto administrativo” (art. 404 CP).</w:t>
      </w:r>
    </w:p>
    <w:p w14:paraId="0999E8FE" w14:textId="77777777" w:rsidR="003754FE" w:rsidRDefault="003754FE" w:rsidP="003754FE">
      <w:pPr>
        <w:pStyle w:val="TextoNormal"/>
      </w:pPr>
    </w:p>
    <w:p w14:paraId="46183F5F" w14:textId="77777777" w:rsidR="003754FE" w:rsidRDefault="003754FE" w:rsidP="003754FE">
      <w:pPr>
        <w:pStyle w:val="TextoNormal"/>
      </w:pPr>
      <w:r>
        <w:t>En la STC 93/2024, FJ 4.4.2, se afirmó respecto de las modificaciones presupuestarias que “[c]alificar estos actos como administrativos entra dentro de los márgenes de interpretación admisibles en Derecho, dado que no existe norma ni principio alguno que impida llegar a esta conclusión”. Por los motivos allí expuestos, a los que también procede ahora remitirse, no constituye una interpretación imprevisible ni extravagante del elemento típico “resolución dictada en procedimiento administrativo” del art. 404 CP calificar a las modificaciones presupuestarias como tales actos administrativos.</w:t>
      </w:r>
    </w:p>
    <w:p w14:paraId="66FBC34F" w14:textId="77777777" w:rsidR="003754FE" w:rsidRDefault="003754FE" w:rsidP="003754FE">
      <w:pPr>
        <w:pStyle w:val="TextoNormal"/>
      </w:pPr>
    </w:p>
    <w:p w14:paraId="0B568FC9" w14:textId="77777777" w:rsidR="003754FE" w:rsidRDefault="003754FE" w:rsidP="003754FE">
      <w:pPr>
        <w:pStyle w:val="TextoNormal"/>
      </w:pPr>
      <w:r>
        <w:lastRenderedPageBreak/>
        <w:t>Cuestión distinta es si esta clase de actos pueden considerarse arbitrarios. Las sentencias recurridas así lo consideran. Sostienen que se realizaron prescindiendo de las exigencias procedimentales y materiales con el fin de eludir los controles exigidos por la normativa subvencional (sentencia del Tribunal Supremo, fundamento de Derecho 24.2, págs. 265 a 271). En efecto, tanto la Audiencia Provincial como el Tribunal Supremo llegan a la conclusión de que las modificaciones presupuestarias efectuadas no respetan la normativa presupuestaria, en particular la Orden de la Consejería de Hacienda de 22 de mayo de 1998, y por ello aprecian su manifiesta ilegalidad. En la STC 93/2024, FJ 4.4.2., se sostiene que aunque no es función del Tribunal enjuiciar la corrección jurídica de dicha apreciación, “sí entra dentro de sus atribuciones el efectuar un juicio externo de las razones que llevan a los órganos judiciales a resolver en el sentido expuesto, pues solo de este modo puede verificarse que las resoluciones judiciales, al calificar como manifiestamente ilegales las modificaciones presupuestarias efectuadas, no han desbordado los límites que impone el art. 25.1 CE”.</w:t>
      </w:r>
    </w:p>
    <w:p w14:paraId="55A83C32" w14:textId="77777777" w:rsidR="003754FE" w:rsidRDefault="003754FE" w:rsidP="003754FE">
      <w:pPr>
        <w:pStyle w:val="TextoNormal"/>
      </w:pPr>
    </w:p>
    <w:p w14:paraId="2667531A" w14:textId="77777777" w:rsidR="003754FE" w:rsidRDefault="003754FE" w:rsidP="003754FE">
      <w:pPr>
        <w:pStyle w:val="TextoNormal"/>
      </w:pPr>
      <w:r>
        <w:t>El Tribunal consideró en el fundamento 4.4.2. de la mencionada sentencia que para hacer tal juicio externo no puede desconocerse que, desde el año 2002, se incluyó en las leyes de presupuestos el programa 31L, que tiene por objeto otorgar transferencias de financiación al IFA/IDEA en materia de relaciones laborales. En los documentos que acompañan a dichas leyes, “en particular, en las memorias —transcritas en sus pasajes más relevantes en las sentencias que ahora se recurren— se hace referencia a la finalidad que con ese programa se pretende, quién ha de ejecutarlo y cómo debe hacerlo”. Estos datos, a los que ahora procede remitirse, quedaron expuestos en el la STC 93/2024, FJ 4.4.2.</w:t>
      </w:r>
    </w:p>
    <w:p w14:paraId="48EE5031" w14:textId="77777777" w:rsidR="003754FE" w:rsidRDefault="003754FE" w:rsidP="003754FE">
      <w:pPr>
        <w:pStyle w:val="TextoNormal"/>
      </w:pPr>
    </w:p>
    <w:p w14:paraId="177BC297" w14:textId="77777777" w:rsidR="003754FE" w:rsidRDefault="003754FE" w:rsidP="003754FE">
      <w:pPr>
        <w:pStyle w:val="TextoNormal"/>
      </w:pPr>
      <w:r>
        <w:t>El Tribunal concluyó que los órganos judiciales, al interpretar el elemento típico “arbitraria” del art. 404 CP, debieron haber tomado en consideración el cambio de presupuestación antes referido —aprobado a partir del año 2002—. Al no hacerlo, resulta imprevisible considerar manifiestamente ilegales las modificaciones presupuestarias dictadas al amparo del programa 31L incluido en las leyes de presupuestos.</w:t>
      </w:r>
    </w:p>
    <w:p w14:paraId="42DA9865" w14:textId="77777777" w:rsidR="003754FE" w:rsidRDefault="003754FE" w:rsidP="003754FE">
      <w:pPr>
        <w:pStyle w:val="TextoNormal"/>
      </w:pPr>
    </w:p>
    <w:p w14:paraId="1AC68214" w14:textId="77777777" w:rsidR="003754FE" w:rsidRDefault="003754FE" w:rsidP="003754FE">
      <w:pPr>
        <w:pStyle w:val="TextoNormal"/>
      </w:pPr>
      <w:r>
        <w:t>Una vez expuesta la doctrina que debe aplicarse a este extremo, procede examinar si las modificaciones presupuestarias en las que participó el demandante de amparo tenían cobertura en el programa 31L. Como ya se ha expuesto en el fundamento jurídico 2.4, se afirma en las resoluciones judiciales que el recurrente participó en la tramitación de las siguientes modificaciones presupuestarias que se destinaron al pago de ayudas sociolaborales:</w:t>
      </w:r>
    </w:p>
    <w:p w14:paraId="571BFB50" w14:textId="77777777" w:rsidR="003754FE" w:rsidRDefault="003754FE" w:rsidP="003754FE">
      <w:pPr>
        <w:pStyle w:val="TextoNormal"/>
      </w:pPr>
    </w:p>
    <w:p w14:paraId="44581049" w14:textId="77777777" w:rsidR="003754FE" w:rsidRDefault="003754FE" w:rsidP="003754FE">
      <w:pPr>
        <w:pStyle w:val="TextoNormal"/>
      </w:pPr>
      <w:r>
        <w:t>(i) una modificación presupuestaria que afectó a la partida 481.00. El demandante de amparo participó en la modificación llevada a cabo por el Consejo de Gobierno el 28 de julio de 2000 que tenía por objeto reducir la partida 481.00 y aumentar la partida 440.01;</w:t>
      </w:r>
    </w:p>
    <w:p w14:paraId="19D77444" w14:textId="77777777" w:rsidR="003754FE" w:rsidRDefault="003754FE" w:rsidP="003754FE">
      <w:pPr>
        <w:pStyle w:val="TextoNormal"/>
      </w:pPr>
    </w:p>
    <w:p w14:paraId="364D1AD7" w14:textId="77777777" w:rsidR="003754FE" w:rsidRDefault="003754FE" w:rsidP="003754FE">
      <w:pPr>
        <w:pStyle w:val="TextoNormal"/>
      </w:pPr>
      <w:r>
        <w:t>(ii) dos modificaciones presupuestarias que afectaban al programa 22E; concretamente las aprobadas por el Consejo de Gobierno de 18 de septiembre y de 13 de noviembre de 2001 por importe de 1 225 000 000 y 660 000 000 pesetas respectivamente;</w:t>
      </w:r>
    </w:p>
    <w:p w14:paraId="207B44F5" w14:textId="77777777" w:rsidR="003754FE" w:rsidRDefault="003754FE" w:rsidP="003754FE">
      <w:pPr>
        <w:pStyle w:val="TextoNormal"/>
      </w:pPr>
    </w:p>
    <w:p w14:paraId="71230809" w14:textId="77777777" w:rsidR="003754FE" w:rsidRDefault="003754FE" w:rsidP="003754FE">
      <w:pPr>
        <w:pStyle w:val="TextoNormal"/>
      </w:pPr>
      <w:r>
        <w:t>(iii) una modificación presupuestaria del programa 32H que fue aprobada por el Consejo de Gobierno el 9 de diciembre de 2004 por importe de 2 994 876 €;</w:t>
      </w:r>
    </w:p>
    <w:p w14:paraId="39A9D411" w14:textId="77777777" w:rsidR="003754FE" w:rsidRDefault="003754FE" w:rsidP="003754FE">
      <w:pPr>
        <w:pStyle w:val="TextoNormal"/>
      </w:pPr>
    </w:p>
    <w:p w14:paraId="7EEFE217" w14:textId="77777777" w:rsidR="003754FE" w:rsidRDefault="003754FE" w:rsidP="003754FE">
      <w:pPr>
        <w:pStyle w:val="TextoNormal"/>
      </w:pPr>
      <w:r>
        <w:lastRenderedPageBreak/>
        <w:t>(iv) cuatro modificaciones presupuestarias por las que se incrementaba la partida 31L en la aplicación presupuestaria 440.51 o 740.51. Estas modificaciones presupuestarias fueron aprobadas por el Consejo de Gobierno de 15 de octubre de 2002 (9 944 099 €), 7 de diciembre de 2005 (7 999 895,97 €), 7 de noviembre de 2006 (9 300 000 €) y 27 de noviembre de 2007 (7 448 503,44 €).</w:t>
      </w:r>
    </w:p>
    <w:p w14:paraId="406B7C07" w14:textId="77777777" w:rsidR="003754FE" w:rsidRDefault="003754FE" w:rsidP="003754FE">
      <w:pPr>
        <w:pStyle w:val="TextoNormal"/>
      </w:pPr>
    </w:p>
    <w:p w14:paraId="1AA4D844" w14:textId="77777777" w:rsidR="003754FE" w:rsidRDefault="003754FE" w:rsidP="003754FE">
      <w:pPr>
        <w:pStyle w:val="TextoNormal"/>
      </w:pPr>
      <w:r>
        <w:t>De conformidad con lo expuesto, no pueden considerarse arbitrarias las modificaciones presupuestarias identificadas en el apartado iv), esto es, las aprobadas por el Consejo de Gobierno los días 15 de octubre de 2002, 7 de diciembre de 2005, 7 de noviembre de 2006 y el 27 de noviembre de 2007, al encontrarse amparadas en el programa 31L de las leyes de presupuestos para los ejercicios 2002, 2005, 2006 y 2007. Por todo ello, las resoluciones impugnadas, en lo que se refiere a estas concretas modificaciones presupuestarias, al calificarlas como manifiestamente ilegales, han incurrido en una interpretación del todo imprevisible del tipo penal que ha determinado la condena.</w:t>
      </w:r>
    </w:p>
    <w:p w14:paraId="22583D66" w14:textId="77777777" w:rsidR="003754FE" w:rsidRDefault="003754FE" w:rsidP="003754FE">
      <w:pPr>
        <w:pStyle w:val="TextoNormal"/>
      </w:pPr>
    </w:p>
    <w:p w14:paraId="2A3AD2D6" w14:textId="77777777" w:rsidR="003754FE" w:rsidRDefault="003754FE" w:rsidP="003754FE">
      <w:pPr>
        <w:pStyle w:val="TextoNormal"/>
      </w:pPr>
      <w:r>
        <w:t>No ocurre lo mismo con las otras modificaciones presupuestarias. Las realizadas en las partidas (481.00) o programas (22E) que no tenían amparo en norma legal alguna o que tenían asignados fines ajenos a la concesión de ayudas sociolaborales (32H). Su consideración por las resoluciones judiciales impugnadas como resoluciones arbitrarias recaídas en un asunto administrativo no desborda los límites del art. 404 CP.</w:t>
      </w:r>
    </w:p>
    <w:p w14:paraId="63AA1F2F" w14:textId="77777777" w:rsidR="003754FE" w:rsidRDefault="003754FE" w:rsidP="003754FE">
      <w:pPr>
        <w:pStyle w:val="TextoNormal"/>
      </w:pPr>
    </w:p>
    <w:p w14:paraId="6474171A" w14:textId="77777777" w:rsidR="003754FE" w:rsidRDefault="003754FE" w:rsidP="003754FE">
      <w:pPr>
        <w:pStyle w:val="TextoNormal"/>
      </w:pPr>
      <w:r>
        <w:t>C) Tener conocimiento de la existencia de cincuenta y tres convenios particulares y no haber evitado su firma o su ejecución</w:t>
      </w:r>
    </w:p>
    <w:p w14:paraId="2D6E08BD" w14:textId="77777777" w:rsidR="003754FE" w:rsidRDefault="003754FE" w:rsidP="003754FE">
      <w:pPr>
        <w:pStyle w:val="TextoNormal"/>
      </w:pPr>
    </w:p>
    <w:p w14:paraId="14ABFD38" w14:textId="77777777" w:rsidR="003754FE" w:rsidRDefault="003754FE" w:rsidP="003754FE">
      <w:pPr>
        <w:pStyle w:val="TextoNormal"/>
      </w:pPr>
      <w:r>
        <w:t>Como ya se ha expuesto, las sentencias impugnadas consideran que el demandante de amparo incurrió en un delito de prevaricación debido a que, en su calidad de miembro del consejo rector de IDEA del que formaba parte desde marzo de 2005, tuvo conocimiento de los cincuenta y tres convenios particulares que el IFA/IDEA firmó con la Consejería de Empleo. A juicio de las sentencias impugnadas, el señor Rodríguez Román incurrió en el delito de prevaricación en la medida en que no realizó actuación alguna con el fin de evitar que se procediera a la firma y ejecución de dichos convenios, a pesar de conocer la ilegalidad del sistema de presupuestación establecido para el pago de estas ayudas.</w:t>
      </w:r>
    </w:p>
    <w:p w14:paraId="0F313A80" w14:textId="77777777" w:rsidR="003754FE" w:rsidRDefault="003754FE" w:rsidP="003754FE">
      <w:pPr>
        <w:pStyle w:val="TextoNormal"/>
      </w:pPr>
    </w:p>
    <w:p w14:paraId="33FC38A4" w14:textId="77777777" w:rsidR="003754FE" w:rsidRDefault="003754FE" w:rsidP="003754FE">
      <w:pPr>
        <w:pStyle w:val="TextoNormal"/>
      </w:pPr>
      <w:r>
        <w:t>Procede ahora analizar, siguiendo el mismo orden de enjuiciamiento que respecto de las actuaciones anteriores, si el hecho de conocer la firma de los convenios particulares obligó al recurrente a realizar algún tipo de conducta que tuviera por objeto impedir que estos se formalizaran y ejecutaran.</w:t>
      </w:r>
    </w:p>
    <w:p w14:paraId="528B9F54" w14:textId="77777777" w:rsidR="003754FE" w:rsidRDefault="003754FE" w:rsidP="003754FE">
      <w:pPr>
        <w:pStyle w:val="TextoNormal"/>
      </w:pPr>
    </w:p>
    <w:p w14:paraId="682B3F6E" w14:textId="77777777" w:rsidR="003754FE" w:rsidRDefault="003754FE" w:rsidP="003754FE">
      <w:pPr>
        <w:pStyle w:val="TextoNormal"/>
      </w:pPr>
      <w:r>
        <w:t>En la STC 94/2024, de 2 de julio, FJ 4.4, el Tribunal ha afirmado que “[u]na vez en vigor el programa presupuestario 31L previsto en las leyes de presupuestos para los años 2004 a 2008 resulta imprevisible que los actos dictados a su amparo se consideren manifiestamente ilegales, pues la firma de los convenios tenía cobertura en una norma con rango de ley”. Las mismas razones a las que se aludió en la meritada sentencia —y a las que ahora procede remitirse— llevan a concluir que las sentencias impugnadas incurrieron en una aplicación imprevisible del tipo lesiva del art. 25.1 CE. La firma de convenios al amparo de la ley de presupuestos y de acuerdo con lo establecido en las memorias que la acompañan no pueden considerarse constitutiva de un delito de prevaricación al tratarse de actuaciones que tienen cobertura legal.</w:t>
      </w:r>
    </w:p>
    <w:p w14:paraId="0B109DCF" w14:textId="77777777" w:rsidR="003754FE" w:rsidRDefault="003754FE" w:rsidP="003754FE">
      <w:pPr>
        <w:pStyle w:val="TextoNormal"/>
      </w:pPr>
    </w:p>
    <w:p w14:paraId="085927BD" w14:textId="6385877F" w:rsidR="003754FE" w:rsidRDefault="003754FE" w:rsidP="003754FE">
      <w:pPr>
        <w:pStyle w:val="TextoNormal"/>
      </w:pPr>
      <w:r>
        <w:t>El demandante de amparo formó parte del consejo rector de IDEA desde marzo de 2005, esto es, una vez que se produjo el cambio de presupuestación mediante la introducción del programa 31L en las leyes de presupuestos. Por ello, el hecho de exigir al recurrente que realizara actos tendentes a evitar la firma o la ejecución de convenios dictados al amparo de las leyes de presupuestos supone una interpretación extensiva del elemento típico “arbitraria” del art. 404 CP dado que, como se acaba de exponer y con más detalle se explica en la tantas veces citada STC 93/2024, tales actuaciones, al tener cobertura legal no pueden considerarse ilegales ni, por tanto, arbitrarias en el sentido que a este término le atribuye el art. 404 CP.</w:t>
      </w:r>
    </w:p>
    <w:p w14:paraId="27E1E89E" w14:textId="77777777" w:rsidR="003754FE" w:rsidRDefault="003754FE" w:rsidP="003754FE">
      <w:pPr>
        <w:pStyle w:val="TextoNormal"/>
      </w:pPr>
    </w:p>
    <w:p w14:paraId="3F6CF222" w14:textId="77777777" w:rsidR="003754FE" w:rsidRDefault="003754FE" w:rsidP="003754FE">
      <w:pPr>
        <w:pStyle w:val="TextoNormal"/>
      </w:pPr>
      <w:r w:rsidRPr="003754FE">
        <w:rPr>
          <w:rStyle w:val="NumeroAFNegritaCaracter"/>
        </w:rPr>
        <w:t>5</w:t>
      </w:r>
      <w:r>
        <w:t xml:space="preserve">. </w:t>
      </w:r>
      <w:r w:rsidRPr="003754FE">
        <w:rPr>
          <w:i/>
        </w:rPr>
        <w:t>Vulneración del derecho a la legalidad penal derivada de la condena por delito de malversación del art. 432 CP</w:t>
      </w:r>
    </w:p>
    <w:p w14:paraId="6285834F" w14:textId="77777777" w:rsidR="003754FE" w:rsidRDefault="003754FE" w:rsidP="003754FE">
      <w:pPr>
        <w:pStyle w:val="TextoNormal"/>
      </w:pPr>
    </w:p>
    <w:p w14:paraId="498A4ADC" w14:textId="77777777" w:rsidR="003754FE" w:rsidRDefault="003754FE" w:rsidP="003754FE">
      <w:pPr>
        <w:pStyle w:val="TextoNormal"/>
      </w:pPr>
      <w:r>
        <w:t xml:space="preserve">5.1. </w:t>
      </w:r>
      <w:r w:rsidRPr="003754FE">
        <w:rPr>
          <w:i/>
        </w:rPr>
        <w:t>Exposición de la queja del recurrente y de las posiciones de las partes</w:t>
      </w:r>
    </w:p>
    <w:p w14:paraId="56A8D361" w14:textId="77777777" w:rsidR="003754FE" w:rsidRDefault="003754FE" w:rsidP="003754FE">
      <w:pPr>
        <w:pStyle w:val="TextoNormal"/>
      </w:pPr>
    </w:p>
    <w:p w14:paraId="271AEA47" w14:textId="77777777" w:rsidR="003754FE" w:rsidRDefault="003754FE" w:rsidP="003754FE">
      <w:pPr>
        <w:pStyle w:val="TextoNormal"/>
      </w:pPr>
      <w:r>
        <w:t>En el primer motivo de amparo consignado en la demanda, referente a la condena por el delito de malversación, el recurrente considera vulnerados diversos derechos fundamentales, entre ellos el derecho a la legalidad penal. Al desarrollar argumentalmente dicho motivo, el actor despliega alegaciones mayoritariamente dirigidas a cuestionar, desde la óptica del derecho a la presunción de inocencia, la valoración probatoria realizada por las resoluciones impugnadas. Aporta, no obstante, una argumentación concreta que ya fue planteada como “infracción de ley” en el recurso de casación (motivo octavo) y que cuestiona la subsunción de los hechos declarados probados en el tipo penal del art. 432.1 CP, alegación esta que se inserta en el ámbito propio del derecho fundamental del art. 25.1 CE.</w:t>
      </w:r>
    </w:p>
    <w:p w14:paraId="17A680F5" w14:textId="77777777" w:rsidR="003754FE" w:rsidRDefault="003754FE" w:rsidP="003754FE">
      <w:pPr>
        <w:pStyle w:val="TextoNormal"/>
      </w:pPr>
    </w:p>
    <w:p w14:paraId="6C6D44EC" w14:textId="77777777" w:rsidR="003754FE" w:rsidRDefault="003754FE" w:rsidP="003754FE">
      <w:pPr>
        <w:pStyle w:val="TextoNormal"/>
      </w:pPr>
      <w:r>
        <w:t>Sostiene, concretamente, el recurrente que las sentencias impugnadas realizan una subsunción en el tipo penal del art. 432 CP que no distingue adecuadamente las conductas malversadoras de las que previamente han sido calificadas como constitutivas de delito de prevaricación administrativa. Según se expresa en la demanda, las resoluciones impugnadas no determinan “qué concretos hechos, distintos de los prevaricadores, serían constitutivos del delito de malversación por los que se condena a mi representado y al resto de condenados ajenos a la Consejería de Empleo”. La participación del demandante de amparo en la tramitación de anteproyectos de leyes de presupuestos o en la aprobación de ciertas modificaciones presupuestarias es una conducta prevaricadora que no puede convertirse, automáticamente, en una sustracción de caudales públicos, no al menos sin prescindir de este elemento del tipo, expresamente contemplado en el art. 432 CP.</w:t>
      </w:r>
    </w:p>
    <w:p w14:paraId="30BD4AE3" w14:textId="77777777" w:rsidR="003754FE" w:rsidRDefault="003754FE" w:rsidP="003754FE">
      <w:pPr>
        <w:pStyle w:val="TextoNormal"/>
      </w:pPr>
    </w:p>
    <w:p w14:paraId="2FC67292" w14:textId="77777777" w:rsidR="003754FE" w:rsidRDefault="003754FE" w:rsidP="003754FE">
      <w:pPr>
        <w:pStyle w:val="TextoNormal"/>
      </w:pPr>
      <w:r>
        <w:t>Acudiendo a las palabras que emplea el Tribunal Supremo para sintetizar esta queja en la sentencia casacional (fundamento de Derecho 122, págs. 917-918), el demandante cuestiona, en definitiva, “el juicio de subsunción del delito de malversación de caudales públicos por considerar que la resolución impugnada no identifica el hecho que individualiza ese delito frente al delito de prevaricación” pues “las mismas resoluciones que han servido de soporte a la prevaricación lo son para la malversación y se dice que la sentencia no ha justificado convenientemente la concurrencia de los elementos típicos del delito mencionado”.</w:t>
      </w:r>
    </w:p>
    <w:p w14:paraId="2D28CE0A" w14:textId="77777777" w:rsidR="003754FE" w:rsidRDefault="003754FE" w:rsidP="003754FE">
      <w:pPr>
        <w:pStyle w:val="TextoNormal"/>
      </w:pPr>
    </w:p>
    <w:p w14:paraId="5C2FE6E1" w14:textId="77777777" w:rsidR="003754FE" w:rsidRDefault="003754FE" w:rsidP="003754FE">
      <w:pPr>
        <w:pStyle w:val="TextoNormal"/>
      </w:pPr>
      <w:r>
        <w:t xml:space="preserve">El Partido Popular se opone a la estimación de esta queja al considerar que la subsunción de los hechos declarados probados en el delito de malversación del art. 432 CP respeta el </w:t>
      </w:r>
      <w:r>
        <w:lastRenderedPageBreak/>
        <w:t>tenor literal del enunciado normativo contenido en dicho precepto y resulta previsible si se analiza desde las pautas axiológicas que informan nuestro texto constitucional y conforme a modelos de argumentación aceptados por la propia comunidad jurídica. Reproduce, en apoyo de esta tesis, diversos fragmentos de las resoluciones impugnadas. Dicha tesis también es sostenida por el Ministerio Fiscal, que estima que no puede apreciarse la vulneración del derecho a la legalidad penal en relación con la subsunción realizada en el delito de malversación y afirma que la sentencia de instancia contiene una argumentación suficiente sobre la concurrencia de los diversos elementos que componen este tipo penal.</w:t>
      </w:r>
    </w:p>
    <w:p w14:paraId="3F19AA20" w14:textId="77777777" w:rsidR="003754FE" w:rsidRDefault="003754FE" w:rsidP="003754FE">
      <w:pPr>
        <w:pStyle w:val="TextoNormal"/>
      </w:pPr>
    </w:p>
    <w:p w14:paraId="617D5F9C" w14:textId="77777777" w:rsidR="003754FE" w:rsidRDefault="003754FE" w:rsidP="003754FE">
      <w:pPr>
        <w:pStyle w:val="TextoNormal"/>
      </w:pPr>
      <w:r>
        <w:t xml:space="preserve">5.2. </w:t>
      </w:r>
      <w:r w:rsidRPr="003754FE">
        <w:rPr>
          <w:i/>
        </w:rPr>
        <w:t>Síntesis de los argumentos en los que las resoluciones judiciales fundamentan la condena del recurrente</w:t>
      </w:r>
    </w:p>
    <w:p w14:paraId="55A0036E" w14:textId="77777777" w:rsidR="003754FE" w:rsidRDefault="003754FE" w:rsidP="003754FE">
      <w:pPr>
        <w:pStyle w:val="TextoNormal"/>
      </w:pPr>
    </w:p>
    <w:p w14:paraId="13C9427F" w14:textId="77777777" w:rsidR="003754FE" w:rsidRDefault="003754FE" w:rsidP="003754FE">
      <w:pPr>
        <w:pStyle w:val="TextoNormal"/>
      </w:pPr>
      <w:r>
        <w:t>A continuación, se va a efectuar un breve resumen de los argumentos de las sentencias de la Audiencia Provincial y del Tribunal Supremo que sirven para fundamentar la condena por malversación del demandante de amparo:</w:t>
      </w:r>
    </w:p>
    <w:p w14:paraId="0B22F792" w14:textId="77777777" w:rsidR="003754FE" w:rsidRDefault="003754FE" w:rsidP="003754FE">
      <w:pPr>
        <w:pStyle w:val="TextoNormal"/>
      </w:pPr>
    </w:p>
    <w:p w14:paraId="6E552532" w14:textId="77777777" w:rsidR="003754FE" w:rsidRDefault="003754FE" w:rsidP="003754FE">
      <w:pPr>
        <w:pStyle w:val="TextoNormal"/>
      </w:pPr>
      <w:r>
        <w:t xml:space="preserve">A) </w:t>
      </w:r>
      <w:r w:rsidRPr="003754FE">
        <w:rPr>
          <w:i/>
        </w:rPr>
        <w:t>Objeto de la condena por malversación</w:t>
      </w:r>
    </w:p>
    <w:p w14:paraId="10F662BB" w14:textId="77777777" w:rsidR="003754FE" w:rsidRDefault="003754FE" w:rsidP="003754FE">
      <w:pPr>
        <w:pStyle w:val="TextoNormal"/>
      </w:pPr>
    </w:p>
    <w:p w14:paraId="216FBEFF" w14:textId="77777777" w:rsidR="003754FE" w:rsidRDefault="003754FE" w:rsidP="003754FE">
      <w:pPr>
        <w:pStyle w:val="TextoNormal"/>
      </w:pPr>
      <w:r>
        <w:t>Tal y como se especifica en el fundamento 49 de la sentencia de la Audiencia Provincial de Sevilla (págs. 1804-1805), don Jesús María Rodríguez Román ha sido condenado, en lo que al delito de malversación se refiere:</w:t>
      </w:r>
    </w:p>
    <w:p w14:paraId="0D2BDBC3" w14:textId="77777777" w:rsidR="003754FE" w:rsidRDefault="003754FE" w:rsidP="003754FE">
      <w:pPr>
        <w:pStyle w:val="TextoNormal"/>
      </w:pPr>
    </w:p>
    <w:p w14:paraId="4BA068FA" w14:textId="77777777" w:rsidR="003754FE" w:rsidRDefault="003754FE" w:rsidP="003754FE">
      <w:pPr>
        <w:pStyle w:val="TextoNormal"/>
      </w:pPr>
      <w:r>
        <w:t>a) Por su intervención personal, en calidad de viceconsejero de Justicia y Administración Pública, en el debate y elevación al Consejo de Gobierno por parte de la Comisión General de Viceconsejeros de las modificaciones presupuestarias que afectaban al programa 22E aprobadas en fecha 28 de julio de 2000, 18 de septiembre de 2001 y 13 de noviembre de 2001 (por los importes que se especifican en el fundamento jurídico 2.4).</w:t>
      </w:r>
    </w:p>
    <w:p w14:paraId="57B6B7B5" w14:textId="77777777" w:rsidR="003754FE" w:rsidRDefault="003754FE" w:rsidP="003754FE">
      <w:pPr>
        <w:pStyle w:val="TextoNormal"/>
      </w:pPr>
    </w:p>
    <w:p w14:paraId="7EEF21A7" w14:textId="77777777" w:rsidR="003754FE" w:rsidRDefault="003754FE" w:rsidP="003754FE">
      <w:pPr>
        <w:pStyle w:val="TextoNormal"/>
      </w:pPr>
      <w:r>
        <w:t>b) Por su intervención personal, todavía en calidad de viceconsejero de Justicia y Administración Pública, en el debate y elevación al Consejo de Gobierno por parte de la Comisión General de Viceconsejeros de la modificación presupuestaria de fecha 15 de octubre de 2002 relativa al programa 31L (con el importe consignado en el fundamento jurídico 2.4).</w:t>
      </w:r>
    </w:p>
    <w:p w14:paraId="72A120EE" w14:textId="77777777" w:rsidR="003754FE" w:rsidRDefault="003754FE" w:rsidP="003754FE">
      <w:pPr>
        <w:pStyle w:val="TextoNormal"/>
      </w:pPr>
    </w:p>
    <w:p w14:paraId="70200FD2" w14:textId="77777777" w:rsidR="003754FE" w:rsidRDefault="003754FE" w:rsidP="003754FE">
      <w:pPr>
        <w:pStyle w:val="TextoNormal"/>
      </w:pPr>
      <w:r>
        <w:t>c) Por su intervención personal, ya en calidad de viceconsejero de Innovación, Ciencia y Empresa en el debate y elevación al Consejo de Gobierno de los anteproyectos de presupuestos de los ejercicios 2005 a 2008, en los que se consignaron los créditos iniciales del programa 31L (con los importes que se especifican en el fundamento jurídico 2.4), y de diversas modificaciones presupuestarias que incrementaron esos créditos (con las fechas e importes también especificados en el fundamento jurídico 2.4) en relación con concretas aplicaciones destinadas a transferencias de financiación a la agencia IFA/IDEA para el pago de ayudas sociolaborales y a empresas en crisis.</w:t>
      </w:r>
    </w:p>
    <w:p w14:paraId="7A0E0A3D" w14:textId="77777777" w:rsidR="003754FE" w:rsidRDefault="003754FE" w:rsidP="003754FE">
      <w:pPr>
        <w:pStyle w:val="TextoNormal"/>
      </w:pPr>
    </w:p>
    <w:p w14:paraId="09172A21" w14:textId="77777777" w:rsidR="003754FE" w:rsidRDefault="003754FE" w:rsidP="003754FE">
      <w:pPr>
        <w:pStyle w:val="TextoNormal"/>
      </w:pPr>
      <w:r>
        <w:t>d) Por su intervención personal, en su calidad de vicepresidente de IFA/IDEA, en la tramitación de los convenios particulares suscritos por dicha entidad con la Consejería de Empleo para el pago de las ayudas sociolaborales y a empresas en crisis.</w:t>
      </w:r>
    </w:p>
    <w:p w14:paraId="21F854C0" w14:textId="77777777" w:rsidR="003754FE" w:rsidRDefault="003754FE" w:rsidP="003754FE">
      <w:pPr>
        <w:pStyle w:val="TextoNormal"/>
      </w:pPr>
    </w:p>
    <w:p w14:paraId="4D26A5BB" w14:textId="77777777" w:rsidR="003754FE" w:rsidRDefault="003754FE" w:rsidP="003754FE">
      <w:pPr>
        <w:pStyle w:val="TextoNormal"/>
      </w:pPr>
      <w:r>
        <w:t xml:space="preserve">Según señala la sentencia, el recurrente de amparo fue viceconsejero de Justicia y Administración Pública entre los años 2000 y 2005 y viceconsejero de Innovación, Ciencia y </w:t>
      </w:r>
      <w:r>
        <w:lastRenderedPageBreak/>
        <w:t>Empresa desde el 19 de marzo de 2005 hasta el 1 de abril de 2010. Como titular de este último cargo le correspondía la vicepresidencia del IFA, posteriormente IDEA.</w:t>
      </w:r>
    </w:p>
    <w:p w14:paraId="42E3CF78" w14:textId="77777777" w:rsidR="003754FE" w:rsidRDefault="003754FE" w:rsidP="003754FE">
      <w:pPr>
        <w:pStyle w:val="TextoNormal"/>
      </w:pPr>
    </w:p>
    <w:p w14:paraId="26D26F53" w14:textId="77777777" w:rsidR="003754FE" w:rsidRDefault="003754FE" w:rsidP="003754FE">
      <w:pPr>
        <w:pStyle w:val="TextoNormal"/>
      </w:pPr>
      <w:r>
        <w:t xml:space="preserve">B) </w:t>
      </w:r>
      <w:r w:rsidRPr="003754FE">
        <w:rPr>
          <w:i/>
        </w:rPr>
        <w:t>Fundamentación de la condena por malversación en la sentencia de instancia</w:t>
      </w:r>
    </w:p>
    <w:p w14:paraId="59792F92" w14:textId="77777777" w:rsidR="003754FE" w:rsidRDefault="003754FE" w:rsidP="003754FE">
      <w:pPr>
        <w:pStyle w:val="TextoNormal"/>
      </w:pPr>
    </w:p>
    <w:p w14:paraId="66CE0795" w14:textId="77777777" w:rsidR="003754FE" w:rsidRDefault="003754FE" w:rsidP="003754FE">
      <w:pPr>
        <w:pStyle w:val="TextoNormal"/>
      </w:pPr>
      <w:r>
        <w:t>La fundamentación de la condena del recurrente por delito de malversación se sustenta, en la sentencia de instancia, en los siguientes argumentos:</w:t>
      </w:r>
    </w:p>
    <w:p w14:paraId="3D3980E2" w14:textId="77777777" w:rsidR="003754FE" w:rsidRDefault="003754FE" w:rsidP="003754FE">
      <w:pPr>
        <w:pStyle w:val="TextoNormal"/>
      </w:pPr>
    </w:p>
    <w:p w14:paraId="1E5C0EF7" w14:textId="77777777" w:rsidR="003754FE" w:rsidRDefault="003754FE" w:rsidP="003754FE">
      <w:pPr>
        <w:pStyle w:val="TextoNormal"/>
      </w:pPr>
      <w:r>
        <w:t>a) La Audiencia Provincial señala, en primer lugar, que el recurrente de amparo, en su calidad de viceconsejero de Justicia y Administración Pública, no puso reparo alguno, al participar en los debates de la Comisión General de Viceconsejeros (fundamento de Derecho 33, pág. 1136), a la elevación al Consejo de Gobierno de las modificaciones presupuestarias de fecha 28 de julio de 2000, 18 de septiembre de 2001 y 13 de noviembre de 2001, que reducían la partida 481.00, apropiada para conceder subvenciones, e incrementaban la partida 440.01 “Transferencia al IFA en materia de relaciones laborales”, también encuadrada en el programa 22E (fundamento de Derecho 33, pág. 1139) pero reservada “para las subvenciones de explotación a las empresas de la Junta de Andalucía” (fundamento de Derecho 33, pág. 1139).</w:t>
      </w:r>
    </w:p>
    <w:p w14:paraId="1B7B20F9" w14:textId="77777777" w:rsidR="003754FE" w:rsidRDefault="003754FE" w:rsidP="003754FE">
      <w:pPr>
        <w:pStyle w:val="TextoNormal"/>
      </w:pPr>
    </w:p>
    <w:p w14:paraId="04C15A95" w14:textId="77777777" w:rsidR="003754FE" w:rsidRDefault="003754FE" w:rsidP="003754FE">
      <w:pPr>
        <w:pStyle w:val="TextoNormal"/>
      </w:pPr>
      <w:r>
        <w:t>Al operar de este modo en relación con las referidas modificaciones presupuestarias de los ejercicios 2000 y 2001, el recurrente de amparo era conocedor, según señala la Audiencia Provincial, de los siguientes extremos:</w:t>
      </w:r>
    </w:p>
    <w:p w14:paraId="48C7DC66" w14:textId="77777777" w:rsidR="003754FE" w:rsidRDefault="003754FE" w:rsidP="003754FE">
      <w:pPr>
        <w:pStyle w:val="TextoNormal"/>
      </w:pPr>
    </w:p>
    <w:p w14:paraId="6169D782" w14:textId="77777777" w:rsidR="003754FE" w:rsidRDefault="003754FE" w:rsidP="003754FE">
      <w:pPr>
        <w:pStyle w:val="TextoNormal"/>
      </w:pPr>
      <w:r>
        <w:t>(i) Que, de acuerdo con el art. 106 de la Ley general de la hacienda pública de Andalucía, la entidad IFA (posteriormente IDEA) no podía ser utilizada como entidad colaboradora para el pago de este tipo de ayudas, por tener naturaleza de subvenciones (fundamento 33, pág. 1142). La resolución razona que el recurrente había tenido conocimiento de esta circunstancia con ocasión de su intervención personal, también como viceconsejero de Justicia, en los debates de la Comisión General de Viceconsejeros relativos al proyecto de decreto de la Consejería de Empleo y Desarrollo Tecnológico, por el que se pretendía establecer el procedimiento para la concesión de ayudas sociales a trabajadores afectados por procesos de reconversión y/o reestructuración (proyecto que, finalmente, no resultó aprobado).</w:t>
      </w:r>
    </w:p>
    <w:p w14:paraId="4B9749F8" w14:textId="77777777" w:rsidR="003754FE" w:rsidRDefault="003754FE" w:rsidP="003754FE">
      <w:pPr>
        <w:pStyle w:val="TextoNormal"/>
      </w:pPr>
    </w:p>
    <w:p w14:paraId="0C5307F1" w14:textId="77777777" w:rsidR="003754FE" w:rsidRDefault="003754FE" w:rsidP="003754FE">
      <w:pPr>
        <w:pStyle w:val="TextoNormal"/>
      </w:pPr>
      <w:r>
        <w:t>(ii) Que la partida 440.01 “Transferencia al IFA en materia de relaciones laborales” era “legalmente inapropiada” para cubrir el pago de este tipo de subvenciones, pues no estaba ordenada “para tal fin en la Orden de la Consejería de Hacienda, de 22 de mayo de 1998, por la que se estableció la clasificación económica del presupuesto, la cual había sido dictada en cumplimiento del mandato contenido en el artículo 33 de la Ley 5/1983, general de la hacienda pública de Andalucía” (fundamento de Derecho 33, pág. 1139).</w:t>
      </w:r>
    </w:p>
    <w:p w14:paraId="6B25E17E" w14:textId="77777777" w:rsidR="003754FE" w:rsidRDefault="003754FE" w:rsidP="003754FE">
      <w:pPr>
        <w:pStyle w:val="TextoNormal"/>
      </w:pPr>
    </w:p>
    <w:p w14:paraId="3E95B2DD" w14:textId="77777777" w:rsidR="003754FE" w:rsidRDefault="003754FE" w:rsidP="003754FE">
      <w:pPr>
        <w:pStyle w:val="TextoNormal"/>
      </w:pPr>
      <w:r>
        <w:t>(iii) Que esas modificaciones presupuestarias carecían de justificación, pues la Consejería de Empleo no tenía déficit alguno que le impidiera proceder, por sí misma, al pago de subvenciones (fundamento de Derecho 33, pág. 1139); el recurrente sabía, por tanto, que las modificaciones presupuestarias elevadas al Consejo de Gobierno “no obedecían a ninguna situación de déficit, o necesidad de fondos” de la citada consejería (fundamento 33, pág. 1140).</w:t>
      </w:r>
    </w:p>
    <w:p w14:paraId="44BDE954" w14:textId="77777777" w:rsidR="003754FE" w:rsidRDefault="003754FE" w:rsidP="003754FE">
      <w:pPr>
        <w:pStyle w:val="TextoNormal"/>
      </w:pPr>
    </w:p>
    <w:p w14:paraId="5144C686" w14:textId="77777777" w:rsidR="003754FE" w:rsidRDefault="003754FE" w:rsidP="003754FE">
      <w:pPr>
        <w:pStyle w:val="TextoNormal"/>
      </w:pPr>
      <w:r>
        <w:lastRenderedPageBreak/>
        <w:t>El demandante de amparo conocía, en definitiva, que se utilizaba “inadecuadamente para conceder subvenciones un concepto que no era el legalmente previsto para ello”, con lo que se posibilitó “a la Consejería de Empleo eludir los procedimientos legalmente establecidos para la concesión de subvenciones, así como su fiscalización por la intervención delegada en dicha consejería” (fundamento de Derecho 33, pág. 1141).</w:t>
      </w:r>
    </w:p>
    <w:p w14:paraId="2B394DBA" w14:textId="77777777" w:rsidR="003754FE" w:rsidRDefault="003754FE" w:rsidP="003754FE">
      <w:pPr>
        <w:pStyle w:val="TextoNormal"/>
      </w:pPr>
    </w:p>
    <w:p w14:paraId="6978F03D" w14:textId="77777777" w:rsidR="003754FE" w:rsidRDefault="003754FE" w:rsidP="003754FE">
      <w:pPr>
        <w:pStyle w:val="TextoNormal"/>
      </w:pPr>
      <w:r>
        <w:t>Concluye la Audiencia que el recurrente, al contribuir a la aprobación de las citadas modificaciones presupuestarias de los ejercicios 2000 y 2001, participaba del propósito de “eludir la tramitación de los expedientes de concesión de subvenciones, con los requisitos legalmente establecidos para su otorgamiento, así como la fiscalización previa por parte de la intervención” (fundamento de Derecho 33, pág. 1141).</w:t>
      </w:r>
    </w:p>
    <w:p w14:paraId="62635F52" w14:textId="77777777" w:rsidR="003754FE" w:rsidRDefault="003754FE" w:rsidP="003754FE">
      <w:pPr>
        <w:pStyle w:val="TextoNormal"/>
      </w:pPr>
    </w:p>
    <w:p w14:paraId="37B115D1" w14:textId="77777777" w:rsidR="003754FE" w:rsidRDefault="003754FE" w:rsidP="003754FE">
      <w:pPr>
        <w:pStyle w:val="TextoNormal"/>
      </w:pPr>
      <w:r>
        <w:t>b) La sentencia de la Audiencia Provincial considera que el recurrente, con esa misma finalidad y con conocimiento de las irregularidades ya expresadas, también intervino personalmente en la modificación presupuestaria de 15 de octubre de 2002, materializada cuando todavía era viceconsejero de Justicia, si bien ya en relación con la aplicación presupuestaria 440.00.31L “Transferencias al IFA en materia de relaciones laborales", dentro del programa 31L (fundamento de Derecho 33, pág. 1142).</w:t>
      </w:r>
    </w:p>
    <w:p w14:paraId="26CF7328" w14:textId="77777777" w:rsidR="003754FE" w:rsidRDefault="003754FE" w:rsidP="003754FE">
      <w:pPr>
        <w:pStyle w:val="TextoNormal"/>
      </w:pPr>
    </w:p>
    <w:p w14:paraId="0A8A19AC" w14:textId="77777777" w:rsidR="003754FE" w:rsidRDefault="003754FE" w:rsidP="003754FE">
      <w:pPr>
        <w:pStyle w:val="TextoNormal"/>
      </w:pPr>
      <w:r>
        <w:t>c) La Audiencia estima, asimismo, que el recurrente de amparo, con conocimiento “de las graves irregularidades, ilegalidades para ser más exactos, con la que se concedían las ayudas en la Consejería de Empleo”, siguió con posterioridad participando, esta vez en la calidad de viceconsejero de Innovación, en “la favorable tramitación de los anteproyectos de presupuestos, y modificaciones presupuestarias, a través de los cuales se hacían llegar los fondos a la Consejería de Empleo, mediante el uso del expediente de la transferencia de financiación” (fundamento de Derecho 33, pág. 1144), concretamente “en la tramitación del anteproyecto de presupuesto de la Junta de Andalucía para los ejercicios de 2006, 2007 y 2008” (pág. 1146) y de las modificaciones presupuestarias de 7 de diciembre de 2005, 7 de noviembre de 2006 y 27 de noviembre de 2007 (fundamento 33, pág. 1143).</w:t>
      </w:r>
    </w:p>
    <w:p w14:paraId="0E6C1768" w14:textId="77777777" w:rsidR="003754FE" w:rsidRDefault="003754FE" w:rsidP="003754FE">
      <w:pPr>
        <w:pStyle w:val="TextoNormal"/>
      </w:pPr>
    </w:p>
    <w:p w14:paraId="30062835" w14:textId="77777777" w:rsidR="003754FE" w:rsidRDefault="003754FE" w:rsidP="003754FE">
      <w:pPr>
        <w:pStyle w:val="TextoNormal"/>
      </w:pPr>
      <w:r>
        <w:t>La sentencia de la Audiencia explica que el recurrente de amparo, al realizar tales actuaciones en la calidad de viceconsejero de Innovación, tenía un conocimiento preciso de las irregularidades que se producían en la gestión de los fondos destinados a ayudas sociolaborales y empresas en crisis, pues asistía, en calidad de vicepresidente de IFA/IDEA, a las sesiones del consejo rector de esta agencia en las que se informaban o ratificaban los convenios suscritos para el pago de las ayudas sociolaborales o a empresas en crisis y a las sesiones de dicho órgano en que el director general de la referida entidad informaba de la existencia de déficit (fundamento de Derecho 33, págs. 1146-1147).</w:t>
      </w:r>
    </w:p>
    <w:p w14:paraId="1FB6160C" w14:textId="77777777" w:rsidR="003754FE" w:rsidRDefault="003754FE" w:rsidP="003754FE">
      <w:pPr>
        <w:pStyle w:val="TextoNormal"/>
      </w:pPr>
    </w:p>
    <w:p w14:paraId="620657CA" w14:textId="77777777" w:rsidR="003754FE" w:rsidRDefault="003754FE" w:rsidP="003754FE">
      <w:pPr>
        <w:pStyle w:val="TextoNormal"/>
      </w:pPr>
      <w:r>
        <w:t>d) Finalmente, la Audiencia estima que el recurrente, en su calidad de vicepresidente de IFA/IDEA, permitió la firma de convenios particulares para el pago de ayudas comprendidas en el programa 31L a pesar de que en su calidad de miembro de dicho consejo rector fue informado de la firma de cincuenta y tres de esta clase de convenios (fundamento de Derecho 33, pág. 1144).</w:t>
      </w:r>
    </w:p>
    <w:p w14:paraId="6E864EC4" w14:textId="77777777" w:rsidR="003754FE" w:rsidRDefault="003754FE" w:rsidP="003754FE">
      <w:pPr>
        <w:pStyle w:val="TextoNormal"/>
      </w:pPr>
    </w:p>
    <w:p w14:paraId="509C42D6" w14:textId="77777777" w:rsidR="003754FE" w:rsidRDefault="003754FE" w:rsidP="003754FE">
      <w:pPr>
        <w:pStyle w:val="TextoNormal"/>
      </w:pPr>
      <w:r>
        <w:t xml:space="preserve">La Audiencia infiere de todo lo anterior que el recurrente de amparo era consciente, en definitiva, de la “palmaria ilegalidad de los actos en que participó” y que al contribuir a la tramitación de los anteproyectos de presupuestos y de las modificaciones presupuestarias </w:t>
      </w:r>
      <w:r>
        <w:lastRenderedPageBreak/>
        <w:t>ya citadas y al no oponerse a la suscripción de los convenios particulares asumió “la eventualidad de que los fondos vinculados al programa 31L fueran objeto de disposición con fines ajenos al fin público al que estaban destinados” (fundamentos Derecho 33, pág. 1147 y 49, págs. 1804-1805).</w:t>
      </w:r>
    </w:p>
    <w:p w14:paraId="0B1692ED" w14:textId="77777777" w:rsidR="003754FE" w:rsidRDefault="003754FE" w:rsidP="003754FE">
      <w:pPr>
        <w:pStyle w:val="TextoNormal"/>
      </w:pPr>
    </w:p>
    <w:p w14:paraId="1BE3ED91" w14:textId="77777777" w:rsidR="003754FE" w:rsidRDefault="003754FE" w:rsidP="003754FE">
      <w:pPr>
        <w:pStyle w:val="TextoNormal"/>
      </w:pPr>
      <w:r>
        <w:t xml:space="preserve">C) </w:t>
      </w:r>
      <w:r w:rsidRPr="003754FE">
        <w:rPr>
          <w:i/>
        </w:rPr>
        <w:t>Fundamentación de la condena por malversación en la sentencia de casación</w:t>
      </w:r>
    </w:p>
    <w:p w14:paraId="1135BC16" w14:textId="77777777" w:rsidR="003754FE" w:rsidRDefault="003754FE" w:rsidP="003754FE">
      <w:pPr>
        <w:pStyle w:val="TextoNormal"/>
      </w:pPr>
    </w:p>
    <w:p w14:paraId="790139DF" w14:textId="77777777" w:rsidR="003754FE" w:rsidRDefault="003754FE" w:rsidP="003754FE">
      <w:pPr>
        <w:pStyle w:val="TextoNormal"/>
      </w:pPr>
      <w:r>
        <w:t>La sentencia casacional de la Sala de lo Penal del Tribunal Supremo incluye una extensa fundamentación explicativa de la interpretación del alcance del tipo penal del art. 432 CP y de su aplicación al supuesto de hecho del recurrente de amparo. En lo que a la resolución de esta concreta queja interesa, caben destacar los siguientes argumentos:</w:t>
      </w:r>
    </w:p>
    <w:p w14:paraId="4D3DE28E" w14:textId="77777777" w:rsidR="003754FE" w:rsidRDefault="003754FE" w:rsidP="003754FE">
      <w:pPr>
        <w:pStyle w:val="TextoNormal"/>
      </w:pPr>
    </w:p>
    <w:p w14:paraId="377A5987" w14:textId="77777777" w:rsidR="003754FE" w:rsidRDefault="003754FE" w:rsidP="003754FE">
      <w:pPr>
        <w:pStyle w:val="TextoNormal"/>
      </w:pPr>
      <w:r>
        <w:t>a) El Tribunal Supremo estima que la sustracción requerida por el tipo penal aplicado (el art. 432.1 CP en su redacción anterior a la Ley Orgánica 1/2015, de 30 de marzo) puede producirse cuando “el caudal público [se] aparta definitivamente del patrimonio público desviándolo de las necesidades del servicio”. Esto ocurriría, en todo caso, cuando los actos de disposición de los caudales públicos se realizan de forma “arbitraria” y “libérrima”, como si se tratase de bienes pertenecientes a la autoridad que dispone de ellos, con completo apartamiento de los cauces, procedimientos y controles legalmente aplicables. Según razona el Tribunal Supremo, la autoridad o funcionario dispone, en ese tipo de supuestos, del dinero público “como si fuera propio”. La finalidad pública, concluye la sentencia, “viene condicionada al cumplimiento de las exigencias legales”, por lo que un incumplimiento “absoluto” de esas exigencias implica, en sí mismo, la sustracción a una finalidad legítima y, con ello, un acto dispositivo que conlleva una apropiación.</w:t>
      </w:r>
    </w:p>
    <w:p w14:paraId="277185FA" w14:textId="77777777" w:rsidR="003754FE" w:rsidRDefault="003754FE" w:rsidP="003754FE">
      <w:pPr>
        <w:pStyle w:val="TextoNormal"/>
      </w:pPr>
    </w:p>
    <w:p w14:paraId="33AA87F9" w14:textId="77777777" w:rsidR="003754FE" w:rsidRDefault="003754FE" w:rsidP="003754FE">
      <w:pPr>
        <w:pStyle w:val="TextoNormal"/>
      </w:pPr>
      <w:r>
        <w:t>b) El Tribunal Supremo concreta cómo se ha producido, en el presente caso, la sustracción de los caudales públicos. Considera que, más allá de la utilización de las transferencias de financiación “como artificio contable para eludir la normativa de subvenciones”, conducta en sí misma determinante del delito de prevaricación, se dispuso después “de los fondos públicos presupuestados al margen de todo control y de forma libérrima y arbitraria” (fundamento de Derecho 33, pág. 320). El manejo de los caudales se realizó “como si fueran propios, en favor de empresas y personas libremente determinadas y según las preferencias e intereses políticos de las autoridades que concedían las subvenciones”, en particular “sin bases de convocatoria, sin publicidad, en ocasiones sin precisar el objeto de la ayuda, y sin el cumplimiento de todo el amplio sistema de controles y garantías establecido en la ley” (fundamento 33, pág. 321).</w:t>
      </w:r>
    </w:p>
    <w:p w14:paraId="1D7B7D87" w14:textId="77777777" w:rsidR="003754FE" w:rsidRDefault="003754FE" w:rsidP="003754FE">
      <w:pPr>
        <w:pStyle w:val="TextoNormal"/>
      </w:pPr>
    </w:p>
    <w:p w14:paraId="537D79AD" w14:textId="77777777" w:rsidR="003754FE" w:rsidRDefault="003754FE" w:rsidP="003754FE">
      <w:pPr>
        <w:pStyle w:val="TextoNormal"/>
      </w:pPr>
      <w:r>
        <w:t>Se articuló, en definitiva, según señala el Tribunal Supremo, “un sistema para dotar de fondos a la Dirección General de Trabajo de la Junta de Andalucía para que esta dispusiera de ellos libremente”, sin que pueda “afirmarse siquiera que las ayudas concedidas cumplieran un fin público porque se concedieron, no ya al margen de todo control, sino al margen de cualquier criterio mínimamente objetivo y reglado y de forma absolutamente arbitraria”. Concluye la Sala de lo Penal que “las irregularidades advertidas en el proceso de concesión son tan graves y contumaces que excluyen la satisfacción de intereses públicos” (fundamento de Derecho 33, págs. 324-326).</w:t>
      </w:r>
    </w:p>
    <w:p w14:paraId="341D76B5" w14:textId="77777777" w:rsidR="003754FE" w:rsidRDefault="003754FE" w:rsidP="003754FE">
      <w:pPr>
        <w:pStyle w:val="TextoNormal"/>
      </w:pPr>
    </w:p>
    <w:p w14:paraId="25608E7B" w14:textId="77777777" w:rsidR="003754FE" w:rsidRDefault="003754FE" w:rsidP="003754FE">
      <w:pPr>
        <w:pStyle w:val="TextoNormal"/>
      </w:pPr>
      <w:r>
        <w:t xml:space="preserve">c) Al igual que la Audiencia Provincial, el Tribunal Supremo estima que fue la aprobación “en contra de lo establecido en las leyes” de las partidas presupuestarias —y el </w:t>
      </w:r>
      <w:r>
        <w:lastRenderedPageBreak/>
        <w:t>incremento de su crédito inicial a través de las correspondientes modificaciones presupuestarias—, lo que posibilitó un “descontrol absoluto en la concesión de las ayudas sociolaborales”. Fue, por tanto, “el indebido criterio de presupuestación” el que “hizo posible la concesión de las ayudas y eso permite también afirmar la vinculación causal entre el criterio de presupuestación y la falta de control y demás ilegalidades producidas en el proceso de concesión de las ayudas” (fundamento de Derecho 37.2, pág. 348).</w:t>
      </w:r>
    </w:p>
    <w:p w14:paraId="28F1249C" w14:textId="77777777" w:rsidR="003754FE" w:rsidRDefault="003754FE" w:rsidP="003754FE">
      <w:pPr>
        <w:pStyle w:val="TextoNormal"/>
      </w:pPr>
    </w:p>
    <w:p w14:paraId="1E8BC4F1" w14:textId="77777777" w:rsidR="003754FE" w:rsidRDefault="003754FE" w:rsidP="003754FE">
      <w:pPr>
        <w:pStyle w:val="TextoNormal"/>
      </w:pPr>
      <w:r>
        <w:t>Las “ilegalidades” directamente vinculadas al “indebido sistema de presupuestación” utilizado son sintetizadas por el Tribunal Supremo del siguiente modo: “La Consejería de Empleo no tramitó ante la Intervención de la Junta de Andalucía los expedientes de concesión de las ayudas porque presupuestariamente no disponía de los fondos para su concesión ya que los había transferido a IFA/IDEA. Por su parte IFA/IDEA no tenía que tramitar expediente alguno porque no concedía las ayudas (solo las pagaba) y esos pagos no estaban sometidos a fiscalización previa porque el ente estaba sujeto a control financiero, cuyo objeto no era la fiscalización de las ayudas, sino la fiscalización de la transferencia recibida, a cuyo fin, además, se contabilizaban los pagos de las ayudas como gastos de explotación, criterio de contabilización incorrecto dado que esos pagos no eran debidos al ejercicio de la actividad propia del ente público” (aspecto este último en el que el Tribunal Supremo incurre en contradicción con lo que señala la Audiencia Provincial en el fundamento jurídico 18 de la sentencia de instancia, donde se consigna que los pagos fueron correctamente contabilizados como meras operaciones de tesorería y que lo incorrecto fue su presupuestación como gastos de explotación).</w:t>
      </w:r>
    </w:p>
    <w:p w14:paraId="24C1B261" w14:textId="77777777" w:rsidR="003754FE" w:rsidRDefault="003754FE" w:rsidP="003754FE">
      <w:pPr>
        <w:pStyle w:val="TextoNormal"/>
      </w:pPr>
    </w:p>
    <w:p w14:paraId="1B5F3F98" w14:textId="77777777" w:rsidR="003754FE" w:rsidRDefault="003754FE" w:rsidP="003754FE">
      <w:pPr>
        <w:pStyle w:val="TextoNormal"/>
      </w:pPr>
      <w:r>
        <w:t>De ello deduce el Alto Tribunal que hubo “vinculación causal entre las decisiones adoptadas al aprobar los proyectos de ley de presupuestos y las modificaciones presupuestarias y el modo posterior de gestión de esos fondos” (fundamento de Derecho 37.2, pág. 349).</w:t>
      </w:r>
    </w:p>
    <w:p w14:paraId="0AB76FBF" w14:textId="77777777" w:rsidR="003754FE" w:rsidRDefault="003754FE" w:rsidP="003754FE">
      <w:pPr>
        <w:pStyle w:val="TextoNormal"/>
      </w:pPr>
    </w:p>
    <w:p w14:paraId="0AD16DE1" w14:textId="77777777" w:rsidR="003754FE" w:rsidRDefault="003754FE" w:rsidP="003754FE">
      <w:pPr>
        <w:pStyle w:val="TextoNormal"/>
      </w:pPr>
      <w:r>
        <w:t>d) El Tribunal Supremo precisa que la condena por malversación de don Jesús María Rodríguez Román se sustenta, tal y como señala también la sentencia de instancia, en su intervención en los hechos tanto en la calidad de viceconsejero de Justicia como, después, en la de viceconsejero de Innovación y vicepresidente de IFA/IDEA (fundamento de Derecho 122, pág. 918).</w:t>
      </w:r>
    </w:p>
    <w:p w14:paraId="4DC9E301" w14:textId="77777777" w:rsidR="003754FE" w:rsidRDefault="003754FE" w:rsidP="003754FE">
      <w:pPr>
        <w:pStyle w:val="TextoNormal"/>
      </w:pPr>
    </w:p>
    <w:p w14:paraId="2FCF1572" w14:textId="77777777" w:rsidR="003754FE" w:rsidRDefault="003754FE" w:rsidP="003754FE">
      <w:pPr>
        <w:pStyle w:val="TextoNormal"/>
      </w:pPr>
      <w:r>
        <w:t>e) Con argumentos comunes a quienes fueron condenados por intervenir en la fase de presupuestación de las ayudas, el Alto Tribunal funda la condena del recurrente por delito de malversación, en lo que a esta concreta fase se refiere, en los siguientes elementos de juicio:</w:t>
      </w:r>
    </w:p>
    <w:p w14:paraId="7D43E263" w14:textId="77777777" w:rsidR="003754FE" w:rsidRDefault="003754FE" w:rsidP="003754FE">
      <w:pPr>
        <w:pStyle w:val="TextoNormal"/>
      </w:pPr>
    </w:p>
    <w:p w14:paraId="0CED6152" w14:textId="77777777" w:rsidR="003754FE" w:rsidRDefault="003754FE" w:rsidP="003754FE">
      <w:pPr>
        <w:pStyle w:val="TextoNormal"/>
      </w:pPr>
      <w:r>
        <w:t>(i) Estima la Sala de lo Penal que la aprobación de los proyectos de leyes de presupuestos y de las correspondientes modificaciones presupuestarias supone tanto una contribución activa para la comisión de “la acción típica” de sustraer —pues sin la aprobación de los presupuestos y las modificaciones presupuestarias no habría sido posible la gestión libérrima de las ayudas— como también la “omisión de medidas eficaces para evitar el dispendio, una vez que fue conocido”, lo que puede subsumirse en la modalidad comisiva consistente en consentir que un tercero sustraiga (fundamento de Derecho 35.2, pág. 341).</w:t>
      </w:r>
    </w:p>
    <w:p w14:paraId="6ED992D2" w14:textId="77777777" w:rsidR="003754FE" w:rsidRDefault="003754FE" w:rsidP="003754FE">
      <w:pPr>
        <w:pStyle w:val="TextoNormal"/>
      </w:pPr>
    </w:p>
    <w:p w14:paraId="7EA3EEEE" w14:textId="77777777" w:rsidR="003754FE" w:rsidRDefault="003754FE" w:rsidP="003754FE">
      <w:pPr>
        <w:pStyle w:val="TextoNormal"/>
      </w:pPr>
      <w:r>
        <w:t xml:space="preserve">(ii) La sentencia dedica un especial desarrollo argumental a la subsunción en la modalidad omisiva de malversación de los hechos cometidos por quienes participaron en la </w:t>
      </w:r>
      <w:r>
        <w:lastRenderedPageBreak/>
        <w:t>aprobación de los “instrumentos de presupuestación”. Afirma que “una autoridad o funcionario público” no solo puede incurrir en esta modalidad omisiva permitiendo la acción sustractora de terceros ajenos a la función pública, sino también consintiendo, con la “dejación de la obligación de defensa del patrimonio”, la actuación ilícita de otros funcionarios públicos que están situados en una escala jerárquica inferior o que intervienen en un eslabón distinto del proceso global de gestión de los caudales. En palabras de la sentencia casacional “una autoridad o funcionario puede consentir la sustracción por otro funcionario y ello es posible precisamente porque las competencias sobre la gestión de los fondos públicos pueden ser concurrentes” (fundamento de Derecho 36.1, pág. 345).</w:t>
      </w:r>
    </w:p>
    <w:p w14:paraId="39AD4BD6" w14:textId="77777777" w:rsidR="003754FE" w:rsidRDefault="003754FE" w:rsidP="003754FE">
      <w:pPr>
        <w:pStyle w:val="TextoNormal"/>
      </w:pPr>
    </w:p>
    <w:p w14:paraId="5F05C754" w14:textId="77777777" w:rsidR="003754FE" w:rsidRDefault="003754FE" w:rsidP="003754FE">
      <w:pPr>
        <w:pStyle w:val="TextoNormal"/>
      </w:pPr>
      <w:r>
        <w:t>Por tal razón, las autoridades que intervenían en la fase de presupuestación pudieron consentir o permitir que las autoridades o funcionarios que después intervinieron en la fase de gestión de los fondos presupuestados realizaran los actos de disposición con los que se materializó la efectiva sustracción de los caudales.</w:t>
      </w:r>
    </w:p>
    <w:p w14:paraId="1737CC83" w14:textId="77777777" w:rsidR="003754FE" w:rsidRDefault="003754FE" w:rsidP="003754FE">
      <w:pPr>
        <w:pStyle w:val="TextoNormal"/>
      </w:pPr>
    </w:p>
    <w:p w14:paraId="45FF9D74" w14:textId="77777777" w:rsidR="003754FE" w:rsidRDefault="003754FE" w:rsidP="003754FE">
      <w:pPr>
        <w:pStyle w:val="TextoNormal"/>
      </w:pPr>
      <w:r>
        <w:t>(iii) En lo que se refiere a la posición de garantía que sustenta la condena por esa modalidad omisiva de malversación en la fase de presupuestación, la sentencia casacional sostiene que las personas condenadas por su intervención en la elaboración de los presupuestos y de las modificaciones presupuestarias tenían “competencias funcionales para evitar la sustracción”, pero “no hicieron nada” y “[n]o solo eso, autorizaron año a año, con incumplimiento patente de la legalidad, las partidas presupuestarias que hicieron posible la concesión y pago de las ayudas” (fundamento de Derecho 36.2, pág. 346).</w:t>
      </w:r>
    </w:p>
    <w:p w14:paraId="437C6C7B" w14:textId="77777777" w:rsidR="003754FE" w:rsidRDefault="003754FE" w:rsidP="003754FE">
      <w:pPr>
        <w:pStyle w:val="TextoNormal"/>
      </w:pPr>
    </w:p>
    <w:p w14:paraId="32EDAC65" w14:textId="77777777" w:rsidR="003754FE" w:rsidRDefault="003754FE" w:rsidP="003754FE">
      <w:pPr>
        <w:pStyle w:val="TextoNormal"/>
      </w:pPr>
      <w:r>
        <w:t>Según el Tribunal Supremo, “las autoridades condenadas por intervenir en el proceso de presupuestación” tenían “funcionalmente asignada la competencia para decidir sobre el destino de los fondos públicos, aprobando o no las correspondientes partidas presupuestarias, sin cuya existencia la concesión y pago de las ayudas no habría sido posible, y todos aquellos que conocieron las ilegalidades en su concesión y pago, contribuyeron causalmente al desarrollo de la acción en la medida en que no lo impidieron” (fundamento de Derecho 37.2, pág. 348).</w:t>
      </w:r>
    </w:p>
    <w:p w14:paraId="61A56999" w14:textId="77777777" w:rsidR="003754FE" w:rsidRDefault="003754FE" w:rsidP="003754FE">
      <w:pPr>
        <w:pStyle w:val="TextoNormal"/>
      </w:pPr>
    </w:p>
    <w:p w14:paraId="2FD72914" w14:textId="77777777" w:rsidR="003754FE" w:rsidRDefault="003754FE" w:rsidP="003754FE">
      <w:pPr>
        <w:pStyle w:val="TextoNormal"/>
      </w:pPr>
      <w:r>
        <w:t>f) En el caso particular del recurrente de amparo, estima la Sala de lo Penal que este desarrolló un “comportamiento omisivo continuado” mientras ejerció como viceconsejero de Justicia y “posteriormente como viceconsejero de Innovación” y “vicepresidente de IFA/IDEA” y añade que “intervino en la aprobación de las distintas modificaciones presupuestarias durante el periodo 2000-2009” y de los “distintos anteproyectos de ley de presupuestos y respecto de todas esas resoluciones se declara que se pusieron a disposición de la Dirección General de Trabajo las cantidades en cada caso presupuestadas” conociendo que así se infringía la normativa en materia de subvenciones (fundamento de Derecho 122, pág. 918).</w:t>
      </w:r>
    </w:p>
    <w:p w14:paraId="458879AB" w14:textId="77777777" w:rsidR="003754FE" w:rsidRDefault="003754FE" w:rsidP="003754FE">
      <w:pPr>
        <w:pStyle w:val="TextoNormal"/>
      </w:pPr>
    </w:p>
    <w:p w14:paraId="10D14A07" w14:textId="77777777" w:rsidR="003754FE" w:rsidRDefault="003754FE" w:rsidP="003754FE">
      <w:pPr>
        <w:pStyle w:val="TextoNormal"/>
      </w:pPr>
      <w:r>
        <w:t>Reitera el Alto Tribunal que “al margen de las resoluciones en que intervino, que posibilitaron la habilitación presupuestaria de fondos”, también realizó un comportamiento omisivo subsumible en el delito del art. 432.1 CP, pues “no adoptó acción alguna tendente a modificar la situación existente a pesar de que podía y de que tenía conocimiento suficiente de las irregularidades que se estaban produciendo en la gestión de los fondos” (fundamento de Derecho 122, pág. 920).</w:t>
      </w:r>
    </w:p>
    <w:p w14:paraId="65C3DF88" w14:textId="77777777" w:rsidR="003754FE" w:rsidRDefault="003754FE" w:rsidP="003754FE">
      <w:pPr>
        <w:pStyle w:val="TextoNormal"/>
      </w:pPr>
    </w:p>
    <w:p w14:paraId="46A73196" w14:textId="77777777" w:rsidR="003754FE" w:rsidRDefault="003754FE" w:rsidP="003754FE">
      <w:pPr>
        <w:pStyle w:val="TextoNormal"/>
      </w:pPr>
      <w:r>
        <w:lastRenderedPageBreak/>
        <w:t>5.3</w:t>
      </w:r>
      <w:r w:rsidRPr="003754FE">
        <w:rPr>
          <w:i/>
        </w:rPr>
        <w:t>. Enjuiciamiento de la que</w:t>
      </w:r>
      <w:r>
        <w:t>ja</w:t>
      </w:r>
    </w:p>
    <w:p w14:paraId="2C3892CB" w14:textId="77777777" w:rsidR="003754FE" w:rsidRDefault="003754FE" w:rsidP="003754FE">
      <w:pPr>
        <w:pStyle w:val="TextoNormal"/>
      </w:pPr>
    </w:p>
    <w:p w14:paraId="0A4050E6" w14:textId="77777777" w:rsidR="003754FE" w:rsidRDefault="003754FE" w:rsidP="003754FE">
      <w:pPr>
        <w:pStyle w:val="TextoNormal"/>
      </w:pPr>
      <w:r>
        <w:t>La fundamentación empleada en las resoluciones impugnadas pone de manifiesto que la condena del recurrente por el delito de malversación del art. 432 CP se sustenta en su intervención personal: (i) en la tramitación de los anteproyectos de leyes de presupuestos de 2005 a 2008 en relación con los créditos iniciales para el pago de ayudas sociolaborales y a empresas en crisis comprendidos dentro del programa 31L; (ii) en la tramitación de diversas modificaciones presupuestarias, tanto relativas a las ayudas del programa 22E (ejercicios 2000-2001) como atinentes a las del programa 31L (ejercicios 2002, 2005, 2006 y 2007); y (iii) en la autorización de la firma por parte de IFA/IDEA de convenios particulares con la Consejería de Empleo para el pago, como transferencias de financiación, de las ayudas comprendidas en el programa 31L.</w:t>
      </w:r>
    </w:p>
    <w:p w14:paraId="36602E34" w14:textId="77777777" w:rsidR="003754FE" w:rsidRDefault="003754FE" w:rsidP="003754FE">
      <w:pPr>
        <w:pStyle w:val="TextoNormal"/>
      </w:pPr>
    </w:p>
    <w:p w14:paraId="31BAB3FD" w14:textId="77777777" w:rsidR="003754FE" w:rsidRDefault="003754FE" w:rsidP="003754FE">
      <w:pPr>
        <w:pStyle w:val="TextoNormal"/>
      </w:pPr>
      <w:r>
        <w:t>Esa intervención del recurrente, realizada a sabiendas de las graves irregularidades que, a juicio de las resoluciones impugnadas, conllevaba el sistema de presupuestación empleado, habría supuesto, según explica la sentencia casacional: (i) una contribución activa a la materialización de la sustracción sancionada en el art. 432.1 CP, pues sin el “indebido sistema de presupuestación” no se habrían omitido los trámites y requisitos propios del régimen de las subvenciones y no se habría materializado el “descontrol absoluto” en la concesión de las ayudas; (ii) una contribución omisiva a esa misma sustracción, sancionada expresamente en el mismo precepto del Código penal, pues el recurrente no utilizó su posición institucional, primero como viceconsejero de Justicia y luego como viceconsejero de Innovación y vicepresidente de IFA/IDEA, para evitar que ese proceder ilícito se repitiese en los ejercicios siguientes, por lo que consintió que las autoridades o funcionarios que gestionaban las ayudas las sustrajeran nuevamente de sus fines públicos legítimos, en cada ejercicio sucesivo, a través de una gestión global “libérrima” y “arbitraria”.</w:t>
      </w:r>
    </w:p>
    <w:p w14:paraId="750A90C1" w14:textId="77777777" w:rsidR="003754FE" w:rsidRDefault="003754FE" w:rsidP="003754FE">
      <w:pPr>
        <w:pStyle w:val="TextoNormal"/>
      </w:pPr>
    </w:p>
    <w:p w14:paraId="2D901F58" w14:textId="77777777" w:rsidR="003754FE" w:rsidRDefault="003754FE" w:rsidP="003754FE">
      <w:pPr>
        <w:pStyle w:val="TextoNormal"/>
      </w:pPr>
      <w:r>
        <w:t>Pues bien, siendo este el fundamento de las sentencias impugnadas, es claro que las conclusiones alcanzadas en el fundamento jurídico 4 en relación con el delito de prevaricación tienen influjo directo sobre la evaluación de la posible vulneración del derecho a la legalidad penal en la condena por delito de malversación, pues enlazan plenamente con la vulneración del art. 25.1 CE planteada por el demandante de amparo, según la cual se ha producido una subsunción en el delito de malversación basada exclusivamente en la comisión de conductas ya previamente consideradas prevaricadoras.</w:t>
      </w:r>
    </w:p>
    <w:p w14:paraId="1FA36BA2" w14:textId="77777777" w:rsidR="003754FE" w:rsidRDefault="003754FE" w:rsidP="003754FE">
      <w:pPr>
        <w:pStyle w:val="TextoNormal"/>
      </w:pPr>
    </w:p>
    <w:p w14:paraId="4E48695B" w14:textId="77777777" w:rsidR="003754FE" w:rsidRDefault="003754FE" w:rsidP="003754FE">
      <w:pPr>
        <w:pStyle w:val="TextoNormal"/>
      </w:pPr>
      <w:r>
        <w:t>Para resolver esta queja ha de distinguirse, por tal razón, el enjuiciamiento de las conductas que estaban expresamente amparadas en las leyes de presupuestos en vigor y el de los comportamientos atribuidos al recurrente que carecían de dicho amparo legal.</w:t>
      </w:r>
    </w:p>
    <w:p w14:paraId="28CEC11D" w14:textId="77777777" w:rsidR="003754FE" w:rsidRDefault="003754FE" w:rsidP="003754FE">
      <w:pPr>
        <w:pStyle w:val="TextoNormal"/>
      </w:pPr>
    </w:p>
    <w:p w14:paraId="26C1FF4A" w14:textId="77777777" w:rsidR="003754FE" w:rsidRDefault="003754FE" w:rsidP="003754FE">
      <w:pPr>
        <w:pStyle w:val="TextoNormal"/>
      </w:pPr>
      <w:r>
        <w:t xml:space="preserve">5.3.1. </w:t>
      </w:r>
      <w:r w:rsidRPr="003754FE">
        <w:rPr>
          <w:i/>
        </w:rPr>
        <w:t>Enjuiciamiento de la subsunción en el delito de malversación de las conductas del recurrente relacionadas con la presupuestación y la gestión de las ayudas comprendidas en el programa 31L</w:t>
      </w:r>
    </w:p>
    <w:p w14:paraId="64F5C115" w14:textId="77777777" w:rsidR="003754FE" w:rsidRDefault="003754FE" w:rsidP="003754FE">
      <w:pPr>
        <w:pStyle w:val="TextoNormal"/>
      </w:pPr>
    </w:p>
    <w:p w14:paraId="5248DFB8" w14:textId="77777777" w:rsidR="003754FE" w:rsidRDefault="003754FE" w:rsidP="003754FE">
      <w:pPr>
        <w:pStyle w:val="TextoNormal"/>
      </w:pPr>
      <w:r>
        <w:t xml:space="preserve">Las razones que han conducido en el fundamento jurídico 4 a estimar vulnerado el derecho a la legalidad penal (art. 25.1 CE) en relación con el delito de prevaricación administrativa han de proyectarse sobre la condena del demandante de amparo por delito de malversación en lo que se refiere a las siguientes actuaciones: (i) la modificación presupuestaria de fecha 15 de octubre de 2002 en la que el actor intervino cuando aún ejercía el cargo de </w:t>
      </w:r>
      <w:r>
        <w:lastRenderedPageBreak/>
        <w:t>viceconsejero de Justicia y Administración Pública; (ii) la tramitación de los anteproyectos de leyes de presupuestos de 2005 a 2008, en los que participó ya en calidad de viceconsejero de Innovación, Ciencia y Empresa; (iii) la tramitación de las modificaciones presupuestarias correspondientes a los ejercicios 2005 a 2007, en las que también intervino en esta última condición; (iv) la suscripción por parte de IFA/IDEA de convenios particulares con la Consejería de Empleo para el pago de las ayudas sociolaborales y a empresas en crisis producida mientras el actor fue vicepresidente de dicha agencia.</w:t>
      </w:r>
    </w:p>
    <w:p w14:paraId="41FD5B24" w14:textId="77777777" w:rsidR="003754FE" w:rsidRDefault="003754FE" w:rsidP="003754FE">
      <w:pPr>
        <w:pStyle w:val="TextoNormal"/>
      </w:pPr>
    </w:p>
    <w:p w14:paraId="47BE166D" w14:textId="77777777" w:rsidR="003754FE" w:rsidRDefault="003754FE" w:rsidP="003754FE">
      <w:pPr>
        <w:pStyle w:val="TextoNormal"/>
      </w:pPr>
      <w:r>
        <w:t>A efectos de evaluar el ajuste al derecho a la legalidad penal de la condena por delito de malversación en relación con todas estas actuaciones, han de distinguirse las conductas activas y omisivas que son atribuidas al demandante de amparo.</w:t>
      </w:r>
    </w:p>
    <w:p w14:paraId="5CBC240A" w14:textId="77777777" w:rsidR="003754FE" w:rsidRDefault="003754FE" w:rsidP="003754FE">
      <w:pPr>
        <w:pStyle w:val="TextoNormal"/>
      </w:pPr>
    </w:p>
    <w:p w14:paraId="27B434A2" w14:textId="77777777" w:rsidR="003754FE" w:rsidRDefault="003754FE" w:rsidP="003754FE">
      <w:pPr>
        <w:pStyle w:val="TextoNormal"/>
      </w:pPr>
      <w:r>
        <w:t>a</w:t>
      </w:r>
      <w:r w:rsidRPr="003754FE">
        <w:rPr>
          <w:i/>
        </w:rPr>
        <w:t>) Modalidad activa del delito de malversaci</w:t>
      </w:r>
      <w:r>
        <w:t>ón</w:t>
      </w:r>
    </w:p>
    <w:p w14:paraId="7A3F8EC2" w14:textId="77777777" w:rsidR="003754FE" w:rsidRDefault="003754FE" w:rsidP="003754FE">
      <w:pPr>
        <w:pStyle w:val="TextoNormal"/>
      </w:pPr>
    </w:p>
    <w:p w14:paraId="7C44CDDE" w14:textId="77777777" w:rsidR="003754FE" w:rsidRDefault="003754FE" w:rsidP="003754FE">
      <w:pPr>
        <w:pStyle w:val="TextoNormal"/>
      </w:pPr>
      <w:r>
        <w:t>Según razonan las resoluciones impugnadas, el recurrente, al participar por razón de su cargo de viceconsejero en la tramitación de los anteproyectos de presupuestos de 2005 a 2008 y de las modificaciones presupuestarias de los años 2002, 2005, 2006 y 2007, habría realizado una contribución necesaria para que las ayudas sociolaborales y a empresas en crisis pudieran gestionarse sin sujeción al régimen jurídico de las subvenciones. Como reiteran, en diversos pasajes, las sentencias de instancia y casación, el “indebido sistema de presupuestación” habría dado lugar a la consiguiente sustracción de los caudales públicos, consistente en la omisión radical y absoluta del régimen jurídico previsto para las subvenciones, un régimen al que las ayudas sociolaborales y a empresas en crisis sí se habrían sometido, en cambio, si hubieran sido correctamente presupuestadas.</w:t>
      </w:r>
    </w:p>
    <w:p w14:paraId="2B636F7F" w14:textId="77777777" w:rsidR="003754FE" w:rsidRDefault="003754FE" w:rsidP="003754FE">
      <w:pPr>
        <w:pStyle w:val="TextoNormal"/>
      </w:pPr>
    </w:p>
    <w:p w14:paraId="3843F867" w14:textId="77777777" w:rsidR="003754FE" w:rsidRDefault="003754FE" w:rsidP="003754FE">
      <w:pPr>
        <w:pStyle w:val="TextoNormal"/>
      </w:pPr>
      <w:r>
        <w:t>Esta subsunción en la modalidad activa del delito de malversación resulta imprevisible y, por ello, contraria al art. 25.1 CE por dos razones fundamentales:</w:t>
      </w:r>
    </w:p>
    <w:p w14:paraId="091C4480" w14:textId="77777777" w:rsidR="003754FE" w:rsidRDefault="003754FE" w:rsidP="003754FE">
      <w:pPr>
        <w:pStyle w:val="TextoNormal"/>
      </w:pPr>
    </w:p>
    <w:p w14:paraId="1B7E2AA9" w14:textId="77777777" w:rsidR="003754FE" w:rsidRDefault="003754FE" w:rsidP="003754FE">
      <w:pPr>
        <w:pStyle w:val="TextoNormal"/>
      </w:pPr>
      <w:r>
        <w:t>(i) En primer lugar, el sistema de presupuestación contemplado en un anteproyecto o proyecto de ley de presupuestos solo puede ser considerado “indebido” o “ilícito” —y en tal concepto generador de un sistema de gestión igualmente indebido o ilegal— si es sometido a control o escrutinio jurídico, lo que no puede hacer ningún órgano judicial, tampoco los órganos de la jurisdicción penal.</w:t>
      </w:r>
    </w:p>
    <w:p w14:paraId="3254723F" w14:textId="77777777" w:rsidR="003754FE" w:rsidRDefault="003754FE" w:rsidP="003754FE">
      <w:pPr>
        <w:pStyle w:val="TextoNormal"/>
      </w:pPr>
    </w:p>
    <w:p w14:paraId="0C72E60C" w14:textId="77777777" w:rsidR="003754FE" w:rsidRDefault="003754FE" w:rsidP="003754FE">
      <w:pPr>
        <w:pStyle w:val="TextoNormal"/>
      </w:pPr>
      <w:r>
        <w:t>Como se señaló en la STC 93/2024, de 19 de junio, FJ 4.4.1 a), la doctrina de este tribunal establece “con toda claridad que el contenido de los anteproyectos y proyectos de ley no puede ser objeto de control por ningún órgano judicial” y que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tal y como ya se ha expuesto”.</w:t>
      </w:r>
    </w:p>
    <w:p w14:paraId="499A8490" w14:textId="77777777" w:rsidR="003754FE" w:rsidRDefault="003754FE" w:rsidP="003754FE">
      <w:pPr>
        <w:pStyle w:val="TextoNormal"/>
      </w:pPr>
    </w:p>
    <w:p w14:paraId="3A94F86A" w14:textId="77777777" w:rsidR="003754FE" w:rsidRDefault="003754FE" w:rsidP="003754FE">
      <w:pPr>
        <w:pStyle w:val="TextoNormal"/>
      </w:pPr>
      <w:r>
        <w:t xml:space="preserve">Las resoluciones impugnadas, al considerar que los anteproyectos de leyes de presupuestos en cuya tramitación participó el actor establecían un sistema de presupuestación “indebido” o “ilegal”, causalmente determinante de la posterior malversación, han realizado un control jurídico del contenido de los actos de iniciativa legislativa del Gobierno que les estaba constitucionalmente vedado. El ejercicio de ese control jurídico indebido produce, </w:t>
      </w:r>
      <w:r>
        <w:lastRenderedPageBreak/>
        <w:t>por sí solo, una subsunción completamente imprevisible en el tipo penal de la malversación, pues nadie puede esperar razonablemente que será penalmente condenado por la ilegalidad de un acto cuyo contenido no es susceptible de ser fiscalizado por la jurisdicción penal.</w:t>
      </w:r>
    </w:p>
    <w:p w14:paraId="39397ABF" w14:textId="77777777" w:rsidR="003754FE" w:rsidRDefault="003754FE" w:rsidP="003754FE">
      <w:pPr>
        <w:pStyle w:val="TextoNormal"/>
      </w:pPr>
    </w:p>
    <w:p w14:paraId="7157642A" w14:textId="77777777" w:rsidR="003754FE" w:rsidRDefault="003754FE" w:rsidP="003754FE">
      <w:pPr>
        <w:pStyle w:val="TextoNormal"/>
      </w:pPr>
      <w:r>
        <w:t xml:space="preserve">(ii) El juicio de ilegalidad que las sentencias impugnadas efectúan del sistema de presupuestación contemplado en los anteproyectos y proyectos de leyes de presupuestos desconoce, igualmente, que dichas iniciativas legislativas carecen de cualquier eficacia jurídica </w:t>
      </w:r>
      <w:r w:rsidRPr="003754FE">
        <w:rPr>
          <w:i/>
        </w:rPr>
        <w:t>ad extra</w:t>
      </w:r>
      <w:r>
        <w:t xml:space="preserve"> mientras no sean aprobadas por el Parlamento, momento en el que adquieren rango de ley y a partir del cual han de considerarse válidas, sin que puedan constituir la fuente de actos de disposición ilícita de caudales públicos a efectos de condenar por delito de malversación.</w:t>
      </w:r>
    </w:p>
    <w:p w14:paraId="69392BB4" w14:textId="77777777" w:rsidR="003754FE" w:rsidRDefault="003754FE" w:rsidP="003754FE">
      <w:pPr>
        <w:pStyle w:val="TextoNormal"/>
      </w:pPr>
    </w:p>
    <w:p w14:paraId="3BA00DCB" w14:textId="77777777" w:rsidR="003754FE" w:rsidRDefault="003754FE" w:rsidP="003754FE">
      <w:pPr>
        <w:pStyle w:val="TextoNormal"/>
      </w:pPr>
      <w:r>
        <w:t>Como ya se señaló en la STC 93/2024, de 19 de junio, FJ 4.4.1 b), considerar que “la intervención del Parlamento en la aprobación del presupuesto es meramente formal, hasta el punto de concluir que no puede entenderse aprobado el sistema de presupuestación expresamente previsto en la ley al considerar que este sistema había sido establecido ilegalmente por el Gobierno en el proyecto de ley” implica “privar de toda relevancia a la aprobación parlamentaria de la ley” y “desconocer la centralidad del Parlamento andaluz en el entramado institucional diseñado estatutariamente”, lo que es contrario a los “principios que rigen nuestro sistema constitucional, en particular los que otorgan la centralidad al Parlamento en la conformación del Estado”.</w:t>
      </w:r>
    </w:p>
    <w:p w14:paraId="147C053C" w14:textId="77777777" w:rsidR="003754FE" w:rsidRDefault="003754FE" w:rsidP="003754FE">
      <w:pPr>
        <w:pStyle w:val="TextoNormal"/>
      </w:pPr>
    </w:p>
    <w:p w14:paraId="139CF085" w14:textId="77777777" w:rsidR="003754FE" w:rsidRDefault="003754FE" w:rsidP="003754FE">
      <w:pPr>
        <w:pStyle w:val="TextoNormal"/>
      </w:pPr>
      <w:r>
        <w:t xml:space="preserve">La aprobación de anteproyectos y proyectos de leyes no puede considerarse, por tanto, un acto con eficacia jurídica </w:t>
      </w:r>
      <w:r w:rsidRPr="003754FE">
        <w:rPr>
          <w:i/>
        </w:rPr>
        <w:t>ad extra</w:t>
      </w:r>
      <w:r>
        <w:t xml:space="preserve"> desvinculada de su posterior aprobación parlamentaria; no es susceptible, por ello, de subsunción mínimamente previsible en la modalidad activa del delito de malversación consistente en sustraer, como pretendida fuente de ilicitud de un determinado sistema de gestión.</w:t>
      </w:r>
    </w:p>
    <w:p w14:paraId="21BBA5C4" w14:textId="77777777" w:rsidR="003754FE" w:rsidRDefault="003754FE" w:rsidP="003754FE">
      <w:pPr>
        <w:pStyle w:val="TextoNormal"/>
      </w:pPr>
    </w:p>
    <w:p w14:paraId="58F333DD" w14:textId="77777777" w:rsidR="003754FE" w:rsidRDefault="003754FE" w:rsidP="003754FE">
      <w:pPr>
        <w:pStyle w:val="TextoNormal"/>
      </w:pPr>
      <w:r>
        <w:t>b</w:t>
      </w:r>
      <w:r w:rsidRPr="003754FE">
        <w:rPr>
          <w:i/>
        </w:rPr>
        <w:t>) Modalidad omisiva del delito de malversaci</w:t>
      </w:r>
      <w:r>
        <w:t>ón</w:t>
      </w:r>
    </w:p>
    <w:p w14:paraId="4011AA92" w14:textId="77777777" w:rsidR="003754FE" w:rsidRDefault="003754FE" w:rsidP="003754FE">
      <w:pPr>
        <w:pStyle w:val="TextoNormal"/>
      </w:pPr>
    </w:p>
    <w:p w14:paraId="5A2E1960" w14:textId="77777777" w:rsidR="003754FE" w:rsidRDefault="003754FE" w:rsidP="003754FE">
      <w:pPr>
        <w:pStyle w:val="TextoNormal"/>
      </w:pPr>
      <w:r>
        <w:t>En lo que se refiere a la modalidad omisiva consistente en consentir que un tercero sustraiga, la cobertura que las leyes de presupuestos de 2002 y de 2005 a 2008 daban a la utilización de las transferencias de financiación a la agencia IFA/IDEA para el pago de las ayudas sociolaborales y a empresas en crisis determina que la subsunción en el tipo de malversación resulte, igualmente, imprevisible desde la óptica del art. 25.1 CE, por las razones siguientes:</w:t>
      </w:r>
    </w:p>
    <w:p w14:paraId="7DA13F61" w14:textId="77777777" w:rsidR="003754FE" w:rsidRDefault="003754FE" w:rsidP="003754FE">
      <w:pPr>
        <w:pStyle w:val="TextoNormal"/>
      </w:pPr>
    </w:p>
    <w:p w14:paraId="2DB5C7E9" w14:textId="77777777" w:rsidR="003754FE" w:rsidRDefault="003754FE" w:rsidP="003754FE">
      <w:pPr>
        <w:pStyle w:val="TextoNormal"/>
      </w:pPr>
      <w:r>
        <w:t>(i) En el delito de malversación no hay omisión sancionable si no existe, previamente, un resultado ilícito, esto es, si no hay un acto de sustracción. En la propia construcción del Tribunal Supremo, la omisión castigada en el tipo del art. 432 CP se concibe como una omisión impropia, también llamada comisión por omisión. Dicha modalidad omisiva no consiste en la mera inactividad de la autoridad o funcionario, esto es, en un simple incumplimiento de un deber de actuar. Lo que se atribuye a la autoridad o funcionario público en la modalidad omisiva del delito de malversación es, empleando los términos del art. 11 CP, la “no evitación” de un determinado resultado.</w:t>
      </w:r>
    </w:p>
    <w:p w14:paraId="2110DDEC" w14:textId="77777777" w:rsidR="003754FE" w:rsidRDefault="003754FE" w:rsidP="003754FE">
      <w:pPr>
        <w:pStyle w:val="TextoNormal"/>
      </w:pPr>
    </w:p>
    <w:p w14:paraId="25BD92DA" w14:textId="77777777" w:rsidR="003754FE" w:rsidRDefault="003754FE" w:rsidP="003754FE">
      <w:pPr>
        <w:pStyle w:val="TextoNormal"/>
      </w:pPr>
      <w:r>
        <w:t xml:space="preserve">El resultado que el recurrente de amparo tenía el deber de evitar era, según expone con toda claridad la sentencia de casación, la sustracción por terceros de los caudales públicos, </w:t>
      </w:r>
      <w:r>
        <w:lastRenderedPageBreak/>
        <w:t>entendida como la omisión global y absoluta, en la gestión de las ayudas sociolaborales y a empresas en crisis, de los requisitos y controles propios del régimen de las subvenciones.</w:t>
      </w:r>
    </w:p>
    <w:p w14:paraId="3E1A1EEB" w14:textId="77777777" w:rsidR="003754FE" w:rsidRDefault="003754FE" w:rsidP="003754FE">
      <w:pPr>
        <w:pStyle w:val="TextoNormal"/>
      </w:pPr>
    </w:p>
    <w:p w14:paraId="1EE3A766" w14:textId="77777777" w:rsidR="003754FE" w:rsidRDefault="003754FE" w:rsidP="003754FE">
      <w:pPr>
        <w:pStyle w:val="TextoNormal"/>
      </w:pPr>
      <w:r>
        <w:t>Como se ha explicado, las resoluciones impugnadas entienden que el recurrente de amparo debió actuar para evitar esa sustracción en dos momentos distintos. Primero, al intervenir, como miembro de la Comisión General de Viceconsejeros, en la fase de presupuestación de esas ayudas, pues sabía que ese sistema de presupuestación era indebido y generaba graves irregularidades en su posterior gestión. Después, en su calidad de vicepresidente de IFA/IDEA, en la fase de gestión de las ayudas, ya que podía impedir que el consejo rector de la agencia autorizara la firma de nuevos convenios de colaboración con la Consejería de Empleo.</w:t>
      </w:r>
    </w:p>
    <w:p w14:paraId="0B6BB3AA" w14:textId="77777777" w:rsidR="003754FE" w:rsidRDefault="003754FE" w:rsidP="003754FE">
      <w:pPr>
        <w:pStyle w:val="TextoNormal"/>
      </w:pPr>
    </w:p>
    <w:p w14:paraId="3219A73A" w14:textId="77777777" w:rsidR="003754FE" w:rsidRDefault="003754FE" w:rsidP="003754FE">
      <w:pPr>
        <w:pStyle w:val="TextoNormal"/>
      </w:pPr>
      <w:r>
        <w:t>Sin embargo, como ya hemos señalado en la STC 94/2024, de 2 de julio, FJ 5.3, la consideración como sustracción del sistema global que fue empleado en la gestión de los fondos públicos destinados al pago de las ayudas sociolaborales y a empresas en crisis resulta contraria al art. 25.1 CE, pues es completamente imprevisible calificar como disposición ilícita la actuación conforme a los procedimientos y controles expresamente establecidos en las sucesivas leyes de presupuestos, como normas que tienen el mismo rango que cualquier otra ley.</w:t>
      </w:r>
    </w:p>
    <w:p w14:paraId="7F537256" w14:textId="77777777" w:rsidR="003754FE" w:rsidRDefault="003754FE" w:rsidP="003754FE">
      <w:pPr>
        <w:pStyle w:val="TextoNormal"/>
      </w:pPr>
    </w:p>
    <w:p w14:paraId="0EB21E2A" w14:textId="77777777" w:rsidR="003754FE" w:rsidRDefault="003754FE" w:rsidP="003754FE">
      <w:pPr>
        <w:pStyle w:val="TextoNormal"/>
      </w:pPr>
      <w:r>
        <w:t>Las transferencias de financiación comprendidas en el programa 31L fueron aprobadas en las sucesivas leyes de presupuestos de la Comunidad Autónoma de Andalucía y concretamente, en lo que al recurrente de amparo se refiere, en las leyes de presupuestos de los años 2002 y 2005 a 2008. En las referidas leyes de presupuestos se preveía expresamente que la concesión de las ayudas sociolaborales y a empresas en crisis del programa 31L se efectuara mediante la firma de convenios particulares; también se contemplaba de forma explícita que el pago de las ayudas concedidas se materializara mediante transferencias de financiación a IFA/IDEA. Estas previsiones sobre la concesión, gestión y pago de las ayudas sociolaborales se incorporaron, por tanto, al ordenamiento jurídico como leyes. En consecuencia, las determinaciones contenidas en dichas leyes en relación con el régimen de concesión, control financiero y pago de las ayudas sociolaborales o a empresas en crisis (en concepto de “transferencias de financiación”) no podían ser calificadas de ilícitas o ilegales y la consiguiente consideración de la mera ejecución de tales determinaciones como una sustracción de fondos públicos constitutiva de delito de malversación resultaba, por tal razón, completamente imprevisible y contraria a las exigencias del art. 25.1 CE.</w:t>
      </w:r>
    </w:p>
    <w:p w14:paraId="30F6389F" w14:textId="77777777" w:rsidR="003754FE" w:rsidRDefault="003754FE" w:rsidP="003754FE">
      <w:pPr>
        <w:pStyle w:val="TextoNormal"/>
      </w:pPr>
    </w:p>
    <w:p w14:paraId="6CDC00B6" w14:textId="77777777" w:rsidR="003754FE" w:rsidRDefault="003754FE" w:rsidP="003754FE">
      <w:pPr>
        <w:pStyle w:val="TextoNormal"/>
      </w:pPr>
      <w:r>
        <w:t>Según señalamos en la citada STC 94/2024, nadie puede prever razonablemente que vaya a ser condenado por delito de malversación, esto es, por la disposición ilícita de caudales o efectos públicos, por realizar conductas que tienen cobertura en una norma con rango de ley que regula específicamente el supuesto de hecho al que ese individuo se enfrenta en su calidad de autoridad o funcionario público, pues tal ley, en tanto no sea declarada inconstitucional, ha de considerarse válida.</w:t>
      </w:r>
    </w:p>
    <w:p w14:paraId="567059D4" w14:textId="77777777" w:rsidR="003754FE" w:rsidRDefault="003754FE" w:rsidP="003754FE">
      <w:pPr>
        <w:pStyle w:val="TextoNormal"/>
      </w:pPr>
    </w:p>
    <w:p w14:paraId="6CAAE3F9" w14:textId="77777777" w:rsidR="003754FE" w:rsidRDefault="003754FE" w:rsidP="003754FE">
      <w:pPr>
        <w:pStyle w:val="TextoNormal"/>
      </w:pPr>
      <w:r>
        <w:t xml:space="preserve">Es obvio que sin resultado típico susceptible de válida subsunción en la norma penal desparece también toda posibilidad de subsumir en el mismo precepto la conducta omisiva impropia que castiga a la autoridad que no ha evitado la materialización de ese resultado. En otras palabras, si la omisión de formalidades y procedimientos por parte de las autoridades y funcionarios que intervenían en la gestión de los fondos estaba amparada en la ley, la </w:t>
      </w:r>
      <w:r>
        <w:lastRenderedPageBreak/>
        <w:t>supresión de esos controles no puede considerarse una sustracción; en consecuencia, las autoridades implicadas en la fase de presupuestación o en la materialización del pago de la ayudas, como era el caso del recurrente de amparo en su doble calidad de viceconsejero y de vicepresidente de IFA/IDEA, no pudieron consentir sustracción alguna consistente en la supresión de tales trámites y controles.</w:t>
      </w:r>
    </w:p>
    <w:p w14:paraId="4BFC7C8E" w14:textId="77777777" w:rsidR="003754FE" w:rsidRDefault="003754FE" w:rsidP="003754FE">
      <w:pPr>
        <w:pStyle w:val="TextoNormal"/>
      </w:pPr>
    </w:p>
    <w:p w14:paraId="29064533" w14:textId="77777777" w:rsidR="003754FE" w:rsidRDefault="003754FE" w:rsidP="003754FE">
      <w:pPr>
        <w:pStyle w:val="TextoNormal"/>
      </w:pPr>
      <w:r>
        <w:t xml:space="preserve">(ii) Por las mismas razones ha de considerarse imprevisible la subsunción en la norma penal del deber de actuar supuestamente infringido por el recurrente. Según las resoluciones impugnadas, el demandante de amparo nada hizo, ni en su calidad de viceconsejero ni tampoco en su condición de vicepresidente de IFA/IDEA, para evitar las irregularidades que se consumaban en la gestión de las ayudas sociolaborales y a empresas en crisis como consecuencia del “indebido” sistema de presupuestación. Sin embargo, si esas irregularidades eran, como es la tesis de las sentencias impugnadas, la consecuencia necesaria del sistema de presupuestación del programa 31L y este había sido aprobado en las sucesivas leyes de presupuestos, el recurrente no tenía la obligación de oponerse a esas supuestas ilegalidades, pues no puede establecerse, como omisión sancionada en el delito de malversación, una exigencia de actuación </w:t>
      </w:r>
      <w:r w:rsidRPr="003754FE">
        <w:rPr>
          <w:i/>
        </w:rPr>
        <w:t>contra legem</w:t>
      </w:r>
      <w:r>
        <w:t>, esto es, una obligación de actuar para impedir la realización de actos que tienen expresa cobertura en las leyes de presupuestos en vigor. Tal cosa equivaldría a considerar que la conducta exigible al recurrente de amparo era impedir la aplicación, por parte de las autoridades y funcionarios competentes, de las previsiones expresamente contempladas en una norma con rango de ley.</w:t>
      </w:r>
    </w:p>
    <w:p w14:paraId="4CF2E845" w14:textId="77777777" w:rsidR="003754FE" w:rsidRDefault="003754FE" w:rsidP="003754FE">
      <w:pPr>
        <w:pStyle w:val="TextoNormal"/>
      </w:pPr>
    </w:p>
    <w:p w14:paraId="4DC0292A" w14:textId="77777777" w:rsidR="003754FE" w:rsidRDefault="003754FE" w:rsidP="003754FE">
      <w:pPr>
        <w:pStyle w:val="TextoNormal"/>
      </w:pPr>
      <w:r>
        <w:t>En otras palabras, y en lo que a la concreta intervención del recurrente como vicepresidente de IFA/IDEA se refiere, si la firma de convenios particulares con la Consejería de Empleo y el posterior pago de esas ayudas a través de transferencias de financiación a IFA/IDEA eran actos que estaban expresamente contemplados en las leyes de presupuestos en vigor, el recurrente no podía tener el deber de actuar para evitar que esos convenios fueran firmados y que esos pagos fueran materializados, pues esas actuaciones eran ejecución de normas vigentes con rango de ley.</w:t>
      </w:r>
    </w:p>
    <w:p w14:paraId="493537ED" w14:textId="77777777" w:rsidR="003754FE" w:rsidRDefault="003754FE" w:rsidP="003754FE">
      <w:pPr>
        <w:pStyle w:val="TextoNormal"/>
      </w:pPr>
    </w:p>
    <w:p w14:paraId="4F56163A" w14:textId="77777777" w:rsidR="003754FE" w:rsidRDefault="003754FE" w:rsidP="003754FE">
      <w:pPr>
        <w:pStyle w:val="TextoNormal"/>
      </w:pPr>
      <w:r>
        <w:t>Es importante reseñar, finalmente, que para alcanzar las conclusiones anteriores no es preciso pronunciarse sobre la eventual relación normativa de antinomia o complementariedad que pudiera existir entre el sistema de presupuestación establecido para las ayudas sociolaborales y a empresas en crisis en las sucesivas leyes de presupuestos de la Comunidad Autónoma de Andalucía de los años 2002 a 2009 y las disposiciones previstas en otras normas de rango legal, como la Ley 5/1983, de 19 de julio, general de la hacienda pública de la Comunidad Autónoma de Andalucía o la Ley 38/2003, de 17 de noviembre, general de subvenciones. Las sentencias de instancia y casación son claras al considerar que existe una correspondencia absoluta entre el sistema de presupuestación aprobado por las leyes presupuestarias y el consiguiente sistema global de gestión de los fondos públicos sin sujeción al régimen de las subvenciones, rechazando, en diversos pasajes, que uno y otro puedan ser desconectados, ya que son eslabones sucesivos en la materialización de una ilegalidad originaria, contenida en el sistema de presupuestación inicialmente establecido. Es esa tesis de los órganos judiciales la que es objeto de escrutinio en este recurso de amparo y la que conduce, como se ha expresado, a apreciar que se ha producido una subsunción completamente imprevisible en el delito de malversación. A ella, por tanto, ha de ceñirse nuestro enjuiciamiento.</w:t>
      </w:r>
    </w:p>
    <w:p w14:paraId="6AF1BAAC" w14:textId="77777777" w:rsidR="003754FE" w:rsidRDefault="003754FE" w:rsidP="003754FE">
      <w:pPr>
        <w:pStyle w:val="TextoNormal"/>
      </w:pPr>
    </w:p>
    <w:p w14:paraId="0F17B8F1" w14:textId="77777777" w:rsidR="003754FE" w:rsidRDefault="003754FE" w:rsidP="003754FE">
      <w:pPr>
        <w:pStyle w:val="TextoNormal"/>
      </w:pPr>
      <w:r>
        <w:lastRenderedPageBreak/>
        <w:t>La jurisdicción que nos corresponde ejercer en este proceso constitucional se circunscribe a la revisión de una condena penal desde la perspectiva tuitiva que es propia del derecho a la legalidad en materia sancionadora (art. 25.1 CE). Basta, por ello, con constatar que las leyes de presupuestos de los años 2002 a 2009 —que no fueron impugnadas ni cuestionadas ante este tribunal y que establecieron el sistema de presupuestación que las sentencias impugnadas consideran la fuente de todas las ilegalidades en la posterior concesión de las ayudas— estaban en vigor y amparaban el modo de gestión globalmente seguido para conceder las ayudas sociolaborales y a empresas en crisis a través de transferencias de financiación a la agencia IFA/IDEA.</w:t>
      </w:r>
    </w:p>
    <w:p w14:paraId="5F24C4C4" w14:textId="77777777" w:rsidR="003754FE" w:rsidRDefault="003754FE" w:rsidP="003754FE">
      <w:pPr>
        <w:pStyle w:val="TextoNormal"/>
      </w:pPr>
    </w:p>
    <w:p w14:paraId="2ED6719C" w14:textId="77777777" w:rsidR="003754FE" w:rsidRDefault="003754FE" w:rsidP="003754FE">
      <w:pPr>
        <w:pStyle w:val="TextoNormal"/>
      </w:pPr>
      <w:r>
        <w:t>Ha de estimarse, por ello, vulnerado el derecho a la legalidad penal (art. 25.1 CE) en lo que se refiere a la forma global de gestión que el recurrente habría propiciado: (i) al participar en la tramitación de los anteproyectos de leyes de presupuestos de 2005 a 2008 y en la tramitación de las modificaciones presupuestarias efectuadas para los ejercicios de 2002, 2005, 2006 y 2007; y (ii) al no impedir, en su calidad de vicepresidente de IFA/IDEA, la utilización de esta agencia como entidad colaboradora para el pago de las ayudas por la vía de transferencias de financiación.</w:t>
      </w:r>
    </w:p>
    <w:p w14:paraId="3C6118E7" w14:textId="77777777" w:rsidR="003754FE" w:rsidRDefault="003754FE" w:rsidP="003754FE">
      <w:pPr>
        <w:pStyle w:val="TextoNormal"/>
      </w:pPr>
    </w:p>
    <w:p w14:paraId="066817CA" w14:textId="77777777" w:rsidR="003754FE" w:rsidRDefault="003754FE" w:rsidP="003754FE">
      <w:pPr>
        <w:pStyle w:val="TextoNormal"/>
      </w:pPr>
      <w:r>
        <w:t xml:space="preserve">5.3.2. </w:t>
      </w:r>
      <w:r w:rsidRPr="003754FE">
        <w:rPr>
          <w:i/>
        </w:rPr>
        <w:t>Subsunción en el delito de malversación de conductas que carecían de amparo legal (gestión global de las ayudas comprendidas en el programa 22E y uso de fondos públicos comprendidos en el programa 31L en ausencia o con desviación de su fin público)</w:t>
      </w:r>
    </w:p>
    <w:p w14:paraId="6246A800" w14:textId="77777777" w:rsidR="003754FE" w:rsidRDefault="003754FE" w:rsidP="003754FE">
      <w:pPr>
        <w:pStyle w:val="TextoNormal"/>
      </w:pPr>
    </w:p>
    <w:p w14:paraId="13930386" w14:textId="77777777" w:rsidR="003754FE" w:rsidRDefault="003754FE" w:rsidP="003754FE">
      <w:pPr>
        <w:pStyle w:val="TextoNormal"/>
      </w:pPr>
      <w:r>
        <w:t>El relato de hechos probados de la sentencia de la Audiencia Provincial incluye una serie de conductas sobre las que no pueden proyectarse, en lo que respecta al delito de malversación, las consideraciones que han conducido, en el fundamento jurídico 4, a estimar vulnerado el derecho fundamental a la legalidad penal en relación con el delito de prevaricación (art. 25.1 CE).</w:t>
      </w:r>
    </w:p>
    <w:p w14:paraId="777B1CC5" w14:textId="77777777" w:rsidR="003754FE" w:rsidRDefault="003754FE" w:rsidP="003754FE">
      <w:pPr>
        <w:pStyle w:val="TextoNormal"/>
      </w:pPr>
    </w:p>
    <w:p w14:paraId="39B817ED" w14:textId="77777777" w:rsidR="003754FE" w:rsidRDefault="003754FE" w:rsidP="003754FE">
      <w:pPr>
        <w:pStyle w:val="TextoNormal"/>
      </w:pPr>
      <w:r>
        <w:t>Se trata, concretamente de los hechos siguientes: A) la forma global de gestión, al margen de la normativa sobre subvenciones, de las ayudas comprendidas en el programa 22E derivada de las modificaciones presupuestarias de fecha 28 de julio de 2000, 18 de septiembre de 2001 y 13 de noviembre de 2001, en las que el recurrente intervino en calidad de viceconsejero de Justicia; B) las aplicaciones de fondos del programa 31L en ausencia de todo fin público o para fines distintos de los expresamente autorizados en las leyes de presupuestos de 2005 a 2009, algunas de las cuales se produjeron mientras el recurrente ejerció los cargos de viceconsejero de Innovación y vicepresidente de IFA/IDEA.</w:t>
      </w:r>
    </w:p>
    <w:p w14:paraId="0B8EB274" w14:textId="77777777" w:rsidR="003754FE" w:rsidRDefault="003754FE" w:rsidP="003754FE">
      <w:pPr>
        <w:pStyle w:val="TextoNormal"/>
      </w:pPr>
    </w:p>
    <w:p w14:paraId="0995DFEB" w14:textId="77777777" w:rsidR="003754FE" w:rsidRDefault="003754FE" w:rsidP="003754FE">
      <w:pPr>
        <w:pStyle w:val="TextoNormal"/>
      </w:pPr>
      <w:r>
        <w:t>En ambos casos, resta por examinar si, tal y como afirma el recurrente, la subsunción en el delito de malversación vulnera el derecho a la legalidad penal contemplado en el art. 25.1 CE, al basarse exclusivamente en comportamientos que solo podrían ser constitutivos de delito de prevaricación y que en ningún caso podrían subsumirse autónomamente en la sustracción de caudales públicos sancionada en el art. 432 CP.</w:t>
      </w:r>
    </w:p>
    <w:p w14:paraId="28BF8B8E" w14:textId="77777777" w:rsidR="003754FE" w:rsidRDefault="003754FE" w:rsidP="003754FE">
      <w:pPr>
        <w:pStyle w:val="TextoNormal"/>
      </w:pPr>
    </w:p>
    <w:p w14:paraId="6DBDAC70" w14:textId="77777777" w:rsidR="003754FE" w:rsidRDefault="003754FE" w:rsidP="003754FE">
      <w:pPr>
        <w:pStyle w:val="TextoNormal"/>
      </w:pPr>
      <w:r>
        <w:t>A) Subsunción en el delito de malversación de la conducta del recurrente relacionada con la aprobación de las modificaciones presupuestarias de los ejercicios 2000-2001 relativas al programa 22E</w:t>
      </w:r>
    </w:p>
    <w:p w14:paraId="62B33D60" w14:textId="77777777" w:rsidR="003754FE" w:rsidRDefault="003754FE" w:rsidP="003754FE">
      <w:pPr>
        <w:pStyle w:val="TextoNormal"/>
      </w:pPr>
    </w:p>
    <w:p w14:paraId="7CDD5BCB" w14:textId="77777777" w:rsidR="003754FE" w:rsidRDefault="003754FE" w:rsidP="003754FE">
      <w:pPr>
        <w:pStyle w:val="TextoNormal"/>
      </w:pPr>
      <w:r>
        <w:lastRenderedPageBreak/>
        <w:t>Sobre la gestión global de las ayudas comprendidas en el programa 22E derivada de la aprobación de las modificaciones presupuestarias de fecha 28 de julio de 2000, 18 de septiembre de 2001 y 13 de noviembre de 2001—en cuya tramitación por parte de la Comisión General de Viceconsejeros el recurrente participó, como se ha dicho, en calidad de viceconsejero de Justicia y Administración Pública— han de hacerse las siguientes consideraciones:</w:t>
      </w:r>
    </w:p>
    <w:p w14:paraId="46EB8CFD" w14:textId="77777777" w:rsidR="003754FE" w:rsidRDefault="003754FE" w:rsidP="003754FE">
      <w:pPr>
        <w:pStyle w:val="TextoNormal"/>
      </w:pPr>
    </w:p>
    <w:p w14:paraId="21E067E2" w14:textId="77777777" w:rsidR="003754FE" w:rsidRDefault="003754FE" w:rsidP="003754FE">
      <w:pPr>
        <w:pStyle w:val="TextoNormal"/>
      </w:pPr>
      <w:r>
        <w:t>a) En este supuesto, no es contrario al art. 25.1 CE que las resoluciones judiciales impugnadas hayan considerado que se ha utilizado un sistema de presupuestación indebido, que carecía de toda cobertura legal, pues la partida presupuestaria utilizada —440.01 “Transferencia al IFA en materia de relaciones laborales”— era, según razona la Audiencia Provincial, “legalmente inapropiada” para cubrir el pago de este tipo de subvenciones, ya que no estaba ordenada “para tal fin en la Orden de la Consejería de Hacienda, de 22 de mayo de 1998, por la que se estableció la clasificación económica del presupuesto, la cual había sido dictada en cumplimiento del mandato contenido en el artículo 33 de la Ley 5/1983, general de la hacienda pública de la Comunidad Autónoma de Andalucía” (sentencia de la Audiencia Provincial, fundamento de Derecho 33, pág. 1139).</w:t>
      </w:r>
    </w:p>
    <w:p w14:paraId="028205F0" w14:textId="77777777" w:rsidR="003754FE" w:rsidRDefault="003754FE" w:rsidP="003754FE">
      <w:pPr>
        <w:pStyle w:val="TextoNormal"/>
      </w:pPr>
    </w:p>
    <w:p w14:paraId="3A1F2A20" w14:textId="77777777" w:rsidR="003754FE" w:rsidRDefault="003754FE" w:rsidP="003754FE">
      <w:pPr>
        <w:pStyle w:val="TextoNormal"/>
      </w:pPr>
      <w:r>
        <w:t>En particular, y a diferencia de lo que posteriormente ocurrió, en los ejercicios de 2002 a 2009, con las transferencias de financiación comprendidas en el programa 31L, las leyes de presupuestos para los ejercicios de 2000 y 2001 no amparaban la utilización de la aludida partida para proceder al pago de ayudas sociolaborales o a empresas en crisis, pues la aplicación presupuestaria 440.01 “Transferencia al IFA en materia de relaciones laborales” solo cubría el pago de “las subvenciones de explotación a las empresas de la Junta de Andalucía” (sentencia de la Audiencia Provincial, fundamento de Derecho 33, pág. 1139).</w:t>
      </w:r>
    </w:p>
    <w:p w14:paraId="0976F24B" w14:textId="77777777" w:rsidR="003754FE" w:rsidRDefault="003754FE" w:rsidP="003754FE">
      <w:pPr>
        <w:pStyle w:val="TextoNormal"/>
      </w:pPr>
    </w:p>
    <w:p w14:paraId="0F7EA1BF" w14:textId="77777777" w:rsidR="003754FE" w:rsidRDefault="003754FE" w:rsidP="003754FE">
      <w:pPr>
        <w:pStyle w:val="TextoNormal"/>
      </w:pPr>
      <w:r>
        <w:t>Las modificaciones presupuestarias en cuya tramitación participó el recurrente de amparo en los años 2000 y 2001 infringían, en suma, las previsiones contenidas en las leyes de presupuestos en vigor y las normas presupuestarias que se citan en las sentencias impugnadas.</w:t>
      </w:r>
    </w:p>
    <w:p w14:paraId="63161267" w14:textId="77777777" w:rsidR="003754FE" w:rsidRDefault="003754FE" w:rsidP="003754FE">
      <w:pPr>
        <w:pStyle w:val="TextoNormal"/>
      </w:pPr>
    </w:p>
    <w:p w14:paraId="08FD24A1" w14:textId="77777777" w:rsidR="003754FE" w:rsidRDefault="003754FE" w:rsidP="003754FE">
      <w:pPr>
        <w:pStyle w:val="TextoNormal"/>
      </w:pPr>
      <w:r>
        <w:t>b) Sentada esta premisa, la alegación del recurrente es que la utilización de ese indebido sistema de presupuestación solo puede subsumirse válidamente en los elementos típicos del delito de prevaricación; afirma, en particular, que las resoluciones recurridas no le atribuyen ninguna actuación relacionada con la posterior gestión de los caudales públicos —pues esa gestión se producía exclusivamente en el ámbito de la Consejería de Empleo—, por lo que no ha podido materializarse la subsunción en el art. 432 CP de un modo compatible con el art. 25.1 CE.</w:t>
      </w:r>
    </w:p>
    <w:p w14:paraId="3FB7E3B1" w14:textId="77777777" w:rsidR="003754FE" w:rsidRDefault="003754FE" w:rsidP="003754FE">
      <w:pPr>
        <w:pStyle w:val="TextoNormal"/>
      </w:pPr>
    </w:p>
    <w:p w14:paraId="5DA61DFA" w14:textId="77777777" w:rsidR="003754FE" w:rsidRDefault="003754FE" w:rsidP="003754FE">
      <w:pPr>
        <w:pStyle w:val="TextoNormal"/>
      </w:pPr>
      <w:r>
        <w:t xml:space="preserve">c) Sin embargo, tal y como se ha explicado </w:t>
      </w:r>
      <w:r w:rsidRPr="003754FE">
        <w:rPr>
          <w:i/>
        </w:rPr>
        <w:t>in extenso</w:t>
      </w:r>
      <w:r>
        <w:t xml:space="preserve"> en el punto 5.2 de este mismo fundamento, el Tribunal Supremo entiende que la sustracción de los caudales públicos sancionada en el art. 432.1 CP puede consistir en el apartamiento total y absoluto de los trámites y controles legalmente exigidos para la gestión de los caudales, en ausencia de los cuales se materializa una gestión libérrima y arbitraria que no puede estimarse, por concepto, que atienda a ninguna finalidad que pueda reputarse pública.</w:t>
      </w:r>
    </w:p>
    <w:p w14:paraId="4350CC7D" w14:textId="77777777" w:rsidR="003754FE" w:rsidRDefault="003754FE" w:rsidP="003754FE">
      <w:pPr>
        <w:pStyle w:val="TextoNormal"/>
      </w:pPr>
    </w:p>
    <w:p w14:paraId="19C503A4" w14:textId="77777777" w:rsidR="003754FE" w:rsidRDefault="003754FE" w:rsidP="003754FE">
      <w:pPr>
        <w:pStyle w:val="TextoNormal"/>
      </w:pPr>
      <w:r>
        <w:t xml:space="preserve">Esta interpretación del concepto de sustracción no ha sido cuestionada por el recurrente de amparo. En todo caso, ya en la STC 94/2024, de 2 de julio, FJ 5.2, se ha señalado que </w:t>
      </w:r>
      <w:r>
        <w:lastRenderedPageBreak/>
        <w:t>dicha interpretación resulta compatible, abstractamente considerada, con el derecho fundamental a la legalidad penal contemplado en el art. 25.1 CE.</w:t>
      </w:r>
    </w:p>
    <w:p w14:paraId="6DD5FC10" w14:textId="77777777" w:rsidR="003754FE" w:rsidRDefault="003754FE" w:rsidP="003754FE">
      <w:pPr>
        <w:pStyle w:val="TextoNormal"/>
      </w:pPr>
    </w:p>
    <w:p w14:paraId="07D30088" w14:textId="77777777" w:rsidR="003754FE" w:rsidRDefault="003754FE" w:rsidP="003754FE">
      <w:pPr>
        <w:pStyle w:val="TextoNormal"/>
      </w:pPr>
      <w:r>
        <w:t>d) En el caso que nos ocupa, la Sala de lo Penal estima, en particular, que la sustracción constitutiva de la malversación no se sustancia con la utilización, en infracción de la normativa presupuestaria, de un indebido sistema de presupuestación, como conducta constitutiva de prevaricación administrativa, sino en la materialización posterior de un hecho adicional —que la tipicidad de la prevaricación no abarca— que consiste en la gestión de los fondos públicos con omisión absoluta y radical de los procedimientos y controles propios del régimen legal de las subvenciones, tanto en lo relativo a la fiscalización previa del gasto por parte de la intervención delegada de la Consejería de Empleo como al seguimiento, en la concesión de las ayudas, de un procedimiento administrativo caracterizado por las notas de publicidad, objetividad y concurrencia.</w:t>
      </w:r>
    </w:p>
    <w:p w14:paraId="4CBE9DCA" w14:textId="77777777" w:rsidR="003754FE" w:rsidRDefault="003754FE" w:rsidP="003754FE">
      <w:pPr>
        <w:pStyle w:val="TextoNormal"/>
      </w:pPr>
    </w:p>
    <w:p w14:paraId="21892C85" w14:textId="77777777" w:rsidR="003754FE" w:rsidRDefault="003754FE" w:rsidP="003754FE">
      <w:pPr>
        <w:pStyle w:val="TextoNormal"/>
      </w:pPr>
      <w:r>
        <w:t>En lo que se refiere, en concreto, al régimen de concesión de las subvenciones, las resoluciones impugnadas coinciden en señalar que se omitió por completo la aplicación del régimen normativo previsto en el título VIII de la Ley 5/1983, de 19 de julio, general de la hacienda pública de la Comunidad Autónoma de Andalucía, en cuanto régimen general, vigente desde el año 1996, que no había sido desplazado en los ejercicios de 2000 y 2001 por ninguna normativa especial, tampoco por una normativa específicamente establecida en las leyes de presupuestos (como puede entenderse que ocurrió, en cambio, a partir del ejercicio de 2002 y hasta 2009).</w:t>
      </w:r>
    </w:p>
    <w:p w14:paraId="4153EA48" w14:textId="77777777" w:rsidR="003754FE" w:rsidRDefault="003754FE" w:rsidP="003754FE">
      <w:pPr>
        <w:pStyle w:val="TextoNormal"/>
      </w:pPr>
    </w:p>
    <w:p w14:paraId="0C41A570" w14:textId="77777777" w:rsidR="003754FE" w:rsidRDefault="003754FE" w:rsidP="003754FE">
      <w:pPr>
        <w:pStyle w:val="TextoNormal"/>
      </w:pPr>
      <w:r>
        <w:t>Es, en definitiva, ese apartamiento absoluto, en la gestión global de los fondos, de la normativa vigente en materia subvencional el que determina que el manejo de los caudales se realizara “como si fueran propios, en favor de empresas y personas libremente determinadas y según las preferencias e intereses políticos de las autoridades que concedían las subvenciones”, en particular “sin bases de convocatoria, sin publicidad, en ocasiones sin precisar el objeto de la ayuda, y sin el cumplimiento de todo el amplio sistema de controles y garantías establecido en la ley” (sentencia del Tribunal Supremo, fundamento de Derecho 33, pág. 321).</w:t>
      </w:r>
    </w:p>
    <w:p w14:paraId="05E8DD4E" w14:textId="77777777" w:rsidR="003754FE" w:rsidRDefault="003754FE" w:rsidP="003754FE">
      <w:pPr>
        <w:pStyle w:val="TextoNormal"/>
      </w:pPr>
    </w:p>
    <w:p w14:paraId="1C17088C" w14:textId="77777777" w:rsidR="003754FE" w:rsidRDefault="003754FE" w:rsidP="003754FE">
      <w:pPr>
        <w:pStyle w:val="TextoNormal"/>
      </w:pPr>
      <w:r>
        <w:t>e) La intervención del recurrente de amparo en esa sustracción está claramente concretada tanto en la sentencia de instancia como en la casacional. Ambas ponen de manifiesto que la aprobación de las modificaciones presupuestarias del programa 22E tenía la finalidad de facilitar la posterior omisión, en la gestión de los caudales, del régimen jurídico propio de las subvenciones y que fue ese indebido sistema de presupuestación el que dio la cobertura formal a la Consejería de Empleo para tramitar lo que eran verdaderas subvenciones como meras transferencias de financiación, sin fiscalización previa del gasto y sin sujeción a las normas de procedimiento administrativo subvencional.</w:t>
      </w:r>
    </w:p>
    <w:p w14:paraId="7D49B15C" w14:textId="77777777" w:rsidR="003754FE" w:rsidRDefault="003754FE" w:rsidP="003754FE">
      <w:pPr>
        <w:pStyle w:val="TextoNormal"/>
      </w:pPr>
    </w:p>
    <w:p w14:paraId="5618FF0E" w14:textId="77777777" w:rsidR="003754FE" w:rsidRDefault="003754FE" w:rsidP="003754FE">
      <w:pPr>
        <w:pStyle w:val="TextoNormal"/>
      </w:pPr>
      <w:r>
        <w:t xml:space="preserve">Asimismo, el Tribunal Supremo explica, en la sentencia casacional, que el comportamiento del recurrente, en relación con esa gestión libérrima realizada por las autoridades concretamente encargadas de la gestión de los fondos, consistió en consentir que dichas autoridades las sustrajeran de su finalidad pública con su actuación completamente arbitraria. Según señala el Alto Tribunal, en la administración contemporánea las competencias sobre los caudales públicos suelen ser compartidas por entes y sujetos distintos, con áreas diversas de responsabilidad. En esa situación de concurrencia competencial, las autoridades </w:t>
      </w:r>
      <w:r>
        <w:lastRenderedPageBreak/>
        <w:t>que intervienen en un tramo inicial de la administración de los recursos públicos, una vez que advierten la existencia de graves irregularidades en un eslabón posterior, pueden consentir (comportamiento omisivo) que tales fondos públicos sean sustraídos (comportamiento activo) si no adoptan ninguna medida tendente a evitarlo, especialmente si, por tener altos cargos de responsabilidad política, están en una posición institucional idónea para ello.</w:t>
      </w:r>
    </w:p>
    <w:p w14:paraId="7941D62D" w14:textId="77777777" w:rsidR="003754FE" w:rsidRDefault="003754FE" w:rsidP="003754FE">
      <w:pPr>
        <w:pStyle w:val="TextoNormal"/>
      </w:pPr>
    </w:p>
    <w:p w14:paraId="58B84466" w14:textId="77777777" w:rsidR="003754FE" w:rsidRDefault="003754FE" w:rsidP="003754FE">
      <w:pPr>
        <w:pStyle w:val="TextoNormal"/>
      </w:pPr>
      <w:r>
        <w:t>Esta interpretación del Tribunal Supremo tampoco ha sido combatida por el recurrente en su demanda de amparo.</w:t>
      </w:r>
    </w:p>
    <w:p w14:paraId="1442F39A" w14:textId="77777777" w:rsidR="003754FE" w:rsidRDefault="003754FE" w:rsidP="003754FE">
      <w:pPr>
        <w:pStyle w:val="TextoNormal"/>
      </w:pPr>
    </w:p>
    <w:p w14:paraId="2DBC8C57" w14:textId="77777777" w:rsidR="003754FE" w:rsidRDefault="003754FE" w:rsidP="003754FE">
      <w:pPr>
        <w:pStyle w:val="TextoNormal"/>
      </w:pPr>
      <w:r>
        <w:t>A la vista de los argumentos expuestos, es claro que la tesis del actor, según la cual la subsunción en el delito de malversación es contraria al art. 25.1 CE porque carece de soporte argumental que la deslinde de la mera realización de conductas prevaricadoras, no puede prosperar en relación con la gestión global de los fondos comprendidos en el programa 22E.</w:t>
      </w:r>
    </w:p>
    <w:p w14:paraId="587B4E2B" w14:textId="77777777" w:rsidR="003754FE" w:rsidRDefault="003754FE" w:rsidP="003754FE">
      <w:pPr>
        <w:pStyle w:val="TextoNormal"/>
      </w:pPr>
    </w:p>
    <w:p w14:paraId="3F4CC0D2" w14:textId="77777777" w:rsidR="003754FE" w:rsidRDefault="003754FE" w:rsidP="003754FE">
      <w:pPr>
        <w:pStyle w:val="TextoNormal"/>
      </w:pPr>
      <w:r>
        <w:t>B) Subsunción de la conducta del recurrente en el delito de malversación en relación con la asignación de fondos públicos del programa 31L en ausencia o con desviación de su fin público</w:t>
      </w:r>
    </w:p>
    <w:p w14:paraId="286EFAC0" w14:textId="77777777" w:rsidR="003754FE" w:rsidRDefault="003754FE" w:rsidP="003754FE">
      <w:pPr>
        <w:pStyle w:val="TextoNormal"/>
      </w:pPr>
    </w:p>
    <w:p w14:paraId="783E495C" w14:textId="77777777" w:rsidR="003754FE" w:rsidRDefault="003754FE" w:rsidP="003754FE">
      <w:pPr>
        <w:pStyle w:val="TextoNormal"/>
      </w:pPr>
      <w:r>
        <w:t>La condena por malversación incluye una serie de conductas relativas a la gestión de los fondos del programa 31L cuya ilicitud no obedece a la supresión de trámites y controles como consecuencia del sistema de presupuestación utilizado sino a dos factores diferentes: a) por una parte, a la concesión de las concretas ayudas del referido programa, por parte de las autoridades de la Consejería de Empleo, en ausencia de todo fin público, cuestión de la que se ocupa el fundamento de Derecho 45 de la sentencia de la Audiencia Provincial; b) por otra, a la asignación de fondos públicos a fines distintos y ajenos a los recogidos para el programa 31L, concretamente en los supuestos especificados en la letra C) del hecho probado vigesimosegundo.</w:t>
      </w:r>
    </w:p>
    <w:p w14:paraId="4A42C4AC" w14:textId="77777777" w:rsidR="003754FE" w:rsidRDefault="003754FE" w:rsidP="003754FE">
      <w:pPr>
        <w:pStyle w:val="TextoNormal"/>
      </w:pPr>
    </w:p>
    <w:p w14:paraId="01E73090" w14:textId="77777777" w:rsidR="003754FE" w:rsidRDefault="003754FE" w:rsidP="003754FE">
      <w:pPr>
        <w:pStyle w:val="TextoNormal"/>
      </w:pPr>
      <w:r>
        <w:t>a) La Audiencia Provincial considera que las ayudas del programa 31L fueron concedidas por “los acusados pertenecientes a la Consejería de Empleo” (fundamento de Derecho 45, pág. 1722) sin que concurriera “el fin público o social” que constituía su causa legítima. Distingue, en este punto, dos clases de ayudas: (i) las que tenían como finalidad cubrir los importes de las indemnizaciones derivadas de expedientes de regulación de empleo en situaciones de insolvencia de la empresa empleadora (beneficiaria de la ayuda); y (ii) las que no guardaban relación con la tramitación y aprobación de los expedientes de regulación de empleo.</w:t>
      </w:r>
    </w:p>
    <w:p w14:paraId="08012A60" w14:textId="77777777" w:rsidR="003754FE" w:rsidRDefault="003754FE" w:rsidP="003754FE">
      <w:pPr>
        <w:pStyle w:val="TextoNormal"/>
      </w:pPr>
    </w:p>
    <w:p w14:paraId="7FE40407" w14:textId="77777777" w:rsidR="003754FE" w:rsidRDefault="003754FE" w:rsidP="003754FE">
      <w:pPr>
        <w:pStyle w:val="TextoNormal"/>
      </w:pPr>
      <w:r>
        <w:t>(i) En cuanto a las ayudas que tenían como finalidad cubrir los importes de las indemnizaciones por rescisión de la relación laboral en situaciones de ERE, la Audiencia estima que la Consejería de Empleo otorgó este tipo de ayudas sin comprobar que las empresas beneficiarias carecieran de capacidad económica para afrontar el pago de las indemnizaciones de los trabajadores afectados. La administración pública andaluza asumió, de ese modo, los costes de los expedientes de regulación de empleo de empresas sin determinar si estas eran solventes o no (fundamento de Derecho 45, pág. 1711), lo que “facilitaba a estas empresas la reducción de plantillas, sin el coste económico que ello conlleva”, con “el consiguiente lucro para las mismas” (fundamento 45, pág. 1712).</w:t>
      </w:r>
    </w:p>
    <w:p w14:paraId="43546222" w14:textId="77777777" w:rsidR="003754FE" w:rsidRDefault="003754FE" w:rsidP="003754FE">
      <w:pPr>
        <w:pStyle w:val="TextoNormal"/>
      </w:pPr>
    </w:p>
    <w:p w14:paraId="127BC950" w14:textId="77777777" w:rsidR="003754FE" w:rsidRDefault="003754FE" w:rsidP="003754FE">
      <w:pPr>
        <w:pStyle w:val="TextoNormal"/>
      </w:pPr>
      <w:r>
        <w:lastRenderedPageBreak/>
        <w:t>(ii) En lo que respecta a las ayudas que no guardaban relación con la tramitación y aprobación de expedientes de regulación de empleo, considera la sentencia de la Audiencia Provincial que “[u]na parte importante” de estas otras subvenciones carecían “de objeto concreto y claramente definido” (fundamento de Derecho 45, pág. 1714) y señala que se destinaron a “fines muy diversos” (como pago de nóminas, deudas, gastos de primer establecimiento de la empresa, minutas por asesoramiento jurídico en materia laboral, mejoras salariales derivadas de convenios colectivos, cursos de alta dirección, indemnizaciones derivadas de despidos improcedentes o préstamos para pago de nóminas). Añade que estas ayudas se concedieron sin comprobar las circunstancias del beneficiario, “especialmente en lo que se refiere a que la empresa no tuviera capacidad económica para hacer frente, en todo o en parte, a las obligaciones asumidas por la Junta” (fundamento 45, pág. 1715).</w:t>
      </w:r>
    </w:p>
    <w:p w14:paraId="7A4B06C0" w14:textId="77777777" w:rsidR="003754FE" w:rsidRDefault="003754FE" w:rsidP="003754FE">
      <w:pPr>
        <w:pStyle w:val="TextoNormal"/>
      </w:pPr>
    </w:p>
    <w:p w14:paraId="56F5C1F5" w14:textId="77777777" w:rsidR="003754FE" w:rsidRDefault="003754FE" w:rsidP="003754FE">
      <w:pPr>
        <w:pStyle w:val="TextoNormal"/>
      </w:pPr>
      <w:r>
        <w:t>Concluye la Audiencia Provincial que los fondos del programa 31L fueron, en todos estos casos, objeto de disposición para realizar pagos “completamente ajenos al interés público” (fundamento de Derecho 45, pág. 172), lo que sintetiza señalando que tanto las ayudas concedidas para la cobertura de situaciones de ERE como las “restantes subvenciones” se otorgaron sin que se acreditara “la incapacidad de la empresa para hacer frente a los pagos”, lo que “supone disponer de los fondos públicos para un fin ajeno al interés público” (fundamento 45, pág. 1721).</w:t>
      </w:r>
    </w:p>
    <w:p w14:paraId="0CB26CA3" w14:textId="77777777" w:rsidR="003754FE" w:rsidRDefault="003754FE" w:rsidP="003754FE">
      <w:pPr>
        <w:pStyle w:val="TextoNormal"/>
      </w:pPr>
    </w:p>
    <w:p w14:paraId="08747781" w14:textId="77777777" w:rsidR="003754FE" w:rsidRDefault="003754FE" w:rsidP="003754FE">
      <w:pPr>
        <w:pStyle w:val="TextoNormal"/>
      </w:pPr>
      <w:r>
        <w:t>Como puede comprobarse, la ilicitud de estos actos de disposición de los fondos públicos del programa 31.L trasciende la mera omisión de trámites y procedimientos propios de la normativa de las subvenciones y está asociada a la ausencia, en el momento de la concesión de las ayudas por parte de la Consejería de Empleo, de una causa legítima, concretamente de una situación de insolvencia de la empresa beneficiaria que justificase que fuera la administración pública andaluza, y no la propia empresa afectada, la que asumiera los pagos correspondientes.</w:t>
      </w:r>
    </w:p>
    <w:p w14:paraId="1E72F232" w14:textId="77777777" w:rsidR="003754FE" w:rsidRDefault="003754FE" w:rsidP="003754FE">
      <w:pPr>
        <w:pStyle w:val="TextoNormal"/>
      </w:pPr>
    </w:p>
    <w:p w14:paraId="0BF752FA" w14:textId="77777777" w:rsidR="003754FE" w:rsidRDefault="003754FE" w:rsidP="003754FE">
      <w:pPr>
        <w:pStyle w:val="TextoNormal"/>
      </w:pPr>
      <w:r>
        <w:t>Es claro que las leyes de presupuestos no legitimaban la disposición de los fondos presupuestados sin la concurrencia de los fines públicos propios de las ayudas sociolaborales y a empresas en crisis, por lo que esta concreta forma de disposición de los caudales por parte de la Consejería de Empleo, asociada a la ausencia de causa justificativa, no está abarcada por los razonamientos relativos a la imprevisible subsunción en el delito de malversación de la forma global de gestión del programa 31L derivada del sistema de presupuestación utilizado</w:t>
      </w:r>
      <w:r w:rsidRPr="003754FE">
        <w:rPr>
          <w:i/>
        </w:rPr>
        <w:t xml:space="preserve"> (vid. sup</w:t>
      </w:r>
      <w:r>
        <w:t>ra FJ 5.3.1).</w:t>
      </w:r>
    </w:p>
    <w:p w14:paraId="1960B81F" w14:textId="77777777" w:rsidR="003754FE" w:rsidRDefault="003754FE" w:rsidP="003754FE">
      <w:pPr>
        <w:pStyle w:val="TextoNormal"/>
      </w:pPr>
    </w:p>
    <w:p w14:paraId="40E5650F" w14:textId="77777777" w:rsidR="003754FE" w:rsidRDefault="003754FE" w:rsidP="003754FE">
      <w:pPr>
        <w:pStyle w:val="TextoNormal"/>
      </w:pPr>
      <w:r>
        <w:t>b) Por su parte, en todos los casos comprendidos la letra C) del hecho probado vigesimosegundo de la sentencia de la Audiencia Provincial, la carga de ilicitud que se atribuye a los actos de disposición tampoco está en la omisión de determinados controles o procedimientos propios del régimen de subvenciones sino en el apartamiento, en la concreta concesión de los fondos, de los fines públicos contemplados en las sucesivas leyes de presupuestos para el programa 31L. Estaríamos, por tanto, ante actos de disposición cuya ilicitud no se atribuye a la estricta aplicación del sistema de presupuestación establecido en las normas presupuestarias en vigor. Al contrario, se habrían realizado con apartamiento de los fines legítimos que dicho sistema de presupuestación contemplaba.</w:t>
      </w:r>
    </w:p>
    <w:p w14:paraId="566A9C67" w14:textId="77777777" w:rsidR="003754FE" w:rsidRDefault="003754FE" w:rsidP="003754FE">
      <w:pPr>
        <w:pStyle w:val="TextoNormal"/>
      </w:pPr>
    </w:p>
    <w:p w14:paraId="26EB2231" w14:textId="77777777" w:rsidR="003754FE" w:rsidRDefault="003754FE" w:rsidP="003754FE">
      <w:pPr>
        <w:pStyle w:val="TextoNormal"/>
      </w:pPr>
      <w:r>
        <w:t xml:space="preserve">En relación con todos estos supuestos de disposición de fondos sin amparo en el sistema de presupuestación del programa 31L, sea por ausencia o por desviación de su fin público, </w:t>
      </w:r>
      <w:r>
        <w:lastRenderedPageBreak/>
        <w:t>tampoco en este supuesto puede acogerse la tesis del demandante de amparo según la cual las sentencias impugnadas no dan argumento alguno que deslinde su condena por malversación de la realización de meras actuaciones prevaricadoras en la fase de presupuestación, pues:</w:t>
      </w:r>
    </w:p>
    <w:p w14:paraId="74175427" w14:textId="77777777" w:rsidR="003754FE" w:rsidRDefault="003754FE" w:rsidP="003754FE">
      <w:pPr>
        <w:pStyle w:val="TextoNormal"/>
      </w:pPr>
    </w:p>
    <w:p w14:paraId="3AFB5A1F" w14:textId="77777777" w:rsidR="003754FE" w:rsidRDefault="003754FE" w:rsidP="003754FE">
      <w:pPr>
        <w:pStyle w:val="TextoNormal"/>
      </w:pPr>
      <w:r>
        <w:t>(i) En el caso particular del recurrente, la sentencia de instancia construye una particular posición de garantía, que no se basa únicamente en la intervención en la fase de presupuestación, sino también en el ejercicio del cargo de vicepresidente de IFA/IDEA fundamento de Derecho 33, págs. 1144, 1146-1147). Este dato pone de relieve, por sí solo, que, frente a lo argumentado por el recurrente de amparo, sí se le atribuye una conexión específica con la gestión de los fondos, en concreto con la fase de gasto a cargo de IFA/IDEA.</w:t>
      </w:r>
    </w:p>
    <w:p w14:paraId="1133D70F" w14:textId="77777777" w:rsidR="003754FE" w:rsidRDefault="003754FE" w:rsidP="003754FE">
      <w:pPr>
        <w:pStyle w:val="TextoNormal"/>
      </w:pPr>
    </w:p>
    <w:p w14:paraId="3EE3C363" w14:textId="77777777" w:rsidR="003754FE" w:rsidRDefault="003754FE" w:rsidP="003754FE">
      <w:pPr>
        <w:pStyle w:val="TextoNormal"/>
      </w:pPr>
      <w:r>
        <w:t>(ii) La sentencia casacional también se ocupa, por su parte, de esta concreta vertiente de la condena al señalar que “en el hecho probado vigesimotercero [de la sentencia de instancia] se declara probado que, junto con el resto de acusados condenados por delito de malversación, no solo dictaron resoluciones (bien concediendo las subvenciones, bien aprobando los proyectos normativos que habilitaron los fondos para pago de las mismas), sino que también conocían las irregularidades que se estaban produciendo en la gestión de los fondos y posibilitaron por omisión que siguiera reproduciéndose el procedimiento ilícito”.</w:t>
      </w:r>
    </w:p>
    <w:p w14:paraId="12253F5C" w14:textId="77777777" w:rsidR="003754FE" w:rsidRDefault="003754FE" w:rsidP="003754FE">
      <w:pPr>
        <w:pStyle w:val="TextoNormal"/>
      </w:pPr>
    </w:p>
    <w:p w14:paraId="08E48F28" w14:textId="77777777" w:rsidR="003754FE" w:rsidRDefault="003754FE" w:rsidP="003754FE">
      <w:pPr>
        <w:pStyle w:val="TextoNormal"/>
      </w:pPr>
      <w:r>
        <w:t>Las resoluciones recurridas consideran, en definitiva, que el recurrente tenía conocimiento del posible uso de los fondos en ausencia o con desviación de su fin público y que debía, en consecuencia, actuar, tanto en la fase de presupuestación de las ayudas como en calidad de vicepresidente de IFA/IDEA, para evitar que ese resultado ilícito siguiera produciéndose.</w:t>
      </w:r>
    </w:p>
    <w:p w14:paraId="21A9EB22" w14:textId="77777777" w:rsidR="003754FE" w:rsidRDefault="003754FE" w:rsidP="003754FE">
      <w:pPr>
        <w:pStyle w:val="TextoNormal"/>
      </w:pPr>
    </w:p>
    <w:p w14:paraId="52CE9682" w14:textId="77777777" w:rsidR="003754FE" w:rsidRDefault="003754FE" w:rsidP="003754FE">
      <w:pPr>
        <w:pStyle w:val="TextoNormal"/>
      </w:pPr>
      <w:r>
        <w:t>Existe, en suma, una argumentación específica que deslinda la responsabilidad por delito de malversación de la mera realización de una conducta prevaricadora, por lo que la queja del actor también debe ser desestimada en este concreto punto.</w:t>
      </w:r>
    </w:p>
    <w:p w14:paraId="34DF8A8A" w14:textId="77777777" w:rsidR="003754FE" w:rsidRDefault="003754FE" w:rsidP="003754FE">
      <w:pPr>
        <w:pStyle w:val="TextoNormal"/>
      </w:pPr>
    </w:p>
    <w:p w14:paraId="0FBF3A5E" w14:textId="3A577257" w:rsidR="003754FE" w:rsidRDefault="003754FE" w:rsidP="003754FE">
      <w:pPr>
        <w:pStyle w:val="TextoNormal"/>
      </w:pPr>
      <w:r>
        <w:t>Ha de desestimarse, en definitiva, la vulneración del derecho a la legalidad penal (art. 25.1 CE) en relación con: (i) la subsunción en el delito de malversación de la participación del recurrente en las modificaciones presupuestarias del programa 22E de los años 2000-2001; y (ii) en lo referente al uso de fondos incluidos en el programa 31L en ausencia o con desviación de su fin público.</w:t>
      </w:r>
    </w:p>
    <w:p w14:paraId="389C4DFB" w14:textId="77777777" w:rsidR="003754FE" w:rsidRDefault="003754FE" w:rsidP="003754FE">
      <w:pPr>
        <w:pStyle w:val="TextoNormal"/>
      </w:pPr>
    </w:p>
    <w:p w14:paraId="71144E00" w14:textId="77777777" w:rsidR="003754FE" w:rsidRDefault="003754FE" w:rsidP="003754FE">
      <w:pPr>
        <w:pStyle w:val="TextoNormal"/>
      </w:pPr>
      <w:r w:rsidRPr="003754FE">
        <w:rPr>
          <w:rStyle w:val="NumeroAFNegritaCaracter"/>
        </w:rPr>
        <w:t>6</w:t>
      </w:r>
      <w:r>
        <w:t xml:space="preserve">. </w:t>
      </w:r>
      <w:r w:rsidRPr="003754FE">
        <w:rPr>
          <w:i/>
        </w:rPr>
        <w:t>Enjuiciamiento de la queja relativa a la vulneración del derecho a la presunción de inocencia (art. 24.2 CE) en relación con la condena por delito de malversación de caudales públicos respecto de las ayudas concedidas en ausencia de fin público y de las partidas desviadas del programa presupuestario 31L declaradas en la sentencia de instancia</w:t>
      </w:r>
    </w:p>
    <w:p w14:paraId="530D54D1" w14:textId="77777777" w:rsidR="003754FE" w:rsidRDefault="003754FE" w:rsidP="003754FE">
      <w:pPr>
        <w:pStyle w:val="TextoNormal"/>
      </w:pPr>
    </w:p>
    <w:p w14:paraId="3FE4F174" w14:textId="77777777" w:rsidR="003754FE" w:rsidRDefault="003754FE" w:rsidP="003754FE">
      <w:pPr>
        <w:pStyle w:val="TextoNormal"/>
      </w:pPr>
      <w:r>
        <w:t xml:space="preserve">6.1. </w:t>
      </w:r>
      <w:r w:rsidRPr="003754FE">
        <w:rPr>
          <w:i/>
        </w:rPr>
        <w:t>Posiciones de las partes</w:t>
      </w:r>
    </w:p>
    <w:p w14:paraId="7327E523" w14:textId="77777777" w:rsidR="003754FE" w:rsidRDefault="003754FE" w:rsidP="003754FE">
      <w:pPr>
        <w:pStyle w:val="TextoNormal"/>
      </w:pPr>
    </w:p>
    <w:p w14:paraId="3D71FB57" w14:textId="77777777" w:rsidR="003754FE" w:rsidRDefault="003754FE" w:rsidP="003754FE">
      <w:pPr>
        <w:pStyle w:val="TextoNormal"/>
      </w:pPr>
      <w:r>
        <w:t xml:space="preserve">En el motivo primero de la demanda de amparo se denuncia la vulneración del derecho fundamental a la presunción de inocencia (art. 24.2 CE) al considerar el demandante que no existe material probatorio suficiente para declarar su culpabilidad por el delito de malversación y al haberse realizado una valoración irracional, arbitraria e ilógica de la prueba </w:t>
      </w:r>
      <w:r>
        <w:lastRenderedPageBreak/>
        <w:t>practicada a fin de concluir su condena. Centra el desarrollo de este motivo en tres argumentos diferenciados:</w:t>
      </w:r>
    </w:p>
    <w:p w14:paraId="74665832" w14:textId="77777777" w:rsidR="003754FE" w:rsidRDefault="003754FE" w:rsidP="003754FE">
      <w:pPr>
        <w:pStyle w:val="TextoNormal"/>
      </w:pPr>
    </w:p>
    <w:p w14:paraId="2852CD4A" w14:textId="77777777" w:rsidR="003754FE" w:rsidRDefault="003754FE" w:rsidP="003754FE">
      <w:pPr>
        <w:pStyle w:val="TextoNormal"/>
      </w:pPr>
      <w:r>
        <w:t>(i) En primer lugar, afirma que la sentencia condenatoria partiría de la concepción de que todos los encausados actuaron conjuntamente existiendo, por lo tanto, una coautoría con división de funciones entre los intervinientes. Sin embargo, dicha conclusión no se sostendría del resultado de la prueba practicada toda vez que no solamente no existe prueba directa o indirecta de que don Jesús María Rodríguez Román actuara de forma concertada con los miembros de la Consejería de Empleo, sino que ni siquiera consta que aquel tuviera la más mínima responsabilidad respecto de la gestión y ejecución de la partida presupuestaria 31L. Además, la sentencia dictada en casación, al no apreciar acuerdo de voluntades para delinquir, reinterpreta la sentencia impugnada y convierte la coautoría en una autoría directa e individual.</w:t>
      </w:r>
    </w:p>
    <w:p w14:paraId="3D63B50D" w14:textId="77777777" w:rsidR="003754FE" w:rsidRDefault="003754FE" w:rsidP="003754FE">
      <w:pPr>
        <w:pStyle w:val="TextoNormal"/>
      </w:pPr>
    </w:p>
    <w:p w14:paraId="61AF8501" w14:textId="77777777" w:rsidR="003754FE" w:rsidRDefault="003754FE" w:rsidP="003754FE">
      <w:pPr>
        <w:pStyle w:val="TextoNormal"/>
      </w:pPr>
      <w:r>
        <w:t>(ii) En segundo lugar, sostiene que existe una indeterminación de los hechos no diferenciándose los que son constitutivos de prevaricación y los que lo son de malversación. En este punto, señala que la sentencia de instancia no habría elaborado ninguna motivación dirigida a justificar que don Jesús María Rodríguez Román fuera responsable del delito de malversación en comisión por omisión toda vez que no se motiva ni se justifica la preceptiva posición de garante en el que aquel debería haberse encontrado, elemento que, por otra parte, sería requisito esencial e imprescindible para poderle atribuir responsabilidad penal conforme a esta figura.</w:t>
      </w:r>
    </w:p>
    <w:p w14:paraId="6074C20F" w14:textId="77777777" w:rsidR="003754FE" w:rsidRDefault="003754FE" w:rsidP="003754FE">
      <w:pPr>
        <w:pStyle w:val="TextoNormal"/>
      </w:pPr>
    </w:p>
    <w:p w14:paraId="57F79310" w14:textId="77777777" w:rsidR="003754FE" w:rsidRDefault="003754FE" w:rsidP="003754FE">
      <w:pPr>
        <w:pStyle w:val="TextoNormal"/>
      </w:pPr>
      <w:r>
        <w:t>(iii) En tercer lugar, concluye que tampoco existiría prueba directa e indirecta del elemento subjetivo del injusto respecto al delito del art. 432 CP, habiendo la sentencia de instancia omitido la explicitación del proceso racional que le lleva a considerar su concurrencia y los indicios en que esta aseveración se apoya. Para el demandante, no cabe confundir el dolo del delito de prevaricación y el dolo del delito de malversación, siendo que la sentencia del Tribunal Supremo, al resolver este motivo casacional, omite cualquier consideración al respecto creando una especie de “dolo omnicomprensivo” que “conduce a contemplar el elemento subjetivo del injusto de forma unificada, de forma tal que pareciera que probado el elemento subjetivo del tipo de prevaricación, este también abarcara el elemento subjetivo del delito de malversación”.</w:t>
      </w:r>
    </w:p>
    <w:p w14:paraId="3A745503" w14:textId="77777777" w:rsidR="003754FE" w:rsidRDefault="003754FE" w:rsidP="003754FE">
      <w:pPr>
        <w:pStyle w:val="TextoNormal"/>
      </w:pPr>
    </w:p>
    <w:p w14:paraId="64539340" w14:textId="77777777" w:rsidR="003754FE" w:rsidRDefault="003754FE" w:rsidP="003754FE">
      <w:pPr>
        <w:pStyle w:val="TextoNormal"/>
      </w:pPr>
      <w:r>
        <w:t>La representación procesal del Partido Popular rebate estas alegaciones argumentando que la motivación probatoria y fáctica para condenar por el delito de malversación es perfectamente previsible y racional, existiendo referencias precisas a la autoría y a los diversos elementos del tipo, así como a la necesaria vinculación entre el sistema de presupuestación y el delito de malversación. Respecto a las quejas dirigidas contra la sentencia del Tribunal Supremo, considera que la sentencia de casación ha respetado en todo momento los hechos declarados probados, habiéndose limitado a realizar alegaciones jurídicas complementarias a las ya utilizadas por la Audiencia Provincial de Sevilla.</w:t>
      </w:r>
    </w:p>
    <w:p w14:paraId="6F30C45C" w14:textId="77777777" w:rsidR="003754FE" w:rsidRDefault="003754FE" w:rsidP="003754FE">
      <w:pPr>
        <w:pStyle w:val="TextoNormal"/>
      </w:pPr>
    </w:p>
    <w:p w14:paraId="35D66830" w14:textId="77777777" w:rsidR="003754FE" w:rsidRDefault="003754FE" w:rsidP="003754FE">
      <w:pPr>
        <w:pStyle w:val="TextoNormal"/>
      </w:pPr>
      <w:r>
        <w:t xml:space="preserve">Por su parte, el Ministerio Fiscal interesa la desestimación del motivo. Tras resumir la doctrina constitucional sobre el derecho a la presunción de inocencia, afirma que sí existen pruebas de cargo para condenar al recurrente ya que las sentencias realizan un “análisis amplio” de los muchos indicios que acreditan que su actuación es ilícita. Respecto de la alegada falta de pruebas de la coautoría, el Ministerio Fiscal sostiene que en la sentencia de </w:t>
      </w:r>
      <w:r>
        <w:lastRenderedPageBreak/>
        <w:t>instancia no hay una imputación por coautoría, por lo que el Tribunal Supremo no ha modificado el título de imputación tal y como se afirma en el recurso. El recurrente ha sido condenado por su participación en los hechos a título individual, concretamente, aceptando el riesgo de que la disposición de fondos se hiciera de forma arbitraria por la falta de controles en dos momentos distintos. Primero, participando en la tramitación de las modificaciones presupuestarias y los anteproyectos de presupuestos y, posteriormente, aceptando como miembro del consejo rector del IFA la firma de convenios individuales a través de los que se materializa el pago de las ayudas. El fiscal afirma que también hay pruebas sobre el elemento subjetivo de los tipos de prevaricación y malversación, limitándose la sentencia dictada en casación a completar en este extremo lo ya recogido en la sentencia dictada por la Audiencia Provincial. A su juicio, no resulta irracional que el delito medio (prevaricación) se haya cometido por dolo directo y el delito fin (malversación) por dolo eventual.</w:t>
      </w:r>
    </w:p>
    <w:p w14:paraId="11F629EB" w14:textId="77777777" w:rsidR="003754FE" w:rsidRDefault="003754FE" w:rsidP="003754FE">
      <w:pPr>
        <w:pStyle w:val="TextoNormal"/>
      </w:pPr>
    </w:p>
    <w:p w14:paraId="06CDFEA5" w14:textId="77777777" w:rsidR="003754FE" w:rsidRDefault="003754FE" w:rsidP="003754FE">
      <w:pPr>
        <w:pStyle w:val="TextoNormal"/>
      </w:pPr>
      <w:r>
        <w:t xml:space="preserve">6.2. </w:t>
      </w:r>
      <w:r w:rsidRPr="003754FE">
        <w:rPr>
          <w:i/>
        </w:rPr>
        <w:t>Pronunciamiento de los órganos judiciales</w:t>
      </w:r>
    </w:p>
    <w:p w14:paraId="73F223DE" w14:textId="77777777" w:rsidR="003754FE" w:rsidRDefault="003754FE" w:rsidP="003754FE">
      <w:pPr>
        <w:pStyle w:val="TextoNormal"/>
      </w:pPr>
    </w:p>
    <w:p w14:paraId="1CA998F0" w14:textId="77777777" w:rsidR="003754FE" w:rsidRDefault="003754FE" w:rsidP="003754FE">
      <w:pPr>
        <w:pStyle w:val="TextoNormal"/>
      </w:pPr>
      <w:r>
        <w:t xml:space="preserve">Como se ha expuesto </w:t>
      </w:r>
      <w:r w:rsidRPr="003754FE">
        <w:rPr>
          <w:i/>
        </w:rPr>
        <w:t>supra</w:t>
      </w:r>
      <w:r>
        <w:t>, la sentencia de la Audiencia Provincial declara probado que el actor, como viceconsejero de Justicia (años 2000 a 2005) y viceconsejero de Innovación, Ciencia y Empresa (de 19 de marzo de 2005 a 1 de abril de 2010), realizó los siguientes actos: (i) participó en la tramitación de las modificaciones presupuestarias de 28 de julio de 2000, 18 de septiembre de 2001, 13 de noviembre de 2001, 15 de octubre de 2002, 9 de diciembre de 2004, 7 de diciembre de 2005, 7 de noviembre de 2006, y 27 de noviembre de 2007; (ii) participó en la tramitación de los anteproyectos de leyes de presupuestos para los años 2005, 2006, 2007 y 2008; (iii) a pesar de la información que tenía como miembro del consejo rector del IFA/IDEA no efectuó ninguna acción dirigida a cambiar el sistema y permitió la aprobación de convenios particulares, asumiendo la eventualidad de que los fondos vinculados al programa 31L fueran objeto de disposición con fines ajenos al fin público al que se encontraban destinados.</w:t>
      </w:r>
    </w:p>
    <w:p w14:paraId="576CD785" w14:textId="77777777" w:rsidR="003754FE" w:rsidRDefault="003754FE" w:rsidP="003754FE">
      <w:pPr>
        <w:pStyle w:val="TextoNormal"/>
      </w:pPr>
    </w:p>
    <w:p w14:paraId="363E070E" w14:textId="77777777" w:rsidR="003754FE" w:rsidRDefault="003754FE" w:rsidP="003754FE">
      <w:pPr>
        <w:pStyle w:val="TextoNormal"/>
      </w:pPr>
      <w:r>
        <w:t>La sentencia del Tribunal Supremo declara que este relato fáctico basta para justificar la aplicación del delito de malversación de caudales públicos del art. 432 CP [fundamentos de Derecho 122 (págs. 917 a 921), 123 (págs. 921 a 922) y 125 (págs. 928 a 955)] y que no se ha vulnerado el derecho a la presunción de inocencia al ser aquella conclusión fruto de una valoración debidamente motivada de las pruebas practicadas. En este sentido, remarca la importante posición que ocupaba el demandante de amparo dentro del procedimiento para la elaboración de las modificaciones presupuestarias, formando parte, como viceconsejero de Justicia (2000 a 2005) y viceconsejero de Innovación, Ciencia y Empresa (2005 a 2010), de la Comisión General de Viceconsejeros en las que se acordaba elevar al Consejo de Gobierno las distintas modificaciones presupuestarias y anteproyectos de leyes de presupuestos a través de los cuales se utilizaron las transferencias de financiación para dotar de fondos a la partida 440 del programa 22E/31L.</w:t>
      </w:r>
    </w:p>
    <w:p w14:paraId="3FA87E74" w14:textId="77777777" w:rsidR="003754FE" w:rsidRDefault="003754FE" w:rsidP="003754FE">
      <w:pPr>
        <w:pStyle w:val="TextoNormal"/>
      </w:pPr>
    </w:p>
    <w:p w14:paraId="76085AC7" w14:textId="77777777" w:rsidR="003754FE" w:rsidRDefault="003754FE" w:rsidP="003754FE">
      <w:pPr>
        <w:pStyle w:val="TextoNormal"/>
      </w:pPr>
      <w:r>
        <w:t>A estos efectos, el Tribunal Supremo remarca los diferentes elementos fácticos en los que se sustenta esta conclusión, siendo que aquella se deriva de:</w:t>
      </w:r>
    </w:p>
    <w:p w14:paraId="532DFE9F" w14:textId="77777777" w:rsidR="003754FE" w:rsidRDefault="003754FE" w:rsidP="003754FE">
      <w:pPr>
        <w:pStyle w:val="TextoNormal"/>
      </w:pPr>
    </w:p>
    <w:p w14:paraId="259E2921" w14:textId="77777777" w:rsidR="003754FE" w:rsidRDefault="003754FE" w:rsidP="003754FE">
      <w:pPr>
        <w:pStyle w:val="TextoNormal"/>
      </w:pPr>
      <w:r>
        <w:t>(i) haber estado presente en las reuniones de la Comisión General de Viceconsejeros de 13 de diciembre de 2000, 17 de enero y 24 de diciembre de 2001 donde se debatió un proyecto de decreto por el que se pretendía modificar el régimen jurídico de las ayudas sociolaborales, decreto que había sido objeto de observaciones por el interventor general;</w:t>
      </w:r>
    </w:p>
    <w:p w14:paraId="746FFDC7" w14:textId="77777777" w:rsidR="003754FE" w:rsidRDefault="003754FE" w:rsidP="003754FE">
      <w:pPr>
        <w:pStyle w:val="TextoNormal"/>
      </w:pPr>
    </w:p>
    <w:p w14:paraId="4B7A6D04" w14:textId="77777777" w:rsidR="003754FE" w:rsidRDefault="003754FE" w:rsidP="003754FE">
      <w:pPr>
        <w:pStyle w:val="TextoNormal"/>
      </w:pPr>
      <w:r>
        <w:t>(ii) su asistencia a la Comisión General de Viceconsejeros de 26 de julio de 2000, donde se acordó elevar al Consejo de Gobierno la modificación presupuestaria finalmente aprobada el 28 de julio de 2000, siendo que aquella tenía por objeto reducir la partida 481.00.22E y aumentar la partida 440.01 del programa 22E y donde se mencionaba las transferencias de financiación, la finalidad perseguida con el uso de aquellas, así como el convenio marco de colaboración entre el IFA y la Consejería de Empleo;</w:t>
      </w:r>
    </w:p>
    <w:p w14:paraId="68EA10CB" w14:textId="77777777" w:rsidR="003754FE" w:rsidRDefault="003754FE" w:rsidP="003754FE">
      <w:pPr>
        <w:pStyle w:val="TextoNormal"/>
      </w:pPr>
    </w:p>
    <w:p w14:paraId="4AAFF548" w14:textId="77777777" w:rsidR="003754FE" w:rsidRDefault="003754FE" w:rsidP="003754FE">
      <w:pPr>
        <w:pStyle w:val="TextoNormal"/>
      </w:pPr>
      <w:r>
        <w:t xml:space="preserve">(iii) su asistencia a la Comisión General de Viceconsejeros de 12 de septiembre de 2001 y 7 de noviembre de 2001 donde se acordó elevar al Consejo de Gobierno las modificaciones presupuestarias de 18 de septiembre de 2001 y 13 de noviembre de 2001, siendo que, a dicha fecha, el proyecto de decreto mencionado </w:t>
      </w:r>
      <w:r w:rsidRPr="003754FE">
        <w:rPr>
          <w:i/>
        </w:rPr>
        <w:t>supra</w:t>
      </w:r>
      <w:r>
        <w:t xml:space="preserve"> ya había sido debatido “por lo que no es irrazonable suponer que conocía los pormenores del criterio de presupuestación que estaba utilizando, es decir, de su ilegalidad”.</w:t>
      </w:r>
    </w:p>
    <w:p w14:paraId="4B0C676E" w14:textId="77777777" w:rsidR="003754FE" w:rsidRDefault="003754FE" w:rsidP="003754FE">
      <w:pPr>
        <w:pStyle w:val="TextoNormal"/>
      </w:pPr>
    </w:p>
    <w:p w14:paraId="51C64226" w14:textId="77777777" w:rsidR="003754FE" w:rsidRDefault="003754FE" w:rsidP="003754FE">
      <w:pPr>
        <w:pStyle w:val="TextoNormal"/>
      </w:pPr>
      <w:r>
        <w:t>(iv) su intervención en la sesión de la Comisión General de Viceconsejeros de 9 de octubre de 2002, en la que se acordó elevar a Consejo de Gobierno la modificación presupuestaria de 15 de octubre de 2002 y en cuyo extracto, elaborado para el Consejo de Gobierno, se hacía constar que “el destino de los fondos era el IFA en materia de relaciones laborales”.</w:t>
      </w:r>
    </w:p>
    <w:p w14:paraId="01EDC7DE" w14:textId="77777777" w:rsidR="003754FE" w:rsidRDefault="003754FE" w:rsidP="003754FE">
      <w:pPr>
        <w:pStyle w:val="TextoNormal"/>
      </w:pPr>
    </w:p>
    <w:p w14:paraId="1FE89633" w14:textId="77777777" w:rsidR="003754FE" w:rsidRDefault="003754FE" w:rsidP="003754FE">
      <w:pPr>
        <w:pStyle w:val="TextoNormal"/>
      </w:pPr>
      <w:r>
        <w:t>(v) estuvo presente en la sesión de la Comisión General de Viceconsejeros de 27 de diciembre de 2002, que acordó elevar al Consejo de Gobierno la modificación presupuestaria de 9 de diciembre de 2004 por la que se incrementaba el programa 32H “Servicio Andaluz de Empleo”, por importe de 2 994 876 €, y que supuso incrementar para conceder subvenciones un programa cuya finalidad era ajena a la concesión de ayudas sociolaborales.</w:t>
      </w:r>
    </w:p>
    <w:p w14:paraId="249D78E2" w14:textId="77777777" w:rsidR="003754FE" w:rsidRDefault="003754FE" w:rsidP="003754FE">
      <w:pPr>
        <w:pStyle w:val="TextoNormal"/>
      </w:pPr>
    </w:p>
    <w:p w14:paraId="3E4D1010" w14:textId="77777777" w:rsidR="003754FE" w:rsidRDefault="003754FE" w:rsidP="003754FE">
      <w:pPr>
        <w:pStyle w:val="TextoNormal"/>
      </w:pPr>
      <w:r>
        <w:t>(vi) estuvo presente en la sesión de la Comisión General de Viceconsejeros de fecha 3 de mayo de 2007, en la que se acordó elevar al Consejo de Gobierno el programa anual de control financiero permanente del año 2007. Dicho programa iba acompañado de una memoria donde se indicaba que la agencia IFA/IDEA presentaba defectos en la contabilización de las transferencias de financiación que dificultaban o hacían inviable la aplicación del régimen de reintegros al que se refiere el art. 18 de la Ley 15/2001.</w:t>
      </w:r>
    </w:p>
    <w:p w14:paraId="74079811" w14:textId="77777777" w:rsidR="003754FE" w:rsidRDefault="003754FE" w:rsidP="003754FE">
      <w:pPr>
        <w:pStyle w:val="TextoNormal"/>
      </w:pPr>
    </w:p>
    <w:p w14:paraId="67B9B6F9" w14:textId="77777777" w:rsidR="003754FE" w:rsidRDefault="003754FE" w:rsidP="003754FE">
      <w:pPr>
        <w:pStyle w:val="TextoNormal"/>
      </w:pPr>
      <w:r>
        <w:t>La asistencia a estas reuniones constituye, para los órganos judiciales, un elemento relevante para atribuir al demandante el conocimiento de las irregularidades producidas como consecuencia de uso del instrumento “transferencias de financiación” señalando que “la intervención de la Comisión General de Viceconsejeros no era un mero acto de trámite, pues en ocasiones se rechazaron modificaciones porque la clasificación de los créditos no era adecuada […] [p]or tanto, cabe inferir que las modificaciones presupuestarias eran suficientemente debatidas en la Comisión General de Viceconsejeros y, cuando se advertían de su irregularidad, podían ser rechazadas” (sentencia del Tribunal Supremo, fundamento de Derecho 125.1, págs. 937 y 938).</w:t>
      </w:r>
    </w:p>
    <w:p w14:paraId="4664CA24" w14:textId="77777777" w:rsidR="003754FE" w:rsidRDefault="003754FE" w:rsidP="003754FE">
      <w:pPr>
        <w:pStyle w:val="TextoNormal"/>
      </w:pPr>
    </w:p>
    <w:p w14:paraId="7A868842" w14:textId="77777777" w:rsidR="003754FE" w:rsidRDefault="003754FE" w:rsidP="003754FE">
      <w:pPr>
        <w:pStyle w:val="TextoNormal"/>
      </w:pPr>
      <w:r>
        <w:t xml:space="preserve">En estas condiciones, y en palabras del propio Tribunal Supremo “resulta difícil admitir que no fuera consciente de la ilegalidad y consecuencias que suponían el uso de las trasferencias de financiación, ya que se trata de un instrumento presupuestario común que debía ser conocido por todos los que tenían alguna responsabilidad en los procesos de elaboración de la normativa presupuestaria. Pero incluso admitiendo como hipótesis la posibilidad de </w:t>
      </w:r>
      <w:r>
        <w:lastRenderedPageBreak/>
        <w:t>que durante los cindo años que fue viceconsejero de Justicia y Administración Pública pudiera pasar desapercibido el nuevo criterio de presupuestación utilizado para el pago de las ayudas sociolaborales, lo que resulta irracional es admitir que a partir del 19 de marzo de 2005, en que accedió al cargo de vicepresidente de IDEA, no tomara conocimiento de que IDEA iba a hacer frente a los compromisos de pago asumidos por la Dirección General de Trabajo con las partidas presupuestarias aprobadas y de las irregularidades que los distintos informes venían advirtiendo durante todo este tiempo” (fundamento de Derecho 125.1, pág. 931).</w:t>
      </w:r>
    </w:p>
    <w:p w14:paraId="52FDF838" w14:textId="77777777" w:rsidR="003754FE" w:rsidRDefault="003754FE" w:rsidP="003754FE">
      <w:pPr>
        <w:pStyle w:val="TextoNormal"/>
      </w:pPr>
    </w:p>
    <w:p w14:paraId="55C9B2D6" w14:textId="77777777" w:rsidR="003754FE" w:rsidRDefault="003754FE" w:rsidP="003754FE">
      <w:pPr>
        <w:pStyle w:val="TextoNormal"/>
      </w:pPr>
      <w:r>
        <w:t>En este sentido, los órganos judiciales explicitan cómo desde que accedió al cargo de vicepresidente de IFA/IDEA tuvo conocimiento de la suscripción de diferentes convenios particulares realizados al amparo del convenio marco de 17 de julio de 2001 así como de la situación financiera del IFA/IDEA —como consecuencia de los compromisos asumidos por la Dirección General de Trabajo— la cual quedaba reflejada en los informes anuales de auditoría. De esta manera, el uso inadecuado de las transferencias de financiación, la generación de déficit como consecuencia de la asunción de compromisos por encima de la cobertura presupuestaria, y la indebida utilización del instituto IFA/IDEA como caja pagadora había sido puesto de relieve en diferentes informes tales como el informe adicional al de cumplimiento del ejercicio del año 2003, el informe de auditoría de cumplimiento sobre el IFA/IDEA correspondiente al ejercicio del año 2005, los informes definitivos de cumplimiento de los años 2006 y 2007, el informe definitivo de cuentas anuales del IFA/ IDEA del ejercicio del año 2006 o el informe de auditoría de cuentas del IFA/IDEA realizado por la firma Price Waterhouse Coopers para el ejercicio del año 2006. Aun cuando se alegara que de alguno/os de dichos informes no se le hubiera dado traslado (particularmente, el informe adicional al de cumplimiento del ejercicio del año 2003) “no resulta razonable admitir que, habiendo sido comunicado a IDEA y dado su contenido, en el que se advertía del incumplimiento total del procedimiento de concesión de subvenciones, el segundo máximo responsable de la agencia despachara el asunto asumiendo como suficiente que el informe no incorporaba advertencia alguna para IDEA, sino para la Consejería de Empleo” (sentencia del Tribunal Supremo, fundamento de Derecho 125.1, pág. 948).</w:t>
      </w:r>
    </w:p>
    <w:p w14:paraId="38EEF1DA" w14:textId="77777777" w:rsidR="003754FE" w:rsidRDefault="003754FE" w:rsidP="003754FE">
      <w:pPr>
        <w:pStyle w:val="TextoNormal"/>
      </w:pPr>
    </w:p>
    <w:p w14:paraId="1DA34CD2" w14:textId="77777777" w:rsidR="003754FE" w:rsidRDefault="003754FE" w:rsidP="003754FE">
      <w:pPr>
        <w:pStyle w:val="TextoNormal"/>
      </w:pPr>
      <w:r>
        <w:t>Para el Tribunal Supremo, en definitiva, “el Tribunal de instancia ha contado con prueba suficiente y la ha apreciado razonablemente […] nada cabe objetar al criterio de valoración probatoria de la sentencia de instancia […] de que el señor Rodríguez Román conocía que, en las modificaciones presupuestarias expuestas y en los anteproyectos de presupuestos correspondientes a los años 2006, 2007 y 2008, se hizo un uso ilegal de las trasferencias de financiación, pues con ellas se dotó de fondos a la partida 440 del programa 22E/31L, y que intervino en su desarrollo y aplicación contribuyendo a la efectiva concesión de cantidades dinerarias en forma de supuestas ayudas o subvenciones al margen de la normativa, es la única plausible y razonable” (fundamento de Derecho 125.3, págs. 952 a 953).</w:t>
      </w:r>
    </w:p>
    <w:p w14:paraId="13D31163" w14:textId="77777777" w:rsidR="003754FE" w:rsidRDefault="003754FE" w:rsidP="003754FE">
      <w:pPr>
        <w:pStyle w:val="TextoNormal"/>
      </w:pPr>
    </w:p>
    <w:p w14:paraId="7CBB5487" w14:textId="77777777" w:rsidR="003754FE" w:rsidRDefault="003754FE" w:rsidP="003754FE">
      <w:pPr>
        <w:pStyle w:val="TextoNormal"/>
      </w:pPr>
      <w:r>
        <w:t xml:space="preserve">6.3. </w:t>
      </w:r>
      <w:r w:rsidRPr="003754FE">
        <w:rPr>
          <w:i/>
        </w:rPr>
        <w:t>Doctrina constitucional sobre el derecho a la presunción de inocencia (art. 24.2 CE)</w:t>
      </w:r>
    </w:p>
    <w:p w14:paraId="4F006EAB" w14:textId="77777777" w:rsidR="003754FE" w:rsidRDefault="003754FE" w:rsidP="003754FE">
      <w:pPr>
        <w:pStyle w:val="TextoNormal"/>
      </w:pPr>
    </w:p>
    <w:p w14:paraId="4CFDB271" w14:textId="77777777" w:rsidR="003754FE" w:rsidRDefault="003754FE" w:rsidP="003754FE">
      <w:pPr>
        <w:pStyle w:val="TextoNormal"/>
      </w:pPr>
      <w:r>
        <w:t>Antes de abordar las concretas quejas alegadas por el demandante de amparo en relación con este motivo, conviene traer a colación, al menos resumidamente, la doctrina constitucional sobre el derecho a la presunción de inocencia (art. 24.2 CE) tal y como ha sido fijada por este tribunal.</w:t>
      </w:r>
    </w:p>
    <w:p w14:paraId="7192C0BC" w14:textId="77777777" w:rsidR="003754FE" w:rsidRDefault="003754FE" w:rsidP="003754FE">
      <w:pPr>
        <w:pStyle w:val="TextoNormal"/>
      </w:pPr>
    </w:p>
    <w:p w14:paraId="0276C5B1" w14:textId="77777777" w:rsidR="003754FE" w:rsidRDefault="003754FE" w:rsidP="003754FE">
      <w:pPr>
        <w:pStyle w:val="TextoNormal"/>
      </w:pPr>
      <w:r>
        <w:t xml:space="preserve">Al respecto hemos consignado reiteradamente que este derecho queda configurado como el derecho a no ser condenado sin pruebas de cargo válidas (STC 31/1981,de 28 de julio), de tal manera que toda sentencia condenatoria ha de estar fundada en “una mínima actividad probatoria, realizada con las garantías necesarias, referida a todos los elementos esenciales del delito, y que de la misma quepa inferir razonablemente los hechos y la participación del acusado” (STC 105/2016, de 6 de junio, FJ 8). Esta idoneidad incriminatoria, además,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w:t>
      </w:r>
      <w:r w:rsidRPr="003754FE">
        <w:rPr>
          <w:i/>
        </w:rPr>
        <w:t>ratio decidendi</w:t>
      </w:r>
      <w:r>
        <w:t xml:space="preserve"> de la decisión judicial, sino una mínima explicación de los fundamentos probatorios del relato fáctico, con base en el cual se individualiza el caso y se posibilita la aplicación de la norma jurídica (por todas, STC 22/2013, de 31 de enero, FJ 5, y las resoluciones allí citadas)” (STC 105/2016, de 6 de junio, FJ 8).</w:t>
      </w:r>
    </w:p>
    <w:p w14:paraId="644D0912" w14:textId="77777777" w:rsidR="003754FE" w:rsidRDefault="003754FE" w:rsidP="003754FE">
      <w:pPr>
        <w:pStyle w:val="TextoNormal"/>
      </w:pPr>
    </w:p>
    <w:p w14:paraId="01ADF6D0" w14:textId="77777777" w:rsidR="003754FE" w:rsidRDefault="003754FE" w:rsidP="003754FE">
      <w:pPr>
        <w:pStyle w:val="TextoNormal"/>
      </w:pPr>
      <w:r>
        <w:t>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En relación con esta concreta cuestión, la STC 133/2014, de 22 de julio, FJ 8, ya señalaba que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del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w:t>
      </w:r>
    </w:p>
    <w:p w14:paraId="466F2444" w14:textId="77777777" w:rsidR="003754FE" w:rsidRDefault="003754FE" w:rsidP="003754FE">
      <w:pPr>
        <w:pStyle w:val="TextoNormal"/>
      </w:pPr>
    </w:p>
    <w:p w14:paraId="3E48DF9D" w14:textId="77777777" w:rsidR="003754FE" w:rsidRDefault="003754FE" w:rsidP="003754FE">
      <w:pPr>
        <w:pStyle w:val="TextoNormal"/>
      </w:pPr>
      <w:r>
        <w:t xml:space="preserve">La importancia de la motivación de la sentencia condenatoria ya venía remarcada en la STC 22/2013, de 31 de enero, FJ 5, donde se afirmaba que la culpabilidad ha de quedar plenamente probada, lo que es tanto como decir expuesta o mostrada. De esta manera, el derecho a la presunción de inocencia queda vulnerado cuando, habiéndose declarado la culpabilidad del encausado, dicha declaración de culpabilidad no se ha motivado suficientemente toda vez que “uno de los modos de vulneración de este derecho lo constituye precisamente la falta de motivación del </w:t>
      </w:r>
      <w:r w:rsidRPr="003754FE">
        <w:rPr>
          <w:i/>
        </w:rPr>
        <w:t>iter</w:t>
      </w:r>
      <w:r>
        <w:t xml:space="preserve"> que ha conducido de las pruebas al relato de hechos probados de signo incriminatorio” (STC 245/2007, 10 de diciembre, FJ 5).</w:t>
      </w:r>
    </w:p>
    <w:p w14:paraId="746DC3CD" w14:textId="77777777" w:rsidR="003754FE" w:rsidRDefault="003754FE" w:rsidP="003754FE">
      <w:pPr>
        <w:pStyle w:val="TextoNormal"/>
      </w:pPr>
    </w:p>
    <w:p w14:paraId="41F684EC" w14:textId="77777777" w:rsidR="003754FE" w:rsidRDefault="003754FE" w:rsidP="003754FE">
      <w:pPr>
        <w:pStyle w:val="TextoNormal"/>
      </w:pPr>
      <w:r>
        <w:t xml:space="preserve">La motivación de las sentencias penales es siempre exigible </w:t>
      </w:r>
      <w:r w:rsidRPr="003754FE">
        <w:rPr>
          <w:i/>
        </w:rPr>
        <w:t>ex</w:t>
      </w:r>
      <w:r>
        <w:t xml:space="preserve"> art. 120.3 CE, esto es, con independencia de su signo, condenatorio o absolutorio. No obstante, en las sentencias condenatorias el canon de motivación es más riguroso que en las absolutorias pues, de acuerdo con una reiterada doctrina constitucional, cuando están en juego otros derechos </w:t>
      </w:r>
      <w:r>
        <w:lastRenderedPageBreak/>
        <w:t>fundamentales —y, entre ellos, cuando están en juego el derecho a la libertad y el de presunción de inocencia, como sucede en el proceso penal— la exigencia de motivación cobra particular intensidad y por ello se refuerza el parámetro de control utilizable para enjuiciar su suficiencia. Particularmente, en el plano fáctico, la sentencia penal condenatoria ha de exteriorizar en su razonamiento las pruebas relevantes tomadas en consideración y la existencia de una conexión fundada entre las pruebas y la declaración de hechos probados; conexión que debe ser aplicación razonada de las reglas de la lógica, ciencia y experiencia, de modo que sea posible realizar un juicio externo sobre las que llevan al juzgador a considerar alcanzada la convicción de culpabilidad más allá de toda duda razonable [por todas, STC 72/2024, de 7 de mayo, FJ 4 b)].</w:t>
      </w:r>
    </w:p>
    <w:p w14:paraId="6C593AF9" w14:textId="77777777" w:rsidR="003754FE" w:rsidRDefault="003754FE" w:rsidP="003754FE">
      <w:pPr>
        <w:pStyle w:val="TextoNormal"/>
      </w:pPr>
    </w:p>
    <w:p w14:paraId="1AE0475C" w14:textId="77777777" w:rsidR="003754FE" w:rsidRDefault="003754FE" w:rsidP="003754FE">
      <w:pPr>
        <w:pStyle w:val="TextoNormal"/>
      </w:pPr>
      <w:r>
        <w:t xml:space="preserve">Es, precisamente, la motivación de la resolución que declara la culpabilidad y responsabilidad de una persona la que se encuentra sometida al control de este tribunal. Así, hemos afirmado en numerosas ocasiones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Esta conclusión se ha fundamentado en dos razones de diferente índole: (i) por un lado, en que la Constitución no atribuye esa tarea de valoración a este tribunal, que no está incluida en las de amparo del derecho a la presunción de inocencia; y (ii) por otro, en que el proceso constitucional no permite el conocimiento preciso y completo de la actividad probatoria (STC 142/2012, de 2 de julio, FJ 5). De esta manera, “solo cabrá constatar una vulneración del derecho a la presunción de inocencia cuando no haya pruebas de cargo válidas, es decir, cuando los órganos judiciales hayan valorado una actividad probatoria lesiva de otros derechos fundamentales carente de garantías, o cuando no se motive el resultado de dicha valoración, o, finalmente, cuando por ilógico o insuficiente no sea razonable el </w:t>
      </w:r>
      <w:r w:rsidRPr="003754FE">
        <w:rPr>
          <w:i/>
        </w:rPr>
        <w:t>iter</w:t>
      </w:r>
      <w:r>
        <w:t xml:space="preserve"> discursivo que conduce de la prueba al hecho probado” (STC 189/1998, de 28 de septiembre, FJ 2, y, citándola entre otras muchas, SSTC 135/2003, de 30 de junio, FJ 2; 137/2005, de 23 de mayo, FJ 2, y 26/2010, de 27 de abril, FJ 6).</w:t>
      </w:r>
    </w:p>
    <w:p w14:paraId="0CD27089" w14:textId="77777777" w:rsidR="003754FE" w:rsidRDefault="003754FE" w:rsidP="003754FE">
      <w:pPr>
        <w:pStyle w:val="TextoNormal"/>
      </w:pPr>
    </w:p>
    <w:p w14:paraId="2137FF82" w14:textId="77777777" w:rsidR="003754FE" w:rsidRDefault="003754FE" w:rsidP="003754FE">
      <w:pPr>
        <w:pStyle w:val="TextoNormal"/>
      </w:pPr>
      <w:r>
        <w:t>Este mismo canon se extiende a los supuestos de prueba indiciaria donde la supervisión de la solidez de la inferencia puede llevarse a cabo tanto desde el control de su lógica o coherencia, siendo irrazonable cuando los indicios constatados excluyan el hecho que de ellos se hace derivar o no conduzca naturalmente a él, como desde la suficiencia o carácter concluyente, excluyéndose la razonabilidad por el carácter excesivamente abierto, débil o indeterminado de la inferencia (SSTC 127/2011, de 18 de julio, FJ 6; 142/2012, de 2 de julio, FJ 5, y 46/2022, de 24 de marzo, FJ 10.1).</w:t>
      </w:r>
    </w:p>
    <w:p w14:paraId="6D1CD313" w14:textId="77777777" w:rsidR="003754FE" w:rsidRDefault="003754FE" w:rsidP="003754FE">
      <w:pPr>
        <w:pStyle w:val="TextoNormal"/>
      </w:pPr>
    </w:p>
    <w:p w14:paraId="5C80F48C" w14:textId="77777777" w:rsidR="003754FE" w:rsidRDefault="003754FE" w:rsidP="003754FE">
      <w:pPr>
        <w:pStyle w:val="TextoNormal"/>
      </w:pPr>
      <w:r>
        <w:t xml:space="preserve">En conclusión, es deber de los órganos judiciales realizar un esfuerzo dirigido a la motivación de la sentencia o pronunciamiento condenatorio, puesto que son aquellos quienes tienen un conocimiento cabal, completo y obtenido con todas las garantías del acervo probatorio, y función de este tribunal comprobar la coherencia de dicha motivación a través de una supervisión externa de la razonabilidad del discurso que une la actividad probatoria y el relato fáctico resultante (STC 67/2021, de 17 de marzo, FJ 3). Este control no es posible si los órganos judiciales descuidan su deber, lo que nos ha llevado a exigir que “deba asegurarse estrictamente la garantía formal de que el razonamiento efectuado por el tribunal </w:t>
      </w:r>
      <w:r>
        <w:lastRenderedPageBreak/>
        <w:t>conste expresamente en la sentencia, ya que solo así podrá verificarse si aquel formó su convicción sobre una prueba de cargo capaz de desvirtuar la presunción de inocencia (SSTC 117/2000, de 5 de mayo, FJ 3, y 124/2001, de 4 de junio, FJ 13) y que ninguno de los elementos constitutivos del delito se haya presumido en contra del acusado” (STC 340/2006, de 11 de diciembre, FJ 4).</w:t>
      </w:r>
    </w:p>
    <w:p w14:paraId="5EF3C9B0" w14:textId="77777777" w:rsidR="003754FE" w:rsidRDefault="003754FE" w:rsidP="003754FE">
      <w:pPr>
        <w:pStyle w:val="TextoNormal"/>
      </w:pPr>
    </w:p>
    <w:p w14:paraId="4BD07CE7" w14:textId="77777777" w:rsidR="003754FE" w:rsidRDefault="003754FE" w:rsidP="003754FE">
      <w:pPr>
        <w:pStyle w:val="TextoNormal"/>
      </w:pPr>
      <w:r>
        <w:t>6.4</w:t>
      </w:r>
      <w:r w:rsidRPr="003754FE">
        <w:rPr>
          <w:i/>
        </w:rPr>
        <w:t>. Enjuiciamiento de la que</w:t>
      </w:r>
      <w:r>
        <w:t>ja</w:t>
      </w:r>
    </w:p>
    <w:p w14:paraId="7E1B91F6" w14:textId="77777777" w:rsidR="003754FE" w:rsidRDefault="003754FE" w:rsidP="003754FE">
      <w:pPr>
        <w:pStyle w:val="TextoNormal"/>
      </w:pPr>
    </w:p>
    <w:p w14:paraId="58950D0A" w14:textId="77777777" w:rsidR="003754FE" w:rsidRDefault="003754FE" w:rsidP="003754FE">
      <w:pPr>
        <w:pStyle w:val="TextoNormal"/>
      </w:pPr>
      <w:r>
        <w:t xml:space="preserve">En el análisis de este motivo es preciso partir de una premisa básica: que la declarada vulneración del derecho a la legalidad penal </w:t>
      </w:r>
      <w:r w:rsidRPr="003754FE">
        <w:rPr>
          <w:i/>
        </w:rPr>
        <w:t>ex</w:t>
      </w:r>
      <w:r>
        <w:t xml:space="preserve"> art. 25 CE, por integrarse en los títulos de prevaricación y malversación de los arts. 404 y 432 CP la gestión y pago de ayudas sociolaborales y a empresas en crisis desde la agencia IFA/IDEA, en ejercicios presupuestarios en los que dicho procedimiento tenía respaldo legal (</w:t>
      </w:r>
      <w:r w:rsidRPr="003754FE">
        <w:rPr>
          <w:i/>
        </w:rPr>
        <w:t>vid. supra</w:t>
      </w:r>
      <w:r>
        <w:t xml:space="preserve"> FFJJ 4 y 5) obliga a delimitar el análisis de la participación del demandante en dicho procedimiento desde la perspectiva del derecho fundamental a la presunción de inocencia (art. 24.2 CE).</w:t>
      </w:r>
    </w:p>
    <w:p w14:paraId="5E98362F" w14:textId="77777777" w:rsidR="003754FE" w:rsidRDefault="003754FE" w:rsidP="003754FE">
      <w:pPr>
        <w:pStyle w:val="TextoNormal"/>
      </w:pPr>
    </w:p>
    <w:p w14:paraId="73D4AA06" w14:textId="77777777" w:rsidR="003754FE" w:rsidRDefault="003754FE" w:rsidP="003754FE">
      <w:pPr>
        <w:pStyle w:val="TextoNormal"/>
      </w:pPr>
      <w:r>
        <w:t>Efectuada esta precisión, y esclarecido que la condena vinculada a la forma global de gestión del programa 31L es inconciliable con el derecho a la legalidad penal, resta, no obstante, un sustrato fáctico que no quedaría afectado por dicho reparo constitucional:</w:t>
      </w:r>
    </w:p>
    <w:p w14:paraId="47BF153F" w14:textId="77777777" w:rsidR="003754FE" w:rsidRDefault="003754FE" w:rsidP="003754FE">
      <w:pPr>
        <w:pStyle w:val="TextoNormal"/>
      </w:pPr>
    </w:p>
    <w:p w14:paraId="2B5F2697" w14:textId="77777777" w:rsidR="003754FE" w:rsidRDefault="003754FE" w:rsidP="003754FE">
      <w:pPr>
        <w:pStyle w:val="TextoNormal"/>
      </w:pPr>
      <w:r>
        <w:t>a) En primer lugar, aquellos actos relativos a la forma global de gestión, al margen de la normativa sobre subvenciones, de las ayudas comprendidas en el programa 22E derivada de las modificaciones presupuestarias de fecha 28 de julio de 2000, 18 de septiembre de 2001 y 13 de noviembre de 2001, en las que el recurrente intervino en calidad de viceconsejero de Justicia. Respecto a estos hechos, hemos de recordar que, como ya hemos indicado en el fundamento jurídico 5.3.2 de la presente resolución, “[e]n este particular, y a diferencia de lo que posteriormente ocurrió, en los ejercicios de 2002 a 2009, con las transferencias de financiación comprendidas en el programa 31L, las leyes de presupuestos para los ejercicios de 2000 a 2001 no amparaban la utilización de la aludida partida para proceder al pago de las ayudas sociolaborales o a empresas en crisis, pues la aplicación presupuestaria 440.01 ‘Transferencia al IFA en materia de relaciones laborales’ solo cubría el pago de ‘las subvenciones de explotación a las empresas de la Junta de Andalucía’ (sentencia de la Audiencia Provincial, fundamento de Derecho 33, pág. 1139). Las modificaciones presupuestarias en cuya tramitación participó el recurrente de amparo en los años 2000 y 2001 infringían, en suma, las previsiones contenidas en las leyes de presupuestos en vigor”.</w:t>
      </w:r>
    </w:p>
    <w:p w14:paraId="5E5A6F55" w14:textId="77777777" w:rsidR="003754FE" w:rsidRDefault="003754FE" w:rsidP="003754FE">
      <w:pPr>
        <w:pStyle w:val="TextoNormal"/>
      </w:pPr>
    </w:p>
    <w:p w14:paraId="0202FFF1" w14:textId="77777777" w:rsidR="003754FE" w:rsidRDefault="003754FE" w:rsidP="003754FE">
      <w:pPr>
        <w:pStyle w:val="TextoNormal"/>
      </w:pPr>
      <w:r>
        <w:t>b) Las disposiciones de fondos efectivamente realizadas desde la Consejería de Empleo en ausencia de fin público y a las disposiciones enumeradas en el apartado C) del hecho probado vigesimosegundo, donde se hace constar que algunos fondos del programa 31L se aplicaron a fines distintos y ajenos a los determinados en el mismo.</w:t>
      </w:r>
    </w:p>
    <w:p w14:paraId="45EBA809" w14:textId="77777777" w:rsidR="003754FE" w:rsidRDefault="003754FE" w:rsidP="003754FE">
      <w:pPr>
        <w:pStyle w:val="TextoNormal"/>
      </w:pPr>
    </w:p>
    <w:p w14:paraId="13DBAEB0" w14:textId="77777777" w:rsidR="003754FE" w:rsidRDefault="003754FE" w:rsidP="003754FE">
      <w:pPr>
        <w:pStyle w:val="TextoNormal"/>
      </w:pPr>
      <w:r>
        <w:t>La posibilidad de pervivencia de la condena por malversación respecto a estos hechos exige, sin embargo, una cuidadosa verificación de que la sentencia de instancia proporciona, por sí misma, sin necesidad de integración o reelaboración alguna, motivos suficientes para considerar acreditado, con el grado de certeza que la doctrina constitucional exige para enervar la presunción de inocencia, que la realización de tales disposiciones le es personalmente reprochable al demandante.</w:t>
      </w:r>
    </w:p>
    <w:p w14:paraId="6176521F" w14:textId="77777777" w:rsidR="003754FE" w:rsidRDefault="003754FE" w:rsidP="003754FE">
      <w:pPr>
        <w:pStyle w:val="TextoNormal"/>
      </w:pPr>
    </w:p>
    <w:p w14:paraId="3EAE023E" w14:textId="77777777" w:rsidR="003754FE" w:rsidRDefault="003754FE" w:rsidP="003754FE">
      <w:pPr>
        <w:pStyle w:val="TextoNormal"/>
      </w:pPr>
      <w:r>
        <w:lastRenderedPageBreak/>
        <w:t xml:space="preserve">Consecuentemente, el control externo que este tribunal debe realizar, en garantía del derecho a la presunción de inocencia, de la existencia de un engarce lógico y reconocible entre el resultado de la prueba y el relato fáctico que le sirve de sustrato, demanda, en un caso como el presente, orientar el foco de control en la concurrencia en la sentencia de instancia de elementos fácticos y argumentales de una precisión suficiente para justificar la atribución personal al demandante de amparo, don Jesús María Rodríguez Román, de todos o de algunos de los hechos explicitados </w:t>
      </w:r>
      <w:r w:rsidRPr="003754FE">
        <w:rPr>
          <w:i/>
        </w:rPr>
        <w:t>supra</w:t>
      </w:r>
      <w:r>
        <w:t xml:space="preserve"> en el tiempo en el que ejerció el cargo de viceconsejero de Justicia (años 2000 a 2005) y viceconsejero de Innovación (de 19 de marzo de 2005 a 1 de abril de 2010).</w:t>
      </w:r>
    </w:p>
    <w:p w14:paraId="69047708" w14:textId="77777777" w:rsidR="003754FE" w:rsidRDefault="003754FE" w:rsidP="003754FE">
      <w:pPr>
        <w:pStyle w:val="TextoNormal"/>
      </w:pPr>
    </w:p>
    <w:p w14:paraId="234F0CD6" w14:textId="77777777" w:rsidR="003754FE" w:rsidRDefault="003754FE" w:rsidP="003754FE">
      <w:pPr>
        <w:pStyle w:val="TextoNormal"/>
      </w:pPr>
      <w:r>
        <w:t>Acotado este sustrato fáctico, en virtud del relato de hechos probados de la sentencia de instancia, es deber de este tribunal comprobar si, de acuerdo con su fundamentación jurídica, se ha motivado suficientemente, y conforme a criterios racionales y lógicos, el engarce necesario entre las conductas anteriormente expuestas y la participación del demandante de amparo, entendiendo que ello solo se producirá cuando se realice de un modo “coherente, lógico y racional, entendida la racionalidad, por supuesto, no como mero mecanismo o automatismo, sino como compresión razonable de la realidad normalmente vivida y apreciada conforme a los criterios colectivos vigentes” (STC 169/1986, de 22 de diciembre, FJ 2).</w:t>
      </w:r>
    </w:p>
    <w:p w14:paraId="2BDBCC7A" w14:textId="77777777" w:rsidR="003754FE" w:rsidRDefault="003754FE" w:rsidP="003754FE">
      <w:pPr>
        <w:pStyle w:val="TextoNormal"/>
      </w:pPr>
    </w:p>
    <w:p w14:paraId="5AD7C3D8" w14:textId="77777777" w:rsidR="003754FE" w:rsidRDefault="003754FE" w:rsidP="003754FE">
      <w:pPr>
        <w:pStyle w:val="TextoNormal"/>
      </w:pPr>
      <w:r>
        <w:t xml:space="preserve">Y ello porque, como ya se ha explicitado anteriormente, el derecho a la presunción de inocencia queda vulnerado cuando, habiéndose declarado la culpabilidad del encausado, dicha declaración de culpabilidad no se ha motivado suficientemente toda vez que “uno de los modos de la vulneración de este derecho lo constituye precisamente la falta de motivación del </w:t>
      </w:r>
      <w:r w:rsidRPr="003754FE">
        <w:rPr>
          <w:i/>
        </w:rPr>
        <w:t>iter</w:t>
      </w:r>
      <w:r>
        <w:t xml:space="preserve"> que ha conducido de las pruebas al relato de hechos probados de signo incriminatorio” (STC 245/2007, 10 de diciembre, FJ 5) no siendo, por lo tanto, misión de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(STC 137/2005, de 23 de mayo, FJ 2).</w:t>
      </w:r>
    </w:p>
    <w:p w14:paraId="4F14FA43" w14:textId="77777777" w:rsidR="003754FE" w:rsidRDefault="003754FE" w:rsidP="003754FE">
      <w:pPr>
        <w:pStyle w:val="TextoNormal"/>
      </w:pPr>
    </w:p>
    <w:p w14:paraId="5311F5A8" w14:textId="77777777" w:rsidR="003754FE" w:rsidRDefault="003754FE" w:rsidP="003754FE">
      <w:pPr>
        <w:pStyle w:val="TextoNormal"/>
      </w:pPr>
      <w:r>
        <w:t>A) Actos relativos a la forma global de gestión, al margen de la normativa sobre subvenciones, de las ayudas comprendidas en el programa 22E derivada de las modificaciones presupuestarias de fecha 28 de julio de 2000, 18 de septiembre de 2001 y 13 de noviembre de 2001, en las que el recurrente intervino en calidad de viceconsejero de Justicia</w:t>
      </w:r>
    </w:p>
    <w:p w14:paraId="63ABBE5F" w14:textId="77777777" w:rsidR="003754FE" w:rsidRDefault="003754FE" w:rsidP="003754FE">
      <w:pPr>
        <w:pStyle w:val="TextoNormal"/>
      </w:pPr>
    </w:p>
    <w:p w14:paraId="35E5CBFA" w14:textId="77777777" w:rsidR="003754FE" w:rsidRDefault="003754FE" w:rsidP="003754FE">
      <w:pPr>
        <w:pStyle w:val="TextoNormal"/>
      </w:pPr>
      <w:r>
        <w:t xml:space="preserve">El elenco de hechos anteriores a 2002 a los que no resulta aplicable, en los términos señalados en el fundamento jurídico 5 de la presente resolución, el reproche constitucional por vulneración del derecho a la legalidad penal (art. 25.1 CE) queda constituido, en el caso del señor Rodríguez Román, por su participación en la tramitación de las modificaciones presupuestarias de 28 de julio de 2000, 18 de septiembre de 2001 y 13 de noviembre de 2001. Según los términos señalados en la sentencia de instancia, y como se ha expuesto anteriormente en el fundamento jurídico 2 de la presente resolución, las citadas modificaciones presupuestarias habrían permitido soslayar la preceptiva fiscalización previa de la intervención delegada de la Consejería de Empleo y permitido la puesta a disposición del director general de Trabajo y Seguridad Social y la Consejería de Empleo de fondos </w:t>
      </w:r>
      <w:r>
        <w:lastRenderedPageBreak/>
        <w:t>presupuestarios para la concesión de ayudas sociolaborales sin necesidad de tramitar expediente alguno.</w:t>
      </w:r>
    </w:p>
    <w:p w14:paraId="5F7670A3" w14:textId="77777777" w:rsidR="003754FE" w:rsidRDefault="003754FE" w:rsidP="003754FE">
      <w:pPr>
        <w:pStyle w:val="TextoNormal"/>
      </w:pPr>
    </w:p>
    <w:p w14:paraId="452E2246" w14:textId="77777777" w:rsidR="003754FE" w:rsidRDefault="003754FE" w:rsidP="003754FE">
      <w:pPr>
        <w:pStyle w:val="TextoNormal"/>
      </w:pPr>
      <w:r>
        <w:t>Al respecto, el demandante centra sus quejas en la inexistencia de prueba alguna que acredite que el señor Rodríguez Román actuara de forma concertada, o coordinada, con los miembros de la Consejería de Empleo, no acreditándose, tampoco, una posición de garante que permitiera encajar su responsabilidad en la figura del dolo eventual. Estima, por otro lado, que por el Tribunal Supremo se habría elaborado un dolo omnicomprensivo que “conduce a contemplar el elemento subjetivo del injusto de forma unificada, de forma tal que pareciera que probado el elemento subjetivo del tipo de prevaricación, este también abarcara el elemento subjetivo del delito de malversación”.</w:t>
      </w:r>
    </w:p>
    <w:p w14:paraId="2794F854" w14:textId="77777777" w:rsidR="003754FE" w:rsidRDefault="003754FE" w:rsidP="003754FE">
      <w:pPr>
        <w:pStyle w:val="TextoNormal"/>
      </w:pPr>
    </w:p>
    <w:p w14:paraId="63128B03" w14:textId="77777777" w:rsidR="003754FE" w:rsidRDefault="003754FE" w:rsidP="003754FE">
      <w:pPr>
        <w:pStyle w:val="TextoNormal"/>
      </w:pPr>
      <w:r>
        <w:t>No obstante, la premisa de la que parten aquellas alegaciones resulta imprecisa. Así, el eje sobre el que pivota la alegada vulneración del derecho a la presunción de inocencia se sitúa en la afirmación de que no habría quedado acreditada la concertación o acuerdo previo entre los miembros de la Consejería de Empleo y el demandante de amparo, siendo que la existencia de dicho acuerdo o concertación no resultaba necesario a la vista de la propia argumentación dada por el Tribunal Supremo (fundamento de Derecho 33) al resolver el correspondiente motivo casacional donde concreta que el indebido criterio de presupuestación fue el que hizo posible la concesión de las ayudas sociolaborales y la falta de control y demás ilegalidades. De esta manera aparece reflejado en el fundamento jurídico 5.3 de la presente resolución donde se explicita que “la sustracción constitutiva de la malversación, no se sustancia con la utilización, en infracción de la normativa presupuestaria, de un indebido sistema de presupuestación, como conducta constitutiva de prevaricación administrativa, sino en la materialización posterior de un hecho adicional —que la tipicidad de la prevaricación no abarca— que consiste en la gestión de los fondos públicos con omisión absoluta y radical de los procedimientos y controles previos del régimen legal de subvenciones, tanto en lo relativo a la fiscalización previa del gasto por parte de la intervención delegada de la Consejería de Empleo, como al seguimiento, en la concesión de las ayudas, de un procedimiento administrativo caracterizado por las notas de publicidad, objetividad y concurrencia”. De esta manera, el citado acuerdo y concertación que el demandante persigue combatir a través del motivo de amparo presente no resultaba necesario para la apreciación del elemento subjetivo del injusto y, por ende, para la concurrencia del delito de malversación.</w:t>
      </w:r>
    </w:p>
    <w:p w14:paraId="1B88EC73" w14:textId="77777777" w:rsidR="003754FE" w:rsidRDefault="003754FE" w:rsidP="003754FE">
      <w:pPr>
        <w:pStyle w:val="TextoNormal"/>
      </w:pPr>
    </w:p>
    <w:p w14:paraId="163AB424" w14:textId="77777777" w:rsidR="003754FE" w:rsidRDefault="003754FE" w:rsidP="003754FE">
      <w:pPr>
        <w:pStyle w:val="TextoNormal"/>
      </w:pPr>
      <w:r>
        <w:t>Y resulta además que en el presente caso, y con independencia de la perspectiva global que las resoluciones judiciales impugnadas adoptan en relación a la ideación y ejecución de un “indebido” sistema de presupuestación, tanto la resolución dictada por la Audiencia Provincial, como la dictada por el Tribunal Supremo, explicitan un amplío juicio de autoría donde no solo se determinan los actos concretos ejecutados por el demandante que estaban dirigidos a una contribución activa a la —en ese momento— ilícita finalidad de conceder ayudas sociolaborales sin cumplir los requisitos establecidos en la normativa de subvenciones (Ley 5/1983, de 19 de junio, general de la hacienda pública de la Comunidad Autónoma de Andalucía), sino que también desgrana detalladamente los medios de prueba en los que se asienta dicha aseveración.</w:t>
      </w:r>
    </w:p>
    <w:p w14:paraId="3848995C" w14:textId="77777777" w:rsidR="003754FE" w:rsidRDefault="003754FE" w:rsidP="003754FE">
      <w:pPr>
        <w:pStyle w:val="TextoNormal"/>
      </w:pPr>
    </w:p>
    <w:p w14:paraId="550FF1C0" w14:textId="77777777" w:rsidR="003754FE" w:rsidRDefault="003754FE" w:rsidP="003754FE">
      <w:pPr>
        <w:pStyle w:val="TextoNormal"/>
      </w:pPr>
      <w:r>
        <w:t xml:space="preserve">Así, la sentencia de la Audiencia Provincial detalla que el demandante asistió a las reuniones de la Comisión General de viceconsejeros celebradas el 26 de julio de 2000, 12 </w:t>
      </w:r>
      <w:r>
        <w:lastRenderedPageBreak/>
        <w:t>de septiembre de 2001 y 7 de noviembre de 2001 donde se acordó elevar al Consejo de Gobierno las modificaciones presupuestarias que fueron finalmente aprobadas el 28 de julio de 2000, 18 de septiembre y 13 de noviembre de 2001. Según se relata en la resolución impugnada, en la primera de ellas se aprobó aminorar la partida 481.00 en favor de la partida 440.01 “Transferencia al IFA en materia de relaciones laborales” a pesar de que este crédito presupuestario no estaba previsto para tal fin en la Orden de la Consejería de Hacienda de 22 de mayo de 1998” (sentencia de la Audiencia Provincial, fundamento de Derecho 33, pág. 1139). Con tal proceder se habría soslayado la preceptiva fiscalización crítica o previa de la intervención delegada de la Consejería de Empleo, poniendo a disposición del director general de Trabajo, sin competencia legal para la concesión de ayudas sociolaborales, fondos económicos para que este pudiera disponer de aquellos “sin sujeción a la fiscalización de la Intervención General de la Junta de Andalucía, y sin necesidad de tramitar expediente alguno, en este caso, el de subvenciones excepcionales, como ya se venía haciendo por la propia Consejería de Empleo”.</w:t>
      </w:r>
    </w:p>
    <w:p w14:paraId="038FB711" w14:textId="77777777" w:rsidR="003754FE" w:rsidRDefault="003754FE" w:rsidP="003754FE">
      <w:pPr>
        <w:pStyle w:val="TextoNormal"/>
      </w:pPr>
    </w:p>
    <w:p w14:paraId="20FA1E4C" w14:textId="77777777" w:rsidR="003754FE" w:rsidRDefault="003754FE" w:rsidP="003754FE">
      <w:pPr>
        <w:pStyle w:val="TextoNormal"/>
      </w:pPr>
      <w:r>
        <w:t>En este caso, además, las resoluciones judiciales parten de la concepción de que el conocimiento por parte del demandante de la ilegalidad del sistema que se estaba siguiendo con las citadas modificaciones presupuestarias se deducía de varios elementos de prueba: (i) en primer lugar, que en el segundo semestre del ejercicio del año 2000 se elaboró un proyecto de decreto de la Consejería de Empleo y Desarrollo que fue objeto de amplio debate en la Comisión General de viceconsejeros celebrada en fechas 13 de diciembre de 2000, 17 de enero de 2001 y 24 de enero de 2001, y que permitía inferir que “el acusado tuvo conocimiento de cómo se pretendió regular la concesión de estas ayudas sociolaborales”; (ii) en segundo lugar, que, con ocasión de su declaración ante el juez de instrucción, manifestó conocer los supuestos en los que procedía efectuar una modificación presupuestaria, siendo que, en el caso de las reseñadas, no existía una situación de déficit o necesidad de fondos que justificase aquellas; (iii) en tercer lugar, que en los extractos que acompañaban a las modificaciones presupuestarias, y que eran manejados por la Comisión General de viceconsejeros, se explicitaba que la aplicación presupuestaria 440.00 era relativa a “Transferencias de financiación a empresas públicas y otros entes públicos” y que se procedía a su vinculación con el convenio marco de 2001 del tal manera que “se utilizó inadecuadamente para conceder subvenciones un concepto que no era el legalmente previsto para ella”; y (iv) en cuarto lugar, en el conocimiento del informe del interventor general al proyecto de decreto del año 2000 donde se indicaba que el IFA/IDEA no podía intervenir como entidad colaboradora al ser necesario una previsión legal al respecto.</w:t>
      </w:r>
    </w:p>
    <w:p w14:paraId="791A749D" w14:textId="77777777" w:rsidR="003754FE" w:rsidRDefault="003754FE" w:rsidP="003754FE">
      <w:pPr>
        <w:pStyle w:val="TextoNormal"/>
      </w:pPr>
    </w:p>
    <w:p w14:paraId="63F58F2A" w14:textId="77777777" w:rsidR="003754FE" w:rsidRDefault="003754FE" w:rsidP="003754FE">
      <w:pPr>
        <w:pStyle w:val="TextoNormal"/>
      </w:pPr>
      <w:r>
        <w:t>A ello añade el Tribunal Supremo la circunstancia de que “la intervención de la Comisión General de Viceconsejeros no era un mero acto de trámite, pues en ocasiones se rechazaron modificaciones porque la clasificación de los créditos no era adecuada […] [p]or tanto, cabe inferir que las modificaciones presupuestarias eran suficientemente debatidas en la Comisión General de Viceconsejeros y, cuando se advertían de su irregularidad, podían ser rechazadas” (sentencia del Tribunal Supremo, fundamento de Derecho 125.1, págs. 937 y 938).</w:t>
      </w:r>
    </w:p>
    <w:p w14:paraId="40592374" w14:textId="77777777" w:rsidR="003754FE" w:rsidRDefault="003754FE" w:rsidP="003754FE">
      <w:pPr>
        <w:pStyle w:val="TextoNormal"/>
      </w:pPr>
    </w:p>
    <w:p w14:paraId="179E883D" w14:textId="77777777" w:rsidR="003754FE" w:rsidRDefault="003754FE" w:rsidP="003754FE">
      <w:pPr>
        <w:pStyle w:val="TextoNormal"/>
      </w:pPr>
      <w:r>
        <w:t xml:space="preserve">En consecuencia, con lo anteriormente expuesto, el Tribunal concluye que ningún reproche puede hacerse desde la perspectiva del derecho fundamental a la presunción de inocencia (art. 24.2 CE) respecto de los razonamientos vertidos en la sentencia impugnada sobre </w:t>
      </w:r>
      <w:r>
        <w:lastRenderedPageBreak/>
        <w:t>la suficiencia de la actividad probatoria para llegar a la conclusión fáctica sustentada, y, en consecuencia, debe desestimarse el recurso de amparo respecto a estos hechos.</w:t>
      </w:r>
    </w:p>
    <w:p w14:paraId="416B7905" w14:textId="77777777" w:rsidR="003754FE" w:rsidRDefault="003754FE" w:rsidP="003754FE">
      <w:pPr>
        <w:pStyle w:val="TextoNormal"/>
      </w:pPr>
    </w:p>
    <w:p w14:paraId="11F0296C" w14:textId="77777777" w:rsidR="003754FE" w:rsidRDefault="003754FE" w:rsidP="003754FE">
      <w:pPr>
        <w:pStyle w:val="TextoNormal"/>
      </w:pPr>
      <w:r>
        <w:t>B) Participación y conocimiento del demandante en las disposiciones realizadas desde la Consejería de Empleo en ausencia de fin público y las enumeradas en el apartado C) del hecho probado vigesimosegundo, donde se hace constar que algunos fondos del programa 31L se aplicaron a fines distintos y ajenos a los determinados en el mismo</w:t>
      </w:r>
    </w:p>
    <w:p w14:paraId="37DC703D" w14:textId="77777777" w:rsidR="003754FE" w:rsidRDefault="003754FE" w:rsidP="003754FE">
      <w:pPr>
        <w:pStyle w:val="TextoNormal"/>
      </w:pPr>
    </w:p>
    <w:p w14:paraId="2DA392EA" w14:textId="77777777" w:rsidR="003754FE" w:rsidRDefault="003754FE" w:rsidP="003754FE">
      <w:pPr>
        <w:pStyle w:val="TextoNormal"/>
      </w:pPr>
      <w:r>
        <w:t>En relación con la posible participación del demandante de amparo en las disposiciones de fondos en ausencia de fin público y las enumeradas en el apartado C) del hecho probado vigesimosegundo, analizando los argumentos fácticos y jurídicos contenidos en la sentencia de instancia (sentencia de la Audiencia Provincial, fundamento de Derecho 33, págs. 1135 a 1148), es evidente que aquellos van dirigidos claramente a constatar que el señor Rodríguez Román participó en el engranaje dirigido al abono de subvenciones a través del uso de las transferencias de financiación. Así aparece recogido a lo largo del citado fundamento jurídico donde se expone con gran profusión que el demandante, como viceconsejero de Justicia, viceconsejero de Innovación y vicepresidente del IFA/IDEA, participó en las sesiones de la Comisión General de Viceconsejeros y del consejo rector del IFA/IDEA donde, no solamente tuvo conocimiento de las irregularidades que se estaban produciendo en la concesión de ayudas sociolaborales como consecuencia del uso de “transferencias de financiación” sino que, además, coadyuvo eficazmente a su consecución “[a]sumiendo la eventualidad de que los fondos vinculados al programa 31L fueran objeto de disposición con fines ajenos al fin público al que estaban destinados” (sentencia de la Audiencia Provincial, fundamento 33, pág. 1147).</w:t>
      </w:r>
    </w:p>
    <w:p w14:paraId="1A13CDD9" w14:textId="77777777" w:rsidR="003754FE" w:rsidRDefault="003754FE" w:rsidP="003754FE">
      <w:pPr>
        <w:pStyle w:val="TextoNormal"/>
      </w:pPr>
    </w:p>
    <w:p w14:paraId="63FD8C3E" w14:textId="77777777" w:rsidR="003754FE" w:rsidRDefault="003754FE" w:rsidP="003754FE">
      <w:pPr>
        <w:pStyle w:val="TextoNormal"/>
      </w:pPr>
      <w:r>
        <w:t>Estas conclusiones las extraen las resoluciones judiciales de la importante posición que ocupaba el demandante ya que, como miembro de la Comisión General de viceconsejeros, participó en la tramitación de modificaciones presupuestarias y anteproyectos de leyes de presupuestos, así como debatió documentos e informes de singular importancia como la memoria de control financiero del año 2006 (tratado en las sesiones de los días 2 y 3 de mayo de 2007).</w:t>
      </w:r>
    </w:p>
    <w:p w14:paraId="66031261" w14:textId="77777777" w:rsidR="003754FE" w:rsidRDefault="003754FE" w:rsidP="003754FE">
      <w:pPr>
        <w:pStyle w:val="TextoNormal"/>
      </w:pPr>
    </w:p>
    <w:p w14:paraId="7AAFB90B" w14:textId="77777777" w:rsidR="003754FE" w:rsidRDefault="003754FE" w:rsidP="003754FE">
      <w:pPr>
        <w:pStyle w:val="TextoNormal"/>
      </w:pPr>
      <w:r>
        <w:t>También de su participación como miembro del consejo rector del IFA/IDEA ya que, en esa condición, le fue dado traslado de los informes anuales de cuentas, de cumplimiento y, particularmente, del trascendental informe adicional de cumplimiento del año 2003 donde, en palabras del Tribunal Supremo, “se relataban todas las ilegalidades que han dado lugar a la ilegal disposición de fondos, al margen de cualquier control y procedimiento” (sentencia del Tribunal Supremo, fundamento de Derecho 125.3, pág. 955).</w:t>
      </w:r>
    </w:p>
    <w:p w14:paraId="325E87DD" w14:textId="77777777" w:rsidR="003754FE" w:rsidRDefault="003754FE" w:rsidP="003754FE">
      <w:pPr>
        <w:pStyle w:val="TextoNormal"/>
      </w:pPr>
    </w:p>
    <w:p w14:paraId="175889F0" w14:textId="77777777" w:rsidR="003754FE" w:rsidRDefault="003754FE" w:rsidP="003754FE">
      <w:pPr>
        <w:pStyle w:val="TextoNormal"/>
      </w:pPr>
      <w:r>
        <w:t>Sin embargo, la profundidad del análisis de la prueba que las resoluciones impugnadas efectúan respecto al conocimiento y participación del señor Rodríguez Román en la ejecución de un indebido sistema de presupuestación para la concesión de ayudas sociolaborales —ya sea en su modalidad de participación activa o su modalidad omisiva— no aparece detallado con la misma exhaustividad a la hora de motivar la posible participación de aquel en la asignación de fondos del programa 31L en ausencia de interés público o a fines ajenos a los recogidos en los propios programas presupuestarios (disposiciones contenidas en el hecho probado vigesimosegundo, apartado C), de la sentencia de instancia).</w:t>
      </w:r>
    </w:p>
    <w:p w14:paraId="1E4B37D6" w14:textId="77777777" w:rsidR="003754FE" w:rsidRDefault="003754FE" w:rsidP="003754FE">
      <w:pPr>
        <w:pStyle w:val="TextoNormal"/>
      </w:pPr>
    </w:p>
    <w:p w14:paraId="409F81C4" w14:textId="77777777" w:rsidR="003754FE" w:rsidRDefault="003754FE" w:rsidP="003754FE">
      <w:pPr>
        <w:pStyle w:val="TextoNormal"/>
      </w:pPr>
      <w:r>
        <w:lastRenderedPageBreak/>
        <w:t>En este sentido, la resolución de instancia no desarrolla un mínimo juicio de autoría que permita determinar si el señor Rodríguez Román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siendo que, como ya hemos señalado, toda la motivación efectuada respecto al demandante va dirigida a acreditar su participación en el uso del instrumento presupuestario de las transferencias de financiación para la concesión de ayudas sociolaborales.</w:t>
      </w:r>
    </w:p>
    <w:p w14:paraId="7C8B1335" w14:textId="77777777" w:rsidR="003754FE" w:rsidRDefault="003754FE" w:rsidP="003754FE">
      <w:pPr>
        <w:pStyle w:val="TextoNormal"/>
      </w:pPr>
    </w:p>
    <w:p w14:paraId="62CE4848" w14:textId="77777777" w:rsidR="003754FE" w:rsidRDefault="003754FE" w:rsidP="003754FE">
      <w:pPr>
        <w:pStyle w:val="TextoNormal"/>
      </w:pPr>
      <w:r>
        <w:t>Resulta especialmente relevante la argumentación relativa al elemento subjetivo, ya que la conducta malversadora no puede provenir del uso de un procedimiento de presupuestación que contempla el pago de ayudas a través de las transferencias de financiación y la firma de convenios amparados en la ley, sino, en su caso, de la disposición de fondos presupuestados para fines no previstos en el programa o incluso carentes de tal interés público. El elemento subjetivo del injusto debe proyectarse sobre esas concretas disposiciones.</w:t>
      </w:r>
    </w:p>
    <w:p w14:paraId="0C1F870E" w14:textId="77777777" w:rsidR="003754FE" w:rsidRDefault="003754FE" w:rsidP="003754FE">
      <w:pPr>
        <w:pStyle w:val="TextoNormal"/>
      </w:pPr>
    </w:p>
    <w:p w14:paraId="1C17219F" w14:textId="77777777" w:rsidR="003754FE" w:rsidRDefault="003754FE" w:rsidP="003754FE">
      <w:pPr>
        <w:pStyle w:val="TextoNormal"/>
      </w:pPr>
      <w:r>
        <w:t>El juicio de inferencia del dolo de malversar realizado en la sentencia de instancia parte de dos elementos:</w:t>
      </w:r>
    </w:p>
    <w:p w14:paraId="2729A475" w14:textId="77777777" w:rsidR="003754FE" w:rsidRDefault="003754FE" w:rsidP="003754FE">
      <w:pPr>
        <w:pStyle w:val="TextoNormal"/>
      </w:pPr>
    </w:p>
    <w:p w14:paraId="21411030" w14:textId="77777777" w:rsidR="003754FE" w:rsidRDefault="003754FE" w:rsidP="003754FE">
      <w:pPr>
        <w:pStyle w:val="TextoNormal"/>
      </w:pPr>
      <w:r>
        <w:t>(i) Los informes de control financiero permanente de la agencia IFA/IDEA, elaborados por la Intervención General de la Junta de Andalucía, y entre ellos, de manera determinante, el informe adicional (anexo III) al informe de cumplimiento de 2003 (“informe sobre determinados aspectos de la gestión del Instituto de Fomento de Andalucía de los convenios suscritos con la Consejería de Empleo y Desarrollo Tecnológico en materia de Trabajo y Seguridad Social”), argumentando que “[d]e esta disposición de fondos públicos participaron de forma activa desde el ejercicio 2000 hasta el 2009, los acusados pertenecientes a la Consejería de Empleo” y también los “otros acusados, por realizar las conductas descritas en los hechos probados, conociendo las aludidas deficiencias a través de los informes de control financiero de la Intervención General de la Junta de Andalucía” [sentencia de la Audiencia Provincial, fundamento de Derecho 45.4 D), pág. 1722].</w:t>
      </w:r>
    </w:p>
    <w:p w14:paraId="7E90F3DA" w14:textId="77777777" w:rsidR="003754FE" w:rsidRDefault="003754FE" w:rsidP="003754FE">
      <w:pPr>
        <w:pStyle w:val="TextoNormal"/>
      </w:pPr>
    </w:p>
    <w:p w14:paraId="79D2D3CC" w14:textId="77777777" w:rsidR="003754FE" w:rsidRDefault="003754FE" w:rsidP="003754FE">
      <w:pPr>
        <w:pStyle w:val="TextoNormal"/>
      </w:pPr>
      <w:r>
        <w:t>(ii) El déficit generado en la Consejería de Empleo y en la agencia IFA/IDEA como consecuencia de la aplicación de este sistema de gestión de ayudas, que lleva a apreciar en los condenados por malversación “una indiferencia hacia la alta probabilidad de que lo que ya era un despilfarro pasase a ser una malversación” en virtud de “la existencia del déficit o desfases presupuestarios, originados precisamente porque se contraían obligaciones al margen de la cobertura presupuestaria, lo que era posible porque se concedían subvenciones al margen del procedimiento legalmente establecido y sin control alguno, al haberse soslayado la fiscalización” [sentencia de la Audiencia Provincial, fundamento de Derecho 45.4 M), pág. 1732].</w:t>
      </w:r>
    </w:p>
    <w:p w14:paraId="2980340D" w14:textId="77777777" w:rsidR="003754FE" w:rsidRDefault="003754FE" w:rsidP="003754FE">
      <w:pPr>
        <w:pStyle w:val="TextoNormal"/>
      </w:pPr>
    </w:p>
    <w:p w14:paraId="32DCDBE9" w14:textId="77777777" w:rsidR="003754FE" w:rsidRDefault="003754FE" w:rsidP="003754FE">
      <w:pPr>
        <w:pStyle w:val="TextoNormal"/>
      </w:pPr>
      <w:r>
        <w:t xml:space="preserve">Ese juicio de inferencia, sin embargo, no resulta suficiente para establecer de manera cierta y precisa que el señor Rodríguez Román hubiera intervenido, con conocimiento de causa, en la realización de alguna o algunas de las disposiciones de fondos ajenas a la cobertura presupuestaria. Cierto es que, a través de los informes de control financiero, y, particularmente, a través del informe adicional al informe de cumplimiento de año 2003 (notificado en 2005), tuvo conocimiento de que las ayudas no se sujetaban a los requisitos del procedimiento aplicable a las subvenciones excepcionales —y que a partir de ese </w:t>
      </w:r>
      <w:r>
        <w:lastRenderedPageBreak/>
        <w:t>conocimiento es razonable concluir que se representó los riesgos de desvío que esa minoración de controles podría generar—. Ahora bien, este riesgo era inherente al sistema de presupuestación legalmente establecido. Por ello, para apreciar que el señor Rodríguez Román incurrió en las conductas que se le imputan no basta con poner de manifiesto que las ayudas concedidas no se ajustaban al procedimiento subvencional (conducta que estaba amparada en lo dispuesto en las leyes de presupuestos), sino que es preciso acreditar que participó activa u omisivamente con conocimiento de que los fondos públicos del programa 31L se estaban concediendo sin que existiera un fin público que justificara su concesión o para fines distintos de los previstos en dicho programa 31L.</w:t>
      </w:r>
    </w:p>
    <w:p w14:paraId="755AD133" w14:textId="77777777" w:rsidR="003754FE" w:rsidRDefault="003754FE" w:rsidP="003754FE">
      <w:pPr>
        <w:pStyle w:val="TextoNormal"/>
      </w:pPr>
    </w:p>
    <w:p w14:paraId="72C551D2" w14:textId="77777777" w:rsidR="003754FE" w:rsidRDefault="003754FE" w:rsidP="003754FE">
      <w:pPr>
        <w:pStyle w:val="TextoNormal"/>
      </w:pPr>
      <w:r>
        <w:t>Hemos de considerar, en definitiva, para situar en sus justos términos la fuerza probatoria de los mismos, que los informes de la Intervención de la Junta de Andalucía que se hicieron llegar a varios de los condenados, entre ellos al señor Rodríguez Román, rebaten la validez del concepto de transferencias de financiación al IFA/IDEA como instrumento presupuestario para gestionar subvenciones excepcionales al margen de su procedimiento propio, pero no advierten de que se hubieran producido actos de disposición ajenos a dicha cobertura.</w:t>
      </w:r>
    </w:p>
    <w:p w14:paraId="48F6F0CE" w14:textId="77777777" w:rsidR="003754FE" w:rsidRDefault="003754FE" w:rsidP="003754FE">
      <w:pPr>
        <w:pStyle w:val="TextoNormal"/>
      </w:pPr>
    </w:p>
    <w:p w14:paraId="1D86F6B3" w14:textId="77777777" w:rsidR="003754FE" w:rsidRDefault="003754FE" w:rsidP="003754FE">
      <w:pPr>
        <w:pStyle w:val="TextoNormal"/>
      </w:pPr>
      <w:r>
        <w:t xml:space="preserve">En particular, el informe adicional al informe de cumplimiento del ejercicio 2003, al que las resoluciones judiciales otorgan una importancia decisiva en la formación de su convicción, recoge el análisis específico que el interventor general de la Junta de Andalucía, don Manuel Gómez Martínez, acusado y absuelto en la causa, encargó a la interventora señora Rosario Lobo, que se hiciera sobre una muestra de veinte convenios particulares, seleccionados de entre los 144 convenios que se suscribieron entre los años 2001 a 2004 —por lo tanto, con cargo a fondos de los programas 22E y 31L—. Los convenios fueron remitidos por la Dirección General de Trabajo, y el informe de la Intervención concluye que todos ellos presentaban las mismas deficiencias, sirviendo de muestra el convenio suscrito con la empresa Hytasal, en el que se detectan, entre otras, las siguientes deficiencias: “[i]mputación presupuestaria inadecuada, no se debe de utilizar el artículo 44 —transferencias al IFA— sino el 47 o 48, según el beneficiario”. […] No consta solicitud presentada por los interesados. […] No se aporta declaración responsable del beneficiario de otras subvenciones o ayudas concedidas para la misma finalidad (artículos 111 y 105 de LGHPA, y artículo 15.1 del Reglamento de subvenciones). […] No se acredita la personalidad de las entidades solicitantes, ni de sus representantes. […] No se aporta informe o memoria acreditativa de la finalidad pública, o razones de interés social o económico, así como de la inexistencia de normas reguladoras a las que pudiera acogerse. […] No constan autorización de la concesión de la subvención por el Consejo de Gobierno por razón de la cuantía”. En el texto del “Protocolo de colaboración entre la Dirección General de Trabajo y Seguridad Social, de la Consejería de Empleo y Desarrollo Tecnológico, de la Junta de Andalucía e Hytasal”, que operaba como instrumento jurídico de concesión de la ayuda, la Intervención detecta también irregularidades, como: “No consigna plazo de ejecución de la actividad subvencionada con expresión del inicio del cómputo. […] No consigna la aplicación presupuestaria del gasto y su distribución plurianual. […] No se indica la forma y secuencia del pago y los requisitos exigidos para su abono. […] No se determina el plazo y forma de justificación por el beneficiario del cumplimiento de la finalidad para la que se concede la ayuda. […] Respecto a las inversiones que ha de realizar Hytasal, no se indica cuáles sean, ni el plazo de ejecución ni de justificación de realización de estas. […] No se aporta resolución o convenio de concesión de una subvención a la Asociación 14 de noviembre por importe de 500 000 €. […] </w:t>
      </w:r>
      <w:r>
        <w:lastRenderedPageBreak/>
        <w:t>Se ha omitido la fiscalización previa. […] El importe correspondiente a las prejubilaciones asciende a 10 285 137,38 €, en lugar de 10 500 000,00 €”.</w:t>
      </w:r>
    </w:p>
    <w:p w14:paraId="35F47802" w14:textId="77777777" w:rsidR="003754FE" w:rsidRDefault="003754FE" w:rsidP="003754FE">
      <w:pPr>
        <w:pStyle w:val="TextoNormal"/>
      </w:pPr>
    </w:p>
    <w:p w14:paraId="0F20E453" w14:textId="77777777" w:rsidR="003754FE" w:rsidRDefault="003754FE" w:rsidP="003754FE">
      <w:pPr>
        <w:pStyle w:val="TextoNormal"/>
      </w:pPr>
      <w:r>
        <w:t>La conclusión es la siguiente: “Vistas las anteriores deficiencias se puede concluir que la citada Dirección General ha tramitado subvenciones excepcionales prescindiendo de forma total y absoluta del procedimiento administrativo establecido. Dado que las deficiencias que presentan los expedientes son comunes a la práctica totalidad de los examinados existen dudas razonables sobre la correcta tramitación del resto de los expedientes no seleccionados” (sentencia de la Audiencia Provincial, hecho probado noveno, págs. 64 a 67).</w:t>
      </w:r>
    </w:p>
    <w:p w14:paraId="744C2566" w14:textId="77777777" w:rsidR="003754FE" w:rsidRDefault="003754FE" w:rsidP="003754FE">
      <w:pPr>
        <w:pStyle w:val="TextoNormal"/>
      </w:pPr>
    </w:p>
    <w:p w14:paraId="5B9C03C2" w14:textId="77777777" w:rsidR="003754FE" w:rsidRDefault="003754FE" w:rsidP="003754FE">
      <w:pPr>
        <w:pStyle w:val="TextoNormal"/>
      </w:pPr>
      <w:r>
        <w:t>La sentencia de instancia valora, asimismo, la declaración de los peritos de la Intervención General de la Administración del Estado, que elaboraron el informe que se incorporó a la causa. La sentencia dice que “[p]reguntados a este respecto, en las sesiones del juicio, los peritos de la Intervención General de la Administración del Estado, únicos que han visto todos y cada uno de los 270 expedientes de ayudas derivados del programa 22E y 31L, confirmaron que todas y cada uno de las deficiencias transcritas en el informe de Hytasal, son plenamente extensibles no solo a la muestra de veinte, sino a todos y cada uno de los 270 expedientes que ellos han analizado, con la matización de las diferencias básicas entre ayudas sociolaborales, con suscripción de pólizas de renta colectiva y ayudas a empresas en crisis”. Añade que “[l]os dieciocho puntos ya reseñados, expuestos por la interventora señora Lobo, facilitan de manera evidente el poder afirmar que no se siguió procedimiento administrativo alguno, faltando los requisitos más elementales en la tramitación de cualquier subvención, destacando la interventora la imputación presupuestaria inadecuada, pues no se debe utilizar el artículo 440 transferencias al IFA, sino el 47 o el 48, según el beneficiario. En relación con la opacidad del sistema, confirma el informe de la interventora que la subvención no se ha incluido en la base de datos, ni consta que convenio particular alguno haya sido previamente informado por el letrado del Gabinete Jurídico, adscrito en la Consejería de Empleo, como era preceptivo” (sentencia de la Audiencia Provincial, fundamento de Derecho 4, págs. 264 y 265).</w:t>
      </w:r>
    </w:p>
    <w:p w14:paraId="0CBA78F6" w14:textId="77777777" w:rsidR="003754FE" w:rsidRDefault="003754FE" w:rsidP="003754FE">
      <w:pPr>
        <w:pStyle w:val="TextoNormal"/>
      </w:pPr>
    </w:p>
    <w:p w14:paraId="05BA4205" w14:textId="77777777" w:rsidR="003754FE" w:rsidRDefault="003754FE" w:rsidP="003754FE">
      <w:pPr>
        <w:pStyle w:val="TextoNormal"/>
      </w:pPr>
      <w:r>
        <w:t>El contenido de estos informes permite inferir de manera razonable que sus destinatarios eran conscientes de que dichas aplicaciones presupuestarias permitían destinar fondos públicos al pago de ayudas sin cumplir el régimen propio de las subvenciones, pero no advertían de que se hubieran materializado pagos al margen de su cobertura, frente a lo que sostiene la sentencia de la Audiencia Provincial (fundamento de Derecho 45, pág. 1721) y como implícitamente viene a reconocer la sentencia de casación al afirmar que “el contenido del informe [adicional al de cumplimiento de 2003] no anuncia las consecuencias que se podían producir” (sentencia del Tribunal Supremo, fundamento 63.2, pág. 519).</w:t>
      </w:r>
    </w:p>
    <w:p w14:paraId="2DA00C72" w14:textId="77777777" w:rsidR="003754FE" w:rsidRDefault="003754FE" w:rsidP="003754FE">
      <w:pPr>
        <w:pStyle w:val="TextoNormal"/>
      </w:pPr>
    </w:p>
    <w:p w14:paraId="5519F587" w14:textId="77777777" w:rsidR="003754FE" w:rsidRDefault="003754FE" w:rsidP="003754FE">
      <w:pPr>
        <w:pStyle w:val="TextoNormal"/>
      </w:pPr>
      <w:r>
        <w:t xml:space="preserve">En definitiva, los informes de la Intervención que la sentencia de instancia analiza como medio de prueba acreditativo del tipo subjetivo de la malversación no llegan a demostrar que el señor Rodríguez Román hubiera realizado los hechos que se le atribuyen con una representación suficiente de que las ayudas se fueran a conceder al margen de toda finalidad pública.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que aparecen descritas en el fundamento de Derecho 45 de la sentencia de instancia. Tampoco es un dato concluyente que </w:t>
      </w:r>
      <w:r>
        <w:lastRenderedPageBreak/>
        <w:t>tuviera conocimiento del déficit contable que se producía en la agencia IDEA pues el mismo era una consecuencia asociada al sistema de presupuestación y gestión de las transferencias de financiación determinado en las leyes de presupuestos.</w:t>
      </w:r>
    </w:p>
    <w:p w14:paraId="254AD254" w14:textId="77777777" w:rsidR="003754FE" w:rsidRDefault="003754FE" w:rsidP="003754FE">
      <w:pPr>
        <w:pStyle w:val="TextoNormal"/>
      </w:pPr>
    </w:p>
    <w:p w14:paraId="24BC0C5B" w14:textId="77777777" w:rsidR="003754FE" w:rsidRDefault="003754FE" w:rsidP="003754FE">
      <w:pPr>
        <w:pStyle w:val="TextoNormal"/>
      </w:pPr>
      <w:r>
        <w:t>Ello no quiere decir, en modo alguno, que no existan en la causa elementos que hubieran podido servir de punto de partida para fundar un juicio de inferencia que pudiera haber llevado a esa conclusión —cuestión sobre la que a este tribunal no le corresponde pronunciarse—, sino, sencillamente, que la sentencia no ha completado el razonamiento capaz de trazar la vinculación entre los actos realizados por el demandante y las desviaciones expuestas anteriormente, razonamiento que es necesario para satisfacer el canon de motivación reforzada exigible a una sentencia condenatoria desde la perspectiva del derecho a la presunción de inocencia (art. 24.2 CE) y de los derechos fundamentales concernidos por las penas impuestas.</w:t>
      </w:r>
    </w:p>
    <w:p w14:paraId="00679BDF" w14:textId="77777777" w:rsidR="003754FE" w:rsidRDefault="003754FE" w:rsidP="003754FE">
      <w:pPr>
        <w:pStyle w:val="TextoNormal"/>
      </w:pPr>
    </w:p>
    <w:p w14:paraId="750387BB" w14:textId="77777777" w:rsidR="003754FE" w:rsidRDefault="003754FE" w:rsidP="003754FE">
      <w:pPr>
        <w:pStyle w:val="TextoNormal"/>
      </w:pPr>
      <w:r>
        <w:t>La resolución judicial de instancia (sentencia de la Audiencia Provincial, fundamento de Derecho, 22, pág 696) atribuye directamente dicho desvío de fondos a los responsables de la Consejería de Empleo señalando que “[s]in el mecanismo ya descrito hubiera sido imposible que la Consejería de Empleo de la Junta de Andalucía, a través de la Dirección General de Trabajo y Seguridad Social, hubiera dispuesto de fondos para conceder y pagar a través del IFA/ IDEA, los conceptos ya reseñados, sin la tramitación del correspondiente expediente, que permitiese acreditar, no ya solo el fin público o social del destino de las cantidades concedidas, sino que, suponiendo este, se hubieran aplicado los fondos al mismo”. Esta fundamentación se repite a lo largo de la sentencia de instancia, como en los fundamentos 9 o 35, pág. 1261, donde se afirma que “[a] pesar de no estar previsto en la ficha presupuestaria del programa 31L, lo cierto es que los responsables de la Consejería de Empleo utilizaron estos fondos para fines completamente ajenos. Y así, a simple modo de ejemplo, se encuentra que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Asimismo, en el fundamento 45, donde se concluye que se hicieron pagos completamente ajenos al interés público, “[c]omo son el pago de nóminas, deudas (sin especificar), minutas por asesoramiento jurídico en materia laboral, mejoras salariales derivadas de convenios colectivos, préstamos para pago de nóminas de los que no consta su devolución”, a empresas que no habían acreditado su falta de capacidad económica, sospechosas de haberse constituido exclusivamente para el cobro de las subvenciones, o incluyendo beneficiarios que no pertenecían a las mismas. Sin embargo, como ya se ha indicado, ninguna argumentación se realiza a lo largo de estos fundamentos jurídicos dirigida a explicitar la participación del demandante de amparo en la ejecución de este tipo de actos, los elementos probatorios de los que se deduciría dicha participación, así como la posible concurrencia del elemento subjetivo del injusto.</w:t>
      </w:r>
    </w:p>
    <w:p w14:paraId="3FCC65D0" w14:textId="77777777" w:rsidR="003754FE" w:rsidRDefault="003754FE" w:rsidP="003754FE">
      <w:pPr>
        <w:pStyle w:val="TextoNormal"/>
      </w:pPr>
    </w:p>
    <w:p w14:paraId="4453AB37" w14:textId="69A9D2F7" w:rsidR="003754FE" w:rsidRDefault="003754FE" w:rsidP="003754FE">
      <w:pPr>
        <w:pStyle w:val="TextoNormal"/>
      </w:pPr>
      <w:r>
        <w:t xml:space="preserve">Consecuentemente, y desde la perspectiva del análisis efectuado en las resoluciones judiciales impugnadas, no se considera mínimamente motivado que el señor Rodríguez Román hubiera realizado los hechos que la sentencia declara probados con conocimiento de que la Consejería de Empleo concedía ayudas que no respondían a ningún fin público amparado en el programa 31L, y consiguientemente con representación del riesgo concreto de </w:t>
      </w:r>
      <w:r>
        <w:lastRenderedPageBreak/>
        <w:t>que dicha situación se pudiera reproducir lo que ha de llevar a concluir que su presunción de inocencia no ha sido respetada por los órganos judiciales que pronunciaron la condena y que desestimaron el recurso de casación subsiguientemente interpuesto, lo que debe llevar a la estimación del amparo respecto a este motivo.</w:t>
      </w:r>
    </w:p>
    <w:p w14:paraId="69CC626C" w14:textId="77777777" w:rsidR="003754FE" w:rsidRDefault="003754FE" w:rsidP="003754FE">
      <w:pPr>
        <w:pStyle w:val="TextoNormal"/>
      </w:pPr>
    </w:p>
    <w:p w14:paraId="66F7F46D" w14:textId="77777777" w:rsidR="003754FE" w:rsidRDefault="003754FE" w:rsidP="003754FE">
      <w:pPr>
        <w:pStyle w:val="TextoNormal"/>
      </w:pPr>
      <w:r w:rsidRPr="003754FE">
        <w:rPr>
          <w:rStyle w:val="NumeroAFNegritaCaracter"/>
        </w:rPr>
        <w:t>7</w:t>
      </w:r>
      <w:r>
        <w:t xml:space="preserve">. </w:t>
      </w:r>
      <w:r w:rsidRPr="003754FE">
        <w:rPr>
          <w:i/>
        </w:rPr>
        <w:t>Vulneración del derecho a la defensa y a la intangibilidad de las resoluciones judiciales</w:t>
      </w:r>
    </w:p>
    <w:p w14:paraId="40500128" w14:textId="77777777" w:rsidR="003754FE" w:rsidRDefault="003754FE" w:rsidP="003754FE">
      <w:pPr>
        <w:pStyle w:val="TextoNormal"/>
      </w:pPr>
    </w:p>
    <w:p w14:paraId="0B084773" w14:textId="77777777" w:rsidR="003754FE" w:rsidRDefault="003754FE" w:rsidP="003754FE">
      <w:pPr>
        <w:pStyle w:val="TextoNormal"/>
      </w:pPr>
      <w:r>
        <w:t>El recurrente alega que la sentencia dictada por el Tribunal Supremo vulnera el derecho a la invariabilidad de las resoluciones judiciales firmes debido a que ha incurrido en una irregular ampliación del objeto de enjuiciamiento que quedó fijado en el auto de la Audiencia Provincial de Sevilla de 9 de febrero de 2018 y que excluyó expresamente del objeto de enjuiciamiento las ayudas individuales y los singulares pagos realizados en tal concepto por la Consejería de Empleo. El demandante afirma que el Tribunal Supremo, desconociendo el tenor literal de dicho auto, determina el objeto de enjuiciamiento acudiendo a las conclusiones definitivas de las acusaciones y al contenido de la sentencia de instancia, en particular a los hechos probados y a los argumentos utilizados por el tribunal de instancia para realizar la calificación jurídico-penal de los hechos. Afirma que dicha forma de actuar resulta gravosa y perjudicial para el recurrente por haberle causado indefensión.</w:t>
      </w:r>
    </w:p>
    <w:p w14:paraId="2671F4BE" w14:textId="77777777" w:rsidR="003754FE" w:rsidRDefault="003754FE" w:rsidP="003754FE">
      <w:pPr>
        <w:pStyle w:val="TextoNormal"/>
      </w:pPr>
    </w:p>
    <w:p w14:paraId="43A62169" w14:textId="77777777" w:rsidR="003754FE" w:rsidRDefault="003754FE" w:rsidP="003754FE">
      <w:pPr>
        <w:pStyle w:val="TextoNormal"/>
      </w:pPr>
      <w:r>
        <w:t>El Partido Popular interesa que se desestime este motivo toda vez que lo único que quedó excluido de la pieza que tiene su origen en este recurso de amparo fueron las ayudas individuales que se enjuiciaran en otras piezas separadas con la finalidad de evitar que se produjera un doble enjuiciamiento prohibido por el art. 25.1 CE. Por otra parte, afirma que el auto de la Audiencia Provincial de Sevilla de 9 de febrero de 2018 no tiene el carácter intangible que le imputa el recurrente. Aduce también que las ayudas no fueron el objeto de enjuiciamiento, pero algunas de ellas —una muestra— sí fueron tomadas en consideración en la prueba practicada a los solos efectos de que quedara acreditado en el proceso judicial el procedimiento para su concesión.</w:t>
      </w:r>
    </w:p>
    <w:p w14:paraId="17EF6328" w14:textId="77777777" w:rsidR="003754FE" w:rsidRDefault="003754FE" w:rsidP="003754FE">
      <w:pPr>
        <w:pStyle w:val="TextoNormal"/>
      </w:pPr>
    </w:p>
    <w:p w14:paraId="6CCD045F" w14:textId="77777777" w:rsidR="003754FE" w:rsidRDefault="003754FE" w:rsidP="003754FE">
      <w:pPr>
        <w:pStyle w:val="TextoNormal"/>
      </w:pPr>
      <w:r>
        <w:t>El Ministerio Fiscal interesa también que se desestime esta queja. Subraya en primer término que el recurrente ha incurrido en una incongruencia evidente a la hora de plantearla dado que de su argumentación puede derivarse que fue la sentencia recaída en la instancia la que amplió el objeto del proceso. Si esto hubiera sido así, la queja incurriría en causa de inadmisibilidad ya que debió de haberse planteado tempestivamente en el recurso de casación, cosa que el recurrente no hizo. El fiscal pone de relieve que otros condenados en el mismo proceso judicial alegaron esta misma queja en el recurso de casación, si bien la fundamentaron en la existencia de indefensión por haber vulnerado la Audiencia Provincial el principio acusatorio. El Tribunal Supremo resolvió expresamente dicha cuestión descartando que se hubiera lesionado el derecho fundamental alegado.</w:t>
      </w:r>
    </w:p>
    <w:p w14:paraId="3FA85EDB" w14:textId="77777777" w:rsidR="003754FE" w:rsidRDefault="003754FE" w:rsidP="003754FE">
      <w:pPr>
        <w:pStyle w:val="TextoNormal"/>
      </w:pPr>
    </w:p>
    <w:p w14:paraId="293F84F9" w14:textId="77777777" w:rsidR="003754FE" w:rsidRDefault="003754FE" w:rsidP="003754FE">
      <w:pPr>
        <w:pStyle w:val="TextoNormal"/>
      </w:pPr>
      <w:r>
        <w:t>El fiscal sostiene que, aún en la hipótesis de que la queja sea tempestiva por imputarse la lesión del derecho únicamente a la sentencia dictada en casación, debe desestimarse debido a que nada se le puede reprochar al Tribunal Supremo por realizar el enjuiciamiento casacional a partir de lo previsto en los hechos probados de la sentencia recurrida, pues eso es precisamente lo que exige el art. 849.1 LECrim. Es lo que sostiene el recurrente, esto es, haber tomado en consideración como objeto de enjuiciamiento el contenido del auto 9 de febrero de 2018, lo que le hubiera causado indefensión.</w:t>
      </w:r>
    </w:p>
    <w:p w14:paraId="2DC6EA7D" w14:textId="77777777" w:rsidR="003754FE" w:rsidRDefault="003754FE" w:rsidP="003754FE">
      <w:pPr>
        <w:pStyle w:val="TextoNormal"/>
      </w:pPr>
    </w:p>
    <w:p w14:paraId="1E78E483" w14:textId="77777777" w:rsidR="003754FE" w:rsidRDefault="003754FE" w:rsidP="003754FE">
      <w:pPr>
        <w:pStyle w:val="TextoNormal"/>
      </w:pPr>
      <w:r>
        <w:t>Una vez expuesta la queja y las alegaciones de las partes, la primera cuestión que ha de dilucidarse es si, de las alegaciones del Ministerio Fiscal, cabe deducir que esta alegación incurre en una causa de inadmisibilidad por no haberse invocado tempestivamente la lesión del derecho fundamental ante la jurisdicción ordinaria. Como se acaba de exponer, el fiscal no aduce formalmente la existencia de una causa de inadmisibilidad, sino que se limita a poner de relieve la incongruencia en la que ha incurrido el recurrente al formular este motivo del recurso y a aducir, en términos meramente hipotéticos que, de incurrir la vulneración alegada, quizás hubiera debido denunciarla en el recurso de casación por tener su origen en la sentencia de la Audiencia Provincial. No obstante, dado que la parte imputa la lesión del derecho a la sentencia recaída en el recurso de casación y que frente a ella se formuló el oportuno incidente de nulidad de actuaciones en el que, entre otras, se denunció esta queja, ha de considerarse que este motivo del recurso reúne los requisitos de procedibilidad para su enjuiciamiento. Por ello, el Tribunal ha de examinar únicamente si el Tribunal Supremo, al delimitar el objeto del recurso, amplió de forma intempestiva el objeto del proceso y por este motivo vulneró el derecho a la intangibilidad de las resoluciones judiciales causando indefensión al recurrente.</w:t>
      </w:r>
    </w:p>
    <w:p w14:paraId="0E5D23D0" w14:textId="77777777" w:rsidR="003754FE" w:rsidRDefault="003754FE" w:rsidP="003754FE">
      <w:pPr>
        <w:pStyle w:val="TextoNormal"/>
      </w:pPr>
    </w:p>
    <w:p w14:paraId="06A8FFFB" w14:textId="77777777" w:rsidR="003754FE" w:rsidRDefault="003754FE" w:rsidP="003754FE">
      <w:pPr>
        <w:pStyle w:val="TextoNormal"/>
      </w:pPr>
      <w:r>
        <w:t>Esta alegación debe rechazarse. Como reconoce el propio demandante, el Tribunal Supremo tomó en consideración para realizar el juicio casacional “las conclusiones definitivas de las acusaciones, [e]l contenido de los hechos probados y […] los argumentos utilizados por el tribunal de la instancia para realizar la calificación jurídico penal”. Tal forma de proceder, como pone de manifiesto el Ministerio Fiscal, no puede considerarse lesiva del derecho a la intangibilidad de las resoluciones judiciales al no desconocer ninguna resolución que tenga carácter de cosa juzgada. En el presente caso, el Tribunal Supremo, al delimitar el objeto del juicio casacional atendiendo a los hechos probados declarados en la sentencia de instancia y a su fundamentación jurídica, se atiene a lo dispuesto en el art. 849.1 LECrim, sin que el recurrente cuestione la constitucionalidad de este precepto.</w:t>
      </w:r>
    </w:p>
    <w:p w14:paraId="328E5F99" w14:textId="77777777" w:rsidR="003754FE" w:rsidRDefault="003754FE" w:rsidP="003754FE">
      <w:pPr>
        <w:pStyle w:val="TextoNormal"/>
      </w:pPr>
    </w:p>
    <w:p w14:paraId="035531F5" w14:textId="77777777" w:rsidR="003754FE" w:rsidRDefault="003754FE" w:rsidP="003754FE">
      <w:pPr>
        <w:pStyle w:val="TextoNormal"/>
      </w:pPr>
      <w:r>
        <w:t>En todo caso, el recurrente no fundamenta la indefensión que dice haber padecido. Esta omisión sería en sí misma suficiente para que esta queja no pueda prosperar.</w:t>
      </w:r>
    </w:p>
    <w:p w14:paraId="6263CC6D" w14:textId="77777777" w:rsidR="003754FE" w:rsidRDefault="003754FE" w:rsidP="003754FE">
      <w:pPr>
        <w:pStyle w:val="TextoNormal"/>
      </w:pPr>
    </w:p>
    <w:p w14:paraId="599F2C3C" w14:textId="29A668F6" w:rsidR="003754FE" w:rsidRDefault="003754FE" w:rsidP="003754FE">
      <w:pPr>
        <w:pStyle w:val="TextoNormal"/>
      </w:pPr>
      <w:r>
        <w:t>Por todo ello, el motivo ha de desestimarse.</w:t>
      </w:r>
    </w:p>
    <w:p w14:paraId="000670BD" w14:textId="77777777" w:rsidR="003754FE" w:rsidRDefault="003754FE" w:rsidP="003754FE">
      <w:pPr>
        <w:pStyle w:val="TextoNormal"/>
      </w:pPr>
    </w:p>
    <w:p w14:paraId="3ED353A7" w14:textId="77777777" w:rsidR="003754FE" w:rsidRDefault="003754FE" w:rsidP="003754FE">
      <w:pPr>
        <w:pStyle w:val="TextoNormal"/>
      </w:pPr>
      <w:r w:rsidRPr="003754FE">
        <w:rPr>
          <w:rStyle w:val="NumeroAFNegritaCaracter"/>
        </w:rPr>
        <w:t>8</w:t>
      </w:r>
      <w:r>
        <w:t xml:space="preserve">. </w:t>
      </w:r>
      <w:r w:rsidRPr="003754FE">
        <w:rPr>
          <w:i/>
        </w:rPr>
        <w:t>Conclusión y efectos de la estimación parcial del recurso de amparo</w:t>
      </w:r>
    </w:p>
    <w:p w14:paraId="5E192398" w14:textId="77777777" w:rsidR="003754FE" w:rsidRDefault="003754FE" w:rsidP="003754FE">
      <w:pPr>
        <w:pStyle w:val="TextoNormal"/>
      </w:pPr>
    </w:p>
    <w:p w14:paraId="5E10D2C3" w14:textId="77777777" w:rsidR="003754FE" w:rsidRDefault="003754FE" w:rsidP="003754FE">
      <w:pPr>
        <w:pStyle w:val="TextoNormal"/>
      </w:pPr>
      <w:r>
        <w:t>Los argumentos expuestos en los fundamentos jurídicos anteriores determinan que la estimación parcial del presente recuso de amparo despliegue los efectos que se concretan a continuación en relación con la condena por delito de malversación de caudales públicos del art. 432 CP y la condena por delito de prevaricación del art. 404 CP.</w:t>
      </w:r>
    </w:p>
    <w:p w14:paraId="2E263C31" w14:textId="77777777" w:rsidR="003754FE" w:rsidRDefault="003754FE" w:rsidP="003754FE">
      <w:pPr>
        <w:pStyle w:val="TextoNormal"/>
      </w:pPr>
    </w:p>
    <w:p w14:paraId="084295CC" w14:textId="77777777" w:rsidR="003754FE" w:rsidRDefault="003754FE" w:rsidP="003754FE">
      <w:pPr>
        <w:pStyle w:val="TextoNormal"/>
      </w:pPr>
      <w:r>
        <w:t>A) En relación con la condena por malversación de caudales públicos, ha de acordarse la nulidad parcial de las resoluciones impugnadas, pues los argumentos expresados en los fundamentos jurídicos 5 y 6 de esta resolución ponen de manifiesto que:</w:t>
      </w:r>
    </w:p>
    <w:p w14:paraId="33A98DF4" w14:textId="77777777" w:rsidR="003754FE" w:rsidRDefault="003754FE" w:rsidP="003754FE">
      <w:pPr>
        <w:pStyle w:val="TextoNormal"/>
      </w:pPr>
    </w:p>
    <w:p w14:paraId="3C386964" w14:textId="77777777" w:rsidR="003754FE" w:rsidRDefault="003754FE" w:rsidP="003754FE">
      <w:pPr>
        <w:pStyle w:val="TextoNormal"/>
      </w:pPr>
      <w:r>
        <w:t xml:space="preserve">a) La estimación parcial de la vulneración del derecho a la legalidad penal (art. 25.1 CE) en relación con la subsunción imprevisible en el tipo penal del art. 432 CP de todos los hechos que han motivado la condena por malversación con la sola excepción de: (i) el uso </w:t>
      </w:r>
      <w:r>
        <w:lastRenderedPageBreak/>
        <w:t>de fondos públicos comprendidos en el programa 31L en ausencia o con desviación de su fin público; (ii) la participación del recurrente en las modificaciones presupuestarias del programa 22E de los años 2000-2001.</w:t>
      </w:r>
    </w:p>
    <w:p w14:paraId="5895CB62" w14:textId="77777777" w:rsidR="003754FE" w:rsidRDefault="003754FE" w:rsidP="003754FE">
      <w:pPr>
        <w:pStyle w:val="TextoNormal"/>
      </w:pPr>
    </w:p>
    <w:p w14:paraId="5D8B7437" w14:textId="77777777" w:rsidR="003754FE" w:rsidRDefault="003754FE" w:rsidP="003754FE">
      <w:pPr>
        <w:pStyle w:val="TextoNormal"/>
      </w:pPr>
      <w:r>
        <w:t>b) La estimación de la vulneración del derecho a la presunción de inocencia (art. 24. 2 CE) respecto del uso de fondos públicos comprendidos en el programa 31L en ausencia o con desviación de su fin público.</w:t>
      </w:r>
    </w:p>
    <w:p w14:paraId="0B32E17C" w14:textId="77777777" w:rsidR="003754FE" w:rsidRDefault="003754FE" w:rsidP="003754FE">
      <w:pPr>
        <w:pStyle w:val="TextoNormal"/>
      </w:pPr>
    </w:p>
    <w:p w14:paraId="53B0DDB0" w14:textId="77777777" w:rsidR="003754FE" w:rsidRDefault="003754FE" w:rsidP="003754FE">
      <w:pPr>
        <w:pStyle w:val="TextoNormal"/>
      </w:pPr>
      <w:r>
        <w:t xml:space="preserve">B) En relación con el delito de </w:t>
      </w:r>
      <w:r w:rsidRPr="003754FE">
        <w:rPr>
          <w:i/>
        </w:rPr>
        <w:t>prevaricación administrativa</w:t>
      </w:r>
      <w:r>
        <w:t xml:space="preserve"> del art. 404 CP, ha de acordarse, también la nulidad parcial de las resoluciones impugnadas, pues:</w:t>
      </w:r>
    </w:p>
    <w:p w14:paraId="7859AD47" w14:textId="77777777" w:rsidR="003754FE" w:rsidRDefault="003754FE" w:rsidP="003754FE">
      <w:pPr>
        <w:pStyle w:val="TextoNormal"/>
      </w:pPr>
    </w:p>
    <w:p w14:paraId="2446B5F3" w14:textId="77777777" w:rsidR="003754FE" w:rsidRDefault="003754FE" w:rsidP="003754FE">
      <w:pPr>
        <w:pStyle w:val="TextoNormal"/>
      </w:pPr>
      <w:r>
        <w:t>a) Infringe el derecho a la legalidad penal (art. 25.1 CE) la aplicación que han efectuado los órganos judiciales del art. 404 CP al condenar al recurrente en amparo como autor de un delito continuado de prevaricación (art. 404 CP): (i) por haber intervenido en la elaboración de los anteproyectos de ley de presupuestos para los años 2005 a 2008; (ii) por haber participado en la tramitación de las modificaciones presupuestarias correspondientes a los ejercicios 2002, 2005, 2006 y 2007 en relación con el programa 31L.</w:t>
      </w:r>
    </w:p>
    <w:p w14:paraId="0357228D" w14:textId="77777777" w:rsidR="003754FE" w:rsidRDefault="003754FE" w:rsidP="003754FE">
      <w:pPr>
        <w:pStyle w:val="TextoNormal"/>
      </w:pPr>
    </w:p>
    <w:p w14:paraId="0B7D14A4" w14:textId="77777777" w:rsidR="003754FE" w:rsidRDefault="003754FE" w:rsidP="003754FE">
      <w:pPr>
        <w:pStyle w:val="TextoNormal"/>
      </w:pPr>
      <w:r>
        <w:t>b) No es lesiva del derecho a la legalidad penal (art. 25.1 CE) la condena por delito de prevaricación del recurrente de amparo en relación con su intervención en: (i) la aprobación de las modificaciones presupuestarias realizadas los años 2000 y 2001 por la que se incrementaron los créditos de la partida 22E; (ii) así como la modificación presupuestaria de 9 de diciembre de 2004, por la que se incrementaron los créditos correspondientes al programa 32H.</w:t>
      </w:r>
    </w:p>
    <w:p w14:paraId="47957B59" w14:textId="77777777" w:rsidR="003754FE" w:rsidRDefault="003754FE" w:rsidP="003754FE">
      <w:pPr>
        <w:pStyle w:val="TextoNormal"/>
      </w:pPr>
    </w:p>
    <w:p w14:paraId="65B46DB0" w14:textId="77777777" w:rsidR="003754FE" w:rsidRDefault="003754FE" w:rsidP="003754FE">
      <w:pPr>
        <w:pStyle w:val="TextoNormal"/>
      </w:pPr>
      <w:r>
        <w:t>En consecuencia, el fallo parcialmente estimatorio determina la nulidad de las resoluciones impugnadas y la retroacción del procedimiento al momento anterior al dictado de la sentencia de instancia para que por la Audiencia Provincial de Sevilla se dicte un nuevo pronunciamiento exclusivamente en lo relativo a:</w:t>
      </w:r>
    </w:p>
    <w:p w14:paraId="30220A03" w14:textId="77777777" w:rsidR="003754FE" w:rsidRDefault="003754FE" w:rsidP="003754FE">
      <w:pPr>
        <w:pStyle w:val="TextoNormal"/>
      </w:pPr>
    </w:p>
    <w:p w14:paraId="48B854BE" w14:textId="77777777" w:rsidR="003754FE" w:rsidRDefault="003754FE" w:rsidP="003754FE">
      <w:pPr>
        <w:pStyle w:val="TextoNormal"/>
      </w:pPr>
      <w:r>
        <w:t>(i) la posible comisión de un delito de malversación de caudales públicos como consecuencia de su participación en la aprobación de las modificaciones presupuestarias realizadas los años 2000 y 2001 por la que se incrementaron los créditos de la partida 22E.</w:t>
      </w:r>
    </w:p>
    <w:p w14:paraId="77F4F89D" w14:textId="77777777" w:rsidR="003754FE" w:rsidRDefault="003754FE" w:rsidP="003754FE">
      <w:pPr>
        <w:pStyle w:val="TextoNormal"/>
      </w:pPr>
    </w:p>
    <w:p w14:paraId="63004C64" w14:textId="7757C785" w:rsidR="003754FE" w:rsidRDefault="003754FE" w:rsidP="003754FE">
      <w:pPr>
        <w:pStyle w:val="TextoNormal"/>
      </w:pPr>
      <w:r>
        <w:t>(ii) la posible comisión de un delito de prevaricación administrativa del art. 404 CP derivado de la intervención del recurrente de amparo en la aprobación de las modificaciones presupuestarias realizadas en los años 2000 y 2001 por la que se incrementaron los créditos de la partida 22E, así como la modificación presupuestaria de 9 de diciembre de 2004 para el incremento del crédito presupuestario del programa 32H.</w:t>
      </w:r>
    </w:p>
    <w:p w14:paraId="53641F18" w14:textId="77777777" w:rsidR="003754FE" w:rsidRDefault="003754FE" w:rsidP="003754FE">
      <w:pPr>
        <w:pStyle w:val="TextoNormal"/>
      </w:pPr>
    </w:p>
    <w:p w14:paraId="3376C048" w14:textId="77777777" w:rsidR="003754FE" w:rsidRDefault="003754FE" w:rsidP="003754FE">
      <w:pPr>
        <w:pStyle w:val="TextoNormalCentrado"/>
        <w:keepNext/>
      </w:pPr>
      <w:r>
        <w:t>FALLO</w:t>
      </w:r>
    </w:p>
    <w:p w14:paraId="6A1ED73C" w14:textId="3C340A2A" w:rsidR="003754FE" w:rsidRDefault="003754FE" w:rsidP="003754FE">
      <w:pPr>
        <w:pStyle w:val="TextoNormalCentrado"/>
        <w:keepNext/>
      </w:pPr>
    </w:p>
    <w:p w14:paraId="56661C09" w14:textId="77777777" w:rsidR="003754FE" w:rsidRDefault="003754FE" w:rsidP="003754FE">
      <w:pPr>
        <w:pStyle w:val="TextoNormal"/>
      </w:pPr>
      <w:r>
        <w:t xml:space="preserve">En atención a todo lo expuesto, el Tribunal Constitucional, por la autoridad que le confiere la Constitución de la Nación española, ha decidido: </w:t>
      </w:r>
    </w:p>
    <w:p w14:paraId="2A32E95C" w14:textId="77777777" w:rsidR="003754FE" w:rsidRDefault="003754FE" w:rsidP="003754FE">
      <w:pPr>
        <w:pStyle w:val="TextoNormal"/>
      </w:pPr>
    </w:p>
    <w:p w14:paraId="675408B0" w14:textId="77777777" w:rsidR="003754FE" w:rsidRDefault="003754FE" w:rsidP="003754FE">
      <w:pPr>
        <w:pStyle w:val="TextoNormal"/>
      </w:pPr>
      <w:r>
        <w:t>1º Reconocer que se han vulnerado los derechos fundamentales del recurrente a la legalidad penal (art. 25.1 CE) y a la presunción de inocencia (art. 24.2 CE).</w:t>
      </w:r>
    </w:p>
    <w:p w14:paraId="6ECB1510" w14:textId="77777777" w:rsidR="003754FE" w:rsidRDefault="003754FE" w:rsidP="003754FE">
      <w:pPr>
        <w:pStyle w:val="TextoNormal"/>
      </w:pPr>
    </w:p>
    <w:p w14:paraId="141AB364" w14:textId="77777777" w:rsidR="003754FE" w:rsidRDefault="003754FE" w:rsidP="003754FE">
      <w:pPr>
        <w:pStyle w:val="TextoNormal"/>
      </w:pPr>
      <w:r>
        <w:lastRenderedPageBreak/>
        <w:t>2º Restablecer al recurrente en sus derechos y, a tal fin, declarar la nulidad de la sentencia núm. 490/2019, de 19 de noviembre, dictada por la Sección Primera de la Audiencia Provincial de Sevilla, de la sentencia núm. 749/2022, de 13 de septiembre, de la Sala de lo Penal del Tribunal Supremo y del auto del mismo tribunal de 16 de febrero de 2023, ordenando la retroacción del proceso al momento anterior al dictado de la sentencia de instancia para que por la Audiencia Provincial de Sevilla se dicte un nuevo pronunciamiento respetuoso con los derechos fundamentales vulnerados, en los términos que se indican en el fundamento jurídico 8 de esta sentencia.</w:t>
      </w:r>
    </w:p>
    <w:p w14:paraId="1FA4A83B" w14:textId="77777777" w:rsidR="003754FE" w:rsidRDefault="003754FE" w:rsidP="003754FE">
      <w:pPr>
        <w:pStyle w:val="TextoNormal"/>
      </w:pPr>
    </w:p>
    <w:p w14:paraId="5AE11A45" w14:textId="65E879A4" w:rsidR="003754FE" w:rsidRDefault="003754FE" w:rsidP="003754FE">
      <w:pPr>
        <w:pStyle w:val="TextoNormal"/>
      </w:pPr>
      <w:r>
        <w:t>3º Desestimar el recurso de amparo en lo restante.</w:t>
      </w:r>
    </w:p>
    <w:p w14:paraId="7465D605" w14:textId="77777777" w:rsidR="003754FE" w:rsidRDefault="003754FE" w:rsidP="003754FE">
      <w:pPr>
        <w:pStyle w:val="TextoNormal"/>
      </w:pPr>
    </w:p>
    <w:p w14:paraId="64A6D4E0" w14:textId="77777777" w:rsidR="003754FE" w:rsidRDefault="003754FE" w:rsidP="003754FE">
      <w:pPr>
        <w:pStyle w:val="TextoNormal"/>
      </w:pPr>
      <w:r>
        <w:t>Publíquese esta sentencia en el “Boletín Oficial del Estado”.</w:t>
      </w:r>
    </w:p>
    <w:p w14:paraId="3F1782D7" w14:textId="77777777" w:rsidR="003754FE" w:rsidRDefault="003754FE" w:rsidP="003754FE">
      <w:pPr>
        <w:pStyle w:val="TextoNormal"/>
      </w:pPr>
      <w:r>
        <w:t>Dada en Madrid, a tres de julio de dos mil veinticuatro.</w:t>
      </w:r>
    </w:p>
    <w:p w14:paraId="3468AF9E" w14:textId="6F4181A5" w:rsidR="003754FE" w:rsidRDefault="003754FE" w:rsidP="003754FE">
      <w:pPr>
        <w:pStyle w:val="ParrafoNormal"/>
      </w:pPr>
    </w:p>
    <w:p w14:paraId="37307100" w14:textId="77777777" w:rsidR="003754FE" w:rsidRDefault="003754FE" w:rsidP="003754FE">
      <w:pPr>
        <w:pStyle w:val="TextoNormalNegritaCentrado"/>
        <w:keepNext/>
      </w:pPr>
      <w:r>
        <w:t>Voto particular que formula el magistrado don Ricardo Enríquez Sancho a la sentencia dictada en el recurso de amparo avocado núm. 2361-2023</w:t>
      </w:r>
    </w:p>
    <w:p w14:paraId="0B4299E9" w14:textId="15173A9E" w:rsidR="003754FE" w:rsidRDefault="003754FE" w:rsidP="003754FE">
      <w:pPr>
        <w:pStyle w:val="TextoNormalNegritaCentrado"/>
        <w:keepNext/>
      </w:pPr>
    </w:p>
    <w:p w14:paraId="333D925B" w14:textId="77777777" w:rsidR="003754FE" w:rsidRDefault="003754FE" w:rsidP="003754FE">
      <w:pPr>
        <w:pStyle w:val="TextoNormal"/>
      </w:pPr>
      <w:r>
        <w:t>En el ejercicio de la facultad que me confiere el artículo 90.2 de la Ley Orgánica del Tribunal Constitucional (LOTC), y con el máximo respeto a la opinión de la mayoría, formulo el presente voto particular por discrepar de la fundamentación y del fallo de la sentencia recaída en el recurso de amparo avocado por el Pleno núm. 2361-2023, interpuesto por don Jesús María Rodríguez Román, el cual a mi juicio debió ser desestimado porque las sentencias impugnadas no vulneraron sus derechos fundamentales a la legalidad penal (art. 25.1 CE) y a la presunción de inocencia (art. 24.2 CE).</w:t>
      </w:r>
    </w:p>
    <w:p w14:paraId="7D89578E" w14:textId="77777777" w:rsidR="003754FE" w:rsidRDefault="003754FE" w:rsidP="003754FE">
      <w:pPr>
        <w:pStyle w:val="TextoNormal"/>
      </w:pPr>
    </w:p>
    <w:p w14:paraId="116BD33A" w14:textId="77777777" w:rsidR="003754FE" w:rsidRDefault="003754FE" w:rsidP="003754FE">
      <w:pPr>
        <w:pStyle w:val="TextoNormal"/>
      </w:pPr>
      <w:r>
        <w:t>a) Las razones de mi discrepancia han quedado detalladamente expuestas en el voto particular formulado a la sentencia dictada en el día de ayer, STC 94/2024, de 2 de julio, que resolvió una demanda de amparo sustancialmente idéntica a la presente (recurso de amparo avocado 2136-2023), al que por tanto me remito. En ambos recursos de amparo, y en otros tres que se deliberaron en el Pleno del día de hoy, se impugnó la sentencia de la Sección Primera de la Audiencia Provincial de Sevilla de 19 de noviembre de 2019, confirmada en casación por la sentencia de la Sala de lo Penal del Tribunal Supremo de 13 de septiembre de 2022 (junto con el auto de la misma Sala de lo Penal de 16 de febrero de 2023, que rechazó el incidente de nulidad de actuaciones promovido contra su sentencia); resoluciones recaídas en la llamada causa de los “ERE” en la cual se condenó a cargos de relevancia en determinados periodos entre los años 2000 a 2009, en las Consejerías de Empleo y Desarrollo Tecnológico, Economía y Hacienda, Justicia y Administración Pública, e Innovación, Ciencia y Empresa, de la Junta de Andalucía; o bien en el Instituto de Fomento de Andalucía (IFA), denominado a partir de 2004 Agencia de Innovación y Desarrollo de Andalucía (IDEA). En el caso del promotor del presente recurso de amparo, señor Rodríguez Román, este desempeñó los cargos de viceconsejero de Justicia y Administración Pública desde 2000 a 2005, viceconsejero de Innovación, Ciencia y Empresa entre marzo de 2005 y 2010, y vicepresidente de IDEA desde marzo de 2005.</w:t>
      </w:r>
    </w:p>
    <w:p w14:paraId="54CFC44A" w14:textId="77777777" w:rsidR="003754FE" w:rsidRDefault="003754FE" w:rsidP="003754FE">
      <w:pPr>
        <w:pStyle w:val="TextoNormal"/>
      </w:pPr>
    </w:p>
    <w:p w14:paraId="59420070" w14:textId="77777777" w:rsidR="003754FE" w:rsidRDefault="003754FE" w:rsidP="003754FE">
      <w:pPr>
        <w:pStyle w:val="TextoNormal"/>
      </w:pPr>
      <w:r>
        <w:t>b) En síntesis, la sentencia de la que ahora discrepo ha estimado en primer lugar la queja de lesión del derecho fundamental del recurrente a la legalidad penal:</w:t>
      </w:r>
    </w:p>
    <w:p w14:paraId="2D18A04E" w14:textId="77777777" w:rsidR="003754FE" w:rsidRDefault="003754FE" w:rsidP="003754FE">
      <w:pPr>
        <w:pStyle w:val="TextoNormal"/>
      </w:pPr>
    </w:p>
    <w:p w14:paraId="0E6AEC76" w14:textId="77777777" w:rsidR="003754FE" w:rsidRDefault="003754FE" w:rsidP="003754FE">
      <w:pPr>
        <w:pStyle w:val="TextoNormal"/>
      </w:pPr>
      <w:r>
        <w:t>1. Respecto del delito de prevaricación</w:t>
      </w:r>
    </w:p>
    <w:p w14:paraId="4FFE2F33" w14:textId="77777777" w:rsidR="003754FE" w:rsidRDefault="003754FE" w:rsidP="003754FE">
      <w:pPr>
        <w:pStyle w:val="TextoNormal"/>
      </w:pPr>
    </w:p>
    <w:p w14:paraId="5D14BDFD" w14:textId="77777777" w:rsidR="003754FE" w:rsidRDefault="003754FE" w:rsidP="003754FE">
      <w:pPr>
        <w:pStyle w:val="TextoNormal"/>
      </w:pPr>
      <w:r>
        <w:t>(i) En concreto en el fundamento jurídico 4.4 A), se afirma que la actividad de elaboración de los anteproyectos de leyes de presupuestos de la Comunidad Autónoma de Andalucía para los años 2005 a 2008 y su elevación al Consejo de Gobierno, fases en las que tuvo participación destacada el recurrente, no puede considerarse una “resolución” y un “asunto administrativo” a efectos de integrar el delito de prevaricación del art. 404 CP por el que fue condenado (en concurso medial con otro delito de malversación de caudales públicos), al estar excluida aquella actividad de todo control por un órgano judicial, y tener cobertura legal en la partida 31L (transferencias de financiación IFA/IDEA), una vez aquellos anteproyectos de leyes de presupuestos fueron aprobados por el Parlamento autonómico en los años correspondientes. De este modo, la interpretación efectuada por las sentencias impugnadas que interpretaron que concurrían los citados elementos del tipo delictivo del art. 404 CP, vulneró según la sentencia de la que discrepo el derecho fundamental del recurrente a la legalidad penal (art. 25.1 CE); criterio que la mayoría del Pleno ya había aplicado en la STC 93/2024, de 19 de junio (primer recurso de amparo de esta serie de los ERE, resuelto por el Tribunal).</w:t>
      </w:r>
    </w:p>
    <w:p w14:paraId="71B9213E" w14:textId="77777777" w:rsidR="003754FE" w:rsidRDefault="003754FE" w:rsidP="003754FE">
      <w:pPr>
        <w:pStyle w:val="TextoNormal"/>
      </w:pPr>
    </w:p>
    <w:p w14:paraId="710F14BF" w14:textId="77777777" w:rsidR="003754FE" w:rsidRDefault="003754FE" w:rsidP="003754FE">
      <w:pPr>
        <w:pStyle w:val="TextoNormal"/>
      </w:pPr>
      <w:r>
        <w:t>(ii) En el fundamento jurídico 4.4 B) (iv), se afirma que el procedimiento para la elaboración y elevación al Consejo de Gobierno de modificaciones presupuestarias al programa 31L en octubre de 2002, diciembre de 2005, noviembre de 2006 y noviembre de 2007, si bien no se considera imprevisible que puedan considerarse resoluciones administrativas a los efectos del art. 404 CP (delito de prevaricación), no cabe sin embargo calificarlas de “arbitrarias” en orden a dicho precepto penal, por tener tales modificaciones su cobertura en aquella partida incluida en las sucesivas leyes de presupuestos.</w:t>
      </w:r>
    </w:p>
    <w:p w14:paraId="7934CC80" w14:textId="77777777" w:rsidR="003754FE" w:rsidRDefault="003754FE" w:rsidP="003754FE">
      <w:pPr>
        <w:pStyle w:val="TextoNormal"/>
      </w:pPr>
    </w:p>
    <w:p w14:paraId="356BB8BC" w14:textId="77777777" w:rsidR="003754FE" w:rsidRDefault="003754FE" w:rsidP="003754FE">
      <w:pPr>
        <w:pStyle w:val="TextoNormal"/>
      </w:pPr>
      <w:r>
        <w:t>(iii) Y en tercer lugar, sostiene el fundamento jurídico 4.4 C) que el conocimiento por el recurrente de hasta cincuenta y tres convenios particulares suscritos entre la Dirección General de Empleo y el IFA/IDEA, sin realizar actuación alguna dirigida a evitar la suscripción o en su caso la ejecución de tales convenios, de nuevo en aplicación de la doctrina sentada por la STC 93/2024, FJ 4.4, no puede considerarse “arbitraria” y por ello no integra la figura delictiva de la prevaricación del art. 404 CP, pues toda su conducta estaba cubierta por las leyes de presupuestos que incluían la partida 31L para ayudas sociolaborales.</w:t>
      </w:r>
    </w:p>
    <w:p w14:paraId="51B2E617" w14:textId="77777777" w:rsidR="003754FE" w:rsidRDefault="003754FE" w:rsidP="003754FE">
      <w:pPr>
        <w:pStyle w:val="TextoNormal"/>
      </w:pPr>
    </w:p>
    <w:p w14:paraId="2E6FC834" w14:textId="77777777" w:rsidR="003754FE" w:rsidRDefault="003754FE" w:rsidP="003754FE">
      <w:pPr>
        <w:pStyle w:val="TextoNormal"/>
      </w:pPr>
      <w:r>
        <w:t xml:space="preserve">Pues bien, respecto de estos tres pronunciamientos debo remitirme a las consideraciones efectuadas en el apartado 2 del voto particular a la STC 94/2024, en el que a su vez hice un amplio recordatorio del voto particular (apartados 2 a 4) firmado junto con los magistrados don Enrique Arnaldo Alcubilla y doña Concepción Espejel Jorquera a la STC 93/2024, respecto de una queja constitucional similar a la que ahora se comenta y donde se aclaró: (1) que los trabajos preparatorios de un proyecto de ley de presupuestos es una actividad de “inequívoca naturaleza administrativa”, con cita de preceptos de nuestro ordenamiento que así lo respaldan; (2) que las actuaciones realizadas en ese procedimiento previo “no se mueven en el ámbito de la inconstitucionalidad de las leyes” y por tanto sí permiten su control por los tribunales penales; (3) que el sistema de financiación desplegado en los citados años por los altos cargos de la Junta de Andalucía condenados en esta causa, revestía una ilegalidad propia del delito de prevaricación (arbitrariedad), al degenerar en la falta de control que imponían las normas sobre subvenciones, sin que la aprobación parlamentaria de los proyectos de ley resultase “sanadora de todos los posibles vicios denunciados”; y (4) en particular, recordé en el voto particular a la STC 94/2024 (mismo apartado 2), con remisión </w:t>
      </w:r>
      <w:r>
        <w:lastRenderedPageBreak/>
        <w:t>al voto particular conjunto a la STC 93/2024, apartado 4, el por qué carece igualmente de valor legal la documentación anexa que acompaña a los anteproyectos de leyes de presupuestos, incluyendo la memoria. Todo lo expuesto permite concluir que las sentencias recurridas no conculcaron el derecho fundamental a la legalidad punitiva (art. 25.1 CE) del recurrente, como erróneamente ha venido a apreciar la mayoría del Pleno de este tribunal en la sentencia de la que ahora discrepo.</w:t>
      </w:r>
    </w:p>
    <w:p w14:paraId="32C91D82" w14:textId="77777777" w:rsidR="003754FE" w:rsidRDefault="003754FE" w:rsidP="003754FE">
      <w:pPr>
        <w:pStyle w:val="TextoNormal"/>
      </w:pPr>
    </w:p>
    <w:p w14:paraId="3E8C518E" w14:textId="77777777" w:rsidR="003754FE" w:rsidRDefault="003754FE" w:rsidP="003754FE">
      <w:pPr>
        <w:pStyle w:val="TextoNormal"/>
      </w:pPr>
      <w:r>
        <w:t>2. Respecto del delito de malversación</w:t>
      </w:r>
    </w:p>
    <w:p w14:paraId="2C89A471" w14:textId="77777777" w:rsidR="003754FE" w:rsidRDefault="003754FE" w:rsidP="003754FE">
      <w:pPr>
        <w:pStyle w:val="TextoNormal"/>
      </w:pPr>
    </w:p>
    <w:p w14:paraId="05039E8D" w14:textId="77777777" w:rsidR="003754FE" w:rsidRDefault="003754FE" w:rsidP="003754FE">
      <w:pPr>
        <w:pStyle w:val="TextoNormal"/>
      </w:pPr>
      <w:r>
        <w:t>(i) En el fundamento jurídico 5.3.1 a), la sentencia de la que discrepo señala que la subsunción en la modalidad activa del delito de malversación del art. 432 CP (sustracción de caudales públicos), de los hechos probados que se refieren a irregularidades en la gestión global de las ayudas sociolaborales con cobertura en el programa 31L, tanto la elaboración de los respectivos anteproyectos de ley para los años 2005 a 2008, como de modificaciones presupuestarias en los años 2002, 2005, 2006 y 2007, resulta imprevisible y por tanto contraria al derecho fundamental a la legalidad (art. 25.1 CE) del recurrente, con reiteración para ello de los motivos ya esgrimidos respecto del delito de prevaricación (no ser una actividad fiscalizable por los tribunales penales).</w:t>
      </w:r>
    </w:p>
    <w:p w14:paraId="77E58807" w14:textId="77777777" w:rsidR="003754FE" w:rsidRDefault="003754FE" w:rsidP="003754FE">
      <w:pPr>
        <w:pStyle w:val="TextoNormal"/>
      </w:pPr>
    </w:p>
    <w:p w14:paraId="539A6442" w14:textId="77777777" w:rsidR="003754FE" w:rsidRDefault="003754FE" w:rsidP="003754FE">
      <w:pPr>
        <w:pStyle w:val="TextoNormal"/>
      </w:pPr>
      <w:r>
        <w:t>(ii) Otro tanto defiende la sentencia de la que discrepo en el fundamento jurídico 5.3.1 b) sobre la condena al recurrente por la modalidad omisiva del mismo delito de malversación (por no impedir como viceconsejero ni tampoco como vicepresidente de IDEA, el descontrol en la gestión), en cuanto a las ayudas sociolaborales con cobertura en aquel programa 31L.</w:t>
      </w:r>
    </w:p>
    <w:p w14:paraId="116EEF3C" w14:textId="77777777" w:rsidR="003754FE" w:rsidRDefault="003754FE" w:rsidP="003754FE">
      <w:pPr>
        <w:pStyle w:val="TextoNormal"/>
      </w:pPr>
    </w:p>
    <w:p w14:paraId="40405D5B" w14:textId="77777777" w:rsidR="003754FE" w:rsidRDefault="003754FE" w:rsidP="003754FE">
      <w:pPr>
        <w:pStyle w:val="TextoNormal"/>
      </w:pPr>
      <w:r>
        <w:t>En ambos casos, se trata de un argumento circular al que a su vez ya di contestación en el apartado 3 de mi voto particular a la STC 94/2024 (trayendo de nuevo a colación el voto particular conjunto a la STC 93/2024), apartado 3 al que ahora me remito, insistiendo en que las normas y controles sobre subvenciones no fueron modificados por las leyes de presupuestos a las que se alude, de modo que tales controles regían en esos años y fueron deliberadamente obviados.</w:t>
      </w:r>
    </w:p>
    <w:p w14:paraId="3B2668B6" w14:textId="77777777" w:rsidR="003754FE" w:rsidRDefault="003754FE" w:rsidP="003754FE">
      <w:pPr>
        <w:pStyle w:val="TextoNormal"/>
      </w:pPr>
    </w:p>
    <w:p w14:paraId="516B40C5" w14:textId="77777777" w:rsidR="003754FE" w:rsidRDefault="003754FE" w:rsidP="003754FE">
      <w:pPr>
        <w:pStyle w:val="TextoNormal"/>
      </w:pPr>
      <w:r>
        <w:t>c) Derecho a la presunción de inocencia</w:t>
      </w:r>
    </w:p>
    <w:p w14:paraId="1DD9B86C" w14:textId="77777777" w:rsidR="003754FE" w:rsidRDefault="003754FE" w:rsidP="003754FE">
      <w:pPr>
        <w:pStyle w:val="TextoNormal"/>
      </w:pPr>
    </w:p>
    <w:p w14:paraId="6F85D2AA" w14:textId="77777777" w:rsidR="003754FE" w:rsidRDefault="003754FE" w:rsidP="003754FE">
      <w:pPr>
        <w:pStyle w:val="TextoNormal"/>
      </w:pPr>
      <w:r>
        <w:t>Finalmente, por lo que atañe a la estimación en el fundamento jurídico 6.4 de la sentencia de la que ahora discrepo, sobre la queja de vulneración del derecho a la presunción de inocencia (art. 24.2 CE) del recurrente, procede que me remita a su vez a lo dicho en el apartado 4 de mi voto particular a la STC 94/2024 , donde expliqué que la sentencia de instancia que se ha impugnado disponía en las actuaciones de informes periciales concluyentes de la Intervención General de la Junta de Andalucía y de la Intervención General de la Administración del Estado, no contradichos por los expertos que declararon en el plenario, acerca de la culpabilidad de los acusados en los hechos delictivos que se les atribuyen, medios de prueba de los que se hace un examen razonado que luego confirma la sentencia del Tribunal Supremo, sin que quepa hacer excepción por lo que hace al aquí recurrente en cuanto al delito de malversación de caudales públicos. En concreto, por el reparto de aquellas ayudas otorgadas sin cobertura en la partida 31L de las leyes de presupuestos (tras la criba efectuada por la misma sentencia, en cuanto a los hechos susceptibles de ser enjuiciados en ese tipo penal).</w:t>
      </w:r>
    </w:p>
    <w:p w14:paraId="33EAD7FB" w14:textId="77777777" w:rsidR="003754FE" w:rsidRDefault="003754FE" w:rsidP="003754FE">
      <w:pPr>
        <w:pStyle w:val="TextoNormal"/>
      </w:pPr>
    </w:p>
    <w:p w14:paraId="697B6CFC" w14:textId="77777777" w:rsidR="003754FE" w:rsidRDefault="003754FE" w:rsidP="003754FE">
      <w:pPr>
        <w:pStyle w:val="TextoNormal"/>
      </w:pPr>
      <w:r>
        <w:t>Por tanto, no puede calificarse de demasiado abierta o lábil la inferencia que aprecia el dolo eventual necesario para condenar al recurrente, como afirma la sentencia que ahora respalda la mayoría del Pleno, la cual para llegar a ese desenlace se erige en tribunal de instancia formulando su propio juicio de valoración probatoria, llegando incluso a decir que sí existían otros datos en los que sustentar esa culpabilidad, los cuales sin embargo no revela, y que de tal guisa habrían sido ignorados por la Audiencia Provincial. El derecho a la presunción de inocencia del recurrente, en definitiva, fue respetado por las sentencias recurridas, por lo que la demanda debió ser íntegramente desestimada.</w:t>
      </w:r>
    </w:p>
    <w:p w14:paraId="053113FA" w14:textId="77777777" w:rsidR="003754FE" w:rsidRDefault="003754FE" w:rsidP="003754FE">
      <w:pPr>
        <w:pStyle w:val="TextoNormal"/>
      </w:pPr>
    </w:p>
    <w:p w14:paraId="68E8D01E" w14:textId="77777777" w:rsidR="003754FE" w:rsidRDefault="003754FE" w:rsidP="003754FE">
      <w:pPr>
        <w:pStyle w:val="TextoNormal"/>
      </w:pPr>
      <w:r>
        <w:t>Y en tal sentido emito mi voto particular.</w:t>
      </w:r>
    </w:p>
    <w:p w14:paraId="76A76C63" w14:textId="77777777" w:rsidR="003754FE" w:rsidRDefault="003754FE" w:rsidP="003754FE">
      <w:pPr>
        <w:pStyle w:val="TextoNormal"/>
      </w:pPr>
    </w:p>
    <w:p w14:paraId="53652F59" w14:textId="0FF5FD44" w:rsidR="003754FE" w:rsidRDefault="003754FE" w:rsidP="003754FE">
      <w:pPr>
        <w:pStyle w:val="TextoNormal"/>
      </w:pPr>
      <w:r>
        <w:t>Madrid, a tres de julio de dos mil veinticuatro.</w:t>
      </w:r>
    </w:p>
    <w:p w14:paraId="3FCA2824" w14:textId="77777777" w:rsidR="003754FE" w:rsidRDefault="003754FE" w:rsidP="003754FE">
      <w:pPr>
        <w:pStyle w:val="TextoNormal"/>
      </w:pPr>
    </w:p>
    <w:p w14:paraId="40EFF3C2" w14:textId="77777777" w:rsidR="003754FE" w:rsidRDefault="003754FE" w:rsidP="003754FE">
      <w:pPr>
        <w:pStyle w:val="TextoNormalNegritaCentrado"/>
        <w:keepNext/>
      </w:pPr>
      <w:r>
        <w:t>Voto particular que formula el magistrado don Enrique Arnaldo Alcubilla a la sentencia dictada por el Pleno en el recurso de amparo núm. 2361-2023</w:t>
      </w:r>
    </w:p>
    <w:p w14:paraId="53237898" w14:textId="12D643B3" w:rsidR="003754FE" w:rsidRDefault="003754FE" w:rsidP="003754FE">
      <w:pPr>
        <w:pStyle w:val="TextoNormalNegritaCentrado"/>
        <w:keepNext/>
      </w:pPr>
    </w:p>
    <w:p w14:paraId="31A7C64D" w14:textId="77777777" w:rsidR="003754FE" w:rsidRDefault="003754FE" w:rsidP="003754FE">
      <w:pPr>
        <w:pStyle w:val="TextoNormal"/>
      </w:pPr>
      <w:r>
        <w:t>En el ejercicio de la facultad que me confiere el art. 90.2 de la Ley Orgánica del Tribunal Constitucional (LOTC), formulo el presente voto particular por discrepar de la fundamentación y del fallo de la sentencia recaída en el recurso de amparo interpuesto por don Jesús María Rodríguez Román, el cual a mi parecer debió ser desestimado, por las razones defendidas durante la deliberación y en los términos que seguidamente paso a exponer.</w:t>
      </w:r>
    </w:p>
    <w:p w14:paraId="239A21A5" w14:textId="77777777" w:rsidR="003754FE" w:rsidRDefault="003754FE" w:rsidP="003754FE">
      <w:pPr>
        <w:pStyle w:val="TextoNormal"/>
      </w:pPr>
    </w:p>
    <w:p w14:paraId="65BF9FF6" w14:textId="77777777" w:rsidR="003754FE" w:rsidRDefault="003754FE" w:rsidP="003754FE">
      <w:pPr>
        <w:pStyle w:val="TextoNormal"/>
      </w:pPr>
      <w:r>
        <w:t xml:space="preserve">1. </w:t>
      </w:r>
      <w:r w:rsidRPr="003754FE">
        <w:rPr>
          <w:i/>
        </w:rPr>
        <w:t>Consideración preliminar</w:t>
      </w:r>
    </w:p>
    <w:p w14:paraId="5B95045F" w14:textId="77777777" w:rsidR="003754FE" w:rsidRDefault="003754FE" w:rsidP="003754FE">
      <w:pPr>
        <w:pStyle w:val="TextoNormal"/>
      </w:pPr>
    </w:p>
    <w:p w14:paraId="76FB7818" w14:textId="77777777" w:rsidR="003754FE" w:rsidRDefault="003754FE" w:rsidP="003754FE">
      <w:pPr>
        <w:pStyle w:val="TextoNormal"/>
      </w:pPr>
      <w:r>
        <w:t>La fundamentación de la presente sentencia descansa en buena medida en los argumentos empleados por la mayoría del Pleno en la STC 93/2024, de 19 de junio, que estimó parcialmente el recurso de amparo núm. 6971-2022, interpuesto por doña Magdalena Álvarez Arza contra las mismas resoluciones judiciales, que la condenaron por un delito de prevaricación en la pieza específica del conocido como “caso de los ERE de Andalucía”.</w:t>
      </w:r>
    </w:p>
    <w:p w14:paraId="7E8F04FB" w14:textId="77777777" w:rsidR="003754FE" w:rsidRDefault="003754FE" w:rsidP="003754FE">
      <w:pPr>
        <w:pStyle w:val="TextoNormal"/>
      </w:pPr>
    </w:p>
    <w:p w14:paraId="59229ADA" w14:textId="77777777" w:rsidR="003754FE" w:rsidRDefault="003754FE" w:rsidP="003754FE">
      <w:pPr>
        <w:pStyle w:val="TextoNormal"/>
      </w:pPr>
      <w:r>
        <w:t xml:space="preserve">Es procedente, por ello, que me remita a las consideraciones expuestas en el voto particular que suscribí juntamente con los magistrados Enríquez Sancho y Espejel Jorquera a la referida sentencia, y a las que formuló el magistrado Tolosa Tribiño en su voto, al que asimismo nos adherimos. Esta remisión se explica porque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otro de los altos cargos de la Junta de Andalucía condenados en el referido asunto, en este supuesto por delitos de prevaricación y de malversación de caudales públicos. Se trata de don Jesús María Rodríguez Román, que ocupó el cargo de viceconsejero de Justicia de 2000 al 18 de marzo de 2005 y de viceconsejero de Innovación, Ciencia y Empresa desde el 19 de marzo de 2005 al 1 de abril de 2010, siendo asimismo miembro del consejo rector del Instituto de Fomento de Andalucía (IFA), luego Agencia de Innovación y Desarrollo de Andalucía (IDEA), y estando descritos los hechos por los que fue condenado en el relato de hechos probados y en los fundamentos de Derecho 33 y 49 de la sentencia de la Audiencia Provincial de Sevilla, como se pone de </w:t>
      </w:r>
      <w:r>
        <w:lastRenderedPageBreak/>
        <w:t>manifiesto en el fundamento jurídico 2.4 de la presente sentencia del Tribunal Constitucional.</w:t>
      </w:r>
    </w:p>
    <w:p w14:paraId="2EBE9191" w14:textId="77777777" w:rsidR="003754FE" w:rsidRDefault="003754FE" w:rsidP="003754FE">
      <w:pPr>
        <w:pStyle w:val="TextoNormal"/>
      </w:pPr>
    </w:p>
    <w:p w14:paraId="295B78E6" w14:textId="77777777" w:rsidR="003754FE" w:rsidRDefault="003754FE" w:rsidP="003754FE">
      <w:pPr>
        <w:pStyle w:val="TextoNormal"/>
      </w:pPr>
      <w:r>
        <w:t xml:space="preserve">2. </w:t>
      </w:r>
      <w:r w:rsidRPr="003754FE">
        <w:rPr>
          <w:i/>
        </w:rPr>
        <w:t>Una premisa errónea: la pretendida virtud sanadora de las leyes de presupuestos de Andalucía para los años 2002 a 2009</w:t>
      </w:r>
    </w:p>
    <w:p w14:paraId="06999D73" w14:textId="77777777" w:rsidR="003754FE" w:rsidRDefault="003754FE" w:rsidP="003754FE">
      <w:pPr>
        <w:pStyle w:val="TextoNormal"/>
      </w:pPr>
    </w:p>
    <w:p w14:paraId="0B92489D" w14:textId="77777777" w:rsidR="003754FE" w:rsidRDefault="003754FE" w:rsidP="003754FE">
      <w:pPr>
        <w:pStyle w:val="TextoNormal"/>
      </w:pPr>
      <w:r>
        <w:t>Como en la STC 93/2024, la presente sentencia considera que la actuación del recurrente no puede entenderse subsumible en los delitos de prevaricación y malversación por los que ha sido condenado, conclusión que asienta sobre la premisa, a mi parecer errónea, de que obraba amparado por lo previsto en la correspondiente ley de presupuestos para cada ejercicio.</w:t>
      </w:r>
    </w:p>
    <w:p w14:paraId="2823E805" w14:textId="77777777" w:rsidR="003754FE" w:rsidRDefault="003754FE" w:rsidP="003754FE">
      <w:pPr>
        <w:pStyle w:val="TextoNormal"/>
      </w:pPr>
    </w:p>
    <w:p w14:paraId="2BD93915" w14:textId="77777777" w:rsidR="003754FE" w:rsidRDefault="003754FE" w:rsidP="003754FE">
      <w:pPr>
        <w:pStyle w:val="TextoNormal"/>
      </w:pPr>
      <w:r>
        <w:t>Nada más lejos de la realidad. Las sentencias impugnadas en amparo han entendido que los trabajos preparatorios de esas leyes (la actividad “prelegislativa”), esto es, la actividad tendente a la elaboración de los anteproyectos de leyes que luego se convertirán en proyectos remitidos al Parlamento puede considerarse integrante de un procedimiento administrativo y, por consiguiente, que las decisiones que se adoptan en ese ámbito pueden calificarse como resoluciones recaídas en asunto administrativo, que es el término empleado en el art. 404 del Código penal para el delito de prevaricación administrativa. Por las razones expresadas en el voto particular a la STC 93/2024, no me parece que esa interpretación realizada por la jurisdicción penal, en el ámbito que le compete conforme al art. 117.3 CE, pueda tildarse de irrazonable o imprevisible. A mi entender, los actos prelegislativos son susceptibles de control penal. Entender lo contrario, como hace la mayoría del Tribunal en la sentencia de la que disiento, equivale a consagrar un inadmisible ámbito de impunidad que resulta patentemente contrario a la Constitución.</w:t>
      </w:r>
    </w:p>
    <w:p w14:paraId="2151A974" w14:textId="77777777" w:rsidR="003754FE" w:rsidRDefault="003754FE" w:rsidP="003754FE">
      <w:pPr>
        <w:pStyle w:val="TextoNormal"/>
      </w:pPr>
    </w:p>
    <w:p w14:paraId="4E57B2A1" w14:textId="77777777" w:rsidR="003754FE" w:rsidRDefault="003754FE" w:rsidP="003754FE">
      <w:pPr>
        <w:pStyle w:val="TextoNormal"/>
      </w:pPr>
      <w:r>
        <w:t>Pero la sentencia aprobada por la mayoría va aún más lejos y, como en la STC 93/2024, sostiene que la conducta del recurrente, como la del resto de condenados en el “caso de los ERE de Andalucía” no merecía reproche penal ni desde la perspectiva de la prevaricación, ni desde la perspectiva de la malversación, porque se amparaba en las leyes de presupuestos de Andalucía para los años 2002 al 2009, que “en su programa 31L, establecieron un sistema de atribución de fondos al IFA/IDEA (las transferencias de financiación) para la concesión de ayudas sociolaborales que [de acuerdo con lo establecido en sus propias memorias] habilitaban a la administración autonómica a conceder estas ayudas por tal vía” (FJ 4), lo que habría supuesto la supresión de los controles y procedimiento propios del régimen de subvenciones.</w:t>
      </w:r>
    </w:p>
    <w:p w14:paraId="046A565F" w14:textId="77777777" w:rsidR="003754FE" w:rsidRDefault="003754FE" w:rsidP="003754FE">
      <w:pPr>
        <w:pStyle w:val="TextoNormal"/>
      </w:pPr>
    </w:p>
    <w:p w14:paraId="3AB2696E" w14:textId="77777777" w:rsidR="003754FE" w:rsidRDefault="003754FE" w:rsidP="003754FE">
      <w:pPr>
        <w:pStyle w:val="TextoNormal"/>
      </w:pPr>
      <w:r>
        <w:t>Lo mismo se afirma respecto de las conductas calificables de prevaricación y de malversación relativas a las modificaciones presupuestarias y a la gestión directa de ayudas amparadas en el programa 31L, habidas con posterioridad a la aprobación de las distintas leyes de presupuestos, pues, asimismo, encontrarían cobijo en el “sistema de atribución de fondos al IFA/IDEA (las transferencias de financiación) para la concesión de ayudas sociolaborales”, según sostiene la mayoría del Pleno en la sentencia de la que disiento.</w:t>
      </w:r>
    </w:p>
    <w:p w14:paraId="759D4A09" w14:textId="77777777" w:rsidR="003754FE" w:rsidRDefault="003754FE" w:rsidP="003754FE">
      <w:pPr>
        <w:pStyle w:val="TextoNormal"/>
      </w:pPr>
    </w:p>
    <w:p w14:paraId="4896FC17" w14:textId="77777777" w:rsidR="003754FE" w:rsidRDefault="003754FE" w:rsidP="003754FE">
      <w:pPr>
        <w:pStyle w:val="TextoNormal"/>
      </w:pPr>
      <w:r>
        <w:t xml:space="preserve">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w:t>
      </w:r>
      <w:r>
        <w:lastRenderedPageBreak/>
        <w:t>subvenciones, en particular, la fiscalización previa por parte de la Intervención de la Junta de Andalucía. Se viene a afirmar que resulta imprevisible condenar por prevaricación conductas amparadas en lo dispuesto en el programa 31L incorporado a las leyes de presupuestos de Andalucía para los años 2002 a 2009. La Ley curaría, según la mayoría del Tribunal, todo vicio y haría inatacable la actuación de los gestores públicos, que estarían habilitados para actuar al margen de cualquier procedimiento y sin el control previo exigible en cualquier disposición de fondos públicos.</w:t>
      </w:r>
    </w:p>
    <w:p w14:paraId="58D0E5F4" w14:textId="77777777" w:rsidR="003754FE" w:rsidRDefault="003754FE" w:rsidP="003754FE">
      <w:pPr>
        <w:pStyle w:val="TextoNormal"/>
      </w:pPr>
    </w:p>
    <w:p w14:paraId="2E69515D" w14:textId="77777777" w:rsidR="003754FE" w:rsidRDefault="003754FE" w:rsidP="003754FE">
      <w:pPr>
        <w:pStyle w:val="TextoNormal"/>
      </w:pPr>
      <w:r>
        <w:t>Semejante premisa, la de la supuesta cobertura de la actuación del recurrente en la legalidad presupuestaria, descansa en una errónea apreciación del contenido de las leyes de presupuestos consideradas. No es cierto que las sentencias de la jurisdicción penal que condenaron al recurrente hayan privado de toda relevancia a la circunstancia de la aprobación parlamentaria de las sucesivas leyes de presupuestos. Lo que sucede, frente a lo que de manera incorrecta ha entendido la mayoría en la sentencia de la que disiento es que, en realidad, la introducción del programa 31L en las leyes de presupuestos andaluzas de los 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de lo Penal del Tribunal Supremo.</w:t>
      </w:r>
    </w:p>
    <w:p w14:paraId="0A119964" w14:textId="77777777" w:rsidR="003754FE" w:rsidRDefault="003754FE" w:rsidP="003754FE">
      <w:pPr>
        <w:pStyle w:val="TextoNormal"/>
      </w:pPr>
    </w:p>
    <w:p w14:paraId="60E911D9" w14:textId="77777777" w:rsidR="003754FE" w:rsidRDefault="003754FE" w:rsidP="003754FE">
      <w:pPr>
        <w:pStyle w:val="TextoNormal"/>
      </w:pPr>
      <w:r>
        <w:t>Ambas resoluciones judiciales niegan con razón, por otra parte, el pretendido valor legal que se pretende dar a las memorias presupuestarias, informes económico-financieros y fichas del programa 31L. La ausencia de eficacia vinculante de esa documentación anexa a las leyes de presupuestos resulta corroborada por diversos instrumentos legales, como ya se señaló en el voto particular conjunto a la STC 93/2014,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meras previsiones hipotéticas” (STC 63/1986, de 21 de mayo, FJ 8). El argumento que utiliza la mayoría en la sentencia de la que discrepo, según el cual han de interpretarse las partidas presupuestarias conforme a la memoria, es fruto de un voluntarismo jurídico que no se puede compartir.</w:t>
      </w:r>
    </w:p>
    <w:p w14:paraId="113A7377" w14:textId="77777777" w:rsidR="003754FE" w:rsidRDefault="003754FE" w:rsidP="003754FE">
      <w:pPr>
        <w:pStyle w:val="TextoNormal"/>
      </w:pPr>
    </w:p>
    <w:p w14:paraId="709EBBF6" w14:textId="77777777" w:rsidR="003754FE" w:rsidRDefault="003754FE" w:rsidP="003754FE">
      <w:pPr>
        <w:pStyle w:val="TextoNormal"/>
      </w:pPr>
      <w:r>
        <w:t>En cuanto a las modificaciones presupuestarias producidas en los años 2005 a 2008, por las mismas razones que entendemos que las leyes de presupuestos que incluyeron desde el año 2002 esa célebre partida 440 del programa 31L no sanaron el vicio que arrastraban en cuanto a su oculta finalidad de eludir los controles previos de la intervención, tampoco las modificaciones presupuestarias pueden escudarse en la ley de presupuestos.</w:t>
      </w:r>
    </w:p>
    <w:p w14:paraId="0148769F" w14:textId="77777777" w:rsidR="003754FE" w:rsidRDefault="003754FE" w:rsidP="003754FE">
      <w:pPr>
        <w:pStyle w:val="TextoNormal"/>
      </w:pPr>
    </w:p>
    <w:p w14:paraId="6039B4A4" w14:textId="77777777" w:rsidR="003754FE" w:rsidRDefault="003754FE" w:rsidP="003754FE">
      <w:pPr>
        <w:pStyle w:val="TextoNormal"/>
      </w:pPr>
      <w:r>
        <w:t xml:space="preserve">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w:t>
      </w:r>
      <w:r>
        <w:lastRenderedPageBreak/>
        <w:t>correspondiente ley de presupuestos, excluyera la aplicación de la normativa general en materia de subvenciones.</w:t>
      </w:r>
    </w:p>
    <w:p w14:paraId="7B1E1022" w14:textId="77777777" w:rsidR="003754FE" w:rsidRDefault="003754FE" w:rsidP="003754FE">
      <w:pPr>
        <w:pStyle w:val="TextoNormal"/>
      </w:pPr>
    </w:p>
    <w:p w14:paraId="60C75200" w14:textId="77777777" w:rsidR="003754FE" w:rsidRDefault="003754FE" w:rsidP="003754FE">
      <w:pPr>
        <w:pStyle w:val="TextoNormal"/>
      </w:pPr>
      <w:r>
        <w:t>Habida cuenta de lo anterior, no parece que la respuesta penal a la actuación del recurrente pueda calificarse de imprevisible. La razón de la condena del recurrente es clara: como con arreglo a la Ley 5/1983, de la hacienda pública de la Comunidad Autónoma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el recurrente y otros funcionarios idearon como solución para eludir esos controles incluir una nueva partida en los presupuestos titulada de manera indeterminada para sus propios fines, eludiendo de este modo los controles exigibles con arreglo a una legalidad que no fue derogada por lo dispuesto en las leyes de presupuestos andaluzas de los años 2002 a 2009.</w:t>
      </w:r>
    </w:p>
    <w:p w14:paraId="2D4D3048" w14:textId="77777777" w:rsidR="003754FE" w:rsidRDefault="003754FE" w:rsidP="003754FE">
      <w:pPr>
        <w:pStyle w:val="TextoNormal"/>
      </w:pPr>
    </w:p>
    <w:p w14:paraId="5DC3D4E6" w14:textId="77777777" w:rsidR="003754FE" w:rsidRDefault="003754FE" w:rsidP="003754FE">
      <w:pPr>
        <w:pStyle w:val="TextoNormal"/>
      </w:pPr>
      <w:r>
        <w:t>Ciertamente, las cosas podrían haber sucedido de otro modo. Las leyes de presupuestos andaluzas hubieran podido derogar esa legalidad, o excluirla para la concesión de esas ayudas, como hizo luego el Decreto-ley 4/2012 en la llamada “tercera etapa” de los ERE (primer bloque de los fundamentos de Derecho de la sentencia del Tribunal Supremo, “Resumen de los hechos probados”), cuyo artículo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a disponer, después, libérrimamente de los fondos incluidos en la partida 440 del programa 31L y solo y exclusivamente en esa partida.</w:t>
      </w:r>
    </w:p>
    <w:p w14:paraId="619A5E36" w14:textId="77777777" w:rsidR="003754FE" w:rsidRDefault="003754FE" w:rsidP="003754FE">
      <w:pPr>
        <w:pStyle w:val="TextoNormal"/>
      </w:pPr>
    </w:p>
    <w:p w14:paraId="285234A6" w14:textId="77777777" w:rsidR="003754FE" w:rsidRDefault="003754FE" w:rsidP="003754FE">
      <w:pPr>
        <w:pStyle w:val="TextoNormal"/>
      </w:pPr>
      <w:r>
        <w:t>La consecuencia de ello es que las conductas enjuiciadas del recurrente fueron correctamente subsumidas en el delito de malversación en concurso ideal con el precedente de prevaricación, no solo porque el programa 31L no concedía una cobertura legal para conceder ayudas con elusión de los controles previstos en la normativa subvencional, pues nada se establecía en las leyes de presupuestos en tal sentido, sino porque, en todo caso, con la omisión de aquellos controles se dispuso libremente de las ingentes cantidades dinerarias a las que se refieren los hechos probados de la sentencia condenatoria de la Audiencia Provincial de Sevilla, confirmada en casación por la Sala de lo Penal del Tribunal Supremo.</w:t>
      </w:r>
    </w:p>
    <w:p w14:paraId="34AB3620" w14:textId="77777777" w:rsidR="003754FE" w:rsidRDefault="003754FE" w:rsidP="003754FE">
      <w:pPr>
        <w:pStyle w:val="TextoNormal"/>
      </w:pPr>
    </w:p>
    <w:p w14:paraId="190F0C64" w14:textId="77777777" w:rsidR="003754FE" w:rsidRDefault="003754FE" w:rsidP="003754FE">
      <w:pPr>
        <w:pStyle w:val="TextoNormal"/>
      </w:pPr>
      <w:r>
        <w:t xml:space="preserve">3. </w:t>
      </w:r>
      <w:r w:rsidRPr="003754FE">
        <w:rPr>
          <w:i/>
        </w:rPr>
        <w:t>La presente sentencia desconoce los principios constitucionales rectores del gasto público y su control</w:t>
      </w:r>
    </w:p>
    <w:p w14:paraId="4CFD6E37" w14:textId="77777777" w:rsidR="003754FE" w:rsidRDefault="003754FE" w:rsidP="003754FE">
      <w:pPr>
        <w:pStyle w:val="TextoNormal"/>
      </w:pPr>
    </w:p>
    <w:p w14:paraId="5353C7C7" w14:textId="77777777" w:rsidR="003754FE" w:rsidRDefault="003754FE" w:rsidP="003754FE">
      <w:pPr>
        <w:pStyle w:val="TextoNormal"/>
      </w:pPr>
      <w:r>
        <w:t>En un precepto original en el Derecho Constitucional contemporáneo, la Constitución en su artículo 31.2 establece que: “El gasto público realizará una asignación equitativa de los recursos públicos, y su programación y ejecución responderán a los criterios de eficiencia y economía”.</w:t>
      </w:r>
    </w:p>
    <w:p w14:paraId="12A9788A" w14:textId="77777777" w:rsidR="003754FE" w:rsidRDefault="003754FE" w:rsidP="003754FE">
      <w:pPr>
        <w:pStyle w:val="TextoNormal"/>
      </w:pPr>
    </w:p>
    <w:p w14:paraId="18ADFFB4" w14:textId="77777777" w:rsidR="003754FE" w:rsidRDefault="003754FE" w:rsidP="003754FE">
      <w:pPr>
        <w:pStyle w:val="TextoNormal"/>
      </w:pPr>
      <w:r>
        <w:lastRenderedPageBreak/>
        <w:t>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puede hacer el Estado a través del Tribunal de Cuentas sobre la actividad financiera de las corporaciones locales. Pueden coexistir y superponerse, sin perjuicio de “evitar duplicidades innecesarias o disfuncionalidades”, que serían contrarias al art. 31.2 CE. También en la STC 204/1992, de 26 de noviembre, sobre los consejos consultivos autonómicos y el Consejo de Estado, si bien aquí el Tribunal añade al art. 31.2 CE el art. 103.1 CE, que obliga a la administración pública a actuar con sujeción tanto al principio de legalidad (lo que incluye la legalidad presupuestaria, claro está), como al principio de eficacia administrativa.</w:t>
      </w:r>
    </w:p>
    <w:p w14:paraId="72D4AB42" w14:textId="77777777" w:rsidR="003754FE" w:rsidRDefault="003754FE" w:rsidP="003754FE">
      <w:pPr>
        <w:pStyle w:val="TextoNormal"/>
      </w:pPr>
    </w:p>
    <w:p w14:paraId="62AAD5B6" w14:textId="77777777" w:rsidR="003754FE" w:rsidRDefault="003754FE" w:rsidP="003754FE">
      <w:pPr>
        <w:pStyle w:val="TextoNormal"/>
      </w:pPr>
      <w:r>
        <w:t>Pero, sin duda, el pronunciamiento más importante se contiene en la STC 45/2017, de 27 de abril, en la que se afirma que “la actividad financiera de las distintas haciendas [ha de] asegurar los principios constitucionales que, conforme a nuestra Constitución han de regir el gasto público: legalidad (art. 133.4 CE); eficiencia y economía (art. 31.2 CE); asignación equitativa de los recursos públicos (art. 31.2 CE); subordinación de la riqueza […] al interés general (art. 128.1 CE); estabilidad presupuestaria (art. 135 CE […]); y control (art. 136 CE)”.</w:t>
      </w:r>
    </w:p>
    <w:p w14:paraId="7275C981" w14:textId="77777777" w:rsidR="003754FE" w:rsidRDefault="003754FE" w:rsidP="003754FE">
      <w:pPr>
        <w:pStyle w:val="TextoNormal"/>
      </w:pPr>
    </w:p>
    <w:p w14:paraId="278D71AC" w14:textId="77777777" w:rsidR="003754FE" w:rsidRDefault="003754FE" w:rsidP="003754FE">
      <w:pPr>
        <w:pStyle w:val="TextoNormal"/>
      </w:pPr>
      <w:r>
        <w:t>Sobre el principio de legalidad (que la sentencia presenta como respetado y salutífero para el recurrente) ya me he expresado, sin perjuicio de volver después. Me importa detenerme ahora en los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pagos. Ello queda confirmado, por lo demás, en un precepto transversal de nuestra Constitución, íntimamente ligado, entre otros, al citado art. 31.2 CE, y que no es otro que el también citado art. 103.1 CE, a cuyo tenor “La Administración pública sirve con objetividad 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14:paraId="7BD24C8A" w14:textId="77777777" w:rsidR="003754FE" w:rsidRDefault="003754FE" w:rsidP="003754FE">
      <w:pPr>
        <w:pStyle w:val="TextoNormal"/>
      </w:pPr>
    </w:p>
    <w:p w14:paraId="180771E6" w14:textId="77777777" w:rsidR="003754FE" w:rsidRDefault="003754FE" w:rsidP="003754FE">
      <w:pPr>
        <w:pStyle w:val="TextoNormal"/>
      </w:pPr>
      <w: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enunciadas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w:t>
      </w:r>
      <w:r w:rsidRPr="003754FE">
        <w:rPr>
          <w:i/>
        </w:rPr>
        <w:t>in fine</w:t>
      </w:r>
      <w:r>
        <w:t xml:space="preserve"> que el sometimiento de la administración pública a la ley y al Derecho sea pleno, o sea completo, sin excepción ni matiz, lo que corrobora el enunciado del art. 106.1 CE.</w:t>
      </w:r>
    </w:p>
    <w:p w14:paraId="28138E5B" w14:textId="77777777" w:rsidR="003754FE" w:rsidRDefault="003754FE" w:rsidP="003754FE">
      <w:pPr>
        <w:pStyle w:val="TextoNormal"/>
      </w:pPr>
    </w:p>
    <w:p w14:paraId="4E22CFD1" w14:textId="77777777" w:rsidR="003754FE" w:rsidRDefault="003754FE" w:rsidP="003754FE">
      <w:pPr>
        <w:pStyle w:val="TextoNormal"/>
      </w:pPr>
      <w:r>
        <w:t xml:space="preserve">Adelanto ya que las conclusiones a las que llega la sentencia de este tribunal de la que disiento no se acomodan a estos principios constitucionales, pues se asientan en la </w:t>
      </w:r>
      <w:r>
        <w:lastRenderedPageBreak/>
        <w:t>incertidumbre jurídica, en la irresponsabilidad, y en la falta de objetividad y de transparencia de la administración pública.</w:t>
      </w:r>
    </w:p>
    <w:p w14:paraId="08F29205" w14:textId="77777777" w:rsidR="003754FE" w:rsidRDefault="003754FE" w:rsidP="003754FE">
      <w:pPr>
        <w:pStyle w:val="TextoNormal"/>
      </w:pPr>
    </w:p>
    <w:p w14:paraId="6F8E9DDE" w14:textId="77777777" w:rsidR="003754FE" w:rsidRDefault="003754FE" w:rsidP="003754FE">
      <w:pPr>
        <w:pStyle w:val="TextoNormal"/>
      </w:pPr>
      <w:r>
        <w:t xml:space="preserve">La sentencia de este tribunal descubre con la linterna de Diógenes el argumento de la salvadora ley de presupuestos que todo lo ampara y que borra toda responsabilidad penal en la conducta del recurrente y el resto de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w:t>
      </w:r>
      <w:r w:rsidRPr="003754FE">
        <w:rPr>
          <w:i/>
        </w:rPr>
        <w:t>ius</w:t>
      </w:r>
      <w:r>
        <w:t xml:space="preserve">. La ley no agota el ámbito del Derecho, que es algo más. Y en ese algo más están desde luego los principios actuales de actuación de las administraciones públicas, que enuncian muy en particular los arts. 9.3, 31.2, 103.1, 105 y 106.1 CE, y los propios principios generales del Derecho, que no tienen por qué ser norma escrita y que sintetizan nuestra cultura jurídica, que es la propia de un Estado constitucional y democrático de Derecho (art. 1.1 CE). Y, por supuesto, en el </w:t>
      </w:r>
      <w:r w:rsidRPr="003754FE">
        <w:rPr>
          <w:i/>
        </w:rPr>
        <w:t>ius</w:t>
      </w:r>
      <w:r>
        <w:t xml:space="preserve"> están también los principios del Derecho de la Unión Europea, a los que luego me referiré.</w:t>
      </w:r>
    </w:p>
    <w:p w14:paraId="5CAE9940" w14:textId="77777777" w:rsidR="003754FE" w:rsidRDefault="003754FE" w:rsidP="003754FE">
      <w:pPr>
        <w:pStyle w:val="TextoNormal"/>
      </w:pPr>
    </w:p>
    <w:p w14:paraId="42157A99" w14:textId="77777777" w:rsidR="003754FE" w:rsidRDefault="003754FE" w:rsidP="003754FE">
      <w:pPr>
        <w:pStyle w:val="TextoNormal"/>
      </w:pPr>
      <w:r>
        <w:t>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no es nunca ilimitado ni puede ejercerse al puro arbitrio o capricho de quienes lo lleven a 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14:paraId="07CC35FC" w14:textId="77777777" w:rsidR="003754FE" w:rsidRDefault="003754FE" w:rsidP="003754FE">
      <w:pPr>
        <w:pStyle w:val="TextoNormal"/>
      </w:pPr>
    </w:p>
    <w:p w14:paraId="64EFE05B" w14:textId="77777777" w:rsidR="003754FE" w:rsidRDefault="003754FE" w:rsidP="003754FE">
      <w:pPr>
        <w:pStyle w:val="TextoNormal"/>
      </w:pPr>
      <w:r>
        <w:t xml:space="preserve">4. </w:t>
      </w:r>
      <w:r w:rsidRPr="003754FE">
        <w:rPr>
          <w:i/>
        </w:rPr>
        <w:t>Sobre la aplicación de los principios del Derecho de la Unión Europea en materia de control del gasto público, como dique de contención en la lucha contra el fraude y la corrupción política</w:t>
      </w:r>
    </w:p>
    <w:p w14:paraId="5FC41D7C" w14:textId="77777777" w:rsidR="003754FE" w:rsidRDefault="003754FE" w:rsidP="003754FE">
      <w:pPr>
        <w:pStyle w:val="TextoNormal"/>
      </w:pPr>
    </w:p>
    <w:p w14:paraId="0B917594" w14:textId="77777777" w:rsidR="003754FE" w:rsidRDefault="003754FE" w:rsidP="003754FE">
      <w:pPr>
        <w:pStyle w:val="TextoNormal"/>
      </w:pPr>
      <w:r>
        <w:t xml:space="preserve">Si bien el Derecho de la Unión Europea no es directamente aplicable en el asunto que nos ocupa, al no tener los fondos públicos malversados origen comunitario, no puede desconocerse que los principios del Derecho de la Unión sobre el control del gasto público son muy relevantes para analizar la regularidad de la actuación de los gestores de los caudales públicos. En tal sentido, no me parece aventurado afirmar que esa gestión, en el conocido como “caso de los ERE de Andalucía”, y como se desprende de las sentencias condenatorias </w:t>
      </w:r>
      <w:r>
        <w:lastRenderedPageBreak/>
        <w:t>que se impugnan en amparo, ha sido contraria no solo a los principios del Derecho interno, sino también a los principios del Derecho de la Unión Europea.</w:t>
      </w:r>
    </w:p>
    <w:p w14:paraId="6816D22F" w14:textId="77777777" w:rsidR="003754FE" w:rsidRDefault="003754FE" w:rsidP="003754FE">
      <w:pPr>
        <w:pStyle w:val="TextoNormal"/>
      </w:pPr>
    </w:p>
    <w:p w14:paraId="4DDA8A81" w14:textId="77777777" w:rsidR="003754FE" w:rsidRDefault="003754FE" w:rsidP="003754FE">
      <w:pPr>
        <w:pStyle w:val="TextoNormal"/>
      </w:pPr>
      <w:r>
        <w:t>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peligro los intereses financieros del poder público y sería contraria al Derecho de la Unión Europea.</w:t>
      </w:r>
    </w:p>
    <w:p w14:paraId="29674F1C" w14:textId="77777777" w:rsidR="003754FE" w:rsidRDefault="003754FE" w:rsidP="003754FE">
      <w:pPr>
        <w:pStyle w:val="TextoNormal"/>
      </w:pPr>
    </w:p>
    <w:p w14:paraId="15ACF54C" w14:textId="77777777" w:rsidR="003754FE" w:rsidRDefault="003754FE" w:rsidP="003754FE">
      <w:pPr>
        <w:pStyle w:val="TextoNormal"/>
      </w:pPr>
      <w: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el fraude. Conforme al art. 325 del Tratado de funcionamiento de la Unión Europea (TFUE), relativo a la lucha contra el fraude, “1. La Unión y los Estados miembros </w:t>
      </w:r>
      <w:r w:rsidRPr="003754FE">
        <w:rPr>
          <w:i/>
        </w:rPr>
        <w:t>combatirán el fraude y toda actividad ilegal</w:t>
      </w:r>
      <w:r>
        <w:t xml:space="preserve"> que afecte a los intereses financieros de la Unión mediante medidas adoptadas en virtud de lo dispuesto en el presente artículo, que deberán tener un </w:t>
      </w:r>
      <w:r w:rsidRPr="003754FE">
        <w:rPr>
          <w:i/>
        </w:rPr>
        <w:t>efecto disuasorio</w:t>
      </w:r>
      <w:r>
        <w:t xml:space="preserve"> y ser capaces de ofrecer una protección eficaz en los Estados miembros y en las instituciones, órganos y organismos de la Unión. 2. Los Estados miembros adoptarán para combatir el fraude que afecte a los intereses financieros de la Unión </w:t>
      </w:r>
      <w:r w:rsidRPr="003754FE">
        <w:rPr>
          <w:i/>
        </w:rPr>
        <w:t>las mismas medidas</w:t>
      </w:r>
      <w:r>
        <w:t xml:space="preserve"> que para combatir el fraude que afecte a sus propios intereses financieros”.</w:t>
      </w:r>
    </w:p>
    <w:p w14:paraId="073E11CA" w14:textId="77777777" w:rsidR="003754FE" w:rsidRDefault="003754FE" w:rsidP="003754FE">
      <w:pPr>
        <w:pStyle w:val="TextoNormal"/>
      </w:pPr>
    </w:p>
    <w:p w14:paraId="5487004E" w14:textId="77777777" w:rsidR="003754FE" w:rsidRDefault="003754FE" w:rsidP="003754FE">
      <w:pPr>
        <w:pStyle w:val="TextoNormal"/>
      </w:pPr>
      <w:r>
        <w:t xml:space="preserve">En cuanto a los principios que deben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STJUE de 21 de diciembre de 2021, </w:t>
      </w:r>
      <w:r w:rsidRPr="003754FE">
        <w:rPr>
          <w:i/>
        </w:rPr>
        <w:t>Euro Box Promotion y otros</w:t>
      </w:r>
      <w:r>
        <w:t>, asuntos acumulados C‑357/19, C‑379/19, C‑547/19, C‑811/19 y C‑840/19 (y jurisprudencia citada en esta), recordando las líneas más importantes de esa doctrina, de las que interesa destacar las siguientes:</w:t>
      </w:r>
    </w:p>
    <w:p w14:paraId="22F6D550" w14:textId="77777777" w:rsidR="003754FE" w:rsidRDefault="003754FE" w:rsidP="003754FE">
      <w:pPr>
        <w:pStyle w:val="TextoNormal"/>
      </w:pPr>
    </w:p>
    <w:p w14:paraId="0A05B1A4" w14:textId="77777777" w:rsidR="003754FE" w:rsidRDefault="003754FE" w:rsidP="003754FE">
      <w:pPr>
        <w:pStyle w:val="TextoNormal"/>
      </w:pPr>
      <w:r>
        <w:t xml:space="preserve">a) Por lo que se refiere a las obligaciones derivadas del art. 325.1 TFUE, esta disposición impone a los Estados miembros el deber de luchar contra el fraude y </w:t>
      </w:r>
      <w:r w:rsidRPr="003754FE">
        <w:rPr>
          <w:i/>
        </w:rPr>
        <w:t>toda actividad ilegal que afecte a los intereses financieros</w:t>
      </w:r>
      <w:r>
        <w:t xml:space="preserve"> de la Unión mediante medidas disuasorias y eficaces. Medidas de lucha que deben ser equivalentes a las medidas implementadas en el ámbito nacional.</w:t>
      </w:r>
    </w:p>
    <w:p w14:paraId="202EFB6F" w14:textId="77777777" w:rsidR="003754FE" w:rsidRDefault="003754FE" w:rsidP="003754FE">
      <w:pPr>
        <w:pStyle w:val="TextoNormal"/>
      </w:pPr>
    </w:p>
    <w:p w14:paraId="41D87217" w14:textId="77777777" w:rsidR="003754FE" w:rsidRDefault="003754FE" w:rsidP="003754FE">
      <w:pPr>
        <w:pStyle w:val="TextoNormal"/>
      </w:pPr>
      <w:r>
        <w:t xml:space="preserve">b) Por otra parte, en lo referente a la expresión “toda actividad ilegal”, que figura en el art. 325.1 TFUE, recuerda el Tribunal de Justicia que ese concepto comprende en particular todo acto de corrupción de los funcionarios o todo </w:t>
      </w:r>
      <w:r w:rsidRPr="003754FE">
        <w:rPr>
          <w:i/>
        </w:rPr>
        <w:t>abuso</w:t>
      </w:r>
      <w:r>
        <w:t xml:space="preserve">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acción, como ocurre, por ejemplo, </w:t>
      </w:r>
      <w:r w:rsidRPr="003754FE">
        <w:rPr>
          <w:i/>
        </w:rPr>
        <w:t xml:space="preserve">con la omisión por parte de un funcionario de efectuar los controles y las comprobaciones exigidas respecto de los gastos cubiertos por el </w:t>
      </w:r>
      <w:r w:rsidRPr="003754FE">
        <w:rPr>
          <w:i/>
        </w:rPr>
        <w:lastRenderedPageBreak/>
        <w:t>presupuesto de la Unión o la autorización de gastos inadecuados o incorrectos de los fondos de la Unión.</w:t>
      </w:r>
    </w:p>
    <w:p w14:paraId="68D0A8EB" w14:textId="77777777" w:rsidR="003754FE" w:rsidRDefault="003754FE" w:rsidP="003754FE">
      <w:pPr>
        <w:pStyle w:val="TextoNormal"/>
      </w:pPr>
    </w:p>
    <w:p w14:paraId="7350F8FF" w14:textId="77777777" w:rsidR="003754FE" w:rsidRDefault="003754FE" w:rsidP="003754FE">
      <w:pPr>
        <w:pStyle w:val="TextoNormal"/>
      </w:pPr>
      <w:r>
        <w:t xml:space="preserve">c) Además, subraya el Tribunal de Justicia que los Estados deben garantizar que las normas de Derecho penal y de procedimiento penal permitan una represión eficaz de los delitos de fraude que afecten a los intereses financieros de la Unión y </w:t>
      </w:r>
      <w:r w:rsidRPr="003754FE">
        <w:rPr>
          <w:i/>
        </w:rPr>
        <w:t>de corrupción en general</w:t>
      </w:r>
      <w:r>
        <w:t xml:space="preserve">. Esta exigencia de efectividad se extiende necesariamente tanto a las acciones penales y a las sanciones de los delitos de fraude que afecten a los intereses financieros de la Unión y de </w:t>
      </w:r>
      <w:r w:rsidRPr="003754FE">
        <w:rPr>
          <w:i/>
        </w:rPr>
        <w:t>corrupción en general</w:t>
      </w:r>
      <w:r>
        <w:t xml:space="preserve">, como a la aplicación de las penas impuestas, en la medida en que, de no existir una ejecución efectiva de las sanciones, estas no pueden ser eficaces y disuasorias; todo ello para evitar un </w:t>
      </w:r>
      <w:r w:rsidRPr="003754FE">
        <w:rPr>
          <w:i/>
        </w:rPr>
        <w:t>riesgo sistémico de impunidad</w:t>
      </w:r>
      <w:r>
        <w:t xml:space="preserve"> de los hechos constitutivos de tales delitos, así como garantizar la protección de los derechos fundamentales de las personas acusadas.</w:t>
      </w:r>
    </w:p>
    <w:p w14:paraId="6D20A656" w14:textId="77777777" w:rsidR="003754FE" w:rsidRDefault="003754FE" w:rsidP="003754FE">
      <w:pPr>
        <w:pStyle w:val="TextoNormal"/>
      </w:pPr>
    </w:p>
    <w:p w14:paraId="54C0B95A" w14:textId="77777777" w:rsidR="003754FE" w:rsidRDefault="003754FE" w:rsidP="003754FE">
      <w:pPr>
        <w:pStyle w:val="TextoNormal"/>
      </w:pPr>
      <w:r>
        <w:t xml:space="preserve">Por otra parte, a los órganos jurisdiccionales nacionales les corresponde dar plenos efectos a las obligaciones que resultan del art. 325.1 TFUE, así como de la Decisión 2006/928, y </w:t>
      </w:r>
      <w:r w:rsidRPr="003754FE">
        <w:rPr>
          <w:i/>
        </w:rPr>
        <w:t>dejar sin aplicación disposiciones internas que, en el marco de un procedimiento relativo a delitos graves de fraude que afecten a los intereses financieros de la Unión o a delitos de corrupción en general, impiden la aplicación de sanciones eficaces y disuasorias para luchar contra tales delitos.</w:t>
      </w:r>
    </w:p>
    <w:p w14:paraId="3AFA6ECD" w14:textId="77777777" w:rsidR="003754FE" w:rsidRDefault="003754FE" w:rsidP="003754FE">
      <w:pPr>
        <w:pStyle w:val="TextoNormal"/>
      </w:pPr>
    </w:p>
    <w:p w14:paraId="0E7D9963" w14:textId="77777777" w:rsidR="003754FE" w:rsidRDefault="003754FE" w:rsidP="003754FE">
      <w:pPr>
        <w:pStyle w:val="TextoNormal"/>
      </w:pPr>
      <w:r>
        <w:t xml:space="preserve">Pues bien, teniendo en cuenta que, </w:t>
      </w:r>
      <w:r w:rsidRPr="003754FE">
        <w:rPr>
          <w:i/>
        </w:rPr>
        <w:t>ex</w:t>
      </w:r>
      <w:r>
        <w:t xml:space="preserve">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el recurrente. Lo que entre otras cosas significa que no existe razón para entender que el control interno de esa gestión de fondos públicos deba ser menos intenso que el que se aplicaría si los fondos malversados hubieran sido europeos.</w:t>
      </w:r>
    </w:p>
    <w:p w14:paraId="4C29252C" w14:textId="77777777" w:rsidR="003754FE" w:rsidRDefault="003754FE" w:rsidP="003754FE">
      <w:pPr>
        <w:pStyle w:val="TextoNormal"/>
      </w:pPr>
    </w:p>
    <w:p w14:paraId="4B230710" w14:textId="77777777" w:rsidR="003754FE" w:rsidRDefault="003754FE" w:rsidP="003754FE">
      <w:pPr>
        <w:pStyle w:val="TextoNormal"/>
      </w:pPr>
      <w:r>
        <w:t>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el recurrente y el resto de implicados de la Junta de Andalucía pretendiesen mediante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14:paraId="49D73642" w14:textId="77777777" w:rsidR="003754FE" w:rsidRDefault="003754FE" w:rsidP="003754FE">
      <w:pPr>
        <w:pStyle w:val="TextoNormal"/>
      </w:pPr>
    </w:p>
    <w:p w14:paraId="1E4920A9" w14:textId="77777777" w:rsidR="003754FE" w:rsidRDefault="003754FE" w:rsidP="003754FE">
      <w:pPr>
        <w:pStyle w:val="TextoNormal"/>
      </w:pPr>
      <w:r>
        <w:t xml:space="preserve">En todo caso, es cierto que ha quedado acreditado, como resulta de las sentencias impugnadas en amparo, que en el conocido como “caso de los ERE de Andalucía” se buscó de manera intencionada la elusión de los controles ordinarios del gasto público, lo que supuso </w:t>
      </w:r>
      <w:r>
        <w:lastRenderedPageBreak/>
        <w:t>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14:paraId="41E69F6F" w14:textId="77777777" w:rsidR="003754FE" w:rsidRDefault="003754FE" w:rsidP="003754FE">
      <w:pPr>
        <w:pStyle w:val="TextoNormal"/>
      </w:pPr>
    </w:p>
    <w:p w14:paraId="44367154" w14:textId="77777777" w:rsidR="003754FE" w:rsidRDefault="003754FE" w:rsidP="003754FE">
      <w:pPr>
        <w:pStyle w:val="TextoNormal"/>
      </w:pPr>
      <w:r>
        <w:t>En definitiva, llama poderosamente la atención el elocuente contraste entre la protección reforzada que la Unión Europea atribuye al delito de malversación de caudales públicos y la respuesta dada por esta y las restantes sentencias de este tribunal a uno de los casos más graves de corrupción política institucionalizada en España. Una sentencia que no ha dudado en desbordar los límites del control que a este tribunal corresponde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penal que no puede calificarse de imprevisible ni irrazonable, habían condenado al demandante de amparo como autor de un delito de prevaricación en concurso medial con un delito de malversación. Por eso, resulta especialmente difícil conciliar la decisión de la sentencia de este tribunal, que conduce a la postre a dejar impunes unas conductas de especial gravedad cometidas por unos concretos responsables políticos en el desempeño de sus funciones públicas, con el esfuerzo de la Unión Europea por eliminar márgenes de impunidad para los malversadores.</w:t>
      </w:r>
    </w:p>
    <w:p w14:paraId="4AF2A8E9" w14:textId="77777777" w:rsidR="003754FE" w:rsidRDefault="003754FE" w:rsidP="003754FE">
      <w:pPr>
        <w:pStyle w:val="TextoNormal"/>
      </w:pPr>
    </w:p>
    <w:p w14:paraId="45FE1F4A" w14:textId="77777777" w:rsidR="003754FE" w:rsidRDefault="003754FE" w:rsidP="003754FE">
      <w:pPr>
        <w:pStyle w:val="TextoNormal"/>
      </w:pPr>
      <w:r>
        <w:t xml:space="preserve">5. </w:t>
      </w:r>
      <w:r w:rsidRPr="003754FE">
        <w:rPr>
          <w:i/>
        </w:rPr>
        <w:t>Colofón: las sentencias impugnadas en amparo no vulneraron los derechos del recurrente a la legalidad penal y a la presunción de inocencia</w:t>
      </w:r>
    </w:p>
    <w:p w14:paraId="33E3E65F" w14:textId="77777777" w:rsidR="003754FE" w:rsidRDefault="003754FE" w:rsidP="003754FE">
      <w:pPr>
        <w:pStyle w:val="TextoNormal"/>
      </w:pPr>
    </w:p>
    <w:p w14:paraId="421F809C" w14:textId="77777777" w:rsidR="003754FE" w:rsidRDefault="003754FE" w:rsidP="003754FE">
      <w:pPr>
        <w:pStyle w:val="TextoNormal"/>
      </w:pPr>
      <w:r>
        <w:t>Como conclusión a cuanto ha quedado antes expuesto, considero que las sentencias recurridas en amparo han efectuado una interpretación razonada de los elementos típicos de los delitos de prevaricación y malversación, y que su aplicación al caso en dichas resoluciones judiciales supera sin dificultad el canon de control referido a la prohibición de interpretaciones “ilógicas” o “arbitrarias” que impone el art. 25.1 CE, conforme a la doctrina consolidada de este tribunal. La subsunción de la conducta del recurrente, a partir de los hechos declarados probados [sobre los que a este tribunal nada le cabe decir: art. 44.1 b) LOTC], en los delitos de prevaricación y malversación, que han efectuado la Audiencia Provincial de Sevilla y especialmente el Tribunal Supremo como órgano jurisdiccional superior en la materia (art. 123.1 CE), no es irrazonable ni imprevisible ni, por consiguiente, contraria al derecho fundamental a la legalidad penal que garantiza el art. 25.1 CE.</w:t>
      </w:r>
    </w:p>
    <w:p w14:paraId="02CDD487" w14:textId="77777777" w:rsidR="003754FE" w:rsidRDefault="003754FE" w:rsidP="003754FE">
      <w:pPr>
        <w:pStyle w:val="TextoNormal"/>
      </w:pPr>
    </w:p>
    <w:p w14:paraId="524B759E" w14:textId="77777777" w:rsidR="003754FE" w:rsidRDefault="003754FE" w:rsidP="003754FE">
      <w:pPr>
        <w:pStyle w:val="TextoNormal"/>
      </w:pPr>
      <w:r>
        <w:t>Tampoco vulneran las sentencias impugnadas el derecho a la presunción de inocencia (art. 24.2 CE), frente a lo que sostiene este tribunal, pues la condena del recurrente se fundamenta en pruebas de cargo practicadas en el juicio oral con plenas garantías de inmediación, contradicción y defensa, y susceptibles de enervar esa presunción más allá de toda duda razonable, como resulta de las resoluciones judiciales impugnadas en amparo. La sentencia de este tribunal incurre en un claro exceso de jurisdicción, al suplantar a los órganos judiciales del orden penal en la función que constitucionalmente les correspond</w:t>
      </w:r>
      <w:r w:rsidRPr="003754FE">
        <w:rPr>
          <w:i/>
        </w:rPr>
        <w:t xml:space="preserve">e </w:t>
      </w:r>
      <w:r>
        <w:t>ex art. 117.3 CE.</w:t>
      </w:r>
    </w:p>
    <w:p w14:paraId="03916BF1" w14:textId="77777777" w:rsidR="003754FE" w:rsidRDefault="003754FE" w:rsidP="003754FE">
      <w:pPr>
        <w:pStyle w:val="TextoNormal"/>
      </w:pPr>
    </w:p>
    <w:p w14:paraId="3B407417" w14:textId="77777777" w:rsidR="003754FE" w:rsidRDefault="003754FE" w:rsidP="003754FE">
      <w:pPr>
        <w:pStyle w:val="TextoNormal"/>
      </w:pPr>
      <w:r>
        <w:t>Por todo ello, considero que el recurso de amparo debió ser íntegramente desestimado.</w:t>
      </w:r>
    </w:p>
    <w:p w14:paraId="04306CB3" w14:textId="77777777" w:rsidR="003754FE" w:rsidRDefault="003754FE" w:rsidP="003754FE">
      <w:pPr>
        <w:pStyle w:val="TextoNormal"/>
      </w:pPr>
    </w:p>
    <w:p w14:paraId="73628820" w14:textId="77777777" w:rsidR="003754FE" w:rsidRDefault="003754FE" w:rsidP="003754FE">
      <w:pPr>
        <w:pStyle w:val="TextoNormal"/>
      </w:pPr>
      <w:r>
        <w:lastRenderedPageBreak/>
        <w:t>6</w:t>
      </w:r>
      <w:r w:rsidRPr="003754FE">
        <w:rPr>
          <w:i/>
        </w:rPr>
        <w:t>. A modo de epílogo decepcionado, con una necesaria llamada de advertenc</w:t>
      </w:r>
      <w:r>
        <w:t>ia</w:t>
      </w:r>
    </w:p>
    <w:p w14:paraId="646493EF" w14:textId="77777777" w:rsidR="003754FE" w:rsidRDefault="003754FE" w:rsidP="003754FE">
      <w:pPr>
        <w:pStyle w:val="TextoNormal"/>
      </w:pPr>
    </w:p>
    <w:p w14:paraId="40822B06" w14:textId="77777777" w:rsidR="003754FE" w:rsidRDefault="003754FE" w:rsidP="003754FE">
      <w:pPr>
        <w:pStyle w:val="TextoNormal"/>
      </w:pPr>
      <w:r>
        <w:t>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14:paraId="4EA752AD" w14:textId="77777777" w:rsidR="003754FE" w:rsidRDefault="003754FE" w:rsidP="003754FE">
      <w:pPr>
        <w:pStyle w:val="TextoNormal"/>
      </w:pPr>
    </w:p>
    <w:p w14:paraId="6BDCE1E5" w14:textId="77777777" w:rsidR="003754FE" w:rsidRDefault="003754FE" w:rsidP="003754FE">
      <w:pPr>
        <w:pStyle w:val="TextoNormal"/>
      </w:pPr>
      <w:r>
        <w:t>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prestidigitador, pues las leyes de presupuestos andaluzas a las que se refiere la sentencia de este tribunal en ningún momento establecen aquello que esta sentencia afirma, la pretendida modificación o eliminación del régimen de controles de las ayudas y subvenciones previsto en la normativa aplicable.</w:t>
      </w:r>
    </w:p>
    <w:p w14:paraId="1F9D4FE4" w14:textId="77777777" w:rsidR="003754FE" w:rsidRDefault="003754FE" w:rsidP="003754FE">
      <w:pPr>
        <w:pStyle w:val="TextoNormal"/>
      </w:pPr>
    </w:p>
    <w:p w14:paraId="0013F6FF" w14:textId="77777777" w:rsidR="003754FE" w:rsidRDefault="003754FE" w:rsidP="003754FE">
      <w:pPr>
        <w:pStyle w:val="TextoNormal"/>
      </w:pPr>
      <w:r>
        <w:t>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precepto de la ley de presupuestos remite, por ser esas partidas presupuestarias necesarias para dar cumplimiento al mandato que aquel precepto contiene.</w:t>
      </w:r>
    </w:p>
    <w:p w14:paraId="60574090" w14:textId="77777777" w:rsidR="003754FE" w:rsidRDefault="003754FE" w:rsidP="003754FE">
      <w:pPr>
        <w:pStyle w:val="TextoNormal"/>
      </w:pPr>
    </w:p>
    <w:p w14:paraId="6D207FB7" w14:textId="77777777" w:rsidR="003754FE" w:rsidRDefault="003754FE" w:rsidP="003754FE">
      <w:pPr>
        <w:pStyle w:val="TextoNormal"/>
      </w:pPr>
      <w:r>
        <w:t>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14:paraId="6652FC40" w14:textId="77777777" w:rsidR="003754FE" w:rsidRDefault="003754FE" w:rsidP="003754FE">
      <w:pPr>
        <w:pStyle w:val="TextoNormal"/>
      </w:pPr>
    </w:p>
    <w:p w14:paraId="16EC83E4" w14:textId="77777777" w:rsidR="003754FE" w:rsidRDefault="003754FE" w:rsidP="003754FE">
      <w:pPr>
        <w:pStyle w:val="TextoNormal"/>
      </w:pPr>
      <w:r>
        <w:t xml:space="preserve">Si, como decía García de Enterría, la justicia constitucional trata los problemas políticos con criterios jurídicos, poniendo la razón, la razón del Derecho, donde otros ponen otros motivos, pasiones o subjetivismos varios, me parece incuestionable que la presente </w:t>
      </w:r>
      <w:r>
        <w:lastRenderedPageBreak/>
        <w:t>sentencia, de la que respetuosa pero enérgicamente discrepo, hace tambalearse los pilares básicos del Estado de Derecho, por cuanto:</w:t>
      </w:r>
    </w:p>
    <w:p w14:paraId="4BF286AF" w14:textId="77777777" w:rsidR="003754FE" w:rsidRDefault="003754FE" w:rsidP="003754FE">
      <w:pPr>
        <w:pStyle w:val="TextoNormal"/>
      </w:pPr>
    </w:p>
    <w:p w14:paraId="400912E0" w14:textId="77777777" w:rsidR="003754FE" w:rsidRDefault="003754FE" w:rsidP="003754FE">
      <w:pPr>
        <w:pStyle w:val="TextoNormal"/>
      </w:pPr>
      <w:r>
        <w:t>(i)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14:paraId="479EA0BF" w14:textId="77777777" w:rsidR="003754FE" w:rsidRDefault="003754FE" w:rsidP="003754FE">
      <w:pPr>
        <w:pStyle w:val="TextoNormal"/>
      </w:pPr>
    </w:p>
    <w:p w14:paraId="3718826A" w14:textId="77777777" w:rsidR="003754FE" w:rsidRDefault="003754FE" w:rsidP="003754FE">
      <w:pPr>
        <w:pStyle w:val="TextoNormal"/>
      </w:pPr>
      <w:r>
        <w:t>(ii)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olvidando que la jurisdicción constitucional debe evitar (por su propia naturaleza de jurisdicción de garantías) caer por desfiladeros abruptos.</w:t>
      </w:r>
    </w:p>
    <w:p w14:paraId="11C15976" w14:textId="77777777" w:rsidR="003754FE" w:rsidRDefault="003754FE" w:rsidP="003754FE">
      <w:pPr>
        <w:pStyle w:val="TextoNormal"/>
      </w:pPr>
    </w:p>
    <w:p w14:paraId="1177F703" w14:textId="77777777" w:rsidR="003754FE" w:rsidRDefault="003754FE" w:rsidP="003754FE">
      <w:pPr>
        <w:pStyle w:val="TextoNormal"/>
      </w:pPr>
      <w:r>
        <w:t>(iii) Contraviene los arts. 9.3, 31.2, 103.1, 105 y 106.1 CE, al dejar de lado los principios en que se ha de basa</w:t>
      </w:r>
      <w:r w:rsidRPr="003754FE">
        <w:rPr>
          <w:i/>
        </w:rPr>
        <w:t>r ex constitutio</w:t>
      </w:r>
      <w:r>
        <w:t>ne la actuación de la administración pública.</w:t>
      </w:r>
    </w:p>
    <w:p w14:paraId="7289BB52" w14:textId="77777777" w:rsidR="003754FE" w:rsidRDefault="003754FE" w:rsidP="003754FE">
      <w:pPr>
        <w:pStyle w:val="TextoNormal"/>
      </w:pPr>
    </w:p>
    <w:p w14:paraId="25D6C408" w14:textId="77777777" w:rsidR="003754FE" w:rsidRDefault="003754FE" w:rsidP="003754FE">
      <w:pPr>
        <w:pStyle w:val="TextoNormal"/>
      </w:pPr>
      <w:r>
        <w:t>(iv)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14:paraId="020437BB" w14:textId="77777777" w:rsidR="003754FE" w:rsidRDefault="003754FE" w:rsidP="003754FE">
      <w:pPr>
        <w:pStyle w:val="TextoNormal"/>
      </w:pPr>
    </w:p>
    <w:p w14:paraId="3FE60AB5" w14:textId="77777777" w:rsidR="003754FE" w:rsidRDefault="003754FE" w:rsidP="003754FE">
      <w:pPr>
        <w:pStyle w:val="TextoNormal"/>
      </w:pPr>
      <w:r>
        <w:t>(v) Y, en fin, contraviene los principios nucleares en la materia del Derecho de la Unión Europea.</w:t>
      </w:r>
    </w:p>
    <w:p w14:paraId="5CC77D19" w14:textId="77777777" w:rsidR="003754FE" w:rsidRDefault="003754FE" w:rsidP="003754FE">
      <w:pPr>
        <w:pStyle w:val="TextoNormal"/>
      </w:pPr>
    </w:p>
    <w:p w14:paraId="09C9D73A" w14:textId="77777777" w:rsidR="003754FE" w:rsidRDefault="003754FE" w:rsidP="003754FE">
      <w:pPr>
        <w:pStyle w:val="TextoNormal"/>
      </w:pPr>
      <w:r>
        <w:t>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No estará de más recordar que quien fuera presidente de este tribunal, el magistrado Tomás y Valiente, ya aludió en 1994, en una conferencia titulada “La Constitución y el Tribunal Constitucional”, a “la importancia de las deliberaciones y a 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14:paraId="388FAB14" w14:textId="77777777" w:rsidR="003754FE" w:rsidRDefault="003754FE" w:rsidP="003754FE">
      <w:pPr>
        <w:pStyle w:val="TextoNormal"/>
      </w:pPr>
    </w:p>
    <w:p w14:paraId="5F80E89B" w14:textId="7AA2F315" w:rsidR="003754FE" w:rsidRDefault="003754FE" w:rsidP="003754FE">
      <w:pPr>
        <w:pStyle w:val="TextoNormal"/>
      </w:pPr>
      <w:r>
        <w:t>Madrid, a tres de julio de dos mil veinticuatro.</w:t>
      </w:r>
    </w:p>
    <w:p w14:paraId="37AC9279" w14:textId="77777777" w:rsidR="003754FE" w:rsidRDefault="003754FE" w:rsidP="003754FE">
      <w:pPr>
        <w:pStyle w:val="TextoNormal"/>
      </w:pPr>
    </w:p>
    <w:p w14:paraId="498F9FC6" w14:textId="77777777" w:rsidR="003754FE" w:rsidRDefault="003754FE" w:rsidP="003754FE">
      <w:pPr>
        <w:pStyle w:val="TextoNormalNegritaCentrado"/>
        <w:keepNext/>
      </w:pPr>
      <w:r>
        <w:lastRenderedPageBreak/>
        <w:t>Voto particular que formula la magistrada doña María Luisa Segoviano Astaburuaga respecto de la sentencia dictada en el recurso de amparo avocado núm. 2361-2023</w:t>
      </w:r>
    </w:p>
    <w:p w14:paraId="1C41C5E9" w14:textId="2252478D" w:rsidR="003754FE" w:rsidRDefault="003754FE" w:rsidP="003754FE">
      <w:pPr>
        <w:pStyle w:val="TextoNormalNegritaCentrado"/>
        <w:keepNext/>
      </w:pPr>
    </w:p>
    <w:p w14:paraId="23AEE7E3" w14:textId="77777777" w:rsidR="003754FE" w:rsidRDefault="003754FE" w:rsidP="003754FE">
      <w:pPr>
        <w:pStyle w:val="TextoNormal"/>
      </w:pPr>
      <w:r>
        <w:t>En el ejercicio de la facultad que me confiere el art. 90.2 de la Ley Orgánica del Tribunal Constitucional (LOTC), y con el máximo respeto a los magistrados y magistradas del Tribunal, formulo el presente voto particular.</w:t>
      </w:r>
    </w:p>
    <w:p w14:paraId="69261E3A" w14:textId="77777777" w:rsidR="003754FE" w:rsidRDefault="003754FE" w:rsidP="003754FE">
      <w:pPr>
        <w:pStyle w:val="TextoNormal"/>
      </w:pPr>
    </w:p>
    <w:p w14:paraId="323AE10A" w14:textId="77777777" w:rsidR="003754FE" w:rsidRDefault="003754FE" w:rsidP="003754FE">
      <w:pPr>
        <w:pStyle w:val="TextoNormal"/>
      </w:pPr>
      <w:r>
        <w:t>Sin perjuicio de mi total conformidad con el resto de los pronunciamientos de la sentencia, creo necesario exponer la posición que sostuve en la deliberación sobre la invocación del derecho a la presunción de inocencia (art. 24.2 CE), que ha sido analizada en el fundamento jurídico 6 de la citada resolución y ha llevado a estimar vulnerado ese derecho fundamental.</w:t>
      </w:r>
    </w:p>
    <w:p w14:paraId="5370A4D7" w14:textId="77777777" w:rsidR="003754FE" w:rsidRDefault="003754FE" w:rsidP="003754FE">
      <w:pPr>
        <w:pStyle w:val="TextoNormal"/>
      </w:pPr>
    </w:p>
    <w:p w14:paraId="21F82013" w14:textId="77777777" w:rsidR="003754FE" w:rsidRDefault="003754FE" w:rsidP="003754FE">
      <w:pPr>
        <w:pStyle w:val="TextoNormal"/>
      </w:pPr>
      <w:r>
        <w:t>1. El demandante de amparo fue condenado, entre otros, por un delito continuado de malversación por la forma global de cómo se gestionó el programa presupuestario 31L. No obstante, tras el análisis de la invocación del derecho a la legalidad penal y la estimación de ese motivo de amparo, solo perviven como posibles conductas malversadoras del demandante de amparo las concesiones de las ayudas destinadas a fines distintos y ajenos a los mencionados en ese programa presupuestario. Es únicamente la participación del demandante de amparo en estas concretas ayudas la que se somete al control de constitucionalidad desde la perspectiva del derecho a la presunción de inocencia.</w:t>
      </w:r>
    </w:p>
    <w:p w14:paraId="7ED9DEC7" w14:textId="77777777" w:rsidR="003754FE" w:rsidRDefault="003754FE" w:rsidP="003754FE">
      <w:pPr>
        <w:pStyle w:val="TextoNormal"/>
      </w:pPr>
    </w:p>
    <w:p w14:paraId="348600C6" w14:textId="77777777" w:rsidR="003754FE" w:rsidRDefault="003754FE" w:rsidP="003754FE">
      <w:pPr>
        <w:pStyle w:val="TextoNormal"/>
      </w:pPr>
      <w:r>
        <w:t>Comparto el razonamiento de que en ese contexto la invocación del derecho a la presunción de inocencia exige de este tribunal verificar un control externo de que las resoluciones judiciales impugnadas proporcionan la motivación suficiente para considerar acreditado, entre otros extremos, que el demandante de amparo participó de todos o de algunos de los desvíos de fondos a fines ajenos a los previstos en este programa presupuestario durante el tiempo en el que ejerció el cargo de viceconsejero de Innovación, Ciencia y Empresa y miembro, en condición de vicepresidente, del consejo rector de la agencia IFA/IDEA —desde el 19 de marzo de 2005 al 1 de abril de 2010— y de que, además, le era imputable subjetivamente el desvío de esos fondos.</w:t>
      </w:r>
    </w:p>
    <w:p w14:paraId="71E766E3" w14:textId="77777777" w:rsidR="003754FE" w:rsidRDefault="003754FE" w:rsidP="003754FE">
      <w:pPr>
        <w:pStyle w:val="TextoNormal"/>
      </w:pPr>
    </w:p>
    <w:p w14:paraId="62246513" w14:textId="77777777" w:rsidR="003754FE" w:rsidRDefault="003754FE" w:rsidP="003754FE">
      <w:pPr>
        <w:pStyle w:val="TextoNormal"/>
      </w:pPr>
      <w:r>
        <w:t>2. La estimación de este motivo de amparo se hace descansar en una doble consideración.</w:t>
      </w:r>
    </w:p>
    <w:p w14:paraId="11CB43E1" w14:textId="77777777" w:rsidR="003754FE" w:rsidRDefault="003754FE" w:rsidP="003754FE">
      <w:pPr>
        <w:pStyle w:val="TextoNormal"/>
      </w:pPr>
    </w:p>
    <w:p w14:paraId="69C2DF4F" w14:textId="77777777" w:rsidR="003754FE" w:rsidRDefault="003754FE" w:rsidP="003754FE">
      <w:pPr>
        <w:pStyle w:val="TextoNormal"/>
      </w:pPr>
      <w:r>
        <w:t>(i) Se afirma que la motivación desarrollada en las resoluciones judiciales impugnadas para concretar la participación del demandante en las conductas de malversación va dirigida a constatar que intervino en el engranaje general dirigido al abono de subvenciones a través del uso de las transferencias de financiación, pero no a probar que hizo un uso desviado de fondos del programa 31L por disponer de ellos sin atender a un fin público o para fines distintos y ajenos a los previstos en dicho programa. A esos efectos, se concluye que “la resolución de instancia no desarrolla un mínimo juicio de autoría que permita determinar si el señor Rodríguez Román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 (FJ 6.4).</w:t>
      </w:r>
    </w:p>
    <w:p w14:paraId="6910ED74" w14:textId="77777777" w:rsidR="003754FE" w:rsidRDefault="003754FE" w:rsidP="003754FE">
      <w:pPr>
        <w:pStyle w:val="TextoNormal"/>
      </w:pPr>
    </w:p>
    <w:p w14:paraId="0FF46878" w14:textId="77777777" w:rsidR="003754FE" w:rsidRDefault="003754FE" w:rsidP="003754FE">
      <w:pPr>
        <w:pStyle w:val="TextoNormal"/>
      </w:pPr>
      <w:r>
        <w:lastRenderedPageBreak/>
        <w:t>(ii) También se incide en que el juicio de inferencia para acreditar el dolo de malversar del demandante de amparo, que se hace radicar en los informes de control financiero permanente de la agencia IFA/IDEA, elaborados por la Intervención General de la Junta de Andalucía, y el déficit generado en la Consejería de Empleo y en la agencia IFA/IDEA como consecuencia de la aplicación de este sistema de gestión de ayudas, “no resulta suficiente para establecer de manera cierta y precisa que el señor Rodríguez Román hubiera intervenido, con conocimiento de causa, en la realización de alguna o algunas de las disposiciones de fondos ajenas a la cobertura presupuestaria”. A partir de ello, se concluye que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que aparecen descritas en el fundamento de Derecho 45 de la sentencia de instancia” (FJ 6.4).</w:t>
      </w:r>
    </w:p>
    <w:p w14:paraId="166ED617" w14:textId="77777777" w:rsidR="003754FE" w:rsidRDefault="003754FE" w:rsidP="003754FE">
      <w:pPr>
        <w:pStyle w:val="TextoNormal"/>
      </w:pPr>
    </w:p>
    <w:p w14:paraId="2B58D9FE" w14:textId="77777777" w:rsidR="003754FE" w:rsidRDefault="003754FE" w:rsidP="003754FE">
      <w:pPr>
        <w:pStyle w:val="TextoNormal"/>
      </w:pPr>
      <w:r>
        <w:t>Esa doble consideración es la que lleva a afirmar que “[c]onsecuentemente, y desde la perspectiva del análisis efectuado en las resoluciones judiciales impugnadas, no se considera mínimamente motivado que el señor Rodríguez Román hubiera realizado los hechos que la sentencia declara probados con conocimiento de que la Consejería de Empleo concedía ayudas que no respondían a ningún fin público amparado en el programa 31L, y consiguientemente con representación del riesgo concreto de que dicha situación se pudiera reproducir, lo que ha de llevar a concluir que su presunción de inocencia no ha sido respetada por los órganos judiciales que pronunciaron la condena y que desestimaron el recurso de casación subsiguientemente interpuesto, lo que debe llevar a la estimación del amparo respecto a este motivo” (FJ 6.4).</w:t>
      </w:r>
    </w:p>
    <w:p w14:paraId="12189AA9" w14:textId="77777777" w:rsidR="003754FE" w:rsidRDefault="003754FE" w:rsidP="003754FE">
      <w:pPr>
        <w:pStyle w:val="TextoNormal"/>
      </w:pPr>
    </w:p>
    <w:p w14:paraId="087C8200" w14:textId="77777777" w:rsidR="003754FE" w:rsidRDefault="003754FE" w:rsidP="003754FE">
      <w:pPr>
        <w:pStyle w:val="TextoNormal"/>
      </w:pPr>
      <w:r>
        <w:t>3. No considero adecuado sustentar que ha existido un déficit de motivación en las resoluciones impugnadas lesivo del derecho a la presunción de inocencia en cuanto al juicio de autoría del demandante de amparo por las razones siguientes:</w:t>
      </w:r>
    </w:p>
    <w:p w14:paraId="67E73203" w14:textId="77777777" w:rsidR="003754FE" w:rsidRDefault="003754FE" w:rsidP="003754FE">
      <w:pPr>
        <w:pStyle w:val="TextoNormal"/>
      </w:pPr>
    </w:p>
    <w:p w14:paraId="7B856195" w14:textId="77777777" w:rsidR="003754FE" w:rsidRDefault="003754FE" w:rsidP="003754FE">
      <w:pPr>
        <w:pStyle w:val="TextoNormal"/>
      </w:pPr>
      <w:r>
        <w:t>(i) Es un hecho declarado probado en la vía judicial y no controvertido que el demandante de amparo, en su condición de viceconsejero de Innovación, Ciencia y Empresa y miembro, en calidad de vicepresidente, del consejo rector de la agencia IFA/IDEA desde el 19 de marzo de 2005 al 1 de abril de 2010, intervino en la disposición de estos fondos públicos al permitir que por parte de la agencia se continuaran firmando los convenios particulares con la Dirección General de Trabajo y abonando las ayudas derivadas de los citados convenios, posibilitando con ello la distribución de esos fondos. Entre dichos convenios, como destacan las sentencias de instancia (hecho probado vigesimosegundo) y de casación (fundamento jurídico 39), estaban también los destinados a la concesión y pago de ayudas que no respondían a ningún fin público amparado en el programa 31L.</w:t>
      </w:r>
    </w:p>
    <w:p w14:paraId="094A1538" w14:textId="77777777" w:rsidR="003754FE" w:rsidRDefault="003754FE" w:rsidP="003754FE">
      <w:pPr>
        <w:pStyle w:val="TextoNormal"/>
      </w:pPr>
    </w:p>
    <w:p w14:paraId="5B137B01" w14:textId="77777777" w:rsidR="003754FE" w:rsidRDefault="003754FE" w:rsidP="003754FE">
      <w:pPr>
        <w:pStyle w:val="TextoNormal"/>
      </w:pPr>
      <w:r>
        <w:t xml:space="preserve">Por tanto, desde la perspectiva de control externo que compete desarrollar a este tribunal en la jurisdicción de amparo bajo la invocación del derecho a la presunción de inocencia, considero que las resoluciones judiciales han colmado la exigencia de identificar y motivar adecuadamente, a partir de la prueba practicada en la vista oral, la concurrencia de concretos actos ejecutivos desarrollados por el demandante de amparo de disposición de los fondos destinados a la concesión y pago de ayudas que no respondían a ningún fin público amparado en el programa 31L, consistentes en permitir que por parte de la agencia se continuaran firmando los convenios particulares con la Dirección General de Trabajo y abonando las </w:t>
      </w:r>
      <w:r>
        <w:lastRenderedPageBreak/>
        <w:t>ayudas derivadas de los citados convenios, posibilitando con ello la distribución de esos fondos.</w:t>
      </w:r>
    </w:p>
    <w:p w14:paraId="0818B659" w14:textId="77777777" w:rsidR="003754FE" w:rsidRDefault="003754FE" w:rsidP="003754FE">
      <w:pPr>
        <w:pStyle w:val="TextoNormal"/>
      </w:pPr>
    </w:p>
    <w:p w14:paraId="27A2C272" w14:textId="77777777" w:rsidR="003754FE" w:rsidRDefault="003754FE" w:rsidP="003754FE">
      <w:pPr>
        <w:pStyle w:val="TextoNormal"/>
      </w:pPr>
      <w:r>
        <w:t>(ii) En los términos ya expuestos, a pesar de la objetividad del desarrollo por parte del demandante de amparo de estos actos de ejecución, de disposición de los fondos para fines ajenos a lo legalmente establecido, se utiliza como argumento para sustentar la lesión de su derecho a la presunción de inocencia que no se verifica en las resoluciones judiciales impugnadas un juicio de autoría que permita determinar que el demandante de amparo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(FJ 6.4).</w:t>
      </w:r>
    </w:p>
    <w:p w14:paraId="68C5DEB4" w14:textId="77777777" w:rsidR="003754FE" w:rsidRDefault="003754FE" w:rsidP="003754FE">
      <w:pPr>
        <w:pStyle w:val="TextoNormal"/>
      </w:pPr>
    </w:p>
    <w:p w14:paraId="05B972BD" w14:textId="77777777" w:rsidR="003754FE" w:rsidRDefault="003754FE" w:rsidP="003754FE">
      <w:pPr>
        <w:pStyle w:val="TextoNormal"/>
      </w:pPr>
      <w:r>
        <w:t>Considero que una exigencia de esas características excede de la labor de control externo que corresponde desarrollar a este tribunal ante una invocación del derecho a la presunción de inocencia, ya que parte de una consideración sobre la dinámica comisiva que es expresamente negada por las resoluciones judiciales impugnadas.</w:t>
      </w:r>
    </w:p>
    <w:p w14:paraId="048AECEF" w14:textId="77777777" w:rsidR="003754FE" w:rsidRDefault="003754FE" w:rsidP="003754FE">
      <w:pPr>
        <w:pStyle w:val="TextoNormal"/>
      </w:pPr>
    </w:p>
    <w:p w14:paraId="72DC61A2" w14:textId="77777777" w:rsidR="003754FE" w:rsidRDefault="003754FE" w:rsidP="003754FE">
      <w:pPr>
        <w:pStyle w:val="TextoNormal"/>
      </w:pPr>
      <w:r>
        <w:t>En primer lugar, es de destacar, como se reconoce en la sentencia, que la labor de control de este derecho fundamental lo es respecto de la motivación proporcionada por las resoluciones impugnadas “sin necesidad de integración o reelaboración alguna”. A esos efectos, hay que reparar en que la sentencia de casación es muy expresiva en su fundamento de Derecho 43.3 cuando, al abordar el llamado juicio de autoría en contestación a la alegación de algunos recurrentes sobre la inexistencia de un dominio funcional del hecho entre los diversos partícipes para el delito de malversación, afirma que no es necesario acreditar ese extremo. Insiste en que es suficiente individualizar la conducta de cada acusado y desde su singularidad determinar si en cada caso concurrían los elementos típicos. Así, se expone que no hay ninguna declaración en los hechos probados respecto a que los acusados actuaran de forma conjunta o de mutuo acuerdo y que en la fundamentación jurídica tampoco se argumenta sobre la concurrencia de los elementos estructurales de la coautoría, tales como acuerdo de voluntades, dominio funcional del hecho o imputación recíproca a todos los coautores de sus aportaciones individuales. Es más, incide la sentencia de casación en que para el juicio de autoría de cada uno de los acusados (a) la sentencia de instancia identifica individualmente los hechos que se atribuyen a cada uno de ellos aisladamente y (b) no imputa a todos los acusados la totalidad de los actos calificados como delictivos por lo que excluye el efecto más característico de la coautoría, la imputación recíproca. A partir de ello, concluye que “[l]a dinámica comisiva no ha consistido en la realización de un hecho al que contribuyen las aportaciones de cada acusado, sino en distintos hechos, realizados individualmente por distintas autoridades a lo largo de un periodo dilatado de tiempo, que se explican porque tenían una finalidad común y se produjeron en el ámbito de una misma organización administrativa” (fundamento de Derecho 43.3, pág. 370, de la sentencia de casación).</w:t>
      </w:r>
    </w:p>
    <w:p w14:paraId="3E22A8F0" w14:textId="77777777" w:rsidR="003754FE" w:rsidRDefault="003754FE" w:rsidP="003754FE">
      <w:pPr>
        <w:pStyle w:val="TextoNormal"/>
      </w:pPr>
    </w:p>
    <w:p w14:paraId="6CA04CDA" w14:textId="77777777" w:rsidR="003754FE" w:rsidRDefault="003754FE" w:rsidP="003754FE">
      <w:pPr>
        <w:pStyle w:val="TextoNormal"/>
      </w:pPr>
      <w:r>
        <w:t>Pues bien, partiendo de la base de que en la vía judicial se ha negado que la responsabilidad penal por el delito de malversación, incluyendo la del demandante de amparo, traiga causa de un supuesto dominio funcional del hecho o de alguna modalidad de acuerdo o de adhesión a un plan preconcebido dirigido al desvío de las cantidades malversadas entre los acusados, sino en la individual comisión de conductas de ejecución de cada uno de ellos —</w:t>
      </w:r>
      <w:r>
        <w:lastRenderedPageBreak/>
        <w:t>en el caso del demandante de amparo permitir la firma de los convenios y el pago de los fondos, posibilitando con ello su distribución—, no puedo compartir que el fundamento último para estimar el recurso de amparo respecto de este particular sea un déficit o la inexistencia de motivación sobre un juicio de autoría que no es el asumido o establecido en las resoluciones impugnadas sino alternativo a estas.</w:t>
      </w:r>
    </w:p>
    <w:p w14:paraId="16C5348C" w14:textId="77777777" w:rsidR="003754FE" w:rsidRDefault="003754FE" w:rsidP="003754FE">
      <w:pPr>
        <w:pStyle w:val="TextoNormal"/>
      </w:pPr>
    </w:p>
    <w:p w14:paraId="1C4C9282" w14:textId="77777777" w:rsidR="003754FE" w:rsidRDefault="003754FE" w:rsidP="003754FE">
      <w:pPr>
        <w:pStyle w:val="TextoNormal"/>
      </w:pPr>
      <w:r>
        <w:t>(iii) Por tanto, partiendo del presupuesto de que el control externo a desarrollar por este tribunal sobre la motivación de la prueba ha de serlo respecto de la proporcionada por las resoluciones judiciales y no respecto de otras posibles alternativas, entiendo que las sentencias impugnadas, al hacer radicar la responsabilidad penal del demandante de amparo por el delito de malversación en su intervención directa permitiendo la firma de los convenios particulares con la Dirección General de Trabajo y el abono de las ayudas derivadas de los citados convenios, posibilitando con ello la distribución de los fondos, solo tenían que acreditar a partir de la prueba practicada esas conductas para entender probada la autoría del demandante. Ese es un extremo no controvertido que hace inadecuado que haya sido considerado vulnerado el derecho a la presunción de inocencia respecto de este particular.</w:t>
      </w:r>
    </w:p>
    <w:p w14:paraId="6BEE138A" w14:textId="77777777" w:rsidR="003754FE" w:rsidRDefault="003754FE" w:rsidP="003754FE">
      <w:pPr>
        <w:pStyle w:val="TextoNormal"/>
      </w:pPr>
    </w:p>
    <w:p w14:paraId="411B6A4F" w14:textId="77777777" w:rsidR="003754FE" w:rsidRDefault="003754FE" w:rsidP="003754FE">
      <w:pPr>
        <w:pStyle w:val="TextoNormal"/>
      </w:pPr>
      <w:r>
        <w:t>(iv) Por otra parte, también considero relevante destacar, por tener una conexión inmediata con el análisis de la invocación del derecho a la presunción de inocencia vinculado al juicio de autoría del demandante de amparo, la circunstancia de que el Tribunal, al analizar la invocación del derecho a la legalidad penal derivada de la condena del demandante de amparo por el delito de malversación en el fundamento jurídico 5.3.2 B), dedicado exclusivamente a su participación en relación con las disposiciones de fondos públicos sin cobertura en el programa 31L, ha desestimado dicha invocación.</w:t>
      </w:r>
    </w:p>
    <w:p w14:paraId="0F4F4651" w14:textId="77777777" w:rsidR="003754FE" w:rsidRDefault="003754FE" w:rsidP="003754FE">
      <w:pPr>
        <w:pStyle w:val="TextoNormal"/>
      </w:pPr>
    </w:p>
    <w:p w14:paraId="6C1275ED" w14:textId="77777777" w:rsidR="003754FE" w:rsidRDefault="003754FE" w:rsidP="003754FE">
      <w:pPr>
        <w:pStyle w:val="TextoNormal"/>
      </w:pPr>
      <w:r>
        <w:t>El motivo para dicha desestimación ha sido que la posición de garantía que sustenta la condena del demandante de amparo está debidamente razonada al destacarse su cargo de vicepresidente de IFA/IDEA. En ese sentido, compartiendo estas consideraciones para desestimar la invocación de la vulneración del derecho a la legalidad penal, y en plena coherencia con ellas, no puedo compartir la conclusión de que, en atención a las concretas conductas desarrolladas por el demandante de amparo y asumiendo su posición de garantía, pudiera afirmarse que se ha vulnerado su derecho a la presunción de inocencia por falta de motivación de un supuesto dominio funcional del hecho o de alguna modalidad de acuerdo o de adhesión a un plan preconcebido dirigido al desvío de las cantidades malversadas entre los acusados.</w:t>
      </w:r>
    </w:p>
    <w:p w14:paraId="72242FB0" w14:textId="77777777" w:rsidR="003754FE" w:rsidRDefault="003754FE" w:rsidP="003754FE">
      <w:pPr>
        <w:pStyle w:val="TextoNormal"/>
      </w:pPr>
    </w:p>
    <w:p w14:paraId="5D0F6061" w14:textId="77777777" w:rsidR="003754FE" w:rsidRDefault="003754FE" w:rsidP="003754FE">
      <w:pPr>
        <w:pStyle w:val="TextoNormal"/>
      </w:pPr>
      <w:r>
        <w:t>4. Tampoco considero procedente sustentar que ha existido un déficit de motivación en las resoluciones impugnadas lesivo del derecho a la presunción de inocencia en cuanto a la concurrencia del elemento subjetivo del delito de malversación en el demandante de amparo por las razones siguientes:</w:t>
      </w:r>
    </w:p>
    <w:p w14:paraId="1095BD35" w14:textId="77777777" w:rsidR="003754FE" w:rsidRDefault="003754FE" w:rsidP="003754FE">
      <w:pPr>
        <w:pStyle w:val="TextoNormal"/>
      </w:pPr>
    </w:p>
    <w:p w14:paraId="7A85CA9B" w14:textId="77777777" w:rsidR="003754FE" w:rsidRDefault="003754FE" w:rsidP="003754FE">
      <w:pPr>
        <w:pStyle w:val="TextoNormal"/>
      </w:pPr>
      <w:r>
        <w:t xml:space="preserve">(i) Las resoluciones judiciales impugnadas han establecido, respecto del elemento subjetivo del delito de malversación del art 432 CP en la redacción que resultaba de aplicación, que puede ser cometido por dolo eventual. En concreto, la sentencia de casación insiste en que jurisprudencialmente se ha admitido que para la existencia del delito en su modalidad activa basta el dolo eventual y que, en cuanto al tipo de omisión impropia también se admite este título de imputación subjetiva, cuando el sujeto se represente la alta probabilidad de la existencia de la situación que le obliga a actuar y aun así no actúe [fundamento de Derecho </w:t>
      </w:r>
      <w:r>
        <w:lastRenderedPageBreak/>
        <w:t>32.3 (viii), pág. 320]. El Tribunal no ha objetado desde la perspectiva del art. 25.1 CE esta interpretación y ha rechazado que vulnere el derecho a la legalidad penal en la resolución de algunos de los recursos interpuestos por otros condenados (singularmente, STC 94/2024, de 2 de julio, FJ 5.2). Por tanto, en coherencia con esta conclusión, la actividad probatoria a desarrollar en la vía judicial respecto de la concurrencia del elemento subjetivo de este delito lo puede ser en su modalidad de dolo eventual.</w:t>
      </w:r>
    </w:p>
    <w:p w14:paraId="0771FAFF" w14:textId="77777777" w:rsidR="003754FE" w:rsidRDefault="003754FE" w:rsidP="003754FE">
      <w:pPr>
        <w:pStyle w:val="TextoNormal"/>
      </w:pPr>
    </w:p>
    <w:p w14:paraId="46935D81" w14:textId="77777777" w:rsidR="003754FE" w:rsidRDefault="003754FE" w:rsidP="003754FE">
      <w:pPr>
        <w:pStyle w:val="TextoNormal"/>
      </w:pPr>
      <w:r>
        <w:t>Las resoluciones judiciales, con fundamento en la anterior interpretación, han establecido la responsabilidad penal del demandante de amparo por el delito de malversación al considerar, en la vertiente subjetiva de este delito, que al desarrollar los actos ejecutivos de permitir la firma de los convenios particulares y el pago de las ayudas, asumía la eventualidad de que algunos de los fondos vinculados al programa presupuestario 31L fueran objeto de disposición con fines ajenos al fin público al que estaban destinados, tal como finalmente sucedió.</w:t>
      </w:r>
    </w:p>
    <w:p w14:paraId="560F1A4B" w14:textId="77777777" w:rsidR="003754FE" w:rsidRDefault="003754FE" w:rsidP="003754FE">
      <w:pPr>
        <w:pStyle w:val="TextoNormal"/>
      </w:pPr>
    </w:p>
    <w:p w14:paraId="3C193F22" w14:textId="77777777" w:rsidR="003754FE" w:rsidRDefault="003754FE" w:rsidP="003754FE">
      <w:pPr>
        <w:pStyle w:val="TextoNormal"/>
      </w:pPr>
      <w:r>
        <w:t>En este contexto, no considero adecuado que se estime vulnerado el derecho a la presunción de inocencia con fundamento en que era preciso que en la vía judicial se acreditara que el demandante de amparo “participó activa u omisivamente con conocimiento de que los fondos públicos del programa 31L se estaban concediendo sin que existiera un fin público que justificara su concesión o para fines distintos de los previstos en dicho programa 31L” (FJ 6.4) y, por tanto, que es una inferencia excesivamente abierta, concluir que se representó, con el grado de concreción que demanda la imputación subjetiva de un delito de resultado como es el delito de malversación, las graves desviaciones cometidas por las autoridades de la Consejería de Empleo.</w:t>
      </w:r>
    </w:p>
    <w:p w14:paraId="6CB5832C" w14:textId="77777777" w:rsidR="003754FE" w:rsidRDefault="003754FE" w:rsidP="003754FE">
      <w:pPr>
        <w:pStyle w:val="TextoNormal"/>
      </w:pPr>
    </w:p>
    <w:p w14:paraId="76CE2780" w14:textId="77777777" w:rsidR="003754FE" w:rsidRDefault="003754FE" w:rsidP="003754FE">
      <w:pPr>
        <w:pStyle w:val="TextoNormal"/>
      </w:pPr>
      <w:r>
        <w:t>En efecto, partiendo del presupuesto de que tanto en la vía judicial como en esta jurisdicción de amparo no se ha controvertido la posible imputación subjetiva de este delito a título de dolo eventual y que bastaba para ello asumir la eventualidad de que los fondos vinculados al programa presupuestario 31L fueran objeto de disposición con fines ajenos al que estaban destinados, el elemento a probar en la vía judicial no sería el conocimiento efectivo y actual por parte del demandante de amparo de que había concretos fondos públicos que se estuvieran concediendo sin que existiera un fin público que los justificara o para fines distintos de los previstos, sino tan solo la eventualidad de que pudieran estar siendo concedidos para esos fines ajenos a lo legalmente establecido.</w:t>
      </w:r>
    </w:p>
    <w:p w14:paraId="4E6B761F" w14:textId="77777777" w:rsidR="003754FE" w:rsidRDefault="003754FE" w:rsidP="003754FE">
      <w:pPr>
        <w:pStyle w:val="TextoNormal"/>
      </w:pPr>
    </w:p>
    <w:p w14:paraId="5E559A11" w14:textId="77777777" w:rsidR="003754FE" w:rsidRDefault="003754FE" w:rsidP="003754FE">
      <w:pPr>
        <w:pStyle w:val="TextoNormal"/>
      </w:pPr>
      <w:r>
        <w:t>(ii) La anterior precisión determina que el control externo a desarrollar por el Tribunal bajo la invocación del derecho a la presunción de inocencia tuviera como objeto verificar que las resoluciones judiciales impugnadas hubieran considerado acreditado no que el demandante de amparo conoció que los fondos vinculados al programa presupuestario 31L, de los que estaba disponiendo mediante la suscripción de los convenios particulares, lo eran con fines ajenos a los que estaban legalmente destinados —lo que hubiera constituido un dolo directo— sino, meramente, que asumió esa eventualidad —lo que constituía un dolo eventual—.</w:t>
      </w:r>
    </w:p>
    <w:p w14:paraId="66C4D42D" w14:textId="77777777" w:rsidR="003754FE" w:rsidRDefault="003754FE" w:rsidP="003754FE">
      <w:pPr>
        <w:pStyle w:val="TextoNormal"/>
      </w:pPr>
    </w:p>
    <w:p w14:paraId="314358B5" w14:textId="77777777" w:rsidR="003754FE" w:rsidRDefault="003754FE" w:rsidP="003754FE">
      <w:pPr>
        <w:pStyle w:val="TextoNormal"/>
      </w:pPr>
      <w:r>
        <w:t xml:space="preserve">A esos efectos, ha sido expuesto con extensión y acierto la jurisprudencia constitucional sobre la prueba de los elementos subjetivos del delito a partir de la llamada prueba indiciaria, conforme a la cual, bajo la invocación del derecho a la presunción de inocencia, lo que resulta preciso en el control externo a desarrollar por el Tribunal en la jurisdicción de </w:t>
      </w:r>
      <w:r>
        <w:lastRenderedPageBreak/>
        <w:t>amparo es verificar que (a) los hechos objetivos base indiciarios han de estar plenamente probados; (b) el elemento subjetivo debe deducirse de esos hechos indiciarios base; y (c) la razonabilidad de la inferencia en el sentido de que en la vía judicial se hayan exteriorizado los hechos indiciarios base y se haya explicado el razonamiento de la deducción asentado en las reglas del criterio humano o en las reglas de la experiencia común.</w:t>
      </w:r>
    </w:p>
    <w:p w14:paraId="71276E8D" w14:textId="77777777" w:rsidR="003754FE" w:rsidRDefault="003754FE" w:rsidP="003754FE">
      <w:pPr>
        <w:pStyle w:val="TextoNormal"/>
      </w:pPr>
    </w:p>
    <w:p w14:paraId="08AA268E" w14:textId="77777777" w:rsidR="003754FE" w:rsidRDefault="003754FE" w:rsidP="003754FE">
      <w:pPr>
        <w:pStyle w:val="TextoNormal"/>
      </w:pPr>
      <w:r>
        <w:t>No obstante, creo que también es preciso añadir que la jurisprudencia constitucional ha destacado que en la labor de control externo a desarrollar por el Tribunal debe tomarse en consideración que “cuando se aduce la vulneración del derecho a la presunción de inocencia nuestro análisis debe realizarse respecto del conjunto de estos elementos sin que quepa la posibilidad de fragmentar o disgregar esta apreciación probatoria, ni de considerar cada una de las afirmaciones de hecho acreditadas de modo aislado, pues como ya hemos afirmado en no pocas ocasiones no puede realizarse una operación de análisis aislado de los hechos acreditados por el tribunal sentenciador, ni de desagregación de los distintos elementos de prueba, ni de disgregación de la línea argumental llevada a cabo por el Tribunal Supremo [léase por el órgano judicial].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(así, SSTC 133/2014, de 22 de julio, FJ 10, o 146/2014, de 22 de septiembre, FJ 5, con abundantes referencias).</w:t>
      </w:r>
    </w:p>
    <w:p w14:paraId="47213E8E" w14:textId="77777777" w:rsidR="003754FE" w:rsidRDefault="003754FE" w:rsidP="003754FE">
      <w:pPr>
        <w:pStyle w:val="TextoNormal"/>
      </w:pPr>
    </w:p>
    <w:p w14:paraId="1858D697" w14:textId="77777777" w:rsidR="003754FE" w:rsidRDefault="003754FE" w:rsidP="003754FE">
      <w:pPr>
        <w:pStyle w:val="TextoNormal"/>
      </w:pPr>
      <w:r>
        <w:t>(iii) Considero, en el mismo sentido que ha sido afirmado por el Ministerio Fiscal en sus alegaciones en el presente recurso de amparo, que las resoluciones judiciales han dado debido cumplimiento a las exigencias derivadas del derecho a la presunción de inocencia al concluir acreditado el elemento subjetivo del delito de malversación en el demandante de amparo a título de dolo eventual —asumir la eventualidad de que los fondos vinculados al programa presupuestario 31L de los que estaba disponiendo permitiendo la suscripción de los convenios particulares lo eran con fines ajenos a los que estaban legalmente destinados-—a partir de la prueba indiciaria.</w:t>
      </w:r>
    </w:p>
    <w:p w14:paraId="13479700" w14:textId="77777777" w:rsidR="003754FE" w:rsidRDefault="003754FE" w:rsidP="003754FE">
      <w:pPr>
        <w:pStyle w:val="TextoNormal"/>
      </w:pPr>
    </w:p>
    <w:p w14:paraId="771D7CA5" w14:textId="77777777" w:rsidR="003754FE" w:rsidRDefault="003754FE" w:rsidP="003754FE">
      <w:pPr>
        <w:pStyle w:val="TextoNormal"/>
      </w:pPr>
      <w:r>
        <w:t>(a) En la vía judicial se ha establecido como un primer hecho objetivo base indiciario plenamente probado que el demandante de amparo, en su condición de vicepresidente del IFA/IDEA, en tanto que esta agencia estaba sujeta al control financiero permanente por la Intervención General de la Junta de Andalucía, que se materializaba básicamente en la emisión de tres informes anuales, era uno de los destinatarios de dichos informes.</w:t>
      </w:r>
    </w:p>
    <w:p w14:paraId="5FCD6E7F" w14:textId="77777777" w:rsidR="003754FE" w:rsidRDefault="003754FE" w:rsidP="003754FE">
      <w:pPr>
        <w:pStyle w:val="TextoNormal"/>
      </w:pPr>
    </w:p>
    <w:p w14:paraId="1C08B757" w14:textId="77777777" w:rsidR="003754FE" w:rsidRDefault="003754FE" w:rsidP="003754FE">
      <w:pPr>
        <w:pStyle w:val="TextoNormal"/>
      </w:pPr>
      <w:r>
        <w:t>La sentencia de instancia hace en el apartado noveno de los hechos probados (págs. 62 y ss.) una relación pormenorizada de esos informes y de las deficiencias e incidencias reflejadas en los mismos, haciendo un especial análisis del informe adicional de ayudas, realizado en el año 2005, que figura como anexo III, dentro del informe de cumplimiento del ejercicio 2003, que incluye “Informe sobre determinados aspectos de la gestión del Instituto de Fomento de Andalucía de los convenios suscritos con la Consejería de Empleo y Desarrollo Tecnológico en materia de Trabajo y Seguridad Social”, en el que se relataban numerosas irregularidades.</w:t>
      </w:r>
    </w:p>
    <w:p w14:paraId="3FC676AC" w14:textId="77777777" w:rsidR="003754FE" w:rsidRDefault="003754FE" w:rsidP="003754FE">
      <w:pPr>
        <w:pStyle w:val="TextoNormal"/>
      </w:pPr>
    </w:p>
    <w:p w14:paraId="504BD897" w14:textId="77777777" w:rsidR="003754FE" w:rsidRDefault="003754FE" w:rsidP="003754FE">
      <w:pPr>
        <w:pStyle w:val="TextoNormal"/>
      </w:pPr>
      <w:r>
        <w:t>A partir del contenido de ese informe, la sentencia de instancia, al valorar la concurrencia de dolo eventual en el delito de malversación, contando ya con el resultado de los informes periciales practicados en la vista oral sobre la totalidad de los convenios particulares suscritos por el IFA/IDEA, afirma que la circunstancia de que se pudieran hacer pagos completamente ajenos al interés público o con fines diversos sin relación alguna con las ayudas sociolaborales o dirigidas a empresas sospechosas de haberse constituido exclusivamente para el cobro de las ayudas, careciendo incluso de trabajadores, “ya [se] lo advertía [por] la Intervención en sus informes”, reiterando algunas de las deficiencias e irregularidades que se ponían de manifiesto en el informe adicional al de cumplimiento de 2003 (págs. 1721 y ss.).</w:t>
      </w:r>
    </w:p>
    <w:p w14:paraId="6CAA0E27" w14:textId="77777777" w:rsidR="003754FE" w:rsidRDefault="003754FE" w:rsidP="003754FE">
      <w:pPr>
        <w:pStyle w:val="TextoNormal"/>
      </w:pPr>
    </w:p>
    <w:p w14:paraId="1C7A346A" w14:textId="77777777" w:rsidR="003754FE" w:rsidRDefault="003754FE" w:rsidP="003754FE">
      <w:pPr>
        <w:pStyle w:val="TextoNormal"/>
      </w:pPr>
      <w:r>
        <w:t>(b) En la vía judicial se hace mención, como un segundo hecho objetivo base indiciario plenamente probado, a que el demandante de amparo, en su condición de vicepresidente del IFA/IDEA, tenía la responsabilidad de participar en las reuniones del consejo rector, que aprobaba las cuentas anuales, tras su debate y examen del informe de auditoría.</w:t>
      </w:r>
    </w:p>
    <w:p w14:paraId="17AF94AE" w14:textId="77777777" w:rsidR="003754FE" w:rsidRDefault="003754FE" w:rsidP="003754FE">
      <w:pPr>
        <w:pStyle w:val="TextoNormal"/>
      </w:pPr>
    </w:p>
    <w:p w14:paraId="68AA77BD" w14:textId="77777777" w:rsidR="003754FE" w:rsidRDefault="003754FE" w:rsidP="003754FE">
      <w:pPr>
        <w:pStyle w:val="TextoNormal"/>
      </w:pPr>
      <w:r>
        <w:t>La sentencia de instancia hace en el apartado noveno de los hechos probados (págs. 62 y ss.) y en el fundamento de Derecho trigesimocuarto (págs. 1146 y ss. y, por remisión, págs. 1058 y ss.), en el que se abordan singularmente los hechos imputados al demandante de amparo, una relación pormenorizada de las incidencias contables, incluyendo que los pagos derivados de los convenios particulares, cuyo importe llegaba vía transferencia de financiación, se contabilizaban en el apartado “otros gastos de explotación” y, por tanto, como gastos ficticios; y que, estando sometidas las cuentas a informes de auditoría externa, en estos se destacaba la incertidumbre sobre el abono de las cantidades que mantenía en descubierto, al exceder los compromisos asumidos en los convenios, con la cantidad efectivamente recibida en la agencia, vía transferencia de financiación; dirigiendo al respecto el director general del IFA/IDEA una carta al director general de Trabajo exigiendo que se pusiera solución a este problema, precisando que consideraba necesario que tal solución pasara por la aprobación del secretario general técnico de Empleo. Igualmente se destacaba como en el acta de una reunión del consejo rector consta la adopción de un acuerdo provisional para someterlo a la ratificación del Consejo de Gobierno en relación con la autorización de la firma de un convenio de colaboración entre IDEA y la Dirección General de Trabajo y Seguridad Social en el que se encomienda a aquella el abono de la subvención excepcional a una empresa por importe de 3 800 000 €, que según se constató en la prueba pericial practicada no constaba en la documentación examinada que se hubiera remitido a dicha ratificación.</w:t>
      </w:r>
    </w:p>
    <w:p w14:paraId="66B6E684" w14:textId="77777777" w:rsidR="003754FE" w:rsidRDefault="003754FE" w:rsidP="003754FE">
      <w:pPr>
        <w:pStyle w:val="TextoNormal"/>
      </w:pPr>
    </w:p>
    <w:p w14:paraId="3F77CF8B" w14:textId="77777777" w:rsidR="003754FE" w:rsidRDefault="003754FE" w:rsidP="003754FE">
      <w:pPr>
        <w:pStyle w:val="TextoNormal"/>
      </w:pPr>
      <w:r>
        <w:t>(c) La sentencia de instancia también aporta un tercer hecho objetivo base indiciario plenamente probado como es un acceso directo del demandante de amparo al contenido de los convenios particulares, al destacar que “a partir de determinada fecha, el director general de Trabajo, Francisco Javier Guerrero, le remitía copia de los convenios, para su conocimiento, antes de que fueran firmados por el director general de IDEA” (pág. 1148); haciendo referencia expresa a que así consta en una carta que le dirigió el citado director general de Trabajo, que reproduce (pág. 1149).</w:t>
      </w:r>
    </w:p>
    <w:p w14:paraId="2EAA01F4" w14:textId="77777777" w:rsidR="003754FE" w:rsidRDefault="003754FE" w:rsidP="003754FE">
      <w:pPr>
        <w:pStyle w:val="TextoNormal"/>
      </w:pPr>
    </w:p>
    <w:p w14:paraId="16B5F6D0" w14:textId="77777777" w:rsidR="003754FE" w:rsidRDefault="003754FE" w:rsidP="003754FE">
      <w:pPr>
        <w:pStyle w:val="TextoNormal"/>
      </w:pPr>
      <w:r>
        <w:t xml:space="preserve">A partir de estos hechos probados, la sentencia de instancia, al valorar la concurrencia de dolo eventual en el delito de malversación, afirma que “el acusado era plenamente consciente de la palmaria ilegalidad de los actos en los que participó, relatados en los hechos </w:t>
      </w:r>
      <w:r>
        <w:lastRenderedPageBreak/>
        <w:t>probados. Asumiendo la eventualidad de que los fondos vinculados al programa 31L fueran objeto de disposición con fines ajenos al fin público al que estaban destinados” (págs. 1067). A esos efectos, se insiste en la sentencia de instancia en que “respecto a los desembolsos con ausencia total de controles, que revela una indiferencia hacia la alta probabilidad de que lo que ya era un despilfarro pasase a ser una malversación. Consta en la causa la existencia del déficit o desfases presupuestarios, originados precisamente porque se contraían obligaciones al margen de la cobertura presupuestaria, lo que era posible porque se concedían subvenciones al margen del procedimiento legalmente establecido y sin control alguno, al haberse soslayado la fiscalización” (págs. 1732 y 1733).</w:t>
      </w:r>
    </w:p>
    <w:p w14:paraId="328EBA90" w14:textId="77777777" w:rsidR="003754FE" w:rsidRDefault="003754FE" w:rsidP="003754FE">
      <w:pPr>
        <w:pStyle w:val="TextoNormal"/>
      </w:pPr>
    </w:p>
    <w:p w14:paraId="2C694987" w14:textId="77777777" w:rsidR="003754FE" w:rsidRDefault="003754FE" w:rsidP="003754FE">
      <w:pPr>
        <w:pStyle w:val="TextoNormal"/>
      </w:pPr>
      <w:r>
        <w:t>(d) En definitiva, cabe apreciar que, en la vía judicial, a partir de esos hechos objetivos base, se ha extraído la inferencia de que el demandante de amparo asumió la eventualidad de que hubiera fondos vinculados al programa presupuestario 31L de los que estaba disponiendo mediante la autorización de suscripción de los convenios particulares que lo fueran con fines ajenos a los que estaban legalmente destinados.</w:t>
      </w:r>
    </w:p>
    <w:p w14:paraId="6B845545" w14:textId="77777777" w:rsidR="003754FE" w:rsidRDefault="003754FE" w:rsidP="003754FE">
      <w:pPr>
        <w:pStyle w:val="TextoNormal"/>
      </w:pPr>
    </w:p>
    <w:p w14:paraId="05208356" w14:textId="77777777" w:rsidR="003754FE" w:rsidRDefault="003754FE" w:rsidP="003754FE">
      <w:pPr>
        <w:pStyle w:val="TextoNormal"/>
      </w:pPr>
      <w:r>
        <w:t>Esa inferencia se sustenta, en el plano abstracto, en la regla de experiencia, expuesta por la sentencia de casación, a partir de la jurisprudencia de la Sala de lo Penal del Tribunal Supremo, de que quien conoce suficientemente el peligro concreto generado por su acción y, sin embargo, actúa conscientemente, obra con dolo pues sabe lo que hace, y de dicho conocimiento y actuación puede inferirse racionalmente su aceptación del resultado (fundamento de Derecho 140, pág. 1046); y, en un plano concreto, en que el demandante de amparo, al permitir la actuación de la agencia de la que era vicepresidente en el sistema creado para la gestión de estas ayudas, conociendo la forma en que se gestionaban, “asumi[ó] la eventualidad de que los fondos vinculados al programa 31L fueran objeto de disposición con fines ajenos al fin público al que estaban destinados” (fundamento de Derecho 47, pág. 1754, de la sentencia de instancia; reiterado en el fundamento de Derecho 122, pág. 918 de la sentencia de casación) o que todo el caudal probatorio señalado ponía de manifiesto que le “ permitió conocer que se dispuso de los fondos públicos al margen de todo interés público” (fundamento de Derecho 125.2, pág. 952, de la sentencia de casación).</w:t>
      </w:r>
    </w:p>
    <w:p w14:paraId="0609299C" w14:textId="77777777" w:rsidR="003754FE" w:rsidRDefault="003754FE" w:rsidP="003754FE">
      <w:pPr>
        <w:pStyle w:val="TextoNormal"/>
      </w:pPr>
    </w:p>
    <w:p w14:paraId="00EB3E91" w14:textId="77777777" w:rsidR="003754FE" w:rsidRDefault="003754FE" w:rsidP="003754FE">
      <w:pPr>
        <w:pStyle w:val="TextoNormal"/>
      </w:pPr>
      <w:r>
        <w:t>(iv) Por tanto, desde la perspectiva del control externo que es propia a la jurisdicción de amparo, globalmente considerada la prueba practicada y la inferencia derivada de la misma respecto de la concurrencia del elemento subjetivo del delito de malversación tal como había sido configurado legalmente en la vía judicial, que admitía la imputación subjetiva a título de dolo eventual, entiendo que tampoco resulta adecuado concluir que las resoluciones judiciales hayan desatendido la exigencias del derecho fundamental a la presunción de inocencia sobre ese particular, en la medida en que la inferencia alcanzada de que el demandante de amparo actuó asumiendo la eventualidad de que los fondos vinculados al programa presupuestario 31L estuvieran siendo dispuestos con fines ajenos a los que estaban legalmente destinados responde a las reglas del criterio humano o las reglas de la experiencia común.</w:t>
      </w:r>
    </w:p>
    <w:p w14:paraId="38B3213E" w14:textId="77777777" w:rsidR="003754FE" w:rsidRDefault="003754FE" w:rsidP="003754FE">
      <w:pPr>
        <w:pStyle w:val="TextoNormal"/>
      </w:pPr>
    </w:p>
    <w:p w14:paraId="16578C35" w14:textId="4B0F0A5C" w:rsidR="003754FE" w:rsidRDefault="003754FE" w:rsidP="003754FE">
      <w:pPr>
        <w:pStyle w:val="TextoNormal"/>
      </w:pPr>
      <w:r>
        <w:t>Madrid, a tres de julio de dos mil veinticuatro.-</w:t>
      </w:r>
    </w:p>
    <w:p w14:paraId="67496B75" w14:textId="77777777" w:rsidR="003754FE" w:rsidRDefault="003754FE" w:rsidP="003754FE">
      <w:pPr>
        <w:pStyle w:val="TextoNormal"/>
      </w:pPr>
    </w:p>
    <w:p w14:paraId="22D76AE9" w14:textId="77777777" w:rsidR="003754FE" w:rsidRDefault="003754FE" w:rsidP="003754FE">
      <w:pPr>
        <w:pStyle w:val="TextoNormalNegritaCentrado"/>
        <w:keepNext/>
      </w:pPr>
      <w:r>
        <w:t xml:space="preserve">Voto particular conjunto que formulan los magistrados don César Tolosa Tribiño y doña Concepción Espejel Jorquera a la sentencia dictada en el </w:t>
      </w:r>
      <w:r>
        <w:lastRenderedPageBreak/>
        <w:t>recurso de amparo núm. 2361-2023 interpuesto por don Jesús María Rodríguez Román</w:t>
      </w:r>
    </w:p>
    <w:p w14:paraId="1D58B058" w14:textId="6E71E7D3" w:rsidR="003754FE" w:rsidRDefault="003754FE" w:rsidP="003754FE">
      <w:pPr>
        <w:pStyle w:val="TextoNormalNegritaCentrado"/>
        <w:keepNext/>
      </w:pPr>
    </w:p>
    <w:p w14:paraId="17889897" w14:textId="77777777" w:rsidR="003754FE" w:rsidRDefault="003754FE" w:rsidP="003754FE">
      <w:pPr>
        <w:pStyle w:val="TextoNormal"/>
      </w:pPr>
      <w:r>
        <w:t>En el ejercicio de la facultad que nos confiere el artículo 90.2 de la Ley Orgánica del Tribunal Constitucional, formulamos el presente voto particular. Consideramos que el recurso de amparo debió ser inicialmente inadmitido —como ya se expuso en el voto particular al ATC 292/2023, de 5 de junio— y una vez admitido desestimado, por las razones que se exponen a continuación.</w:t>
      </w:r>
    </w:p>
    <w:p w14:paraId="728D6BA4" w14:textId="77777777" w:rsidR="003754FE" w:rsidRDefault="003754FE" w:rsidP="003754FE">
      <w:pPr>
        <w:pStyle w:val="TextoNormal"/>
      </w:pPr>
    </w:p>
    <w:p w14:paraId="1A5D5909" w14:textId="77777777" w:rsidR="003754FE" w:rsidRDefault="003754FE" w:rsidP="003754FE">
      <w:pPr>
        <w:pStyle w:val="TextoNormal"/>
      </w:pPr>
      <w:r>
        <w:t>La presente sentencia se construye argumentalmente aplicando el razonamiento de las sentencias de este tribunal ya deliberadas y aprobadas que resuelven los recursos de amparo interpuestos por doña Magdalena Álvarez Arza (recurso de amparo 6971-2022), don Miguel Ángel Serrano Aguilar (recurso de amparo 2136-2023), don Antonio Fernández García (recurso de amparo 2348-2023) y finalmente de don Francisco Vallejo Serrano (recurso de amparo 2360-2023), en los que se reconoce bien exclusivamente la vulneración del derecho a la legalidad penal —en relación con el delito de prevaricación administrativa y/o el de malversación— o también la del derecho a la presunción de inocencia.</w:t>
      </w:r>
    </w:p>
    <w:p w14:paraId="0D1F4AA0" w14:textId="77777777" w:rsidR="003754FE" w:rsidRDefault="003754FE" w:rsidP="003754FE">
      <w:pPr>
        <w:pStyle w:val="TextoNormal"/>
      </w:pPr>
    </w:p>
    <w:p w14:paraId="098833E4" w14:textId="77777777" w:rsidR="003754FE" w:rsidRDefault="003754FE" w:rsidP="003754FE">
      <w:pPr>
        <w:pStyle w:val="TextoNormal"/>
      </w:pPr>
      <w:r>
        <w:t>1. Consideraciones comunes a todas las sentencias de los casos ERE</w:t>
      </w:r>
    </w:p>
    <w:p w14:paraId="096D5333" w14:textId="77777777" w:rsidR="003754FE" w:rsidRDefault="003754FE" w:rsidP="003754FE">
      <w:pPr>
        <w:pStyle w:val="TextoNormal"/>
      </w:pPr>
    </w:p>
    <w:p w14:paraId="2468D2BB" w14:textId="77777777" w:rsidR="003754FE" w:rsidRDefault="003754FE" w:rsidP="003754FE">
      <w:pPr>
        <w:pStyle w:val="TextoNormal"/>
      </w:pPr>
      <w:r>
        <w:t>a) Debe indicarse que todas las sentencias que resuelven los recursos de amparo relativas a las condenas por los denominados “ERE”, dan una respuesta estandarizada cuando se enfrentan a la vulneración del derecho a la legalidad penal (art. 25.1 CE) sea en su proyección a las condenas por prevaricación o por malversación y ello con independencia del contenido de las demandas e incluso prescindiendo de que tal derecho haya sido o no invocado. Existe una predeterminación argumental que margina el contenido de los recursos, se desvincula de los mismos, los orilla, procediendo incluso en relación con la vulneración del derecho a la legalidad penal proyectado sobre el delito de malversación de caudales públicos a una prohibida reconstrucción de la queja o directamente a dar respuesta a una queja inexistente.</w:t>
      </w:r>
    </w:p>
    <w:p w14:paraId="308E83F4" w14:textId="77777777" w:rsidR="003754FE" w:rsidRDefault="003754FE" w:rsidP="003754FE">
      <w:pPr>
        <w:pStyle w:val="TextoNormal"/>
      </w:pPr>
    </w:p>
    <w:p w14:paraId="0AE66714" w14:textId="77777777" w:rsidR="003754FE" w:rsidRDefault="003754FE" w:rsidP="003754FE">
      <w:pPr>
        <w:pStyle w:val="TextoNormal"/>
      </w:pPr>
      <w:r>
        <w:t xml:space="preserve">b) La doctrina plasmada en las sentencias produce el resultado de exonerar de responsabilidad a los miembros del Gobierno de la Junta de Andalucía en todo lo concerniente a la elaboración, aprobación y ejecución de los presupuestos y a las enmiendas presupuestarias o su ejecución. Los declara </w:t>
      </w:r>
      <w:r w:rsidRPr="003754FE">
        <w:rPr>
          <w:i/>
        </w:rPr>
        <w:t>de facto</w:t>
      </w:r>
      <w:r>
        <w:t xml:space="preserve"> irresponsables y extiende sobre ellos un privilegio de inviolabilidad e inmunidad.</w:t>
      </w:r>
    </w:p>
    <w:p w14:paraId="4873FA17" w14:textId="77777777" w:rsidR="003754FE" w:rsidRDefault="003754FE" w:rsidP="003754FE">
      <w:pPr>
        <w:pStyle w:val="TextoNormal"/>
      </w:pPr>
    </w:p>
    <w:p w14:paraId="401F3A79" w14:textId="77777777" w:rsidR="003754FE" w:rsidRDefault="003754FE" w:rsidP="003754FE">
      <w:pPr>
        <w:pStyle w:val="TextoNormal"/>
      </w:pPr>
      <w:r>
        <w:t xml:space="preserve">c) Tal doctrina es inasumible pues deja al margen de todo control aquello que tenga que ver con la actividad presupuestaria desde la fase inicial de elaboración de los presupuestos a la fase final de su ejecución y con ello se desprotege la indemnidad del patrimonio público, el correcto funcionamiento de la actividad patrimonial del Estado, la confianza de la sociedad en el manejo honesto de los fondos públicos y los deberes de fidelidad y transparencia que tienen los funcionarios públicos a cuyo cargo se encuentran los bienes de la administración pública. Dicha doctrina incumple las exigencias internacionales de lucha contra la corrupción política y cuando tenga proyección en la protección de los intereses financieros de la Unión Europea producirá un incumplimiento de las obligaciones de España, incompatible con lo dispuesto en el artículo 325.1 del Tratado de funcionamiento de la Unión Europea (TFUE), de luchar contra el fraude y contra toda actividad ilegal que afecte a los intereses financieros de la Unión, de prevenir y combatir la corrupción en general y de prever la </w:t>
      </w:r>
      <w:r>
        <w:lastRenderedPageBreak/>
        <w:t xml:space="preserve">aplicación de sanciones eficaces y disuasorias en caso de que tales infracciones se produzcan (SSTJUE de 21 de diciembre de 2021, </w:t>
      </w:r>
      <w:r w:rsidRPr="003754FE">
        <w:rPr>
          <w:i/>
        </w:rPr>
        <w:t>Euro Box Promotion</w:t>
      </w:r>
      <w:r>
        <w:t xml:space="preserve">, asunto C-357/19, §184-187 y 193-194, y de 24 de julio de 2023, </w:t>
      </w:r>
      <w:r w:rsidRPr="003754FE">
        <w:rPr>
          <w:i/>
        </w:rPr>
        <w:t>Lin</w:t>
      </w:r>
      <w:r>
        <w:t xml:space="preserve">, asunto C-107/23 PPU, § 83-84, 86, y 91-94 y auto de la Sala Sexta del Tribunal de Justicia de la Unión Europea de 7 de noviembre de 2022, </w:t>
      </w:r>
      <w:r w:rsidRPr="003754FE">
        <w:rPr>
          <w:i/>
        </w:rPr>
        <w:t>FX y otros</w:t>
      </w:r>
      <w:r>
        <w:t>, asuntos acumulados C 859/19, C 926/19 y C 929/19, § 92).</w:t>
      </w:r>
    </w:p>
    <w:p w14:paraId="38D775DF" w14:textId="77777777" w:rsidR="003754FE" w:rsidRDefault="003754FE" w:rsidP="003754FE">
      <w:pPr>
        <w:pStyle w:val="TextoNormal"/>
      </w:pPr>
    </w:p>
    <w:p w14:paraId="114AD705" w14:textId="77777777" w:rsidR="003754FE" w:rsidRDefault="003754FE" w:rsidP="003754FE">
      <w:pPr>
        <w:pStyle w:val="TextoNormal"/>
      </w:pPr>
      <w:r>
        <w:t>d) La impunidad que establece la sentencia se aplica: (i) a quienes elaboraron los proyectos de ley o las modificaciones presupuestarias para provisionar fondos al IFA/IDEA mediante un instrumento lícito, las “transferencias de financiación”, con la finalidad de preparar el camino para que otros miembros del Gobierno pudieran destinar tales provisiones a fines no previstos en el presupuesto, las “ayudas sociolaborales”; (ii) a quienes al ejecutar el programa presupuestario en lugar de aplicar los fondos a gastos de explotación dispusieron de los mismos de modo libérrimo como si fueran propios o permitieron conscientemente, teniendo la obligación de impedirlo, que otros efectuaran tales disposiciones.</w:t>
      </w:r>
    </w:p>
    <w:p w14:paraId="29E1380F" w14:textId="77777777" w:rsidR="003754FE" w:rsidRDefault="003754FE" w:rsidP="003754FE">
      <w:pPr>
        <w:pStyle w:val="TextoNormal"/>
      </w:pPr>
    </w:p>
    <w:p w14:paraId="0EEDB6B2" w14:textId="77777777" w:rsidR="003754FE" w:rsidRDefault="003754FE" w:rsidP="003754FE">
      <w:pPr>
        <w:pStyle w:val="TextoNormal"/>
      </w:pPr>
      <w:r>
        <w:t xml:space="preserve">e) En todos los casos esa irresponsabilidad e imposibilidad de control se apoya en una construcción artificiosa a modo de </w:t>
      </w:r>
      <w:r w:rsidRPr="003754FE">
        <w:rPr>
          <w:i/>
        </w:rPr>
        <w:t>mantra</w:t>
      </w:r>
      <w:r>
        <w:t xml:space="preserve"> jurídico que carece de sustento racional y de apoyo en la sentencia del Tribunal Supremo y que se repite en todas las ponencias como piedra angular para afirmar la vulneración del derecho a la legalidad penal: quien obra amparado por la ley de presupuestos no puede prevaricar ni puede malversar caudales públicos.</w:t>
      </w:r>
    </w:p>
    <w:p w14:paraId="51548BC0" w14:textId="77777777" w:rsidR="003754FE" w:rsidRDefault="003754FE" w:rsidP="003754FE">
      <w:pPr>
        <w:pStyle w:val="TextoNormal"/>
      </w:pPr>
    </w:p>
    <w:p w14:paraId="48CB4747" w14:textId="77777777" w:rsidR="003754FE" w:rsidRDefault="003754FE" w:rsidP="003754FE">
      <w:pPr>
        <w:pStyle w:val="TextoNormal"/>
      </w:pPr>
      <w:r>
        <w:t>Sin embargo, ninguno de los condenados estaba amparado por las sucesivas leyes de presupuestos para cometer los delitos. Las leyes no delinquieron, eran neutras en la previsión de transferencias de financiación para gastos de explotación. Quienes delinquieron fueron quienes previeron las trasferencias de financiación de modo innecesario con la idea de que otros tuvieran recursos para destinarlos a fines ajenos a los presupuestados. Así lo afirma el Tribunal Supremo cuando indica que la actuación de desvío de fondos no venía obligada por los presupuestos. O cuando refiere que “no puede afirmarse que [el Parlamento]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w:t>
      </w:r>
    </w:p>
    <w:p w14:paraId="25A2A51C" w14:textId="77777777" w:rsidR="003754FE" w:rsidRDefault="003754FE" w:rsidP="003754FE">
      <w:pPr>
        <w:pStyle w:val="TextoNormal"/>
      </w:pPr>
    </w:p>
    <w:p w14:paraId="55B39325" w14:textId="77777777" w:rsidR="003754FE" w:rsidRDefault="003754FE" w:rsidP="003754FE">
      <w:pPr>
        <w:pStyle w:val="TextoNormal"/>
      </w:pPr>
      <w:r>
        <w:t xml:space="preserve">f) Ese mismo </w:t>
      </w:r>
      <w:r w:rsidRPr="003754FE">
        <w:rPr>
          <w:i/>
        </w:rPr>
        <w:t>mantra</w:t>
      </w:r>
      <w:r>
        <w:t xml:space="preserve"> jurídico de modo inconsistente sirve para distinguir a los efectos de resolver la vulneración del derecho a la legalidad penal entre aquellas modificaciones presupuestarias o disposiciones de fondos según tuvieran o no amparo en el sistema de presupuestación del programa 31L. Como se ha indicado el mencionado programa no determinaba que las trasferencias de financiación con que el mismo se dotaba pudieran destinarse a fines distintos a los de gastos de explotación.</w:t>
      </w:r>
    </w:p>
    <w:p w14:paraId="395D5465" w14:textId="77777777" w:rsidR="003754FE" w:rsidRDefault="003754FE" w:rsidP="003754FE">
      <w:pPr>
        <w:pStyle w:val="TextoNormal"/>
      </w:pPr>
    </w:p>
    <w:p w14:paraId="47723C3E" w14:textId="77777777" w:rsidR="003754FE" w:rsidRDefault="003754FE" w:rsidP="003754FE">
      <w:pPr>
        <w:pStyle w:val="TextoNormal"/>
      </w:pPr>
      <w:r>
        <w:t xml:space="preserve">g) Finalmente, puede considerarse común a todas las sentencias que con el pretexto de enjuiciar la vulneración del derecho a la legalidad penal irrumpen en el ámbito reservado a la jurisdicción ordinaria y suplantan la función del Tribunal Supremo como máximo intérprete de la ley (art. 123 CE) erigiéndose de este modo el Tribunal Constitucional en Tribunal de Casación al interpretar el concepto de “resolución” y de “asunto administrativo”. Y también es común a todas ellas que con un entendimiento indebido del enjuiciamiento que le corresponde al Tribunal Constitucional en relación con el derecho a la presunción de </w:t>
      </w:r>
      <w:r>
        <w:lastRenderedPageBreak/>
        <w:t>inocencia, se apartan de la acrisolada doctrina de este tribunal y revisa, conforme a criterios de calidad o de oportunidad, la valoración probatoria de los tribunales ordinarios para reelaborarla previa selección sesgada del acervo probatorio, convirtiéndose de este modo en tribunal de apelación.</w:t>
      </w:r>
    </w:p>
    <w:p w14:paraId="6ECB6DD5" w14:textId="77777777" w:rsidR="003754FE" w:rsidRDefault="003754FE" w:rsidP="003754FE">
      <w:pPr>
        <w:pStyle w:val="TextoNormal"/>
      </w:pPr>
    </w:p>
    <w:p w14:paraId="5823825F" w14:textId="77777777" w:rsidR="003754FE" w:rsidRDefault="003754FE" w:rsidP="003754FE">
      <w:pPr>
        <w:pStyle w:val="TextoNormal"/>
      </w:pPr>
      <w:r>
        <w:t>h) Como consecuencia de todo ello, las sentencias ocasionan un daño institucional difícilmente reparable pues para anular las condenas recaídas en el asunto de corrupción más importante de la historia reciente de España, rectifican por primera vez desde que el Tribunal Constitucional entró en funcionamiento el criterio del Tribunal Supremo en la interpretación de un elemento recogido en la descripción de la conducta típica, sustituyen la valoración probatoria efectuada por los órganos judiciales y dejan al margen de todo control el proceso de elaboración, modificación y ejecución presupuestaria.</w:t>
      </w:r>
    </w:p>
    <w:p w14:paraId="65495940" w14:textId="77777777" w:rsidR="003754FE" w:rsidRDefault="003754FE" w:rsidP="003754FE">
      <w:pPr>
        <w:pStyle w:val="TextoNormal"/>
      </w:pPr>
    </w:p>
    <w:p w14:paraId="06589114" w14:textId="77777777" w:rsidR="003754FE" w:rsidRDefault="003754FE" w:rsidP="003754FE">
      <w:pPr>
        <w:pStyle w:val="TextoNormal"/>
      </w:pPr>
      <w:r>
        <w:t>2. Concretas razones de la discrepancia respecto de la sentencia que resuelve el recurso de amparo núm. 2361-2023 interpuesto por don Jesús María Rodríguez Román</w:t>
      </w:r>
    </w:p>
    <w:p w14:paraId="54AE6D5D" w14:textId="77777777" w:rsidR="003754FE" w:rsidRDefault="003754FE" w:rsidP="003754FE">
      <w:pPr>
        <w:pStyle w:val="TextoNormal"/>
      </w:pPr>
    </w:p>
    <w:p w14:paraId="4A9F7683" w14:textId="77777777" w:rsidR="003754FE" w:rsidRDefault="003754FE" w:rsidP="003754FE">
      <w:pPr>
        <w:pStyle w:val="TextoNormal"/>
      </w:pPr>
      <w:r>
        <w:t>Frente a los argumentos por los que las sentencias estiman las demandas de amparo sea por vulneración del derecho a la legalidad penal y/o del derecho a la presunción de inocencia, hemos formulado votos particulares (recursos de amparo 6971-2022, 2136-2023, 2348-2023 y 2360-2023) a los que debemos remitirnos atendida la identidad argumental que presenta esta sentencia con las cuatro referidas. No renunciamos con ello a exponer sintéticamente los motivos de nuestro absoluto desencuentro con la sentencia de la que discrepamos ya expresado de modo más extenso en los referidos votos particulares.</w:t>
      </w:r>
    </w:p>
    <w:p w14:paraId="25BC943C" w14:textId="77777777" w:rsidR="003754FE" w:rsidRDefault="003754FE" w:rsidP="003754FE">
      <w:pPr>
        <w:pStyle w:val="TextoNormal"/>
      </w:pPr>
    </w:p>
    <w:p w14:paraId="7244DC92" w14:textId="77777777" w:rsidR="003754FE" w:rsidRDefault="003754FE" w:rsidP="003754FE">
      <w:pPr>
        <w:pStyle w:val="TextoNormal"/>
      </w:pPr>
      <w:r>
        <w:t>A) En relación con las condenas anuladas por delito de prevaricación</w:t>
      </w:r>
    </w:p>
    <w:p w14:paraId="554E8496" w14:textId="77777777" w:rsidR="003754FE" w:rsidRDefault="003754FE" w:rsidP="003754FE">
      <w:pPr>
        <w:pStyle w:val="TextoNormal"/>
      </w:pPr>
    </w:p>
    <w:p w14:paraId="7F5820EB" w14:textId="77777777" w:rsidR="003754FE" w:rsidRDefault="003754FE" w:rsidP="003754FE">
      <w:pPr>
        <w:pStyle w:val="TextoNormal"/>
      </w:pPr>
      <w:r>
        <w:t>a) En primer lugar, debemos afirmar nuevamente que la sentencia rebasa los límites de la jurisdicción constitucional, al irrumpir en el ámbito reservado a la jurisdicción ordinaria y suplantar la función del Tribunal Supremo como máximo intérprete de la ley (art. 123 CE), y que como consecuencia de ello ocasiona un daño institucional difícilmente reparable, al anular las sentencias dictadas en el asunto de corrupción más importante de la historia reciente de España y rectificar por primera vez desde que el Tribunal Constitucional entró en funcionamiento el criterio del Tribunal Supremo en la interpretación de un elemento recogido en la descripción de la conducta típica del delito de prevaricación administrativa: “resolución” en “asunto administrativo” (art. 404 CP).</w:t>
      </w:r>
    </w:p>
    <w:p w14:paraId="0CA5568E" w14:textId="77777777" w:rsidR="003754FE" w:rsidRDefault="003754FE" w:rsidP="003754FE">
      <w:pPr>
        <w:pStyle w:val="TextoNormal"/>
      </w:pPr>
    </w:p>
    <w:p w14:paraId="13A0F6CB" w14:textId="77777777" w:rsidR="003754FE" w:rsidRDefault="003754FE" w:rsidP="003754FE">
      <w:pPr>
        <w:pStyle w:val="TextoNormal"/>
      </w:pPr>
      <w:r>
        <w:t>b) Resulta llamativo que sea en el caso de corrupción política institucionalizada más grave —tanto por el número de altos responsables políticos condenados, el importe de afectación al erario público así como su duración temporal— cuando el Tribunal Constitucional rectifique por primera vez desde que inició su andadura al Tribunal Supremo en la interpretación de un elemento recogido en la descripción de la conducta típica de un delito y desconozca la posición constitucional del Tribunal Supremo como órgano jurisdiccional superior en todos los órdenes y máxima autoridad jurisdiccional en la función de interpretar y aplicar la legislación vigente (arts. 117.3 y 123.1 CE).</w:t>
      </w:r>
    </w:p>
    <w:p w14:paraId="2C0206BB" w14:textId="77777777" w:rsidR="003754FE" w:rsidRDefault="003754FE" w:rsidP="003754FE">
      <w:pPr>
        <w:pStyle w:val="TextoNormal"/>
      </w:pPr>
    </w:p>
    <w:p w14:paraId="3B58776B" w14:textId="77777777" w:rsidR="003754FE" w:rsidRDefault="003754FE" w:rsidP="003754FE">
      <w:pPr>
        <w:pStyle w:val="TextoNormal"/>
      </w:pPr>
      <w:r>
        <w:t xml:space="preserve">c) La sentencia determina la impunidad de los miembros del Gobierno de la Junta de Andalucía. Los declara </w:t>
      </w:r>
      <w:r w:rsidRPr="003754FE">
        <w:rPr>
          <w:i/>
        </w:rPr>
        <w:t>de facto</w:t>
      </w:r>
      <w:r>
        <w:t xml:space="preserve"> irresponsables, extiende sobre ellos el privilegio de inviolabilidad e inmunidad en lo que a la elaboración y aprobación de proyectos, anteproyectos </w:t>
      </w:r>
      <w:r>
        <w:lastRenderedPageBreak/>
        <w:t>de ley o enmiendas presupuestarias se refiere, aun cuando su propósito, acreditado en la sentencia condenatoria, era prever dotaciones presupuestarias ingentes para que otros miembros del Gobierno pudieran malversarlas. Dicha declaración de irresponsabilidad penal desconoce el deber constitucional de interpretación estricta y finalista del privilegio de la inviolabilidad y de la inmunidad —al que no se refiere— y consiguientemente ignora su inviable proyección en términos constitucionales a los miembros del Gobierno por no existir previsión constitucional en tal sentido (STC 9/1990, de 18 de enero, FJ 4).</w:t>
      </w:r>
    </w:p>
    <w:p w14:paraId="6FFB5B5B" w14:textId="77777777" w:rsidR="003754FE" w:rsidRDefault="003754FE" w:rsidP="003754FE">
      <w:pPr>
        <w:pStyle w:val="TextoNormal"/>
      </w:pPr>
    </w:p>
    <w:p w14:paraId="49AC8275" w14:textId="77777777" w:rsidR="003754FE" w:rsidRDefault="003754FE" w:rsidP="003754FE">
      <w:pPr>
        <w:pStyle w:val="TextoNormal"/>
      </w:pPr>
      <w:r>
        <w:t>En un Estado de Derecho pretender situar a los miembros del Gobierno, en cualquier ámbito, por encima de la ley, como resulta de la doctrina apuntalada en la sentencia de la que discrepo, ni está justificado (art. 9.1 y 3 CE) —como acertadamente afirma la STS 749/2022— ni podría estarlo so derrumbe del propio Estado de Derecho.</w:t>
      </w:r>
    </w:p>
    <w:p w14:paraId="2B82FD7A" w14:textId="77777777" w:rsidR="003754FE" w:rsidRDefault="003754FE" w:rsidP="003754FE">
      <w:pPr>
        <w:pStyle w:val="TextoNormal"/>
      </w:pPr>
    </w:p>
    <w:p w14:paraId="3B394DFB" w14:textId="77777777" w:rsidR="003754FE" w:rsidRDefault="003754FE" w:rsidP="003754FE">
      <w:pPr>
        <w:pStyle w:val="TextoNormal"/>
      </w:pPr>
      <w:r>
        <w:t xml:space="preserve">d) Dicha doctrina produce un riesgo sistémico de impunidad de aquellas estrategias presupuestarias, sean proyectos o anteproyectos de ley o modificaciones presupuestarias que, plasmadas en </w:t>
      </w:r>
      <w:r w:rsidRPr="003754FE">
        <w:rPr>
          <w:i/>
        </w:rPr>
        <w:t>resoluciones administrativas</w:t>
      </w:r>
      <w:r>
        <w:t>, son diseñadas con ánimo de preparar un escenario de defraudación de fondos públicos. De modo que cuando tenga su proyección en la protección de intereses financieros de la Unión Europea producirá un incumplimiento de las obligaciones de España con la Unión Europea incompatible con lo dispuesto en el artículo 325.1 TFUE.</w:t>
      </w:r>
    </w:p>
    <w:p w14:paraId="3C02DAEB" w14:textId="77777777" w:rsidR="003754FE" w:rsidRDefault="003754FE" w:rsidP="003754FE">
      <w:pPr>
        <w:pStyle w:val="TextoNormal"/>
      </w:pPr>
    </w:p>
    <w:p w14:paraId="26AB3548" w14:textId="77777777" w:rsidR="003754FE" w:rsidRDefault="003754FE" w:rsidP="003754FE">
      <w:pPr>
        <w:pStyle w:val="TextoNormal"/>
      </w:pPr>
      <w:r>
        <w:t xml:space="preserve">Este precepto obliga por un lado a luchar contra el fraude y contra toda actividad ilegal que afecte a los intereses financieros de la Unión y por otro a prevenir y combatir la corrupción en general y prever la aplicación de sanciones eficaces y disuasorias en caso de que tales infracciones se produzcan (SSTJUE de 21 de diciembre de 2021, </w:t>
      </w:r>
      <w:r w:rsidRPr="003754FE">
        <w:rPr>
          <w:i/>
        </w:rPr>
        <w:t>Euro Box Promotion</w:t>
      </w:r>
      <w:r>
        <w:t xml:space="preserve">, asunto C-357/19, § 184-187 y 193-194, y de 24 de julio de 2023, </w:t>
      </w:r>
      <w:r w:rsidRPr="003754FE">
        <w:rPr>
          <w:i/>
        </w:rPr>
        <w:t>Lin</w:t>
      </w:r>
      <w:r>
        <w:t xml:space="preserve">, asunto C-107/23 PPU, § 83-84, 86, y 91-94; y auto de 7 de noviembre de 2022, de la Sala Sexta del Tribunal de Justicia de la Unión Europa, </w:t>
      </w:r>
      <w:r w:rsidRPr="003754FE">
        <w:rPr>
          <w:i/>
        </w:rPr>
        <w:t>FX y otros</w:t>
      </w:r>
      <w:r>
        <w:t>, asuntos acumulados C 859/19, C 926/19 y C 929/19, § 92).</w:t>
      </w:r>
    </w:p>
    <w:p w14:paraId="3E390DF8" w14:textId="77777777" w:rsidR="003754FE" w:rsidRDefault="003754FE" w:rsidP="003754FE">
      <w:pPr>
        <w:pStyle w:val="TextoNormal"/>
      </w:pPr>
    </w:p>
    <w:p w14:paraId="53A73E6E" w14:textId="77777777" w:rsidR="003754FE" w:rsidRDefault="003754FE" w:rsidP="003754FE">
      <w:pPr>
        <w:pStyle w:val="TextoNormal"/>
      </w:pPr>
      <w:r>
        <w:t>e) Esta sentencia —mediante su remisión a la STC 93/2024, que resuelve el recurso de amparo 6971-2022 interpuesto por doña Magdalena Álvarez Arza— insiste en la creación de un novedoso parámetro de control del proceso de subsunción penal efectuado por los jueces y tribunales: “la perspectiva constitucional”, si bien en esta sentencia no se cita expresamente con ese término se aplica del mismo modo, y lo proyecta a los conceptos penales “resoluciones” y “asuntos administrativos”. Sin ambages, con la cobertura de lo que se acuña como “perspectiva constitucional”, se erige por primera vez desde que el Tribunal Constitucional ejerce su cometido constitucional, en máximo intérprete de la legalidad penal y suplanta también por vez primera desde que ejerce su jurisdicción la función de interpretación de la Sala de lo Penal del Tribunal Supremo acerca de los elementos que integran la parte objetiva del tipo de injusto del delito, socavando la jurisdicción del Tribunal Supremo como órgano jurisdiccional superior en todos los órdenes y máxima autoridad jurisdiccional en la función de interpretar y aplicar la legislación vigente (arts. 117.3 y 123.1 CE).</w:t>
      </w:r>
    </w:p>
    <w:p w14:paraId="37C0C212" w14:textId="77777777" w:rsidR="003754FE" w:rsidRDefault="003754FE" w:rsidP="003754FE">
      <w:pPr>
        <w:pStyle w:val="TextoNormal"/>
      </w:pPr>
    </w:p>
    <w:p w14:paraId="2104D51E" w14:textId="77777777" w:rsidR="003754FE" w:rsidRDefault="003754FE" w:rsidP="003754FE">
      <w:pPr>
        <w:pStyle w:val="TextoNormal"/>
      </w:pPr>
      <w:r>
        <w:t xml:space="preserve">f) El radical viraje en la doctrina del Tribunal Constitucional que representa esta sentencia se evidencia con la lectura, entre otras, de la STC 229/2003, de 18 de diciembre, FJ 16, en la que este tribunal abordó, desde la perspectiva del principio de legalidad penal, la condena no a un político, sino a un magistrado, y no por delito de prevaricación administrativa, </w:t>
      </w:r>
      <w:r>
        <w:lastRenderedPageBreak/>
        <w:t>sino por prevaricación judicial y a cuyo contenido nos hemos referido en el voto particular a la STC 93/2024 y que no vamos a reproducir ahora.</w:t>
      </w:r>
    </w:p>
    <w:p w14:paraId="6AE32CBB" w14:textId="77777777" w:rsidR="003754FE" w:rsidRDefault="003754FE" w:rsidP="003754FE">
      <w:pPr>
        <w:pStyle w:val="TextoNormal"/>
      </w:pPr>
    </w:p>
    <w:p w14:paraId="78C4A5F3" w14:textId="77777777" w:rsidR="003754FE" w:rsidRDefault="003754FE" w:rsidP="003754FE">
      <w:pPr>
        <w:pStyle w:val="TextoNormal"/>
      </w:pPr>
      <w:r>
        <w:t>A dicho voto debemos remitirnos para dejar constancia del exhaustivo y pormenorizado razonamiento de la Sala de lo Penal del Tribunal Supremo que merece el calificativo de impecable. No puede compartirse que la comunidad jurídica, a la que la sentencia de la que discrepamos apela, vaya a cuestionar los criterios metodológicos y axiológicos o los modelos interpretativos que utiliza la sentencia de Tribunal Supremo. ¿Acaso alguien puede pensar que el recurrente podía considerar imprevisible o extravagante que pudiera ser condenado, cuanto menos por un delito de prevaricación administrativa (dictar una resolución arbitraria en un asunto administrativo a sabiendas de su injusticia) cuando aprobó y sometió a aprobación del Gobierno y posteriormente, con el resto de los miembros del Gobierno, a aprobación parlamentaria los anteproyectos y proyectos de presupuestos y participó en la aprobación de las modificaciones presupuestarias, con la exclusiva intención probada de dotar de ingentes e injustificadas cantidades en concepto de trasferencias de financiación al IFA, a sabiendas y con la intención de que otros condenados pudieran desviar tales fondos del destino previsto presupuestariamente y disponer ilícita y libérrimamente en concepto de “ayudas sociolaborales”, facilitando así evitar los controles establecidos en la ley para la concesión de subvenciones?</w:t>
      </w:r>
    </w:p>
    <w:p w14:paraId="6D41ACA3" w14:textId="77777777" w:rsidR="003754FE" w:rsidRDefault="003754FE" w:rsidP="003754FE">
      <w:pPr>
        <w:pStyle w:val="TextoNormal"/>
      </w:pPr>
    </w:p>
    <w:p w14:paraId="36C8819F" w14:textId="77777777" w:rsidR="003754FE" w:rsidRDefault="003754FE" w:rsidP="003754FE">
      <w:pPr>
        <w:pStyle w:val="TextoNormal"/>
      </w:pPr>
      <w:r>
        <w:t xml:space="preserve">g) Puede afirmarse con rotundidad que el Tribunal Constitucional ha sustituido al Tribunal Supremo y se ha erigido en tercera instancia, en máximo intérprete del concepto legal “resolución” que contiene el art. 404 CP, para considerar de forma apodíctica que las resoluciones que carecen del carácter de definitivas o que no producen efectos </w:t>
      </w:r>
      <w:r w:rsidRPr="003754FE">
        <w:rPr>
          <w:i/>
        </w:rPr>
        <w:t>ad extra</w:t>
      </w:r>
      <w:r>
        <w:t xml:space="preserve"> no integran el tipo penal. De este modo efectúa la interpretación última del tipo sancionador que desplaza la jurisprudencia del Tribunal Supremo y la propia interpretación de la naturaleza del delito y de los fines que lo justifican. La sentencia no ha dudado para ello en silenciar la jurisprudencia del propio Tribunal Supremo plasmada en la completa argumentación de la sentencia impugnada, por la que el máximo intérprete ha entendido tradicionalmente que resolución administrativa es la que no se dicta en un procedimiento legislativo ni judicial.</w:t>
      </w:r>
    </w:p>
    <w:p w14:paraId="2F794E07" w14:textId="77777777" w:rsidR="003754FE" w:rsidRDefault="003754FE" w:rsidP="003754FE">
      <w:pPr>
        <w:pStyle w:val="TextoNormal"/>
      </w:pPr>
    </w:p>
    <w:p w14:paraId="1BA5C37D" w14:textId="77777777" w:rsidR="003754FE" w:rsidRDefault="003754FE" w:rsidP="003754FE">
      <w:pPr>
        <w:pStyle w:val="TextoNormal"/>
      </w:pPr>
      <w:r>
        <w:t>h) Como expusimos también en el voto particular a la STC 93/2024, el argumento por el que la sentencia entiende que la STS 749/2022 no tomó en consideración que las leyes de presupuestos fueron aprobadas por el Parlamento y con ello desconocieron la centralidad de este en el Estado de Derecho es irrazonable. Con dicho argumento la sentencia somete la responsabilidad penal por el delito consumado de prevaricación administrativa —pues ya ha lesionado el bien jurídico que protege— a condición resolutoria —la aprobación o no de la ley— por lo que introduce un factor de incertidumbre e imprevisibilidad contrario a la certeza en la que se asienta el principio de legalidad penal que dice aplicar.</w:t>
      </w:r>
    </w:p>
    <w:p w14:paraId="351EAF36" w14:textId="77777777" w:rsidR="003754FE" w:rsidRDefault="003754FE" w:rsidP="003754FE">
      <w:pPr>
        <w:pStyle w:val="TextoNormal"/>
      </w:pPr>
    </w:p>
    <w:p w14:paraId="4DEAA6E5" w14:textId="77777777" w:rsidR="003754FE" w:rsidRDefault="003754FE" w:rsidP="003754FE">
      <w:pPr>
        <w:pStyle w:val="TextoNormal"/>
      </w:pPr>
      <w:r>
        <w:t xml:space="preserve">i) También manifestamos en el indicado voto particular que era incomprensible descartar que los proyectos y anteproyectos de leyes fueran resoluciones dictadas en asunto administrativo con el argumento de que la función de iniciativa legislativa del Gobierno no es controlable por ningún órgano judicial, pues suponía personificar o encarnar al Gobierno de la Junta de Andalucía en la figura de un consejero. Ni un consejero, ni un ministro, tienen atribuida la función de iniciativa legislativa, ni la función de dirección política que le corresponde al Gobierno como órgano colegiado. El argumento empleado desconoce el coherente razonamiento del Tribunal Supremo. No se enfrenta al mismo. La sentencia del </w:t>
      </w:r>
      <w:r>
        <w:lastRenderedPageBreak/>
        <w:t>Tribunal Supremo recuerda que el momento inicial del proceso legislativo es la recepción del proyecto de ley por el Parlamento (art. 108 de su Reglamento) y olvida que no se atribuye la iniciativa legislativa a los consejeros y viceconsejeros sino “1. Al Consejo de Gobierno” (art. 108 del Reglamento).</w:t>
      </w:r>
    </w:p>
    <w:p w14:paraId="3F431ABE" w14:textId="77777777" w:rsidR="003754FE" w:rsidRDefault="003754FE" w:rsidP="003754FE">
      <w:pPr>
        <w:pStyle w:val="TextoNormal"/>
      </w:pPr>
    </w:p>
    <w:p w14:paraId="5B4B98B6" w14:textId="77777777" w:rsidR="003754FE" w:rsidRDefault="003754FE" w:rsidP="003754FE">
      <w:pPr>
        <w:pStyle w:val="TextoNormal"/>
      </w:pPr>
      <w:r>
        <w:t>j) Finalmente, en relación con la exoneración al recurrente por las condenas referentes al delito de prevaricación, insistimos en nuestra inquietud y preocupación por que en un procedimiento penal de tanta relevancia perezca uno de los principios vertebradores del Estatuto Orgánico del Ministerio Fiscal: su “unidad de actuación” (art. 2.1 del citado Estatuto), pues el Ministerio Fiscal ahora refuta, como contraria al principio de legalidad penal (art. 25.1 CE), la condena por delito de prevaricación administrativa por la participación del recurrente en la aprobación de los anteproyectos de presupuestos o en las modificaciones presupuestarias, pese a que otros fiscales previamente habían formulado acusación por tales delitos y solicitado al Tribunal Supremo que confirmara dichas condenas por no vulnerar el derecho de legalidad del recurrente.</w:t>
      </w:r>
    </w:p>
    <w:p w14:paraId="53F0F82A" w14:textId="77777777" w:rsidR="003754FE" w:rsidRDefault="003754FE" w:rsidP="003754FE">
      <w:pPr>
        <w:pStyle w:val="TextoNormal"/>
      </w:pPr>
    </w:p>
    <w:p w14:paraId="64F15449" w14:textId="77777777" w:rsidR="003754FE" w:rsidRDefault="003754FE" w:rsidP="003754FE">
      <w:pPr>
        <w:pStyle w:val="TextoNormal"/>
      </w:pPr>
      <w:r>
        <w:t xml:space="preserve">Dicha preocupación se agudiza al leer el escrito de alegaciones del Ministerio Fiscal. En el mismo, es el propio fiscal que formula las alegaciones el que alude a dicho principio constitucional, si bien para expresar su unidad de respuesta, pero solo respecto al criterio mantenido en las alegaciones formuladas en relación con las otras demandas de amparo presentadas por los </w:t>
      </w:r>
      <w:r w:rsidRPr="003754FE">
        <w:rPr>
          <w:i/>
        </w:rPr>
        <w:t>otros consejeros de la Junta de Andalucía</w:t>
      </w:r>
      <w:r>
        <w:t xml:space="preserve"> (pág. 73 de sus alegaciones), pero no en relación con el previamente sostenido por los fiscales que formularon la acusación y solicitaron en el recurso de casación que se mantuvieran tales condenas de prevaricación al entender, entonces, que no se vulneraba el derecho de legalidad penal.</w:t>
      </w:r>
    </w:p>
    <w:p w14:paraId="15F471AC" w14:textId="77777777" w:rsidR="003754FE" w:rsidRDefault="003754FE" w:rsidP="003754FE">
      <w:pPr>
        <w:pStyle w:val="TextoNormal"/>
      </w:pPr>
    </w:p>
    <w:p w14:paraId="30D1C4AC" w14:textId="77777777" w:rsidR="003754FE" w:rsidRDefault="003754FE" w:rsidP="003754FE">
      <w:pPr>
        <w:pStyle w:val="TextoNormal"/>
      </w:pPr>
      <w:r>
        <w:t>B) Condenas anuladas por el delito continuado de malversación de caudales públicos</w:t>
      </w:r>
    </w:p>
    <w:p w14:paraId="1E689272" w14:textId="77777777" w:rsidR="003754FE" w:rsidRDefault="003754FE" w:rsidP="003754FE">
      <w:pPr>
        <w:pStyle w:val="TextoNormal"/>
      </w:pPr>
    </w:p>
    <w:p w14:paraId="46E5370C" w14:textId="77777777" w:rsidR="003754FE" w:rsidRDefault="003754FE" w:rsidP="003754FE">
      <w:pPr>
        <w:pStyle w:val="TextoNormal"/>
      </w:pPr>
      <w:r>
        <w:t xml:space="preserve">1. </w:t>
      </w:r>
      <w:r w:rsidRPr="003754FE">
        <w:rPr>
          <w:i/>
        </w:rPr>
        <w:t>Principio de legalidad (fundamento jurídico 5). La sentencia de la que discrepamos tergiversa el contenido del motivo primero de la demanda de amparo y la alegación del Ministerio Fiscal</w:t>
      </w:r>
    </w:p>
    <w:p w14:paraId="08561670" w14:textId="77777777" w:rsidR="003754FE" w:rsidRDefault="003754FE" w:rsidP="003754FE">
      <w:pPr>
        <w:pStyle w:val="TextoNormal"/>
      </w:pPr>
    </w:p>
    <w:p w14:paraId="22F82062" w14:textId="77777777" w:rsidR="003754FE" w:rsidRDefault="003754FE" w:rsidP="003754FE">
      <w:pPr>
        <w:pStyle w:val="TextoNormal"/>
      </w:pPr>
      <w:r>
        <w:t>a) Es una queja reiterada en los sucesivos votos que hemos realizado frente a los recursos de amparo interpuestos en la conocida como causa de los “ERE” [ver en el mismo sentido el voto particular a la STC 96/2024, de 3 de julio, punto B) 1]. Se constata nuevamente que la sentencia al abordar en este caso el motivo primero del recurso de amparo altera su contenido para reconducirlo al principio de legalidad penal y de este modo conceder el amparo y exonerar de responsabilidad penal de buena parte de los delitos de malversación de caudales públicos al que fuera consejero de la Junta de Andalucía. Nada tiene que ver lo que don Jesús María Rodríguez Román alega en el motivo primero de su demanda (págs. 8 a 38) con lo que la sentencia de la que discrepamos dice que alega en el primer párrafo del fundamento jurídico 5.1. El demandante no plantea la vulneración del principio de legalidad penal en relación con la condena por delito continuado de malversación, solo la plantea en relación con la condena por el delito continuado de prevaricación.</w:t>
      </w:r>
    </w:p>
    <w:p w14:paraId="0E72AAE6" w14:textId="77777777" w:rsidR="003754FE" w:rsidRDefault="003754FE" w:rsidP="003754FE">
      <w:pPr>
        <w:pStyle w:val="TextoNormal"/>
      </w:pPr>
    </w:p>
    <w:p w14:paraId="22CFF432" w14:textId="77777777" w:rsidR="003754FE" w:rsidRDefault="003754FE" w:rsidP="003754FE">
      <w:pPr>
        <w:pStyle w:val="TextoNormal"/>
      </w:pPr>
      <w:r>
        <w:t>b) Produce extrañeza que modifique las alegaciones del Ministerio Fiscal para que se ajusten al nuevo motivo primero de la demanda de amparo construido en la sentencia. Ni el demandante ni el Ministerio Fiscal, dicen lo que la sentencia indica que dicen en relación con el motivo primero de la demanda.</w:t>
      </w:r>
    </w:p>
    <w:p w14:paraId="59E0DE1A" w14:textId="77777777" w:rsidR="003754FE" w:rsidRDefault="003754FE" w:rsidP="003754FE">
      <w:pPr>
        <w:pStyle w:val="TextoNormal"/>
      </w:pPr>
    </w:p>
    <w:p w14:paraId="04CB6EFF" w14:textId="77777777" w:rsidR="003754FE" w:rsidRDefault="003754FE" w:rsidP="003754FE">
      <w:pPr>
        <w:pStyle w:val="TextoNormal"/>
      </w:pPr>
      <w:r>
        <w:t>c) El motivo primero de la demanda de amparo realmente se aborda en el fundamento jurídico 6 de la sentencia del Tribunal Constitucional bajo el prisma del derecho a la presunción de inocencia que es lo que corresponde a su contenido. No se formula queja subsumible en el principio de legalidad penal en el motivo primero de la demanda. La propia sentencia lo reconoce cuando aborda el motivo sexto en su fundamento jurídico 6 como vulneración del derecho a la presunción de inocencia. La sentencia de la que discrepamos añade a la demanda la vulneración del principio de legalidad penal en relación con la malversación de caudales públicos lo que es absolutamente incomprensible. De este modo el recurso de amparo pasa a tener un motivo más no contemplado en la demanda.</w:t>
      </w:r>
    </w:p>
    <w:p w14:paraId="10EB0DD5" w14:textId="77777777" w:rsidR="003754FE" w:rsidRDefault="003754FE" w:rsidP="003754FE">
      <w:pPr>
        <w:pStyle w:val="TextoNormal"/>
      </w:pPr>
    </w:p>
    <w:p w14:paraId="3ABC630B" w14:textId="77777777" w:rsidR="003754FE" w:rsidRDefault="003754FE" w:rsidP="003754FE">
      <w:pPr>
        <w:pStyle w:val="TextoNormal"/>
      </w:pPr>
      <w:r>
        <w:t>Examinamos a continuación el contraste entre el contenido de la demanda y el que le atribuye la sentencia de la que discrepamos en el fundamento jurídico 6.1:</w:t>
      </w:r>
    </w:p>
    <w:p w14:paraId="247176C1" w14:textId="77777777" w:rsidR="003754FE" w:rsidRDefault="003754FE" w:rsidP="003754FE">
      <w:pPr>
        <w:pStyle w:val="TextoNormal"/>
      </w:pPr>
    </w:p>
    <w:p w14:paraId="16290C54" w14:textId="77777777" w:rsidR="003754FE" w:rsidRDefault="003754FE" w:rsidP="003754FE">
      <w:pPr>
        <w:pStyle w:val="TextoNormal"/>
      </w:pPr>
      <w:r>
        <w:t>(i) Síntesis del contenido real del motivo sexto de la demanda de amparo</w:t>
      </w:r>
    </w:p>
    <w:p w14:paraId="5B0A018F" w14:textId="77777777" w:rsidR="003754FE" w:rsidRDefault="003754FE" w:rsidP="003754FE">
      <w:pPr>
        <w:pStyle w:val="TextoNormal"/>
      </w:pPr>
    </w:p>
    <w:p w14:paraId="5F4FF45E" w14:textId="77777777" w:rsidR="003754FE" w:rsidRDefault="003754FE" w:rsidP="003754FE">
      <w:pPr>
        <w:pStyle w:val="TextoNormal"/>
      </w:pPr>
      <w:r>
        <w:t>La gravedad de las afirmaciones efectuadas obliga a que efectuemos la propia síntesis del contenido de la demanda de amparo.</w:t>
      </w:r>
    </w:p>
    <w:p w14:paraId="5E48CC98" w14:textId="77777777" w:rsidR="003754FE" w:rsidRDefault="003754FE" w:rsidP="003754FE">
      <w:pPr>
        <w:pStyle w:val="TextoNormal"/>
      </w:pPr>
    </w:p>
    <w:p w14:paraId="0104EFFB" w14:textId="77777777" w:rsidR="003754FE" w:rsidRDefault="003754FE" w:rsidP="003754FE">
      <w:pPr>
        <w:pStyle w:val="TextoNormal"/>
      </w:pPr>
      <w:r>
        <w:t>El demandante intitula el referido motivo del siguiente modo: “Primer motivo.- Vulneración del derecho a la tutela judicial efectiva (art. 24.1 CE y 6 CEDH), a un proceso público con todas las garantías incluyendo la presunción de inocencia (art. 24.2 CE y 6 CEDH) y vulneración del principio de legalidad penal (art. 25 CE y 7 CEDH). Negativa manifiesta del deber de acatamiento de la doctrina del Tribunal Constitucional en materia de condena por prueba indiciaria”.</w:t>
      </w:r>
    </w:p>
    <w:p w14:paraId="3885A636" w14:textId="77777777" w:rsidR="003754FE" w:rsidRDefault="003754FE" w:rsidP="003754FE">
      <w:pPr>
        <w:pStyle w:val="TextoNormal"/>
      </w:pPr>
    </w:p>
    <w:p w14:paraId="44D9EE7D" w14:textId="77777777" w:rsidR="003754FE" w:rsidRDefault="003754FE" w:rsidP="003754FE">
      <w:pPr>
        <w:pStyle w:val="TextoNormal"/>
      </w:pPr>
      <w:r>
        <w:t>Indica que “[e]l caso que se somete al criterio del Tribunal Constitucional es un supuesto sin precedentes de vulneración poliédrica del derecho a la presunción de inocencia”. Sostiene que “[l]a sentencia de la Audiencia Provincial de Sevilla, y la del Tribunal Supremo esconden, detrás de un relato complejo y alambicado, la inexistencia de pruebas (directas o indiciarias) de la comisión de un hecho delictivo subsumible en el tipo de malversación”. Desglosa este motivo en tres apartados:</w:t>
      </w:r>
    </w:p>
    <w:p w14:paraId="2D8D7042" w14:textId="77777777" w:rsidR="003754FE" w:rsidRDefault="003754FE" w:rsidP="003754FE">
      <w:pPr>
        <w:pStyle w:val="TextoNormal"/>
      </w:pPr>
    </w:p>
    <w:p w14:paraId="0F15793C" w14:textId="77777777" w:rsidR="003754FE" w:rsidRDefault="003754FE" w:rsidP="003754FE">
      <w:pPr>
        <w:pStyle w:val="TextoNormal"/>
      </w:pPr>
      <w:r>
        <w:t xml:space="preserve">-Indeterminación e irrazonabilidad de la prueba indiciara respecto del tratamiento de la autoría en el delito de malversación: presunción de participación y castigo por hechos ajenos. En la sentencia de la Audiencia Provincial no existe el más leve razonamiento que permita justificar dicha coautoría, pero establece con claridad que eran coautores sin que hubiera “prueba ni indicio alguno de que existiera tal concertación”, incurriendo en una inadmisible presunción de participación. La sentencia del Tribunal Supremo advirtió que no existe el más leve atisbo de prueba, ni directa ni indiciaria, de tal concertación, pero cambia el título de imputación, y entiende que existe autoría directa e individual de cada condenado y no solo reincide en la vulneración generada por la Audiencia Provincial de Sevilla, cuando </w:t>
      </w:r>
      <w:r w:rsidRPr="003754FE">
        <w:rPr>
          <w:i/>
        </w:rPr>
        <w:t>presume</w:t>
      </w:r>
      <w:r>
        <w:t xml:space="preserve"> la participación del recurrente en los hechos objeto del procedimiento. Sino que va más allá, </w:t>
      </w:r>
      <w:r w:rsidRPr="003754FE">
        <w:rPr>
          <w:i/>
        </w:rPr>
        <w:t>novando</w:t>
      </w:r>
      <w:r>
        <w:t xml:space="preserve"> la interpretación de los hechos probados en contra del sentido atribuido por los hechos probados en la sentencia de instancia.</w:t>
      </w:r>
    </w:p>
    <w:p w14:paraId="25020AFF" w14:textId="77777777" w:rsidR="003754FE" w:rsidRDefault="003754FE" w:rsidP="003754FE">
      <w:pPr>
        <w:pStyle w:val="TextoNormal"/>
      </w:pPr>
    </w:p>
    <w:p w14:paraId="1F46FD01" w14:textId="77777777" w:rsidR="003754FE" w:rsidRDefault="003754FE" w:rsidP="003754FE">
      <w:pPr>
        <w:pStyle w:val="TextoNormal"/>
      </w:pPr>
      <w:r>
        <w:t xml:space="preserve">-Indeterminación e irrazonabilidad de la prueba indiciara respecto de la conducta constitutiva de malversación cometida en comisión por omisión. Considera que existe en la </w:t>
      </w:r>
      <w:r>
        <w:lastRenderedPageBreak/>
        <w:t>sentencia de la Audiencia Provincial oscuridad sobre los hechos que constituyen prevaricación y los que constituyen malversación. Añade que el Tribunal Supremo parece asumir la imposible distinción de los mismos y guarda silencio sobre tal distinción. El Tribunal Supremo sí es claro a la hora de considerar que la conducta imputable al demandante y al resto de condenados ajenos a la Consejería de Empleo es omisiva, y más en concreto, en comisión por omisión, pero el único indicio del que se deduce la conducta omisiva son las genéricas competencias de los distintos condenados. Pero sucede que esta deducción tiene por base una supuesta capacidad legal de impedir la aprobación y pago de ayudas que no se exterioriza ni en la sentencia de instancia ni tampoco en la de casación. “Esta ausencia de razonamientos respecto de la modalidad de comisión por omisión imputada a mi mandante, así como la falta absoluta de tratamiento de la supuesta posición de garante, es puesta de manifiesto por esta parte en su incidente de nulidad planteado ante la sentencia del Tribunal Supremo”.</w:t>
      </w:r>
    </w:p>
    <w:p w14:paraId="15F1B179" w14:textId="77777777" w:rsidR="003754FE" w:rsidRDefault="003754FE" w:rsidP="003754FE">
      <w:pPr>
        <w:pStyle w:val="TextoNormal"/>
      </w:pPr>
    </w:p>
    <w:p w14:paraId="460670A9" w14:textId="77777777" w:rsidR="003754FE" w:rsidRDefault="003754FE" w:rsidP="003754FE">
      <w:pPr>
        <w:pStyle w:val="TextoNormal"/>
      </w:pPr>
      <w:r>
        <w:t>-Indeterminación e irrazonabilidad de la prueba indiciaria del elemento subjetivo del delito de malversación. Sostiene que como con la autoría (y con la comisión por omisión imputada) al valorar el elemento subjetivo del tipo de malversación con el que se castiga al recurrente, chocamos frontalmente con la inexistencia de prueba directa del mismo. Afirma que la sentencia de la Audiencia Provincial sostiene que el título de imputación subjetiva respecto de los mismos era el de dolo eventual, pero no refiere el proceso racional que le lleva a considerar que exista ese dolo eventual, presume la existencia de un dolo eventual, sin más. La sentencia del Tribunal Supremo omite el análisis sistemático y ordenado de la parte subjetiva del tipo. Frente a la sentencia de instancia, la sentencia de casación incorporó una interpretación de los hechos y convicciones ajenos a la sentencia de instancia Y, donde la sentencia de instancia veía una conducta prevaricadora con dolo directo y una conducta malversadora con dolo eventual, el Tribunal Supremo entiende que todos los condenados prevaricadores actuaron con conciencia y voluntad de cometer hechos con una finalidad ilícita más allá de la propia prevaricación: prevaricaban para malversar. Señala que “[e]l voto particular, a cuyos razonamientos nos sumamos y hacemos nuestros, señala con claridad meridiana (pág. 1192), que esta elaboración de la sentencia de casación rebasa e</w:t>
      </w:r>
      <w:r w:rsidRPr="003754FE">
        <w:rPr>
          <w:i/>
        </w:rPr>
        <w:t>l techo de la convicción probator</w:t>
      </w:r>
      <w:r>
        <w:t>ia que fija la sentencia de instancia”.</w:t>
      </w:r>
    </w:p>
    <w:p w14:paraId="6DCA9F31" w14:textId="77777777" w:rsidR="003754FE" w:rsidRDefault="003754FE" w:rsidP="003754FE">
      <w:pPr>
        <w:pStyle w:val="TextoNormal"/>
      </w:pPr>
    </w:p>
    <w:p w14:paraId="63E71888" w14:textId="77777777" w:rsidR="003754FE" w:rsidRDefault="003754FE" w:rsidP="003754FE">
      <w:pPr>
        <w:pStyle w:val="TextoNormal"/>
      </w:pPr>
      <w:r>
        <w:t>Debe indicarse que es en el antecedente 3 a) de la sentencia donde sí se recoge una síntesis más fiel del contenido del motivo primero de la demanda de amparo.</w:t>
      </w:r>
    </w:p>
    <w:p w14:paraId="5EE2D235" w14:textId="77777777" w:rsidR="003754FE" w:rsidRDefault="003754FE" w:rsidP="003754FE">
      <w:pPr>
        <w:pStyle w:val="TextoNormal"/>
      </w:pPr>
    </w:p>
    <w:p w14:paraId="2AF24A9E" w14:textId="77777777" w:rsidR="003754FE" w:rsidRDefault="003754FE" w:rsidP="003754FE">
      <w:pPr>
        <w:pStyle w:val="TextoNormal"/>
      </w:pPr>
      <w:r>
        <w:t>(ii) Exposición de la queja del recurrente que se efectúa en el fundamento jurídico 5.1 de la sentencia</w:t>
      </w:r>
    </w:p>
    <w:p w14:paraId="2E7D4649" w14:textId="77777777" w:rsidR="003754FE" w:rsidRDefault="003754FE" w:rsidP="003754FE">
      <w:pPr>
        <w:pStyle w:val="TextoNormal"/>
      </w:pPr>
    </w:p>
    <w:p w14:paraId="45174804" w14:textId="77777777" w:rsidR="003754FE" w:rsidRDefault="003754FE" w:rsidP="003754FE">
      <w:pPr>
        <w:pStyle w:val="TextoNormal"/>
      </w:pPr>
      <w:r>
        <w:t xml:space="preserve">En el fundamento jurídico 5.1 de la sentencia de la que discrepamos se indica que al desarrollar argumentalmente el primer motivo de la demanda “el actor despliega alegaciones mayoritariamente dirigidas a cuestionar, desde la óptica del derecho a la presunción de inocencia, la valoración probatoria realizada por las resoluciones impugnadas” y matiza, “aporta, no obstante, una argumentación concreta que ya fue planteada como ‘infracción de ley’ en el recurso de casación (motivo octavo) y que cuestiona la subsunción de los hechos declarados probados en el tipo penal del art. 432.1 CP, alegación esta que se inserta en el ámbito propio del derecho fundamental del art. 25.1 CE”. Justifica dicha manifestación —que necesita del apoyo del recurso de casación— al indicar que “sostiene, concretamente, el recurrente que las sentencias impugnadas realizan una subsunción en el tipo penal del art. </w:t>
      </w:r>
      <w:r>
        <w:lastRenderedPageBreak/>
        <w:t>432 CP que no distingue adecuadamente las conductas malversadoras de las que previamente han sido calificadas como constitutivas de delito de prevaricación administrativa”.</w:t>
      </w:r>
    </w:p>
    <w:p w14:paraId="1337B80B" w14:textId="77777777" w:rsidR="003754FE" w:rsidRDefault="003754FE" w:rsidP="003754FE">
      <w:pPr>
        <w:pStyle w:val="TextoNormal"/>
      </w:pPr>
    </w:p>
    <w:p w14:paraId="1616931C" w14:textId="77777777" w:rsidR="003754FE" w:rsidRDefault="003754FE" w:rsidP="003754FE">
      <w:pPr>
        <w:pStyle w:val="TextoNormal"/>
      </w:pPr>
      <w:r>
        <w:t>(iii) Conclusión: Es improcedente la totalidad del fundamento jurídico cinco de la sentencia.</w:t>
      </w:r>
    </w:p>
    <w:p w14:paraId="228A0257" w14:textId="77777777" w:rsidR="003754FE" w:rsidRDefault="003754FE" w:rsidP="003754FE">
      <w:pPr>
        <w:pStyle w:val="TextoNormal"/>
      </w:pPr>
    </w:p>
    <w:p w14:paraId="64125843" w14:textId="77777777" w:rsidR="003754FE" w:rsidRDefault="003754FE" w:rsidP="003754FE">
      <w:pPr>
        <w:pStyle w:val="TextoNormal"/>
      </w:pPr>
      <w:r>
        <w:t>Se aborda en la sentencia (fundamento jurídico 5) una inexistente vulneración del derecho a la legalidad penal en relación con el delito de malversación que no se contempla en el primer motivo de la demanda y se modifica el posicionamiento real del fiscal en relación con ese motivo, para justificar de este modo la existencia del fundamento jurídico 5 relativo a la vulneración del derecho a la legalidad penal en relación con el delito de malversación.</w:t>
      </w:r>
    </w:p>
    <w:p w14:paraId="20EE7C1B" w14:textId="77777777" w:rsidR="003754FE" w:rsidRDefault="003754FE" w:rsidP="003754FE">
      <w:pPr>
        <w:pStyle w:val="TextoNormal"/>
      </w:pPr>
    </w:p>
    <w:p w14:paraId="78279779" w14:textId="77777777" w:rsidR="003754FE" w:rsidRDefault="003754FE" w:rsidP="003754FE">
      <w:pPr>
        <w:pStyle w:val="TextoNormal"/>
      </w:pPr>
      <w:r>
        <w:t>El contenido del motivo primero es claro y no plantea, como se ha expuesto, un problema de legalidad penal sino relativo a la presunción de inocencia y el derecho a la tutela judicial efectiva por inexistencia de pruebas o por ausencia de motivación, como así es posteriormente abordado en la sentencia que estima el recurso de amparo en el fundamento jurídico 6.</w:t>
      </w:r>
    </w:p>
    <w:p w14:paraId="4D02169B" w14:textId="77777777" w:rsidR="003754FE" w:rsidRDefault="003754FE" w:rsidP="003754FE">
      <w:pPr>
        <w:pStyle w:val="TextoNormal"/>
      </w:pPr>
    </w:p>
    <w:p w14:paraId="600C3443" w14:textId="77777777" w:rsidR="003754FE" w:rsidRDefault="003754FE" w:rsidP="003754FE">
      <w:pPr>
        <w:pStyle w:val="TextoNormal"/>
      </w:pPr>
      <w:r>
        <w:t>Es inadmisible seleccionar alguna frase de dicho motivo, cuyo contenido es claro, y tras relacionarlo con lo alegado en el recurso de casación, concluir que se invoca la vulneración del principio de legalidad penal en relación con la condena por el delito de malversación.</w:t>
      </w:r>
    </w:p>
    <w:p w14:paraId="1337BBBA" w14:textId="77777777" w:rsidR="003754FE" w:rsidRDefault="003754FE" w:rsidP="003754FE">
      <w:pPr>
        <w:pStyle w:val="TextoNormal"/>
      </w:pPr>
    </w:p>
    <w:p w14:paraId="0A70B526" w14:textId="77777777" w:rsidR="003754FE" w:rsidRDefault="003754FE" w:rsidP="003754FE">
      <w:pPr>
        <w:pStyle w:val="TextoNormal"/>
      </w:pPr>
      <w:r>
        <w:t>No es admisible sacar de contexto una frase en la que el recurrente indica que la sentencia no distingue adecuadamente las conductas malversadoras de las que previamente han sido calificadas como constitutivas de delito de prevaricación, para indicar que invoca la vulneración del principio de legalidad penal.</w:t>
      </w:r>
    </w:p>
    <w:p w14:paraId="1D201E22" w14:textId="77777777" w:rsidR="003754FE" w:rsidRDefault="003754FE" w:rsidP="003754FE">
      <w:pPr>
        <w:pStyle w:val="TextoNormal"/>
      </w:pPr>
    </w:p>
    <w:p w14:paraId="49121D38" w14:textId="77777777" w:rsidR="003754FE" w:rsidRDefault="003754FE" w:rsidP="003754FE">
      <w:pPr>
        <w:pStyle w:val="TextoNormal"/>
      </w:pPr>
      <w:r>
        <w:t>Tan es así que cuando la sentencia tiene que enjuiciar esa eventual falta de distinción entre conductas prevaricadoras y malversadoras, supuestamente en el fundamento jurídico 5.3, nada dice sobre tal confusión y se limita a aplicar la estandarizada motivación que proyecta en otras sentencias al enjuiciar la vulneración de la legalidad penal en relación con el delito de malversación que nada tiene que ver con la aludida confusión entre conductas prevaricadoras y malversadoras.</w:t>
      </w:r>
    </w:p>
    <w:p w14:paraId="7CFCCC96" w14:textId="77777777" w:rsidR="003754FE" w:rsidRDefault="003754FE" w:rsidP="003754FE">
      <w:pPr>
        <w:pStyle w:val="TextoNormal"/>
      </w:pPr>
    </w:p>
    <w:p w14:paraId="2715606E" w14:textId="77777777" w:rsidR="003754FE" w:rsidRDefault="003754FE" w:rsidP="003754FE">
      <w:pPr>
        <w:pStyle w:val="TextoNormal"/>
      </w:pPr>
      <w:r>
        <w:t>Confirma lo anterior lo alegado por el Ministerio Fiscal al calificar los derechos que resultan invocados en el primer motivo de la demanda. Indica que:</w:t>
      </w:r>
    </w:p>
    <w:p w14:paraId="65989C79" w14:textId="77777777" w:rsidR="003754FE" w:rsidRDefault="003754FE" w:rsidP="003754FE">
      <w:pPr>
        <w:pStyle w:val="TextoNormal"/>
      </w:pPr>
    </w:p>
    <w:p w14:paraId="4EB82FE0" w14:textId="77777777" w:rsidR="003754FE" w:rsidRDefault="003754FE" w:rsidP="003754FE">
      <w:pPr>
        <w:pStyle w:val="TextoNormal"/>
      </w:pPr>
      <w:r>
        <w:t xml:space="preserve">“El fiscal considera que, si bien el demandante alega en este motivo de forma conjunta, la vulneración de los derechos fundamentales: a la tutela judicial efectiva (art. 24. 1 CE), a un proceso público con todas las garantías (art. 24.2 CE), a la presunción de inocencia (art. 24.2 CE) y a la legalidad penal (art. 25 CE), como se puede ver en el encabezado de cada uno de los tres apartados en los que la demanda desglosa este primer motivo, lo que está alegando es la falta de prueba suficiente para condenarle por el delito de malversación, pues considera que la prueba sería solo de indicios y que es indeterminada e irracional la valoración de la prueba indiciaria sobre diferentes elementos de este delito. Por tanto, el derecho cuya vulneración se imputa a las resoluciones impugnadas en este motivo es fundamentalmente el de presunción de inocencia. Es cierto que alguna de las alegaciones concretas que se hacen en el desarrollo del motivo, en cuanto se refieren a aspectos jurídicos, pueden </w:t>
      </w:r>
      <w:r>
        <w:lastRenderedPageBreak/>
        <w:t>encajarse en el derecho a la tutela judicial efectiva. En todo caso no se estima que haya alegaciones que impliquen una vulneración del derecho a la legalidad penal, pues incluso cuando alega expresamente la vulneración de este derecho por hacerle responder por hechos ajenos, el fundamento de la alegación es que no hay prueba de que haya cometido hechos que se le imputan que son subsumibles en el delito de malversación, —por lo cual estima que hay una presunción de participación y una condena por hechos ajenos—, por lo que el fiscal considera que es una alegación que tiene mejor encaje como vulneración del derecho a la presunción de inocencia” (pag. 8 de sus alegaciones).</w:t>
      </w:r>
    </w:p>
    <w:p w14:paraId="3BEF9573" w14:textId="77777777" w:rsidR="003754FE" w:rsidRDefault="003754FE" w:rsidP="003754FE">
      <w:pPr>
        <w:pStyle w:val="TextoNormal"/>
      </w:pPr>
    </w:p>
    <w:p w14:paraId="031D5BF9" w14:textId="77777777" w:rsidR="003754FE" w:rsidRDefault="003754FE" w:rsidP="003754FE">
      <w:pPr>
        <w:pStyle w:val="TextoNormal"/>
      </w:pPr>
      <w:r>
        <w:t>Por tanto, es claro que el fiscal no se opone a la estimación de esta queja, como incomprensiblemente indica la sentencia en el fundamento jurídico 5.1 en su último párrafo, por considerar que la subsunción de los hechos declarados probados en el delito de malversación del art. 432 CP respeta el tenor literal del enunciado normativo contenido en dicho precepto y resulta previsible, si se analiza desde las pautas axiológicas que informan nuestro texto constitucional y conforme a modelos de  argumentación aceptados por la propia comunidad jurídica. Ni tampoco estima al refutar ese primer motivo de la demanda que no puede apreciarse la vulneración del derecho a la legalidad penal en relación con la subsunción realizada en el delito de malversación. Tal posicionamiento del Ministerio Fiscal en relación con el primer motivo de la demanda de amparo no ha existido.</w:t>
      </w:r>
    </w:p>
    <w:p w14:paraId="69A4E80B" w14:textId="77777777" w:rsidR="003754FE" w:rsidRDefault="003754FE" w:rsidP="003754FE">
      <w:pPr>
        <w:pStyle w:val="TextoNormal"/>
      </w:pPr>
    </w:p>
    <w:p w14:paraId="4DF1F1CC" w14:textId="77777777" w:rsidR="003754FE" w:rsidRDefault="003754FE" w:rsidP="003754FE">
      <w:pPr>
        <w:pStyle w:val="TextoNormal"/>
      </w:pPr>
      <w:r>
        <w:t>De la lectura de las páginas 33 a 41 de las alegaciones en que el fiscal da respuesta al primer motivo de la demanda, resulta que se opone a la estimación del motivo porque considera que (i) no hay falta de prueba, pues se realiza un análisis amplio de los múltiples indicios y se argumenta de forma razonable la necesidad de valorar conjuntamente todos los indicios para poder comprender la ilicitud de la actuación del recurrente; (ii) en la sentencia de la Audiencia Provincial no se afirma que el demandante de amparo actuase coordinadamente con el resto de condenados para cometer un delito de malversación. No se le imputa como coautor y por tanto no hay cambio del título de imputación por el Tribunal Supremo; (iii) tampoco se aprecia que el Tribunal Supremo haya trasmutado el dolo eventual por el que le condenó la Audiencia Provincial por dolo directo, ni que haya desbordado el techo de convicción probatoria que la Audiencia fijó en el dolo eventual; (iv) el Tribunal Supremo, no cambia el título de imputación ni añade ninguna categoría jurídica que no se encuentre ya en la sentencia de la Audiencia, sino que amplía la justificación de la misma al contestar a los recursos de casación; (v) no se estima irracional la argumentación del Tribunal Supremo (ni la de la Audiencia Provincial) en cuanto a la existencia de dolo eventual respecto del delito de malversación; (vi) no es irracional que respecto del demandante de amparo el delito medio se haya cometido por dolo directo y el delito fin por dolo eventual; (vii) tampoco es ilógico o contradictorio afirmar como hace el Tribunal Supremo que se le condena por su actuación individual pero que resulta necesario contemplar el conjunto para valorar su actuación; (viii) lo realizado por el Tribunal Supremo ha sido completar la argumentación de la Audiencia Provincial.</w:t>
      </w:r>
    </w:p>
    <w:p w14:paraId="0E68A0AF" w14:textId="77777777" w:rsidR="003754FE" w:rsidRDefault="003754FE" w:rsidP="003754FE">
      <w:pPr>
        <w:pStyle w:val="TextoNormal"/>
      </w:pPr>
    </w:p>
    <w:p w14:paraId="02F4D308" w14:textId="77777777" w:rsidR="003754FE" w:rsidRDefault="003754FE" w:rsidP="003754FE">
      <w:pPr>
        <w:pStyle w:val="TextoNormal"/>
      </w:pPr>
      <w:r>
        <w:t>En fin, el fundamento jurídico 5 de la sentencia no debió ser redactado. La sentencia hace decir a la demanda que invoca la vulneración del derecho a la legalidad penal sacando de contexto una frase del extenso motivo primero, configura artificiosamente el contenido de la respuesta del fiscal a la inexistente vulneración invocada, que luego ni tan siquiera aborda cuando dicho motivo es examinado.</w:t>
      </w:r>
    </w:p>
    <w:p w14:paraId="00F03BE3" w14:textId="77777777" w:rsidR="003754FE" w:rsidRDefault="003754FE" w:rsidP="003754FE">
      <w:pPr>
        <w:pStyle w:val="TextoNormal"/>
      </w:pPr>
    </w:p>
    <w:p w14:paraId="33881821" w14:textId="77777777" w:rsidR="003754FE" w:rsidRDefault="003754FE" w:rsidP="003754FE">
      <w:pPr>
        <w:pStyle w:val="TextoNormal"/>
      </w:pPr>
      <w:r>
        <w:lastRenderedPageBreak/>
        <w:t>d) La sentencia de la que discrepamos se desvincula radicalmente de la vulneración planteada por el recurrente y resuelve de modo irracional, incongruente e ilógico, el motivo primero de la demanda de amparo, en su fundamento cinco, que como se ha indicado no expresa ninguna vulneración del derecho a la legalidad penal (art. 25.1 CE).</w:t>
      </w:r>
    </w:p>
    <w:p w14:paraId="6A9651ED" w14:textId="77777777" w:rsidR="003754FE" w:rsidRDefault="003754FE" w:rsidP="003754FE">
      <w:pPr>
        <w:pStyle w:val="TextoNormal"/>
      </w:pPr>
    </w:p>
    <w:p w14:paraId="10AA0177" w14:textId="77777777" w:rsidR="003754FE" w:rsidRDefault="003754FE" w:rsidP="003754FE">
      <w:pPr>
        <w:pStyle w:val="TextoNormal"/>
      </w:pPr>
      <w:r>
        <w:t>e) En efecto, en el fundamento jurídico 5.3 bajo la rúbrica “Enjuiciamiento de la queja” efectúa un examen de oficio de las resoluciones impugnadas con relación a la condena por malversación en su contribución activa y omisiva que no tienen nada que ver con el contenido de la demanda de amparo y menos aún con el del motivo primero del recurso.</w:t>
      </w:r>
    </w:p>
    <w:p w14:paraId="5858D7E0" w14:textId="77777777" w:rsidR="003754FE" w:rsidRDefault="003754FE" w:rsidP="003754FE">
      <w:pPr>
        <w:pStyle w:val="TextoNormal"/>
      </w:pPr>
    </w:p>
    <w:p w14:paraId="16E185CB" w14:textId="77777777" w:rsidR="003754FE" w:rsidRDefault="003754FE" w:rsidP="003754FE">
      <w:pPr>
        <w:pStyle w:val="TextoNormal"/>
      </w:pPr>
      <w:r>
        <w:t xml:space="preserve">La sentencia se desentiende del recurso para poder aplicar su construcción argumental en virtud de la cual los proyectos de ley no son susceptibles de control por la jurisdicción penal (argumento que ya hemos cuestionado al tratar de la condena por delito de prevaricación) y el </w:t>
      </w:r>
      <w:r w:rsidRPr="003754FE">
        <w:rPr>
          <w:i/>
        </w:rPr>
        <w:t>mantra</w:t>
      </w:r>
      <w:r>
        <w:t xml:space="preserve"> jurídico: “no puede considerarse ilegal ni indebido otorgar las referidas ayudas, de acuerdo con lo establecido en el programa 31L de las leyes de presupuestos de aquellos años y las memorias que las acompañaban”.</w:t>
      </w:r>
    </w:p>
    <w:p w14:paraId="130BFBD4" w14:textId="77777777" w:rsidR="003754FE" w:rsidRDefault="003754FE" w:rsidP="003754FE">
      <w:pPr>
        <w:pStyle w:val="TextoNormal"/>
      </w:pPr>
    </w:p>
    <w:p w14:paraId="60DB5664" w14:textId="77777777" w:rsidR="003754FE" w:rsidRDefault="003754FE" w:rsidP="003754FE">
      <w:pPr>
        <w:pStyle w:val="TextoNormal"/>
      </w:pPr>
      <w:r>
        <w:t xml:space="preserve">f) En relación con las conductas activas y omisivas que dieron lugar a la condena como autor de un delito continuado de malversación de caudales públicos, la sentencia de la que discrepamos fundamenta la vulneración del derecho a la legalidad penal, no por esa supuesta confusión alegada entre las conductas prevaricadoras y malversadoras que ha dado pie a justificar la existencia de la invocada vulneración, sino por el carácter imprevisible de ser condenado como consecuencia de aplicar las sucesivas leyes de presupuestos. Argumento que nada tiene que ver con el supuesto alegato del motivo primero de la demanda. Dicha razón además es falaz y se repite a modo de </w:t>
      </w:r>
      <w:r w:rsidRPr="003754FE">
        <w:rPr>
          <w:i/>
        </w:rPr>
        <w:t>mantra</w:t>
      </w:r>
      <w:r>
        <w:t xml:space="preserve"> jurídico reiterado en las sucesivas sentencias que se han sometido a deliberación: “no puede considerarse ilegal ni indebido otorgar las referidas ayudas, de acuerdo con lo establecido en el programa 31L de las leyes de presupuestos de aquellos años y las memorias que las acompañaban” (SSTC 94/2024, de 2 de julio, FJ 5.3; 97/2024, de 3 de julio, FJ 4.3; 98/2024, de 3 de julio, FJ 5.3).</w:t>
      </w:r>
    </w:p>
    <w:p w14:paraId="3FA1EE00" w14:textId="77777777" w:rsidR="003754FE" w:rsidRDefault="003754FE" w:rsidP="003754FE">
      <w:pPr>
        <w:pStyle w:val="TextoNormal"/>
      </w:pPr>
    </w:p>
    <w:p w14:paraId="05E3FC85" w14:textId="77777777" w:rsidR="003754FE" w:rsidRDefault="003754FE" w:rsidP="003754FE">
      <w:pPr>
        <w:pStyle w:val="TextoNormal"/>
      </w:pPr>
      <w:r>
        <w:t>g) Tal afirmación es insostenible por la sencilla razón de que las leyes no delinquieron, ni —como le atribuye la sentencia de la que discrepamos mediante la errónea atribución efectuada a la sentencia del Tribunal Supremo— pretendieron delinquir en el caso de corrupción política más importante de la reciente historia de España. Delinquieron, como aseveran las sentencias, quienes concedieron, de modo libérrimo y voluntario, las ayudas sociolaborales y dispusieron de los fondos públicos como si fueran propios o quienes pudiendo evitarlo y conociéndolo consintieron esa disposición de fondos.</w:t>
      </w:r>
    </w:p>
    <w:p w14:paraId="43FE41A5" w14:textId="77777777" w:rsidR="003754FE" w:rsidRDefault="003754FE" w:rsidP="003754FE">
      <w:pPr>
        <w:pStyle w:val="TextoNormal"/>
      </w:pPr>
    </w:p>
    <w:p w14:paraId="078A25DD" w14:textId="77777777" w:rsidR="003754FE" w:rsidRDefault="003754FE" w:rsidP="003754FE">
      <w:pPr>
        <w:pStyle w:val="TextoNormal"/>
      </w:pPr>
      <w:r>
        <w:t>h) Así lo afirmó la STS 749/202, en su fundamento de Derecho 141.2.4, pág. 1066, cuando indicó que “si bien el Parlamento aprobó las partidas presupuestarias aludidas en el relato fáctico durante los años 2002 a 2009, también lo es que no puede afirmarse que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 Y, añade que “[l]a aprobación parlamentaria de los distintos créditos presupuestarios no puede ser coartada para justificar los pagos ilegales. La actuación del director general de IFA/IDEA no era obligada”.</w:t>
      </w:r>
    </w:p>
    <w:p w14:paraId="4B38690A" w14:textId="77777777" w:rsidR="003754FE" w:rsidRDefault="003754FE" w:rsidP="003754FE">
      <w:pPr>
        <w:pStyle w:val="TextoNormal"/>
      </w:pPr>
    </w:p>
    <w:p w14:paraId="57F3B7E2" w14:textId="77777777" w:rsidR="003754FE" w:rsidRDefault="003754FE" w:rsidP="003754FE">
      <w:pPr>
        <w:pStyle w:val="TextoNormal"/>
      </w:pPr>
      <w:r>
        <w:t>i) Ninguno de los condenados estaba amparado, ni venía obligado por las sucesivas leyes de presupuestos para cometer los delitos. Las leyes eran neutras en la previsión de transferencias de financiación para gastos de explotación. Quienes delinquieron fueron quienes programaron las trasferencias de financiación de modo innecesario con la idea de que otros tuvieran recursos para destinarlos a fines ajenos a los presupuestados o quienes se aprovecharon de su dotación presupuestaria para dedicarlas no a su destino de gastos de explotación sino a otros no previstos en los presupuestos.</w:t>
      </w:r>
    </w:p>
    <w:p w14:paraId="6F5BDE22" w14:textId="77777777" w:rsidR="003754FE" w:rsidRDefault="003754FE" w:rsidP="003754FE">
      <w:pPr>
        <w:pStyle w:val="TextoNormal"/>
      </w:pPr>
    </w:p>
    <w:p w14:paraId="7941C44C" w14:textId="77777777" w:rsidR="003754FE" w:rsidRDefault="003754FE" w:rsidP="003754FE">
      <w:pPr>
        <w:pStyle w:val="TextoNormal"/>
      </w:pPr>
      <w:r>
        <w:t>j) En todo caso debemos insistir, para tener presente la inadmisible deriva argumental de la sentencia, que el recurrente, en el motivo primero de la demanda de amparo planteaba un problema de presunción de inocencia y de tutela judicial efectiva de las sentencias, pero en ningún caso relativo a la vulneración de la legalidad penal.</w:t>
      </w:r>
    </w:p>
    <w:p w14:paraId="0FBA9C31" w14:textId="77777777" w:rsidR="003754FE" w:rsidRDefault="003754FE" w:rsidP="003754FE">
      <w:pPr>
        <w:pStyle w:val="TextoNormal"/>
      </w:pPr>
    </w:p>
    <w:p w14:paraId="61F26C88" w14:textId="77777777" w:rsidR="003754FE" w:rsidRDefault="003754FE" w:rsidP="003754FE">
      <w:pPr>
        <w:pStyle w:val="TextoNormal"/>
      </w:pPr>
      <w:r>
        <w:t>2. Extralimitación de la sentencia de las funciones que le corresponde al Tribunal Constitucional al examinar la vulneración del derecho a la presunción de inocencia.</w:t>
      </w:r>
    </w:p>
    <w:p w14:paraId="5DDA5112" w14:textId="77777777" w:rsidR="003754FE" w:rsidRDefault="003754FE" w:rsidP="003754FE">
      <w:pPr>
        <w:pStyle w:val="TextoNormal"/>
      </w:pPr>
    </w:p>
    <w:p w14:paraId="0BF38D96" w14:textId="77777777" w:rsidR="003754FE" w:rsidRDefault="003754FE" w:rsidP="003754FE">
      <w:pPr>
        <w:pStyle w:val="TextoNormal"/>
      </w:pPr>
      <w:r>
        <w:t>2.1. Planeamiento del recurrente</w:t>
      </w:r>
    </w:p>
    <w:p w14:paraId="144A8626" w14:textId="77777777" w:rsidR="003754FE" w:rsidRDefault="003754FE" w:rsidP="003754FE">
      <w:pPr>
        <w:pStyle w:val="TextoNormal"/>
      </w:pPr>
    </w:p>
    <w:p w14:paraId="42C7B9FB" w14:textId="77777777" w:rsidR="003754FE" w:rsidRDefault="003754FE" w:rsidP="003754FE">
      <w:pPr>
        <w:pStyle w:val="TextoNormal"/>
      </w:pPr>
      <w:r>
        <w:t>Como hemos expuesto el demandante intitula el referido motivo del siguiente modo: “Primer motivo.- Vulneración del derecho a la tutela judicial efectiva (art. 24.1 CE y 6 CEDH), a un proceso público con todas las garantías incluyendo la presunción de inocencia (art. 24.2 CE y 6 CEDH) y vulneración del principio de legalidad penal (art. 25 CE y 7 CEDH). Negativa manifiesta del deber de acatamiento de la doctrina del Tribunal Constitucional en materia de condena por prueba indiciaria”.</w:t>
      </w:r>
    </w:p>
    <w:p w14:paraId="60DD1198" w14:textId="77777777" w:rsidR="003754FE" w:rsidRDefault="003754FE" w:rsidP="003754FE">
      <w:pPr>
        <w:pStyle w:val="TextoNormal"/>
      </w:pPr>
    </w:p>
    <w:p w14:paraId="37055016" w14:textId="77777777" w:rsidR="003754FE" w:rsidRDefault="003754FE" w:rsidP="003754FE">
      <w:pPr>
        <w:pStyle w:val="TextoNormal"/>
      </w:pPr>
      <w:r>
        <w:t>Su contenido ya ha sido glosado.</w:t>
      </w:r>
    </w:p>
    <w:p w14:paraId="21F27E84" w14:textId="77777777" w:rsidR="003754FE" w:rsidRDefault="003754FE" w:rsidP="003754FE">
      <w:pPr>
        <w:pStyle w:val="TextoNormal"/>
      </w:pPr>
    </w:p>
    <w:p w14:paraId="784F0DDD" w14:textId="77777777" w:rsidR="003754FE" w:rsidRDefault="003754FE" w:rsidP="003754FE">
      <w:pPr>
        <w:pStyle w:val="TextoNormal"/>
      </w:pPr>
      <w:r>
        <w:t>2.2. Doctrina constitucional sobre la presunción de inocencia</w:t>
      </w:r>
    </w:p>
    <w:p w14:paraId="57217DA0" w14:textId="77777777" w:rsidR="003754FE" w:rsidRDefault="003754FE" w:rsidP="003754FE">
      <w:pPr>
        <w:pStyle w:val="TextoNormal"/>
      </w:pPr>
    </w:p>
    <w:p w14:paraId="443B0C94" w14:textId="77777777" w:rsidR="003754FE" w:rsidRDefault="003754FE" w:rsidP="003754FE">
      <w:pPr>
        <w:pStyle w:val="TextoNormal"/>
      </w:pPr>
      <w:r>
        <w:t>Este tribunal viene afirmando desde la STC 31/1981, de 28 de julio, que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de la que quepa inferir razonablemente los hechos y la participación del acusado en los mismos. De modo que, como se declara en la STC 189/1998, de 28 de septiembre, “solo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w:t>
      </w:r>
      <w:r w:rsidRPr="003754FE">
        <w:rPr>
          <w:i/>
        </w:rPr>
        <w:t>l it</w:t>
      </w:r>
      <w:r>
        <w:t>er discursivo que conduce de la prueba al hecho probado” (FJ 2).</w:t>
      </w:r>
    </w:p>
    <w:p w14:paraId="4978F376" w14:textId="77777777" w:rsidR="003754FE" w:rsidRDefault="003754FE" w:rsidP="003754FE">
      <w:pPr>
        <w:pStyle w:val="TextoNormal"/>
      </w:pPr>
    </w:p>
    <w:p w14:paraId="0C2D5C47" w14:textId="77777777" w:rsidR="003754FE" w:rsidRDefault="003754FE" w:rsidP="003754FE">
      <w:pPr>
        <w:pStyle w:val="TextoNormal"/>
      </w:pPr>
      <w:r>
        <w:t xml:space="preserve">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w:t>
      </w:r>
      <w:r>
        <w:lastRenderedPageBreak/>
        <w:t>amparo no es un recurso de apelación, ni este tribunal una tercera instancia” (por todas, STC 137/2005, de 23 de mayo, FJ 2).</w:t>
      </w:r>
    </w:p>
    <w:p w14:paraId="1A49FCA3" w14:textId="77777777" w:rsidR="003754FE" w:rsidRDefault="003754FE" w:rsidP="003754FE">
      <w:pPr>
        <w:pStyle w:val="TextoNormal"/>
      </w:pPr>
    </w:p>
    <w:p w14:paraId="69E7B338" w14:textId="77777777" w:rsidR="003754FE" w:rsidRDefault="003754FE" w:rsidP="003754FE">
      <w:pPr>
        <w:pStyle w:val="TextoNormal"/>
      </w:pPr>
      <w:r>
        <w:t>De este modo hemos declarado con especial contundencia que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[entre otras, SSTC 111/2008, de 22 de septiembre, FJ 3 a), y 68/2010, de 18 de octubre, FJ 4], advirtiendo que esta supervisión externa que hemos de realizar para apreciar la razonabilidad del expresado discurso ha de ser “extraordinariamente cautelosa” pues, en rigor, “la función de este tribunal no consiste en enjuiciar el resultado alcanzado, sino el control externo del razonamiento lógico seguido para llegar a él” (STC 66/2009, de 9 de marzo, FJ 6).</w:t>
      </w:r>
    </w:p>
    <w:p w14:paraId="5E95D0C7" w14:textId="77777777" w:rsidR="003754FE" w:rsidRDefault="003754FE" w:rsidP="003754FE">
      <w:pPr>
        <w:pStyle w:val="TextoNormal"/>
      </w:pPr>
    </w:p>
    <w:p w14:paraId="34C6B0F7" w14:textId="77777777" w:rsidR="003754FE" w:rsidRDefault="003754FE" w:rsidP="003754FE">
      <w:pPr>
        <w:pStyle w:val="TextoNormal"/>
      </w:pPr>
      <w:r>
        <w:t>Esta imposibilidad de revisar por parte de este Tribunal Constitucional los diferentes elementos probatorios en que los tribunales penales basan su convicción, en la forma expuesta, resulta fundamentada, además, tanto por la prohibición legal de que el Tribunal Constitucional entre a valorar los hechos del proceso [art. 44.1 b) LOTC], como por la imposibilidad material de que los procesos constitucionales puedan contar con las garantías de oralidad, inmediación y contradicción que deben rodear a la valoración probatoria.</w:t>
      </w:r>
    </w:p>
    <w:p w14:paraId="52A22FD9" w14:textId="77777777" w:rsidR="003754FE" w:rsidRDefault="003754FE" w:rsidP="003754FE">
      <w:pPr>
        <w:pStyle w:val="TextoNormal"/>
      </w:pPr>
    </w:p>
    <w:p w14:paraId="681248F6" w14:textId="77777777" w:rsidR="003754FE" w:rsidRDefault="003754FE" w:rsidP="003754FE">
      <w:pPr>
        <w:pStyle w:val="TextoNormal"/>
      </w:pPr>
      <w:r>
        <w:t>2.3. Extralimitación de la sentencia de las funciones que le corresponde al Tribunal Constitucional al examinar la vulneración del derecho a la presunción de inocencia</w:t>
      </w:r>
    </w:p>
    <w:p w14:paraId="4E182029" w14:textId="77777777" w:rsidR="003754FE" w:rsidRDefault="003754FE" w:rsidP="003754FE">
      <w:pPr>
        <w:pStyle w:val="TextoNormal"/>
      </w:pPr>
    </w:p>
    <w:p w14:paraId="130383B8" w14:textId="77777777" w:rsidR="003754FE" w:rsidRDefault="003754FE" w:rsidP="003754FE">
      <w:pPr>
        <w:pStyle w:val="TextoNormal"/>
      </w:pPr>
      <w:r>
        <w:t>2.3.1. Modo en que la sentencia enfoca la queja relativa a la vulneración del derecho fundamental a la presunción de inocencia</w:t>
      </w:r>
    </w:p>
    <w:p w14:paraId="34751186" w14:textId="77777777" w:rsidR="003754FE" w:rsidRDefault="003754FE" w:rsidP="003754FE">
      <w:pPr>
        <w:pStyle w:val="TextoNormal"/>
      </w:pPr>
    </w:p>
    <w:p w14:paraId="6774AC5E" w14:textId="77777777" w:rsidR="003754FE" w:rsidRDefault="003754FE" w:rsidP="003754FE">
      <w:pPr>
        <w:pStyle w:val="TextoNormal"/>
      </w:pPr>
      <w:r>
        <w:t>a) La sentencia frente a la que formulamos voto particular comienza el examen del motivo sexto de la demanda dejando claro que la garantía del control de la presunción de inocencia exige orientar el foco de control en la concurrencia de elementos fácticos y argumentales “de una precisión suficiente” para justificar la atribución personal de todos o de alguno de los hechos no afectados por la vulneración del derecho a la legalidad penal durante el tiempo en que el demandante ejerció el cargo de viceconsejero de Justicia y de Innovación. Pretende verificar si se ha motivado suficientemente el engarce necesario entre las conductas que se le atribuyen y su participación.</w:t>
      </w:r>
    </w:p>
    <w:p w14:paraId="267F69E7" w14:textId="77777777" w:rsidR="003754FE" w:rsidRDefault="003754FE" w:rsidP="003754FE">
      <w:pPr>
        <w:pStyle w:val="TextoNormal"/>
      </w:pPr>
    </w:p>
    <w:p w14:paraId="149D7919" w14:textId="77777777" w:rsidR="003754FE" w:rsidRDefault="003754FE" w:rsidP="003754FE">
      <w:pPr>
        <w:pStyle w:val="TextoNormal"/>
      </w:pPr>
      <w:r>
        <w:t>b) Examina la vulneración del derecho a la presunción de inocencia en relación con la participación y conocimiento del demandante en las disposiciones realizadas desde la Consejería de Empleo en ausencia de fin público y las enumeradas en el apartado C) del hecho probado vigesimosegundo, donde se hace constar que algunos fondos del programa 31L se aplicaron a fines distintos y ajenos a los determinados en el mismo.</w:t>
      </w:r>
    </w:p>
    <w:p w14:paraId="193603BE" w14:textId="77777777" w:rsidR="003754FE" w:rsidRDefault="003754FE" w:rsidP="003754FE">
      <w:pPr>
        <w:pStyle w:val="TextoNormal"/>
      </w:pPr>
    </w:p>
    <w:p w14:paraId="0D2BB5E1" w14:textId="77777777" w:rsidR="003754FE" w:rsidRDefault="003754FE" w:rsidP="003754FE">
      <w:pPr>
        <w:pStyle w:val="TextoNormal"/>
      </w:pPr>
      <w:r>
        <w:t xml:space="preserve">c) La sentencia de la que discrepamos indica que no aparece detallada con exhaustividad la motivación de la posible participación del recurrente en la asignación de fondos de dicho programa. Sostiene que la resolución de instancia no desarrolla un mínimo juicio de autoría que permita determinar si el recurrente tuvo el dominio funcional del hecho y si realizó u omitió, dentro del marco de dicho dominio, actos que favorecieron directamente la </w:t>
      </w:r>
      <w:r>
        <w:lastRenderedPageBreak/>
        <w:t>asignación material de estos fondos. Tampoco describe la sentencia alguna modalidad de acuerdo o adhesión del encausado a un plan preconcebido dirigido al desvío de estas cantidades.</w:t>
      </w:r>
    </w:p>
    <w:p w14:paraId="07BFF4E5" w14:textId="77777777" w:rsidR="003754FE" w:rsidRDefault="003754FE" w:rsidP="003754FE">
      <w:pPr>
        <w:pStyle w:val="TextoNormal"/>
      </w:pPr>
    </w:p>
    <w:p w14:paraId="10164776" w14:textId="77777777" w:rsidR="003754FE" w:rsidRDefault="003754FE" w:rsidP="003754FE">
      <w:pPr>
        <w:pStyle w:val="TextoNormal"/>
      </w:pPr>
      <w:r>
        <w:t>Añade, en relación con el elemento subjetivo que este debe proyectarse sobre esas concretas disposiciones. Examina los informes de control financiero permanente de la agencia y la existencia de déficit en la Consejería de Empleo como consecuencia del sistema de gestión de tales ayudas y concluye que no resulta suficiente para establecer de manera cierta y precisa que el señor Rodríguez Román hubiera intervenido, con conocimiento de causa, en la realización de alguna o algunas de las disposiciones de tales fondos.</w:t>
      </w:r>
    </w:p>
    <w:p w14:paraId="0350A963" w14:textId="77777777" w:rsidR="003754FE" w:rsidRDefault="003754FE" w:rsidP="003754FE">
      <w:pPr>
        <w:pStyle w:val="TextoNormal"/>
      </w:pPr>
    </w:p>
    <w:p w14:paraId="43D7EA7B" w14:textId="77777777" w:rsidR="003754FE" w:rsidRDefault="003754FE" w:rsidP="003754FE">
      <w:pPr>
        <w:pStyle w:val="TextoNormal"/>
      </w:pPr>
      <w:r>
        <w:t>Incluso se permite valorar el contenido de tales informes de la Intervención de la Junta de Andalucía “para situar en sus justos términos la fuerza probatoria de los mismos”. Examina el contenido de los informes y la declaración de los peritos de la Intervención General de la Administración del Estado y concluye:</w:t>
      </w:r>
    </w:p>
    <w:p w14:paraId="5A5A60AA" w14:textId="77777777" w:rsidR="003754FE" w:rsidRDefault="003754FE" w:rsidP="003754FE">
      <w:pPr>
        <w:pStyle w:val="TextoNormal"/>
      </w:pPr>
    </w:p>
    <w:p w14:paraId="74E010BE" w14:textId="77777777" w:rsidR="003754FE" w:rsidRDefault="003754FE" w:rsidP="003754FE">
      <w:pPr>
        <w:pStyle w:val="TextoNormal"/>
      </w:pPr>
      <w:r>
        <w:t>“[L]os informes de la Intervención que la sentencia de instancia analiza como medio de prueba acreditativo del tipo subjetivo de la malversación no llegan a demostrar que el señor Rodríguez Román hubiera realizado los hechos que se le atribuyen con una representación suficiente de que las ayudas se fueran a conceder al margen de toda finalidad pública.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que aparecen descritas en el fundamento de Derecho 45 de la sentencia de instancia. Tampoco es un dato concluyente que tuviera conocimiento del déficit contable que se producía en la agencia IDEA pues el mismo era una consecuencia asociada al sistema de presupuestación y gestión de las transferencias de financiación determinado en las leyes de presupuestos”.</w:t>
      </w:r>
    </w:p>
    <w:p w14:paraId="3F9A01A3" w14:textId="77777777" w:rsidR="003754FE" w:rsidRDefault="003754FE" w:rsidP="003754FE">
      <w:pPr>
        <w:pStyle w:val="TextoNormal"/>
      </w:pPr>
    </w:p>
    <w:p w14:paraId="6C904A51" w14:textId="77777777" w:rsidR="003754FE" w:rsidRDefault="003754FE" w:rsidP="003754FE">
      <w:pPr>
        <w:pStyle w:val="TextoNormal"/>
      </w:pPr>
      <w:r>
        <w:t>2.3.2. Extralimitación de la sentencia de las funciones que le corresponden al Tribunal Constitucional al examinar la vulneración del derecho a la presunción de inocencia</w:t>
      </w:r>
    </w:p>
    <w:p w14:paraId="23573D6F" w14:textId="77777777" w:rsidR="003754FE" w:rsidRDefault="003754FE" w:rsidP="003754FE">
      <w:pPr>
        <w:pStyle w:val="TextoNormal"/>
      </w:pPr>
    </w:p>
    <w:p w14:paraId="701B999B" w14:textId="77777777" w:rsidR="003754FE" w:rsidRDefault="003754FE" w:rsidP="003754FE">
      <w:pPr>
        <w:pStyle w:val="TextoNormal"/>
      </w:pPr>
      <w:r>
        <w:t>a) La sentencia estima la vulneración del derecho a la presunción de inocencia. Para ello efectúa un extracto mínimo y sesgado del contenido de la sentencia de la Audiencia Provincial y apenas se refiere a la del Tribunal Supremo. En apenas diez páginas reexamina la valoración probatoria de la sentencia de la Audiencia Provincial efectuada en las págs. 1149 a 1207 y apenas dedica alguna frase al modo en que el Tribunal Supremo aborda la lesión del derecho a la presunción de inocencia. Las razones de las extensas sentencias de la Audiencia Provincial y del Tribunal Supremo, no pueden ser suplidas por el silencio que de la misma se guarda en los antecedentes de la sentencia de este tribunal, ni por la mínima mención que se efectúa al razonamiento de ambas.</w:t>
      </w:r>
    </w:p>
    <w:p w14:paraId="636BF302" w14:textId="77777777" w:rsidR="003754FE" w:rsidRDefault="003754FE" w:rsidP="003754FE">
      <w:pPr>
        <w:pStyle w:val="TextoNormal"/>
      </w:pPr>
    </w:p>
    <w:p w14:paraId="7389270C" w14:textId="77777777" w:rsidR="003754FE" w:rsidRDefault="003754FE" w:rsidP="003754FE">
      <w:pPr>
        <w:pStyle w:val="TextoNormal"/>
      </w:pPr>
      <w:r>
        <w:t xml:space="preserve">b) La sentencia de la que discrepamos, no toma en consideración los argumentos, que expuestos en ambas sentencias y referidos a la extensa prueba documental, sustentan la existencia de prueba de cargo tanto de la posición de garante atendida su condición de miembro del consejo rector de IFA/IDEA durante los años 2005 a 2010, tuvo conocimiento del desvío de las cantidades que como transferencias de financiación se debían aplicar, y no se aplicaban a los gastos de explotación de la agencia que presidía. El hecho de considerar que </w:t>
      </w:r>
      <w:r>
        <w:lastRenderedPageBreak/>
        <w:t>es una inferencia excesivamente abierta atribuir a quien tiene esas responsabilidades en la agencia, al que se le entregan los informes sucesivamente, año tras año, en el que constan las irregularidades del destino de los bienes, que desconocía el ilícito destino de los mismos es absurdo y supone suplantar la función de valoración de la prueba que le corresponde exclusivamente a los tribunales ordinarios.</w:t>
      </w:r>
    </w:p>
    <w:p w14:paraId="2EEF92FB" w14:textId="77777777" w:rsidR="003754FE" w:rsidRDefault="003754FE" w:rsidP="003754FE">
      <w:pPr>
        <w:pStyle w:val="TextoNormal"/>
      </w:pPr>
    </w:p>
    <w:p w14:paraId="645093F6" w14:textId="77777777" w:rsidR="003754FE" w:rsidRDefault="003754FE" w:rsidP="003754FE">
      <w:pPr>
        <w:pStyle w:val="TextoNormal"/>
      </w:pPr>
      <w:r>
        <w:t>c) La sentencia de la que discrepamos, asume una posición de tribunal revisor de la valoración probatoria, que no le corresponde, y sustituye a los jueces y tribunales ordinarios en la función exclusiva que les atribuye el art. 117.3 CE. El recurso de amparo no es, ni puede convertirse, en un recurso de apelación, como tampoco el Tribunal Constitucional es una tercera instancia. La sentencia de la que discrepamos selecciona unos pocos párrafos en que examina únicamente una parte de la extensa prueba practicada y materializa su propio juicio inferencial para descartar la acreditación de la autoría y del dolo.</w:t>
      </w:r>
    </w:p>
    <w:p w14:paraId="4D34E51A" w14:textId="77777777" w:rsidR="003754FE" w:rsidRDefault="003754FE" w:rsidP="003754FE">
      <w:pPr>
        <w:pStyle w:val="TextoNormal"/>
      </w:pPr>
    </w:p>
    <w:p w14:paraId="5EC0B07C" w14:textId="77777777" w:rsidR="003754FE" w:rsidRDefault="003754FE" w:rsidP="003754FE">
      <w:pPr>
        <w:pStyle w:val="TextoNormal"/>
      </w:pPr>
      <w:r>
        <w:t>d) Con dicho modo de proceder se aparta en un asunto de tanta trascendencia del criterio rector que ha orientado desde los inicios del funcionamiento el Tribunal Constitucional —conforme a nuestra consolidada doctrina— sobre el enjuiciamiento de las denuncias por vulneración del derecho a la presunción de inocencia. Dicho enjuiciamiento tradicionalmente ha sido marcadamente respetuoso con la valoración probatoria que efectúan los tribunales ordinarios que son los que con inmediación y contradicción presencian, a través de múltiples sesiones de juicio —como es el caso— la actividad probatoria y están en mejores condiciones para valorarla. Sustituir al tribunal de instancia en ese cometido en un juicio de la envergadura del que ha originado este proceso constitucional contraviene nuestra doctrina, aunque sea con el manido argumento de insuficiente motivación que en este caso carece de sustento alguno.</w:t>
      </w:r>
    </w:p>
    <w:p w14:paraId="1792575B" w14:textId="77777777" w:rsidR="003754FE" w:rsidRDefault="003754FE" w:rsidP="003754FE">
      <w:pPr>
        <w:pStyle w:val="TextoNormal"/>
      </w:pPr>
    </w:p>
    <w:p w14:paraId="620A8220" w14:textId="77777777" w:rsidR="003754FE" w:rsidRDefault="003754FE" w:rsidP="003754FE">
      <w:pPr>
        <w:pStyle w:val="TextoNormal"/>
      </w:pPr>
      <w:r>
        <w:t>e) La mínima actividad probatoria referida a la comisión de la conducta típica por el recurrente de amparo, valorada por los órganos judiciales de modo que no sea ilógica o insuficiente por irrazonable, que se exige para descartar la vulneración del derecho a la presunción de inocencia, ha sido satisfecha con creces en las sentencias recurridas. Basta remitirse a las extensas razones dadas por el Ministerio Fiscal para desestimar esta vulneración. No le correspondía al Tribunal revisar la valoración efectuada a través de la cual los jueces alcanzaron su intima convicción, sino solo controlar la razonabilidad del discurso que une la actividad probatoria y el relato fáctico, pero mediante una supervisión externa “extraordinariamente cautelosa”.</w:t>
      </w:r>
    </w:p>
    <w:p w14:paraId="4E4D2FB5" w14:textId="77777777" w:rsidR="003754FE" w:rsidRDefault="003754FE" w:rsidP="003754FE">
      <w:pPr>
        <w:pStyle w:val="TextoNormal"/>
      </w:pPr>
    </w:p>
    <w:p w14:paraId="4BD9A1C7" w14:textId="77777777" w:rsidR="003754FE" w:rsidRDefault="003754FE" w:rsidP="003754FE">
      <w:pPr>
        <w:pStyle w:val="TextoNormal"/>
      </w:pPr>
      <w:r>
        <w:t xml:space="preserve">f) Debe indicarse que la sentencia de casación indica que los indicios son múltiples y enumera hasta dieciséis pruebas y señala especialmente en el fundamento de Derecho 125, que “el análisis debe realizarse atendiendo al conjunto probatorio, sin que sea admisible fragmentar o disgregar esa valoración, ni considerar cada una de las afirmaciones de hecho acreditadas de modo aislado”. En tal sentido, no es ilógico ni irrazonable inferir tanto la participación del recurrente como la existencia del dolo atendido que como viceconsejero de Justicia intervino ya a finales del año 2000 y a principios de 2001, en las tres sesiones de la Comisión General de Viceconsejeros en cuyo orden del día se trató el proyecto de decreto para agilizar la entrega de fondos públicos correspondientes a las subvenciones extraordinarias, al que se acompañaba un informe del interventor general en el que se hacía ya la advertencia de que debería atribuírsele por ley al IFA la competencia para pagar las subvenciones, informe que fue finamente retirado, como se recoge en el acta, porque surgieron </w:t>
      </w:r>
      <w:r>
        <w:lastRenderedPageBreak/>
        <w:t>problemas para su aprobación, si ese decreto era para regular un instrumento que permitiese hacer efectivo el “eje de cumplimiento del programa de Gobierno” y siguió interviniendo en la aprobación de modificaciones presupuestarias, cambiando la partida de los fondos para subvenciones a otra que no estaba regulada para esa finalidad y que suponía eludir la fiscalización previa.</w:t>
      </w:r>
    </w:p>
    <w:p w14:paraId="2A3B137B" w14:textId="77777777" w:rsidR="003754FE" w:rsidRDefault="003754FE" w:rsidP="003754FE">
      <w:pPr>
        <w:pStyle w:val="TextoNormal"/>
      </w:pPr>
    </w:p>
    <w:p w14:paraId="272B45E7" w14:textId="77777777" w:rsidR="003754FE" w:rsidRDefault="003754FE" w:rsidP="003754FE">
      <w:pPr>
        <w:pStyle w:val="TextoNormal"/>
      </w:pPr>
      <w:r>
        <w:t>Posteriormente ya como viceconsejero de la Consejería de Innovación a partir de 2005 y como vicepresidente de IDEA, conoció los informes y memorias que se mencionan en la sentencia y se han reflejado antes, que exponían todas las ilegalidades que se estaban cometiendo y la falta de control de los fondos, e intervino (i) en primer lugar en la Comisión General de Viceconsejeros, en la aprobación de las modificaciones presupuestarias, para transferir fondos de una partida presupuestaria correspondiente al pago de subvenciones a otra de transferencias de financiación, pero cuyo fin verdadero no era el legalmente previsto sino el pago de subvenciones, a favor de particulares o personas jurídicas privadas, eludiendo el control propio de las subvenciones, a sabiendas que de este modo se producía la disposición de esos fondos públicos, sin una fiscalización eficaz, por el titular de un cargo que no tenía competencia para ello y a través de la entidad IDEA que no tenía la consideración de entidad colaboradora; y (ii) en segundo lugar, cuando se iban a entregar los fondos así asignados, en su calidad de vicepresidente y miembro del consejo rector de IDEA, en la aprobación de los convenios particulares que permitían esa entrega.</w:t>
      </w:r>
    </w:p>
    <w:p w14:paraId="302563E4" w14:textId="77777777" w:rsidR="003754FE" w:rsidRDefault="003754FE" w:rsidP="003754FE">
      <w:pPr>
        <w:pStyle w:val="TextoNormal"/>
      </w:pPr>
    </w:p>
    <w:p w14:paraId="3B746B0B" w14:textId="77777777" w:rsidR="003754FE" w:rsidRDefault="003754FE" w:rsidP="003754FE">
      <w:pPr>
        <w:pStyle w:val="TextoNormal"/>
      </w:pPr>
      <w:r>
        <w:t>Pues bien, la fundamentación contenida en el fundamento jurídico 125 de la sentencia del Tribunal Supremo (págs. 928 y ss.), es perfectamente racional para inferir la existencia de dolo en el recurrente, así como la concreta participación mediante la pluralidad de indicios existente.</w:t>
      </w:r>
    </w:p>
    <w:p w14:paraId="0D7580A0" w14:textId="77777777" w:rsidR="003754FE" w:rsidRDefault="003754FE" w:rsidP="003754FE">
      <w:pPr>
        <w:pStyle w:val="TextoNormal"/>
      </w:pPr>
    </w:p>
    <w:p w14:paraId="64FADE6E" w14:textId="77777777" w:rsidR="003754FE" w:rsidRDefault="003754FE" w:rsidP="003754FE">
      <w:pPr>
        <w:pStyle w:val="TextoNormal"/>
      </w:pPr>
      <w:r>
        <w:t>g) Por tanto, puede concluirse de modo contundente que las resoluciones impugnadas desde la perspectiva de la doctrina constitucional contienen una argumentación lógica y razonable que se infiere de los hechos declarados probados y abarca todos los elementos del tipo del injusto —incluidos los subjetivos— respecto de la malversación de caudales públicos.</w:t>
      </w:r>
    </w:p>
    <w:p w14:paraId="732CB82A" w14:textId="77777777" w:rsidR="003754FE" w:rsidRDefault="003754FE" w:rsidP="003754FE">
      <w:pPr>
        <w:pStyle w:val="TextoNormal"/>
      </w:pPr>
    </w:p>
    <w:p w14:paraId="059942F0" w14:textId="77777777" w:rsidR="003754FE" w:rsidRDefault="003754FE" w:rsidP="003754FE">
      <w:pPr>
        <w:pStyle w:val="TextoNormal"/>
      </w:pPr>
      <w:r>
        <w:t>h) De este modo, el control externo de las sentencias que le corresponde a esta jurisdicción constitucional permite afirmar, contrariamente a lo sostenido en la sentencia frente a la que formulamos el presente voto particular, la razonabilidad del nexo establecido por las resoluciones, sin perjuicio de la respetable discrepancia del recurrente sobre otras alternativas posibles a las conclusiones alcanzadas por los órganos judiciales, sobre las que este tribunal no debe pronunciarse.</w:t>
      </w:r>
    </w:p>
    <w:p w14:paraId="7C05579C" w14:textId="77777777" w:rsidR="003754FE" w:rsidRDefault="003754FE" w:rsidP="003754FE">
      <w:pPr>
        <w:pStyle w:val="TextoNormal"/>
      </w:pPr>
    </w:p>
    <w:p w14:paraId="2BC5D3AC" w14:textId="77777777" w:rsidR="003754FE" w:rsidRDefault="003754FE" w:rsidP="003754FE">
      <w:pPr>
        <w:pStyle w:val="TextoNormal"/>
      </w:pPr>
      <w:r>
        <w:t xml:space="preserve">i) La sentencia ha efectuado una revisión de oficio de la motivación de las resoluciones impugnadas, marginando la valoración probatoria de las sentencias a la que antes se ha hecho referencia y suplantando a los tribunales ordinarios en la función que les corresponde. De este modo, la sentencia efectúa un viraje con relación al tradicional modo de enfocar la vulneración del derecho a la presunción de inocencia y evalúa la valoración de la prueba conforme a criterios de calidad o de oportunidad, alejándose de la supervisión externa que le corresponde y de la “extraordinaria cautela” que debe asumir, al no ser función del Tribunal enjuiciar el resultado alcanzado, sino el control externo del razonamiento lógico seguido por las resoluciones impugnadas. La argumentación de las sentencias de instancia y </w:t>
      </w:r>
      <w:r>
        <w:lastRenderedPageBreak/>
        <w:t>de casación, en razón a lo expuesto, justifica de modo coherente el conocimiento que el recurrente tenía de la ilicitud de la concesión de ayudas por el IFA/IDEA en el periodo que él fue director.</w:t>
      </w:r>
    </w:p>
    <w:p w14:paraId="0B881200" w14:textId="77777777" w:rsidR="003754FE" w:rsidRDefault="003754FE" w:rsidP="003754FE">
      <w:pPr>
        <w:pStyle w:val="TextoNormal"/>
      </w:pPr>
    </w:p>
    <w:p w14:paraId="4411F01C" w14:textId="77777777" w:rsidR="003754FE" w:rsidRDefault="003754FE" w:rsidP="003754FE">
      <w:pPr>
        <w:pStyle w:val="TextoNormal"/>
      </w:pPr>
      <w:r>
        <w:t>Por lo expuesto, formulamos el presente voto particular.</w:t>
      </w:r>
    </w:p>
    <w:p w14:paraId="3A0C7C96" w14:textId="77777777" w:rsidR="003754FE" w:rsidRDefault="003754FE" w:rsidP="003754FE">
      <w:pPr>
        <w:pStyle w:val="TextoNormal"/>
      </w:pPr>
    </w:p>
    <w:p w14:paraId="50C02480" w14:textId="06195F09" w:rsidR="003754FE" w:rsidRDefault="003754FE" w:rsidP="003754FE">
      <w:pPr>
        <w:pStyle w:val="TextoNormal"/>
      </w:pPr>
      <w:r>
        <w:t>Madrid, a tres de julio de dos mil veinticuatro.</w:t>
      </w:r>
    </w:p>
    <w:p w14:paraId="6BAA1D97" w14:textId="783E1B5E" w:rsidR="003754FE" w:rsidRDefault="003754FE">
      <w:pPr>
        <w:spacing w:after="160" w:line="278" w:lineRule="auto"/>
        <w:rPr>
          <w:rFonts w:ascii="Times New Roman" w:eastAsia="Times New Roman" w:hAnsi="Times New Roman" w:cs="Times New Roman"/>
          <w:sz w:val="24"/>
          <w:szCs w:val="24"/>
          <w:lang w:eastAsia="es-ES"/>
        </w:rPr>
      </w:pPr>
      <w:r>
        <w:br w:type="page"/>
      </w:r>
    </w:p>
    <w:p w14:paraId="0678A7EB" w14:textId="77777777" w:rsidR="003754FE" w:rsidRDefault="003754FE" w:rsidP="003754FE">
      <w:pPr>
        <w:pStyle w:val="TtuloResolucin"/>
      </w:pPr>
      <w:bookmarkStart w:id="7" w:name="SENTENCIA_2024_98"/>
      <w:r>
        <w:lastRenderedPageBreak/>
        <w:t>SENTENCIA 98/2024, de 3 de julio de 2024</w:t>
      </w:r>
    </w:p>
    <w:bookmarkEnd w:id="7"/>
    <w:p w14:paraId="14830E05" w14:textId="77777777" w:rsidR="003754FE" w:rsidRDefault="003754FE" w:rsidP="003754FE">
      <w:pPr>
        <w:pStyle w:val="TtuloResolucin"/>
      </w:pPr>
      <w:r>
        <w:t>Pleno</w:t>
      </w:r>
    </w:p>
    <w:p w14:paraId="089B6E37" w14:textId="77777777" w:rsidR="003754FE" w:rsidRDefault="003754FE" w:rsidP="003754FE">
      <w:pPr>
        <w:pStyle w:val="TtuloBOE"/>
      </w:pPr>
      <w:r>
        <w:t>(BOE núm. 186, de 2 de agosto de 2024)</w:t>
      </w:r>
    </w:p>
    <w:p w14:paraId="281E329F" w14:textId="77777777" w:rsidR="003754FE" w:rsidRDefault="003754FE" w:rsidP="003754FE">
      <w:pPr>
        <w:pStyle w:val="TextoNormalCentrado"/>
      </w:pPr>
      <w:r>
        <w:t>ECLI:ES:TC:2024:98</w:t>
      </w:r>
    </w:p>
    <w:p w14:paraId="22493EF8" w14:textId="6F01837D" w:rsidR="003754FE" w:rsidRDefault="003754FE" w:rsidP="003754FE">
      <w:pPr>
        <w:pStyle w:val="TextoNormalCentrado"/>
      </w:pPr>
    </w:p>
    <w:p w14:paraId="43924953" w14:textId="77777777" w:rsidR="003754FE" w:rsidRDefault="003754FE" w:rsidP="003754FE">
      <w:pPr>
        <w:pStyle w:val="SntesisDescriptiva"/>
      </w:pPr>
      <w:r>
        <w:t>Recurso de amparo 2391-2023. Promovido por doña Carmen Martínez Aguayo respecto de las sentencias dictadas por la Sala de lo Penal del Tribunal Supremo y la Audiencia Provincial de Sevilla que la condenaron por un delito continuado de prevaricación en concurso medial con un delito continuado de malversación de caudales públicos.</w:t>
      </w:r>
    </w:p>
    <w:p w14:paraId="602BB163" w14:textId="64239183" w:rsidR="003754FE" w:rsidRDefault="003754FE" w:rsidP="003754FE">
      <w:pPr>
        <w:pStyle w:val="SntesisDescriptiva"/>
      </w:pPr>
    </w:p>
    <w:p w14:paraId="3FB39E89" w14:textId="77777777" w:rsidR="003754FE" w:rsidRDefault="003754FE" w:rsidP="003754FE">
      <w:pPr>
        <w:pStyle w:val="SntesisAnaltica"/>
      </w:pPr>
      <w:r>
        <w:t>Vulneración del derecho a la legalidad penal y a la presunción de inocencia: condena basada en una interpretación del todo imprevisible del tipo objetivo. Votos particulares.</w:t>
      </w:r>
    </w:p>
    <w:p w14:paraId="0B7CE57F" w14:textId="517CE6EB" w:rsidR="003754FE" w:rsidRDefault="003754FE" w:rsidP="003754FE">
      <w:pPr>
        <w:pStyle w:val="SntesisAnaltica"/>
      </w:pPr>
    </w:p>
    <w:p w14:paraId="3D20718A" w14:textId="2F531D05" w:rsidR="003754FE" w:rsidRDefault="003754FE" w:rsidP="003754FE">
      <w:pPr>
        <w:pStyle w:val="Extracto"/>
      </w:pPr>
      <w:r>
        <w:t>1.</w:t>
      </w:r>
      <w:r>
        <w:tab/>
        <w:t xml:space="preserve">En el marco de la serie de sentencias dictadas en relación con el denominado proceso “ERE”, -que en este caso derivó en condena por delito continuado de prevaricación administrativa del art. 404 CP, en concurso medial con un delito continuado de malversación de caudales públicos del art. 432 CP-, se reitera doctrina en materia de la vulneración de los derechos a la legalidad penal </w:t>
      </w:r>
      <w:r w:rsidRPr="003754FE">
        <w:rPr>
          <w:i/>
        </w:rPr>
        <w:t xml:space="preserve">ex </w:t>
      </w:r>
      <w:r>
        <w:t xml:space="preserve">art. 25.1 CE y a la presunción de inocencia </w:t>
      </w:r>
      <w:r w:rsidRPr="003754FE">
        <w:rPr>
          <w:i/>
        </w:rPr>
        <w:t>ex</w:t>
      </w:r>
      <w:r>
        <w:t xml:space="preserve"> art. 24.2 CE (SSTC 93/2024 y 94/2024) [FFJJ 3 a 6].</w:t>
      </w:r>
    </w:p>
    <w:p w14:paraId="1B7A3894" w14:textId="77777777" w:rsidR="003754FE" w:rsidRDefault="003754FE" w:rsidP="003754FE">
      <w:pPr>
        <w:pStyle w:val="Extracto"/>
      </w:pPr>
    </w:p>
    <w:p w14:paraId="39C67916" w14:textId="77777777" w:rsidR="003754FE" w:rsidRDefault="003754FE" w:rsidP="003754FE">
      <w:pPr>
        <w:pStyle w:val="Extracto"/>
      </w:pPr>
    </w:p>
    <w:p w14:paraId="3AD5F59F"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7E0EAD70" w14:textId="44458A43" w:rsidR="003754FE" w:rsidRDefault="003754FE" w:rsidP="003754FE">
      <w:pPr>
        <w:pStyle w:val="TextoNormal"/>
      </w:pPr>
    </w:p>
    <w:p w14:paraId="6CBB209A" w14:textId="77777777" w:rsidR="003754FE" w:rsidRDefault="003754FE" w:rsidP="003754FE">
      <w:pPr>
        <w:pStyle w:val="TextoNormalCentrado"/>
        <w:keepNext/>
      </w:pPr>
      <w:r>
        <w:t>EN NOMBRE DEL REY</w:t>
      </w:r>
    </w:p>
    <w:p w14:paraId="3971EFB5" w14:textId="6305B344" w:rsidR="003754FE" w:rsidRDefault="003754FE" w:rsidP="003754FE">
      <w:pPr>
        <w:pStyle w:val="TextoNormalCentrado"/>
        <w:keepNext/>
      </w:pPr>
    </w:p>
    <w:p w14:paraId="33A7161C" w14:textId="77777777" w:rsidR="003754FE" w:rsidRDefault="003754FE" w:rsidP="003754FE">
      <w:pPr>
        <w:pStyle w:val="TextoNormalCentrado"/>
        <w:keepNext/>
      </w:pPr>
    </w:p>
    <w:p w14:paraId="30D9223B" w14:textId="77777777" w:rsidR="003754FE" w:rsidRDefault="003754FE" w:rsidP="003754FE">
      <w:pPr>
        <w:pStyle w:val="TextoNormal"/>
      </w:pPr>
      <w:r>
        <w:t>la siguiente</w:t>
      </w:r>
    </w:p>
    <w:p w14:paraId="537B653C" w14:textId="3FE78B55" w:rsidR="003754FE" w:rsidRDefault="003754FE" w:rsidP="003754FE">
      <w:pPr>
        <w:pStyle w:val="TextoNormal"/>
      </w:pPr>
    </w:p>
    <w:p w14:paraId="05CD0116" w14:textId="77777777" w:rsidR="003754FE" w:rsidRDefault="003754FE" w:rsidP="003754FE">
      <w:pPr>
        <w:pStyle w:val="TextoNormalCentrado"/>
        <w:keepNext/>
      </w:pPr>
      <w:r>
        <w:t>SENTENCIA</w:t>
      </w:r>
    </w:p>
    <w:p w14:paraId="7F389089" w14:textId="380DD5BA" w:rsidR="003754FE" w:rsidRDefault="003754FE" w:rsidP="003754FE">
      <w:pPr>
        <w:pStyle w:val="TextoNormalCentrado"/>
        <w:keepNext/>
      </w:pPr>
    </w:p>
    <w:p w14:paraId="0732FD86" w14:textId="77777777" w:rsidR="003754FE" w:rsidRDefault="003754FE" w:rsidP="003754FE">
      <w:pPr>
        <w:pStyle w:val="TextoNormal"/>
      </w:pPr>
      <w:r>
        <w:t xml:space="preserve">En el recurso de amparo núm. 2391-2023, promovido por doña Carmen Martínez Aguayo, representada por la procuradora de los tribunales doña Olga Coca Alonso, bajo la dirección letrada de don Víctor Moreno Catena, contra la sentencia núm. 490/2019, de 19 de noviembre, dictada por la Sección Primera de la Audiencia Provincial de Sevilla en el rollo núm. 1965-2017, dimanante del procedimiento abreviado núm. 133-2016; la sentencia núm. 749/2022, de 13 de septiembre, de la Sala de lo Penal del Tribunal Supremo, dictada en el recurso de casación núm. 601-2020, y el auto de 16 de febrero de 2023 dictado en el mismo recurso. Han sido parte el Partido Popular, representado por el procurador de los tribunales don Manuel Sánchez-Puelles y González-Carvajal, bajo la dirección técnica de los letrados don Ángel Márquez Prieto y don Alfonso Martínez Escribano; don José Antonio Griñán Martínez y don Antonio Vicente Lozano Peña, representados por el procurador de </w:t>
      </w:r>
      <w:r>
        <w:lastRenderedPageBreak/>
        <w:t>los tribunales don Roberto Granizo Palomeque, bajo la dirección técnica del letrado don José María Calero Martínez; don Jesús María Rodríguez Román, representado por la procuradora de los tribunales doña Patricia Rosch Iglesias, bajo la dirección técnica del letrado don Luis Aparicio Díaz; don Francisco Vallejo Serrano, representado por la procuradora de los tribunales doña Patricia Rosch Iglesias, bajo la dirección técnica de la letrada doña Encarnación Molino Barrero, y don Gaspar Zarrías Arévalo, representado por la procuradora de los tribunales doña Virginia Aragón Segura, bajo la dirección técnica del letrado don Gonzalo Martínez-Fresneda Ortiz de Solórzano. Ha intervenido el Ministerio Fiscal. Ha sido ponente la magistrada doña Inmaculada Montalbán Huertas.</w:t>
      </w:r>
    </w:p>
    <w:p w14:paraId="7BAAC2D9" w14:textId="7AD2E1F2" w:rsidR="003754FE" w:rsidRDefault="003754FE" w:rsidP="003754FE">
      <w:pPr>
        <w:pStyle w:val="TextoNormal"/>
      </w:pPr>
    </w:p>
    <w:p w14:paraId="01CEBFAC" w14:textId="77777777" w:rsidR="003754FE" w:rsidRDefault="003754FE" w:rsidP="003754FE">
      <w:pPr>
        <w:pStyle w:val="TextoNormalNegritaCentrado"/>
        <w:keepNext/>
      </w:pPr>
      <w:r>
        <w:t>I. Antecedentes</w:t>
      </w:r>
    </w:p>
    <w:p w14:paraId="4E4F38AE" w14:textId="503E51A3" w:rsidR="003754FE" w:rsidRDefault="003754FE" w:rsidP="003754FE">
      <w:pPr>
        <w:pStyle w:val="TextoNormalNegritaCentrado"/>
        <w:keepNext/>
      </w:pPr>
    </w:p>
    <w:p w14:paraId="241EAE7E" w14:textId="7BF4D401" w:rsidR="003754FE" w:rsidRDefault="003754FE" w:rsidP="003754FE">
      <w:pPr>
        <w:pStyle w:val="TextoNormal"/>
      </w:pPr>
      <w:r w:rsidRPr="003754FE">
        <w:rPr>
          <w:rStyle w:val="NumeroAFNegritaCaracter"/>
        </w:rPr>
        <w:t>1</w:t>
      </w:r>
      <w:r>
        <w:t>. El 11 de abril de 2023 tuvo entrada en el registro general de este tribunal un escrito presentado por la procuradora doña Olga Coca Alonso, actuando en nombre y representación de doña Carmen Martínez Aguayo, bajo la dirección letrada del abogado don Víctor Moreno Catena, mediante el que interpuso recurso de amparo contra las resoluciones judiciales que se mencionan en el encabezamiento.</w:t>
      </w:r>
    </w:p>
    <w:p w14:paraId="1F1B7327" w14:textId="77777777" w:rsidR="003754FE" w:rsidRDefault="003754FE" w:rsidP="003754FE">
      <w:pPr>
        <w:pStyle w:val="TextoNormal"/>
      </w:pPr>
    </w:p>
    <w:p w14:paraId="7C128720" w14:textId="77777777" w:rsidR="003754FE" w:rsidRDefault="003754FE" w:rsidP="003754FE">
      <w:pPr>
        <w:pStyle w:val="TextoNormal"/>
      </w:pPr>
      <w:r w:rsidRPr="003754FE">
        <w:rPr>
          <w:rStyle w:val="NumeroAFNegritaCaracter"/>
        </w:rPr>
        <w:t>2</w:t>
      </w:r>
      <w:r>
        <w:t>. Son antecedentes relevantes de la demanda los siguientes:</w:t>
      </w:r>
    </w:p>
    <w:p w14:paraId="62F9F76C" w14:textId="77777777" w:rsidR="003754FE" w:rsidRDefault="003754FE" w:rsidP="003754FE">
      <w:pPr>
        <w:pStyle w:val="TextoNormal"/>
      </w:pPr>
    </w:p>
    <w:p w14:paraId="75CC33D4" w14:textId="77777777" w:rsidR="003754FE" w:rsidRDefault="003754FE" w:rsidP="003754FE">
      <w:pPr>
        <w:pStyle w:val="TextoNormal"/>
      </w:pPr>
      <w:r>
        <w:t>a) Las resoluciones impugnadas en el presente proceso de amparo han sido dictadas en el marco de la denominada “pieza específica” del caso “ERE”, en la que fueron condenados diversos miembros del Gobierno y la administración de la Junta de Andalucía —incluyendo desde presidentes de la Comunidad Autónoma a directores generales— por haber intervenido, a lo largo de casi diez años, en el diseño y/o ejecución de un sistema de concesión de ayudas sociolaborales y a empresas en crisis. Según el resumen efectuado por el Tribunal Supremo en la sentencia de casación (folio 97 y siguientes), los hechos en los que se habría articulado ese sistema de concesión de ayudas se dividirían en tres etapas diferentes:</w:t>
      </w:r>
    </w:p>
    <w:p w14:paraId="68029B29" w14:textId="77777777" w:rsidR="003754FE" w:rsidRDefault="003754FE" w:rsidP="003754FE">
      <w:pPr>
        <w:pStyle w:val="TextoNormal"/>
      </w:pPr>
    </w:p>
    <w:p w14:paraId="0090FC34" w14:textId="77777777" w:rsidR="003754FE" w:rsidRDefault="003754FE" w:rsidP="003754FE">
      <w:pPr>
        <w:pStyle w:val="TextoNormal"/>
      </w:pPr>
      <w:r>
        <w:t>“I) Primera etapa</w:t>
      </w:r>
    </w:p>
    <w:p w14:paraId="7AB57A3E" w14:textId="77777777" w:rsidR="003754FE" w:rsidRDefault="003754FE" w:rsidP="003754FE">
      <w:pPr>
        <w:pStyle w:val="TextoNormal"/>
      </w:pPr>
    </w:p>
    <w:p w14:paraId="3A201F78" w14:textId="77777777" w:rsidR="003754FE" w:rsidRDefault="003754FE" w:rsidP="003754FE">
      <w:pPr>
        <w:pStyle w:val="TextoNormal"/>
      </w:pPr>
      <w:r>
        <w:t>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14:paraId="035DBF39" w14:textId="77777777" w:rsidR="003754FE" w:rsidRDefault="003754FE" w:rsidP="003754FE">
      <w:pPr>
        <w:pStyle w:val="TextoNormal"/>
      </w:pPr>
    </w:p>
    <w:p w14:paraId="4B70C918" w14:textId="77777777" w:rsidR="003754FE" w:rsidRDefault="003754FE" w:rsidP="003754FE">
      <w:pPr>
        <w:pStyle w:val="TextoNormal"/>
      </w:pPr>
      <w:r>
        <w:t>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14:paraId="570345BE" w14:textId="77777777" w:rsidR="003754FE" w:rsidRDefault="003754FE" w:rsidP="003754FE">
      <w:pPr>
        <w:pStyle w:val="TextoNormal"/>
      </w:pPr>
    </w:p>
    <w:p w14:paraId="47E22E70" w14:textId="77777777" w:rsidR="003754FE" w:rsidRDefault="003754FE" w:rsidP="003754FE">
      <w:pPr>
        <w:pStyle w:val="TextoNormal"/>
      </w:pPr>
      <w:r>
        <w:lastRenderedPageBreak/>
        <w:t>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14:paraId="196605C1" w14:textId="77777777" w:rsidR="003754FE" w:rsidRDefault="003754FE" w:rsidP="003754FE">
      <w:pPr>
        <w:pStyle w:val="TextoNormal"/>
      </w:pPr>
    </w:p>
    <w:p w14:paraId="43025C32" w14:textId="77777777" w:rsidR="003754FE" w:rsidRDefault="003754FE" w:rsidP="003754FE">
      <w:pPr>
        <w:pStyle w:val="TextoNormal"/>
      </w:pPr>
      <w:r>
        <w:t>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14:paraId="72982AF1" w14:textId="77777777" w:rsidR="003754FE" w:rsidRDefault="003754FE" w:rsidP="003754FE">
      <w:pPr>
        <w:pStyle w:val="TextoNormal"/>
      </w:pPr>
    </w:p>
    <w:p w14:paraId="6AD8F74E" w14:textId="77777777" w:rsidR="003754FE" w:rsidRDefault="003754FE" w:rsidP="003754FE">
      <w:pPr>
        <w:pStyle w:val="TextoNormal"/>
      </w:pPr>
      <w:r>
        <w:t>Sin perjuicio de ahondar más adelante en el régimen jurídico aplicable a estas ayudas, las notas más relevantes de esta regulación eran las siguientes:</w:t>
      </w:r>
    </w:p>
    <w:p w14:paraId="788F8338" w14:textId="77777777" w:rsidR="003754FE" w:rsidRDefault="003754FE" w:rsidP="003754FE">
      <w:pPr>
        <w:pStyle w:val="TextoNormal"/>
      </w:pPr>
    </w:p>
    <w:p w14:paraId="42E73D55" w14:textId="77777777" w:rsidR="003754FE" w:rsidRDefault="003754FE" w:rsidP="003754FE">
      <w:pPr>
        <w:pStyle w:val="TextoNormal"/>
      </w:pPr>
      <w:r>
        <w:t>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14:paraId="0221C997" w14:textId="77777777" w:rsidR="003754FE" w:rsidRDefault="003754FE" w:rsidP="003754FE">
      <w:pPr>
        <w:pStyle w:val="TextoNormal"/>
      </w:pPr>
    </w:p>
    <w:p w14:paraId="4BAE7D04" w14:textId="77777777" w:rsidR="003754FE" w:rsidRDefault="003754FE" w:rsidP="003754FE">
      <w:pPr>
        <w:pStyle w:val="TextoNormal"/>
      </w:pPr>
      <w:r>
        <w:t>Los beneficiarios de la subvención quedaban sujetos a las siguientes obligaciones:</w:t>
      </w:r>
    </w:p>
    <w:p w14:paraId="6F503B2D" w14:textId="77777777" w:rsidR="003754FE" w:rsidRDefault="003754FE" w:rsidP="003754FE">
      <w:pPr>
        <w:pStyle w:val="TextoNormal"/>
      </w:pPr>
    </w:p>
    <w:p w14:paraId="017A80BD" w14:textId="77777777" w:rsidR="003754FE" w:rsidRDefault="003754FE" w:rsidP="003754FE">
      <w:pPr>
        <w:pStyle w:val="TextoNormal"/>
      </w:pPr>
      <w:r>
        <w:t>(i) Realizar la actividad o adoptar el comportamiento que fundamente la concesión de la subvención en la forma y plazos establecidos.</w:t>
      </w:r>
    </w:p>
    <w:p w14:paraId="298BBE64" w14:textId="77777777" w:rsidR="003754FE" w:rsidRDefault="003754FE" w:rsidP="003754FE">
      <w:pPr>
        <w:pStyle w:val="TextoNormal"/>
      </w:pPr>
    </w:p>
    <w:p w14:paraId="28A82F9F" w14:textId="77777777" w:rsidR="003754FE" w:rsidRDefault="003754FE" w:rsidP="003754FE">
      <w:pPr>
        <w:pStyle w:val="TextoNormal"/>
      </w:pPr>
      <w:r>
        <w:t>(ii) Justificar ante la entidad concedente o, en su caso, la entidad colaboradora la realización de la actividad o la adopción del comportamiento, así como el cumplimiento de los requisitos y condiciones que determinen la concesión o disfrute de la subvención.</w:t>
      </w:r>
    </w:p>
    <w:p w14:paraId="0CF3B304" w14:textId="77777777" w:rsidR="003754FE" w:rsidRDefault="003754FE" w:rsidP="003754FE">
      <w:pPr>
        <w:pStyle w:val="TextoNormal"/>
      </w:pPr>
    </w:p>
    <w:p w14:paraId="4BE37F49" w14:textId="77777777" w:rsidR="003754FE" w:rsidRDefault="003754FE" w:rsidP="003754FE">
      <w:pPr>
        <w:pStyle w:val="TextoNormal"/>
      </w:pPr>
      <w:r>
        <w:t>(iii)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14:paraId="45C0B83B" w14:textId="77777777" w:rsidR="003754FE" w:rsidRDefault="003754FE" w:rsidP="003754FE">
      <w:pPr>
        <w:pStyle w:val="TextoNormal"/>
      </w:pPr>
    </w:p>
    <w:p w14:paraId="17FE02C9" w14:textId="77777777" w:rsidR="003754FE" w:rsidRDefault="003754FE" w:rsidP="003754FE">
      <w:pPr>
        <w:pStyle w:val="TextoNormal"/>
      </w:pPr>
      <w:r>
        <w:t>(iv)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14:paraId="2FE0AB87" w14:textId="77777777" w:rsidR="003754FE" w:rsidRDefault="003754FE" w:rsidP="003754FE">
      <w:pPr>
        <w:pStyle w:val="TextoNormal"/>
      </w:pPr>
    </w:p>
    <w:p w14:paraId="4A9ABC64" w14:textId="77777777" w:rsidR="003754FE" w:rsidRDefault="003754FE" w:rsidP="003754FE">
      <w:pPr>
        <w:pStyle w:val="TextoNormal"/>
      </w:pPr>
      <w:r>
        <w:t>(v)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14:paraId="2D84F788" w14:textId="77777777" w:rsidR="003754FE" w:rsidRDefault="003754FE" w:rsidP="003754FE">
      <w:pPr>
        <w:pStyle w:val="TextoNormal"/>
      </w:pPr>
    </w:p>
    <w:p w14:paraId="26237B7F" w14:textId="77777777" w:rsidR="003754FE" w:rsidRDefault="003754FE" w:rsidP="003754FE">
      <w:pPr>
        <w:pStyle w:val="TextoNormal"/>
      </w:pPr>
      <w:r>
        <w:t>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14:paraId="16A17D7B" w14:textId="77777777" w:rsidR="003754FE" w:rsidRDefault="003754FE" w:rsidP="003754FE">
      <w:pPr>
        <w:pStyle w:val="TextoNormal"/>
      </w:pPr>
    </w:p>
    <w:p w14:paraId="5503A544" w14:textId="77777777" w:rsidR="003754FE" w:rsidRDefault="003754FE" w:rsidP="003754FE">
      <w:pPr>
        <w:pStyle w:val="TextoNormal"/>
      </w:pPr>
      <w:r>
        <w:t>En las bases reguladoras se podía disponer que la entrega fuera realizada por entidades colaboradoras. Las empresas públicas de Andalucía podían ser entidades colaboradoras y también se establecía a su cargo las siguientes obligaciones:</w:t>
      </w:r>
    </w:p>
    <w:p w14:paraId="6B1CA47C" w14:textId="77777777" w:rsidR="003754FE" w:rsidRDefault="003754FE" w:rsidP="003754FE">
      <w:pPr>
        <w:pStyle w:val="TextoNormal"/>
      </w:pPr>
    </w:p>
    <w:p w14:paraId="3B3F279F" w14:textId="77777777" w:rsidR="003754FE" w:rsidRDefault="003754FE" w:rsidP="003754FE">
      <w:pPr>
        <w:pStyle w:val="TextoNormal"/>
      </w:pPr>
      <w:r>
        <w:t>(i) Entregar a los beneficiarios los fondos recibidos de acuerdo con los criterios establecidos en las normas reguladoras de la subvención o ayuda;</w:t>
      </w:r>
    </w:p>
    <w:p w14:paraId="27687367" w14:textId="77777777" w:rsidR="003754FE" w:rsidRDefault="003754FE" w:rsidP="003754FE">
      <w:pPr>
        <w:pStyle w:val="TextoNormal"/>
      </w:pPr>
    </w:p>
    <w:p w14:paraId="44D5CCD6" w14:textId="77777777" w:rsidR="003754FE" w:rsidRDefault="003754FE" w:rsidP="003754FE">
      <w:pPr>
        <w:pStyle w:val="TextoNormal"/>
      </w:pPr>
      <w:r>
        <w:t>(ii) verificar, en su caso, el cumplimiento y efectividad de las condiciones determinantes para su otorgamiento;</w:t>
      </w:r>
    </w:p>
    <w:p w14:paraId="3CC43152" w14:textId="77777777" w:rsidR="003754FE" w:rsidRDefault="003754FE" w:rsidP="003754FE">
      <w:pPr>
        <w:pStyle w:val="TextoNormal"/>
      </w:pPr>
    </w:p>
    <w:p w14:paraId="485788B3" w14:textId="77777777" w:rsidR="003754FE" w:rsidRDefault="003754FE" w:rsidP="003754FE">
      <w:pPr>
        <w:pStyle w:val="TextoNormal"/>
      </w:pPr>
      <w:r>
        <w:t>(iii) justificar la aplicación de los fondos recibidos ante la entidad concedente y, en su caso, entregar la justificación presentada por los beneficiarios;</w:t>
      </w:r>
    </w:p>
    <w:p w14:paraId="40415A52" w14:textId="77777777" w:rsidR="003754FE" w:rsidRDefault="003754FE" w:rsidP="003754FE">
      <w:pPr>
        <w:pStyle w:val="TextoNormal"/>
      </w:pPr>
    </w:p>
    <w:p w14:paraId="57FA4E87" w14:textId="77777777" w:rsidR="003754FE" w:rsidRDefault="003754FE" w:rsidP="003754FE">
      <w:pPr>
        <w:pStyle w:val="TextoNormal"/>
      </w:pPr>
      <w:r>
        <w:t>(iv)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 y</w:t>
      </w:r>
    </w:p>
    <w:p w14:paraId="7156659D" w14:textId="77777777" w:rsidR="003754FE" w:rsidRDefault="003754FE" w:rsidP="003754FE">
      <w:pPr>
        <w:pStyle w:val="TextoNormal"/>
      </w:pPr>
    </w:p>
    <w:p w14:paraId="032A5527" w14:textId="77777777" w:rsidR="003754FE" w:rsidRDefault="003754FE" w:rsidP="003754FE">
      <w:pPr>
        <w:pStyle w:val="TextoNormal"/>
      </w:pPr>
      <w:r>
        <w:t>(v) colaborar en la restitución de las subvenciones otorgadas en los supuestos en que concurra causa de reintegro, y conforme a las normas que se establezcan (artículo 106).</w:t>
      </w:r>
    </w:p>
    <w:p w14:paraId="5A92DB54" w14:textId="77777777" w:rsidR="003754FE" w:rsidRDefault="003754FE" w:rsidP="003754FE">
      <w:pPr>
        <w:pStyle w:val="TextoNormal"/>
      </w:pPr>
    </w:p>
    <w:p w14:paraId="111FC663" w14:textId="77777777" w:rsidR="003754FE" w:rsidRDefault="003754FE" w:rsidP="003754FE">
      <w:pPr>
        <w:pStyle w:val="TextoNormal"/>
      </w:pPr>
      <w:r>
        <w:t>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14:paraId="2F4F50CA" w14:textId="77777777" w:rsidR="003754FE" w:rsidRDefault="003754FE" w:rsidP="003754FE">
      <w:pPr>
        <w:pStyle w:val="TextoNormal"/>
      </w:pPr>
    </w:p>
    <w:p w14:paraId="31259776" w14:textId="77777777" w:rsidR="003754FE" w:rsidRDefault="003754FE" w:rsidP="003754FE">
      <w:pPr>
        <w:pStyle w:val="TextoNormal"/>
      </w:pPr>
      <w:r>
        <w:t>Los proyectos de normas reguladoras de la concesión de subvenciones debían ser sometidos a informe de la Intervención General de la Junta de Andalucía, antes de su aprobación, y publicados en el ‘Boletín Oficial de la Juntad de Andalucía’ (artículo 107).</w:t>
      </w:r>
    </w:p>
    <w:p w14:paraId="7982B58F" w14:textId="77777777" w:rsidR="003754FE" w:rsidRDefault="003754FE" w:rsidP="003754FE">
      <w:pPr>
        <w:pStyle w:val="TextoNormal"/>
      </w:pPr>
    </w:p>
    <w:p w14:paraId="5BFDF939" w14:textId="77777777" w:rsidR="003754FE" w:rsidRDefault="003754FE" w:rsidP="003754FE">
      <w:pPr>
        <w:pStyle w:val="TextoNormal"/>
      </w:pPr>
      <w:r>
        <w:t>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w:t>
      </w:r>
      <w:r w:rsidRPr="003754FE">
        <w:rPr>
          <w:i/>
        </w:rPr>
        <w:t xml:space="preserve"> 85</w:t>
      </w:r>
      <w:r>
        <w:t xml:space="preserve"> bis de la citada ley.</w:t>
      </w:r>
    </w:p>
    <w:p w14:paraId="2540F064" w14:textId="77777777" w:rsidR="003754FE" w:rsidRDefault="003754FE" w:rsidP="003754FE">
      <w:pPr>
        <w:pStyle w:val="TextoNormal"/>
      </w:pPr>
    </w:p>
    <w:p w14:paraId="5257E863" w14:textId="77777777" w:rsidR="003754FE" w:rsidRDefault="003754FE" w:rsidP="003754FE">
      <w:pPr>
        <w:pStyle w:val="TextoNormal"/>
      </w:pPr>
      <w:r>
        <w:t>II) Segunda etapa</w:t>
      </w:r>
    </w:p>
    <w:p w14:paraId="34117C10" w14:textId="77777777" w:rsidR="003754FE" w:rsidRDefault="003754FE" w:rsidP="003754FE">
      <w:pPr>
        <w:pStyle w:val="TextoNormal"/>
      </w:pPr>
    </w:p>
    <w:p w14:paraId="3FC0D0A5" w14:textId="77777777" w:rsidR="003754FE" w:rsidRDefault="003754FE" w:rsidP="003754FE">
      <w:pPr>
        <w:pStyle w:val="TextoNormal"/>
      </w:pPr>
      <w:r>
        <w:t xml:space="preserve">Ante la necesidad de dar respuesta ágil a las graves crisis empresariales que afectaban a algunas importantes empresas de Andalucía en el año 1999 se decidió que el Instituto de Fomento de Andalucía (IFA) adelantara algunas de estas subvenciones, y así aconteció en </w:t>
      </w:r>
      <w:r>
        <w:lastRenderedPageBreak/>
        <w:t>relación con las ayudas concedidas a las empresas IAMASA y HAMSA. Con tal procedimiento se procedía al pago sin la necesaria fiscalización previa.</w:t>
      </w:r>
    </w:p>
    <w:p w14:paraId="25D56777" w14:textId="77777777" w:rsidR="003754FE" w:rsidRDefault="003754FE" w:rsidP="003754FE">
      <w:pPr>
        <w:pStyle w:val="TextoNormal"/>
      </w:pPr>
    </w:p>
    <w:p w14:paraId="54553A73" w14:textId="77777777" w:rsidR="003754FE" w:rsidRDefault="003754FE" w:rsidP="003754FE">
      <w:pPr>
        <w:pStyle w:val="TextoNormal"/>
      </w:pPr>
      <w:r>
        <w:t>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14:paraId="54A1ED6F" w14:textId="77777777" w:rsidR="003754FE" w:rsidRDefault="003754FE" w:rsidP="003754FE">
      <w:pPr>
        <w:pStyle w:val="TextoNormal"/>
      </w:pPr>
    </w:p>
    <w:p w14:paraId="2289DEB6" w14:textId="77777777" w:rsidR="003754FE" w:rsidRDefault="003754FE" w:rsidP="003754FE">
      <w:pPr>
        <w:pStyle w:val="TextoNormal"/>
      </w:pPr>
      <w:r>
        <w:t>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14:paraId="76059F5D" w14:textId="77777777" w:rsidR="003754FE" w:rsidRDefault="003754FE" w:rsidP="003754FE">
      <w:pPr>
        <w:pStyle w:val="TextoNormal"/>
      </w:pPr>
    </w:p>
    <w:p w14:paraId="1D090ED5" w14:textId="77777777" w:rsidR="003754FE" w:rsidRDefault="003754FE" w:rsidP="003754FE">
      <w:pPr>
        <w:pStyle w:val="TextoNormal"/>
      </w:pPr>
      <w:r>
        <w:t>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14:paraId="078B2442" w14:textId="77777777" w:rsidR="003754FE" w:rsidRDefault="003754FE" w:rsidP="003754FE">
      <w:pPr>
        <w:pStyle w:val="TextoNormal"/>
      </w:pPr>
    </w:p>
    <w:p w14:paraId="26EFD5DF" w14:textId="77777777" w:rsidR="003754FE" w:rsidRDefault="003754FE" w:rsidP="003754FE">
      <w:pPr>
        <w:pStyle w:val="TextoNormal"/>
      </w:pPr>
      <w:r>
        <w:t>Ante las dificultades surgidas, en abril de 2000 se procedió a una modificación presupuestaria, bajo la iniciativa de la Consejería de Empleo. Se modificó la clasificación económica del gasto.</w:t>
      </w:r>
    </w:p>
    <w:p w14:paraId="6295BC8D" w14:textId="77777777" w:rsidR="003754FE" w:rsidRDefault="003754FE" w:rsidP="003754FE">
      <w:pPr>
        <w:pStyle w:val="TextoNormal"/>
      </w:pPr>
    </w:p>
    <w:p w14:paraId="63353E99" w14:textId="77777777" w:rsidR="003754FE" w:rsidRDefault="003754FE" w:rsidP="003754FE">
      <w:pPr>
        <w:pStyle w:val="TextoNormal"/>
      </w:pPr>
      <w:r>
        <w:t>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14:paraId="3F6D4083" w14:textId="77777777" w:rsidR="003754FE" w:rsidRDefault="003754FE" w:rsidP="003754FE">
      <w:pPr>
        <w:pStyle w:val="TextoNormal"/>
      </w:pPr>
    </w:p>
    <w:p w14:paraId="73E325DA" w14:textId="77777777" w:rsidR="003754FE" w:rsidRDefault="003754FE" w:rsidP="003754FE">
      <w:pPr>
        <w:pStyle w:val="TextoNormal"/>
      </w:pPr>
      <w:r>
        <w:t>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14:paraId="0D569FE0" w14:textId="77777777" w:rsidR="003754FE" w:rsidRDefault="003754FE" w:rsidP="003754FE">
      <w:pPr>
        <w:pStyle w:val="TextoNormal"/>
      </w:pPr>
    </w:p>
    <w:p w14:paraId="6C5B886B" w14:textId="77777777" w:rsidR="003754FE" w:rsidRDefault="003754FE" w:rsidP="003754FE">
      <w:pPr>
        <w:pStyle w:val="TextoNormal"/>
      </w:pPr>
      <w:r>
        <w:t>En vez de aprobar una nueva normativa o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14:paraId="5E834DC3" w14:textId="77777777" w:rsidR="003754FE" w:rsidRDefault="003754FE" w:rsidP="003754FE">
      <w:pPr>
        <w:pStyle w:val="TextoNormal"/>
      </w:pPr>
    </w:p>
    <w:p w14:paraId="63E4F5AA" w14:textId="77777777" w:rsidR="003754FE" w:rsidRDefault="003754FE" w:rsidP="003754FE">
      <w:pPr>
        <w:pStyle w:val="TextoNormal"/>
      </w:pPr>
      <w:r>
        <w:lastRenderedPageBreak/>
        <w:t>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14:paraId="6E939A62" w14:textId="77777777" w:rsidR="003754FE" w:rsidRDefault="003754FE" w:rsidP="003754FE">
      <w:pPr>
        <w:pStyle w:val="TextoNormal"/>
      </w:pPr>
    </w:p>
    <w:p w14:paraId="2E26A2FA" w14:textId="77777777" w:rsidR="003754FE" w:rsidRDefault="003754FE" w:rsidP="003754FE">
      <w:pPr>
        <w:pStyle w:val="TextoNormal"/>
      </w:pPr>
      <w:r>
        <w:t>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w:t>
      </w:r>
      <w:r w:rsidRPr="003754FE">
        <w:rPr>
          <w:i/>
        </w:rPr>
        <w:t>o a posterio</w:t>
      </w:r>
      <w:r>
        <w:t>ri.</w:t>
      </w:r>
    </w:p>
    <w:p w14:paraId="1211A008" w14:textId="77777777" w:rsidR="003754FE" w:rsidRDefault="003754FE" w:rsidP="003754FE">
      <w:pPr>
        <w:pStyle w:val="TextoNormal"/>
      </w:pPr>
    </w:p>
    <w:p w14:paraId="10A7A1C5" w14:textId="77777777" w:rsidR="003754FE" w:rsidRDefault="003754FE" w:rsidP="003754FE">
      <w:pPr>
        <w:pStyle w:val="TextoNormal"/>
      </w:pPr>
      <w:r>
        <w:t>En efecto, el expediente de las transferencias de financiación no precisa la identificación de los destinatarios de las ayudas. Únicamente requiere consignar:</w:t>
      </w:r>
    </w:p>
    <w:p w14:paraId="34581E85" w14:textId="77777777" w:rsidR="003754FE" w:rsidRDefault="003754FE" w:rsidP="003754FE">
      <w:pPr>
        <w:pStyle w:val="TextoNormal"/>
      </w:pPr>
    </w:p>
    <w:p w14:paraId="0F82F1BB" w14:textId="77777777" w:rsidR="003754FE" w:rsidRDefault="003754FE" w:rsidP="003754FE">
      <w:pPr>
        <w:pStyle w:val="TextoNormal"/>
      </w:pPr>
      <w:r>
        <w:t>(i) La propuesta de resolución del órgano competente autorizando la transferencia.</w:t>
      </w:r>
    </w:p>
    <w:p w14:paraId="2FF41AF8" w14:textId="77777777" w:rsidR="003754FE" w:rsidRDefault="003754FE" w:rsidP="003754FE">
      <w:pPr>
        <w:pStyle w:val="TextoNormal"/>
      </w:pPr>
    </w:p>
    <w:p w14:paraId="2AF33728" w14:textId="77777777" w:rsidR="003754FE" w:rsidRDefault="003754FE" w:rsidP="003754FE">
      <w:pPr>
        <w:pStyle w:val="TextoNormal"/>
      </w:pPr>
      <w:r>
        <w:t>(ii) El calendario de pagos aprobado por la Dirección General de Tesorería.</w:t>
      </w:r>
    </w:p>
    <w:p w14:paraId="0AA6A274" w14:textId="77777777" w:rsidR="003754FE" w:rsidRDefault="003754FE" w:rsidP="003754FE">
      <w:pPr>
        <w:pStyle w:val="TextoNormal"/>
      </w:pPr>
    </w:p>
    <w:p w14:paraId="24CCA51C" w14:textId="77777777" w:rsidR="003754FE" w:rsidRDefault="003754FE" w:rsidP="003754FE">
      <w:pPr>
        <w:pStyle w:val="TextoNormal"/>
      </w:pPr>
      <w:r>
        <w:t>(iii) Los documentos contables acreditativos de la consignación presupuestaria y el programa de actuación (PAIF) publicado en el ‘BOJA’ por orden de la Consejería de Hacienda.</w:t>
      </w:r>
    </w:p>
    <w:p w14:paraId="0B602677" w14:textId="77777777" w:rsidR="003754FE" w:rsidRDefault="003754FE" w:rsidP="003754FE">
      <w:pPr>
        <w:pStyle w:val="TextoNormal"/>
      </w:pPr>
    </w:p>
    <w:p w14:paraId="44E3ADEE" w14:textId="77777777" w:rsidR="003754FE" w:rsidRDefault="003754FE" w:rsidP="003754FE">
      <w:pPr>
        <w:pStyle w:val="TextoNormal"/>
      </w:pPr>
      <w:r>
        <w:t>Y en la fiscalización posterior de la actividad del IFA, realizada a través del llamado ‘control financiero permanente’, conforme a lo previsto en el […] Decreto 9/1999, de 19 de enero, únicamente tenía un triple objetivo:</w:t>
      </w:r>
    </w:p>
    <w:p w14:paraId="70C090A7" w14:textId="77777777" w:rsidR="003754FE" w:rsidRDefault="003754FE" w:rsidP="003754FE">
      <w:pPr>
        <w:pStyle w:val="TextoNormal"/>
      </w:pPr>
    </w:p>
    <w:p w14:paraId="5499D9D3" w14:textId="77777777" w:rsidR="003754FE" w:rsidRDefault="003754FE" w:rsidP="003754FE">
      <w:pPr>
        <w:pStyle w:val="TextoNormal"/>
      </w:pPr>
      <w:r>
        <w:t>(i) Comprobar el cumplimiento de la legalidad;</w:t>
      </w:r>
    </w:p>
    <w:p w14:paraId="0133BD1E" w14:textId="77777777" w:rsidR="003754FE" w:rsidRDefault="003754FE" w:rsidP="003754FE">
      <w:pPr>
        <w:pStyle w:val="TextoNormal"/>
      </w:pPr>
    </w:p>
    <w:p w14:paraId="230BD947" w14:textId="77777777" w:rsidR="003754FE" w:rsidRDefault="003754FE" w:rsidP="003754FE">
      <w:pPr>
        <w:pStyle w:val="TextoNormal"/>
      </w:pPr>
      <w:r>
        <w:t>(ii) Examinar las cuentas anuales y</w:t>
      </w:r>
    </w:p>
    <w:p w14:paraId="15E9AEA0" w14:textId="77777777" w:rsidR="003754FE" w:rsidRDefault="003754FE" w:rsidP="003754FE">
      <w:pPr>
        <w:pStyle w:val="TextoNormal"/>
      </w:pPr>
    </w:p>
    <w:p w14:paraId="36631221" w14:textId="77777777" w:rsidR="003754FE" w:rsidRDefault="003754FE" w:rsidP="003754FE">
      <w:pPr>
        <w:pStyle w:val="TextoNormal"/>
      </w:pPr>
      <w:r>
        <w:t>(iii) Examinar críticamente la gestión de los programas asignados al instituto. Este control no tenía utilidad alguna para conocer el destino de las subvenciones, dado que se limitaba al control de la transferencia.</w:t>
      </w:r>
    </w:p>
    <w:p w14:paraId="59AD8523" w14:textId="77777777" w:rsidR="003754FE" w:rsidRDefault="003754FE" w:rsidP="003754FE">
      <w:pPr>
        <w:pStyle w:val="TextoNormal"/>
      </w:pPr>
    </w:p>
    <w:p w14:paraId="1B5EEC01" w14:textId="77777777" w:rsidR="003754FE" w:rsidRDefault="003754FE" w:rsidP="003754FE">
      <w:pPr>
        <w:pStyle w:val="TextoNormal"/>
      </w:pPr>
      <w:r>
        <w:t>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14:paraId="7D6C63CA" w14:textId="77777777" w:rsidR="003754FE" w:rsidRDefault="003754FE" w:rsidP="003754FE">
      <w:pPr>
        <w:pStyle w:val="TextoNormal"/>
      </w:pPr>
    </w:p>
    <w:p w14:paraId="1B3B17E3" w14:textId="77777777" w:rsidR="003754FE" w:rsidRDefault="003754FE" w:rsidP="003754FE">
      <w:pPr>
        <w:pStyle w:val="TextoNormal"/>
      </w:pPr>
      <w:r>
        <w:t xml:space="preserve">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w:t>
      </w:r>
      <w:r>
        <w:lastRenderedPageBreak/>
        <w:t>materializando las ayudas y se establecía que habrían de suscribirse convenios particulares entre el director general de Trabajo y el IFA para la gestión de los fondos.</w:t>
      </w:r>
    </w:p>
    <w:p w14:paraId="19792243" w14:textId="77777777" w:rsidR="003754FE" w:rsidRDefault="003754FE" w:rsidP="003754FE">
      <w:pPr>
        <w:pStyle w:val="TextoNormal"/>
      </w:pPr>
    </w:p>
    <w:p w14:paraId="5DB98D5B" w14:textId="77777777" w:rsidR="003754FE" w:rsidRDefault="003754FE" w:rsidP="003754FE">
      <w:pPr>
        <w:pStyle w:val="TextoNormal"/>
      </w:pPr>
      <w:r>
        <w:t>El convenio marco ni fue publicado en el ‘BOJA’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14:paraId="28A02E7F" w14:textId="77777777" w:rsidR="003754FE" w:rsidRDefault="003754FE" w:rsidP="003754FE">
      <w:pPr>
        <w:pStyle w:val="TextoNormal"/>
      </w:pPr>
    </w:p>
    <w:p w14:paraId="0C8C964C" w14:textId="77777777" w:rsidR="003754FE" w:rsidRDefault="003754FE" w:rsidP="003754FE">
      <w:pPr>
        <w:pStyle w:val="TextoNormal"/>
      </w:pPr>
      <w:r>
        <w:t>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14:paraId="1770E69D" w14:textId="77777777" w:rsidR="003754FE" w:rsidRDefault="003754FE" w:rsidP="003754FE">
      <w:pPr>
        <w:pStyle w:val="TextoNormal"/>
      </w:pPr>
    </w:p>
    <w:p w14:paraId="0F345A4C" w14:textId="77777777" w:rsidR="003754FE" w:rsidRDefault="003754FE" w:rsidP="003754FE">
      <w:pPr>
        <w:pStyle w:val="TextoNormal"/>
      </w:pPr>
      <w:r>
        <w:t>Por tanto, utilizando el criterio de presupuestación a que antes nos hemos referido se incluyeron las siguientes partidas presupuestarias:</w:t>
      </w:r>
    </w:p>
    <w:p w14:paraId="41431420" w14:textId="77777777" w:rsidR="003754FE" w:rsidRDefault="003754FE" w:rsidP="003754FE">
      <w:pPr>
        <w:pStyle w:val="TextoNormal"/>
      </w:pPr>
    </w:p>
    <w:p w14:paraId="3B860DA8" w14:textId="77777777" w:rsidR="003754FE" w:rsidRDefault="003754FE" w:rsidP="003754FE">
      <w:pPr>
        <w:pStyle w:val="TextoNormal"/>
      </w:pPr>
      <w:r>
        <w:t>- En 2002: 34 341 351 €.</w:t>
      </w:r>
    </w:p>
    <w:p w14:paraId="03E0FE02" w14:textId="77777777" w:rsidR="003754FE" w:rsidRDefault="003754FE" w:rsidP="003754FE">
      <w:pPr>
        <w:pStyle w:val="TextoNormal"/>
      </w:pPr>
    </w:p>
    <w:p w14:paraId="03A24598" w14:textId="77777777" w:rsidR="003754FE" w:rsidRDefault="003754FE" w:rsidP="003754FE">
      <w:pPr>
        <w:pStyle w:val="TextoNormal"/>
      </w:pPr>
      <w:r>
        <w:t>- En 2003: 55 646 899 €.</w:t>
      </w:r>
    </w:p>
    <w:p w14:paraId="6006C03C" w14:textId="77777777" w:rsidR="003754FE" w:rsidRDefault="003754FE" w:rsidP="003754FE">
      <w:pPr>
        <w:pStyle w:val="TextoNormal"/>
      </w:pPr>
    </w:p>
    <w:p w14:paraId="329EBB57" w14:textId="77777777" w:rsidR="003754FE" w:rsidRDefault="003754FE" w:rsidP="003754FE">
      <w:pPr>
        <w:pStyle w:val="TextoNormal"/>
      </w:pPr>
      <w:r>
        <w:t>- En 2004: 46 146 389 €. [En este ejercicio el IFA cambió su denominación por Agencia de Innovación y Desarrollo de Andalucía (IDEA) y pasó a estar adscrito a la Consejería de Innovación, Ciencia y Empresa].</w:t>
      </w:r>
    </w:p>
    <w:p w14:paraId="3DD05DA2" w14:textId="77777777" w:rsidR="003754FE" w:rsidRDefault="003754FE" w:rsidP="003754FE">
      <w:pPr>
        <w:pStyle w:val="TextoNormal"/>
      </w:pPr>
    </w:p>
    <w:p w14:paraId="373F0429" w14:textId="77777777" w:rsidR="003754FE" w:rsidRDefault="003754FE" w:rsidP="003754FE">
      <w:pPr>
        <w:pStyle w:val="TextoNormal"/>
      </w:pPr>
      <w:r>
        <w:t>- En 2005: 72 261 575 €.</w:t>
      </w:r>
    </w:p>
    <w:p w14:paraId="228B067E" w14:textId="77777777" w:rsidR="003754FE" w:rsidRDefault="003754FE" w:rsidP="003754FE">
      <w:pPr>
        <w:pStyle w:val="TextoNormal"/>
      </w:pPr>
    </w:p>
    <w:p w14:paraId="6437696B" w14:textId="77777777" w:rsidR="003754FE" w:rsidRDefault="003754FE" w:rsidP="003754FE">
      <w:pPr>
        <w:pStyle w:val="TextoNormal"/>
      </w:pPr>
      <w:r>
        <w:t>- En 2006: 77 291 000 €.</w:t>
      </w:r>
    </w:p>
    <w:p w14:paraId="2EED8F22" w14:textId="77777777" w:rsidR="003754FE" w:rsidRDefault="003754FE" w:rsidP="003754FE">
      <w:pPr>
        <w:pStyle w:val="TextoNormal"/>
      </w:pPr>
    </w:p>
    <w:p w14:paraId="04A930FB" w14:textId="77777777" w:rsidR="003754FE" w:rsidRDefault="003754FE" w:rsidP="003754FE">
      <w:pPr>
        <w:pStyle w:val="TextoNormal"/>
      </w:pPr>
      <w:r>
        <w:t>- En 2007: 79 207 500 €.</w:t>
      </w:r>
    </w:p>
    <w:p w14:paraId="53BC7A46" w14:textId="77777777" w:rsidR="003754FE" w:rsidRDefault="003754FE" w:rsidP="003754FE">
      <w:pPr>
        <w:pStyle w:val="TextoNormal"/>
      </w:pPr>
    </w:p>
    <w:p w14:paraId="5804A5A5" w14:textId="77777777" w:rsidR="003754FE" w:rsidRDefault="003754FE" w:rsidP="003754FE">
      <w:pPr>
        <w:pStyle w:val="TextoNormal"/>
      </w:pPr>
      <w:r>
        <w:t>- En 2008: 87 478 495 €.</w:t>
      </w:r>
    </w:p>
    <w:p w14:paraId="340D9C45" w14:textId="77777777" w:rsidR="003754FE" w:rsidRDefault="003754FE" w:rsidP="003754FE">
      <w:pPr>
        <w:pStyle w:val="TextoNormal"/>
      </w:pPr>
    </w:p>
    <w:p w14:paraId="26B43EE4" w14:textId="77777777" w:rsidR="003754FE" w:rsidRDefault="003754FE" w:rsidP="003754FE">
      <w:pPr>
        <w:pStyle w:val="TextoNormal"/>
      </w:pPr>
      <w:r>
        <w:t>Además de estas partidas, durante los distintos ejercicios se aprobaron modificaciones presupuestarias, que incrementaron el flujo de dinero que gestionaba el IFA/IDEA y que recibía como transferencia de financiación.</w:t>
      </w:r>
    </w:p>
    <w:p w14:paraId="2A6BB2D5" w14:textId="77777777" w:rsidR="003754FE" w:rsidRDefault="003754FE" w:rsidP="003754FE">
      <w:pPr>
        <w:pStyle w:val="TextoNormal"/>
      </w:pPr>
    </w:p>
    <w:p w14:paraId="2BA03C87" w14:textId="77777777" w:rsidR="003754FE" w:rsidRDefault="003754FE" w:rsidP="003754FE">
      <w:pPr>
        <w:pStyle w:val="TextoNormal"/>
      </w:pPr>
      <w:r>
        <w:t>Las modificaciones presupuestarias fueron las siguientes:</w:t>
      </w:r>
    </w:p>
    <w:p w14:paraId="2F7CD8D4" w14:textId="77777777" w:rsidR="003754FE" w:rsidRDefault="003754FE" w:rsidP="003754FE">
      <w:pPr>
        <w:pStyle w:val="TextoNormal"/>
      </w:pPr>
    </w:p>
    <w:p w14:paraId="338041D2" w14:textId="77777777" w:rsidR="003754FE" w:rsidRDefault="003754FE" w:rsidP="003754FE">
      <w:pPr>
        <w:pStyle w:val="TextoNormal"/>
      </w:pPr>
      <w:r>
        <w:t>- Modificación de 15 de octubre de 2002, por importe de 9 944 099 €.</w:t>
      </w:r>
    </w:p>
    <w:p w14:paraId="2D5DD2C8" w14:textId="77777777" w:rsidR="003754FE" w:rsidRDefault="003754FE" w:rsidP="003754FE">
      <w:pPr>
        <w:pStyle w:val="TextoNormal"/>
      </w:pPr>
    </w:p>
    <w:p w14:paraId="64351553" w14:textId="77777777" w:rsidR="003754FE" w:rsidRDefault="003754FE" w:rsidP="003754FE">
      <w:pPr>
        <w:pStyle w:val="TextoNormal"/>
      </w:pPr>
      <w:r>
        <w:t>- Modificación de 21 de octubre de 2002, por importe de 22 253 204,17 €.</w:t>
      </w:r>
    </w:p>
    <w:p w14:paraId="427469C0" w14:textId="77777777" w:rsidR="003754FE" w:rsidRDefault="003754FE" w:rsidP="003754FE">
      <w:pPr>
        <w:pStyle w:val="TextoNormal"/>
      </w:pPr>
    </w:p>
    <w:p w14:paraId="1AC23DCF" w14:textId="77777777" w:rsidR="003754FE" w:rsidRDefault="003754FE" w:rsidP="003754FE">
      <w:pPr>
        <w:pStyle w:val="TextoNormal"/>
      </w:pPr>
      <w:r>
        <w:t>- Modificación de 7 de diciembre de 2005, por importe de 799 895,97 €.</w:t>
      </w:r>
    </w:p>
    <w:p w14:paraId="65C0A60D" w14:textId="77777777" w:rsidR="003754FE" w:rsidRDefault="003754FE" w:rsidP="003754FE">
      <w:pPr>
        <w:pStyle w:val="TextoNormal"/>
      </w:pPr>
    </w:p>
    <w:p w14:paraId="375DCF31" w14:textId="77777777" w:rsidR="003754FE" w:rsidRDefault="003754FE" w:rsidP="003754FE">
      <w:pPr>
        <w:pStyle w:val="TextoNormal"/>
      </w:pPr>
      <w:r>
        <w:t>- Modificación de 7 de noviembre de 2006, por importe de 9 300 000 €.</w:t>
      </w:r>
    </w:p>
    <w:p w14:paraId="193C3BC8" w14:textId="77777777" w:rsidR="003754FE" w:rsidRDefault="003754FE" w:rsidP="003754FE">
      <w:pPr>
        <w:pStyle w:val="TextoNormal"/>
      </w:pPr>
    </w:p>
    <w:p w14:paraId="1FCDACAB" w14:textId="77777777" w:rsidR="003754FE" w:rsidRDefault="003754FE" w:rsidP="003754FE">
      <w:pPr>
        <w:pStyle w:val="TextoNormal"/>
      </w:pPr>
      <w:r>
        <w:lastRenderedPageBreak/>
        <w:t>- Modificación de 27 de noviembre de 2007, por importe de 7 448 503,44 €.</w:t>
      </w:r>
    </w:p>
    <w:p w14:paraId="4DABC8D0" w14:textId="77777777" w:rsidR="003754FE" w:rsidRDefault="003754FE" w:rsidP="003754FE">
      <w:pPr>
        <w:pStyle w:val="TextoNormal"/>
      </w:pPr>
    </w:p>
    <w:p w14:paraId="0A37B065" w14:textId="77777777" w:rsidR="003754FE" w:rsidRDefault="003754FE" w:rsidP="003754FE">
      <w:pPr>
        <w:pStyle w:val="TextoNormal"/>
      </w:pPr>
      <w:r>
        <w:t>- Modificación de 22 de diciembre de 2008, por importe de 1 253 853,89 €.</w:t>
      </w:r>
    </w:p>
    <w:p w14:paraId="083895D3" w14:textId="77777777" w:rsidR="003754FE" w:rsidRDefault="003754FE" w:rsidP="003754FE">
      <w:pPr>
        <w:pStyle w:val="TextoNormal"/>
      </w:pPr>
    </w:p>
    <w:p w14:paraId="6AE9F2F6" w14:textId="77777777" w:rsidR="003754FE" w:rsidRDefault="003754FE" w:rsidP="003754FE">
      <w:pPr>
        <w:pStyle w:val="TextoNormal"/>
      </w:pPr>
      <w:r>
        <w:t>- Modificación de 22 de diciembre de 2008, por importe de 6 011 836,20 €.</w:t>
      </w:r>
    </w:p>
    <w:p w14:paraId="183956E1" w14:textId="77777777" w:rsidR="003754FE" w:rsidRDefault="003754FE" w:rsidP="003754FE">
      <w:pPr>
        <w:pStyle w:val="TextoNormal"/>
      </w:pPr>
    </w:p>
    <w:p w14:paraId="6264D401" w14:textId="77777777" w:rsidR="003754FE" w:rsidRDefault="003754FE" w:rsidP="003754FE">
      <w:pPr>
        <w:pStyle w:val="TextoNormal"/>
      </w:pPr>
      <w:r>
        <w:t>- Modificación de 22 de diciembre de 2008, por importe de 8 000 000 €.</w:t>
      </w:r>
    </w:p>
    <w:p w14:paraId="3D16F28F" w14:textId="77777777" w:rsidR="003754FE" w:rsidRDefault="003754FE" w:rsidP="003754FE">
      <w:pPr>
        <w:pStyle w:val="TextoNormal"/>
      </w:pPr>
    </w:p>
    <w:p w14:paraId="14A8AB72" w14:textId="77777777" w:rsidR="003754FE" w:rsidRDefault="003754FE" w:rsidP="003754FE">
      <w:pPr>
        <w:pStyle w:val="TextoNormal"/>
      </w:pPr>
      <w:r>
        <w:t>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14:paraId="3501C021" w14:textId="77777777" w:rsidR="003754FE" w:rsidRDefault="003754FE" w:rsidP="003754FE">
      <w:pPr>
        <w:pStyle w:val="TextoNormal"/>
      </w:pPr>
    </w:p>
    <w:p w14:paraId="5F834FDF" w14:textId="77777777" w:rsidR="003754FE" w:rsidRDefault="003754FE" w:rsidP="003754FE">
      <w:pPr>
        <w:pStyle w:val="TextoNormal"/>
      </w:pPr>
      <w:r>
        <w:t>Según han puesto de relieve distintos informes y resoluciones judiciales y administrativas, como consecuencia de todo lo anterior, las irregularidades más significativas en la concesión de las ayudas (sin hacer una enumeración exhaustiva) han sido las siguientes:</w:t>
      </w:r>
    </w:p>
    <w:p w14:paraId="39A2B651" w14:textId="77777777" w:rsidR="003754FE" w:rsidRDefault="003754FE" w:rsidP="003754FE">
      <w:pPr>
        <w:pStyle w:val="TextoNormal"/>
      </w:pPr>
    </w:p>
    <w:p w14:paraId="432C761A" w14:textId="77777777" w:rsidR="003754FE" w:rsidRDefault="003754FE" w:rsidP="003754FE">
      <w:pPr>
        <w:pStyle w:val="TextoNormal"/>
      </w:pPr>
      <w:r>
        <w:t>- En muchos casos no ha existido expediente de concesión de la ayuda.</w:t>
      </w:r>
    </w:p>
    <w:p w14:paraId="08AA5E64" w14:textId="77777777" w:rsidR="003754FE" w:rsidRDefault="003754FE" w:rsidP="003754FE">
      <w:pPr>
        <w:pStyle w:val="TextoNormal"/>
      </w:pPr>
    </w:p>
    <w:p w14:paraId="49665A19" w14:textId="77777777" w:rsidR="003754FE" w:rsidRDefault="003754FE" w:rsidP="003754FE">
      <w:pPr>
        <w:pStyle w:val="TextoNormal"/>
      </w:pPr>
      <w:r>
        <w:t>- El director general de Trabajo y Seguridad Social no tiene delegadas competencias para la concesión de subvenciones excepcionales.</w:t>
      </w:r>
    </w:p>
    <w:p w14:paraId="41B80D53" w14:textId="77777777" w:rsidR="003754FE" w:rsidRDefault="003754FE" w:rsidP="003754FE">
      <w:pPr>
        <w:pStyle w:val="TextoNormal"/>
      </w:pPr>
    </w:p>
    <w:p w14:paraId="0B528F37" w14:textId="77777777" w:rsidR="003754FE" w:rsidRDefault="003754FE" w:rsidP="003754FE">
      <w:pPr>
        <w:pStyle w:val="TextoNormal"/>
      </w:pPr>
      <w:r>
        <w:t>- No consta que se haya dado publicidad a la concesión de las ayudas (artículo 109 LGHPA).</w:t>
      </w:r>
    </w:p>
    <w:p w14:paraId="14B75BC2" w14:textId="77777777" w:rsidR="003754FE" w:rsidRDefault="003754FE" w:rsidP="003754FE">
      <w:pPr>
        <w:pStyle w:val="TextoNormal"/>
      </w:pPr>
    </w:p>
    <w:p w14:paraId="354E1477" w14:textId="77777777" w:rsidR="003754FE" w:rsidRDefault="003754FE" w:rsidP="003754FE">
      <w:pPr>
        <w:pStyle w:val="TextoNormal"/>
      </w:pPr>
      <w:r>
        <w:t>- Se ha omitido la fiscalización previa.</w:t>
      </w:r>
    </w:p>
    <w:p w14:paraId="6F324058" w14:textId="77777777" w:rsidR="003754FE" w:rsidRDefault="003754FE" w:rsidP="003754FE">
      <w:pPr>
        <w:pStyle w:val="TextoNormal"/>
      </w:pPr>
    </w:p>
    <w:p w14:paraId="7E375C0E" w14:textId="77777777" w:rsidR="003754FE" w:rsidRDefault="003754FE" w:rsidP="003754FE">
      <w:pPr>
        <w:pStyle w:val="TextoNormal"/>
      </w:pPr>
      <w:r>
        <w:t>- No consta autorización de la concesión de la subvención por el Consejo de Gobierno por razón de la cuantía.</w:t>
      </w:r>
    </w:p>
    <w:p w14:paraId="4A4872A5" w14:textId="77777777" w:rsidR="003754FE" w:rsidRDefault="003754FE" w:rsidP="003754FE">
      <w:pPr>
        <w:pStyle w:val="TextoNormal"/>
      </w:pPr>
    </w:p>
    <w:p w14:paraId="7B1EA43D" w14:textId="77777777" w:rsidR="003754FE" w:rsidRDefault="003754FE" w:rsidP="003754FE">
      <w:pPr>
        <w:pStyle w:val="TextoNormal"/>
      </w:pPr>
      <w:r>
        <w:t>- No se consigna la aplicación presupuestaria del gasto y su distribución plurianual, ni el presupuesto subvencionado y el porcentaje que representa la subvención sobre el presupuesto aceptado.</w:t>
      </w:r>
    </w:p>
    <w:p w14:paraId="5F05B789" w14:textId="77777777" w:rsidR="003754FE" w:rsidRDefault="003754FE" w:rsidP="003754FE">
      <w:pPr>
        <w:pStyle w:val="TextoNormal"/>
      </w:pPr>
    </w:p>
    <w:p w14:paraId="0D80604C" w14:textId="77777777" w:rsidR="003754FE" w:rsidRDefault="003754FE" w:rsidP="003754FE">
      <w:pPr>
        <w:pStyle w:val="TextoNormal"/>
      </w:pPr>
      <w:r>
        <w:t>- No consta informe de la Dirección General de Asuntos Europeos y Cooperación, de la Consejería de Presidencia, sobre cumplimiento del deber de notificar a la Comisión las subvenciones concedidas a empresas.</w:t>
      </w:r>
    </w:p>
    <w:p w14:paraId="08D7224B" w14:textId="77777777" w:rsidR="003754FE" w:rsidRDefault="003754FE" w:rsidP="003754FE">
      <w:pPr>
        <w:pStyle w:val="TextoNormal"/>
      </w:pPr>
    </w:p>
    <w:p w14:paraId="6F136C7E" w14:textId="77777777" w:rsidR="003754FE" w:rsidRDefault="003754FE" w:rsidP="003754FE">
      <w:pPr>
        <w:pStyle w:val="TextoNormal"/>
      </w:pPr>
      <w:r>
        <w:t>- No consta memoria explicativa de la excepcionalidad de las subvenciones, ni los requisitos que se exigen para ser beneficiario, ni se detalla la forma en que debería realizarse la justificación del cumplimiento de la finalidad para la que fue concedida la ayuda.</w:t>
      </w:r>
    </w:p>
    <w:p w14:paraId="508AE430" w14:textId="77777777" w:rsidR="003754FE" w:rsidRDefault="003754FE" w:rsidP="003754FE">
      <w:pPr>
        <w:pStyle w:val="TextoNormal"/>
      </w:pPr>
    </w:p>
    <w:p w14:paraId="520E6E2D" w14:textId="77777777" w:rsidR="003754FE" w:rsidRDefault="003754FE" w:rsidP="003754FE">
      <w:pPr>
        <w:pStyle w:val="TextoNormal"/>
      </w:pPr>
      <w:r>
        <w:t>- Los convenios de colaboración por los que se han concedido las ayudas no adoptan ni la forma ni los contenidos mínimos que exige la Ley 38/2003, de 17 de noviembre.</w:t>
      </w:r>
    </w:p>
    <w:p w14:paraId="7F836229" w14:textId="77777777" w:rsidR="003754FE" w:rsidRDefault="003754FE" w:rsidP="003754FE">
      <w:pPr>
        <w:pStyle w:val="TextoNormal"/>
      </w:pPr>
    </w:p>
    <w:p w14:paraId="3FBAB000" w14:textId="77777777" w:rsidR="003754FE" w:rsidRDefault="003754FE" w:rsidP="003754FE">
      <w:pPr>
        <w:pStyle w:val="TextoNormal"/>
      </w:pPr>
      <w:r>
        <w:t>- Ni las subvenciones ni los convenios han sido publicados en el ‘Boletín Oficial de la Junta de Andalucía’, ni en la base de datos de subvenciones de la Junta de Andalucía.</w:t>
      </w:r>
    </w:p>
    <w:p w14:paraId="065B25AF" w14:textId="77777777" w:rsidR="003754FE" w:rsidRDefault="003754FE" w:rsidP="003754FE">
      <w:pPr>
        <w:pStyle w:val="TextoNormal"/>
      </w:pPr>
    </w:p>
    <w:p w14:paraId="5BFB1ED9" w14:textId="77777777" w:rsidR="003754FE" w:rsidRDefault="003754FE" w:rsidP="003754FE">
      <w:pPr>
        <w:pStyle w:val="TextoNormal"/>
      </w:pPr>
      <w:r>
        <w:t>- La concesión de las subvenciones no ha sido objeto de informe previo por el Gabinete Jurídico de la Junta de Andalucía.</w:t>
      </w:r>
    </w:p>
    <w:p w14:paraId="39364601" w14:textId="77777777" w:rsidR="003754FE" w:rsidRDefault="003754FE" w:rsidP="003754FE">
      <w:pPr>
        <w:pStyle w:val="TextoNormal"/>
      </w:pPr>
    </w:p>
    <w:p w14:paraId="15D05EC7" w14:textId="77777777" w:rsidR="003754FE" w:rsidRDefault="003754FE" w:rsidP="003754FE">
      <w:pPr>
        <w:pStyle w:val="TextoNormal"/>
      </w:pPr>
      <w:r>
        <w:t>- No se acredita la personalidad de las entidades solicitantes, ni la de sus representantes.</w:t>
      </w:r>
    </w:p>
    <w:p w14:paraId="648AD182" w14:textId="77777777" w:rsidR="003754FE" w:rsidRDefault="003754FE" w:rsidP="003754FE">
      <w:pPr>
        <w:pStyle w:val="TextoNormal"/>
      </w:pPr>
    </w:p>
    <w:p w14:paraId="218037C7" w14:textId="77777777" w:rsidR="003754FE" w:rsidRDefault="003754FE" w:rsidP="003754FE">
      <w:pPr>
        <w:pStyle w:val="TextoNormal"/>
      </w:pPr>
      <w:r>
        <w:t>- No se aporta informe o memoria acreditativa de la finalidad pública, o razones de interés social o económico, en la concesión.</w:t>
      </w:r>
    </w:p>
    <w:p w14:paraId="4AA08038" w14:textId="77777777" w:rsidR="003754FE" w:rsidRDefault="003754FE" w:rsidP="003754FE">
      <w:pPr>
        <w:pStyle w:val="TextoNormal"/>
      </w:pPr>
    </w:p>
    <w:p w14:paraId="26EA7237" w14:textId="77777777" w:rsidR="003754FE" w:rsidRDefault="003754FE" w:rsidP="003754FE">
      <w:pPr>
        <w:pStyle w:val="TextoNormal"/>
      </w:pPr>
      <w:r>
        <w:t>- No consta solicitud presentada por los interesados ni su aceptación expresa.</w:t>
      </w:r>
    </w:p>
    <w:p w14:paraId="3FEE46FA" w14:textId="77777777" w:rsidR="003754FE" w:rsidRDefault="003754FE" w:rsidP="003754FE">
      <w:pPr>
        <w:pStyle w:val="TextoNormal"/>
      </w:pPr>
    </w:p>
    <w:p w14:paraId="2A25597E" w14:textId="77777777" w:rsidR="003754FE" w:rsidRDefault="003754FE" w:rsidP="003754FE">
      <w:pPr>
        <w:pStyle w:val="TextoNormal"/>
      </w:pPr>
      <w:r>
        <w:t>- No se aporta declaración responsable del beneficiario de otras subvenciones o ayudas concedidas para la misma finalidad (artículos 111 y 105 de LGHPA, y artículo 15.1 del Reglamento de subvenciones).</w:t>
      </w:r>
    </w:p>
    <w:p w14:paraId="39A0C94C" w14:textId="77777777" w:rsidR="003754FE" w:rsidRDefault="003754FE" w:rsidP="003754FE">
      <w:pPr>
        <w:pStyle w:val="TextoNormal"/>
      </w:pPr>
    </w:p>
    <w:p w14:paraId="76F9034F" w14:textId="77777777" w:rsidR="003754FE" w:rsidRDefault="003754FE" w:rsidP="003754FE">
      <w:pPr>
        <w:pStyle w:val="TextoNormal"/>
      </w:pPr>
      <w:r>
        <w:t>- No consta declaración expresa de los beneficiarios de no haber recaído sobre ellos resolución administrativa o judicial firme de reintegro.</w:t>
      </w:r>
    </w:p>
    <w:p w14:paraId="1E1E6669" w14:textId="77777777" w:rsidR="003754FE" w:rsidRDefault="003754FE" w:rsidP="003754FE">
      <w:pPr>
        <w:pStyle w:val="TextoNormal"/>
      </w:pPr>
    </w:p>
    <w:p w14:paraId="6329B45D" w14:textId="77777777" w:rsidR="003754FE" w:rsidRDefault="003754FE" w:rsidP="003754FE">
      <w:pPr>
        <w:pStyle w:val="TextoNormal"/>
      </w:pPr>
      <w:r>
        <w:t>- No se acredita por los beneficiarios estar al corriente en sus obligaciones fiscales.</w:t>
      </w:r>
    </w:p>
    <w:p w14:paraId="63B092BF" w14:textId="77777777" w:rsidR="003754FE" w:rsidRDefault="003754FE" w:rsidP="003754FE">
      <w:pPr>
        <w:pStyle w:val="TextoNormal"/>
      </w:pPr>
    </w:p>
    <w:p w14:paraId="5743821F" w14:textId="77777777" w:rsidR="003754FE" w:rsidRDefault="003754FE" w:rsidP="003754FE">
      <w:pPr>
        <w:pStyle w:val="TextoNormal"/>
      </w:pPr>
      <w:r>
        <w:t>- No se determina el plazo y forma de justificación por el beneficiario del cumplimiento de la finalidad para la que se concede la ayuda.</w:t>
      </w:r>
    </w:p>
    <w:p w14:paraId="66B8F8A5" w14:textId="77777777" w:rsidR="003754FE" w:rsidRDefault="003754FE" w:rsidP="003754FE">
      <w:pPr>
        <w:pStyle w:val="TextoNormal"/>
      </w:pPr>
    </w:p>
    <w:p w14:paraId="4B4ED9CF" w14:textId="77777777" w:rsidR="003754FE" w:rsidRDefault="003754FE" w:rsidP="003754FE">
      <w:pPr>
        <w:pStyle w:val="TextoNormal"/>
      </w:pPr>
      <w:r>
        <w:t>- No se indica la forma y secuencia del pago y los requisitos exigidos para su abono.</w:t>
      </w:r>
    </w:p>
    <w:p w14:paraId="3BC56ED7" w14:textId="77777777" w:rsidR="003754FE" w:rsidRDefault="003754FE" w:rsidP="003754FE">
      <w:pPr>
        <w:pStyle w:val="TextoNormal"/>
      </w:pPr>
    </w:p>
    <w:p w14:paraId="2B8D0BA9" w14:textId="77777777" w:rsidR="003754FE" w:rsidRDefault="003754FE" w:rsidP="003754FE">
      <w:pPr>
        <w:pStyle w:val="TextoNormal"/>
      </w:pPr>
      <w:r>
        <w:t>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14:paraId="29623846" w14:textId="77777777" w:rsidR="003754FE" w:rsidRDefault="003754FE" w:rsidP="003754FE">
      <w:pPr>
        <w:pStyle w:val="TextoNormal"/>
      </w:pPr>
    </w:p>
    <w:p w14:paraId="30C6F4B3" w14:textId="77777777" w:rsidR="003754FE" w:rsidRDefault="003754FE" w:rsidP="003754FE">
      <w:pPr>
        <w:pStyle w:val="TextoNormal"/>
      </w:pPr>
      <w:r>
        <w:t>Las consecuencias de semejante descontrol fueron las siguientes:</w:t>
      </w:r>
    </w:p>
    <w:p w14:paraId="14DE18D1" w14:textId="77777777" w:rsidR="003754FE" w:rsidRDefault="003754FE" w:rsidP="003754FE">
      <w:pPr>
        <w:pStyle w:val="TextoNormal"/>
      </w:pPr>
    </w:p>
    <w:p w14:paraId="6B83F7D6" w14:textId="77777777" w:rsidR="003754FE" w:rsidRDefault="003754FE" w:rsidP="003754FE">
      <w:pPr>
        <w:pStyle w:val="TextoNormal"/>
      </w:pPr>
      <w:r>
        <w:t>(i)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ayudas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14:paraId="49289307" w14:textId="77777777" w:rsidR="003754FE" w:rsidRDefault="003754FE" w:rsidP="003754FE">
      <w:pPr>
        <w:pStyle w:val="TextoNormal"/>
      </w:pPr>
    </w:p>
    <w:p w14:paraId="1104E1E8" w14:textId="77777777" w:rsidR="003754FE" w:rsidRDefault="003754FE" w:rsidP="003754FE">
      <w:pPr>
        <w:pStyle w:val="TextoNormal"/>
      </w:pPr>
      <w:r>
        <w:t>- En el año 2001, fueron 748, afectando a un total de 7582 trabajadores.</w:t>
      </w:r>
    </w:p>
    <w:p w14:paraId="5EE3D28D" w14:textId="77777777" w:rsidR="003754FE" w:rsidRDefault="003754FE" w:rsidP="003754FE">
      <w:pPr>
        <w:pStyle w:val="TextoNormal"/>
      </w:pPr>
    </w:p>
    <w:p w14:paraId="62DB2540" w14:textId="77777777" w:rsidR="003754FE" w:rsidRDefault="003754FE" w:rsidP="003754FE">
      <w:pPr>
        <w:pStyle w:val="TextoNormal"/>
      </w:pPr>
      <w:r>
        <w:t>- En el año 2002, fueron 650, afectando a un total de 4787 trabajadores.</w:t>
      </w:r>
    </w:p>
    <w:p w14:paraId="4C1BE9FB" w14:textId="77777777" w:rsidR="003754FE" w:rsidRDefault="003754FE" w:rsidP="003754FE">
      <w:pPr>
        <w:pStyle w:val="TextoNormal"/>
      </w:pPr>
    </w:p>
    <w:p w14:paraId="38F68AAC" w14:textId="77777777" w:rsidR="003754FE" w:rsidRDefault="003754FE" w:rsidP="003754FE">
      <w:pPr>
        <w:pStyle w:val="TextoNormal"/>
      </w:pPr>
      <w:r>
        <w:t>- En el año 2003, fueron 511, afectando a un total de 4957 trabajadores.</w:t>
      </w:r>
    </w:p>
    <w:p w14:paraId="63CF246E" w14:textId="77777777" w:rsidR="003754FE" w:rsidRDefault="003754FE" w:rsidP="003754FE">
      <w:pPr>
        <w:pStyle w:val="TextoNormal"/>
      </w:pPr>
    </w:p>
    <w:p w14:paraId="7ACA7F8D" w14:textId="77777777" w:rsidR="003754FE" w:rsidRDefault="003754FE" w:rsidP="003754FE">
      <w:pPr>
        <w:pStyle w:val="TextoNormal"/>
      </w:pPr>
      <w:r>
        <w:t>- En el año 2004, fueron 657, afectando a un total de 4833 trabajadores.</w:t>
      </w:r>
    </w:p>
    <w:p w14:paraId="2E0ABF4C" w14:textId="77777777" w:rsidR="003754FE" w:rsidRDefault="003754FE" w:rsidP="003754FE">
      <w:pPr>
        <w:pStyle w:val="TextoNormal"/>
      </w:pPr>
    </w:p>
    <w:p w14:paraId="229E0B41" w14:textId="77777777" w:rsidR="003754FE" w:rsidRDefault="003754FE" w:rsidP="003754FE">
      <w:pPr>
        <w:pStyle w:val="TextoNormal"/>
      </w:pPr>
      <w:r>
        <w:t>- En el año 2005, fueron 424, afectando a un total de 5476 trabajadores.</w:t>
      </w:r>
    </w:p>
    <w:p w14:paraId="5924692A" w14:textId="77777777" w:rsidR="003754FE" w:rsidRDefault="003754FE" w:rsidP="003754FE">
      <w:pPr>
        <w:pStyle w:val="TextoNormal"/>
      </w:pPr>
    </w:p>
    <w:p w14:paraId="5EB1BD78" w14:textId="77777777" w:rsidR="003754FE" w:rsidRDefault="003754FE" w:rsidP="003754FE">
      <w:pPr>
        <w:pStyle w:val="TextoNormal"/>
      </w:pPr>
      <w:r>
        <w:t>- En el año 2006, fueron 434, afectando a un total de 2968 trabajadores.</w:t>
      </w:r>
    </w:p>
    <w:p w14:paraId="21079757" w14:textId="77777777" w:rsidR="003754FE" w:rsidRDefault="003754FE" w:rsidP="003754FE">
      <w:pPr>
        <w:pStyle w:val="TextoNormal"/>
      </w:pPr>
    </w:p>
    <w:p w14:paraId="790D621B" w14:textId="77777777" w:rsidR="003754FE" w:rsidRDefault="003754FE" w:rsidP="003754FE">
      <w:pPr>
        <w:pStyle w:val="TextoNormal"/>
      </w:pPr>
      <w:r>
        <w:t>- En el año 2007, fueron 428, afectando a un total de 3247 trabajadores.</w:t>
      </w:r>
    </w:p>
    <w:p w14:paraId="031090C5" w14:textId="77777777" w:rsidR="003754FE" w:rsidRDefault="003754FE" w:rsidP="003754FE">
      <w:pPr>
        <w:pStyle w:val="TextoNormal"/>
      </w:pPr>
    </w:p>
    <w:p w14:paraId="52C43ECC" w14:textId="77777777" w:rsidR="003754FE" w:rsidRDefault="003754FE" w:rsidP="003754FE">
      <w:pPr>
        <w:pStyle w:val="TextoNormal"/>
      </w:pPr>
      <w:r>
        <w:t>- En el año 2008, fueron 652, afectando a un total de 7000 trabajadores.</w:t>
      </w:r>
    </w:p>
    <w:p w14:paraId="0A6657F4" w14:textId="77777777" w:rsidR="003754FE" w:rsidRDefault="003754FE" w:rsidP="003754FE">
      <w:pPr>
        <w:pStyle w:val="TextoNormal"/>
      </w:pPr>
    </w:p>
    <w:p w14:paraId="676A0447" w14:textId="77777777" w:rsidR="003754FE" w:rsidRDefault="003754FE" w:rsidP="003754FE">
      <w:pPr>
        <w:pStyle w:val="TextoNormal"/>
      </w:pPr>
      <w:r>
        <w:t>- En el año 2009, fueron 1379, afectando a un total de 30821 trabajadores.</w:t>
      </w:r>
    </w:p>
    <w:p w14:paraId="67DBE6ED" w14:textId="77777777" w:rsidR="003754FE" w:rsidRDefault="003754FE" w:rsidP="003754FE">
      <w:pPr>
        <w:pStyle w:val="TextoNormal"/>
      </w:pPr>
    </w:p>
    <w:p w14:paraId="2DC025E8" w14:textId="77777777" w:rsidR="003754FE" w:rsidRDefault="003754FE" w:rsidP="003754FE">
      <w:pPr>
        <w:pStyle w:val="TextoNormal"/>
      </w:pPr>
      <w:r>
        <w:t>- En el año 2010, fueron 1490, afectando a un total de 21450 trabajadores.</w:t>
      </w:r>
    </w:p>
    <w:p w14:paraId="6A6B1EB2" w14:textId="77777777" w:rsidR="003754FE" w:rsidRDefault="003754FE" w:rsidP="003754FE">
      <w:pPr>
        <w:pStyle w:val="TextoNormal"/>
      </w:pPr>
    </w:p>
    <w:p w14:paraId="41E9E175" w14:textId="77777777" w:rsidR="003754FE" w:rsidRDefault="003754FE" w:rsidP="003754FE">
      <w:pPr>
        <w:pStyle w:val="TextoNormal"/>
      </w:pPr>
      <w:r>
        <w:t>(ii) La ausencia de cualquier mecanismo de comprobación de la pertenencia al colectivo afectado de las personas beneficiarias de las pólizas, permitió la inclusión de beneficiarios que nunca habían pertenecido a las empresas ayudadas por la Consejería de Empleo.</w:t>
      </w:r>
    </w:p>
    <w:p w14:paraId="41297341" w14:textId="77777777" w:rsidR="003754FE" w:rsidRDefault="003754FE" w:rsidP="003754FE">
      <w:pPr>
        <w:pStyle w:val="TextoNormal"/>
      </w:pPr>
    </w:p>
    <w:p w14:paraId="7C763CEB" w14:textId="77777777" w:rsidR="003754FE" w:rsidRDefault="003754FE" w:rsidP="003754FE">
      <w:pPr>
        <w:pStyle w:val="TextoNormal"/>
      </w:pPr>
      <w:r>
        <w:t>(iii)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14:paraId="6826306D" w14:textId="77777777" w:rsidR="003754FE" w:rsidRDefault="003754FE" w:rsidP="003754FE">
      <w:pPr>
        <w:pStyle w:val="TextoNormal"/>
      </w:pPr>
    </w:p>
    <w:p w14:paraId="269A843D" w14:textId="77777777" w:rsidR="003754FE" w:rsidRDefault="003754FE" w:rsidP="003754FE">
      <w:pPr>
        <w:pStyle w:val="TextoNormal"/>
      </w:pPr>
      <w:r>
        <w:t>(iv)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14:paraId="0FE370F5" w14:textId="77777777" w:rsidR="003754FE" w:rsidRDefault="003754FE" w:rsidP="003754FE">
      <w:pPr>
        <w:pStyle w:val="TextoNormal"/>
      </w:pPr>
    </w:p>
    <w:p w14:paraId="618021B8" w14:textId="77777777" w:rsidR="003754FE" w:rsidRDefault="003754FE" w:rsidP="003754FE">
      <w:pPr>
        <w:pStyle w:val="TextoNormal"/>
      </w:pPr>
      <w:r>
        <w:t>(v)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de un curso de alta dirección, durante cinco ejercicios.</w:t>
      </w:r>
    </w:p>
    <w:p w14:paraId="3E004E4E" w14:textId="77777777" w:rsidR="003754FE" w:rsidRDefault="003754FE" w:rsidP="003754FE">
      <w:pPr>
        <w:pStyle w:val="TextoNormal"/>
      </w:pPr>
    </w:p>
    <w:p w14:paraId="3377B710" w14:textId="77777777" w:rsidR="003754FE" w:rsidRDefault="003754FE" w:rsidP="003754FE">
      <w:pPr>
        <w:pStyle w:val="TextoNormal"/>
      </w:pPr>
      <w:r>
        <w:t>III) Tercera etapa</w:t>
      </w:r>
    </w:p>
    <w:p w14:paraId="02DC3B9E" w14:textId="77777777" w:rsidR="003754FE" w:rsidRDefault="003754FE" w:rsidP="003754FE">
      <w:pPr>
        <w:pStyle w:val="TextoNormal"/>
      </w:pPr>
    </w:p>
    <w:p w14:paraId="695C4A8D" w14:textId="77777777" w:rsidR="003754FE" w:rsidRDefault="003754FE" w:rsidP="003754FE">
      <w:pPr>
        <w:pStyle w:val="TextoNormal"/>
      </w:pPr>
      <w:r>
        <w:lastRenderedPageBreak/>
        <w:t>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14:paraId="1736D8A8" w14:textId="77777777" w:rsidR="003754FE" w:rsidRDefault="003754FE" w:rsidP="003754FE">
      <w:pPr>
        <w:pStyle w:val="TextoNormal"/>
      </w:pPr>
    </w:p>
    <w:p w14:paraId="783CDC13" w14:textId="77777777" w:rsidR="003754FE" w:rsidRDefault="003754FE" w:rsidP="003754FE">
      <w:pPr>
        <w:pStyle w:val="TextoNormal"/>
      </w:pPr>
      <w:r>
        <w:t>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14:paraId="40D395DF" w14:textId="77777777" w:rsidR="003754FE" w:rsidRDefault="003754FE" w:rsidP="003754FE">
      <w:pPr>
        <w:pStyle w:val="TextoNormal"/>
      </w:pPr>
    </w:p>
    <w:p w14:paraId="03B4A6D1" w14:textId="77777777" w:rsidR="003754FE" w:rsidRDefault="003754FE" w:rsidP="003754FE">
      <w:pPr>
        <w:pStyle w:val="TextoNormal"/>
      </w:pPr>
      <w:r>
        <w:t>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14:paraId="231CF506" w14:textId="77777777" w:rsidR="003754FE" w:rsidRDefault="003754FE" w:rsidP="003754FE">
      <w:pPr>
        <w:pStyle w:val="TextoNormal"/>
      </w:pPr>
    </w:p>
    <w:p w14:paraId="45A8ACB7" w14:textId="77777777" w:rsidR="003754FE" w:rsidRDefault="003754FE" w:rsidP="003754FE">
      <w:pPr>
        <w:pStyle w:val="TextoNormal"/>
      </w:pPr>
      <w:r>
        <w:t>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14:paraId="0144418D" w14:textId="77777777" w:rsidR="003754FE" w:rsidRDefault="003754FE" w:rsidP="003754FE">
      <w:pPr>
        <w:pStyle w:val="TextoNormal"/>
      </w:pPr>
    </w:p>
    <w:p w14:paraId="5A1E2831" w14:textId="77777777" w:rsidR="003754FE" w:rsidRDefault="003754FE" w:rsidP="003754FE">
      <w:pPr>
        <w:pStyle w:val="TextoNormal"/>
      </w:pPr>
      <w:r>
        <w:t>b) La demandante de amparo fue condenada en sentencia núm. 490/2019, de 19 de noviembre, dictada por la Sección Primera de la Audiencia Provincial de Sevilla, en el rollo núm. 1965-2017, como autora de “un delito de prevaricación en concurso medial con un delito de malversación, agravado por su especial gravedad […] a la pena de seis años y dos días de prisión, inhabilitación especial para el derecho de sufragio pasivo durante el tiempo de la condena, e inhabilitación absoluta por tiempo de quince años y dos días,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14:paraId="4EAE91F9" w14:textId="77777777" w:rsidR="003754FE" w:rsidRDefault="003754FE" w:rsidP="003754FE">
      <w:pPr>
        <w:pStyle w:val="TextoNormal"/>
      </w:pPr>
    </w:p>
    <w:p w14:paraId="53FCFBD8" w14:textId="77777777" w:rsidR="003754FE" w:rsidRDefault="003754FE" w:rsidP="003754FE">
      <w:pPr>
        <w:pStyle w:val="TextoNormal"/>
      </w:pPr>
      <w:r>
        <w:t>La resolución fundamenta la condena de la actora en el hecho de haber participado, de acuerdo con sus funciones y competencias, como viceconsejera de Economía y Hacienda de la Junta de Andalucía, en la elaboración y tramitación de los anteproyectos de leyes de presupuestos de Andalucía correspondientes a los ejercicios 2005 a 2009, y ello tanto a título individual, dada la responsabilidad particular de su departamento en dicha tarea, como en su calidad de miembro de la comisión general de viceconsejeros, en cuanto órgano que acordó elevar los referidos anteproyectos al Consejo de Gobierno.</w:t>
      </w:r>
    </w:p>
    <w:p w14:paraId="2E8C3EF0" w14:textId="77777777" w:rsidR="003754FE" w:rsidRDefault="003754FE" w:rsidP="003754FE">
      <w:pPr>
        <w:pStyle w:val="TextoNormal"/>
      </w:pPr>
    </w:p>
    <w:p w14:paraId="3414C1BD" w14:textId="77777777" w:rsidR="003754FE" w:rsidRDefault="003754FE" w:rsidP="003754FE">
      <w:pPr>
        <w:pStyle w:val="TextoNormal"/>
      </w:pPr>
      <w:r>
        <w:t xml:space="preserve">Considera la sentencia que la actora se hallaba perfectamente informada de que la consignación, dentro del programa 31L de la Dirección General de Trabajo, en calidad de </w:t>
      </w:r>
      <w:r>
        <w:lastRenderedPageBreak/>
        <w:t>“transferencias de financiación”, de créditos para el pago de ayudas sociolaborales a empresas, era manifiestamente irregular, ya que la finalidad de las referidas transferencias era solo la de equilibrar la cuenta de pérdidas y ganancias de la entidad pública IDEA. Estima, asimismo, que la recurrente disponía de competencia y facultades de decisión que le permitían impedir la aprobación final de esos anteproyectos y que, por tal motivo, su participación fue determinante para la aprobación y remisión de los consiguientes proyectos de ley al Parlamento de Andalucía. Las mismas irregularidades habrían sido reproducidas, con idéntico conocimiento por parte de la actora, con ocasión de la tramitación de las sucesivas modificaciones presupuestarias.</w:t>
      </w:r>
    </w:p>
    <w:p w14:paraId="48F2E15D" w14:textId="77777777" w:rsidR="003754FE" w:rsidRDefault="003754FE" w:rsidP="003754FE">
      <w:pPr>
        <w:pStyle w:val="TextoNormal"/>
      </w:pPr>
    </w:p>
    <w:p w14:paraId="43179413" w14:textId="77777777" w:rsidR="003754FE" w:rsidRDefault="003754FE" w:rsidP="003754FE">
      <w:pPr>
        <w:pStyle w:val="TextoNormal"/>
      </w:pPr>
      <w:r>
        <w:t>La Audiencia Provincial considera que estas conductas son constitutivas de un delito continuado de prevaricación del art. 404 CP, en cuanto la aprobación, en los citados términos, de cada anteproyecto de ley de presupuestos constituiría una resolución arbitraria, dictada en un asunto administrativo a sabiendas de su injusticia. También condena a la actora como autora de un delito continuado de malversación, ya que entiende que conocía y tenía el deber de evitar la utilización ilícita de los fondos consignados en esas partidas. La conexión instrumental entre ambos delitos determina que la resolución aprecie una relación de concurso medial, con el consiguiente reflejo en una penalidad conjunta.</w:t>
      </w:r>
    </w:p>
    <w:p w14:paraId="459A4DFF" w14:textId="77777777" w:rsidR="003754FE" w:rsidRDefault="003754FE" w:rsidP="003754FE">
      <w:pPr>
        <w:pStyle w:val="TextoNormal"/>
      </w:pPr>
    </w:p>
    <w:p w14:paraId="175004DF" w14:textId="77777777" w:rsidR="003754FE" w:rsidRDefault="003754FE" w:rsidP="003754FE">
      <w:pPr>
        <w:pStyle w:val="TextoNormal"/>
      </w:pPr>
      <w:r>
        <w:t>c) Interpuesto recurso de casación por la representación procesal de la demandante fue desestimado íntegramente por sentencia del Tribunal Supremo núm. 749/2022, de 13 de septiembre.</w:t>
      </w:r>
    </w:p>
    <w:p w14:paraId="31C503F1" w14:textId="77777777" w:rsidR="003754FE" w:rsidRDefault="003754FE" w:rsidP="003754FE">
      <w:pPr>
        <w:pStyle w:val="TextoNormal"/>
      </w:pPr>
    </w:p>
    <w:p w14:paraId="32E0A89C" w14:textId="04FFDDCC" w:rsidR="003754FE" w:rsidRDefault="003754FE" w:rsidP="003754FE">
      <w:pPr>
        <w:pStyle w:val="TextoNormal"/>
      </w:pPr>
      <w:r>
        <w:t>d) Por auto del Tribunal Supremo de 16 de febrero de 2023 se inadmitió el incidente de nulidad de actuaciones formulado por la recurrente frente a la sentencia del Tribunal Supremo que desestimó el recurso de casación.</w:t>
      </w:r>
    </w:p>
    <w:p w14:paraId="1B356D08" w14:textId="77777777" w:rsidR="003754FE" w:rsidRDefault="003754FE" w:rsidP="003754FE">
      <w:pPr>
        <w:pStyle w:val="TextoNormal"/>
      </w:pPr>
    </w:p>
    <w:p w14:paraId="1D7829BC" w14:textId="77777777" w:rsidR="003754FE" w:rsidRDefault="003754FE" w:rsidP="003754FE">
      <w:pPr>
        <w:pStyle w:val="TextoNormal"/>
      </w:pPr>
      <w:r w:rsidRPr="003754FE">
        <w:rPr>
          <w:rStyle w:val="NumeroAFNegritaCaracter"/>
        </w:rPr>
        <w:t>3</w:t>
      </w:r>
      <w:r>
        <w:t>. En la demanda se alegan, como motivos de amparo, las siguientes vulneraciones de derechos fundamentales:</w:t>
      </w:r>
    </w:p>
    <w:p w14:paraId="7B336C2B" w14:textId="77777777" w:rsidR="003754FE" w:rsidRDefault="003754FE" w:rsidP="003754FE">
      <w:pPr>
        <w:pStyle w:val="TextoNormal"/>
      </w:pPr>
    </w:p>
    <w:p w14:paraId="0338CC25" w14:textId="77777777" w:rsidR="003754FE" w:rsidRDefault="003754FE" w:rsidP="003754FE">
      <w:pPr>
        <w:pStyle w:val="TextoNormal"/>
      </w:pPr>
      <w:r>
        <w:t>a) Se plantea, en primer lugar, la vulneración del derecho a la tutela judicial efectiva (art. 24.1 CE), del derecho a un proceso con todas las garantías (art. 24.2 CE) y de la libertad personal (art. 17.1 CE), todas ellas como consecuencia de la vulneración del derecho a la legalidad penal (art. 25.1 CE) en relación con la “falta de jurisdicción de los tribunales españoles para valorar la acción del Gobierno en la fase prelegislativa”.</w:t>
      </w:r>
    </w:p>
    <w:p w14:paraId="5101F1FE" w14:textId="77777777" w:rsidR="003754FE" w:rsidRDefault="003754FE" w:rsidP="003754FE">
      <w:pPr>
        <w:pStyle w:val="TextoNormal"/>
      </w:pPr>
    </w:p>
    <w:p w14:paraId="543AF5D1" w14:textId="77777777" w:rsidR="003754FE" w:rsidRDefault="003754FE" w:rsidP="003754FE">
      <w:pPr>
        <w:pStyle w:val="TextoNormal"/>
      </w:pPr>
      <w:r>
        <w:t>Se denuncia en este primer motivo que los órganos de la jurisdicción penal (tanto la Audiencia Provincial de Sevilla como la Sala de lo Penal del Tribunal Supremo) han asumido fraudulentamente la competencia jurisdiccional para enjuiciar actos de naturaleza legislativa, función esta que corresponde exclusivamente al Tribunal Constitucional.</w:t>
      </w:r>
    </w:p>
    <w:p w14:paraId="7CFCAA49" w14:textId="77777777" w:rsidR="003754FE" w:rsidRDefault="003754FE" w:rsidP="003754FE">
      <w:pPr>
        <w:pStyle w:val="TextoNormal"/>
      </w:pPr>
    </w:p>
    <w:p w14:paraId="4BB37D14" w14:textId="77777777" w:rsidR="003754FE" w:rsidRDefault="003754FE" w:rsidP="003754FE">
      <w:pPr>
        <w:pStyle w:val="TextoNormal"/>
      </w:pPr>
      <w:r>
        <w:t xml:space="preserve">El recurso contiene, en este punto, una disquisición sobre la naturaleza jurídica de los actos de iniciativa legislativa en la que se considera que estamos ante una suerte de “acto constitucional” como “acto de contenido político, expresión de una potestad constitucional y, como tal, susceptible de control, pero solo por el Tribunal Constitucional”. Se estima, en particular, que la aprobación por parte del Gobierno de un proyecto de ley forma parte del procedimiento legislativo mismo. Eso explicaría que tanto el Reglamento del Congreso de los Diputados (RCD) como el Reglamento del Parlamento de Andalucía admitan la potestad </w:t>
      </w:r>
      <w:r>
        <w:lastRenderedPageBreak/>
        <w:t>del Gobierno de retirar un proyecto de ley en cualquier momento de su tramitación, siempre que no haya acuerdo final sobre este (art. 128 RCD) o que no se haya iniciado el debate final del Pleno (art. 126 del Reglamento del Parlamento de Andalucía). La existencia de esta facultad demostraría que la potestad de iniciativa legislativa se extiende a toda la tramitación parlamentaria, sin que pueda escindirse de ella. Argumenta, en la misma línea, la demandante que el acuerdo del Consejo de Ministros o del Consejo de Gobierno de una comunidad autónoma que aprueba el proyecto de ley no tiene efectos jurídicos propios. Solo desplegaría efectos dentro del correspondiente procedimiento parlamentario. Por ello, antes de la recepción por el Parlamento se trata de un “documento puramente político”, carente, por sí mismo, de eficacia jurídica.</w:t>
      </w:r>
    </w:p>
    <w:p w14:paraId="7FF41AD7" w14:textId="77777777" w:rsidR="003754FE" w:rsidRDefault="003754FE" w:rsidP="003754FE">
      <w:pPr>
        <w:pStyle w:val="TextoNormal"/>
      </w:pPr>
    </w:p>
    <w:p w14:paraId="1C493913" w14:textId="77777777" w:rsidR="003754FE" w:rsidRDefault="003754FE" w:rsidP="003754FE">
      <w:pPr>
        <w:pStyle w:val="TextoNormal"/>
      </w:pPr>
      <w:r>
        <w:t xml:space="preserve">Dada la particular naturaleza de los actos de iniciativa legislativa, la recurrente considera que la Audiencia Provincial de Sevilla y el Tribunal Supremo han instaurado “un inédito control judicial </w:t>
      </w:r>
      <w:r w:rsidRPr="003754FE">
        <w:rPr>
          <w:i/>
        </w:rPr>
        <w:t>ex ante</w:t>
      </w:r>
      <w:r>
        <w:t>, no de la ley, sino de los proyectos del Gobierno, lo que supone un auténtico desplome de la arquitectura constitucional respecto de las relaciones entre poderes”. Alega, en este sentido, que el proyecto de ley “es jurídicamente nada”, solo un documento de iniciación de un procedimiento parlamentario del que resulta una ley que no puede ser, por concepto, “ilegal”. Cualquier ilegalidad potencial del contenido del proyecto de ley queda, en todo caso, subsanada una vez que se convierte en norma con rango de ley.</w:t>
      </w:r>
    </w:p>
    <w:p w14:paraId="0A8EF2BE" w14:textId="77777777" w:rsidR="003754FE" w:rsidRDefault="003754FE" w:rsidP="003754FE">
      <w:pPr>
        <w:pStyle w:val="TextoNormal"/>
      </w:pPr>
    </w:p>
    <w:p w14:paraId="0F372C24" w14:textId="77777777" w:rsidR="003754FE" w:rsidRDefault="003754FE" w:rsidP="003754FE">
      <w:pPr>
        <w:pStyle w:val="TextoNormal"/>
      </w:pPr>
      <w:r>
        <w:t>Considera, asimismo, la actora que una ley de presupuestos, como norma especial y singular, no puede infringir la Ley 38/2003, de 17 de noviembre, general de subvenciones, ni ninguna otra ley anterior con la que pueda entrar en aparente contradicción. Los órganos de la jurisdicción penal han usurpado, por tanto, el monopolio jurisdiccional del Tribunal Constitucional, único órgano habilitado por la Constitución para fiscalizar las leyes, y ello no por razón de su “ilegalidad” (lo que sería un contrasentido lógico) sino de su inconstitucionalidad.</w:t>
      </w:r>
    </w:p>
    <w:p w14:paraId="23E6E82E" w14:textId="77777777" w:rsidR="003754FE" w:rsidRDefault="003754FE" w:rsidP="003754FE">
      <w:pPr>
        <w:pStyle w:val="TextoNormal"/>
      </w:pPr>
    </w:p>
    <w:p w14:paraId="661A19B9" w14:textId="77777777" w:rsidR="003754FE" w:rsidRDefault="003754FE" w:rsidP="003754FE">
      <w:pPr>
        <w:pStyle w:val="TextoNormal"/>
      </w:pPr>
      <w:r>
        <w:t>Concluye la recurrente que la Audiencia Provincial y el Tribunal Supremo, al ignorar la potestad legislativa de la comunidad autónoma, “han ignorado también la competencia exclusiva del Tribunal Constitucional para decidir cuándo una ley cumple las exigencias de la Constitución y cuándo no. Vulnera así el principio de separación de poderes e ignora la jurisdicción constitucional”. La radical nulidad que conllevaría ese exceso de jurisdicción determinaría, a juicio de la actora, una vulneración del art. 24.2 CE, como derecho a un proceso con todas las garantías, pues “un tribunal carente de jurisdicción va de suyo que no puede ser el juez ordinario predeterminado por la ley ni el proceso seguido lo ha sido con todas las garantías”. Los órganos de la jurisdicción penal se han arrogado una jurisdicción que no tienen atribuida para enjuiciar actos constitucionales “sin plantearse siquiera como hipótesis la cuestión de [in]constitucionalidad”.</w:t>
      </w:r>
    </w:p>
    <w:p w14:paraId="14E12DE1" w14:textId="77777777" w:rsidR="003754FE" w:rsidRDefault="003754FE" w:rsidP="003754FE">
      <w:pPr>
        <w:pStyle w:val="TextoNormal"/>
      </w:pPr>
    </w:p>
    <w:p w14:paraId="07D6D1DB" w14:textId="77777777" w:rsidR="003754FE" w:rsidRDefault="003754FE" w:rsidP="003754FE">
      <w:pPr>
        <w:pStyle w:val="TextoNormal"/>
      </w:pPr>
      <w:r>
        <w:t xml:space="preserve">b) Se denuncia, en segundo lugar, una vulneración del derecho fundamental a la legalidad penal (art. 25.1 CE) derivada de una interpretación extensiva e </w:t>
      </w:r>
      <w:r w:rsidRPr="003754FE">
        <w:rPr>
          <w:i/>
        </w:rPr>
        <w:t>in malam partem</w:t>
      </w:r>
      <w:r>
        <w:t xml:space="preserve"> del elemento objetivo del delito de prevaricación del art. 404 del Código penal (CP), al no existir, en el caso enjuiciado, una “resolución en asunto administrativo”.</w:t>
      </w:r>
    </w:p>
    <w:p w14:paraId="68BD326D" w14:textId="77777777" w:rsidR="003754FE" w:rsidRDefault="003754FE" w:rsidP="003754FE">
      <w:pPr>
        <w:pStyle w:val="TextoNormal"/>
      </w:pPr>
    </w:p>
    <w:p w14:paraId="13B54CAE" w14:textId="77777777" w:rsidR="003754FE" w:rsidRDefault="003754FE" w:rsidP="003754FE">
      <w:pPr>
        <w:pStyle w:val="TextoNormal"/>
      </w:pPr>
      <w:r>
        <w:t xml:space="preserve">En coherencia con el motivo anterior, entiende la recurrente que la interpretación del tipo del art. 404 CP realizada por la Audiencia Provincial de Sevilla y por la Sala de lo Penal del Tribunal Supremo es “irrazonable y extravagante”. Se basaría, argumenta, en una </w:t>
      </w:r>
      <w:r>
        <w:lastRenderedPageBreak/>
        <w:t>“concepción forzada” de los actos prelegislativos como actos de naturaleza “administrativa”, así como en la equívoca adjetivación de “ilegal” de un proyecto de ley que resulta, a la postre, aprobado por el Parlamento. El núcleo del motivo se refiere, en definitiva, a la extensión, ilegítima a juicio de la actora, del concepto de “resolución en asunto administrativo” a los actos prelegislativos que, de acuerdo con la doctrina constitucional y la jurisprudencia contencioso-administrativa, no tienen, en modo alguno, naturaleza administrativa ni producen efectos jurídicos fuera del puro ámbito parlamentario. No es posible, se alega, que actos que quedan fuera del control judicial del art. 106.2 CE puedan considerarse resoluciones administrativas a efectos de subsunción en el tipo de prevaricación.</w:t>
      </w:r>
    </w:p>
    <w:p w14:paraId="41353EAD" w14:textId="77777777" w:rsidR="003754FE" w:rsidRDefault="003754FE" w:rsidP="003754FE">
      <w:pPr>
        <w:pStyle w:val="TextoNormal"/>
      </w:pPr>
    </w:p>
    <w:p w14:paraId="1CF98C0C" w14:textId="77777777" w:rsidR="003754FE" w:rsidRDefault="003754FE" w:rsidP="003754FE">
      <w:pPr>
        <w:pStyle w:val="TextoNormal"/>
      </w:pPr>
      <w:r>
        <w:t>Vuelve a argumentar la actora, a propósito de este segundo motivo, que ninguna “ilegalidad” puede atribuirse a los proyectos de ley de presupuestos que fueron aprobados por el Consejo de Gobierno de Andalucía mientras la recurrente fue viceconsejera de Economía y Hacienda (de 2005 a 2009). En su opinión, la “concepción que subyace en el razonamiento de la sentencia es que las leyes las hace el Gobierno y el Parlamento las fiscaliza”, como si, en el caso que nos ocupa, el Parlamento se limitase a convalidar el proyecto de ley de presupuestos presentado por el Consejo de Gobierno. Se llega, a juicio de la recurrente, a entender que la ley es ilegal porque no se sometió en la fase prelegislativa a pautas de tramitación establecidas en disposiciones de rango infra legal, lo que sería absurdo, pues equivale a revertir el funcionamiento del principio de jerarquía normativa.</w:t>
      </w:r>
    </w:p>
    <w:p w14:paraId="08959B66" w14:textId="77777777" w:rsidR="003754FE" w:rsidRDefault="003754FE" w:rsidP="003754FE">
      <w:pPr>
        <w:pStyle w:val="TextoNormal"/>
      </w:pPr>
    </w:p>
    <w:p w14:paraId="725C6748" w14:textId="77777777" w:rsidR="003754FE" w:rsidRDefault="003754FE" w:rsidP="003754FE">
      <w:pPr>
        <w:pStyle w:val="TextoNormal"/>
      </w:pPr>
      <w:r>
        <w:t xml:space="preserve">c) Se alega, como tercer motivo, la vulneración del derecho fundamental a la legalidad penal (art. 25.1 CE) por la indebida subsunción de los hechos probados en el delito de malversación del art. 432 CP y por la interpretación extensiva e </w:t>
      </w:r>
      <w:r w:rsidRPr="003754FE">
        <w:rPr>
          <w:i/>
        </w:rPr>
        <w:t>in malam partem</w:t>
      </w:r>
      <w:r>
        <w:t xml:space="preserve"> de los elementos del tipo de dicho delito ya que, según se alega, los actos atribuidos a la recurrente (elaboración de anteproyectos de ley y aprobación de modificaciones presupuestarias) no serían tampoco idóneos para ser subsumidos en dicho tipo penal. La vulneración tendría, en este caso, según se expone en la demanda, una triple vertiente:</w:t>
      </w:r>
    </w:p>
    <w:p w14:paraId="556A06B8" w14:textId="77777777" w:rsidR="003754FE" w:rsidRDefault="003754FE" w:rsidP="003754FE">
      <w:pPr>
        <w:pStyle w:val="TextoNormal"/>
      </w:pPr>
    </w:p>
    <w:p w14:paraId="3C8EBB7E" w14:textId="77777777" w:rsidR="003754FE" w:rsidRDefault="003754FE" w:rsidP="003754FE">
      <w:pPr>
        <w:pStyle w:val="TextoNormal"/>
      </w:pPr>
      <w:r>
        <w:t>(i) No existiría, en primer lugar, una conexión jurídica (o un “engarce jurídico” en las palabras concretamente utilizadas en la demanda) entre los actos que se atribuyen a la actora en su calidad de viceconsejera, insertos en la fase prelegislativa del procedimiento parlamentario y los actos de malversación que resultaron, finalmente, materializados. Señala la recurrente que el Consejo de Gobierno no aprueba partidas presupuestarias y menos aún los viceconsejeros, ya que esta potestad corresponde al Parlamento. La intervención del Parlamento mediante la aprobación de una ley rompe cualquier conexión jurídica entre el proyecto de ley de presupuestos, como acto prelegislativo, y los concretos actos malversadores posteriores. No se ha declarado, en este punto, que el Gobierno engañara al Parlamento. La recurrente alega, en definitiva, que no aprobó ninguna partida presupuestaria, ya que fue la Asamblea Legislativa quien lo hizo. En esas circunstancias “[u]na ley no puede ser un vehículo jurídicamente eficaz para malversar y la ley de presupuestos, y sus créditos, no pueden ser ilícitos”.</w:t>
      </w:r>
    </w:p>
    <w:p w14:paraId="19B01BB0" w14:textId="77777777" w:rsidR="003754FE" w:rsidRDefault="003754FE" w:rsidP="003754FE">
      <w:pPr>
        <w:pStyle w:val="TextoNormal"/>
      </w:pPr>
    </w:p>
    <w:p w14:paraId="13DE5FE5" w14:textId="77777777" w:rsidR="003754FE" w:rsidRDefault="003754FE" w:rsidP="003754FE">
      <w:pPr>
        <w:pStyle w:val="TextoNormal"/>
      </w:pPr>
      <w:r>
        <w:t xml:space="preserve">(ii) Tampoco concurriría la capacidad decisoria sobre los fondos públicos malversados. La modalidad activa de malversación requiere, según argumenta la actora, que se tenga capacidad de disposición, de hecho o de derecho, sobre los bienes que resultan malversados. Alega la actora que quien dispuso de los caudales públicos fue la Dirección General de Trabajo, inserta en el ámbito de la Consejería de Empleo, y que ella, en su calidad de </w:t>
      </w:r>
      <w:r>
        <w:lastRenderedPageBreak/>
        <w:t>viceconsejera de Economía y Hacienda, no participó de ninguna forma en la gestión del programa 31L ni en los expedientes de ayudas, sobre los que no tenía ninguna atribución decisoria. Hay, pues, un “salto” de la actividad que consiste en la preparación del proyecto de ley de presupuestos a la gestión de las concretas partidas en el ámbito de la Consejería de Empleo. El entendimiento de que la participación en la elaboración del presupuesto implica capacidad de disposición de las concretas partidas es, a juicio de la recurrente, una interpretación irrazonable y extensiva del tipo de malversación.</w:t>
      </w:r>
    </w:p>
    <w:p w14:paraId="209C2E1C" w14:textId="77777777" w:rsidR="003754FE" w:rsidRDefault="003754FE" w:rsidP="003754FE">
      <w:pPr>
        <w:pStyle w:val="TextoNormal"/>
      </w:pPr>
    </w:p>
    <w:p w14:paraId="72FC6BFB" w14:textId="77777777" w:rsidR="003754FE" w:rsidRDefault="003754FE" w:rsidP="003754FE">
      <w:pPr>
        <w:pStyle w:val="TextoNormal"/>
      </w:pPr>
      <w:r>
        <w:t>(iii) No existiría, finalmente, una fuente jurídica que justificase la posición de garantía que se atribuye a la viceconsejera de Economía y Hacienda en relación con los actos de gestión realizados por la Dirección General de Trabajo. La alternativa a la modalidad activa de malversación requiere una posición de garante que exija a la autoridad o funcionario el deber de actuar para impedir la comisión del futurible delito de malversación. No existe, sin embargo, precepto alguno en el entramado competencial del Consejo de Gobierno de Andalucía que sirva de fuente a ese deber de garantía en relación con la viceconsejera de Economía y Hacienda. Por ello, la posición de garante se construye en las resoluciones impugnadas mediante una interpretación extensiva del tipo penal. En otras palabras: no hay norma alguna que atribuya a la recurrente una función de control del gasto del resto de consejerías. Según se expresa en la demanda, “[n]o todo el mundo es garante de lo que otro hace en la Junta de Andalucía y esa posición no puede presumirse, ni derivarse de indeterminadas funciones implícitas”.</w:t>
      </w:r>
    </w:p>
    <w:p w14:paraId="768BC443" w14:textId="77777777" w:rsidR="003754FE" w:rsidRDefault="003754FE" w:rsidP="003754FE">
      <w:pPr>
        <w:pStyle w:val="TextoNormal"/>
      </w:pPr>
    </w:p>
    <w:p w14:paraId="17031150" w14:textId="77777777" w:rsidR="003754FE" w:rsidRDefault="003754FE" w:rsidP="003754FE">
      <w:pPr>
        <w:pStyle w:val="TextoNormal"/>
      </w:pPr>
      <w:r>
        <w:t>d) Se alega, asimismo, la vulneración del derecho a la presunción de inocencia (art. 24.2 CE) en relación con el derecho a la libertad (art. 17.1 CE) por ausencia de prueba de cargo suficiente en relación con el elemento subjetivo del delito de malversación.</w:t>
      </w:r>
    </w:p>
    <w:p w14:paraId="22B2D759" w14:textId="77777777" w:rsidR="003754FE" w:rsidRDefault="003754FE" w:rsidP="003754FE">
      <w:pPr>
        <w:pStyle w:val="TextoNormal"/>
      </w:pPr>
    </w:p>
    <w:p w14:paraId="7E2EAF10" w14:textId="77777777" w:rsidR="003754FE" w:rsidRDefault="003754FE" w:rsidP="003754FE">
      <w:pPr>
        <w:pStyle w:val="TextoNormal"/>
      </w:pPr>
      <w:r>
        <w:t>La recurrente considera que la inferencia del elemento subjetivo (dolo eventual) de la malversación no se funda en elementos de cargo suficientes. Se trata de una prueba indiciaria en la que: (i) la inferencia se basa en indicios que no son unívocos ni concluyentes; (ii) la inferencia a partir de esos indicios es demasiado abierta e indeterminada; (iii) la argumentación que sostiene la inferencia no puede considerarse un discurso lógico y coherente.</w:t>
      </w:r>
    </w:p>
    <w:p w14:paraId="546FF717" w14:textId="77777777" w:rsidR="003754FE" w:rsidRDefault="003754FE" w:rsidP="003754FE">
      <w:pPr>
        <w:pStyle w:val="TextoNormal"/>
      </w:pPr>
    </w:p>
    <w:p w14:paraId="78AE6A7D" w14:textId="77777777" w:rsidR="003754FE" w:rsidRDefault="003754FE" w:rsidP="003754FE">
      <w:pPr>
        <w:pStyle w:val="TextoNormal"/>
      </w:pPr>
      <w:r>
        <w:t>En la demanda se afirma que la Audiencia Provincial de Sevilla considera que concurre un dolo eventual. Según la sentencia de instancia, la recurrente habría asumido la realización de actos malversadores concretos como resultado posible de su conducta (consistente en la aprobación de un anteproyecto de ley en el que, mediante una indebida clasificación presupuestaria de la partida relativa a las ayudas, se suprimían controles administrativos). Esa inferencia se basaría en un único elemento probatorio, el llamado “informe adicional de ayudas” del año 2003. Entiende la recurrente que el paso que va de ese informe a la atribución de un dolo eventual es un “salto ilógico” por varias razones:</w:t>
      </w:r>
    </w:p>
    <w:p w14:paraId="440E3F79" w14:textId="77777777" w:rsidR="003754FE" w:rsidRDefault="003754FE" w:rsidP="003754FE">
      <w:pPr>
        <w:pStyle w:val="TextoNormal"/>
      </w:pPr>
    </w:p>
    <w:p w14:paraId="042D0064" w14:textId="77777777" w:rsidR="003754FE" w:rsidRDefault="003754FE" w:rsidP="003754FE">
      <w:pPr>
        <w:pStyle w:val="TextoNormal"/>
      </w:pPr>
      <w:r>
        <w:t>(i) En primer lugar, por el propio contenido del informe, que detecta ciertas irregularidades producidas en catorce expedientes en el año 2003 sin considerar, en ningún momento, que haya un riesgo de menoscabo de los fondos públicos. De ahí que sea una inferencia ilógica considerar que ese documento, por su contenido, debía llevar necesariamente a la viceconsejera de Economía y Hacienda a representarse mentalmente y a asumir en su fuero interno la eventual realización de concretas conductas malversadoras.</w:t>
      </w:r>
    </w:p>
    <w:p w14:paraId="12F62794" w14:textId="77777777" w:rsidR="003754FE" w:rsidRDefault="003754FE" w:rsidP="003754FE">
      <w:pPr>
        <w:pStyle w:val="TextoNormal"/>
      </w:pPr>
    </w:p>
    <w:p w14:paraId="37C30950" w14:textId="77777777" w:rsidR="003754FE" w:rsidRDefault="003754FE" w:rsidP="003754FE">
      <w:pPr>
        <w:pStyle w:val="TextoNormal"/>
      </w:pPr>
      <w:r>
        <w:lastRenderedPageBreak/>
        <w:t>(ii) Existían, además, elementos que desvirtuaban la posibilidad de inferir una situación subjetiva de dolo eventual: (1) el informe se refiere al año 2003, momento en que la recurrente no ostentaba ningún cargo en el Gobierno de la Junta de Andalucía (asumió el cargo de viceconsejera de Economía y Hacienda en 2004); (2) las ayudas eran gestionadas por un director general de una consejería distinta; (3) el informe adicional procedía de la Consejería de Empleo por lo que era razonable pensar que era esa consejería la que iba a adoptar las medidas oportunas; (4) el informe adicional es una figura atípica, no reglada, por lo que no existía ninguna normativa que determinase sus consecuencias, en particular qué medidas podían adoptarse a partir de dicho informe; (5) se trató de un único informe sobre el año 2003, no se hicieron nuevos informes en los años posteriores; (6) el informe no menciona en ningún momento la existencia de “intrusos o de pagos cruzados, ni de desviaciones o de pagos a otros fines distintos de ese programa”, y (7) el informe no alude a la posibilidad de que se produzca un menoscabo de fondos públicos.</w:t>
      </w:r>
    </w:p>
    <w:p w14:paraId="1C05E987" w14:textId="77777777" w:rsidR="003754FE" w:rsidRDefault="003754FE" w:rsidP="003754FE">
      <w:pPr>
        <w:pStyle w:val="TextoNormal"/>
      </w:pPr>
    </w:p>
    <w:p w14:paraId="1606B8C9" w14:textId="77777777" w:rsidR="003754FE" w:rsidRDefault="003754FE" w:rsidP="003754FE">
      <w:pPr>
        <w:pStyle w:val="TextoNormal"/>
      </w:pPr>
      <w:r>
        <w:t>(iii) Es incoherente que la sentencia infiera el elemento subjetivo del informe adicional de 2003 en relación con la recurrente y que descarte, en cambio, el dolo eventual del interventor general, que recibió el mismo informe. La demandante considera que la absolución del interventor es correcta pero afirma que, en coherencia, esa misma conclusión absolutoria habría debido extraerse para ella.</w:t>
      </w:r>
    </w:p>
    <w:p w14:paraId="5DBC3E86" w14:textId="77777777" w:rsidR="003754FE" w:rsidRDefault="003754FE" w:rsidP="003754FE">
      <w:pPr>
        <w:pStyle w:val="TextoNormal"/>
      </w:pPr>
    </w:p>
    <w:p w14:paraId="37192B71" w14:textId="77777777" w:rsidR="003754FE" w:rsidRDefault="003754FE" w:rsidP="003754FE">
      <w:pPr>
        <w:pStyle w:val="TextoNormal"/>
      </w:pPr>
      <w:r>
        <w:t>(iv) Si hubiera existido un riesgo de menoscabo de los fondos públicos, la Intervención habría emitido un informe de actuación. Esta sí es una figura expresamente prevista en el art. 12.5 del Decreto 9/1999, de 19 de enero, que regula el régimen presupuestario, financiero, de control y contable de las empresas de la Junta de Andalucía. Debe emitirse, conforme al indicado precepto, cuando no se adoptan las medidas necesarias para solventar las deficiencias detectadas y, en todo caso, cuando se aprecien circunstancias que, por su importancia, puedan ocasionar menoscabo de los fondos públicos. El razonamiento de la Audiencia Provincial para justificar que no se emitiera este informe carece, según señala el recurso, de consistencia, ya que el tribunal provincial se remite a una instrucción del año 2017, “ocho años después de que finalizase la presupuestación con transferencia de financiación, y diecisiete años después del inicio de los hechos investigados”.</w:t>
      </w:r>
    </w:p>
    <w:p w14:paraId="491C1693" w14:textId="77777777" w:rsidR="003754FE" w:rsidRDefault="003754FE" w:rsidP="003754FE">
      <w:pPr>
        <w:pStyle w:val="TextoNormal"/>
      </w:pPr>
    </w:p>
    <w:p w14:paraId="7927A185" w14:textId="77777777" w:rsidR="003754FE" w:rsidRDefault="003754FE" w:rsidP="003754FE">
      <w:pPr>
        <w:pStyle w:val="TextoNormal"/>
      </w:pPr>
      <w:r>
        <w:t>Según señala el recurso: “si los interventores no apreciaron menoscabo de fondos públicos, ni advirtieron del mismo, cuando tienen las competencias de fiscalización y control del gasto, ¿cómo habría de suponerse ese conocimiento a quienes pertenecían a otras consejerías e intervinieron en la fase de elaboración de la propuesta de ley de presupuestos?”.</w:t>
      </w:r>
    </w:p>
    <w:p w14:paraId="5B3D3570" w14:textId="77777777" w:rsidR="003754FE" w:rsidRDefault="003754FE" w:rsidP="003754FE">
      <w:pPr>
        <w:pStyle w:val="TextoNormal"/>
      </w:pPr>
    </w:p>
    <w:p w14:paraId="6563BD20" w14:textId="77777777" w:rsidR="003754FE" w:rsidRDefault="003754FE" w:rsidP="003754FE">
      <w:pPr>
        <w:pStyle w:val="TextoNormal"/>
      </w:pPr>
      <w:r>
        <w:t>(v) Existieron informes de la Intervención favorables a las modificaciones presupuestarias: “si para la Intervención las modificaciones no suponían irregularidad alguna, es incoherente sostener que mi mandante tuviese que entender y asumir que su actuación pudiera ser contraria a la ley, ni menos aún que pudiera constituir un riesgo de menoscabo de fondos públicos”.</w:t>
      </w:r>
    </w:p>
    <w:p w14:paraId="5164EB50" w14:textId="77777777" w:rsidR="003754FE" w:rsidRDefault="003754FE" w:rsidP="003754FE">
      <w:pPr>
        <w:pStyle w:val="TextoNormal"/>
      </w:pPr>
    </w:p>
    <w:p w14:paraId="6D577705" w14:textId="77777777" w:rsidR="003754FE" w:rsidRDefault="003754FE" w:rsidP="003754FE">
      <w:pPr>
        <w:pStyle w:val="TextoNormal"/>
      </w:pPr>
      <w:r>
        <w:t xml:space="preserve">(vi) Reconoce la sentencia de la Audiencia Provincial que la clasificación presupuestaria como transferencias de financiación perseguía la finalidad de “lograr la plasmación de la decisión política de concesión de ayudas con total rapidez” (pág. 1354) para “dar una respuesta inmediata a los grandes conflictos sociolaborales”, lo que trató de conseguirse con “un sistema ágil” que implicaba, eso sí, la supresión de controles legalmente establecidos. </w:t>
      </w:r>
      <w:r>
        <w:lastRenderedPageBreak/>
        <w:t>Si la modificación de la clasificación presupuestaria perseguía esa finalidad, la omisión de trámites de control encuentra una finalidad alternativa a la defraudatoria que explicaría la actuación de la recurrente, ajena a todo móvil malversador.</w:t>
      </w:r>
    </w:p>
    <w:p w14:paraId="2DF16DB4" w14:textId="77777777" w:rsidR="003754FE" w:rsidRDefault="003754FE" w:rsidP="003754FE">
      <w:pPr>
        <w:pStyle w:val="TextoNormal"/>
      </w:pPr>
    </w:p>
    <w:p w14:paraId="7A70E8EA" w14:textId="77777777" w:rsidR="003754FE" w:rsidRDefault="003754FE" w:rsidP="003754FE">
      <w:pPr>
        <w:pStyle w:val="TextoNormal"/>
      </w:pPr>
      <w:r>
        <w:t>e) Se alega, igualmente, vulneración del derecho a un proceso con todas las garantías y a la tutela judicial efectiva sin indefensión (art. 24.1 y 2 CE), a la presunción de inocencia (art. 24.2 CE) y a la legalidad penal (art. 25.1 CE) derivada de la introducción, en la sentencia de casación, de elementos fácticos nuevos sin sustento probatorio y que implican la realización de un nuevo juicio de tipicidad.</w:t>
      </w:r>
    </w:p>
    <w:p w14:paraId="324A6069" w14:textId="77777777" w:rsidR="003754FE" w:rsidRDefault="003754FE" w:rsidP="003754FE">
      <w:pPr>
        <w:pStyle w:val="TextoNormal"/>
      </w:pPr>
    </w:p>
    <w:p w14:paraId="3E2FF80F" w14:textId="77777777" w:rsidR="003754FE" w:rsidRDefault="003754FE" w:rsidP="003754FE">
      <w:pPr>
        <w:pStyle w:val="TextoNormal"/>
      </w:pPr>
      <w:r>
        <w:t xml:space="preserve">Para la actora, la Sala de lo Penal del Tribunal Supremo introduce elementos fácticos “ajenos y contrarios a los que componían el </w:t>
      </w:r>
      <w:r w:rsidRPr="003754FE">
        <w:rPr>
          <w:i/>
        </w:rPr>
        <w:t>factum</w:t>
      </w:r>
      <w:r>
        <w:t xml:space="preserve"> de la sentencia de instancia” y los utiliza para confirmar la condena. La principal modificación fáctica que se achaca a la sentencia casacional es la mutación del elemento subjetivo: lo que en la sentencia de instancia era una situación de dolo eventual se convierte, en la de casación, en dolo directo. El resultado malversador pasa a ser el objetivo principal perseguido con el cambio de presupuestación propuesto por el Consejo de Gobierno.</w:t>
      </w:r>
    </w:p>
    <w:p w14:paraId="7464A608" w14:textId="77777777" w:rsidR="003754FE" w:rsidRDefault="003754FE" w:rsidP="003754FE">
      <w:pPr>
        <w:pStyle w:val="TextoNormal"/>
      </w:pPr>
    </w:p>
    <w:p w14:paraId="3D99B52D" w14:textId="77777777" w:rsidR="003754FE" w:rsidRDefault="003754FE" w:rsidP="003754FE">
      <w:pPr>
        <w:pStyle w:val="TextoNormal"/>
      </w:pPr>
      <w:r>
        <w:t>Esto supondría la vulneración: (i) del derecho a un proceso con todas las garantías (art. 24.2 CE), pues no se ha dado audiencia a los condenados, ni se ha practicado vista con la debida inmediación, ni la recurrente ha tenido posibilidad de defenderse frente a estas nuevas imputaciones fácticas; (ii) del derecho a la presunción de inocencia (art. 24.2 CE), pues los nuevos elementos fácticos carecen de todo sustento probatorio; y (iii) del derecho a la legalidad penal, pues se llega a una interpretación irrazonable y extensiva del delito de malversación sobre la base de hechos que no han sido declarados probados.</w:t>
      </w:r>
    </w:p>
    <w:p w14:paraId="3D600015" w14:textId="77777777" w:rsidR="003754FE" w:rsidRDefault="003754FE" w:rsidP="003754FE">
      <w:pPr>
        <w:pStyle w:val="TextoNormal"/>
      </w:pPr>
    </w:p>
    <w:p w14:paraId="7BDF8C5E" w14:textId="77777777" w:rsidR="003754FE" w:rsidRDefault="003754FE" w:rsidP="003754FE">
      <w:pPr>
        <w:pStyle w:val="TextoNormal"/>
      </w:pPr>
      <w:r>
        <w:t>f) Existe, igualmente, a juicio de la actora, una vulneración del derecho fundamental a la legalidad penal (art. 25.1 CE), del derecho a la tutela judicial efectiva (art. 24.1 CE), del derecho a un proceso con todas las garantías (art. 24.2 CE) y del derecho a la presunción de inocencia (art. 24.2 CE) al haberse condenado a la recurrente sin la realización de un juicio de autoría, con sustento en un juicio de culpabilidad realizad</w:t>
      </w:r>
      <w:r w:rsidRPr="003754FE">
        <w:rPr>
          <w:i/>
        </w:rPr>
        <w:t>o ex no</w:t>
      </w:r>
      <w:r>
        <w:t>vo en casación.</w:t>
      </w:r>
    </w:p>
    <w:p w14:paraId="3BF362F9" w14:textId="77777777" w:rsidR="003754FE" w:rsidRDefault="003754FE" w:rsidP="003754FE">
      <w:pPr>
        <w:pStyle w:val="TextoNormal"/>
      </w:pPr>
    </w:p>
    <w:p w14:paraId="548ABB2A" w14:textId="77777777" w:rsidR="003754FE" w:rsidRDefault="003754FE" w:rsidP="003754FE">
      <w:pPr>
        <w:pStyle w:val="TextoNormal"/>
      </w:pPr>
      <w:r>
        <w:t>Se denuncia en este motivo que la Audiencia Provincial no efectúa, en su sentencia condenatoria, juicio de autoría alguno y que el Tribunal Supremo corrige ilegítimamente ese error al incorporar a la sentencia de casación un juicio de culpabilidad completamente novedoso. Con ello vuelve a excederse en su función revisora (art. 24.2 CE) y vuelve a infringir los derechos de la recurrente a la presunción de inocencia (art. 24.2 CE) y a la legalidad penal (art. 25.1 CE).</w:t>
      </w:r>
    </w:p>
    <w:p w14:paraId="1D75B29D" w14:textId="77777777" w:rsidR="003754FE" w:rsidRDefault="003754FE" w:rsidP="003754FE">
      <w:pPr>
        <w:pStyle w:val="TextoNormal"/>
      </w:pPr>
    </w:p>
    <w:p w14:paraId="3D4F7777" w14:textId="77777777" w:rsidR="003754FE" w:rsidRDefault="003754FE" w:rsidP="003754FE">
      <w:pPr>
        <w:pStyle w:val="TextoNormal"/>
      </w:pPr>
      <w:r>
        <w:t xml:space="preserve">El Tribunal Supremo parte de un “conocimiento y de unos actos de los condenados ajenos a la Consejería de Empleo que ni están en el </w:t>
      </w:r>
      <w:r w:rsidRPr="003754FE">
        <w:rPr>
          <w:i/>
        </w:rPr>
        <w:t>factum</w:t>
      </w:r>
      <w:r>
        <w:t xml:space="preserve"> de la sentencia, ni han sido declarados probados, ni se pueden inferir de las pruebas practicadas, puesto que la propia sala de instancia descartó el conocimiento directo de las personas ajenas a la Consejería de Empleo sobre una disposición por el director general de Trabajo ajena a fines públicos, por lo que las condena por dolo eventual”. El Tribunal Supremo introduce nuevas premisas fácticas que le llevan a inferir un dolo directo. Para ello atribuye a la recurrente unas capacidades y competencias sobre la concreta disposición de fondos de las que la Audiencia Provincial nada había dicho.</w:t>
      </w:r>
    </w:p>
    <w:p w14:paraId="18A57AC7" w14:textId="77777777" w:rsidR="003754FE" w:rsidRDefault="003754FE" w:rsidP="003754FE">
      <w:pPr>
        <w:pStyle w:val="TextoNormal"/>
      </w:pPr>
    </w:p>
    <w:p w14:paraId="52208842" w14:textId="77777777" w:rsidR="003754FE" w:rsidRDefault="003754FE" w:rsidP="003754FE">
      <w:pPr>
        <w:pStyle w:val="TextoNormal"/>
      </w:pPr>
      <w:r>
        <w:t>Se da, en este punto, especial desarrollo a la lesión del derecho a la legalidad penal (art. 25.1 CE). La recurrente considera que, con el nuevo juicio de autoría que introduce el Tribunal Supremo, se realiza una subsunción completamente imprevisible en el tipo penal de la malversación. Se crea, en particular, una responsabilidad omisiva contraria a todas las definiciones previas de la forma impropia de omisión, ya que se prescinde de la existencia de una “obligación específica de actuar o evitar el resultado lesivo”. La posición de garante de la viceconsejera de Economía y Hacienda se basa en un deber específico de actuar que no ha sido acreditado. La sentencia del Tribunal Supremo parte del resultado malversador y va incluyendo retrospectivamente como autores de la malversación a todos los que han realizado alguna aportación causal. Trata de ensamblar la responsabilidad penal de todos esos intervinientes con el argumento de que compartían el propósito común de llegar al resultado malversador. Con esa base, subsume la intervención de cada uno de los implicados que no han tenido disponibilidad de los fondos, incluida la propia recurrente, en la modalidad comisiva de la malversación que consiste en permitir que un tercero sustraiga.</w:t>
      </w:r>
    </w:p>
    <w:p w14:paraId="4BE823A8" w14:textId="77777777" w:rsidR="003754FE" w:rsidRDefault="003754FE" w:rsidP="003754FE">
      <w:pPr>
        <w:pStyle w:val="TextoNormal"/>
      </w:pPr>
    </w:p>
    <w:p w14:paraId="61DEB03C" w14:textId="77777777" w:rsidR="003754FE" w:rsidRDefault="003754FE" w:rsidP="003754FE">
      <w:pPr>
        <w:pStyle w:val="TextoNormal"/>
      </w:pPr>
      <w:r>
        <w:t>g) Se alega, finalmente, vulneración del derecho a la presunción de inocencia (art. 24.2 CE) en su dimensión del derecho al honor (art. 18 CE), del derecho a un proceso con todas las garantías (art. 24.2 CE) y del derecho a la tutela judicial efectiva sin indefensión (art. 24.1 CE) por razón de la publicación anticipada del fallo, acto que se reputa equivalente a una declaración pública de culpabilidad sin sentencia.</w:t>
      </w:r>
    </w:p>
    <w:p w14:paraId="431C437A" w14:textId="77777777" w:rsidR="003754FE" w:rsidRDefault="003754FE" w:rsidP="003754FE">
      <w:pPr>
        <w:pStyle w:val="TextoNormal"/>
      </w:pPr>
    </w:p>
    <w:p w14:paraId="738278F0" w14:textId="77777777" w:rsidR="003754FE" w:rsidRDefault="003754FE" w:rsidP="003754FE">
      <w:pPr>
        <w:pStyle w:val="TextoNormal"/>
      </w:pPr>
      <w:r>
        <w:t>La comunicación efectuada el 26 de julio de 2022 en la que se adelantaba el fallo de la sentencia de casación suponía, según la actora, la publicación de una declaración de culpabilidad que no estaba apoyada en ninguna resolución realmente dictada. El Tribunal Supremo perdía, con ello, su imparcialidad y lesionaba el derecho a la presunción de inocencia, pues no concurría ninguna justificación jurídica para ese proceder; no se adoptaba ninguna medida de aseguramiento ni se trataba de una absolución que exigiese la restauración pública del honor de quienes habían sido condenados en la instancia. Se considera, además, que se vulnera el derecho a un proceso con todas las garantías, ya que la única finalidad que podía perseguir ese proceder anómalo del Tribunal Supremo era, según la recurrente, “blindar” el fallo desestimatorio y evitar que, en el curso de la deliberación, se produjera un cambio de criterio de uno de los tres magistrados que apoyaban la confirmación de la condena.</w:t>
      </w:r>
    </w:p>
    <w:p w14:paraId="4878D076" w14:textId="77777777" w:rsidR="003754FE" w:rsidRDefault="003754FE" w:rsidP="003754FE">
      <w:pPr>
        <w:pStyle w:val="TextoNormal"/>
      </w:pPr>
    </w:p>
    <w:p w14:paraId="20C8E380" w14:textId="42F244CF" w:rsidR="003754FE" w:rsidRDefault="003754FE" w:rsidP="003754FE">
      <w:pPr>
        <w:pStyle w:val="TextoNormal"/>
      </w:pPr>
      <w:r>
        <w:t>En el suplico de la demanda se interesa que se declare la vulneración de los derechos fundamentales aludidos y, en consecuencia, la nulidad de las resoluciones impugnadas. Asimismo, mediante otrosí, se interesa, al amparo de lo dispuesto en el art. 56.2 de la Ley Orgánica del Tribunal Constitucional (LOTC), la suspensión de la eficacia de las sentencias impugnadas hasta tanto recaiga una resolución definitiva en el recurso de amparo.</w:t>
      </w:r>
    </w:p>
    <w:p w14:paraId="242DA7B2" w14:textId="77777777" w:rsidR="003754FE" w:rsidRDefault="003754FE" w:rsidP="003754FE">
      <w:pPr>
        <w:pStyle w:val="TextoNormal"/>
      </w:pPr>
    </w:p>
    <w:p w14:paraId="6CF05365" w14:textId="77777777" w:rsidR="003754FE" w:rsidRDefault="003754FE" w:rsidP="003754FE">
      <w:pPr>
        <w:pStyle w:val="TextoNormal"/>
      </w:pPr>
      <w:r w:rsidRPr="003754FE">
        <w:rPr>
          <w:rStyle w:val="NumeroAFNegritaCaracter"/>
        </w:rPr>
        <w:t>4</w:t>
      </w:r>
      <w:r>
        <w:t>. La Sala Segunda de este tribunal dictó el ATC 293/2023, de 5 de junio, en el que se adoptaron los siguientes pronunciamientos:</w:t>
      </w:r>
    </w:p>
    <w:p w14:paraId="00D0F188" w14:textId="77777777" w:rsidR="003754FE" w:rsidRDefault="003754FE" w:rsidP="003754FE">
      <w:pPr>
        <w:pStyle w:val="TextoNormal"/>
      </w:pPr>
    </w:p>
    <w:p w14:paraId="495BDFBC" w14:textId="77777777" w:rsidR="003754FE" w:rsidRDefault="003754FE" w:rsidP="003754FE">
      <w:pPr>
        <w:pStyle w:val="TextoNormal"/>
      </w:pPr>
      <w:r>
        <w:t xml:space="preserve">(i) Previa avocación a la Sala de la decisión, se admitió a trámite el presente recurso de amparo “porque el recurso plantea un problema o afecta a una faceta de un derecho fundamental sobre el que no hay doctrina de este tribunal [STC 155/2009, FJ 2 a)] y porque el asunto suscitado trasciende del caso concreto porque plantea una cuestión jurídica de </w:t>
      </w:r>
      <w:r>
        <w:lastRenderedPageBreak/>
        <w:t>relevante y general repercusión social y tiene unas consecuencias políticas generales [STC 155/2009, FJ 2 g)]”.</w:t>
      </w:r>
    </w:p>
    <w:p w14:paraId="5C66239C" w14:textId="77777777" w:rsidR="003754FE" w:rsidRDefault="003754FE" w:rsidP="003754FE">
      <w:pPr>
        <w:pStyle w:val="TextoNormal"/>
      </w:pPr>
    </w:p>
    <w:p w14:paraId="3772AB8B" w14:textId="77777777" w:rsidR="003754FE" w:rsidRDefault="003754FE" w:rsidP="003754FE">
      <w:pPr>
        <w:pStyle w:val="TextoNormal"/>
      </w:pPr>
      <w:r>
        <w:t>(ii) En aplicación del art. 51 LOTC, se acordó requerir a la Sección Primera de la Audiencia Provincial de Sevilla a fin de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 Mediante diligencia de ordenación de 24 de julio de 2023 se tuvieron por recibidas en este tribunal las actuaciones correspondientes al procedimiento abreviado núm. 133-2016, rollo núm. 1965-2017.</w:t>
      </w:r>
    </w:p>
    <w:p w14:paraId="3DD59DE1" w14:textId="77777777" w:rsidR="003754FE" w:rsidRDefault="003754FE" w:rsidP="003754FE">
      <w:pPr>
        <w:pStyle w:val="TextoNormal"/>
      </w:pPr>
    </w:p>
    <w:p w14:paraId="09B09E06" w14:textId="77777777" w:rsidR="003754FE" w:rsidRDefault="003754FE" w:rsidP="003754FE">
      <w:pPr>
        <w:pStyle w:val="TextoNormal"/>
      </w:pPr>
      <w:r>
        <w:t>(iii) Se ordenó, asimismo, formar pieza separada de suspensión y en ella conceder un plazo común de tres días al Ministerio Fiscal y al solicitante de amparo para que efectuasen alegaciones sobre dicha cuestión. Hechas las alegaciones correspondientes, el Pleno de este tribunal dictó ATC 443/2023, de 26 de septiembre, en el que acordó denegar la suspensión interesada por la actora.</w:t>
      </w:r>
    </w:p>
    <w:p w14:paraId="577D51ED" w14:textId="77777777" w:rsidR="003754FE" w:rsidRDefault="003754FE" w:rsidP="003754FE">
      <w:pPr>
        <w:pStyle w:val="TextoNormal"/>
      </w:pPr>
    </w:p>
    <w:p w14:paraId="0A32A2AB" w14:textId="4E15B29E" w:rsidR="003754FE" w:rsidRDefault="003754FE" w:rsidP="003754FE">
      <w:pPr>
        <w:pStyle w:val="TextoNormal"/>
      </w:pPr>
      <w:r>
        <w:t>(iv) Se propuso finalmente la avocación al Pleno del conocimiento del asunto. Por providencia de 20 de junio de 2023 el Pleno de este tribunal acordó, conforme al art. 10.1 n) LOTC, a propuesta de la Sala Segunda, “recabar para sí el conocimiento del recurso de amparo que se tramita en dicha Sala con el número 2391-2023, interpuesto por doña Carmen Martínez Aguayo”.</w:t>
      </w:r>
    </w:p>
    <w:p w14:paraId="075BA5DE" w14:textId="77777777" w:rsidR="003754FE" w:rsidRDefault="003754FE" w:rsidP="003754FE">
      <w:pPr>
        <w:pStyle w:val="TextoNormal"/>
      </w:pPr>
    </w:p>
    <w:p w14:paraId="4E2CE185" w14:textId="77777777" w:rsidR="003754FE" w:rsidRDefault="003754FE" w:rsidP="003754FE">
      <w:pPr>
        <w:pStyle w:val="TextoNormal"/>
      </w:pPr>
      <w:r w:rsidRPr="003754FE">
        <w:rPr>
          <w:rStyle w:val="NumeroAFNegritaCaracter"/>
        </w:rPr>
        <w:t>5</w:t>
      </w:r>
      <w:r>
        <w:t>. Las partes personadas en el presente proceso de amparo han presentado las siguientes alegaciones:</w:t>
      </w:r>
    </w:p>
    <w:p w14:paraId="36B75930" w14:textId="77777777" w:rsidR="003754FE" w:rsidRDefault="003754FE" w:rsidP="003754FE">
      <w:pPr>
        <w:pStyle w:val="TextoNormal"/>
      </w:pPr>
    </w:p>
    <w:p w14:paraId="2D5C453C" w14:textId="77777777" w:rsidR="003754FE" w:rsidRDefault="003754FE" w:rsidP="003754FE">
      <w:pPr>
        <w:pStyle w:val="TextoNormal"/>
      </w:pPr>
      <w:r>
        <w:t>a) La recurrente de amparo ha ratificado, en escrito registrado en este tribunal el 25 de septiembre de 2023, las alegaciones ya formuladas en la demanda.</w:t>
      </w:r>
    </w:p>
    <w:p w14:paraId="639312BA" w14:textId="77777777" w:rsidR="003754FE" w:rsidRDefault="003754FE" w:rsidP="003754FE">
      <w:pPr>
        <w:pStyle w:val="TextoNormal"/>
      </w:pPr>
    </w:p>
    <w:p w14:paraId="3773EA0C" w14:textId="77777777" w:rsidR="003754FE" w:rsidRDefault="003754FE" w:rsidP="003754FE">
      <w:pPr>
        <w:pStyle w:val="TextoNormal"/>
      </w:pPr>
      <w:r>
        <w:t>b) El Partido Popular, al que se tuvo por personado en diligencia de ordenación de 27 de julio de 2023, ha interesado, en escrito registrado en este tribunal el 26 de septiembre de 2023, la desestimación del recurso de amparo.</w:t>
      </w:r>
    </w:p>
    <w:p w14:paraId="4E626E9F" w14:textId="77777777" w:rsidR="003754FE" w:rsidRDefault="003754FE" w:rsidP="003754FE">
      <w:pPr>
        <w:pStyle w:val="TextoNormal"/>
      </w:pPr>
    </w:p>
    <w:p w14:paraId="16A2226D" w14:textId="77777777" w:rsidR="003754FE" w:rsidRDefault="003754FE" w:rsidP="003754FE">
      <w:pPr>
        <w:pStyle w:val="TextoNormal"/>
      </w:pPr>
      <w:r>
        <w:t xml:space="preserve">El escrito de alegaciones del Partido Popular se ocupa de modo conjunto de los motivos primero y segundo de la demanda de amparo, al referirse ambos a la subsunción de los hechos probados en el delito de prevaricación del art. 404 CP. Considera que los razonamientos que fundamentan la condena por delito de prevaricación en las sentencias de instancia y casación son “un claro ejemplo de aplicación razonada y razonable de la legislación que debe ser tenida en cuenta en el caso, a los efectos del delito de prevaricación”. Con abundante reproducción de extractos de ambas resoluciones sostiene, en particular, que la sentencia de la Audiencia Provincial realiza una interpretación y aplicación del art. 404 CP que “cuenta con indudable apoyo en nuestra tradición legal y en criterios hermenéuticos plenamente acordes con nuestro sistema normativo, en particular con el orden constitucional”; estima, asimismo, que la sentencia de casación ha “perfeccionado” la argumentación contenida en la resolución de instancia con una “motivación plenamente lógica y racional, </w:t>
      </w:r>
      <w:r>
        <w:lastRenderedPageBreak/>
        <w:t>previsible y en absoluto arbitraria, acorde con el sentido propio de los términos legales y acorde con los valores constitucionales”. En la misma línea, rechaza el motivo tercero de la demanda en la medida en que la subsunción de los hechos en el delito de malversación también “respeta las exigencias del derecho a la legalidad penal, y así mantiene respeto al tenor literal del enunciado normativo, como de su previsibilidad, analizada desde las pautas axiológicas que informan nuestro texto constitucional y conforme a modelos de argumentación aceptados por la propia comunidad jurídica”.</w:t>
      </w:r>
    </w:p>
    <w:p w14:paraId="1DFBF7AD" w14:textId="77777777" w:rsidR="003754FE" w:rsidRDefault="003754FE" w:rsidP="003754FE">
      <w:pPr>
        <w:pStyle w:val="TextoNormal"/>
      </w:pPr>
    </w:p>
    <w:p w14:paraId="781D060C" w14:textId="77777777" w:rsidR="003754FE" w:rsidRDefault="003754FE" w:rsidP="003754FE">
      <w:pPr>
        <w:pStyle w:val="TextoNormal"/>
      </w:pPr>
      <w:r>
        <w:t>En relación con el motivo cuarto de la demanda, concluye que no se ha vulnerado el derecho a la presunción de inocencia, pues “sin duda alguna, existían pruebas de cargo valoradas racionalmente por los tribunales sobre la culpabilidad de la acusada (y de otros condenados)”, lo que trata de justificar con la remisión y cita de los pasajes de las dos sentencias impugnadas que considera más relevantes. En lo que se refiere al motivo quinto, niega categóricamente que la sentencia casacional haya introducido, sin la debida inmediación, elementos fácticos novedosos, carentes de sustento probatorio, para confirmar la condena por malversación. Afirma, en este punto, que la Sala de lo Penal ni ha revocado una sentencia absolutoria ni ha agravado la condena de la recurrente. En todo caso, con amplia cita de fragmentos de la sentencia casacional, considera que el Tribunal Supremo ha respetado en todo momento los hechos declarados probados en la instancia, pues ha realizado, en relación con ellos, valoraciones puramente jurídicas, complementarias de las ya contenidas en la resolución de la Audiencia Provincial.</w:t>
      </w:r>
    </w:p>
    <w:p w14:paraId="56B4C70F" w14:textId="77777777" w:rsidR="003754FE" w:rsidRDefault="003754FE" w:rsidP="003754FE">
      <w:pPr>
        <w:pStyle w:val="TextoNormal"/>
      </w:pPr>
    </w:p>
    <w:p w14:paraId="1DCB1B31" w14:textId="77777777" w:rsidR="003754FE" w:rsidRDefault="003754FE" w:rsidP="003754FE">
      <w:pPr>
        <w:pStyle w:val="TextoNormal"/>
      </w:pPr>
      <w:r>
        <w:t>En cuanto al motivo sexto, concluye, con amplia cita de la sentencia casacional, que nada de lo expuesto en esta “altera hecho probado alguno”, pues se trata de “meras consideraciones jurídicas en el juicio de autoría o tipicidad” y ello en la medida en que “la función revisora en casación no se limita en la forma estrecha que las partes sostienen en sus incidentes”. Se rechaza igualmente que la sentencia casacional haya alterado “la modalidad de dolo que aprecia, a la vista de los hechos probados”, siendo, en todo caso, lo “decisivo” que los hechos probados no hayan sido modificados ni se hayan reelaborado las pruebas.</w:t>
      </w:r>
    </w:p>
    <w:p w14:paraId="68573CBB" w14:textId="77777777" w:rsidR="003754FE" w:rsidRDefault="003754FE" w:rsidP="003754FE">
      <w:pPr>
        <w:pStyle w:val="TextoNormal"/>
      </w:pPr>
    </w:p>
    <w:p w14:paraId="4764BDD7" w14:textId="77777777" w:rsidR="003754FE" w:rsidRDefault="003754FE" w:rsidP="003754FE">
      <w:pPr>
        <w:pStyle w:val="TextoNormal"/>
      </w:pPr>
      <w:r>
        <w:t>Finalmente, en cuanto al motivo séptimo de la demanda, se estima que la publicación anticipada del fallo “no ha impedido el pleno desarrollo [del] proceso de deliberación de la sentencia” y no vulnera el derecho a la presunción de inocencia, pues el Tribunal Supremo “se limitó a dar noticia de un hecho relevante, cierto y de naturaleza procesal”, lo que no puede “equipararse a una condena pública sin motivación”. La decisión judicial ya había sido “deliberada y votada” y tenía “indudable relevancia informativa”.</w:t>
      </w:r>
    </w:p>
    <w:p w14:paraId="1C755F0E" w14:textId="77777777" w:rsidR="003754FE" w:rsidRDefault="003754FE" w:rsidP="003754FE">
      <w:pPr>
        <w:pStyle w:val="TextoNormal"/>
      </w:pPr>
    </w:p>
    <w:p w14:paraId="181ED2A0" w14:textId="77777777" w:rsidR="003754FE" w:rsidRDefault="003754FE" w:rsidP="003754FE">
      <w:pPr>
        <w:pStyle w:val="TextoNormal"/>
      </w:pPr>
      <w:r>
        <w:t>c) Don José Antonio Griñán Martínez, al que se tuvo por personado en diligencia de ordenación de 23 de octubre de 2023, se ha adherido, en escrito registrado en este tribunal el 7 de noviembre de 2023, a los motivos primero, segundo, tercero, quinto y séptimo del recurso de amparo, por ser coincidentes con los planteados en su propio recurso, así como a la petición de nulidad de la sentencia.</w:t>
      </w:r>
    </w:p>
    <w:p w14:paraId="49787F93" w14:textId="77777777" w:rsidR="003754FE" w:rsidRDefault="003754FE" w:rsidP="003754FE">
      <w:pPr>
        <w:pStyle w:val="TextoNormal"/>
      </w:pPr>
    </w:p>
    <w:p w14:paraId="333F3BF2" w14:textId="77777777" w:rsidR="003754FE" w:rsidRDefault="003754FE" w:rsidP="003754FE">
      <w:pPr>
        <w:pStyle w:val="TextoNormal"/>
      </w:pPr>
      <w:r>
        <w:t>d) Don Antonio Vicente Lozano Peña, al que se tuvo por personado en diligencia de ordenación de 23 de octubre de 2023, se ha adherido, en escrito registrado en este tribunal el 7 de noviembre de 2023, a los motivos primero, segundo y séptimo del recurso de amparo, por ser coincidentes con los planteados en su propio recurso, así como a la petición de nulidad de las resoluciones impugnadas.</w:t>
      </w:r>
    </w:p>
    <w:p w14:paraId="359224A6" w14:textId="77777777" w:rsidR="003754FE" w:rsidRDefault="003754FE" w:rsidP="003754FE">
      <w:pPr>
        <w:pStyle w:val="TextoNormal"/>
      </w:pPr>
    </w:p>
    <w:p w14:paraId="1C6B0B8B" w14:textId="77777777" w:rsidR="003754FE" w:rsidRDefault="003754FE" w:rsidP="003754FE">
      <w:pPr>
        <w:pStyle w:val="TextoNormal"/>
      </w:pPr>
      <w:r>
        <w:t>e) Don Jesús María Rodríguez Román, al que se tuvo por personado en diligencia de ordenación de 23 de octubre de 2023, ha solicitado, en escrito registrado en este tribunal el 20 de noviembre de 2023, que se declare la vulneración del derecho fundamental a la legalidad sancionadora (art. 25.1 CE), tanto en lo que se refiere a la condena por delito de prevaricación como a la condena por delito de malversación.</w:t>
      </w:r>
    </w:p>
    <w:p w14:paraId="7D0D8AB2" w14:textId="77777777" w:rsidR="003754FE" w:rsidRDefault="003754FE" w:rsidP="003754FE">
      <w:pPr>
        <w:pStyle w:val="TextoNormal"/>
      </w:pPr>
    </w:p>
    <w:p w14:paraId="4F6B0F1E" w14:textId="77777777" w:rsidR="003754FE" w:rsidRDefault="003754FE" w:rsidP="003754FE">
      <w:pPr>
        <w:pStyle w:val="TextoNormal"/>
      </w:pPr>
      <w:r>
        <w:t xml:space="preserve">El escrito de alegaciones incluye “argumentos de apoyo” en relación con la alegada interpretación extensiva e </w:t>
      </w:r>
      <w:r w:rsidRPr="003754FE">
        <w:rPr>
          <w:i/>
        </w:rPr>
        <w:t>in malam partem</w:t>
      </w:r>
      <w:r>
        <w:t xml:space="preserve"> del delito de prevaricación del art. 404 CP. Se insiste, en este punto, en la inconsistencia lógica que supone entender que existen “leyes ‘ilegales’” o que “cobijan dentro de sí alguna o algunas normas ‘ilegales’ derivadas de un supuesto quebranto normativo sufrido durante la fase prelegislativa”. Se toma, asimismo, como referencia fundamental el informe, aportado y sometido a contradicción en el proceso, de dos catedráticos de Derecho Financiero y Tributario, que consideraron que el conflicto normativo que se produce entre el art. 18.1 de la Ley del Parlamento de Andalucía 15/2001, que restringe las finalidades de las transferencias de financiación, y las sucesivas leyes de presupuestos, que “usan expresamente transferencias de financiación para fines no previstos en el citado art. 18”, tiene que resolverse de acuerdo con la máxima según la cual la “ley especial se aplica con preferencia a la ley general, ley especial deroga ley general, o ley posterior deroga ley anterior”. De ello se derivaría “la validez y efectos de las sucesivas leyes de presupuestos en las que se recogen las transferencias de financiación con finalidad distinta a la de la cobertura de pérdidas de las empresas públicas, por la sencilla razón de que derogaron tácitamente la previsión del art. 18 de la Ley 15/2001”. Asimismo, de acuerdo con la citada pericial, la partida presupuestaria aprobada en una ley de presupuestos sería “absolutamente vinculante </w:t>
      </w:r>
      <w:r w:rsidRPr="003754FE">
        <w:rPr>
          <w:i/>
        </w:rPr>
        <w:t>erga omnes</w:t>
      </w:r>
      <w:r>
        <w:t>” por lo que no habría “resolución administrativa” susceptible de ser subsumida en el tipo de prevaricación.</w:t>
      </w:r>
    </w:p>
    <w:p w14:paraId="1BDCB9E2" w14:textId="77777777" w:rsidR="003754FE" w:rsidRDefault="003754FE" w:rsidP="003754FE">
      <w:pPr>
        <w:pStyle w:val="TextoNormal"/>
      </w:pPr>
    </w:p>
    <w:p w14:paraId="5DFFAE61" w14:textId="77777777" w:rsidR="003754FE" w:rsidRDefault="003754FE" w:rsidP="003754FE">
      <w:pPr>
        <w:pStyle w:val="TextoNormal"/>
      </w:pPr>
      <w:r>
        <w:t>En lo que se refiere a la condena por delito de malversación, se denuncia que se ha producido un cambio de título de imputación en la sentencia casacional. La Sala de lo Penal del Tribunal Supremo habría convertido la coautoría en autoría directa ligándola, de modo novedoso, a una comisión por omisión del art. 11 CP, a la que la sentencia de instancia no hacía, sin embargo, referencia alguna. También se alega que la sentencia casacional “obvia tratar el elemento subjetivo del delito de malversación” pues vincula, con el solo soporte de la relación de concurso medial, el dolo malversador al previo dolo del delito de prevaricación, sin darle a aquel una justificación propia y específica, apartándose nuevamente, en este punto, de la sentencia de instancia.</w:t>
      </w:r>
    </w:p>
    <w:p w14:paraId="6BBE99D6" w14:textId="77777777" w:rsidR="003754FE" w:rsidRDefault="003754FE" w:rsidP="003754FE">
      <w:pPr>
        <w:pStyle w:val="TextoNormal"/>
      </w:pPr>
    </w:p>
    <w:p w14:paraId="1C2D4F67" w14:textId="77777777" w:rsidR="003754FE" w:rsidRDefault="003754FE" w:rsidP="003754FE">
      <w:pPr>
        <w:pStyle w:val="TextoNormal"/>
      </w:pPr>
      <w:r>
        <w:t>f) Don Francisco Vallejo Serrano, al que se tuvo por personado en diligencia de ordenación de 23 de octubre de 2023, ha solicitado, en escrito registrado en este tribunal el 22 de noviembre de 2023, que se declare la vulneración del derecho fundamental a la legalidad sancionadora (art. 25.1 CE), tanto en relación con la condena tanto por delito de prevaricación como por delito de malversación.</w:t>
      </w:r>
    </w:p>
    <w:p w14:paraId="2484CD6F" w14:textId="77777777" w:rsidR="003754FE" w:rsidRDefault="003754FE" w:rsidP="003754FE">
      <w:pPr>
        <w:pStyle w:val="TextoNormal"/>
      </w:pPr>
    </w:p>
    <w:p w14:paraId="076BB1A5" w14:textId="77777777" w:rsidR="003754FE" w:rsidRDefault="003754FE" w:rsidP="003754FE">
      <w:pPr>
        <w:pStyle w:val="TextoNormal"/>
      </w:pPr>
      <w:r>
        <w:t xml:space="preserve">En lo que se refiere a la subsunción en el tipo de prevaricación (art. 404 CP), alega que las resoluciones impugnadas confunden el procedimiento de elaboración y tramitación del anteproyecto de ley de presupuestos, la aprobación del proyecto de ley de presupuestos, el procedimiento de aprobación de la ley de presupuestos, el procedimiento de concesión de ayudas sociolaborales a empresas en crisis, el pago de las ayudas y las modificaciones </w:t>
      </w:r>
      <w:r>
        <w:lastRenderedPageBreak/>
        <w:t>presupuestarias. Pese a que estos procedimientos son distintos y están encomendados a órganos diversos, con responsabilidades diferentes, las resoluciones impugnadas construyen artificiosamente un único “procedimiento específico” del que extraen ilegítimamente una suerte de responsabilidad penal “solidaria”. En todo caso, la aprobación del proyecto de ley de presupuestos, en cuanto acto de iniciativa legislativa del Consejo de Gobierno, es una actuación en asunto político que no puede subsumirse legítimamente en el concepto de “asunto administrativo” del art. 404 CP.</w:t>
      </w:r>
    </w:p>
    <w:p w14:paraId="6D20E0E0" w14:textId="77777777" w:rsidR="003754FE" w:rsidRDefault="003754FE" w:rsidP="003754FE">
      <w:pPr>
        <w:pStyle w:val="TextoNormal"/>
      </w:pPr>
    </w:p>
    <w:p w14:paraId="1F4AB66D" w14:textId="77777777" w:rsidR="003754FE" w:rsidRDefault="003754FE" w:rsidP="003754FE">
      <w:pPr>
        <w:pStyle w:val="TextoNormal"/>
      </w:pPr>
      <w:r>
        <w:t>Insiste, asimismo, en que la noción de “‘ley ilegal’ o ‘ilegalidades’ dentro de la ley” es una “aporía”, “no pudiendo considerar[se] ilegal una parte de la norma aprobada válidamente por el Parlamento de Andalucía”, como ocurrió con todas las leyes de presupuestos de la Comunidad Autónoma de Andalucía desde el año 2002. Asimismo, “[v]istas las leyes de presupuestos en sus estados de gastos (actividades y objetivos de la partida 31L) y en sus memorias […], no puede afirmarse que el Parlamento no sabía lo que aprobaba, o que el Parlamento fuera inducido a error, que es la base del razonamiento que sostiene el castigo por prevaricación”.</w:t>
      </w:r>
    </w:p>
    <w:p w14:paraId="4AAAB689" w14:textId="77777777" w:rsidR="003754FE" w:rsidRDefault="003754FE" w:rsidP="003754FE">
      <w:pPr>
        <w:pStyle w:val="TextoNormal"/>
      </w:pPr>
    </w:p>
    <w:p w14:paraId="46A66E2C" w14:textId="77777777" w:rsidR="003754FE" w:rsidRDefault="003754FE" w:rsidP="003754FE">
      <w:pPr>
        <w:pStyle w:val="TextoNormal"/>
      </w:pPr>
      <w:r>
        <w:t xml:space="preserve">En lo relativo a la malversación, se denuncia que la sentencia casacional introduce una autoría directa, allí donde la Audiencia Provincial hablaba de una coautoría con división de funciones. También construiría </w:t>
      </w:r>
      <w:r w:rsidRPr="003754FE">
        <w:rPr>
          <w:i/>
        </w:rPr>
        <w:t>ex novo</w:t>
      </w:r>
      <w:r>
        <w:t xml:space="preserve"> la sentencia casacional la posición de garantía de la que deduce la comisión por omisión del art. 11 CP. Y afirma, igualmente, que el nexo del elemento subjetivo de la prevaricación y la malversación, que consistiría en que el delito medio (prevaricación) se habría cometido con dolo directo y el delito fin (malversación) con dolo eventual, es un “disparate jurídico”, con el que se trata de encubrir que, en realidad, no existe ningún elemento justificativo del elemento subjetivo del delito de malversación.</w:t>
      </w:r>
    </w:p>
    <w:p w14:paraId="3C35AEB9" w14:textId="77777777" w:rsidR="003754FE" w:rsidRDefault="003754FE" w:rsidP="003754FE">
      <w:pPr>
        <w:pStyle w:val="TextoNormal"/>
      </w:pPr>
    </w:p>
    <w:p w14:paraId="57ED0736" w14:textId="38CF1C4F" w:rsidR="003754FE" w:rsidRDefault="003754FE" w:rsidP="003754FE">
      <w:pPr>
        <w:pStyle w:val="TextoNormal"/>
      </w:pPr>
      <w:r>
        <w:t>g) Don Gaspar Zarrías Arévalo, al que se tuvo por personado en diligencia de ordenación de 23 de octubre de 2023, se ha adherido, en el propio escrito de personación, registrado en este tribunal el 6 de octubre de 2023, a los motivos primero y segundo del recurso de amparo, por ser coincidentes con los planteados en su propio recurso.</w:t>
      </w:r>
    </w:p>
    <w:p w14:paraId="00189320" w14:textId="77777777" w:rsidR="003754FE" w:rsidRDefault="003754FE" w:rsidP="003754FE">
      <w:pPr>
        <w:pStyle w:val="TextoNormal"/>
      </w:pPr>
    </w:p>
    <w:p w14:paraId="0AD6CE27" w14:textId="77777777" w:rsidR="003754FE" w:rsidRDefault="003754FE" w:rsidP="003754FE">
      <w:pPr>
        <w:pStyle w:val="TextoNormal"/>
      </w:pPr>
      <w:r w:rsidRPr="003754FE">
        <w:rPr>
          <w:rStyle w:val="NumeroAFNegritaCaracter"/>
        </w:rPr>
        <w:t>6</w:t>
      </w:r>
      <w:r>
        <w:t>. El Ministerio Fiscal ha presentado alegaciones, registradas en este tribunal el 8 de enero de 2024 (previa prórroga del plazo conferido al efecto, acordada en diligencia de ordenación de 30 de octubre de 2023).</w:t>
      </w:r>
    </w:p>
    <w:p w14:paraId="7B0876B5" w14:textId="77777777" w:rsidR="003754FE" w:rsidRDefault="003754FE" w:rsidP="003754FE">
      <w:pPr>
        <w:pStyle w:val="TextoNormal"/>
      </w:pPr>
    </w:p>
    <w:p w14:paraId="3A19F818" w14:textId="77777777" w:rsidR="003754FE" w:rsidRDefault="003754FE" w:rsidP="003754FE">
      <w:pPr>
        <w:pStyle w:val="TextoNormal"/>
      </w:pPr>
      <w:r>
        <w:t>Considera el fiscal que el examen de los motivos de amparo planteados por la demandante puede dividirse en “tres grandes bloques argumentativos”: (A) en primer lugar, el referido a la condena por delito de prevaricación, bloque que estaría compuesto por los dos primeros motivos recogidos en la demanda de amparo; (B) en segundo lugar, el relativo a la condena por delito de malversación, integrado, a su vez, por los motivos tercero a quinto; (C) finalmente, un tercer bloque argumental estaría formado únicamente por el motivo séptimo, atinente a la publicación anticipada del fallo de la sentencia casacional.</w:t>
      </w:r>
    </w:p>
    <w:p w14:paraId="3504904B" w14:textId="77777777" w:rsidR="003754FE" w:rsidRDefault="003754FE" w:rsidP="003754FE">
      <w:pPr>
        <w:pStyle w:val="TextoNormal"/>
      </w:pPr>
    </w:p>
    <w:p w14:paraId="72C9A390" w14:textId="77777777" w:rsidR="003754FE" w:rsidRDefault="003754FE" w:rsidP="003754FE">
      <w:pPr>
        <w:pStyle w:val="TextoNormal"/>
      </w:pPr>
      <w:r>
        <w:t>A) En relación con la condena por delito continuado de prevaricación, alega el Ministerio Fiscal lo siguiente:</w:t>
      </w:r>
    </w:p>
    <w:p w14:paraId="2F7944EE" w14:textId="77777777" w:rsidR="003754FE" w:rsidRDefault="003754FE" w:rsidP="003754FE">
      <w:pPr>
        <w:pStyle w:val="TextoNormal"/>
      </w:pPr>
    </w:p>
    <w:p w14:paraId="41F7B638" w14:textId="77777777" w:rsidR="003754FE" w:rsidRDefault="003754FE" w:rsidP="003754FE">
      <w:pPr>
        <w:pStyle w:val="TextoNormal"/>
      </w:pPr>
      <w:r>
        <w:t xml:space="preserve">a) La demandante denuncia en primer lugar la falta de jurisdicción de los tribunales del orden penal para valorar la acción del Gobierno en la fase prelegislativa. Entiende el fiscal </w:t>
      </w:r>
      <w:r>
        <w:lastRenderedPageBreak/>
        <w:t>que este concreto motivo no fue alegado temporáneamente en el proceso judicial puesto que la ahora recurrente de amparo lo puso de manifiesto, por primera vez, con ocasión de la interposición del recurso de casación. La falta de jurisdicción alegada afectaría, sin embargo, a toda la tramitación del proceso y muy en particular al trámite de juicio oral, pues dicho acto se habría celebrado, siguiendo la tesis de la actora, ante un órgano carente de jurisdicción.</w:t>
      </w:r>
    </w:p>
    <w:p w14:paraId="0F2ED082" w14:textId="77777777" w:rsidR="003754FE" w:rsidRDefault="003754FE" w:rsidP="003754FE">
      <w:pPr>
        <w:pStyle w:val="TextoNormal"/>
      </w:pPr>
    </w:p>
    <w:p w14:paraId="57762F91" w14:textId="77777777" w:rsidR="003754FE" w:rsidRDefault="003754FE" w:rsidP="003754FE">
      <w:pPr>
        <w:pStyle w:val="TextoNormal"/>
      </w:pPr>
      <w:r>
        <w:t>Entiende, por ello, el Ministerio Fiscal que la denuncia de la vulneración del derecho al juez ordinario predeterminado por la ley debió producirse en el trámite de cuestiones previas del juicio oral. Considera, incluso, que es discutible que se haya invocado esta vulneración en el propio recurso de casación, pues la parte recurrente se limitó a alegar en dicho medio de impugnación sobre la imposibilidad interpretativa de subsumir la conducta enjuiciada en el concepto típico de resolución administrativa. El motivo sería, por ello, inadmisible de acuerdo con los arts. 44.1 c) y 50 LOTC, ya que la vulneración padecida ha sido, como mucho, tardíamente invocada, si es que fue verdaderamente invocada en algún momento del proceso.</w:t>
      </w:r>
    </w:p>
    <w:p w14:paraId="18738A1E" w14:textId="77777777" w:rsidR="003754FE" w:rsidRDefault="003754FE" w:rsidP="003754FE">
      <w:pPr>
        <w:pStyle w:val="TextoNormal"/>
      </w:pPr>
    </w:p>
    <w:p w14:paraId="55D10DFF" w14:textId="77777777" w:rsidR="003754FE" w:rsidRDefault="003754FE" w:rsidP="003754FE">
      <w:pPr>
        <w:pStyle w:val="TextoNormal"/>
      </w:pPr>
      <w:r>
        <w:t>Para el fiscal, no obstante, la concurrencia de esta inadmisión no significa que los argumentos desplegados por la parte actora no sean relevantes para evaluar otros motivos de amparo que sí han sido correctamente formulados. Entiende, en concreto, que la argumentación de la recurrente sobre la falta de jurisdicción de los tribunales ordinarios ha de ser tenida en cuenta en la valoración de la vulneración del derecho fundamental a la legalidad penal del art. 25.1 CE.</w:t>
      </w:r>
    </w:p>
    <w:p w14:paraId="7EE73B09" w14:textId="77777777" w:rsidR="003754FE" w:rsidRDefault="003754FE" w:rsidP="003754FE">
      <w:pPr>
        <w:pStyle w:val="TextoNormal"/>
      </w:pPr>
    </w:p>
    <w:p w14:paraId="42F524FB" w14:textId="77777777" w:rsidR="003754FE" w:rsidRDefault="003754FE" w:rsidP="003754FE">
      <w:pPr>
        <w:pStyle w:val="TextoNormal"/>
      </w:pPr>
      <w:r>
        <w:t xml:space="preserve">b) El segundo motivo se refiere, precisamente, a la vulneración del derecho a la legalidad penal (art. 25.1 CE) que la recurrente estima derivada de la indebida subsunción de los hechos declarados probados en el delito de prevaricación del art. 404 CP, subsunción que se habría consumado, según alega la actora, a través de una interpretación extensiva e </w:t>
      </w:r>
      <w:r w:rsidRPr="003754FE">
        <w:rPr>
          <w:i/>
        </w:rPr>
        <w:t>in malam partem</w:t>
      </w:r>
      <w:r>
        <w:t xml:space="preserve"> del elemento típico de la “resolución” en “asunto administrativo”.</w:t>
      </w:r>
    </w:p>
    <w:p w14:paraId="64DACE2F" w14:textId="77777777" w:rsidR="003754FE" w:rsidRDefault="003754FE" w:rsidP="003754FE">
      <w:pPr>
        <w:pStyle w:val="TextoNormal"/>
      </w:pPr>
    </w:p>
    <w:p w14:paraId="63AD67A7" w14:textId="77777777" w:rsidR="003754FE" w:rsidRDefault="003754FE" w:rsidP="003754FE">
      <w:pPr>
        <w:pStyle w:val="TextoNormal"/>
      </w:pPr>
      <w:r>
        <w:t>Entiende aquí el fiscal, tras sistematizar todos los argumentos desplegados por la actora en relación con los motivos primero y segundo de la demanda, que la tesis sostenida en las resoluciones impugnadas tiene como “eje esencial” una determinada comprensión “de lo que la sentencia del Tribunal Supremo denomina ‘procedimiento prelegislativo’”. Según esa comprensión, los actos realizados dentro de dicho procedimiento tendrían una suerte de “doble dimensión”. La actuación de la recurrente presentaría, de un lado “una faz ‘política’, no susceptible de control judicial, que incluiría la decisión sobre ‘el destino o distribución de los créditos presupuestarios entre los distintos programas y partidas presupuestarias’”, y otra faz técnica o jurídica, regida, por su parte, por “un ‘procedimiento administrativo minuciosamente reglado’, conforme a una serie de normas de rango legal y reglamentario que la sentencia de instancia reseña, cita y reproduce repetidamente, y que habrían sido repetida y profusamente infringidas a lo largo de todo el proceso de tramitación del referido procedimiento”.</w:t>
      </w:r>
    </w:p>
    <w:p w14:paraId="382B4DB6" w14:textId="77777777" w:rsidR="003754FE" w:rsidRDefault="003754FE" w:rsidP="003754FE">
      <w:pPr>
        <w:pStyle w:val="TextoNormal"/>
      </w:pPr>
    </w:p>
    <w:p w14:paraId="17B56B7C" w14:textId="77777777" w:rsidR="003754FE" w:rsidRDefault="003754FE" w:rsidP="003754FE">
      <w:pPr>
        <w:pStyle w:val="TextoNormal"/>
      </w:pPr>
      <w:r>
        <w:t xml:space="preserve">La cuestión por dilucidar en el recurso de amparo es, según señala el fiscal, si del análisis de la argumentación seguida por las resoluciones impugnadas para considerar la aprobación de los anteproyectos de ley como “resoluciones dictadas en asunto administrativo” (art. 404 CP) se infiere que estas han realizado una aplicación de la norma penal que, por su soporte </w:t>
      </w:r>
      <w:r>
        <w:lastRenderedPageBreak/>
        <w:t>metodológico, ha conducido a una solución opuesta a la orientación material de la norma y, por ello, imprevisible para sus destinatarios. En este punto, despliega el fiscal la siguiente argumentación:</w:t>
      </w:r>
    </w:p>
    <w:p w14:paraId="7F4D1270" w14:textId="77777777" w:rsidR="003754FE" w:rsidRDefault="003754FE" w:rsidP="003754FE">
      <w:pPr>
        <w:pStyle w:val="TextoNormal"/>
      </w:pPr>
    </w:p>
    <w:p w14:paraId="567D8E49" w14:textId="77777777" w:rsidR="003754FE" w:rsidRDefault="003754FE" w:rsidP="003754FE">
      <w:pPr>
        <w:pStyle w:val="TextoNormal"/>
      </w:pPr>
      <w:r>
        <w:t>(i) Aun sin ser determinante, estima el fiscal significativo que la lectura de las sentencias de instancia y casación sobre el extremo indicado impresionen al lector por “su novedad”, pues “a lo largo del trayecto de vida” de la Constitución de 1978 “no existe precedente conocido […] de una condena por prevaricación administrativa que tenga por objeto la decisión de un Gobierno de presentar al Parlamento un proyecto de ley”.</w:t>
      </w:r>
    </w:p>
    <w:p w14:paraId="08B22940" w14:textId="77777777" w:rsidR="003754FE" w:rsidRDefault="003754FE" w:rsidP="003754FE">
      <w:pPr>
        <w:pStyle w:val="TextoNormal"/>
      </w:pPr>
    </w:p>
    <w:p w14:paraId="7D8FB056" w14:textId="77777777" w:rsidR="003754FE" w:rsidRDefault="003754FE" w:rsidP="003754FE">
      <w:pPr>
        <w:pStyle w:val="TextoNormal"/>
      </w:pPr>
      <w:r>
        <w:t>(ii) Aprecia, asimismo, cierta inconsistencia argumental en el hecho de que el Tribunal Supremo se esfuerce en demostrar que la actividad parlamentaria, a la que está indudablemente asociada (según reconoce) la actividad prelegislativa del Gobierno, no está completamente exenta de control jurisdiccional y que, a efectos de demostrar esta tesis, ofrezca ejemplos que carecen de conexión con el control, por parte de dicha jurisdicción, de la actividad legislativa, ya que se trataría de supuestos referidos a actos parlamentarios sin valor de ley (como ocurre en el caso de la STC 58/2022, de 7 de abril). Carecería, por ello, de sustento lógico la afirmación del Tribunal Supremo según la cual “[s]i no puede predicarse la naturaleza estrictamente parlamentaria de un acto gubernativo de la mesa de una Cámara legislativa, difícilmente puede incluirse en esa categoría al trámite prelegislativo de un proyecto de ley”.</w:t>
      </w:r>
    </w:p>
    <w:p w14:paraId="479C3B47" w14:textId="77777777" w:rsidR="003754FE" w:rsidRDefault="003754FE" w:rsidP="003754FE">
      <w:pPr>
        <w:pStyle w:val="TextoNormal"/>
      </w:pPr>
    </w:p>
    <w:p w14:paraId="43D26D41" w14:textId="77777777" w:rsidR="003754FE" w:rsidRDefault="003754FE" w:rsidP="003754FE">
      <w:pPr>
        <w:pStyle w:val="TextoNormal"/>
      </w:pPr>
      <w:r>
        <w:t>(iii) También habría una falla lógica en el razonamiento según el cual el acto de aprobación de un proyecto de ley para su remisión al Parlamento no es un acto de naturaleza legislativa. Aunque el fiscal considera que, a efectos de determinar la validez constitucional de la subsunción en el tipo penal, lo realmente relevante será examinar dicho razonamiento desde una “perspectiva axiológica”, entiende que es significativo que el razonamiento judicial resulte cuestionable incluso desde un punto de vista puramente formal, tal y como revelaría, según dice, la sola lectura de la sentencia casacional.</w:t>
      </w:r>
    </w:p>
    <w:p w14:paraId="392312B0" w14:textId="77777777" w:rsidR="003754FE" w:rsidRDefault="003754FE" w:rsidP="003754FE">
      <w:pPr>
        <w:pStyle w:val="TextoNormal"/>
      </w:pPr>
    </w:p>
    <w:p w14:paraId="23D0426F" w14:textId="77777777" w:rsidR="003754FE" w:rsidRDefault="003754FE" w:rsidP="003754FE">
      <w:pPr>
        <w:pStyle w:val="TextoNormal"/>
      </w:pPr>
      <w:r>
        <w:t>Así, la primera razón dada por el Tribunal Supremo para negar la naturaleza legislativa al acto de aprobación de un proyecto de ley es que dicho acto no lo realiza el Parlamento sino el Gobierno. Esto, para el fiscal es completamente irrelevante pues, en su opinión, “la atribución de competencia al Gobierno para la iniciativa legislativa no predetermina ni califica necesariamente la naturaleza gubernativa —y por tanto administrativa— de esa función, de la misma manera que no toda actividad parlamentaria es legislativa”.</w:t>
      </w:r>
    </w:p>
    <w:p w14:paraId="7077F18F" w14:textId="77777777" w:rsidR="003754FE" w:rsidRDefault="003754FE" w:rsidP="003754FE">
      <w:pPr>
        <w:pStyle w:val="TextoNormal"/>
      </w:pPr>
    </w:p>
    <w:p w14:paraId="0AFE490C" w14:textId="77777777" w:rsidR="003754FE" w:rsidRDefault="003754FE" w:rsidP="003754FE">
      <w:pPr>
        <w:pStyle w:val="TextoNormal"/>
      </w:pPr>
      <w:r>
        <w:t>Tampoco considera concluyente el fiscal el segundo argumento dado por el Tribunal Supremo, que se apoya en el hecho de que estamos ante un acto sujeto a un concreto procedimiento de tramitación y a reglas que resultan imperativas para el Gobierno. Según afirma, esa sujeción normativa no excluye la naturaleza política del acto ni implica el control judicial por parte de la jurisdicción penal.</w:t>
      </w:r>
    </w:p>
    <w:p w14:paraId="68E04E0B" w14:textId="77777777" w:rsidR="003754FE" w:rsidRDefault="003754FE" w:rsidP="003754FE">
      <w:pPr>
        <w:pStyle w:val="TextoNormal"/>
      </w:pPr>
    </w:p>
    <w:p w14:paraId="665AE8E1" w14:textId="77777777" w:rsidR="003754FE" w:rsidRDefault="003754FE" w:rsidP="003754FE">
      <w:pPr>
        <w:pStyle w:val="TextoNormal"/>
      </w:pPr>
      <w:r>
        <w:t xml:space="preserve">El tercer argumento dado por la resolución judicial, según el cual el Reglamento del Parlamento de Andalucía fija como momento inicial del proceso legislativo la recepción en sede parlamentaria de un proyecto de ley (arts. 108 y siguientes), tampoco resistiría, a juicio del fiscal, un examen crítico puramente formal, pues el citado reglamento nada regula, en </w:t>
      </w:r>
      <w:r>
        <w:lastRenderedPageBreak/>
        <w:t>realidad, al respecto e incluso contiene preceptos que permitirían llegar a la conclusión contraria a la obtenida por el Tribunal Supremo.</w:t>
      </w:r>
    </w:p>
    <w:p w14:paraId="7A2FD26C" w14:textId="77777777" w:rsidR="003754FE" w:rsidRDefault="003754FE" w:rsidP="003754FE">
      <w:pPr>
        <w:pStyle w:val="TextoNormal"/>
      </w:pPr>
    </w:p>
    <w:p w14:paraId="20E9F066" w14:textId="77777777" w:rsidR="003754FE" w:rsidRDefault="003754FE" w:rsidP="003754FE">
      <w:pPr>
        <w:pStyle w:val="TextoNormal"/>
      </w:pPr>
      <w:r>
        <w:t>Por último, tampoco la referencia que el Tribunal Supremo hace a su propia doctrina [con cita de la previa STS 163/2019, de 26 de marzo, (ECLI:ES:TS:2019:881)] relativa al concepto penal de “resolución” en el delito de prevaricación, resultaría, a juicio del fiscal, formalmente convincente. La aprobación de un proyecto de ley puede considerarse, en efecto, situada dentro de esa definición jurídico-penal en la concreta dimensión de acto administrativo decisorio pero, según recuerda el fiscal, esa misma definición exige también que dicho acto recaiga en “un asunto administrativo”. Con ello se “devuelve el razonamiento a su origen”, ya que es justamente la naturaleza administrativa del asunto lo que resulta controvertido en el presente caso.</w:t>
      </w:r>
    </w:p>
    <w:p w14:paraId="3B76F939" w14:textId="77777777" w:rsidR="003754FE" w:rsidRDefault="003754FE" w:rsidP="003754FE">
      <w:pPr>
        <w:pStyle w:val="TextoNormal"/>
      </w:pPr>
    </w:p>
    <w:p w14:paraId="75833A19" w14:textId="77777777" w:rsidR="003754FE" w:rsidRDefault="003754FE" w:rsidP="003754FE">
      <w:pPr>
        <w:pStyle w:val="TextoNormal"/>
      </w:pPr>
      <w:r>
        <w:t>Considera, en definitiva, el Ministerio Fiscal que el análisis formal de la argumentación desplegada por el Tribunal Supremo no permite concluir que la consideración como “resolución dictada en asunto administrativo del acto de aprobación de un anteproyecto de ley y su remisión como proyecto al Parlamento encaje dentro del margen de previsibilidad de la interpretación y aplicación de la norma penal”, como exigencia inherente al derecho a la legalidad penal (art. 25.1 CE).</w:t>
      </w:r>
    </w:p>
    <w:p w14:paraId="5522F4B7" w14:textId="77777777" w:rsidR="003754FE" w:rsidRDefault="003754FE" w:rsidP="003754FE">
      <w:pPr>
        <w:pStyle w:val="TextoNormal"/>
      </w:pPr>
    </w:p>
    <w:p w14:paraId="51B5785D" w14:textId="77777777" w:rsidR="003754FE" w:rsidRDefault="003754FE" w:rsidP="003754FE">
      <w:pPr>
        <w:pStyle w:val="TextoNormal"/>
      </w:pPr>
      <w:r>
        <w:t>(iv) Habría, en todo caso, según expone el fiscal, una “contradicción lógica insalvable” en la argumentación del Tribunal Supremo según la cual puede disociarse el control de la legalidad del acto de aprobación y remisión al Parlamento de un proyecto de ley (lo que no sería jurídicamente viable) y el enjuiciamiento penal de sus autores (ámbito en el que, según la sentencia casacional, sí sería posible valorar, a efectos de evitar una impunidad contraria al principio de igualdad, el ajuste de las decisiones adoptadas a las normas imperativas que las regulan).</w:t>
      </w:r>
    </w:p>
    <w:p w14:paraId="16C908CD" w14:textId="77777777" w:rsidR="003754FE" w:rsidRDefault="003754FE" w:rsidP="003754FE">
      <w:pPr>
        <w:pStyle w:val="TextoNormal"/>
      </w:pPr>
    </w:p>
    <w:p w14:paraId="5EA81555" w14:textId="77777777" w:rsidR="003754FE" w:rsidRDefault="003754FE" w:rsidP="003754FE">
      <w:pPr>
        <w:pStyle w:val="TextoNormal"/>
      </w:pPr>
      <w:r>
        <w:t xml:space="preserve">Entiende el fiscal que ambas dimensiones (control de legalidad de los actos dictados y enjuiciamiento penal de la conducta de sus autores) no son, en el caso que nos ocupa, conceptualmente separables, pues el delito de prevaricación contiene “elementos objetivos sustanciales”, como “la injusticia y la arbitrariedad”, que exigen un control de la legalidad de los actos dictados. Recuerda, asimismo, que el Derecho penal rige, en nuestro ordenamiento jurídico, como </w:t>
      </w:r>
      <w:r w:rsidRPr="003754FE">
        <w:rPr>
          <w:i/>
        </w:rPr>
        <w:t>ultima ratio</w:t>
      </w:r>
      <w:r>
        <w:t xml:space="preserve">, por lo que no es lógico pensar que el ordenamiento jurídico ha atribuido a la jurisdicción penal una función de control jurisdiccional de ciertos actos y que, al tiempo, ha excluido terminantemente que puedan ejercer esa función otras jurisdicciones que actúan normalmente como barreras de protección previas (y que solo en el caso de no resultar suficientes pueden dejar paso a una intervención penal legítima). Afirma, por ello, que la manera de razonar de la sentencia casacional conduce a la “inasumible conclusión” de que “el Derecho penal opera como primera y única barrera jurisdiccional de control de la ‘legalidad’ de una iniciativa legislativa”. Añade que, en un contexto marcado por la especial imprevisibilidad de una eventual condena por prevaricación (contexto determinado por la clara exclusión, en la jurisprudencia de la Sala de lo Contencioso-Administrativo y en la doctrina del Tribunal Constitucional, de la posibilidad de todo control jurisdiccional de las iniciativas legislativas del Gobierno, así como por la inexistencia, en el orden penal, de “precedentes de persecución y condena en supuestos similares”), el razonamiento del Tribunal Supremo adolece “de un déficit de coherencia y completitud lógico-jurídica, que </w:t>
      </w:r>
      <w:r>
        <w:lastRenderedPageBreak/>
        <w:t>impide considerarlo ajustado al canon de idoneidad metodológica que impone la aplicación del art. 25.1 CE”.</w:t>
      </w:r>
    </w:p>
    <w:p w14:paraId="54709CAB" w14:textId="77777777" w:rsidR="003754FE" w:rsidRDefault="003754FE" w:rsidP="003754FE">
      <w:pPr>
        <w:pStyle w:val="TextoNormal"/>
      </w:pPr>
    </w:p>
    <w:p w14:paraId="1BFA5065" w14:textId="77777777" w:rsidR="003754FE" w:rsidRDefault="003754FE" w:rsidP="003754FE">
      <w:pPr>
        <w:pStyle w:val="TextoNormal"/>
      </w:pPr>
      <w:r>
        <w:t>(v) Sin abandonar todavía el plano de análisis puramente formal, el fiscal reprocha, asimismo, a la sentencia casacional que sustente su criterio favorable a la subsunción de los actos de iniciativa legislativa del Gobierno en el art. 404 CP en el peligro de impunidad y que no analice previamente si esa impunidad es el producto necesario de una adecuada ponderación de los intereses y principios constitucionales en juego. También reprocha a la sentencia casacional que llegue a afirmar que tiene el cometido de analizar la legitimidad constitucional del resultado perseguido con el ejercicio de la iniciativa legislativa presupuestaria, lo que entiende el fiscal que desbordaría el ámbito de la jurisdicción ordinaria (con cita aquí del art. 4 LOTC).</w:t>
      </w:r>
    </w:p>
    <w:p w14:paraId="0F0D7D70" w14:textId="77777777" w:rsidR="003754FE" w:rsidRDefault="003754FE" w:rsidP="003754FE">
      <w:pPr>
        <w:pStyle w:val="TextoNormal"/>
      </w:pPr>
    </w:p>
    <w:p w14:paraId="543F47C0" w14:textId="77777777" w:rsidR="003754FE" w:rsidRDefault="003754FE" w:rsidP="003754FE">
      <w:pPr>
        <w:pStyle w:val="TextoNormal"/>
      </w:pPr>
      <w:r>
        <w:t>(vi) Ya en el plano de la “vertiente axiológica”, explica que debe determinarse “si la subsunción penal de los hechos se asienta en ‘una base valorativa ajena a los criterios que informan nuestro ordenamiento constitucional’”. Reitera aquí que el Tribunal Supremo no examina los principios e intereses constitucionales en los que descansa la exclusión del control jurisdiccional de los actos de aprobación de las iniciativas legislativas del Gobierno, pues el alto tribunal se limita a conjurar la situación de impunidad que en este concreto ámbito generaría la exclusión de la intervención penal, dando por supuesto su prevalencia en un hipotético conflicto.</w:t>
      </w:r>
    </w:p>
    <w:p w14:paraId="7E88626B" w14:textId="77777777" w:rsidR="003754FE" w:rsidRDefault="003754FE" w:rsidP="003754FE">
      <w:pPr>
        <w:pStyle w:val="TextoNormal"/>
      </w:pPr>
    </w:p>
    <w:p w14:paraId="24C086D2" w14:textId="77777777" w:rsidR="003754FE" w:rsidRDefault="003754FE" w:rsidP="003754FE">
      <w:pPr>
        <w:pStyle w:val="TextoNormal"/>
      </w:pPr>
      <w:r>
        <w:t xml:space="preserve">Entiende el fiscal que el fundamento de la exclusión de control jurisdiccional, asumida tanto en el orden contencioso-administrativo como en la jurisdicción constitucional, es “preservar el principio constitucional de separación de poderes y, en concreto, la autonomía del Poder Legislativo, al menos respecto del ejercicio de la potestad legislativa que el artículo 66.2 CE atribuye incondicionalmente a las Cortes Generales”. Cita el fiscal, en este punto, los AATC 85/2006, de 15 de marzo, y 131/2022, de 11 de octubre, y considera que la protección de la autonomía parlamentaria, que “solo consiente” el control de las leyes una vez aprobadas, no puede convivir con la atribución a la jurisdicción penal de un juicio </w:t>
      </w:r>
      <w:r w:rsidRPr="003754FE">
        <w:rPr>
          <w:i/>
        </w:rPr>
        <w:t>ex ante</w:t>
      </w:r>
      <w:r>
        <w:t xml:space="preserve"> sobre la “‘legalidad’ formal y material del contenido de la iniciativa legislativa”.</w:t>
      </w:r>
    </w:p>
    <w:p w14:paraId="03A5E3BD" w14:textId="77777777" w:rsidR="003754FE" w:rsidRDefault="003754FE" w:rsidP="003754FE">
      <w:pPr>
        <w:pStyle w:val="TextoNormal"/>
      </w:pPr>
    </w:p>
    <w:p w14:paraId="085FDA30" w14:textId="77777777" w:rsidR="003754FE" w:rsidRDefault="003754FE" w:rsidP="003754FE">
      <w:pPr>
        <w:pStyle w:val="TextoNormal"/>
      </w:pPr>
      <w:r>
        <w:t>Al basar exclusivamente la intervención de la jurisdicción penal en la evitación de situaciones de impunidad, el Tribunal Supremo omite cualquier valoración sobre la importancia que la autonomía del Parlamento y la división de poderes tienen en nuestro orden constitucional. A juicio del fiscal, una correcta ponderación de ese conflicto potencial “entre la aplicación de la norma penal y la tutela de la autonomía del Parlamento para legislar, en concreto a partir de la iniciativa del Ejecutivo, forzosamente ha de resolverse a favor de la exclusión de un control penal de la legalidad de esa iniciativa”. Considera que “la idea misma de que un acto exento de control jurisdiccional contencioso-administrativo e incluso constitucional, pueda verse sujeto a un —inescindible, por mucho esfuerzo que se haga para justificar lo contrario— control autónomo de legalidad administrativa —e incluso constitucional— por un tribunal penal, choca con cualquier posible lectura conjunta de las normas constitucionales […] expresivas de la separación de poderes en el modelo de democracia parlamentaria que diseña la Constitución de 1978”.</w:t>
      </w:r>
    </w:p>
    <w:p w14:paraId="61EBE6E3" w14:textId="77777777" w:rsidR="003754FE" w:rsidRDefault="003754FE" w:rsidP="003754FE">
      <w:pPr>
        <w:pStyle w:val="TextoNormal"/>
      </w:pPr>
    </w:p>
    <w:p w14:paraId="007DD85F" w14:textId="77777777" w:rsidR="003754FE" w:rsidRDefault="003754FE" w:rsidP="003754FE">
      <w:pPr>
        <w:pStyle w:val="TextoNormal"/>
      </w:pPr>
      <w:r>
        <w:t xml:space="preserve">Concluye, por ello, que “el razonamiento de las sentencias impugnadas carece de un soporte axiológico verdaderamente conforme a los valores de la Constitución, al no abordar </w:t>
      </w:r>
      <w:r>
        <w:lastRenderedPageBreak/>
        <w:t>en absoluto un tratamiento constitucional de este conflicto de legitimidades y al anteponer a cualquier otra consideración el ejercicio eficaz de la jurisdicción penal”. Considera, por tal motivo, que ha resultado vulnerado el derecho fundamental de la recurrente a la legalidad penal (art. 25.1 CE) al haber atribuido las sentencias impugnadas la naturaleza de “resolución en asunto administrativo”, a efectos de condenar por delito prevaricación, a los acuerdos del Consejo de Gobierno de la Junta de Andalucía que aprobaron los anteproyectos de ley de presupuestos de la Comunidad Autónoma y acordaron su remisión al Parlamento de Andalucía como proyectos de ley.</w:t>
      </w:r>
    </w:p>
    <w:p w14:paraId="669C8801" w14:textId="77777777" w:rsidR="003754FE" w:rsidRDefault="003754FE" w:rsidP="003754FE">
      <w:pPr>
        <w:pStyle w:val="TextoNormal"/>
      </w:pPr>
    </w:p>
    <w:p w14:paraId="78DADB3D" w14:textId="77777777" w:rsidR="003754FE" w:rsidRDefault="003754FE" w:rsidP="003754FE">
      <w:pPr>
        <w:pStyle w:val="TextoNormal"/>
      </w:pPr>
      <w:r>
        <w:t>c) Para concluir el bloque relativo a la prevaricación, analiza el fiscal si la vulneración del art. 25.1 CE, que entiende materializada en relación con los anteproyectos de ley de presupuestos, ha de extenderse también a la aprobación de las llamadas “modificaciones presupuestarias” de las partidas 22E y 31L. Nuevamente distingue, para ello, entre el plano de análisis formal y el axiológico:</w:t>
      </w:r>
    </w:p>
    <w:p w14:paraId="185EC465" w14:textId="77777777" w:rsidR="003754FE" w:rsidRDefault="003754FE" w:rsidP="003754FE">
      <w:pPr>
        <w:pStyle w:val="TextoNormal"/>
      </w:pPr>
    </w:p>
    <w:p w14:paraId="5347CE86" w14:textId="77777777" w:rsidR="003754FE" w:rsidRDefault="003754FE" w:rsidP="003754FE">
      <w:pPr>
        <w:pStyle w:val="TextoNormal"/>
      </w:pPr>
      <w:r>
        <w:t>(i) En el plano formal, entiende el Ministerio Fiscal que la sentencia de instancia y la casacional asumen la “naturaleza administrativa” de las modificaciones presupuestarias con argumentos “atinados y perfectamente asumibles”.</w:t>
      </w:r>
    </w:p>
    <w:p w14:paraId="74041B6A" w14:textId="77777777" w:rsidR="003754FE" w:rsidRDefault="003754FE" w:rsidP="003754FE">
      <w:pPr>
        <w:pStyle w:val="TextoNormal"/>
      </w:pPr>
    </w:p>
    <w:p w14:paraId="798759DA" w14:textId="77777777" w:rsidR="003754FE" w:rsidRDefault="003754FE" w:rsidP="003754FE">
      <w:pPr>
        <w:pStyle w:val="TextoNormal"/>
      </w:pPr>
      <w:r>
        <w:t>Reproduce, en este punto, los arts. 38, 42, 44, 45, 46, 47 y 48 de la Ley 5/1983, de 19 de julio, de la hacienda pública de la Comunidad Autónoma de Andalucía. Resalta, a su vez, la falta de regulación de esas modificaciones en la Constitución, en el Estatuto de Autonomía para Andalucía y en el Reglamento del Parlamento de Andalucía. De ese régimen normativo deduce el fiscal que, por disposición expresa de la Ley de hacienda pública de Andalucía, una vez aprobada la ley de presupuestos, la competencia para modificar los créditos en los estados de gastos autorizados corresponde “al Consejo de Gobierno o, en su caso, a la Consejería de Hacienda”, siempre que la modificación no afecte al crédito global consignado en los presupuestos, “en cuyo caso el Ejecutivo ha de someter al Parlamento un proyecto de ley” por efecto del art. 134.5 CE y del art. 43 de la Ley de hacienda pública de Andalucía.</w:t>
      </w:r>
    </w:p>
    <w:p w14:paraId="01BE72D7" w14:textId="77777777" w:rsidR="003754FE" w:rsidRDefault="003754FE" w:rsidP="003754FE">
      <w:pPr>
        <w:pStyle w:val="TextoNormal"/>
      </w:pPr>
    </w:p>
    <w:p w14:paraId="4D2E7705" w14:textId="77777777" w:rsidR="003754FE" w:rsidRDefault="003754FE" w:rsidP="003754FE">
      <w:pPr>
        <w:pStyle w:val="TextoNormal"/>
      </w:pPr>
      <w:r>
        <w:t>Entiende el Ministerio Fiscal que la atribución de esa competencia no convierte las decisiones que adopta, al efecto, el Consejo de Gobierno o la Consejería de Hacienda en actos con fuerza de ley, pues nos encontramos ante “un procedimiento reglado que se inicia, se desenvuelve y se resuelve, con pleno efecto ejecutivo, en el seno de los órganos del Gobierno”. Solo la afectación del crédito global autorizado por el Parlamento requeriría acudir a un verdadero procedimiento legislativo.</w:t>
      </w:r>
    </w:p>
    <w:p w14:paraId="22291977" w14:textId="77777777" w:rsidR="003754FE" w:rsidRDefault="003754FE" w:rsidP="003754FE">
      <w:pPr>
        <w:pStyle w:val="TextoNormal"/>
      </w:pPr>
    </w:p>
    <w:p w14:paraId="54E63500" w14:textId="77777777" w:rsidR="003754FE" w:rsidRDefault="003754FE" w:rsidP="003754FE">
      <w:pPr>
        <w:pStyle w:val="TextoNormal"/>
      </w:pPr>
      <w:r>
        <w:t>(ii) En el plano “axiológico”, considera el fiscal que, una vez “negada [la] premisa” de que las modificaciones presupuestarias puedan ser consideradas actos con “rango, fuerza o valor de ley”, fruto de la “reserva de ley que impone el artículo 134 CE en materia presupuestaria”, no hay razón alguna para “temer por la autonomía parlamentaria en el ejercicio de la potestad legislativa, que no está en juego”. Tampoco existiría peligro para “el principio consustancial de la separación de poderes”.</w:t>
      </w:r>
    </w:p>
    <w:p w14:paraId="035294BA" w14:textId="77777777" w:rsidR="003754FE" w:rsidRDefault="003754FE" w:rsidP="003754FE">
      <w:pPr>
        <w:pStyle w:val="TextoNormal"/>
      </w:pPr>
    </w:p>
    <w:p w14:paraId="2FA0E1AB" w14:textId="77777777" w:rsidR="003754FE" w:rsidRDefault="003754FE" w:rsidP="003754FE">
      <w:pPr>
        <w:pStyle w:val="TextoNormal"/>
      </w:pPr>
      <w:r>
        <w:t xml:space="preserve">Concluye, por todo ello, el fiscal que la consideración como “resolución en asunto administrativo”, a efectos de condenar por delito de prevaricación, de los acuerdos del Consejo de Gobierno de la Junta de Andalucía relativos a la aprobación de determinadas </w:t>
      </w:r>
      <w:r>
        <w:lastRenderedPageBreak/>
        <w:t>modificaciones presupuestarias de los programas 22E y 31L no vulnera el derecho a la legalidad penal (art. 25.1 CE).</w:t>
      </w:r>
    </w:p>
    <w:p w14:paraId="33EF0253" w14:textId="77777777" w:rsidR="003754FE" w:rsidRDefault="003754FE" w:rsidP="003754FE">
      <w:pPr>
        <w:pStyle w:val="TextoNormal"/>
      </w:pPr>
    </w:p>
    <w:p w14:paraId="0FE18B83" w14:textId="77777777" w:rsidR="003754FE" w:rsidRDefault="003754FE" w:rsidP="003754FE">
      <w:pPr>
        <w:pStyle w:val="TextoNormal"/>
      </w:pPr>
      <w:r>
        <w:t>B) El bloque de motivos de amparo referido a la condena por delito de malversación de caudales públicos se subdivide del siguiente modo:</w:t>
      </w:r>
    </w:p>
    <w:p w14:paraId="72B706A1" w14:textId="77777777" w:rsidR="003754FE" w:rsidRDefault="003754FE" w:rsidP="003754FE">
      <w:pPr>
        <w:pStyle w:val="TextoNormal"/>
      </w:pPr>
    </w:p>
    <w:p w14:paraId="653626FF" w14:textId="77777777" w:rsidR="003754FE" w:rsidRDefault="003754FE" w:rsidP="003754FE">
      <w:pPr>
        <w:pStyle w:val="TextoNormal"/>
      </w:pPr>
      <w:r>
        <w:t xml:space="preserve">a) Se ocupa el fiscal, en primer lugar, de la alegación relativa a la vulneración del derecho a la legalidad penal (art. 25.1 CE), asociada en la demanda de amparo a la “insostenible” subsunción de los hechos en las acciones típicas características de la malversación (“sustraer” o “consentir que otro sustraiga”), todo ello en virtud de una pretendida interpretación extensiva </w:t>
      </w:r>
      <w:r w:rsidRPr="003754FE">
        <w:rPr>
          <w:i/>
        </w:rPr>
        <w:t>e in malam part</w:t>
      </w:r>
      <w:r>
        <w:t>em.</w:t>
      </w:r>
    </w:p>
    <w:p w14:paraId="609A3214" w14:textId="77777777" w:rsidR="003754FE" w:rsidRDefault="003754FE" w:rsidP="003754FE">
      <w:pPr>
        <w:pStyle w:val="TextoNormal"/>
      </w:pPr>
    </w:p>
    <w:p w14:paraId="4210DF1E" w14:textId="77777777" w:rsidR="003754FE" w:rsidRDefault="003754FE" w:rsidP="003754FE">
      <w:pPr>
        <w:pStyle w:val="TextoNormal"/>
      </w:pPr>
      <w:r>
        <w:t>Entiende el Ministerio Fiscal que, en este caso, y a diferencia de lo razonado en relación con la condena por prevaricación, no se han subsumido en el tipo del art. 432 CP conductas exentas de todo control jurisdiccional. Serían irrelevantes, por ello, en el ámbito de la malversación, las alegaciones de la actora relativas a la aprobación por el Parlamento, y no por la Viceconsejería de Hacienda, de las partidas presupuestarias y a la ausencia de un engarce jurídico suficiente entre la proposición de las referidas partidas, en la fase de anteproyecto, y la posterior utilización ilícita de los fondos por parte de la Dirección General de Trabajo. Y ello porque la aprobación de las partidas presupuestarias sustentaría exclusivamente, a juicio del fiscal, la condena por prevaricación, y no la condena por malversación, que tendría, en su opinión, un fundamento distinto: “haber consentido [la actora] la sustracción de los caudales públicos”, esto es, no haberla impedido pese a conocerla y tener el deber de evitarla.</w:t>
      </w:r>
    </w:p>
    <w:p w14:paraId="35A7F305" w14:textId="77777777" w:rsidR="003754FE" w:rsidRDefault="003754FE" w:rsidP="003754FE">
      <w:pPr>
        <w:pStyle w:val="TextoNormal"/>
      </w:pPr>
    </w:p>
    <w:p w14:paraId="7426A7DC" w14:textId="77777777" w:rsidR="003754FE" w:rsidRDefault="003754FE" w:rsidP="003754FE">
      <w:pPr>
        <w:pStyle w:val="TextoNormal"/>
      </w:pPr>
      <w:r>
        <w:t>Puesto que el verdadero fundamento de la condena por malversación se encuentra, en realidad, a juicio del fiscal, en el hecho de no haber impedido, debiendo hacerlo, la utilización ilícita de los fondos, el único elemento de la queja formulada por la actora que, desde la óptica del derecho fundamental a la legalidad penal (art. 25.1 CE), podría poner en entredicho la subsunción efectuada en las sentencias impugnadas sería, en su opinión, la pretendida ausencia de toda base para fundar una “posición de garante” de la viceconsejera de Hacienda en relación con los actos realizados por la Dirección General de Trabajo de la Consejería de Empleo.</w:t>
      </w:r>
    </w:p>
    <w:p w14:paraId="1E4501E6" w14:textId="77777777" w:rsidR="003754FE" w:rsidRDefault="003754FE" w:rsidP="003754FE">
      <w:pPr>
        <w:pStyle w:val="TextoNormal"/>
      </w:pPr>
    </w:p>
    <w:p w14:paraId="161D02E9" w14:textId="77777777" w:rsidR="003754FE" w:rsidRDefault="003754FE" w:rsidP="003754FE">
      <w:pPr>
        <w:pStyle w:val="TextoNormal"/>
      </w:pPr>
      <w:r>
        <w:t>Entiende, sin embargo, el fiscal que no puede aceptarse la tesis de la inexistencia de una fuente normativa que funde esa posición de garante, pues es el propio art. 432 CP el que establece esa “específica obligación legal” al castigar a quien consienta que un tercero disponga de los caudales o efectos públicos. Por ello, la posición de garante de la recurrente no derivaría del hecho de haber propuesto las partidas presupuestarias en los anteproyectos de ley sino de la capacidad jurídica que tenía para impedir las conductas de disposición ilícita de los fondos públicos por parte de los demás acusados. Por ello, el Ministerio Fiscal descarta toda vulneración del art. 25.1 CE conectada a la subsunción realizada en el tipo de la malversación.</w:t>
      </w:r>
    </w:p>
    <w:p w14:paraId="54CA0FA3" w14:textId="77777777" w:rsidR="003754FE" w:rsidRDefault="003754FE" w:rsidP="003754FE">
      <w:pPr>
        <w:pStyle w:val="TextoNormal"/>
      </w:pPr>
    </w:p>
    <w:p w14:paraId="14A5E347" w14:textId="77777777" w:rsidR="003754FE" w:rsidRDefault="003754FE" w:rsidP="003754FE">
      <w:pPr>
        <w:pStyle w:val="TextoNormal"/>
      </w:pPr>
      <w:r>
        <w:t xml:space="preserve">b) En lo que se refiere a la alegada vulneración del derecho a la presunción de inocencia (art. 24.2 CE) en la condena por malversación, el fiscal considera que el planteamiento de la recurrente parte del mismo equívoco ya apreciado en relación con la vulneración anterior. Sus alegaciones se fundan en el presupuesto de que ha sido condenada por la tramitación de </w:t>
      </w:r>
      <w:r>
        <w:lastRenderedPageBreak/>
        <w:t>las partidas presupuestarias en la fase de elaboración de estas, sin que se le atribuya acto malversador alguno producido en la fase posterior de ejecución (a cargo de la Consejería del Empleo) y sin que pueda, por consiguiente, deducirse en modo alguno del acervo probatorio cualquier modalidad de dolo malversador (directo o eventual). Pero la realidad sería, según razona el fiscal, que la recurrente no ha sido condenada, en lo que a la malversación se refiere, por sus actuaciones en la fase de elaboración de las partidas presupuestarias sino por no haber evitado, teniendo el deber de hacerlo, los actos de disposición ilícita realizados en la fase de ejecución propiamente dicha. Se la condena, en definitiva, por “haber consentido” la libre disposición de caudales públicos que tuvo lugar en la Consejería de Empleo, “lo que forma parte de la fase de ejecución del presupuesto y no de la fase de elaboración”.</w:t>
      </w:r>
    </w:p>
    <w:p w14:paraId="7418ACD5" w14:textId="77777777" w:rsidR="003754FE" w:rsidRDefault="003754FE" w:rsidP="003754FE">
      <w:pPr>
        <w:pStyle w:val="TextoNormal"/>
      </w:pPr>
    </w:p>
    <w:p w14:paraId="03F4D60B" w14:textId="77777777" w:rsidR="003754FE" w:rsidRDefault="003754FE" w:rsidP="003754FE">
      <w:pPr>
        <w:pStyle w:val="TextoNormal"/>
      </w:pPr>
      <w:r>
        <w:t>Esa conducta habría sido acreditada en virtud de prueba directa: las declaraciones prestadas por los propios acusados, las declaraciones testificales, abundante prueba documental y varios informes periciales de distintas autoridades y organismos, destacadamente el informe pericial elaborado por la Intervención General del Estado. De todo ello infieren las resoluciones, razonablemente según afirma el fiscal, que la recurrente, por razón de su cargo, tenía conocimiento de las numerosas infracciones de la legalidad que se estaban cometiendo en la disposición de los fondos y que, pese a ello, no actuó, como era su deber, para poner fin a estos desde la posición jerárquica que ocupaba, que le daba atribuciones suficientes para ello. Descarta, por ello, el fiscal que se haya vulnerado el derecho fundamental a la presunción de inocencia.</w:t>
      </w:r>
    </w:p>
    <w:p w14:paraId="1732B53A" w14:textId="77777777" w:rsidR="003754FE" w:rsidRDefault="003754FE" w:rsidP="003754FE">
      <w:pPr>
        <w:pStyle w:val="TextoNormal"/>
      </w:pPr>
    </w:p>
    <w:p w14:paraId="3CC65B2F" w14:textId="77777777" w:rsidR="003754FE" w:rsidRDefault="003754FE" w:rsidP="003754FE">
      <w:pPr>
        <w:pStyle w:val="TextoNormal"/>
      </w:pPr>
      <w:r>
        <w:t xml:space="preserve">c) También en el bloque relativo al delito de malversación, reprocha la actora a la sentencia casacional haber hecho uso de “elementos fácticos nuevos, ajenos y contrarios a los que componían el </w:t>
      </w:r>
      <w:r w:rsidRPr="003754FE">
        <w:rPr>
          <w:i/>
        </w:rPr>
        <w:t>factum</w:t>
      </w:r>
      <w:r>
        <w:t xml:space="preserve"> de la sentencia de instancia”. El Tribunal Supremo habría introducido estos elementos novedosos, además, “sin motivación, ni prueba en la que ampararse”, lo que la recurrente considera lesivo de diversos derechos fundamentales, muy particularmente del derecho a la presunción de inocencia y del derecho a un proceso con todas las garantías (art. 24.2 CE). Los elementos introducidos </w:t>
      </w:r>
      <w:r w:rsidRPr="003754FE">
        <w:rPr>
          <w:i/>
        </w:rPr>
        <w:t>ex novo</w:t>
      </w:r>
      <w:r>
        <w:t xml:space="preserve"> en casación serían, concretamente, los dos siguientes: (i) “que se cambió el sistema de presupuestación con la finalidad de permitir la disposición libérrima de los fondos públicos” y (ii) que existía un “propósito común” entre los acusados.</w:t>
      </w:r>
    </w:p>
    <w:p w14:paraId="74BAD7D4" w14:textId="77777777" w:rsidR="003754FE" w:rsidRDefault="003754FE" w:rsidP="003754FE">
      <w:pPr>
        <w:pStyle w:val="TextoNormal"/>
      </w:pPr>
    </w:p>
    <w:p w14:paraId="3069BDAC" w14:textId="77777777" w:rsidR="003754FE" w:rsidRDefault="003754FE" w:rsidP="003754FE">
      <w:pPr>
        <w:pStyle w:val="TextoNormal"/>
      </w:pPr>
      <w:r>
        <w:t>En relación con el primer elemento, reconoce el fiscal que la sentencia de la Audiencia Provincial menciona en varios pasajes que la finalidad del cambio de presupuestación de las ayudas sociolaborales era “lograr una mayor rapidez en [su] concesión y pago”, esto es, agilizar, en definitiva, su tramitación. Sin embargo, la misma resolución añade que también se perseguía la finalidad de “eludir la fiscalización previa” y “la tramitación de los [correspondientes] expedientes”, o, más generalmente, la de eludir “la normativa de subvenciones”. También omite la actora, según añade el fiscal, que la supuesta motivación de agilización de las ayudas fue considerada, en la sentencia de instancia, como una finalidad irrazonable, lo que daba mayor protagonismo a la concurrente voluntad de eludir los trámites de control. Concluye, por ello, el fiscal que a la queja del recurrente le falta, en este primer punto, su presupuesto fáctico, pues las tesis de la sentencia de instancia y de casación son sustancialmente coincidentes, por más que el Tribunal Supremo la exprese en términos más contundentes.</w:t>
      </w:r>
    </w:p>
    <w:p w14:paraId="47C68579" w14:textId="77777777" w:rsidR="003754FE" w:rsidRDefault="003754FE" w:rsidP="003754FE">
      <w:pPr>
        <w:pStyle w:val="TextoNormal"/>
      </w:pPr>
    </w:p>
    <w:p w14:paraId="1D072E03" w14:textId="77777777" w:rsidR="003754FE" w:rsidRDefault="003754FE" w:rsidP="003754FE">
      <w:pPr>
        <w:pStyle w:val="TextoNormal"/>
      </w:pPr>
      <w:r>
        <w:lastRenderedPageBreak/>
        <w:t>Llega al fiscal a la misma conclusión en relación con la existencia de un “propósito común” entre los acusados pues, según señala, la lectura de la sentencia casacional pone de manifiesto que no se trata de una afirmación fáctica sino de una mera referencial argumental, contenida en dos pasajes de la resolución, al hecho de que los acusados realizaron sus conductas de forma individual pero con la misma finalidad.</w:t>
      </w:r>
    </w:p>
    <w:p w14:paraId="4BC4BCBF" w14:textId="77777777" w:rsidR="003754FE" w:rsidRDefault="003754FE" w:rsidP="003754FE">
      <w:pPr>
        <w:pStyle w:val="TextoNormal"/>
      </w:pPr>
    </w:p>
    <w:p w14:paraId="3B461D88" w14:textId="77777777" w:rsidR="003754FE" w:rsidRDefault="003754FE" w:rsidP="003754FE">
      <w:pPr>
        <w:pStyle w:val="TextoNormal"/>
      </w:pPr>
      <w:r>
        <w:t>Al fallar el presupuesto fáctico de la queja, concluye el fiscal que esta debe ser desestimada.</w:t>
      </w:r>
    </w:p>
    <w:p w14:paraId="54CDDD27" w14:textId="77777777" w:rsidR="003754FE" w:rsidRDefault="003754FE" w:rsidP="003754FE">
      <w:pPr>
        <w:pStyle w:val="TextoNormal"/>
      </w:pPr>
    </w:p>
    <w:p w14:paraId="0C8072F9" w14:textId="77777777" w:rsidR="003754FE" w:rsidRDefault="003754FE" w:rsidP="003754FE">
      <w:pPr>
        <w:pStyle w:val="TextoNormal"/>
      </w:pPr>
      <w:r>
        <w:t xml:space="preserve">d) El último motivo que el fiscal examina dentro del bloque relativo a la malversación es la vulneración de diversos derechos fundamentales (legalidad penal, tutela judicial efectiva sin indefensión, proceso con todas las garantías y presunción de inocencia) derivada de la inexistencia en la sentencia de la Audiencia Provincial de Sevilla de un juicio de autoría y de la realización </w:t>
      </w:r>
      <w:r w:rsidRPr="003754FE">
        <w:rPr>
          <w:i/>
        </w:rPr>
        <w:t>ex novo</w:t>
      </w:r>
      <w:r>
        <w:t xml:space="preserve"> de dicho juicio por parte del Tribunal Supremo en la sentencia casacional.</w:t>
      </w:r>
    </w:p>
    <w:p w14:paraId="1F2F94B3" w14:textId="77777777" w:rsidR="003754FE" w:rsidRDefault="003754FE" w:rsidP="003754FE">
      <w:pPr>
        <w:pStyle w:val="TextoNormal"/>
      </w:pPr>
    </w:p>
    <w:p w14:paraId="5C1B2312" w14:textId="77777777" w:rsidR="003754FE" w:rsidRDefault="003754FE" w:rsidP="003754FE">
      <w:pPr>
        <w:pStyle w:val="TextoNormal"/>
      </w:pPr>
      <w:r>
        <w:t>Explica, en este punto, el fiscal que la sentencia de la Audiencia Provincial dedica un fundamento jurídico al juicio de autoría, en el que considera a los acusados autores materiales y directos, argumentando, en particular, sobre el concepto penal autónomo de funcionario público y su aplicación a los responsables del IFA/IDEA, a los que entiende que no cabría considerar meros cooperadores necesarios. Reconoce el fiscal que se trata, en comparación con la extensa argumentación dedicada a otras cuestiones y tal y como señaló la propia sentencia casacional, de un fundamento caracterizado por el laconismo, pero no por ello deja de existir en él un juicio expreso de autoría, jurídicamente fundado. De ahí que el Tribunal Supremo no rebasase sus competencias al dar respuesta a las alegaciones formuladas por las partes en relación con el referido juicio de autoría confirmando la conclusión alcanzada en la instancia con una argumentación más amplia.</w:t>
      </w:r>
    </w:p>
    <w:p w14:paraId="38B9AEDD" w14:textId="77777777" w:rsidR="003754FE" w:rsidRDefault="003754FE" w:rsidP="003754FE">
      <w:pPr>
        <w:pStyle w:val="TextoNormal"/>
      </w:pPr>
    </w:p>
    <w:p w14:paraId="4F3854E3" w14:textId="77777777" w:rsidR="003754FE" w:rsidRDefault="003754FE" w:rsidP="003754FE">
      <w:pPr>
        <w:pStyle w:val="TextoNormal"/>
      </w:pPr>
      <w:r>
        <w:t>Al fallar, nuevamente, “la premisa inicial” de la queja formulada, el Ministerio Fiscal considera que esta debe ser desestimada.</w:t>
      </w:r>
    </w:p>
    <w:p w14:paraId="65C9D693" w14:textId="77777777" w:rsidR="003754FE" w:rsidRDefault="003754FE" w:rsidP="003754FE">
      <w:pPr>
        <w:pStyle w:val="TextoNormal"/>
      </w:pPr>
    </w:p>
    <w:p w14:paraId="510247E0" w14:textId="77777777" w:rsidR="003754FE" w:rsidRDefault="003754FE" w:rsidP="003754FE">
      <w:pPr>
        <w:pStyle w:val="TextoNormal"/>
      </w:pPr>
      <w:r>
        <w:t>C) El último bloque argumental tratado por el Ministerio Fiscal se refiere, en exclusiva, a la comunicación pública, de forma anticipada, del fallo condenatorio, producida el día 26 de julio de 2022, acto que la recurrente estima lesivo de su derecho a la presunción de inocencia (art. 24.2 CE), su derecho al honor (art. 18 CE) y su derecho a la tutela judicial efectiva sin indefensión (art. 24.1 CE).</w:t>
      </w:r>
    </w:p>
    <w:p w14:paraId="217E885A" w14:textId="77777777" w:rsidR="003754FE" w:rsidRDefault="003754FE" w:rsidP="003754FE">
      <w:pPr>
        <w:pStyle w:val="TextoNormal"/>
      </w:pPr>
    </w:p>
    <w:p w14:paraId="3BF712BA" w14:textId="77777777" w:rsidR="003754FE" w:rsidRDefault="003754FE" w:rsidP="003754FE">
      <w:pPr>
        <w:pStyle w:val="TextoNormal"/>
      </w:pPr>
      <w:r>
        <w:t xml:space="preserve">Destaca el fiscal que, cuando se produce la referida comunicación pública, “la interesada ya estaba condenada —por prevaricación y por malversación de caudales públicos— por la sentencia de instancia, con lo que su derecho fundamental a la presunción de inocencia ya había sido enervado por virtud de sentencia definitiva, aunque no firme, de aquella Audiencia Provincial”. De ello se deriva, en su opinión, que el acto de comunicación pública no plantea más problema que el alcance extraprocesal de la presunción de inocencia y su posible afectación por la difusión pública de la condena. Sentada esta base, estima el fiscal que la providencia dictada por el Tribunal Supremo no pudo afectar a la dimensión o eficacia extraprocesal del derecho a la presunción de inocencia, ya que la finalidad de dicho acto era facilitar una información de indiscutible interés público y no se añadía ningún gravamen en la reputación o consideración pública de la recurrente que no estuviera ya presente en la </w:t>
      </w:r>
      <w:r>
        <w:lastRenderedPageBreak/>
        <w:t>condena recaída en la instancia, pues la providencia dictada por el Tribunal Supremo se limitaba a indicar que dicha condena había sido confirmada. Por todo ello, el fiscal también interesa la desestimación de este motivo.</w:t>
      </w:r>
    </w:p>
    <w:p w14:paraId="6D7CFDA5" w14:textId="77777777" w:rsidR="003754FE" w:rsidRDefault="003754FE" w:rsidP="003754FE">
      <w:pPr>
        <w:pStyle w:val="TextoNormal"/>
      </w:pPr>
    </w:p>
    <w:p w14:paraId="2DEE94F0" w14:textId="77777777" w:rsidR="003754FE" w:rsidRDefault="003754FE" w:rsidP="003754FE">
      <w:pPr>
        <w:pStyle w:val="TextoNormal"/>
      </w:pPr>
      <w:r>
        <w:t>Una vez que ha dado respuesta a las diversas quejas formuladas por la actora, el fiscal dedica un apartado final de sus alegaciones a clarificar los efectos que, a su juicio, debería conllevar la estimación de la vulneración del derecho a la legalidad penal derivada de la indebida subsunción en el tipo objetivo del delito de prevaricación de los actos de iniciativa legislativa del Gobierno.</w:t>
      </w:r>
    </w:p>
    <w:p w14:paraId="58BC925B" w14:textId="77777777" w:rsidR="003754FE" w:rsidRDefault="003754FE" w:rsidP="003754FE">
      <w:pPr>
        <w:pStyle w:val="TextoNormal"/>
      </w:pPr>
    </w:p>
    <w:p w14:paraId="6C12DC65" w14:textId="06CD975D" w:rsidR="003754FE" w:rsidRDefault="003754FE" w:rsidP="003754FE">
      <w:pPr>
        <w:pStyle w:val="TextoNormal"/>
      </w:pPr>
      <w:r>
        <w:t>Considera el fiscal que no debe procederse, como suele ser habitual, a la anulación del fallo, ya que la condena por prevaricación sigue teniendo sustento en los actos de aprobación de las correspondientes modificaciones presupuestarias, que también han sido subsumidos, en este caso de forma compatible con el art. 25.1 CE, en el referido tipo penal. La pervivencia de una base jurídica de la condena hace que el fiscal se pregunte si la nulidad y retroacción puede tener algún efecto útil desde el punto de vista de la pena impuesta a la actora. Aprecia, aquí, que la condena recaída deriva de un concurso medial entre el delito de prevaricación y el delito de malversación de caudales públicos en el que se impuso a la recurrente la pena mínima posible. Estima por ello que, en este caso, la nulidad y retroacción de las actuaciones carece de todo efecto útil, pues los órganos judiciales no pueden imponer una pena inferior a la ya aplicada. Por tal motivo, concluye el fiscal que en este caso la restitución del derecho fundamental de la demandante de amparo ha de contraerse a la sola declaración de la vulneración del derecho fundamental a la legalidad penal (art. 25.1 CE) en relación exclusiva con la subsunción de los actos de iniciativa legislativa del Gobierno en el delito de prevaricación.</w:t>
      </w:r>
    </w:p>
    <w:p w14:paraId="32E20ABC" w14:textId="77777777" w:rsidR="003754FE" w:rsidRDefault="003754FE" w:rsidP="003754FE">
      <w:pPr>
        <w:pStyle w:val="TextoNormal"/>
      </w:pPr>
    </w:p>
    <w:p w14:paraId="58B96F68" w14:textId="5CF3C6D1" w:rsidR="003754FE" w:rsidRDefault="003754FE" w:rsidP="003754FE">
      <w:pPr>
        <w:pStyle w:val="TextoNormal"/>
      </w:pPr>
      <w:r w:rsidRPr="003754FE">
        <w:rPr>
          <w:rStyle w:val="NumeroAFNegritaCaracter"/>
        </w:rPr>
        <w:t>7</w:t>
      </w:r>
      <w:r>
        <w:t>. Por providencia de 2 de julio de 2024 se señaló para la deliberación y votación de la presente sentencia el día 3 del mismo mes y año.</w:t>
      </w:r>
    </w:p>
    <w:p w14:paraId="36EFE897" w14:textId="77777777" w:rsidR="003754FE" w:rsidRDefault="003754FE" w:rsidP="003754FE">
      <w:pPr>
        <w:pStyle w:val="TextoNormal"/>
      </w:pPr>
    </w:p>
    <w:p w14:paraId="0AE7426D" w14:textId="77777777" w:rsidR="003754FE" w:rsidRDefault="003754FE" w:rsidP="003754FE">
      <w:pPr>
        <w:pStyle w:val="TextoNormalNegritaCentrado"/>
        <w:keepNext/>
      </w:pPr>
      <w:r>
        <w:t>II. Fundamentos jurídicos</w:t>
      </w:r>
    </w:p>
    <w:p w14:paraId="1533482C" w14:textId="6B6488F6" w:rsidR="003754FE" w:rsidRDefault="003754FE" w:rsidP="003754FE">
      <w:pPr>
        <w:pStyle w:val="TextoNormalNegritaCentrado"/>
        <w:keepNext/>
      </w:pPr>
    </w:p>
    <w:p w14:paraId="38C82FEC" w14:textId="77777777" w:rsidR="003754FE" w:rsidRDefault="003754FE" w:rsidP="003754FE">
      <w:pPr>
        <w:pStyle w:val="TextoNormal"/>
      </w:pPr>
      <w:r w:rsidRPr="003754FE">
        <w:rPr>
          <w:rStyle w:val="NumeroAFNegritaCaracter"/>
        </w:rPr>
        <w:t>1</w:t>
      </w:r>
      <w:r>
        <w:t xml:space="preserve">. </w:t>
      </w:r>
      <w:r w:rsidRPr="003754FE">
        <w:rPr>
          <w:i/>
        </w:rPr>
        <w:t>Objeto del recurso, posiciones de las partes, óbices procesales y orden de análisis de las quejas</w:t>
      </w:r>
    </w:p>
    <w:p w14:paraId="15C4AEA9" w14:textId="77777777" w:rsidR="003754FE" w:rsidRDefault="003754FE" w:rsidP="003754FE">
      <w:pPr>
        <w:pStyle w:val="TextoNormal"/>
      </w:pPr>
    </w:p>
    <w:p w14:paraId="3EAD5BAE" w14:textId="77777777" w:rsidR="003754FE" w:rsidRDefault="003754FE" w:rsidP="003754FE">
      <w:pPr>
        <w:pStyle w:val="TextoNormal"/>
      </w:pPr>
      <w:r>
        <w:t xml:space="preserve">1.1. </w:t>
      </w:r>
      <w:r w:rsidRPr="003754FE">
        <w:rPr>
          <w:i/>
        </w:rPr>
        <w:t>Objeto del recurso y posiciones de las partes</w:t>
      </w:r>
    </w:p>
    <w:p w14:paraId="5467AA84" w14:textId="77777777" w:rsidR="003754FE" w:rsidRDefault="003754FE" w:rsidP="003754FE">
      <w:pPr>
        <w:pStyle w:val="TextoNormal"/>
      </w:pPr>
    </w:p>
    <w:p w14:paraId="397ED4E6" w14:textId="77777777" w:rsidR="003754FE" w:rsidRDefault="003754FE" w:rsidP="003754FE">
      <w:pPr>
        <w:pStyle w:val="TextoNormal"/>
      </w:pPr>
      <w:r>
        <w:t xml:space="preserve">El presente recurso de amparo se dirige contra las siguientes resoluciones: (i) la sentencia núm. 490/2019, de 19 de noviembre, dictada por la Sección Primera de la Audiencia Provincial de Sevilla en el rollo núm. 1965-2017, dimanante del procedimiento abreviado núm. 133-2016, que condenó a la demandante de amparo como autora de un delito continuado de prevaricación administrativa del art. 404 CP, en concurso medial con un delito continuado de malversación de caudales públicos del art. 432 CP, a las penas de seis años y dos días de prisión, inhabilitación especial para el derecho de sufragio pasivo durante el tiempo de la condena e inhabilitación absoluta por un tiempo de quince años y dos días; (ii) la sentencia de la Sala de lo Penal del Tribunal Supremo núm. 749/2022, de 13 de septiembre, que desestimó el recurso de casación formulado por la demandante frente a la anterior resolución </w:t>
      </w:r>
      <w:r>
        <w:lastRenderedPageBreak/>
        <w:t>(recurso de casación núm. 601-2020), y (iii) el auto de 16 de febrero de 2023 que inadmitió el incidente de nulidad de actuaciones interpuesto frente a la citada sentencia desestimatoria.</w:t>
      </w:r>
    </w:p>
    <w:p w14:paraId="70DE7E3A" w14:textId="77777777" w:rsidR="003754FE" w:rsidRDefault="003754FE" w:rsidP="003754FE">
      <w:pPr>
        <w:pStyle w:val="TextoNormal"/>
      </w:pPr>
    </w:p>
    <w:p w14:paraId="58F1216C" w14:textId="77777777" w:rsidR="003754FE" w:rsidRDefault="003754FE" w:rsidP="003754FE">
      <w:pPr>
        <w:pStyle w:val="TextoNormal"/>
      </w:pPr>
      <w:r>
        <w:t xml:space="preserve">La recurrente alega en su escrito de demanda las siguientes vulneraciones de derechos fundamentales: (i) de los derechos a la tutela judicial efectiva (art. 24.1 CE) y a un proceso con todas las garantías (art. 24.2 CE) porque los órganos de la jurisdicción penal han asumido fraudulentamente la competencia jurisdiccional para enjuiciar actos de naturaleza legislativa, función esta que corresponde exclusivamente al Tribunal Constitucional; (ii) del derecho fundamental a la legalidad penal (art. 25.1 CE) como consecuencia de una interpretación extensiva e </w:t>
      </w:r>
      <w:r w:rsidRPr="003754FE">
        <w:rPr>
          <w:i/>
        </w:rPr>
        <w:t>in malam partem</w:t>
      </w:r>
      <w:r>
        <w:t xml:space="preserve"> del elemento objetivo del delito de prevaricación del art. 404 CP al no existir, en el caso enjuiciado, una “resolución en asunto administrativo”; (iii) del derecho fundamental a la legalidad penal (art. 25.1 CE) por la indebida subsunción de los hechos probados en el delito de malversación del art. 432 CP y por la interpretación extensiva e </w:t>
      </w:r>
      <w:r w:rsidRPr="003754FE">
        <w:rPr>
          <w:i/>
        </w:rPr>
        <w:t>in malam partem</w:t>
      </w:r>
      <w:r>
        <w:t xml:space="preserve"> de los elementos de dicho tipo penal; (iv) del derecho a la presunción de inocencia (art. 24.2 CE) por ausencia de prueba de cargo suficiente en relación con el elemento subjetivo del delito de malversación; (v) del derecho a un proceso con todas las garantías y a la tutela judicial efectiva sin indefensión (art. 24.1 y 2 CE), a la presunción de inocencia (art. 24.2 CE) y a la legalidad penal (art. 25.1 CE) como consecuencia de la introducción, en la sentencia de casación, de elementos fácticos nuevos sin sustento probatorio y que implicarían la realización de un nuevo juicio de tipicidad; (vi) del derecho fundamental a la legalidad penal (art. 25.1 CE), del derecho a la tutela judicial efectiva (art. 24.1 CE), del derecho a un proceso con todas las garantías (art. 24.2 CE) y del derecho a la presunción de inocencia (art. 24.2 CE) al haberse condenado a la recurrente sin la realización de un juicio de autoría, con sustento en un juicio de culpabilidad realizado </w:t>
      </w:r>
      <w:r w:rsidRPr="003754FE">
        <w:rPr>
          <w:i/>
        </w:rPr>
        <w:t>ex novo</w:t>
      </w:r>
      <w:r>
        <w:t xml:space="preserve"> en casación; (vii) del derecho a la presunción de inocencia (art. 24.2 CE) “en su dimensión de derecho al honor” (art. 18 CE), del derecho a un proceso con todas las garantías (art. 24.2 CE) y del derecho a la tutela judicial efectiva sin indefensión (art. 24.1 CE) por razón de la publicación anticipada del fallo, acto que en la demanda se reputa equivalente a una declaración pública de culpabilidad sin sentencia.</w:t>
      </w:r>
    </w:p>
    <w:p w14:paraId="3F1787C3" w14:textId="77777777" w:rsidR="003754FE" w:rsidRDefault="003754FE" w:rsidP="003754FE">
      <w:pPr>
        <w:pStyle w:val="TextoNormal"/>
      </w:pPr>
    </w:p>
    <w:p w14:paraId="5961EC54" w14:textId="77777777" w:rsidR="003754FE" w:rsidRDefault="003754FE" w:rsidP="003754FE">
      <w:pPr>
        <w:pStyle w:val="TextoNormal"/>
      </w:pPr>
      <w:r>
        <w:t>La representación procesal del Partido Popular ha interesado la desestimación íntegra del recurso de amparo, con los argumentos que han sido sintetizados en el antecedente 5 b).</w:t>
      </w:r>
    </w:p>
    <w:p w14:paraId="4B1B826E" w14:textId="77777777" w:rsidR="003754FE" w:rsidRDefault="003754FE" w:rsidP="003754FE">
      <w:pPr>
        <w:pStyle w:val="TextoNormal"/>
      </w:pPr>
    </w:p>
    <w:p w14:paraId="409D2980" w14:textId="77777777" w:rsidR="003754FE" w:rsidRDefault="003754FE" w:rsidP="003754FE">
      <w:pPr>
        <w:pStyle w:val="TextoNormal"/>
      </w:pPr>
      <w:r>
        <w:t>Las representaciones procesales de don José Antonio Griñán Martínez, don Antonio Vicente Lozano Peña, don Jesús María Rodríguez Román, don Francisco Vallejo Serrano y don Gaspar Zarrías Arévalo se han adherido al recurso de amparo y han interesado su estimación, algunas de ellas con argumentos convergentes con los empleados por la demandante, sintetizados en el antecedente 5, letras c), d), e), f) y g) respectivamente.</w:t>
      </w:r>
    </w:p>
    <w:p w14:paraId="0D6C58C0" w14:textId="77777777" w:rsidR="003754FE" w:rsidRDefault="003754FE" w:rsidP="003754FE">
      <w:pPr>
        <w:pStyle w:val="TextoNormal"/>
      </w:pPr>
    </w:p>
    <w:p w14:paraId="53A3D5AB" w14:textId="77777777" w:rsidR="003754FE" w:rsidRDefault="003754FE" w:rsidP="003754FE">
      <w:pPr>
        <w:pStyle w:val="TextoNormal"/>
      </w:pPr>
      <w:r>
        <w:t>Por su parte, el Ministerio Fiscal ha interesado en su escrito de alegaciones la desestimación íntegra de la demanda de amparo con los argumentos que han sido consignados en el antecedente 6.</w:t>
      </w:r>
    </w:p>
    <w:p w14:paraId="399D3A2F" w14:textId="77777777" w:rsidR="003754FE" w:rsidRDefault="003754FE" w:rsidP="003754FE">
      <w:pPr>
        <w:pStyle w:val="TextoNormal"/>
      </w:pPr>
    </w:p>
    <w:p w14:paraId="7D384D26" w14:textId="77777777" w:rsidR="003754FE" w:rsidRDefault="003754FE" w:rsidP="003754FE">
      <w:pPr>
        <w:pStyle w:val="TextoNormal"/>
      </w:pPr>
      <w:r>
        <w:t xml:space="preserve">1.2. </w:t>
      </w:r>
      <w:r w:rsidRPr="003754FE">
        <w:rPr>
          <w:i/>
        </w:rPr>
        <w:t>Óbice procesal: inadmisión del primer motivo de amparo</w:t>
      </w:r>
    </w:p>
    <w:p w14:paraId="0AFB2CCB" w14:textId="77777777" w:rsidR="003754FE" w:rsidRDefault="003754FE" w:rsidP="003754FE">
      <w:pPr>
        <w:pStyle w:val="TextoNormal"/>
      </w:pPr>
    </w:p>
    <w:p w14:paraId="09AEE06F" w14:textId="77777777" w:rsidR="003754FE" w:rsidRDefault="003754FE" w:rsidP="003754FE">
      <w:pPr>
        <w:pStyle w:val="TextoNormal"/>
      </w:pPr>
      <w:r>
        <w:t xml:space="preserve">El fiscal considera que el primer motivo de amparo, relativo a la falta de jurisdicción de los tribunales del orden penal para enjuiciar actos legislativos, no fue alegado temporáneamente en el proceso judicial puesto que la recurrente de amparo lo puso de manifiesto, por </w:t>
      </w:r>
      <w:r>
        <w:lastRenderedPageBreak/>
        <w:t>primera vez, con ocasión de la interposición del recurso de casación; según añade el fiscal, es discutible incluso que dicho motivo fuera realmente invocado en casación, pues la vulneración aducida en el recurso interpuesto ante el Tribunal Supremo se refería a la interpretación de los elementos objetivos del tipo de prevaricación, no a la falta de jurisdicción de los tribunales del orden penal.</w:t>
      </w:r>
    </w:p>
    <w:p w14:paraId="24CECEC5" w14:textId="77777777" w:rsidR="003754FE" w:rsidRDefault="003754FE" w:rsidP="003754FE">
      <w:pPr>
        <w:pStyle w:val="TextoNormal"/>
      </w:pPr>
    </w:p>
    <w:p w14:paraId="044B2AEE" w14:textId="77777777" w:rsidR="003754FE" w:rsidRDefault="003754FE" w:rsidP="003754FE">
      <w:pPr>
        <w:pStyle w:val="TextoNormal"/>
      </w:pPr>
      <w:r>
        <w:t>La causa de inadmisión alegada por el fiscal ha de ser acogida por las siguientes razones:</w:t>
      </w:r>
    </w:p>
    <w:p w14:paraId="5DC17E68" w14:textId="77777777" w:rsidR="003754FE" w:rsidRDefault="003754FE" w:rsidP="003754FE">
      <w:pPr>
        <w:pStyle w:val="TextoNormal"/>
      </w:pPr>
    </w:p>
    <w:p w14:paraId="10417477" w14:textId="77777777" w:rsidR="003754FE" w:rsidRDefault="003754FE" w:rsidP="003754FE">
      <w:pPr>
        <w:pStyle w:val="TextoNormal"/>
      </w:pPr>
      <w:r>
        <w:t>(i) De acuerdo con la doctrina de este tribunal, “el cumplimiento del requisito de invocación formal para la admisión del amparo exige que los tribunales ordinarios en todas sus instancias y desde que fue conocida la supuesta vulneración hayan tenido ocasión de pronunciarse al respecto. Una invocación tardía posibilita que la instancia ante la que se plantea se pronuncie sobre el particular, pero no puede subsanar el hecho de que instancias inferiores vean sustraída la posibilidad de emitir su propio pronunciamiento sobre la cuestión” [por todas, STC 11/2022, de 7 de febrero, FJ 2 B) a)].</w:t>
      </w:r>
    </w:p>
    <w:p w14:paraId="20F89C19" w14:textId="77777777" w:rsidR="003754FE" w:rsidRDefault="003754FE" w:rsidP="003754FE">
      <w:pPr>
        <w:pStyle w:val="TextoNormal"/>
      </w:pPr>
    </w:p>
    <w:p w14:paraId="6EF8575A" w14:textId="77777777" w:rsidR="003754FE" w:rsidRDefault="003754FE" w:rsidP="003754FE">
      <w:pPr>
        <w:pStyle w:val="TextoNormal"/>
      </w:pPr>
      <w:r>
        <w:t>(ii) La falta de jurisdicción de los órganos penales, alegada por la actora afecta, según su propia argumentación, a toda la tramitación del proceso penal, pues la concurrencia de jurisdicción es un presupuesto necesario de la existencia del proceso mismo, cuya ausencia puede ser apreciada en cualquier momento. Debió, por ello, ponerse de manifiesto en el trámite de cuestiones previas del juicio oral, que conforme al art. 786.2 de la Ley de enjuiciamiento criminal (LECrim), es el idóneo para denunciar vulneraciones de derechos fundamentales. Ha de recordarse, en este punto, que “si bien es posible la alegación en el escrito de defensa, no estando expresamente previsto un trámite al efecto en la legislación procesal hasta el comienzo del juicio oral, bast[a] con haber alegado la vulneración del derecho fundamental en dicho trámite al inicio del juicio oral (anterior art. 793.2, actual art. 786.2 LECrim)” (STC 132/2006, de 27 de abril, FJ 5).</w:t>
      </w:r>
    </w:p>
    <w:p w14:paraId="4387AEA6" w14:textId="77777777" w:rsidR="003754FE" w:rsidRDefault="003754FE" w:rsidP="003754FE">
      <w:pPr>
        <w:pStyle w:val="TextoNormal"/>
      </w:pPr>
    </w:p>
    <w:p w14:paraId="11847442" w14:textId="77777777" w:rsidR="003754FE" w:rsidRDefault="003754FE" w:rsidP="003754FE">
      <w:pPr>
        <w:pStyle w:val="TextoNormal"/>
      </w:pPr>
      <w:r>
        <w:t>(iii) No es aplicable al presente caso la doctrina de este tribunal, posterior a la citada STC 132/2006, según la cual puede admitirse como denuncia temporánea la que se produce en el trámite final de alegaciones en la vista oral, al igual que en el proceso para el enjuiciamiento de delitos graves [SSTC 91/2021, de 22 de abril, FJ 5.7.3 b) (iv), y 121/2021, de 2 de junio, FJ 6.7.3 b) (iv)] pues, en el presente supuesto, tampoco se realizó tal denuncia en dicho momento sino, a lo sumo, en el trámite de casación, siendo claro en todo caso que “la denuncia de la lesión del derecho ha de formularse en la misma instancia, antes de recaer sentencia y no como motivo de impugnación de esta última en un recurso devolutivo” [STC 11/2022, de 7 de febrero, FJ 2 B) a)].</w:t>
      </w:r>
    </w:p>
    <w:p w14:paraId="66FDB92B" w14:textId="77777777" w:rsidR="003754FE" w:rsidRDefault="003754FE" w:rsidP="003754FE">
      <w:pPr>
        <w:pStyle w:val="TextoNormal"/>
      </w:pPr>
    </w:p>
    <w:p w14:paraId="1626D746" w14:textId="77777777" w:rsidR="003754FE" w:rsidRDefault="003754FE" w:rsidP="003754FE">
      <w:pPr>
        <w:pStyle w:val="TextoNormal"/>
      </w:pPr>
      <w:r>
        <w:t>La falta de invocación temporánea determina, por ello, la inadmisibilidad del primer motivo de amparo de acuerdo con lo previsto en los arts. 50.1 a) y 44.1 c) LOTC. No obstante, como señala el propio fiscal, los argumentos desplegados por la parte actora con ocasión del planteamiento del presente motivo de amparo pueden ser tenidos en cuenta para evaluar la posible vulneración del derecho fundamental a la legalidad penal del art. 25.1 CE en relación con la condena por delito de prevaricación, queja con la que guardan una evidente relación y que sí ha sido correctamente planteada.</w:t>
      </w:r>
    </w:p>
    <w:p w14:paraId="5D6BDB29" w14:textId="77777777" w:rsidR="003754FE" w:rsidRDefault="003754FE" w:rsidP="003754FE">
      <w:pPr>
        <w:pStyle w:val="TextoNormal"/>
      </w:pPr>
    </w:p>
    <w:p w14:paraId="22FBAD24" w14:textId="77777777" w:rsidR="003754FE" w:rsidRDefault="003754FE" w:rsidP="003754FE">
      <w:pPr>
        <w:pStyle w:val="TextoNormal"/>
      </w:pPr>
      <w:r>
        <w:t xml:space="preserve">1.3. </w:t>
      </w:r>
      <w:r w:rsidRPr="003754FE">
        <w:rPr>
          <w:i/>
        </w:rPr>
        <w:t>Orden de análisis de las quejas</w:t>
      </w:r>
    </w:p>
    <w:p w14:paraId="7E55AFAE" w14:textId="77777777" w:rsidR="003754FE" w:rsidRDefault="003754FE" w:rsidP="003754FE">
      <w:pPr>
        <w:pStyle w:val="TextoNormal"/>
      </w:pPr>
    </w:p>
    <w:p w14:paraId="2C4AD399" w14:textId="5EDA107F" w:rsidR="003754FE" w:rsidRDefault="003754FE" w:rsidP="003754FE">
      <w:pPr>
        <w:pStyle w:val="TextoNormal"/>
      </w:pPr>
      <w:r>
        <w:lastRenderedPageBreak/>
        <w:t>Una vez inadmitido el primer motivo de amparo, puede procederse al enjuiciamiento del resto de las quejas planteadas por la actora siguiendo el mismo orden en el que han sido expuestas en la demanda. Se examinarán por ello, en primer lugar, las quejas relativas a la vulneración del derecho a la legalidad penal (motivos segundo y tercero de amparo), después la atinente a la vulneración del derecho a la presunción de inocencia (cuarto motivo de amparo) y, seguidamente, las que se consideran producidas con ocasión del recurso casación (motivos quinto y sexto) cuyo análisis puede verse condicionado por la respuesta que reciban las anteriores. Analizaremos, finalmente, la queja relativa a la vulneración del derecho a la presunción de inocencia extraprocesal atribuida a la publicación anticipada del fallo (motivo séptimo), que tiene una significación autónoma.</w:t>
      </w:r>
    </w:p>
    <w:p w14:paraId="18A69052" w14:textId="77777777" w:rsidR="003754FE" w:rsidRDefault="003754FE" w:rsidP="003754FE">
      <w:pPr>
        <w:pStyle w:val="TextoNormal"/>
      </w:pPr>
    </w:p>
    <w:p w14:paraId="0C9E6631" w14:textId="77777777" w:rsidR="003754FE" w:rsidRDefault="003754FE" w:rsidP="003754FE">
      <w:pPr>
        <w:pStyle w:val="TextoNormal"/>
      </w:pPr>
      <w:r w:rsidRPr="003754FE">
        <w:rPr>
          <w:rStyle w:val="NumeroAFNegritaCaracter"/>
        </w:rPr>
        <w:t>2</w:t>
      </w:r>
      <w:r>
        <w:t xml:space="preserve">. </w:t>
      </w:r>
      <w:r w:rsidRPr="003754FE">
        <w:rPr>
          <w:i/>
        </w:rPr>
        <w:t>Breve delimitación fáctica y jurídica del proceso “ERE” y de la condena de la demandante de amparo</w:t>
      </w:r>
    </w:p>
    <w:p w14:paraId="5F76C169" w14:textId="77777777" w:rsidR="003754FE" w:rsidRDefault="003754FE" w:rsidP="003754FE">
      <w:pPr>
        <w:pStyle w:val="TextoNormal"/>
      </w:pPr>
    </w:p>
    <w:p w14:paraId="252767ED" w14:textId="77777777" w:rsidR="003754FE" w:rsidRDefault="003754FE" w:rsidP="003754FE">
      <w:pPr>
        <w:pStyle w:val="TextoNormal"/>
      </w:pPr>
      <w:r>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w:t>
      </w:r>
      <w:r w:rsidRPr="003754FE">
        <w:rPr>
          <w:i/>
        </w:rPr>
        <w:t>a quo</w:t>
      </w:r>
      <w:r>
        <w:t xml:space="preserve">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 la demandante de amparo.</w:t>
      </w:r>
    </w:p>
    <w:p w14:paraId="43D96463" w14:textId="77777777" w:rsidR="003754FE" w:rsidRDefault="003754FE" w:rsidP="003754FE">
      <w:pPr>
        <w:pStyle w:val="TextoNormal"/>
      </w:pPr>
    </w:p>
    <w:p w14:paraId="71EE398A" w14:textId="77777777" w:rsidR="003754FE" w:rsidRDefault="003754FE" w:rsidP="003754FE">
      <w:pPr>
        <w:pStyle w:val="TextoNormal"/>
      </w:pPr>
      <w:r>
        <w:t xml:space="preserve">2.1. </w:t>
      </w:r>
      <w:r w:rsidRPr="003754FE">
        <w:rPr>
          <w:i/>
        </w:rPr>
        <w:t>Sucinta exposición general de los hechos del proceso “ERE”</w:t>
      </w:r>
    </w:p>
    <w:p w14:paraId="4DC31499" w14:textId="77777777" w:rsidR="003754FE" w:rsidRDefault="003754FE" w:rsidP="003754FE">
      <w:pPr>
        <w:pStyle w:val="TextoNormal"/>
      </w:pPr>
    </w:p>
    <w:p w14:paraId="77852E0C" w14:textId="77777777" w:rsidR="003754FE" w:rsidRDefault="003754FE" w:rsidP="003754FE">
      <w:pPr>
        <w:pStyle w:val="TextoNormal"/>
      </w:pPr>
      <w:r>
        <w:t>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14:paraId="1E7F9DFE" w14:textId="77777777" w:rsidR="003754FE" w:rsidRDefault="003754FE" w:rsidP="003754FE">
      <w:pPr>
        <w:pStyle w:val="TextoNormal"/>
      </w:pPr>
    </w:p>
    <w:p w14:paraId="2EE8E225" w14:textId="77777777" w:rsidR="003754FE" w:rsidRDefault="003754FE" w:rsidP="003754FE">
      <w:pPr>
        <w:pStyle w:val="TextoNormal"/>
      </w:pPr>
      <w:r>
        <w:t xml:space="preserve">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w:t>
      </w:r>
      <w:r>
        <w:lastRenderedPageBreak/>
        <w:t>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14:paraId="0A614265" w14:textId="77777777" w:rsidR="003754FE" w:rsidRDefault="003754FE" w:rsidP="003754FE">
      <w:pPr>
        <w:pStyle w:val="TextoNormal"/>
      </w:pPr>
    </w:p>
    <w:p w14:paraId="1EE2D602" w14:textId="77777777" w:rsidR="003754FE" w:rsidRDefault="003754FE" w:rsidP="003754FE">
      <w:pPr>
        <w:pStyle w:val="TextoNormal"/>
      </w:pPr>
      <w:r>
        <w:t>En la tramitación de sendos expedientes sobre estas ayudas, el interventor delegado de la Consejería de Empleo y Desarrollo Tecnológico formuló reparos en el informe de fiscalización, que, si bien no llegaron a impedir su concesión, la dificultaron y retrasaron.</w:t>
      </w:r>
    </w:p>
    <w:p w14:paraId="40DF8BCD" w14:textId="77777777" w:rsidR="003754FE" w:rsidRDefault="003754FE" w:rsidP="003754FE">
      <w:pPr>
        <w:pStyle w:val="TextoNormal"/>
      </w:pPr>
    </w:p>
    <w:p w14:paraId="65DD3BF3" w14:textId="77777777" w:rsidR="003754FE" w:rsidRDefault="003754FE" w:rsidP="003754FE">
      <w:pPr>
        <w:pStyle w:val="TextoNormal"/>
      </w:pPr>
      <w:r>
        <w:t>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14:paraId="223A0196" w14:textId="77777777" w:rsidR="003754FE" w:rsidRDefault="003754FE" w:rsidP="003754FE">
      <w:pPr>
        <w:pStyle w:val="TextoNormal"/>
      </w:pPr>
    </w:p>
    <w:p w14:paraId="02B38070" w14:textId="77777777" w:rsidR="003754FE" w:rsidRDefault="003754FE" w:rsidP="003754FE">
      <w:pPr>
        <w:pStyle w:val="TextoNormal"/>
      </w:pPr>
      <w:r>
        <w:t>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14:paraId="78AC53EC" w14:textId="77777777" w:rsidR="003754FE" w:rsidRDefault="003754FE" w:rsidP="003754FE">
      <w:pPr>
        <w:pStyle w:val="TextoNormal"/>
      </w:pPr>
    </w:p>
    <w:p w14:paraId="75EC91B3" w14:textId="77777777" w:rsidR="003754FE" w:rsidRDefault="003754FE" w:rsidP="003754FE">
      <w:pPr>
        <w:pStyle w:val="TextoNormal"/>
      </w:pPr>
      <w:r>
        <w:t>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14:paraId="4E09306C" w14:textId="77777777" w:rsidR="003754FE" w:rsidRDefault="003754FE" w:rsidP="003754FE">
      <w:pPr>
        <w:pStyle w:val="TextoNormal"/>
      </w:pPr>
    </w:p>
    <w:p w14:paraId="074CA210" w14:textId="77777777" w:rsidR="003754FE" w:rsidRDefault="003754FE" w:rsidP="003754FE">
      <w:pPr>
        <w:pStyle w:val="TextoNormal"/>
      </w:pPr>
      <w:r>
        <w:t xml:space="preserve">Hasta el mes de julio del año 2001, los fondos recibidos por el IFA fueron entregados a los destinatarios de las ayudas mediante la suscripción de convenios particulares entre la Consejería de Empleo y Desarrollo Tecnológico y el IFA. El 17 de julio de 2001, el </w:t>
      </w:r>
      <w:r>
        <w:lastRenderedPageBreak/>
        <w:t>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14:paraId="5906BB74" w14:textId="77777777" w:rsidR="003754FE" w:rsidRDefault="003754FE" w:rsidP="003754FE">
      <w:pPr>
        <w:pStyle w:val="TextoNormal"/>
      </w:pPr>
    </w:p>
    <w:p w14:paraId="1A907D1F" w14:textId="77777777" w:rsidR="003754FE" w:rsidRDefault="003754FE" w:rsidP="003754FE">
      <w:pPr>
        <w:pStyle w:val="TextoNormal"/>
      </w:pPr>
      <w:r>
        <w:t>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14:paraId="523AD38D" w14:textId="77777777" w:rsidR="003754FE" w:rsidRDefault="003754FE" w:rsidP="003754FE">
      <w:pPr>
        <w:pStyle w:val="TextoNormal"/>
      </w:pPr>
    </w:p>
    <w:p w14:paraId="364B55A0" w14:textId="77777777" w:rsidR="003754FE" w:rsidRDefault="003754FE" w:rsidP="003754FE">
      <w:pPr>
        <w:pStyle w:val="TextoNormal"/>
      </w:pPr>
      <w:r>
        <w:t>Tras la firma del convenio marco,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14:paraId="15F11A41" w14:textId="77777777" w:rsidR="003754FE" w:rsidRDefault="003754FE" w:rsidP="003754FE">
      <w:pPr>
        <w:pStyle w:val="TextoNormal"/>
      </w:pPr>
    </w:p>
    <w:p w14:paraId="3B4DEB62" w14:textId="77777777" w:rsidR="003754FE" w:rsidRDefault="003754FE" w:rsidP="003754FE">
      <w:pPr>
        <w:pStyle w:val="TextoNormal"/>
      </w:pPr>
      <w:r>
        <w:t>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pasó a denominarse Agencia de Innovación y Desarrollo de Andalucía (IDEA), adscrita a la Consejería de Innovación, Ciencia y Empresa— se destinaban a pagar lo ordenado por la consejería conforme a lo previsto en el convenio marco.</w:t>
      </w:r>
    </w:p>
    <w:p w14:paraId="77A23764" w14:textId="77777777" w:rsidR="003754FE" w:rsidRDefault="003754FE" w:rsidP="003754FE">
      <w:pPr>
        <w:pStyle w:val="TextoNormal"/>
      </w:pPr>
    </w:p>
    <w:p w14:paraId="4EF090F9" w14:textId="77777777" w:rsidR="003754FE" w:rsidRDefault="003754FE" w:rsidP="003754FE">
      <w:pPr>
        <w:pStyle w:val="TextoNormal"/>
      </w:pPr>
      <w:r>
        <w:t>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 a196):</w:t>
      </w:r>
    </w:p>
    <w:p w14:paraId="723A78BD" w14:textId="77777777" w:rsidR="003754FE" w:rsidRDefault="003754FE" w:rsidP="003754FE">
      <w:pPr>
        <w:pStyle w:val="TextoNormal"/>
      </w:pPr>
    </w:p>
    <w:p w14:paraId="20BA71B2" w14:textId="77777777" w:rsidR="003754FE" w:rsidRDefault="003754FE" w:rsidP="003754FE">
      <w:pPr>
        <w:pStyle w:val="TextoNormal"/>
      </w:pPr>
      <w:r>
        <w:lastRenderedPageBreak/>
        <w:t>“9. Conclusiones del análisis de la documentación anexa al proyecto de presupuesto anual de la Junta de Andalucía:</w:t>
      </w:r>
    </w:p>
    <w:p w14:paraId="77C04C20" w14:textId="77777777" w:rsidR="003754FE" w:rsidRDefault="003754FE" w:rsidP="003754FE">
      <w:pPr>
        <w:pStyle w:val="TextoNormal"/>
      </w:pPr>
    </w:p>
    <w:p w14:paraId="46C0430E" w14:textId="77777777" w:rsidR="003754FE" w:rsidRDefault="003754FE" w:rsidP="003754FE">
      <w:pPr>
        <w:pStyle w:val="TextoNormal"/>
      </w:pPr>
      <w:r>
        <w:t>A) La descripción de los objetivos y actividades contenidos en las fichas del programa 31L, son, como hemos visto, del siguiente tenor:</w:t>
      </w:r>
    </w:p>
    <w:p w14:paraId="245D2A9B" w14:textId="77777777" w:rsidR="003754FE" w:rsidRDefault="003754FE" w:rsidP="003754FE">
      <w:pPr>
        <w:pStyle w:val="TextoNormal"/>
      </w:pPr>
    </w:p>
    <w:p w14:paraId="7AC6FE92" w14:textId="77777777" w:rsidR="003754FE" w:rsidRDefault="003754FE" w:rsidP="003754FE">
      <w:pPr>
        <w:pStyle w:val="TextoNormal"/>
      </w:pPr>
      <w:r>
        <w:t>• ‘Transferencias al IFA’.</w:t>
      </w:r>
    </w:p>
    <w:p w14:paraId="76D41CB8" w14:textId="77777777" w:rsidR="003754FE" w:rsidRDefault="003754FE" w:rsidP="003754FE">
      <w:pPr>
        <w:pStyle w:val="TextoNormal"/>
      </w:pPr>
    </w:p>
    <w:p w14:paraId="43BAD063" w14:textId="77777777" w:rsidR="003754FE" w:rsidRDefault="003754FE" w:rsidP="003754FE">
      <w:pPr>
        <w:pStyle w:val="TextoNormal"/>
      </w:pPr>
      <w:r>
        <w:t>• ‘Transferencias al AIDA’.</w:t>
      </w:r>
    </w:p>
    <w:p w14:paraId="56EAD09B" w14:textId="77777777" w:rsidR="003754FE" w:rsidRDefault="003754FE" w:rsidP="003754FE">
      <w:pPr>
        <w:pStyle w:val="TextoNormal"/>
      </w:pPr>
    </w:p>
    <w:p w14:paraId="760667BE" w14:textId="77777777" w:rsidR="003754FE" w:rsidRDefault="003754FE" w:rsidP="003754FE">
      <w:pPr>
        <w:pStyle w:val="TextoNormal"/>
      </w:pPr>
      <w:r>
        <w:t>• ‘Mantenimiento empleo y tejido productivo andaluz’.</w:t>
      </w:r>
    </w:p>
    <w:p w14:paraId="5C4B9821" w14:textId="77777777" w:rsidR="003754FE" w:rsidRDefault="003754FE" w:rsidP="003754FE">
      <w:pPr>
        <w:pStyle w:val="TextoNormal"/>
      </w:pPr>
    </w:p>
    <w:p w14:paraId="431E3046" w14:textId="77777777" w:rsidR="003754FE" w:rsidRDefault="003754FE" w:rsidP="003754FE">
      <w:pPr>
        <w:pStyle w:val="TextoNormal"/>
      </w:pPr>
      <w:r>
        <w:t>• ‘Gestión de subvenciones’.</w:t>
      </w:r>
    </w:p>
    <w:p w14:paraId="3668AAB0" w14:textId="77777777" w:rsidR="003754FE" w:rsidRDefault="003754FE" w:rsidP="003754FE">
      <w:pPr>
        <w:pStyle w:val="TextoNormal"/>
      </w:pPr>
    </w:p>
    <w:p w14:paraId="1B81F625" w14:textId="77777777" w:rsidR="003754FE" w:rsidRDefault="003754FE" w:rsidP="003754FE">
      <w:pPr>
        <w:pStyle w:val="TextoNormal"/>
      </w:pPr>
      <w:r>
        <w:t>• ‘Ayudas prejubilaciones y expedientes de regulación de empleo’.</w:t>
      </w:r>
    </w:p>
    <w:p w14:paraId="3CDD6756" w14:textId="77777777" w:rsidR="003754FE" w:rsidRDefault="003754FE" w:rsidP="003754FE">
      <w:pPr>
        <w:pStyle w:val="TextoNormal"/>
      </w:pPr>
    </w:p>
    <w:p w14:paraId="5B0E19AF" w14:textId="77777777" w:rsidR="003754FE" w:rsidRDefault="003754FE" w:rsidP="003754FE">
      <w:pPr>
        <w:pStyle w:val="TextoNormal"/>
      </w:pPr>
      <w:r>
        <w:t>• ‘Suscripción de convenio’.</w:t>
      </w:r>
    </w:p>
    <w:p w14:paraId="521782A5" w14:textId="77777777" w:rsidR="003754FE" w:rsidRDefault="003754FE" w:rsidP="003754FE">
      <w:pPr>
        <w:pStyle w:val="TextoNormal"/>
      </w:pPr>
    </w:p>
    <w:p w14:paraId="6F49E2EF" w14:textId="77777777" w:rsidR="003754FE" w:rsidRDefault="003754FE" w:rsidP="003754FE">
      <w:pPr>
        <w:pStyle w:val="TextoNormal"/>
      </w:pPr>
      <w:r>
        <w:t>B) Por lo que se refiere a las memorias de los informes económico financieros, en la descripción de las actividades y objetivos contenidos en las mismas, son, como hemos visto igualmente, del siguiente tenor:</w:t>
      </w:r>
    </w:p>
    <w:p w14:paraId="44DA66CE" w14:textId="77777777" w:rsidR="003754FE" w:rsidRDefault="003754FE" w:rsidP="003754FE">
      <w:pPr>
        <w:pStyle w:val="TextoNormal"/>
      </w:pPr>
    </w:p>
    <w:p w14:paraId="5F3D4B2E" w14:textId="77777777" w:rsidR="003754FE" w:rsidRDefault="003754FE" w:rsidP="003754FE">
      <w:pPr>
        <w:pStyle w:val="TextoNormal"/>
      </w:pPr>
      <w:r>
        <w:t>• Potenciar la interlocución con los agentes sociales y económicos.</w:t>
      </w:r>
    </w:p>
    <w:p w14:paraId="5CD59253" w14:textId="77777777" w:rsidR="003754FE" w:rsidRDefault="003754FE" w:rsidP="003754FE">
      <w:pPr>
        <w:pStyle w:val="TextoNormal"/>
      </w:pPr>
    </w:p>
    <w:p w14:paraId="32EB865C" w14:textId="77777777" w:rsidR="003754FE" w:rsidRDefault="003754FE" w:rsidP="003754FE">
      <w:pPr>
        <w:pStyle w:val="TextoNormal"/>
      </w:pPr>
      <w:r>
        <w:t>• Mantener las políticas de ayudas a prejubilaciones en empresas con dificultades.</w:t>
      </w:r>
    </w:p>
    <w:p w14:paraId="3DE4939E" w14:textId="77777777" w:rsidR="003754FE" w:rsidRDefault="003754FE" w:rsidP="003754FE">
      <w:pPr>
        <w:pStyle w:val="TextoNormal"/>
      </w:pPr>
    </w:p>
    <w:p w14:paraId="59919F23" w14:textId="77777777" w:rsidR="003754FE" w:rsidRDefault="003754FE" w:rsidP="003754FE">
      <w:pPr>
        <w:pStyle w:val="TextoNormal"/>
      </w:pPr>
      <w:r>
        <w:t>•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1AE8DB20" w14:textId="77777777" w:rsidR="003754FE" w:rsidRDefault="003754FE" w:rsidP="003754FE">
      <w:pPr>
        <w:pStyle w:val="TextoNormal"/>
      </w:pPr>
    </w:p>
    <w:p w14:paraId="7BA5CC23" w14:textId="77777777" w:rsidR="003754FE" w:rsidRDefault="003754FE" w:rsidP="003754FE">
      <w:pPr>
        <w:pStyle w:val="TextoNormal"/>
      </w:pPr>
      <w:r>
        <w:t>• Así mismo y en una cuantía importante instrumenta la materialización de ayudas a empresas con especiales dificultades de mantenimiento del empleo, prejubilaciones y viabilidad económica.</w:t>
      </w:r>
    </w:p>
    <w:p w14:paraId="547D95C2" w14:textId="77777777" w:rsidR="003754FE" w:rsidRDefault="003754FE" w:rsidP="003754FE">
      <w:pPr>
        <w:pStyle w:val="TextoNormal"/>
      </w:pPr>
    </w:p>
    <w:p w14:paraId="4B799527" w14:textId="77777777" w:rsidR="003754FE" w:rsidRDefault="003754FE" w:rsidP="003754FE">
      <w:pPr>
        <w:pStyle w:val="TextoNormal"/>
      </w:pPr>
      <w:r>
        <w:t>•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65CC5BA4" w14:textId="77777777" w:rsidR="003754FE" w:rsidRDefault="003754FE" w:rsidP="003754FE">
      <w:pPr>
        <w:pStyle w:val="TextoNormal"/>
      </w:pPr>
    </w:p>
    <w:p w14:paraId="2C60ADDD" w14:textId="77777777" w:rsidR="003754FE" w:rsidRDefault="003754FE" w:rsidP="003754FE">
      <w:pPr>
        <w:pStyle w:val="TextoNormal"/>
      </w:pPr>
      <w:r>
        <w:t>•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14:paraId="185528E1" w14:textId="77777777" w:rsidR="003754FE" w:rsidRDefault="003754FE" w:rsidP="003754FE">
      <w:pPr>
        <w:pStyle w:val="TextoNormal"/>
      </w:pPr>
    </w:p>
    <w:p w14:paraId="57262AE1" w14:textId="77777777" w:rsidR="003754FE" w:rsidRDefault="003754FE" w:rsidP="003754FE">
      <w:pPr>
        <w:pStyle w:val="TextoNormal"/>
      </w:pPr>
      <w:r>
        <w:lastRenderedPageBreak/>
        <w:t>• Esta dirección general instrumenta la materialización de las ayudas a través de un convenio con el IFA y de su dotación anual específica de contribución a pólizas de prejubilaciones.</w:t>
      </w:r>
    </w:p>
    <w:p w14:paraId="58BFB612" w14:textId="77777777" w:rsidR="003754FE" w:rsidRDefault="003754FE" w:rsidP="003754FE">
      <w:pPr>
        <w:pStyle w:val="TextoNormal"/>
      </w:pPr>
    </w:p>
    <w:p w14:paraId="3F592953" w14:textId="77777777" w:rsidR="003754FE" w:rsidRDefault="003754FE" w:rsidP="003754FE">
      <w:pPr>
        <w:pStyle w:val="TextoNormal"/>
      </w:pPr>
      <w:r>
        <w:t>• El centro directivo que lo ejecuta es la Dirección General de Trabajo y Seguridad Social.</w:t>
      </w:r>
    </w:p>
    <w:p w14:paraId="5D394407" w14:textId="77777777" w:rsidR="003754FE" w:rsidRDefault="003754FE" w:rsidP="003754FE">
      <w:pPr>
        <w:pStyle w:val="TextoNormal"/>
      </w:pPr>
    </w:p>
    <w:p w14:paraId="75E76D0A" w14:textId="77777777" w:rsidR="003754FE" w:rsidRDefault="003754FE" w:rsidP="003754FE">
      <w:pPr>
        <w:pStyle w:val="TextoNormal"/>
      </w:pPr>
      <w:r>
        <w:t>• La previsión es para atender compromisos existentes y no se prevén fondos para nuevas, en su caso, contingencias.</w:t>
      </w:r>
    </w:p>
    <w:p w14:paraId="535F6AC4" w14:textId="77777777" w:rsidR="003754FE" w:rsidRDefault="003754FE" w:rsidP="003754FE">
      <w:pPr>
        <w:pStyle w:val="TextoNormal"/>
      </w:pPr>
    </w:p>
    <w:p w14:paraId="3E40618D" w14:textId="77777777" w:rsidR="003754FE" w:rsidRDefault="003754FE" w:rsidP="003754FE">
      <w:pPr>
        <w:pStyle w:val="TextoNormal"/>
      </w:pPr>
      <w:r>
        <w:t>• Mantener las políticas de ayudas a prejubilaciones en empresas con dificultades, a través de subvenciones finalistas.</w:t>
      </w:r>
    </w:p>
    <w:p w14:paraId="49BB6502" w14:textId="77777777" w:rsidR="003754FE" w:rsidRDefault="003754FE" w:rsidP="003754FE">
      <w:pPr>
        <w:pStyle w:val="TextoNormal"/>
      </w:pPr>
    </w:p>
    <w:p w14:paraId="4CCFA8A6" w14:textId="77777777" w:rsidR="003754FE" w:rsidRDefault="003754FE" w:rsidP="003754FE">
      <w:pPr>
        <w:pStyle w:val="TextoNormal"/>
      </w:pPr>
      <w:r>
        <w:t>• Realización de transferencias al Instituto de Fomento de Andalucía en aplicación de concierto de ayudas a empresas en crisis para el mantenimiento del empleo y tejido productivo andaluz.</w:t>
      </w:r>
    </w:p>
    <w:p w14:paraId="08394E53" w14:textId="77777777" w:rsidR="003754FE" w:rsidRDefault="003754FE" w:rsidP="003754FE">
      <w:pPr>
        <w:pStyle w:val="TextoNormal"/>
      </w:pPr>
    </w:p>
    <w:p w14:paraId="223B3C1D" w14:textId="77777777" w:rsidR="003754FE" w:rsidRDefault="003754FE" w:rsidP="003754FE">
      <w:pPr>
        <w:pStyle w:val="TextoNormal"/>
      </w:pPr>
      <w:r>
        <w:t>• Tramitación de transferencias a empresas mediante ayudas a prejubilaciones mediante subvención de la cuota de la seguridad social.</w:t>
      </w:r>
    </w:p>
    <w:p w14:paraId="5A13A2E5" w14:textId="77777777" w:rsidR="003754FE" w:rsidRDefault="003754FE" w:rsidP="003754FE">
      <w:pPr>
        <w:pStyle w:val="TextoNormal"/>
      </w:pPr>
    </w:p>
    <w:p w14:paraId="05831FF3" w14:textId="77777777" w:rsidR="003754FE" w:rsidRDefault="003754FE" w:rsidP="003754FE">
      <w:pPr>
        <w:pStyle w:val="TextoNormal"/>
      </w:pPr>
      <w:r>
        <w:t>• El programa presupuestario 31L, lo ejecuta la Dirección General de Trabajo y Seguridad Social, centro directivo que tiene atribuida las competencias que corresponden a la consejería en materia de relaciones laborales.</w:t>
      </w:r>
    </w:p>
    <w:p w14:paraId="0A64AF6F" w14:textId="77777777" w:rsidR="003754FE" w:rsidRDefault="003754FE" w:rsidP="003754FE">
      <w:pPr>
        <w:pStyle w:val="TextoNormal"/>
      </w:pPr>
    </w:p>
    <w:p w14:paraId="1DEB553A" w14:textId="77777777" w:rsidR="003754FE" w:rsidRDefault="003754FE" w:rsidP="003754FE">
      <w:pPr>
        <w:pStyle w:val="TextoNormal"/>
      </w:pPr>
      <w:r>
        <w:t>• Atender a las necesidades públicas de mantenimiento del empleo y del tejido productivo andaluz, a través de los acuerdos con la Agencia de Innovación y Desarrollo de Andalucía para la subvención y ayuda de sectores y empresas con dificultades financieras.</w:t>
      </w:r>
    </w:p>
    <w:p w14:paraId="45629C3D" w14:textId="77777777" w:rsidR="003754FE" w:rsidRDefault="003754FE" w:rsidP="003754FE">
      <w:pPr>
        <w:pStyle w:val="TextoNormal"/>
      </w:pPr>
    </w:p>
    <w:p w14:paraId="5D51D3D5" w14:textId="77777777" w:rsidR="003754FE" w:rsidRDefault="003754FE" w:rsidP="003754FE">
      <w:pPr>
        <w:pStyle w:val="TextoNormal"/>
      </w:pPr>
      <w:r>
        <w:t>• Esta dirección general instrumenta la materialización de las ayudas a través de un convenio con la Agencia de Innovación y Desarrollo de Andalucía y de su dotación anual específica de contribución a pólizas de prejubilaciones.</w:t>
      </w:r>
    </w:p>
    <w:p w14:paraId="3E3CE83E" w14:textId="77777777" w:rsidR="003754FE" w:rsidRDefault="003754FE" w:rsidP="003754FE">
      <w:pPr>
        <w:pStyle w:val="TextoNormal"/>
      </w:pPr>
    </w:p>
    <w:p w14:paraId="18DEEC9B" w14:textId="77777777" w:rsidR="003754FE" w:rsidRDefault="003754FE" w:rsidP="003754FE">
      <w:pPr>
        <w:pStyle w:val="TextoNormal"/>
      </w:pPr>
      <w:r>
        <w:t>• Continuar la línea de colaboración con IDEA en aplicación del concierto de ayudas para el mantenimiento del empleo y tejido productivo andaluz en vigor desde el año 2001.</w:t>
      </w:r>
    </w:p>
    <w:p w14:paraId="7C898B9A" w14:textId="77777777" w:rsidR="003754FE" w:rsidRDefault="003754FE" w:rsidP="003754FE">
      <w:pPr>
        <w:pStyle w:val="TextoNormal"/>
      </w:pPr>
    </w:p>
    <w:p w14:paraId="2ED08CAE" w14:textId="77777777" w:rsidR="003754FE" w:rsidRDefault="003754FE" w:rsidP="003754FE">
      <w:pPr>
        <w:pStyle w:val="TextoNormal"/>
      </w:pPr>
      <w:r>
        <w:t>•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14:paraId="6C7DA943" w14:textId="77777777" w:rsidR="003754FE" w:rsidRDefault="003754FE" w:rsidP="003754FE">
      <w:pPr>
        <w:pStyle w:val="TextoNormal"/>
      </w:pPr>
    </w:p>
    <w:p w14:paraId="0124446D" w14:textId="77777777" w:rsidR="003754FE" w:rsidRDefault="003754FE" w:rsidP="003754FE">
      <w:pPr>
        <w:pStyle w:val="TextoNormal"/>
      </w:pPr>
      <w:r>
        <w:t>• Mantenimiento del empleo y tejido productivo andaluz: cobertura de las necesidades comprometidas asumidas por expedientes de regulación de empleo, ayuda prejubilaciones, proyectos de viabilidad de pequeñas, medianas y grandes empresas e impulso a la consolidación económica en aquellas empresas con dificultades de mantenimiento del empleo”.</w:t>
      </w:r>
    </w:p>
    <w:p w14:paraId="2AF89B14" w14:textId="77777777" w:rsidR="003754FE" w:rsidRDefault="003754FE" w:rsidP="003754FE">
      <w:pPr>
        <w:pStyle w:val="TextoNormal"/>
      </w:pPr>
    </w:p>
    <w:p w14:paraId="410CBA0B" w14:textId="77777777" w:rsidR="003754FE" w:rsidRDefault="003754FE" w:rsidP="003754FE">
      <w:pPr>
        <w:pStyle w:val="TextoNormal"/>
      </w:pPr>
      <w:r>
        <w:lastRenderedPageBreak/>
        <w:t>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14:paraId="565E5C1C" w14:textId="77777777" w:rsidR="003754FE" w:rsidRDefault="003754FE" w:rsidP="003754FE">
      <w:pPr>
        <w:pStyle w:val="TextoNormal"/>
      </w:pPr>
    </w:p>
    <w:p w14:paraId="37BAE849" w14:textId="77777777" w:rsidR="003754FE" w:rsidRDefault="003754FE" w:rsidP="003754FE">
      <w:pPr>
        <w:pStyle w:val="TextoNormal"/>
      </w:pPr>
      <w:r>
        <w:t>El IFA/IDEA, como consecuencia tanto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14:paraId="50AC68A4" w14:textId="77777777" w:rsidR="003754FE" w:rsidRDefault="003754FE" w:rsidP="003754FE">
      <w:pPr>
        <w:pStyle w:val="TextoNormal"/>
      </w:pPr>
    </w:p>
    <w:p w14:paraId="4DA9461A" w14:textId="77777777" w:rsidR="003754FE" w:rsidRDefault="003754FE" w:rsidP="003754FE">
      <w:pPr>
        <w:pStyle w:val="TextoNormal"/>
      </w:pPr>
      <w:r>
        <w:t>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14:paraId="18F7BCE0" w14:textId="77777777" w:rsidR="003754FE" w:rsidRDefault="003754FE" w:rsidP="003754FE">
      <w:pPr>
        <w:pStyle w:val="TextoNormal"/>
      </w:pPr>
    </w:p>
    <w:p w14:paraId="3CD02064" w14:textId="77777777" w:rsidR="003754FE" w:rsidRDefault="003754FE" w:rsidP="003754FE">
      <w:pPr>
        <w:pStyle w:val="TextoNormal"/>
      </w:pPr>
      <w:r>
        <w:t>En el ejercicio 2009 se dejaron de suscribir convenios particulares entre la Dirección General de Trabajo y Seguridad Social y el IDEA, dictándose por el director general de Trabajo resoluciones concediendo las ayudas y ordenando su pago al director general de IDEA.</w:t>
      </w:r>
    </w:p>
    <w:p w14:paraId="5ADDD9BC" w14:textId="77777777" w:rsidR="003754FE" w:rsidRDefault="003754FE" w:rsidP="003754FE">
      <w:pPr>
        <w:pStyle w:val="TextoNormal"/>
      </w:pPr>
    </w:p>
    <w:p w14:paraId="57881410" w14:textId="77777777" w:rsidR="003754FE" w:rsidRDefault="003754FE" w:rsidP="003754FE">
      <w:pPr>
        <w:pStyle w:val="TextoNormal"/>
      </w:pPr>
      <w:r>
        <w:t>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14:paraId="5085A540" w14:textId="77777777" w:rsidR="003754FE" w:rsidRDefault="003754FE" w:rsidP="003754FE">
      <w:pPr>
        <w:pStyle w:val="TextoNormal"/>
      </w:pPr>
    </w:p>
    <w:p w14:paraId="06731F9B" w14:textId="77777777" w:rsidR="003754FE" w:rsidRDefault="003754FE" w:rsidP="003754FE">
      <w:pPr>
        <w:pStyle w:val="TextoNormal"/>
      </w:pPr>
      <w:r>
        <w:t>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y 16 de marzo de 2012, hasta su derogación por el Decreto ley de la Junta de Andalucía 4/2012, de 16 de octubre, de medidas extraordinarias y urgentes en materia de protección sociolaboral a extrabajadores y extrabajadoras andaluces afectados por procesos de reestructuración de empresas y sectores en crisis.</w:t>
      </w:r>
    </w:p>
    <w:p w14:paraId="7C057CAE" w14:textId="77777777" w:rsidR="003754FE" w:rsidRDefault="003754FE" w:rsidP="003754FE">
      <w:pPr>
        <w:pStyle w:val="TextoNormal"/>
      </w:pPr>
    </w:p>
    <w:p w14:paraId="15C71650" w14:textId="77777777" w:rsidR="003754FE" w:rsidRDefault="003754FE" w:rsidP="003754FE">
      <w:pPr>
        <w:pStyle w:val="TextoNormal"/>
      </w:pPr>
      <w:r>
        <w:lastRenderedPageBreak/>
        <w:t>En el citado decreto-ley se estableció que a estas ayudas sociolaborales no les era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14:paraId="1CC1CA8E" w14:textId="77777777" w:rsidR="003754FE" w:rsidRDefault="003754FE" w:rsidP="003754FE">
      <w:pPr>
        <w:pStyle w:val="TextoNormal"/>
      </w:pPr>
    </w:p>
    <w:p w14:paraId="06E48478" w14:textId="77777777" w:rsidR="003754FE" w:rsidRDefault="003754FE" w:rsidP="003754FE">
      <w:pPr>
        <w:pStyle w:val="TextoNormal"/>
      </w:pPr>
      <w:r>
        <w:t>e) En resumen, el sistema de otorgamiento de las ayudas sociolaborales y a empresas en crisis hasta el año 2010 fue el siguiente:</w:t>
      </w:r>
    </w:p>
    <w:p w14:paraId="1D8A812A" w14:textId="77777777" w:rsidR="003754FE" w:rsidRDefault="003754FE" w:rsidP="003754FE">
      <w:pPr>
        <w:pStyle w:val="TextoNormal"/>
      </w:pPr>
    </w:p>
    <w:p w14:paraId="71A8FB6B" w14:textId="77777777" w:rsidR="003754FE" w:rsidRDefault="003754FE" w:rsidP="003754FE">
      <w:pPr>
        <w:pStyle w:val="TextoNormal"/>
      </w:pPr>
      <w:r>
        <w:t>(i) En la década de los años 1990, estas ayudas se tramitaron como subvenciones excepcionales, siendo concedidas y pagadas por la Consejería de Empleo y Desarrollo Tecnológico.</w:t>
      </w:r>
    </w:p>
    <w:p w14:paraId="042DEDD9" w14:textId="77777777" w:rsidR="003754FE" w:rsidRDefault="003754FE" w:rsidP="003754FE">
      <w:pPr>
        <w:pStyle w:val="TextoNormal"/>
      </w:pPr>
    </w:p>
    <w:p w14:paraId="1D0D7810" w14:textId="77777777" w:rsidR="003754FE" w:rsidRDefault="003754FE" w:rsidP="003754FE">
      <w:pPr>
        <w:pStyle w:val="TextoNormal"/>
      </w:pPr>
      <w:r>
        <w:t>(ii)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14:paraId="762D58C9" w14:textId="77777777" w:rsidR="003754FE" w:rsidRDefault="003754FE" w:rsidP="003754FE">
      <w:pPr>
        <w:pStyle w:val="TextoNormal"/>
      </w:pPr>
    </w:p>
    <w:p w14:paraId="0908E5DB" w14:textId="77777777" w:rsidR="003754FE" w:rsidRDefault="003754FE" w:rsidP="003754FE">
      <w:pPr>
        <w:pStyle w:val="TextoNormal"/>
      </w:pPr>
      <w:r>
        <w:t xml:space="preserve">(iii) Al IFA/IDEA se le atribuyeron los fondos para el pago de las ayudas mediante transferencias de financiación. La utilización de estos créditos no estaba sometida a un control previo, sino a un control </w:t>
      </w:r>
      <w:r w:rsidRPr="003754FE">
        <w:rPr>
          <w:i/>
        </w:rPr>
        <w:t>ex post</w:t>
      </w:r>
      <w:r>
        <w:t>: el llamado “control financiero permanente”. Este control se limitaba a (1) comprobar la legalidad del pago; (2) examinar las cuentas anuales, y (3) analizar críticamente los programas asignados al instituto.</w:t>
      </w:r>
    </w:p>
    <w:p w14:paraId="402BAB66" w14:textId="77777777" w:rsidR="003754FE" w:rsidRDefault="003754FE" w:rsidP="003754FE">
      <w:pPr>
        <w:pStyle w:val="TextoNormal"/>
      </w:pPr>
    </w:p>
    <w:p w14:paraId="2C1C8F09" w14:textId="77777777" w:rsidR="003754FE" w:rsidRDefault="003754FE" w:rsidP="003754FE">
      <w:pPr>
        <w:pStyle w:val="TextoNormal"/>
      </w:pPr>
      <w:r>
        <w:t>(iv)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14:paraId="72E4DC30" w14:textId="77777777" w:rsidR="003754FE" w:rsidRDefault="003754FE" w:rsidP="003754FE">
      <w:pPr>
        <w:pStyle w:val="TextoNormal"/>
      </w:pPr>
    </w:p>
    <w:p w14:paraId="6E3041E8" w14:textId="77777777" w:rsidR="003754FE" w:rsidRDefault="003754FE" w:rsidP="003754FE">
      <w:pPr>
        <w:pStyle w:val="TextoNormal"/>
      </w:pPr>
      <w:r>
        <w:t>El seguimiento del referido sistema de otorgamiento de las ayudas sociolaborales y a empresas en crisis hasta el año 2010 permitió, según las resoluciones impugnadas:</w:t>
      </w:r>
    </w:p>
    <w:p w14:paraId="3291C4E7" w14:textId="77777777" w:rsidR="003754FE" w:rsidRDefault="003754FE" w:rsidP="003754FE">
      <w:pPr>
        <w:pStyle w:val="TextoNormal"/>
      </w:pPr>
    </w:p>
    <w:p w14:paraId="293868CC" w14:textId="77777777" w:rsidR="003754FE" w:rsidRDefault="003754FE" w:rsidP="003754FE">
      <w:pPr>
        <w:pStyle w:val="TextoNormal"/>
      </w:pPr>
      <w:r>
        <w:t>(i)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14:paraId="039214FC" w14:textId="77777777" w:rsidR="003754FE" w:rsidRDefault="003754FE" w:rsidP="003754FE">
      <w:pPr>
        <w:pStyle w:val="TextoNormal"/>
      </w:pPr>
    </w:p>
    <w:p w14:paraId="346727CE" w14:textId="77777777" w:rsidR="003754FE" w:rsidRDefault="003754FE" w:rsidP="003754FE">
      <w:pPr>
        <w:pStyle w:val="TextoNormal"/>
      </w:pPr>
      <w:r>
        <w:t xml:space="preserve">(ii) que se concediesen ayudas a empresas en crisis sin realizar convocatorias que garantizasen la publicidad y conocimiento general, sin el obligatorio registro en la base de datos de subvenciones de la Junta de Andalucía y sin que una gran parte de esas ayudas dispusiera </w:t>
      </w:r>
      <w:r>
        <w:lastRenderedPageBreak/>
        <w:t>de un objeto concreto, lo que facilitó que las ayudas fueran concedidas para fines muy diversos, entre otros el pago de nóminas, minutas por asesoramientos jurídicos y avales y</w:t>
      </w:r>
    </w:p>
    <w:p w14:paraId="5D9FAFD4" w14:textId="77777777" w:rsidR="003754FE" w:rsidRDefault="003754FE" w:rsidP="003754FE">
      <w:pPr>
        <w:pStyle w:val="TextoNormal"/>
      </w:pPr>
    </w:p>
    <w:p w14:paraId="12F15EA5" w14:textId="77777777" w:rsidR="003754FE" w:rsidRDefault="003754FE" w:rsidP="003754FE">
      <w:pPr>
        <w:pStyle w:val="TextoNormal"/>
      </w:pPr>
      <w:r>
        <w:t>(iii) que se destinasen fondos del programa 31L a fines distintos y ajenos a los recogidos para este en los correspondientes presupuestos.</w:t>
      </w:r>
    </w:p>
    <w:p w14:paraId="3BF9E874" w14:textId="77777777" w:rsidR="003754FE" w:rsidRDefault="003754FE" w:rsidP="003754FE">
      <w:pPr>
        <w:pStyle w:val="TextoNormal"/>
      </w:pPr>
    </w:p>
    <w:p w14:paraId="7827EBC9" w14:textId="77777777" w:rsidR="003754FE" w:rsidRDefault="003754FE" w:rsidP="003754FE">
      <w:pPr>
        <w:pStyle w:val="TextoNormal"/>
      </w:pPr>
      <w:r>
        <w:t>2.2</w:t>
      </w:r>
      <w:r w:rsidRPr="003754FE">
        <w:rPr>
          <w:i/>
        </w:rPr>
        <w:t>. La “pieza específica” y las demás piezas del proceso “ER</w:t>
      </w:r>
      <w:r>
        <w:t>E”</w:t>
      </w:r>
    </w:p>
    <w:p w14:paraId="040DCF98" w14:textId="77777777" w:rsidR="003754FE" w:rsidRDefault="003754FE" w:rsidP="003754FE">
      <w:pPr>
        <w:pStyle w:val="TextoNormal"/>
      </w:pPr>
    </w:p>
    <w:p w14:paraId="3464F25F" w14:textId="77777777" w:rsidR="003754FE" w:rsidRDefault="003754FE" w:rsidP="003754FE">
      <w:pPr>
        <w:pStyle w:val="TextoNormal"/>
      </w:pPr>
      <w:r>
        <w:t>La causa matriz de los “ERE” se desgajó en una primera pieza denominada “pieza específica” y, en lo que aquí interesa, en un número no inferior a otras 200 piezas, que tienen por objeto las ayudas individuales concedidas a empresas o determinados grupos de empresas.</w:t>
      </w:r>
    </w:p>
    <w:p w14:paraId="2F6C6207" w14:textId="77777777" w:rsidR="003754FE" w:rsidRDefault="003754FE" w:rsidP="003754FE">
      <w:pPr>
        <w:pStyle w:val="TextoNormal"/>
      </w:pPr>
    </w:p>
    <w:p w14:paraId="07071990" w14:textId="77777777" w:rsidR="003754FE" w:rsidRDefault="003754FE" w:rsidP="003754FE">
      <w:pPr>
        <w:pStyle w:val="TextoNormal"/>
      </w:pPr>
      <w:r>
        <w:t>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14:paraId="740B7BC1" w14:textId="77777777" w:rsidR="003754FE" w:rsidRDefault="003754FE" w:rsidP="003754FE">
      <w:pPr>
        <w:pStyle w:val="TextoNormal"/>
      </w:pPr>
    </w:p>
    <w:p w14:paraId="5AFDC984" w14:textId="77777777" w:rsidR="003754FE" w:rsidRDefault="003754FE" w:rsidP="003754FE">
      <w:pPr>
        <w:pStyle w:val="TextoNormal"/>
      </w:pPr>
      <w:r>
        <w:t>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 págs. 122-133).</w:t>
      </w:r>
    </w:p>
    <w:p w14:paraId="13AD6A42" w14:textId="77777777" w:rsidR="003754FE" w:rsidRDefault="003754FE" w:rsidP="003754FE">
      <w:pPr>
        <w:pStyle w:val="TextoNormal"/>
      </w:pPr>
    </w:p>
    <w:p w14:paraId="0427B9D4" w14:textId="77777777" w:rsidR="003754FE" w:rsidRDefault="003754FE" w:rsidP="003754FE">
      <w:pPr>
        <w:pStyle w:val="TextoNormal"/>
      </w:pPr>
      <w:r>
        <w:t>2.3</w:t>
      </w:r>
      <w:r w:rsidRPr="003754FE">
        <w:rPr>
          <w:i/>
        </w:rPr>
        <w:t>. Hechos enjuiciados en la “pieza específic</w:t>
      </w:r>
      <w:r>
        <w:t>a”</w:t>
      </w:r>
    </w:p>
    <w:p w14:paraId="31C86D5A" w14:textId="77777777" w:rsidR="003754FE" w:rsidRDefault="003754FE" w:rsidP="003754FE">
      <w:pPr>
        <w:pStyle w:val="TextoNormal"/>
      </w:pPr>
    </w:p>
    <w:p w14:paraId="3CCEF4A5" w14:textId="77777777" w:rsidR="003754FE" w:rsidRDefault="003754FE" w:rsidP="003754FE">
      <w:pPr>
        <w:pStyle w:val="TextoNormal"/>
      </w:pPr>
      <w:r>
        <w:lastRenderedPageBreak/>
        <w:t>Los hechos enjuiciados en la “pieza específica” se delimitan material y cronológicamente en el fundamento de Derecho 3.4 (págs. 135-137) de la sentencia del Tribunal Supremo en estos términos:</w:t>
      </w:r>
    </w:p>
    <w:p w14:paraId="207E42BE" w14:textId="77777777" w:rsidR="003754FE" w:rsidRDefault="003754FE" w:rsidP="003754FE">
      <w:pPr>
        <w:pStyle w:val="TextoNormal"/>
      </w:pPr>
    </w:p>
    <w:p w14:paraId="540FB34A" w14:textId="77777777" w:rsidR="003754FE" w:rsidRDefault="003754FE" w:rsidP="003754FE">
      <w:pPr>
        <w:pStyle w:val="TextoNormal"/>
      </w:pPr>
      <w:r>
        <w:t>“(i) Temporalmente los hechos enjuiciados en esta causa son los acontecidos entre la elaboración de la primera modificación presupuestaria, cuya aprobación data del 18 de abril de 2000 y la aprobación de la última modificación presupuestaria que se produjo el 1 de diciembre de 2009, por lo que cualquier hecho ocurrido fuera de esos márgenes temporales no ha sido objeto de enjuiciamiento en este proceso.</w:t>
      </w:r>
    </w:p>
    <w:p w14:paraId="25E0FB47" w14:textId="77777777" w:rsidR="003754FE" w:rsidRDefault="003754FE" w:rsidP="003754FE">
      <w:pPr>
        <w:pStyle w:val="TextoNormal"/>
      </w:pPr>
    </w:p>
    <w:p w14:paraId="06784AD8" w14:textId="77777777" w:rsidR="003754FE" w:rsidRDefault="003754FE" w:rsidP="003754FE">
      <w:pPr>
        <w:pStyle w:val="TextoNormal"/>
      </w:pPr>
      <w:r>
        <w:t>(ii) En relación con el delito de prevaricación las personas enjuiciadas y que han resultado condenadas lo han sido por adoptar las siguientes resoluciones:</w:t>
      </w:r>
    </w:p>
    <w:p w14:paraId="44C5959A" w14:textId="77777777" w:rsidR="003754FE" w:rsidRDefault="003754FE" w:rsidP="003754FE">
      <w:pPr>
        <w:pStyle w:val="TextoNormal"/>
      </w:pPr>
    </w:p>
    <w:p w14:paraId="593660BB" w14:textId="77777777" w:rsidR="003754FE" w:rsidRDefault="003754FE" w:rsidP="003754FE">
      <w:pPr>
        <w:pStyle w:val="TextoNormal"/>
      </w:pPr>
      <w:r>
        <w:t>-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14:paraId="5E29F882" w14:textId="77777777" w:rsidR="003754FE" w:rsidRDefault="003754FE" w:rsidP="003754FE">
      <w:pPr>
        <w:pStyle w:val="TextoNormal"/>
      </w:pPr>
    </w:p>
    <w:p w14:paraId="5540EC4E" w14:textId="77777777" w:rsidR="003754FE" w:rsidRDefault="003754FE" w:rsidP="003754FE">
      <w:pPr>
        <w:pStyle w:val="TextoNormal"/>
      </w:pPr>
      <w:r>
        <w:t>-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14:paraId="0B8668D0" w14:textId="77777777" w:rsidR="003754FE" w:rsidRDefault="003754FE" w:rsidP="003754FE">
      <w:pPr>
        <w:pStyle w:val="TextoNormal"/>
      </w:pPr>
    </w:p>
    <w:p w14:paraId="7489ACF3" w14:textId="77777777" w:rsidR="003754FE" w:rsidRDefault="003754FE" w:rsidP="003754FE">
      <w:pPr>
        <w:pStyle w:val="TextoNormal"/>
      </w:pPr>
      <w:r>
        <w:t>-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14:paraId="47508C1F" w14:textId="77777777" w:rsidR="003754FE" w:rsidRDefault="003754FE" w:rsidP="003754FE">
      <w:pPr>
        <w:pStyle w:val="TextoNormal"/>
      </w:pPr>
    </w:p>
    <w:p w14:paraId="48DFEF19" w14:textId="77777777" w:rsidR="003754FE" w:rsidRDefault="003754FE" w:rsidP="003754FE">
      <w:pPr>
        <w:pStyle w:val="TextoNormal"/>
      </w:pPr>
      <w:r>
        <w:t>-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14:paraId="40F66676" w14:textId="77777777" w:rsidR="003754FE" w:rsidRDefault="003754FE" w:rsidP="003754FE">
      <w:pPr>
        <w:pStyle w:val="TextoNormal"/>
      </w:pPr>
    </w:p>
    <w:p w14:paraId="25DFE3BD" w14:textId="77777777" w:rsidR="003754FE" w:rsidRDefault="003754FE" w:rsidP="003754FE">
      <w:pPr>
        <w:pStyle w:val="TextoNormal"/>
      </w:pPr>
      <w:r>
        <w:t>- Fraccionamiento de las cuantías de las ayudas a partir del 27 de mayo de 2003 en función de las cantidades asignadas a cada trabajador y no de las cantidades asignadas a las empresas, todo ello para sustraer su conocimiento del consejo rector del IFA.</w:t>
      </w:r>
    </w:p>
    <w:p w14:paraId="7759CC90" w14:textId="77777777" w:rsidR="003754FE" w:rsidRDefault="003754FE" w:rsidP="003754FE">
      <w:pPr>
        <w:pStyle w:val="TextoNormal"/>
      </w:pPr>
    </w:p>
    <w:p w14:paraId="73BE97A9" w14:textId="77777777" w:rsidR="003754FE" w:rsidRDefault="003754FE" w:rsidP="003754FE">
      <w:pPr>
        <w:pStyle w:val="TextoNormal"/>
      </w:pPr>
      <w:r>
        <w:t>-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14:paraId="6681A0E9" w14:textId="77777777" w:rsidR="003754FE" w:rsidRDefault="003754FE" w:rsidP="003754FE">
      <w:pPr>
        <w:pStyle w:val="TextoNormal"/>
      </w:pPr>
    </w:p>
    <w:p w14:paraId="26B97E32" w14:textId="77777777" w:rsidR="003754FE" w:rsidRDefault="003754FE" w:rsidP="003754FE">
      <w:pPr>
        <w:pStyle w:val="TextoNormal"/>
      </w:pPr>
      <w:r>
        <w:t>- Concesión de las ayudas sociolaborales.</w:t>
      </w:r>
    </w:p>
    <w:p w14:paraId="508730EA" w14:textId="77777777" w:rsidR="003754FE" w:rsidRDefault="003754FE" w:rsidP="003754FE">
      <w:pPr>
        <w:pStyle w:val="TextoNormal"/>
      </w:pPr>
    </w:p>
    <w:p w14:paraId="727F60CA" w14:textId="77777777" w:rsidR="003754FE" w:rsidRDefault="003754FE" w:rsidP="003754FE">
      <w:pPr>
        <w:pStyle w:val="TextoNormal"/>
      </w:pPr>
      <w:r>
        <w:lastRenderedPageBreak/>
        <w:t>(iii) En relación con el delito de malversación de caudales públicos las personas enjuiciadas en este proceso y condenadas por este delito lo han sido bien por su participación directa en la disposición de fondos, bien por haber permitido esa disposición.</w:t>
      </w:r>
    </w:p>
    <w:p w14:paraId="72A8E384" w14:textId="77777777" w:rsidR="003754FE" w:rsidRDefault="003754FE" w:rsidP="003754FE">
      <w:pPr>
        <w:pStyle w:val="TextoNormal"/>
      </w:pPr>
    </w:p>
    <w:p w14:paraId="692C62E1" w14:textId="77777777" w:rsidR="003754FE" w:rsidRDefault="003754FE" w:rsidP="003754FE">
      <w:pPr>
        <w:pStyle w:val="TextoNormal"/>
      </w:pPr>
      <w:r>
        <w:t>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14:paraId="5C98497C" w14:textId="77777777" w:rsidR="003754FE" w:rsidRDefault="003754FE" w:rsidP="003754FE">
      <w:pPr>
        <w:pStyle w:val="TextoNormal"/>
      </w:pPr>
    </w:p>
    <w:p w14:paraId="2E42B84E" w14:textId="77777777" w:rsidR="003754FE" w:rsidRDefault="003754FE" w:rsidP="003754FE">
      <w:pPr>
        <w:pStyle w:val="TextoNormal"/>
      </w:pPr>
      <w:r>
        <w:t>Entendemos que la condena por malversación incluye respecto de cada condenado a todas las disposiciones de fondos públicos realizadas durante el tiempo en que cada uno de ellos ejerció su cargo.</w:t>
      </w:r>
    </w:p>
    <w:p w14:paraId="718F22B8" w14:textId="77777777" w:rsidR="003754FE" w:rsidRDefault="003754FE" w:rsidP="003754FE">
      <w:pPr>
        <w:pStyle w:val="TextoNormal"/>
      </w:pPr>
    </w:p>
    <w:p w14:paraId="58DCC885" w14:textId="77777777" w:rsidR="003754FE" w:rsidRDefault="003754FE" w:rsidP="003754FE">
      <w:pPr>
        <w:pStyle w:val="TextoNormal"/>
      </w:pPr>
      <w:r>
        <w:t>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vigésimo 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14:paraId="5507CE06" w14:textId="77777777" w:rsidR="003754FE" w:rsidRDefault="003754FE" w:rsidP="003754FE">
      <w:pPr>
        <w:pStyle w:val="TextoNormal"/>
      </w:pPr>
    </w:p>
    <w:p w14:paraId="48B6B815" w14:textId="77777777" w:rsidR="003754FE" w:rsidRDefault="003754FE" w:rsidP="003754FE">
      <w:pPr>
        <w:pStyle w:val="TextoNormal"/>
      </w:pPr>
      <w:r>
        <w:t>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14:paraId="13CF3703" w14:textId="77777777" w:rsidR="003754FE" w:rsidRDefault="003754FE" w:rsidP="003754FE">
      <w:pPr>
        <w:pStyle w:val="TextoNormal"/>
      </w:pPr>
    </w:p>
    <w:p w14:paraId="2FD5979A" w14:textId="77777777" w:rsidR="003754FE" w:rsidRDefault="003754FE" w:rsidP="003754FE">
      <w:pPr>
        <w:pStyle w:val="TextoNormal"/>
      </w:pPr>
      <w:r>
        <w:t>Este último subapartado C) resulta del siguiente tenor:</w:t>
      </w:r>
    </w:p>
    <w:p w14:paraId="33D6E13A" w14:textId="77777777" w:rsidR="003754FE" w:rsidRDefault="003754FE" w:rsidP="003754FE">
      <w:pPr>
        <w:pStyle w:val="TextoNormal"/>
      </w:pPr>
    </w:p>
    <w:p w14:paraId="5BC58224" w14:textId="77777777" w:rsidR="003754FE" w:rsidRDefault="003754FE" w:rsidP="003754FE">
      <w:pPr>
        <w:pStyle w:val="TextoNormal"/>
      </w:pPr>
      <w:r>
        <w:t>“C) Los fondos del programa 31L se emplearon también en fines distintos y ajenos a los recogidos en las fichas presupuestarias del mismo, así podemos reseñar que se abonó:</w:t>
      </w:r>
    </w:p>
    <w:p w14:paraId="070B3344" w14:textId="77777777" w:rsidR="003754FE" w:rsidRDefault="003754FE" w:rsidP="003754FE">
      <w:pPr>
        <w:pStyle w:val="TextoNormal"/>
      </w:pPr>
    </w:p>
    <w:p w14:paraId="5980FF71" w14:textId="77777777" w:rsidR="003754FE" w:rsidRDefault="003754FE" w:rsidP="003754FE">
      <w:pPr>
        <w:pStyle w:val="TextoNormal"/>
      </w:pPr>
      <w:r>
        <w:t>• Facturas emitidas por las mercantiles Tapsa y Cicm, derivadas de varios contratos de campañas de comunicación sobre fomento de empleo y divulgación del SAE [Servicio Andaluz de Empleo], por un total de 3 386 017,00 €, que fueron abonadas por el Instituto, en el periodo 15 de julio de 2003 a 2 de marzo de 2004.</w:t>
      </w:r>
    </w:p>
    <w:p w14:paraId="26EDBC77" w14:textId="77777777" w:rsidR="003754FE" w:rsidRDefault="003754FE" w:rsidP="003754FE">
      <w:pPr>
        <w:pStyle w:val="TextoNormal"/>
      </w:pPr>
    </w:p>
    <w:p w14:paraId="2E1600A1" w14:textId="77777777" w:rsidR="003754FE" w:rsidRDefault="003754FE" w:rsidP="003754FE">
      <w:pPr>
        <w:pStyle w:val="TextoNormal"/>
      </w:pPr>
      <w:r>
        <w:lastRenderedPageBreak/>
        <w:t>•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14:paraId="615A80A7" w14:textId="77777777" w:rsidR="003754FE" w:rsidRDefault="003754FE" w:rsidP="003754FE">
      <w:pPr>
        <w:pStyle w:val="TextoNormal"/>
      </w:pPr>
    </w:p>
    <w:p w14:paraId="05B068D4" w14:textId="77777777" w:rsidR="003754FE" w:rsidRDefault="003754FE" w:rsidP="003754FE">
      <w:pPr>
        <w:pStyle w:val="TextoNormal"/>
      </w:pPr>
      <w:r>
        <w:t>•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w:t>
      </w:r>
      <w:r w:rsidRPr="003754FE">
        <w:rPr>
          <w:i/>
        </w:rPr>
        <w:t>s on li</w:t>
      </w:r>
      <w:r>
        <w:t>ne.</w:t>
      </w:r>
    </w:p>
    <w:p w14:paraId="633832B9" w14:textId="77777777" w:rsidR="003754FE" w:rsidRDefault="003754FE" w:rsidP="003754FE">
      <w:pPr>
        <w:pStyle w:val="TextoNormal"/>
      </w:pPr>
    </w:p>
    <w:p w14:paraId="097530DB" w14:textId="77777777" w:rsidR="003754FE" w:rsidRDefault="003754FE" w:rsidP="003754FE">
      <w:pPr>
        <w:pStyle w:val="TextoNormal"/>
      </w:pPr>
      <w:r>
        <w:t>•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14:paraId="00408F7E" w14:textId="77777777" w:rsidR="003754FE" w:rsidRDefault="003754FE" w:rsidP="003754FE">
      <w:pPr>
        <w:pStyle w:val="TextoNormal"/>
      </w:pPr>
    </w:p>
    <w:p w14:paraId="7D647153" w14:textId="77777777" w:rsidR="003754FE" w:rsidRDefault="003754FE" w:rsidP="003754FE">
      <w:pPr>
        <w:pStyle w:val="TextoNormal"/>
      </w:pPr>
      <w:r>
        <w:t>•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14:paraId="24EE560C" w14:textId="77777777" w:rsidR="003754FE" w:rsidRDefault="003754FE" w:rsidP="003754FE">
      <w:pPr>
        <w:pStyle w:val="TextoNormal"/>
      </w:pPr>
    </w:p>
    <w:p w14:paraId="297D5C02" w14:textId="77777777" w:rsidR="003754FE" w:rsidRDefault="003754FE" w:rsidP="003754FE">
      <w:pPr>
        <w:pStyle w:val="TextoNormal"/>
      </w:pPr>
      <w:r>
        <w:t>•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14:paraId="2479B249" w14:textId="77777777" w:rsidR="003754FE" w:rsidRDefault="003754FE" w:rsidP="003754FE">
      <w:pPr>
        <w:pStyle w:val="TextoNormal"/>
      </w:pPr>
    </w:p>
    <w:p w14:paraId="400BB4A3" w14:textId="77777777" w:rsidR="003754FE" w:rsidRDefault="003754FE" w:rsidP="003754FE">
      <w:pPr>
        <w:pStyle w:val="TextoNormal"/>
      </w:pPr>
      <w:r>
        <w:t>• En los ejercicios 2004, 2005, 2006, 2009 y 2010, se destinaron 1 192 000 € para el pago a la Fundación San Telmo, del ‘Curso de alta dirección de instituciones sociales’, para un total de cien personas”.</w:t>
      </w:r>
    </w:p>
    <w:p w14:paraId="361EAD74" w14:textId="77777777" w:rsidR="003754FE" w:rsidRDefault="003754FE" w:rsidP="003754FE">
      <w:pPr>
        <w:pStyle w:val="TextoNormal"/>
      </w:pPr>
    </w:p>
    <w:p w14:paraId="17B7654A" w14:textId="77777777" w:rsidR="003754FE" w:rsidRDefault="003754FE" w:rsidP="003754FE">
      <w:pPr>
        <w:pStyle w:val="TextoNormal"/>
      </w:pPr>
      <w:r>
        <w:t>2.4</w:t>
      </w:r>
      <w:r w:rsidRPr="003754FE">
        <w:rPr>
          <w:i/>
        </w:rPr>
        <w:t>. Hechos por los que ha sido condenada la demandante de ampa</w:t>
      </w:r>
      <w:r>
        <w:t>ro</w:t>
      </w:r>
    </w:p>
    <w:p w14:paraId="599AF1FB" w14:textId="77777777" w:rsidR="003754FE" w:rsidRDefault="003754FE" w:rsidP="003754FE">
      <w:pPr>
        <w:pStyle w:val="TextoNormal"/>
      </w:pPr>
    </w:p>
    <w:p w14:paraId="0AC047E7" w14:textId="77777777" w:rsidR="003754FE" w:rsidRDefault="003754FE" w:rsidP="003754FE">
      <w:pPr>
        <w:pStyle w:val="TextoNormal"/>
      </w:pPr>
      <w:r>
        <w:t>Los hechos por los que ha sido condenada doña Carmen Martínez Aguayo están descritos en los hechos probados y en los fundamentos de Derecho 38 y 49 de la sentencia de la Audiencia Provincial de Sevilla.</w:t>
      </w:r>
    </w:p>
    <w:p w14:paraId="606D1816" w14:textId="77777777" w:rsidR="003754FE" w:rsidRDefault="003754FE" w:rsidP="003754FE">
      <w:pPr>
        <w:pStyle w:val="TextoNormal"/>
      </w:pPr>
    </w:p>
    <w:p w14:paraId="07EEC7DE" w14:textId="77777777" w:rsidR="003754FE" w:rsidRDefault="003754FE" w:rsidP="003754FE">
      <w:pPr>
        <w:pStyle w:val="TextoNormal"/>
      </w:pPr>
      <w:r>
        <w:t xml:space="preserve">A) Doña Carmen Martínez Aguayo ocupó el cargo de viceconsejera de Economía y Hacienda entre el 26 de abril de 2004 y el 24 de abril de 2009. En el ejercicio de dicho cargo, la recurrente tenía competencias para la tramitación de los anteproyectos de leyes de presupuestos y formaba parte de la comisión general de viceconsejeros (órgano encargado de </w:t>
      </w:r>
      <w:r>
        <w:lastRenderedPageBreak/>
        <w:t>elevar dichos anteproyectos al Consejo de Gobierno). La recurrente de amparo ha sido condenada, en relación con el ejercicio de estas competencias, por los siguientes hechos:</w:t>
      </w:r>
    </w:p>
    <w:p w14:paraId="4C27B233" w14:textId="77777777" w:rsidR="003754FE" w:rsidRDefault="003754FE" w:rsidP="003754FE">
      <w:pPr>
        <w:pStyle w:val="TextoNormal"/>
      </w:pPr>
    </w:p>
    <w:p w14:paraId="11FB5B55" w14:textId="77777777" w:rsidR="003754FE" w:rsidRDefault="003754FE" w:rsidP="003754FE">
      <w:pPr>
        <w:pStyle w:val="TextoNormal"/>
      </w:pPr>
      <w:r>
        <w:t>a) Participar en la elaboración y elevación al Consejo de Gobierno de los anteproyectos de presupuestos para los ejercicios 2005 a 2009, manteniendo el proceder que se había seguido en los ejercicios precedentes pese a conocer que generaba graves incumplimientos normativos en la gestión presupuestaria de las ayudas sociolaborales y a empresas en crisis, fundamentalmente, según la sentencia, los siguientes: el envío de fondos al IFA/IDEA para el gasto público de subvenciones excepcionales; la utilización del IFA/IDEA como entidad pública colaboradora para el pago de subvenciones excepcionales, la omisión de la fiscalización previa de la intervención delegada de la Consejería de Empleo; la omisión absoluta en la concesión de las ayudas del procedimiento establecido en la Ley general de hacienda pública de la Comunidad Autónoma de Andalucía o la asunción de compromisos de pago que superaban los límites de los créditos presupuestariamente aprobados (en contravención de lo dispuesto en el art. 38.2 de la Ley de hacienda pública de Andalucía).</w:t>
      </w:r>
    </w:p>
    <w:p w14:paraId="4FEED2D1" w14:textId="77777777" w:rsidR="003754FE" w:rsidRDefault="003754FE" w:rsidP="003754FE">
      <w:pPr>
        <w:pStyle w:val="TextoNormal"/>
      </w:pPr>
    </w:p>
    <w:p w14:paraId="5107C0F9" w14:textId="77777777" w:rsidR="003754FE" w:rsidRDefault="003754FE" w:rsidP="003754FE">
      <w:pPr>
        <w:pStyle w:val="TextoNormal"/>
      </w:pPr>
      <w:r>
        <w:t>b) Participar, pese a tener conocimiento de los incumplimientos normativos ya aludidos, en la tramitación y elevación al Consejo de Gobierno de las siguientes modificaciones presupuestarias: la de 9 de diciembre de 2004, en la que se incrementó en un importe de 2 994 876 € el programa 32H, “Servicio Andaluz de Empleo”; la de 7 de diciembre de 2005, en la que se incrementó en 799 895,97 € la aplicación presupuestaria 440.51 y 31L, dando de baja las aplicaciones 480.01, 480.03 y 480.13 del programa 31L; la de 7 de noviembre de 2006, en la que se incrementó en 9 300 000 € la aplicación presupuestaria 440.51.31L, dando de baja las aplicaciones del programa 32A; la de 27 de noviembre de 2007, mediante la cual se incrementó en 7 448 503,44 € la aplicación presupuestaria 440.51.31L dando de baja otras aplicaciones; y la de 22 de diciembre de 2008, mediante la cual se incrementó en 1 253 853,89 € y 6 011 836,20 € las aplicaciones presupuestarias 440.51.31L y 740.51.31L dando de baja otras aplicaciones del programa 32H, y se incrementó en 8 000 000 € la aplicación 740.18.3 1L, mediante la generación de crédito (si bien los hechos probados de la sentencia de la Audiencia Provincial indican expresamente que esta última modificación, al tener carácter finalista y estar dotada de fondos procedentes de la administración central, sí fue objeto de fiscalización por la intervención delegada de la Consejería de Empleo).</w:t>
      </w:r>
    </w:p>
    <w:p w14:paraId="05C51E66" w14:textId="77777777" w:rsidR="003754FE" w:rsidRDefault="003754FE" w:rsidP="003754FE">
      <w:pPr>
        <w:pStyle w:val="TextoNormal"/>
      </w:pPr>
    </w:p>
    <w:p w14:paraId="2646CB11" w14:textId="77777777" w:rsidR="003754FE" w:rsidRDefault="003754FE" w:rsidP="003754FE">
      <w:pPr>
        <w:pStyle w:val="TextoNormal"/>
      </w:pPr>
      <w:r>
        <w:t>B) Doña Carmen Martínez Aguayo ocupó también el cargo de consejera de Economía y Hacienda desde el 23 de abril de 2009 hasta el 7 de septiembre de 2013. Los hechos declarados probados en la sentencia de instancia consignan que, estando la recurrente en ejercicio de dicho cargo, fue aprobada por el nuevo viceconsejero de Economía y Hacienda, el 1 de diciembre de 2009 y por delegación de la recurrente, una modificación presupuestaria por importe de 300 000 €, mediante la cual se incrementaba la aplicación presupuestaria 440.51 31L “Transferencias de financiación agencia IDEA”.</w:t>
      </w:r>
    </w:p>
    <w:p w14:paraId="7A27B6B5" w14:textId="77777777" w:rsidR="003754FE" w:rsidRDefault="003754FE" w:rsidP="003754FE">
      <w:pPr>
        <w:pStyle w:val="TextoNormal"/>
      </w:pPr>
    </w:p>
    <w:p w14:paraId="6FCF4D55" w14:textId="387308CF" w:rsidR="003754FE" w:rsidRDefault="003754FE" w:rsidP="003754FE">
      <w:pPr>
        <w:pStyle w:val="TextoNormal"/>
      </w:pPr>
      <w:r>
        <w:t xml:space="preserve">C) Las anteriores actuaciones de la recurrente de amparo, unidas a las realizadas por otros condenados, permitieron que, en los referidos ejercicios (más ampliamente, </w:t>
      </w:r>
      <w:r w:rsidRPr="003754FE">
        <w:rPr>
          <w:i/>
        </w:rPr>
        <w:t>vid. supra</w:t>
      </w:r>
      <w:r>
        <w:t xml:space="preserve"> FJ 2.1 </w:t>
      </w:r>
      <w:r w:rsidRPr="003754FE">
        <w:rPr>
          <w:i/>
        </w:rPr>
        <w:t>in fine</w:t>
      </w:r>
      <w:r>
        <w:t xml:space="preserve">): (i) se percibieran rentas de pólizas por personas que nunca habían pertenecido al colectivo afectado al que se destinaban las ayudas sociolaborales o siguieran percibiéndolas quienes ya se habían incorporado al mercado laboral; (ii) se otorgaran las ayudas a empresas en crisis para fines muy diversos, entre otros el pago de nóminas, minutas por </w:t>
      </w:r>
      <w:r>
        <w:lastRenderedPageBreak/>
        <w:t>asesoramientos jurídicos y avales; y (iii) se destinasen fondos del programa 31L a fines distintos y ajenos a los recogidos para este en los correspondientes presupuestos.</w:t>
      </w:r>
    </w:p>
    <w:p w14:paraId="340C9F69" w14:textId="77777777" w:rsidR="003754FE" w:rsidRDefault="003754FE" w:rsidP="003754FE">
      <w:pPr>
        <w:pStyle w:val="TextoNormal"/>
      </w:pPr>
    </w:p>
    <w:p w14:paraId="37B64B83" w14:textId="77777777" w:rsidR="003754FE" w:rsidRDefault="003754FE" w:rsidP="003754FE">
      <w:pPr>
        <w:pStyle w:val="TextoNormal"/>
      </w:pPr>
      <w:r w:rsidRPr="003754FE">
        <w:rPr>
          <w:rStyle w:val="NumeroAFNegritaCaracter"/>
        </w:rPr>
        <w:t>3</w:t>
      </w:r>
      <w:r>
        <w:t xml:space="preserve">. </w:t>
      </w:r>
      <w:r w:rsidRPr="003754FE">
        <w:rPr>
          <w:i/>
        </w:rPr>
        <w:t>Doctrina constitucional sobre el derecho a la legalidad penal (art. 25.1 CE)</w:t>
      </w:r>
    </w:p>
    <w:p w14:paraId="0CB52D4A" w14:textId="77777777" w:rsidR="003754FE" w:rsidRDefault="003754FE" w:rsidP="003754FE">
      <w:pPr>
        <w:pStyle w:val="TextoNormal"/>
      </w:pPr>
    </w:p>
    <w:p w14:paraId="579212DE" w14:textId="77777777" w:rsidR="003754FE" w:rsidRDefault="003754FE" w:rsidP="003754FE">
      <w:pPr>
        <w:pStyle w:val="TextoNormal"/>
      </w:pPr>
      <w:r>
        <w:t>El enjuiciamiento de la vulneración del art. 25.1 CE exige tener presente la doctrina de este tribunal sobre el derecho a la legalidad penal que consagra, expuesta recientemente, por ejemplo, en las SSTC 14/2021, de 28 de enero, FJ 2; 25/2022, de 23 de febrero, FJ 7.2; 47/2022, de 24 de marzo, FJ 8.2.1; 54/2023, de 22 de mayo, FJ 3, y 8/2024, de 16 de enero, FJ 6, haciendo hincapié en la prohibición de interpretaciones y aplicaciones irrazonables de las normas penales.</w:t>
      </w:r>
    </w:p>
    <w:p w14:paraId="5A00F893" w14:textId="77777777" w:rsidR="003754FE" w:rsidRDefault="003754FE" w:rsidP="003754FE">
      <w:pPr>
        <w:pStyle w:val="TextoNormal"/>
      </w:pPr>
    </w:p>
    <w:p w14:paraId="74AA322C" w14:textId="77777777" w:rsidR="003754FE" w:rsidRDefault="003754FE" w:rsidP="003754FE">
      <w:pPr>
        <w:pStyle w:val="TextoNormal"/>
      </w:pPr>
      <w:r>
        <w:t>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(SSTC 137/1997, de 21 de julio, FJ 6; 151/1997, de 29 de septiembre, FJ 3; 232/1997, de 16 de diciembre, FJ 2, y 162/1999, de 27 de septiembre, FJ 5).</w:t>
      </w:r>
    </w:p>
    <w:p w14:paraId="6411CE03" w14:textId="77777777" w:rsidR="003754FE" w:rsidRDefault="003754FE" w:rsidP="003754FE">
      <w:pPr>
        <w:pStyle w:val="TextoNormal"/>
      </w:pPr>
    </w:p>
    <w:p w14:paraId="04D7BEB9" w14:textId="77777777" w:rsidR="003754FE" w:rsidRDefault="003754FE" w:rsidP="003754FE">
      <w:pPr>
        <w:pStyle w:val="TextoNormal"/>
      </w:pPr>
      <w:r>
        <w:t xml:space="preserve">En numerosas resoluciones (desde la STC 150/1989, de 25 de septiembre, FJ 6, hasta la STC 54/2023, de 22 de mayo, FJ 3), el Tribunal ha puesto de relieve que el derecho reconocido en el art. 25.1 CE es una concreción de diversos aspectos del Estado de Derecho en el ámbito del Derecho estatal sancionador y tiene un fundamento plural. Se vincula, ante todo, con el imperio de la ley como presupuesto de la actuación del Estado sobre los bienes jurídicos de los ciudadanos y con el derecho de los ciudadanos a la seguridad jurídica y a una previsibilidad de las consecuencias jurídicas de los propios actos que garantice un ámbito de libertad de actuación en niveles constitucionalmente admisibles. Ese fundamento determina el contenido </w:t>
      </w:r>
      <w:r w:rsidRPr="003754FE">
        <w:rPr>
          <w:i/>
        </w:rPr>
        <w:t>iusfundamental</w:t>
      </w:r>
      <w:r>
        <w:t xml:space="preserve"> del derecho a la legalidad penal, integrado por los diversos aspectos enunciados con el brocardo </w:t>
      </w:r>
      <w:r w:rsidRPr="003754FE">
        <w:rPr>
          <w:i/>
        </w:rPr>
        <w:t>nullum crimen nulla poena sine praevia lege scripta, certa et stricta</w:t>
      </w:r>
      <w:r>
        <w:t xml:space="preserve"> (en distintas formulaciones, entre muchas, SSTC 133/1987, de 21 de julio, FJ 4; 127/1990, de 5 de julio, FJ 3; 111/1993, de 25 de marzo, FJ 6; 53/1994, de 24 de febrero, FJ 4; 137/1997, de 21 de julio, FJ 6; 151/1997, de 29 de septiembre, FJ 3; 232/1997, de 16 de diciembre, FJ 2; 75/2002, de 8 de abril, FJ 4; 234/2007, de 5 de noviembre, FJ 3, y 14/2021, de 28 de enero, FJ 2).</w:t>
      </w:r>
    </w:p>
    <w:p w14:paraId="4D18B14F" w14:textId="77777777" w:rsidR="003754FE" w:rsidRDefault="003754FE" w:rsidP="003754FE">
      <w:pPr>
        <w:pStyle w:val="TextoNormal"/>
      </w:pPr>
    </w:p>
    <w:p w14:paraId="4A8CD63B" w14:textId="77777777" w:rsidR="003754FE" w:rsidRDefault="003754FE" w:rsidP="003754FE">
      <w:pPr>
        <w:pStyle w:val="TextoNormal"/>
      </w:pPr>
      <w:r>
        <w:t>b) La primera garantía que contiene el principio de legalidad es la garantía formal, que impone una reserva de ley absoluta (STC 15/1981, de 7 de mayo, FJ 7) para definir delitos y fijar sus correspondientes penas, quedando así acotadas las fuentes del Derecho en materia penal [SSTC 142/1999, de 22 de julio,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w:t>
      </w:r>
      <w:r w:rsidRPr="003754FE">
        <w:rPr>
          <w:i/>
        </w:rPr>
        <w:t>lex praevia</w:t>
      </w:r>
      <w:r>
        <w:t>) que permitan predecir con el suficiente grado de certeza (</w:t>
      </w:r>
      <w:r w:rsidRPr="003754FE">
        <w:rPr>
          <w:i/>
        </w:rPr>
        <w:t>lex certa</w:t>
      </w:r>
      <w:r>
        <w:t xml:space="preserve">) dichas conductas, y se sepa a qué atenerse en cuanto a la aneja responsabilidad y </w:t>
      </w:r>
      <w:r>
        <w:lastRenderedPageBreak/>
        <w:t>a la eventual sanción” (SSTC 25/2004, de 26 de febrero, FJ 4; 218/2005, de 12 de septiembre, FJ 2; 297/2005, de 21 de noviembre, FJ 6, y 283/2006, de 9 de octubre, FJ 5).</w:t>
      </w:r>
    </w:p>
    <w:p w14:paraId="54F097B3" w14:textId="77777777" w:rsidR="003754FE" w:rsidRDefault="003754FE" w:rsidP="003754FE">
      <w:pPr>
        <w:pStyle w:val="TextoNormal"/>
      </w:pPr>
    </w:p>
    <w:p w14:paraId="32D2E736" w14:textId="77777777" w:rsidR="003754FE" w:rsidRDefault="003754FE" w:rsidP="003754FE">
      <w:pPr>
        <w:pStyle w:val="TextoNormal"/>
      </w:pPr>
      <w:r>
        <w:t>c) En particular, la previsibilidad de las consecuencias de la propia conducta puede burlarse tanto por un legislador como por un juzgador que actúen desconociendo el sentido de garantía de la ley penal, bien por la formulación vaga e imprecisa de la misma, bien con su aplicación a supuestos no comprendidos en ella (SSTC 142/1999, de 22 de julio, FJ 3, y 24/2004, de 24 de febrero,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w:t>
      </w:r>
      <w:r w:rsidRPr="003754FE">
        <w:rPr>
          <w:i/>
        </w:rPr>
        <w:t>lex certa</w:t>
      </w:r>
      <w:r>
        <w:t>), para que los ciudadanos puedan conocer de antemano el ámbito de lo proscrito y prever las consecuencias de sus acciones (SSTC 242/2005, de 10 de octubre, FJ 2; 283/2006, de 9 de octubre, FJ 5; 162/2008, de 15 de diciembre, FJ 1; 81/2009, de 23 de marzo, FJ 4; 135/2010, de 2 de diciembre, FJ 4, y 9/2018, de 5 de febrero, FJ 6). Los jueces y tribunales, por su parte, están sometidos al principio de tipicidad (</w:t>
      </w:r>
      <w:r w:rsidRPr="003754FE">
        <w:rPr>
          <w:i/>
        </w:rPr>
        <w:t>lex stricta</w:t>
      </w:r>
      <w:r>
        <w:t>) en su labor de aplicación de las leyes, que implica una sujeción estricta a la ley penal y el veto a la exégesis y aplicación de las normas penales fuera de los supuestos y de los límites que determinan.</w:t>
      </w:r>
    </w:p>
    <w:p w14:paraId="01BC5087" w14:textId="77777777" w:rsidR="003754FE" w:rsidRDefault="003754FE" w:rsidP="003754FE">
      <w:pPr>
        <w:pStyle w:val="TextoNormal"/>
      </w:pPr>
    </w:p>
    <w:p w14:paraId="31AE8595" w14:textId="77777777" w:rsidR="003754FE" w:rsidRDefault="003754FE" w:rsidP="003754FE">
      <w:pPr>
        <w:pStyle w:val="TextoNormal"/>
      </w:pPr>
      <w: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 La analogía </w:t>
      </w:r>
      <w:r w:rsidRPr="003754FE">
        <w:rPr>
          <w:i/>
        </w:rPr>
        <w:t>in malam partem</w:t>
      </w:r>
      <w:r>
        <w:t xml:space="preserve">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de 17 de marzo, FJ 4; 170/2002, de 30 de septiembre, FJ 12; 229/2003, de 18 de diciembre, FJ 6, y 229/2007, de 5 de noviembre, FJ 4).</w:t>
      </w:r>
    </w:p>
    <w:p w14:paraId="435AB33A" w14:textId="77777777" w:rsidR="003754FE" w:rsidRDefault="003754FE" w:rsidP="003754FE">
      <w:pPr>
        <w:pStyle w:val="TextoNormal"/>
      </w:pPr>
    </w:p>
    <w:p w14:paraId="60D581E0" w14:textId="77777777" w:rsidR="003754FE" w:rsidRDefault="003754FE" w:rsidP="003754FE">
      <w:pPr>
        <w:pStyle w:val="TextoNormal"/>
      </w:pPr>
      <w:r>
        <w:t xml:space="preserve">e) El examen de la razonabilidad de la subsunción de los hechos probados en la norma penal tiene como primer criterio el respeto al tenor de la norma y la consiguiente prohibición de la analogía </w:t>
      </w:r>
      <w:r w:rsidRPr="003754FE">
        <w:rPr>
          <w:i/>
        </w:rPr>
        <w:t>in malam partem</w:t>
      </w:r>
      <w:r>
        <w:t xml:space="preserve">. El tenor del enunciado normativo marca en todo caso una zona indudable de exclusión de comportamientos (STC 137/1997, de 21 de julio, FJ 7). No </w:t>
      </w:r>
      <w:r>
        <w:lastRenderedPageBreak/>
        <w:t>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de 27 de octubre,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y 262/2006, de 11 de septiembre, FJ 4).</w:t>
      </w:r>
    </w:p>
    <w:p w14:paraId="47DDFEB1" w14:textId="77777777" w:rsidR="003754FE" w:rsidRDefault="003754FE" w:rsidP="003754FE">
      <w:pPr>
        <w:pStyle w:val="TextoNormal"/>
      </w:pPr>
    </w:p>
    <w:p w14:paraId="008069EF" w14:textId="15AAB410" w:rsidR="003754FE" w:rsidRDefault="003754FE" w:rsidP="003754FE">
      <w:pPr>
        <w:pStyle w:val="TextoNormal"/>
      </w:pPr>
      <w: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w:t>
      </w:r>
      <w:r w:rsidRPr="003754FE">
        <w:rPr>
          <w:i/>
        </w:rPr>
        <w:t>per se</w:t>
      </w:r>
      <w:r>
        <w:t xml:space="preserve"> nos es ajena y solo podrá ser tomada en cuenta en la medida en que incida en la irrazonabilidad de la interpretación judicial impugnada” (STC 129/2008, FJ 3).</w:t>
      </w:r>
    </w:p>
    <w:p w14:paraId="021E7E1A" w14:textId="77777777" w:rsidR="003754FE" w:rsidRDefault="003754FE" w:rsidP="003754FE">
      <w:pPr>
        <w:pStyle w:val="TextoNormal"/>
      </w:pPr>
    </w:p>
    <w:p w14:paraId="63D368E2" w14:textId="77777777" w:rsidR="003754FE" w:rsidRDefault="003754FE" w:rsidP="003754FE">
      <w:pPr>
        <w:pStyle w:val="TextoNormal"/>
      </w:pPr>
      <w:r w:rsidRPr="003754FE">
        <w:rPr>
          <w:rStyle w:val="NumeroAFNegritaCaracter"/>
        </w:rPr>
        <w:t>4</w:t>
      </w:r>
      <w:r>
        <w:t xml:space="preserve">. </w:t>
      </w:r>
      <w:r w:rsidRPr="003754FE">
        <w:rPr>
          <w:i/>
        </w:rPr>
        <w:t>Vulneración del derecho a la legalidad penal (art. 25.1 CE) derivada de la condena por el delito de prevaricación del art. 404 CP</w:t>
      </w:r>
    </w:p>
    <w:p w14:paraId="79C9F32E" w14:textId="77777777" w:rsidR="003754FE" w:rsidRDefault="003754FE" w:rsidP="003754FE">
      <w:pPr>
        <w:pStyle w:val="TextoNormal"/>
      </w:pPr>
    </w:p>
    <w:p w14:paraId="6B69340B" w14:textId="77777777" w:rsidR="003754FE" w:rsidRDefault="003754FE" w:rsidP="003754FE">
      <w:pPr>
        <w:pStyle w:val="TextoNormal"/>
      </w:pPr>
      <w:r>
        <w:t xml:space="preserve">4.1. </w:t>
      </w:r>
      <w:r w:rsidRPr="003754FE">
        <w:rPr>
          <w:i/>
        </w:rPr>
        <w:t>Exposición de la queja de la recurrente y de las posiciones de las partes personadas</w:t>
      </w:r>
    </w:p>
    <w:p w14:paraId="67C9868D" w14:textId="77777777" w:rsidR="003754FE" w:rsidRDefault="003754FE" w:rsidP="003754FE">
      <w:pPr>
        <w:pStyle w:val="TextoNormal"/>
      </w:pPr>
    </w:p>
    <w:p w14:paraId="6EE04560" w14:textId="77777777" w:rsidR="003754FE" w:rsidRDefault="003754FE" w:rsidP="003754FE">
      <w:pPr>
        <w:pStyle w:val="TextoNormal"/>
      </w:pPr>
      <w:r>
        <w:t>(i) Alegaciones de la recurrente</w:t>
      </w:r>
    </w:p>
    <w:p w14:paraId="1C77A629" w14:textId="77777777" w:rsidR="003754FE" w:rsidRDefault="003754FE" w:rsidP="003754FE">
      <w:pPr>
        <w:pStyle w:val="TextoNormal"/>
      </w:pPr>
    </w:p>
    <w:p w14:paraId="46D8D05E" w14:textId="77777777" w:rsidR="003754FE" w:rsidRDefault="003754FE" w:rsidP="003754FE">
      <w:pPr>
        <w:pStyle w:val="TextoNormal"/>
      </w:pPr>
      <w:r>
        <w:t xml:space="preserve">Como ya se ha expuesto, la demandante en amparo fue condenada como autora de un delito de prevaricación en concurso medial con un delito de malversación. La recurrente considera que las resoluciones judiciales impugnadas han vulnerado el derecho fundamental a la legalidad penal (art. 25.1 CE) por dos motivos: (i) porque las sentencias recurridas han efectuado una interpretación extensiva </w:t>
      </w:r>
      <w:r w:rsidRPr="003754FE">
        <w:rPr>
          <w:i/>
        </w:rPr>
        <w:t>in malam partem</w:t>
      </w:r>
      <w:r>
        <w:t xml:space="preserve"> del elemento objetivo del delito de prevaricación del art. 404 CP al no existir en el caso enjuiciado una “resolución en asunto administrativo” y (ii) porque los órganos judiciales han efectuado una interpretación del tipo del art. 404 CP “irrazonable y extravagante” al considerar que la elaboración de un anteproyecto de ley y su aprobación como proyecto de ley tienen naturaleza administrativa. Alega que, de acuerdo con la jurisprudencia constitucional y la contencioso-administrativa, tales </w:t>
      </w:r>
      <w:r>
        <w:lastRenderedPageBreak/>
        <w:t>actos no pueden calificarse como administrativos. Sostiene, además, que no producen efectos jurídicos fuera del puro ámbito parlamentario. Por ello, entiende que han de quedar fuera del control judicial del art. 106.2 CE, lo que impide que puedan subsumirse en el tipo de prevaricación.</w:t>
      </w:r>
    </w:p>
    <w:p w14:paraId="5554FDAD" w14:textId="77777777" w:rsidR="003754FE" w:rsidRDefault="003754FE" w:rsidP="003754FE">
      <w:pPr>
        <w:pStyle w:val="TextoNormal"/>
      </w:pPr>
    </w:p>
    <w:p w14:paraId="37781293" w14:textId="77777777" w:rsidR="003754FE" w:rsidRDefault="003754FE" w:rsidP="003754FE">
      <w:pPr>
        <w:pStyle w:val="TextoNormal"/>
      </w:pPr>
      <w:r>
        <w:t>Aduce también que “la concepción que subyace en el razonamiento de la sentencia es que las leyes las hace el Gobierno y el Parlamento las fiscaliza”. A su juicio, los órganos judiciales, al considerar que la ley es ilegal porque en la fase prelegislativa no se respetó la tramitación establecida en disposiciones de rango infra legal, han revertido el funcionamiento del principio de jerarquía normativa.</w:t>
      </w:r>
    </w:p>
    <w:p w14:paraId="41FD7A9F" w14:textId="77777777" w:rsidR="003754FE" w:rsidRDefault="003754FE" w:rsidP="003754FE">
      <w:pPr>
        <w:pStyle w:val="TextoNormal"/>
      </w:pPr>
    </w:p>
    <w:p w14:paraId="62C2A289" w14:textId="77777777" w:rsidR="003754FE" w:rsidRDefault="003754FE" w:rsidP="003754FE">
      <w:pPr>
        <w:pStyle w:val="TextoNormal"/>
      </w:pPr>
      <w:r>
        <w:t>(ii) Exposición de lo alegado por las partes personadas</w:t>
      </w:r>
    </w:p>
    <w:p w14:paraId="0A7C4324" w14:textId="77777777" w:rsidR="003754FE" w:rsidRDefault="003754FE" w:rsidP="003754FE">
      <w:pPr>
        <w:pStyle w:val="TextoNormal"/>
      </w:pPr>
    </w:p>
    <w:p w14:paraId="43B7658B" w14:textId="77777777" w:rsidR="003754FE" w:rsidRDefault="003754FE" w:rsidP="003754FE">
      <w:pPr>
        <w:pStyle w:val="TextoNormal"/>
      </w:pPr>
      <w:r>
        <w:t>El Partido Popular considera que las sentencias de instancia y casación han fundamentado la condena por el delito de prevaricación efectuando una aplicación razonada y razonable del mismo (art. 404 CP). Alega que la interpretación efectuada se apoya en nuestra tradición legal y en criterios hermenéuticos que son acordes con el orden constitucional.</w:t>
      </w:r>
    </w:p>
    <w:p w14:paraId="6362A4C6" w14:textId="77777777" w:rsidR="003754FE" w:rsidRDefault="003754FE" w:rsidP="003754FE">
      <w:pPr>
        <w:pStyle w:val="TextoNormal"/>
      </w:pPr>
    </w:p>
    <w:p w14:paraId="51A4440A" w14:textId="77777777" w:rsidR="003754FE" w:rsidRDefault="003754FE" w:rsidP="003754FE">
      <w:pPr>
        <w:pStyle w:val="TextoNormal"/>
      </w:pPr>
      <w:r>
        <w:t>Don José Antonio Griñán Martínez, don Antonio Vicente Lozano Peña, don Jesús María Rodríguez Román, don Francisco Vallejo Serrano y don Gaspar Zarrías Arévalo se adhieren a este motivo del recurso, al ser coincidente con lo planteado en sus propios recursos. El señor Rodríguez Román alega como “argumento de apoyo” la inconsistencia lógica que supone entender que existan “leyes ilegales”. También sostiene que la noción de “ley ilegal” o de “ilegalidades dentro de la ley” es una “aporía” y que, vistas “las leyes de presupuestos en sus estados de gastos (actividades y objetivos de la partida 31L) y en sus memorias […], no puede afirmarse que el Parlamento no sabía lo que aprobaba, o que el Parlamento fuera inducido a error, que es la base del razonamiento que sostiene el castigo por prevaricación”.</w:t>
      </w:r>
    </w:p>
    <w:p w14:paraId="2FD0990A" w14:textId="77777777" w:rsidR="003754FE" w:rsidRDefault="003754FE" w:rsidP="003754FE">
      <w:pPr>
        <w:pStyle w:val="TextoNormal"/>
      </w:pPr>
    </w:p>
    <w:p w14:paraId="7E6A3820" w14:textId="77777777" w:rsidR="003754FE" w:rsidRDefault="003754FE" w:rsidP="003754FE">
      <w:pPr>
        <w:pStyle w:val="TextoNormal"/>
      </w:pPr>
      <w:r>
        <w:t>El Ministerio Fiscal entiende que el análisis formal de la argumentación desplegada por el Tribunal Supremo no permite concluir que la consideración como “resolución dictada en asunto administrativo del acto de aprobación de un anteproyecto de ley y su remisión como proyecto al Parlamento encaje dentro del margen de previsibilidad de la interpretación y aplicación de la norma penal”, como exigencia inherente al derecho a la legalidad penal (art. 25.1 CE). El fiscal también aprecia que el Tribunal Supremo incurre en una “contradicción lógica insalvable” al disociar el control de la legalidad del acto de aprobación y remisión al Parlamento de un proyecto de ley (lo que no sería jurídicamente viable) y el enjuiciamiento penal de sus autores (ámbito en el que, según la sentencia de casación, sí sería posible valorar, con el fin de evitar una impunidad contraria al principio de igualdad). A juicio del fiscal, en el caso que se analiza no puede disociarse el control de legalidad de los actos dictados y el enjuiciamiento penal de la conducta de sus autores, pues considera que el delito de prevaricación contiene “elementos objetivos sustanciales”, como “la injusticia y la arbitrariedad”, que exigen un control de la legalidad de los actos dictados.</w:t>
      </w:r>
    </w:p>
    <w:p w14:paraId="0A244686" w14:textId="77777777" w:rsidR="003754FE" w:rsidRDefault="003754FE" w:rsidP="003754FE">
      <w:pPr>
        <w:pStyle w:val="TextoNormal"/>
      </w:pPr>
    </w:p>
    <w:p w14:paraId="6CDC1DCB" w14:textId="77777777" w:rsidR="003754FE" w:rsidRDefault="003754FE" w:rsidP="003754FE">
      <w:pPr>
        <w:pStyle w:val="TextoNormal"/>
      </w:pPr>
      <w:r>
        <w:t xml:space="preserve">El fiscal entiende que el Tribunal Supremo, al fundamentar la intervención de la jurisdicción penal en la evitación de situaciones de impunidad, omite cualquier valoración sobre la importancia que la autonomía del Parlamento y la división de poderes tienen en nuestro orden constitucional. Considera que el razonamiento de las sentencias impugnadas, al no efectuar un tratamiento constitucional de este conflicto de legitimidades, carece de un </w:t>
      </w:r>
      <w:r>
        <w:lastRenderedPageBreak/>
        <w:t>soporte axiológico conforme a los valores de la Constitución. Por todo ello, sostiene que las sentencias recurridas, al haber atribuido la naturaleza de “resolución en asunto administrativo”, a efectos de condenar por delito de prevaricación, a los acuerdos del Consejo de Gobierno de la Junta de Andalucía que aprobaron los anteproyectos de ley de presupuestos de la comunidad autónoma y acordaron su remisión al Parlamento de Andalucía como proyectos de ley, han vulnerado el derecho de la recurrente a la legalidad penal.</w:t>
      </w:r>
    </w:p>
    <w:p w14:paraId="05AB0758" w14:textId="77777777" w:rsidR="003754FE" w:rsidRDefault="003754FE" w:rsidP="003754FE">
      <w:pPr>
        <w:pStyle w:val="TextoNormal"/>
      </w:pPr>
    </w:p>
    <w:p w14:paraId="40444C9A" w14:textId="77777777" w:rsidR="003754FE" w:rsidRDefault="003754FE" w:rsidP="003754FE">
      <w:pPr>
        <w:pStyle w:val="TextoNormal"/>
      </w:pPr>
      <w:r>
        <w:t>El fiscal concluye sus alegaciones respecto de la prevaricación analizando si la vulneración del art. 25.1 CE, que entiende materializada en relación con los anteproyectos de leyes de presupuestos, ha de extenderse también a la aprobación de las llamadas “modificaciones presupuestarias” de las partidas 22E y 31L. En su opinión, tanto la sentencia de instancia como la casacional califican las modificaciones presupuestarias como actos de “naturaleza administrativa” con argumentos “atinados y perfectamente asumibles”. Entiende que este tipo de resoluciones han recaído en “un procedimiento reglado que se inicia, se desenvuelve y se resuelve, con pleno efecto ejecutivo, en el seno de los órganos del Gobierno”. Sostiene además que, como las modificaciones presupuestarias no pueden ser consideradas actos con “rango, fuerza o valor de ley”, fruto de la “reserva de ley que impone el artículo 134 CE en materia presupuestaria”, no hay razón alguna para “temer por la autonomía parlamentaria en el ejercicio de la potestad legislativa, que no está en juego”. Tampoco existiría, a su juicio, peligro para “el principio consustancial de la separación de poderes”. Por todo ello, afirma que la consideración como “resolución en asunto administrativo”, a efectos de condenar por delito de prevaricación, de los acuerdos del Consejo de Gobierno de la Junta de Andalucía relativos a la aprobación de determinadas modificaciones presupuestarias de los programas 22E y 31L, no vulnera el derecho a la legalidad penal (art. 25.1 CE).</w:t>
      </w:r>
    </w:p>
    <w:p w14:paraId="6194DC07" w14:textId="77777777" w:rsidR="003754FE" w:rsidRDefault="003754FE" w:rsidP="003754FE">
      <w:pPr>
        <w:pStyle w:val="TextoNormal"/>
      </w:pPr>
    </w:p>
    <w:p w14:paraId="3D3671B7" w14:textId="77777777" w:rsidR="003754FE" w:rsidRDefault="003754FE" w:rsidP="003754FE">
      <w:pPr>
        <w:pStyle w:val="TextoNormal"/>
      </w:pPr>
      <w:r>
        <w:t xml:space="preserve">4.2. </w:t>
      </w:r>
      <w:r w:rsidRPr="003754FE">
        <w:rPr>
          <w:i/>
        </w:rPr>
        <w:t>Síntesis de los argumentos en los que las resoluciones judiciales fundamentan la condena de la recurrente</w:t>
      </w:r>
    </w:p>
    <w:p w14:paraId="030B054F" w14:textId="77777777" w:rsidR="003754FE" w:rsidRDefault="003754FE" w:rsidP="003754FE">
      <w:pPr>
        <w:pStyle w:val="TextoNormal"/>
      </w:pPr>
    </w:p>
    <w:p w14:paraId="68CF0846" w14:textId="77777777" w:rsidR="003754FE" w:rsidRDefault="003754FE" w:rsidP="003754FE">
      <w:pPr>
        <w:pStyle w:val="TextoNormal"/>
      </w:pPr>
      <w:r>
        <w:t>El Tribunal Supremo rechaza el motivo por el que la recurrente adujo que las aprobaciones de los anteproyectos de leyes de presupuestos no pueden ser calificadas como resolución administrativa a efectos penales. La recurrente fundamenta esta conclusión en que, por una parte, carecen de eficacia ejecutiva y, por otra, deben ser objeto de posterior aprobación parlamentaria. De igual modo, el Tribunal Supremo rechaza el motivo en el que la actora sostiene que las modificaciones presupuestarias, al ser actos de gobierno, no forman parte de un proceso administrativo y por ello no pueden ser sometidos a control jurisdiccional.</w:t>
      </w:r>
    </w:p>
    <w:p w14:paraId="05B1A314" w14:textId="77777777" w:rsidR="003754FE" w:rsidRDefault="003754FE" w:rsidP="003754FE">
      <w:pPr>
        <w:pStyle w:val="TextoNormal"/>
      </w:pPr>
    </w:p>
    <w:p w14:paraId="634216C0" w14:textId="77777777" w:rsidR="003754FE" w:rsidRDefault="003754FE" w:rsidP="003754FE">
      <w:pPr>
        <w:pStyle w:val="TextoNormal"/>
      </w:pPr>
      <w:r>
        <w:t>El Tribunal Supremo desestima estos motivos del recurso de casación por las razones expuestas en los fundamentos jurídicos vigésimo a vigesimosegundo y vigesimosexto, destinados a la resolución de lo que denomina “cuestiones generales”. En síntesis, estos fundamentos sostienen que:</w:t>
      </w:r>
    </w:p>
    <w:p w14:paraId="4DC35013" w14:textId="77777777" w:rsidR="003754FE" w:rsidRDefault="003754FE" w:rsidP="003754FE">
      <w:pPr>
        <w:pStyle w:val="TextoNormal"/>
      </w:pPr>
    </w:p>
    <w:p w14:paraId="7CCA64C4" w14:textId="77777777" w:rsidR="003754FE" w:rsidRDefault="003754FE" w:rsidP="003754FE">
      <w:pPr>
        <w:pStyle w:val="TextoNormal"/>
      </w:pPr>
      <w:r>
        <w:t xml:space="preserve">(i) La Sala de lo Penal del Tribunal Supremo rechaza las alegaciones de la recurrente en las que, basándose en la jurisprudencia constitucional y en la de la Sala de lo Contencioso-administrativo del Tribunal Supremo, sostiene que no pueden considerarse resolución recaída en un asunto administrativo las actuaciones llevadas a cabo con ocasión de la elaboración de un anteproyecto ni su aprobación como proyecto de ley. La Sala de lo Penal afirma que esta cuestión debe tener otro enfoque “cuando se trata de determinar qué deb[e] entenderse por asunto administrativo a efectos penales”. Considera que “[e]l Gobierno y la </w:t>
      </w:r>
      <w:r>
        <w:lastRenderedPageBreak/>
        <w:t>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[concluye la Sala] posibilitaría un ámbito de inmunidad difícilmente justificable” (fundamento de Derecho 20.3, pág. 238-239).</w:t>
      </w:r>
    </w:p>
    <w:p w14:paraId="44C7E06E" w14:textId="77777777" w:rsidR="003754FE" w:rsidRDefault="003754FE" w:rsidP="003754FE">
      <w:pPr>
        <w:pStyle w:val="TextoNormal"/>
      </w:pPr>
    </w:p>
    <w:p w14:paraId="310F1835" w14:textId="77777777" w:rsidR="003754FE" w:rsidRDefault="003754FE" w:rsidP="003754FE">
      <w:pPr>
        <w:pStyle w:val="TextoNormal"/>
      </w:pPr>
      <w:r>
        <w:t>(ii) La sentencia de la Sala de lo Penal establece que “los procedimientos reglados que culminan en la decisión de elevar un proyecto de ley al Gobierno no son actos propiamente legislativos, sino actos de gobierno que, por ser reglados, pueden ser el contexto objetivo para la comisión de un delito de prevaricación” (fundamento de Derecho 20.3, pág. 239).</w:t>
      </w:r>
    </w:p>
    <w:p w14:paraId="15559DB1" w14:textId="77777777" w:rsidR="003754FE" w:rsidRDefault="003754FE" w:rsidP="003754FE">
      <w:pPr>
        <w:pStyle w:val="TextoNormal"/>
      </w:pPr>
    </w:p>
    <w:p w14:paraId="61CF7C3A" w14:textId="77777777" w:rsidR="003754FE" w:rsidRDefault="003754FE" w:rsidP="003754FE">
      <w:pPr>
        <w:pStyle w:val="TextoNormal"/>
      </w:pPr>
      <w:r>
        <w:t>(iii) También considera que “lo que se debe determinar en este caso no es si las resoluciones adoptadas en el proceso prelegislativo son susceptibles de control por la jurisdicción contencioso-administrativa, cuestión que es ajena a la jurisdicción penal, sino si esas resoluciones pueden cumplir con las exigencias típicas del artículo 404 CP, que es algo sustancialmente diferente” (fundamento de Derecho 21.2, pág. 245).</w:t>
      </w:r>
    </w:p>
    <w:p w14:paraId="26E70CCC" w14:textId="77777777" w:rsidR="003754FE" w:rsidRDefault="003754FE" w:rsidP="003754FE">
      <w:pPr>
        <w:pStyle w:val="TextoNormal"/>
      </w:pPr>
    </w:p>
    <w:p w14:paraId="66EE0E61" w14:textId="77777777" w:rsidR="003754FE" w:rsidRDefault="003754FE" w:rsidP="003754FE">
      <w:pPr>
        <w:pStyle w:val="TextoNormal"/>
      </w:pPr>
      <w:r>
        <w:t>(iv) La sentencia de la Sala de lo Penal, a los efectos de determinar si concurren los elementos típicos del delito de prevaricación distingue, por una parte, “entre la decisión de elevar un proyecto de ley al Gobierno así como el contenido del proyecto normativo, en cuanto incorpora decisiones sujetas a criterios de oportunidad y discrecionalidad, que es un acto de gobierno inmune al control jurisdiccional” y, por otra,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[se afirma en la sentencia impugnada] que la ley imponga unas reglas en la elaboración del proyecto de ley o de una norma con fuerza de ley y que esas reglas imperativas puedan ser desconocidas sin consecuencias, cuando lo pretendido sea violar de forma patente y arbitraria la ley” (fundamento de Derecho 21.2, pág. 246).</w:t>
      </w:r>
    </w:p>
    <w:p w14:paraId="0C1E35F6" w14:textId="77777777" w:rsidR="003754FE" w:rsidRDefault="003754FE" w:rsidP="003754FE">
      <w:pPr>
        <w:pStyle w:val="TextoNormal"/>
      </w:pPr>
    </w:p>
    <w:p w14:paraId="28E692AF" w14:textId="77777777" w:rsidR="003754FE" w:rsidRDefault="003754FE" w:rsidP="003754FE">
      <w:pPr>
        <w:pStyle w:val="TextoNormal"/>
      </w:pPr>
      <w:r>
        <w:t>(v) Las consideraciones expuestas llevan al Tribunal Supremo a afirmar que “las resoluciones dictadas relativas a este segundo contenido [las adoptadas en la elaboración del anteproyecto y proyecto de ley] no son actos de gobierno inmunes al control de la jurisdicción penal, sino ‘resoluciones en asunto administrativo’, a los efectos del artículo 404 del Código penal” (fundamento de Derecho 21.2, pág. 246).</w:t>
      </w:r>
    </w:p>
    <w:p w14:paraId="054D32B9" w14:textId="77777777" w:rsidR="003754FE" w:rsidRDefault="003754FE" w:rsidP="003754FE">
      <w:pPr>
        <w:pStyle w:val="TextoNormal"/>
      </w:pPr>
    </w:p>
    <w:p w14:paraId="68A094AF" w14:textId="77777777" w:rsidR="003754FE" w:rsidRDefault="003754FE" w:rsidP="003754FE">
      <w:pPr>
        <w:pStyle w:val="TextoNormal"/>
      </w:pPr>
      <w:r>
        <w:t>(vi) Con invocación de sus propios precedentes, la Sala concluye “que el concepto de resolución al que alude el artículo 404 CP no se reduce a la decisión que pone fin a un procedimiento administrativo, sino que puede extenderse a actuaciones posteriores que ejecutan la resolución y actuaciones anteriores de relevancia que hayan sido imprescindibles para adoptar la resolución final quebrantando los controles establecidos en la ley” (fundamento de Derecho 22, pág. 253).</w:t>
      </w:r>
    </w:p>
    <w:p w14:paraId="69D9B13B" w14:textId="77777777" w:rsidR="003754FE" w:rsidRDefault="003754FE" w:rsidP="003754FE">
      <w:pPr>
        <w:pStyle w:val="TextoNormal"/>
      </w:pPr>
    </w:p>
    <w:p w14:paraId="4CDD35E0" w14:textId="77777777" w:rsidR="003754FE" w:rsidRDefault="003754FE" w:rsidP="003754FE">
      <w:pPr>
        <w:pStyle w:val="TextoNormal"/>
      </w:pPr>
      <w:r>
        <w:lastRenderedPageBreak/>
        <w:t>(vii) Las consideraciones expuestas llevan al Tribunal Supremo a afirmar que la elaboración de un anteproyecto de ley, su aprobación como proyecto, así como el proceso de elaboración y aprobación de una modificación presupuestaria pueden ser calificados como resolución en asunto administrativo en el sentido del art. 404 CP.</w:t>
      </w:r>
    </w:p>
    <w:p w14:paraId="15C892F4" w14:textId="77777777" w:rsidR="003754FE" w:rsidRDefault="003754FE" w:rsidP="003754FE">
      <w:pPr>
        <w:pStyle w:val="TextoNormal"/>
      </w:pPr>
    </w:p>
    <w:p w14:paraId="6B086767" w14:textId="77777777" w:rsidR="003754FE" w:rsidRDefault="003754FE" w:rsidP="003754FE">
      <w:pPr>
        <w:pStyle w:val="TextoNormal"/>
      </w:pPr>
      <w:r>
        <w:t xml:space="preserve">4.3. </w:t>
      </w:r>
      <w:r w:rsidRPr="003754FE">
        <w:rPr>
          <w:i/>
        </w:rPr>
        <w:t>Características de nuestra democracia constitucional y parlamentaria</w:t>
      </w:r>
    </w:p>
    <w:p w14:paraId="3E69B334" w14:textId="77777777" w:rsidR="003754FE" w:rsidRDefault="003754FE" w:rsidP="003754FE">
      <w:pPr>
        <w:pStyle w:val="TextoNormal"/>
      </w:pPr>
    </w:p>
    <w:p w14:paraId="4369F453" w14:textId="77777777" w:rsidR="003754FE" w:rsidRDefault="003754FE" w:rsidP="003754FE">
      <w:pPr>
        <w:pStyle w:val="TextoNormal"/>
      </w:pPr>
      <w:r>
        <w:t>Una vez reseñados los razonamientos de la sentencia, antes de analizar si la interpretación que de la norma aplicada efectúan las resoluciones impugnadas es lesiva del art. 25.1 CE, es preciso recordar cuáles son los elementos esenciales en los que se basa nuestro sistema constitucional, toda vez que el fundamento de la condena parte de una determinada comprensión de las relaciones entre el Ejecutivo autonómico y su Parlamento que trasciende del ámbito de la legalidad y se adentra en el plano de la constitucionalidad. Esta cuestión es de gran relevancia en este caso dado que el Tribunal apreció la especial trascendencia del recurso [art. 50.1 b) LOTC] por considerar que las cuestiones en él planteadas afectan a la esencia de las relaciones institucionales entre los poderes que conforman el Estado. En el ATC 293/2023, de 5 de junio, FJ único, se afirma que uno de los motivos por los que este recurso tiene especial trascendencia constitucional es porque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sobre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Es a este tribunal al que corresponde en último término la interpretación de las cuestiones que se plantean en este recurso, al ser inherentes a la configuración propia del Estado constitucional.</w:t>
      </w:r>
    </w:p>
    <w:p w14:paraId="693387EF" w14:textId="77777777" w:rsidR="003754FE" w:rsidRDefault="003754FE" w:rsidP="003754FE">
      <w:pPr>
        <w:pStyle w:val="TextoNormal"/>
      </w:pPr>
    </w:p>
    <w:p w14:paraId="51141C45" w14:textId="77777777" w:rsidR="003754FE" w:rsidRDefault="003754FE" w:rsidP="003754FE">
      <w:pPr>
        <w:pStyle w:val="TextoNormal"/>
      </w:pPr>
      <w:r>
        <w:t>A) Por todo ello, la resolución del presente recurso de amparo exige partir de las consecuencias que se derivan de que nuestra forma de Estado sea una democracia constitucional y parlamentaria. Esta cuestión ha sido analizada en la STC 93/2024, de 19 de junio, FJ 4.3, por lo que ahora se va a exponer sucintamente la doctrina en ella contenida, con remisión a lo que en la referida sentencia se establece.</w:t>
      </w:r>
    </w:p>
    <w:p w14:paraId="4AA7B124" w14:textId="77777777" w:rsidR="003754FE" w:rsidRDefault="003754FE" w:rsidP="003754FE">
      <w:pPr>
        <w:pStyle w:val="TextoNormal"/>
      </w:pPr>
    </w:p>
    <w:p w14:paraId="1DCBDE13" w14:textId="77777777" w:rsidR="003754FE" w:rsidRDefault="003754FE" w:rsidP="003754FE">
      <w:pPr>
        <w:pStyle w:val="TextoNormal"/>
      </w:pPr>
      <w:r>
        <w:t>a) La centralidad del Parlamento, el carácter privilegiado de la ley y el monopolio de control de su constitucionalidad por el Tribunal Constitucional definen nuestro sistema constitucional.</w:t>
      </w:r>
    </w:p>
    <w:p w14:paraId="4D2F2EFB" w14:textId="77777777" w:rsidR="003754FE" w:rsidRDefault="003754FE" w:rsidP="003754FE">
      <w:pPr>
        <w:pStyle w:val="TextoNormal"/>
      </w:pPr>
    </w:p>
    <w:p w14:paraId="32A1D0CB" w14:textId="77777777" w:rsidR="003754FE" w:rsidRDefault="003754FE" w:rsidP="003754FE">
      <w:pPr>
        <w:pStyle w:val="TextoNormal"/>
      </w:pPr>
      <w:r>
        <w:t>b) Nuestra Constitución ha acogido la forma de gobierno parlamentaria. Ha delimitado, por una parte, las funciones del Parlamento (título III); por otra, las del Gobierno (título IV), y ha regulado y dedicado su título V a establecer las relaciones entre ambos poderes. La función de control del Gobierno que desempeñan los parlamentos (art. 66.2 CE) es inherente a su carácter representativo y a la forma de gobierno parlamentaria que se establece en el art. 1.3 CE. Solo de este modo se garantiza el equilibrio entre estos poderes previsto en nuestra Norma Fundamental.</w:t>
      </w:r>
    </w:p>
    <w:p w14:paraId="4B17EB4C" w14:textId="77777777" w:rsidR="003754FE" w:rsidRDefault="003754FE" w:rsidP="003754FE">
      <w:pPr>
        <w:pStyle w:val="TextoNormal"/>
      </w:pPr>
    </w:p>
    <w:p w14:paraId="4336D39E" w14:textId="77777777" w:rsidR="003754FE" w:rsidRDefault="003754FE" w:rsidP="003754FE">
      <w:pPr>
        <w:pStyle w:val="TextoNormal"/>
      </w:pPr>
      <w:r>
        <w:t xml:space="preserve">c) La Constitución no define en qué consiste esta forma de control al Gobierno, pero una interpretación sistemática y teleológica ha llevado al Tribunal a entender que este control </w:t>
      </w:r>
      <w:r>
        <w:lastRenderedPageBreak/>
        <w:t>no se limita a los instrumentos que prevé su título V, sino que incluye también el que se ejerce a través de la función legislativa y, dentro de esta, de la función presupuestaria, al permitir el debate público y, de este modo, el conocimiento de los ciudadanos de la actuación del Gobierno.</w:t>
      </w:r>
    </w:p>
    <w:p w14:paraId="0F8853B9" w14:textId="77777777" w:rsidR="003754FE" w:rsidRDefault="003754FE" w:rsidP="003754FE">
      <w:pPr>
        <w:pStyle w:val="TextoNormal"/>
      </w:pPr>
    </w:p>
    <w:p w14:paraId="0C124811" w14:textId="77777777" w:rsidR="003754FE" w:rsidRDefault="003754FE" w:rsidP="003754FE">
      <w:pPr>
        <w:pStyle w:val="TextoNormal"/>
      </w:pPr>
      <w:r>
        <w:t xml:space="preserve">d) Uno de los modos de ejercer la función de </w:t>
      </w:r>
      <w:r w:rsidRPr="003754FE">
        <w:rPr>
          <w:i/>
        </w:rPr>
        <w:t>indirizzo politico</w:t>
      </w:r>
      <w:r>
        <w:t xml:space="preserve"> (orientación política) que constitucionalmente corresponde al Gobierno es el ejercicio de la iniciativa legislativa (art. 87.1 CE) y, a los efectos que ahora interesan, es especialmente relevante la iniciativa legislativa en materia presupuestaria que corresponde en exclusiva al Gobierno (art. 134.1 CE).</w:t>
      </w:r>
    </w:p>
    <w:p w14:paraId="67E7BCAB" w14:textId="77777777" w:rsidR="003754FE" w:rsidRDefault="003754FE" w:rsidP="003754FE">
      <w:pPr>
        <w:pStyle w:val="TextoNormal"/>
      </w:pPr>
    </w:p>
    <w:p w14:paraId="76934200" w14:textId="77777777" w:rsidR="003754FE" w:rsidRDefault="003754FE" w:rsidP="003754FE">
      <w:pPr>
        <w:pStyle w:val="TextoNormal"/>
      </w:pPr>
      <w:r>
        <w:t xml:space="preserve">e) La ley de presupuestos no es únicamente un conjunto de previsiones contables. También es un vehículo de dirección y orientación de la política económica que corresponde al Gobierno. Es, además, una “verdadera ley, considerando así superada la cuestión de su carácter formal o material” [STC 76/1992, de 14 de mayo, FJ 4 a)]. “[L]os presupuestos —en el sentido estricto de previsiones de ingresos y habilitaciones de gastos— y el articulado de la ley que los aprueba integran un todo, cuyo contenido adquiere fuerza de ley” [STC 76/1992, de 14 de mayo, FJ 4 a), que cita a su vez la STC 63/1986, de 21 de mayo, FJ 5]. A través del debate parlamentario del proyecto de ley de presupuestos se fiscaliza el conjunto de la actividad financiera pública para ese ejercicio, se aprueba o se rechaza el programa político, económico y social del Gobierno que los presenta y se controla que la asignación de los recursos públicos sea equitativa. “Precisamente para que dicha función pueda ser realizada, al margen de un posible contenido eventual o disponible, la ley de presupuestos tiene un contenido constitucionalmente determinado que se concreta en la previsión de ingresos y la autorización de gastos, debiendo esta última extenderse tanto al </w:t>
      </w:r>
      <w:r w:rsidRPr="003754FE">
        <w:rPr>
          <w:i/>
        </w:rPr>
        <w:t>quantum</w:t>
      </w:r>
      <w:r>
        <w:t xml:space="preserve"> como a su destino” (STC 3/2003, de 16 de enero, FJ 7).</w:t>
      </w:r>
    </w:p>
    <w:p w14:paraId="69ED483E" w14:textId="77777777" w:rsidR="003754FE" w:rsidRDefault="003754FE" w:rsidP="003754FE">
      <w:pPr>
        <w:pStyle w:val="TextoNormal"/>
      </w:pPr>
    </w:p>
    <w:p w14:paraId="3452C10D" w14:textId="77777777" w:rsidR="003754FE" w:rsidRDefault="003754FE" w:rsidP="003754FE">
      <w:pPr>
        <w:pStyle w:val="TextoNormal"/>
      </w:pPr>
      <w:r>
        <w:t>f) Del carácter central que la Constitución otorga al Parlamento deriva la posición privilegiada de la ley, que conlleva su presunción de legitimidad constitucional y que determina 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163 CE) o cuando la ley sea preconstitucional. A diferencia de las normas infralegales, que sí pueden ser inaplicadas [art. 6 de la Ley Orgánica del Poder Judicial (LOPJ)] o, en su caso, declaradas nulas por los órganos judiciales para garantizar la supremacía constitucional, cuando se trata de normas con rango de ley solo el Tribunal Constitucional tiene el monopolio de expulsarlas del ordenamiento jurídico con efecto</w:t>
      </w:r>
      <w:r w:rsidRPr="003754FE">
        <w:rPr>
          <w:i/>
        </w:rPr>
        <w:t>s erga omn</w:t>
      </w:r>
      <w:r>
        <w:t>es.</w:t>
      </w:r>
    </w:p>
    <w:p w14:paraId="4F3B1FBB" w14:textId="77777777" w:rsidR="003754FE" w:rsidRDefault="003754FE" w:rsidP="003754FE">
      <w:pPr>
        <w:pStyle w:val="TextoNormal"/>
      </w:pPr>
    </w:p>
    <w:p w14:paraId="1ACEAC2E" w14:textId="77777777" w:rsidR="003754FE" w:rsidRDefault="003754FE" w:rsidP="003754FE">
      <w:pPr>
        <w:pStyle w:val="TextoNormal"/>
      </w:pPr>
      <w:r>
        <w:t>B) Para la resolución de este recurso de amparo es importante también analizar la naturaleza jurídica de los anteproyectos y proyectos de ley. La ahora recurrente ha sido condenada por incurrir en un delito de prevaricación en concurso medial con el de malversación por participar, entre otras actuaciones, en la tramitación, en su condición viceconsejera de Economía y Hacienda, de los anteproyectos de las leyes de presupuestos para los años 2005, 2006, 2007, 2008 y 2009.</w:t>
      </w:r>
    </w:p>
    <w:p w14:paraId="517E8A87" w14:textId="77777777" w:rsidR="003754FE" w:rsidRDefault="003754FE" w:rsidP="003754FE">
      <w:pPr>
        <w:pStyle w:val="TextoNormal"/>
      </w:pPr>
    </w:p>
    <w:p w14:paraId="368C4CF6" w14:textId="77777777" w:rsidR="003754FE" w:rsidRDefault="003754FE" w:rsidP="003754FE">
      <w:pPr>
        <w:pStyle w:val="TextoNormal"/>
      </w:pPr>
      <w:r>
        <w:t xml:space="preserve">a) En la STC 93/2024, de 19 de junio, y en la jurisprudencia allí citada el Tribunal ha establecido que los anteproyectos y proyectos de ley no pueden ser objeto de control </w:t>
      </w:r>
      <w:r>
        <w:lastRenderedPageBreak/>
        <w:t>jurisdiccional afirmando que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 (ATC 135/2004, de 20 de abril, FJ 6).</w:t>
      </w:r>
    </w:p>
    <w:p w14:paraId="76532F4C" w14:textId="77777777" w:rsidR="003754FE" w:rsidRDefault="003754FE" w:rsidP="003754FE">
      <w:pPr>
        <w:pStyle w:val="TextoNormal"/>
      </w:pPr>
    </w:p>
    <w:p w14:paraId="5349F612" w14:textId="77777777" w:rsidR="003754FE" w:rsidRDefault="003754FE" w:rsidP="003754FE">
      <w:pPr>
        <w:pStyle w:val="TextoNormal"/>
      </w:pPr>
      <w:r>
        <w:t xml:space="preserve">b) La iniciativa legislativa es el cauce institucionalizado para la modificación de las leyes y normas con rango de ley preexistentes. Por ello, como con detalle se expone en la STC 93/2024, de 19 de junio, FJ 4.3.4, “[e]l proyecto [de ley] cuyo contenido contraviene la normativa existente mientras que es proyecto no puede someterse a un juicio de legalidad —en ese momento es un acto inexistente para el Derecho— y, una vez que se ha aprobado, al haberse convertido en ley, el único juicio que cabe es el de constitucionalidad. Este juicio solo puede efectuarse respecto de la ley aprobada, no respecto de los actos que conforman su procedimiento de elaboración, que nunca tienen eficacia </w:t>
      </w:r>
      <w:r w:rsidRPr="003754FE">
        <w:rPr>
          <w:i/>
        </w:rPr>
        <w:t>ad extra</w:t>
      </w:r>
      <w:r>
        <w:t xml:space="preserve"> y, como meros actos de trámite, una vez dictado el acto final, esto es, la ley, carecen de autonomía respecto de ella”.</w:t>
      </w:r>
    </w:p>
    <w:p w14:paraId="4C38AEDF" w14:textId="77777777" w:rsidR="003754FE" w:rsidRDefault="003754FE" w:rsidP="003754FE">
      <w:pPr>
        <w:pStyle w:val="TextoNormal"/>
      </w:pPr>
    </w:p>
    <w:p w14:paraId="25ED2E41" w14:textId="77777777" w:rsidR="003754FE" w:rsidRDefault="003754FE" w:rsidP="003754FE">
      <w:pPr>
        <w:pStyle w:val="TextoNormal"/>
      </w:pPr>
      <w:r>
        <w:t>c) Resulta, por tanto, que “[e]l contenido del anteproyecto o del proyecto, en tanto tales, es infiscalizable y no puede ejercerse más control que el político” (STC 93/2024, de 19 de junio, FJ 4.3.3, que cita, a su vez, el ATC 135/2004, de 20 de abril, FJ 6).</w:t>
      </w:r>
    </w:p>
    <w:p w14:paraId="7DA1F2B4" w14:textId="77777777" w:rsidR="003754FE" w:rsidRDefault="003754FE" w:rsidP="003754FE">
      <w:pPr>
        <w:pStyle w:val="TextoNormal"/>
      </w:pPr>
    </w:p>
    <w:p w14:paraId="5FD645CE" w14:textId="77777777" w:rsidR="003754FE" w:rsidRDefault="003754FE" w:rsidP="003754FE">
      <w:pPr>
        <w:pStyle w:val="TextoNormal"/>
      </w:pPr>
      <w:r>
        <w:t>C) “El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en su dimensión material, sino también por la forma en que han de relacionarse entre ellos. Cuando un poder del Estado se extralimita en el ejercicio de sus atribuciones se infringe el principio de separación de poderes y se altera el diseño institucional constitucionalmente previsto” (STC 93/2024, de 19 de junio, FJ 4.3.5).</w:t>
      </w:r>
    </w:p>
    <w:p w14:paraId="67906973" w14:textId="77777777" w:rsidR="003754FE" w:rsidRDefault="003754FE" w:rsidP="003754FE">
      <w:pPr>
        <w:pStyle w:val="TextoNormal"/>
      </w:pPr>
    </w:p>
    <w:p w14:paraId="356FFF06" w14:textId="77777777" w:rsidR="003754FE" w:rsidRDefault="003754FE" w:rsidP="003754FE">
      <w:pPr>
        <w:pStyle w:val="TextoNormal"/>
      </w:pPr>
      <w:r>
        <w:t>4.4</w:t>
      </w:r>
      <w:r w:rsidRPr="003754FE">
        <w:rPr>
          <w:i/>
        </w:rPr>
        <w:t>. Enjuiciamiento de la que</w:t>
      </w:r>
      <w:r>
        <w:t>ja</w:t>
      </w:r>
    </w:p>
    <w:p w14:paraId="5B630F28" w14:textId="77777777" w:rsidR="003754FE" w:rsidRDefault="003754FE" w:rsidP="003754FE">
      <w:pPr>
        <w:pStyle w:val="TextoNormal"/>
      </w:pPr>
    </w:p>
    <w:p w14:paraId="6D303E9C" w14:textId="77777777" w:rsidR="003754FE" w:rsidRDefault="003754FE" w:rsidP="003754FE">
      <w:pPr>
        <w:pStyle w:val="TextoNormal"/>
      </w:pPr>
      <w:r>
        <w:t>Una vez expuestos los fundamentos de la condena de la recurrente por el delito de prevaricación, así como los rasgos esenciales de nuestra democracia constitucional y parlamentaria —sobre esta cuestión, como se acaba de indicar, se ha efectuado una mera síntesis de lo establecido por el Tribunal en la STC 93/2024, FJ 4.3— se van a enjuiciar las quejas aducidas por la demandante en relación con dicha condena.</w:t>
      </w:r>
    </w:p>
    <w:p w14:paraId="748BDC50" w14:textId="77777777" w:rsidR="003754FE" w:rsidRDefault="003754FE" w:rsidP="003754FE">
      <w:pPr>
        <w:pStyle w:val="TextoNormal"/>
      </w:pPr>
    </w:p>
    <w:p w14:paraId="024C7918" w14:textId="77777777" w:rsidR="003754FE" w:rsidRDefault="003754FE" w:rsidP="003754FE">
      <w:pPr>
        <w:pStyle w:val="TextoNormal"/>
      </w:pPr>
      <w:r>
        <w:t>Para ello, han de distinguirse los distintos hechos por los que ha sido condenada como autora de un delito continuado de prevaricación: A) la elaboración y elevación al Consejo de Gobierno de los anteproyectos de presupuestos para los ejercicios 2005 a 2009; B) la tramitación y elevación al Consejo de Gobierno de las modificaciones presupuestarias de 2004 a 2008 más arriba expuestas (FJ 2.4), y C) la modificación presupuestaria de 1 de diciembre de 2009, aprobada por el viceconsejero de Economía y Hacienda por delegación suya.</w:t>
      </w:r>
    </w:p>
    <w:p w14:paraId="67235BC4" w14:textId="77777777" w:rsidR="003754FE" w:rsidRDefault="003754FE" w:rsidP="003754FE">
      <w:pPr>
        <w:pStyle w:val="TextoNormal"/>
      </w:pPr>
    </w:p>
    <w:p w14:paraId="4792AFA9" w14:textId="77777777" w:rsidR="003754FE" w:rsidRDefault="003754FE" w:rsidP="003754FE">
      <w:pPr>
        <w:pStyle w:val="TextoNormal"/>
      </w:pPr>
      <w:r>
        <w:t>A) La elaboración y elevación al Consejo de Gobierno de los anteproyectos de presupuestos para los ejercicios 2005 a 2009</w:t>
      </w:r>
    </w:p>
    <w:p w14:paraId="2F7F60CD" w14:textId="77777777" w:rsidR="003754FE" w:rsidRDefault="003754FE" w:rsidP="003754FE">
      <w:pPr>
        <w:pStyle w:val="TextoNormal"/>
      </w:pPr>
    </w:p>
    <w:p w14:paraId="34AFF717" w14:textId="77777777" w:rsidR="003754FE" w:rsidRDefault="003754FE" w:rsidP="003754FE">
      <w:pPr>
        <w:pStyle w:val="TextoNormal"/>
      </w:pPr>
      <w:r>
        <w:t>a) A efectos de apreciar si los órganos judiciales han realizado una interpretación extensiva de los elementos típicos del art. 404 CP y han vulnerado por ello el art. 25.1 CE, como alega la recurrente, es preciso examinar, en primer lugar, si la interpretación que las sentencias recurridas han realizado del concepto “resolución arbitraria en un asunto administrativo” (art. 404 CP) es o no lesiva del art. 25.1 CE. Para ello, es necesario atender a la naturaleza jurídica de los anteproyectos de ley.</w:t>
      </w:r>
    </w:p>
    <w:p w14:paraId="69BAFE22" w14:textId="77777777" w:rsidR="003754FE" w:rsidRDefault="003754FE" w:rsidP="003754FE">
      <w:pPr>
        <w:pStyle w:val="TextoNormal"/>
      </w:pPr>
    </w:p>
    <w:p w14:paraId="52211FB0" w14:textId="77777777" w:rsidR="003754FE" w:rsidRDefault="003754FE" w:rsidP="003754FE">
      <w:pPr>
        <w:pStyle w:val="TextoNormal"/>
      </w:pPr>
      <w:r>
        <w:t>De conformidad con lo dispuesto en la STC 93/2024, de 19 de junio, es claro “que las actuaciones realizadas cuando el Gobierno ejerce la iniciativa legislativa no pueden considerarse en modo alguno una actuación administrativa”, sino una “actividad propia de la función de gobierno en sentido estricto, pues es una prerrogativa que corresponde al Gobierno en virtud de su posición institucional, no a la organización a su servicio, que es la administración pública” [FJ 4.4.1 a)]. Como ya ha afirmado el Tribunal en la citada STC 93/2024, dichas actuaciones ni tienen el carácter de definitivas ni el hecho de que existan normas que disciplinen cómo han de elaborarse los anteproyectos de ley y su aprobación como proyectos de ley los convierte en actos reglados. De lo anterior se deduce “que el contenido de los anteproyectos y proyectos de ley no puede ser objeto de control por ningún órgano judicial.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[FJ 4.4.1 a)].</w:t>
      </w:r>
    </w:p>
    <w:p w14:paraId="5CDE634A" w14:textId="77777777" w:rsidR="003754FE" w:rsidRDefault="003754FE" w:rsidP="003754FE">
      <w:pPr>
        <w:pStyle w:val="TextoNormal"/>
      </w:pPr>
    </w:p>
    <w:p w14:paraId="5BEE3A24" w14:textId="77777777" w:rsidR="003754FE" w:rsidRDefault="003754FE" w:rsidP="003754FE">
      <w:pPr>
        <w:pStyle w:val="TextoNormal"/>
      </w:pPr>
      <w:r>
        <w:t>Las consideraciones que acaban de hacerse son incompatibles con las contenidas en las sentencias recurridas, en las que se sostiene que las actuaciones realizadas con ocasión de la aprobación de los anteproyectos de ley —las actuaciones prelegislativas, en terminología de las resoluciones impugnadas— han de calificarse como resoluciones recaídas en un asunto administrativo para apreciar que concurren los elementos típicos del delito de prevaricación (art. 404 CP).</w:t>
      </w:r>
    </w:p>
    <w:p w14:paraId="7BBF6F15" w14:textId="77777777" w:rsidR="003754FE" w:rsidRDefault="003754FE" w:rsidP="003754FE">
      <w:pPr>
        <w:pStyle w:val="TextoNormal"/>
      </w:pPr>
    </w:p>
    <w:p w14:paraId="64F472C8" w14:textId="77777777" w:rsidR="003754FE" w:rsidRDefault="003754FE" w:rsidP="003754FE">
      <w:pPr>
        <w:pStyle w:val="TextoNormal"/>
      </w:pPr>
      <w:r>
        <w:t>Por lo expuesto, no cabe considerar que la aprobación de anteproyectos de ley de presupuestos pueda ser calificada como resolución recaída en asunto administrativo. Al haberlo entendido así las sentencias impugnadas han incurrido en una interpretación extravagante e imprevisible de los elementos típicos “resolución” y “asunto administrativo” que vulnera el derecho fundamental a la legalidad penal que garantiza el art. 25 CE.</w:t>
      </w:r>
    </w:p>
    <w:p w14:paraId="205EB563" w14:textId="77777777" w:rsidR="003754FE" w:rsidRDefault="003754FE" w:rsidP="003754FE">
      <w:pPr>
        <w:pStyle w:val="TextoNormal"/>
      </w:pPr>
    </w:p>
    <w:p w14:paraId="62D3BE06" w14:textId="77777777" w:rsidR="003754FE" w:rsidRDefault="003754FE" w:rsidP="003754FE">
      <w:pPr>
        <w:pStyle w:val="TextoNormal"/>
      </w:pPr>
      <w:r>
        <w:t>b) Por otra parte, la recurrente ha alegado que, en contra de lo afirmado en las sentencias impugnadas, las leyes de presupuestos de Andalucía para los años 2002 a 2009 incluyeron un criterio de presupuestación, el contenido en el programa 31L, que desplegó plenos efectos jurídicos. También alega que los órganos judiciales, al considerar que la ley es ilegal porque en la fase prelegislativa no se respetó la tramitación establecida en disposiciones de rango infra legal, han actuado en contra del principio de jerarquía normativa. Entiende, además, que la “concepción que subyace en el razonamiento de la sentencia es que las leyes las hace el Gobierno y el Parlamento las fiscaliza”.</w:t>
      </w:r>
    </w:p>
    <w:p w14:paraId="29CA2031" w14:textId="77777777" w:rsidR="003754FE" w:rsidRDefault="003754FE" w:rsidP="003754FE">
      <w:pPr>
        <w:pStyle w:val="TextoNormal"/>
      </w:pPr>
    </w:p>
    <w:p w14:paraId="1F8A9314" w14:textId="77777777" w:rsidR="003754FE" w:rsidRDefault="003754FE" w:rsidP="003754FE">
      <w:pPr>
        <w:pStyle w:val="TextoNormal"/>
      </w:pPr>
      <w:r>
        <w:t>En efecto, la forma de razonar de las sentencias recurridas, como ya se puso de relieve en la STC 93/2024, de 19 de junio, FJ 4.4.1 b), supone “privar de toda relevancia a la aprobación parlamentaria de la ley, lo que conlleva desconocer la centralidad del Parlamento andaluz en el entramado institucional diseñado estatutariamente”.</w:t>
      </w:r>
    </w:p>
    <w:p w14:paraId="0766141E" w14:textId="77777777" w:rsidR="003754FE" w:rsidRDefault="003754FE" w:rsidP="003754FE">
      <w:pPr>
        <w:pStyle w:val="TextoNormal"/>
      </w:pPr>
    </w:p>
    <w:p w14:paraId="249E49BF" w14:textId="77777777" w:rsidR="003754FE" w:rsidRDefault="003754FE" w:rsidP="003754FE">
      <w:pPr>
        <w:pStyle w:val="TextoNormal"/>
      </w:pPr>
      <w:r>
        <w:t>De acuerdo con lo establecido en la STC 93/2024, FJ 4.4.1 b), “la ley de presupuestos generales es una ley que tiene la misma naturaleza normativa que el resto de las leyes. En la STC 76/1992, de 14 de mayo, FJ 4 a), el Tribunal afirmó que ‘se trata de una verdadera ley, considerando así superada la cuestión de su carácter formal o material’. Por ello, los jueces, que están sometidos al imperio de la ley (art. 117.1 CE), tienen el deber de respetarla cualquiera que sea el juicio que su contenido les merezca. Solo cuando consideran que es inconstitucional y que de su validez depende el fallo de un asunto deben plantear cuestión de inconstitucionalidad, pero fuera de este supuesto no podrán cuestionar sus determinaciones y, menos aún, no tomarla en consideración”.</w:t>
      </w:r>
    </w:p>
    <w:p w14:paraId="2FA59E28" w14:textId="77777777" w:rsidR="003754FE" w:rsidRDefault="003754FE" w:rsidP="003754FE">
      <w:pPr>
        <w:pStyle w:val="TextoNormal"/>
      </w:pPr>
    </w:p>
    <w:p w14:paraId="6601D835" w14:textId="77777777" w:rsidR="003754FE" w:rsidRDefault="003754FE" w:rsidP="003754FE">
      <w:pPr>
        <w:pStyle w:val="TextoNormal"/>
      </w:pPr>
      <w:r>
        <w:t>Es indubitado que las leyes de presupuestos de Andalucía para los años 2002 a 2009, en su programa 31L, establecieron un sistema de atribución de fondos al IFA/IDEA (las transferencias de financiación) para la concesión de ayudas sociolaborales que, de acuerdo con lo establecido en sus memorias, habilitaban a la administración autonómica a conceder estas ayudas por tal vía.</w:t>
      </w:r>
    </w:p>
    <w:p w14:paraId="28E64520" w14:textId="77777777" w:rsidR="003754FE" w:rsidRDefault="003754FE" w:rsidP="003754FE">
      <w:pPr>
        <w:pStyle w:val="TextoNormal"/>
      </w:pPr>
    </w:p>
    <w:p w14:paraId="4EE57CA0" w14:textId="77777777" w:rsidR="003754FE" w:rsidRDefault="003754FE" w:rsidP="003754FE">
      <w:pPr>
        <w:pStyle w:val="TextoNormal"/>
      </w:pPr>
      <w:r>
        <w:t>Las resoluciones impugnadas, al no reconocer que las leyes de presupuestos para los años 2002 a 2009 contenían una previsión —la establecida en el programa 31L— que dotaba de fondos al IFA/IDEA (las transferencias de financiación) para la concesión de ayudas sociolaborales que habilitaban a la administración autonómica a conceder estas ayudas por tal vía, han efectuado, también por este motivo, una interpretación absolutamente imprevisible del elemento típico arbitrariedad lesiva del art. 25.1 CE.</w:t>
      </w:r>
    </w:p>
    <w:p w14:paraId="5142DC8A" w14:textId="77777777" w:rsidR="003754FE" w:rsidRDefault="003754FE" w:rsidP="003754FE">
      <w:pPr>
        <w:pStyle w:val="TextoNormal"/>
      </w:pPr>
    </w:p>
    <w:p w14:paraId="42769C8B" w14:textId="77777777" w:rsidR="003754FE" w:rsidRDefault="003754FE" w:rsidP="003754FE">
      <w:pPr>
        <w:pStyle w:val="TextoNormal"/>
      </w:pPr>
      <w:r>
        <w:t>En suma, como ha afirmado el Tribunal en relación con esta misma cuestión en la STC 93/2024, de 19 de junio, y por las razones allí expuestas, ha de concluirse que la apreciación de los elementos típicos del art. 404 CP efectuada por las resoluciones impugnadas respecto de la elaboración y elevación al Consejo de Gobierno de los anteproyectos de ley de presupuestos es contraria al art. 25.1 CE.</w:t>
      </w:r>
    </w:p>
    <w:p w14:paraId="1976926D" w14:textId="77777777" w:rsidR="003754FE" w:rsidRDefault="003754FE" w:rsidP="003754FE">
      <w:pPr>
        <w:pStyle w:val="TextoNormal"/>
      </w:pPr>
    </w:p>
    <w:p w14:paraId="362BC925" w14:textId="77777777" w:rsidR="003754FE" w:rsidRDefault="003754FE" w:rsidP="003754FE">
      <w:pPr>
        <w:pStyle w:val="TextoNormal"/>
      </w:pPr>
      <w:r>
        <w:t>B) Las modificaciones presupuestarias</w:t>
      </w:r>
    </w:p>
    <w:p w14:paraId="7C5F56C9" w14:textId="77777777" w:rsidR="003754FE" w:rsidRDefault="003754FE" w:rsidP="003754FE">
      <w:pPr>
        <w:pStyle w:val="TextoNormal"/>
      </w:pPr>
    </w:p>
    <w:p w14:paraId="5991755B" w14:textId="77777777" w:rsidR="003754FE" w:rsidRDefault="003754FE" w:rsidP="003754FE">
      <w:pPr>
        <w:pStyle w:val="TextoNormal"/>
      </w:pPr>
      <w:r>
        <w:t>Como ya se ha señalado en este mismo fundamento jurídico, apartado 4.1, la recurrente fue condenada como autora de un delito de prevaricación en concurso medial con un delito de malversación por haber tramitado y elevado al Consejo de Gobierno modificaciones presupuestarias en los años 2004, 2005, 2006, 2007 y 2008 relativas al programa 31L incumpliendo, según las sentencias impugnadas, las normas de estructura presupuestaria y clasificación del gasto establecidas en la Orden de la Consejería de Hacienda de 22 de mayo de 1998. Por lo que se refiere a la modificación presupuestaria aprobada para el pago de ayudas sociolaborales por el Consejo de Gobierno el día 9 de diciembre de 2004 por importe de 2 994 876 € en el programa 32H (“Dirección y servicios generales del Servicio Andaluz de Empleo”), las resoluciones recurridas consideran que los fines de dicho programa eran por completo ajenos a la finalidad a la que se dedicaron, por lo que la califican de ilegal.</w:t>
      </w:r>
    </w:p>
    <w:p w14:paraId="6669F417" w14:textId="77777777" w:rsidR="003754FE" w:rsidRDefault="003754FE" w:rsidP="003754FE">
      <w:pPr>
        <w:pStyle w:val="TextoNormal"/>
      </w:pPr>
    </w:p>
    <w:p w14:paraId="4F45D022" w14:textId="77777777" w:rsidR="003754FE" w:rsidRDefault="003754FE" w:rsidP="003754FE">
      <w:pPr>
        <w:pStyle w:val="TextoNormal"/>
      </w:pPr>
      <w:r>
        <w:t>Del mismo modo que se acaba de hacer respecto de los anteproyectos de ley, procede analizar si las resoluciones judiciales impugnadas han realizado una interpretación imprevisible, y por ello contraria al art. 25.1 CE, del delito de prevaricación (art. 404 CP) al considerar que las modificaciones presupuestarias son “resoluciones” “arbitrarias” dictadas en “asunto administrativo”.</w:t>
      </w:r>
    </w:p>
    <w:p w14:paraId="161E5E5C" w14:textId="77777777" w:rsidR="003754FE" w:rsidRDefault="003754FE" w:rsidP="003754FE">
      <w:pPr>
        <w:pStyle w:val="TextoNormal"/>
      </w:pPr>
    </w:p>
    <w:p w14:paraId="5A997A84" w14:textId="77777777" w:rsidR="003754FE" w:rsidRDefault="003754FE" w:rsidP="003754FE">
      <w:pPr>
        <w:pStyle w:val="TextoNormal"/>
      </w:pPr>
      <w:r>
        <w:t>En la STC 93/2024, FJ 4.4.2, respecto de las modificaciones presupuestarias se afirmó que “[c]alificar estos actos como administrativos entra dentro de los márgenes de interpretación admisibles en Derecho, dado que no existe norma ni principio alguno que impida llegar a esta conclusión”. Por los motivos allí expuestos, a los que también procede ahora remitirse, no constituye una interpretación imprevisible ni extravagante del elemento típico “resolución” dictada en “asunto administrativo” del art. 404 CP calificar las modificaciones presupuestarias como actos administrativos.</w:t>
      </w:r>
    </w:p>
    <w:p w14:paraId="46A0D75B" w14:textId="77777777" w:rsidR="003754FE" w:rsidRDefault="003754FE" w:rsidP="003754FE">
      <w:pPr>
        <w:pStyle w:val="TextoNormal"/>
      </w:pPr>
    </w:p>
    <w:p w14:paraId="12B3C86B" w14:textId="77777777" w:rsidR="003754FE" w:rsidRDefault="003754FE" w:rsidP="003754FE">
      <w:pPr>
        <w:pStyle w:val="TextoNormal"/>
      </w:pPr>
      <w:r>
        <w:t>Cuestión distinta es si esta clase de actos pueden considerarse arbitrarios. Las sentencias recurridas así lo consideran. Sostienen que se realizaron prescindiendo de las exigencias procedimentales y materiales con el fin de eludir los controles exigidos por la normativa subvencional (sentencia del Tribunal Supremo, fundamento de Derecho 24.2, pág. 265 a 271). En efecto, tanto la Audiencia Provincial como el Tribunal Supremo llegan a la conclusión de que las modificaciones presupuestarias efectuadas no respetan la normativa presupuestaria, en particular la Orden de la Consejería de Hacienda de 22 de mayo de 1998, y por ello aprecian su manifiesta ilegalidad. En la STC 93/2024, FJ 4.4.2, se sostiene que, aunque no es función del Tribunal enjuiciar la corrección jurídica de dicha apreciación, “sí entra dentro de sus atribuciones el efectuar un juicio externo de las razones que llevan a los órganos judiciales a resolver en el sentido expuesto, pues solo de este modo puede verificarse que las resoluciones judiciales, al calificar como manifiestamente ilegales las modificaciones presupuestarias efectuadas, no han desbordado los límites que impone el art. 25.1 CE”.</w:t>
      </w:r>
    </w:p>
    <w:p w14:paraId="5E0B306B" w14:textId="77777777" w:rsidR="003754FE" w:rsidRDefault="003754FE" w:rsidP="003754FE">
      <w:pPr>
        <w:pStyle w:val="TextoNormal"/>
      </w:pPr>
    </w:p>
    <w:p w14:paraId="4B752ABD" w14:textId="77777777" w:rsidR="003754FE" w:rsidRDefault="003754FE" w:rsidP="003754FE">
      <w:pPr>
        <w:pStyle w:val="TextoNormal"/>
      </w:pPr>
      <w:r>
        <w:t>El Tribunal consideró que para hacer tal juicio externo no puede desconocerse que, desde el año 2002, se incluyó en las leyes de presupuestos el programa 31L, que tiene por objeto otorgar transferencias de financiación al IFA/IDEA en materia de relaciones laborales. En los documentos que acompañan a dichas leyes, “en particular en las memorias —transcritas en sus pasajes más relevantes en las sentencias que ahora se recurren— se hace referencia a la finalidad que con ese programa se pretende, quién ha de ejecutarlo y cómo debe hacerlo”. Estos datos, a los que ahora procede remitirse, quedaron expuestos en la STC 93/2024, de 19 de junio, FJ 4.4.2.</w:t>
      </w:r>
    </w:p>
    <w:p w14:paraId="2DAAD2FF" w14:textId="77777777" w:rsidR="003754FE" w:rsidRDefault="003754FE" w:rsidP="003754FE">
      <w:pPr>
        <w:pStyle w:val="TextoNormal"/>
      </w:pPr>
    </w:p>
    <w:p w14:paraId="4D60580E" w14:textId="77777777" w:rsidR="003754FE" w:rsidRDefault="003754FE" w:rsidP="003754FE">
      <w:pPr>
        <w:pStyle w:val="TextoNormal"/>
      </w:pPr>
      <w:r>
        <w:t>El Tribunal concluyó que los órganos judiciales, al interpretar el elemento típico “arbitraria” del art. 404 CP, debieron haber tomado en consideración el cambio de presupuestación antes referido, aprobado a partir del año 2002. Al no hacerlo, resulta imprevisible considerar manifiestamente ilegales actos —las modificaciones presupuestarias, pero no solo como se verá más adelante— dictados al amparo del programa 31L incluido en las leyes de presupuestos.</w:t>
      </w:r>
    </w:p>
    <w:p w14:paraId="33D378FE" w14:textId="77777777" w:rsidR="003754FE" w:rsidRDefault="003754FE" w:rsidP="003754FE">
      <w:pPr>
        <w:pStyle w:val="TextoNormal"/>
      </w:pPr>
    </w:p>
    <w:p w14:paraId="0BA9B227" w14:textId="77777777" w:rsidR="003754FE" w:rsidRDefault="003754FE" w:rsidP="003754FE">
      <w:pPr>
        <w:pStyle w:val="TextoNormal"/>
      </w:pPr>
      <w:r>
        <w:t xml:space="preserve">Una vez expuesta la doctrina que debe aplicarse a este extremo, procede examinar si las modificaciones presupuestarias en cuya elaboración participó la demandante de amparo </w:t>
      </w:r>
      <w:r>
        <w:lastRenderedPageBreak/>
        <w:t>tenían cobertura en el programa 31L. Como ya se ha expuesto en el fundamento jurídico 2.4, se afirma en las resoluciones judiciales que la recurrente participó en la aprobación de las siguientes modificaciones presupuestarias que se destinaron al pago de ayudas sociolaborales:</w:t>
      </w:r>
    </w:p>
    <w:p w14:paraId="6F0B598B" w14:textId="77777777" w:rsidR="003754FE" w:rsidRDefault="003754FE" w:rsidP="003754FE">
      <w:pPr>
        <w:pStyle w:val="TextoNormal"/>
      </w:pPr>
    </w:p>
    <w:p w14:paraId="2CDC961E" w14:textId="77777777" w:rsidR="003754FE" w:rsidRDefault="003754FE" w:rsidP="003754FE">
      <w:pPr>
        <w:pStyle w:val="TextoNormal"/>
      </w:pPr>
      <w:r>
        <w:t>(i) Seis modificaciones presupuestarias por las que se incrementaba la partida 31L en las aplicaciones presupuestarias 440.51 o 740.51. Estas modificaciones presupuestarias fueron aprobadas por el Consejo de Gobierno el 7 de diciembre de 2005 por importe de 799 895,97 €; el 7 de noviembre de 2006 por importe de 9 300000 €; el 27 de noviembre de 2007 por importe de 7 448 503,44 €, y el 22 de diciembre de 2008 en que aprobó tres modificaciones presupuestarias: una por importe de 1 253 853,89 €, otra por importe de 6 011 836, 20 € y la tercera por importe de 8 000 000 € [si bien los hechos probados de la sentencia de la Audiencia Provincial indican expresamente que esta última modificación, al tener carácter finalista y estar dotada de fondos procedentes de la administración central, sí fue objeto de fiscalización por la intervención delegada de la Consejería de Empleo].</w:t>
      </w:r>
    </w:p>
    <w:p w14:paraId="7F92F80E" w14:textId="77777777" w:rsidR="003754FE" w:rsidRDefault="003754FE" w:rsidP="003754FE">
      <w:pPr>
        <w:pStyle w:val="TextoNormal"/>
      </w:pPr>
    </w:p>
    <w:p w14:paraId="032633E2" w14:textId="77777777" w:rsidR="003754FE" w:rsidRDefault="003754FE" w:rsidP="003754FE">
      <w:pPr>
        <w:pStyle w:val="TextoNormal"/>
      </w:pPr>
      <w:r>
        <w:t>(ii) Una modificación presupuestaria aprobada por el Consejo de Gobierno el 9 de diciembre de 2004 que incrementó el programa 32H (“Dirección y servicios generales del Servicio Andaluz de Empleo”) en un importe de 2 994 876 €.</w:t>
      </w:r>
    </w:p>
    <w:p w14:paraId="1CDFC6F6" w14:textId="77777777" w:rsidR="003754FE" w:rsidRDefault="003754FE" w:rsidP="003754FE">
      <w:pPr>
        <w:pStyle w:val="TextoNormal"/>
      </w:pPr>
    </w:p>
    <w:p w14:paraId="0F3699B0" w14:textId="77777777" w:rsidR="003754FE" w:rsidRDefault="003754FE" w:rsidP="003754FE">
      <w:pPr>
        <w:pStyle w:val="TextoNormal"/>
      </w:pPr>
      <w:r>
        <w:t>De conformidad con lo expuesto, no pueden considerarse arbitrarias las modificaciones presupuestarias identificadas en el apartado (i), esto es, las aprobadas por el Consejo de Gobierno el 7 de diciembre de 2005, el 7 de noviembre de 2006, el 27 de noviembre de 2007 y el 22 de diciembre de 2008, al encontrarse amparadas en el programa 31L de las leyes de presupuestos para los años 2005, 2006, 2007 y 2008. Por todo ello, las resoluciones impugnadas, en lo que se refiere a estas concretas modificaciones presupuestarias, al calificarlas como manifiestamente ilegales, han incurrido en una interpretación del todo imprevisible del tipo penal que ha determinado la condena.</w:t>
      </w:r>
    </w:p>
    <w:p w14:paraId="2F43E18A" w14:textId="77777777" w:rsidR="003754FE" w:rsidRDefault="003754FE" w:rsidP="003754FE">
      <w:pPr>
        <w:pStyle w:val="TextoNormal"/>
      </w:pPr>
    </w:p>
    <w:p w14:paraId="179FC141" w14:textId="77777777" w:rsidR="003754FE" w:rsidRDefault="003754FE" w:rsidP="003754FE">
      <w:pPr>
        <w:pStyle w:val="TextoNormal"/>
      </w:pPr>
      <w:r>
        <w:t>No ocurre lo mismo con la modificación presupuestaria realizada en el programa 32H. El fin de este programa no era la concesión de ayudas sociolaborales por lo que, al ser dedicados estos fondos a ayudas sociolaborales, su consideración por las resoluciones judiciales impugnadas como resolución arbitraria recaída en un asunto administrativo no desborda los límites del art. 404 CP.</w:t>
      </w:r>
    </w:p>
    <w:p w14:paraId="43E03A6A" w14:textId="77777777" w:rsidR="003754FE" w:rsidRDefault="003754FE" w:rsidP="003754FE">
      <w:pPr>
        <w:pStyle w:val="TextoNormal"/>
      </w:pPr>
    </w:p>
    <w:p w14:paraId="66460A5E" w14:textId="77777777" w:rsidR="003754FE" w:rsidRDefault="003754FE" w:rsidP="003754FE">
      <w:pPr>
        <w:pStyle w:val="TextoNormal"/>
      </w:pPr>
      <w:r>
        <w:t>C) La modificación presupuestaria de 1 de diciembre de 2009, aprobada por el viceconsejero de Economía y Hacienda por delegación de la recurrente</w:t>
      </w:r>
    </w:p>
    <w:p w14:paraId="6D455807" w14:textId="77777777" w:rsidR="003754FE" w:rsidRDefault="003754FE" w:rsidP="003754FE">
      <w:pPr>
        <w:pStyle w:val="TextoNormal"/>
      </w:pPr>
    </w:p>
    <w:p w14:paraId="18171A62" w14:textId="089ED85B" w:rsidR="003754FE" w:rsidRDefault="003754FE" w:rsidP="003754FE">
      <w:pPr>
        <w:pStyle w:val="TextoNormal"/>
      </w:pPr>
      <w:r>
        <w:t>Aunque esta modificación presupuestaria figura en los hechos probados, la Audiencia Provincial no alude a ella ni en el fundamento de Derecho 38 ni en el 49 de su sentencia, por lo que no parece que la recurrente haya sido condenada por esta actuación. En todo caso, al tener cobertura en el programa 31L de la Ley de presupuestos para el año 2009, no podría considerarse manifiestamente ilegal, por lo que si hubiera sido condenada por este hecho habría que considerar que las resoluciones judiciales han efectuado una aplicación extensiva del delito de prevaricación.</w:t>
      </w:r>
    </w:p>
    <w:p w14:paraId="0D643DEE" w14:textId="77777777" w:rsidR="003754FE" w:rsidRDefault="003754FE" w:rsidP="003754FE">
      <w:pPr>
        <w:pStyle w:val="TextoNormal"/>
      </w:pPr>
    </w:p>
    <w:p w14:paraId="58AE8050" w14:textId="77777777" w:rsidR="003754FE" w:rsidRDefault="003754FE" w:rsidP="003754FE">
      <w:pPr>
        <w:pStyle w:val="TextoNormal"/>
      </w:pPr>
      <w:r w:rsidRPr="003754FE">
        <w:rPr>
          <w:rStyle w:val="NumeroAFNegritaCaracter"/>
        </w:rPr>
        <w:t>5</w:t>
      </w:r>
      <w:r>
        <w:t xml:space="preserve">. </w:t>
      </w:r>
      <w:r w:rsidRPr="003754FE">
        <w:rPr>
          <w:i/>
        </w:rPr>
        <w:t>Vulneración del derecho a la legalidad penal (art. 25.1 CE) derivada de la condena por delito de malversación del art. 432 CP</w:t>
      </w:r>
    </w:p>
    <w:p w14:paraId="1C97BE42" w14:textId="77777777" w:rsidR="003754FE" w:rsidRDefault="003754FE" w:rsidP="003754FE">
      <w:pPr>
        <w:pStyle w:val="TextoNormal"/>
      </w:pPr>
    </w:p>
    <w:p w14:paraId="0D041054" w14:textId="77777777" w:rsidR="003754FE" w:rsidRDefault="003754FE" w:rsidP="003754FE">
      <w:pPr>
        <w:pStyle w:val="TextoNormal"/>
      </w:pPr>
      <w:r>
        <w:t xml:space="preserve">5.1. </w:t>
      </w:r>
      <w:r w:rsidRPr="003754FE">
        <w:rPr>
          <w:i/>
        </w:rPr>
        <w:t>Exposición de la queja de la recurrente y de las posiciones de las partes</w:t>
      </w:r>
    </w:p>
    <w:p w14:paraId="5C6CB49E" w14:textId="77777777" w:rsidR="003754FE" w:rsidRDefault="003754FE" w:rsidP="003754FE">
      <w:pPr>
        <w:pStyle w:val="TextoNormal"/>
      </w:pPr>
    </w:p>
    <w:p w14:paraId="48564179" w14:textId="77777777" w:rsidR="003754FE" w:rsidRDefault="003754FE" w:rsidP="003754FE">
      <w:pPr>
        <w:pStyle w:val="TextoNormal"/>
      </w:pPr>
      <w:r>
        <w:t>La recurrente considera que las resoluciones impugnadas, al calificar las conductas declaradas probadas por la Audiencia Provincial como delito de malversación, proceden a una subsunción indebida en el tipo penal del art. 432 CP, lesiva del derecho fundamental a la legalidad sancionadora previsto en el art. 25.1 CE. Alega, en particular, que las resoluciones impugnadas realizan una interpretación irrazonable y extensiva del delito de malversación. Esta vulneración se desenvuelve, según se explica en la demanda, en una triple vertiente:</w:t>
      </w:r>
    </w:p>
    <w:p w14:paraId="05735229" w14:textId="77777777" w:rsidR="003754FE" w:rsidRDefault="003754FE" w:rsidP="003754FE">
      <w:pPr>
        <w:pStyle w:val="TextoNormal"/>
      </w:pPr>
    </w:p>
    <w:p w14:paraId="3F87D972" w14:textId="77777777" w:rsidR="003754FE" w:rsidRDefault="003754FE" w:rsidP="003754FE">
      <w:pPr>
        <w:pStyle w:val="TextoNormal"/>
      </w:pPr>
      <w:r>
        <w:t>(i) La aprobación parlamentaria de los proyectos de ley de presupuestos determinaría, a juicio de la actora, la ruptura de cualquier conexión jurídica que pudiera establecerse, a efectos de condenar por el delito del art. 432 CP, entre los concretos actos que se le atribuyen —en particular, la participación en la tramitación de los anteproyectos de leyes de presupuestos y de las correspondientes modificaciones presupuestarias— y el resultado malversador consistente en la disposición de fondos públicos con omisión de los requisitos legalmente exigibles. Según resume la recurrente: “[u]na ley no puede ser un vehículo jurídicamente eficaz para malversar y la ley de presupuestos, y sus créditos, no pueden ser ilícitos”.</w:t>
      </w:r>
    </w:p>
    <w:p w14:paraId="7BD5B1B2" w14:textId="77777777" w:rsidR="003754FE" w:rsidRDefault="003754FE" w:rsidP="003754FE">
      <w:pPr>
        <w:pStyle w:val="TextoNormal"/>
      </w:pPr>
    </w:p>
    <w:p w14:paraId="49225659" w14:textId="77777777" w:rsidR="003754FE" w:rsidRDefault="003754FE" w:rsidP="003754FE">
      <w:pPr>
        <w:pStyle w:val="TextoNormal"/>
      </w:pPr>
      <w:r>
        <w:t>(ii) La participación en la elaboración del presupuesto no implicaría, frente a lo que se presupone en las sentencias impugnadas, una capacidad de disposición de las cantidades consignadas en las partidas presupuestarias. A juicio de la actora, la consideración de que en la fase de mera presupuestación hay ya capacidad de disposición de hecho o de derecho de esas cantidades constituye una interpretación irrazonable y extensiva del delito de malversación.</w:t>
      </w:r>
    </w:p>
    <w:p w14:paraId="45360AA6" w14:textId="77777777" w:rsidR="003754FE" w:rsidRDefault="003754FE" w:rsidP="003754FE">
      <w:pPr>
        <w:pStyle w:val="TextoNormal"/>
      </w:pPr>
    </w:p>
    <w:p w14:paraId="48290CB1" w14:textId="77777777" w:rsidR="003754FE" w:rsidRDefault="003754FE" w:rsidP="003754FE">
      <w:pPr>
        <w:pStyle w:val="TextoNormal"/>
      </w:pPr>
      <w:r>
        <w:t>(iii) La posición de garante que se atribuye a la recurrente en relación con los actos de gestión posteriormente realizados por la Dirección General de Trabajo no se apoya en ninguna norma administrativa que atribuya a la viceconsejera de Economía y Hacienda una concreta función de control del gasto realizado por el resto de las consejerías. Al dar por sentada esa posición de garante, los órganos judiciales realizan, nuevamente, una interpretación arbitraria y extensiva del tipo del art. 432 CP.</w:t>
      </w:r>
    </w:p>
    <w:p w14:paraId="3AE7608D" w14:textId="77777777" w:rsidR="003754FE" w:rsidRDefault="003754FE" w:rsidP="003754FE">
      <w:pPr>
        <w:pStyle w:val="TextoNormal"/>
      </w:pPr>
    </w:p>
    <w:p w14:paraId="586F03BE" w14:textId="77777777" w:rsidR="003754FE" w:rsidRDefault="003754FE" w:rsidP="003754FE">
      <w:pPr>
        <w:pStyle w:val="TextoNormal"/>
      </w:pPr>
      <w:r>
        <w:t>El Partido Popular se opone a la estimación de la queja y considera que la subsunción de los hechos en el delito de malversación del art. 432 CP respeta el tenor literal del enunciado normativo contenido en dicho precepto y resulta previsible si se analiza desde las pautas axiológicas que informan nuestro texto constitucional y conforme a modelos de argumentación aceptados por la propia comunidad jurídica. Reproduce, en apoyo de esta tesis, diversos fragmentos de las resoluciones impugnadas.</w:t>
      </w:r>
    </w:p>
    <w:p w14:paraId="3CD1340D" w14:textId="77777777" w:rsidR="003754FE" w:rsidRDefault="003754FE" w:rsidP="003754FE">
      <w:pPr>
        <w:pStyle w:val="TextoNormal"/>
      </w:pPr>
    </w:p>
    <w:p w14:paraId="6F9A2FE8" w14:textId="77777777" w:rsidR="003754FE" w:rsidRDefault="003754FE" w:rsidP="003754FE">
      <w:pPr>
        <w:pStyle w:val="TextoNormal"/>
      </w:pPr>
      <w:r>
        <w:t xml:space="preserve">El Ministerio Fiscal estima, por su parte, que no puede apreciarse la vulneración del derecho a la legalidad penal por los siguientes motivos: (i) frente a lo que alega la demandante, la condena por malversación no se sustenta en la aprobación de las partidas presupuestarias, sino en “haber consentido la sustracción de los caudales públicos”, esto es, en no haberla impedido pese a conocerla y tener el deber de evitarla; (ii) la posición de garante de la recurrente no derivaría del hecho de haber propuesto las partidas presupuestarias en los sucesivos anteproyectos de ley sino de la capacidad jurídica que tenía para impedir las conductas de disposición ilícita de los fondos públicos por parte de los demás acusados. Por </w:t>
      </w:r>
      <w:r>
        <w:lastRenderedPageBreak/>
        <w:t>ello, el Ministerio Fiscal descarta toda vulneración del art. 25.1 CE en relación con la subsunción realizada en el tipo de la malversación.</w:t>
      </w:r>
    </w:p>
    <w:p w14:paraId="164E1913" w14:textId="77777777" w:rsidR="003754FE" w:rsidRDefault="003754FE" w:rsidP="003754FE">
      <w:pPr>
        <w:pStyle w:val="TextoNormal"/>
      </w:pPr>
    </w:p>
    <w:p w14:paraId="505800B7" w14:textId="77777777" w:rsidR="003754FE" w:rsidRDefault="003754FE" w:rsidP="003754FE">
      <w:pPr>
        <w:pStyle w:val="TextoNormal"/>
      </w:pPr>
      <w:r>
        <w:t xml:space="preserve">5.2. </w:t>
      </w:r>
      <w:r w:rsidRPr="003754FE">
        <w:rPr>
          <w:i/>
        </w:rPr>
        <w:t>Síntesis de los argumentos en los que las resoluciones judiciales fundamentan la condena de la recurrente</w:t>
      </w:r>
    </w:p>
    <w:p w14:paraId="0183FA77" w14:textId="77777777" w:rsidR="003754FE" w:rsidRDefault="003754FE" w:rsidP="003754FE">
      <w:pPr>
        <w:pStyle w:val="TextoNormal"/>
      </w:pPr>
    </w:p>
    <w:p w14:paraId="261A57EA" w14:textId="77777777" w:rsidR="003754FE" w:rsidRDefault="003754FE" w:rsidP="003754FE">
      <w:pPr>
        <w:pStyle w:val="TextoNormal"/>
      </w:pPr>
      <w:r>
        <w:t>A continuación, se va a efectuar un breve resumen de los argumentos de las sentencias de la Audiencia Provincial y del Tribunal Supremo que sirven para fundamentar la condena por malversación de la demandante de amparo:</w:t>
      </w:r>
    </w:p>
    <w:p w14:paraId="5932E171" w14:textId="77777777" w:rsidR="003754FE" w:rsidRDefault="003754FE" w:rsidP="003754FE">
      <w:pPr>
        <w:pStyle w:val="TextoNormal"/>
      </w:pPr>
    </w:p>
    <w:p w14:paraId="1F6181A9" w14:textId="77777777" w:rsidR="003754FE" w:rsidRDefault="003754FE" w:rsidP="003754FE">
      <w:pPr>
        <w:pStyle w:val="TextoNormal"/>
      </w:pPr>
      <w:r>
        <w:t xml:space="preserve">A) Objeto de la condena por malversación. Tal y como se especifica, con toda claridad, en el fundamento de Derecho 49 de la sentencia de la Audiencia Provincial de Sevilla (págs. 1809-1810), la recurrente de amparo ha sido condenada, en lo que al delito de malversación se refiere, por su intervención personal, en calidad de viceconsejera de Economía y Hacienda, en la tramitación de los instrumentos de presupuestación del programa 31L de los ejercicios presupuestarios 2005 a 2009, concretamente: (i) por participar en la elaboración de los presupuestos de la Comunidad Autónoma de Andalucía, en los que se consignaron los créditos iniciales del referido programa (con los importes que se especifican en el fundamento jurídico 2.4); (ii) por participar en la tramitación de diversas modificaciones presupuestarias que incrementaron esos créditos iniciales en relación con concretas aplicaciones destinadas a transferencias de financiación a la agencia IDEA para el pago de ayudas sociolaborales y a empresas en crisis (para las fechas e importes de estas modificaciones </w:t>
      </w:r>
      <w:r w:rsidRPr="003754FE">
        <w:rPr>
          <w:i/>
        </w:rPr>
        <w:t>vid. supra</w:t>
      </w:r>
      <w:r>
        <w:t xml:space="preserve"> FJ 2.4).</w:t>
      </w:r>
    </w:p>
    <w:p w14:paraId="7BC4B2A5" w14:textId="77777777" w:rsidR="003754FE" w:rsidRDefault="003754FE" w:rsidP="003754FE">
      <w:pPr>
        <w:pStyle w:val="TextoNormal"/>
      </w:pPr>
    </w:p>
    <w:p w14:paraId="3D94D001" w14:textId="77777777" w:rsidR="003754FE" w:rsidRDefault="003754FE" w:rsidP="003754FE">
      <w:pPr>
        <w:pStyle w:val="TextoNormal"/>
      </w:pPr>
      <w:r>
        <w:t>Según señala la sentencia, el cargo de viceconsejera de Economía y Hacienda otorgaba a la recurrente de amparo competencias para la tramitación de los anteproyectos de leyes de presupuestos, para participar en las comisiones generales de viceconsejeros que elevaban esos anteproyectos al Consejo de Gobierno y para tramitar las modificaciones presupuestarias finalmente aprobadas por el Consejo de Gobierno (fundamento de Derecho 38, págs. 1378-1379 y 1386).</w:t>
      </w:r>
    </w:p>
    <w:p w14:paraId="40C27444" w14:textId="77777777" w:rsidR="003754FE" w:rsidRDefault="003754FE" w:rsidP="003754FE">
      <w:pPr>
        <w:pStyle w:val="TextoNormal"/>
      </w:pPr>
    </w:p>
    <w:p w14:paraId="75CC48BC" w14:textId="77777777" w:rsidR="003754FE" w:rsidRDefault="003754FE" w:rsidP="003754FE">
      <w:pPr>
        <w:pStyle w:val="TextoNormal"/>
      </w:pPr>
      <w:r>
        <w:t>No obstante, la modificación presupuestaria por importe de 300 000 euros de 1 de diciembre de 2009 fue aprobada, según consta expresamente en los hechos probados (hecho probado 19, pág. 89), por el viceconsejero de Economía y Hacienda cuando la recurrente de amparo ya ocupaba el cargo de consejera de Economía y Hacienda. La competencia originaria correspondía a la consejera pero había sido objeto de delegación al viceconsejero.</w:t>
      </w:r>
    </w:p>
    <w:p w14:paraId="1CA7FE8F" w14:textId="77777777" w:rsidR="003754FE" w:rsidRDefault="003754FE" w:rsidP="003754FE">
      <w:pPr>
        <w:pStyle w:val="TextoNormal"/>
      </w:pPr>
    </w:p>
    <w:p w14:paraId="57C91FB6" w14:textId="77777777" w:rsidR="003754FE" w:rsidRDefault="003754FE" w:rsidP="003754FE">
      <w:pPr>
        <w:pStyle w:val="TextoNormal"/>
      </w:pPr>
      <w:r>
        <w:t>B) Fundamentación de la condena por malversación en la sentencia de instancia. La sentencia de la Audiencia Provincial estima que el sistema de presupuestación que se venía utilizando desde el año 2002 para el pago de ayudas sociolaborales y a empresas en crisis, instrumentado a través de transferencias de financiación, primero a IFA y luego a IDEA, generaba graves irregularidades en la gestión de los correspondientes fondos públicos que eran conocidas por la recurrente de amparo.</w:t>
      </w:r>
    </w:p>
    <w:p w14:paraId="77B7FC56" w14:textId="77777777" w:rsidR="003754FE" w:rsidRDefault="003754FE" w:rsidP="003754FE">
      <w:pPr>
        <w:pStyle w:val="TextoNormal"/>
      </w:pPr>
    </w:p>
    <w:p w14:paraId="477DAE79" w14:textId="77777777" w:rsidR="003754FE" w:rsidRDefault="003754FE" w:rsidP="003754FE">
      <w:pPr>
        <w:pStyle w:val="TextoNormal"/>
      </w:pPr>
      <w:r>
        <w:t xml:space="preserve">Según la resolución, la actora conocía, en particular: (i) que la Consejería de Empleo era la que realmente concedía las ayudas sociolaborales y a empresas en crisis; (ii) que después se utilizaba, de forma indebida, a la agencia IFA/IDEA como entidad colaboradora para realizar los pagos de las ayudas que habían sido concedidas; (iii) que tales pagos se </w:t>
      </w:r>
      <w:r>
        <w:lastRenderedPageBreak/>
        <w:t>instrumentaban, también indebidamente, mediante transferencias de financiación al IFA/IDEA (fundamento de Derecho 38, págs. 1388-1389 y 1394); (iv) que ese proceder generaba un déficit presupuestario en el IFA/IDEA derivado de la adquisición por parte de la Consejería de Empleo de compromisos de pago por encima de la cobertura presupuestaria; (v) que la asunción de compromisos de pago por encima del crédito presupuestario era consecuencia, a su vez, de la inexistencia de expedientes de gasto tramitados ante dicha consejería para la concesión de las subvenciones (fundamento 38, págs. 1380-1381].</w:t>
      </w:r>
    </w:p>
    <w:p w14:paraId="4D1CC1E9" w14:textId="77777777" w:rsidR="003754FE" w:rsidRDefault="003754FE" w:rsidP="003754FE">
      <w:pPr>
        <w:pStyle w:val="TextoNormal"/>
      </w:pPr>
    </w:p>
    <w:p w14:paraId="2F32ED1B" w14:textId="77777777" w:rsidR="003754FE" w:rsidRDefault="003754FE" w:rsidP="003754FE">
      <w:pPr>
        <w:pStyle w:val="TextoNormal"/>
      </w:pPr>
      <w:r>
        <w:t>La recurrente conocía que todas estas irregularidades eran consecuencia del sistema de presupuestación que instrumentaba el pago de las ayudas sociolaborales y a empresas en crisis por la vía de transferencias de financiación, pues era ese sistema el que generaba la ausencia de expediente de gasto y fiscalización previa tanto en la Consejería de Empleo, por carecer esta de fondos para el pago de las ayudas, como en el IFA/IDEA, por actuar esta agencia como mera entidad pagadora de ayudas ya concedidas.</w:t>
      </w:r>
    </w:p>
    <w:p w14:paraId="6C16C52A" w14:textId="77777777" w:rsidR="003754FE" w:rsidRDefault="003754FE" w:rsidP="003754FE">
      <w:pPr>
        <w:pStyle w:val="TextoNormal"/>
      </w:pPr>
    </w:p>
    <w:p w14:paraId="391F1004" w14:textId="77777777" w:rsidR="003754FE" w:rsidRDefault="003754FE" w:rsidP="003754FE">
      <w:pPr>
        <w:pStyle w:val="TextoNormal"/>
      </w:pPr>
      <w:r>
        <w:t>La recurrente de amparo era consciente, en definitiva, de la “palmaria ilegalidad” (fundamento de Derecho 38, pág. 1400) del sistema de presupuestación utilizado y de que este propiciaba que la Consejería de Empleo concediera las ayudas “al margen del presupuesto, imposibilitando así su fiscalización previa, lo que favoreció un descontrol absoluto” (fundamento 38, pág. 1389). Con ello, asumió “la eventualidad de que los fondos vinculados al programa 31L fueran objeto de disposición con fines ajenos al fin público al que estaban destinados” (fundamentos 38, pág. 1400, y 49, pág. 1810). Pese a ello, continuó tramitando del mismo modo los instrumentos de presupuestación de los ejercicios 2005 a 2009 y no adoptó medidas eficaces para evitar que se siguieran materializando las irregularidades asociadas a ese sistema de presupuestación en la consiguiente gestión de las ayudas comprendidas en el programa 31L.</w:t>
      </w:r>
    </w:p>
    <w:p w14:paraId="27F83222" w14:textId="77777777" w:rsidR="003754FE" w:rsidRDefault="003754FE" w:rsidP="003754FE">
      <w:pPr>
        <w:pStyle w:val="TextoNormal"/>
      </w:pPr>
    </w:p>
    <w:p w14:paraId="2C7B8D6D" w14:textId="77777777" w:rsidR="003754FE" w:rsidRDefault="003754FE" w:rsidP="003754FE">
      <w:pPr>
        <w:pStyle w:val="TextoNormal"/>
      </w:pPr>
      <w:r>
        <w:t>C) Fundamentación de la condena por malversación en la sentencia de casación. La sentencia casacional de la Sala de lo Penal del Tribunal Supremo incluye una extensa fundamentación explicativa de la interpretación del alcance del tipo penal del art. 432 CP y de su aplicación a la recurrente. En lo que a la resolución de esta concreta queja interesa, caben destacar los siguientes argumentos:</w:t>
      </w:r>
    </w:p>
    <w:p w14:paraId="1FD80D5B" w14:textId="77777777" w:rsidR="003754FE" w:rsidRDefault="003754FE" w:rsidP="003754FE">
      <w:pPr>
        <w:pStyle w:val="TextoNormal"/>
      </w:pPr>
    </w:p>
    <w:p w14:paraId="0E6FE422" w14:textId="77777777" w:rsidR="003754FE" w:rsidRDefault="003754FE" w:rsidP="003754FE">
      <w:pPr>
        <w:pStyle w:val="TextoNormal"/>
      </w:pPr>
      <w:r>
        <w:t>a) El Tribunal Supremo estima que la sustracción requerida por el tipo penal aplicado (el art. 432.1 CP en su redacción anterior a la Ley Orgánica 1/2015, de 30 de marzo) puede producirse cuando “el caudal público [se] aparta definitivamente del patrimonio público desviándolo de las necesidades del servicio”. Esto ocurriría, en todo caso, cuando los actos de disposición de los caudales públicos se realizan de forma “arbitraria” y “libérrima”, como si se tratase de bienes pertenecientes a la autoridad que dispone de ellos, con completo apartamiento de los cauces, procedimientos y controles legalmente aplicables. Según razona el Tribunal Supremo, la autoridad o funcionario dispone, en ese tipo de supuestos, del dinero público “como si fuera propio”. La finalidad pública, concluye la sentencia, “viene condicionada al cumplimiento de las exigencias legales”, por lo que un incumplimiento “absoluto” de esas exigencias implica, en sí mismo, la sustracción a una finalidad legítima y, con ello, un acto dispositivo que conlleva una apropiación.</w:t>
      </w:r>
    </w:p>
    <w:p w14:paraId="22E1EEF5" w14:textId="77777777" w:rsidR="003754FE" w:rsidRDefault="003754FE" w:rsidP="003754FE">
      <w:pPr>
        <w:pStyle w:val="TextoNormal"/>
      </w:pPr>
    </w:p>
    <w:p w14:paraId="1F3E9DB6" w14:textId="77777777" w:rsidR="003754FE" w:rsidRDefault="003754FE" w:rsidP="003754FE">
      <w:pPr>
        <w:pStyle w:val="TextoNormal"/>
      </w:pPr>
      <w:r>
        <w:t xml:space="preserve">Esta interpretación del concepto sustracción no ha sido cuestionada por la recurrente de amparo. En todo caso, ya en la STC 94/2024, de 2 de julio, FJ 5.2, se ha señalado que dicha </w:t>
      </w:r>
      <w:r>
        <w:lastRenderedPageBreak/>
        <w:t>interpretación resulta compatible, abstractamente considerada, con el derecho fundamental a la legalidad penal contemplado en el art. 25.1 CE.</w:t>
      </w:r>
    </w:p>
    <w:p w14:paraId="4D860952" w14:textId="77777777" w:rsidR="003754FE" w:rsidRDefault="003754FE" w:rsidP="003754FE">
      <w:pPr>
        <w:pStyle w:val="TextoNormal"/>
      </w:pPr>
    </w:p>
    <w:p w14:paraId="10135486" w14:textId="77777777" w:rsidR="003754FE" w:rsidRDefault="003754FE" w:rsidP="003754FE">
      <w:pPr>
        <w:pStyle w:val="TextoNormal"/>
      </w:pPr>
      <w:r>
        <w:t>b) El Tribunal Supremo concreta cómo se ha producido, en el presente caso, esa sustracción de caudales públicos. Considera que, más allá de la utilización de las transferencias de financiación “como artificio contable para eludir la normativa de subvenciones”, conducta en sí misma determinante del delito de prevaricación, se dispuso después “de los fondos públicos presupuestados al margen de todo control y de forma libérrima y arbitraria” (fundamento de Derecho 33, pág. 320). El manejo de los caudales se realizó “como si fueran propios, en favor de empresas y personas libremente determinadas y según las preferencias e intereses políticos de las autoridades que concedían las subvenciones”, en particular “[s]in bases de convocatoria, sin publicidad, en ocasiones sin precisar el objeto de la ayuda, y sin el cumplimiento de todo el amplio sistema de controles y garantías establecidos en la ley” (fundamento 33, pág. 321).</w:t>
      </w:r>
    </w:p>
    <w:p w14:paraId="6344130E" w14:textId="77777777" w:rsidR="003754FE" w:rsidRDefault="003754FE" w:rsidP="003754FE">
      <w:pPr>
        <w:pStyle w:val="TextoNormal"/>
      </w:pPr>
    </w:p>
    <w:p w14:paraId="1EA52FF8" w14:textId="77777777" w:rsidR="003754FE" w:rsidRDefault="003754FE" w:rsidP="003754FE">
      <w:pPr>
        <w:pStyle w:val="TextoNormal"/>
      </w:pPr>
      <w:r>
        <w:t>Se articuló, en definitiva, según señala el Tribunal Supremo, “un sistema para dotar de fondos a la Dirección General de Trabajo de la Junta de Andalucía para que esta dispusiera de ellos libremente”, sin que pueda “afirmarse siquiera que las ayudas concedidas cumplieran un fin público porque se concedieron, no ya al margen de todo control, sino al margen de cualquier criterio mínimamente objetivo y reglado y de forma absolutamente arbitraria”. Concluye la Sala de lo Penal que “las irregularidades advertidas en el proceso de concesión son tan graves y contumaces que excluyen la satisfacción de intereses públicos” (fundamento de Derecho 33, págs. 324-326).</w:t>
      </w:r>
    </w:p>
    <w:p w14:paraId="7886D64B" w14:textId="77777777" w:rsidR="003754FE" w:rsidRDefault="003754FE" w:rsidP="003754FE">
      <w:pPr>
        <w:pStyle w:val="TextoNormal"/>
      </w:pPr>
    </w:p>
    <w:p w14:paraId="74B48588" w14:textId="77777777" w:rsidR="003754FE" w:rsidRDefault="003754FE" w:rsidP="003754FE">
      <w:pPr>
        <w:pStyle w:val="TextoNormal"/>
      </w:pPr>
      <w:r>
        <w:t>c) Al igual que la Audiencia Provincial, el Tribunal Supremo estima que fue la aprobación “en contra de lo establecido en las leyes” de las partidas presupuestarias —y el incremento de su crédito inicial a través de las correspondientes modificaciones presupuestarias— lo que posibilitó un “descontrol absoluto en la concesión de las ayudas sociolaborales”. Fue, por tanto, “el indebido criterio de presupuestación” el que “hizo posible la concesión de las ayudas y eso permite también afirmar la vinculación causal entre el criterio de presupuestación y la falta de control y demás ilegalidades producidas en el proceso de concesión de las ayudas” (fundamento de Derecho 37.2, pág. 348).</w:t>
      </w:r>
    </w:p>
    <w:p w14:paraId="0BE8AFD2" w14:textId="77777777" w:rsidR="003754FE" w:rsidRDefault="003754FE" w:rsidP="003754FE">
      <w:pPr>
        <w:pStyle w:val="TextoNormal"/>
      </w:pPr>
    </w:p>
    <w:p w14:paraId="058C6AF0" w14:textId="77777777" w:rsidR="003754FE" w:rsidRDefault="003754FE" w:rsidP="003754FE">
      <w:pPr>
        <w:pStyle w:val="TextoNormal"/>
      </w:pPr>
      <w:r>
        <w:t>Las “ilegalidades” directamente vinculadas al “indebido criterio de presupuestación” utilizado son sintetizadas por el Tribunal Supremo del siguiente modo: “La Consejería de Empleo no tramitó ante la Intervención de la Junta de Andalucía los expedientes de concesión de las ayudas porque presupuestariamente no disponía de fondos para su concesión ya que los había transferido a IFA/IDEA. Por su parte IFA/IDEA no tenía que tramitar expediente alguno porque no concedía las ayudas (solo las pagaba) y esos pagos no estaban sometidos a fiscalización previa porque el ente estaba sujeto a control financiero, cuyo objeto no era la fiscalización de las ayudas, sino la fiscalización de la transferencia recibida, a cuyo fin, además, se contabilizaban los pagos de las ayudas como gastos de explotación, criterio de contabilización incorrecto dado que esos pagos no eran debidos al ejercicio de la actividad propia del ente público” (aspecto este último en el que el Tribunal Supremo incurre en contradicción con lo que señala la Audiencia Provincial en el fundamento 18 de la sentencia de instancia, donde se consigna que los pagos fueron correctamente contabilizados como meras operaciones de tesorería y que lo incorrecto fue su presupuestación como gastos de explotación).</w:t>
      </w:r>
    </w:p>
    <w:p w14:paraId="4F5DB544" w14:textId="77777777" w:rsidR="003754FE" w:rsidRDefault="003754FE" w:rsidP="003754FE">
      <w:pPr>
        <w:pStyle w:val="TextoNormal"/>
      </w:pPr>
    </w:p>
    <w:p w14:paraId="77DC90E4" w14:textId="77777777" w:rsidR="003754FE" w:rsidRDefault="003754FE" w:rsidP="003754FE">
      <w:pPr>
        <w:pStyle w:val="TextoNormal"/>
      </w:pPr>
      <w:r>
        <w:t>De ello deduce el alto tribunal que hubo “vinculación causal entre las decisiones adoptadas al aprobar los proyectos de ley de presupuestos y las modificaciones presupuestarias y el modo posterior de gestión de esos fondos” (fundamento de Derecho 37.2, pág. 349).</w:t>
      </w:r>
    </w:p>
    <w:p w14:paraId="5EC1EBA2" w14:textId="77777777" w:rsidR="003754FE" w:rsidRDefault="003754FE" w:rsidP="003754FE">
      <w:pPr>
        <w:pStyle w:val="TextoNormal"/>
      </w:pPr>
    </w:p>
    <w:p w14:paraId="5E815882" w14:textId="77777777" w:rsidR="003754FE" w:rsidRDefault="003754FE" w:rsidP="003754FE">
      <w:pPr>
        <w:pStyle w:val="TextoNormal"/>
      </w:pPr>
      <w:r>
        <w:t>d) El Tribunal Supremo se ocupa expresamente de especificar cuáles son las conductas malversadoras concretamente atribuidas a quienes, como es el caso de la recurrente de amparo, intervinieron en la fase de presupuestación. Considera que esas conductas comprenden tanto una contribución activa para la comisión de “la acción típica” de sustraer —pues sin la aprobación de los presupuestos y las modificaciones presupuestarias no habría sido posible la gestión libérrima de las ayudas— como también la “omisión de medidas eficaces para evitar el dispendio, una vez que fue conocido”, lo que puede subsumirse en la modalidad comisiva consistente en consentir que un tercero sustraiga (fundamento de Derecho 35.2, pág. 341).</w:t>
      </w:r>
    </w:p>
    <w:p w14:paraId="1E8D38D9" w14:textId="77777777" w:rsidR="003754FE" w:rsidRDefault="003754FE" w:rsidP="003754FE">
      <w:pPr>
        <w:pStyle w:val="TextoNormal"/>
      </w:pPr>
    </w:p>
    <w:p w14:paraId="0A8082BE" w14:textId="77777777" w:rsidR="003754FE" w:rsidRDefault="003754FE" w:rsidP="003754FE">
      <w:pPr>
        <w:pStyle w:val="TextoNormal"/>
      </w:pPr>
      <w:r>
        <w:t>La sentencia dedica un especial desarrollo argumental a la subsunción en la modalidad omisiva de malversación de los hechos cometidos por quienes participaron en la aprobación de los “instrumentos de presupuestación”. Afirma que “una autoridad o funcionario público” no solo puede incurrir en esta modalidad omisiva permitiendo la acción sustractora de terceros ajenos a la función pública, sino también consintiendo, con “dejación de la obligación de defensa del patrimonio”, la actuación ilícita de otros funcionarios públicos que están situados en una escala jerárquica inferior o que intervienen en un eslabón distinto del proceso global de gestión de los caudales. En palabras de la sentencia casacional “una autoridad o funcionario pued[e] consentir la sustracción por otro funcionario y ello es posible precisamente porque las competencias sobre la gestión de los fondos públicos pueden ser concurrentes” (fundamento de Derecho 36.2, pág. 345).</w:t>
      </w:r>
    </w:p>
    <w:p w14:paraId="34A7EC35" w14:textId="77777777" w:rsidR="003754FE" w:rsidRDefault="003754FE" w:rsidP="003754FE">
      <w:pPr>
        <w:pStyle w:val="TextoNormal"/>
      </w:pPr>
    </w:p>
    <w:p w14:paraId="34D77824" w14:textId="77777777" w:rsidR="003754FE" w:rsidRDefault="003754FE" w:rsidP="003754FE">
      <w:pPr>
        <w:pStyle w:val="TextoNormal"/>
      </w:pPr>
      <w:r>
        <w:t>Por tal razón, las autoridades que intervenían en la fase de presupuestación pudieron consentir o permitir que las autoridades o funcionarios que después intervinieron en la fase de gestión de los fondos presupuestados realizaran los actos de disposición con los que se materializó la efectiva sustracción de los caudales.</w:t>
      </w:r>
    </w:p>
    <w:p w14:paraId="3A857830" w14:textId="77777777" w:rsidR="003754FE" w:rsidRDefault="003754FE" w:rsidP="003754FE">
      <w:pPr>
        <w:pStyle w:val="TextoNormal"/>
      </w:pPr>
    </w:p>
    <w:p w14:paraId="5CEE3030" w14:textId="77777777" w:rsidR="003754FE" w:rsidRDefault="003754FE" w:rsidP="003754FE">
      <w:pPr>
        <w:pStyle w:val="TextoNormal"/>
      </w:pPr>
      <w:r>
        <w:t>e) En cuanto a la posición de garante que sustenta la condena por esa modalidad omisiva de malversación, la sentencia casacional sostiene que las personas condenadas por su intervención en la fase de elaboración de los presupuestos y de las modificaciones presupuestarias tenían “competencias funcionales para evitar la sustracción”, pero “no hicieron nada” y, “[n]o solo eso, autorizaron año a año, con incumplimiento patente de la legalidad, las partidas presupuestarias que hicieron posible la concesión y pago de las ayudas” (fundamento de Derecho 36.2, pág. 346).</w:t>
      </w:r>
    </w:p>
    <w:p w14:paraId="101E0ECC" w14:textId="77777777" w:rsidR="003754FE" w:rsidRDefault="003754FE" w:rsidP="003754FE">
      <w:pPr>
        <w:pStyle w:val="TextoNormal"/>
      </w:pPr>
    </w:p>
    <w:p w14:paraId="40808FC7" w14:textId="77777777" w:rsidR="003754FE" w:rsidRDefault="003754FE" w:rsidP="003754FE">
      <w:pPr>
        <w:pStyle w:val="TextoNormal"/>
      </w:pPr>
      <w:r>
        <w:t>Según el Tribunal Supremo, la recurrente de amparo tenía, al igual que el resto de “las autoridades condenadas por intervenir en el proceso de presupuestación […] funcionalmente asignada la competencia para decidir sobre el destino de los fondos públicos, aprobando o no las correspondientes partidas presupuestarias, sin cuya existencia la concesión y pago de las ayudas no habría sido posible, y todos aquellos que conocieron las ilegalidades en su concesión y pago, contribuyeron causalmente al desarrollo de la acción en la medida en que no lo impidieron” (fundamento de Derecho 37.2, pág. 348).</w:t>
      </w:r>
    </w:p>
    <w:p w14:paraId="1091D686" w14:textId="77777777" w:rsidR="003754FE" w:rsidRDefault="003754FE" w:rsidP="003754FE">
      <w:pPr>
        <w:pStyle w:val="TextoNormal"/>
      </w:pPr>
    </w:p>
    <w:p w14:paraId="42C1B9A1" w14:textId="77777777" w:rsidR="003754FE" w:rsidRDefault="003754FE" w:rsidP="003754FE">
      <w:pPr>
        <w:pStyle w:val="TextoNormal"/>
      </w:pPr>
      <w:r>
        <w:lastRenderedPageBreak/>
        <w:t>En relación específica con la recurrente de amparo, el Tribunal Supremo, con remisión a la fundamentación general que ya ha sido expuesta, señala nuevamente que “se cambió el sistema de presupuestación para que el gasto se hiciera de una determinada forma y las autoridades que hicieron esa modificación y que la mantuvieron conocían lo que iba a suceder”. Se afirma que la normativa presupuestaria contempla expresamente la intervención de la Dirección General de Presupuestos bajo la dependencia directa de la viceconsejera de Economía y Hacienda (fundamento de Derecho 73, págs. 594-595, aspecto en el que también insiste la sentencia de la Audiencia Provincial, fundamento 38, pág. 1386, punto 6) y que la demandante de amparo “además de formar parte de esa consejería como superior jerárquico del director general de Presupuestos y de tener la función específica de asesoramiento jurídico del consejero en el ejercicio de la potestad normativa, formaba parte de la Comisión General de Viceconsejeros que tenía como función estudiar y filtrar los asuntos que habían de ser estudiados por el Consejo de Gobierno”.</w:t>
      </w:r>
    </w:p>
    <w:p w14:paraId="6BE054D9" w14:textId="77777777" w:rsidR="003754FE" w:rsidRDefault="003754FE" w:rsidP="003754FE">
      <w:pPr>
        <w:pStyle w:val="TextoNormal"/>
      </w:pPr>
    </w:p>
    <w:p w14:paraId="37E62254" w14:textId="77777777" w:rsidR="003754FE" w:rsidRDefault="003754FE" w:rsidP="003754FE">
      <w:pPr>
        <w:pStyle w:val="TextoNormal"/>
      </w:pPr>
      <w:r>
        <w:t>5.3</w:t>
      </w:r>
      <w:r w:rsidRPr="003754FE">
        <w:rPr>
          <w:i/>
        </w:rPr>
        <w:t>. Enjuiciamiento de la que</w:t>
      </w:r>
      <w:r>
        <w:t>ja</w:t>
      </w:r>
    </w:p>
    <w:p w14:paraId="5FE017F7" w14:textId="77777777" w:rsidR="003754FE" w:rsidRDefault="003754FE" w:rsidP="003754FE">
      <w:pPr>
        <w:pStyle w:val="TextoNormal"/>
      </w:pPr>
    </w:p>
    <w:p w14:paraId="07B5F44D" w14:textId="77777777" w:rsidR="003754FE" w:rsidRDefault="003754FE" w:rsidP="003754FE">
      <w:pPr>
        <w:pStyle w:val="TextoNormal"/>
      </w:pPr>
      <w:r>
        <w:t>La fundamentación empleada en las resoluciones impugnadas pone de manifiesto que la condena de la recurrente por el delito de malversación se sustenta exclusivamente en su intervención personal, como viceconsejera de Economía y Hacienda, en la elaboración de los presupuestos de la Comunidad Autónoma de Andalucía correspondientes a los ejercicios 2005 a 2009, así como en la tramitación de las modificaciones presupuestarias correspondientes a dichos ejercicios, siempre en relación con las aplicaciones presupuestarias del programa 31L destinadas, en concepto de transferencias de financiación, al pago por parte de la agencia IDEA de ayudas sociolaborales y a empresas en crisis.</w:t>
      </w:r>
    </w:p>
    <w:p w14:paraId="78E42280" w14:textId="77777777" w:rsidR="003754FE" w:rsidRDefault="003754FE" w:rsidP="003754FE">
      <w:pPr>
        <w:pStyle w:val="TextoNormal"/>
      </w:pPr>
    </w:p>
    <w:p w14:paraId="089BECB5" w14:textId="77777777" w:rsidR="003754FE" w:rsidRDefault="003754FE" w:rsidP="003754FE">
      <w:pPr>
        <w:pStyle w:val="TextoNormal"/>
      </w:pPr>
      <w:r>
        <w:t>Esa intervención de la recurrente, realizada con conocimiento de las graves irregularidades que, a juicio de las resoluciones impugnadas, conllevaba el sistema de presupuestación empleado habría supuesto, según explica la sentencia casacional: (i) una contribución activa a la materialización de la sustracción sancionada en el art. 432.1 CP, pues sin el “sistema de presupuestación indebido” no se habrían omitido los trámites y requisitos propios del régimen de las subvenciones y no se habría materializado el “descontrol absoluto” en la concesión de las ayudas; y (ii) una contribución omisiva a esa misma sustracción, sancionada expresamente en el mismo precepto del Código penal, pues la recurrente no utilizó su posición institucional en el proceso de elaboración de los presupuestos para evitar que ese proceder ilícito se repitiese en los ejercicios siguientes, por lo que consintió que las autoridades o funcionarios que gestionaban las ayudas las sustrajeran nuevamente de sus fines públicos legítimos, en cada ejercicio sucesivo, a través de una gestión global “libérrima” y “arbitraria”.</w:t>
      </w:r>
    </w:p>
    <w:p w14:paraId="58141EBF" w14:textId="77777777" w:rsidR="003754FE" w:rsidRDefault="003754FE" w:rsidP="003754FE">
      <w:pPr>
        <w:pStyle w:val="TextoNormal"/>
      </w:pPr>
    </w:p>
    <w:p w14:paraId="231B3664" w14:textId="77777777" w:rsidR="003754FE" w:rsidRDefault="003754FE" w:rsidP="003754FE">
      <w:pPr>
        <w:pStyle w:val="TextoNormal"/>
      </w:pPr>
      <w:r>
        <w:t>Pues bien, siendo este el fundamento de las sentencias impugnadas, es claro que las conclusiones alcanzadas en el fundamento jurídico 4 en relación con el delito de prevaricación tienen influjo directo sobre la evaluación de la posible vulneración del derecho a la legalidad penal en la condena por delito de malversación, pues enlazan plenamente con la primera vertiente de la vulneración del art. 25.1 CE planteada por la demandante de amparo, según la cual “[u]na ley no puede ser un vehículo jurídicamente eficaz para malversar y la ley de presupuestos, y sus créditos, no pueden ser ilícitos”.</w:t>
      </w:r>
    </w:p>
    <w:p w14:paraId="02F977CB" w14:textId="77777777" w:rsidR="003754FE" w:rsidRDefault="003754FE" w:rsidP="003754FE">
      <w:pPr>
        <w:pStyle w:val="TextoNormal"/>
      </w:pPr>
    </w:p>
    <w:p w14:paraId="52570E6F" w14:textId="77777777" w:rsidR="003754FE" w:rsidRDefault="003754FE" w:rsidP="003754FE">
      <w:pPr>
        <w:pStyle w:val="TextoNormal"/>
      </w:pPr>
      <w:r>
        <w:lastRenderedPageBreak/>
        <w:t>Hemos de distinguir, por tal razón: (A) la subsunción en el tipo penal de malversación de aquellos hechos probados que se refieren a las irregularidades en la gestión global de las ayudas sociolaborales y a empresas en crisis y (B) la subsunción en el delito de malversación de las concretas aplicaciones de fondos públicos sin cobertura en el programa 31L.</w:t>
      </w:r>
    </w:p>
    <w:p w14:paraId="31D5D2F5" w14:textId="77777777" w:rsidR="003754FE" w:rsidRDefault="003754FE" w:rsidP="003754FE">
      <w:pPr>
        <w:pStyle w:val="TextoNormal"/>
      </w:pPr>
    </w:p>
    <w:p w14:paraId="5D53B58F" w14:textId="77777777" w:rsidR="003754FE" w:rsidRDefault="003754FE" w:rsidP="003754FE">
      <w:pPr>
        <w:pStyle w:val="TextoNormal"/>
      </w:pPr>
      <w:r>
        <w:t>A) Hechos probados que se refieren globalmente a la forma de gestión de las transferencias de financiación derivada de un “indebido” sistema de presupuestación</w:t>
      </w:r>
    </w:p>
    <w:p w14:paraId="2EF58E5B" w14:textId="77777777" w:rsidR="003754FE" w:rsidRDefault="003754FE" w:rsidP="003754FE">
      <w:pPr>
        <w:pStyle w:val="TextoNormal"/>
      </w:pPr>
    </w:p>
    <w:p w14:paraId="59B28F8A" w14:textId="77777777" w:rsidR="003754FE" w:rsidRDefault="003754FE" w:rsidP="003754FE">
      <w:pPr>
        <w:pStyle w:val="TextoNormal"/>
      </w:pPr>
      <w:r>
        <w:t>a) Modalidad activa del delito de malversación. Según razonan las resoluciones impugnadas, la recurrente, al participar por razón de su cargo en la elaboración de los presupuestos y modificaciones presupuestarias de los años 2005 a 2009, habría realizado una contribución necesaria para que las ayudas sociolaborales y a empresas en crisis pudieran gestionarse sin sujeción al régimen jurídico de las subvenciones. Como reiteran, en diversos pasajes, las sentencias de instancia y casación, el “sistema de presupuestación indebido” habría dado lugar a la consiguiente sustracción de los caudales públicos, consistente en la omisión radical y absoluta del régimen jurídico previsto para las subvenciones, un régimen al que las ayudas sociolaborales y a empresas en crisis sí se habrían sometido, en cambio, si hubieran sido correctamente presupuestadas.</w:t>
      </w:r>
    </w:p>
    <w:p w14:paraId="613DFEFE" w14:textId="77777777" w:rsidR="003754FE" w:rsidRDefault="003754FE" w:rsidP="003754FE">
      <w:pPr>
        <w:pStyle w:val="TextoNormal"/>
      </w:pPr>
    </w:p>
    <w:p w14:paraId="489537FD" w14:textId="77777777" w:rsidR="003754FE" w:rsidRDefault="003754FE" w:rsidP="003754FE">
      <w:pPr>
        <w:pStyle w:val="TextoNormal"/>
      </w:pPr>
      <w:r>
        <w:t>Esta subsunción en la modalidad activa del delito de malversación resulta imprevisible y, por ello, contraria al art. 25.1 CE por dos razones fundamentales:</w:t>
      </w:r>
    </w:p>
    <w:p w14:paraId="33E84D97" w14:textId="77777777" w:rsidR="003754FE" w:rsidRDefault="003754FE" w:rsidP="003754FE">
      <w:pPr>
        <w:pStyle w:val="TextoNormal"/>
      </w:pPr>
    </w:p>
    <w:p w14:paraId="2BF2C166" w14:textId="77777777" w:rsidR="003754FE" w:rsidRDefault="003754FE" w:rsidP="003754FE">
      <w:pPr>
        <w:pStyle w:val="TextoNormal"/>
      </w:pPr>
      <w:r>
        <w:t>(i) En primer lugar, el sistema de presupuestación contemplado en un anteproyecto o proyecto de ley de presupuestos solo puede ser considerado “indebido” o “ilícito” —y en tal concepto generador de un sistema de gestión igualmente indebido o ilegal— si es sometido a control o escrutinio jurídico, lo que no puede hacer ningún órgano judicial, tampoco los órganos de la jurisdicción penal.</w:t>
      </w:r>
    </w:p>
    <w:p w14:paraId="55AD5DDC" w14:textId="77777777" w:rsidR="003754FE" w:rsidRDefault="003754FE" w:rsidP="003754FE">
      <w:pPr>
        <w:pStyle w:val="TextoNormal"/>
      </w:pPr>
    </w:p>
    <w:p w14:paraId="543EFD77" w14:textId="77777777" w:rsidR="003754FE" w:rsidRDefault="003754FE" w:rsidP="003754FE">
      <w:pPr>
        <w:pStyle w:val="TextoNormal"/>
      </w:pPr>
      <w:r>
        <w:t>Como se señaló en la STC 93/2024, de 19 de junio, FJ 4.4.1 a), la doctrina de este tribunal establece “con toda claridad que el contenido de los anteproyectos y proyectos de ley no puede ser objeto de control por ningún órgano judicial” y que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tal y como ya se ha expuesto”.</w:t>
      </w:r>
    </w:p>
    <w:p w14:paraId="6D165494" w14:textId="77777777" w:rsidR="003754FE" w:rsidRDefault="003754FE" w:rsidP="003754FE">
      <w:pPr>
        <w:pStyle w:val="TextoNormal"/>
      </w:pPr>
    </w:p>
    <w:p w14:paraId="43768AEF" w14:textId="77777777" w:rsidR="003754FE" w:rsidRDefault="003754FE" w:rsidP="003754FE">
      <w:pPr>
        <w:pStyle w:val="TextoNormal"/>
      </w:pPr>
      <w:r>
        <w:t>Las resoluciones impugnadas, al considerar que los anteproyectos y proyectos de leyes de presupuestos en cuya elaboración participó la actora establecían un sistema de presupuestación “indebido” o “ilegal”, causalmente determinante de la posterior malversación, han realizado un control jurídico del contenido de los actos de iniciativa legislativa del Gobierno que les estaba constitucionalmente vedado. El ejercicio de ese control jurídico indebido produce, por sí solo, una subsunción completamente imprevisible en el tipo penal de la malversación, pues nadie puede esperar razonablemente que será penalmente condenado por la ilegalidad de un acto cuyo contenido no es susceptible de ser fiscalizado por la jurisdicción penal.</w:t>
      </w:r>
    </w:p>
    <w:p w14:paraId="2591981D" w14:textId="77777777" w:rsidR="003754FE" w:rsidRDefault="003754FE" w:rsidP="003754FE">
      <w:pPr>
        <w:pStyle w:val="TextoNormal"/>
      </w:pPr>
    </w:p>
    <w:p w14:paraId="0D768F76" w14:textId="77777777" w:rsidR="003754FE" w:rsidRDefault="003754FE" w:rsidP="003754FE">
      <w:pPr>
        <w:pStyle w:val="TextoNormal"/>
      </w:pPr>
      <w:r>
        <w:lastRenderedPageBreak/>
        <w:t xml:space="preserve">(ii) El juicio de ilegalidad que las sentencias impugnadas efectúan del sistema de presupuestación contemplado en los anteproyectos y proyectos de leyes de presupuestos desconoce, igualmente, que dichas iniciativas legislativas carecen de cualquier eficacia jurídica </w:t>
      </w:r>
      <w:r w:rsidRPr="003754FE">
        <w:rPr>
          <w:i/>
        </w:rPr>
        <w:t>ad extra</w:t>
      </w:r>
      <w:r>
        <w:t xml:space="preserve"> mientras no sean aprobadas por el Parlamento, momento en el que adquieren rango de ley y a partir del cual han de considerarse válidas, sin que puedan constituir la fuente de actos de disposición ilícita de caudales públicos a efectos de condenar por el delito de malversación.</w:t>
      </w:r>
    </w:p>
    <w:p w14:paraId="41B22A24" w14:textId="77777777" w:rsidR="003754FE" w:rsidRDefault="003754FE" w:rsidP="003754FE">
      <w:pPr>
        <w:pStyle w:val="TextoNormal"/>
      </w:pPr>
    </w:p>
    <w:p w14:paraId="641E28CF" w14:textId="77777777" w:rsidR="003754FE" w:rsidRDefault="003754FE" w:rsidP="003754FE">
      <w:pPr>
        <w:pStyle w:val="TextoNormal"/>
      </w:pPr>
      <w:r>
        <w:t>Como ya se señaló en la STC 93/2024, de 19 de junio, FJ 4.4.1 b), considerar que “la intervención del Parlamento en la aprobación del presupuesto es meramente formal, hasta el punto de concluir que no puede entenderse aprobado el sistema de presupuestación expresamente previsto en la ley al considerar que este sistema había sido establecido ilegalmente por el Gobierno en el proyecto de ley” implica “privar de toda relevancia a la aprobación parlamentaria de la ley” y “desconocer la centralidad del Parlamento andaluz en el entramado institucional diseñado estatutariamente”, lo que es contrario a los “principios que rigen nuestro sistema constitucional, en particular los que otorgan la centralidad al Parlamento en la conformación del Estado”.</w:t>
      </w:r>
    </w:p>
    <w:p w14:paraId="39472E7A" w14:textId="77777777" w:rsidR="003754FE" w:rsidRDefault="003754FE" w:rsidP="003754FE">
      <w:pPr>
        <w:pStyle w:val="TextoNormal"/>
      </w:pPr>
    </w:p>
    <w:p w14:paraId="34B7907F" w14:textId="77777777" w:rsidR="003754FE" w:rsidRDefault="003754FE" w:rsidP="003754FE">
      <w:pPr>
        <w:pStyle w:val="TextoNormal"/>
      </w:pPr>
      <w:r>
        <w:t xml:space="preserve">La aprobación de anteproyectos y proyectos de leyes no puede considerarse, por tanto, un acto con eficacia jurídica </w:t>
      </w:r>
      <w:r w:rsidRPr="003754FE">
        <w:rPr>
          <w:i/>
        </w:rPr>
        <w:t>ad extra</w:t>
      </w:r>
      <w:r>
        <w:t xml:space="preserve"> desvinculada de su posterior aprobación parlamentaria; no es susceptible, por ello, de subsunción mínimamente previsible en la modalidad activa del delito de malversación consistente en sustraer, como pretendida fuente de ilicitud de un determinado sistema de gestión.</w:t>
      </w:r>
    </w:p>
    <w:p w14:paraId="07475BE8" w14:textId="77777777" w:rsidR="003754FE" w:rsidRDefault="003754FE" w:rsidP="003754FE">
      <w:pPr>
        <w:pStyle w:val="TextoNormal"/>
      </w:pPr>
    </w:p>
    <w:p w14:paraId="31432064" w14:textId="77777777" w:rsidR="003754FE" w:rsidRDefault="003754FE" w:rsidP="003754FE">
      <w:pPr>
        <w:pStyle w:val="TextoNormal"/>
      </w:pPr>
      <w:r>
        <w:t>b) Modalidad omisiva del delito de malversación. En lo que se refiere a la modalidad omisiva consistente en consentir que un tercero sustraiga, la cobertura legal que las leyes de presupuestos de 2005 a 2009 daban a la utilización de las transferencias de financiación a la agencia IDEA para el pago de las ayudas sociolaborales y a empresas en crisis determina que la subsunción en el tipo de malversación resulte, igualmente, imprevisible desde la óptica del art. 25.1 CE, por las razones siguientes:</w:t>
      </w:r>
    </w:p>
    <w:p w14:paraId="302319FF" w14:textId="77777777" w:rsidR="003754FE" w:rsidRDefault="003754FE" w:rsidP="003754FE">
      <w:pPr>
        <w:pStyle w:val="TextoNormal"/>
      </w:pPr>
    </w:p>
    <w:p w14:paraId="5C3153E2" w14:textId="77777777" w:rsidR="003754FE" w:rsidRDefault="003754FE" w:rsidP="003754FE">
      <w:pPr>
        <w:pStyle w:val="TextoNormal"/>
      </w:pPr>
      <w:r>
        <w:t>(i) En el delito de malversación no hay omisión sancionable si no existe, previamente, un resultado ilícito, esto es, si no hay un acto de sustracción. En la propia construcción del Tribunal Supremo, la omisión castigada en el tipo del art. 432 CP se concibe como una omisión impropia, también llamada comisión por omisión. Dicha modalidad omisiva no consiste en la mera inactividad de la autoridad o funcionario, esto es, en un simple incumplimiento de un deber de actuar. Lo que se atribuye a la autoridad o funcionario público en la modalidad omisiva del delito de malversación es, empleando los términos del art. 11 CP, la “no evitación” de un determinado resultado.</w:t>
      </w:r>
    </w:p>
    <w:p w14:paraId="28BB6287" w14:textId="77777777" w:rsidR="003754FE" w:rsidRDefault="003754FE" w:rsidP="003754FE">
      <w:pPr>
        <w:pStyle w:val="TextoNormal"/>
      </w:pPr>
    </w:p>
    <w:p w14:paraId="32BC8911" w14:textId="77777777" w:rsidR="003754FE" w:rsidRDefault="003754FE" w:rsidP="003754FE">
      <w:pPr>
        <w:pStyle w:val="TextoNormal"/>
      </w:pPr>
      <w:r>
        <w:t>El resultado que, según la sentencia casacional, tanto la recurrente de amparo como las demás autoridades que participaron en la fase de presupuestación de las transferencias de financiación debían evitar era, según expone con toda claridad la referida resolución, la sustracción por terceros de los caudales públicos, entendida como la omisión global y absoluta, en la gestión de las ayudas sociolaborales y a empresas en crisis, de los requisitos y controles propios del régimen de las subvenciones. Las autoridades que intervenían en la fase de presupuestación de esas ayudas debían impedir, en definitiva, que se materializase ese régimen descontrolado de gestión.</w:t>
      </w:r>
    </w:p>
    <w:p w14:paraId="762FB30C" w14:textId="77777777" w:rsidR="003754FE" w:rsidRDefault="003754FE" w:rsidP="003754FE">
      <w:pPr>
        <w:pStyle w:val="TextoNormal"/>
      </w:pPr>
    </w:p>
    <w:p w14:paraId="5A9F550A" w14:textId="77777777" w:rsidR="003754FE" w:rsidRDefault="003754FE" w:rsidP="003754FE">
      <w:pPr>
        <w:pStyle w:val="TextoNormal"/>
      </w:pPr>
      <w:r>
        <w:t>Sin embargo, como ya hemos señalado en la STC 94/2024, de 2 de julio, FJ 5.3, la consideración como sustracción del sistema global que fue empleado en la gestión de los fondos públicos destinados al pago de las ayudas sociolaborales y a empresas en crisis resulta contraria al art. 25.1 CE, pues es completamente imprevisible calificar como disposición ilícita actuar conforme a los procedimientos y controles expresamente establecidos en las sucesivas leyes de presupuestos, como normas que tienen el mismo rango que cualquier otra ley. Según señalamos en la citada STC 94/2024, nadie puede prever razonablemente que vaya a ser condenado por el delito de malversación, esto es, por la disposición ilícita de caudales o efectos públicos, por realizar conductas que tienen cobertura en una norma con rango de ley que regula específicamente el supuesto de hecho al que ese individuo se enfrenta en su calidad de autoridad o funcionario público, pues tal ley, en tanto no sea declarada inconstitucional, ha de considerarse válida.</w:t>
      </w:r>
    </w:p>
    <w:p w14:paraId="458298D3" w14:textId="77777777" w:rsidR="003754FE" w:rsidRDefault="003754FE" w:rsidP="003754FE">
      <w:pPr>
        <w:pStyle w:val="TextoNormal"/>
      </w:pPr>
    </w:p>
    <w:p w14:paraId="7BC5E371" w14:textId="77777777" w:rsidR="003754FE" w:rsidRDefault="003754FE" w:rsidP="003754FE">
      <w:pPr>
        <w:pStyle w:val="TextoNormal"/>
      </w:pPr>
      <w:r>
        <w:t>Las transferencias de financiación comprendidas en el programa 31L fueron aprobadas en las sucesivas leyes de presupuestos de la Comunidad Autónoma de Andalucía y concretamente, en lo que a la recurrente de amparo se refiere, en las leyes de presupuestos de los años 2005 a 2009. Esa aprobación parlamentaria implica que las previsiones sobre la concesión y gestión de ayudas sociolaborales se incorporaron al ordenamiento jurídico como leyes. En consecuencia, las determinaciones contenidas en dichas leyes en relación con el régimen de concesión y control financiero de las ayudas sociolaborales y a empresas en crisis (en concepto de “transferencias de financiación”) no podían ser calificadas de ilícitas o ilegales; la consiguiente consideración de la mera ejecución de tales determinaciones como una sustracción de fondos públicos constitutiva de delito de malversación resultaba, por tal razón, completamente imprevisible y contraria a las exigencias del art. 25.1 CE.</w:t>
      </w:r>
    </w:p>
    <w:p w14:paraId="0B1035CF" w14:textId="77777777" w:rsidR="003754FE" w:rsidRDefault="003754FE" w:rsidP="003754FE">
      <w:pPr>
        <w:pStyle w:val="TextoNormal"/>
      </w:pPr>
    </w:p>
    <w:p w14:paraId="6A677AE3" w14:textId="77777777" w:rsidR="003754FE" w:rsidRDefault="003754FE" w:rsidP="003754FE">
      <w:pPr>
        <w:pStyle w:val="TextoNormal"/>
      </w:pPr>
      <w:r>
        <w:t>Es obvio que sin resultado típico susceptible de válida subsunción en la norma penal desparece también toda posibilidad de subsumir en el mismo precepto la conducta omisiva impropia que castiga a la autoridad que no ha evitado la materialización de ese resultado. En otras palabras, si la omisión de formalidades y procedimientos por parte de las autoridades y funcionarios que intervenían en la gestión de los fondos estaba amparada en la ley, la supresión de esos controles no puede considerarse una sustracción; en consecuencia, las autoridades implicadas en la fase de presupuestación no pudieron consentir sustracción alguna consistente en la supresión de tales trámites y controles.</w:t>
      </w:r>
    </w:p>
    <w:p w14:paraId="685AFB60" w14:textId="77777777" w:rsidR="003754FE" w:rsidRDefault="003754FE" w:rsidP="003754FE">
      <w:pPr>
        <w:pStyle w:val="TextoNormal"/>
      </w:pPr>
    </w:p>
    <w:p w14:paraId="241D6B59" w14:textId="77777777" w:rsidR="003754FE" w:rsidRDefault="003754FE" w:rsidP="003754FE">
      <w:pPr>
        <w:pStyle w:val="TextoNormal"/>
      </w:pPr>
      <w:r>
        <w:t xml:space="preserve">(ii) Por las mismas razones ha de considerarse imprevisible la subsunción en la norma penal del deber de actuar supuestamente infringido por la recurrente. Según las resoluciones impugnadas, la demandante de amparo nada hizo para evitar las irregularidades que se consumaban en la gestión de las ayudas sociolaborales y a empresas en crisis como consecuencia del “indebido” sistema de presupuestación. Sin embargo, si esas irregularidades eran, como es la tesis de las sentencias impugnadas, la consecuencia necesaria del sistema de presupuestación del programa 31L y este había sido aprobado en las sucesivas las leyes de presupuestos, la recurrente no tenía la obligación de oponerse a esas supuestas ilegalidades, pues no puede establecerse, como omisión sancionada en el delito de malversación, una exigencia de actuación </w:t>
      </w:r>
      <w:r w:rsidRPr="003754FE">
        <w:rPr>
          <w:i/>
        </w:rPr>
        <w:t>contra legem</w:t>
      </w:r>
      <w:r>
        <w:t xml:space="preserve">, esto es, una obligación de actuar para impedir la realización de actos que tienen expresa cobertura en las leyes de presupuestos en vigor. Tal cosa equivaldría a considerar que la conducta exigible a la recurrente de amparo era impedir </w:t>
      </w:r>
      <w:r>
        <w:lastRenderedPageBreak/>
        <w:t>la aplicación, por parte de las autoridades y funcionarios competentes, de las previsiones expresamente contempladas en una norma con rango de ley.</w:t>
      </w:r>
    </w:p>
    <w:p w14:paraId="3E5901F6" w14:textId="77777777" w:rsidR="003754FE" w:rsidRDefault="003754FE" w:rsidP="003754FE">
      <w:pPr>
        <w:pStyle w:val="TextoNormal"/>
      </w:pPr>
    </w:p>
    <w:p w14:paraId="381978C1" w14:textId="77777777" w:rsidR="003754FE" w:rsidRDefault="003754FE" w:rsidP="003754FE">
      <w:pPr>
        <w:pStyle w:val="TextoNormal"/>
      </w:pPr>
      <w:r>
        <w:t>Es importante reseñar, finalmente, que para alcanzar las conclusiones anteriores no es preciso pronunciarse sobre la eventual relación normativa de antinomia o complementariedad que pudiera existir entre el sistema de presupuestación establecido para las ayudas sociolaborales y a empresas en crisis en las sucesivas leyes de presupuestos de la Comunidad Autónoma de Andalucía de los años 2002 a 2009 y las disposiciones previstas en otras normas de rango legal, como la Ley 5/1983, de 19 de julio, de hacienda pública de Andalucía, o la Ley 38/2003, de 17 de noviembre, general de subvenciones. Las sentencias de instancia y casación son claras al considerar que existe una correspondencia absoluta entre el sistema de presupuestación aprobado por las leyes presupuestarias y el consiguiente sistema global de gestión de los fondos públicos sin sujeción al régimen de las subvenciones, rechazando, en diversos pasajes, que uno y otro puedan ser desconectados, ya que son eslabones sucesivos en la materialización de una ilegalidad originaria, contenida en el sistema de presupuestación inicialmente establecido. Es esa tesis de los órganos judiciales la que es objeto de escrutinio en este recurso de amparo y la que conduce, como se ha expresado, a apreciar que se ha producido una subsunción completamente imprevisible en el delito de malversación. A ella, por tanto, ha de ceñirse nuestro enjuiciamiento.</w:t>
      </w:r>
    </w:p>
    <w:p w14:paraId="0E97C6CA" w14:textId="77777777" w:rsidR="003754FE" w:rsidRDefault="003754FE" w:rsidP="003754FE">
      <w:pPr>
        <w:pStyle w:val="TextoNormal"/>
      </w:pPr>
    </w:p>
    <w:p w14:paraId="43BD245F" w14:textId="77777777" w:rsidR="003754FE" w:rsidRDefault="003754FE" w:rsidP="003754FE">
      <w:pPr>
        <w:pStyle w:val="TextoNormal"/>
      </w:pPr>
      <w:r>
        <w:t>La jurisdicción que nos corresponde ejercer en este proceso constitucional se circunscribe a la revisión de una condena penal desde la perspectiva tuitiva que es propia del derecho a la legalidad en materia sancionadora (art. 25.1 CE). Basta, por ello, con constatar que las leyes de presupuestos de los años 2002 a 2009 —que no fueron impugnadas ni cuestionadas ante este tribunal y que establecieron el sistema de presupuestación que las sentencias impugnadas consideran la fuente de todas las ilegalidades en la posterior concesión de las ayudas— estaban en vigor y amparaban el modo de gestión globalmente seguido para conceder las ayudas sociolaborales y a empresas en crisis a través de transferencias de financiación a la agencia IFA/IDEA.</w:t>
      </w:r>
    </w:p>
    <w:p w14:paraId="272DFD2C" w14:textId="77777777" w:rsidR="003754FE" w:rsidRDefault="003754FE" w:rsidP="003754FE">
      <w:pPr>
        <w:pStyle w:val="TextoNormal"/>
      </w:pPr>
    </w:p>
    <w:p w14:paraId="1406CEA6" w14:textId="77777777" w:rsidR="003754FE" w:rsidRDefault="003754FE" w:rsidP="003754FE">
      <w:pPr>
        <w:pStyle w:val="TextoNormal"/>
      </w:pPr>
      <w:r>
        <w:t>Ha de estimarse, por ello, vulnerado el derecho a la legalidad penal (art. 25.1 CE) en lo que se refiere a la forma global de gestión que la recurrente habría propiciado al participar en la elaboración de los anteproyectos de leyes de presupuestos de 2005 a 2009 y en la tramitación de las correspondientes modificaciones presupuestarias.</w:t>
      </w:r>
    </w:p>
    <w:p w14:paraId="7BFCFBBD" w14:textId="77777777" w:rsidR="003754FE" w:rsidRDefault="003754FE" w:rsidP="003754FE">
      <w:pPr>
        <w:pStyle w:val="TextoNormal"/>
      </w:pPr>
    </w:p>
    <w:p w14:paraId="16BE3F6E" w14:textId="77777777" w:rsidR="003754FE" w:rsidRDefault="003754FE" w:rsidP="003754FE">
      <w:pPr>
        <w:pStyle w:val="TextoNormal"/>
      </w:pPr>
      <w:r>
        <w:t>B) Hechos referidos a concretas aplicaciones de fondos públicos sin cobertura en el programa 31L</w:t>
      </w:r>
    </w:p>
    <w:p w14:paraId="1B1E29A8" w14:textId="77777777" w:rsidR="003754FE" w:rsidRDefault="003754FE" w:rsidP="003754FE">
      <w:pPr>
        <w:pStyle w:val="TextoNormal"/>
      </w:pPr>
    </w:p>
    <w:p w14:paraId="34CC2FAF" w14:textId="77777777" w:rsidR="003754FE" w:rsidRDefault="003754FE" w:rsidP="003754FE">
      <w:pPr>
        <w:pStyle w:val="TextoNormal"/>
      </w:pPr>
      <w:r>
        <w:t>La condena por malversación incluye también una serie de conductas —algunas de las cuales se materializaron en el período de tiempo en que la recurrente fue viceconsejera de Economía y Hacienda— cuya ilicitud no obedece a la supresión de trámites y controles como consecuencia del sistema de presupuestación utilizado sino a dos factores diferentes: a) por una parte, a la concesión de las concretas ayudas del programa 31L, por parte de las autoridades de la Consejería de Empleo, en ausencia de todo fin público, cuestión de la que se ocupa el fundamento de Derecho 45 de la sentencia de la Audiencia Provincial; b) por otra, a la asignación de fondos públicos a fines distintos y ajenos a los recogidos para el programa 31L, concretamente en los supuestos especificados en la letra C) del hecho probado vigesimosegundo.</w:t>
      </w:r>
    </w:p>
    <w:p w14:paraId="054A8E8B" w14:textId="77777777" w:rsidR="003754FE" w:rsidRDefault="003754FE" w:rsidP="003754FE">
      <w:pPr>
        <w:pStyle w:val="TextoNormal"/>
      </w:pPr>
    </w:p>
    <w:p w14:paraId="46F3B83A" w14:textId="77777777" w:rsidR="003754FE" w:rsidRDefault="003754FE" w:rsidP="003754FE">
      <w:pPr>
        <w:pStyle w:val="TextoNormal"/>
      </w:pPr>
      <w:r>
        <w:t>a) La Audiencia Provincial considera que las ayudas del programa 31L fueron concedidas por “los acusados pertenecientes a la Consejería de Empleo” (fundamento de Derecho 45, pág. 1722) sin que concurriera “el fin público o social” que constituía su causa legítima. Distingue, en este punto, dos clases de ayudas: (i) las que tenían como finalidad cubrir los importes de las indemnizaciones derivadas de expedientes de regulación de empleo en situaciones de insolvencia de la empresa empleadora (beneficiaria de la ayuda) y (ii) las que no guardaban relación con la tramitación y aprobación de los expedientes de regulación de empleo.</w:t>
      </w:r>
    </w:p>
    <w:p w14:paraId="1336395A" w14:textId="77777777" w:rsidR="003754FE" w:rsidRDefault="003754FE" w:rsidP="003754FE">
      <w:pPr>
        <w:pStyle w:val="TextoNormal"/>
      </w:pPr>
    </w:p>
    <w:p w14:paraId="62C90377" w14:textId="77777777" w:rsidR="003754FE" w:rsidRDefault="003754FE" w:rsidP="003754FE">
      <w:pPr>
        <w:pStyle w:val="TextoNormal"/>
      </w:pPr>
      <w:r>
        <w:t>(i) En cuanto a las ayudas que tenían como finalidad cubrir los importes de las indemnizaciones por rescisión de la relación laboral en situaciones de ERE, la Audiencia Provincial estima que la Consejería de Empleo otorgó este tipo de ayudas sin comprobar que las empresas beneficiarias carecieran de capacidad económica para afrontar el pago de las indemnizaciones de los trabajadores afectados. La administración pública andaluza asumió, de ese modo, los costes de los expedientes de regulación de empleo de empresas sin determinar si estas eran solventes o no (fundamento de Derecho 45, pág. 1711), lo que “facilitaba a estas empresas la reducción de plantilla, sin el coste económico que ello conlleva”, con “el consiguiente lucro para las mismas” (fundamento 45, pág. 1712).</w:t>
      </w:r>
    </w:p>
    <w:p w14:paraId="3CA2F3E0" w14:textId="77777777" w:rsidR="003754FE" w:rsidRDefault="003754FE" w:rsidP="003754FE">
      <w:pPr>
        <w:pStyle w:val="TextoNormal"/>
      </w:pPr>
    </w:p>
    <w:p w14:paraId="0FF18FD2" w14:textId="77777777" w:rsidR="003754FE" w:rsidRDefault="003754FE" w:rsidP="003754FE">
      <w:pPr>
        <w:pStyle w:val="TextoNormal"/>
      </w:pPr>
      <w:r>
        <w:t>(ii) En lo que respecta a las ayudas que no guardaban relación con la tramitación y aprobación de expedientes de regulación de empleo, considera la sentencia de la Audiencia Provincial que “[u]na parte importante” de estas otras subvenciones carecían “de objeto concreto y claramente definido” (fundamento de Derecho 45, pág. 1714) y señala que se destinaron a “fines muy diversos” como pago de nóminas, deudas, gastos de primer establecimiento de la empresa, minutas por asesoramiento jurídico en materia laboral, mejoras salariales derivadas de convenios colectivos, cursos de alta dirección, indemnizaciones derivadas de despidos improcedentes o préstamos para pago de nóminas. Añade que estas ayudas se concedieron sin comprobar las circunstancias del beneficiario, “especialmente en lo que se refiere a que la empresa no tuviera capacidad económica para hacer frente, en todo o en parte, a las obligaciones asumidas por la Junta” (fundamento 45, pág. 1715).</w:t>
      </w:r>
    </w:p>
    <w:p w14:paraId="177A785B" w14:textId="77777777" w:rsidR="003754FE" w:rsidRDefault="003754FE" w:rsidP="003754FE">
      <w:pPr>
        <w:pStyle w:val="TextoNormal"/>
      </w:pPr>
    </w:p>
    <w:p w14:paraId="54A90E60" w14:textId="77777777" w:rsidR="003754FE" w:rsidRDefault="003754FE" w:rsidP="003754FE">
      <w:pPr>
        <w:pStyle w:val="TextoNormal"/>
      </w:pPr>
      <w:r>
        <w:t>Concluye la Audiencia Provincial que los fondos del programa 31L fueron, en todos estos casos, objeto de disposición para realizar pagos “completamente ajenos al interés público” (fundamento de Derecho 45, pág. 1720), lo que sintetiza señalando que tanto las ayudas concedidas para la cobertura de situaciones de ERE como las “restantes subvenciones” se otorgaron sin que se acreditara “la incapacidad de la empresa para hacer frente a los pagos”, lo que “supone disponer de los fondos públicos para un fin ajeno al interés público” (fundamento 45, pág. 1721).</w:t>
      </w:r>
    </w:p>
    <w:p w14:paraId="3D179956" w14:textId="77777777" w:rsidR="003754FE" w:rsidRDefault="003754FE" w:rsidP="003754FE">
      <w:pPr>
        <w:pStyle w:val="TextoNormal"/>
      </w:pPr>
    </w:p>
    <w:p w14:paraId="7A6B8407" w14:textId="77777777" w:rsidR="003754FE" w:rsidRDefault="003754FE" w:rsidP="003754FE">
      <w:pPr>
        <w:pStyle w:val="TextoNormal"/>
      </w:pPr>
      <w:r>
        <w:t>Como puede comprobarse, la ilicitud de estos actos de disposición de los fondos públicos del programa 31L trasciende la mera omisión de trámites y procedimientos propios de la normativa de las subvenciones y está asociada a la ausencia, en el momento de la concesión de las ayudas por parte de la Consejería de Empleo, de una causa legítima, concretamente de una situación de insolvencia de la empresa beneficiaria que justificase que fuera la administración pública andaluza, y no la propia empresa afectada, la que asumiera los pagos correspondientes.</w:t>
      </w:r>
    </w:p>
    <w:p w14:paraId="7E410445" w14:textId="77777777" w:rsidR="003754FE" w:rsidRDefault="003754FE" w:rsidP="003754FE">
      <w:pPr>
        <w:pStyle w:val="TextoNormal"/>
      </w:pPr>
    </w:p>
    <w:p w14:paraId="4F5AE6D3" w14:textId="77777777" w:rsidR="003754FE" w:rsidRDefault="003754FE" w:rsidP="003754FE">
      <w:pPr>
        <w:pStyle w:val="TextoNormal"/>
      </w:pPr>
      <w:r>
        <w:lastRenderedPageBreak/>
        <w:t>Es claro que las leyes de presupuestos no legitimaban la disposición de los fondos presupuestados sin la concurrencia de los fines públicos propios de las ayudas sociolaborales y a empresas en crisis, por lo que esta concreta forma de disposición de los caudales por parte de la Consejería de Empleo, asociada a la ausencia de causa justificativa, no está abarcada por los razonamientos relativos a la imprevisible subsunción en el delito de malversación de la forma global de gestión del programa 31L derivada del sistema de presupuestación utilizado</w:t>
      </w:r>
      <w:r w:rsidRPr="003754FE">
        <w:rPr>
          <w:i/>
        </w:rPr>
        <w:t xml:space="preserve"> [vid. sup</w:t>
      </w:r>
      <w:r>
        <w:t>ra FJ 5.3 A)].</w:t>
      </w:r>
    </w:p>
    <w:p w14:paraId="1ACD8438" w14:textId="77777777" w:rsidR="003754FE" w:rsidRDefault="003754FE" w:rsidP="003754FE">
      <w:pPr>
        <w:pStyle w:val="TextoNormal"/>
      </w:pPr>
    </w:p>
    <w:p w14:paraId="0ED6405E" w14:textId="77777777" w:rsidR="003754FE" w:rsidRDefault="003754FE" w:rsidP="003754FE">
      <w:pPr>
        <w:pStyle w:val="TextoNormal"/>
      </w:pPr>
      <w:r>
        <w:t>b) Por su parte, en todos los casos comprendidos en la letra C) del hecho probado vigesimosegundo de la sentencia de la Audiencia Provincial, la carga de ilicitud que se atribuye a los actos de disposición realizados tampoco está en la omisión de determinados controles o procedimientos propios del régimen de subvenciones sino en el apartamiento, en la concreta concesión de los fondos, de los fines públicos contemplados en las sucesivas leyes de presupuestos para el programa 31L. Estaríamos, por tanto, ante actos de disposición cuya ilicitud no se atribuye a la estricta aplicación del sistema de presupuestación establecido en las normas presupuestarias en vigor. Al contrario, se habrían realizado con apartamiento de los fines legítimos que dicho sistema de presupuestación contemplaba. De ahí que la primera vertiente de la queja planteada por la recurrente, relativa a la imposibilidad de subsumir en el delito de malversación la realización de actos de gestión con cobertura legal, tampoco tenga virtualidad en este caso, pues la aplicación de los caudales a fines no previstos en el programa 31L carecía, precisamente, de cobertura legal.</w:t>
      </w:r>
    </w:p>
    <w:p w14:paraId="00EED3A5" w14:textId="77777777" w:rsidR="003754FE" w:rsidRDefault="003754FE" w:rsidP="003754FE">
      <w:pPr>
        <w:pStyle w:val="TextoNormal"/>
      </w:pPr>
    </w:p>
    <w:p w14:paraId="5BD46A67" w14:textId="77777777" w:rsidR="003754FE" w:rsidRDefault="003754FE" w:rsidP="003754FE">
      <w:pPr>
        <w:pStyle w:val="TextoNormal"/>
      </w:pPr>
      <w:r>
        <w:t>En relación con todos estos casos de disposición de fondos sin amparo en el sistema de presupuestación del programa 31L, sea por ausencia o por desviación de su fin público, hemos de determinar si las otras dos vertientes de la queja articulada por la actora pueden dar lugar a la estimación de la lesión del derecho fundamental a la legalidad penal (art. 25.1 CE). Sobre esta cuestión han de hacerse las siguientes consideraciones:</w:t>
      </w:r>
    </w:p>
    <w:p w14:paraId="2ACEE28B" w14:textId="77777777" w:rsidR="003754FE" w:rsidRDefault="003754FE" w:rsidP="003754FE">
      <w:pPr>
        <w:pStyle w:val="TextoNormal"/>
      </w:pPr>
    </w:p>
    <w:p w14:paraId="662625EC" w14:textId="77777777" w:rsidR="003754FE" w:rsidRDefault="003754FE" w:rsidP="003754FE">
      <w:pPr>
        <w:pStyle w:val="TextoNormal"/>
      </w:pPr>
      <w:r>
        <w:t>a) Ha de reseñarse, en primer lugar, que la condena de la demandante solo puede entenderse producida, en los supuestos aludidos, en aplicación de la modalidad omisiva del delito de malversación, esto es, por haber consentido que los fondos del programa 31L se concedieran en ausencia o con desviación de su fin público. Conviene por ello ocuparse primero del fundamento, desde la óptica del derecho a la legalidad penal, de la posición de garante en la que se sustenta esa responsabilidad por omisión y, después, de la interpretación del elemento objetivo del tipo relativo al deber de custodia o cuidado de los caudales.</w:t>
      </w:r>
    </w:p>
    <w:p w14:paraId="1E81C524" w14:textId="77777777" w:rsidR="003754FE" w:rsidRDefault="003754FE" w:rsidP="003754FE">
      <w:pPr>
        <w:pStyle w:val="TextoNormal"/>
      </w:pPr>
    </w:p>
    <w:p w14:paraId="51CB6CE3" w14:textId="77777777" w:rsidR="003754FE" w:rsidRDefault="003754FE" w:rsidP="003754FE">
      <w:pPr>
        <w:pStyle w:val="TextoNormal"/>
      </w:pPr>
      <w:r>
        <w:t>b) En cuanto a la posición de garante, asiste la razón al Ministerio Fiscal cuando señala que no resulta, en modo alguno, imprevisible ni metodológica o axiológicamente reprochable el entendimiento de que, una vez que la recurrente de amparo tuvo conocimiento de que se estaban utilizando fondos procedentes del programa 31L en ausencia o con desviación de su fin público, esta se hallaba, como viceconsejera de Economía y Hacienda, en una posición funcional y competencial idónea para tomar medidas tendentes a evitar que se realizaran nuevos actos de disposición sin el debido amparo en las leyes presupuestarias.</w:t>
      </w:r>
    </w:p>
    <w:p w14:paraId="69FA45DA" w14:textId="77777777" w:rsidR="003754FE" w:rsidRDefault="003754FE" w:rsidP="003754FE">
      <w:pPr>
        <w:pStyle w:val="TextoNormal"/>
      </w:pPr>
    </w:p>
    <w:p w14:paraId="59FE306A" w14:textId="77777777" w:rsidR="003754FE" w:rsidRDefault="003754FE" w:rsidP="003754FE">
      <w:pPr>
        <w:pStyle w:val="TextoNormal"/>
      </w:pPr>
      <w:r>
        <w:t xml:space="preserve">Ciertamente, como se señala en la demanda de amparo, no todo el mundo puede considerarse garante de lo que otros hacen en el ámbito de una administración autonómica, pero no es irrazonable inferir, como hacen las sentencias impugnadas, que quien ejerce un alto cargo de responsabilidad política en materia económico-financiera no puede permanecer </w:t>
      </w:r>
      <w:r>
        <w:lastRenderedPageBreak/>
        <w:t>indiferente ante la disposición de caudales públicos en ausencia o con desviación de su finalidad legítima, por más que esos comportamientos se estén produciendo en un departamento que no es, estrictamente, el suyo. Por ello, si la actora tenía conocimiento de los referidos actos de disposición, es razonable entender que tenía el deber de realizar alguna actuación, bien en sus funciones de asesoramiento jurídico del consejero, bien dentro de los debates de la Comisión General de Viceconsejeros, tendente a evitar que esos caudales públicos siguieran concediéndose en ausencia de fin público o para fines diversos de los presupuestariamente autorizados.</w:t>
      </w:r>
    </w:p>
    <w:p w14:paraId="5D504327" w14:textId="77777777" w:rsidR="003754FE" w:rsidRDefault="003754FE" w:rsidP="003754FE">
      <w:pPr>
        <w:pStyle w:val="TextoNormal"/>
      </w:pPr>
    </w:p>
    <w:p w14:paraId="45148160" w14:textId="77777777" w:rsidR="003754FE" w:rsidRDefault="003754FE" w:rsidP="003754FE">
      <w:pPr>
        <w:pStyle w:val="TextoNormal"/>
      </w:pPr>
      <w:r>
        <w:t>c) En cuanto a la custodia de los caudales, el Tribunal Supremo funda la subsunción de la conducta de la recurrente, en este concreto punto, en una consolidada doctrina jurisprudencial (citada por la sentencia casacional en el fundamento de Derecho 32.2, págs. 315-316), según la cual la expresión tener a su cargo contemplada en el art. 432.1 CP abarca toda capacidad jurídica o material de disposición e inversión que permita a la autoridad o funcionario concernido participar de manera relevante en la determinación del destino final de los caudales.</w:t>
      </w:r>
    </w:p>
    <w:p w14:paraId="206D7A95" w14:textId="77777777" w:rsidR="003754FE" w:rsidRDefault="003754FE" w:rsidP="003754FE">
      <w:pPr>
        <w:pStyle w:val="TextoNormal"/>
      </w:pPr>
    </w:p>
    <w:p w14:paraId="61116391" w14:textId="77777777" w:rsidR="003754FE" w:rsidRDefault="003754FE" w:rsidP="003754FE">
      <w:pPr>
        <w:pStyle w:val="TextoNormal"/>
      </w:pPr>
      <w:r>
        <w:t>Esa interpretación no desborda el sentido literal de la norma, ya que la referencia típica a la expresión tener “a su cargo” implica, según el sentido común de esta locución contemplado en el diccionario de la Real Academia Española, que los caudales están confiados o al cuidado de una persona. En el art. 432.1 CP esa confianza o cuidado viene determinada, además, “por razón de sus funciones o con ocasión de las mismas”. Pues bien, como acaba de explicarse, es razonable entender que a la recurrente de amparo, con ocasión de la tramitación jurídica de los anteproyectos de leyes de presupuestos en los que se determinaban los créditos atribuidos al programa 31L, le correspondía un deber de cuidado de los fondos consignados para dicho programa, lo que exigía que actuara para evitar que siguieran empleándose en ausencia de fin público o para fines distintos de los permitidos en la norma presupuestaria. Es razonable, en definitiva, considerar que, desde la óptica propia de la modalidad omisiva de malversación, se ejercían funciones relativas al cuidado de los caudales.</w:t>
      </w:r>
    </w:p>
    <w:p w14:paraId="057F74EF" w14:textId="77777777" w:rsidR="003754FE" w:rsidRDefault="003754FE" w:rsidP="003754FE">
      <w:pPr>
        <w:pStyle w:val="TextoNormal"/>
      </w:pPr>
    </w:p>
    <w:p w14:paraId="570DC181" w14:textId="77777777" w:rsidR="003754FE" w:rsidRDefault="003754FE" w:rsidP="003754FE">
      <w:pPr>
        <w:pStyle w:val="TextoNormal"/>
      </w:pPr>
      <w:r>
        <w:t>Tal inteligencia del precepto no es contraria a las pautas metodológicas generalmente aceptadas, pues obedece a una interpretación teleológica o finalista que conecta el delito de malversación con “la confianza de la sociedad en el manejo honesto de los fondos públicos” y con la garantía de “los deberes de fidelidad y transparencia” de los funcionarios. Tampoco es axiológicamente reprochable, pues engarza la interpretación del tipo con el deber de los funcionarios que componen las administraciones públicas de servir con objetividad a los intereses generales (art. 103 CE), lo que es incompatible con la asunción, por parte de un alto cargo político en materia financiera, de una posición de indiferencia o ajenidad al uso ilícito del patrimonio público.</w:t>
      </w:r>
    </w:p>
    <w:p w14:paraId="3D9702D2" w14:textId="77777777" w:rsidR="003754FE" w:rsidRDefault="003754FE" w:rsidP="003754FE">
      <w:pPr>
        <w:pStyle w:val="TextoNormal"/>
      </w:pPr>
    </w:p>
    <w:p w14:paraId="316A3591" w14:textId="6439E178" w:rsidR="003754FE" w:rsidRDefault="003754FE" w:rsidP="003754FE">
      <w:pPr>
        <w:pStyle w:val="TextoNormal"/>
      </w:pPr>
      <w:r>
        <w:t>Ha de desestimarse, por ello, la vulneración del derecho a la legalidad penal (art. 25.1 CE) en relación con la subsunción en el delito de malversación de estas otras conductas.</w:t>
      </w:r>
    </w:p>
    <w:p w14:paraId="5751DD68" w14:textId="77777777" w:rsidR="003754FE" w:rsidRDefault="003754FE" w:rsidP="003754FE">
      <w:pPr>
        <w:pStyle w:val="TextoNormal"/>
      </w:pPr>
    </w:p>
    <w:p w14:paraId="7386AC01" w14:textId="77777777" w:rsidR="003754FE" w:rsidRDefault="003754FE" w:rsidP="003754FE">
      <w:pPr>
        <w:pStyle w:val="TextoNormal"/>
      </w:pPr>
      <w:r w:rsidRPr="003754FE">
        <w:rPr>
          <w:rStyle w:val="NumeroAFNegritaCaracter"/>
        </w:rPr>
        <w:t>6</w:t>
      </w:r>
      <w:r>
        <w:t xml:space="preserve">. </w:t>
      </w:r>
      <w:r w:rsidRPr="003754FE">
        <w:rPr>
          <w:i/>
        </w:rPr>
        <w:t>Enjuiciamiento de la queja relativa a la vulneración del derecho a la presunción de inocencia (art. 24.2 CE) en relación con la condena por delito de malversación de caudales públicos respecto de las ayudas concedidas en ausencia de fin público y las partidas desviadas del programa presupuestario 31L declaradas en la sentencia de instancia</w:t>
      </w:r>
    </w:p>
    <w:p w14:paraId="5968B949" w14:textId="77777777" w:rsidR="003754FE" w:rsidRDefault="003754FE" w:rsidP="003754FE">
      <w:pPr>
        <w:pStyle w:val="TextoNormal"/>
      </w:pPr>
    </w:p>
    <w:p w14:paraId="065554EA" w14:textId="77777777" w:rsidR="003754FE" w:rsidRDefault="003754FE" w:rsidP="003754FE">
      <w:pPr>
        <w:pStyle w:val="TextoNormal"/>
      </w:pPr>
      <w:r>
        <w:lastRenderedPageBreak/>
        <w:t xml:space="preserve">6.1. </w:t>
      </w:r>
      <w:r w:rsidRPr="003754FE">
        <w:rPr>
          <w:i/>
        </w:rPr>
        <w:t>Posiciones de las partes</w:t>
      </w:r>
    </w:p>
    <w:p w14:paraId="38A856CB" w14:textId="77777777" w:rsidR="003754FE" w:rsidRDefault="003754FE" w:rsidP="003754FE">
      <w:pPr>
        <w:pStyle w:val="TextoNormal"/>
      </w:pPr>
    </w:p>
    <w:p w14:paraId="5378B8EE" w14:textId="77777777" w:rsidR="003754FE" w:rsidRDefault="003754FE" w:rsidP="003754FE">
      <w:pPr>
        <w:pStyle w:val="TextoNormal"/>
      </w:pPr>
      <w:r>
        <w:t>La recurrente en amparo, en el cuarto motivo de su demanda, denuncia que la condena por delito de malversación de caudales públicos (art. 432 CP) vulnera su derecho a la presunción de inocencia (art. 24.2 CE) en relación con su derecho a la libertad (art. 17.1 CE) porque no se ha acreditado el elemento subjetivo del delito. La sentencia de instancia le atribuye una participación a título de dolo eventual en los actos de desviación de los fondos públicos, efectuados en la fase de gestión, mediante un juicio de inferencia ilógico o excesivamente abierto que no satisface los requisitos exigidos en la doctrina constitucional para que la prueba indiciaria pueda enervar la presunción de inocencia (cita la STC 133/2014, de 22 de julio, FJ 8).</w:t>
      </w:r>
    </w:p>
    <w:p w14:paraId="20A60B02" w14:textId="77777777" w:rsidR="003754FE" w:rsidRDefault="003754FE" w:rsidP="003754FE">
      <w:pPr>
        <w:pStyle w:val="TextoNormal"/>
      </w:pPr>
    </w:p>
    <w:p w14:paraId="26B67242" w14:textId="77777777" w:rsidR="003754FE" w:rsidRDefault="003754FE" w:rsidP="003754FE">
      <w:pPr>
        <w:pStyle w:val="TextoNormal"/>
      </w:pPr>
      <w:r>
        <w:t>Sostiene que la sentencia de instancia considera que la recurrente habría asumido la realización de esos concretos actos malversadores como consecuencia de la aprobación de unos anteproyectos de leyes de presupuestos en los que, mediante la inclusión del concepto presupuestario de transferencias de financiación al IFA/IDEA, se suprimían controles administrativos para aligerar los trámites en la concesión y pago de las ayudas. La sentencia concede una importancia decisiva al informe adicional al informe de control financiero permanente de la intervención delegada sobre ayudas del año 2003, informe del que, a juicio de la recurrente, no es posible inferir de una manera lógica y racional el dolo eventual que la sentencia le atribuye. Reconoce que es cierto que en el mismo se detectan ciertas irregularidades en catorce expedientes, pero no se aprecia un riesgo de menoscabo de los fondos públicos, pues de haber sido así la Intervención debiera haber emitido un informe de actuación, lo que no se produjo. El informe se refiere a ayudas gestionadas en unas fechas anteriores a que la recurrente ocupara su cargo por una dirección general perteneciente a una consejería distinta. El informe, además, no hace mención alguna a la existencia de intrusos, pagos cruzados o desviaciones de fondos a fines distintos de los previstos en el programa presupuestario.</w:t>
      </w:r>
    </w:p>
    <w:p w14:paraId="75C7070A" w14:textId="77777777" w:rsidR="003754FE" w:rsidRDefault="003754FE" w:rsidP="003754FE">
      <w:pPr>
        <w:pStyle w:val="TextoNormal"/>
      </w:pPr>
    </w:p>
    <w:p w14:paraId="7EF4485A" w14:textId="77777777" w:rsidR="003754FE" w:rsidRDefault="003754FE" w:rsidP="003754FE">
      <w:pPr>
        <w:pStyle w:val="TextoNormal"/>
      </w:pPr>
      <w:r>
        <w:t>Añade que la propia sentencia de instancia reconoce que la clasificación presupuestaria como transferencias de financiación perseguía la finalidad de “lograr la plasmación de la decisión política de concesión de ayudas con total rapidez” para “dar una respuesta inmediata a los grandes conflictos sociolaborales”, lo que trató de evitarse con “un sistema ágil”, que implicaba, eso sí, la supresión de controles legalmente establecidos por lo que, si la modificación de la clasificación presupuestaria perseguía esa finalidad, la omisión de trámites de control encuentra una finalidad alternativa a la defraudatoria que explicaría la actuación de la recurrente, ajena a todo móvil malversador.</w:t>
      </w:r>
    </w:p>
    <w:p w14:paraId="1EFA5673" w14:textId="77777777" w:rsidR="003754FE" w:rsidRDefault="003754FE" w:rsidP="003754FE">
      <w:pPr>
        <w:pStyle w:val="TextoNormal"/>
      </w:pPr>
    </w:p>
    <w:p w14:paraId="340558C6" w14:textId="77777777" w:rsidR="003754FE" w:rsidRDefault="003754FE" w:rsidP="003754FE">
      <w:pPr>
        <w:pStyle w:val="TextoNormal"/>
      </w:pPr>
      <w:r>
        <w:t xml:space="preserve">La demanda de amparo también introduce la denuncia de vulneración del derecho a la presunción de inocencia en los motivos quinto y sexto, en conexión con los derechos fundamentales a la legalidad penal (art. 25.1 CE) y a un proceso con todas las garantías (art. 24.2 CE), atribuyéndola a la sentencia de casación. En estos motivos se reprocha al Tribunal Supremo que, para confirmar su condena, introdujo elementos fácticos nuevos sin sustento probatorio, ajenos y contradictorios con los del </w:t>
      </w:r>
      <w:r w:rsidRPr="003754FE">
        <w:rPr>
          <w:i/>
        </w:rPr>
        <w:t>factum</w:t>
      </w:r>
      <w:r>
        <w:t xml:space="preserve"> de la sentencia de instancia, en particular, la mutación del elemento subjetivo: lo que en la sentencia de instancia era una situación de dolo eventual se convierte en dolo directo y el resultado malversador pasa a ser el objetivo principal perseguido con el cambio de presupuestación. Se trató así de suplir la falta de un juicio de autoría en la sentencia de instancia, mediante la realización de un nuevo </w:t>
      </w:r>
      <w:r>
        <w:lastRenderedPageBreak/>
        <w:t xml:space="preserve">juicio de culpabilidad, que excedía de las funciones revisoras de la casación y se basaba en un conocimiento directo y unos actos realizados en la Consejería de Empleo que ni están en el </w:t>
      </w:r>
      <w:r w:rsidRPr="003754FE">
        <w:rPr>
          <w:i/>
        </w:rPr>
        <w:t>factum</w:t>
      </w:r>
      <w:r>
        <w:t xml:space="preserve"> de la sentencia de instancia, ni han sido probados, ni se pueden inferir de las pruebas practicadas, puesto que la propia sala de instancia descartó el conocimiento directo de las personas ajenas a la Consejería de Empleo de que se estuviera realizando por el director general de trabajo una disposición de los fondos ajena a los fines públicos. Según la recurrente, el Tribunal Supremo funda el dolo directo en premisas fácticas nuevas, atribuyendo a la recurrente unas capacidades y competencias sobre la concreta disposición de fondos sobre las que la Audiencia Provincial nada había dicho, tratando de ensamblar la responsabilidad penal de todos los intervinientes con el argumento de que compartían el propósito común de llegar al resultado malversador.</w:t>
      </w:r>
    </w:p>
    <w:p w14:paraId="3A626D4D" w14:textId="77777777" w:rsidR="003754FE" w:rsidRDefault="003754FE" w:rsidP="003754FE">
      <w:pPr>
        <w:pStyle w:val="TextoNormal"/>
      </w:pPr>
    </w:p>
    <w:p w14:paraId="24B1FAC7" w14:textId="77777777" w:rsidR="003754FE" w:rsidRDefault="003754FE" w:rsidP="003754FE">
      <w:pPr>
        <w:pStyle w:val="TextoNormal"/>
      </w:pPr>
      <w:r>
        <w:t>El Partido Popular en su escrito de alegaciones ha rebatido la vulneración del derecho a la presunción de inocencia porque entiende que existían pruebas de cargo, que fueron valoradas racionalmente, para fundar el juicio de culpabilidad de la recurrente, con remisión y cita de los pasajes de las resoluciones judiciales impugnadas que considera más relevantes. Niega asimismo que la sentencia casacional introdujera elementos fácticos nuevos y carentes de sustento probatorio para confirmar la condena por malversación, a cuyo efecto cita fragmentos de la misma de los que concluye que se limitó a hacer valoraciones puramente jurídicas, complementarias de las de la sentencia de instancia, respetuosas con el relato de hechos probados recogido en la misma.</w:t>
      </w:r>
    </w:p>
    <w:p w14:paraId="05FA431C" w14:textId="77777777" w:rsidR="003754FE" w:rsidRDefault="003754FE" w:rsidP="003754FE">
      <w:pPr>
        <w:pStyle w:val="TextoNormal"/>
      </w:pPr>
    </w:p>
    <w:p w14:paraId="1D8983C6" w14:textId="77777777" w:rsidR="003754FE" w:rsidRDefault="003754FE" w:rsidP="003754FE">
      <w:pPr>
        <w:pStyle w:val="TextoNormal"/>
      </w:pPr>
      <w:r>
        <w:t>El Ministerio Fiscal también niega que se haya vulnerado el derecho a la presunción de inocencia de la recurrente en virtud de su condena por delito de malversación, porque dicha condena no se funda, como se afirma en la demanda, en su actuación en la fase de elaboración de las partidas presupuestarias, sino en no haber evitado, teniendo el deber de hacerlo, los actos de disposición ilícita realizados en la fase de ejecución, lo que supone “haber consentido” la libre disposición de caudales públicos que tuvo lugar en la Consejería de Empleo, conducta acreditada por prueba testifical, documental y pericial, y especialmente por el informe pericial elaborado por la Intervención General del Estado. A partir de esta prueba, las resoluciones judiciales infieren de manera razonable que la recurrente tenía conocimiento de las numerosas infracciones de la legalidad que se estaban cometiendo en la disposición de los fondos y que, pese a ello, no hizo nada para poner fin a esta situación mediante el uso de sus atribuciones.</w:t>
      </w:r>
    </w:p>
    <w:p w14:paraId="3AB39E24" w14:textId="77777777" w:rsidR="003754FE" w:rsidRDefault="003754FE" w:rsidP="003754FE">
      <w:pPr>
        <w:pStyle w:val="TextoNormal"/>
      </w:pPr>
    </w:p>
    <w:p w14:paraId="4B81944D" w14:textId="77777777" w:rsidR="003754FE" w:rsidRDefault="003754FE" w:rsidP="003754FE">
      <w:pPr>
        <w:pStyle w:val="TextoNormal"/>
      </w:pPr>
      <w:r>
        <w:t>Rechaza asimismo el fiscal la queja de que el Tribunal Supremo hubiera introducido elementos fácticos nuevos, pues la sentencia de instancia reconocía que el cambio de presupuestación de las ayudas sociolaborales era para lograr una mayor rapidez en su concesión y pago, pero también establecía que se había buscado eludir la fiscalización previa y la tramitación de los expedientes o, más generalmente, la aplicación de la normativa de subvenciones. En lo que se refiere a la afirmación en la sentencia casacional de la existencia de un “propósito común” entre los acusados, considera el fiscal que no se trata de una afirmación fáctica sino de una mera referencia argumental efectuada en dos pasajes de la resolución sobre el hecho de que los acusados realizaron sus conductas de forma individual, pero con la misma finalidad.</w:t>
      </w:r>
    </w:p>
    <w:p w14:paraId="7247D662" w14:textId="77777777" w:rsidR="003754FE" w:rsidRDefault="003754FE" w:rsidP="003754FE">
      <w:pPr>
        <w:pStyle w:val="TextoNormal"/>
      </w:pPr>
    </w:p>
    <w:p w14:paraId="2BC3784E" w14:textId="77777777" w:rsidR="003754FE" w:rsidRDefault="003754FE" w:rsidP="003754FE">
      <w:pPr>
        <w:pStyle w:val="TextoNormal"/>
      </w:pPr>
      <w:r>
        <w:t xml:space="preserve">Desestima finalmente el fiscal la alegación de que la sentencia de instancia no contenga un juicio de autoría y que el juicio de culpabilidad lo realizó </w:t>
      </w:r>
      <w:r w:rsidRPr="003754FE">
        <w:rPr>
          <w:i/>
        </w:rPr>
        <w:t>ex novo</w:t>
      </w:r>
      <w:r>
        <w:t xml:space="preserve"> el Tribunal Supremo </w:t>
      </w:r>
      <w:r>
        <w:lastRenderedPageBreak/>
        <w:t>en su sentencia. Explica el fiscal que la sentencia de instancia dedica un fundamento jurídico al juicio de autoría que, aunque de manera lacónica, contiene un juicio expreso y jurídicamente fundado.</w:t>
      </w:r>
    </w:p>
    <w:p w14:paraId="482C90D1" w14:textId="77777777" w:rsidR="003754FE" w:rsidRDefault="003754FE" w:rsidP="003754FE">
      <w:pPr>
        <w:pStyle w:val="TextoNormal"/>
      </w:pPr>
    </w:p>
    <w:p w14:paraId="0B2111A7" w14:textId="77777777" w:rsidR="003754FE" w:rsidRDefault="003754FE" w:rsidP="003754FE">
      <w:pPr>
        <w:pStyle w:val="TextoNormal"/>
      </w:pPr>
      <w:r>
        <w:t xml:space="preserve">6.2. </w:t>
      </w:r>
      <w:r w:rsidRPr="003754FE">
        <w:rPr>
          <w:i/>
        </w:rPr>
        <w:t>Pronunciamiento de los órganos judiciales</w:t>
      </w:r>
    </w:p>
    <w:p w14:paraId="67E33CBB" w14:textId="77777777" w:rsidR="003754FE" w:rsidRDefault="003754FE" w:rsidP="003754FE">
      <w:pPr>
        <w:pStyle w:val="TextoNormal"/>
      </w:pPr>
    </w:p>
    <w:p w14:paraId="1810B874" w14:textId="77777777" w:rsidR="003754FE" w:rsidRDefault="003754FE" w:rsidP="003754FE">
      <w:pPr>
        <w:pStyle w:val="TextoNormal"/>
      </w:pPr>
      <w:r>
        <w:t>Como ya se ha expuesto en el fundamento de Derecho 2, la sentencia de la Audiencia Provincial de Sevilla condena a la demandante de amparo por delito de malversación por haber intervenido de manera personal, en el desempeño de sus competencias como viceconsejera de Economía y Hacienda, en la aprobación de los anteproyectos de leyes de presupuestos para los ejercicios presupuestarios de 2005 a 2009, en cuyo programa 31L se consignaron los créditos iniciales de las aplicaciones destinadas a transferencias de financiación a la agencia IDEA para el pago de ayudas sociolaborales y a empresas en crisis, y asimismo por haber participado en la tramitación de diversas modificaciones presupuestarias que incrementaron dichos créditos.</w:t>
      </w:r>
    </w:p>
    <w:p w14:paraId="73DD58E6" w14:textId="77777777" w:rsidR="003754FE" w:rsidRDefault="003754FE" w:rsidP="003754FE">
      <w:pPr>
        <w:pStyle w:val="TextoNormal"/>
      </w:pPr>
    </w:p>
    <w:p w14:paraId="6DB2224D" w14:textId="77777777" w:rsidR="003754FE" w:rsidRDefault="003754FE" w:rsidP="003754FE">
      <w:pPr>
        <w:pStyle w:val="TextoNormal"/>
      </w:pPr>
      <w:r>
        <w:t>La realización del tipo subjetivo del delito se funda en el conocimiento que tenía la demandante de que este sistema de presupuestación era causa de las graves irregularidades que se producían luego en la gestión de los fondos públicos, pues la Consejería de Empleo, que era la que realmente pagaba las ayudas, utilizando indebidamente a la agencia IDEA como entidad colaboradora, no tenía que tramitar expedientes de gasto para la concesión de las ayudas y, de ese modo, evitaba someterlos a la fiscalización previa por la Intervención de la Junta de Andalucía, que era preceptiva para la concesión de subvenciones, lo que condujo a que asumiera compromisos de pago por encima de la cobertura presupuestaria que generaron el consiguiente déficit en la agencia IDEA.</w:t>
      </w:r>
    </w:p>
    <w:p w14:paraId="19CC5FF5" w14:textId="77777777" w:rsidR="003754FE" w:rsidRDefault="003754FE" w:rsidP="003754FE">
      <w:pPr>
        <w:pStyle w:val="TextoNormal"/>
      </w:pPr>
    </w:p>
    <w:p w14:paraId="69D925F0" w14:textId="77777777" w:rsidR="003754FE" w:rsidRDefault="003754FE" w:rsidP="003754FE">
      <w:pPr>
        <w:pStyle w:val="TextoNormal"/>
      </w:pPr>
      <w:r>
        <w:t>La sentencia de instancia argumenta que la demandante, al ser consciente de la palmaria ilegalidad de un sistema de presupuestación que propiciaba que la Consejería de Empleo concediera las ayudas “al margen del presupuesto, imposibilitando así su fiscalización previa, lo que favoreció un descontrol absoluto” (fundamento de Derecho 38, pág. 1389) “asumi[ó] la eventualidad de que los fondos vinculados al programa 31L fueran objeto de disposición con fines ajenos al fin público al que estaban destinados” (fundamento 38, pág. 1400, y fundamento 49, pág. 1810), pese a lo cual continuó tramitando del mismo modo los instrumentos de presupuestación de los ejercicios 2005 a 2009 y no adoptó medidas eficaces para evitar que se siguieran materializando las irregularidades asociadas a ese sistema de presupuestación en la consiguiente gestión de las ayudas comprendidas en el programa 31L.</w:t>
      </w:r>
    </w:p>
    <w:p w14:paraId="468CBF71" w14:textId="77777777" w:rsidR="003754FE" w:rsidRDefault="003754FE" w:rsidP="003754FE">
      <w:pPr>
        <w:pStyle w:val="TextoNormal"/>
      </w:pPr>
    </w:p>
    <w:p w14:paraId="259C4A39" w14:textId="77777777" w:rsidR="003754FE" w:rsidRDefault="003754FE" w:rsidP="003754FE">
      <w:pPr>
        <w:pStyle w:val="TextoNormal"/>
      </w:pPr>
      <w:r>
        <w:t xml:space="preserve">La sentencia de casación, por su parte, establece que quienes intervinieron en la fase de presupuestación, como es el caso de la demandante, incurrieron en malversación, al tratarse de un delito que comprende tanto una contribución activa para la comisión de “la acción típica” de sustraer —pues sin la aprobación de los presupuestos y las modificaciones presupuestarias no habría sido posible la gestión libérrima de las ayudas— como también la “omisión de medidas eficaces para evitar el dispendio, una vez que fue conocido”, lo que puede subsumirse en la modalidad comisiva consistente en consentir que un tercero sustraiga (fundamento de Derecho 35.2, pág. 341). Las autoridades que intervinieron en el proceso de presupuestación tenían “funcionalmente asignada la competencia para decidir sobre el destino de los fondos públicos, aprobando o no las correspondientes partidas presupuestarias, sin cuya existencia la concesión y pago de las ayudas no habría sido posible, y todos aquellos </w:t>
      </w:r>
      <w:r>
        <w:lastRenderedPageBreak/>
        <w:t>que conocieron las ilegalidades en su concesión y pago, contribuyeron causalmente al desarrollo de la acción en la medida en que no lo impidieron” (fundamento 37.2, pág. 347).</w:t>
      </w:r>
    </w:p>
    <w:p w14:paraId="3EBB3EAC" w14:textId="77777777" w:rsidR="003754FE" w:rsidRDefault="003754FE" w:rsidP="003754FE">
      <w:pPr>
        <w:pStyle w:val="TextoNormal"/>
      </w:pPr>
    </w:p>
    <w:p w14:paraId="3B907D0E" w14:textId="77777777" w:rsidR="003754FE" w:rsidRDefault="003754FE" w:rsidP="003754FE">
      <w:pPr>
        <w:pStyle w:val="TextoNormal"/>
      </w:pPr>
      <w:r>
        <w:t>En relación con la participación subjetiva en la dinámica malversadora de las autoridades que intervinieron en la fase de presupuestación, la sentencia de casación señala que “[e]s cierto que la sentencia [de instancia] no describe la existencia de un concierto entre todos los autores, pero según argumentamos más adelante, su existencia era implícita y, en todo caso, no era imprescindible para establecer el juicio de autoría” (fundamento de Derecho 37.2, pág. 347) afirmando en pasajes posteriores que “[p]recisamente se cambió el sistema de presupuestación para evitar todo control y para disponer del erario público de forma discrecional y arbitraria, al margen de todo condicionante legal” (fundamento 37.2, págs. 348 y 349) y que “[s]e cambió el sistema de presupuestación para que el gasto se hiciera de una determinada forma y las autoridades que hicieron esa modificación y que la mantuvieron conocían lo que iba a suceder” (fundamento 73, pág. 593).</w:t>
      </w:r>
    </w:p>
    <w:p w14:paraId="5AE968E8" w14:textId="77777777" w:rsidR="003754FE" w:rsidRDefault="003754FE" w:rsidP="003754FE">
      <w:pPr>
        <w:pStyle w:val="TextoNormal"/>
      </w:pPr>
    </w:p>
    <w:p w14:paraId="7D07602F" w14:textId="77777777" w:rsidR="003754FE" w:rsidRDefault="003754FE" w:rsidP="003754FE">
      <w:pPr>
        <w:pStyle w:val="TextoNormal"/>
      </w:pPr>
      <w:r>
        <w:t>En resumen, la sentencia de instancia dedica la mayor parte de su esfuerzo argumental a inferir que la recurrente, en virtud del desempeño de su cargo de viceconsejera de Hacienda, entre el mes de abril de 2004 y el mes de abril de 2009, y de consejera de Hacienda, desde el mes de abril de 2009, había alcanzado el conocimiento cabal de que los fondos aprobados para la aplicación presupuestaria de transferencias de financiación al IFA/IDEA, que las leyes de presupuestos venían integrando en el programa 31L desde el ejercicio de 2002, eran aplicados en la Consejería de Empleo, por la Dirección General de Trabajo y Seguridad Social, a la concesión y pago de ayudas sociolaborales y a empresas en crisis, sin fiscalización previa de la intervención delegada y sin sujetarse al procedimiento establecido en la legislación reguladora de las subvenciones, conducta que la sentencia subsume en el delito continuado de malversación de caudales públicos, cualificado por su cuantía y daño al servicio público, del art. 432.2 CP. En su desarrollo argumental la sentencia de instancia analiza y valora asimismo la participación de la demandante de amparo en las sesiones de la Comisión General de Viceconsejeros, en los grupos de trabajo constituidos en el seno de su consejería, cuyo objeto era el análisis de los programas presupuestarios de las distintas consejerías y centros directivos, y en el consejo rector del IFA/IDEA, que aprobaba sus cuentas anuales, así como que fue destinataria de los informes de la Intervención.</w:t>
      </w:r>
    </w:p>
    <w:p w14:paraId="2475B987" w14:textId="77777777" w:rsidR="003754FE" w:rsidRDefault="003754FE" w:rsidP="003754FE">
      <w:pPr>
        <w:pStyle w:val="TextoNormal"/>
      </w:pPr>
    </w:p>
    <w:p w14:paraId="0B52373B" w14:textId="77777777" w:rsidR="003754FE" w:rsidRDefault="003754FE" w:rsidP="003754FE">
      <w:pPr>
        <w:pStyle w:val="TextoNormal"/>
      </w:pPr>
      <w:r>
        <w:t>La sentencia del Tribunal Supremo ratifica la valoración de la prueba de la sentencia de instancia, al tiempo que declara que “[s]e cambió el sistema de presupuestación para que el gasto se hiciera de una determinada forma y las autoridades que hicieron esa modificación y que la mantuvieron conocían lo que iba a suceder” (fundamento de Derecho 73, pág. 593); que “las distintas autoridades que intervinieron en los procesos normativos […] utilizaron ilegalmente las transferencias de financiación precisamente para eludir la normativa de subvenciones y sus controles” (fundamento 80, pág. 611); y que “[l]os miembros de la Consejería [de Hacienda] conocían, por tanto, el destino que se iba a dar a las partidas aprobadas a través de transferencias de financiación y conocían, además, que a través de estas partidas se pretendía corregir el desfase presupuestario que anualmente se producía en IFA/IDEA” (fundamento 82.1, págs. 623 y 624). Concluye, en definitiva, que la finalidad perseguida por quienes elaboraron los instrumentos presupuestarios, entre los que estaba la demandante de amparo, era precisamente evitar todo control en la disposición de los fondos, lo que hacía innecesario demostrar un concierto previo entre todos los autores, cuya existencia resultaba en todo caso implícita.</w:t>
      </w:r>
    </w:p>
    <w:p w14:paraId="4334127D" w14:textId="77777777" w:rsidR="003754FE" w:rsidRDefault="003754FE" w:rsidP="003754FE">
      <w:pPr>
        <w:pStyle w:val="TextoNormal"/>
      </w:pPr>
    </w:p>
    <w:p w14:paraId="4A8318C8" w14:textId="77777777" w:rsidR="003754FE" w:rsidRDefault="003754FE" w:rsidP="003754FE">
      <w:pPr>
        <w:pStyle w:val="TextoNormal"/>
      </w:pPr>
      <w:r>
        <w:t xml:space="preserve">6.3. </w:t>
      </w:r>
      <w:r w:rsidRPr="003754FE">
        <w:rPr>
          <w:i/>
        </w:rPr>
        <w:t>Doctrina constitucional sobre el derecho a la presunción de inocencia (art. 24.2 CE)</w:t>
      </w:r>
    </w:p>
    <w:p w14:paraId="070435DD" w14:textId="77777777" w:rsidR="003754FE" w:rsidRDefault="003754FE" w:rsidP="003754FE">
      <w:pPr>
        <w:pStyle w:val="TextoNormal"/>
      </w:pPr>
    </w:p>
    <w:p w14:paraId="0C95765B" w14:textId="77777777" w:rsidR="003754FE" w:rsidRDefault="003754FE" w:rsidP="003754FE">
      <w:pPr>
        <w:pStyle w:val="TextoNormal"/>
      </w:pPr>
      <w:r>
        <w:t>Antes de abordar las concretas quejas alegadas por la demandante de amparo en relación con este motivo, conviene traer a colación, al menos resumidamente, la doctrina constitucional sobre el derecho a la presunción de inocencia (art. 24.2 CE) tal y como ha sido fijada por este tribunal.</w:t>
      </w:r>
    </w:p>
    <w:p w14:paraId="1DB2372E" w14:textId="77777777" w:rsidR="003754FE" w:rsidRDefault="003754FE" w:rsidP="003754FE">
      <w:pPr>
        <w:pStyle w:val="TextoNormal"/>
      </w:pPr>
    </w:p>
    <w:p w14:paraId="1BAD57F3" w14:textId="77777777" w:rsidR="003754FE" w:rsidRDefault="003754FE" w:rsidP="003754FE">
      <w:pPr>
        <w:pStyle w:val="TextoNormal"/>
      </w:pPr>
      <w:r>
        <w:t xml:space="preserve">Al respecto es doctrina reiterada de este tribunal que este derecho queda configurado como el derecho a no ser condenado sin pruebas de cargo válidas (STC 31/1981, de 28 de julio), de tal manera que toda sentencia condenatoria ha de estar fundada en “una mínima actividad probatoria, realizada con las garantías necesarias, referida a todos los elementos esenciales del delito, y que de la misma quepa inferir razonablemente los hechos y la participación del acusado” (STC 105/2016, de 6 de junio, FJ 8). Esta idoneidad incriminatoria, además,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w:t>
      </w:r>
      <w:r w:rsidRPr="003754FE">
        <w:rPr>
          <w:i/>
        </w:rPr>
        <w:t>ratio decidendi</w:t>
      </w:r>
      <w:r>
        <w:t xml:space="preserve"> de la decisión judicial, sino una mínima explicación de los fundamentos probatorios del relato fáctico, con base en el cual se individualiza el caso y se posibilita la aplicación de la norma jurídica (por todas, STC 22/2013, de 31 de enero, FJ 5, y las resoluciones allí citadas)” (STC 105/2016</w:t>
      </w:r>
      <w:r w:rsidRPr="003754FE">
        <w:rPr>
          <w:i/>
        </w:rPr>
        <w:t>, ibid</w:t>
      </w:r>
      <w:r>
        <w:t>em).</w:t>
      </w:r>
    </w:p>
    <w:p w14:paraId="657260F6" w14:textId="77777777" w:rsidR="003754FE" w:rsidRDefault="003754FE" w:rsidP="003754FE">
      <w:pPr>
        <w:pStyle w:val="TextoNormal"/>
      </w:pPr>
    </w:p>
    <w:p w14:paraId="6D10FF23" w14:textId="77777777" w:rsidR="003754FE" w:rsidRDefault="003754FE" w:rsidP="003754FE">
      <w:pPr>
        <w:pStyle w:val="TextoNormal"/>
      </w:pPr>
      <w:r>
        <w:t>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En relación con esta concreta cuestión, la STC 133/2014, de 22 de julio, FJ 8, ya señalaba que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w:t>
      </w:r>
    </w:p>
    <w:p w14:paraId="149FF1B5" w14:textId="77777777" w:rsidR="003754FE" w:rsidRDefault="003754FE" w:rsidP="003754FE">
      <w:pPr>
        <w:pStyle w:val="TextoNormal"/>
      </w:pPr>
    </w:p>
    <w:p w14:paraId="14BC1BA2" w14:textId="77777777" w:rsidR="003754FE" w:rsidRDefault="003754FE" w:rsidP="003754FE">
      <w:pPr>
        <w:pStyle w:val="TextoNormal"/>
      </w:pPr>
      <w:r>
        <w:t xml:space="preserve">La importancia de la motivación de la sentencia condenatoria ya venía remarcada en la STC 22/2013, de 31 de enero, FJ 5, donde se afirmaba que la culpabilidad ha de quedar plenamente probada, lo que es tanto como decir expuesta o mostrada. De esta manera, el derecho a la presunción de inocencia queda vulnerado cuando, habiéndose declarado la culpabilidad del encausado, dicha declaración de culpabilidad no se ha motivado </w:t>
      </w:r>
      <w:r>
        <w:lastRenderedPageBreak/>
        <w:t xml:space="preserve">suficientemente toda vez que “uno de los modos de vulneración de este derecho lo constituye precisamente la falta de motivación del </w:t>
      </w:r>
      <w:r w:rsidRPr="003754FE">
        <w:rPr>
          <w:i/>
        </w:rPr>
        <w:t>iter</w:t>
      </w:r>
      <w:r>
        <w:t xml:space="preserve"> que ha conducido de las pruebas al relato de hechos probados de signo incriminatorio” (STC 245/2007, de 10 de diciembre, FJ 5).</w:t>
      </w:r>
    </w:p>
    <w:p w14:paraId="3FEB7CB5" w14:textId="77777777" w:rsidR="003754FE" w:rsidRDefault="003754FE" w:rsidP="003754FE">
      <w:pPr>
        <w:pStyle w:val="TextoNormal"/>
      </w:pPr>
    </w:p>
    <w:p w14:paraId="3758DAB7" w14:textId="77777777" w:rsidR="003754FE" w:rsidRDefault="003754FE" w:rsidP="003754FE">
      <w:pPr>
        <w:pStyle w:val="TextoNormal"/>
      </w:pPr>
      <w:r>
        <w:t xml:space="preserve">La motivación de las sentencias penales es siempre exigible </w:t>
      </w:r>
      <w:r w:rsidRPr="003754FE">
        <w:rPr>
          <w:i/>
        </w:rPr>
        <w:t>ex</w:t>
      </w:r>
      <w:r>
        <w:t xml:space="preserve"> art. 120.3 CE, esto es, con independencia de su signo, condenatorio o absolutorio. No obstante, en las sentencias condenatorias el canon de motivación es más riguroso que en las absolutorias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se refuerza el parámetro de control utilizable para enjuiciar su suficiencia. Particularmente, en el plano fáctico, la sentencia penal condenatoria ha de exteriorizar en su razonamiento las pruebas relevantes tomadas en consideración y la existencia de una conexión fundada entre las pruebas y la declaración de hechos probados; conexión que debe ser aplicación razonada de las reglas de la lógica, ciencia y experiencia, de modo que sea posible realizar un juicio externo sobre las que llevan al juzgador a considerar alcanzada la convicción de culpabilidad más allá de toda duda razonable [por todas, STC 72/2024, de 7 de mayo, FJ 4 b)].</w:t>
      </w:r>
    </w:p>
    <w:p w14:paraId="28212476" w14:textId="77777777" w:rsidR="003754FE" w:rsidRDefault="003754FE" w:rsidP="003754FE">
      <w:pPr>
        <w:pStyle w:val="TextoNormal"/>
      </w:pPr>
    </w:p>
    <w:p w14:paraId="7B41CF2E" w14:textId="77777777" w:rsidR="003754FE" w:rsidRDefault="003754FE" w:rsidP="003754FE">
      <w:pPr>
        <w:pStyle w:val="TextoNormal"/>
      </w:pPr>
      <w:r>
        <w:t xml:space="preserve">Es, precisamente, la motivación de la resolución que declara la culpabilidad y responsabilidad de una persona la que se encuentra sometida al control de este tribunal. Así, hemos afirmado en numerosas ocasiones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Esta conclusión se ha fundamentado en dos razones de diferente índole: (i) por un lado, en que la Constitución no atribuye esa tarea de valoración a este tribunal, que no está incluida en las de amparo del derecho a la presunción de inocencia, y (ii) por otro, en que el proceso constitucional no permite el conocimiento preciso y completo de la actividad probatoria (STC 142/2012, de 2 de julio, FJ 5). De esta manera, “solo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w:t>
      </w:r>
      <w:r w:rsidRPr="003754FE">
        <w:rPr>
          <w:i/>
        </w:rPr>
        <w:t>iter</w:t>
      </w:r>
      <w:r>
        <w:t xml:space="preserve"> discursivo que conduce de la prueba al hecho probado” (STC 189/1998, de 28 de septiembre, FJ 2, y, citándola entre otras muchas, SSTC 135/2003, de 30 de junio, FJ 2; 137/2005, de 23 de mayo, FJ 2, y 26/2010, de 27 de abril, FJ 6).</w:t>
      </w:r>
    </w:p>
    <w:p w14:paraId="30113C97" w14:textId="77777777" w:rsidR="003754FE" w:rsidRDefault="003754FE" w:rsidP="003754FE">
      <w:pPr>
        <w:pStyle w:val="TextoNormal"/>
      </w:pPr>
    </w:p>
    <w:p w14:paraId="01137A01" w14:textId="77777777" w:rsidR="003754FE" w:rsidRDefault="003754FE" w:rsidP="003754FE">
      <w:pPr>
        <w:pStyle w:val="TextoNormal"/>
      </w:pPr>
      <w:r>
        <w:t>Este mismo canon se extiende a los supuestos de prueba indiciaria donde la supervisión de la solidez de la inferencia puede llevarse a cabo tanto desde el control de su lógica o coherencia, siendo irrazonable cuando los indicios constatados excluyan el hecho que de ellos se hace derivar o no conduzca naturalmente a él, como desde la suficiencia o carácter concluyente, excluyéndose la razonabilidad por el carácter excesivamente abierto, débil o indeterminado de la inferencia (SSTC 127/2011, de 18 de julio, FJ 6; 142/2012, de 2 de julio, FJ 5, y 46/2022, de 24 de marzo, FJ 10.1).</w:t>
      </w:r>
    </w:p>
    <w:p w14:paraId="139EE8FC" w14:textId="77777777" w:rsidR="003754FE" w:rsidRDefault="003754FE" w:rsidP="003754FE">
      <w:pPr>
        <w:pStyle w:val="TextoNormal"/>
      </w:pPr>
    </w:p>
    <w:p w14:paraId="3FAA129D" w14:textId="77777777" w:rsidR="003754FE" w:rsidRDefault="003754FE" w:rsidP="003754FE">
      <w:pPr>
        <w:pStyle w:val="TextoNormal"/>
      </w:pPr>
      <w:r>
        <w:lastRenderedPageBreak/>
        <w:t>En conclusión, es deber de los órganos judiciales realizar un esfuerzo dirigido a la motivación de la sentencia o pronunciamiento condenatorio, puesto que son aquellos quienes tienen un conocimiento cabal, completo y obtenido con todas las garantías del acervo probatorio, y función de este tribunal comprobar la coherencia de dicha motivación a través de una supervisión externa de la razonabilidad del discurso que une la actividad probatoria y el relato fáctico resultante (STC 67/2021, de 17 de marzo, FJ 3). Este control no es posible si los órganos judiciales descuidan su deber, lo que nos ha llegado a exigir que “deba asegurarse estrictamente la garantía formal de que el razonamiento efectuado por el tribunal conste expresamente en la sentencia, ya que solo así podrá verificarse si aquel formó su convicción sobre una prueba de cargo capaz de desvirtuar la presunción de inocencia (SSTC 117/2000, de 5 de mayo, FJ 3, y 124/2001, de 4 de junio, FJ 13) y que ninguno de los elementos constitutivos de delito se ha[ya] presumido en contra del acusado” (STC 340/2006, de 11 de diciembre, FJ 4).</w:t>
      </w:r>
    </w:p>
    <w:p w14:paraId="552A1F8F" w14:textId="77777777" w:rsidR="003754FE" w:rsidRDefault="003754FE" w:rsidP="003754FE">
      <w:pPr>
        <w:pStyle w:val="TextoNormal"/>
      </w:pPr>
    </w:p>
    <w:p w14:paraId="252F7848" w14:textId="77777777" w:rsidR="003754FE" w:rsidRDefault="003754FE" w:rsidP="003754FE">
      <w:pPr>
        <w:pStyle w:val="TextoNormal"/>
      </w:pPr>
      <w:r>
        <w:t>6.4</w:t>
      </w:r>
      <w:r w:rsidRPr="003754FE">
        <w:rPr>
          <w:i/>
        </w:rPr>
        <w:t>. Enjuiciamiento de la que</w:t>
      </w:r>
      <w:r>
        <w:t>ja</w:t>
      </w:r>
    </w:p>
    <w:p w14:paraId="3712A2C3" w14:textId="77777777" w:rsidR="003754FE" w:rsidRDefault="003754FE" w:rsidP="003754FE">
      <w:pPr>
        <w:pStyle w:val="TextoNormal"/>
      </w:pPr>
    </w:p>
    <w:p w14:paraId="4321A873" w14:textId="77777777" w:rsidR="003754FE" w:rsidRDefault="003754FE" w:rsidP="003754FE">
      <w:pPr>
        <w:pStyle w:val="TextoNormal"/>
      </w:pPr>
      <w:r>
        <w:t xml:space="preserve">En el análisis de este motivo es preciso partir de una premisa básica: que la declarada vulneración del derecho a la legalidad penal </w:t>
      </w:r>
      <w:r w:rsidRPr="003754FE">
        <w:rPr>
          <w:i/>
        </w:rPr>
        <w:t>ex</w:t>
      </w:r>
      <w:r>
        <w:t xml:space="preserve"> art. 25.1 CE, por integrarse en los títulos de prevaricación y malversación de los arts. 404 y 432 CP la gestión y pago de ayudas sociolaborales y a empresas en crisis desde la agencia IFA/IDEA, en ejercicios presupuestarios en los que dicho procedimiento tenía respaldo legal (</w:t>
      </w:r>
      <w:r w:rsidRPr="003754FE">
        <w:rPr>
          <w:i/>
        </w:rPr>
        <w:t>vid. supra</w:t>
      </w:r>
      <w:r>
        <w:t xml:space="preserve"> FFJJ 4 y 5) obliga a delimitar el análisis de la participación de la demandante en dicho procedimiento desde la perspectiva del derecho fundamental a la presunción de inocencia (art. 24.2 CE). No obstante, aun esclarecido que la condena vinculada a la forma global de gestión del programa 31L es inconciliable con el derecho a la legalidad penal, resta un sustrato fáctico que no quedaría afectado por dicho reparo constitucional: nos referimos a las disposiciones de fondos efectivamente realizadas desde la Consejería de Empleo en ausencia de fin público y a las disposiciones enumeradas en el apartado C) del hecho probado vigesimosegundo, donde se hace constar que algunos fondos del programa 31L se aplicaron a fines distintos y ajenos a los determinados en el mismo. Esta posibilidad de pervivencia de la condena por malversación exige, sin embargo, una cuidadosa verificación de que la sentencia de instancia proporciona, por sí misma, sin necesidad de integración o reelaboración alguna, motivos suficientes para considerar acreditada, con el grado de certeza que la doctrina constitucional exige para enervar la presunción de inocencia, la participación personal de la demandante de amparo en la realización de tales disposiciones.</w:t>
      </w:r>
    </w:p>
    <w:p w14:paraId="5334C19A" w14:textId="77777777" w:rsidR="003754FE" w:rsidRDefault="003754FE" w:rsidP="003754FE">
      <w:pPr>
        <w:pStyle w:val="TextoNormal"/>
      </w:pPr>
    </w:p>
    <w:p w14:paraId="5511D466" w14:textId="77777777" w:rsidR="003754FE" w:rsidRDefault="003754FE" w:rsidP="003754FE">
      <w:pPr>
        <w:pStyle w:val="TextoNormal"/>
      </w:pPr>
      <w:r>
        <w:t>Consecuentemente, el control externo que este tribunal debe realizar, en garantía del derecho a la presunción de inocencia, de la existencia de un engarce lógico y reconocible entre el resultado de la prueba y el relato fáctico que le sirve de sustrato, demanda, en un caso como el presente, orientar el foco de control en la concurrencia en la sentencia de instancia de elementos fácticos y argumentales de una precisión suficiente para justificar la atribución personal a la demandante de amparo, doña Carmen Martínez Aguayo, de todos o de algunos de los desvíos de fondos a fines ajenos a los previstos en los programas presupuestarios en el tiempo en el que ejerció el cargo de viceconsejera de Hacienda desde el mes de abril de 2004, y consejera de Hacienda desde el mes de abril de 2009.</w:t>
      </w:r>
    </w:p>
    <w:p w14:paraId="417596AF" w14:textId="77777777" w:rsidR="003754FE" w:rsidRDefault="003754FE" w:rsidP="003754FE">
      <w:pPr>
        <w:pStyle w:val="TextoNormal"/>
      </w:pPr>
    </w:p>
    <w:p w14:paraId="23221DA9" w14:textId="77777777" w:rsidR="003754FE" w:rsidRDefault="003754FE" w:rsidP="003754FE">
      <w:pPr>
        <w:pStyle w:val="TextoNormal"/>
      </w:pPr>
      <w:r>
        <w:t xml:space="preserve">Acotado este sustrato fáctico, en virtud del relato de hechos probados de la sentencia de instancia, es deber de este tribunal comprobar si, de acuerdo con su fundamentación jurídica, </w:t>
      </w:r>
      <w:r>
        <w:lastRenderedPageBreak/>
        <w:t>se ha motivado suficientemente, y conforme a criterios racionales y lógicos, el engarce necesario entre las conductas anteriormente expuestas y la participación de la demandante de amparo, entendiendo que ello solo se producirá cuando la motivación se haga de un modo “coherente, lógico y racional, entendida la racionalidad, por supuesto, no como mero mecanismo o automatismo, sino como comprensión razonable de la realidad normalmente vivida y apreciada conforme a los criterios colectivos vigentes” (STC 169/1986, de 22 de diciembre, FJ 2).</w:t>
      </w:r>
    </w:p>
    <w:p w14:paraId="080B0D8C" w14:textId="77777777" w:rsidR="003754FE" w:rsidRDefault="003754FE" w:rsidP="003754FE">
      <w:pPr>
        <w:pStyle w:val="TextoNormal"/>
      </w:pPr>
    </w:p>
    <w:p w14:paraId="6590A536" w14:textId="77777777" w:rsidR="003754FE" w:rsidRDefault="003754FE" w:rsidP="003754FE">
      <w:pPr>
        <w:pStyle w:val="TextoNormal"/>
      </w:pPr>
      <w:r>
        <w:t xml:space="preserve">Y ello porque, como ya se ha explicitado anteriormente, el derecho a la presunción de inocencia queda vulnerado cuando, habiéndose declarado la culpabilidad del encausado, dicha declaración de culpabilidad no se ha motivado suficientemente toda vez que “uno de los modos de vulneración de este derecho lo constituye precisamente la falta de motivación del </w:t>
      </w:r>
      <w:r w:rsidRPr="003754FE">
        <w:rPr>
          <w:i/>
        </w:rPr>
        <w:t>iter</w:t>
      </w:r>
      <w:r>
        <w:t xml:space="preserve"> que ha conducido de las pruebas al relato de hechos probados de signo incriminatorio” (STC 245/2007, 10 de diciembre, FJ 5) no siendo, por lo tanto, misión de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(STC 137/2005, de 23 de mayo, FJ 2).</w:t>
      </w:r>
    </w:p>
    <w:p w14:paraId="30E833EB" w14:textId="77777777" w:rsidR="003754FE" w:rsidRDefault="003754FE" w:rsidP="003754FE">
      <w:pPr>
        <w:pStyle w:val="TextoNormal"/>
      </w:pPr>
    </w:p>
    <w:p w14:paraId="4D437F9C" w14:textId="77777777" w:rsidR="003754FE" w:rsidRDefault="003754FE" w:rsidP="003754FE">
      <w:pPr>
        <w:pStyle w:val="TextoNormal"/>
      </w:pPr>
      <w:r>
        <w:t>La sentencia de instancia concluye que la recurrente, por los cargos que ocupó y por la información a la que tenía acceso en su desempeño, no podía ignorar que los fondos de las transferencias de financiación recibidos en la agencia IFA/IDEA se utilizaban, por disposición del director general de Trabajo, para conceder ayudas sociolaborales y a empresas en crisis sin necesidad de sujetarse a la fiscalización previa de la intervención delegada ni de cumplimentar los trámites que la legislación en materia de subvenciones impone. El conocimiento general de esta forma de cursar las ayudas es fruto de una inferencia judicial, desarrollada particularmente en el fundamento de Derecho 38 de la sentencia de instancia, que parte de que la demandante de amparo obró “asumiendo la eventualidad de que los fondos vinculados al programa 31L fueran objeto de disposición con fines ajenos al fin público al que estaban destinados” por el conocimiento que tenía del modo de dispensarse las ayudas, con unos controles minorados.</w:t>
      </w:r>
    </w:p>
    <w:p w14:paraId="1A142054" w14:textId="77777777" w:rsidR="003754FE" w:rsidRDefault="003754FE" w:rsidP="003754FE">
      <w:pPr>
        <w:pStyle w:val="TextoNormal"/>
      </w:pPr>
    </w:p>
    <w:p w14:paraId="10359B46" w14:textId="77777777" w:rsidR="003754FE" w:rsidRDefault="003754FE" w:rsidP="003754FE">
      <w:pPr>
        <w:pStyle w:val="TextoNormal"/>
      </w:pPr>
      <w:r>
        <w:t>Sin embargo, la profundidad del análisis de la prueba que las resoluciones impugnadas efectúan respecto al conocimiento y participación de la demandante en la ejecución de un indebido sistema de presupuestación para la concesión de ayudas sociolaborales no aparece detallado con la misma exhaustividad a la hora de motivar la posible participación de aquella en la asignación de fondos del programa 31L en ausencia de interés público o a fines ajenos a los recogidos en los propios programas presupuestarios [disposiciones contenidas en el hecho probado vigesimosegundo, apartado C), de la sentencia de instancia].</w:t>
      </w:r>
    </w:p>
    <w:p w14:paraId="59C85058" w14:textId="77777777" w:rsidR="003754FE" w:rsidRDefault="003754FE" w:rsidP="003754FE">
      <w:pPr>
        <w:pStyle w:val="TextoNormal"/>
      </w:pPr>
    </w:p>
    <w:p w14:paraId="63C95ACC" w14:textId="77777777" w:rsidR="003754FE" w:rsidRDefault="003754FE" w:rsidP="003754FE">
      <w:pPr>
        <w:pStyle w:val="TextoNormal"/>
      </w:pPr>
      <w:r>
        <w:t>El juicio de inferencia del dolo de malversar realizado en la sentencia de instancia parte de dos elementos:</w:t>
      </w:r>
    </w:p>
    <w:p w14:paraId="170E8F27" w14:textId="77777777" w:rsidR="003754FE" w:rsidRDefault="003754FE" w:rsidP="003754FE">
      <w:pPr>
        <w:pStyle w:val="TextoNormal"/>
      </w:pPr>
    </w:p>
    <w:p w14:paraId="485A9F5A" w14:textId="77777777" w:rsidR="003754FE" w:rsidRDefault="003754FE" w:rsidP="003754FE">
      <w:pPr>
        <w:pStyle w:val="TextoNormal"/>
      </w:pPr>
      <w:r>
        <w:t xml:space="preserve">(i) Los informes de control financiero permanente de la agencia IFA/IDEA, elaborados por la Intervención General de la Junta de Andalucía, y entre ellos, de manera determinante, el informe adicional (anexo III) al informe de cumplimiento de 2003 (“informe sobre </w:t>
      </w:r>
      <w:r>
        <w:lastRenderedPageBreak/>
        <w:t>determinados aspectos de la gestión del Instituto de Fomento de Andalucía de los convenios suscritos con la Consejería de Empleo y Desarrollo Tecnológico en materia de Trabajo y Seguridad Social”), argumentando que “[d]e esta disposición de fondos públicos participaron de forma activa desde el ejercicio 2000 hasta el 2009, los acusados pertenecientes a la Consejería de Empleo” y también los “otros acusados, por realizar las conductas descritas en los hechos probados, conociendo las aludidas deficiencias a través de los informes de control financiero de la Intervención General de la Junta de Andalucía” [sentencia de la Audiencia Provincial, fundamento de Derecho 45.4 D), pág. 1722].</w:t>
      </w:r>
    </w:p>
    <w:p w14:paraId="324B821A" w14:textId="77777777" w:rsidR="003754FE" w:rsidRDefault="003754FE" w:rsidP="003754FE">
      <w:pPr>
        <w:pStyle w:val="TextoNormal"/>
      </w:pPr>
    </w:p>
    <w:p w14:paraId="2B0FBF4C" w14:textId="77777777" w:rsidR="003754FE" w:rsidRDefault="003754FE" w:rsidP="003754FE">
      <w:pPr>
        <w:pStyle w:val="TextoNormal"/>
      </w:pPr>
      <w:r>
        <w:t>(ii) El déficit generado en la Consejería de Empleo y en la agencia IFA/IDEA como consecuencia de la aplicación de este sistema de gestión de ayudas, que lleva a apreciar en los condenados por malversación “una indiferencia hacia la alta probabilidad de que lo que ya era un despilfarro pasase a ser una malversación” en virtud de “la existencia del déficit o desfases presupuestarios, originados precisamente porque se contraían obligaciones al margen de la cobertura presupuestaria, lo que era posible porque se concedían subvenciones al margen del procedimiento legalmente establecido y sin control alguno, al haberse soslayado la fiscalización” [sentencia de la Audiencia Provincial, fundamento 45.4 M), pág. 1732].</w:t>
      </w:r>
    </w:p>
    <w:p w14:paraId="7C4BCE18" w14:textId="77777777" w:rsidR="003754FE" w:rsidRDefault="003754FE" w:rsidP="003754FE">
      <w:pPr>
        <w:pStyle w:val="TextoNormal"/>
      </w:pPr>
    </w:p>
    <w:p w14:paraId="05E96603" w14:textId="77777777" w:rsidR="003754FE" w:rsidRDefault="003754FE" w:rsidP="003754FE">
      <w:pPr>
        <w:pStyle w:val="TextoNormal"/>
      </w:pPr>
      <w:r>
        <w:t>Se trata de un juicio de inferencia suficiente para concluir que las autoridades que intervinieron en los procesos de elaboración de los instrumentos presupuestarios, entre ellas la ahora demandante de amparo, tuvieron conocimiento de que con el nuevo sistema de presupuestación de las ayudas sociolaborales y a empresas en crisis se evitaba la fiscalización previa de los expedientes de gasto y el cumplimiento de los requisitos legalmente exigidos para la tramitación y pago de subvenciones excepcionales y que, por lo tanto, se representaban el riesgo de que se dispusiera de los fondos con fines ajenos al fin público al que estaban destinados. En este punto la Audiencia Provincial realiza el esfuerzo argumental exigido en la doctrina constitucional para que la prueba indiciaria pueda enervar la presunción de inocencia que ampara a todo acusado, pues determina los hechos que están acreditados, o indicios (las fuentes de información, documentales y personales con las que contaba en el desempeño de su cargo) y expone el razonamiento o engarce lógico que percibe entre los hechos base y los hechos consecuencia (la representación del riesgo de desvío de los fondos públicos) razonamiento que resulta conforme con las reglas del criterio humano y la experiencia común.</w:t>
      </w:r>
    </w:p>
    <w:p w14:paraId="7255C240" w14:textId="77777777" w:rsidR="003754FE" w:rsidRDefault="003754FE" w:rsidP="003754FE">
      <w:pPr>
        <w:pStyle w:val="TextoNormal"/>
      </w:pPr>
    </w:p>
    <w:p w14:paraId="4B248964" w14:textId="77777777" w:rsidR="003754FE" w:rsidRDefault="003754FE" w:rsidP="003754FE">
      <w:pPr>
        <w:pStyle w:val="TextoNormal"/>
      </w:pPr>
      <w:r>
        <w:t>Se trata, sin embargo, de un juicio de autoría que quiebra a partir del momento en que el sistema de presupuestación de las ayudas es aprobado por el Parlamento de Andalucía, pues es completamente imprevisible calificar como disposición ilícita, calificable de malversación, actuar conforme a los procedimientos y controles expresamente establecidos en las sucesivas leyes de presupuestos [</w:t>
      </w:r>
      <w:r w:rsidRPr="003754FE">
        <w:rPr>
          <w:i/>
        </w:rPr>
        <w:t>vid. supra</w:t>
      </w:r>
      <w:r>
        <w:t xml:space="preserve"> FJ 5.3 A)]. Esto supone que para los hechos acaecidos a partir del ejercicio 2002, y por lo tanto para la totalidad de los hechos que se atribuyen a la demandante de amparo, el enjuiciamiento constitucional de la legitimidad de la subsistencia de este título de incriminación, desde la perspectiva del derecho a la presunción de inocencia, exige a este tribunal verificar si las resoluciones judiciales impugnadas proporcionan un mínimo juicio de autoría que permita determinar si la demandante de amparo, además de conocer los riesgos inherentes a la inaplicación del procedimiento de las subvenciones excepcionales, riesgo asumido por la ley, llegó a tener en algún momento el dominio funcional de los hechos realizados en la fase de gestión y si realizó u omitió, dentro </w:t>
      </w:r>
      <w:r>
        <w:lastRenderedPageBreak/>
        <w:t>del marco de dicho dominio, actos que la involucraran personalmente en la dinámica seguida en la Consejería de Empleo de concesión de ayudas a empresas o particulares que o no las necesitaban, o las destinaban a fines distintos de los programados.</w:t>
      </w:r>
    </w:p>
    <w:p w14:paraId="47A5BCD3" w14:textId="77777777" w:rsidR="003754FE" w:rsidRDefault="003754FE" w:rsidP="003754FE">
      <w:pPr>
        <w:pStyle w:val="TextoNormal"/>
      </w:pPr>
    </w:p>
    <w:p w14:paraId="08D3925C" w14:textId="77777777" w:rsidR="003754FE" w:rsidRDefault="003754FE" w:rsidP="003754FE">
      <w:pPr>
        <w:pStyle w:val="TextoNormal"/>
      </w:pPr>
      <w:r>
        <w:t>Sobre este particular, la sentencia de instancia no describe ninguna modalidad de acuerdo o adhesión de la encausada a un plan preconcebido dirigido a la realización de estas prácticas y la sentencia de casación dispensa la necesidad de realizar tal juicio al concluir que la finalidad misma del sistema de presupuestación era permitir saltarse toda clase de control.</w:t>
      </w:r>
    </w:p>
    <w:p w14:paraId="73D2B80E" w14:textId="77777777" w:rsidR="003754FE" w:rsidRDefault="003754FE" w:rsidP="003754FE">
      <w:pPr>
        <w:pStyle w:val="TextoNormal"/>
      </w:pPr>
    </w:p>
    <w:p w14:paraId="5935E419" w14:textId="77777777" w:rsidR="003754FE" w:rsidRDefault="003754FE" w:rsidP="003754FE">
      <w:pPr>
        <w:pStyle w:val="TextoNormal"/>
      </w:pPr>
      <w:r>
        <w:t>Como se ha explicado, las resoluciones judiciales impugnadas parten de que la concurrencia del elemento subjetivo del injusto en la demandante de amparo se deriva del conocimiento de los informes de control financiero permanente que advertían de la ausencia de control administrativo previo en la concesión de ayudas sociolaborales y, en general, de la información a la que tenía acceso por su intervención en las sesiones de la Comisión General de Viceconsejeros, grupos de trabajo de la Consejería de Hacienda y consejo rector de IDEA. La irregularidad en el procedimiento de concesión de ayudas sociolaborales, en definitiva, permitiría inferir, de acuerdo con lo sostenido en las sentencias recurridas, que la demandante “asumió la eventualidad de que los fondos transferidos podrían destinarse a fines distintos del interés público” lo que serviría para colmar el elemento subjetivo del injusto del delito de malversación (art. 432.2 CP).</w:t>
      </w:r>
    </w:p>
    <w:p w14:paraId="5737ADBC" w14:textId="77777777" w:rsidR="003754FE" w:rsidRDefault="003754FE" w:rsidP="003754FE">
      <w:pPr>
        <w:pStyle w:val="TextoNormal"/>
      </w:pPr>
    </w:p>
    <w:p w14:paraId="283B435B" w14:textId="77777777" w:rsidR="003754FE" w:rsidRDefault="003754FE" w:rsidP="003754FE">
      <w:pPr>
        <w:pStyle w:val="TextoNormal"/>
      </w:pPr>
      <w:r>
        <w:t>No encontramos, sin embargo, el juicio de inferencia suficiente que de manera cierta y precisa establezca que la señora Martínez Aguayo hubiera intervenido, con conocimiento de causa, en la realización de alguna o algunas de las disposiciones de fondos ajenas a la cobertura presupuestaria. Cierto es que, a través de los informes de control financiero y, particularmente, a través del informe adicional al informe de cumplimiento del año 2003 (notificado en 2005), tuvo conocimiento de que las ayudas no se sujetaban a los requisitos del procedimiento aplicable a las subvenciones excepcionales —y que a partir de ese conocimiento es razonable concluir que se representó los riesgos de desvío que esa minoración de controles podría generar—. Ahora bien, este riesgo era inherente al sistema de presupuestación legalmente establecido. Por ello, para apreciar que la demandante incurrió en las conductas que se le imputan no basta con poner de manifiesto que las ayudas concedidas no se ajustaban al procedimiento subvencional (conducta que estaba amparada en lo dispuesto en las leyes de presupuestos), sino que es preciso acreditar que participó activa u omisivamente con conocimiento de que los fondos del programa 31L se estaban concediendo sin que existiera un fin público que justificara su concesión o para fines distintos de los previstos en dicho programa.</w:t>
      </w:r>
    </w:p>
    <w:p w14:paraId="32411DC0" w14:textId="77777777" w:rsidR="003754FE" w:rsidRDefault="003754FE" w:rsidP="003754FE">
      <w:pPr>
        <w:pStyle w:val="TextoNormal"/>
      </w:pPr>
    </w:p>
    <w:p w14:paraId="098C09DF" w14:textId="77777777" w:rsidR="003754FE" w:rsidRDefault="003754FE" w:rsidP="003754FE">
      <w:pPr>
        <w:pStyle w:val="TextoNormal"/>
      </w:pPr>
      <w:r>
        <w:t>Hemos de considerar, en definitiva, para situar en sus justos términos la fuerza probatoria de los mismos, que los informes de la Intervención de la Junta de Andalucía que se hicieron llegar a varios de los condenados, entre ellos a la demandante de amparo, rebaten la validez del concepto de transferencias de financiación al IFA/IDEA como instrumento presupuestario para gestionar subvenciones excepcionales al margen de su procedimiento propio, pero no advierten de que se hubieran producido actos de disposición ajenos a dicha cobertura.</w:t>
      </w:r>
    </w:p>
    <w:p w14:paraId="6BE6C457" w14:textId="77777777" w:rsidR="003754FE" w:rsidRDefault="003754FE" w:rsidP="003754FE">
      <w:pPr>
        <w:pStyle w:val="TextoNormal"/>
      </w:pPr>
    </w:p>
    <w:p w14:paraId="0EE6989E" w14:textId="77777777" w:rsidR="003754FE" w:rsidRDefault="003754FE" w:rsidP="003754FE">
      <w:pPr>
        <w:pStyle w:val="TextoNormal"/>
      </w:pPr>
      <w:r>
        <w:t xml:space="preserve">En particular, el informe adicional al informe de cumplimiento del ejercicio 2003, al que las resoluciones judiciales otorgan una importancia decisiva en la formación de su convicción, recoge el análisis específico que el interventor general de la Junta de Andalucía, don </w:t>
      </w:r>
      <w:r>
        <w:lastRenderedPageBreak/>
        <w:t>Manuel Gómez Martínez, acusado y absuelto en la causa, encargó a la interventora doña Rosario Lobo, y que se elaboró sobre una muestra de veinte convenios particulares, seleccionados de entre los 144 convenios que se suscribieron entre los años 2001 a 2004 —por lo tanto, con cargo a fondos de los programas 22E y 31L—. Los convenios fueron remitidos por la Dirección General de Trabajo, y el informe de la Intervención concluye que todos ellos presentaban las mismas deficiencias, sirviendo de muestra el convenio suscrito con la empresa Hytasal, en el que se detectan, entre otras, las siguientes deficiencias: “[i]mputación presupuestaria inadecuada, no se debe de utilizar el artículo 44 —transferencias al IFA— sino el 47 o 48, según el beneficiario. […] No consta solicitud presentada por los interesados. […] No se aporta declaración responsable del beneficiario de otras subvenciones o ayudas concedidas para la misma finalidad (artículos 111 y 105 de LGHPA, y artículo 15.1 del Reglamento de subvenciones). […] No se acredita la personalidad de las entidades solicitantes, ni de sus representantes. […] No se aporta informe o memoria acreditativa de la finalidad pública, o razones de interés social o económico, así como de la inexistencia de normas reguladoras a las que pudiera acogerse. […] No consta autorización de la concesión de la subvención por el Consejo de Gobierno por razón de la cuantía”. En el texto del “Protocolo de colaboración entre la Dirección General de Trabajo y Seguridad Social, de la Consejería de Empleo y Desarrollo Tecnológico, de la Junta de Andalucía e Hytasal”, que operaba como instrumento jurídico de concesión de la ayuda, la Intervención detecta también irregularidades, como: “No consigna plazo de ejecución de la actividad subvencionada con expresión del inicio del cómputo. […] No consigna la aplicación presupuestaria del gasto y su distribución plurianual. […] No se indica la forma y secuencia del pago y los requisitos exigidos para su abono. […] No se determina el plazo y forma de justificación por el beneficiario del cumplimiento de la finalidad para la que se concede la ayuda. […] Respecto a las inversiones que ha de realizar Hytasal, no se indica cuáles sean, ni el plazo de ejecución ni de justificación de realización de estas. […] No se aporta resolución o convenio de concesión de una subvención a la Asociación 14 de noviembre por importe de 500 000 €. […] Se ha omitido la fiscalización previa. […] El importe correspondiente a las prejubilaciones asciende a 10 285 137,38 €, en lugar de 10 500 000,00 €”.</w:t>
      </w:r>
    </w:p>
    <w:p w14:paraId="3A5D1358" w14:textId="77777777" w:rsidR="003754FE" w:rsidRDefault="003754FE" w:rsidP="003754FE">
      <w:pPr>
        <w:pStyle w:val="TextoNormal"/>
      </w:pPr>
    </w:p>
    <w:p w14:paraId="081538A9" w14:textId="77777777" w:rsidR="003754FE" w:rsidRDefault="003754FE" w:rsidP="003754FE">
      <w:pPr>
        <w:pStyle w:val="TextoNormal"/>
      </w:pPr>
      <w:r>
        <w:t>La conclusión es la siguiente: “Vistas las anteriores deficiencias se puede concluir que la citada Dirección General ha tramitado subvenciones excepcionales prescindiendo de forma total y absoluta del procedimiento administrativo establecido. Dado que las deficiencias que presentan los expedientes son comunes a la práctica totalidad de los examinados existen dudas razonables sobre la correcta tramitación del resto de los expedientes no seleccionados” (sentencia de la Audiencia Provincial, hecho probado noveno, págs. 64 a 67).</w:t>
      </w:r>
    </w:p>
    <w:p w14:paraId="68E3372C" w14:textId="77777777" w:rsidR="003754FE" w:rsidRDefault="003754FE" w:rsidP="003754FE">
      <w:pPr>
        <w:pStyle w:val="TextoNormal"/>
      </w:pPr>
    </w:p>
    <w:p w14:paraId="12ABB24B" w14:textId="77777777" w:rsidR="003754FE" w:rsidRDefault="003754FE" w:rsidP="003754FE">
      <w:pPr>
        <w:pStyle w:val="TextoNormal"/>
      </w:pPr>
      <w:r>
        <w:t xml:space="preserve">La sentencia de instancia valora, asimismo, la declaración de los peritos de la Intervención General de la Administración del Estado, que elaboraron el informe que se incorporó a la causa. La sentencia dice que “[p]reguntados a este respecto, en las sesiones del juicio, los peritos de la Intervención General de la Administración del Estado, únicos que han visto todos y cada uno de los 270 expedientes de ayudas derivados del programa 22E y 31L, confirmaron que todas y cada una de las deficiencias transcritas en el informe de Hytasal, son plenamente extensibles no solo a la muestra de veinte, sino a todos y cada uno de los 270 expedientes que ellos han analizado, con la matización de las diferencias básicas entre ayudas sociolaborales, con suscripción de pólizas de renta colectiva y ayudas a empresas en crisis”. Añade que “[l]os dieciocho puntos ya reseñados, expuestos por la interventora señora Lobo, facilitan de manera evidente el poder afirmar que no se siguió procedimiento </w:t>
      </w:r>
      <w:r>
        <w:lastRenderedPageBreak/>
        <w:t>administrativo alguno, faltando los requisitos más elementales en la tramitación de cualquier subvención, destacando la interventora la imputación presupuestaria inadecuada, pues no se debe utilizar el artículo 440 transferencias al IFA, sino el 47 o el 48, según el beneficiario. En relación con la opacidad del sistema, confirma el informe de la interventora que la subvención no se ha incluido en la base de datos, ni consta que convenio particular alguno haya sido previamente informado por el letrado del Gabinete Jurídico, adscrito en la Consejería de Empleo, como era preceptivo” (sentencia de la Audiencia Provincial, fundamento 4, págs. 264 y 265).</w:t>
      </w:r>
    </w:p>
    <w:p w14:paraId="383AEDD2" w14:textId="77777777" w:rsidR="003754FE" w:rsidRDefault="003754FE" w:rsidP="003754FE">
      <w:pPr>
        <w:pStyle w:val="TextoNormal"/>
      </w:pPr>
    </w:p>
    <w:p w14:paraId="5F1BD187" w14:textId="77777777" w:rsidR="003754FE" w:rsidRDefault="003754FE" w:rsidP="003754FE">
      <w:pPr>
        <w:pStyle w:val="TextoNormal"/>
      </w:pPr>
      <w:r>
        <w:t>El contenido de estos informes permite inferir de manera razonable que sus destinatarios eran conscientes de que dichas aplicaciones presupuestarias permitían destinar fondos públicos al pago de ayudas sin cumplir el régimen propio de las subvenciones, pero no advertían de que se hubieran materializado pagos al margen de su cobertura, frente a lo que sostiene la sentencia de la Audiencia Provincial (fundamento de Derecho 45, pág. 1721) y como implícitamente viene a reconocer la sentencia de casación al afirmar que “el contenido del informe [adicional al de cumplimiento de 2003] no anuncia las consecuencias que se podían producir” (sentencia del Tribunal Supremo, fundamento 63.2, pág. 519).</w:t>
      </w:r>
    </w:p>
    <w:p w14:paraId="08D578A9" w14:textId="77777777" w:rsidR="003754FE" w:rsidRDefault="003754FE" w:rsidP="003754FE">
      <w:pPr>
        <w:pStyle w:val="TextoNormal"/>
      </w:pPr>
    </w:p>
    <w:p w14:paraId="0359B028" w14:textId="77777777" w:rsidR="003754FE" w:rsidRDefault="003754FE" w:rsidP="003754FE">
      <w:pPr>
        <w:pStyle w:val="TextoNormal"/>
      </w:pPr>
      <w:r>
        <w:t>En definitiva, los informes de la Intervención que la sentencia de instancia analiza como medio de prueba acreditativo del tipo subjetivo de la malversación no llegan a demostrar que la señora Martínez Aguayo hubiera realizado los hechos que se le atribuyen (la aprobación de presupuestos y modificaciones presupuestarias) con una representación suficiente de que las ayudas se fueran a conceder al margen de toda finalidad pública. Tampoco es un dato concluyente que tuviera conocimiento del déficit contable que se producía en la agencia IDEA pues el mismo era una consecuencia asociada al sistema de presupuestación y gestión de las transferencias de financiación determinado en las leyes de presupuestos.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que aparecen descritas en el fundamento de Derecho 45 de la sentencia de instancia.</w:t>
      </w:r>
    </w:p>
    <w:p w14:paraId="5F263DD4" w14:textId="77777777" w:rsidR="003754FE" w:rsidRDefault="003754FE" w:rsidP="003754FE">
      <w:pPr>
        <w:pStyle w:val="TextoNormal"/>
      </w:pPr>
    </w:p>
    <w:p w14:paraId="5695F3F4" w14:textId="77777777" w:rsidR="003754FE" w:rsidRDefault="003754FE" w:rsidP="003754FE">
      <w:pPr>
        <w:pStyle w:val="TextoNormal"/>
      </w:pPr>
      <w:r>
        <w:t>Ello no quiere decir, en modo alguno, que no existan en la causa elementos que hubieran podido servir de punto de partida para fundar un juicio de inferencia que pudiera haber llevado a esa conclusión —cuestión sobre la que a este tribunal no le corresponde pronunciarse—, sino, sencillamente, que la sentencia no ha completado el razonamiento capaz de trazar la vinculación entre las acciones y omisiones de la demandante de amparo, y el pago de ayudas no justificadas a empresas y particulares, o su desvío a fines no previstos en el programa 31L, razonamiento que es necesario para satisfacer el canon de motivación reforzada exigible a una sentencia condenatoria desde la perspectiva del derecho a la presunción de inocencia (art. 24.2 CE) y de los derechos fundamentales concernidos por las penas impuestas.</w:t>
      </w:r>
    </w:p>
    <w:p w14:paraId="4FBDA42C" w14:textId="77777777" w:rsidR="003754FE" w:rsidRDefault="003754FE" w:rsidP="003754FE">
      <w:pPr>
        <w:pStyle w:val="TextoNormal"/>
      </w:pPr>
    </w:p>
    <w:p w14:paraId="3220BB7D" w14:textId="77777777" w:rsidR="003754FE" w:rsidRDefault="003754FE" w:rsidP="003754FE">
      <w:pPr>
        <w:pStyle w:val="TextoNormal"/>
      </w:pPr>
      <w:r>
        <w:t xml:space="preserve">La resolución judicial de instancia atribuye directamente dicho desvío de fondos a los responsables de la Consejería de Empleo señalando que “[s]in el mecanismo ya descrito hubiera sido imposible que la Consejería de Empleo de la Junta de Andalucía, a través de la Dirección General de Trabajo y Seguridad Social, hubiera dispuesto de fondos para conceder y pagar a través del IFA/IDEA, los conceptos ya reseñados, sin la tramitación del </w:t>
      </w:r>
      <w:r>
        <w:lastRenderedPageBreak/>
        <w:t>correspondiente expediente, que permitiese acreditar, no ya solo el fin público o social del destino de las cantidades concedidas, sino que, acreditado este, se hubieran aplicado los fondos al mismo” (sentencia de la Audiencia Provincial, fundamento de Derecho 22, pág 696). Esta fundamentación se repite a lo largo de la sentencia de instancia, como en los fundamentos 9 o 35, donde se afirma que “[a] pesar de no estar previsto en la ficha presupuestaria del programa 31L, lo cierto es que los responsables de la Consejería de Empleo, utilizaron estos fondos para fines completamente ajenos. Y así, a simple modo de ejemplo, se encuentra que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w:t>
      </w:r>
    </w:p>
    <w:p w14:paraId="30CE38A8" w14:textId="77777777" w:rsidR="003754FE" w:rsidRDefault="003754FE" w:rsidP="003754FE">
      <w:pPr>
        <w:pStyle w:val="TextoNormal"/>
      </w:pPr>
    </w:p>
    <w:p w14:paraId="4D4E8517" w14:textId="77777777" w:rsidR="003754FE" w:rsidRDefault="003754FE" w:rsidP="003754FE">
      <w:pPr>
        <w:pStyle w:val="TextoNormal"/>
      </w:pPr>
      <w:r>
        <w:t>En el fundamento de Derecho 45 se declara, a partir de las conclusiones del informe pericial de la Intervención General de la Administración del Estado, que fue recabado cuando ya estaba en marcha el proceso judicial, y de informes de auditoría externa, cuyo único destinatario fue el Director General de Trabajo, don Juan Márquez Contreras, que se habían realizado pagos completamente ajenos al interés público, “[c]omo son el pago de nóminas, deudas (sin especificar), minutas por asesoramiento jurídico en materia laboral, mejoras salariales derivadas de convenios colectivos, préstamos para pago de nóminas de los que no consta su devolución”, a empresas que no habían acreditado su falta de capacidad económica, sospechosas de haberse constituido exclusivamente para el cobro de las subvenciones, o incluyendo beneficiarios que no pertenecían a las mismas (sentencia de la Audiencia Provincial, fundamento 45, págs. 1714 a 1722). La sentencia de instancia valora estos medios de prueba y otros, como la declaración testifical de la señora Rofa, técnico contratada en la Consejería de Empleo, como elementos acreditativos de las graves irregularidades que se cometieron en el seno de la Consejería de Empleo, y de las consecuencias que deparó la no utilización del régimen jurídico de las subvenciones, pero no las explota como fuentes de información para obtener elementos indiciarios susceptibles de fundar el conocimiento o participación, activa u omisiva, de la señora Martínez Aguayo en su realización, lo que determina que el juicio de autoría presente, en este aspecto, una motivación insuficiente porque, en ausencia de esos datos, el juicio de inferencia del conocimiento y participación de la demandante de amparo en tales prácticas resulta excesivamente laxo y genera un amplio margen de incertidumbre.</w:t>
      </w:r>
    </w:p>
    <w:p w14:paraId="437AFDAD" w14:textId="77777777" w:rsidR="003754FE" w:rsidRDefault="003754FE" w:rsidP="003754FE">
      <w:pPr>
        <w:pStyle w:val="TextoNormal"/>
      </w:pPr>
    </w:p>
    <w:p w14:paraId="0EE9C2DE" w14:textId="350116A6" w:rsidR="003754FE" w:rsidRDefault="003754FE" w:rsidP="003754FE">
      <w:pPr>
        <w:pStyle w:val="TextoNormal"/>
      </w:pPr>
      <w:r>
        <w:t>Consecuentemente, y desde la perspectiva del análisis efectuado en las resoluciones judiciales impugnadas, no se considera mínimamente motivado que la señora Martínez Aguayo hubiera realizado los hechos que la sentencia declara probados con conocimiento de que la Consejería de Empleo concedía ayudas que no respondían a ningún fin público amparado en el programa 31L, y consiguientemente con representación del riesgo concreto de que dicha situación se pudiera reproducir, lo que permite concluir que su presunción de inocencia no ha sido respetada por los órganos judiciales que la condenaron y que desestimaron el recurso de casación subsiguientemente interpuesto, y debe llevar a la estimación del amparo respecto a este motivo.</w:t>
      </w:r>
    </w:p>
    <w:p w14:paraId="633F5A5B" w14:textId="77777777" w:rsidR="003754FE" w:rsidRDefault="003754FE" w:rsidP="003754FE">
      <w:pPr>
        <w:pStyle w:val="TextoNormal"/>
      </w:pPr>
    </w:p>
    <w:p w14:paraId="28125635" w14:textId="77777777" w:rsidR="003754FE" w:rsidRDefault="003754FE" w:rsidP="003754FE">
      <w:pPr>
        <w:pStyle w:val="TextoNormal"/>
      </w:pPr>
      <w:r w:rsidRPr="003754FE">
        <w:rPr>
          <w:rStyle w:val="NumeroAFNegritaCaracter"/>
        </w:rPr>
        <w:t>7</w:t>
      </w:r>
      <w:r>
        <w:t xml:space="preserve">. </w:t>
      </w:r>
      <w:r w:rsidRPr="003754FE">
        <w:rPr>
          <w:i/>
        </w:rPr>
        <w:t>Vulneraciones atribuidas a la comunicación pública y anticipada del fallo de la sentencia de casación</w:t>
      </w:r>
    </w:p>
    <w:p w14:paraId="2C962997" w14:textId="77777777" w:rsidR="003754FE" w:rsidRDefault="003754FE" w:rsidP="003754FE">
      <w:pPr>
        <w:pStyle w:val="TextoNormal"/>
      </w:pPr>
    </w:p>
    <w:p w14:paraId="2C752DD3" w14:textId="77777777" w:rsidR="003754FE" w:rsidRDefault="003754FE" w:rsidP="003754FE">
      <w:pPr>
        <w:pStyle w:val="TextoNormal"/>
      </w:pPr>
      <w:r>
        <w:t xml:space="preserve">7.1. </w:t>
      </w:r>
      <w:r w:rsidRPr="003754FE">
        <w:rPr>
          <w:i/>
        </w:rPr>
        <w:t>Exposición de la queja de la recurrente, de las posiciones de las partes personadas y del pronunciamiento del Tribunal Supremo</w:t>
      </w:r>
    </w:p>
    <w:p w14:paraId="10FA6454" w14:textId="77777777" w:rsidR="003754FE" w:rsidRDefault="003754FE" w:rsidP="003754FE">
      <w:pPr>
        <w:pStyle w:val="TextoNormal"/>
      </w:pPr>
    </w:p>
    <w:p w14:paraId="02B35735" w14:textId="77777777" w:rsidR="003754FE" w:rsidRDefault="003754FE" w:rsidP="003754FE">
      <w:pPr>
        <w:pStyle w:val="TextoNormal"/>
      </w:pPr>
      <w:r>
        <w:t>El último motivo de la demanda denuncia la vulneración del derecho a la presunción de inocencia (art. 24.2 CE) “en su dimensión de derecho al honor” (art. 18 CE), del derecho a un proceso con todas las garantías (art. 24.2 CE) y del derecho a la tutela judicial efectiva sin indefensión (art. 24.1 CE) por razón de la publicación anticipada del fallo.</w:t>
      </w:r>
    </w:p>
    <w:p w14:paraId="71A313C0" w14:textId="77777777" w:rsidR="003754FE" w:rsidRDefault="003754FE" w:rsidP="003754FE">
      <w:pPr>
        <w:pStyle w:val="TextoNormal"/>
      </w:pPr>
    </w:p>
    <w:p w14:paraId="68ADDD2F" w14:textId="77777777" w:rsidR="003754FE" w:rsidRDefault="003754FE" w:rsidP="003754FE">
      <w:pPr>
        <w:pStyle w:val="TextoNormal"/>
      </w:pPr>
      <w:r>
        <w:t>La recurrente considera que el comunicado público efectuado el 26 de julio de 2022 que adelanta el fallo de la sentencia de casación supuso una declaración pública de culpabilidad carente de motivación y no asentada en una resolución judicial definitiva, lo que le impidió accionar los mecanismos procesales oportunos contra la decisión y determinó una pérdida de imparcialidad del órgano judicial. Sostiene que el hecho de que el voto particular de dos magistradas debiera aún redactarse muestra que no había finalizado la deliberación y, en tal medida, que no había un fallo irreversible. A su entender, el adelantamiento del fallo carece de justificación, sin que sean asumibles las razones aducidas por el Tribunal Supremo: la relevancia pública del caso, que justamente exigiría mayores cautelas, o que esta práctica se haya realizado anteriormente, lo que no significa que ese proceder sea correcto. Sostiene que con su actuación la Sala ha ignorado las normas legales (arts. 142 y 900 LECrim), ha blindado el fallo desestimatorio y confirmatorio de la condena y, con ello, ha perdido su apariencia de imparcialidad.</w:t>
      </w:r>
    </w:p>
    <w:p w14:paraId="5A1D3FEE" w14:textId="77777777" w:rsidR="003754FE" w:rsidRDefault="003754FE" w:rsidP="003754FE">
      <w:pPr>
        <w:pStyle w:val="TextoNormal"/>
      </w:pPr>
    </w:p>
    <w:p w14:paraId="3D3D6B76" w14:textId="77777777" w:rsidR="003754FE" w:rsidRDefault="003754FE" w:rsidP="003754FE">
      <w:pPr>
        <w:pStyle w:val="TextoNormal"/>
      </w:pPr>
      <w:r>
        <w:t>Como ha quedado reflejado en el antecedente 5 de esta resolución, el Partido Popular rechaza en sus alegaciones las lesiones atribuidas a la publicación anticipada del fallo, ya que la decisión había sido deliberada y votada y era un hecho procesal relevante del que el Tribunal Supremo se limitó a dar noticia, mientras que los señores Griñán Martínez y Lozano Peña se han adherido a este motivo del recurso. El fiscal solicita la desestimación del motivo ya que, a su juicio, la finalidad del proceder cuestionado era facilitar una información de indiscutible interés público y no se añadía ningún gravamen en la reputación o consideración pública de la recurrente, cuya condena previa se veía confirmada, tal y como se ha recogido con mayor detalle en el antecedente 6.</w:t>
      </w:r>
    </w:p>
    <w:p w14:paraId="3C43157A" w14:textId="77777777" w:rsidR="003754FE" w:rsidRDefault="003754FE" w:rsidP="003754FE">
      <w:pPr>
        <w:pStyle w:val="TextoNormal"/>
      </w:pPr>
    </w:p>
    <w:p w14:paraId="2747EE85" w14:textId="77777777" w:rsidR="003754FE" w:rsidRDefault="003754FE" w:rsidP="003754FE">
      <w:pPr>
        <w:pStyle w:val="TextoNormal"/>
      </w:pPr>
      <w:r>
        <w:t>En el incidente de nulidad de actuaciones formulado por la recurrente se alegaron quejas análogas que fueron descartadas en el fundamento de Derecho 10 del auto del Tribunal Supremo de 16 de febrero de 2023 por remisión a lo respondido a otro recurrente en el fundamento de Derecho 2 de dicho auto. En él se parte de distinguir el contenido necesario de una sentencia, su notificación y la publicación anticipada del fallo, para subrayar (i) que esta última es una actuación no prevista en la ley, pero tampoco prohibida y prevista para determinadas resoluciones; (ii) que se viene realizando con habitualidad por las distintas salas del Tribunal Supremo en atención a la demanda de noticias por la sociedad y para evitar los efectos perniciosos de la falta de publicidad, como las filtraciones; (iii) que la sentencia ya había sido deliberada y el texto estaba concluso a falta de los votos particulares; (iv) que la “publicación anticipada del fallo, con una sucinta motivación, que se limitó a dar noticia de un hecho relevante, cierto y de naturaleza procesal, no puede equipararse a una condena pública sin motivación”; y (v) que la comunicación pública de un hecho de indudable relevancia informativa “se hizo ponderando otros derechos como el de libre comunicación y recepción de información de los ciudadanos”.</w:t>
      </w:r>
    </w:p>
    <w:p w14:paraId="573D3D51" w14:textId="77777777" w:rsidR="003754FE" w:rsidRDefault="003754FE" w:rsidP="003754FE">
      <w:pPr>
        <w:pStyle w:val="TextoNormal"/>
      </w:pPr>
    </w:p>
    <w:p w14:paraId="2050802F" w14:textId="77777777" w:rsidR="003754FE" w:rsidRDefault="003754FE" w:rsidP="003754FE">
      <w:pPr>
        <w:pStyle w:val="TextoNormal"/>
      </w:pPr>
      <w:r>
        <w:t>A la vista del contenido de este motivo de la demanda de amparo, su examen debe escindirse en dos, de conformidad con la argumentación de una doble lesión, la del derecho a la presunción de inocencia extraprocesal y la de los derechos a un proceso con todas las garantías y a la tutela judicial efectiva sin indefensión.</w:t>
      </w:r>
    </w:p>
    <w:p w14:paraId="301377EB" w14:textId="77777777" w:rsidR="003754FE" w:rsidRDefault="003754FE" w:rsidP="003754FE">
      <w:pPr>
        <w:pStyle w:val="TextoNormal"/>
      </w:pPr>
    </w:p>
    <w:p w14:paraId="02E18010" w14:textId="77777777" w:rsidR="003754FE" w:rsidRDefault="003754FE" w:rsidP="003754FE">
      <w:pPr>
        <w:pStyle w:val="TextoNormal"/>
      </w:pPr>
      <w:r>
        <w:t xml:space="preserve">7.2. </w:t>
      </w:r>
      <w:r w:rsidRPr="003754FE">
        <w:rPr>
          <w:i/>
        </w:rPr>
        <w:t>Vulneración del derecho a la presunción de inocencia extraprocesal</w:t>
      </w:r>
    </w:p>
    <w:p w14:paraId="6D24EE8E" w14:textId="77777777" w:rsidR="003754FE" w:rsidRDefault="003754FE" w:rsidP="003754FE">
      <w:pPr>
        <w:pStyle w:val="TextoNormal"/>
      </w:pPr>
    </w:p>
    <w:p w14:paraId="0FD8D9DE" w14:textId="77777777" w:rsidR="003754FE" w:rsidRDefault="003754FE" w:rsidP="003754FE">
      <w:pPr>
        <w:pStyle w:val="TextoNormal"/>
      </w:pPr>
      <w:r>
        <w:t xml:space="preserve">7.2.1. </w:t>
      </w:r>
      <w:r w:rsidRPr="003754FE">
        <w:rPr>
          <w:i/>
        </w:rPr>
        <w:t>Doctrina sobre el derecho a la presunción de inocencia extraprocesal</w:t>
      </w:r>
    </w:p>
    <w:p w14:paraId="3E14B5E9" w14:textId="77777777" w:rsidR="003754FE" w:rsidRDefault="003754FE" w:rsidP="003754FE">
      <w:pPr>
        <w:pStyle w:val="TextoNormal"/>
      </w:pPr>
    </w:p>
    <w:p w14:paraId="61922459" w14:textId="77777777" w:rsidR="003754FE" w:rsidRDefault="003754FE" w:rsidP="003754FE">
      <w:pPr>
        <w:pStyle w:val="TextoNormal"/>
      </w:pPr>
      <w:r>
        <w:t>La evolución de la jurisprudencia constitucional sobre la vertiente del derecho a la presunción de inocencia como regla de tratamiento que opera dentro y fuera del proceso penal cristaliza en la doctrina consignada en la STC 77/2023, de 20 de junio, FJ 6, tal y como se expone en la STC 94/2024, de 2 de julio, FJ 7.2.1, donde se destacan tres elementos de dicha doctrina:</w:t>
      </w:r>
    </w:p>
    <w:p w14:paraId="34EEE7CD" w14:textId="77777777" w:rsidR="003754FE" w:rsidRDefault="003754FE" w:rsidP="003754FE">
      <w:pPr>
        <w:pStyle w:val="TextoNormal"/>
      </w:pPr>
    </w:p>
    <w:p w14:paraId="5DEA8CED" w14:textId="77777777" w:rsidR="003754FE" w:rsidRDefault="003754FE" w:rsidP="003754FE">
      <w:pPr>
        <w:pStyle w:val="TextoNormal"/>
      </w:pPr>
      <w:r>
        <w:t>(i) Frente a la tradicional reconducción al derecho al honor (art. 18 CE) en la jurisprudencia constitucional, afirma la autonomía del derecho a la presunción de inocencia como regla de tratamiento, que “tiene por objeto salvaguardar o preservar a la persona en su condición de inocente frente a declaraciones de culpabilidad vertidas por la autoridad pública en aquellos casos en que no concurren los requisitos formales y materiales exigibles en un Estado de Derecho para realizar tal aseveración”.</w:t>
      </w:r>
    </w:p>
    <w:p w14:paraId="06958106" w14:textId="77777777" w:rsidR="003754FE" w:rsidRDefault="003754FE" w:rsidP="003754FE">
      <w:pPr>
        <w:pStyle w:val="TextoNormal"/>
      </w:pPr>
    </w:p>
    <w:p w14:paraId="1DABC6EC" w14:textId="77777777" w:rsidR="003754FE" w:rsidRDefault="003754FE" w:rsidP="003754FE">
      <w:pPr>
        <w:pStyle w:val="TextoNormal"/>
      </w:pPr>
      <w:r>
        <w:t>(ii) Especifica que ese contenido “impide a los poderes públicos, tras declararse judicialmente la inocencia de una persona, cuestionar tal declaración”, así como imputar “ilícitos a una persona a pesar de que su culpabilidad no haya sido declarada por un tribunal, en el seno del proceso judicial público diseñado al efecto por el legislador y con todas las garantías”.</w:t>
      </w:r>
    </w:p>
    <w:p w14:paraId="7A141320" w14:textId="77777777" w:rsidR="003754FE" w:rsidRDefault="003754FE" w:rsidP="003754FE">
      <w:pPr>
        <w:pStyle w:val="TextoNormal"/>
      </w:pPr>
    </w:p>
    <w:p w14:paraId="01B2B069" w14:textId="77777777" w:rsidR="003754FE" w:rsidRDefault="003754FE" w:rsidP="003754FE">
      <w:pPr>
        <w:pStyle w:val="TextoNormal"/>
      </w:pPr>
      <w:r>
        <w:t>(iii) En sintonía con la jurisprudencia del Tribunal Europeo de Derechos Humanos, fija que la lesión del derecho “queda consumada en el momento en que desde el poder público se emitan declaraciones que no se limiten a describir un ‘estado de sospecha’ sino que vayan más allá, reflejando ‘la sensación de que la persona en cuestión es culpable’, siendo indiferente si se produce con anterioridad a la condena o con posterioridad a la absolución”.</w:t>
      </w:r>
    </w:p>
    <w:p w14:paraId="3C467E6C" w14:textId="77777777" w:rsidR="003754FE" w:rsidRDefault="003754FE" w:rsidP="003754FE">
      <w:pPr>
        <w:pStyle w:val="TextoNormal"/>
      </w:pPr>
    </w:p>
    <w:p w14:paraId="2223504A" w14:textId="77777777" w:rsidR="003754FE" w:rsidRDefault="003754FE" w:rsidP="003754FE">
      <w:pPr>
        <w:pStyle w:val="TextoNormal"/>
      </w:pPr>
      <w:r>
        <w:t>En la citada STC 94/2024, FJ 7.2, se puso de relieve que la conformación de esta dimensión del derecho a la presunción de inocencia se ha visto particularmente influida por la jurisprudencia del Tribunal Europeo de Derechos Humanos al respecto (art. 6.2 CEDH), de la que reseñó varios aspectos por su relevancia para el caso que ahora resulta pertinente recordar, siquiera sea resumidamente:</w:t>
      </w:r>
    </w:p>
    <w:p w14:paraId="0B3FA4B1" w14:textId="77777777" w:rsidR="003754FE" w:rsidRDefault="003754FE" w:rsidP="003754FE">
      <w:pPr>
        <w:pStyle w:val="TextoNormal"/>
      </w:pPr>
    </w:p>
    <w:p w14:paraId="770679F4" w14:textId="77777777" w:rsidR="003754FE" w:rsidRDefault="003754FE" w:rsidP="003754FE">
      <w:pPr>
        <w:pStyle w:val="TextoNormal"/>
      </w:pPr>
      <w:r>
        <w:t xml:space="preserve">(i) El Tribunal Europeo considera que, “[e]ntendido como una garantía procesal en el contexto de un proceso penal, el derecho a la presunción de inocencia establece algunas exigencias y límites en cuanto a […] las declaraciones prematuras del tribunal o de otras autoridades públicas sobre la culpabilidad del acusado” (por todas, STEDH, Gran Sala, de 12 de julio de 2013, asunto </w:t>
      </w:r>
      <w:r w:rsidRPr="003754FE">
        <w:rPr>
          <w:i/>
        </w:rPr>
        <w:t>Allen c. Reino Unido</w:t>
      </w:r>
      <w:r>
        <w:t xml:space="preserve">, § 93). La prohibición del art. 6.2 CEDH se extiende tanto a manifestaciones prematuras por parte del tribunal penal de que la persona inmersa en un proceso penal es culpable, esto es, sin que se haya demostrado que lo es con </w:t>
      </w:r>
      <w:r>
        <w:lastRenderedPageBreak/>
        <w:t xml:space="preserve">arreglo a la ley, como a las declaraciones realizadas por otros funcionarios o autoridades sobre investigaciones penales pendientes que inciten al público a creer que el sospechoso es culpable y prejuzguen la evaluación de los hechos por parte de la autoridad judicial competente (por todas, STEDH de 10 de febrero de 1995, asunto </w:t>
      </w:r>
      <w:r w:rsidRPr="003754FE">
        <w:rPr>
          <w:i/>
        </w:rPr>
        <w:t>Allenet de Ribemont c. Francia</w:t>
      </w:r>
      <w:r>
        <w:t>, § 36-37).</w:t>
      </w:r>
    </w:p>
    <w:p w14:paraId="5A827B02" w14:textId="77777777" w:rsidR="003754FE" w:rsidRDefault="003754FE" w:rsidP="003754FE">
      <w:pPr>
        <w:pStyle w:val="TextoNormal"/>
      </w:pPr>
    </w:p>
    <w:p w14:paraId="142CE0DB" w14:textId="77777777" w:rsidR="003754FE" w:rsidRDefault="003754FE" w:rsidP="003754FE">
      <w:pPr>
        <w:pStyle w:val="TextoNormal"/>
      </w:pPr>
      <w:r>
        <w:t>(ii) En ambos casos, el Tribunal Europeo subraya que lo que importa es el significado real de las declaraciones en cuestión, no su literalidad. No es precisa una declaración formal de culpabilidad, sino que basta con que de lo manifestado se desprenda que se considera culpable a la persona (STEDH de 28 de noviembre de 2002, asunt</w:t>
      </w:r>
      <w:r w:rsidRPr="003754FE">
        <w:rPr>
          <w:i/>
        </w:rPr>
        <w:t>o Lavents c. Leton</w:t>
      </w:r>
      <w:r>
        <w:t>ia, § 126).</w:t>
      </w:r>
    </w:p>
    <w:p w14:paraId="54E5DC75" w14:textId="77777777" w:rsidR="003754FE" w:rsidRDefault="003754FE" w:rsidP="003754FE">
      <w:pPr>
        <w:pStyle w:val="TextoNormal"/>
      </w:pPr>
    </w:p>
    <w:p w14:paraId="56198EC9" w14:textId="77777777" w:rsidR="003754FE" w:rsidRDefault="003754FE" w:rsidP="003754FE">
      <w:pPr>
        <w:pStyle w:val="TextoNormal"/>
      </w:pPr>
      <w:r>
        <w:t xml:space="preserve">(iii) La declaración de culpabilidad ulterior no obsta al mantenimiento del derecho a la presunción de inocencia hasta el momento en que se prueba legalmente la culpabilidad, pues el art. 6.2 CEDH rige el proceso penal en su conjunto, con independencia del resultado de la acusación (STEDH de 19 de septiembre de 2006, asunto </w:t>
      </w:r>
      <w:r w:rsidRPr="003754FE">
        <w:rPr>
          <w:i/>
        </w:rPr>
        <w:t>Matijasevic c. Serbia</w:t>
      </w:r>
      <w:r>
        <w:t>, § 49). La posterior condena de un acusado “no puede borrar el derecho inicial a la presunción de inocencia hasta que su culpabilidad haya sido legalmente establecida” (STEDH de 21 de julio de 2015, asunt</w:t>
      </w:r>
      <w:r w:rsidRPr="003754FE">
        <w:rPr>
          <w:i/>
        </w:rPr>
        <w:t>o Neagoe c. Ruman</w:t>
      </w:r>
      <w:r>
        <w:t>ía, § 49).</w:t>
      </w:r>
    </w:p>
    <w:p w14:paraId="457A7458" w14:textId="77777777" w:rsidR="003754FE" w:rsidRDefault="003754FE" w:rsidP="003754FE">
      <w:pPr>
        <w:pStyle w:val="TextoNormal"/>
      </w:pPr>
    </w:p>
    <w:p w14:paraId="1E7C092C" w14:textId="77777777" w:rsidR="003754FE" w:rsidRDefault="003754FE" w:rsidP="003754FE">
      <w:pPr>
        <w:pStyle w:val="TextoNormal"/>
      </w:pPr>
      <w:r>
        <w:t>(iv) La prohibición de las declaraciones que materialmente, más allá de su tenor literal, sugieran la culpabilidad de quien no ha sido condenado en firme no es incompatible con la posibilidad de que las autoridades informen públicamente sobre los procesos penales en curso, que avala el art. 10 CEDH (</w:t>
      </w:r>
      <w:r w:rsidRPr="003754FE">
        <w:rPr>
          <w:i/>
        </w:rPr>
        <w:t>Neagoe c. Rumanía</w:t>
      </w:r>
      <w:r>
        <w:t>, § 45). Lo que el art. 6.2 CEDH impone es que la información se dé con toda la discreción y prudencia necesarias para respetar la presunción de inocencia (</w:t>
      </w:r>
      <w:r w:rsidRPr="003754FE">
        <w:rPr>
          <w:i/>
        </w:rPr>
        <w:t>Allenet de Ribemont c. Francia</w:t>
      </w:r>
      <w:r>
        <w:t>, § 38), sin acompañar la información con valoraciones, especulaciones o manifestaciones que sugieran la culpabilidad de quien no ha sido aún condenado</w:t>
      </w:r>
      <w:r w:rsidRPr="003754FE">
        <w:rPr>
          <w:i/>
        </w:rPr>
        <w:t xml:space="preserve"> (Neagoe c. Ruman</w:t>
      </w:r>
      <w:r>
        <w:t>ía, § 46 y 48).</w:t>
      </w:r>
    </w:p>
    <w:p w14:paraId="089C9159" w14:textId="77777777" w:rsidR="003754FE" w:rsidRDefault="003754FE" w:rsidP="003754FE">
      <w:pPr>
        <w:pStyle w:val="TextoNormal"/>
      </w:pPr>
    </w:p>
    <w:p w14:paraId="03357FB1" w14:textId="77777777" w:rsidR="003754FE" w:rsidRDefault="003754FE" w:rsidP="003754FE">
      <w:pPr>
        <w:pStyle w:val="TextoNormal"/>
      </w:pPr>
      <w:r>
        <w:t>En esta dirección se pronuncia también el art. 4.3 de la Directiva (UE) 2016/343 del Parlamento Europeo y del Consejo, de 9 de marzo de 2016, por la que se refuerzan en el proceso penal determinados aspectos de la presunción de inocencia y el derecho a estar presente en el juicio, al precisar que la obligación de no referirse a los sospechosos o acusados como culpables que establece el art. 4.1 “no impedirá a las autoridades públicas divulgar información sobre el proceso penal cuando sea estrictamente necesario por motivos relacionados con la investigación penal o el interés público” (art. 4.3).</w:t>
      </w:r>
    </w:p>
    <w:p w14:paraId="11C077A8" w14:textId="77777777" w:rsidR="003754FE" w:rsidRDefault="003754FE" w:rsidP="003754FE">
      <w:pPr>
        <w:pStyle w:val="TextoNormal"/>
      </w:pPr>
    </w:p>
    <w:p w14:paraId="6A5CE1E7" w14:textId="77777777" w:rsidR="003754FE" w:rsidRDefault="003754FE" w:rsidP="003754FE">
      <w:pPr>
        <w:pStyle w:val="TextoNormal"/>
      </w:pPr>
      <w:r>
        <w:t>7.2.2</w:t>
      </w:r>
      <w:r w:rsidRPr="003754FE">
        <w:rPr>
          <w:i/>
        </w:rPr>
        <w:t>. Enjuiciamiento de la que</w:t>
      </w:r>
      <w:r>
        <w:t>ja</w:t>
      </w:r>
    </w:p>
    <w:p w14:paraId="7D634DE4" w14:textId="77777777" w:rsidR="003754FE" w:rsidRDefault="003754FE" w:rsidP="003754FE">
      <w:pPr>
        <w:pStyle w:val="TextoNormal"/>
      </w:pPr>
    </w:p>
    <w:p w14:paraId="326E6C8D" w14:textId="77777777" w:rsidR="003754FE" w:rsidRDefault="003754FE" w:rsidP="003754FE">
      <w:pPr>
        <w:pStyle w:val="TextoNormal"/>
      </w:pPr>
      <w:r>
        <w:t>A) Puntualizaciones</w:t>
      </w:r>
    </w:p>
    <w:p w14:paraId="3415529D" w14:textId="77777777" w:rsidR="003754FE" w:rsidRDefault="003754FE" w:rsidP="003754FE">
      <w:pPr>
        <w:pStyle w:val="TextoNormal"/>
      </w:pPr>
    </w:p>
    <w:p w14:paraId="4669B765" w14:textId="77777777" w:rsidR="003754FE" w:rsidRDefault="003754FE" w:rsidP="003754FE">
      <w:pPr>
        <w:pStyle w:val="TextoNormal"/>
      </w:pPr>
      <w:r>
        <w:t xml:space="preserve">El examen de la queja formulada por la recurrente conforme a los parámetros reseñados requiere efectuar tres puntualizaciones atinentes a la concreta actuación cuestionada y al momento procesal en el que se dice producida la lesión como también ocurría con la queja análoga resuelta en la citada STC 94/2024, de 2 de julio, FJ 7.2.2 A), a cuyos razonamientos al respecto nos remitimos: (i) no se cuestiona la difusión pública del fallo, sino que se efectuara antes de la notificación íntegra de la sentencia, lo que se valora como una indebida declaración prematura de culpabilidad, de modo que la vulneración denunciada se </w:t>
      </w:r>
      <w:r>
        <w:lastRenderedPageBreak/>
        <w:t>circunscribe al derecho a la presunción de inocencia como regla de tratamiento; (ii) la prohibición de efectuar manifestaciones que denoten una consideración como culpable de quien aún no ha sido condenado en firme vincula al juez penal competente aun cuando se trate del tribunal penal de casación y en fases anteriores se haya dictado ya una condena; y (iii) el devenir del proceso penal implica ir adoptando decisiones fundadas tanto en la existencia de indicios de comisión de un delito como en la certeza más allá de toda duda razonable de la culpabilidad del sujeto, pronunciamientos que son compatibles con el derecho a la presunción de inocencia, pero en los que debe evitarse reflejar la opinión de que la persona es culpable cuando se asientan en la sospecha de culpabilidad y tienen, incluso si se trata de una condena no firme que afirma la culpabilidad, un componente eventual que solo la firmeza de la resolución confirma, poniendo fin a la exigencia de no tratar a la persona investigada, acusada o condenada como culpable.</w:t>
      </w:r>
    </w:p>
    <w:p w14:paraId="77628A02" w14:textId="77777777" w:rsidR="003754FE" w:rsidRDefault="003754FE" w:rsidP="003754FE">
      <w:pPr>
        <w:pStyle w:val="TextoNormal"/>
      </w:pPr>
    </w:p>
    <w:p w14:paraId="5BA72588" w14:textId="77777777" w:rsidR="003754FE" w:rsidRDefault="003754FE" w:rsidP="003754FE">
      <w:pPr>
        <w:pStyle w:val="TextoNormal"/>
      </w:pPr>
      <w:r>
        <w:t>B) Contenido del comunicado de prensa</w:t>
      </w:r>
    </w:p>
    <w:p w14:paraId="60297402" w14:textId="77777777" w:rsidR="003754FE" w:rsidRDefault="003754FE" w:rsidP="003754FE">
      <w:pPr>
        <w:pStyle w:val="TextoNormal"/>
      </w:pPr>
    </w:p>
    <w:p w14:paraId="584A0F88" w14:textId="77777777" w:rsidR="003754FE" w:rsidRDefault="003754FE" w:rsidP="003754FE">
      <w:pPr>
        <w:pStyle w:val="TextoNormal"/>
      </w:pPr>
      <w:r>
        <w:t>La importancia de las expresiones utilizadas en las declaraciones cuestionadas para apreciar una lesión del derecho a la presunción de inocencia obliga a que el examen del motivo parta del contenido y tenor del comunicado de prensa difundido, que a continuación se reproduce:</w:t>
      </w:r>
    </w:p>
    <w:p w14:paraId="14BBFD38" w14:textId="77777777" w:rsidR="003754FE" w:rsidRDefault="003754FE" w:rsidP="003754FE">
      <w:pPr>
        <w:pStyle w:val="TextoNormal"/>
      </w:pPr>
    </w:p>
    <w:p w14:paraId="66CD9387" w14:textId="77777777" w:rsidR="003754FE" w:rsidRDefault="003754FE" w:rsidP="003754FE">
      <w:pPr>
        <w:pStyle w:val="TextoNormal"/>
      </w:pPr>
      <w:r>
        <w:t>“COMUNICADO DE PRENSA</w:t>
      </w:r>
    </w:p>
    <w:p w14:paraId="0E7E20B3" w14:textId="77777777" w:rsidR="003754FE" w:rsidRDefault="003754FE" w:rsidP="003754FE">
      <w:pPr>
        <w:pStyle w:val="TextoNormal"/>
      </w:pPr>
    </w:p>
    <w:p w14:paraId="377F5816" w14:textId="77777777" w:rsidR="003754FE" w:rsidRDefault="003754FE" w:rsidP="003754FE">
      <w:pPr>
        <w:pStyle w:val="TextoNormal"/>
      </w:pPr>
      <w:r>
        <w:t>CASO ERE</w:t>
      </w:r>
    </w:p>
    <w:p w14:paraId="10C7B0BB" w14:textId="77777777" w:rsidR="003754FE" w:rsidRDefault="003754FE" w:rsidP="003754FE">
      <w:pPr>
        <w:pStyle w:val="TextoNormal"/>
      </w:pPr>
    </w:p>
    <w:p w14:paraId="59FAC025" w14:textId="77777777" w:rsidR="003754FE" w:rsidRDefault="003754FE" w:rsidP="003754FE">
      <w:pPr>
        <w:pStyle w:val="TextoNormal"/>
      </w:pPr>
      <w:r>
        <w:t>El tribunal de la Sala II del Tribunal Supremo compuesto por los/as Excmos/as. Sres/as. Magistrados/as don Juan Ramón Berdugo Gómez de la Torre (presidente), doña Ana Ferrer García, doña Susana Polo García, doña Carmen Lamela Díez y don Eduardo de Porres Ortiz de Urbina (ponente) ha concluido la deliberación de los recursos de casación interpuestos contra la sentencia 490/2019, de 19 de noviembre de 2019, de la Sección Primera de la Audiencia Provincial de Sevilla (caso ERE).</w:t>
      </w:r>
    </w:p>
    <w:p w14:paraId="32DABC04" w14:textId="77777777" w:rsidR="003754FE" w:rsidRDefault="003754FE" w:rsidP="003754FE">
      <w:pPr>
        <w:pStyle w:val="TextoNormal"/>
      </w:pPr>
    </w:p>
    <w:p w14:paraId="7DEA1472" w14:textId="77777777" w:rsidR="003754FE" w:rsidRDefault="003754FE" w:rsidP="003754FE">
      <w:pPr>
        <w:pStyle w:val="TextoNormal"/>
      </w:pPr>
      <w:r>
        <w:t>En atención a la relevancia pública del caso y como en otras ocasiones similares el tribunal procede a anticipar el fallo de su sentencia.</w:t>
      </w:r>
    </w:p>
    <w:p w14:paraId="04ACC05C" w14:textId="77777777" w:rsidR="003754FE" w:rsidRDefault="003754FE" w:rsidP="003754FE">
      <w:pPr>
        <w:pStyle w:val="TextoNormal"/>
      </w:pPr>
    </w:p>
    <w:p w14:paraId="4C0B1EB6" w14:textId="77777777" w:rsidR="003754FE" w:rsidRDefault="003754FE" w:rsidP="003754FE">
      <w:pPr>
        <w:pStyle w:val="TextoNormal"/>
      </w:pPr>
      <w:r>
        <w:t>Estimando totalmente tres recursos de casación y parcialmente uno de ellos y desestimando los restantes recursos, ha acordado por mayoría de sus miembros anular la sentencia de primera instancia, dictando nueva sentencia con los siguientes pronunciamientos:</w:t>
      </w:r>
    </w:p>
    <w:p w14:paraId="385C43E5" w14:textId="77777777" w:rsidR="003754FE" w:rsidRDefault="003754FE" w:rsidP="003754FE">
      <w:pPr>
        <w:pStyle w:val="TextoNormal"/>
      </w:pPr>
    </w:p>
    <w:p w14:paraId="4AC24891" w14:textId="77777777" w:rsidR="003754FE" w:rsidRDefault="003754FE" w:rsidP="003754FE">
      <w:pPr>
        <w:pStyle w:val="TextoNormal"/>
      </w:pPr>
      <w:r>
        <w:t>1. Absolvemos del delito continuado de prevaricación administrativa a don Javier Aguado Hinojal, a don Juan Francisco Sánchez García y a doña Lourdes Medina Varo, declarando de oficio las costas procesales de primera instancia y las derivadas de sus recursos de casación.</w:t>
      </w:r>
    </w:p>
    <w:p w14:paraId="72C260F7" w14:textId="77777777" w:rsidR="003754FE" w:rsidRDefault="003754FE" w:rsidP="003754FE">
      <w:pPr>
        <w:pStyle w:val="TextoNormal"/>
      </w:pPr>
    </w:p>
    <w:p w14:paraId="2BD206E7" w14:textId="77777777" w:rsidR="003754FE" w:rsidRDefault="003754FE" w:rsidP="003754FE">
      <w:pPr>
        <w:pStyle w:val="TextoNormal"/>
      </w:pPr>
      <w:r>
        <w:t xml:space="preserve">2. Condenamos a don Juan Márquez Contreras, como autor responsable de sendos delitos continuados de malversación de caudales públicos y prevaricación administrativa, en relación de concurso ideal, apreciando la atenuante analógica y muy cualificada de reparación del daño, con la consiguiente reducción de sanciones, imponiéndole la pena de prisión de tres años, con la accesoria de inhabilitación especial para el ejercicio del derecho de sufragio </w:t>
      </w:r>
      <w:r>
        <w:lastRenderedPageBreak/>
        <w:t>pasivo durante el tiempo de la condena, y a la pena de inhabilitación absoluta por tiempo de siete años y seis meses, que conlleva la privación definitiva de todos los honores, empleos y cargos públicos que tuviere el penado o cualesquiera otros honores, cargos o empleos públicos, con imposición de las 2/37 partes de las costas procesales de primera instancia y declarando de oficio las causadas con su recurso de casación.</w:t>
      </w:r>
    </w:p>
    <w:p w14:paraId="73115E12" w14:textId="77777777" w:rsidR="003754FE" w:rsidRDefault="003754FE" w:rsidP="003754FE">
      <w:pPr>
        <w:pStyle w:val="TextoNormal"/>
      </w:pPr>
    </w:p>
    <w:p w14:paraId="4C60E1B7" w14:textId="77777777" w:rsidR="003754FE" w:rsidRDefault="003754FE" w:rsidP="003754FE">
      <w:pPr>
        <w:pStyle w:val="TextoNormal"/>
      </w:pPr>
      <w:r>
        <w:t>3. Se mantienen los restantes pronunciamientos de la sentencia impugnada.</w:t>
      </w:r>
    </w:p>
    <w:p w14:paraId="4ED96325" w14:textId="77777777" w:rsidR="003754FE" w:rsidRDefault="003754FE" w:rsidP="003754FE">
      <w:pPr>
        <w:pStyle w:val="TextoNormal"/>
      </w:pPr>
    </w:p>
    <w:p w14:paraId="6EA6F20B" w14:textId="77777777" w:rsidR="003754FE" w:rsidRDefault="003754FE" w:rsidP="003754FE">
      <w:pPr>
        <w:pStyle w:val="TextoNormal"/>
      </w:pPr>
      <w:r>
        <w:t>El texto íntegro de la sentencia será publicado una vez se redacte el voto discrepante anunciado por las excelentísimas señoras magistradas doña Ana Ferrer García y doña Susana Polo García.</w:t>
      </w:r>
    </w:p>
    <w:p w14:paraId="48C38923" w14:textId="77777777" w:rsidR="003754FE" w:rsidRDefault="003754FE" w:rsidP="003754FE">
      <w:pPr>
        <w:pStyle w:val="TextoNormal"/>
      </w:pPr>
    </w:p>
    <w:p w14:paraId="3C5E4920" w14:textId="77777777" w:rsidR="003754FE" w:rsidRDefault="003754FE" w:rsidP="003754FE">
      <w:pPr>
        <w:pStyle w:val="TextoNormal"/>
      </w:pPr>
      <w:r>
        <w:t>En dicho voto se considera que también deberían haber sido estimados parcialmente los recursos interpuestos por don Miguel Ángel Serrano Aguilar, don Jesús María Rodríguez Román, don Francisco Vallejo Serrano, doña Carmen Martínez Aguayo y don José Antonio Griñán Martínez y que, anulada la sentencia de instancia, estos recurrentes deberían haber sido absueltos del delito continuado de malversación de caudales públicos.</w:t>
      </w:r>
    </w:p>
    <w:p w14:paraId="07CC8A96" w14:textId="77777777" w:rsidR="003754FE" w:rsidRDefault="003754FE" w:rsidP="003754FE">
      <w:pPr>
        <w:pStyle w:val="TextoNormal"/>
      </w:pPr>
    </w:p>
    <w:p w14:paraId="4957F54A" w14:textId="77777777" w:rsidR="003754FE" w:rsidRDefault="003754FE" w:rsidP="003754FE">
      <w:pPr>
        <w:pStyle w:val="TextoNormal"/>
      </w:pPr>
      <w:r>
        <w:t>En Madrid, a veintiséis de julio de dos mil veintidós”.</w:t>
      </w:r>
    </w:p>
    <w:p w14:paraId="506B4363" w14:textId="77777777" w:rsidR="003754FE" w:rsidRDefault="003754FE" w:rsidP="003754FE">
      <w:pPr>
        <w:pStyle w:val="TextoNormal"/>
      </w:pPr>
    </w:p>
    <w:p w14:paraId="650A9A2A" w14:textId="77777777" w:rsidR="003754FE" w:rsidRDefault="003754FE" w:rsidP="003754FE">
      <w:pPr>
        <w:pStyle w:val="TextoNormal"/>
      </w:pPr>
      <w:r>
        <w:t>C) Desestimación de la queja</w:t>
      </w:r>
    </w:p>
    <w:p w14:paraId="5C255699" w14:textId="77777777" w:rsidR="003754FE" w:rsidRDefault="003754FE" w:rsidP="003754FE">
      <w:pPr>
        <w:pStyle w:val="TextoNormal"/>
      </w:pPr>
    </w:p>
    <w:p w14:paraId="46A81DB2" w14:textId="77777777" w:rsidR="003754FE" w:rsidRDefault="003754FE" w:rsidP="003754FE">
      <w:pPr>
        <w:pStyle w:val="TextoNormal"/>
      </w:pPr>
      <w:r>
        <w:t>La lectura de la nota reseñada desde la óptica de las exigencias del derecho a la presunción de inocencia como regla de tratamiento conduce a rechazar la existencia de la vulneración denunciada, ya que no existe una manifestación sobre la culpabilidad de la demandante que suponga tratarla como autora de los delitos de prevaricación y malversación sin respaldo en una condena conforme a la ley.</w:t>
      </w:r>
    </w:p>
    <w:p w14:paraId="123A68DB" w14:textId="77777777" w:rsidR="003754FE" w:rsidRDefault="003754FE" w:rsidP="003754FE">
      <w:pPr>
        <w:pStyle w:val="TextoNormal"/>
      </w:pPr>
    </w:p>
    <w:p w14:paraId="60486511" w14:textId="77777777" w:rsidR="003754FE" w:rsidRDefault="003754FE" w:rsidP="003754FE">
      <w:pPr>
        <w:pStyle w:val="TextoNormal"/>
      </w:pPr>
      <w:r>
        <w:t>Esa conclusión se asienta, en esencia, en las mismas razones expuestas en la STC 94/2024, FJ 7.2.2 C), a cuyo desarrollo hay que remitirse sin perjuicio de reiterar frente al planteamiento de la demandante que la declaración cuestionada constituye una información ofrecida por el órgano competente para resolver el recurso de quien de forma notoria fue condenada en primera instancia en una causa mediática, como se reconoce en la demanda; que da a conocer el resultado desfavorable al respecto una vez se ha deliberado y resuelto; que tiene, a su vez, el efecto de confirmar la condena, ya que con el pronunciamiento se agotan los recursos disponibles para la condenada. En tales circunstancias no puede afirmarse que se trate como culpable a quien no ha sido condenada en firme, pues justamente lo que se anuncia decidido de forma definitiva por el único órgano judicial que así puede hacerlo es la desestimación del recurso de casación que implica la firmeza de la sentencia condenatoria.</w:t>
      </w:r>
    </w:p>
    <w:p w14:paraId="21CF87FF" w14:textId="77777777" w:rsidR="003754FE" w:rsidRDefault="003754FE" w:rsidP="003754FE">
      <w:pPr>
        <w:pStyle w:val="TextoNormal"/>
      </w:pPr>
    </w:p>
    <w:p w14:paraId="2B7518E9" w14:textId="77777777" w:rsidR="003754FE" w:rsidRDefault="003754FE" w:rsidP="003754FE">
      <w:pPr>
        <w:pStyle w:val="TextoNormal"/>
      </w:pPr>
      <w:r>
        <w:t xml:space="preserve">La ausencia de una previsión legal expresa que contemple la actuación cuestionada no determina la existencia de una lesión de la regla de tratamiento que impone el art. 24.2 CE. La finalidad de la llamada dimensión extraprocesal del derecho a la presunción de inocencia es proteger frente a atribuciones de culpabilidad no fundadas en una condena dictada en un proceso público con todas las garantías, no garantizar la práctica procesal de notificación de la sentencia íntegra que indica la normativa (art. 260.2 LOPJ) sin anticipar el fallo ni emitir </w:t>
      </w:r>
      <w:r>
        <w:lastRenderedPageBreak/>
        <w:t>un comunicado al respecto, por más que sea lo habitual. Debe, en consecuencia, desestimarse la queja.</w:t>
      </w:r>
    </w:p>
    <w:p w14:paraId="09B2AFD2" w14:textId="77777777" w:rsidR="003754FE" w:rsidRDefault="003754FE" w:rsidP="003754FE">
      <w:pPr>
        <w:pStyle w:val="TextoNormal"/>
      </w:pPr>
    </w:p>
    <w:p w14:paraId="2D8B89E9" w14:textId="77777777" w:rsidR="003754FE" w:rsidRDefault="003754FE" w:rsidP="003754FE">
      <w:pPr>
        <w:pStyle w:val="TextoNormal"/>
      </w:pPr>
      <w:r>
        <w:t xml:space="preserve">7.3. </w:t>
      </w:r>
      <w:r w:rsidRPr="003754FE">
        <w:rPr>
          <w:i/>
        </w:rPr>
        <w:t>Vulneración del derecho a un proceso con todas las garantías y del derecho a la tutela judicial efectiva (art. 24 CE)</w:t>
      </w:r>
    </w:p>
    <w:p w14:paraId="0D540D9B" w14:textId="77777777" w:rsidR="003754FE" w:rsidRDefault="003754FE" w:rsidP="003754FE">
      <w:pPr>
        <w:pStyle w:val="TextoNormal"/>
      </w:pPr>
    </w:p>
    <w:p w14:paraId="700F0667" w14:textId="77777777" w:rsidR="003754FE" w:rsidRDefault="003754FE" w:rsidP="003754FE">
      <w:pPr>
        <w:pStyle w:val="TextoNormal"/>
      </w:pPr>
      <w:r>
        <w:t>La referida ausencia de cobertura normativa, no obstante, se esgrime también en la demanda desde la perspectiva de la lesión del derecho a un proceso con todas las garantías y el derecho a la tutela judicial efectiva, que la demanda atribuye a la difusión pública del comunicado que anticipa el fallo en tanto que carente de base legal y generadora de indefensión.</w:t>
      </w:r>
    </w:p>
    <w:p w14:paraId="389760D2" w14:textId="77777777" w:rsidR="003754FE" w:rsidRDefault="003754FE" w:rsidP="003754FE">
      <w:pPr>
        <w:pStyle w:val="TextoNormal"/>
      </w:pPr>
    </w:p>
    <w:p w14:paraId="5C2F2EE5" w14:textId="77777777" w:rsidR="003754FE" w:rsidRDefault="003754FE" w:rsidP="003754FE">
      <w:pPr>
        <w:pStyle w:val="TextoNormal"/>
      </w:pPr>
      <w:r>
        <w:t>7.3.1</w:t>
      </w:r>
      <w:r w:rsidRPr="003754FE">
        <w:rPr>
          <w:i/>
        </w:rPr>
        <w:t>. Doctrina sobre el derecho a no padecer indefensi</w:t>
      </w:r>
      <w:r>
        <w:t>ón</w:t>
      </w:r>
    </w:p>
    <w:p w14:paraId="07007A23" w14:textId="77777777" w:rsidR="003754FE" w:rsidRDefault="003754FE" w:rsidP="003754FE">
      <w:pPr>
        <w:pStyle w:val="TextoNormal"/>
      </w:pPr>
    </w:p>
    <w:p w14:paraId="24B5DA66" w14:textId="77777777" w:rsidR="003754FE" w:rsidRDefault="003754FE" w:rsidP="003754FE">
      <w:pPr>
        <w:pStyle w:val="TextoNormal"/>
      </w:pPr>
      <w:r>
        <w:t>En relación con la queja de que se ha producido una irregularidad procesal causante de indefensión, debe tenerse presente que el derecho a la tutela judicial efectiva (art. 24.1 CE) comprende, entre sus múltiples vertientes, el derecho a no sufrir indefensión, que en nuestra jurisprudencia se entiende como un derecho a la defensa contradictoria, se vincula con las garantías del proceso debido reconocidas en el art. 24.2 CE y requiere indefensión material. Así se ha puesto de relieve, entre muchas, en las SSTC 266/2015, de 14 de diciembre, FJ 4; 91/2021, de 22 de abril, FJ 4.4; 121/2021, de 2 de junio, FJ 5.4; 47/2022, de 24 de marzo, FJ 6.3 A), o 131/2023, de 23 de octubre, FJ 2, todas ellas atinentes a procesos penales. La STC 94/2024, FJ 7.3.1, destacó como extremos relevantes de esta doctrina: (i) que el art. 24 CE garantiza el libre acceso de las partes al proceso en defensa de derechos e intereses legítimos, que, entre otras exigencias, precisa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(STC 186/1990, de 15 de noviembre, FJ 5); y (ii) que la relevancia constitucional de la indefensión prohibida por el art. 24 CE exige indefensión material, de modo que “[n]o basta, pues, la existencia de un defecto procesal si no conlleva la privación o limitación, menoscabo o negación, del derecho a la defensa en un proceso público con todas las garantías ‘en relación con algún interés’ de quien lo invoca” (STC 181/1994, de 20 de junio, FJ 2).</w:t>
      </w:r>
    </w:p>
    <w:p w14:paraId="59594774" w14:textId="77777777" w:rsidR="003754FE" w:rsidRDefault="003754FE" w:rsidP="003754FE">
      <w:pPr>
        <w:pStyle w:val="TextoNormal"/>
      </w:pPr>
    </w:p>
    <w:p w14:paraId="7BCF98B7" w14:textId="77777777" w:rsidR="003754FE" w:rsidRDefault="003754FE" w:rsidP="003754FE">
      <w:pPr>
        <w:pStyle w:val="TextoNormal"/>
      </w:pPr>
      <w:r>
        <w:t>7.3.2</w:t>
      </w:r>
      <w:r w:rsidRPr="003754FE">
        <w:rPr>
          <w:i/>
        </w:rPr>
        <w:t>. Enjuiciamiento de la que</w:t>
      </w:r>
      <w:r>
        <w:t>ja</w:t>
      </w:r>
    </w:p>
    <w:p w14:paraId="577F7D11" w14:textId="77777777" w:rsidR="003754FE" w:rsidRDefault="003754FE" w:rsidP="003754FE">
      <w:pPr>
        <w:pStyle w:val="TextoNormal"/>
      </w:pPr>
    </w:p>
    <w:p w14:paraId="5709FBE7" w14:textId="77777777" w:rsidR="003754FE" w:rsidRDefault="003754FE" w:rsidP="003754FE">
      <w:pPr>
        <w:pStyle w:val="TextoNormal"/>
      </w:pPr>
      <w:r>
        <w:t>Es cierto que, como subraya la demandante, no existe ningún precepto que autorice expresamente la publicación anticipada del fallo de una sentencia de casación. Sin embargo, que esa previsión no exista (y pueda hablarse incluso de irregularidad procesal) no significa que los derechos a la tutela judicial efectiva y a un proceso con todas las garantías se hayan lesionado.</w:t>
      </w:r>
    </w:p>
    <w:p w14:paraId="01AFECB9" w14:textId="77777777" w:rsidR="003754FE" w:rsidRDefault="003754FE" w:rsidP="003754FE">
      <w:pPr>
        <w:pStyle w:val="TextoNormal"/>
      </w:pPr>
    </w:p>
    <w:p w14:paraId="5CAC741C" w14:textId="77777777" w:rsidR="003754FE" w:rsidRDefault="003754FE" w:rsidP="003754FE">
      <w:pPr>
        <w:pStyle w:val="TextoNormal"/>
      </w:pPr>
      <w:r>
        <w:t xml:space="preserve">En primer lugar, porque no existe una infracción de la normativa procesal invocada por la recurrente, que no contempla una prohibición, ni explícita ni implícita, de anticipar el fallo, sino normas sobre la estructura y contenido de las sentencias, en general —art. 142 LECrim— y específicamente respecto de la sentencia de casación —art. 900 LECrim—. Por otro lado, los preceptos citados en contraste como ejemplos de tal autorización no son </w:t>
      </w:r>
      <w:r>
        <w:lastRenderedPageBreak/>
        <w:t xml:space="preserve">una habilitación de la publicidad de la anticipación del fallo sin motivación, sino supuestos de notificación </w:t>
      </w:r>
      <w:r w:rsidRPr="003754FE">
        <w:rPr>
          <w:i/>
        </w:rPr>
        <w:t>in voce</w:t>
      </w:r>
      <w:r>
        <w:t xml:space="preserve"> de una sentencia con una motivación sucinta (art. 789.2 LECrim, en el procedimiento abreviado, y arts. 787.6 y 801.2 LECrim, en las sentencias de conformidad).</w:t>
      </w:r>
    </w:p>
    <w:p w14:paraId="1C700DF7" w14:textId="77777777" w:rsidR="003754FE" w:rsidRDefault="003754FE" w:rsidP="003754FE">
      <w:pPr>
        <w:pStyle w:val="TextoNormal"/>
      </w:pPr>
    </w:p>
    <w:p w14:paraId="6A6F9D70" w14:textId="77777777" w:rsidR="003754FE" w:rsidRDefault="003754FE" w:rsidP="003754FE">
      <w:pPr>
        <w:pStyle w:val="TextoNormal"/>
      </w:pPr>
      <w:r>
        <w:t>Sí indica expresamente el art. 260.2 LOPJ la necesidad de notificar conjuntamente el texto de las sentencias con los votos particulares, prescripción a la que atiende el Tribunal Supremo cuando notifica en septiembre la sentencia íntegra, que incluye el voto particular de dos magistradas. Debe tenerse presente, además, frente a lo aducido por la demandante sobre la imposibilidad de entender finalizada la deliberación hasta que conste la redacción del voto particular, que el art. 260.1 LOPJ dispone que “[t]odo el que tome parte en la votación de una sentencia o auto definitivo firmará lo acordado, aunque hubiere disentido de la mayoría; pero podrá, en este caso, anunciándolo en el momento de la votación o en el de la firma, formular voto particular”. Su lectura pone de manifiesto que es justamente finalizada la deliberación, al tiempo de la votación o la firma, cuando se anuncia la formulación del voto que, por lógica, se redactará después de haberse resuelto. Decae en tal medida la premisa de la queja de pérdida de imparcialidad planteada en la demanda, asentada en el reproche de un cierre prematuro de la deliberación por parte del órgano judicial al publicar el fallo sin constar el texto del voto particular.</w:t>
      </w:r>
    </w:p>
    <w:p w14:paraId="7B86D1A5" w14:textId="77777777" w:rsidR="003754FE" w:rsidRDefault="003754FE" w:rsidP="003754FE">
      <w:pPr>
        <w:pStyle w:val="TextoNormal"/>
      </w:pPr>
    </w:p>
    <w:p w14:paraId="03BC31F9" w14:textId="77777777" w:rsidR="003754FE" w:rsidRDefault="003754FE" w:rsidP="003754FE">
      <w:pPr>
        <w:pStyle w:val="TextoNormal"/>
      </w:pPr>
      <w:r>
        <w:t>En segundo lugar y de forma determinante, no puede apreciarse la lesión denunciada porque no se concreta la indefensión que la recurrente ha sufrido, que se identifica genéricamente y sin ulterior argumento con la imposibilidad de accionar los mecanismos procesales oportunos contra la decisión. Más allá de no especificar en qué ha consistido la afectación alegada, este tribunal no aprecia que el proceder de la Sala de casación haya causado a la demandante indefensión en el proceso. La sentencia del Tribunal Supremo le fue notificada conforme a la ley, iniciándose en ese momento el plazo para agotar las posibilidades de cuestionamiento de la decisión de condena; señaladamente, para formular el incidente de nulidad de actuaciones, que efectivamente planteó y fue resuelto por la Sala de lo Penal. De ninguna manera la actuación judicial cuestionada ha situado a la interesada al margen de toda posibilidad de alegar y defender en el proceso sus derechos, por lo que no se aprecia un efecto material de indefensión, con real menoscabo de su derecho de defensa y con el consiguiente perjuicio real y efectivo para sus intereses.</w:t>
      </w:r>
    </w:p>
    <w:p w14:paraId="574CEC07" w14:textId="77777777" w:rsidR="003754FE" w:rsidRDefault="003754FE" w:rsidP="003754FE">
      <w:pPr>
        <w:pStyle w:val="TextoNormal"/>
      </w:pPr>
    </w:p>
    <w:p w14:paraId="3FB881ED" w14:textId="6C79B267" w:rsidR="003754FE" w:rsidRDefault="003754FE" w:rsidP="003754FE">
      <w:pPr>
        <w:pStyle w:val="TextoNormal"/>
      </w:pPr>
      <w:r>
        <w:t>La falta de una infracción formal y de indefensión con relevancia constitucional conduce a desestimar la vulneración del art. 24 CE alegada y, con ello, el último motivo de la demanda de amparo.</w:t>
      </w:r>
    </w:p>
    <w:p w14:paraId="7F28F7A9" w14:textId="77777777" w:rsidR="003754FE" w:rsidRDefault="003754FE" w:rsidP="003754FE">
      <w:pPr>
        <w:pStyle w:val="TextoNormal"/>
      </w:pPr>
    </w:p>
    <w:p w14:paraId="47A70884" w14:textId="77777777" w:rsidR="003754FE" w:rsidRDefault="003754FE" w:rsidP="003754FE">
      <w:pPr>
        <w:pStyle w:val="TextoNormal"/>
      </w:pPr>
      <w:r w:rsidRPr="003754FE">
        <w:rPr>
          <w:rStyle w:val="NumeroAFNegritaCaracter"/>
        </w:rPr>
        <w:t>8</w:t>
      </w:r>
      <w:r>
        <w:t xml:space="preserve">. </w:t>
      </w:r>
      <w:r w:rsidRPr="003754FE">
        <w:rPr>
          <w:i/>
        </w:rPr>
        <w:t>Conclusión y efectos de la estimación parcial del recurso de amparo</w:t>
      </w:r>
    </w:p>
    <w:p w14:paraId="575DF4E9" w14:textId="77777777" w:rsidR="003754FE" w:rsidRDefault="003754FE" w:rsidP="003754FE">
      <w:pPr>
        <w:pStyle w:val="TextoNormal"/>
      </w:pPr>
    </w:p>
    <w:p w14:paraId="37E1968E" w14:textId="77777777" w:rsidR="003754FE" w:rsidRDefault="003754FE" w:rsidP="003754FE">
      <w:pPr>
        <w:pStyle w:val="TextoNormal"/>
      </w:pPr>
      <w:r>
        <w:t>Los argumentos expuestos en los fundamentos jurídicos anteriores determinan que la estimación del presente recuso de amparo despliegue efectos diversos en relación con la condena por el delito de malversación de caudales públicos del art. 432 CP y la condena por el delito de prevaricación del art. 404 CP.</w:t>
      </w:r>
    </w:p>
    <w:p w14:paraId="5A23EE5A" w14:textId="77777777" w:rsidR="003754FE" w:rsidRDefault="003754FE" w:rsidP="003754FE">
      <w:pPr>
        <w:pStyle w:val="TextoNormal"/>
      </w:pPr>
    </w:p>
    <w:p w14:paraId="3F7999BD" w14:textId="77777777" w:rsidR="003754FE" w:rsidRDefault="003754FE" w:rsidP="003754FE">
      <w:pPr>
        <w:pStyle w:val="TextoNormal"/>
      </w:pPr>
      <w:r>
        <w:t xml:space="preserve">A) En relación con la condena por malversación de caudales públicos, ha de acordarse la íntegra nulidad de las resoluciones impugnadas, sin retroacción alguna, pues los argumentos </w:t>
      </w:r>
      <w:r>
        <w:lastRenderedPageBreak/>
        <w:t>expresados en los fundamentos jurídicos 5 y 6 de esta resolución ponen de manifiesto que dicha condena carece de todo soporte constitucional como consecuencia de:</w:t>
      </w:r>
    </w:p>
    <w:p w14:paraId="561FBECC" w14:textId="77777777" w:rsidR="003754FE" w:rsidRDefault="003754FE" w:rsidP="003754FE">
      <w:pPr>
        <w:pStyle w:val="TextoNormal"/>
      </w:pPr>
    </w:p>
    <w:p w14:paraId="727C24D4" w14:textId="77777777" w:rsidR="003754FE" w:rsidRDefault="003754FE" w:rsidP="003754FE">
      <w:pPr>
        <w:pStyle w:val="TextoNormal"/>
      </w:pPr>
      <w:r>
        <w:t>a) La estimación parcial de la vulneración del derecho a la legalidad penal (art. 25.1 CE) en relación con la subsunción imprevisible en el tipo penal del art. 432 CP de todos los hechos que han motivado la condena por malversación con la sola excepción de los referidos a concretas aplicaciones de fondos públicos sin cobertura en el programa 31L.</w:t>
      </w:r>
    </w:p>
    <w:p w14:paraId="02B1F884" w14:textId="77777777" w:rsidR="003754FE" w:rsidRDefault="003754FE" w:rsidP="003754FE">
      <w:pPr>
        <w:pStyle w:val="TextoNormal"/>
      </w:pPr>
    </w:p>
    <w:p w14:paraId="2C30692B" w14:textId="77777777" w:rsidR="003754FE" w:rsidRDefault="003754FE" w:rsidP="003754FE">
      <w:pPr>
        <w:pStyle w:val="TextoNormal"/>
      </w:pPr>
      <w:r>
        <w:t>b) La estimación de la vulneración del derecho a la presunción de inocencia (art. 24.2 CE) respecto de los hechos referidos a concretas aplicaciones de fondos públicos sin cobertura en el programa 31L.</w:t>
      </w:r>
    </w:p>
    <w:p w14:paraId="1154D860" w14:textId="77777777" w:rsidR="003754FE" w:rsidRDefault="003754FE" w:rsidP="003754FE">
      <w:pPr>
        <w:pStyle w:val="TextoNormal"/>
      </w:pPr>
    </w:p>
    <w:p w14:paraId="60B81F73" w14:textId="77777777" w:rsidR="003754FE" w:rsidRDefault="003754FE" w:rsidP="003754FE">
      <w:pPr>
        <w:pStyle w:val="TextoNormal"/>
      </w:pPr>
      <w:r>
        <w:t>B) En relación con el delito de prevaricación administrativa del art. 404 CP, ha de acordarse, en cambio, la nulidad parcial de las resoluciones impugnadas, pues:</w:t>
      </w:r>
    </w:p>
    <w:p w14:paraId="71D93B0F" w14:textId="77777777" w:rsidR="003754FE" w:rsidRDefault="003754FE" w:rsidP="003754FE">
      <w:pPr>
        <w:pStyle w:val="TextoNormal"/>
      </w:pPr>
    </w:p>
    <w:p w14:paraId="2D44B5C2" w14:textId="77777777" w:rsidR="003754FE" w:rsidRDefault="003754FE" w:rsidP="003754FE">
      <w:pPr>
        <w:pStyle w:val="TextoNormal"/>
      </w:pPr>
      <w:r>
        <w:t>a) Infringe el derecho a la legalidad penal (art. 25.1 CE) la aplicación que han efectuado los órganos judiciales del art. 404 CP al condenar a la recurrente en amparo como autora de un delito continuado de prevaricación: (i) por haber intervenido en la elaboración de los anteproyectos de leyes de presupuestos para los años 2005 a 2009 y (ii) por haber participado en la tramitación de las modificaciones presupuestarias correspondientes a dichos ejercicios en relación con el programa 31L.</w:t>
      </w:r>
    </w:p>
    <w:p w14:paraId="0111780F" w14:textId="77777777" w:rsidR="003754FE" w:rsidRDefault="003754FE" w:rsidP="003754FE">
      <w:pPr>
        <w:pStyle w:val="TextoNormal"/>
      </w:pPr>
    </w:p>
    <w:p w14:paraId="5B69A8EA" w14:textId="77777777" w:rsidR="003754FE" w:rsidRDefault="003754FE" w:rsidP="003754FE">
      <w:pPr>
        <w:pStyle w:val="TextoNormal"/>
      </w:pPr>
      <w:r>
        <w:t>b) No es lesiva del derecho a la legalidad penal (art. 25.1 CE) la condena por delito de prevaricación de la recurrente de amparo en relación con su intervención en la aprobación de la modificación presupuestaria de 9 de diciembre de 2004, por la que se incrementaron los créditos correspondientes al programa 32H.</w:t>
      </w:r>
    </w:p>
    <w:p w14:paraId="397BE76A" w14:textId="77777777" w:rsidR="003754FE" w:rsidRDefault="003754FE" w:rsidP="003754FE">
      <w:pPr>
        <w:pStyle w:val="TextoNormal"/>
      </w:pPr>
    </w:p>
    <w:p w14:paraId="05CA4210" w14:textId="5CFDD7BF" w:rsidR="003754FE" w:rsidRDefault="003754FE" w:rsidP="003754FE">
      <w:pPr>
        <w:pStyle w:val="TextoNormal"/>
      </w:pPr>
      <w:r>
        <w:t>En consecuencia, el fallo parcialmente estimatorio determina la nulidad de las resoluciones impugnadas y la retroacción del procedimiento al momento anterior al dictado de la sentencia de instancia para que por la Audiencia Provincial de Sevilla se dicte un nuevo pronunciamiento exclusivamente en lo relativo a la posible comisión de un delito de prevaricación administrativa del art. 404 CP derivado de la intervención de la recurrente de amparo en la aprobación de la modificación presupuestaria de 9 de diciembre de 2004 para el incremento del crédito presupuestario del programa 32H.</w:t>
      </w:r>
    </w:p>
    <w:p w14:paraId="78EB1B49" w14:textId="77777777" w:rsidR="003754FE" w:rsidRDefault="003754FE" w:rsidP="003754FE">
      <w:pPr>
        <w:pStyle w:val="TextoNormal"/>
      </w:pPr>
    </w:p>
    <w:p w14:paraId="122EE107" w14:textId="77777777" w:rsidR="003754FE" w:rsidRDefault="003754FE" w:rsidP="003754FE">
      <w:pPr>
        <w:pStyle w:val="TextoNormalCentrado"/>
        <w:keepNext/>
      </w:pPr>
      <w:r>
        <w:t>FALLO</w:t>
      </w:r>
    </w:p>
    <w:p w14:paraId="2866B4F0" w14:textId="073833FB" w:rsidR="003754FE" w:rsidRDefault="003754FE" w:rsidP="003754FE">
      <w:pPr>
        <w:pStyle w:val="TextoNormalCentrado"/>
        <w:keepNext/>
      </w:pPr>
    </w:p>
    <w:p w14:paraId="518E3B0E" w14:textId="77777777" w:rsidR="003754FE" w:rsidRDefault="003754FE" w:rsidP="003754FE">
      <w:pPr>
        <w:pStyle w:val="TextoNormal"/>
      </w:pPr>
      <w:r>
        <w:t>En atención a todo lo expuesto, el Tribunal Constitucional, por la autoridad que le confiere la Constitución de la Nación española, ha decidido estimar parcialmente el recurso de amparo promovido por doña Carmen Martínez Aguayo y, en su virtud:</w:t>
      </w:r>
    </w:p>
    <w:p w14:paraId="3999F22E" w14:textId="77777777" w:rsidR="003754FE" w:rsidRDefault="003754FE" w:rsidP="003754FE">
      <w:pPr>
        <w:pStyle w:val="TextoNormal"/>
      </w:pPr>
    </w:p>
    <w:p w14:paraId="212C85D7" w14:textId="77777777" w:rsidR="003754FE" w:rsidRDefault="003754FE" w:rsidP="003754FE">
      <w:pPr>
        <w:pStyle w:val="TextoNormal"/>
      </w:pPr>
      <w:r>
        <w:t>1º Inadmitir el motivo primero de amparo, relativo a la vulneración de los derechos a la tutela judicial efectiva (art. 24.1 CE) y a un proceso con todas las garantías (art. 24.2 CE) asociada a la falta de jurisdicción de los órganos judiciales del orden penal para enjuiciar actos de naturaleza legislativa.</w:t>
      </w:r>
    </w:p>
    <w:p w14:paraId="4D4A9178" w14:textId="77777777" w:rsidR="003754FE" w:rsidRDefault="003754FE" w:rsidP="003754FE">
      <w:pPr>
        <w:pStyle w:val="TextoNormal"/>
      </w:pPr>
    </w:p>
    <w:p w14:paraId="754B2533" w14:textId="77777777" w:rsidR="003754FE" w:rsidRDefault="003754FE" w:rsidP="003754FE">
      <w:pPr>
        <w:pStyle w:val="TextoNormal"/>
      </w:pPr>
      <w:r>
        <w:t>2º Reconocer que se han vulnerado los derechos fundamentales de la recurrente a la legalidad penal (art. 25.1 CE) y a la presunción de inocencia (art. 24.2 CE).</w:t>
      </w:r>
    </w:p>
    <w:p w14:paraId="2D7FCDA2" w14:textId="77777777" w:rsidR="003754FE" w:rsidRDefault="003754FE" w:rsidP="003754FE">
      <w:pPr>
        <w:pStyle w:val="TextoNormal"/>
      </w:pPr>
    </w:p>
    <w:p w14:paraId="64B58122" w14:textId="77777777" w:rsidR="003754FE" w:rsidRDefault="003754FE" w:rsidP="003754FE">
      <w:pPr>
        <w:pStyle w:val="TextoNormal"/>
      </w:pPr>
      <w:r>
        <w:t>3º Restablecerla en sus derechos y, a tal fin, declarar la nulidad de la sentencia núm. 490/2019, de 19 de noviembre, dictada por la Sección Primera de la Audiencia Provincial de Sevilla, de la sentencia núm. 749/2022, de 13 de septiembre, de la Sala de lo Penal del Tribunal Supremo y del auto del mismo tribunal de 16 de febrero de 2023, ordenando la retroacción del proceso al momento anterior al dictado de la sentencia de instancia para que por la Audiencia Provincial de Sevilla se dicte un nuevo pronunciamiento respetuoso con los derechos fundamentales vulnerados, en los términos que se indican en el fundamento jurídico 8 de esta sentencia.</w:t>
      </w:r>
    </w:p>
    <w:p w14:paraId="6C94D8D9" w14:textId="77777777" w:rsidR="003754FE" w:rsidRDefault="003754FE" w:rsidP="003754FE">
      <w:pPr>
        <w:pStyle w:val="TextoNormal"/>
      </w:pPr>
    </w:p>
    <w:p w14:paraId="2F8087CC" w14:textId="254FFC49" w:rsidR="003754FE" w:rsidRDefault="003754FE" w:rsidP="003754FE">
      <w:pPr>
        <w:pStyle w:val="TextoNormal"/>
      </w:pPr>
      <w:r>
        <w:t>4º Desestimar el recurso de amparo en lo restante.</w:t>
      </w:r>
    </w:p>
    <w:p w14:paraId="576B9AE7" w14:textId="77777777" w:rsidR="003754FE" w:rsidRDefault="003754FE" w:rsidP="003754FE">
      <w:pPr>
        <w:pStyle w:val="TextoNormal"/>
      </w:pPr>
    </w:p>
    <w:p w14:paraId="697DCF7C" w14:textId="77777777" w:rsidR="003754FE" w:rsidRDefault="003754FE" w:rsidP="003754FE">
      <w:pPr>
        <w:pStyle w:val="TextoNormal"/>
      </w:pPr>
      <w:r>
        <w:t>Publíquese esta sentencia en el “Boletín Oficial del Estado”.</w:t>
      </w:r>
    </w:p>
    <w:p w14:paraId="49683207" w14:textId="77777777" w:rsidR="003754FE" w:rsidRDefault="003754FE" w:rsidP="003754FE">
      <w:pPr>
        <w:pStyle w:val="TextoNormal"/>
      </w:pPr>
      <w:r>
        <w:t>Dada en Madrid, a tres de julio de dos mil veinticuatro.</w:t>
      </w:r>
    </w:p>
    <w:p w14:paraId="04146890" w14:textId="1A8DB512" w:rsidR="003754FE" w:rsidRDefault="003754FE" w:rsidP="003754FE">
      <w:pPr>
        <w:pStyle w:val="ParrafoNormal"/>
      </w:pPr>
    </w:p>
    <w:p w14:paraId="18B06E58" w14:textId="77777777" w:rsidR="003754FE" w:rsidRDefault="003754FE" w:rsidP="003754FE">
      <w:pPr>
        <w:pStyle w:val="TextoNormalNegritaCentrado"/>
        <w:keepNext/>
      </w:pPr>
      <w:r>
        <w:t>Voto particular que formula el magistrado don Ricardo Enríquez Sancho a la sentencia dictada en el recurso de amparo avocado núm. 2391-2023</w:t>
      </w:r>
    </w:p>
    <w:p w14:paraId="06EA7036" w14:textId="6ADF6EF4" w:rsidR="003754FE" w:rsidRDefault="003754FE" w:rsidP="003754FE">
      <w:pPr>
        <w:pStyle w:val="TextoNormalNegritaCentrado"/>
        <w:keepNext/>
      </w:pPr>
    </w:p>
    <w:p w14:paraId="45C878A1" w14:textId="77777777" w:rsidR="003754FE" w:rsidRDefault="003754FE" w:rsidP="003754FE">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avocado por el Pleno núm. 2391-2023, interpuesto por doña Carmen Martínez Aguayo, el cual a mi juicio debió ser desestimado porque las sentencias impugnadas no vulneraron sus derechos fundamentales a la legalidad penal (art. 25.1 CE) y a la presunción de inocencia (art. 24.2 CE).</w:t>
      </w:r>
    </w:p>
    <w:p w14:paraId="45552CB3" w14:textId="77777777" w:rsidR="003754FE" w:rsidRDefault="003754FE" w:rsidP="003754FE">
      <w:pPr>
        <w:pStyle w:val="TextoNormal"/>
      </w:pPr>
    </w:p>
    <w:p w14:paraId="0D2FD455" w14:textId="77777777" w:rsidR="003754FE" w:rsidRDefault="003754FE" w:rsidP="003754FE">
      <w:pPr>
        <w:pStyle w:val="TextoNormal"/>
      </w:pPr>
      <w:r>
        <w:t>a) Las razones de mi discrepancia han quedado detalladamente expuestas en el voto particular formulado a la sentencia dictada en el día de ayer, STC 94/2024, de 2 de julio, que resolvió una demanda de amparo sustancialmente idéntica a la presente (recurso de amparo avocado 2136-2023), al que por tanto me remito. En ambos recursos de amparo, y en otros tres que se deliberaron en el Pleno del día de hoy, se impugnó la sentencia de la Sección Primera de la Audiencia Provincial de Sevilla de 19 de noviembre de 2019, confirmada en casación por la sentencia de la Sala de lo Penal del Tribunal Supremo de 13 de septiembre de 2022 (junto con el auto de la misma Sala de lo Penal, de 16 de febrero de 2023, que rechazó el incidente de nulidad de actuaciones promovido contra su sentencia); resoluciones recaídas en la llamada causa de los “ERE” en la cual se condenó a cargos de relevancia en determinados periodos entre los años 2000 a 2009, en las Consejerías de Empleo y Desarrollo Tecnológico, Economía y Hacienda, Justicia y Administración Pública, e Innovación, Ciencia y Empresa, de la Junta de Andalucía; o bien en el Instituto de Fomento de Andalucía (IFA), denominado a partir de 2004 Agencia de Innovación y Desarrollo de Andalucía (IDEA). En el caso de la promotora del presente recurso de amparo, señora Martínez Aguayo, esta desempeñó el cargo de viceconsejera de Economía y Hacienda de la Junta de Andalucía del 26 de abril de 2004 al 24 de abril de 2009.</w:t>
      </w:r>
    </w:p>
    <w:p w14:paraId="0FE43A6A" w14:textId="77777777" w:rsidR="003754FE" w:rsidRDefault="003754FE" w:rsidP="003754FE">
      <w:pPr>
        <w:pStyle w:val="TextoNormal"/>
      </w:pPr>
    </w:p>
    <w:p w14:paraId="73EF669C" w14:textId="77777777" w:rsidR="003754FE" w:rsidRDefault="003754FE" w:rsidP="003754FE">
      <w:pPr>
        <w:pStyle w:val="TextoNormal"/>
      </w:pPr>
      <w:r>
        <w:t>b) En síntesis, la sentencia de la que ahora discrepo ha estimado en primer lugar la queja de lesión del derecho fundamental de la recurrente a la legalidad penal:</w:t>
      </w:r>
    </w:p>
    <w:p w14:paraId="3B4C6BBF" w14:textId="77777777" w:rsidR="003754FE" w:rsidRDefault="003754FE" w:rsidP="003754FE">
      <w:pPr>
        <w:pStyle w:val="TextoNormal"/>
      </w:pPr>
    </w:p>
    <w:p w14:paraId="6E07B2AA" w14:textId="77777777" w:rsidR="003754FE" w:rsidRDefault="003754FE" w:rsidP="003754FE">
      <w:pPr>
        <w:pStyle w:val="TextoNormal"/>
      </w:pPr>
      <w:r>
        <w:t>1. Respecto del delito de prevaricación</w:t>
      </w:r>
    </w:p>
    <w:p w14:paraId="0DCD2F2C" w14:textId="77777777" w:rsidR="003754FE" w:rsidRDefault="003754FE" w:rsidP="003754FE">
      <w:pPr>
        <w:pStyle w:val="TextoNormal"/>
      </w:pPr>
    </w:p>
    <w:p w14:paraId="3BC5C937" w14:textId="77777777" w:rsidR="003754FE" w:rsidRDefault="003754FE" w:rsidP="003754FE">
      <w:pPr>
        <w:pStyle w:val="TextoNormal"/>
      </w:pPr>
      <w:r>
        <w:t>(i) En concreto, en el fundamento jurídico 4.4 A) se afirma que la actividad de elaboración de los anteproyectos de leyes de presupuestos de la Comunidad Autónoma de Andalucía para los años 2005 a 2009 y su elevación al Consejo de Gobierno, fases en las que tuvo participación destacada la recurrente, no puede considerarse una “resolución” y un “asunto administrativo” a efectos de integrar el delito de prevaricación del art. 404 CP por el que fue condenada (en concurso medial con otro delito de malversación de caudales públicos), al estar excluida aquella actividad de todo control por un órgano judicial, y tener cobertura legal en la partida 31L (transferencias de financiación IFA/IDEA), una vez aquellos anteproyectos de leyes de presupuestos fueron aprobados por el Parlamento autonómico en los años correspondientes. De este modo, la interpretación efectuada por las sentencias impugnadas que interpretaron que concurrían los citados elementos del tipo delictivo del art. 404 CP, vulneró según la sentencia de la que discrepo el derecho fundamental de la recurrente a la legalidad penal (art. 25.1 CE); criterio que la mayoría del Pleno ya había aplicado en la STC 93/2024, de 19 de junio (primer recurso de amparo de esta serie de los ERE resuelto por el Tribunal).</w:t>
      </w:r>
    </w:p>
    <w:p w14:paraId="7AB67B13" w14:textId="77777777" w:rsidR="003754FE" w:rsidRDefault="003754FE" w:rsidP="003754FE">
      <w:pPr>
        <w:pStyle w:val="TextoNormal"/>
      </w:pPr>
    </w:p>
    <w:p w14:paraId="26ECACD5" w14:textId="77777777" w:rsidR="003754FE" w:rsidRDefault="003754FE" w:rsidP="003754FE">
      <w:pPr>
        <w:pStyle w:val="TextoNormal"/>
      </w:pPr>
      <w:r>
        <w:t>(ii) En el fundamento jurídico 4.4. B) (i) se afirma que en el procedimiento para la elaboración y elevación al Consejo de Gobierno de modificaciones presupuestarias al programa 31L en los años 2005 a 2008, si bien no se considera imprevisible que puedan considerarse resoluciones administrativas a los efectos del art. 404 CP (delito de prevaricación), no cabe sin embargo calificarlas de “arbitrarias” en orden a dicho precepto penal, por tener tales modificaciones su cobertura en aquella partida incluida en las sucesivas leyes de presupuestos.</w:t>
      </w:r>
    </w:p>
    <w:p w14:paraId="3AFBFA55" w14:textId="77777777" w:rsidR="003754FE" w:rsidRDefault="003754FE" w:rsidP="003754FE">
      <w:pPr>
        <w:pStyle w:val="TextoNormal"/>
      </w:pPr>
    </w:p>
    <w:p w14:paraId="13B380F1" w14:textId="77777777" w:rsidR="003754FE" w:rsidRDefault="003754FE" w:rsidP="003754FE">
      <w:pPr>
        <w:pStyle w:val="TextoNormal"/>
      </w:pPr>
      <w:r>
        <w:t>Pues bien, respecto de ambos pronunciamientos debo remitirme a las consideraciones efectuadas en el apartado 2 del voto particular a la STC 94/2024, en el que a su vez hice un amplio recordatorio del voto particular (apartados 2 a 4) firmado junto con los magistrados don Enrique Arnaldo Alcubilla y doña Concepción Espejel Jorquera a la STC 93/2024, respecto de una queja constitucional similar a la que ahora se comenta y donde se aclaró: (1) que los trabajos preparatorios de un proyecto de ley de presupuestos es una actividad de “inequívoca naturaleza administrativa”, con cita de preceptos de nuestro ordenamiento que así lo respaldan; (2) que las actuaciones realizadas en ese procedimiento previo “no se mueven en el ámbito de la inconstitucionalidad de las leyes” y por tanto sí permiten su control por los tribunales penales; (3) que el sistema de financiación desplegado en los citados años por los altos cargos de la Junta de Andalucía condenados en esta causa, revestía una ilegalidad propia del delito de prevaricación (arbitrariedad), al degenerar en la falta de control que imponían las normas sobre subvenciones, sin que la aprobación parlamentaria de los proyectos de ley resultase “sanadora de todos los posibles vicios denunciados”; y (4) en particular, recordé en el voto particular a la STC 94/2024 (mismo apartado 2), con remisión al voto particular conjunto a la STC 93/2024, apartado 4, el por qué carece igualmente de valor legal la documentación anexa que acompaña a los anteproyectos de leyes de presupuestos, incluyendo la memoria. Todo lo expuesto permite concluir que las sentencias recurridas no conculcaron el derecho fundamental a la legalidad punitiva (art. 25.1 CE) de la recurrente, como erróneamente ha venido a apreciar la mayoría del Pleno de este tribunal en la sentencia de la que ahora discrepo.</w:t>
      </w:r>
    </w:p>
    <w:p w14:paraId="394A9F30" w14:textId="77777777" w:rsidR="003754FE" w:rsidRDefault="003754FE" w:rsidP="003754FE">
      <w:pPr>
        <w:pStyle w:val="TextoNormal"/>
      </w:pPr>
    </w:p>
    <w:p w14:paraId="1EF86B99" w14:textId="77777777" w:rsidR="003754FE" w:rsidRDefault="003754FE" w:rsidP="003754FE">
      <w:pPr>
        <w:pStyle w:val="TextoNormal"/>
      </w:pPr>
      <w:r>
        <w:t>2. Respecto del delito de malversación</w:t>
      </w:r>
    </w:p>
    <w:p w14:paraId="4E814AA7" w14:textId="77777777" w:rsidR="003754FE" w:rsidRDefault="003754FE" w:rsidP="003754FE">
      <w:pPr>
        <w:pStyle w:val="TextoNormal"/>
      </w:pPr>
    </w:p>
    <w:p w14:paraId="2368416F" w14:textId="77777777" w:rsidR="003754FE" w:rsidRDefault="003754FE" w:rsidP="003754FE">
      <w:pPr>
        <w:pStyle w:val="TextoNormal"/>
      </w:pPr>
      <w:r>
        <w:t>(i) En el fundamento jurídico 5.3 A) a) la sentencia de la que discrepo señala que la subsunción en la modalidad activa del delito de malversación del art. 432 CP (sustracción de caudales públicos) de los hechos probados que se refieren a irregularidades en la gestión global de las ayudas sociolaborales con cobertura en el programa 31L, tanto la elaboración de los respectivos anteproyectos de ley como de modificaciones presupuestarias en los años 2005 a 2009, resulta imprevisible y por tanto contraria al derecho fundamental a la legalidad (art. 25.1 CE) de la recurrente, con reiteración para ello de los motivos ya esgrimidos respecto del delito de prevaricación (no ser una actividad fiscalizable por los tribunales penales).</w:t>
      </w:r>
    </w:p>
    <w:p w14:paraId="1887D7C1" w14:textId="77777777" w:rsidR="003754FE" w:rsidRDefault="003754FE" w:rsidP="003754FE">
      <w:pPr>
        <w:pStyle w:val="TextoNormal"/>
      </w:pPr>
    </w:p>
    <w:p w14:paraId="73DC4E45" w14:textId="77777777" w:rsidR="003754FE" w:rsidRDefault="003754FE" w:rsidP="003754FE">
      <w:pPr>
        <w:pStyle w:val="TextoNormal"/>
      </w:pPr>
      <w:r>
        <w:t>(ii) Otro tanto defiende la sentencia de la que discrepo en el fundamento jurídico 5.3 A) b) sobre la condena a la recurrente por la modalidad omisiva del mismo delito de malversación (por no impedir el descontrol en la gestión), en cuanto a las ayudas sociolaborales con cobertura en aquel programa 31L.</w:t>
      </w:r>
    </w:p>
    <w:p w14:paraId="37FFADEB" w14:textId="77777777" w:rsidR="003754FE" w:rsidRDefault="003754FE" w:rsidP="003754FE">
      <w:pPr>
        <w:pStyle w:val="TextoNormal"/>
      </w:pPr>
    </w:p>
    <w:p w14:paraId="01F36A54" w14:textId="77777777" w:rsidR="003754FE" w:rsidRDefault="003754FE" w:rsidP="003754FE">
      <w:pPr>
        <w:pStyle w:val="TextoNormal"/>
      </w:pPr>
      <w:r>
        <w:t>En ambos casos se trata de un argumento circular al que a su vez ya di contestación en el apartado 3 de mi voto particular a la STC 94/2024 (trayendo de nuevo a colación el voto particular conjunto a la STC 93/2024), apartado 3, al que ahora me remito, insistiendo en que las normas y controles sobre subvenciones no fueron modificados por las leyes de presupuestos a las que se alude, de modo que tales controles regían en esos años y fueron deliberadamente obviados.</w:t>
      </w:r>
    </w:p>
    <w:p w14:paraId="051D5D88" w14:textId="77777777" w:rsidR="003754FE" w:rsidRDefault="003754FE" w:rsidP="003754FE">
      <w:pPr>
        <w:pStyle w:val="TextoNormal"/>
      </w:pPr>
    </w:p>
    <w:p w14:paraId="77BEA967" w14:textId="77777777" w:rsidR="003754FE" w:rsidRDefault="003754FE" w:rsidP="003754FE">
      <w:pPr>
        <w:pStyle w:val="TextoNormal"/>
      </w:pPr>
      <w:r>
        <w:t>c) Finalmente, por lo que atañe a la estimación en el fundamento jurídico 6.4 de la sentencia de la que ahora discrepo, sobre la queja de vulneración del derecho a la presunción de inocencia (art. 24.2 CE) de la recurrente, procede que me remita a su vez a lo dicho en el apartado 4 de mi voto particular a la STC 94/2024, donde expliqué que la sentencia de instancia que se ha impugnado disponía en las actuaciones de informes periciales concluyentes de la Intervención General de la Junta de Andalucía y de la Intervención General de la Administración del Estado, no contradichos por los expertos que declararon en el plenario, acerca de la culpabilidad de los acusados en los hechos delictivos que se les atribuyen, medios de prueba de los que se hace un examen razonado que luego confirma la sentencia del Tribunal Supremo, sin que quepa hacer excepción por lo que hace a la aquí recurrente en cuanto al delito de malversación de caudales públicos. En concreto, por el reparto de aquellas ayudas otorgadas sin cobertura en la partida 31L de las leyes de presupuestos (tras la criba efectuada por la misma sentencia, en cuanto a los hechos susceptibles de ser enjuiciados en ese tipo penal).</w:t>
      </w:r>
    </w:p>
    <w:p w14:paraId="07F2718D" w14:textId="77777777" w:rsidR="003754FE" w:rsidRDefault="003754FE" w:rsidP="003754FE">
      <w:pPr>
        <w:pStyle w:val="TextoNormal"/>
      </w:pPr>
    </w:p>
    <w:p w14:paraId="35B812C1" w14:textId="77777777" w:rsidR="003754FE" w:rsidRDefault="003754FE" w:rsidP="003754FE">
      <w:pPr>
        <w:pStyle w:val="TextoNormal"/>
      </w:pPr>
      <w:r>
        <w:t>Por tanto, no puede calificarse de demasiado abierta o lábil la inferencia que aprecia el dolo eventual necesario para condenar a la recurrente, como afirma la sentencia que ahora respalda la mayoría del Pleno, la cual para llegar a ese desenlace se erige en tribunal de instancia formulando su propio juicio de valoración probatoria, llegando incluso a decir que sí existían otros datos en los que sustentar esa culpabilidad, los cuales sin embargo no revela, y que de tal guisa habrían sido ignorados por la Audiencia Provincial. El derecho a la presunción de inocencia de la recurrente, en definitiva, fue respetado por las sentencias recurridas, por lo que la demanda debió ser íntegramente desestimada.</w:t>
      </w:r>
    </w:p>
    <w:p w14:paraId="2AE2728B" w14:textId="77777777" w:rsidR="003754FE" w:rsidRDefault="003754FE" w:rsidP="003754FE">
      <w:pPr>
        <w:pStyle w:val="TextoNormal"/>
      </w:pPr>
    </w:p>
    <w:p w14:paraId="59E69D8A" w14:textId="77777777" w:rsidR="003754FE" w:rsidRDefault="003754FE" w:rsidP="003754FE">
      <w:pPr>
        <w:pStyle w:val="TextoNormal"/>
      </w:pPr>
      <w:r>
        <w:t>Y en tal sentido emito mi voto particular.</w:t>
      </w:r>
    </w:p>
    <w:p w14:paraId="6D92190A" w14:textId="77777777" w:rsidR="003754FE" w:rsidRDefault="003754FE" w:rsidP="003754FE">
      <w:pPr>
        <w:pStyle w:val="TextoNormal"/>
      </w:pPr>
    </w:p>
    <w:p w14:paraId="5E403361" w14:textId="1C905FE1" w:rsidR="003754FE" w:rsidRDefault="003754FE" w:rsidP="003754FE">
      <w:pPr>
        <w:pStyle w:val="TextoNormal"/>
      </w:pPr>
      <w:r>
        <w:t>Madrid, a tres de julio de dos mil veinticuatro.</w:t>
      </w:r>
    </w:p>
    <w:p w14:paraId="435A2544" w14:textId="77777777" w:rsidR="003754FE" w:rsidRDefault="003754FE" w:rsidP="003754FE">
      <w:pPr>
        <w:pStyle w:val="TextoNormal"/>
      </w:pPr>
    </w:p>
    <w:p w14:paraId="3FF28A83" w14:textId="77777777" w:rsidR="003754FE" w:rsidRDefault="003754FE" w:rsidP="003754FE">
      <w:pPr>
        <w:pStyle w:val="TextoNormalNegritaCentrado"/>
        <w:keepNext/>
      </w:pPr>
      <w:r>
        <w:t>Voto particular que formula el magistrado don Enrique Arnaldo Alcubilla a la sentencia dictada por el Pleno en el recurso de amparo núm. 2391-2023</w:t>
      </w:r>
    </w:p>
    <w:p w14:paraId="6628CB48" w14:textId="460B70C8" w:rsidR="003754FE" w:rsidRDefault="003754FE" w:rsidP="003754FE">
      <w:pPr>
        <w:pStyle w:val="TextoNormalNegritaCentrado"/>
        <w:keepNext/>
      </w:pPr>
    </w:p>
    <w:p w14:paraId="41B42D61" w14:textId="77777777" w:rsidR="003754FE" w:rsidRDefault="003754FE" w:rsidP="003754FE">
      <w:pPr>
        <w:pStyle w:val="TextoNormal"/>
      </w:pPr>
      <w:r>
        <w:t>En el ejercicio de la facultad que me confiere el art. 90.2 de la Ley Orgánica del Tribunal Constitucional, formulo el presente voto particular por discrepar de la fundamentación y del fallo de la sentencia recaída en el recurso de amparo interpuesto por doña Carmen Martínez Aguayo, el cual a mi parecer debió ser desestimado, por las razones defendidas durante la deliberación y en los términos que seguidamente paso a exponer.</w:t>
      </w:r>
    </w:p>
    <w:p w14:paraId="30D89A4C" w14:textId="77777777" w:rsidR="003754FE" w:rsidRDefault="003754FE" w:rsidP="003754FE">
      <w:pPr>
        <w:pStyle w:val="TextoNormal"/>
      </w:pPr>
    </w:p>
    <w:p w14:paraId="322269F7" w14:textId="77777777" w:rsidR="003754FE" w:rsidRDefault="003754FE" w:rsidP="003754FE">
      <w:pPr>
        <w:pStyle w:val="TextoNormal"/>
      </w:pPr>
      <w:r>
        <w:t xml:space="preserve">1. </w:t>
      </w:r>
      <w:r w:rsidRPr="003754FE">
        <w:rPr>
          <w:i/>
        </w:rPr>
        <w:t>Consideración preliminar</w:t>
      </w:r>
    </w:p>
    <w:p w14:paraId="7B8C7B42" w14:textId="77777777" w:rsidR="003754FE" w:rsidRDefault="003754FE" w:rsidP="003754FE">
      <w:pPr>
        <w:pStyle w:val="TextoNormal"/>
      </w:pPr>
    </w:p>
    <w:p w14:paraId="448EBFDC" w14:textId="77777777" w:rsidR="003754FE" w:rsidRDefault="003754FE" w:rsidP="003754FE">
      <w:pPr>
        <w:pStyle w:val="TextoNormal"/>
      </w:pPr>
      <w:r>
        <w:t>La fundamentación de la presente sentencia descansa en buena medida en los argumentos empleados por la mayoría del Pleno en la STC 93/2024, de 19 de junio, que estimó parcialmente el recurso de amparo núm. 6971-2022, interpuesto por doña Magdalena Álvarez Arza contra las mismas resoluciones judiciales, que la condenaron por un delito de prevaricación en la pieza específica del conocido como “caso de los ERE de Andalucía”.</w:t>
      </w:r>
    </w:p>
    <w:p w14:paraId="7F39B687" w14:textId="77777777" w:rsidR="003754FE" w:rsidRDefault="003754FE" w:rsidP="003754FE">
      <w:pPr>
        <w:pStyle w:val="TextoNormal"/>
      </w:pPr>
    </w:p>
    <w:p w14:paraId="4AA51680" w14:textId="77777777" w:rsidR="003754FE" w:rsidRDefault="003754FE" w:rsidP="003754FE">
      <w:pPr>
        <w:pStyle w:val="TextoNormal"/>
      </w:pPr>
      <w:r>
        <w:t>Es procedente, por ello, que me remita a las consideraciones expuestas en el voto particular que suscribí juntamente con los magistrados Enríquez Sancho y Espejel Jorquera a la referida sentencia, y a las que formuló el magistrado Tolosa Tribiño, al que asimismo nos adherimos. Esta remisión se explica porque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otra de los altos cargos de la Junta de Andalucía condenados en el referido asunto, en este supuesto por delitos de prevaricación y de malversación de caudales públicos. Se trata de doña Carmen Martínez Aguayo, que ocupó el cargo de viceconsejera de Economía y Hacienda de la Junta de Andalucía desde el 26 de abril de 2004 al 24 de abril de 2009, estando descritos los hechos por los que fue condenada en el relato de hechos probados y en los fundamentos de Derecho 38 y 49 de la sentencia de la Audiencia Provincial de Sevilla, como se pone de manifiesto en el fundamento jurídico 2.4 de la presente sentencia del Tribunal Constitucional.</w:t>
      </w:r>
    </w:p>
    <w:p w14:paraId="20D1265D" w14:textId="77777777" w:rsidR="003754FE" w:rsidRDefault="003754FE" w:rsidP="003754FE">
      <w:pPr>
        <w:pStyle w:val="TextoNormal"/>
      </w:pPr>
    </w:p>
    <w:p w14:paraId="4FD6A25A" w14:textId="77777777" w:rsidR="003754FE" w:rsidRDefault="003754FE" w:rsidP="003754FE">
      <w:pPr>
        <w:pStyle w:val="TextoNormal"/>
      </w:pPr>
      <w:r>
        <w:t xml:space="preserve">2. </w:t>
      </w:r>
      <w:r w:rsidRPr="003754FE">
        <w:rPr>
          <w:i/>
        </w:rPr>
        <w:t>Una premisa errónea: la pretendida virtud sanadora de las leyes de presupuestos de Andalucía para los años 2002 a 2009</w:t>
      </w:r>
      <w:r>
        <w:t xml:space="preserve"> </w:t>
      </w:r>
    </w:p>
    <w:p w14:paraId="6327E050" w14:textId="77777777" w:rsidR="003754FE" w:rsidRDefault="003754FE" w:rsidP="003754FE">
      <w:pPr>
        <w:pStyle w:val="TextoNormal"/>
      </w:pPr>
    </w:p>
    <w:p w14:paraId="27BD94E3" w14:textId="77777777" w:rsidR="003754FE" w:rsidRDefault="003754FE" w:rsidP="003754FE">
      <w:pPr>
        <w:pStyle w:val="TextoNormal"/>
      </w:pPr>
      <w:r>
        <w:t>Como en la STC 93/2024, la presente sentencia considera que la actuación de la recurrente no puede entenderse subsumible en los delitos de prevaricación y malversación por los que ha sido condenada, conclusión que asienta sobre la premisa, a mi parecer errónea, de que obraba amparada por lo previsto en la correspondiente ley de presupuestos para cada ejercicio.</w:t>
      </w:r>
    </w:p>
    <w:p w14:paraId="0541C6BF" w14:textId="77777777" w:rsidR="003754FE" w:rsidRDefault="003754FE" w:rsidP="003754FE">
      <w:pPr>
        <w:pStyle w:val="TextoNormal"/>
      </w:pPr>
    </w:p>
    <w:p w14:paraId="41677F30" w14:textId="77777777" w:rsidR="003754FE" w:rsidRDefault="003754FE" w:rsidP="003754FE">
      <w:pPr>
        <w:pStyle w:val="TextoNormal"/>
      </w:pPr>
      <w:r>
        <w:t xml:space="preserve">Nada más lejos de la realidad. Las sentencias impugnadas en amparo han entendido que los trabajos preparatorios de esas leyes (la actividad “prelegislativa”), esto es, la actividad tendente a la elaboración de los anteproyectos de ley que luego se convertirán en proyectos </w:t>
      </w:r>
      <w:r>
        <w:lastRenderedPageBreak/>
        <w:t>remitidos al Parlamento puede considerarse integrante de un procedimiento administrativo y, por consiguiente, que las decisiones que se adoptan en ese ámbito pueden calificarse como resoluciones recaídas en asunto administrativo, que es el término empleado en el art. 404 del Código penal para el delito de prevaricación administrativa. Por las razones expresadas en el voto particular a la STC 93/2024 no me parece que esa interpretación realizada por la jurisdicción penal, en el ámbito que le compete conforme al art. 117.3 CE, pueda tildarse de irrazonable o imprevisible. A mi entender, los actos prelegislativos son susceptibles de control penal. Entender lo contrario, como hace la mayoría del Tribunal en la sentencia de la que disiento, equivale a consagrar un inadmisible ámbito de impunidad que resulta patentemente contrario a la Constitución.</w:t>
      </w:r>
    </w:p>
    <w:p w14:paraId="6DD3994D" w14:textId="77777777" w:rsidR="003754FE" w:rsidRDefault="003754FE" w:rsidP="003754FE">
      <w:pPr>
        <w:pStyle w:val="TextoNormal"/>
      </w:pPr>
    </w:p>
    <w:p w14:paraId="0E834A33" w14:textId="77777777" w:rsidR="003754FE" w:rsidRDefault="003754FE" w:rsidP="003754FE">
      <w:pPr>
        <w:pStyle w:val="TextoNormal"/>
      </w:pPr>
      <w:r>
        <w:t>Pero la sentencia aprobada por la mayoría va aún más lejos y, como en la STC 93/2024, sostiene que la conducta de la recurrente, como la del resto de condenados en el “caso de los ERE de Andalucía” no merecía reproche penal ni desde la perspectiva de la prevaricación, ni desde la perspectiva de la malversación, porque se amparaba en las leyes de presupuestos de Andalucía para los años 2002 a 2009, que “en su programa 31L, establecieron un sistema de atribución de fondos al IFA/IDEA (las transferencias de financiación) para la concesión de ayudas sociolaborales que, [de acuerdo con lo establecido en sus propias memorias], habilitaban a la administración autonómica a conceder estas ayudas por tal vía” (FJ 4), lo que habría supuesto la supresión de los controles y procedimiento propios del régimen de subvenciones.</w:t>
      </w:r>
    </w:p>
    <w:p w14:paraId="0034FEA9" w14:textId="77777777" w:rsidR="003754FE" w:rsidRDefault="003754FE" w:rsidP="003754FE">
      <w:pPr>
        <w:pStyle w:val="TextoNormal"/>
      </w:pPr>
    </w:p>
    <w:p w14:paraId="5FC0EEDA" w14:textId="77777777" w:rsidR="003754FE" w:rsidRDefault="003754FE" w:rsidP="003754FE">
      <w:pPr>
        <w:pStyle w:val="TextoNormal"/>
      </w:pPr>
      <w:r>
        <w:t>Lo mismo se afirma respecto de las conductas calificables de prevaricación y de malversación relativas a las modificaciones presupuestarias y a la gestión directa de ayudas amparadas en el programa 31L, habidas con posterioridad a la aprobación de las distintas leyes de presupuestos, pues, asimismo, encontrarían cobijo en el “sistema de atribución de fondos al IFA/IDEA (las transferencias de financiación) para la concesión de ayudas sociolaborales”, según sostiene la mayoría del Pleno en la sentencia de la que disiento.</w:t>
      </w:r>
    </w:p>
    <w:p w14:paraId="7126A4A8" w14:textId="77777777" w:rsidR="003754FE" w:rsidRDefault="003754FE" w:rsidP="003754FE">
      <w:pPr>
        <w:pStyle w:val="TextoNormal"/>
      </w:pPr>
    </w:p>
    <w:p w14:paraId="0446D5DC" w14:textId="77777777" w:rsidR="003754FE" w:rsidRDefault="003754FE" w:rsidP="003754FE">
      <w:pPr>
        <w:pStyle w:val="TextoNormal"/>
      </w:pPr>
      <w:r>
        <w:t>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subvenciones, en particular, la fiscalización previa por parte de la Intervención de la Junta de Andalucía. Se viene a afirmar que resulta imprevisible condenar por prevaricación conductas amparadas en lo dispuesto en el programa 31L incorporado a las leyes de presupuestos de Andalucía para los años 2002 a 2009. La ley curaría, según la mayoría del Tribunal, todo vicio y haría inatacable la actuación de los gestores públicos, que estarían habilitados para actuar al margen de cualquier procedimiento y sin el control previo exigible en cualquier disposición de fondos públicos.</w:t>
      </w:r>
    </w:p>
    <w:p w14:paraId="52192C11" w14:textId="77777777" w:rsidR="003754FE" w:rsidRDefault="003754FE" w:rsidP="003754FE">
      <w:pPr>
        <w:pStyle w:val="TextoNormal"/>
      </w:pPr>
    </w:p>
    <w:p w14:paraId="570583EE" w14:textId="77777777" w:rsidR="003754FE" w:rsidRDefault="003754FE" w:rsidP="003754FE">
      <w:pPr>
        <w:pStyle w:val="TextoNormal"/>
      </w:pPr>
      <w:r>
        <w:t xml:space="preserve">Semejante premisa, la de la supuesta cobertura de la actuación de la recurrente en la legalidad presupuestaria, descansa en una errónea apreciación del contenido de las leyes de presupuestos consideradas. No es cierto que las sentencias de la jurisdicción penal que condenaron a la recurrente hayan privado de toda relevancia a la circunstancia de la aprobación parlamentaria de las sucesivas leyes de presupuestos. Lo que sucede, frente a lo que de manera incorrecta ha entendido la mayoría en la sentencia de la que disiento es que, en realidad, la introducción del programa 31L en las leyes de presupuestos andaluzas de los </w:t>
      </w:r>
      <w:r>
        <w:lastRenderedPageBreak/>
        <w:t>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de lo Penal del Tribunal Supremo.</w:t>
      </w:r>
    </w:p>
    <w:p w14:paraId="5343D4A9" w14:textId="77777777" w:rsidR="003754FE" w:rsidRDefault="003754FE" w:rsidP="003754FE">
      <w:pPr>
        <w:pStyle w:val="TextoNormal"/>
      </w:pPr>
    </w:p>
    <w:p w14:paraId="285F3039" w14:textId="77777777" w:rsidR="003754FE" w:rsidRDefault="003754FE" w:rsidP="003754FE">
      <w:pPr>
        <w:pStyle w:val="TextoNormal"/>
      </w:pPr>
      <w:r>
        <w:t>Ambas resoluciones judiciales niegan con razón, por otra parte, el pretendido valor legal que se pretende dar a las memorias presupuestarias, informes económico-financieros y fichas del programa 31L. La ausencia de eficacia vinculante de esa documentación anexa a las leyes de presupuestos resulta corroborada por diversos instrumentos legales, como ya se señaló en el voto particular conjunto a la STC 93/2014,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meras previsiones hipotéticas” (STC 63/1986, de 21 de mayo, FJ 8). El argumento que utiliza la mayoría en la sentencia de la que discrepo, según el cual han de interpretarse las partidas presupuestarias conforme a la memoria es fruto de un voluntarismo jurídico que no se puede compartir.</w:t>
      </w:r>
    </w:p>
    <w:p w14:paraId="626E2FC5" w14:textId="77777777" w:rsidR="003754FE" w:rsidRDefault="003754FE" w:rsidP="003754FE">
      <w:pPr>
        <w:pStyle w:val="TextoNormal"/>
      </w:pPr>
    </w:p>
    <w:p w14:paraId="0DE3C58F" w14:textId="77777777" w:rsidR="003754FE" w:rsidRDefault="003754FE" w:rsidP="003754FE">
      <w:pPr>
        <w:pStyle w:val="TextoNormal"/>
      </w:pPr>
      <w:r>
        <w:t>En cuanto a las modificaciones presupuestarias producidas en los años 2005 a 2008, por las mismas razones que entendemos que las leyes de presupuestos que incluyeron desde el año 2002 esa célebre partida 440 del programa 31L no sanaron el vicio que arrastraban en cuanto a su oculta finalidad de eludir los controles previos de la Intervención, tampoco las modificaciones presupuestarias pueden escudarse en la ley de presupuestos.</w:t>
      </w:r>
    </w:p>
    <w:p w14:paraId="14593E22" w14:textId="77777777" w:rsidR="003754FE" w:rsidRDefault="003754FE" w:rsidP="003754FE">
      <w:pPr>
        <w:pStyle w:val="TextoNormal"/>
      </w:pPr>
    </w:p>
    <w:p w14:paraId="69ACCA7C" w14:textId="77777777" w:rsidR="003754FE" w:rsidRDefault="003754FE" w:rsidP="003754FE">
      <w:pPr>
        <w:pStyle w:val="TextoNormal"/>
      </w:pPr>
      <w:r>
        <w:t>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correspondiente ley de presupuestos, excluyera la aplicación de la normativa general en materia de subvenciones.</w:t>
      </w:r>
    </w:p>
    <w:p w14:paraId="64A84D5C" w14:textId="77777777" w:rsidR="003754FE" w:rsidRDefault="003754FE" w:rsidP="003754FE">
      <w:pPr>
        <w:pStyle w:val="TextoNormal"/>
      </w:pPr>
    </w:p>
    <w:p w14:paraId="6A046238" w14:textId="77777777" w:rsidR="003754FE" w:rsidRDefault="003754FE" w:rsidP="003754FE">
      <w:pPr>
        <w:pStyle w:val="TextoNormal"/>
      </w:pPr>
      <w:r>
        <w:t>Habida cuenta de lo anterior, no parece que la respuesta penal a la actuación de la recurrente pueda calificarse de imprevisible. La razón de la condena de la recurrente es clara: como con arreglo a la Ley 5/1983, de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la recurrente y otros funcionarios idearon como solución para eludir esos controles incluir una nueva partida en los presupuestos titulada de manera indeterminada para sus propios fines, eludiendo de este modo los controles exigibles con arreglo a una legalidad que no fue derogada por lo dispuesto en las leyes de presupuestos andaluzas de los años 2002 a 2009.</w:t>
      </w:r>
    </w:p>
    <w:p w14:paraId="32E6BC6F" w14:textId="77777777" w:rsidR="003754FE" w:rsidRDefault="003754FE" w:rsidP="003754FE">
      <w:pPr>
        <w:pStyle w:val="TextoNormal"/>
      </w:pPr>
    </w:p>
    <w:p w14:paraId="2AC223FA" w14:textId="77777777" w:rsidR="003754FE" w:rsidRDefault="003754FE" w:rsidP="003754FE">
      <w:pPr>
        <w:pStyle w:val="TextoNormal"/>
      </w:pPr>
      <w:r>
        <w:lastRenderedPageBreak/>
        <w:t>Ciertamente, las cosas podrían haber sucedido de otro modo. Las leyes de presupuestos andaluzas hubieran podido derogar esa legalidad, o excluirla para la concesión de esas ayudas, como hizo luego el Decreto-ley 4/2012 en la llamada “tercera etapa” de los ERE (primer bloque de los fundamentos de Derecho de la sentencia del Tribunal Supremo, “Resumen de los hechos probados”), cuyo art.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a disponer, después, libérrimamente de los fondos incluidos en la partida 440 del programa 31L y solo y exclusivamente en esa partida.</w:t>
      </w:r>
    </w:p>
    <w:p w14:paraId="74C5F044" w14:textId="77777777" w:rsidR="003754FE" w:rsidRDefault="003754FE" w:rsidP="003754FE">
      <w:pPr>
        <w:pStyle w:val="TextoNormal"/>
      </w:pPr>
    </w:p>
    <w:p w14:paraId="068B58DE" w14:textId="77777777" w:rsidR="003754FE" w:rsidRDefault="003754FE" w:rsidP="003754FE">
      <w:pPr>
        <w:pStyle w:val="TextoNormal"/>
      </w:pPr>
      <w:r>
        <w:t>La consecuencia de ello es que las conductas enjuiciadas de la recurrente fueron correctamente subsumidas en el delito de malversación en concurso ideal con el precedente de prevaricación, no solo porque el programa 31L no concedía una cobertura legal para conceder ayudas con elusión de los controles previstos en la normativa subvencional, pues nada se establecía en las leyes de presupuestos en tal sentido, sino porque, en todo caso, con la omisión de aquellos controles se dispuso libremente de las ingentes cantidades dinerarias a las que se refieren los hechos probados de la sentencia condenatoria de la Audiencia Provincial de Sevilla, confirmada en casación por la Sala de lo Penal del Tribunal Supremo.</w:t>
      </w:r>
    </w:p>
    <w:p w14:paraId="7631AD1C" w14:textId="77777777" w:rsidR="003754FE" w:rsidRDefault="003754FE" w:rsidP="003754FE">
      <w:pPr>
        <w:pStyle w:val="TextoNormal"/>
      </w:pPr>
    </w:p>
    <w:p w14:paraId="38C523FF" w14:textId="77777777" w:rsidR="003754FE" w:rsidRDefault="003754FE" w:rsidP="003754FE">
      <w:pPr>
        <w:pStyle w:val="TextoNormal"/>
      </w:pPr>
      <w:r>
        <w:t xml:space="preserve">3. </w:t>
      </w:r>
      <w:r w:rsidRPr="003754FE">
        <w:rPr>
          <w:i/>
        </w:rPr>
        <w:t>La presente sentencia desconoce los principios constitucionales rectores del gasto público y su control</w:t>
      </w:r>
    </w:p>
    <w:p w14:paraId="4AC28F78" w14:textId="77777777" w:rsidR="003754FE" w:rsidRDefault="003754FE" w:rsidP="003754FE">
      <w:pPr>
        <w:pStyle w:val="TextoNormal"/>
      </w:pPr>
    </w:p>
    <w:p w14:paraId="107D844E" w14:textId="77777777" w:rsidR="003754FE" w:rsidRDefault="003754FE" w:rsidP="003754FE">
      <w:pPr>
        <w:pStyle w:val="TextoNormal"/>
      </w:pPr>
      <w:r>
        <w:t>En un precepto original en el Derecho Constitucional contemporáneo, la Constitución en su art. 31.2 establece que: “El gasto público realizará una asignación equitativa de los recursos públicos, y su programación y ejecución responderán a los criterios de eficiencia y economía”.</w:t>
      </w:r>
    </w:p>
    <w:p w14:paraId="2B9DAE05" w14:textId="77777777" w:rsidR="003754FE" w:rsidRDefault="003754FE" w:rsidP="003754FE">
      <w:pPr>
        <w:pStyle w:val="TextoNormal"/>
      </w:pPr>
    </w:p>
    <w:p w14:paraId="4ED2A780" w14:textId="77777777" w:rsidR="003754FE" w:rsidRDefault="003754FE" w:rsidP="003754FE">
      <w:pPr>
        <w:pStyle w:val="TextoNormal"/>
      </w:pPr>
      <w:r>
        <w:t>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puede hacer el Estado a través del Tribunal de Cuentas sobre la actividad financiera de las corporaciones locales. Pueden coexistir y superponerse, sin perjuicio de “evitar duplicidades innecesarias o disfuncionalidades”, que serían contrarias al art. 31.2 CE. También en la STC 204/1992, de 26 de noviembre, sobre los consejos consultivos autonómicos y el Consejo de Estado, si bien aquí el Tribunal añade al art. 31.2 CE el art. 103.1 CE, que obliga a la administración pública a actuar con sujeción tanto al principio de legalidad (lo que incluye la legalidad presupuestaria, claro está), como al principio de eficacia administrativa.</w:t>
      </w:r>
    </w:p>
    <w:p w14:paraId="3AD608AC" w14:textId="77777777" w:rsidR="003754FE" w:rsidRDefault="003754FE" w:rsidP="003754FE">
      <w:pPr>
        <w:pStyle w:val="TextoNormal"/>
      </w:pPr>
    </w:p>
    <w:p w14:paraId="1D109C75" w14:textId="77777777" w:rsidR="003754FE" w:rsidRDefault="003754FE" w:rsidP="003754FE">
      <w:pPr>
        <w:pStyle w:val="TextoNormal"/>
      </w:pPr>
      <w:r>
        <w:t xml:space="preserve">Pero, sin duda, el pronunciamiento más importante se contiene en la STC 45/2017, de 27 de abril, en la que se afirma que “la actividad financiera de las distintas haciendas [ha de] asegurar los principios constitucionales que, conforme a nuestra Constitución han de regir </w:t>
      </w:r>
      <w:r>
        <w:lastRenderedPageBreak/>
        <w:t>el gasto público: legalidad (art. 133.4 CE); eficiencia y economía (art. 31.2 CE); asignación equitativa de los recursos públicos (art. 31.2 CE); subordinación de la riqueza al […] interés general (art. 128.1 CE); estabilidad presupuestaria (art. 135 CE […]); y control (art. 136 CE)”.</w:t>
      </w:r>
    </w:p>
    <w:p w14:paraId="7008C199" w14:textId="77777777" w:rsidR="003754FE" w:rsidRDefault="003754FE" w:rsidP="003754FE">
      <w:pPr>
        <w:pStyle w:val="TextoNormal"/>
      </w:pPr>
    </w:p>
    <w:p w14:paraId="6583EB55" w14:textId="77777777" w:rsidR="003754FE" w:rsidRDefault="003754FE" w:rsidP="003754FE">
      <w:pPr>
        <w:pStyle w:val="TextoNormal"/>
      </w:pPr>
      <w:r>
        <w:t>Sobre el principio de legalidad (que la sentencia presenta como respetado y salutífero para la recurrente) ya me he expresado, sin perjuicio de volver después. Me importa detenerme ahora en los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pagos. Ello queda confirmado, por lo demás, en un precepto transversal de nuestra Constitución, íntimamente ligado, entre otros, al citado art. 31.2 CE, y que no es otro que el también citado art. 103.1 CE, a cuyo tenor “La Administración pública sirve con objetividad 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14:paraId="327BEF75" w14:textId="77777777" w:rsidR="003754FE" w:rsidRDefault="003754FE" w:rsidP="003754FE">
      <w:pPr>
        <w:pStyle w:val="TextoNormal"/>
      </w:pPr>
    </w:p>
    <w:p w14:paraId="23A9E140" w14:textId="77777777" w:rsidR="003754FE" w:rsidRDefault="003754FE" w:rsidP="003754FE">
      <w:pPr>
        <w:pStyle w:val="TextoNormal"/>
      </w:pPr>
      <w: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enunciadas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w:t>
      </w:r>
      <w:r w:rsidRPr="003754FE">
        <w:rPr>
          <w:i/>
        </w:rPr>
        <w:t>in fine</w:t>
      </w:r>
      <w:r>
        <w:t xml:space="preserve"> que el sometimiento de la administración pública a la ley y al Derecho sea pleno, o sea, completo, sin excepción ni matiz, lo que corrobora el enunciado del art. 106.1 CE.</w:t>
      </w:r>
    </w:p>
    <w:p w14:paraId="0DB3459D" w14:textId="77777777" w:rsidR="003754FE" w:rsidRDefault="003754FE" w:rsidP="003754FE">
      <w:pPr>
        <w:pStyle w:val="TextoNormal"/>
      </w:pPr>
    </w:p>
    <w:p w14:paraId="154CAD20" w14:textId="77777777" w:rsidR="003754FE" w:rsidRDefault="003754FE" w:rsidP="003754FE">
      <w:pPr>
        <w:pStyle w:val="TextoNormal"/>
      </w:pPr>
      <w:r>
        <w:t>Adelanto ya que las conclusiones a las que llega la sentencia de este tribunal de la que disiento no se acomodan a estos principios constitucionales, pues se asientan en la incertidumbre jurídica, en la irresponsabilidad, y en la falta de objetividad y de transparencia de la administración pública.</w:t>
      </w:r>
    </w:p>
    <w:p w14:paraId="74ED042E" w14:textId="77777777" w:rsidR="003754FE" w:rsidRDefault="003754FE" w:rsidP="003754FE">
      <w:pPr>
        <w:pStyle w:val="TextoNormal"/>
      </w:pPr>
    </w:p>
    <w:p w14:paraId="158AB75D" w14:textId="77777777" w:rsidR="003754FE" w:rsidRDefault="003754FE" w:rsidP="003754FE">
      <w:pPr>
        <w:pStyle w:val="TextoNormal"/>
      </w:pPr>
      <w:r>
        <w:t xml:space="preserve">La sentencia de este tribunal descubre con la linterna de Diógenes el argumento de la salvadora ley de presupuestos que todo lo ampara y que borra toda responsabilidad penal en la conducta de la recurrente y el resto de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w:t>
      </w:r>
      <w:r w:rsidRPr="003754FE">
        <w:rPr>
          <w:i/>
        </w:rPr>
        <w:t>ius</w:t>
      </w:r>
      <w:r>
        <w:t xml:space="preserve">. La ley no agota el ámbito del Derecho, que es algo más. Y en ese algo más están desde luego </w:t>
      </w:r>
      <w:r>
        <w:lastRenderedPageBreak/>
        <w:t xml:space="preserve">los principios actuales de actuación de las administraciones públicas, que enuncian muy en particular los arts. 9.3, 31.2, 103.1, 105 y 106.1 CE, y los propios principios generales del Derecho, que no tienen por qué ser norma escrita y que sintetizan nuestra cultura jurídica, que es la propia de un Estado constitucional y democrático de Derecho (art. 1.1 CE). Y, por supuesto, en el </w:t>
      </w:r>
      <w:r w:rsidRPr="003754FE">
        <w:rPr>
          <w:i/>
        </w:rPr>
        <w:t>ius</w:t>
      </w:r>
      <w:r>
        <w:t xml:space="preserve"> están también los principios del Derecho de la Unión Europea, a los que luego me referiré.</w:t>
      </w:r>
    </w:p>
    <w:p w14:paraId="479B383D" w14:textId="77777777" w:rsidR="003754FE" w:rsidRDefault="003754FE" w:rsidP="003754FE">
      <w:pPr>
        <w:pStyle w:val="TextoNormal"/>
      </w:pPr>
    </w:p>
    <w:p w14:paraId="0E704543" w14:textId="77777777" w:rsidR="003754FE" w:rsidRDefault="003754FE" w:rsidP="003754FE">
      <w:pPr>
        <w:pStyle w:val="TextoNormal"/>
      </w:pPr>
      <w:r>
        <w:t>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no es nunca ilimitado ni puede ejercerse al puro arbitrio o capricho de quienes lo lleven a 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14:paraId="094B9A4E" w14:textId="77777777" w:rsidR="003754FE" w:rsidRDefault="003754FE" w:rsidP="003754FE">
      <w:pPr>
        <w:pStyle w:val="TextoNormal"/>
      </w:pPr>
    </w:p>
    <w:p w14:paraId="198BD5A0" w14:textId="77777777" w:rsidR="003754FE" w:rsidRDefault="003754FE" w:rsidP="003754FE">
      <w:pPr>
        <w:pStyle w:val="TextoNormal"/>
      </w:pPr>
      <w:r>
        <w:t xml:space="preserve">4. </w:t>
      </w:r>
      <w:r w:rsidRPr="003754FE">
        <w:rPr>
          <w:i/>
        </w:rPr>
        <w:t>Sobre la aplicación de los principios del Derecho de la Unión Europea en materia de control del gasto público, como dique de contención en la lucha contra el fraude y la corrupción política</w:t>
      </w:r>
    </w:p>
    <w:p w14:paraId="22F8B009" w14:textId="77777777" w:rsidR="003754FE" w:rsidRDefault="003754FE" w:rsidP="003754FE">
      <w:pPr>
        <w:pStyle w:val="TextoNormal"/>
      </w:pPr>
    </w:p>
    <w:p w14:paraId="4DFB8956" w14:textId="77777777" w:rsidR="003754FE" w:rsidRDefault="003754FE" w:rsidP="003754FE">
      <w:pPr>
        <w:pStyle w:val="TextoNormal"/>
      </w:pPr>
      <w:r>
        <w:t>Si bien el Derecho de la Unión Europea no es directamente aplicable en el asunto que nos ocupa, al no tener los fondos públicos malversados origen comunitario, no puede desconocerse que los principios del Derecho de la Unión sobre el control del gasto público son muy relevantes para analizar la regularidad de la actuación de los gestores de los caudales públicos. En tal sentido, no me parece aventurado afirmar que esa gestión, en el conocido como “caso de los ERE de Andalucía”, y como se desprende de las sentencias condenatorias que se impugnan en amparo, ha sido contraria no solo a los principios del Derecho interno, sino también a los principios del Derecho de la Unión Europea.</w:t>
      </w:r>
    </w:p>
    <w:p w14:paraId="6C296524" w14:textId="77777777" w:rsidR="003754FE" w:rsidRDefault="003754FE" w:rsidP="003754FE">
      <w:pPr>
        <w:pStyle w:val="TextoNormal"/>
      </w:pPr>
    </w:p>
    <w:p w14:paraId="6204C98B" w14:textId="77777777" w:rsidR="003754FE" w:rsidRDefault="003754FE" w:rsidP="003754FE">
      <w:pPr>
        <w:pStyle w:val="TextoNormal"/>
      </w:pPr>
      <w:r>
        <w:t>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peligro los intereses financieros del poder público y sería contraria al Derecho de la Unión Europea.</w:t>
      </w:r>
    </w:p>
    <w:p w14:paraId="6D842290" w14:textId="77777777" w:rsidR="003754FE" w:rsidRDefault="003754FE" w:rsidP="003754FE">
      <w:pPr>
        <w:pStyle w:val="TextoNormal"/>
      </w:pPr>
    </w:p>
    <w:p w14:paraId="24BCE083" w14:textId="77777777" w:rsidR="003754FE" w:rsidRDefault="003754FE" w:rsidP="003754FE">
      <w:pPr>
        <w:pStyle w:val="TextoNormal"/>
      </w:pPr>
      <w: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w:t>
      </w:r>
      <w:r>
        <w:lastRenderedPageBreak/>
        <w:t xml:space="preserve">el fraude. Conforme al art. 325 del Tratado de funcionamiento de la Unión Europea (TFUE), relativo a la lucha contra el fraude, “1. La Unión y los Estados miembros </w:t>
      </w:r>
      <w:r w:rsidRPr="003754FE">
        <w:rPr>
          <w:i/>
        </w:rPr>
        <w:t>combatirán el fraude y toda actividad ilegal</w:t>
      </w:r>
      <w:r>
        <w:t xml:space="preserve"> que afecte a los intereses financieros de la Unión mediante medidas adoptadas en virtud de lo dispuesto en el presente artículo, que deberán tener un </w:t>
      </w:r>
      <w:r w:rsidRPr="003754FE">
        <w:rPr>
          <w:i/>
        </w:rPr>
        <w:t>efecto disuasorio</w:t>
      </w:r>
      <w:r>
        <w:t xml:space="preserve"> y ser capaces de ofrecer una protección eficaz en los Estados miembros y en las instituciones, órganos y organismos de la Unión. 2. Los Estados miembros adoptarán para combatir el fraude que afecte a los intereses financieros de la Unión </w:t>
      </w:r>
      <w:r w:rsidRPr="003754FE">
        <w:rPr>
          <w:i/>
        </w:rPr>
        <w:t>las mismas medidas</w:t>
      </w:r>
      <w:r>
        <w:t xml:space="preserve"> que para combatir el fraude que afecte a sus propios intereses financieros”.</w:t>
      </w:r>
    </w:p>
    <w:p w14:paraId="316AA18C" w14:textId="77777777" w:rsidR="003754FE" w:rsidRDefault="003754FE" w:rsidP="003754FE">
      <w:pPr>
        <w:pStyle w:val="TextoNormal"/>
      </w:pPr>
    </w:p>
    <w:p w14:paraId="551AF365" w14:textId="77777777" w:rsidR="003754FE" w:rsidRDefault="003754FE" w:rsidP="003754FE">
      <w:pPr>
        <w:pStyle w:val="TextoNormal"/>
      </w:pPr>
      <w:r>
        <w:t xml:space="preserve">En cuanto a los principios que deben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STJUE de 21 de diciembre de 2021, </w:t>
      </w:r>
      <w:r w:rsidRPr="003754FE">
        <w:rPr>
          <w:i/>
        </w:rPr>
        <w:t>Euro Box Promotion y otros</w:t>
      </w:r>
      <w:r>
        <w:t>, asuntos acumulados C‑357/19, C‑379/19, C‑547/19, C‑811/19 y C‑840/19 (y jurisprudencia citada en esta), recordando las líneas más importantes de esa doctrina, de las que interesa destacar las siguientes.</w:t>
      </w:r>
    </w:p>
    <w:p w14:paraId="2226745A" w14:textId="77777777" w:rsidR="003754FE" w:rsidRDefault="003754FE" w:rsidP="003754FE">
      <w:pPr>
        <w:pStyle w:val="TextoNormal"/>
      </w:pPr>
    </w:p>
    <w:p w14:paraId="31BC7EB9" w14:textId="77777777" w:rsidR="003754FE" w:rsidRDefault="003754FE" w:rsidP="003754FE">
      <w:pPr>
        <w:pStyle w:val="TextoNormal"/>
      </w:pPr>
      <w:r>
        <w:t xml:space="preserve">a) Por lo que se refiere a las obligaciones derivadas del art. 325.1 TFUE, esta disposición impone a los Estados miembros el deber de luchar contra el fraude y </w:t>
      </w:r>
      <w:r w:rsidRPr="003754FE">
        <w:rPr>
          <w:i/>
        </w:rPr>
        <w:t>toda actividad ilegal que afecte a los intereses financieros</w:t>
      </w:r>
      <w:r>
        <w:t xml:space="preserve"> de la Unión mediante medidas disuasorias y eficaces. Medidas de lucha que deben ser equivalentes a las medidas implementadas en el ámbito nacional.</w:t>
      </w:r>
    </w:p>
    <w:p w14:paraId="33363A7A" w14:textId="77777777" w:rsidR="003754FE" w:rsidRDefault="003754FE" w:rsidP="003754FE">
      <w:pPr>
        <w:pStyle w:val="TextoNormal"/>
      </w:pPr>
    </w:p>
    <w:p w14:paraId="3DD329D9" w14:textId="77777777" w:rsidR="003754FE" w:rsidRDefault="003754FE" w:rsidP="003754FE">
      <w:pPr>
        <w:pStyle w:val="TextoNormal"/>
      </w:pPr>
      <w:r>
        <w:t xml:space="preserve">b) Por otra parte, en lo referente a la expresión “toda actividad ilegal”, que figura en el art. 325.1 TFUE, recuerda el Tribunal de Justicia que ese concepto comprende en particular todo acto de corrupción de los funcionarios o todo </w:t>
      </w:r>
      <w:r w:rsidRPr="003754FE">
        <w:rPr>
          <w:i/>
        </w:rPr>
        <w:t>abuso</w:t>
      </w:r>
      <w:r>
        <w:t xml:space="preserve">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acción, como ocurre, por ejemplo, </w:t>
      </w:r>
      <w:r w:rsidRPr="003754FE">
        <w:rPr>
          <w:i/>
        </w:rPr>
        <w:t>con la omisión por parte de un funcionario de efectuar los controles y las comprobaciones exigidas respecto de los gastos cubiertos por el presupuesto de la Unión o la autorización de gastos inadecuados o incorrectos de los fondos de la Unión.</w:t>
      </w:r>
    </w:p>
    <w:p w14:paraId="3B3ECAD5" w14:textId="77777777" w:rsidR="003754FE" w:rsidRDefault="003754FE" w:rsidP="003754FE">
      <w:pPr>
        <w:pStyle w:val="TextoNormal"/>
      </w:pPr>
    </w:p>
    <w:p w14:paraId="24B696EC" w14:textId="77777777" w:rsidR="003754FE" w:rsidRDefault="003754FE" w:rsidP="003754FE">
      <w:pPr>
        <w:pStyle w:val="TextoNormal"/>
      </w:pPr>
      <w:r>
        <w:t xml:space="preserve">c) Además, subraya el Tribunal de Justicia que los Estados deben garantizar que las normas de Derecho penal y de procedimiento penal permitan una represión eficaz de los delitos de fraude que afecten a los intereses financieros de la Unión y </w:t>
      </w:r>
      <w:r w:rsidRPr="003754FE">
        <w:rPr>
          <w:i/>
        </w:rPr>
        <w:t>de corrupción en general.</w:t>
      </w:r>
      <w:r>
        <w:t xml:space="preserve"> Esta exigencia de efectividad se extiende necesariamente tanto a las acciones penales y a las sanciones de los delitos de fraude que afecten a los intereses financieros de la Unión y de </w:t>
      </w:r>
      <w:r w:rsidRPr="003754FE">
        <w:rPr>
          <w:i/>
        </w:rPr>
        <w:t>corrupción en general</w:t>
      </w:r>
      <w:r>
        <w:t xml:space="preserve"> como a la aplicación de las penas impuestas, en la medida en que, de no existir una ejecución efectiva de las sanciones, estas no pueden ser eficaces y disuasorias; todo ello para evitar un </w:t>
      </w:r>
      <w:r w:rsidRPr="003754FE">
        <w:rPr>
          <w:i/>
        </w:rPr>
        <w:t>riesgo sistémico de impunidad</w:t>
      </w:r>
      <w:r>
        <w:t xml:space="preserve"> de los hechos constitutivos de tales delitos, así como garantizar la protección de los derechos fundamentales de las personas acusadas.</w:t>
      </w:r>
    </w:p>
    <w:p w14:paraId="2AD9DD62" w14:textId="77777777" w:rsidR="003754FE" w:rsidRDefault="003754FE" w:rsidP="003754FE">
      <w:pPr>
        <w:pStyle w:val="TextoNormal"/>
      </w:pPr>
    </w:p>
    <w:p w14:paraId="3360BFA4" w14:textId="77777777" w:rsidR="003754FE" w:rsidRDefault="003754FE" w:rsidP="003754FE">
      <w:pPr>
        <w:pStyle w:val="TextoNormal"/>
      </w:pPr>
      <w:r>
        <w:lastRenderedPageBreak/>
        <w:t xml:space="preserve">Por otra parte, a los órganos jurisdiccionales nacionales les corresponde dar plenos efectos a las obligaciones que resultan del art. 325.1 TFUE, así como de la Decisión 2006/928, y </w:t>
      </w:r>
      <w:r w:rsidRPr="003754FE">
        <w:rPr>
          <w:i/>
        </w:rPr>
        <w:t>dejar sin aplicación disposiciones internas que, en el marco de un procedimiento relativo a delitos graves de fraude que afecten a los intereses financieros de la Unión o a delitos de corrupción en general, impiden la aplicación de sanciones eficaces y disuasorias para luchar contra tales delitos.</w:t>
      </w:r>
    </w:p>
    <w:p w14:paraId="48A903E4" w14:textId="77777777" w:rsidR="003754FE" w:rsidRDefault="003754FE" w:rsidP="003754FE">
      <w:pPr>
        <w:pStyle w:val="TextoNormal"/>
      </w:pPr>
    </w:p>
    <w:p w14:paraId="2DF6346C" w14:textId="77777777" w:rsidR="003754FE" w:rsidRDefault="003754FE" w:rsidP="003754FE">
      <w:pPr>
        <w:pStyle w:val="TextoNormal"/>
      </w:pPr>
      <w:r>
        <w:t xml:space="preserve">Pues bien, teniendo en cuenta que, </w:t>
      </w:r>
      <w:r w:rsidRPr="003754FE">
        <w:rPr>
          <w:i/>
        </w:rPr>
        <w:t>ex</w:t>
      </w:r>
      <w:r>
        <w:t xml:space="preserve">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la recurrente. Lo que entre otras cosas significa que no existe razón para entender que el control interno de esa gestión de fondos públicos deba ser menos intenso que el que se aplicaría si los fondos malversados hubieran sido europeos.</w:t>
      </w:r>
    </w:p>
    <w:p w14:paraId="69A20F36" w14:textId="77777777" w:rsidR="003754FE" w:rsidRDefault="003754FE" w:rsidP="003754FE">
      <w:pPr>
        <w:pStyle w:val="TextoNormal"/>
      </w:pPr>
    </w:p>
    <w:p w14:paraId="3AFF1B92" w14:textId="77777777" w:rsidR="003754FE" w:rsidRDefault="003754FE" w:rsidP="003754FE">
      <w:pPr>
        <w:pStyle w:val="TextoNormal"/>
      </w:pPr>
      <w:r>
        <w:t>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la recurrente y el resto de implicados de la Junta de Andalucía pretendiesen mediante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14:paraId="6A9825F2" w14:textId="77777777" w:rsidR="003754FE" w:rsidRDefault="003754FE" w:rsidP="003754FE">
      <w:pPr>
        <w:pStyle w:val="TextoNormal"/>
      </w:pPr>
    </w:p>
    <w:p w14:paraId="3AD44555" w14:textId="77777777" w:rsidR="003754FE" w:rsidRDefault="003754FE" w:rsidP="003754FE">
      <w:pPr>
        <w:pStyle w:val="TextoNormal"/>
      </w:pPr>
      <w:r>
        <w:t>En todo caso, es cierto que ha quedado acreditado, como resulta de las sentencias impugnadas en amparo, que en el conocido como “caso de los ERE de Andalucía” se buscó de manera intencionada la elusión de los controles ordinarios del gasto público, lo que supuso 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14:paraId="2407FBDC" w14:textId="77777777" w:rsidR="003754FE" w:rsidRDefault="003754FE" w:rsidP="003754FE">
      <w:pPr>
        <w:pStyle w:val="TextoNormal"/>
      </w:pPr>
    </w:p>
    <w:p w14:paraId="253850AB" w14:textId="77777777" w:rsidR="003754FE" w:rsidRDefault="003754FE" w:rsidP="003754FE">
      <w:pPr>
        <w:pStyle w:val="TextoNormal"/>
      </w:pPr>
      <w:r>
        <w:t xml:space="preserve">En definitiva, llama poderosamente la atención el elocuente contraste entre la protección reforzada que la Unión Europea atribuye al delito de malversación de caudales públicos y la respuesta dada por esta y las restantes sentencias de este tribunal a uno de los casos más graves de corrupción política institucionalizada en España. Una sentencia que no ha dudado en desbordar los límites del control que a este tribunal corresponde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w:t>
      </w:r>
      <w:r>
        <w:lastRenderedPageBreak/>
        <w:t>penal que no puede calificarse de imprevisible ni irrazonable, habían condenado a la demandante de amparo como autora de un delito de prevaricación en concurso medial con un delito de malversación. Por eso, resulta especialmente difícil conciliar la decisión de la sentencia de este tribunal, que conduce a la postre a dejar impunes unas conductas de especial gravedad cometidas por unos concretos responsables políticos en el desempeño de sus funciones públicas, con el esfuerzo de la Unión Europea por eliminar márgenes de impunidad para los malversadores.</w:t>
      </w:r>
    </w:p>
    <w:p w14:paraId="29B91BEE" w14:textId="77777777" w:rsidR="003754FE" w:rsidRDefault="003754FE" w:rsidP="003754FE">
      <w:pPr>
        <w:pStyle w:val="TextoNormal"/>
      </w:pPr>
    </w:p>
    <w:p w14:paraId="196502EB" w14:textId="77777777" w:rsidR="003754FE" w:rsidRDefault="003754FE" w:rsidP="003754FE">
      <w:pPr>
        <w:pStyle w:val="TextoNormal"/>
      </w:pPr>
      <w:r>
        <w:t xml:space="preserve">5. </w:t>
      </w:r>
      <w:r w:rsidRPr="003754FE">
        <w:rPr>
          <w:i/>
        </w:rPr>
        <w:t>Colofón: las sentencias impugnadas en amparo no vulneraron los derechos de la recurrente a la legalidad penal y a la presunción de inocencia de la recurrente</w:t>
      </w:r>
    </w:p>
    <w:p w14:paraId="1B786F38" w14:textId="77777777" w:rsidR="003754FE" w:rsidRDefault="003754FE" w:rsidP="003754FE">
      <w:pPr>
        <w:pStyle w:val="TextoNormal"/>
      </w:pPr>
    </w:p>
    <w:p w14:paraId="5145812F" w14:textId="77777777" w:rsidR="003754FE" w:rsidRDefault="003754FE" w:rsidP="003754FE">
      <w:pPr>
        <w:pStyle w:val="TextoNormal"/>
      </w:pPr>
      <w:r>
        <w:t>Como conclusión a cuanto ha quedado antes expuesto, considero que las sentencias recurridas en amparo han efectuado una interpretación razonada de los elementos típicos de los delitos de prevaricación y malversación, y que su aplicación al caso en dichas resoluciones judiciales supera sin dificultad el canon de control referido a la prohibición de interpretaciones “ilógicas” o “arbitrarias” que impone el art. 25.1 CE, conforme a la doctrina consolidada de este tribunal. La subsunción de la conducta de la recurrente, a partir de los hechos declarados probados [sobre los que a este tribunal nada le cabe decir: art. 44.1 b) LOTC], en los delitos de prevaricación y malversación, que han efectuado la Audiencia Provincial de Sevilla y especialmente el Tribunal Supremo como órgano jurisdiccional superior en la materia (art. 123.1 CE), no es irrazonable ni imprevisible ni, por consiguiente, contraria al derecho fundamental a la legalidad penal que garantiza el art. 25.1 CE.</w:t>
      </w:r>
    </w:p>
    <w:p w14:paraId="44EB75DA" w14:textId="77777777" w:rsidR="003754FE" w:rsidRDefault="003754FE" w:rsidP="003754FE">
      <w:pPr>
        <w:pStyle w:val="TextoNormal"/>
      </w:pPr>
    </w:p>
    <w:p w14:paraId="7E7CD001" w14:textId="77777777" w:rsidR="003754FE" w:rsidRDefault="003754FE" w:rsidP="003754FE">
      <w:pPr>
        <w:pStyle w:val="TextoNormal"/>
      </w:pPr>
      <w:r>
        <w:t>Tampoco vulneran las sentencias impugnadas el derecho a la presunción de inocencia (art. 24.2 CE), frente a lo que sostiene este tribunal, pues la condena de la recurrente se fundamenta en pruebas de cargo practicadas en el juicio oral con plenas garantías de inmediación, contradicción y defensa, y susceptibles de enervar esa presunción más allá de toda duda razonable, como resulta de las resoluciones judiciales impugnadas en amparo. La sentencia de este tribunal incurre en un claro exceso de jurisdicción, al suplantar a los órganos judiciales del orden penal en la función que constitucionalmente les correspond</w:t>
      </w:r>
      <w:r w:rsidRPr="003754FE">
        <w:rPr>
          <w:i/>
        </w:rPr>
        <w:t xml:space="preserve">e </w:t>
      </w:r>
      <w:r>
        <w:t>ex art. 117.3 CE.</w:t>
      </w:r>
    </w:p>
    <w:p w14:paraId="077E9177" w14:textId="77777777" w:rsidR="003754FE" w:rsidRDefault="003754FE" w:rsidP="003754FE">
      <w:pPr>
        <w:pStyle w:val="TextoNormal"/>
      </w:pPr>
    </w:p>
    <w:p w14:paraId="68F36CC8" w14:textId="77777777" w:rsidR="003754FE" w:rsidRDefault="003754FE" w:rsidP="003754FE">
      <w:pPr>
        <w:pStyle w:val="TextoNormal"/>
      </w:pPr>
      <w:r>
        <w:t>Por todo ello, considero que el recurso de amparo debió ser íntegramente desestimado.</w:t>
      </w:r>
    </w:p>
    <w:p w14:paraId="07BE63EA" w14:textId="77777777" w:rsidR="003754FE" w:rsidRDefault="003754FE" w:rsidP="003754FE">
      <w:pPr>
        <w:pStyle w:val="TextoNormal"/>
      </w:pPr>
    </w:p>
    <w:p w14:paraId="13BF8EBD" w14:textId="77777777" w:rsidR="003754FE" w:rsidRDefault="003754FE" w:rsidP="003754FE">
      <w:pPr>
        <w:pStyle w:val="TextoNormal"/>
      </w:pPr>
      <w:r>
        <w:t>6</w:t>
      </w:r>
      <w:r w:rsidRPr="003754FE">
        <w:rPr>
          <w:i/>
        </w:rPr>
        <w:t>. A modo de epílogo decepcionado, con una necesaria llamada de advertenc</w:t>
      </w:r>
      <w:r>
        <w:t>ia</w:t>
      </w:r>
    </w:p>
    <w:p w14:paraId="702DAFF8" w14:textId="77777777" w:rsidR="003754FE" w:rsidRDefault="003754FE" w:rsidP="003754FE">
      <w:pPr>
        <w:pStyle w:val="TextoNormal"/>
      </w:pPr>
    </w:p>
    <w:p w14:paraId="611C7F91" w14:textId="77777777" w:rsidR="003754FE" w:rsidRDefault="003754FE" w:rsidP="003754FE">
      <w:pPr>
        <w:pStyle w:val="TextoNormal"/>
      </w:pPr>
      <w:r>
        <w:t>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14:paraId="229D16B2" w14:textId="77777777" w:rsidR="003754FE" w:rsidRDefault="003754FE" w:rsidP="003754FE">
      <w:pPr>
        <w:pStyle w:val="TextoNormal"/>
      </w:pPr>
    </w:p>
    <w:p w14:paraId="39B4288A" w14:textId="77777777" w:rsidR="003754FE" w:rsidRDefault="003754FE" w:rsidP="003754FE">
      <w:pPr>
        <w:pStyle w:val="TextoNormal"/>
      </w:pPr>
      <w:r>
        <w:t xml:space="preserve">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w:t>
      </w:r>
      <w:r>
        <w:lastRenderedPageBreak/>
        <w:t>prestidigitador, pues las leyes de presupuestos andaluzas a las que se refiere la sentencia de este tribunal en ningún momento establecen aquello que esta sentencia afirma, la pretendida modificación o eliminación del régimen de controles de las ayudas y subvenciones previsto en la normativa aplicable.</w:t>
      </w:r>
    </w:p>
    <w:p w14:paraId="18A1F26A" w14:textId="77777777" w:rsidR="003754FE" w:rsidRDefault="003754FE" w:rsidP="003754FE">
      <w:pPr>
        <w:pStyle w:val="TextoNormal"/>
      </w:pPr>
    </w:p>
    <w:p w14:paraId="11C88185" w14:textId="77777777" w:rsidR="003754FE" w:rsidRDefault="003754FE" w:rsidP="003754FE">
      <w:pPr>
        <w:pStyle w:val="TextoNormal"/>
      </w:pPr>
      <w:r>
        <w:t>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precepto de la ley de presupuestos remite, por ser esas partidas presupuestarias necesarias para dar cumplimiento al mandato que aquel precepto contiene.</w:t>
      </w:r>
    </w:p>
    <w:p w14:paraId="0D9E2081" w14:textId="77777777" w:rsidR="003754FE" w:rsidRDefault="003754FE" w:rsidP="003754FE">
      <w:pPr>
        <w:pStyle w:val="TextoNormal"/>
      </w:pPr>
    </w:p>
    <w:p w14:paraId="4D1303C6" w14:textId="77777777" w:rsidR="003754FE" w:rsidRDefault="003754FE" w:rsidP="003754FE">
      <w:pPr>
        <w:pStyle w:val="TextoNormal"/>
      </w:pPr>
      <w:r>
        <w:t>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14:paraId="13230761" w14:textId="77777777" w:rsidR="003754FE" w:rsidRDefault="003754FE" w:rsidP="003754FE">
      <w:pPr>
        <w:pStyle w:val="TextoNormal"/>
      </w:pPr>
    </w:p>
    <w:p w14:paraId="603D7680" w14:textId="77777777" w:rsidR="003754FE" w:rsidRDefault="003754FE" w:rsidP="003754FE">
      <w:pPr>
        <w:pStyle w:val="TextoNormal"/>
      </w:pPr>
      <w:r>
        <w:t>Si, como decía García de Enterría, la justicia constitucional trata los problemas políticos con criterios jurídicos, poniendo la razón, la razón del Derecho, donde otros ponen otros motivos, pasiones o subjetivismos varios, me parece incuestionable que la presente sentencia, de la que respetuosa pero enérgicamente discrepo, hace tambalearse los pilares básicos del Estado de Derecho, por cuanto:</w:t>
      </w:r>
    </w:p>
    <w:p w14:paraId="36291148" w14:textId="77777777" w:rsidR="003754FE" w:rsidRDefault="003754FE" w:rsidP="003754FE">
      <w:pPr>
        <w:pStyle w:val="TextoNormal"/>
      </w:pPr>
    </w:p>
    <w:p w14:paraId="5B1D4209" w14:textId="77777777" w:rsidR="003754FE" w:rsidRDefault="003754FE" w:rsidP="003754FE">
      <w:pPr>
        <w:pStyle w:val="TextoNormal"/>
      </w:pPr>
      <w:r>
        <w:t>(i)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14:paraId="6E5E673E" w14:textId="77777777" w:rsidR="003754FE" w:rsidRDefault="003754FE" w:rsidP="003754FE">
      <w:pPr>
        <w:pStyle w:val="TextoNormal"/>
      </w:pPr>
    </w:p>
    <w:p w14:paraId="6042ED73" w14:textId="77777777" w:rsidR="003754FE" w:rsidRDefault="003754FE" w:rsidP="003754FE">
      <w:pPr>
        <w:pStyle w:val="TextoNormal"/>
      </w:pPr>
      <w:r>
        <w:t xml:space="preserve">(ii)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w:t>
      </w:r>
      <w:r>
        <w:lastRenderedPageBreak/>
        <w:t>olvidando que la jurisdicción constitucional debe evitar (por su propia naturaleza de jurisdicción de garantías) caer por desfiladeros abruptos.</w:t>
      </w:r>
    </w:p>
    <w:p w14:paraId="40BD26A4" w14:textId="77777777" w:rsidR="003754FE" w:rsidRDefault="003754FE" w:rsidP="003754FE">
      <w:pPr>
        <w:pStyle w:val="TextoNormal"/>
      </w:pPr>
    </w:p>
    <w:p w14:paraId="5BE4247B" w14:textId="77777777" w:rsidR="003754FE" w:rsidRDefault="003754FE" w:rsidP="003754FE">
      <w:pPr>
        <w:pStyle w:val="TextoNormal"/>
      </w:pPr>
      <w:r>
        <w:t>(iii) Contraviene los arts. 9.3, 31.2, 103.1, 105 y 106.1 CE, al dejar de lado los principios en que se ha de basa</w:t>
      </w:r>
      <w:r w:rsidRPr="003754FE">
        <w:rPr>
          <w:i/>
        </w:rPr>
        <w:t>r ex constitutio</w:t>
      </w:r>
      <w:r>
        <w:t>ne la actuación de la administración pública.</w:t>
      </w:r>
    </w:p>
    <w:p w14:paraId="0D6BF521" w14:textId="77777777" w:rsidR="003754FE" w:rsidRDefault="003754FE" w:rsidP="003754FE">
      <w:pPr>
        <w:pStyle w:val="TextoNormal"/>
      </w:pPr>
    </w:p>
    <w:p w14:paraId="3877216B" w14:textId="77777777" w:rsidR="003754FE" w:rsidRDefault="003754FE" w:rsidP="003754FE">
      <w:pPr>
        <w:pStyle w:val="TextoNormal"/>
      </w:pPr>
      <w:r>
        <w:t>(iv)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14:paraId="23CC4547" w14:textId="77777777" w:rsidR="003754FE" w:rsidRDefault="003754FE" w:rsidP="003754FE">
      <w:pPr>
        <w:pStyle w:val="TextoNormal"/>
      </w:pPr>
    </w:p>
    <w:p w14:paraId="4A904993" w14:textId="77777777" w:rsidR="003754FE" w:rsidRDefault="003754FE" w:rsidP="003754FE">
      <w:pPr>
        <w:pStyle w:val="TextoNormal"/>
      </w:pPr>
      <w:r>
        <w:t>(v) Y, en fin, contraviene los principios nucleares en la materia del Derecho de la Unión Europea.</w:t>
      </w:r>
    </w:p>
    <w:p w14:paraId="2E0836AB" w14:textId="77777777" w:rsidR="003754FE" w:rsidRDefault="003754FE" w:rsidP="003754FE">
      <w:pPr>
        <w:pStyle w:val="TextoNormal"/>
      </w:pPr>
    </w:p>
    <w:p w14:paraId="2DE691C1" w14:textId="77777777" w:rsidR="003754FE" w:rsidRDefault="003754FE" w:rsidP="003754FE">
      <w:pPr>
        <w:pStyle w:val="TextoNormal"/>
      </w:pPr>
      <w:r>
        <w:t>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No estará de más recordar que quien fuera presidente de este tribunal, el magistrado Tomás y Valiente, ya aludió en 1994, en una conferencia titulada “La Constitución y el Tribunal Constitucional”, a “la importancia de las deliberaciones y a 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14:paraId="1A77FCF1" w14:textId="77777777" w:rsidR="003754FE" w:rsidRDefault="003754FE" w:rsidP="003754FE">
      <w:pPr>
        <w:pStyle w:val="TextoNormal"/>
      </w:pPr>
    </w:p>
    <w:p w14:paraId="246BF5DE" w14:textId="082F6B91" w:rsidR="003754FE" w:rsidRDefault="003754FE" w:rsidP="003754FE">
      <w:pPr>
        <w:pStyle w:val="TextoNormal"/>
      </w:pPr>
      <w:r>
        <w:t>Madrid, a tres de julio de dos mil veinticuatro.</w:t>
      </w:r>
    </w:p>
    <w:p w14:paraId="59013D4E" w14:textId="77777777" w:rsidR="003754FE" w:rsidRDefault="003754FE" w:rsidP="003754FE">
      <w:pPr>
        <w:pStyle w:val="TextoNormal"/>
      </w:pPr>
    </w:p>
    <w:p w14:paraId="54935516" w14:textId="77777777" w:rsidR="003754FE" w:rsidRDefault="003754FE" w:rsidP="003754FE">
      <w:pPr>
        <w:pStyle w:val="TextoNormalNegritaCentrado"/>
        <w:keepNext/>
      </w:pPr>
      <w:r>
        <w:t>Voto particular que formulan los magistrados don César Tolosa Tribiño y doña Concepción Espejel Jorquera a la sentencia dictada en el recurso de amparo núm. 2391-2023 interpuesto por doña Carmen Martínez Aguayo</w:t>
      </w:r>
    </w:p>
    <w:p w14:paraId="69F25F15" w14:textId="12369F8B" w:rsidR="003754FE" w:rsidRDefault="003754FE" w:rsidP="003754FE">
      <w:pPr>
        <w:pStyle w:val="TextoNormalNegritaCentrado"/>
        <w:keepNext/>
      </w:pPr>
    </w:p>
    <w:p w14:paraId="3438ABA8" w14:textId="77777777" w:rsidR="003754FE" w:rsidRDefault="003754FE" w:rsidP="003754FE">
      <w:pPr>
        <w:pStyle w:val="TextoNormal"/>
      </w:pPr>
      <w:r>
        <w:t>En el ejercicio de la facultad que nos confiere el artículo 90.2 de la Ley Orgánica del Tribunal Constitucional, formulamos el presente voto particular. Consideramos que el recurso de amparo debió ser inicialmente inadmitido —como ya se expuso en el voto particular al ATC 293/2023, de 5 de junio— y una vez admitido desestimado, por las razones que se exponen a continuación.</w:t>
      </w:r>
    </w:p>
    <w:p w14:paraId="044FDF59" w14:textId="77777777" w:rsidR="003754FE" w:rsidRDefault="003754FE" w:rsidP="003754FE">
      <w:pPr>
        <w:pStyle w:val="TextoNormal"/>
      </w:pPr>
    </w:p>
    <w:p w14:paraId="31865E73" w14:textId="77777777" w:rsidR="003754FE" w:rsidRDefault="003754FE" w:rsidP="003754FE">
      <w:pPr>
        <w:pStyle w:val="TextoNormal"/>
      </w:pPr>
      <w:r>
        <w:t xml:space="preserve">La presente sentencia se construye argumentalmente aplicando el razonamiento de las sentencias de este tribunal ya deliberadas y aprobadas que resuelven los recursos de amparo interpuestos por doña Magdalena Álvarez Arza (recurso de amparo 6971-2022), don Miguel Ángel Serrano Aguilar (recurso de amparo 2136-2023), don Antonio Fernández García (recurso de amparo 2348-2023), don Francisco Vallejo Serrano (recurso de amparo 2360-2023) y don Jesús María Rodríguez Román (recurso de amparo 2361-2023), en los que se </w:t>
      </w:r>
      <w:r>
        <w:lastRenderedPageBreak/>
        <w:t>reconoce bien exclusivamente la vulneración del derecho a la legalidad penal —en relación con el delito de prevaricación administrativa y/o el de malversación— y/o también la del derecho a la presunción de inocencia.</w:t>
      </w:r>
    </w:p>
    <w:p w14:paraId="244C8B9D" w14:textId="77777777" w:rsidR="003754FE" w:rsidRDefault="003754FE" w:rsidP="003754FE">
      <w:pPr>
        <w:pStyle w:val="TextoNormal"/>
      </w:pPr>
    </w:p>
    <w:p w14:paraId="150FC98B" w14:textId="77777777" w:rsidR="003754FE" w:rsidRDefault="003754FE" w:rsidP="003754FE">
      <w:pPr>
        <w:pStyle w:val="TextoNormal"/>
      </w:pPr>
      <w:r>
        <w:t>1. Consideraciones comunes a todas las sentencias de los casos ERE</w:t>
      </w:r>
    </w:p>
    <w:p w14:paraId="17902581" w14:textId="77777777" w:rsidR="003754FE" w:rsidRDefault="003754FE" w:rsidP="003754FE">
      <w:pPr>
        <w:pStyle w:val="TextoNormal"/>
      </w:pPr>
    </w:p>
    <w:p w14:paraId="52A453C2" w14:textId="77777777" w:rsidR="003754FE" w:rsidRDefault="003754FE" w:rsidP="003754FE">
      <w:pPr>
        <w:pStyle w:val="TextoNormal"/>
      </w:pPr>
      <w:r>
        <w:t>a) Debe indicarse que todas las sentencias que resuelven los recursos de amparo relativas a las condenas por los denominados “ERE”, dan una respuesta estandarizada cuando se enfrentan a la vulneración del derecho a la legalidad penal (art. 25.1 CE) sea en su proyección a las condenas por prevaricación o por malversación y ello con independencia del contenido de las demandas e incluso prescindiendo de que tal derecho haya sido o no invocado. Existe una predeterminación argumental que margina el contenido de los recursos, se desvincula de los mismos, los orilla, procediendo incluso en relación con la vulneración del derecho a la legalidad penal proyectado sobre el delito de malversación de caudales públicos a una prohibida reconstrucción de la queja o directamente a dar respuesta a una queja inexistente.</w:t>
      </w:r>
    </w:p>
    <w:p w14:paraId="53CA5A8B" w14:textId="77777777" w:rsidR="003754FE" w:rsidRDefault="003754FE" w:rsidP="003754FE">
      <w:pPr>
        <w:pStyle w:val="TextoNormal"/>
      </w:pPr>
    </w:p>
    <w:p w14:paraId="160C75E0" w14:textId="77777777" w:rsidR="003754FE" w:rsidRDefault="003754FE" w:rsidP="003754FE">
      <w:pPr>
        <w:pStyle w:val="TextoNormal"/>
      </w:pPr>
      <w:r>
        <w:t xml:space="preserve">b) La doctrina plasmada en las sentencias produce el resultado de exonerar de responsabilidad a los miembros del Gobierno de la Junta de Andalucía en todo lo concerniente a la elaboración, aprobación y ejecución de los presupuestos y a las enmiendas presupuestarias o su ejecución. Los declara </w:t>
      </w:r>
      <w:r w:rsidRPr="003754FE">
        <w:rPr>
          <w:i/>
        </w:rPr>
        <w:t>de facto</w:t>
      </w:r>
      <w:r>
        <w:t xml:space="preserve"> irresponsables y extiende sobre ellos un privilegio de inviolabilidad e inmunidad.</w:t>
      </w:r>
    </w:p>
    <w:p w14:paraId="24E9DD21" w14:textId="77777777" w:rsidR="003754FE" w:rsidRDefault="003754FE" w:rsidP="003754FE">
      <w:pPr>
        <w:pStyle w:val="TextoNormal"/>
      </w:pPr>
    </w:p>
    <w:p w14:paraId="5E502005" w14:textId="77777777" w:rsidR="003754FE" w:rsidRDefault="003754FE" w:rsidP="003754FE">
      <w:pPr>
        <w:pStyle w:val="TextoNormal"/>
      </w:pPr>
      <w:r>
        <w:t xml:space="preserve">c) Tal doctrina es inasumible pues deja al margen de todo control aquello que tenga que ver con la actividad presupuestaria desde la fase inicial de elaboración de los presupuestos a la fase final de su ejecución y con ello se desprotege la indemnidad del patrimonio público, el correcto funcionamiento de la actividad patrimonial del Estado, la confianza de la sociedad en el manejo honesto de los fondos públicos y los deberes de fidelidad y transparencia que tienen los funcionarios públicos a cuyo cargo se encuentran los bienes de la administración pública. Dicha doctrina incumple las exigencias internacionales de lucha contra la corrupción política y cuando tenga proyección en la protección de los intereses financieros de la Unión Europea producirá un incumplimiento de las obligaciones de España, incompatible con lo dispuesto en el artículo 325.1 del Tratado de funcionamiento de la Unión Europea (TFUE), de luchar contra el fraude y contra toda actividad ilegal que afecte a los intereses financieros de la Unión, de prevenir y combatir la corrupción en general y de prever la aplicación de sanciones eficaces y disuasorias en caso de que tales infracciones se produzcan (SSTJUE de 21 de diciembre de 2021, </w:t>
      </w:r>
      <w:r w:rsidRPr="003754FE">
        <w:rPr>
          <w:i/>
        </w:rPr>
        <w:t>Euro Box Promotion</w:t>
      </w:r>
      <w:r>
        <w:t xml:space="preserve">, asunto C-357/19, § 184-187 y 193-194, y de 24 de julio de 2023, </w:t>
      </w:r>
      <w:r w:rsidRPr="003754FE">
        <w:rPr>
          <w:i/>
        </w:rPr>
        <w:t>Lin</w:t>
      </w:r>
      <w:r>
        <w:t xml:space="preserve">, asunto C-107/23 PPU, § 83-84, 86, y 91-94 y auto de la Sala Sexta del Tribunal de Justicia de la Unión Europea de 7 de noviembre de 2022, </w:t>
      </w:r>
      <w:r w:rsidRPr="003754FE">
        <w:rPr>
          <w:i/>
        </w:rPr>
        <w:t>FX y otros</w:t>
      </w:r>
      <w:r>
        <w:t>, asuntos acumulados C 859/19, C 926/19 y C 929/19, § 92).</w:t>
      </w:r>
    </w:p>
    <w:p w14:paraId="0CF5FE6D" w14:textId="77777777" w:rsidR="003754FE" w:rsidRDefault="003754FE" w:rsidP="003754FE">
      <w:pPr>
        <w:pStyle w:val="TextoNormal"/>
      </w:pPr>
    </w:p>
    <w:p w14:paraId="1D1F694A" w14:textId="77777777" w:rsidR="003754FE" w:rsidRDefault="003754FE" w:rsidP="003754FE">
      <w:pPr>
        <w:pStyle w:val="TextoNormal"/>
      </w:pPr>
      <w:r>
        <w:t>d) La impunidad que establece la sentencia se aplica: (i) a quienes elaboraron los proyectos de ley o las modificaciones presupuestarias para provisionar fondos al IFA/IDEA mediante un instrumento lícito, las “transferencias de financiación”, con la finalidad de preparar el camino para que otros miembros del Gobierno pudieran destinar tales provisiones a fines no previstos en el presupuesto, las “ayudas sociolaborales”; (ii) a quienes al ejecutar el programa presupuestario en lugar de aplicar los fondos a gastos de explotación dispusieron de los mismos de modo libérrimo como si fueran propios o permitieron conscientemente, teniendo la obligación de impedirlo, que otros efectuaran tales disposiciones.</w:t>
      </w:r>
    </w:p>
    <w:p w14:paraId="644A7BA8" w14:textId="77777777" w:rsidR="003754FE" w:rsidRDefault="003754FE" w:rsidP="003754FE">
      <w:pPr>
        <w:pStyle w:val="TextoNormal"/>
      </w:pPr>
    </w:p>
    <w:p w14:paraId="68E3D6B7" w14:textId="77777777" w:rsidR="003754FE" w:rsidRDefault="003754FE" w:rsidP="003754FE">
      <w:pPr>
        <w:pStyle w:val="TextoNormal"/>
      </w:pPr>
      <w:r>
        <w:t xml:space="preserve">e) En todos los casos esa irresponsabilidad e imposibilidad de control se apoya en una construcción artificiosa a modo de </w:t>
      </w:r>
      <w:r w:rsidRPr="003754FE">
        <w:rPr>
          <w:i/>
        </w:rPr>
        <w:t>mantra</w:t>
      </w:r>
      <w:r>
        <w:t xml:space="preserve"> jurídico que carece de sustento racional y de apoyo en la sentencia del Tribunal Supremo y que se repite en todas las ponencias como piedra angular para afirmar la vulneración del derecho a la legalidad penal: quien obra amparado por la ley de presupuestos no puede prevaricar ni puede malversar caudales públicos.</w:t>
      </w:r>
    </w:p>
    <w:p w14:paraId="2DF3E478" w14:textId="77777777" w:rsidR="003754FE" w:rsidRDefault="003754FE" w:rsidP="003754FE">
      <w:pPr>
        <w:pStyle w:val="TextoNormal"/>
      </w:pPr>
    </w:p>
    <w:p w14:paraId="3B1489DE" w14:textId="77777777" w:rsidR="003754FE" w:rsidRDefault="003754FE" w:rsidP="003754FE">
      <w:pPr>
        <w:pStyle w:val="TextoNormal"/>
      </w:pPr>
      <w:r>
        <w:t>Sin embargo, ninguno de los condenados estaba amparado por las sucesivas leyes de presupuestos para cometer los delitos. Las leyes no delinquieron, eran neutras en la previsión de transferencias de financiación para gastos de explotación. Quienes delinquieron fueron quienes previeron las trasferencias de financiación de modo innecesario con la idea de que otros tuvieran recursos para destinarlos a fines ajenos a los presupuestados. Así lo afirma el Tribunal Supremo cuando indica que la actuación de desvío de fondos no venía obligada por los presupuestos. O cuando refiere que “no puede afirmarse que [el Parlamento]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w:t>
      </w:r>
    </w:p>
    <w:p w14:paraId="173FBC95" w14:textId="77777777" w:rsidR="003754FE" w:rsidRDefault="003754FE" w:rsidP="003754FE">
      <w:pPr>
        <w:pStyle w:val="TextoNormal"/>
      </w:pPr>
    </w:p>
    <w:p w14:paraId="63E49B4D" w14:textId="77777777" w:rsidR="003754FE" w:rsidRDefault="003754FE" w:rsidP="003754FE">
      <w:pPr>
        <w:pStyle w:val="TextoNormal"/>
      </w:pPr>
      <w:r>
        <w:t xml:space="preserve">f) Ese mismo </w:t>
      </w:r>
      <w:r w:rsidRPr="003754FE">
        <w:rPr>
          <w:i/>
        </w:rPr>
        <w:t>mantra</w:t>
      </w:r>
      <w:r>
        <w:t xml:space="preserve"> jurídico sirve de modo inconsistente para distinguir, a los efectos de resolver la vulneración del derecho a la legalidad penal, entre aquellas modificaciones presupuestarias o disposiciones de fondos según tuvieran o no amparo en el sistema de presupuestación del programa 31L. Como se ha indicado el mencionado programa no determinaba que las trasferencias de financiación con que el mismo se dotaba pudieran destinarse a fines distintos a los de gastos de explotación.</w:t>
      </w:r>
    </w:p>
    <w:p w14:paraId="702193A1" w14:textId="77777777" w:rsidR="003754FE" w:rsidRDefault="003754FE" w:rsidP="003754FE">
      <w:pPr>
        <w:pStyle w:val="TextoNormal"/>
      </w:pPr>
    </w:p>
    <w:p w14:paraId="44494070" w14:textId="77777777" w:rsidR="003754FE" w:rsidRDefault="003754FE" w:rsidP="003754FE">
      <w:pPr>
        <w:pStyle w:val="TextoNormal"/>
      </w:pPr>
      <w:r>
        <w:t>g) Finalmente, puede considerarse común a todas las sentencias que con el pretexto de enjuiciar la vulneración del derecho a la legalidad penal irrumpen en el ámbito reservado a la jurisdicción ordinaria y suplantan la función del Tribunal Supremo como máximo intérprete de la ley (art. 123 CE) erigiéndose de este modo el Tribunal Constitucional en Tribunal de Casación al interpretar el concepto de “resolución” y de “asunto administrativo”. Y también es común a todas ellas que con un entendimiento indebido del enjuiciamiento que le corresponde al Tribunal Constitucional en relación con el derecho a la presunción de inocencia, se apartan de la acrisolada doctrina de este tribunal y revisa, conforme a criterios de calidad o de oportunidad, la valoración probatoria de los tribunales ordinarios para reelaborarla previa selección sesgada del acervo probatorio, convirtiéndose de este modo en tribunal de apelación.</w:t>
      </w:r>
    </w:p>
    <w:p w14:paraId="4E40D4DE" w14:textId="77777777" w:rsidR="003754FE" w:rsidRDefault="003754FE" w:rsidP="003754FE">
      <w:pPr>
        <w:pStyle w:val="TextoNormal"/>
      </w:pPr>
    </w:p>
    <w:p w14:paraId="702FE112" w14:textId="77777777" w:rsidR="003754FE" w:rsidRDefault="003754FE" w:rsidP="003754FE">
      <w:pPr>
        <w:pStyle w:val="TextoNormal"/>
      </w:pPr>
      <w:r>
        <w:t>h) Como consecuencia de todo ello las sentencias ocasionan un daño institucional difícilmente reparable pues para anular las condenas recaídas en el asunto de corrupción más importante de la historia reciente de España rectifican por primera vez desde que el Tribunal Constitucional entró en funcionamiento el criterio del Tribunal Supremo en la interpretación de un elemento recogido en la descripción de la conducta típica, sustituyen la valoración probatoria efectuada por los órganos judiciales y dejan al margen de todo control el proceso de elaboración, modificación y ejecución presupuestaria.</w:t>
      </w:r>
    </w:p>
    <w:p w14:paraId="118AB9E0" w14:textId="77777777" w:rsidR="003754FE" w:rsidRDefault="003754FE" w:rsidP="003754FE">
      <w:pPr>
        <w:pStyle w:val="TextoNormal"/>
      </w:pPr>
    </w:p>
    <w:p w14:paraId="5D07EC32" w14:textId="77777777" w:rsidR="003754FE" w:rsidRDefault="003754FE" w:rsidP="003754FE">
      <w:pPr>
        <w:pStyle w:val="TextoNormal"/>
      </w:pPr>
      <w:r>
        <w:lastRenderedPageBreak/>
        <w:t>2. Concretas razones de la discrepancia respecto de la sentencia que resuelve el recurso de amparo núm. 2391-2023 interpuesto por doña Carmen Martínez Aguayo</w:t>
      </w:r>
    </w:p>
    <w:p w14:paraId="6EAD5F44" w14:textId="77777777" w:rsidR="003754FE" w:rsidRDefault="003754FE" w:rsidP="003754FE">
      <w:pPr>
        <w:pStyle w:val="TextoNormal"/>
      </w:pPr>
    </w:p>
    <w:p w14:paraId="0109AD46" w14:textId="77777777" w:rsidR="003754FE" w:rsidRDefault="003754FE" w:rsidP="003754FE">
      <w:pPr>
        <w:pStyle w:val="TextoNormal"/>
      </w:pPr>
      <w:r>
        <w:t>Frente a los argumentos por los que las sentencias estiman las demandas de amparo sea por vulneración del derecho a la legalidad penal y/o del derecho a la presunción de inocencia hemos formulado votos particulares (recursos de amparo 6971-2022, 2136-2023, 2348-2023, 2360-2023 y 2361-2023) a los que debemos remitirnos atendida la identidad argumental que presenta esta sentencia con las cinco referidas. No renunciamos con ello a exponer sintéticamente los motivos de nuestro absoluto desencuentro con la sentencia de la que discrepamos ya expresado de modo más extenso en los referidos votos particulares.</w:t>
      </w:r>
    </w:p>
    <w:p w14:paraId="6BD73D69" w14:textId="77777777" w:rsidR="003754FE" w:rsidRDefault="003754FE" w:rsidP="003754FE">
      <w:pPr>
        <w:pStyle w:val="TextoNormal"/>
      </w:pPr>
    </w:p>
    <w:p w14:paraId="4BA3454F" w14:textId="77777777" w:rsidR="003754FE" w:rsidRDefault="003754FE" w:rsidP="003754FE">
      <w:pPr>
        <w:pStyle w:val="TextoNormal"/>
      </w:pPr>
      <w:r>
        <w:t>A) En relación con las condenas anuladas por delito de prevaricación</w:t>
      </w:r>
    </w:p>
    <w:p w14:paraId="04D482E3" w14:textId="77777777" w:rsidR="003754FE" w:rsidRDefault="003754FE" w:rsidP="003754FE">
      <w:pPr>
        <w:pStyle w:val="TextoNormal"/>
      </w:pPr>
    </w:p>
    <w:p w14:paraId="0E3EC777" w14:textId="77777777" w:rsidR="003754FE" w:rsidRDefault="003754FE" w:rsidP="003754FE">
      <w:pPr>
        <w:pStyle w:val="TextoNormal"/>
      </w:pPr>
      <w:r>
        <w:t>a) En primer lugar, debemos afirmar nuevamente que la sentencia supera los límites de la jurisdicción constitucional, al irrumpir en el ámbito reservado a la jurisdicción ordinaria y suplantar la función del Tribunal Supremo como máximo intérprete de la ley (art. 123 CE), y que como consecuencia de ello ocasiona un daño institucional difícilmente reparable, al anular las sentencias dictadas en el asunto de corrupción más importante de la historia reciente de España y rectificar por primera vez desde que el Tribunal Constitucional entró en funcionamiento el criterio del Tribunal Supremo en la interpretación de un elemento recogido en la descripción de la conducta típica del delito de prevaricación administrativa: “resolución” en “asunto administrativo” (art. 404 CP).</w:t>
      </w:r>
    </w:p>
    <w:p w14:paraId="0122BBB8" w14:textId="77777777" w:rsidR="003754FE" w:rsidRDefault="003754FE" w:rsidP="003754FE">
      <w:pPr>
        <w:pStyle w:val="TextoNormal"/>
      </w:pPr>
    </w:p>
    <w:p w14:paraId="48B0F0EE" w14:textId="77777777" w:rsidR="003754FE" w:rsidRDefault="003754FE" w:rsidP="003754FE">
      <w:pPr>
        <w:pStyle w:val="TextoNormal"/>
      </w:pPr>
      <w:r>
        <w:t>b) Resulta llamativo que sea en el caso de corrupción política institucionalizada más grave —tanto por el número de altos responsables políticos condenados, el importe de afectación al erario público así como su duración temporal— cuando el Tribunal Constitucional rectifique por primera vez desde que inició su andadura al Tribunal Supremo en la interpretación de un elemento recogido en la descripción de la conducta típica de un delito y desconozca la posición constitucional del Tribunal Supremo como órgano jurisdiccional superior en todos los órdenes y máxima autoridad jurisdiccional en la función de interpretar y aplicar la legislación vigente (arts. 117.3 y 123.1 CE).</w:t>
      </w:r>
    </w:p>
    <w:p w14:paraId="728C89BB" w14:textId="77777777" w:rsidR="003754FE" w:rsidRDefault="003754FE" w:rsidP="003754FE">
      <w:pPr>
        <w:pStyle w:val="TextoNormal"/>
      </w:pPr>
    </w:p>
    <w:p w14:paraId="7F6CB5DE" w14:textId="77777777" w:rsidR="003754FE" w:rsidRDefault="003754FE" w:rsidP="003754FE">
      <w:pPr>
        <w:pStyle w:val="TextoNormal"/>
      </w:pPr>
      <w:r>
        <w:t xml:space="preserve">c) La sentencia determina la impunidad de los miembros del Gobierno de la Junta de Andalucía. Los declara </w:t>
      </w:r>
      <w:r w:rsidRPr="003754FE">
        <w:rPr>
          <w:i/>
        </w:rPr>
        <w:t>de facto</w:t>
      </w:r>
      <w:r>
        <w:t xml:space="preserve"> irresponsables, extiende sobre ellos el privilegio de inviolabilidad e inmunidad en lo que a la elaboración y aprobación de proyectos, anteproyectos de ley o enmiendas presupuestarias se refiere, aun cuando su propósito, acreditado en la sentencia condenatoria, era prever dotaciones presupuestarias ingentes para que otros miembros del Gobierno pudieran malversarlas. Dicha declaración de irresponsabilidad penal desconoce el deber constitucional de interpretación estricta y finalista del privilegio de la inviolabilidad y de la inmunidad —al que no se refiere— y consiguientemente ignora su inviable proyección en términos constitucionales a los miembros del Gobierno por no existir previsión constitucional en tal sentido (STC 9/1990, de 18 de enero, FJ 4).</w:t>
      </w:r>
    </w:p>
    <w:p w14:paraId="312C3816" w14:textId="77777777" w:rsidR="003754FE" w:rsidRDefault="003754FE" w:rsidP="003754FE">
      <w:pPr>
        <w:pStyle w:val="TextoNormal"/>
      </w:pPr>
    </w:p>
    <w:p w14:paraId="2DFB5586" w14:textId="77777777" w:rsidR="003754FE" w:rsidRDefault="003754FE" w:rsidP="003754FE">
      <w:pPr>
        <w:pStyle w:val="TextoNormal"/>
      </w:pPr>
      <w:r>
        <w:t>En un Estado de Derecho pretender situar a los miembros del Gobierno, en cualquier ámbito, por encima de la ley, como resulta de la doctrina apuntalada en la sentencia de la que discrepamos, ni está justificado (art. 9.1 y 3 CE) —como acertadamente afirma la STS 749/2022— ni podría estarlo so derrumbe del propio Estado de Derecho.</w:t>
      </w:r>
    </w:p>
    <w:p w14:paraId="6CE96E55" w14:textId="77777777" w:rsidR="003754FE" w:rsidRDefault="003754FE" w:rsidP="003754FE">
      <w:pPr>
        <w:pStyle w:val="TextoNormal"/>
      </w:pPr>
    </w:p>
    <w:p w14:paraId="05AB91A9" w14:textId="77777777" w:rsidR="003754FE" w:rsidRDefault="003754FE" w:rsidP="003754FE">
      <w:pPr>
        <w:pStyle w:val="TextoNormal"/>
      </w:pPr>
      <w:r>
        <w:lastRenderedPageBreak/>
        <w:t xml:space="preserve">d) Dicha doctrina produce un riesgo sistémico de impunidad de aquellas estrategias presupuestarias, sean proyectos o anteproyectos de ley o modificaciones presupuestarias que, plasmadas en </w:t>
      </w:r>
      <w:r w:rsidRPr="003754FE">
        <w:rPr>
          <w:i/>
        </w:rPr>
        <w:t>resoluciones administrativas</w:t>
      </w:r>
      <w:r>
        <w:t>, son diseñadas con ánimo de preparar un escenario de defraudación de fondos públicos. De modo que cuando tenga su proyección en la protección de intereses financieros de la Unión Europea producirá un incumplimiento de las obligaciones de España con la Unión Europea incompatible con lo dispuesto en el artículo 325.1 TFUE.</w:t>
      </w:r>
    </w:p>
    <w:p w14:paraId="695C66EA" w14:textId="77777777" w:rsidR="003754FE" w:rsidRDefault="003754FE" w:rsidP="003754FE">
      <w:pPr>
        <w:pStyle w:val="TextoNormal"/>
      </w:pPr>
    </w:p>
    <w:p w14:paraId="61C5053C" w14:textId="77777777" w:rsidR="003754FE" w:rsidRDefault="003754FE" w:rsidP="003754FE">
      <w:pPr>
        <w:pStyle w:val="TextoNormal"/>
      </w:pPr>
      <w:r>
        <w:t xml:space="preserve">Este precepto obliga por un lado a luchar contra el fraude y contra toda actividad ilegal que afecte a los intereses financieros de la Unión y por otro a prevenir y combatir la corrupción en general y prever la aplicación de sanciones eficaces y disuasorias en caso de que tales infracciones se produzcan (SSTJUE de 21 de diciembre de 2021, </w:t>
      </w:r>
      <w:r w:rsidRPr="003754FE">
        <w:rPr>
          <w:i/>
        </w:rPr>
        <w:t>Euro Box Promotion</w:t>
      </w:r>
      <w:r>
        <w:t xml:space="preserve">, asunto C-357/19, § 184-187 y 193-194, y de 24 de julio de 2023, </w:t>
      </w:r>
      <w:r w:rsidRPr="003754FE">
        <w:rPr>
          <w:i/>
        </w:rPr>
        <w:t>Lin</w:t>
      </w:r>
      <w:r>
        <w:t xml:space="preserve">, asunto C-107/23 PPU, § 83-84, 86, y 91-94 y auto de 7 de noviembre de 2022, de la Sala Sexta del Tribunal de Justicia de la Unión Europa, </w:t>
      </w:r>
      <w:r w:rsidRPr="003754FE">
        <w:rPr>
          <w:i/>
        </w:rPr>
        <w:t>FX y otros</w:t>
      </w:r>
      <w:r>
        <w:t>, asuntos acumulados C 859/19, C 926/19 y C 929/19, § 92).</w:t>
      </w:r>
    </w:p>
    <w:p w14:paraId="265CE47D" w14:textId="77777777" w:rsidR="003754FE" w:rsidRDefault="003754FE" w:rsidP="003754FE">
      <w:pPr>
        <w:pStyle w:val="TextoNormal"/>
      </w:pPr>
    </w:p>
    <w:p w14:paraId="1F766737" w14:textId="77777777" w:rsidR="003754FE" w:rsidRDefault="003754FE" w:rsidP="003754FE">
      <w:pPr>
        <w:pStyle w:val="TextoNormal"/>
      </w:pPr>
      <w:r>
        <w:t>e) Esta sentencia —mediante su remisión a la STC 93/2024, que resuelve el recurso de amparo 6971-2022 interpuesto por doña Magdalena Álvarez Arza— insiste en la creación de un novedoso parámetro de control del proceso de subsunción penal efectuado por los jueces y tribunales: “la perspectiva constitucional”, si bien en esta sentencia no se cita expresamente con ese término se aplica del mismo modo, y lo proyecta a los conceptos penales “resoluciones” y “asuntos administrativos”. Sin ambages, con la cobertura de lo que se acuña como “perspectiva constitucional”, se erige por primera vez desde que el Tribunal Constitucional ejerce su cometido constitucional, en máximo intérprete de la legalidad penal y suplanta también por vez primera desde que ejerce su jurisdicción la función de interpretación de la Sala de lo Penal del Tribunal Supremo acerca de los elementos que integran la parte objetiva del tipo de injusto del delito, socavando la jurisdicción del Tribunal Supremo como órgano jurisdiccional superior en todos los órdenes y máxima autoridad jurisdiccional en la función de interpretar y aplicar la legislación vigente (arts. 117.3 y 123.1 CE).</w:t>
      </w:r>
    </w:p>
    <w:p w14:paraId="07A3C219" w14:textId="77777777" w:rsidR="003754FE" w:rsidRDefault="003754FE" w:rsidP="003754FE">
      <w:pPr>
        <w:pStyle w:val="TextoNormal"/>
      </w:pPr>
    </w:p>
    <w:p w14:paraId="544A6438" w14:textId="77777777" w:rsidR="003754FE" w:rsidRDefault="003754FE" w:rsidP="003754FE">
      <w:pPr>
        <w:pStyle w:val="TextoNormal"/>
      </w:pPr>
      <w:r>
        <w:t>f) El radical viraje en la doctrina del Tribunal Constitucional que representa esta sentencia se evidencia con la lectura, entre otras, de la STC 229/2003, de 18 de diciembre, FJ 16, en la que este tribunal abordó, desde la perspectiva del principio de legalidad penal, la condena no a un político, sino a un magistrado, y no por delito de prevaricación administrativa, sino por prevaricación judicial y a cuyo contenido nos hemos referido en el voto particular a la STC 93/2024 y que no vamos a reproducir ahora.</w:t>
      </w:r>
    </w:p>
    <w:p w14:paraId="4E1F538C" w14:textId="77777777" w:rsidR="003754FE" w:rsidRDefault="003754FE" w:rsidP="003754FE">
      <w:pPr>
        <w:pStyle w:val="TextoNormal"/>
      </w:pPr>
    </w:p>
    <w:p w14:paraId="65FB7DFF" w14:textId="77777777" w:rsidR="003754FE" w:rsidRDefault="003754FE" w:rsidP="003754FE">
      <w:pPr>
        <w:pStyle w:val="TextoNormal"/>
      </w:pPr>
      <w:r>
        <w:t xml:space="preserve">A dicho voto debemos remitirnos para dejar constancia del exhaustivo y pormenorizado razonamiento de la Sala de lo Penal del Tribunal Supremo que merece el calificativo de impecable. No puede compartirse que la comunidad jurídica, a la que la sentencia de la que discrepamos apela, vaya a cuestionar los criterios metodológicos y axiológicos o los modelos interpretativos que utiliza la sentencia de Tribunal Supremo. ¿Acaso alguien puede pensar que la recurrente podía considerar imprevisible o extravagante que pudiera ser condenada cuanto menos por un delito de prevaricación administrativa (dictar una resolución arbitraria en un asunto administrativo a sabiendas de su injusticia) cuando aprobó y sometió a aprobación del Gobierno y posteriormente, con el resto de los miembros del Gobierno, a aprobación parlamentaria los anteproyectos y proyectos de presupuestos y participó en la </w:t>
      </w:r>
      <w:r>
        <w:lastRenderedPageBreak/>
        <w:t>aprobación de las modificaciones presupuestarias con la exclusiva intención probada de dotar de ingentes e injustificadas cantidades en concepto de trasferencias de financiación al IFA a sabiendas y con la intención de que otros condenados pudieran desviar tales fondos del destino previsto presupuestariamente y disponer ilícita y libérrimamente en concepto de “ayudas sociolaborales” facilitando así evitar los controles establecidos en la ley para la concesión de subvenciones?</w:t>
      </w:r>
    </w:p>
    <w:p w14:paraId="14597182" w14:textId="77777777" w:rsidR="003754FE" w:rsidRDefault="003754FE" w:rsidP="003754FE">
      <w:pPr>
        <w:pStyle w:val="TextoNormal"/>
      </w:pPr>
    </w:p>
    <w:p w14:paraId="529A52C5" w14:textId="77777777" w:rsidR="003754FE" w:rsidRDefault="003754FE" w:rsidP="003754FE">
      <w:pPr>
        <w:pStyle w:val="TextoNormal"/>
      </w:pPr>
      <w:r>
        <w:t xml:space="preserve">g) Puede afirmarse con rotundidad que el Tribunal Constitucional ha sustituido al Tribunal Supremo y se ha erigido en tercera instancia, en máximo intérprete del concepto legal “resolución” que contiene el art. 404 CP, para considerar de forma apodíctica que las resoluciones que carecen del carácter de definitivas o que no producen efectos </w:t>
      </w:r>
      <w:r w:rsidRPr="003754FE">
        <w:rPr>
          <w:i/>
        </w:rPr>
        <w:t>ad extra</w:t>
      </w:r>
      <w:r>
        <w:t xml:space="preserve"> no integran el tipo penal. De este modo efectúa la interpretación última del tipo sancionador que desplaza la jurisprudencia del Tribunal Supremo y la propia interpretación de la naturaleza del delito y de los fines que lo justifican. La sentencia no ha dudado para ello en silenciar la jurisprudencia del propio Tribunal Supremo plasmada en la completa argumentación de la sentencia impugnada, por la que el máximo intérprete ha entendido tradicionalmente que resolución administrativa es la que no se dicta en un procedimiento legislativo ni judicial.</w:t>
      </w:r>
    </w:p>
    <w:p w14:paraId="3A88F561" w14:textId="77777777" w:rsidR="003754FE" w:rsidRDefault="003754FE" w:rsidP="003754FE">
      <w:pPr>
        <w:pStyle w:val="TextoNormal"/>
      </w:pPr>
    </w:p>
    <w:p w14:paraId="6AE1C8D1" w14:textId="77777777" w:rsidR="003754FE" w:rsidRDefault="003754FE" w:rsidP="003754FE">
      <w:pPr>
        <w:pStyle w:val="TextoNormal"/>
      </w:pPr>
      <w:r>
        <w:t>h) Como expusimos también en el voto particular a la STC 93/2024, el argumento por el que la sentencia entiende que la STS 749/2022 no tomó en consideración que las leyes de presupuestos fueron aprobadas por el Parlamento y con ello desconocieron la centralidad del mismo en el Estado de Derecho es irrazonable. Con dicho argumento la sentencia somete la responsabilidad penal por el delito consumado de prevaricación administrativa —pues ya ha lesionado el bien jurídico que protege— a condición resolutoria —la aprobación o no de la ley— por lo que introduce un factor de incertidumbre e imprevisibilidad contrario a la certeza en la que se asienta el principio de legalidad penal que dice aplicar.</w:t>
      </w:r>
    </w:p>
    <w:p w14:paraId="60A1E89D" w14:textId="77777777" w:rsidR="003754FE" w:rsidRDefault="003754FE" w:rsidP="003754FE">
      <w:pPr>
        <w:pStyle w:val="TextoNormal"/>
      </w:pPr>
    </w:p>
    <w:p w14:paraId="50BA0524" w14:textId="77777777" w:rsidR="003754FE" w:rsidRDefault="003754FE" w:rsidP="003754FE">
      <w:pPr>
        <w:pStyle w:val="TextoNormal"/>
      </w:pPr>
      <w:r>
        <w:t>i) También manifestamos en el indicado voto particular que era incomprensible descartar que los proyectos y anteproyectos de leyes fueran resoluciones dictadas en asunto administrativo con el argumento de que la función de iniciativa legislativa del Gobierno no es controlable por ningún órgano judicial, pues suponía personificar o encarnar al Gobierno de la Junta de Andalucía en la figura de un consejero. Ni un consejero, ni un ministro, tienen atribuida la función de iniciativa legislativa, ni la función de dirección política que le corresponde al Gobierno como órgano colegiado. El argumento empleado desconoce el coherente razonamiento del Tribunal Supremo. No se enfrenta al mismo. La sentencia del Tribunal Supremo recuerda que el momento inicial del proceso legislativo es la recepción del proyecto de ley por el Parlamento (art. 108 de su Reglamento) y olvida que no se atribuye la iniciativa legislativa a los consejeros y viceconsejeros sino “1. Al Consejo de Gobierno” (art. 108 del Reglamento).</w:t>
      </w:r>
    </w:p>
    <w:p w14:paraId="1ACEA482" w14:textId="77777777" w:rsidR="003754FE" w:rsidRDefault="003754FE" w:rsidP="003754FE">
      <w:pPr>
        <w:pStyle w:val="TextoNormal"/>
      </w:pPr>
    </w:p>
    <w:p w14:paraId="1F5F224F" w14:textId="77777777" w:rsidR="003754FE" w:rsidRDefault="003754FE" w:rsidP="003754FE">
      <w:pPr>
        <w:pStyle w:val="TextoNormal"/>
      </w:pPr>
      <w:r>
        <w:t xml:space="preserve">j) Finalmente, en relación con la exoneración a la recurrente por las condenas referentes al delito de prevaricación, insisto en mi inquietud y preocupación por que en un procedimiento penal de tanta relevancia perezca uno de los principios vertebradores del Estatuto Orgánico del Ministerio Fiscal: su “unidad de actuación” (art. 2.1 del citado Estatuto), pues el Ministerio Fiscal ahora refuta como contraria al principio de legalidad penal (art. 25.1 CE) la condena por delito de prevaricación administrativa por la participación de la recurrente en la aprobación de los anteproyectos de presupuestos o en las modificaciones presupuestarias pese a que otros fiscales previamente habían formulado acusación por tales </w:t>
      </w:r>
      <w:r>
        <w:lastRenderedPageBreak/>
        <w:t>delitos y solicitado al Tribunal Supremo que confirmara dichas condenas por no vulnerar el derecho de legalidad de la recurrente.</w:t>
      </w:r>
    </w:p>
    <w:p w14:paraId="55256E6C" w14:textId="77777777" w:rsidR="003754FE" w:rsidRDefault="003754FE" w:rsidP="003754FE">
      <w:pPr>
        <w:pStyle w:val="TextoNormal"/>
      </w:pPr>
    </w:p>
    <w:p w14:paraId="52D32A57" w14:textId="77777777" w:rsidR="003754FE" w:rsidRDefault="003754FE" w:rsidP="003754FE">
      <w:pPr>
        <w:pStyle w:val="TextoNormal"/>
      </w:pPr>
      <w:r>
        <w:t>B) Condenas anuladas por el delito continuado de malversación de caudales públicos</w:t>
      </w:r>
    </w:p>
    <w:p w14:paraId="10C2E40B" w14:textId="77777777" w:rsidR="003754FE" w:rsidRDefault="003754FE" w:rsidP="003754FE">
      <w:pPr>
        <w:pStyle w:val="TextoNormal"/>
      </w:pPr>
    </w:p>
    <w:p w14:paraId="51F224F6" w14:textId="77777777" w:rsidR="003754FE" w:rsidRDefault="003754FE" w:rsidP="003754FE">
      <w:pPr>
        <w:pStyle w:val="TextoNormal"/>
      </w:pPr>
      <w:r>
        <w:t>1. Motivo tercero de la demanda de amparo. Vulneración del derecho a la legalidad penal. Desestimación del motivo invocado por la recurrente</w:t>
      </w:r>
    </w:p>
    <w:p w14:paraId="5739A851" w14:textId="77777777" w:rsidR="003754FE" w:rsidRDefault="003754FE" w:rsidP="003754FE">
      <w:pPr>
        <w:pStyle w:val="TextoNormal"/>
      </w:pPr>
    </w:p>
    <w:p w14:paraId="15C31B08" w14:textId="77777777" w:rsidR="003754FE" w:rsidRDefault="003754FE" w:rsidP="003754FE">
      <w:pPr>
        <w:pStyle w:val="TextoNormal"/>
      </w:pPr>
      <w:r>
        <w:t>El motivo tercero de la demanda de amparo debió ser desestimado, conforme a la propia argumentación de la sentencia, en lo que al motivo planteado le es aplicable. Se expondrán a continuación las razones de esta afirmación.</w:t>
      </w:r>
    </w:p>
    <w:p w14:paraId="47178F01" w14:textId="77777777" w:rsidR="003754FE" w:rsidRDefault="003754FE" w:rsidP="003754FE">
      <w:pPr>
        <w:pStyle w:val="TextoNormal"/>
      </w:pPr>
    </w:p>
    <w:p w14:paraId="43C8E499" w14:textId="77777777" w:rsidR="003754FE" w:rsidRDefault="003754FE" w:rsidP="003754FE">
      <w:pPr>
        <w:pStyle w:val="TextoNormal"/>
      </w:pPr>
      <w:r>
        <w:t>1.1. Planteamiento de la recurrente</w:t>
      </w:r>
    </w:p>
    <w:p w14:paraId="6ADAD9BC" w14:textId="77777777" w:rsidR="003754FE" w:rsidRDefault="003754FE" w:rsidP="003754FE">
      <w:pPr>
        <w:pStyle w:val="TextoNormal"/>
      </w:pPr>
    </w:p>
    <w:p w14:paraId="441AC2A1" w14:textId="77777777" w:rsidR="003754FE" w:rsidRDefault="003754FE" w:rsidP="003754FE">
      <w:pPr>
        <w:pStyle w:val="TextoNormal"/>
      </w:pPr>
      <w:r>
        <w:t>La recurrente en el tercer motivo de la demanda sí invoca, a diferencia de lo que ha acontecido en otros recursos de amparo, la vulneración del derecho a la legalidad penal (arts. 25.1 CE y 7 CEDH), al entender que los hechos probados no pueden subsumirse en el delito de malversación del art. 432 CP. La mera intervención en la elaboración de los proyectos de leyes de presupuestos y en las modificaciones presupuestarias no son actos jurídicamente eficaces para malversar. Recuerda que doña Carmen Martínez Aguayo fue condenada por participar en el ejercicio de sus competencias y funciones como viceconsejera de Economía y Hacienda en la tramitación y aprobación de varios anteproyectos de leyes de presupuestos de Andalucía y en la tramitación de las modificaciones presupuestarias señaladas de las citadas partidas. Su intervención se considera delictiva tanto a efectos del delito de prevaricación como también a efectos del delito de malversación de caudales públicos.</w:t>
      </w:r>
    </w:p>
    <w:p w14:paraId="6BD53836" w14:textId="77777777" w:rsidR="003754FE" w:rsidRDefault="003754FE" w:rsidP="003754FE">
      <w:pPr>
        <w:pStyle w:val="TextoNormal"/>
      </w:pPr>
    </w:p>
    <w:p w14:paraId="258BD609" w14:textId="77777777" w:rsidR="003754FE" w:rsidRDefault="003754FE" w:rsidP="003754FE">
      <w:pPr>
        <w:pStyle w:val="TextoNormal"/>
      </w:pPr>
      <w:r>
        <w:t>Afirma que no existe engarce entre los hechos realizados en la fase prelegislativa y los actos de malversación que se atribuyen a la Dirección General de Trabajo, que de las funciones, competencias y deberes de la recurrente no resulta que tuviera facultad decisoria o de detentación material de los caudales y que la atribución de la posición de garante carece de sustento legal.</w:t>
      </w:r>
    </w:p>
    <w:p w14:paraId="6B471FD8" w14:textId="77777777" w:rsidR="003754FE" w:rsidRDefault="003754FE" w:rsidP="003754FE">
      <w:pPr>
        <w:pStyle w:val="TextoNormal"/>
      </w:pPr>
    </w:p>
    <w:p w14:paraId="67755FB5" w14:textId="77777777" w:rsidR="003754FE" w:rsidRDefault="003754FE" w:rsidP="003754FE">
      <w:pPr>
        <w:pStyle w:val="TextoNormal"/>
      </w:pPr>
      <w:r>
        <w:t>1.2. Fundamentación de la sentencia parcialmente disociada de la vulneración del derecho a la legalidad penal invocada. Procedencia de la desestimación con fundamento en el fundamento jurídico 5.3 B) b) y c)</w:t>
      </w:r>
    </w:p>
    <w:p w14:paraId="2C98D17E" w14:textId="77777777" w:rsidR="003754FE" w:rsidRDefault="003754FE" w:rsidP="003754FE">
      <w:pPr>
        <w:pStyle w:val="TextoNormal"/>
      </w:pPr>
    </w:p>
    <w:p w14:paraId="5890E181" w14:textId="77777777" w:rsidR="003754FE" w:rsidRDefault="003754FE" w:rsidP="003754FE">
      <w:pPr>
        <w:pStyle w:val="TextoNormal"/>
      </w:pPr>
      <w:r>
        <w:t>1.2.1. La sentencia de la que discrepamos aplica la motivación estandarizada contenida en otras sentencias para resolver el tercer motivo de la demanda de amparo. Debe recordarse que esa motivación estándar se proyecta sobre todas las demandas de amparo invoquen o no la vulneración del derecho a la legalidad penal en relación con la malversación desvinculándose, para el caso de que la invoquen, de las razones en las que el/la demandante sustenta la vulneración.</w:t>
      </w:r>
    </w:p>
    <w:p w14:paraId="1E44AAA3" w14:textId="77777777" w:rsidR="003754FE" w:rsidRDefault="003754FE" w:rsidP="003754FE">
      <w:pPr>
        <w:pStyle w:val="TextoNormal"/>
      </w:pPr>
    </w:p>
    <w:p w14:paraId="09D2DCEA" w14:textId="77777777" w:rsidR="003754FE" w:rsidRDefault="003754FE" w:rsidP="003754FE">
      <w:pPr>
        <w:pStyle w:val="TextoNormal"/>
      </w:pPr>
      <w:r>
        <w:t>La demandante no cuestiona bajo el amparo del derecho a legalidad penal invocado en el motivo tercero de la demanda de amparo “la legitimidad” y “la licitud” o no de los actos de disposición de fondos, si se ajustaban o no a las leyes de presupuestos, si se apartaban o no de los fines legítimos que tales leyes establecían. Le es irrelevante para argumentar la vulneración y por ello nada dice sobre tales aspectos.</w:t>
      </w:r>
    </w:p>
    <w:p w14:paraId="19D4337D" w14:textId="77777777" w:rsidR="003754FE" w:rsidRDefault="003754FE" w:rsidP="003754FE">
      <w:pPr>
        <w:pStyle w:val="TextoNormal"/>
      </w:pPr>
    </w:p>
    <w:p w14:paraId="1FF142F7" w14:textId="77777777" w:rsidR="003754FE" w:rsidRDefault="003754FE" w:rsidP="003754FE">
      <w:pPr>
        <w:pStyle w:val="TextoNormal"/>
      </w:pPr>
      <w:r>
        <w:t>Es por ello que nada tiene que ver con el motivo tercero de la demanda, como se indica a continuación, el razonamiento que se contiene en el fundamento jurídico 5.3 A) a) y b) y 5.3 B) a).</w:t>
      </w:r>
    </w:p>
    <w:p w14:paraId="4ECE0068" w14:textId="77777777" w:rsidR="003754FE" w:rsidRDefault="003754FE" w:rsidP="003754FE">
      <w:pPr>
        <w:pStyle w:val="TextoNormal"/>
      </w:pPr>
    </w:p>
    <w:p w14:paraId="66F478F4" w14:textId="77777777" w:rsidR="003754FE" w:rsidRDefault="003754FE" w:rsidP="003754FE">
      <w:pPr>
        <w:pStyle w:val="TextoNormal"/>
      </w:pPr>
      <w:r>
        <w:t>La sentencia únicamente aborda el motivo tercero de la demanda cuando se plantea si la atribución a la recurrente de la malversación por comisión por omisión derivada de su posición de garante en relación con determinadas disposiciones es razonable en el fundamento jurídico 5.3 B) b) c). En tal fundamento, tras examinar la razonabilidad de la atribución a la recurrente, por comisión por omisión, de la disposición de determinados fondos públicos se desestima la queja al considerar razonable atribuirle un deber de custodia de estos y la obligación de evitar su indebido uso.</w:t>
      </w:r>
    </w:p>
    <w:p w14:paraId="30D9A67F" w14:textId="77777777" w:rsidR="003754FE" w:rsidRDefault="003754FE" w:rsidP="003754FE">
      <w:pPr>
        <w:pStyle w:val="TextoNormal"/>
      </w:pPr>
    </w:p>
    <w:p w14:paraId="151D0151" w14:textId="77777777" w:rsidR="003754FE" w:rsidRDefault="003754FE" w:rsidP="003754FE">
      <w:pPr>
        <w:pStyle w:val="TextoNormal"/>
      </w:pPr>
      <w:r>
        <w:t>Es por ello que de modo coherente con lo planteado por la recurrente debió desestimarse la vulneración del derecho a la legalidad penal invocada en el motivo tercero de la demanda de amparo.</w:t>
      </w:r>
    </w:p>
    <w:p w14:paraId="5E76625B" w14:textId="77777777" w:rsidR="003754FE" w:rsidRDefault="003754FE" w:rsidP="003754FE">
      <w:pPr>
        <w:pStyle w:val="TextoNormal"/>
      </w:pPr>
    </w:p>
    <w:p w14:paraId="527CBD3E" w14:textId="77777777" w:rsidR="003754FE" w:rsidRDefault="003754FE" w:rsidP="003754FE">
      <w:pPr>
        <w:pStyle w:val="TextoNormal"/>
      </w:pPr>
      <w:r>
        <w:t>1.2.2. En primer lugar, la sentencia de la que discrepamos proyecta la argumentación que le ha servido para estimar la vulneración del principio de legalidad penal en relación con la condena por el delito de prevaricación —ya cuestionada en este voto— a la condena por el delito continuado de malversación de caudales públicos.</w:t>
      </w:r>
    </w:p>
    <w:p w14:paraId="1D9A908F" w14:textId="77777777" w:rsidR="003754FE" w:rsidRDefault="003754FE" w:rsidP="003754FE">
      <w:pPr>
        <w:pStyle w:val="TextoNormal"/>
      </w:pPr>
    </w:p>
    <w:p w14:paraId="41F10DCA" w14:textId="77777777" w:rsidR="003754FE" w:rsidRDefault="003754FE" w:rsidP="003754FE">
      <w:pPr>
        <w:pStyle w:val="TextoNormal"/>
      </w:pPr>
      <w:r>
        <w:t>Sin embargo, la recurrente nada argumenta en el motivo tercero de la demanda sobre el carácter “indebido” o “ilícito” de los anteproyectos de leyes que la recurrente aprobó, o sobre su posibilidad de control [FJ 5.3 A) a) (i)] ni tampoco en relación con la falta de previsibilidad de la condena por malversación por realizar conductas que tenían cobertura en las leyes de presupuestos y por tanto era imprevisible que se califiquen de ilícitas [FJ 5.3 A) b) (i)] o por considerar las sentencias de instancia y de casación que fue imprevisible al atribuirle la posición de garante cuando las ayudas eran conforme a la previsión legal [FJ 5.3 A) b) (ii)].</w:t>
      </w:r>
    </w:p>
    <w:p w14:paraId="503B941F" w14:textId="77777777" w:rsidR="003754FE" w:rsidRDefault="003754FE" w:rsidP="003754FE">
      <w:pPr>
        <w:pStyle w:val="TextoNormal"/>
      </w:pPr>
    </w:p>
    <w:p w14:paraId="78AF72F8" w14:textId="77777777" w:rsidR="003754FE" w:rsidRDefault="003754FE" w:rsidP="003754FE">
      <w:pPr>
        <w:pStyle w:val="TextoNormal"/>
      </w:pPr>
      <w:r>
        <w:t>Sobra el fundamento jurídico 5.3 A). Nada tiene que ver con el motivo que dice resolver.</w:t>
      </w:r>
    </w:p>
    <w:p w14:paraId="42F9D611" w14:textId="77777777" w:rsidR="003754FE" w:rsidRDefault="003754FE" w:rsidP="003754FE">
      <w:pPr>
        <w:pStyle w:val="TextoNormal"/>
      </w:pPr>
    </w:p>
    <w:p w14:paraId="3D309B86" w14:textId="77777777" w:rsidR="003754FE" w:rsidRDefault="003754FE" w:rsidP="003754FE">
      <w:pPr>
        <w:pStyle w:val="TextoNormal"/>
      </w:pPr>
      <w:r>
        <w:t>1.2.3. En segundo lugar, la sentencia que resuelve el recurso de amparo también se desvincula por completo de las alegaciones de la recurrente cuando valora la vulneración de la legalidad penal en relación con los “[h]echos referidos a concretas aplicaciones de fondos públicos sin cobertura en el programa 31L” [FJ 5.3 B)]. La sentencia indica que “[e]s claro que las leyes de presupuestos no legitimaban la disposición de los fondos presupuestados sin la concurrencia de los fines públicos propios de las ayudas sociolaborales y a empresas en crisis, por lo que esta concreta forma de disposición de los caudales por parte de la Consejería de Empleo, asociada a la ausencia de causa justificativa, no está abarcada por los razonamientos relativos a la imprevisible subsunción en el delito de malversación de la forma global de gestión del programa 31L derivada del sistema de presupuestación utilizado</w:t>
      </w:r>
      <w:r w:rsidRPr="003754FE">
        <w:rPr>
          <w:i/>
        </w:rPr>
        <w:t xml:space="preserve"> [vid. sup</w:t>
      </w:r>
      <w:r>
        <w:t>ra FJ 5.3 A)]” [FJ 5.3 B) a) (ii)].</w:t>
      </w:r>
    </w:p>
    <w:p w14:paraId="6CEF9E62" w14:textId="77777777" w:rsidR="003754FE" w:rsidRDefault="003754FE" w:rsidP="003754FE">
      <w:pPr>
        <w:pStyle w:val="TextoNormal"/>
      </w:pPr>
    </w:p>
    <w:p w14:paraId="6FB2F719" w14:textId="77777777" w:rsidR="003754FE" w:rsidRDefault="003754FE" w:rsidP="003754FE">
      <w:pPr>
        <w:pStyle w:val="TextoNormal"/>
      </w:pPr>
      <w:r>
        <w:t xml:space="preserve">Nada dice el motivo de la demanda sobre la legitimación o no en las leyes de presupuestos de las disposiciones de fondos sin los fines públicos de las ayudas sociolaborales. No lo discute. La demanda es clara y va por otros derroteros. Su argumento es potente y sencillo </w:t>
      </w:r>
      <w:r>
        <w:lastRenderedPageBreak/>
        <w:t>de comprender: la mera intervención en la elaboración del proyecto de ley de presupuestos y en las modificaciones presupuestarias no son actos jurídicamente eficaces para malversar. La demanda lo que afirma es que no existe engarce entre los hechos realizados en la fase prelegislativa y los actos de malversación y que la recurrente no tenía la posición de garante. No discute por tanto la cobertura o no de las disposiciones.</w:t>
      </w:r>
    </w:p>
    <w:p w14:paraId="0A298B7A" w14:textId="77777777" w:rsidR="003754FE" w:rsidRDefault="003754FE" w:rsidP="003754FE">
      <w:pPr>
        <w:pStyle w:val="TextoNormal"/>
      </w:pPr>
    </w:p>
    <w:p w14:paraId="59AF08AA" w14:textId="77777777" w:rsidR="003754FE" w:rsidRDefault="003754FE" w:rsidP="003754FE">
      <w:pPr>
        <w:pStyle w:val="TextoNormal"/>
      </w:pPr>
      <w:r>
        <w:t>No es comprensible que la sentencia se aparte de la demanda de un modo tan evidente y acuda a reiterar la motivación estandarizada contenida en otras sentencias que también ha sido cuestionada en los respectivos votos particulares.</w:t>
      </w:r>
    </w:p>
    <w:p w14:paraId="44E500AD" w14:textId="77777777" w:rsidR="003754FE" w:rsidRDefault="003754FE" w:rsidP="003754FE">
      <w:pPr>
        <w:pStyle w:val="TextoNormal"/>
      </w:pPr>
    </w:p>
    <w:p w14:paraId="60C1D2E1" w14:textId="77777777" w:rsidR="003754FE" w:rsidRDefault="003754FE" w:rsidP="003754FE">
      <w:pPr>
        <w:pStyle w:val="TextoNormal"/>
      </w:pPr>
      <w:r>
        <w:t>Sobra el fundamento jurídico 5.3 B) a) de la sentencia: esta desvinculado de la argumentación de la demanda.</w:t>
      </w:r>
    </w:p>
    <w:p w14:paraId="22C2EED4" w14:textId="77777777" w:rsidR="003754FE" w:rsidRDefault="003754FE" w:rsidP="003754FE">
      <w:pPr>
        <w:pStyle w:val="TextoNormal"/>
      </w:pPr>
    </w:p>
    <w:p w14:paraId="6F54244C" w14:textId="77777777" w:rsidR="003754FE" w:rsidRDefault="003754FE" w:rsidP="003754FE">
      <w:pPr>
        <w:pStyle w:val="TextoNormal"/>
      </w:pPr>
      <w:r>
        <w:t>1.2.4. Finalmente, la sentencia frente a la que formulamos el presente voto, al examinar lo que denomina “casos comprendidos en la letra C) del hecho probado vigesimosegundo de la sentencia de la Audiencia Provincial” [FJ 5.3 B) b)], sí entra a valorar si existía posición de garante. Esta cuestión fue precisamente planteada en la demanda.</w:t>
      </w:r>
    </w:p>
    <w:p w14:paraId="7597B5B8" w14:textId="77777777" w:rsidR="003754FE" w:rsidRDefault="003754FE" w:rsidP="003754FE">
      <w:pPr>
        <w:pStyle w:val="TextoNormal"/>
      </w:pPr>
    </w:p>
    <w:p w14:paraId="42FEA1F6" w14:textId="77777777" w:rsidR="003754FE" w:rsidRDefault="003754FE" w:rsidP="003754FE">
      <w:pPr>
        <w:pStyle w:val="TextoNormal"/>
      </w:pPr>
      <w:r>
        <w:t>Indica que se trata de disposiciones de fondos que para la sentencia de instancia se habrían apartado de los fines legítimos que contemplaban las leyes de presupuestos. La sentencia entiende que en este caso la condena a la demandante solo puede entenderse producida en aplicación de la modalidad omisiva. La sentencia comparte con el fiscal que una vez la demandante tuvo conocimiento de que se usaban fondos del programa 31L en ausencia o desviación de su fin público, “no es irrazonable inferir […] que quien ejerce un alto cargo de responsabilidad política en materia económico-financiera no puede permanecer indiferente ante la disposición de caudales públicos” y concluye que “es razonable entender que tenía el deber de realizar alguna actuación […] tendente a evitar que esos caudales públicos siguieran concediéndose en ausencia de fin público o para fines diversos de los presupuestariamente autorizados”.</w:t>
      </w:r>
    </w:p>
    <w:p w14:paraId="107CC4EF" w14:textId="77777777" w:rsidR="003754FE" w:rsidRDefault="003754FE" w:rsidP="003754FE">
      <w:pPr>
        <w:pStyle w:val="TextoNormal"/>
      </w:pPr>
    </w:p>
    <w:p w14:paraId="3DF5135C" w14:textId="77777777" w:rsidR="003754FE" w:rsidRDefault="003754FE" w:rsidP="003754FE">
      <w:pPr>
        <w:pStyle w:val="TextoNormal"/>
      </w:pPr>
      <w:r>
        <w:t>Por tanto el motivo tercero de la demanda debió ser desestimado atendido el propio pronunciamiento de la sentencia.</w:t>
      </w:r>
    </w:p>
    <w:p w14:paraId="2AD8ED76" w14:textId="77777777" w:rsidR="003754FE" w:rsidRDefault="003754FE" w:rsidP="003754FE">
      <w:pPr>
        <w:pStyle w:val="TextoNormal"/>
      </w:pPr>
    </w:p>
    <w:p w14:paraId="448D3D76" w14:textId="77777777" w:rsidR="003754FE" w:rsidRDefault="003754FE" w:rsidP="003754FE">
      <w:pPr>
        <w:pStyle w:val="TextoNormal"/>
      </w:pPr>
      <w:r>
        <w:t>1.2.5. Por otra parte, el fundamento jurídico 5.3 B) c) abunda en el argumento anterior, cuando entiende que no es contrario a pautas metodológicas aceptadas comúnmente y a la interpretación teleológica conectada al delito, ni axiológicamente reprochable, que la recurrente tuviera funciones relativas al cuidado de caudales incompatibles con una posición de indiferencia o ajenidad al uso ilícito del patrimonio. Con ello insiste en la desestimación del único argumento esgrimido en el motivo tercero de la demanda.</w:t>
      </w:r>
    </w:p>
    <w:p w14:paraId="1ACD2DE0" w14:textId="77777777" w:rsidR="003754FE" w:rsidRDefault="003754FE" w:rsidP="003754FE">
      <w:pPr>
        <w:pStyle w:val="TextoNormal"/>
      </w:pPr>
    </w:p>
    <w:p w14:paraId="48E8B97B" w14:textId="77777777" w:rsidR="003754FE" w:rsidRDefault="003754FE" w:rsidP="003754FE">
      <w:pPr>
        <w:pStyle w:val="TextoNormal"/>
      </w:pPr>
      <w:r>
        <w:t>La sentencia considera razonable imputarle por comisión por omisión la disposición de fondos atendida la posición de garante que tenía como consecuencia de su cargo. Para la demandante era lo único controvertido en el motivo tercero de la demanda en relación al derecho a la legalidad penal.</w:t>
      </w:r>
    </w:p>
    <w:p w14:paraId="2FF8154D" w14:textId="77777777" w:rsidR="003754FE" w:rsidRDefault="003754FE" w:rsidP="003754FE">
      <w:pPr>
        <w:pStyle w:val="TextoNormal"/>
      </w:pPr>
    </w:p>
    <w:p w14:paraId="33350020" w14:textId="77777777" w:rsidR="003754FE" w:rsidRDefault="003754FE" w:rsidP="003754FE">
      <w:pPr>
        <w:pStyle w:val="TextoNormal"/>
      </w:pPr>
      <w:r>
        <w:t>1.3. Conclusión. El motivo tercero de la demanda debió ser desestimado y consiguientemente la vulneración del derecho a la legalidad penal en el mismo invocada</w:t>
      </w:r>
    </w:p>
    <w:p w14:paraId="60DFA33A" w14:textId="77777777" w:rsidR="003754FE" w:rsidRDefault="003754FE" w:rsidP="003754FE">
      <w:pPr>
        <w:pStyle w:val="TextoNormal"/>
      </w:pPr>
    </w:p>
    <w:p w14:paraId="6275DA75" w14:textId="77777777" w:rsidR="003754FE" w:rsidRDefault="003754FE" w:rsidP="003754FE">
      <w:pPr>
        <w:pStyle w:val="TextoNormal"/>
      </w:pPr>
      <w:r>
        <w:lastRenderedPageBreak/>
        <w:t>En suma, la sentencia debió desestimar la queja planteada en el motivo tercero de la demanda por los propios fundamentos que expone y que son de aplicación al motivo alegado. Sin embargo, por razones ajenas al planteamiento de la demanda y de modo incoherente, con argumentos que no pueden ser compartidos —como ya hemos expresado en otros votos particulares— estima parcialmente el motivo tercero al reconstruirlo efectuando de tal modo una verdadera, e inadmisible, revisión de oficio de la sentencia del Tribunal Supremo al margen de cualquier debate de las partes.</w:t>
      </w:r>
    </w:p>
    <w:p w14:paraId="7356EA05" w14:textId="77777777" w:rsidR="003754FE" w:rsidRDefault="003754FE" w:rsidP="003754FE">
      <w:pPr>
        <w:pStyle w:val="TextoNormal"/>
      </w:pPr>
    </w:p>
    <w:p w14:paraId="467B4EF2" w14:textId="77777777" w:rsidR="003754FE" w:rsidRDefault="003754FE" w:rsidP="003754FE">
      <w:pPr>
        <w:pStyle w:val="TextoNormal"/>
      </w:pPr>
      <w:r>
        <w:t>2. Inadmisible razonamiento de la sentencia en relación con el derecho a la legalidad penal (art. 25.1 CE)</w:t>
      </w:r>
    </w:p>
    <w:p w14:paraId="55DB3A1F" w14:textId="77777777" w:rsidR="003754FE" w:rsidRDefault="003754FE" w:rsidP="003754FE">
      <w:pPr>
        <w:pStyle w:val="TextoNormal"/>
      </w:pPr>
    </w:p>
    <w:p w14:paraId="7DE04C9B" w14:textId="77777777" w:rsidR="003754FE" w:rsidRDefault="003754FE" w:rsidP="003754FE">
      <w:pPr>
        <w:pStyle w:val="TextoNormal"/>
      </w:pPr>
      <w:r>
        <w:t xml:space="preserve">a) Las razones, no alegadas en la demanda, por las que la sentencia que resuelve el recurso de amparo estima vulnerado el derecho a la legalidad penal (art. 25.1 CE), como hemos advertido en otros votos particulares, se basan en un argumento falaz que se repite a modo de </w:t>
      </w:r>
      <w:r w:rsidRPr="003754FE">
        <w:rPr>
          <w:i/>
        </w:rPr>
        <w:t>mantra</w:t>
      </w:r>
      <w:r>
        <w:t xml:space="preserve"> jurídico reiterado en las sucesivas sentencias que se han sometido a deliberación: “no puede considerarse ilegal ni indebido otorgar las referidas ayudas, de acuerdo con lo establecido en el programa 31L de las leyes de presupuestos de aquellos años y las memorias que las acompañaban”.</w:t>
      </w:r>
    </w:p>
    <w:p w14:paraId="76C74C3C" w14:textId="77777777" w:rsidR="003754FE" w:rsidRDefault="003754FE" w:rsidP="003754FE">
      <w:pPr>
        <w:pStyle w:val="TextoNormal"/>
      </w:pPr>
    </w:p>
    <w:p w14:paraId="35A70EE5" w14:textId="77777777" w:rsidR="003754FE" w:rsidRDefault="003754FE" w:rsidP="003754FE">
      <w:pPr>
        <w:pStyle w:val="TextoNormal"/>
      </w:pPr>
      <w:r>
        <w:t>b) Tal afirmación es insostenible por la sencilla razón de que las leyes no delinquieron, ni —como les atribuye la sentencia que resuelve el recurso de amparo mediante la errónea atribución efectuada a la sentencia del Tribunal Supremo— pretendieron delinquir en el caso de corrupción política más importante de la reciente historia de España. Delinquieron, como aseveran las sentencias recurridas, quienes concedieron, de modo libérrimo y voluntario, las ayudas sociolaborales y dispusieron de los fondos públicos como si fueran propios o quienes pudiendo evitarlo y conociéndolo consintieron esa disposición de fondos.</w:t>
      </w:r>
    </w:p>
    <w:p w14:paraId="6041220A" w14:textId="77777777" w:rsidR="003754FE" w:rsidRDefault="003754FE" w:rsidP="003754FE">
      <w:pPr>
        <w:pStyle w:val="TextoNormal"/>
      </w:pPr>
    </w:p>
    <w:p w14:paraId="283A7B43" w14:textId="77777777" w:rsidR="003754FE" w:rsidRDefault="003754FE" w:rsidP="003754FE">
      <w:pPr>
        <w:pStyle w:val="TextoNormal"/>
      </w:pPr>
      <w:r>
        <w:t>c) Así lo afirmó la STS 749/2022, en su FJ 141.2.4, pág. 1066, cuando indicó que “si bien el Parlamento aprobó las partidas presupuestarias aludidas en el relato fáctico durante los años 2002 a 2009, también lo es que no puede afirmarse que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 Y añade que: “La aprobación parlamentaria de los distintos créditos presupuestarios no puede ser coartada para justificar los pagos ilegales. La actuación del director general del IFA/IDEA no era obligada”.</w:t>
      </w:r>
    </w:p>
    <w:p w14:paraId="5A981B33" w14:textId="77777777" w:rsidR="003754FE" w:rsidRDefault="003754FE" w:rsidP="003754FE">
      <w:pPr>
        <w:pStyle w:val="TextoNormal"/>
      </w:pPr>
    </w:p>
    <w:p w14:paraId="265CFDE9" w14:textId="77777777" w:rsidR="003754FE" w:rsidRDefault="003754FE" w:rsidP="003754FE">
      <w:pPr>
        <w:pStyle w:val="TextoNormal"/>
      </w:pPr>
      <w:r>
        <w:t>d) Ninguno de los condenados estaba amparado, ni venía obligado por las sucesivas leyes de presupuestos, para cometer los delitos. Las leyes eran neutras en la previsión de transferencias de financiación para gastos de explotación. Quienes delinquieron fueron quienes programaron las trasferencias de financiación de modo innecesario con la idea de que otros tuvieran recursos para destinarlos a fines ajenos a los presupuestados o quienes se aprovecharon o consintieron que otros se aprovecharan de su dotación presupuestaria para dedicarla, no a su destino de gastos de explotación, sino a otros no previstos en los presupuestos.</w:t>
      </w:r>
    </w:p>
    <w:p w14:paraId="171610FF" w14:textId="77777777" w:rsidR="003754FE" w:rsidRDefault="003754FE" w:rsidP="003754FE">
      <w:pPr>
        <w:pStyle w:val="TextoNormal"/>
      </w:pPr>
    </w:p>
    <w:p w14:paraId="229B0D73" w14:textId="77777777" w:rsidR="003754FE" w:rsidRDefault="003754FE" w:rsidP="003754FE">
      <w:pPr>
        <w:pStyle w:val="TextoNormal"/>
      </w:pPr>
      <w:r>
        <w:t xml:space="preserve">e) En todo caso debemos insistir, para tener presente la inadmisible deriva argumental de la sentencia, que la recurrente en el motivo tercero de la demanda de amparo planteaba un </w:t>
      </w:r>
      <w:r>
        <w:lastRenderedPageBreak/>
        <w:t>problema que nada tenía que ver con “la legitimidad” y “la licitud” o no de los actos de disposición de fondos, esto es, si se ajustaban o no a las leyes de presupuestos, si se apartaban o no de los fines legítimos que tales leyes establecían. La sentencia efectúa una revisión de oficio de las sentencias de instancia y de casación inadmisible desde todo punto de vista.</w:t>
      </w:r>
    </w:p>
    <w:p w14:paraId="411C50E0" w14:textId="77777777" w:rsidR="003754FE" w:rsidRDefault="003754FE" w:rsidP="003754FE">
      <w:pPr>
        <w:pStyle w:val="TextoNormal"/>
      </w:pPr>
    </w:p>
    <w:p w14:paraId="5D58AF6E" w14:textId="77777777" w:rsidR="003754FE" w:rsidRDefault="003754FE" w:rsidP="003754FE">
      <w:pPr>
        <w:pStyle w:val="TextoNormal"/>
      </w:pPr>
      <w:r>
        <w:t>3. Extralimitación de la sentencia de las funciones que le corresponden al Tribunal Constitucional al examinar la vulneración del derecho a la presunción de inocencia</w:t>
      </w:r>
    </w:p>
    <w:p w14:paraId="25FD9E5C" w14:textId="77777777" w:rsidR="003754FE" w:rsidRDefault="003754FE" w:rsidP="003754FE">
      <w:pPr>
        <w:pStyle w:val="TextoNormal"/>
      </w:pPr>
    </w:p>
    <w:p w14:paraId="592ADEA0" w14:textId="77777777" w:rsidR="003754FE" w:rsidRDefault="003754FE" w:rsidP="003754FE">
      <w:pPr>
        <w:pStyle w:val="TextoNormal"/>
      </w:pPr>
      <w:r>
        <w:t>3.1. Planeamiento de la recurrente</w:t>
      </w:r>
    </w:p>
    <w:p w14:paraId="3CD4037A" w14:textId="77777777" w:rsidR="003754FE" w:rsidRDefault="003754FE" w:rsidP="003754FE">
      <w:pPr>
        <w:pStyle w:val="TextoNormal"/>
      </w:pPr>
    </w:p>
    <w:p w14:paraId="52CBED83" w14:textId="77777777" w:rsidR="003754FE" w:rsidRDefault="003754FE" w:rsidP="003754FE">
      <w:pPr>
        <w:pStyle w:val="TextoNormal"/>
      </w:pPr>
      <w:r>
        <w:t>La demandante de amparo invoca la vulneración del derecho a la presunción de inocencia por la condena por el delito de malversación al considerar que no existió prueba de cargo sobre el elemento subjetivo de la malversación. Indica que la prueba se basa en inferencias excesivamente abiertas, débiles e indeterminadas, basada en indicios insuficientes, sin tomar en consideración los contraindicios existentes. Expone el contenido del voto particular suscrito por dos magistradas del Tribunal Supremo y refiere compartirlos.</w:t>
      </w:r>
    </w:p>
    <w:p w14:paraId="2A959965" w14:textId="77777777" w:rsidR="003754FE" w:rsidRDefault="003754FE" w:rsidP="003754FE">
      <w:pPr>
        <w:pStyle w:val="TextoNormal"/>
      </w:pPr>
    </w:p>
    <w:p w14:paraId="20E20553" w14:textId="77777777" w:rsidR="003754FE" w:rsidRDefault="003754FE" w:rsidP="003754FE">
      <w:pPr>
        <w:pStyle w:val="TextoNormal"/>
      </w:pPr>
      <w:r>
        <w:t>3.2. Doctrina constitucional sobre la presunción de inocencia</w:t>
      </w:r>
    </w:p>
    <w:p w14:paraId="1DF218DD" w14:textId="77777777" w:rsidR="003754FE" w:rsidRDefault="003754FE" w:rsidP="003754FE">
      <w:pPr>
        <w:pStyle w:val="TextoNormal"/>
      </w:pPr>
    </w:p>
    <w:p w14:paraId="7DC12575" w14:textId="77777777" w:rsidR="003754FE" w:rsidRDefault="003754FE" w:rsidP="003754FE">
      <w:pPr>
        <w:pStyle w:val="TextoNormal"/>
      </w:pPr>
      <w:r>
        <w:t>Este tribunal viene afirmando desde la STC 31/1981, de 28 de julio, que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de la que quepa inferir razonablemente los hechos y la participación del acusado en los mismos. De modo que, como se declara en la STC 189/1998, de 28 de septiembre, “solo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w:t>
      </w:r>
      <w:r w:rsidRPr="003754FE">
        <w:rPr>
          <w:i/>
        </w:rPr>
        <w:t>l it</w:t>
      </w:r>
      <w:r>
        <w:t>er discursivo que conduce de la prueba al hecho probado” (FJ 2).</w:t>
      </w:r>
    </w:p>
    <w:p w14:paraId="6F82CE2F" w14:textId="77777777" w:rsidR="003754FE" w:rsidRDefault="003754FE" w:rsidP="003754FE">
      <w:pPr>
        <w:pStyle w:val="TextoNormal"/>
      </w:pPr>
    </w:p>
    <w:p w14:paraId="5744C171" w14:textId="77777777" w:rsidR="003754FE" w:rsidRDefault="003754FE" w:rsidP="003754FE">
      <w:pPr>
        <w:pStyle w:val="TextoNormal"/>
      </w:pPr>
      <w:r>
        <w:t>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(por todas, STC 137/2005, de 23 de mayo, FJ 2).</w:t>
      </w:r>
    </w:p>
    <w:p w14:paraId="2B705C3A" w14:textId="77777777" w:rsidR="003754FE" w:rsidRDefault="003754FE" w:rsidP="003754FE">
      <w:pPr>
        <w:pStyle w:val="TextoNormal"/>
      </w:pPr>
    </w:p>
    <w:p w14:paraId="6EC9D7D0" w14:textId="77777777" w:rsidR="003754FE" w:rsidRDefault="003754FE" w:rsidP="003754FE">
      <w:pPr>
        <w:pStyle w:val="TextoNormal"/>
      </w:pPr>
      <w:r>
        <w:t xml:space="preserve">De este modo, hemos declarado con especial contundencia que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[entre otras, SSTC 111/2008, de 22 de septiembre, FJ 3 a), y 68/2010, de 18 de octubre, FJ 4], advirtiendo que esta supervisión externa que hemos de realizar para apreciar la razonabilidad del expresado discurso ha de ser “extraordinariamente cautelosa” pues, en rigor, “la función de este tribunal no consiste en enjuiciar el resultado alcanzado, </w:t>
      </w:r>
      <w:r>
        <w:lastRenderedPageBreak/>
        <w:t>sino el control externo del razonamiento lógico seguido para llegar a él” (STC 66/2009, de 9 de marzo, FJ 6).</w:t>
      </w:r>
    </w:p>
    <w:p w14:paraId="6EB342A4" w14:textId="77777777" w:rsidR="003754FE" w:rsidRDefault="003754FE" w:rsidP="003754FE">
      <w:pPr>
        <w:pStyle w:val="TextoNormal"/>
      </w:pPr>
    </w:p>
    <w:p w14:paraId="50F2D14D" w14:textId="77777777" w:rsidR="003754FE" w:rsidRDefault="003754FE" w:rsidP="003754FE">
      <w:pPr>
        <w:pStyle w:val="TextoNormal"/>
      </w:pPr>
      <w:r>
        <w:t>Esta imposibilidad de revisar por parte de este Tribunal Constitucional los diferentes elementos probatorios en que los tribunales penales basan su convicción, en la forma expuesta, resulta fundamentada, además, tanto por la prohibición legal de que el Tribunal Constitucional entre a valorar los hechos del proceso [art. 44.1 b) LOTC], como por la imposibilidad material de que los procesos constitucionales puedan contar con las garantías de oralidad, inmediación y contradicción que deben rodear a la valoración probatoria.</w:t>
      </w:r>
    </w:p>
    <w:p w14:paraId="5425C7CD" w14:textId="77777777" w:rsidR="003754FE" w:rsidRDefault="003754FE" w:rsidP="003754FE">
      <w:pPr>
        <w:pStyle w:val="TextoNormal"/>
      </w:pPr>
    </w:p>
    <w:p w14:paraId="62EA782D" w14:textId="77777777" w:rsidR="003754FE" w:rsidRDefault="003754FE" w:rsidP="003754FE">
      <w:pPr>
        <w:pStyle w:val="TextoNormal"/>
      </w:pPr>
      <w:r>
        <w:t>3.3. Extralimitación de la sentencia de las funciones que le corresponden al Tribunal Constitucional al examinar la vulneración del derecho a la presunción de inocencia</w:t>
      </w:r>
    </w:p>
    <w:p w14:paraId="2AEA7FA4" w14:textId="77777777" w:rsidR="003754FE" w:rsidRDefault="003754FE" w:rsidP="003754FE">
      <w:pPr>
        <w:pStyle w:val="TextoNormal"/>
      </w:pPr>
    </w:p>
    <w:p w14:paraId="5CCECABF" w14:textId="77777777" w:rsidR="003754FE" w:rsidRDefault="003754FE" w:rsidP="003754FE">
      <w:pPr>
        <w:pStyle w:val="TextoNormal"/>
      </w:pPr>
      <w:r>
        <w:t>3.3.1. Modo en que la sentencia enfoca la queja relativa a la vulneración del derecho fundamental a la presunción de inocencia</w:t>
      </w:r>
    </w:p>
    <w:p w14:paraId="6193B684" w14:textId="77777777" w:rsidR="003754FE" w:rsidRDefault="003754FE" w:rsidP="003754FE">
      <w:pPr>
        <w:pStyle w:val="TextoNormal"/>
      </w:pPr>
    </w:p>
    <w:p w14:paraId="10C2B16D" w14:textId="77777777" w:rsidR="003754FE" w:rsidRDefault="003754FE" w:rsidP="003754FE">
      <w:pPr>
        <w:pStyle w:val="TextoNormal"/>
      </w:pPr>
      <w:r>
        <w:t>a) Delimita el examen del derecho a la presunción de inocencia a unas concretas disposiciones de fondos. En tal sentido afirma en el primer párrafo del fundamento jurídico 6.4 que el examen se va a circunscribir a los delitos de malversación que traen causa en las “las disposiciones de fondos efectivamente realizadas desde la Consejería de Empleo en ausencia de fin público y a las disposiciones enumeradas en el apartado C) del hecho probado vigesimosegundo, donde se hace constar que algunos fondos del programa 31L se aplicaron a fines distintos y ajenos a los determinados en el mismo”.</w:t>
      </w:r>
    </w:p>
    <w:p w14:paraId="397E9CF0" w14:textId="77777777" w:rsidR="003754FE" w:rsidRDefault="003754FE" w:rsidP="003754FE">
      <w:pPr>
        <w:pStyle w:val="TextoNormal"/>
      </w:pPr>
    </w:p>
    <w:p w14:paraId="7DCA6E00" w14:textId="77777777" w:rsidR="003754FE" w:rsidRDefault="003754FE" w:rsidP="003754FE">
      <w:pPr>
        <w:pStyle w:val="TextoNormal"/>
      </w:pPr>
      <w:r>
        <w:t>b) La sentencia frente a la que formulamos voto particular comienza el examen del motivo sexto de la demanda dejando claro que la garantía del control de la presunción de inocencia exige orientar el foco de control en la concurrencia de elementos fácticos y argumentales “de una precisión suficiente” para justificar la atribución personal de todos o de alguno de los desvíos de fondos a fines ajenos a los previstos en los programas presupuestarios en el tiempo en que la demandante ejerció el cargo de viceconsejera de Hacienda desde el mes de abril de 2004 y de consejera de Hacienda desde el mes de abril de 2009.</w:t>
      </w:r>
    </w:p>
    <w:p w14:paraId="2361B854" w14:textId="77777777" w:rsidR="003754FE" w:rsidRDefault="003754FE" w:rsidP="003754FE">
      <w:pPr>
        <w:pStyle w:val="TextoNormal"/>
      </w:pPr>
    </w:p>
    <w:p w14:paraId="6B6E3421" w14:textId="77777777" w:rsidR="003754FE" w:rsidRDefault="003754FE" w:rsidP="003754FE">
      <w:pPr>
        <w:pStyle w:val="TextoNormal"/>
      </w:pPr>
      <w:r>
        <w:t>c) Al examinar la vulneración del derecho a la presunción de inocencia en relación con la participación y conocimiento del demandante en las disposiciones realizadas desde la Consejería de Empleo en ausencia de fin público y las enumeradas en el apartado C) del hecho probado segundo, donde se hace constar que algunos fondos del programa 3.1 L se aplicaron a fines distintos y ajenos a los determinados en el mismo.</w:t>
      </w:r>
    </w:p>
    <w:p w14:paraId="1A593F9B" w14:textId="77777777" w:rsidR="003754FE" w:rsidRDefault="003754FE" w:rsidP="003754FE">
      <w:pPr>
        <w:pStyle w:val="TextoNormal"/>
      </w:pPr>
    </w:p>
    <w:p w14:paraId="78DA4093" w14:textId="77777777" w:rsidR="003754FE" w:rsidRDefault="003754FE" w:rsidP="003754FE">
      <w:pPr>
        <w:pStyle w:val="TextoNormal"/>
      </w:pPr>
      <w:r>
        <w:t>d) La sentencia de la que discrepamos indica que no aparece detallada con exhaustividad la motivación de la posible participación de la recurrente en la asignación de fondos de dicho programa. Sostiene que la resolución de instancia no desarrolla un mínimo juicio de autoría que permita determinar si la recurrente tuvo el dominio funcional del hecho y si realizó u omitió, dentro del marco de dicho dominio, actos que la involucraran personalmente en la dinámica seguida en la Consejería de Empleo que concedía ayudas a quienes no las necesitaban o las destinaba a fines distintos de los programados. Indica que la sentencia de instancia no describe ninguna modalidad de acuerdo o adhesión de la encausada a un plan preconcebido dirigido al desvío de estas cantidades.</w:t>
      </w:r>
    </w:p>
    <w:p w14:paraId="6D0B47EB" w14:textId="77777777" w:rsidR="003754FE" w:rsidRDefault="003754FE" w:rsidP="003754FE">
      <w:pPr>
        <w:pStyle w:val="TextoNormal"/>
      </w:pPr>
    </w:p>
    <w:p w14:paraId="6E42AA89" w14:textId="77777777" w:rsidR="003754FE" w:rsidRDefault="003754FE" w:rsidP="003754FE">
      <w:pPr>
        <w:pStyle w:val="TextoNormal"/>
      </w:pPr>
      <w:r>
        <w:lastRenderedPageBreak/>
        <w:t>e) Añade, en relación con el elemento subjetivo, que este debe proyectarse sobre esas concretas disposiciones. Examina los informes de control financiero permanente de la agencia y la existencia de déficit en la Consejería de Empleo como consecuencia del sistema de gestión de tales ayudas y concluye que no resulta suficiente para establecer de manera cierta y precisa que la demandante hubiera intervenido, con conocimiento de causa, en la realización de alguna o algunas de las disposiciones de tales fondos.</w:t>
      </w:r>
    </w:p>
    <w:p w14:paraId="0F29F3E2" w14:textId="77777777" w:rsidR="003754FE" w:rsidRDefault="003754FE" w:rsidP="003754FE">
      <w:pPr>
        <w:pStyle w:val="TextoNormal"/>
      </w:pPr>
    </w:p>
    <w:p w14:paraId="4F9D8710" w14:textId="77777777" w:rsidR="003754FE" w:rsidRDefault="003754FE" w:rsidP="003754FE">
      <w:pPr>
        <w:pStyle w:val="TextoNormal"/>
      </w:pPr>
      <w:r>
        <w:t>Incluso se permite valorar el contenido de tales informes de la Intervención de la Junta de Andalucía “para situar en sus justos términos la fuerza probatoria de los mismos”. Examina el contenido de los informes y la declaración de los peritos de la Intervención General de la Administración del Estado y concluye que:</w:t>
      </w:r>
    </w:p>
    <w:p w14:paraId="3A97A386" w14:textId="77777777" w:rsidR="003754FE" w:rsidRDefault="003754FE" w:rsidP="003754FE">
      <w:pPr>
        <w:pStyle w:val="TextoNormal"/>
      </w:pPr>
    </w:p>
    <w:p w14:paraId="72F5E090" w14:textId="77777777" w:rsidR="003754FE" w:rsidRDefault="003754FE" w:rsidP="003754FE">
      <w:pPr>
        <w:pStyle w:val="TextoNormal"/>
      </w:pPr>
      <w:r>
        <w:t>“En definitiva, los informes de la Intervención que la sentencia de instancia analiza como medio de prueba acreditativo del tipo subjetivo de la malversación no llegan a demostrar que la señora Martínez Aguayo hubiera realizado los hechos que se le atribuyen (la aprobación de presupuestos y modificaciones presupuestarias) con una representación suficiente de que las ayudas se fueran a conceder al margen de toda finalidad pública. Tampoco es un dato concluyente que tuviera conocimiento del déficit contable que se producía en la agencia IDEA pues el mismo era una consecuencia asociada al sistema de presupuestación y gestión de las transferencias de financiación determinado en las leyes de presupuestos.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que aparecen descritas en el fundamento de Derecho 45 de la sentencia de instancia”.</w:t>
      </w:r>
    </w:p>
    <w:p w14:paraId="7F943A76" w14:textId="77777777" w:rsidR="003754FE" w:rsidRDefault="003754FE" w:rsidP="003754FE">
      <w:pPr>
        <w:pStyle w:val="TextoNormal"/>
      </w:pPr>
    </w:p>
    <w:p w14:paraId="5BDB2EFE" w14:textId="77777777" w:rsidR="003754FE" w:rsidRDefault="003754FE" w:rsidP="003754FE">
      <w:pPr>
        <w:pStyle w:val="TextoNormal"/>
      </w:pPr>
      <w:r>
        <w:t>3.3.2. Extralimitación de la sentencia de las funciones que le corresponden al Tribunal Constitucional al examinar la vulneración del derecho a la presunción de inocencia. Actividad probatoria suficiente, realizada con las garantías necesarias referida a la existencia de dolo</w:t>
      </w:r>
    </w:p>
    <w:p w14:paraId="4F89D0FD" w14:textId="77777777" w:rsidR="003754FE" w:rsidRDefault="003754FE" w:rsidP="003754FE">
      <w:pPr>
        <w:pStyle w:val="TextoNormal"/>
      </w:pPr>
    </w:p>
    <w:p w14:paraId="2D209B3B" w14:textId="77777777" w:rsidR="003754FE" w:rsidRDefault="003754FE" w:rsidP="003754FE">
      <w:pPr>
        <w:pStyle w:val="TextoNormal"/>
      </w:pPr>
      <w:r>
        <w:t>a) La sentencia estima la vulneración del derecho a la presunción de inocencia. Para ello efectúa un extracto mínimo y sesgado del contenido de la sentencia de la Audiencia Provincial y apenas se refiere a la del Tribunal Supremo. En apenas diez páginas, como sucede en las otras ponencias presentadas a deliberación, reexamina la valoración probatoria de la sentencia de la Audiencia Provincial efectuada en las págs. 1149 a 1207 y apenas dedica alguna frase al modo en que el Tribunal Supremo aborda la lesión del derecho a la presunción de inocencia. Las razones de las extensas sentencias de la Audiencia Provincial y del Tribunal Supremo no pueden ser suplidas por el silencio que de las mismas se guarda en los antecedentes de la sentencia de este tribunal, ni por la mínima mención que se efectúa al razonamiento de ambas.</w:t>
      </w:r>
    </w:p>
    <w:p w14:paraId="4BA9E441" w14:textId="77777777" w:rsidR="003754FE" w:rsidRDefault="003754FE" w:rsidP="003754FE">
      <w:pPr>
        <w:pStyle w:val="TextoNormal"/>
      </w:pPr>
    </w:p>
    <w:p w14:paraId="7B896F99" w14:textId="77777777" w:rsidR="003754FE" w:rsidRDefault="003754FE" w:rsidP="003754FE">
      <w:pPr>
        <w:pStyle w:val="TextoNormal"/>
      </w:pPr>
      <w:r>
        <w:t xml:space="preserve">b) La sentencia de la que discrepamos no toma en consideración que el tribunal de instancia valoró la abundante prueba practicada a lo largo de las múltiples sesiones en las que se celebró el juicio oral. Entre ellas examinó las declaraciones de los acusados, las declaraciones testificales, la ingente prueba documental y el contenido de los informes periciales de distintas autoridades y organismos. La prueba fundamental, aunque no la única para </w:t>
      </w:r>
      <w:r>
        <w:lastRenderedPageBreak/>
        <w:t>acreditar la forma en que se gestionaron las ayudas, es el informe pericial elaborado por la Intervención General de la Administración del Estado, ratificado en el juicio oral.</w:t>
      </w:r>
    </w:p>
    <w:p w14:paraId="1067119E" w14:textId="77777777" w:rsidR="003754FE" w:rsidRDefault="003754FE" w:rsidP="003754FE">
      <w:pPr>
        <w:pStyle w:val="TextoNormal"/>
      </w:pPr>
    </w:p>
    <w:p w14:paraId="6E4C478C" w14:textId="77777777" w:rsidR="003754FE" w:rsidRDefault="003754FE" w:rsidP="003754FE">
      <w:pPr>
        <w:pStyle w:val="TextoNormal"/>
      </w:pPr>
      <w:r>
        <w:t>Entre la documental destaca la pluralidad de informes que alertaron de las numerosas irregularidades a lo largo de los años. Así lo expuso la STS 749/2022 cuando indicó que el conocimiento de la situación era incuestionable también para “algunas de las autoridades que aprobaron las partidas presupuestarias y que fueron informadas de la gestión altamente irregular de las ayudas. Las pruebas acreditativas de ese conocimiento vienen conformadas por una serie de informes que se sucedieron en el tiempo y cuyo contenido, coincidente con el Informe que posteriormente elaboró la Intervención General de la Administración del Estado, acredita, sin duda, la ilegalidad de la gestión, el absoluto descontrol y la total discrecionalidad con la que se concedían las ayudas o se utilizaban los fondos” (sentencia del Tribunal Supremo, fundamento de Derecho 33.4, pág. 326).</w:t>
      </w:r>
    </w:p>
    <w:p w14:paraId="620CC72F" w14:textId="77777777" w:rsidR="003754FE" w:rsidRDefault="003754FE" w:rsidP="003754FE">
      <w:pPr>
        <w:pStyle w:val="TextoNormal"/>
      </w:pPr>
    </w:p>
    <w:p w14:paraId="494545B7" w14:textId="77777777" w:rsidR="003754FE" w:rsidRDefault="003754FE" w:rsidP="003754FE">
      <w:pPr>
        <w:pStyle w:val="TextoNormal"/>
      </w:pPr>
      <w:r>
        <w:t>Sostienen las sentencias de instancia y de casación que de los informes destaca el informe adicional de ayudas de 2003 “pero en los restantes se insiste en la ilegalidad del proceso que se estaba siguiendo lo que, unido al contenido del primer informe, revela que existió información continuada que permitió conocer lo que estaba sucediendo y posibilitó que se adoptaran decisiones para poner fin al dispendio de fondos públicos” (sentencia del Tribunal Supremo, fundamento de Derecho 33.4).</w:t>
      </w:r>
    </w:p>
    <w:p w14:paraId="18A3BFC6" w14:textId="77777777" w:rsidR="003754FE" w:rsidRDefault="003754FE" w:rsidP="003754FE">
      <w:pPr>
        <w:pStyle w:val="TextoNormal"/>
      </w:pPr>
    </w:p>
    <w:p w14:paraId="6327AC52" w14:textId="77777777" w:rsidR="003754FE" w:rsidRDefault="003754FE" w:rsidP="003754FE">
      <w:pPr>
        <w:pStyle w:val="TextoNormal"/>
      </w:pPr>
      <w:r>
        <w:t>La convicción así obtenida una vez valorada la prueba practicada es reforzada por las siguientes afirmaciones de la sentencia del Tribunal Supremo, que están en la línea del pronunciamiento de la propia sentencia de la que discrepamos cuando ha considerado razonable atribuir a la recurrente la posición de garante: (a) Que el ejercicio de las propias competencias obligaba a que se actuara responsablemente y con la debida diligencia, por lo que no resulta creíble un absoluto desconocimiento de los hechos cuando lo que se afirma como desconocido era una flagrante infracción de la ley cometida en el núcleo de las propias competencias. (b) Que concurrían además otros hechos que se presentaban como fuentes diversas de conocimiento sobre la ilegalidad a la que todos los condenados contribuyeron desde su posición institucional —y que, ha de añadirse ahora, necesariamente tenían que haberles alertado sobre la elevada posibilidad de aparición de conductas desviadas en la administración de los fondos públicos, si es que se ignoraba que ese era el auténtico propósito inicial—, como los siguientes: (i) el origen político de la concesión de las ayudas y su relevancia dentro del programa político del Gobierno; (ii) la forma en que se gestó el cambio de presupuestación; (iii) las consecuencias inmediatas que ese cambio tuvo en orden a la supresión de controles y a la opacidad en la concesión de las ayudas; (iv) los problemas recurrentes que se produjeron en la contabilidad de los pagos realizados por el IFA/IDEA; (v) la intervención de alguno de los condenados en las gestiones previas con empresas para la concesión de las ayudas; (vi) el conocimiento de la normativa que cada uno debía tener en atención al cargo desempeñado; (vii) los criterios exigibles a una administración o el ejercicio del cargo mínimamente diligente; (viii) el contenido de los documentos formalizados para la aprobación de los créditos presupuestarios y las advertencias que se produjeron en distintos informes de la Intervención sobre la ilegalidad del proceso de presupuestación o sobre la forma en que se estaban gestionando las ayudas (sentencia del Tribunal Supremo, fundamento de Derecho 45.3).</w:t>
      </w:r>
    </w:p>
    <w:p w14:paraId="2971F471" w14:textId="77777777" w:rsidR="003754FE" w:rsidRDefault="003754FE" w:rsidP="003754FE">
      <w:pPr>
        <w:pStyle w:val="TextoNormal"/>
      </w:pPr>
    </w:p>
    <w:p w14:paraId="1CCF407F" w14:textId="77777777" w:rsidR="003754FE" w:rsidRDefault="003754FE" w:rsidP="003754FE">
      <w:pPr>
        <w:pStyle w:val="TextoNormal"/>
      </w:pPr>
      <w:r>
        <w:lastRenderedPageBreak/>
        <w:t>Pues bien, la extensa y pormenorizada fundamentación contenida en la sentencia de instancia y en la de casación permite descartar la vulneración del derecho a la presunción de inocencia, pues es perfectamente racional inferir de la misma la existencia de dolo en la recurrente.</w:t>
      </w:r>
    </w:p>
    <w:p w14:paraId="10B6560D" w14:textId="77777777" w:rsidR="003754FE" w:rsidRDefault="003754FE" w:rsidP="003754FE">
      <w:pPr>
        <w:pStyle w:val="TextoNormal"/>
      </w:pPr>
    </w:p>
    <w:p w14:paraId="1FCD715B" w14:textId="77777777" w:rsidR="003754FE" w:rsidRDefault="003754FE" w:rsidP="003754FE">
      <w:pPr>
        <w:pStyle w:val="TextoNormal"/>
      </w:pPr>
      <w:r>
        <w:t>c) La mínima actividad probatoria referida a la realización de la conducta típica por la recurrente de amparo, valorada por los órganos judiciales de modo que no sea ilógica o insuficiente por irrazonable, que se exige para descartar la vulneración del derecho a la presunción de inocencia, ha sido satisfecha con creces en las sentencias recurridas. Basta remitirse a las extensas razones dadas por el Ministerio Fiscal para desestimar esta vulneración. No le correspondía al Tribunal revisar la valoración efectuada a través de la cual los jueces alcanzaron su íntima convicción, sino solo controlar la razonabilidad del discurso que une la actividad probatoria y el relato fáctico pero mediante una supervisión externa “extraordinariamente cautelosa”.</w:t>
      </w:r>
    </w:p>
    <w:p w14:paraId="528175CD" w14:textId="77777777" w:rsidR="003754FE" w:rsidRDefault="003754FE" w:rsidP="003754FE">
      <w:pPr>
        <w:pStyle w:val="TextoNormal"/>
      </w:pPr>
    </w:p>
    <w:p w14:paraId="64928D90" w14:textId="77777777" w:rsidR="003754FE" w:rsidRDefault="003754FE" w:rsidP="003754FE">
      <w:pPr>
        <w:pStyle w:val="TextoNormal"/>
      </w:pPr>
      <w:r>
        <w:t>d) La sentencia que resuelve el recurso de amparo asume una posición de tribunal revisor de la valoración probatoria que no le corresponde y sustituye a los jueces y tribunales ordinarios en la función exclusiva que les atribuye el art. 117.3 CE. El recurso de amparo no es, ni puede convertirse, en un recurso de apelación, como tampoco el Tribunal Constitucional es una tercera instancia. La sentencia de la que discrepamos selecciona unos pocos párrafos, en que examina únicamente una parte de la extensa prueba practicada y materializa su propio juicio inferencial para descartar la acreditación del dolo.</w:t>
      </w:r>
    </w:p>
    <w:p w14:paraId="7076C4CD" w14:textId="77777777" w:rsidR="003754FE" w:rsidRDefault="003754FE" w:rsidP="003754FE">
      <w:pPr>
        <w:pStyle w:val="TextoNormal"/>
      </w:pPr>
    </w:p>
    <w:p w14:paraId="549C8670" w14:textId="77777777" w:rsidR="003754FE" w:rsidRDefault="003754FE" w:rsidP="003754FE">
      <w:pPr>
        <w:pStyle w:val="TextoNormal"/>
      </w:pPr>
      <w:r>
        <w:t>e) Con dicho modo de proceder se aparta en un asunto de tanta trascendencia del criterio rector que ha orientado desde los inicios del funcionamiento del Tribunal Constitucional —conforme a nuestra consolidada doctrina— el enjuiciamiento de las denuncias por vulneración del derecho a la presunción de inocencia. Dicho enjuiciamiento tradicionalmente ha sido marcadamente respetuoso con la valoración probatoria que efectúan los tribunales ordinarios que son los que con inmediación y contradicción presencian, a través de múltiples sesiones de juicio —como es el caso— la actividad probatoria y están en mejores condiciones para valorarla. Sustituir al tribunal de instancia en ese cometido en un juicio de la envergadura como el que ha originado este proceso constitucional contraviene nuestra doctrina, aunque sea con el manido argumento de insuficiente motivación que en este caso carece de sustento alguno.</w:t>
      </w:r>
    </w:p>
    <w:p w14:paraId="54C0E5D3" w14:textId="77777777" w:rsidR="003754FE" w:rsidRDefault="003754FE" w:rsidP="003754FE">
      <w:pPr>
        <w:pStyle w:val="TextoNormal"/>
      </w:pPr>
    </w:p>
    <w:p w14:paraId="5CCF4639" w14:textId="77777777" w:rsidR="003754FE" w:rsidRDefault="003754FE" w:rsidP="003754FE">
      <w:pPr>
        <w:pStyle w:val="TextoNormal"/>
      </w:pPr>
      <w:r>
        <w:t>f) Por tanto, puede concluirse de modo contundente que las resoluciones impugnadas, desde la perspectiva de la doctrina constitucional, contienen una argumentación lógica y razonable que se infiere de los hechos declarados probados y abarca todos los elementos del tipo del injusto —incluidos los subjetivos— respecto de la malversación de caudales públicos.</w:t>
      </w:r>
    </w:p>
    <w:p w14:paraId="417270C5" w14:textId="77777777" w:rsidR="003754FE" w:rsidRDefault="003754FE" w:rsidP="003754FE">
      <w:pPr>
        <w:pStyle w:val="TextoNormal"/>
      </w:pPr>
    </w:p>
    <w:p w14:paraId="74EB014B" w14:textId="77777777" w:rsidR="003754FE" w:rsidRDefault="003754FE" w:rsidP="003754FE">
      <w:pPr>
        <w:pStyle w:val="TextoNormal"/>
      </w:pPr>
      <w:r>
        <w:t>g) De este modo, el control externo de las sentencias que le corresponde a esta jurisdicción constitucional permite afirmar, contrariamente a lo sostenido en la sentencia frente a la que formulamos el presente voto particular, la razonabilidad del nexo establecido por las resoluciones, sin perjuicio de la respetable discrepancia del recurrente sobre otras alternativas posibles a las conclusiones alcanzadas por los órganos judiciales, sobre las que este tribunal no debe pronunciarse.</w:t>
      </w:r>
    </w:p>
    <w:p w14:paraId="1404E484" w14:textId="77777777" w:rsidR="003754FE" w:rsidRDefault="003754FE" w:rsidP="003754FE">
      <w:pPr>
        <w:pStyle w:val="TextoNormal"/>
      </w:pPr>
    </w:p>
    <w:p w14:paraId="7E4BFB93" w14:textId="77777777" w:rsidR="003754FE" w:rsidRDefault="003754FE" w:rsidP="003754FE">
      <w:pPr>
        <w:pStyle w:val="TextoNormal"/>
      </w:pPr>
      <w:r>
        <w:lastRenderedPageBreak/>
        <w:t>h) La sentencia ha efectuado una revisión de oficio de la motivación de las resoluciones impugnadas marginando la valoración probatoria de las sentencias a la que antes se ha hecho referencia y suplantando a los tribunales ordinarios en la función que les corresponde. De este modo, la sentencia efectúa un viraje en relación al tradicional modo de enfocar la vulneración del derecho a la presunción de inocencia y evalúa la valoración de la prueba conforme a criterios de calidad o de oportunidad, alejándose de la supervisión externa que le corresponde y de la “extraordinaria cautela” que debe asumir, al no ser función del Tribunal enjuiciar el resultado alcanzado, sino el control externo del razonamiento lógico seguido por las resoluciones impugnadas que, en razón de lo expuesto, justifican de modo coherente la existencia del dolo en la malversación.</w:t>
      </w:r>
    </w:p>
    <w:p w14:paraId="2ED0A1A6" w14:textId="77777777" w:rsidR="003754FE" w:rsidRDefault="003754FE" w:rsidP="003754FE">
      <w:pPr>
        <w:pStyle w:val="TextoNormal"/>
      </w:pPr>
    </w:p>
    <w:p w14:paraId="3E8E4BB7" w14:textId="77777777" w:rsidR="003754FE" w:rsidRDefault="003754FE" w:rsidP="003754FE">
      <w:pPr>
        <w:pStyle w:val="TextoNormal"/>
      </w:pPr>
      <w:r>
        <w:t>Por lo expuesto formulamos el presente voto particular.</w:t>
      </w:r>
    </w:p>
    <w:p w14:paraId="12CEF11F" w14:textId="77777777" w:rsidR="003754FE" w:rsidRDefault="003754FE" w:rsidP="003754FE">
      <w:pPr>
        <w:pStyle w:val="TextoNormal"/>
      </w:pPr>
    </w:p>
    <w:p w14:paraId="223045E0" w14:textId="2804E058" w:rsidR="003754FE" w:rsidRDefault="003754FE" w:rsidP="003754FE">
      <w:pPr>
        <w:pStyle w:val="TextoNormal"/>
      </w:pPr>
      <w:r>
        <w:t>Madrid, a tres de julio de dos mil veinticuatro.</w:t>
      </w:r>
    </w:p>
    <w:p w14:paraId="747EAF23" w14:textId="3B11D1B1" w:rsidR="003754FE" w:rsidRDefault="003754FE">
      <w:pPr>
        <w:spacing w:after="160" w:line="278" w:lineRule="auto"/>
        <w:rPr>
          <w:rFonts w:ascii="Times New Roman" w:eastAsia="Times New Roman" w:hAnsi="Times New Roman" w:cs="Times New Roman"/>
          <w:sz w:val="24"/>
          <w:szCs w:val="24"/>
          <w:lang w:eastAsia="es-ES"/>
        </w:rPr>
      </w:pPr>
      <w:r>
        <w:br w:type="page"/>
      </w:r>
    </w:p>
    <w:p w14:paraId="6851FC94" w14:textId="77777777" w:rsidR="003754FE" w:rsidRDefault="003754FE" w:rsidP="003754FE">
      <w:pPr>
        <w:pStyle w:val="TtuloResolucin"/>
      </w:pPr>
      <w:bookmarkStart w:id="8" w:name="SENTENCIA_2024_99"/>
      <w:r>
        <w:lastRenderedPageBreak/>
        <w:t>SENTENCIA 99/2024, de 16 de julio de 2024</w:t>
      </w:r>
    </w:p>
    <w:bookmarkEnd w:id="8"/>
    <w:p w14:paraId="697EE3E9" w14:textId="77777777" w:rsidR="003754FE" w:rsidRDefault="003754FE" w:rsidP="003754FE">
      <w:pPr>
        <w:pStyle w:val="TtuloResolucin"/>
      </w:pPr>
      <w:r>
        <w:t>Pleno</w:t>
      </w:r>
    </w:p>
    <w:p w14:paraId="3F513784" w14:textId="77777777" w:rsidR="003754FE" w:rsidRDefault="003754FE" w:rsidP="003754FE">
      <w:pPr>
        <w:pStyle w:val="TtuloBOE"/>
      </w:pPr>
      <w:r>
        <w:t>(BOE núm. 208, de 28 de agosto de 2024)</w:t>
      </w:r>
    </w:p>
    <w:p w14:paraId="01C69D07" w14:textId="77777777" w:rsidR="003754FE" w:rsidRDefault="003754FE" w:rsidP="003754FE">
      <w:pPr>
        <w:pStyle w:val="TextoNormalCentrado"/>
      </w:pPr>
      <w:r>
        <w:t>ECLI:ES:TC:2024:99</w:t>
      </w:r>
    </w:p>
    <w:p w14:paraId="0045AC36" w14:textId="0BEC42AD" w:rsidR="003754FE" w:rsidRDefault="003754FE" w:rsidP="003754FE">
      <w:pPr>
        <w:pStyle w:val="TextoNormalCentrado"/>
      </w:pPr>
    </w:p>
    <w:p w14:paraId="3E38ADDC" w14:textId="77777777" w:rsidR="003754FE" w:rsidRDefault="003754FE" w:rsidP="003754FE">
      <w:pPr>
        <w:pStyle w:val="SntesisDescriptiva"/>
      </w:pPr>
      <w:r>
        <w:t>Recurso de amparo 7007-2022. Promovido por don Manuel Chaves González respecto de las sentencias dictadas por la Sala de lo Penal del Tribunal Supremo y la Audiencia Provincial de Sevilla que le condenaron por un delito continuado de prevaricación.</w:t>
      </w:r>
    </w:p>
    <w:p w14:paraId="52536BEE" w14:textId="65606612" w:rsidR="003754FE" w:rsidRDefault="003754FE" w:rsidP="003754FE">
      <w:pPr>
        <w:pStyle w:val="SntesisDescriptiva"/>
      </w:pPr>
    </w:p>
    <w:p w14:paraId="3E4113E1" w14:textId="77777777" w:rsidR="003754FE" w:rsidRDefault="003754FE" w:rsidP="003754FE">
      <w:pPr>
        <w:pStyle w:val="SntesisAnaltica"/>
      </w:pPr>
      <w:r>
        <w:t>Vulneración del derecho a la legalidad penal: condena basada en una interpretación del todo imprevisible del tipo objetivo. Votos particulares.</w:t>
      </w:r>
    </w:p>
    <w:p w14:paraId="02A21AD5" w14:textId="1FEC107B" w:rsidR="003754FE" w:rsidRDefault="003754FE" w:rsidP="003754FE">
      <w:pPr>
        <w:pStyle w:val="SntesisAnaltica"/>
      </w:pPr>
    </w:p>
    <w:p w14:paraId="61A7438A" w14:textId="1B9B69ED" w:rsidR="003754FE" w:rsidRDefault="003754FE" w:rsidP="003754FE">
      <w:pPr>
        <w:pStyle w:val="Extracto"/>
      </w:pPr>
      <w:r>
        <w:t>1.</w:t>
      </w:r>
      <w:r>
        <w:tab/>
        <w:t xml:space="preserve">En el marco de la serie de sentencias dictadas en relación con el denominado proceso “ERE”, -que en este caso derivó en condena por delito continuado de prevaricación del art. 404 CP -, se reitera doctrina en materia de la vulneración del derecho a la legalidad penal </w:t>
      </w:r>
      <w:r w:rsidRPr="003754FE">
        <w:rPr>
          <w:i/>
        </w:rPr>
        <w:t>ex</w:t>
      </w:r>
      <w:r>
        <w:t xml:space="preserve"> art. 25.1 CE (STC 93/2024) [FJ 3].</w:t>
      </w:r>
    </w:p>
    <w:p w14:paraId="662FCFFE" w14:textId="77777777" w:rsidR="003754FE" w:rsidRDefault="003754FE" w:rsidP="003754FE">
      <w:pPr>
        <w:pStyle w:val="Extracto"/>
      </w:pPr>
    </w:p>
    <w:p w14:paraId="0668F387" w14:textId="77777777" w:rsidR="003754FE" w:rsidRDefault="003754FE" w:rsidP="003754FE">
      <w:pPr>
        <w:pStyle w:val="Extracto"/>
      </w:pPr>
    </w:p>
    <w:p w14:paraId="602FCE37"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285336D9" w14:textId="13DB53F0" w:rsidR="003754FE" w:rsidRDefault="003754FE" w:rsidP="003754FE">
      <w:pPr>
        <w:pStyle w:val="TextoNormal"/>
      </w:pPr>
    </w:p>
    <w:p w14:paraId="32701ABE" w14:textId="77777777" w:rsidR="003754FE" w:rsidRDefault="003754FE" w:rsidP="003754FE">
      <w:pPr>
        <w:pStyle w:val="TextoNormalCentrado"/>
        <w:keepNext/>
      </w:pPr>
      <w:r>
        <w:t>EN NOMBRE DEL REY</w:t>
      </w:r>
    </w:p>
    <w:p w14:paraId="2E132D84" w14:textId="30C5E1B1" w:rsidR="003754FE" w:rsidRDefault="003754FE" w:rsidP="003754FE">
      <w:pPr>
        <w:pStyle w:val="TextoNormalCentrado"/>
        <w:keepNext/>
      </w:pPr>
    </w:p>
    <w:p w14:paraId="5E6DC5A3" w14:textId="77777777" w:rsidR="003754FE" w:rsidRDefault="003754FE" w:rsidP="003754FE">
      <w:pPr>
        <w:pStyle w:val="TextoNormalCentrado"/>
        <w:keepNext/>
      </w:pPr>
    </w:p>
    <w:p w14:paraId="310ABE89" w14:textId="77777777" w:rsidR="003754FE" w:rsidRDefault="003754FE" w:rsidP="003754FE">
      <w:pPr>
        <w:pStyle w:val="TextoNormal"/>
      </w:pPr>
      <w:r>
        <w:t>la siguiente</w:t>
      </w:r>
    </w:p>
    <w:p w14:paraId="218F1BD2" w14:textId="0A2B0FD3" w:rsidR="003754FE" w:rsidRDefault="003754FE" w:rsidP="003754FE">
      <w:pPr>
        <w:pStyle w:val="TextoNormal"/>
      </w:pPr>
    </w:p>
    <w:p w14:paraId="1D0E0AE1" w14:textId="77777777" w:rsidR="003754FE" w:rsidRDefault="003754FE" w:rsidP="003754FE">
      <w:pPr>
        <w:pStyle w:val="TextoNormalCentrado"/>
        <w:keepNext/>
      </w:pPr>
      <w:r>
        <w:t>SENTENCIA</w:t>
      </w:r>
    </w:p>
    <w:p w14:paraId="04C57D2C" w14:textId="275FB0CA" w:rsidR="003754FE" w:rsidRDefault="003754FE" w:rsidP="003754FE">
      <w:pPr>
        <w:pStyle w:val="TextoNormalCentrado"/>
        <w:keepNext/>
      </w:pPr>
    </w:p>
    <w:p w14:paraId="465CBFD5" w14:textId="77777777" w:rsidR="003754FE" w:rsidRDefault="003754FE" w:rsidP="003754FE">
      <w:pPr>
        <w:pStyle w:val="TextoNormal"/>
      </w:pPr>
      <w:r>
        <w:t xml:space="preserve">En el recurso de amparo núm. 7007-2022, promovido por don Manuel Chaves González, representado por el procurador de los tribunales don Fernando Martínez Nosti, bajo la dirección letrada de don Pablo Arturo Jiménez de Parga Maseda, contra la sentencia núm. 490/2019, de 19 de noviembre, dictada por la Sección Primera de la Audiencia Provincial de Sevilla en el rollo núm. 1965-2017, dimanante del procedimiento abreviado núm. 133-2016 y la sentencia núm. 749/2022, de 13 de septiembre, de la Sala de lo Penal del Tribunal Supremo, dictada en el recurso de casación núm. 601-2020. Han sido parte el Partido Popular representado por el procurador de los tribunales don Manuel Sánchez-Puelles y González-Carvajal, bajo la dirección técnica de los letrados don Ángel Márquez Prieto y don Alfonso Martínez Escribano; don Gaspar Zarrías Arévalo, representado por la procuradora de los tribunales doña Virginia Aragón Segura, bajo la dirección técnica del letrado don Gonzalo Martínez-Fresneda Ortiz de Solorzano; don Francisco Vallejo Serrano, representado por la procuradora de los tribunales doña Patricia Rosch Iglesias, bajo la dirección técnica de la letrada doña Encarnación Molino Barrero; don Jesús María Rodríguez Román, representado por la procuradora de los tribunales doña Patricia Rosch Iglesias, bajo la dirección </w:t>
      </w:r>
      <w:r>
        <w:lastRenderedPageBreak/>
        <w:t>letrada de don Luis Aparicio Díaz; don Antonio Vicente Lozano Peña y don José Antonio Griñán Martínez, representados por el procurador de los tribunales don Roberto Granizo Palomeque, bajo la dirección técnica del letrado don José María Calero Martínez, y doña Carmen Martínez Aguayo, representada por la procuradora de los tribunales doña Olga Coca Alonso, bajo la dirección técnica del letrado don Víctor Moreno Catena. Ha intervenido el Ministerio Fiscal. Ha sido ponente la magistrada doña Inmaculada Montalbán Huertas.</w:t>
      </w:r>
    </w:p>
    <w:p w14:paraId="5C1DDFD4" w14:textId="39FD52C2" w:rsidR="003754FE" w:rsidRDefault="003754FE" w:rsidP="003754FE">
      <w:pPr>
        <w:pStyle w:val="TextoNormal"/>
      </w:pPr>
    </w:p>
    <w:p w14:paraId="3262F9C6" w14:textId="77777777" w:rsidR="003754FE" w:rsidRDefault="003754FE" w:rsidP="003754FE">
      <w:pPr>
        <w:pStyle w:val="TextoNormalNegritaCentrado"/>
        <w:keepNext/>
      </w:pPr>
      <w:r>
        <w:t>I. Antecedentes</w:t>
      </w:r>
    </w:p>
    <w:p w14:paraId="33CA95B1" w14:textId="7DDD6B1C" w:rsidR="003754FE" w:rsidRDefault="003754FE" w:rsidP="003754FE">
      <w:pPr>
        <w:pStyle w:val="TextoNormalNegritaCentrado"/>
        <w:keepNext/>
      </w:pPr>
    </w:p>
    <w:p w14:paraId="534A1CD7" w14:textId="29F549F8" w:rsidR="003754FE" w:rsidRDefault="003754FE" w:rsidP="003754FE">
      <w:pPr>
        <w:pStyle w:val="TextoNormal"/>
      </w:pPr>
      <w:r w:rsidRPr="003754FE">
        <w:rPr>
          <w:rStyle w:val="NumeroAFNegritaCaracter"/>
        </w:rPr>
        <w:t>1</w:t>
      </w:r>
      <w:r>
        <w:t>. El procurador de los tribunales don Fernando Martínez Nosti, en nombre y representación de don Manuel Chaves González, bajo la dirección letrada de don Pablo Arturo Jiménez de Parga Maseda, interpuso recurso de amparo contra las resoluciones judiciales que se mencionan en el encabezamiento de esta sentencia, mediante escrito registrado en este tribunal el 27 de octubre de 2022.</w:t>
      </w:r>
    </w:p>
    <w:p w14:paraId="6512EF7B" w14:textId="77777777" w:rsidR="003754FE" w:rsidRDefault="003754FE" w:rsidP="003754FE">
      <w:pPr>
        <w:pStyle w:val="TextoNormal"/>
      </w:pPr>
    </w:p>
    <w:p w14:paraId="10047F07" w14:textId="77777777" w:rsidR="003754FE" w:rsidRDefault="003754FE" w:rsidP="003754FE">
      <w:pPr>
        <w:pStyle w:val="TextoNormal"/>
      </w:pPr>
      <w:r w:rsidRPr="003754FE">
        <w:rPr>
          <w:rStyle w:val="NumeroAFNegritaCaracter"/>
        </w:rPr>
        <w:t>2</w:t>
      </w:r>
      <w:r>
        <w:t>. Son antecedentes relevantes para resolver los siguientes:</w:t>
      </w:r>
    </w:p>
    <w:p w14:paraId="21190582" w14:textId="77777777" w:rsidR="003754FE" w:rsidRDefault="003754FE" w:rsidP="003754FE">
      <w:pPr>
        <w:pStyle w:val="TextoNormal"/>
      </w:pPr>
    </w:p>
    <w:p w14:paraId="4DFDF932" w14:textId="77777777" w:rsidR="003754FE" w:rsidRDefault="003754FE" w:rsidP="003754FE">
      <w:pPr>
        <w:pStyle w:val="TextoNormal"/>
      </w:pPr>
      <w:r>
        <w:t>a) Por sentencia dictada el 19 de noviembre de 2019, la Audiencia Provincial de Sevilla condenó, en el marco de la denominada “pieza específica” del caso “ERE”, a diversos miembros del Gobierno y de la administración de la Junta de Andalucía —incluyendo desde presidentes de la comunidad autónoma a directores generales— por haber intervenido, a lo largo de casi diez años, en el diseño de un sistema ilegal de concesión de ayudas sociolaborales.</w:t>
      </w:r>
    </w:p>
    <w:p w14:paraId="799EFDF7" w14:textId="77777777" w:rsidR="003754FE" w:rsidRDefault="003754FE" w:rsidP="003754FE">
      <w:pPr>
        <w:pStyle w:val="TextoNormal"/>
      </w:pPr>
    </w:p>
    <w:p w14:paraId="08DEB06C" w14:textId="77777777" w:rsidR="003754FE" w:rsidRDefault="003754FE" w:rsidP="003754FE">
      <w:pPr>
        <w:pStyle w:val="TextoNormal"/>
      </w:pPr>
      <w:r>
        <w:t>Según el resumen efectuado por el Tribunal Supremo en la sentencia de casación (folio 97 y siguientes), los hechos en los que se habría articulado el sistema de concesión ilegal de ayudas sociolaborales se dividirían en tres etapas diferentes:</w:t>
      </w:r>
    </w:p>
    <w:p w14:paraId="6CF1C22D" w14:textId="77777777" w:rsidR="003754FE" w:rsidRDefault="003754FE" w:rsidP="003754FE">
      <w:pPr>
        <w:pStyle w:val="TextoNormal"/>
      </w:pPr>
    </w:p>
    <w:p w14:paraId="6F6CC8EA" w14:textId="77777777" w:rsidR="003754FE" w:rsidRDefault="003754FE" w:rsidP="003754FE">
      <w:pPr>
        <w:pStyle w:val="TextoNormal"/>
      </w:pPr>
      <w:r>
        <w:t>“I) Primera etapa</w:t>
      </w:r>
    </w:p>
    <w:p w14:paraId="2255DC0A" w14:textId="77777777" w:rsidR="003754FE" w:rsidRDefault="003754FE" w:rsidP="003754FE">
      <w:pPr>
        <w:pStyle w:val="TextoNormal"/>
      </w:pPr>
    </w:p>
    <w:p w14:paraId="000EC449" w14:textId="77777777" w:rsidR="003754FE" w:rsidRDefault="003754FE" w:rsidP="003754FE">
      <w:pPr>
        <w:pStyle w:val="TextoNormal"/>
      </w:pPr>
      <w:r>
        <w:t>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de1995, del Ministerio de Trabajo y Seguridad Social).</w:t>
      </w:r>
    </w:p>
    <w:p w14:paraId="224D0E90" w14:textId="77777777" w:rsidR="003754FE" w:rsidRDefault="003754FE" w:rsidP="003754FE">
      <w:pPr>
        <w:pStyle w:val="TextoNormal"/>
      </w:pPr>
    </w:p>
    <w:p w14:paraId="6BFE55E1" w14:textId="77777777" w:rsidR="003754FE" w:rsidRDefault="003754FE" w:rsidP="003754FE">
      <w:pPr>
        <w:pStyle w:val="TextoNormal"/>
      </w:pPr>
      <w:r>
        <w:t xml:space="preserve">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 </w:t>
      </w:r>
    </w:p>
    <w:p w14:paraId="6191EC3B" w14:textId="77777777" w:rsidR="003754FE" w:rsidRDefault="003754FE" w:rsidP="003754FE">
      <w:pPr>
        <w:pStyle w:val="TextoNormal"/>
      </w:pPr>
    </w:p>
    <w:p w14:paraId="5ACEBA85" w14:textId="77777777" w:rsidR="003754FE" w:rsidRDefault="003754FE" w:rsidP="003754FE">
      <w:pPr>
        <w:pStyle w:val="TextoNormal"/>
      </w:pPr>
      <w:r>
        <w:t xml:space="preserve">Los expedientes para la concesión de estas ayudas se integraban por los siguientes documentos: memoria justificativa, acreditación de la personalidad del solicitante, documento </w:t>
      </w:r>
      <w:r>
        <w:lastRenderedPageBreak/>
        <w:t>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al órgano competente para la concesión.</w:t>
      </w:r>
    </w:p>
    <w:p w14:paraId="066A1567" w14:textId="77777777" w:rsidR="003754FE" w:rsidRDefault="003754FE" w:rsidP="003754FE">
      <w:pPr>
        <w:pStyle w:val="TextoNormal"/>
      </w:pPr>
    </w:p>
    <w:p w14:paraId="28D0A572" w14:textId="77777777" w:rsidR="003754FE" w:rsidRDefault="003754FE" w:rsidP="003754FE">
      <w:pPr>
        <w:pStyle w:val="TextoNormal"/>
      </w:pPr>
      <w:r>
        <w:t>La sentencia en sus distintos fundamentos de Derecho,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del Parlamento de Andalucía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14:paraId="13C01592" w14:textId="77777777" w:rsidR="003754FE" w:rsidRDefault="003754FE" w:rsidP="003754FE">
      <w:pPr>
        <w:pStyle w:val="TextoNormal"/>
      </w:pPr>
    </w:p>
    <w:p w14:paraId="13BDA8DB" w14:textId="77777777" w:rsidR="003754FE" w:rsidRDefault="003754FE" w:rsidP="003754FE">
      <w:pPr>
        <w:pStyle w:val="TextoNormal"/>
      </w:pPr>
      <w:r>
        <w:t xml:space="preserve">Sin perjuicio de ahondar más adelante en el régimen jurídico aplicable a estas ayudas, las notas más relevantes de esta regulación eran las siguientes: </w:t>
      </w:r>
    </w:p>
    <w:p w14:paraId="1826F0E0" w14:textId="77777777" w:rsidR="003754FE" w:rsidRDefault="003754FE" w:rsidP="003754FE">
      <w:pPr>
        <w:pStyle w:val="TextoNormal"/>
      </w:pPr>
    </w:p>
    <w:p w14:paraId="2251C4EE" w14:textId="77777777" w:rsidR="003754FE" w:rsidRDefault="003754FE" w:rsidP="003754FE">
      <w:pPr>
        <w:pStyle w:val="TextoNormal"/>
      </w:pPr>
      <w:r>
        <w:t>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14:paraId="3796BD6B" w14:textId="77777777" w:rsidR="003754FE" w:rsidRDefault="003754FE" w:rsidP="003754FE">
      <w:pPr>
        <w:pStyle w:val="TextoNormal"/>
      </w:pPr>
    </w:p>
    <w:p w14:paraId="6CFE0460" w14:textId="77777777" w:rsidR="003754FE" w:rsidRDefault="003754FE" w:rsidP="003754FE">
      <w:pPr>
        <w:pStyle w:val="TextoNormal"/>
      </w:pPr>
      <w:r>
        <w:t>Los beneficiarios de la subvención quedaban sujetos a las siguientes obligaciones:</w:t>
      </w:r>
    </w:p>
    <w:p w14:paraId="181225F4" w14:textId="77777777" w:rsidR="003754FE" w:rsidRDefault="003754FE" w:rsidP="003754FE">
      <w:pPr>
        <w:pStyle w:val="TextoNormal"/>
      </w:pPr>
    </w:p>
    <w:p w14:paraId="34511E0B" w14:textId="77777777" w:rsidR="003754FE" w:rsidRDefault="003754FE" w:rsidP="003754FE">
      <w:pPr>
        <w:pStyle w:val="TextoNormal"/>
      </w:pPr>
      <w:r>
        <w:t>(i) Realizar la actividad o adoptar el comportamiento que fundamente la concesión de la subvención en la forma y plazos establecidos.</w:t>
      </w:r>
    </w:p>
    <w:p w14:paraId="6DCB83CD" w14:textId="77777777" w:rsidR="003754FE" w:rsidRDefault="003754FE" w:rsidP="003754FE">
      <w:pPr>
        <w:pStyle w:val="TextoNormal"/>
      </w:pPr>
    </w:p>
    <w:p w14:paraId="52BC2F3D" w14:textId="77777777" w:rsidR="003754FE" w:rsidRDefault="003754FE" w:rsidP="003754FE">
      <w:pPr>
        <w:pStyle w:val="TextoNormal"/>
      </w:pPr>
      <w:r>
        <w:t>(ii) Justificar ante la entidad concedente o, en su caso, la entidad colaboradora la realización de la actividad o la adopción del comportamiento, así como el cumplimiento de los requisitos y condiciones que determinen la concesión o disfrute de la subvención.</w:t>
      </w:r>
    </w:p>
    <w:p w14:paraId="2D26282C" w14:textId="77777777" w:rsidR="003754FE" w:rsidRDefault="003754FE" w:rsidP="003754FE">
      <w:pPr>
        <w:pStyle w:val="TextoNormal"/>
      </w:pPr>
    </w:p>
    <w:p w14:paraId="56522BB9" w14:textId="77777777" w:rsidR="003754FE" w:rsidRDefault="003754FE" w:rsidP="003754FE">
      <w:pPr>
        <w:pStyle w:val="TextoNormal"/>
      </w:pPr>
      <w:r>
        <w:t>(iii)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14:paraId="07C91B08" w14:textId="77777777" w:rsidR="003754FE" w:rsidRDefault="003754FE" w:rsidP="003754FE">
      <w:pPr>
        <w:pStyle w:val="TextoNormal"/>
      </w:pPr>
    </w:p>
    <w:p w14:paraId="2568C2E8" w14:textId="77777777" w:rsidR="003754FE" w:rsidRDefault="003754FE" w:rsidP="003754FE">
      <w:pPr>
        <w:pStyle w:val="TextoNormal"/>
      </w:pPr>
      <w:r>
        <w:t>(iv)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14:paraId="7FB6E12A" w14:textId="77777777" w:rsidR="003754FE" w:rsidRDefault="003754FE" w:rsidP="003754FE">
      <w:pPr>
        <w:pStyle w:val="TextoNormal"/>
      </w:pPr>
    </w:p>
    <w:p w14:paraId="7C0FD9FA" w14:textId="77777777" w:rsidR="003754FE" w:rsidRDefault="003754FE" w:rsidP="003754FE">
      <w:pPr>
        <w:pStyle w:val="TextoNormal"/>
      </w:pPr>
      <w:r>
        <w:t>(v)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14:paraId="791B7D4F" w14:textId="77777777" w:rsidR="003754FE" w:rsidRDefault="003754FE" w:rsidP="003754FE">
      <w:pPr>
        <w:pStyle w:val="TextoNormal"/>
      </w:pPr>
    </w:p>
    <w:p w14:paraId="24C6C7A7" w14:textId="77777777" w:rsidR="003754FE" w:rsidRDefault="003754FE" w:rsidP="003754FE">
      <w:pPr>
        <w:pStyle w:val="TextoNormal"/>
      </w:pPr>
      <w:r>
        <w:lastRenderedPageBreak/>
        <w:t>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14:paraId="2B9C8B66" w14:textId="77777777" w:rsidR="003754FE" w:rsidRDefault="003754FE" w:rsidP="003754FE">
      <w:pPr>
        <w:pStyle w:val="TextoNormal"/>
      </w:pPr>
    </w:p>
    <w:p w14:paraId="08C8798C" w14:textId="77777777" w:rsidR="003754FE" w:rsidRDefault="003754FE" w:rsidP="003754FE">
      <w:pPr>
        <w:pStyle w:val="TextoNormal"/>
      </w:pPr>
      <w:r>
        <w:t>En las bases reguladoras se podía disponer que la entrega fuera realizada por entidades colaboradoras. Las empresas públicas de Andalucía podían ser entidades colaboradoras y también se establecían a su cargo las siguientes obligaciones:</w:t>
      </w:r>
    </w:p>
    <w:p w14:paraId="26053379" w14:textId="77777777" w:rsidR="003754FE" w:rsidRDefault="003754FE" w:rsidP="003754FE">
      <w:pPr>
        <w:pStyle w:val="TextoNormal"/>
      </w:pPr>
    </w:p>
    <w:p w14:paraId="4A9BD29A" w14:textId="77777777" w:rsidR="003754FE" w:rsidRDefault="003754FE" w:rsidP="003754FE">
      <w:pPr>
        <w:pStyle w:val="TextoNormal"/>
      </w:pPr>
      <w:r>
        <w:t>(i) Entregar a los beneficiarios los fondos recibidos de acuerdo con los criterios establecidos en las normas reguladoras de la subvención o ayuda.</w:t>
      </w:r>
    </w:p>
    <w:p w14:paraId="1A68B8F1" w14:textId="77777777" w:rsidR="003754FE" w:rsidRDefault="003754FE" w:rsidP="003754FE">
      <w:pPr>
        <w:pStyle w:val="TextoNormal"/>
      </w:pPr>
    </w:p>
    <w:p w14:paraId="3088B54D" w14:textId="77777777" w:rsidR="003754FE" w:rsidRDefault="003754FE" w:rsidP="003754FE">
      <w:pPr>
        <w:pStyle w:val="TextoNormal"/>
      </w:pPr>
      <w:r>
        <w:t>(ii) Verificar, en su caso, el cumplimiento y efectividad de las condiciones determinantes para su otorgamiento.</w:t>
      </w:r>
    </w:p>
    <w:p w14:paraId="244CA146" w14:textId="77777777" w:rsidR="003754FE" w:rsidRDefault="003754FE" w:rsidP="003754FE">
      <w:pPr>
        <w:pStyle w:val="TextoNormal"/>
      </w:pPr>
    </w:p>
    <w:p w14:paraId="17899A86" w14:textId="77777777" w:rsidR="003754FE" w:rsidRDefault="003754FE" w:rsidP="003754FE">
      <w:pPr>
        <w:pStyle w:val="TextoNormal"/>
      </w:pPr>
      <w:r>
        <w:t>(iii) Justificar la aplicación de los fondos recibidos ante la entidad concedente y, en su caso, entregar la justificación presentada por los beneficiarios.</w:t>
      </w:r>
    </w:p>
    <w:p w14:paraId="4B7E612B" w14:textId="77777777" w:rsidR="003754FE" w:rsidRDefault="003754FE" w:rsidP="003754FE">
      <w:pPr>
        <w:pStyle w:val="TextoNormal"/>
      </w:pPr>
    </w:p>
    <w:p w14:paraId="1FA4C34A" w14:textId="77777777" w:rsidR="003754FE" w:rsidRDefault="003754FE" w:rsidP="003754FE">
      <w:pPr>
        <w:pStyle w:val="TextoNormal"/>
      </w:pPr>
      <w:r>
        <w:t>(iv)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14:paraId="775C3212" w14:textId="77777777" w:rsidR="003754FE" w:rsidRDefault="003754FE" w:rsidP="003754FE">
      <w:pPr>
        <w:pStyle w:val="TextoNormal"/>
      </w:pPr>
    </w:p>
    <w:p w14:paraId="572C5E16" w14:textId="77777777" w:rsidR="003754FE" w:rsidRDefault="003754FE" w:rsidP="003754FE">
      <w:pPr>
        <w:pStyle w:val="TextoNormal"/>
      </w:pPr>
      <w:r>
        <w:t>(v) Colaborar en la restitución de las subvenciones otorgadas en los supuestos en que concurra causa de reintegro, y conforme a las normas que se establezcan (artículo 106).</w:t>
      </w:r>
    </w:p>
    <w:p w14:paraId="29C42790" w14:textId="77777777" w:rsidR="003754FE" w:rsidRDefault="003754FE" w:rsidP="003754FE">
      <w:pPr>
        <w:pStyle w:val="TextoNormal"/>
      </w:pPr>
    </w:p>
    <w:p w14:paraId="4D055286" w14:textId="77777777" w:rsidR="003754FE" w:rsidRDefault="003754FE" w:rsidP="003754FE">
      <w:pPr>
        <w:pStyle w:val="TextoNormal"/>
      </w:pPr>
      <w:r>
        <w:t>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14:paraId="6D3402B8" w14:textId="77777777" w:rsidR="003754FE" w:rsidRDefault="003754FE" w:rsidP="003754FE">
      <w:pPr>
        <w:pStyle w:val="TextoNormal"/>
      </w:pPr>
    </w:p>
    <w:p w14:paraId="5D536278" w14:textId="77777777" w:rsidR="003754FE" w:rsidRDefault="003754FE" w:rsidP="003754FE">
      <w:pPr>
        <w:pStyle w:val="TextoNormal"/>
      </w:pPr>
      <w:r>
        <w:t xml:space="preserve">Los proyectos de normas reguladoras de la concesión de subvenciones debían ser sometidos a informe de la Intervención General de la Junta de Andalucía, antes de su aprobación, y publicados en el “Boletín Oficial de la Juntad de Andalucía” (artículo 107). </w:t>
      </w:r>
    </w:p>
    <w:p w14:paraId="7DD1DAB5" w14:textId="77777777" w:rsidR="003754FE" w:rsidRDefault="003754FE" w:rsidP="003754FE">
      <w:pPr>
        <w:pStyle w:val="TextoNormal"/>
      </w:pPr>
    </w:p>
    <w:p w14:paraId="02D156C1" w14:textId="77777777" w:rsidR="003754FE" w:rsidRDefault="003754FE" w:rsidP="003754FE">
      <w:pPr>
        <w:pStyle w:val="TextoNormal"/>
      </w:pPr>
      <w:r>
        <w:t>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w:t>
      </w:r>
      <w:r w:rsidRPr="003754FE">
        <w:rPr>
          <w:i/>
        </w:rPr>
        <w:t xml:space="preserve"> 85</w:t>
      </w:r>
      <w:r>
        <w:t xml:space="preserve"> bis de la citada ley.</w:t>
      </w:r>
    </w:p>
    <w:p w14:paraId="12130E6A" w14:textId="77777777" w:rsidR="003754FE" w:rsidRDefault="003754FE" w:rsidP="003754FE">
      <w:pPr>
        <w:pStyle w:val="TextoNormal"/>
      </w:pPr>
    </w:p>
    <w:p w14:paraId="688E423E" w14:textId="77777777" w:rsidR="003754FE" w:rsidRDefault="003754FE" w:rsidP="003754FE">
      <w:pPr>
        <w:pStyle w:val="TextoNormal"/>
      </w:pPr>
      <w:r>
        <w:t>II) Segunda etapa</w:t>
      </w:r>
    </w:p>
    <w:p w14:paraId="183D1218" w14:textId="77777777" w:rsidR="003754FE" w:rsidRDefault="003754FE" w:rsidP="003754FE">
      <w:pPr>
        <w:pStyle w:val="TextoNormal"/>
      </w:pPr>
    </w:p>
    <w:p w14:paraId="71C91054" w14:textId="77777777" w:rsidR="003754FE" w:rsidRDefault="003754FE" w:rsidP="003754FE">
      <w:pPr>
        <w:pStyle w:val="TextoNormal"/>
      </w:pPr>
      <w:r>
        <w:t xml:space="preserve">Ante la necesidad de dar respuesta ágil a las graves crisis empresariales que afectaban a algunas importantes empresas de Andalucía en el año 1999 se decidió que el Instituto de Fomento de Andalucía (IFA) adelantara algunas de estas subvenciones, y así aconteció en </w:t>
      </w:r>
      <w:r>
        <w:lastRenderedPageBreak/>
        <w:t>relación con las ayudas concedidas a las empresas IAMASA y HAMSA. Con tal procedimiento se procedía al pago sin la necesaria fiscalización previa.</w:t>
      </w:r>
    </w:p>
    <w:p w14:paraId="7537CBAD" w14:textId="77777777" w:rsidR="003754FE" w:rsidRDefault="003754FE" w:rsidP="003754FE">
      <w:pPr>
        <w:pStyle w:val="TextoNormal"/>
      </w:pPr>
    </w:p>
    <w:p w14:paraId="5A9330D0" w14:textId="77777777" w:rsidR="003754FE" w:rsidRDefault="003754FE" w:rsidP="003754FE">
      <w:pPr>
        <w:pStyle w:val="TextoNormal"/>
      </w:pPr>
      <w:r>
        <w:t>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14:paraId="1C45D1AB" w14:textId="77777777" w:rsidR="003754FE" w:rsidRDefault="003754FE" w:rsidP="003754FE">
      <w:pPr>
        <w:pStyle w:val="TextoNormal"/>
      </w:pPr>
    </w:p>
    <w:p w14:paraId="76317A7A" w14:textId="77777777" w:rsidR="003754FE" w:rsidRDefault="003754FE" w:rsidP="003754FE">
      <w:pPr>
        <w:pStyle w:val="TextoNormal"/>
      </w:pPr>
      <w:r>
        <w:t>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14:paraId="708F6116" w14:textId="77777777" w:rsidR="003754FE" w:rsidRDefault="003754FE" w:rsidP="003754FE">
      <w:pPr>
        <w:pStyle w:val="TextoNormal"/>
      </w:pPr>
    </w:p>
    <w:p w14:paraId="2A55EB77" w14:textId="77777777" w:rsidR="003754FE" w:rsidRDefault="003754FE" w:rsidP="003754FE">
      <w:pPr>
        <w:pStyle w:val="TextoNormal"/>
      </w:pPr>
      <w:r>
        <w:t>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14:paraId="7F74F023" w14:textId="77777777" w:rsidR="003754FE" w:rsidRDefault="003754FE" w:rsidP="003754FE">
      <w:pPr>
        <w:pStyle w:val="TextoNormal"/>
      </w:pPr>
    </w:p>
    <w:p w14:paraId="70313885" w14:textId="77777777" w:rsidR="003754FE" w:rsidRDefault="003754FE" w:rsidP="003754FE">
      <w:pPr>
        <w:pStyle w:val="TextoNormal"/>
      </w:pPr>
      <w:r>
        <w:t>Ante las dificultades surgidas, en abril de 2000 se procedió a una modificación presupuestaria, bajo la iniciativa de la Consejería de Empleo. Se modificó la clasificación económica del gasto.</w:t>
      </w:r>
    </w:p>
    <w:p w14:paraId="0C2F07AC" w14:textId="77777777" w:rsidR="003754FE" w:rsidRDefault="003754FE" w:rsidP="003754FE">
      <w:pPr>
        <w:pStyle w:val="TextoNormal"/>
      </w:pPr>
    </w:p>
    <w:p w14:paraId="1F401908" w14:textId="77777777" w:rsidR="003754FE" w:rsidRDefault="003754FE" w:rsidP="003754FE">
      <w:pPr>
        <w:pStyle w:val="TextoNormal"/>
      </w:pPr>
      <w:r>
        <w:t>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14:paraId="0658FF22" w14:textId="77777777" w:rsidR="003754FE" w:rsidRDefault="003754FE" w:rsidP="003754FE">
      <w:pPr>
        <w:pStyle w:val="TextoNormal"/>
      </w:pPr>
    </w:p>
    <w:p w14:paraId="33FC9796" w14:textId="77777777" w:rsidR="003754FE" w:rsidRDefault="003754FE" w:rsidP="003754FE">
      <w:pPr>
        <w:pStyle w:val="TextoNormal"/>
      </w:pPr>
      <w:r>
        <w:t>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14:paraId="28A53F0A" w14:textId="77777777" w:rsidR="003754FE" w:rsidRDefault="003754FE" w:rsidP="003754FE">
      <w:pPr>
        <w:pStyle w:val="TextoNormal"/>
      </w:pPr>
    </w:p>
    <w:p w14:paraId="634329BE" w14:textId="77777777" w:rsidR="003754FE" w:rsidRDefault="003754FE" w:rsidP="003754FE">
      <w:pPr>
        <w:pStyle w:val="TextoNormal"/>
      </w:pPr>
      <w:r>
        <w:t>En vez de aprobar una nueva normativa o de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14:paraId="380F22F1" w14:textId="77777777" w:rsidR="003754FE" w:rsidRDefault="003754FE" w:rsidP="003754FE">
      <w:pPr>
        <w:pStyle w:val="TextoNormal"/>
      </w:pPr>
    </w:p>
    <w:p w14:paraId="63512CCD" w14:textId="77777777" w:rsidR="003754FE" w:rsidRDefault="003754FE" w:rsidP="003754FE">
      <w:pPr>
        <w:pStyle w:val="TextoNormal"/>
      </w:pPr>
      <w:r>
        <w:lastRenderedPageBreak/>
        <w:t>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14:paraId="2F06D6C5" w14:textId="77777777" w:rsidR="003754FE" w:rsidRDefault="003754FE" w:rsidP="003754FE">
      <w:pPr>
        <w:pStyle w:val="TextoNormal"/>
      </w:pPr>
    </w:p>
    <w:p w14:paraId="5456AEF6" w14:textId="77777777" w:rsidR="003754FE" w:rsidRDefault="003754FE" w:rsidP="003754FE">
      <w:pPr>
        <w:pStyle w:val="TextoNormal"/>
      </w:pPr>
      <w:r>
        <w:t>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w:t>
      </w:r>
      <w:r w:rsidRPr="003754FE">
        <w:rPr>
          <w:i/>
        </w:rPr>
        <w:t>o a posterio</w:t>
      </w:r>
      <w:r>
        <w:t>ri.</w:t>
      </w:r>
    </w:p>
    <w:p w14:paraId="68737DA9" w14:textId="77777777" w:rsidR="003754FE" w:rsidRDefault="003754FE" w:rsidP="003754FE">
      <w:pPr>
        <w:pStyle w:val="TextoNormal"/>
      </w:pPr>
    </w:p>
    <w:p w14:paraId="307D9515" w14:textId="77777777" w:rsidR="003754FE" w:rsidRDefault="003754FE" w:rsidP="003754FE">
      <w:pPr>
        <w:pStyle w:val="TextoNormal"/>
      </w:pPr>
      <w:r>
        <w:t>En efecto, el expediente de las transferencias de financiación no precisa la identificación de los destinatarios de las ayudas. Únicamente requiere consignar:</w:t>
      </w:r>
    </w:p>
    <w:p w14:paraId="4543A32E" w14:textId="77777777" w:rsidR="003754FE" w:rsidRDefault="003754FE" w:rsidP="003754FE">
      <w:pPr>
        <w:pStyle w:val="TextoNormal"/>
      </w:pPr>
    </w:p>
    <w:p w14:paraId="7BDDB772" w14:textId="77777777" w:rsidR="003754FE" w:rsidRDefault="003754FE" w:rsidP="003754FE">
      <w:pPr>
        <w:pStyle w:val="TextoNormal"/>
      </w:pPr>
      <w:r>
        <w:t>(i) La propuesta de resolución del órgano competente autorizando la transferencia;</w:t>
      </w:r>
    </w:p>
    <w:p w14:paraId="64E74003" w14:textId="77777777" w:rsidR="003754FE" w:rsidRDefault="003754FE" w:rsidP="003754FE">
      <w:pPr>
        <w:pStyle w:val="TextoNormal"/>
      </w:pPr>
    </w:p>
    <w:p w14:paraId="1C777420" w14:textId="77777777" w:rsidR="003754FE" w:rsidRDefault="003754FE" w:rsidP="003754FE">
      <w:pPr>
        <w:pStyle w:val="TextoNormal"/>
      </w:pPr>
      <w:r>
        <w:t>(ii) el calendario de pagos aprobado por la Dirección General de Tesorería;</w:t>
      </w:r>
    </w:p>
    <w:p w14:paraId="237CA289" w14:textId="77777777" w:rsidR="003754FE" w:rsidRDefault="003754FE" w:rsidP="003754FE">
      <w:pPr>
        <w:pStyle w:val="TextoNormal"/>
      </w:pPr>
    </w:p>
    <w:p w14:paraId="4982705A" w14:textId="77777777" w:rsidR="003754FE" w:rsidRDefault="003754FE" w:rsidP="003754FE">
      <w:pPr>
        <w:pStyle w:val="TextoNormal"/>
      </w:pPr>
      <w:r>
        <w:t>(iii) los documentos contables acreditativos de la consignación presupuestaria y el programa de actuación (PAIF) publicado en el ‘BOJA’ por orden de la Consejería de Hacienda.</w:t>
      </w:r>
    </w:p>
    <w:p w14:paraId="6F7F73BA" w14:textId="77777777" w:rsidR="003754FE" w:rsidRDefault="003754FE" w:rsidP="003754FE">
      <w:pPr>
        <w:pStyle w:val="TextoNormal"/>
      </w:pPr>
    </w:p>
    <w:p w14:paraId="499D973B" w14:textId="77777777" w:rsidR="003754FE" w:rsidRDefault="003754FE" w:rsidP="003754FE">
      <w:pPr>
        <w:pStyle w:val="TextoNormal"/>
      </w:pPr>
      <w:r>
        <w:t xml:space="preserve">Y en la fiscalización posterior de la actividad del IFA, realizada a través del llamado ‘control financiero permanente’, conforme a lo previsto en el Real Decreto 9/1999, de 19 de enero, únicamente tenía un triple objetivo: </w:t>
      </w:r>
    </w:p>
    <w:p w14:paraId="7B100D18" w14:textId="77777777" w:rsidR="003754FE" w:rsidRDefault="003754FE" w:rsidP="003754FE">
      <w:pPr>
        <w:pStyle w:val="TextoNormal"/>
      </w:pPr>
    </w:p>
    <w:p w14:paraId="135C5816" w14:textId="77777777" w:rsidR="003754FE" w:rsidRDefault="003754FE" w:rsidP="003754FE">
      <w:pPr>
        <w:pStyle w:val="TextoNormal"/>
      </w:pPr>
      <w:r>
        <w:t xml:space="preserve">(i) Comprobar el cumplimiento de la legalidad; </w:t>
      </w:r>
    </w:p>
    <w:p w14:paraId="5B3B45FE" w14:textId="77777777" w:rsidR="003754FE" w:rsidRDefault="003754FE" w:rsidP="003754FE">
      <w:pPr>
        <w:pStyle w:val="TextoNormal"/>
      </w:pPr>
    </w:p>
    <w:p w14:paraId="6CC5D6AD" w14:textId="77777777" w:rsidR="003754FE" w:rsidRDefault="003754FE" w:rsidP="003754FE">
      <w:pPr>
        <w:pStyle w:val="TextoNormal"/>
      </w:pPr>
      <w:r>
        <w:t xml:space="preserve">(ii) examinar las cuentas anuales y </w:t>
      </w:r>
    </w:p>
    <w:p w14:paraId="5BB7714E" w14:textId="77777777" w:rsidR="003754FE" w:rsidRDefault="003754FE" w:rsidP="003754FE">
      <w:pPr>
        <w:pStyle w:val="TextoNormal"/>
      </w:pPr>
    </w:p>
    <w:p w14:paraId="0226F136" w14:textId="77777777" w:rsidR="003754FE" w:rsidRDefault="003754FE" w:rsidP="003754FE">
      <w:pPr>
        <w:pStyle w:val="TextoNormal"/>
      </w:pPr>
      <w:r>
        <w:t>(iii) examinar críticamente la gestión de los programas asignados al Instituto. Este control no tenía utilidad alguna para conocer el destino de las subvenciones, dado que se limitaba al control de la transferencia.</w:t>
      </w:r>
    </w:p>
    <w:p w14:paraId="491AAD0E" w14:textId="77777777" w:rsidR="003754FE" w:rsidRDefault="003754FE" w:rsidP="003754FE">
      <w:pPr>
        <w:pStyle w:val="TextoNormal"/>
      </w:pPr>
    </w:p>
    <w:p w14:paraId="041C710A" w14:textId="77777777" w:rsidR="003754FE" w:rsidRDefault="003754FE" w:rsidP="003754FE">
      <w:pPr>
        <w:pStyle w:val="TextoNormal"/>
      </w:pPr>
      <w:r>
        <w:t>En el año 2000 el Consejo de Gobierno de la Junta de Andalucía aprobó dos modificaciones presupuestarias, siguiendo el criterio de presupuestación a que antes nos hemos referido (18 de abril de 2000 y 28 de julio de2000,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14:paraId="13E37FF8" w14:textId="77777777" w:rsidR="003754FE" w:rsidRDefault="003754FE" w:rsidP="003754FE">
      <w:pPr>
        <w:pStyle w:val="TextoNormal"/>
      </w:pPr>
    </w:p>
    <w:p w14:paraId="63A4B61E" w14:textId="77777777" w:rsidR="003754FE" w:rsidRDefault="003754FE" w:rsidP="003754FE">
      <w:pPr>
        <w:pStyle w:val="TextoNormal"/>
      </w:pPr>
      <w:r>
        <w:t xml:space="preserve">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w:t>
      </w:r>
      <w:r>
        <w:lastRenderedPageBreak/>
        <w:t>materializando las ayudas y se establecía que habrían de suscribirse convenios particulares entre el director general de Trabajo y el IFA para la gestión de los fondos.</w:t>
      </w:r>
    </w:p>
    <w:p w14:paraId="27F15766" w14:textId="77777777" w:rsidR="003754FE" w:rsidRDefault="003754FE" w:rsidP="003754FE">
      <w:pPr>
        <w:pStyle w:val="TextoNormal"/>
      </w:pPr>
    </w:p>
    <w:p w14:paraId="78A072EA" w14:textId="77777777" w:rsidR="003754FE" w:rsidRDefault="003754FE" w:rsidP="003754FE">
      <w:pPr>
        <w:pStyle w:val="TextoNormal"/>
      </w:pPr>
      <w:r>
        <w:t>El convenio marco no fue publicado en el ‘BOJA’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14:paraId="52B98074" w14:textId="77777777" w:rsidR="003754FE" w:rsidRDefault="003754FE" w:rsidP="003754FE">
      <w:pPr>
        <w:pStyle w:val="TextoNormal"/>
      </w:pPr>
    </w:p>
    <w:p w14:paraId="774A805E" w14:textId="77777777" w:rsidR="003754FE" w:rsidRDefault="003754FE" w:rsidP="003754FE">
      <w:pPr>
        <w:pStyle w:val="TextoNormal"/>
      </w:pPr>
      <w:r>
        <w:t>A partir de 2002 y hasta el año 2009, con la finalidad de evitar todo control y con conciencia de los incumplimientos ya reseñados, se procedieron a elaborar y aprobar los proyectos de ley de presupuestos en los que se incluía la partida ‘Transferencias al IFA en materia de relaciones laborales’ en el nuevo programa 31L, que sustituía al 22E.</w:t>
      </w:r>
    </w:p>
    <w:p w14:paraId="20652CC7" w14:textId="77777777" w:rsidR="003754FE" w:rsidRDefault="003754FE" w:rsidP="003754FE">
      <w:pPr>
        <w:pStyle w:val="TextoNormal"/>
      </w:pPr>
    </w:p>
    <w:p w14:paraId="3E6BA0F2" w14:textId="77777777" w:rsidR="003754FE" w:rsidRDefault="003754FE" w:rsidP="003754FE">
      <w:pPr>
        <w:pStyle w:val="TextoNormal"/>
      </w:pPr>
      <w:r>
        <w:t>Por tanto, utilizando el criterio de presupuestación a que antes nos hemos referido se incluyeron las siguientes partidas presupuestarias:</w:t>
      </w:r>
    </w:p>
    <w:p w14:paraId="1ADF2A18" w14:textId="77777777" w:rsidR="003754FE" w:rsidRDefault="003754FE" w:rsidP="003754FE">
      <w:pPr>
        <w:pStyle w:val="TextoNormal"/>
      </w:pPr>
    </w:p>
    <w:p w14:paraId="0E50B105" w14:textId="77777777" w:rsidR="003754FE" w:rsidRDefault="003754FE" w:rsidP="003754FE">
      <w:pPr>
        <w:pStyle w:val="TextoNormal"/>
      </w:pPr>
      <w:r>
        <w:t>- En 2002: 34 341 351 €.</w:t>
      </w:r>
    </w:p>
    <w:p w14:paraId="4B546318" w14:textId="77777777" w:rsidR="003754FE" w:rsidRDefault="003754FE" w:rsidP="003754FE">
      <w:pPr>
        <w:pStyle w:val="TextoNormal"/>
      </w:pPr>
    </w:p>
    <w:p w14:paraId="2EEAB56F" w14:textId="77777777" w:rsidR="003754FE" w:rsidRDefault="003754FE" w:rsidP="003754FE">
      <w:pPr>
        <w:pStyle w:val="TextoNormal"/>
      </w:pPr>
      <w:r>
        <w:t>- En 2003: 55 646 899 €.</w:t>
      </w:r>
    </w:p>
    <w:p w14:paraId="7DD54908" w14:textId="77777777" w:rsidR="003754FE" w:rsidRDefault="003754FE" w:rsidP="003754FE">
      <w:pPr>
        <w:pStyle w:val="TextoNormal"/>
      </w:pPr>
    </w:p>
    <w:p w14:paraId="3A4CA6DC" w14:textId="77777777" w:rsidR="003754FE" w:rsidRDefault="003754FE" w:rsidP="003754FE">
      <w:pPr>
        <w:pStyle w:val="TextoNormal"/>
      </w:pPr>
      <w:r>
        <w:t>- En 2004: 46 146 389 €. [En este ejercicio el IFA cambió su denominación por Agencia de Innovación y Desarrollo de Andalucía (IDEA) y pasó a estar adscrito a la Consejería de Innovación, Ciencia y Empresa].</w:t>
      </w:r>
    </w:p>
    <w:p w14:paraId="7C668678" w14:textId="77777777" w:rsidR="003754FE" w:rsidRDefault="003754FE" w:rsidP="003754FE">
      <w:pPr>
        <w:pStyle w:val="TextoNormal"/>
      </w:pPr>
    </w:p>
    <w:p w14:paraId="6480BB46" w14:textId="77777777" w:rsidR="003754FE" w:rsidRDefault="003754FE" w:rsidP="003754FE">
      <w:pPr>
        <w:pStyle w:val="TextoNormal"/>
      </w:pPr>
      <w:r>
        <w:t>- En 2005: 72 261 575 €.</w:t>
      </w:r>
    </w:p>
    <w:p w14:paraId="63A01F96" w14:textId="77777777" w:rsidR="003754FE" w:rsidRDefault="003754FE" w:rsidP="003754FE">
      <w:pPr>
        <w:pStyle w:val="TextoNormal"/>
      </w:pPr>
    </w:p>
    <w:p w14:paraId="4A60973E" w14:textId="77777777" w:rsidR="003754FE" w:rsidRDefault="003754FE" w:rsidP="003754FE">
      <w:pPr>
        <w:pStyle w:val="TextoNormal"/>
      </w:pPr>
      <w:r>
        <w:t xml:space="preserve">- En 2006: 77 291 000 €. </w:t>
      </w:r>
    </w:p>
    <w:p w14:paraId="1AF77724" w14:textId="77777777" w:rsidR="003754FE" w:rsidRDefault="003754FE" w:rsidP="003754FE">
      <w:pPr>
        <w:pStyle w:val="TextoNormal"/>
      </w:pPr>
    </w:p>
    <w:p w14:paraId="47FF052C" w14:textId="77777777" w:rsidR="003754FE" w:rsidRDefault="003754FE" w:rsidP="003754FE">
      <w:pPr>
        <w:pStyle w:val="TextoNormal"/>
      </w:pPr>
      <w:r>
        <w:t>- En 2007: 79 207 500 €.</w:t>
      </w:r>
    </w:p>
    <w:p w14:paraId="5D55E5AB" w14:textId="77777777" w:rsidR="003754FE" w:rsidRDefault="003754FE" w:rsidP="003754FE">
      <w:pPr>
        <w:pStyle w:val="TextoNormal"/>
      </w:pPr>
    </w:p>
    <w:p w14:paraId="3D420B3E" w14:textId="77777777" w:rsidR="003754FE" w:rsidRDefault="003754FE" w:rsidP="003754FE">
      <w:pPr>
        <w:pStyle w:val="TextoNormal"/>
      </w:pPr>
      <w:r>
        <w:t>- En 2008: 87 478 495 €.</w:t>
      </w:r>
    </w:p>
    <w:p w14:paraId="4D350469" w14:textId="77777777" w:rsidR="003754FE" w:rsidRDefault="003754FE" w:rsidP="003754FE">
      <w:pPr>
        <w:pStyle w:val="TextoNormal"/>
      </w:pPr>
    </w:p>
    <w:p w14:paraId="733823D8" w14:textId="77777777" w:rsidR="003754FE" w:rsidRDefault="003754FE" w:rsidP="003754FE">
      <w:pPr>
        <w:pStyle w:val="TextoNormal"/>
      </w:pPr>
      <w:r>
        <w:t>Además de estas partidas, durante los distintos ejercicios se aprobaron modificaciones presupuestarias, que incrementaron el flujo de dinero que gestionaba el IFA/IDEA y que recibía como transferencia de financiación.</w:t>
      </w:r>
    </w:p>
    <w:p w14:paraId="391380C0" w14:textId="77777777" w:rsidR="003754FE" w:rsidRDefault="003754FE" w:rsidP="003754FE">
      <w:pPr>
        <w:pStyle w:val="TextoNormal"/>
      </w:pPr>
    </w:p>
    <w:p w14:paraId="2C9A3CFC" w14:textId="77777777" w:rsidR="003754FE" w:rsidRDefault="003754FE" w:rsidP="003754FE">
      <w:pPr>
        <w:pStyle w:val="TextoNormal"/>
      </w:pPr>
      <w:r>
        <w:t>Las modificaciones presupuestarias fueron las siguientes:</w:t>
      </w:r>
    </w:p>
    <w:p w14:paraId="23047CBF" w14:textId="77777777" w:rsidR="003754FE" w:rsidRDefault="003754FE" w:rsidP="003754FE">
      <w:pPr>
        <w:pStyle w:val="TextoNormal"/>
      </w:pPr>
    </w:p>
    <w:p w14:paraId="72E3171A" w14:textId="77777777" w:rsidR="003754FE" w:rsidRDefault="003754FE" w:rsidP="003754FE">
      <w:pPr>
        <w:pStyle w:val="TextoNormal"/>
      </w:pPr>
      <w:r>
        <w:t>- Modificación de 15 de octubre de 2002, por importe de 9 944 099 €.</w:t>
      </w:r>
    </w:p>
    <w:p w14:paraId="764D0088" w14:textId="77777777" w:rsidR="003754FE" w:rsidRDefault="003754FE" w:rsidP="003754FE">
      <w:pPr>
        <w:pStyle w:val="TextoNormal"/>
      </w:pPr>
    </w:p>
    <w:p w14:paraId="2747822D" w14:textId="77777777" w:rsidR="003754FE" w:rsidRDefault="003754FE" w:rsidP="003754FE">
      <w:pPr>
        <w:pStyle w:val="TextoNormal"/>
      </w:pPr>
      <w:r>
        <w:t>- Modificación de 21 de octubre de 2002, por importe de 22 253 204,17 €.</w:t>
      </w:r>
    </w:p>
    <w:p w14:paraId="75C83350" w14:textId="77777777" w:rsidR="003754FE" w:rsidRDefault="003754FE" w:rsidP="003754FE">
      <w:pPr>
        <w:pStyle w:val="TextoNormal"/>
      </w:pPr>
    </w:p>
    <w:p w14:paraId="7D567908" w14:textId="77777777" w:rsidR="003754FE" w:rsidRDefault="003754FE" w:rsidP="003754FE">
      <w:pPr>
        <w:pStyle w:val="TextoNormal"/>
      </w:pPr>
      <w:r>
        <w:t>- Modificación de 7 de diciembre de 2005, por importe de 799 895,97 €.</w:t>
      </w:r>
    </w:p>
    <w:p w14:paraId="13DA16EB" w14:textId="77777777" w:rsidR="003754FE" w:rsidRDefault="003754FE" w:rsidP="003754FE">
      <w:pPr>
        <w:pStyle w:val="TextoNormal"/>
      </w:pPr>
    </w:p>
    <w:p w14:paraId="19E4A8DA" w14:textId="77777777" w:rsidR="003754FE" w:rsidRDefault="003754FE" w:rsidP="003754FE">
      <w:pPr>
        <w:pStyle w:val="TextoNormal"/>
      </w:pPr>
      <w:r>
        <w:t>- Modificación de 7 de noviembre de 2006, por importe de 9 300 000 €.</w:t>
      </w:r>
    </w:p>
    <w:p w14:paraId="367E3F9E" w14:textId="77777777" w:rsidR="003754FE" w:rsidRDefault="003754FE" w:rsidP="003754FE">
      <w:pPr>
        <w:pStyle w:val="TextoNormal"/>
      </w:pPr>
    </w:p>
    <w:p w14:paraId="61E4F962" w14:textId="77777777" w:rsidR="003754FE" w:rsidRDefault="003754FE" w:rsidP="003754FE">
      <w:pPr>
        <w:pStyle w:val="TextoNormal"/>
      </w:pPr>
      <w:r>
        <w:lastRenderedPageBreak/>
        <w:t>- Modificación de 27 de noviembre de 2007, por importe de 7 448 503, 44 €.</w:t>
      </w:r>
    </w:p>
    <w:p w14:paraId="3BA9345C" w14:textId="77777777" w:rsidR="003754FE" w:rsidRDefault="003754FE" w:rsidP="003754FE">
      <w:pPr>
        <w:pStyle w:val="TextoNormal"/>
      </w:pPr>
    </w:p>
    <w:p w14:paraId="75ACF899" w14:textId="77777777" w:rsidR="003754FE" w:rsidRDefault="003754FE" w:rsidP="003754FE">
      <w:pPr>
        <w:pStyle w:val="TextoNormal"/>
      </w:pPr>
      <w:r>
        <w:t>- Modificación de 22 de diciembre de 2008, por importe de 1 253 853, 89 €.</w:t>
      </w:r>
    </w:p>
    <w:p w14:paraId="69FC9C68" w14:textId="77777777" w:rsidR="003754FE" w:rsidRDefault="003754FE" w:rsidP="003754FE">
      <w:pPr>
        <w:pStyle w:val="TextoNormal"/>
      </w:pPr>
    </w:p>
    <w:p w14:paraId="6815E8FC" w14:textId="77777777" w:rsidR="003754FE" w:rsidRDefault="003754FE" w:rsidP="003754FE">
      <w:pPr>
        <w:pStyle w:val="TextoNormal"/>
      </w:pPr>
      <w:r>
        <w:t>- Modificación de 22 de diciembre de 2008, por importe de 6 011 836,20 €.</w:t>
      </w:r>
    </w:p>
    <w:p w14:paraId="7E618BF6" w14:textId="77777777" w:rsidR="003754FE" w:rsidRDefault="003754FE" w:rsidP="003754FE">
      <w:pPr>
        <w:pStyle w:val="TextoNormal"/>
      </w:pPr>
    </w:p>
    <w:p w14:paraId="5329C27B" w14:textId="77777777" w:rsidR="003754FE" w:rsidRDefault="003754FE" w:rsidP="003754FE">
      <w:pPr>
        <w:pStyle w:val="TextoNormal"/>
      </w:pPr>
      <w:r>
        <w:t>- Modificación de 22 de diciembre de 2008, por importe de 8 000 000 €.</w:t>
      </w:r>
    </w:p>
    <w:p w14:paraId="7728EC3F" w14:textId="77777777" w:rsidR="003754FE" w:rsidRDefault="003754FE" w:rsidP="003754FE">
      <w:pPr>
        <w:pStyle w:val="TextoNormal"/>
      </w:pPr>
    </w:p>
    <w:p w14:paraId="03E5B16F" w14:textId="77777777" w:rsidR="003754FE" w:rsidRDefault="003754FE" w:rsidP="003754FE">
      <w:pPr>
        <w:pStyle w:val="TextoNormal"/>
      </w:pPr>
      <w:r>
        <w:t>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14:paraId="7F207F0A" w14:textId="77777777" w:rsidR="003754FE" w:rsidRDefault="003754FE" w:rsidP="003754FE">
      <w:pPr>
        <w:pStyle w:val="TextoNormal"/>
      </w:pPr>
    </w:p>
    <w:p w14:paraId="1DE1962F" w14:textId="77777777" w:rsidR="003754FE" w:rsidRDefault="003754FE" w:rsidP="003754FE">
      <w:pPr>
        <w:pStyle w:val="TextoNormal"/>
      </w:pPr>
      <w:r>
        <w:t>Según han puesto de relieve distintos informes y resoluciones judiciales y administrativas, como consecuencia de todo lo anterior, las irregularidades más significativas en la concesión de las ayudas (sin hacer una enumeración exhaustiva) han sido las siguientes:</w:t>
      </w:r>
    </w:p>
    <w:p w14:paraId="4CCEAE57" w14:textId="77777777" w:rsidR="003754FE" w:rsidRDefault="003754FE" w:rsidP="003754FE">
      <w:pPr>
        <w:pStyle w:val="TextoNormal"/>
      </w:pPr>
    </w:p>
    <w:p w14:paraId="7235FBD2" w14:textId="77777777" w:rsidR="003754FE" w:rsidRDefault="003754FE" w:rsidP="003754FE">
      <w:pPr>
        <w:pStyle w:val="TextoNormal"/>
      </w:pPr>
      <w:r>
        <w:t>- En muchos casos no ha existido expediente de concesión de la ayuda.</w:t>
      </w:r>
    </w:p>
    <w:p w14:paraId="5F414486" w14:textId="77777777" w:rsidR="003754FE" w:rsidRDefault="003754FE" w:rsidP="003754FE">
      <w:pPr>
        <w:pStyle w:val="TextoNormal"/>
      </w:pPr>
    </w:p>
    <w:p w14:paraId="0F143789" w14:textId="77777777" w:rsidR="003754FE" w:rsidRDefault="003754FE" w:rsidP="003754FE">
      <w:pPr>
        <w:pStyle w:val="TextoNormal"/>
      </w:pPr>
      <w:r>
        <w:t>- El director general de Trabajo y Seguridad Social no tiene delegadas competencias para la concesión de subvenciones excepcionales.</w:t>
      </w:r>
    </w:p>
    <w:p w14:paraId="3117440D" w14:textId="77777777" w:rsidR="003754FE" w:rsidRDefault="003754FE" w:rsidP="003754FE">
      <w:pPr>
        <w:pStyle w:val="TextoNormal"/>
      </w:pPr>
    </w:p>
    <w:p w14:paraId="11D03A2C" w14:textId="77777777" w:rsidR="003754FE" w:rsidRDefault="003754FE" w:rsidP="003754FE">
      <w:pPr>
        <w:pStyle w:val="TextoNormal"/>
      </w:pPr>
      <w:r>
        <w:t>- No consta que se haya dado publicidad a la concesión de las ayudas (artículo 109 LGHPA).</w:t>
      </w:r>
    </w:p>
    <w:p w14:paraId="4C61403A" w14:textId="77777777" w:rsidR="003754FE" w:rsidRDefault="003754FE" w:rsidP="003754FE">
      <w:pPr>
        <w:pStyle w:val="TextoNormal"/>
      </w:pPr>
    </w:p>
    <w:p w14:paraId="2A958D3F" w14:textId="77777777" w:rsidR="003754FE" w:rsidRDefault="003754FE" w:rsidP="003754FE">
      <w:pPr>
        <w:pStyle w:val="TextoNormal"/>
      </w:pPr>
      <w:r>
        <w:t>- Se ha omitido la fiscalización previa.</w:t>
      </w:r>
    </w:p>
    <w:p w14:paraId="4BA894EA" w14:textId="77777777" w:rsidR="003754FE" w:rsidRDefault="003754FE" w:rsidP="003754FE">
      <w:pPr>
        <w:pStyle w:val="TextoNormal"/>
      </w:pPr>
    </w:p>
    <w:p w14:paraId="63E86A5C" w14:textId="77777777" w:rsidR="003754FE" w:rsidRDefault="003754FE" w:rsidP="003754FE">
      <w:pPr>
        <w:pStyle w:val="TextoNormal"/>
      </w:pPr>
      <w:r>
        <w:t>- No consta autorización de la concesión de la subvención por el Consejo de Gobierno por razón de la cuantía.</w:t>
      </w:r>
    </w:p>
    <w:p w14:paraId="0950E35F" w14:textId="77777777" w:rsidR="003754FE" w:rsidRDefault="003754FE" w:rsidP="003754FE">
      <w:pPr>
        <w:pStyle w:val="TextoNormal"/>
      </w:pPr>
    </w:p>
    <w:p w14:paraId="58F4945D" w14:textId="77777777" w:rsidR="003754FE" w:rsidRDefault="003754FE" w:rsidP="003754FE">
      <w:pPr>
        <w:pStyle w:val="TextoNormal"/>
      </w:pPr>
      <w:r>
        <w:t>- No se consigna la aplicación presupuestaria del gasto y su distribución plurianual, ni el presupuesto subvencionado y el porcentaje que representa la subvención sobre el presupuesto aceptado.</w:t>
      </w:r>
    </w:p>
    <w:p w14:paraId="434FA14E" w14:textId="77777777" w:rsidR="003754FE" w:rsidRDefault="003754FE" w:rsidP="003754FE">
      <w:pPr>
        <w:pStyle w:val="TextoNormal"/>
      </w:pPr>
    </w:p>
    <w:p w14:paraId="4E660549" w14:textId="77777777" w:rsidR="003754FE" w:rsidRDefault="003754FE" w:rsidP="003754FE">
      <w:pPr>
        <w:pStyle w:val="TextoNormal"/>
      </w:pPr>
      <w:r>
        <w:t>- No consta informe de la Dirección General de Asuntos Europeos y Cooperación, de la Consejería de Presidencia, sobre cumplimiento del deber de notificar a la comisión las subvenciones concedidas a empresas.</w:t>
      </w:r>
    </w:p>
    <w:p w14:paraId="164F210B" w14:textId="77777777" w:rsidR="003754FE" w:rsidRDefault="003754FE" w:rsidP="003754FE">
      <w:pPr>
        <w:pStyle w:val="TextoNormal"/>
      </w:pPr>
    </w:p>
    <w:p w14:paraId="20C50CCA" w14:textId="77777777" w:rsidR="003754FE" w:rsidRDefault="003754FE" w:rsidP="003754FE">
      <w:pPr>
        <w:pStyle w:val="TextoNormal"/>
      </w:pPr>
      <w:r>
        <w:t>- No consta memoria explicativa de la excepcionalidad de las subvenciones, ni los requisitos que se exigen para ser beneficiario, ni se detalla la forma en que debería realizarse la justificación del cumplimiento de la finalidad para la que fue concedida la ayuda.</w:t>
      </w:r>
    </w:p>
    <w:p w14:paraId="057F52D4" w14:textId="77777777" w:rsidR="003754FE" w:rsidRDefault="003754FE" w:rsidP="003754FE">
      <w:pPr>
        <w:pStyle w:val="TextoNormal"/>
      </w:pPr>
    </w:p>
    <w:p w14:paraId="51543FB1" w14:textId="77777777" w:rsidR="003754FE" w:rsidRDefault="003754FE" w:rsidP="003754FE">
      <w:pPr>
        <w:pStyle w:val="TextoNormal"/>
      </w:pPr>
      <w:r>
        <w:t>- Los convenios de colaboración por los que se han concedido las ayudas no adoptan ni la forma ni los contenidos mínimos que exige la Ley 38/2003, de 17 de noviembre.</w:t>
      </w:r>
    </w:p>
    <w:p w14:paraId="5DE2ADE3" w14:textId="77777777" w:rsidR="003754FE" w:rsidRDefault="003754FE" w:rsidP="003754FE">
      <w:pPr>
        <w:pStyle w:val="TextoNormal"/>
      </w:pPr>
    </w:p>
    <w:p w14:paraId="1660DF02" w14:textId="77777777" w:rsidR="003754FE" w:rsidRDefault="003754FE" w:rsidP="003754FE">
      <w:pPr>
        <w:pStyle w:val="TextoNormal"/>
      </w:pPr>
      <w:r>
        <w:t>- Ni las subvenciones ni los convenios han sido publicados en el ‘Boletín Oficial de la Junta de Andalucía’, ni en la base de datos de subvenciones de la Junta de Andalucía.</w:t>
      </w:r>
    </w:p>
    <w:p w14:paraId="54E16F2A" w14:textId="77777777" w:rsidR="003754FE" w:rsidRDefault="003754FE" w:rsidP="003754FE">
      <w:pPr>
        <w:pStyle w:val="TextoNormal"/>
      </w:pPr>
    </w:p>
    <w:p w14:paraId="405572B2" w14:textId="77777777" w:rsidR="003754FE" w:rsidRDefault="003754FE" w:rsidP="003754FE">
      <w:pPr>
        <w:pStyle w:val="TextoNormal"/>
      </w:pPr>
      <w:r>
        <w:t>- La concesión de las subvenciones no ha sido objeto de informe previo por el Gabinete Jurídico de la Junta de Andalucía.</w:t>
      </w:r>
    </w:p>
    <w:p w14:paraId="7ECB1D92" w14:textId="77777777" w:rsidR="003754FE" w:rsidRDefault="003754FE" w:rsidP="003754FE">
      <w:pPr>
        <w:pStyle w:val="TextoNormal"/>
      </w:pPr>
    </w:p>
    <w:p w14:paraId="4A832D67" w14:textId="77777777" w:rsidR="003754FE" w:rsidRDefault="003754FE" w:rsidP="003754FE">
      <w:pPr>
        <w:pStyle w:val="TextoNormal"/>
      </w:pPr>
      <w:r>
        <w:t>- No se acredita la personalidad de las entidades solicitantes, ni la de sus representantes.</w:t>
      </w:r>
    </w:p>
    <w:p w14:paraId="15059D28" w14:textId="77777777" w:rsidR="003754FE" w:rsidRDefault="003754FE" w:rsidP="003754FE">
      <w:pPr>
        <w:pStyle w:val="TextoNormal"/>
      </w:pPr>
    </w:p>
    <w:p w14:paraId="377AA259" w14:textId="77777777" w:rsidR="003754FE" w:rsidRDefault="003754FE" w:rsidP="003754FE">
      <w:pPr>
        <w:pStyle w:val="TextoNormal"/>
      </w:pPr>
      <w:r>
        <w:t>- No se aporta informe o memoria acreditativa de la finalidad pública, o razones de interés social o económico, en la concesión.</w:t>
      </w:r>
    </w:p>
    <w:p w14:paraId="4CA2D6C7" w14:textId="77777777" w:rsidR="003754FE" w:rsidRDefault="003754FE" w:rsidP="003754FE">
      <w:pPr>
        <w:pStyle w:val="TextoNormal"/>
      </w:pPr>
    </w:p>
    <w:p w14:paraId="5E3FDD05" w14:textId="77777777" w:rsidR="003754FE" w:rsidRDefault="003754FE" w:rsidP="003754FE">
      <w:pPr>
        <w:pStyle w:val="TextoNormal"/>
      </w:pPr>
      <w:r>
        <w:t>- No consta solicitud presentada por los interesados ni su aceptación expresa.</w:t>
      </w:r>
    </w:p>
    <w:p w14:paraId="002235CA" w14:textId="77777777" w:rsidR="003754FE" w:rsidRDefault="003754FE" w:rsidP="003754FE">
      <w:pPr>
        <w:pStyle w:val="TextoNormal"/>
      </w:pPr>
    </w:p>
    <w:p w14:paraId="535025DE" w14:textId="77777777" w:rsidR="003754FE" w:rsidRDefault="003754FE" w:rsidP="003754FE">
      <w:pPr>
        <w:pStyle w:val="TextoNormal"/>
      </w:pPr>
      <w:r>
        <w:t>- No se aporta declaración responsable del beneficiario de otras subvenciones o ayudas concedidas para la misma finalidad (artículos 111 y 105 de LGHPA, y artículo 15.1 del Reglamento de subvenciones).</w:t>
      </w:r>
    </w:p>
    <w:p w14:paraId="0669BF5E" w14:textId="77777777" w:rsidR="003754FE" w:rsidRDefault="003754FE" w:rsidP="003754FE">
      <w:pPr>
        <w:pStyle w:val="TextoNormal"/>
      </w:pPr>
    </w:p>
    <w:p w14:paraId="08A8F458" w14:textId="77777777" w:rsidR="003754FE" w:rsidRDefault="003754FE" w:rsidP="003754FE">
      <w:pPr>
        <w:pStyle w:val="TextoNormal"/>
      </w:pPr>
      <w:r>
        <w:t>- No consta declaración expresa de los beneficiarios de no haber recaído sobre ellos resolución administrativa o judicial firme de reintegro.</w:t>
      </w:r>
    </w:p>
    <w:p w14:paraId="625BB70E" w14:textId="77777777" w:rsidR="003754FE" w:rsidRDefault="003754FE" w:rsidP="003754FE">
      <w:pPr>
        <w:pStyle w:val="TextoNormal"/>
      </w:pPr>
    </w:p>
    <w:p w14:paraId="5B2394F6" w14:textId="77777777" w:rsidR="003754FE" w:rsidRDefault="003754FE" w:rsidP="003754FE">
      <w:pPr>
        <w:pStyle w:val="TextoNormal"/>
      </w:pPr>
      <w:r>
        <w:t>- No se acredita por los beneficiarios estar al corriente en sus obligaciones fiscales.</w:t>
      </w:r>
    </w:p>
    <w:p w14:paraId="1FC02C8E" w14:textId="77777777" w:rsidR="003754FE" w:rsidRDefault="003754FE" w:rsidP="003754FE">
      <w:pPr>
        <w:pStyle w:val="TextoNormal"/>
      </w:pPr>
    </w:p>
    <w:p w14:paraId="23B7761C" w14:textId="77777777" w:rsidR="003754FE" w:rsidRDefault="003754FE" w:rsidP="003754FE">
      <w:pPr>
        <w:pStyle w:val="TextoNormal"/>
      </w:pPr>
      <w:r>
        <w:t>- No se determina el plazo y forma de justificación por el beneficiario del cumplimiento de la finalidad para la que se concede la ayuda.</w:t>
      </w:r>
    </w:p>
    <w:p w14:paraId="796AC93B" w14:textId="77777777" w:rsidR="003754FE" w:rsidRDefault="003754FE" w:rsidP="003754FE">
      <w:pPr>
        <w:pStyle w:val="TextoNormal"/>
      </w:pPr>
    </w:p>
    <w:p w14:paraId="53661D83" w14:textId="77777777" w:rsidR="003754FE" w:rsidRDefault="003754FE" w:rsidP="003754FE">
      <w:pPr>
        <w:pStyle w:val="TextoNormal"/>
      </w:pPr>
      <w:r>
        <w:t>- No se indica la forma y secuencia del pago y los requisitos exigidos para su abono.</w:t>
      </w:r>
    </w:p>
    <w:p w14:paraId="49BEE1C3" w14:textId="77777777" w:rsidR="003754FE" w:rsidRDefault="003754FE" w:rsidP="003754FE">
      <w:pPr>
        <w:pStyle w:val="TextoNormal"/>
      </w:pPr>
    </w:p>
    <w:p w14:paraId="0CF993F0" w14:textId="77777777" w:rsidR="003754FE" w:rsidRDefault="003754FE" w:rsidP="003754FE">
      <w:pPr>
        <w:pStyle w:val="TextoNormal"/>
      </w:pPr>
      <w:r>
        <w:t>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14:paraId="5451CF81" w14:textId="77777777" w:rsidR="003754FE" w:rsidRDefault="003754FE" w:rsidP="003754FE">
      <w:pPr>
        <w:pStyle w:val="TextoNormal"/>
      </w:pPr>
    </w:p>
    <w:p w14:paraId="4B0B01E9" w14:textId="77777777" w:rsidR="003754FE" w:rsidRDefault="003754FE" w:rsidP="003754FE">
      <w:pPr>
        <w:pStyle w:val="TextoNormal"/>
      </w:pPr>
      <w:r>
        <w:t>Las consecuencias de semejante descontrol fueron las siguientes:</w:t>
      </w:r>
    </w:p>
    <w:p w14:paraId="5EAA2FEE" w14:textId="77777777" w:rsidR="003754FE" w:rsidRDefault="003754FE" w:rsidP="003754FE">
      <w:pPr>
        <w:pStyle w:val="TextoNormal"/>
      </w:pPr>
    </w:p>
    <w:p w14:paraId="1D670BEC" w14:textId="77777777" w:rsidR="003754FE" w:rsidRDefault="003754FE" w:rsidP="003754FE">
      <w:pPr>
        <w:pStyle w:val="TextoNormal"/>
      </w:pPr>
      <w:r>
        <w:t>(i)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14:paraId="7C28F882" w14:textId="77777777" w:rsidR="003754FE" w:rsidRDefault="003754FE" w:rsidP="003754FE">
      <w:pPr>
        <w:pStyle w:val="TextoNormal"/>
      </w:pPr>
    </w:p>
    <w:p w14:paraId="0D689DF3" w14:textId="77777777" w:rsidR="003754FE" w:rsidRDefault="003754FE" w:rsidP="003754FE">
      <w:pPr>
        <w:pStyle w:val="TextoNormal"/>
      </w:pPr>
      <w:r>
        <w:t>- En el año 2001, fueron 748, afectando a un total de 7582 trabajadores.</w:t>
      </w:r>
    </w:p>
    <w:p w14:paraId="2DDF9A54" w14:textId="77777777" w:rsidR="003754FE" w:rsidRDefault="003754FE" w:rsidP="003754FE">
      <w:pPr>
        <w:pStyle w:val="TextoNormal"/>
      </w:pPr>
    </w:p>
    <w:p w14:paraId="3AB66857" w14:textId="77777777" w:rsidR="003754FE" w:rsidRDefault="003754FE" w:rsidP="003754FE">
      <w:pPr>
        <w:pStyle w:val="TextoNormal"/>
      </w:pPr>
      <w:r>
        <w:t>- En el año 2002, fueron 650, afectando a un total de 4787 trabajadores.</w:t>
      </w:r>
    </w:p>
    <w:p w14:paraId="26B5ABE8" w14:textId="77777777" w:rsidR="003754FE" w:rsidRDefault="003754FE" w:rsidP="003754FE">
      <w:pPr>
        <w:pStyle w:val="TextoNormal"/>
      </w:pPr>
    </w:p>
    <w:p w14:paraId="24AEA2B5" w14:textId="77777777" w:rsidR="003754FE" w:rsidRDefault="003754FE" w:rsidP="003754FE">
      <w:pPr>
        <w:pStyle w:val="TextoNormal"/>
      </w:pPr>
      <w:r>
        <w:t xml:space="preserve">- En el año 2003, fueron 511, afectando a un total de 4957 trabajadores. </w:t>
      </w:r>
    </w:p>
    <w:p w14:paraId="7D9E9F2F" w14:textId="77777777" w:rsidR="003754FE" w:rsidRDefault="003754FE" w:rsidP="003754FE">
      <w:pPr>
        <w:pStyle w:val="TextoNormal"/>
      </w:pPr>
    </w:p>
    <w:p w14:paraId="48D84C93" w14:textId="77777777" w:rsidR="003754FE" w:rsidRDefault="003754FE" w:rsidP="003754FE">
      <w:pPr>
        <w:pStyle w:val="TextoNormal"/>
      </w:pPr>
      <w:r>
        <w:t>- En el año 2004, fueron 657, afectando a un total de 4833 trabajadores.</w:t>
      </w:r>
    </w:p>
    <w:p w14:paraId="3A42A342" w14:textId="77777777" w:rsidR="003754FE" w:rsidRDefault="003754FE" w:rsidP="003754FE">
      <w:pPr>
        <w:pStyle w:val="TextoNormal"/>
      </w:pPr>
    </w:p>
    <w:p w14:paraId="5C90D0DA" w14:textId="77777777" w:rsidR="003754FE" w:rsidRDefault="003754FE" w:rsidP="003754FE">
      <w:pPr>
        <w:pStyle w:val="TextoNormal"/>
      </w:pPr>
      <w:r>
        <w:t>- En el año 2005, fueron 424, afectando a un total de 5476 trabajadores.</w:t>
      </w:r>
    </w:p>
    <w:p w14:paraId="05115B01" w14:textId="77777777" w:rsidR="003754FE" w:rsidRDefault="003754FE" w:rsidP="003754FE">
      <w:pPr>
        <w:pStyle w:val="TextoNormal"/>
      </w:pPr>
    </w:p>
    <w:p w14:paraId="6DC34F62" w14:textId="77777777" w:rsidR="003754FE" w:rsidRDefault="003754FE" w:rsidP="003754FE">
      <w:pPr>
        <w:pStyle w:val="TextoNormal"/>
      </w:pPr>
      <w:r>
        <w:t>- En el año 2006, fueron 434, afectando a un total de 2968 trabajadores.</w:t>
      </w:r>
    </w:p>
    <w:p w14:paraId="5CB8BA6F" w14:textId="77777777" w:rsidR="003754FE" w:rsidRDefault="003754FE" w:rsidP="003754FE">
      <w:pPr>
        <w:pStyle w:val="TextoNormal"/>
      </w:pPr>
    </w:p>
    <w:p w14:paraId="4914785C" w14:textId="77777777" w:rsidR="003754FE" w:rsidRDefault="003754FE" w:rsidP="003754FE">
      <w:pPr>
        <w:pStyle w:val="TextoNormal"/>
      </w:pPr>
      <w:r>
        <w:t>- En el año 2007, fueron 428, afectando a un total de 3247 trabajadores.</w:t>
      </w:r>
    </w:p>
    <w:p w14:paraId="708029E7" w14:textId="77777777" w:rsidR="003754FE" w:rsidRDefault="003754FE" w:rsidP="003754FE">
      <w:pPr>
        <w:pStyle w:val="TextoNormal"/>
      </w:pPr>
    </w:p>
    <w:p w14:paraId="13C5EFE5" w14:textId="77777777" w:rsidR="003754FE" w:rsidRDefault="003754FE" w:rsidP="003754FE">
      <w:pPr>
        <w:pStyle w:val="TextoNormal"/>
      </w:pPr>
      <w:r>
        <w:t>- En el año 2008, fueron 652, afectando a un total de 7000 trabajadores.</w:t>
      </w:r>
    </w:p>
    <w:p w14:paraId="708037D7" w14:textId="77777777" w:rsidR="003754FE" w:rsidRDefault="003754FE" w:rsidP="003754FE">
      <w:pPr>
        <w:pStyle w:val="TextoNormal"/>
      </w:pPr>
    </w:p>
    <w:p w14:paraId="7D0557F3" w14:textId="77777777" w:rsidR="003754FE" w:rsidRDefault="003754FE" w:rsidP="003754FE">
      <w:pPr>
        <w:pStyle w:val="TextoNormal"/>
      </w:pPr>
      <w:r>
        <w:t>- En el año 2009, fueron 1379, afectando a un total de 30 821 trabajadores.</w:t>
      </w:r>
    </w:p>
    <w:p w14:paraId="55EA6977" w14:textId="77777777" w:rsidR="003754FE" w:rsidRDefault="003754FE" w:rsidP="003754FE">
      <w:pPr>
        <w:pStyle w:val="TextoNormal"/>
      </w:pPr>
    </w:p>
    <w:p w14:paraId="61418B5F" w14:textId="77777777" w:rsidR="003754FE" w:rsidRDefault="003754FE" w:rsidP="003754FE">
      <w:pPr>
        <w:pStyle w:val="TextoNormal"/>
      </w:pPr>
      <w:r>
        <w:t>- En el año 2010, fueron 1490, afectando a un total de 21 450 trabajadores.</w:t>
      </w:r>
    </w:p>
    <w:p w14:paraId="6E7B4D2B" w14:textId="77777777" w:rsidR="003754FE" w:rsidRDefault="003754FE" w:rsidP="003754FE">
      <w:pPr>
        <w:pStyle w:val="TextoNormal"/>
      </w:pPr>
    </w:p>
    <w:p w14:paraId="26258031" w14:textId="77777777" w:rsidR="003754FE" w:rsidRDefault="003754FE" w:rsidP="003754FE">
      <w:pPr>
        <w:pStyle w:val="TextoNormal"/>
      </w:pPr>
      <w:r>
        <w:t>(ii) La ausencia de cualquier mecanismo de comprobación de la pertenencia al colectivo afectado de las personas beneficiarias de las pólizas, permitió la inclusión de beneficiarios que nunca habían pertenecido a las empresas ayudadas por la Consejería de Empleo.</w:t>
      </w:r>
    </w:p>
    <w:p w14:paraId="0FA22112" w14:textId="77777777" w:rsidR="003754FE" w:rsidRDefault="003754FE" w:rsidP="003754FE">
      <w:pPr>
        <w:pStyle w:val="TextoNormal"/>
      </w:pPr>
    </w:p>
    <w:p w14:paraId="3D90C603" w14:textId="77777777" w:rsidR="003754FE" w:rsidRDefault="003754FE" w:rsidP="003754FE">
      <w:pPr>
        <w:pStyle w:val="TextoNormal"/>
      </w:pPr>
      <w:r>
        <w:t>(iii)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haber pasado a situación de incapacidad.</w:t>
      </w:r>
    </w:p>
    <w:p w14:paraId="5B90E959" w14:textId="77777777" w:rsidR="003754FE" w:rsidRDefault="003754FE" w:rsidP="003754FE">
      <w:pPr>
        <w:pStyle w:val="TextoNormal"/>
      </w:pPr>
    </w:p>
    <w:p w14:paraId="3CD8B78C" w14:textId="77777777" w:rsidR="003754FE" w:rsidRDefault="003754FE" w:rsidP="003754FE">
      <w:pPr>
        <w:pStyle w:val="TextoNormal"/>
      </w:pPr>
      <w:r>
        <w:t>(iv)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14:paraId="48E1C692" w14:textId="77777777" w:rsidR="003754FE" w:rsidRDefault="003754FE" w:rsidP="003754FE">
      <w:pPr>
        <w:pStyle w:val="TextoNormal"/>
      </w:pPr>
    </w:p>
    <w:p w14:paraId="250AFB03" w14:textId="77777777" w:rsidR="003754FE" w:rsidRDefault="003754FE" w:rsidP="003754FE">
      <w:pPr>
        <w:pStyle w:val="TextoNormal"/>
      </w:pPr>
      <w:r>
        <w:t>(v)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de un curso de alta dirección, durante cinco ejercicios.</w:t>
      </w:r>
    </w:p>
    <w:p w14:paraId="5B05101E" w14:textId="77777777" w:rsidR="003754FE" w:rsidRDefault="003754FE" w:rsidP="003754FE">
      <w:pPr>
        <w:pStyle w:val="TextoNormal"/>
      </w:pPr>
    </w:p>
    <w:p w14:paraId="2B65FD42" w14:textId="77777777" w:rsidR="003754FE" w:rsidRDefault="003754FE" w:rsidP="003754FE">
      <w:pPr>
        <w:pStyle w:val="TextoNormal"/>
      </w:pPr>
      <w:r>
        <w:t>III) Tercera etapa</w:t>
      </w:r>
    </w:p>
    <w:p w14:paraId="73B878D6" w14:textId="77777777" w:rsidR="003754FE" w:rsidRDefault="003754FE" w:rsidP="003754FE">
      <w:pPr>
        <w:pStyle w:val="TextoNormal"/>
      </w:pPr>
    </w:p>
    <w:p w14:paraId="2D753A2B" w14:textId="77777777" w:rsidR="003754FE" w:rsidRDefault="003754FE" w:rsidP="003754FE">
      <w:pPr>
        <w:pStyle w:val="TextoNormal"/>
      </w:pPr>
      <w:r>
        <w:lastRenderedPageBreak/>
        <w:t>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14:paraId="4DF1CE23" w14:textId="77777777" w:rsidR="003754FE" w:rsidRDefault="003754FE" w:rsidP="003754FE">
      <w:pPr>
        <w:pStyle w:val="TextoNormal"/>
      </w:pPr>
    </w:p>
    <w:p w14:paraId="225E2CBA" w14:textId="77777777" w:rsidR="003754FE" w:rsidRDefault="003754FE" w:rsidP="003754FE">
      <w:pPr>
        <w:pStyle w:val="TextoNormal"/>
      </w:pPr>
      <w:r>
        <w:t>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14:paraId="5726F8B8" w14:textId="77777777" w:rsidR="003754FE" w:rsidRDefault="003754FE" w:rsidP="003754FE">
      <w:pPr>
        <w:pStyle w:val="TextoNormal"/>
      </w:pPr>
    </w:p>
    <w:p w14:paraId="321C5587" w14:textId="77777777" w:rsidR="003754FE" w:rsidRDefault="003754FE" w:rsidP="003754FE">
      <w:pPr>
        <w:pStyle w:val="TextoNormal"/>
      </w:pPr>
      <w:r>
        <w:t>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14:paraId="09819AF0" w14:textId="77777777" w:rsidR="003754FE" w:rsidRDefault="003754FE" w:rsidP="003754FE">
      <w:pPr>
        <w:pStyle w:val="TextoNormal"/>
      </w:pPr>
    </w:p>
    <w:p w14:paraId="3A895BBB" w14:textId="77777777" w:rsidR="003754FE" w:rsidRDefault="003754FE" w:rsidP="003754FE">
      <w:pPr>
        <w:pStyle w:val="TextoNormal"/>
      </w:pPr>
      <w:r>
        <w:t>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14:paraId="4EABE203" w14:textId="77777777" w:rsidR="003754FE" w:rsidRDefault="003754FE" w:rsidP="003754FE">
      <w:pPr>
        <w:pStyle w:val="TextoNormal"/>
      </w:pPr>
    </w:p>
    <w:p w14:paraId="73C9F595" w14:textId="77777777" w:rsidR="003754FE" w:rsidRDefault="003754FE" w:rsidP="003754FE">
      <w:pPr>
        <w:pStyle w:val="TextoNormal"/>
      </w:pPr>
      <w:r>
        <w:t>b) El demandante fue condenado por haber participado en los hechos anteriores, en su calidad de presidente de la Junta de Andalucía de 1990 hasta 2009. Como tal, participó en la aprobación de los anteproyectos de presupuestos y envío de aquellos al Parlamento desde el ejercicio del año 2002 al 2009 siendo conocedor de que, dentro de programa 31L, se consignaba indebidamente el instrumento de “Trasferencias de financiación al IFA” conceptos vinculados a la partida 440.51 en materia de relaciones laborales. Asimismo, como presidente del Consejo de Gobierno, aprobó también desde el año 2000 modificaciones presupuestarias que afectaron al programa 31L hasta su cese en abril de 2009.</w:t>
      </w:r>
    </w:p>
    <w:p w14:paraId="02D6BB45" w14:textId="77777777" w:rsidR="003754FE" w:rsidRDefault="003754FE" w:rsidP="003754FE">
      <w:pPr>
        <w:pStyle w:val="TextoNormal"/>
      </w:pPr>
    </w:p>
    <w:p w14:paraId="1AADFCC7" w14:textId="77777777" w:rsidR="003754FE" w:rsidRDefault="003754FE" w:rsidP="003754FE">
      <w:pPr>
        <w:pStyle w:val="TextoNormal"/>
      </w:pPr>
      <w:r>
        <w:t>Por dichos hechos, se condenó al señor Chaves como autor “de un delito de prevaricación [art. 404 de Código Penal (CP)] a las penas de nueve años de inhabilitación especial, con la consiguiente privación definitiva de todo cargo público de carácter electivo o de designación , en cualquier administración pública, que tenga el penado, y la incapacidad para obtenerlos durante el tiempo de la condena, imponiéndosele asimismo el pago de las 1/37 partes de las costas procesales causadas, excluidas las de las acusaciones populares”.</w:t>
      </w:r>
    </w:p>
    <w:p w14:paraId="374B92D6" w14:textId="77777777" w:rsidR="003754FE" w:rsidRDefault="003754FE" w:rsidP="003754FE">
      <w:pPr>
        <w:pStyle w:val="TextoNormal"/>
      </w:pPr>
    </w:p>
    <w:p w14:paraId="45950647" w14:textId="483129E8" w:rsidR="003754FE" w:rsidRDefault="003754FE" w:rsidP="003754FE">
      <w:pPr>
        <w:pStyle w:val="TextoNormal"/>
      </w:pPr>
      <w:r>
        <w:t>c) Interpuesto recurso de casación por la representación procesal del demandante fue desestimado íntegramente por sentencia del Tribunal Supremo núm. 749/2022, de 13 de septiembre.</w:t>
      </w:r>
    </w:p>
    <w:p w14:paraId="1B31EAA5" w14:textId="77777777" w:rsidR="003754FE" w:rsidRDefault="003754FE" w:rsidP="003754FE">
      <w:pPr>
        <w:pStyle w:val="TextoNormal"/>
      </w:pPr>
    </w:p>
    <w:p w14:paraId="5B111779" w14:textId="77777777" w:rsidR="003754FE" w:rsidRDefault="003754FE" w:rsidP="003754FE">
      <w:pPr>
        <w:pStyle w:val="TextoNormal"/>
      </w:pPr>
      <w:r w:rsidRPr="003754FE">
        <w:rPr>
          <w:rStyle w:val="NumeroAFNegritaCaracter"/>
        </w:rPr>
        <w:lastRenderedPageBreak/>
        <w:t>3</w:t>
      </w:r>
      <w:r>
        <w:t>. En la demanda de amparo se alega vulneración del derecho a la legalidad penal (art. 25.1 CE) encauzada a través de dos vertientes distintas:</w:t>
      </w:r>
    </w:p>
    <w:p w14:paraId="580E8B05" w14:textId="77777777" w:rsidR="003754FE" w:rsidRDefault="003754FE" w:rsidP="003754FE">
      <w:pPr>
        <w:pStyle w:val="TextoNormal"/>
      </w:pPr>
    </w:p>
    <w:p w14:paraId="2B461F66" w14:textId="77777777" w:rsidR="003754FE" w:rsidRDefault="003754FE" w:rsidP="003754FE">
      <w:pPr>
        <w:pStyle w:val="TextoNormal"/>
      </w:pPr>
      <w:r>
        <w:t>a) En primer lugar, por considerar como “resolución en asunto administrativo” (art. 404 CP) los acuerdos adoptados sucesivamente por el Consejo de Gobierno de la Junta de Andalucía desde el año 2001 al año 2009, por los que aquel aprobó el respectivo anteproyecto de ley de presupuestos de la comunidad autónoma y acordó su remisión como proyecto de ley al Parlamento de Andalucía.</w:t>
      </w:r>
    </w:p>
    <w:p w14:paraId="001D229C" w14:textId="77777777" w:rsidR="003754FE" w:rsidRDefault="003754FE" w:rsidP="003754FE">
      <w:pPr>
        <w:pStyle w:val="TextoNormal"/>
      </w:pPr>
    </w:p>
    <w:p w14:paraId="60C8E502" w14:textId="77777777" w:rsidR="003754FE" w:rsidRDefault="003754FE" w:rsidP="003754FE">
      <w:pPr>
        <w:pStyle w:val="TextoNormal"/>
      </w:pPr>
      <w:r>
        <w:t>Comienza remarcando que las resoluciones recurridas no establecen una coautoria por todos los delitos, sino que, al contrario, argumentan la existencia de una autoría individual por cada conducta propia e independiente, lo que supone que respecto al señor Chaves solo se le considere autor del delito de prevaricación por su participación en la adopción de los dos grupos de acuerdos por parte del Consejo de Gobierno que el presidía. Estos acuerdos, recuerda el demandante, fueron ejecutados en el marco de lo previsto en el Estatuto de Autonomía para Andalucía (art. 63 del estatuto vigente en aquel momento) y en la Ley 5/1983, de 19 de julio, general de la hacienda pública de la Comunidad Autónoma de Andalucía, y, en consecuencia, en el ejercicio de las funciones de iniciativa legislativa atribuida al Consejo de Gobierno. Son, por lo tanto, actos de preparación de la posterior conformación de la voluntad presupuestaria del Parlamento de Andalucía.</w:t>
      </w:r>
    </w:p>
    <w:p w14:paraId="0CB34358" w14:textId="77777777" w:rsidR="003754FE" w:rsidRDefault="003754FE" w:rsidP="003754FE">
      <w:pPr>
        <w:pStyle w:val="TextoNormal"/>
      </w:pPr>
    </w:p>
    <w:p w14:paraId="03799C59" w14:textId="77777777" w:rsidR="003754FE" w:rsidRDefault="003754FE" w:rsidP="003754FE">
      <w:pPr>
        <w:pStyle w:val="TextoNormal"/>
      </w:pPr>
      <w:r>
        <w:t>Tras citar doctrina del Tribunal Supremo sobre el concepto de “resolución dictada en asunto administrativo” [como son exponentes las SSTS 309/2012, de 12 de abril (ECLI:ES:TS:2012:2863); 340/2012, de 30 de abril (ECLI:ES:TS:2012:3289), y 359/2019, de 15 de julio (ECLI:ES:TS:2019:2355)], el demandante aduce que los acuerdos del Consejo de Gobierno no cumplen los requisitos exigidos por la doctrina del Tribunal Supremo reseñada dada cuenta de su naturaleza política y, por ende, la imposibilidad de su control por los órganos judiciales.</w:t>
      </w:r>
    </w:p>
    <w:p w14:paraId="35E10BEB" w14:textId="77777777" w:rsidR="003754FE" w:rsidRDefault="003754FE" w:rsidP="003754FE">
      <w:pPr>
        <w:pStyle w:val="TextoNormal"/>
      </w:pPr>
    </w:p>
    <w:p w14:paraId="417F6119" w14:textId="77777777" w:rsidR="003754FE" w:rsidRDefault="003754FE" w:rsidP="003754FE">
      <w:pPr>
        <w:pStyle w:val="TextoNormal"/>
      </w:pPr>
      <w:r>
        <w:t>En este sentido, mantiene que la naturaleza jurídica de este tipo de acuerdos viene reflejada en la STS de 30 de junio de 1986 (Sala de lo Contencioso-Administrativo) donde ya se preceptuaba que el itinerario de los presupuestos generales del Estado pasaba por tres fases, de las cuales, la primera, era referida a la “elaboración” y “presentación” del proyecto de ley por el Gobierno y que aquella constituía “una manifestación de la iniciativa legislativa que constitucionalmente le corresponde” cuyo examen, enmienda y aprobación “es competencia exclusiva y excluyente de las Cortes Generales”. Esto mismo vendría refrendado por jurisprudencia reciente de la Sala de lo Contencioso-Administrativo del Tribunal Supremo [STS 1035/2016, de 10 de mayo (ECLI:ES:TS:2016:1998)] que habría afirmado que no cabe caracterizar el acuerdo gubernamental preparatorio de una decisión de las Cortes Generales como “actuación administrativa sujeta al Derecho Administrativo” ya que ello supondría desconocer o devaluar la naturaleza sustancial de la actuación del Congreso y el Senado que son a los que les corresponde aprobar y dar validez y eficacia a aquellos actos de Gobierno.</w:t>
      </w:r>
    </w:p>
    <w:p w14:paraId="3F365B96" w14:textId="77777777" w:rsidR="003754FE" w:rsidRDefault="003754FE" w:rsidP="003754FE">
      <w:pPr>
        <w:pStyle w:val="TextoNormal"/>
      </w:pPr>
    </w:p>
    <w:p w14:paraId="49FF646D" w14:textId="77777777" w:rsidR="003754FE" w:rsidRDefault="003754FE" w:rsidP="003754FE">
      <w:pPr>
        <w:pStyle w:val="TextoNormal"/>
      </w:pPr>
      <w:r>
        <w:t xml:space="preserve">Mantiene además que los actos por los que ha sido sentenciado son “actos políticos o de gobierno” que han sido objeto tradicionalmente de exclusión por parte de la Sala de lo Penal del Tribunal Supremo (SSTS 340/2012, de 30 de abril; 359/2019, de 15 de julio, entre otras) del concepto “resolución” al que se refiere el art. 404 CP. A estos efectos, el demandante </w:t>
      </w:r>
      <w:r>
        <w:lastRenderedPageBreak/>
        <w:t>cita doctrina de este tribunal (SSTC 45/1990, de 15 de marzo; 196/1990, de 29 de noviembre; 222/2006, de 6 de julio) que identifica la decisión de remitir un proyecto de ley al Parlamento como un “acto político o de gobierno”.</w:t>
      </w:r>
    </w:p>
    <w:p w14:paraId="0C4D4E63" w14:textId="77777777" w:rsidR="003754FE" w:rsidRDefault="003754FE" w:rsidP="003754FE">
      <w:pPr>
        <w:pStyle w:val="TextoNormal"/>
      </w:pPr>
    </w:p>
    <w:p w14:paraId="38A208CE" w14:textId="77777777" w:rsidR="003754FE" w:rsidRDefault="003754FE" w:rsidP="003754FE">
      <w:pPr>
        <w:pStyle w:val="TextoNormal"/>
      </w:pPr>
      <w:r>
        <w:t xml:space="preserve">Desde la perspectiva de esta posición jurisprudencial, considera que las resoluciones aquí impugnadas habrían tratado de evitar la aplicación de la referida doctrina elaborando una serie de argumentos que tilda de “inadecuados”. En este sentido, el demandante manifiesta que: (i) la limitación de cualquier tipo de enjuiciamiento de un proyecto o anteproyecto de ley radica en que es un acto preparatorio de una decisión parlamentaria y que carece de una entidad jurídica propia; (ii) consecuentemente, de la misma manera que carece de sentido que un proyecto de ley pueda ser impugnado de forma paralela a la ley que posteriormente lo apruebe en el orden contencioso-administrativo, también carece de sentido que puedan calificarse como “resolución” a los efectos del delito de prevaricación administrativa este tipo de decisiones; (iii) la interpretación efectuada del concepto de “resolución en asunto administrativo” es sin duda extensiva y analógica en </w:t>
      </w:r>
      <w:r w:rsidRPr="003754FE">
        <w:rPr>
          <w:i/>
        </w:rPr>
        <w:t>malam partem</w:t>
      </w:r>
      <w:r>
        <w:t>, conduciendo además a un resultado absurdo que contradice formalmente el principio de intervención mínima; (iv) la decisión de los órganos judiciales ordinarios de escindir la iniciativa legislativa y el proceso legislativo —a fin de justificar la prevaricación en los actos realizados en este último— choca también con la doctrina del Tribunal Constitucional y de la Sala de lo Contencioso-Administrativo del Tribunal Supremo que han afirmado sin ambages la indemnidad del proceso legislativo al control judicial [STC 83/2016, de 28 de abril y STS —Sala de lo Contencioso-Administrativo— de 21 de diciembre de 2011 (ECLI:ES:TS:2011:8582)].</w:t>
      </w:r>
    </w:p>
    <w:p w14:paraId="0420198D" w14:textId="77777777" w:rsidR="003754FE" w:rsidRDefault="003754FE" w:rsidP="003754FE">
      <w:pPr>
        <w:pStyle w:val="TextoNormal"/>
      </w:pPr>
    </w:p>
    <w:p w14:paraId="50D768EF" w14:textId="77777777" w:rsidR="003754FE" w:rsidRDefault="003754FE" w:rsidP="003754FE">
      <w:pPr>
        <w:pStyle w:val="TextoNormal"/>
      </w:pPr>
      <w:r>
        <w:t>Continua el demandante afirmando que con esta tesis se llegaría al absurdo de que “los anteproyectos o los proyectos de ley no podrían modificar en ningún caso lo dispuesto en una ley vigente, pues en caso contrario serían calificados de ‘ilegales’ dado que se pretende someter a dichos anteproyectos o proyectos de ley a un examen o control de legalidad cuando todavía están en fase de elaboración […]. Cualquier proyecto de ley que modifique lo dispuesto en una ley vigente contraviene por definición esa legalidad, pero precisamente porque la iniciativa legislativa tiene por finalidad esa modificación de la legalidad vigente […] [r]esulta totalmente absurdo, irrazonable y arbitrario, sostener una hipotética ilegalidad de un anteproyecto o proyecto de ley”.</w:t>
      </w:r>
    </w:p>
    <w:p w14:paraId="4DCD975E" w14:textId="77777777" w:rsidR="003754FE" w:rsidRDefault="003754FE" w:rsidP="003754FE">
      <w:pPr>
        <w:pStyle w:val="TextoNormal"/>
      </w:pPr>
    </w:p>
    <w:p w14:paraId="27225912" w14:textId="77777777" w:rsidR="003754FE" w:rsidRDefault="003754FE" w:rsidP="003754FE">
      <w:pPr>
        <w:pStyle w:val="TextoNormal"/>
      </w:pPr>
      <w:r>
        <w:t>A pesar de que se mantiene que la ilegalidad reside en el incumplimiento de los criterios establecidos reglamentariamente para la elaboración de dichos presupuestos, ello supone utilizar como canon de legalidad para determinar la validez de dichas normas lo establecido en una disposición reglamentaria y anterior, sustrayéndose, además, el control de dicha constitucionalidad al propio Tribunal Constitucional a través del mecanismo previsto en el art. 35 de la Ley Orgánica del Tribunal Constitucional (LOTC).</w:t>
      </w:r>
    </w:p>
    <w:p w14:paraId="3892964D" w14:textId="77777777" w:rsidR="003754FE" w:rsidRDefault="003754FE" w:rsidP="003754FE">
      <w:pPr>
        <w:pStyle w:val="TextoNormal"/>
      </w:pPr>
    </w:p>
    <w:p w14:paraId="65DDBCFE" w14:textId="77777777" w:rsidR="003754FE" w:rsidRDefault="003754FE" w:rsidP="003754FE">
      <w:pPr>
        <w:pStyle w:val="TextoNormal"/>
      </w:pPr>
      <w:r>
        <w:t>b) En segundo lugar, por considerar como “resolución en asunto administrativo” (art. 404 CP) los acuerdos adoptados sucesivamente por el Consejo de Gobierno de la Junta de Andalucía en relación con las sucesivas modificaciones presupuestarias. En el desarrollo de este motivo, aduce el recurrente que la naturaleza jurídica de las modificaciones presupuestarias tampoco permite su subsunción en los elementos del tipo del delito de prevaricación administrativa, lo que supone una flagrante violación de principio de legalidad penal.</w:t>
      </w:r>
    </w:p>
    <w:p w14:paraId="01BD1F58" w14:textId="77777777" w:rsidR="003754FE" w:rsidRDefault="003754FE" w:rsidP="003754FE">
      <w:pPr>
        <w:pStyle w:val="TextoNormal"/>
      </w:pPr>
    </w:p>
    <w:p w14:paraId="761816FA" w14:textId="77777777" w:rsidR="003754FE" w:rsidRDefault="003754FE" w:rsidP="003754FE">
      <w:pPr>
        <w:pStyle w:val="TextoNormal"/>
      </w:pPr>
      <w:r>
        <w:lastRenderedPageBreak/>
        <w:t>Considera que tanto la Sala de lo Penal del Tribunal Supremo como la Audiencia Provincial de Sevilla han evitado analizar la naturaleza jurídica de las modificaciones presupuestarias, siendo que a aquellas debe reconocérsele la “fuerza de ley”, “valor de ley” y “rango de ley”.</w:t>
      </w:r>
    </w:p>
    <w:p w14:paraId="63570E65" w14:textId="77777777" w:rsidR="003754FE" w:rsidRDefault="003754FE" w:rsidP="003754FE">
      <w:pPr>
        <w:pStyle w:val="TextoNormal"/>
      </w:pPr>
    </w:p>
    <w:p w14:paraId="58C9577C" w14:textId="77777777" w:rsidR="003754FE" w:rsidRDefault="003754FE" w:rsidP="003754FE">
      <w:pPr>
        <w:pStyle w:val="TextoNormal"/>
      </w:pPr>
      <w:r>
        <w:t>En apoyo de esta conclusión el demandante aporta diferentes argumentos: (i) los créditos presupuestarios constituyen disposiciones de carácter normativo que se encuentran insertos en una ley de presupuestos, por lo que una modificación presupuestaria que viene a modificar dicho crédito de presupuestos se encuentra modificando en realidad una ley que ha sido aprobada previamente por el Parlamento. Desde esta perspectiva, el demandante considera que no puede darse a las modificaciones presupuestarias la categoría de reglamentos ejecutivos pues supondría contradecir el art. 134.1 CE (que impone una reserva de ley para la materia presupuestaria) y el propio principio de jerarquía normativa (al permitir que una norma de rango inferior —reglamento— modificara los establecido en la ley de presupuestos); (ii) tampoco cabría admitir que estaríamos ante un supuesto de “deslegalización” en materia presupuestaria, dada la taxativa reserva de ley establecida en el art. 134.1 CE; (iii) la doctrina del Tribunal Constitucional (STC 83/2016) no ha acotado las locuciones “valor de ley”, “rango de ley” o “fuerza de ley” a actos o decisiones de origen parlamentario sino también a actos o disposiciones de procedencia gubernamental; (iv) ese rango normativo explicaría que el Consejo de Gobierno tuviera preceptivamente que informar al Parlamento de las modificaciones presupuestarias aprobadas; (v) y también explicaría que las modificaciones presupuestarias quedaran excluidas del control jurisdiccional en el orden contencioso-administrativo (STC 83/2016).</w:t>
      </w:r>
    </w:p>
    <w:p w14:paraId="656BED8E" w14:textId="77777777" w:rsidR="003754FE" w:rsidRDefault="003754FE" w:rsidP="003754FE">
      <w:pPr>
        <w:pStyle w:val="TextoNormal"/>
      </w:pPr>
    </w:p>
    <w:p w14:paraId="54A47631" w14:textId="2E32AA53" w:rsidR="003754FE" w:rsidRDefault="003754FE" w:rsidP="003754FE">
      <w:pPr>
        <w:pStyle w:val="TextoNormal"/>
      </w:pPr>
      <w:r>
        <w:t>Por todo ello, interesa que se le otorgue el amparo, se declare la vulneración del derecho fundamental a la legalidad penal (art. 25.1 CE) y se reponga al demandante en el derecho fundamental declarando nulas las resoluciones recurridas.</w:t>
      </w:r>
    </w:p>
    <w:p w14:paraId="377C2134" w14:textId="77777777" w:rsidR="003754FE" w:rsidRDefault="003754FE" w:rsidP="003754FE">
      <w:pPr>
        <w:pStyle w:val="TextoNormal"/>
      </w:pPr>
    </w:p>
    <w:p w14:paraId="5F063165" w14:textId="77777777" w:rsidR="003754FE" w:rsidRDefault="003754FE" w:rsidP="003754FE">
      <w:pPr>
        <w:pStyle w:val="TextoNormal"/>
      </w:pPr>
      <w:r w:rsidRPr="003754FE">
        <w:rPr>
          <w:rStyle w:val="NumeroAFNegritaCaracter"/>
        </w:rPr>
        <w:t>4</w:t>
      </w:r>
      <w:r>
        <w:t>. La Sala Segunda del Tribunal Constitucional, por ATC 285/2023, de 5 de junio, de conformidad con el art. 11.2 LOTC, avocó para sí la decisión de admisión a trámite del presente recurso de amparo y acordó su admisión, apreciando que concurre en el mismo especial trascendencia constitucional (art. 50.1 LOTC),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y tiene unas consecuencias políticas generales [STC 155/2009, FJ 2 g)].</w:t>
      </w:r>
    </w:p>
    <w:p w14:paraId="5A3E66BF" w14:textId="77777777" w:rsidR="003754FE" w:rsidRDefault="003754FE" w:rsidP="003754FE">
      <w:pPr>
        <w:pStyle w:val="TextoNormal"/>
      </w:pPr>
    </w:p>
    <w:p w14:paraId="42E2CB39" w14:textId="77777777" w:rsidR="003754FE" w:rsidRDefault="003754FE" w:rsidP="003754FE">
      <w:pPr>
        <w:pStyle w:val="TextoNormal"/>
      </w:pPr>
      <w:r>
        <w:t>De conformidad con lo dispuesto en el art. 51 LOTC se acordó dirigir atenta comunicación a la Sección Primera de la Audiencia Provincial de Sevilla, a fin de que, en plazo que no exceda de diez días, remitiera certificación o fotocopia adverada de las actuaciones correspondientes al procedimiento abreviado núm. 133-2016, rollo núm. 1965-2017, y a la Sala de lo Penal de Tribunal Supremo para que remitiera certificación o fotocopia adverada de las actuaciones correspondientes al recurso de casación núm. 601-2020. En dicha resolución se emplazó también a quienes hubieran sido parte en el procedimiento, excepto a la parte recurrente en amparo, para que en el plazo de diez días puedan comparecer, si lo desean, en el presente recurso.</w:t>
      </w:r>
    </w:p>
    <w:p w14:paraId="09BD8BDE" w14:textId="77777777" w:rsidR="003754FE" w:rsidRDefault="003754FE" w:rsidP="003754FE">
      <w:pPr>
        <w:pStyle w:val="TextoNormal"/>
      </w:pPr>
    </w:p>
    <w:p w14:paraId="56FE4728" w14:textId="19EBA272" w:rsidR="003754FE" w:rsidRDefault="003754FE" w:rsidP="003754FE">
      <w:pPr>
        <w:pStyle w:val="TextoNormal"/>
      </w:pPr>
      <w:r>
        <w:lastRenderedPageBreak/>
        <w:t>El Pleno de este tribunal, por providencia de 20 de junio de 2023, acordó recabar para sí el conocimiento del recurso de amparo.</w:t>
      </w:r>
    </w:p>
    <w:p w14:paraId="0E58817F" w14:textId="77777777" w:rsidR="003754FE" w:rsidRDefault="003754FE" w:rsidP="003754FE">
      <w:pPr>
        <w:pStyle w:val="TextoNormal"/>
      </w:pPr>
    </w:p>
    <w:p w14:paraId="13783AC1" w14:textId="77777777" w:rsidR="003754FE" w:rsidRDefault="003754FE" w:rsidP="003754FE">
      <w:pPr>
        <w:pStyle w:val="TextoNormal"/>
      </w:pPr>
      <w:r w:rsidRPr="003754FE">
        <w:rPr>
          <w:rStyle w:val="NumeroAFNegritaCaracter"/>
        </w:rPr>
        <w:t>5</w:t>
      </w:r>
      <w:r>
        <w:t>. Mediante escrito de 25 de julio de 2023, el procurador de los tribunales don Manuel Sánchez-Puelles González-Carvajal, en nombre y representación del Partido Popular y bajo la dirección de los letrados don Ángel Márquez Prieto y don Alfonso Martínez Escribano, interesó que se le tuviera por personado en el procedimiento, así como la acumulación de los recursos de amparo dimanantes de la misma causa penal.</w:t>
      </w:r>
    </w:p>
    <w:p w14:paraId="7B050927" w14:textId="77777777" w:rsidR="003754FE" w:rsidRDefault="003754FE" w:rsidP="003754FE">
      <w:pPr>
        <w:pStyle w:val="TextoNormal"/>
      </w:pPr>
    </w:p>
    <w:p w14:paraId="05D9C8B1" w14:textId="2A82568E" w:rsidR="003754FE" w:rsidRDefault="003754FE" w:rsidP="003754FE">
      <w:pPr>
        <w:pStyle w:val="TextoNormal"/>
      </w:pPr>
      <w:r>
        <w:t>Por diligencia de ordenación de la Secretaría de Justicia del Pleno de este tribunal de 27 de julio de 2023, se admitió su personación y, a tenor de lo dispuesto en el artículo 52 LOTC, se acordó dar vista de todas las actuaciones del presente recurso de amparo, por un plazo común de veinte días, a la parte recurrente, al Partido Popular y al Ministerio Fiscal para que dentro de dicho término pudieran presentar las alegaciones que estimasen procedentes.</w:t>
      </w:r>
    </w:p>
    <w:p w14:paraId="48628B1E" w14:textId="77777777" w:rsidR="003754FE" w:rsidRDefault="003754FE" w:rsidP="003754FE">
      <w:pPr>
        <w:pStyle w:val="TextoNormal"/>
      </w:pPr>
    </w:p>
    <w:p w14:paraId="56BAF6AE" w14:textId="77777777" w:rsidR="003754FE" w:rsidRDefault="003754FE" w:rsidP="003754FE">
      <w:pPr>
        <w:pStyle w:val="TextoNormal"/>
      </w:pPr>
      <w:r w:rsidRPr="003754FE">
        <w:rPr>
          <w:rStyle w:val="NumeroAFNegritaCaracter"/>
        </w:rPr>
        <w:t>6</w:t>
      </w:r>
      <w:r>
        <w:t>. La representación procesal del Partido Popular, por escrito registrado el 26 de septiembre de 2023, interesó que se desestimara el amparo al no apreciarse la vulneración del principio de legalidad penal.</w:t>
      </w:r>
    </w:p>
    <w:p w14:paraId="688811E0" w14:textId="77777777" w:rsidR="003754FE" w:rsidRDefault="003754FE" w:rsidP="003754FE">
      <w:pPr>
        <w:pStyle w:val="TextoNormal"/>
      </w:pPr>
    </w:p>
    <w:p w14:paraId="2D11B116" w14:textId="77777777" w:rsidR="003754FE" w:rsidRDefault="003754FE" w:rsidP="003754FE">
      <w:pPr>
        <w:pStyle w:val="TextoNormal"/>
      </w:pPr>
      <w:r>
        <w:t>a) En relación con la vulneración del principio de legalidad penal (art. 25.1 CE) por haberse considerado “resolución en asunto administrativo” los acuerdos adoptados sucesivamente por el Consejo de Gobierno aprobando el respectivo anteproyecto de ley, aduce que la demanda incurre en una indebida simplificación de que la condena se basa en actos prelegislativos cuando ello es manifiestamente inexacto. Así, la prevaricación declarada en sentencia de instancia no se fundamentaría únicamente en la adopción de unas resoluciones contrarias a Derecho en los tramites de elaboración y aprobación de las normas presupuestarias, sino también en el hecho de que estas decisiones se adoptaron para conseguir una finalidad palmariamente ilegal: evitar el cumplimiento de las exigencias de normas sobre subvenciones y el control previo de la Intervención General de la Junta de Andalucía. Consecuentemente, las sentencias se sustentarían en una subsunción de los hechos plenamente acorde y en nada ajena al significado posible de los términos de la norma aplicada.</w:t>
      </w:r>
    </w:p>
    <w:p w14:paraId="55363CC7" w14:textId="77777777" w:rsidR="003754FE" w:rsidRDefault="003754FE" w:rsidP="003754FE">
      <w:pPr>
        <w:pStyle w:val="TextoNormal"/>
      </w:pPr>
    </w:p>
    <w:p w14:paraId="67A7B28F" w14:textId="77777777" w:rsidR="003754FE" w:rsidRDefault="003754FE" w:rsidP="003754FE">
      <w:pPr>
        <w:pStyle w:val="TextoNormal"/>
      </w:pPr>
      <w:r>
        <w:t>Tras reproducir literalmente los fundamentos jurídicos acogidos en las resoluciones impugnadas, aduce que existe una copiosa doctrina jurisprudencial que sustenta la tesis de dichas resoluciones y que permiten enmarcar las conductas en el concepto de “resolución” y “asunto administrativo” efectuada por la Audiencia Provincial de Sevilla y el Tribunal Supremo. Ello evidenciaría la racionalidad de la motivación de la sentencia del Tribunal Supremo de que no hay una inmunidad general de la actividad parlamentaria, menos aún de la actividad prelegislativa, y de que los actos del Gobierno o de la administración que culminan en la elevación del proyecto de ley son resoluciones a efectos penales. A las citadas adiciona la parte otros antecedentes legislativos, como la Ley de procedimiento administrativo de 1958, la Ley 30/1992, de 26 de noviembre, de régimen jurídico de las administraciones públicas y del procedimiento administrativo común, o la Ley 50/1997, de 23 de noviembre, del Gobierno, que regulan la elaboración de disposiciones de carácter general como procedimientos administrativos especiales, de ahí que sea racional considerar los actos de esos procedimientos como resoluciones en asunto o procedimiento administrativo.</w:t>
      </w:r>
    </w:p>
    <w:p w14:paraId="0D2F1932" w14:textId="77777777" w:rsidR="003754FE" w:rsidRDefault="003754FE" w:rsidP="003754FE">
      <w:pPr>
        <w:pStyle w:val="TextoNormal"/>
      </w:pPr>
    </w:p>
    <w:p w14:paraId="18B31685" w14:textId="77777777" w:rsidR="003754FE" w:rsidRDefault="003754FE" w:rsidP="003754FE">
      <w:pPr>
        <w:pStyle w:val="TextoNormal"/>
      </w:pPr>
      <w:r>
        <w:lastRenderedPageBreak/>
        <w:t>Estos argumentos quedarían reforzados por los razonamientos contenidos en los fundamentos de Derecho 23 y siguientes de la sentencia dictada en casación, habida cuenta que en ella se analiza la idoneidad típica objetiva de cada una de las resoluciones que tilda de prevaricadoras: la apropiación de los proyectos de leyes de presupuestos por el Consejo de Gobierno de la Junta de Andalucía; la aprobación de los proyectos de presupuestos de la Consejería de Empleo, con la intervención determinante del consejero, viceconsejeros; la aprobación de los proyectos de presupuestos de la Consejería de Empleo, con la intervención determinante del consejero, viceconsejero y secretario general técnico; la aprobación de las distintas modificaciones presupuestarias; la concesión de las subvenciones y los convenios suscritos.</w:t>
      </w:r>
    </w:p>
    <w:p w14:paraId="55866C3E" w14:textId="77777777" w:rsidR="003754FE" w:rsidRDefault="003754FE" w:rsidP="003754FE">
      <w:pPr>
        <w:pStyle w:val="TextoNormal"/>
      </w:pPr>
    </w:p>
    <w:p w14:paraId="66544747" w14:textId="77777777" w:rsidR="003754FE" w:rsidRDefault="003754FE" w:rsidP="003754FE">
      <w:pPr>
        <w:pStyle w:val="TextoNormal"/>
      </w:pPr>
      <w:r>
        <w:t>Según se infiere del escrito de alegaciones presentado, las sentencias impugnadas no desconocerían la inmunidad jurisdiccional de determinados actos políticos, sino que motivarían extensa y detalladamente que los actos enjuiciados en este caso no revestirían dicho carácter. Así, las sentencias motivan que el proceso prelegislativo es un procedimiento administrativo y que, partiendo de que no hay una inmunidad general de la actividad parlamentaria, resulta evidente que los actos del Gobierno y de la administración que culminan en la elaboración del proyecto de ley son actos o resoluciones a efectos penales (art. 404 CP). Esta interpretación, entiende, respetaría la doctrina de los actos de gobierno y políticos establecida por la jurisdicción contencioso-administrativa, así como el reparto de funciones entre los poderes legislativo y ejecutivo, de tal manera que el posible control penal de las decisiones reseñadas “nunca puede considerarse como decisión de control del poder judicial (del orden penal) sobre otro poder; en este orden judicial, no se enjuician actos o decisiones de otros poderes, sino conductas personales imputables a las personas que ocupen, en cada momento, los cargos o empleos públicos, por los actos realizados que respondan a los tipos que el legislador orgánico ha entendido punibles y que, sin excepción, solo son las conductas atentatorias a los derechos fundamentales de los ciudadanos o a los intereses públicos generales”.</w:t>
      </w:r>
    </w:p>
    <w:p w14:paraId="7D642BE2" w14:textId="77777777" w:rsidR="003754FE" w:rsidRDefault="003754FE" w:rsidP="003754FE">
      <w:pPr>
        <w:pStyle w:val="TextoNormal"/>
      </w:pPr>
    </w:p>
    <w:p w14:paraId="2DF98A0E" w14:textId="77777777" w:rsidR="003754FE" w:rsidRDefault="003754FE" w:rsidP="003754FE">
      <w:pPr>
        <w:pStyle w:val="TextoNormal"/>
      </w:pPr>
      <w:r>
        <w:t>Para la parte, en consecuencia, la diferencia con la ausencia de control en el ámbito de la jurisdicción contencioso-administrativa se justificaría en que este último orden enjuicia la conformidad o no a Derecho de los actos impugnados, mientras que el orden penal tiene por objeto la responsabilidad penal de los autores de esos mismos actos. Todo ello partiría de un principio básico: todas las autoridades y funcionarios están sometidos al imperio de la ley y sus conductas delictivas no pueden quedar impunes.</w:t>
      </w:r>
    </w:p>
    <w:p w14:paraId="6E03E02D" w14:textId="77777777" w:rsidR="003754FE" w:rsidRDefault="003754FE" w:rsidP="003754FE">
      <w:pPr>
        <w:pStyle w:val="TextoNormal"/>
      </w:pPr>
    </w:p>
    <w:p w14:paraId="1F89C134" w14:textId="77777777" w:rsidR="003754FE" w:rsidRDefault="003754FE" w:rsidP="003754FE">
      <w:pPr>
        <w:pStyle w:val="TextoNormal"/>
      </w:pPr>
      <w:r>
        <w:t>Por último, mantiene que aunque la demanda de amparo trata de justificar que la aprobación por el Parlamento andaluz de las leyes de presupuestos impide considerar como “ilegal” los proyectos y anteproyectos de ley, la ilicitud se derivaría: (i) por un lado, de la existencia de un régimen jurídico estatutario, reglamentario y legal aplicable a la elaboración de estos proyectos; (ii) por otro lado, de que ni las autoridades administrativas ni el legislador autonómico pueden desconocer ese régimen jurídico con intento de eludirla.</w:t>
      </w:r>
    </w:p>
    <w:p w14:paraId="75D169AF" w14:textId="77777777" w:rsidR="003754FE" w:rsidRDefault="003754FE" w:rsidP="003754FE">
      <w:pPr>
        <w:pStyle w:val="TextoNormal"/>
      </w:pPr>
    </w:p>
    <w:p w14:paraId="509272AC" w14:textId="77777777" w:rsidR="003754FE" w:rsidRDefault="003754FE" w:rsidP="003754FE">
      <w:pPr>
        <w:pStyle w:val="TextoNormal"/>
      </w:pPr>
      <w:r>
        <w:t xml:space="preserve">b) En relación con la posible vulneración del principio de legalidad penal (art. 25.1 CE) respecto al concepto “modificaciones presupuestarias”, considera que los argumentos que el demandante ha vertido sobre la posible “indemnidad” de los proyectos y anteproyectos de ley en ningún caso pueden ser extendidos a las modificaciones presupuestarias. Así se razona, de hecho, en el fundamento de Derecho 24 de la sentencia del Tribunal Supremo </w:t>
      </w:r>
      <w:r>
        <w:lastRenderedPageBreak/>
        <w:t>que enfatiza que, en aquel caso, dichas modificaciones presupuestarias fueron aprobadas por el consejero de Hacienda, por el Consejo de Gobierno de la Junta de Andalucía y no por el Parlamento.</w:t>
      </w:r>
    </w:p>
    <w:p w14:paraId="2565688A" w14:textId="77777777" w:rsidR="003754FE" w:rsidRDefault="003754FE" w:rsidP="003754FE">
      <w:pPr>
        <w:pStyle w:val="TextoNormal"/>
      </w:pPr>
    </w:p>
    <w:p w14:paraId="5016AD3A" w14:textId="671BA451" w:rsidR="003754FE" w:rsidRDefault="003754FE" w:rsidP="003754FE">
      <w:pPr>
        <w:pStyle w:val="TextoNormal"/>
      </w:pPr>
      <w:r>
        <w:t>Considera que la parte demandante pretende una extensión analógica de la naturaleza de los proyectos y anteproyectos de ley, siendo que existe entre ambas una diferencia sustancial que quedaría en evidencia en el fundamento 24 de la sentencia del Tribunal Supremo y de los fundamentos 16 y 17 de la sentencia de la Audiencia Provincial. La decisión aprobatoria de estas modificaciones presupuestarias fue adoptada incumpliendo unas exigencias materiales y procedimentales de forma dolosa y tendentes a eliminar los controles administrativos.</w:t>
      </w:r>
    </w:p>
    <w:p w14:paraId="6346DAF1" w14:textId="77777777" w:rsidR="003754FE" w:rsidRDefault="003754FE" w:rsidP="003754FE">
      <w:pPr>
        <w:pStyle w:val="TextoNormal"/>
      </w:pPr>
    </w:p>
    <w:p w14:paraId="2839B1F8" w14:textId="486D2F84" w:rsidR="003754FE" w:rsidRDefault="003754FE" w:rsidP="003754FE">
      <w:pPr>
        <w:pStyle w:val="TextoNormal"/>
      </w:pPr>
      <w:r w:rsidRPr="003754FE">
        <w:rPr>
          <w:rStyle w:val="NumeroAFNegritaCaracter"/>
        </w:rPr>
        <w:t>7</w:t>
      </w:r>
      <w:r>
        <w:t>. 7. Por escrito presentado el 6 de octubre de 2023 la representación procesal de don Gaspar Zarrías Arévalo solicitó se le tuviera por personado en el procedimiento y adherido a los motivos de amparo primero y segundo formulados por el recurrente.</w:t>
      </w:r>
    </w:p>
    <w:p w14:paraId="570E104A" w14:textId="77777777" w:rsidR="003754FE" w:rsidRDefault="003754FE" w:rsidP="003754FE">
      <w:pPr>
        <w:pStyle w:val="TextoNormal"/>
      </w:pPr>
    </w:p>
    <w:p w14:paraId="2E4C5440" w14:textId="4148D5FE" w:rsidR="003754FE" w:rsidRDefault="003754FE" w:rsidP="003754FE">
      <w:pPr>
        <w:pStyle w:val="TextoNormal"/>
      </w:pPr>
      <w:r w:rsidRPr="003754FE">
        <w:rPr>
          <w:rStyle w:val="NumeroAFNegritaCaracter"/>
        </w:rPr>
        <w:t>8</w:t>
      </w:r>
      <w:r>
        <w:t>. Por escrito presentado el 9 de octubre de 2023, la representación procesal de don Francisco Vallejo Serrano solicitó se le tuviera por personado en el procedimiento a los efectos previstos en los artículos 47.1, 51.2 y 52.1 LOTC.</w:t>
      </w:r>
    </w:p>
    <w:p w14:paraId="00124E50" w14:textId="77777777" w:rsidR="003754FE" w:rsidRDefault="003754FE" w:rsidP="003754FE">
      <w:pPr>
        <w:pStyle w:val="TextoNormal"/>
      </w:pPr>
    </w:p>
    <w:p w14:paraId="5F238557" w14:textId="70BF56C2" w:rsidR="003754FE" w:rsidRDefault="003754FE" w:rsidP="003754FE">
      <w:pPr>
        <w:pStyle w:val="TextoNormal"/>
      </w:pPr>
      <w:r w:rsidRPr="003754FE">
        <w:rPr>
          <w:rStyle w:val="NumeroAFNegritaCaracter"/>
        </w:rPr>
        <w:t>9</w:t>
      </w:r>
      <w:r>
        <w:t>. Por escrito presentado el 9 de octubre de 2023, la representación procesal de don Jesús María Rodríguez Román solicitó se le tuviera por personado en el procedimiento a los efectos previstos en los artículos 47.1, 51.2 y 52.1 LOTC.</w:t>
      </w:r>
    </w:p>
    <w:p w14:paraId="2AB4564F" w14:textId="77777777" w:rsidR="003754FE" w:rsidRDefault="003754FE" w:rsidP="003754FE">
      <w:pPr>
        <w:pStyle w:val="TextoNormal"/>
      </w:pPr>
    </w:p>
    <w:p w14:paraId="6D8C2CA3" w14:textId="35995796" w:rsidR="003754FE" w:rsidRDefault="003754FE" w:rsidP="003754FE">
      <w:pPr>
        <w:pStyle w:val="TextoNormal"/>
      </w:pPr>
      <w:r w:rsidRPr="003754FE">
        <w:rPr>
          <w:rStyle w:val="NumeroAFNegritaCaracter"/>
        </w:rPr>
        <w:t>10</w:t>
      </w:r>
      <w:r>
        <w:t>. Por escrito presentado el 10 de octubre de 2023 la representación procesal de don Antonio Vicente Lozano y de don José Antonio Griñán Martínez solicitó se le tuviera por personado en el procedimiento.</w:t>
      </w:r>
    </w:p>
    <w:p w14:paraId="667DBEC7" w14:textId="77777777" w:rsidR="003754FE" w:rsidRDefault="003754FE" w:rsidP="003754FE">
      <w:pPr>
        <w:pStyle w:val="TextoNormal"/>
      </w:pPr>
    </w:p>
    <w:p w14:paraId="60A1826F" w14:textId="2F15C4B4" w:rsidR="003754FE" w:rsidRDefault="003754FE" w:rsidP="003754FE">
      <w:pPr>
        <w:pStyle w:val="TextoNormal"/>
      </w:pPr>
      <w:r w:rsidRPr="003754FE">
        <w:rPr>
          <w:rStyle w:val="NumeroAFNegritaCaracter"/>
        </w:rPr>
        <w:t>11</w:t>
      </w:r>
      <w:r>
        <w:t>. Por escrito presentado el 10 de octubre de 2023, la representación procesal de doña Carmen Martínez Aguayo solicitó se le tuviera por personado en el procedimiento y adherido a los motivos de amparo formulados por el recurrente.</w:t>
      </w:r>
    </w:p>
    <w:p w14:paraId="23C7A0DB" w14:textId="77777777" w:rsidR="003754FE" w:rsidRDefault="003754FE" w:rsidP="003754FE">
      <w:pPr>
        <w:pStyle w:val="TextoNormal"/>
      </w:pPr>
    </w:p>
    <w:p w14:paraId="2A36F791" w14:textId="77777777" w:rsidR="003754FE" w:rsidRDefault="003754FE" w:rsidP="003754FE">
      <w:pPr>
        <w:pStyle w:val="TextoNormal"/>
      </w:pPr>
      <w:r w:rsidRPr="003754FE">
        <w:rPr>
          <w:rStyle w:val="NumeroAFNegritaCaracter"/>
        </w:rPr>
        <w:t>12</w:t>
      </w:r>
      <w:r>
        <w:t>. Por diligencia de ordenación de 23 de octubre de 2023 se tuvieron por recibidos los emplazamientos practicados por la Sección Primera de la Audiencia Provincial de Sevilla y se acordó tener por personados y parte en el proceso a don Gaspar Zarrías Arévalo, don Francisco Vallejo Serrano, don Jesús María Rodríguez Román, don Antonio Vicente Lozano Peña, don José Antonio Griñán Martínez y doña Carmen Martínez Aguayo.</w:t>
      </w:r>
    </w:p>
    <w:p w14:paraId="1945827C" w14:textId="77777777" w:rsidR="003754FE" w:rsidRDefault="003754FE" w:rsidP="003754FE">
      <w:pPr>
        <w:pStyle w:val="TextoNormal"/>
      </w:pPr>
    </w:p>
    <w:p w14:paraId="16181199" w14:textId="418CF6E9" w:rsidR="003754FE" w:rsidRDefault="003754FE" w:rsidP="003754FE">
      <w:pPr>
        <w:pStyle w:val="TextoNormal"/>
      </w:pPr>
      <w:r>
        <w:t>Asimismo, y a tenor de lo dispuesto en el artículo 52 LOTC, se dio vista de todas las actuaciones del presente recurso de amparo, por un plazo común de veinte días, a las citadas partes personadas, para que dentro de dicho término pudieran presentar las alegaciones que a su derecho conviniera.</w:t>
      </w:r>
    </w:p>
    <w:p w14:paraId="26B45705" w14:textId="77777777" w:rsidR="003754FE" w:rsidRDefault="003754FE" w:rsidP="003754FE">
      <w:pPr>
        <w:pStyle w:val="TextoNormal"/>
      </w:pPr>
    </w:p>
    <w:p w14:paraId="643B473A" w14:textId="17C46BA8" w:rsidR="003754FE" w:rsidRDefault="003754FE" w:rsidP="003754FE">
      <w:pPr>
        <w:pStyle w:val="TextoNormal"/>
      </w:pPr>
      <w:r w:rsidRPr="003754FE">
        <w:rPr>
          <w:rStyle w:val="NumeroAFNegritaCaracter"/>
        </w:rPr>
        <w:t>13</w:t>
      </w:r>
      <w:r>
        <w:t xml:space="preserve">. Por escrito presentado el 26 de octubre de 2023 el fiscal ante el Tribunal Constitucional solicitó una prórroga para evacuar las alegaciones previstas en el art. 52 LOTC, por un plazo de treinta días hábiles complementarios a contar desde la conclusión del plazo </w:t>
      </w:r>
      <w:r>
        <w:lastRenderedPageBreak/>
        <w:t>ordinario, prevista para el 8 de noviembre de 2023. Por diligencia de ordenación de 30 de octubre de 2023 se tuvo por recibido el anterior escrito del fiscal y se acordó ampliar el plazo en los términos solicitados.</w:t>
      </w:r>
    </w:p>
    <w:p w14:paraId="1C983F04" w14:textId="77777777" w:rsidR="003754FE" w:rsidRDefault="003754FE" w:rsidP="003754FE">
      <w:pPr>
        <w:pStyle w:val="TextoNormal"/>
      </w:pPr>
    </w:p>
    <w:p w14:paraId="458CF5C9" w14:textId="51C582FD" w:rsidR="003754FE" w:rsidRDefault="003754FE" w:rsidP="003754FE">
      <w:pPr>
        <w:pStyle w:val="TextoNormal"/>
      </w:pPr>
      <w:r w:rsidRPr="003754FE">
        <w:rPr>
          <w:rStyle w:val="NumeroAFNegritaCaracter"/>
        </w:rPr>
        <w:t>14</w:t>
      </w:r>
      <w:r>
        <w:t>. Por escrito registrado el 7 de noviembre de 2023, la representación procesal de don Antonio Vicente Lozano Peña evacuó escrito de alegaciones en el que se adhirió a los dos motivos del presente recurso de amparo, así como a la petición de nulidad de las sentencias dictadas por la Sala de lo Penal del Tribunal Supremo y por la Sección Primera de la Audiencia Provincial de Sevilla.</w:t>
      </w:r>
    </w:p>
    <w:p w14:paraId="0C485602" w14:textId="77777777" w:rsidR="003754FE" w:rsidRDefault="003754FE" w:rsidP="003754FE">
      <w:pPr>
        <w:pStyle w:val="TextoNormal"/>
      </w:pPr>
    </w:p>
    <w:p w14:paraId="11ACF2DC" w14:textId="628B9911" w:rsidR="003754FE" w:rsidRDefault="003754FE" w:rsidP="003754FE">
      <w:pPr>
        <w:pStyle w:val="TextoNormal"/>
      </w:pPr>
      <w:r w:rsidRPr="003754FE">
        <w:rPr>
          <w:rStyle w:val="NumeroAFNegritaCaracter"/>
        </w:rPr>
        <w:t>15</w:t>
      </w:r>
      <w:r>
        <w:t>. Por escrito registrado el 7 de noviembre de 2023, la representación procesal de don José Antonio Griñan Martínez evacuó escrito de alegaciones en el que se adhirió a los dos motivos del presente recurso de amparo, así como a la petición de nulidad de las sentencias dictadas por la Sala de lo Penal del Tribunal Supremo y por la Sección Primera de la Audiencia Provincial de Sevilla.</w:t>
      </w:r>
    </w:p>
    <w:p w14:paraId="507ECCEF" w14:textId="77777777" w:rsidR="003754FE" w:rsidRDefault="003754FE" w:rsidP="003754FE">
      <w:pPr>
        <w:pStyle w:val="TextoNormal"/>
      </w:pPr>
    </w:p>
    <w:p w14:paraId="3968375C" w14:textId="75F0F029" w:rsidR="003754FE" w:rsidRDefault="003754FE" w:rsidP="003754FE">
      <w:pPr>
        <w:pStyle w:val="TextoNormal"/>
      </w:pPr>
      <w:r w:rsidRPr="003754FE">
        <w:rPr>
          <w:rStyle w:val="NumeroAFNegritaCaracter"/>
        </w:rPr>
        <w:t>16</w:t>
      </w:r>
      <w:r>
        <w:t>. Por escrito registrado el 20 de noviembre de 2023, la representación procesal de doña Carmen Martínez Aguayo evacuó escrito de alegaciones en el que se adhirió a los motivos de amparo formulados en el presente recurso de amparo en todo lo que pudiera favorecer a su mandante, por entender que los fundamentos, alegaciones y vulneraciones de derechos fundamentales denunciados son plenamente aplicables a la misma, lo que conllevaría la revocación de las sentencias impugnadas y su absolución.</w:t>
      </w:r>
    </w:p>
    <w:p w14:paraId="54D0E6F7" w14:textId="77777777" w:rsidR="003754FE" w:rsidRDefault="003754FE" w:rsidP="003754FE">
      <w:pPr>
        <w:pStyle w:val="TextoNormal"/>
      </w:pPr>
    </w:p>
    <w:p w14:paraId="78D5FA85" w14:textId="77777777" w:rsidR="003754FE" w:rsidRDefault="003754FE" w:rsidP="003754FE">
      <w:pPr>
        <w:pStyle w:val="TextoNormal"/>
      </w:pPr>
      <w:r w:rsidRPr="003754FE">
        <w:rPr>
          <w:rStyle w:val="NumeroAFNegritaCaracter"/>
        </w:rPr>
        <w:t>17</w:t>
      </w:r>
      <w:r>
        <w:t xml:space="preserve">. Por escrito registrado el 21 de noviembre de 2023, la representación procesal de don Jesús María Rodríguez Román evacuó escrito en el que alegaba la vulneración del principio de legalidad (art. 25.1 CE) por interpretación extensiva </w:t>
      </w:r>
      <w:r w:rsidRPr="003754FE">
        <w:rPr>
          <w:i/>
        </w:rPr>
        <w:t>in malam partem</w:t>
      </w:r>
      <w:r>
        <w:t xml:space="preserve"> de los conceptos “resolución” y “asunto administrativo” al que se refiere el art. 404 CP. En este sentido, mantiene que los acuerdos del Consejo de Gobierno de la Junta de Andalucía y las modificaciones presupuestarias son actos políticos de gobierno no siendo posible, en consecuencia, su control judicial. Considera que las sentencias recurridas habrían hecho una interpretación extensiva peyorativa al afirmar que puede sostenerse la existencia de leyes ilegales y que, además, se habría obviado la pericial presentada y que serviría para constatar que existía un conflicto de leyes entre el art. 18.1 de la Ley  del Parlamento de Andalucía15/2001, de 26 de diciembre, por la que se aprueban medidas fiscales, presupuestarias, de control y administrativas, y las sucesivas leyes de presupuestos que debía resolverse conforme los principios interpretativos de que la ley especial se aplica sobre la ley general y la ley posterior deroga a la ley anterior.</w:t>
      </w:r>
    </w:p>
    <w:p w14:paraId="36411F9F" w14:textId="77777777" w:rsidR="003754FE" w:rsidRDefault="003754FE" w:rsidP="003754FE">
      <w:pPr>
        <w:pStyle w:val="TextoNormal"/>
      </w:pPr>
    </w:p>
    <w:p w14:paraId="4FB82803" w14:textId="30FE0886" w:rsidR="003754FE" w:rsidRDefault="003754FE" w:rsidP="003754FE">
      <w:pPr>
        <w:pStyle w:val="TextoNormal"/>
      </w:pPr>
      <w:r>
        <w:t>Adicionalmente sostiene que resulta absurdo condenar al recurrente y al señor Rodríguez Román y absolver al interventor general que informó favorablemente todas las modificaciones presupuestarias. La existencia de dichos informes conllevaría, en definitiva, la exclusión del delito de prevaricación pues quedaría evidenciado que la ilegalidad no era palmaria, manifiesta o evidente.</w:t>
      </w:r>
    </w:p>
    <w:p w14:paraId="53886C58" w14:textId="77777777" w:rsidR="003754FE" w:rsidRDefault="003754FE" w:rsidP="003754FE">
      <w:pPr>
        <w:pStyle w:val="TextoNormal"/>
      </w:pPr>
    </w:p>
    <w:p w14:paraId="00603786" w14:textId="77777777" w:rsidR="003754FE" w:rsidRDefault="003754FE" w:rsidP="003754FE">
      <w:pPr>
        <w:pStyle w:val="TextoNormal"/>
      </w:pPr>
      <w:r w:rsidRPr="003754FE">
        <w:rPr>
          <w:rStyle w:val="NumeroAFNegritaCaracter"/>
        </w:rPr>
        <w:t>18</w:t>
      </w:r>
      <w:r>
        <w:t>. Por escrito registrado el 22 de noviembre de 2023, la representación procesal de don Francisco Vallejo Serrano evacuó escrito de alegaciones que se articula sobre los siguientes extremos:</w:t>
      </w:r>
    </w:p>
    <w:p w14:paraId="2F75D6DB" w14:textId="77777777" w:rsidR="003754FE" w:rsidRDefault="003754FE" w:rsidP="003754FE">
      <w:pPr>
        <w:pStyle w:val="TextoNormal"/>
      </w:pPr>
    </w:p>
    <w:p w14:paraId="0B5A62B3" w14:textId="77777777" w:rsidR="003754FE" w:rsidRDefault="003754FE" w:rsidP="003754FE">
      <w:pPr>
        <w:pStyle w:val="TextoNormal"/>
      </w:pPr>
      <w:r>
        <w:t xml:space="preserve">(i) Se ha producido una interpretación extensiva </w:t>
      </w:r>
      <w:r w:rsidRPr="003754FE">
        <w:rPr>
          <w:i/>
        </w:rPr>
        <w:t>in malam partem</w:t>
      </w:r>
      <w:r>
        <w:t xml:space="preserve"> de los conceptos “resolución” y “asunto administrativo” a los que se refiere el art. 404 CP, toda vez que el proyecto de ley de presupuestos se enmarca en la iniciativa legislativa del Gobierno y, por lo tanto, es un acto político que no puede subsumirse en el tipo del art. 404 CP. Forma parte de la iniciativa legislativa y, en consecuencia, se trata de una actuación en asunto político y no administrativo.</w:t>
      </w:r>
    </w:p>
    <w:p w14:paraId="19F597ED" w14:textId="77777777" w:rsidR="003754FE" w:rsidRDefault="003754FE" w:rsidP="003754FE">
      <w:pPr>
        <w:pStyle w:val="TextoNormal"/>
      </w:pPr>
    </w:p>
    <w:p w14:paraId="1F0230CE" w14:textId="77777777" w:rsidR="003754FE" w:rsidRDefault="003754FE" w:rsidP="003754FE">
      <w:pPr>
        <w:pStyle w:val="TextoNormal"/>
      </w:pPr>
      <w:r>
        <w:t>(ii) No puede existir una ley “ilegal” o “ilegalidades” dentro de la ley. Desde el año 2002, todas las leyes de presupuestos de la Junta de Andalucía fueron aprobadas válidamente por el Parlamento de Andalucía, previendo en sus estados de gastos que el dinero para el pago por el IFA/ IDEA de las ayudas sociolaborales se allegara al ente instrumental mediante transferencias de financiación. Vistas las leyes de presupuestos en sus estados de gastos y en sus memorias, no puede afirmarse que el Parlamento no sabía lo que aprobaba o que el Parlamento fuera inducido al error.</w:t>
      </w:r>
    </w:p>
    <w:p w14:paraId="3C35B564" w14:textId="77777777" w:rsidR="003754FE" w:rsidRDefault="003754FE" w:rsidP="003754FE">
      <w:pPr>
        <w:pStyle w:val="TextoNormal"/>
      </w:pPr>
    </w:p>
    <w:p w14:paraId="02F7A946" w14:textId="77777777" w:rsidR="003754FE" w:rsidRDefault="003754FE" w:rsidP="003754FE">
      <w:pPr>
        <w:pStyle w:val="TextoNormal"/>
      </w:pPr>
      <w:r>
        <w:t>(iii) Del procedimiento de elaboración de un anteproyecto no se puede derivar una ilegalidad constitutiva de prevaricación. Aunque las sentencias objeto de amparo sitúan la pretendida ilegalidad en la indebida inclusión por la Consejería de Empleo de los créditos para transferencias de financiación, este hecho se produce en la fase de elaboración del anteproyecto, transmitiéndose dicho defecto posteriormente al proyecto de ley y a la ley una vez aprobada. No puede considerarse que el Consejo de Gobierno participe en la elaboración material del anteproyecto de presupuestos y no decide las cuestiones técnicas del mismo, confiando en el “buen hacer del trabajo desarrollado por los muchos técnicos cualificados y altos funcionarios que lo han revisado”.</w:t>
      </w:r>
    </w:p>
    <w:p w14:paraId="26AFBA10" w14:textId="77777777" w:rsidR="003754FE" w:rsidRDefault="003754FE" w:rsidP="003754FE">
      <w:pPr>
        <w:pStyle w:val="TextoNormal"/>
      </w:pPr>
    </w:p>
    <w:p w14:paraId="324E8DB1" w14:textId="6EF73E92" w:rsidR="003754FE" w:rsidRDefault="003754FE" w:rsidP="003754FE">
      <w:pPr>
        <w:pStyle w:val="TextoNormal"/>
      </w:pPr>
      <w:r>
        <w:t>(iv) Resulta incoherente, ilógico y arbitrario que se condene al recurrente, y también al señor Vallejo Serrano, mientras que, sin embargo, queda absuelto el interventor general que informó favorablemente todas las modificaciones presupuestarias. La existencia de dichos informes conllevaría, en definitiva, la exclusión del delito de prevaricación pues quedaría evidenciado que la ilegalidad no era palmaria, manifiesta o evidente.</w:t>
      </w:r>
    </w:p>
    <w:p w14:paraId="0C644600" w14:textId="77777777" w:rsidR="003754FE" w:rsidRDefault="003754FE" w:rsidP="003754FE">
      <w:pPr>
        <w:pStyle w:val="TextoNormal"/>
      </w:pPr>
    </w:p>
    <w:p w14:paraId="6551AF2F" w14:textId="77777777" w:rsidR="003754FE" w:rsidRDefault="003754FE" w:rsidP="003754FE">
      <w:pPr>
        <w:pStyle w:val="TextoNormal"/>
      </w:pPr>
      <w:r w:rsidRPr="003754FE">
        <w:rPr>
          <w:rStyle w:val="NumeroAFNegritaCaracter"/>
        </w:rPr>
        <w:t>19</w:t>
      </w:r>
      <w:r>
        <w:t>. El Ministerio Fiscal, en escrito registrado el 8 de enero de 2024, presentó sus alegaciones a la presente demanda de amparo.</w:t>
      </w:r>
    </w:p>
    <w:p w14:paraId="540F813A" w14:textId="77777777" w:rsidR="003754FE" w:rsidRDefault="003754FE" w:rsidP="003754FE">
      <w:pPr>
        <w:pStyle w:val="TextoNormal"/>
      </w:pPr>
    </w:p>
    <w:p w14:paraId="71FA500D" w14:textId="77777777" w:rsidR="003754FE" w:rsidRDefault="003754FE" w:rsidP="003754FE">
      <w:pPr>
        <w:pStyle w:val="TextoNormal"/>
      </w:pPr>
      <w:r>
        <w:t>(i) En relación con el motivo de la demanda de amparo, sostiene que la posición mantenida por el Tribunal Supremo y la Audiencia Provincial de Sevilla en virtud de la cual el procedimiento prelegislativo tendría una doble dimensión (una dimensión política no susceptible de control judicial y que incluiría la decisión sobre el destino o distribución de los créditos, y otra dimensión técnica regida por un procedimiento administrativo reglado) constituye una novedad que no tiene antecedente “a lo largo del trayecto de vida constitucional iniciado en 1978”.</w:t>
      </w:r>
    </w:p>
    <w:p w14:paraId="21B5D4C3" w14:textId="77777777" w:rsidR="003754FE" w:rsidRDefault="003754FE" w:rsidP="003754FE">
      <w:pPr>
        <w:pStyle w:val="TextoNormal"/>
      </w:pPr>
    </w:p>
    <w:p w14:paraId="08939F58" w14:textId="77777777" w:rsidR="003754FE" w:rsidRDefault="003754FE" w:rsidP="003754FE">
      <w:pPr>
        <w:pStyle w:val="TextoNormal"/>
      </w:pPr>
      <w:r>
        <w:t>Para el Ministerio Fiscal, la cuestión constitucional planteada orbitaría en determinar no tanto la asimilación o extensión de la inviolabilidad parlamentaria a los miembros del Ejecutivo, sino la comprobación de que la misma razón por la que se establece un régimen de inviolabilidad para los parlamentarios justifica que la iniciativa legislativa quede también, en todas sus fases, al margen del control jurisdiccional penal.</w:t>
      </w:r>
    </w:p>
    <w:p w14:paraId="234EA2ED" w14:textId="77777777" w:rsidR="003754FE" w:rsidRDefault="003754FE" w:rsidP="003754FE">
      <w:pPr>
        <w:pStyle w:val="TextoNormal"/>
      </w:pPr>
    </w:p>
    <w:p w14:paraId="65B1BBFC" w14:textId="77777777" w:rsidR="003754FE" w:rsidRDefault="003754FE" w:rsidP="003754FE">
      <w:pPr>
        <w:pStyle w:val="TextoNormal"/>
      </w:pPr>
      <w:r>
        <w:t>Los argumentos a través de los cuales las resoluciones impugnadas niegan la naturaleza legislativa a los actos de aprobación de un proyecto de ley para su remisión al Parlamento permiten detectar, a juicio de la Fiscalía ante el Tribunal Constitucional, una falla lógica determinante pues “constituyen afirmaciones apodícticas que además encierran conclusiones tautológicas porque las tres hacen presupuesto de la cuestión”. En este sentido, afirma el Ministerio Fiscal que las referencias efectuadas a la STS 163/2019, de 26 de marzo (ECLI:ES:TS:2019:881), no permiten en ningún caso deducir que el acto de aprobación y elevación al Parlamento constituye una resolución dictada en asunto administrativo. Máxime, precisamente, cuando el propio Reglamento del Parlamento incluye la iniciativa legislativa atribuida al Consejo de Gobierno en el procedimiento legislativo en cuestión (art. 108 del Reglamento del Parlamento de Andalucía).</w:t>
      </w:r>
    </w:p>
    <w:p w14:paraId="15CED379" w14:textId="77777777" w:rsidR="003754FE" w:rsidRDefault="003754FE" w:rsidP="003754FE">
      <w:pPr>
        <w:pStyle w:val="TextoNormal"/>
      </w:pPr>
    </w:p>
    <w:p w14:paraId="47875389" w14:textId="77777777" w:rsidR="003754FE" w:rsidRDefault="003754FE" w:rsidP="003754FE">
      <w:pPr>
        <w:pStyle w:val="TextoNormal"/>
      </w:pPr>
      <w:r>
        <w:t>Ello dificultaría también, por otra parte, la atribución de eficacia decisoria a los actos adoptados en cuanto se exige “un daño específico a personas o servicios públicos” que, en el presente caso, resulta imposible identificar con otro efecto jurídico que no sea el de la apertura de la fase parlamentaria.</w:t>
      </w:r>
    </w:p>
    <w:p w14:paraId="6C1FD896" w14:textId="77777777" w:rsidR="003754FE" w:rsidRDefault="003754FE" w:rsidP="003754FE">
      <w:pPr>
        <w:pStyle w:val="TextoNormal"/>
      </w:pPr>
    </w:p>
    <w:p w14:paraId="2E7007CA" w14:textId="77777777" w:rsidR="003754FE" w:rsidRDefault="003754FE" w:rsidP="003754FE">
      <w:pPr>
        <w:pStyle w:val="TextoNormal"/>
      </w:pPr>
      <w:r>
        <w:t>En consecuencia, considera el Ministerio Fiscal, que los razonamientos judiciales que conforman este primer bloque argumental sobre la naturaleza administrativa del procedimiento legislativo y su naturaleza decisoria no responden a una traslación debidamente justificada de la doctrina jurisprudencial ni resultan, por lo tanto, concluyentes a la hora de calificar como resolución dictada en asunto administrativo el ejercicio de la iniciativa legislativa. Ello le lleva a concluir, por lo tanto, la ausencia de previsibilidad en la aplicación de la norma.</w:t>
      </w:r>
    </w:p>
    <w:p w14:paraId="442C81DF" w14:textId="77777777" w:rsidR="003754FE" w:rsidRDefault="003754FE" w:rsidP="003754FE">
      <w:pPr>
        <w:pStyle w:val="TextoNormal"/>
      </w:pPr>
    </w:p>
    <w:p w14:paraId="5E4ED54D" w14:textId="77777777" w:rsidR="003754FE" w:rsidRDefault="003754FE" w:rsidP="003754FE">
      <w:pPr>
        <w:pStyle w:val="TextoNormal"/>
      </w:pPr>
      <w:r>
        <w:t>Respecto al segundo grupo de argumentos esgrimidos por las resoluciones impugnadas para justificar la condena por delito de prevaricación —y que orbitan sobre la distinción entre la legalidad del acto y el enjuiciamiento de sus autores— el Ministerio Fiscal concluye que aquellos presentan una consistencia lógica evidentemente discutible. Así, para el Ministerio Público, existe la imposibilidad de cohonestar dos afirmaciones cuya compatibilidad es esencial para la condena del recurrente: que la aprobación del anteproyecto de ley de presupuestos es inmune al control jurisdiccional y que la jurisdicción penal puede, no obstante, examinar las diferentes decisiones adoptadas para aprobar un proyecto de ley para determinar si quien las realiza incurre en responsabilidad penal. Esta pretendida distinción entre ámbitos de control jurisdiccional sería contraria a la lógica constitucional —que concibe la iniciativa legislativa como inmune al control judicial— y atentaría, incluso, contra el principio de intervención mínima del Derecho penal dada cuenta que le permitiría ejercer su jurisdicción sobre un acto “que en ese mismo plano de la legalidad […] está vedado a la jurisdicción contencioso-administrativa e incluso al Tribunal Constitucional”.</w:t>
      </w:r>
    </w:p>
    <w:p w14:paraId="3E24D71C" w14:textId="77777777" w:rsidR="003754FE" w:rsidRDefault="003754FE" w:rsidP="003754FE">
      <w:pPr>
        <w:pStyle w:val="TextoNormal"/>
      </w:pPr>
    </w:p>
    <w:p w14:paraId="25B79D0D" w14:textId="77777777" w:rsidR="003754FE" w:rsidRDefault="003754FE" w:rsidP="003754FE">
      <w:pPr>
        <w:pStyle w:val="TextoNormal"/>
      </w:pPr>
      <w:r>
        <w:t>La autonomía funcional de la jurisdicción penal para apreciar con arreglo a criterios propios determinados aspectos de la realidad administrativa o de otras ramas del Derecho no puede traducirse, en modo alguno, en un autoposicionamiento de la jurisdicción penal como primera y única barrera jurisdiccional de control de la legalidad de una iniciativa legislativa.</w:t>
      </w:r>
    </w:p>
    <w:p w14:paraId="6BEFDFC2" w14:textId="77777777" w:rsidR="003754FE" w:rsidRDefault="003754FE" w:rsidP="003754FE">
      <w:pPr>
        <w:pStyle w:val="TextoNormal"/>
      </w:pPr>
    </w:p>
    <w:p w14:paraId="3F4E3021" w14:textId="77777777" w:rsidR="003754FE" w:rsidRDefault="003754FE" w:rsidP="003754FE">
      <w:pPr>
        <w:pStyle w:val="TextoNormal"/>
      </w:pPr>
      <w:r>
        <w:t xml:space="preserve">Es en este punto cuando surgiría, para el Ministerio Fiscal, de nuevo, un factor de imprevisibilidad ante la inexistencia de precedentes de persecución y condena en supuestos </w:t>
      </w:r>
      <w:r>
        <w:lastRenderedPageBreak/>
        <w:t>simulares y ante el contexto de sólida negación del control jurisdiccional sobre este tipo de actos. Frente a ello, la sensación de impunidad argumentada por el Tribunal Supremo choca con una insalvable contradicción que permitiría ubicar a la jurisdicción penal como “baluarte de primera —y única— línea de control de una decisión intrínsecamente político-legislativa, sobre la base de la ‘ilegalidad’ del contenido de una ley antes de que ni siquiera pudiera saberse si llegará […] a ser ley y de que produzca efecto alguno”. En relación con ello, y aunque las resoluciones tratan de salvar el obstáculo justificando que la condena se produce no por el resultado sino por el procedimiento en sí, este argumentario choca en una nueva contradicción toda vez que el señor Chaves fue condenado no por participar en aquel sino porque, siendo presidente del Consejo de Gobierno, aprobó y presentó los proyectos de ley de presupuestos.</w:t>
      </w:r>
    </w:p>
    <w:p w14:paraId="4FC4A647" w14:textId="77777777" w:rsidR="003754FE" w:rsidRDefault="003754FE" w:rsidP="003754FE">
      <w:pPr>
        <w:pStyle w:val="TextoNormal"/>
      </w:pPr>
    </w:p>
    <w:p w14:paraId="3D962BD9" w14:textId="77777777" w:rsidR="003754FE" w:rsidRDefault="003754FE" w:rsidP="003754FE">
      <w:pPr>
        <w:pStyle w:val="TextoNormal"/>
      </w:pPr>
      <w:r>
        <w:t>Consecuentemente, considera que “esta compleja conclusión es fruto de un razonamiento que pretende disociar ambas vertientes, administrativa y político-legislativa, de un mismo acto, pero no alcanza a explicar cómo las consecuencias a las que aboca esa disociación en el plano penal, político, institucional, legal y constitucional podrían resultar razonablemente compatibles entre sí” por lo que “no cabe más remedio que concluir que el razonamiento en sí mismo adolece de un déficit de coherencia y completitud lógico-jurídica que impide considerarlo ajustado al canon de idoneidad metodológica que impone la aplicación de art. 25.1 CE”.</w:t>
      </w:r>
    </w:p>
    <w:p w14:paraId="038A492E" w14:textId="77777777" w:rsidR="003754FE" w:rsidRDefault="003754FE" w:rsidP="003754FE">
      <w:pPr>
        <w:pStyle w:val="TextoNormal"/>
      </w:pPr>
    </w:p>
    <w:p w14:paraId="61A5D83F" w14:textId="77777777" w:rsidR="003754FE" w:rsidRDefault="003754FE" w:rsidP="003754FE">
      <w:pPr>
        <w:pStyle w:val="TextoNormal"/>
      </w:pPr>
      <w:r>
        <w:t xml:space="preserve">En relación con el argumentario referido a la necesidad de evitar un efecto de impunidad, el fiscal considera que no ha sido sometido a una valoración conforme a las exigencias derivadas del principio de legalidad penal (art. 25.1 CE). Así, entiende que, en determinados casos, resulta prioritaria la preservación de otros intereses constitucionalmente tutelados que pueden entrar en conflicto con la propia aplicación de la norma penal, lo que obligatoriamente ha de llevar a la eventual limitación de </w:t>
      </w:r>
      <w:r w:rsidRPr="003754FE">
        <w:rPr>
          <w:i/>
        </w:rPr>
        <w:t>ius puniendi</w:t>
      </w:r>
      <w:r>
        <w:t xml:space="preserve"> en determinados supuestos, no pudiendo hacerse valer la condena sin una previa reflexión y ponderación sobre los derechos e intereses en juego.</w:t>
      </w:r>
    </w:p>
    <w:p w14:paraId="06DD74DF" w14:textId="77777777" w:rsidR="003754FE" w:rsidRDefault="003754FE" w:rsidP="003754FE">
      <w:pPr>
        <w:pStyle w:val="TextoNormal"/>
      </w:pPr>
    </w:p>
    <w:p w14:paraId="43E87105" w14:textId="77777777" w:rsidR="003754FE" w:rsidRDefault="003754FE" w:rsidP="003754FE">
      <w:pPr>
        <w:pStyle w:val="TextoNormal"/>
      </w:pPr>
      <w:r>
        <w:t>En el caso presente, el señor Chaves González no ha sido condenado por su participación en la elaboración de los anteproyectos y proyectos de ley, sino por una conducta propia consistente en la aprobación por el Consejo de Gobierno de aquellos y su posterior remisión al Parlamento a sabiendas de que su contenido no se ajustaba a la ley. De este modo, aunque el Tribunal Supremo vincula a todas estas actuaciones una finalidad palmariamente ilegal, no identifica la concreta finalidad con ninguna forma de participación delictiva, sino con el programa político del Gobierno con el que se presentó a las elecciones, lo que permite concluir que la actuación del demandante quedaba enmarcada en el ámbito de su voluntad —y responsabilidad política— pero no en el de la responsabilidad propiamente penal.</w:t>
      </w:r>
    </w:p>
    <w:p w14:paraId="32694DCC" w14:textId="77777777" w:rsidR="003754FE" w:rsidRDefault="003754FE" w:rsidP="003754FE">
      <w:pPr>
        <w:pStyle w:val="TextoNormal"/>
      </w:pPr>
    </w:p>
    <w:p w14:paraId="47F6152D" w14:textId="77777777" w:rsidR="003754FE" w:rsidRDefault="003754FE" w:rsidP="003754FE">
      <w:pPr>
        <w:pStyle w:val="TextoNormal"/>
      </w:pPr>
      <w:r>
        <w:t>Por último, afirma que la tesis de que la jurisdicción penal no controla la legalidad de los actos del Gobierno, sino que ejerce su potestad jurisdiccional respecto de la conducta de sus autores pasa por una disociación forzada de dos dimensiones que se revela como inasumible cuando la propia sentencia afirma que el fundamento de su juicio incluye no solo la legalidad de estos actos sino la legitimación constitucional de su resultado.</w:t>
      </w:r>
    </w:p>
    <w:p w14:paraId="31A221CF" w14:textId="77777777" w:rsidR="003754FE" w:rsidRDefault="003754FE" w:rsidP="003754FE">
      <w:pPr>
        <w:pStyle w:val="TextoNormal"/>
      </w:pPr>
    </w:p>
    <w:p w14:paraId="55EA5259" w14:textId="77777777" w:rsidR="003754FE" w:rsidRDefault="003754FE" w:rsidP="003754FE">
      <w:pPr>
        <w:pStyle w:val="TextoNormal"/>
      </w:pPr>
      <w:r>
        <w:t xml:space="preserve">Para el representante del Ministerio Público, y desde una vertiente eminentemente axiológica, la distinción entre estas dos dimensiones —administrativa y político-legislativa— </w:t>
      </w:r>
      <w:r>
        <w:lastRenderedPageBreak/>
        <w:t>implica atribuir a dicha decisión política una función de control de la legalidad del procedimiento previo que la jurisprudencia del Tribunal Constitucional excluye, incluso, en fases posteriores. Esto implicaría una conclusión constitucionalmente inasumible: que los tribunales del orden jurisdiccional penal pueden fiscalizar sistemáticamente la legalidad de los proyectos de ley antes —o al margen— de su toma de consideración, su valoración, enmienda y aprobación por los parlamentos, lo que se revela manifiestamente incompatible con la jurisprudencia del Tribunal Constitucional.</w:t>
      </w:r>
    </w:p>
    <w:p w14:paraId="79DEE8C5" w14:textId="77777777" w:rsidR="003754FE" w:rsidRDefault="003754FE" w:rsidP="003754FE">
      <w:pPr>
        <w:pStyle w:val="TextoNormal"/>
      </w:pPr>
    </w:p>
    <w:p w14:paraId="625F0D5C" w14:textId="77777777" w:rsidR="003754FE" w:rsidRDefault="003754FE" w:rsidP="003754FE">
      <w:pPr>
        <w:pStyle w:val="TextoNormal"/>
      </w:pPr>
      <w:r>
        <w:t xml:space="preserve">El origen de dicha posición jurisprudencial se encuentra en la propia preservación del ejercicio de la potestad legislativa, como manifestación directa de la voluntad de poder y que responde al propio principio de división de poderes. El rechazo a la involucración de un poder en las funciones propias de otro no puede resultar indiferente al objeto del presente procedimiento, en el que la propia sentencia del Tribunal Supremo recurrida en amparo muestra, como ya se ha expuesto, la visible contradicción entre la eficacia de ese efecto delimitador del ejercicio de la jurisdicción contencioso-administrativa y la pretendida intervención autónoma de la jurisdicción penal. En este sentido, reseña que existe amplia jurisprudencia constitucional que viene negando toda posibilidad de control </w:t>
      </w:r>
      <w:r w:rsidRPr="003754FE">
        <w:rPr>
          <w:i/>
        </w:rPr>
        <w:t>ab initio</w:t>
      </w:r>
      <w:r>
        <w:t xml:space="preserve"> de la constitucionalidad formal de las iniciativas legislativas, más allá del cumplimiento de los requisitos de procedimiento que reglamentariamente rige su presentación (AATC 85/2006, de 15 de marzo, y 131/2022, de 11 de octubre).</w:t>
      </w:r>
    </w:p>
    <w:p w14:paraId="052D3CA3" w14:textId="77777777" w:rsidR="003754FE" w:rsidRDefault="003754FE" w:rsidP="003754FE">
      <w:pPr>
        <w:pStyle w:val="TextoNormal"/>
      </w:pPr>
    </w:p>
    <w:p w14:paraId="000C3335" w14:textId="77777777" w:rsidR="003754FE" w:rsidRDefault="003754FE" w:rsidP="003754FE">
      <w:pPr>
        <w:pStyle w:val="TextoNormal"/>
      </w:pPr>
      <w:r>
        <w:t xml:space="preserve">Resultaría, por lo tanto, “inconcebiblemente paradójico […] que la exclusión de cualquier control jurisdiccional atinente a la constitucionalidad de un mero proyecto legislativo, basada en un imprescindible respeto a la separación de poderes […], pudiera convivir, como pretenden las sentencias impugnadas, con un juicio </w:t>
      </w:r>
      <w:r w:rsidRPr="003754FE">
        <w:rPr>
          <w:i/>
        </w:rPr>
        <w:t>ex ante</w:t>
      </w:r>
      <w:r>
        <w:t xml:space="preserve"> de la jurisdicción penal sobre la ‘legalidad’ formal y material del contenido de la iniciativa legislativa, de modo que el ejercicio de la potestad parlamentaria haya de llevarse a cabo sobre la base de un proyecto cuyo acuerdo de aprobación para su remisión al Parlamento es calificado de delictivo por un tribunal penal”.</w:t>
      </w:r>
    </w:p>
    <w:p w14:paraId="1BF062F4" w14:textId="77777777" w:rsidR="003754FE" w:rsidRDefault="003754FE" w:rsidP="003754FE">
      <w:pPr>
        <w:pStyle w:val="TextoNormal"/>
      </w:pPr>
    </w:p>
    <w:p w14:paraId="4C8020E1" w14:textId="77777777" w:rsidR="003754FE" w:rsidRDefault="003754FE" w:rsidP="003754FE">
      <w:pPr>
        <w:pStyle w:val="TextoNormal"/>
      </w:pPr>
      <w:r>
        <w:t>Todo ello le lleva a concluir que una correcta contemplación del conflicto entre la aplicación de la norma penal y la tutela de la autonomía del Parlamento para legislar forzosamente ha de resolverse a favor de la exclusión del control penal. La sola idea de que un acto exento al control jurisdiccional contencioso-administrativo e, incluso, constitucional, pueda, sin embargo, ser objeto de control por los tribunales penales choca con la división de poderes y cualquier posible lectura conjunta de la Constitución y la jurisprudencia del Tribunal Constitucional. Por ello mismo, solicita la estimación de amparo frente a este primer motivo.</w:t>
      </w:r>
    </w:p>
    <w:p w14:paraId="6E569AB8" w14:textId="77777777" w:rsidR="003754FE" w:rsidRDefault="003754FE" w:rsidP="003754FE">
      <w:pPr>
        <w:pStyle w:val="TextoNormal"/>
      </w:pPr>
    </w:p>
    <w:p w14:paraId="0EC32D23" w14:textId="77777777" w:rsidR="003754FE" w:rsidRDefault="003754FE" w:rsidP="003754FE">
      <w:pPr>
        <w:pStyle w:val="TextoNormal"/>
      </w:pPr>
      <w:r>
        <w:t>(ii) En relación con la segunda cuestión, el fiscal considera que las argumentaciones vertidas anteriormente y referidas a la vulneración del principio de legalidad penal (art. 25.1 CE) por indebida subsunción jurídica en el art. 404 CP de las actuaciones practicadas en la fase de elaboración, aprobación y remisión del proyecto de ley no son automáticamente extrapolables a la aprobación de las modificaciones presupuestarias que sí pueden ser consideradas, por el contrario, decisiones de naturaleza administrativa.</w:t>
      </w:r>
    </w:p>
    <w:p w14:paraId="5E74F788" w14:textId="77777777" w:rsidR="003754FE" w:rsidRDefault="003754FE" w:rsidP="003754FE">
      <w:pPr>
        <w:pStyle w:val="TextoNormal"/>
      </w:pPr>
    </w:p>
    <w:p w14:paraId="37F55BA2" w14:textId="77777777" w:rsidR="003754FE" w:rsidRDefault="003754FE" w:rsidP="003754FE">
      <w:pPr>
        <w:pStyle w:val="TextoNormal"/>
      </w:pPr>
      <w:r>
        <w:t xml:space="preserve">Fundamenta el fiscal dicha afirmación —con amplía cita de la normativa reguladora de la Ley general de la hacienda pública de Andalucía— en la circunstancia de que las </w:t>
      </w:r>
      <w:r>
        <w:lastRenderedPageBreak/>
        <w:t>modificaciones o transferencias de crédito, una vez aprobada la ley anual de presupuestos, y que afectan al contenido de los créditos en los estados de gastos autorizados —pero no modifican el monto global del presupuesto— son competencia del Consejo de Gobierno o a la Consejería de Hacienda. Esto se contrapone directamente a aquellos supuestos en que las modificaciones o transferencias de crédito sí afectan al crédito global consignado en los presupuestos en cuyo caso, esta vez sí, el Ejecutivo ha de someter al Legislativo la aprobación de un nuevo proyecto de ley.</w:t>
      </w:r>
    </w:p>
    <w:p w14:paraId="7459BDE8" w14:textId="77777777" w:rsidR="003754FE" w:rsidRDefault="003754FE" w:rsidP="003754FE">
      <w:pPr>
        <w:pStyle w:val="TextoNormal"/>
      </w:pPr>
    </w:p>
    <w:p w14:paraId="68F5F089" w14:textId="77777777" w:rsidR="003754FE" w:rsidRDefault="003754FE" w:rsidP="003754FE">
      <w:pPr>
        <w:pStyle w:val="TextoNormal"/>
      </w:pPr>
      <w:r>
        <w:t>Consecuentemente, en un marco legal regido por el principio de jerarquía normativa no puede sostenerse que la previsión explicita de una modificación presupuestaria a cargo del Gobierno o de uno de sus miembros pueda identificarse como una especie de mecanismo de autorreforma operado mediante una especie de delegación tácita o de atribución de potestad legislativa al Ejecutivo que, como se ha visto, carecería de todo soporte constitucional o estatutario. Que el Gobierno pueda modificar el contenido de un crédito o transferirlo a otro, con arreglo a las exclusiones o excepciones señaladas, no convierte esa modificación del crédito en ley, sino que, simplemente, constituye una aplicación de la ley. La mera comunicación posterior al Parlamento, además, no supone la atribución de rango normativo al acto, sino que se concreta, más bien, en una mera obligación adjetiva.</w:t>
      </w:r>
    </w:p>
    <w:p w14:paraId="77CB4A22" w14:textId="77777777" w:rsidR="003754FE" w:rsidRDefault="003754FE" w:rsidP="003754FE">
      <w:pPr>
        <w:pStyle w:val="TextoNormal"/>
      </w:pPr>
    </w:p>
    <w:p w14:paraId="6466DB2C" w14:textId="77777777" w:rsidR="003754FE" w:rsidRDefault="003754FE" w:rsidP="003754FE">
      <w:pPr>
        <w:pStyle w:val="TextoNormal"/>
      </w:pPr>
      <w:r>
        <w:t>Todo ello lleva al Ministerio Fiscal a concluir que la calificación de los actos de aprobación de modificaciones presupuestarias que se imputan al recurrente no es contraria a la eventual naturaleza legal fruto de reserva de ley que impone el art. 134 CE en materia presupuestaria. Por ello, “no hay razón para temer por la autonomía parlamentaria en el ejercicio de la potestad legislativa, que no está en juego, puesto que el Poder Ejecutivo actúa —o debería actuar— en ese ámbito con estricta sujeción y en aplicación de las leyes aprobadas por el Parlamento […] ni tampoco por el principio consustancial de la separación de poderes que […] se vincula directamente a esa posible interferencia en las competencias constitucionales atribuidas a cada uno de ellos” siendo que “el Poder Ejecutivo actúa —o hubiera debido actuar— en el marco de su competencia delimitada en la propia ley, sin asumir ninguna facultad de iniciativa o modificación de una norma con rango o valor legal”. Consecuentemente, los razonamientos esgrimidos por las sentencias impugnadas para excluir las modificaciones presupuestarias del carácter propio de los actos con valor, rango y fuerza de ley se ajustan a la normativa y no presentan indicio alguno de vulneración del derecho fundamental a la legalidad penal (art. 25.1 CE).</w:t>
      </w:r>
    </w:p>
    <w:p w14:paraId="018CA120" w14:textId="77777777" w:rsidR="003754FE" w:rsidRDefault="003754FE" w:rsidP="003754FE">
      <w:pPr>
        <w:pStyle w:val="TextoNormal"/>
      </w:pPr>
    </w:p>
    <w:p w14:paraId="08DF4D59" w14:textId="77777777" w:rsidR="003754FE" w:rsidRDefault="003754FE" w:rsidP="003754FE">
      <w:pPr>
        <w:pStyle w:val="TextoNormal"/>
      </w:pPr>
      <w:r>
        <w:t>Con base en lo anteriormente expuesto, la Fiscalía ante el Tribunal Constitucional solicita: (a) la estimación parcial del motivo primero en el sentido que la tipificación como delito de prevaricación administrativa de los actos de aprobación y elevación de los proyectos y anteproyectos de ley de presupuestos vulneran la legalidad penal (art. 25.1 CE); (b) la desestimación del motivo segundo en lo relativo a la consideración de las modificaciones presupuestarias como “resolución dictada en asunto administrativo”.</w:t>
      </w:r>
    </w:p>
    <w:p w14:paraId="173D6FB6" w14:textId="77777777" w:rsidR="003754FE" w:rsidRDefault="003754FE" w:rsidP="003754FE">
      <w:pPr>
        <w:pStyle w:val="TextoNormal"/>
      </w:pPr>
    </w:p>
    <w:p w14:paraId="4CA04389" w14:textId="29A03D01" w:rsidR="003754FE" w:rsidRDefault="003754FE" w:rsidP="003754FE">
      <w:pPr>
        <w:pStyle w:val="TextoNormal"/>
      </w:pPr>
      <w:r>
        <w:t xml:space="preserve">Y en relación con el alcance de la estimación parcial, dada cuenta que el eventual otorgamiento de amparo afectaría a varias de las conductas que integran la continuidad delictiva (art. 74.1 CP) del delito de prevaricación (art. 404 CP) por el que ha sido condenado, el Ministerio Fiscal solicita la retroacción del procedimiento al momento de dictar sentencia, con la finalidad de que la Audiencia Provincial proceda a una nueva determinación de la </w:t>
      </w:r>
      <w:r>
        <w:lastRenderedPageBreak/>
        <w:t>pena con exclusión de la conducta del acusado relativa a la aprobación de los proyectos y anteproyectos de ley de presupuestos.</w:t>
      </w:r>
    </w:p>
    <w:p w14:paraId="58F4A099" w14:textId="77777777" w:rsidR="003754FE" w:rsidRDefault="003754FE" w:rsidP="003754FE">
      <w:pPr>
        <w:pStyle w:val="TextoNormal"/>
      </w:pPr>
    </w:p>
    <w:p w14:paraId="1D448FF5" w14:textId="6A536DE3" w:rsidR="003754FE" w:rsidRDefault="003754FE" w:rsidP="003754FE">
      <w:pPr>
        <w:pStyle w:val="TextoNormal"/>
      </w:pPr>
      <w:r w:rsidRPr="003754FE">
        <w:rPr>
          <w:rStyle w:val="NumeroAFNegritaCaracter"/>
        </w:rPr>
        <w:t>20</w:t>
      </w:r>
      <w:r>
        <w:t>. Por providencia de 16 de julio de 2024 se señaló ese mismo día para deliberación y votación de la presente sentencia.</w:t>
      </w:r>
    </w:p>
    <w:p w14:paraId="594E5781" w14:textId="77777777" w:rsidR="003754FE" w:rsidRDefault="003754FE" w:rsidP="003754FE">
      <w:pPr>
        <w:pStyle w:val="TextoNormal"/>
      </w:pPr>
    </w:p>
    <w:p w14:paraId="29927B16" w14:textId="77777777" w:rsidR="003754FE" w:rsidRDefault="003754FE" w:rsidP="003754FE">
      <w:pPr>
        <w:pStyle w:val="TextoNormalNegritaCentrado"/>
        <w:keepNext/>
      </w:pPr>
      <w:r>
        <w:t>II. Fundamentos jurídicos</w:t>
      </w:r>
    </w:p>
    <w:p w14:paraId="19785AEE" w14:textId="39451063" w:rsidR="003754FE" w:rsidRDefault="003754FE" w:rsidP="003754FE">
      <w:pPr>
        <w:pStyle w:val="TextoNormalNegritaCentrado"/>
        <w:keepNext/>
      </w:pPr>
    </w:p>
    <w:p w14:paraId="0D7C3A0A" w14:textId="77777777" w:rsidR="003754FE" w:rsidRDefault="003754FE" w:rsidP="003754FE">
      <w:pPr>
        <w:pStyle w:val="TextoNormal"/>
      </w:pPr>
      <w:r w:rsidRPr="003754FE">
        <w:rPr>
          <w:rStyle w:val="NumeroAFNegritaCaracter"/>
        </w:rPr>
        <w:t>1</w:t>
      </w:r>
      <w:r>
        <w:t xml:space="preserve">. </w:t>
      </w:r>
      <w:r w:rsidRPr="003754FE">
        <w:rPr>
          <w:i/>
        </w:rPr>
        <w:t>Objeto del recurso y posiciones de las partes</w:t>
      </w:r>
    </w:p>
    <w:p w14:paraId="2190ED88" w14:textId="77777777" w:rsidR="003754FE" w:rsidRDefault="003754FE" w:rsidP="003754FE">
      <w:pPr>
        <w:pStyle w:val="TextoNormal"/>
      </w:pPr>
    </w:p>
    <w:p w14:paraId="125B93E5" w14:textId="77777777" w:rsidR="003754FE" w:rsidRDefault="003754FE" w:rsidP="003754FE">
      <w:pPr>
        <w:pStyle w:val="TextoNormal"/>
      </w:pPr>
      <w:r>
        <w:t>El presente recurso de amparo se dirige contra las siguientes resoluciones: (i) la sentencia núm. 490/2019, de 19 de noviembre, dictada por la Sección Primera de la Audiencia Provincial de Sevilla en el rollo núm. 1965-2017, dimanante del procedimiento abreviado núm. 133-2016, que condenó al demandante de amparo como autor de un delito continuado de prevaricación, previsto en el art. 404 CP, a la pena de nueve años de inhabilitación especial; y (ii) la sentencia de la Sala de lo Penal del Tribunal Supremo núm. 749/2022, de 13 de septiembre, que desestimó el recurso de casación formulado frente a la anterior resolución (recurso de casación núm. 601-2020).</w:t>
      </w:r>
    </w:p>
    <w:p w14:paraId="275A5B24" w14:textId="77777777" w:rsidR="003754FE" w:rsidRDefault="003754FE" w:rsidP="003754FE">
      <w:pPr>
        <w:pStyle w:val="TextoNormal"/>
      </w:pPr>
    </w:p>
    <w:p w14:paraId="56CBF47B" w14:textId="77777777" w:rsidR="003754FE" w:rsidRDefault="003754FE" w:rsidP="003754FE">
      <w:pPr>
        <w:pStyle w:val="TextoNormal"/>
      </w:pPr>
      <w:r>
        <w:t>El recurrente alega en su escrito de demanda la vulneración del derecho a la legalidad penal (art. 25.1 CE), articulando la queja en dos motivos: (i) en primer lugar, alega que se le ha condenado por dar cumplimiento al mandato previsto en el Estatuto de Autonomía para Andalucía para el ejercicio de las funciones de iniciativa legislativa atribuidas al Consejo de Gobierno. Dichas actuaciones únicamente tienen por objeto la posterior conformación de la voluntad presupuestaria del Parlamento de Andalucía por lo que son actos meramente preparatorios y carecen “de entidad jurídica propia”. El recurrente alega que, según la doctrina del Tribunal Constitucional y de la Sala de lo Contencioso-Administrativo del Tribunal Supremo, el contenido de las actuaciones prelegislativas no puede someterse a control judicial, por lo que resulta imprevisible y, por ello, contrario al art. 25 CE, que los órganos judiciales le hayan condenado por haber participado en dichas actuaciones. Afirma además que resulta absurdo tildar de ilegal un proyecto de ley “precisamente porque la iniciativa legislativa tiene por finalidad esa modificación de la legalidad vigente”. El recurrente alega que el único órgano competente para enjuiciar la posible inconstitucionalidad de la ley por existir un vicio en la elaboración de la ley es el Tribunal Constitucional; (ii) en segundo término, afirma que la condena por haber aprobado las modificaciones presupuestarias es también lesiva del art. 25.1 CE dado que dichos actos tienen “fuerza de ley”, “valor de ley” y “rango de ley” por lo que no pueden ser considerados actos dictados en asunto administrativo en el sentido del art. 404 CP.</w:t>
      </w:r>
    </w:p>
    <w:p w14:paraId="6193E9E8" w14:textId="77777777" w:rsidR="003754FE" w:rsidRDefault="003754FE" w:rsidP="003754FE">
      <w:pPr>
        <w:pStyle w:val="TextoNormal"/>
      </w:pPr>
    </w:p>
    <w:p w14:paraId="1D8C52D7" w14:textId="77777777" w:rsidR="003754FE" w:rsidRDefault="003754FE" w:rsidP="003754FE">
      <w:pPr>
        <w:pStyle w:val="TextoNormal"/>
      </w:pPr>
      <w:r>
        <w:t>Con base en las alegaciones que se han expuesto en los antecedentes, la representación procesal del Partido Popular ha interesado la desestimación íntegra del amparo.</w:t>
      </w:r>
    </w:p>
    <w:p w14:paraId="233756D3" w14:textId="77777777" w:rsidR="003754FE" w:rsidRDefault="003754FE" w:rsidP="003754FE">
      <w:pPr>
        <w:pStyle w:val="TextoNormal"/>
      </w:pPr>
    </w:p>
    <w:p w14:paraId="56219E3D" w14:textId="77777777" w:rsidR="003754FE" w:rsidRDefault="003754FE" w:rsidP="003754FE">
      <w:pPr>
        <w:pStyle w:val="TextoNormal"/>
      </w:pPr>
      <w:r>
        <w:t>Las representaciones procesales de don Gaspar Zarrías Arévalo, don Francisco Vallejo Serrano, don Jesús María Rodríguez Román, don Antonio Vicente Lozano Peña, don José Antonio Griñán Martínez, doña Carmen Martínez Aguayo, personados en este procedimiento, han solicitado la estimación del recurso de amparo.</w:t>
      </w:r>
    </w:p>
    <w:p w14:paraId="0BEB4D1A" w14:textId="77777777" w:rsidR="003754FE" w:rsidRDefault="003754FE" w:rsidP="003754FE">
      <w:pPr>
        <w:pStyle w:val="TextoNormal"/>
      </w:pPr>
    </w:p>
    <w:p w14:paraId="118B4760" w14:textId="1301CACF" w:rsidR="003754FE" w:rsidRDefault="003754FE" w:rsidP="003754FE">
      <w:pPr>
        <w:pStyle w:val="TextoNormal"/>
      </w:pPr>
      <w:r>
        <w:lastRenderedPageBreak/>
        <w:t>Por su parte, el Ministerio Fiscal solicita: (i) la estimación del recurso de amparo en los motivos relativos a la vulneración del derecho a la legalidad penal (art. 25.1 CE) por indebida subsunción en el delito de prevaricación (art. 404 CP) de los hechos consistentes en la elaboración y aprobación de los anteproyectos y proyectos de ley; (ii) la desestimación del motivo relativo a la vulneración del derecho a la legalidad penal (art. 25.1 CE) por indebida subsunción en el delito de prevaricación (art. 404 CP) de los hechos consistentes en la tramitación y aprobación de las modificaciones presupuestarias.</w:t>
      </w:r>
    </w:p>
    <w:p w14:paraId="6F464976" w14:textId="77777777" w:rsidR="003754FE" w:rsidRDefault="003754FE" w:rsidP="003754FE">
      <w:pPr>
        <w:pStyle w:val="TextoNormal"/>
      </w:pPr>
    </w:p>
    <w:p w14:paraId="2B43EAAC" w14:textId="77777777" w:rsidR="003754FE" w:rsidRDefault="003754FE" w:rsidP="003754FE">
      <w:pPr>
        <w:pStyle w:val="TextoNormal"/>
      </w:pPr>
      <w:r w:rsidRPr="003754FE">
        <w:rPr>
          <w:rStyle w:val="NumeroAFNegritaCaracter"/>
        </w:rPr>
        <w:t>2</w:t>
      </w:r>
      <w:r>
        <w:t xml:space="preserve">. </w:t>
      </w:r>
      <w:r w:rsidRPr="003754FE">
        <w:rPr>
          <w:i/>
        </w:rPr>
        <w:t>Breve delimitación fáctica y jurídica del proceso “ERE” y de la condena del demandante de amparo</w:t>
      </w:r>
    </w:p>
    <w:p w14:paraId="64FEE6F2" w14:textId="77777777" w:rsidR="003754FE" w:rsidRDefault="003754FE" w:rsidP="003754FE">
      <w:pPr>
        <w:pStyle w:val="TextoNormal"/>
      </w:pPr>
    </w:p>
    <w:p w14:paraId="345AB003" w14:textId="77777777" w:rsidR="003754FE" w:rsidRDefault="003754FE" w:rsidP="003754FE">
      <w:pPr>
        <w:pStyle w:val="TextoNormal"/>
      </w:pPr>
      <w:r>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w:t>
      </w:r>
      <w:r w:rsidRPr="003754FE">
        <w:rPr>
          <w:i/>
        </w:rPr>
        <w:t>a quo</w:t>
      </w:r>
      <w:r>
        <w:t xml:space="preserve">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del demandante de amparo.</w:t>
      </w:r>
    </w:p>
    <w:p w14:paraId="4540C15A" w14:textId="77777777" w:rsidR="003754FE" w:rsidRDefault="003754FE" w:rsidP="003754FE">
      <w:pPr>
        <w:pStyle w:val="TextoNormal"/>
      </w:pPr>
    </w:p>
    <w:p w14:paraId="096C44B6" w14:textId="77777777" w:rsidR="003754FE" w:rsidRDefault="003754FE" w:rsidP="003754FE">
      <w:pPr>
        <w:pStyle w:val="TextoNormal"/>
      </w:pPr>
      <w:r>
        <w:t xml:space="preserve">2.1. </w:t>
      </w:r>
      <w:r w:rsidRPr="003754FE">
        <w:rPr>
          <w:i/>
        </w:rPr>
        <w:t>Sucinta exposición general de los hechos del proceso “ERE”</w:t>
      </w:r>
    </w:p>
    <w:p w14:paraId="7AE52E95" w14:textId="77777777" w:rsidR="003754FE" w:rsidRDefault="003754FE" w:rsidP="003754FE">
      <w:pPr>
        <w:pStyle w:val="TextoNormal"/>
      </w:pPr>
    </w:p>
    <w:p w14:paraId="101506AA" w14:textId="77777777" w:rsidR="003754FE" w:rsidRDefault="003754FE" w:rsidP="003754FE">
      <w:pPr>
        <w:pStyle w:val="TextoNormal"/>
      </w:pPr>
      <w:r>
        <w:t>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14:paraId="44B9C5A3" w14:textId="77777777" w:rsidR="003754FE" w:rsidRDefault="003754FE" w:rsidP="003754FE">
      <w:pPr>
        <w:pStyle w:val="TextoNormal"/>
      </w:pPr>
    </w:p>
    <w:p w14:paraId="52179E4E" w14:textId="77777777" w:rsidR="003754FE" w:rsidRDefault="003754FE" w:rsidP="003754FE">
      <w:pPr>
        <w:pStyle w:val="TextoNormal"/>
      </w:pPr>
      <w:r>
        <w:t xml:space="preserve">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w:t>
      </w:r>
      <w:r>
        <w:lastRenderedPageBreak/>
        <w:t>intervención material del pago; y, en fin, la intervención de la aplicación o empleo de las cantidades destinadas a obras, suministros o adquisiciones y servicios.</w:t>
      </w:r>
    </w:p>
    <w:p w14:paraId="5DF57CA8" w14:textId="77777777" w:rsidR="003754FE" w:rsidRDefault="003754FE" w:rsidP="003754FE">
      <w:pPr>
        <w:pStyle w:val="TextoNormal"/>
      </w:pPr>
    </w:p>
    <w:p w14:paraId="1B505E08" w14:textId="77777777" w:rsidR="003754FE" w:rsidRDefault="003754FE" w:rsidP="003754FE">
      <w:pPr>
        <w:pStyle w:val="TextoNormal"/>
      </w:pPr>
      <w:r>
        <w:t>En la tramitación de sendos expedientes sobre estas ayudas, el interventor delegado de la Consejería de Empleo y Desarrollo Tecnológico formuló reparos en el informe de fiscalización, que, si bien no llegaron a impedir su concesión, la dificultaron y retrasaron.</w:t>
      </w:r>
    </w:p>
    <w:p w14:paraId="6CAB90A7" w14:textId="77777777" w:rsidR="003754FE" w:rsidRDefault="003754FE" w:rsidP="003754FE">
      <w:pPr>
        <w:pStyle w:val="TextoNormal"/>
      </w:pPr>
    </w:p>
    <w:p w14:paraId="612E9430" w14:textId="77777777" w:rsidR="003754FE" w:rsidRDefault="003754FE" w:rsidP="003754FE">
      <w:pPr>
        <w:pStyle w:val="TextoNormal"/>
      </w:pPr>
      <w:r>
        <w:t>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14:paraId="0CF38DA0" w14:textId="77777777" w:rsidR="003754FE" w:rsidRDefault="003754FE" w:rsidP="003754FE">
      <w:pPr>
        <w:pStyle w:val="TextoNormal"/>
      </w:pPr>
    </w:p>
    <w:p w14:paraId="127AE65A" w14:textId="77777777" w:rsidR="003754FE" w:rsidRDefault="003754FE" w:rsidP="003754FE">
      <w:pPr>
        <w:pStyle w:val="TextoNormal"/>
      </w:pPr>
      <w:r>
        <w:t>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14:paraId="2F344D76" w14:textId="77777777" w:rsidR="003754FE" w:rsidRDefault="003754FE" w:rsidP="003754FE">
      <w:pPr>
        <w:pStyle w:val="TextoNormal"/>
      </w:pPr>
    </w:p>
    <w:p w14:paraId="4CD11D2B" w14:textId="77777777" w:rsidR="003754FE" w:rsidRDefault="003754FE" w:rsidP="003754FE">
      <w:pPr>
        <w:pStyle w:val="TextoNormal"/>
      </w:pPr>
      <w:r>
        <w:t>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14:paraId="2431C0A9" w14:textId="77777777" w:rsidR="003754FE" w:rsidRDefault="003754FE" w:rsidP="003754FE">
      <w:pPr>
        <w:pStyle w:val="TextoNormal"/>
      </w:pPr>
    </w:p>
    <w:p w14:paraId="1C5FB334" w14:textId="77777777" w:rsidR="003754FE" w:rsidRDefault="003754FE" w:rsidP="003754FE">
      <w:pPr>
        <w:pStyle w:val="TextoNormal"/>
      </w:pPr>
      <w:r>
        <w:t xml:space="preserve">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w:t>
      </w:r>
      <w:r>
        <w:lastRenderedPageBreak/>
        <w:t>convenio marco). En virtud de dicho convenio, el IFA se comprometía a prestar asistencia técnica permanente a la Dirección General de Trabajo y Seguridad Social,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 de realizarse la transferencia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14:paraId="797C8272" w14:textId="77777777" w:rsidR="003754FE" w:rsidRDefault="003754FE" w:rsidP="003754FE">
      <w:pPr>
        <w:pStyle w:val="TextoNormal"/>
      </w:pPr>
    </w:p>
    <w:p w14:paraId="0D767FA1" w14:textId="77777777" w:rsidR="003754FE" w:rsidRDefault="003754FE" w:rsidP="003754FE">
      <w:pPr>
        <w:pStyle w:val="TextoNormal"/>
      </w:pPr>
      <w:r>
        <w:t>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14:paraId="3BB18A6C" w14:textId="77777777" w:rsidR="003754FE" w:rsidRDefault="003754FE" w:rsidP="003754FE">
      <w:pPr>
        <w:pStyle w:val="TextoNormal"/>
      </w:pPr>
    </w:p>
    <w:p w14:paraId="6F2F8FAB" w14:textId="77777777" w:rsidR="003754FE" w:rsidRDefault="003754FE" w:rsidP="003754FE">
      <w:pPr>
        <w:pStyle w:val="TextoNormal"/>
      </w:pPr>
      <w:r>
        <w:t>Tras la firma del convenio marco,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14:paraId="49733ADF" w14:textId="77777777" w:rsidR="003754FE" w:rsidRDefault="003754FE" w:rsidP="003754FE">
      <w:pPr>
        <w:pStyle w:val="TextoNormal"/>
      </w:pPr>
    </w:p>
    <w:p w14:paraId="5FA45F93" w14:textId="77777777" w:rsidR="003754FE" w:rsidRDefault="003754FE" w:rsidP="003754FE">
      <w:pPr>
        <w:pStyle w:val="TextoNormal"/>
      </w:pPr>
      <w:r>
        <w:t>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paso a denominarse Agencia de Innovación y Desarrollo de Andalucía (IDEA), adscrita a la Consejería de Innovación, Ciencia y Empresa— se destinaban a pagar lo ordenado por la consejería conforme a lo previsto en el convenio marco.</w:t>
      </w:r>
    </w:p>
    <w:p w14:paraId="7A280FDC" w14:textId="77777777" w:rsidR="003754FE" w:rsidRDefault="003754FE" w:rsidP="003754FE">
      <w:pPr>
        <w:pStyle w:val="TextoNormal"/>
      </w:pPr>
    </w:p>
    <w:p w14:paraId="5197EAD9" w14:textId="77777777" w:rsidR="003754FE" w:rsidRDefault="003754FE" w:rsidP="003754FE">
      <w:pPr>
        <w:pStyle w:val="TextoNormal"/>
      </w:pPr>
      <w:r>
        <w:t>Los proyectos de la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193-196):</w:t>
      </w:r>
    </w:p>
    <w:p w14:paraId="0758F8BC" w14:textId="77777777" w:rsidR="003754FE" w:rsidRDefault="003754FE" w:rsidP="003754FE">
      <w:pPr>
        <w:pStyle w:val="TextoNormal"/>
      </w:pPr>
    </w:p>
    <w:p w14:paraId="4D1DDDDC" w14:textId="77777777" w:rsidR="003754FE" w:rsidRDefault="003754FE" w:rsidP="003754FE">
      <w:pPr>
        <w:pStyle w:val="TextoNormal"/>
      </w:pPr>
      <w:r>
        <w:t>“9. Conclusiones del análisis de la documentación anexa al proyecto de presupuesto anual de la Junta de Andalucía:</w:t>
      </w:r>
    </w:p>
    <w:p w14:paraId="452E0877" w14:textId="77777777" w:rsidR="003754FE" w:rsidRDefault="003754FE" w:rsidP="003754FE">
      <w:pPr>
        <w:pStyle w:val="TextoNormal"/>
      </w:pPr>
    </w:p>
    <w:p w14:paraId="4A2CA8D6" w14:textId="77777777" w:rsidR="003754FE" w:rsidRDefault="003754FE" w:rsidP="003754FE">
      <w:pPr>
        <w:pStyle w:val="TextoNormal"/>
      </w:pPr>
      <w:r>
        <w:lastRenderedPageBreak/>
        <w:t>A) La descripción de los objetivos y actividades contenidos en las fichas del programa 31L, son, como hemos visto, del siguiente tenor:</w:t>
      </w:r>
    </w:p>
    <w:p w14:paraId="34C17208" w14:textId="77777777" w:rsidR="003754FE" w:rsidRDefault="003754FE" w:rsidP="003754FE">
      <w:pPr>
        <w:pStyle w:val="TextoNormal"/>
      </w:pPr>
    </w:p>
    <w:p w14:paraId="4EAB3F7B" w14:textId="77777777" w:rsidR="003754FE" w:rsidRDefault="003754FE" w:rsidP="003754FE">
      <w:pPr>
        <w:pStyle w:val="TextoNormal"/>
      </w:pPr>
      <w:r>
        <w:t>• ‘Transferencias al IFA’.</w:t>
      </w:r>
    </w:p>
    <w:p w14:paraId="50C8DB73" w14:textId="77777777" w:rsidR="003754FE" w:rsidRDefault="003754FE" w:rsidP="003754FE">
      <w:pPr>
        <w:pStyle w:val="TextoNormal"/>
      </w:pPr>
    </w:p>
    <w:p w14:paraId="09A146EB" w14:textId="77777777" w:rsidR="003754FE" w:rsidRDefault="003754FE" w:rsidP="003754FE">
      <w:pPr>
        <w:pStyle w:val="TextoNormal"/>
      </w:pPr>
      <w:r>
        <w:t>• ‘Transferencias al AIDA’.</w:t>
      </w:r>
    </w:p>
    <w:p w14:paraId="71FE55BE" w14:textId="77777777" w:rsidR="003754FE" w:rsidRDefault="003754FE" w:rsidP="003754FE">
      <w:pPr>
        <w:pStyle w:val="TextoNormal"/>
      </w:pPr>
    </w:p>
    <w:p w14:paraId="3419EA11" w14:textId="77777777" w:rsidR="003754FE" w:rsidRDefault="003754FE" w:rsidP="003754FE">
      <w:pPr>
        <w:pStyle w:val="TextoNormal"/>
      </w:pPr>
      <w:r>
        <w:t>• ‘Mantenimiento empleo y tejido productivo andaluz’.</w:t>
      </w:r>
    </w:p>
    <w:p w14:paraId="56A54CFD" w14:textId="77777777" w:rsidR="003754FE" w:rsidRDefault="003754FE" w:rsidP="003754FE">
      <w:pPr>
        <w:pStyle w:val="TextoNormal"/>
      </w:pPr>
    </w:p>
    <w:p w14:paraId="4D28BB20" w14:textId="77777777" w:rsidR="003754FE" w:rsidRDefault="003754FE" w:rsidP="003754FE">
      <w:pPr>
        <w:pStyle w:val="TextoNormal"/>
      </w:pPr>
      <w:r>
        <w:t>• ‘Gestión de subvenciones’.</w:t>
      </w:r>
    </w:p>
    <w:p w14:paraId="3B03EB6C" w14:textId="77777777" w:rsidR="003754FE" w:rsidRDefault="003754FE" w:rsidP="003754FE">
      <w:pPr>
        <w:pStyle w:val="TextoNormal"/>
      </w:pPr>
    </w:p>
    <w:p w14:paraId="502BD91D" w14:textId="77777777" w:rsidR="003754FE" w:rsidRDefault="003754FE" w:rsidP="003754FE">
      <w:pPr>
        <w:pStyle w:val="TextoNormal"/>
      </w:pPr>
      <w:r>
        <w:t>• ‘Ayudas prejubilaciones y expedientes de regulación de empleo’.</w:t>
      </w:r>
    </w:p>
    <w:p w14:paraId="3668BF8C" w14:textId="77777777" w:rsidR="003754FE" w:rsidRDefault="003754FE" w:rsidP="003754FE">
      <w:pPr>
        <w:pStyle w:val="TextoNormal"/>
      </w:pPr>
    </w:p>
    <w:p w14:paraId="0A19607B" w14:textId="77777777" w:rsidR="003754FE" w:rsidRDefault="003754FE" w:rsidP="003754FE">
      <w:pPr>
        <w:pStyle w:val="TextoNormal"/>
      </w:pPr>
      <w:r>
        <w:t>• ‘Suscripción de convenio’.</w:t>
      </w:r>
    </w:p>
    <w:p w14:paraId="5C1E48E1" w14:textId="77777777" w:rsidR="003754FE" w:rsidRDefault="003754FE" w:rsidP="003754FE">
      <w:pPr>
        <w:pStyle w:val="TextoNormal"/>
      </w:pPr>
    </w:p>
    <w:p w14:paraId="5AFD67CC" w14:textId="77777777" w:rsidR="003754FE" w:rsidRDefault="003754FE" w:rsidP="003754FE">
      <w:pPr>
        <w:pStyle w:val="TextoNormal"/>
      </w:pPr>
      <w:r>
        <w:t>B) Por lo que se refiere a las memorias de los informes económico financieros, en la descripción de las actividades y objetivos contenidos en las mismas, son, como hemos visto igualmente, del siguiente tenor:</w:t>
      </w:r>
    </w:p>
    <w:p w14:paraId="4E637136" w14:textId="77777777" w:rsidR="003754FE" w:rsidRDefault="003754FE" w:rsidP="003754FE">
      <w:pPr>
        <w:pStyle w:val="TextoNormal"/>
      </w:pPr>
    </w:p>
    <w:p w14:paraId="53DDF637" w14:textId="77777777" w:rsidR="003754FE" w:rsidRDefault="003754FE" w:rsidP="003754FE">
      <w:pPr>
        <w:pStyle w:val="TextoNormal"/>
      </w:pPr>
      <w:r>
        <w:t>• Potenciar la interlocución con los agentes sociales y económicos.</w:t>
      </w:r>
    </w:p>
    <w:p w14:paraId="5942BB7F" w14:textId="77777777" w:rsidR="003754FE" w:rsidRDefault="003754FE" w:rsidP="003754FE">
      <w:pPr>
        <w:pStyle w:val="TextoNormal"/>
      </w:pPr>
    </w:p>
    <w:p w14:paraId="12DF931F" w14:textId="77777777" w:rsidR="003754FE" w:rsidRDefault="003754FE" w:rsidP="003754FE">
      <w:pPr>
        <w:pStyle w:val="TextoNormal"/>
      </w:pPr>
      <w:r>
        <w:t>• Mantener las políticas de ayudas a prejubilaciones en empresas con dificultades.</w:t>
      </w:r>
    </w:p>
    <w:p w14:paraId="11470AF5" w14:textId="77777777" w:rsidR="003754FE" w:rsidRDefault="003754FE" w:rsidP="003754FE">
      <w:pPr>
        <w:pStyle w:val="TextoNormal"/>
      </w:pPr>
    </w:p>
    <w:p w14:paraId="6A21F198" w14:textId="77777777" w:rsidR="003754FE" w:rsidRDefault="003754FE" w:rsidP="003754FE">
      <w:pPr>
        <w:pStyle w:val="TextoNormal"/>
      </w:pPr>
      <w:r>
        <w:t>•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782B510F" w14:textId="77777777" w:rsidR="003754FE" w:rsidRDefault="003754FE" w:rsidP="003754FE">
      <w:pPr>
        <w:pStyle w:val="TextoNormal"/>
      </w:pPr>
    </w:p>
    <w:p w14:paraId="7757CEB9" w14:textId="77777777" w:rsidR="003754FE" w:rsidRDefault="003754FE" w:rsidP="003754FE">
      <w:pPr>
        <w:pStyle w:val="TextoNormal"/>
      </w:pPr>
      <w:r>
        <w:t>• Así mismo y en una cuantía importante instrumenta la materialización de ayudas a empresas con especiales dificultades de mantenimiento del empleo, prejubilaciones y viabilidad económica.</w:t>
      </w:r>
    </w:p>
    <w:p w14:paraId="3A3145D3" w14:textId="77777777" w:rsidR="003754FE" w:rsidRDefault="003754FE" w:rsidP="003754FE">
      <w:pPr>
        <w:pStyle w:val="TextoNormal"/>
      </w:pPr>
    </w:p>
    <w:p w14:paraId="143F57D2" w14:textId="77777777" w:rsidR="003754FE" w:rsidRDefault="003754FE" w:rsidP="003754FE">
      <w:pPr>
        <w:pStyle w:val="TextoNormal"/>
      </w:pPr>
      <w:r>
        <w:t>•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1B239827" w14:textId="77777777" w:rsidR="003754FE" w:rsidRDefault="003754FE" w:rsidP="003754FE">
      <w:pPr>
        <w:pStyle w:val="TextoNormal"/>
      </w:pPr>
    </w:p>
    <w:p w14:paraId="0CB32FE8" w14:textId="77777777" w:rsidR="003754FE" w:rsidRDefault="003754FE" w:rsidP="003754FE">
      <w:pPr>
        <w:pStyle w:val="TextoNormal"/>
      </w:pPr>
      <w:r>
        <w:t>•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14:paraId="58C8B96B" w14:textId="77777777" w:rsidR="003754FE" w:rsidRDefault="003754FE" w:rsidP="003754FE">
      <w:pPr>
        <w:pStyle w:val="TextoNormal"/>
      </w:pPr>
    </w:p>
    <w:p w14:paraId="634D4B19" w14:textId="77777777" w:rsidR="003754FE" w:rsidRDefault="003754FE" w:rsidP="003754FE">
      <w:pPr>
        <w:pStyle w:val="TextoNormal"/>
      </w:pPr>
      <w:r>
        <w:t>• Esta dirección general instrumenta la materialización de las ayudas a través de un convenio con el IFA y de su dotación anual específica de contribución a pólizas de prejubilaciones.</w:t>
      </w:r>
    </w:p>
    <w:p w14:paraId="67AD5E2D" w14:textId="77777777" w:rsidR="003754FE" w:rsidRDefault="003754FE" w:rsidP="003754FE">
      <w:pPr>
        <w:pStyle w:val="TextoNormal"/>
      </w:pPr>
    </w:p>
    <w:p w14:paraId="62B6F88E" w14:textId="77777777" w:rsidR="003754FE" w:rsidRDefault="003754FE" w:rsidP="003754FE">
      <w:pPr>
        <w:pStyle w:val="TextoNormal"/>
      </w:pPr>
      <w:r>
        <w:lastRenderedPageBreak/>
        <w:t>• El centro directivo que lo ejecuta es la Dirección General de Trabajo y Seguridad Social.</w:t>
      </w:r>
    </w:p>
    <w:p w14:paraId="278897F5" w14:textId="77777777" w:rsidR="003754FE" w:rsidRDefault="003754FE" w:rsidP="003754FE">
      <w:pPr>
        <w:pStyle w:val="TextoNormal"/>
      </w:pPr>
    </w:p>
    <w:p w14:paraId="118A9DBB" w14:textId="77777777" w:rsidR="003754FE" w:rsidRDefault="003754FE" w:rsidP="003754FE">
      <w:pPr>
        <w:pStyle w:val="TextoNormal"/>
      </w:pPr>
      <w:r>
        <w:t>• La previsión es para atender compromisos existentes y no se prevén fondos para nuevas, en su caso, contingencias.</w:t>
      </w:r>
    </w:p>
    <w:p w14:paraId="437DC36B" w14:textId="77777777" w:rsidR="003754FE" w:rsidRDefault="003754FE" w:rsidP="003754FE">
      <w:pPr>
        <w:pStyle w:val="TextoNormal"/>
      </w:pPr>
    </w:p>
    <w:p w14:paraId="13D5B68C" w14:textId="77777777" w:rsidR="003754FE" w:rsidRDefault="003754FE" w:rsidP="003754FE">
      <w:pPr>
        <w:pStyle w:val="TextoNormal"/>
      </w:pPr>
      <w:r>
        <w:t>• Mantener las políticas de ayudas a prejubilaciones en empresas con dificultades, a través de subvenciones finalistas.</w:t>
      </w:r>
    </w:p>
    <w:p w14:paraId="1D44EF08" w14:textId="77777777" w:rsidR="003754FE" w:rsidRDefault="003754FE" w:rsidP="003754FE">
      <w:pPr>
        <w:pStyle w:val="TextoNormal"/>
      </w:pPr>
    </w:p>
    <w:p w14:paraId="24D625BD" w14:textId="77777777" w:rsidR="003754FE" w:rsidRDefault="003754FE" w:rsidP="003754FE">
      <w:pPr>
        <w:pStyle w:val="TextoNormal"/>
      </w:pPr>
      <w:r>
        <w:t>• Realización de transferencias al Instituto de Fomento de Andalucía en aplicación de concierto de ayudas a empresas en crisis para el mantenimiento del empleo y tejido productivo andaluz.</w:t>
      </w:r>
    </w:p>
    <w:p w14:paraId="31EC58E5" w14:textId="77777777" w:rsidR="003754FE" w:rsidRDefault="003754FE" w:rsidP="003754FE">
      <w:pPr>
        <w:pStyle w:val="TextoNormal"/>
      </w:pPr>
    </w:p>
    <w:p w14:paraId="50F6B447" w14:textId="77777777" w:rsidR="003754FE" w:rsidRDefault="003754FE" w:rsidP="003754FE">
      <w:pPr>
        <w:pStyle w:val="TextoNormal"/>
      </w:pPr>
      <w:r>
        <w:t>• Tramitación de transferencias a empresas mediante ayudas a prejubilaciones mediante subvención de la cuota de la seguridad social.</w:t>
      </w:r>
    </w:p>
    <w:p w14:paraId="72BB5406" w14:textId="77777777" w:rsidR="003754FE" w:rsidRDefault="003754FE" w:rsidP="003754FE">
      <w:pPr>
        <w:pStyle w:val="TextoNormal"/>
      </w:pPr>
    </w:p>
    <w:p w14:paraId="149C9687" w14:textId="77777777" w:rsidR="003754FE" w:rsidRDefault="003754FE" w:rsidP="003754FE">
      <w:pPr>
        <w:pStyle w:val="TextoNormal"/>
      </w:pPr>
      <w:r>
        <w:t>• El programa presupuestario 31L, lo ejecuta la Dirección General de Trabajo y Seguridad Social, centro directivo que tiene atribuida las competencias que corresponden a la consejería en materia de relaciones laborales.</w:t>
      </w:r>
    </w:p>
    <w:p w14:paraId="10231913" w14:textId="77777777" w:rsidR="003754FE" w:rsidRDefault="003754FE" w:rsidP="003754FE">
      <w:pPr>
        <w:pStyle w:val="TextoNormal"/>
      </w:pPr>
    </w:p>
    <w:p w14:paraId="16108FE9" w14:textId="77777777" w:rsidR="003754FE" w:rsidRDefault="003754FE" w:rsidP="003754FE">
      <w:pPr>
        <w:pStyle w:val="TextoNormal"/>
      </w:pPr>
      <w:r>
        <w:t>• Atender a las necesidades públicas de mantenimiento del empleo y del tejido productivo andaluz, a través de los acuerdos con la Agencia de Innovación y Desarrollo de Andalucía para la subvención y ayuda a sectores y empresas con dificultades financieras.</w:t>
      </w:r>
    </w:p>
    <w:p w14:paraId="4DF73ACF" w14:textId="77777777" w:rsidR="003754FE" w:rsidRDefault="003754FE" w:rsidP="003754FE">
      <w:pPr>
        <w:pStyle w:val="TextoNormal"/>
      </w:pPr>
    </w:p>
    <w:p w14:paraId="3A56C959" w14:textId="77777777" w:rsidR="003754FE" w:rsidRDefault="003754FE" w:rsidP="003754FE">
      <w:pPr>
        <w:pStyle w:val="TextoNormal"/>
      </w:pPr>
      <w:r>
        <w:t>• Esta dirección general instrumenta la materialización de las ayudas a través de un convenio con la Agencia de Innovación y Desarrollo de Andalucía y de su dotación anual específica de contribución a pólizas de prejubilaciones.</w:t>
      </w:r>
    </w:p>
    <w:p w14:paraId="2D53F543" w14:textId="77777777" w:rsidR="003754FE" w:rsidRDefault="003754FE" w:rsidP="003754FE">
      <w:pPr>
        <w:pStyle w:val="TextoNormal"/>
      </w:pPr>
    </w:p>
    <w:p w14:paraId="42066F5D" w14:textId="77777777" w:rsidR="003754FE" w:rsidRDefault="003754FE" w:rsidP="003754FE">
      <w:pPr>
        <w:pStyle w:val="TextoNormal"/>
      </w:pPr>
      <w:r>
        <w:t>• Continuar la línea de colaboración con IDEA en aplicación del concierto de ayudas para el mantenimiento del empleo y tejido productivo andaluz en vigor desde el año 2001.</w:t>
      </w:r>
    </w:p>
    <w:p w14:paraId="53E16CE0" w14:textId="77777777" w:rsidR="003754FE" w:rsidRDefault="003754FE" w:rsidP="003754FE">
      <w:pPr>
        <w:pStyle w:val="TextoNormal"/>
      </w:pPr>
    </w:p>
    <w:p w14:paraId="0AAE5B62" w14:textId="77777777" w:rsidR="003754FE" w:rsidRDefault="003754FE" w:rsidP="003754FE">
      <w:pPr>
        <w:pStyle w:val="TextoNormal"/>
      </w:pPr>
      <w:r>
        <w:t>•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14:paraId="0713CC12" w14:textId="77777777" w:rsidR="003754FE" w:rsidRDefault="003754FE" w:rsidP="003754FE">
      <w:pPr>
        <w:pStyle w:val="TextoNormal"/>
      </w:pPr>
    </w:p>
    <w:p w14:paraId="558C3C76" w14:textId="77777777" w:rsidR="003754FE" w:rsidRDefault="003754FE" w:rsidP="003754FE">
      <w:pPr>
        <w:pStyle w:val="TextoNormal"/>
      </w:pPr>
      <w:r>
        <w:t>• Mantenimiento del empleo y tejido productivo andaluz: cobertura de las necesidades comprometidas y asumidas por expedientes de regulación de empleo, ayuda a prejubilaciones, proyectos de viabilidad de pequeñas, medianas y grandes empresas e impulso a la consolidación económica en aquellas empresas con dificultades de mantenimiento del empleo”.</w:t>
      </w:r>
    </w:p>
    <w:p w14:paraId="7418BDF5" w14:textId="77777777" w:rsidR="003754FE" w:rsidRDefault="003754FE" w:rsidP="003754FE">
      <w:pPr>
        <w:pStyle w:val="TextoNormal"/>
      </w:pPr>
    </w:p>
    <w:p w14:paraId="00695683" w14:textId="77777777" w:rsidR="003754FE" w:rsidRDefault="003754FE" w:rsidP="003754FE">
      <w:pPr>
        <w:pStyle w:val="TextoNormal"/>
      </w:pPr>
      <w:r>
        <w:t>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14:paraId="02D58DE8" w14:textId="77777777" w:rsidR="003754FE" w:rsidRDefault="003754FE" w:rsidP="003754FE">
      <w:pPr>
        <w:pStyle w:val="TextoNormal"/>
      </w:pPr>
    </w:p>
    <w:p w14:paraId="6E822D5F" w14:textId="77777777" w:rsidR="003754FE" w:rsidRDefault="003754FE" w:rsidP="003754FE">
      <w:pPr>
        <w:pStyle w:val="TextoNormal"/>
      </w:pPr>
      <w:r>
        <w:t>El IFA/IDEA, tanto como consecuencia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14:paraId="709A2847" w14:textId="77777777" w:rsidR="003754FE" w:rsidRDefault="003754FE" w:rsidP="003754FE">
      <w:pPr>
        <w:pStyle w:val="TextoNormal"/>
      </w:pPr>
    </w:p>
    <w:p w14:paraId="150A7CF6" w14:textId="77777777" w:rsidR="003754FE" w:rsidRDefault="003754FE" w:rsidP="003754FE">
      <w:pPr>
        <w:pStyle w:val="TextoNormal"/>
      </w:pPr>
      <w:r>
        <w:t>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14:paraId="1F640FFC" w14:textId="77777777" w:rsidR="003754FE" w:rsidRDefault="003754FE" w:rsidP="003754FE">
      <w:pPr>
        <w:pStyle w:val="TextoNormal"/>
      </w:pPr>
    </w:p>
    <w:p w14:paraId="70E657B9" w14:textId="77777777" w:rsidR="003754FE" w:rsidRDefault="003754FE" w:rsidP="003754FE">
      <w:pPr>
        <w:pStyle w:val="TextoNormal"/>
      </w:pPr>
      <w:r>
        <w:t>En el ejercicio del año 2009 se dejaron de suscribir convenios particulares entre la Dirección General de Trabajo y Seguridad Social y el IDEA, dictándose por el director general de Trabajo resoluciones concediendo las ayudas y ordenando su pago al director general de IDEA.</w:t>
      </w:r>
    </w:p>
    <w:p w14:paraId="215067DC" w14:textId="77777777" w:rsidR="003754FE" w:rsidRDefault="003754FE" w:rsidP="003754FE">
      <w:pPr>
        <w:pStyle w:val="TextoNormal"/>
      </w:pPr>
    </w:p>
    <w:p w14:paraId="36503ED6" w14:textId="77777777" w:rsidR="003754FE" w:rsidRDefault="003754FE" w:rsidP="003754FE">
      <w:pPr>
        <w:pStyle w:val="TextoNormal"/>
      </w:pPr>
      <w:r>
        <w:t>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14:paraId="45FB6265" w14:textId="77777777" w:rsidR="003754FE" w:rsidRDefault="003754FE" w:rsidP="003754FE">
      <w:pPr>
        <w:pStyle w:val="TextoNormal"/>
      </w:pPr>
    </w:p>
    <w:p w14:paraId="3CEAF6F5" w14:textId="77777777" w:rsidR="003754FE" w:rsidRDefault="003754FE" w:rsidP="003754FE">
      <w:pPr>
        <w:pStyle w:val="TextoNormal"/>
      </w:pPr>
      <w:r>
        <w:t>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y 16 de marzo de 2012, hasta su derogación por el Decreto-ley 4/2012, de 16 de octubre, de medidas extraordinarias y urgentes en materia de protección sociolaboral a extrabajadores y extrabajadoras andaluces afectados por procesos de reestructuración de empresas y sectores en crisis.</w:t>
      </w:r>
    </w:p>
    <w:p w14:paraId="2C519588" w14:textId="77777777" w:rsidR="003754FE" w:rsidRDefault="003754FE" w:rsidP="003754FE">
      <w:pPr>
        <w:pStyle w:val="TextoNormal"/>
      </w:pPr>
    </w:p>
    <w:p w14:paraId="1D7C1822" w14:textId="77777777" w:rsidR="003754FE" w:rsidRDefault="003754FE" w:rsidP="003754FE">
      <w:pPr>
        <w:pStyle w:val="TextoNormal"/>
      </w:pPr>
      <w:r>
        <w:t>En el citado decreto-ley se estableció que a estas ayudas sociolaborales no les eran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14:paraId="441C88F6" w14:textId="77777777" w:rsidR="003754FE" w:rsidRDefault="003754FE" w:rsidP="003754FE">
      <w:pPr>
        <w:pStyle w:val="TextoNormal"/>
      </w:pPr>
    </w:p>
    <w:p w14:paraId="3F4F2792" w14:textId="77777777" w:rsidR="003754FE" w:rsidRDefault="003754FE" w:rsidP="003754FE">
      <w:pPr>
        <w:pStyle w:val="TextoNormal"/>
      </w:pPr>
      <w:r>
        <w:t>e) En resumen, el sistema de otorgamiento de las ayudas sociolaborales y a empresas en crisis hasta el año 2010 fue el siguiente:</w:t>
      </w:r>
    </w:p>
    <w:p w14:paraId="5CEB53D0" w14:textId="77777777" w:rsidR="003754FE" w:rsidRDefault="003754FE" w:rsidP="003754FE">
      <w:pPr>
        <w:pStyle w:val="TextoNormal"/>
      </w:pPr>
    </w:p>
    <w:p w14:paraId="36756A35" w14:textId="77777777" w:rsidR="003754FE" w:rsidRDefault="003754FE" w:rsidP="003754FE">
      <w:pPr>
        <w:pStyle w:val="TextoNormal"/>
      </w:pPr>
      <w:r>
        <w:t>(i) En la década de los años 1990 estas ayudas se tramitaron como subvenciones excepcionales, siendo concedidas y pagadas por la Consejería de Empleo y Desarrollo Tecnológico.</w:t>
      </w:r>
    </w:p>
    <w:p w14:paraId="109C9319" w14:textId="77777777" w:rsidR="003754FE" w:rsidRDefault="003754FE" w:rsidP="003754FE">
      <w:pPr>
        <w:pStyle w:val="TextoNormal"/>
      </w:pPr>
    </w:p>
    <w:p w14:paraId="3CB9E7C9" w14:textId="77777777" w:rsidR="003754FE" w:rsidRDefault="003754FE" w:rsidP="003754FE">
      <w:pPr>
        <w:pStyle w:val="TextoNormal"/>
      </w:pPr>
      <w:r>
        <w:t>(ii)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14:paraId="20E4A30E" w14:textId="77777777" w:rsidR="003754FE" w:rsidRDefault="003754FE" w:rsidP="003754FE">
      <w:pPr>
        <w:pStyle w:val="TextoNormal"/>
      </w:pPr>
    </w:p>
    <w:p w14:paraId="31B16053" w14:textId="77777777" w:rsidR="003754FE" w:rsidRDefault="003754FE" w:rsidP="003754FE">
      <w:pPr>
        <w:pStyle w:val="TextoNormal"/>
      </w:pPr>
      <w:r>
        <w:t xml:space="preserve">(iii) Al IFA/IDEA se le atribuyeron los fondos para el pago de las ayudas mediante transferencias de financiación. La utilización de estos créditos no estaba sometida a un control previo, sino a un control </w:t>
      </w:r>
      <w:r w:rsidRPr="003754FE">
        <w:rPr>
          <w:i/>
        </w:rPr>
        <w:t>ex post</w:t>
      </w:r>
      <w:r>
        <w:t>: el llamado “control financiero permanente”. Este control se limitaba a comprobar la legalidad del pago; examinar las cuentas anuales, y analizar críticamente los programas asignados al instituto.</w:t>
      </w:r>
    </w:p>
    <w:p w14:paraId="4D373D1E" w14:textId="77777777" w:rsidR="003754FE" w:rsidRDefault="003754FE" w:rsidP="003754FE">
      <w:pPr>
        <w:pStyle w:val="TextoNormal"/>
      </w:pPr>
    </w:p>
    <w:p w14:paraId="53818CE4" w14:textId="77777777" w:rsidR="003754FE" w:rsidRDefault="003754FE" w:rsidP="003754FE">
      <w:pPr>
        <w:pStyle w:val="TextoNormal"/>
      </w:pPr>
      <w:r>
        <w:t>(iv)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14:paraId="1DFA1C66" w14:textId="77777777" w:rsidR="003754FE" w:rsidRDefault="003754FE" w:rsidP="003754FE">
      <w:pPr>
        <w:pStyle w:val="TextoNormal"/>
      </w:pPr>
    </w:p>
    <w:p w14:paraId="29B18B0C" w14:textId="77777777" w:rsidR="003754FE" w:rsidRDefault="003754FE" w:rsidP="003754FE">
      <w:pPr>
        <w:pStyle w:val="TextoNormal"/>
      </w:pPr>
      <w:r>
        <w:t>El seguimiento del referido sistema de otorgamiento de las ayudas sociolaborales y a empresas en crisis hasta el año 2010 permitió, según las resoluciones impugnadas:</w:t>
      </w:r>
    </w:p>
    <w:p w14:paraId="1F3B5C48" w14:textId="77777777" w:rsidR="003754FE" w:rsidRDefault="003754FE" w:rsidP="003754FE">
      <w:pPr>
        <w:pStyle w:val="TextoNormal"/>
      </w:pPr>
    </w:p>
    <w:p w14:paraId="0B08C10E" w14:textId="77777777" w:rsidR="003754FE" w:rsidRDefault="003754FE" w:rsidP="003754FE">
      <w:pPr>
        <w:pStyle w:val="TextoNormal"/>
      </w:pPr>
      <w:r>
        <w:t>(i)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14:paraId="41031C9A" w14:textId="77777777" w:rsidR="003754FE" w:rsidRDefault="003754FE" w:rsidP="003754FE">
      <w:pPr>
        <w:pStyle w:val="TextoNormal"/>
      </w:pPr>
    </w:p>
    <w:p w14:paraId="0D2F82E3" w14:textId="77777777" w:rsidR="003754FE" w:rsidRDefault="003754FE" w:rsidP="003754FE">
      <w:pPr>
        <w:pStyle w:val="TextoNormal"/>
      </w:pPr>
      <w:r>
        <w:t>(ii)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 y</w:t>
      </w:r>
    </w:p>
    <w:p w14:paraId="5929B33A" w14:textId="77777777" w:rsidR="003754FE" w:rsidRDefault="003754FE" w:rsidP="003754FE">
      <w:pPr>
        <w:pStyle w:val="TextoNormal"/>
      </w:pPr>
    </w:p>
    <w:p w14:paraId="7C076D74" w14:textId="77777777" w:rsidR="003754FE" w:rsidRDefault="003754FE" w:rsidP="003754FE">
      <w:pPr>
        <w:pStyle w:val="TextoNormal"/>
      </w:pPr>
      <w:r>
        <w:t>(iii) que se destinasen fondos del programa 31L a fines distintos y ajenos a los recogidos para este en los correspondientes presupuestos.</w:t>
      </w:r>
    </w:p>
    <w:p w14:paraId="24B016BD" w14:textId="77777777" w:rsidR="003754FE" w:rsidRDefault="003754FE" w:rsidP="003754FE">
      <w:pPr>
        <w:pStyle w:val="TextoNormal"/>
      </w:pPr>
    </w:p>
    <w:p w14:paraId="4CAF3299" w14:textId="77777777" w:rsidR="003754FE" w:rsidRDefault="003754FE" w:rsidP="003754FE">
      <w:pPr>
        <w:pStyle w:val="TextoNormal"/>
      </w:pPr>
      <w:r>
        <w:lastRenderedPageBreak/>
        <w:t>2.2</w:t>
      </w:r>
      <w:r w:rsidRPr="003754FE">
        <w:rPr>
          <w:i/>
        </w:rPr>
        <w:t>. La “pieza específica” y las demás piezas del proceso “ER</w:t>
      </w:r>
      <w:r>
        <w:t>E”</w:t>
      </w:r>
    </w:p>
    <w:p w14:paraId="1FFF465A" w14:textId="77777777" w:rsidR="003754FE" w:rsidRDefault="003754FE" w:rsidP="003754FE">
      <w:pPr>
        <w:pStyle w:val="TextoNormal"/>
      </w:pPr>
    </w:p>
    <w:p w14:paraId="1DB74506" w14:textId="77777777" w:rsidR="003754FE" w:rsidRDefault="003754FE" w:rsidP="003754FE">
      <w:pPr>
        <w:pStyle w:val="TextoNormal"/>
      </w:pPr>
      <w:r>
        <w:t>La causa matriz de los “ERE” se desgajó en una primera pieza denominada “pieza específica” y, en lo que aquí interesa, en un número no inferior a otras 200 piezas, que tienen por objeto las ayudas individuales concedidas a empresas o determinados grupos de empresas.</w:t>
      </w:r>
    </w:p>
    <w:p w14:paraId="129155F9" w14:textId="77777777" w:rsidR="003754FE" w:rsidRDefault="003754FE" w:rsidP="003754FE">
      <w:pPr>
        <w:pStyle w:val="TextoNormal"/>
      </w:pPr>
    </w:p>
    <w:p w14:paraId="659BE95C" w14:textId="77777777" w:rsidR="003754FE" w:rsidRDefault="003754FE" w:rsidP="003754FE">
      <w:pPr>
        <w:pStyle w:val="TextoNormal"/>
      </w:pPr>
      <w:r>
        <w:t>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14:paraId="25DA30AC" w14:textId="77777777" w:rsidR="003754FE" w:rsidRDefault="003754FE" w:rsidP="003754FE">
      <w:pPr>
        <w:pStyle w:val="TextoNormal"/>
      </w:pPr>
    </w:p>
    <w:p w14:paraId="526437DF" w14:textId="77777777" w:rsidR="003754FE" w:rsidRDefault="003754FE" w:rsidP="003754FE">
      <w:pPr>
        <w:pStyle w:val="TextoNormal"/>
      </w:pPr>
      <w:r>
        <w:t>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 págs. 122-133).</w:t>
      </w:r>
    </w:p>
    <w:p w14:paraId="1097B1C6" w14:textId="77777777" w:rsidR="003754FE" w:rsidRDefault="003754FE" w:rsidP="003754FE">
      <w:pPr>
        <w:pStyle w:val="TextoNormal"/>
      </w:pPr>
    </w:p>
    <w:p w14:paraId="58FCF0F5" w14:textId="77777777" w:rsidR="003754FE" w:rsidRDefault="003754FE" w:rsidP="003754FE">
      <w:pPr>
        <w:pStyle w:val="TextoNormal"/>
      </w:pPr>
      <w:r>
        <w:t>2.3</w:t>
      </w:r>
      <w:r w:rsidRPr="003754FE">
        <w:rPr>
          <w:i/>
        </w:rPr>
        <w:t>. Hechos enjuiciados en la “pieza específic</w:t>
      </w:r>
      <w:r>
        <w:t>a”</w:t>
      </w:r>
    </w:p>
    <w:p w14:paraId="06F1A6A1" w14:textId="77777777" w:rsidR="003754FE" w:rsidRDefault="003754FE" w:rsidP="003754FE">
      <w:pPr>
        <w:pStyle w:val="TextoNormal"/>
      </w:pPr>
    </w:p>
    <w:p w14:paraId="0C711E88" w14:textId="77777777" w:rsidR="003754FE" w:rsidRDefault="003754FE" w:rsidP="003754FE">
      <w:pPr>
        <w:pStyle w:val="TextoNormal"/>
      </w:pPr>
      <w:r>
        <w:t>Los hechos enjuiciados en la “pieza específica” se delimitan material y cronológicamente en el fundamento de Derecho 3.4 (págs. 135-137) de la sentencia del Tribunal Supremo en estos términos:</w:t>
      </w:r>
    </w:p>
    <w:p w14:paraId="0C93FA13" w14:textId="77777777" w:rsidR="003754FE" w:rsidRDefault="003754FE" w:rsidP="003754FE">
      <w:pPr>
        <w:pStyle w:val="TextoNormal"/>
      </w:pPr>
    </w:p>
    <w:p w14:paraId="61FC6C82" w14:textId="77777777" w:rsidR="003754FE" w:rsidRDefault="003754FE" w:rsidP="003754FE">
      <w:pPr>
        <w:pStyle w:val="TextoNormal"/>
      </w:pPr>
      <w:r>
        <w:t xml:space="preserve">“(i) Temporalmente los hechos enjuiciados en esta causa son los acontecidos entre la elaboración de la primera modificación presupuestaria, cuya aprobación data del 18 de abril </w:t>
      </w:r>
      <w:r>
        <w:lastRenderedPageBreak/>
        <w:t>de 2000 y la aprobación de la última modificación presupuestaria que se produjo 1 de diciembre de 2009, por lo que cualquier hecho ocurrido fuera de esos márgenes temporales no ha sido objeto de enjuiciamiento en este proceso.</w:t>
      </w:r>
    </w:p>
    <w:p w14:paraId="2258DF57" w14:textId="77777777" w:rsidR="003754FE" w:rsidRDefault="003754FE" w:rsidP="003754FE">
      <w:pPr>
        <w:pStyle w:val="TextoNormal"/>
      </w:pPr>
    </w:p>
    <w:p w14:paraId="3D573AFB" w14:textId="77777777" w:rsidR="003754FE" w:rsidRDefault="003754FE" w:rsidP="003754FE">
      <w:pPr>
        <w:pStyle w:val="TextoNormal"/>
      </w:pPr>
      <w:r>
        <w:t>(ii) En relación con el delito de prevaricación las personas enjuiciadas y que han resultado condenadas lo han sido por adoptar las siguientes resoluciones:</w:t>
      </w:r>
    </w:p>
    <w:p w14:paraId="4C45006A" w14:textId="77777777" w:rsidR="003754FE" w:rsidRDefault="003754FE" w:rsidP="003754FE">
      <w:pPr>
        <w:pStyle w:val="TextoNormal"/>
      </w:pPr>
    </w:p>
    <w:p w14:paraId="3F5B584A" w14:textId="77777777" w:rsidR="003754FE" w:rsidRDefault="003754FE" w:rsidP="003754FE">
      <w:pPr>
        <w:pStyle w:val="TextoNormal"/>
      </w:pPr>
      <w:r>
        <w:t>-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14:paraId="55C3830B" w14:textId="77777777" w:rsidR="003754FE" w:rsidRDefault="003754FE" w:rsidP="003754FE">
      <w:pPr>
        <w:pStyle w:val="TextoNormal"/>
      </w:pPr>
    </w:p>
    <w:p w14:paraId="638898F8" w14:textId="77777777" w:rsidR="003754FE" w:rsidRDefault="003754FE" w:rsidP="003754FE">
      <w:pPr>
        <w:pStyle w:val="TextoNormal"/>
      </w:pPr>
      <w:r>
        <w:t>-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14:paraId="4FBDCC10" w14:textId="77777777" w:rsidR="003754FE" w:rsidRDefault="003754FE" w:rsidP="003754FE">
      <w:pPr>
        <w:pStyle w:val="TextoNormal"/>
      </w:pPr>
    </w:p>
    <w:p w14:paraId="2C96BB51" w14:textId="77777777" w:rsidR="003754FE" w:rsidRDefault="003754FE" w:rsidP="003754FE">
      <w:pPr>
        <w:pStyle w:val="TextoNormal"/>
      </w:pPr>
      <w:r>
        <w:t>-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14:paraId="78969912" w14:textId="77777777" w:rsidR="003754FE" w:rsidRDefault="003754FE" w:rsidP="003754FE">
      <w:pPr>
        <w:pStyle w:val="TextoNormal"/>
      </w:pPr>
    </w:p>
    <w:p w14:paraId="1AC8CC16" w14:textId="77777777" w:rsidR="003754FE" w:rsidRDefault="003754FE" w:rsidP="003754FE">
      <w:pPr>
        <w:pStyle w:val="TextoNormal"/>
      </w:pPr>
      <w:r>
        <w:t>-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14:paraId="4C5CC1A0" w14:textId="77777777" w:rsidR="003754FE" w:rsidRDefault="003754FE" w:rsidP="003754FE">
      <w:pPr>
        <w:pStyle w:val="TextoNormal"/>
      </w:pPr>
    </w:p>
    <w:p w14:paraId="524F51AE" w14:textId="77777777" w:rsidR="003754FE" w:rsidRDefault="003754FE" w:rsidP="003754FE">
      <w:pPr>
        <w:pStyle w:val="TextoNormal"/>
      </w:pPr>
      <w:r>
        <w:t>- Fraccionamiento de las cuantías de las ayudas a partir del 27 de mayo de 2003 en función de las cantidades asignadas a cada trabajador y no de las cantidades asignadas a las empresas, todo ello para sustraer su conocimiento del consejo rector del IFA.</w:t>
      </w:r>
    </w:p>
    <w:p w14:paraId="5D6BD6C8" w14:textId="77777777" w:rsidR="003754FE" w:rsidRDefault="003754FE" w:rsidP="003754FE">
      <w:pPr>
        <w:pStyle w:val="TextoNormal"/>
      </w:pPr>
    </w:p>
    <w:p w14:paraId="41A38834" w14:textId="77777777" w:rsidR="003754FE" w:rsidRDefault="003754FE" w:rsidP="003754FE">
      <w:pPr>
        <w:pStyle w:val="TextoNormal"/>
      </w:pPr>
      <w:r>
        <w:t>-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14:paraId="403E230D" w14:textId="77777777" w:rsidR="003754FE" w:rsidRDefault="003754FE" w:rsidP="003754FE">
      <w:pPr>
        <w:pStyle w:val="TextoNormal"/>
      </w:pPr>
    </w:p>
    <w:p w14:paraId="24069F99" w14:textId="77777777" w:rsidR="003754FE" w:rsidRDefault="003754FE" w:rsidP="003754FE">
      <w:pPr>
        <w:pStyle w:val="TextoNormal"/>
      </w:pPr>
      <w:r>
        <w:t>- Concesión de las ayudas sociolaborales.</w:t>
      </w:r>
    </w:p>
    <w:p w14:paraId="13984A48" w14:textId="77777777" w:rsidR="003754FE" w:rsidRDefault="003754FE" w:rsidP="003754FE">
      <w:pPr>
        <w:pStyle w:val="TextoNormal"/>
      </w:pPr>
    </w:p>
    <w:p w14:paraId="405BD0D6" w14:textId="77777777" w:rsidR="003754FE" w:rsidRDefault="003754FE" w:rsidP="003754FE">
      <w:pPr>
        <w:pStyle w:val="TextoNormal"/>
      </w:pPr>
      <w:r>
        <w:t>(iii) En relación con el delito de malversación de caudales públicos las personas enjuiciadas en este proceso y condenadas por este delito lo han sido bien por su participación directa en la disposición de fondos, bien por haber permitido esa disposición.</w:t>
      </w:r>
    </w:p>
    <w:p w14:paraId="277843BB" w14:textId="77777777" w:rsidR="003754FE" w:rsidRDefault="003754FE" w:rsidP="003754FE">
      <w:pPr>
        <w:pStyle w:val="TextoNormal"/>
      </w:pPr>
    </w:p>
    <w:p w14:paraId="6498330C" w14:textId="77777777" w:rsidR="003754FE" w:rsidRDefault="003754FE" w:rsidP="003754FE">
      <w:pPr>
        <w:pStyle w:val="TextoNormal"/>
      </w:pPr>
      <w:r>
        <w:t xml:space="preserve">Lógicamente la malversación tiene como soporte fáctico las disposiciones concretas de los fondos públicos y quienes han resultado condenados por este delito, lo han sido bien por </w:t>
      </w:r>
      <w:r>
        <w:lastRenderedPageBreak/>
        <w:t>su participación directa en las disposiciones de fondos, bien porque las permitieron, una vez tuvieron conocimiento de la forma en que se estaban aprobando y gestionando.</w:t>
      </w:r>
    </w:p>
    <w:p w14:paraId="06733E30" w14:textId="77777777" w:rsidR="003754FE" w:rsidRDefault="003754FE" w:rsidP="003754FE">
      <w:pPr>
        <w:pStyle w:val="TextoNormal"/>
      </w:pPr>
    </w:p>
    <w:p w14:paraId="24829330" w14:textId="77777777" w:rsidR="003754FE" w:rsidRDefault="003754FE" w:rsidP="003754FE">
      <w:pPr>
        <w:pStyle w:val="TextoNormal"/>
      </w:pPr>
      <w:r>
        <w:t>Entendemos que la condena por malversación incluye respecto de cada condenado a todas las disposiciones de fondos públicos realizadas durante el tiempo en que cada uno de ellos ejerció su cargo.</w:t>
      </w:r>
    </w:p>
    <w:p w14:paraId="23BB5CC4" w14:textId="77777777" w:rsidR="003754FE" w:rsidRDefault="003754FE" w:rsidP="003754FE">
      <w:pPr>
        <w:pStyle w:val="TextoNormal"/>
      </w:pPr>
    </w:p>
    <w:p w14:paraId="06B048AF" w14:textId="77777777" w:rsidR="003754FE" w:rsidRDefault="003754FE" w:rsidP="003754FE">
      <w:pPr>
        <w:pStyle w:val="TextoNormal"/>
      </w:pPr>
      <w:r>
        <w:t>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vigesimosegundo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14:paraId="5C0B6FBD" w14:textId="77777777" w:rsidR="003754FE" w:rsidRDefault="003754FE" w:rsidP="003754FE">
      <w:pPr>
        <w:pStyle w:val="TextoNormal"/>
      </w:pPr>
    </w:p>
    <w:p w14:paraId="732D9A28" w14:textId="77777777" w:rsidR="003754FE" w:rsidRDefault="003754FE" w:rsidP="003754FE">
      <w:pPr>
        <w:pStyle w:val="TextoNormal"/>
      </w:pPr>
      <w:r>
        <w:t>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14:paraId="3FD929C6" w14:textId="77777777" w:rsidR="003754FE" w:rsidRDefault="003754FE" w:rsidP="003754FE">
      <w:pPr>
        <w:pStyle w:val="TextoNormal"/>
      </w:pPr>
    </w:p>
    <w:p w14:paraId="559C73AD" w14:textId="77777777" w:rsidR="003754FE" w:rsidRDefault="003754FE" w:rsidP="003754FE">
      <w:pPr>
        <w:pStyle w:val="TextoNormal"/>
      </w:pPr>
      <w:r>
        <w:t>Este último subapartado C) resulta del siguiente tenor:</w:t>
      </w:r>
    </w:p>
    <w:p w14:paraId="417DB22B" w14:textId="77777777" w:rsidR="003754FE" w:rsidRDefault="003754FE" w:rsidP="003754FE">
      <w:pPr>
        <w:pStyle w:val="TextoNormal"/>
      </w:pPr>
    </w:p>
    <w:p w14:paraId="363D3604" w14:textId="77777777" w:rsidR="003754FE" w:rsidRDefault="003754FE" w:rsidP="003754FE">
      <w:pPr>
        <w:pStyle w:val="TextoNormal"/>
      </w:pPr>
      <w:r>
        <w:t>“C) Los fondos del programa 31L se emplearon también en fines distintos y ajenos a los recogidos en las fichas presupuestarias del mismo, así podemos reseñar que se abonó:</w:t>
      </w:r>
    </w:p>
    <w:p w14:paraId="7FC092FE" w14:textId="77777777" w:rsidR="003754FE" w:rsidRDefault="003754FE" w:rsidP="003754FE">
      <w:pPr>
        <w:pStyle w:val="TextoNormal"/>
      </w:pPr>
    </w:p>
    <w:p w14:paraId="5E456621" w14:textId="77777777" w:rsidR="003754FE" w:rsidRDefault="003754FE" w:rsidP="003754FE">
      <w:pPr>
        <w:pStyle w:val="TextoNormal"/>
      </w:pPr>
      <w:r>
        <w:t>• Facturas emitidas por las mercantiles Tapsa y Cicm, derivadas de varios contratos de campañas de comunicación sobre fomento de empleo y divulgación del SAE [Servicio Andaluz de Empleo], por un total de 3 386 017,00 €, que fueron abonadas por el Instituto, en el periodo de 15 de julio 2003 a 2 de marzo de 2004.</w:t>
      </w:r>
    </w:p>
    <w:p w14:paraId="71ACD35F" w14:textId="77777777" w:rsidR="003754FE" w:rsidRDefault="003754FE" w:rsidP="003754FE">
      <w:pPr>
        <w:pStyle w:val="TextoNormal"/>
      </w:pPr>
    </w:p>
    <w:p w14:paraId="2804FB31" w14:textId="77777777" w:rsidR="003754FE" w:rsidRDefault="003754FE" w:rsidP="003754FE">
      <w:pPr>
        <w:pStyle w:val="TextoNormal"/>
      </w:pPr>
      <w:r>
        <w:t>•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14:paraId="4BFCA7A6" w14:textId="77777777" w:rsidR="003754FE" w:rsidRDefault="003754FE" w:rsidP="003754FE">
      <w:pPr>
        <w:pStyle w:val="TextoNormal"/>
      </w:pPr>
    </w:p>
    <w:p w14:paraId="2E1A6870" w14:textId="77777777" w:rsidR="003754FE" w:rsidRDefault="003754FE" w:rsidP="003754FE">
      <w:pPr>
        <w:pStyle w:val="TextoNormal"/>
      </w:pPr>
      <w:r>
        <w:t>•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w:t>
      </w:r>
      <w:r w:rsidRPr="003754FE">
        <w:rPr>
          <w:i/>
        </w:rPr>
        <w:t>s on li</w:t>
      </w:r>
      <w:r>
        <w:t>ne.</w:t>
      </w:r>
    </w:p>
    <w:p w14:paraId="21A30F2E" w14:textId="77777777" w:rsidR="003754FE" w:rsidRDefault="003754FE" w:rsidP="003754FE">
      <w:pPr>
        <w:pStyle w:val="TextoNormal"/>
      </w:pPr>
    </w:p>
    <w:p w14:paraId="7AB91E77" w14:textId="77777777" w:rsidR="003754FE" w:rsidRDefault="003754FE" w:rsidP="003754FE">
      <w:pPr>
        <w:pStyle w:val="TextoNormal"/>
      </w:pPr>
      <w:r>
        <w:t>•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14:paraId="710307EE" w14:textId="77777777" w:rsidR="003754FE" w:rsidRDefault="003754FE" w:rsidP="003754FE">
      <w:pPr>
        <w:pStyle w:val="TextoNormal"/>
      </w:pPr>
    </w:p>
    <w:p w14:paraId="4B91D5BF" w14:textId="77777777" w:rsidR="003754FE" w:rsidRDefault="003754FE" w:rsidP="003754FE">
      <w:pPr>
        <w:pStyle w:val="TextoNormal"/>
      </w:pPr>
      <w:r>
        <w:t>•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14:paraId="0DBADF47" w14:textId="77777777" w:rsidR="003754FE" w:rsidRDefault="003754FE" w:rsidP="003754FE">
      <w:pPr>
        <w:pStyle w:val="TextoNormal"/>
      </w:pPr>
    </w:p>
    <w:p w14:paraId="51F0754D" w14:textId="77777777" w:rsidR="003754FE" w:rsidRDefault="003754FE" w:rsidP="003754FE">
      <w:pPr>
        <w:pStyle w:val="TextoNormal"/>
      </w:pPr>
      <w:r>
        <w:t>•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14:paraId="3BA7118D" w14:textId="77777777" w:rsidR="003754FE" w:rsidRDefault="003754FE" w:rsidP="003754FE">
      <w:pPr>
        <w:pStyle w:val="TextoNormal"/>
      </w:pPr>
    </w:p>
    <w:p w14:paraId="40DCE9EA" w14:textId="77777777" w:rsidR="003754FE" w:rsidRDefault="003754FE" w:rsidP="003754FE">
      <w:pPr>
        <w:pStyle w:val="TextoNormal"/>
      </w:pPr>
      <w:r>
        <w:t>• En los ejercicios 2004, 2005, 2006, 2009 y 2010, se destinaron 1 192 000 € para el pago a la Fundación San Telmo, del ‘Curso de alta dirección de instituciones sociales”, para un total de 100 personas”.</w:t>
      </w:r>
    </w:p>
    <w:p w14:paraId="750E4666" w14:textId="77777777" w:rsidR="003754FE" w:rsidRDefault="003754FE" w:rsidP="003754FE">
      <w:pPr>
        <w:pStyle w:val="TextoNormal"/>
      </w:pPr>
    </w:p>
    <w:p w14:paraId="4FB7D785" w14:textId="77777777" w:rsidR="003754FE" w:rsidRDefault="003754FE" w:rsidP="003754FE">
      <w:pPr>
        <w:pStyle w:val="TextoNormal"/>
      </w:pPr>
      <w:r>
        <w:t>2.4</w:t>
      </w:r>
      <w:r w:rsidRPr="003754FE">
        <w:rPr>
          <w:i/>
        </w:rPr>
        <w:t>. Hechos por los que ha sido condenado el demandante de ampa</w:t>
      </w:r>
      <w:r>
        <w:t>ro</w:t>
      </w:r>
    </w:p>
    <w:p w14:paraId="1005CCF4" w14:textId="77777777" w:rsidR="003754FE" w:rsidRDefault="003754FE" w:rsidP="003754FE">
      <w:pPr>
        <w:pStyle w:val="TextoNormal"/>
      </w:pPr>
    </w:p>
    <w:p w14:paraId="0240A244" w14:textId="77777777" w:rsidR="003754FE" w:rsidRDefault="003754FE" w:rsidP="003754FE">
      <w:pPr>
        <w:pStyle w:val="TextoNormal"/>
      </w:pPr>
      <w:r>
        <w:t>A partir de los hechos probados y la valoración de la prueba contenidos en la sentencia de la Audiencia Provincial de Sevilla (fundamento de Derecho 41, págs. 1540-1588), el fundamento fáctico de la condena de don Manuel Chaves González (presidente de la Junta de Andalucía desde 27 de julio de 1990 a 7 de abril de 2009) se refiere a diferentes tipos de actuaciones.</w:t>
      </w:r>
    </w:p>
    <w:p w14:paraId="30511683" w14:textId="77777777" w:rsidR="003754FE" w:rsidRDefault="003754FE" w:rsidP="003754FE">
      <w:pPr>
        <w:pStyle w:val="TextoNormal"/>
      </w:pPr>
    </w:p>
    <w:p w14:paraId="7D85740F" w14:textId="77777777" w:rsidR="003754FE" w:rsidRDefault="003754FE" w:rsidP="003754FE">
      <w:pPr>
        <w:pStyle w:val="TextoNormal"/>
      </w:pPr>
      <w:r>
        <w:t>(i) Como presidente de la Junta de Andalucía y miembro de su Consejo de Gobierno, con conocimiento de los incumplimientos normativos derivados del inadecuado uso del instrumento de transferencias de financiación, participó en la aprobación de los anteproyectos de leyes de presupuestos para los ejercicios de los años 2002 a 2009 y los envió como proyectos de ley al Parlamento (Pág. 1567). Los anteproyectos de ley contenían la aplicación presupuestaria “Transferencias al IFA en materia de relaciones laborales”—concepto 440.00—, en el nuevo programa 31L, que sustituyó al 22E, hasta entonces vigente.</w:t>
      </w:r>
    </w:p>
    <w:p w14:paraId="53089454" w14:textId="77777777" w:rsidR="003754FE" w:rsidRDefault="003754FE" w:rsidP="003754FE">
      <w:pPr>
        <w:pStyle w:val="TextoNormal"/>
      </w:pPr>
    </w:p>
    <w:p w14:paraId="57DB3097" w14:textId="77777777" w:rsidR="003754FE" w:rsidRDefault="003754FE" w:rsidP="003754FE">
      <w:pPr>
        <w:pStyle w:val="TextoNormal"/>
      </w:pPr>
      <w:r>
        <w:t xml:space="preserve">(ii) Como presidente de la Junta de Andalucía participó, también, en la aprobación de las modificaciones presupuestarias efectuadas desde 2000 a 2008, en las que, haciendo un uso </w:t>
      </w:r>
      <w:r>
        <w:lastRenderedPageBreak/>
        <w:t>inadecuado de las trasferencias de financiación, se incrementaron los programas 22E y 31L en materia de relaciones laborales. Lo que se pretendía con dichas modificaciones presupuestarias era, según las resoluciones impugnadas, eludir la tramitación de los expedientes de concesión de subvenciones, con los requisitos legalmente establecidos para su otorgamiento, así como la fiscalización previa por parte de la Intervención.</w:t>
      </w:r>
    </w:p>
    <w:p w14:paraId="5AB4E90E" w14:textId="77777777" w:rsidR="003754FE" w:rsidRDefault="003754FE" w:rsidP="003754FE">
      <w:pPr>
        <w:pStyle w:val="TextoNormal"/>
      </w:pPr>
    </w:p>
    <w:p w14:paraId="4A5A4593" w14:textId="77777777" w:rsidR="003754FE" w:rsidRDefault="003754FE" w:rsidP="003754FE">
      <w:pPr>
        <w:pStyle w:val="TextoNormal"/>
      </w:pPr>
      <w:r>
        <w:t>La sentencia considera acreditada la participación del recurrente en las siguientes modificaciones presupuestarias:</w:t>
      </w:r>
    </w:p>
    <w:p w14:paraId="2599FEF4" w14:textId="77777777" w:rsidR="003754FE" w:rsidRDefault="003754FE" w:rsidP="003754FE">
      <w:pPr>
        <w:pStyle w:val="TextoNormal"/>
      </w:pPr>
    </w:p>
    <w:p w14:paraId="609B21FA" w14:textId="77777777" w:rsidR="003754FE" w:rsidRDefault="003754FE" w:rsidP="003754FE">
      <w:pPr>
        <w:pStyle w:val="TextoNormal"/>
      </w:pPr>
      <w:r>
        <w:t>- 18 de abril de 2000, donde se incrementó en 257 000 000 pesetas la aplicación presupuestaria 440.12.22E, dando de baja la aplicación 472.00.22E;</w:t>
      </w:r>
    </w:p>
    <w:p w14:paraId="77B018F2" w14:textId="77777777" w:rsidR="003754FE" w:rsidRDefault="003754FE" w:rsidP="003754FE">
      <w:pPr>
        <w:pStyle w:val="TextoNormal"/>
      </w:pPr>
    </w:p>
    <w:p w14:paraId="2FF2B219" w14:textId="77777777" w:rsidR="003754FE" w:rsidRDefault="003754FE" w:rsidP="003754FE">
      <w:pPr>
        <w:pStyle w:val="TextoNormal"/>
      </w:pPr>
      <w:r>
        <w:t>- 28 de julio de 2000, donde se incrementó en 904 000 000 pesetas la aplicación 440.01.22E, dando de baja la aplicación 481.00.22E;</w:t>
      </w:r>
    </w:p>
    <w:p w14:paraId="03A5F89D" w14:textId="77777777" w:rsidR="003754FE" w:rsidRDefault="003754FE" w:rsidP="003754FE">
      <w:pPr>
        <w:pStyle w:val="TextoNormal"/>
      </w:pPr>
    </w:p>
    <w:p w14:paraId="40FBD3B0" w14:textId="77777777" w:rsidR="003754FE" w:rsidRDefault="003754FE" w:rsidP="003754FE">
      <w:pPr>
        <w:pStyle w:val="TextoNormal"/>
      </w:pPr>
      <w:r>
        <w:t>- 29 de mayo de 2001, donde se incrementó en 5 573 000 pesetas la partida 440.00.22E, dando de baja otros conceptos;</w:t>
      </w:r>
    </w:p>
    <w:p w14:paraId="268E58EB" w14:textId="77777777" w:rsidR="003754FE" w:rsidRDefault="003754FE" w:rsidP="003754FE">
      <w:pPr>
        <w:pStyle w:val="TextoNormal"/>
      </w:pPr>
    </w:p>
    <w:p w14:paraId="1F4B56A4" w14:textId="77777777" w:rsidR="003754FE" w:rsidRDefault="003754FE" w:rsidP="003754FE">
      <w:pPr>
        <w:pStyle w:val="TextoNormal"/>
      </w:pPr>
      <w:r>
        <w:t>-18 de septiembre de 2001, donde se incrementó en 1 250 000 000 pesetas la aplicación 440.00.22E, dando de baja la aplicación 486.00.22E;</w:t>
      </w:r>
    </w:p>
    <w:p w14:paraId="5DADDA64" w14:textId="77777777" w:rsidR="003754FE" w:rsidRDefault="003754FE" w:rsidP="003754FE">
      <w:pPr>
        <w:pStyle w:val="TextoNormal"/>
      </w:pPr>
    </w:p>
    <w:p w14:paraId="70199E7A" w14:textId="77777777" w:rsidR="003754FE" w:rsidRDefault="003754FE" w:rsidP="003754FE">
      <w:pPr>
        <w:pStyle w:val="TextoNormal"/>
      </w:pPr>
      <w:r>
        <w:t>- 13 de noviembre de 2001, donde se incrementó en 660 000 000 pesetas la aplicación 440.00.22E, dando de baja la aplicación 486.00.22E;</w:t>
      </w:r>
    </w:p>
    <w:p w14:paraId="66A6E264" w14:textId="77777777" w:rsidR="003754FE" w:rsidRDefault="003754FE" w:rsidP="003754FE">
      <w:pPr>
        <w:pStyle w:val="TextoNormal"/>
      </w:pPr>
    </w:p>
    <w:p w14:paraId="06955C98" w14:textId="77777777" w:rsidR="003754FE" w:rsidRDefault="003754FE" w:rsidP="003754FE">
      <w:pPr>
        <w:pStyle w:val="TextoNormal"/>
      </w:pPr>
      <w:r>
        <w:t>- 15 de octubre de 2002, donde se incrementó en 9 944 099 € la partida 440.00.31L, dando de baja otras aplicaciones presupuestarias;</w:t>
      </w:r>
    </w:p>
    <w:p w14:paraId="4CC00A36" w14:textId="77777777" w:rsidR="003754FE" w:rsidRDefault="003754FE" w:rsidP="003754FE">
      <w:pPr>
        <w:pStyle w:val="TextoNormal"/>
      </w:pPr>
    </w:p>
    <w:p w14:paraId="195DC047" w14:textId="77777777" w:rsidR="003754FE" w:rsidRDefault="003754FE" w:rsidP="003754FE">
      <w:pPr>
        <w:pStyle w:val="TextoNormal"/>
      </w:pPr>
      <w:r>
        <w:t>- 9 de diciembre de 2004, en la que se incrementó en 2 994 876 € el programa 32H “Servicio Andaluz de Empleo”. Según las resoluciones judiciales impugnadas, dicha modificación presupuestaria era ilegal al ser contraria a la clasificación económica del gasto, dado que los créditos eran vinculantes de acuerdo con dicha clasificación (art. 38 de la Ley general de la hacienda pública de Andalucía).</w:t>
      </w:r>
    </w:p>
    <w:p w14:paraId="4F6C4EF9" w14:textId="77777777" w:rsidR="003754FE" w:rsidRDefault="003754FE" w:rsidP="003754FE">
      <w:pPr>
        <w:pStyle w:val="TextoNormal"/>
      </w:pPr>
    </w:p>
    <w:p w14:paraId="0AC14F95" w14:textId="77777777" w:rsidR="003754FE" w:rsidRDefault="003754FE" w:rsidP="003754FE">
      <w:pPr>
        <w:pStyle w:val="TextoNormal"/>
      </w:pPr>
      <w:r>
        <w:t>- 7 de diciembre de 2005, donde se incrementó en 799 895,97 € la aplicación presupuestaria 440.51.31L, dando de baja las aplicaciones 480.01, 480.03, 480.13 del programa 31L;</w:t>
      </w:r>
    </w:p>
    <w:p w14:paraId="46E17CDF" w14:textId="77777777" w:rsidR="003754FE" w:rsidRDefault="003754FE" w:rsidP="003754FE">
      <w:pPr>
        <w:pStyle w:val="TextoNormal"/>
      </w:pPr>
    </w:p>
    <w:p w14:paraId="7F792C88" w14:textId="77777777" w:rsidR="003754FE" w:rsidRDefault="003754FE" w:rsidP="003754FE">
      <w:pPr>
        <w:pStyle w:val="TextoNormal"/>
      </w:pPr>
      <w:r>
        <w:t>-7 de noviembre de 2006, en la que se incrementó en 9 300 000 € la aplicación presupuestaria 440.51.31L, dando de baja las aplicaciones del programa 32A;</w:t>
      </w:r>
    </w:p>
    <w:p w14:paraId="4B0D72A0" w14:textId="77777777" w:rsidR="003754FE" w:rsidRDefault="003754FE" w:rsidP="003754FE">
      <w:pPr>
        <w:pStyle w:val="TextoNormal"/>
      </w:pPr>
    </w:p>
    <w:p w14:paraId="03DE045B" w14:textId="77777777" w:rsidR="003754FE" w:rsidRDefault="003754FE" w:rsidP="003754FE">
      <w:pPr>
        <w:pStyle w:val="TextoNormal"/>
      </w:pPr>
      <w:r>
        <w:t>- 27 de noviembre de 2007, mediante la cual se incrementó en 7 448 503,44 € la aplicación presupuestaria 440.51.31L dando de baja otras aplicaciones;</w:t>
      </w:r>
    </w:p>
    <w:p w14:paraId="4ADE39E4" w14:textId="77777777" w:rsidR="003754FE" w:rsidRDefault="003754FE" w:rsidP="003754FE">
      <w:pPr>
        <w:pStyle w:val="TextoNormal"/>
      </w:pPr>
    </w:p>
    <w:p w14:paraId="39A8864A" w14:textId="4AD6B3C1" w:rsidR="003754FE" w:rsidRDefault="003754FE" w:rsidP="003754FE">
      <w:pPr>
        <w:pStyle w:val="TextoNormal"/>
      </w:pPr>
      <w:r>
        <w:t>- el 22 de diciembre de 2008 se aprobaron tres modificaciones presupuestarias que incrementaron el programa 31L: una por importe de 1 253 853,89 €, otra por importe de 6 011 836,20 € y la tercera por importe de 8 000 000 €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w:t>
      </w:r>
    </w:p>
    <w:p w14:paraId="7F8ED036" w14:textId="77777777" w:rsidR="003754FE" w:rsidRDefault="003754FE" w:rsidP="003754FE">
      <w:pPr>
        <w:pStyle w:val="TextoNormal"/>
      </w:pPr>
    </w:p>
    <w:p w14:paraId="1FBE337B" w14:textId="77777777" w:rsidR="003754FE" w:rsidRDefault="003754FE" w:rsidP="003754FE">
      <w:pPr>
        <w:pStyle w:val="TextoNormal"/>
      </w:pPr>
      <w:r w:rsidRPr="003754FE">
        <w:rPr>
          <w:rStyle w:val="NumeroAFNegritaCaracter"/>
        </w:rPr>
        <w:t>3</w:t>
      </w:r>
      <w:r>
        <w:t xml:space="preserve">. </w:t>
      </w:r>
      <w:r w:rsidRPr="003754FE">
        <w:rPr>
          <w:i/>
        </w:rPr>
        <w:t>Vulneración del derecho a la legalidad penal (art. 25.1 CE) derivada de la condena por el delito de prevaricación del art. 404 CP</w:t>
      </w:r>
    </w:p>
    <w:p w14:paraId="7C7098C6" w14:textId="77777777" w:rsidR="003754FE" w:rsidRDefault="003754FE" w:rsidP="003754FE">
      <w:pPr>
        <w:pStyle w:val="TextoNormal"/>
      </w:pPr>
    </w:p>
    <w:p w14:paraId="0C40D819" w14:textId="77777777" w:rsidR="003754FE" w:rsidRDefault="003754FE" w:rsidP="003754FE">
      <w:pPr>
        <w:pStyle w:val="TextoNormal"/>
      </w:pPr>
      <w:r>
        <w:t xml:space="preserve">3.1 </w:t>
      </w:r>
      <w:r w:rsidRPr="003754FE">
        <w:rPr>
          <w:i/>
        </w:rPr>
        <w:t>Exposición de la queja del recurrente y de las posiciones de las partes personadas</w:t>
      </w:r>
    </w:p>
    <w:p w14:paraId="0926CD94" w14:textId="77777777" w:rsidR="003754FE" w:rsidRDefault="003754FE" w:rsidP="003754FE">
      <w:pPr>
        <w:pStyle w:val="TextoNormal"/>
      </w:pPr>
    </w:p>
    <w:p w14:paraId="6E8740ED" w14:textId="77777777" w:rsidR="003754FE" w:rsidRDefault="003754FE" w:rsidP="003754FE">
      <w:pPr>
        <w:pStyle w:val="TextoNormal"/>
      </w:pPr>
      <w:r>
        <w:t xml:space="preserve">a) Como ya se ha expuesto, el demandante de amparo, en su condición de presidente del Consejo de Gobierno de Andalucía, fue condenado por la comisión de un delito continuado de prevaricación por elaborar los anteproyectos de leyes de presupuestos, por aprobarlos como proyectos de ley en el Consejo de Gobierno y por la realización de modificaciones presupuestarias. Fundamenta su recurso en que las resoluciones impugnadas han realizado una interpretación imprevisible y extensiva de los elementos del tipo del delito de prevaricación (art. 404 CP) que infringe el art. 25.1 CE. En concreto, aduce que las actuaciones realizadas con ocasión de la elaboración de los anteproyectos de leyes de presupuestos y el hecho de haber presidido el Consejo de Gobierno en su aprobación como proyectos de ley no pueden considerarse “resoluciones” a los efectos de lo dispuesto en el citado artículo del Código penal. También alega que no cabe entender que tales actos hayan recaído en un “asunto administrativo” ni que puedan calificarse de “arbitrarios”. Afirma que la Sala de lo Penal del Tribunal Supremo ha considerado, </w:t>
      </w:r>
      <w:r w:rsidRPr="003754FE">
        <w:rPr>
          <w:i/>
        </w:rPr>
        <w:t>de facto</w:t>
      </w:r>
      <w:r>
        <w:t>, inconstitucionales las sucesivas leyes de presupuestos de Andalucía sin plantear la correspondiente cuestión de inconstitucionalidad. Aduce también que esta vertiente del principio de legalidad penal ha sido vulnerada por los órganos judiciales al apreciar que las modificaciones presupuestarias por las que ha sido condenado pueden subsumirse en el art. 404 CP a pesar de que estas tienen rango o valor de ley.</w:t>
      </w:r>
    </w:p>
    <w:p w14:paraId="0D40E3A8" w14:textId="77777777" w:rsidR="003754FE" w:rsidRDefault="003754FE" w:rsidP="003754FE">
      <w:pPr>
        <w:pStyle w:val="TextoNormal"/>
      </w:pPr>
    </w:p>
    <w:p w14:paraId="6A334BA3" w14:textId="77777777" w:rsidR="003754FE" w:rsidRDefault="003754FE" w:rsidP="003754FE">
      <w:pPr>
        <w:pStyle w:val="TextoNormal"/>
      </w:pPr>
      <w:r>
        <w:t>b) El Partido Popular se opone a la estimación de la queja toda vez que, a su juicio, los hechos por los que el recurrente ha sido condenado se adoptaron para conseguir una finalidad palmariamente ilegal, consistente en evitar los controles propios de las subvenciones. Por lo que se refiere a los actos prelegislativos, la representación del Partido Popular afirma que las sentencias impugnadas basan su fallo en que se adoptaron contraviniendo lo dispuesto en el ordenamiento jurídico, con cita de antecedentes jurisprudenciales, lo que pone de relieve que la aplicación del tipo no es imprevisible. Aduce también que las tesis del recurrente no podrían extenderse a las modificaciones presupuestarias.</w:t>
      </w:r>
    </w:p>
    <w:p w14:paraId="3B9995C4" w14:textId="77777777" w:rsidR="003754FE" w:rsidRDefault="003754FE" w:rsidP="003754FE">
      <w:pPr>
        <w:pStyle w:val="TextoNormal"/>
      </w:pPr>
    </w:p>
    <w:p w14:paraId="3A6EB981" w14:textId="77777777" w:rsidR="003754FE" w:rsidRDefault="003754FE" w:rsidP="003754FE">
      <w:pPr>
        <w:pStyle w:val="TextoNormal"/>
      </w:pPr>
      <w:r>
        <w:t xml:space="preserve">c) La representación procesal de los señores Rodríguez Román y Vallejo Serrano ha realizado consideraciones de fondo referidas a que las sentencias impugnadas son contrarias al art. 25.1 CE debido a que llevan a cabo una interpretación extensiva e </w:t>
      </w:r>
      <w:r w:rsidRPr="003754FE">
        <w:rPr>
          <w:i/>
        </w:rPr>
        <w:t>in malam partem</w:t>
      </w:r>
      <w:r>
        <w:t xml:space="preserve"> de los términos “resolución” y “asunto administrativo” del art. 404 CP. Consideran que la elaboración de un proyecto de ley no puede ser nunca constitutiva de un delito de prevaricación.</w:t>
      </w:r>
    </w:p>
    <w:p w14:paraId="602E64B8" w14:textId="77777777" w:rsidR="003754FE" w:rsidRDefault="003754FE" w:rsidP="003754FE">
      <w:pPr>
        <w:pStyle w:val="TextoNormal"/>
      </w:pPr>
    </w:p>
    <w:p w14:paraId="47E0DB94" w14:textId="77777777" w:rsidR="003754FE" w:rsidRDefault="003754FE" w:rsidP="003754FE">
      <w:pPr>
        <w:pStyle w:val="TextoNormal"/>
      </w:pPr>
      <w:r>
        <w:t xml:space="preserve">d) El Ministerio Fiscal sostiene que la condena impuesta por haber participado en la elaboración de anteproyectos de ley, así como por su posterior aprobación en el Consejo de Gobierno, es imprevisible y, por tanto, lesiva del derecho a la legalidad penal (art. 25.1 CE). Fiscalizar penalmente los proyectos de ley supone, según afirma, desapoderar a las Cortes Generales de una facultad que les corresponde en exclusiva, vulnerando así el principio de separación de poderes. Dichas conclusiones, según sostiene esta parte procesal, no resultan </w:t>
      </w:r>
      <w:r>
        <w:lastRenderedPageBreak/>
        <w:t>extrapolables a las modificaciones presupuestarias ya que sí pueden ser consideradas decisiones de naturaleza administrativa.</w:t>
      </w:r>
    </w:p>
    <w:p w14:paraId="01789A98" w14:textId="77777777" w:rsidR="003754FE" w:rsidRDefault="003754FE" w:rsidP="003754FE">
      <w:pPr>
        <w:pStyle w:val="TextoNormal"/>
      </w:pPr>
    </w:p>
    <w:p w14:paraId="53B78CC2" w14:textId="77777777" w:rsidR="003754FE" w:rsidRDefault="003754FE" w:rsidP="003754FE">
      <w:pPr>
        <w:pStyle w:val="TextoNormal"/>
      </w:pPr>
      <w:r>
        <w:t xml:space="preserve">3.2. </w:t>
      </w:r>
      <w:r w:rsidRPr="003754FE">
        <w:rPr>
          <w:i/>
        </w:rPr>
        <w:t>Síntesis de los argumentos en los que las resoluciones judiciales fundamentan la condena del recurrente</w:t>
      </w:r>
    </w:p>
    <w:p w14:paraId="63E18C7A" w14:textId="77777777" w:rsidR="003754FE" w:rsidRDefault="003754FE" w:rsidP="003754FE">
      <w:pPr>
        <w:pStyle w:val="TextoNormal"/>
      </w:pPr>
    </w:p>
    <w:p w14:paraId="462D10E3" w14:textId="77777777" w:rsidR="003754FE" w:rsidRDefault="003754FE" w:rsidP="003754FE">
      <w:pPr>
        <w:pStyle w:val="TextoNormal"/>
      </w:pPr>
      <w:r>
        <w:t>Las alegaciones aducidas por el recurrente en la vía judicial fueron rechazadas por las resoluciones impugnadas en virtud de los argumentos que, resumidamente, se exponen a continuación:</w:t>
      </w:r>
    </w:p>
    <w:p w14:paraId="3CF18745" w14:textId="77777777" w:rsidR="003754FE" w:rsidRDefault="003754FE" w:rsidP="003754FE">
      <w:pPr>
        <w:pStyle w:val="TextoNormal"/>
      </w:pPr>
    </w:p>
    <w:p w14:paraId="47E3477C" w14:textId="77777777" w:rsidR="003754FE" w:rsidRDefault="003754FE" w:rsidP="003754FE">
      <w:pPr>
        <w:pStyle w:val="TextoNormal"/>
      </w:pPr>
      <w:r>
        <w:t>(i) La Sala de lo Penal del Tribunal Supremo rechaza las alegaciones del recurrente en las que, basándose en la jurisprudencia constitucional y en la de la Sala de lo Contencioso-Administrativo del Tribunal Supremo, sostiene que no pueden considerarse resolución recaída en un asunto administrativo las actuaciones llevadas a cabo con ocasión de la elaboración de un anteproyecto ni a su aprobación como proyecto de ley. La Sala de lo Penal afirma que esta cuestión debe tener otro enfoque “cuando se trata de determinar qué deb[e] entenderse por asunto administrativo a efectos penales”. Sostiene que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[concluye la Sala] posibilitaría un ámbito de inmunidad difícilmente justificable” (fundamento de Derecho 20.3, págs. 238-239).</w:t>
      </w:r>
    </w:p>
    <w:p w14:paraId="56C59FE2" w14:textId="77777777" w:rsidR="003754FE" w:rsidRDefault="003754FE" w:rsidP="003754FE">
      <w:pPr>
        <w:pStyle w:val="TextoNormal"/>
      </w:pPr>
    </w:p>
    <w:p w14:paraId="66F78103" w14:textId="77777777" w:rsidR="003754FE" w:rsidRDefault="003754FE" w:rsidP="003754FE">
      <w:pPr>
        <w:pStyle w:val="TextoNormal"/>
      </w:pPr>
      <w:r>
        <w:t>(ii) La sentencia de la Sala de lo Penal afirma que “los procedimientos reglados que culminan en la decisión de elevar un proyecto de ley al Gobierno no son actos propiamente legislativos, sino actos de gobierno que, por ser reglados, pueden ser el contexto objetivo para la comisión de un delito de prevaricación” (fundamento de Derecho 20.3, pág. 239).</w:t>
      </w:r>
    </w:p>
    <w:p w14:paraId="3F284438" w14:textId="77777777" w:rsidR="003754FE" w:rsidRDefault="003754FE" w:rsidP="003754FE">
      <w:pPr>
        <w:pStyle w:val="TextoNormal"/>
      </w:pPr>
    </w:p>
    <w:p w14:paraId="450FA746" w14:textId="77777777" w:rsidR="003754FE" w:rsidRDefault="003754FE" w:rsidP="003754FE">
      <w:pPr>
        <w:pStyle w:val="TextoNormal"/>
      </w:pPr>
      <w:r>
        <w:t>(iii) También considera que “lo que se debe determinar en este caso no es si las resoluciones adoptadas en el proceso prelegislativo son susceptibles de control por la jurisdicción contencioso-administrativa, cuestión que es ajena a la jurisdicción penal, sino si esas resoluciones pueden cumplir con las exigencias típicas del artículo 404 del Código penal, que es sustancialmente diferente” (fundamento de Derecho 21.2, pág. 245).</w:t>
      </w:r>
    </w:p>
    <w:p w14:paraId="4B1C36B6" w14:textId="77777777" w:rsidR="003754FE" w:rsidRDefault="003754FE" w:rsidP="003754FE">
      <w:pPr>
        <w:pStyle w:val="TextoNormal"/>
      </w:pPr>
    </w:p>
    <w:p w14:paraId="142D2EC8" w14:textId="77777777" w:rsidR="003754FE" w:rsidRDefault="003754FE" w:rsidP="003754FE">
      <w:pPr>
        <w:pStyle w:val="TextoNormal"/>
      </w:pPr>
      <w:r>
        <w:t xml:space="preserve">(iv) La sentencia de la Sala de lo Penal, a los efectos de determinar si concurren los elementos típicos del delito de prevaricación distingue, por una parte, “entre la decisión de elevar un proyecto de ley al Gobierno así como el contenido del proyecto normativo, en cuanto incorpora decisiones sujetas a criterios de oportunidad y discrecionalidad, que es un acto de gobierno inmune al control jurisdiccional” y, por otra,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[se afirma en la sentencia impugnada] que la ley imponga unas reglas en la elaboración del proyecto de ley o de una norma con fuerza de ley y que </w:t>
      </w:r>
      <w:r>
        <w:lastRenderedPageBreak/>
        <w:t>esas reglas imperativas puedan ser desconocidas sin consecuencias, cuando lo pretendido sea violar de forma patente y arbitraria la ley” (fundamento de Derecho 21.2, pág. 246).</w:t>
      </w:r>
    </w:p>
    <w:p w14:paraId="54D6F505" w14:textId="77777777" w:rsidR="003754FE" w:rsidRDefault="003754FE" w:rsidP="003754FE">
      <w:pPr>
        <w:pStyle w:val="TextoNormal"/>
      </w:pPr>
    </w:p>
    <w:p w14:paraId="5F29B142" w14:textId="77777777" w:rsidR="003754FE" w:rsidRDefault="003754FE" w:rsidP="003754FE">
      <w:pPr>
        <w:pStyle w:val="TextoNormal"/>
      </w:pPr>
      <w:r>
        <w:t>(v) Las consideraciones expuestas llevan al Tribunal Supremo a concluir que “las resoluciones dictadas relativas a este segundo contenido [las adoptadas en la elaboración del anteproyecto y proyecto de ley] no son actos de gobierno inmunes al control de la jurisdicción penal, sino ‘resoluciones en asunto administrativo’, a los efectos del artículo 404 del Código penal” (fundamento de Derecho 21.2, pág. 246).</w:t>
      </w:r>
    </w:p>
    <w:p w14:paraId="62D14F7B" w14:textId="77777777" w:rsidR="003754FE" w:rsidRDefault="003754FE" w:rsidP="003754FE">
      <w:pPr>
        <w:pStyle w:val="TextoNormal"/>
      </w:pPr>
    </w:p>
    <w:p w14:paraId="360E257F" w14:textId="77777777" w:rsidR="003754FE" w:rsidRDefault="003754FE" w:rsidP="003754FE">
      <w:pPr>
        <w:pStyle w:val="TextoNormal"/>
      </w:pPr>
      <w:r>
        <w:t>(vi) Con invocación de sus propios precedentes, la Sala concluye “que el concepto de resolución al que alude el artículo 404 CP no se reduce a la decisión que pone fin a un procedimiento administrativo, sino que puede extenderse a actuaciones posteriores que ejecutan la resolución y actuaciones anteriores de relevancia que hayan sido imprescindibles para adoptar la resolución final quebrantando los controles establecidos en la ley” (fundamento de Derecho 22, pág. 253).</w:t>
      </w:r>
    </w:p>
    <w:p w14:paraId="2BEA1167" w14:textId="77777777" w:rsidR="003754FE" w:rsidRDefault="003754FE" w:rsidP="003754FE">
      <w:pPr>
        <w:pStyle w:val="TextoNormal"/>
      </w:pPr>
    </w:p>
    <w:p w14:paraId="29A2919C" w14:textId="77777777" w:rsidR="003754FE" w:rsidRDefault="003754FE" w:rsidP="003754FE">
      <w:pPr>
        <w:pStyle w:val="TextoNormal"/>
      </w:pPr>
      <w:r>
        <w:t>(vii) Las consideraciones expuestas llevan al Tribunal Supremo a afirmar que la elaboración de un anteproyecto de ley, su aprobación como proyecto, así como el proceso de elaboración y aprobación de una modificación presupuestaria pueden ser calificadas como resolución en asunto administrativo en el sentido del art. 404 CP.</w:t>
      </w:r>
    </w:p>
    <w:p w14:paraId="3CA1DDBF" w14:textId="77777777" w:rsidR="003754FE" w:rsidRDefault="003754FE" w:rsidP="003754FE">
      <w:pPr>
        <w:pStyle w:val="TextoNormal"/>
      </w:pPr>
    </w:p>
    <w:p w14:paraId="1DC06151" w14:textId="77777777" w:rsidR="003754FE" w:rsidRDefault="003754FE" w:rsidP="003754FE">
      <w:pPr>
        <w:pStyle w:val="TextoNormal"/>
      </w:pPr>
      <w:r>
        <w:t>(viii) El Tribunal Supremo sostiene que no es admisible calificar “el procedimiento prelegislativo como un conjunto de simples ‘actos de trámite’, sin relevancia o carentes de efecto alguno y que lo que finalmente se aprueba por el Gobierno autonómico es un documento sin valor jurídico alguno y sin efectos”, como sostuvo el ahora demandante de amparo (fundamento de Derecho 23.3, pág. 263). Según la Sala “[a]lgunos de los actos de ese procedimiento tienen contenido decisorio en la medida en que las autoridades administrativas al aprobar el proyecto en cada una de sus fases debían examinarlo y comprobar su legalidad. Esas autoridades tenían la potestad de rechazar el proyecto de ley o de modificarlo para que, al margen de la decisión política de fondo sobre la materia presupuestaria, cumpliera con las exigencias de legalidad tanto en su tramitación como en su contenido. Esas autoridades aprobaron los proyectos de ley en cada una de sus fases a sabiendas de su ilegalidad y con la deliberada intención de suprimir los controles formales establecidos por el legislador, y lo consiguieron” (fundamento 23.3, pág. 263). Se sostiene además que “[e]l hecho de que los proyectos de ley fueran finalmente aprobados no es obstáculo para atribuir relevancia penal a las resoluciones aludidas, dado que la consumación del delito se produce con el dictado de la resolución injusta, siendo irrelevante que el Parlamento no detectara la ilegalidad” (fundamento 23.3, pág. 263). Por todo ello afirma que “los acuerdos del Consejo de Gobierno que pusieron fin al proceso administrativo y que produjeron como efecto la remisión del proyecto al Parlamento con un contenido ilegal, directamente dirigido a eludir los controles de todo tipo existente en la concesión de subvenciones, constituyen resoluciones arbitrarias a los efectos del artículo 404 CP” (fundamento 23.3, pág. 264).</w:t>
      </w:r>
    </w:p>
    <w:p w14:paraId="68D8719A" w14:textId="77777777" w:rsidR="003754FE" w:rsidRDefault="003754FE" w:rsidP="003754FE">
      <w:pPr>
        <w:pStyle w:val="TextoNormal"/>
      </w:pPr>
    </w:p>
    <w:p w14:paraId="6706C51A" w14:textId="77777777" w:rsidR="003754FE" w:rsidRDefault="003754FE" w:rsidP="003754FE">
      <w:pPr>
        <w:pStyle w:val="TextoNormal"/>
      </w:pPr>
      <w:r>
        <w:t xml:space="preserve">(ix) Por lo que se refiere a las modificaciones presupuestarias, el Tribunal Supremo considera que el hecho de que “fuer[a]n comunicadas posteriormente al Parlamento o incluidas en la cuenta general no es óbice para estimar que las resoluciones dictadas en el trámite de elaboración y aprobación de tales modificaciones sean actos de trámite, carentes de efectos </w:t>
      </w:r>
      <w:r w:rsidRPr="003754FE">
        <w:rPr>
          <w:i/>
        </w:rPr>
        <w:lastRenderedPageBreak/>
        <w:t>ad extra</w:t>
      </w:r>
      <w:r>
        <w:t>, y no merezcan la consideración de resolución a los efectos del art. 404 CP” (fundamento de Derecho 23.3, pág. 266).</w:t>
      </w:r>
    </w:p>
    <w:p w14:paraId="4C23485D" w14:textId="77777777" w:rsidR="003754FE" w:rsidRDefault="003754FE" w:rsidP="003754FE">
      <w:pPr>
        <w:pStyle w:val="TextoNormal"/>
      </w:pPr>
    </w:p>
    <w:p w14:paraId="0F0DC712" w14:textId="77777777" w:rsidR="003754FE" w:rsidRDefault="003754FE" w:rsidP="003754FE">
      <w:pPr>
        <w:pStyle w:val="TextoNormal"/>
      </w:pPr>
      <w:r>
        <w:t>Según la Sala Segunda, la decisión aprobatoria de las modificaciones presupuestarias fue adoptada “bien por el consejero de Hacienda, bien por el Consejo de Gobierno de la Junta de Andalucía, y no por el Parlamento, y estaba sujeta a unas exigencias procedimentales y también materiales y estas últimas fueron incumplidas de forma dolosa con la finalidad última de eliminar los controles administrativos en la concesión de las subvenciones para actuar libérrimamente. La decisión aprobatoria [sigue afirmando el Tribunal Supremo] culminaba el proceso de elaboración de la modificación presupuestaria y habilitaba al Gobierno para llevar a cabo las transferencias de fondos. La decisión aprobatoria venía precedida de un procedimiento de elaboración reglado, regido por normas de Derecho Administrativo y ajeno a los criterios de discrecionalidad propios de toda decisión política, por lo que es una resolución a los efectos del art. 404 CP” (fundamento de Derecho 24.2, págs. 267-268).</w:t>
      </w:r>
    </w:p>
    <w:p w14:paraId="3168A266" w14:textId="77777777" w:rsidR="003754FE" w:rsidRDefault="003754FE" w:rsidP="003754FE">
      <w:pPr>
        <w:pStyle w:val="TextoNormal"/>
      </w:pPr>
    </w:p>
    <w:p w14:paraId="2464ADFE" w14:textId="77777777" w:rsidR="003754FE" w:rsidRDefault="003754FE" w:rsidP="003754FE">
      <w:pPr>
        <w:pStyle w:val="TextoNormal"/>
      </w:pPr>
      <w:r>
        <w:t>Haciendo suyo el argumento aducido por el Ministerio Fiscal, la Sala considera que “no había razón alguna para tramitar y aprobar las modificaciones presupuestarias como transferencias de financiación porque los créditos habilitados para cada una de ellas no iban destinados a cubrir el déficit financiero de la cuenta de explotación de IFA/IDEA, sino a habilitar fondos para el pago de las subvenciones que ordenaba la Consejería de Empleo y ya hemos explicado que el cambio de clasificación presupuestaria hizo posible la distribución de subvenciones sin control alguno, con incumplimiento absoluto del procedimiento establecido para la concesión de subvenciones” (fundamento de Derecho 24.2, pág. 268).</w:t>
      </w:r>
    </w:p>
    <w:p w14:paraId="018A69D2" w14:textId="77777777" w:rsidR="003754FE" w:rsidRDefault="003754FE" w:rsidP="003754FE">
      <w:pPr>
        <w:pStyle w:val="TextoNormal"/>
      </w:pPr>
    </w:p>
    <w:p w14:paraId="6D5B3EEC" w14:textId="77777777" w:rsidR="003754FE" w:rsidRDefault="003754FE" w:rsidP="003754FE">
      <w:pPr>
        <w:pStyle w:val="TextoNormal"/>
      </w:pPr>
      <w:r>
        <w:t xml:space="preserve">(x) En relación con la alegación que el recurrente formuló en el juicio oral referida a que ninguna de las autoridades que intervino en los actos prelegislativos adoptó resolución alguna en el sentido jurídico de dicho término, esto es, entendiendo por tal aquellas que generan efectos </w:t>
      </w:r>
      <w:r w:rsidRPr="003754FE">
        <w:rPr>
          <w:i/>
        </w:rPr>
        <w:t>ad extra</w:t>
      </w:r>
      <w:r>
        <w:t xml:space="preserve">, el Tribunal Supremo asume la tesis del órgano judicial </w:t>
      </w:r>
      <w:r w:rsidRPr="003754FE">
        <w:rPr>
          <w:i/>
        </w:rPr>
        <w:t>a quo</w:t>
      </w:r>
      <w:r>
        <w:t>, al considerar que cada una de las fases de dichos procedimientos —ya se refieran a los anteproyectos y proyectos de ley o las modificaciones presupuestarias— “se constituye en un eslabón necesario y un filtro de singular relieve establecido en la ley para llegar al trámite final de aprobación” (fundamento de Derecho 27, pág. 280).</w:t>
      </w:r>
    </w:p>
    <w:p w14:paraId="2303367E" w14:textId="77777777" w:rsidR="003754FE" w:rsidRDefault="003754FE" w:rsidP="003754FE">
      <w:pPr>
        <w:pStyle w:val="TextoNormal"/>
      </w:pPr>
    </w:p>
    <w:p w14:paraId="5FA07D90" w14:textId="77777777" w:rsidR="003754FE" w:rsidRDefault="003754FE" w:rsidP="003754FE">
      <w:pPr>
        <w:pStyle w:val="TextoNormal"/>
      </w:pPr>
      <w:r>
        <w:t>(xi) La sentencia del Tribunal Supremo, ratificando la de la Audiencia Provincial, considera que las actuaciones llevadas a cabo por los acusados son arbitrarias en el sentido previsto en el art. 404 CP y han sido dictadas a sabiendas de su injusticia. Según se argumenta en la sentencia dictada en casación, las normas aplicables “eran precisas” (fundamento de Derecho 30, pág. 294). Por ello, llega a la conclusión de que estamos ante un supuesto de “incontestable ilegalidad de las acciones llevadas a cabo” (fundamento 30, pág. 296).</w:t>
      </w:r>
    </w:p>
    <w:p w14:paraId="6ADFBA8C" w14:textId="77777777" w:rsidR="003754FE" w:rsidRDefault="003754FE" w:rsidP="003754FE">
      <w:pPr>
        <w:pStyle w:val="TextoNormal"/>
      </w:pPr>
    </w:p>
    <w:p w14:paraId="5CD859AA" w14:textId="77777777" w:rsidR="003754FE" w:rsidRDefault="003754FE" w:rsidP="003754FE">
      <w:pPr>
        <w:pStyle w:val="TextoNormal"/>
      </w:pPr>
      <w:r>
        <w:t xml:space="preserve">3.3. </w:t>
      </w:r>
      <w:r w:rsidRPr="003754FE">
        <w:rPr>
          <w:i/>
        </w:rPr>
        <w:t>Doctrina constitucional sobre el derecho a la legalidad penal (art. 25.1 CE)</w:t>
      </w:r>
    </w:p>
    <w:p w14:paraId="327E3E84" w14:textId="77777777" w:rsidR="003754FE" w:rsidRDefault="003754FE" w:rsidP="003754FE">
      <w:pPr>
        <w:pStyle w:val="TextoNormal"/>
      </w:pPr>
    </w:p>
    <w:p w14:paraId="7FCB0A61" w14:textId="77777777" w:rsidR="003754FE" w:rsidRDefault="003754FE" w:rsidP="003754FE">
      <w:pPr>
        <w:pStyle w:val="TextoNormal"/>
      </w:pPr>
      <w:r>
        <w:t>El enjuiciamiento de la vulneración del art. 25.1 CE exige tener presente la doctrina de este tribunal sobre el derecho a la legalidad penal, expuesta recientemente, por ejemplo, en las SSTC 14/2021, de 28 de enero, FJ 2; 25/2022, de 23 de febrero, FJ 7.2; 47/2022, de 24 de marzo, FJ 8.2.1; 54/2023, de 22 de mayo, FJ 3; 8/2024, de 16 de enero, FJ 6, y 93/2024, de 19 de junio, FJ 3,haciendo hincapié en la prohibición de interpretaciones y aplicaciones irrazonables de las normas penales.</w:t>
      </w:r>
    </w:p>
    <w:p w14:paraId="3A3942B7" w14:textId="77777777" w:rsidR="003754FE" w:rsidRDefault="003754FE" w:rsidP="003754FE">
      <w:pPr>
        <w:pStyle w:val="TextoNormal"/>
      </w:pPr>
    </w:p>
    <w:p w14:paraId="4125AF7C" w14:textId="77777777" w:rsidR="003754FE" w:rsidRDefault="003754FE" w:rsidP="003754FE">
      <w:pPr>
        <w:pStyle w:val="TextoNormal"/>
      </w:pPr>
      <w:r>
        <w:t>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(art. 25.1 CE) (SSTC 137/1997, de 21 de julio, FJ 6; 151/1997, de 29 de septiembre, FJ 3; 232/1997, de 21 de enero, FJ 2, y 162/1999, de 27 de septiembre, FJ 5).</w:t>
      </w:r>
    </w:p>
    <w:p w14:paraId="28C5BE00" w14:textId="77777777" w:rsidR="003754FE" w:rsidRDefault="003754FE" w:rsidP="003754FE">
      <w:pPr>
        <w:pStyle w:val="TextoNormal"/>
      </w:pPr>
    </w:p>
    <w:p w14:paraId="30C1F095" w14:textId="77777777" w:rsidR="003754FE" w:rsidRDefault="003754FE" w:rsidP="003754FE">
      <w:pPr>
        <w:pStyle w:val="TextoNormal"/>
      </w:pPr>
      <w:r>
        <w:t xml:space="preserve">En numerosas resoluciones (desde la STC 150/1989, de 25 de septiembre, FJ 6, hasta la STC 54/2023, de 22 de mayo, FJ 3, y, entre ellas, muchas intermedias), el Tribunal ha puesto de relieve que el derecho reconocido en el art. 25.1 CE es una concreción de diversos aspectos del Estado de Derecho en el ámbito del Derecho estatal sancionador y tiene un fundamento plural. Se vincula, ante todo, con el imperio de la ley como presupuesto de la actuación del Estado sobre los bienes jurídicos de los ciudadanos y con el derecho de los ciudadanos a la seguridad jurídica y a una previsibilidad de las consecuencias jurídicas de los propios actos que garantice un ámbito de libertad de actuación en niveles constitucionalmente admisibles. Ese fundamento determina el contenido </w:t>
      </w:r>
      <w:r w:rsidRPr="003754FE">
        <w:rPr>
          <w:i/>
        </w:rPr>
        <w:t>iusfundamental</w:t>
      </w:r>
      <w:r>
        <w:t xml:space="preserve"> del derecho a la legalidad penal, integrado por los diversos aspectos enunciados con el brocardo </w:t>
      </w:r>
      <w:r w:rsidRPr="003754FE">
        <w:rPr>
          <w:i/>
        </w:rPr>
        <w:t>nullum crimen nulla poena sine praevia lege scripta, certa et stricta</w:t>
      </w:r>
      <w:r>
        <w:t xml:space="preserve"> (en distintas formulaciones, entre muchas, SSTC 133/1987, de 21 de julio, FJ 4; 127/1990, de 5 de julio, FJ 3; 111/1993, de 25 de marzo, FJ 6; 53/1994, de 24 de febrero, FJ 4; 137/1997, de 21 de julio, FJ 6; 151/1997, de 29 de septiembre, FJ 3; 232/1997, de 16 de diciembre, FJ 2; 75/2002, de 8 de abril, FJ 4; 234/2007, de 5 de noviembre, FJ 3, y 14/2021, de 28 de enero, FJ 2).</w:t>
      </w:r>
    </w:p>
    <w:p w14:paraId="34D52A83" w14:textId="77777777" w:rsidR="003754FE" w:rsidRDefault="003754FE" w:rsidP="003754FE">
      <w:pPr>
        <w:pStyle w:val="TextoNormal"/>
      </w:pPr>
    </w:p>
    <w:p w14:paraId="7DF49306" w14:textId="77777777" w:rsidR="003754FE" w:rsidRDefault="003754FE" w:rsidP="003754FE">
      <w:pPr>
        <w:pStyle w:val="TextoNormal"/>
      </w:pPr>
      <w:r>
        <w:t>b) La primera garantía que contiene el principio de legalidad es la garantía formal, que impone una reserva de ley absoluta (STC 15/1981, de 7 de mayo, FJ 7) para definir delitos y para sancionarlos con penas, quedando así acotadas las fuentes del Derecho en materia penal [SSTC 142/1999, de 22 de julio,FJ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w:t>
      </w:r>
      <w:r w:rsidRPr="003754FE">
        <w:rPr>
          <w:i/>
        </w:rPr>
        <w:t>lex praevia</w:t>
      </w:r>
      <w:r>
        <w:t>) que permitan predecir con el suficiente grado de certeza (</w:t>
      </w:r>
      <w:r w:rsidRPr="003754FE">
        <w:rPr>
          <w:i/>
        </w:rPr>
        <w:t>lex certa</w:t>
      </w:r>
      <w:r>
        <w:t>) dichas conductas, y se sepa a qué atenerse en cuanto a la aneja responsabilidad y a la eventual sanción” (SSTC 25/2004, de 26 de febrero, FJ 4; 218/2005, de 12 de septiembre, FJ 2; 297/2005, de 21 de noviembre, FJ 6, y 283/2006, de 9 de octubre, FJ 5).</w:t>
      </w:r>
    </w:p>
    <w:p w14:paraId="222816EF" w14:textId="77777777" w:rsidR="003754FE" w:rsidRDefault="003754FE" w:rsidP="003754FE">
      <w:pPr>
        <w:pStyle w:val="TextoNormal"/>
      </w:pPr>
    </w:p>
    <w:p w14:paraId="197D8CD1" w14:textId="77777777" w:rsidR="003754FE" w:rsidRDefault="003754FE" w:rsidP="003754FE">
      <w:pPr>
        <w:pStyle w:val="TextoNormal"/>
      </w:pPr>
      <w:r>
        <w:t xml:space="preserve">c) En particular, la previsibilidad de las consecuencias de la propia conducta puede eludirse tanto por un legislador como por un juzgador que actúen desconociendo el sentido de garantía de la ley penal, bien por la formulación vaga e imprecisa de la misma, bien con su aplicación a supuestos no comprendidos en ella (SSTC 142/1999, de 22 de julio, FJ 3, y 24/2004, de 24 de febrero,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w:t>
      </w:r>
      <w:r>
        <w:lastRenderedPageBreak/>
        <w:t>(</w:t>
      </w:r>
      <w:r w:rsidRPr="003754FE">
        <w:rPr>
          <w:i/>
        </w:rPr>
        <w:t>lex certa</w:t>
      </w:r>
      <w:r>
        <w:t>), para que los ciudadanos puedan conocer de antemano el ámbito de lo proscrito y prever las consecuencias de sus acciones (SSTC 242/2005, de 10 de octubre, FJ 2; 283/2006, de 9 de octubre, FJ 5; 162/2008, de 15 de diciembre, FJ 1; 81/2009, de 23 de marzo, FJ 4; 135/2010, de 2 de diciembre, FJ 4, y 9/2018, de 5 de febrero, FJ 6). Los jueces y tribunales, por su parte, están sometidos al principio de tipicidad (</w:t>
      </w:r>
      <w:r w:rsidRPr="003754FE">
        <w:rPr>
          <w:i/>
        </w:rPr>
        <w:t>lex stricta</w:t>
      </w:r>
      <w:r>
        <w:t>) en su labor de aplicación de las leyes, que implica una sujeción estricta a la ley penal y el veto a la exégesis y aplicación de las normas penales fuera de los supuestos y de los límites que determinan.</w:t>
      </w:r>
    </w:p>
    <w:p w14:paraId="2C7ECA4E" w14:textId="77777777" w:rsidR="003754FE" w:rsidRDefault="003754FE" w:rsidP="003754FE">
      <w:pPr>
        <w:pStyle w:val="TextoNormal"/>
      </w:pPr>
    </w:p>
    <w:p w14:paraId="661DDFAB" w14:textId="77777777" w:rsidR="003754FE" w:rsidRDefault="003754FE" w:rsidP="003754FE">
      <w:pPr>
        <w:pStyle w:val="TextoNormal"/>
      </w:pPr>
      <w: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 La analogía </w:t>
      </w:r>
      <w:r w:rsidRPr="003754FE">
        <w:rPr>
          <w:i/>
        </w:rPr>
        <w:t>in malam partem</w:t>
      </w:r>
      <w:r>
        <w:t xml:space="preserve">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de 17 de marzo, FJ 4; 170/2002, de 30 de septiembre, FJ 12; 229/2003, de 18 de diciembre, FJ 6, y 229/2007, de 5 de noviembre, FJ 4).</w:t>
      </w:r>
    </w:p>
    <w:p w14:paraId="4BA2EABE" w14:textId="77777777" w:rsidR="003754FE" w:rsidRDefault="003754FE" w:rsidP="003754FE">
      <w:pPr>
        <w:pStyle w:val="TextoNormal"/>
      </w:pPr>
    </w:p>
    <w:p w14:paraId="3E73DC82" w14:textId="77777777" w:rsidR="003754FE" w:rsidRDefault="003754FE" w:rsidP="003754FE">
      <w:pPr>
        <w:pStyle w:val="TextoNormal"/>
      </w:pPr>
      <w:r>
        <w:t xml:space="preserve">e) El examen de la razonabilidad de la subsunción de los hechos probados en la norma penal tiene como primer criterio el respeto al tenor literal de la norma, y la consiguiente prohibición de la analogía </w:t>
      </w:r>
      <w:r w:rsidRPr="003754FE">
        <w:rPr>
          <w:i/>
        </w:rPr>
        <w:t>in malam partem</w:t>
      </w:r>
      <w:r>
        <w:t xml:space="preserve">. El tenor literal del enunciado normativo marca en todo caso una zona indudable de exclusión de comportamientos (STC 137/1997, de 21 de julio,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de 17 de octubre, FJ 3). Son así constitucionalmente rechazables aquellas aplicaciones que por su soporte metodológico —una argumentación ilógica o indiscutiblemente extravagante— o axiológico —una base valorativa ajena a los criterios que informan </w:t>
      </w:r>
      <w:r>
        <w:lastRenderedPageBreak/>
        <w:t>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y 262/2006, de 11 de septiembre, FJ 4).</w:t>
      </w:r>
    </w:p>
    <w:p w14:paraId="7A4889E7" w14:textId="77777777" w:rsidR="003754FE" w:rsidRDefault="003754FE" w:rsidP="003754FE">
      <w:pPr>
        <w:pStyle w:val="TextoNormal"/>
      </w:pPr>
    </w:p>
    <w:p w14:paraId="5F46A2B1" w14:textId="77777777" w:rsidR="003754FE" w:rsidRDefault="003754FE" w:rsidP="003754FE">
      <w:pPr>
        <w:pStyle w:val="TextoNormal"/>
      </w:pPr>
      <w: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w:t>
      </w:r>
      <w:r w:rsidRPr="003754FE">
        <w:rPr>
          <w:i/>
        </w:rPr>
        <w:t>per se</w:t>
      </w:r>
      <w:r>
        <w:t xml:space="preserve"> nos es ajena y solo podrá ser tomada en cuenta en la medida en que incida en la irrazonabilidad de la interpretación judicial impugnada” (STC 129/2008, FJ 3).</w:t>
      </w:r>
    </w:p>
    <w:p w14:paraId="23C33C56" w14:textId="77777777" w:rsidR="003754FE" w:rsidRDefault="003754FE" w:rsidP="003754FE">
      <w:pPr>
        <w:pStyle w:val="TextoNormal"/>
      </w:pPr>
    </w:p>
    <w:p w14:paraId="3F3091C5" w14:textId="77777777" w:rsidR="003754FE" w:rsidRDefault="003754FE" w:rsidP="003754FE">
      <w:pPr>
        <w:pStyle w:val="TextoNormal"/>
      </w:pPr>
      <w:r>
        <w:t xml:space="preserve">3.4. </w:t>
      </w:r>
      <w:r w:rsidRPr="003754FE">
        <w:rPr>
          <w:i/>
        </w:rPr>
        <w:t>Características de nuestra democracia constitucional y parlamentaria</w:t>
      </w:r>
    </w:p>
    <w:p w14:paraId="69C14F59" w14:textId="77777777" w:rsidR="003754FE" w:rsidRDefault="003754FE" w:rsidP="003754FE">
      <w:pPr>
        <w:pStyle w:val="TextoNormal"/>
      </w:pPr>
    </w:p>
    <w:p w14:paraId="26981D14" w14:textId="77777777" w:rsidR="003754FE" w:rsidRDefault="003754FE" w:rsidP="003754FE">
      <w:pPr>
        <w:pStyle w:val="TextoNormal"/>
      </w:pPr>
      <w:r>
        <w:t>Una vez reseñados los razonamientos de la sentencia, antes de analizar si la interpretación que de la norma aplicada efectúan las resoluciones impugnadas es lesiva del art. 25.1 CE, es preciso recordar cuáles son los elementos esenciales en los que se basa nuestro sistema constitucional, toda vez que el fundamento de la condena parte de una determinada comprensión de las relaciones entre el Ejecutivo autonómico y su Parlamento que trasciende del ámbito de la legalidad y se adentra en el plano de la constitucionalidad. Esta cuestión es de gran relevancia en este caso dado que el Tribunal apreció la especial trascendencia del recurso [art. 50.1.b) LOTC] por considerar que las cuestiones en él planteadas afectan a la esencia de las relaciones institucionales entre los poderes que conforman el Estado. En el ATC 285 /2023, de 5 de junio, FJ único, se afirma que, uno de los motivos por los que este recurso tiene especial trascendencia constitucional es porque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Es a este tribunal al que corresponde en último término la interpretación de las cuestiones que se plantean en este recurso, al ser inherentes a la configuración propia del Estado constitucional.</w:t>
      </w:r>
    </w:p>
    <w:p w14:paraId="071A2068" w14:textId="77777777" w:rsidR="003754FE" w:rsidRDefault="003754FE" w:rsidP="003754FE">
      <w:pPr>
        <w:pStyle w:val="TextoNormal"/>
      </w:pPr>
    </w:p>
    <w:p w14:paraId="2E433748" w14:textId="77777777" w:rsidR="003754FE" w:rsidRDefault="003754FE" w:rsidP="003754FE">
      <w:pPr>
        <w:pStyle w:val="TextoNormal"/>
      </w:pPr>
      <w:r>
        <w:t>A) Por todo ello, la resolución del presente recurso de amparo exige partir de las consecuencias que se derivan de que nuestra forma de Estado sea una democracia constitucional y parlamentaria. Esta cuestión ha sido analizada en la STC 93/2024, de 19 de junio, FJ 4.3, por lo que ahora se va a exponer sucintamente la doctrina en ella contenida, con remisión a lo que en la referida sentencia se establece.</w:t>
      </w:r>
    </w:p>
    <w:p w14:paraId="6EA1C239" w14:textId="77777777" w:rsidR="003754FE" w:rsidRDefault="003754FE" w:rsidP="003754FE">
      <w:pPr>
        <w:pStyle w:val="TextoNormal"/>
      </w:pPr>
    </w:p>
    <w:p w14:paraId="3EDC06ED" w14:textId="77777777" w:rsidR="003754FE" w:rsidRDefault="003754FE" w:rsidP="003754FE">
      <w:pPr>
        <w:pStyle w:val="TextoNormal"/>
      </w:pPr>
      <w:r>
        <w:t>a) La centralidad del Parlamento, el carácter privilegiado de la ley y el monopolio de control de su constitucionalidad por el Tribunal Constitucional definen nuestro sistema constitucional.</w:t>
      </w:r>
    </w:p>
    <w:p w14:paraId="70297790" w14:textId="77777777" w:rsidR="003754FE" w:rsidRDefault="003754FE" w:rsidP="003754FE">
      <w:pPr>
        <w:pStyle w:val="TextoNormal"/>
      </w:pPr>
    </w:p>
    <w:p w14:paraId="6E373149" w14:textId="77777777" w:rsidR="003754FE" w:rsidRDefault="003754FE" w:rsidP="003754FE">
      <w:pPr>
        <w:pStyle w:val="TextoNormal"/>
      </w:pPr>
      <w:r>
        <w:t>b) Nuestra Constitución ha acogido la forma de gobierno parlamentaria. Ha delimitado, por una parte, las funciones del Parlamento (título III), por otra, las del Gobierno (título IV) y ha regulado y dedicado su título V a establecer las relaciones entre ambos poderes. La función de control del Gobierno que desempeñan los parlamentos (art. 66.2 CE) es inherente a su carácter representativo y a la forma de gobierno parlamentaria que se establece en el art. 1.3 CE. Solo de este modo se garantiza el equilibrio entre estos poderes previsto en nuestra Norma Fundamental.</w:t>
      </w:r>
    </w:p>
    <w:p w14:paraId="565536FE" w14:textId="77777777" w:rsidR="003754FE" w:rsidRDefault="003754FE" w:rsidP="003754FE">
      <w:pPr>
        <w:pStyle w:val="TextoNormal"/>
      </w:pPr>
    </w:p>
    <w:p w14:paraId="7AA45441" w14:textId="77777777" w:rsidR="003754FE" w:rsidRDefault="003754FE" w:rsidP="003754FE">
      <w:pPr>
        <w:pStyle w:val="TextoNormal"/>
      </w:pPr>
      <w:r>
        <w:t>c) La Constitución no define en qué consiste esta forma de control al Gobierno, pero una interpretación sistemática y teleológica ha llevado al Tribunal a entender que este control no se limita a los instrumentos que prevé su título V, sino que incluye también el que se ejerce a través de la función legislativa y, dentro de esta, de la función presupuestaria, al permitir el debate público y, de este modo, el conocimiento de los ciudadanos de la actuación del Gobierno.</w:t>
      </w:r>
    </w:p>
    <w:p w14:paraId="1CC2F273" w14:textId="77777777" w:rsidR="003754FE" w:rsidRDefault="003754FE" w:rsidP="003754FE">
      <w:pPr>
        <w:pStyle w:val="TextoNormal"/>
      </w:pPr>
    </w:p>
    <w:p w14:paraId="7EBDD683" w14:textId="77777777" w:rsidR="003754FE" w:rsidRDefault="003754FE" w:rsidP="003754FE">
      <w:pPr>
        <w:pStyle w:val="TextoNormal"/>
      </w:pPr>
      <w:r>
        <w:t xml:space="preserve">d) Uno de los modos de ejercer la función de </w:t>
      </w:r>
      <w:r w:rsidRPr="003754FE">
        <w:rPr>
          <w:i/>
        </w:rPr>
        <w:t>indirizzo politico</w:t>
      </w:r>
      <w:r>
        <w:t xml:space="preserve"> (orientación política) que constitucionalmente corresponde al Gobierno es el ejercicio de la iniciativa legislativa (art. 87.1 CE) y, a los efectos que ahora interesan, es especialmente relevante la iniciativa legislativa en materia presupuestaria que corresponde en exclusiva al Gobierno (art. 134.1 CE).</w:t>
      </w:r>
    </w:p>
    <w:p w14:paraId="227DDA7E" w14:textId="77777777" w:rsidR="003754FE" w:rsidRDefault="003754FE" w:rsidP="003754FE">
      <w:pPr>
        <w:pStyle w:val="TextoNormal"/>
      </w:pPr>
    </w:p>
    <w:p w14:paraId="23DC3F54" w14:textId="77777777" w:rsidR="003754FE" w:rsidRDefault="003754FE" w:rsidP="003754FE">
      <w:pPr>
        <w:pStyle w:val="TextoNormal"/>
      </w:pPr>
      <w:r>
        <w:t>e) La ley de presupuestos no es únicamente un conjunto de previsiones contables. También es un vehículo de dirección y orientación de la política económica que corresponde al Gobierno. Es, además, una “verdadera ley, considerando así superada la cuestión de su carácter formal o material” [STC 76/1992, de 14 de mayo, FJ 4 a)]. “[L]os presupuestos —en el sentido estricto de previsiones de ingresos y habilitaciones de gastos— y el articulado de la ley que los aprueba integran un todo cuyo contenido adquiere fuerza de ley” [STC 76/1992, de 14 de mayo, FJ 4 a), que cita a su vez la STC 63/1986, de 21 de mayo, FJ 5]. A través del debate parlamentario del proyecto de ley de presupuestos se fiscaliza el conjunto de la actividad financiera pública para ese ejercicio, se aprueba o se rechaza el programa político, económico y social del Gobierno que los presenta y se controla que la asignación de los recursos públicos sea equitativa. “Precisamente para que dicha función pueda ser realizada, al margen de un posible contenido eventual o disponible, la ley de presupuestos tiene un contenido constitucionalmente determinado que se concreta en la previsión de ingresos y la autorización de gastos, debiendo esta última extenderse tanto a</w:t>
      </w:r>
      <w:r w:rsidRPr="003754FE">
        <w:rPr>
          <w:i/>
        </w:rPr>
        <w:t>l quant</w:t>
      </w:r>
      <w:r>
        <w:t>um como a su destino” (STC 3/2003, de 16 de enero, FJ 7).</w:t>
      </w:r>
    </w:p>
    <w:p w14:paraId="7BD90DB4" w14:textId="77777777" w:rsidR="003754FE" w:rsidRDefault="003754FE" w:rsidP="003754FE">
      <w:pPr>
        <w:pStyle w:val="TextoNormal"/>
      </w:pPr>
    </w:p>
    <w:p w14:paraId="429CE34C" w14:textId="77777777" w:rsidR="003754FE" w:rsidRDefault="003754FE" w:rsidP="003754FE">
      <w:pPr>
        <w:pStyle w:val="TextoNormal"/>
      </w:pPr>
      <w:r>
        <w:t xml:space="preserve">f) Del carácter central que la Constitución otorga al Parlamento deriva la posición privilegiada de la ley que conlleva su presunción de legitimidad constitucional y que determina 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161.1 CE) o cuando la ley sea preconstitucional. A </w:t>
      </w:r>
      <w:r>
        <w:lastRenderedPageBreak/>
        <w:t>diferencia de las normas infralegales, que sí pueden ser inaplicadas [art. 6 de la Ley Orgánica del Poder Judicial (LOPJ)] o, en su caso, declaradas nulas por los órganos judiciales para garantizar la supremacía constitucional, cuando se trata de normas con rango de ley solo el Tribunal Constitucional tiene el monopolio de expulsarlas del ordenamiento jurídico con efecto</w:t>
      </w:r>
      <w:r w:rsidRPr="003754FE">
        <w:rPr>
          <w:i/>
        </w:rPr>
        <w:t>s erga omn</w:t>
      </w:r>
      <w:r>
        <w:t>es.</w:t>
      </w:r>
    </w:p>
    <w:p w14:paraId="0A606A36" w14:textId="77777777" w:rsidR="003754FE" w:rsidRDefault="003754FE" w:rsidP="003754FE">
      <w:pPr>
        <w:pStyle w:val="TextoNormal"/>
      </w:pPr>
    </w:p>
    <w:p w14:paraId="76381A4D" w14:textId="77777777" w:rsidR="003754FE" w:rsidRDefault="003754FE" w:rsidP="003754FE">
      <w:pPr>
        <w:pStyle w:val="TextoNormal"/>
      </w:pPr>
      <w:r>
        <w:t>B) Para la resolución de este recurso de amparo es importante también analizar la naturaleza jurídica de los anteproyectos y proyectos de ley. El ahora recurrente ha sido condenado por incurrir en un delito de prevaricación por participar, en su condición de presidente de la Junta de Andalucía, entre otras actuaciones, en la aprobación de los anteproyectos de la ley de presupuestos para los años 2002 a 2009 y enviarlos como proyectos de ley al Parlamento.</w:t>
      </w:r>
    </w:p>
    <w:p w14:paraId="3B4AB593" w14:textId="77777777" w:rsidR="003754FE" w:rsidRDefault="003754FE" w:rsidP="003754FE">
      <w:pPr>
        <w:pStyle w:val="TextoNormal"/>
      </w:pPr>
    </w:p>
    <w:p w14:paraId="7F6D0654" w14:textId="77777777" w:rsidR="003754FE" w:rsidRDefault="003754FE" w:rsidP="003754FE">
      <w:pPr>
        <w:pStyle w:val="TextoNormal"/>
      </w:pPr>
      <w:r>
        <w:t>a) En la STC 93/2024 y en la jurisprudencia allí citada el Tribunal ha establecido que los anteproyectos y proyectos de ley no pueden ser objeto de control jurídico.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 (ATC 135/2004, de 20 de abril, FJ 6).</w:t>
      </w:r>
    </w:p>
    <w:p w14:paraId="41303614" w14:textId="77777777" w:rsidR="003754FE" w:rsidRDefault="003754FE" w:rsidP="003754FE">
      <w:pPr>
        <w:pStyle w:val="TextoNormal"/>
      </w:pPr>
    </w:p>
    <w:p w14:paraId="3A5D47CC" w14:textId="77777777" w:rsidR="003754FE" w:rsidRDefault="003754FE" w:rsidP="003754FE">
      <w:pPr>
        <w:pStyle w:val="TextoNormal"/>
      </w:pPr>
      <w:r>
        <w:t xml:space="preserve">b) La iniciativa legislativa es el cauce institucionalizado para la modificación de las leyes y normas con rango de ley preexistentes. Por ello, como con detalle se expone en la STC 93/2024, FJ 4.3.4, “[e]l proyecto [de ley] cuyo contenido contraviene la normativa existente mientras que es proyecto no puede someterse a un juicio de legalidad —en ese momento es un acto inexistente para el Derecho— y, una vez que se ha aprobado, al haberse convertido en ley, el único juicio que cabe es el de constitucionalidad. Este juicio solo puede efectuarse respecto de la ley aprobada, no respecto de los actos que conforman su procedimiento de elaboración, que nunca tienen eficacia </w:t>
      </w:r>
      <w:r w:rsidRPr="003754FE">
        <w:rPr>
          <w:i/>
        </w:rPr>
        <w:t>ad extra</w:t>
      </w:r>
      <w:r>
        <w:t xml:space="preserve"> y, como meros actos de trámite, una vez dictado el acto final, esto es, la ley, carecen de autonomía respecto de ella”.</w:t>
      </w:r>
    </w:p>
    <w:p w14:paraId="13059689" w14:textId="77777777" w:rsidR="003754FE" w:rsidRDefault="003754FE" w:rsidP="003754FE">
      <w:pPr>
        <w:pStyle w:val="TextoNormal"/>
      </w:pPr>
    </w:p>
    <w:p w14:paraId="18BB038A" w14:textId="77777777" w:rsidR="003754FE" w:rsidRDefault="003754FE" w:rsidP="003754FE">
      <w:pPr>
        <w:pStyle w:val="TextoNormal"/>
      </w:pPr>
      <w:r>
        <w:t>c) Resulta, por tanto, que “[e]l contenido del anteproyecto o del proyecto, en tanto tales, es infiscalizable y no puede ejercerse más control que el político” (STC 93/2024, FJ 4.3.3, que cita, a su vez, el ATC 135/2004, FJ 6).</w:t>
      </w:r>
    </w:p>
    <w:p w14:paraId="25AAF3D8" w14:textId="77777777" w:rsidR="003754FE" w:rsidRDefault="003754FE" w:rsidP="003754FE">
      <w:pPr>
        <w:pStyle w:val="TextoNormal"/>
      </w:pPr>
    </w:p>
    <w:p w14:paraId="142EA726" w14:textId="77777777" w:rsidR="003754FE" w:rsidRDefault="003754FE" w:rsidP="003754FE">
      <w:pPr>
        <w:pStyle w:val="TextoNormal"/>
      </w:pPr>
      <w:r>
        <w:t>C) “El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por un ámbito material, sino también por la forma en que han de relacionarse entre ellos. Cuando un poder del Estado se extralimita en el ejercicio de sus atribuciones se infringe el principio de separación de poderes y se altera el diseño institucional constitucionalmente previsto” (STC 93/2024, FJ, 4.3.5).</w:t>
      </w:r>
    </w:p>
    <w:p w14:paraId="1298BED3" w14:textId="77777777" w:rsidR="003754FE" w:rsidRDefault="003754FE" w:rsidP="003754FE">
      <w:pPr>
        <w:pStyle w:val="TextoNormal"/>
      </w:pPr>
    </w:p>
    <w:p w14:paraId="249255E4" w14:textId="77777777" w:rsidR="003754FE" w:rsidRDefault="003754FE" w:rsidP="003754FE">
      <w:pPr>
        <w:pStyle w:val="TextoNormal"/>
      </w:pPr>
      <w:r>
        <w:t>3.5</w:t>
      </w:r>
      <w:r w:rsidRPr="003754FE">
        <w:rPr>
          <w:i/>
        </w:rPr>
        <w:t>. Enjuiciamiento de la que</w:t>
      </w:r>
      <w:r>
        <w:t>ja</w:t>
      </w:r>
    </w:p>
    <w:p w14:paraId="1EE35508" w14:textId="77777777" w:rsidR="003754FE" w:rsidRDefault="003754FE" w:rsidP="003754FE">
      <w:pPr>
        <w:pStyle w:val="TextoNormal"/>
      </w:pPr>
    </w:p>
    <w:p w14:paraId="20C5FD47" w14:textId="77777777" w:rsidR="003754FE" w:rsidRDefault="003754FE" w:rsidP="003754FE">
      <w:pPr>
        <w:pStyle w:val="TextoNormal"/>
      </w:pPr>
      <w:r>
        <w:t>Una vez expuestos los fundamentos de la condena del recurrente por el delito de prevaricación, así como los rasgos esenciales de nuestra democracia constitucional y parlamentaria —sobre esta cuestión, como se acaba de indicar, se ha efectuado una mera síntesis de lo establecido por el Tribunal en la STC 93/2024, FJ 4.3— se van a enjuiciar las quejas aducidas por el demandante en relación con su condena por el delito de prevaricación.</w:t>
      </w:r>
    </w:p>
    <w:p w14:paraId="15DA9BAC" w14:textId="77777777" w:rsidR="003754FE" w:rsidRDefault="003754FE" w:rsidP="003754FE">
      <w:pPr>
        <w:pStyle w:val="TextoNormal"/>
      </w:pPr>
    </w:p>
    <w:p w14:paraId="618DA404" w14:textId="77777777" w:rsidR="003754FE" w:rsidRDefault="003754FE" w:rsidP="003754FE">
      <w:pPr>
        <w:pStyle w:val="TextoNormal"/>
      </w:pPr>
      <w:r>
        <w:t>Para ello, han de distinguirse los distintos hechos por los que ha sido condenado como autor de un delito continuado de prevaricación: (A) participar en la aprobación de los anteproyectos de presupuestos para los ejercicios de los años 2002 a 2009 y en su envío como proyectos de ley al Parlamento; (B) participar en la aprobación de las modificaciones presupuestarias de 2000 a 2008 antes expuestas (FJ 2.4).</w:t>
      </w:r>
    </w:p>
    <w:p w14:paraId="76F17BE9" w14:textId="77777777" w:rsidR="003754FE" w:rsidRDefault="003754FE" w:rsidP="003754FE">
      <w:pPr>
        <w:pStyle w:val="TextoNormal"/>
      </w:pPr>
    </w:p>
    <w:p w14:paraId="091BA72F" w14:textId="77777777" w:rsidR="003754FE" w:rsidRDefault="003754FE" w:rsidP="003754FE">
      <w:pPr>
        <w:pStyle w:val="TextoNormal"/>
      </w:pPr>
      <w:r>
        <w:t>A) La aprobación de los anteproyectos de ley de presupuestos para los ejercicios 2002 a 2009 y su envío como proyectos de ley al Parlamento</w:t>
      </w:r>
    </w:p>
    <w:p w14:paraId="0C7CD5A0" w14:textId="77777777" w:rsidR="003754FE" w:rsidRDefault="003754FE" w:rsidP="003754FE">
      <w:pPr>
        <w:pStyle w:val="TextoNormal"/>
      </w:pPr>
    </w:p>
    <w:p w14:paraId="4FA77ABF" w14:textId="77777777" w:rsidR="003754FE" w:rsidRDefault="003754FE" w:rsidP="003754FE">
      <w:pPr>
        <w:pStyle w:val="TextoNormal"/>
      </w:pPr>
      <w:r>
        <w:t>a) A efectos de apreciar si los órganos judiciales han realizado una interpretación extensiva de los elementos típicos del art. 404 CP y han vulnerado por ello el art. 25.1 CE, como alega el recurrente, es preciso examinar, en primer lugar, si la interpretación que las sentencias recurridas han realizado de los conceptos “resolución arbitraria en un asunto administrativo” (art. 404 CP) es o no lesiva del art. 25.1 CE. Para ello, es necesario atender a la naturaleza jurídica de los anteproyectos de ley.</w:t>
      </w:r>
    </w:p>
    <w:p w14:paraId="57625998" w14:textId="77777777" w:rsidR="003754FE" w:rsidRDefault="003754FE" w:rsidP="003754FE">
      <w:pPr>
        <w:pStyle w:val="TextoNormal"/>
      </w:pPr>
    </w:p>
    <w:p w14:paraId="52EC3542" w14:textId="77777777" w:rsidR="003754FE" w:rsidRDefault="003754FE" w:rsidP="003754FE">
      <w:pPr>
        <w:pStyle w:val="TextoNormal"/>
      </w:pPr>
      <w:r>
        <w:t>De conformidad con lo dispuesto en la STC 93/2024, es claro “que las actuaciones realizadas cuando el Gobierno ejerce la iniciativa legislativa no pueden considerarse en modo alguno una actuación administrativa”, sino una “actividad propia de la función de gobierno en sentido estricto, pues es una prerrogativa que corresponde al Gobierno en virtud de su posición institucional, no a la organización a su servicio, que es la administración pública” [FJ 4.4.1 a)]. Como ya ha afirmado el Tribunal en la citada STC 93/2024, dichas actuaciones ni tienen el carácter de definitivas ni el hecho de que existan normas que disciplinen cómo han de elaborarse los proyectos de ley y su aprobación como proyecto de ley los convierte en actos reglados. De lo anterior se deduce “que el contenido de los anteproyectos y proyectos de ley no pueden ser objeto de control por ningún órgano judicial.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[FJ 4.4.1 a)].</w:t>
      </w:r>
    </w:p>
    <w:p w14:paraId="5DBCD675" w14:textId="77777777" w:rsidR="003754FE" w:rsidRDefault="003754FE" w:rsidP="003754FE">
      <w:pPr>
        <w:pStyle w:val="TextoNormal"/>
      </w:pPr>
    </w:p>
    <w:p w14:paraId="221D06A6" w14:textId="77777777" w:rsidR="003754FE" w:rsidRDefault="003754FE" w:rsidP="003754FE">
      <w:pPr>
        <w:pStyle w:val="TextoNormal"/>
      </w:pPr>
      <w:r>
        <w:t>Las consideraciones que acaban de hacerse son incompatibles con las contenidas en las sentencias recurridas en las que se sostiene que las actuaciones realizadas con ocasión de la participación en la elaboración de los anteproyectos de ley de presupuestos y su aprobación como proyecto de ley —las actuaciones prelegislativas, en terminología de las resoluciones impugnadas— han de calificarse como resoluciones recaídas en un asunto administrativo para apreciar que concurren los elementos típicos del delito de prevaricación (art. 404 CP).</w:t>
      </w:r>
    </w:p>
    <w:p w14:paraId="3E368C2C" w14:textId="77777777" w:rsidR="003754FE" w:rsidRDefault="003754FE" w:rsidP="003754FE">
      <w:pPr>
        <w:pStyle w:val="TextoNormal"/>
      </w:pPr>
    </w:p>
    <w:p w14:paraId="3D351D84" w14:textId="77777777" w:rsidR="003754FE" w:rsidRDefault="003754FE" w:rsidP="003754FE">
      <w:pPr>
        <w:pStyle w:val="TextoNormal"/>
      </w:pPr>
      <w:r>
        <w:t xml:space="preserve">Por lo expuesto, no cabe considerar que la participación en la aprobación de anteproyectos de ley de presupuestos y su aprobación como proyectos de ley pueda ser calificada como </w:t>
      </w:r>
      <w:r>
        <w:lastRenderedPageBreak/>
        <w:t>“resoluciones recaídas en asunto administrativo”. Al haberlo entendido así las sentencias impugnadas han incurrido en una interpretación extravagante e imprevisible de los elementos típicos “resolución” y “asunto administrativo” que vulnera el derecho fundamental a la legalidad penal que garantiza el art. 25 CE.</w:t>
      </w:r>
    </w:p>
    <w:p w14:paraId="32CCA4AA" w14:textId="77777777" w:rsidR="003754FE" w:rsidRDefault="003754FE" w:rsidP="003754FE">
      <w:pPr>
        <w:pStyle w:val="TextoNormal"/>
      </w:pPr>
    </w:p>
    <w:p w14:paraId="341161F6" w14:textId="77777777" w:rsidR="003754FE" w:rsidRDefault="003754FE" w:rsidP="003754FE">
      <w:pPr>
        <w:pStyle w:val="TextoNormal"/>
      </w:pPr>
      <w:r>
        <w:t>b) Por otra parte, el recurrente ha alegado que, en contra de lo afirmado en las sentencias impugnadas, los anteproyectos y proyectos de ley, debido a que se encuentran en fase de elaboración, no pueden considerarse ilegales. Según se afirma en la demanda, cualquier proyecto de ley que modifique lo dispuesto en una ley vigente contraviene esta precisamente porque la iniciativa tiene por objeto modificar el ordenamiento jurídico si el Parlamento así lo aprueba. Entiende que en este caso el Parlamento aprobó las leyes de presupuestos por lo que el único control que cabe de las mismas es de constitucionalidad y no el realizado por los órganos judiciales sobre los anteproyectos y proyectos de ley.</w:t>
      </w:r>
    </w:p>
    <w:p w14:paraId="6E9114F7" w14:textId="77777777" w:rsidR="003754FE" w:rsidRDefault="003754FE" w:rsidP="003754FE">
      <w:pPr>
        <w:pStyle w:val="TextoNormal"/>
      </w:pPr>
    </w:p>
    <w:p w14:paraId="7B6B6179" w14:textId="77777777" w:rsidR="003754FE" w:rsidRDefault="003754FE" w:rsidP="003754FE">
      <w:pPr>
        <w:pStyle w:val="TextoNormal"/>
      </w:pPr>
      <w:r>
        <w:t>En efecto, la forma de razonar de las sentencias recurridas, como ya se puso de relieve en la STC 93/2024, FJ 4.4.1 b), supone “privar de toda relevancia a la aprobación parlamentaria de la ley, lo que conlleva desconocer la centralidad del Parlamento andaluz en el entramado institucional diseñado estatutariamente”.</w:t>
      </w:r>
    </w:p>
    <w:p w14:paraId="1FDF0AB7" w14:textId="77777777" w:rsidR="003754FE" w:rsidRDefault="003754FE" w:rsidP="003754FE">
      <w:pPr>
        <w:pStyle w:val="TextoNormal"/>
      </w:pPr>
    </w:p>
    <w:p w14:paraId="1D5CD1C5" w14:textId="77777777" w:rsidR="003754FE" w:rsidRDefault="003754FE" w:rsidP="003754FE">
      <w:pPr>
        <w:pStyle w:val="TextoNormal"/>
      </w:pPr>
      <w:r>
        <w:t>De acuerdo con lo establecido en la STC 93/2024, FJ 4.4.1 b), “la ley de presupuestos generales es una ley que tiene la misma naturaleza normativa que el resto de las leyes. En la STC 76/1992, de 14 de mayo, FJ 4 a), el Tribunal afirmó que ‘se trata de una verdadera ley, considerando así superada la cuestión de su carácter formal o material’. Por ello, los jueces, que están sometidos al imperio de la ley (art. 117.1 CE), tienen el deber de respetarla cualquiera que sea el juicio que su contenido les merezca. Solo cuando consideran que es inconstitucional y que de su validez depende el fallo de un asunto deben plantear cuestión de inconstitucionalidad, pero fuera de este supuesto no podrán cuestionar sus determinaciones y, menos aún, no tomarla en consideración”.</w:t>
      </w:r>
    </w:p>
    <w:p w14:paraId="43E264D2" w14:textId="77777777" w:rsidR="003754FE" w:rsidRDefault="003754FE" w:rsidP="003754FE">
      <w:pPr>
        <w:pStyle w:val="TextoNormal"/>
      </w:pPr>
    </w:p>
    <w:p w14:paraId="739F7A66" w14:textId="77777777" w:rsidR="003754FE" w:rsidRDefault="003754FE" w:rsidP="003754FE">
      <w:pPr>
        <w:pStyle w:val="TextoNormal"/>
      </w:pPr>
      <w:r>
        <w:t>Es indubitado que las leyes de presupuestos de Andalucía para los años 2002 al 2009, en su programa 31L, establecieron un sistema de atribución de fondos al IFA/IDEA (las transferencias de financiación) para la concesión de ayudas sociolaborales que, de acuerdo con lo establecido en sus memorias, habilitaban a la administración autonómica a conceder estas ayudas por tal vía.</w:t>
      </w:r>
    </w:p>
    <w:p w14:paraId="33B5568E" w14:textId="77777777" w:rsidR="003754FE" w:rsidRDefault="003754FE" w:rsidP="003754FE">
      <w:pPr>
        <w:pStyle w:val="TextoNormal"/>
      </w:pPr>
    </w:p>
    <w:p w14:paraId="5C71A5E8" w14:textId="77777777" w:rsidR="003754FE" w:rsidRDefault="003754FE" w:rsidP="003754FE">
      <w:pPr>
        <w:pStyle w:val="TextoNormal"/>
      </w:pPr>
      <w:r>
        <w:t>Las resoluciones impugnadas, al no reconocer que las leyes de presupuestos para los años 2002 al 2009 contienen una previsión —la establecida en el programa 31L— que dotaba de fondos al IFA/IDEA (las transferencias de financiación) para la concesión de ayudas sociolaborales que habilitaba a la administración autonómica a conceder estas ayudas por tal vía, han efectuado, también por este motivo, una interpretación absolutamente imprevisible del elemento típico arbitrariedad lesiva del art. 25.1 CE.</w:t>
      </w:r>
    </w:p>
    <w:p w14:paraId="26C5E871" w14:textId="77777777" w:rsidR="003754FE" w:rsidRDefault="003754FE" w:rsidP="003754FE">
      <w:pPr>
        <w:pStyle w:val="TextoNormal"/>
      </w:pPr>
    </w:p>
    <w:p w14:paraId="2E40E979" w14:textId="77777777" w:rsidR="003754FE" w:rsidRDefault="003754FE" w:rsidP="003754FE">
      <w:pPr>
        <w:pStyle w:val="TextoNormal"/>
      </w:pPr>
      <w:r>
        <w:t>En suma, como ha afirmado el tribunal en relación con esta misma cuestión en la STC 93/2024 y por las razones allí expuestas, ha de concluirse que la apreciación de los elementos típicos del art. 404 CP efectuada por las resoluciones impugnadas respecto de la elaboración y elevación al Consejo de Gobierno de los anteproyectos de leyes de presupuestos es contraria al art. 25.1 CE.</w:t>
      </w:r>
    </w:p>
    <w:p w14:paraId="2369AB2F" w14:textId="77777777" w:rsidR="003754FE" w:rsidRDefault="003754FE" w:rsidP="003754FE">
      <w:pPr>
        <w:pStyle w:val="TextoNormal"/>
      </w:pPr>
    </w:p>
    <w:p w14:paraId="47B39511" w14:textId="77777777" w:rsidR="003754FE" w:rsidRDefault="003754FE" w:rsidP="003754FE">
      <w:pPr>
        <w:pStyle w:val="TextoNormal"/>
      </w:pPr>
      <w:r>
        <w:lastRenderedPageBreak/>
        <w:t>B) Las modificaciones presupuestarias</w:t>
      </w:r>
    </w:p>
    <w:p w14:paraId="47D4031B" w14:textId="77777777" w:rsidR="003754FE" w:rsidRDefault="003754FE" w:rsidP="003754FE">
      <w:pPr>
        <w:pStyle w:val="TextoNormal"/>
      </w:pPr>
    </w:p>
    <w:p w14:paraId="63972A37" w14:textId="77777777" w:rsidR="003754FE" w:rsidRDefault="003754FE" w:rsidP="003754FE">
      <w:pPr>
        <w:pStyle w:val="TextoNormal"/>
      </w:pPr>
      <w:r>
        <w:t>Como ya se ha señalado en este mismo fundamento jurídico, apartado 2.4, el recurrente fue condenado como autor de un delito continuado de prevaricación por haber participado en la aprobación de las modificaciones presupuestarias en los años 2000, 2001, 2002, 2004, 2005, 2006, 2007 y 2008. Las modificaciones llevadas a cabo en los años 2000 y 2001 afectaron al programa presupuestario 22E; la realizada en 2004 afectó al programa 32H, y el resto, esto es, las realizadas en 2002, 2005, 2006, 2007 y 2008 afectaron al programa 31L.</w:t>
      </w:r>
    </w:p>
    <w:p w14:paraId="35DD545B" w14:textId="77777777" w:rsidR="003754FE" w:rsidRDefault="003754FE" w:rsidP="003754FE">
      <w:pPr>
        <w:pStyle w:val="TextoNormal"/>
      </w:pPr>
    </w:p>
    <w:p w14:paraId="6A58FA6B" w14:textId="77777777" w:rsidR="003754FE" w:rsidRDefault="003754FE" w:rsidP="003754FE">
      <w:pPr>
        <w:pStyle w:val="TextoNormal"/>
      </w:pPr>
      <w:r>
        <w:t>Respecto de estas últimas —las relativas al programa 31L— y las que afectaron al programa 22E —realizadas en 2000 y 2001—, las sentencias impugnadas afirman que se aprobaron incumpliendo las normas de estructura presupuestaria y clasificación del gasto establecidas en la Orden de la Consejería de Hacienda de 22 de mayo de 1998. Sin embargo, por lo que se refiere a la modificación presupuestaria aprobada para el pago de ayudas sociolaborales por el Consejo de Gobierno el día 9 de diciembre de 2004 en el programa 32H (“Dirección y servicios generales del Servicio Andaluz de Empleo”), las resoluciones recurridas consideran que los fines de dicho programa eran por completo ajenos a la finalidad a la que se dedicaron, por lo que la califican de ilegal.</w:t>
      </w:r>
    </w:p>
    <w:p w14:paraId="75EDECC9" w14:textId="77777777" w:rsidR="003754FE" w:rsidRDefault="003754FE" w:rsidP="003754FE">
      <w:pPr>
        <w:pStyle w:val="TextoNormal"/>
      </w:pPr>
    </w:p>
    <w:p w14:paraId="4E5144F1" w14:textId="77777777" w:rsidR="003754FE" w:rsidRDefault="003754FE" w:rsidP="003754FE">
      <w:pPr>
        <w:pStyle w:val="TextoNormal"/>
      </w:pPr>
      <w:r>
        <w:t>Del mismo modo que se acaba de hacer respecto de los anteproyectos y proyectos de ley, procede analizar si las resoluciones judiciales impugnadas han realizado una interpretación imprevisible del delito de prevaricación (art. 404 CP) —por ello contraria al art. 25.1 CE—, al considerar que las modificaciones presupuestarias son “resoluciones” “arbitrarias” dictadas en “asunto administrativo”.</w:t>
      </w:r>
    </w:p>
    <w:p w14:paraId="77B1E298" w14:textId="77777777" w:rsidR="003754FE" w:rsidRDefault="003754FE" w:rsidP="003754FE">
      <w:pPr>
        <w:pStyle w:val="TextoNormal"/>
      </w:pPr>
    </w:p>
    <w:p w14:paraId="2C601EDC" w14:textId="77777777" w:rsidR="003754FE" w:rsidRDefault="003754FE" w:rsidP="003754FE">
      <w:pPr>
        <w:pStyle w:val="TextoNormal"/>
      </w:pPr>
      <w:r>
        <w:t>En la STC 93/2024, FJ 4.4.2, respecto de las modificaciones presupuestarias, se afirmó que “[c]alificar estos actos como administrativos entra dentro de los márgenes de interpretación admisibles en Derecho, dado que no existe norma ni principio alguno que impida llegar a esta conclusión”. Por los motivos allí expuestos, a los que también procede ahora remitirse, no constituye una interpretación imprevisible ni extravagante del elemento típico “resolución dictada en procedimiento administrativo” del art. 404 CP calificar a las modificaciones presupuestarias como actos administrativos.</w:t>
      </w:r>
    </w:p>
    <w:p w14:paraId="771C4963" w14:textId="77777777" w:rsidR="003754FE" w:rsidRDefault="003754FE" w:rsidP="003754FE">
      <w:pPr>
        <w:pStyle w:val="TextoNormal"/>
      </w:pPr>
    </w:p>
    <w:p w14:paraId="7D254F84" w14:textId="77777777" w:rsidR="003754FE" w:rsidRDefault="003754FE" w:rsidP="003754FE">
      <w:pPr>
        <w:pStyle w:val="TextoNormal"/>
      </w:pPr>
      <w:r>
        <w:t xml:space="preserve">Cuestión distinta es si esta clase de actos pueden considerarse arbitrarios. Las sentencias recurridas así lo consideran. Por lo que se refiere a las modificaciones presupuestarias de los programas 22E y 31L, las resoluciones judiciales recurridas sostienen que se realizaron prescindiendo de las exigencias procedimentales y materiales con el fin de eludir los controles exigidos por la normativa subvencional (sentencia del Tribunal Supremo, fundamento de Derecho 24.2, págs. 265 a 271). En efecto, tanto la Audiencia Provincial como el Tribunal Supremo llegan a la conclusión de que las modificaciones presupuestarias efectuadas no respetan la normativa presupuestaria, en particular la Orden de la Consejería de Hacienda de 22 de mayo de 1998, y por ello aprecian su manifiesta ilegalidad. Asimismo, y por lo que se refiere a la modificación presupuestaria aprobada por el Consejo de Gobierno el día 9 de diciembre de 2004 en el programa 32H (“Dirección y servicios generales del Servicio Andaluz de Empleo”), las resoluciones recurridas consideran que los fines de dicho programa eran por completo ajenos a la finalidad a la que se dedicaron, por lo que la califican de ilegal. En la STC 93/2024, FJ 4.4.2, se sostiene que aunque no es función del Tribunal enjuiciar la corrección jurídica de dicha apreciación, “sí entra dentro de sus atribuciones el efectuar un </w:t>
      </w:r>
      <w:r>
        <w:lastRenderedPageBreak/>
        <w:t>juicio externo de las razones que llevan a los órganos judiciales a resolver en el sentido expuesto, pues solo de este modo puede verificarse que las resoluciones judiciales, al calificar como manifiestamente ilegales las modificaciones presupuestarias efectuadas, no han desbordado los límites que impone el art. 25.1 CE”.</w:t>
      </w:r>
    </w:p>
    <w:p w14:paraId="141E0A47" w14:textId="77777777" w:rsidR="003754FE" w:rsidRDefault="003754FE" w:rsidP="003754FE">
      <w:pPr>
        <w:pStyle w:val="TextoNormal"/>
      </w:pPr>
    </w:p>
    <w:p w14:paraId="07E26E26" w14:textId="77777777" w:rsidR="003754FE" w:rsidRDefault="003754FE" w:rsidP="003754FE">
      <w:pPr>
        <w:pStyle w:val="TextoNormal"/>
      </w:pPr>
      <w:r>
        <w:t>El Tribunal consideró en el fundamento jurídico 4.4.2 de la mencionada sentencia que para hacer tal juicio externo no puede desconocerse que, desde el año 2002, se incluyó en las leyes de presupuestos el programa 31L, que tiene por objeto otorgar transferencias de financiación al IFA/IDEA en materia de relaciones laborales. En los documentos que acompañan a dichas leyes, “en particular, en las memorias —transcritas en sus pasajes más relevantes en las sentencias que ahora se recurren— se hace referencia a la finalidad que con ese programa se pretende, quién ha de ejecutarlo y cómo debe hacerlo”. Estos datos, a los que ahora procede remitirse, quedaron expuestos en la STC 93/2024, FJ 4.4.2.</w:t>
      </w:r>
    </w:p>
    <w:p w14:paraId="184CFBA5" w14:textId="77777777" w:rsidR="003754FE" w:rsidRDefault="003754FE" w:rsidP="003754FE">
      <w:pPr>
        <w:pStyle w:val="TextoNormal"/>
      </w:pPr>
    </w:p>
    <w:p w14:paraId="2F435CD3" w14:textId="77777777" w:rsidR="003754FE" w:rsidRDefault="003754FE" w:rsidP="003754FE">
      <w:pPr>
        <w:pStyle w:val="TextoNormal"/>
      </w:pPr>
      <w:r>
        <w:t>El Tribunal concluyó que los órganos judiciales, al interpretar el elemento típico “arbitraria” del art. 404 CP, debieron haber tomado en consideración el cambio de presupuestación antes referido —aprobado a partir del año 2002—. Al no hacerlo, resulta imprevisible considerar manifiestamente ilegales actos —las modificaciones presupuestarias—, dictados al amparo del programa 31L incluido en las leyes de presupuestos.</w:t>
      </w:r>
    </w:p>
    <w:p w14:paraId="0DF51250" w14:textId="77777777" w:rsidR="003754FE" w:rsidRDefault="003754FE" w:rsidP="003754FE">
      <w:pPr>
        <w:pStyle w:val="TextoNormal"/>
      </w:pPr>
    </w:p>
    <w:p w14:paraId="746E1196" w14:textId="77777777" w:rsidR="003754FE" w:rsidRDefault="003754FE" w:rsidP="003754FE">
      <w:pPr>
        <w:pStyle w:val="TextoNormal"/>
      </w:pPr>
      <w:r>
        <w:t>Una vez expuesta la doctrina que debe aplicarse a este extremo, procede examinar si las modificaciones presupuestarias en las que participó el demandante de amparo tenían cobertura en el programa 31L. Como ya se ha expuesto en el fundamento jurídico 2.4, se afirma en las resoluciones judiciales que el recurrente participó en la elaboración de las siguientes modificaciones presupuestarias que se destinaron al pago de ayudas sociolaborales:</w:t>
      </w:r>
    </w:p>
    <w:p w14:paraId="12E37A3F" w14:textId="77777777" w:rsidR="003754FE" w:rsidRDefault="003754FE" w:rsidP="003754FE">
      <w:pPr>
        <w:pStyle w:val="TextoNormal"/>
      </w:pPr>
    </w:p>
    <w:p w14:paraId="0FF89437" w14:textId="77777777" w:rsidR="003754FE" w:rsidRDefault="003754FE" w:rsidP="003754FE">
      <w:pPr>
        <w:pStyle w:val="TextoNormal"/>
      </w:pPr>
      <w:r>
        <w:t>(i) Cinco modificaciones presupuestarias realizadas en los años 2000 y 2001 por las que se incrementó la partida 22E. Dichas modificaciones fueron aprobadas por el Consejo de Gobierno el 18 de abril de 2000, por la se incrementó en 257 000 000 pesetas la aplicación presupuestaria 440.12.22E, dando de baja la aplicación 472.00.22E; el 28 de julio de 2000, por la que se incrementó en 904 000 000 pesetas la aplicación 440.01.22E, dando de baja la aplicación 481.00.22E; el 29 de mayo de 2001, por la se incrementó en 5 573 000 pesetas la partida 440.00.22E, dando de baja otros conceptos; el 18 de septiembre de 2001, por la se incrementó en 1 250 000 000 pesetas la aplicación 440.00.22E, dando de baja la aplicación 486.00.22E, y el 13 de noviembre de 2001, por la que se incrementó en 660 000 000 pesetas la aplicación 440.00.22E, dando de baja la aplicación 486.00.22E.</w:t>
      </w:r>
    </w:p>
    <w:p w14:paraId="08EA5B70" w14:textId="77777777" w:rsidR="003754FE" w:rsidRDefault="003754FE" w:rsidP="003754FE">
      <w:pPr>
        <w:pStyle w:val="TextoNormal"/>
      </w:pPr>
    </w:p>
    <w:p w14:paraId="26C0D13C" w14:textId="77777777" w:rsidR="003754FE" w:rsidRDefault="003754FE" w:rsidP="003754FE">
      <w:pPr>
        <w:pStyle w:val="TextoNormal"/>
      </w:pPr>
      <w:r>
        <w:t>(ii) Siete modificaciones presupuestarias por las que se incrementaba la partida 31L en la aplicación presupuestaria 440.51 o 740.51. Dichas modificaciones presupuestarias fueron aprobadas por el Consejo de Gobierno el 15 de octubre de 2002 por cuantía de 9 944 099 €; el 7 de diciembre de 2005 por cuantía de 799 895,97 €; el 7 de noviembre de 2006, por cuantía de 9 300 000 €; el 27 de noviembre de 2007, por cuantía de 7 448 503,44 € y tres modificaciones presupuestarias el día 22 de diciembre de 2008 por cuantía de 1 253 853,89 €, otra por importe de 6 011 836,20 € y la tercera por importe de 8 000 000 €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w:t>
      </w:r>
    </w:p>
    <w:p w14:paraId="637C37BE" w14:textId="77777777" w:rsidR="003754FE" w:rsidRDefault="003754FE" w:rsidP="003754FE">
      <w:pPr>
        <w:pStyle w:val="TextoNormal"/>
      </w:pPr>
    </w:p>
    <w:p w14:paraId="3BB9A89C" w14:textId="77777777" w:rsidR="003754FE" w:rsidRDefault="003754FE" w:rsidP="003754FE">
      <w:pPr>
        <w:pStyle w:val="TextoNormal"/>
      </w:pPr>
      <w:r>
        <w:t>(iii) Una modificación presupuestaria aprobada por el Consejo de Gobierno el 9 de diciembre de 2004 que incrementó el programa 32H (“Dirección y servicios generales del Servicio Andaluz de Empleo”) por importe de 2 994 876 €.</w:t>
      </w:r>
    </w:p>
    <w:p w14:paraId="24147FE3" w14:textId="77777777" w:rsidR="003754FE" w:rsidRDefault="003754FE" w:rsidP="003754FE">
      <w:pPr>
        <w:pStyle w:val="TextoNormal"/>
      </w:pPr>
    </w:p>
    <w:p w14:paraId="5D0419C1" w14:textId="77777777" w:rsidR="003754FE" w:rsidRDefault="003754FE" w:rsidP="003754FE">
      <w:pPr>
        <w:pStyle w:val="TextoNormal"/>
      </w:pPr>
      <w:r>
        <w:t>De conformidad con lo expuesto, no pueden considerarse arbitrarias las modificaciones presupuestarias identificadas en el apartado (ii), esto es, las aprobadas por el Consejo de Gobierno el 15 de octubre de 2002, el 7 de diciembre de 2005, el 7 de noviembre de 2006, el 27 de noviembre de 2007 y el 22 de diciembre de 2008, al encontrarse amparadas en el programa 31L de las leyes de presupuestos para los años 2002, 2005, 2006, 2007 y 2008. Por todo ello, las resoluciones impugnadas, en lo que se refiere a estas concretas modificaciones presupuestarias, al calificarlas como manifiestamente ilegales, han incurrido en una interpretación del todo imprevisible del tipo penal que ha determinado la condena.</w:t>
      </w:r>
    </w:p>
    <w:p w14:paraId="6328CA39" w14:textId="77777777" w:rsidR="003754FE" w:rsidRDefault="003754FE" w:rsidP="003754FE">
      <w:pPr>
        <w:pStyle w:val="TextoNormal"/>
      </w:pPr>
    </w:p>
    <w:p w14:paraId="5B8C029E" w14:textId="5874A6E5" w:rsidR="003754FE" w:rsidRDefault="003754FE" w:rsidP="003754FE">
      <w:pPr>
        <w:pStyle w:val="TextoNormal"/>
      </w:pPr>
      <w:r>
        <w:t>No ocurre lo mismo con la modificación presupuestaria realizadas en los programas 22E y 32H. Los fines de estos programas no eran la concesión de ayudas sociolaborales, por lo que, al ser dedicados estos fondos a ayudas sociolaborales, su consideración por las resoluciones judiciales impugnadas como resolución arbitraria recaída en un asunto administrativo no desborda los límites del art. 404 CP.</w:t>
      </w:r>
    </w:p>
    <w:p w14:paraId="697D2524" w14:textId="77777777" w:rsidR="003754FE" w:rsidRDefault="003754FE" w:rsidP="003754FE">
      <w:pPr>
        <w:pStyle w:val="TextoNormal"/>
      </w:pPr>
    </w:p>
    <w:p w14:paraId="4A72383E" w14:textId="77777777" w:rsidR="003754FE" w:rsidRDefault="003754FE" w:rsidP="003754FE">
      <w:pPr>
        <w:pStyle w:val="TextoNormal"/>
      </w:pPr>
      <w:r w:rsidRPr="003754FE">
        <w:rPr>
          <w:rStyle w:val="NumeroAFNegritaCaracter"/>
        </w:rPr>
        <w:t>4</w:t>
      </w:r>
      <w:r>
        <w:t xml:space="preserve">. </w:t>
      </w:r>
      <w:r w:rsidRPr="003754FE">
        <w:rPr>
          <w:i/>
        </w:rPr>
        <w:t>Conclusiones y alcance del fallo</w:t>
      </w:r>
    </w:p>
    <w:p w14:paraId="4AD169F7" w14:textId="77777777" w:rsidR="003754FE" w:rsidRDefault="003754FE" w:rsidP="003754FE">
      <w:pPr>
        <w:pStyle w:val="TextoNormal"/>
      </w:pPr>
    </w:p>
    <w:p w14:paraId="137FC6E5" w14:textId="77777777" w:rsidR="003754FE" w:rsidRDefault="003754FE" w:rsidP="003754FE">
      <w:pPr>
        <w:pStyle w:val="TextoNormal"/>
      </w:pPr>
      <w:r>
        <w:t>Los argumentos expuestos determinan la estimación parcial del recurso de amparo.</w:t>
      </w:r>
    </w:p>
    <w:p w14:paraId="55367193" w14:textId="77777777" w:rsidR="003754FE" w:rsidRDefault="003754FE" w:rsidP="003754FE">
      <w:pPr>
        <w:pStyle w:val="TextoNormal"/>
      </w:pPr>
    </w:p>
    <w:p w14:paraId="709E93FE" w14:textId="77777777" w:rsidR="003754FE" w:rsidRDefault="003754FE" w:rsidP="003754FE">
      <w:pPr>
        <w:pStyle w:val="TextoNormal"/>
      </w:pPr>
      <w:r>
        <w:t>La aplicación que han efectuado los órganos judiciales del art. 404 CP al condenar al recurrente en amparo como autor de un delito continuado de prevaricación por haber intervenido en la elaboración de los anteproyectos de leyes de presupuestos para los años 2002 a 2009 y haberlos aprobado como proyectos de ley para su envío al Parlamento de Andalucía, así como por haber participado en las modificaciones presupuestarias aprobadas por el Consejo de Gobierno los días 15 de octubre de 2002, 7 de diciembre de 2005, 7 de noviembre de 2006, 27 de noviembre de 2007 y 22 de diciembre de 2008, infringe el derecho a la legalidad penal (art. 25.1 CE). La lesión de este derecho fundamental se produce por haber efectuado los órganos judiciales una interpretación y subsunción de los hechos en la norma penal que no se corresponde con la interpretación de los elementos típicos comúnmente aceptada por la comunidad jurídica y es incompatible con el sistema institucional constitucional y estatutariamente previsto. Todo ello conlleva que, en relación con los referidos hechos, la conducta prohibida, tal y como ha sido interpretada en las sentencias impugnadas, resulte imprevisible para sus destinatarios.</w:t>
      </w:r>
    </w:p>
    <w:p w14:paraId="3C849B89" w14:textId="77777777" w:rsidR="003754FE" w:rsidRDefault="003754FE" w:rsidP="003754FE">
      <w:pPr>
        <w:pStyle w:val="TextoNormal"/>
      </w:pPr>
    </w:p>
    <w:p w14:paraId="513BEF25" w14:textId="77777777" w:rsidR="003754FE" w:rsidRDefault="003754FE" w:rsidP="003754FE">
      <w:pPr>
        <w:pStyle w:val="TextoNormal"/>
      </w:pPr>
      <w:r>
        <w:t>No puede apreciarse lesiva del derecho a la legalidad penal (art. 25.1 CE) la condena por delito continuado de prevaricación por haber efectuado las modificaciones presupuestarias de 18 de abril y 28 de julio de 2000; de 29 de mayo, 18 de septiembre y 13 de noviembre de 2001, y de 9 de diciembre de 2004. En relación con estas conductas, los órganos judiciales han efectuado una interpretación y subsunción de los hechos en la norma penal acorde con las exigencias que se derivan de este derecho fundamental.</w:t>
      </w:r>
    </w:p>
    <w:p w14:paraId="078D4E12" w14:textId="77777777" w:rsidR="003754FE" w:rsidRDefault="003754FE" w:rsidP="003754FE">
      <w:pPr>
        <w:pStyle w:val="TextoNormal"/>
      </w:pPr>
    </w:p>
    <w:p w14:paraId="7E6E58CA" w14:textId="200A5B97" w:rsidR="003754FE" w:rsidRDefault="003754FE" w:rsidP="003754FE">
      <w:pPr>
        <w:pStyle w:val="TextoNormal"/>
      </w:pPr>
      <w:r>
        <w:t xml:space="preserve">En consecuencia, el fallo parcialmente estimatorio determina la nulidad de las resoluciones impugnadas y la retroacción del procedimiento al momento anterior al dictado de la </w:t>
      </w:r>
      <w:r>
        <w:lastRenderedPageBreak/>
        <w:t>sentencia de instancia para que por la Audiencia Provincial de Sevilla se dicte un nuevo pronunciamiento con exclusión de las siguientes conductas realizadas por el recurrente: haber participado en la aprobación de los anteproyectos de leyes de presupuestos para los ejercicios 2002 a 2009 y su envío como proyectos de ley al Parlamento; y haber participado en la aprobación por el Consejo de Gobierno de las modificaciones presupuestarias de 15 de octubre de 2002, 7 de diciembre de 2005, 7 de noviembre de 2006, 27 de noviembre de 2007 y 22 de diciembre de 2008.</w:t>
      </w:r>
    </w:p>
    <w:p w14:paraId="69C2AE03" w14:textId="77777777" w:rsidR="003754FE" w:rsidRDefault="003754FE" w:rsidP="003754FE">
      <w:pPr>
        <w:pStyle w:val="TextoNormal"/>
      </w:pPr>
    </w:p>
    <w:p w14:paraId="2071A76A" w14:textId="77777777" w:rsidR="003754FE" w:rsidRDefault="003754FE" w:rsidP="003754FE">
      <w:pPr>
        <w:pStyle w:val="TextoNormalCentrado"/>
        <w:keepNext/>
      </w:pPr>
      <w:r>
        <w:t>FALLO</w:t>
      </w:r>
    </w:p>
    <w:p w14:paraId="0121992B" w14:textId="00FDB767" w:rsidR="003754FE" w:rsidRDefault="003754FE" w:rsidP="003754FE">
      <w:pPr>
        <w:pStyle w:val="TextoNormalCentrado"/>
        <w:keepNext/>
      </w:pPr>
    </w:p>
    <w:p w14:paraId="728ED72E" w14:textId="77777777" w:rsidR="003754FE" w:rsidRDefault="003754FE" w:rsidP="003754FE">
      <w:pPr>
        <w:pStyle w:val="TextoNormal"/>
      </w:pPr>
      <w:r>
        <w:t>En atención a todo lo expuesto, el Tribunal Constitucional, por la autoridad que le confiere la Constitución de la Nación española, ha decidido estimar parcialmente el recurso de amparo interpuesto por don Manuel Chaves González.</w:t>
      </w:r>
    </w:p>
    <w:p w14:paraId="34A50B72" w14:textId="77777777" w:rsidR="003754FE" w:rsidRDefault="003754FE" w:rsidP="003754FE">
      <w:pPr>
        <w:pStyle w:val="TextoNormal"/>
      </w:pPr>
    </w:p>
    <w:p w14:paraId="22FB1899" w14:textId="77777777" w:rsidR="003754FE" w:rsidRDefault="003754FE" w:rsidP="003754FE">
      <w:pPr>
        <w:pStyle w:val="TextoNormal"/>
      </w:pPr>
      <w:r>
        <w:t>1º Reconocer que se ha vulnerado su derecho fundamental a la legalidad penal (art. 25.1 CE).</w:t>
      </w:r>
    </w:p>
    <w:p w14:paraId="01DB3995" w14:textId="77777777" w:rsidR="003754FE" w:rsidRDefault="003754FE" w:rsidP="003754FE">
      <w:pPr>
        <w:pStyle w:val="TextoNormal"/>
      </w:pPr>
    </w:p>
    <w:p w14:paraId="47083E30" w14:textId="77777777" w:rsidR="003754FE" w:rsidRDefault="003754FE" w:rsidP="003754FE">
      <w:pPr>
        <w:pStyle w:val="TextoNormal"/>
      </w:pPr>
      <w:r>
        <w:t>2º Restablecerle en su derecho y, a tal fin, declarar la nulidad de la sentencia núm. 490/2019, de 19 de noviembre, dictada por la Sección Primera de la Audiencia Provincial de Sevilla, y de la sentencia núm. 749/2022, de 13 de septiembre, de la Sala de lo Penal del Tribunal Supremo, ordenando la retroacción del proceso al momento anterior al dictado de la sentencia de instancia para que por la Audiencia Provincial de Sevilla se dicte un nuevo pronunciamiento respetuoso con el derecho fundamental vulnerado, en los términos que se indican en el fundamento jurídico cuarto de esta sentencia.</w:t>
      </w:r>
    </w:p>
    <w:p w14:paraId="08F53A52" w14:textId="77777777" w:rsidR="003754FE" w:rsidRDefault="003754FE" w:rsidP="003754FE">
      <w:pPr>
        <w:pStyle w:val="TextoNormal"/>
      </w:pPr>
    </w:p>
    <w:p w14:paraId="405ABC25" w14:textId="42CB17BB" w:rsidR="003754FE" w:rsidRDefault="003754FE" w:rsidP="003754FE">
      <w:pPr>
        <w:pStyle w:val="TextoNormal"/>
      </w:pPr>
      <w:r>
        <w:t>3º Desestimar el recurso de amparo en todo lo demás.</w:t>
      </w:r>
    </w:p>
    <w:p w14:paraId="16597AEA" w14:textId="77777777" w:rsidR="003754FE" w:rsidRDefault="003754FE" w:rsidP="003754FE">
      <w:pPr>
        <w:pStyle w:val="TextoNormal"/>
      </w:pPr>
    </w:p>
    <w:p w14:paraId="208BAE58" w14:textId="77777777" w:rsidR="003754FE" w:rsidRDefault="003754FE" w:rsidP="003754FE">
      <w:pPr>
        <w:pStyle w:val="TextoNormal"/>
      </w:pPr>
      <w:r>
        <w:t>Publíquese esta sentencia en el “Boletín Oficial del Estado”.</w:t>
      </w:r>
    </w:p>
    <w:p w14:paraId="4EBA09A6" w14:textId="77777777" w:rsidR="003754FE" w:rsidRDefault="003754FE" w:rsidP="003754FE">
      <w:pPr>
        <w:pStyle w:val="TextoNormal"/>
      </w:pPr>
      <w:r>
        <w:t>Dada en Madrid, a dieciséis de julio de dos mil veinticuatro.</w:t>
      </w:r>
    </w:p>
    <w:p w14:paraId="32BF31E9" w14:textId="29AC36AB" w:rsidR="003754FE" w:rsidRDefault="003754FE" w:rsidP="003754FE">
      <w:pPr>
        <w:pStyle w:val="ParrafoNormal"/>
      </w:pPr>
    </w:p>
    <w:p w14:paraId="24104BA9" w14:textId="77777777" w:rsidR="003754FE" w:rsidRDefault="003754FE" w:rsidP="003754FE">
      <w:pPr>
        <w:pStyle w:val="TextoNormalNegritaCentrado"/>
        <w:keepNext/>
      </w:pPr>
      <w:r>
        <w:t>Voto particular que formula el magistrado don Ricardo Enríquez Sancho a la sentencia dictada en el recurso de amparo núm. 7007-2022</w:t>
      </w:r>
    </w:p>
    <w:p w14:paraId="5DA52921" w14:textId="2427C07D" w:rsidR="003754FE" w:rsidRDefault="003754FE" w:rsidP="003754FE">
      <w:pPr>
        <w:pStyle w:val="TextoNormalNegritaCentrado"/>
        <w:keepNext/>
      </w:pPr>
    </w:p>
    <w:p w14:paraId="190B7B8E" w14:textId="77777777" w:rsidR="003754FE" w:rsidRDefault="003754FE" w:rsidP="003754FE">
      <w:pPr>
        <w:pStyle w:val="TextoNormal"/>
      </w:pPr>
      <w:r>
        <w:t>En el ejercicio de la facultad que me confiere el art. 90.2 de la Ley Orgánica del Tribunal Constitucional, y con el máximo respeto a la opinión de los magistrados que han conformado la mayoría del Pleno, formulo el presente voto particular por discrepar de la fundamentación y del fallo de la sentencia recaída en el recurso de amparo avocado por el Pleno núm. 7007-2022, interpuesto por don Manuel Chaves González, el cual a mi juicio debió ser desestimado porque las sentencias impugnadas no vulneraron su derecho fundamental a la legalidad penal (art. 25.1 CE).</w:t>
      </w:r>
    </w:p>
    <w:p w14:paraId="6C95814C" w14:textId="77777777" w:rsidR="003754FE" w:rsidRDefault="003754FE" w:rsidP="003754FE">
      <w:pPr>
        <w:pStyle w:val="TextoNormal"/>
      </w:pPr>
    </w:p>
    <w:p w14:paraId="382D1EFA" w14:textId="77777777" w:rsidR="003754FE" w:rsidRDefault="003754FE" w:rsidP="003754FE">
      <w:pPr>
        <w:pStyle w:val="TextoNormal"/>
      </w:pPr>
      <w:r>
        <w:t xml:space="preserve">Antes de explicar las razones de este voto particular, procede recordar que el Pleno de este tribunal ha dictado ya siete sentencias en esta serie de recursos de amparo referida a la causa de los “ERE”, en el que se impugnaban las mismas resoluciones que aquí, la sentencia de la Sección Primera de la Audiencia Provincial de Sevilla de 19 de noviembre de 2019, confirmada en casación por la sentencia de la Sala de lo Penal del Tribunal Supremo de 13 de septiembre de 2022 (así como el auto de la misma Sala de lo Penal de 16 de febrero de </w:t>
      </w:r>
      <w:r>
        <w:lastRenderedPageBreak/>
        <w:t>2023 que rechazó el incidente de nulidad de actuaciones promovido contra su sentencia). Todos los recurrentes resultaron condenados por el delito de prevaricación [art. 404 del Código penal (CP)], y algunos además —no es el caso del aquí recurrente— por el delito de malversación de caudales públicos (art. 432 CP) en concurso medial con aquel otro, dada su participación en los hechos probados que las sentencias recurridas subsumen en los mencionados delitos y en virtud del correspondiente juicio de autoría, valiéndose de su condición de altos cargos de la Junta de Andalucía en los años 2000 a 2009. En el caso del señor Chaves González, fue presidente de la Junta de Andalucía de 1990 a 2009, por tanto incluyendo los años objeto de investigación (2000-2009).</w:t>
      </w:r>
    </w:p>
    <w:p w14:paraId="416C9CBB" w14:textId="77777777" w:rsidR="003754FE" w:rsidRDefault="003754FE" w:rsidP="003754FE">
      <w:pPr>
        <w:pStyle w:val="TextoNormal"/>
      </w:pPr>
    </w:p>
    <w:p w14:paraId="211226D4" w14:textId="77777777" w:rsidR="003754FE" w:rsidRDefault="003754FE" w:rsidP="003754FE">
      <w:pPr>
        <w:pStyle w:val="TextoNormal"/>
      </w:pPr>
      <w:r>
        <w:t>La sentencia recaída en el recurso de amparo 7007-2022 de la que ahora discrepo, despliega los mismos razonamientos que ya ha utilizado el Pleno en otras sentencias de esta serie para estimar, total o en su caso parcialmente, la queja que aquí se plantea. En concreto y en lo que aquí importa, a partir de la STC 93/2024, de 19 de junio (recurso de amparo 6971-2022, recurrente doña Magdalena Álvarez Arza).</w:t>
      </w:r>
    </w:p>
    <w:p w14:paraId="4E4AC014" w14:textId="77777777" w:rsidR="003754FE" w:rsidRDefault="003754FE" w:rsidP="003754FE">
      <w:pPr>
        <w:pStyle w:val="TextoNormal"/>
      </w:pPr>
    </w:p>
    <w:p w14:paraId="51A7F266" w14:textId="77777777" w:rsidR="003754FE" w:rsidRDefault="003754FE" w:rsidP="003754FE">
      <w:pPr>
        <w:pStyle w:val="TextoNormal"/>
      </w:pPr>
      <w:r>
        <w:t>De la fundamentación y el fallo de la STC 93/2024 manifesté mi disconformidad en un voto conjunto firmado con mis compañeros magistrados don Enrique Arnaldo Alcubilla y doña Concepción Espejel Jorquera Así lo he hecho también en las demás sentencias de la serie ya dictadas, con relación a esta misma queja. Constatado que la sentencia que ahora nos ocupa bebe directamente de los postulados que se contienen en aquella, debo por fuerza reiterarme en las razones que ya he ofrecido para cuestionar su corrección y acierto, y que expondré de nuevo con detalle en este voto particular.</w:t>
      </w:r>
    </w:p>
    <w:p w14:paraId="4C870181" w14:textId="77777777" w:rsidR="003754FE" w:rsidRDefault="003754FE" w:rsidP="003754FE">
      <w:pPr>
        <w:pStyle w:val="TextoNormal"/>
      </w:pPr>
    </w:p>
    <w:p w14:paraId="40E1821A" w14:textId="77777777" w:rsidR="003754FE" w:rsidRDefault="003754FE" w:rsidP="003754FE">
      <w:pPr>
        <w:pStyle w:val="TextoNormal"/>
      </w:pPr>
      <w:r>
        <w:t xml:space="preserve">1. </w:t>
      </w:r>
      <w:r w:rsidRPr="003754FE">
        <w:rPr>
          <w:i/>
        </w:rPr>
        <w:t>Sobre la estimación parcial de la queja por vulneración del principio de legalidad penal (art. 25.1 CE) al condenar al recurrente por el delito de prevaricación</w:t>
      </w:r>
    </w:p>
    <w:p w14:paraId="576544A4" w14:textId="77777777" w:rsidR="003754FE" w:rsidRDefault="003754FE" w:rsidP="003754FE">
      <w:pPr>
        <w:pStyle w:val="TextoNormal"/>
      </w:pPr>
    </w:p>
    <w:p w14:paraId="2FEBA83B" w14:textId="77777777" w:rsidR="003754FE" w:rsidRDefault="003754FE" w:rsidP="003754FE">
      <w:pPr>
        <w:pStyle w:val="TextoNormal"/>
      </w:pPr>
      <w:r>
        <w:t>La sentencia de la que ahora discrepo declara, en su fundamento jurídico 3.5, que las resoluciones recurridas han infringido el derecho a la legalidad penal (art. 25.1 CE) del recurrente por haberle condenado por un delito continuado de prevaricación del art. 404 CP: (i) al haber intervenido en la aprobación de los anteproyectos de leyes de presupuestos y envío de aquellos al Parlamento, desde el ejercicio del año 2002 al año 2009, siendo conocedor de que dentro del programa 31L se consignaba indebidamente bajo el concepto de “Transferencias de financiación al IFA”, conceptos vinculados a la partida 440.51 en materia de relaciones laborales; actividad que no puede reputarse como “resolución” dictada “en asunto administrativo” y “arbitraria”, en orden a su incardinación en aquel tipo penal [FJ 3.5 A)]; y (ii) como presidente del Consejo de Gobierno, por aprobar ciertas modificaciones presupuestarias en los años 2002, 2005, 2006, 2007 y 2008, las cuales tenían cobertura en el programa 31L, ideado a tal fin; actividad que si bien sí puede calificarse como “resolución” dictada “en asunto administrativo”, no reviste sin embargo la ilegalidad manifiesta (arbitrariedad) propia del referido tipo penal [FJ 3.5 B)].</w:t>
      </w:r>
    </w:p>
    <w:p w14:paraId="1DF9FC58" w14:textId="77777777" w:rsidR="003754FE" w:rsidRDefault="003754FE" w:rsidP="003754FE">
      <w:pPr>
        <w:pStyle w:val="TextoNormal"/>
      </w:pPr>
    </w:p>
    <w:p w14:paraId="59E708C4" w14:textId="77777777" w:rsidR="003754FE" w:rsidRDefault="003754FE" w:rsidP="003754FE">
      <w:pPr>
        <w:pStyle w:val="TextoNormal"/>
      </w:pPr>
      <w:r>
        <w:t>Esta línea de argumentación de la sentencia ahora dictada, que como ya he indicado antes viene utilizándose desde la STC 93/2024, no resulta sostenible tampoco aquí a la luz de las siguientes consideraciones:</w:t>
      </w:r>
    </w:p>
    <w:p w14:paraId="5FA3B816" w14:textId="77777777" w:rsidR="003754FE" w:rsidRDefault="003754FE" w:rsidP="003754FE">
      <w:pPr>
        <w:pStyle w:val="TextoNormal"/>
      </w:pPr>
    </w:p>
    <w:p w14:paraId="073CA23B" w14:textId="77777777" w:rsidR="003754FE" w:rsidRDefault="003754FE" w:rsidP="003754FE">
      <w:pPr>
        <w:pStyle w:val="TextoNormal"/>
      </w:pPr>
      <w:r>
        <w:t xml:space="preserve">2. </w:t>
      </w:r>
      <w:r w:rsidRPr="003754FE">
        <w:rPr>
          <w:i/>
        </w:rPr>
        <w:t>La elaboración de anteproyectos y proyectos de ley puede ser considerada “asunto administrativo” por la jurisdicción penal</w:t>
      </w:r>
    </w:p>
    <w:p w14:paraId="74581474" w14:textId="77777777" w:rsidR="003754FE" w:rsidRDefault="003754FE" w:rsidP="003754FE">
      <w:pPr>
        <w:pStyle w:val="TextoNormal"/>
      </w:pPr>
    </w:p>
    <w:p w14:paraId="05C9E827" w14:textId="77777777" w:rsidR="003754FE" w:rsidRDefault="003754FE" w:rsidP="003754FE">
      <w:pPr>
        <w:pStyle w:val="TextoNormal"/>
      </w:pPr>
      <w:r>
        <w:t>La idea que informa esta parte de la sentencia es que la actividad previa a la remisión por el Gobierno de Andalucía a su Parlamento de los correspondientes proyectos de leyes de presupuestos es una actividad que, como inherente a la iniciativa legislativa que le corresponde, se integra en esta y no puede ser objeto de control jurídico. Niega, en consecuencia, que toda la actividad tendente a la elaboración de los anteproyectos de ley que luego se convertirán en proyectos remitidos al Parlamento pueda considerarse integrante de un procedimiento administrativo y, por consiguiente, que las decisiones que se adoptan en ese ámbito puedan calificarse como resoluciones recaídas en un “asunto administrativo” que es el término que emplea el art. 404 CP [FJ 3.5 A) a)], presupuesto de que parten la sentencias de la Audiencia Provincial y del Tribunal Supremo para fundar la condena por prevaricación del recurrente.</w:t>
      </w:r>
    </w:p>
    <w:p w14:paraId="680233B4" w14:textId="77777777" w:rsidR="003754FE" w:rsidRDefault="003754FE" w:rsidP="003754FE">
      <w:pPr>
        <w:pStyle w:val="TextoNormal"/>
      </w:pPr>
    </w:p>
    <w:p w14:paraId="1B59285A" w14:textId="77777777" w:rsidR="003754FE" w:rsidRDefault="003754FE" w:rsidP="003754FE">
      <w:pPr>
        <w:pStyle w:val="TextoNormal"/>
      </w:pPr>
      <w:r>
        <w:t>Las sentencias impugnadas no se refieren tanto a las leyes de presupuestos aprobadas por el Parlamento de Andalucía en los años 2002 a 2009 (y respecto de todos esos ejercicios, por lo que se refiere al recurrente) como a los trabajos preparatorios de esas leyes, y esa actividad prelegislativa tiene, a mi juicio, inequívoca naturaleza administrativa. Así se desprende también de lo expresado en los arts. 26 y siguientes de la Ley 50/1997, de 27 de noviembre, del Gobierno; de los arts. 127 y siguientes de la Ley 39/2015, de 1 de octubre, del procedimiento administrativo común de las administraciones públicas, y hasta de la STC 55/2018, de 24 de mayo, que resolvió el recurso de inconstitucionalidad interpuesto por el Gobierno de la Generalitat de Cataluña, entre otros, contra esos artículos de esta última ley.</w:t>
      </w:r>
    </w:p>
    <w:p w14:paraId="7C3C0AC3" w14:textId="77777777" w:rsidR="003754FE" w:rsidRDefault="003754FE" w:rsidP="003754FE">
      <w:pPr>
        <w:pStyle w:val="TextoNormal"/>
      </w:pPr>
    </w:p>
    <w:p w14:paraId="10FB404A" w14:textId="77777777" w:rsidR="003754FE" w:rsidRDefault="003754FE" w:rsidP="003754FE">
      <w:pPr>
        <w:pStyle w:val="TextoNormal"/>
      </w:pPr>
      <w:r>
        <w:t>La Ley 50/1997, del Gobierno, contiene una extensa regulación de cómo deben tramitarse los anteproyectos de ley antes de su elevación al Consejo de Ministros y de la remisión por este del proyecto de ley subsiguiente al Parlamento. Es cierto que esta ley se refiere al Gobierno de la Nación y no al de las comunidades autónomas, pero sería absurdo sostener que estos trabajos preparatorios tienen una doble naturaleza, “administrativa” cuando los lleva a cabo la administración del Estado, y “no administrativa” o “legislativa” cuando se trata de las comunidades autónomas.</w:t>
      </w:r>
    </w:p>
    <w:p w14:paraId="10C42021" w14:textId="77777777" w:rsidR="003754FE" w:rsidRDefault="003754FE" w:rsidP="003754FE">
      <w:pPr>
        <w:pStyle w:val="TextoNormal"/>
      </w:pPr>
    </w:p>
    <w:p w14:paraId="73023A76" w14:textId="77777777" w:rsidR="003754FE" w:rsidRDefault="003754FE" w:rsidP="003754FE">
      <w:pPr>
        <w:pStyle w:val="TextoNormal"/>
      </w:pPr>
      <w:r>
        <w:t>La Ley 39/2015, de procedimiento administrativo común, sí se refiere a todas las administraciones públicas, también a las comunidades autónomas, remitiendo a lo que dispongan sus estatutos de autonomía en cuanto a los órganos a quien corresponde la iniciativa legislativa, pero estableciendo con la naturaleza de “bases del régimen jurídico de las Administraciones públicas y procedimiento administrativo común” (art. 149.1.18 CE) algunas indicaciones generales de buena regulación.</w:t>
      </w:r>
    </w:p>
    <w:p w14:paraId="36E0EDFB" w14:textId="77777777" w:rsidR="003754FE" w:rsidRDefault="003754FE" w:rsidP="003754FE">
      <w:pPr>
        <w:pStyle w:val="TextoNormal"/>
      </w:pPr>
    </w:p>
    <w:p w14:paraId="4B9E5D4A" w14:textId="77777777" w:rsidR="003754FE" w:rsidRDefault="003754FE" w:rsidP="003754FE">
      <w:pPr>
        <w:pStyle w:val="TextoNormal"/>
      </w:pPr>
      <w:r>
        <w:t>Estos preceptos fueron impugnados por el Gobierno de la Generalitat de Cataluña y la STC 55/2018 estimó el recurso, pero no porque esa actividad previa a la remisión de un proyecto de ley a las Cortes Generales o a las diferentes asambleas legislativas autonómicas —en aquel caso al Parlament de Cataluña— se integrara en la actividad legislativa, sino porque se trata de una actividad propia de las comunidades autónomas (“organización de sus instituciones de autogobierno”: art. 148.1.1 CE) y el Estatuto de Autonomía de Cataluña (arts. 150 y 159) reconocía a la Generalitat competencia para regular su propia organización y procedimiento, por más que en algunos casos esas directrices contenidas en el art. 129 de la Ley 39/2015 fueran coincidentes con las desarrolladas por la legislación autonómica.</w:t>
      </w:r>
    </w:p>
    <w:p w14:paraId="2EB131EA" w14:textId="77777777" w:rsidR="003754FE" w:rsidRDefault="003754FE" w:rsidP="003754FE">
      <w:pPr>
        <w:pStyle w:val="TextoNormal"/>
      </w:pPr>
    </w:p>
    <w:p w14:paraId="404E8C25" w14:textId="77777777" w:rsidR="003754FE" w:rsidRDefault="003754FE" w:rsidP="003754FE">
      <w:pPr>
        <w:pStyle w:val="TextoNormal"/>
      </w:pPr>
      <w:r>
        <w:lastRenderedPageBreak/>
        <w:t>Esa actividad que el Tribunal Supremo llama “prelegislativa” es, para la STC 55/2018, propia de un procedimiento administrativo, aunque sobre ella el legislador estatal no pueda intervenir por la vía del art. 149.1.18 CE. El Estado no puede regularla bajo el título del procedimiento administrativo “común” (art. 149.1.18 CE), pero es “procedimiento administrativo”. Por eso tras la STC 55/2018 esas normas siguen siendo de aplicación al procedimiento prelegislativo estatal. Una cosa es que la jurisdicción contencioso-administrativa venga declarando que esa actividad no constituye un acto impugnable ante ella y otra que, como dice la sentencia de la que discrepo, esa actividad “no pued[a] ser objeto de control jurídico” [FJ 3.4 B) a)].</w:t>
      </w:r>
    </w:p>
    <w:p w14:paraId="18CF6FB9" w14:textId="77777777" w:rsidR="003754FE" w:rsidRDefault="003754FE" w:rsidP="003754FE">
      <w:pPr>
        <w:pStyle w:val="TextoNormal"/>
      </w:pPr>
    </w:p>
    <w:p w14:paraId="696610CB" w14:textId="77777777" w:rsidR="003754FE" w:rsidRDefault="003754FE" w:rsidP="003754FE">
      <w:pPr>
        <w:pStyle w:val="TextoNormal"/>
      </w:pPr>
      <w:r>
        <w:t>La mayoría de nuestro Tribunal cita de manera desviada el ATC 135/2004 (aludido en el fundamento jurídico 3.4 B). En ese ATC 135/2004 inadmitimos la impugnación del Gobierno de la Nación contra el proyecto de reforma del Estatuto de Autonomía del País Vasco aprobado por el Gobierno de esa comunidad (el llamado “Plan Ibarretxe”) y contra la resolución de la mesa del Parlamento autonómico admitiendo a trámite esa propuesta. El Gobierno alegaba que el contenido de la propuesta era abiertamente inconstitucional, y que por tanto la propuesta solo podía tramitarse como un procedimiento de reforma de la Constitución, y no como un procedimiento de reforma del estatuto de autonomía, como había hecho el Parlamento autonómico. Sostuvimos entonces, efectivamente, que ese proyecto de reforma no podía ser objeto de control por el Tribunal Constitucional porque su efecto era solamente abrir un procedimiento parlamentario cuyo resultado era incierto. De su tramitación podía resultar una norma o no resultar ninguna, y en el primer caso esa norma podía ser contraria a la Constitución o conforme con esta. Por lo tanto, no podía este tribunal anular la propuesta de reforma ni impedir su debate.</w:t>
      </w:r>
    </w:p>
    <w:p w14:paraId="71C3E4E2" w14:textId="77777777" w:rsidR="003754FE" w:rsidRDefault="003754FE" w:rsidP="003754FE">
      <w:pPr>
        <w:pStyle w:val="TextoNormal"/>
      </w:pPr>
    </w:p>
    <w:p w14:paraId="3D4853DA" w14:textId="77777777" w:rsidR="003754FE" w:rsidRDefault="003754FE" w:rsidP="003754FE">
      <w:pPr>
        <w:pStyle w:val="TextoNormal"/>
      </w:pPr>
      <w:r>
        <w:t xml:space="preserve">Pero esta imposibilidad lógica de controlar vicios </w:t>
      </w:r>
      <w:r w:rsidRPr="003754FE">
        <w:rPr>
          <w:i/>
        </w:rPr>
        <w:t>hipotéticos</w:t>
      </w:r>
      <w:r>
        <w:t xml:space="preserve"> contenidos en proyectos de normas (o actos) que podrían suponer la anulación del producto final si no fueran corregidos nada tiene que ver con la posibilidad de examinar si en la elaboración de un anteproyecto de ley (que es un acto previo y diferente a la “decisión de elevar a las Cortes un proyecto de ley” como acto de gobierno conforme a la STC 45/1990 aludida en la STC 93/2024, FJ 4.4.1), la autoridad responsable ha incurrido </w:t>
      </w:r>
      <w:r w:rsidRPr="003754FE">
        <w:rPr>
          <w:i/>
        </w:rPr>
        <w:t>efectivamente</w:t>
      </w:r>
      <w:r>
        <w:t xml:space="preserve"> en un delito de prevaricación del art. 404 CP.</w:t>
      </w:r>
    </w:p>
    <w:p w14:paraId="2DE9B57C" w14:textId="77777777" w:rsidR="003754FE" w:rsidRDefault="003754FE" w:rsidP="003754FE">
      <w:pPr>
        <w:pStyle w:val="TextoNormal"/>
      </w:pPr>
    </w:p>
    <w:p w14:paraId="47CCE3DE" w14:textId="77777777" w:rsidR="003754FE" w:rsidRDefault="003754FE" w:rsidP="003754FE">
      <w:pPr>
        <w:pStyle w:val="TextoNormal"/>
      </w:pPr>
      <w:r>
        <w:t>En abstracto, de la simple alteración de la partida presupuestaria que antes cobijaba los créditos concedidos al Instituto de Fomento de Andalucía (IFA, posteriormente Agencia para la Innovación y Desarrollo de Andalucía, IDEA), e incluso de la ampliación de sus competencias, no cabe colegir el designio último de los que promovieron tal cambio, que consistía en eludir los controles ordinarios existentes hasta entonces para el otorgamiento de subvenciones. No es en el ámbito de la inconstitucionalidad de leyes de presupuestos donde se mueven las sentencias impugnadas, sino en el de la creación de un marco jurídico aparentemente neutro a cuyo amparo pudiera actuarse disponiendo de ingentes cantidades de dinero sin control efectivo alguno.</w:t>
      </w:r>
    </w:p>
    <w:p w14:paraId="53429429" w14:textId="77777777" w:rsidR="003754FE" w:rsidRDefault="003754FE" w:rsidP="003754FE">
      <w:pPr>
        <w:pStyle w:val="TextoNormal"/>
      </w:pPr>
    </w:p>
    <w:p w14:paraId="4416EA31" w14:textId="77777777" w:rsidR="003754FE" w:rsidRDefault="003754FE" w:rsidP="003754FE">
      <w:pPr>
        <w:pStyle w:val="TextoNormal"/>
      </w:pPr>
      <w:r>
        <w:t xml:space="preserve">En mi opinión, refrendada por la regulación establecida en la Ley 39/2015 de procedimiento administrativo común (y por la doctrina sentada en la STC 55/2018, antes citada), la actividad previa al ejercicio de la iniciativa legislativa es parte de un procedimiento administrativo. Por eso tengo que discrepar del fundamento jurídico 3.5 A) a) de la sentencia, en que se da a esta actividad la naturaleza de actos de gobierno excluidos de todo control por </w:t>
      </w:r>
      <w:r>
        <w:lastRenderedPageBreak/>
        <w:t>parte de cualquier órgano jurisdiccional, incluso de su posible enjuiciamiento por la jurisdicción penal. Esto equivale a consagrar un ámbito de impunidad que sí me parece contrario a la Constitución.</w:t>
      </w:r>
    </w:p>
    <w:p w14:paraId="6A04CF47" w14:textId="77777777" w:rsidR="003754FE" w:rsidRDefault="003754FE" w:rsidP="003754FE">
      <w:pPr>
        <w:pStyle w:val="TextoNormal"/>
      </w:pPr>
    </w:p>
    <w:p w14:paraId="54D1BEE0" w14:textId="77777777" w:rsidR="003754FE" w:rsidRDefault="003754FE" w:rsidP="003754FE">
      <w:pPr>
        <w:pStyle w:val="TextoNormal"/>
      </w:pPr>
      <w:r>
        <w:t>Tal como lo veo, los actos prelegislativos son susceptibles de control penal, y por consiguiente no parece que pueda considerarse “imprevisible”, como hace la mayoría, la interpretación efectuada por las sentencias recurridas. Una cosa es que sea la primera vez que un asunto como este se haya planteado ante los tribunales penales y otra muy distinta que la respuesta dada por ellos a esta cuestión novedosa sea “imprevisible”.</w:t>
      </w:r>
    </w:p>
    <w:p w14:paraId="13801461" w14:textId="77777777" w:rsidR="003754FE" w:rsidRDefault="003754FE" w:rsidP="003754FE">
      <w:pPr>
        <w:pStyle w:val="TextoNormal"/>
      </w:pPr>
    </w:p>
    <w:p w14:paraId="49EF76A7" w14:textId="77777777" w:rsidR="003754FE" w:rsidRDefault="003754FE" w:rsidP="003754FE">
      <w:pPr>
        <w:pStyle w:val="TextoNormal"/>
      </w:pPr>
      <w:r>
        <w:t xml:space="preserve">3. </w:t>
      </w:r>
      <w:r w:rsidRPr="003754FE">
        <w:rPr>
          <w:i/>
        </w:rPr>
        <w:t>El incumplimiento de la normativa general sobre subvenciones puede considerarse “arbitraria” por la jurisdicción penal</w:t>
      </w:r>
    </w:p>
    <w:p w14:paraId="76DFE2EF" w14:textId="77777777" w:rsidR="003754FE" w:rsidRDefault="003754FE" w:rsidP="003754FE">
      <w:pPr>
        <w:pStyle w:val="TextoNormal"/>
      </w:pPr>
    </w:p>
    <w:p w14:paraId="2DD35F8B" w14:textId="77777777" w:rsidR="003754FE" w:rsidRDefault="003754FE" w:rsidP="003754FE">
      <w:pPr>
        <w:pStyle w:val="TextoNormal"/>
      </w:pPr>
      <w:r>
        <w:t>En el apartado siguiente del mismo fundamento jurídico [FJ 3.5 A) b)] se enjuicia la interpretación del concepto de resolución “arbitraria” previsto en el art. 404 CP, si bien la sentencia se refiere en este punto a la ilegalidad de las leyes de presupuesto, no al producto resultante de la fase de preparación de los correspondientes anteproyectos de ley, antes de su envío al Parlamento, que es lo que enjuician las resoluciones impugnadas —como hemos aclarado en el apartado anterior del presente voto particular—.</w:t>
      </w:r>
    </w:p>
    <w:p w14:paraId="5C5443AB" w14:textId="77777777" w:rsidR="003754FE" w:rsidRDefault="003754FE" w:rsidP="003754FE">
      <w:pPr>
        <w:pStyle w:val="TextoNormal"/>
      </w:pPr>
    </w:p>
    <w:p w14:paraId="502F9C9A" w14:textId="77777777" w:rsidR="003754FE" w:rsidRDefault="003754FE" w:rsidP="003754FE">
      <w:pPr>
        <w:pStyle w:val="TextoNormal"/>
      </w:pPr>
      <w:r>
        <w:t>La definición de este concepto de arbitrariedad corresponde sin duda alguna a la Sala de lo Penal del Tribunal Supremo, y este explica que, según su jurisprudencia, se identifica la arbitrariedad como una ilegalidad patente, grosera, palmaria, clamorosa o flagrante, y señala como hechos relevantes de este caso los siguientes:</w:t>
      </w:r>
    </w:p>
    <w:p w14:paraId="4AF0D155" w14:textId="77777777" w:rsidR="003754FE" w:rsidRDefault="003754FE" w:rsidP="003754FE">
      <w:pPr>
        <w:pStyle w:val="TextoNormal"/>
      </w:pPr>
    </w:p>
    <w:p w14:paraId="190D0397" w14:textId="77777777" w:rsidR="003754FE" w:rsidRDefault="003754FE" w:rsidP="003754FE">
      <w:pPr>
        <w:pStyle w:val="TextoNormal"/>
      </w:pPr>
      <w:r>
        <w:t>(i) que se cambió el sistema de financiación de las “ayudas sociolaborales” sin razón aparente;</w:t>
      </w:r>
    </w:p>
    <w:p w14:paraId="38B5CEF9" w14:textId="77777777" w:rsidR="003754FE" w:rsidRDefault="003754FE" w:rsidP="003754FE">
      <w:pPr>
        <w:pStyle w:val="TextoNormal"/>
      </w:pPr>
    </w:p>
    <w:p w14:paraId="2C90E109" w14:textId="77777777" w:rsidR="003754FE" w:rsidRDefault="003754FE" w:rsidP="003754FE">
      <w:pPr>
        <w:pStyle w:val="TextoNormal"/>
      </w:pPr>
      <w:r>
        <w:t>(ii) que se hizo y mantuvo ese cambio a pesar de las múltiples advertencias de la Intervención y los servicios jurídicos sobre las ilegalidades que se estaban produciendo;</w:t>
      </w:r>
    </w:p>
    <w:p w14:paraId="5B0E51D9" w14:textId="77777777" w:rsidR="003754FE" w:rsidRDefault="003754FE" w:rsidP="003754FE">
      <w:pPr>
        <w:pStyle w:val="TextoNormal"/>
      </w:pPr>
    </w:p>
    <w:p w14:paraId="351C1D1B" w14:textId="77777777" w:rsidR="003754FE" w:rsidRDefault="003754FE" w:rsidP="003754FE">
      <w:pPr>
        <w:pStyle w:val="TextoNormal"/>
      </w:pPr>
      <w:r>
        <w:t>(iii) que la consecuencia real del cambio fue la falta de control y absoluta ilegalidad de la concesión de subvenciones.</w:t>
      </w:r>
    </w:p>
    <w:p w14:paraId="095B2CA3" w14:textId="77777777" w:rsidR="003754FE" w:rsidRDefault="003754FE" w:rsidP="003754FE">
      <w:pPr>
        <w:pStyle w:val="TextoNormal"/>
      </w:pPr>
    </w:p>
    <w:p w14:paraId="34FA24F0" w14:textId="77777777" w:rsidR="003754FE" w:rsidRDefault="003754FE" w:rsidP="003754FE">
      <w:pPr>
        <w:pStyle w:val="TextoNormal"/>
      </w:pPr>
      <w:r>
        <w:t>Por todo ello concluye: “A partir de estos hechos, dada la incontestable ilegalidad de las acciones llevadas a cabo y en atención a la finalidad directamente perseguida por los autores no cabe otra conclusión que la de afirmar la arbitrariedad e injusticia de las resoluciones objeto de enjuiciamiento” (sentencia del Tribunal Supremo, fundamento de Derecho 30, pág. 296).</w:t>
      </w:r>
    </w:p>
    <w:p w14:paraId="5BA790C4" w14:textId="77777777" w:rsidR="003754FE" w:rsidRDefault="003754FE" w:rsidP="003754FE">
      <w:pPr>
        <w:pStyle w:val="TextoNormal"/>
      </w:pPr>
    </w:p>
    <w:p w14:paraId="7C4B9E03" w14:textId="77777777" w:rsidR="003754FE" w:rsidRDefault="003754FE" w:rsidP="003754FE">
      <w:pPr>
        <w:pStyle w:val="TextoNormal"/>
      </w:pPr>
      <w:r>
        <w:t>Ninguna de estas razones se analiza en la sentencia apoyada por la mayoría, sino que vuelve a reiterarse la idea —ya defendida en la STC 93/2024— de la aprobación parlamentaria como sanadora de todos los posibles vicios denunciados y a la imprevisibilidad de la interpretación llevada a cabo por la Audiencia Provincial de Sevilla y por el Tribunal Supremo.</w:t>
      </w:r>
    </w:p>
    <w:p w14:paraId="37B38ACB" w14:textId="77777777" w:rsidR="003754FE" w:rsidRDefault="003754FE" w:rsidP="003754FE">
      <w:pPr>
        <w:pStyle w:val="TextoNormal"/>
      </w:pPr>
    </w:p>
    <w:p w14:paraId="5EFFF04A" w14:textId="77777777" w:rsidR="003754FE" w:rsidRDefault="003754FE" w:rsidP="003754FE">
      <w:pPr>
        <w:pStyle w:val="TextoNormal"/>
      </w:pPr>
      <w:r>
        <w:t xml:space="preserve">La razón de la condena al recurrente por parte de estos tribunales es clara: como con arreglo a la Ley 5/1983, de la hacienda pública de Andalucía, coincidente con la Ley </w:t>
      </w:r>
      <w:r>
        <w:lastRenderedPageBreak/>
        <w:t>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el recurrente y otros funcionarios idearon como solución para eludir esos controles incluir una nueva partida en los presupuestos titulada de manera indeterminada como “relaciones laborales” y disfrazada como transferencia de crédito al IFA (posteriormente IDEA) para sus propios fines, eludiendo de este modo los controles exigibles con arreglo a una legalidad que no se deroga.</w:t>
      </w:r>
    </w:p>
    <w:p w14:paraId="1C1F8510" w14:textId="77777777" w:rsidR="003754FE" w:rsidRDefault="003754FE" w:rsidP="003754FE">
      <w:pPr>
        <w:pStyle w:val="TextoNormal"/>
      </w:pPr>
    </w:p>
    <w:p w14:paraId="2BB9386F" w14:textId="77777777" w:rsidR="003754FE" w:rsidRDefault="003754FE" w:rsidP="003754FE">
      <w:pPr>
        <w:pStyle w:val="TextoNormal"/>
      </w:pPr>
      <w:r>
        <w:t>Efectivamente, las leyes de prepuestos hubieran podido derogar esa legalidad, o desplazarla para la concesión de esas ayudas, como hizo luego el Decreto-ley 4/2012 en la llamada “tercera etapa” de los ERE [sentencia del Tribunal Supremo, fundamento 1, “resumen de los hechos probados”, pág. 111, reproducido en el antecedente 2 a) de nuestra sentencia]. El art. 1 de este Decreto-ley estableció expresamente que “a estas ayudas sociolaborales no les es de aplicación la normativa general sobre subvenciones públicas”, lo que evidencia que el criterio seguido en años anteriores de no seguir los trámites impuestos por esa “normativa general sobre subvenciones públicas” no se ajustaba a la legalidad vigente.</w:t>
      </w:r>
    </w:p>
    <w:p w14:paraId="2D8EFC9B" w14:textId="77777777" w:rsidR="003754FE" w:rsidRDefault="003754FE" w:rsidP="003754FE">
      <w:pPr>
        <w:pStyle w:val="TextoNormal"/>
      </w:pPr>
    </w:p>
    <w:p w14:paraId="2B532508" w14:textId="77777777" w:rsidR="003754FE" w:rsidRDefault="003754FE" w:rsidP="003754FE">
      <w:pPr>
        <w:pStyle w:val="TextoNormal"/>
      </w:pPr>
      <w:r>
        <w:t>En esta situación no me parece que la respuesta penal de la actuación del recurrente pueda calificarse de imprevisible.</w:t>
      </w:r>
    </w:p>
    <w:p w14:paraId="027D49EA" w14:textId="77777777" w:rsidR="003754FE" w:rsidRDefault="003754FE" w:rsidP="003754FE">
      <w:pPr>
        <w:pStyle w:val="TextoNormal"/>
      </w:pPr>
    </w:p>
    <w:p w14:paraId="79FBA11A" w14:textId="77777777" w:rsidR="003754FE" w:rsidRDefault="003754FE" w:rsidP="003754FE">
      <w:pPr>
        <w:pStyle w:val="TextoNormal"/>
      </w:pPr>
      <w:r>
        <w:t xml:space="preserve">4. </w:t>
      </w:r>
      <w:r w:rsidRPr="003754FE">
        <w:rPr>
          <w:i/>
        </w:rPr>
        <w:t>Interpretación de las leyes de presupuestos efectuada por las sentencias recurridas</w:t>
      </w:r>
    </w:p>
    <w:p w14:paraId="1E78C342" w14:textId="77777777" w:rsidR="003754FE" w:rsidRDefault="003754FE" w:rsidP="003754FE">
      <w:pPr>
        <w:pStyle w:val="TextoNormal"/>
      </w:pPr>
    </w:p>
    <w:p w14:paraId="448AD7DE" w14:textId="77777777" w:rsidR="003754FE" w:rsidRDefault="003754FE" w:rsidP="003754FE">
      <w:pPr>
        <w:pStyle w:val="TextoNormal"/>
      </w:pPr>
      <w:r>
        <w:t>a) La sentencia de la que discrepo reitera una y otra vez la idea de que las leyes de presupuestos regularon el modo de concesión de estas ayudas. Por eso diserta ampliamente sobre las “características de nuestra democracia constitucional y parlamentaria” (FJ 3.4), la naturaleza de la ley de presupuestos como “verdadera ley” [FJ 3.4 A) e)], la posibilidad de modificar las leyes vigentes [FJ 3.4 B) b)] y el monopolio de control de constitucionalidad de las leyes por el Tribunal Constitucional [FJ 3.4 A) f)], para terminar concluyendo que la forma de razonar de las sentencias recurridas supone “privar de toda relevancia a la aprobación parlamentaria de la ley” de presupuestos, “que tiene la misma naturaleza normativa que el resto de las leyes” [FJ 3.5 A) b)].</w:t>
      </w:r>
    </w:p>
    <w:p w14:paraId="0C579600" w14:textId="77777777" w:rsidR="003754FE" w:rsidRDefault="003754FE" w:rsidP="003754FE">
      <w:pPr>
        <w:pStyle w:val="TextoNormal"/>
      </w:pPr>
    </w:p>
    <w:p w14:paraId="350AF9ED" w14:textId="77777777" w:rsidR="003754FE" w:rsidRDefault="003754FE" w:rsidP="003754FE">
      <w:pPr>
        <w:pStyle w:val="TextoNormal"/>
      </w:pPr>
      <w:r>
        <w:t>Si así hubiera sucedido, podría compartirse lo razonado por la mayoría. Pero esta parte de una premisa incorrecta. Las sentencias recurridas interpretan de otro modo las leyes de presupuestos.</w:t>
      </w:r>
    </w:p>
    <w:p w14:paraId="2C4B9DAB" w14:textId="77777777" w:rsidR="003754FE" w:rsidRDefault="003754FE" w:rsidP="003754FE">
      <w:pPr>
        <w:pStyle w:val="TextoNormal"/>
      </w:pPr>
    </w:p>
    <w:p w14:paraId="4FA5C92F" w14:textId="77777777" w:rsidR="003754FE" w:rsidRDefault="003754FE" w:rsidP="003754FE">
      <w:pPr>
        <w:pStyle w:val="TextoNormal"/>
      </w:pPr>
      <w:r>
        <w:t>La (supuesta) modificación legislativa se habría producido con la calificación de las ayudas sociolaborales como “transferencia de financiación”, según reconoce la mayoría en el fundamento jurídico antes citado. Una modificación que se habría producido en las “memorias presupuestarias, informes económico-financieros y fichas del programa 31L” cuyo contenido extracta la sentencia del Tribunal Supremo (fundamento de Derecho 11, págs. 193-196), transcrita en este punto por el fundamento jurídico 2.1 c) de nuestra sentencia (“9. Conclusiones del análisis de la documentación anexa al proyecto de presupuestos de la Junta de Andalucía”).</w:t>
      </w:r>
    </w:p>
    <w:p w14:paraId="4A0290FE" w14:textId="77777777" w:rsidR="003754FE" w:rsidRDefault="003754FE" w:rsidP="003754FE">
      <w:pPr>
        <w:pStyle w:val="TextoNormal"/>
      </w:pPr>
    </w:p>
    <w:p w14:paraId="7BC6DA2A" w14:textId="77777777" w:rsidR="003754FE" w:rsidRDefault="003754FE" w:rsidP="003754FE">
      <w:pPr>
        <w:pStyle w:val="TextoNormal"/>
      </w:pPr>
      <w:r>
        <w:lastRenderedPageBreak/>
        <w:t>b) Pues bien, tanto la Audiencia Provincial de Sevilla como el Tribunal Supremo niegan razonadamente que esa calificación tuviera eficacia normativa y vinculante y habilitara la exclusión de los controles propios de las subvenciones.</w:t>
      </w:r>
    </w:p>
    <w:p w14:paraId="7421D4EB" w14:textId="77777777" w:rsidR="003754FE" w:rsidRDefault="003754FE" w:rsidP="003754FE">
      <w:pPr>
        <w:pStyle w:val="TextoNormal"/>
      </w:pPr>
    </w:p>
    <w:p w14:paraId="2B39E105" w14:textId="77777777" w:rsidR="003754FE" w:rsidRDefault="003754FE" w:rsidP="003754FE">
      <w:pPr>
        <w:pStyle w:val="TextoNormal"/>
      </w:pPr>
      <w:r>
        <w:t>La sentencia de la Audiencia Provincial de Sevilla lo hace en su fundamento de Derecho 15 (aludido en la sentencia del Tribunal Supremo, fundamento 23.1, pág. 256, última línea), que cita y reproduce el art. 129.3 del Reglamento del Parlamento de Andalucía, que dice así:</w:t>
      </w:r>
    </w:p>
    <w:p w14:paraId="7AE5E488" w14:textId="77777777" w:rsidR="003754FE" w:rsidRDefault="003754FE" w:rsidP="003754FE">
      <w:pPr>
        <w:pStyle w:val="TextoNormal"/>
      </w:pPr>
    </w:p>
    <w:p w14:paraId="72926812" w14:textId="77777777" w:rsidR="003754FE" w:rsidRDefault="003754FE" w:rsidP="003754FE">
      <w:pPr>
        <w:pStyle w:val="TextoNormal"/>
      </w:pPr>
      <w:r>
        <w:t xml:space="preserve">“El debate del presupuesto se referirá al articulado y al estado de autorización de gastos. </w:t>
      </w:r>
      <w:r w:rsidRPr="003754FE">
        <w:rPr>
          <w:i/>
        </w:rPr>
        <w:t>Todo ello sin perjuicio del estudio de otros documentos que deban acompañarlo</w:t>
      </w:r>
      <w:r>
        <w:t>”.</w:t>
      </w:r>
    </w:p>
    <w:p w14:paraId="67CB1F5B" w14:textId="77777777" w:rsidR="003754FE" w:rsidRDefault="003754FE" w:rsidP="003754FE">
      <w:pPr>
        <w:pStyle w:val="TextoNormal"/>
      </w:pPr>
    </w:p>
    <w:p w14:paraId="796C1704" w14:textId="77777777" w:rsidR="003754FE" w:rsidRDefault="003754FE" w:rsidP="003754FE">
      <w:pPr>
        <w:pStyle w:val="TextoNormal"/>
      </w:pPr>
      <w:r>
        <w:t>Un precepto que le lleva concluir lo siguiente:</w:t>
      </w:r>
    </w:p>
    <w:p w14:paraId="3C0DCC2A" w14:textId="77777777" w:rsidR="003754FE" w:rsidRDefault="003754FE" w:rsidP="003754FE">
      <w:pPr>
        <w:pStyle w:val="TextoNormal"/>
      </w:pPr>
    </w:p>
    <w:p w14:paraId="1E75BE0E" w14:textId="77777777" w:rsidR="003754FE" w:rsidRDefault="003754FE" w:rsidP="003754FE">
      <w:pPr>
        <w:pStyle w:val="TextoNormal"/>
      </w:pPr>
      <w:r>
        <w:t>“[L]os únicos documentos objeto de debate, y por tanto de aprobación parlamentaria, son el texto articulado de la ley y los estados de gastos de cada uno de los entes públicos de la comunidad autónoma. Sin que el resto de documentos que, como documentación anexa, acompañan al proyecto de presupuesto, sean objeto de aprobación por el Parlamento</w:t>
      </w:r>
      <w:r w:rsidRPr="003754FE">
        <w:rPr>
          <w:i/>
        </w:rPr>
        <w:t>, ni, en consecuencia, adquieran fuerza de l</w:t>
      </w:r>
      <w:r>
        <w:t>ey”.</w:t>
      </w:r>
    </w:p>
    <w:p w14:paraId="3EFAE806" w14:textId="77777777" w:rsidR="003754FE" w:rsidRDefault="003754FE" w:rsidP="003754FE">
      <w:pPr>
        <w:pStyle w:val="TextoNormal"/>
      </w:pPr>
    </w:p>
    <w:p w14:paraId="54641B47" w14:textId="77777777" w:rsidR="003754FE" w:rsidRDefault="003754FE" w:rsidP="003754FE">
      <w:pPr>
        <w:pStyle w:val="TextoNormal"/>
      </w:pPr>
      <w:r>
        <w:t>Y el Tribunal Supremo es igualmente concluyente: “ninguna de las leyes de presupuestos aprobadas modificó el régimen jurídico aplicable a las subvenciones” (fundamento de Derecho 23.3, pág. 262); las leyes de presupuestos “habilitaron unos créditos presupuestarios” pero no aprobaron “la forma de ejecución del gasto” ni su “concesión y pago eludiendo los requisitos y controles establecidos en la normativa de subvenciones” (fundamento 11.2, págs. 189-190).</w:t>
      </w:r>
    </w:p>
    <w:p w14:paraId="42A08809" w14:textId="77777777" w:rsidR="003754FE" w:rsidRDefault="003754FE" w:rsidP="003754FE">
      <w:pPr>
        <w:pStyle w:val="TextoNormal"/>
      </w:pPr>
    </w:p>
    <w:p w14:paraId="1C9AC6CD" w14:textId="77777777" w:rsidR="003754FE" w:rsidRDefault="003754FE" w:rsidP="003754FE">
      <w:pPr>
        <w:pStyle w:val="TextoNormal"/>
      </w:pPr>
      <w:r>
        <w:t>En lugar de detenerse en estos estos razonamientos, como corresponde a un recurso de amparo que debe examinar la razonabilidad de la interpretación efectuada por las sentencias recurridas, la sentencia de la que ahora discrepo cambia los términos del debate, hace supuesto de la cuestión y da por sentado lo que esos tribunales niegan: el valor de ley de la “documentación anexa” a los proyectos de ley de presupuestos.</w:t>
      </w:r>
    </w:p>
    <w:p w14:paraId="5F6FD23E" w14:textId="77777777" w:rsidR="003754FE" w:rsidRDefault="003754FE" w:rsidP="003754FE">
      <w:pPr>
        <w:pStyle w:val="TextoNormal"/>
      </w:pPr>
    </w:p>
    <w:p w14:paraId="0FFE11E9" w14:textId="77777777" w:rsidR="003754FE" w:rsidRDefault="003754FE" w:rsidP="003754FE">
      <w:pPr>
        <w:pStyle w:val="TextoNormal"/>
      </w:pPr>
      <w:r>
        <w:t>Lo que era objeto de discusión ante la jurisdicción penal, y esta negó motivadamente, no era “el carácter formal o material” de la ley de presupuestos, cuestión hace tiempo “superada” como reconoce la mayoría citando la STC 76/1992, sino si la “documentación anexa” a la ley de presupuestos, donde se contiene ese cambio de calificación de créditos, supuso efectivamente una modificación, derogación o desplazamiento de la normativa general sobre subvenciones.</w:t>
      </w:r>
    </w:p>
    <w:p w14:paraId="5B19CA1B" w14:textId="77777777" w:rsidR="003754FE" w:rsidRDefault="003754FE" w:rsidP="003754FE">
      <w:pPr>
        <w:pStyle w:val="TextoNormal"/>
      </w:pPr>
    </w:p>
    <w:p w14:paraId="3DF28B93" w14:textId="77777777" w:rsidR="003754FE" w:rsidRDefault="003754FE" w:rsidP="003754FE">
      <w:pPr>
        <w:pStyle w:val="TextoNormal"/>
      </w:pPr>
      <w:r>
        <w:t>Por el sencillo expediente de omitir los razonamientos de las sentencias objeto de amparo, la sentencia ahora dictada asume apodícticamente que sí han producido ese cambio legislativo.</w:t>
      </w:r>
    </w:p>
    <w:p w14:paraId="0CF0FF4D" w14:textId="77777777" w:rsidR="003754FE" w:rsidRDefault="003754FE" w:rsidP="003754FE">
      <w:pPr>
        <w:pStyle w:val="TextoNormal"/>
      </w:pPr>
    </w:p>
    <w:p w14:paraId="7A4BCA97" w14:textId="77777777" w:rsidR="003754FE" w:rsidRDefault="003754FE" w:rsidP="003754FE">
      <w:pPr>
        <w:pStyle w:val="TextoNormal"/>
      </w:pPr>
      <w:r>
        <w:t xml:space="preserve">Pero la lectura del análisis de la “documentación anexa” al proyecto de ley de presupuestos ofrecido por las págs. 193-196 de la sentencia del Tribunal Supremo, transcritas en el fundamento jurídico 2.1 c) de la misma sentencia, no permite sostener esta conclusión. Antes al contrario: estas “fichas”, “memorias” y “documentación anexa al proyecto de </w:t>
      </w:r>
      <w:r>
        <w:lastRenderedPageBreak/>
        <w:t>presupuestos” llaman varias veces “subvenciones” a las “ayudas sociolaborales” del programa 31L, de modo que difícilmente puede sostenerse que esa “documentación anexa” autorizara la elusión del régimen de estas.</w:t>
      </w:r>
    </w:p>
    <w:p w14:paraId="6FD7F036" w14:textId="77777777" w:rsidR="003754FE" w:rsidRDefault="003754FE" w:rsidP="003754FE">
      <w:pPr>
        <w:pStyle w:val="TextoNormal"/>
      </w:pPr>
    </w:p>
    <w:p w14:paraId="4471FE45" w14:textId="77777777" w:rsidR="003754FE" w:rsidRDefault="003754FE" w:rsidP="003754FE">
      <w:pPr>
        <w:pStyle w:val="TextoNormal"/>
      </w:pPr>
      <w:r>
        <w:t>c) Además, la conclusión de las sentencias recurridas sobre la ausencia de valor legal de esa “documentación anexa” a las leyes de presupuestos no vulnera el derecho a la legalidad sancionadora del art. 25.1 CE, pues viene corroborada por importantes y evidentes argumentos constitucionales.</w:t>
      </w:r>
    </w:p>
    <w:p w14:paraId="4AE23E0A" w14:textId="77777777" w:rsidR="003754FE" w:rsidRDefault="003754FE" w:rsidP="003754FE">
      <w:pPr>
        <w:pStyle w:val="TextoNormal"/>
      </w:pPr>
    </w:p>
    <w:p w14:paraId="16FF1B53" w14:textId="77777777" w:rsidR="003754FE" w:rsidRDefault="003754FE" w:rsidP="003754FE">
      <w:pPr>
        <w:pStyle w:val="TextoNormal"/>
      </w:pPr>
      <w:r>
        <w:t>En primer lugar, esa “documentación anexa” no está publicada, ni se publica conjuntamente con las leyes de presupuestos, lo que ya de por sí impide otorgarle valor normativo alguno por aplicación de la máxima del art. 9.3 CE: “La Constitución garantiza […] la publicidad de las normas”. Si no hay publicidad, no puede haber “norma” vinculante, ni mucho menos “verdadera ley”, como asume la mayoría.</w:t>
      </w:r>
    </w:p>
    <w:p w14:paraId="3BC498DB" w14:textId="77777777" w:rsidR="003754FE" w:rsidRDefault="003754FE" w:rsidP="003754FE">
      <w:pPr>
        <w:pStyle w:val="TextoNormal"/>
      </w:pPr>
    </w:p>
    <w:p w14:paraId="3447247A" w14:textId="77777777" w:rsidR="003754FE" w:rsidRDefault="003754FE" w:rsidP="003754FE">
      <w:pPr>
        <w:pStyle w:val="TextoNormal"/>
      </w:pPr>
      <w:r>
        <w:t xml:space="preserve">En segundo lugar, la diferenciación conceptual entre el anteproyecto o proyecto de ley de presupuestos, por una parte, y su “documentación anexa”, por otra, viene corroborada por otras normas. No solo el art. 129.3 del Reglamento del Parlamento de Andalucía, que cita la sentencia de la Audiencia de Sevilla en el pasaje antes transcrito (idéntico además a los arts. 134.2 del Reglamento del Congreso de los Diputados y 150.2 del Reglamento del Senado), sino también los arts. 34.5 y 35 de la Ley 5/1983, de la hacienda pública de Andalucía (vigente en la fecha de los hechos) y el art. 37 de la Ley 47/2003, de 26 de noviembre, general presupuestaria del Estado (LGP), igualmente citados en la sentencia de la Audiencia Provincial de Sevilla (fundamento 15). Por ejemplo, según este último precepto (art. 37 LGP), al “proyecto de ley de presupuestos generales del Estado, </w:t>
      </w:r>
      <w:r w:rsidRPr="003754FE">
        <w:rPr>
          <w:i/>
        </w:rPr>
        <w:t>integrado por el articulado con sus anexos y los estados de ingresos y de gastos</w:t>
      </w:r>
      <w:r>
        <w:t>”, “se acompañará” cierta “</w:t>
      </w:r>
      <w:r w:rsidRPr="003754FE">
        <w:rPr>
          <w:i/>
        </w:rPr>
        <w:t>documentación complementaria</w:t>
      </w:r>
      <w:r>
        <w:t>”, que incluye, entre otras, “</w:t>
      </w:r>
      <w:r w:rsidRPr="003754FE">
        <w:rPr>
          <w:i/>
        </w:rPr>
        <w:t>[l]as memorias</w:t>
      </w:r>
      <w:r>
        <w:t xml:space="preserve"> descriptivas de los programas de gasto y sus objetivos anuales”. De la misma manera, el art. 35 de la Ley 5/1983 dice que “[e]l proyecto de ley de presupuestos </w:t>
      </w:r>
      <w:r w:rsidRPr="003754FE">
        <w:rPr>
          <w:i/>
        </w:rPr>
        <w:t>y la documentación anexa</w:t>
      </w:r>
      <w:r>
        <w:t xml:space="preserve"> se remitirán al Parlamento” al menos dos meses antes de la expiración del anterior. Todo proyecto de ley del Gobierno va acompañado de cierta documentación (cfr. art. 88 CE y art. 26 de la Ley 50/1997, del Gobierno), pero no por ello esa documentación adquiere el rango y fuerza de la ley una vez aprobada esta.</w:t>
      </w:r>
    </w:p>
    <w:p w14:paraId="0081C438" w14:textId="77777777" w:rsidR="003754FE" w:rsidRDefault="003754FE" w:rsidP="003754FE">
      <w:pPr>
        <w:pStyle w:val="TextoNormal"/>
      </w:pPr>
    </w:p>
    <w:p w14:paraId="77644505" w14:textId="77777777" w:rsidR="003754FE" w:rsidRDefault="003754FE" w:rsidP="003754FE">
      <w:pPr>
        <w:pStyle w:val="TextoNormal"/>
      </w:pPr>
      <w:r>
        <w:t>En tercer lugar, nuestra doctrina también ha reconocido la naturaleza no normativa de las memorias y fichas presupuestarias (no publicadas): “las memorias de los presupuestos […] en modo alguno pudieron adquirir vigencia con la entrada en vigor de las leyes de presupuestos impugnadas; en realidad, son algo externo o ajeno a las mismas, meras previsiones hipotéticas” (STC 63/1986, de 21 de mayo, FJ 8).</w:t>
      </w:r>
    </w:p>
    <w:p w14:paraId="394764D1" w14:textId="77777777" w:rsidR="003754FE" w:rsidRDefault="003754FE" w:rsidP="003754FE">
      <w:pPr>
        <w:pStyle w:val="TextoNormal"/>
      </w:pPr>
    </w:p>
    <w:p w14:paraId="250EEDAA" w14:textId="77777777" w:rsidR="003754FE" w:rsidRDefault="003754FE" w:rsidP="003754FE">
      <w:pPr>
        <w:pStyle w:val="TextoNormal"/>
      </w:pPr>
      <w:r>
        <w:t>Finalmente, el ya citado art. 1 del Decreto-ley 4/2012 excluyó expresamente la aplicación de la normativa general de subvenciones, lo que evidencia, como ya he dicho, que las leyes de presupuestos anteriores no habían excluido la aplicación de esa normativa general.</w:t>
      </w:r>
    </w:p>
    <w:p w14:paraId="1686789D" w14:textId="77777777" w:rsidR="003754FE" w:rsidRDefault="003754FE" w:rsidP="003754FE">
      <w:pPr>
        <w:pStyle w:val="TextoNormal"/>
      </w:pPr>
    </w:p>
    <w:p w14:paraId="5836C48F" w14:textId="77777777" w:rsidR="003754FE" w:rsidRDefault="003754FE" w:rsidP="003754FE">
      <w:pPr>
        <w:pStyle w:val="TextoNormal"/>
      </w:pPr>
      <w:r>
        <w:t>5</w:t>
      </w:r>
      <w:r w:rsidRPr="003754FE">
        <w:rPr>
          <w:i/>
        </w:rPr>
        <w:t>. Modificaciones presupuestari</w:t>
      </w:r>
      <w:r>
        <w:t>as</w:t>
      </w:r>
    </w:p>
    <w:p w14:paraId="7D9186E2" w14:textId="77777777" w:rsidR="003754FE" w:rsidRDefault="003754FE" w:rsidP="003754FE">
      <w:pPr>
        <w:pStyle w:val="TextoNormal"/>
      </w:pPr>
    </w:p>
    <w:p w14:paraId="3387B766" w14:textId="77777777" w:rsidR="003754FE" w:rsidRDefault="003754FE" w:rsidP="003754FE">
      <w:pPr>
        <w:pStyle w:val="TextoNormal"/>
      </w:pPr>
      <w:r>
        <w:t xml:space="preserve">En cuanto a determinadas modificaciones presupuestarias producidas en los años 2002, 2004, 2005, 2006, 2007 y 2008 [FJ 3.5 B)], por las mismas razones que entiendo que las </w:t>
      </w:r>
      <w:r>
        <w:lastRenderedPageBreak/>
        <w:t>leyes de presupuestos que incluyeron desde el año 2002 esa célebre partida 31L no sanaron el vicio que arrastraban en cuanto a su oculta finalidad de eludir los controles previos de la Intervención, tampoco las modificaciones presupuestarias de aquellos años pueden escudarse en la ley de presupuestos.</w:t>
      </w:r>
    </w:p>
    <w:p w14:paraId="4E48F7F6" w14:textId="77777777" w:rsidR="003754FE" w:rsidRDefault="003754FE" w:rsidP="003754FE">
      <w:pPr>
        <w:pStyle w:val="TextoNormal"/>
      </w:pPr>
    </w:p>
    <w:p w14:paraId="6FB47F30" w14:textId="77777777" w:rsidR="003754FE" w:rsidRDefault="003754FE" w:rsidP="003754FE">
      <w:pPr>
        <w:pStyle w:val="TextoNormal"/>
      </w:pPr>
      <w:r>
        <w:t>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w:t>
      </w:r>
    </w:p>
    <w:p w14:paraId="2611225D" w14:textId="77777777" w:rsidR="003754FE" w:rsidRDefault="003754FE" w:rsidP="003754FE">
      <w:pPr>
        <w:pStyle w:val="TextoNormal"/>
      </w:pPr>
    </w:p>
    <w:p w14:paraId="014410D3" w14:textId="77777777" w:rsidR="003754FE" w:rsidRDefault="003754FE" w:rsidP="003754FE">
      <w:pPr>
        <w:pStyle w:val="TextoNormal"/>
      </w:pPr>
      <w:r>
        <w:t>Resulta, por tanto, infundada la afirmación de la sentencia de la que disiento según la cual el Tribunal Supremo ha interpretado las leyes de presupuestos de Andalucía para esos años de modo imprevisible, así como las modificaciones presupuestarias aprobadas a su través.</w:t>
      </w:r>
    </w:p>
    <w:p w14:paraId="39A9DF6B" w14:textId="77777777" w:rsidR="003754FE" w:rsidRDefault="003754FE" w:rsidP="003754FE">
      <w:pPr>
        <w:pStyle w:val="TextoNormal"/>
      </w:pPr>
    </w:p>
    <w:p w14:paraId="4B54256F" w14:textId="77777777" w:rsidR="003754FE" w:rsidRDefault="003754FE" w:rsidP="003754FE">
      <w:pPr>
        <w:pStyle w:val="TextoNormal"/>
      </w:pPr>
      <w:r>
        <w:t>6</w:t>
      </w:r>
      <w:r w:rsidRPr="003754FE">
        <w:rPr>
          <w:i/>
        </w:rPr>
        <w:t>. Respeto por las resoluciones impugnadas del derecho fundamental del recurren</w:t>
      </w:r>
      <w:r>
        <w:t>te</w:t>
      </w:r>
    </w:p>
    <w:p w14:paraId="34A47528" w14:textId="77777777" w:rsidR="003754FE" w:rsidRDefault="003754FE" w:rsidP="003754FE">
      <w:pPr>
        <w:pStyle w:val="TextoNormal"/>
      </w:pPr>
    </w:p>
    <w:p w14:paraId="7A2DB0DA" w14:textId="77777777" w:rsidR="003754FE" w:rsidRDefault="003754FE" w:rsidP="003754FE">
      <w:pPr>
        <w:pStyle w:val="TextoNormal"/>
      </w:pPr>
      <w:r>
        <w:t>Colofón de lo que se expone, es que considero que las sentencias recurridas en amparo han efectuado una interpretación razonada de los elementos del delito de prevaricación y su aplicación al caso que supera el canon de control referido a la prohibición de interpretaciones “ilógicas” o “arbitrarias” que impone el art. 25.1 CE, conforme a la doctrina consolidada de este tribunal. Un canon que han superado anteriormente otras interpretaciones razonadas por los tribunales penales pero que pueden resultar más o menos controvertidas, como por ejemplo condenar por prevaricación a un particular a pesar de que el delito solo pueden cometerlo los “funcionarios” según la letra del Código penal (SSTC 47/1995, de 6 de febrero, FJ 6, y 41/1998, de 24 de febrero, FFJJ 5 y 6), o la condena a un alcalde, también por prevaricación, por actos que incluyen algunos que la jurisdicción contencioso-administrativa consideró conformes con el Derecho administrativo (ATC 324/2003, de 20 de octubre, FJ 6).</w:t>
      </w:r>
    </w:p>
    <w:p w14:paraId="38692675" w14:textId="77777777" w:rsidR="003754FE" w:rsidRDefault="003754FE" w:rsidP="003754FE">
      <w:pPr>
        <w:pStyle w:val="TextoNormal"/>
      </w:pPr>
    </w:p>
    <w:p w14:paraId="0046A6DA" w14:textId="77777777" w:rsidR="003754FE" w:rsidRDefault="003754FE" w:rsidP="003754FE">
      <w:pPr>
        <w:pStyle w:val="TextoNormal"/>
      </w:pPr>
      <w:r>
        <w:t>Aplicando este mismo rasero de la razonabilidad, considero que la interpretación del delito de prevaricación efectuada en este caso por los tribunales competentes para ello, que son la Audiencia Provincial de Sevilla y especialmente el Tribunal Supremo como órgano jurisdiccional superior en la materia (art. 123.1 CE), no es imprevisible ni, por consiguiente, contraria al derecho fundamental a la legalidad penal que garantiza el art. 25.1 CE.</w:t>
      </w:r>
    </w:p>
    <w:p w14:paraId="72737EF2" w14:textId="77777777" w:rsidR="003754FE" w:rsidRDefault="003754FE" w:rsidP="003754FE">
      <w:pPr>
        <w:pStyle w:val="TextoNormal"/>
      </w:pPr>
    </w:p>
    <w:p w14:paraId="6D4D4375" w14:textId="77777777" w:rsidR="003754FE" w:rsidRDefault="003754FE" w:rsidP="003754FE">
      <w:pPr>
        <w:pStyle w:val="TextoNormal"/>
      </w:pPr>
      <w:r>
        <w:t>La demanda de amparo por tal razón debió de desestimarse en su integridad.</w:t>
      </w:r>
    </w:p>
    <w:p w14:paraId="51968DB7" w14:textId="77777777" w:rsidR="003754FE" w:rsidRDefault="003754FE" w:rsidP="003754FE">
      <w:pPr>
        <w:pStyle w:val="TextoNormal"/>
      </w:pPr>
    </w:p>
    <w:p w14:paraId="5EBC384F" w14:textId="77777777" w:rsidR="003754FE" w:rsidRDefault="003754FE" w:rsidP="003754FE">
      <w:pPr>
        <w:pStyle w:val="TextoNormal"/>
      </w:pPr>
      <w:r>
        <w:t>Y en este sentido emito mi voto particular.</w:t>
      </w:r>
    </w:p>
    <w:p w14:paraId="3E113405" w14:textId="77777777" w:rsidR="003754FE" w:rsidRDefault="003754FE" w:rsidP="003754FE">
      <w:pPr>
        <w:pStyle w:val="TextoNormal"/>
      </w:pPr>
    </w:p>
    <w:p w14:paraId="1B8AF8B8" w14:textId="2C230531" w:rsidR="003754FE" w:rsidRDefault="003754FE" w:rsidP="003754FE">
      <w:pPr>
        <w:pStyle w:val="TextoNormal"/>
      </w:pPr>
      <w:r>
        <w:t>Madrid, a diecisiete de julio de dos mil veinticuatro.</w:t>
      </w:r>
    </w:p>
    <w:p w14:paraId="2AF481A7" w14:textId="77777777" w:rsidR="003754FE" w:rsidRDefault="003754FE" w:rsidP="003754FE">
      <w:pPr>
        <w:pStyle w:val="TextoNormal"/>
      </w:pPr>
    </w:p>
    <w:p w14:paraId="47345D39" w14:textId="77777777" w:rsidR="003754FE" w:rsidRDefault="003754FE" w:rsidP="003754FE">
      <w:pPr>
        <w:pStyle w:val="TextoNormalNegritaCentrado"/>
        <w:keepNext/>
      </w:pPr>
      <w:r>
        <w:t>Voto particular que formula el magistrado don Enrique Arnaldo Alcubilla a la sentencia dictada por el Pleno en el recurso de amparo núm. 7007-2022</w:t>
      </w:r>
    </w:p>
    <w:p w14:paraId="10D512DF" w14:textId="5941AA70" w:rsidR="003754FE" w:rsidRDefault="003754FE" w:rsidP="003754FE">
      <w:pPr>
        <w:pStyle w:val="TextoNormalNegritaCentrado"/>
        <w:keepNext/>
      </w:pPr>
    </w:p>
    <w:p w14:paraId="2ABF5967" w14:textId="77777777" w:rsidR="003754FE" w:rsidRDefault="003754FE" w:rsidP="003754FE">
      <w:pPr>
        <w:pStyle w:val="TextoNormal"/>
      </w:pPr>
      <w:r>
        <w:t xml:space="preserve">En el ejercicio de la facultad que me confiere el art. 90.2 de la Ley Orgánica del Tribunal Constitucional, formulo el presente voto particular por discrepar de la fundamentación y del </w:t>
      </w:r>
      <w:r>
        <w:lastRenderedPageBreak/>
        <w:t>fallo de la sentencia recaída en el recurso de amparo interpuesto por don Manuel María Chaves González, el cual a mi parecer debió ser desestimado, por las razones defendidas durante la deliberación y en los términos que seguidamente paso a exponer.</w:t>
      </w:r>
    </w:p>
    <w:p w14:paraId="600BBF57" w14:textId="77777777" w:rsidR="003754FE" w:rsidRDefault="003754FE" w:rsidP="003754FE">
      <w:pPr>
        <w:pStyle w:val="TextoNormal"/>
      </w:pPr>
    </w:p>
    <w:p w14:paraId="651C6AEC" w14:textId="77777777" w:rsidR="003754FE" w:rsidRDefault="003754FE" w:rsidP="003754FE">
      <w:pPr>
        <w:pStyle w:val="TextoNormal"/>
      </w:pPr>
      <w:r>
        <w:t xml:space="preserve">1. </w:t>
      </w:r>
      <w:r w:rsidRPr="003754FE">
        <w:rPr>
          <w:i/>
        </w:rPr>
        <w:t>Consideración preliminar</w:t>
      </w:r>
    </w:p>
    <w:p w14:paraId="1CF3CDEE" w14:textId="77777777" w:rsidR="003754FE" w:rsidRDefault="003754FE" w:rsidP="003754FE">
      <w:pPr>
        <w:pStyle w:val="TextoNormal"/>
      </w:pPr>
    </w:p>
    <w:p w14:paraId="58C157B0" w14:textId="77777777" w:rsidR="003754FE" w:rsidRDefault="003754FE" w:rsidP="003754FE">
      <w:pPr>
        <w:pStyle w:val="TextoNormal"/>
      </w:pPr>
      <w:r>
        <w:t>La fundamentación de la presente sentencia descansa en buena medida en los argumentos empleados por la mayoría del Pleno en la sentencia que estimó parcialmente el recurso de amparo núm. 6971-2022, interpuesto por doña Magdalena Álvarez Arza (STC 93/2024, de 19 de junio) contra las mismas resoluciones judiciales, que la condenaron por un delito de prevaricación en la pieza específica del conocido como “caso de los ERE de Andalucía”.</w:t>
      </w:r>
    </w:p>
    <w:p w14:paraId="2338CD53" w14:textId="77777777" w:rsidR="003754FE" w:rsidRDefault="003754FE" w:rsidP="003754FE">
      <w:pPr>
        <w:pStyle w:val="TextoNormal"/>
      </w:pPr>
    </w:p>
    <w:p w14:paraId="037567EF" w14:textId="77777777" w:rsidR="003754FE" w:rsidRDefault="003754FE" w:rsidP="003754FE">
      <w:pPr>
        <w:pStyle w:val="TextoNormal"/>
      </w:pPr>
      <w:r>
        <w:t>Es procedente, por ello, que me remita a las consideraciones expuestas en el voto particular que suscribí juntamente con los magistrados Enríquez Sancho y Espejel Jorquera a la referida sentencia, y a las que formuló el magistrado Tolosa Tribiño en su voto, al que asimismo nos adherimos. Esta remisión se explica porque en cuanto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otro de los altos cargos de la Junta de Andalucía condenados en el referido asunto, en este supuesto también por delito de prevaricación. Se trata de don Manuel Chaves González, quien fuera presidente de la Junta de Andalucía desde el 27 de julio de 1990 al 7 de abril de 2009, estando descritos los hechos por los que fue condenado en el relato de hechos probados y en el fundamento de Derecho 41 de la sentencia de la Audiencia Provincial de Sevilla, como se pone de manifiesto en el fundamento jurídico 2.4 de la presente sentencia del Tribunal Constitucional.</w:t>
      </w:r>
    </w:p>
    <w:p w14:paraId="6C0214B8" w14:textId="77777777" w:rsidR="003754FE" w:rsidRDefault="003754FE" w:rsidP="003754FE">
      <w:pPr>
        <w:pStyle w:val="TextoNormal"/>
      </w:pPr>
    </w:p>
    <w:p w14:paraId="6176DAED" w14:textId="77777777" w:rsidR="003754FE" w:rsidRDefault="003754FE" w:rsidP="003754FE">
      <w:pPr>
        <w:pStyle w:val="TextoNormal"/>
      </w:pPr>
      <w:r>
        <w:t>Conviene recordar que las sentencias impugnadas en amparo condenaron al recurrente y a otros altos cargos de la Junta de Andalucía en la pieza específica del “caso de los ERE de Andalucía”, que planificaron un sistema de concesión y ejecución de ayudas sociolaborales excepcionales eludiendo el control del gasto público. Para ello idearon un mecanismo relativamente sencillo y sumamente eficaz, para la finalidad perseguida. Ese mecanismo fue el cambio de clasificación presupuestaria del gasto, asignándose las ayudas a la partida 440.12 del programa 31L (Transferencias de financiación al IFA) por la Consejería de Empleo y ejecutándolas el Instituto de Fomento de Andalucía (IFA), luego denominado a partir de 2004 como Agencia de Innovación y Desarrollo en Andalucía (IDEA). De esta suerte, durante los años 2002 a 2009 no se siguió procedimiento administrativo alguno en la concesión de las ayudas, al otorgarse sin expediente de concesión (en muchos casos); sin publicidad en la concesión; sin fiscalización; sin informe de la Consejería de Presidencia sobre la notificación a la Comisión Europea; sin solicitud de los interesados y sin acreditarse la personalidad de los solicitantes; entre otras graves irregularidades que socavaron las reglas y los principios por los que se rige la actividad administrativa subvencional.</w:t>
      </w:r>
    </w:p>
    <w:p w14:paraId="15A2B28D" w14:textId="77777777" w:rsidR="003754FE" w:rsidRDefault="003754FE" w:rsidP="003754FE">
      <w:pPr>
        <w:pStyle w:val="TextoNormal"/>
      </w:pPr>
    </w:p>
    <w:p w14:paraId="0AF8F435" w14:textId="77777777" w:rsidR="003754FE" w:rsidRDefault="003754FE" w:rsidP="003754FE">
      <w:pPr>
        <w:pStyle w:val="TextoNormal"/>
      </w:pPr>
      <w:r>
        <w:t xml:space="preserve">2. </w:t>
      </w:r>
      <w:r w:rsidRPr="003754FE">
        <w:rPr>
          <w:i/>
        </w:rPr>
        <w:t>Premisas erróneas: la pretendida virtud sanadora de las leyes de presupuestos de Andalucía para los años 2002 a 2009 y la atribución a la memoria económica de valor y eficacia complementaria de la ley de presupuestos</w:t>
      </w:r>
    </w:p>
    <w:p w14:paraId="776B21CD" w14:textId="77777777" w:rsidR="003754FE" w:rsidRDefault="003754FE" w:rsidP="003754FE">
      <w:pPr>
        <w:pStyle w:val="TextoNormal"/>
      </w:pPr>
    </w:p>
    <w:p w14:paraId="6A519F17" w14:textId="77777777" w:rsidR="003754FE" w:rsidRDefault="003754FE" w:rsidP="003754FE">
      <w:pPr>
        <w:pStyle w:val="TextoNormal"/>
      </w:pPr>
      <w:r>
        <w:lastRenderedPageBreak/>
        <w:t>Como en la STC 93/2024, la presente sentencia considera que la actuación del recurrente no puede entenderse subsumible en el delito de prevaricación por el que ha sido condenado, conclusión que asienta sobre la premisa, a mi parecer errónea, de que obraba amparado por lo previsto en la correspondiente ley de presupuestos para cada ejercicio.</w:t>
      </w:r>
    </w:p>
    <w:p w14:paraId="3D330FA0" w14:textId="77777777" w:rsidR="003754FE" w:rsidRDefault="003754FE" w:rsidP="003754FE">
      <w:pPr>
        <w:pStyle w:val="TextoNormal"/>
      </w:pPr>
    </w:p>
    <w:p w14:paraId="63ECFACF" w14:textId="77777777" w:rsidR="003754FE" w:rsidRDefault="003754FE" w:rsidP="003754FE">
      <w:pPr>
        <w:pStyle w:val="TextoNormal"/>
      </w:pPr>
      <w:r>
        <w:t>Nada más lejos de la realidad. Las sentencias impugnadas en amparo han entendido que los trabajos preparatorios de esas leyes (la actividad “prelegislativa”), esto es, la actividad tendente a la elaboración de los anteproyectos de ley que luego se convertirán en proyectos remitidos al Parlamento, puede considerarse integrante de un procedimiento administrativo y, por consiguiente, que las decisiones que se adoptan en ese ámbito pueden calificarse como resoluciones recaídas en asunto administrativo, que es el término empleado en el art. 404 del Código penal para el delito de prevaricación administrativa. Por las razones expresadas en el voto particular a la STC 93/2024, no me parece que esa interpretación realizada por la jurisdicción penal, en el ámbito que le compete conforme al art. 117.3 CE, pueda tildarse de irrazonable o imprevisible. A mi entender, los actos prelegislativos son susceptibles de control penal. Entender lo contrario, como hace la mayoría del Tribunal en la sentencia de la que disiento, equivale a consagrar un inadmisible ámbito de impunidad que resulta patentemente contrario a la Constitución.</w:t>
      </w:r>
    </w:p>
    <w:p w14:paraId="6E6CAAC6" w14:textId="77777777" w:rsidR="003754FE" w:rsidRDefault="003754FE" w:rsidP="003754FE">
      <w:pPr>
        <w:pStyle w:val="TextoNormal"/>
      </w:pPr>
    </w:p>
    <w:p w14:paraId="653E172F" w14:textId="77777777" w:rsidR="003754FE" w:rsidRDefault="003754FE" w:rsidP="003754FE">
      <w:pPr>
        <w:pStyle w:val="TextoNormal"/>
      </w:pPr>
      <w:r>
        <w:t>La preparación del anteproyecto de ley de presupuestos es una labor netamente administrativa, sujeta a control y a responsabilidad. Es la presentación del proyecto de ley en el Parlamento el acto que inicia la tramitación parlamentaria. Estamos, pues, en el primer caso, ante actos administrativos insertos en un procedimiento administrativo reglado (a nivel estatal, el procedimiento por el que se rige la elaboración de los presupuestos generales del Estado es una orden del ministro de Hacienda, conforme al art. 36.2 de la Ley general presupuestaria; en la Comunidad Autónoma andaluza, se trata de una orden de la Consejería competente). No es posible equiparar, por tanto, los anteproyectos de ley (tramitación administrativa) con los proyectos de ley (tramitación parlamentaria), ni tampoco equiparar los actos administrativos prelegislativos (reglados o discrecionales) con los políticos (del Gobierno) o legislativos (del Parlamento), ni mucho menos afirmar que los actos preparatorios o prelegislativos no se encuentran sometidos al Derecho administrativo, para deducir de ello una absoluta irresponsabilidad penal de los autores de esa actuación prelegislativa, como hace la sentencia de la que disiento.</w:t>
      </w:r>
    </w:p>
    <w:p w14:paraId="65BFE5DD" w14:textId="77777777" w:rsidR="003754FE" w:rsidRDefault="003754FE" w:rsidP="003754FE">
      <w:pPr>
        <w:pStyle w:val="TextoNormal"/>
      </w:pPr>
    </w:p>
    <w:p w14:paraId="1D760C19" w14:textId="77777777" w:rsidR="003754FE" w:rsidRDefault="003754FE" w:rsidP="003754FE">
      <w:pPr>
        <w:pStyle w:val="TextoNormal"/>
      </w:pPr>
      <w:r>
        <w:t>Pero la sentencia aprobada por la mayoría va aún más lejos y, como en la STC 93/2024, sostiene que la conducta del recurrente, como la de otros condenados en la “pieza específica del caso de los ERE de Andalucía”, no merecía reproche penal desde la perspectiva del delito de prevaricación por el que ha sido condenado porque se amparaba en las leyes de presupuestos de Andalucía para los años 2002 al 2009, que “en su programa 31L, establecieron un sistema de atribución de fondos al IFA/IDEA (las transferencias de financiación) para la concesión de ayudas sociolaborales que, de acuerdo con lo establecido en sus propias memorias, habilitaban a la administración autonómica a conceder estas ayudas por tal vía” (fundamento jurídico 3), lo que habría supuesto la supresión de los controles y procedimiento propios del régimen de subvenciones.</w:t>
      </w:r>
    </w:p>
    <w:p w14:paraId="1D4B38DB" w14:textId="77777777" w:rsidR="003754FE" w:rsidRDefault="003754FE" w:rsidP="003754FE">
      <w:pPr>
        <w:pStyle w:val="TextoNormal"/>
      </w:pPr>
    </w:p>
    <w:p w14:paraId="2033AABC" w14:textId="77777777" w:rsidR="003754FE" w:rsidRDefault="003754FE" w:rsidP="003754FE">
      <w:pPr>
        <w:pStyle w:val="TextoNormal"/>
      </w:pPr>
      <w:r>
        <w:t xml:space="preserve">Lo mismo se afirma respecto de las conductas calificadas de prevaricación por las sentencias impugnadas en amparo relativas a las modificaciones presupuestarias amparadas en el programa 31L, habidas con posterioridad a la aprobación de las distintas leyes de </w:t>
      </w:r>
      <w:r>
        <w:lastRenderedPageBreak/>
        <w:t>presupuestos, pues, asimismo, encontrarían cobijo en el “sistema de atribución de fondos al IFA/IDEA (las transferencias de financiación) para la concesión de ayudas sociolaborales”, según sostiene la mayoría del Pleno en la sentencia de la que disiento.</w:t>
      </w:r>
    </w:p>
    <w:p w14:paraId="4CF95D0F" w14:textId="77777777" w:rsidR="003754FE" w:rsidRDefault="003754FE" w:rsidP="003754FE">
      <w:pPr>
        <w:pStyle w:val="TextoNormal"/>
      </w:pPr>
    </w:p>
    <w:p w14:paraId="7282FA16" w14:textId="77777777" w:rsidR="003754FE" w:rsidRDefault="003754FE" w:rsidP="003754FE">
      <w:pPr>
        <w:pStyle w:val="TextoNormal"/>
      </w:pPr>
      <w:r>
        <w:t>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subvenciones, en particular, la fiscalización previa por parte de la Intervención de la Junta de Andalucía. Se viene a afirmar que resulta imprevisible condenar por prevaricación conductas amparadas en lo dispuesto en el programa 31L incorporado a las leyes de presupuestos de Andalucía para los años 2002 al 2009. La ley curaría, según la mayoría del Tribunal, todo vicio y haría inatacable la actuación de los gestores públicos, que estarían habituados para actuar al margen de cualquier procedimiento y sin el control previo exigible en cualquier disposición de fondos públicos.</w:t>
      </w:r>
    </w:p>
    <w:p w14:paraId="7D87CC48" w14:textId="77777777" w:rsidR="003754FE" w:rsidRDefault="003754FE" w:rsidP="003754FE">
      <w:pPr>
        <w:pStyle w:val="TextoNormal"/>
      </w:pPr>
    </w:p>
    <w:p w14:paraId="7B11BDCB" w14:textId="77777777" w:rsidR="003754FE" w:rsidRDefault="003754FE" w:rsidP="003754FE">
      <w:pPr>
        <w:pStyle w:val="TextoNormal"/>
      </w:pPr>
      <w:r>
        <w:t>Según la sentencia aprobada por la mayoría del Tribunal, y de la que discrepo, la ley de presupuestos es erigida en un tótem todopoderoso que habilita a la administración para operar libérrimamente. Basta una partida, una cifra, económica expresada en euros y un concepto genérico para entender que el organismo correspondiente está apoderado para saltarse procedimientos y controles, simplemente con el argumento de que no se establece en la ley a qué procedimiento o a qué control está sujeta esa actividad.</w:t>
      </w:r>
    </w:p>
    <w:p w14:paraId="28D529FA" w14:textId="77777777" w:rsidR="003754FE" w:rsidRDefault="003754FE" w:rsidP="003754FE">
      <w:pPr>
        <w:pStyle w:val="TextoNormal"/>
      </w:pPr>
    </w:p>
    <w:p w14:paraId="487FD823" w14:textId="77777777" w:rsidR="003754FE" w:rsidRDefault="003754FE" w:rsidP="003754FE">
      <w:pPr>
        <w:pStyle w:val="TextoNormal"/>
      </w:pPr>
      <w:r>
        <w:t>Semejante premisa, la de la supuesta cobertura de la actuación del recurrente en la legalidad presupuestaria, descansa en una errónea apreciación del contenido de las leyes de presupuestos consideradas. No es cierto que las sentencias de la jurisdicción penal que condenaron al recurrente hayan privado de toda relevancia a la circunstancia de la aprobación parlamentaria de las sucesivas leyes de presupuestos. Lo que sucede es que, frente a lo que de manera incorrecta ha entendido la mayoría en la sentencia de la que disiento, es que, en realidad, la introducción del programa 31L en las leyes de presupuestos andaluzas de los 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de lo Penal del Tribunal Supremo.</w:t>
      </w:r>
    </w:p>
    <w:p w14:paraId="19175280" w14:textId="77777777" w:rsidR="003754FE" w:rsidRDefault="003754FE" w:rsidP="003754FE">
      <w:pPr>
        <w:pStyle w:val="TextoNormal"/>
      </w:pPr>
    </w:p>
    <w:p w14:paraId="4138DA67" w14:textId="77777777" w:rsidR="003754FE" w:rsidRDefault="003754FE" w:rsidP="003754FE">
      <w:pPr>
        <w:pStyle w:val="TextoNormal"/>
      </w:pPr>
      <w:r>
        <w:t xml:space="preserve">Ambas resoluciones judiciales niegan con razón, por otra parte, el pretendido valor legal (tampoco normativo, por supuesto, pues no son normas jurídicas) que se pretende dar a las memorias presupuestarias, informes económico-financieros y fichas del programa 31L. La ausencia de eficacia vinculante de esa documentación anexa a las leyes de presupuestos resulta corroborada por diversos instrumentos legales, como ya se señaló en el voto particular conjunto a la STC 93/2024,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w:t>
      </w:r>
      <w:r>
        <w:lastRenderedPageBreak/>
        <w:t>meras previsiones hipotéticas” (STC 63/1986, de 21 de mayo, FJ 8). El argumento que utiliza la mayoría en la sentencia de la que discrepo, según el cual han de interpretarse las partidas presupuestarias conforme a la memoria, es fruto de un voluntarismo jurídico que no se puede compartir.</w:t>
      </w:r>
    </w:p>
    <w:p w14:paraId="7A4A15D8" w14:textId="77777777" w:rsidR="003754FE" w:rsidRDefault="003754FE" w:rsidP="003754FE">
      <w:pPr>
        <w:pStyle w:val="TextoNormal"/>
      </w:pPr>
    </w:p>
    <w:p w14:paraId="7DC0C68C" w14:textId="77777777" w:rsidR="003754FE" w:rsidRDefault="003754FE" w:rsidP="003754FE">
      <w:pPr>
        <w:pStyle w:val="TextoNormal"/>
      </w:pPr>
      <w:r>
        <w:t>En cuanto a las modificaciones presupuestarias producidas en los años 2002 y 2005 a 2008, por las mismas razones que entendemos que las leyes de presupuestos que incluyeron desde el año 2002 esa célebre partida 440 del programa 31L no sanaron el vicio que arrastraban en cuanto a su oculta finalidad de eludir los controles previos de la Intervención, tampoco las modificaciones presupuestarias pueden escudarse en la ley de presupuestos.</w:t>
      </w:r>
    </w:p>
    <w:p w14:paraId="486CB0FE" w14:textId="77777777" w:rsidR="003754FE" w:rsidRDefault="003754FE" w:rsidP="003754FE">
      <w:pPr>
        <w:pStyle w:val="TextoNormal"/>
      </w:pPr>
    </w:p>
    <w:p w14:paraId="4348051E" w14:textId="77777777" w:rsidR="003754FE" w:rsidRDefault="003754FE" w:rsidP="003754FE">
      <w:pPr>
        <w:pStyle w:val="TextoNormal"/>
      </w:pPr>
      <w:r>
        <w:t>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correspondiente ley de presupuestos, excluyera la aplicación de la normativa general en materia de subvenciones.</w:t>
      </w:r>
    </w:p>
    <w:p w14:paraId="3F7515CE" w14:textId="77777777" w:rsidR="003754FE" w:rsidRDefault="003754FE" w:rsidP="003754FE">
      <w:pPr>
        <w:pStyle w:val="TextoNormal"/>
      </w:pPr>
    </w:p>
    <w:p w14:paraId="2800EC4D" w14:textId="77777777" w:rsidR="003754FE" w:rsidRDefault="003754FE" w:rsidP="003754FE">
      <w:pPr>
        <w:pStyle w:val="TextoNormal"/>
      </w:pPr>
      <w:r>
        <w:t>Habida cuenta de lo anterior, no parece que la respuesta penal a la actuación del recurrente pueda calificarse de imprevisible. La razón de la condena del recurrente es clara: como con arreglo a la Ley 5/1983, de la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los altos cargos de la Junta de Andalucía implicados en la trama idearon como solución para eludir esos controles incluir una nueva partida en los presupuestos titulada de manera indeterminada para sus propios fines, eludiendo de este modo los controles exigibles con arreglo a una legalidad que no fue derogada por lo dispuesto en las leyes de presupuestos andaluzas de los años 2002 a 2009.</w:t>
      </w:r>
    </w:p>
    <w:p w14:paraId="3917699F" w14:textId="77777777" w:rsidR="003754FE" w:rsidRDefault="003754FE" w:rsidP="003754FE">
      <w:pPr>
        <w:pStyle w:val="TextoNormal"/>
      </w:pPr>
    </w:p>
    <w:p w14:paraId="345D06EF" w14:textId="77777777" w:rsidR="003754FE" w:rsidRDefault="003754FE" w:rsidP="003754FE">
      <w:pPr>
        <w:pStyle w:val="TextoNormal"/>
      </w:pPr>
      <w:r>
        <w:t>Ciertamente, las cosas podrían haber sucedido de otro modo. Las leyes de presupuestos andaluzas hubieran podido derogar esa legalidad, o excluirla para la concesión de esas ayudas, como hizo luego el Decreto-ley 4/2012 en la llamada “tercera etapa” de los ERE (fundamento jurídico de la sentencia del Tribunal Supremo, “resumen de los hechos probados”), cuyo art.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a disponer, después, libérrimamente de los fondos incluidos en la partida 440 del programa 31L y solo y exclusivamente en esa partida.</w:t>
      </w:r>
    </w:p>
    <w:p w14:paraId="769C650D" w14:textId="77777777" w:rsidR="003754FE" w:rsidRDefault="003754FE" w:rsidP="003754FE">
      <w:pPr>
        <w:pStyle w:val="TextoNormal"/>
      </w:pPr>
    </w:p>
    <w:p w14:paraId="2D437903" w14:textId="77777777" w:rsidR="003754FE" w:rsidRDefault="003754FE" w:rsidP="003754FE">
      <w:pPr>
        <w:pStyle w:val="TextoNormal"/>
      </w:pPr>
      <w:r>
        <w:lastRenderedPageBreak/>
        <w:t>La consecuencia de ello es que las conductas enjuiciadas del recurrente fueron correctamente subsumidas en el delito de prevaricación, porque el programa 31L no concedía una cobertura legal para adjudicar ayudas con elusión de los controles previstos en la normativa subvencional, pues nada se establecía en las leyes de presupuestos en tal sentido. La omisión de aquellos controles permitió que se dispusiera libremente de las ingentes cantidades dinerarias a las que se refieren los hechos probados de las sentencias impugnadas en amparo, ocasionando un grave quebranto a la hacienda pública.</w:t>
      </w:r>
    </w:p>
    <w:p w14:paraId="05AB3D88" w14:textId="77777777" w:rsidR="003754FE" w:rsidRDefault="003754FE" w:rsidP="003754FE">
      <w:pPr>
        <w:pStyle w:val="TextoNormal"/>
      </w:pPr>
    </w:p>
    <w:p w14:paraId="0533C7BD" w14:textId="77777777" w:rsidR="003754FE" w:rsidRDefault="003754FE" w:rsidP="003754FE">
      <w:pPr>
        <w:pStyle w:val="TextoNormal"/>
      </w:pPr>
      <w:r>
        <w:t xml:space="preserve">3. </w:t>
      </w:r>
      <w:r w:rsidRPr="003754FE">
        <w:rPr>
          <w:i/>
        </w:rPr>
        <w:t>La presente sentencia desconoce los principios constitucionales rectores del gasto público y su control</w:t>
      </w:r>
    </w:p>
    <w:p w14:paraId="58559E8D" w14:textId="77777777" w:rsidR="003754FE" w:rsidRDefault="003754FE" w:rsidP="003754FE">
      <w:pPr>
        <w:pStyle w:val="TextoNormal"/>
      </w:pPr>
    </w:p>
    <w:p w14:paraId="49960EF3" w14:textId="77777777" w:rsidR="003754FE" w:rsidRDefault="003754FE" w:rsidP="003754FE">
      <w:pPr>
        <w:pStyle w:val="TextoNormal"/>
      </w:pPr>
      <w:r>
        <w:t>En un precepto original en el Derecho Constitucional contemporáneo, la Constitución en su art. 31.2 establece que “[e]l gasto público realizará una asignación equitativa de los recursos públicos, y su programación y ejecución responderán a los criterios de eficiencia y economía”.</w:t>
      </w:r>
    </w:p>
    <w:p w14:paraId="4FF36304" w14:textId="77777777" w:rsidR="003754FE" w:rsidRDefault="003754FE" w:rsidP="003754FE">
      <w:pPr>
        <w:pStyle w:val="TextoNormal"/>
      </w:pPr>
    </w:p>
    <w:p w14:paraId="430DC7F6" w14:textId="77777777" w:rsidR="003754FE" w:rsidRDefault="003754FE" w:rsidP="003754FE">
      <w:pPr>
        <w:pStyle w:val="TextoNormal"/>
      </w:pPr>
      <w:r>
        <w:t>La referencia que hace el art. 31.2 CE a la justicia de los criterios de reparto del gasto público fue introducida en el Senado a través de la enmienda propuesta por el profesor Fuentes Quintana, quien en defensa de la misma enfatizó que lo que se pretende es “que el gasto publico sirva al fin de la justicia (solicitando, por ello una asignación equitativa de los recursos públicos) y a los principios de la eficiencia y economicidad (requisito obligado para justificar la racionalidad de todo gasto publico)”. Y ello porque “el gasto no solamente constituye en este sentido un derecho del ciudadano; mi derecho, en cuanto ciudadano, a los gastos públicos no es solo a que prepondere la equidad en su distribución, sino también a que su programación, su presupuestación y su control tengan lugar con arreglo a los principios de economicidad y eficiencia. La economicidad y eficiencia deben ser mandatos obligados para el gasto público y para el gasto privado y, naturalmente, son derechos de los individuos, porque en la medida en que el Estado despilfarra el contenido del conjunto en sus gastos públicos, es evidente que lo que está haciendo es malbaratar el conjunto, no defender el conjunto de los derechos individuales de los ciudadanos” (“Diario de Sesiones del Senado”, núm. 45, de 29 de agosto de 1978, enmienda núm. 674, presentada en el seno de la Comisión Constitucional).</w:t>
      </w:r>
    </w:p>
    <w:p w14:paraId="291E7083" w14:textId="77777777" w:rsidR="003754FE" w:rsidRDefault="003754FE" w:rsidP="003754FE">
      <w:pPr>
        <w:pStyle w:val="TextoNormal"/>
      </w:pPr>
    </w:p>
    <w:p w14:paraId="1762D5A8" w14:textId="77777777" w:rsidR="003754FE" w:rsidRDefault="003754FE" w:rsidP="003754FE">
      <w:pPr>
        <w:pStyle w:val="TextoNormal"/>
      </w:pPr>
      <w:r>
        <w:t>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puede hacer el Estado a través del Tribunal de Cuentas sobre la actividad financiera de las corporaciones locales. Pueden coexistir y superponerse, sin perjuicio de “evitar duplicidades innecesarias o disfuncionalidades”, que serían contrarias al art. 31.2 CE. También en la STC 204/1992, de 26 de noviembre, sobre los consejos consultivos autonómicos y el Consejo de Estado, si bien aquí el Tribunal añade al art. 31.2 CE el art. 103.1 CE, que obliga a la administración pública a actuar con sujeción tanto al principio de legalidad (lo que incluye la legalidad presupuestaria, claro está), como al principio de eficacia administrativa).</w:t>
      </w:r>
    </w:p>
    <w:p w14:paraId="5710DD7B" w14:textId="77777777" w:rsidR="003754FE" w:rsidRDefault="003754FE" w:rsidP="003754FE">
      <w:pPr>
        <w:pStyle w:val="TextoNormal"/>
      </w:pPr>
    </w:p>
    <w:p w14:paraId="4FB82960" w14:textId="77777777" w:rsidR="003754FE" w:rsidRDefault="003754FE" w:rsidP="003754FE">
      <w:pPr>
        <w:pStyle w:val="TextoNormal"/>
      </w:pPr>
      <w:r>
        <w:t xml:space="preserve">Pero, sin duda, el pronunciamiento más importante se contiene en la STC 45/2017, de 27 de abril, en la que se afirma que “la actividad financiera de las distintas haciendas [ha de] asegurar los principios constitucionales que, conforme a la Constitución han de regir el gasto </w:t>
      </w:r>
      <w:r>
        <w:lastRenderedPageBreak/>
        <w:t>público: legalidad (art. 133.4 CE), eficiencia y economía (art. 31.2 CE), asignación equitativa de los recursos públicos (art. 31.2 CE), subordinación de la riqueza al interés general (art. 128.1 CE), estabilidad presupuestaria (art. 135 CE […]) y control (art. 136 CE)”.</w:t>
      </w:r>
    </w:p>
    <w:p w14:paraId="231483B1" w14:textId="77777777" w:rsidR="003754FE" w:rsidRDefault="003754FE" w:rsidP="003754FE">
      <w:pPr>
        <w:pStyle w:val="TextoNormal"/>
      </w:pPr>
    </w:p>
    <w:p w14:paraId="11C7D57F" w14:textId="77777777" w:rsidR="003754FE" w:rsidRDefault="003754FE" w:rsidP="003754FE">
      <w:pPr>
        <w:pStyle w:val="TextoNormal"/>
      </w:pPr>
      <w:r>
        <w:t>Sobre el principio de legalidad (que la sentencia presenta como respetado y salvífico para el recurrente) ya me he expresado, sin perjuicio de volver después. Me importa detenerme ahora en los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pagos. Ello queda confirmado, por lo demás, en un precepto transversal de nuestra Constitución, íntimamente ligado, entre otros, al citado art. 31.2 CE, y que no es otro que el también citado art. 103.1 CE, a cuyo tenor “[l]a Administración Pública sirve con objetividad 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14:paraId="15637B66" w14:textId="77777777" w:rsidR="003754FE" w:rsidRDefault="003754FE" w:rsidP="003754FE">
      <w:pPr>
        <w:pStyle w:val="TextoNormal"/>
      </w:pPr>
    </w:p>
    <w:p w14:paraId="45BD9BC0" w14:textId="77777777" w:rsidR="003754FE" w:rsidRDefault="003754FE" w:rsidP="003754FE">
      <w:pPr>
        <w:pStyle w:val="TextoNormal"/>
      </w:pPr>
      <w: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enunciadas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w:t>
      </w:r>
      <w:r w:rsidRPr="003754FE">
        <w:rPr>
          <w:i/>
        </w:rPr>
        <w:t>in fine</w:t>
      </w:r>
      <w:r>
        <w:t xml:space="preserve"> que el sometimiento de la administración pública a la ley y al Derecho sea pleno, o sea completo, sin excepción ni matiz, lo que corrobora el enunciado del art. 106.1 CE.</w:t>
      </w:r>
    </w:p>
    <w:p w14:paraId="06780792" w14:textId="77777777" w:rsidR="003754FE" w:rsidRDefault="003754FE" w:rsidP="003754FE">
      <w:pPr>
        <w:pStyle w:val="TextoNormal"/>
      </w:pPr>
    </w:p>
    <w:p w14:paraId="4749F88F" w14:textId="77777777" w:rsidR="003754FE" w:rsidRDefault="003754FE" w:rsidP="003754FE">
      <w:pPr>
        <w:pStyle w:val="TextoNormal"/>
      </w:pPr>
      <w:r>
        <w:t xml:space="preserve">Si el fraude fiscal es una de las agresiones más graves al interés común de los ciudadanos, la malversación de los caudales públicos es otra no menos importante. Como la lucha contra el fraude fiscal, la lucha contra la corrupción es otro objetivo o mandato que la Constitución impone a todos los poderes públicos. Ese mandato deriva del deber constitucional de realizar una asignación equitativa de los recursos públicos en el marco de una programación y ejecución basada en los criterios de eficiencia y economía (art. 31.1 CE). La justicia financiera no se limita a la vertiente del ingreso; debe atender con la misma fuerza a la del gasto ¿De qué vale defender la ética en el ingreso si luego no se exige la correlativa ética en el gasto? La mala, negligente o indebida gestión de los recursos públicos compromete el cumplimiento de los fines de un Estado social y democrático de Derecho (art. 1.1 CE). El Tribunal del que formo parte ha renunciado de nuevo a formar una doctrina en cuestión tan nuclear como de tan vieja raigambre en la sociedad. En efecto, ya la Carta Magna inglesa de 1215 reconoció el derecho de los ciudadanos, no solo a consentir tributos, sino también a conocer su justificación y el destino a que se afectaban, derechos que recogió el </w:t>
      </w:r>
      <w:r w:rsidRPr="003754FE">
        <w:rPr>
          <w:i/>
        </w:rPr>
        <w:t>Bill of Rights</w:t>
      </w:r>
      <w:r>
        <w:t xml:space="preserve"> de 1689 y más adelante la Declaración de los derechos del hombre y del ciudadano de 1789 y nuestra Constitución de Cádiz de 1812.</w:t>
      </w:r>
    </w:p>
    <w:p w14:paraId="280D144F" w14:textId="77777777" w:rsidR="003754FE" w:rsidRDefault="003754FE" w:rsidP="003754FE">
      <w:pPr>
        <w:pStyle w:val="TextoNormal"/>
      </w:pPr>
    </w:p>
    <w:p w14:paraId="6EC96A98" w14:textId="77777777" w:rsidR="003754FE" w:rsidRDefault="003754FE" w:rsidP="003754FE">
      <w:pPr>
        <w:pStyle w:val="TextoNormal"/>
      </w:pPr>
      <w:r>
        <w:lastRenderedPageBreak/>
        <w:t>Adelanto ya que las conclusiones a las que llega la sentencia de este tribunal de la que disiento no se acomodan a estos principios constitucionales, pues se asientan en la incertidumbre jurídica, en la irresponsabilidad, y en la falta de objetividad y de transparencia de la administración pública.</w:t>
      </w:r>
    </w:p>
    <w:p w14:paraId="0A37FAFD" w14:textId="77777777" w:rsidR="003754FE" w:rsidRDefault="003754FE" w:rsidP="003754FE">
      <w:pPr>
        <w:pStyle w:val="TextoNormal"/>
      </w:pPr>
    </w:p>
    <w:p w14:paraId="16ECFCCB" w14:textId="77777777" w:rsidR="003754FE" w:rsidRDefault="003754FE" w:rsidP="003754FE">
      <w:pPr>
        <w:pStyle w:val="TextoNormal"/>
      </w:pPr>
      <w:r>
        <w:t xml:space="preserve">La sentencia de este tribunal descubre con la linterna de Diógenes el argumento de la salvadora ley de presupuestos que todo lo ampara y que borra toda responsabilidad penal en la conducta del recurrente y de otros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w:t>
      </w:r>
      <w:r w:rsidRPr="003754FE">
        <w:rPr>
          <w:i/>
        </w:rPr>
        <w:t>ius</w:t>
      </w:r>
      <w:r>
        <w:t xml:space="preserve">. La ley no agota el ámbito del Derecho, que es algo más. Y en ese algo más están desde luego los principios actuales de actuación de las administraciones públicas, que enuncian muy en particular los arts. 9.3, 31.2, 103.1, 105 y 106.1 CE, y los propios principios generales del Derecho, que no tienen por qué ser norma escrita y que sintetizan nuestra cultura jurídica, que es la propia de un Estado constitucional y democrático de Derecho (art. 1.1 CE). Y, por supuesto, en el </w:t>
      </w:r>
      <w:r w:rsidRPr="003754FE">
        <w:rPr>
          <w:i/>
        </w:rPr>
        <w:t>ius</w:t>
      </w:r>
      <w:r>
        <w:t xml:space="preserve"> están también los principios del Derecho de la Unión Europea, a los que luego me referiré.</w:t>
      </w:r>
    </w:p>
    <w:p w14:paraId="5A497D72" w14:textId="77777777" w:rsidR="003754FE" w:rsidRDefault="003754FE" w:rsidP="003754FE">
      <w:pPr>
        <w:pStyle w:val="TextoNormal"/>
      </w:pPr>
    </w:p>
    <w:p w14:paraId="5DDB2E81" w14:textId="77777777" w:rsidR="003754FE" w:rsidRDefault="003754FE" w:rsidP="003754FE">
      <w:pPr>
        <w:pStyle w:val="TextoNormal"/>
      </w:pPr>
      <w:r>
        <w:t>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no es nunca ilimitado ni puede ejercerse al puro arbitrio o capricho de quienes lo lleven a 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14:paraId="14CFEFFE" w14:textId="77777777" w:rsidR="003754FE" w:rsidRDefault="003754FE" w:rsidP="003754FE">
      <w:pPr>
        <w:pStyle w:val="TextoNormal"/>
      </w:pPr>
    </w:p>
    <w:p w14:paraId="5348ABF7" w14:textId="77777777" w:rsidR="003754FE" w:rsidRDefault="003754FE" w:rsidP="003754FE">
      <w:pPr>
        <w:pStyle w:val="TextoNormal"/>
      </w:pPr>
      <w:r>
        <w:t xml:space="preserve">4. </w:t>
      </w:r>
      <w:r w:rsidRPr="003754FE">
        <w:rPr>
          <w:i/>
        </w:rPr>
        <w:t>Sobre la aplicación de los principios del Derecho de la Unión Europea en materia de control del gasto público, como dique de contención en la lucha contra el fraude y la corrupción política</w:t>
      </w:r>
    </w:p>
    <w:p w14:paraId="031BD60D" w14:textId="77777777" w:rsidR="003754FE" w:rsidRDefault="003754FE" w:rsidP="003754FE">
      <w:pPr>
        <w:pStyle w:val="TextoNormal"/>
      </w:pPr>
    </w:p>
    <w:p w14:paraId="032C994A" w14:textId="77777777" w:rsidR="003754FE" w:rsidRDefault="003754FE" w:rsidP="003754FE">
      <w:pPr>
        <w:pStyle w:val="TextoNormal"/>
      </w:pPr>
      <w:r>
        <w:t xml:space="preserve">Si bien el Derecho de la Unión Europea no es directamente aplicable en el asunto que nos ocupa, al no tener los fondos públicos malversados origen comunitario, no puede desconocerse que los principios del Derecho de la Unión sobre el control del gasto público son muy relevantes para analizar la regularidad de la actuación de los gestores de los caudales </w:t>
      </w:r>
      <w:r>
        <w:lastRenderedPageBreak/>
        <w:t>públicos. En tal sentido, no me parece aventurado afirmar que esa gestión, en el conocido como “caso de los ERE de Andalucía”, y como se desprende de las sentencias condenatorias que se impugnan en amparo, ha sido contraria no solo a los principios del Derecho interno, sino también a los principios del Derecho de la Unión Europea.</w:t>
      </w:r>
    </w:p>
    <w:p w14:paraId="0D5236FD" w14:textId="77777777" w:rsidR="003754FE" w:rsidRDefault="003754FE" w:rsidP="003754FE">
      <w:pPr>
        <w:pStyle w:val="TextoNormal"/>
      </w:pPr>
    </w:p>
    <w:p w14:paraId="5CAD5B5B" w14:textId="77777777" w:rsidR="003754FE" w:rsidRDefault="003754FE" w:rsidP="003754FE">
      <w:pPr>
        <w:pStyle w:val="TextoNormal"/>
      </w:pPr>
      <w:r>
        <w:t>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peligro los intereses financieros del poder público y sería, contraria al Derecho de la Unión Europea.</w:t>
      </w:r>
    </w:p>
    <w:p w14:paraId="06C130E5" w14:textId="77777777" w:rsidR="003754FE" w:rsidRDefault="003754FE" w:rsidP="003754FE">
      <w:pPr>
        <w:pStyle w:val="TextoNormal"/>
      </w:pPr>
    </w:p>
    <w:p w14:paraId="4F72AAAB" w14:textId="77777777" w:rsidR="003754FE" w:rsidRDefault="003754FE" w:rsidP="003754FE">
      <w:pPr>
        <w:pStyle w:val="TextoNormal"/>
      </w:pPr>
      <w: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el fraude. Conforme al art. 325 del Tratado de funcionamiento de la Unión Europea (TFUE), relativo a la lucha contra el fraude, “1. La Unión y los Estados miembros </w:t>
      </w:r>
      <w:r w:rsidRPr="003754FE">
        <w:rPr>
          <w:i/>
        </w:rPr>
        <w:t>combatirán el fraude y toda actividad ilegal</w:t>
      </w:r>
      <w:r>
        <w:t xml:space="preserve"> que afecte a los intereses financieros de la Unión mediante medidas adoptadas en virtud de lo dispuesto en el presente artículo, que deberán tener un </w:t>
      </w:r>
      <w:r w:rsidRPr="003754FE">
        <w:rPr>
          <w:i/>
        </w:rPr>
        <w:t>efecto disuasorio</w:t>
      </w:r>
      <w:r>
        <w:t xml:space="preserve"> y ser capaces de ofrecer una protección eficaz en los Estados miembros y en las instituciones, órganos y organismos de la Unión. 2. Los Estados miembros adoptarán para combatir el fraude que afecte a los intereses financieros de la Unión </w:t>
      </w:r>
      <w:r w:rsidRPr="003754FE">
        <w:rPr>
          <w:i/>
        </w:rPr>
        <w:t>las mismas medidas</w:t>
      </w:r>
      <w:r>
        <w:t xml:space="preserve"> que para combatir el fraude que afecte a sus propios intereses financieros”.</w:t>
      </w:r>
    </w:p>
    <w:p w14:paraId="0BB1094B" w14:textId="77777777" w:rsidR="003754FE" w:rsidRDefault="003754FE" w:rsidP="003754FE">
      <w:pPr>
        <w:pStyle w:val="TextoNormal"/>
      </w:pPr>
    </w:p>
    <w:p w14:paraId="439DB317" w14:textId="77777777" w:rsidR="003754FE" w:rsidRDefault="003754FE" w:rsidP="003754FE">
      <w:pPr>
        <w:pStyle w:val="TextoNormal"/>
      </w:pPr>
      <w:r>
        <w:t xml:space="preserve">En cuanto a los principios que deben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STJUE de 21 de diciembre de 2021, </w:t>
      </w:r>
      <w:r w:rsidRPr="003754FE">
        <w:rPr>
          <w:i/>
        </w:rPr>
        <w:t>Euro Box Promotion y otros</w:t>
      </w:r>
      <w:r>
        <w:t>, asuntos acumulados C‑357/19, C‑379/19, C‑547/19, C‑811/19 y C‑840/19 (y jurisprudencia citada en esta), recordando las líneas más importantes de esa doctrina, de las que interesa destacar las siguientes.</w:t>
      </w:r>
    </w:p>
    <w:p w14:paraId="6B5A812E" w14:textId="77777777" w:rsidR="003754FE" w:rsidRDefault="003754FE" w:rsidP="003754FE">
      <w:pPr>
        <w:pStyle w:val="TextoNormal"/>
      </w:pPr>
    </w:p>
    <w:p w14:paraId="688B33AB" w14:textId="77777777" w:rsidR="003754FE" w:rsidRDefault="003754FE" w:rsidP="003754FE">
      <w:pPr>
        <w:pStyle w:val="TextoNormal"/>
      </w:pPr>
      <w:r>
        <w:t xml:space="preserve">a) Por lo que se refiere a las obligaciones derivadas del art. 325.1 TFUE, esta disposición impone a los Estados miembros el deber de luchar contra el fraude y </w:t>
      </w:r>
      <w:r w:rsidRPr="003754FE">
        <w:rPr>
          <w:i/>
        </w:rPr>
        <w:t>toda actividad ilegal que afecte a los intereses financieros</w:t>
      </w:r>
      <w:r>
        <w:t xml:space="preserve"> de la Unión mediante medidas disuasorias y eficaces. Medidas de lucha que deben ser equivalentes a las medidas implementadas en el ámbito nacional.</w:t>
      </w:r>
    </w:p>
    <w:p w14:paraId="16BA3C08" w14:textId="77777777" w:rsidR="003754FE" w:rsidRDefault="003754FE" w:rsidP="003754FE">
      <w:pPr>
        <w:pStyle w:val="TextoNormal"/>
      </w:pPr>
    </w:p>
    <w:p w14:paraId="7B86F588" w14:textId="77777777" w:rsidR="003754FE" w:rsidRDefault="003754FE" w:rsidP="003754FE">
      <w:pPr>
        <w:pStyle w:val="TextoNormal"/>
      </w:pPr>
      <w:r>
        <w:t xml:space="preserve">b) Por otra parte, en lo referente a la expresión “toda actividad ilegal”, que figura en el art. 325.1 TFUE, recuerda el Tribunal de Justicia que ese concepto comprende en particular todo acto de corrupción de los funcionarios o todo </w:t>
      </w:r>
      <w:r w:rsidRPr="003754FE">
        <w:rPr>
          <w:i/>
        </w:rPr>
        <w:t>abuso</w:t>
      </w:r>
      <w:r>
        <w:t xml:space="preserve">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w:t>
      </w:r>
      <w:r>
        <w:lastRenderedPageBreak/>
        <w:t xml:space="preserve">acción, como ocurre, por ejemplo, </w:t>
      </w:r>
      <w:r w:rsidRPr="003754FE">
        <w:rPr>
          <w:i/>
        </w:rPr>
        <w:t>con la omisión por parte de un funcionario de efectuar los controles y las comprobaciones exigidas respecto de los gastos cubiertos por el presupuesto de la Unión o la autorización de gastos inadecuados o incorrectos de los fondos de la Unión</w:t>
      </w:r>
      <w:r>
        <w:t>.</w:t>
      </w:r>
    </w:p>
    <w:p w14:paraId="56AF9EC3" w14:textId="77777777" w:rsidR="003754FE" w:rsidRDefault="003754FE" w:rsidP="003754FE">
      <w:pPr>
        <w:pStyle w:val="TextoNormal"/>
      </w:pPr>
    </w:p>
    <w:p w14:paraId="3AA039B3" w14:textId="77777777" w:rsidR="003754FE" w:rsidRDefault="003754FE" w:rsidP="003754FE">
      <w:pPr>
        <w:pStyle w:val="TextoNormal"/>
      </w:pPr>
      <w:r>
        <w:t xml:space="preserve">c) Además, subraya el Tribunal de Justicia que los Estados deben garantizar que las normas de Derecho penal y de procedimiento penal permitan una represión eficaz de los delitos de fraude que afecten a los intereses financieros de la Unión y </w:t>
      </w:r>
      <w:r w:rsidRPr="003754FE">
        <w:rPr>
          <w:i/>
        </w:rPr>
        <w:t>de corrupción en general</w:t>
      </w:r>
      <w:r>
        <w:t xml:space="preserve">. Esta exigencia de efectividad se extiende necesariamente tanto a las acciones penales y a las sanciones de los delitos de fraude que afecten a los intereses financieros de la Unión y de </w:t>
      </w:r>
      <w:r w:rsidRPr="003754FE">
        <w:rPr>
          <w:i/>
        </w:rPr>
        <w:t>corrupción en general</w:t>
      </w:r>
      <w:r>
        <w:t xml:space="preserve"> como a la aplicación de las penas impuestas, en la medida en que, de no existir una ejecución efectiva de las sanciones, estas no pueden ser eficaces y disuasorias; todo ello para evitar un </w:t>
      </w:r>
      <w:r w:rsidRPr="003754FE">
        <w:rPr>
          <w:i/>
        </w:rPr>
        <w:t>riesgo sistémico de impunidad</w:t>
      </w:r>
      <w:r>
        <w:t xml:space="preserve"> de los hechos constitutivos de tales delitos, así como garantizar la protección de los derechos fundamentales de las personas acusadas.</w:t>
      </w:r>
    </w:p>
    <w:p w14:paraId="3318A94F" w14:textId="77777777" w:rsidR="003754FE" w:rsidRDefault="003754FE" w:rsidP="003754FE">
      <w:pPr>
        <w:pStyle w:val="TextoNormal"/>
      </w:pPr>
    </w:p>
    <w:p w14:paraId="71FB296F" w14:textId="77777777" w:rsidR="003754FE" w:rsidRDefault="003754FE" w:rsidP="003754FE">
      <w:pPr>
        <w:pStyle w:val="TextoNormal"/>
      </w:pPr>
      <w:r>
        <w:t xml:space="preserve">Por otra parte, a los órganos jurisdiccionales nacionales les corresponde dar plenos efectos a las obligaciones que resultan del art. 325.1 TFUE, así como de la Decisión 2006/928, y </w:t>
      </w:r>
      <w:r w:rsidRPr="003754FE">
        <w:rPr>
          <w:i/>
        </w:rPr>
        <w:t>dejar sin aplicación disposiciones internas que, en el marco de un procedimiento relativo a delitos graves de fraude que afecten a los intereses financieros de la Unión o a delitos de corrupción en general, impiden la aplicación de sanciones eficaces y disuasorias para luchar contra tales delitos</w:t>
      </w:r>
      <w:r>
        <w:t>.</w:t>
      </w:r>
    </w:p>
    <w:p w14:paraId="5A6F5A22" w14:textId="77777777" w:rsidR="003754FE" w:rsidRDefault="003754FE" w:rsidP="003754FE">
      <w:pPr>
        <w:pStyle w:val="TextoNormal"/>
      </w:pPr>
    </w:p>
    <w:p w14:paraId="5BC4DB25" w14:textId="77777777" w:rsidR="003754FE" w:rsidRDefault="003754FE" w:rsidP="003754FE">
      <w:pPr>
        <w:pStyle w:val="TextoNormal"/>
      </w:pPr>
      <w:r>
        <w:t xml:space="preserve">Pues bien, teniendo en cuenta que, </w:t>
      </w:r>
      <w:r w:rsidRPr="003754FE">
        <w:rPr>
          <w:i/>
        </w:rPr>
        <w:t>ex</w:t>
      </w:r>
      <w:r>
        <w:t xml:space="preserve">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el recurrente. Lo que entre otras cosas significa que no existe razón para entender que el control interno de esa gestión de fondos públicos deba ser menos intenso que el que se aplicaría si los fondos malversados hubieran sido europeos.</w:t>
      </w:r>
    </w:p>
    <w:p w14:paraId="77E2F335" w14:textId="77777777" w:rsidR="003754FE" w:rsidRDefault="003754FE" w:rsidP="003754FE">
      <w:pPr>
        <w:pStyle w:val="TextoNormal"/>
      </w:pPr>
    </w:p>
    <w:p w14:paraId="1684C5AA" w14:textId="77777777" w:rsidR="003754FE" w:rsidRDefault="003754FE" w:rsidP="003754FE">
      <w:pPr>
        <w:pStyle w:val="TextoNormal"/>
      </w:pPr>
      <w:r>
        <w:t>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el recurrente y el resto de implicados de la Junta de Andalucía pretendiesen a partir de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14:paraId="5109F8B3" w14:textId="77777777" w:rsidR="003754FE" w:rsidRDefault="003754FE" w:rsidP="003754FE">
      <w:pPr>
        <w:pStyle w:val="TextoNormal"/>
      </w:pPr>
    </w:p>
    <w:p w14:paraId="610AEA17" w14:textId="77777777" w:rsidR="003754FE" w:rsidRDefault="003754FE" w:rsidP="003754FE">
      <w:pPr>
        <w:pStyle w:val="TextoNormal"/>
      </w:pPr>
      <w:r>
        <w:lastRenderedPageBreak/>
        <w:t>En todo caso, es cierto que ha quedado acreditado, como resulta de las sentencias impugnadas en amparo, que en el conocido como “caso de los ERE de Andalucía” se buscó de manera intencionada la elusión de los controles ordinarios del gasto público, lo que supuso 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14:paraId="369DAC28" w14:textId="77777777" w:rsidR="003754FE" w:rsidRDefault="003754FE" w:rsidP="003754FE">
      <w:pPr>
        <w:pStyle w:val="TextoNormal"/>
      </w:pPr>
    </w:p>
    <w:p w14:paraId="1C165B93" w14:textId="77777777" w:rsidR="003754FE" w:rsidRDefault="003754FE" w:rsidP="003754FE">
      <w:pPr>
        <w:pStyle w:val="TextoNormal"/>
      </w:pPr>
      <w:r>
        <w:t>En definitiva, llama poderosamente la atención el elocuente contraste entre la protección reforzada que la Unión Europea atribuye al delito de malversación de caudales públicos y la respuesta dada por esta y las restantes sentencias de este tribunal a uno de los casos más graves de corrupción política institucionalizada en España. Una sentencia que no ha dudado en desbordar los límites del control que a este tribunal corresponden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penal que no puede calificarse de imprevisible ni irrazonable, habían condenado al demandante de amparo como autor de un delito de prevaricación. Por eso, resulta especialmente difícil conciliar la decisión de la sentencia de este tribunal, que conduce a la postre a dejar impunes unas conductas de especial gravedad cometidas por unos concretos responsables políticos en el desempeño de sus funciones públicas, con el esfuerzo de la Unión Europea por eliminar márgenes de impunidad para prevenir la corrupción política.</w:t>
      </w:r>
    </w:p>
    <w:p w14:paraId="1469344A" w14:textId="77777777" w:rsidR="003754FE" w:rsidRDefault="003754FE" w:rsidP="003754FE">
      <w:pPr>
        <w:pStyle w:val="TextoNormal"/>
      </w:pPr>
    </w:p>
    <w:p w14:paraId="7A623DF3" w14:textId="77777777" w:rsidR="003754FE" w:rsidRDefault="003754FE" w:rsidP="003754FE">
      <w:pPr>
        <w:pStyle w:val="TextoNormal"/>
      </w:pPr>
      <w:r>
        <w:t xml:space="preserve">5. </w:t>
      </w:r>
      <w:r w:rsidRPr="003754FE">
        <w:rPr>
          <w:i/>
        </w:rPr>
        <w:t>Colofón: las sentencias impugnadas en amparo no vulneraron el derecho del recurrente a la legalidad penal</w:t>
      </w:r>
    </w:p>
    <w:p w14:paraId="737DE17B" w14:textId="77777777" w:rsidR="003754FE" w:rsidRDefault="003754FE" w:rsidP="003754FE">
      <w:pPr>
        <w:pStyle w:val="TextoNormal"/>
      </w:pPr>
    </w:p>
    <w:p w14:paraId="6E10AEF0" w14:textId="77777777" w:rsidR="003754FE" w:rsidRDefault="003754FE" w:rsidP="003754FE">
      <w:pPr>
        <w:pStyle w:val="TextoNormal"/>
      </w:pPr>
      <w:r>
        <w:t>En suma, para la mayoría del Tribunal en la sentencia de la que disiento, la actuación del recurrente estaba en todo momento amparada en la ley, careciendo de trascendencia penal desde la perspectiva del derecho a la legalidad penal (previsibilidad). Y ello porque nadie podía prever racionalmente que por cumplir escrupulosamente la ley se pudiese estar incumpliendo esta.</w:t>
      </w:r>
    </w:p>
    <w:p w14:paraId="4D800E1D" w14:textId="77777777" w:rsidR="003754FE" w:rsidRDefault="003754FE" w:rsidP="003754FE">
      <w:pPr>
        <w:pStyle w:val="TextoNormal"/>
      </w:pPr>
    </w:p>
    <w:p w14:paraId="0202540C" w14:textId="77777777" w:rsidR="003754FE" w:rsidRDefault="003754FE" w:rsidP="003754FE">
      <w:pPr>
        <w:pStyle w:val="TextoNormal"/>
      </w:pPr>
      <w:r>
        <w:t>Discrepo no solo por lo ya manifestado sobre la errónea configuración salvífica de la ley de presupuestos, sino porque entiendo que el Tribunal se ha extralimitado en su función de control, al haberse injerido en el ámbito de la jurisdicción ordinaria (arts. 117.1 y 123.1 CE) y efectuado una interpretación extensiva e injustificada del canon de enjuiciamiento constitucional sobre la legalidad penal.</w:t>
      </w:r>
    </w:p>
    <w:p w14:paraId="0F2B6E86" w14:textId="77777777" w:rsidR="003754FE" w:rsidRDefault="003754FE" w:rsidP="003754FE">
      <w:pPr>
        <w:pStyle w:val="TextoNormal"/>
      </w:pPr>
    </w:p>
    <w:p w14:paraId="772EE929" w14:textId="77777777" w:rsidR="003754FE" w:rsidRDefault="003754FE" w:rsidP="003754FE">
      <w:pPr>
        <w:pStyle w:val="TextoNormal"/>
      </w:pPr>
      <w:r>
        <w:t xml:space="preserve">Las sentencias recurridas en amparo han efectuado una interpretación razonada de los elementos típicos del delito de prevaricación, y su aplicación al caso en dichas resoluciones judiciales supera sin dificultad el canon de control referido a la prohibición de interpretaciones “ilógicas” o “arbitrarias” que impone el art. 25.1 CE, conforme a la doctrina consolidada de este tribunal. La subsunción de la conducta del recurrente, a partir de los hechos declarados probados [sobre los que a este tribunal nada le cabe decir: art. 44.1 b) LOTC], en el delito de prevaricación, que han efectuado la Audiencia Provincial de Sevilla y especialmente el Tribunal Supremo como órgano jurisdiccional superior en la materia (art. 123.1 CE), no es irrazonable ni imprevisible ni, por consiguiente, contraria al derecho fundamental </w:t>
      </w:r>
      <w:r>
        <w:lastRenderedPageBreak/>
        <w:t>a la legalidad penal que garantiza el art. 25.1 CE. La sentencia de este tribunal incurre en un claro exceso de jurisdicción, al suplantar a los órganos judiciales del orden penal en la función que constitucionalmente les correspond</w:t>
      </w:r>
      <w:r w:rsidRPr="003754FE">
        <w:rPr>
          <w:i/>
        </w:rPr>
        <w:t xml:space="preserve">e </w:t>
      </w:r>
      <w:r>
        <w:t>ex art. 117.3 CE.</w:t>
      </w:r>
    </w:p>
    <w:p w14:paraId="54461F73" w14:textId="77777777" w:rsidR="003754FE" w:rsidRDefault="003754FE" w:rsidP="003754FE">
      <w:pPr>
        <w:pStyle w:val="TextoNormal"/>
      </w:pPr>
    </w:p>
    <w:p w14:paraId="7BD12633" w14:textId="77777777" w:rsidR="003754FE" w:rsidRDefault="003754FE" w:rsidP="003754FE">
      <w:pPr>
        <w:pStyle w:val="TextoNormal"/>
      </w:pPr>
      <w:r>
        <w:t>Por todo ello, considero que el recurso de amparo debió ser íntegramente desestimado.</w:t>
      </w:r>
    </w:p>
    <w:p w14:paraId="79B8BEF6" w14:textId="77777777" w:rsidR="003754FE" w:rsidRDefault="003754FE" w:rsidP="003754FE">
      <w:pPr>
        <w:pStyle w:val="TextoNormal"/>
      </w:pPr>
    </w:p>
    <w:p w14:paraId="17C67361" w14:textId="77777777" w:rsidR="003754FE" w:rsidRDefault="003754FE" w:rsidP="003754FE">
      <w:pPr>
        <w:pStyle w:val="TextoNormal"/>
      </w:pPr>
      <w:r>
        <w:t>6</w:t>
      </w:r>
      <w:r w:rsidRPr="003754FE">
        <w:rPr>
          <w:i/>
        </w:rPr>
        <w:t>. A modo de epílogo decepcionado, con una necesaria llamada de advertenc</w:t>
      </w:r>
      <w:r>
        <w:t>ia</w:t>
      </w:r>
    </w:p>
    <w:p w14:paraId="78B80024" w14:textId="77777777" w:rsidR="003754FE" w:rsidRDefault="003754FE" w:rsidP="003754FE">
      <w:pPr>
        <w:pStyle w:val="TextoNormal"/>
      </w:pPr>
    </w:p>
    <w:p w14:paraId="7668925F" w14:textId="77777777" w:rsidR="003754FE" w:rsidRDefault="003754FE" w:rsidP="003754FE">
      <w:pPr>
        <w:pStyle w:val="TextoNormal"/>
      </w:pPr>
      <w:r>
        <w:t>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14:paraId="190A89F5" w14:textId="77777777" w:rsidR="003754FE" w:rsidRDefault="003754FE" w:rsidP="003754FE">
      <w:pPr>
        <w:pStyle w:val="TextoNormal"/>
      </w:pPr>
    </w:p>
    <w:p w14:paraId="79E662BD" w14:textId="77777777" w:rsidR="003754FE" w:rsidRDefault="003754FE" w:rsidP="003754FE">
      <w:pPr>
        <w:pStyle w:val="TextoNormal"/>
      </w:pPr>
      <w:r>
        <w:t>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prestidigitador, pues las leyes de presupuestos andaluzas a las que se refiere la sentencia de este tribunal en ningún momento establecen aquello que esta sentencia afirma, la pretendida modificación o eliminación del régimen de controles de las ayudas y subvenciones previsto en la normativa aplicable.</w:t>
      </w:r>
    </w:p>
    <w:p w14:paraId="05EFE828" w14:textId="77777777" w:rsidR="003754FE" w:rsidRDefault="003754FE" w:rsidP="003754FE">
      <w:pPr>
        <w:pStyle w:val="TextoNormal"/>
      </w:pPr>
    </w:p>
    <w:p w14:paraId="0F6110A6" w14:textId="77777777" w:rsidR="003754FE" w:rsidRDefault="003754FE" w:rsidP="003754FE">
      <w:pPr>
        <w:pStyle w:val="TextoNormal"/>
      </w:pPr>
      <w:r>
        <w:t>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precepto de la ley de presupuestos remite, por ser esas partidas presupuestarias necesarias para dar cumplimiento al mandato que aquel precepto contiene.</w:t>
      </w:r>
    </w:p>
    <w:p w14:paraId="39F606D1" w14:textId="77777777" w:rsidR="003754FE" w:rsidRDefault="003754FE" w:rsidP="003754FE">
      <w:pPr>
        <w:pStyle w:val="TextoNormal"/>
      </w:pPr>
    </w:p>
    <w:p w14:paraId="38DFB3A0" w14:textId="77777777" w:rsidR="003754FE" w:rsidRDefault="003754FE" w:rsidP="003754FE">
      <w:pPr>
        <w:pStyle w:val="TextoNormal"/>
      </w:pPr>
      <w:r>
        <w:t>En todo caso, es obvio que una ley sobre la que pudieran pesar sospechas fundadas de inconstitucionalidad despliega plenos efectos en tanto no sea derogada o este tribunal no la haya expulsado del ordenamiento jurídico al conocer de un proceso de inconstitucionalidad. Más ¿qué tiene que ver que la ley, mientras no haya sido declarada inconstitucional, siga siendo ley, con que la conducta de quienes se han servido de ella para desviar fondos públicos sea delictiva?</w:t>
      </w:r>
    </w:p>
    <w:p w14:paraId="47FD2671" w14:textId="77777777" w:rsidR="003754FE" w:rsidRDefault="003754FE" w:rsidP="003754FE">
      <w:pPr>
        <w:pStyle w:val="TextoNormal"/>
      </w:pPr>
    </w:p>
    <w:p w14:paraId="0E5BA40A" w14:textId="77777777" w:rsidR="003754FE" w:rsidRDefault="003754FE" w:rsidP="003754FE">
      <w:pPr>
        <w:pStyle w:val="TextoNormal"/>
      </w:pPr>
      <w:r>
        <w:t>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14:paraId="547FF298" w14:textId="77777777" w:rsidR="003754FE" w:rsidRDefault="003754FE" w:rsidP="003754FE">
      <w:pPr>
        <w:pStyle w:val="TextoNormal"/>
      </w:pPr>
    </w:p>
    <w:p w14:paraId="0FFB95D9" w14:textId="77777777" w:rsidR="003754FE" w:rsidRDefault="003754FE" w:rsidP="003754FE">
      <w:pPr>
        <w:pStyle w:val="TextoNormal"/>
      </w:pPr>
      <w:r>
        <w:t>Si, como decía García de Enterría, la justicia constitucional trata los problemas políticos con criterios jurídicos, poniendo la razón, la razón del Derecho, donde otros ponen otros motivos, pasiones o subjetivismos varios, me parece incuestionable que la presente sentencia, de la que respetuosa pero enérgicamente discrepo, hace tambalearse los pilares básicos del Estado de Derecho, por cuanto:</w:t>
      </w:r>
    </w:p>
    <w:p w14:paraId="2381D2D7" w14:textId="77777777" w:rsidR="003754FE" w:rsidRDefault="003754FE" w:rsidP="003754FE">
      <w:pPr>
        <w:pStyle w:val="TextoNormal"/>
      </w:pPr>
    </w:p>
    <w:p w14:paraId="225059F1" w14:textId="77777777" w:rsidR="003754FE" w:rsidRDefault="003754FE" w:rsidP="003754FE">
      <w:pPr>
        <w:pStyle w:val="TextoNormal"/>
      </w:pPr>
      <w:r>
        <w:t>(i)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14:paraId="69325751" w14:textId="77777777" w:rsidR="003754FE" w:rsidRDefault="003754FE" w:rsidP="003754FE">
      <w:pPr>
        <w:pStyle w:val="TextoNormal"/>
      </w:pPr>
    </w:p>
    <w:p w14:paraId="4AA6826C" w14:textId="77777777" w:rsidR="003754FE" w:rsidRDefault="003754FE" w:rsidP="003754FE">
      <w:pPr>
        <w:pStyle w:val="TextoNormal"/>
      </w:pPr>
      <w:r>
        <w:t>(ii)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olvidando que la jurisdicción constitucional debe evitar (por su propia naturaleza de jurisdicción de garantías) caer por desfiladeros abruptos.</w:t>
      </w:r>
    </w:p>
    <w:p w14:paraId="4D03FD6F" w14:textId="77777777" w:rsidR="003754FE" w:rsidRDefault="003754FE" w:rsidP="003754FE">
      <w:pPr>
        <w:pStyle w:val="TextoNormal"/>
      </w:pPr>
    </w:p>
    <w:p w14:paraId="55D575CC" w14:textId="77777777" w:rsidR="003754FE" w:rsidRDefault="003754FE" w:rsidP="003754FE">
      <w:pPr>
        <w:pStyle w:val="TextoNormal"/>
      </w:pPr>
      <w:r>
        <w:t>(iii) Contraviene los arts. 9.3, 31.2, 103.1, 105 y 106.1 CE, al dejar de lado los principios en que se ha de basa</w:t>
      </w:r>
      <w:r w:rsidRPr="003754FE">
        <w:rPr>
          <w:i/>
        </w:rPr>
        <w:t>r ex constitutio</w:t>
      </w:r>
      <w:r>
        <w:t>ne la actuación de la administración pública.</w:t>
      </w:r>
    </w:p>
    <w:p w14:paraId="3587B8C8" w14:textId="77777777" w:rsidR="003754FE" w:rsidRDefault="003754FE" w:rsidP="003754FE">
      <w:pPr>
        <w:pStyle w:val="TextoNormal"/>
      </w:pPr>
    </w:p>
    <w:p w14:paraId="3F7912A0" w14:textId="77777777" w:rsidR="003754FE" w:rsidRDefault="003754FE" w:rsidP="003754FE">
      <w:pPr>
        <w:pStyle w:val="TextoNormal"/>
      </w:pPr>
      <w:r>
        <w:t>(iv)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14:paraId="146EA7B7" w14:textId="77777777" w:rsidR="003754FE" w:rsidRDefault="003754FE" w:rsidP="003754FE">
      <w:pPr>
        <w:pStyle w:val="TextoNormal"/>
      </w:pPr>
    </w:p>
    <w:p w14:paraId="481ED3C8" w14:textId="77777777" w:rsidR="003754FE" w:rsidRDefault="003754FE" w:rsidP="003754FE">
      <w:pPr>
        <w:pStyle w:val="TextoNormal"/>
      </w:pPr>
      <w:r>
        <w:t>Mediante un control meramente formal y un análisis estanco de cada una de las partes de la trama del “caso de los ERE de Andalucía”, ha dejado sin efecto el reproche penal de las sentencias impugnadas en amparo, trasmitiendo así a la ciudadanía que la corrupción política es un medio válido de actuación de los poderes públicos, mientras lo hagan bajo la pretendida cobertura formal de un artificio legal ideado precisamente por aquellos que pretendían eludir el control del gasto público.</w:t>
      </w:r>
    </w:p>
    <w:p w14:paraId="259DDA3F" w14:textId="77777777" w:rsidR="003754FE" w:rsidRDefault="003754FE" w:rsidP="003754FE">
      <w:pPr>
        <w:pStyle w:val="TextoNormal"/>
      </w:pPr>
    </w:p>
    <w:p w14:paraId="6FBE5C0D" w14:textId="77777777" w:rsidR="003754FE" w:rsidRDefault="003754FE" w:rsidP="003754FE">
      <w:pPr>
        <w:pStyle w:val="TextoNormal"/>
      </w:pPr>
      <w:r>
        <w:t>(v) Y, en fin, contraviene los principios nucleares en la materia del Derecho de la Unión Europea.</w:t>
      </w:r>
    </w:p>
    <w:p w14:paraId="0D912E07" w14:textId="77777777" w:rsidR="003754FE" w:rsidRDefault="003754FE" w:rsidP="003754FE">
      <w:pPr>
        <w:pStyle w:val="TextoNormal"/>
      </w:pPr>
    </w:p>
    <w:p w14:paraId="5DF5A249" w14:textId="77777777" w:rsidR="003754FE" w:rsidRDefault="003754FE" w:rsidP="003754FE">
      <w:pPr>
        <w:pStyle w:val="TextoNormal"/>
      </w:pPr>
      <w:r>
        <w:t>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Ninguno de los argumentos que he defendido en el Pleno y expuesto en mis votos particulares a anteriores sentencias de esta serie del “caso ERE de Andalucía” ha sido rebatido o contestado; ni siquiera una coma de las iniciales sentencias de esta serie ha sido cambiada de sitio.</w:t>
      </w:r>
    </w:p>
    <w:p w14:paraId="7AB206BE" w14:textId="77777777" w:rsidR="003754FE" w:rsidRDefault="003754FE" w:rsidP="003754FE">
      <w:pPr>
        <w:pStyle w:val="TextoNormal"/>
      </w:pPr>
    </w:p>
    <w:p w14:paraId="003F8434" w14:textId="77777777" w:rsidR="003754FE" w:rsidRDefault="003754FE" w:rsidP="003754FE">
      <w:pPr>
        <w:pStyle w:val="TextoNormal"/>
      </w:pPr>
      <w:r>
        <w:t>La reiteración argumental en este voto puede resultar melancólica, pero responde al cumplimiento del deber que me incumbe como magistrado y a mi convicción de que la deliberación ha de ser el camino irrenunciable para encontrar la luz, particularmente necesaria para el guardián de la Constitución. No estará de más recordar que quien fuera presidente de este tribunal, el magistrado Tomás y Valiente, ya aludió en 1994, en una conferencia titulada “La Constitución y el Tribunal Constitucional”, a “la importancia de las deliberaciones y a 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14:paraId="109E7A4A" w14:textId="77777777" w:rsidR="003754FE" w:rsidRDefault="003754FE" w:rsidP="003754FE">
      <w:pPr>
        <w:pStyle w:val="TextoNormal"/>
      </w:pPr>
    </w:p>
    <w:p w14:paraId="0B048356" w14:textId="2AC6152B" w:rsidR="003754FE" w:rsidRDefault="003754FE" w:rsidP="003754FE">
      <w:pPr>
        <w:pStyle w:val="TextoNormal"/>
      </w:pPr>
      <w:r>
        <w:t>Madrid, a dieciséis de julio de dos mil veinticuatro.</w:t>
      </w:r>
    </w:p>
    <w:p w14:paraId="488D079B" w14:textId="77777777" w:rsidR="003754FE" w:rsidRDefault="003754FE" w:rsidP="003754FE">
      <w:pPr>
        <w:pStyle w:val="TextoNormal"/>
      </w:pPr>
    </w:p>
    <w:p w14:paraId="343A7E67" w14:textId="77777777" w:rsidR="003754FE" w:rsidRDefault="003754FE" w:rsidP="003754FE">
      <w:pPr>
        <w:pStyle w:val="TextoNormalNegritaCentrado"/>
        <w:keepNext/>
      </w:pPr>
      <w:r>
        <w:t>Voto particular que formula la magistrada doña Concepción Espejel Jorquera a la sentencia dictada en el recurso de amparo núm. 7007-2022</w:t>
      </w:r>
    </w:p>
    <w:p w14:paraId="1EA9B663" w14:textId="6FC6AF28" w:rsidR="003754FE" w:rsidRDefault="003754FE" w:rsidP="003754FE">
      <w:pPr>
        <w:pStyle w:val="TextoNormalNegritaCentrado"/>
        <w:keepNext/>
      </w:pPr>
    </w:p>
    <w:p w14:paraId="5DA320BE" w14:textId="77777777" w:rsidR="003754FE" w:rsidRDefault="003754FE" w:rsidP="003754FE">
      <w:pPr>
        <w:pStyle w:val="TextoNormal"/>
      </w:pPr>
      <w:r>
        <w:t>En el ejercicio de la facultad conferida en el art. 90.2 de la Ley Orgánica del Tribunal Constitucional, y con el respeto debido a la opinión de los magistrados que han conformado la mayoría del Pleno, formulo el presente voto particular por discrepar de la fundamentación y del fallo de la sentencia recaída en el recurso de amparo interpuesto por don Manuel María Chaves González, el cual debió ser desestimado, dado que las sentencias impugnadas no vulneraron su derecho fundamental a la legalidad penal (art. 25.1 CE).</w:t>
      </w:r>
    </w:p>
    <w:p w14:paraId="6EBA9DD6" w14:textId="77777777" w:rsidR="003754FE" w:rsidRDefault="003754FE" w:rsidP="003754FE">
      <w:pPr>
        <w:pStyle w:val="TextoNormal"/>
      </w:pPr>
    </w:p>
    <w:p w14:paraId="643622EC" w14:textId="77777777" w:rsidR="003754FE" w:rsidRDefault="003754FE" w:rsidP="003754FE">
      <w:pPr>
        <w:pStyle w:val="TextoNormal"/>
      </w:pPr>
      <w:r>
        <w:t>Los motivos de mi discrepancia se remiten, en lo coincidente, a lo expuesto en los votos particulares conjuntos y en aquel al que me adherí suscrito con el magistrado don César Tolosa Tribiño, formulados tanto a la STC 93/2024, de 19 de junio, como a las SSTC 94/2024, de 2 de julio, y 95/2024, 96/2024, 97/2024 y 98/2024, de 3 de julio.</w:t>
      </w:r>
    </w:p>
    <w:p w14:paraId="2B25DB24" w14:textId="77777777" w:rsidR="003754FE" w:rsidRDefault="003754FE" w:rsidP="003754FE">
      <w:pPr>
        <w:pStyle w:val="TextoNormal"/>
      </w:pPr>
    </w:p>
    <w:p w14:paraId="5A89EECA" w14:textId="77777777" w:rsidR="003754FE" w:rsidRDefault="003754FE" w:rsidP="003754FE">
      <w:pPr>
        <w:pStyle w:val="TextoNormal"/>
      </w:pPr>
      <w:r>
        <w:t>Por otra parte, incorporo a este voto particular otras consideraciones que refuerzan los argumentos que manejé en su día.</w:t>
      </w:r>
    </w:p>
    <w:p w14:paraId="5E417308" w14:textId="77777777" w:rsidR="003754FE" w:rsidRDefault="003754FE" w:rsidP="003754FE">
      <w:pPr>
        <w:pStyle w:val="TextoNormal"/>
      </w:pPr>
    </w:p>
    <w:p w14:paraId="53023288" w14:textId="77777777" w:rsidR="003754FE" w:rsidRDefault="003754FE" w:rsidP="003754FE">
      <w:pPr>
        <w:pStyle w:val="TextoNormal"/>
      </w:pPr>
      <w:r>
        <w:t xml:space="preserve">1. </w:t>
      </w:r>
      <w:r w:rsidRPr="003754FE">
        <w:rPr>
          <w:i/>
        </w:rPr>
        <w:t>Descalificaciones gratuitas a la Sala de lo Penal del Tribunal Supremo y a la Sección Primera de la Audiencia Provincial de Sevilla</w:t>
      </w:r>
    </w:p>
    <w:p w14:paraId="0284A5E9" w14:textId="77777777" w:rsidR="003754FE" w:rsidRDefault="003754FE" w:rsidP="003754FE">
      <w:pPr>
        <w:pStyle w:val="TextoNormal"/>
      </w:pPr>
    </w:p>
    <w:p w14:paraId="5CBFAE99" w14:textId="77777777" w:rsidR="003754FE" w:rsidRDefault="003754FE" w:rsidP="003754FE">
      <w:pPr>
        <w:pStyle w:val="TextoNormal"/>
      </w:pPr>
      <w:r>
        <w:t xml:space="preserve">La sentencia de la que discrepo en su fundamento jurídico 3.4 insiste en recordar a ambos órganos jurisdiccionales los “elementos esenciales en los que se basa nuestro sistema constitucional”, tales como el carácter constitucional, parlamentario y democrático del Estado, </w:t>
      </w:r>
      <w:r>
        <w:lastRenderedPageBreak/>
        <w:t>el principio de separación de poderes, la naturaleza de las relaciones entre el Gobierno y el Parlamento, y hasta del monopolio del control de constitucionalidad de las leyes por el Tribunal Constitucional.</w:t>
      </w:r>
    </w:p>
    <w:p w14:paraId="71258CAD" w14:textId="77777777" w:rsidR="003754FE" w:rsidRDefault="003754FE" w:rsidP="003754FE">
      <w:pPr>
        <w:pStyle w:val="TextoNormal"/>
      </w:pPr>
    </w:p>
    <w:p w14:paraId="45FC5CBC" w14:textId="77777777" w:rsidR="003754FE" w:rsidRDefault="003754FE" w:rsidP="003754FE">
      <w:pPr>
        <w:pStyle w:val="TextoNormal"/>
      </w:pPr>
      <w:r>
        <w:t>Ello obliga a reiterar las consideraciones efectuadas al respecto en el voto particular conjunto formulado a la STC 93/2024, de 19 de junio, en el que se puso de manifiesto la improcedencia de dicha argumentación, dado que, obviamente, los tribunales penales no ignoraron los pilares de nuestro sistema constitucional, las sentencias recurridas no declararon la inconstitucionalidad de las leyes de presupuestos de Andalucía de 2001 a 2010, ni dirigieron tacha alguna en este sentido.</w:t>
      </w:r>
    </w:p>
    <w:p w14:paraId="783DCB41" w14:textId="77777777" w:rsidR="003754FE" w:rsidRDefault="003754FE" w:rsidP="003754FE">
      <w:pPr>
        <w:pStyle w:val="TextoNormal"/>
      </w:pPr>
    </w:p>
    <w:p w14:paraId="08274A49" w14:textId="77777777" w:rsidR="003754FE" w:rsidRDefault="003754FE" w:rsidP="003754FE">
      <w:pPr>
        <w:pStyle w:val="TextoNormal"/>
      </w:pPr>
      <w:r>
        <w:t>En el apartado 3.5 de la sentencia dedicado al “Enjuiciamiento de la queja”, tras remitirse a lo señalado en la STC 93/2024, se vuelve a reprochar a los dos órganos judiciales haber efectuado “una interpretación extravagante e imprevisible de los elementos típicos ‘resolución’ y ‘asunto administrativo’” y “una interpretación absolutamente imprevisible del elemento típico arbitrariedad lesiva del artículo 25.1 CE”.</w:t>
      </w:r>
    </w:p>
    <w:p w14:paraId="12C70133" w14:textId="77777777" w:rsidR="003754FE" w:rsidRDefault="003754FE" w:rsidP="003754FE">
      <w:pPr>
        <w:pStyle w:val="TextoNormal"/>
      </w:pPr>
    </w:p>
    <w:p w14:paraId="048F275F" w14:textId="77777777" w:rsidR="003754FE" w:rsidRDefault="003754FE" w:rsidP="003754FE">
      <w:pPr>
        <w:pStyle w:val="TextoNormal"/>
      </w:pPr>
      <w:r>
        <w:t>Atendido que la sentencia se remite reiteradamente a la STC 93/2024, reproduzco las consideraciones efectuadas en los votos particulares a esa sentencia, relativas a la improcedencia de las severas e innecesarias críticas a las dos sentencias adoptadas por unanimidad de sus magistrados en lo que a la calificación de la conducta del entonces recurrente como delito de prevaricación administrativa se refiere, ya que el análisis efectuado en las mismas no se alejó de la interpretación de los elementos típicos comúnmente aceptada por la comunidad jurídica, ni es incompatible con el sistema institucional constitucional y estatutariamente previsto. Por el contrario, la interpretación de los elementos del tipo fue efectuada por el órgano jurisdiccional “superior” en materia penal (art. 123.1 CE) y coincide, además, con la sostenida por el Ministerio Fiscal, que mantuvo la acusación por este delito en todas las instancias judiciales, y por instituciones como el Tribunal de Cuentas del Estado, la Cámara de Cuentas de Andalucía y la Intervención General autonómica, cuyos servicios jurídicos dictaron resoluciones y emitieron informes detallados sobre las ilegalidades cometidas, extractadas a lo largo de las sentencias recurridas.</w:t>
      </w:r>
    </w:p>
    <w:p w14:paraId="51192869" w14:textId="77777777" w:rsidR="003754FE" w:rsidRDefault="003754FE" w:rsidP="003754FE">
      <w:pPr>
        <w:pStyle w:val="TextoNormal"/>
      </w:pPr>
    </w:p>
    <w:p w14:paraId="483509A8" w14:textId="77777777" w:rsidR="003754FE" w:rsidRDefault="003754FE" w:rsidP="003754FE">
      <w:pPr>
        <w:pStyle w:val="TextoNormal"/>
      </w:pPr>
      <w:r>
        <w:t xml:space="preserve">2. </w:t>
      </w:r>
      <w:r w:rsidRPr="003754FE">
        <w:rPr>
          <w:i/>
        </w:rPr>
        <w:t>Reconstrucción en la sentencia de la demanda de amparo</w:t>
      </w:r>
    </w:p>
    <w:p w14:paraId="2B962DEC" w14:textId="77777777" w:rsidR="003754FE" w:rsidRDefault="003754FE" w:rsidP="003754FE">
      <w:pPr>
        <w:pStyle w:val="TextoNormal"/>
      </w:pPr>
    </w:p>
    <w:p w14:paraId="28591CA6" w14:textId="77777777" w:rsidR="003754FE" w:rsidRDefault="003754FE" w:rsidP="003754FE">
      <w:pPr>
        <w:pStyle w:val="TextoNormal"/>
      </w:pPr>
      <w:r>
        <w:t>La sentencia de la que discrepo, al igual que otras anteriores a las que formulamos sendos votos particulares, fundamentan la vulneración del principio de legalidad penal con apoyo en consideraciones distintas a las invocadas por las partes recurrentes, efectuando en este proceso constitucional, al igual que en los precedentes, una proscrita reconstrucción de la demanda de amparo.</w:t>
      </w:r>
    </w:p>
    <w:p w14:paraId="68FDF98A" w14:textId="77777777" w:rsidR="003754FE" w:rsidRDefault="003754FE" w:rsidP="003754FE">
      <w:pPr>
        <w:pStyle w:val="TextoNormal"/>
      </w:pPr>
    </w:p>
    <w:p w14:paraId="7D806DC9" w14:textId="77777777" w:rsidR="003754FE" w:rsidRDefault="003754FE" w:rsidP="003754FE">
      <w:pPr>
        <w:pStyle w:val="TextoNormal"/>
      </w:pPr>
      <w:r>
        <w:t>Como apuntamos, entre otros, en el voto particular a la STC 94/2024, este tribunal al resolver los recursos de amparo relativos a las condenas por los denominados “ERE”, ha venido dando una respuesta estandarizada a la alegación de vulneración del derecho a la legalidad penal (art. 25.1 CE), con independencia del contenido de las demandas, con una predeterminación argumental que margina el contenido de los recursos, incidiendo en una prohibida reconstrucción del recurso o directamente dar respuesta a un planteamiento inexistente.</w:t>
      </w:r>
    </w:p>
    <w:p w14:paraId="0FA7DD70" w14:textId="77777777" w:rsidR="003754FE" w:rsidRDefault="003754FE" w:rsidP="003754FE">
      <w:pPr>
        <w:pStyle w:val="TextoNormal"/>
      </w:pPr>
    </w:p>
    <w:p w14:paraId="38CBB41E" w14:textId="77777777" w:rsidR="003754FE" w:rsidRDefault="003754FE" w:rsidP="003754FE">
      <w:pPr>
        <w:pStyle w:val="TextoNormal"/>
      </w:pPr>
      <w:r>
        <w:lastRenderedPageBreak/>
        <w:t>Las sentencias, en los motivos de amparo que estiman, efectúan una revisión de oficio de las sentencias del Tribunal Supremo desvinculándose de los argumentos de los recurrentes.</w:t>
      </w:r>
    </w:p>
    <w:p w14:paraId="4B09F3F4" w14:textId="77777777" w:rsidR="003754FE" w:rsidRDefault="003754FE" w:rsidP="003754FE">
      <w:pPr>
        <w:pStyle w:val="TextoNormal"/>
      </w:pPr>
    </w:p>
    <w:p w14:paraId="3B0DB11E" w14:textId="77777777" w:rsidR="003754FE" w:rsidRDefault="003754FE" w:rsidP="003754FE">
      <w:pPr>
        <w:pStyle w:val="TextoNormal"/>
      </w:pPr>
      <w:r>
        <w:t>En el presente caso el recurrente basó su queja por vulneración del derecho a la legalidad penal (art. 25.1 CE) en que, sintéticamente expuesto, los acuerdos del Consejo de Gobierno al que pertenecía, aprobatorios de anteproyectos y proyectos de leyes de presupuestos, luego remitidos al Parlamento de Andalucía que los aprobó en forma de ley, carecen de naturaleza de resoluciones administrativas y constituyen actos de gobierno exentos de control jurisdiccional por revestir naturaleza política, razón por la cual no concurre en aquellos acuerdos uno de los elementos del tipo objetivo del delito de prevaricación del art. 404 CP, consistente en dictar resolución arbitraria en “asunto administrativo”.</w:t>
      </w:r>
    </w:p>
    <w:p w14:paraId="09DF4D43" w14:textId="77777777" w:rsidR="003754FE" w:rsidRDefault="003754FE" w:rsidP="003754FE">
      <w:pPr>
        <w:pStyle w:val="TextoNormal"/>
      </w:pPr>
    </w:p>
    <w:p w14:paraId="7E4BD748" w14:textId="77777777" w:rsidR="003754FE" w:rsidRDefault="003754FE" w:rsidP="003754FE">
      <w:pPr>
        <w:pStyle w:val="TextoNormal"/>
      </w:pPr>
      <w:r>
        <w:t xml:space="preserve">La </w:t>
      </w:r>
      <w:r w:rsidRPr="003754FE">
        <w:rPr>
          <w:i/>
        </w:rPr>
        <w:t>ratio decidendi</w:t>
      </w:r>
      <w:r>
        <w:t xml:space="preserve"> de la sentencia de la que discrepo no se para en determinar si es constitucionalmente admisible la interpretación que los tribunales ordinarios han hecho del concepto de resolución administrativa, sino que va más allá cuando afirma [FJ 3.5 A) b)] que aquellos han efectuado “una interpretación absolutamente imprevisible del elemento típico arbitrariedad lesiva del art. 25.1 CE”, porque ello supone “privar de toda relevancia a la aprobación parlamentaria de la ley, lo que conlleva desconocer la centralidad del Parlamento andaluz en el entramado institucional diseñado estatutariamente”.</w:t>
      </w:r>
    </w:p>
    <w:p w14:paraId="0BDF2224" w14:textId="77777777" w:rsidR="003754FE" w:rsidRDefault="003754FE" w:rsidP="003754FE">
      <w:pPr>
        <w:pStyle w:val="TextoNormal"/>
      </w:pPr>
    </w:p>
    <w:p w14:paraId="0AEFB603" w14:textId="77777777" w:rsidR="003754FE" w:rsidRDefault="003754FE" w:rsidP="003754FE">
      <w:pPr>
        <w:pStyle w:val="TextoNormal"/>
      </w:pPr>
      <w:r>
        <w:t>Este modo de razonar altera el objeto del recurso de amparo tal como lo planteó el demandante.</w:t>
      </w:r>
    </w:p>
    <w:p w14:paraId="3F5FFAF9" w14:textId="77777777" w:rsidR="003754FE" w:rsidRDefault="003754FE" w:rsidP="003754FE">
      <w:pPr>
        <w:pStyle w:val="TextoNormal"/>
      </w:pPr>
    </w:p>
    <w:p w14:paraId="37237335" w14:textId="77777777" w:rsidR="003754FE" w:rsidRDefault="003754FE" w:rsidP="003754FE">
      <w:pPr>
        <w:pStyle w:val="TextoNormal"/>
      </w:pPr>
      <w:r>
        <w:t>Se incumple nuevamente la doctrina constitucional por la que se prohíbe la reconstrucción de oficio de la demanda y de modo expreso suplir las razones del recurrente o efectuar una labor de integración de las mismas, cuando no se aportan al recurso (SSTC 123/2006, de 24 de abril, FJ 3; 196/2006, de 3 de julio, FJ 3; 74/2007, de 16 de abril, FJ 2; 42/2008, de 10 de marzo, FJ 2, y 182/2009, de 7 de septiembre, FJ 2).</w:t>
      </w:r>
    </w:p>
    <w:p w14:paraId="476EC314" w14:textId="77777777" w:rsidR="003754FE" w:rsidRDefault="003754FE" w:rsidP="003754FE">
      <w:pPr>
        <w:pStyle w:val="TextoNormal"/>
      </w:pPr>
    </w:p>
    <w:p w14:paraId="2E7A8829" w14:textId="77777777" w:rsidR="003754FE" w:rsidRDefault="003754FE" w:rsidP="003754FE">
      <w:pPr>
        <w:pStyle w:val="TextoNormal"/>
      </w:pPr>
      <w:r>
        <w:t xml:space="preserve">3. </w:t>
      </w:r>
      <w:r w:rsidRPr="003754FE">
        <w:rPr>
          <w:i/>
        </w:rPr>
        <w:t>Omisión en las sentencias estimatorias de los recursos de amparo de los ERE de los argumentos contenidos en la sentencia de la Sala de lo Penal del Tribunal Supremo sobre el juicio de tipicidad del delito de prevaricación administrativa</w:t>
      </w:r>
    </w:p>
    <w:p w14:paraId="2DBF3EB9" w14:textId="77777777" w:rsidR="003754FE" w:rsidRDefault="003754FE" w:rsidP="003754FE">
      <w:pPr>
        <w:pStyle w:val="TextoNormal"/>
      </w:pPr>
    </w:p>
    <w:p w14:paraId="5096FA35" w14:textId="77777777" w:rsidR="003754FE" w:rsidRDefault="003754FE" w:rsidP="003754FE">
      <w:pPr>
        <w:pStyle w:val="TextoNormal"/>
      </w:pPr>
      <w:r>
        <w:t>Tal como se afirmó en los votos particulares a la STC 93/2024 y a las SSTC 94/2024, de 2 de julio, y 95/2024, 96/2024, 97/2024, 98/2024, de 3 de julio, el deber de respeto institucional a la plausible labor desempeñada por la Sala de lo Penal del Tribunal Supremo y la exigencia de poner en el primer plano los argumentos que llevaron al Tribunal Supremo a calificar las conductas de los diversos recurrentes como delito de prevaricación administrativa, obligaron a suplir la injustificada omisión por parte de este tribunal del debido análisis de las sólidas razones de acuerdo con las cuales el Tribunal Supremo consideró que las conductas enjuiciadas son constitutivas del delito continuado por el que recayó la condena.</w:t>
      </w:r>
    </w:p>
    <w:p w14:paraId="4D3DD7F9" w14:textId="77777777" w:rsidR="003754FE" w:rsidRDefault="003754FE" w:rsidP="003754FE">
      <w:pPr>
        <w:pStyle w:val="TextoNormal"/>
      </w:pPr>
    </w:p>
    <w:p w14:paraId="7A0E0055" w14:textId="77777777" w:rsidR="003754FE" w:rsidRDefault="003754FE" w:rsidP="003754FE">
      <w:pPr>
        <w:pStyle w:val="TextoNormal"/>
      </w:pPr>
      <w:r>
        <w:t xml:space="preserve">Como se expuso en anteriores votos particulares, el Tribunal Supremo detalló el entramado delictivo que se inició con los trabajos prelegislativos y que culminó con la distribución fraudulenta de los fondos públicos —en términos de la sentencia de casación: “ilegal sistema implantado, cuyo último eslabón era la intervención de la citada agencia [IFA/IDEA], materializando los pagos mediante la previa firma de convenios </w:t>
      </w:r>
      <w:r>
        <w:lastRenderedPageBreak/>
        <w:t>particulares”—, la relación de hechos declarados probados por la Audiencia Provincial resultante de la valoración de la prueba que le compete, donde aparecen las irregularidades más significativas en la concesión de las ayudas (algunas de ellas cometidas en el ámbito presupuestario e insertas en el conjunto de la operación) y que la sentencia de casación relaciona.</w:t>
      </w:r>
    </w:p>
    <w:p w14:paraId="6DE91DA8" w14:textId="77777777" w:rsidR="003754FE" w:rsidRDefault="003754FE" w:rsidP="003754FE">
      <w:pPr>
        <w:pStyle w:val="TextoNormal"/>
      </w:pPr>
    </w:p>
    <w:p w14:paraId="7D0F8452" w14:textId="77777777" w:rsidR="003754FE" w:rsidRDefault="003754FE" w:rsidP="003754FE">
      <w:pPr>
        <w:pStyle w:val="TextoNormal"/>
      </w:pPr>
      <w:r>
        <w:t>Como también expusimos en votos particulares precedentes, la sentencia de casación efectúa una primera precisión: el juicio histórico de la sentencia de instancia no recoge hechos aislados, sino una actuación muy compleja, integrada por un conjunto de decisiones adoptadas por distintas autoridades administrativas en un periodo de tiempo muy prolongado, pero dirigidas todas ellas a conseguir un único propósito: el otorgamiento de subvenciones excepcionales incumpliendo de forma absoluta los requisitos establecidos en la normativa sobre subvenciones, singularmente, la ausencia de bases de convocatoria, la falta de publicidad y la falta de fiscalización previa, dando lugar a la arbitrariedad en la dotación de fondos y en su aplicación concreta. Este conjunto de decisiones hizo posible la distribución ilegal de subvenciones por importe de cerca de setecientos millones (700 000 000) de euros durante un dilatado periodo de diez años.</w:t>
      </w:r>
    </w:p>
    <w:p w14:paraId="529F3044" w14:textId="77777777" w:rsidR="003754FE" w:rsidRDefault="003754FE" w:rsidP="003754FE">
      <w:pPr>
        <w:pStyle w:val="TextoNormal"/>
      </w:pPr>
    </w:p>
    <w:p w14:paraId="6E2622FF" w14:textId="77777777" w:rsidR="003754FE" w:rsidRDefault="003754FE" w:rsidP="003754FE">
      <w:pPr>
        <w:pStyle w:val="TextoNormal"/>
      </w:pPr>
      <w:r>
        <w:t>Para que fuera posible semejante ilegalidad, con afectación de una cantidad ingente de fondos públicos, fue necesario adoptar a lo largo del tiempo distintas resoluciones sin las cuales ni se habrían concedido las ayudas en los términos en que lo fueron, ni se habrían sometido a aprobación parlamentaria unos proyectos de ley que encubrían el mecanismo fraudulento utilizado para evitar los controles establecidos por el legislador.</w:t>
      </w:r>
    </w:p>
    <w:p w14:paraId="136F8C8D" w14:textId="77777777" w:rsidR="003754FE" w:rsidRDefault="003754FE" w:rsidP="003754FE">
      <w:pPr>
        <w:pStyle w:val="TextoNormal"/>
      </w:pPr>
    </w:p>
    <w:p w14:paraId="16915418" w14:textId="77777777" w:rsidR="003754FE" w:rsidRDefault="003754FE" w:rsidP="003754FE">
      <w:pPr>
        <w:pStyle w:val="TextoNormal"/>
      </w:pPr>
      <w:r>
        <w:t>El Tribunal Supremo analizó pormenorizadamente las diferencias entre el proceso legislativo y el prelegislativo y declaró que “[l]a diferente naturaleza del proceso prelegislativo y legislativo nos resulta patente si se atiende a las distintas normas que lo regulan y al momento en el que las normas constitucionales o el Estatuto de Autonomía para Andalucía fijan el inicio del procedimiento legislativo”.</w:t>
      </w:r>
    </w:p>
    <w:p w14:paraId="0D4F5E58" w14:textId="77777777" w:rsidR="003754FE" w:rsidRDefault="003754FE" w:rsidP="003754FE">
      <w:pPr>
        <w:pStyle w:val="TextoNormal"/>
      </w:pPr>
    </w:p>
    <w:p w14:paraId="067881E1" w14:textId="77777777" w:rsidR="003754FE" w:rsidRDefault="003754FE" w:rsidP="003754FE">
      <w:pPr>
        <w:pStyle w:val="TextoNormal"/>
      </w:pPr>
      <w:r>
        <w:t>Los argumentos de la sentencia de casación que, bajo la rúbrica “Control de los actos de gobierno”, refutan el carácter político inmune a todo control jurisdiccional de las resoluciones por las que se acordó elevar los proyectos de ley al Parlamento o las que aprobaron las modificaciones legislativas adoptadas, desmantelan el discurso de las sentencias de este tribunal de las que disiento, acerca del principio de separación de poderes, la centralidad del Parlamento y sobre el Gobierno y sus relaciones con el Parlamento, en el que está ausente toda referencia al poder judicial, más si cabe cuando lo enjuiciado por los órganos judiciales ha sido un conjunto de decisiones, adoptadas por distintas autoridades político-administrativas, en un periodo de tiempo muy prolongado, pero dirigidas todas ellas a socavar el imperio de la ley haciendo posible la desviación de cerca de setecientos millones de euros durante un dilatado periodo de diez años.</w:t>
      </w:r>
    </w:p>
    <w:p w14:paraId="2828B92E" w14:textId="77777777" w:rsidR="003754FE" w:rsidRDefault="003754FE" w:rsidP="003754FE">
      <w:pPr>
        <w:pStyle w:val="TextoNormal"/>
      </w:pPr>
    </w:p>
    <w:p w14:paraId="27917C60" w14:textId="77777777" w:rsidR="003754FE" w:rsidRDefault="003754FE" w:rsidP="003754FE">
      <w:pPr>
        <w:pStyle w:val="TextoNormal"/>
      </w:pPr>
      <w:r>
        <w:t xml:space="preserve">El Tribunal Supremo alecciona sobre las bases fundacionales del Estado de Derecho, cuando afirma que la idea de que determinadas actuaciones políticas de gobierno puedan quedar exentas de control jurisdiccional, está en estrecha relación con el ejercicio democrático del poder y con la noción de Estado de Derecho, hasta el punto de que no faltan corrientes doctrinales que apuntan a la tesis de que no debiera haber actos exentos de la posibilidad de control jurisdiccional sobre la base de cuatro preceptos constitucionales: el </w:t>
      </w:r>
      <w:r>
        <w:lastRenderedPageBreak/>
        <w:t>artículo 1.1 CE, que califica a España como un Estado de Derecho; el artículo 9.1 CE, que dispone la sujeción de todos los poderes públicos a la Constitución y al resto del ordenamiento jurídico; el artículo 103 CE, que atribuye al poder judicial el control de la potestad reglamentaria y la legalidad de la actuación administrativa, y el artículo 24 CE, que reconoce el derecho a la tutela judicial efectiva sin que en ningún caso pueda producirse indefensión.</w:t>
      </w:r>
    </w:p>
    <w:p w14:paraId="78A51539" w14:textId="77777777" w:rsidR="003754FE" w:rsidRDefault="003754FE" w:rsidP="003754FE">
      <w:pPr>
        <w:pStyle w:val="TextoNormal"/>
      </w:pPr>
    </w:p>
    <w:p w14:paraId="342AE4FB" w14:textId="77777777" w:rsidR="003754FE" w:rsidRDefault="003754FE" w:rsidP="003754FE">
      <w:pPr>
        <w:pStyle w:val="TextoNormal"/>
      </w:pPr>
      <w:r>
        <w:t>Aclaró igualmente la sentencia de casación que al margen de los límites del control que compete a la jurisdicción contencioso-administrativa, la cuestión tiene otro enfoque cuando se trata de determinar qué deba entenderse por asunto administrativo a efectos penales.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posibilitaría un ámbito de inmunidad difícilmente justificable.</w:t>
      </w:r>
    </w:p>
    <w:p w14:paraId="34E8C40B" w14:textId="77777777" w:rsidR="003754FE" w:rsidRDefault="003754FE" w:rsidP="003754FE">
      <w:pPr>
        <w:pStyle w:val="TextoNormal"/>
      </w:pPr>
    </w:p>
    <w:p w14:paraId="7BE948BD" w14:textId="77777777" w:rsidR="003754FE" w:rsidRDefault="003754FE" w:rsidP="003754FE">
      <w:pPr>
        <w:pStyle w:val="TextoNormal"/>
      </w:pPr>
      <w:r>
        <w:t>Declara la sentencia casacional que el control jurisdiccional de los actos de gobierno está plenamente asentado y que “para hablar de actos políticos de Gobierno —o de los Consejos de Gobierno— es necesaria no solo su procedencia formal [que contempla el artículo 2 a) de la Ley 29/1998, de 13 de julio, reguladora de la jurisdicción contencioso-administrativa (LJCA)], sino también que tengan por contenido una determinación de la denominada ‘dirección política’ del órgano que la emite que ostente total libertad en el fin, de forma que el contenido de esa decisión permita optar entre varias opciones y que todas ellas sean lícitas y admisibles en el sentido constitucional y legal de la palabra, con la consecuencia de que el acto no será controlable judicialmente en sus elementos de fondo, pero sí en los elementos reglados que nuestra jurisprudencia ha denominado ‘judicialmente asequibles’” (STS 920/2019, Sala de lo Contencioso-Administrativo, de 26 de junio, ECLI:ES:TS:2019:2088).</w:t>
      </w:r>
    </w:p>
    <w:p w14:paraId="56A5CDEE" w14:textId="77777777" w:rsidR="003754FE" w:rsidRDefault="003754FE" w:rsidP="003754FE">
      <w:pPr>
        <w:pStyle w:val="TextoNormal"/>
      </w:pPr>
    </w:p>
    <w:p w14:paraId="08DE7262" w14:textId="77777777" w:rsidR="003754FE" w:rsidRDefault="003754FE" w:rsidP="003754FE">
      <w:pPr>
        <w:pStyle w:val="TextoNormal"/>
      </w:pPr>
      <w:r>
        <w:t>Delimitado argumentalmente el marco referente a las inmunidades, examina la Sala de lo Penal si las decisiones adoptadas en los procesos prelegislativos de aprobación de los proyectos de ley de presupuestos son o no “actos de gobierno”, caracterizados por la discrecionalidad propia del acto político.</w:t>
      </w:r>
    </w:p>
    <w:p w14:paraId="434CCC86" w14:textId="77777777" w:rsidR="003754FE" w:rsidRDefault="003754FE" w:rsidP="003754FE">
      <w:pPr>
        <w:pStyle w:val="TextoNormal"/>
      </w:pPr>
    </w:p>
    <w:p w14:paraId="1C23F4A6" w14:textId="77777777" w:rsidR="003754FE" w:rsidRDefault="003754FE" w:rsidP="003754FE">
      <w:pPr>
        <w:pStyle w:val="TextoNormal"/>
      </w:pPr>
      <w:r>
        <w:t>La sentencia ahora impugnada en amparo precisa que lo que se debe determinar no es si las resoluciones adoptadas en el proceso prelegislativo son susceptibles de control por la jurisdicción contencioso-administrativa, cuestión que es ajena a la jurisdicción penal, sino si esas resoluciones pueden cumplir con las exigencias típicas del artículo 404 CP, que es algo sustancialmente diferente.</w:t>
      </w:r>
    </w:p>
    <w:p w14:paraId="3D324C1C" w14:textId="77777777" w:rsidR="003754FE" w:rsidRDefault="003754FE" w:rsidP="003754FE">
      <w:pPr>
        <w:pStyle w:val="TextoNormal"/>
      </w:pPr>
    </w:p>
    <w:p w14:paraId="52961209" w14:textId="77777777" w:rsidR="003754FE" w:rsidRDefault="003754FE" w:rsidP="003754FE">
      <w:pPr>
        <w:pStyle w:val="TextoNormal"/>
      </w:pPr>
      <w:r>
        <w:t xml:space="preserve">Observa que el proceso prelegislativo es un procedimiento administrativo y que en ese procedimiento se dictan algunas resoluciones que son indispensables para que tenga lugar la remisión del anteproyecto de ley al Parlamento, las cuales deben ajustarse a lo establecido en las leyes. De modo que puede distinguirse entre (i) la decisión de elevar un proyecto de ley al Gobierno, así como el contenido del proyecto normativo, en cuanto incorpora decisiones sujetas a criterios de oportunidad y discrecionalidad, que es un acto de gobierno inmune al control jurisdiccional; y (ii) las distintas decisiones que se adoptan para aprobar un proyecto de ley de presupuestos o una modificación presupuestaria, antes de su final </w:t>
      </w:r>
      <w:r>
        <w:lastRenderedPageBreak/>
        <w:t>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que la ley impusiera unas reglas en la elaboración del proyecto de ley o de una norma con fuerza de ley y que esas reglas imperativas pudieran ser desconocidas sin consecuencia alguna, máxime cuando lo pretendido sea violar de forma patente y arbitraria la ley.</w:t>
      </w:r>
    </w:p>
    <w:p w14:paraId="1EC3CBFF" w14:textId="77777777" w:rsidR="003754FE" w:rsidRDefault="003754FE" w:rsidP="003754FE">
      <w:pPr>
        <w:pStyle w:val="TextoNormal"/>
      </w:pPr>
    </w:p>
    <w:p w14:paraId="5ECFFA29" w14:textId="77777777" w:rsidR="003754FE" w:rsidRDefault="003754FE" w:rsidP="003754FE">
      <w:pPr>
        <w:pStyle w:val="TextoNormal"/>
      </w:pPr>
      <w:r>
        <w:t>Descendiendo al caso de una ley de presupuestos, para el Tribunal Supremo esta distinción es especialmente relevante. Una ley de esa naturaleza tiene un doble contenido: de un lado, la previsión de ingresos y la habilitación de gastos para un ejercicio económico, que es una decisión de naturaleza política. De otro, el procedimiento de elaboración y los criterios financieros que desarrollan y aclaran los estados cifrados, que deben sujetarse a las normas de naturaleza procedimental y financieras de obligado cumplimiento. Lo mismo puede predicarse del proceso de elaboración y aprobación de una modificación presupuestaria.</w:t>
      </w:r>
    </w:p>
    <w:p w14:paraId="48FEE72C" w14:textId="77777777" w:rsidR="003754FE" w:rsidRDefault="003754FE" w:rsidP="003754FE">
      <w:pPr>
        <w:pStyle w:val="TextoNormal"/>
      </w:pPr>
    </w:p>
    <w:p w14:paraId="43FF92D0" w14:textId="77777777" w:rsidR="003754FE" w:rsidRDefault="003754FE" w:rsidP="003754FE">
      <w:pPr>
        <w:pStyle w:val="TextoNormal"/>
      </w:pPr>
      <w:r>
        <w:t>Por tanto, las resoluciones relativas a este segundo contenido no son actos de gobierno inmunes al control de la jurisdicción penal, sino “resoluciones en asunto administrativo” a los efectos del art. 404 CP.</w:t>
      </w:r>
    </w:p>
    <w:p w14:paraId="02A7DB77" w14:textId="77777777" w:rsidR="003754FE" w:rsidRDefault="003754FE" w:rsidP="003754FE">
      <w:pPr>
        <w:pStyle w:val="TextoNormal"/>
      </w:pPr>
    </w:p>
    <w:p w14:paraId="43A8E77D" w14:textId="77777777" w:rsidR="003754FE" w:rsidRDefault="003754FE" w:rsidP="003754FE">
      <w:pPr>
        <w:pStyle w:val="TextoNormal"/>
      </w:pPr>
      <w:r>
        <w:t>Más adelante, la STS 749/2022 da cuenta de la constante doctrina de la Sala de lo Penal sobre el elemento del tipo “resolución en asunto administrativo”. Señala que el tipo penal describe el elemento objetivo sin acudir a conceptos propios del Derecho administrativo, tales como “resolución administrativa”, “resolución susceptible de control a través de la jurisdicción contencioso- administrativa” o “resolución que pone término al proceso administrativo”, que podrían permitir perfilar con mayor precisión la delimitación del tipo objetivo del delito tipificado en el art. 404 CP. Afirma que, por tal motivo, es necesario que la jurisdicción penal aborde el entendimiento del precepto con autonomía, como así ha proclamado en reiteradas resoluciones (como la STS 941/2009, de 29 de septiembre, ECLI:ES:TS:2009:5849) y ha precisado en distintos pronunciamientos a lo largo de los últimos años en estos términos:</w:t>
      </w:r>
    </w:p>
    <w:p w14:paraId="4F99B726" w14:textId="77777777" w:rsidR="003754FE" w:rsidRDefault="003754FE" w:rsidP="003754FE">
      <w:pPr>
        <w:pStyle w:val="TextoNormal"/>
      </w:pPr>
    </w:p>
    <w:p w14:paraId="3530468C" w14:textId="77777777" w:rsidR="003754FE" w:rsidRDefault="003754FE" w:rsidP="003754FE">
      <w:pPr>
        <w:pStyle w:val="TextoNormal"/>
      </w:pPr>
      <w:r>
        <w:t>(i) No puede identificarse el concepto “resolución en asunto administrativo”, con “resolución administrativa”, pues la primera es más amplia y permite incluir, por ejemplo, declaraciones de voluntad bilaterales como los contratos administrativos.</w:t>
      </w:r>
    </w:p>
    <w:p w14:paraId="1AF1F08C" w14:textId="77777777" w:rsidR="003754FE" w:rsidRDefault="003754FE" w:rsidP="003754FE">
      <w:pPr>
        <w:pStyle w:val="TextoNormal"/>
      </w:pPr>
    </w:p>
    <w:p w14:paraId="5D516669" w14:textId="77777777" w:rsidR="003754FE" w:rsidRDefault="003754FE" w:rsidP="003754FE">
      <w:pPr>
        <w:pStyle w:val="TextoNormal"/>
      </w:pPr>
      <w:r>
        <w:t>(ii) El presupuesto según el cual la resolución tenga contenido decisorio, no exige que ponga fin a la vía administrativa ni que concluya el procedimiento, por lo que ha de entenderse como resolución no solo el acto que pone fin al procedimiento y resuelve definitivamente la cuestión que se ventile, sino también aquellos otros actos que, a pesar de no ser conclusivos, tengan un contenido material sustantivo, de suerte que resuelvan sobre el fondo en algún aspecto fundamental para la resolución final del procedimiento. Por otra parte, para la consumación del delito no es necesario que se trate de una resolución firme, siendo irrelevante que haya sido confirmada o revocada por el superior jerárquico.</w:t>
      </w:r>
    </w:p>
    <w:p w14:paraId="2B11DEE6" w14:textId="77777777" w:rsidR="003754FE" w:rsidRDefault="003754FE" w:rsidP="003754FE">
      <w:pPr>
        <w:pStyle w:val="TextoNormal"/>
      </w:pPr>
    </w:p>
    <w:p w14:paraId="4137C0AA" w14:textId="77777777" w:rsidR="003754FE" w:rsidRDefault="003754FE" w:rsidP="003754FE">
      <w:pPr>
        <w:pStyle w:val="TextoNormal"/>
      </w:pPr>
      <w:r>
        <w:t xml:space="preserve">(iii) También pueden tener la consideración de resolución a efectos penales los informes vinculantes o la realización de actos previos tendentes a manipular la voluntad del órgano </w:t>
      </w:r>
      <w:r>
        <w:lastRenderedPageBreak/>
        <w:t>decisor, mediante la formulación de proposiciones contrarias a la ley o informes que no responden a la verdad cuando se hace a sabiendas de que el órgano decisor aprobará la propuesta.</w:t>
      </w:r>
    </w:p>
    <w:p w14:paraId="4720F828" w14:textId="77777777" w:rsidR="003754FE" w:rsidRDefault="003754FE" w:rsidP="003754FE">
      <w:pPr>
        <w:pStyle w:val="TextoNormal"/>
      </w:pPr>
    </w:p>
    <w:p w14:paraId="46A31319" w14:textId="77777777" w:rsidR="003754FE" w:rsidRDefault="003754FE" w:rsidP="003754FE">
      <w:pPr>
        <w:pStyle w:val="TextoNormal"/>
      </w:pPr>
      <w:r>
        <w:t>(iv) El Tribunal Supremo, con cita del art. 112 de la Ley 39/2015, de 1 de octubre, del procedimiento administrativo común de las administraciones públicas, recuerda que “la STS 163/2019, de 26 de marzo, ha declarado que constituye resolución a efectos penales los actos decisorios del procedimiento siempre que constituyan un eslabón necesario en la cadena instrumental que determina la resolución final, doctrina de especial relevancia en decisiones administrativas adoptadas en procesos de decisión complejos”. En tal sentido, declara que son resoluciones a efectos penales los “eslabones de relevancia en la decisión final, y que son, también, como podríamos denominarles, ‘decisiones interlocutorias de alto grado y de carácter relevante en la resolución final que se adopta’”.</w:t>
      </w:r>
    </w:p>
    <w:p w14:paraId="6EEC7180" w14:textId="77777777" w:rsidR="003754FE" w:rsidRDefault="003754FE" w:rsidP="003754FE">
      <w:pPr>
        <w:pStyle w:val="TextoNormal"/>
      </w:pPr>
    </w:p>
    <w:p w14:paraId="292D20CD" w14:textId="77777777" w:rsidR="003754FE" w:rsidRDefault="003754FE" w:rsidP="003754FE">
      <w:pPr>
        <w:pStyle w:val="TextoNormal"/>
      </w:pPr>
      <w:r>
        <w:t>(v) Incluso se afirma en la STS 1051/2013, de 26 de septiembre, que “toda la tramitación de un expediente puede ser prevaricadora cuando el procedimiento ha sido incoado para delinquir, en cuyo caso no todas las decisiones adoptadas durante su desarrollo pueden ser consideradas actos de trámite, debiéndose discriminar en cada caso si las distintas resoluciones adoptadas durante ese desarrollo tienen o no contenido decisorio”. Indica que los “actos de trámite” no carecen en absoluto de todo contenido decisorio, pues la realización de cualquier acto, que no fuera inanimado, exigirá previamente una determinación al respecto del sujeto que lo realice.</w:t>
      </w:r>
    </w:p>
    <w:p w14:paraId="72D5A4B4" w14:textId="77777777" w:rsidR="003754FE" w:rsidRDefault="003754FE" w:rsidP="003754FE">
      <w:pPr>
        <w:pStyle w:val="TextoNormal"/>
      </w:pPr>
    </w:p>
    <w:p w14:paraId="6CDD0B5A" w14:textId="77777777" w:rsidR="003754FE" w:rsidRDefault="003754FE" w:rsidP="003754FE">
      <w:pPr>
        <w:pStyle w:val="TextoNormal"/>
      </w:pPr>
      <w:r>
        <w:t>Recuerda que el procedimiento administrativo tiene la doble finalidad de servir de garantía de los derechos individuales y de garantía de orden de la administración y de justicia y acierto en sus resoluciones (STS 18/2014, de 23 de enero). De modo que se podrá apreciar la existencia de una resolución arbitraria cuando la omisión de las exigencias procedimentales suponga principalmente la elusión de los controles que el propio procedimiento establece sobre el fondo del asunto, ya que en tales casos la actuación de la autoridad o funcionario no se limita a suprimir el control formal de su actuación administrativa, sino que con su forma irregular de proceder elimina los mecanismos que se establecen, precisamente, para asegurar que su decisión se sujeta a los fines que la ley establece para la actuación administrativa concreta, en la que adopta su resolución (STS 743/2013, de 11 de octubre, ECLI:ES:TS:2013:4949).</w:t>
      </w:r>
    </w:p>
    <w:p w14:paraId="3E0BE488" w14:textId="77777777" w:rsidR="003754FE" w:rsidRDefault="003754FE" w:rsidP="003754FE">
      <w:pPr>
        <w:pStyle w:val="TextoNormal"/>
      </w:pPr>
    </w:p>
    <w:p w14:paraId="3EC3BAAC" w14:textId="77777777" w:rsidR="003754FE" w:rsidRDefault="003754FE" w:rsidP="003754FE">
      <w:pPr>
        <w:pStyle w:val="TextoNormal"/>
      </w:pPr>
      <w:r>
        <w:t>Señala el Tribunal Supremo que, en este caso, se han considerado resoluciones constitutivas de delito de prevaricación, todas las resoluciones necesarias para que la ilegal distribución de fondos públicos pudiera llevarse a cabo, a saber: la aprobación de los proyectos de leyes de presupuestos por el Consejo de Gobierno de la Junta de Andalucía; la aprobación de los anteproyectos de leyes de presupuestos por el consejero de Hacienda y por la Comisión General de Viceconsejeros; la elaboración de los estados de gastos relativos al programa 31L por la Consejería de Empleo, con la intervención determinante del consejero, viceconsejero y secretario general técnico; la aprobación de las distintas modificaciones presupuestarias; la concesión de las subvenciones y los convenios suscritos para proceder al pago de las subvenciones, tanto el convenio marco de 17 de julio de 2001, como los distintos convenios particulares.</w:t>
      </w:r>
    </w:p>
    <w:p w14:paraId="43A97743" w14:textId="77777777" w:rsidR="003754FE" w:rsidRDefault="003754FE" w:rsidP="003754FE">
      <w:pPr>
        <w:pStyle w:val="TextoNormal"/>
      </w:pPr>
    </w:p>
    <w:p w14:paraId="2E525E2C" w14:textId="77777777" w:rsidR="003754FE" w:rsidRDefault="003754FE" w:rsidP="003754FE">
      <w:pPr>
        <w:pStyle w:val="TextoNormal"/>
      </w:pPr>
      <w:r>
        <w:lastRenderedPageBreak/>
        <w:t>Afirma que con la prevaricación se castiga la desviación de poder y que la prevaricación puede, en ocasiones, presentarse mediante una acción compleja. Los acusados adoptaron estas decisiones para conseguir una finalidad palmariamente ilegal: evitar el cumplimiento de las exigencias de las normas sobre subvenciones y el control previo de la Intervención General de la Junta de Andalucía. En eso radica la desviación de poder y la relevancia penal de la conducta enjuiciada. Todos ellos adoptaron, en su ámbito administrativo de decisión, resoluciones necesarias para que el efecto finalmente pretendido se pudiera producir.</w:t>
      </w:r>
    </w:p>
    <w:p w14:paraId="233F94E5" w14:textId="77777777" w:rsidR="003754FE" w:rsidRDefault="003754FE" w:rsidP="003754FE">
      <w:pPr>
        <w:pStyle w:val="TextoNormal"/>
      </w:pPr>
    </w:p>
    <w:p w14:paraId="0797C06D" w14:textId="77777777" w:rsidR="003754FE" w:rsidRDefault="003754FE" w:rsidP="003754FE">
      <w:pPr>
        <w:pStyle w:val="TextoNormal"/>
      </w:pPr>
      <w:r>
        <w:t>La STS 749/2022, recurrida en este recurso de amparo, aclaró que la remisión de un proyecto de ley de presupuestos al Parlamento andaluz va precedida de un extenso y detallado expediente administrativo, compuesto, a su vez, de expedientes en los que, conforme a lo previsto en las leyes, se van dictando distintas resoluciones. El procedimiento de elaboración del presupuesto se regula en el título II de la Ley 5/1983, de 19 de julio, general de la hacienda pública de la Comunidad Autónoma de Andalucía, y en el Decreto Legislativo 1/2010, de 2 de marzo, por el que se aprueba, el texto refundido de la Ley general de la hacienda pública de la Junta de Andalucía, donde se consagra el principio de legalidad como base del cumplimiento de la gestión presupuestaria de la Junta de Andalucía.</w:t>
      </w:r>
    </w:p>
    <w:p w14:paraId="01D7E697" w14:textId="77777777" w:rsidR="003754FE" w:rsidRDefault="003754FE" w:rsidP="003754FE">
      <w:pPr>
        <w:pStyle w:val="TextoNormal"/>
      </w:pPr>
    </w:p>
    <w:p w14:paraId="249F9076" w14:textId="77777777" w:rsidR="003754FE" w:rsidRDefault="003754FE" w:rsidP="003754FE">
      <w:pPr>
        <w:pStyle w:val="TextoNormal"/>
      </w:pPr>
      <w:r>
        <w:t>El Tribunal Supremo, con expresa mención de las normas aplicables, distingue las diferentes fases presupuestarias; refiere que los distintos proyectos de ley, con la finalidad última de eludir los controles legales y los principios de publicidad y libre concurrencia aplicables a las subvenciones, incluyeron a sabiendas una clasificación presupuestaria contraria a Derecho, incorporando una documentación que no era suficientemente explicativa del destino que iba a darse a esos fondos.</w:t>
      </w:r>
    </w:p>
    <w:p w14:paraId="7B43FDB8" w14:textId="77777777" w:rsidR="003754FE" w:rsidRDefault="003754FE" w:rsidP="003754FE">
      <w:pPr>
        <w:pStyle w:val="TextoNormal"/>
      </w:pPr>
    </w:p>
    <w:p w14:paraId="31545CC8" w14:textId="77777777" w:rsidR="003754FE" w:rsidRDefault="003754FE" w:rsidP="003754FE">
      <w:pPr>
        <w:pStyle w:val="TextoNormal"/>
      </w:pPr>
      <w:r>
        <w:t>Expone que la aprobación del proyecto de ley fue una resolución que culmina el procedimiento prelegislativo y es el filtro previsto por el legislador para que ese proyecto sea respetuoso con la legalidad tanto en los aspectos procedimentales como en su contenido. El hecho de que los proyectos de ley fueran finalmente aprobados no es obstáculo para atribuir relevancia penal a las resoluciones aludidas, dado que la consumación del delito se produce con el dictado de la resolución injusta, siendo irrelevante que el Parlamento no detectara la ilegalidad.</w:t>
      </w:r>
    </w:p>
    <w:p w14:paraId="7AFFAB72" w14:textId="77777777" w:rsidR="003754FE" w:rsidRDefault="003754FE" w:rsidP="003754FE">
      <w:pPr>
        <w:pStyle w:val="TextoNormal"/>
      </w:pPr>
    </w:p>
    <w:p w14:paraId="527B960B" w14:textId="77777777" w:rsidR="003754FE" w:rsidRDefault="003754FE" w:rsidP="003754FE">
      <w:pPr>
        <w:pStyle w:val="TextoNormal"/>
      </w:pPr>
      <w:r>
        <w:t>Asimismo, no es admisible calificar el procedimiento prelegislativo como un conjunto de simples “actos de trámite”, sin relevancia o carentes de efecto alguno y que lo que finalmente se aprueba por el Gobierno autonómico es un documento sin valor jurídico alguno y sin efectos.</w:t>
      </w:r>
    </w:p>
    <w:p w14:paraId="005414F4" w14:textId="77777777" w:rsidR="003754FE" w:rsidRDefault="003754FE" w:rsidP="003754FE">
      <w:pPr>
        <w:pStyle w:val="TextoNormal"/>
      </w:pPr>
    </w:p>
    <w:p w14:paraId="6B2C92F4" w14:textId="77777777" w:rsidR="003754FE" w:rsidRDefault="003754FE" w:rsidP="003754FE">
      <w:pPr>
        <w:pStyle w:val="TextoNormal"/>
      </w:pPr>
      <w:r>
        <w:t>Algunos de los actos de ese procedimiento tienen contenido decisorio en la medida en que las autoridades administrativas, al aprobar la iniciativa legislativa en cada una de sus fases, debían examinarlo y comprobar su legalidad. Esas autoridades tenían la potestad de rechazar el proyecto de ley o de modificarlo para que, al margen de la decisión política de fondo sobre la materia presupuestaria, cumpliera con las exigencias de legalidad tanto en su tramitación como en su contenido. Esas autoridades aprobaron los proyectos de ley en cada una de sus fases a sabiendas de su ilegalidad y con la deliberada intención de suprimir los controles formales establecidos por el legislador, y lo consiguieron.</w:t>
      </w:r>
    </w:p>
    <w:p w14:paraId="5382405A" w14:textId="77777777" w:rsidR="003754FE" w:rsidRDefault="003754FE" w:rsidP="003754FE">
      <w:pPr>
        <w:pStyle w:val="TextoNormal"/>
      </w:pPr>
    </w:p>
    <w:p w14:paraId="2592DFFC" w14:textId="77777777" w:rsidR="003754FE" w:rsidRDefault="003754FE" w:rsidP="003754FE">
      <w:pPr>
        <w:pStyle w:val="TextoNormal"/>
      </w:pPr>
      <w:r>
        <w:lastRenderedPageBreak/>
        <w:t>Señala la sentencia casacional que precisamente la eliminación de esos controles, asociada a la indebida clasificación presupuestaria aplicada a las subvenciones, es lo que permite afirmar que las distintas resoluciones adoptadas en el proceso prelegislativo no eran actos de trámite carentes de trascendencia alguna.</w:t>
      </w:r>
    </w:p>
    <w:p w14:paraId="4C4B6F78" w14:textId="77777777" w:rsidR="003754FE" w:rsidRDefault="003754FE" w:rsidP="003754FE">
      <w:pPr>
        <w:pStyle w:val="TextoNormal"/>
      </w:pPr>
    </w:p>
    <w:p w14:paraId="07BD013C" w14:textId="77777777" w:rsidR="003754FE" w:rsidRDefault="003754FE" w:rsidP="003754FE">
      <w:pPr>
        <w:pStyle w:val="TextoNormal"/>
      </w:pPr>
      <w:r>
        <w:t>Declara, con cita de la STS 743/2013, de 11 de octubre, que “[e]l procedimiento administrativo, por un lado, tiene una finalidad general orientada a someter la actuación administrativa a determinadas formas que permitan su comprobación y control formal, y por otro, una finalidad de mayor trascendencia, dirigida a establecer determinados controles sobre el fondo de la actuación de que se trate. Ambas deben ser observadas en la actividad administrativa. Así, se podrá apreciar la existencia de una resolución arbitraria cuando omitir las exigencias procedimentales suponga principalmente la elusión de los controles que el propio procedimiento establece sobre el fondo del asunto; pues en esos casos la actuación de la autoridad o funcionario no se limita a suprimir el control formal de su actuación administrativa, sino que con su forma irregular de proceder elimina los mecanismos que se establecen, precisamente, para asegurar que su decisión se sujeta a los fines que la ley establece para la actuación administrativa concreta, en la que adopta su resolución”.</w:t>
      </w:r>
    </w:p>
    <w:p w14:paraId="09528339" w14:textId="77777777" w:rsidR="003754FE" w:rsidRDefault="003754FE" w:rsidP="003754FE">
      <w:pPr>
        <w:pStyle w:val="TextoNormal"/>
      </w:pPr>
    </w:p>
    <w:p w14:paraId="406F8A86" w14:textId="77777777" w:rsidR="003754FE" w:rsidRDefault="003754FE" w:rsidP="003754FE">
      <w:pPr>
        <w:pStyle w:val="TextoNormal"/>
      </w:pPr>
      <w:r>
        <w:t>La STS 749/2022 examina las resoluciones del Consejo de Gobierno de la Junta de Andalucía en lo que respecta a la aprobación de las modificaciones presupuestarias y aprecia la arbitrariedad en que incurren, como elemento típico del delito de prevaricación administrativa.</w:t>
      </w:r>
    </w:p>
    <w:p w14:paraId="3F64F58D" w14:textId="77777777" w:rsidR="003754FE" w:rsidRDefault="003754FE" w:rsidP="003754FE">
      <w:pPr>
        <w:pStyle w:val="TextoNormal"/>
      </w:pPr>
    </w:p>
    <w:p w14:paraId="013FAF29" w14:textId="77777777" w:rsidR="003754FE" w:rsidRDefault="003754FE" w:rsidP="003754FE">
      <w:pPr>
        <w:pStyle w:val="TextoNormal"/>
      </w:pPr>
      <w:r>
        <w:t>Afirma que el correcto entendimiento del delito de prevaricación administrativa solo puede realizarse, como ha señalado la doctrina científica, desde una concepción democrática del poder público. La corrupción política y administrativa y la desviación de poder son incompatibles con un Estado democrático de Derecho, en el que han de prevalecer principios como la igualdad ante la ley, el control del poder público, la imparcialidad y la corrección en la actuación administrativa.</w:t>
      </w:r>
    </w:p>
    <w:p w14:paraId="4DB287A0" w14:textId="77777777" w:rsidR="003754FE" w:rsidRDefault="003754FE" w:rsidP="003754FE">
      <w:pPr>
        <w:pStyle w:val="TextoNormal"/>
      </w:pPr>
    </w:p>
    <w:p w14:paraId="0A69D2FB" w14:textId="77777777" w:rsidR="003754FE" w:rsidRDefault="003754FE" w:rsidP="003754FE">
      <w:pPr>
        <w:pStyle w:val="TextoNormal"/>
      </w:pPr>
      <w:r>
        <w:t>El Tribunal Supremo sostiene que en el presente caso el delito de prevaricación se proyecta en un conjunto de resoluciones que introdujeron un sistema de presupuestación indebido (transferencias de financiación) para evitar los controles establecidos en la ley de concesión de subvenciones y de este modo conceder subvenciones al margen de la cuidadosa normativa reguladora de estas.</w:t>
      </w:r>
    </w:p>
    <w:p w14:paraId="721EF807" w14:textId="77777777" w:rsidR="003754FE" w:rsidRDefault="003754FE" w:rsidP="003754FE">
      <w:pPr>
        <w:pStyle w:val="TextoNormal"/>
      </w:pPr>
    </w:p>
    <w:p w14:paraId="212562E6" w14:textId="77777777" w:rsidR="003754FE" w:rsidRDefault="003754FE" w:rsidP="003754FE">
      <w:pPr>
        <w:pStyle w:val="TextoNormal"/>
      </w:pPr>
      <w:r>
        <w:t>Confirma la Sala de lo Penal lo que ha expuesto con detalle en los fundamentos precedentes: por qué motivos las ayudas sociolaborales eran subvenciones y las razones por las que las transferencias de financiación eran una herramienta presupuestaria, no para la concesión y el pago de subvenciones, sino para cubrir el déficit de explotación de las actividades propias de una empresa o entidad pública. Las normas aplicables a ambos institutos eran precisas. Y la finalidad perseguida por los condenados también ha quedado en evidencia por varias circunstancias concurrentes:</w:t>
      </w:r>
    </w:p>
    <w:p w14:paraId="3E84F92F" w14:textId="77777777" w:rsidR="003754FE" w:rsidRDefault="003754FE" w:rsidP="003754FE">
      <w:pPr>
        <w:pStyle w:val="TextoNormal"/>
      </w:pPr>
    </w:p>
    <w:p w14:paraId="4823438D" w14:textId="77777777" w:rsidR="003754FE" w:rsidRDefault="003754FE" w:rsidP="003754FE">
      <w:pPr>
        <w:pStyle w:val="TextoNormal"/>
      </w:pPr>
      <w:r>
        <w:t>(i) Se cambió el sistema de presupuestación sin una razón sólida que lo justificara.</w:t>
      </w:r>
    </w:p>
    <w:p w14:paraId="29BC0DE7" w14:textId="77777777" w:rsidR="003754FE" w:rsidRDefault="003754FE" w:rsidP="003754FE">
      <w:pPr>
        <w:pStyle w:val="TextoNormal"/>
      </w:pPr>
    </w:p>
    <w:p w14:paraId="189DFA57" w14:textId="77777777" w:rsidR="003754FE" w:rsidRDefault="003754FE" w:rsidP="003754FE">
      <w:pPr>
        <w:pStyle w:val="TextoNormal"/>
      </w:pPr>
      <w:r>
        <w:t xml:space="preserve">(ii) El propio director general de Empleo, también condenado en las presentes actuaciones, reconoció en su declaración que recibió instrucciones para instaurar un nuevo sistema </w:t>
      </w:r>
      <w:r>
        <w:lastRenderedPageBreak/>
        <w:t>para el pago de las ayudas ante los problemas que venía planteando la Intervención Delegada de la Junta de Andalucía.</w:t>
      </w:r>
    </w:p>
    <w:p w14:paraId="423AFCFB" w14:textId="77777777" w:rsidR="003754FE" w:rsidRDefault="003754FE" w:rsidP="003754FE">
      <w:pPr>
        <w:pStyle w:val="TextoNormal"/>
      </w:pPr>
    </w:p>
    <w:p w14:paraId="09FB93C5" w14:textId="77777777" w:rsidR="003754FE" w:rsidRDefault="003754FE" w:rsidP="003754FE">
      <w:pPr>
        <w:pStyle w:val="TextoNormal"/>
      </w:pPr>
      <w:r>
        <w:t>(iii) Se hizo y se mantuvo ese cambio a pesar de las múltiples advertencias que se realizaron sobre las ilegalidades que se estaban produciendo.</w:t>
      </w:r>
    </w:p>
    <w:p w14:paraId="7D501302" w14:textId="77777777" w:rsidR="003754FE" w:rsidRDefault="003754FE" w:rsidP="003754FE">
      <w:pPr>
        <w:pStyle w:val="TextoNormal"/>
      </w:pPr>
    </w:p>
    <w:p w14:paraId="501C8DD5" w14:textId="77777777" w:rsidR="003754FE" w:rsidRDefault="003754FE" w:rsidP="003754FE">
      <w:pPr>
        <w:pStyle w:val="TextoNormal"/>
      </w:pPr>
      <w:r>
        <w:t>(iv) La consecuencia real del cambio fue la falta de control y absoluta ilegalidad en la concesión de las subvenciones.</w:t>
      </w:r>
    </w:p>
    <w:p w14:paraId="4E39EF15" w14:textId="77777777" w:rsidR="003754FE" w:rsidRDefault="003754FE" w:rsidP="003754FE">
      <w:pPr>
        <w:pStyle w:val="TextoNormal"/>
      </w:pPr>
    </w:p>
    <w:p w14:paraId="41965719" w14:textId="77777777" w:rsidR="003754FE" w:rsidRDefault="003754FE" w:rsidP="003754FE">
      <w:pPr>
        <w:pStyle w:val="TextoNormal"/>
      </w:pPr>
      <w:r>
        <w:t>(v) El sistema enjuiciado solo operó durante el tiempo a que se contraen las presentes actuaciones. Antes y después el procedimiento utilizado fue el propio de las subvenciones.</w:t>
      </w:r>
    </w:p>
    <w:p w14:paraId="4CBF19E6" w14:textId="77777777" w:rsidR="003754FE" w:rsidRDefault="003754FE" w:rsidP="003754FE">
      <w:pPr>
        <w:pStyle w:val="TextoNormal"/>
      </w:pPr>
    </w:p>
    <w:p w14:paraId="2903EF69" w14:textId="77777777" w:rsidR="003754FE" w:rsidRDefault="003754FE" w:rsidP="003754FE">
      <w:pPr>
        <w:pStyle w:val="TextoNormal"/>
      </w:pPr>
      <w:r>
        <w:t>Por ello, concluye, la injusticia y la arbitrariedad de las resoluciones dictadas no solo se determinan en este caso por su flagrante contradicción con el Derecho, sino por la finalidad ilícita perseguida por sus autores. Y recuerda, nuevamente, la relevancia que tiene la omisión del procedimiento legalmente establecido atendida la finalidad del mismo.</w:t>
      </w:r>
    </w:p>
    <w:p w14:paraId="1A4B9620" w14:textId="77777777" w:rsidR="003754FE" w:rsidRDefault="003754FE" w:rsidP="003754FE">
      <w:pPr>
        <w:pStyle w:val="TextoNormal"/>
      </w:pPr>
    </w:p>
    <w:p w14:paraId="510F3778" w14:textId="77777777" w:rsidR="003754FE" w:rsidRDefault="003754FE" w:rsidP="003754FE">
      <w:pPr>
        <w:pStyle w:val="TextoNormal"/>
      </w:pPr>
      <w:r>
        <w:t>Considero que, si los sólidos argumentos contenidos en la sentencia de casación y el relato fáctico de la sentencia de instancia hubieran sido debidamente analizados en las sentencias de este tribunal, de las que discrepo, y si se hubiera contemplado la trama criminal descrita por el Tribunal Supremo en su conjunto, observando el canon de constitucionalidad aplicable en supuestos como los que nos ocupan, ello hubiera debido llevar a la desestimación de los recursos de amparo planteados.</w:t>
      </w:r>
    </w:p>
    <w:p w14:paraId="70C157E9" w14:textId="77777777" w:rsidR="003754FE" w:rsidRDefault="003754FE" w:rsidP="003754FE">
      <w:pPr>
        <w:pStyle w:val="TextoNormal"/>
      </w:pPr>
    </w:p>
    <w:p w14:paraId="167B735E" w14:textId="77777777" w:rsidR="003754FE" w:rsidRDefault="003754FE" w:rsidP="003754FE">
      <w:pPr>
        <w:pStyle w:val="TextoNormal"/>
      </w:pPr>
      <w:r>
        <w:t xml:space="preserve">4. </w:t>
      </w:r>
      <w:r w:rsidRPr="003754FE">
        <w:rPr>
          <w:i/>
        </w:rPr>
        <w:t>Desbordamiento en la sentencia del Pleno del ámbito reservado a la jurisdicción ordinaria, suplantando la función del Tribunal Supremo como máximo intérprete de la ley</w:t>
      </w:r>
    </w:p>
    <w:p w14:paraId="06F44B81" w14:textId="77777777" w:rsidR="003754FE" w:rsidRDefault="003754FE" w:rsidP="003754FE">
      <w:pPr>
        <w:pStyle w:val="TextoNormal"/>
      </w:pPr>
    </w:p>
    <w:p w14:paraId="5A399B47" w14:textId="77777777" w:rsidR="003754FE" w:rsidRDefault="003754FE" w:rsidP="003754FE">
      <w:pPr>
        <w:pStyle w:val="TextoNormal"/>
      </w:pPr>
      <w:r>
        <w:t>Como señalamos en votos particulares precedentes, esta sentencia, al igual que las restantes dictadas en recursos de amparo de la trama de los ERE, de las que discrepo, al analizar las quejas de vulneración del derecho a la legalidad penal (art. 25.1 CE) de los diversos recurrentes proceden a interpretar los elementos del tipo objetivo del delito de prevaricación administrativa del art. 404 CP, tales como “resolución”, “asunto administrativo” y “arbitraria”, que desbordan el control externo de las resoluciones judiciales en relación con el derecho a la legalidad penal, según ha venido siendo definido en constante doctrina constitucional. A tal fin, me parece suficiente la cita de la STC 229/2003, de 18 de diciembre, FJ 16, que declaró lo siguiente:</w:t>
      </w:r>
    </w:p>
    <w:p w14:paraId="737D8DAB" w14:textId="77777777" w:rsidR="003754FE" w:rsidRDefault="003754FE" w:rsidP="003754FE">
      <w:pPr>
        <w:pStyle w:val="TextoNormal"/>
      </w:pPr>
    </w:p>
    <w:p w14:paraId="0F02BCBB" w14:textId="77777777" w:rsidR="003754FE" w:rsidRDefault="003754FE" w:rsidP="003754FE">
      <w:pPr>
        <w:pStyle w:val="TextoNormal"/>
      </w:pPr>
      <w:r>
        <w:t xml:space="preserve">“Por lo que respecta al alcance del control que el Tribunal Constitucional puede ejercer respecto de la interpretación y aplicación de los preceptos sancionadores efectuados por los órganos judiciales,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y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w:t>
      </w:r>
      <w:r>
        <w:lastRenderedPageBreak/>
        <w:t>debe orientar esa selección (por todas, SSTC 137/1997, de 21 de julio, FJ 7; 189/1998, de 28 de septiembre, FJ 7; 142/1999, de 22 de julio, FJ 4, y 167/2001, de 16 de julio, FJ 3). En otras palabras, ‘es ajena al contenido propio de nuestra jurisdicción la interpretación última del contenido de los tipos sancionadores y el control de la corrección del proceso de subsunción de los hechos probados en los preceptos aplicados’ (STC 137/1997, de 21 de julio, FJ 7).</w:t>
      </w:r>
    </w:p>
    <w:p w14:paraId="182F6939" w14:textId="77777777" w:rsidR="003754FE" w:rsidRDefault="003754FE" w:rsidP="003754FE">
      <w:pPr>
        <w:pStyle w:val="TextoNormal"/>
      </w:pPr>
    </w:p>
    <w:p w14:paraId="2E360F03" w14:textId="77777777" w:rsidR="003754FE" w:rsidRDefault="003754FE" w:rsidP="003754FE">
      <w:pPr>
        <w:pStyle w:val="TextoNormal"/>
      </w:pPr>
      <w:r>
        <w:t>Por tanto, en este ámbito nuestro papel como jurisdicción de amparo ՙse reduce a velar por la indemnidad del derecho indicado y, con ello, por la de los valores de seguridad jurídica y de monopolio legislativo en la determinación esencial de lo penalmente ilícito que lo informan՚, verificando ՙsi la interpretación realizada era una de las interpretaciones posibles de la norma en atención a aquellos valores՚ (STC 189/1998, de 28 de septiembre, FJ 7; citándola SSTC 42/1999, de 22 de marzo, FJ 4; 142/1999, de 22 de julio, FJ 4). Además desde la STC 137/1997, de 21 de julio, hemos destacado que no se limita a comprobar el respeto de los órganos judiciales al tenor literal de la norma, ni a la mera interdicción de la arbitrariedad, el error patente o la manifiesta irrazonabilidad de las decisiones judiciales, 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solo de este modo puede verse en la decisión sancionadora ՙun fruto previsible de una razonable administración judicial o administrativa de la soberanía popular՚.[…]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w:t>
      </w:r>
    </w:p>
    <w:p w14:paraId="497EAE65" w14:textId="77777777" w:rsidR="003754FE" w:rsidRDefault="003754FE" w:rsidP="003754FE">
      <w:pPr>
        <w:pStyle w:val="TextoNormal"/>
      </w:pPr>
    </w:p>
    <w:p w14:paraId="0E8A5D1D" w14:textId="77777777" w:rsidR="003754FE" w:rsidRDefault="003754FE" w:rsidP="003754FE">
      <w:pPr>
        <w:pStyle w:val="TextoNormal"/>
      </w:pPr>
      <w:r>
        <w:t xml:space="preserve">En definitiva, nuestro canon de enjuiciamiento constitucional, configurado a partir de la STC 137/1997, es el siguiente: cabe hablar de aplicación analógica o extensiva </w:t>
      </w:r>
      <w:r w:rsidRPr="003754FE">
        <w:rPr>
          <w:i/>
        </w:rPr>
        <w:t>in malam partem</w:t>
      </w:r>
      <w:r>
        <w:t>,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12; 126/2001, de 4 de junio, FJ 4; 167/2001, de 16 de julio, FJ 3; 170/2002, de 30 de septiembre, FJ 12; 13/2003, de 28 de enero, FJ 3)”.</w:t>
      </w:r>
    </w:p>
    <w:p w14:paraId="6D4CBA82" w14:textId="77777777" w:rsidR="003754FE" w:rsidRDefault="003754FE" w:rsidP="003754FE">
      <w:pPr>
        <w:pStyle w:val="TextoNormal"/>
      </w:pPr>
    </w:p>
    <w:p w14:paraId="0DD5D18E" w14:textId="77777777" w:rsidR="003754FE" w:rsidRDefault="003754FE" w:rsidP="003754FE">
      <w:pPr>
        <w:pStyle w:val="TextoNormal"/>
      </w:pPr>
      <w:r>
        <w:t xml:space="preserve">Reitero que la conclusión que se extrae al contrastar la consolidada doctrina constitucional con la fundamentación de la sentencia dictada en este caso, es que este tribunal ha </w:t>
      </w:r>
      <w:r>
        <w:lastRenderedPageBreak/>
        <w:t>introducido y mantiene una reciente y desviada tendencia, plasmada en sentencias que han alcanzado cierta notoriedad por el efecto anulatorio de sentencias de la Sala de lo Penal del Tribunal Supremo, en las que el Tribunal Constitucional se erige en máximo intérprete de la legalidad penal con suplantación de la función interpretativa atribuida al Tribunal Supremo acerca de los elementos que integran la parte objetiva del tipo de un delito, socavando así la jurisdicción de ese Alto Tribunal como órgano jurisdiccional superior en todos los órdenes y máxima autoridad jurisdiccional en la función de interpretar y aplicar la legislación vigente (arts. 117.3 y 123.1 CE).</w:t>
      </w:r>
    </w:p>
    <w:p w14:paraId="29365B38" w14:textId="77777777" w:rsidR="003754FE" w:rsidRDefault="003754FE" w:rsidP="003754FE">
      <w:pPr>
        <w:pStyle w:val="TextoNormal"/>
      </w:pPr>
    </w:p>
    <w:p w14:paraId="192776E8" w14:textId="77777777" w:rsidR="003754FE" w:rsidRDefault="003754FE" w:rsidP="003754FE">
      <w:pPr>
        <w:pStyle w:val="TextoNormal"/>
      </w:pPr>
      <w:r>
        <w:t>En vez de apartarse del consolidado parámetro de control constitucional, a fin de interpretar los elementos típicos del delito de prevaricación administrativa y sustituir de ese modo la interpretación del Tribunal Supremo de los conceptos penales, considero que este tribunal debería haber examinado el conjunto de los razonamientos esgrimidos en la sentencia recurrida, tanto en relación con el delito de prevaricación administrativa en abstracto, como su concurrencia en el caso concreto; concluyendo que la interpretación y aplicación llevada a cabo por los órganos judiciales del tipo penal de prevaricación administrativa es plenamente acorde con las exigencias del principio de legalidad.</w:t>
      </w:r>
    </w:p>
    <w:p w14:paraId="7747D5D0" w14:textId="77777777" w:rsidR="003754FE" w:rsidRDefault="003754FE" w:rsidP="003754FE">
      <w:pPr>
        <w:pStyle w:val="TextoNormal"/>
      </w:pPr>
    </w:p>
    <w:p w14:paraId="66AB2900" w14:textId="77777777" w:rsidR="003754FE" w:rsidRDefault="003754FE" w:rsidP="003754FE">
      <w:pPr>
        <w:pStyle w:val="TextoNormal"/>
      </w:pPr>
      <w:r>
        <w:t xml:space="preserve">5. </w:t>
      </w:r>
      <w:r w:rsidRPr="003754FE">
        <w:rPr>
          <w:i/>
        </w:rPr>
        <w:t>Consideración a efectos penales del concepto resolución en “asunto administrativo” de los acuerdos dictados en la elaboración de anteproyectos y proyectos de ley</w:t>
      </w:r>
    </w:p>
    <w:p w14:paraId="6D2B10EC" w14:textId="77777777" w:rsidR="003754FE" w:rsidRDefault="003754FE" w:rsidP="003754FE">
      <w:pPr>
        <w:pStyle w:val="TextoNormal"/>
      </w:pPr>
    </w:p>
    <w:p w14:paraId="61C45A6D" w14:textId="77777777" w:rsidR="003754FE" w:rsidRDefault="003754FE" w:rsidP="003754FE">
      <w:pPr>
        <w:pStyle w:val="TextoNormal"/>
      </w:pPr>
      <w:r>
        <w:t>Sentado lo anterior, que fija con toda claridad la argumentada calificación jurídica efectuada por el Tribunal Supremo, es el momento de plasmar las razones de mi disentimiento con las que sustentan la estimación parcial por el Pleno de este recurso de amparo.</w:t>
      </w:r>
    </w:p>
    <w:p w14:paraId="2C287683" w14:textId="77777777" w:rsidR="003754FE" w:rsidRDefault="003754FE" w:rsidP="003754FE">
      <w:pPr>
        <w:pStyle w:val="TextoNormal"/>
      </w:pPr>
    </w:p>
    <w:p w14:paraId="28F2CE10" w14:textId="77777777" w:rsidR="003754FE" w:rsidRDefault="003754FE" w:rsidP="003754FE">
      <w:pPr>
        <w:pStyle w:val="TextoNormal"/>
      </w:pPr>
      <w:r>
        <w:t>Tal como manifesté en el voto particular a la STC 93/2024, junto a los magistrados don Ricardo Enríquez Sancho y don Enrique Arnaldo Alcubilla, la idea que informa gran parte de la sentencia es que la actividad previa a la remisión por el Gobierno de Andalucía a su Parlamento de los correspondientes proyectos de ley de presupuestos es una actividad que, como inherente a la iniciativa legislativa que le corresponde, se integra en esta y no puede ser objeto de control jurídico. Niega, en consecuencia, que toda la actividad tendente a la elaboración de los anteproyectos de ley, que luego se convertirán en proyectos remitidos al Parlamento, pueda considerarse integrante de un procedimiento administrativo y, por consiguiente, que las decisiones que se adoptan en ese ámbito puedan calificarse como resoluciones recaídas en un “asunto administrativo”, que es el término que emplea el art. 404 CP y presupuesto del que parten las sentencias de instancia y casación.</w:t>
      </w:r>
    </w:p>
    <w:p w14:paraId="4C64C91E" w14:textId="77777777" w:rsidR="003754FE" w:rsidRDefault="003754FE" w:rsidP="003754FE">
      <w:pPr>
        <w:pStyle w:val="TextoNormal"/>
      </w:pPr>
    </w:p>
    <w:p w14:paraId="7B6442B5" w14:textId="77777777" w:rsidR="003754FE" w:rsidRDefault="003754FE" w:rsidP="003754FE">
      <w:pPr>
        <w:pStyle w:val="TextoNormal"/>
      </w:pPr>
      <w:r>
        <w:t>Es evidente que las sentencias impugnadas no tienen por objeto, ni podrían tener, la constitucionalidad de las leyes de presupuestos aprobadas por el Parlamento de Andalucía en los años 2001 a 2009, sino, por lo que ahora interesa, los trabajos preparatorios de esas leyes, y esa actividad prelegislativa tiene, a mi juicio, inequívoca naturaleza administrativa. Así se desprende de lo dispuesto en los arts. 26 y siguientes de la Ley 50/1997, del Gobierno, de los arts. 127 y siguientes de la Ley 39/2015, del procedimiento administrativo común, y hasta de la STC 55/2018, de 24 de mayo, que resolvió el recurso de inconstitucionalidad interpuesto por el Gobierno de la Generalitat de Cataluña, entre otros, contra esos artículos de esta última ley.</w:t>
      </w:r>
    </w:p>
    <w:p w14:paraId="10FEC745" w14:textId="77777777" w:rsidR="003754FE" w:rsidRDefault="003754FE" w:rsidP="003754FE">
      <w:pPr>
        <w:pStyle w:val="TextoNormal"/>
      </w:pPr>
    </w:p>
    <w:p w14:paraId="1B028364" w14:textId="77777777" w:rsidR="003754FE" w:rsidRDefault="003754FE" w:rsidP="003754FE">
      <w:pPr>
        <w:pStyle w:val="TextoNormal"/>
      </w:pPr>
      <w:r>
        <w:lastRenderedPageBreak/>
        <w:t>La Ley 50/1997, del Gobierno, contiene una extensa regulación de cómo deben tramitarse los anteproyectos de ley antes de su elevación al Consejo de Ministros y de la remisión por este del proyecto de ley subsiguiente al Parlamento. Es cierto que esta ley se refiere al Gobierno de la Nación y no a los de las respectivas comunidades autónomas, pero sería absurdo sostener que estos trabajos preparatorios tienen una doble naturaleza, “administrativa” cuando los lleva a cabo la administración del Estado, y “no administrativa” o “legislativa” cuando se trata de las comunidades autónomas.</w:t>
      </w:r>
    </w:p>
    <w:p w14:paraId="60061A6D" w14:textId="77777777" w:rsidR="003754FE" w:rsidRDefault="003754FE" w:rsidP="003754FE">
      <w:pPr>
        <w:pStyle w:val="TextoNormal"/>
      </w:pPr>
    </w:p>
    <w:p w14:paraId="3B3EB49D" w14:textId="77777777" w:rsidR="003754FE" w:rsidRDefault="003754FE" w:rsidP="003754FE">
      <w:pPr>
        <w:pStyle w:val="TextoNormal"/>
      </w:pPr>
      <w:r>
        <w:t>La Ley 39/2015, del procedimiento administrativo común, sí se refiere a todas las administraciones públicas, también a las comunidades autónomas, remitiendo a lo que dispongan sus estatutos de autonomía en cuanto a los órganos a quien corresponde la iniciativa legislativa, pero estableciendo, con la naturaleza de “bases del régimen jurídico de las administraciones públicas” y “procedimiento administrativo común” (art. 149.1.18 CE), algunas indicaciones generales de buena regulación.</w:t>
      </w:r>
    </w:p>
    <w:p w14:paraId="77A803D9" w14:textId="77777777" w:rsidR="003754FE" w:rsidRDefault="003754FE" w:rsidP="003754FE">
      <w:pPr>
        <w:pStyle w:val="TextoNormal"/>
      </w:pPr>
    </w:p>
    <w:p w14:paraId="5C13DA24" w14:textId="77777777" w:rsidR="003754FE" w:rsidRDefault="003754FE" w:rsidP="003754FE">
      <w:pPr>
        <w:pStyle w:val="TextoNormal"/>
      </w:pPr>
      <w:r>
        <w:t>Estos preceptos fueron impugnados, como se ha adelantado, por el Gobierno de la Generalitat de Cataluña y la STC 55/2018 estimó el recurso, pero no porque esa actividad previa a la remisión de un proyecto de ley a las Cortes Generales o a las diferentes Asambleas Legislativas autonómicas se integrara en la actividad legislativa, sino porque se trata de una actividad propia de las comunidades autónomas (“organización de sus instituciones de autogobierno”: art. 148.1.1 CE) y el Estatuto de Autonomía de Cataluña (arts. 150 y 159) reconocía a la Generalitat competencia para regular su propia organización y procedimiento, por más que en algunos casos esas directrices contenidas en el art. 129 de la Ley 39/2015 fueran coincidentes con las desarrolladas por la legislación autonómica.</w:t>
      </w:r>
    </w:p>
    <w:p w14:paraId="422D5AC8" w14:textId="77777777" w:rsidR="003754FE" w:rsidRDefault="003754FE" w:rsidP="003754FE">
      <w:pPr>
        <w:pStyle w:val="TextoNormal"/>
      </w:pPr>
    </w:p>
    <w:p w14:paraId="3F51522D" w14:textId="77777777" w:rsidR="003754FE" w:rsidRDefault="003754FE" w:rsidP="003754FE">
      <w:pPr>
        <w:pStyle w:val="TextoNormal"/>
      </w:pPr>
      <w:r>
        <w:t>Esa actividad que el Tribunal Supremo llama “prelegislativa” es, para la STC 55/2018, propia de un procedimiento administrativo, aunque sobre ella el legislador estatal no pueda intervenir por la vía del art. 149.1.18 CE. El Estado no puede regularla bajo el título del procedimiento administrativo “común” (art. 149.1.18 CE), pero es “procedimiento administrativo”. Por eso tras la STC 55/2018 esas normas siguen siendo de aplicación al procedimiento prelegislativo estatal. Una cosa es que la jurisdicción contencioso-administrativa venga declarando que esa actividad no constituye un acto impugnable ante ella y otra que, como dice la sentencia de la que discrepo, esa actividad “no pued[a] ser objeto de control por ningún órgano judicial” [FJ 3.5 A) a)].</w:t>
      </w:r>
    </w:p>
    <w:p w14:paraId="4A5623E4" w14:textId="77777777" w:rsidR="003754FE" w:rsidRDefault="003754FE" w:rsidP="003754FE">
      <w:pPr>
        <w:pStyle w:val="TextoNormal"/>
      </w:pPr>
    </w:p>
    <w:p w14:paraId="04C7C35A" w14:textId="77777777" w:rsidR="003754FE" w:rsidRDefault="003754FE" w:rsidP="003754FE">
      <w:pPr>
        <w:pStyle w:val="TextoNormal"/>
      </w:pPr>
      <w:r>
        <w:t xml:space="preserve">Como apuntamos en el voto particular mencionado, el Tribunal citó de manera desviada el ATC 135/2004 (aludido en el fundamento jurídico 3.4). Este auto inadmitió la impugnación del Gobierno de la Nación contra el proyecto de reforma del Estatuto de Autonomía del País Vasco aprobado por el Gobierno de esa comunidad (el llamado “Plan Ibarretxe”) y contra la resolución de la mesa del Parlamento autonómico admitiendo a trámite esa propuesta. El Gobierno impugnante alegaba que el contenido de la propuesta era abiertamente inconstitucional, y que por tanto la propuesta solo podía tramitarse como un procedimiento de reforma de la Constitución, y no como un procedimiento de reforma del Estatuto de Autonomía, como había hecho el Parlamento autonómico. Se sostuvo entonces que ese proyecto de reforma no podía ser objeto de control por este tribunal, porque su efecto era solamente abrir un procedimiento parlamentario cuyo resultado era incierto. De su tramitación podía resultar una norma o no resultar ninguna, y en el primer caso esa norma podía ser </w:t>
      </w:r>
      <w:r>
        <w:lastRenderedPageBreak/>
        <w:t>contraria o conforme a la Constitución. Por lo tanto, no podía este tribunal anular la propuesta de reforma ni impedir su debate.</w:t>
      </w:r>
    </w:p>
    <w:p w14:paraId="10B986D2" w14:textId="77777777" w:rsidR="003754FE" w:rsidRDefault="003754FE" w:rsidP="003754FE">
      <w:pPr>
        <w:pStyle w:val="TextoNormal"/>
      </w:pPr>
    </w:p>
    <w:p w14:paraId="313EA371" w14:textId="77777777" w:rsidR="003754FE" w:rsidRDefault="003754FE" w:rsidP="003754FE">
      <w:pPr>
        <w:pStyle w:val="TextoNormal"/>
      </w:pPr>
      <w:r>
        <w:t xml:space="preserve">Pero esta imposibilidad lógica de controlar vicios </w:t>
      </w:r>
      <w:r w:rsidRPr="003754FE">
        <w:rPr>
          <w:i/>
        </w:rPr>
        <w:t>hipotéticos</w:t>
      </w:r>
      <w:r>
        <w:t xml:space="preserve"> contenidos en proyectos de normas (o actos) que podrían suponer la anulación del producto final si no fueran corregidos, nada tiene que ver con la posibilidad de examinar si en la elaboración de un anteproyecto de ley (que es un acto previo y diferente a la “decisión de enviar a las Cortes un proyecto de ley” como acto de gobierno conforme a la STC 45/1990), la autoridad responsable ha incurrid</w:t>
      </w:r>
      <w:r w:rsidRPr="003754FE">
        <w:rPr>
          <w:i/>
        </w:rPr>
        <w:t>o efectivamen</w:t>
      </w:r>
      <w:r>
        <w:t>te en un delito de prevaricación del art. 404 CP.</w:t>
      </w:r>
    </w:p>
    <w:p w14:paraId="61B2137D" w14:textId="77777777" w:rsidR="003754FE" w:rsidRDefault="003754FE" w:rsidP="003754FE">
      <w:pPr>
        <w:pStyle w:val="TextoNormal"/>
      </w:pPr>
    </w:p>
    <w:p w14:paraId="78673AB1" w14:textId="77777777" w:rsidR="003754FE" w:rsidRDefault="003754FE" w:rsidP="003754FE">
      <w:pPr>
        <w:pStyle w:val="TextoNormal"/>
      </w:pPr>
      <w:r>
        <w:t>En abstracto, de la simple alteración de la partida presupuestaria que antes cobijaba los créditos concedidos al Instituto de Fomento de Andalucía (IFA, posteriormente Agencia de Innovación y Desarrollo de Andalucía: IDEA) e incluso de la ampliación de sus competencias, no cabe colegir el designio último de los que promovieron tal cambio, que consistía en eludir los controles ordinarios existentes hasta entonces para el otorgamiento de subvenciones. No es en el ámbito de la inconstitucionalidad de leyes de presupuestos donde se mueven las sentencias impugnadas, sino en el de la creación de un marco jurídico aparentemente neutro a cuyo amparo pudiera actuarse disponiendo de ingentes cantidades de dinero sin control efectivo alguno.</w:t>
      </w:r>
    </w:p>
    <w:p w14:paraId="5A683848" w14:textId="77777777" w:rsidR="003754FE" w:rsidRDefault="003754FE" w:rsidP="003754FE">
      <w:pPr>
        <w:pStyle w:val="TextoNormal"/>
      </w:pPr>
    </w:p>
    <w:p w14:paraId="6FCE8AD2" w14:textId="77777777" w:rsidR="003754FE" w:rsidRDefault="003754FE" w:rsidP="003754FE">
      <w:pPr>
        <w:pStyle w:val="TextoNormal"/>
      </w:pPr>
      <w:r>
        <w:t>Con refrendo en la regulación establecida en la Ley 39/2015 del procedimiento administrativo común (y por la doctrina sentada en la STC 55/2018, antes citada), solo cabe concluir que la actividad previa al ejercicio de la iniciativa legislativa es parte de un procedimiento administrativo.</w:t>
      </w:r>
    </w:p>
    <w:p w14:paraId="4FE71CBA" w14:textId="77777777" w:rsidR="003754FE" w:rsidRDefault="003754FE" w:rsidP="003754FE">
      <w:pPr>
        <w:pStyle w:val="TextoNormal"/>
      </w:pPr>
    </w:p>
    <w:p w14:paraId="40C10088" w14:textId="77777777" w:rsidR="003754FE" w:rsidRDefault="003754FE" w:rsidP="003754FE">
      <w:pPr>
        <w:pStyle w:val="TextoNormal"/>
      </w:pPr>
      <w:r>
        <w:t>Por ello no puedo compartir la consideración de que la deliberada vulneración de los tramites impuestos en la leyes de procedimiento con la finalidad de eludir los controles que las mismas establecen, pueda ampararse en la consideración de dichas conductas como actos de gobierno excluidos de todo control por parte de cualquier órgano jurisdiccional, incluso de su posible enjuiciamiento por la jurisdicción penal, lo que equivaldría a consagrar un ámbito de impunidad que es contrario a la Constitución.</w:t>
      </w:r>
    </w:p>
    <w:p w14:paraId="38A4BADF" w14:textId="77777777" w:rsidR="003754FE" w:rsidRDefault="003754FE" w:rsidP="003754FE">
      <w:pPr>
        <w:pStyle w:val="TextoNormal"/>
      </w:pPr>
    </w:p>
    <w:p w14:paraId="34240D3C" w14:textId="77777777" w:rsidR="003754FE" w:rsidRDefault="003754FE" w:rsidP="003754FE">
      <w:pPr>
        <w:pStyle w:val="TextoNormal"/>
      </w:pPr>
      <w:r>
        <w:t>Como señalamos en los votos particulares anteriores los actos prelegislativos son susceptibles de control penal, no cabe concluir que la interpretación efectuada por los órganos de la jurisdicción penal sea imprevisible.</w:t>
      </w:r>
    </w:p>
    <w:p w14:paraId="6C8A4110" w14:textId="77777777" w:rsidR="003754FE" w:rsidRDefault="003754FE" w:rsidP="003754FE">
      <w:pPr>
        <w:pStyle w:val="TextoNormal"/>
      </w:pPr>
    </w:p>
    <w:p w14:paraId="1DF46D7A" w14:textId="77777777" w:rsidR="003754FE" w:rsidRDefault="003754FE" w:rsidP="003754FE">
      <w:pPr>
        <w:pStyle w:val="TextoNormal"/>
      </w:pPr>
      <w:r>
        <w:t>6</w:t>
      </w:r>
      <w:r w:rsidRPr="003754FE">
        <w:rPr>
          <w:i/>
        </w:rPr>
        <w:t>. El incumplimiento de la normativa general sobre subvenciones puede considerarse “arbitraria” por la jurisdicción pen</w:t>
      </w:r>
      <w:r>
        <w:t>al</w:t>
      </w:r>
    </w:p>
    <w:p w14:paraId="5AA9B7F0" w14:textId="77777777" w:rsidR="003754FE" w:rsidRDefault="003754FE" w:rsidP="003754FE">
      <w:pPr>
        <w:pStyle w:val="TextoNormal"/>
      </w:pPr>
    </w:p>
    <w:p w14:paraId="40874A91" w14:textId="77777777" w:rsidR="003754FE" w:rsidRDefault="003754FE" w:rsidP="003754FE">
      <w:pPr>
        <w:pStyle w:val="TextoNormal"/>
      </w:pPr>
      <w:r>
        <w:t>En el fundamento jurídico 3.5, apartado A), se enjuicia la interpretación del concepto de arbitrariedad previsto en el art. 404 CP.</w:t>
      </w:r>
    </w:p>
    <w:p w14:paraId="5A751845" w14:textId="77777777" w:rsidR="003754FE" w:rsidRDefault="003754FE" w:rsidP="003754FE">
      <w:pPr>
        <w:pStyle w:val="TextoNormal"/>
      </w:pPr>
    </w:p>
    <w:p w14:paraId="187F4EAE" w14:textId="77777777" w:rsidR="003754FE" w:rsidRDefault="003754FE" w:rsidP="003754FE">
      <w:pPr>
        <w:pStyle w:val="TextoNormal"/>
      </w:pPr>
      <w:r>
        <w:t>Reitero que, sin duda alguna, la definición penal de este concepto corresponde a la Sala de lo Penal del Tribunal Supremo, cuya jurisprudencia identifica la arbitrariedad como ilegalidad patente, grosera, palmaria, clamorosa o flagrante, y señala como hechos relevantes de este caso los siguientes:</w:t>
      </w:r>
    </w:p>
    <w:p w14:paraId="23D2419F" w14:textId="77777777" w:rsidR="003754FE" w:rsidRDefault="003754FE" w:rsidP="003754FE">
      <w:pPr>
        <w:pStyle w:val="TextoNormal"/>
      </w:pPr>
    </w:p>
    <w:p w14:paraId="3E4B94C1" w14:textId="77777777" w:rsidR="003754FE" w:rsidRDefault="003754FE" w:rsidP="003754FE">
      <w:pPr>
        <w:pStyle w:val="TextoNormal"/>
      </w:pPr>
      <w:r>
        <w:lastRenderedPageBreak/>
        <w:t>(i) se cambió el sistema de financiación de las “ayudas sociolaborales” sin razón aparente;</w:t>
      </w:r>
    </w:p>
    <w:p w14:paraId="4B37A9D8" w14:textId="77777777" w:rsidR="003754FE" w:rsidRDefault="003754FE" w:rsidP="003754FE">
      <w:pPr>
        <w:pStyle w:val="TextoNormal"/>
      </w:pPr>
    </w:p>
    <w:p w14:paraId="7DC1E544" w14:textId="77777777" w:rsidR="003754FE" w:rsidRDefault="003754FE" w:rsidP="003754FE">
      <w:pPr>
        <w:pStyle w:val="TextoNormal"/>
      </w:pPr>
      <w:r>
        <w:t>(ii) se hizo y mantuvo ese cambio a pesar de las múltiples advertencias de la Intervención y los servicios jurídicos sobre las ilegalidades que se estaban produciendo, y</w:t>
      </w:r>
    </w:p>
    <w:p w14:paraId="22600F26" w14:textId="77777777" w:rsidR="003754FE" w:rsidRDefault="003754FE" w:rsidP="003754FE">
      <w:pPr>
        <w:pStyle w:val="TextoNormal"/>
      </w:pPr>
    </w:p>
    <w:p w14:paraId="4AB5351B" w14:textId="77777777" w:rsidR="003754FE" w:rsidRDefault="003754FE" w:rsidP="003754FE">
      <w:pPr>
        <w:pStyle w:val="TextoNormal"/>
      </w:pPr>
      <w:r>
        <w:t>(iii) la consecuencia real del cambio fue la falta de control y absoluta ilegalidad de la concesión de subvenciones.</w:t>
      </w:r>
    </w:p>
    <w:p w14:paraId="6D0AA758" w14:textId="77777777" w:rsidR="003754FE" w:rsidRDefault="003754FE" w:rsidP="003754FE">
      <w:pPr>
        <w:pStyle w:val="TextoNormal"/>
      </w:pPr>
    </w:p>
    <w:p w14:paraId="0277BF2C" w14:textId="77777777" w:rsidR="003754FE" w:rsidRDefault="003754FE" w:rsidP="003754FE">
      <w:pPr>
        <w:pStyle w:val="TextoNormal"/>
      </w:pPr>
      <w:r>
        <w:t>Por todo ello concluye que “[a] partir de estos hechos, dada la incontestable ilegalidad de las acciones llevadas a cabo y en atención a la finalidad directamente perseguida por los autores no cabe otra conclusión que la de afirmar la arbitrariedad e injusticia de las resoluciones objeto de enjuiciamiento” (sentencia del Tribunal Supremo, fundamento de Derecho 30, pág. 296).</w:t>
      </w:r>
    </w:p>
    <w:p w14:paraId="25EEE631" w14:textId="77777777" w:rsidR="003754FE" w:rsidRDefault="003754FE" w:rsidP="003754FE">
      <w:pPr>
        <w:pStyle w:val="TextoNormal"/>
      </w:pPr>
    </w:p>
    <w:p w14:paraId="5FBC67D1" w14:textId="77777777" w:rsidR="003754FE" w:rsidRDefault="003754FE" w:rsidP="003754FE">
      <w:pPr>
        <w:pStyle w:val="TextoNormal"/>
      </w:pPr>
      <w:r>
        <w:t>Estas razones no han merecido atención en ninguna de las sentencias que han resuelto los recursos de amparo de los ERE que insisten en la idea de que la aprobación parlamentaria produce un efecto sanador de todos los vicios declarados probados por la jurisdicción penal denunciados, que las resoluciones de las que discrepo asocian a la imprevisibilidad de la interpretación llevada a cabo por los órganos judiciales.</w:t>
      </w:r>
    </w:p>
    <w:p w14:paraId="282A655D" w14:textId="77777777" w:rsidR="003754FE" w:rsidRDefault="003754FE" w:rsidP="003754FE">
      <w:pPr>
        <w:pStyle w:val="TextoNormal"/>
      </w:pPr>
    </w:p>
    <w:p w14:paraId="196A2C01" w14:textId="77777777" w:rsidR="003754FE" w:rsidRDefault="003754FE" w:rsidP="003754FE">
      <w:pPr>
        <w:pStyle w:val="TextoNormal"/>
      </w:pPr>
      <w:r>
        <w:t>Reitero que el fundamento de las condenas por prevaricación es la ideación y puesta en práctica por los diversos recurrentes de un plan dirigido a eludir los requisitos legalmente exigibles para la concesión de subvenciones. Atendido que, con arreglo a la Ley 5/1983, de la hacienda pública de Andalucía, coincidente con la Ley 38/2003, general de subvenciones del Estado, las subvenciones y ayudas debían otorgarse con arreglo a unos principios de publicidad, libre concurrencia y objetividad, y visto que el incumplimiento de estos principios en la concesión de ayudas estaba produciendo muchos reparos por parte de la Intervención, los recurrentes, como solución para eludir esos controles, incluyeron una nueva partida en los presupuestos, titulada de manera indeterminada como “relaciones laborales” y mediante transferencias de crédito al IFA/IDEA, lograron permitir la disposición de los fondos para sus propios fines, eludiendo de este modo los controles exigibles con arreglo a una legalidad no derogada.</w:t>
      </w:r>
    </w:p>
    <w:p w14:paraId="0624F9E5" w14:textId="77777777" w:rsidR="003754FE" w:rsidRDefault="003754FE" w:rsidP="003754FE">
      <w:pPr>
        <w:pStyle w:val="TextoNormal"/>
      </w:pPr>
    </w:p>
    <w:p w14:paraId="57B354A0" w14:textId="77777777" w:rsidR="003754FE" w:rsidRDefault="003754FE" w:rsidP="003754FE">
      <w:pPr>
        <w:pStyle w:val="TextoNormal"/>
      </w:pPr>
      <w:r>
        <w:t>Como indicamos en los anteriores votos particulares, las leyes de presupuestos hubieran podido derogar la legalidad vigente o desplazarla para la concesión de esas ayudas, como hizo luego de modo revelador el Decreto-ley 4/2012, en la llamada “tercera etapa” de los ERE [sentencia del Tribunal Supremo, fundamento de Derecho 1, “Resumen de los hechos probados”, pág. 111]. El art. 1 de ese Decreto-ley estableció expresamente que “a estas ayudas sociolaborales no les es de aplicación la normativa general sobre subvenciones públicas”, lo que evidencia que el criterio seguido en años anteriores de eludir los trámites impuestos por esa “normativa general sobre subvenciones públicas” no se ajustaba a la legalidad vigente.</w:t>
      </w:r>
    </w:p>
    <w:p w14:paraId="5DCF03AE" w14:textId="77777777" w:rsidR="003754FE" w:rsidRDefault="003754FE" w:rsidP="003754FE">
      <w:pPr>
        <w:pStyle w:val="TextoNormal"/>
      </w:pPr>
    </w:p>
    <w:p w14:paraId="07DBC161" w14:textId="77777777" w:rsidR="003754FE" w:rsidRDefault="003754FE" w:rsidP="003754FE">
      <w:pPr>
        <w:pStyle w:val="TextoNormal"/>
      </w:pPr>
      <w:r>
        <w:t xml:space="preserve">Dadas la manifiesta y prolongada en el tiempo ilegalidad de las conductas y la finalidad perseguida con las mismas, resulta inasumible la conclusión de que la sanción penal como delito continuado de prevaricación pudiera considerarse imprevisible. </w:t>
      </w:r>
    </w:p>
    <w:p w14:paraId="67E288CE" w14:textId="77777777" w:rsidR="003754FE" w:rsidRDefault="003754FE" w:rsidP="003754FE">
      <w:pPr>
        <w:pStyle w:val="TextoNormal"/>
      </w:pPr>
    </w:p>
    <w:p w14:paraId="40E20465" w14:textId="77777777" w:rsidR="003754FE" w:rsidRDefault="003754FE" w:rsidP="003754FE">
      <w:pPr>
        <w:pStyle w:val="TextoNormal"/>
      </w:pPr>
      <w:r>
        <w:lastRenderedPageBreak/>
        <w:t>7</w:t>
      </w:r>
      <w:r w:rsidRPr="003754FE">
        <w:rPr>
          <w:i/>
        </w:rPr>
        <w:t>. Interpretación de las leyes de presupuestos efectuada por las sentencias recurrid</w:t>
      </w:r>
      <w:r>
        <w:t>as</w:t>
      </w:r>
    </w:p>
    <w:p w14:paraId="67C64FF0" w14:textId="77777777" w:rsidR="003754FE" w:rsidRDefault="003754FE" w:rsidP="003754FE">
      <w:pPr>
        <w:pStyle w:val="TextoNormal"/>
      </w:pPr>
    </w:p>
    <w:p w14:paraId="5B2A9C63" w14:textId="77777777" w:rsidR="003754FE" w:rsidRDefault="003754FE" w:rsidP="003754FE">
      <w:pPr>
        <w:pStyle w:val="TextoNormal"/>
      </w:pPr>
      <w:r>
        <w:t>Esta sentencia al igual que las anteriores, insiste en la idea, con profusa remisión a la citada STC 93/2024, de que las leyes de presupuestos regularon el modo de concesión de estas ayudas. Por eso diserta ampliamente sobre las “características de nuestra democracia constitucional y parlamentaria” (FJ 3.4), la naturaleza de la ley de presupuestos como “verdadera ley” (FJ 3.4), la posibilidad de modificar las leyes vigentes (FJ 3.5) y el monopolio de control de constitucionalidad de las leyes por el Tribunal Constitucional (FJ 3.5), para terminar concluyendo que las sentencias recurridas han “priva[do] de toda relevancia a la aprobación parlamentaria de la ley” (FJ 3.5) de presupuestos “que tiene la misma naturaleza normativa que el resto de las leyes” (FJ 3.5).</w:t>
      </w:r>
    </w:p>
    <w:p w14:paraId="7D702408" w14:textId="77777777" w:rsidR="003754FE" w:rsidRDefault="003754FE" w:rsidP="003754FE">
      <w:pPr>
        <w:pStyle w:val="TextoNormal"/>
      </w:pPr>
    </w:p>
    <w:p w14:paraId="1F97E8C6" w14:textId="77777777" w:rsidR="003754FE" w:rsidRDefault="003754FE" w:rsidP="003754FE">
      <w:pPr>
        <w:pStyle w:val="TextoNormal"/>
      </w:pPr>
      <w:r>
        <w:t>La (supuesta) modificación legislativa se habría producido con la calificación de las ayudas sociolaborales como “transferencias de financiación”, según reconocen las sentencias de las que discrepo. La modificación se habría producido en las “memorias presupuestarias, informes económico-financieros y fichas del programa 31L” cuyo contenido extracta la sentencia del Tribunal Supremo (fundamento de Derecho 11, págs. 193-196), transcrita en este punto por la sentencia de la que disiento.</w:t>
      </w:r>
    </w:p>
    <w:p w14:paraId="52FF51BC" w14:textId="77777777" w:rsidR="003754FE" w:rsidRDefault="003754FE" w:rsidP="003754FE">
      <w:pPr>
        <w:pStyle w:val="TextoNormal"/>
      </w:pPr>
    </w:p>
    <w:p w14:paraId="4645AAF6" w14:textId="77777777" w:rsidR="003754FE" w:rsidRDefault="003754FE" w:rsidP="003754FE">
      <w:pPr>
        <w:pStyle w:val="TextoNormal"/>
      </w:pPr>
      <w:r>
        <w:t>Pues bien, tanto la Audiencia Provincial de Sevilla como el Tribunal Supremo niegan razonadamente que esa calificación tuviera eficacia normativa y vinculante y habilitara la exclusión de los controles propios de las subvenciones.</w:t>
      </w:r>
    </w:p>
    <w:p w14:paraId="4D12C87B" w14:textId="77777777" w:rsidR="003754FE" w:rsidRDefault="003754FE" w:rsidP="003754FE">
      <w:pPr>
        <w:pStyle w:val="TextoNormal"/>
      </w:pPr>
    </w:p>
    <w:p w14:paraId="1D38BA85" w14:textId="77777777" w:rsidR="003754FE" w:rsidRDefault="003754FE" w:rsidP="003754FE">
      <w:pPr>
        <w:pStyle w:val="TextoNormal"/>
      </w:pPr>
      <w:r>
        <w:t>La sentencia de instancia lo declara en el fundamento de Derecho 15 (aludido en la sentencia de casación en el fundamento 23.1, pág. 256), que cita y reproduce el art. 129.3 del Reglamento del Parlamento de Andalucía, que dice así:</w:t>
      </w:r>
    </w:p>
    <w:p w14:paraId="69208963" w14:textId="77777777" w:rsidR="003754FE" w:rsidRDefault="003754FE" w:rsidP="003754FE">
      <w:pPr>
        <w:pStyle w:val="TextoNormal"/>
      </w:pPr>
    </w:p>
    <w:p w14:paraId="195D188D" w14:textId="77777777" w:rsidR="003754FE" w:rsidRDefault="003754FE" w:rsidP="003754FE">
      <w:pPr>
        <w:pStyle w:val="TextoNormal"/>
      </w:pPr>
      <w:r>
        <w:t>“El debate del presupuesto se referirá al articulado y al estado de autorización de gastos</w:t>
      </w:r>
      <w:r w:rsidRPr="003754FE">
        <w:rPr>
          <w:i/>
        </w:rPr>
        <w:t>. Todo ello sin perjuicio del estudio de otros documentos que deban acompañar</w:t>
      </w:r>
      <w:r>
        <w:t>lo”.</w:t>
      </w:r>
    </w:p>
    <w:p w14:paraId="0AECE75B" w14:textId="77777777" w:rsidR="003754FE" w:rsidRDefault="003754FE" w:rsidP="003754FE">
      <w:pPr>
        <w:pStyle w:val="TextoNormal"/>
      </w:pPr>
    </w:p>
    <w:p w14:paraId="5C6DE461" w14:textId="77777777" w:rsidR="003754FE" w:rsidRDefault="003754FE" w:rsidP="003754FE">
      <w:pPr>
        <w:pStyle w:val="TextoNormal"/>
      </w:pPr>
      <w:r>
        <w:t>Un precepto que lleva a la Audiencia Provincial a concluir que “los únicos documentos objeto de debate, y por tanto de aprobación parlamentaria, son el texto articulado de la ley y los estados de gastos de cada uno de los entes públicos de la comunidad autónoma. Sin que el resto de los documentos que, como documentación anexa, acompañan al proyecto de presupuesto, sean objeto de aprobación por el Parlamento</w:t>
      </w:r>
      <w:r w:rsidRPr="003754FE">
        <w:rPr>
          <w:i/>
        </w:rPr>
        <w:t>, ni, en consecuencia, adquieran fuerza de l</w:t>
      </w:r>
      <w:r>
        <w:t>ey”.</w:t>
      </w:r>
    </w:p>
    <w:p w14:paraId="58A65A04" w14:textId="77777777" w:rsidR="003754FE" w:rsidRDefault="003754FE" w:rsidP="003754FE">
      <w:pPr>
        <w:pStyle w:val="TextoNormal"/>
      </w:pPr>
    </w:p>
    <w:p w14:paraId="6C3D8FE7" w14:textId="77777777" w:rsidR="003754FE" w:rsidRDefault="003754FE" w:rsidP="003754FE">
      <w:pPr>
        <w:pStyle w:val="TextoNormal"/>
      </w:pPr>
      <w:r>
        <w:t>Por su parte, la sentencia de casación es igualmente concluyente: “ninguna de las leyes de presupuestos aprobadas modificó el régimen jurídico aplicable a las subvenciones” (fundamento de Derecho 23.3, pág. 262); las leyes de presupuestos “habilitaron unos créditos presupuestarios” pero no aprobaron “la forma de ejecución del gasto” ni su “concesión y pago eludiendo los requisitos y controles establecidos en la normativa de subvenciones” (fundamento 11.2, págs. 189-190).</w:t>
      </w:r>
    </w:p>
    <w:p w14:paraId="2BA91039" w14:textId="77777777" w:rsidR="003754FE" w:rsidRDefault="003754FE" w:rsidP="003754FE">
      <w:pPr>
        <w:pStyle w:val="TextoNormal"/>
      </w:pPr>
    </w:p>
    <w:p w14:paraId="5BE23E97" w14:textId="77777777" w:rsidR="003754FE" w:rsidRDefault="003754FE" w:rsidP="003754FE">
      <w:pPr>
        <w:pStyle w:val="TextoNormal"/>
      </w:pPr>
      <w:r>
        <w:t xml:space="preserve">En lugar de detenerse en estos estos razonamientos, como corresponde a un recurso de amparo que debe examinar la razonabilidad de la interpretación efectuada por las sentencias recurridas, la sentencia mayoritaria cambia los términos del debate, lo que la lleva a concluir que “el fundamento de la condena parte de una determinada comprensión de las relaciones </w:t>
      </w:r>
      <w:r>
        <w:lastRenderedPageBreak/>
        <w:t>entre el Ejecutivo autonómico y su Parlamento que trasciende del ámbito de la legalidad y se adentra en el plano de la constitucionalidad” (FJ 3.4).</w:t>
      </w:r>
    </w:p>
    <w:p w14:paraId="2CB17A41" w14:textId="77777777" w:rsidR="003754FE" w:rsidRDefault="003754FE" w:rsidP="003754FE">
      <w:pPr>
        <w:pStyle w:val="TextoNormal"/>
      </w:pPr>
    </w:p>
    <w:p w14:paraId="0B363CD8" w14:textId="77777777" w:rsidR="003754FE" w:rsidRDefault="003754FE" w:rsidP="003754FE">
      <w:pPr>
        <w:pStyle w:val="TextoNormal"/>
      </w:pPr>
      <w:r>
        <w:t>Como también apuntamos en votos particulares precedentes, lo que era objeto de discusión ante la jurisdicción penal, y esta negó motivadamente, no era “el carácter formal o material” de la ley de presupuestos, cuestión hace tiempo “superada” como reconoce la sentencia citando la STC 72/1992, de 13 de mayo, sino si la “documentación anexa” a la ley de presupuestos, donde se contiene ese cambio de calificación de créditos, supuso efectivamente una modificación, derogación o desplazamiento de la normativa general sobre subvenciones.</w:t>
      </w:r>
    </w:p>
    <w:p w14:paraId="47F17ED6" w14:textId="77777777" w:rsidR="003754FE" w:rsidRDefault="003754FE" w:rsidP="003754FE">
      <w:pPr>
        <w:pStyle w:val="TextoNormal"/>
      </w:pPr>
    </w:p>
    <w:p w14:paraId="6EA32E4B" w14:textId="77777777" w:rsidR="003754FE" w:rsidRDefault="003754FE" w:rsidP="003754FE">
      <w:pPr>
        <w:pStyle w:val="TextoNormal"/>
      </w:pPr>
      <w:r>
        <w:t>La lectura del análisis de la “documentación anexa” al proyecto de ley de presupuestos ofrecido por las págs. 193-196 de la sentencia del Tribunal Supremo, transcritas en el fundamento jurídico 2.1 c) de la sentencia de amparo, no permite sostener esta conclusión. Antes, al contrario, estas “fichas”, “memorias” y “documentación anexa al proyecto de presupuestos” llaman varias veces “subvenciones” a las “ayudas sociolaborales” del programa 31L, de modo que difícilmente puede sostenerse que esa “documentación anexa” autorizara la elusión del régimen de estas.</w:t>
      </w:r>
    </w:p>
    <w:p w14:paraId="33ED01A9" w14:textId="77777777" w:rsidR="003754FE" w:rsidRDefault="003754FE" w:rsidP="003754FE">
      <w:pPr>
        <w:pStyle w:val="TextoNormal"/>
      </w:pPr>
    </w:p>
    <w:p w14:paraId="1FB4FCB9" w14:textId="77777777" w:rsidR="003754FE" w:rsidRDefault="003754FE" w:rsidP="003754FE">
      <w:pPr>
        <w:pStyle w:val="TextoNormal"/>
      </w:pPr>
      <w:r>
        <w:t>Además, la conclusión de las sentencias recurridas sobre la ausencia de valor legal de esa “documentación anexa” a las leyes de presupuestos no vulnera el derecho a la legalidad sancionadora del art. 25.1 CE, pues viene corroborada por importantes y evidentes argumentos constitucionales.</w:t>
      </w:r>
    </w:p>
    <w:p w14:paraId="040EF4B1" w14:textId="77777777" w:rsidR="003754FE" w:rsidRDefault="003754FE" w:rsidP="003754FE">
      <w:pPr>
        <w:pStyle w:val="TextoNormal"/>
      </w:pPr>
    </w:p>
    <w:p w14:paraId="675E69BD" w14:textId="77777777" w:rsidR="003754FE" w:rsidRDefault="003754FE" w:rsidP="003754FE">
      <w:pPr>
        <w:pStyle w:val="TextoNormal"/>
      </w:pPr>
      <w:r>
        <w:t>En primer lugar, esa “documentación anexa” no está publicada, ni se publica conjuntamente con las leyes de presupuestos, lo que ya de por sí impide otorgarle valor normativo alguno por aplicación de la máxima del art. 9.3 CE: “La Constitución garantiza […] la publicidad de las normas”. Si no hay publicidad, no puede haber “norma” vinculante, ni mucho menos “verdadera ley”, como asume la mayoría.</w:t>
      </w:r>
    </w:p>
    <w:p w14:paraId="4C9546E4" w14:textId="77777777" w:rsidR="003754FE" w:rsidRDefault="003754FE" w:rsidP="003754FE">
      <w:pPr>
        <w:pStyle w:val="TextoNormal"/>
      </w:pPr>
    </w:p>
    <w:p w14:paraId="7EAD8CF8" w14:textId="77777777" w:rsidR="003754FE" w:rsidRDefault="003754FE" w:rsidP="003754FE">
      <w:pPr>
        <w:pStyle w:val="TextoNormal"/>
      </w:pPr>
      <w:r>
        <w:t xml:space="preserve">En segundo lugar, la diferenciación conceptual entre el anteproyecto o proyecto de ley de presupuestos, por una parte, y su “documentación anexa”, por otra, viene corroborada por otras normas. No solo el art. 129.3 del Reglamento del Parlamento de Andalucía, que es citado por la sentencia de la Audiencia Provincial de Sevilla en el pasaje antes transcrito (idéntico además a los arts. 134.2 del Reglamento del Congreso de los Diputados y 150.1 del Reglamento del Senado), sino también los artículos, parcialmente transcritos </w:t>
      </w:r>
      <w:r w:rsidRPr="003754FE">
        <w:rPr>
          <w:i/>
        </w:rPr>
        <w:t>supra</w:t>
      </w:r>
      <w:r>
        <w:t xml:space="preserve">, 34.5 y 35 de la Ley 5/1983, de hacienda pública de Andalucía (vigente en la fecha de los hechos) y el art. 37 de la Ley 47/2003, general presupuestaria del Estado (LGP), igualmente citados en la sentencia de instancia (fundamento de Derecho 15). Por ejemplo, según el citado art. 37 LGP, al “proyecto de Ley de Presupuestos Generales del Estado, </w:t>
      </w:r>
      <w:r w:rsidRPr="003754FE">
        <w:rPr>
          <w:i/>
        </w:rPr>
        <w:t>integrado por el articulado con sus anexos y los estados de ingresos y de gastos</w:t>
      </w:r>
      <w:r>
        <w:t>”, “se acompañará” cierta “</w:t>
      </w:r>
      <w:r w:rsidRPr="003754FE">
        <w:rPr>
          <w:i/>
        </w:rPr>
        <w:t>documentación complementaria</w:t>
      </w:r>
      <w:r>
        <w:t>”, que incluye, entre otras, “</w:t>
      </w:r>
      <w:r w:rsidRPr="003754FE">
        <w:rPr>
          <w:i/>
        </w:rPr>
        <w:t>[l]as memorias</w:t>
      </w:r>
      <w:r>
        <w:t xml:space="preserve"> descriptivas de los programas de gasto y sus objetivos anuales”. De la misma manera, el art. 35 de la Ley 5/1983 establecía que “[e]l proyecto de ley de presupuestos </w:t>
      </w:r>
      <w:r w:rsidRPr="003754FE">
        <w:rPr>
          <w:i/>
        </w:rPr>
        <w:t>y la documentación anexa</w:t>
      </w:r>
      <w:r>
        <w:t xml:space="preserve"> se remitirán al Parlamento” al menos dos meses antes de la expiración del anterior. Todo proyecto de ley del Gobierno va acompañado de cierta documentación (cfr. art. 88 CE y art. 26 de la Ley 50/1997, del Gobierno), pero no por ello esa documentación adquiere el rango y fuerza de la ley una vez aprobada esta.</w:t>
      </w:r>
    </w:p>
    <w:p w14:paraId="78888ACD" w14:textId="77777777" w:rsidR="003754FE" w:rsidRDefault="003754FE" w:rsidP="003754FE">
      <w:pPr>
        <w:pStyle w:val="TextoNormal"/>
      </w:pPr>
    </w:p>
    <w:p w14:paraId="011672DD" w14:textId="77777777" w:rsidR="003754FE" w:rsidRDefault="003754FE" w:rsidP="003754FE">
      <w:pPr>
        <w:pStyle w:val="TextoNormal"/>
      </w:pPr>
      <w:r>
        <w:t>En tercer lugar, nuestra doctrina también ha reconocido la naturaleza no normativa de las memorias y fichas presupuestarias (no publicadas): “las memorias de los presupuestos […] en modo alguno pudieron adquirir vigencia con la entrada en vigor de las leyes de presupuestos impugnadas; en realidad, son algo externo o ajeno a las mismas, meras previsiones hipotéticas” (STC 63/1986, de 21 de mayo, FJ 8).</w:t>
      </w:r>
    </w:p>
    <w:p w14:paraId="41C9C315" w14:textId="77777777" w:rsidR="003754FE" w:rsidRDefault="003754FE" w:rsidP="003754FE">
      <w:pPr>
        <w:pStyle w:val="TextoNormal"/>
      </w:pPr>
    </w:p>
    <w:p w14:paraId="191895F1" w14:textId="77777777" w:rsidR="003754FE" w:rsidRDefault="003754FE" w:rsidP="003754FE">
      <w:pPr>
        <w:pStyle w:val="TextoNormal"/>
      </w:pPr>
      <w:r>
        <w:t>Finalmente, el ya citado art. 1 del Decreto-ley 4/2012 excluyó expresamente la aplicación de la normativa general de subvenciones, lo que evidencia, como ya he señalado, que las leyes de presupuestos anteriores no habían excluido la aplicación de esa normativa general.</w:t>
      </w:r>
    </w:p>
    <w:p w14:paraId="4076E435" w14:textId="77777777" w:rsidR="003754FE" w:rsidRDefault="003754FE" w:rsidP="003754FE">
      <w:pPr>
        <w:pStyle w:val="TextoNormal"/>
      </w:pPr>
    </w:p>
    <w:p w14:paraId="56A94395" w14:textId="77777777" w:rsidR="003754FE" w:rsidRDefault="003754FE" w:rsidP="003754FE">
      <w:pPr>
        <w:pStyle w:val="TextoNormal"/>
      </w:pPr>
      <w:r>
        <w:t>En cuanto a las modificaciones presupuestarias producidas en los años 2000, 2001 y 2002, por las mismas razones que entiendo que las leyes de presupuestos que incluyeron desde el año 2002 la partida 31L no sanaron el vicio que arrastraban en cuanto a su oculta finalidad de eludir los controles previos de la Intervención, tampoco las modificaciones presupuestarias de 2002 pueden escudarse en la ley de presupuestos.</w:t>
      </w:r>
    </w:p>
    <w:p w14:paraId="32062199" w14:textId="77777777" w:rsidR="003754FE" w:rsidRDefault="003754FE" w:rsidP="003754FE">
      <w:pPr>
        <w:pStyle w:val="TextoNormal"/>
      </w:pPr>
    </w:p>
    <w:p w14:paraId="4BD27C33" w14:textId="77777777" w:rsidR="003754FE" w:rsidRDefault="003754FE" w:rsidP="003754FE">
      <w:pPr>
        <w:pStyle w:val="TextoNormal"/>
      </w:pPr>
      <w:r>
        <w:t>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 Resulta, por tanto, infundada la afirmación de la sentencia de la que disiento según la cual el Tribunal Supremo ha interpretado las leyes de presupuestos de Andalucía para los años 2002, 2003 y 2004 de modo imprevisible.</w:t>
      </w:r>
    </w:p>
    <w:p w14:paraId="6BD9C34C" w14:textId="77777777" w:rsidR="003754FE" w:rsidRDefault="003754FE" w:rsidP="003754FE">
      <w:pPr>
        <w:pStyle w:val="TextoNormal"/>
      </w:pPr>
    </w:p>
    <w:p w14:paraId="201A4B0D" w14:textId="77777777" w:rsidR="003754FE" w:rsidRDefault="003754FE" w:rsidP="003754FE">
      <w:pPr>
        <w:pStyle w:val="TextoNormal"/>
      </w:pPr>
      <w:r>
        <w:t>A lo que suscribí en anteriores votos particulares, añado ahora que la aprobación de los presupuestos en forma de ley por el Parlamento andaluz no es incompatible con la tipicidad penal de la conducta del recurrente (y las de los demás demandantes de amparo) y resulta inaceptable el resultado al que llega la sentencia de la que disiento. Se pasa por alto lo que explícitamente dice el Tribunal Supremo, quien no afirma que los proyectos o los anteproyectos de leyes sean resoluciones administrativas, sino que cualquier acuerdo de elevación del proyecto de presupuestos al consejero de Hacienda, incorporando el indebido criterio de presupuestación, con la finalidad de conceder las ayudas sociolaborales al margen del procedimiento establecido en la ley, así como la incorporación de memorias favorables a los proyectos de modificaciones presupuestarias, que incluían también ese criterio de presupuestación indebido con idéntica finalidad, constituyen resoluciones a los efectos del artículo 404 CP.</w:t>
      </w:r>
    </w:p>
    <w:p w14:paraId="2EDAE987" w14:textId="77777777" w:rsidR="003754FE" w:rsidRDefault="003754FE" w:rsidP="003754FE">
      <w:pPr>
        <w:pStyle w:val="TextoNormal"/>
      </w:pPr>
    </w:p>
    <w:p w14:paraId="74F3E4E7" w14:textId="77777777" w:rsidR="003754FE" w:rsidRDefault="003754FE" w:rsidP="003754FE">
      <w:pPr>
        <w:pStyle w:val="TextoNormal"/>
      </w:pPr>
      <w:r>
        <w:t>Por el contrario, la interpretación que desarrolla la sentencia de la que discrepo sí utiliza un criterio analógico de interpretación o, en todo caso, extensivo de lo que declara el Tribunal Supremo, afirmando que dice lo que no dice, pues este no se refiere al anteproyecto o al proyecto, sino a las resoluciones por las que se acuerda la elevación (viceconsejeros) o la remisión al Parlamento (Gobierno).</w:t>
      </w:r>
    </w:p>
    <w:p w14:paraId="07A48F0D" w14:textId="77777777" w:rsidR="003754FE" w:rsidRDefault="003754FE" w:rsidP="003754FE">
      <w:pPr>
        <w:pStyle w:val="TextoNormal"/>
      </w:pPr>
    </w:p>
    <w:p w14:paraId="3A1F2C61" w14:textId="77777777" w:rsidR="003754FE" w:rsidRDefault="003754FE" w:rsidP="003754FE">
      <w:pPr>
        <w:pStyle w:val="TextoNormal"/>
      </w:pPr>
      <w:r>
        <w:t xml:space="preserve">La cuestión no es, como erróneamente indica la sentencia, si el proyecto o el anteproyecto como tales son resoluciones administrativas, sino si las resoluciones de elevación o remisión al Parlamento quedan absorbidas por el carácter no decisorio que sustancialmente </w:t>
      </w:r>
      <w:r>
        <w:lastRenderedPageBreak/>
        <w:t>caracteriza al proyecto de ley o el anteproyecto, o si las ilegalidades en su preparación quedan justificadas por su aprobación en el Parlamento.</w:t>
      </w:r>
    </w:p>
    <w:p w14:paraId="002E627C" w14:textId="77777777" w:rsidR="003754FE" w:rsidRDefault="003754FE" w:rsidP="003754FE">
      <w:pPr>
        <w:pStyle w:val="TextoNormal"/>
      </w:pPr>
    </w:p>
    <w:p w14:paraId="0AF12218" w14:textId="77777777" w:rsidR="003754FE" w:rsidRDefault="003754FE" w:rsidP="003754FE">
      <w:pPr>
        <w:pStyle w:val="TextoNormal"/>
      </w:pPr>
      <w:r>
        <w:t>No es dudoso que las leyes de presupuestos, una vez aprobadas, son leyes como cualesquiera otras, solo sujetas al control de constitucionalidad. Pero tampoco lo es que únicamente la ley de presupuestos, en su preparación, está sujeta a límites materiales. De otro modo no se entiende la disposición a la que, de forma reiterada, se remite el Tribunal Supremo: el citado artículo 34 de la Ley 5/1983, de 19 de julio, que exige, a los anteproyectos, “ajustarse a las leyes que sean de aplicación y a las directrices aprobadas por el Consejo de Gobierno, a propuesta del Consejero de Hacienda”.</w:t>
      </w:r>
    </w:p>
    <w:p w14:paraId="592B2183" w14:textId="77777777" w:rsidR="003754FE" w:rsidRDefault="003754FE" w:rsidP="003754FE">
      <w:pPr>
        <w:pStyle w:val="TextoNormal"/>
      </w:pPr>
    </w:p>
    <w:p w14:paraId="760AC5CD" w14:textId="77777777" w:rsidR="003754FE" w:rsidRDefault="003754FE" w:rsidP="003754FE">
      <w:pPr>
        <w:pStyle w:val="TextoNormal"/>
      </w:pPr>
      <w:r>
        <w:t>Esto sucede también en la Ley general presupuestaria, que no solo establece límites formales (existe un procedimiento reglado), sino materiales: es suficiente la lectura del art. 36.1 LGP, sobre el límite del gasto no financiero, que debe establecerse de acuerdo con la fijación anual del límite de gasto no financiero, que debe efectuarse “con la extensión y de la forma prevista en el artículo 30 de la Ley Orgánica 2/2012, de 27 de abril, de estabilidad presupuestaria y sostenibilidad financiera”.</w:t>
      </w:r>
    </w:p>
    <w:p w14:paraId="13892BAC" w14:textId="77777777" w:rsidR="003754FE" w:rsidRDefault="003754FE" w:rsidP="003754FE">
      <w:pPr>
        <w:pStyle w:val="TextoNormal"/>
      </w:pPr>
    </w:p>
    <w:p w14:paraId="61FDBF0F" w14:textId="77777777" w:rsidR="003754FE" w:rsidRDefault="003754FE" w:rsidP="003754FE">
      <w:pPr>
        <w:pStyle w:val="TextoNormal"/>
      </w:pPr>
      <w:r>
        <w:t>Pero existen otros límites en la propia ley, como la limitación de los compromisos de gasto (art. 46 LGP). Este régimen jurídico deriva de la naturaleza singular de las leyes de presupuestos, cuyo proceso de formación —reglamentos de las cámaras legislativas aparte— está regido por otras leyes, la Ley general presupuestaria y las leyes autonómicas en la materia, para evitar un uso arbitrario de los proyectos de leyes de presupuestos y, para eso, se establecen unos estrictos requisitos procedimentales.</w:t>
      </w:r>
    </w:p>
    <w:p w14:paraId="7528ED4F" w14:textId="77777777" w:rsidR="003754FE" w:rsidRDefault="003754FE" w:rsidP="003754FE">
      <w:pPr>
        <w:pStyle w:val="TextoNormal"/>
      </w:pPr>
    </w:p>
    <w:p w14:paraId="37D16A2A" w14:textId="77777777" w:rsidR="003754FE" w:rsidRDefault="003754FE" w:rsidP="003754FE">
      <w:pPr>
        <w:pStyle w:val="TextoNormal"/>
      </w:pPr>
      <w:r>
        <w:t>La existencia de estas limitaciones legales se explica, precisamente, porque son límites en el propio procedimiento de elaboración, donde existe —como se ha dicho— una intervención reglada de diferentes órganos de la administración pública. Estos órganos adoptan decisiones, previas a la remisión al Parlamento, pero que están sujetas a otras leyes y que, por tanto, pueden revestir el carácter de resolución administrativa desde el punto de vista del Derecho Penal, y que, en una forma admisible desde una perspectiva axiológica, pueden ser arbitrarias en el sentido del art. 404 CP.</w:t>
      </w:r>
    </w:p>
    <w:p w14:paraId="4CC6E08A" w14:textId="77777777" w:rsidR="003754FE" w:rsidRDefault="003754FE" w:rsidP="003754FE">
      <w:pPr>
        <w:pStyle w:val="TextoNormal"/>
      </w:pPr>
    </w:p>
    <w:p w14:paraId="01785092" w14:textId="77777777" w:rsidR="003754FE" w:rsidRDefault="003754FE" w:rsidP="003754FE">
      <w:pPr>
        <w:pStyle w:val="TextoNormal"/>
      </w:pPr>
      <w:r>
        <w:t>Por otra parte, desde una perspectiva teleológica, es razonable la interpretación de las sentencias recurridas en amparo, porque se trata de decisiones de funcionarios públicos sujetas a las leyes, por lo que no infringe en absoluto el principio de legalidad, ni presupone analogía o interpretación extensiva de los elementos del tipo penal, como el Tribunal Supremo ha mantenido reiteradamente sobre la resolución administrativa que integra el delito de prevaricación del art. 404 CP y que cita la sentencia de casación: “por resolución ha de entenderse cualquier acto administrativo que suponga una declaración de voluntad de contenido decisorio, que afecte a los derechos de los administrados o a la colectividad en general, bien sea de forma expresa o tácita, escrita u oral, con exclusión de los actos políticos o de gobierno así como los denominados actos de trámite que instrumentan y ordenan el procedimiento para hacer viable la resolución definitiva, tales como informes, consultas, dictámenes o diligencias” [SSTS 597/2014, de 30 de julio (ECLI:ES:TS:2014:3112); 787/2013, de 23 de octubre (ECLI:ES:TS:2013:5318), y 311/2019, de 14 de junio (ECLI:ES:TS:2019:1886), entre otras muchas].</w:t>
      </w:r>
    </w:p>
    <w:p w14:paraId="3FFA828D" w14:textId="77777777" w:rsidR="003754FE" w:rsidRDefault="003754FE" w:rsidP="003754FE">
      <w:pPr>
        <w:pStyle w:val="TextoNormal"/>
      </w:pPr>
    </w:p>
    <w:p w14:paraId="38CE302E" w14:textId="77777777" w:rsidR="003754FE" w:rsidRDefault="003754FE" w:rsidP="003754FE">
      <w:pPr>
        <w:pStyle w:val="TextoNormal"/>
      </w:pPr>
      <w:r>
        <w:lastRenderedPageBreak/>
        <w:t>Por otro lado, y aunque es cierto que no existía precedente en relación con estas resoluciones preparatorias de la ley de presupuestos, la interpretación efectuada en este caso era previsible: precisamente la STS 163/2019, de 26 de marzo (ECLI:ES:TS:2019:881), citada en la sentencia de casación, había considerado como constitutivos de prevaricación la realización de actos previos tendentes a manipular la voluntad del órgano decisor, mediante la formulación de proposiciones contrarias a la ley o informes que no responden a la verdad cuando se hace a sabiendas de que el órgano decisor aprobará la propuesta. Se trata, evidentemente, de la misma perspectiva teleológica, que excluye que la aprobación ulterior pueda justificar la previa actuación del funcionario que infringe la legalidad y actúa de modo arbitrario.</w:t>
      </w:r>
    </w:p>
    <w:p w14:paraId="02938BE0" w14:textId="77777777" w:rsidR="003754FE" w:rsidRDefault="003754FE" w:rsidP="003754FE">
      <w:pPr>
        <w:pStyle w:val="TextoNormal"/>
      </w:pPr>
    </w:p>
    <w:p w14:paraId="06ECC855" w14:textId="77777777" w:rsidR="003754FE" w:rsidRDefault="003754FE" w:rsidP="003754FE">
      <w:pPr>
        <w:pStyle w:val="TextoNormal"/>
      </w:pPr>
      <w:r>
        <w:t>En suma, no hay ningún precedente en la jurisprudencia que pueda dar lugar a que la conducta de los recurrentes pudiera plantearles como imprevisible la calificación de su conducta como delito de prevaricación administrativa, dados los términos de su descripción en el tipo penal.</w:t>
      </w:r>
    </w:p>
    <w:p w14:paraId="3024BCC5" w14:textId="77777777" w:rsidR="003754FE" w:rsidRDefault="003754FE" w:rsidP="003754FE">
      <w:pPr>
        <w:pStyle w:val="TextoNormal"/>
      </w:pPr>
    </w:p>
    <w:p w14:paraId="6B8AE94C" w14:textId="77777777" w:rsidR="003754FE" w:rsidRDefault="003754FE" w:rsidP="003754FE">
      <w:pPr>
        <w:pStyle w:val="TextoNormal"/>
      </w:pPr>
      <w:r>
        <w:t>Con conocimiento de la mayoría parlamentaria de que se disponía, la Cámara legislativa fue utilizada como necesario instrumento inconsciente (hay que presumirlo pues nada se ha declarado en sentido contrario) y penalmente irresponsable para conseguir habilitar los fondos públicos que iban a ser empleados de modo fraudulento (situación asimilable a la autoría mediata, cuando se utiliza para la comisión del delito a un sujeto penalmente irresponsable). Esto no significa que la ley de presupuestos sea nula en términos constitucionales, ni que, por tanto, debiera haber sido así declarada por este tribunal, como presupuesto del delito de prevaricación administrativa, pues las leyes no adolecen de ningún defecto formal en su tramitación y en su aprobación no concurre ningún elemento de las acciones penalmente típicas ejecutadas coordinadamente antes y después de la tramitación parlamentaria.</w:t>
      </w:r>
    </w:p>
    <w:p w14:paraId="6240D9D0" w14:textId="77777777" w:rsidR="003754FE" w:rsidRDefault="003754FE" w:rsidP="003754FE">
      <w:pPr>
        <w:pStyle w:val="TextoNormal"/>
      </w:pPr>
    </w:p>
    <w:p w14:paraId="7170B283" w14:textId="77777777" w:rsidR="003754FE" w:rsidRDefault="003754FE" w:rsidP="003754FE">
      <w:pPr>
        <w:pStyle w:val="TextoNormal"/>
      </w:pPr>
      <w:r>
        <w:t>Reitero que la estimación de la vulneración del art. 25.1 CE por la condena por delito de prevaricación con base en la consideración de que las conductas constitutivas de infracción penal estaban amparadas por las sucesivas leyes de presupuestos también justificaría los fraudes que se enjuician en los procesos diferentes a la “pieza específica” de los responsables políticos, lo que provocaría un estado de impunidad difícilmente soportable. Para rematarlo, la consecuencia última que pudiera derivar de la decisión del Pleno es que, dada la atipicidad de las conductas o bien la estructura de las causas de justificación (a modo de cumplimiento de un deber o de estado de error de prohibición), a la postre nadie estaría obligado a devolver el dinero defraudado.</w:t>
      </w:r>
    </w:p>
    <w:p w14:paraId="61BD31E3" w14:textId="77777777" w:rsidR="003754FE" w:rsidRDefault="003754FE" w:rsidP="003754FE">
      <w:pPr>
        <w:pStyle w:val="TextoNormal"/>
      </w:pPr>
    </w:p>
    <w:p w14:paraId="4A6079C9" w14:textId="77777777" w:rsidR="003754FE" w:rsidRDefault="003754FE" w:rsidP="003754FE">
      <w:pPr>
        <w:pStyle w:val="TextoNormal"/>
      </w:pPr>
      <w:r>
        <w:t>En conclusión, las sentencias recurridas en amparo han efectuado una interpretación razonada de los elementos del delito de prevaricación y su aplicación al caso, que supera el canon de control referido a la prohibición de interpretaciones “ilógicas” o “arbitrarias” que impone el art. 25.1 CE. La interpretación del delito de prevaricación efectuada por los tribunales penales no era imprevisible ni irrazonable y no es contraria al derecho fundamental a la legalidad penal que garantiza el art. 25.1 CE.</w:t>
      </w:r>
    </w:p>
    <w:p w14:paraId="40C4E18F" w14:textId="77777777" w:rsidR="003754FE" w:rsidRDefault="003754FE" w:rsidP="003754FE">
      <w:pPr>
        <w:pStyle w:val="TextoNormal"/>
      </w:pPr>
    </w:p>
    <w:p w14:paraId="219E0243" w14:textId="77777777" w:rsidR="003754FE" w:rsidRDefault="003754FE" w:rsidP="003754FE">
      <w:pPr>
        <w:pStyle w:val="TextoNormal"/>
      </w:pPr>
      <w:r>
        <w:t>8</w:t>
      </w:r>
      <w:r w:rsidRPr="003754FE">
        <w:rPr>
          <w:i/>
        </w:rPr>
        <w:t>. Inviolabilid</w:t>
      </w:r>
      <w:r>
        <w:t>ad de fact</w:t>
      </w:r>
      <w:r w:rsidRPr="003754FE">
        <w:rPr>
          <w:i/>
        </w:rPr>
        <w:t>o inaceptable en términos constitucional</w:t>
      </w:r>
      <w:r>
        <w:t>es</w:t>
      </w:r>
    </w:p>
    <w:p w14:paraId="60F47155" w14:textId="77777777" w:rsidR="003754FE" w:rsidRDefault="003754FE" w:rsidP="003754FE">
      <w:pPr>
        <w:pStyle w:val="TextoNormal"/>
      </w:pPr>
    </w:p>
    <w:p w14:paraId="3FCD41B7" w14:textId="77777777" w:rsidR="003754FE" w:rsidRDefault="003754FE" w:rsidP="003754FE">
      <w:pPr>
        <w:pStyle w:val="TextoNormal"/>
      </w:pPr>
      <w:r>
        <w:t xml:space="preserve">Dejando aparte el notorio y explicable impacto negativo que en la opinión pública están generando las sentencias que el Pleno viene dictando en esta serie de casos, así como la </w:t>
      </w:r>
      <w:r>
        <w:lastRenderedPageBreak/>
        <w:t>utilización de las declaraciones de nulidad de las condenas para una revisión histórica de lo ocurrido que sirva de argumento de confrontación política, reitero ahora una serie de argumentos jurídicos conectados con aquella repercusión social y política, que fueron empleados en los votos particulares que suscribí, junto al magistrado don César Tolosa Tribiño, a las SSTC 94/2024, de 2 de julio, y 95/2024, 96/2024, 97/2024 y 98/2024, de 3 de julio.</w:t>
      </w:r>
    </w:p>
    <w:p w14:paraId="1482A41C" w14:textId="77777777" w:rsidR="003754FE" w:rsidRDefault="003754FE" w:rsidP="003754FE">
      <w:pPr>
        <w:pStyle w:val="TextoNormal"/>
      </w:pPr>
    </w:p>
    <w:p w14:paraId="627C39B4" w14:textId="77777777" w:rsidR="003754FE" w:rsidRDefault="003754FE" w:rsidP="003754FE">
      <w:pPr>
        <w:pStyle w:val="TextoNormal"/>
      </w:pPr>
      <w:r>
        <w:t>Como he sostenido a lo largo de este voto particular, los actos prelegislativos pueden ser constitutivos de delito de prevaricación administrativa pues, contrariamente a lo sostenido en las sentencias de las que discrepo, la jurisdicción penal no ejerce una función de “control” de la actividad prelegislativa, sino que su función consiste en enjuiciar y, eventualmente, sancionar comportamientos subsumibles en tipos penales. Es por ello por lo que de los límites que afecten al control que, en su respectivo ámbito, corresponden a la jurisdicción contencioso-administrativa y a la jurisdicción constitucional, en modo alguno puede extraerse que sean ajenas a la jurisdicción penal las conductas penalmente típicas cometidas en el ejercicio de cargos político-administrativos e incluso parlamentarios, salvo las acciones amparadas por la inviolabilidad. Por este motivo, la doctrina plasmada en la sentencia de la que disiento produce el resultado de exonerar de responsabilidad a los miembros del Consejo de Gobierno de la Junta de Andalucía en todo lo concerniente a la elaboración, aprobación, ejecución de los presupuestos y a las enmiendas presupuestarias o su ejecución. Los declar</w:t>
      </w:r>
      <w:r w:rsidRPr="003754FE">
        <w:rPr>
          <w:i/>
        </w:rPr>
        <w:t>a de fac</w:t>
      </w:r>
      <w:r>
        <w:t>to irresponsables y extiende sobre ellos un privilegio de inviolabilidad.</w:t>
      </w:r>
    </w:p>
    <w:p w14:paraId="739F640A" w14:textId="77777777" w:rsidR="003754FE" w:rsidRDefault="003754FE" w:rsidP="003754FE">
      <w:pPr>
        <w:pStyle w:val="TextoNormal"/>
      </w:pPr>
    </w:p>
    <w:p w14:paraId="63CAA0F5" w14:textId="77777777" w:rsidR="003754FE" w:rsidRDefault="003754FE" w:rsidP="003754FE">
      <w:pPr>
        <w:pStyle w:val="TextoNormal"/>
      </w:pPr>
      <w:r>
        <w:t>Esta doctrina es inasumible, pues deja al margen de todo control aquello que tenga que ver con la actividad presupuestaria desde la fase inicial de elaboración de los presupuestos, hasta la fase final de su ejecución, con el pernicioso efecto de desproteger la indemnidad del patrimonio público, el correcto funcionamiento de la actividad patrimonial del Estado, la confianza de la sociedad en el esperable recto manejo de los fondos públicos y los deberes de fidelidad y transparencia que tienen los funcionarios públicos a cuyo cargo se encuentran los bienes de la administración pública.</w:t>
      </w:r>
    </w:p>
    <w:p w14:paraId="2A8C7738" w14:textId="77777777" w:rsidR="003754FE" w:rsidRDefault="003754FE" w:rsidP="003754FE">
      <w:pPr>
        <w:pStyle w:val="TextoNormal"/>
      </w:pPr>
    </w:p>
    <w:p w14:paraId="63CC4F3C" w14:textId="77777777" w:rsidR="003754FE" w:rsidRDefault="003754FE" w:rsidP="003754FE">
      <w:pPr>
        <w:pStyle w:val="TextoNormal"/>
      </w:pPr>
      <w:r>
        <w:t>Por lo demás, la doctrina que pretenden sentar las sentencias dictadas en el inaudito por su magnitud “caso de los ERE de Andalucía”, incumple las exigencias internacionales de lucha contra la corrupción política y, cuando tenga proyección en la protección de los intereses financieros de la Unión Europea, producirá un incumplimiento de las obligaciones de España incompatible con lo dispuesto en el artículo 325 TFUE, apartado 1, de luchar contra el fraude y contra toda actividad ilegal que afecte a los intereses financieros de la Unión, de prevenir y combatir la corrupción en general y de prever la aplicación de sanciones eficaces y disuasorias en caso de que tales infracciones se produzcan.</w:t>
      </w:r>
    </w:p>
    <w:p w14:paraId="55E03CAD" w14:textId="77777777" w:rsidR="003754FE" w:rsidRDefault="003754FE" w:rsidP="003754FE">
      <w:pPr>
        <w:pStyle w:val="TextoNormal"/>
      </w:pPr>
    </w:p>
    <w:p w14:paraId="56B10D5B" w14:textId="77777777" w:rsidR="003754FE" w:rsidRDefault="003754FE" w:rsidP="003754FE">
      <w:pPr>
        <w:pStyle w:val="TextoNormal"/>
      </w:pPr>
      <w:r>
        <w:t>La impunidad que establece la sentencia se aplica, en primer término, a quienes elaboraron los proyectos de ley o las modificaciones presupuestarias para provisionar fondos a IFA/IDEA mediante un instrumento lícito —las “transferencias de financiación”—, con la finalidad de allanar el camino para que otros miembros del Gobierno andaluz pudieran destinar tales provisiones a fines no previstos en el presupuesto —las “ayudas sociolaborales”—; y la impunidad también se extiende a quienes al ejecutar el programa presupuestario, en lugar de aplicar los fondos a gastos de explotación, dispusieron de los mismos de modo libérrimo como si fueran propios o permitieron conscientemente, teniendo la obligación de impedirlo, que otros efectuaran tales disposiciones.</w:t>
      </w:r>
    </w:p>
    <w:p w14:paraId="5F3C8E6B" w14:textId="77777777" w:rsidR="003754FE" w:rsidRDefault="003754FE" w:rsidP="003754FE">
      <w:pPr>
        <w:pStyle w:val="TextoNormal"/>
      </w:pPr>
    </w:p>
    <w:p w14:paraId="377EB9CE" w14:textId="77777777" w:rsidR="003754FE" w:rsidRDefault="003754FE" w:rsidP="003754FE">
      <w:pPr>
        <w:pStyle w:val="TextoNormal"/>
      </w:pPr>
      <w:r>
        <w:lastRenderedPageBreak/>
        <w:t>En todos los casos esa irresponsabilidad e imposibilidad de control se apoya en una construcción artificiosa que carece de sustento racional y de apoyo en la sentencia del Tribunal Supremo, que se repite como piedra angular para afirmar la vulneración del derecho a la legalidad penal: quien obra amparado por la ley de presupuestos no puede prevaricar ni puede malversar caudales públicos.</w:t>
      </w:r>
    </w:p>
    <w:p w14:paraId="20588CEB" w14:textId="77777777" w:rsidR="003754FE" w:rsidRDefault="003754FE" w:rsidP="003754FE">
      <w:pPr>
        <w:pStyle w:val="TextoNormal"/>
      </w:pPr>
    </w:p>
    <w:p w14:paraId="01A2DE4E" w14:textId="77777777" w:rsidR="003754FE" w:rsidRDefault="003754FE" w:rsidP="003754FE">
      <w:pPr>
        <w:pStyle w:val="TextoNormal"/>
      </w:pPr>
      <w:r>
        <w:t>Como apuntamos en los votos particulares precedentemente citados, ninguno de los condenados estaba amparado por las sucesivas leyes de presupuestos para cometer los delitos. Las leyes no delinquieron, eran neutras en la previsión de transferencias de financiación para gastos de explotación. Quienes delinquieron fueron quienes previeron las trasferencias de financiación de modo innecesario con la idea de que otros tuvieran recursos para destinarlos a fines ajenos a los presupuestados. Así lo afirma el Tribunal Supremo cuando indica que la actuación de desvío de fondos no venía obligada por los presupuestos. O cuando refiere que “no puede afirmarse que [el Parlamento]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w:t>
      </w:r>
    </w:p>
    <w:p w14:paraId="37EB1FFB" w14:textId="77777777" w:rsidR="003754FE" w:rsidRDefault="003754FE" w:rsidP="003754FE">
      <w:pPr>
        <w:pStyle w:val="TextoNormal"/>
      </w:pPr>
    </w:p>
    <w:p w14:paraId="43A09D1C" w14:textId="77777777" w:rsidR="003754FE" w:rsidRDefault="003754FE" w:rsidP="003754FE">
      <w:pPr>
        <w:pStyle w:val="TextoNormal"/>
      </w:pPr>
      <w:r>
        <w:t>Se acude a ese mismo argumento para distinguir a los efectos de resolver la vulneración del derecho a la legalidad penal entre aquellas modificaciones presupuestarias o disposiciones de fondos según tuvieran o no amparo en el sistema de presupuestación del programa 31L. Como se ha indicado, el mencionado programa no determinaba que las trasferencias de financiación con que el mismo se dotaba pudieran destinarse a fines distintos a los de gastos de explotación.</w:t>
      </w:r>
    </w:p>
    <w:p w14:paraId="4783CBD7" w14:textId="77777777" w:rsidR="003754FE" w:rsidRDefault="003754FE" w:rsidP="003754FE">
      <w:pPr>
        <w:pStyle w:val="TextoNormal"/>
      </w:pPr>
    </w:p>
    <w:p w14:paraId="13A64322" w14:textId="77777777" w:rsidR="003754FE" w:rsidRDefault="003754FE" w:rsidP="003754FE">
      <w:pPr>
        <w:pStyle w:val="TextoNormal"/>
      </w:pPr>
      <w:r>
        <w:t>9</w:t>
      </w:r>
      <w:r w:rsidRPr="003754FE">
        <w:rPr>
          <w:i/>
        </w:rPr>
        <w:t>. Recapitulaci</w:t>
      </w:r>
      <w:r>
        <w:t>ón</w:t>
      </w:r>
    </w:p>
    <w:p w14:paraId="3E79542E" w14:textId="77777777" w:rsidR="003754FE" w:rsidRDefault="003754FE" w:rsidP="003754FE">
      <w:pPr>
        <w:pStyle w:val="TextoNormal"/>
      </w:pPr>
    </w:p>
    <w:p w14:paraId="3B237AC8" w14:textId="77777777" w:rsidR="003754FE" w:rsidRDefault="003754FE" w:rsidP="003754FE">
      <w:pPr>
        <w:pStyle w:val="TextoNormal"/>
      </w:pPr>
      <w:r>
        <w:t>En esta sentencia, como en las restantes resolutorias de los recursos de amparo planteados contra las sentencias dictadas en la rama política de los ERE, se ha creado un artificio común estereotipado que, desconociendo la doctrina que este tribunal ha venido manteniendo en otros recursos, ha llevado a dar cobertura legal a una trama criminal perfectamente descrita y analizada por el Tribunal Supremo, que ha conducido a la impunidad de la mayor parte de los recurrentes, con una argumentación, de la que discrepo, articulada mediante una pretendida vulneración del principio de legalidad penal y, en cuanto resulta insuficiente, mediante una alternativa valoración de la prueba que concluye en la declaración de una inexistente vulneración del principio de presunción de inocencia y la consiguiente absolución definitiva de los delitos de malversación.</w:t>
      </w:r>
    </w:p>
    <w:p w14:paraId="779C5246" w14:textId="77777777" w:rsidR="003754FE" w:rsidRDefault="003754FE" w:rsidP="003754FE">
      <w:pPr>
        <w:pStyle w:val="TextoNormal"/>
      </w:pPr>
    </w:p>
    <w:p w14:paraId="6CA0D531" w14:textId="77777777" w:rsidR="003754FE" w:rsidRDefault="003754FE" w:rsidP="003754FE">
      <w:pPr>
        <w:pStyle w:val="TextoNormal"/>
      </w:pPr>
      <w:r>
        <w:t>Considero que el Tribunal ha excedido sus competencias invadiendo las que corresponden al Tribunal Supremo para la interpretación de los tipos penales, para efectuar el juicio de subsunción y para la valoración de las pruebas, orillando el canon pacíficamente aplicado en los recursos de amparo.</w:t>
      </w:r>
    </w:p>
    <w:p w14:paraId="69092D1C" w14:textId="77777777" w:rsidR="003754FE" w:rsidRDefault="003754FE" w:rsidP="003754FE">
      <w:pPr>
        <w:pStyle w:val="TextoNormal"/>
      </w:pPr>
    </w:p>
    <w:p w14:paraId="68DC799B" w14:textId="77777777" w:rsidR="003754FE" w:rsidRDefault="003754FE" w:rsidP="003754FE">
      <w:pPr>
        <w:pStyle w:val="TextoNormal"/>
      </w:pPr>
      <w:r>
        <w:t xml:space="preserve">Las sentencias recurridas están ampliamente motivadas, no resultan en modo alguno erróneas, ilógicas o arbitrarias, lo que debió comportar la inadmisión a trámite de los recursos por falta de especial trascendencia constitucional y, en el estadio procesal en el que nos encontramos, la desestimación íntegra de todos los recursos planteados, por no haberse </w:t>
      </w:r>
      <w:r>
        <w:lastRenderedPageBreak/>
        <w:t>vulnerado el principio de legalidad penal ni el derecho a la presunción de inocencia de los recurrentes.</w:t>
      </w:r>
    </w:p>
    <w:p w14:paraId="36C9039F" w14:textId="77777777" w:rsidR="003754FE" w:rsidRDefault="003754FE" w:rsidP="003754FE">
      <w:pPr>
        <w:pStyle w:val="TextoNormal"/>
      </w:pPr>
    </w:p>
    <w:p w14:paraId="7EF23EC6" w14:textId="77777777" w:rsidR="003754FE" w:rsidRDefault="003754FE" w:rsidP="003754FE">
      <w:pPr>
        <w:pStyle w:val="TextoNormal"/>
      </w:pPr>
      <w:r>
        <w:t>Y en este sentido emito mi voto particular.</w:t>
      </w:r>
    </w:p>
    <w:p w14:paraId="129D9059" w14:textId="77777777" w:rsidR="003754FE" w:rsidRDefault="003754FE" w:rsidP="003754FE">
      <w:pPr>
        <w:pStyle w:val="TextoNormal"/>
      </w:pPr>
    </w:p>
    <w:p w14:paraId="5F7B302F" w14:textId="41B76D84" w:rsidR="003754FE" w:rsidRDefault="003754FE" w:rsidP="003754FE">
      <w:pPr>
        <w:pStyle w:val="TextoNormal"/>
      </w:pPr>
      <w:r>
        <w:t>Madrid, a dieciséis de julio de dos mil veinticuatro.</w:t>
      </w:r>
    </w:p>
    <w:p w14:paraId="22DFACA6" w14:textId="77777777" w:rsidR="003754FE" w:rsidRDefault="003754FE" w:rsidP="003754FE">
      <w:pPr>
        <w:pStyle w:val="TextoNormal"/>
      </w:pPr>
    </w:p>
    <w:p w14:paraId="1E9525D4" w14:textId="77777777" w:rsidR="003754FE" w:rsidRDefault="003754FE" w:rsidP="003754FE">
      <w:pPr>
        <w:pStyle w:val="TextoNormalNegritaCentrado"/>
        <w:keepNext/>
      </w:pPr>
      <w:r>
        <w:t>Voto particular que formula el magistrado don César Tolosa Tribiño a la sentencia dictada en el recurso de amparo núm. 7007-2022 interpuesto por don Manuel Chaves González</w:t>
      </w:r>
    </w:p>
    <w:p w14:paraId="64C42BBD" w14:textId="54CEDA2F" w:rsidR="003754FE" w:rsidRDefault="003754FE" w:rsidP="003754FE">
      <w:pPr>
        <w:pStyle w:val="TextoNormalNegritaCentrado"/>
        <w:keepNext/>
      </w:pPr>
    </w:p>
    <w:p w14:paraId="266F903F" w14:textId="77777777" w:rsidR="003754FE" w:rsidRDefault="003754FE" w:rsidP="003754FE">
      <w:pPr>
        <w:pStyle w:val="TextoNormal"/>
      </w:pPr>
      <w:r>
        <w:t>En el ejercicio de la facultad que me confiere el artículo 90.2 de la Ley Orgánica del Tribunal Constitucional, formulo el presente voto particular. Considero que el recurso de amparo debió ser desestimado al no existir vulneración del derecho a la legalidad penal en relación con la condena de don Manuel Chaves González por el delito de prevaricación.</w:t>
      </w:r>
    </w:p>
    <w:p w14:paraId="398221A2" w14:textId="77777777" w:rsidR="003754FE" w:rsidRDefault="003754FE" w:rsidP="003754FE">
      <w:pPr>
        <w:pStyle w:val="TextoNormal"/>
      </w:pPr>
    </w:p>
    <w:p w14:paraId="5442F195" w14:textId="77777777" w:rsidR="003754FE" w:rsidRDefault="003754FE" w:rsidP="003754FE">
      <w:pPr>
        <w:pStyle w:val="TextoNormal"/>
      </w:pPr>
      <w:r w:rsidRPr="003754FE">
        <w:rPr>
          <w:i/>
        </w:rPr>
        <w:t>Remisión a los votos particulares ya formulados</w:t>
      </w:r>
    </w:p>
    <w:p w14:paraId="14516030" w14:textId="77777777" w:rsidR="003754FE" w:rsidRDefault="003754FE" w:rsidP="003754FE">
      <w:pPr>
        <w:pStyle w:val="TextoNormal"/>
      </w:pPr>
    </w:p>
    <w:p w14:paraId="2EE1F8AD" w14:textId="77777777" w:rsidR="003754FE" w:rsidRDefault="003754FE" w:rsidP="003754FE">
      <w:pPr>
        <w:pStyle w:val="TextoNormal"/>
      </w:pPr>
      <w:r>
        <w:t>Don Manuel Chaves González fue condenado como autor de un delito de prevaricación administrativa al considerarse probado que en su condición de presidente de la Junta de Andalucía, desde el 27 de julio de 1990 al 7 de abril de 2009, consciente de que se eludía la fiscalización previa, aprobó sucesivos anteproyectos de presupuestos para los ejercicios de los años 2002 a 2009, en los que se cambió la clasificación presupuestaria, se consignó en concepto de transferencias de financiación a la agencia IFA/IDEA —que debían destinarse a gastos de explotación de IFA/IDEA— las importantes cantidades de dinero que constan en los hechos probados, luego incrementadas sustancialmente mediante la aprobación de sucesivas modificaciones presupuestarias entre los años 2000 y 2008, para que se pudieran efectuar libérrimamente pagos (“ayudas sociolaborales”), sin la necesaria cobertura presupuestaria, sin la existencia de control alguno y sin el cumplimiento de los requisitos de las normas reguladoras de las subvenciones.</w:t>
      </w:r>
    </w:p>
    <w:p w14:paraId="64A09D8E" w14:textId="77777777" w:rsidR="003754FE" w:rsidRDefault="003754FE" w:rsidP="003754FE">
      <w:pPr>
        <w:pStyle w:val="TextoNormal"/>
      </w:pPr>
    </w:p>
    <w:p w14:paraId="5C0FF8A7" w14:textId="77777777" w:rsidR="003754FE" w:rsidRDefault="003754FE" w:rsidP="003754FE">
      <w:pPr>
        <w:pStyle w:val="TextoNormal"/>
      </w:pPr>
      <w:r>
        <w:t>La sentencia, frente a la que formulo el presente voto particular, da respuesta al planteamiento del recurrente y para ello se remite a los argumentos expuestos en la STC 93/2024, de 19 de junio —recurso de amparo interpuesto por doña Magdalena Álvarez Arza— en el que partiendo de la premisa del carácter no fiscalizable del contenido del anteproyecto o proyecto de ley y de que sobre los mismos no puede ejercerse más control que el político, concluye que los órganos judiciales han efectuado una interpretación del elemento del tipo del delito de prevaricación administrativa (“resolución arbitraria en un asunto administrativo”) lesiva del derecho a la legalidad penal. Y, en relación con las modificaciones presupuestarias del programa 31L, considera que su calificación como arbitrarias es imprevisible al encontrarse amparadas por las sucesivas leyes de presupuestos.</w:t>
      </w:r>
    </w:p>
    <w:p w14:paraId="314E8A34" w14:textId="77777777" w:rsidR="003754FE" w:rsidRDefault="003754FE" w:rsidP="003754FE">
      <w:pPr>
        <w:pStyle w:val="TextoNormal"/>
      </w:pPr>
    </w:p>
    <w:p w14:paraId="6C416A97" w14:textId="77777777" w:rsidR="003754FE" w:rsidRDefault="003754FE" w:rsidP="003754FE">
      <w:pPr>
        <w:pStyle w:val="TextoNormal"/>
      </w:pPr>
      <w:r>
        <w:t>La presente sentencia reconoce la vulneración del principio de legalidad penal en relación con la condena por el delito de prevaricación proyectando la doctrina expuesta en la STC 93/2024, luego aplicada en las SSTC 94/2024, 96/2024, 97/2024, 98/2024, por lo que me debo remitir, en lo relativo a la doctrina acuñada en dichas sentencias, al razonamiento expuesto en los votos particulares formulados frente a aquellas, debiendo insistir en:</w:t>
      </w:r>
    </w:p>
    <w:p w14:paraId="1F9EFE21" w14:textId="77777777" w:rsidR="003754FE" w:rsidRDefault="003754FE" w:rsidP="003754FE">
      <w:pPr>
        <w:pStyle w:val="TextoNormal"/>
      </w:pPr>
    </w:p>
    <w:p w14:paraId="7B13F170" w14:textId="77777777" w:rsidR="003754FE" w:rsidRDefault="003754FE" w:rsidP="003754FE">
      <w:pPr>
        <w:pStyle w:val="TextoNormal"/>
      </w:pPr>
      <w:r>
        <w:t>a) El exceso de jurisdicción en que ha incurrido el Tribunal Constitucional al rectificar por vez primera al Tribunal Supremo en la interpretación de un elemento recogido en la descripción de la conducta típica, que socava la jurisdicción del Tribunal Supremo como órgano jurisdiccional superior en todos los órdenes y máxima autoridad jurisdiccional en la función de interpretar y aplicar la legislación vigente (arts. 117.3 y 123.1 CE), convirtiéndose el Tribunal Constitucional en un tribunal de casación.</w:t>
      </w:r>
    </w:p>
    <w:p w14:paraId="0A740718" w14:textId="77777777" w:rsidR="003754FE" w:rsidRDefault="003754FE" w:rsidP="003754FE">
      <w:pPr>
        <w:pStyle w:val="TextoNormal"/>
      </w:pPr>
    </w:p>
    <w:p w14:paraId="1C4983A7" w14:textId="77777777" w:rsidR="003754FE" w:rsidRDefault="003754FE" w:rsidP="003754FE">
      <w:pPr>
        <w:pStyle w:val="TextoNormal"/>
      </w:pPr>
      <w:r>
        <w:t>b) La sentencia deja al margen de todo control aquello que tenga que ver con la actividad presupuestaria desde la fase inicial de elaboración de los presupuestos a la fase final de su ejecución y determina la impunidad de los miembros del Gobierno de la Junta de Andalucía en todo lo concerniente a la elaboración, aprobación, ejecución de los presupuestos y a las enmiendas presupuestarias o su ejecución, por lo que quedan desprotegidos entre otros intereses la indemnidad del patrimonio público.</w:t>
      </w:r>
    </w:p>
    <w:p w14:paraId="4CF3C608" w14:textId="77777777" w:rsidR="003754FE" w:rsidRDefault="003754FE" w:rsidP="003754FE">
      <w:pPr>
        <w:pStyle w:val="TextoNormal"/>
      </w:pPr>
    </w:p>
    <w:p w14:paraId="36B328DB" w14:textId="77777777" w:rsidR="003754FE" w:rsidRDefault="003754FE" w:rsidP="003754FE">
      <w:pPr>
        <w:pStyle w:val="TextoNormal"/>
      </w:pPr>
      <w:r>
        <w:t>c) La confusión entre la condición de consejero —miembro del Gobierno— con el Gobierno mismo, en que incurre la sentencia, para calificar la aprobación de los anteproyectos y proyectos de leyes de presupuestos como acción del Gobierno.</w:t>
      </w:r>
    </w:p>
    <w:p w14:paraId="500B6FF4" w14:textId="77777777" w:rsidR="003754FE" w:rsidRDefault="003754FE" w:rsidP="003754FE">
      <w:pPr>
        <w:pStyle w:val="TextoNormal"/>
      </w:pPr>
    </w:p>
    <w:p w14:paraId="09E4B2CE" w14:textId="77777777" w:rsidR="003754FE" w:rsidRDefault="003754FE" w:rsidP="003754FE">
      <w:pPr>
        <w:pStyle w:val="TextoNormal"/>
      </w:pPr>
      <w:r>
        <w:t>d) La incompatibilidad de la sentencia con la inexistente previsión constitucional de inmunidad de los miembros del Gobierno (arts. 56.3 y 71.1 CE) y con la obligada interpretación estricta y finalista del privilegio de la inviolabilidad y de la inmunidad que determina su inviable proyección a los miembros del Gobierno al no existir dicha previsión constitucional (STC 9/1990, de 18 de enero).</w:t>
      </w:r>
    </w:p>
    <w:p w14:paraId="5B8CDAFE" w14:textId="77777777" w:rsidR="003754FE" w:rsidRDefault="003754FE" w:rsidP="003754FE">
      <w:pPr>
        <w:pStyle w:val="TextoNormal"/>
      </w:pPr>
    </w:p>
    <w:p w14:paraId="52F40D46" w14:textId="77777777" w:rsidR="003754FE" w:rsidRDefault="003754FE" w:rsidP="003754FE">
      <w:pPr>
        <w:pStyle w:val="TextoNormal"/>
      </w:pPr>
      <w:r>
        <w:t>e) La inadecuación del principio de irresponsabilidad penal establecido en la sentencia con las obligaciones de España derivadas del artículo 325 TFUE, apartado 1, cuando la acuñada doctrina de la irresponsabilidad penal de los miembros del Gobierno tenga su proyección en la protección de los intereses financieros de la Unión Europea.</w:t>
      </w:r>
    </w:p>
    <w:p w14:paraId="6A0C6BBF" w14:textId="77777777" w:rsidR="003754FE" w:rsidRDefault="003754FE" w:rsidP="003754FE">
      <w:pPr>
        <w:pStyle w:val="TextoNormal"/>
      </w:pPr>
    </w:p>
    <w:p w14:paraId="01F35596" w14:textId="77777777" w:rsidR="003754FE" w:rsidRDefault="003754FE" w:rsidP="003754FE">
      <w:pPr>
        <w:pStyle w:val="TextoNormal"/>
      </w:pPr>
      <w:r>
        <w:t>f) La corrección constitucional del razonamiento del Tribunal Supremo al calificar los hechos probados como delito de prevaricación administrativa y entender que los anteproyectos y proyectos de ley se incardinan en el tipo “resolución arbitraria en asunto administrativo”, al no poder considerarse la subsunción penal extravagante o imprevisible para sus destinatarios, ni por su soporte metodológico, ni por las pautas valorativas que la inspiran y cuyo contenido se extracta en el voto particular.</w:t>
      </w:r>
    </w:p>
    <w:p w14:paraId="46BB65AF" w14:textId="77777777" w:rsidR="003754FE" w:rsidRDefault="003754FE" w:rsidP="003754FE">
      <w:pPr>
        <w:pStyle w:val="TextoNormal"/>
      </w:pPr>
    </w:p>
    <w:p w14:paraId="025F2F76" w14:textId="77777777" w:rsidR="003754FE" w:rsidRDefault="003754FE" w:rsidP="003754FE">
      <w:pPr>
        <w:pStyle w:val="TextoNormal"/>
      </w:pPr>
      <w:r>
        <w:t>g) Las quiebras lógicas en que incurre el razonamiento de la sentencia que estima el amparo y que se exponen en el apartado 3.2.2 del voto particular a la STC 93/2024, entre las que destaca el argumento por el que se somete el delito consumado de prevaricación administrativa cometido por un miembro del Gobierno al aprobar un proyecto o anteproyecto de ley a una especia de condición resolutoria derivada de la aprobación de la ley por el Parlamento, lo que supone introducir un factor de incertidumbre e imprevisibilidad contrario a la certeza en la que se asienta el principio de legalidad que se dice aplicar.</w:t>
      </w:r>
    </w:p>
    <w:p w14:paraId="2D5D68C7" w14:textId="77777777" w:rsidR="003754FE" w:rsidRDefault="003754FE" w:rsidP="003754FE">
      <w:pPr>
        <w:pStyle w:val="TextoNormal"/>
      </w:pPr>
    </w:p>
    <w:p w14:paraId="541BACC6" w14:textId="77777777" w:rsidR="003754FE" w:rsidRDefault="003754FE" w:rsidP="003754FE">
      <w:pPr>
        <w:pStyle w:val="TextoNormal"/>
      </w:pPr>
      <w:r>
        <w:t xml:space="preserve">h) El insostenible argumento de la sentencia por el que “no puede considerarse ilegal ni indebido otorgar las referidas ayudas, de acuerdo con lo establecido en el programa 31L de las leyes de presupuestos de aquellos años y las memorias que las acompañaban”. Como </w:t>
      </w:r>
      <w:r>
        <w:lastRenderedPageBreak/>
        <w:t>indica la STS 749/2022 “[l]a aprobación parlamentaria de los distintos créditos presupuestarios no puede ser coartada para justificar los pagos ilegales”. Ninguno de los condenados estaba amparado, ni venía obligado por las sucesivas leyes de presupuestos para cometer los delitos. Las leyes eran neutras en la previsión de transferencias de financiación para gastos de explotación.</w:t>
      </w:r>
    </w:p>
    <w:p w14:paraId="1583AF11" w14:textId="77777777" w:rsidR="003754FE" w:rsidRDefault="003754FE" w:rsidP="003754FE">
      <w:pPr>
        <w:pStyle w:val="TextoNormal"/>
      </w:pPr>
    </w:p>
    <w:p w14:paraId="069A4AAA" w14:textId="77777777" w:rsidR="003754FE" w:rsidRDefault="003754FE" w:rsidP="003754FE">
      <w:pPr>
        <w:pStyle w:val="TextoNormal"/>
      </w:pPr>
      <w:r>
        <w:t>i) A lo que añadimos ahora, la contradicción con la doctrina de este tribunal en que incurre la sentencia al considerar que fueron la memorias de las leyes de presupuestos las que habilitaban a la administración autonómica a conceder ayudas y de este modo considerar que la disposición libérrima de fondos tenía cobertura presupuestaria, pues dicha afirmación además de insostenible —como se ha indicado— es también contraria no solo a la abundante prueba pericial desplegada en el juicio sino a nuestra propia doctrina en virtud de la cual: “Las memorias de los presupuestos […] en modo alguno pudieron adquirir vigencia con la entrada en vigor de las leyes de presupuestos impugnadas; en realidad, son algo externo o ajeno a las mismas, meras previsiones hipotéticas” (STC 63/1986, de 21 de mayo, FJ 8).</w:t>
      </w:r>
    </w:p>
    <w:p w14:paraId="734B013B" w14:textId="77777777" w:rsidR="003754FE" w:rsidRDefault="003754FE" w:rsidP="003754FE">
      <w:pPr>
        <w:pStyle w:val="TextoNormal"/>
      </w:pPr>
    </w:p>
    <w:p w14:paraId="510FEC08" w14:textId="77777777" w:rsidR="003754FE" w:rsidRDefault="003754FE" w:rsidP="003754FE">
      <w:pPr>
        <w:pStyle w:val="TextoNormal"/>
      </w:pPr>
      <w:r>
        <w:t>Y en este sentido emito el presente voto particular.</w:t>
      </w:r>
    </w:p>
    <w:p w14:paraId="021B1E4B" w14:textId="77777777" w:rsidR="003754FE" w:rsidRDefault="003754FE" w:rsidP="003754FE">
      <w:pPr>
        <w:pStyle w:val="TextoNormal"/>
      </w:pPr>
    </w:p>
    <w:p w14:paraId="7D8B942A" w14:textId="0D81192E" w:rsidR="003754FE" w:rsidRDefault="003754FE" w:rsidP="003754FE">
      <w:pPr>
        <w:pStyle w:val="TextoNormal"/>
      </w:pPr>
      <w:r>
        <w:t>Madrid, a dieciséis de julio de dos mil veinticuatro.</w:t>
      </w:r>
    </w:p>
    <w:p w14:paraId="6B48F3F6" w14:textId="68C406AC" w:rsidR="003754FE" w:rsidRDefault="003754FE">
      <w:pPr>
        <w:spacing w:after="160" w:line="278" w:lineRule="auto"/>
        <w:rPr>
          <w:rFonts w:ascii="Times New Roman" w:eastAsia="Times New Roman" w:hAnsi="Times New Roman" w:cs="Times New Roman"/>
          <w:sz w:val="24"/>
          <w:szCs w:val="24"/>
          <w:lang w:eastAsia="es-ES"/>
        </w:rPr>
      </w:pPr>
      <w:r>
        <w:br w:type="page"/>
      </w:r>
    </w:p>
    <w:p w14:paraId="76F9018B" w14:textId="77777777" w:rsidR="003754FE" w:rsidRDefault="003754FE" w:rsidP="003754FE">
      <w:pPr>
        <w:pStyle w:val="TtuloResolucin"/>
      </w:pPr>
      <w:bookmarkStart w:id="9" w:name="SENTENCIA_2024_100"/>
      <w:r>
        <w:lastRenderedPageBreak/>
        <w:t>SENTENCIA 100/2024, de 16 de julio de 2024</w:t>
      </w:r>
    </w:p>
    <w:bookmarkEnd w:id="9"/>
    <w:p w14:paraId="26E1B737" w14:textId="77777777" w:rsidR="003754FE" w:rsidRDefault="003754FE" w:rsidP="003754FE">
      <w:pPr>
        <w:pStyle w:val="TtuloResolucin"/>
      </w:pPr>
      <w:r>
        <w:t>Pleno</w:t>
      </w:r>
    </w:p>
    <w:p w14:paraId="59B20399" w14:textId="77777777" w:rsidR="003754FE" w:rsidRDefault="003754FE" w:rsidP="003754FE">
      <w:pPr>
        <w:pStyle w:val="TtuloBOE"/>
      </w:pPr>
      <w:r>
        <w:t>(BOE núm. 208, de 28 de agosto de 2024)</w:t>
      </w:r>
    </w:p>
    <w:p w14:paraId="2FB46604" w14:textId="77777777" w:rsidR="003754FE" w:rsidRDefault="003754FE" w:rsidP="003754FE">
      <w:pPr>
        <w:pStyle w:val="TextoNormalCentrado"/>
      </w:pPr>
      <w:r>
        <w:t>ECLI:ES:TC:2024:100</w:t>
      </w:r>
    </w:p>
    <w:p w14:paraId="604D9C9D" w14:textId="1C7E2DEC" w:rsidR="003754FE" w:rsidRDefault="003754FE" w:rsidP="003754FE">
      <w:pPr>
        <w:pStyle w:val="TextoNormalCentrado"/>
      </w:pPr>
    </w:p>
    <w:p w14:paraId="4615BA24" w14:textId="77777777" w:rsidR="003754FE" w:rsidRDefault="003754FE" w:rsidP="003754FE">
      <w:pPr>
        <w:pStyle w:val="SntesisDescriptiva"/>
      </w:pPr>
      <w:r>
        <w:t>Recurso de amparo 2119-2023. Promovido por don José Antonio Griñán Martínez respecto de las sentencias dictadas por la Sala de lo Penal del Tribunal Supremo y la Audiencia Provincial de Sevilla que le condenaron por un delito continuado de prevaricación en concurso medial con un delito continuado de malversación de caudales públicos.</w:t>
      </w:r>
    </w:p>
    <w:p w14:paraId="27EBA21F" w14:textId="34413EDF" w:rsidR="003754FE" w:rsidRDefault="003754FE" w:rsidP="003754FE">
      <w:pPr>
        <w:pStyle w:val="SntesisDescriptiva"/>
      </w:pPr>
    </w:p>
    <w:p w14:paraId="0B39FEFC" w14:textId="77777777" w:rsidR="003754FE" w:rsidRDefault="003754FE" w:rsidP="003754FE">
      <w:pPr>
        <w:pStyle w:val="SntesisAnaltica"/>
      </w:pPr>
      <w:r>
        <w:t>Vulneración del derecho a la legalidad penal y a la presunción de inocencia: condena basada en una interpretación del todo imprevisible del tipo objetivo. Votos particulares.</w:t>
      </w:r>
    </w:p>
    <w:p w14:paraId="0EE10577" w14:textId="699B708F" w:rsidR="003754FE" w:rsidRDefault="003754FE" w:rsidP="003754FE">
      <w:pPr>
        <w:pStyle w:val="SntesisAnaltica"/>
      </w:pPr>
    </w:p>
    <w:p w14:paraId="67EAA409" w14:textId="398A69CD" w:rsidR="003754FE" w:rsidRDefault="003754FE" w:rsidP="003754FE">
      <w:pPr>
        <w:pStyle w:val="Extracto"/>
      </w:pPr>
      <w:r>
        <w:t>1.</w:t>
      </w:r>
      <w:r>
        <w:tab/>
        <w:t xml:space="preserve">En el marco de la serie de sentencias dictadas en relación con el denominado proceso “ERE”, -que en este caso derivó en condena por delito continuado de prevaricación administrativa del art. 404 CP, en concurso medial con un delito continuado de malversación de caudales públicos del art. 432 CP-, se reitera doctrina en materia de la vulneración de los derechos a la legalidad penal </w:t>
      </w:r>
      <w:r w:rsidRPr="003754FE">
        <w:rPr>
          <w:i/>
        </w:rPr>
        <w:t xml:space="preserve">ex </w:t>
      </w:r>
      <w:r>
        <w:t xml:space="preserve">art. 25.1 CE y a la presunción de inocencia </w:t>
      </w:r>
      <w:r w:rsidRPr="003754FE">
        <w:rPr>
          <w:i/>
        </w:rPr>
        <w:t>ex</w:t>
      </w:r>
      <w:r>
        <w:t xml:space="preserve"> art. 24.2 CE (SSTC 93/2024 y 94/2024) [FFJJ 3 a 6].</w:t>
      </w:r>
    </w:p>
    <w:p w14:paraId="24A2370F" w14:textId="77777777" w:rsidR="003754FE" w:rsidRDefault="003754FE" w:rsidP="003754FE">
      <w:pPr>
        <w:pStyle w:val="Extracto"/>
      </w:pPr>
    </w:p>
    <w:p w14:paraId="36D00B47" w14:textId="77777777" w:rsidR="003754FE" w:rsidRDefault="003754FE" w:rsidP="003754FE">
      <w:pPr>
        <w:pStyle w:val="Extracto"/>
      </w:pPr>
    </w:p>
    <w:p w14:paraId="18E2EFEF"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46375E93" w14:textId="484BA417" w:rsidR="003754FE" w:rsidRDefault="003754FE" w:rsidP="003754FE">
      <w:pPr>
        <w:pStyle w:val="TextoNormal"/>
      </w:pPr>
    </w:p>
    <w:p w14:paraId="39232D91" w14:textId="77777777" w:rsidR="003754FE" w:rsidRDefault="003754FE" w:rsidP="003754FE">
      <w:pPr>
        <w:pStyle w:val="TextoNormalCentrado"/>
        <w:keepNext/>
      </w:pPr>
      <w:r>
        <w:t>EN NOMBRE DEL REY</w:t>
      </w:r>
    </w:p>
    <w:p w14:paraId="78F22101" w14:textId="7BE91DA5" w:rsidR="003754FE" w:rsidRDefault="003754FE" w:rsidP="003754FE">
      <w:pPr>
        <w:pStyle w:val="TextoNormalCentrado"/>
        <w:keepNext/>
      </w:pPr>
    </w:p>
    <w:p w14:paraId="7D7D5548" w14:textId="77777777" w:rsidR="003754FE" w:rsidRDefault="003754FE" w:rsidP="003754FE">
      <w:pPr>
        <w:pStyle w:val="TextoNormalCentrado"/>
        <w:keepNext/>
      </w:pPr>
    </w:p>
    <w:p w14:paraId="59EA3536" w14:textId="77777777" w:rsidR="003754FE" w:rsidRDefault="003754FE" w:rsidP="003754FE">
      <w:pPr>
        <w:pStyle w:val="TextoNormal"/>
      </w:pPr>
      <w:r>
        <w:t>la siguiente</w:t>
      </w:r>
    </w:p>
    <w:p w14:paraId="0460272D" w14:textId="77CBA0F1" w:rsidR="003754FE" w:rsidRDefault="003754FE" w:rsidP="003754FE">
      <w:pPr>
        <w:pStyle w:val="TextoNormal"/>
      </w:pPr>
    </w:p>
    <w:p w14:paraId="204D9FC5" w14:textId="77777777" w:rsidR="003754FE" w:rsidRDefault="003754FE" w:rsidP="003754FE">
      <w:pPr>
        <w:pStyle w:val="TextoNormalCentrado"/>
        <w:keepNext/>
      </w:pPr>
      <w:r>
        <w:t>SENTENCIA</w:t>
      </w:r>
    </w:p>
    <w:p w14:paraId="07B5C868" w14:textId="63D5E8B7" w:rsidR="003754FE" w:rsidRDefault="003754FE" w:rsidP="003754FE">
      <w:pPr>
        <w:pStyle w:val="TextoNormalCentrado"/>
        <w:keepNext/>
      </w:pPr>
    </w:p>
    <w:p w14:paraId="138D90A3" w14:textId="77777777" w:rsidR="003754FE" w:rsidRDefault="003754FE" w:rsidP="003754FE">
      <w:pPr>
        <w:pStyle w:val="TextoNormal"/>
      </w:pPr>
      <w:r>
        <w:t xml:space="preserve">En el recurso de amparo núm. 2119-2023, promovido por don José Antonio Griñán Martínez, representado por el procurador de los tribunales don Roberto Primitivo Granizo Palomeque, bajo la dirección letrada de don José María Calero Martínez, contra (i) la sentencia núm. 490/2019, de 19 de noviembre, dictada por la Sección Primera de la Audiencia Provincial de Sevilla en el rollo núm. 1965-2017, dimanante del procedimiento abreviado núm. 133-2016; (ii) la sentencia núm. 749/2022, de 13 de septiembre, de la Sala de lo Penal del Tribunal Supremo, dictada en el recurso de casación núm. 601-2020, y (iii) el auto de 16 de febrero de 2023 dictado en el mismo recurso. Han sido parte el Partido Popular, representado por el procurador de los tribunales don Manuel Sánchez-Puelles y González-Carvajal, bajo la dirección técnica de los letrados don Ángel Márquez Prieto y don Alfonso Martínez Escribano; don Gaspar Zarrías Arévalo, representado por la procuradora de los tribunales </w:t>
      </w:r>
      <w:r>
        <w:lastRenderedPageBreak/>
        <w:t>doña Virginia Aragón Segura, bajo la dirección técnica del letrado don Gonzalo Martínez-Fresneda Ortiz de Solórzano; don Francisco Vallejo Serrano, representado por la procuradora de los tribunales doña Patricia Rosch Iglesias, bajo la dirección técnica de la letrada doña María Encarnación Molino Barrero; don Jesús María Rodríguez Román, representado por la procuradora de los tribunales doña Patricia Rosch Iglesias, bajo la dirección técnica del letrado don Luis Aparicio Díaz; don Antonio Vicente Lozano Peña, representado por el procurador de los tribunales don Roberto Primitivo Granizo Palomeque, bajo la dirección técnica del letrado don José María Calero Martínez; y doña Carmen Martínez Aguayo, representada por la procuradora de los tribunales doña Olga Coca Alonso, bajo la dirección técnica del letrado don Víctor Moreno Catena. Ha intervenido el Ministerio Fiscal. Ha sido ponente la magistrada doña Inmaculada Montalbán Huertas.</w:t>
      </w:r>
    </w:p>
    <w:p w14:paraId="0D7BC9A0" w14:textId="00D2016E" w:rsidR="003754FE" w:rsidRDefault="003754FE" w:rsidP="003754FE">
      <w:pPr>
        <w:pStyle w:val="TextoNormal"/>
      </w:pPr>
    </w:p>
    <w:p w14:paraId="74921312" w14:textId="77777777" w:rsidR="003754FE" w:rsidRDefault="003754FE" w:rsidP="003754FE">
      <w:pPr>
        <w:pStyle w:val="TextoNormalNegritaCentrado"/>
        <w:keepNext/>
      </w:pPr>
      <w:r>
        <w:t>I. Antecedentes</w:t>
      </w:r>
    </w:p>
    <w:p w14:paraId="62CE10F3" w14:textId="166D2787" w:rsidR="003754FE" w:rsidRDefault="003754FE" w:rsidP="003754FE">
      <w:pPr>
        <w:pStyle w:val="TextoNormalNegritaCentrado"/>
        <w:keepNext/>
      </w:pPr>
    </w:p>
    <w:p w14:paraId="44F74D8C" w14:textId="27F408F4" w:rsidR="003754FE" w:rsidRDefault="003754FE" w:rsidP="003754FE">
      <w:pPr>
        <w:pStyle w:val="TextoNormal"/>
      </w:pPr>
      <w:r w:rsidRPr="003754FE">
        <w:rPr>
          <w:rStyle w:val="NumeroAFNegritaCaracter"/>
        </w:rPr>
        <w:t>1</w:t>
      </w:r>
      <w:r>
        <w:t>. El procurador de los tribunales don Roberto Primitivo Granizo Palomeque, en nombre y representación de don José Antonio Griñán Martínez, bajo la dirección letrada de don José María Calero Martínez, interpuso recurso de amparo contra las resoluciones judiciales que se mencionan en el encabezamiento de esta sentencia, mediante escrito registrado en este tribunal el 30 de marzo de 2023.</w:t>
      </w:r>
    </w:p>
    <w:p w14:paraId="4E7CD674" w14:textId="77777777" w:rsidR="003754FE" w:rsidRDefault="003754FE" w:rsidP="003754FE">
      <w:pPr>
        <w:pStyle w:val="TextoNormal"/>
      </w:pPr>
    </w:p>
    <w:p w14:paraId="540585C7" w14:textId="77777777" w:rsidR="003754FE" w:rsidRDefault="003754FE" w:rsidP="003754FE">
      <w:pPr>
        <w:pStyle w:val="TextoNormal"/>
      </w:pPr>
      <w:r w:rsidRPr="003754FE">
        <w:rPr>
          <w:rStyle w:val="NumeroAFNegritaCaracter"/>
        </w:rPr>
        <w:t>2</w:t>
      </w:r>
      <w:r>
        <w:t>. Son antecedentes relevantes de la demanda los siguientes:</w:t>
      </w:r>
    </w:p>
    <w:p w14:paraId="18B18FB8" w14:textId="77777777" w:rsidR="003754FE" w:rsidRDefault="003754FE" w:rsidP="003754FE">
      <w:pPr>
        <w:pStyle w:val="TextoNormal"/>
      </w:pPr>
    </w:p>
    <w:p w14:paraId="7D5BAEE1" w14:textId="77777777" w:rsidR="003754FE" w:rsidRDefault="003754FE" w:rsidP="003754FE">
      <w:pPr>
        <w:pStyle w:val="TextoNormal"/>
      </w:pPr>
      <w:r>
        <w:t>a) Por sentencia dictada el 19 de noviembre de 2019, la Sección Primera de la Audiencia Provincial de Sevilla condenó, en el marco de la denominada “pieza específica” del caso “ERE”, a diversos miembros del Gobierno y de la administración de la Junta de Andalucía —incluyendo desde presidentes de la comunidad autónoma a directores generales— por haber intervenido, a lo largo de casi diez años, en el diseño de un sistema de concesión y/o ejecución de ayudas sociolaborales.</w:t>
      </w:r>
    </w:p>
    <w:p w14:paraId="59FB7A54" w14:textId="77777777" w:rsidR="003754FE" w:rsidRDefault="003754FE" w:rsidP="003754FE">
      <w:pPr>
        <w:pStyle w:val="TextoNormal"/>
      </w:pPr>
    </w:p>
    <w:p w14:paraId="20E9B382" w14:textId="77777777" w:rsidR="003754FE" w:rsidRDefault="003754FE" w:rsidP="003754FE">
      <w:pPr>
        <w:pStyle w:val="TextoNormal"/>
      </w:pPr>
      <w:r>
        <w:t>Según el resumen efectuado por el Tribunal Supremo en la sentencia de casación (fundamento de Derecho 1, pág. 97 y siguientes), los hechos en los que se habría articulado el sistema de concesión de ayudas sociolaborales se dividirían en tres etapas diferentes:</w:t>
      </w:r>
    </w:p>
    <w:p w14:paraId="2D6A685F" w14:textId="77777777" w:rsidR="003754FE" w:rsidRDefault="003754FE" w:rsidP="003754FE">
      <w:pPr>
        <w:pStyle w:val="TextoNormal"/>
      </w:pPr>
    </w:p>
    <w:p w14:paraId="44BD6014" w14:textId="77777777" w:rsidR="003754FE" w:rsidRDefault="003754FE" w:rsidP="003754FE">
      <w:pPr>
        <w:pStyle w:val="TextoNormal"/>
      </w:pPr>
      <w:r>
        <w:t>“I) Primera etapa</w:t>
      </w:r>
    </w:p>
    <w:p w14:paraId="344DFED3" w14:textId="77777777" w:rsidR="003754FE" w:rsidRDefault="003754FE" w:rsidP="003754FE">
      <w:pPr>
        <w:pStyle w:val="TextoNormal"/>
      </w:pPr>
    </w:p>
    <w:p w14:paraId="2847235D" w14:textId="77777777" w:rsidR="003754FE" w:rsidRDefault="003754FE" w:rsidP="003754FE">
      <w:pPr>
        <w:pStyle w:val="TextoNormal"/>
      </w:pPr>
      <w:r>
        <w:t>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14:paraId="2A37478C" w14:textId="77777777" w:rsidR="003754FE" w:rsidRDefault="003754FE" w:rsidP="003754FE">
      <w:pPr>
        <w:pStyle w:val="TextoNormal"/>
      </w:pPr>
    </w:p>
    <w:p w14:paraId="679D04D8" w14:textId="77777777" w:rsidR="003754FE" w:rsidRDefault="003754FE" w:rsidP="003754FE">
      <w:pPr>
        <w:pStyle w:val="TextoNormal"/>
      </w:pPr>
      <w:r>
        <w:t xml:space="preserve">La aplicación presupuestaria que se utilizaba para clasificar este gasto era la 0.1 13.00.01.00.48100, dentro del programa 22E, relativa a transferencias corrientes a </w:t>
      </w:r>
      <w:r>
        <w:lastRenderedPageBreak/>
        <w:t>empresas, particulares y entidades sin ánimo de lucro y se tramitaba como una subvención excepcional, sujeta a fiscalización previa.</w:t>
      </w:r>
    </w:p>
    <w:p w14:paraId="7792D082" w14:textId="77777777" w:rsidR="003754FE" w:rsidRDefault="003754FE" w:rsidP="003754FE">
      <w:pPr>
        <w:pStyle w:val="TextoNormal"/>
      </w:pPr>
    </w:p>
    <w:p w14:paraId="1A961F68" w14:textId="77777777" w:rsidR="003754FE" w:rsidRDefault="003754FE" w:rsidP="003754FE">
      <w:pPr>
        <w:pStyle w:val="TextoNormal"/>
      </w:pPr>
      <w:r>
        <w:t>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14:paraId="01781DAA" w14:textId="77777777" w:rsidR="003754FE" w:rsidRDefault="003754FE" w:rsidP="003754FE">
      <w:pPr>
        <w:pStyle w:val="TextoNormal"/>
      </w:pPr>
    </w:p>
    <w:p w14:paraId="1338CC19" w14:textId="77777777" w:rsidR="003754FE" w:rsidRDefault="003754FE" w:rsidP="003754FE">
      <w:pPr>
        <w:pStyle w:val="TextoNormal"/>
      </w:pPr>
      <w:r>
        <w:t>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14:paraId="1C7AE745" w14:textId="77777777" w:rsidR="003754FE" w:rsidRDefault="003754FE" w:rsidP="003754FE">
      <w:pPr>
        <w:pStyle w:val="TextoNormal"/>
      </w:pPr>
    </w:p>
    <w:p w14:paraId="506582E6" w14:textId="77777777" w:rsidR="003754FE" w:rsidRDefault="003754FE" w:rsidP="003754FE">
      <w:pPr>
        <w:pStyle w:val="TextoNormal"/>
      </w:pPr>
      <w:r>
        <w:t>Sin perjuicio de ahondar más adelante en el régimen jurídico aplicable a estas ayudas, las notas más relevantes de esta regulación eran las siguientes:</w:t>
      </w:r>
    </w:p>
    <w:p w14:paraId="128BF602" w14:textId="77777777" w:rsidR="003754FE" w:rsidRDefault="003754FE" w:rsidP="003754FE">
      <w:pPr>
        <w:pStyle w:val="TextoNormal"/>
      </w:pPr>
    </w:p>
    <w:p w14:paraId="68E5B7EA" w14:textId="77777777" w:rsidR="003754FE" w:rsidRDefault="003754FE" w:rsidP="003754FE">
      <w:pPr>
        <w:pStyle w:val="TextoNormal"/>
      </w:pPr>
      <w:r>
        <w:t>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14:paraId="19E5182C" w14:textId="77777777" w:rsidR="003754FE" w:rsidRDefault="003754FE" w:rsidP="003754FE">
      <w:pPr>
        <w:pStyle w:val="TextoNormal"/>
      </w:pPr>
    </w:p>
    <w:p w14:paraId="6492ACE9" w14:textId="77777777" w:rsidR="003754FE" w:rsidRDefault="003754FE" w:rsidP="003754FE">
      <w:pPr>
        <w:pStyle w:val="TextoNormal"/>
      </w:pPr>
      <w:r>
        <w:t>Los beneficiarios de la subvención quedaban sujetos a las siguientes obligaciones:</w:t>
      </w:r>
    </w:p>
    <w:p w14:paraId="270A02F8" w14:textId="77777777" w:rsidR="003754FE" w:rsidRDefault="003754FE" w:rsidP="003754FE">
      <w:pPr>
        <w:pStyle w:val="TextoNormal"/>
      </w:pPr>
    </w:p>
    <w:p w14:paraId="706873E6" w14:textId="77777777" w:rsidR="003754FE" w:rsidRDefault="003754FE" w:rsidP="003754FE">
      <w:pPr>
        <w:pStyle w:val="TextoNormal"/>
      </w:pPr>
      <w:r>
        <w:t>(i) Realizar la actividad o adoptar el comportamiento que fundamente la concesión de la subvención en la forma y plazos establecidos.</w:t>
      </w:r>
    </w:p>
    <w:p w14:paraId="32D04C17" w14:textId="77777777" w:rsidR="003754FE" w:rsidRDefault="003754FE" w:rsidP="003754FE">
      <w:pPr>
        <w:pStyle w:val="TextoNormal"/>
      </w:pPr>
    </w:p>
    <w:p w14:paraId="6E846495" w14:textId="77777777" w:rsidR="003754FE" w:rsidRDefault="003754FE" w:rsidP="003754FE">
      <w:pPr>
        <w:pStyle w:val="TextoNormal"/>
      </w:pPr>
      <w:r>
        <w:t>(ii) Justificar ante la entidad concedente o, en su caso, la entidad colaboradora la realización de la actividad o la adopción del comportamiento, así como el cumplimiento de los requisitos y condiciones que determinen la concesión o disfrute de la subvención.</w:t>
      </w:r>
    </w:p>
    <w:p w14:paraId="5592322C" w14:textId="77777777" w:rsidR="003754FE" w:rsidRDefault="003754FE" w:rsidP="003754FE">
      <w:pPr>
        <w:pStyle w:val="TextoNormal"/>
      </w:pPr>
    </w:p>
    <w:p w14:paraId="19300C2A" w14:textId="77777777" w:rsidR="003754FE" w:rsidRDefault="003754FE" w:rsidP="003754FE">
      <w:pPr>
        <w:pStyle w:val="TextoNormal"/>
      </w:pPr>
      <w:r>
        <w:t>(iii)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14:paraId="754D5BFE" w14:textId="77777777" w:rsidR="003754FE" w:rsidRDefault="003754FE" w:rsidP="003754FE">
      <w:pPr>
        <w:pStyle w:val="TextoNormal"/>
      </w:pPr>
    </w:p>
    <w:p w14:paraId="0EB0C8DE" w14:textId="77777777" w:rsidR="003754FE" w:rsidRDefault="003754FE" w:rsidP="003754FE">
      <w:pPr>
        <w:pStyle w:val="TextoNormal"/>
      </w:pPr>
      <w:r>
        <w:t>(iv)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14:paraId="156DD63E" w14:textId="77777777" w:rsidR="003754FE" w:rsidRDefault="003754FE" w:rsidP="003754FE">
      <w:pPr>
        <w:pStyle w:val="TextoNormal"/>
      </w:pPr>
    </w:p>
    <w:p w14:paraId="11F7FA43" w14:textId="77777777" w:rsidR="003754FE" w:rsidRDefault="003754FE" w:rsidP="003754FE">
      <w:pPr>
        <w:pStyle w:val="TextoNormal"/>
      </w:pPr>
      <w:r>
        <w:lastRenderedPageBreak/>
        <w:t>(v)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14:paraId="0A3D5A05" w14:textId="77777777" w:rsidR="003754FE" w:rsidRDefault="003754FE" w:rsidP="003754FE">
      <w:pPr>
        <w:pStyle w:val="TextoNormal"/>
      </w:pPr>
    </w:p>
    <w:p w14:paraId="5BCE67D6" w14:textId="77777777" w:rsidR="003754FE" w:rsidRDefault="003754FE" w:rsidP="003754FE">
      <w:pPr>
        <w:pStyle w:val="TextoNormal"/>
      </w:pPr>
      <w:r>
        <w:t>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14:paraId="7495EDA0" w14:textId="77777777" w:rsidR="003754FE" w:rsidRDefault="003754FE" w:rsidP="003754FE">
      <w:pPr>
        <w:pStyle w:val="TextoNormal"/>
      </w:pPr>
    </w:p>
    <w:p w14:paraId="33E5E12C" w14:textId="77777777" w:rsidR="003754FE" w:rsidRDefault="003754FE" w:rsidP="003754FE">
      <w:pPr>
        <w:pStyle w:val="TextoNormal"/>
      </w:pPr>
      <w:r>
        <w:t>En las bases reguladoras se podía disponer que la entrega fuera realizada por entidades colaboradoras. Las empresas públicas de Andalucía podían ser entidades colaboradoras y también se establecían a su cargo las siguientes obligaciones:</w:t>
      </w:r>
    </w:p>
    <w:p w14:paraId="25E2E844" w14:textId="77777777" w:rsidR="003754FE" w:rsidRDefault="003754FE" w:rsidP="003754FE">
      <w:pPr>
        <w:pStyle w:val="TextoNormal"/>
      </w:pPr>
    </w:p>
    <w:p w14:paraId="3710F6D6" w14:textId="77777777" w:rsidR="003754FE" w:rsidRDefault="003754FE" w:rsidP="003754FE">
      <w:pPr>
        <w:pStyle w:val="TextoNormal"/>
      </w:pPr>
      <w:r>
        <w:t>(i) Entregar a los beneficiarios los fondos recibidos de acuerdo con los criterios establecidos en las normas reguladoras de la subvención o ayuda.</w:t>
      </w:r>
    </w:p>
    <w:p w14:paraId="71E3C3AF" w14:textId="77777777" w:rsidR="003754FE" w:rsidRDefault="003754FE" w:rsidP="003754FE">
      <w:pPr>
        <w:pStyle w:val="TextoNormal"/>
      </w:pPr>
    </w:p>
    <w:p w14:paraId="27D399A4" w14:textId="77777777" w:rsidR="003754FE" w:rsidRDefault="003754FE" w:rsidP="003754FE">
      <w:pPr>
        <w:pStyle w:val="TextoNormal"/>
      </w:pPr>
      <w:r>
        <w:t>(ii) Verificar, en su caso, el cumplimiento y efectividad de las condiciones determinantes para su otorgamiento.</w:t>
      </w:r>
    </w:p>
    <w:p w14:paraId="24CB904B" w14:textId="77777777" w:rsidR="003754FE" w:rsidRDefault="003754FE" w:rsidP="003754FE">
      <w:pPr>
        <w:pStyle w:val="TextoNormal"/>
      </w:pPr>
    </w:p>
    <w:p w14:paraId="0EC4A895" w14:textId="77777777" w:rsidR="003754FE" w:rsidRDefault="003754FE" w:rsidP="003754FE">
      <w:pPr>
        <w:pStyle w:val="TextoNormal"/>
      </w:pPr>
      <w:r>
        <w:t>(iii) Justificar la aplicación de los fondos recibidos ante la entidad concedente y, en su caso, entregar la justificación presentada por los beneficiarios.</w:t>
      </w:r>
    </w:p>
    <w:p w14:paraId="49186D56" w14:textId="77777777" w:rsidR="003754FE" w:rsidRDefault="003754FE" w:rsidP="003754FE">
      <w:pPr>
        <w:pStyle w:val="TextoNormal"/>
      </w:pPr>
    </w:p>
    <w:p w14:paraId="108F0749" w14:textId="77777777" w:rsidR="003754FE" w:rsidRDefault="003754FE" w:rsidP="003754FE">
      <w:pPr>
        <w:pStyle w:val="TextoNormal"/>
      </w:pPr>
      <w:r>
        <w:t>(iv)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14:paraId="47EE2D3D" w14:textId="77777777" w:rsidR="003754FE" w:rsidRDefault="003754FE" w:rsidP="003754FE">
      <w:pPr>
        <w:pStyle w:val="TextoNormal"/>
      </w:pPr>
    </w:p>
    <w:p w14:paraId="33795297" w14:textId="77777777" w:rsidR="003754FE" w:rsidRDefault="003754FE" w:rsidP="003754FE">
      <w:pPr>
        <w:pStyle w:val="TextoNormal"/>
      </w:pPr>
      <w:r>
        <w:t>(v) Colaborar en la restitución de las subvenciones otorgadas en los supuestos en que concurra causa de reintegro, y conforme a las normas que se establezcan (artículo 106).</w:t>
      </w:r>
    </w:p>
    <w:p w14:paraId="6373E389" w14:textId="77777777" w:rsidR="003754FE" w:rsidRDefault="003754FE" w:rsidP="003754FE">
      <w:pPr>
        <w:pStyle w:val="TextoNormal"/>
      </w:pPr>
    </w:p>
    <w:p w14:paraId="77E21E03" w14:textId="77777777" w:rsidR="003754FE" w:rsidRDefault="003754FE" w:rsidP="003754FE">
      <w:pPr>
        <w:pStyle w:val="TextoNormal"/>
      </w:pPr>
      <w:r>
        <w:t>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14:paraId="6237D2EC" w14:textId="77777777" w:rsidR="003754FE" w:rsidRDefault="003754FE" w:rsidP="003754FE">
      <w:pPr>
        <w:pStyle w:val="TextoNormal"/>
      </w:pPr>
    </w:p>
    <w:p w14:paraId="132BBED7" w14:textId="77777777" w:rsidR="003754FE" w:rsidRDefault="003754FE" w:rsidP="003754FE">
      <w:pPr>
        <w:pStyle w:val="TextoNormal"/>
      </w:pPr>
      <w:r>
        <w:t>Los proyectos de normas reguladoras de la concesión de subvenciones debían ser sometidos a informe de la Intervención General de la Junta de Andalucía, antes de su aprobación, y publicados en el ‘Boletín Oficial de la Junta de Andalucía’ (artículo 107).</w:t>
      </w:r>
    </w:p>
    <w:p w14:paraId="43AF07DD" w14:textId="77777777" w:rsidR="003754FE" w:rsidRDefault="003754FE" w:rsidP="003754FE">
      <w:pPr>
        <w:pStyle w:val="TextoNormal"/>
      </w:pPr>
    </w:p>
    <w:p w14:paraId="7B7DCCE2" w14:textId="77777777" w:rsidR="003754FE" w:rsidRDefault="003754FE" w:rsidP="003754FE">
      <w:pPr>
        <w:pStyle w:val="TextoNormal"/>
      </w:pPr>
      <w:r>
        <w:t>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w:t>
      </w:r>
      <w:r w:rsidRPr="003754FE">
        <w:rPr>
          <w:i/>
        </w:rPr>
        <w:t xml:space="preserve"> 85</w:t>
      </w:r>
      <w:r>
        <w:t xml:space="preserve"> bis de la citada ley.</w:t>
      </w:r>
    </w:p>
    <w:p w14:paraId="75F93C2C" w14:textId="77777777" w:rsidR="003754FE" w:rsidRDefault="003754FE" w:rsidP="003754FE">
      <w:pPr>
        <w:pStyle w:val="TextoNormal"/>
      </w:pPr>
    </w:p>
    <w:p w14:paraId="3CB35A28" w14:textId="77777777" w:rsidR="003754FE" w:rsidRDefault="003754FE" w:rsidP="003754FE">
      <w:pPr>
        <w:pStyle w:val="TextoNormal"/>
      </w:pPr>
      <w:r>
        <w:t>II) Segunda etapa</w:t>
      </w:r>
    </w:p>
    <w:p w14:paraId="75DCA975" w14:textId="77777777" w:rsidR="003754FE" w:rsidRDefault="003754FE" w:rsidP="003754FE">
      <w:pPr>
        <w:pStyle w:val="TextoNormal"/>
      </w:pPr>
    </w:p>
    <w:p w14:paraId="5FF61E50" w14:textId="77777777" w:rsidR="003754FE" w:rsidRDefault="003754FE" w:rsidP="003754FE">
      <w:pPr>
        <w:pStyle w:val="TextoNormal"/>
      </w:pPr>
      <w:r>
        <w:t>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14:paraId="14D213C3" w14:textId="77777777" w:rsidR="003754FE" w:rsidRDefault="003754FE" w:rsidP="003754FE">
      <w:pPr>
        <w:pStyle w:val="TextoNormal"/>
      </w:pPr>
    </w:p>
    <w:p w14:paraId="78389A72" w14:textId="77777777" w:rsidR="003754FE" w:rsidRDefault="003754FE" w:rsidP="003754FE">
      <w:pPr>
        <w:pStyle w:val="TextoNormal"/>
      </w:pPr>
      <w:r>
        <w:t>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14:paraId="008C8790" w14:textId="77777777" w:rsidR="003754FE" w:rsidRDefault="003754FE" w:rsidP="003754FE">
      <w:pPr>
        <w:pStyle w:val="TextoNormal"/>
      </w:pPr>
    </w:p>
    <w:p w14:paraId="4C7857F6" w14:textId="77777777" w:rsidR="003754FE" w:rsidRDefault="003754FE" w:rsidP="003754FE">
      <w:pPr>
        <w:pStyle w:val="TextoNormal"/>
      </w:pPr>
      <w:r>
        <w:t>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14:paraId="2A501E0E" w14:textId="77777777" w:rsidR="003754FE" w:rsidRDefault="003754FE" w:rsidP="003754FE">
      <w:pPr>
        <w:pStyle w:val="TextoNormal"/>
      </w:pPr>
    </w:p>
    <w:p w14:paraId="7F540A4F" w14:textId="77777777" w:rsidR="003754FE" w:rsidRDefault="003754FE" w:rsidP="003754FE">
      <w:pPr>
        <w:pStyle w:val="TextoNormal"/>
      </w:pPr>
      <w:r>
        <w:t>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(IGAE).</w:t>
      </w:r>
    </w:p>
    <w:p w14:paraId="1C2EF4EA" w14:textId="77777777" w:rsidR="003754FE" w:rsidRDefault="003754FE" w:rsidP="003754FE">
      <w:pPr>
        <w:pStyle w:val="TextoNormal"/>
      </w:pPr>
    </w:p>
    <w:p w14:paraId="6FE14D47" w14:textId="77777777" w:rsidR="003754FE" w:rsidRDefault="003754FE" w:rsidP="003754FE">
      <w:pPr>
        <w:pStyle w:val="TextoNormal"/>
      </w:pPr>
      <w:r>
        <w:t>Ante las dificultades surgidas, en abril de 2000 se procedió a una modificación presupuestaria, bajo la iniciativa de la Consejería de Empleo. Se modificó la clasificación económica del gasto.</w:t>
      </w:r>
    </w:p>
    <w:p w14:paraId="158036F9" w14:textId="77777777" w:rsidR="003754FE" w:rsidRDefault="003754FE" w:rsidP="003754FE">
      <w:pPr>
        <w:pStyle w:val="TextoNormal"/>
      </w:pPr>
    </w:p>
    <w:p w14:paraId="60370E30" w14:textId="77777777" w:rsidR="003754FE" w:rsidRDefault="003754FE" w:rsidP="003754FE">
      <w:pPr>
        <w:pStyle w:val="TextoNormal"/>
      </w:pPr>
      <w:r>
        <w:t>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14:paraId="10CD4D39" w14:textId="77777777" w:rsidR="003754FE" w:rsidRDefault="003754FE" w:rsidP="003754FE">
      <w:pPr>
        <w:pStyle w:val="TextoNormal"/>
      </w:pPr>
    </w:p>
    <w:p w14:paraId="32402CCB" w14:textId="77777777" w:rsidR="003754FE" w:rsidRDefault="003754FE" w:rsidP="003754FE">
      <w:pPr>
        <w:pStyle w:val="TextoNormal"/>
      </w:pPr>
      <w:r>
        <w:t>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14:paraId="0AA81AD4" w14:textId="77777777" w:rsidR="003754FE" w:rsidRDefault="003754FE" w:rsidP="003754FE">
      <w:pPr>
        <w:pStyle w:val="TextoNormal"/>
      </w:pPr>
    </w:p>
    <w:p w14:paraId="61DD2676" w14:textId="77777777" w:rsidR="003754FE" w:rsidRDefault="003754FE" w:rsidP="003754FE">
      <w:pPr>
        <w:pStyle w:val="TextoNormal"/>
      </w:pPr>
      <w:r>
        <w:t xml:space="preserve">En vez de aprobar una nueva normativa o de cumplir con la normativa entonces vigente se inclinaron por la utilización de un indebido criterio de presupuestación, que permitía </w:t>
      </w:r>
      <w:r>
        <w:lastRenderedPageBreak/>
        <w:t>conceder las subvenciones de forma libre, sin control previo de la Intervención y sin cumplir con los requisitos de las normas reguladoras de las subvenciones.</w:t>
      </w:r>
    </w:p>
    <w:p w14:paraId="783EF473" w14:textId="77777777" w:rsidR="003754FE" w:rsidRDefault="003754FE" w:rsidP="003754FE">
      <w:pPr>
        <w:pStyle w:val="TextoNormal"/>
      </w:pPr>
    </w:p>
    <w:p w14:paraId="2B8A5E35" w14:textId="77777777" w:rsidR="003754FE" w:rsidRDefault="003754FE" w:rsidP="003754FE">
      <w:pPr>
        <w:pStyle w:val="TextoNormal"/>
      </w:pPr>
      <w:r>
        <w:t>A tal fin idearon un mecanismo que, como indica el Ministerio Fiscal en su informe, era relativamente sencillo y sumamente eficaz para la finalidad perseguida. Tanto en los proyectos de presupuestos como en las distintas modificaciones presupuestarias aprobadas durante siete años, cambiaron la clasificación presupuestaria que se venía haciendo, incluyendo las ayudas sociolaborales en la partida de ‘Transferencia de financiación al IFA’.</w:t>
      </w:r>
    </w:p>
    <w:p w14:paraId="7CA2673D" w14:textId="77777777" w:rsidR="003754FE" w:rsidRDefault="003754FE" w:rsidP="003754FE">
      <w:pPr>
        <w:pStyle w:val="TextoNormal"/>
      </w:pPr>
    </w:p>
    <w:p w14:paraId="24715E9B" w14:textId="77777777" w:rsidR="003754FE" w:rsidRDefault="003754FE" w:rsidP="003754FE">
      <w:pPr>
        <w:pStyle w:val="TextoNormal"/>
      </w:pPr>
      <w:r>
        <w:t>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w:t>
      </w:r>
      <w:r w:rsidRPr="003754FE">
        <w:rPr>
          <w:i/>
        </w:rPr>
        <w:t>o a posterio</w:t>
      </w:r>
      <w:r>
        <w:t>ri.</w:t>
      </w:r>
    </w:p>
    <w:p w14:paraId="3DEB9666" w14:textId="77777777" w:rsidR="003754FE" w:rsidRDefault="003754FE" w:rsidP="003754FE">
      <w:pPr>
        <w:pStyle w:val="TextoNormal"/>
      </w:pPr>
    </w:p>
    <w:p w14:paraId="16ABC88E" w14:textId="77777777" w:rsidR="003754FE" w:rsidRDefault="003754FE" w:rsidP="003754FE">
      <w:pPr>
        <w:pStyle w:val="TextoNormal"/>
      </w:pPr>
      <w:r>
        <w:t>En efecto, el expediente de las transferencias de financiación no precisa la identificación de los destinatarios de las ayudas. Únicamente requiere consignar:</w:t>
      </w:r>
    </w:p>
    <w:p w14:paraId="5D4D7F26" w14:textId="77777777" w:rsidR="003754FE" w:rsidRDefault="003754FE" w:rsidP="003754FE">
      <w:pPr>
        <w:pStyle w:val="TextoNormal"/>
      </w:pPr>
    </w:p>
    <w:p w14:paraId="6AF1C7D0" w14:textId="77777777" w:rsidR="003754FE" w:rsidRDefault="003754FE" w:rsidP="003754FE">
      <w:pPr>
        <w:pStyle w:val="TextoNormal"/>
      </w:pPr>
      <w:r>
        <w:t>(i) La propuesta de resolución del órgano competente autorizando la transferencia.</w:t>
      </w:r>
    </w:p>
    <w:p w14:paraId="75A9395E" w14:textId="77777777" w:rsidR="003754FE" w:rsidRDefault="003754FE" w:rsidP="003754FE">
      <w:pPr>
        <w:pStyle w:val="TextoNormal"/>
      </w:pPr>
    </w:p>
    <w:p w14:paraId="4DBB54F6" w14:textId="77777777" w:rsidR="003754FE" w:rsidRDefault="003754FE" w:rsidP="003754FE">
      <w:pPr>
        <w:pStyle w:val="TextoNormal"/>
      </w:pPr>
      <w:r>
        <w:t>(ii) El calendario de pagos aprobado por la Dirección General de Tesorería.</w:t>
      </w:r>
    </w:p>
    <w:p w14:paraId="5F13AA2A" w14:textId="77777777" w:rsidR="003754FE" w:rsidRDefault="003754FE" w:rsidP="003754FE">
      <w:pPr>
        <w:pStyle w:val="TextoNormal"/>
      </w:pPr>
    </w:p>
    <w:p w14:paraId="7B90721B" w14:textId="77777777" w:rsidR="003754FE" w:rsidRDefault="003754FE" w:rsidP="003754FE">
      <w:pPr>
        <w:pStyle w:val="TextoNormal"/>
      </w:pPr>
      <w:r>
        <w:t>(iii) Los documentos contables acreditativos de la consignación presupuestaria y el programa de actuación (PAIF) publicado en el ‘Boletín Oficial de la Junta de Andalucía’ por orden de la Consejería de Hacienda.</w:t>
      </w:r>
    </w:p>
    <w:p w14:paraId="2B38E9D7" w14:textId="77777777" w:rsidR="003754FE" w:rsidRDefault="003754FE" w:rsidP="003754FE">
      <w:pPr>
        <w:pStyle w:val="TextoNormal"/>
      </w:pPr>
    </w:p>
    <w:p w14:paraId="7D27AC5F" w14:textId="77777777" w:rsidR="003754FE" w:rsidRDefault="003754FE" w:rsidP="003754FE">
      <w:pPr>
        <w:pStyle w:val="TextoNormal"/>
      </w:pPr>
      <w:r>
        <w:t>Y en la fiscalización posterior de la actividad del IFA, realizada a través del llamado ‘control financiero permanente’, conforme a lo previsto en el […] Decreto 9/1999, de 19 de enero, únicamente tenía un triple objetivo:</w:t>
      </w:r>
    </w:p>
    <w:p w14:paraId="61E04D2C" w14:textId="77777777" w:rsidR="003754FE" w:rsidRDefault="003754FE" w:rsidP="003754FE">
      <w:pPr>
        <w:pStyle w:val="TextoNormal"/>
      </w:pPr>
    </w:p>
    <w:p w14:paraId="3CB80721" w14:textId="77777777" w:rsidR="003754FE" w:rsidRDefault="003754FE" w:rsidP="003754FE">
      <w:pPr>
        <w:pStyle w:val="TextoNormal"/>
      </w:pPr>
      <w:r>
        <w:t>(i) Comprobar el cumplimiento de la legalidad;</w:t>
      </w:r>
    </w:p>
    <w:p w14:paraId="580ECD72" w14:textId="77777777" w:rsidR="003754FE" w:rsidRDefault="003754FE" w:rsidP="003754FE">
      <w:pPr>
        <w:pStyle w:val="TextoNormal"/>
      </w:pPr>
    </w:p>
    <w:p w14:paraId="6A45D8D6" w14:textId="77777777" w:rsidR="003754FE" w:rsidRDefault="003754FE" w:rsidP="003754FE">
      <w:pPr>
        <w:pStyle w:val="TextoNormal"/>
      </w:pPr>
      <w:r>
        <w:t>(ii) examinar las cuentas anuales y</w:t>
      </w:r>
    </w:p>
    <w:p w14:paraId="503D4A70" w14:textId="77777777" w:rsidR="003754FE" w:rsidRDefault="003754FE" w:rsidP="003754FE">
      <w:pPr>
        <w:pStyle w:val="TextoNormal"/>
      </w:pPr>
    </w:p>
    <w:p w14:paraId="426A04BD" w14:textId="77777777" w:rsidR="003754FE" w:rsidRDefault="003754FE" w:rsidP="003754FE">
      <w:pPr>
        <w:pStyle w:val="TextoNormal"/>
      </w:pPr>
      <w:r>
        <w:t>(iii) examinar críticamente la gestión de los programas asignados al Instituto. Este control no tenía utilidad alguna para conocer el destino de las subvenciones, dado que se limitaba al control de la transferencia.</w:t>
      </w:r>
    </w:p>
    <w:p w14:paraId="7DED67BA" w14:textId="77777777" w:rsidR="003754FE" w:rsidRDefault="003754FE" w:rsidP="003754FE">
      <w:pPr>
        <w:pStyle w:val="TextoNormal"/>
      </w:pPr>
    </w:p>
    <w:p w14:paraId="16D4AAEB" w14:textId="77777777" w:rsidR="003754FE" w:rsidRDefault="003754FE" w:rsidP="003754FE">
      <w:pPr>
        <w:pStyle w:val="TextoNormal"/>
      </w:pPr>
      <w:r>
        <w:t>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14:paraId="5EB29CA5" w14:textId="77777777" w:rsidR="003754FE" w:rsidRDefault="003754FE" w:rsidP="003754FE">
      <w:pPr>
        <w:pStyle w:val="TextoNormal"/>
      </w:pPr>
    </w:p>
    <w:p w14:paraId="1760D14B" w14:textId="77777777" w:rsidR="003754FE" w:rsidRDefault="003754FE" w:rsidP="003754FE">
      <w:pPr>
        <w:pStyle w:val="TextoNormal"/>
      </w:pPr>
      <w:r>
        <w:lastRenderedPageBreak/>
        <w:t>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14:paraId="46C5BD1E" w14:textId="77777777" w:rsidR="003754FE" w:rsidRDefault="003754FE" w:rsidP="003754FE">
      <w:pPr>
        <w:pStyle w:val="TextoNormal"/>
      </w:pPr>
    </w:p>
    <w:p w14:paraId="37D2C93C" w14:textId="77777777" w:rsidR="003754FE" w:rsidRDefault="003754FE" w:rsidP="003754FE">
      <w:pPr>
        <w:pStyle w:val="TextoNormal"/>
      </w:pPr>
      <w:r>
        <w:t>El convenio marco no fue publicado en el ‘Boletín Oficial de la Junta de Andalucía’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14:paraId="19EEAA5F" w14:textId="77777777" w:rsidR="003754FE" w:rsidRDefault="003754FE" w:rsidP="003754FE">
      <w:pPr>
        <w:pStyle w:val="TextoNormal"/>
      </w:pPr>
    </w:p>
    <w:p w14:paraId="470F623F" w14:textId="77777777" w:rsidR="003754FE" w:rsidRDefault="003754FE" w:rsidP="003754FE">
      <w:pPr>
        <w:pStyle w:val="TextoNormal"/>
      </w:pPr>
      <w:r>
        <w:t>A partir de 2002 y hasta el año 2009, con la finalidad de evitar todo control y con conciencia de los incumplimientos ya reseñados, se procedieron a elaborar y aprobar los proyectos de ley de presupuestos en los que se incluía la partida ‘Transferencias al IFA en materia de relaciones laborales’ en el nuevo programa 31L, que sustituía al 22E.</w:t>
      </w:r>
    </w:p>
    <w:p w14:paraId="087D04C9" w14:textId="77777777" w:rsidR="003754FE" w:rsidRDefault="003754FE" w:rsidP="003754FE">
      <w:pPr>
        <w:pStyle w:val="TextoNormal"/>
      </w:pPr>
    </w:p>
    <w:p w14:paraId="471BA621" w14:textId="77777777" w:rsidR="003754FE" w:rsidRDefault="003754FE" w:rsidP="003754FE">
      <w:pPr>
        <w:pStyle w:val="TextoNormal"/>
      </w:pPr>
      <w:r>
        <w:t>Por tanto, utilizando el criterio de presupuestación al que antes nos hemos referido se incluyeron las siguientes partidas presupuestarias:</w:t>
      </w:r>
    </w:p>
    <w:p w14:paraId="2AAFE6B8" w14:textId="77777777" w:rsidR="003754FE" w:rsidRDefault="003754FE" w:rsidP="003754FE">
      <w:pPr>
        <w:pStyle w:val="TextoNormal"/>
      </w:pPr>
    </w:p>
    <w:p w14:paraId="348EDCA8" w14:textId="77777777" w:rsidR="003754FE" w:rsidRDefault="003754FE" w:rsidP="003754FE">
      <w:pPr>
        <w:pStyle w:val="TextoNormal"/>
      </w:pPr>
      <w:r>
        <w:t>- En 2002: 34 341 351 €.</w:t>
      </w:r>
    </w:p>
    <w:p w14:paraId="7CE3AD68" w14:textId="77777777" w:rsidR="003754FE" w:rsidRDefault="003754FE" w:rsidP="003754FE">
      <w:pPr>
        <w:pStyle w:val="TextoNormal"/>
      </w:pPr>
    </w:p>
    <w:p w14:paraId="68BBE77C" w14:textId="77777777" w:rsidR="003754FE" w:rsidRDefault="003754FE" w:rsidP="003754FE">
      <w:pPr>
        <w:pStyle w:val="TextoNormal"/>
      </w:pPr>
      <w:r>
        <w:t>- En 2003: 55 646 899 €.</w:t>
      </w:r>
    </w:p>
    <w:p w14:paraId="71626435" w14:textId="77777777" w:rsidR="003754FE" w:rsidRDefault="003754FE" w:rsidP="003754FE">
      <w:pPr>
        <w:pStyle w:val="TextoNormal"/>
      </w:pPr>
    </w:p>
    <w:p w14:paraId="5197A237" w14:textId="77777777" w:rsidR="003754FE" w:rsidRDefault="003754FE" w:rsidP="003754FE">
      <w:pPr>
        <w:pStyle w:val="TextoNormal"/>
      </w:pPr>
      <w:r>
        <w:t>- En 2004:46 146 389 €. [En este ejercicio el IFA cambió su denominación por Agencia de Innovación y Desarrollo de Andalucía (IDEA) y pasó a estar adscrito a la Consejería de Innovación, Ciencia y Empresa].</w:t>
      </w:r>
    </w:p>
    <w:p w14:paraId="76015EC6" w14:textId="77777777" w:rsidR="003754FE" w:rsidRDefault="003754FE" w:rsidP="003754FE">
      <w:pPr>
        <w:pStyle w:val="TextoNormal"/>
      </w:pPr>
    </w:p>
    <w:p w14:paraId="24388B26" w14:textId="77777777" w:rsidR="003754FE" w:rsidRDefault="003754FE" w:rsidP="003754FE">
      <w:pPr>
        <w:pStyle w:val="TextoNormal"/>
      </w:pPr>
      <w:r>
        <w:t>- En 2005: 72 261 575 €.</w:t>
      </w:r>
    </w:p>
    <w:p w14:paraId="10EDA2A4" w14:textId="77777777" w:rsidR="003754FE" w:rsidRDefault="003754FE" w:rsidP="003754FE">
      <w:pPr>
        <w:pStyle w:val="TextoNormal"/>
      </w:pPr>
    </w:p>
    <w:p w14:paraId="197FE5B1" w14:textId="77777777" w:rsidR="003754FE" w:rsidRDefault="003754FE" w:rsidP="003754FE">
      <w:pPr>
        <w:pStyle w:val="TextoNormal"/>
      </w:pPr>
      <w:r>
        <w:t>- En 2006: 77 291 000 €.</w:t>
      </w:r>
    </w:p>
    <w:p w14:paraId="18E8D41F" w14:textId="77777777" w:rsidR="003754FE" w:rsidRDefault="003754FE" w:rsidP="003754FE">
      <w:pPr>
        <w:pStyle w:val="TextoNormal"/>
      </w:pPr>
    </w:p>
    <w:p w14:paraId="23CA0578" w14:textId="77777777" w:rsidR="003754FE" w:rsidRDefault="003754FE" w:rsidP="003754FE">
      <w:pPr>
        <w:pStyle w:val="TextoNormal"/>
      </w:pPr>
      <w:r>
        <w:t>- En 2007: 79 207 500 €.</w:t>
      </w:r>
    </w:p>
    <w:p w14:paraId="030A0454" w14:textId="77777777" w:rsidR="003754FE" w:rsidRDefault="003754FE" w:rsidP="003754FE">
      <w:pPr>
        <w:pStyle w:val="TextoNormal"/>
      </w:pPr>
    </w:p>
    <w:p w14:paraId="7796901E" w14:textId="77777777" w:rsidR="003754FE" w:rsidRDefault="003754FE" w:rsidP="003754FE">
      <w:pPr>
        <w:pStyle w:val="TextoNormal"/>
      </w:pPr>
      <w:r>
        <w:t>- En 2008: 87 478 495 €.</w:t>
      </w:r>
    </w:p>
    <w:p w14:paraId="062351C0" w14:textId="77777777" w:rsidR="003754FE" w:rsidRDefault="003754FE" w:rsidP="003754FE">
      <w:pPr>
        <w:pStyle w:val="TextoNormal"/>
      </w:pPr>
    </w:p>
    <w:p w14:paraId="45123627" w14:textId="77777777" w:rsidR="003754FE" w:rsidRDefault="003754FE" w:rsidP="003754FE">
      <w:pPr>
        <w:pStyle w:val="TextoNormal"/>
      </w:pPr>
      <w:r>
        <w:t>Además de estas partidas, durante los distintos ejercicios se aprobaron modificaciones presupuestarias, que incrementaron el flujo de dinero que gestionaba el IFA/IDEA y que recibía como transferencia de financiación.</w:t>
      </w:r>
    </w:p>
    <w:p w14:paraId="305118AC" w14:textId="77777777" w:rsidR="003754FE" w:rsidRDefault="003754FE" w:rsidP="003754FE">
      <w:pPr>
        <w:pStyle w:val="TextoNormal"/>
      </w:pPr>
    </w:p>
    <w:p w14:paraId="69EEFDB4" w14:textId="77777777" w:rsidR="003754FE" w:rsidRDefault="003754FE" w:rsidP="003754FE">
      <w:pPr>
        <w:pStyle w:val="TextoNormal"/>
      </w:pPr>
      <w:r>
        <w:t>Las modificaciones presupuestarias fueron las siguientes:</w:t>
      </w:r>
    </w:p>
    <w:p w14:paraId="43836723" w14:textId="77777777" w:rsidR="003754FE" w:rsidRDefault="003754FE" w:rsidP="003754FE">
      <w:pPr>
        <w:pStyle w:val="TextoNormal"/>
      </w:pPr>
    </w:p>
    <w:p w14:paraId="00B4D6A8" w14:textId="77777777" w:rsidR="003754FE" w:rsidRDefault="003754FE" w:rsidP="003754FE">
      <w:pPr>
        <w:pStyle w:val="TextoNormal"/>
      </w:pPr>
      <w:r>
        <w:t>- Modificación de 15 de octubre de 2002, por importe de 9 944 099 €.</w:t>
      </w:r>
    </w:p>
    <w:p w14:paraId="4F7EC586" w14:textId="77777777" w:rsidR="003754FE" w:rsidRDefault="003754FE" w:rsidP="003754FE">
      <w:pPr>
        <w:pStyle w:val="TextoNormal"/>
      </w:pPr>
    </w:p>
    <w:p w14:paraId="5627CDD9" w14:textId="77777777" w:rsidR="003754FE" w:rsidRDefault="003754FE" w:rsidP="003754FE">
      <w:pPr>
        <w:pStyle w:val="TextoNormal"/>
      </w:pPr>
      <w:r>
        <w:t>- Modificación de 21 de octubre de 2002, por importe de 22 253 204,17 €.</w:t>
      </w:r>
    </w:p>
    <w:p w14:paraId="30C457F1" w14:textId="77777777" w:rsidR="003754FE" w:rsidRDefault="003754FE" w:rsidP="003754FE">
      <w:pPr>
        <w:pStyle w:val="TextoNormal"/>
      </w:pPr>
    </w:p>
    <w:p w14:paraId="67BC3A74" w14:textId="77777777" w:rsidR="003754FE" w:rsidRDefault="003754FE" w:rsidP="003754FE">
      <w:pPr>
        <w:pStyle w:val="TextoNormal"/>
      </w:pPr>
      <w:r>
        <w:t>- Modificación de 7 de diciembre de 2005, por importe de 799 895,97 €.</w:t>
      </w:r>
    </w:p>
    <w:p w14:paraId="27792393" w14:textId="77777777" w:rsidR="003754FE" w:rsidRDefault="003754FE" w:rsidP="003754FE">
      <w:pPr>
        <w:pStyle w:val="TextoNormal"/>
      </w:pPr>
    </w:p>
    <w:p w14:paraId="29E84491" w14:textId="77777777" w:rsidR="003754FE" w:rsidRDefault="003754FE" w:rsidP="003754FE">
      <w:pPr>
        <w:pStyle w:val="TextoNormal"/>
      </w:pPr>
      <w:r>
        <w:t>- Modificación de 7 de noviembre de 2006, por importe de 9 300 000 €.</w:t>
      </w:r>
    </w:p>
    <w:p w14:paraId="316B78FA" w14:textId="77777777" w:rsidR="003754FE" w:rsidRDefault="003754FE" w:rsidP="003754FE">
      <w:pPr>
        <w:pStyle w:val="TextoNormal"/>
      </w:pPr>
    </w:p>
    <w:p w14:paraId="2112AF65" w14:textId="77777777" w:rsidR="003754FE" w:rsidRDefault="003754FE" w:rsidP="003754FE">
      <w:pPr>
        <w:pStyle w:val="TextoNormal"/>
      </w:pPr>
      <w:r>
        <w:t>- Modificación de 27 de noviembre de 2007, por importe de 7 448 503,44 €.</w:t>
      </w:r>
    </w:p>
    <w:p w14:paraId="6F1F4240" w14:textId="77777777" w:rsidR="003754FE" w:rsidRDefault="003754FE" w:rsidP="003754FE">
      <w:pPr>
        <w:pStyle w:val="TextoNormal"/>
      </w:pPr>
    </w:p>
    <w:p w14:paraId="4DFABC38" w14:textId="77777777" w:rsidR="003754FE" w:rsidRDefault="003754FE" w:rsidP="003754FE">
      <w:pPr>
        <w:pStyle w:val="TextoNormal"/>
      </w:pPr>
      <w:r>
        <w:t>- Modificación de 22 de diciembre de 2008, por importe de 1 253 853,89 €.</w:t>
      </w:r>
    </w:p>
    <w:p w14:paraId="3352C2A0" w14:textId="77777777" w:rsidR="003754FE" w:rsidRDefault="003754FE" w:rsidP="003754FE">
      <w:pPr>
        <w:pStyle w:val="TextoNormal"/>
      </w:pPr>
    </w:p>
    <w:p w14:paraId="134F4070" w14:textId="77777777" w:rsidR="003754FE" w:rsidRDefault="003754FE" w:rsidP="003754FE">
      <w:pPr>
        <w:pStyle w:val="TextoNormal"/>
      </w:pPr>
      <w:r>
        <w:t>- Modificación de 22 de diciembre de 2008, por importe de 6 011 836,20 €.</w:t>
      </w:r>
    </w:p>
    <w:p w14:paraId="42E38F53" w14:textId="77777777" w:rsidR="003754FE" w:rsidRDefault="003754FE" w:rsidP="003754FE">
      <w:pPr>
        <w:pStyle w:val="TextoNormal"/>
      </w:pPr>
    </w:p>
    <w:p w14:paraId="68D8C091" w14:textId="77777777" w:rsidR="003754FE" w:rsidRDefault="003754FE" w:rsidP="003754FE">
      <w:pPr>
        <w:pStyle w:val="TextoNormal"/>
      </w:pPr>
      <w:r>
        <w:t>- Modificación de 22 de diciembre de 2008, por importe de 8 000 000 €.</w:t>
      </w:r>
    </w:p>
    <w:p w14:paraId="3337BF5D" w14:textId="77777777" w:rsidR="003754FE" w:rsidRDefault="003754FE" w:rsidP="003754FE">
      <w:pPr>
        <w:pStyle w:val="TextoNormal"/>
      </w:pPr>
    </w:p>
    <w:p w14:paraId="1DFF0110" w14:textId="77777777" w:rsidR="003754FE" w:rsidRDefault="003754FE" w:rsidP="003754FE">
      <w:pPr>
        <w:pStyle w:val="TextoNormal"/>
      </w:pPr>
      <w:r>
        <w:t>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14:paraId="3FFF06DF" w14:textId="77777777" w:rsidR="003754FE" w:rsidRDefault="003754FE" w:rsidP="003754FE">
      <w:pPr>
        <w:pStyle w:val="TextoNormal"/>
      </w:pPr>
    </w:p>
    <w:p w14:paraId="18D2C485" w14:textId="77777777" w:rsidR="003754FE" w:rsidRDefault="003754FE" w:rsidP="003754FE">
      <w:pPr>
        <w:pStyle w:val="TextoNormal"/>
      </w:pPr>
      <w:r>
        <w:t>Según han puesto de relieve distintos informes y resoluciones judiciales y administrativas, como consecuencia de todo lo anterior, las irregularidades más significativas en la concesión de las ayudas (sin hacer una enumeración exhaustiva) han sido las siguientes:</w:t>
      </w:r>
    </w:p>
    <w:p w14:paraId="22609B51" w14:textId="77777777" w:rsidR="003754FE" w:rsidRDefault="003754FE" w:rsidP="003754FE">
      <w:pPr>
        <w:pStyle w:val="TextoNormal"/>
      </w:pPr>
    </w:p>
    <w:p w14:paraId="1A9D856F" w14:textId="77777777" w:rsidR="003754FE" w:rsidRDefault="003754FE" w:rsidP="003754FE">
      <w:pPr>
        <w:pStyle w:val="TextoNormal"/>
      </w:pPr>
      <w:r>
        <w:t>- En muchos casos no ha existido expediente de concesión de la ayuda.</w:t>
      </w:r>
    </w:p>
    <w:p w14:paraId="3DC83BB1" w14:textId="77777777" w:rsidR="003754FE" w:rsidRDefault="003754FE" w:rsidP="003754FE">
      <w:pPr>
        <w:pStyle w:val="TextoNormal"/>
      </w:pPr>
    </w:p>
    <w:p w14:paraId="52A60C3D" w14:textId="77777777" w:rsidR="003754FE" w:rsidRDefault="003754FE" w:rsidP="003754FE">
      <w:pPr>
        <w:pStyle w:val="TextoNormal"/>
      </w:pPr>
      <w:r>
        <w:t>- El director general de Trabajo y Seguridad Social no tiene delegadas competencias para la concesión de subvenciones excepcionales.</w:t>
      </w:r>
    </w:p>
    <w:p w14:paraId="27B4043F" w14:textId="77777777" w:rsidR="003754FE" w:rsidRDefault="003754FE" w:rsidP="003754FE">
      <w:pPr>
        <w:pStyle w:val="TextoNormal"/>
      </w:pPr>
    </w:p>
    <w:p w14:paraId="4FDF1EDF" w14:textId="77777777" w:rsidR="003754FE" w:rsidRDefault="003754FE" w:rsidP="003754FE">
      <w:pPr>
        <w:pStyle w:val="TextoNormal"/>
      </w:pPr>
      <w:r>
        <w:t>- No consta que se haya dado publicidad a la concesión de las ayudas (artículo 109 LGHPA).</w:t>
      </w:r>
    </w:p>
    <w:p w14:paraId="2C48C945" w14:textId="77777777" w:rsidR="003754FE" w:rsidRDefault="003754FE" w:rsidP="003754FE">
      <w:pPr>
        <w:pStyle w:val="TextoNormal"/>
      </w:pPr>
    </w:p>
    <w:p w14:paraId="5C8EB3B8" w14:textId="77777777" w:rsidR="003754FE" w:rsidRDefault="003754FE" w:rsidP="003754FE">
      <w:pPr>
        <w:pStyle w:val="TextoNormal"/>
      </w:pPr>
      <w:r>
        <w:t>- Se ha omitido la fiscalización previa.</w:t>
      </w:r>
    </w:p>
    <w:p w14:paraId="0DD03E13" w14:textId="77777777" w:rsidR="003754FE" w:rsidRDefault="003754FE" w:rsidP="003754FE">
      <w:pPr>
        <w:pStyle w:val="TextoNormal"/>
      </w:pPr>
    </w:p>
    <w:p w14:paraId="15026723" w14:textId="77777777" w:rsidR="003754FE" w:rsidRDefault="003754FE" w:rsidP="003754FE">
      <w:pPr>
        <w:pStyle w:val="TextoNormal"/>
      </w:pPr>
      <w:r>
        <w:t>- No consta autorización de la concesión de la subvención por el Consejo de Gobierno por razón de la cuantía.</w:t>
      </w:r>
    </w:p>
    <w:p w14:paraId="37959C6E" w14:textId="77777777" w:rsidR="003754FE" w:rsidRDefault="003754FE" w:rsidP="003754FE">
      <w:pPr>
        <w:pStyle w:val="TextoNormal"/>
      </w:pPr>
    </w:p>
    <w:p w14:paraId="4D9335F2" w14:textId="77777777" w:rsidR="003754FE" w:rsidRDefault="003754FE" w:rsidP="003754FE">
      <w:pPr>
        <w:pStyle w:val="TextoNormal"/>
      </w:pPr>
      <w:r>
        <w:t>- No se consigna la aplicación presupuestaria del gasto y su distribución plurianual, ni el presupuesto subvencionado y el porcentaje que representa la subvención sobre el presupuesto aceptado.</w:t>
      </w:r>
    </w:p>
    <w:p w14:paraId="664D2309" w14:textId="77777777" w:rsidR="003754FE" w:rsidRDefault="003754FE" w:rsidP="003754FE">
      <w:pPr>
        <w:pStyle w:val="TextoNormal"/>
      </w:pPr>
    </w:p>
    <w:p w14:paraId="3BB588D5" w14:textId="77777777" w:rsidR="003754FE" w:rsidRDefault="003754FE" w:rsidP="003754FE">
      <w:pPr>
        <w:pStyle w:val="TextoNormal"/>
      </w:pPr>
      <w:r>
        <w:t>- No consta informe de la Dirección General de Asuntos Europeos y Cooperación, de la Consejería de Presidencia, sobre cumplimiento del deber de notificar a la Comisión las subvenciones concedidas a empresas.</w:t>
      </w:r>
    </w:p>
    <w:p w14:paraId="7D391E04" w14:textId="77777777" w:rsidR="003754FE" w:rsidRDefault="003754FE" w:rsidP="003754FE">
      <w:pPr>
        <w:pStyle w:val="TextoNormal"/>
      </w:pPr>
    </w:p>
    <w:p w14:paraId="5C4B0A7B" w14:textId="77777777" w:rsidR="003754FE" w:rsidRDefault="003754FE" w:rsidP="003754FE">
      <w:pPr>
        <w:pStyle w:val="TextoNormal"/>
      </w:pPr>
      <w:r>
        <w:lastRenderedPageBreak/>
        <w:t>- No consta memoria explicativa de la excepcionalidad de las subvenciones, ni los requisitos que se exigen para ser beneficiario, ni se detalla la forma en que debería realizarse la justificación del cumplimiento de la finalidad para la que fue concedida la ayuda.</w:t>
      </w:r>
    </w:p>
    <w:p w14:paraId="724930FF" w14:textId="77777777" w:rsidR="003754FE" w:rsidRDefault="003754FE" w:rsidP="003754FE">
      <w:pPr>
        <w:pStyle w:val="TextoNormal"/>
      </w:pPr>
    </w:p>
    <w:p w14:paraId="2C87A1F9" w14:textId="77777777" w:rsidR="003754FE" w:rsidRDefault="003754FE" w:rsidP="003754FE">
      <w:pPr>
        <w:pStyle w:val="TextoNormal"/>
      </w:pPr>
      <w:r>
        <w:t>- Los convenios de colaboración por los que se han concedido las ayudas no adoptan ni la forma ni los contenidos mínimos que exige la Ley 38/2003, de 17 de noviembre.</w:t>
      </w:r>
    </w:p>
    <w:p w14:paraId="24EDCB89" w14:textId="77777777" w:rsidR="003754FE" w:rsidRDefault="003754FE" w:rsidP="003754FE">
      <w:pPr>
        <w:pStyle w:val="TextoNormal"/>
      </w:pPr>
    </w:p>
    <w:p w14:paraId="13F046A5" w14:textId="77777777" w:rsidR="003754FE" w:rsidRDefault="003754FE" w:rsidP="003754FE">
      <w:pPr>
        <w:pStyle w:val="TextoNormal"/>
      </w:pPr>
      <w:r>
        <w:t>- Ni las subvenciones ni los convenios han sido publicados en el ‘Boletín Oficial de la Junta de Andalucía’, ni en la base de datos de subvenciones de la Junta de Andalucía.</w:t>
      </w:r>
    </w:p>
    <w:p w14:paraId="4D54D13B" w14:textId="77777777" w:rsidR="003754FE" w:rsidRDefault="003754FE" w:rsidP="003754FE">
      <w:pPr>
        <w:pStyle w:val="TextoNormal"/>
      </w:pPr>
    </w:p>
    <w:p w14:paraId="6DF302CF" w14:textId="77777777" w:rsidR="003754FE" w:rsidRDefault="003754FE" w:rsidP="003754FE">
      <w:pPr>
        <w:pStyle w:val="TextoNormal"/>
      </w:pPr>
      <w:r>
        <w:t>- La concesión de las subvenciones no ha sido objeto de informe previo por el Gabinete Jurídico de la Junta de Andalucía.</w:t>
      </w:r>
    </w:p>
    <w:p w14:paraId="3986CD8D" w14:textId="77777777" w:rsidR="003754FE" w:rsidRDefault="003754FE" w:rsidP="003754FE">
      <w:pPr>
        <w:pStyle w:val="TextoNormal"/>
      </w:pPr>
    </w:p>
    <w:p w14:paraId="223B999F" w14:textId="77777777" w:rsidR="003754FE" w:rsidRDefault="003754FE" w:rsidP="003754FE">
      <w:pPr>
        <w:pStyle w:val="TextoNormal"/>
      </w:pPr>
      <w:r>
        <w:t>- No se acredita la personalidad de las entidades solicitantes, ni la de sus representantes.</w:t>
      </w:r>
    </w:p>
    <w:p w14:paraId="6B3F00AA" w14:textId="77777777" w:rsidR="003754FE" w:rsidRDefault="003754FE" w:rsidP="003754FE">
      <w:pPr>
        <w:pStyle w:val="TextoNormal"/>
      </w:pPr>
    </w:p>
    <w:p w14:paraId="68E639A2" w14:textId="77777777" w:rsidR="003754FE" w:rsidRDefault="003754FE" w:rsidP="003754FE">
      <w:pPr>
        <w:pStyle w:val="TextoNormal"/>
      </w:pPr>
      <w:r>
        <w:t>- No se aporta informe o memoria acreditativa de la finalidad pública, o razones de interés social o económico, en la concesión.</w:t>
      </w:r>
    </w:p>
    <w:p w14:paraId="5AAB25E3" w14:textId="77777777" w:rsidR="003754FE" w:rsidRDefault="003754FE" w:rsidP="003754FE">
      <w:pPr>
        <w:pStyle w:val="TextoNormal"/>
      </w:pPr>
    </w:p>
    <w:p w14:paraId="18F77027" w14:textId="77777777" w:rsidR="003754FE" w:rsidRDefault="003754FE" w:rsidP="003754FE">
      <w:pPr>
        <w:pStyle w:val="TextoNormal"/>
      </w:pPr>
      <w:r>
        <w:t>- No consta solicitud presentada por los interesados ni su aceptación expresa.</w:t>
      </w:r>
    </w:p>
    <w:p w14:paraId="0BA2E1C9" w14:textId="77777777" w:rsidR="003754FE" w:rsidRDefault="003754FE" w:rsidP="003754FE">
      <w:pPr>
        <w:pStyle w:val="TextoNormal"/>
      </w:pPr>
    </w:p>
    <w:p w14:paraId="5BBBEA41" w14:textId="77777777" w:rsidR="003754FE" w:rsidRDefault="003754FE" w:rsidP="003754FE">
      <w:pPr>
        <w:pStyle w:val="TextoNormal"/>
      </w:pPr>
      <w:r>
        <w:t>- No se aporta declaración responsable del beneficiario de otras subvenciones o ayudas concedidas para la misma finalidad (artículos 111 y 105 de LGHPA, y artículo 15.1 del Reglamento de subvenciones).</w:t>
      </w:r>
    </w:p>
    <w:p w14:paraId="25B08150" w14:textId="77777777" w:rsidR="003754FE" w:rsidRDefault="003754FE" w:rsidP="003754FE">
      <w:pPr>
        <w:pStyle w:val="TextoNormal"/>
      </w:pPr>
    </w:p>
    <w:p w14:paraId="56760DF4" w14:textId="77777777" w:rsidR="003754FE" w:rsidRDefault="003754FE" w:rsidP="003754FE">
      <w:pPr>
        <w:pStyle w:val="TextoNormal"/>
      </w:pPr>
      <w:r>
        <w:t>- No consta declaración expresa de los beneficiarios de no haber recaído sobre ellos resolución administrativa o judicial firme de reintegro.</w:t>
      </w:r>
    </w:p>
    <w:p w14:paraId="0E3AA151" w14:textId="77777777" w:rsidR="003754FE" w:rsidRDefault="003754FE" w:rsidP="003754FE">
      <w:pPr>
        <w:pStyle w:val="TextoNormal"/>
      </w:pPr>
    </w:p>
    <w:p w14:paraId="385CE564" w14:textId="77777777" w:rsidR="003754FE" w:rsidRDefault="003754FE" w:rsidP="003754FE">
      <w:pPr>
        <w:pStyle w:val="TextoNormal"/>
      </w:pPr>
      <w:r>
        <w:t>- No se acredita por los beneficiarios estar al corriente en sus obligaciones fiscales.</w:t>
      </w:r>
    </w:p>
    <w:p w14:paraId="453FE1F3" w14:textId="77777777" w:rsidR="003754FE" w:rsidRDefault="003754FE" w:rsidP="003754FE">
      <w:pPr>
        <w:pStyle w:val="TextoNormal"/>
      </w:pPr>
    </w:p>
    <w:p w14:paraId="3525589F" w14:textId="77777777" w:rsidR="003754FE" w:rsidRDefault="003754FE" w:rsidP="003754FE">
      <w:pPr>
        <w:pStyle w:val="TextoNormal"/>
      </w:pPr>
      <w:r>
        <w:t>- No se determina el plazo y forma de justificación por el beneficiario del cumplimiento de la finalidad para la que se concede la ayuda.</w:t>
      </w:r>
    </w:p>
    <w:p w14:paraId="5B0D7208" w14:textId="77777777" w:rsidR="003754FE" w:rsidRDefault="003754FE" w:rsidP="003754FE">
      <w:pPr>
        <w:pStyle w:val="TextoNormal"/>
      </w:pPr>
    </w:p>
    <w:p w14:paraId="4AEBF0FA" w14:textId="77777777" w:rsidR="003754FE" w:rsidRDefault="003754FE" w:rsidP="003754FE">
      <w:pPr>
        <w:pStyle w:val="TextoNormal"/>
      </w:pPr>
      <w:r>
        <w:t>- No se indica la forma y secuencia del pago y los requisitos exigidos para su abono.</w:t>
      </w:r>
    </w:p>
    <w:p w14:paraId="0AC1F949" w14:textId="77777777" w:rsidR="003754FE" w:rsidRDefault="003754FE" w:rsidP="003754FE">
      <w:pPr>
        <w:pStyle w:val="TextoNormal"/>
      </w:pPr>
    </w:p>
    <w:p w14:paraId="00AFD42F" w14:textId="77777777" w:rsidR="003754FE" w:rsidRDefault="003754FE" w:rsidP="003754FE">
      <w:pPr>
        <w:pStyle w:val="TextoNormal"/>
      </w:pPr>
      <w:r>
        <w:t>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14:paraId="64EE0E93" w14:textId="77777777" w:rsidR="003754FE" w:rsidRDefault="003754FE" w:rsidP="003754FE">
      <w:pPr>
        <w:pStyle w:val="TextoNormal"/>
      </w:pPr>
    </w:p>
    <w:p w14:paraId="462C0C11" w14:textId="77777777" w:rsidR="003754FE" w:rsidRDefault="003754FE" w:rsidP="003754FE">
      <w:pPr>
        <w:pStyle w:val="TextoNormal"/>
      </w:pPr>
      <w:r>
        <w:t>Las consecuencias de semejante descontrol fueron las siguientes:</w:t>
      </w:r>
    </w:p>
    <w:p w14:paraId="4B013C33" w14:textId="77777777" w:rsidR="003754FE" w:rsidRDefault="003754FE" w:rsidP="003754FE">
      <w:pPr>
        <w:pStyle w:val="TextoNormal"/>
      </w:pPr>
    </w:p>
    <w:p w14:paraId="77DD8B40" w14:textId="77777777" w:rsidR="003754FE" w:rsidRDefault="003754FE" w:rsidP="003754FE">
      <w:pPr>
        <w:pStyle w:val="TextoNormal"/>
      </w:pPr>
      <w:r>
        <w:t xml:space="preserve">(i)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ayudas a setenta y siete empresas que presentaron ERE, pero en la Comunidad Autónoma Andaluza y atendiendo como fuente a la Subdirección General de Estadística, de la Secretaría General Técnica del Ministerio de </w:t>
      </w:r>
      <w:r>
        <w:lastRenderedPageBreak/>
        <w:t>Empleo y Seguridad Social, el número total de expedientes de regulación de empleo tramitados en la comunidad andaluza, fueron:</w:t>
      </w:r>
    </w:p>
    <w:p w14:paraId="2BBBEF94" w14:textId="77777777" w:rsidR="003754FE" w:rsidRDefault="003754FE" w:rsidP="003754FE">
      <w:pPr>
        <w:pStyle w:val="TextoNormal"/>
      </w:pPr>
    </w:p>
    <w:p w14:paraId="1A1B484F" w14:textId="77777777" w:rsidR="003754FE" w:rsidRDefault="003754FE" w:rsidP="003754FE">
      <w:pPr>
        <w:pStyle w:val="TextoNormal"/>
      </w:pPr>
      <w:r>
        <w:t>- En el año 2001, fueron 748, afectando a un total de 7582 trabajadores.</w:t>
      </w:r>
    </w:p>
    <w:p w14:paraId="75A81C03" w14:textId="77777777" w:rsidR="003754FE" w:rsidRDefault="003754FE" w:rsidP="003754FE">
      <w:pPr>
        <w:pStyle w:val="TextoNormal"/>
      </w:pPr>
    </w:p>
    <w:p w14:paraId="50188D98" w14:textId="77777777" w:rsidR="003754FE" w:rsidRDefault="003754FE" w:rsidP="003754FE">
      <w:pPr>
        <w:pStyle w:val="TextoNormal"/>
      </w:pPr>
      <w:r>
        <w:t>- En el año 2002, fueron 650, afectando a un total de 4787 trabajadores.</w:t>
      </w:r>
    </w:p>
    <w:p w14:paraId="7A4000D9" w14:textId="77777777" w:rsidR="003754FE" w:rsidRDefault="003754FE" w:rsidP="003754FE">
      <w:pPr>
        <w:pStyle w:val="TextoNormal"/>
      </w:pPr>
    </w:p>
    <w:p w14:paraId="75D53BC6" w14:textId="77777777" w:rsidR="003754FE" w:rsidRDefault="003754FE" w:rsidP="003754FE">
      <w:pPr>
        <w:pStyle w:val="TextoNormal"/>
      </w:pPr>
      <w:r>
        <w:t>- En el año 2003, fueron 511, afectando a un total de 4957 trabajadores.</w:t>
      </w:r>
    </w:p>
    <w:p w14:paraId="432EEF08" w14:textId="77777777" w:rsidR="003754FE" w:rsidRDefault="003754FE" w:rsidP="003754FE">
      <w:pPr>
        <w:pStyle w:val="TextoNormal"/>
      </w:pPr>
    </w:p>
    <w:p w14:paraId="2CD29694" w14:textId="77777777" w:rsidR="003754FE" w:rsidRDefault="003754FE" w:rsidP="003754FE">
      <w:pPr>
        <w:pStyle w:val="TextoNormal"/>
      </w:pPr>
      <w:r>
        <w:t>- En el año 2004, fueron 657, afectando a un total de 4833 trabajadores.</w:t>
      </w:r>
    </w:p>
    <w:p w14:paraId="3A96642B" w14:textId="77777777" w:rsidR="003754FE" w:rsidRDefault="003754FE" w:rsidP="003754FE">
      <w:pPr>
        <w:pStyle w:val="TextoNormal"/>
      </w:pPr>
    </w:p>
    <w:p w14:paraId="6F820230" w14:textId="77777777" w:rsidR="003754FE" w:rsidRDefault="003754FE" w:rsidP="003754FE">
      <w:pPr>
        <w:pStyle w:val="TextoNormal"/>
      </w:pPr>
      <w:r>
        <w:t>- En el año 2005, fueron 424, afectando a un total de 5476 trabajadores.</w:t>
      </w:r>
    </w:p>
    <w:p w14:paraId="742148D9" w14:textId="77777777" w:rsidR="003754FE" w:rsidRDefault="003754FE" w:rsidP="003754FE">
      <w:pPr>
        <w:pStyle w:val="TextoNormal"/>
      </w:pPr>
    </w:p>
    <w:p w14:paraId="311B4C92" w14:textId="77777777" w:rsidR="003754FE" w:rsidRDefault="003754FE" w:rsidP="003754FE">
      <w:pPr>
        <w:pStyle w:val="TextoNormal"/>
      </w:pPr>
      <w:r>
        <w:t>- En el año 2006, fueron 434, afectando a un total de 2968 trabajadores.</w:t>
      </w:r>
    </w:p>
    <w:p w14:paraId="07CD6918" w14:textId="77777777" w:rsidR="003754FE" w:rsidRDefault="003754FE" w:rsidP="003754FE">
      <w:pPr>
        <w:pStyle w:val="TextoNormal"/>
      </w:pPr>
    </w:p>
    <w:p w14:paraId="7B4D833A" w14:textId="77777777" w:rsidR="003754FE" w:rsidRDefault="003754FE" w:rsidP="003754FE">
      <w:pPr>
        <w:pStyle w:val="TextoNormal"/>
      </w:pPr>
      <w:r>
        <w:t>- En el año 2007, fueron 428, afectando a un total de 3247 trabajadores.</w:t>
      </w:r>
    </w:p>
    <w:p w14:paraId="6F3389CC" w14:textId="77777777" w:rsidR="003754FE" w:rsidRDefault="003754FE" w:rsidP="003754FE">
      <w:pPr>
        <w:pStyle w:val="TextoNormal"/>
      </w:pPr>
    </w:p>
    <w:p w14:paraId="38EC64A8" w14:textId="77777777" w:rsidR="003754FE" w:rsidRDefault="003754FE" w:rsidP="003754FE">
      <w:pPr>
        <w:pStyle w:val="TextoNormal"/>
      </w:pPr>
      <w:r>
        <w:t>- En el año 2008, fueron 652, afectando a un total de 7000 trabajadores.</w:t>
      </w:r>
    </w:p>
    <w:p w14:paraId="6E73DB27" w14:textId="77777777" w:rsidR="003754FE" w:rsidRDefault="003754FE" w:rsidP="003754FE">
      <w:pPr>
        <w:pStyle w:val="TextoNormal"/>
      </w:pPr>
    </w:p>
    <w:p w14:paraId="614534E1" w14:textId="77777777" w:rsidR="003754FE" w:rsidRDefault="003754FE" w:rsidP="003754FE">
      <w:pPr>
        <w:pStyle w:val="TextoNormal"/>
      </w:pPr>
      <w:r>
        <w:t>- En el año 2009, fueron 1379, afectando a un total de 30 821 trabajadores.</w:t>
      </w:r>
    </w:p>
    <w:p w14:paraId="28A670EC" w14:textId="77777777" w:rsidR="003754FE" w:rsidRDefault="003754FE" w:rsidP="003754FE">
      <w:pPr>
        <w:pStyle w:val="TextoNormal"/>
      </w:pPr>
    </w:p>
    <w:p w14:paraId="79FEBFD2" w14:textId="77777777" w:rsidR="003754FE" w:rsidRDefault="003754FE" w:rsidP="003754FE">
      <w:pPr>
        <w:pStyle w:val="TextoNormal"/>
      </w:pPr>
      <w:r>
        <w:t>- En el año 2010, fueron 1490, afectando a un total de 21 450 trabajadores.</w:t>
      </w:r>
    </w:p>
    <w:p w14:paraId="6EEADBDE" w14:textId="77777777" w:rsidR="003754FE" w:rsidRDefault="003754FE" w:rsidP="003754FE">
      <w:pPr>
        <w:pStyle w:val="TextoNormal"/>
      </w:pPr>
    </w:p>
    <w:p w14:paraId="1A255E30" w14:textId="77777777" w:rsidR="003754FE" w:rsidRDefault="003754FE" w:rsidP="003754FE">
      <w:pPr>
        <w:pStyle w:val="TextoNormal"/>
      </w:pPr>
      <w:r>
        <w:t>(ii) La ausencia de cualquier mecanismo de comprobación de la pertenencia al colectivo afectado de las personas beneficiarias de las pólizas, permitió la inclusión de beneficiarios que nunca habían pertenecido a las empresas ayudadas por la Consejería de Empleo.</w:t>
      </w:r>
    </w:p>
    <w:p w14:paraId="28799C97" w14:textId="77777777" w:rsidR="003754FE" w:rsidRDefault="003754FE" w:rsidP="003754FE">
      <w:pPr>
        <w:pStyle w:val="TextoNormal"/>
      </w:pPr>
    </w:p>
    <w:p w14:paraId="77C9ECA2" w14:textId="77777777" w:rsidR="003754FE" w:rsidRDefault="003754FE" w:rsidP="003754FE">
      <w:pPr>
        <w:pStyle w:val="TextoNormal"/>
      </w:pPr>
      <w:r>
        <w:t>(iii)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14:paraId="3101AED7" w14:textId="77777777" w:rsidR="003754FE" w:rsidRDefault="003754FE" w:rsidP="003754FE">
      <w:pPr>
        <w:pStyle w:val="TextoNormal"/>
      </w:pPr>
    </w:p>
    <w:p w14:paraId="1A00FAEC" w14:textId="77777777" w:rsidR="003754FE" w:rsidRDefault="003754FE" w:rsidP="003754FE">
      <w:pPr>
        <w:pStyle w:val="TextoNormal"/>
      </w:pPr>
      <w:r>
        <w:t>(iv)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14:paraId="4A0DC1C5" w14:textId="77777777" w:rsidR="003754FE" w:rsidRDefault="003754FE" w:rsidP="003754FE">
      <w:pPr>
        <w:pStyle w:val="TextoNormal"/>
      </w:pPr>
    </w:p>
    <w:p w14:paraId="7531E4AF" w14:textId="77777777" w:rsidR="003754FE" w:rsidRDefault="003754FE" w:rsidP="003754FE">
      <w:pPr>
        <w:pStyle w:val="TextoNormal"/>
      </w:pPr>
      <w:r>
        <w:t xml:space="preserve">(v)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[año] 2006, que puso fin a una conflictividad laboral de la limpieza pública de la provincia de Granada; se financiaron </w:t>
      </w:r>
      <w:r>
        <w:lastRenderedPageBreak/>
        <w:t>dieciséis muestras de artesanía y jornadas relacionadas con el empleo en diversos municipios andaluces; y se pagó a la fundación San Telmo un curso de alta dirección, durante cinco ejercicios.</w:t>
      </w:r>
    </w:p>
    <w:p w14:paraId="40F5D651" w14:textId="77777777" w:rsidR="003754FE" w:rsidRDefault="003754FE" w:rsidP="003754FE">
      <w:pPr>
        <w:pStyle w:val="TextoNormal"/>
      </w:pPr>
    </w:p>
    <w:p w14:paraId="5057ACEC" w14:textId="77777777" w:rsidR="003754FE" w:rsidRDefault="003754FE" w:rsidP="003754FE">
      <w:pPr>
        <w:pStyle w:val="TextoNormal"/>
      </w:pPr>
      <w:r>
        <w:t>III) Tercera etapa</w:t>
      </w:r>
    </w:p>
    <w:p w14:paraId="45E248BD" w14:textId="77777777" w:rsidR="003754FE" w:rsidRDefault="003754FE" w:rsidP="003754FE">
      <w:pPr>
        <w:pStyle w:val="TextoNormal"/>
      </w:pPr>
    </w:p>
    <w:p w14:paraId="72E5B740" w14:textId="77777777" w:rsidR="003754FE" w:rsidRDefault="003754FE" w:rsidP="003754FE">
      <w:pPr>
        <w:pStyle w:val="TextoNormal"/>
      </w:pPr>
      <w:r>
        <w:t>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14:paraId="21FB977F" w14:textId="77777777" w:rsidR="003754FE" w:rsidRDefault="003754FE" w:rsidP="003754FE">
      <w:pPr>
        <w:pStyle w:val="TextoNormal"/>
      </w:pPr>
    </w:p>
    <w:p w14:paraId="2170326F" w14:textId="77777777" w:rsidR="003754FE" w:rsidRDefault="003754FE" w:rsidP="003754FE">
      <w:pPr>
        <w:pStyle w:val="TextoNormal"/>
      </w:pPr>
      <w:r>
        <w:t>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14:paraId="38A59144" w14:textId="77777777" w:rsidR="003754FE" w:rsidRDefault="003754FE" w:rsidP="003754FE">
      <w:pPr>
        <w:pStyle w:val="TextoNormal"/>
      </w:pPr>
    </w:p>
    <w:p w14:paraId="0F119AC8" w14:textId="77777777" w:rsidR="003754FE" w:rsidRDefault="003754FE" w:rsidP="003754FE">
      <w:pPr>
        <w:pStyle w:val="TextoNormal"/>
      </w:pPr>
      <w:r>
        <w:t>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14:paraId="0AA3B8C0" w14:textId="77777777" w:rsidR="003754FE" w:rsidRDefault="003754FE" w:rsidP="003754FE">
      <w:pPr>
        <w:pStyle w:val="TextoNormal"/>
      </w:pPr>
    </w:p>
    <w:p w14:paraId="742784DF" w14:textId="77777777" w:rsidR="003754FE" w:rsidRDefault="003754FE" w:rsidP="003754FE">
      <w:pPr>
        <w:pStyle w:val="TextoNormal"/>
      </w:pPr>
      <w:r>
        <w:t>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14:paraId="3A123585" w14:textId="77777777" w:rsidR="003754FE" w:rsidRDefault="003754FE" w:rsidP="003754FE">
      <w:pPr>
        <w:pStyle w:val="TextoNormal"/>
      </w:pPr>
    </w:p>
    <w:p w14:paraId="69A92141" w14:textId="77777777" w:rsidR="003754FE" w:rsidRDefault="003754FE" w:rsidP="003754FE">
      <w:pPr>
        <w:pStyle w:val="TextoNormal"/>
      </w:pPr>
      <w:r>
        <w:t>b) El demandante fue condenado por haber participado en los hechos anteriores, en su calidad de consejero de Economía y Hacienda entre el 24 de abril de 2004 y el 23 de abril de 2009, y de presidente de la Junta de Andalucía entre el 23 de abril de 2009 y el 7 de septiembre de 2013.</w:t>
      </w:r>
    </w:p>
    <w:p w14:paraId="431DC730" w14:textId="77777777" w:rsidR="003754FE" w:rsidRDefault="003754FE" w:rsidP="003754FE">
      <w:pPr>
        <w:pStyle w:val="TextoNormal"/>
      </w:pPr>
    </w:p>
    <w:p w14:paraId="24DDD938" w14:textId="77777777" w:rsidR="003754FE" w:rsidRDefault="003754FE" w:rsidP="003754FE">
      <w:pPr>
        <w:pStyle w:val="TextoNormal"/>
      </w:pPr>
      <w:r>
        <w:t>Según las resoluciones impugnadas, participó en la elaboración de los anteproyectos de presupuestos y —como miembro del Consejo de Gobierno— en la aprobación y elevación al Parlamento de los proyectos de leyes de presupuestos correspondientes a los ejercicios del año 2005 al año 2009, siendo conocedor de que dentro del programa 31L, se consignaba indebidamente el instrumento de “Trasferencias de financiación al IFA” conceptos vinculados a la partida 440.51 en materia de relaciones laborales.</w:t>
      </w:r>
    </w:p>
    <w:p w14:paraId="38C32202" w14:textId="77777777" w:rsidR="003754FE" w:rsidRDefault="003754FE" w:rsidP="003754FE">
      <w:pPr>
        <w:pStyle w:val="TextoNormal"/>
      </w:pPr>
    </w:p>
    <w:p w14:paraId="09CA04BA" w14:textId="77777777" w:rsidR="003754FE" w:rsidRDefault="003754FE" w:rsidP="003754FE">
      <w:pPr>
        <w:pStyle w:val="TextoNormal"/>
      </w:pPr>
      <w:r>
        <w:t>Asimismo, como consejero de Economía y Hacienda, participó también en la aprobación de modificaciones presupuestarias que afectaron al programa 31L desde los años 2005 a 2009.</w:t>
      </w:r>
    </w:p>
    <w:p w14:paraId="510973B1" w14:textId="77777777" w:rsidR="003754FE" w:rsidRDefault="003754FE" w:rsidP="003754FE">
      <w:pPr>
        <w:pStyle w:val="TextoNormal"/>
      </w:pPr>
    </w:p>
    <w:p w14:paraId="6F7839E7" w14:textId="77777777" w:rsidR="003754FE" w:rsidRDefault="003754FE" w:rsidP="003754FE">
      <w:pPr>
        <w:pStyle w:val="TextoNormal"/>
      </w:pPr>
      <w:r>
        <w:t>Según el relato de hechos probados, el señor Griñán Martínez era conocedor de la gravedad de la situación creada como consecuencia directa de la gestión presupuestaria del programa 31L, mediante la utilización de las transferencias de financiación al IFA/IDEA, y las actuaciones que se llevaron a cabo por los condenados pertenecientes a la Consejería de Empleo y Desarrollo Tecnológico, a pesar de lo cual consintió la gestión presupuestaria descrita. No en vano, había tenido conocimiento del informe de cumplimiento del IFA/IDEA del año 2003 —que lleva por título “informe sobre determinados aspectos de la gestión del Instituto de Fomento de Andalucía de los convenios suscritos con la Consejería de Empleo y Desarrollo Tecnológico en materia de trabajo y Seguridad Social”— firmado en el año 2005 y cuyas conclusiones fueron repitiéndose, en mayor o menor medida, en los sucesivos informes de la Intervención de las cuentas anuales del IFA/IDEA de los ejercicios siguientes, así como de las consecuencias de la gestión de los fondos del programa 31L.</w:t>
      </w:r>
    </w:p>
    <w:p w14:paraId="5979F2F5" w14:textId="77777777" w:rsidR="003754FE" w:rsidRDefault="003754FE" w:rsidP="003754FE">
      <w:pPr>
        <w:pStyle w:val="TextoNormal"/>
      </w:pPr>
    </w:p>
    <w:p w14:paraId="3FE67D6F" w14:textId="77777777" w:rsidR="003754FE" w:rsidRDefault="003754FE" w:rsidP="003754FE">
      <w:pPr>
        <w:pStyle w:val="TextoNormal"/>
      </w:pPr>
      <w:r>
        <w:t>Por lo tanto, según las resoluciones judiciales impugnadas, el demandante no solo intervino en la tramitación y aprobación de los presupuestos de los años 2005 a 2009 y en las modificaciones presupuestarias, sino que, además, como consecuencia de las competencias que le correspondían, tuvo capacidad de impedir ese modo de gestión, a pesar de lo cual, y omitiendo sus deberes derivados de la posición estructural que ocupaba, continuó con el proceder anteriormente señalado creando una base fáctica idónea para que aquel alcanzara sus objetivos.</w:t>
      </w:r>
    </w:p>
    <w:p w14:paraId="6C672577" w14:textId="77777777" w:rsidR="003754FE" w:rsidRDefault="003754FE" w:rsidP="003754FE">
      <w:pPr>
        <w:pStyle w:val="TextoNormal"/>
      </w:pPr>
    </w:p>
    <w:p w14:paraId="216F3D71" w14:textId="77777777" w:rsidR="003754FE" w:rsidRDefault="003754FE" w:rsidP="003754FE">
      <w:pPr>
        <w:pStyle w:val="TextoNormal"/>
      </w:pPr>
      <w:r>
        <w:t>Por dichos hechos se condenó al señor Griñán Martínez como autor de un delito continuado de prevaricación administrativa del art. 404 del Código penal (CP), en concurso medial con un delito continuado de malversación de caudales públicos del art. 432 CP, a las penas de seis años y dos días de prisión, inhabilitación especial para el sufragio pasivo durante el tiempo de la condena e inhabilitación absoluta por un tiempo de quince años y dos días, con la consiguiente privación de todos los empleos y cargos públicos que tuviera el penado, aunque sean electivos, e incapacidad para obtener los mismos o cualesquier otros honores, cargos o empleos públicos y la de ser elegido para cargo público durante el tiempo de la condena. Imponiéndole asimismo el pago de las 2/37 partes de las costas procesales causadas, excluidas las de las acusaciones populares.</w:t>
      </w:r>
    </w:p>
    <w:p w14:paraId="4011378A" w14:textId="77777777" w:rsidR="003754FE" w:rsidRDefault="003754FE" w:rsidP="003754FE">
      <w:pPr>
        <w:pStyle w:val="TextoNormal"/>
      </w:pPr>
    </w:p>
    <w:p w14:paraId="1115067B" w14:textId="77777777" w:rsidR="003754FE" w:rsidRDefault="003754FE" w:rsidP="003754FE">
      <w:pPr>
        <w:pStyle w:val="TextoNormal"/>
      </w:pPr>
      <w:r>
        <w:t>c) Interpuesto recurso de casación por la representación procesal del demandante, este fue desestimado íntegramente por la sentencia del Tribunal Supremo núm. 749/2022, de 13 de septiembre.</w:t>
      </w:r>
    </w:p>
    <w:p w14:paraId="7C839064" w14:textId="77777777" w:rsidR="003754FE" w:rsidRDefault="003754FE" w:rsidP="003754FE">
      <w:pPr>
        <w:pStyle w:val="TextoNormal"/>
      </w:pPr>
    </w:p>
    <w:p w14:paraId="69811ADB" w14:textId="7135C4CE" w:rsidR="003754FE" w:rsidRDefault="003754FE" w:rsidP="003754FE">
      <w:pPr>
        <w:pStyle w:val="TextoNormal"/>
      </w:pPr>
      <w:r>
        <w:t>d) Contra la anterior sentencia el actor promovió incidente de nulidad de actuaciones que fue inadmitido por auto de la Sala de lo Penal del Tribunal Supremo de 16 de febrero de 2023.</w:t>
      </w:r>
    </w:p>
    <w:p w14:paraId="4B937485" w14:textId="77777777" w:rsidR="003754FE" w:rsidRDefault="003754FE" w:rsidP="003754FE">
      <w:pPr>
        <w:pStyle w:val="TextoNormal"/>
      </w:pPr>
    </w:p>
    <w:p w14:paraId="1FA6C52D" w14:textId="77777777" w:rsidR="003754FE" w:rsidRDefault="003754FE" w:rsidP="003754FE">
      <w:pPr>
        <w:pStyle w:val="TextoNormal"/>
      </w:pPr>
      <w:r w:rsidRPr="003754FE">
        <w:rPr>
          <w:rStyle w:val="NumeroAFNegritaCaracter"/>
        </w:rPr>
        <w:t>3</w:t>
      </w:r>
      <w:r>
        <w:t>. La demanda de amparo presentada por el señor Griñán Martínez se estructura sobre la base de cinco vulneraciones de derechos fundamentales:</w:t>
      </w:r>
    </w:p>
    <w:p w14:paraId="4ABA0F6D" w14:textId="77777777" w:rsidR="003754FE" w:rsidRDefault="003754FE" w:rsidP="003754FE">
      <w:pPr>
        <w:pStyle w:val="TextoNormal"/>
      </w:pPr>
    </w:p>
    <w:p w14:paraId="69CCE2E2" w14:textId="77777777" w:rsidR="003754FE" w:rsidRDefault="003754FE" w:rsidP="003754FE">
      <w:pPr>
        <w:pStyle w:val="TextoNormal"/>
      </w:pPr>
      <w:r>
        <w:t xml:space="preserve">a) Como primer motivo se alega vulneración del derecho a la legalidad penal (art. 25.1 CE) por considerar “resolución en asunto administrativo” (art. 404 CP) a los acuerdos en los que se elevaban al Consejo de Gobierno los anteproyectos de leyes y los acuerdos del </w:t>
      </w:r>
      <w:r>
        <w:lastRenderedPageBreak/>
        <w:t>Consejo de Gobierno por los que se aprobaban y se remitían al Parlamento aquellos, así como la elevación de las propuestas de modificaciones presupuestarias.</w:t>
      </w:r>
    </w:p>
    <w:p w14:paraId="62712201" w14:textId="77777777" w:rsidR="003754FE" w:rsidRDefault="003754FE" w:rsidP="003754FE">
      <w:pPr>
        <w:pStyle w:val="TextoNormal"/>
      </w:pPr>
    </w:p>
    <w:p w14:paraId="133B7D4B" w14:textId="77777777" w:rsidR="003754FE" w:rsidRDefault="003754FE" w:rsidP="003754FE">
      <w:pPr>
        <w:pStyle w:val="TextoNormal"/>
      </w:pPr>
      <w:r>
        <w:t>Comienza el demandante remarcando que las resoluciones impugnadas incurren en un evidente desorden en la descripción de los hechos, así como un silencio clamoroso en relación con el criterio de atribución de autoría, algo que era especialmente necesario en un relato tan complejo y extenso como es el contenido en el caso que nos ocupa. A esto añade que resulta dudoso que siendo la base de la condena del señor Griñán Martínez la elaboración y aprobación de los presupuestos de los años 2005 a 2009 y la elevación de las modificaciones presupuestarias al Consejo de Gobierno —consistiendo la arbitrariedad en la utilización inadecuada del instrumento de transferencias de financiación—, esto no pudiera ser propuesto y aprobado por el Parlamento andaluz. A estos efectos, remarca que durante los años en que se ejecutó la actividad por la que el demandante ha sido condenado, nadie denunció o se apercibió de la supuesta ilegalidad, lo que demuestra en que el uso de estas transferencias de financiación para la concesión de ayudas sociolaborales quedaba constituido como “una decisión política, primero en forma de proyecto, y luego en forma de ley parlamentaria, rodeada de plenas garantías de transparencia y publicidad” resultando llamativo que “no llevara a nadie a recurrirla o cuestionarla ante el Tribunal Constitucional” (en este punto, el demandante aduce diferentes párrafos de la sentencia de instancia que presumiblemente calificarían la decisión de “política” dirigida a la consecución de una “mayor rapidez” en la concesión de ayudas).</w:t>
      </w:r>
    </w:p>
    <w:p w14:paraId="478A4A9D" w14:textId="77777777" w:rsidR="003754FE" w:rsidRDefault="003754FE" w:rsidP="003754FE">
      <w:pPr>
        <w:pStyle w:val="TextoNormal"/>
      </w:pPr>
    </w:p>
    <w:p w14:paraId="24E2D2DF" w14:textId="77777777" w:rsidR="003754FE" w:rsidRDefault="003754FE" w:rsidP="003754FE">
      <w:pPr>
        <w:pStyle w:val="TextoNormal"/>
      </w:pPr>
      <w:r>
        <w:t>Para el recurrente, un proyecto de ley es una propuesta de que se apruebe una ley que bien pueda contradecir o derogar otras leyes. Consecuentemente, resultaría “absurdo” que este acto nítidamente prelegislativo no estuviera sometido a otro control que el del Parlamento y el del Tribunal Constitucional de tal manera que “[l]a única arbitrariedad posible de un proyecto de ley o de una ley no es su desconocimiento de otra ley, sino su inconstitucionalidad”. Desde esta perspectiva, hay que considerar que la ilegalidad de los actos se encontraría en el incumplimiento del procedimiento reglado que se enfrentaría al insalvable problema de que aquellos carecerían de carácter decisorio al ser meramente procedimentales y al reservarse el tipo penal para actos decisorios. El problema sería, además, que las resoluciones impugnadas no centran el incumplimiento del procedimiento reglado en un trámite o aspecto concreto, sino que lo centran, desde una perspectiva sustantiva, en la decisión misma de proponer la concesión de ayudas, la cual, considera el demandante, es una decisión política.</w:t>
      </w:r>
    </w:p>
    <w:p w14:paraId="71495D78" w14:textId="77777777" w:rsidR="003754FE" w:rsidRDefault="003754FE" w:rsidP="003754FE">
      <w:pPr>
        <w:pStyle w:val="TextoNormal"/>
      </w:pPr>
    </w:p>
    <w:p w14:paraId="049ADF13" w14:textId="77777777" w:rsidR="003754FE" w:rsidRDefault="003754FE" w:rsidP="003754FE">
      <w:pPr>
        <w:pStyle w:val="TextoNormal"/>
      </w:pPr>
      <w:r>
        <w:t>Esto explicaría que la sentencia del Tribunal Supremo no se refiera al modo en que se procedió a aprobar el proyecto de ley, sino a la decisión política-sustantiva en sí, y que tampoco pueda determinar qué tramite o procedimiento fue omitido. Al contrario, la tramitación del citado proyecto de ley cumplió con todas las fases e informes regulados en la ley entre los que cabe destacar, claro está, el informe favorable de la Intervención General de la Junta de Andalucía. Por tanto, la realidad es que el Gobierno de Andalucía decidió políticamente proponer al Parlamento dedicar determinadas cuantías a ayudas sociolaborales y proceder a su asignación a través del IFA/IDEA por medio de transferencias de financiación, y eso es lo que la sentencia sanciona penalmente.</w:t>
      </w:r>
    </w:p>
    <w:p w14:paraId="161B3303" w14:textId="77777777" w:rsidR="003754FE" w:rsidRDefault="003754FE" w:rsidP="003754FE">
      <w:pPr>
        <w:pStyle w:val="TextoNormal"/>
      </w:pPr>
    </w:p>
    <w:p w14:paraId="727E7E60" w14:textId="77777777" w:rsidR="003754FE" w:rsidRDefault="003754FE" w:rsidP="003754FE">
      <w:pPr>
        <w:pStyle w:val="TextoNormal"/>
      </w:pPr>
      <w:r>
        <w:t xml:space="preserve">Añade que faltaría, además, el contenido decisorio para estimar concurrente el delito del art. 404 CP toda vez que el proyecto de ley no es una decisión, sino una propuesta para que </w:t>
      </w:r>
      <w:r>
        <w:lastRenderedPageBreak/>
        <w:t>un órgano constitucional decida sobre algo de tal manera que su ejecución solo afecta al Parlamento, y es la decisión del Parlamento la que afecta a los ciudadanos en general. Tampoco concurriría el elemento de “arbitrariedad” dada cuenta que la quiebra del ordenamiento se habría justificado en la utilización del instrumento de “transferencias de financiación” de una manera inadecuada, cuando lo que se estaba proponiendo era, precisamente, una nueva utilización de este instrumento para conseguir una mayor rapidez en la concesión y pago de ayudas. Esta sería, en esencia, una decisión de naturaleza política ajena al control de los tribunales. Sostiene, a mayor abundamiento, que el art. 18 de la Ley del Parlamento de Andalucía 15/2001, de 26 de diciembre, por la que se aprueban medidas fiscales, presupuestarias, de control y administrativas, no está regulando el destino exclusivo de las transferencias de financiación sino, simplemente, que las cantidades destinadas a financiar a empresas o fundaciones para equilibrar su balance serán consideradas como tal, lo que no cierra la posibilidad de otros usos.</w:t>
      </w:r>
    </w:p>
    <w:p w14:paraId="4B937E0C" w14:textId="77777777" w:rsidR="003754FE" w:rsidRDefault="003754FE" w:rsidP="003754FE">
      <w:pPr>
        <w:pStyle w:val="TextoNormal"/>
      </w:pPr>
    </w:p>
    <w:p w14:paraId="4C948C6F" w14:textId="77777777" w:rsidR="003754FE" w:rsidRDefault="003754FE" w:rsidP="003754FE">
      <w:pPr>
        <w:pStyle w:val="TextoNormal"/>
      </w:pPr>
      <w:r>
        <w:t>Para el demandante, además, los argumentos de las resoluciones recurridas dirigidos a considerar que la “arbitrariedad” de la decisión se fundamenta en su finalidad no debe tener acogida por dos motivos de distinta naturaleza: (i) en primer lugar, porque la arbitrariedad debe ser independiente a las finalidades del autor, de tal manera que puede existir arbitrariedad sin finalidad y finalidad sin arbitrariedad; y (ii) en segundo lugar, porque no se estaba eludiendo un control legal sino que se estaba proponiendo políticamente, con posterior éxito parlamentario, que determinados actos administrativos tuvieran menos controles a raíz de la crisis económica.</w:t>
      </w:r>
    </w:p>
    <w:p w14:paraId="16B8E337" w14:textId="77777777" w:rsidR="003754FE" w:rsidRDefault="003754FE" w:rsidP="003754FE">
      <w:pPr>
        <w:pStyle w:val="TextoNormal"/>
      </w:pPr>
    </w:p>
    <w:p w14:paraId="1B022C3A" w14:textId="77777777" w:rsidR="003754FE" w:rsidRDefault="003754FE" w:rsidP="003754FE">
      <w:pPr>
        <w:pStyle w:val="TextoNormal"/>
      </w:pPr>
      <w:r>
        <w:t>El demandante termina este motivo aduciendo que no resulta previsible una condena por una decisión consistente en aprobar un proyecto de ley en el que se ha decidido suprimir controles administrativos en la concesión de ayudas sociolaborales. Esto se fundamentaría en diferentes razones ya expuestas como el hecho de que la decisión adoptada no tuviera efectos decisorios para los administrados, que se haya considerado como “asunto administrativo” un “proyecto de ley”, y que la prevaricación no se haya imputado a la quiebra de alguna fase de elaboración del proyecto de ley sino a su contenido como tal. La quiebra metodológica es mayor aun cuando se afirma que puede ser arbitrario un proyecto de ley, ya que, por esencia, todos los proyectos de leyes son contrarios a las leyes vigentes, lo que lleva, además, a una devaluación del sistema de fuentes y a la quiebra del principio de división de poderes característica del Estado de Derecho. Ello generaría, a su vez, un efecto de desaliento de ejercicio de derechos fundamentales por parte de los representantes públicos que podrían verse penalizados por sus decisiones de aprobar o modificar leyes.</w:t>
      </w:r>
    </w:p>
    <w:p w14:paraId="420C6B3D" w14:textId="77777777" w:rsidR="003754FE" w:rsidRDefault="003754FE" w:rsidP="003754FE">
      <w:pPr>
        <w:pStyle w:val="TextoNormal"/>
      </w:pPr>
    </w:p>
    <w:p w14:paraId="2023836C" w14:textId="77777777" w:rsidR="003754FE" w:rsidRDefault="003754FE" w:rsidP="003754FE">
      <w:pPr>
        <w:pStyle w:val="TextoNormal"/>
      </w:pPr>
      <w:r>
        <w:t>b) Como segundo motivo se alega vulneración del derecho a la legalidad penal (art. 25 CE) por subsunción irrazonable de los hechos probados en el delito de malversación (art. 432 CP) y, alternativamente, vulneración de los derechos de defensa y de presunción de inocencia (art. 24.2 CE), en la afirmación fáctica de que todas las ayudas fueron desviadas. En el seno de este motivo se alega también vulneración del derecho a un proceso con todas las garantías por la motivación de la culpabilidad efectuada en la sentencia de segunda instancia.</w:t>
      </w:r>
    </w:p>
    <w:p w14:paraId="716BAE86" w14:textId="77777777" w:rsidR="003754FE" w:rsidRDefault="003754FE" w:rsidP="003754FE">
      <w:pPr>
        <w:pStyle w:val="TextoNormal"/>
      </w:pPr>
    </w:p>
    <w:p w14:paraId="4C0E79F1" w14:textId="77777777" w:rsidR="003754FE" w:rsidRDefault="003754FE" w:rsidP="003754FE">
      <w:pPr>
        <w:pStyle w:val="TextoNormal"/>
      </w:pPr>
      <w:r>
        <w:t xml:space="preserve">Comienza este motivo el demandante aduciendo que la condena por el delito de malversación (art. 432 CP) sería imprevisible dado que el comportamiento objetivo descrito en los hechos probados es completamente extraño a las conductas tipificadas en aquel. Así, el tipo </w:t>
      </w:r>
      <w:r>
        <w:lastRenderedPageBreak/>
        <w:t xml:space="preserve">del 432 CP exige directamente una relación objetiva entre el autor del delito y los fondos malversados, circunstancia que en este caso no concurriría al ser los fondos administrados por la Consejería de Empleo y Desarrollo Tecnológico y siendo el señor Griñán Martínez el consejero de Economía y Hacienda. Para el demandante, la sentencia dictada por el Tribunal Supremo trataría de construir la autoría dando un “salto al vacío” a través de la argumentación de que la vinculación se hallaba en “la facultad de aprobar las partidas presupuestarias”, lo que supondría extender la autoría a todos los miembros del Parlamento que, en esencia, eran los únicos capaces de aprobar aquellas. Esta argumentación </w:t>
      </w:r>
      <w:r w:rsidRPr="003754FE">
        <w:rPr>
          <w:i/>
        </w:rPr>
        <w:t>ex novo</w:t>
      </w:r>
      <w:r>
        <w:t xml:space="preserve"> del Tribunal Supremo supondría una lesión adicional pues se habría excedido del marco fáctico y jurídico contenido en la sentencia de instancia. Así, la sentencia de casación habría admitido la vulneración en cuanto a la inexistencia de una motivación sobre la relación entre el señor Griñán Martínez y los caudales depuestos, pero, sin embargo, lejos de estimar el recurso habría reparado dicha vulneración del principio de legalidad procediendo a realizar la subsunción de los hechos que considera adecuada. Esta manera de proceder supuso una vulneración adicional de los derechos constitucionales del demandante al sustituir el Tribunal Supremo a la Audiencia Provincial en el juicio de tipicidad lo que le priva del derecho a la segunda instancia.</w:t>
      </w:r>
    </w:p>
    <w:p w14:paraId="71552690" w14:textId="77777777" w:rsidR="003754FE" w:rsidRDefault="003754FE" w:rsidP="003754FE">
      <w:pPr>
        <w:pStyle w:val="TextoNormal"/>
      </w:pPr>
    </w:p>
    <w:p w14:paraId="1EC93438" w14:textId="77777777" w:rsidR="003754FE" w:rsidRDefault="003754FE" w:rsidP="003754FE">
      <w:pPr>
        <w:pStyle w:val="TextoNormal"/>
      </w:pPr>
      <w:r>
        <w:t>Más allá de la posible extralimitación del Tribunal Supremo al paliar esta ausencia de motivación, el demandante no comparte el criterio seguido por aquel por diferentes razones: (i) en primer lugar porque el consejero de Economía y Hacienda no podía extender su control más allá de sus propias facultades respecto de su unidad administrativa. Por lo tanto, no tenía funciones específicas de revisar, vigilar, conocer o controlar el detalle especifico de los gastos efectuados por cada una de las consejerías responsables de la gestión de los gastos concretos; (ii) la vinculación causal, tal y como aparece reflejada por el Tribunal Supremo como elemento definitorio para condenar al señor Griñán Martínez por el delito de malversación de caudales públicos, es tan amplia en su forma de ser entendida que podría llevar a incluir a la administración, al Ejecutivo en pleno y al Parlamento. La posición de garantía que exige el art. 432 CP requiere un vínculo muy sólido que va más allá de la posibilidad genérica de evitar al resultado; (iii) el legislador quiso que una autoridad o funcionario solo fuera tenido en la posición de garante del destino de los fondos públicos cuando es aquel a quien se le asignaron. En ningún caso fue objetivo del legislador ampliar el marco del tipo delictual a los funcionarios ajenos por completo al departamento al que los fondos fueron destinados; y (iv) la ausencia de advertencia por parte de la Intervención impide la construcción de ese deber de garante o de impedir el resultado.</w:t>
      </w:r>
    </w:p>
    <w:p w14:paraId="1AF8D46C" w14:textId="77777777" w:rsidR="003754FE" w:rsidRDefault="003754FE" w:rsidP="003754FE">
      <w:pPr>
        <w:pStyle w:val="TextoNormal"/>
      </w:pPr>
    </w:p>
    <w:p w14:paraId="7D798D0E" w14:textId="77777777" w:rsidR="003754FE" w:rsidRDefault="003754FE" w:rsidP="003754FE">
      <w:pPr>
        <w:pStyle w:val="TextoNormal"/>
      </w:pPr>
      <w:r>
        <w:t xml:space="preserve">Todo ello lleva al recurrente a afirmar que la conducta que se describe en los hechos probados no puede ser catalogada objetivamente como ninguna forma de tolerancia en la sustracción de caudales públicos realizada por miembros de una consejería que no dirigía. Lo que se narra, en definitiva, es la constitución de un mecanismo de financiación de ayudas sociales que se tilda de irregular y que por afán de agilidad había disminuido los controles dirigidos a garantizar el cumplimiento de los fines sociales de las ayudas. Ese instrumento fue dolosamente utilizado por terceros para desviar parte de las ayudas con fines ajenos a los públicos fijados en el presupuesto, por lo que estaríamos ante la utilización por parte de un tercero de una conducta neutral del acusado. De esta manera, la responsabilidad del demandante solo sería posible si concurriera un doble dolo, elemento que no se aprecia en este caso al no quedar constatado que la irregularidad en la elaboración de los presupuestos constituyera una adaptación a una conducta posterior malversadora, sino que “la debilidad del </w:t>
      </w:r>
      <w:r>
        <w:lastRenderedPageBreak/>
        <w:t>sistema debido a razones de agilidad fue aprovechada por terceros para sus propias finalidades delictivas”.</w:t>
      </w:r>
    </w:p>
    <w:p w14:paraId="1F5D2EE1" w14:textId="77777777" w:rsidR="003754FE" w:rsidRDefault="003754FE" w:rsidP="003754FE">
      <w:pPr>
        <w:pStyle w:val="TextoNormal"/>
      </w:pPr>
    </w:p>
    <w:p w14:paraId="50283F00" w14:textId="77777777" w:rsidR="003754FE" w:rsidRDefault="003754FE" w:rsidP="003754FE">
      <w:pPr>
        <w:pStyle w:val="TextoNormal"/>
      </w:pPr>
      <w:r>
        <w:t>El demandante termina este motivo aduciendo que ha sido condenado por un delito de resultado a pesar de que este elemento fue excluido expresamente del debate mantenido en el proceso judicial. A este fin, incide en que la concesión de cada una de las ayudas particulares quedó —en el trámite de cuestiones previas— ajeno al presente proceso penal, siendo que la tesis mantenida por los órganos judiciales para condenar (la aprobación misma del sistema irregular de concesión de ayudas es ya resultado del delito) supone convertir un delito de peligro en un delito de resultado.</w:t>
      </w:r>
    </w:p>
    <w:p w14:paraId="00FBD552" w14:textId="77777777" w:rsidR="003754FE" w:rsidRDefault="003754FE" w:rsidP="003754FE">
      <w:pPr>
        <w:pStyle w:val="TextoNormal"/>
      </w:pPr>
    </w:p>
    <w:p w14:paraId="3F7711C7" w14:textId="77777777" w:rsidR="003754FE" w:rsidRDefault="003754FE" w:rsidP="003754FE">
      <w:pPr>
        <w:pStyle w:val="TextoNormal"/>
      </w:pPr>
      <w:r>
        <w:t>Faltaría, consecuentemente, el resultado necesario para la apreciación de la correspondiente figura delictiva. Seguir la tesis del Tribunal Supremo supondría acogerse a la concepción de que todas las ayudas desde el año 2000 a 2009 fueron destinadas a fondos ajenos a fines públicos y que el delito de malversación se agotaría “no porque se hayan dado las ayudas a quienes no las necesitaban, sino sin más porque se han concedido sin ‘las exigencias legales y reglamentarias’”.</w:t>
      </w:r>
    </w:p>
    <w:p w14:paraId="3A297EC4" w14:textId="77777777" w:rsidR="003754FE" w:rsidRDefault="003754FE" w:rsidP="003754FE">
      <w:pPr>
        <w:pStyle w:val="TextoNormal"/>
      </w:pPr>
    </w:p>
    <w:p w14:paraId="6DB05CDF" w14:textId="77777777" w:rsidR="003754FE" w:rsidRDefault="003754FE" w:rsidP="003754FE">
      <w:pPr>
        <w:pStyle w:val="TextoNormal"/>
      </w:pPr>
      <w:r>
        <w:t>Además, excluir del proceso las ayudas particulares habría lesionado adicionalmente el derecho de defensa del demandante toda vez que le privó de proyectar actividad probatoria de descargo sobre todo aquello que era objeto de enjuiciamiento. Las argumentaciones empleadas al efecto por las resoluciones impugnadas para justificar la consecución del resultado lesionan, a su vez, el derecho a la presunción de inocencia dada cuenta que: (i) resulta absolutamente inconcluyente la afirmación de que de un procedimiento administrativo con controles insuficientes se deriva una desviación de ayudas; y (ii) existe una inversión de la carga de la prueba ya que la sentencia asume que como no se ha acreditado el destino público de las ayudas, debe obligatoriamente colegirse que aquellas no tuvieron aquel destino.</w:t>
      </w:r>
    </w:p>
    <w:p w14:paraId="55E4CE8D" w14:textId="77777777" w:rsidR="003754FE" w:rsidRDefault="003754FE" w:rsidP="003754FE">
      <w:pPr>
        <w:pStyle w:val="TextoNormal"/>
      </w:pPr>
    </w:p>
    <w:p w14:paraId="1B18B160" w14:textId="77777777" w:rsidR="003754FE" w:rsidRDefault="003754FE" w:rsidP="003754FE">
      <w:pPr>
        <w:pStyle w:val="TextoNormal"/>
      </w:pPr>
      <w:r>
        <w:t>c) Como tercer motivo alega vulneración del derecho a la legalidad penal (art. 25.1 CE) por subsunción irrazonable de los hechos probados en el art. 432 CP en cuanto a la concurrencia de dolo. A lo largo de este motivo, el demandante combate los criterios tenidos en cuenta por las resoluciones judiciales impugnadas para entender concurrente el dolo eventual, al describir los hechos subjetivos como “asunción de una eventualidad” que es propio de la culpa consciente.</w:t>
      </w:r>
    </w:p>
    <w:p w14:paraId="0D41B776" w14:textId="77777777" w:rsidR="003754FE" w:rsidRDefault="003754FE" w:rsidP="003754FE">
      <w:pPr>
        <w:pStyle w:val="TextoNormal"/>
      </w:pPr>
    </w:p>
    <w:p w14:paraId="6237B96B" w14:textId="77777777" w:rsidR="003754FE" w:rsidRDefault="003754FE" w:rsidP="003754FE">
      <w:pPr>
        <w:pStyle w:val="TextoNormal"/>
      </w:pPr>
      <w:r>
        <w:t xml:space="preserve">La expresión utilizada en la sentencia para describir el elemento subjetivo del injusto —esto es, el hecho de que la actuación desarrollada por el señor Griñán Martínez se ejecutara con la finalidad de “agilizar la concesión de ayudas” pero “asumiendo la eventualidad” de que los fondos se destinaran “a fines ajenos al fin público” al que estuvieran destinados— se sitúa fuera del marco de la alta probabilidad necesaria para configurar la figura del dolo eventual que entraña el delito de malversación de caudales públicos. Posteriormente, la Sala de lo Penal del Tribunal Supremo trata de transmutar dicho elemento subjetivo del injusto sustituyendo la finalidad de “agilizar las ayudas” —afirmada por la Audiencia Provincial— por “evitar el cumplimiento de la normativa”. Esta finalidad de disposición ilegal de los fondos no aparecía en el </w:t>
      </w:r>
      <w:r w:rsidRPr="003754FE">
        <w:rPr>
          <w:i/>
        </w:rPr>
        <w:t>factum</w:t>
      </w:r>
      <w:r>
        <w:t xml:space="preserve"> de la sentencia de instancia, lo que ha supuesto la creación </w:t>
      </w:r>
      <w:r w:rsidRPr="003754FE">
        <w:rPr>
          <w:i/>
        </w:rPr>
        <w:t>ex novo</w:t>
      </w:r>
      <w:r>
        <w:t xml:space="preserve"> de un nuevo elemento subjetivo del injusto en perjuicio del demandante.</w:t>
      </w:r>
    </w:p>
    <w:p w14:paraId="0BBA56EA" w14:textId="77777777" w:rsidR="003754FE" w:rsidRDefault="003754FE" w:rsidP="003754FE">
      <w:pPr>
        <w:pStyle w:val="TextoNormal"/>
      </w:pPr>
    </w:p>
    <w:p w14:paraId="03D5DA5C" w14:textId="77777777" w:rsidR="003754FE" w:rsidRDefault="003754FE" w:rsidP="003754FE">
      <w:pPr>
        <w:pStyle w:val="TextoNormal"/>
      </w:pPr>
      <w:r>
        <w:lastRenderedPageBreak/>
        <w:t>Para el demandante, solo hay dolo eventual si el sujeto conoce la “alta probabilidad” de que se va a producir el resultado típico, siendo que la ausencia de reproche penal a la Intervención General de la Junta de Andalucía hacía insostenible, irrazonable y sorpresiva la aplicación de dicho dolo al recurrente. Esto lo conecta directamente con una posible vulneración del principio de legalidad penal toda vez que la figura de la malversación culposa fue despenalizada, siendo esta la conducta que, en todo caso, podría haberle sido imputada al señor Griñán Martínez. Considera, además, que el dolo del funcionario no sustractor que comete delito de malversación requiere de un “doble dolo” (junto al conocimiento de la sustracción por parte de un tercero, es exigible que el dolo del funcionario omitente incluya el conocimiento del ánimo de lucro con el que obra dicho tercero) que no aparece en ningún momento reflejado en el relato fáctico de las resoluciones impugnadas. En otras palabras, la atribución al demandante de que asumió la eventualidad de que los fondos fueran objeto de disposición con fines ajenos al fin público no incluía la representación de que aquellos fueran dispuestos con un ánimo de lucro.</w:t>
      </w:r>
    </w:p>
    <w:p w14:paraId="6C1C2A38" w14:textId="77777777" w:rsidR="003754FE" w:rsidRDefault="003754FE" w:rsidP="003754FE">
      <w:pPr>
        <w:pStyle w:val="TextoNormal"/>
      </w:pPr>
    </w:p>
    <w:p w14:paraId="734F2F93" w14:textId="77777777" w:rsidR="003754FE" w:rsidRDefault="003754FE" w:rsidP="003754FE">
      <w:pPr>
        <w:pStyle w:val="TextoNormal"/>
      </w:pPr>
      <w:r>
        <w:t>Desde estas premisas el demandante considera que (i) saber que existe un procedimiento ágil y con pocas garantías cuya finalidad es la eficacia en el reparto de ayudas no equivale a conocer la elevada probabilidad de que dichas ayudas iban a ser concedidas a fines ajenos a fines públicos; (ii) el hecho de que se “asumió la eventualidad” de que dichos fondos fueran destinados a fines ajenos al fin público no permite apreciar la figura del “dolo eventual” sino, en todo caso, de la “culpa consciente” dado que del simple conocimiento genérico sobre las implicaciones causales del riesgo es compatible con la culpa consciente y no con el dolo; y (iii) la motivación de la sentencia sobre este punto es cuasiinexistente lo que supone, en sí mismo, una vulneración o quiebra del derecho a la legalidad penal al no darse una respuesta de por qué la conducta del demandante de amparo resultó incardinable en el tipo penal apreciado.</w:t>
      </w:r>
    </w:p>
    <w:p w14:paraId="390E8655" w14:textId="77777777" w:rsidR="003754FE" w:rsidRDefault="003754FE" w:rsidP="003754FE">
      <w:pPr>
        <w:pStyle w:val="TextoNormal"/>
      </w:pPr>
    </w:p>
    <w:p w14:paraId="1670344C" w14:textId="77777777" w:rsidR="003754FE" w:rsidRDefault="003754FE" w:rsidP="003754FE">
      <w:pPr>
        <w:pStyle w:val="TextoNormal"/>
      </w:pPr>
      <w:r>
        <w:t>d) Como cuarto motivo se alega vulneración del derecho a la presunción de inocencia (art. 24.2 CE) por la afirmación en el relato fáctico de que el demandante conocía la alta probabilidad de que las ayudas iban a ser malversadas. De una manera íntimamente vinculada al motivo anterior, el demandante aduce que existe una absoluta falta de racionalidad en la valoración de la prueba sobre la que se asienta el razonamiento ofrecido por la Audiencia Provincial confirmado —y complementado— por el Tribunal Supremo, sobre la concurrencia de dolo eventual en la persona de don José Antonio Griñán Martínez.</w:t>
      </w:r>
    </w:p>
    <w:p w14:paraId="48695923" w14:textId="77777777" w:rsidR="003754FE" w:rsidRDefault="003754FE" w:rsidP="003754FE">
      <w:pPr>
        <w:pStyle w:val="TextoNormal"/>
      </w:pPr>
    </w:p>
    <w:p w14:paraId="27127A14" w14:textId="77777777" w:rsidR="003754FE" w:rsidRDefault="003754FE" w:rsidP="003754FE">
      <w:pPr>
        <w:pStyle w:val="TextoNormal"/>
      </w:pPr>
      <w:r>
        <w:t xml:space="preserve">Así, la afirmación de la “‘alta probabilidad’ de que pudiera llegar a producirse el desvío de fondos ajenos a fines ajenos a los públicos determinados presupuestariamente” constituye una inferencia manifiestamente inconsistente por diferentes razones: (i) en primer lugar, por ser una inferencia excesivamente abierta toda vez que del conocimiento de la generación de un instrumento de asignación de ayudas con control insuficiente y con finalidad de agilización, no puede inferirse racionalmente el conocimiento de la elevada probabilidad de la malversación de todas las ayudas concedidas; (ii) en segundo lugar, porque del conocimiento de un instrumento peligroso para que alguien lo utilice delictivamente se estaría infiriendo el conocimiento de la alta probabilidad del delito, lo que equivaldría eliminar de facto los delitos de peligro por los delitos de resultado; (iii) en tercer lugar, porque la inferencia efectuada parte de dar por supuesto la infidelidad radical de los funcionarios de la Consejería de Empleo y Desarrollo Tecnológico, lo que resulta contrario a su propia promesa de probidad; (iv) en cuarto lugar, porque la inferencia incluye una nueva contradicción </w:t>
      </w:r>
      <w:r>
        <w:lastRenderedPageBreak/>
        <w:t>al haber absuelto al interventor que no advirtió del menoscabo y haber condenado a quienes actuaron siguiendo esa indicación; (v) en quinto lugar, porque la inferencia se enfrenta a la contradicción de condenar por desoír controles y suprimirlos; y (vi) en sexto lugar, porque si la sentencia acaba concluyendo que la intervención actuó correctamente no cabe inferir que el demandante pudiera advertir un riesgo de menoscabo que no fue advertido por el propio interventor.</w:t>
      </w:r>
    </w:p>
    <w:p w14:paraId="1DF366A5" w14:textId="77777777" w:rsidR="003754FE" w:rsidRDefault="003754FE" w:rsidP="003754FE">
      <w:pPr>
        <w:pStyle w:val="TextoNormal"/>
      </w:pPr>
    </w:p>
    <w:p w14:paraId="7D867D7F" w14:textId="77777777" w:rsidR="003754FE" w:rsidRDefault="003754FE" w:rsidP="003754FE">
      <w:pPr>
        <w:pStyle w:val="TextoNormal"/>
      </w:pPr>
      <w:r>
        <w:t>A ello añade que las propias dudas manifestadas por la Audiencia Provincial en cuanto a la concurrencia del elemento subjetivo del injusto —dudas que quedarían plasmadas por la utilización del término “eventualidad” que, según la Real Academia Española equivale a “[h]echo o circunstancia de realización incierta y conjetural”— resulta incompatible con la convicción más allá de toda duda razonable exigida para la condena respetuosa con el derecho a la presunción de inocencia.</w:t>
      </w:r>
    </w:p>
    <w:p w14:paraId="5454D6C3" w14:textId="77777777" w:rsidR="003754FE" w:rsidRDefault="003754FE" w:rsidP="003754FE">
      <w:pPr>
        <w:pStyle w:val="TextoNormal"/>
      </w:pPr>
    </w:p>
    <w:p w14:paraId="79F521BA" w14:textId="77777777" w:rsidR="003754FE" w:rsidRDefault="003754FE" w:rsidP="003754FE">
      <w:pPr>
        <w:pStyle w:val="TextoNormal"/>
      </w:pPr>
      <w:r>
        <w:t>Otra vía de vulneración del derecho a la presunción de inocencia se derivaría de la propia ausencia de motivación del relato de hechos probados. La alternativa de interpretación que la propia sentencia aplica al interventor que absuelve provoca que el juicio de inferencia de culpabilidad utilizado para condenar a los demás encausados sea ilógico o irracional pues, al final, los fondos llegaron al destino legalmente previsto. En otras palabras, la existencia de desviaciones puntuales se contrapone con la circunstancia de que muchas de las ayudas concedidas fueron destinadas a trabajadores del colectivo afectado, lo que deja al descubierto que el nexo de causalidad necesaria no resulta admisible y lesionaría el derecho a la presunción de inocencia del demandante de amparo.</w:t>
      </w:r>
    </w:p>
    <w:p w14:paraId="620B9F9B" w14:textId="77777777" w:rsidR="003754FE" w:rsidRDefault="003754FE" w:rsidP="003754FE">
      <w:pPr>
        <w:pStyle w:val="TextoNormal"/>
      </w:pPr>
    </w:p>
    <w:p w14:paraId="5F9F23BA" w14:textId="77777777" w:rsidR="003754FE" w:rsidRDefault="003754FE" w:rsidP="003754FE">
      <w:pPr>
        <w:pStyle w:val="TextoNormal"/>
      </w:pPr>
      <w:r>
        <w:t>e) Como quinto motivo se alega vulneración del derecho a la presunción de inocencia (art. 24.2 CE) por la comunicación pública del fallo, sin motivar, mediante la providencia de 26 de julio de 2022 de la Sala de lo Penal del Tribunal Supremo. Dicho motivo lo engarza el recurrente a las consiguientes lesiones del derecho al honor (art. 18.1 CE), a un proceso con todas las garantías (art. 24.2 CE) y a la tutela judicial efectiva (art. 24.1 CE).</w:t>
      </w:r>
    </w:p>
    <w:p w14:paraId="36770C28" w14:textId="77777777" w:rsidR="003754FE" w:rsidRDefault="003754FE" w:rsidP="003754FE">
      <w:pPr>
        <w:pStyle w:val="TextoNormal"/>
      </w:pPr>
    </w:p>
    <w:p w14:paraId="0A8E1EB2" w14:textId="77777777" w:rsidR="003754FE" w:rsidRDefault="003754FE" w:rsidP="003754FE">
      <w:pPr>
        <w:pStyle w:val="TextoNormal"/>
      </w:pPr>
      <w:r>
        <w:t>A lo largo de este motivo el demandante combate el dictado, por parte del Tribunal Supremo, de la providencia de 26 de julio de 2022 donde se comunicaba la desestimación —y correlativa confirmación de la condena— del recurso de casación interpuesto por el señor Griñán Martínez y demás encausados en el presente procedimiento. Dicha providencia habría sido emitida cincuenta y un días antes de la publicación oficial del fallo (14 de septiembre de 2022) cuando se hizo pública la motivación de la condena.</w:t>
      </w:r>
    </w:p>
    <w:p w14:paraId="66EBB54D" w14:textId="77777777" w:rsidR="003754FE" w:rsidRDefault="003754FE" w:rsidP="003754FE">
      <w:pPr>
        <w:pStyle w:val="TextoNormal"/>
      </w:pPr>
    </w:p>
    <w:p w14:paraId="2209EDDD" w14:textId="77777777" w:rsidR="003754FE" w:rsidRDefault="003754FE" w:rsidP="003754FE">
      <w:pPr>
        <w:pStyle w:val="TextoNormal"/>
      </w:pPr>
      <w:r>
        <w:t>Para el recurrente, la publicación del fallo anticipadamente supuso una vulneración del derecho a la presunción de inocencia extraprocesal (art. 24.2 CE) al emitirse por el Tribunal Supremo una declaración firme de culpabilidad ayuna de toda motivación y con anterioridad a la comunicación procesal de la sentencia. Considera que en una sociedad democrática no puede calificarse públicamente a un ciudadano como penalmente responsable sin dar razón suficiente. Deriva del estatus de dignidad de la persona que queden prohibidas declaraciones de culpabilidad sin respaldo de una sentencia firme por parte de cualesquiera autoridades públicas siendo así afirmado por la doctrina del Tribunal Europeo de Derechos Humanos (STEDH de 28 de junio de 2011, asunt</w:t>
      </w:r>
      <w:r w:rsidRPr="003754FE">
        <w:rPr>
          <w:i/>
        </w:rPr>
        <w:t>o Lizaso Azconobieta c. Espa</w:t>
      </w:r>
      <w:r>
        <w:t>ña).</w:t>
      </w:r>
    </w:p>
    <w:p w14:paraId="2B7EAB26" w14:textId="77777777" w:rsidR="003754FE" w:rsidRDefault="003754FE" w:rsidP="003754FE">
      <w:pPr>
        <w:pStyle w:val="TextoNormal"/>
      </w:pPr>
    </w:p>
    <w:p w14:paraId="16364C75" w14:textId="77777777" w:rsidR="003754FE" w:rsidRDefault="003754FE" w:rsidP="003754FE">
      <w:pPr>
        <w:pStyle w:val="TextoNormal"/>
      </w:pPr>
      <w:r>
        <w:lastRenderedPageBreak/>
        <w:t>Esta decisión de fragmentación de la comunicación de firmeza de la sentencia carecía, además, de todo respaldo en el ordenamiento jurídico, vulnerándose, en consecuencia, la legalidad procesal como parte integrante del derecho fundamental a un proceso con todas las garantías (art. 24.2 CE) habiéndose generado, además, una situación de indefensión por la comunicación masiva e inmediata del pronunciamiento condenatorio. De esta manera, “la actuación en dos actos del Tribunal, actuando fuera de toda previsión legal sin sujetarse a las normas procesales que ahora reputamos infringidas, en tanto se refieren a la comunicación conjunta de condena y justificación, que vehiculan la tutela judicial y preservan la presunción de inocencia, no puede considerarse una mera irregularidad que afecta a normas de mero trámite o irrelevantes, sino muy al contrario, ha afectado a normas que, por la naturaleza de los derechos y garantías que protegen, merecen la calificación de normas esenciales”.</w:t>
      </w:r>
    </w:p>
    <w:p w14:paraId="2CD8A7EB" w14:textId="77777777" w:rsidR="003754FE" w:rsidRDefault="003754FE" w:rsidP="003754FE">
      <w:pPr>
        <w:pStyle w:val="TextoNormal"/>
      </w:pPr>
    </w:p>
    <w:p w14:paraId="2F0B27F9" w14:textId="77777777" w:rsidR="003754FE" w:rsidRDefault="003754FE" w:rsidP="003754FE">
      <w:pPr>
        <w:pStyle w:val="TextoNormal"/>
      </w:pPr>
      <w:r>
        <w:t>Dicha decisión tampoco quedaría justificada por la “relevancia del caso”, aspecto que, en su caso, debería haber conllevado una actuación especialmente cuidadosa en el respeto a las normas procesales. La utilización de esta expresión por parte de la Sala de lo Penal del Tribunal Supremo supondría, además, priorizar la “relevancia social” del caso a los derechos fundamentales del condenado, subvirtiendo la prelación establecida en el art. 10 CE que sitúa a la dignidad como fundamento del orden político y de la paz social.</w:t>
      </w:r>
    </w:p>
    <w:p w14:paraId="32A15BB7" w14:textId="77777777" w:rsidR="003754FE" w:rsidRDefault="003754FE" w:rsidP="003754FE">
      <w:pPr>
        <w:pStyle w:val="TextoNormal"/>
      </w:pPr>
    </w:p>
    <w:p w14:paraId="3C613066" w14:textId="77777777" w:rsidR="003754FE" w:rsidRDefault="003754FE" w:rsidP="003754FE">
      <w:pPr>
        <w:pStyle w:val="TextoNormal"/>
      </w:pPr>
      <w:r>
        <w:t>Por último, la afectación del derecho a la tutela judicial efectiva (art. 24.1 CE) se habría producido porque la publicación anticipada del fallo no constituyó una resolución motivada siendo que lo que exige precisamente el derecho a una resolución motivada es la negación pública y oficial de una inocencia que hasta ese mismo momento se presumía.</w:t>
      </w:r>
    </w:p>
    <w:p w14:paraId="17AB69F7" w14:textId="77777777" w:rsidR="003754FE" w:rsidRDefault="003754FE" w:rsidP="003754FE">
      <w:pPr>
        <w:pStyle w:val="TextoNormal"/>
      </w:pPr>
    </w:p>
    <w:p w14:paraId="11244294" w14:textId="5B997E85" w:rsidR="003754FE" w:rsidRDefault="003754FE" w:rsidP="003754FE">
      <w:pPr>
        <w:pStyle w:val="TextoNormal"/>
      </w:pPr>
      <w:r>
        <w:t>Por todo ello, interesa que se le otorgue el amparo, se declare la vulneración del derecho fundamental a la legalidad penal (art. 25.1 CE), a un proceso con todas las garantías (art. 24.2 CE) y a la presunción de inocencia (24.2 CE) y se reponga al demandante en el derecho fundamental declarando nulas las resoluciones recurridas.</w:t>
      </w:r>
    </w:p>
    <w:p w14:paraId="1612653A" w14:textId="77777777" w:rsidR="003754FE" w:rsidRDefault="003754FE" w:rsidP="003754FE">
      <w:pPr>
        <w:pStyle w:val="TextoNormal"/>
      </w:pPr>
    </w:p>
    <w:p w14:paraId="5DDA6E14" w14:textId="77777777" w:rsidR="003754FE" w:rsidRDefault="003754FE" w:rsidP="003754FE">
      <w:pPr>
        <w:pStyle w:val="TextoNormal"/>
      </w:pPr>
      <w:r w:rsidRPr="003754FE">
        <w:rPr>
          <w:rStyle w:val="NumeroAFNegritaCaracter"/>
        </w:rPr>
        <w:t>4</w:t>
      </w:r>
      <w:r>
        <w:t>. La Sala Segunda de este tribunal dictó el ATC 287/2023, de 5 de junio, en el que, previa avocación de la decisión, admitió a trámite el presente recurso de amparo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o económica y tiene unas consecuencias políticas generales [STC 155/2009, FJ 2 g)]”.</w:t>
      </w:r>
    </w:p>
    <w:p w14:paraId="502F2B70" w14:textId="77777777" w:rsidR="003754FE" w:rsidRDefault="003754FE" w:rsidP="003754FE">
      <w:pPr>
        <w:pStyle w:val="TextoNormal"/>
      </w:pPr>
    </w:p>
    <w:p w14:paraId="5AD277E8" w14:textId="77777777" w:rsidR="003754FE" w:rsidRDefault="003754FE" w:rsidP="003754FE">
      <w:pPr>
        <w:pStyle w:val="TextoNormal"/>
      </w:pPr>
      <w:r>
        <w:t>Acordó asimismo, en aplicación del art. 51 de la Ley Orgánica del Tribunal Constitucional (LOTC), requerir a la Sección Primera de la Audiencia Provincial de Sevilla a fin de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w:t>
      </w:r>
    </w:p>
    <w:p w14:paraId="06B2CE86" w14:textId="77777777" w:rsidR="003754FE" w:rsidRDefault="003754FE" w:rsidP="003754FE">
      <w:pPr>
        <w:pStyle w:val="TextoNormal"/>
      </w:pPr>
    </w:p>
    <w:p w14:paraId="4AEE6D26" w14:textId="77777777" w:rsidR="003754FE" w:rsidRDefault="003754FE" w:rsidP="003754FE">
      <w:pPr>
        <w:pStyle w:val="TextoNormal"/>
      </w:pPr>
      <w:r>
        <w:lastRenderedPageBreak/>
        <w:t>Se ordenó también formar pieza separada de suspensión y en ella conceder un plazo común de tres días al Ministerio Fiscal y al solicitante de amparo para que efectuasen alegaciones sobre dicha cuestión.</w:t>
      </w:r>
    </w:p>
    <w:p w14:paraId="62E28093" w14:textId="77777777" w:rsidR="003754FE" w:rsidRDefault="003754FE" w:rsidP="003754FE">
      <w:pPr>
        <w:pStyle w:val="TextoNormal"/>
      </w:pPr>
    </w:p>
    <w:p w14:paraId="335884F7" w14:textId="77777777" w:rsidR="003754FE" w:rsidRDefault="003754FE" w:rsidP="003754FE">
      <w:pPr>
        <w:pStyle w:val="TextoNormal"/>
      </w:pPr>
      <w:r>
        <w:t>Se propuso finalmente la avocación al Pleno del conocimiento del asunto.</w:t>
      </w:r>
    </w:p>
    <w:p w14:paraId="0777E86F" w14:textId="77777777" w:rsidR="003754FE" w:rsidRDefault="003754FE" w:rsidP="003754FE">
      <w:pPr>
        <w:pStyle w:val="TextoNormal"/>
      </w:pPr>
    </w:p>
    <w:p w14:paraId="39C31197" w14:textId="77777777" w:rsidR="003754FE" w:rsidRDefault="003754FE" w:rsidP="003754FE">
      <w:pPr>
        <w:pStyle w:val="TextoNormal"/>
      </w:pPr>
      <w:r>
        <w:t>Por providencia de 20 de junio de 2023 el Pleno de este tribunal acordó, conforme al artículo 10.1 n) LOTC, a propuesta de la Sala Segunda, “recabar para sí el conocimiento del recurso de amparo que se tramita en dicha sala con el número 2119-2023, interpuesto por don José Antonio Griñán Martínez”.</w:t>
      </w:r>
    </w:p>
    <w:p w14:paraId="4818869F" w14:textId="77777777" w:rsidR="003754FE" w:rsidRDefault="003754FE" w:rsidP="003754FE">
      <w:pPr>
        <w:pStyle w:val="TextoNormal"/>
      </w:pPr>
    </w:p>
    <w:p w14:paraId="662E2616" w14:textId="17CA2656" w:rsidR="003754FE" w:rsidRDefault="003754FE" w:rsidP="003754FE">
      <w:pPr>
        <w:pStyle w:val="TextoNormal"/>
      </w:pPr>
      <w:r>
        <w:t>Por ATC 437/2023, de 26 de septiembre, el Pleno de este tribunal acordó tener por desistido al recurrente de la petición de suspensión de la pena de prisión (art. 56.6 LOTC) que le había sido impuesta, habida cuenta del dictado, por parte de la Sección Primera de la Audiencia Provincial de Sevilla, del auto de 26 de junio de 2023 por el que se acordaba la suspensión de la pena privativa de libertad (art. 80.4 CP).</w:t>
      </w:r>
    </w:p>
    <w:p w14:paraId="098E49B4" w14:textId="77777777" w:rsidR="003754FE" w:rsidRDefault="003754FE" w:rsidP="003754FE">
      <w:pPr>
        <w:pStyle w:val="TextoNormal"/>
      </w:pPr>
    </w:p>
    <w:p w14:paraId="1803EF7C" w14:textId="77777777" w:rsidR="003754FE" w:rsidRDefault="003754FE" w:rsidP="003754FE">
      <w:pPr>
        <w:pStyle w:val="TextoNormal"/>
      </w:pPr>
      <w:r w:rsidRPr="003754FE">
        <w:rPr>
          <w:rStyle w:val="NumeroAFNegritaCaracter"/>
        </w:rPr>
        <w:t>5</w:t>
      </w:r>
      <w:r>
        <w:t>. Se han producido las siguientes incidencias en cuanto a comparecencia, personación y alegaciones de las partes procesales:</w:t>
      </w:r>
    </w:p>
    <w:p w14:paraId="2CE8BEAA" w14:textId="77777777" w:rsidR="003754FE" w:rsidRDefault="003754FE" w:rsidP="003754FE">
      <w:pPr>
        <w:pStyle w:val="TextoNormal"/>
      </w:pPr>
    </w:p>
    <w:p w14:paraId="43AC6D28" w14:textId="77777777" w:rsidR="003754FE" w:rsidRDefault="003754FE" w:rsidP="003754FE">
      <w:pPr>
        <w:pStyle w:val="TextoNormal"/>
      </w:pPr>
      <w:r>
        <w:t>a) Mediante escrito de 25 de julio de 2023, el procurador de los tribunales don Manuel Sánchez-Puelles González-Carvajal, en nombre y representación del Partido Popular, y bajo la dirección letrada de don Ángel Márquez Prieto y don Alfonso Martínez Escribano, interesó que se le tuviera por personado en el procedimiento, así como la acumulación de los recursos de amparo dimanantes de la misma causa penal. Por diligencia de ordenación de la Secretaría de Justicia del Pleno de este tribunal de 27 de julio de 2023, se admitió su personación y, a tenor de lo dispuesto en el artículo 52 LOTC, se acordó dar vista de todas las actuaciones del presente recurso de amparo, por un plazo común de veinte días, a la parte recurrente, al Partido Popular y al Ministerio Fiscal para que dentro de dicho término pudieran presentar las alegaciones que estimasen procedentes.</w:t>
      </w:r>
    </w:p>
    <w:p w14:paraId="7EC43C58" w14:textId="77777777" w:rsidR="003754FE" w:rsidRDefault="003754FE" w:rsidP="003754FE">
      <w:pPr>
        <w:pStyle w:val="TextoNormal"/>
      </w:pPr>
    </w:p>
    <w:p w14:paraId="142A83F0" w14:textId="77777777" w:rsidR="003754FE" w:rsidRDefault="003754FE" w:rsidP="003754FE">
      <w:pPr>
        <w:pStyle w:val="TextoNormal"/>
      </w:pPr>
      <w:r>
        <w:t>b) El demandante, por escrito registrado el 22 de septiembre de 2023, presentó sus alegaciones reproduciendo y ratificando los fundamentos invocados en la respectiva demanda de amparo.</w:t>
      </w:r>
    </w:p>
    <w:p w14:paraId="2CDFA023" w14:textId="77777777" w:rsidR="003754FE" w:rsidRDefault="003754FE" w:rsidP="003754FE">
      <w:pPr>
        <w:pStyle w:val="TextoNormal"/>
      </w:pPr>
    </w:p>
    <w:p w14:paraId="28191609" w14:textId="77777777" w:rsidR="003754FE" w:rsidRDefault="003754FE" w:rsidP="003754FE">
      <w:pPr>
        <w:pStyle w:val="TextoNormal"/>
      </w:pPr>
      <w:r>
        <w:t>c) La representación procesal del Partido Popular, por escrito registrado el 26 de septiembre de 2023, interesó que se desestimara el amparo al no apreciarse la vulneración del principio de legalidad penal y del derecho a la presunción de inocencia.</w:t>
      </w:r>
    </w:p>
    <w:p w14:paraId="72B97380" w14:textId="77777777" w:rsidR="003754FE" w:rsidRDefault="003754FE" w:rsidP="003754FE">
      <w:pPr>
        <w:pStyle w:val="TextoNormal"/>
      </w:pPr>
    </w:p>
    <w:p w14:paraId="0D9D5AE5" w14:textId="77777777" w:rsidR="003754FE" w:rsidRDefault="003754FE" w:rsidP="003754FE">
      <w:pPr>
        <w:pStyle w:val="TextoNormal"/>
      </w:pPr>
      <w:r>
        <w:t>En relación con la vulneración del principio de legalidad penal (art. 25.1 CE) por indebida subsunción de los hechos declarados probados en el art. 404 CP, afirma que concurría el óbice procesal de falta de invocación (art. 44 LOTC) al no encontrarse mención del principio de legalidad penal desde esta perspectiva en los sucesivos recursos previos planteados.</w:t>
      </w:r>
    </w:p>
    <w:p w14:paraId="786EA8AD" w14:textId="77777777" w:rsidR="003754FE" w:rsidRDefault="003754FE" w:rsidP="003754FE">
      <w:pPr>
        <w:pStyle w:val="TextoNormal"/>
      </w:pPr>
    </w:p>
    <w:p w14:paraId="70CA8298" w14:textId="77777777" w:rsidR="003754FE" w:rsidRDefault="003754FE" w:rsidP="003754FE">
      <w:pPr>
        <w:pStyle w:val="TextoNormal"/>
      </w:pPr>
      <w:r>
        <w:t>Afirma que las alegaciones vertidas en la demanda de amparo serían manifiestamente inexactas toda vez que correspondería a una lectura parcial e interesada de las sentencias recurridas, siendo que los tribunales hicieron una aplicación razonada y racional del tipo delictivo, reproduciendo, a estos efectos, amplios párrafos de las sentencias impugnadas.</w:t>
      </w:r>
    </w:p>
    <w:p w14:paraId="56301784" w14:textId="77777777" w:rsidR="003754FE" w:rsidRDefault="003754FE" w:rsidP="003754FE">
      <w:pPr>
        <w:pStyle w:val="TextoNormal"/>
      </w:pPr>
    </w:p>
    <w:p w14:paraId="20A3B66D" w14:textId="77777777" w:rsidR="003754FE" w:rsidRDefault="003754FE" w:rsidP="003754FE">
      <w:pPr>
        <w:pStyle w:val="TextoNormal"/>
      </w:pPr>
      <w:r>
        <w:t xml:space="preserve">En su opinión, el recurso se habría fundamentado en una simplificación errónea del </w:t>
      </w:r>
      <w:r w:rsidRPr="003754FE">
        <w:rPr>
          <w:i/>
        </w:rPr>
        <w:t>factum</w:t>
      </w:r>
      <w:r>
        <w:t>, siendo que, en realidad, fueron muchos y prolongados los actos que la sentencia de instancia valora para estimar concurrente el delito de prevaricación. Así, en lo referente a que los actos realizados eran actos políticos de naturaleza prelegislativa —y, por ende, exentos de un hipotético control judicial— lo que se evidencia de las resoluciones impugnadas es que se produjo una modificación de las normas y decisiones para apartarse de las exigencias derivadas de las normas sobre subvenciones y control que se venían aplicando, normas que previamente habían provocado paralizaciones y rechazos de expedientes de ayudas, persistiendo así durante años hasta las nuevas modificaciones realizadas tras comenzar la investigación judicial de la causa.</w:t>
      </w:r>
    </w:p>
    <w:p w14:paraId="0BA0582A" w14:textId="77777777" w:rsidR="003754FE" w:rsidRDefault="003754FE" w:rsidP="003754FE">
      <w:pPr>
        <w:pStyle w:val="TextoNormal"/>
      </w:pPr>
    </w:p>
    <w:p w14:paraId="61B0DB8A" w14:textId="77777777" w:rsidR="003754FE" w:rsidRDefault="003754FE" w:rsidP="003754FE">
      <w:pPr>
        <w:pStyle w:val="TextoNormal"/>
      </w:pPr>
      <w:r>
        <w:t>Para la parte, la subsunción de los hechos es plenamente acorde al tenor literal del tipo, siendo irrazonable que la mayor parte de la crítica vertida en la demanda de amparo se centre en el tenor literal de la STC 83/2016, de 28 de abril, cuando, de hecho, son otras muchas sentencias y las normas jurídicas invocadas por la Audiencia Provincial las que fundamentan la imposición de la condena.</w:t>
      </w:r>
    </w:p>
    <w:p w14:paraId="1D312665" w14:textId="77777777" w:rsidR="003754FE" w:rsidRDefault="003754FE" w:rsidP="003754FE">
      <w:pPr>
        <w:pStyle w:val="TextoNormal"/>
      </w:pPr>
    </w:p>
    <w:p w14:paraId="0A332369" w14:textId="77777777" w:rsidR="003754FE" w:rsidRDefault="003754FE" w:rsidP="003754FE">
      <w:pPr>
        <w:pStyle w:val="TextoNormal"/>
      </w:pPr>
      <w:r>
        <w:t>Las resoluciones impugnadas, además, no habrían desconocido la indemnidad jurisdiccional de los actos políticos, sino que, al contrario, habrían analizado extensa y detalladamente los razonamientos que llevan a concluir que los actos enjuiciados no son de tal clase. De hecho, la sentencia dictada por el Tribunal Supremo concluye que el proceso prelegislativo es un procedimiento administrativo que culmina con la elevación del proyecto de ley y que constituye actos o resoluciones a efectos penales.</w:t>
      </w:r>
    </w:p>
    <w:p w14:paraId="0E9140AF" w14:textId="77777777" w:rsidR="003754FE" w:rsidRDefault="003754FE" w:rsidP="003754FE">
      <w:pPr>
        <w:pStyle w:val="TextoNormal"/>
      </w:pPr>
    </w:p>
    <w:p w14:paraId="74613679" w14:textId="77777777" w:rsidR="003754FE" w:rsidRDefault="003754FE" w:rsidP="003754FE">
      <w:pPr>
        <w:pStyle w:val="TextoNormal"/>
      </w:pPr>
      <w:r>
        <w:t>Ahonda la parte en este punto aludiendo a que la sentencia del Tribunal Supremo explicita que no existe una norma general de inmunidad de la actividad parlamentaria siendo que ello permitiría encuadrar los hechos en el concepto de “resolución administrativa” a efectos penales. En este sentido, referencia los antecedentes expuestos por el Tribunal Supremo al asumir esta interpretación afirmando finalmente que “en el marco legal un acto de elaboración de una disposición de carácter general constituye una resolución administrativa o en procedimiento administrativo desde diferentes ópticas, pudiendo integrarse en el entendimiento penal del concepto”. La posibilidad de enjuiciar penalmente estos hechos, además, nunca podría llegar a ser considerada como decisión de control del Poder Judicial sobre el Poder Legislativo, ya que no se enjuiciarían actos o decisiones de otros poderes, sino conductas personales imputables a las personas que ocupen, en cada momento, los cargos o empleos públicos, por los actos realizados y que el legislador haya entendido penalmente sancionables. Esto constituye: (i) por un lado, una importante diferencia con el orden contencioso-administrativo que, esta vez sí, enjuicia la conformidad o no a derecho de este tipo de actos; y (ii) por otro lado, la asunción del principio básico de que todas las autoridades y funcionarios están sometidos al imperio de la ley y sus conductas delictivas no pueden quedar impunes.</w:t>
      </w:r>
    </w:p>
    <w:p w14:paraId="00A0391A" w14:textId="77777777" w:rsidR="003754FE" w:rsidRDefault="003754FE" w:rsidP="003754FE">
      <w:pPr>
        <w:pStyle w:val="TextoNormal"/>
      </w:pPr>
    </w:p>
    <w:p w14:paraId="3DEAE247" w14:textId="77777777" w:rsidR="003754FE" w:rsidRDefault="003754FE" w:rsidP="003754FE">
      <w:pPr>
        <w:pStyle w:val="TextoNormal"/>
      </w:pPr>
      <w:r>
        <w:t xml:space="preserve">Respecto a la vulneración del principio de legalidad (art. 25.1 CE) por haberse considerado “resolución en asunto administrativo” los acuerdos adoptados sucesivamente por el Consejo de Gobierno aprobando el respectivo anteproyecto de ley, aduce que la demanda incurre en una indebida simplificación de que la condena se basa en actos prelegislativos cuando ello es manifiestamente inexacto. Así, la prevaricación declarada en sentencia de </w:t>
      </w:r>
      <w:r>
        <w:lastRenderedPageBreak/>
        <w:t>instancia no se fundamentaría únicamente en la adopción de unas resoluciones contrarias a derecho en los trámites de elaboración y aprobación de las normas presupuestarias, sino también en el hecho de que estas decisiones se adoptaron para conseguir una finalidad palmariamente ilegal: evitar el cumplimiento de las exigencias de las normas sobre subvenciones y el control previo de la Intervención General de la Junta de Andalucía. Consecuentemente, las sentencias se sustentarían en una subsunción de los hechos plenamente acorde y en nada ajena al significado posible de los términos de la norma aplicada.</w:t>
      </w:r>
    </w:p>
    <w:p w14:paraId="108FD569" w14:textId="77777777" w:rsidR="003754FE" w:rsidRDefault="003754FE" w:rsidP="003754FE">
      <w:pPr>
        <w:pStyle w:val="TextoNormal"/>
      </w:pPr>
    </w:p>
    <w:p w14:paraId="7B984252" w14:textId="77777777" w:rsidR="003754FE" w:rsidRDefault="003754FE" w:rsidP="003754FE">
      <w:pPr>
        <w:pStyle w:val="TextoNormal"/>
      </w:pPr>
      <w:r>
        <w:t>Tras reproducir literalmente los fundamentos jurídicos acogidos en las resoluciones impugnadas, aduce que existe una copiosa doctrina jurisprudencial que acoge la tesis de dichas resoluciones, y que permite enmarcar las conductas en el concepto de “resolución” y “asunto administrativo”, efectuada por la Audiencia Provincial de Sevilla y el Tribunal Supremo. Ello evidenciaría la racionalidad de la motivación de la sentencia del Tribunal Supremo de que no hay una inmunidad general de la actividad parlamentaria, menos aún de la actividad prelegislativa, y de que los actos del Gobierno o de la Administración que culminan en la elevación del proyecto de ley son resoluciones a efectos penales. A las citadas adiciona la parte otros antecedentes legislativos, como la Ley de procedimiento administrativo de 1958; la Ley 30/1992, de 26 de noviembre, de régimen jurídico de las administraciones públicas y del procedimiento administrativo común, o la Ley 50/1997, de 23 de noviembre, del Gobierno, que regulan la elaboración de disposiciones de carácter general como procedimientos administrativos especiales, de ahí que sea racional considerar los actos de esos procedimientos como resoluciones en asunto o procedimiento administrativo.</w:t>
      </w:r>
    </w:p>
    <w:p w14:paraId="62A139EC" w14:textId="77777777" w:rsidR="003754FE" w:rsidRDefault="003754FE" w:rsidP="003754FE">
      <w:pPr>
        <w:pStyle w:val="TextoNormal"/>
      </w:pPr>
    </w:p>
    <w:p w14:paraId="0AF45A9D" w14:textId="77777777" w:rsidR="003754FE" w:rsidRDefault="003754FE" w:rsidP="003754FE">
      <w:pPr>
        <w:pStyle w:val="TextoNormal"/>
      </w:pPr>
      <w:r>
        <w:t>A dichos argumentos habría que añadir los razonamientos contenidos en los fundamentos jurídicos 23 y siguientes de la sentencia dictada en casación, habida cuenta que en ella se analiza la idoneidad típica objetiva de cada una de las resoluciones que tilda de prevaricadoras: la apropiación de los proyectos de leyes de presupuestos por el Consejo de Gobierno de la Junta de Andalucía; la aprobación de los proyectos de presupuestos de la Consejería de Empleo y Desarrollo Tecnológico, con la intervención determinante del consejero y viceconsejeros; la aprobación de los proyectos de presupuestos de la Consejería de Empleo y Desarrollo Tecnológico, con la intervención determinante del consejero, viceconsejero y secretario general técnico; la aprobación de las distintas modificaciones presupuestarias; la concesión de las subvenciones y los convenios suscritos. Según se infiere del escrito de alegaciones presentado, las sentencias impugnadas no desconocerían la inmunidad jurisdiccional de determinados actos políticos, sino que motivarían extensa y detalladamente que los actos enjuiciados en este caso no revestirían dicho carácter.</w:t>
      </w:r>
    </w:p>
    <w:p w14:paraId="005456B2" w14:textId="77777777" w:rsidR="003754FE" w:rsidRDefault="003754FE" w:rsidP="003754FE">
      <w:pPr>
        <w:pStyle w:val="TextoNormal"/>
      </w:pPr>
    </w:p>
    <w:p w14:paraId="235D6F73" w14:textId="77777777" w:rsidR="003754FE" w:rsidRDefault="003754FE" w:rsidP="003754FE">
      <w:pPr>
        <w:pStyle w:val="TextoNormal"/>
      </w:pPr>
      <w:r>
        <w:t xml:space="preserve">Así, las sentencias motivan que el proceso prelegislativo es un procedimiento administrativo y que, partiendo de que no hay una inmunidad general de la actividad parlamentaria, resulta evidente que los actos del Gobierno y de la Administración que culminan en la elaboración del proyecto de ley son actos o resoluciones a efectos penales (art. 404 CP). Esta interpretación, entiende, respetaría la doctrina de los actos de gobierno y políticos establecida por la jurisdicción contencioso-administrativa, así como el reparto de funciones entre los poderes legislativo y ejecutivo, de tal manera que el posible control penal de las decisiones reseñadas “nunca puede considerarse como decisión de control del Poder Judicial (del orden penal) sobre otro poder; en este orden judicial, no se enjuician actos o decisiones de otros poderes, sino conductas personales imputables a las personas que ocupen, en cada momento, los cargos o empleos públicos, por los actos realizados que respondan a los tipos </w:t>
      </w:r>
      <w:r>
        <w:lastRenderedPageBreak/>
        <w:t>que el legislador orgánico ha entendido punibles y que, sin excepción, solo son las conductas atentatorias a los derechos fundamentales de los ciudadanos o a los intereses públicos generales”.</w:t>
      </w:r>
    </w:p>
    <w:p w14:paraId="7B48D509" w14:textId="77777777" w:rsidR="003754FE" w:rsidRDefault="003754FE" w:rsidP="003754FE">
      <w:pPr>
        <w:pStyle w:val="TextoNormal"/>
      </w:pPr>
    </w:p>
    <w:p w14:paraId="4BEC0746" w14:textId="77777777" w:rsidR="003754FE" w:rsidRDefault="003754FE" w:rsidP="003754FE">
      <w:pPr>
        <w:pStyle w:val="TextoNormal"/>
      </w:pPr>
      <w:r>
        <w:t>Para la parte, en consecuencia, la diferencia con la ausencia de control en el ámbito de la jurisdicción contencioso-administrativa se justificaría en que este último orden enjuicia la conformidad o no a Derecho de los actos impugnados, mientras que el orden penal tiene por objeto la responsabilidad penal de los autores de esos mismos actos. Todo ello partiría de un principio básico: todas las autoridades y funcionarios están sometidos al imperio de la ley y sus conductas delictivas no pueden quedar impunes.</w:t>
      </w:r>
    </w:p>
    <w:p w14:paraId="7F826809" w14:textId="77777777" w:rsidR="003754FE" w:rsidRDefault="003754FE" w:rsidP="003754FE">
      <w:pPr>
        <w:pStyle w:val="TextoNormal"/>
      </w:pPr>
    </w:p>
    <w:p w14:paraId="265063B9" w14:textId="77777777" w:rsidR="003754FE" w:rsidRDefault="003754FE" w:rsidP="003754FE">
      <w:pPr>
        <w:pStyle w:val="TextoNormal"/>
      </w:pPr>
      <w:r>
        <w:t>Mantiene que aunque la demanda de amparo trata de justificar que la aprobación por el Parlamento andaluz de las leyes de presupuestos impide considerar como “ilegal” los proyectos y anteproyectos de leyes, la ilicitud se derivaría: (i) por un lado, de la existencia de un régimen jurídico estatutario, reglamentario y legal aplicable a la elaboración de estos proyectos; (ii) por otro lado, de que ni las autoridades administrativas ni el legislador autonómico pueden desconocer ese régimen jurídico con intento de eludirla.</w:t>
      </w:r>
    </w:p>
    <w:p w14:paraId="45213617" w14:textId="77777777" w:rsidR="003754FE" w:rsidRDefault="003754FE" w:rsidP="003754FE">
      <w:pPr>
        <w:pStyle w:val="TextoNormal"/>
      </w:pPr>
    </w:p>
    <w:p w14:paraId="1261534D" w14:textId="77777777" w:rsidR="003754FE" w:rsidRDefault="003754FE" w:rsidP="003754FE">
      <w:pPr>
        <w:pStyle w:val="TextoNormal"/>
      </w:pPr>
      <w:r>
        <w:t>En relación con la posible vulneración del principio de legalidad penal (art. 25.1 CE) respecto al concepto “modificaciones presupuestarias”, considera que los argumentos que el demandante ha vertido sobre la posible “indemnidad” de los proyectos y anteproyectos de leyes en ningún caso pueden ser extendidos a las modificaciones presupuestarias. Así se razona, de hecho, en el fundamento jurídico 24 de la sentencia del Tribunal Supremo que enfatiza que, en dicho caso, aquellas modificaciones presupuestarias fueron aprobadas por el consejero de Hacienda, por el Consejo de Gobierno de la Junta de Andalucía y no por el Parlamento.</w:t>
      </w:r>
    </w:p>
    <w:p w14:paraId="4169446D" w14:textId="77777777" w:rsidR="003754FE" w:rsidRDefault="003754FE" w:rsidP="003754FE">
      <w:pPr>
        <w:pStyle w:val="TextoNormal"/>
      </w:pPr>
    </w:p>
    <w:p w14:paraId="33DB447E" w14:textId="77777777" w:rsidR="003754FE" w:rsidRDefault="003754FE" w:rsidP="003754FE">
      <w:pPr>
        <w:pStyle w:val="TextoNormal"/>
      </w:pPr>
      <w:r>
        <w:t>Considera que la parte demandante pretende una extensión analógica de la naturaleza de los proyectos y anteproyectos de leyes, pero existe entre ambos una diferencia sustancial que quedaría en evidencia en el fundamento jurídico 24 de la sentencia del Tribunal Supremo y de los fundamentos jurídicos 16 y 17 de la sentencia de la Audiencia Provincial. La decisión aprobatoria de estas modificaciones presupuestarias fue adoptada incumpliendo unas exigencias materiales y procedimentales de forma dolosa y tendentes a eliminar los controles administrativos.</w:t>
      </w:r>
    </w:p>
    <w:p w14:paraId="7F84AECF" w14:textId="77777777" w:rsidR="003754FE" w:rsidRDefault="003754FE" w:rsidP="003754FE">
      <w:pPr>
        <w:pStyle w:val="TextoNormal"/>
      </w:pPr>
    </w:p>
    <w:p w14:paraId="208179D1" w14:textId="77777777" w:rsidR="003754FE" w:rsidRDefault="003754FE" w:rsidP="003754FE">
      <w:pPr>
        <w:pStyle w:val="TextoNormal"/>
      </w:pPr>
      <w:r>
        <w:t>En relación con la vulneración del principio de legalidad (art. 25.1 CE) por subsunción irrazonable de los hechos probados en el delito de malversación (art. 432 CP), considera que se vuelve a hacer una selección parcial de los hechos y fundamentos recogidos en las resoluciones impugnadas. Así, las resoluciones impugnadas determinan claramente los hechos en virtud de los cuales se ha dictado condena declarando expresamente probado (hecho probado núm. 23) que el recurrente, entre otros acusados, conocía el indebido uso del instrumento de “transferencias de financiación”, primero como consejero de Economía y Hacienda de la Junta de Andalucía y, después, como presidente de la Junta de Andalucía, por ser destinatario de los informes de control financiero permanente de la agencia IFA/IDEA.</w:t>
      </w:r>
    </w:p>
    <w:p w14:paraId="65E37271" w14:textId="77777777" w:rsidR="003754FE" w:rsidRDefault="003754FE" w:rsidP="003754FE">
      <w:pPr>
        <w:pStyle w:val="TextoNormal"/>
      </w:pPr>
    </w:p>
    <w:p w14:paraId="520AB8E4" w14:textId="77777777" w:rsidR="003754FE" w:rsidRDefault="003754FE" w:rsidP="003754FE">
      <w:pPr>
        <w:pStyle w:val="TextoNormal"/>
      </w:pPr>
      <w:r>
        <w:t xml:space="preserve">El juicio de autoría también aparece explicitado en las resoluciones impugnadas, siendo que, además, la cuestión relativa al “clamoroso silencio” aducido en la demanda de amparo aparecía debidamente abordada en el auto que resolvía el incidente de nulidad de </w:t>
      </w:r>
      <w:r>
        <w:lastRenderedPageBreak/>
        <w:t>actuaciones (FJ 5) afirmando la inexistencia de dudas sobre la autoría que la sentencia de instancia atribuyó al recurrente y demás condenados.</w:t>
      </w:r>
    </w:p>
    <w:p w14:paraId="148AE179" w14:textId="77777777" w:rsidR="003754FE" w:rsidRDefault="003754FE" w:rsidP="003754FE">
      <w:pPr>
        <w:pStyle w:val="TextoNormal"/>
      </w:pPr>
    </w:p>
    <w:p w14:paraId="7FD09853" w14:textId="77777777" w:rsidR="003754FE" w:rsidRDefault="003754FE" w:rsidP="003754FE">
      <w:pPr>
        <w:pStyle w:val="TextoNormal"/>
      </w:pPr>
      <w:r>
        <w:t>Tras reproducir literalmente el extenso fundamento jurídico 63.2 de la sentencia del Tribunal Supremo (relativo a las pruebas de cargo valoradas frente al recurrente señor Griñán Martínez), concluye que la motivación empleada al respecto resulta lógica y acorde a las máximas de la experiencia, por lo que no merece ningún reproche constitucional. A esta misma conclusión se llega, también, respecto a la concurrencia del elemento subjetivo del injusto cuyo análisis se realiza en el fundamento jurídico 33.4 de la misma resolución y cuyas conclusiones tampoco han de ser tildadas de ilógicas o arbitrarias.</w:t>
      </w:r>
    </w:p>
    <w:p w14:paraId="79EF5FB8" w14:textId="77777777" w:rsidR="003754FE" w:rsidRDefault="003754FE" w:rsidP="003754FE">
      <w:pPr>
        <w:pStyle w:val="TextoNormal"/>
      </w:pPr>
    </w:p>
    <w:p w14:paraId="1D96AB74" w14:textId="77777777" w:rsidR="003754FE" w:rsidRDefault="003754FE" w:rsidP="003754FE">
      <w:pPr>
        <w:pStyle w:val="TextoNormal"/>
      </w:pPr>
      <w:r>
        <w:t>En lo que se refiere a la ausencia de vinculación entre el sistema de presupuestación y la malversación, la representación del Partido Popular refiere que los actos presupuestarios no pueden calificarse como neutros, sino que fueron realizados con la finalidad de otorgar medios para disponer libérrimamente de los fondos públicos, eliminando los controles de fiscalización establecidos a este fin. Consecuentemente, no puede sostenerse la autonomía de las decisiones presupuestarias frente a las decisiones de ejecución del gasto.</w:t>
      </w:r>
    </w:p>
    <w:p w14:paraId="7CCED41F" w14:textId="77777777" w:rsidR="003754FE" w:rsidRDefault="003754FE" w:rsidP="003754FE">
      <w:pPr>
        <w:pStyle w:val="TextoNormal"/>
      </w:pPr>
    </w:p>
    <w:p w14:paraId="73E4473B" w14:textId="77777777" w:rsidR="003754FE" w:rsidRDefault="003754FE" w:rsidP="003754FE">
      <w:pPr>
        <w:pStyle w:val="TextoNormal"/>
      </w:pPr>
      <w:r>
        <w:t xml:space="preserve">Especial referencia hace la parte también a las alegaciones vertidas por el demandante sobre la ausencia de condenas por cada una de las ayudas individuales. En relación a ello, afirma que la actuación del Tribunal Supremo es respetuosa con el </w:t>
      </w:r>
      <w:r w:rsidRPr="003754FE">
        <w:rPr>
          <w:i/>
        </w:rPr>
        <w:t>non bis in idem</w:t>
      </w:r>
      <w:r>
        <w:t>, ya que no existiendo sentencia firme sobre cada una de las ayudas individuales no se produciría, respecto a estas últimas, el efecto de cosa juzgada. A ello añade que las sentencias han excluido del reproche punitivo a los condenados respecto de todas y cada una de las ayudas que se enjuician en piezas separadas y eso lo hace sin juzgar la participación y responsabilidad que cada uno pudiera tener en esas ayudas de un periodo determinado. El presente proceso no tenía como objeto el enjuiciamiento de todas y cada una de las ayudas sino que lo que fue objeto de debate es la existencia y rasgos de aquellas —precisadas con amplitud en el informe de la IGAE—, por lo que, sin enjuiciamiento de lo que está siendo objeto de otros procesos, la prueba referida a la concesión de dichas ayudas eludiendo los procedimientos establecidos fueron suficientes para llevar a los órganos judiciales a considerar concurrente el delito de malversación.</w:t>
      </w:r>
    </w:p>
    <w:p w14:paraId="2FF87523" w14:textId="77777777" w:rsidR="003754FE" w:rsidRDefault="003754FE" w:rsidP="003754FE">
      <w:pPr>
        <w:pStyle w:val="TextoNormal"/>
      </w:pPr>
    </w:p>
    <w:p w14:paraId="504ACE32" w14:textId="77777777" w:rsidR="003754FE" w:rsidRDefault="003754FE" w:rsidP="003754FE">
      <w:pPr>
        <w:pStyle w:val="TextoNormal"/>
      </w:pPr>
      <w:r>
        <w:t>Estas ayudas, además, aparecieron precisadas en los escritos de acusación por lo que las partes conocían las irregularidades denunciadas y pudieron articular los medios de prueba que tuvieron por oportuno frente a aquellos hechos. Consecuentemente, y a pesar de lo alegado en la demanda de amparo, no se describe qué indefensión se ha causado. Ha habido identidad sustancial entre los hechos invocados por las acusaciones en sus conclusiones definitivas y en el juicio histórico de la sentencia, por lo que no hubo lesión del principio acusatorio.</w:t>
      </w:r>
    </w:p>
    <w:p w14:paraId="6E7784D4" w14:textId="77777777" w:rsidR="003754FE" w:rsidRDefault="003754FE" w:rsidP="003754FE">
      <w:pPr>
        <w:pStyle w:val="TextoNormal"/>
      </w:pPr>
    </w:p>
    <w:p w14:paraId="11AD2106" w14:textId="77777777" w:rsidR="003754FE" w:rsidRDefault="003754FE" w:rsidP="003754FE">
      <w:pPr>
        <w:pStyle w:val="TextoNormal"/>
      </w:pPr>
      <w:r>
        <w:t>Finaliza la impugnación de este motivo alegando que la presunta “inversión de la carga de la prueba” alegada en la demanda lo que hace es encubrir una crítica al valor probatorio del informe de la IGAE, prueba que era conocida por las partes acusadas las cuales pudieron articular los medios de prueba que tuvieron por conveniente.</w:t>
      </w:r>
    </w:p>
    <w:p w14:paraId="48C1928B" w14:textId="77777777" w:rsidR="003754FE" w:rsidRDefault="003754FE" w:rsidP="003754FE">
      <w:pPr>
        <w:pStyle w:val="TextoNormal"/>
      </w:pPr>
    </w:p>
    <w:p w14:paraId="58972825" w14:textId="77777777" w:rsidR="003754FE" w:rsidRDefault="003754FE" w:rsidP="003754FE">
      <w:pPr>
        <w:pStyle w:val="TextoNormal"/>
      </w:pPr>
      <w:r>
        <w:t xml:space="preserve">En relación con la vulneración del principio de legalidad (art. 25.1 CE) por la apreciación del dolo eventual en el delito de malversación (art. 432 CP), solicita también la </w:t>
      </w:r>
      <w:r>
        <w:lastRenderedPageBreak/>
        <w:t>desestimación del motivo aludiendo que, al igual que ocurre con los motivos anteriormente analizados, la demanda no respeta las consideraciones fácticas establecidas por las resoluciones impugnadas.</w:t>
      </w:r>
    </w:p>
    <w:p w14:paraId="2E19D0E0" w14:textId="77777777" w:rsidR="003754FE" w:rsidRDefault="003754FE" w:rsidP="003754FE">
      <w:pPr>
        <w:pStyle w:val="TextoNormal"/>
      </w:pPr>
    </w:p>
    <w:p w14:paraId="53985F37" w14:textId="77777777" w:rsidR="003754FE" w:rsidRDefault="003754FE" w:rsidP="003754FE">
      <w:pPr>
        <w:pStyle w:val="TextoNormal"/>
      </w:pPr>
      <w:r>
        <w:t>Alude la parte a que, en modo alguno, existe una “manifiesta insuficiencia” que permita afirmar que de los hechos probados no puede inferirse la calificación del dolo eventual, pues, al contrario, las resoluciones impugnadas referencian permanentemente que el señor Griñán Martínez tenía “conocimiento de una alta probabilidad de que, en este caso, otros estuvieran malversando”. Así, en el relato fáctico de la sentencia impugnada se describe con precisión la acción nuclear del delito de malversación, consistente en la disposición definitiva de caudales públicos con fines distintos a los previstos en la ley, siendo que el recurrente, por razón de los cargos que desempeñó, tenía conocimiento de aquellas irregularidades pese a lo cual permitió que se produjeran año tras año.</w:t>
      </w:r>
    </w:p>
    <w:p w14:paraId="168C2A60" w14:textId="77777777" w:rsidR="003754FE" w:rsidRDefault="003754FE" w:rsidP="003754FE">
      <w:pPr>
        <w:pStyle w:val="TextoNormal"/>
      </w:pPr>
    </w:p>
    <w:p w14:paraId="27CC5527" w14:textId="77777777" w:rsidR="003754FE" w:rsidRDefault="003754FE" w:rsidP="003754FE">
      <w:pPr>
        <w:pStyle w:val="TextoNormal"/>
      </w:pPr>
      <w:r>
        <w:t xml:space="preserve">Para la representación procesal del Partido Popular, la circunstancia anteriormente expuesta sería literosuficiente para rechazar que en sede casacional el </w:t>
      </w:r>
      <w:r w:rsidRPr="003754FE">
        <w:rPr>
          <w:i/>
        </w:rPr>
        <w:t>factum</w:t>
      </w:r>
      <w:r>
        <w:t xml:space="preserve"> haya sido alterado a fin de estimar concurrente la figura del dolo eventual. No se ha producido una vulneración de garantías procesales ya que (i) la Sala de lo Penal del Tribunal Supremo no ha revocado una absolución e impuesto una condena, y (ii) las diferencias entre los fundamentos de la condena son meras cuestiones jurídicas que no alteran el relato fáctico recogido en la sentencia de instancia. Este último elemento quedaría acreditado, de hecho, por la circunstancia de que la sentencia de casación reproduce reiteradamente los datos fácticos y valoraciones que constan en la sentencia de primera instancia. A pesar de que el demandante sobre este punto afirma que la sentencia de casación declara la finalidad ilícita de la modificación del sistema presupuestario, lo cierto es que no atiende a la motivación completa de la sentencia de instancia, donde no se señala, en modo alguno, que la conducta de los recurrentes fuera exclusivamente de contenido lícito, sino más bien al contrario.</w:t>
      </w:r>
    </w:p>
    <w:p w14:paraId="3B17B50C" w14:textId="77777777" w:rsidR="003754FE" w:rsidRDefault="003754FE" w:rsidP="003754FE">
      <w:pPr>
        <w:pStyle w:val="TextoNormal"/>
      </w:pPr>
    </w:p>
    <w:p w14:paraId="006EE62E" w14:textId="77777777" w:rsidR="003754FE" w:rsidRDefault="003754FE" w:rsidP="003754FE">
      <w:pPr>
        <w:pStyle w:val="TextoNormal"/>
      </w:pPr>
      <w:r>
        <w:t>La parte llega hasta el extremo de afirmar que el Tribunal Supremo, a la vista de los hechos probados, no alteró la modalidad de dolo siendo que, aun cuando lo hubiera hecho, ello habría sido sin alterar el relato de hechos recogido en la sentencia de instancia lo que, de ordinario y conforme a doctrina constitucional reiterada, no requeriría ni de la celebración de vista pública. La prueba sobre dicho dolo, además, estaría recogida en la sentencia y su valoración no puede ser considerada ilógica o arbitraria.</w:t>
      </w:r>
    </w:p>
    <w:p w14:paraId="2C381EE1" w14:textId="77777777" w:rsidR="003754FE" w:rsidRDefault="003754FE" w:rsidP="003754FE">
      <w:pPr>
        <w:pStyle w:val="TextoNormal"/>
      </w:pPr>
    </w:p>
    <w:p w14:paraId="6F866622" w14:textId="77777777" w:rsidR="003754FE" w:rsidRDefault="003754FE" w:rsidP="003754FE">
      <w:pPr>
        <w:pStyle w:val="TextoNormal"/>
      </w:pPr>
      <w:r>
        <w:t>Los argumentos de la demanda, en consecuencia, deben ser considerados inconsistentes pues derivan de una selección incompleta y sesgada de los argumentos fácticos y valorativos de las sentencias recurridas, al referirse a la culpabilidad. El mismo sentido dubitativo tendría la expresión “alta probabilidad” que el actor maneja, siendo lo relevante que la afirmación de la concurrencia de una forma de culpabilidad se hace sin duda alguna.</w:t>
      </w:r>
    </w:p>
    <w:p w14:paraId="01F6BFE9" w14:textId="77777777" w:rsidR="003754FE" w:rsidRDefault="003754FE" w:rsidP="003754FE">
      <w:pPr>
        <w:pStyle w:val="TextoNormal"/>
      </w:pPr>
    </w:p>
    <w:p w14:paraId="40B13959" w14:textId="77777777" w:rsidR="003754FE" w:rsidRDefault="003754FE" w:rsidP="003754FE">
      <w:pPr>
        <w:pStyle w:val="TextoNormal"/>
      </w:pPr>
      <w:r>
        <w:t xml:space="preserve">Termina este motivo la parte alegando lo siguiente: (i) no se comparte la diferenciación establecida en el voto particular de los condenados de la Consejería de Empleo y Desarrollo Tecnológico y los demás encausados ajenos a la misma; (ii) no cabe invocar que el hecho de que el interventor general haya sido absuelto puede producir efectos positivos sobre los demás encausados dada cuenta que “lo que pudo y debió conducir es a un recurso por la parte legitimada de la sentencia absolutoria, no a la extensión del posible error a otros casos”; (iii) es incierto que el fundamento de la condena por prevaricación y malversación sea </w:t>
      </w:r>
      <w:r>
        <w:lastRenderedPageBreak/>
        <w:t xml:space="preserve">el mismo; (iv) la conclusión obtenida de la sentencia de la causa Umax mal puede aplicarse a la forma y sistema en que se instrumentaron las resoluciones de concesión de ayudas a través de un convenio marco y convenios particulares; (v) no se comparte tampoco la tesis de que los encausados ajenos a la Consejería de Empleo y Desarrollo Tecnológico no tomaron parte directa en los actos malversadores ya que esta afirmación contradice lo expuesto en el </w:t>
      </w:r>
      <w:r w:rsidRPr="003754FE">
        <w:rPr>
          <w:i/>
        </w:rPr>
        <w:t>factum</w:t>
      </w:r>
      <w:r>
        <w:t>; (vi) el recurrente hace una síntesis incompleta y parcial de las pruebas de cargo; y (vii) no cabe negar la relación entre los actos prevaricadores y las conductas malversadoras pues se tratan de delitos con una estrecha relación o vínculo como todo supuesto de concurso medial.</w:t>
      </w:r>
    </w:p>
    <w:p w14:paraId="7DEF11CD" w14:textId="77777777" w:rsidR="003754FE" w:rsidRDefault="003754FE" w:rsidP="003754FE">
      <w:pPr>
        <w:pStyle w:val="TextoNormal"/>
      </w:pPr>
    </w:p>
    <w:p w14:paraId="438D7A44" w14:textId="77777777" w:rsidR="003754FE" w:rsidRDefault="003754FE" w:rsidP="003754FE">
      <w:pPr>
        <w:pStyle w:val="TextoNormal"/>
      </w:pPr>
      <w:r>
        <w:t>Finalmente, en relación con la vulneración del derecho a la presunción de inocencia en su vertiente extraprocesal (art. 24.2 CE), la parte se opone a las alegaciones formuladas por el señor Griñán Martínez afirmando que no se produjo una filtración del fallo, sino que, al contrario, la Sala concluyó sus deliberaciones y dicto providencia comunicando a las partes el contenido de este a la espera de la redacción de los votos particulares. Esta providencia fue difundida por la propia oficina de comunicación y en el marco, precisamente, de lo aprobado por el protocolo de comunicación del Consejo General del Poder Judicial.</w:t>
      </w:r>
    </w:p>
    <w:p w14:paraId="63CC5384" w14:textId="77777777" w:rsidR="003754FE" w:rsidRDefault="003754FE" w:rsidP="003754FE">
      <w:pPr>
        <w:pStyle w:val="TextoNormal"/>
      </w:pPr>
    </w:p>
    <w:p w14:paraId="4785A684" w14:textId="77777777" w:rsidR="003754FE" w:rsidRDefault="003754FE" w:rsidP="003754FE">
      <w:pPr>
        <w:pStyle w:val="TextoNormal"/>
      </w:pPr>
      <w:r>
        <w:t>Esta forma de proceder, que contribuye a hacer efectiva la existencia de una opinión pública libre y que es una garantía esencial del propio funcionamiento del Poder Judicial, permite someter al conocimiento público las actuaciones de los jueces y mantener así, la confianza de la sociedad en los tribunales.</w:t>
      </w:r>
    </w:p>
    <w:p w14:paraId="7A01C095" w14:textId="77777777" w:rsidR="003754FE" w:rsidRDefault="003754FE" w:rsidP="003754FE">
      <w:pPr>
        <w:pStyle w:val="TextoNormal"/>
      </w:pPr>
    </w:p>
    <w:p w14:paraId="34EAB769" w14:textId="77777777" w:rsidR="003754FE" w:rsidRDefault="003754FE" w:rsidP="003754FE">
      <w:pPr>
        <w:pStyle w:val="TextoNormal"/>
      </w:pPr>
      <w:r>
        <w:t>No estaríamos, en definitiva, ante un supuesto de una declaración pública de autoridades que se refiriesen a un sospechoso como acusado o culpable, sino, al contrario, ante un caso en lo que se ha hecho es difundir una información que constituye un anticipo prudente y discreto del contenido del fallo. La obligación establecida en la Directiva UE 2016/343, del Parlamento europeo y del Consejo de 9 de marzo de 2016, no debe impedir ni evitar que las autoridades públicas divulguen información sobre el proceso penal cuando sea estrictamente necesario. Además, los condenados ya lo habían sido por la previa sentencia de la Audiencia Provincial por lo que su posición no se ha agravado por el adelantamiento del fallo de la sentencia de casación.</w:t>
      </w:r>
    </w:p>
    <w:p w14:paraId="0FDE1352" w14:textId="77777777" w:rsidR="003754FE" w:rsidRDefault="003754FE" w:rsidP="003754FE">
      <w:pPr>
        <w:pStyle w:val="TextoNormal"/>
      </w:pPr>
    </w:p>
    <w:p w14:paraId="3AE9B576" w14:textId="77777777" w:rsidR="003754FE" w:rsidRDefault="003754FE" w:rsidP="003754FE">
      <w:pPr>
        <w:pStyle w:val="TextoNormal"/>
      </w:pPr>
      <w:r>
        <w:t>Finaliza afirmando: (i) la anticipación del fallo no arroja ninguna duda de ausencia de imparcialidad de los magistrados integrantes de la Sala de casación; (ii) la motivación se predica de la resolución dictada por el Tribunal Supremo y no de la providencia anticipando el fallo; (iii) la publicación anticipada del fallo no está prevista en la ley, pero tampoco se encuentra prohibida o resulta extravagante en relación con los preceptos contenidos en la Ley de enjuiciamiento criminal (LECrim), siendo además práctica habitual de otros tribunales como el propio Tribunal Constitucional; (iv) la anticipación del fallo cumple una labor informativa incuestionable y no afecta a derecho fundamental alguno; (v) aunque la publicación de la sentencia deba cumplir la exigencia de integridad, ello no obsta a que se puedan anticipar algunos extremos cuando se pretendan otras finalidades de interés social; y (vi) no existe vulneración del derecho a la presunción de inocencia porque la anticipación del fallo no puede equipararse a una condena pública sin motivación.</w:t>
      </w:r>
    </w:p>
    <w:p w14:paraId="54126C03" w14:textId="77777777" w:rsidR="003754FE" w:rsidRDefault="003754FE" w:rsidP="003754FE">
      <w:pPr>
        <w:pStyle w:val="TextoNormal"/>
      </w:pPr>
    </w:p>
    <w:p w14:paraId="45B08DD1" w14:textId="77777777" w:rsidR="003754FE" w:rsidRDefault="003754FE" w:rsidP="003754FE">
      <w:pPr>
        <w:pStyle w:val="TextoNormal"/>
      </w:pPr>
      <w:r>
        <w:t xml:space="preserve">d) Por escrito presentado el 6 de octubre de 2023, la procuradora de los tribunales doña Virginia Aragón Segura actuando en nombre y representación de don Gaspar Zarrías </w:t>
      </w:r>
      <w:r>
        <w:lastRenderedPageBreak/>
        <w:t>Arévalo, bajo la dirección técnica del letrado don Gonzalo Martínez-Fresneda Ortiz de Solórzano, solicitó se le tuviera por personado en el procedimiento y adherido a los motivos de amparo primero y segundo formulados por el recurrente.</w:t>
      </w:r>
    </w:p>
    <w:p w14:paraId="48B782C0" w14:textId="77777777" w:rsidR="003754FE" w:rsidRDefault="003754FE" w:rsidP="003754FE">
      <w:pPr>
        <w:pStyle w:val="TextoNormal"/>
      </w:pPr>
    </w:p>
    <w:p w14:paraId="2623CF12" w14:textId="77777777" w:rsidR="003754FE" w:rsidRDefault="003754FE" w:rsidP="003754FE">
      <w:pPr>
        <w:pStyle w:val="TextoNormal"/>
      </w:pPr>
      <w:r>
        <w:t>e) Por escrito presentado el 9 de octubre de 2023, la procuradora de los tribunales doña Patricia Rosch Iglesias, actuando en nombre y representación de don Francisco Vallejo Serrano, y bajo la dirección técnica de la letrada doña María Encarnación Molino Barrero, solicitó se le tuviera por personado en el procedimiento a los efectos previstos en los artículos 47.1, 51.2 y 52.1 LOTC.</w:t>
      </w:r>
    </w:p>
    <w:p w14:paraId="10ECE440" w14:textId="77777777" w:rsidR="003754FE" w:rsidRDefault="003754FE" w:rsidP="003754FE">
      <w:pPr>
        <w:pStyle w:val="TextoNormal"/>
      </w:pPr>
    </w:p>
    <w:p w14:paraId="56825AE2" w14:textId="77777777" w:rsidR="003754FE" w:rsidRDefault="003754FE" w:rsidP="003754FE">
      <w:pPr>
        <w:pStyle w:val="TextoNormal"/>
      </w:pPr>
      <w:r>
        <w:t>f) Por escrito presentado el 9 de octubre de 2023, la procuradora de los tribunales doña Patricia Rosch Iglesias, actuando en nombre y representación de don Jesús María Rodríguez Román, bajo la dirección técnica del letrado don Luis Aparicio Díaz, solicitó se le tuviera por personado en el procedimiento a los efectos previstos en los artículos 47.1, 51.2 y 52.1 LOTC.</w:t>
      </w:r>
    </w:p>
    <w:p w14:paraId="39EA2B0B" w14:textId="77777777" w:rsidR="003754FE" w:rsidRDefault="003754FE" w:rsidP="003754FE">
      <w:pPr>
        <w:pStyle w:val="TextoNormal"/>
      </w:pPr>
    </w:p>
    <w:p w14:paraId="3FB6937A" w14:textId="77777777" w:rsidR="003754FE" w:rsidRDefault="003754FE" w:rsidP="003754FE">
      <w:pPr>
        <w:pStyle w:val="TextoNormal"/>
      </w:pPr>
      <w:r>
        <w:t>g) Por escrito presentado el 10 de octubre de 2023, el procurador de los tribunales don Roberto Primitivo Granizo Palomeque, actuando en nombre y representación de don Antonio Vicente Lozano, bajo la dirección técnica de don José María Calero Martínez, solicitó se le tuviera por personado en el procedimiento.</w:t>
      </w:r>
    </w:p>
    <w:p w14:paraId="13BEAB04" w14:textId="77777777" w:rsidR="003754FE" w:rsidRDefault="003754FE" w:rsidP="003754FE">
      <w:pPr>
        <w:pStyle w:val="TextoNormal"/>
      </w:pPr>
    </w:p>
    <w:p w14:paraId="47837767" w14:textId="77777777" w:rsidR="003754FE" w:rsidRDefault="003754FE" w:rsidP="003754FE">
      <w:pPr>
        <w:pStyle w:val="TextoNormal"/>
      </w:pPr>
      <w:r>
        <w:t>h) Por escrito presentado el 10 de octubre de 2023, la procuradora de los tribunales doña Olga Elena Coca Alonso, actuando en nombre y representación de doña Carmen Martínez Aguayo, bajo la dirección técnica de don Víctor Moreno Catena, solicitó se le tuviera por personada en el procedimiento y adherida a los motivos de amparo formulados por el recurrente.</w:t>
      </w:r>
    </w:p>
    <w:p w14:paraId="24A2D106" w14:textId="77777777" w:rsidR="003754FE" w:rsidRDefault="003754FE" w:rsidP="003754FE">
      <w:pPr>
        <w:pStyle w:val="TextoNormal"/>
      </w:pPr>
    </w:p>
    <w:p w14:paraId="7C48C9E2" w14:textId="77777777" w:rsidR="003754FE" w:rsidRDefault="003754FE" w:rsidP="003754FE">
      <w:pPr>
        <w:pStyle w:val="TextoNormal"/>
      </w:pPr>
      <w:r>
        <w:t>i) Por diligencia de ordenación de 23 de octubre de 2023 se tuvieron por recibidos los emplazamientos practicados por la Sección Primera de la Audiencia Provincial de Sevilla y se acordó tener por personados y parte en el proceso a la procuradora doña Virginia Aragón Segura, en nombre y representación de don Gaspar Zarrías Arévalo, a la procuradora doña Patricia Rosch Iglesias, en nombre y representación de don Francisco Vallejo Serrano, a la misma procuradora, señora Rosch Iglesias, en nombre y representación de don Jesús María Rodríguez Román, al procurador don Roberto Primitivo Granizo Palomeque, en nombre y representación de don Antonio Vicente Lozano Peña, y a la procuradora doña Olga Elena Coca Alonso, en nombre y representación de doña Carmen Martínez Aguayo.</w:t>
      </w:r>
    </w:p>
    <w:p w14:paraId="38C07788" w14:textId="77777777" w:rsidR="003754FE" w:rsidRDefault="003754FE" w:rsidP="003754FE">
      <w:pPr>
        <w:pStyle w:val="TextoNormal"/>
      </w:pPr>
    </w:p>
    <w:p w14:paraId="619DAC02" w14:textId="77777777" w:rsidR="003754FE" w:rsidRDefault="003754FE" w:rsidP="003754FE">
      <w:pPr>
        <w:pStyle w:val="TextoNormal"/>
      </w:pPr>
      <w:r>
        <w:t>Asimismo, y a tenor de lo dispuesto en el artículo 52 LOTC, se dio vista de todas las actuaciones del presente recurso de amparo, por un plazo común de veinte días, a las citadas partes personadas, para que dentro de dicho término pudieran presentar las alegaciones que a su derecho conviniera.</w:t>
      </w:r>
    </w:p>
    <w:p w14:paraId="43EADF9F" w14:textId="77777777" w:rsidR="003754FE" w:rsidRDefault="003754FE" w:rsidP="003754FE">
      <w:pPr>
        <w:pStyle w:val="TextoNormal"/>
      </w:pPr>
    </w:p>
    <w:p w14:paraId="53ED28C8" w14:textId="77777777" w:rsidR="003754FE" w:rsidRDefault="003754FE" w:rsidP="003754FE">
      <w:pPr>
        <w:pStyle w:val="TextoNormal"/>
      </w:pPr>
      <w:r>
        <w:t>j) Por escrito presentado el 26 de octubre de 2023, el fiscal ante el Tribunal Constitucional solicitó una prórroga para evacuar las alegaciones previstas en el art. 52 LOTC, por un plazo de treinta días hábiles complementarios a contar desde la conclusión del plazo ordinario, prevista para el 8 de noviembre de 2023. Por diligencia de ordenación de 30 de octubre de 2023 se tuvo por recibido el anterior escrito del fiscal y se acordó ampliar el plazo en los términos solicitados.</w:t>
      </w:r>
    </w:p>
    <w:p w14:paraId="2BAFE81E" w14:textId="77777777" w:rsidR="003754FE" w:rsidRDefault="003754FE" w:rsidP="003754FE">
      <w:pPr>
        <w:pStyle w:val="TextoNormal"/>
      </w:pPr>
    </w:p>
    <w:p w14:paraId="18B5399B" w14:textId="77777777" w:rsidR="003754FE" w:rsidRDefault="003754FE" w:rsidP="003754FE">
      <w:pPr>
        <w:pStyle w:val="TextoNormal"/>
      </w:pPr>
      <w:r>
        <w:t xml:space="preserve">k) Por escrito registrado el 20 de noviembre de 2023, la representación procesal de don Jesús María Rodríguez Román evacuó escrito de alegaciones en el que alegaba la vulneración del principio de legalidad (art. 25.1 CE) por interpretación extensiva </w:t>
      </w:r>
      <w:r w:rsidRPr="003754FE">
        <w:rPr>
          <w:i/>
        </w:rPr>
        <w:t>in malam partem</w:t>
      </w:r>
      <w:r>
        <w:t xml:space="preserve"> de los conceptos “resolución” y “asunto administrativo” a los que se refiere el art. 404 CP. En este sentido, mantiene que los acuerdos del Consejo de Gobierno de la Junta de Andalucía y las modificaciones presupuestarias son actos políticos de gobierno no siendo posible, en consecuencia, su control judicial. Considera que las sentencias recurridas habrían hecho una interpretación extensiva peyorativa al afirmar que puede sostenerse la existencia de leyes ilegales y que, además, se habría obviado la pericial presentada y que serviría para constatar que existía un conflicto de leyes entre el art. 18.1 de la Ley del Parlamento de Andalucía 15/2001 y las sucesivas leyes de presupuestos que debía resolverse conforme a los principios interpretativos de que la ley especial se aplica sobre la ley general y la ley posterior deroga a la ley anterior.</w:t>
      </w:r>
    </w:p>
    <w:p w14:paraId="04A80BFD" w14:textId="77777777" w:rsidR="003754FE" w:rsidRDefault="003754FE" w:rsidP="003754FE">
      <w:pPr>
        <w:pStyle w:val="TextoNormal"/>
      </w:pPr>
    </w:p>
    <w:p w14:paraId="78E0A818" w14:textId="77777777" w:rsidR="003754FE" w:rsidRDefault="003754FE" w:rsidP="003754FE">
      <w:pPr>
        <w:pStyle w:val="TextoNormal"/>
      </w:pPr>
      <w:r>
        <w:t>Adicionalmente sostiene que resulta absurdo condenar al recurrente y al señor Rodríguez Román y absolver al interventor general que informó favorablemente todas las modificaciones presupuestarias. La existencia de dichos informes conllevaría, en definitiva, la exclusión del delito de prevaricación pues quedaría evidenciado que la ilegalidad no era palmaria, manifiesta o evidente.</w:t>
      </w:r>
    </w:p>
    <w:p w14:paraId="027E378F" w14:textId="77777777" w:rsidR="003754FE" w:rsidRDefault="003754FE" w:rsidP="003754FE">
      <w:pPr>
        <w:pStyle w:val="TextoNormal"/>
      </w:pPr>
    </w:p>
    <w:p w14:paraId="6A2FD4DB" w14:textId="77777777" w:rsidR="003754FE" w:rsidRDefault="003754FE" w:rsidP="003754FE">
      <w:pPr>
        <w:pStyle w:val="TextoNormal"/>
      </w:pPr>
      <w:r>
        <w:t>Respecto al delito de malversación sostiene que no ha quedado acreditada la existencia de una connivencia o acuerdo, no reflejándose la concurrencia de los elementos estructurales de la coautoría tales como el acuerdo de voluntades, el dominio funcional del hecho, o la imputación recíproca a todos los coautores de sus aportaciones individuales. Aduce asimismo que la sentencia de la Audiencia Provincial no habría motivado la concurrencia de los elementos necesarios para apreciar la comisión por omisión, ni la concurrencia de la posición de garante en la figura del señor Rodríguez Román. Finalmente, considera que la sentencia de instancia no habría motivado suficientemente el proceso racional que lleva a estimar concurrente el dolo eventual, siendo que el Tribunal Supremo habría obviado también tratar el elemento subjetivo del injusto del delito de malversación llegando, incluso, a sobrepasar e</w:t>
      </w:r>
      <w:r w:rsidRPr="003754FE">
        <w:rPr>
          <w:i/>
        </w:rPr>
        <w:t>l fact</w:t>
      </w:r>
      <w:r>
        <w:t>um de la sentencia de instancia.</w:t>
      </w:r>
    </w:p>
    <w:p w14:paraId="2251093E" w14:textId="77777777" w:rsidR="003754FE" w:rsidRDefault="003754FE" w:rsidP="003754FE">
      <w:pPr>
        <w:pStyle w:val="TextoNormal"/>
      </w:pPr>
    </w:p>
    <w:p w14:paraId="5F64BDAD" w14:textId="77777777" w:rsidR="003754FE" w:rsidRDefault="003754FE" w:rsidP="003754FE">
      <w:pPr>
        <w:pStyle w:val="TextoNormal"/>
      </w:pPr>
      <w:r>
        <w:t>l) Por escrito registrado el 20 de noviembre de 2023, la representación procesal de doña Carmen Martínez Aguayo evacuó escrito de alegaciones en el que se adhirió a los motivos de amparo formulados en el presente recurso de amparo en todo lo que pudiera favorecer a su mandante, por entender que los fundamentos, alegaciones y vulneraciones de derechos fundamentales denunciados son plenamente aplicables a la misma, lo que conllevaría la revocación de las sentencias impugnadas y su absolución.</w:t>
      </w:r>
    </w:p>
    <w:p w14:paraId="069532D3" w14:textId="77777777" w:rsidR="003754FE" w:rsidRDefault="003754FE" w:rsidP="003754FE">
      <w:pPr>
        <w:pStyle w:val="TextoNormal"/>
      </w:pPr>
    </w:p>
    <w:p w14:paraId="2B46881B" w14:textId="77777777" w:rsidR="003754FE" w:rsidRDefault="003754FE" w:rsidP="003754FE">
      <w:pPr>
        <w:pStyle w:val="TextoNormal"/>
      </w:pPr>
      <w:r>
        <w:t>m) Por escrito registrado el 22 de noviembre de 2023, la representación procesal de don Francisco Vallejo Serrano evacuó escrito de alegaciones que se articula sobre los siguientes extremos:</w:t>
      </w:r>
    </w:p>
    <w:p w14:paraId="72FC39EB" w14:textId="77777777" w:rsidR="003754FE" w:rsidRDefault="003754FE" w:rsidP="003754FE">
      <w:pPr>
        <w:pStyle w:val="TextoNormal"/>
      </w:pPr>
    </w:p>
    <w:p w14:paraId="7569B46D" w14:textId="77777777" w:rsidR="003754FE" w:rsidRDefault="003754FE" w:rsidP="003754FE">
      <w:pPr>
        <w:pStyle w:val="TextoNormal"/>
      </w:pPr>
      <w:r>
        <w:t xml:space="preserve">(i) Se ha producido una interpretación extensiva </w:t>
      </w:r>
      <w:r w:rsidRPr="003754FE">
        <w:rPr>
          <w:i/>
        </w:rPr>
        <w:t>in malam partem</w:t>
      </w:r>
      <w:r>
        <w:t xml:space="preserve"> de los conceptos “resolución” y “asunto administrativo” a los que se refiere el art. 404 CP, toda vez que el proyecto de ley de presupuestos se enmarca dentro de la iniciativa legislativa del Gobierno y, por lo tanto, es un acto político que no puede subsumirse en el tipo del art. 404 CP. Forma </w:t>
      </w:r>
      <w:r>
        <w:lastRenderedPageBreak/>
        <w:t>parte de la iniciativa legislativa y, en consecuencia, se trata de una actuación en asunto político y no administrativo.</w:t>
      </w:r>
    </w:p>
    <w:p w14:paraId="525441AC" w14:textId="77777777" w:rsidR="003754FE" w:rsidRDefault="003754FE" w:rsidP="003754FE">
      <w:pPr>
        <w:pStyle w:val="TextoNormal"/>
      </w:pPr>
    </w:p>
    <w:p w14:paraId="7F1C2B64" w14:textId="77777777" w:rsidR="003754FE" w:rsidRDefault="003754FE" w:rsidP="003754FE">
      <w:pPr>
        <w:pStyle w:val="TextoNormal"/>
      </w:pPr>
      <w:r>
        <w:t>(ii) No puede existir una ley “ilegal” o “ilegalidades” dentro de la ley. Desde el año 2002, todas las leyes de presupuestos de la Junta de Andalucía fueron aprobadas válidamente por el Parlamento de Andalucía, previendo en sus estados de gastos que el dinero para el pago por el IFA/IDEA de las ayudas sociolaborales se allegara al ente instrumental mediante transferencias de financiación. Vistas las leyes de presupuestos en sus estados de gastos y en sus memorias, no puede afirmarse que el Parlamento no supiera lo que aprobaba o que el Parlamento fuera inducido a error.</w:t>
      </w:r>
    </w:p>
    <w:p w14:paraId="48D5AAA2" w14:textId="77777777" w:rsidR="003754FE" w:rsidRDefault="003754FE" w:rsidP="003754FE">
      <w:pPr>
        <w:pStyle w:val="TextoNormal"/>
      </w:pPr>
    </w:p>
    <w:p w14:paraId="17224BAC" w14:textId="77777777" w:rsidR="003754FE" w:rsidRDefault="003754FE" w:rsidP="003754FE">
      <w:pPr>
        <w:pStyle w:val="TextoNormal"/>
      </w:pPr>
      <w:r>
        <w:t>(iii) Del procedimiento de elaboración de un anteproyecto no se puede derivar una ilegalidad constitutiva de prevaricación. Aunque las sentencias objeto de amparo sitúan la pretendida ilegalidad en la indebida inclusión, por la Consejería de Empleo y Desarrollo Tecnológico, de los créditos para transferencias de financiación, este hecho se produce en la fase de elaboración del anteproyecto de ley, transmitiéndose dicho defecto posteriormente al proyecto de ley y a la ley una vez aprobada. No puede considerarse que el Consejo de Gobierno participe en la elaboración material del anteproyecto de ley de presupuestos y no decida las cuestiones técnicas del mismo, confiando en el “buen hacer del trabajo desarrollado por los muchos técnicos cualificados y altos funcionarios que lo han revisado”.</w:t>
      </w:r>
    </w:p>
    <w:p w14:paraId="1FE62D1A" w14:textId="77777777" w:rsidR="003754FE" w:rsidRDefault="003754FE" w:rsidP="003754FE">
      <w:pPr>
        <w:pStyle w:val="TextoNormal"/>
      </w:pPr>
    </w:p>
    <w:p w14:paraId="7C35AD1E" w14:textId="77777777" w:rsidR="003754FE" w:rsidRDefault="003754FE" w:rsidP="003754FE">
      <w:pPr>
        <w:pStyle w:val="TextoNormal"/>
      </w:pPr>
      <w:r>
        <w:t>(iv) Resulta incoherente, ilógico y arbitrario que se condene al recurrente, y también al señor Vallejo Serrano, mientras que, sin embargo, queda absuelto el interventor general que informó favorablemente todas las modificaciones presupuestarias. La existencia de dichos informes conllevaría, en definitiva, la exclusión del delito de prevaricación pues quedaría evidenciado que la ilegalidad no era palmaria, manifiesta o evidente.</w:t>
      </w:r>
    </w:p>
    <w:p w14:paraId="43B368BA" w14:textId="77777777" w:rsidR="003754FE" w:rsidRDefault="003754FE" w:rsidP="003754FE">
      <w:pPr>
        <w:pStyle w:val="TextoNormal"/>
      </w:pPr>
    </w:p>
    <w:p w14:paraId="0CF985C5" w14:textId="77777777" w:rsidR="003754FE" w:rsidRDefault="003754FE" w:rsidP="003754FE">
      <w:pPr>
        <w:pStyle w:val="TextoNormal"/>
      </w:pPr>
      <w:r>
        <w:t>(v) No existe una connivencia o acuerdo en el actuar delictivo, no reflejándose en ninguna de las resoluciones recurridas prueba o razonamiento del que se permita inferir dicho acuerdo. Al respecto, el Tribunal Supremo habría transformado la coautoría declarada por la Audiencia Provincial como autoría directa, sin realizarse, además, argumentación sobre la concurrencia de los elementos estructurales de aquella.</w:t>
      </w:r>
    </w:p>
    <w:p w14:paraId="6079D3B8" w14:textId="77777777" w:rsidR="003754FE" w:rsidRDefault="003754FE" w:rsidP="003754FE">
      <w:pPr>
        <w:pStyle w:val="TextoNormal"/>
      </w:pPr>
    </w:p>
    <w:p w14:paraId="513321A7" w14:textId="77777777" w:rsidR="003754FE" w:rsidRDefault="003754FE" w:rsidP="003754FE">
      <w:pPr>
        <w:pStyle w:val="TextoNormal"/>
      </w:pPr>
      <w:r>
        <w:t>(vi) La sentencia de la Audiencia Provincial de Sevilla tampoco motiva en absoluto la conducta de comisión por omisión, no justificándose la concurrencia de la preceptiva posición de garante en que debería haberse colocado el recurrente y el señor Vallejo Serrano.</w:t>
      </w:r>
    </w:p>
    <w:p w14:paraId="363FFA6D" w14:textId="77777777" w:rsidR="003754FE" w:rsidRDefault="003754FE" w:rsidP="003754FE">
      <w:pPr>
        <w:pStyle w:val="TextoNormal"/>
      </w:pPr>
    </w:p>
    <w:p w14:paraId="60515C98" w14:textId="476901EA" w:rsidR="003754FE" w:rsidRDefault="003754FE" w:rsidP="003754FE">
      <w:pPr>
        <w:pStyle w:val="TextoNormal"/>
      </w:pPr>
      <w:r>
        <w:t xml:space="preserve">(vii) El Tribunal Supremo habría deformado y transformado la convicción alcanzada por la Audiencia Provincial. Así, frente a la impugnación sobre la irrazonabilidad de los argumentos alcanzados por la Audiencia Provincial para considerar concurrente la figura del dolo, la sentencia de casación obvia tratar el elemento subjetivo del injusto del delito de malversación, unificando el dolo de ambos delitos y sobrepasando el </w:t>
      </w:r>
      <w:r w:rsidRPr="003754FE">
        <w:rPr>
          <w:i/>
        </w:rPr>
        <w:t>factum</w:t>
      </w:r>
      <w:r>
        <w:t xml:space="preserve"> de la sentencia de instancia al referirse a “una única conducta desplegada” que es constitutiva del delito de prevaricación y del delito de malversación.</w:t>
      </w:r>
    </w:p>
    <w:p w14:paraId="71040488" w14:textId="77777777" w:rsidR="003754FE" w:rsidRDefault="003754FE" w:rsidP="003754FE">
      <w:pPr>
        <w:pStyle w:val="TextoNormal"/>
      </w:pPr>
    </w:p>
    <w:p w14:paraId="087FC9D6" w14:textId="77777777" w:rsidR="003754FE" w:rsidRDefault="003754FE" w:rsidP="003754FE">
      <w:pPr>
        <w:pStyle w:val="TextoNormal"/>
      </w:pPr>
      <w:r w:rsidRPr="003754FE">
        <w:rPr>
          <w:rStyle w:val="NumeroAFNegritaCaracter"/>
        </w:rPr>
        <w:t>6</w:t>
      </w:r>
      <w:r>
        <w:t>. El Ministerio Fiscal, en escrito registrado el 8 de enero de 2024, presentó sus alegaciones a la presente demanda de amparo.</w:t>
      </w:r>
    </w:p>
    <w:p w14:paraId="1B140F39" w14:textId="77777777" w:rsidR="003754FE" w:rsidRDefault="003754FE" w:rsidP="003754FE">
      <w:pPr>
        <w:pStyle w:val="TextoNormal"/>
      </w:pPr>
    </w:p>
    <w:p w14:paraId="7AA8107C" w14:textId="77777777" w:rsidR="003754FE" w:rsidRDefault="003754FE" w:rsidP="003754FE">
      <w:pPr>
        <w:pStyle w:val="TextoNormal"/>
      </w:pPr>
      <w:r>
        <w:lastRenderedPageBreak/>
        <w:t>a) En relación con el primer motivo de la demanda de amparo, sostiene que las posiciones mantenidas por el Tribunal Supremo y la Audiencia Provincial de Sevilla en virtud de las cuales el procedimiento prelegislativo tendría una doble dimensión (una dimensión política no susceptible de control judicial y que incluiría la decisión sobre el destino o distribución de los créditos, y otra dimensión técnica regida por un procedimiento administrativo reglado) constituye una novedad que no tiene antecedente “a lo largo del trayecto de vida constitucional iniciado en 1978”.</w:t>
      </w:r>
    </w:p>
    <w:p w14:paraId="749DBA96" w14:textId="77777777" w:rsidR="003754FE" w:rsidRDefault="003754FE" w:rsidP="003754FE">
      <w:pPr>
        <w:pStyle w:val="TextoNormal"/>
      </w:pPr>
    </w:p>
    <w:p w14:paraId="52A18022" w14:textId="77777777" w:rsidR="003754FE" w:rsidRDefault="003754FE" w:rsidP="003754FE">
      <w:pPr>
        <w:pStyle w:val="TextoNormal"/>
      </w:pPr>
      <w:r>
        <w:t>Para el Ministerio Fiscal, la cuestión constitucional planteada orbitaría en determinar no tanto la asimilación o extensión de la inviolabilidad parlamentaria a los miembros del Ejecutivo, sino la comprobación de que la misma razón por la que se establece un régimen de inviolabilidad para los parlamentarios justifica que la iniciativa legislativa quede también, en todas sus fases, al margen del control jurisdiccional penal.</w:t>
      </w:r>
    </w:p>
    <w:p w14:paraId="353D45B5" w14:textId="77777777" w:rsidR="003754FE" w:rsidRDefault="003754FE" w:rsidP="003754FE">
      <w:pPr>
        <w:pStyle w:val="TextoNormal"/>
      </w:pPr>
    </w:p>
    <w:p w14:paraId="4E22400C" w14:textId="77777777" w:rsidR="003754FE" w:rsidRDefault="003754FE" w:rsidP="003754FE">
      <w:pPr>
        <w:pStyle w:val="TextoNormal"/>
      </w:pPr>
      <w:r>
        <w:t>Los argumentos a través de los cuales las resoluciones impugnadas niegan la naturaleza legislativa a los actos de aprobación de un proyecto de ley para su remisión al Parlamento permiten detectar, a juicio de la Fiscalía ante el Tribunal Constitucional, una falla lógica determinante pues “constituyen afirmaciones apodícticas que además encierran conclusiones tautológicas, porque las tres hacen presupuesto de la cuestión”. En este sentido, afirma el Ministerio Fiscal que las referencias efectuadas a la STS 163/2019, de 26 de marzo (ECLI:ES:TS:2019:881), no permiten en ningún caso deducir que el acto de aprobación y elevación al Parlamento constituye una resolución dictada en asunto administrativo. Máxime, precisamente, cuando el propio Reglamento del Parlamento incluye la iniciativa legislativa atribuida al Consejo de Gobierno en el procedimiento legislativo en cuestión (art. 108 del Reglamento del Parlamento de Andalucía).</w:t>
      </w:r>
    </w:p>
    <w:p w14:paraId="01793E50" w14:textId="77777777" w:rsidR="003754FE" w:rsidRDefault="003754FE" w:rsidP="003754FE">
      <w:pPr>
        <w:pStyle w:val="TextoNormal"/>
      </w:pPr>
    </w:p>
    <w:p w14:paraId="56D44DF3" w14:textId="77777777" w:rsidR="003754FE" w:rsidRDefault="003754FE" w:rsidP="003754FE">
      <w:pPr>
        <w:pStyle w:val="TextoNormal"/>
      </w:pPr>
      <w:r>
        <w:t>Ello dificultaría también, por otra parte, la atribución de eficacia decisoria a los actos adoptados en cuanto se exige “un daño específico a personas o servicios públicos” que, en el presente caso, resulta imposible identificar con otro efecto jurídico que no sea el de la apertura de la fase parlamentaria.</w:t>
      </w:r>
    </w:p>
    <w:p w14:paraId="2C515EBD" w14:textId="77777777" w:rsidR="003754FE" w:rsidRDefault="003754FE" w:rsidP="003754FE">
      <w:pPr>
        <w:pStyle w:val="TextoNormal"/>
      </w:pPr>
    </w:p>
    <w:p w14:paraId="6069A0F2" w14:textId="77777777" w:rsidR="003754FE" w:rsidRDefault="003754FE" w:rsidP="003754FE">
      <w:pPr>
        <w:pStyle w:val="TextoNormal"/>
      </w:pPr>
      <w:r>
        <w:t>En consecuencia, considera el Ministerio Fiscal, que los razonamientos judiciales que conforman este primer bloque argumental sobre la naturaleza administrativa del procedimiento legislativo y su naturaleza decisoria no responden a una traslación debidamente justificada de la doctrina jurisprudencial ni resultan, por lo tanto, concluyentes a la hora de calificar como resolución dictada en asunto administrativo el ejercicio de la iniciativa legislativa. Ello le lleva a concluir, por lo tanto, la ausencia de previsibilidad en la aplicación de la norma.</w:t>
      </w:r>
    </w:p>
    <w:p w14:paraId="57D34A6A" w14:textId="77777777" w:rsidR="003754FE" w:rsidRDefault="003754FE" w:rsidP="003754FE">
      <w:pPr>
        <w:pStyle w:val="TextoNormal"/>
      </w:pPr>
    </w:p>
    <w:p w14:paraId="06D845C6" w14:textId="77777777" w:rsidR="003754FE" w:rsidRDefault="003754FE" w:rsidP="003754FE">
      <w:pPr>
        <w:pStyle w:val="TextoNormal"/>
      </w:pPr>
      <w:r>
        <w:t xml:space="preserve">Respecto al segundo grupo de argumentos esgrimidos por las resoluciones impugnadas para justificar la condena por delito de prevaricación —y que orbitan sobre la distinción entre la legalidad del acto y el enjuiciamiento de sus autores— el Ministerio Fiscal concluye que aquellos presentan una consistencia lógica evidentemente discutible. Así, para el Ministerio Público, existe la imposibilidad de cohonestar dos afirmaciones cuya compatibilidad es esencial para la condena de recurrente: que la aprobación del anteproyecto de ley de presupuestos es inmune al control jurisdiccional y que la jurisdicción penal puede, no obstante, examinar las diferentes decisiones adoptadas para aprobar un proyecto de ley para determinar si quien las realiza incurre en responsabilidad penal. Esta pretendida distinción </w:t>
      </w:r>
      <w:r>
        <w:lastRenderedPageBreak/>
        <w:t>entre ámbitos de control jurisdiccional sería contraria a la lógica constitucional —que concibe la iniciativa legislativa como inmune al control judicial— y atentaría, incluso, contra el principio de intervención mínima del Derecho penal dada cuenta que le permitiría ejercer su jurisdicción sobre un acto “que en ese mismo plano de la legalidad […] está vedado a la jurisdicción contencioso-administrativa e incluso al Tribunal Constitucional”.</w:t>
      </w:r>
    </w:p>
    <w:p w14:paraId="48E71CA0" w14:textId="77777777" w:rsidR="003754FE" w:rsidRDefault="003754FE" w:rsidP="003754FE">
      <w:pPr>
        <w:pStyle w:val="TextoNormal"/>
      </w:pPr>
    </w:p>
    <w:p w14:paraId="411144D8" w14:textId="77777777" w:rsidR="003754FE" w:rsidRDefault="003754FE" w:rsidP="003754FE">
      <w:pPr>
        <w:pStyle w:val="TextoNormal"/>
      </w:pPr>
      <w:r>
        <w:t>La autonomía funcional de la jurisdicción penal para apreciar con arreglo a criterios propios determinados aspectos de la realidad administrativa o de otras ramas del Derecho no puede traducirse, en modo alguno, en un autoposicionamiento de la jurisdicción penal como primera y única barrera jurisdiccional de control de la legalidad de una iniciativa legislativa.</w:t>
      </w:r>
    </w:p>
    <w:p w14:paraId="434D7C39" w14:textId="77777777" w:rsidR="003754FE" w:rsidRDefault="003754FE" w:rsidP="003754FE">
      <w:pPr>
        <w:pStyle w:val="TextoNormal"/>
      </w:pPr>
    </w:p>
    <w:p w14:paraId="3A8A95B1" w14:textId="77777777" w:rsidR="003754FE" w:rsidRDefault="003754FE" w:rsidP="003754FE">
      <w:pPr>
        <w:pStyle w:val="TextoNormal"/>
      </w:pPr>
      <w:r>
        <w:t>Es en este punto cuando surgiría, para el Ministerio Fiscal, de nuevo, un factor de imprevisibilidad ante la inexistencia de precedentes de persecución y/o condena en supuestos similares y ante el contexto de sólida negación del control jurisdiccional sobre este tipo de actos. Frente a ello, la sensación de impunidad argumentada por el Tribunal Supremo choca con una insalvable contradicción que permitiría ubicar a la jurisdicción penal como “baluarte de primera —y única— línea de control de una decisión intrínsecamente político-legislativa, sobre la base de la ‘ilegalidad’ del contenido de una ley antes de que ni siquiera pudiera saberse si llegará […] a ser ley y de que produzca efecto alguno”.</w:t>
      </w:r>
    </w:p>
    <w:p w14:paraId="421F975F" w14:textId="77777777" w:rsidR="003754FE" w:rsidRDefault="003754FE" w:rsidP="003754FE">
      <w:pPr>
        <w:pStyle w:val="TextoNormal"/>
      </w:pPr>
    </w:p>
    <w:p w14:paraId="1BD28F2D" w14:textId="77777777" w:rsidR="003754FE" w:rsidRDefault="003754FE" w:rsidP="003754FE">
      <w:pPr>
        <w:pStyle w:val="TextoNormal"/>
      </w:pPr>
      <w:r>
        <w:t>Consecuentemente, considera que “esta compleja conclusión es fruto de un razonamiento que pretende disociar ambas vertientes, administrativa y político-legislativa, de un mismo acto, pero no alcanza a explicar cómo las consecuencias a las que aboca esa disociación en el plano penal, político, institucional, legal y constitucional podrían resultar razonablemente compatibles entre sí” por lo que “no cabe más remedio que concluir que el razonamiento en sí mismo adolece de un déficit de coherencia y completitud lógico-jurídica que impide considerarlo ajustado al canon de idoneidad metodológica que impone la aplicación de art. 25.1 CE”.</w:t>
      </w:r>
    </w:p>
    <w:p w14:paraId="5493BA09" w14:textId="77777777" w:rsidR="003754FE" w:rsidRDefault="003754FE" w:rsidP="003754FE">
      <w:pPr>
        <w:pStyle w:val="TextoNormal"/>
      </w:pPr>
    </w:p>
    <w:p w14:paraId="3B0906F4" w14:textId="77777777" w:rsidR="003754FE" w:rsidRDefault="003754FE" w:rsidP="003754FE">
      <w:pPr>
        <w:pStyle w:val="TextoNormal"/>
      </w:pPr>
      <w:r>
        <w:t xml:space="preserve">En relación con el argumentario referido a la necesidad de evitar un efecto de impunidad, el fiscal considera que no ha sido sometido a una valoración conforme a las exigencias derivadas del principio de legalidad penal (art. 25.1 CE). Así, entiende que, en determinados casos, resulta prioritaria la preservación de otros intereses constitucionalmente tutelados que pueden entrar en conflicto con la propia aplicación de la norma penal, lo que obligatoriamente ha de llevar a la eventual limitación de </w:t>
      </w:r>
      <w:r w:rsidRPr="003754FE">
        <w:rPr>
          <w:i/>
        </w:rPr>
        <w:t>ius puniendi</w:t>
      </w:r>
      <w:r>
        <w:t xml:space="preserve"> en determinados supuestos, no pudiendo hacerse valer la condena sin una previa reflexión y ponderación sobre los derechos e intereses en juego.</w:t>
      </w:r>
    </w:p>
    <w:p w14:paraId="4FAE7437" w14:textId="77777777" w:rsidR="003754FE" w:rsidRDefault="003754FE" w:rsidP="003754FE">
      <w:pPr>
        <w:pStyle w:val="TextoNormal"/>
      </w:pPr>
    </w:p>
    <w:p w14:paraId="11E0E568" w14:textId="77777777" w:rsidR="003754FE" w:rsidRDefault="003754FE" w:rsidP="003754FE">
      <w:pPr>
        <w:pStyle w:val="TextoNormal"/>
      </w:pPr>
      <w:r>
        <w:t xml:space="preserve">En el caso presente, y aunque las resoluciones tratan de salvar el obstáculo justificando que la condena se produce no por el resultado sino por el procedimiento en sí, este argumentario choca en una nueva contradicción toda vez que el señor Griñán Martínez no ha sido condenado por su eventual participación en ninguno de estos actos, sino por una conducta propia que consiste en la difusa e indefinida participación en la elaboración del anteproyecto de ley, en la elevación del mismo y en su aprobación por el Consejo de Gobierno de la Junta de Andalucía para su posterior remisión al Parlamento. A pesar de que la propia sentencia del Tribunal Supremo vinculara todas estas actuaciones a una finalidad palmariamente ilegal, no se identifica esta finalidad con ninguna forma típica de participación delictiva sino con el programa político del Gobierno. La conducta del señor Griñán Martínez, </w:t>
      </w:r>
      <w:r>
        <w:lastRenderedPageBreak/>
        <w:t>consecuentemente, quedaría enmarcada en el ámbito de su voluntad —y por tanto de su responsabilidad política— pero no en el de la responsabilidad penal, dándose la paradoja que de los actos de los que sí debe responder —debido a su naturaleza político legislativa— quedan al margen del ejercicio de</w:t>
      </w:r>
      <w:r w:rsidRPr="003754FE">
        <w:rPr>
          <w:i/>
        </w:rPr>
        <w:t>l ius punien</w:t>
      </w:r>
      <w:r>
        <w:t>di.</w:t>
      </w:r>
    </w:p>
    <w:p w14:paraId="16D4D0C3" w14:textId="77777777" w:rsidR="003754FE" w:rsidRDefault="003754FE" w:rsidP="003754FE">
      <w:pPr>
        <w:pStyle w:val="TextoNormal"/>
      </w:pPr>
    </w:p>
    <w:p w14:paraId="4D40EE91" w14:textId="77777777" w:rsidR="003754FE" w:rsidRDefault="003754FE" w:rsidP="003754FE">
      <w:pPr>
        <w:pStyle w:val="TextoNormal"/>
      </w:pPr>
      <w:r>
        <w:t>Por último, afirma que la tesis de que la jurisdicción penal no controla la legalidad de los actos del Gobierno, sino que ejerce su potestad jurisdiccional respecto de la conducta de sus autores pasa por una disociación forzada de dos dimensiones que se revela como inasumible cuando la propia sentencia afirma que el fundamento de su juicio incluye no solo la legalidad de estos actos sino la legitimación constitucional de su resultado.</w:t>
      </w:r>
    </w:p>
    <w:p w14:paraId="40A44F48" w14:textId="77777777" w:rsidR="003754FE" w:rsidRDefault="003754FE" w:rsidP="003754FE">
      <w:pPr>
        <w:pStyle w:val="TextoNormal"/>
      </w:pPr>
    </w:p>
    <w:p w14:paraId="0EE9179C" w14:textId="77777777" w:rsidR="003754FE" w:rsidRDefault="003754FE" w:rsidP="003754FE">
      <w:pPr>
        <w:pStyle w:val="TextoNormal"/>
      </w:pPr>
      <w:r>
        <w:t>Para el representante del Ministerio Público, y desde una vertiente eminentemente axiológica, la distinción entre estas dos dimensiones —administrativa y político-legislativa— implica atribuir a dicha decisión política una función de control de la legalidad del procedimiento previo que la jurisprudencia del Tribunal Constitucional excluye, incluso, en fases posteriores. Esto implicaría una conclusión constitucionalmente inasumible: que los tribunales del orden jurisdiccional penal pueden fiscalizar sistemáticamente la legalidad de los proyectos de leyes antes —o al margen— de su toma de consideración, su valoración, enmienda y aprobación por los parlamentos, lo que se revela manifiestamente incompatible con la jurisprudencia del Tribunal Constitucional.</w:t>
      </w:r>
    </w:p>
    <w:p w14:paraId="446C0A43" w14:textId="77777777" w:rsidR="003754FE" w:rsidRDefault="003754FE" w:rsidP="003754FE">
      <w:pPr>
        <w:pStyle w:val="TextoNormal"/>
      </w:pPr>
    </w:p>
    <w:p w14:paraId="110AFC7F" w14:textId="77777777" w:rsidR="003754FE" w:rsidRDefault="003754FE" w:rsidP="003754FE">
      <w:pPr>
        <w:pStyle w:val="TextoNormal"/>
      </w:pPr>
      <w:r>
        <w:t xml:space="preserve">El origen de dicha posición jurisprudencial se encuentra en la propia preservación del ejercicio de la potestad legislativa, como manifestación directa de la voluntad de poder y que responde al propio principio de división de poderes. El rechazo a la involucración de un poder en las funciones propias de otro no puede resultar indiferente al objeto del presente procedimiento, en el que la propia sentencia del Tribunal Supremo recurrida en amparo, muestra, como ya se ha puesto, la visible contradicción entre la eficacia de ese efecto delimitador del ejercicio de la jurisdicción contencioso-administrativa y la pretendida intervención autónoma de la jurisdicción penal. En este sentido, reseña que existe amplia jurisprudencia constitucional que viene negando toda posibilidad de control </w:t>
      </w:r>
      <w:r w:rsidRPr="003754FE">
        <w:rPr>
          <w:i/>
        </w:rPr>
        <w:t>ab initio</w:t>
      </w:r>
      <w:r>
        <w:t xml:space="preserve"> de la constitucionalidad formal de las iniciativas legislativas, más allá del cumplimiento de los requisitos de procedimiento que reglamentariamente rige su presentación (AATC 85/2006, de 15 de marzo, y 131/2022, de 11 de octubre).</w:t>
      </w:r>
    </w:p>
    <w:p w14:paraId="2B4D3867" w14:textId="77777777" w:rsidR="003754FE" w:rsidRDefault="003754FE" w:rsidP="003754FE">
      <w:pPr>
        <w:pStyle w:val="TextoNormal"/>
      </w:pPr>
    </w:p>
    <w:p w14:paraId="72BB5CCD" w14:textId="77777777" w:rsidR="003754FE" w:rsidRDefault="003754FE" w:rsidP="003754FE">
      <w:pPr>
        <w:pStyle w:val="TextoNormal"/>
      </w:pPr>
      <w:r>
        <w:t xml:space="preserve">Resultaría, por lo tanto, “inconcebiblemente paradójico […] que la exclusión de cualquier control jurisdiccional atinente a la constitucionalidad de un mero proyecto legislativo, basado en un imprescindible respeto a la separación de poderes, pudiera convivir, como pretenden las sentencias impugnadas, con un juicio </w:t>
      </w:r>
      <w:r w:rsidRPr="003754FE">
        <w:rPr>
          <w:i/>
        </w:rPr>
        <w:t>ex ante</w:t>
      </w:r>
      <w:r>
        <w:t xml:space="preserve"> de la jurisdicción penal sobre la ‘legalidad’ formal y material del contenido de la iniciativa legislativa, de modo que el ejercicio de la potestad parlamentaria haya de llevarse a cabo sobre la base de un proyecto cuyo acuerdo de aprobación para su remisión al Parlamento es calificado de delictivo por un tribunal penal”.</w:t>
      </w:r>
    </w:p>
    <w:p w14:paraId="7FBF5C4A" w14:textId="77777777" w:rsidR="003754FE" w:rsidRDefault="003754FE" w:rsidP="003754FE">
      <w:pPr>
        <w:pStyle w:val="TextoNormal"/>
      </w:pPr>
    </w:p>
    <w:p w14:paraId="0B78C58D" w14:textId="77777777" w:rsidR="003754FE" w:rsidRDefault="003754FE" w:rsidP="003754FE">
      <w:pPr>
        <w:pStyle w:val="TextoNormal"/>
      </w:pPr>
      <w:r>
        <w:t xml:space="preserve">Todo ello le lleva a concluir que una correcta contemplación del conflicto entre la aplicación de la norma penal y la tutela de la autonomía del Parlamento para legislar, forzosamente ha de resolverse a favor de la exclusión del control penal. La sola idea de que un acto exento al control jurisdiccional contencioso-administrativo e, incluso, constitucional, pueda, sin embargo, ser objeto de control por los tribunales penales choca con la división </w:t>
      </w:r>
      <w:r>
        <w:lastRenderedPageBreak/>
        <w:t>de poderes y cualquier posible lectura conjunta de la Constitución y la jurisprudencia del Tribunal Constitucional. Por ello mismo, solicita la estimación del amparo frente a este primer motivo.</w:t>
      </w:r>
    </w:p>
    <w:p w14:paraId="21D439B6" w14:textId="77777777" w:rsidR="003754FE" w:rsidRDefault="003754FE" w:rsidP="003754FE">
      <w:pPr>
        <w:pStyle w:val="TextoNormal"/>
      </w:pPr>
    </w:p>
    <w:p w14:paraId="2C04759F" w14:textId="77777777" w:rsidR="003754FE" w:rsidRDefault="003754FE" w:rsidP="003754FE">
      <w:pPr>
        <w:pStyle w:val="TextoNormal"/>
      </w:pPr>
      <w:r>
        <w:t>En relación con las modificaciones presupuestarias, el fiscal considera que las argumentaciones vertidas anteriormente y referidas a la vulneración del principio de legalidad penal (art. 25.1 CE) por indebida subsunción jurídica en el art. 404 CP de las actuaciones practicadas en la fase de elaboración, aprobación y remisión del proyecto de ley no son automáticamente extrapolables a la aprobación de las modificaciones presupuestarias que sí pueden ser consideradas, por el contrario, decisiones de naturaleza administrativa.</w:t>
      </w:r>
    </w:p>
    <w:p w14:paraId="0C1FD17A" w14:textId="77777777" w:rsidR="003754FE" w:rsidRDefault="003754FE" w:rsidP="003754FE">
      <w:pPr>
        <w:pStyle w:val="TextoNormal"/>
      </w:pPr>
    </w:p>
    <w:p w14:paraId="443CE6AF" w14:textId="77777777" w:rsidR="003754FE" w:rsidRDefault="003754FE" w:rsidP="003754FE">
      <w:pPr>
        <w:pStyle w:val="TextoNormal"/>
      </w:pPr>
      <w:r>
        <w:t>Fundamenta el fiscal dicha afirmación —con amplía cita de la normativa reguladora de la Ley general de hacienda pública de la Junta de Andalucía— en la circunstancia de que las modificaciones o transferencias de crédito, una vez aprobada la ley anual de presupuestos, y que afectan al contenido de los créditos en los estados de gastos autorizados —pero no modifican el monto global del presupuesto— son competencia del Consejo de Gobierno o de la Consejería de Economía y Hacienda. Esto se contrapone directamente a aquellos supuestos en los que las modificaciones o transferencias de crédito sí afectan al crédito global consignado en los presupuestos, en cuyo caso, esta vez sí, el Ejecutivo ha de someter al Legislativo la aprobación de un nuevo proyecto de ley.</w:t>
      </w:r>
    </w:p>
    <w:p w14:paraId="67AB3D98" w14:textId="77777777" w:rsidR="003754FE" w:rsidRDefault="003754FE" w:rsidP="003754FE">
      <w:pPr>
        <w:pStyle w:val="TextoNormal"/>
      </w:pPr>
    </w:p>
    <w:p w14:paraId="69EE8B81" w14:textId="77777777" w:rsidR="003754FE" w:rsidRDefault="003754FE" w:rsidP="003754FE">
      <w:pPr>
        <w:pStyle w:val="TextoNormal"/>
      </w:pPr>
      <w:r>
        <w:t>Consecuentemente, en un marco legal regido por el principio de jerarquía normativa no puede sostenerse que la previsión explícita de una modificación presupuestaria a cargo del Gobierno o de uno de sus miembros pueda identificarse como una especie de mecanismo de autorreforma operado mediante una especie de delegación tácita o de atribución de potestad legislativa al Ejecutivo que, como se ha visto, carecería de todo soporte constitucional o estatutario. Que el Gobierno pueda modificar el contenido de un crédito o transferirlo a otro, con arreglo a las exclusiones o excepciones señaladas, no convierte esa modificación de crédito en ley, sino que, simplemente, constituye una aplicación de la ley. La mera comunicación posterior al Parlamento, además, no supone la atribución de rango normativo al acto, sino que se concreta, más bien, en una mera obligación adjetiva.</w:t>
      </w:r>
    </w:p>
    <w:p w14:paraId="3F790BCE" w14:textId="77777777" w:rsidR="003754FE" w:rsidRDefault="003754FE" w:rsidP="003754FE">
      <w:pPr>
        <w:pStyle w:val="TextoNormal"/>
      </w:pPr>
    </w:p>
    <w:p w14:paraId="35E68F2F" w14:textId="77777777" w:rsidR="003754FE" w:rsidRDefault="003754FE" w:rsidP="003754FE">
      <w:pPr>
        <w:pStyle w:val="TextoNormal"/>
      </w:pPr>
      <w:r>
        <w:t>Todo ello lleva al Ministerio Fiscal a concluir que “la calificación de los actos aprobatorios de modificaciones presupuestarias que se imputan al recurrente […] no choca con una alegada […] naturaleza legal […] que pudiera vincularse a la reserva de ley que impone el art. 134 CE […] en materia presupuestaria. […] [N]o hay razón para temer ni por la autonomía parlamentaria en el ejercicio de la potestad legislativa, que no está en juego, puesto que el Poder Ejecutivo actúa […] en este ámbito con estricta sujeción a las leyes aprobadas por el Parlamento, y precisamente en aplicación de ellas; ni tampoco por el principio consustancial de la separación de poderes, que […] se vincula directamente a esa posible interferencia en las competencias constitucionales atribuidas a cada uno de ellos”, siendo que “el Poder Ejecutivo actúa —o hubiera debido actuar— en el marco de su competencia delimitada en la propia ley, sin asumir ninguna facultad de iniciativa o modificación de una norma con rango o valor legal”. Consecuentemente, los razonamientos esgrimidos por las sentencias impugnadas para excluir las modificaciones presupuestarias del carácter propio de los actos con valor, rango y fuerza de ley se ajustan a la normativa y no presentan indicio alguno de vulneración del derecho fundamental a la legalidad penal (art. 25.1 CE).</w:t>
      </w:r>
    </w:p>
    <w:p w14:paraId="20119B3A" w14:textId="77777777" w:rsidR="003754FE" w:rsidRDefault="003754FE" w:rsidP="003754FE">
      <w:pPr>
        <w:pStyle w:val="TextoNormal"/>
      </w:pPr>
    </w:p>
    <w:p w14:paraId="6A2D8DB4" w14:textId="77777777" w:rsidR="003754FE" w:rsidRDefault="003754FE" w:rsidP="003754FE">
      <w:pPr>
        <w:pStyle w:val="TextoNormal"/>
      </w:pPr>
      <w:r>
        <w:lastRenderedPageBreak/>
        <w:t>Respecto a la ausencia de elemento subjetivo del injusto del delito de prevaricación, el fiscal, tras trasponer extensamente los argumentos contenidos al respecto en la sentencia de instancia y de casación, considera que el conocimiento de la injusticia y del incumplimiento del ordenamiento jurídico al aprobar las modificaciones presupuestarias quedaba plenamente acreditado. Esta conclusión se fundamentaría en los siguientes puntos: (i) el señor Griñán Martínez conocía la inclusión en los anteproyectos de leyes de presupuestos de las transferencias de financiación al IFA dentro del programa 31L; (ii) era conocedor de que se consignaban en el presupuesto del IFA las partidas presupuestarias correspondientes; (iii) aprobó que figuraran como ingresos las cantidades que vía transferencias de financiación eran destinadas al IFA y que se incluían como gastos de explotación a sabiendas de que este organismo se limitaba a pagar por cuenta de la Dirección General de Trabajo y Seguridad Social las ayudas; (iv) era conocedor de que era imposible fiscalizar estas ayudas; (v) tenía conocimiento que las modificaciones presupuestarias tenían como finalidad el pago de ayudas sociolaborales; (vi) esta aplicación presupuestaria fue realizada al margen de la Orden de la Consejería de Economía y Hacienda; (vii) el señor Griñán Martínez era destinatario de los informes elaborados por la Intervención General y de los informes de control financiero de las empresas públicas, siendo que estos informes señalaban que las ayudas habían sido concedidas prescindiendo totalmente del procedimiento establecido; y (viii) tuvo conocimiento de lo establecido en el convenio marco.</w:t>
      </w:r>
    </w:p>
    <w:p w14:paraId="159C0F83" w14:textId="77777777" w:rsidR="003754FE" w:rsidRDefault="003754FE" w:rsidP="003754FE">
      <w:pPr>
        <w:pStyle w:val="TextoNormal"/>
      </w:pPr>
    </w:p>
    <w:p w14:paraId="2D789135" w14:textId="77777777" w:rsidR="003754FE" w:rsidRDefault="003754FE" w:rsidP="003754FE">
      <w:pPr>
        <w:pStyle w:val="TextoNormal"/>
      </w:pPr>
      <w:r>
        <w:t>Estos elementos llevan al Ministerio Fiscal a afirmar que las sentencias cuestionadas han expuesto los distintos elementos probatorios que permiten afirmar el elemento subjetivo del injusto del tipo de prevaricación, de la plena consciencia del recurrente de que actuaba al margen del ordenamiento jurídico y que había ocasionado un resultado materialmente injusto.</w:t>
      </w:r>
    </w:p>
    <w:p w14:paraId="6921744F" w14:textId="77777777" w:rsidR="003754FE" w:rsidRDefault="003754FE" w:rsidP="003754FE">
      <w:pPr>
        <w:pStyle w:val="TextoNormal"/>
      </w:pPr>
    </w:p>
    <w:p w14:paraId="6FD9B30E" w14:textId="77777777" w:rsidR="003754FE" w:rsidRDefault="003754FE" w:rsidP="003754FE">
      <w:pPr>
        <w:pStyle w:val="TextoNormal"/>
      </w:pPr>
      <w:r>
        <w:t>b) En relación con el segundo motivo de amparo, el fiscal sostiene que, en contra de lo mantenido por el demandante, el resultado del delito sí está presente en las sentencias impugnadas que afirman reiteradamente la existencia de una disposición de fondos con desviación de su finalidad pública. Así, el relato de hechos probados identifica en cada ejercicio presupuestario las cantidades presupuestadas para el pago de las ayudas sociolaborales, tanto en los proyectos de leyes como en las modificaciones presupuestarias, y declara año a año que esas cantidades se pusieron a disposición del director general de Trabajo y Seguridad Social para que pudiera disponer de las mismas sin sujeción a fiscalización alguna y sin necesidad de tramitar expediente alguno. También, en este sentido, aparece acreditado un daño para el patrimonio público que es cuantificado en 680 millones de euros. Lo expuesto evidenciaría que se sustrajeron fondos que fueron apartados de su destino, desviándolos de las finalidades a las que estaban destinados, y entregándose a terceros en forma de ayudas o subvenciones que fueron concedidas sin cumplir las formalidades legales.</w:t>
      </w:r>
    </w:p>
    <w:p w14:paraId="428FE8F6" w14:textId="77777777" w:rsidR="003754FE" w:rsidRDefault="003754FE" w:rsidP="003754FE">
      <w:pPr>
        <w:pStyle w:val="TextoNormal"/>
      </w:pPr>
    </w:p>
    <w:p w14:paraId="218BAB82" w14:textId="77777777" w:rsidR="003754FE" w:rsidRDefault="003754FE" w:rsidP="003754FE">
      <w:pPr>
        <w:pStyle w:val="TextoNormal"/>
      </w:pPr>
      <w:r>
        <w:t xml:space="preserve">Asimismo, la utilización del instrumento “transferencias de financiación” se tradujo en la imposibilidad de fiscalizar el destino de los fondos y la ausencia de controles de disposición, lo que integra plenamente el contenido del art. 432 CP tal y como ha sido interpretado por la jurisprudencia del Tribunal Supremo. Consecuentemente, considera el fiscal que el propio empleo de un sistema de presupuestación ilegal y el pago de ayudas individuales prescindiendo de los trámites legales de concesión de las subvenciones afectaban al normal funcionamiento de la actividad patrimonial de la Comunidad Autónoma de Andalucía por </w:t>
      </w:r>
      <w:r>
        <w:lastRenderedPageBreak/>
        <w:t>lo que, aunque se excluyeran del enjuiciamiento las ayudas individuales, se recoge la existencia de un resultado con daño para el patrimonio público.</w:t>
      </w:r>
    </w:p>
    <w:p w14:paraId="481E66D6" w14:textId="77777777" w:rsidR="003754FE" w:rsidRDefault="003754FE" w:rsidP="003754FE">
      <w:pPr>
        <w:pStyle w:val="TextoNormal"/>
      </w:pPr>
    </w:p>
    <w:p w14:paraId="2DF981BB" w14:textId="77777777" w:rsidR="003754FE" w:rsidRDefault="003754FE" w:rsidP="003754FE">
      <w:pPr>
        <w:pStyle w:val="TextoNormal"/>
      </w:pPr>
      <w:r>
        <w:t>Esto no supone, además, una merma del derecho de defensa del recurrente, no solamente porque no identifica que se pretendía probar en caso de haber sometido a enjuiciamiento estas ayudas, sino porque, además, la concurrencia del delito de malversación no requiere una determinación exacta de la cantidad defraudada, bastando con acreditar que se produjo una desviación de fondos públicos. En definitiva, las graves infracciones legales con que se dispusieron las ayudas integran suficientemente el delito de malversación, sin que la concreción de cada una de las ayudas, sus destinatarios y la concurrencia de los requisitos para ser obtenidas no tenga otra relevancia que en lo relativo a la fase de agotamiento del delito.</w:t>
      </w:r>
    </w:p>
    <w:p w14:paraId="170160F1" w14:textId="77777777" w:rsidR="003754FE" w:rsidRDefault="003754FE" w:rsidP="003754FE">
      <w:pPr>
        <w:pStyle w:val="TextoNormal"/>
      </w:pPr>
    </w:p>
    <w:p w14:paraId="130DA332" w14:textId="77777777" w:rsidR="003754FE" w:rsidRDefault="003754FE" w:rsidP="003754FE">
      <w:pPr>
        <w:pStyle w:val="TextoNormal"/>
      </w:pPr>
      <w:r>
        <w:t>En relación con el juicio de autoría del delito del art. 432 CP, explicita el Ministerio Fiscal que el señor Griñán Martínez habría sido condenado dada su condición de consejero de Economía y Hacienda y habida cuenta de que tenía la obligación de evitar el resultado lesivo contra el patrimonio público. Es, precisamente, la posición institucional que ocupaba la que le colocaba en posición de garante de los fondos públicos frente a un posible resultado dañoso del bien jurídico, de ahí que “su no evitación es equiparable a su realización mediante una conducta activa”.</w:t>
      </w:r>
    </w:p>
    <w:p w14:paraId="13C1D948" w14:textId="77777777" w:rsidR="003754FE" w:rsidRDefault="003754FE" w:rsidP="003754FE">
      <w:pPr>
        <w:pStyle w:val="TextoNormal"/>
      </w:pPr>
    </w:p>
    <w:p w14:paraId="791E2376" w14:textId="77777777" w:rsidR="003754FE" w:rsidRDefault="003754FE" w:rsidP="003754FE">
      <w:pPr>
        <w:pStyle w:val="TextoNormal"/>
      </w:pPr>
      <w:r>
        <w:t>Fundamenta el Ministerio Fiscal dicha conclusión en los siguientes elementos: (i) el demandante aprobó los créditos presupuestarios incumpliendo la normativa presupuestaria. Su decisión de aprobar aquellas partidas era un requisito previo y necesario para el pago de las ayudas, teniendo, además, funcionalmente asignadas competencias para decidir sobre el destino de los fondos y siendo conocedor de las ilegalidades; (ii) existe una vinculación causal del demandante de amparo con los presupuestos, modificaciones presupuestarias, pago de ayudas y el descontrol de aquellas al haber suprimido la fiscalización del pago de las ayudas como consecuencia del fraudulento uso del instrumento “transferencias de financiación”; (iii) a ello no obsta que las partidas fueron aprobadas por el Parlamento, se utilizó un criterio de presupuestación indebido y se facilitó a la Cámara una información limitada. Dicha indebida presupuestación propició que las ayudas no fueran fiscalizadas y permitieron un destino de fondos ajenos a su finalidad; (iv) el demandante de amparo tenía capacidad de decisión sobre el destino de los fondos y capacidad de control sobre estos, conociendo las irregularidades que se estaban produciendo en la concesión de ayudas; (v) existe una evidente relación causal entre la presupuestación y el gasto, toda vez que el cambio en el sistema de presupuestación fue realizado para evitar precisamente todo control del gasto en la concesión de ayudas; (vi) en atención a las competencias que le correspondían como consejero de Economía y Hacienda, el demandante tenía autoridad para decidir sobre el destino de los fondos públicos y para evitar la lesión del bien jurídico protegido aunque no fuera la autoridad que finalmente los asignara y (vii) el conocimiento de la ilegal concesión de ayudas se vincula en este caso al cargo que ejercía el demandante de amparo y que aparece amparado tanto en la normativa existente como en los informes de cuentas anuales del IFA/IDEA que le eran remitidos.</w:t>
      </w:r>
    </w:p>
    <w:p w14:paraId="798A0874" w14:textId="77777777" w:rsidR="003754FE" w:rsidRDefault="003754FE" w:rsidP="003754FE">
      <w:pPr>
        <w:pStyle w:val="TextoNormal"/>
      </w:pPr>
    </w:p>
    <w:p w14:paraId="21D88F0E" w14:textId="77777777" w:rsidR="003754FE" w:rsidRDefault="003754FE" w:rsidP="003754FE">
      <w:pPr>
        <w:pStyle w:val="TextoNormal"/>
      </w:pPr>
      <w:r>
        <w:t xml:space="preserve">Todo ello lleva al Ministerio Fiscal a afirmar que el señor Griñán Martínez, conociendo las irregularidades del sistema de presupuestación en el que intervenía —dada cuenta, además, de las facultades que tenía para efectuar un seguimiento y control de la ejecución del presupuesto—, dotó o favoreció la creación de un sistema de presupuestación ilegal que </w:t>
      </w:r>
      <w:r>
        <w:lastRenderedPageBreak/>
        <w:t>permitía el otorgamiento de subvenciones de manera ilegal. Con ello creó un riesgo para la indemnidad del patrimonio de la administración pública, lo que propició que los funcionarios de la Consejería de Empleo y Desarrollo Tecnológico desviaran los fondos del fin público al que se encontraban asignados, omitiendo el recurrente cualquier género de intervención por parte de la Consejería de Economía y Hacienda.</w:t>
      </w:r>
    </w:p>
    <w:p w14:paraId="4C3F911D" w14:textId="77777777" w:rsidR="003754FE" w:rsidRDefault="003754FE" w:rsidP="003754FE">
      <w:pPr>
        <w:pStyle w:val="TextoNormal"/>
      </w:pPr>
    </w:p>
    <w:p w14:paraId="45A312AB" w14:textId="77777777" w:rsidR="003754FE" w:rsidRDefault="003754FE" w:rsidP="003754FE">
      <w:pPr>
        <w:pStyle w:val="TextoNormal"/>
      </w:pPr>
      <w:r>
        <w:t>En consecuencia, el Ministerio Fiscal considera razonable y previsible no solamente la aplicación del tipo del art. 432 CP, sino, también, el juicio de autoría establecido por las resoluciones judiciales recurridas, solicitando por ello la desestimación del presente motivo de amparo.</w:t>
      </w:r>
    </w:p>
    <w:p w14:paraId="2B35DFE8" w14:textId="77777777" w:rsidR="003754FE" w:rsidRDefault="003754FE" w:rsidP="003754FE">
      <w:pPr>
        <w:pStyle w:val="TextoNormal"/>
      </w:pPr>
    </w:p>
    <w:p w14:paraId="4AA494B6" w14:textId="77777777" w:rsidR="003754FE" w:rsidRDefault="003754FE" w:rsidP="003754FE">
      <w:pPr>
        <w:pStyle w:val="TextoNormal"/>
      </w:pPr>
      <w:r>
        <w:t>En relación con la posible vulneración del derecho de defensa al haber sido objeto de exclusión del enjuiciamiento cada una de las ayudas individualmente concedidas, sostiene el fiscal que el demandante de amparo fue condenado por un delito continuado de malversación de fondos públicos respecto a los cuales, tanto el Ministerio Fiscal como la acusación particular, recogieron en sus escritos de acusación las cantidades malversadas, haciendo, asimismo, referencia a empresas y personas que habrían recibido aquellas. De esta manera, los hechos declarados probados no exceden del relato histórico plasmado en los escritos de conclusiones definitivas, siendo que las cantidades desviadas fueron objeto del proceso principal y de la prueba practicada al efecto. El hecho de que se excluyera del debate los concretos actos en que consistieron las ayudas individuales no implicaba, en modo alguno, que no fuera objeto del proceso en la pieza matriz el destino de las cantidades presupuestadas irregularmente. De hecho, sostiene el fiscal, el perjuicio real y efectivo del derecho de defensa parece provenir “de entender […] que la exclusión del enjuiciamiento de las ayudas individuales suponía la exclusión del desvio de las cantidades irregularmente presupuestadas y entregadas […] pero dicha exclusión no expulsaba del objeto del proceso la prueba del resultado del delito de malversación”.</w:t>
      </w:r>
    </w:p>
    <w:p w14:paraId="75C9C073" w14:textId="77777777" w:rsidR="003754FE" w:rsidRDefault="003754FE" w:rsidP="003754FE">
      <w:pPr>
        <w:pStyle w:val="TextoNormal"/>
      </w:pPr>
    </w:p>
    <w:p w14:paraId="495CD060" w14:textId="77777777" w:rsidR="003754FE" w:rsidRDefault="003754FE" w:rsidP="003754FE">
      <w:pPr>
        <w:pStyle w:val="TextoNormal"/>
      </w:pPr>
      <w:r>
        <w:t>A ello hay que añadir, claro está, que el objeto de enjuiciamiento era la concesión de ayudas sociolaborales con incumplimiento de la normativa sobre subvenciones y las cantidades presupuestadas irregularmente con dicha finalidad, aspectos respecto a los cuales se practicó una abundante prueba documental y pericial.</w:t>
      </w:r>
    </w:p>
    <w:p w14:paraId="4CFA2A72" w14:textId="77777777" w:rsidR="003754FE" w:rsidRDefault="003754FE" w:rsidP="003754FE">
      <w:pPr>
        <w:pStyle w:val="TextoNormal"/>
      </w:pPr>
    </w:p>
    <w:p w14:paraId="667A22A8" w14:textId="77777777" w:rsidR="003754FE" w:rsidRDefault="003754FE" w:rsidP="003754FE">
      <w:pPr>
        <w:pStyle w:val="TextoNormal"/>
      </w:pPr>
      <w:r>
        <w:t>Además, sostiene el fiscal analizando ya la presunción de inocencia vinculada a este motivo, el hecho de que la desviación de fondos aparece claramente definido en las resoluciones impugnadas. No cabe sostener, como pretende el demandante, que se realiza una inversión de la carga de la prueba al afirmar que todas las ayudas tuvieron destinos ajenos a la función pública, sino que, al contrario, la desviación queda acreditada por el hecho de que se prescindió totalmente del procedimiento toda vez que la finalidad y la licitud viene condicionada al cumplimiento de las exigencias establecidas legalmente. Consecuentemente, la desviación de fondos no es una mera conjetura de las sentencias recurridas, sino un elemento fáctico acreditado por los informes periciales que llegan a conclusiones razonables y lógicas.</w:t>
      </w:r>
    </w:p>
    <w:p w14:paraId="1D904949" w14:textId="77777777" w:rsidR="003754FE" w:rsidRDefault="003754FE" w:rsidP="003754FE">
      <w:pPr>
        <w:pStyle w:val="TextoNormal"/>
      </w:pPr>
    </w:p>
    <w:p w14:paraId="0AA69B6C" w14:textId="77777777" w:rsidR="003754FE" w:rsidRDefault="003754FE" w:rsidP="003754FE">
      <w:pPr>
        <w:pStyle w:val="TextoNormal"/>
      </w:pPr>
      <w:r>
        <w:t xml:space="preserve">c) En relación con el tercer motivo de amparo, considera el Ministerio Fiscal que, del análisis de las resoluciones objeto de impugnación, se deducen una serie de indicios sólidos que acreditan el conocimiento del señor Griñán Martínez del peligro concreto que su proceder ocasionaba para el patrimonio público, bien protegido por el delito de malversación </w:t>
      </w:r>
      <w:r>
        <w:lastRenderedPageBreak/>
        <w:t>y, por ende, la existencia de dolo eventual en su conducta de consentir que otros sustraigan los fondos públicos y los desvíen de su finalidad pública.</w:t>
      </w:r>
    </w:p>
    <w:p w14:paraId="435C432A" w14:textId="77777777" w:rsidR="003754FE" w:rsidRDefault="003754FE" w:rsidP="003754FE">
      <w:pPr>
        <w:pStyle w:val="TextoNormal"/>
      </w:pPr>
    </w:p>
    <w:p w14:paraId="62C5CB28" w14:textId="77777777" w:rsidR="003754FE" w:rsidRDefault="003754FE" w:rsidP="003754FE">
      <w:pPr>
        <w:pStyle w:val="TextoNormal"/>
      </w:pPr>
      <w:r>
        <w:t>Para el Ministerio Fiscal, la interpretación que del elemento intencional ha hecho la Sala de lo Penal del Tribunal Supremo es respetuosa con el principio de legalidad en cuanto que del relato de hechos probados ninguna duda cabe de que la subsunción realizada por la sentencia condenatoria y ratificada por la de casación, es plenamente acorde con la norma penal desde los criterios semánticos, metodológicos o axiológicos, no siendo imprevisible para sus destinatarios. De esta manera, la interpretación de que el dolo eventual en el que incurre el señor Griñán Martínez se deriva de la asunción de la “eventualidad” de que los fondos se destinaran a fines ajenos al fin público al que estuvieran destinados —integrando la alta probabilidad de este resultado— “no supone una interpretación irrazonable y contraria a la letra de la norma y sin que implique una interpretación que desconozca la diferencia entre la imprudencia y el dolo como elemento subjetivo de los tipos penales”.</w:t>
      </w:r>
    </w:p>
    <w:p w14:paraId="49B86072" w14:textId="77777777" w:rsidR="003754FE" w:rsidRDefault="003754FE" w:rsidP="003754FE">
      <w:pPr>
        <w:pStyle w:val="TextoNormal"/>
      </w:pPr>
    </w:p>
    <w:p w14:paraId="33E6E17D" w14:textId="77777777" w:rsidR="003754FE" w:rsidRDefault="003754FE" w:rsidP="003754FE">
      <w:pPr>
        <w:pStyle w:val="TextoNormal"/>
      </w:pPr>
      <w:r>
        <w:t>Respecto a la posible extralimitación del Tribunal Supremo, al transmutar la finalidad de “‘agilizar’ las ayudas” por la finalidad de “evitar el cumplimiento de la normativa” y de “disponer libérrimamente de los fondos”, el fiscal afirma que la sentencia del Tribunal Supremo incluyó hechos que no figuraban en el relato fáctico de la sentencia de la Audiencia Provincial, trocando con ello el fin de la alteración presupuestaria seguida por el señor Griñán Martínez. Sin embargo, la propia resolución de la Audiencia Provincial no solamente contiene pasajes referidos a esta finalidad (como es el caso del fundamento jurídico 45), sino que, además, expone la normativa sobre la elaboración de los presupuestos, la relativa a las transferencias de financiación y las subvenciones, mencionando en numerosos pasajes que el incumplimiento de esta normativa producía una falta de control de la concesión de ayudas y eliminaba la fiscalización de los pagos. Por lo tanto, las adiciones en modo alguno pueden entenderse efectuadas en contradicción con la declaración de los hechos probados en la sentencia, ni suponen una afectación de la calificación jurídica efectuada. No existe, en consecuencia, una revisión fáctica de la sentencia de la Audiencia Provincial.</w:t>
      </w:r>
    </w:p>
    <w:p w14:paraId="364E12BD" w14:textId="77777777" w:rsidR="003754FE" w:rsidRDefault="003754FE" w:rsidP="003754FE">
      <w:pPr>
        <w:pStyle w:val="TextoNormal"/>
      </w:pPr>
    </w:p>
    <w:p w14:paraId="432FE1B8" w14:textId="77777777" w:rsidR="003754FE" w:rsidRDefault="003754FE" w:rsidP="003754FE">
      <w:pPr>
        <w:pStyle w:val="TextoNormal"/>
      </w:pPr>
      <w:r>
        <w:t xml:space="preserve">Por lo tanto, el Tribunal Supremo ha partido de los hechos declarados probados, sin alterarlos, para realizar un control de la legalidad penal y realizando las deducciones e inferencias necesarias para fijar los elementos del delito (STC 131/2002, de 3 de junio, FJ 2), lo que implica la inexistencia de lesión desde la perspectiva del art. 24 CE. Termina concluyendo por ello el fiscal que la idea de una disposición libérrima de los fondos, como novedad en los hechos incriminatorios, se deriva del cambio del sistema de presupuestación, no existiendo, por lo tanto, una desviación del </w:t>
      </w:r>
      <w:r w:rsidRPr="003754FE">
        <w:rPr>
          <w:i/>
        </w:rPr>
        <w:t>factum</w:t>
      </w:r>
      <w:r>
        <w:t xml:space="preserve"> toda vez que en la resolución de la Audiencia Provincial de Sevilla se recogen todos los elementos que permiten integrar la conducta enjuiciada en el delito de malversación. Lo que el Tribunal Supremo ha efectuado, en definitiva, es una serie de deducciones a partir de los hechos y argumentos de la resolución de la Audiencia Provincial, siendo este proceder respetuoso con el principio acusatorio y el derecho de defensa.</w:t>
      </w:r>
    </w:p>
    <w:p w14:paraId="725C2731" w14:textId="77777777" w:rsidR="003754FE" w:rsidRDefault="003754FE" w:rsidP="003754FE">
      <w:pPr>
        <w:pStyle w:val="TextoNormal"/>
      </w:pPr>
    </w:p>
    <w:p w14:paraId="0A54256E" w14:textId="77777777" w:rsidR="003754FE" w:rsidRDefault="003754FE" w:rsidP="003754FE">
      <w:pPr>
        <w:pStyle w:val="TextoNormal"/>
      </w:pPr>
      <w:r>
        <w:t xml:space="preserve">d) En relación con el cuarto motivo de amparo, el Ministerio Fiscal sostiene que la condena del demandante de amparo —respecto de la acreditación del elemento subjetivo del injusto— se fundamenta en una serie de hechos declarados probados por las resoluciones impugnadas y de los que se extrae la conclusión del que el señor Griñán Martínez asumió la eventualidad de que se desviaran/malversaran los fondos públicos asignados a ayudas </w:t>
      </w:r>
      <w:r>
        <w:lastRenderedPageBreak/>
        <w:t>sociolaborales. Así, el recurrente se limita a discutir la inferencia realizada por las sentencias impugnadas afirmando que las mismas son inconsistentes, insostenibles, inconcluyentes o débiles, expresiones que utiliza para combatir aquellas y cuestionar la afirmación de “alta probabilidad” o “eventualidad” del conocimiento del desvío de fondos presupuestados.</w:t>
      </w:r>
    </w:p>
    <w:p w14:paraId="1F0E2621" w14:textId="77777777" w:rsidR="003754FE" w:rsidRDefault="003754FE" w:rsidP="003754FE">
      <w:pPr>
        <w:pStyle w:val="TextoNormal"/>
      </w:pPr>
    </w:p>
    <w:p w14:paraId="7147D413" w14:textId="77777777" w:rsidR="003754FE" w:rsidRDefault="003754FE" w:rsidP="003754FE">
      <w:pPr>
        <w:pStyle w:val="TextoNormal"/>
      </w:pPr>
      <w:r>
        <w:t>Sin embargo, para el Ministerio Fiscal habría quedado acreditado que (i) el señor Griñán Martínez conocía con “alta probabilidad” que se estaba produciendo el resultado delictivo consistente en la distribución fraudulenta de fondos públicos con entrega a personas físicas o jurídicas que en modo alguno tenían derecho a aquellos; y (ii) que, además, como garante de los fondos no adoptó las medidas necesarias para evitar su desvío, produciéndose con su omisión un resultado perjudicial para el bien jurídico protegido.</w:t>
      </w:r>
    </w:p>
    <w:p w14:paraId="6CD5BEDE" w14:textId="77777777" w:rsidR="003754FE" w:rsidRDefault="003754FE" w:rsidP="003754FE">
      <w:pPr>
        <w:pStyle w:val="TextoNormal"/>
      </w:pPr>
    </w:p>
    <w:p w14:paraId="572FEA0D" w14:textId="77777777" w:rsidR="003754FE" w:rsidRDefault="003754FE" w:rsidP="003754FE">
      <w:pPr>
        <w:pStyle w:val="TextoNormal"/>
      </w:pPr>
      <w:r>
        <w:t>En este caso, la prueba de cargo de la concurrencia de dolo eventual en la conducta del demandante no se sustenta en prueba directa, sino en una serie de elementos objetivos probados que permiten a los órganos judiciales afirmar que el señor Griñán Martínez “asumió la eventualidad” de que los fondos transferidos pudieran destinarse a fines distintos al interés público. Señala en este sentido el Ministerio Fiscal que dicha inferencia se derivaría de los siguientes elementos fácticos:</w:t>
      </w:r>
    </w:p>
    <w:p w14:paraId="0E618283" w14:textId="77777777" w:rsidR="003754FE" w:rsidRDefault="003754FE" w:rsidP="003754FE">
      <w:pPr>
        <w:pStyle w:val="TextoNormal"/>
      </w:pPr>
    </w:p>
    <w:p w14:paraId="1CA86CE3" w14:textId="77777777" w:rsidR="003754FE" w:rsidRDefault="003754FE" w:rsidP="003754FE">
      <w:pPr>
        <w:pStyle w:val="TextoNormal"/>
      </w:pPr>
      <w:r>
        <w:t>(i) Las sentencias analizan la vulneración de la normativa sobre la elaboración de presupuestos y sobre subvenciones y transferencias de financiación y a cuyo conocimiento venía obligado el consejero de Economía y Hacienda. También analiza el incumplimiento de la normativa sobre subvenciones y transferencias de financiación y cómo se efectuó un uso irregular de estas últimas.</w:t>
      </w:r>
    </w:p>
    <w:p w14:paraId="5AE9A112" w14:textId="77777777" w:rsidR="003754FE" w:rsidRDefault="003754FE" w:rsidP="003754FE">
      <w:pPr>
        <w:pStyle w:val="TextoNormal"/>
      </w:pPr>
    </w:p>
    <w:p w14:paraId="6F90321B" w14:textId="77777777" w:rsidR="003754FE" w:rsidRDefault="003754FE" w:rsidP="003754FE">
      <w:pPr>
        <w:pStyle w:val="TextoNormal"/>
      </w:pPr>
      <w:r>
        <w:t>(ii) Los cargos anteriores que había ostentado el demandante de amparo permiten afirmar que la materia anteriormente expuesta no le era, en modo alguno, desconocida. Consecuentemente, era plenamente consciente de que las ayudas sociolaborales a particulares y empresas no se efectuaban mediante transferencias de financiación.</w:t>
      </w:r>
    </w:p>
    <w:p w14:paraId="52812A56" w14:textId="77777777" w:rsidR="003754FE" w:rsidRDefault="003754FE" w:rsidP="003754FE">
      <w:pPr>
        <w:pStyle w:val="TextoNormal"/>
      </w:pPr>
    </w:p>
    <w:p w14:paraId="57C3787C" w14:textId="77777777" w:rsidR="003754FE" w:rsidRDefault="003754FE" w:rsidP="003754FE">
      <w:pPr>
        <w:pStyle w:val="TextoNormal"/>
      </w:pPr>
      <w:r>
        <w:t>(iii) Existían asimismo una serie de informes que le fueron facilitados por sus subordinados implicados en la elaboración de los anteproyectos de presupuestos y seguimiento del pago de las ayudas sociolaborales, toda vez que, como señalan las resoluciones judiciales impugnadas, “la relevancia del órgano y personas que intervenían en el proceso de elaboración presupuestaria jugaban un papel importante los grupos de trabajo de alto nivel formados por miembros de la Consejería de [Economía y] Hacienda y de las consejerías relacionadas con la materia que se tratara en atención a [que] su función era evaluar la ejecución de los programas del ejercicio anterior y las causas de las desviaciones”.</w:t>
      </w:r>
    </w:p>
    <w:p w14:paraId="630CE0F5" w14:textId="77777777" w:rsidR="003754FE" w:rsidRDefault="003754FE" w:rsidP="003754FE">
      <w:pPr>
        <w:pStyle w:val="TextoNormal"/>
      </w:pPr>
    </w:p>
    <w:p w14:paraId="692DE39A" w14:textId="77777777" w:rsidR="003754FE" w:rsidRDefault="003754FE" w:rsidP="003754FE">
      <w:pPr>
        <w:pStyle w:val="TextoNormal"/>
      </w:pPr>
      <w:r>
        <w:t>(iv) El conocimiento de las irregularidades en la financiación se deduce también no solo de su intervención en la elaboración del presupuesto sino, también, en que resulta contrario a la razón que el viceconsejero no informara al consejero de los déficits producidos en el IFA/ IDEA como consecuencia del indebido uso de las transferencias de financiación.</w:t>
      </w:r>
    </w:p>
    <w:p w14:paraId="21CD249F" w14:textId="77777777" w:rsidR="003754FE" w:rsidRDefault="003754FE" w:rsidP="003754FE">
      <w:pPr>
        <w:pStyle w:val="TextoNormal"/>
      </w:pPr>
    </w:p>
    <w:p w14:paraId="3EE05654" w14:textId="77777777" w:rsidR="003754FE" w:rsidRDefault="003754FE" w:rsidP="003754FE">
      <w:pPr>
        <w:pStyle w:val="TextoNormal"/>
      </w:pPr>
      <w:r>
        <w:t xml:space="preserve">(v) El señor Griñán Martínez fue en última instancia, una de las autoridades que decidió elevar estos proyectos normativos al Consejo de Gobierno para su aprobación, ello a pesar de que le fue comunicado por órganos inferiores de la Consejería de Economía y Hacienda, la documentación que se acompañaba a los presupuestos de los años 2005 a 2009, el informe </w:t>
      </w:r>
      <w:r>
        <w:lastRenderedPageBreak/>
        <w:t>que a tal efecto elaboró la IGAE y las memorias e informes de control financiero permanente de las empresas públicas. El señor Griñán Martínez debió ser, en definitiva, informado por los cargos inferiores de la Consejería de Economía y Hacienda del incumplimiento normativo;</w:t>
      </w:r>
    </w:p>
    <w:p w14:paraId="63E1307A" w14:textId="77777777" w:rsidR="003754FE" w:rsidRDefault="003754FE" w:rsidP="003754FE">
      <w:pPr>
        <w:pStyle w:val="TextoNormal"/>
      </w:pPr>
    </w:p>
    <w:p w14:paraId="67900BE5" w14:textId="77777777" w:rsidR="003754FE" w:rsidRDefault="003754FE" w:rsidP="003754FE">
      <w:pPr>
        <w:pStyle w:val="TextoNormal"/>
      </w:pPr>
      <w:r>
        <w:t>(vi) El conocimiento de la irregularidad del sistema se deduce también de la propia declaración de señor Griñán Martínez que manifestó que “si la Dirección General de Empleo es la que reconoce el derecho tiene que haber una fiscalización previa sin perjuicio de que el IFA sea el que ordene el pago”.</w:t>
      </w:r>
    </w:p>
    <w:p w14:paraId="5C455E7C" w14:textId="77777777" w:rsidR="003754FE" w:rsidRDefault="003754FE" w:rsidP="003754FE">
      <w:pPr>
        <w:pStyle w:val="TextoNormal"/>
      </w:pPr>
    </w:p>
    <w:p w14:paraId="1A59A3C5" w14:textId="77777777" w:rsidR="003754FE" w:rsidRDefault="003754FE" w:rsidP="003754FE">
      <w:pPr>
        <w:pStyle w:val="TextoNormal"/>
      </w:pPr>
      <w:r>
        <w:t>(vii) Resulta inconcebible, asimismo, que en las reuniones del grupo de trabajo anuales para la elaboración del anteproyecto no se evaluara la ejecución del programa en el ejercicio anterior y la previsión del vigente, y las causas de las desviaciones que se hubieren producido, no estando sobre la mesa el déficit y el origen de mismo.</w:t>
      </w:r>
    </w:p>
    <w:p w14:paraId="3B730690" w14:textId="77777777" w:rsidR="003754FE" w:rsidRDefault="003754FE" w:rsidP="003754FE">
      <w:pPr>
        <w:pStyle w:val="TextoNormal"/>
      </w:pPr>
    </w:p>
    <w:p w14:paraId="431F5173" w14:textId="77777777" w:rsidR="003754FE" w:rsidRDefault="003754FE" w:rsidP="003754FE">
      <w:pPr>
        <w:pStyle w:val="TextoNormal"/>
      </w:pPr>
      <w:r>
        <w:t>(viii) El conocimiento de las irregularidades viene también apoyado en los diferentes informes de control financiero permanente de las empresas públicas, y particularmente del IFA, de las que el demandante de amparo (en virtud del art. 12 del Decreto de la Consejería de la Presidencia de la Junta de Andalucía 9/1999, de 19 de enero, sobre régimen presupuestario, financiero, de control y contable de las empresas de la Junta de Andalucía) era destinatario y donde se exponían las deficiencias y el apartamiento de la normativa para la concesión de subvenciones. Reseña, en este sentido el fiscal, el informe adicional sobre gestión de ayudas en materia de trabajo y Seguridad Social; el informe definitivo de cuentas anuales de la agencia IDEA en el ejercicio de 2003; el informe adicional de cumplimiento del ejercicio 2003 del IFA; el informe de cumplimiento del ejercicio 2004; los informes de control financiero de la Intervención General de la Junta de Andalucía durante los años 2000 a 2009; el informe adicional de ayudas realizado en el año 2005; el informe definitivo de cumplimiento del año 2004; el informe de auditoría de cumplimiento sobre la agencia IDEA correspondiente al año 2005; el informe definitivo de cumplimiento del año 2006; el informe definitivo de cuentas anuales de la agencia IDEA del ejercicio 2006; y el informe de cumplimiento del año 2007. En estos informes, en definitiva y en palabras del Tribunal Supremo, “se advierte al consejero de Economía y Hacienda no de meras ‘irregularidades’ o ‘inadecuaciones’ en la tramitación y control de las subvenciones por el sistema de transferencias de financiación, sino de auténticas ilegalidades”.</w:t>
      </w:r>
    </w:p>
    <w:p w14:paraId="2AD378C2" w14:textId="77777777" w:rsidR="003754FE" w:rsidRDefault="003754FE" w:rsidP="003754FE">
      <w:pPr>
        <w:pStyle w:val="TextoNormal"/>
      </w:pPr>
    </w:p>
    <w:p w14:paraId="5334EDBA" w14:textId="77777777" w:rsidR="003754FE" w:rsidRDefault="003754FE" w:rsidP="003754FE">
      <w:pPr>
        <w:pStyle w:val="TextoNormal"/>
      </w:pPr>
      <w:r>
        <w:t xml:space="preserve">(ix) El conocimiento se deduce también de la memoria de control financiero permanente, referida a los trabajos realizados en el ejercicio anterior por la Intervención General de la Junta de Andalucía, y que integraba el expediente a elevar al Consejo de Gobierno en al año 2006. Aunque el señor Griñán Martínez no acudió al Consejo de Gobierno que aprobó el correspondiente al año 2007, sí conoció la tramitación de los acuerdos del Consejo de Gobierno en materia de control financiero pues resulta, en palabras de la Audiencia Provincial, “inimaginable, […] que no leyera la citada memoria […]. Primero, porque afectaba a su propia consejería y, segundo, para la preparación del acuerdo del Consejo de Gobierno”. A ello se debe añadir que la Consejería de Economía y Hacienda manejaba más documentación de la que llegaba al Parlamento, siendo que la viceconsejera de Hacienda —Carmen Martínez Aguayo— formaba parte de los grupos de trabajo anteriormente mencionados, perteneció al consejo rector de la agencia IDEA, por lo que tuvo conocimiento de las cuentas anuales de la agencia y de los informes de auditoría. La viceconsejera, consecuentemente, </w:t>
      </w:r>
      <w:r>
        <w:lastRenderedPageBreak/>
        <w:t>era conocedora de la existencia del convenio marco de julio de 2001 en virtud del cual se suscribieron los convenios particulares y de que las transferencias de financiación eran usadas para el pago de subvenciones.</w:t>
      </w:r>
    </w:p>
    <w:p w14:paraId="42712EF3" w14:textId="77777777" w:rsidR="003754FE" w:rsidRDefault="003754FE" w:rsidP="003754FE">
      <w:pPr>
        <w:pStyle w:val="TextoNormal"/>
      </w:pPr>
    </w:p>
    <w:p w14:paraId="388C72A6" w14:textId="77777777" w:rsidR="003754FE" w:rsidRDefault="003754FE" w:rsidP="003754FE">
      <w:pPr>
        <w:pStyle w:val="TextoNormal"/>
      </w:pPr>
      <w:r>
        <w:t>(x) Las ilegalidades de enorme calado que fueron cometidas para conceder estas subvenciones anunciaban, además, el posible despilfarro de fondos públicos ante la ausencia de todo control. En este sentido, el informe de la Intervención General de la Junta de Andalucía del año 2003 era tajante en cuanto a las consecuencias que podía producir el indebido uso del instrumento de las transferencias de financiación.</w:t>
      </w:r>
    </w:p>
    <w:p w14:paraId="33994AB9" w14:textId="77777777" w:rsidR="003754FE" w:rsidRDefault="003754FE" w:rsidP="003754FE">
      <w:pPr>
        <w:pStyle w:val="TextoNormal"/>
      </w:pPr>
    </w:p>
    <w:p w14:paraId="73A00146" w14:textId="77777777" w:rsidR="003754FE" w:rsidRDefault="003754FE" w:rsidP="003754FE">
      <w:pPr>
        <w:pStyle w:val="TextoNormal"/>
      </w:pPr>
      <w:r>
        <w:t>(xi) Aunque el demandante discute el conocimiento del informe adicional del año 2003 y anexo del año 2005, la base probatoria mantenida por las resoluciones judiciales en la que se fundamenta dicho conocimiento reside en que (a) el informe iba dirigido a él, por más que se enviara a través de su viceconsejera, no siendo razonable considerar que no se le diese traslado en la medida que alertaba sobre graves irregularidades; (b) la ausencia de falta de conocimiento responde a una estrategia defensiva genérica que se ha mantenido respecto a otros documentos de los que existe constancia que tuvo a la vista; y (c) el citado informe no fue un hecho aislado, ya que los informes en los que se alertó de las graves irregularidades fueron diversos y constantes.</w:t>
      </w:r>
    </w:p>
    <w:p w14:paraId="161DDBAC" w14:textId="77777777" w:rsidR="003754FE" w:rsidRDefault="003754FE" w:rsidP="003754FE">
      <w:pPr>
        <w:pStyle w:val="TextoNormal"/>
      </w:pPr>
    </w:p>
    <w:p w14:paraId="727E3095" w14:textId="77777777" w:rsidR="003754FE" w:rsidRDefault="003754FE" w:rsidP="003754FE">
      <w:pPr>
        <w:pStyle w:val="TextoNormal"/>
      </w:pPr>
      <w:r>
        <w:t>(xii) En el programa anual de control financiero permanente de las empresas públicas se incluían las actuaciones de control que debía hacer la Intervención General de la Junta de Andalucía y una memoria del control realizado sobre el ejercicio precedente. Este programa se sometía a la aprobación del Consejo de Gobierno y era aportado por la Consejería de Economía y Hacienda. En concreto, la sentencia de la Audiencia Provincial refiere a la memoria correspondiente a los trabajos realizados en el año 2006 donde “se hace referencia a las conclusiones, salvedades e incumplimientos detectados en los informes emitidos”, lo que evidencia aún más el conocimiento de las ilegalidades que tenía el señor Griñán Martínez. El conocimiento de dicha memoria quedaría acreditado porque la aprobación del plan anual de control permanente se elevó para su aprobación a propuesta de la Consejería de la que ostentaba la jefatura.</w:t>
      </w:r>
    </w:p>
    <w:p w14:paraId="110523FF" w14:textId="77777777" w:rsidR="003754FE" w:rsidRDefault="003754FE" w:rsidP="003754FE">
      <w:pPr>
        <w:pStyle w:val="TextoNormal"/>
      </w:pPr>
    </w:p>
    <w:p w14:paraId="2C3BB6F9" w14:textId="77777777" w:rsidR="003754FE" w:rsidRDefault="003754FE" w:rsidP="003754FE">
      <w:pPr>
        <w:pStyle w:val="TextoNormal"/>
      </w:pPr>
      <w:r>
        <w:t>(xiii) A la Consejería de Economía y Hacienda se remitían anualmente para su aprobación las modificaciones presupuestarias para incrementar la cuota de transferencias de financiación al IFA/IDEA, dentro del programa 31L, lo que hace inferir el conocimiento de que figuraran como ingresos las cantidades recibidas vía transferencias de financiación del programa 31L y que aquellas se incluyeran dentro del apartado “otros gastos de explotación” para equilibrar las cuentas. Ello a sabiendas de que el IFA no tenía gasto alguno pues se limitaba a pagar por cuenta de la Dirección General de Trabajo y Seguridad Social.</w:t>
      </w:r>
    </w:p>
    <w:p w14:paraId="0799CB1F" w14:textId="77777777" w:rsidR="003754FE" w:rsidRDefault="003754FE" w:rsidP="003754FE">
      <w:pPr>
        <w:pStyle w:val="TextoNormal"/>
      </w:pPr>
    </w:p>
    <w:p w14:paraId="4E82E443" w14:textId="77777777" w:rsidR="003754FE" w:rsidRDefault="003754FE" w:rsidP="003754FE">
      <w:pPr>
        <w:pStyle w:val="TextoNormal"/>
      </w:pPr>
      <w:r>
        <w:t>(xiv) Poco después de cesar en su cargo (26 de abril de 2009) se dictó la instrucción 1/2009 de la Dirección General de Presupuestos en la que se recordó las normas para la presupuestación de las transferencias de capital. Ello lleva a la Audiencia Provincial a inferir que el hecho de que dichas normas fueran recordadas implicaba que aquellas no habían sido observadas durante los años precedentes.</w:t>
      </w:r>
    </w:p>
    <w:p w14:paraId="3BF68724" w14:textId="77777777" w:rsidR="003754FE" w:rsidRDefault="003754FE" w:rsidP="003754FE">
      <w:pPr>
        <w:pStyle w:val="TextoNormal"/>
      </w:pPr>
    </w:p>
    <w:p w14:paraId="54C9E26D" w14:textId="77777777" w:rsidR="003754FE" w:rsidRDefault="003754FE" w:rsidP="003754FE">
      <w:pPr>
        <w:pStyle w:val="TextoNormal"/>
      </w:pPr>
      <w:r>
        <w:t xml:space="preserve">(xv) El pago de las ayudas era uno de los ejes relevantes de la acción política de Gobierno del que formaba parte y miembros de dicho gobierno, incluido su presidente, intervinieron </w:t>
      </w:r>
      <w:r>
        <w:lastRenderedPageBreak/>
        <w:t>directamente en la gestión y concesión de las distintas ayudas. En consecuencia, resulta difícil admitir que no estuviera al tanto del modo de gestión y presupuestación de estas ayudas como también que desconociera el déficit que se generaba anualmente en el IFA/IDEA.</w:t>
      </w:r>
    </w:p>
    <w:p w14:paraId="06A0B8C4" w14:textId="77777777" w:rsidR="003754FE" w:rsidRDefault="003754FE" w:rsidP="003754FE">
      <w:pPr>
        <w:pStyle w:val="TextoNormal"/>
      </w:pPr>
    </w:p>
    <w:p w14:paraId="0A766CC3" w14:textId="77777777" w:rsidR="003754FE" w:rsidRDefault="003754FE" w:rsidP="003754FE">
      <w:pPr>
        <w:pStyle w:val="TextoNormal"/>
      </w:pPr>
      <w:r>
        <w:t>Todos estos indicios permiten al fiscal afirmar que “constituyen un soporte documental que junto a las declaraciones del propio [demandante de amparo], que valorados en su conjunto, permiten concluir que […] es razonable inferir, a partir de dichas pruebas, que conocía las irregularidades que se derivaban del sistema de presupuestación de las ayudas sociolaborales y a empresas y que dicho conocimiento aparece avalado por una serie de pruebas de las que cabe deducir que conocía los déficits que estaban al margen de la normativa sobre subvenciones y el uso del sistema de transferencias de financiación, su falta de fiscalización, conocimiento que se deduce de manera razonable de la documentación que se ha señalado y que se ve corroborado por determinados testimonios testificales que evidencian que se prescindió de cualquier procedimiento para la concesión de las ayudas sociolaborales y a empresas y por la propia declaración del señor Griñán que revela el conocimiento de la normativa sobre subvenciones y la necesidad de fiscalización de las mismas por la Intervención General, sin que esta conclusión se vea menoscabada por los déficits que presenta la inferencia de que la viceconsejera informara al señor Griñán de determinados documentos, aunque no aparezca en el relato y fundamentación de las sentencias, en ningún momento, una prueba sobre que fue informado, que se le entregaron los informes de los que era destinatario por la viceconsejera”.</w:t>
      </w:r>
    </w:p>
    <w:p w14:paraId="6CF5675E" w14:textId="77777777" w:rsidR="003754FE" w:rsidRDefault="003754FE" w:rsidP="003754FE">
      <w:pPr>
        <w:pStyle w:val="TextoNormal"/>
      </w:pPr>
    </w:p>
    <w:p w14:paraId="4E10B692" w14:textId="77777777" w:rsidR="003754FE" w:rsidRDefault="003754FE" w:rsidP="003754FE">
      <w:pPr>
        <w:pStyle w:val="TextoNormal"/>
      </w:pPr>
      <w:r>
        <w:t>Para el fiscal, existía por parte del señor Griñán Martínez un deber de actuar ante la alta probabilidad de que lo que era ya un despilfarro se convirtiera en una malversación, no siendo necesario un conocimiento exhaustivo de todas y cada una de las ilegalidades cometidas en la concesión de ayudas, sino que era suficiente el contenido de los informes aludidos y que daban cuenta de una situación manifiestamente ilegal y de un absoluto descontrol y despilfarro en el manejo de los fondos públicos.</w:t>
      </w:r>
    </w:p>
    <w:p w14:paraId="0B1E5351" w14:textId="77777777" w:rsidR="003754FE" w:rsidRDefault="003754FE" w:rsidP="003754FE">
      <w:pPr>
        <w:pStyle w:val="TextoNormal"/>
      </w:pPr>
    </w:p>
    <w:p w14:paraId="14236376" w14:textId="77777777" w:rsidR="003754FE" w:rsidRDefault="003754FE" w:rsidP="003754FE">
      <w:pPr>
        <w:pStyle w:val="TextoNormal"/>
      </w:pPr>
      <w:r>
        <w:t xml:space="preserve">No obstante, también afirma que las resoluciones judiciales no explican suficientemente porque se selecciona como autores de la malversación a unos acusados que realizan actos prevaricadores y otros acusados, los cuales también conocían las irregularidades de las conductas, solo son condenados por el delito de prevaricación. En este punto, el fiscal considera la concurrencia de una serie de contraindicios de la razonabilidad de las inferencias alcanzadas por las resoluciones judiciales en relación con la acreditación del dolo eventual en la persona del demandante: (i) en primer lugar, el hecho de que don Gaspar Zarrías Arévalo solo fue condenado por el delito de prevaricación a pesar del conocimiento de las irregularidades en el cambio del sistema de presupuestación, disparidad que el voto particular saca a relucir en el fundamento jurídico octavo; (ii) en segundo lugar, el hecho de que la Intervención General no advirtió de riesgo alguno de menoscabo de los fondos públicos ni emitió informe de actuación y en sus informes no se advertía de que se estuviesen desviando los fondos destinados a ayudas a otros fines o de que se estuvieran desviando al lucro ilícito de terceras personas, se ponían de manifiesto irregularidades administrativas en los expedientes de concesión, por lo que ha de entenderse que no apreció indicios ni riesgo de menoscabo de fondos públicos, ni tampoco advirtió de una posible responsabilidad contable; lo anterior se vería refrendado por el hecho de que respecto de la conducta del interventor general no se pudo apreciar la existencia de un dolo eventual con relación al menoscabo o </w:t>
      </w:r>
      <w:r>
        <w:lastRenderedPageBreak/>
        <w:t>quebrantamiento del patrimonio público en el tramo final de la ejecución del presupuesto, a pesar de ser la persona que ostentaba una posición sumamente privilegiada para conocer las diferentes ilegalidades integrantes del delito de prevaricación o respecto de la conducta del consejero de la Presidencia o lo que concierne a otros acusados condenados por el delito de prevaricación que también conocían las notables ilegalidades que concurrían en la tramitación del procedimiento; (iii) en tercer lugar, la existencia de un razonamiento absolutamente contrario en el denominado caso Umax, lo que haría razonable, tal como señala el voto particular, que “las mismas o mayores razones para concurrir para no atribuirles a los cinco acusados ajenos a la consejería el conocimiento propio de un dolo eventual ni la asunción del resultado inherente a la conducta malversadora” ; y (iv) en último lugar, el principio de confianza administrativa que permite considerar que los acusados ajenos a la Consejería de Empleo y Desarrollo Tecnológico confiaran en que los integrantes de aquella no se iban a dedicar a defraudar o dilapidar el patrimonio público.</w:t>
      </w:r>
    </w:p>
    <w:p w14:paraId="478354A1" w14:textId="77777777" w:rsidR="003754FE" w:rsidRDefault="003754FE" w:rsidP="003754FE">
      <w:pPr>
        <w:pStyle w:val="TextoNormal"/>
      </w:pPr>
    </w:p>
    <w:p w14:paraId="45AE3046" w14:textId="77777777" w:rsidR="003754FE" w:rsidRDefault="003754FE" w:rsidP="003754FE">
      <w:pPr>
        <w:pStyle w:val="TextoNormal"/>
      </w:pPr>
      <w:r>
        <w:t>A pesar de ello, y ajustándose al canon de control que compete a este tribunal, el fiscal concluye que “si consideramos aisladamente algunos de los indicios que se han declarado probados y las inferencias que de ellos se siguen y los contraindicios alegados podría admitirse la tesis del recurrente de que no serían concluyentes las inferencias o incluso podían etiquetarse de meras presunciones e introducirían una duda razonable sobre la existencia del requisito de la ‘alta probabilidad’ de que J.A.G.M., [el señor Griñán Martínez] conocía que se estaban desviando los fondos públicos de la finalidad para la que fueron presupuestados y que lo consentía, sin embargo un análisis de la prueba practicada en su conjunto y no aisladamente de cada dato objetivo permite considerar adecuadamente acreditado el enlace entre los hechos probados y la conclusión de la existencia de dolo eventual”, no siendo asumible, en consecuencia, que “una versión alternativa […] parece sugerir como propia de la culpa consciente lo que determinaría, en su caso, un delito por imprudencia de malversación que fue despenalizado en la reforma de 2015”.</w:t>
      </w:r>
    </w:p>
    <w:p w14:paraId="07706219" w14:textId="77777777" w:rsidR="003754FE" w:rsidRDefault="003754FE" w:rsidP="003754FE">
      <w:pPr>
        <w:pStyle w:val="TextoNormal"/>
      </w:pPr>
    </w:p>
    <w:p w14:paraId="4E1D4171" w14:textId="77777777" w:rsidR="003754FE" w:rsidRDefault="003754FE" w:rsidP="003754FE">
      <w:pPr>
        <w:pStyle w:val="TextoNormal"/>
      </w:pPr>
      <w:r>
        <w:t>Por todo ello, solicita la desestimación de motivo.</w:t>
      </w:r>
    </w:p>
    <w:p w14:paraId="4CA2F924" w14:textId="77777777" w:rsidR="003754FE" w:rsidRDefault="003754FE" w:rsidP="003754FE">
      <w:pPr>
        <w:pStyle w:val="TextoNormal"/>
      </w:pPr>
    </w:p>
    <w:p w14:paraId="7D263380" w14:textId="77777777" w:rsidR="003754FE" w:rsidRDefault="003754FE" w:rsidP="003754FE">
      <w:pPr>
        <w:pStyle w:val="TextoNormal"/>
      </w:pPr>
      <w:r>
        <w:t>e) En relación con el quinto motivo de la demanda, el Ministerio Fiscal considera, con cita de la jurisprudencia de este tribunal (STC 50/2009, de 23 de febrero), que el recurrente, no obstante haber sido condenado en primera instancia, le asistía en el momento de la notificación del fallo, su derecho a la presunción de inocencia de modo que dicha condena no enervaba a este respecto la regla de tratamiento de dicho derecho, siendo obligado para los poderes públicos respetar aquel.</w:t>
      </w:r>
    </w:p>
    <w:p w14:paraId="3F1B1A1B" w14:textId="77777777" w:rsidR="003754FE" w:rsidRDefault="003754FE" w:rsidP="003754FE">
      <w:pPr>
        <w:pStyle w:val="TextoNormal"/>
      </w:pPr>
    </w:p>
    <w:p w14:paraId="6C11A562" w14:textId="77777777" w:rsidR="003754FE" w:rsidRDefault="003754FE" w:rsidP="003754FE">
      <w:pPr>
        <w:pStyle w:val="TextoNormal"/>
      </w:pPr>
      <w:r>
        <w:t xml:space="preserve">En este caso, además, a pesar de que la declaración de culpabilidad se habría efectuado por el propio órgano judicial y en el seno de un proceso judicial (y no por una autoridad pública al margen de dicho proceso), ello no excluiría la dimensión extraprocesal del derecho a la presunción de inocencia debido a las siguientes razones: (i) primero, porque según se desprende de la STC 244/2007, de 10 de diciembre, la distinción entre el aspecto procesal y extraprocesal de la presunción de inocencia no se centra en el acto supuestamente lesivo o en el sujeto sino en el contenido propio del derecho fundamental y que conlleva que al imputado en un proceso penal se le ha de considerar inocente en tanto no se pruebe su culpabilidad; (ii) segundo, porque esa solución es la que resulta plenamente coherente con la pretensión del demandante que no se limita a la reparación mediante anulación de un acto procesal, sino que abiertamente manifiesta su pretensión de restitución con finalidad </w:t>
      </w:r>
      <w:r>
        <w:lastRenderedPageBreak/>
        <w:t>indemnizatoria que, en el contexto en que se produce, solo puede tener sentido en relación con la vulneración del derecho fundamental sustantivo.</w:t>
      </w:r>
    </w:p>
    <w:p w14:paraId="095BED8E" w14:textId="77777777" w:rsidR="003754FE" w:rsidRDefault="003754FE" w:rsidP="003754FE">
      <w:pPr>
        <w:pStyle w:val="TextoNormal"/>
      </w:pPr>
    </w:p>
    <w:p w14:paraId="0D286BF8" w14:textId="77777777" w:rsidR="003754FE" w:rsidRDefault="003754FE" w:rsidP="003754FE">
      <w:pPr>
        <w:pStyle w:val="TextoNormal"/>
      </w:pPr>
      <w:r>
        <w:t>Afirma en este caso el fiscal:</w:t>
      </w:r>
    </w:p>
    <w:p w14:paraId="6458B83E" w14:textId="77777777" w:rsidR="003754FE" w:rsidRDefault="003754FE" w:rsidP="003754FE">
      <w:pPr>
        <w:pStyle w:val="TextoNormal"/>
      </w:pPr>
    </w:p>
    <w:p w14:paraId="71D91057" w14:textId="77777777" w:rsidR="003754FE" w:rsidRDefault="003754FE" w:rsidP="003754FE">
      <w:pPr>
        <w:pStyle w:val="TextoNormal"/>
      </w:pPr>
      <w:r>
        <w:t>(i) Las normas que cita el auto resolviendo el incidente de nulidad sobre este motivo no se refieren a una difusión pública anticipada del fallo de la sentencia sino a su dictado de forma oral que implica una notificación a las partes en el proceso, lo que no resulta aplicable a este supuesto que consiste en una difusión pública del alcance del fallo.</w:t>
      </w:r>
    </w:p>
    <w:p w14:paraId="63F59A39" w14:textId="77777777" w:rsidR="003754FE" w:rsidRDefault="003754FE" w:rsidP="003754FE">
      <w:pPr>
        <w:pStyle w:val="TextoNormal"/>
      </w:pPr>
    </w:p>
    <w:p w14:paraId="7AA02C50" w14:textId="77777777" w:rsidR="003754FE" w:rsidRDefault="003754FE" w:rsidP="003754FE">
      <w:pPr>
        <w:pStyle w:val="TextoNormal"/>
      </w:pPr>
      <w:r>
        <w:t>(ii) La notificación de la sentencia debe ser simultánea a la de los votos particulares [</w:t>
      </w:r>
      <w:r w:rsidRPr="003754FE">
        <w:rPr>
          <w:i/>
        </w:rPr>
        <w:t>ex</w:t>
      </w:r>
      <w:r>
        <w:t xml:space="preserve"> art. 260.2 de la Ley Orgánica del Poder Judicial (LOPJ)] lo que permite justificar el retraso en la notificación tanto de la sentencia como del voto o votos particulares so pena de incurrir en una infracción procesal grave. El hecho de que esa infracción procesal solo alcance trascendencia constitucional cuando genera una situación de verdadera indefensión material no parece, sin embargo, argumento suficiente para justificar la difusión pública anticipada del fallo ya que esta no está prevista en ninguna norma legal.</w:t>
      </w:r>
    </w:p>
    <w:p w14:paraId="03DDC421" w14:textId="77777777" w:rsidR="003754FE" w:rsidRDefault="003754FE" w:rsidP="003754FE">
      <w:pPr>
        <w:pStyle w:val="TextoNormal"/>
      </w:pPr>
    </w:p>
    <w:p w14:paraId="0C1DCFD2" w14:textId="77777777" w:rsidR="003754FE" w:rsidRDefault="003754FE" w:rsidP="003754FE">
      <w:pPr>
        <w:pStyle w:val="TextoNormal"/>
      </w:pPr>
      <w:r>
        <w:t>(iii) El hecho de que sea práctica habitual del Tribunal Supremo adelantar el fallo de las resoluciones no aporta un argumento jurídico suficiente para considerar justificada dicha actuación que carece de previsión legal.</w:t>
      </w:r>
    </w:p>
    <w:p w14:paraId="01E033B4" w14:textId="77777777" w:rsidR="003754FE" w:rsidRDefault="003754FE" w:rsidP="003754FE">
      <w:pPr>
        <w:pStyle w:val="TextoNormal"/>
      </w:pPr>
    </w:p>
    <w:p w14:paraId="66985E91" w14:textId="77777777" w:rsidR="003754FE" w:rsidRDefault="003754FE" w:rsidP="003754FE">
      <w:pPr>
        <w:pStyle w:val="TextoNormal"/>
      </w:pPr>
      <w:r>
        <w:t>(iv) El único argumento determinante en cuya virtud se puede considerar adecuada la conducta realizada se basa en que la publicación anticipada del fallo tiene como objeto trasladar a las partes, y a la sociedad en general, un hecho con indudable relevancia informativa, ponderando otros derechos e intereses en conflicto. De hecho, este criterio coincide justamente con el planteamiento ya expuesto en la jurisprudencia constitucional que ubica la solución del conflicto en la tensión entre el derecho al honor y el derecho a recibir y transmitir información veraz. Sin embargo, el hecho de que dicho derecho a la información no sea de aplicación a las instituciones públicas o sus órganos (SSTC 185/1989, de 13 de noviembre, y 254/1993, de 20 de julio), tampoco daría cobertura a la decisión adoptada por la Sala de lo Penal del Tribunal Supremo.</w:t>
      </w:r>
    </w:p>
    <w:p w14:paraId="4B19AD4A" w14:textId="77777777" w:rsidR="003754FE" w:rsidRDefault="003754FE" w:rsidP="003754FE">
      <w:pPr>
        <w:pStyle w:val="TextoNormal"/>
      </w:pPr>
    </w:p>
    <w:p w14:paraId="70065515" w14:textId="77777777" w:rsidR="003754FE" w:rsidRDefault="003754FE" w:rsidP="003754FE">
      <w:pPr>
        <w:pStyle w:val="TextoNormal"/>
      </w:pPr>
      <w:r>
        <w:t>De todo ello, concluye el fiscal que la difusión anticipada del fallo carece, en realidad, de verdadero soporte legal, que la naturaleza de este acto, desde la perspectiva de la tutela del derecho a la presunción de inocencia, solo puede encuadrarse en la dimensión extraprocesal de ese derecho, y que, sin duda, en la medida en que el fallo en cuestión sea condenatorio puede afectar al derecho al honor de la persona concernida. Pero para valorar hasta qué punto esa afectación alcanza a constituir una verdadera vulneración de dicho derecho fundamental, es necesario llevar a cabo una valoración ponderativa que tome en consideración todas las circunstancias del caso y, en particular, la eventual colisión del derecho invocado por el recurrente y el interés constitucionalmente legítimo que se identifica con el derecho a recibir información veraz.</w:t>
      </w:r>
    </w:p>
    <w:p w14:paraId="62560A4B" w14:textId="77777777" w:rsidR="003754FE" w:rsidRDefault="003754FE" w:rsidP="003754FE">
      <w:pPr>
        <w:pStyle w:val="TextoNormal"/>
      </w:pPr>
    </w:p>
    <w:p w14:paraId="71BAB2A5" w14:textId="77777777" w:rsidR="003754FE" w:rsidRDefault="003754FE" w:rsidP="003754FE">
      <w:pPr>
        <w:pStyle w:val="TextoNormal"/>
      </w:pPr>
      <w:r>
        <w:t xml:space="preserve">Pues bien, en el presente caso considera el fiscal que el demandante ya había sido condenado en primera instancia, siendo dicha condena pública y notoria. La relevancia y el interés del asunto era además evidente, lo que justifico que el Tribunal Supremo tratara de responder a esa atención, evitando también posibles filtraciones, anticipando el fallo y </w:t>
      </w:r>
      <w:r>
        <w:lastRenderedPageBreak/>
        <w:t>ponderando los derechos e intereses en conflicto. Además, no se enjuicia la conducta de un tercero ajeno a un procedimiento judicial, sino que es el propio órgano competente para la declaración de culpabilidad el que, sobre la base de la propia condena en instancia y con la certeza de que la decisión adoptada es ya definitiva, el que difunde la condena para dar satisfacción a un interés constitucionalmente legítimo. A la vista de este conjunto de factores no existe, a juicio del fiscal, lesión de los derechos alegados por el demandante.</w:t>
      </w:r>
    </w:p>
    <w:p w14:paraId="0162859B" w14:textId="77777777" w:rsidR="003754FE" w:rsidRDefault="003754FE" w:rsidP="003754FE">
      <w:pPr>
        <w:pStyle w:val="TextoNormal"/>
      </w:pPr>
    </w:p>
    <w:p w14:paraId="759FDF35" w14:textId="77777777" w:rsidR="003754FE" w:rsidRDefault="003754FE" w:rsidP="003754FE">
      <w:pPr>
        <w:pStyle w:val="TextoNormal"/>
      </w:pPr>
      <w:r>
        <w:t>Con base en lo anteriormente expuesto, la Fiscalía ante el Tribunal Constitucional solicita: (i) la estimación parcial del motivo primero en el sentido de que la tipificación como delito de prevaricación administrativa de los actos de aprobación y elevación de los proyectos y anteproyectos de leyes de presupuestos vulneran la legalidad penal (art. 25.1 CE); y (ii) la desestimación de los restantes motivos de amparo alegados por el demandante.</w:t>
      </w:r>
    </w:p>
    <w:p w14:paraId="4E83F6E0" w14:textId="77777777" w:rsidR="003754FE" w:rsidRDefault="003754FE" w:rsidP="003754FE">
      <w:pPr>
        <w:pStyle w:val="TextoNormal"/>
      </w:pPr>
    </w:p>
    <w:p w14:paraId="19585856" w14:textId="5C184631" w:rsidR="003754FE" w:rsidRDefault="003754FE" w:rsidP="003754FE">
      <w:pPr>
        <w:pStyle w:val="TextoNormal"/>
      </w:pPr>
      <w:r>
        <w:t>Y en relación con el alcance de la estimación parcial, aun cuando el eventual otorgamiento de amparo afectaría a varias de las conductas del delito de prevaricación (art. 404 CP) por la que ha sido condenado, el Ministerio Fiscal no solicita la retroacción del procedimiento al momento de dictar sentencia dada cuenta que la pena de prisión y de inhabilitación se fijó atendiendo al delito más grave (delito de malversación del art. 432 CP) y se impuso en la cuantía mínima (en aplicación de las reglas del concurso medial del art. 76 CP).</w:t>
      </w:r>
    </w:p>
    <w:p w14:paraId="64AF318F" w14:textId="77777777" w:rsidR="003754FE" w:rsidRDefault="003754FE" w:rsidP="003754FE">
      <w:pPr>
        <w:pStyle w:val="TextoNormal"/>
      </w:pPr>
    </w:p>
    <w:p w14:paraId="050AEB35" w14:textId="0EEE0D06" w:rsidR="003754FE" w:rsidRDefault="003754FE" w:rsidP="003754FE">
      <w:pPr>
        <w:pStyle w:val="TextoNormal"/>
      </w:pPr>
      <w:r w:rsidRPr="003754FE">
        <w:rPr>
          <w:rStyle w:val="NumeroAFNegritaCaracter"/>
        </w:rPr>
        <w:t>7</w:t>
      </w:r>
      <w:r>
        <w:t>. Por providencia de 16 de julio de 2024 se señaló ese mismo día para deliberación y votación de la presente sentencia.</w:t>
      </w:r>
    </w:p>
    <w:p w14:paraId="2116D424" w14:textId="77777777" w:rsidR="003754FE" w:rsidRDefault="003754FE" w:rsidP="003754FE">
      <w:pPr>
        <w:pStyle w:val="TextoNormal"/>
      </w:pPr>
    </w:p>
    <w:p w14:paraId="164D68AA" w14:textId="77777777" w:rsidR="003754FE" w:rsidRDefault="003754FE" w:rsidP="003754FE">
      <w:pPr>
        <w:pStyle w:val="TextoNormalNegritaCentrado"/>
        <w:keepNext/>
      </w:pPr>
      <w:r>
        <w:t>II. Fundamentos jurídicos</w:t>
      </w:r>
    </w:p>
    <w:p w14:paraId="26EDE920" w14:textId="10152587" w:rsidR="003754FE" w:rsidRDefault="003754FE" w:rsidP="003754FE">
      <w:pPr>
        <w:pStyle w:val="TextoNormalNegritaCentrado"/>
        <w:keepNext/>
      </w:pPr>
    </w:p>
    <w:p w14:paraId="7AF9FF13" w14:textId="77777777" w:rsidR="003754FE" w:rsidRDefault="003754FE" w:rsidP="003754FE">
      <w:pPr>
        <w:pStyle w:val="TextoNormal"/>
      </w:pPr>
      <w:r w:rsidRPr="003754FE">
        <w:rPr>
          <w:rStyle w:val="NumeroAFNegritaCaracter"/>
        </w:rPr>
        <w:t>1</w:t>
      </w:r>
      <w:r>
        <w:t xml:space="preserve">. </w:t>
      </w:r>
      <w:r w:rsidRPr="003754FE">
        <w:rPr>
          <w:i/>
        </w:rPr>
        <w:t>Objeto del recurso, posiciones de las partes, óbices procesales y orden de análisis de las quejas</w:t>
      </w:r>
    </w:p>
    <w:p w14:paraId="29CE928E" w14:textId="77777777" w:rsidR="003754FE" w:rsidRDefault="003754FE" w:rsidP="003754FE">
      <w:pPr>
        <w:pStyle w:val="TextoNormal"/>
      </w:pPr>
    </w:p>
    <w:p w14:paraId="4907F5EB" w14:textId="77777777" w:rsidR="003754FE" w:rsidRDefault="003754FE" w:rsidP="003754FE">
      <w:pPr>
        <w:pStyle w:val="TextoNormal"/>
      </w:pPr>
      <w:r>
        <w:t xml:space="preserve">1.1. </w:t>
      </w:r>
      <w:r w:rsidRPr="003754FE">
        <w:rPr>
          <w:i/>
        </w:rPr>
        <w:t>Objeto del recurso y posiciones de las partes</w:t>
      </w:r>
    </w:p>
    <w:p w14:paraId="20203411" w14:textId="77777777" w:rsidR="003754FE" w:rsidRDefault="003754FE" w:rsidP="003754FE">
      <w:pPr>
        <w:pStyle w:val="TextoNormal"/>
      </w:pPr>
    </w:p>
    <w:p w14:paraId="3DFEC0BF" w14:textId="77777777" w:rsidR="003754FE" w:rsidRDefault="003754FE" w:rsidP="003754FE">
      <w:pPr>
        <w:pStyle w:val="TextoNormal"/>
      </w:pPr>
      <w:r>
        <w:t>El presente recurso de amparo se dirige contra las siguientes resoluciones: (i) la sentencia núm. 490/2019, de 19 de noviembre, dictada por la Sección Primera de la Audiencia Provincial de Sevilla en el rollo núm. 1965-2017, dimanante del procedimiento abreviado núm. 133-2016, que condenó al demandante de amparo como autor de un delito continuado de prevaricación administrativa del art. 404 CP, en concurso medial con un delito continuado de malversación de caudales públicos del art. 432 CP, a las penas de seis años y dos días de prisión, inhabilitación especial para el derecho de sufragio pasivo durante el tiempo de la condena e inhabilitación absoluta por un tiempo de quince años y dos días; (ii) la sentencia de la Sala de lo Penal del Tribunal Supremo núm. 749/2022, de 13 de septiembre, que desestimó el recurso de casación formulado por el demandante frente a la anterior resolución (recurso de casación núm. 601-2020); y (iii) el auto de 16 de febrero de 2023 que inadmitió el incidente de nulidad de actuaciones interpuesto frente a la citada sentencia desestimatoria.</w:t>
      </w:r>
    </w:p>
    <w:p w14:paraId="1E5D8039" w14:textId="77777777" w:rsidR="003754FE" w:rsidRDefault="003754FE" w:rsidP="003754FE">
      <w:pPr>
        <w:pStyle w:val="TextoNormal"/>
      </w:pPr>
    </w:p>
    <w:p w14:paraId="45348A5F" w14:textId="77777777" w:rsidR="003754FE" w:rsidRDefault="003754FE" w:rsidP="003754FE">
      <w:pPr>
        <w:pStyle w:val="TextoNormal"/>
      </w:pPr>
      <w:r>
        <w:t xml:space="preserve">El recurrente alega en su escrito de demanda las siguientes vulneraciones de derechos fundamentales: (i) vulneración del derecho a la legalidad penal (art. 25 CE) por considerar “resolución en asunto administrativo” (art. 404 CP) los acuerdos en los que se elevaba al </w:t>
      </w:r>
      <w:r>
        <w:lastRenderedPageBreak/>
        <w:t>Consejo de Gobierno el anteproyecto de leyes de presupuestos y los acuerdos del Consejo de Gobierno por los que se aprobaban y se remitían al Parlamento aquellos, así como la elevación de las propuestas de modificaciones presupuestarias; (ii) vulneración del derecho a la legalidad penal (art. 25 CE) por subsunción irrazonable de los hechos probados en el delito de malversación (art. 432 CP) y, alternativamente, vulneración de los derechos de defensa y presunción de inocencia (art. 24.2 CE) en la afirmación fáctica de que todas las ayudas fueron desviadas. En el seno de este motivo se alega también vulneración del derecho a un proceso con todas las garantías (art. 24.2 CE) por la motivación de la culpabilidad efectuada en la sentencia de segunda instancia; (iii) vulneración del derecho a la legalidad penal (art. 25.1 CE) por subsunción irrazonable de los hechos probados en el art. 432 CP en cuanto a la concurrencia de dolo; (iv) vulneración del derecho a la presunción de inocencia (art. 24.2 CE) por la afirmación en el relato fáctico de que el demandante conocía la alta probabilidad de que las ayudas iban a ser malversadas; y (v) vulneración del derecho a la presunción de inocencia (art. 24.2 CE) por la comunicación pública del fallo, sin motivar, mediante la providencia de 26 de julio de 2022 de la Sala de lo Penal del Tribunl Supremo. Dicho motivo lo engarza el recurrente a las consiguientes lesiones del derecho al honor (art. 18.1 CE), a un proceso con todas las garantías (art. 24.2 CE) y a la tutela judicial efectiva (art. 24.1 CE).</w:t>
      </w:r>
    </w:p>
    <w:p w14:paraId="0E38334E" w14:textId="77777777" w:rsidR="003754FE" w:rsidRDefault="003754FE" w:rsidP="003754FE">
      <w:pPr>
        <w:pStyle w:val="TextoNormal"/>
      </w:pPr>
    </w:p>
    <w:p w14:paraId="415515AE" w14:textId="77777777" w:rsidR="003754FE" w:rsidRDefault="003754FE" w:rsidP="003754FE">
      <w:pPr>
        <w:pStyle w:val="TextoNormal"/>
      </w:pPr>
      <w:r>
        <w:t>Con base en las alegaciones que se han expuesto en los antecedentes, la representación procesal del Partido Popular ha interesado la desestimación íntegra del amparo. No obstante, en relación con la queja referida a la vulneración del principio de legalidad penal (art. 25.1 CE) por indebida subsunción de los hechos declarados probados en el art. 404 CP, aduce que incurre en el óbice procesal de falta de invocación (art. 44 LOTC), al no encontrarse mención del principio de legalidad penal desde esta perspectiva en los sucesivos recursos previos planteados.</w:t>
      </w:r>
    </w:p>
    <w:p w14:paraId="086FC639" w14:textId="77777777" w:rsidR="003754FE" w:rsidRDefault="003754FE" w:rsidP="003754FE">
      <w:pPr>
        <w:pStyle w:val="TextoNormal"/>
      </w:pPr>
    </w:p>
    <w:p w14:paraId="785C93A7" w14:textId="77777777" w:rsidR="003754FE" w:rsidRDefault="003754FE" w:rsidP="003754FE">
      <w:pPr>
        <w:pStyle w:val="TextoNormal"/>
      </w:pPr>
      <w:r>
        <w:t>Las representaciones procesales de don Gaspar Zarrías Arévalo, don Francisco Vallejo Serrano, don Jesús María Rodríguez Román, don Antonio Vicente Lozano y doña Carmen Martínez Aguayo, personados en este procedimiento, han solicitado la estimación del recurso de amparo.</w:t>
      </w:r>
    </w:p>
    <w:p w14:paraId="225B1E4C" w14:textId="77777777" w:rsidR="003754FE" w:rsidRDefault="003754FE" w:rsidP="003754FE">
      <w:pPr>
        <w:pStyle w:val="TextoNormal"/>
      </w:pPr>
    </w:p>
    <w:p w14:paraId="7BFBABCF" w14:textId="77777777" w:rsidR="003754FE" w:rsidRDefault="003754FE" w:rsidP="003754FE">
      <w:pPr>
        <w:pStyle w:val="TextoNormal"/>
      </w:pPr>
      <w:r>
        <w:t>Por su parte, el Ministerio Fiscal solicita: (i) la estimación del recurso de amparo en los motivos relativos a la vulneración del derecho a la legalidad penal (art. 25.1 CE) por indebida subsunción en el delito de prevaricación (art. 404 CP) de los hechos consistentes en la elaboración y aprobación de los anteproyectos y proyectos de leyes; (ii) la desestimación del motivo relativo a la vulneración del derecho a la legalidad penal (art. 25.1 CE) por indebida subsunción en el delito de prevaricación (art. 404 CP) de los hechos consistentes en la tramitación y aprobación de las modificaciones presupuestarias; y (iii) la desestimación de los restantes motivos de amparo alegados por el demandante.</w:t>
      </w:r>
    </w:p>
    <w:p w14:paraId="3A29BDC6" w14:textId="77777777" w:rsidR="003754FE" w:rsidRDefault="003754FE" w:rsidP="003754FE">
      <w:pPr>
        <w:pStyle w:val="TextoNormal"/>
      </w:pPr>
    </w:p>
    <w:p w14:paraId="47167F4C" w14:textId="77777777" w:rsidR="003754FE" w:rsidRDefault="003754FE" w:rsidP="003754FE">
      <w:pPr>
        <w:pStyle w:val="TextoNormal"/>
      </w:pPr>
      <w:r>
        <w:t xml:space="preserve">1.2. </w:t>
      </w:r>
      <w:r w:rsidRPr="003754FE">
        <w:rPr>
          <w:i/>
        </w:rPr>
        <w:t>Óbice procesal. La falta de invocación del derecho a la legalidad penal (art. 25.1 CE)</w:t>
      </w:r>
    </w:p>
    <w:p w14:paraId="3AE25C61" w14:textId="77777777" w:rsidR="003754FE" w:rsidRDefault="003754FE" w:rsidP="003754FE">
      <w:pPr>
        <w:pStyle w:val="TextoNormal"/>
      </w:pPr>
    </w:p>
    <w:p w14:paraId="509A0354" w14:textId="77777777" w:rsidR="003754FE" w:rsidRDefault="003754FE" w:rsidP="003754FE">
      <w:pPr>
        <w:pStyle w:val="TextoNormal"/>
      </w:pPr>
      <w:r>
        <w:t xml:space="preserve">Como se ha indicado, el Partido Popular alega que la queja por la que se aduce la vulneración del derecho a la legalidad penal (art. 25.1 CE) incurre en la causa de inadmisibilidad que prevé el art. 44.1 c) LOTC, al haberse limitado a aducir como cuarto motivo casacional la infracción de precepto constitucional al amparo de lo establecido en el art. 852 LECrim </w:t>
      </w:r>
      <w:r>
        <w:lastRenderedPageBreak/>
        <w:t>y 5.4 LOPJ “en relación con el principio de legalidad procesal (arts. 9 y 25 CE)”. Entiende esta parte procesal que la invocación del principio de legalidad que se efectúa ante el Tribunal Supremo no es la que se plantea en este recurso de amparo y por ello considera que no cumple la exigencia de la previa invocación que establece el citado art. 44.1 c) LOTC.</w:t>
      </w:r>
    </w:p>
    <w:p w14:paraId="747D3B55" w14:textId="77777777" w:rsidR="003754FE" w:rsidRDefault="003754FE" w:rsidP="003754FE">
      <w:pPr>
        <w:pStyle w:val="TextoNormal"/>
      </w:pPr>
    </w:p>
    <w:p w14:paraId="6CEDAF4A" w14:textId="77777777" w:rsidR="003754FE" w:rsidRDefault="003754FE" w:rsidP="003754FE">
      <w:pPr>
        <w:pStyle w:val="TextoNormal"/>
      </w:pPr>
      <w:r>
        <w:t xml:space="preserve">Ciertamente, la argumentación del recurso de casación no es igual que la expuesta en el recurso de amparo. Ahora bien, ha de tenerse en cuenta que la jurisprudencia constitucional no exige tal coincidencia (STC 41/2012, de 29 de marzo, FJ 4). El Tribunal, desde siempre, ha interpretado este requisito de forma flexible, rechazando una interpretación excesivamente rigorista (entre otras muchas, STC 132/2006, de 27 de abril, FJ 6). Por ello, ha declarado que el requisito que establece el art. 44.1 c) LOTC no supone necesaria e inexcusablemente la cita concreta y numérica del precepto de la Constitución en el que se reconoce el derecho supuestamente vulnerado, ni tampoco la mención de su </w:t>
      </w:r>
      <w:r w:rsidRPr="003754FE">
        <w:rPr>
          <w:i/>
        </w:rPr>
        <w:t>nomen iuris</w:t>
      </w:r>
      <w:r>
        <w:t>. Como ha señalado, la citada STC 41/2012, FJ 4, “lo decisivo es que a través de las alegaciones que se formulen en la vía judicial (STC 162/1990, de 22 de octubre, FJ 2), de los términos en que se ha planteado el debate procesal (STC 145/1993, de 26 de abril, FJ 2), o de la descripción fáctica o histórica o de los datos o circunstancias de hecho de la violación del derecho fundamental o del agravio del mismo (STC 105/1992, de 1 de julio, FJ 2) se permita a los órganos judiciales su conocimiento en orden a que, de un lado, puedan argumentar y pronunciarse sobre la cuestión, y, de otro, reparen, en su caso, la vulneración aducida. En definitiva, se ha de poner en conocimiento del órgano judicial el ‘hecho fundamentador de la vulneración’ (STC 29/2004, de 4 de marzo, FJ 3), de modo que la pretensión deducida en amparo no tenga un contenido distinto a la que se hizo valer ante los órganos judiciales y evitar así que el recurso de amparo se convierta en un remedio alternativo e independiente de protección de los derechos fundamentales (STC 201/2000, de 24 de julio, FJ 3, por todas)”.</w:t>
      </w:r>
    </w:p>
    <w:p w14:paraId="1798E4EA" w14:textId="77777777" w:rsidR="003754FE" w:rsidRDefault="003754FE" w:rsidP="003754FE">
      <w:pPr>
        <w:pStyle w:val="TextoNormal"/>
      </w:pPr>
    </w:p>
    <w:p w14:paraId="0034E95A" w14:textId="77777777" w:rsidR="003754FE" w:rsidRDefault="003754FE" w:rsidP="003754FE">
      <w:pPr>
        <w:pStyle w:val="TextoNormal"/>
      </w:pPr>
      <w:r>
        <w:t>En el presente caso se cumplen estas exigencias. La lesión del art. 25.1 CE que ahora se aduce en amparo se encuentra formulada en el recurso de casación en unos términos que, si bien no son iguales a los ahora alegados, ponen de manifiesto que lo que el recurrente, en los motivos casacionales, reprocha a la sentencia de la Audiencia Provincial es, entre otras cosas, haber considerado constitutivo del delito de prevaricación actuaciones como son la elaboración del anteproyecto de la ley de presupuestos y la tramitación de modificaciones presupuestarias, que no pueden considerarse como una “resolución” recaída en “asunto administrativo”, al entender que esa interpretación desborda las previsiones del tipo legal de este delito. Este planteamiento es suficiente para que el Tribunal Supremo pueda examinar si la Audiencia Provincial ha efectuado una aplicación de los elementos típicos del delito de prevaricación (art. 404 CP) acorde con las exigencias del principio de legalidad penal que consagra el art. 25.1 CE.</w:t>
      </w:r>
    </w:p>
    <w:p w14:paraId="66B7111F" w14:textId="77777777" w:rsidR="003754FE" w:rsidRDefault="003754FE" w:rsidP="003754FE">
      <w:pPr>
        <w:pStyle w:val="TextoNormal"/>
      </w:pPr>
    </w:p>
    <w:p w14:paraId="09C7A67B" w14:textId="77777777" w:rsidR="003754FE" w:rsidRDefault="003754FE" w:rsidP="003754FE">
      <w:pPr>
        <w:pStyle w:val="TextoNormal"/>
      </w:pPr>
      <w:r>
        <w:t>Por todo ello, la causa de inadmisibilidad alegada por el Partido Popular ha de ser desestimada.</w:t>
      </w:r>
    </w:p>
    <w:p w14:paraId="04DCC29E" w14:textId="77777777" w:rsidR="003754FE" w:rsidRDefault="003754FE" w:rsidP="003754FE">
      <w:pPr>
        <w:pStyle w:val="TextoNormal"/>
      </w:pPr>
    </w:p>
    <w:p w14:paraId="68EB8CC5" w14:textId="77777777" w:rsidR="003754FE" w:rsidRDefault="003754FE" w:rsidP="003754FE">
      <w:pPr>
        <w:pStyle w:val="TextoNormal"/>
      </w:pPr>
      <w:r>
        <w:t xml:space="preserve">1.3. </w:t>
      </w:r>
      <w:r w:rsidRPr="003754FE">
        <w:rPr>
          <w:i/>
        </w:rPr>
        <w:t>Orden de análisis de las quejas</w:t>
      </w:r>
    </w:p>
    <w:p w14:paraId="7F8E8EF3" w14:textId="77777777" w:rsidR="003754FE" w:rsidRDefault="003754FE" w:rsidP="003754FE">
      <w:pPr>
        <w:pStyle w:val="TextoNormal"/>
      </w:pPr>
    </w:p>
    <w:p w14:paraId="4AB4704C" w14:textId="724C3558" w:rsidR="003754FE" w:rsidRDefault="003754FE" w:rsidP="003754FE">
      <w:pPr>
        <w:pStyle w:val="TextoNormal"/>
      </w:pPr>
      <w:r>
        <w:t xml:space="preserve">Se considera procedente, por razones sistemáticas, exponer el orden en el que se van a analizar las vulneraciones alegadas. En primer lugar, se va a examinar la queja relativa a la vulneración del derecho a la legalidad penal (art. 25.1 CE) por una indebida subsunción de </w:t>
      </w:r>
      <w:r>
        <w:lastRenderedPageBreak/>
        <w:t>los hechos declarados probados en el delito de prevaricación art. 404 CP —motivos primero, segundo y tercero del recurso de amparo—. En segundo lugar, se estudiará si concurre la vulneración del derecho a la legalidad penal (art. 25.1 CE) por haber efectuado los órganos judiciales una subsunción irrazonable de los hechos probados en el delito de malversación (art. 432 CP). A continuación se enjuiciará la queja por la que se aduce la vulneración del derecho a la presunción de inocencia (art. 24.2 CE) por haber afirmado las resoluciones impugnadas que el demandante conocía la alta probabilidad de que las ayudas pudieran ser malversadas y, por último, si la comunicación pública del fallo sin haber expuesto todavía la motivación de la sentencia es contraria de los derechos al honor (art. 18.1 CE), a un proceso con todas las garantías, a la presunción de inocencia (art. 24.2 CE) y a la tutela judicial efectiva (art. 24.1 CE).</w:t>
      </w:r>
    </w:p>
    <w:p w14:paraId="6288187C" w14:textId="77777777" w:rsidR="003754FE" w:rsidRDefault="003754FE" w:rsidP="003754FE">
      <w:pPr>
        <w:pStyle w:val="TextoNormal"/>
      </w:pPr>
    </w:p>
    <w:p w14:paraId="1AC0A3E6" w14:textId="77777777" w:rsidR="003754FE" w:rsidRDefault="003754FE" w:rsidP="003754FE">
      <w:pPr>
        <w:pStyle w:val="TextoNormal"/>
      </w:pPr>
      <w:r w:rsidRPr="003754FE">
        <w:rPr>
          <w:rStyle w:val="NumeroAFNegritaCaracter"/>
        </w:rPr>
        <w:t>2</w:t>
      </w:r>
      <w:r>
        <w:t xml:space="preserve">. </w:t>
      </w:r>
      <w:r w:rsidRPr="003754FE">
        <w:rPr>
          <w:i/>
        </w:rPr>
        <w:t>Breve delimitación fáctica y jurídica del proceso “ERE” y de la condena del demandante de amparo</w:t>
      </w:r>
    </w:p>
    <w:p w14:paraId="545D053B" w14:textId="77777777" w:rsidR="003754FE" w:rsidRDefault="003754FE" w:rsidP="003754FE">
      <w:pPr>
        <w:pStyle w:val="TextoNormal"/>
      </w:pPr>
    </w:p>
    <w:p w14:paraId="0FEC9C24" w14:textId="77777777" w:rsidR="003754FE" w:rsidRDefault="003754FE" w:rsidP="003754FE">
      <w:pPr>
        <w:pStyle w:val="TextoNormal"/>
      </w:pPr>
      <w:r>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w:t>
      </w:r>
      <w:r w:rsidRPr="003754FE">
        <w:rPr>
          <w:i/>
        </w:rPr>
        <w:t>a quo</w:t>
      </w:r>
      <w:r>
        <w:t xml:space="preserve">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del demandante de amparo.</w:t>
      </w:r>
    </w:p>
    <w:p w14:paraId="3761E8CA" w14:textId="77777777" w:rsidR="003754FE" w:rsidRDefault="003754FE" w:rsidP="003754FE">
      <w:pPr>
        <w:pStyle w:val="TextoNormal"/>
      </w:pPr>
    </w:p>
    <w:p w14:paraId="3AC0728F" w14:textId="77777777" w:rsidR="003754FE" w:rsidRDefault="003754FE" w:rsidP="003754FE">
      <w:pPr>
        <w:pStyle w:val="TextoNormal"/>
      </w:pPr>
      <w:r>
        <w:t xml:space="preserve">2.1. </w:t>
      </w:r>
      <w:r w:rsidRPr="003754FE">
        <w:rPr>
          <w:i/>
        </w:rPr>
        <w:t>Sucinta exposición general de los hechos del proceso “ERE”</w:t>
      </w:r>
    </w:p>
    <w:p w14:paraId="4D9AE484" w14:textId="77777777" w:rsidR="003754FE" w:rsidRDefault="003754FE" w:rsidP="003754FE">
      <w:pPr>
        <w:pStyle w:val="TextoNormal"/>
      </w:pPr>
    </w:p>
    <w:p w14:paraId="78111E33" w14:textId="77777777" w:rsidR="003754FE" w:rsidRDefault="003754FE" w:rsidP="003754FE">
      <w:pPr>
        <w:pStyle w:val="TextoNormal"/>
      </w:pPr>
      <w:r>
        <w:t>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14:paraId="4CF8B548" w14:textId="77777777" w:rsidR="003754FE" w:rsidRDefault="003754FE" w:rsidP="003754FE">
      <w:pPr>
        <w:pStyle w:val="TextoNormal"/>
      </w:pPr>
    </w:p>
    <w:p w14:paraId="1A814B7E" w14:textId="77777777" w:rsidR="003754FE" w:rsidRDefault="003754FE" w:rsidP="003754FE">
      <w:pPr>
        <w:pStyle w:val="TextoNormal"/>
      </w:pPr>
      <w:r>
        <w:t xml:space="preserve">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w:t>
      </w:r>
      <w:r>
        <w:lastRenderedPageBreak/>
        <w:t>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14:paraId="5EBE6ADA" w14:textId="77777777" w:rsidR="003754FE" w:rsidRDefault="003754FE" w:rsidP="003754FE">
      <w:pPr>
        <w:pStyle w:val="TextoNormal"/>
      </w:pPr>
    </w:p>
    <w:p w14:paraId="7F8AA0A1" w14:textId="77777777" w:rsidR="003754FE" w:rsidRDefault="003754FE" w:rsidP="003754FE">
      <w:pPr>
        <w:pStyle w:val="TextoNormal"/>
      </w:pPr>
      <w:r>
        <w:t>En la tramitación de sendos expedientes sobre estas ayudas, el interventor delegado de la Consejería de Empleo y Desarrollo Tecnológico formuló reparos en el informe de fiscalización, que, si bien no llegaron a impedir su concesión, la dificultaron y retrasaron.</w:t>
      </w:r>
    </w:p>
    <w:p w14:paraId="56BA73B4" w14:textId="77777777" w:rsidR="003754FE" w:rsidRDefault="003754FE" w:rsidP="003754FE">
      <w:pPr>
        <w:pStyle w:val="TextoNormal"/>
      </w:pPr>
    </w:p>
    <w:p w14:paraId="34C6658A" w14:textId="77777777" w:rsidR="003754FE" w:rsidRDefault="003754FE" w:rsidP="003754FE">
      <w:pPr>
        <w:pStyle w:val="TextoNormal"/>
      </w:pPr>
      <w:r>
        <w:t>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14:paraId="31A13293" w14:textId="77777777" w:rsidR="003754FE" w:rsidRDefault="003754FE" w:rsidP="003754FE">
      <w:pPr>
        <w:pStyle w:val="TextoNormal"/>
      </w:pPr>
    </w:p>
    <w:p w14:paraId="50100B5E" w14:textId="77777777" w:rsidR="003754FE" w:rsidRDefault="003754FE" w:rsidP="003754FE">
      <w:pPr>
        <w:pStyle w:val="TextoNormal"/>
      </w:pPr>
      <w:r>
        <w:t>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14:paraId="60AE093B" w14:textId="77777777" w:rsidR="003754FE" w:rsidRDefault="003754FE" w:rsidP="003754FE">
      <w:pPr>
        <w:pStyle w:val="TextoNormal"/>
      </w:pPr>
    </w:p>
    <w:p w14:paraId="04E31F26" w14:textId="77777777" w:rsidR="003754FE" w:rsidRDefault="003754FE" w:rsidP="003754FE">
      <w:pPr>
        <w:pStyle w:val="TextoNormal"/>
      </w:pPr>
      <w:r>
        <w:t>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14:paraId="4F039A76" w14:textId="77777777" w:rsidR="003754FE" w:rsidRDefault="003754FE" w:rsidP="003754FE">
      <w:pPr>
        <w:pStyle w:val="TextoNormal"/>
      </w:pPr>
    </w:p>
    <w:p w14:paraId="2828D04B" w14:textId="77777777" w:rsidR="003754FE" w:rsidRDefault="003754FE" w:rsidP="003754FE">
      <w:pPr>
        <w:pStyle w:val="TextoNormal"/>
      </w:pPr>
      <w:r>
        <w:t xml:space="preserve">Hasta el mes de julio del año 2001, los fondos recibidos por el IFA fueron entregados a los destinatarios de las ayudas mediante la suscripción de convenios particulares entre la Consejería de Empleo y Desarrollo Tecnológico y el IFA. El 17 de julio de 2001, el </w:t>
      </w:r>
      <w:r>
        <w:lastRenderedPageBreak/>
        <w:t>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Seguridad Social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14:paraId="5FDB8867" w14:textId="77777777" w:rsidR="003754FE" w:rsidRDefault="003754FE" w:rsidP="003754FE">
      <w:pPr>
        <w:pStyle w:val="TextoNormal"/>
      </w:pPr>
    </w:p>
    <w:p w14:paraId="205A5243" w14:textId="77777777" w:rsidR="003754FE" w:rsidRDefault="003754FE" w:rsidP="003754FE">
      <w:pPr>
        <w:pStyle w:val="TextoNormal"/>
      </w:pPr>
      <w:r>
        <w:t>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14:paraId="189A86F4" w14:textId="77777777" w:rsidR="003754FE" w:rsidRDefault="003754FE" w:rsidP="003754FE">
      <w:pPr>
        <w:pStyle w:val="TextoNormal"/>
      </w:pPr>
    </w:p>
    <w:p w14:paraId="3A25D807" w14:textId="77777777" w:rsidR="003754FE" w:rsidRDefault="003754FE" w:rsidP="003754FE">
      <w:pPr>
        <w:pStyle w:val="TextoNormal"/>
      </w:pPr>
      <w:r>
        <w:t>Tras la firma del convenio carco,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14:paraId="40693C8A" w14:textId="77777777" w:rsidR="003754FE" w:rsidRDefault="003754FE" w:rsidP="003754FE">
      <w:pPr>
        <w:pStyle w:val="TextoNormal"/>
      </w:pPr>
    </w:p>
    <w:p w14:paraId="3ECAEC61" w14:textId="77777777" w:rsidR="003754FE" w:rsidRDefault="003754FE" w:rsidP="003754FE">
      <w:pPr>
        <w:pStyle w:val="TextoNormal"/>
      </w:pPr>
      <w:r>
        <w:t>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paso a denominarse Agencia de Innovación y Desarrollo de Andalucía (IDEA), adscrita a la Consejería de Innovación, Ciencia y Empresa— se destinaban a pagar lo ordenado por la Consejería conforme a lo previsto en el convenio marco.</w:t>
      </w:r>
    </w:p>
    <w:p w14:paraId="33AEF1AF" w14:textId="77777777" w:rsidR="003754FE" w:rsidRDefault="003754FE" w:rsidP="003754FE">
      <w:pPr>
        <w:pStyle w:val="TextoNormal"/>
      </w:pPr>
    </w:p>
    <w:p w14:paraId="0FC24E0B" w14:textId="77777777" w:rsidR="003754FE" w:rsidRDefault="003754FE" w:rsidP="003754FE">
      <w:pPr>
        <w:pStyle w:val="TextoNormal"/>
      </w:pPr>
      <w:r>
        <w:t>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 a 196):</w:t>
      </w:r>
    </w:p>
    <w:p w14:paraId="156B89BC" w14:textId="77777777" w:rsidR="003754FE" w:rsidRDefault="003754FE" w:rsidP="003754FE">
      <w:pPr>
        <w:pStyle w:val="TextoNormal"/>
      </w:pPr>
    </w:p>
    <w:p w14:paraId="6DC10EA0" w14:textId="77777777" w:rsidR="003754FE" w:rsidRDefault="003754FE" w:rsidP="003754FE">
      <w:pPr>
        <w:pStyle w:val="TextoNormal"/>
      </w:pPr>
      <w:r>
        <w:lastRenderedPageBreak/>
        <w:t>“9. Conclusiones del análisis de la documentación anexa al proyecto de presupuesto anual de la Junta de Andalucía:</w:t>
      </w:r>
    </w:p>
    <w:p w14:paraId="17DC574E" w14:textId="77777777" w:rsidR="003754FE" w:rsidRDefault="003754FE" w:rsidP="003754FE">
      <w:pPr>
        <w:pStyle w:val="TextoNormal"/>
      </w:pPr>
    </w:p>
    <w:p w14:paraId="62AD6677" w14:textId="77777777" w:rsidR="003754FE" w:rsidRDefault="003754FE" w:rsidP="003754FE">
      <w:pPr>
        <w:pStyle w:val="TextoNormal"/>
      </w:pPr>
      <w:r>
        <w:t>A) La descripción de los objetivos y actividades contenidos en las fichas del programa 31L, son, como hemos visto, del siguiente tenor:</w:t>
      </w:r>
    </w:p>
    <w:p w14:paraId="1F84C077" w14:textId="77777777" w:rsidR="003754FE" w:rsidRDefault="003754FE" w:rsidP="003754FE">
      <w:pPr>
        <w:pStyle w:val="TextoNormal"/>
      </w:pPr>
    </w:p>
    <w:p w14:paraId="0321631D" w14:textId="77777777" w:rsidR="003754FE" w:rsidRDefault="003754FE" w:rsidP="003754FE">
      <w:pPr>
        <w:pStyle w:val="TextoNormal"/>
      </w:pPr>
      <w:r>
        <w:t>• ‘Transferencias al IFA’.</w:t>
      </w:r>
    </w:p>
    <w:p w14:paraId="6F96A44C" w14:textId="77777777" w:rsidR="003754FE" w:rsidRDefault="003754FE" w:rsidP="003754FE">
      <w:pPr>
        <w:pStyle w:val="TextoNormal"/>
      </w:pPr>
    </w:p>
    <w:p w14:paraId="403A6DB9" w14:textId="77777777" w:rsidR="003754FE" w:rsidRDefault="003754FE" w:rsidP="003754FE">
      <w:pPr>
        <w:pStyle w:val="TextoNormal"/>
      </w:pPr>
      <w:r>
        <w:t>• ‘Transferencias al AIDA’.</w:t>
      </w:r>
    </w:p>
    <w:p w14:paraId="6266C073" w14:textId="77777777" w:rsidR="003754FE" w:rsidRDefault="003754FE" w:rsidP="003754FE">
      <w:pPr>
        <w:pStyle w:val="TextoNormal"/>
      </w:pPr>
    </w:p>
    <w:p w14:paraId="165DD6E9" w14:textId="77777777" w:rsidR="003754FE" w:rsidRDefault="003754FE" w:rsidP="003754FE">
      <w:pPr>
        <w:pStyle w:val="TextoNormal"/>
      </w:pPr>
      <w:r>
        <w:t>• ‘Mantenimiento empleo y tejido productivo andaluz’.</w:t>
      </w:r>
    </w:p>
    <w:p w14:paraId="11345821" w14:textId="77777777" w:rsidR="003754FE" w:rsidRDefault="003754FE" w:rsidP="003754FE">
      <w:pPr>
        <w:pStyle w:val="TextoNormal"/>
      </w:pPr>
    </w:p>
    <w:p w14:paraId="6091F352" w14:textId="77777777" w:rsidR="003754FE" w:rsidRDefault="003754FE" w:rsidP="003754FE">
      <w:pPr>
        <w:pStyle w:val="TextoNormal"/>
      </w:pPr>
      <w:r>
        <w:t>• ‘Gestión de subvenciones’.</w:t>
      </w:r>
    </w:p>
    <w:p w14:paraId="0FE483BD" w14:textId="77777777" w:rsidR="003754FE" w:rsidRDefault="003754FE" w:rsidP="003754FE">
      <w:pPr>
        <w:pStyle w:val="TextoNormal"/>
      </w:pPr>
    </w:p>
    <w:p w14:paraId="7DFBE27E" w14:textId="77777777" w:rsidR="003754FE" w:rsidRDefault="003754FE" w:rsidP="003754FE">
      <w:pPr>
        <w:pStyle w:val="TextoNormal"/>
      </w:pPr>
      <w:r>
        <w:t>• ‘Ayudas prejubilaciones y expedientes de regulación de empleo’.</w:t>
      </w:r>
    </w:p>
    <w:p w14:paraId="2FA61953" w14:textId="77777777" w:rsidR="003754FE" w:rsidRDefault="003754FE" w:rsidP="003754FE">
      <w:pPr>
        <w:pStyle w:val="TextoNormal"/>
      </w:pPr>
    </w:p>
    <w:p w14:paraId="63A438A0" w14:textId="77777777" w:rsidR="003754FE" w:rsidRDefault="003754FE" w:rsidP="003754FE">
      <w:pPr>
        <w:pStyle w:val="TextoNormal"/>
      </w:pPr>
      <w:r>
        <w:t>• ‘Suscripción de convenio’.</w:t>
      </w:r>
    </w:p>
    <w:p w14:paraId="35091C68" w14:textId="77777777" w:rsidR="003754FE" w:rsidRDefault="003754FE" w:rsidP="003754FE">
      <w:pPr>
        <w:pStyle w:val="TextoNormal"/>
      </w:pPr>
    </w:p>
    <w:p w14:paraId="5B41DB20" w14:textId="77777777" w:rsidR="003754FE" w:rsidRDefault="003754FE" w:rsidP="003754FE">
      <w:pPr>
        <w:pStyle w:val="TextoNormal"/>
      </w:pPr>
      <w:r>
        <w:t>B) Por lo que se refiere a las memorias de los informes económico financieros, en la descripción de las actividades y objetivos contenidos en las mismas, son, como hemos visto igualmente, del siguiente tenor:</w:t>
      </w:r>
    </w:p>
    <w:p w14:paraId="39D1063F" w14:textId="77777777" w:rsidR="003754FE" w:rsidRDefault="003754FE" w:rsidP="003754FE">
      <w:pPr>
        <w:pStyle w:val="TextoNormal"/>
      </w:pPr>
    </w:p>
    <w:p w14:paraId="727B8139" w14:textId="77777777" w:rsidR="003754FE" w:rsidRDefault="003754FE" w:rsidP="003754FE">
      <w:pPr>
        <w:pStyle w:val="TextoNormal"/>
      </w:pPr>
      <w:r>
        <w:t>• Potenciar la interlocución con los agentes sociales y económicos.</w:t>
      </w:r>
    </w:p>
    <w:p w14:paraId="70D753E0" w14:textId="77777777" w:rsidR="003754FE" w:rsidRDefault="003754FE" w:rsidP="003754FE">
      <w:pPr>
        <w:pStyle w:val="TextoNormal"/>
      </w:pPr>
    </w:p>
    <w:p w14:paraId="09B18BEF" w14:textId="77777777" w:rsidR="003754FE" w:rsidRDefault="003754FE" w:rsidP="003754FE">
      <w:pPr>
        <w:pStyle w:val="TextoNormal"/>
      </w:pPr>
      <w:r>
        <w:t>• Mantener las políticas de ayudas a prejubilaciones en empresas con dificultades.</w:t>
      </w:r>
    </w:p>
    <w:p w14:paraId="14E52C2E" w14:textId="77777777" w:rsidR="003754FE" w:rsidRDefault="003754FE" w:rsidP="003754FE">
      <w:pPr>
        <w:pStyle w:val="TextoNormal"/>
      </w:pPr>
    </w:p>
    <w:p w14:paraId="61270C02" w14:textId="77777777" w:rsidR="003754FE" w:rsidRDefault="003754FE" w:rsidP="003754FE">
      <w:pPr>
        <w:pStyle w:val="TextoNormal"/>
      </w:pPr>
      <w:r>
        <w:t>•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7692727C" w14:textId="77777777" w:rsidR="003754FE" w:rsidRDefault="003754FE" w:rsidP="003754FE">
      <w:pPr>
        <w:pStyle w:val="TextoNormal"/>
      </w:pPr>
    </w:p>
    <w:p w14:paraId="6A51B1E4" w14:textId="77777777" w:rsidR="003754FE" w:rsidRDefault="003754FE" w:rsidP="003754FE">
      <w:pPr>
        <w:pStyle w:val="TextoNormal"/>
      </w:pPr>
      <w:r>
        <w:t>• Así mismo y en una cuantía importante instrumenta la materialización de ayudas a empresas con especiales dificultades de mantenimiento del empleo, prejubilaciones y viabilidad económica.</w:t>
      </w:r>
    </w:p>
    <w:p w14:paraId="4FB7D261" w14:textId="77777777" w:rsidR="003754FE" w:rsidRDefault="003754FE" w:rsidP="003754FE">
      <w:pPr>
        <w:pStyle w:val="TextoNormal"/>
      </w:pPr>
    </w:p>
    <w:p w14:paraId="03AE3B69" w14:textId="77777777" w:rsidR="003754FE" w:rsidRDefault="003754FE" w:rsidP="003754FE">
      <w:pPr>
        <w:pStyle w:val="TextoNormal"/>
      </w:pPr>
      <w:r>
        <w:t>•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379BE7F1" w14:textId="77777777" w:rsidR="003754FE" w:rsidRDefault="003754FE" w:rsidP="003754FE">
      <w:pPr>
        <w:pStyle w:val="TextoNormal"/>
      </w:pPr>
    </w:p>
    <w:p w14:paraId="076BBE8C" w14:textId="77777777" w:rsidR="003754FE" w:rsidRDefault="003754FE" w:rsidP="003754FE">
      <w:pPr>
        <w:pStyle w:val="TextoNormal"/>
      </w:pPr>
      <w:r>
        <w:t>•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14:paraId="18DCA3D6" w14:textId="77777777" w:rsidR="003754FE" w:rsidRDefault="003754FE" w:rsidP="003754FE">
      <w:pPr>
        <w:pStyle w:val="TextoNormal"/>
      </w:pPr>
    </w:p>
    <w:p w14:paraId="3468440E" w14:textId="77777777" w:rsidR="003754FE" w:rsidRDefault="003754FE" w:rsidP="003754FE">
      <w:pPr>
        <w:pStyle w:val="TextoNormal"/>
      </w:pPr>
      <w:r>
        <w:lastRenderedPageBreak/>
        <w:t>• Esta dirección general instrumenta la materialización de las ayudas a través de un convenio con el IFA y de su dotación anual específica de contribución a pólizas de prejubilaciones.</w:t>
      </w:r>
    </w:p>
    <w:p w14:paraId="041FDDD3" w14:textId="77777777" w:rsidR="003754FE" w:rsidRDefault="003754FE" w:rsidP="003754FE">
      <w:pPr>
        <w:pStyle w:val="TextoNormal"/>
      </w:pPr>
    </w:p>
    <w:p w14:paraId="34CA0F8F" w14:textId="77777777" w:rsidR="003754FE" w:rsidRDefault="003754FE" w:rsidP="003754FE">
      <w:pPr>
        <w:pStyle w:val="TextoNormal"/>
      </w:pPr>
      <w:r>
        <w:t>• El centro directivo que lo ejecuta es la Dirección General de Trabajo y Seguridad Social.</w:t>
      </w:r>
    </w:p>
    <w:p w14:paraId="5A7D901C" w14:textId="77777777" w:rsidR="003754FE" w:rsidRDefault="003754FE" w:rsidP="003754FE">
      <w:pPr>
        <w:pStyle w:val="TextoNormal"/>
      </w:pPr>
    </w:p>
    <w:p w14:paraId="02C9022E" w14:textId="77777777" w:rsidR="003754FE" w:rsidRDefault="003754FE" w:rsidP="003754FE">
      <w:pPr>
        <w:pStyle w:val="TextoNormal"/>
      </w:pPr>
      <w:r>
        <w:t>• La previsión es para atender compromisos existentes y no se prevén fondos para nuevas, en su caso, contingencias.</w:t>
      </w:r>
    </w:p>
    <w:p w14:paraId="6D2BB753" w14:textId="77777777" w:rsidR="003754FE" w:rsidRDefault="003754FE" w:rsidP="003754FE">
      <w:pPr>
        <w:pStyle w:val="TextoNormal"/>
      </w:pPr>
    </w:p>
    <w:p w14:paraId="40D30EE4" w14:textId="77777777" w:rsidR="003754FE" w:rsidRDefault="003754FE" w:rsidP="003754FE">
      <w:pPr>
        <w:pStyle w:val="TextoNormal"/>
      </w:pPr>
      <w:r>
        <w:t>• Mantener las políticas de ayudas a prejubilaciones en empresas con dificultades, a través de subvenciones finalistas.</w:t>
      </w:r>
    </w:p>
    <w:p w14:paraId="1F603DFA" w14:textId="77777777" w:rsidR="003754FE" w:rsidRDefault="003754FE" w:rsidP="003754FE">
      <w:pPr>
        <w:pStyle w:val="TextoNormal"/>
      </w:pPr>
    </w:p>
    <w:p w14:paraId="4DB026CC" w14:textId="77777777" w:rsidR="003754FE" w:rsidRDefault="003754FE" w:rsidP="003754FE">
      <w:pPr>
        <w:pStyle w:val="TextoNormal"/>
      </w:pPr>
      <w:r>
        <w:t>• Realización de transferencias al Instituto de Fomento de Andalucía en aplicación de concierto de ayudas a empresas en crisis para el mantenimiento del empleo y tejido productivo andaluz.</w:t>
      </w:r>
    </w:p>
    <w:p w14:paraId="53F53143" w14:textId="77777777" w:rsidR="003754FE" w:rsidRDefault="003754FE" w:rsidP="003754FE">
      <w:pPr>
        <w:pStyle w:val="TextoNormal"/>
      </w:pPr>
    </w:p>
    <w:p w14:paraId="5BC9D6E5" w14:textId="77777777" w:rsidR="003754FE" w:rsidRDefault="003754FE" w:rsidP="003754FE">
      <w:pPr>
        <w:pStyle w:val="TextoNormal"/>
      </w:pPr>
      <w:r>
        <w:t>• Tramitación de transferencias a empresas mediante ayudas a prejubilaciones mediante subvención de la cuota de la seguridad social.</w:t>
      </w:r>
    </w:p>
    <w:p w14:paraId="3A3D72B7" w14:textId="77777777" w:rsidR="003754FE" w:rsidRDefault="003754FE" w:rsidP="003754FE">
      <w:pPr>
        <w:pStyle w:val="TextoNormal"/>
      </w:pPr>
    </w:p>
    <w:p w14:paraId="0814D9E6" w14:textId="77777777" w:rsidR="003754FE" w:rsidRDefault="003754FE" w:rsidP="003754FE">
      <w:pPr>
        <w:pStyle w:val="TextoNormal"/>
      </w:pPr>
      <w:r>
        <w:t>• El programa presupuestario 31L, lo ejecuta la Dirección General de Trabajo y Seguridad Social, centro directivo que tiene atribuida las competencias que corresponden a la Consejería en materia de relaciones laborales, […].</w:t>
      </w:r>
    </w:p>
    <w:p w14:paraId="1EB8C97F" w14:textId="77777777" w:rsidR="003754FE" w:rsidRDefault="003754FE" w:rsidP="003754FE">
      <w:pPr>
        <w:pStyle w:val="TextoNormal"/>
      </w:pPr>
    </w:p>
    <w:p w14:paraId="3DEF9535" w14:textId="77777777" w:rsidR="003754FE" w:rsidRDefault="003754FE" w:rsidP="003754FE">
      <w:pPr>
        <w:pStyle w:val="TextoNormal"/>
      </w:pPr>
      <w:r>
        <w:t>• Atender a las necesidades públicas de mantenimiento del empleo y del tejido productivo andaluz, a través de los acuerdos con la Agencia de Innovación y Desarrollo de Andalucía para la subvención y ayuda de sectores y empresas con dificultades financieras.</w:t>
      </w:r>
    </w:p>
    <w:p w14:paraId="35250329" w14:textId="77777777" w:rsidR="003754FE" w:rsidRDefault="003754FE" w:rsidP="003754FE">
      <w:pPr>
        <w:pStyle w:val="TextoNormal"/>
      </w:pPr>
    </w:p>
    <w:p w14:paraId="7CF2BE83" w14:textId="77777777" w:rsidR="003754FE" w:rsidRDefault="003754FE" w:rsidP="003754FE">
      <w:pPr>
        <w:pStyle w:val="TextoNormal"/>
      </w:pPr>
      <w:r>
        <w:t>• Esta dirección general instrumenta la materialización de las ayudas a través de un convenio con la Agencia de Innovación y Desarrollo de Andalucía y de su dotación anual específica de contribución a pólizas de prejubilaciones.</w:t>
      </w:r>
    </w:p>
    <w:p w14:paraId="61FF5A86" w14:textId="77777777" w:rsidR="003754FE" w:rsidRDefault="003754FE" w:rsidP="003754FE">
      <w:pPr>
        <w:pStyle w:val="TextoNormal"/>
      </w:pPr>
    </w:p>
    <w:p w14:paraId="715A247B" w14:textId="77777777" w:rsidR="003754FE" w:rsidRDefault="003754FE" w:rsidP="003754FE">
      <w:pPr>
        <w:pStyle w:val="TextoNormal"/>
      </w:pPr>
      <w:r>
        <w:t>• Continuar la línea de colaboración con [el] IDEA en aplicación del concierto de ayudas para el mantenimiento del empleo y tejido productivo andaluz en vigor desde el año 2001.</w:t>
      </w:r>
    </w:p>
    <w:p w14:paraId="05A1AEBD" w14:textId="77777777" w:rsidR="003754FE" w:rsidRDefault="003754FE" w:rsidP="003754FE">
      <w:pPr>
        <w:pStyle w:val="TextoNormal"/>
      </w:pPr>
    </w:p>
    <w:p w14:paraId="5B96FE9B" w14:textId="77777777" w:rsidR="003754FE" w:rsidRDefault="003754FE" w:rsidP="003754FE">
      <w:pPr>
        <w:pStyle w:val="TextoNormal"/>
      </w:pPr>
      <w:r>
        <w:t>•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14:paraId="37EE6455" w14:textId="77777777" w:rsidR="003754FE" w:rsidRDefault="003754FE" w:rsidP="003754FE">
      <w:pPr>
        <w:pStyle w:val="TextoNormal"/>
      </w:pPr>
    </w:p>
    <w:p w14:paraId="5C0E6037" w14:textId="77777777" w:rsidR="003754FE" w:rsidRDefault="003754FE" w:rsidP="003754FE">
      <w:pPr>
        <w:pStyle w:val="TextoNormal"/>
      </w:pPr>
      <w:r>
        <w:t>• Mantenimiento del empleo y tejido productivo andaluz: cobertura de las necesidades comprometidas y asumidas por expedientes de regulación de empleo, ayuda prejubilaciones, proyectos de viabilidad de pequeñas, medianas y grandes empresas e impulso a la consolidación económica en aquellas empresas con dificultades de mantenimiento del empleo”.</w:t>
      </w:r>
    </w:p>
    <w:p w14:paraId="1AF83BF8" w14:textId="77777777" w:rsidR="003754FE" w:rsidRDefault="003754FE" w:rsidP="003754FE">
      <w:pPr>
        <w:pStyle w:val="TextoNormal"/>
      </w:pPr>
    </w:p>
    <w:p w14:paraId="222573C3" w14:textId="77777777" w:rsidR="003754FE" w:rsidRDefault="003754FE" w:rsidP="003754FE">
      <w:pPr>
        <w:pStyle w:val="TextoNormal"/>
      </w:pPr>
      <w:r>
        <w:lastRenderedPageBreak/>
        <w:t>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14:paraId="78787041" w14:textId="77777777" w:rsidR="003754FE" w:rsidRDefault="003754FE" w:rsidP="003754FE">
      <w:pPr>
        <w:pStyle w:val="TextoNormal"/>
      </w:pPr>
    </w:p>
    <w:p w14:paraId="0D0BCF85" w14:textId="77777777" w:rsidR="003754FE" w:rsidRDefault="003754FE" w:rsidP="003754FE">
      <w:pPr>
        <w:pStyle w:val="TextoNormal"/>
      </w:pPr>
      <w:r>
        <w:t>El IFA/IDEA, tanto como consecuencia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14:paraId="368B2FD5" w14:textId="77777777" w:rsidR="003754FE" w:rsidRDefault="003754FE" w:rsidP="003754FE">
      <w:pPr>
        <w:pStyle w:val="TextoNormal"/>
      </w:pPr>
    </w:p>
    <w:p w14:paraId="1074249A" w14:textId="77777777" w:rsidR="003754FE" w:rsidRDefault="003754FE" w:rsidP="003754FE">
      <w:pPr>
        <w:pStyle w:val="TextoNormal"/>
      </w:pPr>
      <w:r>
        <w:t>Según consta en la sentencia de la Audiencia Provincial, el consejero de Empleo —don José Antonio Viera Chacón— y el vicepresidente del IFA —don Antonio Fernández García—, para evitar dar información a los miembros del consejo rector del IFA ajenos a la Consejería de Empleo y Desarrollo Tecnológico,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14:paraId="50306474" w14:textId="77777777" w:rsidR="003754FE" w:rsidRDefault="003754FE" w:rsidP="003754FE">
      <w:pPr>
        <w:pStyle w:val="TextoNormal"/>
      </w:pPr>
    </w:p>
    <w:p w14:paraId="225691DB" w14:textId="77777777" w:rsidR="003754FE" w:rsidRDefault="003754FE" w:rsidP="003754FE">
      <w:pPr>
        <w:pStyle w:val="TextoNormal"/>
      </w:pPr>
      <w:r>
        <w:t>En el ejercicio del año 2009 se dejaron de suscribir convenios particulares entre la Dirección General de Trabajo y Seguridad Social y el IDEA, dictándose por el director general de Trabajo y Seguridad Social resoluciones concediendo las ayudas y ordenando su pago al director general de IDEA.</w:t>
      </w:r>
    </w:p>
    <w:p w14:paraId="4B5469B1" w14:textId="77777777" w:rsidR="003754FE" w:rsidRDefault="003754FE" w:rsidP="003754FE">
      <w:pPr>
        <w:pStyle w:val="TextoNormal"/>
      </w:pPr>
    </w:p>
    <w:p w14:paraId="3834620B" w14:textId="77777777" w:rsidR="003754FE" w:rsidRDefault="003754FE" w:rsidP="003754FE">
      <w:pPr>
        <w:pStyle w:val="TextoNormal"/>
      </w:pPr>
      <w:r>
        <w:t>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14:paraId="7DB84719" w14:textId="77777777" w:rsidR="003754FE" w:rsidRDefault="003754FE" w:rsidP="003754FE">
      <w:pPr>
        <w:pStyle w:val="TextoNormal"/>
      </w:pPr>
    </w:p>
    <w:p w14:paraId="40907663" w14:textId="77777777" w:rsidR="003754FE" w:rsidRDefault="003754FE" w:rsidP="003754FE">
      <w:pPr>
        <w:pStyle w:val="TextoNormal"/>
      </w:pPr>
      <w:r>
        <w:t>d) En el año 2010 se abandonaron las transferencias de financiación a IDEA y se presupuestaron en los correspondientes programas las partidas destinadas a ayudas sociolaborales y a empresas en crisis, publicándose las bases reguladoras de las convocatorias para su concesión mediante órdenes de la Consejería de Empleo y Desarrollo Tecnológico de 1 de abril de 2011 y de 13 y 16 de marzo de 2012, hasta su derogación por el Decreto-ley 4/2012, de 16 de octubre, de medidas extraordinarias y urgentes en materia de protección sociolaboral a extrabajadores y extrabajadoras andaluces afectados por procesos de reestructuración de empresas y sectores en crisis.</w:t>
      </w:r>
    </w:p>
    <w:p w14:paraId="702F86FE" w14:textId="77777777" w:rsidR="003754FE" w:rsidRDefault="003754FE" w:rsidP="003754FE">
      <w:pPr>
        <w:pStyle w:val="TextoNormal"/>
      </w:pPr>
    </w:p>
    <w:p w14:paraId="5CA70B19" w14:textId="77777777" w:rsidR="003754FE" w:rsidRDefault="003754FE" w:rsidP="003754FE">
      <w:pPr>
        <w:pStyle w:val="TextoNormal"/>
      </w:pPr>
      <w:r>
        <w:t>En el citado decreto ley se estableció que a estas ayudas sociolaborales no les eran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14:paraId="314CC508" w14:textId="77777777" w:rsidR="003754FE" w:rsidRDefault="003754FE" w:rsidP="003754FE">
      <w:pPr>
        <w:pStyle w:val="TextoNormal"/>
      </w:pPr>
    </w:p>
    <w:p w14:paraId="62701DCF" w14:textId="77777777" w:rsidR="003754FE" w:rsidRDefault="003754FE" w:rsidP="003754FE">
      <w:pPr>
        <w:pStyle w:val="TextoNormal"/>
      </w:pPr>
      <w:r>
        <w:t>e) En resumen: el sistema de otorgamiento de las ayudas sociolaborales y a empresas en crisis hasta el año 2010 fue el siguiente:</w:t>
      </w:r>
    </w:p>
    <w:p w14:paraId="30207274" w14:textId="77777777" w:rsidR="003754FE" w:rsidRDefault="003754FE" w:rsidP="003754FE">
      <w:pPr>
        <w:pStyle w:val="TextoNormal"/>
      </w:pPr>
    </w:p>
    <w:p w14:paraId="5BF853B7" w14:textId="77777777" w:rsidR="003754FE" w:rsidRDefault="003754FE" w:rsidP="003754FE">
      <w:pPr>
        <w:pStyle w:val="TextoNormal"/>
      </w:pPr>
      <w:r>
        <w:t>(i) En la década de los años 1990, estas ayudas se tramitaron como subvenciones excepcionales, siendo concedidas y pagadas por la Consejería de Empleo y Desarrollo Tecnológico.</w:t>
      </w:r>
    </w:p>
    <w:p w14:paraId="6C7B47A8" w14:textId="77777777" w:rsidR="003754FE" w:rsidRDefault="003754FE" w:rsidP="003754FE">
      <w:pPr>
        <w:pStyle w:val="TextoNormal"/>
      </w:pPr>
    </w:p>
    <w:p w14:paraId="104141A9" w14:textId="77777777" w:rsidR="003754FE" w:rsidRDefault="003754FE" w:rsidP="003754FE">
      <w:pPr>
        <w:pStyle w:val="TextoNormal"/>
      </w:pPr>
      <w:r>
        <w:t>(ii)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14:paraId="0C355286" w14:textId="77777777" w:rsidR="003754FE" w:rsidRDefault="003754FE" w:rsidP="003754FE">
      <w:pPr>
        <w:pStyle w:val="TextoNormal"/>
      </w:pPr>
    </w:p>
    <w:p w14:paraId="2C506327" w14:textId="77777777" w:rsidR="003754FE" w:rsidRDefault="003754FE" w:rsidP="003754FE">
      <w:pPr>
        <w:pStyle w:val="TextoNormal"/>
      </w:pPr>
      <w:r>
        <w:t xml:space="preserve">(iii) Al IFA/IDEA se le atribuyeron los fondos para el pago de las ayudas mediante transferencias de financiación. La utilización de estos créditos no estaba sometida a un control previo, sino a un control </w:t>
      </w:r>
      <w:r w:rsidRPr="003754FE">
        <w:rPr>
          <w:i/>
        </w:rPr>
        <w:t>ex post</w:t>
      </w:r>
      <w:r>
        <w:t>: el llamado “control financiero permanente”. Este control se limitaba a comprobar la legalidad del pago; examinar las cuentas anuales; y analizar críticamente los programas asignados al instituto.</w:t>
      </w:r>
    </w:p>
    <w:p w14:paraId="3867442D" w14:textId="77777777" w:rsidR="003754FE" w:rsidRDefault="003754FE" w:rsidP="003754FE">
      <w:pPr>
        <w:pStyle w:val="TextoNormal"/>
      </w:pPr>
    </w:p>
    <w:p w14:paraId="08AA122A" w14:textId="77777777" w:rsidR="003754FE" w:rsidRDefault="003754FE" w:rsidP="003754FE">
      <w:pPr>
        <w:pStyle w:val="TextoNormal"/>
      </w:pPr>
      <w:r>
        <w:t>(iv) Al IFA/IDEA se le dotó de fondos, al principio, durante los años 2000 y 2001, mediante modificaciones presupuestarias y, después, estableciendo en las leyes de presupuestos de los ejercicios 2002 a 2009 unas partidas presupuestarias específicas, en el programa 3.1 L, para que abonase dichas ayudas, cuyo importe inicial se incrementó a través de la aprobación de modificaciones presupuestarias.</w:t>
      </w:r>
    </w:p>
    <w:p w14:paraId="0BB83B71" w14:textId="77777777" w:rsidR="003754FE" w:rsidRDefault="003754FE" w:rsidP="003754FE">
      <w:pPr>
        <w:pStyle w:val="TextoNormal"/>
      </w:pPr>
    </w:p>
    <w:p w14:paraId="161DC59E" w14:textId="77777777" w:rsidR="003754FE" w:rsidRDefault="003754FE" w:rsidP="003754FE">
      <w:pPr>
        <w:pStyle w:val="TextoNormal"/>
      </w:pPr>
      <w:r>
        <w:t>El seguimiento del referido sistema de otorgamiento de las ayudas sociolaborales y a empresas en crisis hasta el año 2010 permitió, según las resoluciones impugnadas:</w:t>
      </w:r>
    </w:p>
    <w:p w14:paraId="2FB83895" w14:textId="77777777" w:rsidR="003754FE" w:rsidRDefault="003754FE" w:rsidP="003754FE">
      <w:pPr>
        <w:pStyle w:val="TextoNormal"/>
      </w:pPr>
    </w:p>
    <w:p w14:paraId="7A5BFCDE" w14:textId="77777777" w:rsidR="003754FE" w:rsidRDefault="003754FE" w:rsidP="003754FE">
      <w:pPr>
        <w:pStyle w:val="TextoNormal"/>
      </w:pPr>
      <w:r>
        <w:t>(i)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Desarrollo Tecnológico;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14:paraId="59AC3DAE" w14:textId="77777777" w:rsidR="003754FE" w:rsidRDefault="003754FE" w:rsidP="003754FE">
      <w:pPr>
        <w:pStyle w:val="TextoNormal"/>
      </w:pPr>
    </w:p>
    <w:p w14:paraId="296D1528" w14:textId="77777777" w:rsidR="003754FE" w:rsidRDefault="003754FE" w:rsidP="003754FE">
      <w:pPr>
        <w:pStyle w:val="TextoNormal"/>
      </w:pPr>
      <w:r>
        <w:t xml:space="preserve">(ii) que se concediesen ayudas a empresas en crisis sin realizar convocatorias que garantizasen la publicidad y conocimiento general, sin el obligatorio registro en la base de datos de subvenciones de la Junta de Andalucía; y sin que una gran parte de esas ayudas dispusiera </w:t>
      </w:r>
      <w:r>
        <w:lastRenderedPageBreak/>
        <w:t>de un objeto concreto, lo que facilitó que las ayudas fueran concedidas para fines muy diversos, entre otros el pago de nóminas, minutas por asesoramientos jurídicos y avales y</w:t>
      </w:r>
    </w:p>
    <w:p w14:paraId="73C30A5E" w14:textId="77777777" w:rsidR="003754FE" w:rsidRDefault="003754FE" w:rsidP="003754FE">
      <w:pPr>
        <w:pStyle w:val="TextoNormal"/>
      </w:pPr>
    </w:p>
    <w:p w14:paraId="56347531" w14:textId="77777777" w:rsidR="003754FE" w:rsidRDefault="003754FE" w:rsidP="003754FE">
      <w:pPr>
        <w:pStyle w:val="TextoNormal"/>
      </w:pPr>
      <w:r>
        <w:t>(iii) que se destinasen fondos del programa 31L a fines distintos y ajenos a los recogidos para este en los correspondientes presupuestos.</w:t>
      </w:r>
    </w:p>
    <w:p w14:paraId="26494421" w14:textId="77777777" w:rsidR="003754FE" w:rsidRDefault="003754FE" w:rsidP="003754FE">
      <w:pPr>
        <w:pStyle w:val="TextoNormal"/>
      </w:pPr>
    </w:p>
    <w:p w14:paraId="760FCA3D" w14:textId="77777777" w:rsidR="003754FE" w:rsidRDefault="003754FE" w:rsidP="003754FE">
      <w:pPr>
        <w:pStyle w:val="TextoNormal"/>
      </w:pPr>
      <w:r>
        <w:t>2.2</w:t>
      </w:r>
      <w:r w:rsidRPr="003754FE">
        <w:rPr>
          <w:i/>
        </w:rPr>
        <w:t>. La “pieza específica” y las demás piezas del proceso “ER</w:t>
      </w:r>
      <w:r>
        <w:t>E”</w:t>
      </w:r>
    </w:p>
    <w:p w14:paraId="4A8440DC" w14:textId="77777777" w:rsidR="003754FE" w:rsidRDefault="003754FE" w:rsidP="003754FE">
      <w:pPr>
        <w:pStyle w:val="TextoNormal"/>
      </w:pPr>
    </w:p>
    <w:p w14:paraId="543B0061" w14:textId="77777777" w:rsidR="003754FE" w:rsidRDefault="003754FE" w:rsidP="003754FE">
      <w:pPr>
        <w:pStyle w:val="TextoNormal"/>
      </w:pPr>
      <w:r>
        <w:t>La causa matriz de los “ERE” se desgajó en una primera pieza denominada “pieza específica” y, en lo que aquí interesa, en un número no inferior a otras 200 piezas, que tienen por objeto las ayudas individuales concedidas a empresas o determinados grupos de empresas.</w:t>
      </w:r>
    </w:p>
    <w:p w14:paraId="3904658A" w14:textId="77777777" w:rsidR="003754FE" w:rsidRDefault="003754FE" w:rsidP="003754FE">
      <w:pPr>
        <w:pStyle w:val="TextoNormal"/>
      </w:pPr>
    </w:p>
    <w:p w14:paraId="59577210" w14:textId="77777777" w:rsidR="003754FE" w:rsidRDefault="003754FE" w:rsidP="003754FE">
      <w:pPr>
        <w:pStyle w:val="TextoNormal"/>
      </w:pPr>
      <w:r>
        <w:t>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las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14:paraId="7A6868F6" w14:textId="77777777" w:rsidR="003754FE" w:rsidRDefault="003754FE" w:rsidP="003754FE">
      <w:pPr>
        <w:pStyle w:val="TextoNormal"/>
      </w:pPr>
    </w:p>
    <w:p w14:paraId="6789FE93" w14:textId="77777777" w:rsidR="003754FE" w:rsidRDefault="003754FE" w:rsidP="003754FE">
      <w:pPr>
        <w:pStyle w:val="TextoNormal"/>
      </w:pPr>
      <w:r>
        <w:t>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3.4; págs. 122-133).</w:t>
      </w:r>
    </w:p>
    <w:p w14:paraId="55BDBC63" w14:textId="77777777" w:rsidR="003754FE" w:rsidRDefault="003754FE" w:rsidP="003754FE">
      <w:pPr>
        <w:pStyle w:val="TextoNormal"/>
      </w:pPr>
    </w:p>
    <w:p w14:paraId="3C7422ED" w14:textId="77777777" w:rsidR="003754FE" w:rsidRDefault="003754FE" w:rsidP="003754FE">
      <w:pPr>
        <w:pStyle w:val="TextoNormal"/>
      </w:pPr>
      <w:r>
        <w:t>2.3</w:t>
      </w:r>
      <w:r w:rsidRPr="003754FE">
        <w:rPr>
          <w:i/>
        </w:rPr>
        <w:t>. Hechos enjuiciados en la “pieza específic</w:t>
      </w:r>
      <w:r>
        <w:t>a”</w:t>
      </w:r>
    </w:p>
    <w:p w14:paraId="3D49334E" w14:textId="77777777" w:rsidR="003754FE" w:rsidRDefault="003754FE" w:rsidP="003754FE">
      <w:pPr>
        <w:pStyle w:val="TextoNormal"/>
      </w:pPr>
    </w:p>
    <w:p w14:paraId="2B83B8DE" w14:textId="77777777" w:rsidR="003754FE" w:rsidRDefault="003754FE" w:rsidP="003754FE">
      <w:pPr>
        <w:pStyle w:val="TextoNormal"/>
      </w:pPr>
      <w:r>
        <w:lastRenderedPageBreak/>
        <w:t>Los hechos enjuiciados en la “pieza específica” se delimitan material y cronológicamente en el fundamento de Derecho 3.4 (págs. 135-137) de la sentencia del Tribunal Supremo en estos términos:</w:t>
      </w:r>
    </w:p>
    <w:p w14:paraId="03F41275" w14:textId="77777777" w:rsidR="003754FE" w:rsidRDefault="003754FE" w:rsidP="003754FE">
      <w:pPr>
        <w:pStyle w:val="TextoNormal"/>
      </w:pPr>
    </w:p>
    <w:p w14:paraId="2DE74B9C" w14:textId="77777777" w:rsidR="003754FE" w:rsidRDefault="003754FE" w:rsidP="003754FE">
      <w:pPr>
        <w:pStyle w:val="TextoNormal"/>
      </w:pPr>
      <w:r>
        <w:t>“(i) Temporalmente los hechos enjuiciados en esta causa son los acontecidos entre la elaboración de la primera modificación presupuestaria, cuya aprobación data del 18 de abril de 2000 y la aprobación de la última modificación presupuestaria que se produjo el 1 de diciembre de 2009, por lo que cualquier hecho ocurrido fuera de esos márgenes temporales no ha sido objeto de enjuiciamiento en este proceso.</w:t>
      </w:r>
    </w:p>
    <w:p w14:paraId="15A2B905" w14:textId="77777777" w:rsidR="003754FE" w:rsidRDefault="003754FE" w:rsidP="003754FE">
      <w:pPr>
        <w:pStyle w:val="TextoNormal"/>
      </w:pPr>
    </w:p>
    <w:p w14:paraId="47AA0D89" w14:textId="77777777" w:rsidR="003754FE" w:rsidRDefault="003754FE" w:rsidP="003754FE">
      <w:pPr>
        <w:pStyle w:val="TextoNormal"/>
      </w:pPr>
      <w:r>
        <w:t>(ii) En relación con el delito de prevaricación las personas enjuiciadas y que han resultado condenadas lo han sido por adoptar las siguientes resoluciones:</w:t>
      </w:r>
    </w:p>
    <w:p w14:paraId="6E855BCE" w14:textId="77777777" w:rsidR="003754FE" w:rsidRDefault="003754FE" w:rsidP="003754FE">
      <w:pPr>
        <w:pStyle w:val="TextoNormal"/>
      </w:pPr>
    </w:p>
    <w:p w14:paraId="1BCF3249" w14:textId="77777777" w:rsidR="003754FE" w:rsidRDefault="003754FE" w:rsidP="003754FE">
      <w:pPr>
        <w:pStyle w:val="TextoNormal"/>
      </w:pPr>
      <w:r>
        <w:t>-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14:paraId="110C3BE1" w14:textId="77777777" w:rsidR="003754FE" w:rsidRDefault="003754FE" w:rsidP="003754FE">
      <w:pPr>
        <w:pStyle w:val="TextoNormal"/>
      </w:pPr>
    </w:p>
    <w:p w14:paraId="6FA2E826" w14:textId="77777777" w:rsidR="003754FE" w:rsidRDefault="003754FE" w:rsidP="003754FE">
      <w:pPr>
        <w:pStyle w:val="TextoNormal"/>
      </w:pPr>
      <w:r>
        <w:t>-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14:paraId="370D232C" w14:textId="77777777" w:rsidR="003754FE" w:rsidRDefault="003754FE" w:rsidP="003754FE">
      <w:pPr>
        <w:pStyle w:val="TextoNormal"/>
      </w:pPr>
    </w:p>
    <w:p w14:paraId="3AA9BFE3" w14:textId="77777777" w:rsidR="003754FE" w:rsidRDefault="003754FE" w:rsidP="003754FE">
      <w:pPr>
        <w:pStyle w:val="TextoNormal"/>
      </w:pPr>
      <w:r>
        <w:t>-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14:paraId="52E718CD" w14:textId="77777777" w:rsidR="003754FE" w:rsidRDefault="003754FE" w:rsidP="003754FE">
      <w:pPr>
        <w:pStyle w:val="TextoNormal"/>
      </w:pPr>
    </w:p>
    <w:p w14:paraId="4DF53DB9" w14:textId="77777777" w:rsidR="003754FE" w:rsidRDefault="003754FE" w:rsidP="003754FE">
      <w:pPr>
        <w:pStyle w:val="TextoNormal"/>
      </w:pPr>
      <w:r>
        <w:t>-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14:paraId="4841C6DB" w14:textId="77777777" w:rsidR="003754FE" w:rsidRDefault="003754FE" w:rsidP="003754FE">
      <w:pPr>
        <w:pStyle w:val="TextoNormal"/>
      </w:pPr>
    </w:p>
    <w:p w14:paraId="6CD87CDC" w14:textId="77777777" w:rsidR="003754FE" w:rsidRDefault="003754FE" w:rsidP="003754FE">
      <w:pPr>
        <w:pStyle w:val="TextoNormal"/>
      </w:pPr>
      <w:r>
        <w:t>- Fraccionamiento de las cuantías de las ayudas a partir del 27 de mayo de 2003 en función de las cantidades asignadas a cada trabajador y no de las cantidades asignadas a las empresas, todo ello para sustraer su conocimiento del consejo rector del IFA.</w:t>
      </w:r>
    </w:p>
    <w:p w14:paraId="187C4F95" w14:textId="77777777" w:rsidR="003754FE" w:rsidRDefault="003754FE" w:rsidP="003754FE">
      <w:pPr>
        <w:pStyle w:val="TextoNormal"/>
      </w:pPr>
    </w:p>
    <w:p w14:paraId="69602853" w14:textId="77777777" w:rsidR="003754FE" w:rsidRDefault="003754FE" w:rsidP="003754FE">
      <w:pPr>
        <w:pStyle w:val="TextoNormal"/>
      </w:pPr>
      <w:r>
        <w:t>-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14:paraId="4AC07B16" w14:textId="77777777" w:rsidR="003754FE" w:rsidRDefault="003754FE" w:rsidP="003754FE">
      <w:pPr>
        <w:pStyle w:val="TextoNormal"/>
      </w:pPr>
    </w:p>
    <w:p w14:paraId="65F666DE" w14:textId="77777777" w:rsidR="003754FE" w:rsidRDefault="003754FE" w:rsidP="003754FE">
      <w:pPr>
        <w:pStyle w:val="TextoNormal"/>
      </w:pPr>
      <w:r>
        <w:t>- Concesión de las ayudas sociolaborales.</w:t>
      </w:r>
    </w:p>
    <w:p w14:paraId="69D2B2A2" w14:textId="77777777" w:rsidR="003754FE" w:rsidRDefault="003754FE" w:rsidP="003754FE">
      <w:pPr>
        <w:pStyle w:val="TextoNormal"/>
      </w:pPr>
    </w:p>
    <w:p w14:paraId="37E61A19" w14:textId="77777777" w:rsidR="003754FE" w:rsidRDefault="003754FE" w:rsidP="003754FE">
      <w:pPr>
        <w:pStyle w:val="TextoNormal"/>
      </w:pPr>
      <w:r>
        <w:lastRenderedPageBreak/>
        <w:t>(iii) En relación con el delito de malversación de caudales públicos las personas enjuiciadas en este proceso y condenadas por este delito lo han sido bien por su participación directa en la disposición de fondos, bien por haber permitido esa disposición.</w:t>
      </w:r>
    </w:p>
    <w:p w14:paraId="0EDAF17B" w14:textId="77777777" w:rsidR="003754FE" w:rsidRDefault="003754FE" w:rsidP="003754FE">
      <w:pPr>
        <w:pStyle w:val="TextoNormal"/>
      </w:pPr>
    </w:p>
    <w:p w14:paraId="41F69C32" w14:textId="77777777" w:rsidR="003754FE" w:rsidRDefault="003754FE" w:rsidP="003754FE">
      <w:pPr>
        <w:pStyle w:val="TextoNormal"/>
      </w:pPr>
      <w:r>
        <w:t>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14:paraId="332CE017" w14:textId="77777777" w:rsidR="003754FE" w:rsidRDefault="003754FE" w:rsidP="003754FE">
      <w:pPr>
        <w:pStyle w:val="TextoNormal"/>
      </w:pPr>
    </w:p>
    <w:p w14:paraId="4ADE0C18" w14:textId="77777777" w:rsidR="003754FE" w:rsidRDefault="003754FE" w:rsidP="003754FE">
      <w:pPr>
        <w:pStyle w:val="TextoNormal"/>
      </w:pPr>
      <w:r>
        <w:t>Entendemos que la condena por malversación incluye respecto de cada condenado a todas las disposiciones de fondos públicos realizadas durante el tiempo en que cada uno de ellos ejerció su cargo.</w:t>
      </w:r>
    </w:p>
    <w:p w14:paraId="0D66082D" w14:textId="77777777" w:rsidR="003754FE" w:rsidRDefault="003754FE" w:rsidP="003754FE">
      <w:pPr>
        <w:pStyle w:val="TextoNormal"/>
      </w:pPr>
    </w:p>
    <w:p w14:paraId="6E478023" w14:textId="77777777" w:rsidR="003754FE" w:rsidRDefault="003754FE" w:rsidP="003754FE">
      <w:pPr>
        <w:pStyle w:val="TextoNormal"/>
      </w:pPr>
      <w:r>
        <w:t>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vigesimosegundo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14:paraId="03522A06" w14:textId="77777777" w:rsidR="003754FE" w:rsidRDefault="003754FE" w:rsidP="003754FE">
      <w:pPr>
        <w:pStyle w:val="TextoNormal"/>
      </w:pPr>
    </w:p>
    <w:p w14:paraId="0CDCB3B9" w14:textId="77777777" w:rsidR="003754FE" w:rsidRDefault="003754FE" w:rsidP="003754FE">
      <w:pPr>
        <w:pStyle w:val="TextoNormal"/>
      </w:pPr>
      <w:r>
        <w:t>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14:paraId="1008A9D8" w14:textId="77777777" w:rsidR="003754FE" w:rsidRDefault="003754FE" w:rsidP="003754FE">
      <w:pPr>
        <w:pStyle w:val="TextoNormal"/>
      </w:pPr>
    </w:p>
    <w:p w14:paraId="3DB09333" w14:textId="77777777" w:rsidR="003754FE" w:rsidRDefault="003754FE" w:rsidP="003754FE">
      <w:pPr>
        <w:pStyle w:val="TextoNormal"/>
      </w:pPr>
      <w:r>
        <w:t>Este último subapartado C) resulta del siguiente tenor:</w:t>
      </w:r>
    </w:p>
    <w:p w14:paraId="737F8EEF" w14:textId="77777777" w:rsidR="003754FE" w:rsidRDefault="003754FE" w:rsidP="003754FE">
      <w:pPr>
        <w:pStyle w:val="TextoNormal"/>
      </w:pPr>
    </w:p>
    <w:p w14:paraId="0AA94629" w14:textId="77777777" w:rsidR="003754FE" w:rsidRDefault="003754FE" w:rsidP="003754FE">
      <w:pPr>
        <w:pStyle w:val="TextoNormal"/>
      </w:pPr>
      <w:r>
        <w:t>“C) Los fondos del programa 31L se emplearon también en fines distintos y ajenos a los recogidos en las fichas presupuestarias del mismo, así podemos reseñar que se abonó:</w:t>
      </w:r>
    </w:p>
    <w:p w14:paraId="51317E4F" w14:textId="77777777" w:rsidR="003754FE" w:rsidRDefault="003754FE" w:rsidP="003754FE">
      <w:pPr>
        <w:pStyle w:val="TextoNormal"/>
      </w:pPr>
    </w:p>
    <w:p w14:paraId="30655192" w14:textId="77777777" w:rsidR="003754FE" w:rsidRDefault="003754FE" w:rsidP="003754FE">
      <w:pPr>
        <w:pStyle w:val="TextoNormal"/>
      </w:pPr>
      <w:r>
        <w:t>• Facturas emitidas por las mercantiles TAPSA y CICM, derivadas de varios contratos de campañas de comunicación sobre fomento de empleo y divulgación del SAE [Servicio Andaluz de Empleo], por un total de 3 386 017,00 €, que fueron abonadas por el Instituto, en el periodo 15 de julio de 2003 a 2 de marzo de 2004.</w:t>
      </w:r>
    </w:p>
    <w:p w14:paraId="584EE518" w14:textId="77777777" w:rsidR="003754FE" w:rsidRDefault="003754FE" w:rsidP="003754FE">
      <w:pPr>
        <w:pStyle w:val="TextoNormal"/>
      </w:pPr>
    </w:p>
    <w:p w14:paraId="48DB6560" w14:textId="77777777" w:rsidR="003754FE" w:rsidRDefault="003754FE" w:rsidP="003754FE">
      <w:pPr>
        <w:pStyle w:val="TextoNormal"/>
      </w:pPr>
      <w:r>
        <w:lastRenderedPageBreak/>
        <w:t>•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14:paraId="071EBEC9" w14:textId="77777777" w:rsidR="003754FE" w:rsidRDefault="003754FE" w:rsidP="003754FE">
      <w:pPr>
        <w:pStyle w:val="TextoNormal"/>
      </w:pPr>
    </w:p>
    <w:p w14:paraId="01955F55" w14:textId="77777777" w:rsidR="003754FE" w:rsidRDefault="003754FE" w:rsidP="003754FE">
      <w:pPr>
        <w:pStyle w:val="TextoNormal"/>
      </w:pPr>
      <w:r>
        <w:t>•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w:t>
      </w:r>
      <w:r w:rsidRPr="003754FE">
        <w:rPr>
          <w:i/>
        </w:rPr>
        <w:t>s on li</w:t>
      </w:r>
      <w:r>
        <w:t>ne.</w:t>
      </w:r>
    </w:p>
    <w:p w14:paraId="2245A602" w14:textId="77777777" w:rsidR="003754FE" w:rsidRDefault="003754FE" w:rsidP="003754FE">
      <w:pPr>
        <w:pStyle w:val="TextoNormal"/>
      </w:pPr>
    </w:p>
    <w:p w14:paraId="76C3EB8E" w14:textId="77777777" w:rsidR="003754FE" w:rsidRDefault="003754FE" w:rsidP="003754FE">
      <w:pPr>
        <w:pStyle w:val="TextoNormal"/>
      </w:pPr>
      <w:r>
        <w:t>•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14:paraId="42B2B0CA" w14:textId="77777777" w:rsidR="003754FE" w:rsidRDefault="003754FE" w:rsidP="003754FE">
      <w:pPr>
        <w:pStyle w:val="TextoNormal"/>
      </w:pPr>
    </w:p>
    <w:p w14:paraId="2E8503BC" w14:textId="77777777" w:rsidR="003754FE" w:rsidRDefault="003754FE" w:rsidP="003754FE">
      <w:pPr>
        <w:pStyle w:val="TextoNormal"/>
      </w:pPr>
      <w:r>
        <w:t>•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14:paraId="046CF172" w14:textId="77777777" w:rsidR="003754FE" w:rsidRDefault="003754FE" w:rsidP="003754FE">
      <w:pPr>
        <w:pStyle w:val="TextoNormal"/>
      </w:pPr>
    </w:p>
    <w:p w14:paraId="64A5B2A3" w14:textId="77777777" w:rsidR="003754FE" w:rsidRDefault="003754FE" w:rsidP="003754FE">
      <w:pPr>
        <w:pStyle w:val="TextoNormal"/>
      </w:pPr>
      <w:r>
        <w:t>•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14:paraId="2BC2B3F0" w14:textId="77777777" w:rsidR="003754FE" w:rsidRDefault="003754FE" w:rsidP="003754FE">
      <w:pPr>
        <w:pStyle w:val="TextoNormal"/>
      </w:pPr>
    </w:p>
    <w:p w14:paraId="0640C658" w14:textId="77777777" w:rsidR="003754FE" w:rsidRDefault="003754FE" w:rsidP="003754FE">
      <w:pPr>
        <w:pStyle w:val="TextoNormal"/>
      </w:pPr>
      <w:r>
        <w:t>• En los ejercicios 2004, 2005, 2006, 2009 y 2010, se destinaron 1 192 000 € para el pago a la Fundación San Telmo, del “Curso de alta dirección de instituciones sociales”, para un total de cien personas”.</w:t>
      </w:r>
    </w:p>
    <w:p w14:paraId="3F71DD66" w14:textId="77777777" w:rsidR="003754FE" w:rsidRDefault="003754FE" w:rsidP="003754FE">
      <w:pPr>
        <w:pStyle w:val="TextoNormal"/>
      </w:pPr>
    </w:p>
    <w:p w14:paraId="637093F8" w14:textId="77777777" w:rsidR="003754FE" w:rsidRDefault="003754FE" w:rsidP="003754FE">
      <w:pPr>
        <w:pStyle w:val="TextoNormal"/>
      </w:pPr>
      <w:r>
        <w:t>2.4</w:t>
      </w:r>
      <w:r w:rsidRPr="003754FE">
        <w:rPr>
          <w:i/>
        </w:rPr>
        <w:t>. Hechos por los que ha sido condenado el demandante de ampa</w:t>
      </w:r>
      <w:r>
        <w:t>ro</w:t>
      </w:r>
    </w:p>
    <w:p w14:paraId="45E062AF" w14:textId="77777777" w:rsidR="003754FE" w:rsidRDefault="003754FE" w:rsidP="003754FE">
      <w:pPr>
        <w:pStyle w:val="TextoNormal"/>
      </w:pPr>
    </w:p>
    <w:p w14:paraId="23052109" w14:textId="77777777" w:rsidR="003754FE" w:rsidRDefault="003754FE" w:rsidP="003754FE">
      <w:pPr>
        <w:pStyle w:val="TextoNormal"/>
      </w:pPr>
      <w:r>
        <w:t>A partir de los hechos probados y valoración de la prueba contenida en la sentencia de la Audiencia Provincial de Sevilla (fundamento de Derecho 39, págs. 1421-1501), el fundamento fáctico de la condena de don José Antonio Griñán Martínez (consejero de Economía y Hacienda desde 24 de abril de 2004 a 23 de abril de 2009, y presidente de la Junta de Andalucía desde 23 de abril de 2009 a 7 de septiembre de 2013) se refiere a diferentes tipos de actuaciones:</w:t>
      </w:r>
    </w:p>
    <w:p w14:paraId="6CB792D3" w14:textId="77777777" w:rsidR="003754FE" w:rsidRDefault="003754FE" w:rsidP="003754FE">
      <w:pPr>
        <w:pStyle w:val="TextoNormal"/>
      </w:pPr>
    </w:p>
    <w:p w14:paraId="0E02902B" w14:textId="77777777" w:rsidR="003754FE" w:rsidRDefault="003754FE" w:rsidP="003754FE">
      <w:pPr>
        <w:pStyle w:val="TextoNormal"/>
      </w:pPr>
      <w:r>
        <w:lastRenderedPageBreak/>
        <w:t>(i) Como consejero de Economía y Hacienda, y con conocimiento de los incumplimientos normativos que se habían puesto de relieve en ejercicios anteriores sobre la gestión presupuestaria de las ayudas sociolaborales y a empresas, intervino en la elaboración de los anteproyectos y proyectos de presupuestos para los ejercicios de los años 2005 a 2009 participando posteriormente en su aprobación por el Consejo de Gobierno. En dichos anteproyectos y proyectos de leyes de presupuestos se recogían aplicaciones presupuestarias en el programa 31L mediante las que se consignaban transferencias de financiación al IFA/IDEA para el pago de las ayudas que ordenase la Consejería de Empleo.</w:t>
      </w:r>
    </w:p>
    <w:p w14:paraId="1FBA4074" w14:textId="77777777" w:rsidR="003754FE" w:rsidRDefault="003754FE" w:rsidP="003754FE">
      <w:pPr>
        <w:pStyle w:val="TextoNormal"/>
      </w:pPr>
    </w:p>
    <w:p w14:paraId="6836B418" w14:textId="77777777" w:rsidR="003754FE" w:rsidRDefault="003754FE" w:rsidP="003754FE">
      <w:pPr>
        <w:pStyle w:val="TextoNormal"/>
      </w:pPr>
      <w:r>
        <w:t>(ii) Como consejero de Economía y Hacienda participó, también, en la tramitación y aprobación de las modificaciones presupuestarias efectuadas desde 2004 a 2008, en las que, haciendo un uso inadecuado de las trasferencias de financiación, se incrementó el programa 31L en materia de relaciones laborales. Lo que se pretendía con dichas modificaciones presupuestarias era, según las resoluciones impugnadas, eludir la tramitación de los expedientes de concesión de subvenciones, con los requisitos legalmente establecidos para su otorgamiento, así como la fiscalización previa por parte de la Intervención. La sentencia considera acreditada la participación del señor Griñán Martínez en las modificaciones presupuestarias de 7 de diciembre de 2005 donde se incrementó en 799 895,97 € la aplicación presupuestaria 440.51.31L, dando de baja las aplicaciones 480.01, 480.03, 480.13 del programa 31L; 7 de noviembre de 2006, en la que se incrementó en 9 300 000 € la aplicación presupuestaria 440.51.31L, dando de baja las aplicaciones del programa 32A; 27 de noviembre de 2007, mediante la cual se incrementó en 7 448 503,44 € la aplicación presupuestaria 440.51.31L dando de baja otras aplicaciones; 22 de diciembre de 2008, mediante la cual se incrementó en 1 253 853,89 € y 6 011 836,20 € las aplicaciones presupuestarias 440.51.31L y 740.51.31L dando de baja otras aplicaciones del programa 32H, y se incrementó en 8 000 000 € la aplicación 740.18.31L, mediante la generación de crédito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w:t>
      </w:r>
    </w:p>
    <w:p w14:paraId="643DADD7" w14:textId="77777777" w:rsidR="003754FE" w:rsidRDefault="003754FE" w:rsidP="003754FE">
      <w:pPr>
        <w:pStyle w:val="TextoNormal"/>
      </w:pPr>
    </w:p>
    <w:p w14:paraId="7FB4A575" w14:textId="77777777" w:rsidR="003754FE" w:rsidRDefault="003754FE" w:rsidP="003754FE">
      <w:pPr>
        <w:pStyle w:val="TextoNormal"/>
      </w:pPr>
      <w:r>
        <w:t>Las resoluciones judiciales impugnadas destacan la modificación efectuada el 9 de diciembre de 2004, en la que el demandante intervino directamente en su elaboración y aprobación y mediante la que se incrementó el programa 32H “Servicio Andaluz de Empleo” por importe de 2 994 876 €. Se considera probado que los fondos allegados a través de esta modificación se destinaron al pago de las ayudas sociolaborales del programa 31L.</w:t>
      </w:r>
    </w:p>
    <w:p w14:paraId="3BB9CD71" w14:textId="77777777" w:rsidR="003754FE" w:rsidRDefault="003754FE" w:rsidP="003754FE">
      <w:pPr>
        <w:pStyle w:val="TextoNormal"/>
      </w:pPr>
    </w:p>
    <w:p w14:paraId="5425FA16" w14:textId="77777777" w:rsidR="003754FE" w:rsidRDefault="003754FE" w:rsidP="003754FE">
      <w:pPr>
        <w:pStyle w:val="TextoNormal"/>
      </w:pPr>
      <w:r>
        <w:t>(iii) Tuvo conocimiento de los planes de actuación e intervención financiera del IFA/IDEA y dio su aprobación a que figuraran como ingresos las cantidades recibidas vía transferencia de financiación, del programa 31L, y que se incluyeran dentro del apartado “otros gastos de explotación”, para equilibrar las cuentas.</w:t>
      </w:r>
    </w:p>
    <w:p w14:paraId="76058265" w14:textId="77777777" w:rsidR="003754FE" w:rsidRDefault="003754FE" w:rsidP="003754FE">
      <w:pPr>
        <w:pStyle w:val="TextoNormal"/>
      </w:pPr>
    </w:p>
    <w:p w14:paraId="62D07279" w14:textId="795BE8F1" w:rsidR="003754FE" w:rsidRDefault="003754FE" w:rsidP="003754FE">
      <w:pPr>
        <w:pStyle w:val="TextoNormal"/>
      </w:pPr>
      <w:r>
        <w:t xml:space="preserve">Las anteriores actuaciones del recurrente de amparo, unidas a las realizadas por otros condenados, permitieron que, en los referidos ejercicios (más ampliamente, </w:t>
      </w:r>
      <w:r w:rsidRPr="003754FE">
        <w:rPr>
          <w:i/>
        </w:rPr>
        <w:t>vid. supra</w:t>
      </w:r>
      <w:r>
        <w:t xml:space="preserve"> fundamento jurídico 2.1 </w:t>
      </w:r>
      <w:r w:rsidRPr="003754FE">
        <w:rPr>
          <w:i/>
        </w:rPr>
        <w:t>in fine</w:t>
      </w:r>
      <w:r>
        <w:t xml:space="preserve">): (i) se percibieran rentas de pólizas por personas que nunca habían pertenecido al colectivo afectado al que se destinaban las ayudas sociolaborales o siguieran percibiéndolas quienes ya se habían incorporado al mercado laboral; (ii) se otorgaran las ayudas a empresas en crisis para fines muy diversos, entre otros el pago de </w:t>
      </w:r>
      <w:r>
        <w:lastRenderedPageBreak/>
        <w:t>nóminas, minutas por asesoramientos jurídicos y avales; y (iii) se destinasen fondos del programa 31L a fines distintos y ajenos a los recogidos para este en los correspondientes presupuestos.</w:t>
      </w:r>
    </w:p>
    <w:p w14:paraId="7EE08FF7" w14:textId="77777777" w:rsidR="003754FE" w:rsidRDefault="003754FE" w:rsidP="003754FE">
      <w:pPr>
        <w:pStyle w:val="TextoNormal"/>
      </w:pPr>
    </w:p>
    <w:p w14:paraId="6140A7EE" w14:textId="77777777" w:rsidR="003754FE" w:rsidRDefault="003754FE" w:rsidP="003754FE">
      <w:pPr>
        <w:pStyle w:val="TextoNormal"/>
      </w:pPr>
      <w:r w:rsidRPr="003754FE">
        <w:rPr>
          <w:rStyle w:val="NumeroAFNegritaCaracter"/>
        </w:rPr>
        <w:t>3</w:t>
      </w:r>
      <w:r>
        <w:t xml:space="preserve">. </w:t>
      </w:r>
      <w:r w:rsidRPr="003754FE">
        <w:rPr>
          <w:i/>
        </w:rPr>
        <w:t>Doctrina constitucional sobre el derecho a la legalidad penal (art. 25.1 CE)</w:t>
      </w:r>
    </w:p>
    <w:p w14:paraId="62696B98" w14:textId="77777777" w:rsidR="003754FE" w:rsidRDefault="003754FE" w:rsidP="003754FE">
      <w:pPr>
        <w:pStyle w:val="TextoNormal"/>
      </w:pPr>
    </w:p>
    <w:p w14:paraId="12062A71" w14:textId="77777777" w:rsidR="003754FE" w:rsidRDefault="003754FE" w:rsidP="003754FE">
      <w:pPr>
        <w:pStyle w:val="TextoNormal"/>
      </w:pPr>
      <w:r>
        <w:t>El enjuiciamiento de la vulneración del art. 25.1 CE exige tener presente la doctrina de este tribunal sobre el derecho a la legalidad penal que consagra, expuesta recientemente, por ejemplo, en las SSTC 14/2021, de 28 de enero, FJ 2; 25/2022, de 23 de febrero, FJ 7.2; 47/2022, de 24 de marzo, FJ 8.2.1; 54/2023, de 22 de mayo, FJ 3, y 8/2024, de 16 de enero, haciendo hincapié en la prohibición de interpretaciones y aplicaciones irrazonables de las normas penales.</w:t>
      </w:r>
    </w:p>
    <w:p w14:paraId="63A1CE09" w14:textId="77777777" w:rsidR="003754FE" w:rsidRDefault="003754FE" w:rsidP="003754FE">
      <w:pPr>
        <w:pStyle w:val="TextoNormal"/>
      </w:pPr>
    </w:p>
    <w:p w14:paraId="11A6A169" w14:textId="77777777" w:rsidR="003754FE" w:rsidRDefault="003754FE" w:rsidP="003754FE">
      <w:pPr>
        <w:pStyle w:val="TextoNormal"/>
      </w:pPr>
      <w:r>
        <w:t>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(art. 25.1 CE) (SSTC 137/1997, de 21 de julio, FJ 6; 151/1997, de 29 de septiembre, FJ 4; 232/1997, de 16 de diciembre, FJ 2, y 162/1999, de 27 de septiembre, FJ 5). En numerosas resoluciones (desde la STC 150/1989, de 25 de septiembre, FJ 6, hasta la STC 54/2023, FJ 3, y, entre ellas, muchas intermedias) hemos puesto de relieve que el derecho reconocido en el art. 25.1 CE es una concreción de diversos aspectos del Estado de Derecho en el ámbito del Derecho estatal sancionador. Se vincula, ante todo, con el imperio de la ley como presupuesto de la actuación del Estado sobre los bienes jurídicos de los ciudadanos, pero también con el derecho de los ciudadanos a la seguridad jurídica, así como con la prohibición de la arbitrariedad y el derecho a la objetividad e imparcialidad del juicio de los tribunales, que garantizan el art. 24.2 y el art. 117.1 CE, especialmente cuando este declara que los jueces y magistrados están “sometidos únicamente al imperio de la ley”.</w:t>
      </w:r>
    </w:p>
    <w:p w14:paraId="2EF1A6EC" w14:textId="77777777" w:rsidR="003754FE" w:rsidRDefault="003754FE" w:rsidP="003754FE">
      <w:pPr>
        <w:pStyle w:val="TextoNormal"/>
      </w:pPr>
    </w:p>
    <w:p w14:paraId="43BAC0FA" w14:textId="77777777" w:rsidR="003754FE" w:rsidRDefault="003754FE" w:rsidP="003754FE">
      <w:pPr>
        <w:pStyle w:val="TextoNormal"/>
      </w:pPr>
      <w:r>
        <w:t xml:space="preserve">Convergen en él diversos fundamentos. De un lado, la libertad, con la regla general de la licitud de lo no prohibido, y la seguridad jurídica, que exige saber a qué atenerse (SSTC 101/1988, de 8 de junio, FJ 3; 239/1988, de 14 de diciembre, FJ 2, o 215/2016, de 15 de diciembre, FJ 8). La previsibilidad de las consecuencias jurídicas de los propios actos resulta una exigencia material imprescindible para mantener la seguridad y, con ello, la libertad de actuación en niveles constitucionalmente admisibles. De otro lado, la exigencia de legitimidad democrática de las normas penales es garantía de intervención del pueblo en una decisión tan trascendental para sus derechos como la definición de la conducta prohibida bajo amenaza de pena (STC 142/1999, de 22 de julio, FJ 3). La garantía imbricada de la libertad y de la seguridad jurídica junto con su legitimación democrática operan como criterios rectores de la tarea de definir los contenidos del art. 25.1 CE, que hemos identificado con los diversos aspectos característicos enunciados con el brocardo </w:t>
      </w:r>
      <w:r w:rsidRPr="003754FE">
        <w:rPr>
          <w:i/>
        </w:rPr>
        <w:t>nullum crimen, nulla poena sine praevia lege scripta, certa et stricta</w:t>
      </w:r>
      <w:r>
        <w:t xml:space="preserve"> (en distintas formulaciones, entre muchas, SSTC 133/1987, de 21 de julio, FJ 4; 127/1990, de 5 de julio, FJ 3; 111/1993, de 25 de marzo, FJ 6; 53/1994, de 24 de febrero, FJ 4; 137/1997, FJ 6; 151/1997, FJ 3; 232/1997, FJ 2; 75/2002, de 8 de abril, FJ 4; 234/2007, de 5 de noviembre, FJ 3, y 14/2021, FJ 2).</w:t>
      </w:r>
    </w:p>
    <w:p w14:paraId="3FBF8B50" w14:textId="77777777" w:rsidR="003754FE" w:rsidRDefault="003754FE" w:rsidP="003754FE">
      <w:pPr>
        <w:pStyle w:val="TextoNormal"/>
      </w:pPr>
    </w:p>
    <w:p w14:paraId="4A6DF1CB" w14:textId="77777777" w:rsidR="003754FE" w:rsidRDefault="003754FE" w:rsidP="003754FE">
      <w:pPr>
        <w:pStyle w:val="TextoNormal"/>
      </w:pPr>
      <w:r>
        <w:t>b) La primera garantía que contiene el principio de legalidad es la garantía formal, que impone una reserva de ley absoluta (STC 15/1981, de 7 de mayo, FJ 7) para definir delitos y para amenazarlos con penas, quedando así acotadas las fuentes del Derecho en materia penal [SSTC 142/1999,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w:t>
      </w:r>
      <w:r w:rsidRPr="003754FE">
        <w:rPr>
          <w:i/>
        </w:rPr>
        <w:t>lex praevia</w:t>
      </w:r>
      <w:r>
        <w:t>) que permitan predecir con el suficiente grado de certeza (</w:t>
      </w:r>
      <w:r w:rsidRPr="003754FE">
        <w:rPr>
          <w:i/>
        </w:rPr>
        <w:t>lex certa</w:t>
      </w:r>
      <w:r>
        <w:t>) dichas conductas, y se sepa a qué atenerse en cuanto a la aneja responsabilidad y a la eventual sanción” (SSTC 25/2004, de 26 de febrero, FJ 4; 218/2005, de 12 de septiembre, FJ 2; 297/2005, de 21 de noviembre, FJ 6, y 283/2006, de 9 de octubre, FJ 5).</w:t>
      </w:r>
    </w:p>
    <w:p w14:paraId="4EA689B1" w14:textId="77777777" w:rsidR="003754FE" w:rsidRDefault="003754FE" w:rsidP="003754FE">
      <w:pPr>
        <w:pStyle w:val="TextoNormal"/>
      </w:pPr>
    </w:p>
    <w:p w14:paraId="382DF971" w14:textId="77777777" w:rsidR="003754FE" w:rsidRDefault="003754FE" w:rsidP="003754FE">
      <w:pPr>
        <w:pStyle w:val="TextoNormal"/>
      </w:pPr>
      <w:r>
        <w:t>c) En particular, la previsibilidad de las consecuencias de la propia conducta puede burlarse tanto por un legislador como por un juzgador que actúen desconociendo el sentido de garantía de la ley penal, bien por la formulación vaga e imprecisa de la misma, bien con su aplicación a supuestos no comprendidos en ella (SSTC 142/1999, FJ 3, y 24/2004, de 24 de febrero,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w:t>
      </w:r>
      <w:r w:rsidRPr="003754FE">
        <w:rPr>
          <w:i/>
        </w:rPr>
        <w:t>lex certa</w:t>
      </w:r>
      <w:r>
        <w:t>), para que los ciudadanos puedan conocer de antemano el ámbito de lo proscrito y prever las consecuencias de sus acciones (SSTC 242/2005, de 10 de octubre, FJ 2; 283/2006, FJ 5; 162/2008, de 15 de diciembre, FJ 1; 81/2009, de 23 de marzo, FJ 4; 135/2010, de 2 de diciembre, FJ 4, y 9/2018, de 5 de febrero, FJ 6). Los jueces y tribunales, por su parte, están sometidos al principio de tipicidad (</w:t>
      </w:r>
      <w:r w:rsidRPr="003754FE">
        <w:rPr>
          <w:i/>
        </w:rPr>
        <w:t>lex stricta</w:t>
      </w:r>
      <w:r>
        <w:t>) en su labor de aplicación de las leyes, que implica una sujeción estricta a la ley penal y el veto a la exégesis y aplicación de las normas penales fuera de los supuestos y de los límites que determinan.</w:t>
      </w:r>
    </w:p>
    <w:p w14:paraId="364A723B" w14:textId="77777777" w:rsidR="003754FE" w:rsidRDefault="003754FE" w:rsidP="003754FE">
      <w:pPr>
        <w:pStyle w:val="TextoNormal"/>
      </w:pPr>
    </w:p>
    <w:p w14:paraId="0BF4C1C1" w14:textId="77777777" w:rsidR="003754FE" w:rsidRDefault="003754FE" w:rsidP="003754FE">
      <w:pPr>
        <w:pStyle w:val="TextoNormal"/>
      </w:pPr>
      <w: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FJ 6). La analogía </w:t>
      </w:r>
      <w:r w:rsidRPr="003754FE">
        <w:rPr>
          <w:i/>
        </w:rPr>
        <w:t>in malam partem</w:t>
      </w:r>
      <w:r>
        <w:t xml:space="preserve"> y las interpretaciones extensivas de la norma penal por parte de los órganos judiciales han sido expresamente reprobadas por nuestra doctrina, por contravenir el </w:t>
      </w:r>
      <w:r>
        <w:lastRenderedPageBreak/>
        <w:t>mandato del art. 25.1 CE en tanto que exégesis y aplicación de las normas fuera de los supuestos y de los límites que ellas mismas determinan (SSTC 81/1995, de 5 de junio, FJ 5; 34/1996, de 11 de marzo, FJ 5; 64/2001, FJ 4; 170/2002, de 30 de septiembre, FJ 12; 229/2003, de 18 de diciembre, FJ 6, y 229/2007, de 5 de noviembre, FJ 4).</w:t>
      </w:r>
    </w:p>
    <w:p w14:paraId="3E0E614D" w14:textId="77777777" w:rsidR="003754FE" w:rsidRDefault="003754FE" w:rsidP="003754FE">
      <w:pPr>
        <w:pStyle w:val="TextoNormal"/>
      </w:pPr>
    </w:p>
    <w:p w14:paraId="4E9095D9" w14:textId="77777777" w:rsidR="003754FE" w:rsidRDefault="003754FE" w:rsidP="003754FE">
      <w:pPr>
        <w:pStyle w:val="TextoNormal"/>
      </w:pPr>
      <w:r>
        <w:t xml:space="preserve">e) El examen de la razonabilidad de la subsunción de los hechos probados en la norma penal tiene como primer criterio el respeto al tenor literal de la norma, y la consiguiente prohibición de la analogía </w:t>
      </w:r>
      <w:r w:rsidRPr="003754FE">
        <w:rPr>
          <w:i/>
        </w:rPr>
        <w:t>in malam partem</w:t>
      </w:r>
      <w:r>
        <w:t>. El tenor literal del enunciado normativo marca en todo caso una zona indudable de exclusión de comportamientos (STC 137/1997,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FJ 7; también, entre otras, SSTC 189/1998, de 28 de septiembre, FJ 7; 13/2003, de 28 de enero, FJ 3; 138/2004, de 13 de septiembre, FJ 3; 242/2005, FJ 4; 9/2006, de 16 de enero, FJ 4, y 262/2006, de 11 de septiembre, FJ 4).</w:t>
      </w:r>
    </w:p>
    <w:p w14:paraId="512123E0" w14:textId="77777777" w:rsidR="003754FE" w:rsidRDefault="003754FE" w:rsidP="003754FE">
      <w:pPr>
        <w:pStyle w:val="TextoNormal"/>
      </w:pPr>
    </w:p>
    <w:p w14:paraId="7FCB3680" w14:textId="718B50AC" w:rsidR="003754FE" w:rsidRDefault="003754FE" w:rsidP="003754FE">
      <w:pPr>
        <w:pStyle w:val="TextoNormal"/>
      </w:pPr>
      <w: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w:t>
      </w:r>
      <w:r w:rsidRPr="003754FE">
        <w:rPr>
          <w:i/>
        </w:rPr>
        <w:t>per se</w:t>
      </w:r>
      <w:r>
        <w:t xml:space="preserve"> nos es ajena y solo podrá ser tomada en cuenta en la medida en que incida en la irrazonabilidad de la interpretación judicial impugnada” (STC 129/2008, FJ 3).</w:t>
      </w:r>
    </w:p>
    <w:p w14:paraId="6727914F" w14:textId="77777777" w:rsidR="003754FE" w:rsidRDefault="003754FE" w:rsidP="003754FE">
      <w:pPr>
        <w:pStyle w:val="TextoNormal"/>
      </w:pPr>
    </w:p>
    <w:p w14:paraId="0C2DB983" w14:textId="77777777" w:rsidR="003754FE" w:rsidRDefault="003754FE" w:rsidP="003754FE">
      <w:pPr>
        <w:pStyle w:val="TextoNormal"/>
      </w:pPr>
      <w:r w:rsidRPr="003754FE">
        <w:rPr>
          <w:rStyle w:val="NumeroAFNegritaCaracter"/>
        </w:rPr>
        <w:t>4</w:t>
      </w:r>
      <w:r>
        <w:t xml:space="preserve">. </w:t>
      </w:r>
      <w:r w:rsidRPr="003754FE">
        <w:rPr>
          <w:i/>
        </w:rPr>
        <w:t>Vulneración del derecho a la legalidad penal (art. 25.1 CE) derivada de la condena por el delito de prevaricación del art. 404 CP</w:t>
      </w:r>
    </w:p>
    <w:p w14:paraId="1BBAC658" w14:textId="77777777" w:rsidR="003754FE" w:rsidRDefault="003754FE" w:rsidP="003754FE">
      <w:pPr>
        <w:pStyle w:val="TextoNormal"/>
      </w:pPr>
    </w:p>
    <w:p w14:paraId="3271CCE7" w14:textId="77777777" w:rsidR="003754FE" w:rsidRDefault="003754FE" w:rsidP="003754FE">
      <w:pPr>
        <w:pStyle w:val="TextoNormal"/>
      </w:pPr>
      <w:r>
        <w:t xml:space="preserve">4.1. </w:t>
      </w:r>
      <w:r w:rsidRPr="003754FE">
        <w:rPr>
          <w:i/>
        </w:rPr>
        <w:t>Exposición de la queja del recurrente y de las posiciones de las partes personadas</w:t>
      </w:r>
    </w:p>
    <w:p w14:paraId="56CE5044" w14:textId="77777777" w:rsidR="003754FE" w:rsidRDefault="003754FE" w:rsidP="003754FE">
      <w:pPr>
        <w:pStyle w:val="TextoNormal"/>
      </w:pPr>
    </w:p>
    <w:p w14:paraId="49342B7F" w14:textId="77777777" w:rsidR="003754FE" w:rsidRDefault="003754FE" w:rsidP="003754FE">
      <w:pPr>
        <w:pStyle w:val="TextoNormal"/>
      </w:pPr>
      <w:r>
        <w:t xml:space="preserve">a) Como con más detalle se ha expuesto en los antecedentes, el demandante de amparo aduce que las resoluciones impugnadas han vulnerado su derecho a la legalidad penal (25.1 </w:t>
      </w:r>
      <w:r>
        <w:lastRenderedPageBreak/>
        <w:t>CE) al considerar que los acuerdos por los que se elevaba al Consejo de Gobierno el anteproyecto de ley y los acuerdos del Consejo de Gobierno por los que se aprobaban y se remitían al Parlamento aquellos; así como la elevación de las propuestas de modificaciones presupuestarias se incardinan dentro de los elementos típicos del delito de prevaricación “resolución” y “en asunto administrativo” (art. 404 CP). Asimismo, considera que ni los anteproyectos ni los proyectos de leyes tienen carácter decisorio y no están sometidos a otro control que el del Parlamento y, en su caso, al del Tribunal Constitucional. También alega que, en contra de lo que sostienen las sentencias recurridas, tales actos no pueden considerarse arbitrarios, dado, que, por una parte, el carácter arbitrario de un acto no depende de la voluntad de su autor y, de otra, no se realizaron con la finalidad de eludir controles legales, sino de realizar una actuación política que facilitara la concesión de ayudas sociolaborales en un momento de crisis económica.</w:t>
      </w:r>
    </w:p>
    <w:p w14:paraId="436BEDCB" w14:textId="77777777" w:rsidR="003754FE" w:rsidRDefault="003754FE" w:rsidP="003754FE">
      <w:pPr>
        <w:pStyle w:val="TextoNormal"/>
      </w:pPr>
    </w:p>
    <w:p w14:paraId="40B38D7D" w14:textId="77777777" w:rsidR="003754FE" w:rsidRDefault="003754FE" w:rsidP="003754FE">
      <w:pPr>
        <w:pStyle w:val="TextoNormal"/>
      </w:pPr>
      <w:r>
        <w:t>Aduce, además, que no resulta previsible una condena por prevaricación por aprobar un proyecto de ley, pues los proyectos de leyes que tienen por objeto modificar una ley son siempre contrarios a las leyes vigentes. Por ello sostiene que considerarlos de tal modo conlleva una devaluación del sistema de fuentes y la quiebra del principio de división de poderes.</w:t>
      </w:r>
    </w:p>
    <w:p w14:paraId="354A38B7" w14:textId="77777777" w:rsidR="003754FE" w:rsidRDefault="003754FE" w:rsidP="003754FE">
      <w:pPr>
        <w:pStyle w:val="TextoNormal"/>
      </w:pPr>
    </w:p>
    <w:p w14:paraId="1817D2AA" w14:textId="77777777" w:rsidR="003754FE" w:rsidRDefault="003754FE" w:rsidP="003754FE">
      <w:pPr>
        <w:pStyle w:val="TextoNormal"/>
      </w:pPr>
      <w:r>
        <w:t>b) El Partido Popular solicitó, para el caso de que no se acogiera la causa de inadmisibilidad alegada respecto de esta queja, su desestimación. Considera que los órganos judiciales han efectuado una aplicación razonada y racional del tipo delictivo.</w:t>
      </w:r>
    </w:p>
    <w:p w14:paraId="508E33E9" w14:textId="77777777" w:rsidR="003754FE" w:rsidRDefault="003754FE" w:rsidP="003754FE">
      <w:pPr>
        <w:pStyle w:val="TextoNormal"/>
      </w:pPr>
    </w:p>
    <w:p w14:paraId="59E490F8" w14:textId="77777777" w:rsidR="003754FE" w:rsidRDefault="003754FE" w:rsidP="003754FE">
      <w:pPr>
        <w:pStyle w:val="TextoNormal"/>
      </w:pPr>
      <w:r>
        <w:t>c) Las representaciones procesales de don Jesús María Rodríguez Román y doña Carmen Martínez Aguayo se adhirieron a los motivos formulados por el recurrente.</w:t>
      </w:r>
    </w:p>
    <w:p w14:paraId="2D813341" w14:textId="77777777" w:rsidR="003754FE" w:rsidRDefault="003754FE" w:rsidP="003754FE">
      <w:pPr>
        <w:pStyle w:val="TextoNormal"/>
      </w:pPr>
    </w:p>
    <w:p w14:paraId="36B8EB2A" w14:textId="77777777" w:rsidR="003754FE" w:rsidRDefault="003754FE" w:rsidP="003754FE">
      <w:pPr>
        <w:pStyle w:val="TextoNormal"/>
      </w:pPr>
      <w:r>
        <w:t xml:space="preserve">d) A juicio del Ministerio Fiscal, los argumentos en los que las resoluciones impugnadas fundamentan la naturaleza administrativa de los actos de aprobación de un proyecto de ley para su remisión al Parlamento y su carácter decisorio no se cohonestan con la jurisprudencia constitucional, lo que le lleva a sostener que la interpretación efectuada de los elementos típicos del art. 404 CP era imprevisible. Por otra parte, alega también que los razonamientos de las sentencias impugnadas por los que se pretende disociar la vertiente administrativa y político legislativa de un mismo acto adolecen de un déficit de coherencia y completitud lógico-jurídica que impiden considerarlos acordes con las exigencias que se derivan del artículo 25.1 CE. Entiende que no es posible afirmar, como hacen las sentencias recurridas, que los anteproyectos de leyes son inmunes al control jurisdiccional, pero pueden ser objeto de control por la jurisdicción penal a efectos de apreciar si quien los realiza incurre en responsabilidad penal. Por todo ello sostiene que existen motivos para asumir la queja del recurrente, en relación con estos actos, y apreciar que respecto de ellos su condena se apoya en una aplicación extensiva o analógica </w:t>
      </w:r>
      <w:r w:rsidRPr="003754FE">
        <w:rPr>
          <w:i/>
        </w:rPr>
        <w:t>in malam partem</w:t>
      </w:r>
      <w:r>
        <w:t xml:space="preserve"> de la norma sancionadora.</w:t>
      </w:r>
    </w:p>
    <w:p w14:paraId="1769A4D4" w14:textId="77777777" w:rsidR="003754FE" w:rsidRDefault="003754FE" w:rsidP="003754FE">
      <w:pPr>
        <w:pStyle w:val="TextoNormal"/>
      </w:pPr>
    </w:p>
    <w:p w14:paraId="05A5BB58" w14:textId="77777777" w:rsidR="003754FE" w:rsidRDefault="003754FE" w:rsidP="003754FE">
      <w:pPr>
        <w:pStyle w:val="TextoNormal"/>
      </w:pPr>
      <w:r>
        <w:t xml:space="preserve">Estas consideraciones, sin embargo, a juicio del fiscal no son extrapolables a las modificaciones presupuestarias. Considera que las modificaciones o transferencias de crédito, una vez aprobada la ley anual de presupuestos, y que afectan al contenido de los créditos en los estados de gastos autorizados —pero no modifican el monto global del presupuesto— son competencia del Consejo de Gobierno o de la Consejería de Hacienda y por tanto entiende que los razonamientos efectuados por las sentencias impugnadas para excluir las modificaciones presupuestarias del carácter propio del valor de ley se ajustan a la normativa, por lo </w:t>
      </w:r>
      <w:r>
        <w:lastRenderedPageBreak/>
        <w:t>que no pueden considerase lesivos del principio de legalidad penal (art. 25.1 CE). En relación con este tipo de actos, el fiscal sostiene también que las resoluciones impugnadas han expuesto los elementos probatorios que permiten considerar acreditado que el recurrente tenía plena consciencia de que actuaba al margen del ordenamiento jurídico ocasionando un resultado materialmente injusto.</w:t>
      </w:r>
    </w:p>
    <w:p w14:paraId="1A71B092" w14:textId="77777777" w:rsidR="003754FE" w:rsidRDefault="003754FE" w:rsidP="003754FE">
      <w:pPr>
        <w:pStyle w:val="TextoNormal"/>
      </w:pPr>
    </w:p>
    <w:p w14:paraId="267F593F" w14:textId="77777777" w:rsidR="003754FE" w:rsidRDefault="003754FE" w:rsidP="003754FE">
      <w:pPr>
        <w:pStyle w:val="TextoNormal"/>
      </w:pPr>
      <w:r>
        <w:t xml:space="preserve">4.2. </w:t>
      </w:r>
      <w:r w:rsidRPr="003754FE">
        <w:rPr>
          <w:i/>
        </w:rPr>
        <w:t>Síntesis de los argumentos en los que las resoluciones judiciales fundamentan la condena del recurrente</w:t>
      </w:r>
    </w:p>
    <w:p w14:paraId="640135FF" w14:textId="77777777" w:rsidR="003754FE" w:rsidRDefault="003754FE" w:rsidP="003754FE">
      <w:pPr>
        <w:pStyle w:val="TextoNormal"/>
      </w:pPr>
    </w:p>
    <w:p w14:paraId="2D646222" w14:textId="77777777" w:rsidR="003754FE" w:rsidRDefault="003754FE" w:rsidP="003754FE">
      <w:pPr>
        <w:pStyle w:val="TextoNormal"/>
      </w:pPr>
      <w:r>
        <w:t>El Tribunal Supremo desestima los motivos del recurso de casación en los que se refiere a la indebida subsunción de los hechos probados en el delito de prevaricación y la consiguiente lesión del derecho a la legalidad penal (art. 25.1 CE) por las razones expuestas en los fundamentos jurídicos vigésimo a vigesimosegundo y vigesimosexto, destinados a la resolución de lo que denomina “cuestiones generales”. En síntesis estos fundamentos sostienen que:</w:t>
      </w:r>
    </w:p>
    <w:p w14:paraId="77BBB076" w14:textId="77777777" w:rsidR="003754FE" w:rsidRDefault="003754FE" w:rsidP="003754FE">
      <w:pPr>
        <w:pStyle w:val="TextoNormal"/>
      </w:pPr>
    </w:p>
    <w:p w14:paraId="6830B4B9" w14:textId="77777777" w:rsidR="003754FE" w:rsidRDefault="003754FE" w:rsidP="003754FE">
      <w:pPr>
        <w:pStyle w:val="TextoNormal"/>
      </w:pPr>
      <w:r>
        <w:t>(i) La Sala de lo Penal del Tribunal Supremo rechaza las alegaciones del recurrente en las que aduce que no puede considerarse resolución recaída en un asunto administrativo a las actuaciones llevadas a cabo con ocasión de la elaboración de un anteproyecto ni a su aprobación como proyecto de ley. La Sala de lo Penal afirma que esta cuestión debe tener otro enfoque “cuando se trata de determinar qué deb[e] entenderse por asunto administrativo a efectos penales”. Considera que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[concluye la Sala] posibilitaría un ámbito de inmunidad difícilmente justificable” (fundamento de Derecho 20.3, págs. 238-239).</w:t>
      </w:r>
    </w:p>
    <w:p w14:paraId="1265637E" w14:textId="77777777" w:rsidR="003754FE" w:rsidRDefault="003754FE" w:rsidP="003754FE">
      <w:pPr>
        <w:pStyle w:val="TextoNormal"/>
      </w:pPr>
    </w:p>
    <w:p w14:paraId="70811E42" w14:textId="77777777" w:rsidR="003754FE" w:rsidRDefault="003754FE" w:rsidP="003754FE">
      <w:pPr>
        <w:pStyle w:val="TextoNormal"/>
      </w:pPr>
      <w:r>
        <w:t>(ii) La sentencia de la Sala de lo Penal establece que “los procedimientos reglados que culminan en la decisión de elevar un proyecto de ley al Gobierno no son actos propiamente legislativos, sino actos de Gobierno que, por ser reglados, pueden ser el contexto objetivo para la comisión de un delito de prevaricación” (fundamento de Derecho 20.3, pág. 239).</w:t>
      </w:r>
    </w:p>
    <w:p w14:paraId="5E98A85C" w14:textId="77777777" w:rsidR="003754FE" w:rsidRDefault="003754FE" w:rsidP="003754FE">
      <w:pPr>
        <w:pStyle w:val="TextoNormal"/>
      </w:pPr>
    </w:p>
    <w:p w14:paraId="152BF34E" w14:textId="77777777" w:rsidR="003754FE" w:rsidRDefault="003754FE" w:rsidP="003754FE">
      <w:pPr>
        <w:pStyle w:val="TextoNormal"/>
      </w:pPr>
      <w:r>
        <w:t>(iii) También considera que “lo que se debe determinar en este caso no es si las resoluciones adoptadas en el proceso prelegislativo son susceptibles de control por la jurisdicción contencioso administrativa, cuestión que es ajena a la jurisdicción penal, sino si esas resoluciones pueden cumplir con las exigencias típicas del artículo 404 CP, que es algo sustancialmente diferente” (fundamento de Derecho 21.2, pág. 245).</w:t>
      </w:r>
    </w:p>
    <w:p w14:paraId="71075AB5" w14:textId="77777777" w:rsidR="003754FE" w:rsidRDefault="003754FE" w:rsidP="003754FE">
      <w:pPr>
        <w:pStyle w:val="TextoNormal"/>
      </w:pPr>
    </w:p>
    <w:p w14:paraId="645A1C29" w14:textId="77777777" w:rsidR="003754FE" w:rsidRDefault="003754FE" w:rsidP="003754FE">
      <w:pPr>
        <w:pStyle w:val="TextoNormal"/>
      </w:pPr>
      <w:r>
        <w:t xml:space="preserve">(iv) La sentencia de la Sala de lo Penal, a los efectos de determinar si concurren los elementos típicos del delito de prevaricación distingue, por una parte, “entre la decisión de elevar un proyecto de ley al Gobierno así como el contenido del proyecto normativo, en cuanto incorpora decisiones sujetas a criterios de oportunidad y discrecionalidad, que es un acto de Gobierno inmune al control jurisdiccional” y, por otra, “las distintas decisiones que se adoptan para aprobar un proyecto de ley de presupuestos o una modificación presupuestaria, antes de su final elevación al Parlamento (en el caso de los proyectos de ley) que tienen </w:t>
      </w:r>
      <w:r>
        <w:lastRenderedPageBreak/>
        <w:t>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[se afirma en la sentencia impugnada] que la ley imponga unas reglas en la elaboración del proyecto de ley o de una norma con fuerza de ley y que esas reglas imperativas puedan ser desconocidas sin consecuencias, cuando lo pretendido sea violar de forma patente y arbitraria la ley” (fundamento de Derecho 21.2, pág. 246).</w:t>
      </w:r>
    </w:p>
    <w:p w14:paraId="7920B51A" w14:textId="77777777" w:rsidR="003754FE" w:rsidRDefault="003754FE" w:rsidP="003754FE">
      <w:pPr>
        <w:pStyle w:val="TextoNormal"/>
      </w:pPr>
    </w:p>
    <w:p w14:paraId="5A2634E7" w14:textId="77777777" w:rsidR="003754FE" w:rsidRDefault="003754FE" w:rsidP="003754FE">
      <w:pPr>
        <w:pStyle w:val="TextoNormal"/>
      </w:pPr>
      <w:r>
        <w:t>(v) Las consideraciones expuestas llevan al Tribunal Supremo a afirmar que “las resoluciones dictadas relativas a este segundo contenido [las adoptadas en la elaboración del anteproyecto y proyecto de ley] no son actos de Gobierno inmunes al control de la jurisdicción penal, sino ‘resoluciones en asunto administrativo’, a los efectos del artículo 404 CP” (fundamento de Derecho 21.2, pág. 246).</w:t>
      </w:r>
    </w:p>
    <w:p w14:paraId="52FE6A69" w14:textId="77777777" w:rsidR="003754FE" w:rsidRDefault="003754FE" w:rsidP="003754FE">
      <w:pPr>
        <w:pStyle w:val="TextoNormal"/>
      </w:pPr>
    </w:p>
    <w:p w14:paraId="7DEBB322" w14:textId="77777777" w:rsidR="003754FE" w:rsidRDefault="003754FE" w:rsidP="003754FE">
      <w:pPr>
        <w:pStyle w:val="TextoNormal"/>
      </w:pPr>
      <w:r>
        <w:t>(vi) Con invocación de sus propios precedentes, la Sala concluye “que el concepto de resolución al que alude el artículo 404 CP no se reduce a la decisión que pone fin a un procedimiento administrativo, sino que puede extenderse a actuaciones posteriores que ejecutan la resolución y actuaciones anteriores de relevancia que hayan sido imprescindibles para adoptar la resolución final quebrantando los controles establecidos en la ley” (fundamento de Derecho 22, pág. 253).</w:t>
      </w:r>
    </w:p>
    <w:p w14:paraId="0BFD390C" w14:textId="77777777" w:rsidR="003754FE" w:rsidRDefault="003754FE" w:rsidP="003754FE">
      <w:pPr>
        <w:pStyle w:val="TextoNormal"/>
      </w:pPr>
    </w:p>
    <w:p w14:paraId="4335BFEA" w14:textId="77777777" w:rsidR="003754FE" w:rsidRDefault="003754FE" w:rsidP="003754FE">
      <w:pPr>
        <w:pStyle w:val="TextoNormal"/>
      </w:pPr>
      <w:r>
        <w:t>(vii) Las consideraciones expuestas llevan al Tribunal Supremo a afirmar que la elaboración de un anteproyecto de ley, su aprobación como proyecto, así como el proceso de elaboración y aprobación de una modificación presupuestaria pueden ser calificadas como resolución en asunto administrativo en el sentido del art. 404 CP.</w:t>
      </w:r>
    </w:p>
    <w:p w14:paraId="0B50DD79" w14:textId="77777777" w:rsidR="003754FE" w:rsidRDefault="003754FE" w:rsidP="003754FE">
      <w:pPr>
        <w:pStyle w:val="TextoNormal"/>
      </w:pPr>
    </w:p>
    <w:p w14:paraId="72C7306A" w14:textId="77777777" w:rsidR="003754FE" w:rsidRDefault="003754FE" w:rsidP="003754FE">
      <w:pPr>
        <w:pStyle w:val="TextoNormal"/>
      </w:pPr>
      <w:r>
        <w:t xml:space="preserve">4.3. </w:t>
      </w:r>
      <w:r w:rsidRPr="003754FE">
        <w:rPr>
          <w:i/>
        </w:rPr>
        <w:t>Características de nuestra democracia constitucional y parlamentaria</w:t>
      </w:r>
    </w:p>
    <w:p w14:paraId="3B296050" w14:textId="77777777" w:rsidR="003754FE" w:rsidRDefault="003754FE" w:rsidP="003754FE">
      <w:pPr>
        <w:pStyle w:val="TextoNormal"/>
      </w:pPr>
    </w:p>
    <w:p w14:paraId="635CF208" w14:textId="77777777" w:rsidR="003754FE" w:rsidRDefault="003754FE" w:rsidP="003754FE">
      <w:pPr>
        <w:pStyle w:val="TextoNormal"/>
      </w:pPr>
      <w:r>
        <w:t>Una vez reseñados los razonamientos de la sentencia, antes de analizar si la interpretación que efectúan las resoluciones impugnadas de la norma aplicada es lesiva del art. 25.1 CE, es preciso recordar cuáles son los elementos esenciales en los que se basa nuestro sistema constitucional, toda vez que el fundamento de la condena parte de una determinada comprensión de las relaciones entre el Ejecutivo autonómico y su Parlamento que trasciende del ámbito de la legalidad y se adentra en el plano de la constitucionalidad. Esta cuestión es de gran relevancia en este caso dado que el Tribunal apreció la especial trascendencia del recurso [art. 50.1 b) LOTC] por considerar que las cuestiones en él planteadas afectan a la esencia de las relaciones institucionales entre los poderes que conforman el Estado. En el ATC 287/2023, de 5 de junio, FJ 2, se afirma que, uno de los motivos por los que este recurso tiene especial trascendencia constitucional es porque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Es a este tribunal al que corresponde en último término la interpretación de las cuestiones que se plantean en este recurso, al ser inherentes a la configuración propia del Estado constitucional.</w:t>
      </w:r>
    </w:p>
    <w:p w14:paraId="39D75F35" w14:textId="77777777" w:rsidR="003754FE" w:rsidRDefault="003754FE" w:rsidP="003754FE">
      <w:pPr>
        <w:pStyle w:val="TextoNormal"/>
      </w:pPr>
    </w:p>
    <w:p w14:paraId="0C88E02A" w14:textId="77777777" w:rsidR="003754FE" w:rsidRDefault="003754FE" w:rsidP="003754FE">
      <w:pPr>
        <w:pStyle w:val="TextoNormal"/>
      </w:pPr>
      <w:r>
        <w:t>A) Por todo ello, la resolución del presente recurso de amparo exige partir de las consecuencias que se derivan de que nuestra forma de Estado sea una democracia constitucional y parlamentaria. Esta cuestión ha sido analizada en la STC 93/2024, de 19 de junio, FJ 4.3, por lo que ahora se va a exponer sucintamente la doctrina en ella contenida, con remisión a lo que en la referida sentencia se establece.</w:t>
      </w:r>
    </w:p>
    <w:p w14:paraId="47140A0C" w14:textId="77777777" w:rsidR="003754FE" w:rsidRDefault="003754FE" w:rsidP="003754FE">
      <w:pPr>
        <w:pStyle w:val="TextoNormal"/>
      </w:pPr>
    </w:p>
    <w:p w14:paraId="4ACA29BB" w14:textId="77777777" w:rsidR="003754FE" w:rsidRDefault="003754FE" w:rsidP="003754FE">
      <w:pPr>
        <w:pStyle w:val="TextoNormal"/>
      </w:pPr>
      <w:r>
        <w:t>a) La centralidad del Parlamento, el carácter privilegiado de la ley y el monopolio de control de su constitucionalidad por el Tribunal Constitucional definen nuestro sistema constitucional.</w:t>
      </w:r>
    </w:p>
    <w:p w14:paraId="197E98B8" w14:textId="77777777" w:rsidR="003754FE" w:rsidRDefault="003754FE" w:rsidP="003754FE">
      <w:pPr>
        <w:pStyle w:val="TextoNormal"/>
      </w:pPr>
    </w:p>
    <w:p w14:paraId="33322875" w14:textId="77777777" w:rsidR="003754FE" w:rsidRDefault="003754FE" w:rsidP="003754FE">
      <w:pPr>
        <w:pStyle w:val="TextoNormal"/>
      </w:pPr>
      <w:r>
        <w:t>b) Nuestra Constitución ha acogido la forma de gobierno parlamentaria. Ha delimitado, por una parte, las funciones del Parlamento (título III), por otra, las del Gobierno (título IV) y ha regulado y dedicado su título V a establecer las relaciones entre ambos poderes. La función de control del Gobierno que desempeñan los parlamentos (art. 66.2 CE) es inherente a su carácter representativo y a la forma de gobierno parlamentaria que se establece en el art. 1.3 CE. Solo de este modo se garantiza el equilibrio entre estos poderes previsto en nuestra Norma Fundamental.</w:t>
      </w:r>
    </w:p>
    <w:p w14:paraId="06B644E2" w14:textId="77777777" w:rsidR="003754FE" w:rsidRDefault="003754FE" w:rsidP="003754FE">
      <w:pPr>
        <w:pStyle w:val="TextoNormal"/>
      </w:pPr>
    </w:p>
    <w:p w14:paraId="52425DAB" w14:textId="77777777" w:rsidR="003754FE" w:rsidRDefault="003754FE" w:rsidP="003754FE">
      <w:pPr>
        <w:pStyle w:val="TextoNormal"/>
      </w:pPr>
      <w:r>
        <w:t>c) La Constitución no define en qué consiste esta forma de control al Gobierno, pero una interpretación sistemática y teleológica ha llevado al Tribunal a entender que este control no se limita a los instrumentos que prevé su título V, sino que incluye también el que se ejerce a través de la función legislativa y, dentro de esta, de la función presupuestaria, al permitir el debate público y, de este modo, el conocimiento de los ciudadanos de la actuación del Gobierno.</w:t>
      </w:r>
    </w:p>
    <w:p w14:paraId="25E5A90A" w14:textId="77777777" w:rsidR="003754FE" w:rsidRDefault="003754FE" w:rsidP="003754FE">
      <w:pPr>
        <w:pStyle w:val="TextoNormal"/>
      </w:pPr>
    </w:p>
    <w:p w14:paraId="61CA9AD2" w14:textId="77777777" w:rsidR="003754FE" w:rsidRDefault="003754FE" w:rsidP="003754FE">
      <w:pPr>
        <w:pStyle w:val="TextoNormal"/>
      </w:pPr>
      <w:r>
        <w:t xml:space="preserve">d) Uno de los modos de ejercer la función de </w:t>
      </w:r>
      <w:r w:rsidRPr="003754FE">
        <w:rPr>
          <w:i/>
        </w:rPr>
        <w:t>indirizzo politico</w:t>
      </w:r>
      <w:r>
        <w:t xml:space="preserve"> que constitucionalmente corresponde al Gobierno es el ejercicio de la iniciativa legislativa (art. 87.1 CE) y, a los efectos que ahora interesan, es especialmente relevante la iniciativa legislativa en materia presupuestaria que corresponde en exclusiva al Gobierno (art. 134.1 CE).</w:t>
      </w:r>
    </w:p>
    <w:p w14:paraId="5235FF7A" w14:textId="77777777" w:rsidR="003754FE" w:rsidRDefault="003754FE" w:rsidP="003754FE">
      <w:pPr>
        <w:pStyle w:val="TextoNormal"/>
      </w:pPr>
    </w:p>
    <w:p w14:paraId="728928BD" w14:textId="77777777" w:rsidR="003754FE" w:rsidRDefault="003754FE" w:rsidP="003754FE">
      <w:pPr>
        <w:pStyle w:val="TextoNormal"/>
      </w:pPr>
      <w:r>
        <w:t xml:space="preserve">e) La ley de presupuestos no es únicamente un conjunto de previsiones contables. También es un vehículo de dirección y orientación de la política económica que corresponde al Gobierno. Es, además, una “verdadera ley, considerando así superada la cuestión de su carácter formal o material” [STC 76/1992, de 14 de mayo, FJ 4 a)]. “[L]os presupuestos —en el sentido estricto de previsiones de ingresos y habilitaciones de gastos— y el articulado de la ley que los aprueba integran un todo, cuyo contenido adquiere fuerza de ley” [STC 76/1992, de 14 de mayo, FJ 4 a), que cita a su vez la STC 63/1986, de 21 de mayo, FJ 5]”. A través del debate parlamentario del proyecto de ley de presupuestos se fiscaliza el conjunto de la actividad financiera pública para ese ejercicio, se aprueba o se rechaza el programa político, económico y social del Gobierno que los presenta y se controla que la asignación de los recursos públicos sea equitativa. “Precisamente para que dicha función pueda ser realizada, al margen de un posible contenido eventual o disponible, la ley de presupuestos tiene un contenido constitucionalmente determinado que se concreta en la previsión de ingresos y la autorización de gastos, debiendo esta última extenderse tanto al </w:t>
      </w:r>
      <w:r w:rsidRPr="003754FE">
        <w:rPr>
          <w:i/>
        </w:rPr>
        <w:t>quantum</w:t>
      </w:r>
      <w:r>
        <w:t xml:space="preserve"> como a su destino” (STC 3/2003, de 16 de enero, FJ 7).</w:t>
      </w:r>
    </w:p>
    <w:p w14:paraId="220E339F" w14:textId="77777777" w:rsidR="003754FE" w:rsidRDefault="003754FE" w:rsidP="003754FE">
      <w:pPr>
        <w:pStyle w:val="TextoNormal"/>
      </w:pPr>
    </w:p>
    <w:p w14:paraId="2CF925BB" w14:textId="77777777" w:rsidR="003754FE" w:rsidRDefault="003754FE" w:rsidP="003754FE">
      <w:pPr>
        <w:pStyle w:val="TextoNormal"/>
      </w:pPr>
      <w:r>
        <w:lastRenderedPageBreak/>
        <w:t>f) Del carácter central que la Constitución otorga al Parlamento deriva la posición privilegiada de la ley que conlleva su presunción de legitimidad constitucional y que determina 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161.1 CE) o cuando la ley sea preconstitucional. A diferencia de las normas infralegales, que sí pueden ser inaplicadas (art. 6 LOPJ) o, en su caso, declaradas nulas por los órganos judiciales para garantizar la supremacía constitucional, cuando se trata de normas con rango de ley solo el Tribunal Constitucional tiene el monopolio de expulsarlas del ordenamiento jurídico con efecto</w:t>
      </w:r>
      <w:r w:rsidRPr="003754FE">
        <w:rPr>
          <w:i/>
        </w:rPr>
        <w:t>s erga omn</w:t>
      </w:r>
      <w:r>
        <w:t>es.</w:t>
      </w:r>
    </w:p>
    <w:p w14:paraId="613579D4" w14:textId="77777777" w:rsidR="003754FE" w:rsidRDefault="003754FE" w:rsidP="003754FE">
      <w:pPr>
        <w:pStyle w:val="TextoNormal"/>
      </w:pPr>
    </w:p>
    <w:p w14:paraId="37A216C2" w14:textId="77777777" w:rsidR="003754FE" w:rsidRDefault="003754FE" w:rsidP="003754FE">
      <w:pPr>
        <w:pStyle w:val="TextoNormal"/>
      </w:pPr>
      <w:r>
        <w:t>B) Para la resolución de este recurso de amparo es importante también analizar la naturaleza jurídica de los anteproyectos y proyectos de leyes. El ahora recurrente ha sido condenado por incurrir en un delito de prevaricación en concurso medial con el de malversación por participar, entre otras actuaciones, en la tramitación, en su de condición consejero de Economía y Hacienda, de los anteproyectos de la ley de presupuestos para los años 2005, 2006, 2007, 2008 y 2009 y, como miembro del Consejo de Gobierno, en su aprobación como proyectos de leyes.</w:t>
      </w:r>
    </w:p>
    <w:p w14:paraId="73E8A216" w14:textId="77777777" w:rsidR="003754FE" w:rsidRDefault="003754FE" w:rsidP="003754FE">
      <w:pPr>
        <w:pStyle w:val="TextoNormal"/>
      </w:pPr>
    </w:p>
    <w:p w14:paraId="6C39ACC4" w14:textId="77777777" w:rsidR="003754FE" w:rsidRDefault="003754FE" w:rsidP="003754FE">
      <w:pPr>
        <w:pStyle w:val="TextoNormal"/>
      </w:pPr>
      <w:r>
        <w:t>a) En la STC 93/2024, y en la jurisprudencia allí citada, el Tribunal ha establecido que los anteproyectos y proyectos de leyes no pueden ser objeto de control jurídico.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 (ATC 135/2004, de 20 de abril, FJ 6).</w:t>
      </w:r>
    </w:p>
    <w:p w14:paraId="22EAD892" w14:textId="77777777" w:rsidR="003754FE" w:rsidRDefault="003754FE" w:rsidP="003754FE">
      <w:pPr>
        <w:pStyle w:val="TextoNormal"/>
      </w:pPr>
    </w:p>
    <w:p w14:paraId="12C2B466" w14:textId="77777777" w:rsidR="003754FE" w:rsidRDefault="003754FE" w:rsidP="003754FE">
      <w:pPr>
        <w:pStyle w:val="TextoNormal"/>
      </w:pPr>
      <w:r>
        <w:t xml:space="preserve">b) La iniciativa legislativa es el cauce institucionalizado para la modificación de las leyes y normas con rango de ley preexistentes. Por ello, como con detalle se expone en la STC 93/2024, FJ 4.3.4, “el proyecto [de ley] cuyo contenido contraviene la normativa existente mientras que es proyecto no puede someterse a un juicio de legalidad —en ese momento es un acto inexistente para el Derecho— y, una vez que se ha aprobado, al haberse convertido en ley, el único juicio que cabe es el de constitucionalidad. Este juicio solo puede efectuarse respecto de la ley aprobada, no respecto de los actos que conforman su procedimiento de elaboración, que nunca tienen eficacia </w:t>
      </w:r>
      <w:r w:rsidRPr="003754FE">
        <w:rPr>
          <w:i/>
        </w:rPr>
        <w:t>ad extra</w:t>
      </w:r>
      <w:r>
        <w:t xml:space="preserve"> y, como meros actos de trámite, una vez dictado el acto final, esto es, la ley, carecen de autonomía respecto de ella”.</w:t>
      </w:r>
    </w:p>
    <w:p w14:paraId="6012A31D" w14:textId="77777777" w:rsidR="003754FE" w:rsidRDefault="003754FE" w:rsidP="003754FE">
      <w:pPr>
        <w:pStyle w:val="TextoNormal"/>
      </w:pPr>
    </w:p>
    <w:p w14:paraId="165083FA" w14:textId="77777777" w:rsidR="003754FE" w:rsidRDefault="003754FE" w:rsidP="003754FE">
      <w:pPr>
        <w:pStyle w:val="TextoNormal"/>
      </w:pPr>
      <w:r>
        <w:t>c) Resulta, por tanto, que “[e]l contenido del anteproyecto o del proyecto, en tanto tales, es infiscalizable y no puede ejercerse más control que el político” (STC 93/2024, FJ 4.3.3, que cita, a su vez, el ATC 135/2004, FJ 6).</w:t>
      </w:r>
    </w:p>
    <w:p w14:paraId="22DCE260" w14:textId="77777777" w:rsidR="003754FE" w:rsidRDefault="003754FE" w:rsidP="003754FE">
      <w:pPr>
        <w:pStyle w:val="TextoNormal"/>
      </w:pPr>
    </w:p>
    <w:p w14:paraId="5DF3DDDB" w14:textId="77777777" w:rsidR="003754FE" w:rsidRDefault="003754FE" w:rsidP="003754FE">
      <w:pPr>
        <w:pStyle w:val="TextoNormal"/>
      </w:pPr>
      <w:r>
        <w:t xml:space="preserve">C) “El principio de división de poderes determina que los diversos poderes que conforman nuestro Estado han de ejercer sus atribuciones de acuerdo con lo previsto en la Constitución y en los estatutos de autonomía. Cada uno de ellos tiene constitucionalmente </w:t>
      </w:r>
      <w:r>
        <w:lastRenderedPageBreak/>
        <w:t>atribuido su ámbito competencial, que viene delimitado, no solo por un ámbito material, sino también por la forma en que han de relacionarse entre ellos. Cuando un poder del Estado se extralimita en el ejercicio de sus atribuciones se infringe el principio de separación de poderes y se altera el diseño institucional constitucionalmente previsto” (STC 93/2024, FJ, 4.3.5).</w:t>
      </w:r>
    </w:p>
    <w:p w14:paraId="74CD922E" w14:textId="77777777" w:rsidR="003754FE" w:rsidRDefault="003754FE" w:rsidP="003754FE">
      <w:pPr>
        <w:pStyle w:val="TextoNormal"/>
      </w:pPr>
    </w:p>
    <w:p w14:paraId="189DC487" w14:textId="77777777" w:rsidR="003754FE" w:rsidRDefault="003754FE" w:rsidP="003754FE">
      <w:pPr>
        <w:pStyle w:val="TextoNormal"/>
      </w:pPr>
      <w:r>
        <w:t>4.4</w:t>
      </w:r>
      <w:r w:rsidRPr="003754FE">
        <w:rPr>
          <w:i/>
        </w:rPr>
        <w:t>. Enjuiciamiento de la que</w:t>
      </w:r>
      <w:r>
        <w:t>ja</w:t>
      </w:r>
    </w:p>
    <w:p w14:paraId="6587BCC2" w14:textId="77777777" w:rsidR="003754FE" w:rsidRDefault="003754FE" w:rsidP="003754FE">
      <w:pPr>
        <w:pStyle w:val="TextoNormal"/>
      </w:pPr>
    </w:p>
    <w:p w14:paraId="494B21AC" w14:textId="77777777" w:rsidR="003754FE" w:rsidRDefault="003754FE" w:rsidP="003754FE">
      <w:pPr>
        <w:pStyle w:val="TextoNormal"/>
      </w:pPr>
      <w:r>
        <w:t>Una vez expuestos los fundamentos de la condena del recurrente por el delito de prevaricación, así como los rasgos esenciales de nuestra democracia constitucional y parlamentaria —sobre esta cuestión, como se acaba de indicar, se ha efectuado una mera síntesis de lo establecido por el Tribunal en la STC 93/2024, FJ 4.3— se van a enjuiciar las quejas aducidas por el demandante en relación con su condena por el delito de prevaricación.</w:t>
      </w:r>
    </w:p>
    <w:p w14:paraId="57AE1A24" w14:textId="77777777" w:rsidR="003754FE" w:rsidRDefault="003754FE" w:rsidP="003754FE">
      <w:pPr>
        <w:pStyle w:val="TextoNormal"/>
      </w:pPr>
    </w:p>
    <w:p w14:paraId="3C12D54C" w14:textId="77777777" w:rsidR="003754FE" w:rsidRDefault="003754FE" w:rsidP="003754FE">
      <w:pPr>
        <w:pStyle w:val="TextoNormal"/>
      </w:pPr>
      <w:r>
        <w:t>Para ello, han de distinguirse los distintos hechos por los que ha sido condenado como autor de un delito continuado de prevaricación: (A) la elaboración de los anteproyectos de leyes de presupuestos para los ejercicios de los años 2005 a 2009 y su posterior aprobación como proyectos como miembro del Consejo de Gobierno; y (B) la tramitación y aprobación de las modificaciones presupuestarias efectuadas desde los años 2004 a 2008 por las que se incrementó el programa 31L en materia de relaciones laborales (fundamento jurídico 2.4) y la modificación presupuestaria aprobada por el Consejo de Gobierno el 9 de diciembre de 2004 por la que se incrementó el programa 32H “Dirección y servicios generales del Servicio Andaluz de Empleo”. En relación con esta última modificación presupuestaria, se considera probado que los fondos con los que se incrementó el referido programa 32H se destinaron al pago de las ayudas sociolaborales del programa 31L.</w:t>
      </w:r>
    </w:p>
    <w:p w14:paraId="05E27789" w14:textId="77777777" w:rsidR="003754FE" w:rsidRDefault="003754FE" w:rsidP="003754FE">
      <w:pPr>
        <w:pStyle w:val="TextoNormal"/>
      </w:pPr>
    </w:p>
    <w:p w14:paraId="2E4837A3" w14:textId="77777777" w:rsidR="003754FE" w:rsidRDefault="003754FE" w:rsidP="003754FE">
      <w:pPr>
        <w:pStyle w:val="TextoNormal"/>
      </w:pPr>
      <w:r>
        <w:t xml:space="preserve">A) </w:t>
      </w:r>
      <w:r w:rsidRPr="003754FE">
        <w:rPr>
          <w:i/>
        </w:rPr>
        <w:t>La elaboración de los anteproyectos de leyes de presupuestos para los ejercicios de los años 2005 a 2009 y su participación, como miembro del Consejo de Gobierno, en su aprobación como proyectos de ley</w:t>
      </w:r>
    </w:p>
    <w:p w14:paraId="2D868662" w14:textId="77777777" w:rsidR="003754FE" w:rsidRDefault="003754FE" w:rsidP="003754FE">
      <w:pPr>
        <w:pStyle w:val="TextoNormal"/>
      </w:pPr>
    </w:p>
    <w:p w14:paraId="7572704A" w14:textId="77777777" w:rsidR="003754FE" w:rsidRDefault="003754FE" w:rsidP="003754FE">
      <w:pPr>
        <w:pStyle w:val="TextoNormal"/>
      </w:pPr>
      <w:r>
        <w:t>a) A efectos de apreciar si los órganos judiciales han realizado una interpretación extensiva de los elementos típicos del art. 404 CP y han vulnerado por ello el art. 25.1 CE, como alega el recurrente, es preciso examinar, en primer lugar, si la interpretación que las sentencias recurridas han realizado de los conceptos “resolución arbitraria en un asunto administrativo” (art. 404 CP) es o no lesiva del art. 25.1 CE. Para ello, es necesario atender a la naturaleza jurídica de los anteproyectos de ley.</w:t>
      </w:r>
    </w:p>
    <w:p w14:paraId="46D34A9F" w14:textId="77777777" w:rsidR="003754FE" w:rsidRDefault="003754FE" w:rsidP="003754FE">
      <w:pPr>
        <w:pStyle w:val="TextoNormal"/>
      </w:pPr>
    </w:p>
    <w:p w14:paraId="73AF0726" w14:textId="77777777" w:rsidR="003754FE" w:rsidRDefault="003754FE" w:rsidP="003754FE">
      <w:pPr>
        <w:pStyle w:val="TextoNormal"/>
      </w:pPr>
      <w:r>
        <w:t xml:space="preserve">De conformidad con lo dispuesto en la STC 93/2024, es claro “que las actuaciones realizadas cuando el Gobierno ejerce la iniciativa legislativa no pueden considerarse en modo alguno una actuación administrativa”, sino una “actividad propia de la función de gobierno en sentido estricto, pues es una prerrogativa que corresponde al Gobierno en virtud de su posición institucional, no a la organización a su servicio, que es la administración pública” [FJ 4.4.1 a)]. Como ya ha afirmado el Tribunal en la citada STC 93/2024, dichas actuaciones ni tienen el carácter de definitivas ni el hecho de que existan normas que disciplinen cómo han de elaborarse los proyectos de leyes y su aprobación como proyecto de ley los convierte en actos reglados. De lo anterior se deduce “que el contenido de los anteproyectos y proyectos de ley no pueden ser objeto de control por ningún órgano judicial. Excluir de esta regla a la jurisdicción penal no solo conlleva desconocer el carácter vinculante de la </w:t>
      </w:r>
      <w:r>
        <w:lastRenderedPageBreak/>
        <w:t>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[FJ 4.4.1 a)].</w:t>
      </w:r>
    </w:p>
    <w:p w14:paraId="7CA789CC" w14:textId="77777777" w:rsidR="003754FE" w:rsidRDefault="003754FE" w:rsidP="003754FE">
      <w:pPr>
        <w:pStyle w:val="TextoNormal"/>
      </w:pPr>
    </w:p>
    <w:p w14:paraId="3BF80AE9" w14:textId="77777777" w:rsidR="003754FE" w:rsidRDefault="003754FE" w:rsidP="003754FE">
      <w:pPr>
        <w:pStyle w:val="TextoNormal"/>
      </w:pPr>
      <w:r>
        <w:t>Las consideraciones que acaban de hacerse son incompatibles con las contenidas en las sentencias recurridas en las que se sostiene que las actuaciones realizadas con ocasión de la elaboración de los anteproyectos de leyes y su aprobación como proyectos de leyes —las actuaciones prelegislativas, en terminología de las resoluciones impugnadas— han de calificarse como resoluciones recaídas en un asunto administrativo para apreciar que concurren los elementos típicos del delito de prevaricación (art. 404 CP).</w:t>
      </w:r>
    </w:p>
    <w:p w14:paraId="3C5D641C" w14:textId="77777777" w:rsidR="003754FE" w:rsidRDefault="003754FE" w:rsidP="003754FE">
      <w:pPr>
        <w:pStyle w:val="TextoNormal"/>
      </w:pPr>
    </w:p>
    <w:p w14:paraId="12F7CBF0" w14:textId="77777777" w:rsidR="003754FE" w:rsidRDefault="003754FE" w:rsidP="003754FE">
      <w:pPr>
        <w:pStyle w:val="TextoNormal"/>
      </w:pPr>
      <w:r>
        <w:t>Por lo expuesto, no cabe considerar que la elaboración de los anteproyectos de ley de presupuestos, así como su aprobación como proyectos de ley puedan ser calificadas como resoluciones recaídas en asunto administrativo. Al haberlo entendido así las sentencias impugnadas han incurrido en una interpretación extravagante e imprevisible de los elementos típicos “resolución” y “asunto administrativo” que vulnera el derecho fundamental a la legalidad penal que garantiza el art. 25 CE.</w:t>
      </w:r>
    </w:p>
    <w:p w14:paraId="01A277BC" w14:textId="77777777" w:rsidR="003754FE" w:rsidRDefault="003754FE" w:rsidP="003754FE">
      <w:pPr>
        <w:pStyle w:val="TextoNormal"/>
      </w:pPr>
    </w:p>
    <w:p w14:paraId="360B016E" w14:textId="77777777" w:rsidR="003754FE" w:rsidRDefault="003754FE" w:rsidP="003754FE">
      <w:pPr>
        <w:pStyle w:val="TextoNormal"/>
      </w:pPr>
      <w:r>
        <w:t>b) El demandante alega, además, que los hechos imputados (la participación en la elaboración de los anteproyectos de leyes de presupuestos, así como su aprobación como proyectos de leyes en cuanto miembro del Consejo de Gobierno) no pueden ser calificados como arbitrarios. Considera que el proyecto de ley, al proponer las transferencias de financiación como medio de allegar fondos al IFA para el pago de las ayudas sociolaborales, no tenía como objeto contravenir una ley, sino proponer una modificación legislativa con el fin de que las ayudas sociolaborales pudieran otorgarse con mayor rapidez. Entiende que esta decisión, que tiene carácter político y no administrativo, fue la que adoptó el Parlamento de Andalucía al aprobar las leyes de presupuestos que traen causa de los anteproyectos y proyectos de leyes de presupuestos en los que participó en su elaboración y aprobación. El recurrente considera que la forma de razonar de las sentencias impugnadas atenta contra el principio de división de poderes y, además, supone criminalizar el contenido de la ley en la parte que se refiere al modo de concesión de ayudas sociolaborales en tiempo de crisis.</w:t>
      </w:r>
    </w:p>
    <w:p w14:paraId="1B0C0895" w14:textId="77777777" w:rsidR="003754FE" w:rsidRDefault="003754FE" w:rsidP="003754FE">
      <w:pPr>
        <w:pStyle w:val="TextoNormal"/>
      </w:pPr>
    </w:p>
    <w:p w14:paraId="6EA2BD92" w14:textId="77777777" w:rsidR="003754FE" w:rsidRDefault="003754FE" w:rsidP="003754FE">
      <w:pPr>
        <w:pStyle w:val="TextoNormal"/>
      </w:pPr>
      <w:r>
        <w:t>En efecto, la forma de razonar de las sentencias recurridas, como ya se puso de relieve en la STC 93/2024, FJ 4.4.1 b), supone “privar de toda relevancia a la aprobación parlamentaria de la ley, lo que conlleva desconocer la centralidad del Parlamento andaluz en el entramado institucional diseñado estatutariamente”.</w:t>
      </w:r>
    </w:p>
    <w:p w14:paraId="27696173" w14:textId="77777777" w:rsidR="003754FE" w:rsidRDefault="003754FE" w:rsidP="003754FE">
      <w:pPr>
        <w:pStyle w:val="TextoNormal"/>
      </w:pPr>
    </w:p>
    <w:p w14:paraId="6B1AD890" w14:textId="77777777" w:rsidR="003754FE" w:rsidRDefault="003754FE" w:rsidP="003754FE">
      <w:pPr>
        <w:pStyle w:val="TextoNormal"/>
      </w:pPr>
      <w:r>
        <w:t>De acuerdo con lo establecido en la STC 93/2024, FJ 4.4.1 b), “la ley de presupuestos generales es una ley que tiene la misma naturaleza normativa que el resto de las leyes. En la STC 76/1992, FJ 4 a), el Tribunal afirmó que ‘se trata de una verdadera ley, considerando así superada la cuestión de su carácter formal o material’. Por ello, los jueces, que están sometidos al imperio de la ley (art. 117.1 CE), tienen el deber de respetarla cualquiera que sea el juicio que su contenido les merezca. Solo cuando consideran que es inconstitucional y que de su validez depende el fallo de un asunto deben plantear cuestión de inconstitucionalidad, pero fuera de este supuesto no podrán cuestionar sus determinaciones y, menos aún, no tomarla en consideración”.</w:t>
      </w:r>
    </w:p>
    <w:p w14:paraId="25B349A3" w14:textId="77777777" w:rsidR="003754FE" w:rsidRDefault="003754FE" w:rsidP="003754FE">
      <w:pPr>
        <w:pStyle w:val="TextoNormal"/>
      </w:pPr>
    </w:p>
    <w:p w14:paraId="253851CB" w14:textId="77777777" w:rsidR="003754FE" w:rsidRDefault="003754FE" w:rsidP="003754FE">
      <w:pPr>
        <w:pStyle w:val="TextoNormal"/>
      </w:pPr>
      <w:r>
        <w:lastRenderedPageBreak/>
        <w:t>Es indubitado que las leyes de presupuestos de Andalucía para los años 2002 a 2009, en su programa 31L, establecieron un sistema de atribución de fondos al IFA/IDEA (las transferencias de financiación) para la concesión de ayudas sociolaborales que, de acuerdo con lo establecido en sus memorias, habilitaban a la administración autonómica a conceder estas ayudas por tal vía.</w:t>
      </w:r>
    </w:p>
    <w:p w14:paraId="213AE062" w14:textId="77777777" w:rsidR="003754FE" w:rsidRDefault="003754FE" w:rsidP="003754FE">
      <w:pPr>
        <w:pStyle w:val="TextoNormal"/>
      </w:pPr>
    </w:p>
    <w:p w14:paraId="52871C77" w14:textId="77777777" w:rsidR="003754FE" w:rsidRDefault="003754FE" w:rsidP="003754FE">
      <w:pPr>
        <w:pStyle w:val="TextoNormal"/>
      </w:pPr>
      <w:r>
        <w:t>Las resoluciones impugnadas, al no reconocer que las leyes de presupuestos para los años 2002 a 2009 contienen una previsión —la establecida en el programa 31L— que dotaba de fondos al IFA/IDEA (las transferencias de financiación) para la concesión de ayudas sociolaborales que habilitaba a la administración autonómica a conceder estas ayudas por tal vía, han efectuado, también por este motivo, una interpretación absolutamente imprevisible del elemento típico arbitrariedad lesiva del art. 25.1 CE.</w:t>
      </w:r>
    </w:p>
    <w:p w14:paraId="744903B0" w14:textId="77777777" w:rsidR="003754FE" w:rsidRDefault="003754FE" w:rsidP="003754FE">
      <w:pPr>
        <w:pStyle w:val="TextoNormal"/>
      </w:pPr>
    </w:p>
    <w:p w14:paraId="51B8C355" w14:textId="77777777" w:rsidR="003754FE" w:rsidRDefault="003754FE" w:rsidP="003754FE">
      <w:pPr>
        <w:pStyle w:val="TextoNormal"/>
      </w:pPr>
      <w:r>
        <w:t>En suma, como ha afirmado el Tribunal en relación con esta misma cuestión en la STC 93/2024, y, por las razones allí expuestas, ha de concluirse que la apreciación de los elementos típicos del art. 404 CP efectuada por las resoluciones impugnadas respecto de la elaboración y elevación al Consejo de Gobierno de los anteproyectos de leyes de presupuestos, así como su aprobación como proyectos por el referido órgano es contraria al art. 25.1 CE.</w:t>
      </w:r>
    </w:p>
    <w:p w14:paraId="4F1079E5" w14:textId="77777777" w:rsidR="003754FE" w:rsidRDefault="003754FE" w:rsidP="003754FE">
      <w:pPr>
        <w:pStyle w:val="TextoNormal"/>
      </w:pPr>
    </w:p>
    <w:p w14:paraId="7FB9E5DE" w14:textId="77777777" w:rsidR="003754FE" w:rsidRDefault="003754FE" w:rsidP="003754FE">
      <w:pPr>
        <w:pStyle w:val="TextoNormal"/>
      </w:pPr>
      <w:r>
        <w:t>B</w:t>
      </w:r>
      <w:r w:rsidRPr="003754FE">
        <w:rPr>
          <w:i/>
        </w:rPr>
        <w:t>) Las modificaciones presupuestari</w:t>
      </w:r>
      <w:r>
        <w:t>as</w:t>
      </w:r>
    </w:p>
    <w:p w14:paraId="3B75F9CE" w14:textId="77777777" w:rsidR="003754FE" w:rsidRDefault="003754FE" w:rsidP="003754FE">
      <w:pPr>
        <w:pStyle w:val="TextoNormal"/>
      </w:pPr>
    </w:p>
    <w:p w14:paraId="5A267BFB" w14:textId="77777777" w:rsidR="003754FE" w:rsidRDefault="003754FE" w:rsidP="003754FE">
      <w:pPr>
        <w:pStyle w:val="TextoNormal"/>
      </w:pPr>
      <w:r>
        <w:t>Como ya se ha señalado en este mismo fundamento jurídico, apartado 5.1, el recurrente fue condenado como autor de un delito de prevaricación en un concurso medial con un delito de malversación por haber tramitado y elevado al Consejo de Gobierno modificaciones presupuestarias en los años 2005, 2006, 2007 y 2008 relativas al programa 31L incumpliendo, según las sentencias impugnadas, las normas de estructura presupuestaria y clasificación del gasto establecidas en la Orden de la Consejería de Hacienda de 22 de mayo de 1998. Por lo que se refiere a la modificación presupuestaria aprobada para el pago de ayudas sociolaborales por el Consejo de Gobierno el día 9 de diciembre de 2004 por importe 2 994 876 € en el programa 32H (“Dirección y servicios generales del Servicio Andaluz de Empleo”), las resoluciones recurridas consideran que los fines de dicho programa eran por completo ajenos a la finalidad a la que se dedicaron, por lo que la califican de ilegal.</w:t>
      </w:r>
    </w:p>
    <w:p w14:paraId="72ECA500" w14:textId="77777777" w:rsidR="003754FE" w:rsidRDefault="003754FE" w:rsidP="003754FE">
      <w:pPr>
        <w:pStyle w:val="TextoNormal"/>
      </w:pPr>
    </w:p>
    <w:p w14:paraId="7BB75343" w14:textId="77777777" w:rsidR="003754FE" w:rsidRDefault="003754FE" w:rsidP="003754FE">
      <w:pPr>
        <w:pStyle w:val="TextoNormal"/>
      </w:pPr>
      <w:r>
        <w:t>Del mismo modo que se acaba de hacer respecto de los anteproyectos de leyes, procede analizar si las resoluciones judiciales impugnadas han realizado una interpretación imprevisible del delito de prevaricación (art. 404 CP) —y por ello contraria al art. 25.1 CE—, al considerar que las modificaciones presupuestarias son “resoluciones” “arbitrarias” dictadas en “asunto administrativo”.</w:t>
      </w:r>
    </w:p>
    <w:p w14:paraId="47DA004F" w14:textId="77777777" w:rsidR="003754FE" w:rsidRDefault="003754FE" w:rsidP="003754FE">
      <w:pPr>
        <w:pStyle w:val="TextoNormal"/>
      </w:pPr>
    </w:p>
    <w:p w14:paraId="3E38AB57" w14:textId="77777777" w:rsidR="003754FE" w:rsidRDefault="003754FE" w:rsidP="003754FE">
      <w:pPr>
        <w:pStyle w:val="TextoNormal"/>
      </w:pPr>
      <w:r>
        <w:t>En la STC 93/2024, FJ 4.4.2, respecto de las modificaciones presupuestarias, se afirmó que “[c]alificar estos actos como administrativos entra dentro de los márgenes de interpretación admisibles en Derecho, dado que no existe norma ni principio alguno que impida llegar a esta conclusión”. Por los motivos allí expuestos, a los que también procede ahora remitirse, no constituye una interpretación imprevisible ni extravagante del elemento típico “resolución dictada en procedimiento administrativo” del art. 404 CP calificar a las modificaciones presupuestarias como actos administrativos.</w:t>
      </w:r>
    </w:p>
    <w:p w14:paraId="0E0382F9" w14:textId="77777777" w:rsidR="003754FE" w:rsidRDefault="003754FE" w:rsidP="003754FE">
      <w:pPr>
        <w:pStyle w:val="TextoNormal"/>
      </w:pPr>
    </w:p>
    <w:p w14:paraId="0C66FECC" w14:textId="77777777" w:rsidR="003754FE" w:rsidRDefault="003754FE" w:rsidP="003754FE">
      <w:pPr>
        <w:pStyle w:val="TextoNormal"/>
      </w:pPr>
      <w:r>
        <w:lastRenderedPageBreak/>
        <w:t>Cuestión distinta es si esta clase de actos pueden considerarse arbitrarios. Las sentencias recurridas así lo consideran. Sostienen que se realizaron prescindiendo de las exigencias procedimentales y materiales con el fin de eludir los controles exigidos por la normativa subvencional (sentencia del Tribunal Supremo, fundamento de Derecho 24.2, págs. 266 a 271). En efecto, tanto la Audiencia Provincial como el Tribunal Supremo llegan a la conclusión de que las modificaciones presupuestarias efectuadas no respetan la normativa presupuestaria, en particular la Orden de la Consejería de Hacienda de 22 de mayo de 1998, y por ello aprecian su manifiesta ilegalidad. En la STC 93/2024, FJ 4.4.2, se sostiene que aunque no es función del Tribunal enjuiciar la corrección jurídica de dicha apreciación, “sí entra dentro de sus atribuciones el efectuar un juicio externo de las razones que llevan a los órganos judiciales a resolver en el sentido expuesto, pues solo de este modo puede verificarse que las resoluciones judiciales, al calificar como manifiestamente ilegales las modificaciones presupuestarias efectuadas, no han desbordado los límites que impone el art. 25.1 CE”.</w:t>
      </w:r>
    </w:p>
    <w:p w14:paraId="3173A906" w14:textId="77777777" w:rsidR="003754FE" w:rsidRDefault="003754FE" w:rsidP="003754FE">
      <w:pPr>
        <w:pStyle w:val="TextoNormal"/>
      </w:pPr>
    </w:p>
    <w:p w14:paraId="64BFB2AB" w14:textId="77777777" w:rsidR="003754FE" w:rsidRDefault="003754FE" w:rsidP="003754FE">
      <w:pPr>
        <w:pStyle w:val="TextoNormal"/>
      </w:pPr>
      <w:r>
        <w:t>El Tribunal consideró en el fundamento 4.4.2 de la mencionada sentencia que para hacer tal juicio externo no puede desconocerse que, desde el año 2002, se incluyó en las leyes de presupuestos el programa 31L, que tiene por objeto otorgar transferencias de financiación al IFA/IDEA en materia de relaciones laborales. En los documentos que acompañan a dichas leyes, “en particular, en las memorias —transcritas en sus pasajes más relevantes en las sentencias que ahora se recurren— se hace referencia a la finalidad que con ese programa se pretende, quién ha de ejecutarlo y cómo debe hacerlo”. Estos datos, a los que ahora procede remitirse, quedaron expuestos en el la STC 93/2024, FJ 4.4.2.</w:t>
      </w:r>
    </w:p>
    <w:p w14:paraId="21051864" w14:textId="77777777" w:rsidR="003754FE" w:rsidRDefault="003754FE" w:rsidP="003754FE">
      <w:pPr>
        <w:pStyle w:val="TextoNormal"/>
      </w:pPr>
    </w:p>
    <w:p w14:paraId="031A29B9" w14:textId="77777777" w:rsidR="003754FE" w:rsidRDefault="003754FE" w:rsidP="003754FE">
      <w:pPr>
        <w:pStyle w:val="TextoNormal"/>
      </w:pPr>
      <w:r>
        <w:t>El Tribunal concluyó que los órganos judiciales, al interpretar el elemento típico “arbitraria” del art. 404 CP, debieron haber tomado en consideración el cambio de presupuestación antes referido —aprobado a partir del año 2002—. Al no hacerlo, resulta imprevisible considerar manifiestamente ilegales actos —las modificaciones presupuestarias— dictados al amparo del programa 31L incluido en las leyes de presupuestos.</w:t>
      </w:r>
    </w:p>
    <w:p w14:paraId="52177C71" w14:textId="77777777" w:rsidR="003754FE" w:rsidRDefault="003754FE" w:rsidP="003754FE">
      <w:pPr>
        <w:pStyle w:val="TextoNormal"/>
      </w:pPr>
    </w:p>
    <w:p w14:paraId="28494457" w14:textId="77777777" w:rsidR="003754FE" w:rsidRDefault="003754FE" w:rsidP="003754FE">
      <w:pPr>
        <w:pStyle w:val="TextoNormal"/>
      </w:pPr>
      <w:r>
        <w:t>Una vez expuesta la doctrina que debe aplicarse a este extremo, procede examinar si las modificaciones presupuestarias en las que participó el demandante de amparo tenían cobertura en el programa 31L. Como ya se ha expuesto en el fundamento jurídico 2.4, en las resoluciones judiciales se afirma que el recurrente participó en la elaboración de las siguientes modificaciones presupuestarias que se destinaron al pago de ayudas sociolaborales:</w:t>
      </w:r>
    </w:p>
    <w:p w14:paraId="3B1AD9D3" w14:textId="77777777" w:rsidR="003754FE" w:rsidRDefault="003754FE" w:rsidP="003754FE">
      <w:pPr>
        <w:pStyle w:val="TextoNormal"/>
      </w:pPr>
    </w:p>
    <w:p w14:paraId="18BFB671" w14:textId="77777777" w:rsidR="003754FE" w:rsidRDefault="003754FE" w:rsidP="003754FE">
      <w:pPr>
        <w:pStyle w:val="TextoNormal"/>
      </w:pPr>
      <w:r>
        <w:t xml:space="preserve">(i) Las resoluciones judiciales impugnadas consideran acreditada la participación del señor Griñán Martínez en las siguientes modificaciones presupuestarias: la de 7 de diciembre de 2005, por la que se incrementó en 799 895,97 € la aplicación presupuestaria 440.51 del programa 31L, dando de baja las aplicaciones 480.01, 480.03 y 480.13 del referido programa 31L; la de 7 de noviembre de 2006, en la que se incrementó en 9 300 000 € la aplicación presupuestaria 440.51.31L, dando de baja las aplicaciones del programa 32A; la de 27 de noviembre de 2007, mediante la cual se incrementó en 7 448 503,44 € la aplicación presupuestaria 440.51.31L dando de baja otras aplicaciones; la de 22 de diciembre de 2008, mediante la cual se incrementó en 1 253 853,89 € y 6 011 836,20 € las aplicaciones presupuestarias 440.51.31L y 740.51.31L dando de baja otras aplicaciones del programa 32H, y se incrementó en 8 000 000 € la aplicación 740.18.31L, mediante la generación de crédito (si bien los hechos probados de la sentencia de la Audiencia Provincial indican </w:t>
      </w:r>
      <w:r>
        <w:lastRenderedPageBreak/>
        <w:t>expresamente que esta última modificación, al tener carácter finalista y al estar dotada de fondos procedentes de la administración central, sí fue objeto de fiscalización por la Intervención delegada de la Consejería de Empleo y Desarrollo Tecnológico).</w:t>
      </w:r>
    </w:p>
    <w:p w14:paraId="1D7E6516" w14:textId="77777777" w:rsidR="003754FE" w:rsidRDefault="003754FE" w:rsidP="003754FE">
      <w:pPr>
        <w:pStyle w:val="TextoNormal"/>
      </w:pPr>
    </w:p>
    <w:p w14:paraId="2753F234" w14:textId="77777777" w:rsidR="003754FE" w:rsidRDefault="003754FE" w:rsidP="003754FE">
      <w:pPr>
        <w:pStyle w:val="TextoNormal"/>
      </w:pPr>
      <w:r>
        <w:t>(ii) Una modificación presupuestaria aprobada por el Consejo de Gobierno el 9 de diciembre de 2004 que incrementó el programa 32H (“Dirección y servicios generales del Servicio Andaluz de Empleo”) por importe de 2 994 876 €.</w:t>
      </w:r>
    </w:p>
    <w:p w14:paraId="6612C177" w14:textId="77777777" w:rsidR="003754FE" w:rsidRDefault="003754FE" w:rsidP="003754FE">
      <w:pPr>
        <w:pStyle w:val="TextoNormal"/>
      </w:pPr>
    </w:p>
    <w:p w14:paraId="742F3454" w14:textId="77777777" w:rsidR="003754FE" w:rsidRDefault="003754FE" w:rsidP="003754FE">
      <w:pPr>
        <w:pStyle w:val="TextoNormal"/>
      </w:pPr>
      <w:r>
        <w:t>De conformidad con lo expuesto, no pueden considerarse arbitrarias las modificaciones presupuestarias identificadas en el apartado (i), esto es, las aprobadas por el Consejo de Gobierno el 7 de diciembre de 2005, el 7 de noviembre de 2006, el 27 de noviembre de 2007 y el 22 de diciembre de 2008, al encontrarse amparadas en el programa 31L de las leyes de presupuestos para los años 2005, 2006, 2007 y 2008. Por todo ello, las resoluciones impugnadas, en lo que se refiere a estas concretas modificaciones presupuestarias, al calificarlas como manifiestamente ilegales, han incurrido en una interpretación del todo imprevisible del tipo penal que ha determinado la condena.</w:t>
      </w:r>
    </w:p>
    <w:p w14:paraId="1D1D82C0" w14:textId="77777777" w:rsidR="003754FE" w:rsidRDefault="003754FE" w:rsidP="003754FE">
      <w:pPr>
        <w:pStyle w:val="TextoNormal"/>
      </w:pPr>
    </w:p>
    <w:p w14:paraId="00E9E237" w14:textId="24FCC270" w:rsidR="003754FE" w:rsidRDefault="003754FE" w:rsidP="003754FE">
      <w:pPr>
        <w:pStyle w:val="TextoNormal"/>
      </w:pPr>
      <w:r>
        <w:t>No ocurre lo mismo con la modificación presupuestaria realizada en el programa 32H aprobada por el Consejo de Gobierno el 9 de diciembre de 2004. Los fines de este programa no eran la concesión de ayudas sociolaborales, por lo que, al ser dedicados estos fondos a ayudas sociolaborales, su consideración por las resoluciones judiciales impugnadas como resolución arbitraria recaída en un asunto administrativo no desborda los límites del art. 404 CP.</w:t>
      </w:r>
    </w:p>
    <w:p w14:paraId="3913389A" w14:textId="77777777" w:rsidR="003754FE" w:rsidRDefault="003754FE" w:rsidP="003754FE">
      <w:pPr>
        <w:pStyle w:val="TextoNormal"/>
      </w:pPr>
    </w:p>
    <w:p w14:paraId="08E26635" w14:textId="77777777" w:rsidR="003754FE" w:rsidRDefault="003754FE" w:rsidP="003754FE">
      <w:pPr>
        <w:pStyle w:val="TextoNormal"/>
      </w:pPr>
      <w:r w:rsidRPr="003754FE">
        <w:rPr>
          <w:rStyle w:val="NumeroAFNegritaCaracter"/>
        </w:rPr>
        <w:t>5</w:t>
      </w:r>
      <w:r>
        <w:t xml:space="preserve">. </w:t>
      </w:r>
      <w:r w:rsidRPr="003754FE">
        <w:rPr>
          <w:i/>
        </w:rPr>
        <w:t>Vulneración del derecho a la legalidad penal (art. 25.1 CE) derivada de la condena por el delito de malversación del art. 432 CP</w:t>
      </w:r>
    </w:p>
    <w:p w14:paraId="3B6C7D78" w14:textId="77777777" w:rsidR="003754FE" w:rsidRDefault="003754FE" w:rsidP="003754FE">
      <w:pPr>
        <w:pStyle w:val="TextoNormal"/>
      </w:pPr>
    </w:p>
    <w:p w14:paraId="09D6977C" w14:textId="77777777" w:rsidR="003754FE" w:rsidRDefault="003754FE" w:rsidP="003754FE">
      <w:pPr>
        <w:pStyle w:val="TextoNormal"/>
      </w:pPr>
      <w:r>
        <w:t xml:space="preserve">5.1. </w:t>
      </w:r>
      <w:r w:rsidRPr="003754FE">
        <w:rPr>
          <w:i/>
        </w:rPr>
        <w:t>Exposición de la queja del recurrente y de las posiciones de las partes</w:t>
      </w:r>
    </w:p>
    <w:p w14:paraId="6CE8BD89" w14:textId="77777777" w:rsidR="003754FE" w:rsidRDefault="003754FE" w:rsidP="003754FE">
      <w:pPr>
        <w:pStyle w:val="TextoNormal"/>
      </w:pPr>
    </w:p>
    <w:p w14:paraId="07D7F4F0" w14:textId="77777777" w:rsidR="003754FE" w:rsidRDefault="003754FE" w:rsidP="003754FE">
      <w:pPr>
        <w:pStyle w:val="TextoNormal"/>
      </w:pPr>
      <w:r>
        <w:t>El recurrente de amparo, en los motivos segundo y tercero de su demanda, articula varias alegaciones relativas a la vulneración del derecho a la legalidad penal (art. 25.1 CE) relacionadas con el delito de malversación de caudales públicos del art. 432 CP. Considera, en particular, que las resoluciones impugnadas realizan una subsunción en dicho tipo penal que resulta imprevisible por las siguientes razones:</w:t>
      </w:r>
    </w:p>
    <w:p w14:paraId="59F353B8" w14:textId="77777777" w:rsidR="003754FE" w:rsidRDefault="003754FE" w:rsidP="003754FE">
      <w:pPr>
        <w:pStyle w:val="TextoNormal"/>
      </w:pPr>
    </w:p>
    <w:p w14:paraId="762292E5" w14:textId="77777777" w:rsidR="003754FE" w:rsidRDefault="003754FE" w:rsidP="003754FE">
      <w:pPr>
        <w:pStyle w:val="TextoNormal"/>
      </w:pPr>
      <w:r>
        <w:t>(i) El actor estima, en primer lugar, que su participación, en calidad de consejero de Economía y Hacienda, en la elaboración de los presupuestos de la Comunidad Autónoma de Andalucía no le daba la capacidad de disposición requerida en el tipo del art. 432 CP, que exige que la autoridad o funcionario público tenga los caudales a su cargo.</w:t>
      </w:r>
    </w:p>
    <w:p w14:paraId="34AE958B" w14:textId="77777777" w:rsidR="003754FE" w:rsidRDefault="003754FE" w:rsidP="003754FE">
      <w:pPr>
        <w:pStyle w:val="TextoNormal"/>
      </w:pPr>
    </w:p>
    <w:p w14:paraId="284AFDFA" w14:textId="77777777" w:rsidR="003754FE" w:rsidRDefault="003754FE" w:rsidP="003754FE">
      <w:pPr>
        <w:pStyle w:val="TextoNormal"/>
      </w:pPr>
      <w:r>
        <w:t>A juicio del actor, entender que en la fase de presupuestación hay capacidad de disposición de las cantidades presupuestadas constituye una interpretación imprevisible del tipo penal, pues tan solo quien gestiona los fondos públicos —en este caso concreto, la Consejería de Empleo y Desarrollo Tecnológico— puede disponer de ellos. El consejero de Economía y Hacienda carece de funciones de revisión o supervisión de los gastos efectuados por otras consejerías; nada se le puede reprochar, por tanto, en relación con la disposición de los caudales.</w:t>
      </w:r>
    </w:p>
    <w:p w14:paraId="35E0069D" w14:textId="77777777" w:rsidR="003754FE" w:rsidRDefault="003754FE" w:rsidP="003754FE">
      <w:pPr>
        <w:pStyle w:val="TextoNormal"/>
      </w:pPr>
    </w:p>
    <w:p w14:paraId="06B694A9" w14:textId="77777777" w:rsidR="003754FE" w:rsidRDefault="003754FE" w:rsidP="003754FE">
      <w:pPr>
        <w:pStyle w:val="TextoNormal"/>
      </w:pPr>
      <w:r>
        <w:lastRenderedPageBreak/>
        <w:t>(ii) Las mismas razones llevan al demandante a negar la previsibilidad de la posición de garantía que las resoluciones impugnadas le atribuyen. La aprobación de un proyecto de ley de presupuestos es, en su opinión, una conducta puramente neutra. El Consejo de Gobierno pretendía, con ella, disminuir los controles para agilizar la concesión de las ayudas, pero esa actuación fue dolosamente utilizada por terceros con fines ilícitos. En resumen, la supresión de controles operada para agilizar los trámites “fue aprovechada por terceros para sus propias finalidades delictivas”.</w:t>
      </w:r>
    </w:p>
    <w:p w14:paraId="1BC264B1" w14:textId="77777777" w:rsidR="003754FE" w:rsidRDefault="003754FE" w:rsidP="003754FE">
      <w:pPr>
        <w:pStyle w:val="TextoNormal"/>
      </w:pPr>
    </w:p>
    <w:p w14:paraId="6283C0EC" w14:textId="77777777" w:rsidR="003754FE" w:rsidRDefault="003754FE" w:rsidP="003754FE">
      <w:pPr>
        <w:pStyle w:val="TextoNormal"/>
      </w:pPr>
      <w:r>
        <w:t>(iii) La misma imprevisibilidad afectaría a la atribución del resultado típico, pues el enjuiciamiento de la concesión de ayudas individuales quedó excluido del objeto de la pieza específica. Sin ese resultado típico no hay posibilidad de subsumir los hechos descritos en el delito del art. 432 CP.</w:t>
      </w:r>
    </w:p>
    <w:p w14:paraId="05EAE713" w14:textId="77777777" w:rsidR="003754FE" w:rsidRDefault="003754FE" w:rsidP="003754FE">
      <w:pPr>
        <w:pStyle w:val="TextoNormal"/>
      </w:pPr>
    </w:p>
    <w:p w14:paraId="11182AE8" w14:textId="77777777" w:rsidR="003754FE" w:rsidRDefault="003754FE" w:rsidP="003754FE">
      <w:pPr>
        <w:pStyle w:val="TextoNormal"/>
      </w:pPr>
      <w:r>
        <w:t>(iv) Finalmente, el actor considera vulnerado el art. 25.1 CE en la medida en que los hechos probados describen una situación subjetiva más propia de la culpa con representación que del dolo eventual.</w:t>
      </w:r>
    </w:p>
    <w:p w14:paraId="1E948A18" w14:textId="77777777" w:rsidR="003754FE" w:rsidRDefault="003754FE" w:rsidP="003754FE">
      <w:pPr>
        <w:pStyle w:val="TextoNormal"/>
      </w:pPr>
    </w:p>
    <w:p w14:paraId="0266CB66" w14:textId="77777777" w:rsidR="003754FE" w:rsidRDefault="003754FE" w:rsidP="003754FE">
      <w:pPr>
        <w:pStyle w:val="TextoNormal"/>
      </w:pPr>
      <w:r>
        <w:t>El Partido Popular se opone a la estimación de la queja y considera que la subsunción de los hechos en el delito de malversación del art. 432 CP respeta el tenor literal del enunciado normativo contenido en dicho precepto y resulta previsible si se analiza desde las pautas axiológicas que informan nuestro texto constitucional y conforme a modelos de argumentación aceptados por la propia comunidad jurídica. Alega, en concreto, que los actos realizados en la fase de presupuestación no pueden calificarse como “neutros”, pues las resoluciones impugnadas estiman que fueron realizados con la finalidad de eliminar los controles y los procedimientos propios de las subvenciones. Niega que fuera necesario el enjuiciamiento de las ayudas concretas para entender cometida la malversación, pues basta con la total omisión de los controles y procedimientos legalmente requeridos para que los actos de disposición sobre los caudales puedan considerarse ilícitos. Afirma que las resoluciones impugnadas consideran probado que el demandante tenía conocimiento de la alta probabilidad de las desviaciones de fondos públicos, lo que concuerda plenamente con la subsunción de los hechos en una situación subjetiva de dolo eventual.</w:t>
      </w:r>
    </w:p>
    <w:p w14:paraId="558A9620" w14:textId="77777777" w:rsidR="003754FE" w:rsidRDefault="003754FE" w:rsidP="003754FE">
      <w:pPr>
        <w:pStyle w:val="TextoNormal"/>
      </w:pPr>
    </w:p>
    <w:p w14:paraId="7BC6EF06" w14:textId="77777777" w:rsidR="003754FE" w:rsidRDefault="003754FE" w:rsidP="003754FE">
      <w:pPr>
        <w:pStyle w:val="TextoNormal"/>
      </w:pPr>
      <w:r>
        <w:t>El Ministerio Fiscal estima, por su parte, que no puede apreciarse la vulneración del derecho a la legalidad penal, por los siguientes motivos: (i) la condena por malversación no se sustenta, frente a lo que alega el demandante, en la aprobación de las partidas presupuestarias, sino en haber consentido “la sustracción de los caudales públicos”, esto es, en no haberla impedido pese a conocerla y tener el deber de evitarla; (ii) la posición de garante del recurrente no derivaría del hecho de haber aprobado las partidas presupuestarias en los sucesivos proyectos de leyes sino de la capacidad jurídica que tenía para impedir las conductas de disposición ilícita de los fondos públicos por parte de otros condenados; y (iii) el resultado típico de la malversación está claramente identificado en los hechos probados, que señalan las cantidades que fueron ilícitamente destinadas al pago de las ayudas sociolaborales en cada ejercicio presupuestario y declara, año tras año, que esas cantidades se pusieron a disposición del director general de Trabajo y Seguridad Social para que pudiera disponer de ellas sin sujeción a fiscalización alguna y sin necesidad de tramitar expediente de ninguna clase; se cuantifica, de hecho, un daño total para el patrimonio público de 680 millones de euros.</w:t>
      </w:r>
    </w:p>
    <w:p w14:paraId="5BB1D036" w14:textId="77777777" w:rsidR="003754FE" w:rsidRDefault="003754FE" w:rsidP="003754FE">
      <w:pPr>
        <w:pStyle w:val="TextoNormal"/>
      </w:pPr>
    </w:p>
    <w:p w14:paraId="066F2BDB" w14:textId="77777777" w:rsidR="003754FE" w:rsidRDefault="003754FE" w:rsidP="003754FE">
      <w:pPr>
        <w:pStyle w:val="TextoNormal"/>
      </w:pPr>
      <w:r>
        <w:lastRenderedPageBreak/>
        <w:t xml:space="preserve">5.2. </w:t>
      </w:r>
      <w:r w:rsidRPr="003754FE">
        <w:rPr>
          <w:i/>
        </w:rPr>
        <w:t>Síntesis de los argumentos en los que las resoluciones judiciales fundamentan la condena del recurrente</w:t>
      </w:r>
    </w:p>
    <w:p w14:paraId="71601ECF" w14:textId="77777777" w:rsidR="003754FE" w:rsidRDefault="003754FE" w:rsidP="003754FE">
      <w:pPr>
        <w:pStyle w:val="TextoNormal"/>
      </w:pPr>
    </w:p>
    <w:p w14:paraId="660D7A2C" w14:textId="77777777" w:rsidR="003754FE" w:rsidRDefault="003754FE" w:rsidP="003754FE">
      <w:pPr>
        <w:pStyle w:val="TextoNormal"/>
      </w:pPr>
      <w:r>
        <w:t>A continuación, se va a efectuar un breve resumen de los argumentos de las sentencias de la Audiencia Provincial y del Tribunal Supremo que sirven para fundamentar la condena por malversación del demandante de amparo:</w:t>
      </w:r>
    </w:p>
    <w:p w14:paraId="736EC4D9" w14:textId="77777777" w:rsidR="003754FE" w:rsidRDefault="003754FE" w:rsidP="003754FE">
      <w:pPr>
        <w:pStyle w:val="TextoNormal"/>
      </w:pPr>
    </w:p>
    <w:p w14:paraId="5FB3EF04" w14:textId="77777777" w:rsidR="003754FE" w:rsidRDefault="003754FE" w:rsidP="003754FE">
      <w:pPr>
        <w:pStyle w:val="TextoNormal"/>
      </w:pPr>
      <w:r>
        <w:t xml:space="preserve">A) </w:t>
      </w:r>
      <w:r w:rsidRPr="003754FE">
        <w:rPr>
          <w:i/>
        </w:rPr>
        <w:t>Objeto de la condena por malversación</w:t>
      </w:r>
    </w:p>
    <w:p w14:paraId="3E69D304" w14:textId="77777777" w:rsidR="003754FE" w:rsidRDefault="003754FE" w:rsidP="003754FE">
      <w:pPr>
        <w:pStyle w:val="TextoNormal"/>
      </w:pPr>
    </w:p>
    <w:p w14:paraId="0E90E77D" w14:textId="77777777" w:rsidR="003754FE" w:rsidRDefault="003754FE" w:rsidP="003754FE">
      <w:pPr>
        <w:pStyle w:val="TextoNormal"/>
      </w:pPr>
      <w:r>
        <w:t>Tal y como se especifica en el fundamento de Derecho 49 de la sentencia de la Audiencia Provincial de Sevilla (págs. 1810-1812), el recurrente de amparo ha sido condenado, en lo que al delito de malversación se refiere, por su intervención personal, en calidad de consejero de Economía y Hacienda, en la elaboración y aprobación de los proyectos de leyes de presupuestos de los años 2005 a 2009, en los que se consignaron los créditos iniciales del programa 31L (con los importes que se especifican en el fundamento jurídico 2.4) y de diversas modificaciones presupuestarias que incrementaron esos créditos iniciales en relación con concretas aplicaciones destinadas a transferencias de financiación a la agencia IDEA para el pago de ayudas sociolaborales y a empresas en crisis (para las fechas e importes de estas modificacione</w:t>
      </w:r>
      <w:r w:rsidRPr="003754FE">
        <w:rPr>
          <w:i/>
        </w:rPr>
        <w:t>s vid. sup</w:t>
      </w:r>
      <w:r>
        <w:t>ra FJ 2.4).</w:t>
      </w:r>
    </w:p>
    <w:p w14:paraId="637D684A" w14:textId="77777777" w:rsidR="003754FE" w:rsidRDefault="003754FE" w:rsidP="003754FE">
      <w:pPr>
        <w:pStyle w:val="TextoNormal"/>
      </w:pPr>
    </w:p>
    <w:p w14:paraId="73CEA019" w14:textId="77777777" w:rsidR="003754FE" w:rsidRDefault="003754FE" w:rsidP="003754FE">
      <w:pPr>
        <w:pStyle w:val="TextoNormal"/>
      </w:pPr>
      <w:r>
        <w:t>Según señala la sentencia, el cargo de consejero de Economía y Hacienda otorgaba al recurrente competencias para la elaboración y posterior aprobación, en el Consejo de Gobierno, de los proyectos de leyes de presupuestos y de las modificaciones presupuestarias correspondientes (fundamento de Derecho 39, págs. 1442-1443).</w:t>
      </w:r>
    </w:p>
    <w:p w14:paraId="419E7669" w14:textId="77777777" w:rsidR="003754FE" w:rsidRDefault="003754FE" w:rsidP="003754FE">
      <w:pPr>
        <w:pStyle w:val="TextoNormal"/>
      </w:pPr>
    </w:p>
    <w:p w14:paraId="3BED985B" w14:textId="77777777" w:rsidR="003754FE" w:rsidRDefault="003754FE" w:rsidP="003754FE">
      <w:pPr>
        <w:pStyle w:val="TextoNormal"/>
      </w:pPr>
      <w:r>
        <w:t>No obstante, la modificación presupuestaria de 1 de diciembre de 2009, por importe de 300 000 €, fue aprobada, según consta expresamente en los hechos probados (hecho 19, pág. 89), por el viceconsejero de Economía y Hacienda —por delegación de la consejera— cuando el recurrente ya ocupaba el cargo de presidente de la Junta de Andalucía.</w:t>
      </w:r>
    </w:p>
    <w:p w14:paraId="4000987A" w14:textId="77777777" w:rsidR="003754FE" w:rsidRDefault="003754FE" w:rsidP="003754FE">
      <w:pPr>
        <w:pStyle w:val="TextoNormal"/>
      </w:pPr>
    </w:p>
    <w:p w14:paraId="2F093274" w14:textId="77777777" w:rsidR="003754FE" w:rsidRDefault="003754FE" w:rsidP="003754FE">
      <w:pPr>
        <w:pStyle w:val="TextoNormal"/>
      </w:pPr>
      <w:r>
        <w:t xml:space="preserve">B) </w:t>
      </w:r>
      <w:r w:rsidRPr="003754FE">
        <w:rPr>
          <w:i/>
        </w:rPr>
        <w:t>Fundamentación de la condena por malversación en la sentencia de instancia</w:t>
      </w:r>
    </w:p>
    <w:p w14:paraId="75E478F1" w14:textId="77777777" w:rsidR="003754FE" w:rsidRDefault="003754FE" w:rsidP="003754FE">
      <w:pPr>
        <w:pStyle w:val="TextoNormal"/>
      </w:pPr>
    </w:p>
    <w:p w14:paraId="356037E7" w14:textId="77777777" w:rsidR="003754FE" w:rsidRDefault="003754FE" w:rsidP="003754FE">
      <w:pPr>
        <w:pStyle w:val="TextoNormal"/>
      </w:pPr>
      <w:r>
        <w:t>La subsunción en el delito de malversación de los hechos atribuidos al recurrente de amparo se fundamenta, en la sentencia de la Audiencia Provincial de Sevilla, en los siguientes elementos:</w:t>
      </w:r>
    </w:p>
    <w:p w14:paraId="7FAB9FFE" w14:textId="77777777" w:rsidR="003754FE" w:rsidRDefault="003754FE" w:rsidP="003754FE">
      <w:pPr>
        <w:pStyle w:val="TextoNormal"/>
      </w:pPr>
    </w:p>
    <w:p w14:paraId="5ECE01F8" w14:textId="77777777" w:rsidR="003754FE" w:rsidRDefault="003754FE" w:rsidP="003754FE">
      <w:pPr>
        <w:pStyle w:val="TextoNormal"/>
      </w:pPr>
      <w:r>
        <w:t>a) La Audiencia Provincial estima que el sistema de presupuestación que se venía utilizando desde el año 2002 para el pago de ayudas sociolaborales y a empresas en crisis, instrumentado a través de transferencias de financiación primero al IFA y luego a IDEA, generaba graves irregularidades —en las propias palabras de la resolución, “auténticas ilegalidades” (fundamento de Derecho 39, págs. 1471 y 1483)— en la gestión de los correspondientes fondos públicos, muy destacadamente la omisión del procedimiento administrativo previsto para la concesión de subvenciones y la ausencia de fiscalización previa del gasto (fundamento 39, págs. 1446, 1454, 1472 y 1474).</w:t>
      </w:r>
    </w:p>
    <w:p w14:paraId="2EF8DA9C" w14:textId="77777777" w:rsidR="003754FE" w:rsidRDefault="003754FE" w:rsidP="003754FE">
      <w:pPr>
        <w:pStyle w:val="TextoNormal"/>
      </w:pPr>
    </w:p>
    <w:p w14:paraId="20E4EC54" w14:textId="77777777" w:rsidR="003754FE" w:rsidRDefault="003754FE" w:rsidP="003754FE">
      <w:pPr>
        <w:pStyle w:val="TextoNormal"/>
      </w:pPr>
      <w:r>
        <w:t xml:space="preserve">Sostiene, en particular, que la finalidad perseguida con el aludido sistema de presupuestación era, justamente, “eludir la tramitación de los expedientes de concesión de </w:t>
      </w:r>
      <w:r>
        <w:lastRenderedPageBreak/>
        <w:t>subvenciones, con los requisitos legalmente establecidos para su otorgamiento, así como la fiscalización previa por parte de la Intervención” (fundamento de Derecho 39, págs. 1146-1447).</w:t>
      </w:r>
    </w:p>
    <w:p w14:paraId="23397902" w14:textId="77777777" w:rsidR="003754FE" w:rsidRDefault="003754FE" w:rsidP="003754FE">
      <w:pPr>
        <w:pStyle w:val="TextoNormal"/>
      </w:pPr>
    </w:p>
    <w:p w14:paraId="525EE6AF" w14:textId="77777777" w:rsidR="003754FE" w:rsidRDefault="003754FE" w:rsidP="003754FE">
      <w:pPr>
        <w:pStyle w:val="TextoNormal"/>
      </w:pPr>
      <w:r>
        <w:t>b) La Audiencia Provincial considera que el recurrente de amparo tenía conocimiento de la existencia de ese sistema y de sus consecuencias ilícitas. En concreto, afirma que conocía: (i) que las ayudas sociolaborales y a empresas en crisis tenían la naturaleza de subvenciones y debían, por tal razón, ser sometidas a fiscalización previa de la Intervención delegada de la Consejería de Empleo y Desarrollo Tecnológico (fundamento de Derecho 39, pág. 1444); (ii) que esa fiscalización previa se veía imposibilitada por la previsión presupuestaria de tales ayudas como “transferencias de financiación” (fundamento 39, págs. 1445, 1446 y 1472); (iii) que ese sistema de presupuestación era “ilegal” por ser contrario “a la clasificación económica del gasto” (fundamento 39, pág. 1447); (iv) que las cantidades ilegalmente presupuestadas eran efectivamente destinadas al pago de ayudas sociolaborales y a empresas en crisis (fundamento 39, págs. 1449, 1450, 1465 y 1472); (v) que era la Consejería de Empleo y Desarrollo Tecnológico la que concedía las ayudas y la agencia IFA/IDEA la que, indebidamente, realizaba después los pagos (fundamento 39, págs. 1445, 1446, 1460 y 1461),  y (vi) que ese proceder generaba un déficit presupuestario en el IFA/IDEA derivado de la adquisición por parte de la Consejería de Empleo y Desarrollo Tecnológico de compromisos de pago por encima de la cobertura presupuestaria (fundamento 39, págs. 1453, 1454, 1477, 1478, 1488, 1489 y 1494).</w:t>
      </w:r>
    </w:p>
    <w:p w14:paraId="1ABEF933" w14:textId="77777777" w:rsidR="003754FE" w:rsidRDefault="003754FE" w:rsidP="003754FE">
      <w:pPr>
        <w:pStyle w:val="TextoNormal"/>
      </w:pPr>
    </w:p>
    <w:p w14:paraId="6A3707F0" w14:textId="77777777" w:rsidR="003754FE" w:rsidRDefault="003754FE" w:rsidP="003754FE">
      <w:pPr>
        <w:pStyle w:val="TextoNormal"/>
      </w:pPr>
      <w:r>
        <w:t>Concluye la Audiencia Provincial que el recurrente de amparo era consciente, en definitiva, de la “palmaria ilegalidad” (fundamento de Derecho 39, pág. 1469) del sistema de presupuestación utilizado y de que este propiciaba que la Consejería de Empleo y Desarrollo Tecnológico concediera las ayudas “al margen del presupuesto, imposibilitando así su fiscalización previa, lo que favoreció un descontrol absoluto” (fundamento 39, pág. 1446).</w:t>
      </w:r>
    </w:p>
    <w:p w14:paraId="7A153FDE" w14:textId="77777777" w:rsidR="003754FE" w:rsidRDefault="003754FE" w:rsidP="003754FE">
      <w:pPr>
        <w:pStyle w:val="TextoNormal"/>
      </w:pPr>
    </w:p>
    <w:p w14:paraId="031B9DE5" w14:textId="77777777" w:rsidR="003754FE" w:rsidRDefault="003754FE" w:rsidP="003754FE">
      <w:pPr>
        <w:pStyle w:val="TextoNormal"/>
      </w:pPr>
      <w:r>
        <w:t>c) La Audiencia Provincial entiende que el recurrente, pese a conocer estas irregularidades, mantuvo, mientras ejerció el cargo de consejero de Economía y Hacienda, el sistema de presupuestación preexistente, sin adoptar medidas eficaces para evitar que se siguieran materializando, en la consiguiente gestión de las ayudas comprendidas en el programa 31L, las “ilegalidades” asociadas a dicho sistema (fundamento de Derecho 39, págs. 1447 y 1475). Concluye que, con ese proceder, el demandante de amparo “asumió la eventualidad de que los fondos vinculados al programa 31L fueran objeto de disposición con fines ajenos al fin público al que estaban destinados” (fundamentos 39, pág. 1467, y 49, pág. 1811).</w:t>
      </w:r>
    </w:p>
    <w:p w14:paraId="6CFCC432" w14:textId="77777777" w:rsidR="003754FE" w:rsidRDefault="003754FE" w:rsidP="003754FE">
      <w:pPr>
        <w:pStyle w:val="TextoNormal"/>
      </w:pPr>
    </w:p>
    <w:p w14:paraId="1DD3086E" w14:textId="77777777" w:rsidR="003754FE" w:rsidRDefault="003754FE" w:rsidP="003754FE">
      <w:pPr>
        <w:pStyle w:val="TextoNormal"/>
      </w:pPr>
      <w:r>
        <w:t xml:space="preserve">C) </w:t>
      </w:r>
      <w:r w:rsidRPr="003754FE">
        <w:rPr>
          <w:i/>
        </w:rPr>
        <w:t>Fundamentación de la condena por malversación en la sentencia de casación</w:t>
      </w:r>
    </w:p>
    <w:p w14:paraId="7A142C4E" w14:textId="77777777" w:rsidR="003754FE" w:rsidRDefault="003754FE" w:rsidP="003754FE">
      <w:pPr>
        <w:pStyle w:val="TextoNormal"/>
      </w:pPr>
    </w:p>
    <w:p w14:paraId="7D7A44E8" w14:textId="77777777" w:rsidR="003754FE" w:rsidRDefault="003754FE" w:rsidP="003754FE">
      <w:pPr>
        <w:pStyle w:val="TextoNormal"/>
      </w:pPr>
      <w:r>
        <w:t>La sentencia casacional de la Sala de lo Penal del Tribunal Supremo incluye una extensa fundamentación explicativa de la interpretación del alcance del tipo penal del art. 432 CP y de su aplicación al supuesto de hecho del recurrente. En lo que a la resolución de esta concreta queja interesa, cabe destacar los siguientes argumentos:</w:t>
      </w:r>
    </w:p>
    <w:p w14:paraId="186E973E" w14:textId="77777777" w:rsidR="003754FE" w:rsidRDefault="003754FE" w:rsidP="003754FE">
      <w:pPr>
        <w:pStyle w:val="TextoNormal"/>
      </w:pPr>
    </w:p>
    <w:p w14:paraId="6688AE59" w14:textId="77777777" w:rsidR="003754FE" w:rsidRDefault="003754FE" w:rsidP="003754FE">
      <w:pPr>
        <w:pStyle w:val="TextoNormal"/>
      </w:pPr>
      <w:r>
        <w:t xml:space="preserve">a) El Tribunal Supremo estima que la “sustracción” requerida por el tipo penal aplicado (el art. 432.1 CP en su redacción anterior a la Ley Orgánica 1/2015, de 30 de marzo) puede producirse cuando “el caudal público se aparta definitivamente del patrimonio público desviándolo de las necesidades del servicio”. Esto ocurriría, en todo caso, cuando los actos de </w:t>
      </w:r>
      <w:r>
        <w:lastRenderedPageBreak/>
        <w:t>disposición de los caudales públicos se realizan de forma “arbitraria” y “libérrima”, como si se tratase de bienes pertenecientes a la autoridad que dispone de ellos, con completo apartamiento de los cauces, procedimientos y controles legalmente aplicables. Según razona el Tribunal Supremo, la autoridad o funcionario dispone, en ese tipo de supuestos, del dinero público “como si fuera propio”. La finalidad pública, concluye la sentencia, “viene condicionada al cumplimiento de las exigencias legales”, por lo que un incumplimiento “absoluto” de esas exigencias implica, en sí mismo, la sustracción a una finalidad legítima y, con ello, un acto dispositivo que conlleva una apropiación.</w:t>
      </w:r>
    </w:p>
    <w:p w14:paraId="158594BE" w14:textId="77777777" w:rsidR="003754FE" w:rsidRDefault="003754FE" w:rsidP="003754FE">
      <w:pPr>
        <w:pStyle w:val="TextoNormal"/>
      </w:pPr>
    </w:p>
    <w:p w14:paraId="138B9240" w14:textId="77777777" w:rsidR="003754FE" w:rsidRDefault="003754FE" w:rsidP="003754FE">
      <w:pPr>
        <w:pStyle w:val="TextoNormal"/>
      </w:pPr>
      <w:r>
        <w:t>Esta interpretación del concepto de “sustracción” no ha sido cuestionada por el recurrente de amparo. En todo caso, ya en la STC 94/2024, FJ 5.2, se ha señalado que dicha interpretación resulta compatible, abstractamente considerada, con el derecho fundamental a la legalidad penal contemplado en el art. 25.1 CE.</w:t>
      </w:r>
    </w:p>
    <w:p w14:paraId="162C6C40" w14:textId="77777777" w:rsidR="003754FE" w:rsidRDefault="003754FE" w:rsidP="003754FE">
      <w:pPr>
        <w:pStyle w:val="TextoNormal"/>
      </w:pPr>
    </w:p>
    <w:p w14:paraId="2599EA32" w14:textId="77777777" w:rsidR="003754FE" w:rsidRDefault="003754FE" w:rsidP="003754FE">
      <w:pPr>
        <w:pStyle w:val="TextoNormal"/>
      </w:pPr>
      <w:r>
        <w:t>b) El Tribunal Supremo concreta cómo se ha producido, en el presente caso, esa “sustracción” de caudales públicos. Considera que, más allá de la utilización de las transferencias de financiación “como artificio contable para eludir la normativa de subvenciones”, conducta en sí misma determinante del delito de prevaricación, se dispuso después “de los fondos públicos presupuestados al margen de todo control y de forma libérrima y arbitraria” (fundamento de Derecho 33, pág. 320). El manejo de los caudales se realizó “como si fueran propios, en favor de empresas y personas libremente determinadas y según las preferencias e intereses políticos de las autoridades que concedían las subvenciones”, en particular “[s]in bases de convocatoria, sin publicidad, en ocasiones sin precisar el objeto de la ayuda, y sin el cumplimiento de todo el amplio sistema de controles y garantías establecido en la ley” (fundamento 33, pág. 321).</w:t>
      </w:r>
    </w:p>
    <w:p w14:paraId="31EE0320" w14:textId="77777777" w:rsidR="003754FE" w:rsidRDefault="003754FE" w:rsidP="003754FE">
      <w:pPr>
        <w:pStyle w:val="TextoNormal"/>
      </w:pPr>
    </w:p>
    <w:p w14:paraId="2BF20461" w14:textId="77777777" w:rsidR="003754FE" w:rsidRDefault="003754FE" w:rsidP="003754FE">
      <w:pPr>
        <w:pStyle w:val="TextoNormal"/>
      </w:pPr>
      <w:r>
        <w:t>Se articuló, en definitiva, según señala el Tribunal Supremo, “un sistema para dotar de fondos a la Dirección General de Trabajo de la Junta de Andalucía para que esta dispusiera de ellos libremente”, sin que pueda “afirmarse siquiera que las ayudas concedidas cumplieran un fin público porque se concedieron, no ya al margen de todo control, sino al margen de cualquier criterio mínimamente objetivo y reglado y de forma absolutamente arbitraria”. Concluye la Sala de lo Penal que “las irregularidades advertidas en el proceso de concesión son tan graves y contumaces que excluyen la satisfacción de intereses públicos” (fundamento de Derecho 33, págs. 324-326).</w:t>
      </w:r>
    </w:p>
    <w:p w14:paraId="2E211247" w14:textId="77777777" w:rsidR="003754FE" w:rsidRDefault="003754FE" w:rsidP="003754FE">
      <w:pPr>
        <w:pStyle w:val="TextoNormal"/>
      </w:pPr>
    </w:p>
    <w:p w14:paraId="27AD4462" w14:textId="77777777" w:rsidR="003754FE" w:rsidRDefault="003754FE" w:rsidP="003754FE">
      <w:pPr>
        <w:pStyle w:val="TextoNormal"/>
      </w:pPr>
      <w:r>
        <w:t>c) Al igual que la Audiencia Provincial, el Tribunal Supremo estima que fue la aprobación “en contra de lo establecido en las leyes” de las partidas presupuestarias —y el incremento de su crédito inicial a través de las correspondientes modificaciones presupuestarias— lo que posibilitó un “descontrol absoluto en la concesión de las ayudas sociolaborales”. Fue, por tanto, “el indebido criterio de presupuestación” el que “hizo posible la concesión de las ayudas y eso permite también afirmar la vinculación causal entre el criterio de presupuestación y la falta de control y demás ilegalidades producidas en el proceso de concesión de las ayudas” (fundamento de Derecho 37.2, pág. 348).</w:t>
      </w:r>
    </w:p>
    <w:p w14:paraId="5803919C" w14:textId="77777777" w:rsidR="003754FE" w:rsidRDefault="003754FE" w:rsidP="003754FE">
      <w:pPr>
        <w:pStyle w:val="TextoNormal"/>
      </w:pPr>
    </w:p>
    <w:p w14:paraId="79BA68B6" w14:textId="77777777" w:rsidR="003754FE" w:rsidRDefault="003754FE" w:rsidP="003754FE">
      <w:pPr>
        <w:pStyle w:val="TextoNormal"/>
      </w:pPr>
      <w:r>
        <w:t xml:space="preserve">Las “ilegalidades” directamente vinculadas al “indebido criterio de presupuestación” utilizado son sintetizadas por el Tribunal Supremo del siguiente modo: “La Consejería de Empleo no tramitó ante la Intervención de la Junta de Andalucía los expedientes de concesión de las ayudas porque presupuestariamente no disponía de los fondos para su concesión ya </w:t>
      </w:r>
      <w:r>
        <w:lastRenderedPageBreak/>
        <w:t>que los había transferido al IFA/IDEA. Por su parte, IFA/IDEA no tenía que tramitar expediente alguno porque no concedía las ayudas (solo las pagaba) y esos pagos no estaban sometidos a fiscalización previa porque el ente estaba sujeto a control financiero, cuyo objeto no era la fiscalización de las ayudas, sino la fiscalización de la transferencia recibida, a cuyo fin, además, se contabilizaban los pagos de las ayudas como gastos de explotación, criterio de contabilización incorrecto dado que esos pagos no eran debidos al ejercicio de la actividad propia del ente público” (aspecto este último en el que el Tribunal Supremo incurre en contradicción con lo que señala la Audiencia Provincial en el fundamento jurídico 18 de la sentencia de instancia, donde se consigna que los pagos fueron correctamente contabilizados como meras operaciones de tesorería y que lo incorrecto fue su presupuestación como gastos de explotación).</w:t>
      </w:r>
    </w:p>
    <w:p w14:paraId="3BB86354" w14:textId="77777777" w:rsidR="003754FE" w:rsidRDefault="003754FE" w:rsidP="003754FE">
      <w:pPr>
        <w:pStyle w:val="TextoNormal"/>
      </w:pPr>
    </w:p>
    <w:p w14:paraId="527EC663" w14:textId="77777777" w:rsidR="003754FE" w:rsidRDefault="003754FE" w:rsidP="003754FE">
      <w:pPr>
        <w:pStyle w:val="TextoNormal"/>
      </w:pPr>
      <w:r>
        <w:t>De ello deduce el Alto Tribunal que hubo “vinculación causal entre las decisiones adoptadas al aprobar los proyectos de leyes de presupuestos y las modificaciones presupuestarias y el modo posterior de gestión de esos fondos” (fundamento de Derecho 37.2, pág. 349).</w:t>
      </w:r>
    </w:p>
    <w:p w14:paraId="28339647" w14:textId="77777777" w:rsidR="003754FE" w:rsidRDefault="003754FE" w:rsidP="003754FE">
      <w:pPr>
        <w:pStyle w:val="TextoNormal"/>
      </w:pPr>
    </w:p>
    <w:p w14:paraId="36EB953A" w14:textId="77777777" w:rsidR="003754FE" w:rsidRDefault="003754FE" w:rsidP="003754FE">
      <w:pPr>
        <w:pStyle w:val="TextoNormal"/>
      </w:pPr>
      <w:r>
        <w:t>d) El Tribunal Supremo se ocupa expresamente de especificar cuáles son las conductas malversadoras concretamente atribuidas a quienes, como es el caso del recurrente de amparo, intervinieron en la fase de presupuestación. Considera que esas conductas comprenden tanto una contribución activa para la comisión de “la acción típica” de “sustraer” —pues sin la aprobación de los presupuestos y las modificaciones presupuestarias no habría sido posible la gestión libérrima de las ayudas— como también la “omisión de medidas eficaces para evitar el dispendio, una vez que fue conocido”, lo que puede subsumirse en la modalidad comisiva consistente en consentir que un tercero sustraiga (fundamento de Derecho 35.2, pág. 341).</w:t>
      </w:r>
    </w:p>
    <w:p w14:paraId="57F143EC" w14:textId="77777777" w:rsidR="003754FE" w:rsidRDefault="003754FE" w:rsidP="003754FE">
      <w:pPr>
        <w:pStyle w:val="TextoNormal"/>
      </w:pPr>
    </w:p>
    <w:p w14:paraId="09B914AB" w14:textId="77777777" w:rsidR="003754FE" w:rsidRDefault="003754FE" w:rsidP="003754FE">
      <w:pPr>
        <w:pStyle w:val="TextoNormal"/>
      </w:pPr>
      <w:r>
        <w:t>La sentencia dedica un especial desarrollo argumental a la subsunción en la modalidad omisiva de malversación de los hechos cometidos por quienes participaron en la aprobación de los “instrumentos de presupuestación”. Afirma que “una autoridad o funcionario” no solo puede incurrir en esta modalidad omisiva permitiendo la acción sustractora de terceros ajenos a la función pública, sino también consintiendo, con la “dejación de la obligación de defensa del patrimonio”, la actuación ilícita de otros funcionarios públicos que están situados en una escala jerárquica inferior o que intervienen en un eslabón distinto del proceso global de gestión de los caudales. En palabras de la sentencia casacional, “una autoridad o funcionario puede consentir la sustracción por otro funcionario y ello es posible precisamente porque las competencias sobre la gestión de los fondos públicos pueden ser concurrentes” (fundamento de Derecho 36.2, pág. 345).</w:t>
      </w:r>
    </w:p>
    <w:p w14:paraId="5B56D02A" w14:textId="77777777" w:rsidR="003754FE" w:rsidRDefault="003754FE" w:rsidP="003754FE">
      <w:pPr>
        <w:pStyle w:val="TextoNormal"/>
      </w:pPr>
    </w:p>
    <w:p w14:paraId="55EA4063" w14:textId="77777777" w:rsidR="003754FE" w:rsidRDefault="003754FE" w:rsidP="003754FE">
      <w:pPr>
        <w:pStyle w:val="TextoNormal"/>
      </w:pPr>
      <w:r>
        <w:t>Por tal razón, las autoridades que intervenían en la fase de presupuestación pudieron “consentir” o permitir que las autoridades o funcionarios que después intervinieron en la fase de gestión de los fondos presupuestados realizaran los actos de disposición con los que se materializó la efectiva “sustracción” de los caudales.</w:t>
      </w:r>
    </w:p>
    <w:p w14:paraId="3AA7B23C" w14:textId="77777777" w:rsidR="003754FE" w:rsidRDefault="003754FE" w:rsidP="003754FE">
      <w:pPr>
        <w:pStyle w:val="TextoNormal"/>
      </w:pPr>
    </w:p>
    <w:p w14:paraId="4F2ED212" w14:textId="77777777" w:rsidR="003754FE" w:rsidRDefault="003754FE" w:rsidP="003754FE">
      <w:pPr>
        <w:pStyle w:val="TextoNormal"/>
      </w:pPr>
      <w:r>
        <w:t xml:space="preserve">e) En cuanto a la “posición de garantía” que sustenta la condena por esa modalidad omisiva de malversación, la sentencia casacional sostiene que las personas condenadas por su intervención en la fase de elaboración de los presupuestos y de las modificaciones presupuestarias tenían “competencias funcionales para evitar la sustracción”, pero “no hicieron nada” y “[n]o solo eso, autorizaron año a año, con incumplimiento patente de la legalidad, </w:t>
      </w:r>
      <w:r>
        <w:lastRenderedPageBreak/>
        <w:t>las partidas presupuestarias que hicieron posible la concesión y pago de las ayudas” (fundamento de Derecho 36.2, pág. 346).</w:t>
      </w:r>
    </w:p>
    <w:p w14:paraId="281CC702" w14:textId="77777777" w:rsidR="003754FE" w:rsidRDefault="003754FE" w:rsidP="003754FE">
      <w:pPr>
        <w:pStyle w:val="TextoNormal"/>
      </w:pPr>
    </w:p>
    <w:p w14:paraId="24E160C6" w14:textId="77777777" w:rsidR="003754FE" w:rsidRDefault="003754FE" w:rsidP="003754FE">
      <w:pPr>
        <w:pStyle w:val="TextoNormal"/>
      </w:pPr>
      <w:r>
        <w:t>Según el Tribunal Supremo, el recurrente de amparo tenía, al igual que el resto de “las autoridades condenadas por intervenir en el proceso de presupuestación”, “funcionalmente asignada la competencia para decidir sobre el destino de los fondos públicos, aprobando o no las correspondientes partidas presupuestarias, sin cuya existencia la concesión y pago de las ayudas no habría sido posible, y todos aquellos que conocieron las ilegalidades en su concesión y pago, contribuyeron causalmente al desarrollo de la acción en la medida en que no lo impidieron” (fundamento de Derecho 37.2, pág. 348).</w:t>
      </w:r>
    </w:p>
    <w:p w14:paraId="419F4EB4" w14:textId="77777777" w:rsidR="003754FE" w:rsidRDefault="003754FE" w:rsidP="003754FE">
      <w:pPr>
        <w:pStyle w:val="TextoNormal"/>
      </w:pPr>
    </w:p>
    <w:p w14:paraId="641280C2" w14:textId="77777777" w:rsidR="003754FE" w:rsidRDefault="003754FE" w:rsidP="003754FE">
      <w:pPr>
        <w:pStyle w:val="TextoNormal"/>
      </w:pPr>
      <w:r>
        <w:t>f) En relación específica con el demandante de amparo, el Tribunal Supremo, con remisión a la fundamentación general que ya ha sido expuesta, considera que facilitó la realización de la “acción nuclear del delito de malversación, consistente en la disposición definitiva de caudales públicos con destino a fines distintos de los previstos en la ley, entendiendo por tal la concesión libérrima de subvenciones, incumpliendo de modo general y absoluto los requisitos y procedimientos de control establecidos en la ley” (fundamento de Derecho 61.2, pág. 494). Añade que, pese al “conocimiento que tenía de las irregularidades que se producían en la gestión y disposición de los fondos” y a pesar de “las potestades que tenía en el ejercicio de sus cargos permitió que se siguiera produciendo esa irregular situación año tras año” (fundamento 61.2, pág. 494).</w:t>
      </w:r>
    </w:p>
    <w:p w14:paraId="720B1B6D" w14:textId="77777777" w:rsidR="003754FE" w:rsidRDefault="003754FE" w:rsidP="003754FE">
      <w:pPr>
        <w:pStyle w:val="TextoNormal"/>
      </w:pPr>
    </w:p>
    <w:p w14:paraId="285A2E2B" w14:textId="77777777" w:rsidR="003754FE" w:rsidRDefault="003754FE" w:rsidP="003754FE">
      <w:pPr>
        <w:pStyle w:val="TextoNormal"/>
      </w:pPr>
      <w:r>
        <w:t>Según afirma la Sala de lo Penal, el demandante “entre otros, intervino en la dotación de fondos a través de un sistema de presupuestación ilegal con conocimiento de las consecuencias que ello podía tener en la gestión, también que conoció las ilicitudes perpetradas con esos fondos” y “como consecuencia de las competencias que le correspondían, al ejercer las más altas funciones dentro del Gobierno de la Junta de Andalucía, tuvo capacidad de impedir ese modo de gestión” (fundamento de Derecho 61.3, pág. 495).</w:t>
      </w:r>
    </w:p>
    <w:p w14:paraId="5FDC4202" w14:textId="77777777" w:rsidR="003754FE" w:rsidRDefault="003754FE" w:rsidP="003754FE">
      <w:pPr>
        <w:pStyle w:val="TextoNormal"/>
      </w:pPr>
    </w:p>
    <w:p w14:paraId="356043A2" w14:textId="77777777" w:rsidR="003754FE" w:rsidRDefault="003754FE" w:rsidP="003754FE">
      <w:pPr>
        <w:pStyle w:val="TextoNormal"/>
      </w:pPr>
      <w:r>
        <w:t>Concluye el Tribunal Supremo que “[c]omo consecuencia de todo ello, no ofrece duda la vinculación del señor Griñán, no solo con la presupuestación sino con la gestión de los fondos, actuación esta que no puede ser calificada como ajena, desconocida o desconectada con el ejercicio de sus funciones públicas” (fundamento de Derecho 61.3, pág. 496).</w:t>
      </w:r>
    </w:p>
    <w:p w14:paraId="7183B211" w14:textId="77777777" w:rsidR="003754FE" w:rsidRDefault="003754FE" w:rsidP="003754FE">
      <w:pPr>
        <w:pStyle w:val="TextoNormal"/>
      </w:pPr>
    </w:p>
    <w:p w14:paraId="62F60B7A" w14:textId="77777777" w:rsidR="003754FE" w:rsidRDefault="003754FE" w:rsidP="003754FE">
      <w:pPr>
        <w:pStyle w:val="TextoNormal"/>
      </w:pPr>
      <w:r>
        <w:t>5.3</w:t>
      </w:r>
      <w:r w:rsidRPr="003754FE">
        <w:rPr>
          <w:i/>
        </w:rPr>
        <w:t>. Enjuiciamiento de la que</w:t>
      </w:r>
      <w:r>
        <w:t>ja</w:t>
      </w:r>
    </w:p>
    <w:p w14:paraId="22AD9437" w14:textId="77777777" w:rsidR="003754FE" w:rsidRDefault="003754FE" w:rsidP="003754FE">
      <w:pPr>
        <w:pStyle w:val="TextoNormal"/>
      </w:pPr>
    </w:p>
    <w:p w14:paraId="571D554D" w14:textId="77777777" w:rsidR="003754FE" w:rsidRDefault="003754FE" w:rsidP="003754FE">
      <w:pPr>
        <w:pStyle w:val="TextoNormal"/>
      </w:pPr>
      <w:r>
        <w:t>La fundamentación empleada en las resoluciones impugnadas pone de manifiesto que la condena del recurrente por el delito de malversación se sustenta en su intervención personal, como consejero de Economía y Hacienda, en la elaboración de los presupuestos de la Comunidad Autónoma de Andalucía correspondientes a los ejercicios de 2005 a 2009, así como en la tramitación de las modificaciones presupuestarias correspondientes a dichos ejercicios, siempre en relación con las aplicaciones presupuestarias del programa 31L destinadas, en concepto de transferencias de financiación, al pago por parte de la agencia IDEA de ayudas sociolaborales y a empresas en crisis.</w:t>
      </w:r>
    </w:p>
    <w:p w14:paraId="098B7C5C" w14:textId="77777777" w:rsidR="003754FE" w:rsidRDefault="003754FE" w:rsidP="003754FE">
      <w:pPr>
        <w:pStyle w:val="TextoNormal"/>
      </w:pPr>
    </w:p>
    <w:p w14:paraId="1B7E58A0" w14:textId="77777777" w:rsidR="003754FE" w:rsidRDefault="003754FE" w:rsidP="003754FE">
      <w:pPr>
        <w:pStyle w:val="TextoNormal"/>
      </w:pPr>
      <w:r>
        <w:t xml:space="preserve">Esa intervención del recurrente, realizada a sabiendas de las graves irregularidades que, a juicio de las resoluciones impugnadas, conllevaba el sistema de presupuestación empleado, habría supuesto, según explica la sentencia casacional: (i) una contribución “activa” </w:t>
      </w:r>
      <w:r>
        <w:lastRenderedPageBreak/>
        <w:t>a la materialización de la “sustracción” sancionada en el art. 432.1 CP, pues sin el “indebido criterio de presupuestación” no se habrían omitido los trámites y requisitos propios del régimen de las subvenciones y no se habría materializado el “descontrol absoluto” en la concesión de las ayudas; (ii) una contribución “omisiva” a esa misma “sustracción”, sancionada expresamente en el mismo precepto del Código penal, pues el recurrente no utilizó su posición institucional en el proceso de elaboración y aprobación de los presupuestos para evitar que ese proceder ilícito se repitiese en los ejercicios siguientes, por lo que “consintió” que las autoridades o funcionarios que gestionaban las ayudas las “sustrajeran” nuevamente de sus fines públicos legítimos, en cada ejercicio sucesivo, a través de una gestión global “libérrima” y “arbitraria”.</w:t>
      </w:r>
    </w:p>
    <w:p w14:paraId="71DF0D9E" w14:textId="77777777" w:rsidR="003754FE" w:rsidRDefault="003754FE" w:rsidP="003754FE">
      <w:pPr>
        <w:pStyle w:val="TextoNormal"/>
      </w:pPr>
    </w:p>
    <w:p w14:paraId="187E09B3" w14:textId="77777777" w:rsidR="003754FE" w:rsidRDefault="003754FE" w:rsidP="003754FE">
      <w:pPr>
        <w:pStyle w:val="TextoNormal"/>
      </w:pPr>
      <w:r>
        <w:t>Pues bien, siendo este el fundamento de las sentencias impugnadas, es claro que las conclusiones alcanzadas en el fundamento jurídico 4 en relación con el delito de prevaricación tienen influjo directo sobre la evaluación de la posible vulneración del derecho a la legalidad penal en la condena por delito de malversación, pues enlazan plenamente con la vulneración del art. 25.1 CE planteada por el demandante de amparo, según la cual este se habría limitado a realizar actos jurídicamente neutros, desprovistos, por sí mismos, de cualquier carga de ilicitud y que tendrían la finalidad exclusiva de agilizar la concesión de ayudas sociolaborales y a empresas en crisis.</w:t>
      </w:r>
    </w:p>
    <w:p w14:paraId="58E51866" w14:textId="77777777" w:rsidR="003754FE" w:rsidRDefault="003754FE" w:rsidP="003754FE">
      <w:pPr>
        <w:pStyle w:val="TextoNormal"/>
      </w:pPr>
    </w:p>
    <w:p w14:paraId="60704DC7" w14:textId="77777777" w:rsidR="003754FE" w:rsidRDefault="003754FE" w:rsidP="003754FE">
      <w:pPr>
        <w:pStyle w:val="TextoNormal"/>
      </w:pPr>
      <w:r>
        <w:t>Hemos de distinguir, por tal razón: (A) la subsunción en el tipo penal de malversación de aquellos hechos probados que se refieren a las irregularidades en la gestión global de las ayudas sociolaborales y a empresas en crisis; y (B) la subsunción en el delito de malversación de las concretas aplicaciones de fondos públicos sin cobertura en el programa 31L.</w:t>
      </w:r>
    </w:p>
    <w:p w14:paraId="646A6C26" w14:textId="77777777" w:rsidR="003754FE" w:rsidRDefault="003754FE" w:rsidP="003754FE">
      <w:pPr>
        <w:pStyle w:val="TextoNormal"/>
      </w:pPr>
    </w:p>
    <w:p w14:paraId="32750C95" w14:textId="77777777" w:rsidR="003754FE" w:rsidRDefault="003754FE" w:rsidP="003754FE">
      <w:pPr>
        <w:pStyle w:val="TextoNormal"/>
      </w:pPr>
      <w:r>
        <w:t xml:space="preserve">A) </w:t>
      </w:r>
      <w:r w:rsidRPr="003754FE">
        <w:rPr>
          <w:i/>
        </w:rPr>
        <w:t>Hechos probados que se refieren globalmente a la forma de gestión de las transferencias de financiación derivada de un “indebido” sistema de presupuestación</w:t>
      </w:r>
    </w:p>
    <w:p w14:paraId="2BD9DBB9" w14:textId="77777777" w:rsidR="003754FE" w:rsidRDefault="003754FE" w:rsidP="003754FE">
      <w:pPr>
        <w:pStyle w:val="TextoNormal"/>
      </w:pPr>
    </w:p>
    <w:p w14:paraId="4038898F" w14:textId="77777777" w:rsidR="003754FE" w:rsidRDefault="003754FE" w:rsidP="003754FE">
      <w:pPr>
        <w:pStyle w:val="TextoNormal"/>
      </w:pPr>
      <w:r>
        <w:t>a</w:t>
      </w:r>
      <w:r w:rsidRPr="003754FE">
        <w:rPr>
          <w:i/>
        </w:rPr>
        <w:t>) Modalidad activa del delito de malversaci</w:t>
      </w:r>
      <w:r>
        <w:t>ón</w:t>
      </w:r>
    </w:p>
    <w:p w14:paraId="6BEB477C" w14:textId="77777777" w:rsidR="003754FE" w:rsidRDefault="003754FE" w:rsidP="003754FE">
      <w:pPr>
        <w:pStyle w:val="TextoNormal"/>
      </w:pPr>
    </w:p>
    <w:p w14:paraId="33DA1FC6" w14:textId="77777777" w:rsidR="003754FE" w:rsidRDefault="003754FE" w:rsidP="003754FE">
      <w:pPr>
        <w:pStyle w:val="TextoNormal"/>
      </w:pPr>
      <w:r>
        <w:t>Según razonan las resoluciones impugnadas, el recurrente, al participar por razón de su cargo en la elaboración y aprobación de los proyectos de leyes presupuestos y de las modificaciones presupuestarias de los años 2005 a 2009, habría realizado una contribución necesaria para que las ayudas sociolaborales y a empresas en crisis pudieran gestionarse sin sujeción al régimen jurídico de las subvenciones. Como reiteran, en diversos pasajes, las sentencias de instancia y casación, el “indebido criterio de presupuestación” habría dado lugar a la consiguiente “sustracción” de los caudales públicos, consistente en la omisión radical y absoluta del régimen jurídico previsto para las subvenciones, un régimen al que las ayudas sociolaborales y a empresas en crisis sí se habrían sometido, en cambio, si hubieran sido correctamente presupuestadas.</w:t>
      </w:r>
    </w:p>
    <w:p w14:paraId="2569AE51" w14:textId="77777777" w:rsidR="003754FE" w:rsidRDefault="003754FE" w:rsidP="003754FE">
      <w:pPr>
        <w:pStyle w:val="TextoNormal"/>
      </w:pPr>
    </w:p>
    <w:p w14:paraId="51FE4037" w14:textId="77777777" w:rsidR="003754FE" w:rsidRDefault="003754FE" w:rsidP="003754FE">
      <w:pPr>
        <w:pStyle w:val="TextoNormal"/>
      </w:pPr>
      <w:r>
        <w:t>Esta subsunción en la modalidad activa del delito de malversación resulta imprevisible y, por ello, contraria al art. 25.1 CE por dos razones fundamentales:</w:t>
      </w:r>
    </w:p>
    <w:p w14:paraId="69F77B42" w14:textId="77777777" w:rsidR="003754FE" w:rsidRDefault="003754FE" w:rsidP="003754FE">
      <w:pPr>
        <w:pStyle w:val="TextoNormal"/>
      </w:pPr>
    </w:p>
    <w:p w14:paraId="5CE297D1" w14:textId="77777777" w:rsidR="003754FE" w:rsidRDefault="003754FE" w:rsidP="003754FE">
      <w:pPr>
        <w:pStyle w:val="TextoNormal"/>
      </w:pPr>
      <w:r>
        <w:t xml:space="preserve">(i) En primer lugar, el sistema de presupuestación contemplado en un anteproyecto o proyecto de ley de presupuestos solo puede ser considerado “indebido” o “ilícito” —y en tal concepto generador de un sistema de gestión igualmente indebido o ilegal— si es </w:t>
      </w:r>
      <w:r>
        <w:lastRenderedPageBreak/>
        <w:t>sometido a control o escrutinio jurídico, lo que no puede hacer ningún órgano judicial, tampoco los órganos de la jurisdicción penal.</w:t>
      </w:r>
    </w:p>
    <w:p w14:paraId="6B068756" w14:textId="77777777" w:rsidR="003754FE" w:rsidRDefault="003754FE" w:rsidP="003754FE">
      <w:pPr>
        <w:pStyle w:val="TextoNormal"/>
      </w:pPr>
    </w:p>
    <w:p w14:paraId="21094798" w14:textId="77777777" w:rsidR="003754FE" w:rsidRDefault="003754FE" w:rsidP="003754FE">
      <w:pPr>
        <w:pStyle w:val="TextoNormal"/>
      </w:pPr>
      <w:r>
        <w:t>Como se señaló en la STC 93/2024, FJ 4.4.1 a), la doctrina de este tribunal establece “con toda claridad que el contenido de los anteproyectos y proyectos de ley no puede ser objeto de control por ningún órgano judicial” y que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tal y como ya se ha expuesto”.</w:t>
      </w:r>
    </w:p>
    <w:p w14:paraId="7F44BF0A" w14:textId="77777777" w:rsidR="003754FE" w:rsidRDefault="003754FE" w:rsidP="003754FE">
      <w:pPr>
        <w:pStyle w:val="TextoNormal"/>
      </w:pPr>
    </w:p>
    <w:p w14:paraId="66A35A4A" w14:textId="77777777" w:rsidR="003754FE" w:rsidRDefault="003754FE" w:rsidP="003754FE">
      <w:pPr>
        <w:pStyle w:val="TextoNormal"/>
      </w:pPr>
      <w:r>
        <w:t>Las resoluciones impugnadas, al considerar que los proyectos de leyes de presupuestos en cuya elaboración y aprobación participó el actor establecían un sistema de presupuestación “indebido” o “ilegal”, causalmente determinante de la posterior malversación, han realizado un control jurídico del contenido de los actos de iniciativa legislativa del Gobierno que les estaba constitucionalmente vedado. El ejercicio de ese control jurídico indebido produce, por sí solo, una subsunción completamente imprevisible en el tipo penal de la malversación, pues nadie puede esperar razonablemente que será penalmente condenado por la “ilegalidad” de un acto cuyo contenido no es susceptible de ser fiscalizado por la jurisdicción penal.</w:t>
      </w:r>
    </w:p>
    <w:p w14:paraId="5B9226CD" w14:textId="77777777" w:rsidR="003754FE" w:rsidRDefault="003754FE" w:rsidP="003754FE">
      <w:pPr>
        <w:pStyle w:val="TextoNormal"/>
      </w:pPr>
    </w:p>
    <w:p w14:paraId="5EDCE95D" w14:textId="77777777" w:rsidR="003754FE" w:rsidRDefault="003754FE" w:rsidP="003754FE">
      <w:pPr>
        <w:pStyle w:val="TextoNormal"/>
      </w:pPr>
      <w:r>
        <w:t xml:space="preserve">(ii) El juicio de “ilegalidad” que las sentencias impugnadas efectúan del sistema de presupuestación contemplado en los anteproyectos y proyectos de leyes de presupuestos desconoce, igualmente, que dichas iniciativas legislativas carecen de cualquier eficacia jurídica </w:t>
      </w:r>
      <w:r w:rsidRPr="003754FE">
        <w:rPr>
          <w:i/>
        </w:rPr>
        <w:t>ad extra</w:t>
      </w:r>
      <w:r>
        <w:t xml:space="preserve"> mientras no sean aprobadas por el Parlamento, momento en el que adquieren rango de ley y a partir del cual han de considerarse válidas, sin que puedan constituir la fuente de actos de disposición “ilícita” de caudales públicos a efectos de condenar por delito de malversación.</w:t>
      </w:r>
    </w:p>
    <w:p w14:paraId="5BBFD8AB" w14:textId="77777777" w:rsidR="003754FE" w:rsidRDefault="003754FE" w:rsidP="003754FE">
      <w:pPr>
        <w:pStyle w:val="TextoNormal"/>
      </w:pPr>
    </w:p>
    <w:p w14:paraId="2D2F86FD" w14:textId="77777777" w:rsidR="003754FE" w:rsidRDefault="003754FE" w:rsidP="003754FE">
      <w:pPr>
        <w:pStyle w:val="TextoNormal"/>
      </w:pPr>
      <w:r>
        <w:t>Como ya se señaló en la STC 93/2024, FJ 4.4.1 b), considerar que “la intervención del Parlamento en la aprobación del presupuesto es meramente formal, hasta el punto de concluir que no puede entenderse aprobado el sistema de presupuestación expresamente previsto en la ley al considerar que este sistema había sido establecido ilegalmente por el Gobierno en el proyecto de ley” implica “privar de toda relevancia a la aprobación parlamentaria de la ley” y “desconocer la centralidad del Parlamento andaluz en el entramado institucional diseñado estatutariamente”, lo que es contrario a los “principios que rigen nuestro sistema constitucional, en particular los que otorgan la centralidad al Parlamento en la conformación del Estado”.</w:t>
      </w:r>
    </w:p>
    <w:p w14:paraId="0F3DCAC3" w14:textId="77777777" w:rsidR="003754FE" w:rsidRDefault="003754FE" w:rsidP="003754FE">
      <w:pPr>
        <w:pStyle w:val="TextoNormal"/>
      </w:pPr>
    </w:p>
    <w:p w14:paraId="2426335E" w14:textId="77777777" w:rsidR="003754FE" w:rsidRDefault="003754FE" w:rsidP="003754FE">
      <w:pPr>
        <w:pStyle w:val="TextoNormal"/>
      </w:pPr>
      <w:r>
        <w:t xml:space="preserve">La aprobación de anteproyectos y proyectos de leyes no puede considerarse, por tanto, un acto con eficacia jurídica </w:t>
      </w:r>
      <w:r w:rsidRPr="003754FE">
        <w:rPr>
          <w:i/>
        </w:rPr>
        <w:t>ad extra</w:t>
      </w:r>
      <w:r>
        <w:t xml:space="preserve"> desvinculada de su posterior aprobación parlamentaria; no es susceptible, por ello, de subsunción mínimamente previsible en la modalidad activa del delito de malversación consistente en “sustraer”, como pretendida fuente de “ilicitud” de un determinado sistema de gestión.</w:t>
      </w:r>
    </w:p>
    <w:p w14:paraId="15E11C2C" w14:textId="77777777" w:rsidR="003754FE" w:rsidRDefault="003754FE" w:rsidP="003754FE">
      <w:pPr>
        <w:pStyle w:val="TextoNormal"/>
      </w:pPr>
    </w:p>
    <w:p w14:paraId="1276F27D" w14:textId="77777777" w:rsidR="003754FE" w:rsidRDefault="003754FE" w:rsidP="003754FE">
      <w:pPr>
        <w:pStyle w:val="TextoNormal"/>
      </w:pPr>
      <w:r>
        <w:t>b</w:t>
      </w:r>
      <w:r w:rsidRPr="003754FE">
        <w:rPr>
          <w:i/>
        </w:rPr>
        <w:t>) Modalidad omisiva del delito de malversaci</w:t>
      </w:r>
      <w:r>
        <w:t>ón</w:t>
      </w:r>
    </w:p>
    <w:p w14:paraId="00ADAF1A" w14:textId="77777777" w:rsidR="003754FE" w:rsidRDefault="003754FE" w:rsidP="003754FE">
      <w:pPr>
        <w:pStyle w:val="TextoNormal"/>
      </w:pPr>
    </w:p>
    <w:p w14:paraId="249C894C" w14:textId="77777777" w:rsidR="003754FE" w:rsidRDefault="003754FE" w:rsidP="003754FE">
      <w:pPr>
        <w:pStyle w:val="TextoNormal"/>
      </w:pPr>
      <w:r>
        <w:lastRenderedPageBreak/>
        <w:t>En lo que se refiere a la modalidad omisiva consistente en “consentir que un tercero sustraiga”, la cobertura legal que las leyes de presupuestos de los años 2005 a 2009 daban a la utilización de las transferencias de financiación a la agencia IDEA para el pago de las ayudas sociolaborales y a empresas en crisis determina que la subsunción en el tipo de malversación resulte, igualmente, imprevisible desde la óptica del art. 25.1 CE, por las razones siguientes:</w:t>
      </w:r>
    </w:p>
    <w:p w14:paraId="0F1E7FF6" w14:textId="77777777" w:rsidR="003754FE" w:rsidRDefault="003754FE" w:rsidP="003754FE">
      <w:pPr>
        <w:pStyle w:val="TextoNormal"/>
      </w:pPr>
    </w:p>
    <w:p w14:paraId="7C1BEDAB" w14:textId="77777777" w:rsidR="003754FE" w:rsidRDefault="003754FE" w:rsidP="003754FE">
      <w:pPr>
        <w:pStyle w:val="TextoNormal"/>
      </w:pPr>
      <w:r>
        <w:t>(i) En el delito de malversación no hay omisión sancionable si no existe, previamente, un resultado ilícito, esto es, si no hay un acto de “sustracción”. En la propia construcción del Tribunal Supremo, la omisión castigada en el tipo del art. 432 CP se concibe como una omisión “impropia”, también llamada “comisión por omisión”. Dicha modalidad omisiva no consiste en la mera inactividad de la autoridad o funcionario, esto es, en un simple incumplimiento de un deber de actuar. Lo que se atribuye a la autoridad o funcionario público en la modalidad omisiva del delito de malversación es, empleando los términos del art. 11 CP, la “no evitación” de un determinado resultado.</w:t>
      </w:r>
    </w:p>
    <w:p w14:paraId="13749D2F" w14:textId="77777777" w:rsidR="003754FE" w:rsidRDefault="003754FE" w:rsidP="003754FE">
      <w:pPr>
        <w:pStyle w:val="TextoNormal"/>
      </w:pPr>
    </w:p>
    <w:p w14:paraId="5717106E" w14:textId="77777777" w:rsidR="003754FE" w:rsidRDefault="003754FE" w:rsidP="003754FE">
      <w:pPr>
        <w:pStyle w:val="TextoNormal"/>
      </w:pPr>
      <w:r>
        <w:t>El resultado que, según la sentencia casacional, tanto el recurrente de amparo como las demás autoridades que participaron en la fase de presupuestación de las transferencias de financiación debían evitar era, según expone con toda claridad la referida resolución, la “sustracción” por terceros de los caudales públicos, entendida como la omisión global y absoluta, en la gestión de las ayudas sociolaborales y a empresas en crisis, de los requisitos y controles propios del régimen de las subvenciones. Las autoridades que intervenían en la fase de presupuestación de esas ayudas debían impedir, en definitiva, que se materializase ese régimen descontrolado de gestión.</w:t>
      </w:r>
    </w:p>
    <w:p w14:paraId="261829C3" w14:textId="77777777" w:rsidR="003754FE" w:rsidRDefault="003754FE" w:rsidP="003754FE">
      <w:pPr>
        <w:pStyle w:val="TextoNormal"/>
      </w:pPr>
    </w:p>
    <w:p w14:paraId="79F9F75C" w14:textId="77777777" w:rsidR="003754FE" w:rsidRDefault="003754FE" w:rsidP="003754FE">
      <w:pPr>
        <w:pStyle w:val="TextoNormal"/>
      </w:pPr>
      <w:r>
        <w:t>Sin embargo, como ya hemos señalado en la STC 94/2024, FJ 5.3, la consideración como “sustracción” del sistema global que fue empleado en la gestión de los fondos públicos destinados al pago de las ayudas sociolaborales y a empresas en crisis resulta contraria al art. 25.1 CE, pues es completamente imprevisible calificar como disposición “ilícita” la actuación conforme a los procedimientos y controles expresamente establecidos en las sucesivas leyes de presupuestos, como normas que tienen el mismo rango que cualquier otra ley.</w:t>
      </w:r>
    </w:p>
    <w:p w14:paraId="056B15DC" w14:textId="77777777" w:rsidR="003754FE" w:rsidRDefault="003754FE" w:rsidP="003754FE">
      <w:pPr>
        <w:pStyle w:val="TextoNormal"/>
      </w:pPr>
    </w:p>
    <w:p w14:paraId="75020E68" w14:textId="77777777" w:rsidR="003754FE" w:rsidRDefault="003754FE" w:rsidP="003754FE">
      <w:pPr>
        <w:pStyle w:val="TextoNormal"/>
      </w:pPr>
      <w:r>
        <w:t>Las transferencias de financiación comprendidas en el programa 31L fueron aprobadas en las sucesivas leyes de presupuestos de la Comunidad Autónoma de Andalucía y concretamente, en lo que al recurrente de amparo se refiere, en las leyes de presupuestos de los años 2005 a 2009. Esa aprobación parlamentaria implica que las previsiones sobre la concesión y gestión de ayudas sociolaborales se incorporaron al ordenamiento jurídico como leyes. En consecuencia, las determinaciones contenidas en dichas leyes en relación con el régimen de concesión y control financiero de las ayudas sociolaborales o a empresas en crisis (en concepto de “transferencias de financiación”) no podían ser calificadas de ilícitas o ilegales; la consiguiente consideración de la mera ejecución de tales determinaciones como una “sustracción” de fondos públicos constitutiva de delito de malversación resultaba, por tal razón, completamente imprevisible y contraria a las exigencias del art. 25.1 CE.</w:t>
      </w:r>
    </w:p>
    <w:p w14:paraId="075817B7" w14:textId="77777777" w:rsidR="003754FE" w:rsidRDefault="003754FE" w:rsidP="003754FE">
      <w:pPr>
        <w:pStyle w:val="TextoNormal"/>
      </w:pPr>
    </w:p>
    <w:p w14:paraId="21567F08" w14:textId="77777777" w:rsidR="003754FE" w:rsidRDefault="003754FE" w:rsidP="003754FE">
      <w:pPr>
        <w:pStyle w:val="TextoNormal"/>
      </w:pPr>
      <w:r>
        <w:t xml:space="preserve">Según señalamos en la citada STC 94/2024, FJ 5.3, nadie puede prever razonablemente que vaya a ser condenado por delito de malversación, esto es, por la disposición “ilícita” de caudales o efectos públicos, por realizar conductas que tienen cobertura en una norma con rango de ley que regula específicamente el supuesto de hecho al que ese individuo se </w:t>
      </w:r>
      <w:r>
        <w:lastRenderedPageBreak/>
        <w:t>enfrenta en su calidad de autoridad o funcionario público, pues tal ley, en tanto no sea declarada inconstitucional, ha de considerarse válida.</w:t>
      </w:r>
    </w:p>
    <w:p w14:paraId="4D6B130F" w14:textId="77777777" w:rsidR="003754FE" w:rsidRDefault="003754FE" w:rsidP="003754FE">
      <w:pPr>
        <w:pStyle w:val="TextoNormal"/>
      </w:pPr>
    </w:p>
    <w:p w14:paraId="35AAD022" w14:textId="77777777" w:rsidR="003754FE" w:rsidRDefault="003754FE" w:rsidP="003754FE">
      <w:pPr>
        <w:pStyle w:val="TextoNormal"/>
      </w:pPr>
      <w:r>
        <w:t>Es obvio que sin resultado típico susceptible de válida subsunción en la norma penal desaparece también toda posibilidad de subsumir en el mismo precepto la conducta omisiva impropia que castiga a la autoridad que no ha evitado la materialización de ese resultado. En otras palabras, si la omisión de formalidades y procedimientos por parte de las autoridades y funcionarios que intervenían en la gestión de los fondos estaba amparada en la ley, la supresión de esos controles no puede considerarse una “sustracción”; en consecuencia, las autoridades implicadas en la fase de presupuestación no pudieron “consentir” sustracción alguna consistente en la supresión de tales trámites y controles.</w:t>
      </w:r>
    </w:p>
    <w:p w14:paraId="0621A6C8" w14:textId="77777777" w:rsidR="003754FE" w:rsidRDefault="003754FE" w:rsidP="003754FE">
      <w:pPr>
        <w:pStyle w:val="TextoNormal"/>
      </w:pPr>
    </w:p>
    <w:p w14:paraId="4AA1AE96" w14:textId="77777777" w:rsidR="003754FE" w:rsidRDefault="003754FE" w:rsidP="003754FE">
      <w:pPr>
        <w:pStyle w:val="TextoNormal"/>
      </w:pPr>
      <w:r>
        <w:t xml:space="preserve">(ii) Por las mismas razones ha de considerarse imprevisible la subsunción en la norma penal del deber de actuar supuestamente infringido por el recurrente. Según las resoluciones impugnadas, el demandante de amparo nada hizo para evitar las irregularidades que se consumaban en la gestión de las ayudas sociolaborales y a empresas en crisis como consecuencia del “indebido” sistema de presupuestación. Sin embargo, si esas irregularidades eran, como es la tesis de las sentencias impugnadas, la consecuencia necesaria del sistema de presupuestación del programa 31L y este había sido aprobado en las sucesivas las leyes de presupuestos, el demandante no tenía la obligación de oponerse a esas supuestas “ilegalidades”, pues no puede establecerse, como omisión sancionada en el delito de malversación, una exigencia de actuación </w:t>
      </w:r>
      <w:r w:rsidRPr="003754FE">
        <w:rPr>
          <w:i/>
        </w:rPr>
        <w:t>contra legem</w:t>
      </w:r>
      <w:r>
        <w:t>, esto es, una obligación de actuar para impedir la realización de actos que tienen expresa cobertura en las leyes de presupuestos en vigor. Tal cosa equivaldría a considerar que la conducta exigible al recurrente de amparo era impedir la aplicación, por parte de las autoridades y funcionarios competentes, de las previsiones expresamente contempladas en una norma con rango de ley.</w:t>
      </w:r>
    </w:p>
    <w:p w14:paraId="00BA0EEE" w14:textId="77777777" w:rsidR="003754FE" w:rsidRDefault="003754FE" w:rsidP="003754FE">
      <w:pPr>
        <w:pStyle w:val="TextoNormal"/>
      </w:pPr>
    </w:p>
    <w:p w14:paraId="10574E17" w14:textId="77777777" w:rsidR="003754FE" w:rsidRDefault="003754FE" w:rsidP="003754FE">
      <w:pPr>
        <w:pStyle w:val="TextoNormal"/>
      </w:pPr>
      <w:r>
        <w:t>Es importante reseñar, finalmente, que para alcanzar las conclusiones anteriores no es preciso pronunciarse sobre la eventual relación normativa de antinomia o complementariedad que pudiera existir entre el sistema de presupuestación establecido para las ayudas sociolaborales y a empresas en crisis en las sucesivas leyes de presupuestos de la Junta de Andalucía de los años 2002 a 2009 y las disposiciones previstas en otras normas de rango legal, como la Ley del Parlamento de Andalucía 5/1983, de 19 de julio, o la Ley 38/2003, de 17 de noviembre. Las sentencias de instancia y casación son claras al considerar que existe una correspondencia absoluta entre el sistema de presupuestación aprobado por las leyes presupuestarias y el consiguiente sistema global de gestión de los fondos públicos sin sujeción al régimen de las subvenciones, rechazando, en diversos pasajes, que uno y otro puedan ser desconectados, ya que son eslabones sucesivos en la materialización de una “ilegalidad” originaria, contenida en el sistema de presupuestación inicialmente establecido. Es esa tesis de los órganos judiciales la que es objeto de escrutinio en este recurso de amparo y la que conduce, como se ha expresado, a apreciar que se ha producido una subsunción completamente imprevisible en el delito de malversación. A ella, por tanto, ha de ceñirse nuestro enjuiciamiento.</w:t>
      </w:r>
    </w:p>
    <w:p w14:paraId="53426E2D" w14:textId="77777777" w:rsidR="003754FE" w:rsidRDefault="003754FE" w:rsidP="003754FE">
      <w:pPr>
        <w:pStyle w:val="TextoNormal"/>
      </w:pPr>
    </w:p>
    <w:p w14:paraId="23FDBAA9" w14:textId="77777777" w:rsidR="003754FE" w:rsidRDefault="003754FE" w:rsidP="003754FE">
      <w:pPr>
        <w:pStyle w:val="TextoNormal"/>
      </w:pPr>
      <w:r>
        <w:t xml:space="preserve">La jurisdicción que nos corresponde ejercer en este proceso constitucional se circunscribe a la revisión de una condena penal desde la perspectiva tuitiva que es propia del derecho a la legalidad en materia sancionadora (art. 25.1 CE). Basta, por ello, con constatar que las leyes de presupuestos de los años 2002 a 2009 —que no fueron impugnadas ni </w:t>
      </w:r>
      <w:r>
        <w:lastRenderedPageBreak/>
        <w:t>cuestionadas ante este tribunal y que establecieron el sistema de presupuestación que las sentencias impugnadas consideran la fuente de todas las “ilegalidades” en la posterior concesión de las ayudas— estaban en vigor y amparaban el modo de gestión globalmente seguido para conceder las ayudas sociolaborales y a empresas en crisis a través de transferencias de financiación a la agencia IFA/IDEA.</w:t>
      </w:r>
    </w:p>
    <w:p w14:paraId="78A1E6B7" w14:textId="77777777" w:rsidR="003754FE" w:rsidRDefault="003754FE" w:rsidP="003754FE">
      <w:pPr>
        <w:pStyle w:val="TextoNormal"/>
      </w:pPr>
    </w:p>
    <w:p w14:paraId="7D82C31B" w14:textId="77777777" w:rsidR="003754FE" w:rsidRDefault="003754FE" w:rsidP="003754FE">
      <w:pPr>
        <w:pStyle w:val="TextoNormal"/>
      </w:pPr>
      <w:r>
        <w:t>Ha de estimarse, por ello, vulnerado el derecho a la legalidad penal (art. 25.1 CE) en lo que se refiere a la forma global de gestión que el recurrente habría propiciado al participar en la elaboración y aprobación de los proyectos de leyes de presupuestos de los años 2005 a 2009 y en la elaboración y aprobación de las correspondientes modificaciones presupuestarias.</w:t>
      </w:r>
    </w:p>
    <w:p w14:paraId="0CB9A40B" w14:textId="77777777" w:rsidR="003754FE" w:rsidRDefault="003754FE" w:rsidP="003754FE">
      <w:pPr>
        <w:pStyle w:val="TextoNormal"/>
      </w:pPr>
    </w:p>
    <w:p w14:paraId="7AB411DB" w14:textId="77777777" w:rsidR="003754FE" w:rsidRDefault="003754FE" w:rsidP="003754FE">
      <w:pPr>
        <w:pStyle w:val="TextoNormal"/>
      </w:pPr>
      <w:r>
        <w:t>B</w:t>
      </w:r>
      <w:r w:rsidRPr="003754FE">
        <w:rPr>
          <w:i/>
        </w:rPr>
        <w:t>) Hechos referidos a concretas aplicaciones de fondos públicos sin cobertura en el programa 3</w:t>
      </w:r>
      <w:r>
        <w:t>1L</w:t>
      </w:r>
    </w:p>
    <w:p w14:paraId="3D5640F0" w14:textId="77777777" w:rsidR="003754FE" w:rsidRDefault="003754FE" w:rsidP="003754FE">
      <w:pPr>
        <w:pStyle w:val="TextoNormal"/>
      </w:pPr>
    </w:p>
    <w:p w14:paraId="7EC305AB" w14:textId="77777777" w:rsidR="003754FE" w:rsidRDefault="003754FE" w:rsidP="003754FE">
      <w:pPr>
        <w:pStyle w:val="TextoNormal"/>
      </w:pPr>
      <w:r>
        <w:t>La condena por malversación incluye también una serie de conductas —algunas de las cuales se materializaron en el período de tiempo en el que el recurrente fue consejero de Economía y Hacienda— cuya ilicitud no obedece a la supresión de trámites y controles como consecuencia del sistema de presupuestación utilizado sino a dos factores diferentes: (a) por una parte, a la concesión de las concretas ayudas del programa 31L, por parte de las autoridades de la Consejería de Empleo y Desarrollo Tecnológico, en ausencia de todo fin público, cuestión de la que se ocupa el fundamento de Derecho 45 de la sentencia de la Audiencia Provincial; y (b) por otra, a la asignación de fondos públicos a fines distintos y ajenos a los recogidos para el programa 31L, concretamente en los supuestos especificados en la letra C) del hecho probado vigesimosegundo.</w:t>
      </w:r>
    </w:p>
    <w:p w14:paraId="7197448D" w14:textId="77777777" w:rsidR="003754FE" w:rsidRDefault="003754FE" w:rsidP="003754FE">
      <w:pPr>
        <w:pStyle w:val="TextoNormal"/>
      </w:pPr>
    </w:p>
    <w:p w14:paraId="7E007904" w14:textId="77777777" w:rsidR="003754FE" w:rsidRDefault="003754FE" w:rsidP="003754FE">
      <w:pPr>
        <w:pStyle w:val="TextoNormal"/>
      </w:pPr>
      <w:r>
        <w:t>a) La Audiencia Provincial considera que las ayudas del programa 31L fueron concedidas por “los acusados pertenecientes a la Consejería de Empleo”(fundamento de Derecho 45, pág. 1722) sin que concurriera “el fin público o social” que constituía su causa legítima. Distingue, en este punto, dos clases de ayudas: (i) las que tenían como finalidad cubrir los importes de las indemnizaciones derivadas de expedientes de regulación de empleo en situaciones de insolvencia de la empresa empleadora (beneficiaria de la ayuda); y (ii) las que no guardaban relación con la tramitación y aprobación de los expedientes de regulación de empleo.</w:t>
      </w:r>
    </w:p>
    <w:p w14:paraId="028C1444" w14:textId="77777777" w:rsidR="003754FE" w:rsidRDefault="003754FE" w:rsidP="003754FE">
      <w:pPr>
        <w:pStyle w:val="TextoNormal"/>
      </w:pPr>
    </w:p>
    <w:p w14:paraId="06738DFC" w14:textId="77777777" w:rsidR="003754FE" w:rsidRDefault="003754FE" w:rsidP="003754FE">
      <w:pPr>
        <w:pStyle w:val="TextoNormal"/>
      </w:pPr>
      <w:r>
        <w:t>(i) En cuanto a las ayudas que tenían como finalidad cubrir los importes de las indemnizaciones por rescisión de la relación laboral en situaciones de expedientes de regulación de empleo, la Audiencia Provincial estima que la Consejería de Empleo y Desarrollo Tecnológico otorgó este tipo de ayudas sin comprobar que las empresas beneficiarias carecieran de capacidad económica para afrontar el pago de las indemnizaciones de los trabajadores afectados. La administración pública andaluza asumió, de ese modo, “los costes de los expedientes de regulación de empleo de empresas sin determinar si estas eran solventes o no” (fundamento de Derecho 45, pág. 1711), lo que “facilitaba a estas empresas la reducción de plantillas, sin el coste económico que ello conlleva”, con “el consiguiente lucro para las mismas” (fundamento 45, pág. 1712).</w:t>
      </w:r>
    </w:p>
    <w:p w14:paraId="0A3386A2" w14:textId="77777777" w:rsidR="003754FE" w:rsidRDefault="003754FE" w:rsidP="003754FE">
      <w:pPr>
        <w:pStyle w:val="TextoNormal"/>
      </w:pPr>
    </w:p>
    <w:p w14:paraId="5FBEBEA5" w14:textId="77777777" w:rsidR="003754FE" w:rsidRDefault="003754FE" w:rsidP="003754FE">
      <w:pPr>
        <w:pStyle w:val="TextoNormal"/>
      </w:pPr>
      <w:r>
        <w:t xml:space="preserve">(ii) En lo que respecta a las ayudas que no guardaban relación con la tramitación y aprobación de expedientes de regulación de empleo, considera la sentencia de la Audiencia </w:t>
      </w:r>
      <w:r>
        <w:lastRenderedPageBreak/>
        <w:t>Provincial que “[u]na parte importante” de estas otras subvenciones carecían “de objeto concreto y claramente definido” (fundamento de Derecho 45, pág. 1714) y señala que se destinaron a “fines muy diversos” como pago de nóminas, deudas, gastos de primer establecimiento de la empresa, minutas por asesoramiento jurídico en materia laboral, mejoras salariales derivadas de convenios colectivos, cursos de alta dirección, indemnizaciones derivadas de despidos improcedentes o préstamos para pago de nóminas. Añade que estas ayudas se concedieron sin comprobar las circunstancias del beneficiario, “especialmente en lo que se refiere a que la empresa no tuviera capacidad económica para hacer frente, en todo o en parte, a las obligaciones asumidas por la Junta” (fundamento 45, pág. 1715).</w:t>
      </w:r>
    </w:p>
    <w:p w14:paraId="4E0DEF6C" w14:textId="77777777" w:rsidR="003754FE" w:rsidRDefault="003754FE" w:rsidP="003754FE">
      <w:pPr>
        <w:pStyle w:val="TextoNormal"/>
      </w:pPr>
    </w:p>
    <w:p w14:paraId="24BF58A8" w14:textId="77777777" w:rsidR="003754FE" w:rsidRDefault="003754FE" w:rsidP="003754FE">
      <w:pPr>
        <w:pStyle w:val="TextoNormal"/>
      </w:pPr>
      <w:r>
        <w:t>Concluye la Audiencia Provincial que los fondos del programa 31L fueron, en todos estos casos, objeto de disposición para realizar pagos “completamente ajenos al interés público” (fundamento de Derecho 45, pág. 1720), lo que sintetiza señalando que tanto las ayudas concedidas para la cobertura de situaciones de expedientes de regulación de empleo como las “restantes subvenciones” se otorgaron sin que se acreditara “la incapacidad de la empresa para hacer frente a los pagos”, lo que “supone disponer de los fondos públicos para un fin ajeno al interés público” (fundamento 45, pág. 1721).</w:t>
      </w:r>
    </w:p>
    <w:p w14:paraId="5E6D985A" w14:textId="77777777" w:rsidR="003754FE" w:rsidRDefault="003754FE" w:rsidP="003754FE">
      <w:pPr>
        <w:pStyle w:val="TextoNormal"/>
      </w:pPr>
    </w:p>
    <w:p w14:paraId="07309BED" w14:textId="77777777" w:rsidR="003754FE" w:rsidRDefault="003754FE" w:rsidP="003754FE">
      <w:pPr>
        <w:pStyle w:val="TextoNormal"/>
      </w:pPr>
      <w:r>
        <w:t>Como puede comprobarse, la ilicitud de estos actos de disposición de los fondos públicos del programa 31L trasciende la mera omisión de trámites y procedimientos propios de la normativa de las subvenciones y está asociada a la ausencia, en el momento de la concesión de las ayudas por parte de la Consejería de Empleo y Desarrollo Tecnológico, de una causa legítima, concretamente de una situación de insolvencia de la empresa beneficiaria que justificase que fuera la administración pública andaluza, y no la propia empresa afectada, la que asumiera los pagos correspondientes.</w:t>
      </w:r>
    </w:p>
    <w:p w14:paraId="525DB092" w14:textId="77777777" w:rsidR="003754FE" w:rsidRDefault="003754FE" w:rsidP="003754FE">
      <w:pPr>
        <w:pStyle w:val="TextoNormal"/>
      </w:pPr>
    </w:p>
    <w:p w14:paraId="78EFB88E" w14:textId="77777777" w:rsidR="003754FE" w:rsidRDefault="003754FE" w:rsidP="003754FE">
      <w:pPr>
        <w:pStyle w:val="TextoNormal"/>
      </w:pPr>
      <w:r>
        <w:t>Es claro que las leyes de presupuestos no legitimaban la disposición de los fondos presupuestados sin la concurrencia de los fines públicos propios de las ayudas sociolaborales y a empresas en crisis, por lo que esta concreta forma de disposición de los caudales por parte de la Consejería de Empleo y Desarrollo Tecnológico, asociada a la ausencia de causa justificativa, no está abarcada por los razonamientos relativos a la imprevisible subsunción en el delito de malversación de la forma global de gestión del programa 31L derivada del sistema de presupuestación utilizado</w:t>
      </w:r>
      <w:r w:rsidRPr="003754FE">
        <w:rPr>
          <w:i/>
        </w:rPr>
        <w:t xml:space="preserve"> [vid. sup</w:t>
      </w:r>
      <w:r>
        <w:t>ra FJ 5.3 A)].</w:t>
      </w:r>
    </w:p>
    <w:p w14:paraId="412A7D4E" w14:textId="77777777" w:rsidR="003754FE" w:rsidRDefault="003754FE" w:rsidP="003754FE">
      <w:pPr>
        <w:pStyle w:val="TextoNormal"/>
      </w:pPr>
    </w:p>
    <w:p w14:paraId="583E5BDD" w14:textId="77777777" w:rsidR="003754FE" w:rsidRDefault="003754FE" w:rsidP="003754FE">
      <w:pPr>
        <w:pStyle w:val="TextoNormal"/>
      </w:pPr>
      <w:r>
        <w:t>b) Por su parte, en todos los casos comprendidos en la letra C) del hecho probado vigesimosegundo de la sentencia de la Audiencia Provincial, la carga de ilicitud que se atribuye a los actos de disposición realizados tampoco está en la omisión de determinados controles o procedimientos propios del régimen de subvenciones sino en el apartamiento, en la concreta concesión de los fondos, de los fines públicos contemplados en las sucesivas leyes de presupuestos para el programa 31L. Estaríamos, por tanto, ante actos de disposición cuya ilicitud no se atribuye a la estricta aplicación del sistema de presupuestación establecido en las normas presupuestarias en vigor. Al contrario, se habrían realizado con apartamiento de los fines legítimos que dicho sistema de presupuestación preveía.</w:t>
      </w:r>
    </w:p>
    <w:p w14:paraId="090EB661" w14:textId="77777777" w:rsidR="003754FE" w:rsidRDefault="003754FE" w:rsidP="003754FE">
      <w:pPr>
        <w:pStyle w:val="TextoNormal"/>
      </w:pPr>
    </w:p>
    <w:p w14:paraId="4819EF84" w14:textId="77777777" w:rsidR="003754FE" w:rsidRDefault="003754FE" w:rsidP="003754FE">
      <w:pPr>
        <w:pStyle w:val="TextoNormal"/>
      </w:pPr>
      <w:r>
        <w:t xml:space="preserve">En relación con todos estos casos de disposición de fondos sin amparo en el sistema de presupuestación del programa 31L, sea por ausencia o por desviación de fines públicos, han de examinarse los demás argumentos en los que el recurrente sustenta la alegada vulneración </w:t>
      </w:r>
      <w:r>
        <w:lastRenderedPageBreak/>
        <w:t>del derecho fundamental a la legalidad penal (art. 25.1 CP) en relación con la condena por delito de malversación. A tal efecto, han de hacerse las siguientes consideraciones:</w:t>
      </w:r>
    </w:p>
    <w:p w14:paraId="60E95F59" w14:textId="77777777" w:rsidR="003754FE" w:rsidRDefault="003754FE" w:rsidP="003754FE">
      <w:pPr>
        <w:pStyle w:val="TextoNormal"/>
      </w:pPr>
    </w:p>
    <w:p w14:paraId="441C628B" w14:textId="77777777" w:rsidR="003754FE" w:rsidRDefault="003754FE" w:rsidP="003754FE">
      <w:pPr>
        <w:pStyle w:val="TextoNormal"/>
      </w:pPr>
      <w:r>
        <w:t>(i) Ha de reseñarse, en primer lugar, que la condena del demandante solo puede entenderse producida, en los supuestos aludidos, en aplicación de la modalidad omisiva del delito de malversación, esto es, por haber consentido que los fondos del programa 31L se concedieran en ausencia o con desviación de fines públicos. Conviene, por ello, tratar, primero, la compatibilidad con el derecho a la legalidad penal de la posición de garantía en la que las resoluciones impugnadas fundan esa responsabilidad por omisión y examinar, después, la interpretación que dichas resoluciones efectúan del resto de elementos típicos que son discutidos por el actor, en concreto la existencia de un deber de custodia de los fondos públicos, la concurrencia de una situación subjetiva de dolo eventual y la materialización del resultado típico.</w:t>
      </w:r>
    </w:p>
    <w:p w14:paraId="0006DCDD" w14:textId="77777777" w:rsidR="003754FE" w:rsidRDefault="003754FE" w:rsidP="003754FE">
      <w:pPr>
        <w:pStyle w:val="TextoNormal"/>
      </w:pPr>
    </w:p>
    <w:p w14:paraId="0CBA8703" w14:textId="77777777" w:rsidR="003754FE" w:rsidRDefault="003754FE" w:rsidP="003754FE">
      <w:pPr>
        <w:pStyle w:val="TextoNormal"/>
      </w:pPr>
      <w:r>
        <w:t>(ii) En cuanto a la posición de garantía, asiste la razón al Ministerio Fiscal cuando señala que no resulta, en modo alguno, imprevisible ni metodológica o axiológicamente reprochable el entendimiento de que, una vez que el recurrente de amparo tuvo conocimiento de que se estaban utilizando fondos procedentes del programa 31L en ausencia o con desviación de los fines legalmente previstos, este se hallaba, como consejero de Economía y Hacienda, en una posición funcional y competencial idónea para tomar medidas tendentes a evitar que se repitieran esas conductas. No es irrazonable inferir, como hacen las sentencias impugnadas, que quien ejerce un alto cargo de responsabilidad política en materia económico-financiera no puede permanecer indiferente ante el uso ilícito de fondos públicos, por más que este uso se esté produciendo en un departamento que no es, estrictamente, el suyo.</w:t>
      </w:r>
    </w:p>
    <w:p w14:paraId="521EFD27" w14:textId="77777777" w:rsidR="003754FE" w:rsidRDefault="003754FE" w:rsidP="003754FE">
      <w:pPr>
        <w:pStyle w:val="TextoNormal"/>
      </w:pPr>
    </w:p>
    <w:p w14:paraId="2E654DD9" w14:textId="77777777" w:rsidR="003754FE" w:rsidRDefault="003754FE" w:rsidP="003754FE">
      <w:pPr>
        <w:pStyle w:val="TextoNormal"/>
      </w:pPr>
      <w:r>
        <w:t>(iii) En cuanto a la “custodia” de los caudales, el Tribunal Supremo funda la subsunción de la conducta del recurrente, en este concreto punto, en una consolidada doctrina jurisprudencial (citada por la sentencia casacional en el fundamento jurídico 32.3, págs. 315-316], según la cual la expresión “tener a su cargo” contemplada en el art. 432.1 CP abarca toda capacidad jurídica o material de disposición e inversión que permita a la autoridad o funcionario concernido participar de manera relevante en la determinación del destino final de los caudales.</w:t>
      </w:r>
    </w:p>
    <w:p w14:paraId="5FFB3E89" w14:textId="77777777" w:rsidR="003754FE" w:rsidRDefault="003754FE" w:rsidP="003754FE">
      <w:pPr>
        <w:pStyle w:val="TextoNormal"/>
      </w:pPr>
    </w:p>
    <w:p w14:paraId="25F68719" w14:textId="77777777" w:rsidR="003754FE" w:rsidRDefault="003754FE" w:rsidP="003754FE">
      <w:pPr>
        <w:pStyle w:val="TextoNormal"/>
      </w:pPr>
      <w:r>
        <w:t>Esa interpretación no desborda el sentido literal de la norma, ya que la referencia típica a la expresión tener “a cargo de” implica, según el sentido común de esta locución contemplado en el diccionario de la Real Academia Española, que los caudales están confiados o al cuidado de una persona. En el art. 432.1 CP esa confianza o cuidado del funcionario viene determinada, además, “por razón de sus funciones o con ocasión de las mismas”. Pues bien, es razonable entender que al recurrente de amparo, con ocasión de la elaboración y aprobación de los proyectos de leyes de presupuestos en los que se determinaban los créditos atribuidos al programa 31L, le correspondía un deber de cuidado de los fondos consignados para dicho programa, lo que exigía que actuara para evitar que siguieran empleándose en ausencia o con desviación de fines públicos. No es imprevisible, en definitiva, considerar que, desde la óptica propia de la modalidad omisiva de malversación, se ejercían funciones relativas al cuidado de los caudales.</w:t>
      </w:r>
    </w:p>
    <w:p w14:paraId="6C1453AB" w14:textId="77777777" w:rsidR="003754FE" w:rsidRDefault="003754FE" w:rsidP="003754FE">
      <w:pPr>
        <w:pStyle w:val="TextoNormal"/>
      </w:pPr>
    </w:p>
    <w:p w14:paraId="3D232441" w14:textId="77777777" w:rsidR="003754FE" w:rsidRDefault="003754FE" w:rsidP="003754FE">
      <w:pPr>
        <w:pStyle w:val="TextoNormal"/>
      </w:pPr>
      <w:r>
        <w:t xml:space="preserve">Tal inteligencia del precepto no es contraria a las pautas metodológicas generalmente aceptadas, pues obedece a una interpretación teleológica o finalista que conecta el delito de </w:t>
      </w:r>
      <w:r>
        <w:lastRenderedPageBreak/>
        <w:t>malversación con “la confianza de la sociedad en el manejo honesto de los fondos públicos” y con la garantía de “los deberes de fidelidad y transparencia” de los funcionarios. Tampoco es axiológicamente reprochable, pues engarza la interpretación del tipo con el deber de los funcionarios que componen las administraciones públicas de servir con objetividad a los intereses generales (art. 103 CE), lo que es incompatible con la asunción, por parte de un alto cargo político en materia financiera, de una posición de indiferencia o ajenidad al uso ilícito del patrimonio público.</w:t>
      </w:r>
    </w:p>
    <w:p w14:paraId="17591BD0" w14:textId="77777777" w:rsidR="003754FE" w:rsidRDefault="003754FE" w:rsidP="003754FE">
      <w:pPr>
        <w:pStyle w:val="TextoNormal"/>
      </w:pPr>
    </w:p>
    <w:p w14:paraId="3EA6159C" w14:textId="77777777" w:rsidR="003754FE" w:rsidRDefault="003754FE" w:rsidP="003754FE">
      <w:pPr>
        <w:pStyle w:val="TextoNormal"/>
      </w:pPr>
      <w:r>
        <w:t>(iv) Finalmente, las alegaciones que el recurrente realiza acerca de la imprevisibilidad del juicio de subsunción en relación con el elemento subjetivo y el resultado requeridos en el art. 432.1 CP deben desestimarse por la inconsistencia de sus propias premisas. No debe olvidarse que, al examinar una condena penal desde la óptica del art. 25.1 CE, a este tribunal corresponde exclusivamente revisar la regularidad constitucional del juicio jurídico de subsunción sin alterar los presupuestos fácticos establecidos en las resoluciones impugnadas —que pueden discutirse, en su caso, desde la perspectiva del derecho a la presunción de inocencia—. Pues bien, frente a lo alegado en la demanda, es claro que hay bases fácticas suficientes en las resoluciones impugnadas para sustentar la subsunción en el elemento subjetivo y en el resultado típico propios de la malversación de caudales públicos.</w:t>
      </w:r>
    </w:p>
    <w:p w14:paraId="52DDF8DA" w14:textId="77777777" w:rsidR="003754FE" w:rsidRDefault="003754FE" w:rsidP="003754FE">
      <w:pPr>
        <w:pStyle w:val="TextoNormal"/>
      </w:pPr>
    </w:p>
    <w:p w14:paraId="6ED435D8" w14:textId="77777777" w:rsidR="003754FE" w:rsidRDefault="003754FE" w:rsidP="003754FE">
      <w:pPr>
        <w:pStyle w:val="TextoNormal"/>
      </w:pPr>
      <w:r>
        <w:t>La Audiencia Provincial estima que se realizaron por parte de la Consejería de Empleo y Desarrollo Tecnológico actos de disposición en ausencia o con desviación de fines públicos, lo que supone la existencia, según ya se he explicado, de un resultado malversador que no queda abarcado por la supresión de los controles y los trámites propios de la normativa de subvenciones. También considera probado que los condenados ajenos a la Consejería de Empleo y Desarrollo Tecnológico, incluido el actor, conocían las diversas irregularidades que se producían en la gestión de los fondos —según se afirma en el hecho probado vigésimo tercero, pág. 96—, pese a lo cual consintieron “que, año tras año, —conforme a las facultades y potestades que su cargo le permitía, en los períodos ya reseñados— se siguiera reproduciendo el mecanismo ya descrito” (hecho probado vigésimo tercero, pág. 97). Ese sustrato fáctico se relaciona, de forma razonable, con una situación subjetiva de dolo eventual, entendida como “indiferencia hacia la alta probabilidad de que lo que ya era un despilfarro pasase a ser una malversación” (fundamento de Derecho 45, pág. 1732).</w:t>
      </w:r>
    </w:p>
    <w:p w14:paraId="70D30120" w14:textId="77777777" w:rsidR="003754FE" w:rsidRDefault="003754FE" w:rsidP="003754FE">
      <w:pPr>
        <w:pStyle w:val="TextoNormal"/>
      </w:pPr>
    </w:p>
    <w:p w14:paraId="15257E13" w14:textId="30AF62AA" w:rsidR="003754FE" w:rsidRDefault="003754FE" w:rsidP="003754FE">
      <w:pPr>
        <w:pStyle w:val="TextoNormal"/>
      </w:pPr>
      <w:r>
        <w:t>Constatados estos extremos, y dado que no existe un mayor contenido alegatorio, procede desestimar la queja formulada en relación con las disposiciones de fondos del programa 31L realizadas por la Consejería de Empleo y Desarrollo Tecnológico en ausencia o con desviación de fines públicos, atribuidas al recurrente de amparo en comisión por omisión, pues, desde la perspectiva del derecho a la legalidad penal (art. 25.1 CE), la subsunción en los elementos típicos del delito de malversación que han sido cuestionados por el actor no puede considerarse imprevisible.</w:t>
      </w:r>
    </w:p>
    <w:p w14:paraId="780BBF4F" w14:textId="77777777" w:rsidR="003754FE" w:rsidRDefault="003754FE" w:rsidP="003754FE">
      <w:pPr>
        <w:pStyle w:val="TextoNormal"/>
      </w:pPr>
    </w:p>
    <w:p w14:paraId="2DB397C9" w14:textId="77777777" w:rsidR="003754FE" w:rsidRDefault="003754FE" w:rsidP="003754FE">
      <w:pPr>
        <w:pStyle w:val="TextoNormal"/>
      </w:pPr>
      <w:r w:rsidRPr="003754FE">
        <w:rPr>
          <w:rStyle w:val="NumeroAFNegritaCaracter"/>
        </w:rPr>
        <w:t>6</w:t>
      </w:r>
      <w:r>
        <w:t xml:space="preserve">. </w:t>
      </w:r>
      <w:r w:rsidRPr="003754FE">
        <w:rPr>
          <w:i/>
        </w:rPr>
        <w:t>Enjuiciamiento de la queja relativa a la vulneración del derecho a la presunción de inocencia (art. 24.2 CE) en relación con la condena por delito de malversación de caudales públicos respecto de las ayudas concedidas en ausencia de fin público y de las partidas desviadas del programa presupuestario 31L declaradas en la sentencia de instancia</w:t>
      </w:r>
    </w:p>
    <w:p w14:paraId="7AAF2C42" w14:textId="77777777" w:rsidR="003754FE" w:rsidRDefault="003754FE" w:rsidP="003754FE">
      <w:pPr>
        <w:pStyle w:val="TextoNormal"/>
      </w:pPr>
    </w:p>
    <w:p w14:paraId="521A03B4" w14:textId="77777777" w:rsidR="003754FE" w:rsidRDefault="003754FE" w:rsidP="003754FE">
      <w:pPr>
        <w:pStyle w:val="TextoNormal"/>
      </w:pPr>
      <w:r>
        <w:t xml:space="preserve">6.1 </w:t>
      </w:r>
      <w:r w:rsidRPr="003754FE">
        <w:rPr>
          <w:i/>
        </w:rPr>
        <w:t>Posiciones de las partes</w:t>
      </w:r>
    </w:p>
    <w:p w14:paraId="49D0479D" w14:textId="77777777" w:rsidR="003754FE" w:rsidRDefault="003754FE" w:rsidP="003754FE">
      <w:pPr>
        <w:pStyle w:val="TextoNormal"/>
      </w:pPr>
    </w:p>
    <w:p w14:paraId="2637301A" w14:textId="77777777" w:rsidR="003754FE" w:rsidRDefault="003754FE" w:rsidP="003754FE">
      <w:pPr>
        <w:pStyle w:val="TextoNormal"/>
      </w:pPr>
      <w:r>
        <w:lastRenderedPageBreak/>
        <w:t>En los motivos segundo, tercero y cuarto de la demanda de amparo se denuncia la vulneración del derecho fundamental a la presunción de inocencia (art. 24.2 CE) al considerar el demandante que no existe acervo probatorio suficiente para declarar la concurrencia de dolo eventual respecto a la final disposición de fondos y al haberse realizado una valoración irracional, arbitraria e ilógica de la prueba practicada a fin de concluir la condena del recurrente.</w:t>
      </w:r>
    </w:p>
    <w:p w14:paraId="796ED62B" w14:textId="77777777" w:rsidR="003754FE" w:rsidRDefault="003754FE" w:rsidP="003754FE">
      <w:pPr>
        <w:pStyle w:val="TextoNormal"/>
      </w:pPr>
    </w:p>
    <w:p w14:paraId="24B104BE" w14:textId="77777777" w:rsidR="003754FE" w:rsidRDefault="003754FE" w:rsidP="003754FE">
      <w:pPr>
        <w:pStyle w:val="TextoNormal"/>
      </w:pPr>
      <w:r>
        <w:t xml:space="preserve">Señala en este sentido que la sentencia condenatoria partiría de la concepción de la existencia de una relación objetiva entre el demandante y los fondos malversados —administrados estos últimos por la Consejería de Empleo y Desarrollo Tecnológico— aspecto que no ha quedado, en modo alguno, acreditado por la prueba practicada. Esto habría llevado al Tribunal Supremo a dar un “salto al vacío” entendiendo que la vinculación se halla en “la facultad de aprobar las partidas presupuestarías”, lo que supone una argumentación </w:t>
      </w:r>
      <w:r w:rsidRPr="003754FE">
        <w:rPr>
          <w:i/>
        </w:rPr>
        <w:t>ex novo</w:t>
      </w:r>
      <w:r>
        <w:t xml:space="preserve"> que excedería del marco fáctico y jurídico contenido en la sentencia de instancia. Considera, además, que, en este caso, la responsabilidad del demandante solo sería posible si concurriera un doble dolo que implicara no solo el conocimiento de la ilegalidad de las partidas presupuestarias, sino, también, la circunstancia de que aquellas partidas iban a ser utilizadas por terceros para desviar ayudas con fines ajenos al legalmente establecido, aspecto que no concurriría toda vez que “la debilidad del sistema debida a razones de agilidad fue aprovechada por terceros para sus propias finalidades”.</w:t>
      </w:r>
    </w:p>
    <w:p w14:paraId="142D9667" w14:textId="77777777" w:rsidR="003754FE" w:rsidRDefault="003754FE" w:rsidP="003754FE">
      <w:pPr>
        <w:pStyle w:val="TextoNormal"/>
      </w:pPr>
    </w:p>
    <w:p w14:paraId="2700A5A0" w14:textId="77777777" w:rsidR="003754FE" w:rsidRDefault="003754FE" w:rsidP="003754FE">
      <w:pPr>
        <w:pStyle w:val="TextoNormal"/>
      </w:pPr>
      <w:r>
        <w:t xml:space="preserve">Combate también el recurrente la afirmación realizada en el </w:t>
      </w:r>
      <w:r w:rsidRPr="003754FE">
        <w:rPr>
          <w:i/>
        </w:rPr>
        <w:t>factum</w:t>
      </w:r>
      <w:r>
        <w:t xml:space="preserve"> de la sentencia de instancia de que tuviera conocimiento de la alta probabilidad de que las ayudas iban a ser malversadas. Al respecto, manifiesta que dicha inferencia sería manifiestamente inconsistente dado: (i) su carácter excesivamente abierto; (ii) porque de la aprobación de un instrumento peligroso en la generación de ayudas no pude inferirse el conocimiento de la elevada probabilidad de la malversación; (iii) porque la argumentación efectuada por las sentencias impugnadas parten de la idea de que el conocimiento de la probable comisión del delito se derivaba del conocimiento de la existencia del instrumento peligroso en sí, lo que equivaldría a eliminar de facto los delitos de peligro y sustituirlos por los delitos de resultado; (iv) porque la inferencia parte de una infidelidad radical de los funcionarios de la Consejería de Empleo y Desarrollo Tecnólogico al adecuado ejercicio de sus funciones; y (v) porque la inferencia efectuada es contradictoria con la absolución del interventor y con el hecho de “condenar por desoír controles y por suprimirlos”.</w:t>
      </w:r>
    </w:p>
    <w:p w14:paraId="202EEC53" w14:textId="77777777" w:rsidR="003754FE" w:rsidRDefault="003754FE" w:rsidP="003754FE">
      <w:pPr>
        <w:pStyle w:val="TextoNormal"/>
      </w:pPr>
    </w:p>
    <w:p w14:paraId="7A2F57B8" w14:textId="77777777" w:rsidR="003754FE" w:rsidRDefault="003754FE" w:rsidP="003754FE">
      <w:pPr>
        <w:pStyle w:val="TextoNormal"/>
      </w:pPr>
      <w:r>
        <w:t>Para el demandante, otra vía de vulneración del derecho a la presunción de inocencia se derivaría de la propia ausencia de motivación en el relato de hechos probados. La alternativa de interpretación que la propia sentencia aplica al interventor que absuelve provoca que el juicio de inferencia de culpabilidad utilizado para condenar a los demás encausados sea ilógico o irracional pues, al final, los fondos llegaron al destino legalmente previsto.</w:t>
      </w:r>
    </w:p>
    <w:p w14:paraId="480D4AAA" w14:textId="77777777" w:rsidR="003754FE" w:rsidRDefault="003754FE" w:rsidP="003754FE">
      <w:pPr>
        <w:pStyle w:val="TextoNormal"/>
      </w:pPr>
    </w:p>
    <w:p w14:paraId="3E0AEC63" w14:textId="77777777" w:rsidR="003754FE" w:rsidRDefault="003754FE" w:rsidP="003754FE">
      <w:pPr>
        <w:pStyle w:val="TextoNormal"/>
      </w:pPr>
      <w:r>
        <w:t xml:space="preserve">La representación procesal del Partido Popular rebate este motivo argumentando que la prueba se valoró de forma racional y motivada tal como aparece recogida en la sentencia. Sostiene que el juicio de autoría también aparece explicitado adecuadamente, siendo que, además, el “clamoroso silencio” aducido en la demanda de amparo aparece debidamente resuelto en el auto que resuelve el incidente de nulidad de actuaciones. Mantiene que la valoración de la prueba —tanto en lo referente a la conducta desarrollada por el demandante, como a la concurrencia del elemento subjetivo del injusto— aparece adecuadamente tratada </w:t>
      </w:r>
      <w:r>
        <w:lastRenderedPageBreak/>
        <w:t>en las resoluciones recurridas existiendo una clara vinculación entre el sistema de presupuestación y la malversación toda vez que los actos presupuestarios no pueden calificarse como neutros, sino que fueron realizados con la finalidad de otorgar medios para disponer libérrimamente de los fondos públicos.</w:t>
      </w:r>
    </w:p>
    <w:p w14:paraId="6C11C359" w14:textId="77777777" w:rsidR="003754FE" w:rsidRDefault="003754FE" w:rsidP="003754FE">
      <w:pPr>
        <w:pStyle w:val="TextoNormal"/>
      </w:pPr>
    </w:p>
    <w:p w14:paraId="25C11147" w14:textId="77777777" w:rsidR="003754FE" w:rsidRDefault="003754FE" w:rsidP="003754FE">
      <w:pPr>
        <w:pStyle w:val="TextoNormal"/>
      </w:pPr>
      <w:r>
        <w:t>Incide por otro lado en que las resoluciones impugnadas describen con precisión la acción nuclear del delito de malversación, consistente en la disposición definitiva de caudales públicos con fines distintos a los previstos en la ley, siendo que el recurrente, por razón de los cargos que desempeñó, tenía conocimiento de aquellas irregularidades pese a lo cual permitió que se produjeran año tras año.</w:t>
      </w:r>
    </w:p>
    <w:p w14:paraId="49EC36B7" w14:textId="77777777" w:rsidR="003754FE" w:rsidRDefault="003754FE" w:rsidP="003754FE">
      <w:pPr>
        <w:pStyle w:val="TextoNormal"/>
      </w:pPr>
    </w:p>
    <w:p w14:paraId="380CE989" w14:textId="77777777" w:rsidR="003754FE" w:rsidRDefault="003754FE" w:rsidP="003754FE">
      <w:pPr>
        <w:pStyle w:val="TextoNormal"/>
      </w:pPr>
      <w:r>
        <w:t>Por su parte, el Ministerio Fiscal solicita que se desestime el recurso de amparo en cuanto a este motivo. En relación con el juicio de autoría, considera que el señor Griñán Martínez habría sido condenado dada su condición de consejero de Economía y Hacienda y dada cuenta de que tenía la obligación de evitar el resultado lesivo contra el patrimonio público. Para el Ministerio Fiscal, el señor Griñán Martínez, era conocedor de las irregularidades que se estaban generando en la concesión de ayudas sociolaborales, a pesar de lo cual dotó o favoreció la creación de un sistema de presupuestación ilegal que permitía el otorgamiento de subvenciones de manera ilegal. Con ello creó un riesgo para la indemnidad del patrimonio de la administración pública, lo que propició que los funcionarios de la Consejería de Empleo y Desarrollo Tecnológico desviaran los fondos del fin público al que se encontraban asignados omitiendo el recurrente cualquier género de intervención por parte de la Consejería de Economía y Hacienda.</w:t>
      </w:r>
    </w:p>
    <w:p w14:paraId="49122007" w14:textId="77777777" w:rsidR="003754FE" w:rsidRDefault="003754FE" w:rsidP="003754FE">
      <w:pPr>
        <w:pStyle w:val="TextoNormal"/>
      </w:pPr>
    </w:p>
    <w:p w14:paraId="272F7E86" w14:textId="77777777" w:rsidR="003754FE" w:rsidRDefault="003754FE" w:rsidP="003754FE">
      <w:pPr>
        <w:pStyle w:val="TextoNormal"/>
      </w:pPr>
      <w:r>
        <w:t>Considera el fiscal además que, del análisis de las resoluciones objeto de impugnación, se deducen una serie de indicios sólidos que acreditan el conocimiento del señor Griñán Martínez del peligro concreto que su proceder ocasionaba para el patrimonio público y, por ende, de la concurrencia de dolo eventual. Tras analizar dichos indicios —expuestos detalladamente en el antecedente sexto de la presente resolución— el fiscal termina concluyendo que “es razonable inferir, a partir de dichas pruebas, que conocía las irregularidades que se derivaban del sistema de presupuestación de las ayudas sociolaborales y a empresas y que dicho conocimiento aparece avalado por una serie de pruebas de las que cabe deducir que conocía los déficits que estaban al margen de la normativa sobre subvenciones y el uso del sistema de transferencias de financiación, su falta de fiscalización, conocimiento que se deduce de manera razonable de la documentación que se ha señalado y que se ve corroborado por determinados testimonios testificales que evidencian que se prescindió de cualquier procedimiento para la concesión de las ayudas sociolaborales y a empresas y por la propia declaración del señor Griñán que revela el conocimiento de la normativa sobre subvenciones y la necesidad de la fiscalización de las mismas por la Intervención General, sin que esta conclusión se vea menoscabada por los déficits que presenta la inferencia de que la viceconsejera informara al señor Griñán de determinados documentos, aunque no aparezca en el relato y fundamentación de las sentencias, en ningún momento, una prueba sobre que fue informado, que se le entregaron los informes de los que era destinatario por la viceconsejera”.</w:t>
      </w:r>
    </w:p>
    <w:p w14:paraId="2D933CD2" w14:textId="77777777" w:rsidR="003754FE" w:rsidRDefault="003754FE" w:rsidP="003754FE">
      <w:pPr>
        <w:pStyle w:val="TextoNormal"/>
      </w:pPr>
    </w:p>
    <w:p w14:paraId="642CAB6E" w14:textId="77777777" w:rsidR="003754FE" w:rsidRDefault="003754FE" w:rsidP="003754FE">
      <w:pPr>
        <w:pStyle w:val="TextoNormal"/>
      </w:pPr>
      <w:r>
        <w:t xml:space="preserve">6.2 </w:t>
      </w:r>
      <w:r w:rsidRPr="003754FE">
        <w:rPr>
          <w:i/>
        </w:rPr>
        <w:t>Pronunciamiento de los órganos judiciales</w:t>
      </w:r>
    </w:p>
    <w:p w14:paraId="0A269B95" w14:textId="77777777" w:rsidR="003754FE" w:rsidRDefault="003754FE" w:rsidP="003754FE">
      <w:pPr>
        <w:pStyle w:val="TextoNormal"/>
      </w:pPr>
    </w:p>
    <w:p w14:paraId="4D841657" w14:textId="77777777" w:rsidR="003754FE" w:rsidRDefault="003754FE" w:rsidP="003754FE">
      <w:pPr>
        <w:pStyle w:val="TextoNormal"/>
      </w:pPr>
      <w:r>
        <w:lastRenderedPageBreak/>
        <w:t xml:space="preserve">Como se ha expuesto </w:t>
      </w:r>
      <w:r w:rsidRPr="003754FE">
        <w:rPr>
          <w:i/>
        </w:rPr>
        <w:t>supra</w:t>
      </w:r>
      <w:r>
        <w:t>, la sentencia de la Audiencia Provincial declara probado que el actor, como consejero de Economía y Hacienda, participó en la elaboración y aprobación de los anteproyectos y proyectos de presupuestos para los ejercicios de los años 2005 a 2009 y de las modificaciones presupuestarias realizadas durante ese mismo periodo.</w:t>
      </w:r>
    </w:p>
    <w:p w14:paraId="14087CA9" w14:textId="77777777" w:rsidR="003754FE" w:rsidRDefault="003754FE" w:rsidP="003754FE">
      <w:pPr>
        <w:pStyle w:val="TextoNormal"/>
      </w:pPr>
    </w:p>
    <w:p w14:paraId="4E4A62A9" w14:textId="77777777" w:rsidR="003754FE" w:rsidRDefault="003754FE" w:rsidP="003754FE">
      <w:pPr>
        <w:pStyle w:val="TextoNormal"/>
      </w:pPr>
      <w:r>
        <w:t>Asimismo, tuvo conocimiento de los programas de actuación, inversión y financiación del IFA/IDEA y dio su aprobación a que figuraran como ingresos las cantidades recibidas vía transferencia de financiación, del programa 31L, y que se incluyeran dentro del apartado “otros gastos de explotación” para equilibrar las cuentas.</w:t>
      </w:r>
    </w:p>
    <w:p w14:paraId="219A0F09" w14:textId="77777777" w:rsidR="003754FE" w:rsidRDefault="003754FE" w:rsidP="003754FE">
      <w:pPr>
        <w:pStyle w:val="TextoNormal"/>
      </w:pPr>
    </w:p>
    <w:p w14:paraId="08C2A28F" w14:textId="77777777" w:rsidR="003754FE" w:rsidRDefault="003754FE" w:rsidP="003754FE">
      <w:pPr>
        <w:pStyle w:val="TextoNormal"/>
      </w:pPr>
      <w:r>
        <w:t>La sentencia del Tribunal Supremo declara que este relato fáctico basta para justificar la aplicación del delito de malversación de caudales públicos del art. 432 CP (fundamento de Derecho 61) y que no se ha vulnerado el derecho a la presunción de inocencia porque es fruto de una valoración debidamente motivada de las pruebas practicadas (fundamentos 62 y 63). Así, el Tribunal Supremo reseña expresamente que el tribunal de instancia “ha contado con un conjunto de pruebas que permiten afirmar desde criterios de racionalidad y con la suficiente seguridad que el señor Griñán sabía que las transferencias de financiación eran un instrumento presupuestario ilegal, que sirvió para eludir los necesarios controles en la concesión y pago de las ayudas sociolaborales y también que en esta gestión se incumplió de forma absoluta el procedimiento establecido en la ley, posibilitando la gestión libérrima de los fondos públicos al margen de todo control”.</w:t>
      </w:r>
    </w:p>
    <w:p w14:paraId="77363D61" w14:textId="77777777" w:rsidR="003754FE" w:rsidRDefault="003754FE" w:rsidP="003754FE">
      <w:pPr>
        <w:pStyle w:val="TextoNormal"/>
      </w:pPr>
    </w:p>
    <w:p w14:paraId="1250E7B2" w14:textId="77777777" w:rsidR="003754FE" w:rsidRDefault="003754FE" w:rsidP="003754FE">
      <w:pPr>
        <w:pStyle w:val="TextoNormal"/>
      </w:pPr>
      <w:r>
        <w:t>En este sentido, las sentencias recurridas inciden en que el señor Griñán Martínez desempeñó su cargo como consejero de Economía y Hacienda y, posteriormente, como presidente de la Junta de Andalucía. En el desarrollo de sus funciones como consejero de Economía y Hacienda le correspondía, en palabras de propio Tribunal Supremo, “un papel central en la elaboración y aprobación de las normas presupuestarias” (fundamento de Derecho 63.4, pág. 556) y se le presumía un conocimiento superior a otros encausados no solo respecto al procedimiento y normas, que rigen la elaboración de los instrumentos presupuestarios, sino, también, de las irregularidades que estaban siendo cometidas en el sistema de concesión de ayudas sociolaborales.</w:t>
      </w:r>
    </w:p>
    <w:p w14:paraId="454BDA47" w14:textId="77777777" w:rsidR="003754FE" w:rsidRDefault="003754FE" w:rsidP="003754FE">
      <w:pPr>
        <w:pStyle w:val="TextoNormal"/>
      </w:pPr>
    </w:p>
    <w:p w14:paraId="647ACF0C" w14:textId="77777777" w:rsidR="003754FE" w:rsidRDefault="003754FE" w:rsidP="003754FE">
      <w:pPr>
        <w:pStyle w:val="TextoNormal"/>
      </w:pPr>
      <w:r>
        <w:t>Ello es así porque, como se señala reiteradamente en las resoluciones impugnadas, el art. 9 b) de la Ley del Parlamento de Andalucía 5/1983, de 19 de julio, asignaba a dicho consejero la competencia para “[e]laborar y someter el acuerdo del Consejo de Gobierno el anteproyecto de ley del presupuesto” y “[v]elar por la ejecución del presupuesto y por los derechos económicos de la hacienda de la comunidad”. El ejercicio de esta función suponía inferir que el señor Griñán Martínez tenía conocimiento de la normativa aplicable a la elaboración de los instrumentos presupuestarios (particularmente, de la Ley del Parlamento de Andalucía 5/1983, de 19 de julio, anteriormente citada, de la Ley 38/2003, de 17 de noviembre, las leyes de acompañamiento y del Decreto de la Junta de Andalucía 254/2001, de 20 de noviembre) en la cual se establecía que las transferencias de financiación no podían aplicarse a una finalidad distinta de las de cobertura de pérdidas de una entidad pública.</w:t>
      </w:r>
    </w:p>
    <w:p w14:paraId="2160709E" w14:textId="77777777" w:rsidR="003754FE" w:rsidRDefault="003754FE" w:rsidP="003754FE">
      <w:pPr>
        <w:pStyle w:val="TextoNormal"/>
      </w:pPr>
    </w:p>
    <w:p w14:paraId="55C5E1D6" w14:textId="77777777" w:rsidR="003754FE" w:rsidRDefault="003754FE" w:rsidP="003754FE">
      <w:pPr>
        <w:pStyle w:val="TextoNormal"/>
      </w:pPr>
      <w:r>
        <w:t xml:space="preserve">Por otra parte, la asunción del presunto uso ilegal de tal instrumento —tanto en los anteproyectos de leyes como en las modificaciones presupuestarias— venía acompañado de un extenso conocimiento de las irregularidades que se estaban cometiendo en la concesión de ayudas sociolaborales, lo que, a la larga, permite al Tribunal Supremo vincular la fase de </w:t>
      </w:r>
      <w:r>
        <w:lastRenderedPageBreak/>
        <w:t>presupuestación a la fase de gestión y, por ende, mantener la condena por el delito de malversación (art. 432 CP).</w:t>
      </w:r>
    </w:p>
    <w:p w14:paraId="758EB9C1" w14:textId="77777777" w:rsidR="003754FE" w:rsidRDefault="003754FE" w:rsidP="003754FE">
      <w:pPr>
        <w:pStyle w:val="TextoNormal"/>
      </w:pPr>
    </w:p>
    <w:p w14:paraId="61317DF0" w14:textId="77777777" w:rsidR="003754FE" w:rsidRDefault="003754FE" w:rsidP="003754FE">
      <w:pPr>
        <w:pStyle w:val="TextoNormal"/>
      </w:pPr>
      <w:r>
        <w:t>Así, el Tribunal Supremo desgrana extensamente una serie de indicios de los que deduce dicho conocimiento como son, a título meramente ejemplificativo:</w:t>
      </w:r>
    </w:p>
    <w:p w14:paraId="5949D550" w14:textId="77777777" w:rsidR="003754FE" w:rsidRDefault="003754FE" w:rsidP="003754FE">
      <w:pPr>
        <w:pStyle w:val="TextoNormal"/>
      </w:pPr>
    </w:p>
    <w:p w14:paraId="3A808723" w14:textId="77777777" w:rsidR="003754FE" w:rsidRDefault="003754FE" w:rsidP="003754FE">
      <w:pPr>
        <w:pStyle w:val="TextoNormal"/>
      </w:pPr>
      <w:r>
        <w:t>(i) El conocimiento del informe adicional al de cumplimiento del año 2003, así como los sucesivos informes y memorias (ampliamente descritos en las sentencias de instancia y casación) que advertían no solo del continuo uso indebido de las transferencias de financiación, sino que también hacían alusión a otras deficiencias de especial relieve como la omisión absoluta del procedimiento de concesión de subvenciones o la inadecuada utilización de la agencia IFA/IDEA como caja pagadora. Respecto a ellos, el Tribunal Supremo afirma que “el señor Griñán era su destinatario directo y tenía un contenido que no podía pasar desapercibido ni a él ni a sus subordinados ya que, […] daba cuenta de las graves irregularidades que se estaban produciendo en la gestión y pago de las ayudas y, además, advertía de forma terminante de la ilegalidad del criterio de presupuestación utilizado y de las consecuencias de dicha ilegalidad en orden a la eliminación del control previo de la Intervención de la Junta de Andalucía” (fundamento de Derecho 63.3, pág. 542).</w:t>
      </w:r>
    </w:p>
    <w:p w14:paraId="2D3E4039" w14:textId="77777777" w:rsidR="003754FE" w:rsidRDefault="003754FE" w:rsidP="003754FE">
      <w:pPr>
        <w:pStyle w:val="TextoNormal"/>
      </w:pPr>
    </w:p>
    <w:p w14:paraId="0FD3A302" w14:textId="77777777" w:rsidR="003754FE" w:rsidRDefault="003754FE" w:rsidP="003754FE">
      <w:pPr>
        <w:pStyle w:val="TextoNormal"/>
      </w:pPr>
      <w:r>
        <w:t>Ello lleva al órgano de casación a concluir que, aunque fuera cierto que el señor Griñán Martínez no tuviera conocimiento concreto y exacto de buena parte de las numerosas ilegalidades que se estaban produciendo en el sistema de gestión, dicho conocimiento no era necesario pues “[b]astaba el contenido de los informes aludidos, que ya daban cuenta no solo de una situación manifiestamente ilegal, mantenida en el tiempo, sino de un absoluto descontrol y despilfarro en el manejo de los fondos públicos” (sentencia del Tribunal Supremo, fundamento de Derecho 63.3, pág. 549).</w:t>
      </w:r>
    </w:p>
    <w:p w14:paraId="2594BFF8" w14:textId="77777777" w:rsidR="003754FE" w:rsidRDefault="003754FE" w:rsidP="003754FE">
      <w:pPr>
        <w:pStyle w:val="TextoNormal"/>
      </w:pPr>
    </w:p>
    <w:p w14:paraId="1907433B" w14:textId="77777777" w:rsidR="003754FE" w:rsidRDefault="003754FE" w:rsidP="003754FE">
      <w:pPr>
        <w:pStyle w:val="TextoNormal"/>
      </w:pPr>
      <w:r>
        <w:t>(ii) El consejero de Economía y Hacienda constituía además el vértice de una pirámide jerárquica que quedaba formada por diferentes autoridades y funcionarios encargados del control de la legalidad presupuestaria y que tenían conocimiento de todas las disfunciones generadas como consecuencia del uso del instrumento de transferencias de financiación. En este sentido, recuerdan las sentencias impugnadas que en su consejería se elaboraba el proyecto de presupuestos y se recopilaba toda la información que era remitida por las demás consejerías, lo que permitía inferir que el señor Griñán Martínez tenía acceso a mucha más documentación e información de la que llegaba de ordinario al Parlamento.</w:t>
      </w:r>
    </w:p>
    <w:p w14:paraId="24B7D8AC" w14:textId="77777777" w:rsidR="003754FE" w:rsidRDefault="003754FE" w:rsidP="003754FE">
      <w:pPr>
        <w:pStyle w:val="TextoNormal"/>
      </w:pPr>
    </w:p>
    <w:p w14:paraId="1E79FD23" w14:textId="77777777" w:rsidR="003754FE" w:rsidRDefault="003754FE" w:rsidP="003754FE">
      <w:pPr>
        <w:pStyle w:val="TextoNormal"/>
      </w:pPr>
      <w:r>
        <w:t>(iii) A ello había que añadir el papel relevante que en el diseño y ejecución del nuevo sistema de concesión de ayudas sociolaborales gozaba su viceconsejera —señora Martínez Aguayo— quien no solo formaba parte de la Comisión General de Viceconsejeros sino, también, del consejo rector del IFA/IDEA donde se constató la existencia de desfases debido a la asunción de compromisos por encima de la cobertura presupuestaria, defectos en la contabilidad, así como la firma de convenios particulares al amparo del convenio marco del año 2001. Para las resoluciones judiciales, “la conclusión de que la viceconsejera debió informar de tales extremos es lógica y racional, lo que refuerza la conclusión de que él [señor Griñán Martínez] tuvo conocimiento de la existencia de los déficits presupuestarios en los términos referidos” (sentencia del Tribunal Supremo, fundamento de Derecho 63.2, pág. 529).</w:t>
      </w:r>
    </w:p>
    <w:p w14:paraId="5DBEF9D2" w14:textId="77777777" w:rsidR="003754FE" w:rsidRDefault="003754FE" w:rsidP="003754FE">
      <w:pPr>
        <w:pStyle w:val="TextoNormal"/>
      </w:pPr>
    </w:p>
    <w:p w14:paraId="5F907CCE" w14:textId="77777777" w:rsidR="003754FE" w:rsidRDefault="003754FE" w:rsidP="003754FE">
      <w:pPr>
        <w:pStyle w:val="TextoNormal"/>
      </w:pPr>
      <w:r>
        <w:lastRenderedPageBreak/>
        <w:t>(iv) Para el Tribunal Supremo, el hecho de que no existiera informe desfavorable alguno del interventor general de la Junta de Andalucía acerca del uso de transferencias de financiación tampoco afectaba al conocimiento de la presunta ilegalidad del sistema utilizado, pues “ello solo sería posible para el caso de que el recurrente no tuviese atribuida normativamente competencias específicas al respecto […]. Superada tal apariencia y ahondando en el caso concreto, puede concluirse que el señor Griñán fue consciente de la ilegalidad del uso de transferencias de financiación, por razón del cargo que ostentaba y por la normativa reguladora de aquel uso” (fundamento de Derecho 63.3, pág. 536).</w:t>
      </w:r>
    </w:p>
    <w:p w14:paraId="2F5032C8" w14:textId="77777777" w:rsidR="003754FE" w:rsidRDefault="003754FE" w:rsidP="003754FE">
      <w:pPr>
        <w:pStyle w:val="TextoNormal"/>
      </w:pPr>
    </w:p>
    <w:p w14:paraId="281A8F6E" w14:textId="77777777" w:rsidR="003754FE" w:rsidRDefault="003754FE" w:rsidP="003754FE">
      <w:pPr>
        <w:pStyle w:val="TextoNormal"/>
      </w:pPr>
      <w:r>
        <w:t>(v) El pago de las ayudas era, además, uno de los ejes relevantes de la acción política del Gobierno de la Junta de Andalucía de tal manera que “[r]resulta también difícil de admitir que no estuviera al tanto del modo de gestión y presupuestación de estas ayudas como también que desconociera que su pago generaba anualmente un déficit considerable en el IFA/IDEA, que necesariamente había de ser analizado por los órganos encargados de la elaboración presupuestaria” (sentencia del Tribunal Supremo, fundamento de Derecho 63.4, pág. 557).</w:t>
      </w:r>
    </w:p>
    <w:p w14:paraId="14A8C2A5" w14:textId="77777777" w:rsidR="003754FE" w:rsidRDefault="003754FE" w:rsidP="003754FE">
      <w:pPr>
        <w:pStyle w:val="TextoNormal"/>
      </w:pPr>
    </w:p>
    <w:p w14:paraId="06EBBDB1" w14:textId="77777777" w:rsidR="003754FE" w:rsidRDefault="003754FE" w:rsidP="003754FE">
      <w:pPr>
        <w:pStyle w:val="TextoNormal"/>
      </w:pPr>
      <w:r>
        <w:t xml:space="preserve">Por todo ello, el Tribunal Supremo acababa concluyendo que el recurrente participó de forma consciente en la totalidad de los hechos expuestos en el </w:t>
      </w:r>
      <w:r w:rsidRPr="003754FE">
        <w:rPr>
          <w:i/>
        </w:rPr>
        <w:t>factum</w:t>
      </w:r>
      <w:r>
        <w:t xml:space="preserve"> de la sentencia a él atribuidos, al resultar acreditados por prueba suficiente al efecto, y, por tanto, que ninguna vulneración de su derecho a la presunción de inocencia se ha producido.</w:t>
      </w:r>
    </w:p>
    <w:p w14:paraId="47D13A58" w14:textId="77777777" w:rsidR="003754FE" w:rsidRDefault="003754FE" w:rsidP="003754FE">
      <w:pPr>
        <w:pStyle w:val="TextoNormal"/>
      </w:pPr>
    </w:p>
    <w:p w14:paraId="71F2E729" w14:textId="77777777" w:rsidR="003754FE" w:rsidRDefault="003754FE" w:rsidP="003754FE">
      <w:pPr>
        <w:pStyle w:val="TextoNormal"/>
      </w:pPr>
      <w:r>
        <w:t xml:space="preserve">6.3. </w:t>
      </w:r>
      <w:r w:rsidRPr="003754FE">
        <w:rPr>
          <w:i/>
        </w:rPr>
        <w:t>Doctrina constitucional sobre el derecho a la presunción de inocencia (art. 24.2 CE)</w:t>
      </w:r>
    </w:p>
    <w:p w14:paraId="6E215CB0" w14:textId="77777777" w:rsidR="003754FE" w:rsidRDefault="003754FE" w:rsidP="003754FE">
      <w:pPr>
        <w:pStyle w:val="TextoNormal"/>
      </w:pPr>
    </w:p>
    <w:p w14:paraId="7CB0404D" w14:textId="77777777" w:rsidR="003754FE" w:rsidRDefault="003754FE" w:rsidP="003754FE">
      <w:pPr>
        <w:pStyle w:val="TextoNormal"/>
      </w:pPr>
      <w:r>
        <w:t>Antes de abordar la concreta queja alegada por el demandante de amparo en relación con este motivo, conviene traer a colación, al menos resumidamente, la doctrina constitucional sobre el derecho a la presunción de inocencia (art. 24.2 CE) tal y como ha sido fijada por este tribunal.</w:t>
      </w:r>
    </w:p>
    <w:p w14:paraId="5E6C42E3" w14:textId="77777777" w:rsidR="003754FE" w:rsidRDefault="003754FE" w:rsidP="003754FE">
      <w:pPr>
        <w:pStyle w:val="TextoNormal"/>
      </w:pPr>
    </w:p>
    <w:p w14:paraId="2365FE4E" w14:textId="77777777" w:rsidR="003754FE" w:rsidRDefault="003754FE" w:rsidP="003754FE">
      <w:pPr>
        <w:pStyle w:val="TextoNormal"/>
      </w:pPr>
      <w:r>
        <w:t xml:space="preserve">Al respecto hemos consignado reiteradamente que este derecho queda configurado como “el derecho a no ser condenado sin pruebas de cargo válidas” (STC 31/1981,de 28 de julio), de tal manera que toda sentencia condenatoria ha de estar fundada en “una mínima actividad probatoria, realizada con las garantías necesarias, referida a todos los elementos esenciales del delito, y que de la misma quepa inferir razonablemente los hechos y la participación del acusado” (STC 105/2016, de 6 de junio, FJ 8). Esta idoneidad incriminatoria, además,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w:t>
      </w:r>
      <w:r w:rsidRPr="003754FE">
        <w:rPr>
          <w:i/>
        </w:rPr>
        <w:t>ratio decidendi</w:t>
      </w:r>
      <w:r>
        <w:t xml:space="preserve"> de la decisión judicial, sino una mínima explicación de los fundamentos probatorios del relato fáctico, con base en el cual se individualiza el caso y se posibilita la aplicación de la norma jurídica (por todas, STC 22/2013, de 31 de enero, FJ 5, y las resoluciones allí citadas)” (STC 105/2016, FJ 8).</w:t>
      </w:r>
    </w:p>
    <w:p w14:paraId="2EB87B2E" w14:textId="77777777" w:rsidR="003754FE" w:rsidRDefault="003754FE" w:rsidP="003754FE">
      <w:pPr>
        <w:pStyle w:val="TextoNormal"/>
      </w:pPr>
    </w:p>
    <w:p w14:paraId="3456E177" w14:textId="77777777" w:rsidR="003754FE" w:rsidRDefault="003754FE" w:rsidP="003754FE">
      <w:pPr>
        <w:pStyle w:val="TextoNormal"/>
      </w:pPr>
      <w:r>
        <w:t xml:space="preserve">Igualmente se ha destacado que, a falta de prueba directa, la prueba de cargo sobre la concurrencia de los elementos objetivos y subjetivos del delito puede ser indiciaria, siempre que se parta de hechos plenamente probados y que los hechos constitutivos de delito se </w:t>
      </w:r>
      <w:r>
        <w:lastRenderedPageBreak/>
        <w:t>deduzcan de esos indicios a través de un proceso mental razonado y acorde con las reglas del criterio humano. En relación con esta concreta cuestión, la STC 133/2014, de 22 de julio, FJ 8, ya señalaba que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del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y 111/2008, de 22 de septiembre, FJ 3)”.</w:t>
      </w:r>
    </w:p>
    <w:p w14:paraId="1B2D06A0" w14:textId="77777777" w:rsidR="003754FE" w:rsidRDefault="003754FE" w:rsidP="003754FE">
      <w:pPr>
        <w:pStyle w:val="TextoNormal"/>
      </w:pPr>
    </w:p>
    <w:p w14:paraId="2B399A9B" w14:textId="77777777" w:rsidR="003754FE" w:rsidRDefault="003754FE" w:rsidP="003754FE">
      <w:pPr>
        <w:pStyle w:val="TextoNormal"/>
      </w:pPr>
      <w:r>
        <w:t xml:space="preserve">La importancia de la motivación de la sentencia condenatoria ya venía remarcada en la STC 22/2013, FJ 5, donde se afirmaba que la culpabilidad ha de quedar plenamente probada, lo que es tanto como decir expuesta o mostrada. De esta manera, el derecho a la presunción de inocencia queda vulnerado cuando, habiéndose declarado la culpabilidad del encausado, dicha declaración de culpabilidad no se ha motivado suficientemente toda vez que “uno de los modos de vulneración de este derecho lo constituye precisamente la falta de motivación del </w:t>
      </w:r>
      <w:r w:rsidRPr="003754FE">
        <w:rPr>
          <w:i/>
        </w:rPr>
        <w:t>iter</w:t>
      </w:r>
      <w:r>
        <w:t xml:space="preserve"> que ha conducido de las pruebas al relato de hechos probados de signo incriminatorio” (STC 245/2007, 10 de diciembre, FJ 5).</w:t>
      </w:r>
    </w:p>
    <w:p w14:paraId="2F53CE81" w14:textId="77777777" w:rsidR="003754FE" w:rsidRDefault="003754FE" w:rsidP="003754FE">
      <w:pPr>
        <w:pStyle w:val="TextoNormal"/>
      </w:pPr>
    </w:p>
    <w:p w14:paraId="2F72F814" w14:textId="77777777" w:rsidR="003754FE" w:rsidRDefault="003754FE" w:rsidP="003754FE">
      <w:pPr>
        <w:pStyle w:val="TextoNormal"/>
      </w:pPr>
      <w:r>
        <w:t xml:space="preserve">La motivación de las sentencias penales es siempre exigible </w:t>
      </w:r>
      <w:r w:rsidRPr="003754FE">
        <w:rPr>
          <w:i/>
        </w:rPr>
        <w:t>ex</w:t>
      </w:r>
      <w:r>
        <w:t xml:space="preserve"> art. 120.3 CE, esto es, con independencia de su signo, condenatorio o absolutorio. No obstante, en las sentencias condenatorias el canon de motivación es más riguroso que en las absolutorias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se refuerza el parámetro de control utilizable para enjuiciar su suficiencia. Particularmente, en el plano fáctico, la sentencia penal condenatoria ha de exteriorizar en su razonamiento las pruebas relevantes tomadas en consideración y la existencia de una conexión fundada entre las pruebas y la declaración de hechos probados; conexión que debe ser aplicación razonada de las reglas de la lógica, ciencia y experiencia, de modo que sea posible realizar un juicio externo sobre las que llevan al juzgador a considerar alcanzada la convicción de culpabilidad más allá de toda duda razonable [por todas, STC 72/2024, de 7 de mayo, FJ 4 b)].</w:t>
      </w:r>
    </w:p>
    <w:p w14:paraId="74AA6760" w14:textId="77777777" w:rsidR="003754FE" w:rsidRDefault="003754FE" w:rsidP="003754FE">
      <w:pPr>
        <w:pStyle w:val="TextoNormal"/>
      </w:pPr>
    </w:p>
    <w:p w14:paraId="40EF1EBE" w14:textId="77777777" w:rsidR="003754FE" w:rsidRDefault="003754FE" w:rsidP="003754FE">
      <w:pPr>
        <w:pStyle w:val="TextoNormal"/>
      </w:pPr>
      <w:r>
        <w:t xml:space="preserve">Es, precisamente, la motivación de la resolución que declara la culpabilidad y responsabilidad de una persona la que se encuentra sometida al control de este tribunal. Así, hemos afirmado en numerosas ocasiones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Esta conclusión se ha fundamentado en </w:t>
      </w:r>
      <w:r>
        <w:lastRenderedPageBreak/>
        <w:t xml:space="preserve">dos razones de diferente índole: (i) por un lado, en que la Constitución no atribuye esa tarea de valoración a este tribunal, que no está incluida en las de amparo del derecho a la presunción de inocencia, y (ii) por otro, en que el proceso constitucional no permite el conocimiento preciso y completo de la actividad probatoria (STC 142/2012, de 2 de julio, FJ 5). De esta manera, “solo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w:t>
      </w:r>
      <w:r w:rsidRPr="003754FE">
        <w:rPr>
          <w:i/>
        </w:rPr>
        <w:t>iter</w:t>
      </w:r>
      <w:r>
        <w:t xml:space="preserve"> discursivo que conduce de la prueba al hecho probado” (STC 189/1998, FJ 2 y, citándola entre otras muchas, SSTC 135/2003, de 30 de junio, FJ 2; 137/2005, de 23 de mayo, FJ 2, y 26/2010, de 27 de abril, FJ 6).</w:t>
      </w:r>
    </w:p>
    <w:p w14:paraId="02D6C13C" w14:textId="77777777" w:rsidR="003754FE" w:rsidRDefault="003754FE" w:rsidP="003754FE">
      <w:pPr>
        <w:pStyle w:val="TextoNormal"/>
      </w:pPr>
    </w:p>
    <w:p w14:paraId="389F992C" w14:textId="77777777" w:rsidR="003754FE" w:rsidRDefault="003754FE" w:rsidP="003754FE">
      <w:pPr>
        <w:pStyle w:val="TextoNormal"/>
      </w:pPr>
      <w:r>
        <w:t>Este mismo canon se extiende a los supuestos de prueba indiciaria donde la supervisión de la solidez de la inferencia puede llevarse a cabo tanto desde el control de su lógica o coherencia, siendo irrazonable cuando los indicios constatados excluyan el hecho que de ellos se hace derivar o no conduzca naturalmente a él, como desde la suficiencia o carácter concluyente, excluyéndose la razonabilidad por el carácter excesivamente abierto, débil o indeterminado de la inferencia (SSTC 127/2011, de 18 de julio, FJ 6; 142/2012, FJ 5, y 46/2022, de 24 de marzo, FJ 10.1).</w:t>
      </w:r>
    </w:p>
    <w:p w14:paraId="44943AD5" w14:textId="77777777" w:rsidR="003754FE" w:rsidRDefault="003754FE" w:rsidP="003754FE">
      <w:pPr>
        <w:pStyle w:val="TextoNormal"/>
      </w:pPr>
    </w:p>
    <w:p w14:paraId="284716A4" w14:textId="77777777" w:rsidR="003754FE" w:rsidRDefault="003754FE" w:rsidP="003754FE">
      <w:pPr>
        <w:pStyle w:val="TextoNormal"/>
      </w:pPr>
      <w:r>
        <w:t>En conclusión, es deber de los órganos judiciales realizar un esfuerzo dirigido a la motivación de la sentencia o pronunciamiento condenatorio, puesto que son aquellos quienes tienen un conocimiento cabal, completo y obtenido con todas las garantías del acervo probatorio, y función de este tribunal comprobar la coherencia de dicha motivación a través de una supervisión externa de la razonabilidad del discurso que une la actividad probatoria y el relato fáctico resultante (STC 67/2021, de 17 de marzo, FJ 3). Este control no es posible si los órganos judiciales descuidan su deber, lo que nos ha llevado a exigir que “deba asegurarse estrictamente la garantía formal de que el razonamiento efectuado por el tribunal conste expresamente en la sentencia, ya que solo así podrá verificarse si aquel formó su convicción sobre una prueba de cargo capaz de desvirtuar la presunción de inocencia (SSTC 117/2000, de 5 de mayo, FJ 3, y 124/2001, de 4 de junio, FJ 13) y que ninguno de los elementos constitutivos del delito se ha[ya] presumido en contra del acusado” (STC 340/2006, de 11 de diciembre, FJ 4).</w:t>
      </w:r>
    </w:p>
    <w:p w14:paraId="0762828B" w14:textId="77777777" w:rsidR="003754FE" w:rsidRDefault="003754FE" w:rsidP="003754FE">
      <w:pPr>
        <w:pStyle w:val="TextoNormal"/>
      </w:pPr>
    </w:p>
    <w:p w14:paraId="74F89C69" w14:textId="77777777" w:rsidR="003754FE" w:rsidRDefault="003754FE" w:rsidP="003754FE">
      <w:pPr>
        <w:pStyle w:val="TextoNormal"/>
      </w:pPr>
      <w:r>
        <w:t>6.4</w:t>
      </w:r>
      <w:r w:rsidRPr="003754FE">
        <w:rPr>
          <w:i/>
        </w:rPr>
        <w:t>. Enjuiciamiento de la que</w:t>
      </w:r>
      <w:r>
        <w:t>ja</w:t>
      </w:r>
    </w:p>
    <w:p w14:paraId="7D4721DE" w14:textId="77777777" w:rsidR="003754FE" w:rsidRDefault="003754FE" w:rsidP="003754FE">
      <w:pPr>
        <w:pStyle w:val="TextoNormal"/>
      </w:pPr>
    </w:p>
    <w:p w14:paraId="62C0F97F" w14:textId="77777777" w:rsidR="003754FE" w:rsidRDefault="003754FE" w:rsidP="003754FE">
      <w:pPr>
        <w:pStyle w:val="TextoNormal"/>
      </w:pPr>
      <w:r>
        <w:t xml:space="preserve">En el análisis de este motivo es preciso partir de una premisa básica: que la declarada vulneración del principio de legalidad penal </w:t>
      </w:r>
      <w:r w:rsidRPr="003754FE">
        <w:rPr>
          <w:i/>
        </w:rPr>
        <w:t>ex</w:t>
      </w:r>
      <w:r>
        <w:t xml:space="preserve"> art. 25.1 CE, por integrarse en los títulos de prevaricación y malversación de los arts. 404 y 432 CP en la gestión y pago de ayudas sociolaborales y a empresas en crisis desde la agencia IFA/IDEA en ejercicios presupuestarios en los que dicho procedimiento tenía respaldo legal (</w:t>
      </w:r>
      <w:r w:rsidRPr="003754FE">
        <w:rPr>
          <w:i/>
        </w:rPr>
        <w:t>vid. supra</w:t>
      </w:r>
      <w:r>
        <w:t xml:space="preserve"> FFJJ 4 y 5) obliga a delimitar el análisis de la participación del demandante en dicho procedimiento desde la perspectiva del derecho fundamental a la presunción de inocencia (art. 24.2 CE). No obstante, aun esclarecido que la condena vinculada a la forma global de gestión del programa 31L es inconciliable con el derecho a la legalidad penal, resta un sustrato fáctico que no quedaría afectado por dicho reparo constitucional: nos referimos a las disposiciones efectivamente realizadas desde la Consejería de Empleo y Desarrollo Tecnológico en ausencia de fin público y a las disposiciones enumeradas en el apartado C) del hecho probado </w:t>
      </w:r>
      <w:r>
        <w:lastRenderedPageBreak/>
        <w:t>vigesimosegundo, donde se hace constar que algunos fondos del programa 31L se aplicaron a fines distintos y ajenos a los determinados en el mismo. Esta posibilidad de pervivencia de la condena por malversación exige, sin embargo, una cuidadosa verificación de que la sentencia de instancia proporciona, por sí misma, sin necesidad de integración o reelaboración alguna, motivos suficientes para considerar acreditada, con el grado de certeza que la doctrina constitucional exige para enervar la presunción de inocencia, la participación personal del demandante de amparo en la realización de tales disposiciones.</w:t>
      </w:r>
    </w:p>
    <w:p w14:paraId="7CF23F0B" w14:textId="77777777" w:rsidR="003754FE" w:rsidRDefault="003754FE" w:rsidP="003754FE">
      <w:pPr>
        <w:pStyle w:val="TextoNormal"/>
      </w:pPr>
    </w:p>
    <w:p w14:paraId="17B0A011" w14:textId="77777777" w:rsidR="003754FE" w:rsidRDefault="003754FE" w:rsidP="003754FE">
      <w:pPr>
        <w:pStyle w:val="TextoNormal"/>
      </w:pPr>
      <w:r>
        <w:t>Consecuentemente, el control externo que este tribunal debe realizar, en garantía del derecho a la presunción de inocencia, de la existencia de un engarce lógico y reconocible entre el resultado de la prueba y el relato fáctico que le sirve de sustrato, demanda, en un caso como el presente, orientar el foco de control en la concurrencia en la sentencia de instancia de elementos fácticos y argumentales de una precisión suficiente para justificar la atribución personal al demandante de amparo, don José Antonio Griñán Martínez, de todos o de algunos de los desvíos de fondos a fines ajenos a los previstos en el programa 31L en el tiempo en el que ejerció los cargos de consejero de Economía y Hacienda y presidente de la Junta de Andalucía, esto es, desde el 24 de abril de 2004.</w:t>
      </w:r>
    </w:p>
    <w:p w14:paraId="16D98D2C" w14:textId="77777777" w:rsidR="003754FE" w:rsidRDefault="003754FE" w:rsidP="003754FE">
      <w:pPr>
        <w:pStyle w:val="TextoNormal"/>
      </w:pPr>
    </w:p>
    <w:p w14:paraId="7738DE10" w14:textId="77777777" w:rsidR="003754FE" w:rsidRDefault="003754FE" w:rsidP="003754FE">
      <w:pPr>
        <w:pStyle w:val="TextoNormal"/>
      </w:pPr>
      <w:r>
        <w:t>Acotado este sustrato fáctico, en virtud del relato de hechos probados de la sentencia de instancia, es deber de este tribunal comprobar si, de acuerdo con su fundamentación jurídica, se ha motivado suficientemente, y conforme a criterios racionales y lógicos, el engarce necesario entre las conductas anteriormente expuestas y la participación del demandante de amparo, entendiendo que ello solo se producirá cuando se realice de un modo “coherente, lógico y racional, entendida la racionalidad, por supuesto, no como mero mecanismo o automatismo, sino como comprensión razonable de la realidad normalmente vivida y apreciada conforme a los criterios colectivos vigentes” (STC 169/1986, de 22 de diciembre, FJ 2).</w:t>
      </w:r>
    </w:p>
    <w:p w14:paraId="6F450A94" w14:textId="77777777" w:rsidR="003754FE" w:rsidRDefault="003754FE" w:rsidP="003754FE">
      <w:pPr>
        <w:pStyle w:val="TextoNormal"/>
      </w:pPr>
    </w:p>
    <w:p w14:paraId="710300B4" w14:textId="77777777" w:rsidR="003754FE" w:rsidRDefault="003754FE" w:rsidP="003754FE">
      <w:pPr>
        <w:pStyle w:val="TextoNormal"/>
      </w:pPr>
      <w:r>
        <w:t xml:space="preserve">Y ello porque, como ya se ha explicitado anteriormente, el derecho a la presunción de inocencia queda vulnerado cuando, habiéndose declarado la culpabilidad del encausado, dicha declaración de culpabilidad no se ha motivado suficientemente toda vez que “uno de los modos de vulneración de este derecho lo constituye precisamente la falta de motivación del </w:t>
      </w:r>
      <w:r w:rsidRPr="003754FE">
        <w:rPr>
          <w:i/>
        </w:rPr>
        <w:t>iter</w:t>
      </w:r>
      <w:r>
        <w:t xml:space="preserve"> que ha conducido de las pruebas al relato de hechos probados de signo incriminatorio” (STC 245/2007, FJ 5) no siendo, por lo tanto, misión de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(STC 137/2005, FJ 2).</w:t>
      </w:r>
    </w:p>
    <w:p w14:paraId="56BB536A" w14:textId="77777777" w:rsidR="003754FE" w:rsidRDefault="003754FE" w:rsidP="003754FE">
      <w:pPr>
        <w:pStyle w:val="TextoNormal"/>
      </w:pPr>
    </w:p>
    <w:p w14:paraId="5862EB27" w14:textId="77777777" w:rsidR="003754FE" w:rsidRDefault="003754FE" w:rsidP="003754FE">
      <w:pPr>
        <w:pStyle w:val="TextoNormal"/>
      </w:pPr>
      <w:r>
        <w:t xml:space="preserve">La motivación efectuada en la sentencia de instancia para concretar la participación en los hechos del señor Griñán Martínez (sentencia de la Audiencia Provincial, fundamento de Derecho 39, págs. 1421 a 1501) va dirigida claramente a constatar que intervino en el mantenimiento y/o ejecución del sistema dirigido al abono de subvenciones a través del uso de transferencias de financiación, pero en ningún caso a probar que hizo un uso desviado de fondos del programa 31L, por aplicarlos en ausencia o con desviación de los fines previstos en dicho programa. Así aparece recogido en el citado fundamento jurídico donde se expone con gran profusión que el demandante, como consejero de Economía y Hacienda, intervino </w:t>
      </w:r>
      <w:r>
        <w:lastRenderedPageBreak/>
        <w:t>en la elaboración y aprobación de los presupuestos y modificaciones presupuestarias de los años 2005 a 2009, en los que se efectuó un uso inadecuado de las transferencias de financiación dentro de programa 31L.</w:t>
      </w:r>
    </w:p>
    <w:p w14:paraId="7CF6C2A8" w14:textId="77777777" w:rsidR="003754FE" w:rsidRDefault="003754FE" w:rsidP="003754FE">
      <w:pPr>
        <w:pStyle w:val="TextoNormal"/>
      </w:pPr>
    </w:p>
    <w:p w14:paraId="49AA1D94" w14:textId="77777777" w:rsidR="003754FE" w:rsidRDefault="003754FE" w:rsidP="003754FE">
      <w:pPr>
        <w:pStyle w:val="TextoNormal"/>
      </w:pPr>
      <w:r>
        <w:t>En este punto, la sentencia de instancia especifica que estas conductas fueron realizadas por el señor Griñán Martínez con conocimiento pleno no solo de la infracción que se estaba produciendo de la normativa vigente en materia de subvenciones, sino, también, de las graves irregularidades procedimentales que estaban acaeciendo en la final concesión de estas ayudas. Así, las resoluciones impugnadas describen extensamente una serie de indicios de los que se deduce dicho conocimiento como son la existencia de grupos de trabajo —encabezados por la viceconsejera de Economía y Hacienda— donde se pusieron de relieve el déficit generado y el origen del mismo (sentencia de la Audiencia Provincial, fundamento de Derecho 39, págs. 1453 y 1465); el hecho del que el demandante era destinatario de los informes de control financiero permanente de las empresas públicas y, en particular, del IFA/ IDEA donde se recogían las deficiencias detectadas (sentencia de la Audiencia Provincial, fundamento 39, págs. 1456-1464); la circunstancia de que fuera aprobado, por el Consejo de Gobierno, a iniciativa de la Consejería de Economía y Hacienda, el programa anual de control financiero permanente de las empresas que incluía, como anexo, una memoria de control financiero permanente sobre los trabajos realizados en el ejercicio anterior por la Intervención General de la Junta de Andalucía (sentencia de la Audiencia Provincial, fundamento 39, pág. 1464); la circunstancia de que la viceconsejera de Economía y Hacienda formara parte del consejo rector del IFA/IDEA y, en consecuencia, tuviera conocimiento de las cuentas anuales de la citada agencia (sentencia de la Audiencia Provincial, fundamento 39, pág. 1466); o el hecho de que el pago de las ayudas fuera uno de los ejes relevantes de la acción política del gobierno de la Junta de Andalucía (sentencia del Tribunal Supremo, fundamento 63.4, pág. 556).</w:t>
      </w:r>
    </w:p>
    <w:p w14:paraId="3C936874" w14:textId="77777777" w:rsidR="003754FE" w:rsidRDefault="003754FE" w:rsidP="003754FE">
      <w:pPr>
        <w:pStyle w:val="TextoNormal"/>
      </w:pPr>
    </w:p>
    <w:p w14:paraId="6C1E753E" w14:textId="77777777" w:rsidR="003754FE" w:rsidRDefault="003754FE" w:rsidP="003754FE">
      <w:pPr>
        <w:pStyle w:val="TextoNormal"/>
      </w:pPr>
      <w:r>
        <w:t xml:space="preserve">Con base en este material fáctico, el Tribunal Supremo acaba concluyendo: </w:t>
      </w:r>
    </w:p>
    <w:p w14:paraId="6B3AFF51" w14:textId="77777777" w:rsidR="003754FE" w:rsidRDefault="003754FE" w:rsidP="003754FE">
      <w:pPr>
        <w:pStyle w:val="TextoNormal"/>
      </w:pPr>
    </w:p>
    <w:p w14:paraId="002C8235" w14:textId="77777777" w:rsidR="003754FE" w:rsidRDefault="003754FE" w:rsidP="003754FE">
      <w:pPr>
        <w:pStyle w:val="TextoNormal"/>
      </w:pPr>
      <w:r>
        <w:t>“[L]a sentencia expone y justifica de forma bastante y racional todas aquellas pruebas directas e indirectas, en virtud de las cuales asumió la virtualidad de que los fondos vinculados al programa 31L, que se nutrían con las transferencias de financiación, serían destinados al pago de las ayudas comprometidas por la Consejería de Empleo.</w:t>
      </w:r>
    </w:p>
    <w:p w14:paraId="7EEF5D79" w14:textId="77777777" w:rsidR="003754FE" w:rsidRDefault="003754FE" w:rsidP="003754FE">
      <w:pPr>
        <w:pStyle w:val="TextoNormal"/>
      </w:pPr>
    </w:p>
    <w:p w14:paraId="60B3B9BE" w14:textId="77777777" w:rsidR="003754FE" w:rsidRDefault="003754FE" w:rsidP="003754FE">
      <w:pPr>
        <w:pStyle w:val="TextoNormal"/>
      </w:pPr>
      <w:r>
        <w:t xml:space="preserve"> El uso de las transferencias de financiación para eludir la normativa de las subvenciones y, singularmente, el control previo de la Intervención ya era un dato muy revelador de que la gestión de las ayudas podía dar lugar a la arbitrariedad y el despilfarro. Pero el conocimiento efectivo de la forma absolutamente ilegal que se estaba utilizando para la concesión y pago de las ayudas es un elemento de prueba suficiente para declarar que el señor Griñán asumió la eventualidad de que los fondos transferidos podrían destinarse a fines distintos del interés público, en el sentido expuesto en esta resolución”.</w:t>
      </w:r>
    </w:p>
    <w:p w14:paraId="42AB9150" w14:textId="77777777" w:rsidR="003754FE" w:rsidRDefault="003754FE" w:rsidP="003754FE">
      <w:pPr>
        <w:pStyle w:val="TextoNormal"/>
      </w:pPr>
    </w:p>
    <w:p w14:paraId="702B3079" w14:textId="77777777" w:rsidR="003754FE" w:rsidRDefault="003754FE" w:rsidP="003754FE">
      <w:pPr>
        <w:pStyle w:val="TextoNormal"/>
      </w:pPr>
      <w:r>
        <w:t>Sin embargo, la profundidad del análisis de la prueba que las resoluciones impugnadas efectúan respecto al conocimiento y participación del señor Griñán Martínez en la ejecución de un indebido sistema de presupuestación para la concesión de ayudas sociolaborales no aparece detallado con la misma exhaustividad a la hora de motivar la posible participación de aquel en la asignación de fondos del programa 31L en ausencia o con desviación de los fines recogidos en los propios programas presupuestarios.</w:t>
      </w:r>
    </w:p>
    <w:p w14:paraId="583D06D9" w14:textId="77777777" w:rsidR="003754FE" w:rsidRDefault="003754FE" w:rsidP="003754FE">
      <w:pPr>
        <w:pStyle w:val="TextoNormal"/>
      </w:pPr>
    </w:p>
    <w:p w14:paraId="44C8D9D1" w14:textId="77777777" w:rsidR="003754FE" w:rsidRDefault="003754FE" w:rsidP="003754FE">
      <w:pPr>
        <w:pStyle w:val="TextoNormal"/>
      </w:pPr>
      <w:r>
        <w:t>En este sentido, la resolución de instancia no desarrolla un mínimo juicio de autoría que permita determinar si el señor Griñán Martínez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siendo que, como ya hemos señalado, toda la motivación efectuada respecto al demandante va dirigida a acreditar su participación en el uso del instrumento presupuestario de las transferencias de financiación para la concesión de ayudas sociolaborales.</w:t>
      </w:r>
    </w:p>
    <w:p w14:paraId="3A3448BA" w14:textId="77777777" w:rsidR="003754FE" w:rsidRDefault="003754FE" w:rsidP="003754FE">
      <w:pPr>
        <w:pStyle w:val="TextoNormal"/>
      </w:pPr>
    </w:p>
    <w:p w14:paraId="6EB4288E" w14:textId="77777777" w:rsidR="003754FE" w:rsidRDefault="003754FE" w:rsidP="003754FE">
      <w:pPr>
        <w:pStyle w:val="TextoNormal"/>
      </w:pPr>
      <w:r>
        <w:t>Resulta especialmente relevante la argumentación relativa al elemento subjetivo, ya que la conducta malversadora no puede provenir del uso de un procedimiento de presupuestación que contempla el pago de ayudas a través de las transferencias de financiación y la firma de convenios amparado por la ley, sino, en su caso, de la disposición de los fondos presupuestados para fines no previstos en el programa o incluso carentes de tal interés público. El elemento subjetivo del injusto debe proyectarse sobre esas concretas disposiciones.</w:t>
      </w:r>
    </w:p>
    <w:p w14:paraId="4FFDD2DB" w14:textId="77777777" w:rsidR="003754FE" w:rsidRDefault="003754FE" w:rsidP="003754FE">
      <w:pPr>
        <w:pStyle w:val="TextoNormal"/>
      </w:pPr>
    </w:p>
    <w:p w14:paraId="262650AA" w14:textId="77777777" w:rsidR="003754FE" w:rsidRDefault="003754FE" w:rsidP="003754FE">
      <w:pPr>
        <w:pStyle w:val="TextoNormal"/>
      </w:pPr>
      <w:r>
        <w:t>El juicio de inferencia del dolo de malversar realizado en la sentencia de instancia parte de dos elementos:</w:t>
      </w:r>
    </w:p>
    <w:p w14:paraId="11060A1E" w14:textId="77777777" w:rsidR="003754FE" w:rsidRDefault="003754FE" w:rsidP="003754FE">
      <w:pPr>
        <w:pStyle w:val="TextoNormal"/>
      </w:pPr>
    </w:p>
    <w:p w14:paraId="436BB1CB" w14:textId="77777777" w:rsidR="003754FE" w:rsidRDefault="003754FE" w:rsidP="003754FE">
      <w:pPr>
        <w:pStyle w:val="TextoNormal"/>
      </w:pPr>
      <w:r>
        <w:t>(i) Los informes de control financiero permanente de la agencia IFA/IDEA, elaborados por la Intervención General de la Junta de Andalucía, y entre ellos, de manera determinante, el informe adicional (anexo III) al informe de cumplimiento del año 2003 (“informe sobre determinados aspectos de la gestión del Instituto de Fomento de Andalucía de los convenios suscritos con la Consejería de Empleo y Desarrollo Tecnológico en materia de trabajo y Seguridad Social”), argumentando que “[d]e esta disposición de fondos públicos participaron de forma activa desde el ejercicio 2000 hasta el 2009, los acusados pertenecientes a la Consejería de Empleo” y también los “otros acusados, por realizar las conductas descritas en los hechos probados, conociendo las aludidas deficiencias a través de los informes de control financiero de la Intervención General de la Junta de Andalucía” [sentencia de la Audiencia Provincial, fundamento de Derecho 45.4 D), pág. 1722].</w:t>
      </w:r>
    </w:p>
    <w:p w14:paraId="6529639D" w14:textId="77777777" w:rsidR="003754FE" w:rsidRDefault="003754FE" w:rsidP="003754FE">
      <w:pPr>
        <w:pStyle w:val="TextoNormal"/>
      </w:pPr>
    </w:p>
    <w:p w14:paraId="6D8B28D4" w14:textId="77777777" w:rsidR="003754FE" w:rsidRDefault="003754FE" w:rsidP="003754FE">
      <w:pPr>
        <w:pStyle w:val="TextoNormal"/>
      </w:pPr>
      <w:r>
        <w:t>(ii) El déficit generado en la Consejería de Empleo y Desarrollo Tecnológico y en la agencia IFA/IDEA como consecuencia de la aplicación de este sistema de gestión de ayudas, lleva a apreciar en los condenados por malversación “una indiferencia hacia la alta probabilidad de que lo que ya era un despilfarro pasase a ser una malversación” en virtud de “la existencia del déficit o desfases presupuestarios, originados precisamente porque se contraían obligaciones al margen de la cobertura presupuestaria, lo que era posible porque se concedían subvenciones al margen del procedimiento legalmente establecido y sin control alguno, al haberse soslayado la fiscalización” [sentencia de la Audiencia Provincial, fundamento de Derecho 45.4 M), pág. 1732].</w:t>
      </w:r>
    </w:p>
    <w:p w14:paraId="340E29C9" w14:textId="77777777" w:rsidR="003754FE" w:rsidRDefault="003754FE" w:rsidP="003754FE">
      <w:pPr>
        <w:pStyle w:val="TextoNormal"/>
      </w:pPr>
    </w:p>
    <w:p w14:paraId="45A6C47E" w14:textId="77777777" w:rsidR="003754FE" w:rsidRDefault="003754FE" w:rsidP="003754FE">
      <w:pPr>
        <w:pStyle w:val="TextoNormal"/>
      </w:pPr>
      <w:r>
        <w:t xml:space="preserve">Ese juicio de inferencia, sin embargo, no resulta suficiente para establecer de manera cierta y precisa que el señor Griñán Martínez hubiera intervenido, con conocimiento de causa, en la realización de alguna o algunas de las disposiciones de fondos ajenas a la cobertura presupuestaria. Cierto es que, a través de los informes de control financiero, y, particularmente, a través del informe adicional al informe de cumplimiento del año 2003 (notificado en el año 2005), tuvo conocimiento de que las ayudas no se sujetaban a los requisitos </w:t>
      </w:r>
      <w:r>
        <w:lastRenderedPageBreak/>
        <w:t>del procedimiento aplicable a las subvenciones excepcionales —y que a partir de ese conocimiento es razonable concluir que se representó los riesgos de desvío que esa minoración de controles podría generar—. Ahora bien, este riesgo era inherente al sistema de presupuestación legalmente establecido. Por ello, para apreciar que el señor Griñán Martínez incurrió en las conductas que se le imputan no basta con poner de manifiesto que las ayudas concedidas no se ajustaban al procedimiento subvencional (conducta que estaba amparada en lo dispuesto en las leyes de presupuestos), sino que es preciso acreditar que participó activa u omisivamente con conocimiento de que los fondos públicos del programa 31L se estaban concediendo sin que existiera un fin público que justificara su concesión o para fines distintos de los previstos en dicho programa 31L.</w:t>
      </w:r>
    </w:p>
    <w:p w14:paraId="36842689" w14:textId="77777777" w:rsidR="003754FE" w:rsidRDefault="003754FE" w:rsidP="003754FE">
      <w:pPr>
        <w:pStyle w:val="TextoNormal"/>
      </w:pPr>
    </w:p>
    <w:p w14:paraId="175504C2" w14:textId="77777777" w:rsidR="003754FE" w:rsidRDefault="003754FE" w:rsidP="003754FE">
      <w:pPr>
        <w:pStyle w:val="TextoNormal"/>
      </w:pPr>
      <w:r>
        <w:t>Hemos de considerar, en definitiva, para situar en sus justos términos la fuerza probatoria de los mismos, que los informes de la Intervención de la Junta de Andalucía que se hicieron llegar a varios de los condenados, entre ellos al señor Griñán Martínez, rebaten la validez del concepto de transferencias de financiación al IFA/IDEA como instrumento presupuestario para gestionar subvenciones excepcionales al margen de su procedimiento propio, pero no advierten de que se hubieran producido actos de disposición ajenos a dicha cobertura.</w:t>
      </w:r>
    </w:p>
    <w:p w14:paraId="4132D613" w14:textId="77777777" w:rsidR="003754FE" w:rsidRDefault="003754FE" w:rsidP="003754FE">
      <w:pPr>
        <w:pStyle w:val="TextoNormal"/>
      </w:pPr>
    </w:p>
    <w:p w14:paraId="29FE2ADC" w14:textId="77777777" w:rsidR="003754FE" w:rsidRDefault="003754FE" w:rsidP="003754FE">
      <w:pPr>
        <w:pStyle w:val="TextoNormal"/>
      </w:pPr>
      <w:r>
        <w:t xml:space="preserve">En particular, el informe adicional al informe de cumplimiento del ejercicio 2003, al que las resoluciones judiciales otorgan una importancia decisiva en la formación de su convicción, recoge el análisis específico que el interventor general de la Junta de Andalucía, don Manuel Gómez Martínez, acusado y absuelto en la causa, encargó a la interventora señora Lobo, que se hiciera sobre una muestra de veinte convenios particulares, seleccionados de entre los 144 convenios que se suscribieron entre los años 2001 a 2004 —por lo tanto, con cargo a fondos de los programas 22E y 31L—. Los convenios fueron remitidos por la Dirección General de Trabajo y Seguridad Social, y el informe de la Intervención concluye que todos ellos presentaban las mismas deficiencias, sirviendo de muestra el convenio suscrito con la empresa Hytasal, en el que se detectan, entre otras, las siguientes deficiencias: “[i]mputación presupuestaria inadecuada, no se debe de utilizar el artículo 44 —transferencias al IFA— sino los artículos 47 o 48, según el beneficiario”. […] No consta solicitud presentada por los interesados. […] No se aporta declaración responsable del beneficiario de otras subvenciones o ayudas concedidas para la misma finalidad (artículos 111 y 105 LGHPA, y artículo 15.1 del Reglamento de subvenciones). […] No se acredita la personalidad de las entidades solicitantes, ni de sus representantes. […] No se aporta informe o memoria acreditativa de la finalidad pública, o razones de interés social o económico, así como de la inexistencia de normas reguladoras a las que pudiera acogerse. No consta autorización de la concesión de la subvención por el Consejo de Gobierno por razón de la cuantía”. En el texto del “Protocolo de colaboración entre la Dirección General de Trabajo y Seguridad Social, de la Consejería de Empleo y Desarrollo Tecnológico, de la Junta de Andalucía e Hytasal”, que operaba como instrumento jurídico de concesión de la ayuda, la Intervención detecta también irregularidades, como: “No consigna plazo de ejecución de la actividad subvencionada con expresión del inicio del cómputo”. No consigna la aplicación presupuestaria del gasto y su distribución plurianual […]. No se indica la forma y secuencia del pago y los requisitos exigidos para su abono. […] No se determina el plazo y forma de justificación por el beneficiario del cumplimiento de la finalidad para la que se concede la ayuda, […] Respecto a las inversiones que ha de realizar Hytasal, no se indica cuáles sean, ni el plazo de ejecución ni de justificación de realización de estas. […] No se aporta resolución o convenio de concesión de una subvención a la Asociación 14 de noviembre por </w:t>
      </w:r>
      <w:r>
        <w:lastRenderedPageBreak/>
        <w:t>importe de 500 000 €. […] Se ha omitido la fiscalización previa. […] El importe correspondiente a las prejubilaciones asciende a 10 285 137,38 €, en lugar de 10 500 000,00 €”.</w:t>
      </w:r>
    </w:p>
    <w:p w14:paraId="37A8BC94" w14:textId="77777777" w:rsidR="003754FE" w:rsidRDefault="003754FE" w:rsidP="003754FE">
      <w:pPr>
        <w:pStyle w:val="TextoNormal"/>
      </w:pPr>
    </w:p>
    <w:p w14:paraId="03496CB1" w14:textId="77777777" w:rsidR="003754FE" w:rsidRDefault="003754FE" w:rsidP="003754FE">
      <w:pPr>
        <w:pStyle w:val="TextoNormal"/>
      </w:pPr>
      <w:r>
        <w:t>La conclusión es la siguiente: “Vistas las anteriores deficiencias se puede concluir que la citada dirección general ha tramitado subvenciones excepcionales prescindiendo de forma total y absoluta del procedimiento administrativo establecido. Dado que las deficiencias que presentan los expedientes son comunes a la práctica totalidad de los examinados existen dudas razonables sobre la correcta tramitación del resto de los expedientes no seleccionados” (sentencia de la Audiencia Provincial, hecho probado noveno, págs. 64 a 67).</w:t>
      </w:r>
    </w:p>
    <w:p w14:paraId="27D20A03" w14:textId="77777777" w:rsidR="003754FE" w:rsidRDefault="003754FE" w:rsidP="003754FE">
      <w:pPr>
        <w:pStyle w:val="TextoNormal"/>
      </w:pPr>
    </w:p>
    <w:p w14:paraId="18EAD81B" w14:textId="77777777" w:rsidR="003754FE" w:rsidRDefault="003754FE" w:rsidP="003754FE">
      <w:pPr>
        <w:pStyle w:val="TextoNormal"/>
      </w:pPr>
      <w:r>
        <w:t>La sentencia de instancia valora, asimismo, la declaración de los peritos de la Intervención General de la Administración del Estado, que elaboraron el informe que se incorporó a la causa. La sentencia dice que “[p]reguntados a este respecto, en las sesiones del juicio, los peritos de la IGAE, únicos que han visto todos y cada uno de los 270 expedientes de ayudas derivados del programa 22E y 31L, confirmaron que todas y cada uno de las deficiencias transcritas en el informe de Hytasal, son plenamente extensibles no solo a la muestra de veinte, sino a todos y cada uno de los 270 expedientes que ellos han analizado, con la matización de las diferencias básicas entre ayudas sociolaborales, con suscripción de pólizas de renta colectiva y ayudas a empresas en crisis”. Añade que “[l]os dieciocho puntos ya reseñados, expuestos por la interventora señora Lobo, facilitan de manera evidente el poder afirmar que no se siguió procedimiento administrativo alguno, faltando los requisitos más elementales en la tramitación de cualquier subvención, destacando la interventora la imputación presupuestaria inadecuada, pues no se debe utilizar el artículo 440 transferencias al IFA, sino el 47 o el 48, según el beneficiario. En relación con la opacidad del sistema, confirma el informe de la interventora que la subvención no se ha incluido en la base de datos, ni consta que convenio particular alguno haya sido previamente informado por el letrado del Gabinete Jurídico, adscrito en la Consejería de Empleo, como era preceptivo” (sentencia de la Audiencia Provincial, fundamento de Derecho 4, págs. 264 y 265).</w:t>
      </w:r>
    </w:p>
    <w:p w14:paraId="0593C682" w14:textId="77777777" w:rsidR="003754FE" w:rsidRDefault="003754FE" w:rsidP="003754FE">
      <w:pPr>
        <w:pStyle w:val="TextoNormal"/>
      </w:pPr>
    </w:p>
    <w:p w14:paraId="5EE6931F" w14:textId="77777777" w:rsidR="003754FE" w:rsidRDefault="003754FE" w:rsidP="003754FE">
      <w:pPr>
        <w:pStyle w:val="TextoNormal"/>
      </w:pPr>
      <w:r>
        <w:t>El contenido de estos informes permite inferir de manera razonable que sus destinatarios eran conscientes de que dichas aplicaciones presupuestarias permitían destinar fondos públicos al pago de ayudas sin cumplir el régimen propio de las subvenciones, pero no advertían de que se hubieran materializado pagos al margen de su cobertura, frente a lo que sostiene la sentencia de la Audiencia Provincial (fundamento de Derecho 45, pág. 1721) y como implícitamente viene a reconocer la sentencia de casación al afirmar que “el contenido del informe [adicional al de cumplimiento de 2003] no anuncia las consecuencias que podían producir” (sentencia del Tribunal Supremo, fundamento 63.2, pág. 519).</w:t>
      </w:r>
    </w:p>
    <w:p w14:paraId="7870D017" w14:textId="77777777" w:rsidR="003754FE" w:rsidRDefault="003754FE" w:rsidP="003754FE">
      <w:pPr>
        <w:pStyle w:val="TextoNormal"/>
      </w:pPr>
    </w:p>
    <w:p w14:paraId="1FEBB12A" w14:textId="77777777" w:rsidR="003754FE" w:rsidRDefault="003754FE" w:rsidP="003754FE">
      <w:pPr>
        <w:pStyle w:val="TextoNormal"/>
      </w:pPr>
      <w:r>
        <w:t xml:space="preserve">En definitiva, los informes de la Intervención que la sentencia de instancia analiza como medio de prueba acreditativo del tipo subjetivo de la malversación no llegan a demostrar que el señor Griñán Martínez hubiera realizado los hechos que se le atribuyen con una representación suficiente de que las ayudas se fueran a conceder al margen de toda finalidad pública.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y Desarrollo Tecnológico que aparecen descritas en el fundamento de Derecho 45 de la sentencia de instancia. Tampoco es un dato concluyente que tuviera conocimiento del déficit contable que se producía en la agencia </w:t>
      </w:r>
      <w:r>
        <w:lastRenderedPageBreak/>
        <w:t>IDEA pues el mismo era una consecuencia asociada al sistema de presupuestación y gestión de las transferencias de financiación determinado en las leyes de presupuestos.</w:t>
      </w:r>
    </w:p>
    <w:p w14:paraId="6536092E" w14:textId="77777777" w:rsidR="003754FE" w:rsidRDefault="003754FE" w:rsidP="003754FE">
      <w:pPr>
        <w:pStyle w:val="TextoNormal"/>
      </w:pPr>
    </w:p>
    <w:p w14:paraId="50AE053C" w14:textId="77777777" w:rsidR="003754FE" w:rsidRDefault="003754FE" w:rsidP="003754FE">
      <w:pPr>
        <w:pStyle w:val="TextoNormal"/>
      </w:pPr>
      <w:r>
        <w:t>Ello no quiere decir, en modo alguno, que no existan en la causa elementos que hubieran podido servir de punto de partida para fundar un juicio de inferencia que pudiera haber llevado a esa conclusión —cuestión sobre la que a este tribunal no le corresponde pronunciarse—, sino, sencillamente, que la sentencia no ha completado el razonamiento capaz de trazar la vinculación entre las actuaciones desarrolladas por el demandante, a las que se refiere el relato de hechos probados, con las desviaciones expuestas en otro apartado del mismo relato de hechos probados, razonamiento que es necesario para satisfacer el canon de motivación reforzada exigible a una sentencia condenatoria desde la perspectiva del derecho a la presunción de inocencia (art. 24.2 CE) y de los derechos fundamentales concernidos por las penas impuestas.</w:t>
      </w:r>
    </w:p>
    <w:p w14:paraId="40FA5CBA" w14:textId="77777777" w:rsidR="003754FE" w:rsidRDefault="003754FE" w:rsidP="003754FE">
      <w:pPr>
        <w:pStyle w:val="TextoNormal"/>
      </w:pPr>
    </w:p>
    <w:p w14:paraId="28634127" w14:textId="77777777" w:rsidR="003754FE" w:rsidRDefault="003754FE" w:rsidP="003754FE">
      <w:pPr>
        <w:pStyle w:val="TextoNormal"/>
      </w:pPr>
      <w:r>
        <w:t>La resolución judicial de instancia (sentencia de la Audiencia Provincial, fundamento de Derecho 23, pág. 696) atribuye directamente dicho desvío de fondos a los responsables de la Consejería de Empleo y Desarrollo Tecnológico señalando que “[s]in el mecanismo ya descrito, hubiera sido imposible que la Consejería de Empleo de la Junta de Andalucía, a través de la Dirección General de Trabajo y Seguridad Social, hubiera dispuesto de fondos para conceder y pagar a través del IFA/ IDEA, los conceptos ya reseñados, sin la tramitación del expediente debido, que permitiese acreditar, no ya solo el fin público o social del destino de las cantidades, sino que, suponiendo este, se hubieran aplicado los fondos al mismo”. Esta fundamentación se repite a lo largo de la sentencia de instancia, como en los fundamentos de Derecho 9 o 35 (pág. 1261) donde se afirma que “[a] pesar de no estar previsto en la ficha presupuestaria del programa 31L, lo cierto es que los responsables de la Consejería de Empleo, utilizaron estos fondos para fines completamente ajenos”. Y así, a simple modo de ejemplo, se encuentra que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Asimismo, en el fundamento 45, es donde se concluye que se hicieron pagos completamente ajenos al interés público, “[c]omo son el pago de nóminas, deudas (sin especificar), minutas por asesoramiento jurídico en materia laboral, mejoras salariales derivadas de convenios colectivos, préstamos para pago de nóminas de los que no consta su devolución”, a empresas que no habían acreditado su falta de capacidad económica, sospechosas de haberse constituido exclusivamente para el cobro de las subvenciones, o incluyendo beneficiarios que no pertenecían a las mismas. Sin embargo, como ya se ha indicado, ninguna argumentación se realiza a lo largo de estos fundamentos jurídicos dirigida a explicitar la participación del demandante de amparo en la ejecución de este tipo de actos, los elementos probatorios de los que se deduciría dicha participación, así como la posible concurrencia del elemento subjetivo del injusto.</w:t>
      </w:r>
    </w:p>
    <w:p w14:paraId="3262BA95" w14:textId="77777777" w:rsidR="003754FE" w:rsidRDefault="003754FE" w:rsidP="003754FE">
      <w:pPr>
        <w:pStyle w:val="TextoNormal"/>
      </w:pPr>
    </w:p>
    <w:p w14:paraId="574842B9" w14:textId="77777777" w:rsidR="003754FE" w:rsidRDefault="003754FE" w:rsidP="003754FE">
      <w:pPr>
        <w:pStyle w:val="TextoNormal"/>
      </w:pPr>
      <w:r>
        <w:t xml:space="preserve">Consecuentemente, y desde la perspectiva del análisis efectuado en las resoluciones judiciales impugnadas, no se considera mínimamente motivado que el señor Griñán Martínez hubiera realizado los hechos que la sentencia declara probados con conocimiento de que la Consejería de Empleo y Desarrollo Tecnológico concedía ayudas que no respondían a ningún fin público amparado en el programa 31L, y consiguientemente con representación del </w:t>
      </w:r>
      <w:r>
        <w:lastRenderedPageBreak/>
        <w:t>riesgo concreto de que dicha situación se pudiera reproducir, lo que permite concluir que su presunción de inocencia no ha sido respetada por los órganos judiciales que pronunciaron la condena y que desestimaron el recurso de casación subsiguientemente interpuesto y que debe llevar a la estimación del amparo respecto a este motivo.</w:t>
      </w:r>
    </w:p>
    <w:p w14:paraId="1E9DA551" w14:textId="77777777" w:rsidR="003754FE" w:rsidRDefault="003754FE" w:rsidP="003754FE">
      <w:pPr>
        <w:pStyle w:val="TextoNormal"/>
      </w:pPr>
    </w:p>
    <w:p w14:paraId="0DEDCA6E" w14:textId="1079274D" w:rsidR="003754FE" w:rsidRDefault="003754FE" w:rsidP="003754FE">
      <w:pPr>
        <w:pStyle w:val="TextoNormal"/>
      </w:pPr>
      <w:r>
        <w:t>La estimación de esta queja, bastante para declarar la nulidad de la condena por delito de malversación, hace innecesario pronunciarse sobre las quejas vinculadas a la introducción, por el Tribunal Supremo, de valoraciones o elementos fácticos que no aparecían en la sentencia de instancia, con el fin de justificar la concurrencia en el demandante de amparo de una intencionalidad o dolo directo de malversar, que la sentencia de instancia no apreció. Constituye una queja distinta la relativa a las vulneraciones atribuidas a la comunicación pública y anticipada del fallo de la sentencia de casación, lo que se abordará a continuación.</w:t>
      </w:r>
    </w:p>
    <w:p w14:paraId="052CDDBB" w14:textId="77777777" w:rsidR="003754FE" w:rsidRDefault="003754FE" w:rsidP="003754FE">
      <w:pPr>
        <w:pStyle w:val="TextoNormal"/>
      </w:pPr>
    </w:p>
    <w:p w14:paraId="6C0B6174" w14:textId="77777777" w:rsidR="003754FE" w:rsidRDefault="003754FE" w:rsidP="003754FE">
      <w:pPr>
        <w:pStyle w:val="TextoNormal"/>
      </w:pPr>
      <w:r w:rsidRPr="003754FE">
        <w:rPr>
          <w:rStyle w:val="NumeroAFNegritaCaracter"/>
        </w:rPr>
        <w:t>7</w:t>
      </w:r>
      <w:r>
        <w:t xml:space="preserve">. </w:t>
      </w:r>
      <w:r w:rsidRPr="003754FE">
        <w:rPr>
          <w:i/>
        </w:rPr>
        <w:t>Vulneraciones atribuidas a la comunicación pública y anticipada del fallo de la sentencia de casación</w:t>
      </w:r>
    </w:p>
    <w:p w14:paraId="129200D7" w14:textId="77777777" w:rsidR="003754FE" w:rsidRDefault="003754FE" w:rsidP="003754FE">
      <w:pPr>
        <w:pStyle w:val="TextoNormal"/>
      </w:pPr>
    </w:p>
    <w:p w14:paraId="03AAE84C" w14:textId="77777777" w:rsidR="003754FE" w:rsidRDefault="003754FE" w:rsidP="003754FE">
      <w:pPr>
        <w:pStyle w:val="TextoNormal"/>
      </w:pPr>
      <w:r>
        <w:t xml:space="preserve">7.1. </w:t>
      </w:r>
      <w:r w:rsidRPr="003754FE">
        <w:rPr>
          <w:i/>
        </w:rPr>
        <w:t>Exposición de la queja del recurrente, de las posiciones de las partes personadas y del pronunciamiento del Tribunal Supremo</w:t>
      </w:r>
    </w:p>
    <w:p w14:paraId="2C0EC80A" w14:textId="77777777" w:rsidR="003754FE" w:rsidRDefault="003754FE" w:rsidP="003754FE">
      <w:pPr>
        <w:pStyle w:val="TextoNormal"/>
      </w:pPr>
    </w:p>
    <w:p w14:paraId="0BFD3EB5" w14:textId="77777777" w:rsidR="003754FE" w:rsidRDefault="003754FE" w:rsidP="003754FE">
      <w:pPr>
        <w:pStyle w:val="TextoNormal"/>
      </w:pPr>
      <w:r>
        <w:t>El último motivo de la demanda denuncia la vulneración del derecho a la presunción de inocencia (art. 24.2 CE), en su dimensión “del derecho al honor” (art. 18 CE), del derecho a un proceso con todas las garantías (art. 24.2 CE) y del derecho a la tutela judicial efectiva sin indefensión (art. 24.1 CE) por razón de la publicación anticipada del fallo.</w:t>
      </w:r>
    </w:p>
    <w:p w14:paraId="06C84399" w14:textId="77777777" w:rsidR="003754FE" w:rsidRDefault="003754FE" w:rsidP="003754FE">
      <w:pPr>
        <w:pStyle w:val="TextoNormal"/>
      </w:pPr>
    </w:p>
    <w:p w14:paraId="4F052DA2" w14:textId="77777777" w:rsidR="003754FE" w:rsidRDefault="003754FE" w:rsidP="003754FE">
      <w:pPr>
        <w:pStyle w:val="TextoNormal"/>
      </w:pPr>
      <w:r>
        <w:t xml:space="preserve">a) El demandante considera que el Tribunal Supremo, al publicar el fallo anticipadamente (el fallo se comunicó cincuenta y un días antes de que se notificara la sentencia en su integridad), vulneró su derecho a la presunción de inocencia extraprocesal (art. 24.2 CE), pues se efectuó una declaración firme de culpabilidad carente de toda motivación. Afirma que en una sociedad democrática no puede calificarse públicamente a un ciudadano como penalmente responsable sin dar razón suficiente (STEDH de 28 de junio de 2011, asunto </w:t>
      </w:r>
      <w:r w:rsidRPr="003754FE">
        <w:rPr>
          <w:i/>
        </w:rPr>
        <w:t>Lizaso Azconobieta c. España</w:t>
      </w:r>
      <w:r>
        <w:t>). Alega también que esta decisión de notificar la sentencia parcialmente no tiene amparo legal, por lo que vulnera la legalidad procesal y, en definitiva, el derecho a un proceso con todas las garantías (art. 24.2 CE). Junto a ello sostiene que le ha causado indefensión por la comunicación masiva del pronunciamiento condenatorio frente al que no podía reaccionar. A su juicio, vulnera el derecho a la tutela judicial efectiva y la interdicción de indefensión que garantiza el art. 24.1 CE que quien ha sido condenado tarde casi dos meses en obtener la resolución motivada en la que ese fallo condenatorio se sustenta.</w:t>
      </w:r>
    </w:p>
    <w:p w14:paraId="690C7FB9" w14:textId="77777777" w:rsidR="003754FE" w:rsidRDefault="003754FE" w:rsidP="003754FE">
      <w:pPr>
        <w:pStyle w:val="TextoNormal"/>
      </w:pPr>
    </w:p>
    <w:p w14:paraId="3730B496" w14:textId="77777777" w:rsidR="003754FE" w:rsidRDefault="003754FE" w:rsidP="003754FE">
      <w:pPr>
        <w:pStyle w:val="TextoNormal"/>
      </w:pPr>
      <w:r>
        <w:t>Por otra parte, el recurrente considera que la anticipación del fallo no puede justificarse por la “relevancia del caso”. El demandante sostiene que la utilización de esta expresión por parte de la Sala de lo Penal del Tribunal Supremo supone, además, priorizar la “relevancia social” del caso a los derechos fundamentales del condenado y subvertir la prelación establecida en el art. 10 CE que sitúa a la dignidad como fundamento del orden político y la paz social.</w:t>
      </w:r>
    </w:p>
    <w:p w14:paraId="4877A9DB" w14:textId="77777777" w:rsidR="003754FE" w:rsidRDefault="003754FE" w:rsidP="003754FE">
      <w:pPr>
        <w:pStyle w:val="TextoNormal"/>
      </w:pPr>
    </w:p>
    <w:p w14:paraId="605E2E61" w14:textId="77777777" w:rsidR="003754FE" w:rsidRDefault="003754FE" w:rsidP="003754FE">
      <w:pPr>
        <w:pStyle w:val="TextoNormal"/>
      </w:pPr>
      <w:r>
        <w:t xml:space="preserve">b) El Partido Popular aduce que la anticipación del contenido del fallo no conlleva la vulneración de los derechos fundamentales alegados. Entiende que en este supuesto no se </w:t>
      </w:r>
      <w:r>
        <w:lastRenderedPageBreak/>
        <w:t>produce una declaración pública en la que las autoridades se refieren a un sospechoso como acusado o culpable, sino, al contrario, estamos ante un caso en el que lo que se ha hecho es difundir una información que constituye un anticipo prudente y discreto del contenido del fallo. Esta parte procesal alega que, aunque la publicación de la sentencia deba cumplir la exigencia de la integridad, ello no obsta a que se puedan anticipar algunos extremos cuando se pretendan otras finalidades de interés social.</w:t>
      </w:r>
    </w:p>
    <w:p w14:paraId="098E5B14" w14:textId="77777777" w:rsidR="003754FE" w:rsidRDefault="003754FE" w:rsidP="003754FE">
      <w:pPr>
        <w:pStyle w:val="TextoNormal"/>
      </w:pPr>
    </w:p>
    <w:p w14:paraId="1431D0AA" w14:textId="77777777" w:rsidR="003754FE" w:rsidRDefault="003754FE" w:rsidP="003754FE">
      <w:pPr>
        <w:pStyle w:val="TextoNormal"/>
      </w:pPr>
      <w:r>
        <w:t>c) El Ministerio Fiscal alega que en el presente caso la difusión anticipada del fallo no ha vulnerado los derechos fundamentales que el recurrente considera lesionados porque, por una parte, se da la circunstancia de que el demandante había sido condenado en primera instancia y esa condena era pública y notoria y, por otra, la relevancia y el interés del asunto justificaba que el Tribunal Supremo, tras ponderar los intereses en conflicto y con el fin de evitar posibles filtraciones, hiciera público el sentido del fallo.</w:t>
      </w:r>
    </w:p>
    <w:p w14:paraId="75F22596" w14:textId="77777777" w:rsidR="003754FE" w:rsidRDefault="003754FE" w:rsidP="003754FE">
      <w:pPr>
        <w:pStyle w:val="TextoNormal"/>
      </w:pPr>
    </w:p>
    <w:p w14:paraId="308E2271" w14:textId="77777777" w:rsidR="003754FE" w:rsidRDefault="003754FE" w:rsidP="003754FE">
      <w:pPr>
        <w:pStyle w:val="TextoNormal"/>
      </w:pPr>
      <w:r>
        <w:t>d) En el incidente de nulidad de actuaciones formulado por el recurrente se alegaron quejas análogas a las ahora aducidas que fueron descartadas en el fundamento de Derecho décimo del auto del Tribunal Supremo de 16 de febrero de 2023. En él se parte de distinguir el contenido necesario de una sentencia, su notificación y la publicación anticipada del fallo, para subrayar (i) que esta última es un actuación no prevista en la ley, pero tampoco prohibida y prevista para determinadas resoluciones; (ii) que se viene realizando con habitualidad por las distintas salas del Tribunal Supremo en atención a la demanda de noticias por la sociedad y para evitar los efectos perniciosos de la falta de publicidad, como las filtraciones; (iii) que la sentencia ya había sido deliberada y el texto estaba concluso a falta de los votos particulares; (iv) que la “publicación anticipada del fallo, con una sucinta motivación, que se limitó a dar noticia de un hecho relevante, cierto y de naturaleza procesal, no puede equipararse a una condena pública sin motivación” y (v) que la comunicación pública de un hecho de indudable relevancia informativa “se hizo ponderando otros derechos como el de libre comunicación y recepción de información de los ciudadanos”.</w:t>
      </w:r>
    </w:p>
    <w:p w14:paraId="497B0381" w14:textId="77777777" w:rsidR="003754FE" w:rsidRDefault="003754FE" w:rsidP="003754FE">
      <w:pPr>
        <w:pStyle w:val="TextoNormal"/>
      </w:pPr>
    </w:p>
    <w:p w14:paraId="1BE1C26E" w14:textId="77777777" w:rsidR="003754FE" w:rsidRDefault="003754FE" w:rsidP="003754FE">
      <w:pPr>
        <w:pStyle w:val="TextoNormal"/>
      </w:pPr>
      <w:r>
        <w:t>A la vista del contenido de este motivo de la demanda de amparo, su examen debe escindirse en dos, de conformidad con la argumentación de una doble lesión, la del derecho a la presunción de inocencia extraprocesal y la de los derechos a un proceso con todas las garantías y a la tutela judicial efectiva sin indefensión.</w:t>
      </w:r>
    </w:p>
    <w:p w14:paraId="1B5D5AA2" w14:textId="77777777" w:rsidR="003754FE" w:rsidRDefault="003754FE" w:rsidP="003754FE">
      <w:pPr>
        <w:pStyle w:val="TextoNormal"/>
      </w:pPr>
    </w:p>
    <w:p w14:paraId="05250461" w14:textId="77777777" w:rsidR="003754FE" w:rsidRDefault="003754FE" w:rsidP="003754FE">
      <w:pPr>
        <w:pStyle w:val="TextoNormal"/>
      </w:pPr>
      <w:r>
        <w:t xml:space="preserve">7.2. </w:t>
      </w:r>
      <w:r w:rsidRPr="003754FE">
        <w:rPr>
          <w:i/>
        </w:rPr>
        <w:t>Vulneración del derecho a la presunción de inocencia extraprocesal</w:t>
      </w:r>
    </w:p>
    <w:p w14:paraId="56754B1F" w14:textId="77777777" w:rsidR="003754FE" w:rsidRDefault="003754FE" w:rsidP="003754FE">
      <w:pPr>
        <w:pStyle w:val="TextoNormal"/>
      </w:pPr>
    </w:p>
    <w:p w14:paraId="790D397E" w14:textId="77777777" w:rsidR="003754FE" w:rsidRDefault="003754FE" w:rsidP="003754FE">
      <w:pPr>
        <w:pStyle w:val="TextoNormal"/>
      </w:pPr>
      <w:r>
        <w:t xml:space="preserve">7.2.1. </w:t>
      </w:r>
      <w:r w:rsidRPr="003754FE">
        <w:rPr>
          <w:i/>
        </w:rPr>
        <w:t>Doctrina sobre el derecho a la presunción de inocencia extraprocesal</w:t>
      </w:r>
    </w:p>
    <w:p w14:paraId="068CC79B" w14:textId="77777777" w:rsidR="003754FE" w:rsidRDefault="003754FE" w:rsidP="003754FE">
      <w:pPr>
        <w:pStyle w:val="TextoNormal"/>
      </w:pPr>
    </w:p>
    <w:p w14:paraId="18E6BC0E" w14:textId="77777777" w:rsidR="003754FE" w:rsidRDefault="003754FE" w:rsidP="003754FE">
      <w:pPr>
        <w:pStyle w:val="TextoNormal"/>
      </w:pPr>
      <w:r>
        <w:t>La evolución de la jurisprudencia constitucional sobre la vertiente del derecho a la presunción de inocencia como regla de tratamiento que opera dentro y fuera del proceso penal cristaliza en la doctrina consignada en la STC 77/2023, de 20 de junio, FJ 6, tal y como se expone en la STC 94/2024, de 2 de julio, FJ 7.2.1, donde se destacan tres elementos de dicha doctrina:</w:t>
      </w:r>
    </w:p>
    <w:p w14:paraId="4ADA2854" w14:textId="77777777" w:rsidR="003754FE" w:rsidRDefault="003754FE" w:rsidP="003754FE">
      <w:pPr>
        <w:pStyle w:val="TextoNormal"/>
      </w:pPr>
    </w:p>
    <w:p w14:paraId="557C89CD" w14:textId="77777777" w:rsidR="003754FE" w:rsidRDefault="003754FE" w:rsidP="003754FE">
      <w:pPr>
        <w:pStyle w:val="TextoNormal"/>
      </w:pPr>
      <w:r>
        <w:t xml:space="preserve">(i) Frente a la tradicional reconducción al derecho al honor (art. 18 CE), la jurisprudencia constitucional afirma la autonomía del derecho a la presunción de inocencia como regla de tratamiento, que “tiene por objeto salvaguardar o preservar a la persona en su condición de inocente frente a declaraciones de culpabilidad vertidas por la autoridad pública en aquellos </w:t>
      </w:r>
      <w:r>
        <w:lastRenderedPageBreak/>
        <w:t>casos en que no concurren los requisitos formales y materiales exigibles en un Estado de Derecho para realizar tal aseveración”.</w:t>
      </w:r>
    </w:p>
    <w:p w14:paraId="3A1D975F" w14:textId="77777777" w:rsidR="003754FE" w:rsidRDefault="003754FE" w:rsidP="003754FE">
      <w:pPr>
        <w:pStyle w:val="TextoNormal"/>
      </w:pPr>
    </w:p>
    <w:p w14:paraId="24B7A6C9" w14:textId="77777777" w:rsidR="003754FE" w:rsidRDefault="003754FE" w:rsidP="003754FE">
      <w:pPr>
        <w:pStyle w:val="TextoNormal"/>
      </w:pPr>
      <w:r>
        <w:t>(ii) Especifica que ese contenido “impide a los poderes públicos, tras declararse judicialmente la inocencia de una persona, cuestionar tal declaración”, así como imputar “ilícitos a una persona a pesar de que su culpabilidad no haya sido declarada por un tribunal, en el seno del proceso judicial público diseñado al efecto por el legislador y con todas las garantías”.</w:t>
      </w:r>
    </w:p>
    <w:p w14:paraId="1945F20D" w14:textId="77777777" w:rsidR="003754FE" w:rsidRDefault="003754FE" w:rsidP="003754FE">
      <w:pPr>
        <w:pStyle w:val="TextoNormal"/>
      </w:pPr>
    </w:p>
    <w:p w14:paraId="3DFA6986" w14:textId="77777777" w:rsidR="003754FE" w:rsidRDefault="003754FE" w:rsidP="003754FE">
      <w:pPr>
        <w:pStyle w:val="TextoNormal"/>
      </w:pPr>
      <w:r>
        <w:t>(iii) En sintonía con la jurisprudencia del Tribunal Europeo de Derechos Humanos, fija que la lesión del derecho “queda consumada en el momento en que desde el poder público se emitan declaraciones que no se limiten a describir un ‘estado de sospecha’ sino que vayan más allá, reflejando ‘la sensación de que la persona en cuestión es culpable’, siendo indiferente si se produce con anterioridad a la condena o con posterioridad a la absolución”.</w:t>
      </w:r>
    </w:p>
    <w:p w14:paraId="362B6DEB" w14:textId="77777777" w:rsidR="003754FE" w:rsidRDefault="003754FE" w:rsidP="003754FE">
      <w:pPr>
        <w:pStyle w:val="TextoNormal"/>
      </w:pPr>
    </w:p>
    <w:p w14:paraId="7CF0084B" w14:textId="77777777" w:rsidR="003754FE" w:rsidRDefault="003754FE" w:rsidP="003754FE">
      <w:pPr>
        <w:pStyle w:val="TextoNormal"/>
      </w:pPr>
      <w:r>
        <w:t>En la citada STC 94/2024, FJ 7.2, se puso de relieve que la conformación de esta dimensión del derecho a la presunción de inocencia se ha visto particularmente influida por la jurisprudencia del Tribunal Europeo de Derechos Humanos al respecto [art. 6.2  del Convenio europeo de derechos humanos (CEDH)], de la que reseñó varios aspectos por su relevancia para el caso que ahora resulta pertinente recordar, siquiera sea resumidamente:</w:t>
      </w:r>
    </w:p>
    <w:p w14:paraId="4F648076" w14:textId="77777777" w:rsidR="003754FE" w:rsidRDefault="003754FE" w:rsidP="003754FE">
      <w:pPr>
        <w:pStyle w:val="TextoNormal"/>
      </w:pPr>
    </w:p>
    <w:p w14:paraId="76FE160F" w14:textId="77777777" w:rsidR="003754FE" w:rsidRDefault="003754FE" w:rsidP="003754FE">
      <w:pPr>
        <w:pStyle w:val="TextoNormal"/>
      </w:pPr>
      <w:r>
        <w:t xml:space="preserve">a) El Tribunal Europeo considera que, “[e]ntendido como una garantía procesal en el contexto de un proceso penal, el derecho a la presunción de inocencia establece algunas exigencias y límites en cuanto a […] las declaraciones prematuras del tribunal o de otras autoridades públicas sobre la culpabilidad del acusado” (por todas, STEDH, Gran Sala, de 12 de julio de 2013, asunto </w:t>
      </w:r>
      <w:r w:rsidRPr="003754FE">
        <w:rPr>
          <w:i/>
        </w:rPr>
        <w:t>Allen c. Reino Unido</w:t>
      </w:r>
      <w:r>
        <w:t xml:space="preserve">, § 93). La prohibición del art. 6.2 CEDH se extiende tanto a manifestaciones prematuras por parte del tribunal penal de que la persona inmersa en un proceso penal es culpable, esto es, sin que se haya demostrado que lo es con arreglo a la ley, como a las declaraciones realizadas por otros funcionarios o autoridades sobre investigaciones penales pendientes que inciten al público a creer que el sospechoso es culpable y prejuzguen la evaluación de los hechos por parte de la autoridad judicial competente (por todas, STEDH de 10 de febrero de 1995, asunto </w:t>
      </w:r>
      <w:r w:rsidRPr="003754FE">
        <w:rPr>
          <w:i/>
        </w:rPr>
        <w:t>Allenet de Ribemont c. Francia</w:t>
      </w:r>
      <w:r>
        <w:t>, § 36-37).</w:t>
      </w:r>
    </w:p>
    <w:p w14:paraId="21E0B4BE" w14:textId="77777777" w:rsidR="003754FE" w:rsidRDefault="003754FE" w:rsidP="003754FE">
      <w:pPr>
        <w:pStyle w:val="TextoNormal"/>
      </w:pPr>
    </w:p>
    <w:p w14:paraId="0D049768" w14:textId="77777777" w:rsidR="003754FE" w:rsidRDefault="003754FE" w:rsidP="003754FE">
      <w:pPr>
        <w:pStyle w:val="TextoNormal"/>
      </w:pPr>
      <w:r>
        <w:t>b) En ambos casos, el Tribunal subraya que lo que importa es el significado real de las declaraciones en cuestión, no su literalidad. No es precisa una declaración formal de culpabilidad, sino que basta con que de lo manifestado se desprenda que se considera culpable a la persona (STEDH de 28 de noviembre de 2002, asunt</w:t>
      </w:r>
      <w:r w:rsidRPr="003754FE">
        <w:rPr>
          <w:i/>
        </w:rPr>
        <w:t>o Lavents c. Leton</w:t>
      </w:r>
      <w:r>
        <w:t>ia, § 126).</w:t>
      </w:r>
    </w:p>
    <w:p w14:paraId="6BC48F98" w14:textId="77777777" w:rsidR="003754FE" w:rsidRDefault="003754FE" w:rsidP="003754FE">
      <w:pPr>
        <w:pStyle w:val="TextoNormal"/>
      </w:pPr>
    </w:p>
    <w:p w14:paraId="443765D4" w14:textId="77777777" w:rsidR="003754FE" w:rsidRDefault="003754FE" w:rsidP="003754FE">
      <w:pPr>
        <w:pStyle w:val="TextoNormal"/>
      </w:pPr>
      <w:r>
        <w:t xml:space="preserve">c) La declaración de culpabilidad ulterior no obsta al mantenimiento del derecho a la presunción de inocencia hasta el momento en que se prueba legalmente la culpabilidad, pues el art. 6.2 CEDH rige el proceso penal en su conjunto, con independencia del resultado de la acusación (STEDH de 19 de septiembre de 2006, asunto </w:t>
      </w:r>
      <w:r w:rsidRPr="003754FE">
        <w:rPr>
          <w:i/>
        </w:rPr>
        <w:t>Matijasevic c. Serbia</w:t>
      </w:r>
      <w:r>
        <w:t>, § 49). La posterior condena de un acusado “no puede borrar el derecho inicial a la presunción de inocencia hasta que su culpabilidad haya sido legalmente establecida” (STEDH de 21 de julio de 2015, asunt</w:t>
      </w:r>
      <w:r w:rsidRPr="003754FE">
        <w:rPr>
          <w:i/>
        </w:rPr>
        <w:t>o Neagoe c. Ruman</w:t>
      </w:r>
      <w:r>
        <w:t>ía, § 49).</w:t>
      </w:r>
    </w:p>
    <w:p w14:paraId="6B5EE549" w14:textId="77777777" w:rsidR="003754FE" w:rsidRDefault="003754FE" w:rsidP="003754FE">
      <w:pPr>
        <w:pStyle w:val="TextoNormal"/>
      </w:pPr>
    </w:p>
    <w:p w14:paraId="0EFAF37F" w14:textId="77777777" w:rsidR="003754FE" w:rsidRDefault="003754FE" w:rsidP="003754FE">
      <w:pPr>
        <w:pStyle w:val="TextoNormal"/>
      </w:pPr>
      <w:r>
        <w:lastRenderedPageBreak/>
        <w:t>d) La prohibición de las declaraciones que materialmente, más allá de su tenor literal, sugieran la culpabilidad de quien no ha sido condenado en firme no es incompatible con la posibilidad de que las autoridades informen públicamente sobre los procesos penales en curso, que avala el art. 10 CEDH (</w:t>
      </w:r>
      <w:r w:rsidRPr="003754FE">
        <w:rPr>
          <w:i/>
        </w:rPr>
        <w:t>Neagoe c. Rumanía</w:t>
      </w:r>
      <w:r>
        <w:t>, § 45). Lo que el art. 6.2 CEDH impone es que la información se dé con toda la discreción y prudencia necesarias para respetar la presunción de inocencia (</w:t>
      </w:r>
      <w:r w:rsidRPr="003754FE">
        <w:rPr>
          <w:i/>
        </w:rPr>
        <w:t>Allenet de Ribemont c. Francia</w:t>
      </w:r>
      <w:r>
        <w:t>, § 38), sin acompañar la información con valoraciones, especulaciones o manifestaciones que sugieran la culpabilidad de quien no ha sido aún condenado</w:t>
      </w:r>
      <w:r w:rsidRPr="003754FE">
        <w:rPr>
          <w:i/>
        </w:rPr>
        <w:t xml:space="preserve"> (Neagoe c. Ruman</w:t>
      </w:r>
      <w:r>
        <w:t>ía, § 46 y 48).</w:t>
      </w:r>
    </w:p>
    <w:p w14:paraId="0435AC2C" w14:textId="77777777" w:rsidR="003754FE" w:rsidRDefault="003754FE" w:rsidP="003754FE">
      <w:pPr>
        <w:pStyle w:val="TextoNormal"/>
      </w:pPr>
    </w:p>
    <w:p w14:paraId="20A7879C" w14:textId="77777777" w:rsidR="003754FE" w:rsidRDefault="003754FE" w:rsidP="003754FE">
      <w:pPr>
        <w:pStyle w:val="TextoNormal"/>
      </w:pPr>
      <w:r>
        <w:t>En esta dirección se pronuncia también el art. 4.3 de la Directiva (UE) 2016/343 del Parlamento Europeo y del Consejo, de 9 de marzo de 2016, por la que se refuerzan en el proceso penal determinados aspectos de la presunción de inocencia y el derecho a estar presente en el juicio, al precisar que la obligación de no referirse a los sospechosos o acusados como culpables que establece el art. 4.1 “no impedirá a las autoridades públicas divulgar información sobre el proceso penal cuando sea estrictamente necesario por motivos relacionados con la investigación penal o el interés público”.</w:t>
      </w:r>
    </w:p>
    <w:p w14:paraId="5DD560EA" w14:textId="77777777" w:rsidR="003754FE" w:rsidRDefault="003754FE" w:rsidP="003754FE">
      <w:pPr>
        <w:pStyle w:val="TextoNormal"/>
      </w:pPr>
    </w:p>
    <w:p w14:paraId="6ED9000F" w14:textId="77777777" w:rsidR="003754FE" w:rsidRDefault="003754FE" w:rsidP="003754FE">
      <w:pPr>
        <w:pStyle w:val="TextoNormal"/>
      </w:pPr>
      <w:r>
        <w:t>7.2.2</w:t>
      </w:r>
      <w:r w:rsidRPr="003754FE">
        <w:rPr>
          <w:i/>
        </w:rPr>
        <w:t>. Enjuiciamiento de la que</w:t>
      </w:r>
      <w:r>
        <w:t>ja</w:t>
      </w:r>
    </w:p>
    <w:p w14:paraId="6E9BF04F" w14:textId="77777777" w:rsidR="003754FE" w:rsidRDefault="003754FE" w:rsidP="003754FE">
      <w:pPr>
        <w:pStyle w:val="TextoNormal"/>
      </w:pPr>
    </w:p>
    <w:p w14:paraId="29905526" w14:textId="77777777" w:rsidR="003754FE" w:rsidRDefault="003754FE" w:rsidP="003754FE">
      <w:pPr>
        <w:pStyle w:val="TextoNormal"/>
      </w:pPr>
      <w:r>
        <w:t>A) Puntualizaciones</w:t>
      </w:r>
    </w:p>
    <w:p w14:paraId="4C6CD510" w14:textId="77777777" w:rsidR="003754FE" w:rsidRDefault="003754FE" w:rsidP="003754FE">
      <w:pPr>
        <w:pStyle w:val="TextoNormal"/>
      </w:pPr>
    </w:p>
    <w:p w14:paraId="4DB7D969" w14:textId="77777777" w:rsidR="003754FE" w:rsidRDefault="003754FE" w:rsidP="003754FE">
      <w:pPr>
        <w:pStyle w:val="TextoNormal"/>
      </w:pPr>
      <w:r>
        <w:t>El examen de la queja formulada por el recurrente conforme a los parámetros reseñados requiere efectuar tres puntualizaciones atinentes a la concreta actuación cuestionada y al momento procesal en el que se dice producida la lesión como también ocurría con la queja análoga resuelta en la citada STC 94/2024, FJ 7.2.2 A), a cuyos razonamientos al respecto nos remitimos: (i) no se cuestiona la difusión pública del fallo, sino que se efectuara antes de la notificación íntegra de la sentencia, lo que se valora como una indebida declaración prematura de culpabilidad, de modo que la vulneración denunciada se circunscribe al derecho a la presunción de inocencia como regla de tratamiento; (ii) la prohibición de efectuar manifestaciones que denoten una consideración como culpable de quien aún no ha sido condenado en firme vincula al juez penal competente aun cuando se trate del tribunal penal de casación y en fases anteriores se haya dictado ya una condena; y (iii) el devenir del proceso penal implica ir adoptando decisiones fundadas tanto en la existencia de indicios de comisión de un delito como en la certeza más allá de toda duda razonable de la culpabilidad del sujeto, pronunciamientos que son compatibles con el derecho a la presunción de inocencia, pero en los que debe evitarse reflejar la opinión de que la persona es culpable cuando se asientan en la sospecha de culpabilidad y tienen, incluso si se trata de una condena no firme que afirma la culpabilidad, un componente eventual que solo la firmeza de la resolución confirma, poniendo fin a la exigencia de no tratar a la persona investigada, acusada o condenada como culpable.</w:t>
      </w:r>
    </w:p>
    <w:p w14:paraId="5CAB1B6A" w14:textId="77777777" w:rsidR="003754FE" w:rsidRDefault="003754FE" w:rsidP="003754FE">
      <w:pPr>
        <w:pStyle w:val="TextoNormal"/>
      </w:pPr>
    </w:p>
    <w:p w14:paraId="2627EAC5" w14:textId="77777777" w:rsidR="003754FE" w:rsidRDefault="003754FE" w:rsidP="003754FE">
      <w:pPr>
        <w:pStyle w:val="TextoNormal"/>
      </w:pPr>
      <w:r>
        <w:t>B) Contenido del comunicado de prensa</w:t>
      </w:r>
    </w:p>
    <w:p w14:paraId="41E55BCE" w14:textId="77777777" w:rsidR="003754FE" w:rsidRDefault="003754FE" w:rsidP="003754FE">
      <w:pPr>
        <w:pStyle w:val="TextoNormal"/>
      </w:pPr>
    </w:p>
    <w:p w14:paraId="55329AAC" w14:textId="77777777" w:rsidR="003754FE" w:rsidRDefault="003754FE" w:rsidP="003754FE">
      <w:pPr>
        <w:pStyle w:val="TextoNormal"/>
      </w:pPr>
      <w:r>
        <w:t>La importancia de las expresiones utilizadas en las declaraciones cuestionadas para apreciar una lesión del derecho a la presunción de inocencia obliga a que el examen del motivo parta del contenido y tenor del comunicado de prensa difundido, que a continuación se reproduce:</w:t>
      </w:r>
    </w:p>
    <w:p w14:paraId="5D50A92A" w14:textId="77777777" w:rsidR="003754FE" w:rsidRDefault="003754FE" w:rsidP="003754FE">
      <w:pPr>
        <w:pStyle w:val="TextoNormal"/>
      </w:pPr>
    </w:p>
    <w:p w14:paraId="31C1E590" w14:textId="77777777" w:rsidR="003754FE" w:rsidRDefault="003754FE" w:rsidP="003754FE">
      <w:pPr>
        <w:pStyle w:val="TextoNormal"/>
      </w:pPr>
      <w:r>
        <w:lastRenderedPageBreak/>
        <w:t>“COMUNICADO DE PRENSA</w:t>
      </w:r>
    </w:p>
    <w:p w14:paraId="25646AC6" w14:textId="77777777" w:rsidR="003754FE" w:rsidRDefault="003754FE" w:rsidP="003754FE">
      <w:pPr>
        <w:pStyle w:val="TextoNormal"/>
      </w:pPr>
    </w:p>
    <w:p w14:paraId="59469259" w14:textId="77777777" w:rsidR="003754FE" w:rsidRDefault="003754FE" w:rsidP="003754FE">
      <w:pPr>
        <w:pStyle w:val="TextoNormal"/>
      </w:pPr>
      <w:r>
        <w:t>CASO ERE</w:t>
      </w:r>
    </w:p>
    <w:p w14:paraId="769EBF04" w14:textId="77777777" w:rsidR="003754FE" w:rsidRDefault="003754FE" w:rsidP="003754FE">
      <w:pPr>
        <w:pStyle w:val="TextoNormal"/>
      </w:pPr>
    </w:p>
    <w:p w14:paraId="164ABE11" w14:textId="77777777" w:rsidR="003754FE" w:rsidRDefault="003754FE" w:rsidP="003754FE">
      <w:pPr>
        <w:pStyle w:val="TextoNormal"/>
      </w:pPr>
      <w:r>
        <w:t>El tribunal de la Sala II del Tribunal Supremo compuesto por los/as Excmos/as. Sres/as. magistrados/as don Juan Ramón Berdugo Gómez de la Torre (presidente), doña Ana Ferrer García, doña Susana Polo García, doña Carmen Lamela Díez y don Eduardo de Porres Ortiz de Urbina (ponente) ha concluido la deliberación de los recursos de casación interpuestos contra la sentencia 490/2019, de 19 de noviembre, de la Sección Primera de la Audiencia Provincial de Sevilla (caso ERE).</w:t>
      </w:r>
    </w:p>
    <w:p w14:paraId="238ECE63" w14:textId="77777777" w:rsidR="003754FE" w:rsidRDefault="003754FE" w:rsidP="003754FE">
      <w:pPr>
        <w:pStyle w:val="TextoNormal"/>
      </w:pPr>
    </w:p>
    <w:p w14:paraId="16AFD7F5" w14:textId="77777777" w:rsidR="003754FE" w:rsidRDefault="003754FE" w:rsidP="003754FE">
      <w:pPr>
        <w:pStyle w:val="TextoNormal"/>
      </w:pPr>
      <w:r>
        <w:t>En atención a la relevancia pública del caso y como en otras ocasiones similares el tribunal procede a anticipar el fallo de su sentencia.</w:t>
      </w:r>
    </w:p>
    <w:p w14:paraId="5DD2E342" w14:textId="77777777" w:rsidR="003754FE" w:rsidRDefault="003754FE" w:rsidP="003754FE">
      <w:pPr>
        <w:pStyle w:val="TextoNormal"/>
      </w:pPr>
    </w:p>
    <w:p w14:paraId="4FD3E260" w14:textId="77777777" w:rsidR="003754FE" w:rsidRDefault="003754FE" w:rsidP="003754FE">
      <w:pPr>
        <w:pStyle w:val="TextoNormal"/>
      </w:pPr>
      <w:r>
        <w:t>Estimando totalmente tres recursos de casación y parcialmente uno de ellos y desestimando los restantes recursos, ha acordado por mayoría de sus miembros anular la sentencia de primera instancia, dictando nueva sentencia con los siguientes pronunciamientos:</w:t>
      </w:r>
    </w:p>
    <w:p w14:paraId="3ADA7D3E" w14:textId="77777777" w:rsidR="003754FE" w:rsidRDefault="003754FE" w:rsidP="003754FE">
      <w:pPr>
        <w:pStyle w:val="TextoNormal"/>
      </w:pPr>
    </w:p>
    <w:p w14:paraId="1EA7CC5E" w14:textId="77777777" w:rsidR="003754FE" w:rsidRDefault="003754FE" w:rsidP="003754FE">
      <w:pPr>
        <w:pStyle w:val="TextoNormal"/>
      </w:pPr>
      <w:r>
        <w:t>1. Absolvemos del delito continuado de prevaricación administrativa a don Javier Aguado Hinojal, a don Juan Francisco Sánchez García y a doña Lourdes Medina Varo, declarando de oficio las costas procesales de primera instancia y las derivadas de sus recursos de casación.</w:t>
      </w:r>
    </w:p>
    <w:p w14:paraId="17A8FEED" w14:textId="77777777" w:rsidR="003754FE" w:rsidRDefault="003754FE" w:rsidP="003754FE">
      <w:pPr>
        <w:pStyle w:val="TextoNormal"/>
      </w:pPr>
    </w:p>
    <w:p w14:paraId="26B440B3" w14:textId="77777777" w:rsidR="003754FE" w:rsidRDefault="003754FE" w:rsidP="003754FE">
      <w:pPr>
        <w:pStyle w:val="TextoNormal"/>
      </w:pPr>
      <w:r>
        <w:t>2. Condenamos a don Juan Márquez Contreras, como autor responsable de sendos delitos continuados de malversación de caudales públicos y prevaricación administrativa, en relación de concurso ideal, apreciando la atenuante analógica y muy cualificada de reparación del daño, con la consiguiente reducción de sanciones, imponiéndole la pena de prisión de tres años, con la accesoria de inhabilitación especial para el ejercicio del derecho de sufragio pasivo durante el tiempo de la condena, y la pena de inhabilitación absoluta por tiempo de siete años y seis meses, que conlleva la privación definitiva de todos los honores, empleos y cargos públicos que tuviere el penado o cualesquiera otros honores, cargos o empleos públicos, con imposición de las 2/37 partes de las costas procesales de primera instancia y declarando de oficio las causadas con su recurso de casación.</w:t>
      </w:r>
    </w:p>
    <w:p w14:paraId="12647825" w14:textId="77777777" w:rsidR="003754FE" w:rsidRDefault="003754FE" w:rsidP="003754FE">
      <w:pPr>
        <w:pStyle w:val="TextoNormal"/>
      </w:pPr>
    </w:p>
    <w:p w14:paraId="4A7C12AF" w14:textId="77777777" w:rsidR="003754FE" w:rsidRDefault="003754FE" w:rsidP="003754FE">
      <w:pPr>
        <w:pStyle w:val="TextoNormal"/>
      </w:pPr>
      <w:r>
        <w:t>3. Se mantienen los restantes pronunciamientos de la sentencia impugnada.</w:t>
      </w:r>
    </w:p>
    <w:p w14:paraId="45DAD3F1" w14:textId="77777777" w:rsidR="003754FE" w:rsidRDefault="003754FE" w:rsidP="003754FE">
      <w:pPr>
        <w:pStyle w:val="TextoNormal"/>
      </w:pPr>
    </w:p>
    <w:p w14:paraId="55CB674B" w14:textId="77777777" w:rsidR="003754FE" w:rsidRDefault="003754FE" w:rsidP="003754FE">
      <w:pPr>
        <w:pStyle w:val="TextoNormal"/>
      </w:pPr>
      <w:r>
        <w:t>El texto íntegro de la sentencia será publicado una vez se redacte el voto discrepante anunciado por las excelentísimas señoras magistradas doña Ana Ferrer García y doña Susana Polo García.</w:t>
      </w:r>
    </w:p>
    <w:p w14:paraId="67F36C69" w14:textId="77777777" w:rsidR="003754FE" w:rsidRDefault="003754FE" w:rsidP="003754FE">
      <w:pPr>
        <w:pStyle w:val="TextoNormal"/>
      </w:pPr>
    </w:p>
    <w:p w14:paraId="6BEAF7A7" w14:textId="77777777" w:rsidR="003754FE" w:rsidRDefault="003754FE" w:rsidP="003754FE">
      <w:pPr>
        <w:pStyle w:val="TextoNormal"/>
      </w:pPr>
      <w:r>
        <w:t>En dicho voto se considera que también deberían haber sido estimados parcialmente los recursos interpuestos por don Miguel Ángel Serrano Aguilar, don Jesús María Rodríguez Román, don Francisco Vallejo Serrano, doña Carmen Martínez Aguayo y don José Antonio Griñán Martínez y que, anulada la sentencia de instancia, estos recurrentes deberían haber sido absueltos del delito continuado de malversación de caudales públicos.</w:t>
      </w:r>
    </w:p>
    <w:p w14:paraId="153CFD64" w14:textId="77777777" w:rsidR="003754FE" w:rsidRDefault="003754FE" w:rsidP="003754FE">
      <w:pPr>
        <w:pStyle w:val="TextoNormal"/>
      </w:pPr>
    </w:p>
    <w:p w14:paraId="0C145EF3" w14:textId="77777777" w:rsidR="003754FE" w:rsidRDefault="003754FE" w:rsidP="003754FE">
      <w:pPr>
        <w:pStyle w:val="TextoNormal"/>
      </w:pPr>
      <w:r>
        <w:t>En Madrid, a veintiséis de julio de dos mil veintidós”.</w:t>
      </w:r>
    </w:p>
    <w:p w14:paraId="6BCA6AC5" w14:textId="77777777" w:rsidR="003754FE" w:rsidRDefault="003754FE" w:rsidP="003754FE">
      <w:pPr>
        <w:pStyle w:val="TextoNormal"/>
      </w:pPr>
    </w:p>
    <w:p w14:paraId="6D3A13F9" w14:textId="77777777" w:rsidR="003754FE" w:rsidRDefault="003754FE" w:rsidP="003754FE">
      <w:pPr>
        <w:pStyle w:val="TextoNormal"/>
      </w:pPr>
      <w:r>
        <w:lastRenderedPageBreak/>
        <w:t>C) Desestimación de la queja</w:t>
      </w:r>
    </w:p>
    <w:p w14:paraId="409766A0" w14:textId="77777777" w:rsidR="003754FE" w:rsidRDefault="003754FE" w:rsidP="003754FE">
      <w:pPr>
        <w:pStyle w:val="TextoNormal"/>
      </w:pPr>
    </w:p>
    <w:p w14:paraId="5932827C" w14:textId="77777777" w:rsidR="003754FE" w:rsidRDefault="003754FE" w:rsidP="003754FE">
      <w:pPr>
        <w:pStyle w:val="TextoNormal"/>
      </w:pPr>
      <w:r>
        <w:t>La lectura de la nota reseñada desde la óptica de las exigencias del derecho a la presunción de inocencia como regla de tratamiento conduce a rechazar la existencia de la vulneración denunciada, ya que no existe una manifestación sobre la culpabilidad del demandante que suponga tratarle como autor de los delitos de prevaricación y malversación sin respaldo en una condena conforme a la ley.</w:t>
      </w:r>
    </w:p>
    <w:p w14:paraId="706D5FB0" w14:textId="77777777" w:rsidR="003754FE" w:rsidRDefault="003754FE" w:rsidP="003754FE">
      <w:pPr>
        <w:pStyle w:val="TextoNormal"/>
      </w:pPr>
    </w:p>
    <w:p w14:paraId="69D6403B" w14:textId="77777777" w:rsidR="003754FE" w:rsidRDefault="003754FE" w:rsidP="003754FE">
      <w:pPr>
        <w:pStyle w:val="TextoNormal"/>
      </w:pPr>
      <w:r>
        <w:t>Esa conclusión se asienta, en esencia, en las mismas razones expuestas en la STC 94/2024, FJ 7.2.2 C), a cuyo desarrollo hay que remitirse sin perjuicio de reiterar frente al planteamiento del demandante que la declaración cuestionada constituye una información ofrecida por el órgano competente para resolver el recurso de quien de forma notoria fue condenado en primera instancia en una causa mediática, como se reconoce en la demanda, que da a conocer el resultado desfavorable al respecto una vez se ha deliberado y resuelto, que tiene, a su vez, el efecto de confirmar la condena, ya que con el pronunciamiento se agotan los recursos disponibles para el condenado. En tales circunstancias no puede afirmarse que se trata como culpable a quien no ha sido condenado en firme, pues justamente lo que se anuncia decidido de forma definitiva por el único órgano judicial que así puede hacerlo es la desestimación del recurso de casación que implica la firmeza de la sentencia condenatoria.</w:t>
      </w:r>
    </w:p>
    <w:p w14:paraId="32044D1A" w14:textId="77777777" w:rsidR="003754FE" w:rsidRDefault="003754FE" w:rsidP="003754FE">
      <w:pPr>
        <w:pStyle w:val="TextoNormal"/>
      </w:pPr>
    </w:p>
    <w:p w14:paraId="641289FF" w14:textId="77777777" w:rsidR="003754FE" w:rsidRDefault="003754FE" w:rsidP="003754FE">
      <w:pPr>
        <w:pStyle w:val="TextoNormal"/>
      </w:pPr>
      <w:r>
        <w:t>La ausencia de una previsión legal expresa que contemple la actuación cuestionada no determina la existencia de una lesión de la regla de tratamiento que impone el art. 24.2 CE. La finalidad de la llamada dimensión extraprocesal del derecho a la presunción de inocencia es proteger frente a atribuciones de culpabilidad no fundadas en una condena dictada en un proceso público con todas las garantías, no garantizar la práctica procesal de notificación de la sentencia íntegra que indica la normativa (art. 260.2 LOPJ) sin anticipar el fallo ni emitir un comunicado al respecto, por más que sea la habitual. Debe, en consecuencia, desestimarse la queja.</w:t>
      </w:r>
    </w:p>
    <w:p w14:paraId="0D4DB200" w14:textId="77777777" w:rsidR="003754FE" w:rsidRDefault="003754FE" w:rsidP="003754FE">
      <w:pPr>
        <w:pStyle w:val="TextoNormal"/>
      </w:pPr>
    </w:p>
    <w:p w14:paraId="6D5A0742" w14:textId="77777777" w:rsidR="003754FE" w:rsidRDefault="003754FE" w:rsidP="003754FE">
      <w:pPr>
        <w:pStyle w:val="TextoNormal"/>
      </w:pPr>
      <w:r>
        <w:t xml:space="preserve">7.3. </w:t>
      </w:r>
      <w:r w:rsidRPr="003754FE">
        <w:rPr>
          <w:i/>
        </w:rPr>
        <w:t>Vulneración del derecho a un proceso con todas las garantías y del derecho a la tutela judicial efectiva (art. 24 CE)</w:t>
      </w:r>
    </w:p>
    <w:p w14:paraId="616AE83C" w14:textId="77777777" w:rsidR="003754FE" w:rsidRDefault="003754FE" w:rsidP="003754FE">
      <w:pPr>
        <w:pStyle w:val="TextoNormal"/>
      </w:pPr>
    </w:p>
    <w:p w14:paraId="346C4E3A" w14:textId="77777777" w:rsidR="003754FE" w:rsidRDefault="003754FE" w:rsidP="003754FE">
      <w:pPr>
        <w:pStyle w:val="TextoNormal"/>
      </w:pPr>
      <w:r>
        <w:t>La referida ausencia de cobertura normativa, no obstante, se esgrime también en la demanda desde la perspectiva de la lesión del derecho a un proceso con todas las garantías y el derecho a la tutela judicial efectiva, que la demanda atribuye a la difusión pública del comunicado que anticipa el fallo en tanto que carente de base legal y generadora de indefensión.</w:t>
      </w:r>
    </w:p>
    <w:p w14:paraId="75437AA2" w14:textId="77777777" w:rsidR="003754FE" w:rsidRDefault="003754FE" w:rsidP="003754FE">
      <w:pPr>
        <w:pStyle w:val="TextoNormal"/>
      </w:pPr>
    </w:p>
    <w:p w14:paraId="66D7BAEF" w14:textId="77777777" w:rsidR="003754FE" w:rsidRDefault="003754FE" w:rsidP="003754FE">
      <w:pPr>
        <w:pStyle w:val="TextoNormal"/>
      </w:pPr>
      <w:r>
        <w:t>7.3.1</w:t>
      </w:r>
      <w:r w:rsidRPr="003754FE">
        <w:rPr>
          <w:i/>
        </w:rPr>
        <w:t>. Doctrina sobre el derecho a no padecer indefensi</w:t>
      </w:r>
      <w:r>
        <w:t>ón</w:t>
      </w:r>
    </w:p>
    <w:p w14:paraId="03608248" w14:textId="77777777" w:rsidR="003754FE" w:rsidRDefault="003754FE" w:rsidP="003754FE">
      <w:pPr>
        <w:pStyle w:val="TextoNormal"/>
      </w:pPr>
    </w:p>
    <w:p w14:paraId="50B155E2" w14:textId="77777777" w:rsidR="003754FE" w:rsidRDefault="003754FE" w:rsidP="003754FE">
      <w:pPr>
        <w:pStyle w:val="TextoNormal"/>
      </w:pPr>
      <w:r>
        <w:t xml:space="preserve">En relación con la queja de que se ha producido una irregularidad procesal causante de indefensión, debe tenerse presente que el derecho a la tutela judicial efectiva (art. 24.1 CE) comprende, entre sus múltiples vertientes, el derecho a no sufrir indefensión, que en nuestra jurisprudencia se entiende como un derecho a la defensa contradictoria, se vincula con las garantías del proceso debido reconocidas en el art. 24.2 CE y requiere indefensión material. Así se ha puesto de relieve, entre muchas, en las SSTC 266/2015, de 14 de diciembre, FJ 4; 91/2021, de 22 de abril, FJ 4.4; 121/2021, de 2 de junio, FJ 5.4; o 47/2022, FJ 6.3 A), o </w:t>
      </w:r>
      <w:r>
        <w:lastRenderedPageBreak/>
        <w:t>131/2023, de 23 de octubre, FJ 2, todas ellas atinentes a procesos penales. La STC 94/2024, de 2 de julio, FJ 7.3.1, destacó como extremos relevantes de esta doctrina: (i) que el art. 24 CE garantiza el libre acceso de las partes al proceso en defensa de derechos e intereses legítimos, que, entre otras exigencias, precisa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(STC 186/1990, de 15 de noviembre, FJ 5); y (ii) que la relevancia constitucional de la indefensión prohibida por el art. 24 CE exige indefensión material, de modo que “[n]o basta, pues, la existencia de un defecto procesal si no conlleva la privación o limitación, menoscabo o negación, del derecho a la defensa en un proceso público con todas las garantías ‘en relación con algún interés’ de quien lo invoca” (STC 181/1994, de 20 de junio, FJ 2).</w:t>
      </w:r>
    </w:p>
    <w:p w14:paraId="1FBCDFC8" w14:textId="77777777" w:rsidR="003754FE" w:rsidRDefault="003754FE" w:rsidP="003754FE">
      <w:pPr>
        <w:pStyle w:val="TextoNormal"/>
      </w:pPr>
    </w:p>
    <w:p w14:paraId="0D530E28" w14:textId="77777777" w:rsidR="003754FE" w:rsidRDefault="003754FE" w:rsidP="003754FE">
      <w:pPr>
        <w:pStyle w:val="TextoNormal"/>
      </w:pPr>
      <w:r>
        <w:t>7.3.2</w:t>
      </w:r>
      <w:r w:rsidRPr="003754FE">
        <w:rPr>
          <w:i/>
        </w:rPr>
        <w:t>. Enjuiciamiento de la que</w:t>
      </w:r>
      <w:r>
        <w:t>ja</w:t>
      </w:r>
    </w:p>
    <w:p w14:paraId="6EB63E94" w14:textId="77777777" w:rsidR="003754FE" w:rsidRDefault="003754FE" w:rsidP="003754FE">
      <w:pPr>
        <w:pStyle w:val="TextoNormal"/>
      </w:pPr>
    </w:p>
    <w:p w14:paraId="6BEA33B4" w14:textId="77777777" w:rsidR="003754FE" w:rsidRDefault="003754FE" w:rsidP="003754FE">
      <w:pPr>
        <w:pStyle w:val="TextoNormal"/>
      </w:pPr>
      <w:r>
        <w:t xml:space="preserve">Es cierto que, como subraya el demandante, no existe ningún precepto que autorice expresamente la publicación anticipada del fallo de una sentencia de casación. Y también lo es que las referencias que efectúa el Tribunal Supremo en el auto resolutorio del incidente de nulidad de actuaciones a los arts. 787.6 y 789.2 LECrim (relativos a las sentencias </w:t>
      </w:r>
      <w:r w:rsidRPr="003754FE">
        <w:rPr>
          <w:i/>
        </w:rPr>
        <w:t>in voce</w:t>
      </w:r>
      <w:r>
        <w:t>) no son asimilables, pues no son una habilitación de la publicidad de la anticipación del fallo sin motivación, sino supuestos de notificación de una sentencia con una motivación sucinta. Sin embargo, que esa previsión no exista (y pueda hablarse incluso de irregularidad procesal) no significa que los derechos a la tutela judicial efectiva y a un proceso con todas las garantías se hayan lesionado.</w:t>
      </w:r>
    </w:p>
    <w:p w14:paraId="131787C9" w14:textId="77777777" w:rsidR="003754FE" w:rsidRDefault="003754FE" w:rsidP="003754FE">
      <w:pPr>
        <w:pStyle w:val="TextoNormal"/>
      </w:pPr>
    </w:p>
    <w:p w14:paraId="72F49E33" w14:textId="77777777" w:rsidR="003754FE" w:rsidRDefault="003754FE" w:rsidP="003754FE">
      <w:pPr>
        <w:pStyle w:val="TextoNormal"/>
      </w:pPr>
      <w:r>
        <w:t>En primer lugar, porque no existe una infracción de la normativa procesal en sentido estricto, ni de los preceptos invocados por el recurrente —arts. 160 y 789 LECrim y arts. 248, 266 y 270 LOPJ—, que en ningún caso contemplan una prohibición, ni explícita ni implícita, de anticipar el fallo, sino normas sobre la estructura, contenido, notificación y acceso a las sentencias; ni del art. 260.2 LOPJ. El Tribunal Supremo notifica en septiembre la sentencia íntegra, que se data en su encabezamiento el 13 de septiembre de 2022. Con ello respeta tanto esa última previsión de integración del voto en la sentencia (art. 260.2 LOPJ) como las anteriores citadas en la demanda, relativas a la notificación de las sentencias el día que se firmen o el día siguiente (art. 160 LECrim), a la disposición específica sobre la sentencia en el procedimiento abreviado (art. 768 LECrim), a la estructura (encabezamiento, antecedentes, hechos probados, fundamentos jurídicos y fallo) con que deben formularse las sentencias (art. 248 LOPJ), al depósito y acceso a las mismas (art. 266 LOPJ) y al deber de notificar las resoluciones judiciales a todos los que sean parte en el pleito, puedan verse perjudicados o dispongan las propias resoluciones de conformidad con la ley (art. 270 LOPJ).</w:t>
      </w:r>
    </w:p>
    <w:p w14:paraId="3D2CAB79" w14:textId="77777777" w:rsidR="003754FE" w:rsidRDefault="003754FE" w:rsidP="003754FE">
      <w:pPr>
        <w:pStyle w:val="TextoNormal"/>
      </w:pPr>
    </w:p>
    <w:p w14:paraId="2F3109CB" w14:textId="77777777" w:rsidR="003754FE" w:rsidRDefault="003754FE" w:rsidP="003754FE">
      <w:pPr>
        <w:pStyle w:val="TextoNormal"/>
      </w:pPr>
      <w:r>
        <w:t xml:space="preserve">En segundo lugar y de forma determinante, no puede apreciarse la lesión denunciada, porque no se concreta la indefensión que el recurrente ha sufrido, que se identifica genéricamente y sin ulterior argumento al afirmar que “[l]a simultánea notificación de la condena sin sentencia y proclamación pública general hizo inviable ninguna forma de reacción”. En todo caso, este tribunal no aprecia que el proceder de la sala de casación haya causado al demandante indefensión en el proceso. La sentencia del Tribunal Supremo le fue notificada </w:t>
      </w:r>
      <w:r>
        <w:lastRenderedPageBreak/>
        <w:t>conforme a la ley, iniciándose en ese momento el plazo para agotar las posibilidades de cuestionamiento de la decisión de condena; señaladamente, para formular el incidente de nulidad de actuaciones, que efectivamente planteó y fue resuelto por la Sala de lo Penal. De ninguna manera la actuación judicial cuestionada ha situado al interesado al margen de toda posibilidad de alegar y defender en el proceso sus derechos, por lo que no se aprecia un efecto material de indefensión, con real menoscabo de su derecho de defensa y con el consiguiente perjuicio real y efectivo para sus intereses.</w:t>
      </w:r>
    </w:p>
    <w:p w14:paraId="5D193B5B" w14:textId="77777777" w:rsidR="003754FE" w:rsidRDefault="003754FE" w:rsidP="003754FE">
      <w:pPr>
        <w:pStyle w:val="TextoNormal"/>
      </w:pPr>
    </w:p>
    <w:p w14:paraId="15F710DF" w14:textId="20442BDA" w:rsidR="003754FE" w:rsidRDefault="003754FE" w:rsidP="003754FE">
      <w:pPr>
        <w:pStyle w:val="TextoNormal"/>
      </w:pPr>
      <w:r>
        <w:t>La falta de una infracción formal y de indefensión con relevancia constitucional conduce a desestimar la vulneración del art. 24 CE alegada y, con ello, del último motivo de la demanda de amparo.</w:t>
      </w:r>
    </w:p>
    <w:p w14:paraId="74D4C169" w14:textId="77777777" w:rsidR="003754FE" w:rsidRDefault="003754FE" w:rsidP="003754FE">
      <w:pPr>
        <w:pStyle w:val="TextoNormal"/>
      </w:pPr>
    </w:p>
    <w:p w14:paraId="1ADD0152" w14:textId="77777777" w:rsidR="003754FE" w:rsidRDefault="003754FE" w:rsidP="003754FE">
      <w:pPr>
        <w:pStyle w:val="TextoNormal"/>
      </w:pPr>
      <w:r w:rsidRPr="003754FE">
        <w:rPr>
          <w:rStyle w:val="NumeroAFNegritaCaracter"/>
        </w:rPr>
        <w:t>8</w:t>
      </w:r>
      <w:r>
        <w:t xml:space="preserve">. </w:t>
      </w:r>
      <w:r w:rsidRPr="003754FE">
        <w:rPr>
          <w:i/>
        </w:rPr>
        <w:t>Conclusiones y alcance del fallo</w:t>
      </w:r>
    </w:p>
    <w:p w14:paraId="298B6DE9" w14:textId="77777777" w:rsidR="003754FE" w:rsidRDefault="003754FE" w:rsidP="003754FE">
      <w:pPr>
        <w:pStyle w:val="TextoNormal"/>
      </w:pPr>
    </w:p>
    <w:p w14:paraId="1CE16CAA" w14:textId="77777777" w:rsidR="003754FE" w:rsidRDefault="003754FE" w:rsidP="003754FE">
      <w:pPr>
        <w:pStyle w:val="TextoNormal"/>
      </w:pPr>
      <w:r>
        <w:t>Los argumentos expuestos en los fundamentos jurídicos anteriores determinan que la estimación del presente recuso de amparo despliegue efectos diversos en relación con la condena por delito de malversación de caudales públicos del art. 432 CP y la condena por delito de prevaricación del art. 404 CP.</w:t>
      </w:r>
    </w:p>
    <w:p w14:paraId="54DF807B" w14:textId="77777777" w:rsidR="003754FE" w:rsidRDefault="003754FE" w:rsidP="003754FE">
      <w:pPr>
        <w:pStyle w:val="TextoNormal"/>
      </w:pPr>
    </w:p>
    <w:p w14:paraId="24C58F05" w14:textId="77777777" w:rsidR="003754FE" w:rsidRDefault="003754FE" w:rsidP="003754FE">
      <w:pPr>
        <w:pStyle w:val="TextoNormal"/>
      </w:pPr>
      <w:r>
        <w:t>A) En relación con la condena por “malversación de caudales públicos”, ha de acordarse la íntegra nulidad de las resoluciones impugnadas, sin retroacción alguna, pues los argumentos expresados en los fundamentos jurídicos 5 y 6 de esta resolución ponen de manifiesto que dicha condena carece de todo soporte constitucional como consecuencia de:</w:t>
      </w:r>
    </w:p>
    <w:p w14:paraId="5CE1CD32" w14:textId="77777777" w:rsidR="003754FE" w:rsidRDefault="003754FE" w:rsidP="003754FE">
      <w:pPr>
        <w:pStyle w:val="TextoNormal"/>
      </w:pPr>
    </w:p>
    <w:p w14:paraId="73562CE9" w14:textId="77777777" w:rsidR="003754FE" w:rsidRDefault="003754FE" w:rsidP="003754FE">
      <w:pPr>
        <w:pStyle w:val="TextoNormal"/>
      </w:pPr>
      <w:r>
        <w:t>a) La estimación parcial de la vulneración del derecho a la legalidad penal (art. 25.1 CE) en relación con la subsunción imprevisible en el tipo penal del art. 432 CP de todos los hechos que han motivado la condena por malversación con la sola excepción de los referidos a concretas aplicaciones de fondos públicos sin cobertura en el programa 31L.</w:t>
      </w:r>
    </w:p>
    <w:p w14:paraId="1A9DF756" w14:textId="77777777" w:rsidR="003754FE" w:rsidRDefault="003754FE" w:rsidP="003754FE">
      <w:pPr>
        <w:pStyle w:val="TextoNormal"/>
      </w:pPr>
    </w:p>
    <w:p w14:paraId="0FC05E82" w14:textId="77777777" w:rsidR="003754FE" w:rsidRDefault="003754FE" w:rsidP="003754FE">
      <w:pPr>
        <w:pStyle w:val="TextoNormal"/>
      </w:pPr>
      <w:r>
        <w:t>b) La estimación de la vulneración del derecho a la presunción de inocencia (art. 24.2 CE) respecto de los hechos referidos a concretas aplicaciones de fondos públicos sin cobertura en el programa 31L.</w:t>
      </w:r>
    </w:p>
    <w:p w14:paraId="433EA200" w14:textId="77777777" w:rsidR="003754FE" w:rsidRDefault="003754FE" w:rsidP="003754FE">
      <w:pPr>
        <w:pStyle w:val="TextoNormal"/>
      </w:pPr>
    </w:p>
    <w:p w14:paraId="2478D9EC" w14:textId="77777777" w:rsidR="003754FE" w:rsidRDefault="003754FE" w:rsidP="003754FE">
      <w:pPr>
        <w:pStyle w:val="TextoNormal"/>
      </w:pPr>
      <w:r>
        <w:t>B) En relación con el delito de “prevaricación administrativa” del art. 404 CP, ha de acordarse, en cambio, la nulidad parcial de las resoluciones impugnadas, pues:</w:t>
      </w:r>
    </w:p>
    <w:p w14:paraId="62675D6C" w14:textId="77777777" w:rsidR="003754FE" w:rsidRDefault="003754FE" w:rsidP="003754FE">
      <w:pPr>
        <w:pStyle w:val="TextoNormal"/>
      </w:pPr>
    </w:p>
    <w:p w14:paraId="4B350249" w14:textId="77777777" w:rsidR="003754FE" w:rsidRDefault="003754FE" w:rsidP="003754FE">
      <w:pPr>
        <w:pStyle w:val="TextoNormal"/>
      </w:pPr>
      <w:r>
        <w:t>a) Infringe el derecho a la legalidad penal (art. 25.1 CE) la aplicación que han efectuado los órganos judiciales del art. 404 CP al condenar al recurrente en amparo como autor de un delito continuado de prevaricación (art. 404 CP): (i) por haber intervenido en la elaboración de los anteproyectos de leyes de presupuestos para los años 2005 a 2009; y (ii) por haber participado en la tramitación de las modificaciones presupuestarias correspondientes a los ejercicios de 2005, 2006, 2007 y 2008 en relación con el programa 31L.</w:t>
      </w:r>
    </w:p>
    <w:p w14:paraId="2788D275" w14:textId="77777777" w:rsidR="003754FE" w:rsidRDefault="003754FE" w:rsidP="003754FE">
      <w:pPr>
        <w:pStyle w:val="TextoNormal"/>
      </w:pPr>
    </w:p>
    <w:p w14:paraId="27E08237" w14:textId="77777777" w:rsidR="003754FE" w:rsidRDefault="003754FE" w:rsidP="003754FE">
      <w:pPr>
        <w:pStyle w:val="TextoNormal"/>
      </w:pPr>
      <w:r>
        <w:t>b) No es lesiva del derecho a la legalidad penal (art. 25.1 CE) la condena por delito de prevaricación del recurrente de amparo en relación con su intervención en la aprobación de la modificación presupuestaria de 9 de diciembre de 2004, por la que se incrementaron los créditos correspondientes al programa 32H.</w:t>
      </w:r>
    </w:p>
    <w:p w14:paraId="1E383137" w14:textId="77777777" w:rsidR="003754FE" w:rsidRDefault="003754FE" w:rsidP="003754FE">
      <w:pPr>
        <w:pStyle w:val="TextoNormal"/>
      </w:pPr>
    </w:p>
    <w:p w14:paraId="0625EFA2" w14:textId="62E4EE5B" w:rsidR="003754FE" w:rsidRDefault="003754FE" w:rsidP="003754FE">
      <w:pPr>
        <w:pStyle w:val="TextoNormal"/>
      </w:pPr>
      <w:r>
        <w:lastRenderedPageBreak/>
        <w:t>En consecuencia, el fallo parcialmente estimatorio determina la nulidad de la resoluciones impugnadas y la retroacción del procedimiento al momento anterior al dictado de la sentencia de instancia para que por la Audiencia Provincial de Sevilla se dicte un nuevo pronunciamiento exclusivamente en lo relativo a la posible comisión de un delito de prevaricación administrativa del art. 404 CP derivado de la intervención del recurrente de amparo en la aprobación de la modificación presupuestaria de 9 de diciembre de 2004 para el incremento del crédito presupuestario del programa 32H.</w:t>
      </w:r>
    </w:p>
    <w:p w14:paraId="1D77758F" w14:textId="77777777" w:rsidR="003754FE" w:rsidRDefault="003754FE" w:rsidP="003754FE">
      <w:pPr>
        <w:pStyle w:val="TextoNormal"/>
      </w:pPr>
    </w:p>
    <w:p w14:paraId="6B79079E" w14:textId="77777777" w:rsidR="003754FE" w:rsidRDefault="003754FE" w:rsidP="003754FE">
      <w:pPr>
        <w:pStyle w:val="TextoNormalCentrado"/>
        <w:keepNext/>
      </w:pPr>
      <w:r>
        <w:t>FALLO</w:t>
      </w:r>
    </w:p>
    <w:p w14:paraId="26220672" w14:textId="025E01D5" w:rsidR="003754FE" w:rsidRDefault="003754FE" w:rsidP="003754FE">
      <w:pPr>
        <w:pStyle w:val="TextoNormalCentrado"/>
        <w:keepNext/>
      </w:pPr>
    </w:p>
    <w:p w14:paraId="42A8AF2A" w14:textId="77777777" w:rsidR="003754FE" w:rsidRDefault="003754FE" w:rsidP="003754FE">
      <w:pPr>
        <w:pStyle w:val="TextoNormal"/>
      </w:pPr>
      <w:r>
        <w:t>En atención a todo lo expuesto, el Tribunal Constitucional, por la autoridad que le confiere la Constitución de la Nación española, ha decidido:</w:t>
      </w:r>
    </w:p>
    <w:p w14:paraId="38A04ED5" w14:textId="77777777" w:rsidR="003754FE" w:rsidRDefault="003754FE" w:rsidP="003754FE">
      <w:pPr>
        <w:pStyle w:val="TextoNormal"/>
      </w:pPr>
    </w:p>
    <w:p w14:paraId="47A91FD7" w14:textId="77777777" w:rsidR="003754FE" w:rsidRDefault="003754FE" w:rsidP="003754FE">
      <w:pPr>
        <w:pStyle w:val="TextoNormal"/>
      </w:pPr>
      <w:r>
        <w:t>1º Reconocer que se han vulnerado los derechos fundamentales del recurrente a la legalidad penal (art. 25.1 CE) y a la presunción de inocencia (art. 24.2 CE).</w:t>
      </w:r>
    </w:p>
    <w:p w14:paraId="6C217551" w14:textId="77777777" w:rsidR="003754FE" w:rsidRDefault="003754FE" w:rsidP="003754FE">
      <w:pPr>
        <w:pStyle w:val="TextoNormal"/>
      </w:pPr>
    </w:p>
    <w:p w14:paraId="792EC4BC" w14:textId="77777777" w:rsidR="003754FE" w:rsidRDefault="003754FE" w:rsidP="003754FE">
      <w:pPr>
        <w:pStyle w:val="TextoNormal"/>
      </w:pPr>
      <w:r>
        <w:t>2º. Restablecerle en sus derechos y, a tal fin, declarar la nulidad de la sentencia núm. 490/2019, de 19 de noviembre, dictada por la Sección Primera de la Audiencia Provincial de Sevilla, de la sentencia núm. 749/2022, de 13 de septiembre, de la Sala de lo Penal del Tribunal Supremo y del auto del mismo tribunal de 16 de febrero de 2023, ordenando la retroacción del proceso al momento anterior al dictado de la sentencia de instancia para que por la Audiencia Provincial de Sevilla se dicte un nuevo pronunciamiento respetuoso con los derechos fundamentales vulnerados, en los términos que se indican en el fundamento jurídico 8 de esta sentencia.</w:t>
      </w:r>
    </w:p>
    <w:p w14:paraId="7CF7CC74" w14:textId="77777777" w:rsidR="003754FE" w:rsidRDefault="003754FE" w:rsidP="003754FE">
      <w:pPr>
        <w:pStyle w:val="TextoNormal"/>
      </w:pPr>
    </w:p>
    <w:p w14:paraId="4B641ADB" w14:textId="496B85C3" w:rsidR="003754FE" w:rsidRDefault="003754FE" w:rsidP="003754FE">
      <w:pPr>
        <w:pStyle w:val="TextoNormal"/>
      </w:pPr>
      <w:r>
        <w:t>3º. Desestimar el recurso de amparo en lo restante.</w:t>
      </w:r>
    </w:p>
    <w:p w14:paraId="786A6AE2" w14:textId="77777777" w:rsidR="003754FE" w:rsidRDefault="003754FE" w:rsidP="003754FE">
      <w:pPr>
        <w:pStyle w:val="TextoNormal"/>
      </w:pPr>
    </w:p>
    <w:p w14:paraId="09CB1DD6" w14:textId="77777777" w:rsidR="003754FE" w:rsidRDefault="003754FE" w:rsidP="003754FE">
      <w:pPr>
        <w:pStyle w:val="TextoNormal"/>
      </w:pPr>
      <w:r>
        <w:t>Publíquese esta sentencia en el “Boletín Oficial del Estado”.</w:t>
      </w:r>
    </w:p>
    <w:p w14:paraId="6A8488F7" w14:textId="77777777" w:rsidR="003754FE" w:rsidRDefault="003754FE" w:rsidP="003754FE">
      <w:pPr>
        <w:pStyle w:val="TextoNormal"/>
      </w:pPr>
      <w:r>
        <w:t>Dada en Madrid, a dieciséis de julio de dos mil veinticuatro.</w:t>
      </w:r>
    </w:p>
    <w:p w14:paraId="1EB7C68E" w14:textId="50446286" w:rsidR="003754FE" w:rsidRDefault="003754FE" w:rsidP="003754FE">
      <w:pPr>
        <w:pStyle w:val="ParrafoNormal"/>
      </w:pPr>
    </w:p>
    <w:p w14:paraId="10923E5E" w14:textId="77777777" w:rsidR="003754FE" w:rsidRDefault="003754FE" w:rsidP="003754FE">
      <w:pPr>
        <w:pStyle w:val="TextoNormalNegritaCentrado"/>
        <w:keepNext/>
      </w:pPr>
      <w:r>
        <w:t>Voto particular que formula el magistrado don Ricardo Enríquez Sancho a la sentencia dictada en el recurso de amparo avocado núm. 2119-2023</w:t>
      </w:r>
    </w:p>
    <w:p w14:paraId="5C5D325D" w14:textId="7E61FF76" w:rsidR="003754FE" w:rsidRDefault="003754FE" w:rsidP="003754FE">
      <w:pPr>
        <w:pStyle w:val="TextoNormalNegritaCentrado"/>
        <w:keepNext/>
      </w:pPr>
    </w:p>
    <w:p w14:paraId="65C2066E" w14:textId="77777777" w:rsidR="003754FE" w:rsidRDefault="003754FE" w:rsidP="003754FE">
      <w:pPr>
        <w:pStyle w:val="TextoNormal"/>
      </w:pPr>
      <w:r>
        <w:t>En el ejercicio de la facultad que me confiere el art. 90.2 de la Ley Orgánica del Tribunal Constitucional, y con el máximo respeto a la opinión de los magistrados que han conformado la mayoría del Pleno, formulo el presente voto particular por discrepar de la fundamentación y del fallo de la sentencia recaída en el recurso de amparo avocado por el Pleno núm. 2119-2023, interpuesto por don José Antonio Griñán Martínez, el cual a mi juicio debió ser inadmitido en cuanto a las quejas de vulneración del derecho a la legalidad penal (25.1 CE), por falta de denuncia temporánea de dicha lesión; y en todo caso desestimado porque las sentencias impugnadas no vulneraron el mencionado derecho fundamental, ni tampoco su derecho a la presunción de inocencia (art. 24.2 CE).</w:t>
      </w:r>
    </w:p>
    <w:p w14:paraId="707D7B61" w14:textId="77777777" w:rsidR="003754FE" w:rsidRDefault="003754FE" w:rsidP="003754FE">
      <w:pPr>
        <w:pStyle w:val="TextoNormal"/>
      </w:pPr>
    </w:p>
    <w:p w14:paraId="1AD1003A" w14:textId="77777777" w:rsidR="003754FE" w:rsidRDefault="003754FE" w:rsidP="003754FE">
      <w:pPr>
        <w:pStyle w:val="TextoNormal"/>
      </w:pPr>
      <w:r>
        <w:t xml:space="preserve">Antes de explicar las razones de este voto particular, procede recordar que el Pleno de este tribunal ha dictado ya ocho sentencias en esta serie de recursos de amparo referida a la causa de los “ERE”, en el que se impugnaban las mismas resoluciones que aquí, la sentencia de la Sección Primera de la Audiencia Provincial de Sevilla de 19 de noviembre de 2019, </w:t>
      </w:r>
      <w:r>
        <w:lastRenderedPageBreak/>
        <w:t>confirmada en casación por la sentencia de la Sala de lo Penal del Tribunal Supremo de 13 de septiembre de 2022 (así como el auto de la misma Sala de lo Penal, de 16 de febrero de 2023, que rechazó el incidente de nulidad de actuaciones promovido contra su sentencia). Todos los recurrentes resultaron condenados por el delito de prevaricación (art. 404 CP), y algunos además por el delito de malversación de caudales públicos (art. 432 CP) en concurso medial con aquel otro (como sucede con el aquí recurrente), dada su participación en los hechos probados que las sentencias recurridas subsumen en los mencionados delitos y en virtud del correspondiente juicio de autoría, valiéndose de su condición de altos cargos de la Junta de Andalucía entre los años 2000 a 2009. En el caso del señor Griñán Martínez, fue consejero de Economía y Hacienda de dicho Ejecutivo autonómico entre el 24 de abril de 2004 y el 23 de abril de 2009, y después presidente de la Junta de Andalucía desde el mismo día 23 de abril de 2009 hasta el 7 de septiembre de 2013.</w:t>
      </w:r>
    </w:p>
    <w:p w14:paraId="799323A2" w14:textId="77777777" w:rsidR="003754FE" w:rsidRDefault="003754FE" w:rsidP="003754FE">
      <w:pPr>
        <w:pStyle w:val="TextoNormal"/>
      </w:pPr>
    </w:p>
    <w:p w14:paraId="1152507E" w14:textId="77777777" w:rsidR="003754FE" w:rsidRDefault="003754FE" w:rsidP="003754FE">
      <w:pPr>
        <w:pStyle w:val="TextoNormal"/>
      </w:pPr>
      <w:r>
        <w:t>La sentencia recaída en el recurso de amparo avocado núm. 2119-2023 de la que ahora discrepo, despliega los mismos razonamientos que ya ha utilizado el Pleno en otras sentencias de esta serie para estimar, total o en su caso parcialmente, las quejas que aquí se plantean. En concreto: (i) a partir de la STC 93/2024, de 19 de junio (recurso de amparo avocado núm. 6971-2022, recurrente doña Magdalena Álvarez Arza), por lo que se refiere al enjuiciamiento de la queja por vulneración del derecho fundamental a la legalidad penal (art. 25.1 CE), tanto respecto de la condena por el delito de prevaricación (único por el que resultó condenada la señora Álvarez Arza), como en sentencias posteriores dictadas por el Pleno los días 2 y 3 de este mismo mes de julio, respecto del delito de malversación por el que también fueron condenados otros recurrentes; y (ii) en la STC 94/2024, de 2 de julio (recurso de amparo avocado núm. 2136-2023, recurrente don Miguel Ángel Serrano Aguilar), por lo que atañe al enjuiciamiento de la queja por vulneración del derecho a la presunción de inocencia (art. 24.2 CE).</w:t>
      </w:r>
    </w:p>
    <w:p w14:paraId="38498CCA" w14:textId="77777777" w:rsidR="003754FE" w:rsidRDefault="003754FE" w:rsidP="003754FE">
      <w:pPr>
        <w:pStyle w:val="TextoNormal"/>
      </w:pPr>
    </w:p>
    <w:p w14:paraId="32858A06" w14:textId="77777777" w:rsidR="003754FE" w:rsidRDefault="003754FE" w:rsidP="003754FE">
      <w:pPr>
        <w:pStyle w:val="TextoNormal"/>
      </w:pPr>
      <w:r>
        <w:t>Con la fundamentación y el fallo de la STC 93/2024 manifesté mi disconformidad en un voto conjunto firmado con mis compañeros magistrados don Enrique Arnaldo Alcubilla y doña Concepción Espejel Jorquera; mientras que de la fundamentación y el fallo de la STC 94/2024, hice lo propio en un voto particular formulado a su vez a esta última. Así lo he hecho también en las demás sentencias de la serie ya dictadas, con relación a estas mismas quejas. Constatado que la sentencia que ahora nos ocupa bebe directamente de los postulados que se contienen en aquellas otras dos, debo por fuerza reiterarme en las razones que ya he ofrecido para cuestionar su corrección y acierto, y que expondré de nuevo con detalle en este voto particular. No sin antes referirme a la indebida desestimación del óbice procesal opuesto por una de las partes personadas en este proceso de amparo.</w:t>
      </w:r>
    </w:p>
    <w:p w14:paraId="2EA709C0" w14:textId="77777777" w:rsidR="003754FE" w:rsidRDefault="003754FE" w:rsidP="003754FE">
      <w:pPr>
        <w:pStyle w:val="TextoNormal"/>
      </w:pPr>
    </w:p>
    <w:p w14:paraId="4DE3FB6F" w14:textId="77777777" w:rsidR="003754FE" w:rsidRDefault="003754FE" w:rsidP="003754FE">
      <w:pPr>
        <w:pStyle w:val="TextoNormal"/>
      </w:pPr>
      <w:r>
        <w:t xml:space="preserve">1. </w:t>
      </w:r>
      <w:r w:rsidRPr="003754FE">
        <w:rPr>
          <w:i/>
        </w:rPr>
        <w:t>Las quejas por vulneración del derecho a la legalidad penal (art. 25.1 CE) debieron inadmitirse por incumplimiento del requisito de invocación temporánea de la lesión en la vía judicial previa</w:t>
      </w:r>
    </w:p>
    <w:p w14:paraId="145A8698" w14:textId="77777777" w:rsidR="003754FE" w:rsidRDefault="003754FE" w:rsidP="003754FE">
      <w:pPr>
        <w:pStyle w:val="TextoNormal"/>
      </w:pPr>
    </w:p>
    <w:p w14:paraId="45CDCDD9" w14:textId="77777777" w:rsidR="003754FE" w:rsidRDefault="003754FE" w:rsidP="003754FE">
      <w:pPr>
        <w:pStyle w:val="TextoNormal"/>
      </w:pPr>
      <w:r>
        <w:t xml:space="preserve">a) La representación procesal del Partido Popular opuso en su escrito de alegaciones del trámite del art. 52 LOTC, la excepción de inadmisibilidad consistente en el incumplimiento de la exigencia del art. 44.1 c) de nuestra Ley Orgánica reguladora, esto es: “Que se haya denunciado formalmente en el proceso, si hubo oportunidad, la vulneración del derecho constitucional tan pronto como, una vez conocida, hubiera lugar para ello”. Así, respecto de la queja de la demanda de amparo por la vulneración por la sentencia de instancia del </w:t>
      </w:r>
      <w:r>
        <w:lastRenderedPageBreak/>
        <w:t>derecho fundamental a la legalidad penal (art. 25.1 CE) del recurrente, queja por tanto que este debió invocar ya en su recurso de casación para que fuera reparado su derecho por la Sala de lo Penal del Tribunal Supremo, se señala con relación a la condena por el delito de prevaricación, que “[n]o encontramos la mención del principio de legalidad penal ni su invocación desde la perspectiva ahora planteada” en dicho escrito de casación. Y respecto de la condena por el delito de malversación, sin descartar que concurra el mismo óbice dice que “difícil resulta de comprobar dado que la sistemática y contenido del recurso de casación, y luego, del incidente de nulidad de actuaciones, no guardan correlación con esta construcción en amparo”.</w:t>
      </w:r>
    </w:p>
    <w:p w14:paraId="6A9B5B19" w14:textId="77777777" w:rsidR="003754FE" w:rsidRDefault="003754FE" w:rsidP="003754FE">
      <w:pPr>
        <w:pStyle w:val="TextoNormal"/>
      </w:pPr>
    </w:p>
    <w:p w14:paraId="18C174C6" w14:textId="77777777" w:rsidR="003754FE" w:rsidRDefault="003754FE" w:rsidP="003754FE">
      <w:pPr>
        <w:pStyle w:val="TextoNormal"/>
      </w:pPr>
      <w:r>
        <w:t>La sentencia de la que discrepo desestima el óbice alegado en el fundamento jurídico 1.2, reconociendo que si bien “la argumentación del recurso de casación no es igual que la expuesta en el recurso de amparo”, es suficiente no obstante para considerar invocada la vulneración del art. 25.1 CE, el hecho de que el recurrente en su escrito de casación reprochó a la sentencia de la Audiencia Provincial el “haber considerado constitutivo del delito de prevaricación actuaciones como son la elaboración del anteproyecto de la ley de presupuestos y la tramitación de modificaciones presupuestarias, que no pueden considerarse como una ‘resolución’ recaída en ‘asunto administrativo’, al entender que esa interpretación desborda las previsiones del tipo legal de este delito”. Es suficiente, añade, para que el Tribunal Supremo pudiera examinar la queja bajo la perspectiva de vulneración del “principio de legalidad penal que consagra el art. 25.1 CE”.</w:t>
      </w:r>
    </w:p>
    <w:p w14:paraId="14F75DDE" w14:textId="77777777" w:rsidR="003754FE" w:rsidRDefault="003754FE" w:rsidP="003754FE">
      <w:pPr>
        <w:pStyle w:val="TextoNormal"/>
      </w:pPr>
    </w:p>
    <w:p w14:paraId="72205DE1" w14:textId="77777777" w:rsidR="003754FE" w:rsidRDefault="003754FE" w:rsidP="003754FE">
      <w:pPr>
        <w:pStyle w:val="TextoNormal"/>
      </w:pPr>
      <w:r>
        <w:t>b) El óbice a mi juicio debió ser estimado. No es que la sistemática de los escritos de casación y de la demanda de amparo difieran, es que el primero de ellos no contiene una mínima fundamentación de por qué se habría producido la lesión constitucional que por vez primera se esgrime en el escrito de nulidad de actuaciones contra la sentencia de la Sala de lo Penal del Tribunal Supremo. Que nuestra doctrina sobre el cumplimiento del art. 44.1 c) LOTC, citada por la sentencia de la que discrepo, permita una flexibilidad en cuanto a los aspectos formales de la invocación, no implica en todo caso suprimir la carga de todo recurrente de tener que suministrar al órgano judicial los elementos de juicio necesarios para considerar que el error que se achaca a la resolución impugnada tiene relevancia constitucional y no solo de legalidad ordinaria pues afecta al contenido esencial del derecho fundamental de que se trate, tal y como ha sido definido por este tribunal. En el caso del art. 25.1 CE, por la doctrina que trae el fundamento jurídico 3 de la propia sentencia.</w:t>
      </w:r>
    </w:p>
    <w:p w14:paraId="4E318631" w14:textId="77777777" w:rsidR="003754FE" w:rsidRDefault="003754FE" w:rsidP="003754FE">
      <w:pPr>
        <w:pStyle w:val="TextoNormal"/>
      </w:pPr>
    </w:p>
    <w:p w14:paraId="1B57094D" w14:textId="77777777" w:rsidR="003754FE" w:rsidRDefault="003754FE" w:rsidP="003754FE">
      <w:pPr>
        <w:pStyle w:val="TextoNormal"/>
      </w:pPr>
      <w:r>
        <w:t xml:space="preserve">En el recurso de casación del recurrente se incluye un primer motivo por “infracción de ley al amparo del artículo 849.1 LECrim”, tanto por aplicación indebida del art. 404 CP (motivo I primero), como por la aplicación indebida del art. 432 CP (motivo I segundo), en el que se ofrecen las razones por las que considera que los hechos probados no son subsumibles en ambos delitos, cuestión esta de legalidad ordinaria. No solo no se invoca nominalmente el derecho del art. 25.1 CE (disculpable), sino que no se explica sobre todo por qué el razonamiento de la sentencia de instancia incurre en algunas de las modalidades de vulneración de aquel derecho fundamental según nuestra reiterada doctrina. Por qué, en definitiva, esa subsunción de los hechos atribuidos al recurrente, en las correspondientes normas penales (arts. 404 y 432 CP), resulta “por su soporte metodológico —una argumentación ilógica o indiscutiblemente extravagante— o axiológico —una base valorativa ajena a los criterios que informan nuestro ordenamiento constitucional—”, de modo que conduce “a soluciones esencialmente opuestas a la orientación material de la norma y, por ello, </w:t>
      </w:r>
      <w:r>
        <w:lastRenderedPageBreak/>
        <w:t>imprevisibles para sus destinatarios”, que como recuerda la sentencia de la que ahora discrepo, es lo que venimos exigiendo para declarar cometida la vulneración de ese derecho.</w:t>
      </w:r>
    </w:p>
    <w:p w14:paraId="7F17435D" w14:textId="77777777" w:rsidR="003754FE" w:rsidRDefault="003754FE" w:rsidP="003754FE">
      <w:pPr>
        <w:pStyle w:val="TextoNormal"/>
      </w:pPr>
    </w:p>
    <w:p w14:paraId="5B52C824" w14:textId="77777777" w:rsidR="003754FE" w:rsidRDefault="003754FE" w:rsidP="003754FE">
      <w:pPr>
        <w:pStyle w:val="TextoNormal"/>
      </w:pPr>
      <w:r>
        <w:t xml:space="preserve">c) Ciertamente, como dice el fundamento jurídico 1.2, el escrito de casación negó que la actividad de preparación de anteproyectos de leyes de presupuestos, o la relativa a modificaciones presupuestarias, pudiera considerarse una “resolución” recaída en “asunto administrativo” </w:t>
      </w:r>
      <w:r w:rsidRPr="003754FE">
        <w:rPr>
          <w:i/>
        </w:rPr>
        <w:t>ex</w:t>
      </w:r>
      <w:r>
        <w:t xml:space="preserve"> art. 404 CP. Pero lo adujo en todo momento desde el plano de la legalidad ordinaria, sin cuestionar la falta de racionalidad o la ausencia de respeto al elemento axiológico propio de ese delito en la argumentación judicial que llevaba a esa subsunción, manifestando simplemente el recurso de casación que aquellos actos “no son subsumibles” ni en el delito de prevaricación (pág. 105 del escrito), ni en el de malversación (pág. 157). No dijo el escrito, como indica la sentencia de la que discrepo, que la interpretación judicial “desborda las previsiones del tipo legal de este delito”.</w:t>
      </w:r>
    </w:p>
    <w:p w14:paraId="30AE4B68" w14:textId="77777777" w:rsidR="003754FE" w:rsidRDefault="003754FE" w:rsidP="003754FE">
      <w:pPr>
        <w:pStyle w:val="TextoNormal"/>
      </w:pPr>
    </w:p>
    <w:p w14:paraId="669F1318" w14:textId="77777777" w:rsidR="003754FE" w:rsidRDefault="003754FE" w:rsidP="003754FE">
      <w:pPr>
        <w:pStyle w:val="TextoNormal"/>
      </w:pPr>
      <w:r>
        <w:t>La mera identificación de los hechos probados que se entiende que han sido erróneamente calificados como delitos, no satisface lógicamente por sí misma la carga de argumentar que se ha producido no un simple error jurídico, sino la conculcación del derecho fundamental del art. 25.1 CE, que es de lo que aquí se trata. Esa carga sí se levanta en el escrito de nulidad de actuaciones contra la sentencia de casación (resolución esta que sin embargo no causa en origen la lesión) y después en la demanda de amparo, pero no evita que se haya ya producido el óbice insubsanable del incumplimiento de la invocación temporánea de la lesión del derecho [art. 44.1 c) LOTC], para que pudiera ser reparado en la sentencia de casación.</w:t>
      </w:r>
    </w:p>
    <w:p w14:paraId="15221006" w14:textId="77777777" w:rsidR="003754FE" w:rsidRDefault="003754FE" w:rsidP="003754FE">
      <w:pPr>
        <w:pStyle w:val="TextoNormal"/>
      </w:pPr>
    </w:p>
    <w:p w14:paraId="3E483A4B" w14:textId="77777777" w:rsidR="003754FE" w:rsidRDefault="003754FE" w:rsidP="003754FE">
      <w:pPr>
        <w:pStyle w:val="TextoNormal"/>
      </w:pPr>
      <w:r>
        <w:t>La tesis que ahora aplica la sentencia de la que discrepo conduce materialmente a equiparar el motivo de casación por infracción de ley del art. 849.1 LECrim, con la vulneración del principio de legalidad penal del art. 25.1 CE, lo que resulta inasumible con arreglo, insisto, a la doctrina reiterada de este tribunal sobre el contenido de este derecho fundamental. Quedan así desdibujados los límites entre la legalidad ordinaria y la constitucional, provocando un efecto-llamada para que en virtud de la “doctrina” que así se fija, pueda a partir de ahora alegarse en las demandas de amparo ante este tribunal la lesión del art. 25.1 CE, debido a la mera desestimación en casación del motivo de infracción de ley del art. 849.1 LECrim.</w:t>
      </w:r>
    </w:p>
    <w:p w14:paraId="027D884D" w14:textId="77777777" w:rsidR="003754FE" w:rsidRDefault="003754FE" w:rsidP="003754FE">
      <w:pPr>
        <w:pStyle w:val="TextoNormal"/>
      </w:pPr>
    </w:p>
    <w:p w14:paraId="0B3FE11A" w14:textId="77777777" w:rsidR="003754FE" w:rsidRDefault="003754FE" w:rsidP="003754FE">
      <w:pPr>
        <w:pStyle w:val="TextoNormal"/>
      </w:pPr>
      <w:r>
        <w:t>Tampoco cabe considerar levantada dicha carga procesal en el motivo cuarto del escrito de casación del recurrente, en fin, en el que se alega la “[i]nfracción de precepto constitucional al amparo del artículo 852 LECrim y del artículo 5.4 LOPJ”, con cita de varios derechos fundamentales, también del “principio de legalidad”, pero sin desarrollo luego de argumentación alguna al respecto, centrado realmente el motivo en la denuncia de vulneración del derecho a la presunción de inocencia.</w:t>
      </w:r>
    </w:p>
    <w:p w14:paraId="4382169D" w14:textId="77777777" w:rsidR="003754FE" w:rsidRDefault="003754FE" w:rsidP="003754FE">
      <w:pPr>
        <w:pStyle w:val="TextoNormal"/>
      </w:pPr>
    </w:p>
    <w:p w14:paraId="4A4F44FB" w14:textId="77777777" w:rsidR="003754FE" w:rsidRDefault="003754FE" w:rsidP="003754FE">
      <w:pPr>
        <w:pStyle w:val="TextoNormal"/>
      </w:pPr>
      <w:r>
        <w:t>La estimación del óbice opuesto por la parte personada en este recurso, debió por tanto traer consigo la inadmisión de las quejas de la demanda por lesión del derecho del art. 25.1 CE, en cuanto a la condena al recurrente por los delitos de prevaricación y malversación, resultando de aplicación nuestra reiterada doctrina acerca de la posibilidad de efectuar el control de los óbices de procedibilidad del recurso de amparo incluso en el trámite de sentencia (últimamente, SSTC 79/2023, de 3 de julio, FJ 2; 22/2024, de 12 de febrero, FJ 2, y 53/2024, de 8 de abril, FJ 2).</w:t>
      </w:r>
    </w:p>
    <w:p w14:paraId="1291A176" w14:textId="77777777" w:rsidR="003754FE" w:rsidRDefault="003754FE" w:rsidP="003754FE">
      <w:pPr>
        <w:pStyle w:val="TextoNormal"/>
      </w:pPr>
    </w:p>
    <w:p w14:paraId="2FF7DC7D" w14:textId="77777777" w:rsidR="003754FE" w:rsidRDefault="003754FE" w:rsidP="003754FE">
      <w:pPr>
        <w:pStyle w:val="TextoNormal"/>
      </w:pPr>
      <w:r>
        <w:t xml:space="preserve">2. </w:t>
      </w:r>
      <w:r w:rsidRPr="003754FE">
        <w:rPr>
          <w:i/>
        </w:rPr>
        <w:t>En cuanto al fondo. Sobre la estimación parcial de la queja por vulneración del principio de legalidad penal (art. 25.1 CE) al condenar al recurrente por el delito de prevaricación</w:t>
      </w:r>
    </w:p>
    <w:p w14:paraId="70F762F2" w14:textId="77777777" w:rsidR="003754FE" w:rsidRDefault="003754FE" w:rsidP="003754FE">
      <w:pPr>
        <w:pStyle w:val="TextoNormal"/>
      </w:pPr>
    </w:p>
    <w:p w14:paraId="398010E3" w14:textId="77777777" w:rsidR="003754FE" w:rsidRDefault="003754FE" w:rsidP="003754FE">
      <w:pPr>
        <w:pStyle w:val="TextoNormal"/>
      </w:pPr>
      <w:r>
        <w:t>La sentencia de la que ahora discrepo declara, en su fundamento jurídico 4.4, que las resoluciones recurridas han infringido el derecho a la legalidad penal (art. 25.1 CE) del recurrente por haberle condenado por un delito continuado de prevaricación del art. 404 CP: (i) al haber intervenido en la elaboración de los anteproyectos de leyes de presupuestos para los años 2005 a 2009; actividad que no puede reputarse como “resolución” dictada “en asunto administrativo” y “arbitraria”, en orden a su incardinación en aquel tipo penal [FJ 4.4 A)]; y (ii) al haber participado en la tramitación de determinadas modificaciones presupuestarias correspondientes a los ejercicios de 2005, 2006, 2007 y 2008, con cobertura en el programa 31L; actuación esta que si bien sí puede calificarse como “resolución” dictada “en asunto administrativo”, no reviste sin embargo la ilegalidad manifiesta (arbitrariedad) propia del referido tipo penal [FJ 4.4 B)].</w:t>
      </w:r>
    </w:p>
    <w:p w14:paraId="1224DB54" w14:textId="77777777" w:rsidR="003754FE" w:rsidRDefault="003754FE" w:rsidP="003754FE">
      <w:pPr>
        <w:pStyle w:val="TextoNormal"/>
      </w:pPr>
    </w:p>
    <w:p w14:paraId="0DE8A4AD" w14:textId="77777777" w:rsidR="003754FE" w:rsidRDefault="003754FE" w:rsidP="003754FE">
      <w:pPr>
        <w:pStyle w:val="TextoNormal"/>
      </w:pPr>
      <w:r>
        <w:t>Esta línea de argumentación de la sentencia ahora dictada, que como ya he indicado antes viene utilizándose desde la STC 93/2024, no resulta sostenible tampoco aquí a la luz de las siguientes consideraciones:</w:t>
      </w:r>
    </w:p>
    <w:p w14:paraId="3B0A47FF" w14:textId="77777777" w:rsidR="003754FE" w:rsidRDefault="003754FE" w:rsidP="003754FE">
      <w:pPr>
        <w:pStyle w:val="TextoNormal"/>
      </w:pPr>
    </w:p>
    <w:p w14:paraId="5EC9A80D" w14:textId="77777777" w:rsidR="003754FE" w:rsidRDefault="003754FE" w:rsidP="003754FE">
      <w:pPr>
        <w:pStyle w:val="TextoNormal"/>
      </w:pPr>
      <w:r>
        <w:t xml:space="preserve">2.1. </w:t>
      </w:r>
      <w:r w:rsidRPr="003754FE">
        <w:rPr>
          <w:i/>
        </w:rPr>
        <w:t>La elaboración de anteproyectos y proyectos de leyes puede ser considerada “asunto administrativo” por la jurisdicción penal</w:t>
      </w:r>
    </w:p>
    <w:p w14:paraId="4772269F" w14:textId="77777777" w:rsidR="003754FE" w:rsidRDefault="003754FE" w:rsidP="003754FE">
      <w:pPr>
        <w:pStyle w:val="TextoNormal"/>
      </w:pPr>
    </w:p>
    <w:p w14:paraId="64A8AB80" w14:textId="77777777" w:rsidR="003754FE" w:rsidRDefault="003754FE" w:rsidP="003754FE">
      <w:pPr>
        <w:pStyle w:val="TextoNormal"/>
      </w:pPr>
      <w:r>
        <w:t>La idea que informa esta parte de la sentencia es que la actividad previa a la remisión por el Gobierno de Andalucía a su Parlamento de los correspondientes proyectos de leyes de presupuestos es una actividad que, como inherente a la iniciativa legislativa que le corresponde, se integra en esta y no puede ser objeto de control jurídico. Niega, en consecuencia, que toda la actividad tendente a la elaboración de los anteproyectos de leyes que luego se convertirán en proyectos remitidos al Parlamento pueda considerarse integrante de un procedimiento administrativo y, por consiguiente, que las decisiones que se adoptan en ese ámbito puedan calificarse como resoluciones recaídas en un “asunto administrativo” que es el término que emplea el art. 404 CP [FJ 4.4 A a)], presupuesto del que parten la sentencias de la Audiencia Provincial y del Tribunal Supremo para fundar la condena por prevaricación del recurrente.</w:t>
      </w:r>
    </w:p>
    <w:p w14:paraId="5B495E63" w14:textId="77777777" w:rsidR="003754FE" w:rsidRDefault="003754FE" w:rsidP="003754FE">
      <w:pPr>
        <w:pStyle w:val="TextoNormal"/>
      </w:pPr>
    </w:p>
    <w:p w14:paraId="247A592A" w14:textId="77777777" w:rsidR="003754FE" w:rsidRDefault="003754FE" w:rsidP="003754FE">
      <w:pPr>
        <w:pStyle w:val="TextoNormal"/>
      </w:pPr>
      <w:r>
        <w:t>Las sentencias impugnadas no se refieren tanto a las leyes de presupuestos aprobadas por el Parlamento de Andalucía en los años 2002 a 2009 (ejercicios 2005 a 2009, por lo que se refiere al recurrente) como a los trabajos preparatorios de esas leyes, y esa actividad prelegislativa tiene, a mi juicio, inequívoca naturaleza administrativa. Así se desprende también de lo expresado en los arts. 26 y ss. de la Ley 50/1997, del Gobierno; de los arts. 127 y ss. de la Ley 39/2015, de 1 de octubre, del procedimiento administrativo común de las administraciones públicas, y hasta de la STC 55/2018, de 24 de mayo, que resolvió el recurso de inconstitucionalidad interpuesto por el Gobierno de la Generalitat de Cataluña, entre otros, contra esos artículos de esta última ley.</w:t>
      </w:r>
    </w:p>
    <w:p w14:paraId="267EABCF" w14:textId="77777777" w:rsidR="003754FE" w:rsidRDefault="003754FE" w:rsidP="003754FE">
      <w:pPr>
        <w:pStyle w:val="TextoNormal"/>
      </w:pPr>
    </w:p>
    <w:p w14:paraId="769E0EB2" w14:textId="77777777" w:rsidR="003754FE" w:rsidRDefault="003754FE" w:rsidP="003754FE">
      <w:pPr>
        <w:pStyle w:val="TextoNormal"/>
      </w:pPr>
      <w:r>
        <w:t xml:space="preserve">La Ley 50/1997, del Gobierno, contiene una extensa regulación de cómo deben tramitarse los anteproyectos de leyes antes de su elevación al Consejo de Ministros y de la </w:t>
      </w:r>
      <w:r>
        <w:lastRenderedPageBreak/>
        <w:t>remisión por este de los proyectos de leyes subsiguientes al Parlamento. Es cierto que esta ley se refiere al Gobierno de la Nación y no al de las comunidades autónomas, pero sería absurdo sostener que estos trabajos preparatorios tienen una doble naturaleza, “administrativa” cuando los lleva a cabo la administración del Estado, y “no administrativa” o “legislativa” cuando se trata de las comunidades autónomas.</w:t>
      </w:r>
    </w:p>
    <w:p w14:paraId="1F359FEB" w14:textId="77777777" w:rsidR="003754FE" w:rsidRDefault="003754FE" w:rsidP="003754FE">
      <w:pPr>
        <w:pStyle w:val="TextoNormal"/>
      </w:pPr>
    </w:p>
    <w:p w14:paraId="5E6EDF1F" w14:textId="77777777" w:rsidR="003754FE" w:rsidRDefault="003754FE" w:rsidP="003754FE">
      <w:pPr>
        <w:pStyle w:val="TextoNormal"/>
      </w:pPr>
      <w:r>
        <w:t>La Ley 39/2015, del procedimiento administrativo común, sí se refiere a todas las administraciones públicas, también a las comunidades autónomas, remitiendo a lo que dispongan sus estatutos de autonomía en cuanto a los órganos a quienes corresponde la iniciativa legislativa, pero estableciendo con la naturaleza de “bases del régimen jurídico de las administraciones públicas y […] procedimiento administrativo común” (art. 149.1.18 CE) algunas indicaciones generales de buena regulación.</w:t>
      </w:r>
    </w:p>
    <w:p w14:paraId="6E7F3CDE" w14:textId="77777777" w:rsidR="003754FE" w:rsidRDefault="003754FE" w:rsidP="003754FE">
      <w:pPr>
        <w:pStyle w:val="TextoNormal"/>
      </w:pPr>
    </w:p>
    <w:p w14:paraId="7E446B62" w14:textId="77777777" w:rsidR="003754FE" w:rsidRDefault="003754FE" w:rsidP="003754FE">
      <w:pPr>
        <w:pStyle w:val="TextoNormal"/>
      </w:pPr>
      <w:r>
        <w:t>Estos preceptos fueron impugnados por el Gobierno de la Generalitat de Cataluña y la STC 55/2018 estimó el recurso, pero no porque esa actividad previa a la remisión de un proyecto de ley a las Cortes Generales o a las diferentes asambleas legislativas autonómicas —en aquel caso al Parlament de Cataluña— se integrara en la actividad legislativa, sino porque se trata de una actividad propia de las comunidades autónomas “[o]rganización de sus instituciones de autogobierno” (art. 148.1.1 CE) y el Estatuto de Autonomía de Cataluña (arts. 150 y 159) reconocía a la Generalitat competencia para regular su propia organización y procedimiento, por más que en algunos casos esas directrices contenidas en el art. 129 de la Ley 39/2015 fueran coincidentes con las desarrolladas por la legislación autonómica.</w:t>
      </w:r>
    </w:p>
    <w:p w14:paraId="0DDF7015" w14:textId="77777777" w:rsidR="003754FE" w:rsidRDefault="003754FE" w:rsidP="003754FE">
      <w:pPr>
        <w:pStyle w:val="TextoNormal"/>
      </w:pPr>
    </w:p>
    <w:p w14:paraId="37873838" w14:textId="77777777" w:rsidR="003754FE" w:rsidRDefault="003754FE" w:rsidP="003754FE">
      <w:pPr>
        <w:pStyle w:val="TextoNormal"/>
      </w:pPr>
      <w:r>
        <w:t>Esa actividad que el Tribunal Supremo llama “prelegislativa” es, para la STC 55/2018, propia de un procedimiento administrativo, aunque sobre ella el legislador estatal no pueda intervenir por la vía del art. 149.1.18 CE. El Estado no puede regularla bajo el título del procedimiento administrativo “común” (art. 149.1.18 CE), pero es “procedimiento administrativo”. Por eso tras la STC 55/2018 esas normas siguen siendo de aplicación al procedimiento prelegislativo estatal. Una cosa es que la jurisdicción contencioso-administrativa venga declarando que esa actividad no constituye un acto impugnable ante ella y otra que, como dice la sentencia de la que discrepo, esa actividad “no pued[a] ser objeto de control por ningún órgano judicial” [FJ 4.4 A)].</w:t>
      </w:r>
    </w:p>
    <w:p w14:paraId="4FD2AB9D" w14:textId="77777777" w:rsidR="003754FE" w:rsidRDefault="003754FE" w:rsidP="003754FE">
      <w:pPr>
        <w:pStyle w:val="TextoNormal"/>
      </w:pPr>
    </w:p>
    <w:p w14:paraId="22F0E655" w14:textId="77777777" w:rsidR="003754FE" w:rsidRDefault="003754FE" w:rsidP="003754FE">
      <w:pPr>
        <w:pStyle w:val="TextoNormal"/>
      </w:pPr>
      <w:r>
        <w:t>La mayoría de nuestro Tribunal cita de manera desviada el ATC 135/2004 [aludido en el fundamento jurídico 4.3 B)]. En ese ATC 135/2004 inadmitimos la impugnación del Gobierno de la Nación contra el proyecto de reforma del Estatuto de Autonomía del País Vasco aprobado por el Gobierno de esa comunidad (el llamado “plan Ibarretxe”) y contra la resolución de la mesa del Parlamento autonómico admitiendo a trámite esa propuesta. El Gobierno alegaba que el contenido de la propuesta era abiertamente inconstitucional, y que por tanto la propuesta solo podía tramitarse como un procedimiento de reforma de la Constitución, y no como un procedimiento de reforma del estatuto de autonomía, como había hecho el Parlamento autonómico. Sostuvimos entonces, efectivamente, que ese proyecto de reforma no podía ser objeto de control por el Tribunal Constitucional porque su efecto era solamente abrir un procedimiento parlamentario cuyo resultado era incierto. De su tramitación podía resultar una norma o no resultar ninguna, y en el primer caso esa norma podía ser contraria a la Constitución o conforme con esta. Por lo tanto, no podía este tribunal anular la propuesta de reforma ni impedir su debate.</w:t>
      </w:r>
    </w:p>
    <w:p w14:paraId="1DF32ED6" w14:textId="77777777" w:rsidR="003754FE" w:rsidRDefault="003754FE" w:rsidP="003754FE">
      <w:pPr>
        <w:pStyle w:val="TextoNormal"/>
      </w:pPr>
    </w:p>
    <w:p w14:paraId="426C4EB8" w14:textId="77777777" w:rsidR="003754FE" w:rsidRDefault="003754FE" w:rsidP="003754FE">
      <w:pPr>
        <w:pStyle w:val="TextoNormal"/>
      </w:pPr>
      <w:r>
        <w:lastRenderedPageBreak/>
        <w:t xml:space="preserve">Pero esta imposibilidad lógica de controlar vicios </w:t>
      </w:r>
      <w:r w:rsidRPr="003754FE">
        <w:rPr>
          <w:i/>
        </w:rPr>
        <w:t>hipotéticos</w:t>
      </w:r>
      <w:r>
        <w:t xml:space="preserve"> contenidos en proyectos de normas (o actos) que podrían suponer la anulación del producto final si no fueran corregidos nada tiene que ver con la posibilidad de examinar si en la elaboración de un anteproyecto de ley (que es un acto previo y diferente a la “decisión de elevar a las Cortes un proyecto de ley” como acto de gobierno conforme a la STC 45/1990, de 15 de marzo, aludida en la STC 93/2024, FJ 4.4.1 a), la autoridad responsable ha incurrido </w:t>
      </w:r>
      <w:r w:rsidRPr="003754FE">
        <w:rPr>
          <w:i/>
        </w:rPr>
        <w:t>efectivamente</w:t>
      </w:r>
      <w:r>
        <w:t xml:space="preserve"> en un delito de prevaricación del art. 404 CP.</w:t>
      </w:r>
    </w:p>
    <w:p w14:paraId="46ABAEB0" w14:textId="77777777" w:rsidR="003754FE" w:rsidRDefault="003754FE" w:rsidP="003754FE">
      <w:pPr>
        <w:pStyle w:val="TextoNormal"/>
      </w:pPr>
    </w:p>
    <w:p w14:paraId="5C08700F" w14:textId="77777777" w:rsidR="003754FE" w:rsidRDefault="003754FE" w:rsidP="003754FE">
      <w:pPr>
        <w:pStyle w:val="TextoNormal"/>
      </w:pPr>
      <w:r>
        <w:t>En abstracto, de la simple alteración de la partida presupuestaria que antes cobijaba los créditos concedidos al Instituto de Fomento de Andalucía (IFA, posteriormente Agencia de Innovación y Desarrollo de Andalucía, IDEA), e incluso de la ampliación de sus competencias, no cabe colegir el designio último de los que promovieron tal cambio, que consistía en eludir los controles ordinarios existentes hasta entonces para el otorgamiento de subvenciones. No es en el ámbito de la inconstitucionalidad de leyes de presupuestos donde se mueven las sentencias impugnadas, sino en el de la creación de un marco jurídico aparentemente neutro a cuyo amparo pudiera actuarse disponiendo de ingentes cantidades de dinero sin control efectivo alguno.</w:t>
      </w:r>
    </w:p>
    <w:p w14:paraId="3CB6553E" w14:textId="77777777" w:rsidR="003754FE" w:rsidRDefault="003754FE" w:rsidP="003754FE">
      <w:pPr>
        <w:pStyle w:val="TextoNormal"/>
      </w:pPr>
    </w:p>
    <w:p w14:paraId="2E20C900" w14:textId="77777777" w:rsidR="003754FE" w:rsidRDefault="003754FE" w:rsidP="003754FE">
      <w:pPr>
        <w:pStyle w:val="TextoNormal"/>
      </w:pPr>
      <w:r>
        <w:t>En mi opinión, refrendada por la regulación establecida en la Ley 39/2015, de procedimiento administrativo común (y por la doctrina sentada en la STC 55/2018, antes citada), la actividad previa al ejercicio de la iniciativa legislativa es parte de un procedimiento administrativo. Por eso tengo que discrepar del fundamento jurídico 4.4 A) a) de la sentencia, en que se da a esta actividad la naturaleza de actos de gobierno excluidos de todo control por parte de cualquier órgano jurisdiccional, incluso de su posible enjuiciamiento por la jurisdicción penal. Esto equivale a consagrar un ámbito de impunidad que sí me parece contrario a la Constitución.</w:t>
      </w:r>
    </w:p>
    <w:p w14:paraId="3795CDC8" w14:textId="77777777" w:rsidR="003754FE" w:rsidRDefault="003754FE" w:rsidP="003754FE">
      <w:pPr>
        <w:pStyle w:val="TextoNormal"/>
      </w:pPr>
    </w:p>
    <w:p w14:paraId="743483C0" w14:textId="77777777" w:rsidR="003754FE" w:rsidRDefault="003754FE" w:rsidP="003754FE">
      <w:pPr>
        <w:pStyle w:val="TextoNormal"/>
      </w:pPr>
      <w:r>
        <w:t>Tal como lo veo, los actos prelegislativos son susceptibles de control penal, y por consiguiente no parece que pueda considerarse “imprevisible”, como hace la mayoría, la interpretación efectuada por las sentencias recurridas. Una cosa es que sea la primera vez que un asunto como este se haya planteado ante los tribunales penales y otra muy distinta que la respuesta dada por ellos a esta cuestión novedosa sea “imprevisible”.</w:t>
      </w:r>
    </w:p>
    <w:p w14:paraId="6AB917F5" w14:textId="77777777" w:rsidR="003754FE" w:rsidRDefault="003754FE" w:rsidP="003754FE">
      <w:pPr>
        <w:pStyle w:val="TextoNormal"/>
      </w:pPr>
    </w:p>
    <w:p w14:paraId="7C336CCB" w14:textId="77777777" w:rsidR="003754FE" w:rsidRDefault="003754FE" w:rsidP="003754FE">
      <w:pPr>
        <w:pStyle w:val="TextoNormal"/>
      </w:pPr>
      <w:r>
        <w:t xml:space="preserve">2.2. </w:t>
      </w:r>
      <w:r w:rsidRPr="003754FE">
        <w:rPr>
          <w:i/>
        </w:rPr>
        <w:t>El incumplimiento de la normativa general sobre subvenciones puede considerarse “arbitraria” por la jurisdicción penal</w:t>
      </w:r>
    </w:p>
    <w:p w14:paraId="7CA9D35D" w14:textId="77777777" w:rsidR="003754FE" w:rsidRDefault="003754FE" w:rsidP="003754FE">
      <w:pPr>
        <w:pStyle w:val="TextoNormal"/>
      </w:pPr>
    </w:p>
    <w:p w14:paraId="21AA6436" w14:textId="77777777" w:rsidR="003754FE" w:rsidRDefault="003754FE" w:rsidP="003754FE">
      <w:pPr>
        <w:pStyle w:val="TextoNormal"/>
      </w:pPr>
      <w:r>
        <w:t>En el apartado siguiente del mismo fundamento jurídico [FJ 4.4 A) b)] se enjuicia la interpretación del concepto de resolución “arbitraria” previsto en el art. 404 CP.</w:t>
      </w:r>
    </w:p>
    <w:p w14:paraId="5EAA49E6" w14:textId="77777777" w:rsidR="003754FE" w:rsidRDefault="003754FE" w:rsidP="003754FE">
      <w:pPr>
        <w:pStyle w:val="TextoNormal"/>
      </w:pPr>
    </w:p>
    <w:p w14:paraId="402A1041" w14:textId="77777777" w:rsidR="003754FE" w:rsidRDefault="003754FE" w:rsidP="003754FE">
      <w:pPr>
        <w:pStyle w:val="TextoNormal"/>
      </w:pPr>
      <w:r>
        <w:t>La definición de este concepto corresponde sin duda alguna a la Sala de lo Penal del Tribunal Supremo, y este explica que, según su jurisprudencia, se identifica la arbitrariedad como una ilegalidad patente, grosera, palmaria, clamorosa o flagrante, y señala como hechos relevantes de este caso los siguientes:</w:t>
      </w:r>
    </w:p>
    <w:p w14:paraId="2C5CD5C3" w14:textId="77777777" w:rsidR="003754FE" w:rsidRDefault="003754FE" w:rsidP="003754FE">
      <w:pPr>
        <w:pStyle w:val="TextoNormal"/>
      </w:pPr>
    </w:p>
    <w:p w14:paraId="57E1543B" w14:textId="77777777" w:rsidR="003754FE" w:rsidRDefault="003754FE" w:rsidP="003754FE">
      <w:pPr>
        <w:pStyle w:val="TextoNormal"/>
      </w:pPr>
      <w:r>
        <w:t>(i) Que se cambió el sistema de financiación de las “ayudas sociolaborales” sin razón aparente;</w:t>
      </w:r>
    </w:p>
    <w:p w14:paraId="33277957" w14:textId="77777777" w:rsidR="003754FE" w:rsidRDefault="003754FE" w:rsidP="003754FE">
      <w:pPr>
        <w:pStyle w:val="TextoNormal"/>
      </w:pPr>
    </w:p>
    <w:p w14:paraId="6108D965" w14:textId="77777777" w:rsidR="003754FE" w:rsidRDefault="003754FE" w:rsidP="003754FE">
      <w:pPr>
        <w:pStyle w:val="TextoNormal"/>
      </w:pPr>
      <w:r>
        <w:lastRenderedPageBreak/>
        <w:t>(ii) que se hizo y mantuvo ese cambio a pesar de las múltiples advertencias de la Intervención y los servicios jurídicos sobre las ilegalidades que se estaban produciendo;</w:t>
      </w:r>
    </w:p>
    <w:p w14:paraId="3C5C4EC0" w14:textId="77777777" w:rsidR="003754FE" w:rsidRDefault="003754FE" w:rsidP="003754FE">
      <w:pPr>
        <w:pStyle w:val="TextoNormal"/>
      </w:pPr>
    </w:p>
    <w:p w14:paraId="6485D22C" w14:textId="77777777" w:rsidR="003754FE" w:rsidRDefault="003754FE" w:rsidP="003754FE">
      <w:pPr>
        <w:pStyle w:val="TextoNormal"/>
      </w:pPr>
      <w:r>
        <w:t>(iii) que la consecuencia real del cambio fue la falta de control y absoluta ilegalidad de la concesión de subvenciones.</w:t>
      </w:r>
    </w:p>
    <w:p w14:paraId="3EF29339" w14:textId="77777777" w:rsidR="003754FE" w:rsidRDefault="003754FE" w:rsidP="003754FE">
      <w:pPr>
        <w:pStyle w:val="TextoNormal"/>
      </w:pPr>
    </w:p>
    <w:p w14:paraId="4E80D5D4" w14:textId="77777777" w:rsidR="003754FE" w:rsidRDefault="003754FE" w:rsidP="003754FE">
      <w:pPr>
        <w:pStyle w:val="TextoNormal"/>
      </w:pPr>
      <w:r>
        <w:t>Por todo ello concluye: “A partir de estos hechos, dada la incontestable ilegalidad de las acciones llevadas a cabo y en atención a la finalidad directamente perseguida por los autores no cabe otra conclusión que la de afirmar la arbitrariedad e injusticia de las resoluciones objeto de enjuiciamiento” (sentencia del Tribunal Supremo, fundamento de Derecho 30, pág. 296).</w:t>
      </w:r>
    </w:p>
    <w:p w14:paraId="446D6FAC" w14:textId="77777777" w:rsidR="003754FE" w:rsidRDefault="003754FE" w:rsidP="003754FE">
      <w:pPr>
        <w:pStyle w:val="TextoNormal"/>
      </w:pPr>
    </w:p>
    <w:p w14:paraId="39A99295" w14:textId="77777777" w:rsidR="003754FE" w:rsidRDefault="003754FE" w:rsidP="003754FE">
      <w:pPr>
        <w:pStyle w:val="TextoNormal"/>
      </w:pPr>
      <w:r>
        <w:t>Ninguna de estas razones se analiza en la sentencia apoyada por la mayoría, sino que vuelve a reiterarse la idea —ya defendida en la STC 93/2024— de la aprobación parlamentaria como sanadora de todos los posibles vicios denunciados y a la imprevisibilidad de la interpretación llevada a cabo por la Audiencia Provincial de Sevilla y por el Tribunal Supremo.</w:t>
      </w:r>
    </w:p>
    <w:p w14:paraId="12646FFD" w14:textId="77777777" w:rsidR="003754FE" w:rsidRDefault="003754FE" w:rsidP="003754FE">
      <w:pPr>
        <w:pStyle w:val="TextoNormal"/>
      </w:pPr>
    </w:p>
    <w:p w14:paraId="379CA159" w14:textId="77777777" w:rsidR="003754FE" w:rsidRDefault="003754FE" w:rsidP="003754FE">
      <w:pPr>
        <w:pStyle w:val="TextoNormal"/>
      </w:pPr>
      <w:r>
        <w:t>La razón de la condena al recurrente por parte de estos tribunales es clara: como con arreglo a la Ley 5/1983, de la hacienda pública de la Comunidad Autónoma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el recurrente y otros funcionarios idearon como solución para eludir esos controles incluir una nueva partida en los presupuestos titulada de manera indeterminada como “relaciones laborales” y disfrazada como transferencia de crédito al IFA (posteriormente IDEA) para sus propios fines, eludiendo de este modo los controles exigibles con arreglo a una legalidad que no se deroga.</w:t>
      </w:r>
    </w:p>
    <w:p w14:paraId="4257A51D" w14:textId="77777777" w:rsidR="003754FE" w:rsidRDefault="003754FE" w:rsidP="003754FE">
      <w:pPr>
        <w:pStyle w:val="TextoNormal"/>
      </w:pPr>
    </w:p>
    <w:p w14:paraId="725F6EAE" w14:textId="77777777" w:rsidR="003754FE" w:rsidRDefault="003754FE" w:rsidP="003754FE">
      <w:pPr>
        <w:pStyle w:val="TextoNormal"/>
      </w:pPr>
      <w:r>
        <w:t>Efectivamente, las leyes de prepuestos hubieran podido derogar esa legalidad, o desplazarla para la concesión de esas ayudas, como hizo luego el Decreto-ley 4/2012 en la llamada “Tercera etapa” de los expedientes de regulación de empleo [sentencia del Tribunal Supremo, fundamento de Derecho 1, “Resumen de los hechos probados”, pág. 111, reproducido en el antecedente 2 a) de nuestra sentencia]. El art. 1 de este decreto-ley estableció expresamente que “a estas ayudas sociolaborales no les es de aplicación la normativa general sobre subvenciones públicas”, lo que evidencia que el criterio seguido en años anteriores de no seguir los trámites impuestos por esa “normativa general sobre subvenciones públicas” no se ajustaba a la legalidad vigente.</w:t>
      </w:r>
    </w:p>
    <w:p w14:paraId="16E828FB" w14:textId="77777777" w:rsidR="003754FE" w:rsidRDefault="003754FE" w:rsidP="003754FE">
      <w:pPr>
        <w:pStyle w:val="TextoNormal"/>
      </w:pPr>
    </w:p>
    <w:p w14:paraId="35FE78FF" w14:textId="77777777" w:rsidR="003754FE" w:rsidRDefault="003754FE" w:rsidP="003754FE">
      <w:pPr>
        <w:pStyle w:val="TextoNormal"/>
      </w:pPr>
      <w:r>
        <w:t>En esta situación no me parece que la respuesta penal de la actuación del recurrente pueda calificarse de imprevisible.</w:t>
      </w:r>
    </w:p>
    <w:p w14:paraId="593FC6B8" w14:textId="77777777" w:rsidR="003754FE" w:rsidRDefault="003754FE" w:rsidP="003754FE">
      <w:pPr>
        <w:pStyle w:val="TextoNormal"/>
      </w:pPr>
    </w:p>
    <w:p w14:paraId="5DFE9C23" w14:textId="77777777" w:rsidR="003754FE" w:rsidRDefault="003754FE" w:rsidP="003754FE">
      <w:pPr>
        <w:pStyle w:val="TextoNormal"/>
      </w:pPr>
      <w:r>
        <w:t xml:space="preserve">2.3. </w:t>
      </w:r>
      <w:r w:rsidRPr="003754FE">
        <w:rPr>
          <w:i/>
        </w:rPr>
        <w:t>Interpretación de las leyes de presupuestos efectuada por las sentencias recurridas</w:t>
      </w:r>
    </w:p>
    <w:p w14:paraId="4D2DACAB" w14:textId="77777777" w:rsidR="003754FE" w:rsidRDefault="003754FE" w:rsidP="003754FE">
      <w:pPr>
        <w:pStyle w:val="TextoNormal"/>
      </w:pPr>
    </w:p>
    <w:p w14:paraId="5EC4C109" w14:textId="77777777" w:rsidR="003754FE" w:rsidRDefault="003754FE" w:rsidP="003754FE">
      <w:pPr>
        <w:pStyle w:val="TextoNormal"/>
      </w:pPr>
      <w:r>
        <w:t xml:space="preserve">a) La sentencia de la que discrepo reitera una y otra vez la idea de que las leyes de presupuestos regularon el modo de concesión de estas ayudas. Por eso diserta ampliamente sobre las “[c]aracterísticas de nuestra democracia constitucional y parlamentaria” (FJ 4.3), la naturaleza de la ley de presupuestos como “verdadera ley” (FJ 4.3 A) e), la posibilidad </w:t>
      </w:r>
      <w:r>
        <w:lastRenderedPageBreak/>
        <w:t>de modificar las leyes vigentes [FJ 4.3 B) b)] y el monopolio de control de constitucionalidad de las leyes por el Tribunal Constitucional [FJ 4.3 A) f)], para terminar concluyendo que la forma de razonar de las sentencias recurridas supone “privar de toda relevancia a la aprobación parlamentaria de la ley” de presupuestos, “que tiene la misma naturaleza normativa que el resto de las leyes” [FJ 4.4 A) b)].</w:t>
      </w:r>
    </w:p>
    <w:p w14:paraId="35E666C8" w14:textId="77777777" w:rsidR="003754FE" w:rsidRDefault="003754FE" w:rsidP="003754FE">
      <w:pPr>
        <w:pStyle w:val="TextoNormal"/>
      </w:pPr>
    </w:p>
    <w:p w14:paraId="0453F1D4" w14:textId="77777777" w:rsidR="003754FE" w:rsidRDefault="003754FE" w:rsidP="003754FE">
      <w:pPr>
        <w:pStyle w:val="TextoNormal"/>
      </w:pPr>
      <w:r>
        <w:t>Si así hubiera sucedido, podría compartirse lo razonado por la mayoría. Pero esta, parte de una premisa incorrecta. Las sentencias recurridas interpretan de otro modo las leyes de presupuestos.</w:t>
      </w:r>
    </w:p>
    <w:p w14:paraId="442B6A95" w14:textId="77777777" w:rsidR="003754FE" w:rsidRDefault="003754FE" w:rsidP="003754FE">
      <w:pPr>
        <w:pStyle w:val="TextoNormal"/>
      </w:pPr>
    </w:p>
    <w:p w14:paraId="768ED7F0" w14:textId="77777777" w:rsidR="003754FE" w:rsidRDefault="003754FE" w:rsidP="003754FE">
      <w:pPr>
        <w:pStyle w:val="TextoNormal"/>
      </w:pPr>
      <w:r>
        <w:t>La (supuesta) modificación legislativa se habría producido con la calificación de las ayudas sociolaborales como “transferencias de financiación”, según reconoce la mayoría en el FJ 4.4 A) b) antes citado. Una modificación que se habría producido en las “memorias presupuestarias, informes económico-financieros y fichas del programa 31L” cuyo contenido extracta la sentencia del Tribunal Supremo (fundamento de Derecho 11, págs. 193 a 196), transcrita en este punto por el fundamento jurídico 2.1 c) de nuestra sentencia (“9. Conclusiones del análisis de la documentación anexa al proyecto de presupuesto anual de la Junta de Andalucía”).</w:t>
      </w:r>
    </w:p>
    <w:p w14:paraId="342C5B2E" w14:textId="77777777" w:rsidR="003754FE" w:rsidRDefault="003754FE" w:rsidP="003754FE">
      <w:pPr>
        <w:pStyle w:val="TextoNormal"/>
      </w:pPr>
    </w:p>
    <w:p w14:paraId="33B0ADB0" w14:textId="77777777" w:rsidR="003754FE" w:rsidRDefault="003754FE" w:rsidP="003754FE">
      <w:pPr>
        <w:pStyle w:val="TextoNormal"/>
      </w:pPr>
      <w:r>
        <w:t>b) Pues bien, tanto la Audiencia Provincial de Sevilla como el Tribunal Supremo niegan razonadamente que esa calificación tuviera eficacia normativa y vinculante y habilitara la exclusión de los controles propios de las subvenciones.</w:t>
      </w:r>
    </w:p>
    <w:p w14:paraId="60155336" w14:textId="77777777" w:rsidR="003754FE" w:rsidRDefault="003754FE" w:rsidP="003754FE">
      <w:pPr>
        <w:pStyle w:val="TextoNormal"/>
      </w:pPr>
    </w:p>
    <w:p w14:paraId="12A369E5" w14:textId="77777777" w:rsidR="003754FE" w:rsidRDefault="003754FE" w:rsidP="003754FE">
      <w:pPr>
        <w:pStyle w:val="TextoNormal"/>
      </w:pPr>
      <w:r>
        <w:t>La sentencia de la Audiencia Provincial de Sevilla lo hace en su fundamento de Derecho 15 (aludido en la sentencia del Tribunal Supremo, fundamento de Derecho 23.1, pág. 256, última línea), que cita y reproduce el art. 129.3 del Reglamento del Parlamento de Andalucía, que dice así:</w:t>
      </w:r>
    </w:p>
    <w:p w14:paraId="15856133" w14:textId="77777777" w:rsidR="003754FE" w:rsidRDefault="003754FE" w:rsidP="003754FE">
      <w:pPr>
        <w:pStyle w:val="TextoNormal"/>
      </w:pPr>
    </w:p>
    <w:p w14:paraId="22C89EED" w14:textId="77777777" w:rsidR="003754FE" w:rsidRDefault="003754FE" w:rsidP="003754FE">
      <w:pPr>
        <w:pStyle w:val="TextoNormal"/>
      </w:pPr>
      <w:r>
        <w:t>“El debate del presupuesto se referirá al articulado y al estado de autorización de gastos</w:t>
      </w:r>
      <w:r w:rsidRPr="003754FE">
        <w:rPr>
          <w:i/>
        </w:rPr>
        <w:t>. Todo ello sin perjuicio del estudio de otros documentos que deban acompañar</w:t>
      </w:r>
      <w:r>
        <w:t>lo”.</w:t>
      </w:r>
    </w:p>
    <w:p w14:paraId="776463BC" w14:textId="77777777" w:rsidR="003754FE" w:rsidRDefault="003754FE" w:rsidP="003754FE">
      <w:pPr>
        <w:pStyle w:val="TextoNormal"/>
      </w:pPr>
    </w:p>
    <w:p w14:paraId="4EBC2947" w14:textId="77777777" w:rsidR="003754FE" w:rsidRDefault="003754FE" w:rsidP="003754FE">
      <w:pPr>
        <w:pStyle w:val="TextoNormal"/>
      </w:pPr>
      <w:r>
        <w:t>Un precepto que le lleva concluir lo siguiente:</w:t>
      </w:r>
    </w:p>
    <w:p w14:paraId="45812CE4" w14:textId="77777777" w:rsidR="003754FE" w:rsidRDefault="003754FE" w:rsidP="003754FE">
      <w:pPr>
        <w:pStyle w:val="TextoNormal"/>
      </w:pPr>
    </w:p>
    <w:p w14:paraId="63684AC1" w14:textId="77777777" w:rsidR="003754FE" w:rsidRDefault="003754FE" w:rsidP="003754FE">
      <w:pPr>
        <w:pStyle w:val="TextoNormal"/>
      </w:pPr>
      <w:r>
        <w:t>“[L]os únicos documentos objeto de debate, y por tanto de aprobación parlamentaria, son el texto articulado de la ley y los estados de gastos de cada uno de los entes públicos de la comunidad autónoma. Sin que el resto de documentos que, como documentación anexa, acompañan al proyecto de presupuesto, sean objeto de aprobación por el Parlamento</w:t>
      </w:r>
      <w:r w:rsidRPr="003754FE">
        <w:rPr>
          <w:i/>
        </w:rPr>
        <w:t>, ni, en consecuencia, adquieran fuerza de l</w:t>
      </w:r>
      <w:r>
        <w:t>ey”.</w:t>
      </w:r>
    </w:p>
    <w:p w14:paraId="7061D351" w14:textId="77777777" w:rsidR="003754FE" w:rsidRDefault="003754FE" w:rsidP="003754FE">
      <w:pPr>
        <w:pStyle w:val="TextoNormal"/>
      </w:pPr>
    </w:p>
    <w:p w14:paraId="4868DDBE" w14:textId="77777777" w:rsidR="003754FE" w:rsidRDefault="003754FE" w:rsidP="003754FE">
      <w:pPr>
        <w:pStyle w:val="TextoNormal"/>
      </w:pPr>
      <w:r>
        <w:t>Y el Tribunal Supremo es igualmente concluyente: “[N]inguna de las leyes de presupuestos aprobadas modificó el régimen jurídico aplicable a las subvenciones” (fundamento de Derecho 23.3, pág. 262); las leyes de presupuestos “habilitaron unos créditos presupuestarios” pero no aprobaron “la forma de ejecución del gasto” ni su “concesión y pago y eludiendo los requisitos y controles establecidos en la normativa de subvenciones” (fundamento 11.2, págs. 189-190).</w:t>
      </w:r>
    </w:p>
    <w:p w14:paraId="435704E8" w14:textId="77777777" w:rsidR="003754FE" w:rsidRDefault="003754FE" w:rsidP="003754FE">
      <w:pPr>
        <w:pStyle w:val="TextoNormal"/>
      </w:pPr>
    </w:p>
    <w:p w14:paraId="0001C64E" w14:textId="77777777" w:rsidR="003754FE" w:rsidRDefault="003754FE" w:rsidP="003754FE">
      <w:pPr>
        <w:pStyle w:val="TextoNormal"/>
      </w:pPr>
      <w:r>
        <w:t xml:space="preserve">En lugar de detenerse en estos estos razonamientos, como corresponde a un recurso de amparo que debe examinar la razonabilidad de la interpretación efectuada por las sentencias </w:t>
      </w:r>
      <w:r>
        <w:lastRenderedPageBreak/>
        <w:t>recurridas, la sentencia de la que ahora discrepo cambia los términos del debate, hace supuesto de la cuestión y da por sentado lo que esos tribunales niegan: el valor de ley de la “documentación anexa” a los proyectos de leyes de presupuestos.</w:t>
      </w:r>
    </w:p>
    <w:p w14:paraId="1AA01D82" w14:textId="77777777" w:rsidR="003754FE" w:rsidRDefault="003754FE" w:rsidP="003754FE">
      <w:pPr>
        <w:pStyle w:val="TextoNormal"/>
      </w:pPr>
    </w:p>
    <w:p w14:paraId="114A7719" w14:textId="77777777" w:rsidR="003754FE" w:rsidRDefault="003754FE" w:rsidP="003754FE">
      <w:pPr>
        <w:pStyle w:val="TextoNormal"/>
      </w:pPr>
      <w:r>
        <w:t>Lo que era objeto de discusión ante la jurisdicción penal, y esta negó motivadamente, no era el “carácter formal o material” de la ley de presupuestos, cuestión hace tiempo “superada” como reconoce la mayoría citando la STC 76/1992, sino si la “documentación anexa” a la ley de presupuestos, donde se contiene ese cambio de calificación de créditos, supuso efectivamente una modificación, derogación o desplazamiento de la normativa general sobre subvenciones.</w:t>
      </w:r>
    </w:p>
    <w:p w14:paraId="37F83182" w14:textId="77777777" w:rsidR="003754FE" w:rsidRDefault="003754FE" w:rsidP="003754FE">
      <w:pPr>
        <w:pStyle w:val="TextoNormal"/>
      </w:pPr>
    </w:p>
    <w:p w14:paraId="466238A1" w14:textId="77777777" w:rsidR="003754FE" w:rsidRDefault="003754FE" w:rsidP="003754FE">
      <w:pPr>
        <w:pStyle w:val="TextoNormal"/>
      </w:pPr>
      <w:r>
        <w:t>Por el sencillo expediente de omitir los razonamientos de las sentencias objeto de amparo, la sentencia ahora dictada asume apodícticamente que sí han producido ese cambio legislativo.</w:t>
      </w:r>
    </w:p>
    <w:p w14:paraId="03BB2AF3" w14:textId="77777777" w:rsidR="003754FE" w:rsidRDefault="003754FE" w:rsidP="003754FE">
      <w:pPr>
        <w:pStyle w:val="TextoNormal"/>
      </w:pPr>
    </w:p>
    <w:p w14:paraId="3AFB7F88" w14:textId="77777777" w:rsidR="003754FE" w:rsidRDefault="003754FE" w:rsidP="003754FE">
      <w:pPr>
        <w:pStyle w:val="TextoNormal"/>
      </w:pPr>
      <w:r>
        <w:t>Pero la lectura del análisis de la “documentación anexa” al proyecto de ley de presupuestos ofrecido por las págs. 193-196 de la sentencia del Tribunal Supremo, transcritas en el fundamento jurídico 2.1 c) de la misma sentencia, no permite sostener esta conclusión. Antes al contrario, estas “fichas”, “memorias” y “documentación anexa al proyecto de presupuesto” llaman varias veces “subvenciones” a las “ayudas sociolaborales” del programa 31L, de modo que difícilmente puede sostenerse que esa “documentación anexa” autorizara la elusión del régimen de estas.</w:t>
      </w:r>
    </w:p>
    <w:p w14:paraId="21ABADFE" w14:textId="77777777" w:rsidR="003754FE" w:rsidRDefault="003754FE" w:rsidP="003754FE">
      <w:pPr>
        <w:pStyle w:val="TextoNormal"/>
      </w:pPr>
    </w:p>
    <w:p w14:paraId="1C6143A3" w14:textId="77777777" w:rsidR="003754FE" w:rsidRDefault="003754FE" w:rsidP="003754FE">
      <w:pPr>
        <w:pStyle w:val="TextoNormal"/>
      </w:pPr>
      <w:r>
        <w:t>c) Además, la conclusión de las sentencias recurridas sobre la ausencia de valor legal de esa “documentación anexa” a las leyes de presupuestos no vulnera el derecho a la legalidad sancionadora del art. 25.1 CE, pues viene corroborada por importantes y evidentes argumentos constitucionales.</w:t>
      </w:r>
    </w:p>
    <w:p w14:paraId="0F5AE5EA" w14:textId="77777777" w:rsidR="003754FE" w:rsidRDefault="003754FE" w:rsidP="003754FE">
      <w:pPr>
        <w:pStyle w:val="TextoNormal"/>
      </w:pPr>
    </w:p>
    <w:p w14:paraId="1753256C" w14:textId="77777777" w:rsidR="003754FE" w:rsidRDefault="003754FE" w:rsidP="003754FE">
      <w:pPr>
        <w:pStyle w:val="TextoNormal"/>
      </w:pPr>
      <w:r>
        <w:t>En primer lugar, esa “documentación anexa” no está publicada, ni se publica conjuntamente con las leyes de presupuestos, lo que ya de por sí impide otorgarle valor normativo alguno por aplicación de la máxima del art. 9.3 CE: “La Constitución garantiza […] la publicidad de las normas”. Si no hay publicidad, no puede haber “norma” vinculante, ni mucho menos “verdadera ley”, como asume la mayoría.</w:t>
      </w:r>
    </w:p>
    <w:p w14:paraId="0C74D72A" w14:textId="77777777" w:rsidR="003754FE" w:rsidRDefault="003754FE" w:rsidP="003754FE">
      <w:pPr>
        <w:pStyle w:val="TextoNormal"/>
      </w:pPr>
    </w:p>
    <w:p w14:paraId="62181183" w14:textId="77777777" w:rsidR="003754FE" w:rsidRDefault="003754FE" w:rsidP="003754FE">
      <w:pPr>
        <w:pStyle w:val="TextoNormal"/>
      </w:pPr>
      <w:r>
        <w:t xml:space="preserve">En segundo lugar, la diferenciación conceptual entre el anteproyecto o proyecto de ley de presupuestos, por una parte, y su “documentación anexa”, por otra, viene corroborada por otras normas. No solo el art. 129.3 del Reglamento del Parlamento de Andalucía, que cita la sentencia de la Audiencia de Sevilla en el pasaje antes transcrito (idéntico además a los arts. 134.2 del Reglamento del Congreso de los Diputados y 150.2 del Reglamento del Senado), sino también los arts. 34.5 y 35 de la Ley 5/1983, de la hacienda pública de la Comunidad Autónoma de Andalucía (vigente en la fecha de los hechos) y el art. 37 de la Ley 47/2003, de 26 de noviembre, general presupuestaria del Estado (LGP), igualmente citados en la sentencia de la Audiencia Provincial de Sevilla (fundamento de Derecho 15). Por ejemplo, según este último precepto (art. 37 LGP), al “proyecto de ley de presupuestos generales del Estado, </w:t>
      </w:r>
      <w:r w:rsidRPr="003754FE">
        <w:rPr>
          <w:i/>
        </w:rPr>
        <w:t>integrado por el articulado con sus anexos y los estados de ingresos y de gastos</w:t>
      </w:r>
      <w:r>
        <w:t>”, “se acompañará” cierta “</w:t>
      </w:r>
      <w:r w:rsidRPr="003754FE">
        <w:rPr>
          <w:i/>
        </w:rPr>
        <w:t>documentación complementaria</w:t>
      </w:r>
      <w:r>
        <w:t>”, que incluye, entre otras, “</w:t>
      </w:r>
      <w:r w:rsidRPr="003754FE">
        <w:rPr>
          <w:i/>
        </w:rPr>
        <w:t>[l]as memorias</w:t>
      </w:r>
      <w:r>
        <w:t xml:space="preserve"> descriptivas de los programas de gasto y sus objetivos anuales”. De la misma manera, el art. 35 de la Ley del Parlamento de Andalucía 5/1983 establecía que </w:t>
      </w:r>
      <w:r>
        <w:lastRenderedPageBreak/>
        <w:t xml:space="preserve">“[e]l proyecto de ley de presupuestos </w:t>
      </w:r>
      <w:r w:rsidRPr="003754FE">
        <w:rPr>
          <w:i/>
        </w:rPr>
        <w:t>y la documentación anexa</w:t>
      </w:r>
      <w:r>
        <w:t xml:space="preserve"> se remitirán al Parlamento” al menos dos meses antes de la expiración del anterior. Todo proyecto de ley del Gobierno va acompañado de cierta documentación (cfr. art. 88 CE y art. 26 de la Ley 50/1997, del Gobierno), pero no por ello esa documentación adquiere el rango y fuerza de la ley una vez aprobada esta.</w:t>
      </w:r>
    </w:p>
    <w:p w14:paraId="45E558D9" w14:textId="77777777" w:rsidR="003754FE" w:rsidRDefault="003754FE" w:rsidP="003754FE">
      <w:pPr>
        <w:pStyle w:val="TextoNormal"/>
      </w:pPr>
    </w:p>
    <w:p w14:paraId="0ABF80DF" w14:textId="77777777" w:rsidR="003754FE" w:rsidRDefault="003754FE" w:rsidP="003754FE">
      <w:pPr>
        <w:pStyle w:val="TextoNormal"/>
      </w:pPr>
      <w:r>
        <w:t>En tercer lugar, nuestra doctrina también ha reconocido la naturaleza no normativa de las memorias y fichas presupuestarias (no publicadas): “las memorias de los presupuestos […] en modo alguno pudieron adquirir vigencia con la entrada en vigor de las leyes de presupuestos impugnadas; en realidad, son algo externo o ajeno a las mismas, meras previsiones hipotéticas” (STC 63/1986, FJ 8).</w:t>
      </w:r>
    </w:p>
    <w:p w14:paraId="25F38149" w14:textId="77777777" w:rsidR="003754FE" w:rsidRDefault="003754FE" w:rsidP="003754FE">
      <w:pPr>
        <w:pStyle w:val="TextoNormal"/>
      </w:pPr>
    </w:p>
    <w:p w14:paraId="6668D93E" w14:textId="77777777" w:rsidR="003754FE" w:rsidRDefault="003754FE" w:rsidP="003754FE">
      <w:pPr>
        <w:pStyle w:val="TextoNormal"/>
      </w:pPr>
      <w:r>
        <w:t>Finalmente, el ya citado art. 1 del Decreto-ley 4/2012 excluyó expresamente la aplicación de la normativa general de subvenciones, lo que evidencia, como ya he dicho, que las leyes de presupuestos anteriores no habían excluido la aplicación de esa normativa general.</w:t>
      </w:r>
    </w:p>
    <w:p w14:paraId="787D1779" w14:textId="77777777" w:rsidR="003754FE" w:rsidRDefault="003754FE" w:rsidP="003754FE">
      <w:pPr>
        <w:pStyle w:val="TextoNormal"/>
      </w:pPr>
    </w:p>
    <w:p w14:paraId="2FC0552A" w14:textId="77777777" w:rsidR="003754FE" w:rsidRDefault="003754FE" w:rsidP="003754FE">
      <w:pPr>
        <w:pStyle w:val="TextoNormal"/>
      </w:pPr>
      <w:r>
        <w:t>2.4</w:t>
      </w:r>
      <w:r w:rsidRPr="003754FE">
        <w:rPr>
          <w:i/>
        </w:rPr>
        <w:t>. Modificaciones presupuestari</w:t>
      </w:r>
      <w:r>
        <w:t>as</w:t>
      </w:r>
    </w:p>
    <w:p w14:paraId="2FDF4369" w14:textId="77777777" w:rsidR="003754FE" w:rsidRDefault="003754FE" w:rsidP="003754FE">
      <w:pPr>
        <w:pStyle w:val="TextoNormal"/>
      </w:pPr>
    </w:p>
    <w:p w14:paraId="16010BBD" w14:textId="77777777" w:rsidR="003754FE" w:rsidRDefault="003754FE" w:rsidP="003754FE">
      <w:pPr>
        <w:pStyle w:val="TextoNormal"/>
      </w:pPr>
      <w:r>
        <w:t>En cuanto a determinadas modificaciones presupuestarias producidas en los años 2005 a 2008 [FJ 4.4 B)], por las mismas razones que entiendo que las leyes de presupuestos que incluyeron desde el año 2002 esa célebre partida 31L no sanaron el vicio que arrastraban en cuanto a su oculta finalidad de eludir los controles previos de la Intervención, tampoco las modificaciones presupuestarias de aquellos años pueden escudarse en la ley de presupuestos.</w:t>
      </w:r>
    </w:p>
    <w:p w14:paraId="505DC66E" w14:textId="77777777" w:rsidR="003754FE" w:rsidRDefault="003754FE" w:rsidP="003754FE">
      <w:pPr>
        <w:pStyle w:val="TextoNormal"/>
      </w:pPr>
    </w:p>
    <w:p w14:paraId="06B4C5E3" w14:textId="77777777" w:rsidR="003754FE" w:rsidRDefault="003754FE" w:rsidP="003754FE">
      <w:pPr>
        <w:pStyle w:val="TextoNormal"/>
      </w:pPr>
      <w:r>
        <w:t>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w:t>
      </w:r>
    </w:p>
    <w:p w14:paraId="1C51B2A4" w14:textId="77777777" w:rsidR="003754FE" w:rsidRDefault="003754FE" w:rsidP="003754FE">
      <w:pPr>
        <w:pStyle w:val="TextoNormal"/>
      </w:pPr>
    </w:p>
    <w:p w14:paraId="0AEE783A" w14:textId="77777777" w:rsidR="003754FE" w:rsidRDefault="003754FE" w:rsidP="003754FE">
      <w:pPr>
        <w:pStyle w:val="TextoNormal"/>
      </w:pPr>
      <w:r>
        <w:t>Resulta, por tanto, infundada la afirmación de la sentencia de la que disiento según la cual el Tribunal Supremo ha interpretado las leyes de presupuestos de Andalucía para esos años de modo imprevisible, así como las modificaciones presupuestarias aprobadas a su través.</w:t>
      </w:r>
    </w:p>
    <w:p w14:paraId="4D7BD709" w14:textId="77777777" w:rsidR="003754FE" w:rsidRDefault="003754FE" w:rsidP="003754FE">
      <w:pPr>
        <w:pStyle w:val="TextoNormal"/>
      </w:pPr>
    </w:p>
    <w:p w14:paraId="41A51F75" w14:textId="77777777" w:rsidR="003754FE" w:rsidRDefault="003754FE" w:rsidP="003754FE">
      <w:pPr>
        <w:pStyle w:val="TextoNormal"/>
      </w:pPr>
      <w:r>
        <w:t>2.5</w:t>
      </w:r>
      <w:r w:rsidRPr="003754FE">
        <w:rPr>
          <w:i/>
        </w:rPr>
        <w:t>. Respeto por las resoluciones impugnadas del derecho fundamental del recurren</w:t>
      </w:r>
      <w:r>
        <w:t>te</w:t>
      </w:r>
    </w:p>
    <w:p w14:paraId="088EB14B" w14:textId="77777777" w:rsidR="003754FE" w:rsidRDefault="003754FE" w:rsidP="003754FE">
      <w:pPr>
        <w:pStyle w:val="TextoNormal"/>
      </w:pPr>
    </w:p>
    <w:p w14:paraId="64AB11C1" w14:textId="77777777" w:rsidR="003754FE" w:rsidRDefault="003754FE" w:rsidP="003754FE">
      <w:pPr>
        <w:pStyle w:val="TextoNormal"/>
      </w:pPr>
      <w:r>
        <w:t>Colofón de lo que se expone, es que considero que las sentencias recurridas en amparo han efectuado una interpretación razonada de los elementos del delito de prevaricación y su aplicación al caso que supera el canon de control referido a la prohibición de interpretaciones “ilógicas” o “arbitrarias” que impone el art. 25.1 CE, conforme a la doctrina consolidada de este tribunal. Un canon que han superado anteriormente otras interpretaciones razonadas por los tribunales penales pero que pueden resultar más o menos controvertidas, como por ejemplo condenar por prevaricación a un particular a pesar de que el delito solo pueden cometerlo los “funcionarios” según la letra del Código penal (SSTC 47/1995, de 6 de febrero, FJ 6, y 41/1998, de 24 de febrero, FFJJ 5 y 6), o la condena a un alcalde, también por prevaricación, por actos que incluyen algunos que la jurisdicción contencioso-</w:t>
      </w:r>
      <w:r>
        <w:lastRenderedPageBreak/>
        <w:t>administrativa consideró conformes con el Derecho Administrativo (ATC 324/2003, de 20 de octubre, FJ 6).</w:t>
      </w:r>
    </w:p>
    <w:p w14:paraId="33DAB0E5" w14:textId="77777777" w:rsidR="003754FE" w:rsidRDefault="003754FE" w:rsidP="003754FE">
      <w:pPr>
        <w:pStyle w:val="TextoNormal"/>
      </w:pPr>
    </w:p>
    <w:p w14:paraId="12A12E22" w14:textId="77777777" w:rsidR="003754FE" w:rsidRDefault="003754FE" w:rsidP="003754FE">
      <w:pPr>
        <w:pStyle w:val="TextoNormal"/>
      </w:pPr>
      <w:r>
        <w:t>Aplicando este mismo rasero de la razonabilidad, considero que la interpretación del delito de prevaricación efectuada en este caso por los tribunales competentes para ello, que son la Audiencia Provincial de Sevilla y especialmente el Tribunal Supremo como órgano jurisdiccional superior en la materia (art. 123.1 CE), no es imprevisible ni, por consiguiente, contraria al derecho fundamental a la legalidad penal que garantiza el art. 25.1 CE.</w:t>
      </w:r>
    </w:p>
    <w:p w14:paraId="04FB02B1" w14:textId="77777777" w:rsidR="003754FE" w:rsidRDefault="003754FE" w:rsidP="003754FE">
      <w:pPr>
        <w:pStyle w:val="TextoNormal"/>
      </w:pPr>
    </w:p>
    <w:p w14:paraId="077C01FA" w14:textId="77777777" w:rsidR="003754FE" w:rsidRDefault="003754FE" w:rsidP="003754FE">
      <w:pPr>
        <w:pStyle w:val="TextoNormal"/>
      </w:pPr>
      <w:r>
        <w:t xml:space="preserve">3. </w:t>
      </w:r>
      <w:r w:rsidRPr="003754FE">
        <w:rPr>
          <w:i/>
        </w:rPr>
        <w:t>Sobre la estimación parcial de la queja por vulneración del principio de legalidad penal (art. 25.1 CE) al condenar al recurrente por el delito de malversación</w:t>
      </w:r>
    </w:p>
    <w:p w14:paraId="1A53E409" w14:textId="77777777" w:rsidR="003754FE" w:rsidRDefault="003754FE" w:rsidP="003754FE">
      <w:pPr>
        <w:pStyle w:val="TextoNormal"/>
      </w:pPr>
    </w:p>
    <w:p w14:paraId="102C03BE" w14:textId="77777777" w:rsidR="003754FE" w:rsidRDefault="003754FE" w:rsidP="003754FE">
      <w:pPr>
        <w:pStyle w:val="TextoNormal"/>
      </w:pPr>
      <w:r>
        <w:t>a) La sentencia de la que discrepo aborda en el fundamento jurídico 5.3 el enjuiciamiento de esta otra queja fundada en la lesión del art. 25.1 CE, ahora respecto de la condena al recurrente por un delito de malversación, que se funda en las sentencias impugnadas (i) por su contribución “activa” a la materialización de la “sustracción” castigada en el art. 432.1 CP, pues sin el indebido sistema de presupuestación no se habrían omitido los trámites y requisitos propios del régimen de las subvenciones ni producido el descontrol absoluto en la concesión de las ayudas sociolaborales; y (ii) por su contribución omisiva a esa sustracción, al no haber utilizado su posición institucional para evitar que ese proceder ilícito se repitiese en los ejercicios que se señalan, por lo que “consintió” que autoridades y funcionarios incurrieran en tal sustracción en cada ejercicio, a resultas de una gestión global “libérrima” y “arbitraria”.</w:t>
      </w:r>
    </w:p>
    <w:p w14:paraId="0733AB34" w14:textId="77777777" w:rsidR="003754FE" w:rsidRDefault="003754FE" w:rsidP="003754FE">
      <w:pPr>
        <w:pStyle w:val="TextoNormal"/>
      </w:pPr>
    </w:p>
    <w:p w14:paraId="5069F3A8" w14:textId="77777777" w:rsidR="003754FE" w:rsidRDefault="003754FE" w:rsidP="003754FE">
      <w:pPr>
        <w:pStyle w:val="TextoNormal"/>
      </w:pPr>
      <w:r>
        <w:t>Con este punto de partida, la sentencia resuelve la queja trazando una distinción entre: “A) Hechos probados que se refieren globalmente a la forma de gestión de las transferencias de financiación de un ‘indebido’ sistema de presupuestación” (cobertura en el programa 31L), y “B) Hechos referidos a concretas aplicaciones de fondos públicos sin cobertura en el programa 31L”.</w:t>
      </w:r>
    </w:p>
    <w:p w14:paraId="4598D443" w14:textId="77777777" w:rsidR="003754FE" w:rsidRDefault="003754FE" w:rsidP="003754FE">
      <w:pPr>
        <w:pStyle w:val="TextoNormal"/>
      </w:pPr>
    </w:p>
    <w:p w14:paraId="11290308" w14:textId="77777777" w:rsidR="003754FE" w:rsidRDefault="003754FE" w:rsidP="003754FE">
      <w:pPr>
        <w:pStyle w:val="TextoNormal"/>
      </w:pPr>
      <w:r>
        <w:t xml:space="preserve">b) Así las cosas, para las ayudas que sitúa en el grupo A), la sentencia que apoya la mayoría del Pleno vuelve al argumento circular de la inmunidad de control jurisdiccional penal de toda ayuda con cargo a la transferencia de financiación al IFA/IDEA, programa 31L de las leyes de presupuestos, con el resultado de considerar, en lo que atañe en primer lugar a la modalidad “activa” de este delito, que la “aprobación de anteproyectos y proyectos de leyes no puede considerarse, por tanto, un acto con eficacia jurídica </w:t>
      </w:r>
      <w:r w:rsidRPr="003754FE">
        <w:rPr>
          <w:i/>
        </w:rPr>
        <w:t>ad extra</w:t>
      </w:r>
      <w:r>
        <w:t xml:space="preserve"> desvinculada de su posterior aprobación parlamentaria; no es susceptible, por ello, de subsunción mínimamente previsible en la modalidad activa del delito de malversación consistente en ‘sustraer’, como pretendida fuente de ‘ilicitud’ de un determinado sistema de gestión” [FJ 5.3 A) a)]. Y en segundo lugar, respecto de la modalidad “omisiva” del mismo delito de prevaricación, que “[p]or las mismas razones” ya recién expuestas “ha de considerarse imprevisible la subsunción en la norma penal del deber de actuar supuestamente infringido por el recurrente”, teniendo en cuenta que “las autoridades implicadas en la fase de presupuestación no pudieron ‘consentir’ sustracción alguna consistente en la supresión de tales trámites y controles” [FJ 5.3 A) b)]; por lo que estima vulnerado el derecho a la legalidad penal (art. 25.1 CE) del recurrente.</w:t>
      </w:r>
    </w:p>
    <w:p w14:paraId="003FE18A" w14:textId="77777777" w:rsidR="003754FE" w:rsidRDefault="003754FE" w:rsidP="003754FE">
      <w:pPr>
        <w:pStyle w:val="TextoNormal"/>
      </w:pPr>
    </w:p>
    <w:p w14:paraId="25CF4E42" w14:textId="77777777" w:rsidR="003754FE" w:rsidRDefault="003754FE" w:rsidP="003754FE">
      <w:pPr>
        <w:pStyle w:val="TextoNormal"/>
      </w:pPr>
      <w:r>
        <w:lastRenderedPageBreak/>
        <w:t>Frente a esta respuesta cabe de nuevo oponer los razonamientos del apartado anterior del presente voto particular, al que nos remitimos para evitar repeticiones innecesarias.</w:t>
      </w:r>
    </w:p>
    <w:p w14:paraId="40C00BA2" w14:textId="77777777" w:rsidR="003754FE" w:rsidRDefault="003754FE" w:rsidP="003754FE">
      <w:pPr>
        <w:pStyle w:val="TextoNormal"/>
      </w:pPr>
    </w:p>
    <w:p w14:paraId="2F47C66C" w14:textId="77777777" w:rsidR="003754FE" w:rsidRDefault="003754FE" w:rsidP="003754FE">
      <w:pPr>
        <w:pStyle w:val="TextoNormal"/>
      </w:pPr>
      <w:r>
        <w:t>Tan solo respecto de la afirmación que se hace en este punto por la sentencia de la que discrepo, en el sentido de que “para alcanzar las conclusiones anteriores no es preciso pronunciarse sobre la eventual relación normativa de antinomia o complementariedad que pudiera existir entre el sistema de presupuestación establecido para las ayudas sociolaborales y a empresas en crisis en las sucesivas leyes de presupuestos de la Junta de Andalucía de los años 2002 a 2009 y las disposiciones previstas en otras normas de rango legal, como la Ley del Parlamento de Andalucía 5/1983, de 19 de julio, o la Ley 38/2003, de 17 de noviembre”, resulta pertinente oponer lo siguiente:</w:t>
      </w:r>
    </w:p>
    <w:p w14:paraId="17CB647C" w14:textId="77777777" w:rsidR="003754FE" w:rsidRDefault="003754FE" w:rsidP="003754FE">
      <w:pPr>
        <w:pStyle w:val="TextoNormal"/>
      </w:pPr>
    </w:p>
    <w:p w14:paraId="7A2EC1A7" w14:textId="77777777" w:rsidR="003754FE" w:rsidRDefault="003754FE" w:rsidP="003754FE">
      <w:pPr>
        <w:pStyle w:val="TextoNormal"/>
      </w:pPr>
      <w:r>
        <w:t>(i) De un lado, que no existe tal antinomia, en todo caso sí complementariedad entre todas ellas ya que la partida del programa 31L sobre transferencias al IFA de las leyes de presupuestos, no dejaba sin efecto los controles en materia de subvenciones de los arts. 103 y ss. de aquella Ley 5/1983 (en la redacción dada por la Ley del Parlamento de Andalucía 7/1996, de 31 de julio, del presupuesto de la Comunidad Autónoma de Andalucía para 1996), los cuales de hecho regían, ni tampoco quedaron sin efecto por lo dispuesto en el art. 18 de la Ley del Parlamento de Andalucía 14/2001, de 26 de diciembre, del presupuesto de la Comunidad Autónoma de Andalucía para el año 2002. Ni siquiera en las memorias o en las fichas correspondientes se decía que la previsión de esa partida como cambio de presupuestación, obedeciera a la finalidad de eludir los controles que aquellas normas legales sobre subvenciones exigían para la concesión de estas.</w:t>
      </w:r>
    </w:p>
    <w:p w14:paraId="0E825A48" w14:textId="77777777" w:rsidR="003754FE" w:rsidRDefault="003754FE" w:rsidP="003754FE">
      <w:pPr>
        <w:pStyle w:val="TextoNormal"/>
      </w:pPr>
    </w:p>
    <w:p w14:paraId="124A5416" w14:textId="77777777" w:rsidR="003754FE" w:rsidRDefault="003754FE" w:rsidP="003754FE">
      <w:pPr>
        <w:pStyle w:val="TextoNormal"/>
      </w:pPr>
      <w:r>
        <w:t>(ii) De otro lado, que en todo caso el Gobierno autonómico tenía la potestad de haber instado un proyecto de ley para reformar dicho marco legal y no lo hizo entonces (solo en el año 2012), como advierte la sentencia de casación aquí impugnada. Es más, la Sala de lo Penal del Tribunal Supremo justamente invocó (fundamento de Derecho 23.2) nuestra STC 238/2007, de 21 de noviembre, en cuyo fundamento jurídico 4 declaramos, entre otras cuestiones, que “una vez admitido que la ley de presupuestos generales […] puede abordar una modificación directa y expresa de cualquier otra norma legal, insistimos, en tanto en cuanto dicha modificación respete los condicionamientos que para su incorporación al contenido eventual del instrumento presupuestario ha exigido este tribunal, cabe añadir, a renglón seguido,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La ley de presupuestos, como previsión de ingresos y autorización de gastos para un ejercicio dado debe respetar, en tanto no las modifique expresamente, las exigencias previstas en el ordenamiento jurídico a cuya ejecución responde, so pena de poder provocar con su desconocimiento situaciones de inseguridad jurídica contrarias al art. 9.3 CE”.</w:t>
      </w:r>
    </w:p>
    <w:p w14:paraId="36E392E1" w14:textId="77777777" w:rsidR="003754FE" w:rsidRDefault="003754FE" w:rsidP="003754FE">
      <w:pPr>
        <w:pStyle w:val="TextoNormal"/>
      </w:pPr>
    </w:p>
    <w:p w14:paraId="22B642D3" w14:textId="77777777" w:rsidR="003754FE" w:rsidRDefault="003754FE" w:rsidP="003754FE">
      <w:pPr>
        <w:pStyle w:val="TextoNormal"/>
      </w:pPr>
      <w:r>
        <w:t>c) Sentado lo anterior, el fundamento jurídico 5.3 B) de la sentencia de la que discrepo desestima la queja de vulneración del derecho a la legalidad penal (art. 25.1 CE) por imprevisible subsunción de los hechos en el tipo de malversación, solo respecto de las ayudas que no tenían cobertura en el programa 31L, con el argumento de que “las leyes de presupuestos no legitimaban la disposición de los fondos presupuestados sin la concurrencia de los fines públicos propios de las ayudas sociolaborales y a empresas en crisis”.</w:t>
      </w:r>
    </w:p>
    <w:p w14:paraId="1C567DB9" w14:textId="77777777" w:rsidR="003754FE" w:rsidRDefault="003754FE" w:rsidP="003754FE">
      <w:pPr>
        <w:pStyle w:val="TextoNormal"/>
      </w:pPr>
    </w:p>
    <w:p w14:paraId="468C9727" w14:textId="77777777" w:rsidR="003754FE" w:rsidRDefault="003754FE" w:rsidP="003754FE">
      <w:pPr>
        <w:pStyle w:val="TextoNormal"/>
      </w:pPr>
      <w:r>
        <w:t>Comparto ese desenlace desestimatorio, pero no en la pequeña porción que aquí selecciona la sentencia. Lo correcto era desestimar del todo la queja sin cuestionar la tarea de subsunción fáctica de los hechos realizados por el recurrente en el delito de malversación, subtipo agravado, que realiza la sentencia de instancia y confirma la de casación.</w:t>
      </w:r>
    </w:p>
    <w:p w14:paraId="0FA5BCF6" w14:textId="77777777" w:rsidR="003754FE" w:rsidRDefault="003754FE" w:rsidP="003754FE">
      <w:pPr>
        <w:pStyle w:val="TextoNormal"/>
      </w:pPr>
    </w:p>
    <w:p w14:paraId="457E0E77" w14:textId="77777777" w:rsidR="003754FE" w:rsidRDefault="003754FE" w:rsidP="003754FE">
      <w:pPr>
        <w:pStyle w:val="TextoNormal"/>
      </w:pPr>
      <w:r>
        <w:t xml:space="preserve">4. </w:t>
      </w:r>
      <w:r w:rsidRPr="003754FE">
        <w:rPr>
          <w:i/>
        </w:rPr>
        <w:t>Sobre la estimación de la demanda de amparo por vulneración del derecho a la presunción de inocencia (art. 24.2 CE) del recurrente, en relación con la condena por delito de malversación respecto de las ayudas concedidas en ausencia de fin público y las partidas desviadas del programa presupuestario 31L declaradas en la sentencia de instancia</w:t>
      </w:r>
    </w:p>
    <w:p w14:paraId="13F726CD" w14:textId="77777777" w:rsidR="003754FE" w:rsidRDefault="003754FE" w:rsidP="003754FE">
      <w:pPr>
        <w:pStyle w:val="TextoNormal"/>
      </w:pPr>
    </w:p>
    <w:p w14:paraId="4310B1DE" w14:textId="77777777" w:rsidR="003754FE" w:rsidRDefault="003754FE" w:rsidP="003754FE">
      <w:pPr>
        <w:pStyle w:val="TextoNormal"/>
      </w:pPr>
      <w:r>
        <w:t>a) Acotados por la sentencia de la que discrepo los únicos hechos atribuidos al recurrente que podrían ser susceptibles de ser castigados por el delito de malversación de caudales públicos del art. 432 CP, esto es, “las disposiciones efectivamente realizadas desde la Consejería de Empleo y Desarrollo Tecnológico en ausencia de fin público y a las disposiciones enumeradas en el apartado C) del hecho probado vigesimosegundo [de la sentencia de la Audiencia Provincial], donde se hace constar que algunos fondos del programa 31L se aplicaron a fines distintos y ajenos a los determinados en el mismo”, resulta que la condena a la postre no es validada al apreciar dicha sentencia en su fundamento jurídico 6.4, que se ha producido la vulneración del derecho fundamental de aquel a la presunción de inocencia (art. 24.2 CE).</w:t>
      </w:r>
    </w:p>
    <w:p w14:paraId="5E1F2071" w14:textId="77777777" w:rsidR="003754FE" w:rsidRDefault="003754FE" w:rsidP="003754FE">
      <w:pPr>
        <w:pStyle w:val="TextoNormal"/>
      </w:pPr>
    </w:p>
    <w:p w14:paraId="07E07924" w14:textId="77777777" w:rsidR="003754FE" w:rsidRDefault="003754FE" w:rsidP="003754FE">
      <w:pPr>
        <w:pStyle w:val="TextoNormal"/>
      </w:pPr>
      <w:r>
        <w:t>Según se explica, la motivación de la sentencia de instancia “va dirigida claramente a constatar que intervino en el mantenimiento y/o ejecución del sistema dirigido al abono de subvenciones a través del uso de transferencias de financiación, pero en ningún caso a probar que hizo un uso desviado de fondos del programa 31L, por aplicarlos en ausencia o con desviación de los fines previstos en dicho programa”. En concreto respecto de la “argumentación relativa al elemento subjetivo, […] debe proyectarse sobre esas concretas disposiciones” para “fines no previstos en el programa o incluso carentes de tal interés público”; argumentación que a su parecer no se cumple por la Audiencia Provincial.</w:t>
      </w:r>
    </w:p>
    <w:p w14:paraId="4D634E94" w14:textId="77777777" w:rsidR="003754FE" w:rsidRDefault="003754FE" w:rsidP="003754FE">
      <w:pPr>
        <w:pStyle w:val="TextoNormal"/>
      </w:pPr>
    </w:p>
    <w:p w14:paraId="7C9AA30B" w14:textId="77777777" w:rsidR="003754FE" w:rsidRDefault="003754FE" w:rsidP="003754FE">
      <w:pPr>
        <w:pStyle w:val="TextoNormal"/>
      </w:pPr>
      <w:r>
        <w:t>Para llegar a esta conclusión la sentencia aprobada ahora por la mayoría efectúa su propia valoración de las pruebas obrantes en las actuaciones, en concreto de los informes de la Intervención General de la Junta de Andalucía, “y entre ellos, de manera determinante, el informe adicional (anexo III) al informe de cumplimiento del año 2003 (‘informe sobre determinados aspectos de la gestión del Instituto de Fomento de Andalucía de los convenios suscritos con la Consejería de Empleo y Desarrollo Tecnológico en materia de trabajo y Seguridad Social”; así como también valora “la declaración de los peritos de la Intervención General de la Administración del Estado, que elaboraron el informe que se incorporó a la causa”.</w:t>
      </w:r>
    </w:p>
    <w:p w14:paraId="3A69ACA7" w14:textId="77777777" w:rsidR="003754FE" w:rsidRDefault="003754FE" w:rsidP="003754FE">
      <w:pPr>
        <w:pStyle w:val="TextoNormal"/>
      </w:pPr>
    </w:p>
    <w:p w14:paraId="2056078F" w14:textId="77777777" w:rsidR="003754FE" w:rsidRDefault="003754FE" w:rsidP="003754FE">
      <w:pPr>
        <w:pStyle w:val="TextoNormal"/>
      </w:pPr>
      <w:r>
        <w:t xml:space="preserve">La sentencia reconoce que “[e]l contenido de estos informes permite inferir de manera razonable que sus destinatarios [entre ellos el aquí recurrente] eran conscientes de que dichas aplicaciones presupuestarias permitían destinar fondos públicos al pago de ayudas sin cumplir el régimen propio de las subvenciones, pero no advertían de que se hubieran materializado pagos al margen de su cobertura, frente a lo que sostiene la sentencia de la Audiencia Provincial (fundamento de Derecho 45, pág. 1721) y como implícitamente viene a reconocer la sentencia de casación”. Los referidos informes “no llegan a demostrar que el </w:t>
      </w:r>
      <w:r>
        <w:lastRenderedPageBreak/>
        <w:t>señor Griñán Martínez hubiera realizado los hechos que se le atribuyen con una representación suficiente de que las ayudas se fueran a conceder al margen de toda finalidad pública.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y Desarrollo Tecnológico que aparecen descritas en el fundamento de Derecho 45 de la sentencia de instancia”.</w:t>
      </w:r>
    </w:p>
    <w:p w14:paraId="2C528765" w14:textId="77777777" w:rsidR="003754FE" w:rsidRDefault="003754FE" w:rsidP="003754FE">
      <w:pPr>
        <w:pStyle w:val="TextoNormal"/>
      </w:pPr>
    </w:p>
    <w:p w14:paraId="02F76073" w14:textId="77777777" w:rsidR="003754FE" w:rsidRDefault="003754FE" w:rsidP="003754FE">
      <w:pPr>
        <w:pStyle w:val="TextoNormal"/>
      </w:pPr>
      <w:r>
        <w:t>La misma sentencia de la que discrepo, reconoce más adelante que la Audiencia Provincial hace mención expresa a ayudas concretas que carecen de un fin público como son las del apartado C) del hecho probado vigesimosegundo, así como otras irregularidades descritas en el fundamento jurídico 45, pero que “ninguna argumentación se realiza a lo largo de estos fundamentos jurídicos dirigida a explicitar la participación del demandante de amparo en la ejecución de este tipo de actos, los elementos probatorios de los que se deduciría dicha participación, así como la posible concurrencia del elemento subjetivo del injusto”. Al no haberse respetado la presunción de inocencia del recurrente, remata el fundamento jurídico 6.4 de la sentencia de la que discrepo, la estimación de la queja es “bastante para declarar la nulidad de la condena por delito de malversación”, lo que releva de más examen de fondo.</w:t>
      </w:r>
    </w:p>
    <w:p w14:paraId="7AF57485" w14:textId="77777777" w:rsidR="003754FE" w:rsidRDefault="003754FE" w:rsidP="003754FE">
      <w:pPr>
        <w:pStyle w:val="TextoNormal"/>
      </w:pPr>
    </w:p>
    <w:p w14:paraId="51EE123A" w14:textId="77777777" w:rsidR="003754FE" w:rsidRDefault="003754FE" w:rsidP="003754FE">
      <w:pPr>
        <w:pStyle w:val="TextoNormal"/>
      </w:pPr>
      <w:r>
        <w:t>b) Así expuesto, se impone una primera consideración: la sentencia desborda claramente el papel que le corresponde a este Tribunal Constitucional en cuanto a constatar mediante un juicio externo, de acuerdo con la doctrina que se cita en el fundamento jurídico 6.3 de la misma sentencia, si existe prueba de cargo válida y si, a falta de una convicción directa de los hechos, el juicio inferencial en la llamada prueba por presunciones judiciales o de indicios no resulta tan lábil o abierto que conduzca a varios resultados posibles, sin despejar posibles dudas razonables sobre la culpabilidad del acusado. Rebasando de manera ostensible esta tarea revisora, la sentencia de la que discrepo sustituye por completo, con sus propias apreciaciones de convicción probatoria, las vertidas por la sentencia de la Audiencia Provincial (confirmadas por la de casación).</w:t>
      </w:r>
    </w:p>
    <w:p w14:paraId="29C07FCD" w14:textId="77777777" w:rsidR="003754FE" w:rsidRDefault="003754FE" w:rsidP="003754FE">
      <w:pPr>
        <w:pStyle w:val="TextoNormal"/>
      </w:pPr>
    </w:p>
    <w:p w14:paraId="0F0B145A" w14:textId="77777777" w:rsidR="003754FE" w:rsidRDefault="003754FE" w:rsidP="003754FE">
      <w:pPr>
        <w:pStyle w:val="TextoNormal"/>
      </w:pPr>
      <w:r>
        <w:t>Hasta tal punto esto es así, es decir, que actúa como un auténtico tribunal de instancia, lo cual carece de justificación alguna en esta jurisdicción constitucional de amparo, que la propia sentencia apoyada por la mayoría, en medio de sus reflexiones probatorias, se permite decir que descartada la motivación dada por las resoluciones recurridas, “[e]llo no quiere decir, en modo alguno, que no existan en la causa elementos que hubieran podido servir de punto de partida para fundar un juicio de inferencia que pudiera haber llevado a esa conclusión —cuestión sobre la que a este tribunal no le corresponde pronunciarse—, sino, sencillamente, que la sentencia no ha completado el razonamiento capaz de trazar la vinculación entre […] [los convenios suscritos] por el demandante […] con las desviaciones expuestas”. Para entendernos: no solamente la sentencia de instancia no ha motivado suficientemente para poder condenar por malversación (vulnerando así la presunción de inocencia del recurrente), sino que no lo ha hecho por torpeza, ya que en realidad “elementos que hubieran podido servir” para ello sí que existían, si bien de manera enigmática se reserva el derecho de no revelar cuáles eran. Pero además, este párrafo incluido en la sentencia de la que ahora discrepo no es original de ella, sino que se inserta también en las demás sentencias que se han dictado en esta serie al apreciar la queja por lesión del derecho a la presunción de inocencia (art. 24.2 CE), lo que significa que se habrían encontrado elementos indiciarios —no revelados— para inculpar a dichos acusados. Sobran las palabras.</w:t>
      </w:r>
    </w:p>
    <w:p w14:paraId="3F2AD94C" w14:textId="77777777" w:rsidR="003754FE" w:rsidRDefault="003754FE" w:rsidP="003754FE">
      <w:pPr>
        <w:pStyle w:val="TextoNormal"/>
      </w:pPr>
    </w:p>
    <w:p w14:paraId="5D14414B" w14:textId="77777777" w:rsidR="003754FE" w:rsidRDefault="003754FE" w:rsidP="003754FE">
      <w:pPr>
        <w:pStyle w:val="TextoNormal"/>
      </w:pPr>
      <w:r>
        <w:t>c) La inferencia paralela que acomete la sentencia de la que discrepo para supuestamente —en realidad sin éxito— desvirtuar el juicio probatorio de la sentencia de instancia, ofrece sin embargo quiebras lógicas o adolece de la misma labilidad de la que hace reproche. La sentencia de instancia condenó al aquí recurrente por su conocimiento de la situación de descontrol total de los fondos destinados a ayudas sociolaborales a trabajadores y a empresas en crisis, pese a existir una normativa en vigor (estatal y autonómica) sobre subvenciones que no se cumplía gracias al artificio de crear un programa de transferencias de financiación de la agencia IFA/IDEA, y la suscripción de convenios entre esta y la Dirección General de Trabajo y Seguridad Social para el pago de esas ayudas. En particular, por tener conocimiento de los informes de la Intervención de la Junta de Andalucía, en especial el del año 2005 sobre la gestión del IFA del año 2003, cuyas conclusiones fueron repitiéndose en los sucesivos informes de la Intervención sobre las cuentas anuales de la agencia IDEA de los ejercicios siguientes, pormenorizando esos informes la falta de controles y requisitos que debían acreditar los beneficiarios de las ayudas.</w:t>
      </w:r>
    </w:p>
    <w:p w14:paraId="107466C4" w14:textId="77777777" w:rsidR="003754FE" w:rsidRDefault="003754FE" w:rsidP="003754FE">
      <w:pPr>
        <w:pStyle w:val="TextoNormal"/>
      </w:pPr>
    </w:p>
    <w:p w14:paraId="5A27C307" w14:textId="77777777" w:rsidR="003754FE" w:rsidRDefault="003754FE" w:rsidP="003754FE">
      <w:pPr>
        <w:pStyle w:val="TextoNormal"/>
      </w:pPr>
      <w:r>
        <w:t>Esa opinión técnica fue respaldada, como también reconoce la sentencia de la que discrepo, por los peritos de la Intervención General de la Administración del Estado, que examinaron los 270 expedientes de ayudas derivados del programa 22E y 31 L, confirmando que en todos ellos se reproducía la misma ausencia de controles y de la documentación pertinente. En este punto conviene recordar una vez más, que los delitos de prevaricación y malversación atribuidos a los condenados por la sentencia de instancia, confirmada por la del Tribunal Supremo que nos ocupa, en lo que aquí importa al recurrente señor Griñán Martínez, se debió a la ilegalidad sistémica inmanente a la totalidad de la operativa de previsión de la partida presupuestaria de transferencias de financiación al IFA/IDEA, como medio de evadir la normativa de subvenciones a particulares, y la ejecución de esa operativa en la que fue pieza fundamental el recurrente, prescindiendo así de las reglas de transparencia y libre concurrencia de candidatos a estas ayudas.</w:t>
      </w:r>
    </w:p>
    <w:p w14:paraId="22BFD027" w14:textId="77777777" w:rsidR="003754FE" w:rsidRDefault="003754FE" w:rsidP="003754FE">
      <w:pPr>
        <w:pStyle w:val="TextoNormal"/>
      </w:pPr>
    </w:p>
    <w:p w14:paraId="23090BD6" w14:textId="77777777" w:rsidR="003754FE" w:rsidRDefault="003754FE" w:rsidP="003754FE">
      <w:pPr>
        <w:pStyle w:val="TextoNormal"/>
      </w:pPr>
      <w:r>
        <w:t>Por lo tanto no cabe, como de manera selectiva y voluntarista proclama la sentencia de la que discrepo, exigir como prueba de la autoría la acreditación de que el recurrente conocía el uso ajeno o desviado del fin público de tales o cuales ayudas efectivamente repartidas; cuando este tenía encomendada como función esencial inherente a su cargo, la de velar por la integridad de aquellos fondos públicos, primero como consejero de Economía y Hacienda de la Junta de Andalucía (entre abril de 2004 y abril de 2009), y después como presidente de la Junta de Andalucía, y por tanto, máxima autoridad del Ejecutivo autonómico, hasta septiembre de 2013.</w:t>
      </w:r>
    </w:p>
    <w:p w14:paraId="041466EA" w14:textId="77777777" w:rsidR="003754FE" w:rsidRDefault="003754FE" w:rsidP="003754FE">
      <w:pPr>
        <w:pStyle w:val="TextoNormal"/>
      </w:pPr>
    </w:p>
    <w:p w14:paraId="7D9F954A" w14:textId="77777777" w:rsidR="003754FE" w:rsidRDefault="003754FE" w:rsidP="003754FE">
      <w:pPr>
        <w:pStyle w:val="TextoNormal"/>
      </w:pPr>
      <w:r>
        <w:t xml:space="preserve">La posibilidad de que unos fondos públicos se utilicen de manera desviada porque no existen los necesarios controles legales, es lo que justifica que tales controles se articulen por la Ley de la hacienda pública de la Comunidad Autónoma de Andalucía, y la ley estatal general de subvenciones, cuando se trata del otorgamiento de esta clase de ayudas. Cuestión aparte son los limitados controles </w:t>
      </w:r>
      <w:r w:rsidRPr="003754FE">
        <w:rPr>
          <w:i/>
        </w:rPr>
        <w:t>a posteriori</w:t>
      </w:r>
      <w:r>
        <w:t xml:space="preserve"> que tenía el IFA/IDEA, pero por el uso de los fondos por vía de transferencia de financiación de dicha entidad para cuadrar sus propias cuentas, respecto de las cuales por cierto también los informes técnicos descubrieron una situación de déficit presupuestario.</w:t>
      </w:r>
    </w:p>
    <w:p w14:paraId="267B9F3D" w14:textId="77777777" w:rsidR="003754FE" w:rsidRDefault="003754FE" w:rsidP="003754FE">
      <w:pPr>
        <w:pStyle w:val="TextoNormal"/>
      </w:pPr>
    </w:p>
    <w:p w14:paraId="25170EF6" w14:textId="77777777" w:rsidR="003754FE" w:rsidRDefault="003754FE" w:rsidP="003754FE">
      <w:pPr>
        <w:pStyle w:val="TextoNormal"/>
      </w:pPr>
      <w:r>
        <w:lastRenderedPageBreak/>
        <w:t>El fundamento de Derecho 40 de la sentencia del Tribunal Supremo explica claramente que no es necesario acreditar dolo directo de desviar fondos o de delinquir, sino que basta representarse esa posibilidad de desvío, porque lo esencial es la conciencia de poner a disposición de algunos cargos dinero público para que lo pudiera gastar a su libre albedrío.</w:t>
      </w:r>
    </w:p>
    <w:p w14:paraId="6E91178B" w14:textId="77777777" w:rsidR="003754FE" w:rsidRDefault="003754FE" w:rsidP="003754FE">
      <w:pPr>
        <w:pStyle w:val="TextoNormal"/>
      </w:pPr>
    </w:p>
    <w:p w14:paraId="7AE48706" w14:textId="77777777" w:rsidR="003754FE" w:rsidRDefault="003754FE" w:rsidP="003754FE">
      <w:pPr>
        <w:pStyle w:val="TextoNormal"/>
      </w:pPr>
      <w:r>
        <w:t xml:space="preserve">En definitiva, nada hay que reprochar a la sentencia de instancia porque haya condenado por dolo eventual, esto es, por la eventualidad de que el recurrente asumiera que los fondos vinculados al programa 31L fueran objeto de disposición con fines ajenos al fin público al que estaban destinados. Como señala expresamente la sentencia de casación (fundamento de Derecho 34): “Es cierto que parte de esos pagos fueron destinados al pago de ayudas sociolaborales y que, de haberse cumplido las exigencias legales y reglamentarias, se trataría de pagos realizados para el cumplimiento de fines públicos, pero </w:t>
      </w:r>
      <w:r w:rsidRPr="003754FE">
        <w:rPr>
          <w:i/>
        </w:rPr>
        <w:t>la finalidad pública y la licitud viene condicionada al cumplimiento de las exigencias legales y en este caso el incumplimiento de esas exigencias fue absoluto, dando lugar a un total descontrol de los fondos públicos</w:t>
      </w:r>
      <w:r>
        <w:t>” (las cursivas son mías).</w:t>
      </w:r>
    </w:p>
    <w:p w14:paraId="6E9E602D" w14:textId="77777777" w:rsidR="003754FE" w:rsidRDefault="003754FE" w:rsidP="003754FE">
      <w:pPr>
        <w:pStyle w:val="TextoNormal"/>
      </w:pPr>
    </w:p>
    <w:p w14:paraId="181EB551" w14:textId="77777777" w:rsidR="003754FE" w:rsidRDefault="003754FE" w:rsidP="003754FE">
      <w:pPr>
        <w:pStyle w:val="TextoNormal"/>
      </w:pPr>
      <w:r>
        <w:t>Las sentencias impugnadas en este amparo, por ello, no causaron la vulneración del derecho a la presunción de inocencia del recurrente. En consecuencia, la demanda de amparo por tal razón debió inadmitirse en cuanto a la queja de lesión del derecho a la legalidad penal (art. 25.1 CE), o subsidiariamente haber sido la misma desestimada, con desestimación en todo caso de la queja por vulneración del derecho a la presunción de inocencia (art. 24.2 CE).</w:t>
      </w:r>
    </w:p>
    <w:p w14:paraId="4CBB87CD" w14:textId="77777777" w:rsidR="003754FE" w:rsidRDefault="003754FE" w:rsidP="003754FE">
      <w:pPr>
        <w:pStyle w:val="TextoNormal"/>
      </w:pPr>
    </w:p>
    <w:p w14:paraId="5D0AD186" w14:textId="77777777" w:rsidR="003754FE" w:rsidRDefault="003754FE" w:rsidP="003754FE">
      <w:pPr>
        <w:pStyle w:val="TextoNormal"/>
      </w:pPr>
      <w:r>
        <w:t>Y en este sentido emito mi voto particular.</w:t>
      </w:r>
    </w:p>
    <w:p w14:paraId="56FED7E5" w14:textId="77777777" w:rsidR="003754FE" w:rsidRDefault="003754FE" w:rsidP="003754FE">
      <w:pPr>
        <w:pStyle w:val="TextoNormal"/>
      </w:pPr>
    </w:p>
    <w:p w14:paraId="32D14B59" w14:textId="09AD4EBA" w:rsidR="003754FE" w:rsidRDefault="003754FE" w:rsidP="003754FE">
      <w:pPr>
        <w:pStyle w:val="TextoNormal"/>
      </w:pPr>
      <w:r>
        <w:t>Madrid, a diecisiete de julio de dos mil veinticuatro.</w:t>
      </w:r>
    </w:p>
    <w:p w14:paraId="3EE6E4C5" w14:textId="77777777" w:rsidR="003754FE" w:rsidRDefault="003754FE" w:rsidP="003754FE">
      <w:pPr>
        <w:pStyle w:val="TextoNormal"/>
      </w:pPr>
    </w:p>
    <w:p w14:paraId="40D6AD39" w14:textId="77777777" w:rsidR="003754FE" w:rsidRDefault="003754FE" w:rsidP="003754FE">
      <w:pPr>
        <w:pStyle w:val="TextoNormalNegritaCentrado"/>
        <w:keepNext/>
      </w:pPr>
      <w:r>
        <w:t>Voto particular que formula el magistrado don Enrique Arnaldo Alcubilla a la sentencia dictada por el Pleno en el recurso de amparo avocado núm. 2119-2023</w:t>
      </w:r>
    </w:p>
    <w:p w14:paraId="385D7848" w14:textId="74DC41D6" w:rsidR="003754FE" w:rsidRDefault="003754FE" w:rsidP="003754FE">
      <w:pPr>
        <w:pStyle w:val="TextoNormalNegritaCentrado"/>
        <w:keepNext/>
      </w:pPr>
    </w:p>
    <w:p w14:paraId="6820AC06" w14:textId="77777777" w:rsidR="003754FE" w:rsidRDefault="003754FE" w:rsidP="003754FE">
      <w:pPr>
        <w:pStyle w:val="TextoNormal"/>
      </w:pPr>
      <w:r>
        <w:t>En el ejercicio de la facultad que me confiere el art. 90.2 de la Ley Orgánica del Tribunal Constitucional, formulo el presente voto particular por discrepar de la fundamentación y del fallo de la sentencia recaída en el recurso de amparo interpuesto por don José Antonio Griñán Martínez, el cual a mi parecer debió ser desestimado, por las razones defendidas durante la deliberación y en los términos que seguidamente paso a exponer.</w:t>
      </w:r>
    </w:p>
    <w:p w14:paraId="31F811E8" w14:textId="77777777" w:rsidR="003754FE" w:rsidRDefault="003754FE" w:rsidP="003754FE">
      <w:pPr>
        <w:pStyle w:val="TextoNormal"/>
      </w:pPr>
    </w:p>
    <w:p w14:paraId="1AEAE408" w14:textId="77777777" w:rsidR="003754FE" w:rsidRDefault="003754FE" w:rsidP="003754FE">
      <w:pPr>
        <w:pStyle w:val="TextoNormal"/>
      </w:pPr>
      <w:r>
        <w:t xml:space="preserve">1. </w:t>
      </w:r>
      <w:r w:rsidRPr="003754FE">
        <w:rPr>
          <w:i/>
        </w:rPr>
        <w:t>Consideración preliminar</w:t>
      </w:r>
    </w:p>
    <w:p w14:paraId="2C0F451B" w14:textId="77777777" w:rsidR="003754FE" w:rsidRDefault="003754FE" w:rsidP="003754FE">
      <w:pPr>
        <w:pStyle w:val="TextoNormal"/>
      </w:pPr>
    </w:p>
    <w:p w14:paraId="7BD1C754" w14:textId="77777777" w:rsidR="003754FE" w:rsidRDefault="003754FE" w:rsidP="003754FE">
      <w:pPr>
        <w:pStyle w:val="TextoNormal"/>
      </w:pPr>
      <w:r>
        <w:t>La fundamentación de la presente sentencia descansa en buena medida en los argumentos empleados por la mayoría del Pleno en la sentencia que estimó parcialmente el recurso de amparo núm. 6971-2022, interpuesto por doña Magdalena Álvarez Arza (STC 93/2024, de 19 de junio) contra las mismas resoluciones judiciales, que la condenaron por un delito de prevaricación en la pieza específica del conocido como “caso de los ERE de Andalucía”.</w:t>
      </w:r>
    </w:p>
    <w:p w14:paraId="4E21DB24" w14:textId="77777777" w:rsidR="003754FE" w:rsidRDefault="003754FE" w:rsidP="003754FE">
      <w:pPr>
        <w:pStyle w:val="TextoNormal"/>
      </w:pPr>
    </w:p>
    <w:p w14:paraId="40873D76" w14:textId="77777777" w:rsidR="003754FE" w:rsidRDefault="003754FE" w:rsidP="003754FE">
      <w:pPr>
        <w:pStyle w:val="TextoNormal"/>
      </w:pPr>
      <w:r>
        <w:t xml:space="preserve">Es procedente, por ello, que me remita a las consideraciones expuestas en el voto particular que suscribí juntamente con los magistrados señor Enríquez Sancho y señora Espejel </w:t>
      </w:r>
      <w:r>
        <w:lastRenderedPageBreak/>
        <w:t>Jorquera a la referida sentencia, y a las que formuló el magistrado señor Tolosa Tribiño en su voto, al que asimismo nos adherimos. Esta remisión se explica porque en cuanto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otro de los altos cargos de la Junta de Andalucía condenados en el referido asunto, en este supuesto por delitos de prevaricación y de malversación de caudales públicos. Se trata de don José Antonio Griñán Martínez, quien fuera consejero de Economía y Hacienda de la Junta de Andalucía desde el 24 de abril de 2004 al 23 de abril de 2009, y luego presidente de la Junta de Andalucía desde el 23 de abril de 2009 al 7 de septiembre de 2013, estando descritos los hechos por los que fue condenado en el relato de hechos probados y en el fundamento de Derecho 39 de la sentencia de la Audiencia Provincial de Sevilla, como se pone de manifiesto en el fundamento jurídico 2.4 de la presente sentencia del Tribunal Constitucional.</w:t>
      </w:r>
    </w:p>
    <w:p w14:paraId="004E7976" w14:textId="77777777" w:rsidR="003754FE" w:rsidRDefault="003754FE" w:rsidP="003754FE">
      <w:pPr>
        <w:pStyle w:val="TextoNormal"/>
      </w:pPr>
    </w:p>
    <w:p w14:paraId="738F2A5B" w14:textId="77777777" w:rsidR="003754FE" w:rsidRDefault="003754FE" w:rsidP="003754FE">
      <w:pPr>
        <w:pStyle w:val="TextoNormal"/>
      </w:pPr>
      <w:r>
        <w:t>Conviene recordar que las sentencias impugnadas en amparo condenaron al recurrente y a otros altos cargos de la Junta de Andalucía en la pieza específica del “caso de los ERE de Andalucía”, que planificaron un sistema de concesión y ejecución de ayudas sociolaborales excepcionales eludiendo el control del gasto público. Para ello idearon un mecanismo relativamente sencillo y sumamente eficaz, para la finalidad perseguida. Ese mecanismo fue el cambio de clasificación presupuestaria del gasto, asignándose las ayudas a la partida 440.12 del programa 31L ([t]ransferencias de financiación al IFA) por la Consejería de Empleo y Desarrollo Tecnológico y ejecutándolas el Instituto de Fomento de Andalucía (IFA), luego denominado a partir del año 2004 como Agencia de Innovación y Desarrollo de Andalucía (IDEA). De esta suerte, durante los años 2002 a 2009 no se siguió procedimiento administrativo alguno en la concesión de las ayudas, al otorgarse sin expediente de concesión (en muchos casos); sin publicidad en la concesión; sin fiscalización; sin informe de la Consejería de Presidencia sobre la notificación a la Comisión Europea; sin solicitud de los interesados y sin acreditarse la personalidad de los solicitantes; entre otras graves irregularidades que socavaron las reglas y los principios por los que se rige la actividad administrativa subvencional.</w:t>
      </w:r>
    </w:p>
    <w:p w14:paraId="28523044" w14:textId="77777777" w:rsidR="003754FE" w:rsidRDefault="003754FE" w:rsidP="003754FE">
      <w:pPr>
        <w:pStyle w:val="TextoNormal"/>
      </w:pPr>
    </w:p>
    <w:p w14:paraId="6D6CEB4E" w14:textId="77777777" w:rsidR="003754FE" w:rsidRDefault="003754FE" w:rsidP="003754FE">
      <w:pPr>
        <w:pStyle w:val="TextoNormal"/>
      </w:pPr>
      <w:r>
        <w:t xml:space="preserve">2. </w:t>
      </w:r>
      <w:r w:rsidRPr="003754FE">
        <w:rPr>
          <w:i/>
        </w:rPr>
        <w:t>Premisas erróneas: la pretendida virtud sanadora de las leyes de presupuestos de Andalucía para los años 2002 a 2009 y la atribución a la memoria económica de valor y eficacia complementaria de la ley de presupuestos</w:t>
      </w:r>
    </w:p>
    <w:p w14:paraId="45376A1D" w14:textId="77777777" w:rsidR="003754FE" w:rsidRDefault="003754FE" w:rsidP="003754FE">
      <w:pPr>
        <w:pStyle w:val="TextoNormal"/>
      </w:pPr>
    </w:p>
    <w:p w14:paraId="22A655F9" w14:textId="77777777" w:rsidR="003754FE" w:rsidRDefault="003754FE" w:rsidP="003754FE">
      <w:pPr>
        <w:pStyle w:val="TextoNormal"/>
      </w:pPr>
      <w:r>
        <w:t>Como en la STC 93/2024, la presente sentencia considera que la actuación del recurrente no puede entenderse subsumible en el delito continuado de prevaricación administrativa, en concurso medial con el delito continuado de malversación por los que ha sido condenado, conclusión que asienta sobre la premisa, a mi parecer errónea, de que obraba amparado por lo previsto en la correspondiente ley de presupuestos para cada ejercicio.</w:t>
      </w:r>
    </w:p>
    <w:p w14:paraId="5A6E79B6" w14:textId="77777777" w:rsidR="003754FE" w:rsidRDefault="003754FE" w:rsidP="003754FE">
      <w:pPr>
        <w:pStyle w:val="TextoNormal"/>
      </w:pPr>
    </w:p>
    <w:p w14:paraId="40DC2FDF" w14:textId="77777777" w:rsidR="003754FE" w:rsidRDefault="003754FE" w:rsidP="003754FE">
      <w:pPr>
        <w:pStyle w:val="TextoNormal"/>
      </w:pPr>
      <w:r>
        <w:t xml:space="preserve">Nada más lejos de la realidad. Las sentencias impugnadas en amparo han entendido que los trabajos preparatorios de esas leyes (la actividad “prelegislativa”), esto es, la actividad tendente a la elaboración de los anteproyectos de leyes que luego se convertirán en proyectos remitidos al Parlamento, puede considerarse integrante de un procedimiento administrativo y, por consiguiente, que las decisiones que se adoptan en ese ámbito pueden calificarse como resoluciones recaídas en asunto administrativo, que es el término empleado en el art. </w:t>
      </w:r>
      <w:r>
        <w:lastRenderedPageBreak/>
        <w:t>404 CP para el delito de prevaricación administrativa. Por las razones expresadas en el voto particular a la STC 93/2024, no me parece que esa interpretación realizada por la jurisdicción penal, en el ámbito que le compete conforme al art. 117.3 CE, pueda tildarse de irrazonable o imprevisible. A mi entender, los actos prelegislativos son susceptibles de control penal. Entender lo contrario, como hace la mayoría del Tribunal en la sentencia de la que disiento, equivale a consagrar un inadmisible ámbito de impunidad que resulta patentemente contrario a la Constitución.</w:t>
      </w:r>
    </w:p>
    <w:p w14:paraId="63D66CD1" w14:textId="77777777" w:rsidR="003754FE" w:rsidRDefault="003754FE" w:rsidP="003754FE">
      <w:pPr>
        <w:pStyle w:val="TextoNormal"/>
      </w:pPr>
    </w:p>
    <w:p w14:paraId="27AA6926" w14:textId="77777777" w:rsidR="003754FE" w:rsidRDefault="003754FE" w:rsidP="003754FE">
      <w:pPr>
        <w:pStyle w:val="TextoNormal"/>
      </w:pPr>
      <w:r>
        <w:t>La preparación del anteproyecto de ley de presupuestos es una labor netamente administrativa, sujeta a control y a responsabilidad. Es la presentación del proyecto de ley en el Parlamento el acto que inicia la tramitación parlamentaria. Estamos, pues, en el primer caso, ante actos administrativos insertos en un procedimiento administrativo reglado (a nivel estatal, el procedimiento por el que se rige la elaboración de los presupuestos generales del Estado es una orden del ministro de Hacienda, conforme al art. 36.2 LGP; en la comunidad autónoma andaluza, se trata de una orden de la Consejería competente). No es posible equiparar, por tanto, los anteproyectos de leyes (tramitación administrativa) con los proyectos de leyes (tramitación parlamentaria), ni tampoco equiparar los actos administrativos prelegislativos (reglados o discrecionales) con los políticos (del Gobierno) o legislativos (del Parlamento), ni mucho menos afirmar que los actos preparatorios o prelegislativos no se encuentran sometidos al Derecho Administrativo, para deducir de ello una absoluta irresponsabilidad penal de los autores de esa actuación prelegislativa, como hace la sentencia de la que disiento.</w:t>
      </w:r>
    </w:p>
    <w:p w14:paraId="7C963E74" w14:textId="77777777" w:rsidR="003754FE" w:rsidRDefault="003754FE" w:rsidP="003754FE">
      <w:pPr>
        <w:pStyle w:val="TextoNormal"/>
      </w:pPr>
    </w:p>
    <w:p w14:paraId="31BCE4E8" w14:textId="77777777" w:rsidR="003754FE" w:rsidRDefault="003754FE" w:rsidP="003754FE">
      <w:pPr>
        <w:pStyle w:val="TextoNormal"/>
      </w:pPr>
      <w:r>
        <w:t>Pero la sentencia aprobada por la mayoría va aún más lejos y, como en la STC 93/2024, sostiene que la conducta del recurrente, como la de otros condenados en la “pieza específica del caso de los ERE de Andalucía”, no merecía reproche penal ni desde la perspectiva del delito de prevaricación, ni desde la perspectiva del delito de malversación, por los que ha sido condenado, porque se amparaba en las leyes de presupuestos de Andalucía para los años 2002 a 2009, que “en su programa 31L, establecieron un sistema de atribución de fondos al IFA/IDEA (las transferencias de financiación) para la concesión de ayudas sociolaborales que, de acuerdo con lo establecido en sus propias memorias, habilitaban a la administración autonómica a conceder estas ayudas por tal vía” (fundamento jurídico 4), lo que habría supuesto la supresión de los controles y procedimiento propios del régimen de subvenciones.</w:t>
      </w:r>
    </w:p>
    <w:p w14:paraId="287AF7B2" w14:textId="77777777" w:rsidR="003754FE" w:rsidRDefault="003754FE" w:rsidP="003754FE">
      <w:pPr>
        <w:pStyle w:val="TextoNormal"/>
      </w:pPr>
    </w:p>
    <w:p w14:paraId="5B06602B" w14:textId="77777777" w:rsidR="003754FE" w:rsidRDefault="003754FE" w:rsidP="003754FE">
      <w:pPr>
        <w:pStyle w:val="TextoNormal"/>
      </w:pPr>
      <w:r>
        <w:t>Lo mismo se afirma respecto de las conductas calificadas de prevaricación y malversación por las sentencias impugnadas en amparo relativas a las modificaciones presupuestarias amparadas en el programa 31L, habidas con posterioridad a la aprobación de las distintas leyes de presupuestos, pues, asimismo, encontrarían cobijo en el “sistema de atribución de fondos al IFA/IDEA (las transferencias de financiación) para la concesión de ayudas sociolaborales”, según sostiene la mayoría del Pleno en la sentencia de la que disiento.</w:t>
      </w:r>
    </w:p>
    <w:p w14:paraId="1E88387C" w14:textId="77777777" w:rsidR="003754FE" w:rsidRDefault="003754FE" w:rsidP="003754FE">
      <w:pPr>
        <w:pStyle w:val="TextoNormal"/>
      </w:pPr>
    </w:p>
    <w:p w14:paraId="292E3129" w14:textId="77777777" w:rsidR="003754FE" w:rsidRDefault="003754FE" w:rsidP="003754FE">
      <w:pPr>
        <w:pStyle w:val="TextoNormal"/>
      </w:pPr>
      <w:r>
        <w:t xml:space="preserve">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subvenciones, en particular, la fiscalización previa por parte de la Intervención de la Junta de Andalucía. Se viene a afirmar que resulta imprevisible condenar por prevaricación y </w:t>
      </w:r>
      <w:r>
        <w:lastRenderedPageBreak/>
        <w:t>malversación conductas amparadas en lo dispuesto en el programa 31L incorporado a las leyes de presupuestos de Andalucía para los años 2002 a 2009. La ley curaría, según la mayoría del Tribunal, todo vicio y haría inatacable la actuación de los gestores públicos, que estarían habituados para actuar al margen de cualquier procedimiento y sin el control previo exigible en cualquier disposición de fondos públicos.</w:t>
      </w:r>
    </w:p>
    <w:p w14:paraId="3F60320D" w14:textId="77777777" w:rsidR="003754FE" w:rsidRDefault="003754FE" w:rsidP="003754FE">
      <w:pPr>
        <w:pStyle w:val="TextoNormal"/>
      </w:pPr>
    </w:p>
    <w:p w14:paraId="2D4E5882" w14:textId="77777777" w:rsidR="003754FE" w:rsidRDefault="003754FE" w:rsidP="003754FE">
      <w:pPr>
        <w:pStyle w:val="TextoNormal"/>
      </w:pPr>
      <w:r>
        <w:t>Según la sentencia aprobada por la mayoría del Tribunal, y de la que discrepo, la ley de presupuestos es erigida en un tótem todopoderoso que habilita a la administración para operar libérrimamente. Basta una partida, una cifra económica expresada en euros y un concepto genérico para entender que el organismo correspondiente está apoderado para saltarse procedimientos y controles, simplemente con el argumento de que no se establece en la ley a qué procedimiento o a qué control está sujeta esa actividad.</w:t>
      </w:r>
    </w:p>
    <w:p w14:paraId="4EEB1045" w14:textId="77777777" w:rsidR="003754FE" w:rsidRDefault="003754FE" w:rsidP="003754FE">
      <w:pPr>
        <w:pStyle w:val="TextoNormal"/>
      </w:pPr>
    </w:p>
    <w:p w14:paraId="50ACD4F1" w14:textId="77777777" w:rsidR="003754FE" w:rsidRDefault="003754FE" w:rsidP="003754FE">
      <w:pPr>
        <w:pStyle w:val="TextoNormal"/>
      </w:pPr>
      <w:r>
        <w:t>Semejante premisa, la de la supuesta cobertura de la actuación del recurrente en la legalidad presupuestaria, descansa en una errónea apreciación del contenido de las leyes de presupuestos consideradas. No es cierto que las sentencias de la jurisdicción penal que condenaron al recurrente hayan privado de toda relevancia a la circunstancia de la aprobación parlamentaria de las sucesivas leyes de presupuestos. Lo que sucede es que, frente a lo que de manera incorrecta ha entendido la mayoría en la sentencia de la que disiento, es que, en realidad, la introducción del programa 31L en las leyes de presupuestos andaluzas de los 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de lo Penal del Tribunal Supremo.</w:t>
      </w:r>
    </w:p>
    <w:p w14:paraId="5E586AE5" w14:textId="77777777" w:rsidR="003754FE" w:rsidRDefault="003754FE" w:rsidP="003754FE">
      <w:pPr>
        <w:pStyle w:val="TextoNormal"/>
      </w:pPr>
    </w:p>
    <w:p w14:paraId="669C7970" w14:textId="77777777" w:rsidR="003754FE" w:rsidRDefault="003754FE" w:rsidP="003754FE">
      <w:pPr>
        <w:pStyle w:val="TextoNormal"/>
      </w:pPr>
      <w:r>
        <w:t>Ambas resoluciones judiciales niegan con razón, por otra parte, el pretendido valor legal (tampoco normativo, por supuesto, pues no son normas jurídicas) que se pretende dar a las memorias presupuestarias, informes económico-financieros y fichas del programa 31L. La ausencia de eficacia vinculante de esa documentación anexa a las leyes de presupuestos resulta corroborada por diversos instrumentos legales, como ya se señaló en el voto particular conjunto a la STC 93/2024,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meras previsiones hipotéticas” (STC 63/1986, FJ 8). El argumento que utiliza la mayoría en la sentencia de la que discrepo, según el cual han de interpretarse las partidas presupuestarias conforme a la memoria, es fruto de un voluntarismo jurídico que no se puede compartir.</w:t>
      </w:r>
    </w:p>
    <w:p w14:paraId="3B6841F4" w14:textId="77777777" w:rsidR="003754FE" w:rsidRDefault="003754FE" w:rsidP="003754FE">
      <w:pPr>
        <w:pStyle w:val="TextoNormal"/>
      </w:pPr>
    </w:p>
    <w:p w14:paraId="1324B1BE" w14:textId="77777777" w:rsidR="003754FE" w:rsidRDefault="003754FE" w:rsidP="003754FE">
      <w:pPr>
        <w:pStyle w:val="TextoNormal"/>
      </w:pPr>
      <w:r>
        <w:t>En cuanto a las modificaciones presupuestarias producidas en los años 2005 a 2008, por las mismas razones que entendemos que las leyes de presupuestos que incluyeron desde el año 2002 esa célebre partida 440 del programa 31L no sanaron el vicio que arrastraban en cuanto a su oculta finalidad de eludir los controles previos de la Intervención, tampoco las modificaciones presupuestarias pueden escudarse en la ley de presupuestos.</w:t>
      </w:r>
    </w:p>
    <w:p w14:paraId="46ADEBEB" w14:textId="77777777" w:rsidR="003754FE" w:rsidRDefault="003754FE" w:rsidP="003754FE">
      <w:pPr>
        <w:pStyle w:val="TextoNormal"/>
      </w:pPr>
    </w:p>
    <w:p w14:paraId="176BCC18" w14:textId="77777777" w:rsidR="003754FE" w:rsidRDefault="003754FE" w:rsidP="003754FE">
      <w:pPr>
        <w:pStyle w:val="TextoNormal"/>
      </w:pPr>
      <w:r>
        <w:lastRenderedPageBreak/>
        <w:t>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correspondiente ley de presupuestos, excluyera la aplicación de la normativa general en materia de subvenciones.</w:t>
      </w:r>
    </w:p>
    <w:p w14:paraId="0CE265A9" w14:textId="77777777" w:rsidR="003754FE" w:rsidRDefault="003754FE" w:rsidP="003754FE">
      <w:pPr>
        <w:pStyle w:val="TextoNormal"/>
      </w:pPr>
    </w:p>
    <w:p w14:paraId="13773DC0" w14:textId="77777777" w:rsidR="003754FE" w:rsidRDefault="003754FE" w:rsidP="003754FE">
      <w:pPr>
        <w:pStyle w:val="TextoNormal"/>
      </w:pPr>
      <w:r>
        <w:t>Habida cuenta de lo anterior, no parece que la respuesta penal a la actuación del recurrente pueda calificarse de imprevisible. La razón de la condena del recurrente es clara: como con arreglo a la Ley 5/1983, de la hacienda pública de la Comunidad Autónoma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los altos cargos de la Junta de Andalucía implicados en la trama idearon como solución para eludir esos controles incluir una nueva partida en los presupuestos titulada de manera indeterminada para sus propios fines, eludiendo de este modo los controles exigibles con arreglo a una legalidad que no fue derogada por lo dispuesto en las en las leyes de presupuestos andaluzas de los años 2002 a 2009.</w:t>
      </w:r>
    </w:p>
    <w:p w14:paraId="753A3770" w14:textId="77777777" w:rsidR="003754FE" w:rsidRDefault="003754FE" w:rsidP="003754FE">
      <w:pPr>
        <w:pStyle w:val="TextoNormal"/>
      </w:pPr>
    </w:p>
    <w:p w14:paraId="5749AED4" w14:textId="77777777" w:rsidR="003754FE" w:rsidRDefault="003754FE" w:rsidP="003754FE">
      <w:pPr>
        <w:pStyle w:val="TextoNormal"/>
      </w:pPr>
      <w:r>
        <w:t>Ciertamente, las cosas podrían haber sucedido de otro modo. Las leyes de presupuestos andaluzas hubieran podido derogar esa legalidad, o excluirla para la concesión de esas ayudas, como hizo luego el Decreto-ley 4/2012 en la llamada “[t]ercera etapa” de los ERE (fundamento jurídico de la sentencia del Tribunal Supremo, “resumen de los hechos probados”), cuyo art.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a disponer, después, libérrimamente de los fondos incluidos en la partida 440 del programa 31L y solo y exclusivamente en esa partida.</w:t>
      </w:r>
    </w:p>
    <w:p w14:paraId="5D400389" w14:textId="77777777" w:rsidR="003754FE" w:rsidRDefault="003754FE" w:rsidP="003754FE">
      <w:pPr>
        <w:pStyle w:val="TextoNormal"/>
      </w:pPr>
    </w:p>
    <w:p w14:paraId="3823EC43" w14:textId="77777777" w:rsidR="003754FE" w:rsidRDefault="003754FE" w:rsidP="003754FE">
      <w:pPr>
        <w:pStyle w:val="TextoNormal"/>
      </w:pPr>
      <w:r>
        <w:t>La consecuencia de ello es que las conductas enjuiciadas del recurrente fueron correctamente subsumidas en los delitos continuados de prevaricación y malversación, porque el programa 31L no concedía una cobertura legal para conceder ayudas con elusión de los controles previstos en la normativa subvencional, pues nada se establecía en las leyes de presupuestos en tal sentido. La omisión de aquellos controles permitió que se dispusiera libremente de las ingentes cantidades dinerarias a las que se refieren los hechos probados de las sentencias impugnadas en amparo, ocasionando un grave quebranto a la hacienda pública.</w:t>
      </w:r>
    </w:p>
    <w:p w14:paraId="06B82A5C" w14:textId="77777777" w:rsidR="003754FE" w:rsidRDefault="003754FE" w:rsidP="003754FE">
      <w:pPr>
        <w:pStyle w:val="TextoNormal"/>
      </w:pPr>
    </w:p>
    <w:p w14:paraId="75CE6F5A" w14:textId="77777777" w:rsidR="003754FE" w:rsidRDefault="003754FE" w:rsidP="003754FE">
      <w:pPr>
        <w:pStyle w:val="TextoNormal"/>
      </w:pPr>
      <w:r>
        <w:t xml:space="preserve">3. </w:t>
      </w:r>
      <w:r w:rsidRPr="003754FE">
        <w:rPr>
          <w:i/>
        </w:rPr>
        <w:t>La presente sentencia desconoce los principios constitucionales rectores del gasto público y su control</w:t>
      </w:r>
    </w:p>
    <w:p w14:paraId="1ACB55E4" w14:textId="77777777" w:rsidR="003754FE" w:rsidRDefault="003754FE" w:rsidP="003754FE">
      <w:pPr>
        <w:pStyle w:val="TextoNormal"/>
      </w:pPr>
    </w:p>
    <w:p w14:paraId="695ECC8D" w14:textId="77777777" w:rsidR="003754FE" w:rsidRDefault="003754FE" w:rsidP="003754FE">
      <w:pPr>
        <w:pStyle w:val="TextoNormal"/>
      </w:pPr>
      <w:r>
        <w:t>En un precepto original en el Derecho Constitucional contemporáneo, la Constitución en su art. 31.2 establece: “El gasto público realizará una asignación equitativa de los recursos públicos, y su programación y ejecución responderán a los criterios de eficiencia y economía”.</w:t>
      </w:r>
    </w:p>
    <w:p w14:paraId="6F8AFD46" w14:textId="77777777" w:rsidR="003754FE" w:rsidRDefault="003754FE" w:rsidP="003754FE">
      <w:pPr>
        <w:pStyle w:val="TextoNormal"/>
      </w:pPr>
    </w:p>
    <w:p w14:paraId="1E030F55" w14:textId="77777777" w:rsidR="003754FE" w:rsidRDefault="003754FE" w:rsidP="003754FE">
      <w:pPr>
        <w:pStyle w:val="TextoNormal"/>
      </w:pPr>
      <w:r>
        <w:t>La referencia que hace el art. 31.2 CE a la justicia de los criterios de reparto del gasto público fue introducida en el Senado a través de la enmienda propuesta por el profesor Fuentes Quintana, quien en defensa de la misma enfatizó que lo que se pretende es “que el gasto publico sirva al fin de la justicia (solicitando, por ello una asignación equitativa de los recursos públicos) y a los principios de la eficiencia y economicidad (requisito obligado para justificar la racionalidad de todo gasto publico)”. Y ello porque “el gasto no solamente constituye en este sentido un derecho del ciudadano; mi derecho, en cuanto ciudadano, a los gastos públicos no es solo a que prepondere la equidad en su distribución, sino también a que su programación, su presupuestación y su control tengan lugar con arreglo a los principios de economicidad y eficiencia. La economicidad y eficiencia deben ser mandatos obligados para el gasto público y para el gasto privado y, naturalmente, son derechos de los individuos, porque en la medida en que el Estado despilfarra el contenido del conjunto en sus gastos públicos, es evidente que lo que está haciendo es malbaratar el conjunto, no defender el conjunto de los derechos individuales de los ciudadanos” (“Diario de Sesiones del Senado”, núm. 45, de 29 de agosto de 1978, enmienda núm. 674, presentada en el seno de la Comisión Constitucional).</w:t>
      </w:r>
    </w:p>
    <w:p w14:paraId="3F29B7F2" w14:textId="77777777" w:rsidR="003754FE" w:rsidRDefault="003754FE" w:rsidP="003754FE">
      <w:pPr>
        <w:pStyle w:val="TextoNormal"/>
      </w:pPr>
    </w:p>
    <w:p w14:paraId="5DC8DB22" w14:textId="77777777" w:rsidR="003754FE" w:rsidRDefault="003754FE" w:rsidP="003754FE">
      <w:pPr>
        <w:pStyle w:val="TextoNormal"/>
      </w:pPr>
      <w:r>
        <w:t>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puede hacer el Estado a través del Tribunal de Cuentas sobre la actividad financiera de las corporaciones locales. Pueden coexistir y superponerse, sin perjuicio de “evitar duplicidades innecesarias o disfuncionalidades”, que serían contrarias al art. 31.2 CE. También en la STC 204/1992, de 26 de noviembre, sobre los consejos consultivos autonómicos y el Consejo de Estado, si bien aquí el Tribunal añade al art. 31.2 CE el art. 103.1 CE, que obliga a la administración pública a actuar con sujeción tanto al principio de legalidad (lo que incluye la legalidad presupuestaria, claro está), como al principio de eficacia administrativa).</w:t>
      </w:r>
    </w:p>
    <w:p w14:paraId="6C7A9FE0" w14:textId="77777777" w:rsidR="003754FE" w:rsidRDefault="003754FE" w:rsidP="003754FE">
      <w:pPr>
        <w:pStyle w:val="TextoNormal"/>
      </w:pPr>
    </w:p>
    <w:p w14:paraId="28A299B1" w14:textId="77777777" w:rsidR="003754FE" w:rsidRDefault="003754FE" w:rsidP="003754FE">
      <w:pPr>
        <w:pStyle w:val="TextoNormal"/>
      </w:pPr>
      <w:r>
        <w:t>Pero, sin duda, el pronunciamiento más importante se contiene en la STC 45/2017, de 27 de abril, en la que se afirma que “la actividad financiera de las distintas haciendas [ha de] asegurar los principios constitucionales que, conforme a la Constitución han de regir el gasto público: legalidad (art. 133.4 CE), eficiencia y economía (art. 31.2 CE), asignación equitativa de los recursos públicos (art. 31.2 CE), subordinación de la riqueza al interés general (art. 128.1 CE), estabilidad presupuestaria (art. 135 CE […]) y control (art. 136 CE)”.</w:t>
      </w:r>
    </w:p>
    <w:p w14:paraId="67E672C7" w14:textId="77777777" w:rsidR="003754FE" w:rsidRDefault="003754FE" w:rsidP="003754FE">
      <w:pPr>
        <w:pStyle w:val="TextoNormal"/>
      </w:pPr>
    </w:p>
    <w:p w14:paraId="19F3B102" w14:textId="77777777" w:rsidR="003754FE" w:rsidRDefault="003754FE" w:rsidP="003754FE">
      <w:pPr>
        <w:pStyle w:val="TextoNormal"/>
      </w:pPr>
      <w:r>
        <w:t xml:space="preserve">Sobre el principio de legalidad (que la sentencia presenta como respetado y salvífico para el recurrente) ya me he expresado, sin perjuicio de volver después. Me importa detenerme ahora en los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w:t>
      </w:r>
      <w:r>
        <w:lastRenderedPageBreak/>
        <w:t>pagos. Ello queda confirmado, por lo demás, en un precepto transversal de nuestra Constitución, íntimamente ligado, entre otros, al citado art. 31.2 CE, y que no es otro que el también citado art. 103.1 CE, a cuyo tenor “[l]a Administración Pública sirve con objetividad 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14:paraId="3629B18E" w14:textId="77777777" w:rsidR="003754FE" w:rsidRDefault="003754FE" w:rsidP="003754FE">
      <w:pPr>
        <w:pStyle w:val="TextoNormal"/>
      </w:pPr>
    </w:p>
    <w:p w14:paraId="15DDCF7E" w14:textId="77777777" w:rsidR="003754FE" w:rsidRDefault="003754FE" w:rsidP="003754FE">
      <w:pPr>
        <w:pStyle w:val="TextoNormal"/>
      </w:pPr>
      <w: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enunciadas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w:t>
      </w:r>
      <w:r w:rsidRPr="003754FE">
        <w:rPr>
          <w:i/>
        </w:rPr>
        <w:t>in fine</w:t>
      </w:r>
      <w:r>
        <w:t xml:space="preserve"> que el sometimiento de la administración pública a la ley y al Derecho sea pleno, o sea completo, sin excepción ni matiz, lo que corrobora el enunciado del art. 106.1 CE.</w:t>
      </w:r>
    </w:p>
    <w:p w14:paraId="06CCECB7" w14:textId="77777777" w:rsidR="003754FE" w:rsidRDefault="003754FE" w:rsidP="003754FE">
      <w:pPr>
        <w:pStyle w:val="TextoNormal"/>
      </w:pPr>
    </w:p>
    <w:p w14:paraId="74551AFB" w14:textId="77777777" w:rsidR="003754FE" w:rsidRDefault="003754FE" w:rsidP="003754FE">
      <w:pPr>
        <w:pStyle w:val="TextoNormal"/>
      </w:pPr>
      <w:r>
        <w:t xml:space="preserve">Si el fraude fiscal es una de las agresiones más graves al interés común de los ciudadanos, la malversación de los caudales públicos es otra no menos importante. Como la lucha contra el fraude fiscal, la lucha contra la corrupción es otro objetivo o mandato que la Constitución impone a todos los poderes públicos. Ese mandato deriva del deber constitucional de realizar una asignación equitativa de los recursos públicos en el marco de una programación y ejecución basada en los criterios de eficiencia y economía (art. 31.1 CE). La justicia financiera no se limita a la vertiente del ingreso; debe atender con la misma fuerza a la del gasto ¿De qué vale defender la ética en el ingreso si luego no se exige la correlativa ética en el gasto? La mala, negligente o indebida gestión de los recursos públicos compromete el cumplimiento de los fines de un Estado social y democrático de Derecho (art. 1.1 CE). El Tribunal del que formo parte ha renunciado de nuevo a formar una doctrina en cuestión tan nuclear como de tan vieja raigambre en la sociedad. En efecto, ya la Carta Magna inglesa de 1215 reconoció el derecho de los ciudadanos, no solo a consentir tributos, sino también a conocer su justificación y el destino a que se afectaban, derechos que recogió el </w:t>
      </w:r>
      <w:r w:rsidRPr="003754FE">
        <w:rPr>
          <w:i/>
        </w:rPr>
        <w:t>Bill of Rights</w:t>
      </w:r>
      <w:r>
        <w:t xml:space="preserve"> de 1689 y más adelante la Declaración de los derechos del hombre y del ciudadano de 1789 y nuestra Constitución de Cádiz de 1812.</w:t>
      </w:r>
    </w:p>
    <w:p w14:paraId="101822FE" w14:textId="77777777" w:rsidR="003754FE" w:rsidRDefault="003754FE" w:rsidP="003754FE">
      <w:pPr>
        <w:pStyle w:val="TextoNormal"/>
      </w:pPr>
    </w:p>
    <w:p w14:paraId="7F1795FF" w14:textId="77777777" w:rsidR="003754FE" w:rsidRDefault="003754FE" w:rsidP="003754FE">
      <w:pPr>
        <w:pStyle w:val="TextoNormal"/>
      </w:pPr>
      <w:r>
        <w:t>Adelanto ya que las conclusiones a las que llega la sentencia de este tribunal de la que disiento no se acomodan a estos principios constitucionales, pues se asientan en la incertidumbre jurídica, en la irresponsabilidad, y en la falta de objetividad y de transparencia de la administración pública.</w:t>
      </w:r>
    </w:p>
    <w:p w14:paraId="73EC094D" w14:textId="77777777" w:rsidR="003754FE" w:rsidRDefault="003754FE" w:rsidP="003754FE">
      <w:pPr>
        <w:pStyle w:val="TextoNormal"/>
      </w:pPr>
    </w:p>
    <w:p w14:paraId="5B9C95A6" w14:textId="77777777" w:rsidR="003754FE" w:rsidRDefault="003754FE" w:rsidP="003754FE">
      <w:pPr>
        <w:pStyle w:val="TextoNormal"/>
      </w:pPr>
      <w:r>
        <w:t xml:space="preserve">La sentencia de este tribunal descubre con la linterna de Diógenes el argumento de la salvadora ley de presupuestos que todo lo ampara y que borra toda responsabilidad penal en la conducta del recurrente y de otros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w:t>
      </w:r>
      <w:r>
        <w:lastRenderedPageBreak/>
        <w:t xml:space="preserve">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w:t>
      </w:r>
      <w:r w:rsidRPr="003754FE">
        <w:rPr>
          <w:i/>
        </w:rPr>
        <w:t>ius</w:t>
      </w:r>
      <w:r>
        <w:t xml:space="preserve">. La ley no agota el ámbito del Derecho, que es algo más. Y en ese algo más están desde luego los principios actuales de actuación de las administraciones públicas, que enuncian muy en particular los arts. 9.3, 31.2, 103.1, 105 y 106.1 CE, y los propios principios generales del Derecho, que no tienen por qué ser norma escrita y que sintetizan nuestra cultura jurídica, que es la propia de un Estado constitucional y democrático de Derecho (art. 1.1 CE). Y, por supuesto, en el </w:t>
      </w:r>
      <w:r w:rsidRPr="003754FE">
        <w:rPr>
          <w:i/>
        </w:rPr>
        <w:t>ius</w:t>
      </w:r>
      <w:r>
        <w:t xml:space="preserve"> están también los principios del Derecho de la Unión Europea, a los que luego me referiré.</w:t>
      </w:r>
    </w:p>
    <w:p w14:paraId="48A4BA74" w14:textId="77777777" w:rsidR="003754FE" w:rsidRDefault="003754FE" w:rsidP="003754FE">
      <w:pPr>
        <w:pStyle w:val="TextoNormal"/>
      </w:pPr>
    </w:p>
    <w:p w14:paraId="6DF6810F" w14:textId="77777777" w:rsidR="003754FE" w:rsidRDefault="003754FE" w:rsidP="003754FE">
      <w:pPr>
        <w:pStyle w:val="TextoNormal"/>
      </w:pPr>
      <w:r>
        <w:t>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no es nunca ilimitado ni puede ejercerse al puro arbitrio o capricho de quienes lo lleven a 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14:paraId="422BCE85" w14:textId="77777777" w:rsidR="003754FE" w:rsidRDefault="003754FE" w:rsidP="003754FE">
      <w:pPr>
        <w:pStyle w:val="TextoNormal"/>
      </w:pPr>
    </w:p>
    <w:p w14:paraId="691C1984" w14:textId="77777777" w:rsidR="003754FE" w:rsidRDefault="003754FE" w:rsidP="003754FE">
      <w:pPr>
        <w:pStyle w:val="TextoNormal"/>
      </w:pPr>
      <w:r>
        <w:t xml:space="preserve">4. </w:t>
      </w:r>
      <w:r w:rsidRPr="003754FE">
        <w:rPr>
          <w:i/>
        </w:rPr>
        <w:t>Sobre la aplicación de los principios del Derecho de la Unión Europea en materia de control del gasto público, como dique de contención en la lucha contra el fraude y la corrupción política</w:t>
      </w:r>
    </w:p>
    <w:p w14:paraId="4047182B" w14:textId="77777777" w:rsidR="003754FE" w:rsidRDefault="003754FE" w:rsidP="003754FE">
      <w:pPr>
        <w:pStyle w:val="TextoNormal"/>
      </w:pPr>
    </w:p>
    <w:p w14:paraId="1FBBE1B3" w14:textId="77777777" w:rsidR="003754FE" w:rsidRDefault="003754FE" w:rsidP="003754FE">
      <w:pPr>
        <w:pStyle w:val="TextoNormal"/>
      </w:pPr>
      <w:r>
        <w:t>Si bien el Derecho de la Unión Europea no es directamente aplicable en el asunto que nos ocupa, al no tener los fondos públicos malversados origen comunitario, no puede desconocerse que los principios del Derecho de la Unión Europea sobre el control del gasto público son muy relevantes para analizar la regularidad de la actuación de los gestores de los caudales públicos. En tal sentido, no me parece aventurado afirmar que esa gestión, en el conocido como “caso de los ERE de Andalucía”, y como se desprende de las sentencias condenatorias que se impugnan en amparo, ha sido contraria no solo a los principios del Derecho interno, sino también a los principios del Derecho de la Unión Europea.</w:t>
      </w:r>
    </w:p>
    <w:p w14:paraId="55E39351" w14:textId="77777777" w:rsidR="003754FE" w:rsidRDefault="003754FE" w:rsidP="003754FE">
      <w:pPr>
        <w:pStyle w:val="TextoNormal"/>
      </w:pPr>
    </w:p>
    <w:p w14:paraId="2D3CBC0C" w14:textId="77777777" w:rsidR="003754FE" w:rsidRDefault="003754FE" w:rsidP="003754FE">
      <w:pPr>
        <w:pStyle w:val="TextoNormal"/>
      </w:pPr>
      <w:r>
        <w:t xml:space="preserve">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w:t>
      </w:r>
      <w:r>
        <w:lastRenderedPageBreak/>
        <w:t>peligro los intereses financieros del poder público y sería, contraria al Derecho de la Unión Europea.</w:t>
      </w:r>
    </w:p>
    <w:p w14:paraId="393BFA95" w14:textId="77777777" w:rsidR="003754FE" w:rsidRDefault="003754FE" w:rsidP="003754FE">
      <w:pPr>
        <w:pStyle w:val="TextoNormal"/>
      </w:pPr>
    </w:p>
    <w:p w14:paraId="0788662C" w14:textId="77777777" w:rsidR="003754FE" w:rsidRDefault="003754FE" w:rsidP="003754FE">
      <w:pPr>
        <w:pStyle w:val="TextoNormal"/>
      </w:pPr>
      <w: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el fraude. Conforme al art. 325 del Tratado de funcionamiento de la Unión Europea (TFUE), relativo a la lucha contra el fraude, “1. La Unión y los Estados miembros </w:t>
      </w:r>
      <w:r w:rsidRPr="003754FE">
        <w:rPr>
          <w:i/>
        </w:rPr>
        <w:t>combatirán el fraude y toda actividad ilegal</w:t>
      </w:r>
      <w:r>
        <w:t xml:space="preserve"> que afecte a los intereses financieros de la Unión mediante medidas adoptadas en virtud de lo dispuesto en el presente artículo, que deberán tener un </w:t>
      </w:r>
      <w:r w:rsidRPr="003754FE">
        <w:rPr>
          <w:i/>
        </w:rPr>
        <w:t>efecto disuasorio</w:t>
      </w:r>
      <w:r>
        <w:t xml:space="preserve"> y ser capaces de ofrecer una protección eficaz en los Estados miembros y en las instituciones, órganos y organismos de la Unión. 2. Los Estados miembros adoptarán para combatir el fraude que afecte a los intereses financieros de la Unión </w:t>
      </w:r>
      <w:r w:rsidRPr="003754FE">
        <w:rPr>
          <w:i/>
        </w:rPr>
        <w:t>las mismas medidas</w:t>
      </w:r>
      <w:r>
        <w:t xml:space="preserve"> que para combatir el fraude que afecte a sus propios intereses financieros”.</w:t>
      </w:r>
    </w:p>
    <w:p w14:paraId="043BC5F8" w14:textId="77777777" w:rsidR="003754FE" w:rsidRDefault="003754FE" w:rsidP="003754FE">
      <w:pPr>
        <w:pStyle w:val="TextoNormal"/>
      </w:pPr>
    </w:p>
    <w:p w14:paraId="7C4E3E20" w14:textId="77777777" w:rsidR="003754FE" w:rsidRDefault="003754FE" w:rsidP="003754FE">
      <w:pPr>
        <w:pStyle w:val="TextoNormal"/>
      </w:pPr>
      <w:r>
        <w:t xml:space="preserve">En cuanto a los principios que deben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STJUE de 21 de diciembre de 2021, </w:t>
      </w:r>
      <w:r w:rsidRPr="003754FE">
        <w:rPr>
          <w:i/>
        </w:rPr>
        <w:t>Euro Box Promotion y otros</w:t>
      </w:r>
      <w:r>
        <w:t>, asuntos acumulados C‑357/19, C‑379/19, C‑547/19, C‑811/19 y C‑840/19 (y jurisprudencia citada en esta), recordando las líneas más importantes de esa doctrina, de las que interesa destacar las siguientes:</w:t>
      </w:r>
    </w:p>
    <w:p w14:paraId="33E02501" w14:textId="77777777" w:rsidR="003754FE" w:rsidRDefault="003754FE" w:rsidP="003754FE">
      <w:pPr>
        <w:pStyle w:val="TextoNormal"/>
      </w:pPr>
    </w:p>
    <w:p w14:paraId="204676DD" w14:textId="77777777" w:rsidR="003754FE" w:rsidRDefault="003754FE" w:rsidP="003754FE">
      <w:pPr>
        <w:pStyle w:val="TextoNormal"/>
      </w:pPr>
      <w:r>
        <w:t xml:space="preserve">a) Por lo que se refiere a las obligaciones derivadas del art. 325.1 TFUE, esta disposición impone a los Estados miembros el deber de luchar contra el fraude y </w:t>
      </w:r>
      <w:r w:rsidRPr="003754FE">
        <w:rPr>
          <w:i/>
        </w:rPr>
        <w:t>toda actividad ilegal que afecte a los intereses financieros</w:t>
      </w:r>
      <w:r>
        <w:t xml:space="preserve"> de la Unión mediante medidas disuasorias y eficaces. Medidas de lucha que deben ser equivalentes a las medidas implementadas en el ámbito nacional.</w:t>
      </w:r>
    </w:p>
    <w:p w14:paraId="2FEF0A5F" w14:textId="77777777" w:rsidR="003754FE" w:rsidRDefault="003754FE" w:rsidP="003754FE">
      <w:pPr>
        <w:pStyle w:val="TextoNormal"/>
      </w:pPr>
    </w:p>
    <w:p w14:paraId="1F14CC4E" w14:textId="77777777" w:rsidR="003754FE" w:rsidRDefault="003754FE" w:rsidP="003754FE">
      <w:pPr>
        <w:pStyle w:val="TextoNormal"/>
      </w:pPr>
      <w:r>
        <w:t xml:space="preserve">b) Por otra parte, en lo referente a la expresión “toda actividad ilegal”, que figura en el art. 325.1 TFUE, recuerda el Tribunal de Justicia que ese concepto comprende en particular todo acto de corrupción de los funcionarios o todo </w:t>
      </w:r>
      <w:r w:rsidRPr="003754FE">
        <w:rPr>
          <w:i/>
        </w:rPr>
        <w:t>abuso</w:t>
      </w:r>
      <w:r>
        <w:t xml:space="preserve">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acción, como ocurre, por ejemplo, </w:t>
      </w:r>
      <w:r w:rsidRPr="003754FE">
        <w:rPr>
          <w:i/>
        </w:rPr>
        <w:t>con la omisión por parte de un funcionario de efectuar los controles y las comprobaciones exigidas respecto de los gastos cubiertos por el presupuesto de la Unión o la autorización de gastos inadecuados o incorrectos de los fondos de la Unión</w:t>
      </w:r>
      <w:r>
        <w:t>.</w:t>
      </w:r>
    </w:p>
    <w:p w14:paraId="0A73002A" w14:textId="77777777" w:rsidR="003754FE" w:rsidRDefault="003754FE" w:rsidP="003754FE">
      <w:pPr>
        <w:pStyle w:val="TextoNormal"/>
      </w:pPr>
    </w:p>
    <w:p w14:paraId="248C445C" w14:textId="77777777" w:rsidR="003754FE" w:rsidRDefault="003754FE" w:rsidP="003754FE">
      <w:pPr>
        <w:pStyle w:val="TextoNormal"/>
      </w:pPr>
      <w:r>
        <w:t xml:space="preserve">c) Además, subraya el Tribunal de Justicia que los Estados deben garantizar que las normas de Derecho penal y de procedimiento penal permitan una represión eficaz de los delitos de fraude que afecten a los intereses financieros de la Unión y </w:t>
      </w:r>
      <w:r w:rsidRPr="003754FE">
        <w:rPr>
          <w:i/>
        </w:rPr>
        <w:t>de corrupción en general</w:t>
      </w:r>
      <w:r>
        <w:t xml:space="preserve">. Esta exigencia de efectividad se extiende necesariamente tanto a las acciones penales y a las sanciones de los delitos de fraude que afecten a los intereses financieros de la Unión y de </w:t>
      </w:r>
      <w:r w:rsidRPr="003754FE">
        <w:rPr>
          <w:i/>
        </w:rPr>
        <w:t>corrupción en general</w:t>
      </w:r>
      <w:r>
        <w:t xml:space="preserve"> como a la aplicación de las penas impuestas, en la medida en que, </w:t>
      </w:r>
      <w:r>
        <w:lastRenderedPageBreak/>
        <w:t xml:space="preserve">de no existir una ejecución efectiva de las sanciones, estas no pueden ser eficaces y disuasorias; todo ello para evitar un </w:t>
      </w:r>
      <w:r w:rsidRPr="003754FE">
        <w:rPr>
          <w:i/>
        </w:rPr>
        <w:t>riesgo sistémico de impunidad</w:t>
      </w:r>
      <w:r>
        <w:t xml:space="preserve"> de los hechos constitutivos de tales delitos, así como garantizar la protección de los derechos fundamentales de las personas acusadas.</w:t>
      </w:r>
    </w:p>
    <w:p w14:paraId="61D8D334" w14:textId="77777777" w:rsidR="003754FE" w:rsidRDefault="003754FE" w:rsidP="003754FE">
      <w:pPr>
        <w:pStyle w:val="TextoNormal"/>
      </w:pPr>
    </w:p>
    <w:p w14:paraId="3551F86E" w14:textId="77777777" w:rsidR="003754FE" w:rsidRDefault="003754FE" w:rsidP="003754FE">
      <w:pPr>
        <w:pStyle w:val="TextoNormal"/>
      </w:pPr>
      <w:r>
        <w:t xml:space="preserve">Por otra parte, a los órganos jurisdiccionales nacionales les corresponde dar plenos efectos a las obligaciones que resultan del art. 325.1 TFUE, así como de la Decisión 2006/928, y </w:t>
      </w:r>
      <w:r w:rsidRPr="003754FE">
        <w:rPr>
          <w:i/>
        </w:rPr>
        <w:t>dejar sin aplicación disposiciones internas que, en el marco de un procedimiento relativo a delitos graves de fraude que afecten a los intereses financieros de la Unión o a delitos de corrupción en general, impiden la aplicación de sanciones eficaces y disuasorias para luchar contra tales delitos</w:t>
      </w:r>
      <w:r>
        <w:t>.</w:t>
      </w:r>
    </w:p>
    <w:p w14:paraId="363EC1AB" w14:textId="77777777" w:rsidR="003754FE" w:rsidRDefault="003754FE" w:rsidP="003754FE">
      <w:pPr>
        <w:pStyle w:val="TextoNormal"/>
      </w:pPr>
    </w:p>
    <w:p w14:paraId="491879DF" w14:textId="77777777" w:rsidR="003754FE" w:rsidRDefault="003754FE" w:rsidP="003754FE">
      <w:pPr>
        <w:pStyle w:val="TextoNormal"/>
      </w:pPr>
      <w:r>
        <w:t xml:space="preserve">Pues bien, teniendo en cuenta que, </w:t>
      </w:r>
      <w:r w:rsidRPr="003754FE">
        <w:rPr>
          <w:i/>
        </w:rPr>
        <w:t>ex</w:t>
      </w:r>
      <w:r>
        <w:t xml:space="preserve">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el recurrente. Lo que entre otras cosas significa que no existe razón para entender que el control interno de esa gestión de fondos públicos deba ser menos intenso que el que se aplicaría si los fondos malversados hubieran sido europeos.</w:t>
      </w:r>
    </w:p>
    <w:p w14:paraId="13B1C81D" w14:textId="77777777" w:rsidR="003754FE" w:rsidRDefault="003754FE" w:rsidP="003754FE">
      <w:pPr>
        <w:pStyle w:val="TextoNormal"/>
      </w:pPr>
    </w:p>
    <w:p w14:paraId="3366B14D" w14:textId="77777777" w:rsidR="003754FE" w:rsidRDefault="003754FE" w:rsidP="003754FE">
      <w:pPr>
        <w:pStyle w:val="TextoNormal"/>
      </w:pPr>
      <w:r>
        <w:t>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el recurrente y el resto de implicados de la Junta de Andalucía pretendiesen a partir de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14:paraId="4AE00611" w14:textId="77777777" w:rsidR="003754FE" w:rsidRDefault="003754FE" w:rsidP="003754FE">
      <w:pPr>
        <w:pStyle w:val="TextoNormal"/>
      </w:pPr>
    </w:p>
    <w:p w14:paraId="55D92EE7" w14:textId="77777777" w:rsidR="003754FE" w:rsidRDefault="003754FE" w:rsidP="003754FE">
      <w:pPr>
        <w:pStyle w:val="TextoNormal"/>
      </w:pPr>
      <w:r>
        <w:t>En todo caso, es cierto que ha quedado acreditado, como resulta de las sentencias impugnadas en amparo, que en el conocido como “caso de los ERE de Andalucía”, se buscó de manera intencionada la elusión de los controles ordinarios del gasto público, lo que supuso 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14:paraId="17791E0E" w14:textId="77777777" w:rsidR="003754FE" w:rsidRDefault="003754FE" w:rsidP="003754FE">
      <w:pPr>
        <w:pStyle w:val="TextoNormal"/>
      </w:pPr>
    </w:p>
    <w:p w14:paraId="65A66B24" w14:textId="77777777" w:rsidR="003754FE" w:rsidRDefault="003754FE" w:rsidP="003754FE">
      <w:pPr>
        <w:pStyle w:val="TextoNormal"/>
      </w:pPr>
      <w:r>
        <w:t xml:space="preserve">En definitiva, llama poderosamente la atención el elocuente contraste entre la protección reforzada que la Unión Europea atribuye al delito de malversación de caudales públicos y la respuesta dada por esta y las restantes sentencias de este tribunal a uno de los casos más </w:t>
      </w:r>
      <w:r>
        <w:lastRenderedPageBreak/>
        <w:t>graves de corrupción política institucionalizada en España. Una sentencia que no ha dudado en desbordar los límites del control que a este tribunal corresponden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penal que no puede calificarse de imprevisible ni irrazonable, habían condenado al demandante de amparo como autor de un delito continuado de prevaricación, en concurso medial con un delito continuado de malversación. Por eso, resulta especialmente difícil conciliar la decisión de la sentencia de este tribunal, que conduce a la postre a dejar impunes unas conductas de especial gravedad cometidas por unos concretos responsables políticos en el desempeño de sus funciones públicas, con el esfuerzo de la Unión Europea por eliminar márgenes de impunidad para prevenir la corrupción política.</w:t>
      </w:r>
    </w:p>
    <w:p w14:paraId="2D02F49D" w14:textId="77777777" w:rsidR="003754FE" w:rsidRDefault="003754FE" w:rsidP="003754FE">
      <w:pPr>
        <w:pStyle w:val="TextoNormal"/>
      </w:pPr>
    </w:p>
    <w:p w14:paraId="6EE43980" w14:textId="77777777" w:rsidR="003754FE" w:rsidRDefault="003754FE" w:rsidP="003754FE">
      <w:pPr>
        <w:pStyle w:val="TextoNormal"/>
      </w:pPr>
      <w:r>
        <w:t xml:space="preserve">5. </w:t>
      </w:r>
      <w:r w:rsidRPr="003754FE">
        <w:rPr>
          <w:i/>
        </w:rPr>
        <w:t>Colofón: las sentencias impugnadas en amparo no vulneraron los derechos del recurrente a la legalidad penal y a la presunción de inocencia</w:t>
      </w:r>
    </w:p>
    <w:p w14:paraId="531D6046" w14:textId="77777777" w:rsidR="003754FE" w:rsidRDefault="003754FE" w:rsidP="003754FE">
      <w:pPr>
        <w:pStyle w:val="TextoNormal"/>
      </w:pPr>
    </w:p>
    <w:p w14:paraId="2AB20954" w14:textId="77777777" w:rsidR="003754FE" w:rsidRDefault="003754FE" w:rsidP="003754FE">
      <w:pPr>
        <w:pStyle w:val="TextoNormal"/>
      </w:pPr>
      <w:r>
        <w:t>La argumentación silogística a la que recurre la sentencia le lleva a concluir: (i) solo se puede prevaricar en actuaciones administrativas; los actos del recurrente no tenían naturaleza administrativa; luego el recurrente no podía prevaricar; (ii) solo puede malversar quien incumple la ley; el recurrente se limitó a cumplir con la ley (ejecutar los créditos presupuestarios); luego el recurrente no podía malversar; y (iii) la ley de presupuestos no legitima la disposición ilegal de los créditos aprobados; es ilegal el uso de fondos para fines distintos de los previstos o sin causa justificativa; luego no hay prueba de que el recurrente conociera el uso ilegal de los fondos. En el primero y en el segundo supuesto, tras crear las dos primeras proposiciones, la tercera es una consecuencia necesaria; en el tercer supuesto, se produce una quiebra lógica entre las diferentes proposiciones.</w:t>
      </w:r>
    </w:p>
    <w:p w14:paraId="65A00A29" w14:textId="77777777" w:rsidR="003754FE" w:rsidRDefault="003754FE" w:rsidP="003754FE">
      <w:pPr>
        <w:pStyle w:val="TextoNormal"/>
      </w:pPr>
    </w:p>
    <w:p w14:paraId="6BDB6308" w14:textId="77777777" w:rsidR="003754FE" w:rsidRDefault="003754FE" w:rsidP="003754FE">
      <w:pPr>
        <w:pStyle w:val="TextoNormal"/>
      </w:pPr>
      <w:r>
        <w:t>En suma, para la mayoría del Tribunal en la sentencia de la que disiento, la actuación del recurrente estaba en todo momento amparada en la ley, careciendo de trascendencia penal desde las perspectivas del derecho a la legalidad penal (previsibilidad) y del derecho a la presunción de inocencia (prueba). Y ello porque nadie podía prever racionalmente que por cumplir escrupulosamente la ley se pudiese estar incumpliendo esta.</w:t>
      </w:r>
    </w:p>
    <w:p w14:paraId="0C156919" w14:textId="77777777" w:rsidR="003754FE" w:rsidRDefault="003754FE" w:rsidP="003754FE">
      <w:pPr>
        <w:pStyle w:val="TextoNormal"/>
      </w:pPr>
    </w:p>
    <w:p w14:paraId="38326F65" w14:textId="77777777" w:rsidR="003754FE" w:rsidRDefault="003754FE" w:rsidP="003754FE">
      <w:pPr>
        <w:pStyle w:val="TextoNormal"/>
      </w:pPr>
      <w:r>
        <w:t>Discrepo no solo por lo ya manifestado sobre la errónea configuración salvífica de la ley de presupuestos, sino porque entiendo que el Tribunal se ha extralimitado en su función de control, al haberse injerido en el ámbito de la jurisdicción ordinaria (arts. 117.1 y 123.1 CE) y efectuado una interpretación extensiva e injustificada del canon de enjuiciamiento constitucional sobre la legalidad penal y la presunción de inocencia.</w:t>
      </w:r>
    </w:p>
    <w:p w14:paraId="462EFDE0" w14:textId="77777777" w:rsidR="003754FE" w:rsidRDefault="003754FE" w:rsidP="003754FE">
      <w:pPr>
        <w:pStyle w:val="TextoNormal"/>
      </w:pPr>
    </w:p>
    <w:p w14:paraId="1AB47BC7" w14:textId="77777777" w:rsidR="003754FE" w:rsidRDefault="003754FE" w:rsidP="003754FE">
      <w:pPr>
        <w:pStyle w:val="TextoNormal"/>
      </w:pPr>
      <w:r>
        <w:t xml:space="preserve">Como conclusión a cuanto ha quedado antes expuesto, considero que las sentencias recurridas en amparo han efectuado una interpretación razonada de los elementos típicos de los delitos de prevaricación administrativa y de malversación, y que su aplicación al caso en dichas resoluciones judiciales supera sin dificultad el canon de control referido a la prohibición de interpretaciones “ilógicas” o “arbitrarias” que impone el art. 25.1 CE, conforme a la doctrina consolidada de este tribunal. La subsunción de la conducta del recurrente, a partir de los hechos declarados probados [sobre los que a este tribunal nada le cabe decir: art. 44.1 b) LOTC], en el delito de prevaricación, que han efectuado la Audiencia Provincial de Sevilla y especialmente el Tribunal Supremo como órgano jurisdiccional superior en la materia </w:t>
      </w:r>
      <w:r>
        <w:lastRenderedPageBreak/>
        <w:t>(art. 123.1 CE), no es irrazonable ni imprevisible ni, por consiguiente, contraria al derecho fundamental a la legalidad penal que garantiza el art. 25.1 CE.</w:t>
      </w:r>
    </w:p>
    <w:p w14:paraId="45C710C3" w14:textId="77777777" w:rsidR="003754FE" w:rsidRDefault="003754FE" w:rsidP="003754FE">
      <w:pPr>
        <w:pStyle w:val="TextoNormal"/>
      </w:pPr>
    </w:p>
    <w:p w14:paraId="310ED836" w14:textId="77777777" w:rsidR="003754FE" w:rsidRDefault="003754FE" w:rsidP="003754FE">
      <w:pPr>
        <w:pStyle w:val="TextoNormal"/>
      </w:pPr>
      <w:r>
        <w:t>Tampoco vulneran las sentencias impugnadas el derecho a la presunción de inocencia (art. 24.2 CE), frente a lo que sostiene este tribunal, pues la condena del recurrente se fundamenta en pruebas de cargo practicadas en el juicio oral con plenas garantías de inmediación, contradicción y defensa, y susceptibles de enervar esa presunción más allá de toda duda razonable, como resulta de las resoluciones judiciales impugnadas en amparo. La sentencia de este tribunal incurre en un claro exceso de jurisdicción, al suplantar a los órganos judiciales del orden penal en la función que constitucionalmente les correspond</w:t>
      </w:r>
      <w:r w:rsidRPr="003754FE">
        <w:rPr>
          <w:i/>
        </w:rPr>
        <w:t xml:space="preserve">e </w:t>
      </w:r>
      <w:r>
        <w:t>ex art. 117.3 CE.</w:t>
      </w:r>
    </w:p>
    <w:p w14:paraId="2B4CD0F8" w14:textId="77777777" w:rsidR="003754FE" w:rsidRDefault="003754FE" w:rsidP="003754FE">
      <w:pPr>
        <w:pStyle w:val="TextoNormal"/>
      </w:pPr>
    </w:p>
    <w:p w14:paraId="49EA14D2" w14:textId="77777777" w:rsidR="003754FE" w:rsidRDefault="003754FE" w:rsidP="003754FE">
      <w:pPr>
        <w:pStyle w:val="TextoNormal"/>
      </w:pPr>
      <w:r>
        <w:t>Por todo ello, considero que el recurso de amparo debió ser íntegramente desestimado.</w:t>
      </w:r>
    </w:p>
    <w:p w14:paraId="53BFE357" w14:textId="77777777" w:rsidR="003754FE" w:rsidRDefault="003754FE" w:rsidP="003754FE">
      <w:pPr>
        <w:pStyle w:val="TextoNormal"/>
      </w:pPr>
    </w:p>
    <w:p w14:paraId="16ADDF9D" w14:textId="77777777" w:rsidR="003754FE" w:rsidRDefault="003754FE" w:rsidP="003754FE">
      <w:pPr>
        <w:pStyle w:val="TextoNormal"/>
      </w:pPr>
      <w:r>
        <w:t>6</w:t>
      </w:r>
      <w:r w:rsidRPr="003754FE">
        <w:rPr>
          <w:i/>
        </w:rPr>
        <w:t>. A modo de epílogo decepcionado, con una necesaria llamada de advertenc</w:t>
      </w:r>
      <w:r>
        <w:t>ia</w:t>
      </w:r>
    </w:p>
    <w:p w14:paraId="640CC7C5" w14:textId="77777777" w:rsidR="003754FE" w:rsidRDefault="003754FE" w:rsidP="003754FE">
      <w:pPr>
        <w:pStyle w:val="TextoNormal"/>
      </w:pPr>
    </w:p>
    <w:p w14:paraId="4C85D89C" w14:textId="77777777" w:rsidR="003754FE" w:rsidRDefault="003754FE" w:rsidP="003754FE">
      <w:pPr>
        <w:pStyle w:val="TextoNormal"/>
      </w:pPr>
      <w:r>
        <w:t>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14:paraId="648587FE" w14:textId="77777777" w:rsidR="003754FE" w:rsidRDefault="003754FE" w:rsidP="003754FE">
      <w:pPr>
        <w:pStyle w:val="TextoNormal"/>
      </w:pPr>
    </w:p>
    <w:p w14:paraId="2725041D" w14:textId="77777777" w:rsidR="003754FE" w:rsidRDefault="003754FE" w:rsidP="003754FE">
      <w:pPr>
        <w:pStyle w:val="TextoNormal"/>
      </w:pPr>
      <w:r>
        <w:t>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prestidigitador, pues las leyes de presupuestos andaluzas a las que se refiere la sentencia de este tribunal en ningún momento establecen aquello que esta sentencia afirma, la pretendida modificación o eliminación del régimen de controles de las ayudas y subvenciones previsto en la normativa aplicable.</w:t>
      </w:r>
    </w:p>
    <w:p w14:paraId="074C5F43" w14:textId="77777777" w:rsidR="003754FE" w:rsidRDefault="003754FE" w:rsidP="003754FE">
      <w:pPr>
        <w:pStyle w:val="TextoNormal"/>
      </w:pPr>
    </w:p>
    <w:p w14:paraId="65EC4002" w14:textId="77777777" w:rsidR="003754FE" w:rsidRDefault="003754FE" w:rsidP="003754FE">
      <w:pPr>
        <w:pStyle w:val="TextoNormal"/>
      </w:pPr>
      <w:r>
        <w:t xml:space="preserve">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w:t>
      </w:r>
      <w:r>
        <w:lastRenderedPageBreak/>
        <w:t>precepto de la ley de presupuestos remite, por ser esas partidas presupuestarias necesarias para dar cumplimiento al mandato que aquel precepto contiene.</w:t>
      </w:r>
    </w:p>
    <w:p w14:paraId="1708FACC" w14:textId="77777777" w:rsidR="003754FE" w:rsidRDefault="003754FE" w:rsidP="003754FE">
      <w:pPr>
        <w:pStyle w:val="TextoNormal"/>
      </w:pPr>
    </w:p>
    <w:p w14:paraId="5F39A81C" w14:textId="77777777" w:rsidR="003754FE" w:rsidRDefault="003754FE" w:rsidP="003754FE">
      <w:pPr>
        <w:pStyle w:val="TextoNormal"/>
      </w:pPr>
      <w:r>
        <w:t>En todo caso, es obvio que una ley sobre la que pudieran pesar sospechas fundadas de inconstitucionalidad despliega plenos efectos en tanto no sea derogada o este tribunal no la haya expulsado del ordenamiento jurídico al conocer de un proceso de inconstitucionalidad. Más ¿qué tiene que ver que la ley, mientras no haya sido declarada inconstitucional, siga siendo ley, con que la conducta de quienes se han servido de ella para desviar fondos públicos sea delictiva?</w:t>
      </w:r>
    </w:p>
    <w:p w14:paraId="28AF0218" w14:textId="77777777" w:rsidR="003754FE" w:rsidRDefault="003754FE" w:rsidP="003754FE">
      <w:pPr>
        <w:pStyle w:val="TextoNormal"/>
      </w:pPr>
    </w:p>
    <w:p w14:paraId="279DDAB9" w14:textId="77777777" w:rsidR="003754FE" w:rsidRDefault="003754FE" w:rsidP="003754FE">
      <w:pPr>
        <w:pStyle w:val="TextoNormal"/>
      </w:pPr>
      <w:r>
        <w:t>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14:paraId="475847DD" w14:textId="77777777" w:rsidR="003754FE" w:rsidRDefault="003754FE" w:rsidP="003754FE">
      <w:pPr>
        <w:pStyle w:val="TextoNormal"/>
      </w:pPr>
    </w:p>
    <w:p w14:paraId="6781A38E" w14:textId="77777777" w:rsidR="003754FE" w:rsidRDefault="003754FE" w:rsidP="003754FE">
      <w:pPr>
        <w:pStyle w:val="TextoNormal"/>
      </w:pPr>
      <w:r>
        <w:t>Si, como decía García de Enterría, la justicia constitucional trata los problemas políticos con criterios jurídicos, poniendo la razón, la razón del Derecho, donde otros ponen otros motivos, pasiones o subjetivismos varios, me parece incuestionable que la presente sentencia, de la que respetuosa pero enérgicamente discrepo, hace tambalearse los pilares básicos del Estado de Derecho, por cuanto:</w:t>
      </w:r>
    </w:p>
    <w:p w14:paraId="232C49DC" w14:textId="77777777" w:rsidR="003754FE" w:rsidRDefault="003754FE" w:rsidP="003754FE">
      <w:pPr>
        <w:pStyle w:val="TextoNormal"/>
      </w:pPr>
    </w:p>
    <w:p w14:paraId="0F3E3820" w14:textId="77777777" w:rsidR="003754FE" w:rsidRDefault="003754FE" w:rsidP="003754FE">
      <w:pPr>
        <w:pStyle w:val="TextoNormal"/>
      </w:pPr>
      <w:r>
        <w:t>(i)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14:paraId="3988E5D5" w14:textId="77777777" w:rsidR="003754FE" w:rsidRDefault="003754FE" w:rsidP="003754FE">
      <w:pPr>
        <w:pStyle w:val="TextoNormal"/>
      </w:pPr>
    </w:p>
    <w:p w14:paraId="44180430" w14:textId="77777777" w:rsidR="003754FE" w:rsidRDefault="003754FE" w:rsidP="003754FE">
      <w:pPr>
        <w:pStyle w:val="TextoNormal"/>
      </w:pPr>
      <w:r>
        <w:t>(ii)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olvidando que la jurisdicción constitucional debe evitar (por su propia naturaleza de jurisdicción de garantías) caer por desfiladeros abruptos.</w:t>
      </w:r>
    </w:p>
    <w:p w14:paraId="17CDE41B" w14:textId="77777777" w:rsidR="003754FE" w:rsidRDefault="003754FE" w:rsidP="003754FE">
      <w:pPr>
        <w:pStyle w:val="TextoNormal"/>
      </w:pPr>
    </w:p>
    <w:p w14:paraId="113B1175" w14:textId="77777777" w:rsidR="003754FE" w:rsidRDefault="003754FE" w:rsidP="003754FE">
      <w:pPr>
        <w:pStyle w:val="TextoNormal"/>
      </w:pPr>
      <w:r>
        <w:t>(iii) Contraviene los arts. 9.3, 31.2, 103.1, 105 y 106.1 CE, al dejar de lado los principios en que se ha de basa</w:t>
      </w:r>
      <w:r w:rsidRPr="003754FE">
        <w:rPr>
          <w:i/>
        </w:rPr>
        <w:t>r ex constitutio</w:t>
      </w:r>
      <w:r>
        <w:t>ne la actuación de la administración pública.</w:t>
      </w:r>
    </w:p>
    <w:p w14:paraId="43BD9847" w14:textId="77777777" w:rsidR="003754FE" w:rsidRDefault="003754FE" w:rsidP="003754FE">
      <w:pPr>
        <w:pStyle w:val="TextoNormal"/>
      </w:pPr>
    </w:p>
    <w:p w14:paraId="0C46BF8F" w14:textId="77777777" w:rsidR="003754FE" w:rsidRDefault="003754FE" w:rsidP="003754FE">
      <w:pPr>
        <w:pStyle w:val="TextoNormal"/>
      </w:pPr>
      <w:r>
        <w:t>(iv)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14:paraId="6A1D028F" w14:textId="77777777" w:rsidR="003754FE" w:rsidRDefault="003754FE" w:rsidP="003754FE">
      <w:pPr>
        <w:pStyle w:val="TextoNormal"/>
      </w:pPr>
    </w:p>
    <w:p w14:paraId="3B22DF8C" w14:textId="77777777" w:rsidR="003754FE" w:rsidRDefault="003754FE" w:rsidP="003754FE">
      <w:pPr>
        <w:pStyle w:val="TextoNormal"/>
      </w:pPr>
      <w:r>
        <w:lastRenderedPageBreak/>
        <w:t>Mediante un control meramente formal y un análisis estanco de cada una de las partes de la trama del “caso de los ERE de Andalucía”, ha dejado sin efecto el reproche penal de las sentencias impugnadas en amparo, trasmitiendo así a la ciudadanía que la corrupción política es un medio válido de actuación de los poderes públicos, mientras lo hagan bajo la pretendida cobertura formal de un artificio legal ideado precisamente por aquellos que pretendían eludir el control del gasto público.</w:t>
      </w:r>
    </w:p>
    <w:p w14:paraId="0833139E" w14:textId="77777777" w:rsidR="003754FE" w:rsidRDefault="003754FE" w:rsidP="003754FE">
      <w:pPr>
        <w:pStyle w:val="TextoNormal"/>
      </w:pPr>
    </w:p>
    <w:p w14:paraId="0BB1DE03" w14:textId="77777777" w:rsidR="003754FE" w:rsidRDefault="003754FE" w:rsidP="003754FE">
      <w:pPr>
        <w:pStyle w:val="TextoNormal"/>
      </w:pPr>
      <w:r>
        <w:t>(v) Y, en fin, contraviene los principios nucleares en la materia del Derecho de la Unión Europea.</w:t>
      </w:r>
    </w:p>
    <w:p w14:paraId="0622F0F2" w14:textId="77777777" w:rsidR="003754FE" w:rsidRDefault="003754FE" w:rsidP="003754FE">
      <w:pPr>
        <w:pStyle w:val="TextoNormal"/>
      </w:pPr>
    </w:p>
    <w:p w14:paraId="4775214F" w14:textId="77777777" w:rsidR="003754FE" w:rsidRDefault="003754FE" w:rsidP="003754FE">
      <w:pPr>
        <w:pStyle w:val="TextoNormal"/>
      </w:pPr>
      <w:r>
        <w:t>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Ninguno de los argumentos que he defendido en el Pleno y expuesto en mis votos particulares a anteriores sentencias de esta serie del “caso ERE de Andalucía” ha sido rebatido o contestado; ni siquiera una coma de las iniciales sentencias de esta serie ha sido cambiada de sitio.</w:t>
      </w:r>
    </w:p>
    <w:p w14:paraId="50ACF762" w14:textId="77777777" w:rsidR="003754FE" w:rsidRDefault="003754FE" w:rsidP="003754FE">
      <w:pPr>
        <w:pStyle w:val="TextoNormal"/>
      </w:pPr>
    </w:p>
    <w:p w14:paraId="5005B0C9" w14:textId="77777777" w:rsidR="003754FE" w:rsidRDefault="003754FE" w:rsidP="003754FE">
      <w:pPr>
        <w:pStyle w:val="TextoNormal"/>
      </w:pPr>
      <w:r>
        <w:t>La reiteración argumental en este voto puede resultar melancólica, pero responde al cumplimiento del deber que me incumbe como magistrado y a mi convicción de que la deliberación ha de ser el camino irrenunciable para encontrar la luz, particularmente necesaria para el guardián de la Constitución. No estará de más recordar que quien fuera presidente de este tribunal, el magistrado señor Tomás y Valiente, ya aludió en 1994, en una conferencia titulada “La Constitución y el Tribunal Constitucional”, a “la importancia de las deliberaciones y a 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14:paraId="344B7736" w14:textId="77777777" w:rsidR="003754FE" w:rsidRDefault="003754FE" w:rsidP="003754FE">
      <w:pPr>
        <w:pStyle w:val="TextoNormal"/>
      </w:pPr>
    </w:p>
    <w:p w14:paraId="5EC926C8" w14:textId="4E292F4E" w:rsidR="003754FE" w:rsidRDefault="003754FE" w:rsidP="003754FE">
      <w:pPr>
        <w:pStyle w:val="TextoNormal"/>
      </w:pPr>
      <w:r>
        <w:t>Madrid, a dieciséis de julio de dos mil veinticuatro.</w:t>
      </w:r>
    </w:p>
    <w:p w14:paraId="6CB98D94" w14:textId="77777777" w:rsidR="003754FE" w:rsidRDefault="003754FE" w:rsidP="003754FE">
      <w:pPr>
        <w:pStyle w:val="TextoNormal"/>
      </w:pPr>
    </w:p>
    <w:p w14:paraId="3861C953" w14:textId="77777777" w:rsidR="003754FE" w:rsidRDefault="003754FE" w:rsidP="003754FE">
      <w:pPr>
        <w:pStyle w:val="TextoNormalNegritaCentrado"/>
        <w:keepNext/>
      </w:pPr>
      <w:r>
        <w:t>Voto particular que formula la magistrada doña Concepción Espejel Jorquera a la sentencia dictada en el recurso de amparo avocado núm. 2119-2023</w:t>
      </w:r>
    </w:p>
    <w:p w14:paraId="3DD4A564" w14:textId="21D9B782" w:rsidR="003754FE" w:rsidRDefault="003754FE" w:rsidP="003754FE">
      <w:pPr>
        <w:pStyle w:val="TextoNormalNegritaCentrado"/>
        <w:keepNext/>
      </w:pPr>
    </w:p>
    <w:p w14:paraId="42A97D84" w14:textId="77777777" w:rsidR="003754FE" w:rsidRDefault="003754FE" w:rsidP="003754FE">
      <w:pPr>
        <w:pStyle w:val="TextoNormal"/>
      </w:pPr>
      <w:r>
        <w:t>En el ejercicio de la facultad conferida en el art. 90.2 de la Ley Orgánica del Tribunal Constitucional, y con el respeto debido a la opinión de los magistrados que han conformado la mayoría del Pleno, formulo el presente voto particular por discrepar de la fundamentación y del fallo de la sentencia recaída en el recurso de amparo interpuesto por don José Antonio Griñán Martínez, el cual debió ser desestimado, porque las sentencias impugnadas no vulneraron sus derechos fundamentales a la legalidad penal (art. 25.1 CE) y a la presunción de inocencia (art. 24.2 CE).</w:t>
      </w:r>
    </w:p>
    <w:p w14:paraId="06B87CE8" w14:textId="77777777" w:rsidR="003754FE" w:rsidRDefault="003754FE" w:rsidP="003754FE">
      <w:pPr>
        <w:pStyle w:val="TextoNormal"/>
      </w:pPr>
    </w:p>
    <w:p w14:paraId="2904D06B" w14:textId="77777777" w:rsidR="003754FE" w:rsidRDefault="003754FE" w:rsidP="003754FE">
      <w:pPr>
        <w:pStyle w:val="TextoNormal"/>
      </w:pPr>
      <w:r>
        <w:t>Los motivos de mi discrepancia se remiten, en lo coincidente, con lo que manifesté en los votos particulares conjuntos y en aquel al que me adherí suscrito con el magistrado don César Tolosa Tribiño, formulados tanto a la STC 93/2024, como a las sentencias dictadas en los recursos de amparo avocados números 2136-2023, 2348-2023, 2360-2023, 2361-</w:t>
      </w:r>
      <w:r>
        <w:lastRenderedPageBreak/>
        <w:t>2023 y 2391-2023, centrados en los siguientes puntos fundamentales que paso a exponer. Por otra parte, incorporo a este voto particular otras consideraciones que refuerzan los argumentos que manejé en su día.</w:t>
      </w:r>
    </w:p>
    <w:p w14:paraId="2E89D8CF" w14:textId="77777777" w:rsidR="003754FE" w:rsidRDefault="003754FE" w:rsidP="003754FE">
      <w:pPr>
        <w:pStyle w:val="TextoNormal"/>
      </w:pPr>
    </w:p>
    <w:p w14:paraId="746BE50F" w14:textId="77777777" w:rsidR="003754FE" w:rsidRDefault="003754FE" w:rsidP="003754FE">
      <w:pPr>
        <w:pStyle w:val="TextoNormal"/>
      </w:pPr>
      <w:r>
        <w:t xml:space="preserve">1. </w:t>
      </w:r>
      <w:r w:rsidRPr="003754FE">
        <w:rPr>
          <w:i/>
        </w:rPr>
        <w:t>Descalificaciones gratuitas a la Sala de lo Penal del Tribunal Supremo y a la Sección Primera de la Audiencia Provincial de Sevilla</w:t>
      </w:r>
    </w:p>
    <w:p w14:paraId="1EAF09F8" w14:textId="77777777" w:rsidR="003754FE" w:rsidRDefault="003754FE" w:rsidP="003754FE">
      <w:pPr>
        <w:pStyle w:val="TextoNormal"/>
      </w:pPr>
    </w:p>
    <w:p w14:paraId="6B299819" w14:textId="77777777" w:rsidR="003754FE" w:rsidRDefault="003754FE" w:rsidP="003754FE">
      <w:pPr>
        <w:pStyle w:val="TextoNormal"/>
      </w:pPr>
      <w:r>
        <w:t>La sentencia de la que discrepo en su fundamento jurídico 4.3. insiste en recordar a ambos órganos jurisdiccionales los “elementos esenciales en los que se basa nuestro sistema constitucional”, tales como el carácter constitucional, parlamentario y democrático del Estado, el principio de separación de poderes, la naturaleza de las relaciones entre el Gobierno y el Parlamento, y hasta del monopolio del control de constitucionalidad de las leyes por el Tribunal Constitucional.</w:t>
      </w:r>
    </w:p>
    <w:p w14:paraId="2DC09955" w14:textId="77777777" w:rsidR="003754FE" w:rsidRDefault="003754FE" w:rsidP="003754FE">
      <w:pPr>
        <w:pStyle w:val="TextoNormal"/>
      </w:pPr>
    </w:p>
    <w:p w14:paraId="5128486C" w14:textId="77777777" w:rsidR="003754FE" w:rsidRDefault="003754FE" w:rsidP="003754FE">
      <w:pPr>
        <w:pStyle w:val="TextoNormal"/>
      </w:pPr>
      <w:r>
        <w:t>Ello obliga a reiterar las consideraciones efectuadas al respecto en el voto particular conjunto formulado a la sentencia dictada en el recurso de amparo avocado núm. 6791-2022 (STC 93/2024) en el que se puso de manifiesto la improcedencia de dicha argumentación, dado que, obviamente, los tribunales penales no ignoraron los pilares de nuestro sistema constitucional, las sentencias recurridas no declararon la inconstitucionalidad de las leyes de presupuestos de Andalucía de 2001 a 2010, ni dirigieron tacha alguna en este sentido.</w:t>
      </w:r>
    </w:p>
    <w:p w14:paraId="754F6E51" w14:textId="77777777" w:rsidR="003754FE" w:rsidRDefault="003754FE" w:rsidP="003754FE">
      <w:pPr>
        <w:pStyle w:val="TextoNormal"/>
      </w:pPr>
    </w:p>
    <w:p w14:paraId="0EADCDD5" w14:textId="77777777" w:rsidR="003754FE" w:rsidRDefault="003754FE" w:rsidP="003754FE">
      <w:pPr>
        <w:pStyle w:val="TextoNormal"/>
      </w:pPr>
      <w:r>
        <w:t>En el apartado 4.4 de la sentencia dedicado al “enjuiciamiento de la queja”, tras remitirse a lo señalado en la STC 93/2024, la resolución dictada en el presente recurso de amparo, se vuelve a reprochar a los dos órganos judiciales haber efectuado “una interpretación extravagante e imprevisible de los elementos típicos “resolución” y “asunto administrativo” y “una interpretación absolutamente imprevisible del elemento típico arbitrariedad lesiva del artículo 25.1 CE”.</w:t>
      </w:r>
    </w:p>
    <w:p w14:paraId="61F3F1C2" w14:textId="77777777" w:rsidR="003754FE" w:rsidRDefault="003754FE" w:rsidP="003754FE">
      <w:pPr>
        <w:pStyle w:val="TextoNormal"/>
      </w:pPr>
    </w:p>
    <w:p w14:paraId="771001AE" w14:textId="77777777" w:rsidR="003754FE" w:rsidRDefault="003754FE" w:rsidP="003754FE">
      <w:pPr>
        <w:pStyle w:val="TextoNormal"/>
      </w:pPr>
      <w:r>
        <w:t>Atendido que la sentencia se remite reiteradamente a la STC 93/2024, reitero las consideraciones efectuadas en los votos particulares a esa sentencia, relativas a la improcedencia de las severas e innecesarias críticas a las dos sentencias adoptadas por unanimidad de sus magistrados en lo que a la calificación de la conducta del entonces recurrente como delito de prevaricación administrativa, ya que la interpretación efectuada en las mismas no se alejó de la interpretación de los elementos típicos comúnmente aceptada por la comunidad jurídica, ni es incompatible con el sistema institucional constitucional y estatutariamente previsto. Por el contrario, la interpretación de los elementos del tipo fue efectuada por el órgano jurisdiccional “superior” en materia penal (art. 123.1 CE), interpretación apoyada además por el Ministerio Fiscal, que mantuvo la acusación por este delito en todas las instancias judiciales, y por instituciones como el Tribunal de Cuentas del Estado, la Cámara de Cuentas de Andalucía y la Intervención General autonómica, cuyos servicios jurídicos dictaron resoluciones y emitieron informes detallados sobre las ilegalidades cometidas, extractadas a lo largo de las sentencias recurridas.</w:t>
      </w:r>
    </w:p>
    <w:p w14:paraId="4EFE74CF" w14:textId="77777777" w:rsidR="003754FE" w:rsidRDefault="003754FE" w:rsidP="003754FE">
      <w:pPr>
        <w:pStyle w:val="TextoNormal"/>
      </w:pPr>
    </w:p>
    <w:p w14:paraId="71B85C35" w14:textId="77777777" w:rsidR="003754FE" w:rsidRDefault="003754FE" w:rsidP="003754FE">
      <w:pPr>
        <w:pStyle w:val="TextoNormal"/>
      </w:pPr>
      <w:r>
        <w:t xml:space="preserve">2. </w:t>
      </w:r>
      <w:r w:rsidRPr="003754FE">
        <w:rPr>
          <w:i/>
        </w:rPr>
        <w:t>Omisión en las sentencias estimatorias de los recursos de amparo de los ERE de los argumentos contenidos en la sentencia de la Sala de lo Penal del Tribunal Supremo sobre el juicio de tipicidad del delito de prevaricación administrativa</w:t>
      </w:r>
    </w:p>
    <w:p w14:paraId="132151D0" w14:textId="77777777" w:rsidR="003754FE" w:rsidRDefault="003754FE" w:rsidP="003754FE">
      <w:pPr>
        <w:pStyle w:val="TextoNormal"/>
      </w:pPr>
    </w:p>
    <w:p w14:paraId="70B9CF34" w14:textId="77777777" w:rsidR="003754FE" w:rsidRDefault="003754FE" w:rsidP="003754FE">
      <w:pPr>
        <w:pStyle w:val="TextoNormal"/>
      </w:pPr>
      <w:r>
        <w:lastRenderedPageBreak/>
        <w:t>Tal como se afirmó en los votos particulares a las SSTC 93/2024 y a las SSTC 94/2024, de 2 de julio, y 95/2024, 96/2024, 97/2024 y 98/2024, de 3 de julio, el deber de respeto institucional a la plausible labor desempeñada por la Sala de lo Penal del Tribunal Supremo y la exigencia de poner en el primer plano los argumentos que llevaron al Tribunal Supremo a calificar las conductas de los diversos recurrentes como delito de prevaricación administrativa, obligaron a suplir la injustificada omisión por parte de este tribunal del debido análisis de las sólidas razones de acuerdo con las cuales el Tribunal Supremo consideró que las conductas enjuiciadas son constitutivas del delito continuado por el que recayó la condena.</w:t>
      </w:r>
    </w:p>
    <w:p w14:paraId="266E67F3" w14:textId="77777777" w:rsidR="003754FE" w:rsidRDefault="003754FE" w:rsidP="003754FE">
      <w:pPr>
        <w:pStyle w:val="TextoNormal"/>
      </w:pPr>
    </w:p>
    <w:p w14:paraId="68DC6C55" w14:textId="77777777" w:rsidR="003754FE" w:rsidRDefault="003754FE" w:rsidP="003754FE">
      <w:pPr>
        <w:pStyle w:val="TextoNormal"/>
      </w:pPr>
      <w:r>
        <w:t>Como se expuso en anteriores votos particulares, el Tribunal Supremo detalló el entramado delictivo que se inició con los trabajos prelegislativos y que culminó con la distribución fraudulenta de los fondos públicos —en términos de la sentencia de casación: “ilegal sistema implantado, cuyo último eslabón era la intervención de la citada agencia [IFA/IDEA], materializando los pagos mediante la previa firma de convenios particulares”—, la relación de hechos declarados probados por la Audiencia Provincial resultante de la valoración de la prueba que le compete, donde aparecen las irregularidades más significativas en la concesión de las ayudas (algunas de ellas cometidas en el ámbito presupuestario e insertas en el conjunto de la operación) y que la sentencia de casación relaciona.</w:t>
      </w:r>
    </w:p>
    <w:p w14:paraId="6A868953" w14:textId="77777777" w:rsidR="003754FE" w:rsidRDefault="003754FE" w:rsidP="003754FE">
      <w:pPr>
        <w:pStyle w:val="TextoNormal"/>
      </w:pPr>
    </w:p>
    <w:p w14:paraId="6C74E344" w14:textId="77777777" w:rsidR="003754FE" w:rsidRDefault="003754FE" w:rsidP="003754FE">
      <w:pPr>
        <w:pStyle w:val="TextoNormal"/>
      </w:pPr>
      <w:r>
        <w:t>Como también expusimos en votos particulares precedentes, la sentencia de casación efectúa una primera precisión: el juicio histórico de la sentencia de instancia no recoge hechos aislados, sino una actuación muy compleja, integrada por un conjunto de decisiones adoptadas por distintas autoridades administrativas en un periodo de tiempo muy prolongado, pero dirigidas todas ellas a conseguir un único propósito: el otorgamiento de subvenciones excepcionales incumpliendo de forma absoluta los requisitos establecidos en la normativa sobre subvenciones, singularmente, la ausencia de bases de convocatoria, la falta de publicidad y la falta de fiscalización previa, dando lugar a la arbitrariedad en la dotación de fondos y en su aplicación concreta. Este conjunto de decisiones hizo posible la distribución ilegal de subvenciones por importe de cerca de setecientos millones (700 000 000) de euros durante un dilatado periodo de diez años.</w:t>
      </w:r>
    </w:p>
    <w:p w14:paraId="2F5677DD" w14:textId="77777777" w:rsidR="003754FE" w:rsidRDefault="003754FE" w:rsidP="003754FE">
      <w:pPr>
        <w:pStyle w:val="TextoNormal"/>
      </w:pPr>
    </w:p>
    <w:p w14:paraId="75C256DA" w14:textId="77777777" w:rsidR="003754FE" w:rsidRDefault="003754FE" w:rsidP="003754FE">
      <w:pPr>
        <w:pStyle w:val="TextoNormal"/>
      </w:pPr>
      <w:r>
        <w:t>Para que fuera posible semejante ilegalidad, con afectación de una cantidad ingente de fondos públicos, fue necesario adoptar a lo largo del tiempo distintas resoluciones sin las cuales ni se habrían concedido las ayudas en los términos en que lo fueron, ni se habrían sometido a aprobación parlamentaria unos proyectos de leyes que encubrían el mecanismo fraudulento utilizado para evitar los controles establecidos por el legislador.</w:t>
      </w:r>
    </w:p>
    <w:p w14:paraId="5706EF64" w14:textId="77777777" w:rsidR="003754FE" w:rsidRDefault="003754FE" w:rsidP="003754FE">
      <w:pPr>
        <w:pStyle w:val="TextoNormal"/>
      </w:pPr>
    </w:p>
    <w:p w14:paraId="7D519A3B" w14:textId="77777777" w:rsidR="003754FE" w:rsidRDefault="003754FE" w:rsidP="003754FE">
      <w:pPr>
        <w:pStyle w:val="TextoNormal"/>
      </w:pPr>
      <w:r>
        <w:t>El Tribunal Supremo analizó pormenorizadamente las diferencias entre el proceso legislativo y el prelegislativo y declaró que “[l]a diferente naturaleza del proceso prelegislativo y legislativo nos resulta patente si se atiende a las distintas normas que lo regulan y al momento en el que las normas constitucionales o el Estatuto de Autonomía de Andalucía fijan el inicio del procedimiento legislativo”.</w:t>
      </w:r>
    </w:p>
    <w:p w14:paraId="37E7F960" w14:textId="77777777" w:rsidR="003754FE" w:rsidRDefault="003754FE" w:rsidP="003754FE">
      <w:pPr>
        <w:pStyle w:val="TextoNormal"/>
      </w:pPr>
    </w:p>
    <w:p w14:paraId="0619F0A6" w14:textId="77777777" w:rsidR="003754FE" w:rsidRDefault="003754FE" w:rsidP="003754FE">
      <w:pPr>
        <w:pStyle w:val="TextoNormal"/>
      </w:pPr>
      <w:r>
        <w:t xml:space="preserve">Los argumentos de la sentencia de casación que, bajo la rúbrica “[c]ontrol de los actos de gobierno”, refutan el carácter político inmune a todo control jurisdiccional de las resoluciones por las que se acordó elevar los proyectos de leyes al Parlamento o las que aprobaron las modificaciones legislativas adoptadas, desmantelan el discurso de las sentencias de este tribunal de las que disiento, acerca del principio de separación de poderes, la centralidad del </w:t>
      </w:r>
      <w:r>
        <w:lastRenderedPageBreak/>
        <w:t>Parlamento y sobre el Gobierno y sus relaciones con el Parlamento, en el que está ausente toda referencia al poder judicial, más si cabe cuando lo enjuiciado por los órganos judiciales ha sido un conjunto de decisiones, adoptadas por distintas autoridades político-administrativas, en un periodo de tiempo muy prolongado, pero dirigidas todas ellas a socavar el imperio de la ley haciendo posible la desviación de cerca de setecientos millones de euros durante un dilatado periodo de diez años.</w:t>
      </w:r>
    </w:p>
    <w:p w14:paraId="0C13E2A0" w14:textId="77777777" w:rsidR="003754FE" w:rsidRDefault="003754FE" w:rsidP="003754FE">
      <w:pPr>
        <w:pStyle w:val="TextoNormal"/>
      </w:pPr>
    </w:p>
    <w:p w14:paraId="596BD3FC" w14:textId="77777777" w:rsidR="003754FE" w:rsidRDefault="003754FE" w:rsidP="003754FE">
      <w:pPr>
        <w:pStyle w:val="TextoNormal"/>
      </w:pPr>
      <w:r>
        <w:t>El Tribunal Supremo alecciona sobre las bases fundacionales del Estado de Derecho, cuando afirma que la idea de que determinadas actuaciones políticas de gobierno puedan quedar exentas de control jurisdiccional, está en estrecha relación con el ejercicio democrático del poder y con la noción de Estado de Derecho, hasta el punto de que no faltan corrientes doctrinales que apuntan a la tesis de que no debiera haber actos exentos de la posibilidad de control jurisdiccional sobre la base de cuatro preceptos constitucionales: el artículo 1.1 CE, que califica a España como un Estado de Derecho; el artículo 9.1 CE, que dispone la sujeción de todos los poderes públicos a la Constitución y al resto del ordenamiento jurídico; el artículo 103 CE, que atribuye al poder judicial el control de la potestad reglamentaria y la legalidad de la actuación administrativa, y el artículo 24 CE, que reconoce el derecho a la tutela judicial efectiva sin que en ningún caso pueda producirse indefensión.</w:t>
      </w:r>
    </w:p>
    <w:p w14:paraId="40783664" w14:textId="77777777" w:rsidR="003754FE" w:rsidRDefault="003754FE" w:rsidP="003754FE">
      <w:pPr>
        <w:pStyle w:val="TextoNormal"/>
      </w:pPr>
    </w:p>
    <w:p w14:paraId="2F615266" w14:textId="77777777" w:rsidR="003754FE" w:rsidRDefault="003754FE" w:rsidP="003754FE">
      <w:pPr>
        <w:pStyle w:val="TextoNormal"/>
      </w:pPr>
      <w:r>
        <w:t>Aclaró igualmente la sentencia de casación que al margen de los límites del control que compete a la jurisdicción contencioso-administrativa, la cuestión tiene otro enfoque cuando se trata de determinar qué deba entenderse por asunto administrativo a efectos penales.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posibilitaría un ámbito de inmunidad difícilmente justificable.</w:t>
      </w:r>
    </w:p>
    <w:p w14:paraId="5A86D476" w14:textId="77777777" w:rsidR="003754FE" w:rsidRDefault="003754FE" w:rsidP="003754FE">
      <w:pPr>
        <w:pStyle w:val="TextoNormal"/>
      </w:pPr>
    </w:p>
    <w:p w14:paraId="3DC3C24E" w14:textId="77777777" w:rsidR="003754FE" w:rsidRDefault="003754FE" w:rsidP="003754FE">
      <w:pPr>
        <w:pStyle w:val="TextoNormal"/>
      </w:pPr>
      <w:r>
        <w:t>Declara la sentencia casacional que el control jurisdiccional de los actos de gobierno está plenamente asentado y “que para hablar de actos políticos de Gobierno —o de los Consejos de Gobierno— es necesaria no solo su procedencia formal [que contempla el artículo 2 a) de la Ley 29/1998, de 13 de julio, reguladora de la jurisdicción contencioso-administrativa (LJCA)], sino también que tengan por contenido una determinación de la denominada ‘dirección política’ del órgano que la emite que ostente total libertad en el fin, de forma que el contenido de esa decisión permita optar entre varias opciones y que todas ellas sean lícitas y admisibles en el sentido constitucional y legal de la palabra, con la consecuencia de que el acto no será controlable judicialmente en sus elementos de fondo, pero sí en los elementos reglados que nuestra jurisprudencia ha denominado ‘judicialmente asequibles’” (STS 920/2019, Sala de lo Contencioso-Administrativo, de 26 de junio, ECLI:ES:TS:2019:2088).</w:t>
      </w:r>
    </w:p>
    <w:p w14:paraId="59AF0C4C" w14:textId="77777777" w:rsidR="003754FE" w:rsidRDefault="003754FE" w:rsidP="003754FE">
      <w:pPr>
        <w:pStyle w:val="TextoNormal"/>
      </w:pPr>
    </w:p>
    <w:p w14:paraId="5791FAD2" w14:textId="77777777" w:rsidR="003754FE" w:rsidRDefault="003754FE" w:rsidP="003754FE">
      <w:pPr>
        <w:pStyle w:val="TextoNormal"/>
      </w:pPr>
      <w:r>
        <w:t>Delimitado argumentalmente el marco referente a las inmunidades, examina la Sala de lo Penal si las decisiones adoptadas en los procesos prelegislativos de aprobación de los proyectos de leyes de presupuestos son o no “actos de gobierno”, caracterizados por la discrecionalidad propia del acto político.</w:t>
      </w:r>
    </w:p>
    <w:p w14:paraId="1B9AF6C2" w14:textId="77777777" w:rsidR="003754FE" w:rsidRDefault="003754FE" w:rsidP="003754FE">
      <w:pPr>
        <w:pStyle w:val="TextoNormal"/>
      </w:pPr>
    </w:p>
    <w:p w14:paraId="4A4F77E6" w14:textId="77777777" w:rsidR="003754FE" w:rsidRDefault="003754FE" w:rsidP="003754FE">
      <w:pPr>
        <w:pStyle w:val="TextoNormal"/>
      </w:pPr>
      <w:r>
        <w:lastRenderedPageBreak/>
        <w:t>La sentencia ahora impugnada en amparo precisa que lo que se debe determinar no es si las resoluciones adoptadas en el proceso prelegislativo son susceptibles de control por la jurisdicción contencioso-administrativa, cuestión que es ajena a la jurisdicción penal, sino si esas resoluciones pueden cumplir con las exigencias típicas del artículo 404 CP, que es algo sustancialmente diferente.</w:t>
      </w:r>
    </w:p>
    <w:p w14:paraId="5099ED72" w14:textId="77777777" w:rsidR="003754FE" w:rsidRDefault="003754FE" w:rsidP="003754FE">
      <w:pPr>
        <w:pStyle w:val="TextoNormal"/>
      </w:pPr>
    </w:p>
    <w:p w14:paraId="0106A583" w14:textId="77777777" w:rsidR="003754FE" w:rsidRDefault="003754FE" w:rsidP="003754FE">
      <w:pPr>
        <w:pStyle w:val="TextoNormal"/>
      </w:pPr>
      <w:r>
        <w:t>Observa que el proceso prelegislativo es un procedimiento administrativo y que en ese procedimiento se dictan algunas resoluciones que son indispensables para que tenga lugar la remisión del anteproyecto de ley al Parlamento, las cuales deben ajustarse a lo establecido en las leyes. De modo que puede distinguirse entre (i) la decisión de elevar un proyecto de ley al Gobierno, así como el contenido del proyecto normativo, en cuanto incorpora decisiones sujetas a criterios de oportunidad y discrecionalidad, que es un acto de gobierno inmune al control jurisdiccional; y (ii) las distintas decisiones que se adoptan para aprobar un proyecto de ley de presupuestos o una modificación presupuestaria, antes de su final elevación al Parlamento (en el caso de los proyectos de leyes),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que la ley impusiera unas reglas en la elaboración del proyecto de ley o de una norma con fuerza de ley y que esas reglas imperativas pudieran ser desconocidas sin consecuencia alguna, máxima cuando lo pretendido sea violar de forma patente y arbitraria la ley.</w:t>
      </w:r>
    </w:p>
    <w:p w14:paraId="12DC72B5" w14:textId="77777777" w:rsidR="003754FE" w:rsidRDefault="003754FE" w:rsidP="003754FE">
      <w:pPr>
        <w:pStyle w:val="TextoNormal"/>
      </w:pPr>
    </w:p>
    <w:p w14:paraId="16100435" w14:textId="77777777" w:rsidR="003754FE" w:rsidRDefault="003754FE" w:rsidP="003754FE">
      <w:pPr>
        <w:pStyle w:val="TextoNormal"/>
      </w:pPr>
      <w:r>
        <w:t>Descendiendo al caso de una ley de presupuestos, para el Tribunal Supremo esta distinción es especialmente relevante. Una ley de esa naturaleza tiene un doble contenido: de un lado, la previsión de ingresos y la habilitación de gastos para un ejercicio económico, que es una decisión de naturaleza política. De otro, el procedimiento de elaboración y los criterios financieros que desarrollan y aclaran los estados cifrados, que deben sujetarse a las normas de naturaleza procedimental y financieras de obligado cumplimiento. Lo mismo puede predicarse del proceso de elaboración y aprobación de una modificación presupuestaria.</w:t>
      </w:r>
    </w:p>
    <w:p w14:paraId="26AF4B44" w14:textId="77777777" w:rsidR="003754FE" w:rsidRDefault="003754FE" w:rsidP="003754FE">
      <w:pPr>
        <w:pStyle w:val="TextoNormal"/>
      </w:pPr>
    </w:p>
    <w:p w14:paraId="23EC8CF2" w14:textId="77777777" w:rsidR="003754FE" w:rsidRDefault="003754FE" w:rsidP="003754FE">
      <w:pPr>
        <w:pStyle w:val="TextoNormal"/>
      </w:pPr>
      <w:r>
        <w:t>Por tanto, las resoluciones relativas a este segundo contenido no son actos de gobierno inmunes al control de la jurisdicción penal, sino “resoluciones en asunto administrativo” a los efectos del art. 404 CP.</w:t>
      </w:r>
    </w:p>
    <w:p w14:paraId="10CA2548" w14:textId="77777777" w:rsidR="003754FE" w:rsidRDefault="003754FE" w:rsidP="003754FE">
      <w:pPr>
        <w:pStyle w:val="TextoNormal"/>
      </w:pPr>
    </w:p>
    <w:p w14:paraId="72C8A13B" w14:textId="77777777" w:rsidR="003754FE" w:rsidRDefault="003754FE" w:rsidP="003754FE">
      <w:pPr>
        <w:pStyle w:val="TextoNormal"/>
      </w:pPr>
      <w:r>
        <w:t>Más adelante, la STS 749/2022 da cuenta de la constante doctrina de la Sala de lo Penal sobre el elemento del tipo “resolución en asunto administrativo”. Señala que el tipo penal describe el elemento objetivo sin acudir a conceptos propios del Derecho Administrativo, tales como “resolución administrativa”, “resolución susceptible de control a través de la jurisdicción contencioso- administrativa” o “resolución que pone término al proceso administrativo”, que podrían permitir perfilar con mayor precisión la delimitación del tipo objetivo del delito tipificado en el art. 404 CP. Afirma que, por tal motivo, es necesario que la jurisdicción penal aborde el entendimiento del precepto con autonomía, como así ha proclamado en reiteradas resoluciones (como la STS 941/2009, de 29 de septiembre, ECLI:ES:TS:2009:5849) y ha precisado en distintos pronunciamientos a lo largo de los últimos años.</w:t>
      </w:r>
    </w:p>
    <w:p w14:paraId="0CF1A7EF" w14:textId="77777777" w:rsidR="003754FE" w:rsidRDefault="003754FE" w:rsidP="003754FE">
      <w:pPr>
        <w:pStyle w:val="TextoNormal"/>
      </w:pPr>
    </w:p>
    <w:p w14:paraId="0FD37625" w14:textId="77777777" w:rsidR="003754FE" w:rsidRDefault="003754FE" w:rsidP="003754FE">
      <w:pPr>
        <w:pStyle w:val="TextoNormal"/>
      </w:pPr>
      <w:r>
        <w:lastRenderedPageBreak/>
        <w:t>Recuerda que el procedimiento administrativo tiene la doble finalidad de servir de garantía de los derechos individuales y de garantía de orden de la administración y de justicia y acierto en sus resoluciones (STS 18/2014, de 23 de enero). De modo que se podrá apreciar la existencia de una resolución arbitraria cuando la omisión de las exigencias procedimentales suponga principalmente la elusión de los controles que el propio procedimiento establece sobre el fondo del asunto, ya que en tales casos la actuación de la autoridad o funcionario no se limita a suprimir el control formal de su actuación administrativa, sino que con su forma irregular de proceder elimina los mecanismos que se establecen, precisamente, para asegurar que su decisión se sujeta a los fines que la ley establece para la actuación administrativa concreta, en la que adopta su resolución (STS 743/2013, de 11 de octubre, ECLI:ES:TS:2013:4949).</w:t>
      </w:r>
    </w:p>
    <w:p w14:paraId="39CB84D2" w14:textId="77777777" w:rsidR="003754FE" w:rsidRDefault="003754FE" w:rsidP="003754FE">
      <w:pPr>
        <w:pStyle w:val="TextoNormal"/>
      </w:pPr>
    </w:p>
    <w:p w14:paraId="6C6EA923" w14:textId="77777777" w:rsidR="003754FE" w:rsidRDefault="003754FE" w:rsidP="003754FE">
      <w:pPr>
        <w:pStyle w:val="TextoNormal"/>
      </w:pPr>
      <w:r>
        <w:t>Señala el Tribunal Supremo que, en este caso, se han considerado resoluciones constitutivas de delito de prevaricación, todas las resoluciones necesarias para que la ilegal distribución de fondos públicos pudiera llevarse a cabo, a saber: la aprobación de los proyectos de leyes de presupuestos por el Consejo de Gobierno de la Junta de Andalucía; la aprobación de los anteproyectos de leyes de presupuestos por el consejero de Hacienda y por la Comisión General de viceconsejeros; la elaboración de los estados de gastos relativos al programa 31L por la Consejería de Empleo y Desarrollo Tecnológico, con la intervención determinante del consejero, viceconsejero y secretario General técnico; la aprobación de las distintas modificaciones presupuestarias; la concesión de las subvenciones y los convenios suscritos para proceder al pago de las subvenciones, tanto el convenio marco de 17 de julio de 2001, como los distintos convenios particulares.</w:t>
      </w:r>
    </w:p>
    <w:p w14:paraId="1102D343" w14:textId="77777777" w:rsidR="003754FE" w:rsidRDefault="003754FE" w:rsidP="003754FE">
      <w:pPr>
        <w:pStyle w:val="TextoNormal"/>
      </w:pPr>
    </w:p>
    <w:p w14:paraId="3E1BC2FB" w14:textId="77777777" w:rsidR="003754FE" w:rsidRDefault="003754FE" w:rsidP="003754FE">
      <w:pPr>
        <w:pStyle w:val="TextoNormal"/>
      </w:pPr>
      <w:r>
        <w:t>Afirma que con la prevaricación se castiga la desviación de poder y que la prevaricación puede, en ocasiones, presentarse mediante una acción compleja. Los acusados adoptaron estas decisiones para conseguir una finalidad palmariamente ilegal: evitar el cumplimiento de las exigencias de las normas sobre subvenciones y el control previo de la Intervención General de la Junta de Andalucía. En eso radica la desviación de poder y la relevancia penal de la conducta enjuiciada. Todos ellos adoptaron, en su ámbito administrativo de decisión, resoluciones necesarias para que el efecto finalmente pretendido se pudiera producir.</w:t>
      </w:r>
    </w:p>
    <w:p w14:paraId="7BF52F1F" w14:textId="77777777" w:rsidR="003754FE" w:rsidRDefault="003754FE" w:rsidP="003754FE">
      <w:pPr>
        <w:pStyle w:val="TextoNormal"/>
      </w:pPr>
    </w:p>
    <w:p w14:paraId="56DE1F59" w14:textId="77777777" w:rsidR="003754FE" w:rsidRDefault="003754FE" w:rsidP="003754FE">
      <w:pPr>
        <w:pStyle w:val="TextoNormal"/>
      </w:pPr>
      <w:r>
        <w:t>La STS 749/2022, recurrida en este recurso de amparo, aclaró que la remisión de un proyecto de ley de presupuestos al Parlamento andaluz va precedida de un extenso y detallado expediente administrativo, compuesto, a su vez, de expedientes en los que, conforme a lo previsto en las leyes, se van dictando distintas resoluciones. El procedimiento de elaboración del presupuesto se regula en el título II de la Ley del Parlamento de Andalucía 5/1983, de 19 de julio, general de la hacienda pública de la Comunidad Autónoma de Andalucía, y en el Decreto-legislativo 1/2010, de 2 de marzo, por el que se aprueba el texto refundido de la Ley general de la hacienda pública de la Junta de Andalucía, donde se consagra el principio de legalidad como base del cumplimiento de la gestión presupuestaria de la Junta de Andalucía.</w:t>
      </w:r>
    </w:p>
    <w:p w14:paraId="2A0B84A1" w14:textId="77777777" w:rsidR="003754FE" w:rsidRDefault="003754FE" w:rsidP="003754FE">
      <w:pPr>
        <w:pStyle w:val="TextoNormal"/>
      </w:pPr>
    </w:p>
    <w:p w14:paraId="76EA3309" w14:textId="77777777" w:rsidR="003754FE" w:rsidRDefault="003754FE" w:rsidP="003754FE">
      <w:pPr>
        <w:pStyle w:val="TextoNormal"/>
      </w:pPr>
      <w:r>
        <w:t xml:space="preserve">El Tribunal Supremo, con expresa mención de las normas aplicables, distingue las diferentes fases presupuestarias; refiere que los distintos proyectos de leyes, con la finalidad última de eludir los controles legales y los principios de publicidad y libre concurrencia aplicables a las subvenciones, incluyeron a sabiendas una clasificación presupuestaria </w:t>
      </w:r>
      <w:r>
        <w:lastRenderedPageBreak/>
        <w:t>contraria a Derecho, incorporando una documentación que no era suficientemente explicativa del destino que iba a darse a esos fondos.</w:t>
      </w:r>
    </w:p>
    <w:p w14:paraId="617F0603" w14:textId="77777777" w:rsidR="003754FE" w:rsidRDefault="003754FE" w:rsidP="003754FE">
      <w:pPr>
        <w:pStyle w:val="TextoNormal"/>
      </w:pPr>
    </w:p>
    <w:p w14:paraId="0ED575F5" w14:textId="77777777" w:rsidR="003754FE" w:rsidRDefault="003754FE" w:rsidP="003754FE">
      <w:pPr>
        <w:pStyle w:val="TextoNormal"/>
      </w:pPr>
      <w:r>
        <w:t>Expone que la aprobación del proyecto de ley fue una resolución que culmina el procedimiento prelegislativo y es el filtro previsto por el legislador para que ese proyecto sea respetuoso con la legalidad tanto en los aspectos procedimentales como en su contenido. El hecho de que los proyectos de leyes fueran finalmente aprobados no es obstáculo para atribuir relevancia penal a las resoluciones aludidas, dado que la consumación del delito se produce con el dictado de la resolución injusta, siendo irrelevante que el Parlamento no detectara la ilegalidad.</w:t>
      </w:r>
    </w:p>
    <w:p w14:paraId="5B13307B" w14:textId="77777777" w:rsidR="003754FE" w:rsidRDefault="003754FE" w:rsidP="003754FE">
      <w:pPr>
        <w:pStyle w:val="TextoNormal"/>
      </w:pPr>
    </w:p>
    <w:p w14:paraId="482DCA8D" w14:textId="77777777" w:rsidR="003754FE" w:rsidRDefault="003754FE" w:rsidP="003754FE">
      <w:pPr>
        <w:pStyle w:val="TextoNormal"/>
      </w:pPr>
      <w:r>
        <w:t>Asimismo, no es admisible calificar el procedimiento prelegislativo como un conjunto de simples “actos de trámite”, sin relevancia o carentes de efecto alguno y que lo que finalmente se aprueba por el Gobierno autonómico es un documento sin valor jurídico alguno y sin efectos.</w:t>
      </w:r>
    </w:p>
    <w:p w14:paraId="31014905" w14:textId="77777777" w:rsidR="003754FE" w:rsidRDefault="003754FE" w:rsidP="003754FE">
      <w:pPr>
        <w:pStyle w:val="TextoNormal"/>
      </w:pPr>
    </w:p>
    <w:p w14:paraId="6F2F949D" w14:textId="77777777" w:rsidR="003754FE" w:rsidRDefault="003754FE" w:rsidP="003754FE">
      <w:pPr>
        <w:pStyle w:val="TextoNormal"/>
      </w:pPr>
      <w:r>
        <w:t>Algunos de los actos de ese procedimiento tienen contenido decisorio en la medida en que las autoridades administrativas, al aprobar la iniciativa legislativa en cada una de sus fases, debían examinarlo y comprobar su legalidad. Esas autoridades tenían la potestad de rechazar el proyecto de ley o de modificarlo para que, al margen de la decisión política de fondo sobre la materia presupuestaria, cumpliera con las exigencias de legalidad tanto en su tramitación como en su contenido. Esas autoridades aprobaron los proyectos de leyes en cada una de sus fases a sabiendas de su ilegalidad y con la deliberada intención de suprimir los controles formales establecidos por el legislador, y lo consiguieron.</w:t>
      </w:r>
    </w:p>
    <w:p w14:paraId="37278CFB" w14:textId="77777777" w:rsidR="003754FE" w:rsidRDefault="003754FE" w:rsidP="003754FE">
      <w:pPr>
        <w:pStyle w:val="TextoNormal"/>
      </w:pPr>
    </w:p>
    <w:p w14:paraId="01F8A022" w14:textId="77777777" w:rsidR="003754FE" w:rsidRDefault="003754FE" w:rsidP="003754FE">
      <w:pPr>
        <w:pStyle w:val="TextoNormal"/>
      </w:pPr>
      <w:r>
        <w:t>Señala la sentencia casacional que precisamente la eliminación de esos controles, asociada a la indebida clasificación presupuestaria aplicada a las subvenciones, es lo que permite afirmar que las distintas resoluciones adoptadas en el proceso prelegislativo no eran actos de trámite carentes de trascendencia alguna.</w:t>
      </w:r>
    </w:p>
    <w:p w14:paraId="0F3D7424" w14:textId="77777777" w:rsidR="003754FE" w:rsidRDefault="003754FE" w:rsidP="003754FE">
      <w:pPr>
        <w:pStyle w:val="TextoNormal"/>
      </w:pPr>
    </w:p>
    <w:p w14:paraId="6A074926" w14:textId="77777777" w:rsidR="003754FE" w:rsidRDefault="003754FE" w:rsidP="003754FE">
      <w:pPr>
        <w:pStyle w:val="TextoNormal"/>
      </w:pPr>
      <w:r>
        <w:t>Declara, con cita de la STS 743/2013, de 11 de octubre, que “[e]l procedimiento administrativo, por un lado, tiene una finalidad general orientada a someter la actuación administrativa a determinadas formas que permitan su comprobación y control formal, y por otro, una finalidad de mayor trascendencia, dirigida a establecer determinados controles sobre el fondo de la actuación de que se trate. Ambas deben ser observadas en la actividad administrativa. Así, se podrá apreciar la existencia de una resolución arbitraria cuando omitir las exigencias procedimentales suponga principalmente la elusión de los controles que el propio procedimiento establece sobre el fondo del asunto,; pues en esos casos, la actuación de la autoridad o funcionario no se limita a suprimir el control formal de su actuación administrativa, sino que con su forma irregular de proceder elimina los mecanismos que se establecen, precisamente, para asegurar que su decisión se sujeta a los fines que la ley establece para la actuación administrativa concreta, en la que adopta su resolución”.</w:t>
      </w:r>
    </w:p>
    <w:p w14:paraId="4CE4504A" w14:textId="77777777" w:rsidR="003754FE" w:rsidRDefault="003754FE" w:rsidP="003754FE">
      <w:pPr>
        <w:pStyle w:val="TextoNormal"/>
      </w:pPr>
    </w:p>
    <w:p w14:paraId="3C9C1D18" w14:textId="77777777" w:rsidR="003754FE" w:rsidRDefault="003754FE" w:rsidP="003754FE">
      <w:pPr>
        <w:pStyle w:val="TextoNormal"/>
      </w:pPr>
      <w:r>
        <w:t>La STS 749/2022 examina las resoluciones del Consejo de Gobierno de la Junta de Andalucía en lo que respecta a la aprobación de las modificaciones presupuestarias y aprecia la arbitrariedad en que incurren, como elemento típico del delito de prevaricación administrativa.</w:t>
      </w:r>
    </w:p>
    <w:p w14:paraId="5B5F95FE" w14:textId="77777777" w:rsidR="003754FE" w:rsidRDefault="003754FE" w:rsidP="003754FE">
      <w:pPr>
        <w:pStyle w:val="TextoNormal"/>
      </w:pPr>
    </w:p>
    <w:p w14:paraId="60F5D698" w14:textId="77777777" w:rsidR="003754FE" w:rsidRDefault="003754FE" w:rsidP="003754FE">
      <w:pPr>
        <w:pStyle w:val="TextoNormal"/>
      </w:pPr>
      <w:r>
        <w:lastRenderedPageBreak/>
        <w:t>Afirma que el correcto entendimiento del delito de prevaricación administrativa solo puede realizarse, como ha señalado la doctrina científica, desde una concepción democrática del poder público. La corrupción política y administrativa y la desviación de poder son incompatibles con un Estado democrático de Derecho, en el que han de prevalecer principios como la igualdad ante la ley, el control del poder público, la imparcialidad y la corrección en la actuación administrativa.</w:t>
      </w:r>
    </w:p>
    <w:p w14:paraId="0C98C0BA" w14:textId="77777777" w:rsidR="003754FE" w:rsidRDefault="003754FE" w:rsidP="003754FE">
      <w:pPr>
        <w:pStyle w:val="TextoNormal"/>
      </w:pPr>
    </w:p>
    <w:p w14:paraId="3E9E2DDC" w14:textId="77777777" w:rsidR="003754FE" w:rsidRDefault="003754FE" w:rsidP="003754FE">
      <w:pPr>
        <w:pStyle w:val="TextoNormal"/>
      </w:pPr>
      <w:r>
        <w:t>El Tribunal Supremo sostiene que en el presente caso el delito de prevaricación se proyecta en un conjunto de resoluciones que introdujeron un sistema de presupuestación indebido (transferencias de financiación) para evitar los controles establecidos en la ley de concesión de subvenciones y de este modo conceder subvenciones al margen de la cuidadosa normativa reguladora de estas.</w:t>
      </w:r>
    </w:p>
    <w:p w14:paraId="496AED1A" w14:textId="77777777" w:rsidR="003754FE" w:rsidRDefault="003754FE" w:rsidP="003754FE">
      <w:pPr>
        <w:pStyle w:val="TextoNormal"/>
      </w:pPr>
    </w:p>
    <w:p w14:paraId="00B4E31D" w14:textId="77777777" w:rsidR="003754FE" w:rsidRDefault="003754FE" w:rsidP="003754FE">
      <w:pPr>
        <w:pStyle w:val="TextoNormal"/>
      </w:pPr>
      <w:r>
        <w:t>Confirma la Sala de lo Penal lo que ha expuesto con detalle en los fundamentos precedentes: por qué motivos las ayudas sociolaborales eran subvenciones y las razones por las que las transferencias de financiación eran una herramienta presupuestaria, no para la concesión y el pago de subvenciones, sino para cubrir el déficit de explotación de las actividades propias de una empresa o entidad pública. Las normas aplicables a ambos institutos eran precisas. Y la finalidad perseguida por los condenados también ha quedado en evidencia por varias circunstancias concurrentes:</w:t>
      </w:r>
    </w:p>
    <w:p w14:paraId="6DF1A3C7" w14:textId="77777777" w:rsidR="003754FE" w:rsidRDefault="003754FE" w:rsidP="003754FE">
      <w:pPr>
        <w:pStyle w:val="TextoNormal"/>
      </w:pPr>
    </w:p>
    <w:p w14:paraId="299C824D" w14:textId="77777777" w:rsidR="003754FE" w:rsidRDefault="003754FE" w:rsidP="003754FE">
      <w:pPr>
        <w:pStyle w:val="TextoNormal"/>
      </w:pPr>
      <w:r>
        <w:t>(i) Se cambió el sistema de presupuestación sin una razón sólida que lo justificara.</w:t>
      </w:r>
    </w:p>
    <w:p w14:paraId="46F22D9B" w14:textId="77777777" w:rsidR="003754FE" w:rsidRDefault="003754FE" w:rsidP="003754FE">
      <w:pPr>
        <w:pStyle w:val="TextoNormal"/>
      </w:pPr>
    </w:p>
    <w:p w14:paraId="37394B5E" w14:textId="77777777" w:rsidR="003754FE" w:rsidRDefault="003754FE" w:rsidP="003754FE">
      <w:pPr>
        <w:pStyle w:val="TextoNormal"/>
      </w:pPr>
      <w:r>
        <w:t>(ii) El propio director general de Empleo, también condenado en las presentes actuaciones, reconoció en su declaración que recibió instrucciones para instaurar un nuevo sistema para el pago de las ayudas ante los problemas que venía planteando la Intervención delegada de la Junta de Andalucía.</w:t>
      </w:r>
    </w:p>
    <w:p w14:paraId="12548020" w14:textId="77777777" w:rsidR="003754FE" w:rsidRDefault="003754FE" w:rsidP="003754FE">
      <w:pPr>
        <w:pStyle w:val="TextoNormal"/>
      </w:pPr>
    </w:p>
    <w:p w14:paraId="79F1090F" w14:textId="77777777" w:rsidR="003754FE" w:rsidRDefault="003754FE" w:rsidP="003754FE">
      <w:pPr>
        <w:pStyle w:val="TextoNormal"/>
      </w:pPr>
      <w:r>
        <w:t>(iii) Se hizo y se mantuvo ese cambio a pesar de las múltiples advertencias que se realizaron sobre las ilegalidades que se estaban produciendo.</w:t>
      </w:r>
    </w:p>
    <w:p w14:paraId="1CAC83E2" w14:textId="77777777" w:rsidR="003754FE" w:rsidRDefault="003754FE" w:rsidP="003754FE">
      <w:pPr>
        <w:pStyle w:val="TextoNormal"/>
      </w:pPr>
    </w:p>
    <w:p w14:paraId="02336224" w14:textId="77777777" w:rsidR="003754FE" w:rsidRDefault="003754FE" w:rsidP="003754FE">
      <w:pPr>
        <w:pStyle w:val="TextoNormal"/>
      </w:pPr>
      <w:r>
        <w:t>(iv) La consecuencia real del cambio fue la falta de control y absoluta ilegalidad en la concesión de las subvenciones.</w:t>
      </w:r>
    </w:p>
    <w:p w14:paraId="65927ECE" w14:textId="77777777" w:rsidR="003754FE" w:rsidRDefault="003754FE" w:rsidP="003754FE">
      <w:pPr>
        <w:pStyle w:val="TextoNormal"/>
      </w:pPr>
    </w:p>
    <w:p w14:paraId="39192047" w14:textId="77777777" w:rsidR="003754FE" w:rsidRDefault="003754FE" w:rsidP="003754FE">
      <w:pPr>
        <w:pStyle w:val="TextoNormal"/>
      </w:pPr>
      <w:r>
        <w:t>(v) El sistema enjuiciado solo operó durante el tiempo a que se contraen las presentes actuaciones. Antes y después el procedimiento utilizado fue el propio de las subvenciones.</w:t>
      </w:r>
    </w:p>
    <w:p w14:paraId="30538480" w14:textId="77777777" w:rsidR="003754FE" w:rsidRDefault="003754FE" w:rsidP="003754FE">
      <w:pPr>
        <w:pStyle w:val="TextoNormal"/>
      </w:pPr>
    </w:p>
    <w:p w14:paraId="5E9D5478" w14:textId="77777777" w:rsidR="003754FE" w:rsidRDefault="003754FE" w:rsidP="003754FE">
      <w:pPr>
        <w:pStyle w:val="TextoNormal"/>
      </w:pPr>
      <w:r>
        <w:t>Por ello, concluye, la injusticia y la arbitrariedad de las resoluciones dictadas no solo se determinan en este caso por su flagrante contradicción con el Derecho, sino por la finalidad ilícita perseguida por sus autores. Y recuerda, nuevamente, la relevancia que tiene la omisión del procedimiento legalmente establecido atendida la finalidad del mismo.</w:t>
      </w:r>
    </w:p>
    <w:p w14:paraId="256E4984" w14:textId="77777777" w:rsidR="003754FE" w:rsidRDefault="003754FE" w:rsidP="003754FE">
      <w:pPr>
        <w:pStyle w:val="TextoNormal"/>
      </w:pPr>
    </w:p>
    <w:p w14:paraId="18939DD8" w14:textId="77777777" w:rsidR="003754FE" w:rsidRDefault="003754FE" w:rsidP="003754FE">
      <w:pPr>
        <w:pStyle w:val="TextoNormal"/>
      </w:pPr>
      <w:r>
        <w:t>Considero que, si los sólidos argumentos contenidos en la sentencia de casación y el relato fáctico de la sentencia de instancia hubieran sido debidamente analizados en las sentencias de este tribunal, de las que discrepo, y si se hubiera contemplado la trama criminal descrita por el Tribunal Supremo en su conjunto, observando el canon de constitucionalidad aplicable en supuestos como los que nos ocupan, ello hubiera debido llevar a la desestimación de los recursos de amparo planteados.</w:t>
      </w:r>
    </w:p>
    <w:p w14:paraId="196BF378" w14:textId="77777777" w:rsidR="003754FE" w:rsidRDefault="003754FE" w:rsidP="003754FE">
      <w:pPr>
        <w:pStyle w:val="TextoNormal"/>
      </w:pPr>
    </w:p>
    <w:p w14:paraId="15061FDE" w14:textId="77777777" w:rsidR="003754FE" w:rsidRDefault="003754FE" w:rsidP="003754FE">
      <w:pPr>
        <w:pStyle w:val="TextoNormal"/>
      </w:pPr>
      <w:r>
        <w:t xml:space="preserve">3. </w:t>
      </w:r>
      <w:r w:rsidRPr="003754FE">
        <w:rPr>
          <w:i/>
        </w:rPr>
        <w:t>Desbordamiento en la sentencia del Pleno del ámbito reservado a la jurisdicción ordinaria, suplantando la función del Tribunal Supremo como máximo intérprete de la ley</w:t>
      </w:r>
    </w:p>
    <w:p w14:paraId="76657F5C" w14:textId="77777777" w:rsidR="003754FE" w:rsidRDefault="003754FE" w:rsidP="003754FE">
      <w:pPr>
        <w:pStyle w:val="TextoNormal"/>
      </w:pPr>
    </w:p>
    <w:p w14:paraId="4A032E05" w14:textId="77777777" w:rsidR="003754FE" w:rsidRDefault="003754FE" w:rsidP="003754FE">
      <w:pPr>
        <w:pStyle w:val="TextoNormal"/>
      </w:pPr>
      <w:r>
        <w:t>Como señalamos en votos particulares precedentes, esta sentencia, al igual que las restantes dictadas en recursos de amparo de la trama de los ERE, de las que discrepo, al analizar las quejas de vulneración del derecho a la legalidad penal (art. 25.1 CE) de los diversos recurrentes proceden a interpretar los elementos del tipo objetivo del delito de prevaricación administrativa del art. 404 CP, tales como “resolución”, “asunto administrativo” y “arbitraria”, que desbordan el control externo de las resoluciones judiciales en relación con el derecho a la legalidad penal, según ha venido siendo definido en constante doctrina constitucional. A tal fin, me parece suficiente la cita de la STC 229/2003, FJ 16, que declaró lo siguiente:</w:t>
      </w:r>
    </w:p>
    <w:p w14:paraId="3DF67289" w14:textId="77777777" w:rsidR="003754FE" w:rsidRDefault="003754FE" w:rsidP="003754FE">
      <w:pPr>
        <w:pStyle w:val="TextoNormal"/>
      </w:pPr>
    </w:p>
    <w:p w14:paraId="74292534" w14:textId="77777777" w:rsidR="003754FE" w:rsidRDefault="003754FE" w:rsidP="003754FE">
      <w:pPr>
        <w:pStyle w:val="TextoNormal"/>
      </w:pPr>
      <w:r>
        <w:t>“Por lo que respecta al alcance del control que el Tribunal Constitucional puede ejercer respecto de la interpretación y aplicación de los preceptos sancionadores efectuados por los órganos judiciales,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y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y 167/2001, de 16 de julio, FJ 3). En otras palabras, ‘es ajena al contenido propio de nuestra jurisdicción la interpretación última del contenido de los tipos sancionadores y el control de la corrección del proceso de subsunción de los hechos probados en los preceptos aplicados’ (STC 137/1997, de 21 de julio, FJ 7).</w:t>
      </w:r>
    </w:p>
    <w:p w14:paraId="3303E8A5" w14:textId="77777777" w:rsidR="003754FE" w:rsidRDefault="003754FE" w:rsidP="003754FE">
      <w:pPr>
        <w:pStyle w:val="TextoNormal"/>
      </w:pPr>
    </w:p>
    <w:p w14:paraId="2C9C9EC6" w14:textId="77777777" w:rsidR="003754FE" w:rsidRDefault="003754FE" w:rsidP="003754FE">
      <w:pPr>
        <w:pStyle w:val="TextoNormal"/>
      </w:pPr>
      <w:r>
        <w:t xml:space="preserve">Por tanto, en este ámbito nuestro papel como jurisdicción de amparo ՙse reduce a velar por la indemnidad del derecho indicado y, con ello, por la de los valores de seguridad jurídica y de monopolio legislativo en la determinación esencial de lo penalmente ilícito que lo informan՚, verificando ՙsi la interpretación realizada era una de las interpretaciones posibles de la norma en atención a aquellos valores՚ (STC 189/1998, de 28 de septiembre, FJ 7; citándola SSTC 42/1999, de 22 de marzo, FJ 4; 142/1999, de 22 de julio, FJ 4). Además desde la STC 137/1997, de 21 de julio, hemos destacado que no se limita a comprobar el respeto de los órganos judiciales al tenor literal de la norma, ni a la mera interdicción de la arbitrariedad, el error patente o la manifiesta irrazonabilidad de las decisiones judiciales, 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solo de este modo puede verse en la decisión sancionadora ՙun fruto previsible de una razonable administración judicial o administrativa de la soberanía popular՚. ‘Dicho de otro modo, no solo vulneran el principio de legalidad las resoluciones sancionadoras que se sustenten en una subsunción de los hechos ajena al significado posible de los términos </w:t>
      </w:r>
      <w:r>
        <w:lastRenderedPageBreak/>
        <w:t>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w:t>
      </w:r>
    </w:p>
    <w:p w14:paraId="51EA8265" w14:textId="77777777" w:rsidR="003754FE" w:rsidRDefault="003754FE" w:rsidP="003754FE">
      <w:pPr>
        <w:pStyle w:val="TextoNormal"/>
      </w:pPr>
    </w:p>
    <w:p w14:paraId="5F50E252" w14:textId="77777777" w:rsidR="003754FE" w:rsidRDefault="003754FE" w:rsidP="003754FE">
      <w:pPr>
        <w:pStyle w:val="TextoNormal"/>
      </w:pPr>
      <w:r>
        <w:t xml:space="preserve">En definitiva, nuestro canon de enjuiciamiento constitucional, configurado a partir de la STC 137/1997, es el siguiente: cabe hablar de aplicación analógica o extensiva </w:t>
      </w:r>
      <w:r w:rsidRPr="003754FE">
        <w:rPr>
          <w:i/>
        </w:rPr>
        <w:t>in malam partem</w:t>
      </w:r>
      <w:r>
        <w:t>,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12; 126/2001, de 4 de junio, FJ 4; 167/2001, de 16 de julio, FJ 3; 170/2002, de 30 de septiembre, FJ 12, y 13/2003, de 28 de enero, FJ 3)”.</w:t>
      </w:r>
    </w:p>
    <w:p w14:paraId="5DA84F0F" w14:textId="77777777" w:rsidR="003754FE" w:rsidRDefault="003754FE" w:rsidP="003754FE">
      <w:pPr>
        <w:pStyle w:val="TextoNormal"/>
      </w:pPr>
    </w:p>
    <w:p w14:paraId="2CEE4165" w14:textId="77777777" w:rsidR="003754FE" w:rsidRDefault="003754FE" w:rsidP="003754FE">
      <w:pPr>
        <w:pStyle w:val="TextoNormal"/>
      </w:pPr>
      <w:r>
        <w:t>Reitero que la conclusión que se extrae al contrastar la consolidada doctrina constitucional con la fundamentación de la sentencia dictada en este caso, es que este tribunal ha introducido y mantiene una reciente y desviada tendencia, plasmada en sentencias que han alcanzado cierta notoriedad por el efecto anulatorio de sentencias de la Sala de lo Penal del Tribunal Supremo, en las que el Tribunal Constitucional se erige en máximo intérprete de la legalidad penal con suplantación de la función interpretativa atribuida al Tribunal Supremo acerca de los elementos que integran la parte objetiva del tipo de un delito, socavando así la jurisdicción de ese Alto Tribunal como órgano jurisdiccional superior en todos los órdenes y máxima autoridad jurisdiccional en la función de interpretar y aplicar la legislación vigente (arts. 117.3 y 123.1 CE).</w:t>
      </w:r>
    </w:p>
    <w:p w14:paraId="42B16267" w14:textId="77777777" w:rsidR="003754FE" w:rsidRDefault="003754FE" w:rsidP="003754FE">
      <w:pPr>
        <w:pStyle w:val="TextoNormal"/>
      </w:pPr>
    </w:p>
    <w:p w14:paraId="017100DF" w14:textId="77777777" w:rsidR="003754FE" w:rsidRDefault="003754FE" w:rsidP="003754FE">
      <w:pPr>
        <w:pStyle w:val="TextoNormal"/>
      </w:pPr>
      <w:r>
        <w:t>En vez de apartarse del consolidado parámetro de control constitucional, a fin de interpretar los elementos típicos del delito de prevaricación administrativa y sustituir de ese modo la interpretación del Tribunal Supremo de los conceptos penales, considero que este tribunal debería haber examinado el conjunto de los razonamientos esgrimidos en la sentencia recurrida, tanto en relación con el delito de prevaricación administrativa en abstracto, como su concurrencia en el caso concreto; concluyendo que la interpretación y aplicación llevada a cabo por los órganos judiciales del tipo penal de prevaricación administrativa es plenamente acorde con las exigencias del principio de legalidad.</w:t>
      </w:r>
    </w:p>
    <w:p w14:paraId="61443C22" w14:textId="77777777" w:rsidR="003754FE" w:rsidRDefault="003754FE" w:rsidP="003754FE">
      <w:pPr>
        <w:pStyle w:val="TextoNormal"/>
      </w:pPr>
    </w:p>
    <w:p w14:paraId="22075A10" w14:textId="77777777" w:rsidR="003754FE" w:rsidRDefault="003754FE" w:rsidP="003754FE">
      <w:pPr>
        <w:pStyle w:val="TextoNormal"/>
      </w:pPr>
      <w:r>
        <w:t xml:space="preserve">4. </w:t>
      </w:r>
      <w:r w:rsidRPr="003754FE">
        <w:rPr>
          <w:i/>
        </w:rPr>
        <w:t>Consideración a efectos penales del concepto resolución en “asunto administrativo” de los acuerdos dictados en la elaboración de anteproyectos y proyectos de leyes</w:t>
      </w:r>
    </w:p>
    <w:p w14:paraId="7C169E4C" w14:textId="77777777" w:rsidR="003754FE" w:rsidRDefault="003754FE" w:rsidP="003754FE">
      <w:pPr>
        <w:pStyle w:val="TextoNormal"/>
      </w:pPr>
    </w:p>
    <w:p w14:paraId="5E676AD2" w14:textId="77777777" w:rsidR="003754FE" w:rsidRDefault="003754FE" w:rsidP="003754FE">
      <w:pPr>
        <w:pStyle w:val="TextoNormal"/>
      </w:pPr>
      <w:r>
        <w:lastRenderedPageBreak/>
        <w:t>Sentado lo anterior, que fija con toda claridad la argumentada calificación jurídica efectuada por el Tribunal Supremo, es el momento de plasmar las razones de mi disentimiento con las que sustentan la estimación parcial por el Pleno de este recurso de amparo.</w:t>
      </w:r>
    </w:p>
    <w:p w14:paraId="1E8673BF" w14:textId="77777777" w:rsidR="003754FE" w:rsidRDefault="003754FE" w:rsidP="003754FE">
      <w:pPr>
        <w:pStyle w:val="TextoNormal"/>
      </w:pPr>
    </w:p>
    <w:p w14:paraId="3D52C945" w14:textId="77777777" w:rsidR="003754FE" w:rsidRDefault="003754FE" w:rsidP="003754FE">
      <w:pPr>
        <w:pStyle w:val="TextoNormal"/>
      </w:pPr>
      <w:r>
        <w:t>Tal como manifesté en el voto particular a la STC 93/2024, junto a los magistrados don Ricardo Enríquez Sancho y don Enrique Arnaldo Alcubilla, la idea que informa gran parte de la sentencia es que la actividad previa a la remisión por el Gobierno de Andalucía a su Parlamento de los correspondientes proyectos de leyes de presupuestos es una actividad que, como inherente a la iniciativa legislativa que le corresponde, se integra en esta y no puede ser objeto de control jurídico. Niega, en consecuencia, que toda la actividad tendente a la elaboración de los anteproyectos de leyes, que luego se convertirán en proyectos remitidos al Parlamento, pueda considerarse integrante de un procedimiento administrativo y, por consiguiente, que las decisiones que se adoptan en ese ámbito puedan calificarse como resoluciones recaídas en un “asunto administrativo”, que es el término que emplea el art. 404 CP y presupuesto del que parten las sentencias de instancia y casación.</w:t>
      </w:r>
    </w:p>
    <w:p w14:paraId="20F841BF" w14:textId="77777777" w:rsidR="003754FE" w:rsidRDefault="003754FE" w:rsidP="003754FE">
      <w:pPr>
        <w:pStyle w:val="TextoNormal"/>
      </w:pPr>
    </w:p>
    <w:p w14:paraId="5E77E53B" w14:textId="77777777" w:rsidR="003754FE" w:rsidRDefault="003754FE" w:rsidP="003754FE">
      <w:pPr>
        <w:pStyle w:val="TextoNormal"/>
      </w:pPr>
      <w:r>
        <w:t>Es evidente que las sentencias impugnadas no tienen por objeto, ni podrían tener, la constitucionalidad de las leyes de presupuestos aprobadas por el Parlamento de Andalucía en los años 2001 a 2009, sino, por lo que ahora interesa, los trabajos preparatorios de esas leyes, y esa actividad prelegislativa tiene, a mi juicio, inequívoca naturaleza administrativa. Así se desprende de lo dispuesto en los arts. 26 y siguientes de la Ley 50/1997, del Gobierno, de los arts. 127 y siguientes de la Ley 39/2015, del procedimiento administrativo común, y hasta de la STC 55/2018, que resolvió el recurso de inconstitucionalidad interpuesto por el Gobierno de la Generalitat de Cataluña, entre otros, contra esos artículos de esta última ley.</w:t>
      </w:r>
    </w:p>
    <w:p w14:paraId="38D3A22D" w14:textId="77777777" w:rsidR="003754FE" w:rsidRDefault="003754FE" w:rsidP="003754FE">
      <w:pPr>
        <w:pStyle w:val="TextoNormal"/>
      </w:pPr>
    </w:p>
    <w:p w14:paraId="5F3682A5" w14:textId="77777777" w:rsidR="003754FE" w:rsidRDefault="003754FE" w:rsidP="003754FE">
      <w:pPr>
        <w:pStyle w:val="TextoNormal"/>
      </w:pPr>
      <w:r>
        <w:t>La Ley 50/1997, del Gobierno, contiene una extensa regulación de cómo deben tramitarse los anteproyectos de leyes antes de su elevación al Consejo de Ministros y de la remisión por este del proyecto de ley subsiguiente al Parlamento. Es cierto que esta ley se refiere al Gobierno de la Nación y no a los de las respectivas comunidades autónomas, pero sería absurdo sostener que estos trabajos preparatorios tienen una doble naturaleza, “administrativa” cuando los lleva a cabo la administración del Estado, y “no administrativa” o “legislativa” cuando se trata de las comunidades autónomas.</w:t>
      </w:r>
    </w:p>
    <w:p w14:paraId="0E79A901" w14:textId="77777777" w:rsidR="003754FE" w:rsidRDefault="003754FE" w:rsidP="003754FE">
      <w:pPr>
        <w:pStyle w:val="TextoNormal"/>
      </w:pPr>
    </w:p>
    <w:p w14:paraId="7DBA15D5" w14:textId="77777777" w:rsidR="003754FE" w:rsidRDefault="003754FE" w:rsidP="003754FE">
      <w:pPr>
        <w:pStyle w:val="TextoNormal"/>
      </w:pPr>
      <w:r>
        <w:t>La Ley 39/2015, del procedimiento administrativo común, sí se refiere a todas las administraciones públicas, también a las comunidades autónomas, remitiendo a lo que dispongan sus estatutos de autonomía en cuanto a los órganos a quien corresponde la iniciativa legislativa, pero estableciendo, con la naturaleza de “bases del régimen jurídico de las administraciones públicas” y “procedimiento administrativo común” (art. 149.1.18 CE), algunas indicaciones generales de buena regulación.</w:t>
      </w:r>
    </w:p>
    <w:p w14:paraId="6981BB68" w14:textId="77777777" w:rsidR="003754FE" w:rsidRDefault="003754FE" w:rsidP="003754FE">
      <w:pPr>
        <w:pStyle w:val="TextoNormal"/>
      </w:pPr>
    </w:p>
    <w:p w14:paraId="023A9D6E" w14:textId="77777777" w:rsidR="003754FE" w:rsidRDefault="003754FE" w:rsidP="003754FE">
      <w:pPr>
        <w:pStyle w:val="TextoNormal"/>
      </w:pPr>
      <w:r>
        <w:t xml:space="preserve">Estos preceptos fueron impugnados, como se ha adelantado, por el Gobierno de la Generalitat de Cataluña y la STC 55/2018 estimó el recurso, pero no porque esa actividad previa a la remisión de un proyecto de ley a las Cortes Generales o a las diferentes asambleas legislativas autonómicas se integrara en la actividad legislativa, sino porque se trata de una actividad propia de las comunidades autónomas (“organización de sus instituciones de autogobierno”: art. 148.1.1 CE) y el Estatuto de Autonomía de Cataluña (arts. 150 y 159) reconocía a la Generalitat competencia para regular su propia organización y procedimiento, </w:t>
      </w:r>
      <w:r>
        <w:lastRenderedPageBreak/>
        <w:t>por más que en algunos casos esas directrices contenidas en el art. 129 de la Ley 39/2015 fueran coincidentes con las desarrolladas por la legislación autonómica.</w:t>
      </w:r>
    </w:p>
    <w:p w14:paraId="72668BF1" w14:textId="77777777" w:rsidR="003754FE" w:rsidRDefault="003754FE" w:rsidP="003754FE">
      <w:pPr>
        <w:pStyle w:val="TextoNormal"/>
      </w:pPr>
    </w:p>
    <w:p w14:paraId="0880E3D5" w14:textId="77777777" w:rsidR="003754FE" w:rsidRDefault="003754FE" w:rsidP="003754FE">
      <w:pPr>
        <w:pStyle w:val="TextoNormal"/>
      </w:pPr>
      <w:r>
        <w:t>Esa actividad que el Tribunal Supremo llama “prelegislativa” es, para la STC 55/2018, propia de un procedimiento administrativo, aunque sobre ella el legislador estatal no pueda intervenir por la vía del art. 149.1.18 CE. El Estado no puede regularla bajo el título del procedimiento administrativo “común” (art. 149.1.18 CE), pero es “procedimiento administrativo”. Por eso tras la STC 55/2018 esas normas siguen siendo de aplicación al procedimiento prelegislativo estatal. Una cosa es que la jurisdicción contencioso-administrativa venga declarando que esa actividad no constituye un acto impugnable ante ella y otra que, como dice la sentencia de la que discrepo, esa actividad “no pued[a] ser objeto de control por ningún órgano judicial” [FJ 4.4 A) a)].</w:t>
      </w:r>
    </w:p>
    <w:p w14:paraId="4A66F254" w14:textId="77777777" w:rsidR="003754FE" w:rsidRDefault="003754FE" w:rsidP="003754FE">
      <w:pPr>
        <w:pStyle w:val="TextoNormal"/>
      </w:pPr>
    </w:p>
    <w:p w14:paraId="396F7331" w14:textId="77777777" w:rsidR="003754FE" w:rsidRDefault="003754FE" w:rsidP="003754FE">
      <w:pPr>
        <w:pStyle w:val="TextoNormal"/>
      </w:pPr>
      <w:r>
        <w:t>Como apuntamos en el voto particular mencionado, el Tribunal citó de manera desviada el ATC 135/2004 (aludido en la STC 93/2024, FJ 4.3.3). Este auto inadmitió la impugnación del Gobierno de la Nación contra el proyecto de reforma del Estatuto de Autonomía del País Vasco aprobado por el Gobierno de esa comunidad (el llamado “Plan Ibarretxe”) y contra la resolución de la mesa del Parlamento autonómico admitiendo a trámite esa propuesta. El Gobierno impugnante alegaba que el contenido de la propuesta era abiertamente inconstitucional, y que por tanto la propuesta solo podía tramitarse como un procedimiento de reforma de la Constitución, y no como un procedimiento de reforma del Estatuto de Autonomía, como había hecho el Parlamento autonómico. Se sostuvo entonces que ese proyecto de reforma no podía ser objeto de control por este tribunal, porque su efecto era solamente abrir un procedimiento parlamentario cuyo resultado era incierto. De su tramitación podía resultar una norma o no resultar ninguna, y en el primer caso esa norma podía ser contraria o conforme a la Constitución. Por lo tanto, no podía este tribunal anular la propuesta de reforma ni impedir su debate.</w:t>
      </w:r>
    </w:p>
    <w:p w14:paraId="1E2F3CFE" w14:textId="77777777" w:rsidR="003754FE" w:rsidRDefault="003754FE" w:rsidP="003754FE">
      <w:pPr>
        <w:pStyle w:val="TextoNormal"/>
      </w:pPr>
    </w:p>
    <w:p w14:paraId="1E191AA6" w14:textId="77777777" w:rsidR="003754FE" w:rsidRDefault="003754FE" w:rsidP="003754FE">
      <w:pPr>
        <w:pStyle w:val="TextoNormal"/>
      </w:pPr>
      <w:r>
        <w:t xml:space="preserve">Pero esta imposibilidad lógica de controlar vicios </w:t>
      </w:r>
      <w:r w:rsidRPr="003754FE">
        <w:rPr>
          <w:i/>
        </w:rPr>
        <w:t>hipotéticos</w:t>
      </w:r>
      <w:r>
        <w:t xml:space="preserve"> contenidos en proyectos de normas (o actos) que podrían suponer la anulación del producto final si no fueran corregidos, nada tiene que ver con la posibilidad de examinar si en la elaboración de un anteproyecto de ley (que es un acto previo y diferente a la “decisión de enviar a las Cortes un proyecto de ley” como acto de gobierno conforme a la STC 45/1990), la autoridad responsable ha incurrid</w:t>
      </w:r>
      <w:r w:rsidRPr="003754FE">
        <w:rPr>
          <w:i/>
        </w:rPr>
        <w:t>o efectivamen</w:t>
      </w:r>
      <w:r>
        <w:t>te en un delito de prevaricación del art. 404 CP.</w:t>
      </w:r>
    </w:p>
    <w:p w14:paraId="1D2888B5" w14:textId="77777777" w:rsidR="003754FE" w:rsidRDefault="003754FE" w:rsidP="003754FE">
      <w:pPr>
        <w:pStyle w:val="TextoNormal"/>
      </w:pPr>
    </w:p>
    <w:p w14:paraId="743A2F04" w14:textId="77777777" w:rsidR="003754FE" w:rsidRDefault="003754FE" w:rsidP="003754FE">
      <w:pPr>
        <w:pStyle w:val="TextoNormal"/>
      </w:pPr>
      <w:r>
        <w:t>En abstracto, de la simple alteración de la partida presupuestaria que antes cobijaba los créditos concedidos al Instituto de Fomento de Andalucía (IFA, posteriormente Agencia de Innovación y Desarrollo de Andalucía, IDEA) e incluso de la ampliación de sus competencias, no cabe colegir el designio último de los que promovieron tal cambio, que consistía en eludir los controles ordinarios existentes hasta entonces para el otorgamiento de subvenciones. No es en el ámbito de la inconstitucionalidad de leyes de presupuestos donde se mueven las sentencias impugnadas, sino en el de la creación de un marco jurídico aparentemente neutro a cuyo amparo pudiera actuarse disponiendo de ingentes cantidades de dinero sin control efectivo alguno.</w:t>
      </w:r>
    </w:p>
    <w:p w14:paraId="39D86A18" w14:textId="77777777" w:rsidR="003754FE" w:rsidRDefault="003754FE" w:rsidP="003754FE">
      <w:pPr>
        <w:pStyle w:val="TextoNormal"/>
      </w:pPr>
    </w:p>
    <w:p w14:paraId="182528D6" w14:textId="77777777" w:rsidR="003754FE" w:rsidRDefault="003754FE" w:rsidP="003754FE">
      <w:pPr>
        <w:pStyle w:val="TextoNormal"/>
      </w:pPr>
      <w:r>
        <w:t xml:space="preserve">Con refrendo en la regulación establecida en la Ley 39/2015, del procedimiento administrativo común (y por la doctrina sentada en la STC 55/2018, antes citada), solo cabe </w:t>
      </w:r>
      <w:r>
        <w:lastRenderedPageBreak/>
        <w:t>concluir que la actividad previa al ejercicio de la iniciativa legislativa es parte de un procedimiento administrativo.</w:t>
      </w:r>
    </w:p>
    <w:p w14:paraId="5E89E9A4" w14:textId="77777777" w:rsidR="003754FE" w:rsidRDefault="003754FE" w:rsidP="003754FE">
      <w:pPr>
        <w:pStyle w:val="TextoNormal"/>
      </w:pPr>
    </w:p>
    <w:p w14:paraId="3A48F9AE" w14:textId="77777777" w:rsidR="003754FE" w:rsidRDefault="003754FE" w:rsidP="003754FE">
      <w:pPr>
        <w:pStyle w:val="TextoNormal"/>
      </w:pPr>
      <w:r>
        <w:t>Por ello no puedo compartir la consideración de que la deliberada vulneración de los tramites impuestos en la leyes de procedimiento con la finalidad de eludir los controles que las mismas establecen, pueda ampararse en la consideración de dichas conductas como actos de gobierno excluidos de todo control por parte de cualquier órgano jurisdiccional, incluso de su posible enjuiciamiento por la jurisdicción penal, lo que equivaldría a consagrar un ámbito de impunidad que es contrario a la Constitución.</w:t>
      </w:r>
    </w:p>
    <w:p w14:paraId="2A9551FB" w14:textId="77777777" w:rsidR="003754FE" w:rsidRDefault="003754FE" w:rsidP="003754FE">
      <w:pPr>
        <w:pStyle w:val="TextoNormal"/>
      </w:pPr>
    </w:p>
    <w:p w14:paraId="1B5759BD" w14:textId="77777777" w:rsidR="003754FE" w:rsidRDefault="003754FE" w:rsidP="003754FE">
      <w:pPr>
        <w:pStyle w:val="TextoNormal"/>
      </w:pPr>
      <w:r>
        <w:t>Como señalamos en los votos particulares anteriores los actos prelegislativos son susceptibles de control penal, no cabe concluir que la interpretación efectuada por los órganos de la jurisdicción penal sea imprevisible.</w:t>
      </w:r>
    </w:p>
    <w:p w14:paraId="6B973A57" w14:textId="77777777" w:rsidR="003754FE" w:rsidRDefault="003754FE" w:rsidP="003754FE">
      <w:pPr>
        <w:pStyle w:val="TextoNormal"/>
      </w:pPr>
    </w:p>
    <w:p w14:paraId="355D9EBB" w14:textId="77777777" w:rsidR="003754FE" w:rsidRDefault="003754FE" w:rsidP="003754FE">
      <w:pPr>
        <w:pStyle w:val="TextoNormal"/>
      </w:pPr>
      <w:r>
        <w:t>5</w:t>
      </w:r>
      <w:r w:rsidRPr="003754FE">
        <w:rPr>
          <w:i/>
        </w:rPr>
        <w:t>. El incumplimiento de la normativa general sobre subvenciones puede considerarse “arbitraria” por la jurisdicción pen</w:t>
      </w:r>
      <w:r>
        <w:t>al</w:t>
      </w:r>
    </w:p>
    <w:p w14:paraId="7069ECEB" w14:textId="77777777" w:rsidR="003754FE" w:rsidRDefault="003754FE" w:rsidP="003754FE">
      <w:pPr>
        <w:pStyle w:val="TextoNormal"/>
      </w:pPr>
    </w:p>
    <w:p w14:paraId="0C5F9EE3" w14:textId="77777777" w:rsidR="003754FE" w:rsidRDefault="003754FE" w:rsidP="003754FE">
      <w:pPr>
        <w:pStyle w:val="TextoNormal"/>
      </w:pPr>
      <w:r>
        <w:t>En el fundamento jurídico 4.4, apartado A), se enjuicia la interpretación del concepto de resolución “arbitraria” previsto en el art. 404 CP.</w:t>
      </w:r>
    </w:p>
    <w:p w14:paraId="1D961AFF" w14:textId="77777777" w:rsidR="003754FE" w:rsidRDefault="003754FE" w:rsidP="003754FE">
      <w:pPr>
        <w:pStyle w:val="TextoNormal"/>
      </w:pPr>
    </w:p>
    <w:p w14:paraId="16A5D8D9" w14:textId="77777777" w:rsidR="003754FE" w:rsidRDefault="003754FE" w:rsidP="003754FE">
      <w:pPr>
        <w:pStyle w:val="TextoNormal"/>
      </w:pPr>
      <w:r>
        <w:t>Reitero que, sin duda alguna, la definición penal de este concepto corresponde a la Sala de lo Penal del Tribunal Supremo, cuya jurisprudencia identifica la arbitrariedad como ilegalidad patente, grosera, palmaria, clamorosa o flagrante, y señala como hechos relevantes de este caso los siguientes:</w:t>
      </w:r>
    </w:p>
    <w:p w14:paraId="12F77331" w14:textId="77777777" w:rsidR="003754FE" w:rsidRDefault="003754FE" w:rsidP="003754FE">
      <w:pPr>
        <w:pStyle w:val="TextoNormal"/>
      </w:pPr>
    </w:p>
    <w:p w14:paraId="4F289D52" w14:textId="77777777" w:rsidR="003754FE" w:rsidRDefault="003754FE" w:rsidP="003754FE">
      <w:pPr>
        <w:pStyle w:val="TextoNormal"/>
      </w:pPr>
      <w:r>
        <w:t>(i) Se cambió el sistema de financiación de las “ayudas sociolaborales” sin razón aparente;</w:t>
      </w:r>
    </w:p>
    <w:p w14:paraId="77E28484" w14:textId="77777777" w:rsidR="003754FE" w:rsidRDefault="003754FE" w:rsidP="003754FE">
      <w:pPr>
        <w:pStyle w:val="TextoNormal"/>
      </w:pPr>
    </w:p>
    <w:p w14:paraId="620749D3" w14:textId="77777777" w:rsidR="003754FE" w:rsidRDefault="003754FE" w:rsidP="003754FE">
      <w:pPr>
        <w:pStyle w:val="TextoNormal"/>
      </w:pPr>
      <w:r>
        <w:t>(ii) se hizo y mantuvo ese cambio a pesar de las múltiples advertencias de la Intervención y los servicios jurídicos sobre las ilegalidades que se estaban produciendo, y</w:t>
      </w:r>
    </w:p>
    <w:p w14:paraId="670D35E7" w14:textId="77777777" w:rsidR="003754FE" w:rsidRDefault="003754FE" w:rsidP="003754FE">
      <w:pPr>
        <w:pStyle w:val="TextoNormal"/>
      </w:pPr>
    </w:p>
    <w:p w14:paraId="4272A887" w14:textId="77777777" w:rsidR="003754FE" w:rsidRDefault="003754FE" w:rsidP="003754FE">
      <w:pPr>
        <w:pStyle w:val="TextoNormal"/>
      </w:pPr>
      <w:r>
        <w:t>(iii) la consecuencia real del cambio fue la falta de control y absoluta ilegalidad de la concesión de subvenciones.</w:t>
      </w:r>
    </w:p>
    <w:p w14:paraId="0886A3CC" w14:textId="77777777" w:rsidR="003754FE" w:rsidRDefault="003754FE" w:rsidP="003754FE">
      <w:pPr>
        <w:pStyle w:val="TextoNormal"/>
      </w:pPr>
    </w:p>
    <w:p w14:paraId="1F8EA855" w14:textId="77777777" w:rsidR="003754FE" w:rsidRDefault="003754FE" w:rsidP="003754FE">
      <w:pPr>
        <w:pStyle w:val="TextoNormal"/>
      </w:pPr>
      <w:r>
        <w:t>Por todo ello concluye que “[a] partir de estos hechos, dada la incontestable ilegalidad de las acciones llevadas a cabo y en atención a la finalidad directamente perseguida por los autores no cabe otra conclusión que la de afirmar la arbitrariedad e injusticia de las resoluciones objeto de enjuiciamiento” (sentencia del Tribunal Supremo, fundamento de Derecho 30, pág. 296).</w:t>
      </w:r>
    </w:p>
    <w:p w14:paraId="2AA8F0BE" w14:textId="77777777" w:rsidR="003754FE" w:rsidRDefault="003754FE" w:rsidP="003754FE">
      <w:pPr>
        <w:pStyle w:val="TextoNormal"/>
      </w:pPr>
    </w:p>
    <w:p w14:paraId="1C521B27" w14:textId="77777777" w:rsidR="003754FE" w:rsidRDefault="003754FE" w:rsidP="003754FE">
      <w:pPr>
        <w:pStyle w:val="TextoNormal"/>
      </w:pPr>
      <w:r>
        <w:t>Estas razones no han merecido atención en ninguna de las sentencias que han resuelto los recursos de amparo de los ERE que insisten en la idea de que la aprobación parlamentaria produce un efecto sanador de todos los vicios declarados probados por la jurisdicción penal denunciados, que las resoluciones de las que discrepo asocian a la imprevisibilidad de la interpretación llevada a cabo por los órganos judiciales.</w:t>
      </w:r>
    </w:p>
    <w:p w14:paraId="34C43141" w14:textId="77777777" w:rsidR="003754FE" w:rsidRDefault="003754FE" w:rsidP="003754FE">
      <w:pPr>
        <w:pStyle w:val="TextoNormal"/>
      </w:pPr>
    </w:p>
    <w:p w14:paraId="16793891" w14:textId="77777777" w:rsidR="003754FE" w:rsidRDefault="003754FE" w:rsidP="003754FE">
      <w:pPr>
        <w:pStyle w:val="TextoNormal"/>
      </w:pPr>
      <w:r>
        <w:t xml:space="preserve">Reitero que el fundamento de las condenas por prevaricación es la ideación y puesta en práctica por los diversos recurrentes de un plan dirigido a eludir los requisitos legalmente </w:t>
      </w:r>
      <w:r>
        <w:lastRenderedPageBreak/>
        <w:t>exigibles para la concesión de subvenciones. Atendido que, con arreglo a la Ley 5/1983, de la hacienda pública de Andalucía, coincidente con la Ley 38/2003, general de subvenciones, del Estado, las subvenciones y ayudas debían otorgarse con arreglo a unos principios de publicidad, libre concurrencia y objetividad, y visto que el incumplimiento de estos principios en la concesión de ayudas estaba produciendo muchos reparos por parte de la Intervención, los recurrentes, como solución para eludir esos controles, incluyeron una nueva partida en los presupuestos, titulada de manera indeterminada como “relaciones laborales” y mediante transferencias de crédito al IFA/IDEA, lograron permitir la disposición de los fondos para sus propios fines, eludiendo de este modo los controles exigibles con arreglo a una legalidad no derogada.</w:t>
      </w:r>
    </w:p>
    <w:p w14:paraId="02BD662F" w14:textId="77777777" w:rsidR="003754FE" w:rsidRDefault="003754FE" w:rsidP="003754FE">
      <w:pPr>
        <w:pStyle w:val="TextoNormal"/>
      </w:pPr>
    </w:p>
    <w:p w14:paraId="37C3099E" w14:textId="77777777" w:rsidR="003754FE" w:rsidRDefault="003754FE" w:rsidP="003754FE">
      <w:pPr>
        <w:pStyle w:val="TextoNormal"/>
      </w:pPr>
      <w:r>
        <w:t>Como indicamos en los anteriores votos particulares, las leyes de prepuestos hubieran podido derogar la legalidad vigente o desplazarla para la concesión de esas ayudas, como hizo luego de modo revelador el Decreto-ley 4/2012, en la llamada “tercera etapa” de los ERE [sentencia del Tribunal Supremo, fundamento de Derecho 1, “Resumen de los hechos probados”, pág. 111]. El art. 1 de ese decreto-ley estableció expresamente que “a estas ayudas sociolaborales no les es de aplicación la normativa general sobre subvenciones públicas”, lo que evidencia que el criterio seguido en años anteriores de eludir los trámites impuestos por esa “normativa general sobre subvenciones públicas” no se ajustaba a la legalidad vigente.</w:t>
      </w:r>
    </w:p>
    <w:p w14:paraId="5DBF2DC4" w14:textId="77777777" w:rsidR="003754FE" w:rsidRDefault="003754FE" w:rsidP="003754FE">
      <w:pPr>
        <w:pStyle w:val="TextoNormal"/>
      </w:pPr>
    </w:p>
    <w:p w14:paraId="1A25DFCC" w14:textId="77777777" w:rsidR="003754FE" w:rsidRDefault="003754FE" w:rsidP="003754FE">
      <w:pPr>
        <w:pStyle w:val="TextoNormal"/>
      </w:pPr>
      <w:r>
        <w:t>Dadas la manifiesta y prolongada en el tiempo ilegalidad de las conductas y la finalidad perseguida con las mismas, resulta inasumible la conclusión de que la sanción penal como delito continuado de prevaricación pudiera considerarse imprevisible.</w:t>
      </w:r>
    </w:p>
    <w:p w14:paraId="483B68D7" w14:textId="77777777" w:rsidR="003754FE" w:rsidRDefault="003754FE" w:rsidP="003754FE">
      <w:pPr>
        <w:pStyle w:val="TextoNormal"/>
      </w:pPr>
    </w:p>
    <w:p w14:paraId="5585CA75" w14:textId="77777777" w:rsidR="003754FE" w:rsidRDefault="003754FE" w:rsidP="003754FE">
      <w:pPr>
        <w:pStyle w:val="TextoNormal"/>
      </w:pPr>
      <w:r>
        <w:t>6</w:t>
      </w:r>
      <w:r w:rsidRPr="003754FE">
        <w:rPr>
          <w:i/>
        </w:rPr>
        <w:t>. Interpretación de las leyes de presupuestos efectuada por las sentencias recurrid</w:t>
      </w:r>
      <w:r>
        <w:t>as</w:t>
      </w:r>
    </w:p>
    <w:p w14:paraId="192DDD88" w14:textId="77777777" w:rsidR="003754FE" w:rsidRDefault="003754FE" w:rsidP="003754FE">
      <w:pPr>
        <w:pStyle w:val="TextoNormal"/>
      </w:pPr>
    </w:p>
    <w:p w14:paraId="32C7EB6B" w14:textId="77777777" w:rsidR="003754FE" w:rsidRDefault="003754FE" w:rsidP="003754FE">
      <w:pPr>
        <w:pStyle w:val="TextoNormal"/>
      </w:pPr>
      <w:r>
        <w:t>Esta sentencia al igual que las anteriores, insiste en la idea, con profusa remisión a la citada STC 93/2024, de que las leyes de presupuestos regularon el modo de concesión de estas ayudas. Diserta ampliamente sobre las “[c]aracterísticas de nuestra democracia constitucional y parlamentaria” (FJ 4.3), la naturaleza de la ley de presupuestos como “verdadera ley” [FJ 4.3 A) e)] y el monopolio de control de constitucionalidad de las leyes por el Tribunal Constitucional [FJ 4.3 A) a) y f)], para terminar concluyendo que las sentencias recurridas han “priva[do] de toda relevancia a la aprobación parlamentaria de la ley” [FJ 4.4. A) b)] de presupuestos “que tiene la misma naturaleza normativa que el resto de las leyes” [FJ 4.4 A) b)].</w:t>
      </w:r>
    </w:p>
    <w:p w14:paraId="09D9BE1B" w14:textId="77777777" w:rsidR="003754FE" w:rsidRDefault="003754FE" w:rsidP="003754FE">
      <w:pPr>
        <w:pStyle w:val="TextoNormal"/>
      </w:pPr>
    </w:p>
    <w:p w14:paraId="19FEACBD" w14:textId="77777777" w:rsidR="003754FE" w:rsidRDefault="003754FE" w:rsidP="003754FE">
      <w:pPr>
        <w:pStyle w:val="TextoNormal"/>
      </w:pPr>
      <w:r>
        <w:t>La (supuesta) modificación legislativa se habría producido con la calificación de las ayudas sociolaborales como “transferencias de financiación”, según reconocen las sentencias de las que discrepo. La modificación se habría producido en las “memorias presupuestarias, informes económico-financieros y fichas del programa 31L” cuyo contenido extracta la sentencia del Tribunal Supremo (fundamento de Derecho 11, págs. 193-196), transcrita en este punto por la sentencia de la que disiento.</w:t>
      </w:r>
    </w:p>
    <w:p w14:paraId="52162727" w14:textId="77777777" w:rsidR="003754FE" w:rsidRDefault="003754FE" w:rsidP="003754FE">
      <w:pPr>
        <w:pStyle w:val="TextoNormal"/>
      </w:pPr>
    </w:p>
    <w:p w14:paraId="10F4AA80" w14:textId="77777777" w:rsidR="003754FE" w:rsidRDefault="003754FE" w:rsidP="003754FE">
      <w:pPr>
        <w:pStyle w:val="TextoNormal"/>
      </w:pPr>
      <w:r>
        <w:t>Pues bien, tanto la Audiencia Provincial de Sevilla como el Tribunal Supremo niegan razonadamente que esa calificación tuviera eficacia normativa y vinculante y habilitara la exclusión de los controles propios de las subvenciones.</w:t>
      </w:r>
    </w:p>
    <w:p w14:paraId="79FEF186" w14:textId="77777777" w:rsidR="003754FE" w:rsidRDefault="003754FE" w:rsidP="003754FE">
      <w:pPr>
        <w:pStyle w:val="TextoNormal"/>
      </w:pPr>
    </w:p>
    <w:p w14:paraId="7CBE7F85" w14:textId="77777777" w:rsidR="003754FE" w:rsidRDefault="003754FE" w:rsidP="003754FE">
      <w:pPr>
        <w:pStyle w:val="TextoNormal"/>
      </w:pPr>
      <w:r>
        <w:lastRenderedPageBreak/>
        <w:t>La sentencia de instancia lo declara en el fundamento de Derecho 15 (aludido en la sentencia de casación en el fundamento 23.1, pág. 256), que cita y reproduce el art. 129.3 del Reglamento del Parlamento de Andalucía, que dice así:</w:t>
      </w:r>
    </w:p>
    <w:p w14:paraId="2D028C9F" w14:textId="77777777" w:rsidR="003754FE" w:rsidRDefault="003754FE" w:rsidP="003754FE">
      <w:pPr>
        <w:pStyle w:val="TextoNormal"/>
      </w:pPr>
    </w:p>
    <w:p w14:paraId="11F1739E" w14:textId="77777777" w:rsidR="003754FE" w:rsidRDefault="003754FE" w:rsidP="003754FE">
      <w:pPr>
        <w:pStyle w:val="TextoNormal"/>
      </w:pPr>
      <w:r>
        <w:t>“El debate del presupuesto se referirá al articulado y al estado de autorización de gastos</w:t>
      </w:r>
      <w:r w:rsidRPr="003754FE">
        <w:rPr>
          <w:i/>
        </w:rPr>
        <w:t>. Todo ello sin perjuicio del estudio de otros documentos que deban acompañar</w:t>
      </w:r>
      <w:r>
        <w:t>lo”.</w:t>
      </w:r>
    </w:p>
    <w:p w14:paraId="035BEB56" w14:textId="77777777" w:rsidR="003754FE" w:rsidRDefault="003754FE" w:rsidP="003754FE">
      <w:pPr>
        <w:pStyle w:val="TextoNormal"/>
      </w:pPr>
    </w:p>
    <w:p w14:paraId="0E27EC5D" w14:textId="77777777" w:rsidR="003754FE" w:rsidRDefault="003754FE" w:rsidP="003754FE">
      <w:pPr>
        <w:pStyle w:val="TextoNormal"/>
      </w:pPr>
      <w:r>
        <w:t>Un precepto que lleva a la Audiencia Provincial a concluir que “los únicos documentos objeto de debate, y por tanto de aprobación parlamentaria, son el texto articulado de la ley y los estados de gastos de cada uno de los entes públicos de la comunidad autónoma. Sin que el resto de los documentos que, como documentación anexa, acompañan al proyecto de presupuesto, sean objeto de aprobación por el Parlamento</w:t>
      </w:r>
      <w:r w:rsidRPr="003754FE">
        <w:rPr>
          <w:i/>
        </w:rPr>
        <w:t>, ni, en consecuencia, adquieran fuerza de l</w:t>
      </w:r>
      <w:r>
        <w:t>ey”.</w:t>
      </w:r>
    </w:p>
    <w:p w14:paraId="11FAA57B" w14:textId="77777777" w:rsidR="003754FE" w:rsidRDefault="003754FE" w:rsidP="003754FE">
      <w:pPr>
        <w:pStyle w:val="TextoNormal"/>
      </w:pPr>
    </w:p>
    <w:p w14:paraId="492148B6" w14:textId="77777777" w:rsidR="003754FE" w:rsidRDefault="003754FE" w:rsidP="003754FE">
      <w:pPr>
        <w:pStyle w:val="TextoNormal"/>
      </w:pPr>
      <w:r>
        <w:t>Por su parte, la sentencia de casación es igualmente concluyente: “ninguna de las leyes de presupuestos aprobadas modificó el régimen jurídico aplicable a las subvenciones” (fundamento de Derecho 23.3, pág. 262); las leyes de presupuestos “habilitaron unos créditos presupuestarios” pero no aprobaron “la forma de ejecución del gasto” ni su “concesión y pago eludiendo los requisitos y controles establecidos en la normativa de subvenciones” (fundamento 11.2, págs. 189-190).</w:t>
      </w:r>
    </w:p>
    <w:p w14:paraId="212CE4C0" w14:textId="77777777" w:rsidR="003754FE" w:rsidRDefault="003754FE" w:rsidP="003754FE">
      <w:pPr>
        <w:pStyle w:val="TextoNormal"/>
      </w:pPr>
    </w:p>
    <w:p w14:paraId="2884FF3F" w14:textId="77777777" w:rsidR="003754FE" w:rsidRDefault="003754FE" w:rsidP="003754FE">
      <w:pPr>
        <w:pStyle w:val="TextoNormal"/>
      </w:pPr>
      <w:r>
        <w:t>En lugar de detenerse en estos estos razonamientos, como corresponde a un recurso de amparo que debe examinar la razonabilidad de la interpretación efectuada por las sentencias recurridas, la sentencia mayoritaria cambia los términos del debate, lo que la lleva a concluir que “el fundamento de la condena parte de una determinada comprensión de las relaciones entre el Ejecutivo autonómico y su Parlamento que trasciende del ámbito de la legalidad y se adentra en el plano de la constitucionalidad” (FJ 4.3).</w:t>
      </w:r>
    </w:p>
    <w:p w14:paraId="0276EF8C" w14:textId="77777777" w:rsidR="003754FE" w:rsidRDefault="003754FE" w:rsidP="003754FE">
      <w:pPr>
        <w:pStyle w:val="TextoNormal"/>
      </w:pPr>
    </w:p>
    <w:p w14:paraId="3E8A6355" w14:textId="77777777" w:rsidR="003754FE" w:rsidRDefault="003754FE" w:rsidP="003754FE">
      <w:pPr>
        <w:pStyle w:val="TextoNormal"/>
      </w:pPr>
      <w:r>
        <w:t>Como también apuntamos en votos particulares precedentes, lo que era objeto de discusión ante la jurisdicción penal, y esta negó motivadamente, no era “el carácter formal o material” de la ley de presupuestos, cuestión hace tiempo “superada” como reconoce la sentencia 93/2024 citando la STC 72/1992, de 13 de mayo, sino si la “documentación anexa” a la ley de presupuestos, donde se contiene ese cambio de calificación de créditos, supuso efectivamente una modificación, derogación o desplazamiento de la normativa general sobre subvenciones.</w:t>
      </w:r>
    </w:p>
    <w:p w14:paraId="63A19010" w14:textId="77777777" w:rsidR="003754FE" w:rsidRDefault="003754FE" w:rsidP="003754FE">
      <w:pPr>
        <w:pStyle w:val="TextoNormal"/>
      </w:pPr>
    </w:p>
    <w:p w14:paraId="4C4A769E" w14:textId="77777777" w:rsidR="003754FE" w:rsidRDefault="003754FE" w:rsidP="003754FE">
      <w:pPr>
        <w:pStyle w:val="TextoNormal"/>
      </w:pPr>
      <w:r>
        <w:t>La lectura del análisis de la “documentación anexa” al proyecto de ley de presupuestos ofrecido por las págs. 193-196 de la sentencia del Tribunal Supremo, transcritas en el fundamento jurídico 2.1 c) de la sentencia de amparo, no permite sostener esta conclusión. Antes, al contrario, estas “fichas”, “memorias” y “documentación anexa al proyecto de presupuestos” llaman varias veces “subvenciones” a las “ayudas sociolaborales” del programa 31L, de modo que difícilmente puede sostenerse que esa “documentación anexa” autorizara la elusión del régimen de estas.</w:t>
      </w:r>
    </w:p>
    <w:p w14:paraId="4E7AE0F7" w14:textId="77777777" w:rsidR="003754FE" w:rsidRDefault="003754FE" w:rsidP="003754FE">
      <w:pPr>
        <w:pStyle w:val="TextoNormal"/>
      </w:pPr>
    </w:p>
    <w:p w14:paraId="2E142AF8" w14:textId="77777777" w:rsidR="003754FE" w:rsidRDefault="003754FE" w:rsidP="003754FE">
      <w:pPr>
        <w:pStyle w:val="TextoNormal"/>
      </w:pPr>
      <w:r>
        <w:t>Además, la conclusión de las sentencias recurridas sobre la ausencia de valor legal de esa “documentación anexa” a las leyes de presupuestos no vulnera el derecho a la legalidad sancionadora del art. 25.1 CE, pues viene corroborada por importantes y evidentes argumentos constitucionales.</w:t>
      </w:r>
    </w:p>
    <w:p w14:paraId="4D770C96" w14:textId="77777777" w:rsidR="003754FE" w:rsidRDefault="003754FE" w:rsidP="003754FE">
      <w:pPr>
        <w:pStyle w:val="TextoNormal"/>
      </w:pPr>
    </w:p>
    <w:p w14:paraId="779E4328" w14:textId="77777777" w:rsidR="003754FE" w:rsidRDefault="003754FE" w:rsidP="003754FE">
      <w:pPr>
        <w:pStyle w:val="TextoNormal"/>
      </w:pPr>
      <w:r>
        <w:t>En primer lugar, esa “documentación anexa” no está publicada, ni se publica conjuntamente con las leyes de presupuestos, lo que ya de por sí impide otorgarle valor normativo alguno por aplicación de la máxima del art. 9.3 CE: “La Constitución garantiza […] la publicidad de las normas”. Si no hay publicidad, no puede haber “norma” vinculante, ni mucho menos “verdadera ley”, como asume la mayoría.</w:t>
      </w:r>
    </w:p>
    <w:p w14:paraId="7F974068" w14:textId="77777777" w:rsidR="003754FE" w:rsidRDefault="003754FE" w:rsidP="003754FE">
      <w:pPr>
        <w:pStyle w:val="TextoNormal"/>
      </w:pPr>
    </w:p>
    <w:p w14:paraId="0F13A49E" w14:textId="77777777" w:rsidR="003754FE" w:rsidRDefault="003754FE" w:rsidP="003754FE">
      <w:pPr>
        <w:pStyle w:val="TextoNormal"/>
      </w:pPr>
      <w:r>
        <w:t xml:space="preserve">En segundo lugar, la diferenciación conceptual entre el anteproyecto o proyecto de ley de presupuestos, por una parte, y su “documentación anexa”, por otra, viene corroborada por otras normas. No solo el art. 129.3 del Reglamento del Parlamento de Andalucía, que es citado por la sentencia de la Audiencia Provincial de Sevilla en el pasaje antes transcrito (idéntico además a los arts. 134.2 del Reglamento del Congreso de los Diputados y 150.1 del Reglamento del Senado), sino también los artículos, parcialmente transcritos </w:t>
      </w:r>
      <w:r w:rsidRPr="003754FE">
        <w:rPr>
          <w:i/>
        </w:rPr>
        <w:t>supra</w:t>
      </w:r>
      <w:r>
        <w:t xml:space="preserve">, 34.5 y 35 de la Ley 5/1983, de la hacienda pública de Andalucía (vigente en la fecha de los hechos) y el art. 37 LGP, igualmente citados en la sentencia de instancia (fundamento de Derecho 15). Por ejemplo, según el citado art. 37 LGP, al “proyecto de ley de presupuestos generales del Estado, </w:t>
      </w:r>
      <w:r w:rsidRPr="003754FE">
        <w:rPr>
          <w:i/>
        </w:rPr>
        <w:t>integrado por el articulado con sus anexos y los estados de ingresos y de gastos</w:t>
      </w:r>
      <w:r>
        <w:t>”, “se acompañará” cierta “</w:t>
      </w:r>
      <w:r w:rsidRPr="003754FE">
        <w:rPr>
          <w:i/>
        </w:rPr>
        <w:t>documentación complementaria</w:t>
      </w:r>
      <w:r>
        <w:t>”, que incluye, entre otras, “</w:t>
      </w:r>
      <w:r w:rsidRPr="003754FE">
        <w:rPr>
          <w:i/>
        </w:rPr>
        <w:t>[l]as memorias</w:t>
      </w:r>
      <w:r>
        <w:t xml:space="preserve"> descriptivas de los programas de gasto y sus objetivos anuales”. De la misma manera, el art. 35 de la Ley del Parlamento de Andalucía 5/1983 establecía que “el proyecto de ley de presupuestos </w:t>
      </w:r>
      <w:r w:rsidRPr="003754FE">
        <w:rPr>
          <w:i/>
        </w:rPr>
        <w:t>y la documentación anexa</w:t>
      </w:r>
      <w:r>
        <w:t xml:space="preserve"> se remitirán al Parlamento” al menos dos meses antes de la expiración del anterior. Todo proyecto de ley del Gobierno va acompañado de cierta documentación (cfr. art. 88 CE y art. 26 de la Ley 50/1997, del Gobierno), pero no por ello esa documentación adquiere el rango y fuerza de la ley una vez aprobada esta.</w:t>
      </w:r>
    </w:p>
    <w:p w14:paraId="121650AD" w14:textId="77777777" w:rsidR="003754FE" w:rsidRDefault="003754FE" w:rsidP="003754FE">
      <w:pPr>
        <w:pStyle w:val="TextoNormal"/>
      </w:pPr>
    </w:p>
    <w:p w14:paraId="3A984E73" w14:textId="77777777" w:rsidR="003754FE" w:rsidRDefault="003754FE" w:rsidP="003754FE">
      <w:pPr>
        <w:pStyle w:val="TextoNormal"/>
      </w:pPr>
      <w:r>
        <w:t>En tercer lugar, nuestra doctrina también ha reconocido la naturaleza no normativa de las memorias y fichas presupuestarias (no publicadas): “las memorias de los presupuestos […] en modo alguno pudieron adquirir vigencia con la entrada en vigor de las leyes de presupuestos impugnadas; en realidad, son algo externo o ajeno a las mismas, meras previsiones hipotéticas” (STC 63/1986, FJ 8).</w:t>
      </w:r>
    </w:p>
    <w:p w14:paraId="11E277FF" w14:textId="77777777" w:rsidR="003754FE" w:rsidRDefault="003754FE" w:rsidP="003754FE">
      <w:pPr>
        <w:pStyle w:val="TextoNormal"/>
      </w:pPr>
    </w:p>
    <w:p w14:paraId="07322773" w14:textId="77777777" w:rsidR="003754FE" w:rsidRDefault="003754FE" w:rsidP="003754FE">
      <w:pPr>
        <w:pStyle w:val="TextoNormal"/>
      </w:pPr>
      <w:r>
        <w:t>Finalmente, el ya citado art. 1 del Decreto-ley 4/2012 excluyó expresamente la aplicación de la normativa general de subvenciones, lo que evidencia, como ya he señalado, que las leyes de presupuestos anteriores no habían excluido la aplicación de esa normativa general.</w:t>
      </w:r>
    </w:p>
    <w:p w14:paraId="2B4BB06B" w14:textId="77777777" w:rsidR="003754FE" w:rsidRDefault="003754FE" w:rsidP="003754FE">
      <w:pPr>
        <w:pStyle w:val="TextoNormal"/>
      </w:pPr>
    </w:p>
    <w:p w14:paraId="68377697" w14:textId="77777777" w:rsidR="003754FE" w:rsidRDefault="003754FE" w:rsidP="003754FE">
      <w:pPr>
        <w:pStyle w:val="TextoNormal"/>
      </w:pPr>
      <w:r>
        <w:t>En cuanto a las modificaciones presupuestarias producidas en los años 2000, 2001 y 2002, por las mismas razones que entiendo que las leyes de presupuestos que incluyeron desde el año 2002 la partida 31L no sanaron el vicio que arrastraban en cuanto a su oculta finalidad de eludir los controles previos de la Intervención, tampoco las modificaciones presupuestarias de 2002 pueden escudarse en la ley de presupuestos.</w:t>
      </w:r>
    </w:p>
    <w:p w14:paraId="0D995644" w14:textId="77777777" w:rsidR="003754FE" w:rsidRDefault="003754FE" w:rsidP="003754FE">
      <w:pPr>
        <w:pStyle w:val="TextoNormal"/>
      </w:pPr>
    </w:p>
    <w:p w14:paraId="228577F0" w14:textId="77777777" w:rsidR="003754FE" w:rsidRDefault="003754FE" w:rsidP="003754FE">
      <w:pPr>
        <w:pStyle w:val="TextoNormal"/>
      </w:pPr>
      <w:r>
        <w:t xml:space="preserve">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 Resulta, por tanto, infundada la afirmación de la sentencia de la que disiento según la cual el Tribunal Supremo ha </w:t>
      </w:r>
      <w:r>
        <w:lastRenderedPageBreak/>
        <w:t>interpretado las leyes de presupuestos de Andalucía para los años 2002, 2003 y 2004 de modo imprevisible.</w:t>
      </w:r>
    </w:p>
    <w:p w14:paraId="21E65A3C" w14:textId="77777777" w:rsidR="003754FE" w:rsidRDefault="003754FE" w:rsidP="003754FE">
      <w:pPr>
        <w:pStyle w:val="TextoNormal"/>
      </w:pPr>
    </w:p>
    <w:p w14:paraId="0CA7A2D8" w14:textId="77777777" w:rsidR="003754FE" w:rsidRDefault="003754FE" w:rsidP="003754FE">
      <w:pPr>
        <w:pStyle w:val="TextoNormal"/>
      </w:pPr>
      <w:r>
        <w:t>A lo que suscribí en anteriores votos particulares, añado ahora que la aprobación de los presupuestos en forma de ley por el Parlamento andaluz no es incompatible con la tipicidad penal de la conducta del recurrente (y las de los demás demandantes de amparo) y resulta inaceptable el resultado al que llega la sentencia de la que disiento. Se pasa por alto lo que explícitamente dice el Tribunal Supremo, quien no afirma que los proyectos o los anteproyectos de leyes sean resoluciones administrativas, sino que cualquier acuerdo de elevación del proyecto de presupuestos al consejero de Hacienda, incorporando el indebido criterio de presupuestación, con la finalidad de conceder las ayudas sociolaborales al margen del procedimiento establecido en la ley, así como la incorporación de memorias favorables a los proyectos de modificaciones presupuestarias, que incluían también ese criterio de presupuestación indebido con idéntica finalidad, constituyen resoluciones a los efectos del artículo 404 CP.</w:t>
      </w:r>
    </w:p>
    <w:p w14:paraId="3D00810F" w14:textId="77777777" w:rsidR="003754FE" w:rsidRDefault="003754FE" w:rsidP="003754FE">
      <w:pPr>
        <w:pStyle w:val="TextoNormal"/>
      </w:pPr>
    </w:p>
    <w:p w14:paraId="30A055FD" w14:textId="77777777" w:rsidR="003754FE" w:rsidRDefault="003754FE" w:rsidP="003754FE">
      <w:pPr>
        <w:pStyle w:val="TextoNormal"/>
      </w:pPr>
      <w:r>
        <w:t>Por el contrario, la interpretación que desarrolla la sentencia de la que discrepo sí utiliza un criterio analógico de interpretación o, en todo caso, extensivo; pero de interpretación, o extensivo, de lo que declara el Tribunal Supremo, afirmando que dice lo que no dice, pues este no se refiere al anteproyecto o al proyecto, sino a las resoluciones por las que se acuerda la elevación (viceconsejeros) o la remisión al Parlamento (Gobierno).</w:t>
      </w:r>
    </w:p>
    <w:p w14:paraId="7A840A33" w14:textId="77777777" w:rsidR="003754FE" w:rsidRDefault="003754FE" w:rsidP="003754FE">
      <w:pPr>
        <w:pStyle w:val="TextoNormal"/>
      </w:pPr>
    </w:p>
    <w:p w14:paraId="6C88B0E9" w14:textId="77777777" w:rsidR="003754FE" w:rsidRDefault="003754FE" w:rsidP="003754FE">
      <w:pPr>
        <w:pStyle w:val="TextoNormal"/>
      </w:pPr>
      <w:r>
        <w:t>La cuestión no es, como erróneamente indica la sentencia, si el proyecto o el anteproyecto como tales son resoluciones administrativas, sino si las resoluciones de elevación o remisión al Parlamento quedan absorbidas por el carácter no decisorio que sustancialmente caracteriza al proyecto de ley o al anteproyecto, o si las ilegalidades en su preparación quedan justificadas por su aprobación en el Parlamento.</w:t>
      </w:r>
    </w:p>
    <w:p w14:paraId="0720E4C7" w14:textId="77777777" w:rsidR="003754FE" w:rsidRDefault="003754FE" w:rsidP="003754FE">
      <w:pPr>
        <w:pStyle w:val="TextoNormal"/>
      </w:pPr>
    </w:p>
    <w:p w14:paraId="6992C9A9" w14:textId="77777777" w:rsidR="003754FE" w:rsidRDefault="003754FE" w:rsidP="003754FE">
      <w:pPr>
        <w:pStyle w:val="TextoNormal"/>
      </w:pPr>
      <w:r>
        <w:t>No es dudoso que las leyes de presupuestos, una vez aprobadas, son leyes como cualesquiera otras, solo sujetas al control de constitucionalidad. Pero tampoco lo es que únicamente la ley de presupuestos, en su preparación, está sujeta a límites materiales. De otro modo no se entiende la disposición a la que, de forma reiterada, se remite el Tribunal Supremo: el citado artículo 34 de la Ley andaluza 5/1983, de 19 de julio, que exige, a los anteproyectos, “ajustarse a las leyes que sean de aplicación y a las directrices aprobadas por el Consejo de Gobierno, a propuesta del consejero de Hacienda”.</w:t>
      </w:r>
    </w:p>
    <w:p w14:paraId="6209971F" w14:textId="77777777" w:rsidR="003754FE" w:rsidRDefault="003754FE" w:rsidP="003754FE">
      <w:pPr>
        <w:pStyle w:val="TextoNormal"/>
      </w:pPr>
    </w:p>
    <w:p w14:paraId="1845998F" w14:textId="77777777" w:rsidR="003754FE" w:rsidRDefault="003754FE" w:rsidP="003754FE">
      <w:pPr>
        <w:pStyle w:val="TextoNormal"/>
      </w:pPr>
      <w:r>
        <w:t>Esto sucede también en la Ley 47/2003, general presupuestaria, que no solo establece límites formales (existe un procedimiento reglado), sino materiales: es suficiente la lectura del art. 36.1 LGP, sobre el límite del gasto no financiero, que debe establecerse de acuerdo con la fijación anual del límite de gasto no financiero, que debe efectuarse “con la extensión y de la forma prevista en el artículo 30 de la Ley Orgánica 2/2012, de 27 de abril, de estabilidad presupuestaria y sostenibilidad financiera”.</w:t>
      </w:r>
    </w:p>
    <w:p w14:paraId="205C35C1" w14:textId="77777777" w:rsidR="003754FE" w:rsidRDefault="003754FE" w:rsidP="003754FE">
      <w:pPr>
        <w:pStyle w:val="TextoNormal"/>
      </w:pPr>
    </w:p>
    <w:p w14:paraId="49A240B0" w14:textId="77777777" w:rsidR="003754FE" w:rsidRDefault="003754FE" w:rsidP="003754FE">
      <w:pPr>
        <w:pStyle w:val="TextoNormal"/>
      </w:pPr>
      <w:r>
        <w:t xml:space="preserve">Pero existen otros límites en la propia ley, como la limitación de los compromisos de gasto (art. 46 LGP). Este régimen jurídico deriva de la naturaleza singular de las leyes de presupuestos, cuyo proceso de formación —reglamentos de las cámaras legislativas aparte— está regido por otras leyes, la Ley general presupuestaria y las leyes autonómicas </w:t>
      </w:r>
      <w:r>
        <w:lastRenderedPageBreak/>
        <w:t>en la materia, para evitar un uso arbitrario de los proyectos de leyes de presupuestos y, para eso, se establecen unos estrictos requisitos procedimentales.</w:t>
      </w:r>
    </w:p>
    <w:p w14:paraId="24C3D61F" w14:textId="77777777" w:rsidR="003754FE" w:rsidRDefault="003754FE" w:rsidP="003754FE">
      <w:pPr>
        <w:pStyle w:val="TextoNormal"/>
      </w:pPr>
    </w:p>
    <w:p w14:paraId="79D42013" w14:textId="77777777" w:rsidR="003754FE" w:rsidRDefault="003754FE" w:rsidP="003754FE">
      <w:pPr>
        <w:pStyle w:val="TextoNormal"/>
      </w:pPr>
      <w:r>
        <w:t>La existencia de estas limitaciones legales se explica, precisamente, porque son límites en el propio procedimiento de elaboración, donde existe —como se ha dicho— una intervención reglada de diferentes órganos de la administración pública. Estos órganos adoptan decisiones, previas a la remisión al Parlamento, pero que están sujetas a otras leyes y que, por tanto, pueden revestir el carácter de resolución administrativa desde el punto de vista del Derecho Penal, y que, en una forma admisible desde una perspectiva axiológica, pueden ser arbitrarias en el sentido del art. 404 CP.</w:t>
      </w:r>
    </w:p>
    <w:p w14:paraId="6BDA0247" w14:textId="77777777" w:rsidR="003754FE" w:rsidRDefault="003754FE" w:rsidP="003754FE">
      <w:pPr>
        <w:pStyle w:val="TextoNormal"/>
      </w:pPr>
    </w:p>
    <w:p w14:paraId="1926E4FA" w14:textId="77777777" w:rsidR="003754FE" w:rsidRDefault="003754FE" w:rsidP="003754FE">
      <w:pPr>
        <w:pStyle w:val="TextoNormal"/>
      </w:pPr>
      <w:r>
        <w:t>Por otra parte, desde una perspectiva teleológica, es razonable la interpretación de las sentencias recurridas en amparo, porque se trata de decisiones de funcionarios públicos sujetas a las leyes, por lo que no infringe en absoluto el principio de legalidad, ni presupone analogía o interpretación extensiva de los elementos del tipo penal, como el Tribunal Supremo ha mantenido reiteradamente sobre la resolución administrativa que integra el delito de prevaricación del art. 404 CP y que cita la sentencia de casación: “por resolución ha de entenderse cualquier acto administrativo que suponga una declaración de voluntad de contenido decisorio, que afecte a los derechos de los administrados o a la colectividad en general, bien sea de forma expresa o tácita, escrita u oral, con exclusión de los actos políticos o de gobierno así como los denominados actos de trámite que instrumentan y ordenan el procedimiento para hacer viable la resolución definitiva, tales como informes, consultas, dictámenes o diligencias” (SSTS 597/2014, de 30 de julio, ECLI:ES:TS:2014:3112; 787/2013, de 23 de octubre, ECLI:ES:TS:2013:5318, y 311/2019, de 14 de junio, ECLI:ES:TS:2019:1886, entre otras muchas).</w:t>
      </w:r>
    </w:p>
    <w:p w14:paraId="7F8D253C" w14:textId="77777777" w:rsidR="003754FE" w:rsidRDefault="003754FE" w:rsidP="003754FE">
      <w:pPr>
        <w:pStyle w:val="TextoNormal"/>
      </w:pPr>
    </w:p>
    <w:p w14:paraId="34397A90" w14:textId="77777777" w:rsidR="003754FE" w:rsidRDefault="003754FE" w:rsidP="003754FE">
      <w:pPr>
        <w:pStyle w:val="TextoNormal"/>
      </w:pPr>
      <w:r>
        <w:t>Por otro lado, y aunque es cierto que no existía precedente en relación con estas resoluciones preparatorias de la ley de presupuestos, la interpretación efectuada en este caso era previsible: precisamente la STS 163/2019, de 26 de marzo, ECLI:ES:TS:2019:881, citada en la sentencia de casación, había considerado como constitutivos de prevaricación la realización de actos previos tendentes a manipular la voluntad del órgano decisor, mediante la formulación de proposiciones contrarias a la ley o informes que no responden a la verdad cuando se hace a sabiendas de que el órgano decisor aprobará la propuesta. Se trata, evidentemente, de la misma perspectiva teleológica, que excluye que la aprobación ulterior pueda justificar la previa actuación del funcionario que infringe la legalidad y actúa de modo arbitrario.</w:t>
      </w:r>
    </w:p>
    <w:p w14:paraId="07411F2F" w14:textId="77777777" w:rsidR="003754FE" w:rsidRDefault="003754FE" w:rsidP="003754FE">
      <w:pPr>
        <w:pStyle w:val="TextoNormal"/>
      </w:pPr>
    </w:p>
    <w:p w14:paraId="57450FA7" w14:textId="77777777" w:rsidR="003754FE" w:rsidRDefault="003754FE" w:rsidP="003754FE">
      <w:pPr>
        <w:pStyle w:val="TextoNormal"/>
      </w:pPr>
      <w:r>
        <w:t>En suma, no hay ningún precedente en la jurisprudencia que pueda dar lugar a que la conducta de los recurrentes pudiera plantearles como imprevisible la calificación de su conducta como delito de prevaricación administrativa, dados los términos de su descripción en el tipo penal.</w:t>
      </w:r>
    </w:p>
    <w:p w14:paraId="4AEFA292" w14:textId="77777777" w:rsidR="003754FE" w:rsidRDefault="003754FE" w:rsidP="003754FE">
      <w:pPr>
        <w:pStyle w:val="TextoNormal"/>
      </w:pPr>
    </w:p>
    <w:p w14:paraId="39A164A4" w14:textId="77777777" w:rsidR="003754FE" w:rsidRDefault="003754FE" w:rsidP="003754FE">
      <w:pPr>
        <w:pStyle w:val="TextoNormal"/>
      </w:pPr>
      <w:r>
        <w:t xml:space="preserve">Con conocimiento de la mayoría parlamentaria de que se disponía, la Cámara legislativa fue utilizada como necesario instrumento inconsciente (hay que presumirlo pues nada se ha declarado en sentido contrario) y penalmente irresponsable para conseguir habilitar los fondos públicos que iban a ser empleados de modo fraudulento (situación asimilable a la autoría mediata, cuando se utiliza para la comisión del delito a un sujeto penalmente irresponsable). Esto no significa que la ley de presupuestos sea nula en términos constitucionales, ni que, </w:t>
      </w:r>
      <w:r>
        <w:lastRenderedPageBreak/>
        <w:t>por tanto, debiera haber sido así declarada por este tribunal, como presupuesto del delito de prevaricación administrativa, pues las leyes no adolecen de ningún defecto formal en su tramitación y en su aprobación no concurre ningún elemento de las acciones penalmente típicas ejecutadas coordinadamente antes y después de la tramitación parlamentaria.</w:t>
      </w:r>
    </w:p>
    <w:p w14:paraId="04BD4218" w14:textId="77777777" w:rsidR="003754FE" w:rsidRDefault="003754FE" w:rsidP="003754FE">
      <w:pPr>
        <w:pStyle w:val="TextoNormal"/>
      </w:pPr>
    </w:p>
    <w:p w14:paraId="3907C040" w14:textId="77777777" w:rsidR="003754FE" w:rsidRDefault="003754FE" w:rsidP="003754FE">
      <w:pPr>
        <w:pStyle w:val="TextoNormal"/>
      </w:pPr>
      <w:r>
        <w:t>Reitero que la estimación de la vulneración del art. 25.1 CE por la condena por delito de prevaricación con base en la consideración de que las conductas constitutivas de infracción penal estaban amparadas por las sucesivas leyes de presupuestos también justificaría los fraudes que se enjuician en los procesos diferentes a la “pieza específica” de los responsables políticos, lo que provocaría un estado de impunidad difícilmente soportable. Además, la consecuencia última que pudiera derivar de la decisión del Pleno es que, dada la atipicidad de las conductas o bien la estructura de las causas de justificación (a modo de cumplimiento de un deber o de estado de error de prohibición), a la postre nadie estaría obligado a devolver el dinero defraudado.</w:t>
      </w:r>
    </w:p>
    <w:p w14:paraId="02F91D64" w14:textId="77777777" w:rsidR="003754FE" w:rsidRDefault="003754FE" w:rsidP="003754FE">
      <w:pPr>
        <w:pStyle w:val="TextoNormal"/>
      </w:pPr>
    </w:p>
    <w:p w14:paraId="444E6EE3" w14:textId="77777777" w:rsidR="003754FE" w:rsidRDefault="003754FE" w:rsidP="003754FE">
      <w:pPr>
        <w:pStyle w:val="TextoNormal"/>
      </w:pPr>
      <w:r>
        <w:t>En conclusión, las sentencias recurridas en amparo han efectuado una interpretación razonada de los elementos del delito de prevaricación y su aplicación al caso, que supera el canon de control referido a la prohibición de interpretaciones “ilógicas” o “arbitrarias” que impone el art. 25.1 CE. La interpretación del delito de prevaricación efectuada por los tribunales penales no era imprevisible ni irrazonable y no es contraria al derecho fundamental a la legalidad penal que garantiza el art. 25.1 CE.</w:t>
      </w:r>
    </w:p>
    <w:p w14:paraId="0CF70DD4" w14:textId="77777777" w:rsidR="003754FE" w:rsidRDefault="003754FE" w:rsidP="003754FE">
      <w:pPr>
        <w:pStyle w:val="TextoNormal"/>
      </w:pPr>
    </w:p>
    <w:p w14:paraId="5916E70A" w14:textId="77777777" w:rsidR="003754FE" w:rsidRDefault="003754FE" w:rsidP="003754FE">
      <w:pPr>
        <w:pStyle w:val="TextoNormal"/>
      </w:pPr>
      <w:r>
        <w:t>7</w:t>
      </w:r>
      <w:r w:rsidRPr="003754FE">
        <w:rPr>
          <w:i/>
        </w:rPr>
        <w:t>. Inviolabilid</w:t>
      </w:r>
      <w:r>
        <w:t>ad de fact</w:t>
      </w:r>
      <w:r w:rsidRPr="003754FE">
        <w:rPr>
          <w:i/>
        </w:rPr>
        <w:t>o inaceptable en términos constitucional</w:t>
      </w:r>
      <w:r>
        <w:t>es</w:t>
      </w:r>
    </w:p>
    <w:p w14:paraId="47C38897" w14:textId="77777777" w:rsidR="003754FE" w:rsidRDefault="003754FE" w:rsidP="003754FE">
      <w:pPr>
        <w:pStyle w:val="TextoNormal"/>
      </w:pPr>
    </w:p>
    <w:p w14:paraId="24672D22" w14:textId="77777777" w:rsidR="003754FE" w:rsidRDefault="003754FE" w:rsidP="003754FE">
      <w:pPr>
        <w:pStyle w:val="TextoNormal"/>
      </w:pPr>
      <w:r>
        <w:t>Dejando aparte el notorio y explicable impacto negativo que en la opinión pública están generando las sentencias que el Pleno viene dictando en esta serie de casos, así como la utilización de las declaraciones de nulidad de las condenas para una revisión histórica de lo ocurrido que sirva de argumento de confrontación política, reitero ahora una serie de argumentos jurídicos conectados con aquella repercusión social y política, que fueron empleados en los votos particulares que suscribí, junto al magistrado don César Tolosa Tribiño, a las SSTC 94/2024, de 2 de julio, y 95/2024, 96/2024, 97/2024 y 98/2024, de 3 de julio.</w:t>
      </w:r>
    </w:p>
    <w:p w14:paraId="6D0E5C00" w14:textId="77777777" w:rsidR="003754FE" w:rsidRDefault="003754FE" w:rsidP="003754FE">
      <w:pPr>
        <w:pStyle w:val="TextoNormal"/>
      </w:pPr>
    </w:p>
    <w:p w14:paraId="24D06095" w14:textId="77777777" w:rsidR="003754FE" w:rsidRDefault="003754FE" w:rsidP="003754FE">
      <w:pPr>
        <w:pStyle w:val="TextoNormal"/>
      </w:pPr>
      <w:r>
        <w:t>Como he sostenido a lo largo de este voto particular, los actos prelegislativos pueden ser constitutivos de delito de prevaricación administrativa pues, contrariamente a lo sostenido en las sentencias de las que discrepo, la jurisdicción penal no ejerce una función de “control” de la actividad prelegislativa, sino que su función consiste en enjuiciar y, eventualmente, sancionar comportamientos subsumibles en tipos penales. Es por ello por lo que de los límites que afecten al control que, en su respectivo ámbito, corresponden a la jurisdicción contencioso-administrativa y a la jurisdicción constitucional, en modo alguno puede extraerse que sean ajenas a la jurisdicción penal las conductas penalmente típicas cometidas en el ejercicio de cargos político-administrativos e incluso parlamentarios, salvo las acciones amparadas por la inviolabilidad. Por este motivo, la doctrina plasmada en la sentencia de la que disiento produce el resultado de exonerar de responsabilidad a los miembros del Consejo de Gobierno de la Junta de Andalucía en todo lo concerniente a la elaboración, aprobación, ejecución de los presupuestos y a las enmiendas presupuestarias o su ejecución. Los declar</w:t>
      </w:r>
      <w:r w:rsidRPr="003754FE">
        <w:rPr>
          <w:i/>
        </w:rPr>
        <w:t>a de fac</w:t>
      </w:r>
      <w:r>
        <w:t>to irresponsables y extiende sobre ellos un privilegio de inviolabilidad.</w:t>
      </w:r>
    </w:p>
    <w:p w14:paraId="0D483E99" w14:textId="77777777" w:rsidR="003754FE" w:rsidRDefault="003754FE" w:rsidP="003754FE">
      <w:pPr>
        <w:pStyle w:val="TextoNormal"/>
      </w:pPr>
    </w:p>
    <w:p w14:paraId="513D26B5" w14:textId="77777777" w:rsidR="003754FE" w:rsidRDefault="003754FE" w:rsidP="003754FE">
      <w:pPr>
        <w:pStyle w:val="TextoNormal"/>
      </w:pPr>
      <w:r>
        <w:lastRenderedPageBreak/>
        <w:t>Esta doctrina es inasumible, pues deja al margen de todo control aquello que tenga que ver con la actividad presupuestaria desde la fase inicial de elaboración de los presupuestos, hasta la fase final de su ejecución, con el pernicioso efecto de desproteger la indemnidad del patrimonio público, el correcto funcionamiento de la actividad patrimonial del Estado, la confianza de la sociedad en el esperable recto manejo de los fondos públicos y los deberes de fidelidad y transparencia que tienen los funcionarios públicos a cuyo cargo se encuentran los bienes de la administración pública.</w:t>
      </w:r>
    </w:p>
    <w:p w14:paraId="32678498" w14:textId="77777777" w:rsidR="003754FE" w:rsidRDefault="003754FE" w:rsidP="003754FE">
      <w:pPr>
        <w:pStyle w:val="TextoNormal"/>
      </w:pPr>
    </w:p>
    <w:p w14:paraId="7BD9AB77" w14:textId="77777777" w:rsidR="003754FE" w:rsidRDefault="003754FE" w:rsidP="003754FE">
      <w:pPr>
        <w:pStyle w:val="TextoNormal"/>
      </w:pPr>
      <w:r>
        <w:t>Por lo demás, la doctrina que pretenden sentar las sentencias dictadas en el inaudito por su magnitud “caso de los ERE de Andalucía”, incumple las exigencias internacionales de lucha contra la corrupción política y, cuando tenga proyección en la protección de los intereses financieros de la Unión Europea, producirá un incumplimiento de las obligaciones de España incompatible con lo dispuesto en el artículo 325 TFUE, apartado 1, de luchar contra el fraude y contra toda actividad ilegal que afecte a los intereses financieros de la Unión, de prevenir y combatir la corrupción en general y de prever la aplicación de sanciones eficaces y disuasorias en caso de que tales infracciones se produzcan.</w:t>
      </w:r>
    </w:p>
    <w:p w14:paraId="0DDBC63F" w14:textId="77777777" w:rsidR="003754FE" w:rsidRDefault="003754FE" w:rsidP="003754FE">
      <w:pPr>
        <w:pStyle w:val="TextoNormal"/>
      </w:pPr>
    </w:p>
    <w:p w14:paraId="3381CC10" w14:textId="77777777" w:rsidR="003754FE" w:rsidRDefault="003754FE" w:rsidP="003754FE">
      <w:pPr>
        <w:pStyle w:val="TextoNormal"/>
      </w:pPr>
      <w:r>
        <w:t>La impunidad que establece la sentencia se aplica, en primer término, a quienes elaboraron los proyectos de leyes o las modificaciones presupuestarias para provisionar fondos al IFA/IDEA mediante un instrumento lícito —las “transferencias de financiación”—, con la finalidad de allanar el camino para que otros miembros del Gobierno andaluz pudieran destinar tales provisiones a fines no previstos en el presupuesto —las “ayudas sociolaborales”—; y la impunidad también se extiende a quienes al ejecutar el programa presupuestario, en lugar de aplicar los fondos a gastos de explotación, dispusieron de los mismos de modo libérrimo como si fueran propios o permitieron conscientemente, teniendo la obligación de impedirlo, que otros efectuaran tales disposiciones.</w:t>
      </w:r>
    </w:p>
    <w:p w14:paraId="2B7DA81E" w14:textId="77777777" w:rsidR="003754FE" w:rsidRDefault="003754FE" w:rsidP="003754FE">
      <w:pPr>
        <w:pStyle w:val="TextoNormal"/>
      </w:pPr>
    </w:p>
    <w:p w14:paraId="0EC1E12D" w14:textId="77777777" w:rsidR="003754FE" w:rsidRDefault="003754FE" w:rsidP="003754FE">
      <w:pPr>
        <w:pStyle w:val="TextoNormal"/>
      </w:pPr>
      <w:r>
        <w:t>En todos los casos esa irresponsabilidad e imposibilidad de control se apoya en una construcción artificiosa que carece de sustento racional y de apoyo en la sentencia del Tribunal Supremo, que se repite como piedra angular para afirmar la vulneración del derecho a la legalidad penal: quien obra amparado por la ley de presupuestos no puede prevaricar ni puede malversar caudales públicos.</w:t>
      </w:r>
    </w:p>
    <w:p w14:paraId="6BB82D90" w14:textId="77777777" w:rsidR="003754FE" w:rsidRDefault="003754FE" w:rsidP="003754FE">
      <w:pPr>
        <w:pStyle w:val="TextoNormal"/>
      </w:pPr>
    </w:p>
    <w:p w14:paraId="79250542" w14:textId="77777777" w:rsidR="003754FE" w:rsidRDefault="003754FE" w:rsidP="003754FE">
      <w:pPr>
        <w:pStyle w:val="TextoNormal"/>
      </w:pPr>
      <w:r>
        <w:t>Como apuntamos en los votos particulares precedentemente citados, ninguno de los condenados estaba amparado por las sucesivas leyes de presupuestos para cometer los delitos. Las leyes no delinquieron, eran neutras en la previsión de transferencias de financiación para gastos de explotación. Quienes delinquieron fueron quienes previeron las trasferencias de financiación de modo innecesario con la idea de que otros tuvieran recursos para destinarlos a fines ajenos a los presupuestados. Así lo afirma el Tribunal Supremo cuando indica que la actuación de desvío de fondos no venía obligada por los presupuestos. O cuando refiere que “no puede afirmarse que [el Parlamento]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w:t>
      </w:r>
    </w:p>
    <w:p w14:paraId="03E7CF84" w14:textId="77777777" w:rsidR="003754FE" w:rsidRDefault="003754FE" w:rsidP="003754FE">
      <w:pPr>
        <w:pStyle w:val="TextoNormal"/>
      </w:pPr>
    </w:p>
    <w:p w14:paraId="4FF490E5" w14:textId="77777777" w:rsidR="003754FE" w:rsidRDefault="003754FE" w:rsidP="003754FE">
      <w:pPr>
        <w:pStyle w:val="TextoNormal"/>
      </w:pPr>
      <w:r>
        <w:t xml:space="preserve">Se acude a ese mismo argumento para distinguir a los efectos de resolver la vulneración del derecho a la legalidad penal entre aquellas modificaciones presupuestarias o </w:t>
      </w:r>
      <w:r>
        <w:lastRenderedPageBreak/>
        <w:t>disposiciones de fondos según tuvieran o no amparo en el sistema de presupuestación del programa 31L. Como se ha indicado, el mencionado programa no determinaba que las trasferencias de financiación con que el mismo se dotaba pudieran destinarse a fines distintos a los de gastos de explotación.</w:t>
      </w:r>
    </w:p>
    <w:p w14:paraId="448B09AD" w14:textId="77777777" w:rsidR="003754FE" w:rsidRDefault="003754FE" w:rsidP="003754FE">
      <w:pPr>
        <w:pStyle w:val="TextoNormal"/>
      </w:pPr>
    </w:p>
    <w:p w14:paraId="306D5F91" w14:textId="77777777" w:rsidR="003754FE" w:rsidRDefault="003754FE" w:rsidP="003754FE">
      <w:pPr>
        <w:pStyle w:val="TextoNormal"/>
      </w:pPr>
      <w:r>
        <w:t>8</w:t>
      </w:r>
      <w:r w:rsidRPr="003754FE">
        <w:rPr>
          <w:i/>
        </w:rPr>
        <w:t>. Proyección al delito de malversación de caudales públicos de la previa declaración de vulneración del derecho a la legalidad penal por la condena por delito de prevaricación administrati</w:t>
      </w:r>
      <w:r>
        <w:t>va</w:t>
      </w:r>
    </w:p>
    <w:p w14:paraId="3C916CCF" w14:textId="77777777" w:rsidR="003754FE" w:rsidRDefault="003754FE" w:rsidP="003754FE">
      <w:pPr>
        <w:pStyle w:val="TextoNormal"/>
      </w:pPr>
    </w:p>
    <w:p w14:paraId="1B37EE7F" w14:textId="77777777" w:rsidR="003754FE" w:rsidRDefault="003754FE" w:rsidP="003754FE">
      <w:pPr>
        <w:pStyle w:val="TextoNormal"/>
      </w:pPr>
      <w:r>
        <w:t>Dedico ahora este voto particular a lo relativo al delito de malversación de caudales públicos, ante la estimación —parcial— del recurso de amparo por vulneración del derecho a la legalidad penal y la estimación por vulneración del derecho a la presunción de inocencia. Como he puesto de manifiesto a lo largo de este voto particular, reitero, en lo que aquí concierne, lo que sostuve en los votos particulares que suscribí con el magistrado don César Tolosa Tribiño a las sentencias dictadas en los recursos de amparo avocados núm. 2136-2023, 2348-2023, 2360-2023, 2361-2023 y 2391-2023.</w:t>
      </w:r>
    </w:p>
    <w:p w14:paraId="6752229A" w14:textId="77777777" w:rsidR="003754FE" w:rsidRDefault="003754FE" w:rsidP="003754FE">
      <w:pPr>
        <w:pStyle w:val="TextoNormal"/>
      </w:pPr>
    </w:p>
    <w:p w14:paraId="2C7C2BBB" w14:textId="77777777" w:rsidR="003754FE" w:rsidRDefault="003754FE" w:rsidP="003754FE">
      <w:pPr>
        <w:pStyle w:val="TextoNormal"/>
      </w:pPr>
      <w:r>
        <w:t>La doctrina plasmada en la sentencia de la que disiento produce el resultado de exonerar de responsabilidad a los miembros del Gobierno de la Junta de Andalucía en todo lo concerniente a la elaboración, aprobación, ejecución de los presupuestos y a las enmiendas presupuestarias o su ejecución. Los declar</w:t>
      </w:r>
      <w:r w:rsidRPr="003754FE">
        <w:rPr>
          <w:i/>
        </w:rPr>
        <w:t>a de fac</w:t>
      </w:r>
      <w:r>
        <w:t>to irresponsables y extiende sobre ellos un privilegio de inviolabilidad e inmunidad.</w:t>
      </w:r>
    </w:p>
    <w:p w14:paraId="36EA5428" w14:textId="77777777" w:rsidR="003754FE" w:rsidRDefault="003754FE" w:rsidP="003754FE">
      <w:pPr>
        <w:pStyle w:val="TextoNormal"/>
      </w:pPr>
    </w:p>
    <w:p w14:paraId="7A69EEB9" w14:textId="77777777" w:rsidR="003754FE" w:rsidRDefault="003754FE" w:rsidP="003754FE">
      <w:pPr>
        <w:pStyle w:val="TextoNormal"/>
      </w:pPr>
      <w:r>
        <w:t xml:space="preserve">Dicha argumentación, que no comparto, dejaría al margen de todo control aquello que tenga que ver con la actividad presupuestaria desde la fase inicial de elaboración de los presupuestos a la fase final de su ejecución y con ello se desprotege la indemnidad del patrimonio público, el correcto funcionamiento de la actividad patrimonial del Estado, la confianza de la sociedad en el manejo honesto de los fondos públicos y los deberes de fidelidad y transparencia que tienen los funcionarios públicos a cuyo cargo se encuentran los bienes de la administración pública. Dicha doctrina incumple las exigencias internacionales de lucha contra la corrupción política y cuando tenga proyección en la protección de los intereses financieros de la Unión Europea producirá un incumplimiento de las obligaciones de España, incompatible con lo dispuesto en el artículo 325 TFUE, apartado 1, de luchar contra el fraude y contra toda actividad ilegal que afecte a los intereses financieros de la Unión, de prevenir y combatir la corrupción en general y de prever la aplicación de sanciones eficaces y disuasorias en caso de que tales infracciones se produzcan (SSTJUE de 21 de diciembre de 2021, </w:t>
      </w:r>
      <w:r w:rsidRPr="003754FE">
        <w:rPr>
          <w:i/>
        </w:rPr>
        <w:t>Euro Box Promotion y otros</w:t>
      </w:r>
      <w:r>
        <w:t>, C-357/19, § 184-187 y 193-194, y de 24 de julio de 2023, Lin, asunto C-107/23 PPU, § 83-84, 86, y 91-94, y auto de la Sala Sexta del Tribunal de Justicia de la Unión Europea, de 7 de noviembre de 2022</w:t>
      </w:r>
      <w:r w:rsidRPr="003754FE">
        <w:rPr>
          <w:i/>
        </w:rPr>
        <w:t>, FX y otr</w:t>
      </w:r>
      <w:r>
        <w:t>os, asuntos acumulados C-859/19, C-926/19 y C-929/19, § 92).</w:t>
      </w:r>
    </w:p>
    <w:p w14:paraId="65993F69" w14:textId="77777777" w:rsidR="003754FE" w:rsidRDefault="003754FE" w:rsidP="003754FE">
      <w:pPr>
        <w:pStyle w:val="TextoNormal"/>
      </w:pPr>
    </w:p>
    <w:p w14:paraId="0CAA1EAA" w14:textId="77777777" w:rsidR="003754FE" w:rsidRDefault="003754FE" w:rsidP="003754FE">
      <w:pPr>
        <w:pStyle w:val="TextoNormal"/>
      </w:pPr>
      <w:r>
        <w:t xml:space="preserve">Esa irresponsabilidad e imposibilidad de control se apoya en una construcción artificiosa a modo de </w:t>
      </w:r>
      <w:r w:rsidRPr="003754FE">
        <w:rPr>
          <w:i/>
        </w:rPr>
        <w:t>mantra</w:t>
      </w:r>
      <w:r>
        <w:t xml:space="preserve"> jurídico que carece de sustento racional y de apoyo en la sentencia del Tribunal Supremo, que se viene repitiendo en todas las ponencias como piedra angular para afirmar la vulneración del derecho a la legalidad penal: quien obra amparado por la ley de presupuestos no puede prevaricar ni puede malversar caudales públicos.</w:t>
      </w:r>
    </w:p>
    <w:p w14:paraId="0F0ECE53" w14:textId="77777777" w:rsidR="003754FE" w:rsidRDefault="003754FE" w:rsidP="003754FE">
      <w:pPr>
        <w:pStyle w:val="TextoNormal"/>
      </w:pPr>
    </w:p>
    <w:p w14:paraId="45961664" w14:textId="77777777" w:rsidR="003754FE" w:rsidRDefault="003754FE" w:rsidP="003754FE">
      <w:pPr>
        <w:pStyle w:val="TextoNormal"/>
      </w:pPr>
      <w:r>
        <w:lastRenderedPageBreak/>
        <w:t>Sin embargo, ninguno de los condenados estaba amparado por las sucesivas leyes de presupuestos para cometer los delitos. Las leyes no delinquieron, eran neutras en la previsión de transferencias de financiación para gastos de explotación. Quienes delinquieron fueron quienes previeron las trasferencias de financiación de modo innecesario con la idea de que otros tuvieran recursos para destinarlos a fines ajenos a los presupuestados. Así lo afirma el Tribunal Supremo cuando indica que la actuación de desvío de fondos no venía obligada por los presupuestos. O cuando refiere que “no puede afirmarse que [el Parlamento]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w:t>
      </w:r>
    </w:p>
    <w:p w14:paraId="6F99634F" w14:textId="77777777" w:rsidR="003754FE" w:rsidRDefault="003754FE" w:rsidP="003754FE">
      <w:pPr>
        <w:pStyle w:val="TextoNormal"/>
      </w:pPr>
    </w:p>
    <w:p w14:paraId="1869D257" w14:textId="77777777" w:rsidR="003754FE" w:rsidRDefault="003754FE" w:rsidP="003754FE">
      <w:pPr>
        <w:pStyle w:val="TextoNormal"/>
      </w:pPr>
      <w:r>
        <w:t xml:space="preserve">Ese mismo </w:t>
      </w:r>
      <w:r w:rsidRPr="003754FE">
        <w:rPr>
          <w:i/>
        </w:rPr>
        <w:t>mantra</w:t>
      </w:r>
      <w:r>
        <w:t xml:space="preserve"> jurídico sirve de modo inconsistente para distinguir, a los efectos de resolver la vulneración del derecho a la legalidad penal, entre aquellas modificaciones presupuestarias o disposiciones de fondos según tuvieran o no amparo en el sistema de presupuestación del programa 31L. Como se ha indicado, el mencionado programa no determinaba que las trasferencias de financiación con que el mismo se dotaba pudieran destinarse a fines distintos a los de gastos de explotación.</w:t>
      </w:r>
    </w:p>
    <w:p w14:paraId="3F5539C4" w14:textId="77777777" w:rsidR="003754FE" w:rsidRDefault="003754FE" w:rsidP="003754FE">
      <w:pPr>
        <w:pStyle w:val="TextoNormal"/>
      </w:pPr>
    </w:p>
    <w:p w14:paraId="16B6537F" w14:textId="77777777" w:rsidR="003754FE" w:rsidRDefault="003754FE" w:rsidP="003754FE">
      <w:pPr>
        <w:pStyle w:val="TextoNormal"/>
      </w:pPr>
      <w:r>
        <w:t>La sentencia de la que discrepo proyecta la argumentación que le ha servido para estimar la vulneración del principio de legalidad penal en relación con la condena por el delito de prevaricación —ya cuestionado en este voto— a la condena por delito continuado de malversación de caudales públicos, por lo que desmontado el andamiaje que soporta la declaración de vulneración del derecho a la legalidad penal en la condena por el delito de prevaricación administrativa, necesariamente decaen los argumentos que sobre esa base determinan la declaración de vulneración parcial del citado derecho fundamental, pero referido a la condena por delito de malversación.</w:t>
      </w:r>
    </w:p>
    <w:p w14:paraId="09D2A797" w14:textId="77777777" w:rsidR="003754FE" w:rsidRDefault="003754FE" w:rsidP="003754FE">
      <w:pPr>
        <w:pStyle w:val="TextoNormal"/>
      </w:pPr>
    </w:p>
    <w:p w14:paraId="65A98262" w14:textId="77777777" w:rsidR="003754FE" w:rsidRDefault="003754FE" w:rsidP="003754FE">
      <w:pPr>
        <w:pStyle w:val="TextoNormal"/>
      </w:pPr>
      <w:r>
        <w:t>A modo de conclusión, la conducta del demandante consistió, leídos los hechos probados rectamente y no de modo fragmentario, en la gestación y puesta en funcionamiento, junto con otros responsables políticos de la Junta de Andalucía, de un nuevo sistema de presupuestación, utilizando tanto los proyectos de leyes de presupuestos como las distintas modificaciones presupuestarias, para conseguir la concesión y pago de las ayudas sociolaborales, ayudas a empresas y otros conceptos, mediante el mecanismo de las transferencias de financiación de la agencia IFA/IDEA, al margen de las exigencias y controles establecidos en las normas de obligada aplicación, lo que ya en fase de ejecución se manifestó en el destino a fines distintos de los previstos en la ley de una elevada cantidad de fondos públicos, todo lo cual necesariamente fue aceptado por el ahora demandante de amparo, primero como consejero de Economía y Hacienda y, después, como presidente de la Junta de Andalucía, dado el conocimiento que tenía de las irregularidades que se producían en la gestión y disposición de los fondos públicos, por ser destinatario de los informes de control financiero permanente de la agencia IDEA.</w:t>
      </w:r>
    </w:p>
    <w:p w14:paraId="01FDFB46" w14:textId="77777777" w:rsidR="003754FE" w:rsidRDefault="003754FE" w:rsidP="003754FE">
      <w:pPr>
        <w:pStyle w:val="TextoNormal"/>
      </w:pPr>
    </w:p>
    <w:p w14:paraId="7C5A811F" w14:textId="77777777" w:rsidR="003754FE" w:rsidRDefault="003754FE" w:rsidP="003754FE">
      <w:pPr>
        <w:pStyle w:val="TextoNormal"/>
      </w:pPr>
      <w:r>
        <w:t>Consecuentemente, a mi juicio, no cabe calificar de irracional, arbitraria ni tampoco de imprevisible, la subsunción como delito de malversación de caudales públicos de la conducta del demandante, efectuada en las resoluciones judiciales impugnadas.</w:t>
      </w:r>
    </w:p>
    <w:p w14:paraId="41662B95" w14:textId="77777777" w:rsidR="003754FE" w:rsidRDefault="003754FE" w:rsidP="003754FE">
      <w:pPr>
        <w:pStyle w:val="TextoNormal"/>
      </w:pPr>
    </w:p>
    <w:p w14:paraId="0B7E7931" w14:textId="77777777" w:rsidR="003754FE" w:rsidRDefault="003754FE" w:rsidP="003754FE">
      <w:pPr>
        <w:pStyle w:val="TextoNormal"/>
      </w:pPr>
      <w:r>
        <w:lastRenderedPageBreak/>
        <w:t>9</w:t>
      </w:r>
      <w:r w:rsidRPr="003754FE">
        <w:rPr>
          <w:i/>
        </w:rPr>
        <w:t>. Extralimitación de la sentencia de las funciones que le corresponde al Tribunal Constitucional al examinar la vulneración del derecho a la presunción de inocenc</w:t>
      </w:r>
      <w:r>
        <w:t>ia</w:t>
      </w:r>
    </w:p>
    <w:p w14:paraId="189D8A37" w14:textId="77777777" w:rsidR="003754FE" w:rsidRDefault="003754FE" w:rsidP="003754FE">
      <w:pPr>
        <w:pStyle w:val="TextoNormal"/>
      </w:pPr>
    </w:p>
    <w:p w14:paraId="31E1F778" w14:textId="77777777" w:rsidR="003754FE" w:rsidRDefault="003754FE" w:rsidP="003754FE">
      <w:pPr>
        <w:pStyle w:val="TextoNormal"/>
      </w:pPr>
      <w:r>
        <w:t>Como ya apuntamos en los mismos votos particulares a los que me he referido en el apartado precedente, este tribunal, al excluir del control externo de la valoración de la prueba todos los hechos respecto de los que declaró vulnerado el derecho a la legalidad penal respecto del delito de prevaricación, mutiló ya de inicio lo que constituyó la valoración conjunta de las pruebas respecto de la totalidad de las conductas calificadas como delito de malversación.</w:t>
      </w:r>
    </w:p>
    <w:p w14:paraId="4BD230BE" w14:textId="77777777" w:rsidR="003754FE" w:rsidRDefault="003754FE" w:rsidP="003754FE">
      <w:pPr>
        <w:pStyle w:val="TextoNormal"/>
      </w:pPr>
    </w:p>
    <w:p w14:paraId="2EA19DA5" w14:textId="77777777" w:rsidR="003754FE" w:rsidRDefault="003754FE" w:rsidP="003754FE">
      <w:pPr>
        <w:pStyle w:val="TextoNormal"/>
      </w:pPr>
      <w:r>
        <w:t>Se efectúa en la presente resolución de nuevo una parcelación de los hechos, limitando el análisis de la vulneración del derecho a la presunción de inocencia a unas actuaciones residuales, que no tienen correspondencia con la pormenorizada motivación de las sentencias basada en la apreciación conjunta de las pruebas, con base a las cuales los tribunales penales efectuaron los juicios de inferencia respecto a unas acciones que, si bien tuvieron diferentes grados de ilicitud, eran todas ellas constitutivas del mismo delito y debían examinarse en su conjunto por cuanto eran resultado del mismo plan criminal.</w:t>
      </w:r>
    </w:p>
    <w:p w14:paraId="1A8AAC30" w14:textId="77777777" w:rsidR="003754FE" w:rsidRDefault="003754FE" w:rsidP="003754FE">
      <w:pPr>
        <w:pStyle w:val="TextoNormal"/>
      </w:pPr>
    </w:p>
    <w:p w14:paraId="7472CF1F" w14:textId="77777777" w:rsidR="003754FE" w:rsidRDefault="003754FE" w:rsidP="003754FE">
      <w:pPr>
        <w:pStyle w:val="TextoNormal"/>
      </w:pPr>
      <w:r>
        <w:t>Señalamos igualmente en los votos particulares que la sentencias de las que discrepábamos, al igual que la dictada en el presente recurso de amparo, partieron de un entendimiento indebido del enjuiciamiento que corresponde a este tribunal en relación con el derecho a la presunción de inocencia, que viene declarando de modo constante “la función de este Tribunal no consiste en enjuiciar el resultado alcanzado, sino el control externo del razonamiento lógico seguido para llegar a él” (por todas, STC 66/2009, de 9 de marzo, FJ 6).</w:t>
      </w:r>
    </w:p>
    <w:p w14:paraId="2CEF6DBE" w14:textId="77777777" w:rsidR="003754FE" w:rsidRDefault="003754FE" w:rsidP="003754FE">
      <w:pPr>
        <w:pStyle w:val="TextoNormal"/>
      </w:pPr>
    </w:p>
    <w:p w14:paraId="520C3F17" w14:textId="77777777" w:rsidR="003754FE" w:rsidRDefault="003754FE" w:rsidP="003754FE">
      <w:pPr>
        <w:pStyle w:val="TextoNormal"/>
      </w:pPr>
      <w:r>
        <w:t>Nuevamente el Tribunal se aparta de la doctrina constitucional reseñada para proceder a revisar, conforme a criterios de calidad o de oportunidad, la valoración probatoria de los tribunales ordinarios, efectuando reelaboración propia, previa selección sesgada del acervo probatorio, lo que le sitúa en la posición de tribunal de tercera instancia.</w:t>
      </w:r>
    </w:p>
    <w:p w14:paraId="50D5F4F1" w14:textId="77777777" w:rsidR="003754FE" w:rsidRDefault="003754FE" w:rsidP="003754FE">
      <w:pPr>
        <w:pStyle w:val="TextoNormal"/>
      </w:pPr>
    </w:p>
    <w:p w14:paraId="3C2F2CDC" w14:textId="77777777" w:rsidR="003754FE" w:rsidRDefault="003754FE" w:rsidP="003754FE">
      <w:pPr>
        <w:pStyle w:val="TextoNormal"/>
      </w:pPr>
      <w:r>
        <w:t>De la sentencia dictada en este proceso constitucional se extraen los siguientes argumentos que sintetizan la posición que fundamenta el fallo (FJ 6.4):</w:t>
      </w:r>
    </w:p>
    <w:p w14:paraId="2F662E81" w14:textId="77777777" w:rsidR="003754FE" w:rsidRDefault="003754FE" w:rsidP="003754FE">
      <w:pPr>
        <w:pStyle w:val="TextoNormal"/>
      </w:pPr>
    </w:p>
    <w:p w14:paraId="4C0FBFB0" w14:textId="77777777" w:rsidR="003754FE" w:rsidRDefault="003754FE" w:rsidP="003754FE">
      <w:pPr>
        <w:pStyle w:val="TextoNormal"/>
      </w:pPr>
      <w:r>
        <w:t>[L]la profundidad del análisis de la prueba que las resoluciones impugnadas efectúan respecto al conocimiento y participación del recurrente en la ejecución de un indebido sistema de presupuestación para la concesión de ayudas sociolaborales no aparece detallado con la misma exhaustividad a la hora de motivar la posible participación de aquel en la asignación de fondos del programa 31L en ausencia o con desviación de los fines recogidos en los propios programas presupuestarios.</w:t>
      </w:r>
    </w:p>
    <w:p w14:paraId="23EA13D9" w14:textId="77777777" w:rsidR="003754FE" w:rsidRDefault="003754FE" w:rsidP="003754FE">
      <w:pPr>
        <w:pStyle w:val="TextoNormal"/>
      </w:pPr>
    </w:p>
    <w:p w14:paraId="131A660C" w14:textId="77777777" w:rsidR="003754FE" w:rsidRDefault="003754FE" w:rsidP="003754FE">
      <w:pPr>
        <w:pStyle w:val="TextoNormal"/>
      </w:pPr>
      <w:r>
        <w:t>En este sentido, la resolución de instancia no desarrolla un mínimo juicio de autoría que permita determinar si el señor Griñán Martínez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siendo que toda la motivación efectuada respecto al demandante va dirigida a acreditar su participación en el uso del instrumento presupuestario de las transferencias de financiación para la concesión de ayudas sociolaborales.</w:t>
      </w:r>
    </w:p>
    <w:p w14:paraId="2BB52F0A" w14:textId="77777777" w:rsidR="003754FE" w:rsidRDefault="003754FE" w:rsidP="003754FE">
      <w:pPr>
        <w:pStyle w:val="TextoNormal"/>
      </w:pPr>
    </w:p>
    <w:p w14:paraId="54391AD8" w14:textId="77777777" w:rsidR="003754FE" w:rsidRDefault="003754FE" w:rsidP="003754FE">
      <w:pPr>
        <w:pStyle w:val="TextoNormal"/>
      </w:pPr>
      <w:r>
        <w:t>En definitiva, los informes de la Intervención que la sentencia de instancia analiza como medio de prueba acreditativo del tipo subjetivo de la malversación no llegan a demostrar que el señor Griñán Martínez hubiera realizado los hechos que se le atribuyen con una representación suficiente de que las ayudas se fueran a conceder al margen de toda finalidad pública.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y Desarrollo Tecnológico que aparecen descritas en el fundamento de Derecho 45 de la sentencia de instancia. Tampoco es un dato concluyente que tuviera conocimiento del déficit contable que se producía en la agencia IDEA pues el mismo era una consecuencia asociada al sistema de presupuestación y gestión de las transferencias de financiación determinado en las leyes de presupuestos.</w:t>
      </w:r>
    </w:p>
    <w:p w14:paraId="63EDFB8E" w14:textId="77777777" w:rsidR="003754FE" w:rsidRDefault="003754FE" w:rsidP="003754FE">
      <w:pPr>
        <w:pStyle w:val="TextoNormal"/>
      </w:pPr>
    </w:p>
    <w:p w14:paraId="591871BE" w14:textId="77777777" w:rsidR="003754FE" w:rsidRDefault="003754FE" w:rsidP="003754FE">
      <w:pPr>
        <w:pStyle w:val="TextoNormal"/>
      </w:pPr>
      <w:r>
        <w:t>Consecuentemente, y desde la perspectiva del análisis efectuado en las resoluciones judiciales impugnadas, no se considera mínimamente motivado que el demandante hubiera realizado los hechos que la sentencia declara probados con conocimiento de que la Consejería de Empleo y Desarrollo Tecnológico concedía ayudas que no respondían a ningún fin público amparado en el programa 31L, y consiguientemente con representación del riesgo concreto de que dicha situación se pudiera reproducir, lo que permite concluir que su presunción de inocencia no ha sido respetada por los órganos judiciales que pronunciaron la condena y que desestimaron el recurso de casación subsiguientemente interpuesto y que debe llevar a la estimación del amparo respecto a este motivo.</w:t>
      </w:r>
    </w:p>
    <w:p w14:paraId="6D6FCB1F" w14:textId="77777777" w:rsidR="003754FE" w:rsidRDefault="003754FE" w:rsidP="003754FE">
      <w:pPr>
        <w:pStyle w:val="TextoNormal"/>
      </w:pPr>
    </w:p>
    <w:p w14:paraId="1832C9A0" w14:textId="77777777" w:rsidR="003754FE" w:rsidRDefault="003754FE" w:rsidP="003754FE">
      <w:pPr>
        <w:pStyle w:val="TextoNormal"/>
      </w:pPr>
      <w:r>
        <w:t>Esta conclusión se alcanza tras valorar el Pleno una serie de indicios resultantes de la práctica de pruebas directas, en particular, de los informes emitidos por la Intervención General de la Junta de Andalucía. Y a partir de aquí, construye su propio relato fáctico, en sustitución del declarado probado por el órgano que constitucionalmente ejerce en esta parcela la función de juzgar, lo que luego fue confirmado por el tribunal de casación.</w:t>
      </w:r>
    </w:p>
    <w:p w14:paraId="602CDB50" w14:textId="77777777" w:rsidR="003754FE" w:rsidRDefault="003754FE" w:rsidP="003754FE">
      <w:pPr>
        <w:pStyle w:val="TextoNormal"/>
      </w:pPr>
    </w:p>
    <w:p w14:paraId="4AE9933F" w14:textId="77777777" w:rsidR="003754FE" w:rsidRDefault="003754FE" w:rsidP="003754FE">
      <w:pPr>
        <w:pStyle w:val="TextoNormal"/>
      </w:pPr>
      <w:r>
        <w:t>A mi juicio, no cabe afirmar que la inferencia determinante de la autoría del demandante en amparo fuera inmotivada, pues es el resultado de una inferencia irreprochable desde el punto de vista de la lógica y de las máximas de la experiencia, que parte de los siguientes indicios:</w:t>
      </w:r>
    </w:p>
    <w:p w14:paraId="330348E8" w14:textId="77777777" w:rsidR="003754FE" w:rsidRDefault="003754FE" w:rsidP="003754FE">
      <w:pPr>
        <w:pStyle w:val="TextoNormal"/>
      </w:pPr>
    </w:p>
    <w:p w14:paraId="78C085F6" w14:textId="77777777" w:rsidR="003754FE" w:rsidRDefault="003754FE" w:rsidP="003754FE">
      <w:pPr>
        <w:pStyle w:val="TextoNormal"/>
      </w:pPr>
      <w:r>
        <w:t>1º El recurrente ejerció en la Junta de Andalucía, durante aquel periodo, los cargos de consejero de Economía y Hacienda, primero, y de presidente de la Junta de Andalucía, después, lo que le colocó en una situación privilegiada para conocer todo lo relativo al destino de los fondos públicos, en particular, que las transferencias de financiación no podían aplicarse a una finalidad distinta de las de cobertura de pérdidas de una entidad pública.</w:t>
      </w:r>
    </w:p>
    <w:p w14:paraId="1041DEF6" w14:textId="77777777" w:rsidR="003754FE" w:rsidRDefault="003754FE" w:rsidP="003754FE">
      <w:pPr>
        <w:pStyle w:val="TextoNormal"/>
      </w:pPr>
    </w:p>
    <w:p w14:paraId="6FF78325" w14:textId="77777777" w:rsidR="003754FE" w:rsidRDefault="003754FE" w:rsidP="003754FE">
      <w:pPr>
        <w:pStyle w:val="TextoNormal"/>
      </w:pPr>
      <w:r>
        <w:t xml:space="preserve">2º El papel relevante que en el diseño y ejecución del nuevo sistema de concesión de ayudas sociolaborales gozaba la viceconsejera de Economía y Hacienda, la cual no solo formaba parte de la Comisión General de Viceconsejeros sino, también, del consejo rector del IFA/IDEA donde se constató la existencia de desfases debido a la asunción de compromisos por encima de la cobertura presupuestaria, defectos en la contabilidad, así como la firma de convenios particulares al amparo del convenio marco del año 2001. Dada la directa </w:t>
      </w:r>
      <w:r>
        <w:lastRenderedPageBreak/>
        <w:t>relación jerárquica entre la viceconsejera y el recurrente, confirma el conocimiento por este último de los déficits presupuestarios.</w:t>
      </w:r>
    </w:p>
    <w:p w14:paraId="13B923E1" w14:textId="77777777" w:rsidR="003754FE" w:rsidRDefault="003754FE" w:rsidP="003754FE">
      <w:pPr>
        <w:pStyle w:val="TextoNormal"/>
      </w:pPr>
    </w:p>
    <w:p w14:paraId="2ADB9D8E" w14:textId="77777777" w:rsidR="003754FE" w:rsidRDefault="003754FE" w:rsidP="003754FE">
      <w:pPr>
        <w:pStyle w:val="TextoNormal"/>
      </w:pPr>
      <w:r>
        <w:t>3º Los grupos de trabajo —encabezados por la viceconsejera de Economía y Hacienda— donde se pusieron de relieve el déficit generado y su origen.</w:t>
      </w:r>
    </w:p>
    <w:p w14:paraId="700EB3D1" w14:textId="77777777" w:rsidR="003754FE" w:rsidRDefault="003754FE" w:rsidP="003754FE">
      <w:pPr>
        <w:pStyle w:val="TextoNormal"/>
      </w:pPr>
    </w:p>
    <w:p w14:paraId="44AC045D" w14:textId="77777777" w:rsidR="003754FE" w:rsidRDefault="003754FE" w:rsidP="003754FE">
      <w:pPr>
        <w:pStyle w:val="TextoNormal"/>
      </w:pPr>
      <w:r>
        <w:t>4º El demandante era destinatario de los informes de control financiero permanente de las empresas públicas y, en particular, del IFA/IDEA, elaborados por la Intervención General de la Junta de Andalucía, donde se recogían las deficiencias detectadas.</w:t>
      </w:r>
    </w:p>
    <w:p w14:paraId="510713D6" w14:textId="77777777" w:rsidR="003754FE" w:rsidRDefault="003754FE" w:rsidP="003754FE">
      <w:pPr>
        <w:pStyle w:val="TextoNormal"/>
      </w:pPr>
    </w:p>
    <w:p w14:paraId="7827C895" w14:textId="77777777" w:rsidR="003754FE" w:rsidRDefault="003754FE" w:rsidP="003754FE">
      <w:pPr>
        <w:pStyle w:val="TextoNormal"/>
      </w:pPr>
      <w:r>
        <w:t>5º La aprobación por el Consejo de Gobierno, a iniciativa de la Consejería de Economía y Hacienda, del programa anual de control financiero permanente de las empresas que incluía, como anexo, una memoria de control financiero permanente sobre los trabajos realizados en el ejercicio anterior por la Intervención General de Andalucía.</w:t>
      </w:r>
    </w:p>
    <w:p w14:paraId="203D3DCE" w14:textId="77777777" w:rsidR="003754FE" w:rsidRDefault="003754FE" w:rsidP="003754FE">
      <w:pPr>
        <w:pStyle w:val="TextoNormal"/>
      </w:pPr>
    </w:p>
    <w:p w14:paraId="6621BC83" w14:textId="77777777" w:rsidR="003754FE" w:rsidRDefault="003754FE" w:rsidP="003754FE">
      <w:pPr>
        <w:pStyle w:val="TextoNormal"/>
      </w:pPr>
      <w:r>
        <w:t>6º El recurrente tuvo conocimiento del informe adicional al informe de cumplimiento del año 2003, emitido por la Intervención General de la Junta de Andalucía, así como los sucesivos informes y memorias que advertían no solo del continuo uso indebido de las transferencias de financiación, sino que también hacían alusión a otras deficiencias de especial relieve como la omisión absoluta del procedimiento de concesión de subvenciones o la inadecuada utilización de la agencia IFA/IDEA como caja pagadora.</w:t>
      </w:r>
    </w:p>
    <w:p w14:paraId="268E2073" w14:textId="77777777" w:rsidR="003754FE" w:rsidRDefault="003754FE" w:rsidP="003754FE">
      <w:pPr>
        <w:pStyle w:val="TextoNormal"/>
      </w:pPr>
    </w:p>
    <w:p w14:paraId="2D889FD5" w14:textId="77777777" w:rsidR="003754FE" w:rsidRDefault="003754FE" w:rsidP="003754FE">
      <w:pPr>
        <w:pStyle w:val="TextoNormal"/>
      </w:pPr>
      <w:r>
        <w:t>7º Los peritos de la Intervención General de la Administración del Estado que examinaron todos y cada uno de los 270 expedientes de ayudas derivados de los programas 22E y 31L, afirmaron que no se siguió procedimiento administrativo alguno, faltando los requisitos más elementales en la tramitación de cualquier subvención, destacando la imputación presupuestaria inadecuada, que las subvenciones no se incluyeron en la base de datos, ni constaba que convenio particular alguno hubiera sido previamente informado por el letrado del Gabinete Jurídico adscrito en la Consejería de Empleo y Desarrollo Tecnológico, como era preceptivo. Asimismo, extendieron a todos los expedientes las graves deficiencias detectadas por la interventora en un informe anterior: falta de consignación del plazo de ejecución de la actividad subvencionada con expresión del inicio del cómputo; falta de consignación de la aplicación presupuestaria del gasto y su distribución plurianual; falta de indicación de la forma y secuencia del pago y los requisitos exigidos para su abono; indeterminación del plazo y forma de justificación por el beneficiario del cumplimiento de la finalidad para la que se concede la ayuda; omisión de fiscalización previa, etc.</w:t>
      </w:r>
    </w:p>
    <w:p w14:paraId="5C981106" w14:textId="77777777" w:rsidR="003754FE" w:rsidRDefault="003754FE" w:rsidP="003754FE">
      <w:pPr>
        <w:pStyle w:val="TextoNormal"/>
      </w:pPr>
    </w:p>
    <w:p w14:paraId="0464CB12" w14:textId="77777777" w:rsidR="003754FE" w:rsidRDefault="003754FE" w:rsidP="003754FE">
      <w:pPr>
        <w:pStyle w:val="TextoNormal"/>
      </w:pPr>
      <w:r>
        <w:t>8º El déficit generado en la Consejería de Empleo y Desarrollo Tecnológico y en la agencia IFA/IDEA como consecuencia de la aplicación de este sistema de gestión de ayudas.</w:t>
      </w:r>
    </w:p>
    <w:p w14:paraId="08845662" w14:textId="77777777" w:rsidR="003754FE" w:rsidRDefault="003754FE" w:rsidP="003754FE">
      <w:pPr>
        <w:pStyle w:val="TextoNormal"/>
      </w:pPr>
    </w:p>
    <w:p w14:paraId="74F11BB3" w14:textId="77777777" w:rsidR="003754FE" w:rsidRDefault="003754FE" w:rsidP="003754FE">
      <w:pPr>
        <w:pStyle w:val="TextoNormal"/>
      </w:pPr>
      <w:r>
        <w:t>9º El pago de las ayudas era uno de los ejes relevantes de la acción política del Gobierno de la Junta de Andalucía, de tal manera que difícilmente puede admitirse que no estuviera al tanto del modo de gestión y presupuestación de estas ayudas, como también que desconociera que su pago generaba anualmente un déficit considerable en el IFA/IDEA, que necesariamente había de ser analizado por los órganos encargados de la elaboración presupuestaria.</w:t>
      </w:r>
    </w:p>
    <w:p w14:paraId="54EC537E" w14:textId="77777777" w:rsidR="003754FE" w:rsidRDefault="003754FE" w:rsidP="003754FE">
      <w:pPr>
        <w:pStyle w:val="TextoNormal"/>
      </w:pPr>
    </w:p>
    <w:p w14:paraId="69FD51A2" w14:textId="77777777" w:rsidR="003754FE" w:rsidRDefault="003754FE" w:rsidP="003754FE">
      <w:pPr>
        <w:pStyle w:val="TextoNormal"/>
      </w:pPr>
      <w:r>
        <w:lastRenderedPageBreak/>
        <w:t>10º El uso de las transferencias de financiación para eludir la normativa de las subvenciones y, singularmente, el control previo de la Intervención ya era un dato muy revelador de que la gestión de las ayudas podía dar lugar a la arbitrariedad y el despilfarro.</w:t>
      </w:r>
    </w:p>
    <w:p w14:paraId="2AAA5C36" w14:textId="77777777" w:rsidR="003754FE" w:rsidRDefault="003754FE" w:rsidP="003754FE">
      <w:pPr>
        <w:pStyle w:val="TextoNormal"/>
      </w:pPr>
    </w:p>
    <w:p w14:paraId="05C271C1" w14:textId="77777777" w:rsidR="003754FE" w:rsidRDefault="003754FE" w:rsidP="003754FE">
      <w:pPr>
        <w:pStyle w:val="TextoNormal"/>
      </w:pPr>
      <w:r>
        <w:t>En definitiva, no puedo compartir que, a la vista de estos indicios, la conclusión sobre la autoría del demandante fuera inmotivada y producto de una inferencia excesivamente abierta.</w:t>
      </w:r>
    </w:p>
    <w:p w14:paraId="0BD3CD6C" w14:textId="77777777" w:rsidR="003754FE" w:rsidRDefault="003754FE" w:rsidP="003754FE">
      <w:pPr>
        <w:pStyle w:val="TextoNormal"/>
      </w:pPr>
    </w:p>
    <w:p w14:paraId="7093BA88" w14:textId="77777777" w:rsidR="003754FE" w:rsidRDefault="003754FE" w:rsidP="003754FE">
      <w:pPr>
        <w:pStyle w:val="TextoNormal"/>
      </w:pPr>
      <w:r>
        <w:t>Por el contrario, nada hay que reprochar desde el punto de vista de la determinación racional de los hechos probados, a lo que se proyecta el control externo que compete a este tribunal, que se declarara que el recurrente, tal como afirma el Tribunal Supremo, sabía que las transferencias de financiación eran un instrumento presupuestario ilegal, que sirvió para eludir los necesarios controles en la concesión y pago de las ayudas sociolaborales y también que en esta gestión se incumplió de forma absoluta el procedimiento establecido en la ley, posibilitando la gestión libérrima de los fondos públicos al margen de todo control. Y, en consecuencia, también considero que la mayoría del Pleno se excedió en su facultad de control y sustituyó aquella conclusión por su propia versión alternativa acerca de la autoría del recurrente.</w:t>
      </w:r>
    </w:p>
    <w:p w14:paraId="24BF9FFF" w14:textId="77777777" w:rsidR="003754FE" w:rsidRDefault="003754FE" w:rsidP="003754FE">
      <w:pPr>
        <w:pStyle w:val="TextoNormal"/>
      </w:pPr>
    </w:p>
    <w:p w14:paraId="00A9F19F" w14:textId="77777777" w:rsidR="003754FE" w:rsidRDefault="003754FE" w:rsidP="003754FE">
      <w:pPr>
        <w:pStyle w:val="TextoNormal"/>
      </w:pPr>
      <w:r>
        <w:t>10</w:t>
      </w:r>
      <w:r w:rsidRPr="003754FE">
        <w:rPr>
          <w:i/>
        </w:rPr>
        <w:t>. Recapitulaci</w:t>
      </w:r>
      <w:r>
        <w:t>ón</w:t>
      </w:r>
    </w:p>
    <w:p w14:paraId="30EDE0BF" w14:textId="77777777" w:rsidR="003754FE" w:rsidRDefault="003754FE" w:rsidP="003754FE">
      <w:pPr>
        <w:pStyle w:val="TextoNormal"/>
      </w:pPr>
    </w:p>
    <w:p w14:paraId="1D72C33F" w14:textId="77777777" w:rsidR="003754FE" w:rsidRDefault="003754FE" w:rsidP="003754FE">
      <w:pPr>
        <w:pStyle w:val="TextoNormal"/>
      </w:pPr>
      <w:r>
        <w:t>En esta sentencia como en las restantes sentencias resolutorias de los recursos de amparo planteados contra las sentencias dictadas en la rama política de los expedientes de regulación de empleo, se ha creado un artificio común estereotipado que, desconociendo la doctrina que este tribunal ha venido manteniendo en otros recursos, ha llevado a dar cobertura legal a una trama criminal perfectamente descrita y analizada por el Tribunal Supremo, que ha conducido a la impunidad de la mayor parte de los recurrentes, con una argumentación, de la que discrepo, articulada mediante una pretendida vulneración del principio de legalidad penal y, en cuanto resulta insuficiente, mediante una alternativa valoración de la prueba que concluye en la declaración de una inexistente vulneración del principio de presunción de inocencia y la consiguiente absolución definitiva de los delitos de malversación.</w:t>
      </w:r>
    </w:p>
    <w:p w14:paraId="13647B61" w14:textId="77777777" w:rsidR="003754FE" w:rsidRDefault="003754FE" w:rsidP="003754FE">
      <w:pPr>
        <w:pStyle w:val="TextoNormal"/>
      </w:pPr>
    </w:p>
    <w:p w14:paraId="01A67D82" w14:textId="77777777" w:rsidR="003754FE" w:rsidRDefault="003754FE" w:rsidP="003754FE">
      <w:pPr>
        <w:pStyle w:val="TextoNormal"/>
      </w:pPr>
      <w:r>
        <w:t>Considero que el Tribunal ha excedido sus competencias invadiendo las que corresponden al Tribunal Supremo para la interpretación de los tipos penales, para efectuar el juicio de subsunción y para la valoración de las pruebas, orillando el canon pacíficamente aplicado en los recursos de amparo. Las sentencias recurridas están ampliamente motivadas, no resultan en modo alguno erróneas o arbitrarias, lo que debió comportar la inadmisión a trámite de los recursos por falta de especial trascendencia constitucional y, en el estadio procesal en el que nos encontramos, a la desestimación íntegra de todos los recursos planteados por no haberse vulnerado el principio de legalidad penal ni el derecho a la presunción de inocencia de los recurrentes.</w:t>
      </w:r>
    </w:p>
    <w:p w14:paraId="35F2A2F6" w14:textId="77777777" w:rsidR="003754FE" w:rsidRDefault="003754FE" w:rsidP="003754FE">
      <w:pPr>
        <w:pStyle w:val="TextoNormal"/>
      </w:pPr>
    </w:p>
    <w:p w14:paraId="7F4278AA" w14:textId="77777777" w:rsidR="003754FE" w:rsidRDefault="003754FE" w:rsidP="003754FE">
      <w:pPr>
        <w:pStyle w:val="TextoNormal"/>
      </w:pPr>
      <w:r>
        <w:t>Por lo expuesto, formulo el presente voto particular.</w:t>
      </w:r>
    </w:p>
    <w:p w14:paraId="355CAB5B" w14:textId="77777777" w:rsidR="003754FE" w:rsidRDefault="003754FE" w:rsidP="003754FE">
      <w:pPr>
        <w:pStyle w:val="TextoNormal"/>
      </w:pPr>
    </w:p>
    <w:p w14:paraId="50FA4C5E" w14:textId="3F26A0EB" w:rsidR="003754FE" w:rsidRDefault="003754FE" w:rsidP="003754FE">
      <w:pPr>
        <w:pStyle w:val="TextoNormal"/>
      </w:pPr>
      <w:r>
        <w:t>Madrid, a dieciséis de julio de dos mil veinticuatro.</w:t>
      </w:r>
    </w:p>
    <w:p w14:paraId="17457923" w14:textId="77777777" w:rsidR="003754FE" w:rsidRDefault="003754FE" w:rsidP="003754FE">
      <w:pPr>
        <w:pStyle w:val="TextoNormal"/>
      </w:pPr>
    </w:p>
    <w:p w14:paraId="322F6C22" w14:textId="77777777" w:rsidR="003754FE" w:rsidRDefault="003754FE" w:rsidP="003754FE">
      <w:pPr>
        <w:pStyle w:val="TextoNormalNegritaCentrado"/>
        <w:keepNext/>
      </w:pPr>
      <w:r>
        <w:lastRenderedPageBreak/>
        <w:t>Voto particular que formula el magistrado don César Tolosa Tribiño a la sentencia dictada en el recurso de amparo avocado núm. 2119-2023 interpuesto por don José Antonio Griñán Martínez</w:t>
      </w:r>
    </w:p>
    <w:p w14:paraId="736B7D31" w14:textId="7DAEB3AA" w:rsidR="003754FE" w:rsidRDefault="003754FE" w:rsidP="003754FE">
      <w:pPr>
        <w:pStyle w:val="TextoNormalNegritaCentrado"/>
        <w:keepNext/>
      </w:pPr>
    </w:p>
    <w:p w14:paraId="79B0A31D" w14:textId="77777777" w:rsidR="003754FE" w:rsidRDefault="003754FE" w:rsidP="003754FE">
      <w:pPr>
        <w:pStyle w:val="TextoNormal"/>
      </w:pPr>
      <w:r>
        <w:t>En el ejercicio de la facultad que me confiere el artículo 90.2 de la Ley Orgánica del Tribunal Constitucional formulo el presente voto particular. Considero que el recurso de amparo debió ser desestimado al no existir vulneración del derecho a la legalidad penal en relación con la condena de don José Antonio Griñán Martínez por el delito de prevaricación en concurso medial con el delito de malversación de caudales públicos agravado por su especial gravedad.</w:t>
      </w:r>
    </w:p>
    <w:p w14:paraId="14A13694" w14:textId="77777777" w:rsidR="003754FE" w:rsidRDefault="003754FE" w:rsidP="003754FE">
      <w:pPr>
        <w:pStyle w:val="TextoNormal"/>
      </w:pPr>
    </w:p>
    <w:p w14:paraId="418B36FD" w14:textId="77777777" w:rsidR="003754FE" w:rsidRDefault="003754FE" w:rsidP="003754FE">
      <w:pPr>
        <w:pStyle w:val="TextoNormal"/>
      </w:pPr>
      <w:r w:rsidRPr="003754FE">
        <w:rPr>
          <w:i/>
        </w:rPr>
        <w:t>Remisión a los votos particulares ya formulados</w:t>
      </w:r>
    </w:p>
    <w:p w14:paraId="0AF7689A" w14:textId="77777777" w:rsidR="003754FE" w:rsidRDefault="003754FE" w:rsidP="003754FE">
      <w:pPr>
        <w:pStyle w:val="TextoNormal"/>
      </w:pPr>
    </w:p>
    <w:p w14:paraId="16121228" w14:textId="77777777" w:rsidR="003754FE" w:rsidRDefault="003754FE" w:rsidP="003754FE">
      <w:pPr>
        <w:pStyle w:val="TextoNormal"/>
      </w:pPr>
      <w:r>
        <w:t>Don José Antonio Griñán Martínez fue condenado como autor de un delito de prevaricación en concurso medial con un delito de malversación de caudales públicos. Se consideró probado que en su condición de consejero de Economía y Hacienda y miembro de la Junta de Andalucía intervino en la aprobación de los anteproyectos y proyectos de presupuestos de los años 2005 a 2009, así como en las sucesivas modificaciones presupuestarias producidas en los años 2004 a 2009. Su participación tuvo lugar conociendo las irregularidades que se estaban produciendo en relación con la gestión de las ayudas sociolaborales y las ayudas a empresas en crisis, consciente de que se eludía la fiscalización previa utilizando indebidamente las trasferencias de financiación al IFA para efectuar libérrimamente pagos por los responsables de la Consejería de Empleo y Desarrollo Tecnológico, sin la necesaria cobertura presupuestaria, sin la existencia de control alguno, sin el cumplimiento de los requisitos de las normas reguladoras de las subvenciones y contabilizándose indebidamente como gastos de explotación.</w:t>
      </w:r>
    </w:p>
    <w:p w14:paraId="4FCC7543" w14:textId="77777777" w:rsidR="003754FE" w:rsidRDefault="003754FE" w:rsidP="003754FE">
      <w:pPr>
        <w:pStyle w:val="TextoNormal"/>
      </w:pPr>
    </w:p>
    <w:p w14:paraId="169606B8" w14:textId="77777777" w:rsidR="003754FE" w:rsidRDefault="003754FE" w:rsidP="003754FE">
      <w:pPr>
        <w:pStyle w:val="TextoNormal"/>
      </w:pPr>
      <w:r>
        <w:t>La presente sentencia reconoce la vulneración del principio de legalidad penal en relación con la condena por el delito de prevaricación y malversación proyectando la doctrina expuesta en las SSTC 93/2024 —en relación con la prevaricación— y 94/2024 —en relación también con la malversación—, luego reiterada en las SSTC 95/2024, 96/2024, 97/2024, y 98/2024. Es por ello que me debo remitir, en lo relativo a la doctrina acuñada en la sentencia, al razonamiento expuesto en los votos particulares formulados frente a aquellas, debiendo insistir en:</w:t>
      </w:r>
    </w:p>
    <w:p w14:paraId="6BD5B9C5" w14:textId="77777777" w:rsidR="003754FE" w:rsidRDefault="003754FE" w:rsidP="003754FE">
      <w:pPr>
        <w:pStyle w:val="TextoNormal"/>
      </w:pPr>
    </w:p>
    <w:p w14:paraId="3F3C2777" w14:textId="77777777" w:rsidR="003754FE" w:rsidRDefault="003754FE" w:rsidP="003754FE">
      <w:pPr>
        <w:pStyle w:val="TextoNormal"/>
      </w:pPr>
      <w:r>
        <w:t>a) El exceso de jurisdicción en que ha incurrido el Tribunal Constitucional: (i) al rectificar por vez primera al Tribunal Supremo en la interpretación de un elemento recogido en la descripción de la conducta típica, que socava la jurisdicción del Tribunal Supremo como órgano jurisdiccional superior en todos los órdenes y máxima autoridad jurisdiccional en la función de interpretar y aplicar la legislación vigente (arts. 117.3 y 123.1 CE), convirtiéndose el Tribunal Constitucional en un tribunal de casación; y (ii) al sustituir la valoración de la prueba efectuada por los órganos judiciales conforme a criterios de calidad o de oportunidad, convirtiéndose el Tribunal Constitucional en un tribunal de apelación.</w:t>
      </w:r>
    </w:p>
    <w:p w14:paraId="2C00CD08" w14:textId="77777777" w:rsidR="003754FE" w:rsidRDefault="003754FE" w:rsidP="003754FE">
      <w:pPr>
        <w:pStyle w:val="TextoNormal"/>
      </w:pPr>
    </w:p>
    <w:p w14:paraId="33EE9A76" w14:textId="77777777" w:rsidR="003754FE" w:rsidRDefault="003754FE" w:rsidP="003754FE">
      <w:pPr>
        <w:pStyle w:val="TextoNormal"/>
      </w:pPr>
      <w:r>
        <w:t xml:space="preserve">b) La sentencia deja al margen de todo control aquello que tenga que ver con la actividad presupuestaria desde la fase inicial de elaboración de los presupuestos a la fase final de su ejecución y determina la impunidad de los miembros del Gobierno de la Junta de Andalucía en todo lo concerniente a la elaboración, aprobación, ejecución de los presupuestos y a las </w:t>
      </w:r>
      <w:r>
        <w:lastRenderedPageBreak/>
        <w:t>enmiendas presupuestarias o su ejecución, por lo que quedan desprotegidos entre otros intereses la indemnidad del patrimonio público.</w:t>
      </w:r>
    </w:p>
    <w:p w14:paraId="4F72DAB4" w14:textId="77777777" w:rsidR="003754FE" w:rsidRDefault="003754FE" w:rsidP="003754FE">
      <w:pPr>
        <w:pStyle w:val="TextoNormal"/>
      </w:pPr>
    </w:p>
    <w:p w14:paraId="4647E10C" w14:textId="77777777" w:rsidR="003754FE" w:rsidRDefault="003754FE" w:rsidP="003754FE">
      <w:pPr>
        <w:pStyle w:val="TextoNormal"/>
      </w:pPr>
      <w:r>
        <w:t>c) La confusión entre la condición de consejero —miembro del Gobierno— con el Gobierno mismo, en que incurre la sentencia, para calificar la aprobación de los anteproyectos y proyectos de leyes de presupuestos como acción del Gobierno.</w:t>
      </w:r>
    </w:p>
    <w:p w14:paraId="3C6BF81F" w14:textId="77777777" w:rsidR="003754FE" w:rsidRDefault="003754FE" w:rsidP="003754FE">
      <w:pPr>
        <w:pStyle w:val="TextoNormal"/>
      </w:pPr>
    </w:p>
    <w:p w14:paraId="4438F17B" w14:textId="77777777" w:rsidR="003754FE" w:rsidRDefault="003754FE" w:rsidP="003754FE">
      <w:pPr>
        <w:pStyle w:val="TextoNormal"/>
      </w:pPr>
      <w:r>
        <w:t>d) La incompatibilidad de la sentencia con la inexistente previsión constitucional de inmunidad de los miembros del Gobierno (arts. 56.3 y 71.1 CE) y con la obligada interpretación estricta y finalista del privilegio de la inviolabilidad y de la inmunidad que determina su inviable proyección a los miembros del Gobierno al no existir dicha previsión constitucional (STC 9/1990, de 18 de enero).</w:t>
      </w:r>
    </w:p>
    <w:p w14:paraId="04548168" w14:textId="77777777" w:rsidR="003754FE" w:rsidRDefault="003754FE" w:rsidP="003754FE">
      <w:pPr>
        <w:pStyle w:val="TextoNormal"/>
      </w:pPr>
    </w:p>
    <w:p w14:paraId="68680FC1" w14:textId="77777777" w:rsidR="003754FE" w:rsidRDefault="003754FE" w:rsidP="003754FE">
      <w:pPr>
        <w:pStyle w:val="TextoNormal"/>
      </w:pPr>
      <w:r>
        <w:t>e) La inadecuación del principio de irresponsabilidad penal establecido en la sentencia con las obligaciones de España derivadas del artículo 325 TFUE, apartado 1, cuando la acuñada doctrina de la irresponsabilidad penal de los miembros del Gobierno tenga su proyección en la protección de los intereses financieros de la Unión Europea.</w:t>
      </w:r>
    </w:p>
    <w:p w14:paraId="2CDB1DDD" w14:textId="77777777" w:rsidR="003754FE" w:rsidRDefault="003754FE" w:rsidP="003754FE">
      <w:pPr>
        <w:pStyle w:val="TextoNormal"/>
      </w:pPr>
    </w:p>
    <w:p w14:paraId="7818BE75" w14:textId="77777777" w:rsidR="003754FE" w:rsidRDefault="003754FE" w:rsidP="003754FE">
      <w:pPr>
        <w:pStyle w:val="TextoNormal"/>
      </w:pPr>
      <w:r>
        <w:t>f) La corrección constitucional del razonamiento del Tribunal Supremo al calificar los hechos probados como delito de prevaricación administrativa y entender que los anteproyectos y proyectos de leyes se incardinan en el tipo “resolución arbitraria en asunto administrativo”, al no poder considerarse la subsunción penal extravagante o imprevisible para sus destinatarios, ni por su soporte metodológico, ni por las pautas valorativas que la inspiran y cuyo contenido se extracta en el voto particular.</w:t>
      </w:r>
    </w:p>
    <w:p w14:paraId="4C6AE6CC" w14:textId="77777777" w:rsidR="003754FE" w:rsidRDefault="003754FE" w:rsidP="003754FE">
      <w:pPr>
        <w:pStyle w:val="TextoNormal"/>
      </w:pPr>
    </w:p>
    <w:p w14:paraId="65CB96BB" w14:textId="77777777" w:rsidR="003754FE" w:rsidRDefault="003754FE" w:rsidP="003754FE">
      <w:pPr>
        <w:pStyle w:val="TextoNormal"/>
      </w:pPr>
      <w:r>
        <w:t>g) Las quiebras lógicas en que incurre el razonamiento de la sentencia que estima el amparo y que se exponen en el apartado 3.2.2 del voto particular a la STC 93/2024, entre las que destaca el argumento por el que se somete el delito consumado de prevaricación administrativa cometido por un miembro del Gobierno al aprobar un proyecto o anteproyecto de ley a una especie de condición resolutoria derivada de la aprobación de la ley por el Parlamento, lo que supone introducir un factor de incertidumbre e imprevisibilidad contrario a la certeza en la que se asienta el principio de legalidad que se dice aplicar.</w:t>
      </w:r>
    </w:p>
    <w:p w14:paraId="2FD0D9CD" w14:textId="77777777" w:rsidR="003754FE" w:rsidRDefault="003754FE" w:rsidP="003754FE">
      <w:pPr>
        <w:pStyle w:val="TextoNormal"/>
      </w:pPr>
    </w:p>
    <w:p w14:paraId="2D6CECEB" w14:textId="77777777" w:rsidR="003754FE" w:rsidRDefault="003754FE" w:rsidP="003754FE">
      <w:pPr>
        <w:pStyle w:val="TextoNormal"/>
      </w:pPr>
      <w:r>
        <w:t>h) El insostenible argumento de la sentencia por el que “no puede considerarse ilegal ni indebido otorgar las referidas ayudas, de acuerdo con lo establecido en el programa 31L de las leyes de presupuestos de aquellos años y las memorias que las acompañaban”. Como indica la STS 749/2022: “[l]a aprobación parlamentaria de los distintos créditos presupuestarios no puede ser coartada para justificar los pagos ilegales”. Ninguno de los condenados estaba amparado, ni venía obligado por las sucesivas leyes de presupuestos para cometer los delitos. Las leyes eran neutras en la previsión de transferencias de financiación para gastos de explotación.</w:t>
      </w:r>
    </w:p>
    <w:p w14:paraId="4653E7FB" w14:textId="77777777" w:rsidR="003754FE" w:rsidRDefault="003754FE" w:rsidP="003754FE">
      <w:pPr>
        <w:pStyle w:val="TextoNormal"/>
      </w:pPr>
    </w:p>
    <w:p w14:paraId="37665E1C" w14:textId="77777777" w:rsidR="003754FE" w:rsidRDefault="003754FE" w:rsidP="003754FE">
      <w:pPr>
        <w:pStyle w:val="TextoNormal"/>
      </w:pPr>
      <w:r>
        <w:t xml:space="preserve">i) A lo que añadimos ahora, la contradicción con la doctrina de este tribunal en que incurre la sentencia al considerar que fueron la memorias de las leyes de presupuestos las que habilitaban a la administración autonómica a conceder ayudas y de este modo considerar que la disposición libérrima de fondos tenía cobertura presupuestaria, pues dicha afirmación además de insostenible —como se ha indicado— es también contraria no solo a la abundante prueba pericial desplegada en el juicio sino a nuestra propia doctrina en virtud de la cual: </w:t>
      </w:r>
      <w:r>
        <w:lastRenderedPageBreak/>
        <w:t>“[L]as memorias de los presupuestos […] en modo alguno pudieron adquirir vigencia con la entrada en vigor de las leyes de presupuestos impugnadas; en realidad, son algo externo o ajeno a las mismas, meras previsiones hipotéticas” (STC 63/1986, FJ 8).</w:t>
      </w:r>
    </w:p>
    <w:p w14:paraId="2D2B4A7F" w14:textId="77777777" w:rsidR="003754FE" w:rsidRDefault="003754FE" w:rsidP="003754FE">
      <w:pPr>
        <w:pStyle w:val="TextoNormal"/>
      </w:pPr>
    </w:p>
    <w:p w14:paraId="509BC438" w14:textId="77777777" w:rsidR="003754FE" w:rsidRDefault="003754FE" w:rsidP="003754FE">
      <w:pPr>
        <w:pStyle w:val="TextoNormal"/>
      </w:pPr>
      <w:r>
        <w:t>Y en este sentido emito el presente voto particular.</w:t>
      </w:r>
    </w:p>
    <w:p w14:paraId="21E025A4" w14:textId="77777777" w:rsidR="003754FE" w:rsidRDefault="003754FE" w:rsidP="003754FE">
      <w:pPr>
        <w:pStyle w:val="TextoNormal"/>
      </w:pPr>
    </w:p>
    <w:p w14:paraId="30620128" w14:textId="2F10CACA" w:rsidR="003754FE" w:rsidRDefault="003754FE" w:rsidP="003754FE">
      <w:pPr>
        <w:pStyle w:val="TextoNormal"/>
      </w:pPr>
      <w:r>
        <w:t>Madrid, a dieciséis de julio de dos mil veinticuatro.</w:t>
      </w:r>
    </w:p>
    <w:p w14:paraId="6E7F46D4" w14:textId="23CD1300" w:rsidR="003754FE" w:rsidRDefault="003754FE">
      <w:pPr>
        <w:spacing w:after="160" w:line="278" w:lineRule="auto"/>
        <w:rPr>
          <w:rFonts w:ascii="Times New Roman" w:eastAsia="Times New Roman" w:hAnsi="Times New Roman" w:cs="Times New Roman"/>
          <w:sz w:val="24"/>
          <w:szCs w:val="24"/>
          <w:lang w:eastAsia="es-ES"/>
        </w:rPr>
      </w:pPr>
      <w:r>
        <w:br w:type="page"/>
      </w:r>
    </w:p>
    <w:p w14:paraId="1472AE66" w14:textId="77777777" w:rsidR="003754FE" w:rsidRDefault="003754FE" w:rsidP="003754FE">
      <w:pPr>
        <w:pStyle w:val="TtuloResolucin"/>
      </w:pPr>
      <w:bookmarkStart w:id="10" w:name="SENTENCIA_2024_101"/>
      <w:r>
        <w:lastRenderedPageBreak/>
        <w:t>SENTENCIA 101/2024, de 16 de julio de 2024</w:t>
      </w:r>
    </w:p>
    <w:bookmarkEnd w:id="10"/>
    <w:p w14:paraId="1753F439" w14:textId="77777777" w:rsidR="003754FE" w:rsidRDefault="003754FE" w:rsidP="003754FE">
      <w:pPr>
        <w:pStyle w:val="TtuloResolucin"/>
      </w:pPr>
      <w:r>
        <w:t>Pleno</w:t>
      </w:r>
    </w:p>
    <w:p w14:paraId="2BB62507" w14:textId="77777777" w:rsidR="003754FE" w:rsidRDefault="003754FE" w:rsidP="003754FE">
      <w:pPr>
        <w:pStyle w:val="TtuloBOE"/>
      </w:pPr>
      <w:r>
        <w:t>(BOE núm. 208, de 28 de agosto de 2024)</w:t>
      </w:r>
    </w:p>
    <w:p w14:paraId="20D736BA" w14:textId="77777777" w:rsidR="003754FE" w:rsidRDefault="003754FE" w:rsidP="003754FE">
      <w:pPr>
        <w:pStyle w:val="TextoNormalCentrado"/>
      </w:pPr>
      <w:r>
        <w:t>ECLI:ES:TC:2024:101</w:t>
      </w:r>
    </w:p>
    <w:p w14:paraId="626CE121" w14:textId="06059FFC" w:rsidR="003754FE" w:rsidRDefault="003754FE" w:rsidP="003754FE">
      <w:pPr>
        <w:pStyle w:val="TextoNormalCentrado"/>
      </w:pPr>
    </w:p>
    <w:p w14:paraId="12BB38DB" w14:textId="77777777" w:rsidR="003754FE" w:rsidRDefault="003754FE" w:rsidP="003754FE">
      <w:pPr>
        <w:pStyle w:val="SntesisDescriptiva"/>
      </w:pPr>
      <w:r>
        <w:t>Recurso de amparo 2239-2023. Promovido por Juan Márquez Contreras respecto de las sentencias dictadas por la Sala de lo Penal del Tribunal Supremo y la Audiencia Provincial de Sevilla que le condenaron por un delito continuado de prevaricación en concurso medial con un delito continuado de malversación de caudales públicos.</w:t>
      </w:r>
    </w:p>
    <w:p w14:paraId="3880F34F" w14:textId="771C4620" w:rsidR="003754FE" w:rsidRDefault="003754FE" w:rsidP="003754FE">
      <w:pPr>
        <w:pStyle w:val="SntesisDescriptiva"/>
      </w:pPr>
    </w:p>
    <w:p w14:paraId="31CE604F" w14:textId="77777777" w:rsidR="003754FE" w:rsidRDefault="003754FE" w:rsidP="003754FE">
      <w:pPr>
        <w:pStyle w:val="SntesisAnaltica"/>
      </w:pPr>
      <w:r>
        <w:t>Supuesta vulneración de los derechos al honor, a la tutela judicial efectiva, a un proceso con todas las garantías y a la presunción de inocencia: razonada valoración judicial del complejo acervo probatorio aportado a la causa; inconsistencia de la queja relativa al eventual complemento fáctico de sentencia; difusión anticipada del fallo que no quebranta las garantías del proceso.</w:t>
      </w:r>
    </w:p>
    <w:p w14:paraId="74608175" w14:textId="59411BA5" w:rsidR="003754FE" w:rsidRDefault="003754FE" w:rsidP="003754FE">
      <w:pPr>
        <w:pStyle w:val="SntesisAnaltica"/>
      </w:pPr>
    </w:p>
    <w:p w14:paraId="75D5A8CD" w14:textId="0D7868C2" w:rsidR="003754FE" w:rsidRDefault="003754FE" w:rsidP="003754FE">
      <w:pPr>
        <w:pStyle w:val="Extracto"/>
      </w:pPr>
      <w:r>
        <w:t>1.</w:t>
      </w:r>
      <w:r>
        <w:tab/>
        <w:t>En el marco de la serie de sentencias dictadas en relación con el denominado proceso “ERE”, -que en este caso derivó en condena por delito continuado de prevaricación administrativa del art. 404 CP, en concurso medial con un delito continuado de malversación de caudales públicos del art. 432 CP-, se reitera doctrina en materia de los derechos fundamentales consagrados en el art. 24 CE (STC 94/2024) [FFJJ 3 a 5].</w:t>
      </w:r>
    </w:p>
    <w:p w14:paraId="3E046EC5" w14:textId="77777777" w:rsidR="003754FE" w:rsidRDefault="003754FE" w:rsidP="003754FE">
      <w:pPr>
        <w:pStyle w:val="Extracto"/>
      </w:pPr>
    </w:p>
    <w:p w14:paraId="49D00509" w14:textId="7156F40E" w:rsidR="003754FE" w:rsidRDefault="003754FE" w:rsidP="003754FE">
      <w:pPr>
        <w:pStyle w:val="Extracto"/>
      </w:pPr>
      <w:r>
        <w:t>2.</w:t>
      </w:r>
      <w:r>
        <w:tab/>
        <w:t>Evolución de la jurisprudencia constitucional sobre la vertiente del derecho a la presunción de inocencia como regla de tratamiento que opera dentro y fuera del proceso penal. Frente a la tradicional reconducción al derecho al honor (art. 18 CE), la jurisprudencia constitucional afirma la autonomía del derecho a la presunción de inocencia como regla de tratamiento, que tiene por objeto salvaguardar o preservar a la persona en su condición de inocente frente a declaraciones de culpabilidad vertidas por la autoridad pública en aquellos casos en que no concurren los requisitos formales y materiales exigibles en un Estado de Derecho para realizar tal aseveración (SSTC 77/2023 y 94/2024) [FJ 4].</w:t>
      </w:r>
    </w:p>
    <w:p w14:paraId="64E7FD57" w14:textId="77777777" w:rsidR="003754FE" w:rsidRDefault="003754FE" w:rsidP="003754FE">
      <w:pPr>
        <w:pStyle w:val="Extracto"/>
      </w:pPr>
    </w:p>
    <w:p w14:paraId="10E64367" w14:textId="77777777" w:rsidR="003754FE" w:rsidRDefault="003754FE" w:rsidP="003754FE">
      <w:pPr>
        <w:pStyle w:val="Extracto"/>
      </w:pPr>
    </w:p>
    <w:p w14:paraId="739DEF1C"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668F0B81" w14:textId="13EFDA7F" w:rsidR="003754FE" w:rsidRDefault="003754FE" w:rsidP="003754FE">
      <w:pPr>
        <w:pStyle w:val="TextoNormal"/>
      </w:pPr>
    </w:p>
    <w:p w14:paraId="00C35E48" w14:textId="77777777" w:rsidR="003754FE" w:rsidRDefault="003754FE" w:rsidP="003754FE">
      <w:pPr>
        <w:pStyle w:val="TextoNormalCentrado"/>
        <w:keepNext/>
      </w:pPr>
      <w:r>
        <w:t>EN NOMBRE DEL REY</w:t>
      </w:r>
    </w:p>
    <w:p w14:paraId="2A1B1E09" w14:textId="6D5C15F6" w:rsidR="003754FE" w:rsidRDefault="003754FE" w:rsidP="003754FE">
      <w:pPr>
        <w:pStyle w:val="TextoNormalCentrado"/>
        <w:keepNext/>
      </w:pPr>
    </w:p>
    <w:p w14:paraId="642670A1" w14:textId="77777777" w:rsidR="003754FE" w:rsidRDefault="003754FE" w:rsidP="003754FE">
      <w:pPr>
        <w:pStyle w:val="TextoNormalCentrado"/>
        <w:keepNext/>
      </w:pPr>
    </w:p>
    <w:p w14:paraId="4B41A837" w14:textId="77777777" w:rsidR="003754FE" w:rsidRDefault="003754FE" w:rsidP="003754FE">
      <w:pPr>
        <w:pStyle w:val="TextoNormal"/>
      </w:pPr>
      <w:r>
        <w:t>la siguiente</w:t>
      </w:r>
    </w:p>
    <w:p w14:paraId="704770F4" w14:textId="7FC532FA" w:rsidR="003754FE" w:rsidRDefault="003754FE" w:rsidP="003754FE">
      <w:pPr>
        <w:pStyle w:val="TextoNormal"/>
      </w:pPr>
    </w:p>
    <w:p w14:paraId="26A35D75" w14:textId="77777777" w:rsidR="003754FE" w:rsidRDefault="003754FE" w:rsidP="003754FE">
      <w:pPr>
        <w:pStyle w:val="TextoNormalCentrado"/>
        <w:keepNext/>
      </w:pPr>
      <w:r>
        <w:lastRenderedPageBreak/>
        <w:t>SENTENCIA</w:t>
      </w:r>
    </w:p>
    <w:p w14:paraId="2C0F424D" w14:textId="606F3DD1" w:rsidR="003754FE" w:rsidRDefault="003754FE" w:rsidP="003754FE">
      <w:pPr>
        <w:pStyle w:val="TextoNormalCentrado"/>
        <w:keepNext/>
      </w:pPr>
    </w:p>
    <w:p w14:paraId="04FDAEEA" w14:textId="77777777" w:rsidR="003754FE" w:rsidRDefault="003754FE" w:rsidP="003754FE">
      <w:pPr>
        <w:pStyle w:val="TextoNormal"/>
      </w:pPr>
      <w:r>
        <w:t>En el recurso de amparo núm. 2239-2023, promovido por don Juan Márquez Contreras, representado por el procurador de los tribunales don Manuel Ignacio Pérez Espina, bajo la dirección del letrado don Manuel Pérez Cuajares contra: (i) la sentencia núm. 490/2019, de 19 de noviembre, dictada por la Sección Primera de la Audiencia Provincial de Sevilla en el rollo núm. 1965-2017, dimanante del procedimiento abreviado núm. 133-2016; (ii) la sentencia núm. 749/2022, de 13 de septiembre, de la Sala de lo Penal del Tribunal Supremo, dictada en el recurso de casación núm. 601-2020, y (iii) el auto de 16 de febrero de 2023 dictado en el mismo recurso. Han sido parte el Partido Popular, representado por el procurador de los tribunales don Manuel Sánchez-Puelles y González-Carvajal, bajo la dirección técnica de los letrados don Ángel Márquez Prieto y don Alfonso Martínez Escribano; don Francisco Vallejo Serrano, representado por la procuradora de los tribunales doña Patricia Rosch Iglesias, bajo la dirección técnica de la letrada doña Encarnación Molino Barrero; don Jesús María Rodríguez Román, representado por la procuradora de los tribunales doña Patricia Rosch Iglesias, bajo la dirección técnica del letrado don Luis Aparicio Díaz; don Antonio Vicente Lozano Peña y don José Antonio Griñán Martínez, representados por el procurador de los tribunales don Roberto Granizo Palomeque, bajo la dirección técnica del letrado don José María Calero Martínez. Ha intervenido el Ministerio Fiscal. Ha sido ponente la magistrada doña Inmaculada Montalbán Huertas.</w:t>
      </w:r>
    </w:p>
    <w:p w14:paraId="3E28F584" w14:textId="1BC2387C" w:rsidR="003754FE" w:rsidRDefault="003754FE" w:rsidP="003754FE">
      <w:pPr>
        <w:pStyle w:val="TextoNormal"/>
      </w:pPr>
    </w:p>
    <w:p w14:paraId="3832B2FD" w14:textId="77777777" w:rsidR="003754FE" w:rsidRDefault="003754FE" w:rsidP="003754FE">
      <w:pPr>
        <w:pStyle w:val="TextoNormalNegritaCentrado"/>
        <w:keepNext/>
      </w:pPr>
      <w:r>
        <w:t>I. Antecedentes</w:t>
      </w:r>
    </w:p>
    <w:p w14:paraId="1B5BCCF2" w14:textId="2BD22719" w:rsidR="003754FE" w:rsidRDefault="003754FE" w:rsidP="003754FE">
      <w:pPr>
        <w:pStyle w:val="TextoNormalNegritaCentrado"/>
        <w:keepNext/>
      </w:pPr>
    </w:p>
    <w:p w14:paraId="281C14FA" w14:textId="19424763" w:rsidR="003754FE" w:rsidRDefault="003754FE" w:rsidP="003754FE">
      <w:pPr>
        <w:pStyle w:val="TextoNormal"/>
      </w:pPr>
      <w:r w:rsidRPr="003754FE">
        <w:rPr>
          <w:rStyle w:val="NumeroAFNegritaCaracter"/>
        </w:rPr>
        <w:t>1</w:t>
      </w:r>
      <w:r>
        <w:t>. El 4 de abril de 2023 tuvo entrada en el registro general de este tribunal un escrito presentado por el procurador don Manuel Ignacio Pérez Espina, actuando en nombre y representación de don Juan Márquez Contreras, bajo la dirección letrada del abogado don Manuel Pérez Cuajares, mediante el que interpuso recurso de amparo contra las resoluciones judiciales que se mencionan en el encabezamiento.</w:t>
      </w:r>
    </w:p>
    <w:p w14:paraId="4A503D89" w14:textId="77777777" w:rsidR="003754FE" w:rsidRDefault="003754FE" w:rsidP="003754FE">
      <w:pPr>
        <w:pStyle w:val="TextoNormal"/>
      </w:pPr>
    </w:p>
    <w:p w14:paraId="2FC94E45" w14:textId="77777777" w:rsidR="003754FE" w:rsidRDefault="003754FE" w:rsidP="003754FE">
      <w:pPr>
        <w:pStyle w:val="TextoNormal"/>
      </w:pPr>
      <w:r w:rsidRPr="003754FE">
        <w:rPr>
          <w:rStyle w:val="NumeroAFNegritaCaracter"/>
        </w:rPr>
        <w:t>2</w:t>
      </w:r>
      <w:r>
        <w:t>. El recurso tiene sus orígenes en los siguientes antecedentes:</w:t>
      </w:r>
    </w:p>
    <w:p w14:paraId="3943853F" w14:textId="77777777" w:rsidR="003754FE" w:rsidRDefault="003754FE" w:rsidP="003754FE">
      <w:pPr>
        <w:pStyle w:val="TextoNormal"/>
      </w:pPr>
    </w:p>
    <w:p w14:paraId="0B7E5C77" w14:textId="77777777" w:rsidR="003754FE" w:rsidRDefault="003754FE" w:rsidP="003754FE">
      <w:pPr>
        <w:pStyle w:val="TextoNormal"/>
      </w:pPr>
      <w:r>
        <w:t>a) Por sentencia núm. 490/2019, de 19 de noviembre, dictada por la Sección Primera de la Audiencia Provincial de Sevilla, en el rollo núm. 1965-2017, en el marco de la denominada “pieza específica” del caso “ERE”, se condenó a diversos miembros del Consejo de Gobierno y de la administración de la Junta de Andalucía —incluyendo desde presidentes de la comunidad autónoma a directores generales— por haber intervenido, a lo largo de casi diez años, en el diseño de un sistema ilegal de concesión de ayudas sociolaborales.</w:t>
      </w:r>
    </w:p>
    <w:p w14:paraId="7454B59C" w14:textId="77777777" w:rsidR="003754FE" w:rsidRDefault="003754FE" w:rsidP="003754FE">
      <w:pPr>
        <w:pStyle w:val="TextoNormal"/>
      </w:pPr>
    </w:p>
    <w:p w14:paraId="4C7FBE2F" w14:textId="77777777" w:rsidR="003754FE" w:rsidRDefault="003754FE" w:rsidP="003754FE">
      <w:pPr>
        <w:pStyle w:val="TextoNormal"/>
      </w:pPr>
      <w:r>
        <w:t>Según el resumen efectuado por la Sala de lo Penal del Tribunal Supremo en la sentencia de casación (folios 97 y siguientes) los hechos en los que se habría articulado el sistema de concesión ilegal de ayudas sociolaborales se dividirían en tres etapas diferentes:</w:t>
      </w:r>
    </w:p>
    <w:p w14:paraId="0A2F5E04" w14:textId="77777777" w:rsidR="003754FE" w:rsidRDefault="003754FE" w:rsidP="003754FE">
      <w:pPr>
        <w:pStyle w:val="TextoNormal"/>
      </w:pPr>
    </w:p>
    <w:p w14:paraId="01234ECD" w14:textId="77777777" w:rsidR="003754FE" w:rsidRDefault="003754FE" w:rsidP="003754FE">
      <w:pPr>
        <w:pStyle w:val="TextoNormal"/>
      </w:pPr>
      <w:r>
        <w:t>“I) Primera etapa</w:t>
      </w:r>
    </w:p>
    <w:p w14:paraId="14386CAB" w14:textId="77777777" w:rsidR="003754FE" w:rsidRDefault="003754FE" w:rsidP="003754FE">
      <w:pPr>
        <w:pStyle w:val="TextoNormal"/>
      </w:pPr>
    </w:p>
    <w:p w14:paraId="73D06F1A" w14:textId="77777777" w:rsidR="003754FE" w:rsidRDefault="003754FE" w:rsidP="003754FE">
      <w:pPr>
        <w:pStyle w:val="TextoNormal"/>
      </w:pPr>
      <w:r>
        <w:t xml:space="preserve">Hasta el año 2000 y para dar respuesta a las situaciones de crisis económicas de empresas radicadas en Andalucía la Junta de Andalucía, a través de los presupuestos que gestionaba la Consejería de Empleo y Desarrollo Tecnológico, articuló un sistema de ayudas para </w:t>
      </w:r>
      <w:r>
        <w:lastRenderedPageBreak/>
        <w:t>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05 de abril de 1995, del Ministerio de Trabajo y Seguridad Social).</w:t>
      </w:r>
    </w:p>
    <w:p w14:paraId="1456E4AD" w14:textId="77777777" w:rsidR="003754FE" w:rsidRDefault="003754FE" w:rsidP="003754FE">
      <w:pPr>
        <w:pStyle w:val="TextoNormal"/>
      </w:pPr>
    </w:p>
    <w:p w14:paraId="6882D659" w14:textId="77777777" w:rsidR="003754FE" w:rsidRDefault="003754FE" w:rsidP="003754FE">
      <w:pPr>
        <w:pStyle w:val="TextoNormal"/>
      </w:pPr>
      <w:r>
        <w:t>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14:paraId="2AFB36CA" w14:textId="77777777" w:rsidR="003754FE" w:rsidRDefault="003754FE" w:rsidP="003754FE">
      <w:pPr>
        <w:pStyle w:val="TextoNormal"/>
      </w:pPr>
    </w:p>
    <w:p w14:paraId="2F5D1196" w14:textId="77777777" w:rsidR="003754FE" w:rsidRDefault="003754FE" w:rsidP="003754FE">
      <w:pPr>
        <w:pStyle w:val="TextoNormal"/>
      </w:pPr>
      <w:r>
        <w:t>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14:paraId="456340F6" w14:textId="77777777" w:rsidR="003754FE" w:rsidRDefault="003754FE" w:rsidP="003754FE">
      <w:pPr>
        <w:pStyle w:val="TextoNormal"/>
      </w:pPr>
    </w:p>
    <w:p w14:paraId="1D5BB9C2" w14:textId="77777777" w:rsidR="003754FE" w:rsidRDefault="003754FE" w:rsidP="003754FE">
      <w:pPr>
        <w:pStyle w:val="TextoNormal"/>
      </w:pPr>
      <w:r>
        <w:t>La sentencia en sus distintos fundamentos jurídicos, singularmente el séptimo, declara que estas ayudas, que suponían la disposición gratuita de fondos públicas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14:paraId="7AA21860" w14:textId="77777777" w:rsidR="003754FE" w:rsidRDefault="003754FE" w:rsidP="003754FE">
      <w:pPr>
        <w:pStyle w:val="TextoNormal"/>
      </w:pPr>
    </w:p>
    <w:p w14:paraId="60756E3D" w14:textId="77777777" w:rsidR="003754FE" w:rsidRDefault="003754FE" w:rsidP="003754FE">
      <w:pPr>
        <w:pStyle w:val="TextoNormal"/>
      </w:pPr>
      <w:r>
        <w:t>Sin perjuicio de ahondar más adelante en el régimen jurídico aplicable a estas ayudas, las notas más relevantes de esta regulación eran las siguientes:</w:t>
      </w:r>
    </w:p>
    <w:p w14:paraId="36135694" w14:textId="77777777" w:rsidR="003754FE" w:rsidRDefault="003754FE" w:rsidP="003754FE">
      <w:pPr>
        <w:pStyle w:val="TextoNormal"/>
      </w:pPr>
    </w:p>
    <w:p w14:paraId="75939F1D" w14:textId="77777777" w:rsidR="003754FE" w:rsidRDefault="003754FE" w:rsidP="003754FE">
      <w:pPr>
        <w:pStyle w:val="TextoNormal"/>
      </w:pPr>
      <w:r>
        <w:t>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14:paraId="6E5B9B3D" w14:textId="77777777" w:rsidR="003754FE" w:rsidRDefault="003754FE" w:rsidP="003754FE">
      <w:pPr>
        <w:pStyle w:val="TextoNormal"/>
      </w:pPr>
    </w:p>
    <w:p w14:paraId="239259E2" w14:textId="77777777" w:rsidR="003754FE" w:rsidRDefault="003754FE" w:rsidP="003754FE">
      <w:pPr>
        <w:pStyle w:val="TextoNormal"/>
      </w:pPr>
      <w:r>
        <w:t>Los beneficiarios de la subvención quedaban sujetos a las siguientes obligaciones:</w:t>
      </w:r>
    </w:p>
    <w:p w14:paraId="46CB9AF2" w14:textId="77777777" w:rsidR="003754FE" w:rsidRDefault="003754FE" w:rsidP="003754FE">
      <w:pPr>
        <w:pStyle w:val="TextoNormal"/>
      </w:pPr>
    </w:p>
    <w:p w14:paraId="10B8297D" w14:textId="77777777" w:rsidR="003754FE" w:rsidRDefault="003754FE" w:rsidP="003754FE">
      <w:pPr>
        <w:pStyle w:val="TextoNormal"/>
      </w:pPr>
      <w:r>
        <w:t>(i) Realizar la actividad o adoptar el comportamiento que fundamente la concesión de la subvención en la forma y plazos establecidos.</w:t>
      </w:r>
    </w:p>
    <w:p w14:paraId="50B37BA4" w14:textId="77777777" w:rsidR="003754FE" w:rsidRDefault="003754FE" w:rsidP="003754FE">
      <w:pPr>
        <w:pStyle w:val="TextoNormal"/>
      </w:pPr>
    </w:p>
    <w:p w14:paraId="4BCF0497" w14:textId="77777777" w:rsidR="003754FE" w:rsidRDefault="003754FE" w:rsidP="003754FE">
      <w:pPr>
        <w:pStyle w:val="TextoNormal"/>
      </w:pPr>
      <w:r>
        <w:t>(ii) Justificar ante la entidad concedente o, en su caso, la entidad colaboradora la realización de la actividad o la adopción del comportamiento, así como el cumplimiento de los requisitos y condiciones que determinen la concesión o disfrute de la subvención.</w:t>
      </w:r>
    </w:p>
    <w:p w14:paraId="15AD116C" w14:textId="77777777" w:rsidR="003754FE" w:rsidRDefault="003754FE" w:rsidP="003754FE">
      <w:pPr>
        <w:pStyle w:val="TextoNormal"/>
      </w:pPr>
    </w:p>
    <w:p w14:paraId="2C9D3889" w14:textId="77777777" w:rsidR="003754FE" w:rsidRDefault="003754FE" w:rsidP="003754FE">
      <w:pPr>
        <w:pStyle w:val="TextoNormal"/>
      </w:pPr>
      <w:r>
        <w:t xml:space="preserve">(iii) El sometimiento a las actuaciones de comprobación, a efectuar por la entidad concedente o la entidad colaboradora, en su caso, y a las de control financiero que corresponden a la Intervención General de la Junta de Andalucía, en relación con las subvenciones y </w:t>
      </w:r>
      <w:r>
        <w:lastRenderedPageBreak/>
        <w:t>ayudas concedidas, y a las previstas en la legislación del Tribunal de Cuentas y de la Cámara de Cuentas de Andalucía.</w:t>
      </w:r>
    </w:p>
    <w:p w14:paraId="48D0113F" w14:textId="77777777" w:rsidR="003754FE" w:rsidRDefault="003754FE" w:rsidP="003754FE">
      <w:pPr>
        <w:pStyle w:val="TextoNormal"/>
      </w:pPr>
    </w:p>
    <w:p w14:paraId="45770781" w14:textId="77777777" w:rsidR="003754FE" w:rsidRDefault="003754FE" w:rsidP="003754FE">
      <w:pPr>
        <w:pStyle w:val="TextoNormal"/>
      </w:pPr>
      <w:r>
        <w:t>(iv)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14:paraId="5E5AB66F" w14:textId="77777777" w:rsidR="003754FE" w:rsidRDefault="003754FE" w:rsidP="003754FE">
      <w:pPr>
        <w:pStyle w:val="TextoNormal"/>
      </w:pPr>
    </w:p>
    <w:p w14:paraId="4BFB441C" w14:textId="77777777" w:rsidR="003754FE" w:rsidRDefault="003754FE" w:rsidP="003754FE">
      <w:pPr>
        <w:pStyle w:val="TextoNormal"/>
      </w:pPr>
      <w:r>
        <w:t>(v)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14:paraId="60D8BE5A" w14:textId="77777777" w:rsidR="003754FE" w:rsidRDefault="003754FE" w:rsidP="003754FE">
      <w:pPr>
        <w:pStyle w:val="TextoNormal"/>
      </w:pPr>
    </w:p>
    <w:p w14:paraId="2B889402" w14:textId="77777777" w:rsidR="003754FE" w:rsidRDefault="003754FE" w:rsidP="003754FE">
      <w:pPr>
        <w:pStyle w:val="TextoNormal"/>
      </w:pPr>
      <w:r>
        <w:t>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14:paraId="51D9D0AD" w14:textId="77777777" w:rsidR="003754FE" w:rsidRDefault="003754FE" w:rsidP="003754FE">
      <w:pPr>
        <w:pStyle w:val="TextoNormal"/>
      </w:pPr>
    </w:p>
    <w:p w14:paraId="6E07016F" w14:textId="77777777" w:rsidR="003754FE" w:rsidRDefault="003754FE" w:rsidP="003754FE">
      <w:pPr>
        <w:pStyle w:val="TextoNormal"/>
      </w:pPr>
      <w:r>
        <w:t>En las bases reguladoras se podía disponer que la entrega fuera realizada por entidades colaboradoras. Las empresas públicas de Andalucía podían ser entidades colaboradoras y también se establecía a su cargo las siguientes obligaciones:</w:t>
      </w:r>
    </w:p>
    <w:p w14:paraId="25341D93" w14:textId="77777777" w:rsidR="003754FE" w:rsidRDefault="003754FE" w:rsidP="003754FE">
      <w:pPr>
        <w:pStyle w:val="TextoNormal"/>
      </w:pPr>
    </w:p>
    <w:p w14:paraId="7464BC7D" w14:textId="77777777" w:rsidR="003754FE" w:rsidRDefault="003754FE" w:rsidP="003754FE">
      <w:pPr>
        <w:pStyle w:val="TextoNormal"/>
      </w:pPr>
      <w:r>
        <w:t>(i) Entregar a los beneficiarios los fondos recibidos de acuerdo con los criterios establecidos en las normas reguladoras de la subvención o ayuda.</w:t>
      </w:r>
    </w:p>
    <w:p w14:paraId="2F84F87A" w14:textId="77777777" w:rsidR="003754FE" w:rsidRDefault="003754FE" w:rsidP="003754FE">
      <w:pPr>
        <w:pStyle w:val="TextoNormal"/>
      </w:pPr>
    </w:p>
    <w:p w14:paraId="133B531E" w14:textId="77777777" w:rsidR="003754FE" w:rsidRDefault="003754FE" w:rsidP="003754FE">
      <w:pPr>
        <w:pStyle w:val="TextoNormal"/>
      </w:pPr>
      <w:r>
        <w:t>(ii) Verificar, en su caso, el cumplimiento y efectividad de las condiciones determinantes para su otorgamiento.</w:t>
      </w:r>
    </w:p>
    <w:p w14:paraId="528753B1" w14:textId="77777777" w:rsidR="003754FE" w:rsidRDefault="003754FE" w:rsidP="003754FE">
      <w:pPr>
        <w:pStyle w:val="TextoNormal"/>
      </w:pPr>
    </w:p>
    <w:p w14:paraId="49B1136F" w14:textId="77777777" w:rsidR="003754FE" w:rsidRDefault="003754FE" w:rsidP="003754FE">
      <w:pPr>
        <w:pStyle w:val="TextoNormal"/>
      </w:pPr>
      <w:r>
        <w:t>(iii) Justificar la aplicación de los fondos recibidos ante la entidad concedente y, en su caso, entregar la justificación presentada por los beneficiarios.</w:t>
      </w:r>
    </w:p>
    <w:p w14:paraId="187C9CBA" w14:textId="77777777" w:rsidR="003754FE" w:rsidRDefault="003754FE" w:rsidP="003754FE">
      <w:pPr>
        <w:pStyle w:val="TextoNormal"/>
      </w:pPr>
    </w:p>
    <w:p w14:paraId="14C4F4E6" w14:textId="77777777" w:rsidR="003754FE" w:rsidRDefault="003754FE" w:rsidP="003754FE">
      <w:pPr>
        <w:pStyle w:val="TextoNormal"/>
      </w:pPr>
      <w:r>
        <w:t>(iv)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14:paraId="3F48CCD8" w14:textId="77777777" w:rsidR="003754FE" w:rsidRDefault="003754FE" w:rsidP="003754FE">
      <w:pPr>
        <w:pStyle w:val="TextoNormal"/>
      </w:pPr>
    </w:p>
    <w:p w14:paraId="4CD25FDB" w14:textId="77777777" w:rsidR="003754FE" w:rsidRDefault="003754FE" w:rsidP="003754FE">
      <w:pPr>
        <w:pStyle w:val="TextoNormal"/>
      </w:pPr>
      <w:r>
        <w:t>(v) Colaborar en la restitución de las subvenciones otorgadas en los supuestos en que concurra causa de reintegro, y conforme a las normas que se establezcan (artículo 106).</w:t>
      </w:r>
    </w:p>
    <w:p w14:paraId="44BB0CD9" w14:textId="77777777" w:rsidR="003754FE" w:rsidRDefault="003754FE" w:rsidP="003754FE">
      <w:pPr>
        <w:pStyle w:val="TextoNormal"/>
      </w:pPr>
    </w:p>
    <w:p w14:paraId="55B2770A" w14:textId="77777777" w:rsidR="003754FE" w:rsidRDefault="003754FE" w:rsidP="003754FE">
      <w:pPr>
        <w:pStyle w:val="TextoNormal"/>
      </w:pPr>
      <w:r>
        <w:t>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14:paraId="678AF4D7" w14:textId="77777777" w:rsidR="003754FE" w:rsidRDefault="003754FE" w:rsidP="003754FE">
      <w:pPr>
        <w:pStyle w:val="TextoNormal"/>
      </w:pPr>
    </w:p>
    <w:p w14:paraId="7F4982BD" w14:textId="77777777" w:rsidR="003754FE" w:rsidRDefault="003754FE" w:rsidP="003754FE">
      <w:pPr>
        <w:pStyle w:val="TextoNormal"/>
      </w:pPr>
      <w:r>
        <w:t>Los proyectos de normas reguladoras de la concesión de subvenciones debían ser sometidos a informe de la Intervención General de la Junta de Andalucía, antes de su aprobación, y publicados en el ‘Boletín Oficial de la Junta de Andalucía’ (artículo 107).</w:t>
      </w:r>
    </w:p>
    <w:p w14:paraId="4FF3C1AF" w14:textId="77777777" w:rsidR="003754FE" w:rsidRDefault="003754FE" w:rsidP="003754FE">
      <w:pPr>
        <w:pStyle w:val="TextoNormal"/>
      </w:pPr>
    </w:p>
    <w:p w14:paraId="2311697E" w14:textId="77777777" w:rsidR="003754FE" w:rsidRDefault="003754FE" w:rsidP="003754FE">
      <w:pPr>
        <w:pStyle w:val="TextoNormal"/>
      </w:pPr>
      <w:r>
        <w:t>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w:t>
      </w:r>
      <w:r w:rsidRPr="003754FE">
        <w:rPr>
          <w:i/>
        </w:rPr>
        <w:t xml:space="preserve"> 85</w:t>
      </w:r>
      <w:r>
        <w:t xml:space="preserve"> bis de la citada ley.</w:t>
      </w:r>
    </w:p>
    <w:p w14:paraId="60BE30D5" w14:textId="77777777" w:rsidR="003754FE" w:rsidRDefault="003754FE" w:rsidP="003754FE">
      <w:pPr>
        <w:pStyle w:val="TextoNormal"/>
      </w:pPr>
    </w:p>
    <w:p w14:paraId="51DB4EAA" w14:textId="77777777" w:rsidR="003754FE" w:rsidRDefault="003754FE" w:rsidP="003754FE">
      <w:pPr>
        <w:pStyle w:val="TextoNormal"/>
      </w:pPr>
      <w:r>
        <w:t>II) Segunda etapa</w:t>
      </w:r>
    </w:p>
    <w:p w14:paraId="0AE584B4" w14:textId="77777777" w:rsidR="003754FE" w:rsidRDefault="003754FE" w:rsidP="003754FE">
      <w:pPr>
        <w:pStyle w:val="TextoNormal"/>
      </w:pPr>
    </w:p>
    <w:p w14:paraId="057C18D3" w14:textId="77777777" w:rsidR="003754FE" w:rsidRDefault="003754FE" w:rsidP="003754FE">
      <w:pPr>
        <w:pStyle w:val="TextoNormal"/>
      </w:pPr>
      <w:r>
        <w:t>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14:paraId="6313DEEF" w14:textId="77777777" w:rsidR="003754FE" w:rsidRDefault="003754FE" w:rsidP="003754FE">
      <w:pPr>
        <w:pStyle w:val="TextoNormal"/>
      </w:pPr>
    </w:p>
    <w:p w14:paraId="4E8628B1" w14:textId="77777777" w:rsidR="003754FE" w:rsidRDefault="003754FE" w:rsidP="003754FE">
      <w:pPr>
        <w:pStyle w:val="TextoNormal"/>
      </w:pPr>
      <w:r>
        <w:t>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14:paraId="59EB10DB" w14:textId="77777777" w:rsidR="003754FE" w:rsidRDefault="003754FE" w:rsidP="003754FE">
      <w:pPr>
        <w:pStyle w:val="TextoNormal"/>
      </w:pPr>
    </w:p>
    <w:p w14:paraId="438FB76E" w14:textId="77777777" w:rsidR="003754FE" w:rsidRDefault="003754FE" w:rsidP="003754FE">
      <w:pPr>
        <w:pStyle w:val="TextoNormal"/>
      </w:pPr>
      <w:r>
        <w:t>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14:paraId="0062C321" w14:textId="77777777" w:rsidR="003754FE" w:rsidRDefault="003754FE" w:rsidP="003754FE">
      <w:pPr>
        <w:pStyle w:val="TextoNormal"/>
      </w:pPr>
    </w:p>
    <w:p w14:paraId="7D330F20" w14:textId="77777777" w:rsidR="003754FE" w:rsidRDefault="003754FE" w:rsidP="003754FE">
      <w:pPr>
        <w:pStyle w:val="TextoNormal"/>
      </w:pPr>
      <w:r>
        <w:t>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14:paraId="446802C4" w14:textId="77777777" w:rsidR="003754FE" w:rsidRDefault="003754FE" w:rsidP="003754FE">
      <w:pPr>
        <w:pStyle w:val="TextoNormal"/>
      </w:pPr>
    </w:p>
    <w:p w14:paraId="091F5B70" w14:textId="77777777" w:rsidR="003754FE" w:rsidRDefault="003754FE" w:rsidP="003754FE">
      <w:pPr>
        <w:pStyle w:val="TextoNormal"/>
      </w:pPr>
      <w:r>
        <w:t>Ante las dificultades surgidas, en abril de 2000 se procedió a una modificación presupuestaria, bajo la iniciativa de la Consejería de Empleo. Se modificó la clasificación económica del gasto.</w:t>
      </w:r>
    </w:p>
    <w:p w14:paraId="095223B1" w14:textId="77777777" w:rsidR="003754FE" w:rsidRDefault="003754FE" w:rsidP="003754FE">
      <w:pPr>
        <w:pStyle w:val="TextoNormal"/>
      </w:pPr>
    </w:p>
    <w:p w14:paraId="5A6AF480" w14:textId="77777777" w:rsidR="003754FE" w:rsidRDefault="003754FE" w:rsidP="003754FE">
      <w:pPr>
        <w:pStyle w:val="TextoNormal"/>
      </w:pPr>
      <w:r>
        <w:t>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14:paraId="3885C635" w14:textId="77777777" w:rsidR="003754FE" w:rsidRDefault="003754FE" w:rsidP="003754FE">
      <w:pPr>
        <w:pStyle w:val="TextoNormal"/>
      </w:pPr>
    </w:p>
    <w:p w14:paraId="15B1E533" w14:textId="77777777" w:rsidR="003754FE" w:rsidRDefault="003754FE" w:rsidP="003754FE">
      <w:pPr>
        <w:pStyle w:val="TextoNormal"/>
      </w:pPr>
      <w:r>
        <w:lastRenderedPageBreak/>
        <w:t>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14:paraId="33DC5365" w14:textId="77777777" w:rsidR="003754FE" w:rsidRDefault="003754FE" w:rsidP="003754FE">
      <w:pPr>
        <w:pStyle w:val="TextoNormal"/>
      </w:pPr>
    </w:p>
    <w:p w14:paraId="3A247455" w14:textId="77777777" w:rsidR="003754FE" w:rsidRDefault="003754FE" w:rsidP="003754FE">
      <w:pPr>
        <w:pStyle w:val="TextoNormal"/>
      </w:pPr>
      <w:r>
        <w:t>En vez de aprobar una nueva normativa o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14:paraId="5A31EB14" w14:textId="77777777" w:rsidR="003754FE" w:rsidRDefault="003754FE" w:rsidP="003754FE">
      <w:pPr>
        <w:pStyle w:val="TextoNormal"/>
      </w:pPr>
    </w:p>
    <w:p w14:paraId="0017633B" w14:textId="77777777" w:rsidR="003754FE" w:rsidRDefault="003754FE" w:rsidP="003754FE">
      <w:pPr>
        <w:pStyle w:val="TextoNormal"/>
      </w:pPr>
      <w:r>
        <w:t>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14:paraId="549CDFBA" w14:textId="77777777" w:rsidR="003754FE" w:rsidRDefault="003754FE" w:rsidP="003754FE">
      <w:pPr>
        <w:pStyle w:val="TextoNormal"/>
      </w:pPr>
    </w:p>
    <w:p w14:paraId="2104BB68" w14:textId="77777777" w:rsidR="003754FE" w:rsidRDefault="003754FE" w:rsidP="003754FE">
      <w:pPr>
        <w:pStyle w:val="TextoNormal"/>
      </w:pPr>
      <w:r>
        <w:t>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w:t>
      </w:r>
      <w:r w:rsidRPr="003754FE">
        <w:rPr>
          <w:i/>
        </w:rPr>
        <w:t>o a posterio</w:t>
      </w:r>
      <w:r>
        <w:t>ri.</w:t>
      </w:r>
    </w:p>
    <w:p w14:paraId="16D3AF55" w14:textId="77777777" w:rsidR="003754FE" w:rsidRDefault="003754FE" w:rsidP="003754FE">
      <w:pPr>
        <w:pStyle w:val="TextoNormal"/>
      </w:pPr>
    </w:p>
    <w:p w14:paraId="6BAFDAC8" w14:textId="77777777" w:rsidR="003754FE" w:rsidRDefault="003754FE" w:rsidP="003754FE">
      <w:pPr>
        <w:pStyle w:val="TextoNormal"/>
      </w:pPr>
      <w:r>
        <w:t>En efecto, el expediente de las transferencias de financiación no precisa la identificación de los destinatarios de las ayudas. Únicamente requiere consignar:</w:t>
      </w:r>
    </w:p>
    <w:p w14:paraId="5F70704C" w14:textId="77777777" w:rsidR="003754FE" w:rsidRDefault="003754FE" w:rsidP="003754FE">
      <w:pPr>
        <w:pStyle w:val="TextoNormal"/>
      </w:pPr>
    </w:p>
    <w:p w14:paraId="0DD8479E" w14:textId="77777777" w:rsidR="003754FE" w:rsidRDefault="003754FE" w:rsidP="003754FE">
      <w:pPr>
        <w:pStyle w:val="TextoNormal"/>
      </w:pPr>
      <w:r>
        <w:t>(i) La propuesta de resolución del órgano competente autorizando la transferencia.</w:t>
      </w:r>
    </w:p>
    <w:p w14:paraId="61A0C4E4" w14:textId="77777777" w:rsidR="003754FE" w:rsidRDefault="003754FE" w:rsidP="003754FE">
      <w:pPr>
        <w:pStyle w:val="TextoNormal"/>
      </w:pPr>
    </w:p>
    <w:p w14:paraId="0BC63285" w14:textId="77777777" w:rsidR="003754FE" w:rsidRDefault="003754FE" w:rsidP="003754FE">
      <w:pPr>
        <w:pStyle w:val="TextoNormal"/>
      </w:pPr>
      <w:r>
        <w:t>(ii) El calendario de pagos aprobado por la Dirección General de Tesorería.</w:t>
      </w:r>
    </w:p>
    <w:p w14:paraId="2B79132E" w14:textId="77777777" w:rsidR="003754FE" w:rsidRDefault="003754FE" w:rsidP="003754FE">
      <w:pPr>
        <w:pStyle w:val="TextoNormal"/>
      </w:pPr>
    </w:p>
    <w:p w14:paraId="6E914B7C" w14:textId="77777777" w:rsidR="003754FE" w:rsidRDefault="003754FE" w:rsidP="003754FE">
      <w:pPr>
        <w:pStyle w:val="TextoNormal"/>
      </w:pPr>
      <w:r>
        <w:t>(iii) Los documentos contables acreditativos de la consignación presupuestaria y el programa de actuación (PAIF) publicado en el ‘Boletín Oficial de la Junta de Andalucía’ por orden de la Consejería de Hacienda.</w:t>
      </w:r>
    </w:p>
    <w:p w14:paraId="2A5AC409" w14:textId="77777777" w:rsidR="003754FE" w:rsidRDefault="003754FE" w:rsidP="003754FE">
      <w:pPr>
        <w:pStyle w:val="TextoNormal"/>
      </w:pPr>
    </w:p>
    <w:p w14:paraId="51536B9B" w14:textId="77777777" w:rsidR="003754FE" w:rsidRDefault="003754FE" w:rsidP="003754FE">
      <w:pPr>
        <w:pStyle w:val="TextoNormal"/>
      </w:pPr>
      <w:r>
        <w:t>Y en la fiscalización posterior de la actividad del IFA, realizada a través del llamado ‘control financiero permanente’, conforme a lo previsto en el […] Decreto 9/1999, de 19 de enero, únicamente tenía un triple objetivo:</w:t>
      </w:r>
    </w:p>
    <w:p w14:paraId="171CB08F" w14:textId="77777777" w:rsidR="003754FE" w:rsidRDefault="003754FE" w:rsidP="003754FE">
      <w:pPr>
        <w:pStyle w:val="TextoNormal"/>
      </w:pPr>
    </w:p>
    <w:p w14:paraId="2B15F1D0" w14:textId="77777777" w:rsidR="003754FE" w:rsidRDefault="003754FE" w:rsidP="003754FE">
      <w:pPr>
        <w:pStyle w:val="TextoNormal"/>
      </w:pPr>
      <w:r>
        <w:t>(i) Comprobar el cumplimiento de la legalidad;</w:t>
      </w:r>
    </w:p>
    <w:p w14:paraId="58B1AE95" w14:textId="77777777" w:rsidR="003754FE" w:rsidRDefault="003754FE" w:rsidP="003754FE">
      <w:pPr>
        <w:pStyle w:val="TextoNormal"/>
      </w:pPr>
    </w:p>
    <w:p w14:paraId="51FB1A23" w14:textId="77777777" w:rsidR="003754FE" w:rsidRDefault="003754FE" w:rsidP="003754FE">
      <w:pPr>
        <w:pStyle w:val="TextoNormal"/>
      </w:pPr>
      <w:r>
        <w:t>(ii) examinar las cuentas anuales y</w:t>
      </w:r>
    </w:p>
    <w:p w14:paraId="474213E3" w14:textId="77777777" w:rsidR="003754FE" w:rsidRDefault="003754FE" w:rsidP="003754FE">
      <w:pPr>
        <w:pStyle w:val="TextoNormal"/>
      </w:pPr>
    </w:p>
    <w:p w14:paraId="1D1A82AA" w14:textId="77777777" w:rsidR="003754FE" w:rsidRDefault="003754FE" w:rsidP="003754FE">
      <w:pPr>
        <w:pStyle w:val="TextoNormal"/>
      </w:pPr>
      <w:r>
        <w:t>(iii) examinar críticamente la gestión de los programas asignados al Instituto. Este control no tenía utilidad alguna para conocer el destino de las subvenciones, dado que se limitaba al control de la transferencia.</w:t>
      </w:r>
    </w:p>
    <w:p w14:paraId="0C8EB8EC" w14:textId="77777777" w:rsidR="003754FE" w:rsidRDefault="003754FE" w:rsidP="003754FE">
      <w:pPr>
        <w:pStyle w:val="TextoNormal"/>
      </w:pPr>
    </w:p>
    <w:p w14:paraId="53B5BA6E" w14:textId="77777777" w:rsidR="003754FE" w:rsidRDefault="003754FE" w:rsidP="003754FE">
      <w:pPr>
        <w:pStyle w:val="TextoNormal"/>
      </w:pPr>
      <w:r>
        <w:lastRenderedPageBreak/>
        <w:t>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(07 de mayo de 2001, 29 de mayo de 2001, 18 de septiembre de 2001, 3 de noviembre de 2001 y 5 de diciembre de 2001) por importe, respectivamente, de 500, 5573, 1225, 660 y 6355 millones de pesetas.</w:t>
      </w:r>
    </w:p>
    <w:p w14:paraId="781F4467" w14:textId="77777777" w:rsidR="003754FE" w:rsidRDefault="003754FE" w:rsidP="003754FE">
      <w:pPr>
        <w:pStyle w:val="TextoNormal"/>
      </w:pPr>
    </w:p>
    <w:p w14:paraId="50F1F93E" w14:textId="77777777" w:rsidR="003754FE" w:rsidRDefault="003754FE" w:rsidP="003754FE">
      <w:pPr>
        <w:pStyle w:val="TextoNormal"/>
      </w:pPr>
      <w:r>
        <w:t>Hasta el mes de julio de 2001 los fondos recibidos por el IFA eran movilizados al destinatario final mediante la suscripción de convenios particulares entre la Consejería de Empleo y el IFA. El 07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14:paraId="34E7DB1D" w14:textId="77777777" w:rsidR="003754FE" w:rsidRDefault="003754FE" w:rsidP="003754FE">
      <w:pPr>
        <w:pStyle w:val="TextoNormal"/>
      </w:pPr>
    </w:p>
    <w:p w14:paraId="3EEE73E0" w14:textId="77777777" w:rsidR="003754FE" w:rsidRDefault="003754FE" w:rsidP="003754FE">
      <w:pPr>
        <w:pStyle w:val="TextoNormal"/>
      </w:pPr>
      <w:r>
        <w:t>El convenio marco no fue publicado en el ‘Boletín Oficial de la Junta de Andalucía’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14:paraId="2157A99E" w14:textId="77777777" w:rsidR="003754FE" w:rsidRDefault="003754FE" w:rsidP="003754FE">
      <w:pPr>
        <w:pStyle w:val="TextoNormal"/>
      </w:pPr>
    </w:p>
    <w:p w14:paraId="67D9C05B" w14:textId="77777777" w:rsidR="003754FE" w:rsidRDefault="003754FE" w:rsidP="003754FE">
      <w:pPr>
        <w:pStyle w:val="TextoNormal"/>
      </w:pPr>
      <w:r>
        <w:t>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14:paraId="6F24B2C4" w14:textId="77777777" w:rsidR="003754FE" w:rsidRDefault="003754FE" w:rsidP="003754FE">
      <w:pPr>
        <w:pStyle w:val="TextoNormal"/>
      </w:pPr>
    </w:p>
    <w:p w14:paraId="147B8C8F" w14:textId="77777777" w:rsidR="003754FE" w:rsidRDefault="003754FE" w:rsidP="003754FE">
      <w:pPr>
        <w:pStyle w:val="TextoNormal"/>
      </w:pPr>
      <w:r>
        <w:t>Por tanto, utilizando el criterio de presupuestación a que antes nos hemos referido se incluyeron las siguientes partidas presupuestarias:</w:t>
      </w:r>
    </w:p>
    <w:p w14:paraId="4A526767" w14:textId="77777777" w:rsidR="003754FE" w:rsidRDefault="003754FE" w:rsidP="003754FE">
      <w:pPr>
        <w:pStyle w:val="TextoNormal"/>
      </w:pPr>
    </w:p>
    <w:p w14:paraId="313056CE" w14:textId="77777777" w:rsidR="003754FE" w:rsidRDefault="003754FE" w:rsidP="003754FE">
      <w:pPr>
        <w:pStyle w:val="TextoNormal"/>
      </w:pPr>
      <w:r>
        <w:t>- En 2002: 34 341 351 €.</w:t>
      </w:r>
    </w:p>
    <w:p w14:paraId="6DA23559" w14:textId="77777777" w:rsidR="003754FE" w:rsidRDefault="003754FE" w:rsidP="003754FE">
      <w:pPr>
        <w:pStyle w:val="TextoNormal"/>
      </w:pPr>
    </w:p>
    <w:p w14:paraId="3ABA0E20" w14:textId="77777777" w:rsidR="003754FE" w:rsidRDefault="003754FE" w:rsidP="003754FE">
      <w:pPr>
        <w:pStyle w:val="TextoNormal"/>
      </w:pPr>
      <w:r>
        <w:t>- En 2003: 55 646 899 €.</w:t>
      </w:r>
    </w:p>
    <w:p w14:paraId="7637B205" w14:textId="77777777" w:rsidR="003754FE" w:rsidRDefault="003754FE" w:rsidP="003754FE">
      <w:pPr>
        <w:pStyle w:val="TextoNormal"/>
      </w:pPr>
    </w:p>
    <w:p w14:paraId="706BD711" w14:textId="77777777" w:rsidR="003754FE" w:rsidRDefault="003754FE" w:rsidP="003754FE">
      <w:pPr>
        <w:pStyle w:val="TextoNormal"/>
      </w:pPr>
      <w:r>
        <w:t>- En 2004: 46 146 389 €. [En este ejercicio el IFA cambió su denominación por Agencia de Innovación y Desarrollo de Andalucía (IDEA) y pasó a estar adscrito a la Consejería de Innovación, Ciencia y Empresa].</w:t>
      </w:r>
    </w:p>
    <w:p w14:paraId="07102719" w14:textId="77777777" w:rsidR="003754FE" w:rsidRDefault="003754FE" w:rsidP="003754FE">
      <w:pPr>
        <w:pStyle w:val="TextoNormal"/>
      </w:pPr>
    </w:p>
    <w:p w14:paraId="709E5E58" w14:textId="77777777" w:rsidR="003754FE" w:rsidRDefault="003754FE" w:rsidP="003754FE">
      <w:pPr>
        <w:pStyle w:val="TextoNormal"/>
      </w:pPr>
      <w:r>
        <w:t>- En 2005: 72 261 575 €.</w:t>
      </w:r>
    </w:p>
    <w:p w14:paraId="50A86567" w14:textId="77777777" w:rsidR="003754FE" w:rsidRDefault="003754FE" w:rsidP="003754FE">
      <w:pPr>
        <w:pStyle w:val="TextoNormal"/>
      </w:pPr>
    </w:p>
    <w:p w14:paraId="2A575800" w14:textId="77777777" w:rsidR="003754FE" w:rsidRDefault="003754FE" w:rsidP="003754FE">
      <w:pPr>
        <w:pStyle w:val="TextoNormal"/>
      </w:pPr>
      <w:r>
        <w:t>- En 2006: 77 291 000 €.</w:t>
      </w:r>
    </w:p>
    <w:p w14:paraId="398B976D" w14:textId="77777777" w:rsidR="003754FE" w:rsidRDefault="003754FE" w:rsidP="003754FE">
      <w:pPr>
        <w:pStyle w:val="TextoNormal"/>
      </w:pPr>
    </w:p>
    <w:p w14:paraId="2D0E9BA8" w14:textId="77777777" w:rsidR="003754FE" w:rsidRDefault="003754FE" w:rsidP="003754FE">
      <w:pPr>
        <w:pStyle w:val="TextoNormal"/>
      </w:pPr>
      <w:r>
        <w:t>- En 2007: 79 207 500 €.</w:t>
      </w:r>
    </w:p>
    <w:p w14:paraId="6AB21EB7" w14:textId="77777777" w:rsidR="003754FE" w:rsidRDefault="003754FE" w:rsidP="003754FE">
      <w:pPr>
        <w:pStyle w:val="TextoNormal"/>
      </w:pPr>
    </w:p>
    <w:p w14:paraId="1FFD9F56" w14:textId="77777777" w:rsidR="003754FE" w:rsidRDefault="003754FE" w:rsidP="003754FE">
      <w:pPr>
        <w:pStyle w:val="TextoNormal"/>
      </w:pPr>
      <w:r>
        <w:t>- En 2008: 87 478 495 €.</w:t>
      </w:r>
    </w:p>
    <w:p w14:paraId="3F592134" w14:textId="77777777" w:rsidR="003754FE" w:rsidRDefault="003754FE" w:rsidP="003754FE">
      <w:pPr>
        <w:pStyle w:val="TextoNormal"/>
      </w:pPr>
    </w:p>
    <w:p w14:paraId="4D8ABF4A" w14:textId="77777777" w:rsidR="003754FE" w:rsidRDefault="003754FE" w:rsidP="003754FE">
      <w:pPr>
        <w:pStyle w:val="TextoNormal"/>
      </w:pPr>
      <w:r>
        <w:lastRenderedPageBreak/>
        <w:t>Además de estas partidas, durante los distintos ejercicios se aprobaron modificaciones presupuestarias, que incrementaron el flujo de dinero que gestionaba el IFA/IDEA y que recibía como transferencia de financiación.</w:t>
      </w:r>
    </w:p>
    <w:p w14:paraId="507C6840" w14:textId="77777777" w:rsidR="003754FE" w:rsidRDefault="003754FE" w:rsidP="003754FE">
      <w:pPr>
        <w:pStyle w:val="TextoNormal"/>
      </w:pPr>
    </w:p>
    <w:p w14:paraId="6CBD3322" w14:textId="77777777" w:rsidR="003754FE" w:rsidRDefault="003754FE" w:rsidP="003754FE">
      <w:pPr>
        <w:pStyle w:val="TextoNormal"/>
      </w:pPr>
      <w:r>
        <w:t>Las modificaciones presupuestarias fueron las siguientes:</w:t>
      </w:r>
    </w:p>
    <w:p w14:paraId="39AD1C9C" w14:textId="77777777" w:rsidR="003754FE" w:rsidRDefault="003754FE" w:rsidP="003754FE">
      <w:pPr>
        <w:pStyle w:val="TextoNormal"/>
      </w:pPr>
    </w:p>
    <w:p w14:paraId="530F1AAA" w14:textId="77777777" w:rsidR="003754FE" w:rsidRDefault="003754FE" w:rsidP="003754FE">
      <w:pPr>
        <w:pStyle w:val="TextoNormal"/>
      </w:pPr>
      <w:r>
        <w:t>- Modificación de 15 de octubre de 2002, por importe de 9 944 099 €.</w:t>
      </w:r>
    </w:p>
    <w:p w14:paraId="6E5D8E7F" w14:textId="77777777" w:rsidR="003754FE" w:rsidRDefault="003754FE" w:rsidP="003754FE">
      <w:pPr>
        <w:pStyle w:val="TextoNormal"/>
      </w:pPr>
    </w:p>
    <w:p w14:paraId="37F582A8" w14:textId="77777777" w:rsidR="003754FE" w:rsidRDefault="003754FE" w:rsidP="003754FE">
      <w:pPr>
        <w:pStyle w:val="TextoNormal"/>
      </w:pPr>
      <w:r>
        <w:t>- Modificación de 21 de octubre de 2002, por importe de 22 253 204,17 €.</w:t>
      </w:r>
    </w:p>
    <w:p w14:paraId="4CFE2CE8" w14:textId="77777777" w:rsidR="003754FE" w:rsidRDefault="003754FE" w:rsidP="003754FE">
      <w:pPr>
        <w:pStyle w:val="TextoNormal"/>
      </w:pPr>
    </w:p>
    <w:p w14:paraId="7A31F0B1" w14:textId="77777777" w:rsidR="003754FE" w:rsidRDefault="003754FE" w:rsidP="003754FE">
      <w:pPr>
        <w:pStyle w:val="TextoNormal"/>
      </w:pPr>
      <w:r>
        <w:t>- Modificación de 07 de diciembre de 2005, por importe de 799 895,97 €.</w:t>
      </w:r>
    </w:p>
    <w:p w14:paraId="3283AA1E" w14:textId="77777777" w:rsidR="003754FE" w:rsidRDefault="003754FE" w:rsidP="003754FE">
      <w:pPr>
        <w:pStyle w:val="TextoNormal"/>
      </w:pPr>
    </w:p>
    <w:p w14:paraId="33832336" w14:textId="77777777" w:rsidR="003754FE" w:rsidRDefault="003754FE" w:rsidP="003754FE">
      <w:pPr>
        <w:pStyle w:val="TextoNormal"/>
      </w:pPr>
      <w:r>
        <w:t>- Modificación de 07 de noviembre de 2006, por importe de 9 300 000 €.</w:t>
      </w:r>
    </w:p>
    <w:p w14:paraId="6911C151" w14:textId="77777777" w:rsidR="003754FE" w:rsidRDefault="003754FE" w:rsidP="003754FE">
      <w:pPr>
        <w:pStyle w:val="TextoNormal"/>
      </w:pPr>
    </w:p>
    <w:p w14:paraId="092DE60A" w14:textId="77777777" w:rsidR="003754FE" w:rsidRDefault="003754FE" w:rsidP="003754FE">
      <w:pPr>
        <w:pStyle w:val="TextoNormal"/>
      </w:pPr>
      <w:r>
        <w:t>- Modificación de 27 de noviembre de 2007, por importe de 7 448 503, 44 €.</w:t>
      </w:r>
    </w:p>
    <w:p w14:paraId="3F88BF7A" w14:textId="77777777" w:rsidR="003754FE" w:rsidRDefault="003754FE" w:rsidP="003754FE">
      <w:pPr>
        <w:pStyle w:val="TextoNormal"/>
      </w:pPr>
    </w:p>
    <w:p w14:paraId="6E61B575" w14:textId="77777777" w:rsidR="003754FE" w:rsidRDefault="003754FE" w:rsidP="003754FE">
      <w:pPr>
        <w:pStyle w:val="TextoNormal"/>
      </w:pPr>
      <w:r>
        <w:t>- Modificación de 22 de diciembre de 2008, por importe de 1 253 853, 89 €.</w:t>
      </w:r>
    </w:p>
    <w:p w14:paraId="5582799A" w14:textId="77777777" w:rsidR="003754FE" w:rsidRDefault="003754FE" w:rsidP="003754FE">
      <w:pPr>
        <w:pStyle w:val="TextoNormal"/>
      </w:pPr>
    </w:p>
    <w:p w14:paraId="0E78F92A" w14:textId="77777777" w:rsidR="003754FE" w:rsidRDefault="003754FE" w:rsidP="003754FE">
      <w:pPr>
        <w:pStyle w:val="TextoNormal"/>
      </w:pPr>
      <w:r>
        <w:t>- Modificación de 22 de diciembre de 2008, por importe de 6 011 836,20 €.</w:t>
      </w:r>
    </w:p>
    <w:p w14:paraId="35B0AF30" w14:textId="77777777" w:rsidR="003754FE" w:rsidRDefault="003754FE" w:rsidP="003754FE">
      <w:pPr>
        <w:pStyle w:val="TextoNormal"/>
      </w:pPr>
    </w:p>
    <w:p w14:paraId="11E89E42" w14:textId="77777777" w:rsidR="003754FE" w:rsidRDefault="003754FE" w:rsidP="003754FE">
      <w:pPr>
        <w:pStyle w:val="TextoNormal"/>
      </w:pPr>
      <w:r>
        <w:t>- Modificación de 22 de diciembre de 2008, por importe de 8 000 000 €.</w:t>
      </w:r>
    </w:p>
    <w:p w14:paraId="7A5D8471" w14:textId="77777777" w:rsidR="003754FE" w:rsidRDefault="003754FE" w:rsidP="003754FE">
      <w:pPr>
        <w:pStyle w:val="TextoNormal"/>
      </w:pPr>
    </w:p>
    <w:p w14:paraId="234AA9A1" w14:textId="77777777" w:rsidR="003754FE" w:rsidRDefault="003754FE" w:rsidP="003754FE">
      <w:pPr>
        <w:pStyle w:val="TextoNormal"/>
      </w:pPr>
      <w:r>
        <w:t>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14:paraId="5E19816E" w14:textId="77777777" w:rsidR="003754FE" w:rsidRDefault="003754FE" w:rsidP="003754FE">
      <w:pPr>
        <w:pStyle w:val="TextoNormal"/>
      </w:pPr>
    </w:p>
    <w:p w14:paraId="6C58B31A" w14:textId="77777777" w:rsidR="003754FE" w:rsidRDefault="003754FE" w:rsidP="003754FE">
      <w:pPr>
        <w:pStyle w:val="TextoNormal"/>
      </w:pPr>
      <w:r>
        <w:t>Según han puesto de relieve distintos informes y resoluciones judiciales y administrativas, como consecuencia de todo lo anterior, las irregularidades más significativas en la concesión de las ayudas (sin hacer una enumeración exhaustiva) han sido las siguientes:</w:t>
      </w:r>
    </w:p>
    <w:p w14:paraId="0D51AB36" w14:textId="77777777" w:rsidR="003754FE" w:rsidRDefault="003754FE" w:rsidP="003754FE">
      <w:pPr>
        <w:pStyle w:val="TextoNormal"/>
      </w:pPr>
    </w:p>
    <w:p w14:paraId="5C01D931" w14:textId="77777777" w:rsidR="003754FE" w:rsidRDefault="003754FE" w:rsidP="003754FE">
      <w:pPr>
        <w:pStyle w:val="TextoNormal"/>
      </w:pPr>
      <w:r>
        <w:t>- En muchos casos no ha existido expediente de concesión de la ayuda.</w:t>
      </w:r>
    </w:p>
    <w:p w14:paraId="75FE89FE" w14:textId="77777777" w:rsidR="003754FE" w:rsidRDefault="003754FE" w:rsidP="003754FE">
      <w:pPr>
        <w:pStyle w:val="TextoNormal"/>
      </w:pPr>
    </w:p>
    <w:p w14:paraId="0BC8154D" w14:textId="77777777" w:rsidR="003754FE" w:rsidRDefault="003754FE" w:rsidP="003754FE">
      <w:pPr>
        <w:pStyle w:val="TextoNormal"/>
      </w:pPr>
      <w:r>
        <w:t>- El  director  general de Trabajo y Seguridad Social no tiene delegadas competencias para la concesión de subvenciones excepcionales.</w:t>
      </w:r>
    </w:p>
    <w:p w14:paraId="304E5F89" w14:textId="77777777" w:rsidR="003754FE" w:rsidRDefault="003754FE" w:rsidP="003754FE">
      <w:pPr>
        <w:pStyle w:val="TextoNormal"/>
      </w:pPr>
    </w:p>
    <w:p w14:paraId="1225AB13" w14:textId="77777777" w:rsidR="003754FE" w:rsidRDefault="003754FE" w:rsidP="003754FE">
      <w:pPr>
        <w:pStyle w:val="TextoNormal"/>
      </w:pPr>
      <w:r>
        <w:t>- No consta que se haya dado publicidad a la concesión de las ayudas (artículo 109 LGHPA).</w:t>
      </w:r>
    </w:p>
    <w:p w14:paraId="6535990F" w14:textId="77777777" w:rsidR="003754FE" w:rsidRDefault="003754FE" w:rsidP="003754FE">
      <w:pPr>
        <w:pStyle w:val="TextoNormal"/>
      </w:pPr>
    </w:p>
    <w:p w14:paraId="615EEFFF" w14:textId="77777777" w:rsidR="003754FE" w:rsidRDefault="003754FE" w:rsidP="003754FE">
      <w:pPr>
        <w:pStyle w:val="TextoNormal"/>
      </w:pPr>
      <w:r>
        <w:t>- Se ha omitido la fiscalización previa.</w:t>
      </w:r>
    </w:p>
    <w:p w14:paraId="6DDA3C0A" w14:textId="77777777" w:rsidR="003754FE" w:rsidRDefault="003754FE" w:rsidP="003754FE">
      <w:pPr>
        <w:pStyle w:val="TextoNormal"/>
      </w:pPr>
    </w:p>
    <w:p w14:paraId="1D1844F3" w14:textId="77777777" w:rsidR="003754FE" w:rsidRDefault="003754FE" w:rsidP="003754FE">
      <w:pPr>
        <w:pStyle w:val="TextoNormal"/>
      </w:pPr>
      <w:r>
        <w:t>- No consta autorización de la concesión de la subvención por el Consejo de Gobierno por razón de la cuantía.</w:t>
      </w:r>
    </w:p>
    <w:p w14:paraId="478D4862" w14:textId="77777777" w:rsidR="003754FE" w:rsidRDefault="003754FE" w:rsidP="003754FE">
      <w:pPr>
        <w:pStyle w:val="TextoNormal"/>
      </w:pPr>
    </w:p>
    <w:p w14:paraId="238CFC6B" w14:textId="77777777" w:rsidR="003754FE" w:rsidRDefault="003754FE" w:rsidP="003754FE">
      <w:pPr>
        <w:pStyle w:val="TextoNormal"/>
      </w:pPr>
      <w:r>
        <w:lastRenderedPageBreak/>
        <w:t>- No se consigna la aplicación presupuestaria del gasto y su distribución plurianual, ni el presupuesto subvencionado y el porcentaje que representa la subvención sobre el presupuesto aceptado.</w:t>
      </w:r>
    </w:p>
    <w:p w14:paraId="4099FD2E" w14:textId="77777777" w:rsidR="003754FE" w:rsidRDefault="003754FE" w:rsidP="003754FE">
      <w:pPr>
        <w:pStyle w:val="TextoNormal"/>
      </w:pPr>
    </w:p>
    <w:p w14:paraId="09E52CE6" w14:textId="77777777" w:rsidR="003754FE" w:rsidRDefault="003754FE" w:rsidP="003754FE">
      <w:pPr>
        <w:pStyle w:val="TextoNormal"/>
      </w:pPr>
      <w:r>
        <w:t>- No consta informe de la Dirección General de Asuntos Europeos y Cooperación, de la Consejería de Presidencia, sobre cumplimiento del deber de notificar a la comisión las subvenciones concedidas a empresas.</w:t>
      </w:r>
    </w:p>
    <w:p w14:paraId="48991193" w14:textId="77777777" w:rsidR="003754FE" w:rsidRDefault="003754FE" w:rsidP="003754FE">
      <w:pPr>
        <w:pStyle w:val="TextoNormal"/>
      </w:pPr>
    </w:p>
    <w:p w14:paraId="506391D6" w14:textId="77777777" w:rsidR="003754FE" w:rsidRDefault="003754FE" w:rsidP="003754FE">
      <w:pPr>
        <w:pStyle w:val="TextoNormal"/>
      </w:pPr>
      <w:r>
        <w:t>- No consta memoria explicativa de la excepcionalidad de las subvenciones, ni los requisitos que se exigen para ser beneficiario, ni se detalla la forma en que debería realizarse la justificación del cumplimiento de la finalidad para la que fue concedida la ayuda.</w:t>
      </w:r>
    </w:p>
    <w:p w14:paraId="74BB7BDC" w14:textId="77777777" w:rsidR="003754FE" w:rsidRDefault="003754FE" w:rsidP="003754FE">
      <w:pPr>
        <w:pStyle w:val="TextoNormal"/>
      </w:pPr>
    </w:p>
    <w:p w14:paraId="13FF71E1" w14:textId="77777777" w:rsidR="003754FE" w:rsidRDefault="003754FE" w:rsidP="003754FE">
      <w:pPr>
        <w:pStyle w:val="TextoNormal"/>
      </w:pPr>
      <w:r>
        <w:t>- Los convenios de colaboración por los que se han concedido las ayudas no adoptan ni la forma ni los contenidos mínimos que exige la Ley 38/2003, de 17 de noviembre.</w:t>
      </w:r>
    </w:p>
    <w:p w14:paraId="7B29411C" w14:textId="77777777" w:rsidR="003754FE" w:rsidRDefault="003754FE" w:rsidP="003754FE">
      <w:pPr>
        <w:pStyle w:val="TextoNormal"/>
      </w:pPr>
    </w:p>
    <w:p w14:paraId="48722882" w14:textId="77777777" w:rsidR="003754FE" w:rsidRDefault="003754FE" w:rsidP="003754FE">
      <w:pPr>
        <w:pStyle w:val="TextoNormal"/>
      </w:pPr>
      <w:r>
        <w:t>- Ni las subvenciones ni los convenios han sido publicados en el ‘Boletín Oficial de la Junta de Andalucía’, ni en la base de datos de subvenciones de la Junta de Andalucía.</w:t>
      </w:r>
    </w:p>
    <w:p w14:paraId="4198DDBD" w14:textId="77777777" w:rsidR="003754FE" w:rsidRDefault="003754FE" w:rsidP="003754FE">
      <w:pPr>
        <w:pStyle w:val="TextoNormal"/>
      </w:pPr>
    </w:p>
    <w:p w14:paraId="54CE610B" w14:textId="77777777" w:rsidR="003754FE" w:rsidRDefault="003754FE" w:rsidP="003754FE">
      <w:pPr>
        <w:pStyle w:val="TextoNormal"/>
      </w:pPr>
      <w:r>
        <w:t>- La concesión de las subvenciones no ha sido objeto de informe previo por el Gabinete Jurídico de la Junta de Andalucía.</w:t>
      </w:r>
    </w:p>
    <w:p w14:paraId="6842D74D" w14:textId="77777777" w:rsidR="003754FE" w:rsidRDefault="003754FE" w:rsidP="003754FE">
      <w:pPr>
        <w:pStyle w:val="TextoNormal"/>
      </w:pPr>
    </w:p>
    <w:p w14:paraId="6E5241E6" w14:textId="77777777" w:rsidR="003754FE" w:rsidRDefault="003754FE" w:rsidP="003754FE">
      <w:pPr>
        <w:pStyle w:val="TextoNormal"/>
      </w:pPr>
      <w:r>
        <w:t>- No se acredita la personalidad de las entidades solicitantes, ni la de sus representantes.</w:t>
      </w:r>
    </w:p>
    <w:p w14:paraId="5B348FCC" w14:textId="77777777" w:rsidR="003754FE" w:rsidRDefault="003754FE" w:rsidP="003754FE">
      <w:pPr>
        <w:pStyle w:val="TextoNormal"/>
      </w:pPr>
    </w:p>
    <w:p w14:paraId="06ECBF3D" w14:textId="77777777" w:rsidR="003754FE" w:rsidRDefault="003754FE" w:rsidP="003754FE">
      <w:pPr>
        <w:pStyle w:val="TextoNormal"/>
      </w:pPr>
      <w:r>
        <w:t>- No se aporta informe o memoria acreditativa de la finalidad pública, o razones de interés social o económico, en la concesión.</w:t>
      </w:r>
    </w:p>
    <w:p w14:paraId="6859829A" w14:textId="77777777" w:rsidR="003754FE" w:rsidRDefault="003754FE" w:rsidP="003754FE">
      <w:pPr>
        <w:pStyle w:val="TextoNormal"/>
      </w:pPr>
    </w:p>
    <w:p w14:paraId="51B4CD01" w14:textId="77777777" w:rsidR="003754FE" w:rsidRDefault="003754FE" w:rsidP="003754FE">
      <w:pPr>
        <w:pStyle w:val="TextoNormal"/>
      </w:pPr>
      <w:r>
        <w:t>- No consta solicitud presentada por los interesados ni su aceptación expresa.</w:t>
      </w:r>
    </w:p>
    <w:p w14:paraId="734F23B9" w14:textId="77777777" w:rsidR="003754FE" w:rsidRDefault="003754FE" w:rsidP="003754FE">
      <w:pPr>
        <w:pStyle w:val="TextoNormal"/>
      </w:pPr>
    </w:p>
    <w:p w14:paraId="77AE32A1" w14:textId="77777777" w:rsidR="003754FE" w:rsidRDefault="003754FE" w:rsidP="003754FE">
      <w:pPr>
        <w:pStyle w:val="TextoNormal"/>
      </w:pPr>
      <w:r>
        <w:t>- No se aporta declaración responsable del beneficiario de otras subvenciones o ayudas concedidas para la misma finalidad (artículos 111 y 105 LGHPA, y artículo 15.1 del Reglamento de subvenciones).</w:t>
      </w:r>
    </w:p>
    <w:p w14:paraId="5C0A6EED" w14:textId="77777777" w:rsidR="003754FE" w:rsidRDefault="003754FE" w:rsidP="003754FE">
      <w:pPr>
        <w:pStyle w:val="TextoNormal"/>
      </w:pPr>
    </w:p>
    <w:p w14:paraId="21029408" w14:textId="77777777" w:rsidR="003754FE" w:rsidRDefault="003754FE" w:rsidP="003754FE">
      <w:pPr>
        <w:pStyle w:val="TextoNormal"/>
      </w:pPr>
      <w:r>
        <w:t>- No consta declaración expresa de los beneficiarios de no haber recaído sobre ellos resolución administrativa o judicial firme de reintegro.</w:t>
      </w:r>
    </w:p>
    <w:p w14:paraId="3FAFCB17" w14:textId="77777777" w:rsidR="003754FE" w:rsidRDefault="003754FE" w:rsidP="003754FE">
      <w:pPr>
        <w:pStyle w:val="TextoNormal"/>
      </w:pPr>
    </w:p>
    <w:p w14:paraId="199D954E" w14:textId="77777777" w:rsidR="003754FE" w:rsidRDefault="003754FE" w:rsidP="003754FE">
      <w:pPr>
        <w:pStyle w:val="TextoNormal"/>
      </w:pPr>
      <w:r>
        <w:t>- No se acredita por los beneficiarios estar al corriente en sus obligaciones fiscales</w:t>
      </w:r>
    </w:p>
    <w:p w14:paraId="3285D971" w14:textId="77777777" w:rsidR="003754FE" w:rsidRDefault="003754FE" w:rsidP="003754FE">
      <w:pPr>
        <w:pStyle w:val="TextoNormal"/>
      </w:pPr>
    </w:p>
    <w:p w14:paraId="6B503867" w14:textId="77777777" w:rsidR="003754FE" w:rsidRDefault="003754FE" w:rsidP="003754FE">
      <w:pPr>
        <w:pStyle w:val="TextoNormal"/>
      </w:pPr>
      <w:r>
        <w:t>- No se determina el plazo y forma de justificación por el beneficiario del cumplimiento de la finalidad para la que se concede la ayuda.</w:t>
      </w:r>
    </w:p>
    <w:p w14:paraId="6F301D20" w14:textId="77777777" w:rsidR="003754FE" w:rsidRDefault="003754FE" w:rsidP="003754FE">
      <w:pPr>
        <w:pStyle w:val="TextoNormal"/>
      </w:pPr>
    </w:p>
    <w:p w14:paraId="08A7A9C5" w14:textId="77777777" w:rsidR="003754FE" w:rsidRDefault="003754FE" w:rsidP="003754FE">
      <w:pPr>
        <w:pStyle w:val="TextoNormal"/>
      </w:pPr>
      <w:r>
        <w:t>- No se indica la forma y secuencia del pago y los requisitos exigidos para su abono.</w:t>
      </w:r>
    </w:p>
    <w:p w14:paraId="6624961C" w14:textId="77777777" w:rsidR="003754FE" w:rsidRDefault="003754FE" w:rsidP="003754FE">
      <w:pPr>
        <w:pStyle w:val="TextoNormal"/>
      </w:pPr>
    </w:p>
    <w:p w14:paraId="0100F3E0" w14:textId="77777777" w:rsidR="003754FE" w:rsidRDefault="003754FE" w:rsidP="003754FE">
      <w:pPr>
        <w:pStyle w:val="TextoNormal"/>
      </w:pPr>
      <w:r>
        <w:t>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14:paraId="22F7DED8" w14:textId="77777777" w:rsidR="003754FE" w:rsidRDefault="003754FE" w:rsidP="003754FE">
      <w:pPr>
        <w:pStyle w:val="TextoNormal"/>
      </w:pPr>
    </w:p>
    <w:p w14:paraId="44F64E58" w14:textId="77777777" w:rsidR="003754FE" w:rsidRDefault="003754FE" w:rsidP="003754FE">
      <w:pPr>
        <w:pStyle w:val="TextoNormal"/>
      </w:pPr>
      <w:r>
        <w:lastRenderedPageBreak/>
        <w:t>Las consecuencias de semejante descontrol fueron las siguientes:</w:t>
      </w:r>
    </w:p>
    <w:p w14:paraId="7E879A0F" w14:textId="77777777" w:rsidR="003754FE" w:rsidRDefault="003754FE" w:rsidP="003754FE">
      <w:pPr>
        <w:pStyle w:val="TextoNormal"/>
      </w:pPr>
    </w:p>
    <w:p w14:paraId="38948EE7" w14:textId="77777777" w:rsidR="003754FE" w:rsidRDefault="003754FE" w:rsidP="003754FE">
      <w:pPr>
        <w:pStyle w:val="TextoNormal"/>
      </w:pPr>
      <w:r>
        <w:t>(i)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ayudas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14:paraId="0FD6DC52" w14:textId="77777777" w:rsidR="003754FE" w:rsidRDefault="003754FE" w:rsidP="003754FE">
      <w:pPr>
        <w:pStyle w:val="TextoNormal"/>
      </w:pPr>
    </w:p>
    <w:p w14:paraId="5C228F85" w14:textId="77777777" w:rsidR="003754FE" w:rsidRDefault="003754FE" w:rsidP="003754FE">
      <w:pPr>
        <w:pStyle w:val="TextoNormal"/>
      </w:pPr>
      <w:r>
        <w:t>- En el año 2001, fueron 748, afectando a un total de 7582 trabajadores.</w:t>
      </w:r>
    </w:p>
    <w:p w14:paraId="63B92D27" w14:textId="77777777" w:rsidR="003754FE" w:rsidRDefault="003754FE" w:rsidP="003754FE">
      <w:pPr>
        <w:pStyle w:val="TextoNormal"/>
      </w:pPr>
    </w:p>
    <w:p w14:paraId="4F4561DA" w14:textId="77777777" w:rsidR="003754FE" w:rsidRDefault="003754FE" w:rsidP="003754FE">
      <w:pPr>
        <w:pStyle w:val="TextoNormal"/>
      </w:pPr>
      <w:r>
        <w:t>- En el año 2002, fueron 650, afectando a un total de 4787 trabajadores.</w:t>
      </w:r>
    </w:p>
    <w:p w14:paraId="1209BDD5" w14:textId="77777777" w:rsidR="003754FE" w:rsidRDefault="003754FE" w:rsidP="003754FE">
      <w:pPr>
        <w:pStyle w:val="TextoNormal"/>
      </w:pPr>
    </w:p>
    <w:p w14:paraId="777B48ED" w14:textId="77777777" w:rsidR="003754FE" w:rsidRDefault="003754FE" w:rsidP="003754FE">
      <w:pPr>
        <w:pStyle w:val="TextoNormal"/>
      </w:pPr>
      <w:r>
        <w:t>- En el año 2003, fueron 511, afectando a un total de 4957 trabajadores.</w:t>
      </w:r>
    </w:p>
    <w:p w14:paraId="38DF9357" w14:textId="77777777" w:rsidR="003754FE" w:rsidRDefault="003754FE" w:rsidP="003754FE">
      <w:pPr>
        <w:pStyle w:val="TextoNormal"/>
      </w:pPr>
    </w:p>
    <w:p w14:paraId="59126372" w14:textId="77777777" w:rsidR="003754FE" w:rsidRDefault="003754FE" w:rsidP="003754FE">
      <w:pPr>
        <w:pStyle w:val="TextoNormal"/>
      </w:pPr>
      <w:r>
        <w:t>- En el año 2004, fueron 657, afectando a un total de 4833 trabajadores.</w:t>
      </w:r>
    </w:p>
    <w:p w14:paraId="46337A92" w14:textId="77777777" w:rsidR="003754FE" w:rsidRDefault="003754FE" w:rsidP="003754FE">
      <w:pPr>
        <w:pStyle w:val="TextoNormal"/>
      </w:pPr>
    </w:p>
    <w:p w14:paraId="425B1721" w14:textId="77777777" w:rsidR="003754FE" w:rsidRDefault="003754FE" w:rsidP="003754FE">
      <w:pPr>
        <w:pStyle w:val="TextoNormal"/>
      </w:pPr>
      <w:r>
        <w:t>- En el año 2005, fueron 424, afectando a un total de 5476 trabajadores.</w:t>
      </w:r>
    </w:p>
    <w:p w14:paraId="15935838" w14:textId="77777777" w:rsidR="003754FE" w:rsidRDefault="003754FE" w:rsidP="003754FE">
      <w:pPr>
        <w:pStyle w:val="TextoNormal"/>
      </w:pPr>
    </w:p>
    <w:p w14:paraId="751B4F1F" w14:textId="77777777" w:rsidR="003754FE" w:rsidRDefault="003754FE" w:rsidP="003754FE">
      <w:pPr>
        <w:pStyle w:val="TextoNormal"/>
      </w:pPr>
      <w:r>
        <w:t>- En el año 2006, fueron 434, afectando a un total de 2968 trabajadores.</w:t>
      </w:r>
    </w:p>
    <w:p w14:paraId="18E12067" w14:textId="77777777" w:rsidR="003754FE" w:rsidRDefault="003754FE" w:rsidP="003754FE">
      <w:pPr>
        <w:pStyle w:val="TextoNormal"/>
      </w:pPr>
    </w:p>
    <w:p w14:paraId="5B418447" w14:textId="77777777" w:rsidR="003754FE" w:rsidRDefault="003754FE" w:rsidP="003754FE">
      <w:pPr>
        <w:pStyle w:val="TextoNormal"/>
      </w:pPr>
      <w:r>
        <w:t>- En el año 2007, fueron 428, afectando a un total de 3247 trabajadores.</w:t>
      </w:r>
    </w:p>
    <w:p w14:paraId="746FF3DC" w14:textId="77777777" w:rsidR="003754FE" w:rsidRDefault="003754FE" w:rsidP="003754FE">
      <w:pPr>
        <w:pStyle w:val="TextoNormal"/>
      </w:pPr>
    </w:p>
    <w:p w14:paraId="2B661172" w14:textId="77777777" w:rsidR="003754FE" w:rsidRDefault="003754FE" w:rsidP="003754FE">
      <w:pPr>
        <w:pStyle w:val="TextoNormal"/>
      </w:pPr>
      <w:r>
        <w:t>- En el año 2008, fueron 652, afectando a un total de 7000 trabajadores.</w:t>
      </w:r>
    </w:p>
    <w:p w14:paraId="7F638659" w14:textId="77777777" w:rsidR="003754FE" w:rsidRDefault="003754FE" w:rsidP="003754FE">
      <w:pPr>
        <w:pStyle w:val="TextoNormal"/>
      </w:pPr>
    </w:p>
    <w:p w14:paraId="54273D59" w14:textId="77777777" w:rsidR="003754FE" w:rsidRDefault="003754FE" w:rsidP="003754FE">
      <w:pPr>
        <w:pStyle w:val="TextoNormal"/>
      </w:pPr>
      <w:r>
        <w:t>- En el año 2009, fueron 1379, afectando a un total de 30821 trabajadores.</w:t>
      </w:r>
    </w:p>
    <w:p w14:paraId="65B6D155" w14:textId="77777777" w:rsidR="003754FE" w:rsidRDefault="003754FE" w:rsidP="003754FE">
      <w:pPr>
        <w:pStyle w:val="TextoNormal"/>
      </w:pPr>
    </w:p>
    <w:p w14:paraId="08DEACBC" w14:textId="77777777" w:rsidR="003754FE" w:rsidRDefault="003754FE" w:rsidP="003754FE">
      <w:pPr>
        <w:pStyle w:val="TextoNormal"/>
      </w:pPr>
      <w:r>
        <w:t>- En el año 2010, fueron 1490, afectando a un total de 21450 trabajadores.</w:t>
      </w:r>
    </w:p>
    <w:p w14:paraId="3A3C291C" w14:textId="77777777" w:rsidR="003754FE" w:rsidRDefault="003754FE" w:rsidP="003754FE">
      <w:pPr>
        <w:pStyle w:val="TextoNormal"/>
      </w:pPr>
    </w:p>
    <w:p w14:paraId="01E79C50" w14:textId="77777777" w:rsidR="003754FE" w:rsidRDefault="003754FE" w:rsidP="003754FE">
      <w:pPr>
        <w:pStyle w:val="TextoNormal"/>
      </w:pPr>
      <w:r>
        <w:t>(ii) La ausencia de cualquier mecanismo de comprobación de la pertenencia al colectivo afectado de las personas beneficiarias de las pólizas, permitió la inclusión de beneficiarios que nunca habían pertenecido a las empresas ayudadas por la Consejería de Empleo.</w:t>
      </w:r>
    </w:p>
    <w:p w14:paraId="7F0822C0" w14:textId="77777777" w:rsidR="003754FE" w:rsidRDefault="003754FE" w:rsidP="003754FE">
      <w:pPr>
        <w:pStyle w:val="TextoNormal"/>
      </w:pPr>
    </w:p>
    <w:p w14:paraId="2411261E" w14:textId="77777777" w:rsidR="003754FE" w:rsidRDefault="003754FE" w:rsidP="003754FE">
      <w:pPr>
        <w:pStyle w:val="TextoNormal"/>
      </w:pPr>
      <w:r>
        <w:t>(iii)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14:paraId="5433DE8F" w14:textId="77777777" w:rsidR="003754FE" w:rsidRDefault="003754FE" w:rsidP="003754FE">
      <w:pPr>
        <w:pStyle w:val="TextoNormal"/>
      </w:pPr>
    </w:p>
    <w:p w14:paraId="573A41CD" w14:textId="77777777" w:rsidR="003754FE" w:rsidRDefault="003754FE" w:rsidP="003754FE">
      <w:pPr>
        <w:pStyle w:val="TextoNormal"/>
      </w:pPr>
      <w:r>
        <w:t>(iv)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14:paraId="7138ABE0" w14:textId="77777777" w:rsidR="003754FE" w:rsidRDefault="003754FE" w:rsidP="003754FE">
      <w:pPr>
        <w:pStyle w:val="TextoNormal"/>
      </w:pPr>
    </w:p>
    <w:p w14:paraId="7685013F" w14:textId="77777777" w:rsidR="003754FE" w:rsidRDefault="003754FE" w:rsidP="003754FE">
      <w:pPr>
        <w:pStyle w:val="TextoNormal"/>
      </w:pPr>
      <w:r>
        <w:t xml:space="preserve">(v) Además, a pesar de no estar previsto en la ficha presupuestaria del programa 31L, los responsables de la Consejería de Empleo utilizaron buena parte de estos fondos para fines completamente ajenos a las ayudas sociolaborales. Así, entre otros, con fondos del programa </w:t>
      </w:r>
      <w:r>
        <w:lastRenderedPageBreak/>
        <w:t>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de un curso de alta dirección, durante cinco ejercicios.</w:t>
      </w:r>
    </w:p>
    <w:p w14:paraId="438A584F" w14:textId="77777777" w:rsidR="003754FE" w:rsidRDefault="003754FE" w:rsidP="003754FE">
      <w:pPr>
        <w:pStyle w:val="TextoNormal"/>
      </w:pPr>
    </w:p>
    <w:p w14:paraId="2D996BE8" w14:textId="77777777" w:rsidR="003754FE" w:rsidRDefault="003754FE" w:rsidP="003754FE">
      <w:pPr>
        <w:pStyle w:val="TextoNormal"/>
      </w:pPr>
      <w:r>
        <w:t>III) Tercera etapa</w:t>
      </w:r>
    </w:p>
    <w:p w14:paraId="70FB7A50" w14:textId="77777777" w:rsidR="003754FE" w:rsidRDefault="003754FE" w:rsidP="003754FE">
      <w:pPr>
        <w:pStyle w:val="TextoNormal"/>
      </w:pPr>
    </w:p>
    <w:p w14:paraId="4DF227F5" w14:textId="77777777" w:rsidR="003754FE" w:rsidRDefault="003754FE" w:rsidP="003754FE">
      <w:pPr>
        <w:pStyle w:val="TextoNormal"/>
      </w:pPr>
      <w:r>
        <w:t>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14:paraId="6A23E305" w14:textId="77777777" w:rsidR="003754FE" w:rsidRDefault="003754FE" w:rsidP="003754FE">
      <w:pPr>
        <w:pStyle w:val="TextoNormal"/>
      </w:pPr>
    </w:p>
    <w:p w14:paraId="450B551F" w14:textId="77777777" w:rsidR="003754FE" w:rsidRDefault="003754FE" w:rsidP="003754FE">
      <w:pPr>
        <w:pStyle w:val="TextoNormal"/>
      </w:pPr>
      <w:r>
        <w:t>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14:paraId="08962F7E" w14:textId="77777777" w:rsidR="003754FE" w:rsidRDefault="003754FE" w:rsidP="003754FE">
      <w:pPr>
        <w:pStyle w:val="TextoNormal"/>
      </w:pPr>
    </w:p>
    <w:p w14:paraId="4F40D3E6" w14:textId="77777777" w:rsidR="003754FE" w:rsidRDefault="003754FE" w:rsidP="003754FE">
      <w:pPr>
        <w:pStyle w:val="TextoNormal"/>
      </w:pPr>
      <w:r>
        <w:t>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14:paraId="02BD1ADA" w14:textId="77777777" w:rsidR="003754FE" w:rsidRDefault="003754FE" w:rsidP="003754FE">
      <w:pPr>
        <w:pStyle w:val="TextoNormal"/>
      </w:pPr>
    </w:p>
    <w:p w14:paraId="306E99D5" w14:textId="77777777" w:rsidR="003754FE" w:rsidRDefault="003754FE" w:rsidP="003754FE">
      <w:pPr>
        <w:pStyle w:val="TextoNormal"/>
      </w:pPr>
      <w:r>
        <w:t>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14:paraId="71D8453E" w14:textId="77777777" w:rsidR="003754FE" w:rsidRDefault="003754FE" w:rsidP="003754FE">
      <w:pPr>
        <w:pStyle w:val="TextoNormal"/>
      </w:pPr>
    </w:p>
    <w:p w14:paraId="33E90AC0" w14:textId="77777777" w:rsidR="003754FE" w:rsidRDefault="003754FE" w:rsidP="003754FE">
      <w:pPr>
        <w:pStyle w:val="TextoNormal"/>
      </w:pPr>
      <w:r>
        <w:t xml:space="preserve">b) El demandante fue condenado porque en calidad de director general de Trabajo, cargo que desempeñó desde el 29 de abril de 2008 hasta el 6 de abril de 2010, siguió aplicando este procedimiento específico, que le permitió disponer de más de noventa y cuatro millones de euros para ayudas sociolaborales y a empresas, sirviéndose de la partida presupuestaria 440 del programa 31L, relativa a transferencias de financiación a la agencia IDEA, sin someterse al control previo de la Intervención General de la Junta de Andalucía, y sin tramitar el procedimiento legalmente exigible para la concesión de subvenciones excepcionales; </w:t>
      </w:r>
      <w:r>
        <w:lastRenderedPageBreak/>
        <w:t>participó asimismo en la elaboración del anteproyecto de presupuesto de 2009, y en las modificaciones presupuestarias de los años 2008 y 2009, y encargó informes jurídicos a entidades externas que pusieron de manifiesto la irregularidad del procedimiento seguido.</w:t>
      </w:r>
    </w:p>
    <w:p w14:paraId="671DDEBB" w14:textId="77777777" w:rsidR="003754FE" w:rsidRDefault="003754FE" w:rsidP="003754FE">
      <w:pPr>
        <w:pStyle w:val="TextoNormal"/>
      </w:pPr>
    </w:p>
    <w:p w14:paraId="7FE591A7" w14:textId="77777777" w:rsidR="003754FE" w:rsidRDefault="003754FE" w:rsidP="003754FE">
      <w:pPr>
        <w:pStyle w:val="TextoNormal"/>
      </w:pPr>
      <w:r>
        <w:t>Por dichos hechos fue condenado como autor de un delito continuado de prevaricación administrativa del art. 404 del Código penal (CP), en concurso medial con un delito continuado de malversación de caudales públicos del art. 432 CP, a la pena de siete años y un día de prisión, con la accesoria de inhabilitación especial para el derecho de sufragio pasivo durante el tiempo de la condena, y la pena de dieciocho años y un día de inhabilitación absoluta, con la consiguiente privación definitiva de todos los honores, empleos y cargos públicos que tuviera, aunque fueran electivos, e incapacidad para obtener los mismos o cualesquiera otros honores, cargos, o empleos públicos y la de ser elegido para cargo público durante el tiempo de la condena. Se le impuso asimismo el pago de 2/37 partes de las costas procesales causadas, excluidas las de las acusaciones populares.</w:t>
      </w:r>
    </w:p>
    <w:p w14:paraId="31D2737C" w14:textId="77777777" w:rsidR="003754FE" w:rsidRDefault="003754FE" w:rsidP="003754FE">
      <w:pPr>
        <w:pStyle w:val="TextoNormal"/>
      </w:pPr>
    </w:p>
    <w:p w14:paraId="64582D62" w14:textId="77777777" w:rsidR="003754FE" w:rsidRDefault="003754FE" w:rsidP="003754FE">
      <w:pPr>
        <w:pStyle w:val="TextoNormal"/>
      </w:pPr>
      <w:r>
        <w:t>c) El actor interpuso recurso de casación que fue estimado parcialmente en sentencia núm. 749/2022, de 13 de septiembre, de la Sala de lo Penal del Tribunal Supremo, que apreció la concurrencia de la circunstancia atenuante analógica, muy cualificada, de reparación del daño del art. 21.7 CP, y le rebajó en un grado las penas impuestas, que quedaron definitivamente fijadas en tres años de prisión y siete años y seis meses de inhabilitación absoluta.</w:t>
      </w:r>
    </w:p>
    <w:p w14:paraId="0072D485" w14:textId="77777777" w:rsidR="003754FE" w:rsidRDefault="003754FE" w:rsidP="003754FE">
      <w:pPr>
        <w:pStyle w:val="TextoNormal"/>
      </w:pPr>
    </w:p>
    <w:p w14:paraId="063A1740" w14:textId="19A0F98B" w:rsidR="003754FE" w:rsidRDefault="003754FE" w:rsidP="003754FE">
      <w:pPr>
        <w:pStyle w:val="TextoNormal"/>
      </w:pPr>
      <w:r>
        <w:t>d) Contra la anterior sentencia el actor promovió incidente de nulidad de actuaciones que fue inadmitido por auto de la Sala de lo Penal del Tribunal Supremo de 16 de febrero de 2023.</w:t>
      </w:r>
    </w:p>
    <w:p w14:paraId="31A7EB57" w14:textId="77777777" w:rsidR="003754FE" w:rsidRDefault="003754FE" w:rsidP="003754FE">
      <w:pPr>
        <w:pStyle w:val="TextoNormal"/>
      </w:pPr>
    </w:p>
    <w:p w14:paraId="7AFC515A" w14:textId="77777777" w:rsidR="003754FE" w:rsidRDefault="003754FE" w:rsidP="003754FE">
      <w:pPr>
        <w:pStyle w:val="TextoNormal"/>
      </w:pPr>
      <w:r w:rsidRPr="003754FE">
        <w:rPr>
          <w:rStyle w:val="NumeroAFNegritaCaracter"/>
        </w:rPr>
        <w:t>3</w:t>
      </w:r>
      <w:r>
        <w:t>. El recurrente invoca en su demanda de amparo la vulneración de los siguientes derechos:</w:t>
      </w:r>
    </w:p>
    <w:p w14:paraId="2AF3794C" w14:textId="77777777" w:rsidR="003754FE" w:rsidRDefault="003754FE" w:rsidP="003754FE">
      <w:pPr>
        <w:pStyle w:val="TextoNormal"/>
      </w:pPr>
    </w:p>
    <w:p w14:paraId="7D098F05" w14:textId="77777777" w:rsidR="003754FE" w:rsidRDefault="003754FE" w:rsidP="003754FE">
      <w:pPr>
        <w:pStyle w:val="TextoNormal"/>
      </w:pPr>
      <w:r>
        <w:t>a) Vulneración del derecho a la presunción de inocencia (art. 24.2 CE), en conexión con el derecho al honor (art. 18.1 CE), a un proceso con todas las garantías, entre ellas la de legalidad procesal (art. 24.2 CE) y a la tutela judicial efectiva.</w:t>
      </w:r>
    </w:p>
    <w:p w14:paraId="65169EC5" w14:textId="77777777" w:rsidR="003754FE" w:rsidRDefault="003754FE" w:rsidP="003754FE">
      <w:pPr>
        <w:pStyle w:val="TextoNormal"/>
      </w:pPr>
    </w:p>
    <w:p w14:paraId="065FF8B3" w14:textId="77777777" w:rsidR="003754FE" w:rsidRDefault="003754FE" w:rsidP="003754FE">
      <w:pPr>
        <w:pStyle w:val="TextoNormal"/>
      </w:pPr>
      <w:r>
        <w:t>Se refiere a la vulneración de la presunción de inocencia como regla de tratamiento, que atribuye a la providencia de 26 de julio de 2022 por la que el Tribunal Supremo hizo público el fallo de su sentencia de casación, que no fue notificada de forma completa hasta el día 14 de septiembre de 2022, por lo que durante el tiempo intermedio se presentó ante la sociedad al demandante de amparo como culpable, sin exponer los fundamentos jurídicos que llevaban a tal conclusión.</w:t>
      </w:r>
    </w:p>
    <w:p w14:paraId="3B07FE92" w14:textId="77777777" w:rsidR="003754FE" w:rsidRDefault="003754FE" w:rsidP="003754FE">
      <w:pPr>
        <w:pStyle w:val="TextoNormal"/>
      </w:pPr>
    </w:p>
    <w:p w14:paraId="182A78DE" w14:textId="77777777" w:rsidR="003754FE" w:rsidRDefault="003754FE" w:rsidP="003754FE">
      <w:pPr>
        <w:pStyle w:val="TextoNormal"/>
      </w:pPr>
      <w:r>
        <w:t xml:space="preserve">Cita en apoyo de este motivo la doctrina fijada en la STC 244/2007, de 10 de diciembre, FJ 2, que cita a su vez la STEDH de 10 de febrero de 1995, asunto </w:t>
      </w:r>
      <w:r w:rsidRPr="003754FE">
        <w:rPr>
          <w:i/>
        </w:rPr>
        <w:t>Allenet de Ribemont c. Francia</w:t>
      </w:r>
      <w:r>
        <w:t>, y las SSTC 109/1986, de 24 de septiembre, FJ 1, y 133/2018, de 13 de diciembre.</w:t>
      </w:r>
    </w:p>
    <w:p w14:paraId="2D256387" w14:textId="77777777" w:rsidR="003754FE" w:rsidRDefault="003754FE" w:rsidP="003754FE">
      <w:pPr>
        <w:pStyle w:val="TextoNormal"/>
      </w:pPr>
    </w:p>
    <w:p w14:paraId="1D8E4D6A" w14:textId="77777777" w:rsidR="003754FE" w:rsidRDefault="003754FE" w:rsidP="003754FE">
      <w:pPr>
        <w:pStyle w:val="TextoNormal"/>
      </w:pPr>
      <w:r>
        <w:t xml:space="preserve">En segundo lugar, denuncia que la actuación del Tribunal Supremo vulnera la garantía procesal como parte del derecho a un proceso con todas las garantías en tanto que la sentencia debe notificarse en su integridad y en unidad de acto conforme a la normativa aplicable [arts. 160 y 789 de la Ley de enjuiciamiento criminal (LECrim) y 248, 266, 270 y ss. de la </w:t>
      </w:r>
      <w:r>
        <w:lastRenderedPageBreak/>
        <w:t>Ley Orgánica del Poder Judicial (LOPJ)]. Añade el demandante que, al haber sido objeto de difusión masiva el fallo, le fue imposible reaccionar, lo que determinó su indefensión.</w:t>
      </w:r>
    </w:p>
    <w:p w14:paraId="69040E31" w14:textId="77777777" w:rsidR="003754FE" w:rsidRDefault="003754FE" w:rsidP="003754FE">
      <w:pPr>
        <w:pStyle w:val="TextoNormal"/>
      </w:pPr>
    </w:p>
    <w:p w14:paraId="57EC91BA" w14:textId="77777777" w:rsidR="003754FE" w:rsidRDefault="003754FE" w:rsidP="003754FE">
      <w:pPr>
        <w:pStyle w:val="TextoNormal"/>
      </w:pPr>
      <w:r>
        <w:t>Pide que se declare la vulneración de estos derechos fundamentales para formular ulteriormente reclamación patrimonial por anormal funcionamiento de la justicia.</w:t>
      </w:r>
    </w:p>
    <w:p w14:paraId="66D1B1A7" w14:textId="77777777" w:rsidR="003754FE" w:rsidRDefault="003754FE" w:rsidP="003754FE">
      <w:pPr>
        <w:pStyle w:val="TextoNormal"/>
      </w:pPr>
    </w:p>
    <w:p w14:paraId="081D6BB8" w14:textId="77777777" w:rsidR="003754FE" w:rsidRDefault="003754FE" w:rsidP="003754FE">
      <w:pPr>
        <w:pStyle w:val="TextoNormal"/>
      </w:pPr>
      <w:r>
        <w:t>b) Vulneración del derecho a un proceso con todas las garantías (art. 24.2 CE), a la presunción de inocencia (art. 24.2 CE) y a la tutela judicial efectiva sin indefensión (art. 24.1 CE), vulneraciones que atribuye a la sentencia de casación porque afirma que en la misma se incluyeron datos fácticos que no estaban en el relato de hechos probados de la sentencia de instancia.</w:t>
      </w:r>
    </w:p>
    <w:p w14:paraId="5C930ADA" w14:textId="77777777" w:rsidR="003754FE" w:rsidRDefault="003754FE" w:rsidP="003754FE">
      <w:pPr>
        <w:pStyle w:val="TextoNormal"/>
      </w:pPr>
    </w:p>
    <w:p w14:paraId="09419F30" w14:textId="77777777" w:rsidR="003754FE" w:rsidRDefault="003754FE" w:rsidP="003754FE">
      <w:pPr>
        <w:pStyle w:val="TextoNormal"/>
      </w:pPr>
      <w:r>
        <w:t>Se refiere a estas frases: “precisamente se cambió el sistema de presupuestación para evitar todo control y para disponer del erario público de forma discrecional y arbitraria, al margen de todo condicionante legal” (págs. 348 y 349) y “[s]e modificó el sistema de presupuestación, no por razones técnicas o neutrales, sino con una deliberada finalidad: con el pretexto de agilizar el pago de las ayudas se buscó un sistema para disponer libérrimamente de los fondos públicos eliminando todos los controles y todas las exigencias de la normativa de subvenciones” (pág. 352).</w:t>
      </w:r>
    </w:p>
    <w:p w14:paraId="3C027B00" w14:textId="77777777" w:rsidR="003754FE" w:rsidRDefault="003754FE" w:rsidP="003754FE">
      <w:pPr>
        <w:pStyle w:val="TextoNormal"/>
      </w:pPr>
    </w:p>
    <w:p w14:paraId="3E625546" w14:textId="77777777" w:rsidR="003754FE" w:rsidRDefault="003754FE" w:rsidP="003754FE">
      <w:pPr>
        <w:pStyle w:val="TextoNormal"/>
      </w:pPr>
      <w:r>
        <w:t xml:space="preserve">La sentencia de instancia declaró probado que el objetivo perseguido por los encausados fue agilizar el trámite del pago de las ayudas en un contexto de crisis económica, lo que supuso una reducción de los controles, pero no que se buscara con ello disponer libremente de los fondos como si fueran propios. Esta finalidad de disposición ilegal de los fondos, o el ánimo de malversación, no aparece en el </w:t>
      </w:r>
      <w:r w:rsidRPr="003754FE">
        <w:rPr>
          <w:i/>
        </w:rPr>
        <w:t>factum</w:t>
      </w:r>
      <w:r>
        <w:t xml:space="preserve"> de la sentencia de instancia, como se recoge en el voto particular de las dos magistradas disidentes.</w:t>
      </w:r>
    </w:p>
    <w:p w14:paraId="69549685" w14:textId="77777777" w:rsidR="003754FE" w:rsidRDefault="003754FE" w:rsidP="003754FE">
      <w:pPr>
        <w:pStyle w:val="TextoNormal"/>
      </w:pPr>
    </w:p>
    <w:p w14:paraId="7AD54D39" w14:textId="77777777" w:rsidR="003754FE" w:rsidRDefault="003754FE" w:rsidP="003754FE">
      <w:pPr>
        <w:pStyle w:val="TextoNormal"/>
      </w:pPr>
      <w:r>
        <w:t>Mediante esta mutación fáctica el Tribunal Supremo pasa a atribuir dolo directo a todos los condenados por el delito de malversación de caudales públicos, cuando la sentencia de instancia consideró que algunos acusados conocieron y quisieron las actuaciones malversadoras, y que el resto debieron conocer dichas actuaciones, asertos fácticos que se tradujeron, a la hora de la subsunción, en que a unos se les atribuyera “disponer o consentir que un tercero disponga de los fondos con fines ajenos a su fin público”, y a otros “asumir la eventualidad de que los fondos vinculados al programa 31L fueran objeto de disposición con fines ajenos al fin público al que estaban destinados”.</w:t>
      </w:r>
    </w:p>
    <w:p w14:paraId="02ABF527" w14:textId="77777777" w:rsidR="003754FE" w:rsidRDefault="003754FE" w:rsidP="003754FE">
      <w:pPr>
        <w:pStyle w:val="TextoNormal"/>
      </w:pPr>
    </w:p>
    <w:p w14:paraId="0795F0F7" w14:textId="77777777" w:rsidR="003754FE" w:rsidRDefault="003754FE" w:rsidP="003754FE">
      <w:pPr>
        <w:pStyle w:val="TextoNormal"/>
      </w:pPr>
      <w:r>
        <w:t>De este modo la sentencia casacional efectúa un pronunciamiento nuevo en forma tal que al Sr. Márquez Contreras ya no se le atribuyen decisiones relacionadas con la actuación acertada o no como director general de Trabajo de la Consejería de Empleo, sino que pasa a atribuírsele un “propósito común” con los todos demás condenados, de quienes —sin excepción— pasa a declararse la existencia de un designio o intención directa de malversar fondos públicos, de tal manera que el Sr. Márquez a través de un dolo adhesivo se hubiera incorporado a dicha pretensión o propósito desde su nombramiento como director general de Trabajo.</w:t>
      </w:r>
    </w:p>
    <w:p w14:paraId="17178CD2" w14:textId="77777777" w:rsidR="003754FE" w:rsidRDefault="003754FE" w:rsidP="003754FE">
      <w:pPr>
        <w:pStyle w:val="TextoNormal"/>
      </w:pPr>
    </w:p>
    <w:p w14:paraId="2EDAD520" w14:textId="77777777" w:rsidR="003754FE" w:rsidRDefault="003754FE" w:rsidP="003754FE">
      <w:pPr>
        <w:pStyle w:val="TextoNormal"/>
      </w:pPr>
      <w:r>
        <w:t xml:space="preserve">Esto afecta a la posición defensiva del actor, que en su recurso de casación combatió la sentencia de instancia sosteniendo que en el ejercicio de sus funciones no dispuso en ningún momento, libérrimamente, de los fondos como si fueran propios, desviándolos de la </w:t>
      </w:r>
      <w:r>
        <w:lastRenderedPageBreak/>
        <w:t>finalidad pública, sino que, por el contrario, a su llegada a la Dirección General de Trabajo tomó decisiones y adoptó medidas para corregir un sistema mejorable.</w:t>
      </w:r>
    </w:p>
    <w:p w14:paraId="4EF8E45D" w14:textId="77777777" w:rsidR="003754FE" w:rsidRDefault="003754FE" w:rsidP="003754FE">
      <w:pPr>
        <w:pStyle w:val="TextoNormal"/>
      </w:pPr>
    </w:p>
    <w:p w14:paraId="401DB66E" w14:textId="77777777" w:rsidR="003754FE" w:rsidRDefault="003754FE" w:rsidP="003754FE">
      <w:pPr>
        <w:pStyle w:val="TextoNormal"/>
      </w:pPr>
      <w:r>
        <w:t>Ahora, lo que viene a pronunciar el Tribunal Supremo es que el Sr. Márquez habría actuado de previo acuerdo para delinquir no solo con los responsables de su centro directivo sino con las más altas autoridades de los Gobiernos de la Junta de Andalucía, adhiriéndose por consiguiente de forma voluntaria a un sistema implantado años antes.</w:t>
      </w:r>
    </w:p>
    <w:p w14:paraId="5EBEE12E" w14:textId="77777777" w:rsidR="003754FE" w:rsidRDefault="003754FE" w:rsidP="003754FE">
      <w:pPr>
        <w:pStyle w:val="TextoNormal"/>
      </w:pPr>
    </w:p>
    <w:p w14:paraId="142E024F" w14:textId="77777777" w:rsidR="003754FE" w:rsidRDefault="003754FE" w:rsidP="003754FE">
      <w:pPr>
        <w:pStyle w:val="TextoNormal"/>
      </w:pPr>
      <w:r>
        <w:t>Solicita por ello la nulidad de la sentencia de casación para que queden excluidos los extremos fácticos ajenos a la sentencia de instancia, lo que considera coadyuvará a la estimación del siguiente motivo de amparo.</w:t>
      </w:r>
    </w:p>
    <w:p w14:paraId="6674D41C" w14:textId="77777777" w:rsidR="003754FE" w:rsidRDefault="003754FE" w:rsidP="003754FE">
      <w:pPr>
        <w:pStyle w:val="TextoNormal"/>
      </w:pPr>
    </w:p>
    <w:p w14:paraId="366C8CD3" w14:textId="77777777" w:rsidR="003754FE" w:rsidRDefault="003754FE" w:rsidP="003754FE">
      <w:pPr>
        <w:pStyle w:val="TextoNormal"/>
      </w:pPr>
      <w:r>
        <w:t>c) Vulneración del derecho a la presunción de inocencia (art. 24.2 CE) al no existir un acervo probatorio concluyente y suficiente para sustentar la declaración de culpabilidad por el delito de malversación de caudales públicos.</w:t>
      </w:r>
    </w:p>
    <w:p w14:paraId="643A93A3" w14:textId="77777777" w:rsidR="003754FE" w:rsidRDefault="003754FE" w:rsidP="003754FE">
      <w:pPr>
        <w:pStyle w:val="TextoNormal"/>
      </w:pPr>
    </w:p>
    <w:p w14:paraId="28ECBC0D" w14:textId="77777777" w:rsidR="003754FE" w:rsidRDefault="003754FE" w:rsidP="003754FE">
      <w:pPr>
        <w:pStyle w:val="TextoNormal"/>
      </w:pPr>
      <w:r>
        <w:t>Afirma que la sentencia de instancia incurre en una valoración irracional de la prueba y en falta de lógica en sus inferencias, porque declara que parte de los fondos del programa 31L se destinaron a fines ajenos al interés público general, sin especificar qué concretas ayudas fueron desviadas, ni el motivo por el que haya que entender que fueron ajenas a una finalidad pública o social.</w:t>
      </w:r>
    </w:p>
    <w:p w14:paraId="4BCFBC81" w14:textId="77777777" w:rsidR="003754FE" w:rsidRDefault="003754FE" w:rsidP="003754FE">
      <w:pPr>
        <w:pStyle w:val="TextoNormal"/>
      </w:pPr>
    </w:p>
    <w:p w14:paraId="0323B27C" w14:textId="77777777" w:rsidR="003754FE" w:rsidRDefault="003754FE" w:rsidP="003754FE">
      <w:pPr>
        <w:pStyle w:val="TextoNormal"/>
      </w:pPr>
      <w:r>
        <w:t>Dice que fue pacíficamente admitido “por todos” en el proceso que del total de fondos del programa 31L, un 80-85 por 100 se aplicó a ayudas sociolaborales y un 15-20 por 100 a ayudas directas a empresas, y que tras la depuración administrativa realizada después de la incoación del proceso penal se determinó que solo un mínimo porcentaje de los 6300 trabajadores beneficiarios de las referidas ayudas, un 1 por 100 en total, no acreditaron su condición legítima de beneficiarios y fueron calificados de “intrusos”. Estos intrusos son parte pasiva en las piezas separadas de la causa matriz en las que todavía no se ha celebrado ningún juicio. Al resto de los trabajadores beneficiarios jamás se les ha reclamado la devolución de los fondos percibidos ni han sido llamados al proceso como copartícipes del delito de malversación o como responsables civiles o a título lucrativo. En cuanto a las ayudas directas a empresas, también se han abierto piezas separadas para investigar su concesión y adecuación a un fin público o social. Resulta así que una parte no cuantificada, ni por aproximación, en la sentencia de instancia, pero en cualquier caso significativa, de los fondos de la partida presupuestaria examinada, se otorgó para un legítimo fin público y social: atender necesidades urgentes de trabajadores despedidos y empresas en crisis.</w:t>
      </w:r>
    </w:p>
    <w:p w14:paraId="39B8AF31" w14:textId="77777777" w:rsidR="003754FE" w:rsidRDefault="003754FE" w:rsidP="003754FE">
      <w:pPr>
        <w:pStyle w:val="TextoNormal"/>
      </w:pPr>
    </w:p>
    <w:p w14:paraId="182BA3DC" w14:textId="77777777" w:rsidR="003754FE" w:rsidRDefault="003754FE" w:rsidP="003754FE">
      <w:pPr>
        <w:pStyle w:val="TextoNormal"/>
      </w:pPr>
      <w:r>
        <w:t xml:space="preserve">No fue objeto de debate ni se practicó en juicio prueba alguna sobre el eventual apartamiento o desvío de los fondos con cargo al programa 31L de su fin público, en concreto, no se debatió ni practicó prueba alguna sobre ninguna de las ayudas concedidas: circunstancias de su concesión, adecuación a un fin público o social, o aplicación a la finalidad pública que justificó su concesión. Y en tales condiciones de desertización probatoria es irracional tener por probado “(i) que los beneficiarios de ayudas tuvieran o no capacidad económica para hacer frente a las obligaciones y eventualmente su solicitud fuese fraudulenta, o que (ii) los mismos hubieren o no acreditado esa falta de capacidad en su momento, o que (iii) el órgano responsable, la DGT [Dirección General de Trabajo], a la hora de la concesión hubiere </w:t>
      </w:r>
      <w:r>
        <w:lastRenderedPageBreak/>
        <w:t>arbitrado o no los medios para efectuar las comprobaciones correspondientes sobre esa capacidad de los solicitantes”.</w:t>
      </w:r>
    </w:p>
    <w:p w14:paraId="124D221B" w14:textId="77777777" w:rsidR="003754FE" w:rsidRDefault="003754FE" w:rsidP="003754FE">
      <w:pPr>
        <w:pStyle w:val="TextoNormal"/>
      </w:pPr>
    </w:p>
    <w:p w14:paraId="71171A72" w14:textId="77777777" w:rsidR="003754FE" w:rsidRDefault="003754FE" w:rsidP="003754FE">
      <w:pPr>
        <w:pStyle w:val="TextoNormal"/>
      </w:pPr>
      <w:r>
        <w:t>Alude también a la mezcla que se hace entre los planos de la prevaricación (a que puede asociarse la supuesta ausencia de procedimiento) y la malversación (sustracción o desvío de caudales) de modo que “partiendo de una premisa inicial consistente en la ausencia de ‘expediente que permita acreditar el fin público y el destino de la ayuda’, se produce un salto al vacío en el discurso y la sentencia llega de manera ilógica e irracional a la conclusión de que las ayudas no se concedieron por razón de legítima finalidad pública o social y no se destinaron a la misma”. El único modo de poder razonablemente concluir que se ha producido una concesión ajena al fin público o que no se ha destinado la ayuda al mismo es analizando cada disposición de los fondos y acreditando, contradictoriamente y con todas las garantías, la existencia del desvío en cada caso, lo que no se ha hecho en este juicio porque las acusaciones no lo entendieron necesario.</w:t>
      </w:r>
    </w:p>
    <w:p w14:paraId="2A2F7976" w14:textId="77777777" w:rsidR="003754FE" w:rsidRDefault="003754FE" w:rsidP="003754FE">
      <w:pPr>
        <w:pStyle w:val="TextoNormal"/>
      </w:pPr>
    </w:p>
    <w:p w14:paraId="0A55505C" w14:textId="77777777" w:rsidR="003754FE" w:rsidRDefault="003754FE" w:rsidP="003754FE">
      <w:pPr>
        <w:pStyle w:val="TextoNormal"/>
      </w:pPr>
      <w:r>
        <w:t>Era carga de las acusaciones someter a debate y acreditar que los créditos presupuestarios, al gastarse, se desviaron de una finalidad pública legítima: en el caso de las ayudas sociolaborales, la existencia y la incidencia estadística de los intrusos en las pólizas; y en el caso de las ayudas a empresas, en qué casos las entregas no podían justificarse desde la perspectiva de un fin público legítimo, la situación de los solicitantes o la aplicación de la ayuda al fin previsto, con determinación del importe desviado.</w:t>
      </w:r>
    </w:p>
    <w:p w14:paraId="2DD7477C" w14:textId="77777777" w:rsidR="003754FE" w:rsidRDefault="003754FE" w:rsidP="003754FE">
      <w:pPr>
        <w:pStyle w:val="TextoNormal"/>
      </w:pPr>
    </w:p>
    <w:p w14:paraId="43B6653C" w14:textId="77777777" w:rsidR="003754FE" w:rsidRDefault="003754FE" w:rsidP="003754FE">
      <w:pPr>
        <w:pStyle w:val="TextoNormal"/>
      </w:pPr>
      <w:r>
        <w:t>El total vacío probatorio que se produjo en el juicio oral no puede ser colmado con una prueba referencial, como es la pericial de la Intervención General de la Administración del Estado, sobre la que se basa de manera exclusiva la condena y que carece de virtualidad para destruir la presunción de inocencia. El tribunal de instancia no explica cómo, a partir de la misma, llega a la conclusión de que entre los años 2000 y 2009 fondos públicos por importe de 690 000 000 de € fueron desviados de su legítima finalidad pública, ni de qué modo, en relación con dichos fondos o parte de los mismos, el Sr. Márquez realizó las conductas tipificadas como delito.</w:t>
      </w:r>
    </w:p>
    <w:p w14:paraId="5E1AE301" w14:textId="77777777" w:rsidR="003754FE" w:rsidRDefault="003754FE" w:rsidP="003754FE">
      <w:pPr>
        <w:pStyle w:val="TextoNormal"/>
      </w:pPr>
    </w:p>
    <w:p w14:paraId="23ACADD8" w14:textId="77777777" w:rsidR="003754FE" w:rsidRDefault="003754FE" w:rsidP="003754FE">
      <w:pPr>
        <w:pStyle w:val="TextoNormal"/>
      </w:pPr>
      <w:r>
        <w:t>Solicita por ello la nulidad parcial de las resoluciones impugnadas para que se excluya de las mismas la condena por delito de malversación de caudales públicos.</w:t>
      </w:r>
    </w:p>
    <w:p w14:paraId="3F6B34AB" w14:textId="77777777" w:rsidR="003754FE" w:rsidRDefault="003754FE" w:rsidP="003754FE">
      <w:pPr>
        <w:pStyle w:val="TextoNormal"/>
      </w:pPr>
    </w:p>
    <w:p w14:paraId="1614FB03" w14:textId="6A9A7912" w:rsidR="003754FE" w:rsidRDefault="003754FE" w:rsidP="003754FE">
      <w:pPr>
        <w:pStyle w:val="TextoNormal"/>
      </w:pPr>
      <w:r>
        <w:t>Por otrosí solicita la suspensión cautelar de la ejecución de la pena de prisión, invocando el art. 56.2 de la Ley Orgánica del Tribunal Constitucional (LOTC). Indica que la pena está actualmente suspendida por el tribunal sentenciador mientras se tramita el indulto que ha solicitado, aunque por un plazo máximo de un año.</w:t>
      </w:r>
    </w:p>
    <w:p w14:paraId="4906BFC8" w14:textId="77777777" w:rsidR="003754FE" w:rsidRDefault="003754FE" w:rsidP="003754FE">
      <w:pPr>
        <w:pStyle w:val="TextoNormal"/>
      </w:pPr>
    </w:p>
    <w:p w14:paraId="4AD9E1FD" w14:textId="77777777" w:rsidR="003754FE" w:rsidRDefault="003754FE" w:rsidP="003754FE">
      <w:pPr>
        <w:pStyle w:val="TextoNormal"/>
      </w:pPr>
      <w:r w:rsidRPr="003754FE">
        <w:rPr>
          <w:rStyle w:val="NumeroAFNegritaCaracter"/>
        </w:rPr>
        <w:t>4</w:t>
      </w:r>
      <w:r>
        <w:t>. La Sala Segunda de este tribunal dictó el ATC 289/2023, de 5 de junio, en el que, previa avocación a la Sala de la decisión de admisibilidad, admitió a trámite el presente recurso de amparo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14:paraId="06D1BF5F" w14:textId="77777777" w:rsidR="003754FE" w:rsidRDefault="003754FE" w:rsidP="003754FE">
      <w:pPr>
        <w:pStyle w:val="TextoNormal"/>
      </w:pPr>
    </w:p>
    <w:p w14:paraId="74FFC35A" w14:textId="77777777" w:rsidR="003754FE" w:rsidRDefault="003754FE" w:rsidP="003754FE">
      <w:pPr>
        <w:pStyle w:val="TextoNormal"/>
      </w:pPr>
      <w:r>
        <w:lastRenderedPageBreak/>
        <w:t>Acordó, en aplicación del art. 51 LOTC, requerir a la Sección Primera de la Audiencia Provincial de Sevilla para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w:t>
      </w:r>
    </w:p>
    <w:p w14:paraId="0AC4A0EE" w14:textId="77777777" w:rsidR="003754FE" w:rsidRDefault="003754FE" w:rsidP="003754FE">
      <w:pPr>
        <w:pStyle w:val="TextoNormal"/>
      </w:pPr>
    </w:p>
    <w:p w14:paraId="7E0054EE" w14:textId="77777777" w:rsidR="003754FE" w:rsidRDefault="003754FE" w:rsidP="003754FE">
      <w:pPr>
        <w:pStyle w:val="TextoNormal"/>
      </w:pPr>
      <w:r>
        <w:t>Ordenó formar pieza separada de suspensión y en ella conceder un plazo común de tres días al Ministerio Fiscal y al solicitante de amparo para que efectuasen alegaciones sobre dicha cuestión.</w:t>
      </w:r>
    </w:p>
    <w:p w14:paraId="0A76229E" w14:textId="77777777" w:rsidR="003754FE" w:rsidRDefault="003754FE" w:rsidP="003754FE">
      <w:pPr>
        <w:pStyle w:val="TextoNormal"/>
      </w:pPr>
    </w:p>
    <w:p w14:paraId="279D0AC7" w14:textId="77777777" w:rsidR="003754FE" w:rsidRDefault="003754FE" w:rsidP="003754FE">
      <w:pPr>
        <w:pStyle w:val="TextoNormal"/>
      </w:pPr>
      <w:r>
        <w:t>Se propuso finalmente la avocación al Pleno del conocimiento del asunto.</w:t>
      </w:r>
    </w:p>
    <w:p w14:paraId="4A42FFA7" w14:textId="77777777" w:rsidR="003754FE" w:rsidRDefault="003754FE" w:rsidP="003754FE">
      <w:pPr>
        <w:pStyle w:val="TextoNormal"/>
      </w:pPr>
    </w:p>
    <w:p w14:paraId="4D48DCE9" w14:textId="77777777" w:rsidR="003754FE" w:rsidRDefault="003754FE" w:rsidP="003754FE">
      <w:pPr>
        <w:pStyle w:val="TextoNormal"/>
      </w:pPr>
      <w:r>
        <w:t>Por providencia de 20 de junio de 2023 el Pleno de este tribunal acordó, conforme al art. 10.1 n) LOTC, a propuesta de la Sala Segunda, “recabar para sí el conocimiento del recurso de amparo que se tramita en dicha Sala con el número 2239-2023, interpuesto por don Juan Márquez Contreras”.</w:t>
      </w:r>
    </w:p>
    <w:p w14:paraId="2E99FD93" w14:textId="77777777" w:rsidR="003754FE" w:rsidRDefault="003754FE" w:rsidP="003754FE">
      <w:pPr>
        <w:pStyle w:val="TextoNormal"/>
      </w:pPr>
    </w:p>
    <w:p w14:paraId="2945827F" w14:textId="1CDF1B45" w:rsidR="003754FE" w:rsidRDefault="003754FE" w:rsidP="003754FE">
      <w:pPr>
        <w:pStyle w:val="TextoNormal"/>
      </w:pPr>
      <w:r>
        <w:t>Por ATC 439/2023, de 26 de septiembre, el Pleno de este tribunal, tras recibir las alegaciones del recurrente, del Ministerio Fiscal y del Partido Popular, denegó la suspensión cautelar de la pena de prisión de tres años porque la misma había sido suspendida por auto de la Audiencia Provincial de Sevilla de 15 de noviembre de 2022 en tanto se tramitaba la solicitud de indulto que había presentado.</w:t>
      </w:r>
    </w:p>
    <w:p w14:paraId="65C11389" w14:textId="77777777" w:rsidR="003754FE" w:rsidRDefault="003754FE" w:rsidP="003754FE">
      <w:pPr>
        <w:pStyle w:val="TextoNormal"/>
      </w:pPr>
    </w:p>
    <w:p w14:paraId="2133DA2C" w14:textId="77777777" w:rsidR="003754FE" w:rsidRDefault="003754FE" w:rsidP="003754FE">
      <w:pPr>
        <w:pStyle w:val="TextoNormal"/>
      </w:pPr>
      <w:r w:rsidRPr="003754FE">
        <w:rPr>
          <w:rStyle w:val="NumeroAFNegritaCaracter"/>
        </w:rPr>
        <w:t>5</w:t>
      </w:r>
      <w:r>
        <w:t>. Se han producido las siguientes incidencias en cuanto a la comparecencia, personación y las alegaciones de las partes procesales:</w:t>
      </w:r>
    </w:p>
    <w:p w14:paraId="4E49C545" w14:textId="77777777" w:rsidR="003754FE" w:rsidRDefault="003754FE" w:rsidP="003754FE">
      <w:pPr>
        <w:pStyle w:val="TextoNormal"/>
      </w:pPr>
    </w:p>
    <w:p w14:paraId="3FCD57C2" w14:textId="77777777" w:rsidR="003754FE" w:rsidRDefault="003754FE" w:rsidP="003754FE">
      <w:pPr>
        <w:pStyle w:val="TextoNormal"/>
      </w:pPr>
      <w:r>
        <w:t>a) Por diligencia de ordenación de la Secretaría de Justicia del Pleno de 24 de julio de 2023 se tuvo por recibida de la Sección Primera de la Audiencia Provincial de Sevilla copia en formato digital de las actuaciones correspondientes al procedimiento abreviado núm. 133-2016, rollo núm. 1965-2017, y los emplazamientos practicados. Observándose que no se había emplazado a todas las partes del mencionado procedimiento, se acordó remitir nuevo oficio a la Sección Primera de la Audiencia Provincial de Sevilla, a fin de que procediera a emplazar a todas las partes, a excepción de la recurrente en el presente proceso y de las ya emplazadas, con entrega de copia de la demanda, para que en el plazo de diez días pudieran comparecer en el presente recurso de amparo.</w:t>
      </w:r>
    </w:p>
    <w:p w14:paraId="4B3AB255" w14:textId="77777777" w:rsidR="003754FE" w:rsidRDefault="003754FE" w:rsidP="003754FE">
      <w:pPr>
        <w:pStyle w:val="TextoNormal"/>
      </w:pPr>
    </w:p>
    <w:p w14:paraId="4B43DBAC" w14:textId="77777777" w:rsidR="003754FE" w:rsidRDefault="003754FE" w:rsidP="003754FE">
      <w:pPr>
        <w:pStyle w:val="TextoNormal"/>
      </w:pPr>
      <w:r>
        <w:t xml:space="preserve">b) Por escrito presentado el 25 de julio de 2023, el procurador de los tribunales don Manuel Sánchez-Puelles y González-Carvajal, actuando en nombre y representación del Partido Popular, bajo la dirección técnica de los letrados don Ángel Márquez Prieto y don Alfonso Martínez Escribano, solicitó se le tuviera por personado en el procedimiento, así como la acumulación de los recursos de amparo dimanantes de la misma causa penal. Por diligencia de ordenación de la Secretaría de Justicia del Pleno de este tribunal de 27 de julio de 2023, se admitió su personación y, a tenor de lo dispuesto en el art. 52 LOTC, se acordó dar vista de todas las actuaciones del presente recurso de amparo, por un plazo común de veinte </w:t>
      </w:r>
      <w:r>
        <w:lastRenderedPageBreak/>
        <w:t>días, a la parte recurrente, al Partido Popular y al Ministerio Fiscal para que dentro de dicho término pudieran presentar las alegaciones que estimasen procedentes.</w:t>
      </w:r>
    </w:p>
    <w:p w14:paraId="4D218EEE" w14:textId="77777777" w:rsidR="003754FE" w:rsidRDefault="003754FE" w:rsidP="003754FE">
      <w:pPr>
        <w:pStyle w:val="TextoNormal"/>
      </w:pPr>
    </w:p>
    <w:p w14:paraId="7972CBA1" w14:textId="77777777" w:rsidR="003754FE" w:rsidRDefault="003754FE" w:rsidP="003754FE">
      <w:pPr>
        <w:pStyle w:val="TextoNormal"/>
      </w:pPr>
      <w:r>
        <w:t>c) Por escrito presentado el 19 de septiembre de 2023, el demandante de amparo formuló alegaciones en las que reitera los fundamentos de los motivos desarrollados en su demanda.</w:t>
      </w:r>
    </w:p>
    <w:p w14:paraId="08E04C6F" w14:textId="77777777" w:rsidR="003754FE" w:rsidRDefault="003754FE" w:rsidP="003754FE">
      <w:pPr>
        <w:pStyle w:val="TextoNormal"/>
      </w:pPr>
    </w:p>
    <w:p w14:paraId="5643BF7F" w14:textId="77777777" w:rsidR="003754FE" w:rsidRDefault="003754FE" w:rsidP="003754FE">
      <w:pPr>
        <w:pStyle w:val="TextoNormal"/>
      </w:pPr>
      <w:r>
        <w:t>d) Por escrito presentado el 26 de septiembre de 2023, el Partido Popular formuló alegaciones en las que interesó la desestimación del recurso de amparo. En síntesis, manifiesta su sustancial conformidad con los fundamentos fácticos y jurídicos de las resoluciones judiciales impugnadas, al tiempo que reprocha al recurso de amparo haber hecho una selección parcial y fragmentada de los fundamentos de la condena.</w:t>
      </w:r>
    </w:p>
    <w:p w14:paraId="74CAD52D" w14:textId="77777777" w:rsidR="003754FE" w:rsidRDefault="003754FE" w:rsidP="003754FE">
      <w:pPr>
        <w:pStyle w:val="TextoNormal"/>
      </w:pPr>
    </w:p>
    <w:p w14:paraId="581E68B8" w14:textId="77777777" w:rsidR="003754FE" w:rsidRDefault="003754FE" w:rsidP="003754FE">
      <w:pPr>
        <w:pStyle w:val="TextoNormal"/>
      </w:pPr>
      <w:r>
        <w:t>Rebate el primer motivo de amparo, relativo a la comunicación anticipada del fallo, porque la Sala de lo Penal del Tribunal Supremo, cuando dictó la providencia que lo daba a conocer, así como un comunicado de prensa con el mismo contenido, ya había concluido sus deliberaciones y solo estaba pendiente la redacción del voto particular anunciado. No hubo por lo tanto una filtración ni una imputación anticipada de la culpabilidad de los acusados, por lo que no se vulneraron sus derechos a la presunción de inocencia y al honor, debiendo prevalecer en la ponderación de los intereses en juego la libertad de información [art. 20.1 d) CE] y el principio de publicidad de la justicia (art. 120.1 CE).</w:t>
      </w:r>
    </w:p>
    <w:p w14:paraId="3693CC12" w14:textId="77777777" w:rsidR="003754FE" w:rsidRDefault="003754FE" w:rsidP="003754FE">
      <w:pPr>
        <w:pStyle w:val="TextoNormal"/>
      </w:pPr>
    </w:p>
    <w:p w14:paraId="67D23BD8" w14:textId="77777777" w:rsidR="003754FE" w:rsidRDefault="003754FE" w:rsidP="003754FE">
      <w:pPr>
        <w:pStyle w:val="TextoNormal"/>
      </w:pPr>
      <w:r>
        <w:t xml:space="preserve">Rechaza el segundo motivo de amparo, que denunciaba que la sentencia de casación introdujo datos fácticos que no estaban en el relato de hechos probados de la sentencia de instancia, con el argumento de que las únicas divergencias apreciables entre ambas resoluciones judiciales son puramente jurídicas y referidas: (i) a la finalidad perseguida por los acusados, pues la sentencia de instancia asocia la agilización del sistema de subvenciones a un cúmulo de ilegalidades que detalla y que es consecuencia de la eliminación de controles; (ii) a la concurrencia de un dolo directo o eventual, distinción que es producto de la valoración jurídica de los hechos, no de la alteración del </w:t>
      </w:r>
      <w:r w:rsidRPr="003754FE">
        <w:rPr>
          <w:i/>
        </w:rPr>
        <w:t>factum</w:t>
      </w:r>
      <w:r>
        <w:t xml:space="preserve"> de la sentencia de instancia, y (iii) a los distintos criterios de autoría, fruto nuevamente de la aplicación de un distinto enfoque jurídico y argumental a los presupuestos fácticos de la sentencia recurrida en casación. Prosigue diciendo que la sentencia del Tribunal Supremo no introduce hechos nuevos cuando reitera la cita de las pruebas de cargo que hace la sentencia recurrida, y que dedica extensos razonamientos al examen de la concurrencia de los requisitos de los delitos de prevaricación y de malversación.</w:t>
      </w:r>
    </w:p>
    <w:p w14:paraId="71E2376F" w14:textId="77777777" w:rsidR="003754FE" w:rsidRDefault="003754FE" w:rsidP="003754FE">
      <w:pPr>
        <w:pStyle w:val="TextoNormal"/>
      </w:pPr>
    </w:p>
    <w:p w14:paraId="074B0088" w14:textId="77777777" w:rsidR="003754FE" w:rsidRDefault="003754FE" w:rsidP="003754FE">
      <w:pPr>
        <w:pStyle w:val="TextoNormal"/>
      </w:pPr>
      <w:r>
        <w:t>Aduce finalmente que no se ha vulnerado el derecho a la presunción de inocencia por falta de prueba del delito de malversación de caudales públicos, adhiriéndose a los razonamientos contenidos, entre otros, en el fundamento de Derecho 135 de la sentencia del Tribunal Supremo, en el que se hace una enumeración detallada de las pruebas en las que el tribunal de instancia fundó su convicción, se ratifica la regularidad y razonabilidad de su valoración, y se confirma la corrección del juicio de subsunción de los hechos en la figura agravada del delito de malversación de caudales públicos.</w:t>
      </w:r>
    </w:p>
    <w:p w14:paraId="75EBCC58" w14:textId="77777777" w:rsidR="003754FE" w:rsidRDefault="003754FE" w:rsidP="003754FE">
      <w:pPr>
        <w:pStyle w:val="TextoNormal"/>
      </w:pPr>
    </w:p>
    <w:p w14:paraId="3C0F510B" w14:textId="77777777" w:rsidR="003754FE" w:rsidRDefault="003754FE" w:rsidP="003754FE">
      <w:pPr>
        <w:pStyle w:val="TextoNormal"/>
      </w:pPr>
      <w:r>
        <w:t xml:space="preserve">e) Por escrito presentado el 9 de octubre de 2023, la procuradora de los tribunales doña Patricia Roch Iglesias, actuando en nombre y representación de don Francisco Vallejo Serrano, bajo la dirección de la letrada doña Encarnación Molino Barrero, solicitó se la tuviera </w:t>
      </w:r>
      <w:r>
        <w:lastRenderedPageBreak/>
        <w:t>por personada en el procedimiento a los efectos previstos en los arts. 47.1, 51.2 y 52.1 LOTC y concordantes.</w:t>
      </w:r>
    </w:p>
    <w:p w14:paraId="7AC2CF0F" w14:textId="77777777" w:rsidR="003754FE" w:rsidRDefault="003754FE" w:rsidP="003754FE">
      <w:pPr>
        <w:pStyle w:val="TextoNormal"/>
      </w:pPr>
    </w:p>
    <w:p w14:paraId="7516BF71" w14:textId="77777777" w:rsidR="003754FE" w:rsidRDefault="003754FE" w:rsidP="003754FE">
      <w:pPr>
        <w:pStyle w:val="TextoNormal"/>
      </w:pPr>
      <w:r>
        <w:t>f) Por escrito presentado igualmente el 9 de octubre de 2023, la procuradora de los tribunales doña Patricia Roch Iglesias, actuando en nombre y representación de don Jesús María Rodríguez Román, bajo la dirección del letrado don Luis Aparicio Díaz, solicitó se la tuviera por personada en el procedimiento a los efectos previstos en los arts. 47.1, 51.2 y 52.1 LOTC y concordantes.</w:t>
      </w:r>
    </w:p>
    <w:p w14:paraId="1D24E944" w14:textId="77777777" w:rsidR="003754FE" w:rsidRDefault="003754FE" w:rsidP="003754FE">
      <w:pPr>
        <w:pStyle w:val="TextoNormal"/>
      </w:pPr>
    </w:p>
    <w:p w14:paraId="40E27EDE" w14:textId="77777777" w:rsidR="003754FE" w:rsidRDefault="003754FE" w:rsidP="003754FE">
      <w:pPr>
        <w:pStyle w:val="TextoNormal"/>
      </w:pPr>
      <w:r>
        <w:t>g) Por escrito presentado el 10 de octubre de 2023, el procurador de los tribunales don Roberto Granizo Palomeque, actuando en nombre y representación de don Antonio Vicente Lozano Peña y don José Antonio Griñán Martínez, bajo la dirección del letrado don José María Calero Martínez, solicitó se le tuviera por personado en el procedimiento.</w:t>
      </w:r>
    </w:p>
    <w:p w14:paraId="7DA56749" w14:textId="77777777" w:rsidR="003754FE" w:rsidRDefault="003754FE" w:rsidP="003754FE">
      <w:pPr>
        <w:pStyle w:val="TextoNormal"/>
      </w:pPr>
    </w:p>
    <w:p w14:paraId="0900271D" w14:textId="77777777" w:rsidR="003754FE" w:rsidRDefault="003754FE" w:rsidP="003754FE">
      <w:pPr>
        <w:pStyle w:val="TextoNormal"/>
      </w:pPr>
      <w:r>
        <w:t>h) Por diligencia de ordenación de 23 de octubre de 2023 se tuvieron por recibidos los emplazamientos practicados por la Sección Primera de la Audiencia Provincial de Sevilla y se acordó tener por personados y parte en el proceso a la procuradora doña Patricia Rosch Iglesias, en nombre y representación de don Francisco Vallejo Serrano, a la misma procuradora Sra. Rosch Iglesias, en nombre y representación de don Jesús María Rodríguez Román, y al procurador don Roberto Granizo Palomeque, en nombre y representación de don Antonio Vicente Lozano Peña y don José Antonio Griñán Martínez.</w:t>
      </w:r>
    </w:p>
    <w:p w14:paraId="3E15C997" w14:textId="77777777" w:rsidR="003754FE" w:rsidRDefault="003754FE" w:rsidP="003754FE">
      <w:pPr>
        <w:pStyle w:val="TextoNormal"/>
      </w:pPr>
    </w:p>
    <w:p w14:paraId="5AFC7D1A" w14:textId="77777777" w:rsidR="003754FE" w:rsidRDefault="003754FE" w:rsidP="003754FE">
      <w:pPr>
        <w:pStyle w:val="TextoNormal"/>
      </w:pPr>
      <w:r>
        <w:t>Asimismo, a tenor de lo dispuesto en el artículo 52 LOTC, se dio vista de todas las actuaciones del presente recurso de amparo, por un plazo común de veinte días, a las citadas partes personadas, para que dentro de dicho término pudieran presentar las alegaciones que a su derecho conviniera.</w:t>
      </w:r>
    </w:p>
    <w:p w14:paraId="0AB1CBCE" w14:textId="77777777" w:rsidR="003754FE" w:rsidRDefault="003754FE" w:rsidP="003754FE">
      <w:pPr>
        <w:pStyle w:val="TextoNormal"/>
      </w:pPr>
    </w:p>
    <w:p w14:paraId="340C479A" w14:textId="77777777" w:rsidR="003754FE" w:rsidRDefault="003754FE" w:rsidP="003754FE">
      <w:pPr>
        <w:pStyle w:val="TextoNormal"/>
      </w:pPr>
      <w:r>
        <w:t>i) Por escrito presentado el 26 de octubre de 2023 el fiscal ante el Tribunal Constitucional solicitó una prórroga para evacuar las alegaciones previstas en el art. 52 LOTC, por un plazo de treinta días hábiles complementarios a contar desde la conclusión del plazo ordinario, prevista para el 8 de noviembre de 2023. Por diligencia de ordenación de 30 de octubre de 2023 se tuvo por recibido el anterior escrito del fiscal y se acordó ampliar el plazo en los términos solicitados.</w:t>
      </w:r>
    </w:p>
    <w:p w14:paraId="317DBF53" w14:textId="77777777" w:rsidR="003754FE" w:rsidRDefault="003754FE" w:rsidP="003754FE">
      <w:pPr>
        <w:pStyle w:val="TextoNormal"/>
      </w:pPr>
    </w:p>
    <w:p w14:paraId="7BD7E675" w14:textId="77777777" w:rsidR="003754FE" w:rsidRDefault="003754FE" w:rsidP="003754FE">
      <w:pPr>
        <w:pStyle w:val="TextoNormal"/>
      </w:pPr>
      <w:r>
        <w:t>j) Por escrito presentado el 2 de noviembre de 2023, la representación procesal de don Antonio Vicente Lozano Peña evacuó escrito de alegaciones en el que se adhirió a los motivos primero y segundo del presente recurso de amparo, y a la petición de nulidad de las sentencias impugnadas en el mismo.</w:t>
      </w:r>
    </w:p>
    <w:p w14:paraId="36AD2780" w14:textId="77777777" w:rsidR="003754FE" w:rsidRDefault="003754FE" w:rsidP="003754FE">
      <w:pPr>
        <w:pStyle w:val="TextoNormal"/>
      </w:pPr>
    </w:p>
    <w:p w14:paraId="3A87A89C" w14:textId="77777777" w:rsidR="003754FE" w:rsidRDefault="003754FE" w:rsidP="003754FE">
      <w:pPr>
        <w:pStyle w:val="TextoNormal"/>
      </w:pPr>
      <w:r>
        <w:t>k) Por escrito presentado el 2 de noviembre de 2023, la representación procesal de don José Antonio Griñán Martínez evacuó escrito de alegaciones en el que se adhirió a los motivos primero y segundo del presente recurso de amparo, y a la petición de nulidad de las sentencias impugnadas en el mismo.</w:t>
      </w:r>
    </w:p>
    <w:p w14:paraId="4A67F929" w14:textId="77777777" w:rsidR="003754FE" w:rsidRDefault="003754FE" w:rsidP="003754FE">
      <w:pPr>
        <w:pStyle w:val="TextoNormal"/>
      </w:pPr>
    </w:p>
    <w:p w14:paraId="5533B6E9" w14:textId="77777777" w:rsidR="003754FE" w:rsidRDefault="003754FE" w:rsidP="003754FE">
      <w:pPr>
        <w:pStyle w:val="TextoNormal"/>
      </w:pPr>
      <w:r>
        <w:t xml:space="preserve">l) Por escrito presentado el 20 de noviembre de 2023, la representación procesal de don Jesús María Rodríguez Román presentó escrito de alegaciones en el que solicitó la estimación del presente recurso de amparo, que se declarase la vulneración del derecho </w:t>
      </w:r>
      <w:r>
        <w:lastRenderedPageBreak/>
        <w:t>fundamental a la legalidad sancionadora (art. 25.1 CE) y que se declarasen nulas las sentencias impugnadas en el mismo.</w:t>
      </w:r>
    </w:p>
    <w:p w14:paraId="7315D7D9" w14:textId="77777777" w:rsidR="003754FE" w:rsidRDefault="003754FE" w:rsidP="003754FE">
      <w:pPr>
        <w:pStyle w:val="TextoNormal"/>
      </w:pPr>
    </w:p>
    <w:p w14:paraId="6ADF675D" w14:textId="77777777" w:rsidR="003754FE" w:rsidRDefault="003754FE" w:rsidP="003754FE">
      <w:pPr>
        <w:pStyle w:val="TextoNormal"/>
      </w:pPr>
      <w:r>
        <w:t>Aduce que, en relación con el delito de malversación de caudales públicos del art. 432 CP, no existió connivencia o acuerdo en el actuar delictivo, ni en forma de coautoría con división de funciones, que es lo que sostiene la Audiencia Provincial, ni como autoría individual, por la que se inclina el Tribunal Supremo. No se justifica la comisión por omisión, pues no se establece el fundamento de la supuesta posición de garante de los condenados, ni tan siquiera se cita el art. 11 CP. Tampoco se justifica la concurrencia del elemento subjetivo del tipo, el Tribunal Supremo aprecia un dolo directo, separándose del criterio de la sentencia de instancia, que consideró el dolo eventual.</w:t>
      </w:r>
    </w:p>
    <w:p w14:paraId="235BBF82" w14:textId="77777777" w:rsidR="003754FE" w:rsidRDefault="003754FE" w:rsidP="003754FE">
      <w:pPr>
        <w:pStyle w:val="TextoNormal"/>
      </w:pPr>
    </w:p>
    <w:p w14:paraId="0B068F48" w14:textId="2336288C" w:rsidR="003754FE" w:rsidRDefault="003754FE" w:rsidP="003754FE">
      <w:pPr>
        <w:pStyle w:val="TextoNormal"/>
      </w:pPr>
      <w:r>
        <w:t xml:space="preserve">m) Por escrito presentado el 23 de noviembre de 2023, la representación procesal de don Francisco Vallejo Serrano evacuó escrito de alegaciones en el que rebate que hubiera existido prueba del delito de malversación de caudales públicos, y considera vulnerado el derecho a la presunción de inocencia de su representado, de don Juan Márquez Jurado y del resto de los condenados. Afirma que el Tribunal Supremo sustenta la condena por malversación en base a unas ayudas singulares, de las que no se interesó ni practicó prueba alguna ante la Audiencia Provincial de Sevilla, porque fueron expresamente excluidas del objeto de enjuiciamiento, tal y como se determinó con claridad meridiana al resolverse por el tribunal enjuiciador la cuestión previa planteada por el Ministerio Fiscal. Considera que se produjo una extensión o ampliación arbitraria del objeto de enjuiciamiento en fase de recurso de casación, como respuesta a los recursos de las defensas, que motivó la lesión del derecho fundamental </w:t>
      </w:r>
      <w:r w:rsidRPr="003754FE">
        <w:rPr>
          <w:i/>
        </w:rPr>
        <w:t>ex</w:t>
      </w:r>
      <w:r>
        <w:t xml:space="preserve"> art. 24.2 CE.</w:t>
      </w:r>
    </w:p>
    <w:p w14:paraId="70A7425C" w14:textId="77777777" w:rsidR="003754FE" w:rsidRDefault="003754FE" w:rsidP="003754FE">
      <w:pPr>
        <w:pStyle w:val="TextoNormal"/>
      </w:pPr>
    </w:p>
    <w:p w14:paraId="6CCFE8F1" w14:textId="77777777" w:rsidR="003754FE" w:rsidRDefault="003754FE" w:rsidP="003754FE">
      <w:pPr>
        <w:pStyle w:val="TextoNormal"/>
      </w:pPr>
      <w:r w:rsidRPr="003754FE">
        <w:rPr>
          <w:rStyle w:val="NumeroAFNegritaCaracter"/>
        </w:rPr>
        <w:t>6</w:t>
      </w:r>
      <w:r>
        <w:t>. Por escrito presentado el 8 de enero de 2024, el Ministerio Fiscal formuló alegaciones en las que interesó la íntegra desestimación de la demanda de amparo.</w:t>
      </w:r>
    </w:p>
    <w:p w14:paraId="4792FFCD" w14:textId="77777777" w:rsidR="003754FE" w:rsidRDefault="003754FE" w:rsidP="003754FE">
      <w:pPr>
        <w:pStyle w:val="TextoNormal"/>
      </w:pPr>
    </w:p>
    <w:p w14:paraId="343FFCC8" w14:textId="77777777" w:rsidR="003754FE" w:rsidRDefault="003754FE" w:rsidP="003754FE">
      <w:pPr>
        <w:pStyle w:val="TextoNormal"/>
      </w:pPr>
      <w:r>
        <w:t>El fiscal jefe de la Fiscalía ante el Tribunal Constitucional, tras identificar las resoluciones judiciales impugnadas en la demanda de amparo interpuesta por don Juan Márquez Contreras, y los derechos fundamentales cuya vulneración denuncia, examina con carácter preliminar el cumplimiento de los presupuestos procesales del art. 44 LOTC y concluye que el recurso no suscita óbice alguno de admisibilidad, pues los dos primeros motivos de amparo coinciden en lo sustancial con los motivos de nulidad formulados en el incidente de nulidad contra la sentencia de casación, mientras que el tercer motivo tiene su correlato en la invocación del derecho a la presunción de inocencia en el primer motivo de casación formalizado por el conducto del art. 852 LECrim en correlación con el art. 5.4 LOPJ, asegurándose de este modo el agotamiento de la vía judicial previa en relación con todos los motivos de amparo [art. 44.1 a)], y evidenciándose asimismo con ello que se ha satisfecho la exigencia de invocación previa del derecho fundamental que deriva del artículo 44.1 c) LOTC. Seguidamente analiza los tres motivos de amparo esgrimidos en la demanda:</w:t>
      </w:r>
    </w:p>
    <w:p w14:paraId="1C25DFAF" w14:textId="77777777" w:rsidR="003754FE" w:rsidRDefault="003754FE" w:rsidP="003754FE">
      <w:pPr>
        <w:pStyle w:val="TextoNormal"/>
      </w:pPr>
    </w:p>
    <w:p w14:paraId="25221BF4" w14:textId="77777777" w:rsidR="003754FE" w:rsidRDefault="003754FE" w:rsidP="003754FE">
      <w:pPr>
        <w:pStyle w:val="TextoNormal"/>
      </w:pPr>
      <w:r>
        <w:t xml:space="preserve">(i) En lo que se refiere a la vulneración del derecho a la presunción de inocencia (art. 24.2 CE), del derecho al honor (art. 18.1 CE), a un proceso con todas las garantías y a la legalidad procesal (art. 24.2 CE) y a la tutela judicial efectiva, que se achacan a la anticipación del fallo de la sentencia de casación en la providencia de 26 de julio de 2022, el fiscal, tras hacer una síntesis de los argumentos empleados en la demanda de amparo, examina el encuadramiento constitucional de la actuación denunciada, a cuyo efecto cita la STC </w:t>
      </w:r>
      <w:r>
        <w:lastRenderedPageBreak/>
        <w:t>244/2007, de 10 de diciembre, que en un caso de declaraciones públicas de un responsable político en las que se imputaba determinados delitos a una persona detenida en el curso de una operación antiterrorista, centró la vulneración en el derecho al honor, estableciendo que se trataría en definitiva de “resolver el eventual conflicto entre el derecho a comunicar información veraz y el derecho al honor”, lo que “exige un análisis particularmente contextualizado de las circunstancias de cada caso”.</w:t>
      </w:r>
    </w:p>
    <w:p w14:paraId="476BF012" w14:textId="77777777" w:rsidR="003754FE" w:rsidRDefault="003754FE" w:rsidP="003754FE">
      <w:pPr>
        <w:pStyle w:val="TextoNormal"/>
      </w:pPr>
    </w:p>
    <w:p w14:paraId="1731C680" w14:textId="77777777" w:rsidR="003754FE" w:rsidRDefault="003754FE" w:rsidP="003754FE">
      <w:pPr>
        <w:pStyle w:val="TextoNormal"/>
      </w:pPr>
      <w:r>
        <w:t>El fiscal desecha, en primer lugar, que la difusión anticipada del fallo tuviera el soporte legal invocado en el auto de inadmisión del incidente de nulidad de actuaciones, pues los arts. 787.6 y 789.2 LECrim no se refieren a la difusión pública anticipada del fallo de la sentencia, sino a su dictado en forma oral, el art. 260.2 LOPJ, reproducido en el art. 205.2 de la Ley de enjuiciamiento civil, lo que establece es que la notificación de la sentencia ha de ser simultánea a la de los votos particulares emitidos por los magistrados discrepantes, lo que justifica el retraso en la notificación de la sentencia, y la referencia a la práctica habitual de publicitar anticipadamente el fallo carece en sí misma de previsión legal, por lo que el único argumento determinante para justificar la publicación anticipada del fallo sería el que se refiere a la voluntad de trasladar a las partes y al público en general un hecho de indudable relevancia informativa, y aun en este ámbito habría que tener en cuenta que, conforme a doctrina constitucional que cita, los sujetos titulares de la libertad de información del art. 20.1 d) CE son la colectividad, cada uno de sus ciudadanos y los profesionales del periodismo, en ningún caso las instituciones públicas y sus órganos, lo que no impide que, conforme a la citada STC 244/2007, se entienda que el problema suscitado es el de los límites que han de enmarcar el deber de los poderes públicos al informar de sus actuaciones sobre determinados asuntos que afectan a bienes cuya protección les está encomendada, en tanto en cuanto tal información puede facilitar la libre difusión y recepción de información veraz (STC 178/1993, de 31 de mayo, FJ 4) entendida como garantía institucional de la existencia de una opinión pública libre (STC 171/2004, de 18 de octubre, FJ 2, entre muchas otras).</w:t>
      </w:r>
    </w:p>
    <w:p w14:paraId="626684DC" w14:textId="77777777" w:rsidR="003754FE" w:rsidRDefault="003754FE" w:rsidP="003754FE">
      <w:pPr>
        <w:pStyle w:val="TextoNormal"/>
      </w:pPr>
    </w:p>
    <w:p w14:paraId="22A4841F" w14:textId="77777777" w:rsidR="003754FE" w:rsidRDefault="003754FE" w:rsidP="003754FE">
      <w:pPr>
        <w:pStyle w:val="TextoNormal"/>
      </w:pPr>
      <w:r>
        <w:t xml:space="preserve">El fiscal apunta como factores de ponderación relevantes a la hora de valorar la intensidad en la injerencia en el derecho al honor del demandante que ya había sido condenado en primera instancia a una pena superior a la que fijó definitivamente el Tribunal Supremo, que la condena era ya pública y notoria, que había recaído en un asunto cuya relevancia e interés público reconoce la propia demanda de amparo, y que la finalidad aducida por el Tribunal Supremo en su auto era responder a esa atención, es decir, al derecho fundamental del conjunto de la ciudadanía a recibir información veraz, con datos auténticos y plenamente fiables en tanto que directamente procedentes de la fuente misma de la información, evitando posibles filtraciones interesadas. Se da la circunstancia, además, de que a diferencia del caso tratado en la STC 244/2007 no se enjuicia la conducta de un tercero ajeno al procedimiento judicial cuya intervención en la difusión o valoración pública de datos o informaciones procedentes de aquel implica una vulneración de la presunción de inocencia como regla de tratamiento extraprocesal, sino que es el propio órgano legalmente competente para declarar la culpabilidad o la inocencia del acusado el que, sobre la base de una previa condena en la instancia, y con la certeza —que además hace expresamente pública— de que la decisión adoptada es ya definitiva, la difunde para dar satisfacción a un interés constitucionalmente legítimo como es el de asegurar una información institucional que ofrezca garantías plenas de veracidad y certeza, evitando eventuales filtraciones inexactas o incluso interesadas, y dando con ello satisfacción al correlativo derecho de los ciudadanos a obtener, </w:t>
      </w:r>
      <w:r>
        <w:lastRenderedPageBreak/>
        <w:t>precisamente, una información veraz. Concluye por ello que no se han vulnerado los derechos alegados por el demandante.</w:t>
      </w:r>
    </w:p>
    <w:p w14:paraId="2AA3E3A0" w14:textId="77777777" w:rsidR="003754FE" w:rsidRDefault="003754FE" w:rsidP="003754FE">
      <w:pPr>
        <w:pStyle w:val="TextoNormal"/>
      </w:pPr>
    </w:p>
    <w:p w14:paraId="53958CC6" w14:textId="77777777" w:rsidR="003754FE" w:rsidRDefault="003754FE" w:rsidP="003754FE">
      <w:pPr>
        <w:pStyle w:val="TextoNormal"/>
      </w:pPr>
      <w:r>
        <w:t xml:space="preserve">(ii) En lo que se refiere a la vulneración del derecho a un proceso con todas las garantías (art. 24.2 CE), a la presunción de inocencia (art. 24.2 CE) y a la tutela judicial efectiva sin indefensión (art. 24.1 CE) que la demanda funda en que se incluyeron </w:t>
      </w:r>
      <w:r w:rsidRPr="003754FE">
        <w:rPr>
          <w:i/>
        </w:rPr>
        <w:t>ex novo</w:t>
      </w:r>
      <w:r>
        <w:t xml:space="preserve"> en la sentencia de casación datos fácticos ajenos al </w:t>
      </w:r>
      <w:r w:rsidRPr="003754FE">
        <w:rPr>
          <w:i/>
        </w:rPr>
        <w:t>factum</w:t>
      </w:r>
      <w:r>
        <w:t xml:space="preserve"> de la sentencia de instancia, el fiscal, tras sintetizar los argumentos utilizados en la demanda de amparo para hacer valer tales vulneraciones, concluye que las razones desarrolladas en el auto que inadmitió el incidente de nulidad de actuaciones para desestimarlas están debidamente justificadas.</w:t>
      </w:r>
    </w:p>
    <w:p w14:paraId="460D7525" w14:textId="77777777" w:rsidR="003754FE" w:rsidRDefault="003754FE" w:rsidP="003754FE">
      <w:pPr>
        <w:pStyle w:val="TextoNormal"/>
      </w:pPr>
    </w:p>
    <w:p w14:paraId="7EEA6366" w14:textId="77777777" w:rsidR="003754FE" w:rsidRDefault="003754FE" w:rsidP="003754FE">
      <w:pPr>
        <w:pStyle w:val="TextoNormal"/>
      </w:pPr>
      <w:r>
        <w:t xml:space="preserve">El fiscal aduce, en primer lugar, que el desarrollo argumental del motivo parece concentrarse en la infracción del principio acusatorio, o su proyección en la debida congruencia de la sentencia por incumplimiento de las exigencias derivadas del derecho a conocer la acusación, como consecuencia de que el Tribunal Supremo introdujo en sede casacional dos afirmaciones fácticas que alteran, en perjuicio del recurrente, el relato de hechos probados de la instancia, lo que a su vez le lleva a extender ese reproche a la apreciación de una </w:t>
      </w:r>
      <w:r w:rsidRPr="003754FE">
        <w:rPr>
          <w:i/>
        </w:rPr>
        <w:t>refomatio in peius</w:t>
      </w:r>
      <w:r>
        <w:t>. Perfilado en estos términos el encuadramiento constitucional de la queja, el fiscal cita doctrina constitucional sobre las garantías inherentes al principio acusatorio (entre ellas, las SSTC 36/1996, de 11 de marzo, FJ 4; 302/2000, de 11 de diciembre, FJ 3; 174/2003, de 29 de septiembre, FJ 8, y 40/2004, de 22 de marzo, FJ 2).</w:t>
      </w:r>
    </w:p>
    <w:p w14:paraId="35BF30CF" w14:textId="77777777" w:rsidR="003754FE" w:rsidRDefault="003754FE" w:rsidP="003754FE">
      <w:pPr>
        <w:pStyle w:val="TextoNormal"/>
      </w:pPr>
    </w:p>
    <w:p w14:paraId="3BB61ECA" w14:textId="77777777" w:rsidR="003754FE" w:rsidRDefault="003754FE" w:rsidP="003754FE">
      <w:pPr>
        <w:pStyle w:val="TextoNormal"/>
      </w:pPr>
      <w:r>
        <w:t>Considera el fiscal que el auto de inadmisión de la nulidad de actuaciones explica claramente que tantas veces como el tribunal de instancia se refiere a la intención política —legítima— de acelerar el procedimiento de asignación, liberación de fondos y pago de la referidas ayudas, insiste también en explicar que tal propósito se concretó, de manera instrumental, en otros fines —estos sí, groseramente contrarios a Derecho—: se trataba de eludir el sistema legal de fiscalización y control de la disposición de los fondos, para así posibilitar que fueran distribuidos a sus destinatarios con criterios y de forma completamente ajenos al estricto régimen legal aplicable a las subvenciones.</w:t>
      </w:r>
    </w:p>
    <w:p w14:paraId="154CD21C" w14:textId="77777777" w:rsidR="003754FE" w:rsidRDefault="003754FE" w:rsidP="003754FE">
      <w:pPr>
        <w:pStyle w:val="TextoNormal"/>
      </w:pPr>
    </w:p>
    <w:p w14:paraId="3503168F" w14:textId="77777777" w:rsidR="003754FE" w:rsidRDefault="003754FE" w:rsidP="003754FE">
      <w:pPr>
        <w:pStyle w:val="TextoNormal"/>
      </w:pPr>
      <w:r>
        <w:t xml:space="preserve">Afirma asimismo que en la sentencia de casación no se observa una desviación esencial del relato de hechos por los que el demandante fue condenado, porque queda claro que en la narración fáctica de la sentencia de la Audiencia Provincial de Sevilla —detalladamente citada en el auto del Tribunal Supremo— que el mecanismo de agilización no fue otro que la modificación del sistema de presupuestación específicamente dirigida a burlar la aplicación de la normativa de subvenciones e impedir la fiscalización de los concretos movimientos de fondos hacia sus destinatarios finales; y en virtud de ello, lejos de resultar incompatible con la finalidad de acelerar o agilizar la gestión, esa mecánica delictiva fue, y así se pone de manifiesto repetidamente en la sentencia, el instrumento objetivamente necesario y conscientemente preordenado —y por tanto el fin instrumental idóneo— para conseguir ilícitamente aquel propósito, entorpecido por la correcta aplicación de la legalidad vigente. De donde se desprende que el Tribunal Supremo no aporta ningún elemento fáctico </w:t>
      </w:r>
      <w:r w:rsidRPr="003754FE">
        <w:rPr>
          <w:i/>
        </w:rPr>
        <w:t>ex novo</w:t>
      </w:r>
      <w:r>
        <w:t>, sino que se limita a subrayar el carácter inculpatorio de la conexión —patentemente obvia en la sentencia de instancia— entre los dos factores reseñados: el objetivo político y el conocido y querido mecanismo instrumental manifiestamente ilegal y arbitrario utilizado para lograrlo.</w:t>
      </w:r>
    </w:p>
    <w:p w14:paraId="5ED02A4F" w14:textId="77777777" w:rsidR="003754FE" w:rsidRDefault="003754FE" w:rsidP="003754FE">
      <w:pPr>
        <w:pStyle w:val="TextoNormal"/>
      </w:pPr>
    </w:p>
    <w:p w14:paraId="5324EACD" w14:textId="77777777" w:rsidR="003754FE" w:rsidRDefault="003754FE" w:rsidP="003754FE">
      <w:pPr>
        <w:pStyle w:val="TextoNormal"/>
      </w:pPr>
      <w:r>
        <w:lastRenderedPageBreak/>
        <w:t>Sobre la supuesta alteración del título subjetivo de imputación de la conducta delictiva que pasaría, según sostiene la demanda, de la atribución en la sentencia de instancia de un dolo directo respecto de su propia conducta, a la asignación por el Tribunal Supremo de un propósito común con todos los demás condenados al que se habría incorporado a través de un dolo adhesivo desde su nombramiento como director general de Trabajo, el fiscal argumenta que la demanda incurre en imprecisión o contradicción porque no aclara por qué y de qué modo concreto habría de entenderse que afecta el supuesto cambio de enfoque a la condena del Sr. Márquez Contreras, ya que en su caso no existiría variación alguna respecto del carácter directo del dolo incorporado a su propia conducta, que, como reconoce, fue establecido en la sentencia de instancia, y la de casación no niega ni desautoriza en modo alguno, sin perjuicio del juicio de valor que pueda efectuarse sobre su conocimiento del propósito común al que se refiere la demanda.</w:t>
      </w:r>
    </w:p>
    <w:p w14:paraId="107BF10E" w14:textId="77777777" w:rsidR="003754FE" w:rsidRDefault="003754FE" w:rsidP="003754FE">
      <w:pPr>
        <w:pStyle w:val="TextoNormal"/>
      </w:pPr>
    </w:p>
    <w:p w14:paraId="5585E4D3" w14:textId="77777777" w:rsidR="003754FE" w:rsidRDefault="003754FE" w:rsidP="003754FE">
      <w:pPr>
        <w:pStyle w:val="TextoNormal"/>
      </w:pPr>
      <w:r>
        <w:t xml:space="preserve">El fiscal afirma que la sentencia del Tribunal Supremo no altera la calificación del tipo subjetivo del delito, ni su vinculación con la determinación de la autoría, sino que, tras observar un exceso de laconismo en la argumentación del tribunal </w:t>
      </w:r>
      <w:r w:rsidRPr="003754FE">
        <w:rPr>
          <w:i/>
        </w:rPr>
        <w:t>a quo</w:t>
      </w:r>
      <w:r>
        <w:t>, en los términos que más tarde subrayaría el auto de inadmisión del incidente de nulidad, dicha sentencia expone (en sus apartados 43.2 y 43.3, principalmente) que descarta la coautoría y también la coejecución, y, por tanto, cabe entender, la proyección participada del dolo de los autores sobre la finalidad de la acción común o compartida, e insiste enfáticamente en que “a cada acusado se le condena por su conducta y el delito no se construye por la contribución global de todos los acusados, sino que hay tantos delitos individualizados como conductas de los singulares acusados”. A mayor abundamiento observa, acto seguido, que “[s]e habla en la sentencia de articulación, organización, ideación o asunción de un nuevo ‘sistema’ de presupuestación o de otorgamiento de ayudas, pero la acción ilícita no se concreta en la aportación conjunta a ese sistema sino en los actos individuales realizados por cada acusado”. Por consiguiente, si el recurrente parte de la base de que en la sentencia de instancia se le condenó exclusivamente por su propia conducta atendiendo a la concurrencia de los elementos objetivos y subjetivos del tipo penal aplicado, no hay razón alguna —sino todo lo contrario— para entender que el Tribunal Supremo haya modificado los términos de ese juicio de imputación.</w:t>
      </w:r>
    </w:p>
    <w:p w14:paraId="30CD40F6" w14:textId="77777777" w:rsidR="003754FE" w:rsidRDefault="003754FE" w:rsidP="003754FE">
      <w:pPr>
        <w:pStyle w:val="TextoNormal"/>
      </w:pPr>
    </w:p>
    <w:p w14:paraId="366ACAD1" w14:textId="77777777" w:rsidR="003754FE" w:rsidRDefault="003754FE" w:rsidP="003754FE">
      <w:pPr>
        <w:pStyle w:val="TextoNormal"/>
      </w:pPr>
      <w:r>
        <w:t>(iii) En relación con la vulneración del derecho a la presunción de inocencia (art. 24.2 CE) por no existir un acervo probatorio concluyente y suficiente para sustentar la declaración de culpabilidad por un delito de malversación de caudales públicos, el fiscal, tras sintetizar los argumentos desarrollados en la demanda de amparo para sustentar tal vulneración, procede a rebatirlos afirmando, en primer lugar, que parten de presupuestos erróneos que conducen a un análisis desenfocado de las cuestiones planteadas, al basarse en dos ideas: la de que no existe prueba de que las cantidades abonadas en concepto de ayudas sociolaborales y ayudas a empresas en crisis, y las aplicaciones de fondos a fines distintos de los recogidos en las fichas presupuestarias del programa 31L, fueran destinadas a fines distintos y ajenos a un fin público y social, y la de que se mezclan los planos de la prevaricación (por la pretendida ausencia de procedimiento) y la malversación (sustracción o desvío de caudales), produciéndose una inversión de la carga de la prueba, pues correspondía al fiscal acreditar la existencia y la incidencia de intrusos en las pólizas y en relación a las ayudas a empresas, en qué casos las entregas no podían justificarse desde la perspectiva de un fin público legítimo, la situación de los solicitantes o la aplicación de la ayuda al fin previsto.</w:t>
      </w:r>
    </w:p>
    <w:p w14:paraId="4C53AF40" w14:textId="77777777" w:rsidR="003754FE" w:rsidRDefault="003754FE" w:rsidP="003754FE">
      <w:pPr>
        <w:pStyle w:val="TextoNormal"/>
      </w:pPr>
    </w:p>
    <w:p w14:paraId="525F4B02" w14:textId="77777777" w:rsidR="003754FE" w:rsidRDefault="003754FE" w:rsidP="003754FE">
      <w:pPr>
        <w:pStyle w:val="TextoNormal"/>
      </w:pPr>
      <w:r>
        <w:lastRenderedPageBreak/>
        <w:t xml:space="preserve">En el escrito de alegaciones del fiscal se dice que centrándose la demanda en la infracción de la regla de la suficiencia de la prueba el canon constitucional aplicable es el del principio de presunción de inocencia en su vertiente de regla probatoria del proceso penal, a cuyo efecto cita, entre otras muchas, las SSTC 31/1981, de 28 de julio, FJ 3; 81/1998, de 2 de abril, FJ 3, y 145/2005, de 6 de junio, FJ 6, que lo configuran como derecho del acusado a no sufrir una condena a menos que la culpabilidad haya quedado establecida más allá de toda duda razonable, en virtud de pruebas que puedan considerarse de cargo y obtenidas con todas las garantías, destacando asimismo su vulneración en caso de falta de motivación del resultado de la valoración de las pruebas. Estas pautas exigen concretar, en primer lugar, cuáles son los elementos objetivos y subjetivos del delito sobre los que ha de proyectarse la actividad probatoria, y a continuación si en efecto ha existido una actividad probatoria suficiente para acreditar la concurrencia de esos elementos en el caso enjuiciado, y si el discurso que pone en relación esa actividad probatoria con el </w:t>
      </w:r>
      <w:r w:rsidRPr="003754FE">
        <w:rPr>
          <w:i/>
        </w:rPr>
        <w:t>factum</w:t>
      </w:r>
      <w:r>
        <w:t xml:space="preserve"> declarado por el órgano de enjuiciamiento responde al estándar de razonamiento lógico exigido por la doctrina constitucional.</w:t>
      </w:r>
    </w:p>
    <w:p w14:paraId="5F22D8D2" w14:textId="77777777" w:rsidR="003754FE" w:rsidRDefault="003754FE" w:rsidP="003754FE">
      <w:pPr>
        <w:pStyle w:val="TextoNormal"/>
      </w:pPr>
    </w:p>
    <w:p w14:paraId="527F02FE" w14:textId="77777777" w:rsidR="003754FE" w:rsidRDefault="003754FE" w:rsidP="003754FE">
      <w:pPr>
        <w:pStyle w:val="TextoNormal"/>
      </w:pPr>
      <w:r>
        <w:t>En relación con la determinación del objeto de la prueba, el fiscal afirma que tanto la sentencia de la Audiencia Provincial como, todavía en mayor medida, la del Tribunal Supremo, delimitan con claridad los elementos objetivos y subjetivos del delito de malversación de caudales públicos sobre los que se sustenta la condena:</w:t>
      </w:r>
    </w:p>
    <w:p w14:paraId="129308D1" w14:textId="77777777" w:rsidR="003754FE" w:rsidRDefault="003754FE" w:rsidP="003754FE">
      <w:pPr>
        <w:pStyle w:val="TextoNormal"/>
      </w:pPr>
    </w:p>
    <w:p w14:paraId="78781269" w14:textId="77777777" w:rsidR="003754FE" w:rsidRDefault="003754FE" w:rsidP="003754FE">
      <w:pPr>
        <w:pStyle w:val="TextoNormal"/>
      </w:pPr>
      <w:r>
        <w:t>La sentencia de instancia se funda en jurisprudencia del Tribunal Supremo que no exige para la apreciación del delito una delimitación exacta de las cantidades malversadas, ni el destino del dinero malversado, que para la aplicación del subtipo agravado cifra el umbral en la cuantía de 800 000 €, cifra superada en el presente caso desde 2000 hasta 2009, concretando que en los dos últimos ejercicios reseñados, coincidentes con el mandato del demandante, alcanzaron los 94 744 185,09 € y 80 720 634 €, respectivamente, y que el bien jurídico protegido no solo es el patrimonio público, sino, sobre todo, el correcto funcionamiento de la actividad patrimonial del Estado, de las comunidades autónomas o de los ayuntamientos y, en general, de los entes públicos.</w:t>
      </w:r>
    </w:p>
    <w:p w14:paraId="5F1FD764" w14:textId="77777777" w:rsidR="003754FE" w:rsidRDefault="003754FE" w:rsidP="003754FE">
      <w:pPr>
        <w:pStyle w:val="TextoNormal"/>
      </w:pPr>
    </w:p>
    <w:p w14:paraId="4F0B50C7" w14:textId="77777777" w:rsidR="003754FE" w:rsidRDefault="003754FE" w:rsidP="003754FE">
      <w:pPr>
        <w:pStyle w:val="TextoNormal"/>
      </w:pPr>
      <w:r>
        <w:t>La sentencia del Tribunal Supremo corroboró estos aspectos de la fundamentación jurídica de la sentencia de instancia y añadió que la segunda modalidad comisiva del delito de malversación de caudales públicos, consistente en consentir que otro los sustraiga, constituye una conducta dolosa de omisión impropia, por cuanto por específica obligación legal, el funcionario está obligado a evitar el resultado lesivo contra el patrimonio público, pues el ordenamiento jurídico no solo espera del funcionario el cumplimiento de sus deberes específicos, sino que lo coloca en posición de garante, por lo que debe evitar el resultado, y que la acción de malversar se consuma cuando se realiza el acto de disposición que genera la disposición de los fondos públicos para una determinada operación, de modo que es la obtención material de los fondos, la posibilidad de disposición sobre los mismos, la que marca el momento consumativo del delito de malversación.</w:t>
      </w:r>
    </w:p>
    <w:p w14:paraId="69F50B8C" w14:textId="77777777" w:rsidR="003754FE" w:rsidRDefault="003754FE" w:rsidP="003754FE">
      <w:pPr>
        <w:pStyle w:val="TextoNormal"/>
      </w:pPr>
    </w:p>
    <w:p w14:paraId="1F51EE68" w14:textId="77777777" w:rsidR="003754FE" w:rsidRDefault="003754FE" w:rsidP="003754FE">
      <w:pPr>
        <w:pStyle w:val="TextoNormal"/>
      </w:pPr>
      <w:r>
        <w:t xml:space="preserve">Sobre esta base, también el Tribunal Supremo llega a la conclusión de que en el presente caso concurren los elementos típicos de la malversación, porque “[s]e articuló un sistema para dotar de fondos a la Dirección General de Trabajo de la Junta de Andalucía para que esta dispusiera de ellos libremente”, de modo que a juicio de la Sala “[n]o puede afirmarse siquiera que las ayudas concedidas cumplieran un fin público porque se concedieron, no ya </w:t>
      </w:r>
      <w:r>
        <w:lastRenderedPageBreak/>
        <w:t>al margen de todo control, sino al margen de cualquier criterio mínimamente objetivo y reglado y de forma absolutamente arbitraria”, mediante una serie de irregularidades “en el proceso de concesión […] tan graves y contumaces que excluyen la satisfacción de intereses públicos”. Estas irregularidades consistieron en que se utilizaron los fondos públicos para el pago de subvenciones extraordinarias sin que conste su justificación; se concedieron ayudas que nada tenían que ver con la habilitación presupuestaria; no consta resolución administrativa motivada de concesión; no consta documentación que acredite el más mínimo cumplimiento de las normas sobre subvenciones; se incumplieron de forma absoluta todos los presupuestos y controles establecidos en la ley; no hubo bases reguladoras, ni un criterio mínimamente objetivo o reglado que determinara la concesión; en ocasiones, se autorizaron sin determinar siquiera el objeto de la ayuda, sin comprobar si las empresas beneficiaras tenían necesidad de las ayudas en todo o en parte y sin comprobar si cumplían los distintos requisitos establecidos en la ley; no hubo tramitación de expediente administrativo y no hubo control posterior sobre el destino de las ayudas y por último, se incumplieron todas las normas sobre libre concurrencia y publicidad. El Tribunal Supremo concluye que “[e]n estas condiciones no puede afirmarse que las ayudas concedidas cumplieran fines públicos. Fueron absolutamente arbitrarias”. Y aclara: “Es cierto que parte de esos pagos fueron destinados al pago de ayudas sociolaborales y que, de haberse cumplido las exigencias legales y reglamentarias, se trataría de pagos realizados para el cumplimiento de fines públicos, pero la finalidad pública y la licitud viene condicionada al cumplimiento de las exigencias legales y en este caso el incumplimiento de esas exigencias fue absoluto dando lugar a un total descontrol del manejo de los fondos públicos”, citando varios precedentes de condena por malversación basada en “la inclusión en el concepto de ‘sustracción’ de las disposiciones definitivas de caudales públicos, en favor de terceros, y con incumplimiento absoluto de los controles y presupuestos legales”.</w:t>
      </w:r>
    </w:p>
    <w:p w14:paraId="51E0433C" w14:textId="77777777" w:rsidR="003754FE" w:rsidRDefault="003754FE" w:rsidP="003754FE">
      <w:pPr>
        <w:pStyle w:val="TextoNormal"/>
      </w:pPr>
    </w:p>
    <w:p w14:paraId="46E0C83F" w14:textId="77777777" w:rsidR="003754FE" w:rsidRDefault="003754FE" w:rsidP="003754FE">
      <w:pPr>
        <w:pStyle w:val="TextoNormal"/>
      </w:pPr>
      <w:r>
        <w:t>El fiscal concluye que, de acuerdo con la descripción del tipo de malversación de caudales públicos que sirve de fundamento a la condena, ni es necesario acreditar quiénes fueron los perceptores finales de las cantidades arbitrariamente dispuestas, ni probar que se hallaran o no en las situaciones que podrían haberles legitimado para obtener conforme a derecho tales ayudas, ni es preciso cuantificar estas con exactitud en relación con cada pago final concreto; ni tampoco la aplicación final a lo que desde un punto de vista estrictamente material pueda concebirse o calificarse como fin público o social condiciona el carácter ilegal de la disposición patrimonial típica de dicho delito de malversación, que —según la tesis judicial sostenida en ambas instancias— ya se ha producido en el momento en que, al transferir al director general (a la sazón, el aquí demandante) las cantidades que se han reseñado, con infracción de los presupuestos, procedimientos y formalidades legales exigibles para el pago de subvenciones, resultaba posible, sin control efectivo alguno, destinarlos a cualquier objetivo o fin, cuya alegada licitud de ninguna manera podía operar con una especie de efecto sanador retrospectivo de la patente ilegalidad de la disposición producida, y por tanto del delito ya consumado, al de la naturaleza misma de ese acto de disposición, en forma de liberación incontrolable de fondos, su arbitrariedad intrínseca.</w:t>
      </w:r>
    </w:p>
    <w:p w14:paraId="148AADED" w14:textId="77777777" w:rsidR="003754FE" w:rsidRDefault="003754FE" w:rsidP="003754FE">
      <w:pPr>
        <w:pStyle w:val="TextoNormal"/>
      </w:pPr>
    </w:p>
    <w:p w14:paraId="6BE42E90" w14:textId="77777777" w:rsidR="003754FE" w:rsidRDefault="003754FE" w:rsidP="003754FE">
      <w:pPr>
        <w:pStyle w:val="TextoNormal"/>
      </w:pPr>
      <w:r>
        <w:t xml:space="preserve">De modo que el objeto procesal no resulta seccionado o fragmentado por el hecho de que los tramos finales del mecanismo de pago y percepción de ayudas sean objeto de enjuiciamiento en piezas separadas (sería en ellas donde en su caso habría que determinar —cuestión por completo ajena a este procedimiento— en qué medida la aplicación del principio </w:t>
      </w:r>
      <w:r w:rsidRPr="003754FE">
        <w:rPr>
          <w:i/>
        </w:rPr>
        <w:t>non bis in idem</w:t>
      </w:r>
      <w:r>
        <w:t xml:space="preserve"> puede afectar al enjuiciamiento de los condenados en el procedimiento del </w:t>
      </w:r>
      <w:r>
        <w:lastRenderedPageBreak/>
        <w:t>que trae causa el presente recurso de amparo), ni forzosamente era imprescindible —como parece pretender el recurrente— que la prueba de esos hechos se practicase y apreciase en el proceso en el que ha sido condenado.</w:t>
      </w:r>
    </w:p>
    <w:p w14:paraId="12400FBF" w14:textId="77777777" w:rsidR="003754FE" w:rsidRDefault="003754FE" w:rsidP="003754FE">
      <w:pPr>
        <w:pStyle w:val="TextoNormal"/>
      </w:pPr>
    </w:p>
    <w:p w14:paraId="1667550E" w14:textId="5419338A" w:rsidR="003754FE" w:rsidRDefault="003754FE" w:rsidP="003754FE">
      <w:pPr>
        <w:pStyle w:val="TextoNormal"/>
      </w:pPr>
      <w:r>
        <w:t>En definitiva, el fiscal entiende que lo que la demanda discute, más que la exégesis y aplicación judicial del tipo penal, es la inexistencia de prueba sobre unos elementos que jurisprudencialmente no forman parte de la fundamentación típica de la condena, por lo que la misma no ha incurrido en ningún salto al vacío ni en una argumentación ilógica e irracional. Manifiesta que, dados los términos en los que se concreta la tipificación del hecho, no era precisa mayor concreción probatoria sobre la cuantía exacta o el propósito concreto de cada acto de disposición ulterior de los fondos públicos sustraídos mediante su liberación huérfana de cualquier mecanismo de fiscalización útil y efectivo y deliberadamente ajena al régimen jurídico previsto en la legislación andaluza o estatal para las subvenciones a particulares, por lo que ni existe ni han dejado de asumir las acusaciones carga procesal alguna que vaya más allá de demostrar los hechos que efectivamente fueron objeto de acusación y condena, como de modo que cabría adjetivar de abundante o hasta redundante deja ver la sentencia de instancia y confirma la de casación, es decir, que la disposición de los fondos —por cierto perfectamente cuantificados en su distribución anual— constituyó, por su forma de llevarse a cabo en sí misma considerada, acreditadamente viciada por innumerables y graves infracciones legales, una sustracción típica a los efectos del artículo 432 CP. De donde resulta que no hay tampoco, respecto del tercer motivo de amparo, lesión alguna del derecho fundamental invocado.</w:t>
      </w:r>
    </w:p>
    <w:p w14:paraId="1F086192" w14:textId="77777777" w:rsidR="003754FE" w:rsidRDefault="003754FE" w:rsidP="003754FE">
      <w:pPr>
        <w:pStyle w:val="TextoNormal"/>
      </w:pPr>
    </w:p>
    <w:p w14:paraId="099F2FAA" w14:textId="3AF44D0C" w:rsidR="003754FE" w:rsidRDefault="003754FE" w:rsidP="003754FE">
      <w:pPr>
        <w:pStyle w:val="TextoNormal"/>
      </w:pPr>
      <w:r w:rsidRPr="003754FE">
        <w:rPr>
          <w:rStyle w:val="NumeroAFNegritaCaracter"/>
        </w:rPr>
        <w:t>7</w:t>
      </w:r>
      <w:r>
        <w:t>. Por providencia de 16 de julio de 2024 se señaló ese mismo día para deliberación y votación de la presente sentencia.</w:t>
      </w:r>
    </w:p>
    <w:p w14:paraId="34D4034A" w14:textId="77777777" w:rsidR="003754FE" w:rsidRDefault="003754FE" w:rsidP="003754FE">
      <w:pPr>
        <w:pStyle w:val="TextoNormal"/>
      </w:pPr>
    </w:p>
    <w:p w14:paraId="47E66884" w14:textId="77777777" w:rsidR="003754FE" w:rsidRDefault="003754FE" w:rsidP="003754FE">
      <w:pPr>
        <w:pStyle w:val="TextoNormalNegritaCentrado"/>
        <w:keepNext/>
      </w:pPr>
      <w:r>
        <w:t>II. Fundamentos jurídicos</w:t>
      </w:r>
    </w:p>
    <w:p w14:paraId="3A84BFC8" w14:textId="11BE2D8E" w:rsidR="003754FE" w:rsidRDefault="003754FE" w:rsidP="003754FE">
      <w:pPr>
        <w:pStyle w:val="TextoNormalNegritaCentrado"/>
        <w:keepNext/>
      </w:pPr>
    </w:p>
    <w:p w14:paraId="77EE3245" w14:textId="77777777" w:rsidR="003754FE" w:rsidRDefault="003754FE" w:rsidP="003754FE">
      <w:pPr>
        <w:pStyle w:val="TextoNormal"/>
      </w:pPr>
      <w:r w:rsidRPr="003754FE">
        <w:rPr>
          <w:rStyle w:val="NumeroAFNegritaCaracter"/>
        </w:rPr>
        <w:t>1</w:t>
      </w:r>
      <w:r>
        <w:t xml:space="preserve">. </w:t>
      </w:r>
      <w:r w:rsidRPr="003754FE">
        <w:rPr>
          <w:i/>
        </w:rPr>
        <w:t>Objeto del recurso, posiciones de las partes y orden de análisis de las quejas</w:t>
      </w:r>
    </w:p>
    <w:p w14:paraId="38E18E7A" w14:textId="77777777" w:rsidR="003754FE" w:rsidRDefault="003754FE" w:rsidP="003754FE">
      <w:pPr>
        <w:pStyle w:val="TextoNormal"/>
      </w:pPr>
    </w:p>
    <w:p w14:paraId="345CFA14" w14:textId="77777777" w:rsidR="003754FE" w:rsidRDefault="003754FE" w:rsidP="003754FE">
      <w:pPr>
        <w:pStyle w:val="TextoNormal"/>
      </w:pPr>
      <w:r>
        <w:t xml:space="preserve">1.1. </w:t>
      </w:r>
      <w:r w:rsidRPr="003754FE">
        <w:rPr>
          <w:i/>
        </w:rPr>
        <w:t>Objeto del recurso y posiciones de las partes</w:t>
      </w:r>
    </w:p>
    <w:p w14:paraId="0F02FA5C" w14:textId="77777777" w:rsidR="003754FE" w:rsidRDefault="003754FE" w:rsidP="003754FE">
      <w:pPr>
        <w:pStyle w:val="TextoNormal"/>
      </w:pPr>
    </w:p>
    <w:p w14:paraId="0DE7B458" w14:textId="77777777" w:rsidR="003754FE" w:rsidRDefault="003754FE" w:rsidP="003754FE">
      <w:pPr>
        <w:pStyle w:val="TextoNormal"/>
      </w:pPr>
      <w:r>
        <w:t>a) El presente recurso de amparo se dirige contra las siguientes resoluciones: (i) la sentencia núm. 490/2019, de 19 de noviembre, dictada por la Sección Primera de la Audiencia Provincial de Sevilla en el rollo núm. 1965-2017, dimanante del procedimiento abreviado núm. 133-2016, que le condenó como autor de un delito continuado de prevaricación administrativa del art. 404 CP, en concurso medial con un delito continuado de malversación de caudales públicos del art. 432 CP, a las penas de siete años y un día de prisión, inhabilitación especial para el derecho de sufragio pasivo durante el tiempo de la condena, e inhabilitación absoluta por un tiempo de dieciocho años y un día; (ii) la sentencia de la Sala de lo Penal del Tribunal Supremo núm. 749/2022, de 13 de septiembre, que estimando parcialmente el recurso de casación formulado por el demandante frente a la anterior resolución (recurso de casación núm. 601-2020), apreció la concurrencia de la circunstancia atenuante analógica, muy cualificada, de reparación del daño del art. 21.7 CP, y le rebajó en un grado las penas impuestas, que quedaron definitivamente fijadas en tres años de prisión y siete años y seis meses de inhabilitación absoluta, y (iii) el auto de 16 de febrero de 2023 que inadmitió el incidente de nulidad de actuaciones interpuesto frente a la citada sentencia desestimatoria.</w:t>
      </w:r>
    </w:p>
    <w:p w14:paraId="14E4B11C" w14:textId="77777777" w:rsidR="003754FE" w:rsidRDefault="003754FE" w:rsidP="003754FE">
      <w:pPr>
        <w:pStyle w:val="TextoNormal"/>
      </w:pPr>
    </w:p>
    <w:p w14:paraId="7DAF3374" w14:textId="77777777" w:rsidR="003754FE" w:rsidRDefault="003754FE" w:rsidP="003754FE">
      <w:pPr>
        <w:pStyle w:val="TextoNormal"/>
      </w:pPr>
      <w:r>
        <w:t>El recurrente alega en su escrito de demanda las siguientes vulneraciones de derechos fundamentales: (i) del derecho a la presunción de inocencia (art. 24.2 CE), en conexión con el derecho al honor (art. 18.1 CE), y a un proceso con todas las garantías, entre ellas la de legalidad procesal (art. 24.2 CE) y a la tutela judicial efectiva, porque el Tribunal Supremo dictó la providencia de 26 de julio de 2022, en la que se anticipaba el fallo de la sentencia casacional, que no le fue notificada en forma hasta el día 14 de septiembre de 2022; (ii) del derecho a un proceso con todas las garantías (art. 24.2 CE), a la presunción de inocencia (art. 24.2 CE) y a la tutela judicial efectiva sin indefensión (art. 24.1 CE), porque la sentencia de casación incluyó, con el fin de justificar el dolo directo de malversar, datos fácticos que no aparecen en la sentencia de instancia, y (iii) del derecho a la presunción de inocencia (art. 24.2 CE) al no existir un acervo probatorio concluyente y suficiente para sustentar la declaración de culpabilidad por el delito de malversación de caudales públicos, dado que ni se debatió, ni se acreditó, ni se declaró probado, salvo vagas referencias, que se hubieran producido desviaciones de los fondos del programa 31L a fines que no fueran públicos.</w:t>
      </w:r>
    </w:p>
    <w:p w14:paraId="0B364EAF" w14:textId="77777777" w:rsidR="003754FE" w:rsidRDefault="003754FE" w:rsidP="003754FE">
      <w:pPr>
        <w:pStyle w:val="TextoNormal"/>
      </w:pPr>
    </w:p>
    <w:p w14:paraId="15895CF3" w14:textId="77777777" w:rsidR="003754FE" w:rsidRDefault="003754FE" w:rsidP="003754FE">
      <w:pPr>
        <w:pStyle w:val="TextoNormal"/>
      </w:pPr>
      <w:r>
        <w:t>b) El Partido Popular en su escrito de alegaciones interesa la íntegra desestimación de la demanda rebatiendo los tres motivos de amparo: el primero, porque la providencia y el comunicado de prensa se difundieron cuando el Tribunal Supremo ya había concluido sus deliberaciones y solo estaba pendiente la redacción del voto particular anunciado, por lo que no hubo ni filtración ni imputación anticipada de la culpabilidad de los acusados; el segundo, porque las únicas divergencias apreciables entre la sentencia de instancia y la casacional son jurídicas: la sentencia de instancia ya asociaba la agilización del sistema de subvenciones a la perpetración de un cúmulo de ilegalidades, y la distinción entre dolo directo y eventual y los distintos criterios de autoría son producto del distinto enfoque jurídico y argumental que se da a los hechos, no de su alteración; y el tercero, por los razonamientos desarrollados, entre otros, en el fundamento de Derecho 135 de la sentencia del Tribunal Supremo, confirmatorios de la existencia de prueba de cargo suficiente de la comisión del delito de malversación y de la regularidad y razonabilidad de su valoración en la instancia.</w:t>
      </w:r>
    </w:p>
    <w:p w14:paraId="3E19EB82" w14:textId="77777777" w:rsidR="003754FE" w:rsidRDefault="003754FE" w:rsidP="003754FE">
      <w:pPr>
        <w:pStyle w:val="TextoNormal"/>
      </w:pPr>
    </w:p>
    <w:p w14:paraId="3EED43EA" w14:textId="77777777" w:rsidR="003754FE" w:rsidRDefault="003754FE" w:rsidP="003754FE">
      <w:pPr>
        <w:pStyle w:val="TextoNormal"/>
      </w:pPr>
      <w:r>
        <w:t>c) La representación procesal de don Jesús María Rodríguez Román en sus alegaciones se ha adherido al motivo de vulneración del derecho a la presunción de inocencia: aduce que entre los condenados no existió connivencia o acuerdo, como sostiene la Audiencia Provincial, ni autoría individual, como sostiene el Tribunal Supremo, que no se ha justificado la supuesta posición de garante propia de la comisión por omisión, ni el elemento subjetivo del tipo.</w:t>
      </w:r>
    </w:p>
    <w:p w14:paraId="28F5094A" w14:textId="77777777" w:rsidR="003754FE" w:rsidRDefault="003754FE" w:rsidP="003754FE">
      <w:pPr>
        <w:pStyle w:val="TextoNormal"/>
      </w:pPr>
    </w:p>
    <w:p w14:paraId="03D7EC83" w14:textId="77777777" w:rsidR="003754FE" w:rsidRDefault="003754FE" w:rsidP="003754FE">
      <w:pPr>
        <w:pStyle w:val="TextoNormal"/>
      </w:pPr>
      <w:r>
        <w:t>d) La representación procesal de don Francisco Vallejo Serrano en sus alegaciones niega la existencia de prueba del delito de malversación de caudales públicos; dice que el Tribunal Supremo sustenta la condena en base a unas ayudas singulares, de las que no se interesó ni practicó prueba alguna, porque fueron expresamente excluidas del objeto de enjuiciamiento al resolverse las cuestiones previas, y que luego se produjo una extensión o ampliación arbitraria del objeto de enjuiciamiento en fase de casación, como respuesta a los recursos de las defensas.</w:t>
      </w:r>
    </w:p>
    <w:p w14:paraId="446CE822" w14:textId="77777777" w:rsidR="003754FE" w:rsidRDefault="003754FE" w:rsidP="003754FE">
      <w:pPr>
        <w:pStyle w:val="TextoNormal"/>
      </w:pPr>
    </w:p>
    <w:p w14:paraId="1DFABF54" w14:textId="77777777" w:rsidR="003754FE" w:rsidRDefault="003754FE" w:rsidP="003754FE">
      <w:pPr>
        <w:pStyle w:val="TextoNormal"/>
      </w:pPr>
      <w:r>
        <w:t>e) Por su parte, el Ministerio Fiscal ha interesado en su escrito de alegaciones la desestimación íntegra de la demanda de amparo con los argumentos que han sido sintetizados en el antecedente 6.</w:t>
      </w:r>
    </w:p>
    <w:p w14:paraId="602C4626" w14:textId="77777777" w:rsidR="003754FE" w:rsidRDefault="003754FE" w:rsidP="003754FE">
      <w:pPr>
        <w:pStyle w:val="TextoNormal"/>
      </w:pPr>
    </w:p>
    <w:p w14:paraId="1F3CB1DF" w14:textId="77777777" w:rsidR="003754FE" w:rsidRDefault="003754FE" w:rsidP="003754FE">
      <w:pPr>
        <w:pStyle w:val="TextoNormal"/>
      </w:pPr>
      <w:r>
        <w:t xml:space="preserve">1.2. </w:t>
      </w:r>
      <w:r w:rsidRPr="003754FE">
        <w:rPr>
          <w:i/>
        </w:rPr>
        <w:t>Orden de análisis de las quejas</w:t>
      </w:r>
    </w:p>
    <w:p w14:paraId="3BECBAF0" w14:textId="77777777" w:rsidR="003754FE" w:rsidRDefault="003754FE" w:rsidP="003754FE">
      <w:pPr>
        <w:pStyle w:val="TextoNormal"/>
      </w:pPr>
    </w:p>
    <w:p w14:paraId="1ABCCB51" w14:textId="23D7DEC0" w:rsidR="003754FE" w:rsidRDefault="003754FE" w:rsidP="003754FE">
      <w:pPr>
        <w:pStyle w:val="TextoNormal"/>
      </w:pPr>
      <w:r>
        <w:t>Se considera procedente, por razones de ordenación sistemática de las materias a tratar, examinar en primer lugar la queja relativa a la vulneración del derecho a la presunción de inocencia como regla de juicio (tercer motivo de amparo), para examinar a continuación las vulneraciones acaecidas en fase de casación (primer y segundo motivos de amparo) cuyo análisis puede verse condicionado por la respuesta que reciba la anterior.</w:t>
      </w:r>
    </w:p>
    <w:p w14:paraId="49B300E2" w14:textId="77777777" w:rsidR="003754FE" w:rsidRDefault="003754FE" w:rsidP="003754FE">
      <w:pPr>
        <w:pStyle w:val="TextoNormal"/>
      </w:pPr>
    </w:p>
    <w:p w14:paraId="6B83D1FB" w14:textId="77777777" w:rsidR="003754FE" w:rsidRDefault="003754FE" w:rsidP="003754FE">
      <w:pPr>
        <w:pStyle w:val="TextoNormal"/>
      </w:pPr>
      <w:r w:rsidRPr="003754FE">
        <w:rPr>
          <w:rStyle w:val="NumeroAFNegritaCaracter"/>
        </w:rPr>
        <w:t>2</w:t>
      </w:r>
      <w:r>
        <w:t xml:space="preserve">. </w:t>
      </w:r>
      <w:r w:rsidRPr="003754FE">
        <w:rPr>
          <w:i/>
        </w:rPr>
        <w:t>Breve delimitación fáctica y jurídica del proceso “ERE” y de la condena del demandante de amparo</w:t>
      </w:r>
    </w:p>
    <w:p w14:paraId="25D8E058" w14:textId="77777777" w:rsidR="003754FE" w:rsidRDefault="003754FE" w:rsidP="003754FE">
      <w:pPr>
        <w:pStyle w:val="TextoNormal"/>
      </w:pPr>
    </w:p>
    <w:p w14:paraId="2F0BA035" w14:textId="77777777" w:rsidR="003754FE" w:rsidRDefault="003754FE" w:rsidP="003754FE">
      <w:pPr>
        <w:pStyle w:val="TextoNormal"/>
      </w:pPr>
      <w:r>
        <w:t xml:space="preserve">En los antecedentes de esta sentencia se ha reproducido el resumen efectuado por el Tribunal Supremo en la sentencia de casación (fundamento de Derecho 1, págs. 97 y ss.)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w:t>
      </w:r>
      <w:r w:rsidRPr="003754FE">
        <w:rPr>
          <w:i/>
        </w:rPr>
        <w:t>a quo</w:t>
      </w:r>
      <w:r>
        <w:t xml:space="preserve">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 la demandante de amparo.</w:t>
      </w:r>
    </w:p>
    <w:p w14:paraId="693AF4D8" w14:textId="77777777" w:rsidR="003754FE" w:rsidRDefault="003754FE" w:rsidP="003754FE">
      <w:pPr>
        <w:pStyle w:val="TextoNormal"/>
      </w:pPr>
    </w:p>
    <w:p w14:paraId="62C20EAE" w14:textId="77777777" w:rsidR="003754FE" w:rsidRDefault="003754FE" w:rsidP="003754FE">
      <w:pPr>
        <w:pStyle w:val="TextoNormal"/>
      </w:pPr>
      <w:r>
        <w:t xml:space="preserve">2.1. </w:t>
      </w:r>
      <w:r w:rsidRPr="003754FE">
        <w:rPr>
          <w:i/>
        </w:rPr>
        <w:t>Sucinta exposición general de los hechos del proceso “ERE”</w:t>
      </w:r>
    </w:p>
    <w:p w14:paraId="01950A12" w14:textId="77777777" w:rsidR="003754FE" w:rsidRDefault="003754FE" w:rsidP="003754FE">
      <w:pPr>
        <w:pStyle w:val="TextoNormal"/>
      </w:pPr>
    </w:p>
    <w:p w14:paraId="4830823A" w14:textId="77777777" w:rsidR="003754FE" w:rsidRDefault="003754FE" w:rsidP="003754FE">
      <w:pPr>
        <w:pStyle w:val="TextoNormal"/>
      </w:pPr>
      <w:r>
        <w:t>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14:paraId="1E7E081D" w14:textId="77777777" w:rsidR="003754FE" w:rsidRDefault="003754FE" w:rsidP="003754FE">
      <w:pPr>
        <w:pStyle w:val="TextoNormal"/>
      </w:pPr>
    </w:p>
    <w:p w14:paraId="7F465B8E" w14:textId="77777777" w:rsidR="003754FE" w:rsidRDefault="003754FE" w:rsidP="003754FE">
      <w:pPr>
        <w:pStyle w:val="TextoNormal"/>
      </w:pPr>
      <w:r>
        <w:t xml:space="preserve">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w:t>
      </w:r>
      <w:r>
        <w:lastRenderedPageBreak/>
        <w:t>movimiento de fondos y valores; la intervención formal de la ordenación del pago; la intervención material del pago; y, en fin, la intervención de la aplicación o empleo de las cantidades destinadas a obras, suministros o adquisiciones y servicios.</w:t>
      </w:r>
    </w:p>
    <w:p w14:paraId="51D1B257" w14:textId="77777777" w:rsidR="003754FE" w:rsidRDefault="003754FE" w:rsidP="003754FE">
      <w:pPr>
        <w:pStyle w:val="TextoNormal"/>
      </w:pPr>
    </w:p>
    <w:p w14:paraId="449B1A70" w14:textId="77777777" w:rsidR="003754FE" w:rsidRDefault="003754FE" w:rsidP="003754FE">
      <w:pPr>
        <w:pStyle w:val="TextoNormal"/>
      </w:pPr>
      <w:r>
        <w:t>En la tramitación de sendos expedientes sobre estas ayudas, el interventor delegado de la Consejería de Empleo y Desarrollo Tecnológico formuló reparos en el informe de fiscalización, que, si bien no llegaron a impedir su concesión, la dificultaron y retrasaron.</w:t>
      </w:r>
    </w:p>
    <w:p w14:paraId="1E46CF1C" w14:textId="77777777" w:rsidR="003754FE" w:rsidRDefault="003754FE" w:rsidP="003754FE">
      <w:pPr>
        <w:pStyle w:val="TextoNormal"/>
      </w:pPr>
    </w:p>
    <w:p w14:paraId="4120A86C" w14:textId="77777777" w:rsidR="003754FE" w:rsidRDefault="003754FE" w:rsidP="003754FE">
      <w:pPr>
        <w:pStyle w:val="TextoNormal"/>
      </w:pPr>
      <w:r>
        <w:t>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14:paraId="59FCDED1" w14:textId="77777777" w:rsidR="003754FE" w:rsidRDefault="003754FE" w:rsidP="003754FE">
      <w:pPr>
        <w:pStyle w:val="TextoNormal"/>
      </w:pPr>
    </w:p>
    <w:p w14:paraId="42E33174" w14:textId="77777777" w:rsidR="003754FE" w:rsidRDefault="003754FE" w:rsidP="003754FE">
      <w:pPr>
        <w:pStyle w:val="TextoNormal"/>
      </w:pPr>
      <w:r>
        <w:t>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14:paraId="42614121" w14:textId="77777777" w:rsidR="003754FE" w:rsidRDefault="003754FE" w:rsidP="003754FE">
      <w:pPr>
        <w:pStyle w:val="TextoNormal"/>
      </w:pPr>
    </w:p>
    <w:p w14:paraId="6E4CD293" w14:textId="77777777" w:rsidR="003754FE" w:rsidRDefault="003754FE" w:rsidP="003754FE">
      <w:pPr>
        <w:pStyle w:val="TextoNormal"/>
      </w:pPr>
      <w:r>
        <w:t>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14:paraId="27375098" w14:textId="77777777" w:rsidR="003754FE" w:rsidRDefault="003754FE" w:rsidP="003754FE">
      <w:pPr>
        <w:pStyle w:val="TextoNormal"/>
      </w:pPr>
    </w:p>
    <w:p w14:paraId="302C69D8" w14:textId="77777777" w:rsidR="003754FE" w:rsidRDefault="003754FE" w:rsidP="003754FE">
      <w:pPr>
        <w:pStyle w:val="TextoNormal"/>
      </w:pPr>
      <w:r>
        <w:t xml:space="preserve">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w:t>
      </w:r>
      <w:r>
        <w:lastRenderedPageBreak/>
        <w:t>(IFA), para la materialización de ayudas en materia de Trabajo y Seguridad Social” (el convenio marco). En virtud de dicho convenio, el IFA se comprometía a prestar asistencia técnica permanente a la Dirección General de Trabajo y Seguridad Social (DGTSS),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14:paraId="238FD901" w14:textId="77777777" w:rsidR="003754FE" w:rsidRDefault="003754FE" w:rsidP="003754FE">
      <w:pPr>
        <w:pStyle w:val="TextoNormal"/>
      </w:pPr>
    </w:p>
    <w:p w14:paraId="3759EFAA" w14:textId="77777777" w:rsidR="003754FE" w:rsidRDefault="003754FE" w:rsidP="003754FE">
      <w:pPr>
        <w:pStyle w:val="TextoNormal"/>
      </w:pPr>
      <w:r>
        <w:t>En la mayor parte de los convenios particulares suscritos entre la Dirección General de Trabajo y Seguridad Social y el IFA se hizo constar expresamente que la documentación acreditativa de las ayudas obraba en poder de la Dirección General de Trabajo y Seguridad Social, autorizando esta su pago. En ningún caso llegaron a constituirse las comisiones de seguimiento previstas en el convenio marco.</w:t>
      </w:r>
    </w:p>
    <w:p w14:paraId="506F5B6C" w14:textId="77777777" w:rsidR="003754FE" w:rsidRDefault="003754FE" w:rsidP="003754FE">
      <w:pPr>
        <w:pStyle w:val="TextoNormal"/>
      </w:pPr>
    </w:p>
    <w:p w14:paraId="4B5B09E0" w14:textId="77777777" w:rsidR="003754FE" w:rsidRDefault="003754FE" w:rsidP="003754FE">
      <w:pPr>
        <w:pStyle w:val="TextoNormal"/>
      </w:pPr>
      <w:r>
        <w:t>Tras la firma del convenio marco,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14:paraId="782C260B" w14:textId="77777777" w:rsidR="003754FE" w:rsidRDefault="003754FE" w:rsidP="003754FE">
      <w:pPr>
        <w:pStyle w:val="TextoNormal"/>
      </w:pPr>
    </w:p>
    <w:p w14:paraId="0DA2DC68" w14:textId="77777777" w:rsidR="003754FE" w:rsidRDefault="003754FE" w:rsidP="003754FE">
      <w:pPr>
        <w:pStyle w:val="TextoNormal"/>
      </w:pPr>
      <w:r>
        <w:t>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pasó a denominarse Agencia de Innovación y Desarrollo de Andalucía (IDEA), adscrita a la Consejería de Innovación, Ciencia y Empresa— se destinaban a pagar lo ordenado por la Consejería conforme a lo previsto en el convenio marco.</w:t>
      </w:r>
    </w:p>
    <w:p w14:paraId="3BDCFDE4" w14:textId="77777777" w:rsidR="003754FE" w:rsidRDefault="003754FE" w:rsidP="003754FE">
      <w:pPr>
        <w:pStyle w:val="TextoNormal"/>
      </w:pPr>
    </w:p>
    <w:p w14:paraId="667D1858" w14:textId="77777777" w:rsidR="003754FE" w:rsidRDefault="003754FE" w:rsidP="003754FE">
      <w:pPr>
        <w:pStyle w:val="TextoNormal"/>
      </w:pPr>
      <w:r>
        <w:t>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 a196):</w:t>
      </w:r>
    </w:p>
    <w:p w14:paraId="0E81D5DF" w14:textId="77777777" w:rsidR="003754FE" w:rsidRDefault="003754FE" w:rsidP="003754FE">
      <w:pPr>
        <w:pStyle w:val="TextoNormal"/>
      </w:pPr>
    </w:p>
    <w:p w14:paraId="551AFF4D" w14:textId="77777777" w:rsidR="003754FE" w:rsidRDefault="003754FE" w:rsidP="003754FE">
      <w:pPr>
        <w:pStyle w:val="TextoNormal"/>
      </w:pPr>
      <w:r>
        <w:t>“9. Conclusiones del análisis de la documentación anexa al proyecto de Presupuesto anual de la Junta de Andalucía:</w:t>
      </w:r>
    </w:p>
    <w:p w14:paraId="135D292B" w14:textId="77777777" w:rsidR="003754FE" w:rsidRDefault="003754FE" w:rsidP="003754FE">
      <w:pPr>
        <w:pStyle w:val="TextoNormal"/>
      </w:pPr>
    </w:p>
    <w:p w14:paraId="5C79E0E8" w14:textId="77777777" w:rsidR="003754FE" w:rsidRDefault="003754FE" w:rsidP="003754FE">
      <w:pPr>
        <w:pStyle w:val="TextoNormal"/>
      </w:pPr>
      <w:r>
        <w:lastRenderedPageBreak/>
        <w:t>A) La descripción de los objetivos y actividades contenidos en las fichas del programa 31L, son, como hemos visto, del siguiente tenor:</w:t>
      </w:r>
    </w:p>
    <w:p w14:paraId="43D43212" w14:textId="77777777" w:rsidR="003754FE" w:rsidRDefault="003754FE" w:rsidP="003754FE">
      <w:pPr>
        <w:pStyle w:val="TextoNormal"/>
      </w:pPr>
    </w:p>
    <w:p w14:paraId="76DABB3C" w14:textId="77777777" w:rsidR="003754FE" w:rsidRDefault="003754FE" w:rsidP="003754FE">
      <w:pPr>
        <w:pStyle w:val="TextoNormal"/>
      </w:pPr>
      <w:r>
        <w:t>• ‘Transferencias al IFA’.</w:t>
      </w:r>
    </w:p>
    <w:p w14:paraId="0816EFEC" w14:textId="77777777" w:rsidR="003754FE" w:rsidRDefault="003754FE" w:rsidP="003754FE">
      <w:pPr>
        <w:pStyle w:val="TextoNormal"/>
      </w:pPr>
    </w:p>
    <w:p w14:paraId="3A34BE61" w14:textId="77777777" w:rsidR="003754FE" w:rsidRDefault="003754FE" w:rsidP="003754FE">
      <w:pPr>
        <w:pStyle w:val="TextoNormal"/>
      </w:pPr>
      <w:r>
        <w:t>• ‘Transferencias al AIDA’.</w:t>
      </w:r>
    </w:p>
    <w:p w14:paraId="6C35A0FC" w14:textId="77777777" w:rsidR="003754FE" w:rsidRDefault="003754FE" w:rsidP="003754FE">
      <w:pPr>
        <w:pStyle w:val="TextoNormal"/>
      </w:pPr>
    </w:p>
    <w:p w14:paraId="07344DAD" w14:textId="77777777" w:rsidR="003754FE" w:rsidRDefault="003754FE" w:rsidP="003754FE">
      <w:pPr>
        <w:pStyle w:val="TextoNormal"/>
      </w:pPr>
      <w:r>
        <w:t>• ‘Mantenimiento empleo y tejido productivo andaluz’.</w:t>
      </w:r>
    </w:p>
    <w:p w14:paraId="6ECD342A" w14:textId="77777777" w:rsidR="003754FE" w:rsidRDefault="003754FE" w:rsidP="003754FE">
      <w:pPr>
        <w:pStyle w:val="TextoNormal"/>
      </w:pPr>
    </w:p>
    <w:p w14:paraId="142FC862" w14:textId="77777777" w:rsidR="003754FE" w:rsidRDefault="003754FE" w:rsidP="003754FE">
      <w:pPr>
        <w:pStyle w:val="TextoNormal"/>
      </w:pPr>
      <w:r>
        <w:t>• ‘Gestión de subvenciones’.</w:t>
      </w:r>
    </w:p>
    <w:p w14:paraId="5CDDF011" w14:textId="77777777" w:rsidR="003754FE" w:rsidRDefault="003754FE" w:rsidP="003754FE">
      <w:pPr>
        <w:pStyle w:val="TextoNormal"/>
      </w:pPr>
    </w:p>
    <w:p w14:paraId="0DC7C2CB" w14:textId="77777777" w:rsidR="003754FE" w:rsidRDefault="003754FE" w:rsidP="003754FE">
      <w:pPr>
        <w:pStyle w:val="TextoNormal"/>
      </w:pPr>
      <w:r>
        <w:t>• ‘Ayudas prejubilaciones y expedientes de regulación de empleo’.</w:t>
      </w:r>
    </w:p>
    <w:p w14:paraId="68D5A39D" w14:textId="77777777" w:rsidR="003754FE" w:rsidRDefault="003754FE" w:rsidP="003754FE">
      <w:pPr>
        <w:pStyle w:val="TextoNormal"/>
      </w:pPr>
    </w:p>
    <w:p w14:paraId="047F9521" w14:textId="77777777" w:rsidR="003754FE" w:rsidRDefault="003754FE" w:rsidP="003754FE">
      <w:pPr>
        <w:pStyle w:val="TextoNormal"/>
      </w:pPr>
      <w:r>
        <w:t>• ‘Suscripción de convenio’.</w:t>
      </w:r>
    </w:p>
    <w:p w14:paraId="70C2D0F7" w14:textId="77777777" w:rsidR="003754FE" w:rsidRDefault="003754FE" w:rsidP="003754FE">
      <w:pPr>
        <w:pStyle w:val="TextoNormal"/>
      </w:pPr>
    </w:p>
    <w:p w14:paraId="68E1A7DA" w14:textId="77777777" w:rsidR="003754FE" w:rsidRDefault="003754FE" w:rsidP="003754FE">
      <w:pPr>
        <w:pStyle w:val="TextoNormal"/>
      </w:pPr>
      <w:r>
        <w:t>B) Por lo que se refiere a las memorias de los informes económico financieros, en la descripción de las actividades y objetivos contenidos en las mismas, son, como hemos visto igualmente, del siguiente tenor:</w:t>
      </w:r>
    </w:p>
    <w:p w14:paraId="48F4821C" w14:textId="77777777" w:rsidR="003754FE" w:rsidRDefault="003754FE" w:rsidP="003754FE">
      <w:pPr>
        <w:pStyle w:val="TextoNormal"/>
      </w:pPr>
    </w:p>
    <w:p w14:paraId="44115AB5" w14:textId="77777777" w:rsidR="003754FE" w:rsidRDefault="003754FE" w:rsidP="003754FE">
      <w:pPr>
        <w:pStyle w:val="TextoNormal"/>
      </w:pPr>
      <w:r>
        <w:t>• Potenciar la interlocución con los agentes sociales y económicos.</w:t>
      </w:r>
    </w:p>
    <w:p w14:paraId="4EBC375F" w14:textId="77777777" w:rsidR="003754FE" w:rsidRDefault="003754FE" w:rsidP="003754FE">
      <w:pPr>
        <w:pStyle w:val="TextoNormal"/>
      </w:pPr>
    </w:p>
    <w:p w14:paraId="290EEB45" w14:textId="77777777" w:rsidR="003754FE" w:rsidRDefault="003754FE" w:rsidP="003754FE">
      <w:pPr>
        <w:pStyle w:val="TextoNormal"/>
      </w:pPr>
      <w:r>
        <w:t>• Mantener las políticas de ayudas a prejubilaciones en empresas con dificultades.</w:t>
      </w:r>
    </w:p>
    <w:p w14:paraId="76034AB4" w14:textId="77777777" w:rsidR="003754FE" w:rsidRDefault="003754FE" w:rsidP="003754FE">
      <w:pPr>
        <w:pStyle w:val="TextoNormal"/>
      </w:pPr>
    </w:p>
    <w:p w14:paraId="53588FDF" w14:textId="77777777" w:rsidR="003754FE" w:rsidRDefault="003754FE" w:rsidP="003754FE">
      <w:pPr>
        <w:pStyle w:val="TextoNormal"/>
      </w:pPr>
      <w:r>
        <w:t>•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5C38177A" w14:textId="77777777" w:rsidR="003754FE" w:rsidRDefault="003754FE" w:rsidP="003754FE">
      <w:pPr>
        <w:pStyle w:val="TextoNormal"/>
      </w:pPr>
    </w:p>
    <w:p w14:paraId="5EF123DB" w14:textId="77777777" w:rsidR="003754FE" w:rsidRDefault="003754FE" w:rsidP="003754FE">
      <w:pPr>
        <w:pStyle w:val="TextoNormal"/>
      </w:pPr>
      <w:r>
        <w:t>• Así mismo y en una cuantía importante instrumenta la materialización de ayudas a empresas con especiales dificultades de mantenimiento del empleo, prejubilaciones y viabilidad económica.</w:t>
      </w:r>
    </w:p>
    <w:p w14:paraId="727446E3" w14:textId="77777777" w:rsidR="003754FE" w:rsidRDefault="003754FE" w:rsidP="003754FE">
      <w:pPr>
        <w:pStyle w:val="TextoNormal"/>
      </w:pPr>
    </w:p>
    <w:p w14:paraId="6A7EB287" w14:textId="77777777" w:rsidR="003754FE" w:rsidRDefault="003754FE" w:rsidP="003754FE">
      <w:pPr>
        <w:pStyle w:val="TextoNormal"/>
      </w:pPr>
      <w:r>
        <w:t>•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56113EA0" w14:textId="77777777" w:rsidR="003754FE" w:rsidRDefault="003754FE" w:rsidP="003754FE">
      <w:pPr>
        <w:pStyle w:val="TextoNormal"/>
      </w:pPr>
    </w:p>
    <w:p w14:paraId="1376AA55" w14:textId="77777777" w:rsidR="003754FE" w:rsidRDefault="003754FE" w:rsidP="003754FE">
      <w:pPr>
        <w:pStyle w:val="TextoNormal"/>
      </w:pPr>
      <w:r>
        <w:t>•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14:paraId="778DF1B9" w14:textId="77777777" w:rsidR="003754FE" w:rsidRDefault="003754FE" w:rsidP="003754FE">
      <w:pPr>
        <w:pStyle w:val="TextoNormal"/>
      </w:pPr>
    </w:p>
    <w:p w14:paraId="7588AC45" w14:textId="77777777" w:rsidR="003754FE" w:rsidRDefault="003754FE" w:rsidP="003754FE">
      <w:pPr>
        <w:pStyle w:val="TextoNormal"/>
      </w:pPr>
      <w:r>
        <w:t>• Esta Dirección General instrumenta la materialización de las ayudas a través de un convenio con el IFA y de su dotación anual específica de contribución a pólizas de prejubilaciones.</w:t>
      </w:r>
    </w:p>
    <w:p w14:paraId="6A936929" w14:textId="77777777" w:rsidR="003754FE" w:rsidRDefault="003754FE" w:rsidP="003754FE">
      <w:pPr>
        <w:pStyle w:val="TextoNormal"/>
      </w:pPr>
    </w:p>
    <w:p w14:paraId="1D504619" w14:textId="77777777" w:rsidR="003754FE" w:rsidRDefault="003754FE" w:rsidP="003754FE">
      <w:pPr>
        <w:pStyle w:val="TextoNormal"/>
      </w:pPr>
      <w:r>
        <w:lastRenderedPageBreak/>
        <w:t>• El centro directivo que lo ejecuta es la Dirección General de Trabajo y Seguridad Social.</w:t>
      </w:r>
    </w:p>
    <w:p w14:paraId="6662D597" w14:textId="77777777" w:rsidR="003754FE" w:rsidRDefault="003754FE" w:rsidP="003754FE">
      <w:pPr>
        <w:pStyle w:val="TextoNormal"/>
      </w:pPr>
    </w:p>
    <w:p w14:paraId="6D239771" w14:textId="77777777" w:rsidR="003754FE" w:rsidRDefault="003754FE" w:rsidP="003754FE">
      <w:pPr>
        <w:pStyle w:val="TextoNormal"/>
      </w:pPr>
      <w:r>
        <w:t>• La previsión es para atender compromisos existentes y no se prevén fondos para nuevas, en su caso, contingencias.</w:t>
      </w:r>
    </w:p>
    <w:p w14:paraId="029B8DD8" w14:textId="77777777" w:rsidR="003754FE" w:rsidRDefault="003754FE" w:rsidP="003754FE">
      <w:pPr>
        <w:pStyle w:val="TextoNormal"/>
      </w:pPr>
    </w:p>
    <w:p w14:paraId="3F70ED30" w14:textId="77777777" w:rsidR="003754FE" w:rsidRDefault="003754FE" w:rsidP="003754FE">
      <w:pPr>
        <w:pStyle w:val="TextoNormal"/>
      </w:pPr>
      <w:r>
        <w:t>• Mantener las políticas de ayudas a prejubilaciones en empresas con dificultades, a través de subvenciones finalistas.</w:t>
      </w:r>
    </w:p>
    <w:p w14:paraId="69ECE8C2" w14:textId="77777777" w:rsidR="003754FE" w:rsidRDefault="003754FE" w:rsidP="003754FE">
      <w:pPr>
        <w:pStyle w:val="TextoNormal"/>
      </w:pPr>
    </w:p>
    <w:p w14:paraId="7C26E65D" w14:textId="77777777" w:rsidR="003754FE" w:rsidRDefault="003754FE" w:rsidP="003754FE">
      <w:pPr>
        <w:pStyle w:val="TextoNormal"/>
      </w:pPr>
      <w:r>
        <w:t>• Realización de transferencias al Instituto de Fomento de Andalucía en aplicación de concierto de ayudas a empresas en crisis para el mantenimiento del empleo y tejido productivo andaluz.</w:t>
      </w:r>
    </w:p>
    <w:p w14:paraId="3D9D9DCD" w14:textId="77777777" w:rsidR="003754FE" w:rsidRDefault="003754FE" w:rsidP="003754FE">
      <w:pPr>
        <w:pStyle w:val="TextoNormal"/>
      </w:pPr>
    </w:p>
    <w:p w14:paraId="04AE5230" w14:textId="77777777" w:rsidR="003754FE" w:rsidRDefault="003754FE" w:rsidP="003754FE">
      <w:pPr>
        <w:pStyle w:val="TextoNormal"/>
      </w:pPr>
      <w:r>
        <w:t>• Tramitación de transferencias a empresas mediante ayudas a prejubilaciones mediante subvención de la cuota de la seguridad social.</w:t>
      </w:r>
    </w:p>
    <w:p w14:paraId="74E05F33" w14:textId="77777777" w:rsidR="003754FE" w:rsidRDefault="003754FE" w:rsidP="003754FE">
      <w:pPr>
        <w:pStyle w:val="TextoNormal"/>
      </w:pPr>
    </w:p>
    <w:p w14:paraId="4C4E2E44" w14:textId="77777777" w:rsidR="003754FE" w:rsidRDefault="003754FE" w:rsidP="003754FE">
      <w:pPr>
        <w:pStyle w:val="TextoNormal"/>
      </w:pPr>
      <w:r>
        <w:t>• El programa presupuestario 31L, lo ejecuta la Dirección General de Trabajo y Seguridad Social, centro directivo que tiene atribuida las competencias que corresponden a la consejería en materia de relaciones laborales.</w:t>
      </w:r>
    </w:p>
    <w:p w14:paraId="50D30BFD" w14:textId="77777777" w:rsidR="003754FE" w:rsidRDefault="003754FE" w:rsidP="003754FE">
      <w:pPr>
        <w:pStyle w:val="TextoNormal"/>
      </w:pPr>
    </w:p>
    <w:p w14:paraId="386AFB77" w14:textId="77777777" w:rsidR="003754FE" w:rsidRDefault="003754FE" w:rsidP="003754FE">
      <w:pPr>
        <w:pStyle w:val="TextoNormal"/>
      </w:pPr>
      <w:r>
        <w:t>• Atender a las necesidades públicas de mantenimiento del empleo y del tejido productivo andaluz, a través de los acuerdos con la Agencia de Innovación y Desarrollo de Andalucía para la subvención y ayuda de sectores y empresas con dificultades financieras.</w:t>
      </w:r>
    </w:p>
    <w:p w14:paraId="0E74B61D" w14:textId="77777777" w:rsidR="003754FE" w:rsidRDefault="003754FE" w:rsidP="003754FE">
      <w:pPr>
        <w:pStyle w:val="TextoNormal"/>
      </w:pPr>
    </w:p>
    <w:p w14:paraId="182F473B" w14:textId="77777777" w:rsidR="003754FE" w:rsidRDefault="003754FE" w:rsidP="003754FE">
      <w:pPr>
        <w:pStyle w:val="TextoNormal"/>
      </w:pPr>
      <w:r>
        <w:t>• Esta dirección general instrumenta la materialización de las ayudas a través de un convenio con la Agencia de Innovación y Desarrollo de Andalucía y de su dotación anual específica de contribución a pólizas de prejubilaciones.</w:t>
      </w:r>
    </w:p>
    <w:p w14:paraId="0272F889" w14:textId="77777777" w:rsidR="003754FE" w:rsidRDefault="003754FE" w:rsidP="003754FE">
      <w:pPr>
        <w:pStyle w:val="TextoNormal"/>
      </w:pPr>
    </w:p>
    <w:p w14:paraId="64966893" w14:textId="77777777" w:rsidR="003754FE" w:rsidRDefault="003754FE" w:rsidP="003754FE">
      <w:pPr>
        <w:pStyle w:val="TextoNormal"/>
      </w:pPr>
      <w:r>
        <w:t>• Continuar la línea de colaboración con IDEA en aplicación del concierto de ayudas para el mantenimiento del empleo y tejido productivo andaluz en vigor desde el año 2001.</w:t>
      </w:r>
    </w:p>
    <w:p w14:paraId="44127E26" w14:textId="77777777" w:rsidR="003754FE" w:rsidRDefault="003754FE" w:rsidP="003754FE">
      <w:pPr>
        <w:pStyle w:val="TextoNormal"/>
      </w:pPr>
    </w:p>
    <w:p w14:paraId="26F14F41" w14:textId="77777777" w:rsidR="003754FE" w:rsidRDefault="003754FE" w:rsidP="003754FE">
      <w:pPr>
        <w:pStyle w:val="TextoNormal"/>
      </w:pPr>
      <w:r>
        <w:t>•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14:paraId="74A4828E" w14:textId="77777777" w:rsidR="003754FE" w:rsidRDefault="003754FE" w:rsidP="003754FE">
      <w:pPr>
        <w:pStyle w:val="TextoNormal"/>
      </w:pPr>
    </w:p>
    <w:p w14:paraId="5D3F8D99" w14:textId="77777777" w:rsidR="003754FE" w:rsidRDefault="003754FE" w:rsidP="003754FE">
      <w:pPr>
        <w:pStyle w:val="TextoNormal"/>
      </w:pPr>
      <w:r>
        <w:t>• Mantenimiento del empleo y tejido productivo andaluz: cobertura de las necesidades comprometidas asumidas por expedientes de regulación de empleo, ayuda prejubilaciones, proyectos de viabilidad de pequeñas, medianas y grandes empresas e impulso a la consolidación económica en aquellas empresas con dificultades de mantenimiento del empleo”.</w:t>
      </w:r>
    </w:p>
    <w:p w14:paraId="1DC72856" w14:textId="77777777" w:rsidR="003754FE" w:rsidRDefault="003754FE" w:rsidP="003754FE">
      <w:pPr>
        <w:pStyle w:val="TextoNormal"/>
      </w:pPr>
    </w:p>
    <w:p w14:paraId="760710F3" w14:textId="77777777" w:rsidR="003754FE" w:rsidRDefault="003754FE" w:rsidP="003754FE">
      <w:pPr>
        <w:pStyle w:val="TextoNormal"/>
      </w:pPr>
      <w:r>
        <w:t>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14:paraId="25948223" w14:textId="77777777" w:rsidR="003754FE" w:rsidRDefault="003754FE" w:rsidP="003754FE">
      <w:pPr>
        <w:pStyle w:val="TextoNormal"/>
      </w:pPr>
    </w:p>
    <w:p w14:paraId="093284A1" w14:textId="77777777" w:rsidR="003754FE" w:rsidRDefault="003754FE" w:rsidP="003754FE">
      <w:pPr>
        <w:pStyle w:val="TextoNormal"/>
      </w:pPr>
      <w:r>
        <w:t>El IFA/IDEA, como consecuencia tanto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14:paraId="6F751B3A" w14:textId="77777777" w:rsidR="003754FE" w:rsidRDefault="003754FE" w:rsidP="003754FE">
      <w:pPr>
        <w:pStyle w:val="TextoNormal"/>
      </w:pPr>
    </w:p>
    <w:p w14:paraId="1D363FB8" w14:textId="77777777" w:rsidR="003754FE" w:rsidRDefault="003754FE" w:rsidP="003754FE">
      <w:pPr>
        <w:pStyle w:val="TextoNormal"/>
      </w:pPr>
      <w:r>
        <w:t>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14:paraId="7460909C" w14:textId="77777777" w:rsidR="003754FE" w:rsidRDefault="003754FE" w:rsidP="003754FE">
      <w:pPr>
        <w:pStyle w:val="TextoNormal"/>
      </w:pPr>
    </w:p>
    <w:p w14:paraId="6BB72F0A" w14:textId="77777777" w:rsidR="003754FE" w:rsidRDefault="003754FE" w:rsidP="003754FE">
      <w:pPr>
        <w:pStyle w:val="TextoNormal"/>
      </w:pPr>
      <w:r>
        <w:t>En el ejercicio del año 2009 se dejaron de suscribir convenios particulares entre la Dirección General de Trabajo y Seguridad Social y el IDEA, dictándose por el director general de Trabajo resoluciones concediendo las ayudas y ordenando su pago al director general de IDEA.</w:t>
      </w:r>
    </w:p>
    <w:p w14:paraId="76B27A6B" w14:textId="77777777" w:rsidR="003754FE" w:rsidRDefault="003754FE" w:rsidP="003754FE">
      <w:pPr>
        <w:pStyle w:val="TextoNormal"/>
      </w:pPr>
    </w:p>
    <w:p w14:paraId="0E35C27A" w14:textId="77777777" w:rsidR="003754FE" w:rsidRDefault="003754FE" w:rsidP="003754FE">
      <w:pPr>
        <w:pStyle w:val="TextoNormal"/>
      </w:pPr>
      <w:r>
        <w:t>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14:paraId="26099A2E" w14:textId="77777777" w:rsidR="003754FE" w:rsidRDefault="003754FE" w:rsidP="003754FE">
      <w:pPr>
        <w:pStyle w:val="TextoNormal"/>
      </w:pPr>
    </w:p>
    <w:p w14:paraId="0D57D5D6" w14:textId="77777777" w:rsidR="003754FE" w:rsidRDefault="003754FE" w:rsidP="003754FE">
      <w:pPr>
        <w:pStyle w:val="TextoNormal"/>
      </w:pPr>
      <w:r>
        <w:t>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y 16 de marzo de 2012, hasta su derogación por el Decreto-ley 4/2012, de 16 de octubre, de la Junta de Andalucía, de medidas extraordinarias y urgentes en materia de protección sociolaboral a extrabajadores y extrabajadoras andaluces afectados por procesos de reestructuración de empresas y sectores en crisis.</w:t>
      </w:r>
    </w:p>
    <w:p w14:paraId="5E189524" w14:textId="77777777" w:rsidR="003754FE" w:rsidRDefault="003754FE" w:rsidP="003754FE">
      <w:pPr>
        <w:pStyle w:val="TextoNormal"/>
      </w:pPr>
    </w:p>
    <w:p w14:paraId="0793D54C" w14:textId="77777777" w:rsidR="003754FE" w:rsidRDefault="003754FE" w:rsidP="003754FE">
      <w:pPr>
        <w:pStyle w:val="TextoNormal"/>
      </w:pPr>
      <w:r>
        <w:t>En el citado decreto-ley se estableció que a estas ayudas sociolaborales no les era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14:paraId="06DE8911" w14:textId="77777777" w:rsidR="003754FE" w:rsidRDefault="003754FE" w:rsidP="003754FE">
      <w:pPr>
        <w:pStyle w:val="TextoNormal"/>
      </w:pPr>
    </w:p>
    <w:p w14:paraId="1A7DC59E" w14:textId="77777777" w:rsidR="003754FE" w:rsidRDefault="003754FE" w:rsidP="003754FE">
      <w:pPr>
        <w:pStyle w:val="TextoNormal"/>
      </w:pPr>
      <w:r>
        <w:t>e) En resumen, el sistema de otorgamiento de las ayudas sociolaborales y a empresas en crisis hasta el año 2010 fue el siguiente:</w:t>
      </w:r>
    </w:p>
    <w:p w14:paraId="02261569" w14:textId="77777777" w:rsidR="003754FE" w:rsidRDefault="003754FE" w:rsidP="003754FE">
      <w:pPr>
        <w:pStyle w:val="TextoNormal"/>
      </w:pPr>
    </w:p>
    <w:p w14:paraId="168A4B95" w14:textId="77777777" w:rsidR="003754FE" w:rsidRDefault="003754FE" w:rsidP="003754FE">
      <w:pPr>
        <w:pStyle w:val="TextoNormal"/>
      </w:pPr>
      <w:r>
        <w:t>(i) En la década de los años 1990 estas ayudas se tramitaron como subvenciones excepcionales, siendo concedidas y pagadas por la Consejería de Empleo y Desarrollo Tecnológico.</w:t>
      </w:r>
    </w:p>
    <w:p w14:paraId="6CEDD21E" w14:textId="77777777" w:rsidR="003754FE" w:rsidRDefault="003754FE" w:rsidP="003754FE">
      <w:pPr>
        <w:pStyle w:val="TextoNormal"/>
      </w:pPr>
    </w:p>
    <w:p w14:paraId="0E0C7C96" w14:textId="77777777" w:rsidR="003754FE" w:rsidRDefault="003754FE" w:rsidP="003754FE">
      <w:pPr>
        <w:pStyle w:val="TextoNormal"/>
      </w:pPr>
      <w:r>
        <w:t>(ii)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14:paraId="7314CFDC" w14:textId="77777777" w:rsidR="003754FE" w:rsidRDefault="003754FE" w:rsidP="003754FE">
      <w:pPr>
        <w:pStyle w:val="TextoNormal"/>
      </w:pPr>
    </w:p>
    <w:p w14:paraId="74039F7B" w14:textId="77777777" w:rsidR="003754FE" w:rsidRDefault="003754FE" w:rsidP="003754FE">
      <w:pPr>
        <w:pStyle w:val="TextoNormal"/>
      </w:pPr>
      <w:r>
        <w:t xml:space="preserve">(iii) Al IFA/IDEA se le atribuyeron los fondos para el pago de las ayudas mediante transferencias de financiación. La utilización de estos créditos no estaba sometida a un control previo, sino a un control </w:t>
      </w:r>
      <w:r w:rsidRPr="003754FE">
        <w:rPr>
          <w:i/>
        </w:rPr>
        <w:t>ex post</w:t>
      </w:r>
      <w:r>
        <w:t>: el llamado “control financiero permanente”. Este control se limitaba a (1) comprobar la legalidad del pago; (2) examinar las cuentas anuales; y (3) analizar críticamente los programas asignados al instituto.</w:t>
      </w:r>
    </w:p>
    <w:p w14:paraId="0145E487" w14:textId="77777777" w:rsidR="003754FE" w:rsidRDefault="003754FE" w:rsidP="003754FE">
      <w:pPr>
        <w:pStyle w:val="TextoNormal"/>
      </w:pPr>
    </w:p>
    <w:p w14:paraId="510EE7E5" w14:textId="77777777" w:rsidR="003754FE" w:rsidRDefault="003754FE" w:rsidP="003754FE">
      <w:pPr>
        <w:pStyle w:val="TextoNormal"/>
      </w:pPr>
      <w:r>
        <w:t>(iv)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14:paraId="794CDF87" w14:textId="77777777" w:rsidR="003754FE" w:rsidRDefault="003754FE" w:rsidP="003754FE">
      <w:pPr>
        <w:pStyle w:val="TextoNormal"/>
      </w:pPr>
    </w:p>
    <w:p w14:paraId="42257D03" w14:textId="77777777" w:rsidR="003754FE" w:rsidRDefault="003754FE" w:rsidP="003754FE">
      <w:pPr>
        <w:pStyle w:val="TextoNormal"/>
      </w:pPr>
      <w:r>
        <w:t>El seguimiento del referido sistema de otorgamiento de las ayudas sociolaborales y a empresas en crisis hasta el año 2010 permitió, según las resoluciones impugnadas:</w:t>
      </w:r>
    </w:p>
    <w:p w14:paraId="49444EC7" w14:textId="77777777" w:rsidR="003754FE" w:rsidRDefault="003754FE" w:rsidP="003754FE">
      <w:pPr>
        <w:pStyle w:val="TextoNormal"/>
      </w:pPr>
    </w:p>
    <w:p w14:paraId="1AF23D60" w14:textId="77777777" w:rsidR="003754FE" w:rsidRDefault="003754FE" w:rsidP="003754FE">
      <w:pPr>
        <w:pStyle w:val="TextoNormal"/>
      </w:pPr>
      <w:r>
        <w:t>(i)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14:paraId="7F754311" w14:textId="77777777" w:rsidR="003754FE" w:rsidRDefault="003754FE" w:rsidP="003754FE">
      <w:pPr>
        <w:pStyle w:val="TextoNormal"/>
      </w:pPr>
    </w:p>
    <w:p w14:paraId="3685ADB9" w14:textId="77777777" w:rsidR="003754FE" w:rsidRDefault="003754FE" w:rsidP="003754FE">
      <w:pPr>
        <w:pStyle w:val="TextoNormal"/>
      </w:pPr>
      <w:r>
        <w:t>(ii)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 y</w:t>
      </w:r>
    </w:p>
    <w:p w14:paraId="0F6BCFA2" w14:textId="77777777" w:rsidR="003754FE" w:rsidRDefault="003754FE" w:rsidP="003754FE">
      <w:pPr>
        <w:pStyle w:val="TextoNormal"/>
      </w:pPr>
    </w:p>
    <w:p w14:paraId="0EFED9E0" w14:textId="77777777" w:rsidR="003754FE" w:rsidRDefault="003754FE" w:rsidP="003754FE">
      <w:pPr>
        <w:pStyle w:val="TextoNormal"/>
      </w:pPr>
      <w:r>
        <w:t>(iii) que se destinasen fondos del programa 31L a fines distintos y ajenos a los recogidos para este en los correspondientes presupuestos.</w:t>
      </w:r>
    </w:p>
    <w:p w14:paraId="2E4FFBA0" w14:textId="77777777" w:rsidR="003754FE" w:rsidRDefault="003754FE" w:rsidP="003754FE">
      <w:pPr>
        <w:pStyle w:val="TextoNormal"/>
      </w:pPr>
    </w:p>
    <w:p w14:paraId="1A30EFBD" w14:textId="77777777" w:rsidR="003754FE" w:rsidRDefault="003754FE" w:rsidP="003754FE">
      <w:pPr>
        <w:pStyle w:val="TextoNormal"/>
      </w:pPr>
      <w:r>
        <w:lastRenderedPageBreak/>
        <w:t>2.2</w:t>
      </w:r>
      <w:r w:rsidRPr="003754FE">
        <w:rPr>
          <w:i/>
        </w:rPr>
        <w:t>. La “pieza específica” y las demás piezas del proceso “ER</w:t>
      </w:r>
      <w:r>
        <w:t>E”</w:t>
      </w:r>
    </w:p>
    <w:p w14:paraId="10D5EFBC" w14:textId="77777777" w:rsidR="003754FE" w:rsidRDefault="003754FE" w:rsidP="003754FE">
      <w:pPr>
        <w:pStyle w:val="TextoNormal"/>
      </w:pPr>
    </w:p>
    <w:p w14:paraId="7AB85BC0" w14:textId="77777777" w:rsidR="003754FE" w:rsidRDefault="003754FE" w:rsidP="003754FE">
      <w:pPr>
        <w:pStyle w:val="TextoNormal"/>
      </w:pPr>
      <w:r>
        <w:t>La causa matriz de los “ERE” se desgajó en una primera pieza denominada “pieza específica” y, en lo que aquí interesa, en un número no inferior a otras 200 piezas, que tienen por objeto las ayudas individuales concedidas a empresas o determinados grupos de empresas.</w:t>
      </w:r>
    </w:p>
    <w:p w14:paraId="0548A076" w14:textId="77777777" w:rsidR="003754FE" w:rsidRDefault="003754FE" w:rsidP="003754FE">
      <w:pPr>
        <w:pStyle w:val="TextoNormal"/>
      </w:pPr>
    </w:p>
    <w:p w14:paraId="6E37BAD7" w14:textId="77777777" w:rsidR="003754FE" w:rsidRDefault="003754FE" w:rsidP="003754FE">
      <w:pPr>
        <w:pStyle w:val="TextoNormal"/>
      </w:pPr>
      <w:r>
        <w:t>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14:paraId="206B3E2E" w14:textId="77777777" w:rsidR="003754FE" w:rsidRDefault="003754FE" w:rsidP="003754FE">
      <w:pPr>
        <w:pStyle w:val="TextoNormal"/>
      </w:pPr>
    </w:p>
    <w:p w14:paraId="3D7BAE58" w14:textId="77777777" w:rsidR="003754FE" w:rsidRDefault="003754FE" w:rsidP="003754FE">
      <w:pPr>
        <w:pStyle w:val="TextoNormal"/>
      </w:pPr>
      <w:r>
        <w:t>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 págs. 122-133).</w:t>
      </w:r>
    </w:p>
    <w:p w14:paraId="38327DC0" w14:textId="77777777" w:rsidR="003754FE" w:rsidRDefault="003754FE" w:rsidP="003754FE">
      <w:pPr>
        <w:pStyle w:val="TextoNormal"/>
      </w:pPr>
    </w:p>
    <w:p w14:paraId="005772A1" w14:textId="77777777" w:rsidR="003754FE" w:rsidRDefault="003754FE" w:rsidP="003754FE">
      <w:pPr>
        <w:pStyle w:val="TextoNormal"/>
      </w:pPr>
      <w:r>
        <w:t>2.3</w:t>
      </w:r>
      <w:r w:rsidRPr="003754FE">
        <w:rPr>
          <w:i/>
        </w:rPr>
        <w:t>. Hechos enjuiciados en la “pieza específic</w:t>
      </w:r>
      <w:r>
        <w:t>a”</w:t>
      </w:r>
    </w:p>
    <w:p w14:paraId="4F49EED4" w14:textId="77777777" w:rsidR="003754FE" w:rsidRDefault="003754FE" w:rsidP="003754FE">
      <w:pPr>
        <w:pStyle w:val="TextoNormal"/>
      </w:pPr>
    </w:p>
    <w:p w14:paraId="01A186D9" w14:textId="77777777" w:rsidR="003754FE" w:rsidRDefault="003754FE" w:rsidP="003754FE">
      <w:pPr>
        <w:pStyle w:val="TextoNormal"/>
      </w:pPr>
      <w:r>
        <w:t>Los hechos enjuiciados en la “pieza específica” se delimitan material y cronológicamente en el fundamento de Derecho 3.4 (págs. 135-137) de la sentencia del Tribunal Supremo en estos términos:</w:t>
      </w:r>
    </w:p>
    <w:p w14:paraId="30AAAC7D" w14:textId="77777777" w:rsidR="003754FE" w:rsidRDefault="003754FE" w:rsidP="003754FE">
      <w:pPr>
        <w:pStyle w:val="TextoNormal"/>
      </w:pPr>
    </w:p>
    <w:p w14:paraId="71DE9643" w14:textId="77777777" w:rsidR="003754FE" w:rsidRDefault="003754FE" w:rsidP="003754FE">
      <w:pPr>
        <w:pStyle w:val="TextoNormal"/>
      </w:pPr>
      <w:r>
        <w:t xml:space="preserve">“(i) Temporalmente los hechos enjuiciados en esta causa son los acontecidos entre la elaboración de la primera modificación presupuestaria, cuya aprobación data del 18 de abril </w:t>
      </w:r>
      <w:r>
        <w:lastRenderedPageBreak/>
        <w:t>de 2000 y la aprobación de la última modificación presupuestaria que se produjo el 01 de diciembre de 2009, por lo que cualquier hecho ocurrido fuera de esos márgenes temporales no ha sido objeto de enjuiciamiento en este proceso.</w:t>
      </w:r>
    </w:p>
    <w:p w14:paraId="0304264B" w14:textId="77777777" w:rsidR="003754FE" w:rsidRDefault="003754FE" w:rsidP="003754FE">
      <w:pPr>
        <w:pStyle w:val="TextoNormal"/>
      </w:pPr>
    </w:p>
    <w:p w14:paraId="4CC50500" w14:textId="77777777" w:rsidR="003754FE" w:rsidRDefault="003754FE" w:rsidP="003754FE">
      <w:pPr>
        <w:pStyle w:val="TextoNormal"/>
      </w:pPr>
      <w:r>
        <w:t>(ii) En relación con el delito de prevaricación las personas enjuiciadas y que han resultado condenadas lo han sido por adoptar las siguientes resoluciones:</w:t>
      </w:r>
    </w:p>
    <w:p w14:paraId="4D1C6F87" w14:textId="77777777" w:rsidR="003754FE" w:rsidRDefault="003754FE" w:rsidP="003754FE">
      <w:pPr>
        <w:pStyle w:val="TextoNormal"/>
      </w:pPr>
    </w:p>
    <w:p w14:paraId="17B0E387" w14:textId="77777777" w:rsidR="003754FE" w:rsidRDefault="003754FE" w:rsidP="003754FE">
      <w:pPr>
        <w:pStyle w:val="TextoNormal"/>
      </w:pPr>
      <w:r>
        <w:t>-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14:paraId="6920A2C3" w14:textId="77777777" w:rsidR="003754FE" w:rsidRDefault="003754FE" w:rsidP="003754FE">
      <w:pPr>
        <w:pStyle w:val="TextoNormal"/>
      </w:pPr>
    </w:p>
    <w:p w14:paraId="210F5CD8" w14:textId="77777777" w:rsidR="003754FE" w:rsidRDefault="003754FE" w:rsidP="003754FE">
      <w:pPr>
        <w:pStyle w:val="TextoNormal"/>
      </w:pPr>
      <w:r>
        <w:t>-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14:paraId="1E41D9DC" w14:textId="77777777" w:rsidR="003754FE" w:rsidRDefault="003754FE" w:rsidP="003754FE">
      <w:pPr>
        <w:pStyle w:val="TextoNormal"/>
      </w:pPr>
    </w:p>
    <w:p w14:paraId="1ECF6C11" w14:textId="77777777" w:rsidR="003754FE" w:rsidRDefault="003754FE" w:rsidP="003754FE">
      <w:pPr>
        <w:pStyle w:val="TextoNormal"/>
      </w:pPr>
      <w:r>
        <w:t>-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14:paraId="1B3420BF" w14:textId="77777777" w:rsidR="003754FE" w:rsidRDefault="003754FE" w:rsidP="003754FE">
      <w:pPr>
        <w:pStyle w:val="TextoNormal"/>
      </w:pPr>
    </w:p>
    <w:p w14:paraId="5A1B66D6" w14:textId="77777777" w:rsidR="003754FE" w:rsidRDefault="003754FE" w:rsidP="003754FE">
      <w:pPr>
        <w:pStyle w:val="TextoNormal"/>
      </w:pPr>
      <w:r>
        <w:t>-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14:paraId="3D074E2F" w14:textId="77777777" w:rsidR="003754FE" w:rsidRDefault="003754FE" w:rsidP="003754FE">
      <w:pPr>
        <w:pStyle w:val="TextoNormal"/>
      </w:pPr>
    </w:p>
    <w:p w14:paraId="64F142A5" w14:textId="77777777" w:rsidR="003754FE" w:rsidRDefault="003754FE" w:rsidP="003754FE">
      <w:pPr>
        <w:pStyle w:val="TextoNormal"/>
      </w:pPr>
      <w:r>
        <w:t>- Fraccionamiento de las cuantías de las ayudas a partir del 27 de mayo de 2003 en función de las cantidades asignadas a cada trabajador y no de las cantidades asignadas a las empresas, todo ello para sustraer su conocimiento del consejo rector del IFA.</w:t>
      </w:r>
    </w:p>
    <w:p w14:paraId="2AB86D16" w14:textId="77777777" w:rsidR="003754FE" w:rsidRDefault="003754FE" w:rsidP="003754FE">
      <w:pPr>
        <w:pStyle w:val="TextoNormal"/>
      </w:pPr>
    </w:p>
    <w:p w14:paraId="755A3A72" w14:textId="77777777" w:rsidR="003754FE" w:rsidRDefault="003754FE" w:rsidP="003754FE">
      <w:pPr>
        <w:pStyle w:val="TextoNormal"/>
      </w:pPr>
      <w:r>
        <w:t>-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14:paraId="70BA62A9" w14:textId="77777777" w:rsidR="003754FE" w:rsidRDefault="003754FE" w:rsidP="003754FE">
      <w:pPr>
        <w:pStyle w:val="TextoNormal"/>
      </w:pPr>
    </w:p>
    <w:p w14:paraId="61160F4B" w14:textId="77777777" w:rsidR="003754FE" w:rsidRDefault="003754FE" w:rsidP="003754FE">
      <w:pPr>
        <w:pStyle w:val="TextoNormal"/>
      </w:pPr>
      <w:r>
        <w:t>- Concesión de las ayudas sociolaborales.</w:t>
      </w:r>
    </w:p>
    <w:p w14:paraId="3CB8C77B" w14:textId="77777777" w:rsidR="003754FE" w:rsidRDefault="003754FE" w:rsidP="003754FE">
      <w:pPr>
        <w:pStyle w:val="TextoNormal"/>
      </w:pPr>
    </w:p>
    <w:p w14:paraId="0BF636AA" w14:textId="77777777" w:rsidR="003754FE" w:rsidRDefault="003754FE" w:rsidP="003754FE">
      <w:pPr>
        <w:pStyle w:val="TextoNormal"/>
      </w:pPr>
      <w:r>
        <w:t>(iii) En relación con el delito de malversación de caudales públicos las personas enjuiciadas en este proceso y condenadas por este delito lo han sido bien por su participación directa en la disposición de fondos, bien por haber permitido esa disposición.</w:t>
      </w:r>
    </w:p>
    <w:p w14:paraId="17F5C148" w14:textId="77777777" w:rsidR="003754FE" w:rsidRDefault="003754FE" w:rsidP="003754FE">
      <w:pPr>
        <w:pStyle w:val="TextoNormal"/>
      </w:pPr>
    </w:p>
    <w:p w14:paraId="46E02E52" w14:textId="77777777" w:rsidR="003754FE" w:rsidRDefault="003754FE" w:rsidP="003754FE">
      <w:pPr>
        <w:pStyle w:val="TextoNormal"/>
      </w:pPr>
      <w:r>
        <w:t xml:space="preserve">Lógicamente la malversación tiene como soporte fáctico las disposiciones concretas de los fondos públicos y quienes han resultado condenados por este delito, lo han sido bien por </w:t>
      </w:r>
      <w:r>
        <w:lastRenderedPageBreak/>
        <w:t>su participación directa en las disposiciones de fondos, bien porque las permitieron, una vez tuvieron conocimiento de la forma en que se estaban aprobando y gestionando.</w:t>
      </w:r>
    </w:p>
    <w:p w14:paraId="279B30DD" w14:textId="77777777" w:rsidR="003754FE" w:rsidRDefault="003754FE" w:rsidP="003754FE">
      <w:pPr>
        <w:pStyle w:val="TextoNormal"/>
      </w:pPr>
    </w:p>
    <w:p w14:paraId="4C03A977" w14:textId="77777777" w:rsidR="003754FE" w:rsidRDefault="003754FE" w:rsidP="003754FE">
      <w:pPr>
        <w:pStyle w:val="TextoNormal"/>
      </w:pPr>
      <w:r>
        <w:t>Entendemos que la condena por malversación incluye respecto de cada condenado a todas las disposiciones de fondos públicos realizadas durante el tiempo en que cada uno de ellos ejerció su cargo.</w:t>
      </w:r>
    </w:p>
    <w:p w14:paraId="7C60CD61" w14:textId="77777777" w:rsidR="003754FE" w:rsidRDefault="003754FE" w:rsidP="003754FE">
      <w:pPr>
        <w:pStyle w:val="TextoNormal"/>
      </w:pPr>
    </w:p>
    <w:p w14:paraId="688E3353" w14:textId="77777777" w:rsidR="003754FE" w:rsidRDefault="003754FE" w:rsidP="003754FE">
      <w:pPr>
        <w:pStyle w:val="TextoNormal"/>
      </w:pPr>
      <w:r>
        <w:t>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vigésimo 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14:paraId="58FA9E9A" w14:textId="77777777" w:rsidR="003754FE" w:rsidRDefault="003754FE" w:rsidP="003754FE">
      <w:pPr>
        <w:pStyle w:val="TextoNormal"/>
      </w:pPr>
    </w:p>
    <w:p w14:paraId="6C9DDEB6" w14:textId="77777777" w:rsidR="003754FE" w:rsidRDefault="003754FE" w:rsidP="003754FE">
      <w:pPr>
        <w:pStyle w:val="TextoNormal"/>
      </w:pPr>
      <w:r>
        <w:t>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14:paraId="6868496F" w14:textId="77777777" w:rsidR="003754FE" w:rsidRDefault="003754FE" w:rsidP="003754FE">
      <w:pPr>
        <w:pStyle w:val="TextoNormal"/>
      </w:pPr>
    </w:p>
    <w:p w14:paraId="49443CE3" w14:textId="77777777" w:rsidR="003754FE" w:rsidRDefault="003754FE" w:rsidP="003754FE">
      <w:pPr>
        <w:pStyle w:val="TextoNormal"/>
      </w:pPr>
      <w:r>
        <w:t>Este último subapartado C) resulta del siguiente tenor:</w:t>
      </w:r>
    </w:p>
    <w:p w14:paraId="1C95F121" w14:textId="77777777" w:rsidR="003754FE" w:rsidRDefault="003754FE" w:rsidP="003754FE">
      <w:pPr>
        <w:pStyle w:val="TextoNormal"/>
      </w:pPr>
    </w:p>
    <w:p w14:paraId="046D3CBB" w14:textId="77777777" w:rsidR="003754FE" w:rsidRDefault="003754FE" w:rsidP="003754FE">
      <w:pPr>
        <w:pStyle w:val="TextoNormal"/>
      </w:pPr>
      <w:r>
        <w:t>“C) Los fondos del programa 31L se emplearon también en fines distintos y ajenos a los recogidos en las fichas presupuestarias del mismo, así podemos reseñar que se abonó:</w:t>
      </w:r>
    </w:p>
    <w:p w14:paraId="68C10F8E" w14:textId="77777777" w:rsidR="003754FE" w:rsidRDefault="003754FE" w:rsidP="003754FE">
      <w:pPr>
        <w:pStyle w:val="TextoNormal"/>
      </w:pPr>
    </w:p>
    <w:p w14:paraId="53246A2C" w14:textId="77777777" w:rsidR="003754FE" w:rsidRDefault="003754FE" w:rsidP="003754FE">
      <w:pPr>
        <w:pStyle w:val="TextoNormal"/>
      </w:pPr>
      <w:r>
        <w:t>• Facturas emitidas por las mercantiles Tapsa y Cicm, derivadas de varios contratos de campañas de comunicación sobre fomento de empleo y divulgación del [Servicio Andaluz de Empleo], por un total de 3 386 017,00 €, que fueron abonadas por el Instituto, en el periodo 15 de julio de 2003 a 2 de marzo de 2004.</w:t>
      </w:r>
    </w:p>
    <w:p w14:paraId="16FDB33F" w14:textId="77777777" w:rsidR="003754FE" w:rsidRDefault="003754FE" w:rsidP="003754FE">
      <w:pPr>
        <w:pStyle w:val="TextoNormal"/>
      </w:pPr>
    </w:p>
    <w:p w14:paraId="547E8E3E" w14:textId="77777777" w:rsidR="003754FE" w:rsidRDefault="003754FE" w:rsidP="003754FE">
      <w:pPr>
        <w:pStyle w:val="TextoNormal"/>
      </w:pPr>
      <w:r>
        <w:t>•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14:paraId="7297A021" w14:textId="77777777" w:rsidR="003754FE" w:rsidRDefault="003754FE" w:rsidP="003754FE">
      <w:pPr>
        <w:pStyle w:val="TextoNormal"/>
      </w:pPr>
    </w:p>
    <w:p w14:paraId="3C0B4D55" w14:textId="77777777" w:rsidR="003754FE" w:rsidRDefault="003754FE" w:rsidP="003754FE">
      <w:pPr>
        <w:pStyle w:val="TextoNormal"/>
      </w:pPr>
      <w:r>
        <w:t>•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cursos on line.</w:t>
      </w:r>
    </w:p>
    <w:p w14:paraId="30678C65" w14:textId="77777777" w:rsidR="003754FE" w:rsidRDefault="003754FE" w:rsidP="003754FE">
      <w:pPr>
        <w:pStyle w:val="TextoNormal"/>
      </w:pPr>
    </w:p>
    <w:p w14:paraId="46D09C4E" w14:textId="77777777" w:rsidR="003754FE" w:rsidRDefault="003754FE" w:rsidP="003754FE">
      <w:pPr>
        <w:pStyle w:val="TextoNormal"/>
      </w:pPr>
      <w:r>
        <w:t>•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14:paraId="18592F0F" w14:textId="77777777" w:rsidR="003754FE" w:rsidRDefault="003754FE" w:rsidP="003754FE">
      <w:pPr>
        <w:pStyle w:val="TextoNormal"/>
      </w:pPr>
    </w:p>
    <w:p w14:paraId="0210116B" w14:textId="77777777" w:rsidR="003754FE" w:rsidRDefault="003754FE" w:rsidP="003754FE">
      <w:pPr>
        <w:pStyle w:val="TextoNormal"/>
      </w:pPr>
      <w:r>
        <w:t>•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14:paraId="616C1AB7" w14:textId="77777777" w:rsidR="003754FE" w:rsidRDefault="003754FE" w:rsidP="003754FE">
      <w:pPr>
        <w:pStyle w:val="TextoNormal"/>
      </w:pPr>
    </w:p>
    <w:p w14:paraId="3F53D291" w14:textId="77777777" w:rsidR="003754FE" w:rsidRDefault="003754FE" w:rsidP="003754FE">
      <w:pPr>
        <w:pStyle w:val="TextoNormal"/>
      </w:pPr>
      <w:r>
        <w:t>•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14:paraId="60826B22" w14:textId="77777777" w:rsidR="003754FE" w:rsidRDefault="003754FE" w:rsidP="003754FE">
      <w:pPr>
        <w:pStyle w:val="TextoNormal"/>
      </w:pPr>
    </w:p>
    <w:p w14:paraId="00B734A1" w14:textId="77777777" w:rsidR="003754FE" w:rsidRDefault="003754FE" w:rsidP="003754FE">
      <w:pPr>
        <w:pStyle w:val="TextoNormal"/>
      </w:pPr>
      <w:r>
        <w:t>• En los ejercicios 2004, 2005, 2006, 2009 y 2010, se destinaron 1 192 000 € para el pago a la Fundación San Telmo, del ‘Curso de alta dirección de instituciones sociales’, para un total de cien personas”.</w:t>
      </w:r>
    </w:p>
    <w:p w14:paraId="08EA4C64" w14:textId="77777777" w:rsidR="003754FE" w:rsidRDefault="003754FE" w:rsidP="003754FE">
      <w:pPr>
        <w:pStyle w:val="TextoNormal"/>
      </w:pPr>
    </w:p>
    <w:p w14:paraId="3E22B918" w14:textId="77777777" w:rsidR="003754FE" w:rsidRDefault="003754FE" w:rsidP="003754FE">
      <w:pPr>
        <w:pStyle w:val="TextoNormal"/>
      </w:pPr>
      <w:r>
        <w:t>2.4</w:t>
      </w:r>
      <w:r w:rsidRPr="003754FE">
        <w:rPr>
          <w:i/>
        </w:rPr>
        <w:t>. Hechos por los que ha sido condenado el demandante de ampa</w:t>
      </w:r>
      <w:r>
        <w:t>ro</w:t>
      </w:r>
    </w:p>
    <w:p w14:paraId="5150881B" w14:textId="77777777" w:rsidR="003754FE" w:rsidRDefault="003754FE" w:rsidP="003754FE">
      <w:pPr>
        <w:pStyle w:val="TextoNormal"/>
      </w:pPr>
    </w:p>
    <w:p w14:paraId="34FAD350" w14:textId="77777777" w:rsidR="003754FE" w:rsidRDefault="003754FE" w:rsidP="003754FE">
      <w:pPr>
        <w:pStyle w:val="TextoNormal"/>
      </w:pPr>
      <w:r>
        <w:t>En el relato de hechos probados de la sentencia de la Audiencia Provincial se establece que don Juan Márquez Contreras ocupó el cargo de director general de Trabajo desde el 29 de abril de 2008 hasta el 6 de abril de 2010, y que en su desempeño:</w:t>
      </w:r>
    </w:p>
    <w:p w14:paraId="574271FE" w14:textId="77777777" w:rsidR="003754FE" w:rsidRDefault="003754FE" w:rsidP="003754FE">
      <w:pPr>
        <w:pStyle w:val="TextoNormal"/>
      </w:pPr>
    </w:p>
    <w:p w14:paraId="6C7C7C3C" w14:textId="77777777" w:rsidR="003754FE" w:rsidRDefault="003754FE" w:rsidP="003754FE">
      <w:pPr>
        <w:pStyle w:val="TextoNormal"/>
      </w:pPr>
      <w:r>
        <w:t>(i) Además de participar en la elaboración del anteproyecto de presupuesto para el año 2009, y en modificaciones presupuestarias, gestionó los créditos autorizados en las leyes y modificaciones presupuestarias para los ejercicios de 2008 y 2009, que alcanzaron un montante total de 94 744 185,09 € y 80 720 634 €, respectivamente, dentro del programa 31L, para el pago de ayudas sociolaborales y a empresas en crisis, siguiendo el procedimiento ya descrito, en el que introdujo algunas modificaciones, como la de sustituir el sistema de firma de convenios particulares con la agencia IDEA por el dictado de resoluciones que ordenaban el pago, lo que se hizo efectivo en el ejercicio de 2009.</w:t>
      </w:r>
    </w:p>
    <w:p w14:paraId="4F3E115D" w14:textId="77777777" w:rsidR="003754FE" w:rsidRDefault="003754FE" w:rsidP="003754FE">
      <w:pPr>
        <w:pStyle w:val="TextoNormal"/>
      </w:pPr>
    </w:p>
    <w:p w14:paraId="2FCAA25D" w14:textId="77777777" w:rsidR="003754FE" w:rsidRDefault="003754FE" w:rsidP="003754FE">
      <w:pPr>
        <w:pStyle w:val="TextoNormal"/>
      </w:pPr>
      <w:r>
        <w:t xml:space="preserve">(ii) Encargó informes a empresas de auditoría externa (Garrigues, PriceWaterhouseCoopers Auditores, S.L.), para el análisis del fundamento, naturaleza y régimen jurídico de las ayudas sociolaborales, en los que se dictaminó que se trataba de subvenciones de </w:t>
      </w:r>
      <w:r>
        <w:lastRenderedPageBreak/>
        <w:t>concesión directa y carácter excepcional, que debían cumplir los requisitos establecidos en su legislación específica, y que, desde dicha óptica, podían incurrir en causa de nulidad administrativa; se indicaba igualmente que para su concesión por el director general de Trabajo era precisa la delegación del ejercicio de la competencia por el consejero de Empleo.</w:t>
      </w:r>
    </w:p>
    <w:p w14:paraId="69B13695" w14:textId="77777777" w:rsidR="003754FE" w:rsidRDefault="003754FE" w:rsidP="003754FE">
      <w:pPr>
        <w:pStyle w:val="TextoNormal"/>
      </w:pPr>
    </w:p>
    <w:p w14:paraId="4D187EB4" w14:textId="77777777" w:rsidR="003754FE" w:rsidRDefault="003754FE" w:rsidP="003754FE">
      <w:pPr>
        <w:pStyle w:val="TextoNormal"/>
      </w:pPr>
      <w:r>
        <w:t>(iii) Conoció la totalidad de los hechos declarados probados por el desempeño de su cargo en el período reseñado.</w:t>
      </w:r>
    </w:p>
    <w:p w14:paraId="7F45F371" w14:textId="77777777" w:rsidR="003754FE" w:rsidRDefault="003754FE" w:rsidP="003754FE">
      <w:pPr>
        <w:pStyle w:val="TextoNormal"/>
      </w:pPr>
    </w:p>
    <w:p w14:paraId="193E54FC" w14:textId="77777777" w:rsidR="003754FE" w:rsidRDefault="003754FE" w:rsidP="003754FE">
      <w:pPr>
        <w:pStyle w:val="TextoNormal"/>
      </w:pPr>
      <w:r>
        <w:t>En el fundamento de Derecho 29, dedicado al examen de la participación del Sr. Márquez Contreras, se dice que:</w:t>
      </w:r>
    </w:p>
    <w:p w14:paraId="7D821585" w14:textId="77777777" w:rsidR="003754FE" w:rsidRDefault="003754FE" w:rsidP="003754FE">
      <w:pPr>
        <w:pStyle w:val="TextoNormal"/>
      </w:pPr>
    </w:p>
    <w:p w14:paraId="4AC243EA" w14:textId="77777777" w:rsidR="003754FE" w:rsidRDefault="003754FE" w:rsidP="003754FE">
      <w:pPr>
        <w:pStyle w:val="TextoNormal"/>
      </w:pPr>
      <w:r>
        <w:t>(i) Firmó los documentos de autorización y compromiso de gasto (AD) y las propuestas de los documentos contables necesarios para que pudieran realizarse las transferencias de financiación al IDEA previstas en el programa 31L de las leyes de presupuestos.</w:t>
      </w:r>
    </w:p>
    <w:p w14:paraId="3437C908" w14:textId="77777777" w:rsidR="003754FE" w:rsidRDefault="003754FE" w:rsidP="003754FE">
      <w:pPr>
        <w:pStyle w:val="TextoNormal"/>
      </w:pPr>
    </w:p>
    <w:p w14:paraId="4C717252" w14:textId="77777777" w:rsidR="003754FE" w:rsidRDefault="003754FE" w:rsidP="003754FE">
      <w:pPr>
        <w:pStyle w:val="TextoNormal"/>
      </w:pPr>
      <w:r>
        <w:t>(ii) Conoció los problemas de falta de control y de cumplimiento de las ayudas que se arrastraban desde antes de su acceso. La Sra. Rofa, técnica contratada por el propio demandante para poner orden en los expedientes, le informó de la existencia de múltiples ayudas comprometidas pero no pagadas que estaban generando intereses. Dicha señora también prestó testimonio en la causa en el que dijo que el Sr. Márquez Contreras conocía la existencia de los denominados pagos cruzados, así como la inclusión como beneficiarios en pólizas de renta colectiva, derivadas de expedientes de regulación de empleo, de personas ajenas a la actividad de la empresa, los conocidos como “intrusos”.</w:t>
      </w:r>
    </w:p>
    <w:p w14:paraId="038141FB" w14:textId="77777777" w:rsidR="003754FE" w:rsidRDefault="003754FE" w:rsidP="003754FE">
      <w:pPr>
        <w:pStyle w:val="TextoNormal"/>
      </w:pPr>
    </w:p>
    <w:p w14:paraId="771CF7EE" w14:textId="77777777" w:rsidR="003754FE" w:rsidRDefault="003754FE" w:rsidP="003754FE">
      <w:pPr>
        <w:pStyle w:val="TextoNormal"/>
      </w:pPr>
      <w:r>
        <w:t>(iii) Siguió concediendo ayudas por el mismo procedimiento utilizado por su antecesor, reproduciendo las irregularidades que habían sido detectadas en el informe adicional al informe de cumplimiento de la agencia IFA/IDEA elaborado por la intervención respecto del ejercicio 2003, esto es, con conocimiento de que mediante el uso de las transferencias de financiación a dicha agencia las ayudas no eran objeto de la fiscalización previa exigida en la Ley 5/1983, de 19 de julio, general de la hacienda pública de la Comunidad Autónoma de Andalucía, ni cumplían el procedimiento previsto en las distintas normas, estatales y autonómicas, reguladoras de las subvenciones (Ley 38/2003, de 17 de noviembre, general de subvenciones, y Decreto 254/2001, de 20 de noviembre, por el que se aprobó el reglamento regulador de los procedimientos para la concesión de subvenciones y ayudas públicas por la administración de la Junta de Andalucía y sus organismos autónomos, y su régimen jurídico).</w:t>
      </w:r>
    </w:p>
    <w:p w14:paraId="67BB6A66" w14:textId="77777777" w:rsidR="003754FE" w:rsidRDefault="003754FE" w:rsidP="003754FE">
      <w:pPr>
        <w:pStyle w:val="TextoNormal"/>
      </w:pPr>
    </w:p>
    <w:p w14:paraId="4DE86E61" w14:textId="77777777" w:rsidR="003754FE" w:rsidRDefault="003754FE" w:rsidP="003754FE">
      <w:pPr>
        <w:pStyle w:val="TextoNormal"/>
      </w:pPr>
      <w:r>
        <w:t>(iv) En la primera etapa de su mandato firmó nuevos convenios con el director general de IDEA que eran iguales que los que había firmado su antecesor; en una segunda etapa se cambiaron algunas prácticas, “teniendo los expedientes de ayudas una mayor documentación y justificación de la finalidad de la ayuda, al menos formalmente, pues se seguía el sistema anterior y se sabía que no había control alguno” (sentencia de la Audiencia Provincial de Sevilla, fundamento de Derecho 29, pág. 1001). Pasó del convenio particular al dictado de una resolución para conceder las ayudas.</w:t>
      </w:r>
    </w:p>
    <w:p w14:paraId="59697CF5" w14:textId="77777777" w:rsidR="003754FE" w:rsidRDefault="003754FE" w:rsidP="003754FE">
      <w:pPr>
        <w:pStyle w:val="TextoNormal"/>
      </w:pPr>
    </w:p>
    <w:p w14:paraId="42099740" w14:textId="77777777" w:rsidR="003754FE" w:rsidRDefault="003754FE" w:rsidP="003754FE">
      <w:pPr>
        <w:pStyle w:val="TextoNormal"/>
      </w:pPr>
      <w:r>
        <w:t xml:space="preserve">(v) En la elaboración del presupuesto de 2009 mantuvo la ficha presupuestaria del programa 31L, de transferencias de financiación a IDEA en materia de relaciones laborales, conociendo las consecuencias que traía esta forma de presupuestar, y durante su mandato </w:t>
      </w:r>
      <w:r>
        <w:lastRenderedPageBreak/>
        <w:t>se tramitaron tres modificaciones presupuestarias, dos al final del año 2008 y una al final del año 2009, que incrementaron el crédito de dicha partida, elaborando sus memorias justificativas. En la elaboración de los presupuestos del año 2010 “ya se realizó una correcta consignación presupuestaria de las ayudas que se daban al amparo del programa 31L, en la partida 47” (sentencia de la Audiencia Provincial, fundamento de Derecho 29, pág. 1002).</w:t>
      </w:r>
    </w:p>
    <w:p w14:paraId="5C1FD5A0" w14:textId="77777777" w:rsidR="003754FE" w:rsidRDefault="003754FE" w:rsidP="003754FE">
      <w:pPr>
        <w:pStyle w:val="TextoNormal"/>
      </w:pPr>
    </w:p>
    <w:p w14:paraId="16BBA4ED" w14:textId="77777777" w:rsidR="003754FE" w:rsidRDefault="003754FE" w:rsidP="003754FE">
      <w:pPr>
        <w:pStyle w:val="TextoNormal"/>
      </w:pPr>
      <w:r>
        <w:t>(vi) El Sr. Márquez Contreras remitió una carta el día 2 de octubre de 2008 a la mediadora de seguros Vitalia, en la que le ordenó el pago a favor de la póliza de Dhul, retirando el dinero de parte de la cantidad que se iba a remitir a la aseguradora Fortia Vida, para el pago de la póliza de Fundaciones Caetano.</w:t>
      </w:r>
    </w:p>
    <w:p w14:paraId="6163B622" w14:textId="77777777" w:rsidR="003754FE" w:rsidRDefault="003754FE" w:rsidP="003754FE">
      <w:pPr>
        <w:pStyle w:val="TextoNormal"/>
      </w:pPr>
    </w:p>
    <w:p w14:paraId="5C50BD44" w14:textId="77777777" w:rsidR="003754FE" w:rsidRDefault="003754FE" w:rsidP="003754FE">
      <w:pPr>
        <w:pStyle w:val="TextoNormal"/>
      </w:pPr>
      <w:r>
        <w:t xml:space="preserve">(vii) Recabó el 8 de julio de 2009 un informe al despacho Garrigues sobre la naturaleza y régimen jurídico aplicable a una línea de ayudas de carácter socio-laboral que pretendía implantar su dirección general. El informe afirmaba en sus conclusiones que tales ayudas debían calificarse necesariamente como subvenciones </w:t>
      </w:r>
      <w:r w:rsidRPr="003754FE">
        <w:rPr>
          <w:i/>
        </w:rPr>
        <w:t>stricto sensu</w:t>
      </w:r>
      <w:r>
        <w:t>, de concesión directa y naturaleza excepcional, cuya concesión exigiría su motivación en cada caso, y requerirían la delegación de la competencia por el consejero de Empleo; en cuanto a su control financiero, se decía que la pretensión de financiar tales ayudas con una partida presupuestaria que había sido transferida ya a la agencia IDEA suponía la eliminación de un trámite fundamental, como es la fiscalización individualizada de los actos de otorgamiento; también se decía que las subvenciones debían publicarse en el “Boletín Oficial de la Junta de Andalucía” (“BOJA”) e inscribirse en la base de datos de subvenciones. Tras recibir este informe, el Sr. Márquez Contreras siguió ordenando el pago de las ayudas, a pesar de que no tuvo delegada la competencia por el consejero de Empleo hasta que se dictó la orden de 3 de marzo de 2010, publicada en el “BOJA” el 6 de abril de 2010. A título de ejemplo se cita la resolución que dictó el 21 de diciembre de 2009 concediendo una ayuda a los trabajadores de Odiel Press, S.L., y la resolución de 18 de febrero de 2010 que concedió una ayuda sociolaboral a los trabajadores de Astilleros, afirmándose en ambas resoluciones que la competencia correspondía a la persona titular de la Dirección General de Trabajo y Seguridad Social.</w:t>
      </w:r>
    </w:p>
    <w:p w14:paraId="790EDFF9" w14:textId="77777777" w:rsidR="003754FE" w:rsidRDefault="003754FE" w:rsidP="003754FE">
      <w:pPr>
        <w:pStyle w:val="TextoNormal"/>
      </w:pPr>
    </w:p>
    <w:p w14:paraId="525E60DA" w14:textId="77777777" w:rsidR="003754FE" w:rsidRDefault="003754FE" w:rsidP="003754FE">
      <w:pPr>
        <w:pStyle w:val="TextoNormal"/>
      </w:pPr>
      <w:r>
        <w:t>(viii) En dos informes elaborados por PriceWaterhouseCoopers Auditores, S.L., también por encargo del Sr. Márquez Contreras efectuado en el mes de abril de 2009, se examinaron dieciséis ayudas concedidas en el periodo comprendido entre los años 2002 a 2008, siendo director general de Trabajo don Francisco Javier Guerrero Benítez, en las que se detectaron, entre otras circunstancias, vínculos entre las empresas beneficiarias, que compartían accionistas y órganos de administración, abono, en algunos casos, de las subvenciones en la misma cuenta bancaria, poco tiempo desde su constitución, escaso patrimonio, y ausencia de trabajadores; también que se dirigían a una zona con alto nivel de desempleo como es la Sierra Norte de Sevilla.</w:t>
      </w:r>
    </w:p>
    <w:p w14:paraId="36153305" w14:textId="77777777" w:rsidR="003754FE" w:rsidRDefault="003754FE" w:rsidP="003754FE">
      <w:pPr>
        <w:pStyle w:val="TextoNormal"/>
      </w:pPr>
    </w:p>
    <w:p w14:paraId="26FF00C9" w14:textId="77777777" w:rsidR="003754FE" w:rsidRDefault="003754FE" w:rsidP="003754FE">
      <w:pPr>
        <w:pStyle w:val="TextoNormal"/>
      </w:pPr>
      <w:r>
        <w:t xml:space="preserve">(ix) En los ejercicios 2004, 2005, 2006, 2009 y 2010 se destinaron 1 192 000 € para el pago a la Fundación San Telmo del “Curso de alta dirección de instituciones sociales” cuyo objeto fue subvencionar la realización de dicho curso a sesenta personas, en las ediciones de 2004, 2005 y 2006, y a cuarenta personas, en las ediciones de 2009 y 2010, tratándose de personas con responsabilidades de alta dirección de la Junta de Andalucía, designadas por la Dirección General de Trabajo. El Sr. Márquez Contreras dictó la resolución de 17 de </w:t>
      </w:r>
      <w:r>
        <w:lastRenderedPageBreak/>
        <w:t>agosto de 2009 por la que acordó ordenar a la agencia IDEA el pago de ayuda sociolaboral, como medida de acompañamiento del plan formativo de la Fundación San Telmo.</w:t>
      </w:r>
    </w:p>
    <w:p w14:paraId="372AD723" w14:textId="77777777" w:rsidR="003754FE" w:rsidRDefault="003754FE" w:rsidP="003754FE">
      <w:pPr>
        <w:pStyle w:val="TextoNormal"/>
      </w:pPr>
    </w:p>
    <w:p w14:paraId="71037185" w14:textId="7DF4C105" w:rsidR="003754FE" w:rsidRDefault="003754FE" w:rsidP="003754FE">
      <w:pPr>
        <w:pStyle w:val="TextoNormal"/>
      </w:pPr>
      <w:r>
        <w:t>El Tribunal Supremo, en su sentencia, confirma la valoración de la prueba efectuada en la sentencia de instancia, y las conclusiones extraídas de la misma, aunque con dos salvedades: considera que no consta la participación relevante del Sr. Márquez Contreras “ni en la aprobación de los presupuestos de 2009 [por la fecha en la que accedió al cargo] ni en la realización de pagos cruzados, hechos que se han utilizado indebidamente en la sentencia para la fijación de la pena” (sentencia del Tribunal Supremo, fundamento de Derecho 136.2, pág. 1028) y aprecia, asimismo, un esfuerzo de corrección de las deficiencias del sistema que subsume en la aplicación de la atenuante analógica de reparación del daño como muy cualificada.</w:t>
      </w:r>
    </w:p>
    <w:p w14:paraId="10E9F27E" w14:textId="77777777" w:rsidR="003754FE" w:rsidRDefault="003754FE" w:rsidP="003754FE">
      <w:pPr>
        <w:pStyle w:val="TextoNormal"/>
      </w:pPr>
    </w:p>
    <w:p w14:paraId="6098E72B" w14:textId="77777777" w:rsidR="003754FE" w:rsidRDefault="003754FE" w:rsidP="003754FE">
      <w:pPr>
        <w:pStyle w:val="TextoNormal"/>
      </w:pPr>
      <w:r w:rsidRPr="003754FE">
        <w:rPr>
          <w:rStyle w:val="NumeroAFNegritaCaracter"/>
        </w:rPr>
        <w:t>3</w:t>
      </w:r>
      <w:r>
        <w:t xml:space="preserve">. </w:t>
      </w:r>
      <w:r w:rsidRPr="003754FE">
        <w:rPr>
          <w:i/>
        </w:rPr>
        <w:t>Enjuiciamiento de la queja relativa a la vulneración del derecho a la presunción de inocencia (art. 24.2 CE) en relación con la condena por delito de malversación de caudales públicos respecto de las ayudas concedidas en ausencia de fin público y las partidas desviadas del programa presupuestario 31L declaradas en la sentencia de instancia</w:t>
      </w:r>
    </w:p>
    <w:p w14:paraId="6228BB0C" w14:textId="77777777" w:rsidR="003754FE" w:rsidRDefault="003754FE" w:rsidP="003754FE">
      <w:pPr>
        <w:pStyle w:val="TextoNormal"/>
      </w:pPr>
    </w:p>
    <w:p w14:paraId="4595F161" w14:textId="77777777" w:rsidR="003754FE" w:rsidRDefault="003754FE" w:rsidP="003754FE">
      <w:pPr>
        <w:pStyle w:val="TextoNormal"/>
      </w:pPr>
      <w:r>
        <w:t xml:space="preserve">3.1. </w:t>
      </w:r>
      <w:r w:rsidRPr="003754FE">
        <w:rPr>
          <w:i/>
        </w:rPr>
        <w:t>Posiciones de las partes</w:t>
      </w:r>
    </w:p>
    <w:p w14:paraId="2A3F16B9" w14:textId="77777777" w:rsidR="003754FE" w:rsidRDefault="003754FE" w:rsidP="003754FE">
      <w:pPr>
        <w:pStyle w:val="TextoNormal"/>
      </w:pPr>
    </w:p>
    <w:p w14:paraId="1BC5EDC5" w14:textId="77777777" w:rsidR="003754FE" w:rsidRDefault="003754FE" w:rsidP="003754FE">
      <w:pPr>
        <w:pStyle w:val="TextoNormal"/>
      </w:pPr>
      <w:r>
        <w:t>La demanda de amparo en su motivo tercero denuncia la vulneración del derecho fundamental a la presunción de inocencia (art. 24.2 CE) al no existir un acervo probatorio suficiente para justificar la condena de don Juan Márquez Contreras por el delito de malversación de caudales públicos. Aduce que la sentencia de instancia incurre en una valoración irracional de la prueba porque, habiendo sido reconocido que la mayoría de los fondos del programa 31L se destinaron a los fines previstos, no especifica qué concretas ayudas sociolaborales o a empresas fueron desviadas de su finalidad pública, o el motivo por el que se consideraba que carecían de dicha finalidad, conclusión a la que, por otra parte, no era posible llegar sin un debate contradictorio y prueba que tuviera por objeto cada una de las ayudas individuales supuestamente desviadas, cosa que las acusaciones no plantearon. Denuncia asimismo falta de lógica argumentativa porque “partiendo de una premisa inicial consistente en la ausencia de ‘expediente que permita acreditar el fin público y el destino de la ayuda’, se produce un salto al vacío en el discurso y la sentencia llega de manera ilógica e irracional a la conclusión de que las ayudas no se concedieron por razón de legítima finalidad pública o social y no se destinaron a la misma”. Afirma que la condena se basa únicamente en el informe de la Intervención General de la Administración del Estado, y que la sentencia de instancia no explica de qué modo, a partir del mismo, concluye que entre los años 2000 y 2009 fondos públicos por importe de 690 000 000 € fueron desviados de su legítima finalidad pública, ni de qué modo, en relación a dichos fondos o parte de los mismos, el Sr. Márquez realizó las conductas tipificadas como delito. Solicita por ello la anulación de la condena por malversación.</w:t>
      </w:r>
    </w:p>
    <w:p w14:paraId="010A0CDA" w14:textId="77777777" w:rsidR="003754FE" w:rsidRDefault="003754FE" w:rsidP="003754FE">
      <w:pPr>
        <w:pStyle w:val="TextoNormal"/>
      </w:pPr>
    </w:p>
    <w:p w14:paraId="47C29D14" w14:textId="77777777" w:rsidR="003754FE" w:rsidRDefault="003754FE" w:rsidP="003754FE">
      <w:pPr>
        <w:pStyle w:val="TextoNormal"/>
      </w:pPr>
      <w:r>
        <w:t>La representación procesal del Partido Popular rebate este motivo, adhiriéndose a los razonamientos contenidos, entre otros, en el fundamento de Derecho 135 de la sentencia del Tribunal Supremo, en el que se hace una enumeración detallada de las pruebas en las que el tribunal de instancia fundó su convicción, se ratifica la regularidad y razonabilidad de su valoración, y se confirma la corrección del juicio de subsunción de los hechos en la figura agravada del delito de malversación de caudales públicos.</w:t>
      </w:r>
    </w:p>
    <w:p w14:paraId="75039D5B" w14:textId="77777777" w:rsidR="003754FE" w:rsidRDefault="003754FE" w:rsidP="003754FE">
      <w:pPr>
        <w:pStyle w:val="TextoNormal"/>
      </w:pPr>
    </w:p>
    <w:p w14:paraId="1CE29427" w14:textId="77777777" w:rsidR="003754FE" w:rsidRDefault="003754FE" w:rsidP="003754FE">
      <w:pPr>
        <w:pStyle w:val="TextoNormal"/>
      </w:pPr>
      <w:r>
        <w:t>La representación procesal de don Jesús María Rodríguez Román solicita la nulidad de las sentencias impugnadas aduciendo en relación con la malversación que no se ha probado la coautoría, ni el fundamento de la comisión por omisión, ni la concurrencia del elemento subjetivo del tipo.</w:t>
      </w:r>
    </w:p>
    <w:p w14:paraId="12E1FC4A" w14:textId="77777777" w:rsidR="003754FE" w:rsidRDefault="003754FE" w:rsidP="003754FE">
      <w:pPr>
        <w:pStyle w:val="TextoNormal"/>
      </w:pPr>
    </w:p>
    <w:p w14:paraId="40CBA814" w14:textId="77777777" w:rsidR="003754FE" w:rsidRDefault="003754FE" w:rsidP="003754FE">
      <w:pPr>
        <w:pStyle w:val="TextoNormal"/>
      </w:pPr>
      <w:r>
        <w:t>La representación procesal de don Francisco Vallejo Serrano se adhiere al motivo de vulneración del derecho a la presunción de inocencia y reprocha al Tribunal Supremo fundar la condena por malversación en unas ayudas singulares, de las que no se interesó ni practicó prueba alguna ante la Audiencia Provincial de Sevilla, incurriendo en una ampliación arbitraria del objeto de enjuiciamiento.</w:t>
      </w:r>
    </w:p>
    <w:p w14:paraId="5BF7C5FD" w14:textId="77777777" w:rsidR="003754FE" w:rsidRDefault="003754FE" w:rsidP="003754FE">
      <w:pPr>
        <w:pStyle w:val="TextoNormal"/>
      </w:pPr>
    </w:p>
    <w:p w14:paraId="5F222622" w14:textId="77777777" w:rsidR="003754FE" w:rsidRDefault="003754FE" w:rsidP="003754FE">
      <w:pPr>
        <w:pStyle w:val="TextoNormal"/>
      </w:pPr>
      <w:r>
        <w:t>El Ministerio Fiscal en su escrito de alegaciones, por su parte, rebate la vulneración del derecho a la presunción de inocencia porque, conforme a la jurisprudencia del Tribunal Supremo, la modalidad comisiva del delito de malversación consistente en consentir que otro sustraiga los caudales públicos constituye una conducta dolosa de omisión impropia que impone al funcionario el deber de evitar el resultado (posición de garante). Las ayudas se concedieron sin control ni criterio, a través de un procedimiento plagado de irregularidades, lo que permite concluir que no sirvieron a ningún fin público, sin necesidad de acreditar quiénes fueron los perceptores ni su cuantía exacta, por lo que la demanda está desenfocada al pretender que se acrediten elementos que realmente no son necesarios para el perfeccionamiento del delito.</w:t>
      </w:r>
    </w:p>
    <w:p w14:paraId="60793A65" w14:textId="77777777" w:rsidR="003754FE" w:rsidRDefault="003754FE" w:rsidP="003754FE">
      <w:pPr>
        <w:pStyle w:val="TextoNormal"/>
      </w:pPr>
    </w:p>
    <w:p w14:paraId="25CD4E5E" w14:textId="77777777" w:rsidR="003754FE" w:rsidRDefault="003754FE" w:rsidP="003754FE">
      <w:pPr>
        <w:pStyle w:val="TextoNormal"/>
      </w:pPr>
      <w:r>
        <w:t xml:space="preserve">3.2. </w:t>
      </w:r>
      <w:r w:rsidRPr="003754FE">
        <w:rPr>
          <w:i/>
        </w:rPr>
        <w:t>Pronunciamiento de los órganos judiciales</w:t>
      </w:r>
    </w:p>
    <w:p w14:paraId="61C00050" w14:textId="77777777" w:rsidR="003754FE" w:rsidRDefault="003754FE" w:rsidP="003754FE">
      <w:pPr>
        <w:pStyle w:val="TextoNormal"/>
      </w:pPr>
    </w:p>
    <w:p w14:paraId="3B09B9A7" w14:textId="77777777" w:rsidR="003754FE" w:rsidRDefault="003754FE" w:rsidP="003754FE">
      <w:pPr>
        <w:pStyle w:val="TextoNormal"/>
      </w:pPr>
      <w:r>
        <w:t>3.2.1. Sentencia de la Audiencia Provincial de Sevilla</w:t>
      </w:r>
    </w:p>
    <w:p w14:paraId="2360302C" w14:textId="77777777" w:rsidR="003754FE" w:rsidRDefault="003754FE" w:rsidP="003754FE">
      <w:pPr>
        <w:pStyle w:val="TextoNormal"/>
      </w:pPr>
    </w:p>
    <w:p w14:paraId="4A859040" w14:textId="77777777" w:rsidR="003754FE" w:rsidRDefault="003754FE" w:rsidP="003754FE">
      <w:pPr>
        <w:pStyle w:val="TextoNormal"/>
      </w:pPr>
      <w:r>
        <w:t>La sentencia de la Audiencia Provincial de Sevilla, en su fundamento de Derecho 29, apartado IV, explicita la conducta, y el grado de implicación en los hechos enjuiciados de don Juan Márquez Contreras, desde el momento en que fue nombrado director general de Trabajo por el consejero de Empleo, don Antonio Fernández García, condenado igualmente en la causa, destacando que “nada más llegar se encontró con los problemas que había dejado su antecesor, entre ellos, la falta de control de las ayudas dadas, el total desconocimiento de las cantidades comprometidas y de las que se debían, ya vencidas, la reclamaciones de colectivos de trabajadores y sindicatos, ante la suspensión por las aseguradoras de los pagos mensuales derivados de las pólizas de renta colectiva, debido al incumplimiento de los plazos para el pago de las primas por parte de la Junta Andalucía, y también las reclamaciones de despachos profesionales, de minutas por servicios prestados con anterioridad”.</w:t>
      </w:r>
    </w:p>
    <w:p w14:paraId="544B2B1D" w14:textId="77777777" w:rsidR="003754FE" w:rsidRDefault="003754FE" w:rsidP="003754FE">
      <w:pPr>
        <w:pStyle w:val="TextoNormal"/>
      </w:pPr>
    </w:p>
    <w:p w14:paraId="6E87F677" w14:textId="77777777" w:rsidR="003754FE" w:rsidRDefault="003754FE" w:rsidP="003754FE">
      <w:pPr>
        <w:pStyle w:val="TextoNormal"/>
      </w:pPr>
      <w:r>
        <w:t xml:space="preserve">Se apunta que el demandante nombró a una técnico, la Sra. Rofa, que “trató de poner orden en toda la documentación de su antecesor, elaborando diversos informes que proporcionaron al acusado conocimiento aproximado de los compromisos asumidos con las compañías de seguros, y que mucha de esa deuda estaba ya vencida y generando intereses”, destacando que “[t]ambién conoció la concentración de ayudas a determinadas empresas vinculadas a dos empresarios establecidos en la Sierra Norte de Sevilla. Y como consecuencia de un requerimiento de información por parte de la Agencia Tributaria, de la concesión </w:t>
      </w:r>
      <w:r>
        <w:lastRenderedPageBreak/>
        <w:t>de ayudas a dos empresas cuyo titular era el antiguo conductor personal de su antecesor, Juan Francisco Trujillo”.</w:t>
      </w:r>
    </w:p>
    <w:p w14:paraId="3A19946B" w14:textId="77777777" w:rsidR="003754FE" w:rsidRDefault="003754FE" w:rsidP="003754FE">
      <w:pPr>
        <w:pStyle w:val="TextoNormal"/>
      </w:pPr>
    </w:p>
    <w:p w14:paraId="0AE01BAF" w14:textId="77777777" w:rsidR="003754FE" w:rsidRDefault="003754FE" w:rsidP="003754FE">
      <w:pPr>
        <w:pStyle w:val="TextoNormal"/>
      </w:pPr>
      <w:r>
        <w:t>Se añade que como consecuencia de los informes elaborados por la Sra. Rofa, “tuvo conocimiento de la existencia de múltiples ayudas comprometidas y no pagadas, así como de ayudas que carecían de la elaboración y firma de convenio para su pago por la agencia IDEA. De hecho, la testigo Sra. Rofa manifestó en el juicio que se enviaban a la secretaría general técnica de la Consejería de Empleo el cálculo de la deuda que había, y que esta tenía una cuantía superior a la disponibilidad presupuestaria del ejercicio”.</w:t>
      </w:r>
    </w:p>
    <w:p w14:paraId="60D24113" w14:textId="77777777" w:rsidR="003754FE" w:rsidRDefault="003754FE" w:rsidP="003754FE">
      <w:pPr>
        <w:pStyle w:val="TextoNormal"/>
      </w:pPr>
    </w:p>
    <w:p w14:paraId="3AE0DFFB" w14:textId="77777777" w:rsidR="003754FE" w:rsidRDefault="003754FE" w:rsidP="003754FE">
      <w:pPr>
        <w:pStyle w:val="TextoNormal"/>
      </w:pPr>
      <w:r>
        <w:t>Se destaca asimismo que “[c]onsta en las actuaciones y así ha sido declarado por la Sra. Rofa, que tuvo conocimiento de la existencia de los denominados pagos cruzados. Así como de la inclusión como beneficiarios en pólizas de renta colectiva, derivadas de expedientes de regulación de empleo, de personas ajenas totalmente a la actividad de la empresa, lo que se ha venido denominando ‘intrusos’”. Pese a lo cual el Sr. Márquez Contreras “[s]iguió concediendo ayudas utilizando el mismo mecanismo que su antecesor, repitiéndose, en mayor o menor medida, los puntos que ya se habían destacado respecto del informe de Hytasal, en el informe adicional al de cumplimiento de la agencia, del ejercicio 2003”, esto es, “con conocimiento de que la transferencia de financiación no era el instrumento adecuado, sin cumplir procedimiento alguno, y sabiendo que no iban a ser objeto fiscalización previa. Firmando en una primera época nuevos convenios con el director general de IDEA, que eran un calco de los convenios que había venido firmando su antecesor”, citando a título de ejemplo el firmado el 27 de octubre de 2008 relativo a una ayuda a Conglomerados Morell, S.A.</w:t>
      </w:r>
    </w:p>
    <w:p w14:paraId="1A0E2C0D" w14:textId="77777777" w:rsidR="003754FE" w:rsidRDefault="003754FE" w:rsidP="003754FE">
      <w:pPr>
        <w:pStyle w:val="TextoNormal"/>
      </w:pPr>
    </w:p>
    <w:p w14:paraId="7F761034" w14:textId="77777777" w:rsidR="003754FE" w:rsidRDefault="003754FE" w:rsidP="003754FE">
      <w:pPr>
        <w:pStyle w:val="TextoNormal"/>
      </w:pPr>
      <w:r>
        <w:t>Seguidamente se expone que participó en la elaboración del anteproyecto de presupuesto para el año 2009 en el que mantuvo la ficha presupuestaria del programa 31L, y que durante su mandato “a iniciativa suya, se tramitaron tres modificaciones presupuestarias, dos al final del año 2008, y una al final del año 2009, que incrementaron la consignación presupuestaria de las transferencias de financiación a la agencia IDEA, dentro del programa 31L”, elaborando sus memorias justificativas. También se dice que recurrió al uso de los pagos cruzados, poniendo como ejemplo una carta remitida el 2 de octubre de 2008 a la mediadora Vitalia ordenando un pago a la póliza Dhul, retirando dinero de la cantidad que iba a recibir Fortia Vida para el pago de la póliza a Fundaciones Caetano.</w:t>
      </w:r>
    </w:p>
    <w:p w14:paraId="33544FB6" w14:textId="77777777" w:rsidR="003754FE" w:rsidRDefault="003754FE" w:rsidP="003754FE">
      <w:pPr>
        <w:pStyle w:val="TextoNormal"/>
      </w:pPr>
    </w:p>
    <w:p w14:paraId="5A0BAD4C" w14:textId="77777777" w:rsidR="003754FE" w:rsidRDefault="003754FE" w:rsidP="003754FE">
      <w:pPr>
        <w:pStyle w:val="TextoNormal"/>
      </w:pPr>
      <w:r>
        <w:t>Se señala que para la elaboración de los presupuestos del año 2010 “ya se realizó una correcta consignación presupuestaria de las ayudas que se daban al amparo del programa 31L, en la partida 47” y que introdujo algunos cambios, el primero de ellos pasar de la firma de convenios particulares con la agencia IDEA al dictado de resoluciones lo que, sin embargo, “no supuso un mayor cumplimiento de los trámites, pues la finalidad de la resolución era, según el informe de Garrigues, evitar tener que pedir informe del gabinete jurídico, que sí era necesario, si se firmaba un convenio. Asimismo, la resolución, casi siempre era por cuantías parciales, no comunicándose a la agencia IDEA el total de la ayuda concedida o prometida. Lo que facilitaba reducir sustancialmente el déficit crónico que sufría, respecto del volumen de compromisos asumidos por la Consejería de Empleo, año tras año”.</w:t>
      </w:r>
    </w:p>
    <w:p w14:paraId="72B5763D" w14:textId="77777777" w:rsidR="003754FE" w:rsidRDefault="003754FE" w:rsidP="003754FE">
      <w:pPr>
        <w:pStyle w:val="TextoNormal"/>
      </w:pPr>
    </w:p>
    <w:p w14:paraId="6DCD1315" w14:textId="77777777" w:rsidR="003754FE" w:rsidRDefault="003754FE" w:rsidP="003754FE">
      <w:pPr>
        <w:pStyle w:val="TextoNormal"/>
      </w:pPr>
      <w:r>
        <w:t xml:space="preserve">Como manifestación de la preocupación por disminuir o hacer menos visible el déficit se alude a la inclusión de la firma del viceconsejero de Empleo, don Agustín Barberá, en las </w:t>
      </w:r>
      <w:r>
        <w:lastRenderedPageBreak/>
        <w:t>órdenes de pago que firmaba el demandante, lo que se indica junto con el hecho de que se enviaran copias de los convenios al viceconsejero de Innovación, don Jesús María Rodríguez Román, con la finalidad de “asegurar el control y el conocimiento del volumen de gasto asumido por las ayudas del programa 31L, y que fuera conocido por los responsables de la Consejería de Innovación, cuyo consejero y viceconsejero eran, respectivamente, presidente y vicepresidente de la agencia IDEA”.</w:t>
      </w:r>
    </w:p>
    <w:p w14:paraId="1DB8CE8B" w14:textId="77777777" w:rsidR="003754FE" w:rsidRDefault="003754FE" w:rsidP="003754FE">
      <w:pPr>
        <w:pStyle w:val="TextoNormal"/>
      </w:pPr>
    </w:p>
    <w:p w14:paraId="23E644C9" w14:textId="77777777" w:rsidR="003754FE" w:rsidRDefault="003754FE" w:rsidP="003754FE">
      <w:pPr>
        <w:pStyle w:val="TextoNormal"/>
      </w:pPr>
      <w:r>
        <w:t xml:space="preserve">Se afirma seguidamente que tuvo conocimiento del informe encargado por el propio demandante el 8 de julio de 2009 al despacho Garrigues, que tenía por objeto analizar el fundamento, naturaleza y régimen jurídico de una línea de ayudas de carácter socio-laboral, en el que se establecía que las ayudas excepcionales debían calificarse como subvenciones </w:t>
      </w:r>
      <w:r w:rsidRPr="003754FE">
        <w:rPr>
          <w:i/>
        </w:rPr>
        <w:t>stricto sensu</w:t>
      </w:r>
      <w:r>
        <w:t>, que encajaban en el supuesto de concesión directa, debidamente motivada en cada caso, y que requerirían que el consejero de Empleo le delegase el ejercicio de la competencia señalando que se había eliminado un trámite fundamental como es el de la fiscalización individualizada de los actos de otorgamiento. Tras este informe, se dice, el demandante era plenamente conocedor de que carecía de competencia para conceder ayudas, pese a lo cual siguió concediéndolas y ello fue así hasta que mediante orden de 3 de marzo de 2010 el consejero hizo una delegación expresa. Se citan las ayudas concedidas mediante resolución de 21 de diciembre de 2009 a los trabajadores de Odiel Press, S.L., y mediante resolución de 18 de febrero de 2008 a los extrabajadores de Astilleros.</w:t>
      </w:r>
    </w:p>
    <w:p w14:paraId="41A2BEC2" w14:textId="77777777" w:rsidR="003754FE" w:rsidRDefault="003754FE" w:rsidP="003754FE">
      <w:pPr>
        <w:pStyle w:val="TextoNormal"/>
      </w:pPr>
    </w:p>
    <w:p w14:paraId="369DA1A1" w14:textId="77777777" w:rsidR="003754FE" w:rsidRDefault="003754FE" w:rsidP="003754FE">
      <w:pPr>
        <w:pStyle w:val="TextoNormal"/>
      </w:pPr>
      <w:r>
        <w:t xml:space="preserve">Se destacan asimismo dos informes que el propio demandante encargó a la firma PriceWaterhouseCoopers Auditores, S.L., en abril de 2009, que tuvieron por objeto de estudio dieciséis subvenciones por importe de 11 416 454 € concedidas en el periodo comprendido entre los años 2002 a 2008 por la Dirección General de Trabajo, cuando su titular era don Francisco Javier Guerrero Benítez, en los que se hacían constar graves irregularidades, tales como que las entidades beneficiarias estaban vinculadas entre ellas, y con dos empresarios, que estaban interrelacionadas, compartiendo accionistas y órganos de administración, que en algunos casos los pagos de las subvenciones de varias de ellas fueron ingresados en la misma cuenta bancaria, y que las sociedades presentaban varias características comunes como que se constituyeron con muy poca antelación a la concesión de las subvenciones, tenían escaso patrimonio propio (en muchos casos el mínimo legal), muchas de ellas carecían de sustancia económica, más allá de las funciones de sociedades </w:t>
      </w:r>
      <w:r w:rsidRPr="003754FE">
        <w:rPr>
          <w:i/>
        </w:rPr>
        <w:t>holding</w:t>
      </w:r>
      <w:r>
        <w:t xml:space="preserve"> o de mera de tenencia de valores, carecían de trabajadores, no depositaban cuentas en el registro mercantil o lo hacían con retraso y en ocasiones no reflejaban en sus cuentas anuales las subvenciones recibidas. También se decía que, en la mayoría de los casos, estaban específicamente dirigidas a una zona con alto nivel de desempleo como es la Sierra Norte de Sevilla. Asimismo se indica que fueron muchos los casos en los que se concedieron varias subvenciones a la misma empresa en espacios de tiempo muy cortos, así como que no figuraban en los expedientes controles o comprobaciones del uso efectuado por las entidades de los importes recibidos por las subvenciones.</w:t>
      </w:r>
    </w:p>
    <w:p w14:paraId="538FB6D8" w14:textId="77777777" w:rsidR="003754FE" w:rsidRDefault="003754FE" w:rsidP="003754FE">
      <w:pPr>
        <w:pStyle w:val="TextoNormal"/>
      </w:pPr>
    </w:p>
    <w:p w14:paraId="2F7A1F5C" w14:textId="77777777" w:rsidR="003754FE" w:rsidRDefault="003754FE" w:rsidP="003754FE">
      <w:pPr>
        <w:pStyle w:val="TextoNormal"/>
      </w:pPr>
      <w:r>
        <w:t xml:space="preserve">Se indica igualmente que en los ejercicios 2004, 2005, 2006, 2009 y 2010 se destinaron 1 192 000 € para el pago a la Fundación San Telmo del “Curso de alta dirección de instituciones sociales”, según se había constatado por los peritos de la Intervención General de la Administración del Estado, cuyo objeto fue financiar la realización de dicho curso para sesenta personas en las ediciones de 2004, 2005 y 2006, y cuarenta personas en las ediciones de 2009 y 2010, con responsabilidades de alta dirección de la Junta de Andalucía, </w:t>
      </w:r>
      <w:r>
        <w:lastRenderedPageBreak/>
        <w:t>designadas por la Dirección General de Trabajo. Se especifica lo siguiente: “El 29 de noviembre de 2007, el director general de Trabajo Francisco Javier Guerrero, formaliza un nuevo convenio con la Fundación San Telmo, idéntico a los anteriores, para impartir el ‘Curso de alta dirección de instituciones sociales’. Para el pago del mismo, el director general de Trabajo, el acusado, Juan Márquez Contreras, dicta ‘Resolución de 17 de agosto de 2009, por la que se acuerda ordenar a IDEA el pago de ayuda sociolaboral, como medida de acompañamiento al plan formativo a la Fundación San Telmo, en ejecución de la encomienda instrumentada mediante convenio de 17 de julio de 2001 y prorrogado tácitamente hasta la fecha’”. A lo que se añade lo siguiente: “El 29 de diciembre de 2011, la Consejería de Empleo inició el procedimiento de revisión de oficio para declarar la nulidad de pleno derecho de las ayudas concedidas a la Fundación San Telmo, por apreciarse la ‘ausencia de trámites inequívocamente imprescindibles que constituyen el contenido mínimo e irreductible del procedimiento…’”.</w:t>
      </w:r>
    </w:p>
    <w:p w14:paraId="73F2E11A" w14:textId="77777777" w:rsidR="003754FE" w:rsidRDefault="003754FE" w:rsidP="003754FE">
      <w:pPr>
        <w:pStyle w:val="TextoNormal"/>
      </w:pPr>
    </w:p>
    <w:p w14:paraId="77D2BD13" w14:textId="77777777" w:rsidR="003754FE" w:rsidRDefault="003754FE" w:rsidP="003754FE">
      <w:pPr>
        <w:pStyle w:val="TextoNormal"/>
      </w:pPr>
      <w:r>
        <w:t>Se concluye que “[p]or consiguiente, el acusado era plenamente consciente de la patente ilegalidad de los actos en los que participó, relatados en los hechos probados. Disponiendo de los fondos vinculados al programa 31L con fines ajenos al fin público al que estaban destinados”.</w:t>
      </w:r>
    </w:p>
    <w:p w14:paraId="733C8344" w14:textId="77777777" w:rsidR="003754FE" w:rsidRDefault="003754FE" w:rsidP="003754FE">
      <w:pPr>
        <w:pStyle w:val="TextoNormal"/>
      </w:pPr>
    </w:p>
    <w:p w14:paraId="44F6637C" w14:textId="77777777" w:rsidR="003754FE" w:rsidRDefault="003754FE" w:rsidP="003754FE">
      <w:pPr>
        <w:pStyle w:val="TextoNormal"/>
      </w:pPr>
      <w:r>
        <w:t xml:space="preserve">3.2.2. </w:t>
      </w:r>
      <w:r w:rsidRPr="003754FE">
        <w:rPr>
          <w:i/>
        </w:rPr>
        <w:t>Sentencia de la Sala de lo Penal del Tribunal Supremo</w:t>
      </w:r>
    </w:p>
    <w:p w14:paraId="07959CDE" w14:textId="77777777" w:rsidR="003754FE" w:rsidRDefault="003754FE" w:rsidP="003754FE">
      <w:pPr>
        <w:pStyle w:val="TextoNormal"/>
      </w:pPr>
    </w:p>
    <w:p w14:paraId="689213DF" w14:textId="77777777" w:rsidR="003754FE" w:rsidRDefault="003754FE" w:rsidP="003754FE">
      <w:pPr>
        <w:pStyle w:val="TextoNormal"/>
      </w:pPr>
      <w:r>
        <w:t>La sentencia del Tribunal Supremo confirma el fundamento acreditativo de estos hechos con dos salvedades relevantes: declara que no puede considerarse suficientemente acreditado que el demandante tuviera una participación eficiente en la elaboración del presupuesto del año 2009, porque tomó posesión de su cargo en el mes de abril del año 2008, cuando los trabajos preparatorios ya estaban muy avanzados, y desecha la relevancia de la intervención del demandante en el pago cruzado que se menciona, porque lo que hizo en realidad fue rectificar una irregularidad cometida por su antecesor.</w:t>
      </w:r>
    </w:p>
    <w:p w14:paraId="7E6F1AF1" w14:textId="77777777" w:rsidR="003754FE" w:rsidRDefault="003754FE" w:rsidP="003754FE">
      <w:pPr>
        <w:pStyle w:val="TextoNormal"/>
      </w:pPr>
    </w:p>
    <w:p w14:paraId="7E5B636F" w14:textId="77777777" w:rsidR="003754FE" w:rsidRDefault="003754FE" w:rsidP="003754FE">
      <w:pPr>
        <w:pStyle w:val="TextoNormal"/>
      </w:pPr>
      <w:r>
        <w:t xml:space="preserve">La sentencia casacional, en su fundamento de Derecho 135, en el que resuelve el motivo de casación de infracción de precepto constitucional por vulneración del derecho a la presunción de inocencia, lo desestima, tras hacer un repaso del conjunto de elementos probatorios en los que funda la sentencia de instancia la condena, que el Tribunal Supremo considera suficientes para darle un fundamento racional y suficiente para enervar la presunción de inocencia. Destaca que el demandante, por razón de su cargo, asistía a los consejos de dirección de la Consejería de Empleo, en los que “se trataba de la existencia de los conflictos que precedían a la concesión de las ayudas, así como de la necesidad de abordarlos, por parte de la Consejería de Empleo, pues así lo afirmó en el acto del plenario don Juan Francisco Sánchez García, quien fue secretario general técnico de la Consejería de Empleo”. Señala que la sentencia de instancia valoró el testimonio de la Sra. Rofa, que informó al Sr. Márquez Contreras de múltiples ayudas comprometidas y no pagadas, de pagos cruzados y de la inclusión como beneficiarios en pólizas de renta colectiva derivadas de expedientes de regulación de empleo de personas totalmente ajenas a la actividad de la empresa, pese a lo cual siguió concediendo ayudas por el mismo sistema que su predecesor, si bien sustituyó el sistema de convenios por resoluciones. Considera asimismo la relevancia que tuvieron en el conocimiento de la ilegalidad del sistema por el demandante de amparo los informes de Garrigues y de PriceWaterhouseCoopers Auditores, S.L., lo que tampoco supuso que cesara de utilizarlo para conceder las ayudas, y que se siguieran concediendo con desvío de los </w:t>
      </w:r>
      <w:r>
        <w:lastRenderedPageBreak/>
        <w:t>fines previstos en las fichas presupuestarias del programa 31L, como en el caso de la financiación del curso de alta dirección de la Fundación San Telmo en los ejercicios 2009 y 2010.</w:t>
      </w:r>
    </w:p>
    <w:p w14:paraId="64A36EFB" w14:textId="77777777" w:rsidR="003754FE" w:rsidRDefault="003754FE" w:rsidP="003754FE">
      <w:pPr>
        <w:pStyle w:val="TextoNormal"/>
      </w:pPr>
    </w:p>
    <w:p w14:paraId="275CD379" w14:textId="77777777" w:rsidR="003754FE" w:rsidRDefault="003754FE" w:rsidP="003754FE">
      <w:pPr>
        <w:pStyle w:val="TextoNormal"/>
      </w:pPr>
      <w:r>
        <w:t>La sentencia casacional hace referencia a la declaración prestada por la testigo Sra. Rofa el 2 de febrero de 2012, que fue sometida a contradicción en el plenario, destacando determinados pasajes como los siguientes: “le sorprendía la circunstancia de que no se diera importancia a la ‘situación legal de los beneficiarios’, y que no se pudiera verificar la ‘legitimidad de derechos’ de empresas, trabajadores beneficiarios […]. El descontrol era total. Que, si bien para las ayudas sociolaborales se contaba con la base de los datos de las propias aseguradoras, en lo relativo a las ayudas a empresa no había un listado a donde recurrir para saber lo comprometido, lo pagado hasta el momento, y lo pendiente. Lo anterior hacía imposible cualquier control de las empresas beneficiarias, de las cantidades pagadas y de las pendientes” (sentencia del Tribunal Supremo, fundamento de Derecho 135.2, pág. 1013).</w:t>
      </w:r>
    </w:p>
    <w:p w14:paraId="69D32F3D" w14:textId="77777777" w:rsidR="003754FE" w:rsidRDefault="003754FE" w:rsidP="003754FE">
      <w:pPr>
        <w:pStyle w:val="TextoNormal"/>
      </w:pPr>
    </w:p>
    <w:p w14:paraId="57345951" w14:textId="77777777" w:rsidR="003754FE" w:rsidRDefault="003754FE" w:rsidP="003754FE">
      <w:pPr>
        <w:pStyle w:val="TextoNormal"/>
      </w:pPr>
      <w:r>
        <w:t>Considera que “[e]l Informe Garriges refiere un conjunto de irregularidades en la tramitación de los expedientes de tal magnitud que debería haber dado lugar a la suspensión inmediata de la concesión de nuevas ayudas, por lo que el mantenimiento de las mismas constituye una conducta punible conforme a la previsión normativa del artículo 432 CP, entonces vigente, en su modalidad de comisión por omisión. Lo mismo cabe decir del Informe de la firma PriceWaterhouseCoopers, por más que en este informe se analizaran expedientes tramitados durante el periodo 2002 a 2008” (fundamento de Derecho 135.2, págs. 1015 y 1016).</w:t>
      </w:r>
    </w:p>
    <w:p w14:paraId="2C851804" w14:textId="77777777" w:rsidR="003754FE" w:rsidRDefault="003754FE" w:rsidP="003754FE">
      <w:pPr>
        <w:pStyle w:val="TextoNormal"/>
      </w:pPr>
    </w:p>
    <w:p w14:paraId="02D6178A" w14:textId="77777777" w:rsidR="003754FE" w:rsidRDefault="003754FE" w:rsidP="003754FE">
      <w:pPr>
        <w:pStyle w:val="TextoNormal"/>
      </w:pPr>
      <w:r>
        <w:t>En definitiva, la sentencia casacional considera que el Sr. Márquez Contreras mantuvo el procedimiento de concesión de ayudas, con conocimiento de sus efectos y consecuencias, eludiendo la fiscalización previa de la intervención delegada de la Consejería de Empleo y el procedimiento normativamente exigible para la concesión de subvenciones, lo que califica de constitutivo del delito de malversación de caudales públicos. Reconoce al tiempo que emprendió varias reformas que iban dirigidas a dotarle de mayor transparencia, lo que evidenció una menor entidad del injusto y un menor reproche culpabilístico, pues “la conducta desplegada por el Sr. Márquez en el lapso de tiempo que ejerció el cargo evidencia que estuvo dirigida a conocer a fondo el problema que existía en su departamento y adoptar medidas para su corrección” (sentencia del Tribunal Supremo, fundamento de Derecho 136.2, pág. 1027), razón por la cual aprecia la concurrencia de la circunstancia atenuante analógica de reparación del daño, como muy cualificada, y le rebaja las penas en un grado, “[t]eniendo en cuenta que no consta su participación relevante ni en la aprobación de los presupuestos de 2009 ni en la realización de pagos cruzados, hechos que se han utilizado indebidamente en la sentencia para la fijación de la pena” (fundamento de Derecho 136.2, pág. 1028).</w:t>
      </w:r>
    </w:p>
    <w:p w14:paraId="5CC61DF5" w14:textId="77777777" w:rsidR="003754FE" w:rsidRDefault="003754FE" w:rsidP="003754FE">
      <w:pPr>
        <w:pStyle w:val="TextoNormal"/>
      </w:pPr>
    </w:p>
    <w:p w14:paraId="170B338E" w14:textId="77777777" w:rsidR="003754FE" w:rsidRDefault="003754FE" w:rsidP="003754FE">
      <w:pPr>
        <w:pStyle w:val="TextoNormal"/>
      </w:pPr>
      <w:r>
        <w:t xml:space="preserve">3.3. </w:t>
      </w:r>
      <w:r w:rsidRPr="003754FE">
        <w:rPr>
          <w:i/>
        </w:rPr>
        <w:t>Doctrina constitucional sobre el derecho a la presunción de inocencia (art. 24.2 CE)</w:t>
      </w:r>
    </w:p>
    <w:p w14:paraId="6D491865" w14:textId="77777777" w:rsidR="003754FE" w:rsidRDefault="003754FE" w:rsidP="003754FE">
      <w:pPr>
        <w:pStyle w:val="TextoNormal"/>
      </w:pPr>
    </w:p>
    <w:p w14:paraId="1BCE0338" w14:textId="77777777" w:rsidR="003754FE" w:rsidRDefault="003754FE" w:rsidP="003754FE">
      <w:pPr>
        <w:pStyle w:val="TextoNormal"/>
      </w:pPr>
      <w:r>
        <w:t>Antes de abordar las concretas quejas alegadas por el demandante de amparo en relación con este motivo, conviene traer a colación, al menos resumidamente, la doctrina constitucional sobre el derecho a la presunción de inocencia (art. 24.2 CE) tal y como ha sido fijada por este tribunal.</w:t>
      </w:r>
    </w:p>
    <w:p w14:paraId="3F1FA9FA" w14:textId="77777777" w:rsidR="003754FE" w:rsidRDefault="003754FE" w:rsidP="003754FE">
      <w:pPr>
        <w:pStyle w:val="TextoNormal"/>
      </w:pPr>
    </w:p>
    <w:p w14:paraId="6FC65053" w14:textId="77777777" w:rsidR="003754FE" w:rsidRDefault="003754FE" w:rsidP="003754FE">
      <w:pPr>
        <w:pStyle w:val="TextoNormal"/>
      </w:pPr>
      <w:r>
        <w:lastRenderedPageBreak/>
        <w:t xml:space="preserve">Al respecto hemos consignado reiteradamente que este derecho queda configurado como el derecho a no ser condenado sin pruebas de cargo válidas (STC 31/1981,de 28 de julio), de tal manera que toda sentencia condenatoria ha de estar fundada en “una mínima actividad probatoria, realizada con las garantías necesarias, referida a todos los elementos esenciales del delito, y que de la misma quepa inferir razonablemente los hechos y la participación del acusado” (STC 105/2016, de 6 de junio, FJ 8). Esta idoneidad incriminatoria, además,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w:t>
      </w:r>
      <w:r w:rsidRPr="003754FE">
        <w:rPr>
          <w:i/>
        </w:rPr>
        <w:t>ratio decidendi</w:t>
      </w:r>
      <w:r>
        <w:t xml:space="preserve"> de la decisión judicial, sino una mínima explicación de los fundamentos probatorios del relato fáctico, con base en el cual se individualiza el caso y se posibilita la aplicación de la norma jurídica (por todas, STC 22/2013, de 31 de enero, FJ 5, y las resoluciones allí citadas)” (STC 105/2016</w:t>
      </w:r>
      <w:r w:rsidRPr="003754FE">
        <w:rPr>
          <w:i/>
        </w:rPr>
        <w:t>, ibid</w:t>
      </w:r>
      <w:r>
        <w:t>em).</w:t>
      </w:r>
    </w:p>
    <w:p w14:paraId="15E532FF" w14:textId="77777777" w:rsidR="003754FE" w:rsidRDefault="003754FE" w:rsidP="003754FE">
      <w:pPr>
        <w:pStyle w:val="TextoNormal"/>
      </w:pPr>
    </w:p>
    <w:p w14:paraId="4604FBB9" w14:textId="77777777" w:rsidR="003754FE" w:rsidRDefault="003754FE" w:rsidP="003754FE">
      <w:pPr>
        <w:pStyle w:val="TextoNormal"/>
      </w:pPr>
      <w:r>
        <w:t>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En relación con esta concreta cuestión, la STC 133/2014, de 22 de julio, FJ 8, ya señalaba que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w:t>
      </w:r>
    </w:p>
    <w:p w14:paraId="6A12A0D3" w14:textId="77777777" w:rsidR="003754FE" w:rsidRDefault="003754FE" w:rsidP="003754FE">
      <w:pPr>
        <w:pStyle w:val="TextoNormal"/>
      </w:pPr>
    </w:p>
    <w:p w14:paraId="5A53A48D" w14:textId="77777777" w:rsidR="003754FE" w:rsidRDefault="003754FE" w:rsidP="003754FE">
      <w:pPr>
        <w:pStyle w:val="TextoNormal"/>
      </w:pPr>
      <w:r>
        <w:t xml:space="preserve">La importancia de la motivación de la sentencia condenatoria ya venía remarcada en la STC 22/2013, de 31 de enero, FJ 5, donde se afirmaba que la culpabilidad ha de quedar plenamente probada, lo que es tanto como decir expuesta o mostrada. De esta manera, el derecho a la presunción de inocencia queda vulnerado cuando, habiéndose declarado la culpabilidad del encausado, dicha declaración de culpabilidad no se ha motivado suficientemente toda vez que “uno de los modos de vulneración de este derecho lo constituye precisamente la falta de motivación del </w:t>
      </w:r>
      <w:r w:rsidRPr="003754FE">
        <w:rPr>
          <w:i/>
        </w:rPr>
        <w:t>iter</w:t>
      </w:r>
      <w:r>
        <w:t xml:space="preserve"> que ha conducido de las pruebas al relato de hechos probados de signo incriminatorio” (STC 245/2007, de 10 de diciembre, FJ 5).</w:t>
      </w:r>
    </w:p>
    <w:p w14:paraId="09AE2762" w14:textId="77777777" w:rsidR="003754FE" w:rsidRDefault="003754FE" w:rsidP="003754FE">
      <w:pPr>
        <w:pStyle w:val="TextoNormal"/>
      </w:pPr>
    </w:p>
    <w:p w14:paraId="7DC6F118" w14:textId="77777777" w:rsidR="003754FE" w:rsidRDefault="003754FE" w:rsidP="003754FE">
      <w:pPr>
        <w:pStyle w:val="TextoNormal"/>
      </w:pPr>
      <w:r>
        <w:t xml:space="preserve">La motivación de las sentencias penales es siempre exigible </w:t>
      </w:r>
      <w:r w:rsidRPr="003754FE">
        <w:rPr>
          <w:i/>
        </w:rPr>
        <w:t>ex</w:t>
      </w:r>
      <w:r>
        <w:t xml:space="preserve"> art. 120.3 CE, esto es, con independencia de su signo, condenatorio o absolutorio. No obstante, en las sentencias condenatorias el canon de motivación es más riguroso que en las absolutorias pues, de acuerdo con una reiterada doctrina constitucional, cuando están en juego otros derechos fundamentales —y, entre ellos, cuando están en juego el derecho a la libertad y el de </w:t>
      </w:r>
      <w:r>
        <w:lastRenderedPageBreak/>
        <w:t>presunción de inocencia, como sucede en el proceso penal— la exigencia de motivación cobra particular intensidad y por ello se refuerza el parámetro de control utilizable para enjuiciar su suficiencia. Particularmente, en el plano fáctico, la sentencia penal condenatoria ha de exteriorizar en su razonamiento las pruebas relevantes tomadas en consideración y la existencia de una conexión fundada entre las pruebas y la declaración de hechos probados; conexión que debe ser aplicación razonada de las reglas de la lógica, ciencia y experiencia, de modo que sea posible realizar un juicio externo sobre las que llevan al juzgador a considerar alcanzada la convicción de culpabilidad más allá de toda razonable [por todas, STC 72/2024, de 7 de mayo, FJ 4 b)].</w:t>
      </w:r>
    </w:p>
    <w:p w14:paraId="56778573" w14:textId="77777777" w:rsidR="003754FE" w:rsidRDefault="003754FE" w:rsidP="003754FE">
      <w:pPr>
        <w:pStyle w:val="TextoNormal"/>
      </w:pPr>
    </w:p>
    <w:p w14:paraId="5A1C24C3" w14:textId="77777777" w:rsidR="003754FE" w:rsidRDefault="003754FE" w:rsidP="003754FE">
      <w:pPr>
        <w:pStyle w:val="TextoNormal"/>
      </w:pPr>
      <w:r>
        <w:t xml:space="preserve">Es, precisamente, la motivación de la resolución que declara la culpabilidad y responsabilidad de una persona la que se encuentra sometida al control de este tribunal. Así, hemos afirmado en numerosas ocasiones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Esta conclusión se ha fundamentado en dos razones de diferente índole: (i) por un lado, en que la Constitución no atribuye esa tarea de valoración a este tribunal, que no está incluida en las de amparo del derecho a la presunción de inocencia, y, (ii) por otro, en que el proceso constitucional no permite el conocimiento preciso y completo de la actividad probatoria (STC 142/2012, de 2 de julio, FJ 5). De esta manera, “solo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w:t>
      </w:r>
      <w:r w:rsidRPr="003754FE">
        <w:rPr>
          <w:i/>
        </w:rPr>
        <w:t>iter</w:t>
      </w:r>
      <w:r>
        <w:t xml:space="preserve"> discursivo que conduce de la prueba al hecho probado” (STC 189/1998, de 28 de septiembre, FJ 2, y, citándola entre otras muchas, SSTC 135/2003, de 30 de junio, FJ 2; 137/2005, de 23 de mayo, FJ 2, y 26/2010, de 27 de abril, FJ 6).</w:t>
      </w:r>
    </w:p>
    <w:p w14:paraId="1C79BF5B" w14:textId="77777777" w:rsidR="003754FE" w:rsidRDefault="003754FE" w:rsidP="003754FE">
      <w:pPr>
        <w:pStyle w:val="TextoNormal"/>
      </w:pPr>
    </w:p>
    <w:p w14:paraId="5B9C02F6" w14:textId="77777777" w:rsidR="003754FE" w:rsidRDefault="003754FE" w:rsidP="003754FE">
      <w:pPr>
        <w:pStyle w:val="TextoNormal"/>
      </w:pPr>
      <w:r>
        <w:t>Este mismo canon se extiende a los supuestos de prueba indiciaria donde la supervisión de la solidez de la inferencia puede llevarse a cabo tanto desde el control de su lógica o coherencia, siendo irrazonable cuando los indicios constatados excluyan el hecho que de ellos se hace derivar o no conduzca naturalmente a él, como desde la suficiencia o carácter concluyente, excluyéndose la razonabilidad por el carácter excesivamente abierto, débil o indeterminado de la inferencia (SSTC 127/2011, de 18 de julio, FJ 6; 142/2012, de 2 de julio, FJ 5, y 46/2022, de 24 de marzo, FJ 10.1).</w:t>
      </w:r>
    </w:p>
    <w:p w14:paraId="79790B11" w14:textId="77777777" w:rsidR="003754FE" w:rsidRDefault="003754FE" w:rsidP="003754FE">
      <w:pPr>
        <w:pStyle w:val="TextoNormal"/>
      </w:pPr>
    </w:p>
    <w:p w14:paraId="1292E373" w14:textId="77777777" w:rsidR="003754FE" w:rsidRDefault="003754FE" w:rsidP="003754FE">
      <w:pPr>
        <w:pStyle w:val="TextoNormal"/>
      </w:pPr>
      <w:r>
        <w:t xml:space="preserve">En conclusión, es deber de los órganos judiciales realizar un esfuerzo dirigido a la motivación de la sentencia o pronunciamiento condenatorio, puesto que son aquellos quienes tienen un conocimiento cabal, completo y obtenido con todas las garantías del acervo probatorio, y función de este tribunal comprobar la coherencia de dicha motivación a través de una supervisión externa de la razonabilidad del discurso que une la actividad probatoria y el relato fáctico resultante (STC 67/2021, de 17 de marzo, FJ 3). Este control no es posible si los órganos judiciales descuidan su deber, lo que nos ha llegado a exigir que “deba asegurarse estrictamente la garantía formal de que el razonamiento efectuado por el tribunal conste expresamente en la sentencia, ya que solo así podrá verificarse si aquel formó su </w:t>
      </w:r>
      <w:r>
        <w:lastRenderedPageBreak/>
        <w:t>convicción sobre una prueba de cargo capaz de desvirtuar la presunción de inocencia (SSTC 117/2000, de 5 de mayo, FJ 3, y 124/2001, de 4 de junio, FJ 13) y que ninguno de los elementos constitutivos de delito se ha[ya] presumido en contra del acusado” (STC 340/2006, de 11 de diciembre, FJ 4).</w:t>
      </w:r>
    </w:p>
    <w:p w14:paraId="4C3E878F" w14:textId="77777777" w:rsidR="003754FE" w:rsidRDefault="003754FE" w:rsidP="003754FE">
      <w:pPr>
        <w:pStyle w:val="TextoNormal"/>
      </w:pPr>
    </w:p>
    <w:p w14:paraId="4C95A4EF" w14:textId="77777777" w:rsidR="003754FE" w:rsidRDefault="003754FE" w:rsidP="003754FE">
      <w:pPr>
        <w:pStyle w:val="TextoNormal"/>
      </w:pPr>
      <w:r>
        <w:t>3.4</w:t>
      </w:r>
      <w:r w:rsidRPr="003754FE">
        <w:rPr>
          <w:i/>
        </w:rPr>
        <w:t>. Enjuiciamiento de la que</w:t>
      </w:r>
      <w:r>
        <w:t>ja</w:t>
      </w:r>
    </w:p>
    <w:p w14:paraId="2DD84377" w14:textId="77777777" w:rsidR="003754FE" w:rsidRDefault="003754FE" w:rsidP="003754FE">
      <w:pPr>
        <w:pStyle w:val="TextoNormal"/>
      </w:pPr>
    </w:p>
    <w:p w14:paraId="74BEE939" w14:textId="77777777" w:rsidR="003754FE" w:rsidRDefault="003754FE" w:rsidP="003754FE">
      <w:pPr>
        <w:pStyle w:val="TextoNormal"/>
      </w:pPr>
      <w:r>
        <w:t>La demanda de amparo denuncia en su tercer motivo que la condena del Sr. Márquez Contreras por delito de malversación de caudales públicos del art. 432 CP vulnera su derecho a la presunción de inocencia (art. 24.2 CE) porque la valoración de la prueba efectuada en la sentencia de instancia y convalidada en la de casación, incurrió, a su entender, en graves e insolubles defectos que, en síntesis, serían: (i) de falta de consistencia lógica, porque partiendo de una premisa inicial consistente en la ausencia de “expediente que permita acreditar el fin público y el destino de la ayuda”, se llega a la conclusión de que las ayudas no se concedieron por razón de una legítima finalidad pública o social o no se destinaron a la misma, y a concluir que la totalidad de las ayudas otorgadas por dicha vía, con cargo a los fondos de los programas 22E y 31L, en el periodo comprendido entre los años 2000 a 2009, carecieron de finalidad pública, ilación que, a su entender, constituye un salto en el vacío, cuando es comúnmente aceptado que en su mayor parte no se apartaron de los fines establecidos; y (ii) de falta de motivación, porque la sentencia de instancia no acredita las ayudas concretas que se concedieron apartándolas de su finalidad pública, ni consecuentemente, la participación que hubiera podido tener el Sr. Márquez Contreras en tales actos o decisiones, acreditación que, por otra parte, devino inviable en un procedimiento penal en el que las acusaciones no instaron que el debate procesal y la prueba se centrara en las concretas desviaciones que se hubieran podido producir. Solicita por ello de este tribunal que declare la nulidad de las resoluciones judiciales en lo relativo a la condena por malversación.</w:t>
      </w:r>
    </w:p>
    <w:p w14:paraId="1729923D" w14:textId="77777777" w:rsidR="003754FE" w:rsidRDefault="003754FE" w:rsidP="003754FE">
      <w:pPr>
        <w:pStyle w:val="TextoNormal"/>
      </w:pPr>
    </w:p>
    <w:p w14:paraId="16A8E996" w14:textId="77777777" w:rsidR="003754FE" w:rsidRDefault="003754FE" w:rsidP="003754FE">
      <w:pPr>
        <w:pStyle w:val="TextoNormal"/>
      </w:pPr>
      <w:r>
        <w:t xml:space="preserve">Con carácter preliminar al enjuiciamiento de esta queja, es necesario precisar que el fundamento material de la condena del Sr. Márquez Contreras no se ciñe de manera exclusiva al uso de un procedimiento de presupuestación y gestión, el de las transferencias de financiación al IFA/IDEA, que conllevara una minoración de controles, supuestamente inadecuada para la acreditación del interés público y el control de los beneficiarios, sino que abarca igualmente la concesión y pago de las ayudas en el periodo en el que ejerció su cargo, como se desprende del relato de hechos probados de la sentencia de instancia, y de la delimitación del objeto de enjuiciamiento verificado en la sentencia casacional al resolver los recursos que cuestionaron este extremo, lo que se explica más arriba, en el fundamento jurídico “2.3. </w:t>
      </w:r>
      <w:r w:rsidRPr="003754FE">
        <w:rPr>
          <w:i/>
        </w:rPr>
        <w:t>Hechos enjuiciados en la ‘pieza específica’</w:t>
      </w:r>
      <w:r>
        <w:t>”, por remisión a las consideraciones que se hicieron en el fundamento de Derecho 3.4 de la sentencia casacional, donde se establece “que la condena por malversación incluye respecto de cada condenado a todas las disposiciones de fondos públicos realizadas durante el tiempo en que cada uno de ellos ejerció su cargo”.</w:t>
      </w:r>
    </w:p>
    <w:p w14:paraId="09059AD5" w14:textId="77777777" w:rsidR="003754FE" w:rsidRDefault="003754FE" w:rsidP="003754FE">
      <w:pPr>
        <w:pStyle w:val="TextoNormal"/>
      </w:pPr>
    </w:p>
    <w:p w14:paraId="677A9724" w14:textId="77777777" w:rsidR="003754FE" w:rsidRDefault="003754FE" w:rsidP="003754FE">
      <w:pPr>
        <w:pStyle w:val="TextoNormal"/>
      </w:pPr>
      <w:r>
        <w:t xml:space="preserve">Acotado de este modo el sustrato fáctico sobre el que se asienta realmente el juicio de subsunción que ha conducido a la condena del demandante de amparo por delito de malversación de caudales públicos, y teniendo en cuenta que la demanda de amparo aduce la vulneración del derecho a la presunción de inocencia sobre la premisa argumental de que no se ha probado, ni tan siquiera se ha intentado probar, que hubiera concedido ninguna ayuda en </w:t>
      </w:r>
      <w:r>
        <w:lastRenderedPageBreak/>
        <w:t>ausencia de finalidad pública, es deber de este tribunal comprobar si en la fundamentación jurídica de las resoluciones judiciales impugnadas se establece un enlace suficientemente claro, preciso y motivado, conforme a criterios racionales y lógicos, entre la conducta del demandante y la concesión de ese tipo de ayudas, entendiendo que el enlace solo tendrá eficacia para enervar la presunción de inocencia que ampara a todo acusado en un proceso penal cuando se realice de un modo “coherente, lógico y racional, entendida la racionalidad, por supuesto, no como mero mecanismo o automatismo, sino como compresión razonable de la realidad normalmente vivida y apreciada conforme a criterios colectivos vigentes” (STC 169/1986, de 22 de diciembre, FJ 2).</w:t>
      </w:r>
    </w:p>
    <w:p w14:paraId="12FBF8CD" w14:textId="77777777" w:rsidR="003754FE" w:rsidRDefault="003754FE" w:rsidP="003754FE">
      <w:pPr>
        <w:pStyle w:val="TextoNormal"/>
      </w:pPr>
    </w:p>
    <w:p w14:paraId="407D5C8A" w14:textId="77777777" w:rsidR="003754FE" w:rsidRDefault="003754FE" w:rsidP="003754FE">
      <w:pPr>
        <w:pStyle w:val="TextoNormal"/>
      </w:pPr>
      <w:r>
        <w:t xml:space="preserve">Y ello porque, como ya se ha explicitado anteriormente, el derecho a la presunción de inocencia queda vulnerado cuando, habiéndose declarado la culpabilidad del encausado, dicha declaración de culpabilidad no se ha motivado suficientemente toda vez que “uno de los motivos de la vulneración de este derecho lo constituye precisamente la falta de motivación del </w:t>
      </w:r>
      <w:r w:rsidRPr="003754FE">
        <w:rPr>
          <w:i/>
        </w:rPr>
        <w:t>iter</w:t>
      </w:r>
      <w:r>
        <w:t xml:space="preserve"> que ha conducido de las pruebas al relato de hechos probados de signo incriminatorio” (STC 245/2007, 10 de diciembre, FJ 5) no siendo, por lo tanto, misión de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(STC 137/2005, de 23 de mayo, FJ 2).</w:t>
      </w:r>
    </w:p>
    <w:p w14:paraId="409E8D57" w14:textId="77777777" w:rsidR="003754FE" w:rsidRDefault="003754FE" w:rsidP="003754FE">
      <w:pPr>
        <w:pStyle w:val="TextoNormal"/>
      </w:pPr>
    </w:p>
    <w:p w14:paraId="0177E55F" w14:textId="77777777" w:rsidR="003754FE" w:rsidRDefault="003754FE" w:rsidP="003754FE">
      <w:pPr>
        <w:pStyle w:val="TextoNormal"/>
      </w:pPr>
      <w:r>
        <w:t>Aplicado el canon de enjuiciamiento constitucional que acabamos de exponer al caso, nos encontramos con que, desde las exigencias de acreditación del tipo subjetivo de injusto, en la sentencia de instancia afloran datos y elementos fácticos de inequívoca fuerza incriminatoria: el hecho de que el Sr. Márquez Contreras, desde el inicio de su mandato, tuviera conocimiento de la falta de control que había caracterizado la tramitación de los expedientes de ayudas en tiempos de su predecesor, y de que la persona técnica a la que contrató para depurar su tramitación, la Sra. María José Rofa, pusiera en su conocimiento que además de una defectuosa tramitación formal de los expedientes había detectado infracciones materiales de innegable relevancia, como eran los pagos cruzados de pólizas de seguros, o la inclusión como beneficiarios en pólizas de renta colectiva derivadas de expedientes de regulación de empleo de personas totalmente ajenas a la actividad de la empresa, los conocidos como “intrusos”, pese a lo cual el Sr. Márquez Contreras mantuvo vigente el sistema, ajustando la concesión y pago de las nuevas ayudas que él concedía al mismo procedimiento.</w:t>
      </w:r>
    </w:p>
    <w:p w14:paraId="7679004F" w14:textId="77777777" w:rsidR="003754FE" w:rsidRDefault="003754FE" w:rsidP="003754FE">
      <w:pPr>
        <w:pStyle w:val="TextoNormal"/>
      </w:pPr>
    </w:p>
    <w:p w14:paraId="175C880E" w14:textId="77777777" w:rsidR="003754FE" w:rsidRDefault="003754FE" w:rsidP="003754FE">
      <w:pPr>
        <w:pStyle w:val="TextoNormal"/>
      </w:pPr>
      <w:r>
        <w:t xml:space="preserve">También es relevante el conocimiento que tuvo del contenido de los informes que él mismo recabó de firmas como Garrigues y PriceWaterhouseCoopers Auditores, S.L. En este último se enumeraban las irregularidades detectadas en el análisis de dieciséis expedientes de ayudas concedidas por la dirección general de Trabajo en el periodo de 2002 a 2008, que resultaban altamente representativas de la ausencia de interés público o de desvío de los fines programados en las leyes de presupuestos, tales como la concesión de ayudas a empresas interrelacionadas, por compartir accionistas y órganos de administración, empresas que se habían constituido con muy poca antelación, con escaso patrimonio propio, o que carecían de trabajadores. Su conocimiento, según la sentencia de casación, “debería haber dado lugar a la suspensión inmediata de la concesión de nuevas ayudas, por lo que el mantenimiento de las mismas constituye una conducta punible conforme a la previsión </w:t>
      </w:r>
      <w:r>
        <w:lastRenderedPageBreak/>
        <w:t>normativa del artículo 432 CP, entonces vigente, en su modalidad de comisión por omisión” (sentencia del Tribunal Supremo, fundamento de Derecho 135.2, págs. 1015 y 1016).</w:t>
      </w:r>
    </w:p>
    <w:p w14:paraId="447FAB77" w14:textId="77777777" w:rsidR="003754FE" w:rsidRDefault="003754FE" w:rsidP="003754FE">
      <w:pPr>
        <w:pStyle w:val="TextoNormal"/>
      </w:pPr>
    </w:p>
    <w:p w14:paraId="3EF80C3D" w14:textId="77777777" w:rsidR="003754FE" w:rsidRDefault="003754FE" w:rsidP="003754FE">
      <w:pPr>
        <w:pStyle w:val="TextoNormal"/>
      </w:pPr>
      <w:r>
        <w:t>En cuanto a la situación objetiva de falta de control del interés público comprometido en la concesión de las ayudas dentro del departamento dirigido por el demandante de amparo, junto a los informes ya reseñados, las resoluciones judiciales impugnadas inciden nuevamente en el testimonio de la Sra. Rofa, evacuado en sede policial, y más tarde ratificado en el plenario, que expresó su sorpresa ante la circunstancia de que no se diera importancia a la situación legal de los beneficiarios, y que no se pudiera verificar la legitimidad de derechos de empresas y trabajadores beneficiarios, señalando que el descontrol era total.</w:t>
      </w:r>
    </w:p>
    <w:p w14:paraId="39AC5712" w14:textId="77777777" w:rsidR="003754FE" w:rsidRDefault="003754FE" w:rsidP="003754FE">
      <w:pPr>
        <w:pStyle w:val="TextoNormal"/>
      </w:pPr>
    </w:p>
    <w:p w14:paraId="3B4E130A" w14:textId="77777777" w:rsidR="003754FE" w:rsidRDefault="003754FE" w:rsidP="003754FE">
      <w:pPr>
        <w:pStyle w:val="TextoNormal"/>
      </w:pPr>
      <w:r>
        <w:t>Las sentencias también exponen y analizan prueba documental relativa a las ayudas que concedió el propio Sr. Márquez Contreras en el desempeño de su cargo, identificando la resolución de 17 de agosto de 2009 por la que ordenó a la agencia IDEA el pago de una ayuda sociolaboral a la Fundación San Telmo para subvencionar la realización del “Curso de alta dirección de instituciones sociales”.</w:t>
      </w:r>
    </w:p>
    <w:p w14:paraId="71103CF0" w14:textId="77777777" w:rsidR="003754FE" w:rsidRDefault="003754FE" w:rsidP="003754FE">
      <w:pPr>
        <w:pStyle w:val="TextoNormal"/>
      </w:pPr>
    </w:p>
    <w:p w14:paraId="272B19A7" w14:textId="77777777" w:rsidR="003754FE" w:rsidRDefault="003754FE" w:rsidP="003754FE">
      <w:pPr>
        <w:pStyle w:val="TextoNormal"/>
      </w:pPr>
      <w:r>
        <w:t>La valoración judicial del complejo acervo probatorio también se nutre, no de manera exclusiva como se afirma la demanda de amparo, de la información suministrada en el informe pericial de la Intervención General de la Administración del Estado, reproduciéndose en el fundamento de Derecho 45 de la sentencia de instancia el cuadro en el que se relacionan ayudas a empresas “sin objeto claramente definido”, para pago de nóminas, avales, gastos de asesoramiento jurídico, o publicidad.</w:t>
      </w:r>
    </w:p>
    <w:p w14:paraId="4E94033D" w14:textId="77777777" w:rsidR="003754FE" w:rsidRDefault="003754FE" w:rsidP="003754FE">
      <w:pPr>
        <w:pStyle w:val="TextoNormal"/>
      </w:pPr>
    </w:p>
    <w:p w14:paraId="36620541" w14:textId="154496CC" w:rsidR="003754FE" w:rsidRDefault="003754FE" w:rsidP="003754FE">
      <w:pPr>
        <w:pStyle w:val="TextoNormal"/>
      </w:pPr>
      <w:r>
        <w:t>A la luz de lo expuesto debemos concluir que la sentencia de instancia expone, analiza y valora de una forma razonada medios de prueba cuyo resultado permite inferir que el demandante de amparo, en el desempeño de su cargo de director general de Trabajo, mantuvo un sistema de concesión de ayudas con un conocimiento preciso de que una parte de las mismas se daban en ausencia de todo interés público, realizando él mismo actos de disposición directa de los que se podía predicar el mismo defecto, por lo que no es irracional ni representa una inferencia excesivamente laxa o indeterminada la conclusión de que el demandante tuvo intervención eficiente en tales desviaciones. Procede por ello desestimar el motivo de amparo en el que se denuncia la vulneración de su derecho a la presunción de inocencia.</w:t>
      </w:r>
    </w:p>
    <w:p w14:paraId="266BFAC2" w14:textId="77777777" w:rsidR="003754FE" w:rsidRDefault="003754FE" w:rsidP="003754FE">
      <w:pPr>
        <w:pStyle w:val="TextoNormal"/>
      </w:pPr>
    </w:p>
    <w:p w14:paraId="4B032BCA" w14:textId="77777777" w:rsidR="003754FE" w:rsidRDefault="003754FE" w:rsidP="003754FE">
      <w:pPr>
        <w:pStyle w:val="TextoNormal"/>
      </w:pPr>
      <w:r w:rsidRPr="003754FE">
        <w:rPr>
          <w:rStyle w:val="NumeroAFNegritaCaracter"/>
        </w:rPr>
        <w:t>4</w:t>
      </w:r>
      <w:r>
        <w:t xml:space="preserve">. </w:t>
      </w:r>
      <w:r w:rsidRPr="003754FE">
        <w:rPr>
          <w:i/>
        </w:rPr>
        <w:t>Vulneración del derecho a la presunción de inocencia, y otros derechos fundamentales, por incorporación en la sentencia de casación de elementos fácticos nuevos</w:t>
      </w:r>
    </w:p>
    <w:p w14:paraId="33A64A96" w14:textId="77777777" w:rsidR="003754FE" w:rsidRDefault="003754FE" w:rsidP="003754FE">
      <w:pPr>
        <w:pStyle w:val="TextoNormal"/>
      </w:pPr>
    </w:p>
    <w:p w14:paraId="39212006" w14:textId="77777777" w:rsidR="003754FE" w:rsidRDefault="003754FE" w:rsidP="003754FE">
      <w:pPr>
        <w:pStyle w:val="TextoNormal"/>
      </w:pPr>
      <w:r>
        <w:t xml:space="preserve">4.1. </w:t>
      </w:r>
      <w:r w:rsidRPr="003754FE">
        <w:rPr>
          <w:i/>
        </w:rPr>
        <w:t>Posiciones de las partes</w:t>
      </w:r>
    </w:p>
    <w:p w14:paraId="27B30290" w14:textId="77777777" w:rsidR="003754FE" w:rsidRDefault="003754FE" w:rsidP="003754FE">
      <w:pPr>
        <w:pStyle w:val="TextoNormal"/>
      </w:pPr>
    </w:p>
    <w:p w14:paraId="6C926EF7" w14:textId="77777777" w:rsidR="003754FE" w:rsidRDefault="003754FE" w:rsidP="003754FE">
      <w:pPr>
        <w:pStyle w:val="TextoNormal"/>
      </w:pPr>
      <w:r>
        <w:t xml:space="preserve">La demanda de amparo, en su motivo segundo, afirma que se ha vulnerado el derecho a un proceso con todas las garantías, a la presunción de inocencia (art. 24.2 CE) y a la tutela judicial sin indefensión (art. 24.1 CE), por la inclusión </w:t>
      </w:r>
      <w:r w:rsidRPr="003754FE">
        <w:rPr>
          <w:i/>
        </w:rPr>
        <w:t>ex novo</w:t>
      </w:r>
      <w:r>
        <w:t xml:space="preserve"> en la sentencia de casación de datos fácticos ajenos al relato de hechos probados de la sentencia de instancia, lo que considera ha sido determinante de la subsunción jurídica para la confirmación de la condena. Se refiere a las expresiones “precisamente se cambió el sistema de presupuestación para evitar todo control y para disponer del erario público de forma discrecional y arbitraria, al margen de todo condicionante legal” (págs. 348 y 349) y “se modificó el sistema de </w:t>
      </w:r>
      <w:r>
        <w:lastRenderedPageBreak/>
        <w:t>presupuestación, no por razones técnicas o neutrales, sino con una deliberada finalidad: con el pretexto de agilizar el pago de ayudas se buscó un sistema para disponer libérrimamente de los fondos públicos eliminando todos los controles y todas las exigencias de la normativa de subvenciones” (pág. 352).</w:t>
      </w:r>
    </w:p>
    <w:p w14:paraId="516FC070" w14:textId="77777777" w:rsidR="003754FE" w:rsidRDefault="003754FE" w:rsidP="003754FE">
      <w:pPr>
        <w:pStyle w:val="TextoNormal"/>
      </w:pPr>
    </w:p>
    <w:p w14:paraId="29669B57" w14:textId="77777777" w:rsidR="003754FE" w:rsidRDefault="003754FE" w:rsidP="003754FE">
      <w:pPr>
        <w:pStyle w:val="TextoNormal"/>
      </w:pPr>
      <w:r>
        <w:t xml:space="preserve">Aduce que las exigencias de motivación fáctica no conectan solamente con el genérico derecho a la tutela judicial efectiva, sino que también afectan al núcleo duro del derecho de defensa, destacando el derecho a conocer los hechos por los que una persona puede ser privada de libertad, para poder defenderse de los mismos mediante el ejercicio de los recursos. El Tribunal Supremo al abordar los recursos de casación contra la sentencia de instancia, se enfrentaba a un problema relevante de límites revisores, dado que las acusaciones se aquietaron con la declaración de hechos probados recogida en la sentencia de instancia, lo que le impedía toda labor reconstructiva de los mismos, pues ello supondría revisar y revalorar toda la prueba, y extralimitarse del objeto devolutivo del recurso con efectos indeseables en términos de </w:t>
      </w:r>
      <w:r w:rsidRPr="003754FE">
        <w:rPr>
          <w:i/>
        </w:rPr>
        <w:t>reformatio in peius</w:t>
      </w:r>
      <w:r>
        <w:t>.</w:t>
      </w:r>
    </w:p>
    <w:p w14:paraId="2FA98E72" w14:textId="77777777" w:rsidR="003754FE" w:rsidRDefault="003754FE" w:rsidP="003754FE">
      <w:pPr>
        <w:pStyle w:val="TextoNormal"/>
      </w:pPr>
    </w:p>
    <w:p w14:paraId="49F44533" w14:textId="77777777" w:rsidR="003754FE" w:rsidRDefault="003754FE" w:rsidP="003754FE">
      <w:pPr>
        <w:pStyle w:val="TextoNormal"/>
      </w:pPr>
      <w:r>
        <w:t xml:space="preserve">Afirma que la sentencia de instancia estableció, de manera clara y reiterada, y asimismo vinculante para el tribunal de casación, que las modificaciones presupuestarias se propusieron, tramitaron y aprobaron para eludir la fiscalización previa y, en todo caso, para lograr una mayor rapidez en la concesión y pago de ayudas. Sin embargo, el Tribunal Supremo establece </w:t>
      </w:r>
      <w:r w:rsidRPr="003754FE">
        <w:rPr>
          <w:i/>
        </w:rPr>
        <w:t>ex novo</w:t>
      </w:r>
      <w:r>
        <w:t xml:space="preserve"> que la finalidad de agilizar las ayudas no era tal, sino un mero pretexto, bajo el que se ocultaba el propósito real de disponer libérrimamente de los fondos como si fueran propios, así como que dicha finalidad de disposición ilegal de los fondos fue buscada por la totalidad de los condenados en la causa —no solo por los cargos de la Consejería de Empleo—, cosa que tampoco se afirma en la sentencia de instancia. Como consecuencia de ello, todos los condenados por el delito de malversación quedan situados como autores en la modalidad de dolo directo, destacándose que todas las acciones respondían a un propósito común, y que no se trató de una simple dejación del deber, sino de una dejación con la finalidad de que otro actúe ilícitamente, desbordándose así los contornos fácticos definidos por la Audiencia Provincial, que había concluido que algunos de los acusados conocieron y quisieron las actuaciones malversadoras, y que el resto debieron conocer dichas actuaciones, de modo que a unos se les atribuyó “disponer o consentir que un tercero disponga de los fondos con fines ajenos a su fin público” y a otros “asumir la eventualidad de que los fondos vinculados al programa 31L fueran objeto de disposición con fines ajenos al fin público al que estaban destinados” (sentencia de la Audiencia Provincial, fundamento de Derecho 47.2, págs. 1754 y ss.). Sobre este suelo se articuló el recurso de casación, y no debió ser ignorado ni excedido en la sentencia de casación.</w:t>
      </w:r>
    </w:p>
    <w:p w14:paraId="60660A86" w14:textId="77777777" w:rsidR="003754FE" w:rsidRDefault="003754FE" w:rsidP="003754FE">
      <w:pPr>
        <w:pStyle w:val="TextoNormal"/>
      </w:pPr>
    </w:p>
    <w:p w14:paraId="48A12CEF" w14:textId="77777777" w:rsidR="003754FE" w:rsidRDefault="003754FE" w:rsidP="003754FE">
      <w:pPr>
        <w:pStyle w:val="TextoNormal"/>
      </w:pPr>
      <w:r>
        <w:t>En atención a estos argumentos se solicita la nulidad de la sentencia de casación, habiendo lugar a la reparación de la vulneración de los derechos fundamentales invocados, mediante la exclusión de los referidos extremos fácticos ajenos a la sentencia de instancia.</w:t>
      </w:r>
    </w:p>
    <w:p w14:paraId="0CE0FBE4" w14:textId="77777777" w:rsidR="003754FE" w:rsidRDefault="003754FE" w:rsidP="003754FE">
      <w:pPr>
        <w:pStyle w:val="TextoNormal"/>
      </w:pPr>
    </w:p>
    <w:p w14:paraId="058FC97B" w14:textId="77777777" w:rsidR="003754FE" w:rsidRDefault="003754FE" w:rsidP="003754FE">
      <w:pPr>
        <w:pStyle w:val="TextoNormal"/>
      </w:pPr>
      <w:r>
        <w:t>El Partido Popular niega que la sentencia de casación haya introducido elementos fácticos novedosos para confirmar la condena por malversación, como pone de manifiesto el auto resolutorio del incidente de nulidad de actuaciones, limitándose a efectuar “meras consideraciones jurídicas en el juicio de autoría o tipicidad” sin modificar los hechos probados.</w:t>
      </w:r>
    </w:p>
    <w:p w14:paraId="0FD22BEA" w14:textId="77777777" w:rsidR="003754FE" w:rsidRDefault="003754FE" w:rsidP="003754FE">
      <w:pPr>
        <w:pStyle w:val="TextoNormal"/>
      </w:pPr>
    </w:p>
    <w:p w14:paraId="292109DB" w14:textId="77777777" w:rsidR="003754FE" w:rsidRDefault="003754FE" w:rsidP="003754FE">
      <w:pPr>
        <w:pStyle w:val="TextoNormal"/>
      </w:pPr>
      <w:r>
        <w:lastRenderedPageBreak/>
        <w:t>El fiscal comparte también la argumentación que conduce a rechazar una queja análoga en el fundamento de Derecho 4 del auto resolutorio del incidente de nulidad de actuaciones. Considera que las frases cuestionadas en la demanda “no han añadido nada nuevo a lo declarado en los hechos probados de la sentencia de instancia, sino resumido o concretado todo el conjunto de hechos declarados probados por dicha sentencia”.</w:t>
      </w:r>
    </w:p>
    <w:p w14:paraId="227486BC" w14:textId="77777777" w:rsidR="003754FE" w:rsidRDefault="003754FE" w:rsidP="003754FE">
      <w:pPr>
        <w:pStyle w:val="TextoNormal"/>
      </w:pPr>
    </w:p>
    <w:p w14:paraId="1D56FF41" w14:textId="77777777" w:rsidR="003754FE" w:rsidRDefault="003754FE" w:rsidP="003754FE">
      <w:pPr>
        <w:pStyle w:val="TextoNormal"/>
      </w:pPr>
      <w:r>
        <w:t xml:space="preserve">4.2. </w:t>
      </w:r>
      <w:r w:rsidRPr="003754FE">
        <w:rPr>
          <w:i/>
        </w:rPr>
        <w:t>Enjuiciamiento de la queja</w:t>
      </w:r>
    </w:p>
    <w:p w14:paraId="4BA586FE" w14:textId="77777777" w:rsidR="003754FE" w:rsidRDefault="003754FE" w:rsidP="003754FE">
      <w:pPr>
        <w:pStyle w:val="TextoNormal"/>
      </w:pPr>
    </w:p>
    <w:p w14:paraId="2F5BB16E" w14:textId="77777777" w:rsidR="003754FE" w:rsidRDefault="003754FE" w:rsidP="003754FE">
      <w:pPr>
        <w:pStyle w:val="TextoNormal"/>
      </w:pPr>
      <w:r>
        <w:t>El análisis del presente motivo de amparo deviene innecesario como consecuencia de lo establecido en los fundamentos anteriores de esta resolución:</w:t>
      </w:r>
    </w:p>
    <w:p w14:paraId="3B53AFBA" w14:textId="77777777" w:rsidR="003754FE" w:rsidRDefault="003754FE" w:rsidP="003754FE">
      <w:pPr>
        <w:pStyle w:val="TextoNormal"/>
      </w:pPr>
    </w:p>
    <w:p w14:paraId="2A4F7599" w14:textId="77777777" w:rsidR="003754FE" w:rsidRDefault="003754FE" w:rsidP="003754FE">
      <w:pPr>
        <w:pStyle w:val="TextoNormal"/>
      </w:pPr>
      <w:r>
        <w:t>(i) En los fundamentos jurídicos 2.4 y 3.2 y 4 se ha indicado que la Audiencia Provincial fundó la condena del Sr. Márquez Contreras por delito de malversación no solo en el hecho de haber seguido utilizando el sistema de gestión de la concesión de ayudas sociolaborales o a empresas en crisis por medio de transferencias de financiación a la agencia IDEA, sino también porque durante todo su mandato ejerció el control sobre el pago de las ayudas, adoptando decisiones personales.</w:t>
      </w:r>
    </w:p>
    <w:p w14:paraId="725ED4EE" w14:textId="77777777" w:rsidR="003754FE" w:rsidRDefault="003754FE" w:rsidP="003754FE">
      <w:pPr>
        <w:pStyle w:val="TextoNormal"/>
      </w:pPr>
    </w:p>
    <w:p w14:paraId="1ABD9AB6" w14:textId="2F68A06B" w:rsidR="003754FE" w:rsidRDefault="003754FE" w:rsidP="003754FE">
      <w:pPr>
        <w:pStyle w:val="TextoNormal"/>
      </w:pPr>
      <w:r>
        <w:t>Sentado lo anterior, la queja del recurrente resulta inane, ya que cuestiona un supuesto complemento fáctico por parte de la sentencia de casación que permitiría sustentar la condena por el delito de malversación. Sin embargo, como acaba de exponerse, se ha concluido que la sentencia de instancia ofrece argumentos suficientes desde la perspectiva del derecho a la presunción de inocencia para justificar la condena por delito de malversación de caudales públicos del recurrente por su intervención en la disposición de los fondos públicos del programa 31L. En estos casos, que son los que permiten sostener la calificación de la conducta del recurrente como autoría de un delito de malversación de caudales públicos, los elementos fácticos novedosos que, según se afirma en la demanda, se introdujeron en la sentencia de casación, la concurrencia de un propósito o una finalidad de desviar los fondos de su finalidad pública, no añaden ningún elemento adicional que pueda ser calificado de determinante de la subsunción jurídica o generador de indefensión. La actuación a sabiendas de la inexistencia de finalidad pública en la disposición de fondos venía determinada por el control efectivo en la concesión de ayudas en un periodo en el que una parte de ellas careció de fin público, conforme a relevante prueba testifical, documental y pericial ya referida. Procede por ello desestimar también este motivo de amparo.</w:t>
      </w:r>
    </w:p>
    <w:p w14:paraId="136F8933" w14:textId="77777777" w:rsidR="003754FE" w:rsidRDefault="003754FE" w:rsidP="003754FE">
      <w:pPr>
        <w:pStyle w:val="TextoNormal"/>
      </w:pPr>
    </w:p>
    <w:p w14:paraId="0E35D16F" w14:textId="77777777" w:rsidR="003754FE" w:rsidRDefault="003754FE" w:rsidP="003754FE">
      <w:pPr>
        <w:pStyle w:val="TextoNormal"/>
      </w:pPr>
      <w:r w:rsidRPr="003754FE">
        <w:rPr>
          <w:rStyle w:val="NumeroAFNegritaCaracter"/>
        </w:rPr>
        <w:t>5</w:t>
      </w:r>
      <w:r>
        <w:t xml:space="preserve">. </w:t>
      </w:r>
      <w:r w:rsidRPr="003754FE">
        <w:rPr>
          <w:i/>
        </w:rPr>
        <w:t>Vulneraciones atribuidas a la comunicación pública y anticipada del fallo de la sentencia de casación</w:t>
      </w:r>
    </w:p>
    <w:p w14:paraId="23FF2D20" w14:textId="77777777" w:rsidR="003754FE" w:rsidRDefault="003754FE" w:rsidP="003754FE">
      <w:pPr>
        <w:pStyle w:val="TextoNormal"/>
      </w:pPr>
    </w:p>
    <w:p w14:paraId="48D575B2" w14:textId="77777777" w:rsidR="003754FE" w:rsidRDefault="003754FE" w:rsidP="003754FE">
      <w:pPr>
        <w:pStyle w:val="TextoNormal"/>
      </w:pPr>
      <w:r>
        <w:t xml:space="preserve">5.1. </w:t>
      </w:r>
      <w:r w:rsidRPr="003754FE">
        <w:rPr>
          <w:i/>
        </w:rPr>
        <w:t>Exposición de la queja del recurrente, de las posiciones de las partes personadas y del pronunciamiento del Tribunal Supremo</w:t>
      </w:r>
    </w:p>
    <w:p w14:paraId="6A08DE22" w14:textId="77777777" w:rsidR="003754FE" w:rsidRDefault="003754FE" w:rsidP="003754FE">
      <w:pPr>
        <w:pStyle w:val="TextoNormal"/>
      </w:pPr>
    </w:p>
    <w:p w14:paraId="75419723" w14:textId="77777777" w:rsidR="003754FE" w:rsidRDefault="003754FE" w:rsidP="003754FE">
      <w:pPr>
        <w:pStyle w:val="TextoNormal"/>
      </w:pPr>
      <w:r>
        <w:t>El primer motivo de la demanda denuncia la vulneración del derecho a la presunción de inocencia (art. 24.2 CE) en conexión con el derecho al honor (art. 18.1 CE), y a un proceso con todas las garantías, entre ellas la de legalidad procesal (art. 24.2 CE) y a la tutela judicial efectiva, como consecuencia del pronunciamiento por el Tribunal Supremo de la providencia de 26 de julio de 2022, en la que se anticipaba el fallo de la sentencia casacional, que no le fue notificada en forma hasta el día 14 de septiembre de 2022.</w:t>
      </w:r>
    </w:p>
    <w:p w14:paraId="47F44CAD" w14:textId="77777777" w:rsidR="003754FE" w:rsidRDefault="003754FE" w:rsidP="003754FE">
      <w:pPr>
        <w:pStyle w:val="TextoNormal"/>
      </w:pPr>
    </w:p>
    <w:p w14:paraId="5E2ED246" w14:textId="77777777" w:rsidR="003754FE" w:rsidRDefault="003754FE" w:rsidP="003754FE">
      <w:pPr>
        <w:pStyle w:val="TextoNormal"/>
      </w:pPr>
      <w:r>
        <w:lastRenderedPageBreak/>
        <w:t>Alega que no se trata de una mera infracción de la legalidad procesal, y que se han vulnerado los derechos fundamentales que invoca porque el Tribunal Supremo emitió una declaración firme de culpabilidad desprovista de cualquier clase de motivación: anunció que don Juan Márquez Contreras sería condenado sin que de manera real lo hubiere sido, toda vez que, hasta la firma y publicación de la sentencia en septiembre de 2022, no se quebró la presunción de inocencia; le presentó a la sociedad como culpable cuando aún gozaba el estado de inocencia y en dicha situación lo mantuvo desde el día 26 de julio de 2022, en que dictó la providencia que anticipaba el fallo de la sentencia de casación, hasta el día 13 de septiembre de 2022, en que la sentencia fue publicada. Afirma que la sentencia debe ser notificada en su integridad y en unidad de acto, con el alcance y los términos exactos establecidos en la legislación procesal, y que la relevancia pública del caso no basta para justificar este modo de proceder, pues se trata de un concepto metajurídico indeterminado al que se le pueden dar diversas interpretaciones. Afirma asimismo que no existe jurisprudencia constitucional que marque un límite al juzgador sobre la insoportable lesión al derecho fundamental al honor que supone hacer público un fallo de una sentencia, sin firmarla, ni publicarla ni explicar a la sociedad la razón por la cual haya podido quedar quebrada la presunción de inocencia de un justiciable.</w:t>
      </w:r>
    </w:p>
    <w:p w14:paraId="201F8E00" w14:textId="77777777" w:rsidR="003754FE" w:rsidRDefault="003754FE" w:rsidP="003754FE">
      <w:pPr>
        <w:pStyle w:val="TextoNormal"/>
      </w:pPr>
    </w:p>
    <w:p w14:paraId="2754726F" w14:textId="77777777" w:rsidR="003754FE" w:rsidRDefault="003754FE" w:rsidP="003754FE">
      <w:pPr>
        <w:pStyle w:val="TextoNormal"/>
      </w:pPr>
      <w:r>
        <w:t>El Partido Popular en su escrito de alegaciones interesa la desestimación de este motivo porque la providencia y el comunicado de prensa se difundieron cuando el Tribunal Supremo ya había concluido sus deliberaciones y solo estaba pendiente la redacción del voto particular anunciado, por lo que no hubo ni filtración ni imputación anticipada de la culpabilidad de los acusados.</w:t>
      </w:r>
    </w:p>
    <w:p w14:paraId="179B2521" w14:textId="77777777" w:rsidR="003754FE" w:rsidRDefault="003754FE" w:rsidP="003754FE">
      <w:pPr>
        <w:pStyle w:val="TextoNormal"/>
      </w:pPr>
    </w:p>
    <w:p w14:paraId="2F09DCD8" w14:textId="77777777" w:rsidR="003754FE" w:rsidRDefault="003754FE" w:rsidP="003754FE">
      <w:pPr>
        <w:pStyle w:val="TextoNormal"/>
      </w:pPr>
      <w:r>
        <w:t>El fiscal ante el Tribunal Constitucional en su escrito de alegaciones encuadra el motivo en el ámbito de aplicación del derecho fundamental al honor (art. 18.1 CE), y desecha su vulneración porque, aunque no existe ninguna disposición legal que contemple la práctica de anticipar el fallo, el Tribunal Supremo, como autoridad pública, al darlo a conocer, sin actuar propiamente en el ejercicio del derecho fundamental a transmitir información veraz [art. 20.1 a) CE], del que no pueden ser titulares las autoridades públicas, respondió al menos a la realización de una finalidad constitucionalmente legítima, como es la de informar a la opinión pública de una decisión de indiscutible relevancia para su adecuada formación, por lo que en una ponderación de los intereses en juego su decisión resultó constitucionalmente justificada.</w:t>
      </w:r>
    </w:p>
    <w:p w14:paraId="079303D2" w14:textId="77777777" w:rsidR="003754FE" w:rsidRDefault="003754FE" w:rsidP="003754FE">
      <w:pPr>
        <w:pStyle w:val="TextoNormal"/>
      </w:pPr>
    </w:p>
    <w:p w14:paraId="113779C6" w14:textId="77777777" w:rsidR="003754FE" w:rsidRDefault="003754FE" w:rsidP="003754FE">
      <w:pPr>
        <w:pStyle w:val="TextoNormal"/>
      </w:pPr>
      <w:r>
        <w:t xml:space="preserve">En el incidente de nulidad de actuaciones formulado por el recurrente se alegaron quejas análogas que fueron descartadas en el fundamento de Derecho 39 del auto del Tribunal Supremo de 16 de febrero de 2023 por remisión a lo respondido a otro recurrente en el fundamento de Derecho 2 de dicho auto. En él se parte de distinguir el contenido necesario de una sentencia, su notificación y la publicación anticipada del fallo, para subrayar (i) que esta última es una actuación no prevista en la ley, pero tampoco prohibida y prevista para determinadas resoluciones; (ii) que se viene realizando con habitualidad por las distintas salas del Tribunal Supremo en atención a la demanda de noticias por la sociedad y para evitar los efectos perniciosos de la falta de publicidad, como las filtraciones; (iii) que la sentencia ya había sido deliberada y el texto estaba concluso a falta de los votos particulares; (iv) que la “publicación anticipada del fallo, con una sucinta motivación, que se limitó a dar noticia de un hecho relevante, cierto y de naturaleza procesal, no puede equipararse a una condena pública sin motivación”; y (v) que la comunicación pública de un hecho de indudable </w:t>
      </w:r>
      <w:r>
        <w:lastRenderedPageBreak/>
        <w:t>relevancia informativa “se hizo ponderando otros derechos como el de libre comunicación y recepción de información de los ciudadanos”.</w:t>
      </w:r>
    </w:p>
    <w:p w14:paraId="045E215F" w14:textId="77777777" w:rsidR="003754FE" w:rsidRDefault="003754FE" w:rsidP="003754FE">
      <w:pPr>
        <w:pStyle w:val="TextoNormal"/>
      </w:pPr>
    </w:p>
    <w:p w14:paraId="2B87AE63" w14:textId="77777777" w:rsidR="003754FE" w:rsidRDefault="003754FE" w:rsidP="003754FE">
      <w:pPr>
        <w:pStyle w:val="TextoNormal"/>
      </w:pPr>
      <w:r>
        <w:t>A la vista del contenido de este motivo de la demanda de amparo, su examen debe escindirse en dos, de conformidad con la argumentación de una doble lesión, la del derecho a la presunción de inocencia extraprocesal y la de los derechos a un proceso con todas las garantías y a la tutela judicial efectiva sin indefensión.</w:t>
      </w:r>
    </w:p>
    <w:p w14:paraId="39BC3252" w14:textId="77777777" w:rsidR="003754FE" w:rsidRDefault="003754FE" w:rsidP="003754FE">
      <w:pPr>
        <w:pStyle w:val="TextoNormal"/>
      </w:pPr>
    </w:p>
    <w:p w14:paraId="41E0EE44" w14:textId="77777777" w:rsidR="003754FE" w:rsidRDefault="003754FE" w:rsidP="003754FE">
      <w:pPr>
        <w:pStyle w:val="TextoNormal"/>
      </w:pPr>
      <w:r>
        <w:t xml:space="preserve">5.2. </w:t>
      </w:r>
      <w:r w:rsidRPr="003754FE">
        <w:rPr>
          <w:i/>
        </w:rPr>
        <w:t>Vulneración del derecho a la presunción de inocencia extraprocesal</w:t>
      </w:r>
    </w:p>
    <w:p w14:paraId="36CF02E1" w14:textId="77777777" w:rsidR="003754FE" w:rsidRDefault="003754FE" w:rsidP="003754FE">
      <w:pPr>
        <w:pStyle w:val="TextoNormal"/>
      </w:pPr>
    </w:p>
    <w:p w14:paraId="3EA4C94D" w14:textId="77777777" w:rsidR="003754FE" w:rsidRDefault="003754FE" w:rsidP="003754FE">
      <w:pPr>
        <w:pStyle w:val="TextoNormal"/>
      </w:pPr>
      <w:r>
        <w:t>5.2.1. Doctrina sobre el derecho a la presunción de inocencia extraprocesal</w:t>
      </w:r>
    </w:p>
    <w:p w14:paraId="60920475" w14:textId="77777777" w:rsidR="003754FE" w:rsidRDefault="003754FE" w:rsidP="003754FE">
      <w:pPr>
        <w:pStyle w:val="TextoNormal"/>
      </w:pPr>
    </w:p>
    <w:p w14:paraId="246A4F02" w14:textId="77777777" w:rsidR="003754FE" w:rsidRDefault="003754FE" w:rsidP="003754FE">
      <w:pPr>
        <w:pStyle w:val="TextoNormal"/>
      </w:pPr>
      <w:r>
        <w:t>La evolución de la jurisprudencia constitucional sobre la vertiente del derecho a la presunción de inocencia como regla de tratamiento que opera dentro y fuera del proceso penal cristaliza en la doctrina consignada en la STC 77/2023, de 20 de junio, FJ 6, tal y como se expone en la STC 94/2024, de 2 de julio, FJ 7.2.1, donde se destacan tres elementos de dicha doctrina:</w:t>
      </w:r>
    </w:p>
    <w:p w14:paraId="64560401" w14:textId="77777777" w:rsidR="003754FE" w:rsidRDefault="003754FE" w:rsidP="003754FE">
      <w:pPr>
        <w:pStyle w:val="TextoNormal"/>
      </w:pPr>
    </w:p>
    <w:p w14:paraId="46ECD151" w14:textId="77777777" w:rsidR="003754FE" w:rsidRDefault="003754FE" w:rsidP="003754FE">
      <w:pPr>
        <w:pStyle w:val="TextoNormal"/>
      </w:pPr>
      <w:r>
        <w:t>(i) Frente a la tradicional reconducción al derecho al honor (art. 18 CE) en la jurisprudencia constitucional, afirma la autonomía del derecho a la presunción de inocencia como regla de tratamiento, que “tiene por objeto salvaguardar o preservar a la persona en su condición de inocente frente a declaraciones de culpabilidad vertidas por la autoridad pública en aquellos casos en que no concurren los requisitos formales y materiales exigibles en un Estado de Derecho para realizar tal aseveración”.</w:t>
      </w:r>
    </w:p>
    <w:p w14:paraId="1E85BDE9" w14:textId="77777777" w:rsidR="003754FE" w:rsidRDefault="003754FE" w:rsidP="003754FE">
      <w:pPr>
        <w:pStyle w:val="TextoNormal"/>
      </w:pPr>
    </w:p>
    <w:p w14:paraId="6444FCA9" w14:textId="77777777" w:rsidR="003754FE" w:rsidRDefault="003754FE" w:rsidP="003754FE">
      <w:pPr>
        <w:pStyle w:val="TextoNormal"/>
      </w:pPr>
      <w:r>
        <w:t>(ii) Especifica que ese contenido “impide a los poderes públicos, tras declararse judicialmente la inocencia de una persona, cuestionar tal declaración”, así como imputar “ilícitos a una persona a pesar de que su culpabilidad no haya sido declarada por un tribunal, en el seno del proceso judicial público diseñado al efecto por el legislador y con todas las garantías”.</w:t>
      </w:r>
    </w:p>
    <w:p w14:paraId="5358B09C" w14:textId="77777777" w:rsidR="003754FE" w:rsidRDefault="003754FE" w:rsidP="003754FE">
      <w:pPr>
        <w:pStyle w:val="TextoNormal"/>
      </w:pPr>
    </w:p>
    <w:p w14:paraId="2F5F4F09" w14:textId="77777777" w:rsidR="003754FE" w:rsidRDefault="003754FE" w:rsidP="003754FE">
      <w:pPr>
        <w:pStyle w:val="TextoNormal"/>
      </w:pPr>
      <w:r>
        <w:t>(iii) En sintonía con la jurisprudencia del Tribunal Europeo de Derechos Humanos, fija que la lesión del derecho “queda consumada en el momento en que desde el poder público se emitan declaraciones que no se limiten a describir un ‘estado de sospecha’ sino que vayan más allá, reflejando ‘la sensación de que la persona en cuestión es culpable’, siendo indiferente si se produce con anterioridad a la condena o con posterioridad a la absolución”.</w:t>
      </w:r>
    </w:p>
    <w:p w14:paraId="0997C17F" w14:textId="77777777" w:rsidR="003754FE" w:rsidRDefault="003754FE" w:rsidP="003754FE">
      <w:pPr>
        <w:pStyle w:val="TextoNormal"/>
      </w:pPr>
    </w:p>
    <w:p w14:paraId="567D0DCC" w14:textId="77777777" w:rsidR="003754FE" w:rsidRDefault="003754FE" w:rsidP="003754FE">
      <w:pPr>
        <w:pStyle w:val="TextoNormal"/>
      </w:pPr>
      <w:r>
        <w:t>En la citada STC 94/2024, FJ 7.2, se ha puesto de relieve que la conformación de esta dimensión del derecho a la presunción de inocencia se ha visto particularmente influida por la jurisprudencia del Tribunal Europeo de Derechos Humanos al respecto (art. 6.2 del Convenio europeo de derechos humanos: CEDH), de la que reseñó varios aspectos por su relevancia para el caso que ahora resulta pertinente recordar, siquiera sea resumidamente:</w:t>
      </w:r>
    </w:p>
    <w:p w14:paraId="5D4D45A8" w14:textId="77777777" w:rsidR="003754FE" w:rsidRDefault="003754FE" w:rsidP="003754FE">
      <w:pPr>
        <w:pStyle w:val="TextoNormal"/>
      </w:pPr>
    </w:p>
    <w:p w14:paraId="303F6466" w14:textId="77777777" w:rsidR="003754FE" w:rsidRDefault="003754FE" w:rsidP="003754FE">
      <w:pPr>
        <w:pStyle w:val="TextoNormal"/>
      </w:pPr>
      <w:r>
        <w:t xml:space="preserve">(i) El Tribunal Europeo considera que, “[e]ntendido como una garantía procesal en el contexto de un proceso penal, el derecho a la presunción de inocencia establece algunas exigencias y límites en cuanto a […] las declaraciones prematuras del tribunal o de otras autoridades públicas sobre la culpabilidad del acusado” (por todas, STEDH —Gran Sala— de 12 de julio de 2013, asunto </w:t>
      </w:r>
      <w:r w:rsidRPr="003754FE">
        <w:rPr>
          <w:i/>
        </w:rPr>
        <w:t>Allen c. Reino Unido</w:t>
      </w:r>
      <w:r>
        <w:t xml:space="preserve">, § 93). La prohibición del art. 6.2 CEDH </w:t>
      </w:r>
      <w:r>
        <w:lastRenderedPageBreak/>
        <w:t xml:space="preserve">se extiende tanto a manifestaciones prematuras por parte del tribunal penal de que la persona inmersa en un proceso penal es culpable, esto es, sin que se haya demostrado que lo es con arreglo a la ley, como a las declaraciones realizadas por otros funcionarios o autoridades sobre investigaciones penales pendientes que inciten al público a creer que el sospechoso es culpable y prejuzguen la evaluación de los hechos por parte de la autoridad judicial competente (por todas, STEDH de 10 de febrero de 1995, asunto </w:t>
      </w:r>
      <w:r w:rsidRPr="003754FE">
        <w:rPr>
          <w:i/>
        </w:rPr>
        <w:t>Allenet de Ribemont c. Francia</w:t>
      </w:r>
      <w:r>
        <w:t>, § 36-37).</w:t>
      </w:r>
    </w:p>
    <w:p w14:paraId="69E519B1" w14:textId="77777777" w:rsidR="003754FE" w:rsidRDefault="003754FE" w:rsidP="003754FE">
      <w:pPr>
        <w:pStyle w:val="TextoNormal"/>
      </w:pPr>
    </w:p>
    <w:p w14:paraId="5B6D04F8" w14:textId="77777777" w:rsidR="003754FE" w:rsidRDefault="003754FE" w:rsidP="003754FE">
      <w:pPr>
        <w:pStyle w:val="TextoNormal"/>
      </w:pPr>
      <w:r>
        <w:t>(ii) En ambos casos, el Tribunal subraya que lo que importa es el significado real de las declaraciones en cuestión, no su literalidad. No es precisa una declaración formal de culpabilidad, sino que basta con que de lo manifestado se desprenda que se considera culpable a la persona (STEDH de 28 de noviembre de 2002, asunt</w:t>
      </w:r>
      <w:r w:rsidRPr="003754FE">
        <w:rPr>
          <w:i/>
        </w:rPr>
        <w:t>o Lavents c. Leton</w:t>
      </w:r>
      <w:r>
        <w:t>ia, § 126).</w:t>
      </w:r>
    </w:p>
    <w:p w14:paraId="2DFFE7F5" w14:textId="77777777" w:rsidR="003754FE" w:rsidRDefault="003754FE" w:rsidP="003754FE">
      <w:pPr>
        <w:pStyle w:val="TextoNormal"/>
      </w:pPr>
    </w:p>
    <w:p w14:paraId="00141F8B" w14:textId="77777777" w:rsidR="003754FE" w:rsidRDefault="003754FE" w:rsidP="003754FE">
      <w:pPr>
        <w:pStyle w:val="TextoNormal"/>
      </w:pPr>
      <w:r>
        <w:t xml:space="preserve">(iii) La declaración de culpabilidad ulterior no obsta al mantenimiento del derecho a la presunción de inocencia hasta el momento en que se prueba legalmente la culpabilidad, pues el art. 6.2 CEDH rige el proceso penal en su conjunto, con independencia del resultado de la acusación (STEDH de 19 de septiembre de 2006, asunto </w:t>
      </w:r>
      <w:r w:rsidRPr="003754FE">
        <w:rPr>
          <w:i/>
        </w:rPr>
        <w:t>Matijasevic c. Serbia</w:t>
      </w:r>
      <w:r>
        <w:t>, § 49). La posterior condena de un acusado “no puede borrar el derecho inicial a la presunción de inocencia hasta que su culpabilidad haya sido legalmente establecida” (STEDH de 21 de julio de 2015, asunt</w:t>
      </w:r>
      <w:r w:rsidRPr="003754FE">
        <w:rPr>
          <w:i/>
        </w:rPr>
        <w:t>o Neagoe c. Ruman</w:t>
      </w:r>
      <w:r>
        <w:t>ía, § 49).</w:t>
      </w:r>
    </w:p>
    <w:p w14:paraId="7DABF205" w14:textId="77777777" w:rsidR="003754FE" w:rsidRDefault="003754FE" w:rsidP="003754FE">
      <w:pPr>
        <w:pStyle w:val="TextoNormal"/>
      </w:pPr>
    </w:p>
    <w:p w14:paraId="6126AD8B" w14:textId="77777777" w:rsidR="003754FE" w:rsidRDefault="003754FE" w:rsidP="003754FE">
      <w:pPr>
        <w:pStyle w:val="TextoNormal"/>
      </w:pPr>
      <w:r>
        <w:t>(iv) La prohibición de las declaraciones que materialmente, más allá de su tenor literal, sugieran la culpabilidad de quien no ha sido condenado en firme no es incompatible con la posibilidad de que las autoridades informen públicamente sobre los procesos penales en curso, que avala el art. 10 CEDH (</w:t>
      </w:r>
      <w:r w:rsidRPr="003754FE">
        <w:rPr>
          <w:i/>
        </w:rPr>
        <w:t>Neagoe c. Rumanía</w:t>
      </w:r>
      <w:r>
        <w:t>, § 45). Lo que el art. 6.2 CEDH impone es que la información se dé con toda la discreción y prudencia necesarias para respetar la presunción de inocencia (</w:t>
      </w:r>
      <w:r w:rsidRPr="003754FE">
        <w:rPr>
          <w:i/>
        </w:rPr>
        <w:t>Allenet de Ribemont c. Francia</w:t>
      </w:r>
      <w:r>
        <w:t>, § 38), sin acompañar la información con valoraciones, especulaciones o manifestaciones que sugieran la culpabilidad de quien no ha sido aún condenado</w:t>
      </w:r>
      <w:r w:rsidRPr="003754FE">
        <w:rPr>
          <w:i/>
        </w:rPr>
        <w:t xml:space="preserve"> (Neagoe c. Ruman</w:t>
      </w:r>
      <w:r>
        <w:t>ía, § 46 y 48).</w:t>
      </w:r>
    </w:p>
    <w:p w14:paraId="629C0DBC" w14:textId="77777777" w:rsidR="003754FE" w:rsidRDefault="003754FE" w:rsidP="003754FE">
      <w:pPr>
        <w:pStyle w:val="TextoNormal"/>
      </w:pPr>
    </w:p>
    <w:p w14:paraId="1159CF53" w14:textId="77777777" w:rsidR="003754FE" w:rsidRDefault="003754FE" w:rsidP="003754FE">
      <w:pPr>
        <w:pStyle w:val="TextoNormal"/>
      </w:pPr>
      <w:r>
        <w:t>En esta dirección se pronuncia también el art. 4.3 de la Directiva (UE) 2016/343 del Parlamento Europeo y del Consejo, de 9 de marzo de 2016, por la que se refuerzan en el proceso penal determinados aspectos de la presunción de inocencia y el derecho a estar presente en el juicio, al precisar que la obligación de no referirse a los sospechosos o acusados como culpables que establece el art. 4.1 “no impedirá a las autoridades públicas divulgar información sobre el proceso penal cuando sea estrictamente necesario por motivos relacionados con la investigación penal o el interés público”.</w:t>
      </w:r>
    </w:p>
    <w:p w14:paraId="0D8CE7A1" w14:textId="77777777" w:rsidR="003754FE" w:rsidRDefault="003754FE" w:rsidP="003754FE">
      <w:pPr>
        <w:pStyle w:val="TextoNormal"/>
      </w:pPr>
    </w:p>
    <w:p w14:paraId="717B6220" w14:textId="77777777" w:rsidR="003754FE" w:rsidRDefault="003754FE" w:rsidP="003754FE">
      <w:pPr>
        <w:pStyle w:val="TextoNormal"/>
      </w:pPr>
      <w:r>
        <w:t>5.2.2</w:t>
      </w:r>
      <w:r w:rsidRPr="003754FE">
        <w:rPr>
          <w:i/>
        </w:rPr>
        <w:t>. Enjuiciamiento de la que</w:t>
      </w:r>
      <w:r>
        <w:t>ja</w:t>
      </w:r>
    </w:p>
    <w:p w14:paraId="619263B2" w14:textId="77777777" w:rsidR="003754FE" w:rsidRDefault="003754FE" w:rsidP="003754FE">
      <w:pPr>
        <w:pStyle w:val="TextoNormal"/>
      </w:pPr>
    </w:p>
    <w:p w14:paraId="648B96D5" w14:textId="77777777" w:rsidR="003754FE" w:rsidRDefault="003754FE" w:rsidP="003754FE">
      <w:pPr>
        <w:pStyle w:val="TextoNormal"/>
      </w:pPr>
      <w:r>
        <w:t>a) Puntualizaciones</w:t>
      </w:r>
    </w:p>
    <w:p w14:paraId="0BA24DDA" w14:textId="77777777" w:rsidR="003754FE" w:rsidRDefault="003754FE" w:rsidP="003754FE">
      <w:pPr>
        <w:pStyle w:val="TextoNormal"/>
      </w:pPr>
    </w:p>
    <w:p w14:paraId="7F1ADFA4" w14:textId="77777777" w:rsidR="003754FE" w:rsidRDefault="003754FE" w:rsidP="003754FE">
      <w:pPr>
        <w:pStyle w:val="TextoNormal"/>
      </w:pPr>
      <w:r>
        <w:t xml:space="preserve">El examen de la queja formulada por el recurrente conforme a los parámetros reseñados requiere efectuar tres puntualizaciones atinentes a la concreta actuación cuestionada y al momento procesal en el que se dice producida la lesión como también ocurría con la queja análoga resuelta en la citada STC 94/2024, FJ 7.2.2 A), a cuyos razonamientos al respecto nos remitimos: (i) no se cuestiona la difusión pública del fallo, sino que se efectuara antes de la notificación íntegra de la sentencia, lo que se valora como una indebida declaración </w:t>
      </w:r>
      <w:r>
        <w:lastRenderedPageBreak/>
        <w:t>prematura de culpabilidad, de modo que la vulneración denunciada se circunscribe al derecho a la presunción de inocencia como regla de tratamiento; (ii) la prohibición de efectuar manifestaciones que denoten una consideración como culpable de quien aún no ha sido condenado en firme vincula al juez penal competente aun cuando se trate del tribunal penal de casación y en fases anteriores se haya dictado ya una condena; y (iii) el devenir del proceso penal implica ir adoptando decisiones fundadas tanto en la existencia de indicios de comisión de un delito como en la certeza más allá de toda duda razonable de la culpabilidad del sujeto, pronunciamientos que son compatibles con el derecho a la presunción de inocencia, pero en los que debe evitarse reflejar la opinión de que la persona es culpable cuando se asientan en la sospecha de culpabilidad y tienen, incluso si se trata de una condena no firme que afirma la culpabilidad, un componente eventual que solo la firmeza de la resolución confirma, poniendo fin a la exigencia de no tratar a la persona investigada, acusada o condenada como culpable.</w:t>
      </w:r>
    </w:p>
    <w:p w14:paraId="0C96687B" w14:textId="77777777" w:rsidR="003754FE" w:rsidRDefault="003754FE" w:rsidP="003754FE">
      <w:pPr>
        <w:pStyle w:val="TextoNormal"/>
      </w:pPr>
    </w:p>
    <w:p w14:paraId="1837251D" w14:textId="77777777" w:rsidR="003754FE" w:rsidRDefault="003754FE" w:rsidP="003754FE">
      <w:pPr>
        <w:pStyle w:val="TextoNormal"/>
      </w:pPr>
      <w:r>
        <w:t>b) Contenido del comunicado de prensa</w:t>
      </w:r>
    </w:p>
    <w:p w14:paraId="4EFC7E3C" w14:textId="77777777" w:rsidR="003754FE" w:rsidRDefault="003754FE" w:rsidP="003754FE">
      <w:pPr>
        <w:pStyle w:val="TextoNormal"/>
      </w:pPr>
    </w:p>
    <w:p w14:paraId="12BE0E76" w14:textId="77777777" w:rsidR="003754FE" w:rsidRDefault="003754FE" w:rsidP="003754FE">
      <w:pPr>
        <w:pStyle w:val="TextoNormal"/>
      </w:pPr>
      <w:r>
        <w:t>La importancia de las expresiones utilizadas en las declaraciones cuestionadas para apreciar una lesión del derecho a la presunción de inocencia obliga a que el examen del motivo parta del contenido y tenor del comunicado de prensa difundido, que a continuación se reproduce:</w:t>
      </w:r>
    </w:p>
    <w:p w14:paraId="705B83DB" w14:textId="77777777" w:rsidR="003754FE" w:rsidRDefault="003754FE" w:rsidP="003754FE">
      <w:pPr>
        <w:pStyle w:val="TextoNormal"/>
      </w:pPr>
    </w:p>
    <w:p w14:paraId="49609573" w14:textId="77777777" w:rsidR="003754FE" w:rsidRDefault="003754FE" w:rsidP="003754FE">
      <w:pPr>
        <w:pStyle w:val="TextoNormal"/>
      </w:pPr>
      <w:r>
        <w:t>“COMUNICADO DE PRENSA</w:t>
      </w:r>
    </w:p>
    <w:p w14:paraId="037343A7" w14:textId="77777777" w:rsidR="003754FE" w:rsidRDefault="003754FE" w:rsidP="003754FE">
      <w:pPr>
        <w:pStyle w:val="TextoNormal"/>
      </w:pPr>
    </w:p>
    <w:p w14:paraId="5CFA82DF" w14:textId="77777777" w:rsidR="003754FE" w:rsidRDefault="003754FE" w:rsidP="003754FE">
      <w:pPr>
        <w:pStyle w:val="TextoNormal"/>
      </w:pPr>
      <w:r>
        <w:t>CASO ERE</w:t>
      </w:r>
    </w:p>
    <w:p w14:paraId="499BC46B" w14:textId="77777777" w:rsidR="003754FE" w:rsidRDefault="003754FE" w:rsidP="003754FE">
      <w:pPr>
        <w:pStyle w:val="TextoNormal"/>
      </w:pPr>
    </w:p>
    <w:p w14:paraId="6B3959F2" w14:textId="77777777" w:rsidR="003754FE" w:rsidRDefault="003754FE" w:rsidP="003754FE">
      <w:pPr>
        <w:pStyle w:val="TextoNormal"/>
      </w:pPr>
      <w:r>
        <w:t>El tribunal de la Sala II del Tribunal Supremo compuesto por los/as Excmos/as. Sres/as. Magistrados/as don Juan Ramón Berdugo Gómez de la Torre (presidente), doña Ana Ferrer García, doña Susana Polo García, doña Carmen Lamela Díez y don Eduardo de Porres Ortiz de Urbina (ponente) ha concluido la deliberación de los recursos de casación interpuestos contra la sentencia 490/2019, de 19 de noviembre de 2019, de la Sección Primera de la Audiencia Provincial de Sevilla (caso ERE).</w:t>
      </w:r>
    </w:p>
    <w:p w14:paraId="37808007" w14:textId="77777777" w:rsidR="003754FE" w:rsidRDefault="003754FE" w:rsidP="003754FE">
      <w:pPr>
        <w:pStyle w:val="TextoNormal"/>
      </w:pPr>
    </w:p>
    <w:p w14:paraId="2349131F" w14:textId="77777777" w:rsidR="003754FE" w:rsidRDefault="003754FE" w:rsidP="003754FE">
      <w:pPr>
        <w:pStyle w:val="TextoNormal"/>
      </w:pPr>
      <w:r>
        <w:t>En atención a la relevancia pública del caso y como en otras ocasiones similares el tribunal procede a anticipar el fallo de su sentencia.</w:t>
      </w:r>
    </w:p>
    <w:p w14:paraId="58997F92" w14:textId="77777777" w:rsidR="003754FE" w:rsidRDefault="003754FE" w:rsidP="003754FE">
      <w:pPr>
        <w:pStyle w:val="TextoNormal"/>
      </w:pPr>
    </w:p>
    <w:p w14:paraId="2E9EDD24" w14:textId="77777777" w:rsidR="003754FE" w:rsidRDefault="003754FE" w:rsidP="003754FE">
      <w:pPr>
        <w:pStyle w:val="TextoNormal"/>
      </w:pPr>
      <w:r>
        <w:t>Estimando totalmente tres recursos de casación y parcialmente uno de ellos y desestimando los restantes recursos, ha acordado por mayoría de sus miembros anular la sentencia de primera instancia, dictando nueva sentencia con los siguientes pronunciamientos:</w:t>
      </w:r>
    </w:p>
    <w:p w14:paraId="6987DAF8" w14:textId="77777777" w:rsidR="003754FE" w:rsidRDefault="003754FE" w:rsidP="003754FE">
      <w:pPr>
        <w:pStyle w:val="TextoNormal"/>
      </w:pPr>
    </w:p>
    <w:p w14:paraId="2AAB987D" w14:textId="77777777" w:rsidR="003754FE" w:rsidRDefault="003754FE" w:rsidP="003754FE">
      <w:pPr>
        <w:pStyle w:val="TextoNormal"/>
      </w:pPr>
      <w:r>
        <w:t>1. Absolvemos del delito continuado de prevaricación administrativa a don Javier Aguado Hinojal, a don Juan Francisco Sánchez García y a doña Lourdes Medina Varo, declarando de oficio las costas procesales de primera instancia y las derivadas de sus recursos de casación.</w:t>
      </w:r>
    </w:p>
    <w:p w14:paraId="39A64FB4" w14:textId="77777777" w:rsidR="003754FE" w:rsidRDefault="003754FE" w:rsidP="003754FE">
      <w:pPr>
        <w:pStyle w:val="TextoNormal"/>
      </w:pPr>
    </w:p>
    <w:p w14:paraId="46B65CD1" w14:textId="77777777" w:rsidR="003754FE" w:rsidRDefault="003754FE" w:rsidP="003754FE">
      <w:pPr>
        <w:pStyle w:val="TextoNormal"/>
      </w:pPr>
      <w:r>
        <w:t xml:space="preserve">2. Condenamos a don Juan Márquez Contreras, como como autor responsable de sendos delitos continuados de malversación de caudales públicos y prevaricación administrativa, en relación de concurso ideal, apreciando la atenuante analógica y muy cualificada de reparación del daño, con la consiguiente reducción de sanciones, imponiéndole la pena de </w:t>
      </w:r>
      <w:r>
        <w:lastRenderedPageBreak/>
        <w:t>prisión de tres años, con la accesoria de inhabilitación especial para el ejercicio del derecho de sufragio pasivo durante el tiempo de la condena y a la pena de inhabilitación absoluta por tiempo de siete años y seis meses, que conlleva la privación definitiva de todos los honores, empleos y cargos públicos que tuviere el penado o cualesquiera otros honores, cargos o empleos públicos, con imposición de las 2/37 partes de las costas procesales de primera instancia y declarando de oficio las causadas con su recurso de casación.</w:t>
      </w:r>
    </w:p>
    <w:p w14:paraId="55A9153E" w14:textId="77777777" w:rsidR="003754FE" w:rsidRDefault="003754FE" w:rsidP="003754FE">
      <w:pPr>
        <w:pStyle w:val="TextoNormal"/>
      </w:pPr>
    </w:p>
    <w:p w14:paraId="7DD725E9" w14:textId="77777777" w:rsidR="003754FE" w:rsidRDefault="003754FE" w:rsidP="003754FE">
      <w:pPr>
        <w:pStyle w:val="TextoNormal"/>
      </w:pPr>
      <w:r>
        <w:t>3. Se mantienen los restantes pronunciamientos de la sentencia impugnada.</w:t>
      </w:r>
    </w:p>
    <w:p w14:paraId="5513223C" w14:textId="77777777" w:rsidR="003754FE" w:rsidRDefault="003754FE" w:rsidP="003754FE">
      <w:pPr>
        <w:pStyle w:val="TextoNormal"/>
      </w:pPr>
    </w:p>
    <w:p w14:paraId="2CA84DB8" w14:textId="77777777" w:rsidR="003754FE" w:rsidRDefault="003754FE" w:rsidP="003754FE">
      <w:pPr>
        <w:pStyle w:val="TextoNormal"/>
      </w:pPr>
      <w:r>
        <w:t>El texto íntegro de la sentencia será publicado una vez se redacte el voto discrepante anunciado por las excelentísimas señoras magistradas doña Ana Ferrer García y doña Susana Polo García.</w:t>
      </w:r>
    </w:p>
    <w:p w14:paraId="3801F41E" w14:textId="77777777" w:rsidR="003754FE" w:rsidRDefault="003754FE" w:rsidP="003754FE">
      <w:pPr>
        <w:pStyle w:val="TextoNormal"/>
      </w:pPr>
    </w:p>
    <w:p w14:paraId="6EF9B482" w14:textId="77777777" w:rsidR="003754FE" w:rsidRDefault="003754FE" w:rsidP="003754FE">
      <w:pPr>
        <w:pStyle w:val="TextoNormal"/>
      </w:pPr>
      <w:r>
        <w:t>En dicho voto se considera que también deberían haber sido estimados parcialmente los recursos interpuestos por don Miguel Ángel Serrano Aguilar, don Jesús María Rodríguez Román, don Francisco Vallejo Serrano, doña Carmen Martínez Aguayo y don José Antonio Griñán Martínez y que, anulada la sentencia de instancia, estos recurrentes deberían haber sido absueltos del delito continuado de malversación de caudales públicos.</w:t>
      </w:r>
    </w:p>
    <w:p w14:paraId="0BF100D2" w14:textId="77777777" w:rsidR="003754FE" w:rsidRDefault="003754FE" w:rsidP="003754FE">
      <w:pPr>
        <w:pStyle w:val="TextoNormal"/>
      </w:pPr>
    </w:p>
    <w:p w14:paraId="56944714" w14:textId="77777777" w:rsidR="003754FE" w:rsidRDefault="003754FE" w:rsidP="003754FE">
      <w:pPr>
        <w:pStyle w:val="TextoNormal"/>
      </w:pPr>
      <w:r>
        <w:t>En Madrid, a veintiséis de julio de dos mil veintidós”.</w:t>
      </w:r>
    </w:p>
    <w:p w14:paraId="39CD8438" w14:textId="77777777" w:rsidR="003754FE" w:rsidRDefault="003754FE" w:rsidP="003754FE">
      <w:pPr>
        <w:pStyle w:val="TextoNormal"/>
      </w:pPr>
    </w:p>
    <w:p w14:paraId="2E4F2F19" w14:textId="77777777" w:rsidR="003754FE" w:rsidRDefault="003754FE" w:rsidP="003754FE">
      <w:pPr>
        <w:pStyle w:val="TextoNormal"/>
      </w:pPr>
      <w:r>
        <w:t>c) Desestimación de la queja</w:t>
      </w:r>
    </w:p>
    <w:p w14:paraId="46CC2F41" w14:textId="77777777" w:rsidR="003754FE" w:rsidRDefault="003754FE" w:rsidP="003754FE">
      <w:pPr>
        <w:pStyle w:val="TextoNormal"/>
      </w:pPr>
    </w:p>
    <w:p w14:paraId="69E40C40" w14:textId="77777777" w:rsidR="003754FE" w:rsidRDefault="003754FE" w:rsidP="003754FE">
      <w:pPr>
        <w:pStyle w:val="TextoNormal"/>
      </w:pPr>
      <w:r>
        <w:t>La lectura de la nota reseñada desde la óptica de las exigencias del derecho a la presunción de inocencia como regla de tratamiento conduce a rechazar la existencia de la vulneración denunciada, ya que no existe una manifestación sobre la culpabilidad del demandante que suponga tratarlo como autor de los delitos de prevaricación y malversación sin respaldo en una condena conforme a la ley.</w:t>
      </w:r>
    </w:p>
    <w:p w14:paraId="4064894C" w14:textId="77777777" w:rsidR="003754FE" w:rsidRDefault="003754FE" w:rsidP="003754FE">
      <w:pPr>
        <w:pStyle w:val="TextoNormal"/>
      </w:pPr>
    </w:p>
    <w:p w14:paraId="48A2307E" w14:textId="77777777" w:rsidR="003754FE" w:rsidRDefault="003754FE" w:rsidP="003754FE">
      <w:pPr>
        <w:pStyle w:val="TextoNormal"/>
      </w:pPr>
      <w:r>
        <w:t>Esa conclusión se asienta, en esencia, en las mismas razones expuestas en la STC 94/2024, FJ 7.2.2 C), a cuyo desarrollo hay que remitirse, sin perjuicio de reiterar frente al planteamiento del demandante que la declaración cuestionada constituye una información ofrecida por el órgano competente para resolver el recurso de quien de forma notoria fue condenado en primera instancia en una causa mediática, como se reconoce en la demanda, que da a conocer el resultado desfavorable al respecto una vez se ha deliberado y resuelto, que tiene, a su vez, el efecto de confirmar la condena, ya que con el pronunciamiento se agotan los recursos disponibles para el condenado. En tales circunstancias no puede afirmarse que se trata como culpable a quien no ha sido condenado en firme, pues justamente lo que se anuncia decidido de forma definitiva por el único órgano judicial que así puede hacerlo es la desestimación del recurso de casación que implica la firmeza de la sentencia condenatoria.</w:t>
      </w:r>
    </w:p>
    <w:p w14:paraId="425CDEE0" w14:textId="77777777" w:rsidR="003754FE" w:rsidRDefault="003754FE" w:rsidP="003754FE">
      <w:pPr>
        <w:pStyle w:val="TextoNormal"/>
      </w:pPr>
    </w:p>
    <w:p w14:paraId="44C2CF64" w14:textId="77777777" w:rsidR="003754FE" w:rsidRDefault="003754FE" w:rsidP="003754FE">
      <w:pPr>
        <w:pStyle w:val="TextoNormal"/>
      </w:pPr>
      <w:r>
        <w:t xml:space="preserve">La ausencia de una previsión legal expresa que contemple la actuación cuestionada no determina la existencia de una lesión de la regla de tratamiento que impone el art. 24.2 CE. La finalidad de la llamada dimensión extraprocesal del derecho a la presunción de inocencia es proteger frente a atribuciones de culpabilidad no fundadas en una condena dictada en un proceso público con todas las garantías, no garantizar la práctica procesal de notificación de la sentencia íntegra que indica la normativa (art. 260.2 LOPJ) sin anticipar el fallo ni emitir </w:t>
      </w:r>
      <w:r>
        <w:lastRenderedPageBreak/>
        <w:t>un comunicado al respecto, por más que sea lo habitual. Debe, en consecuencia, desestimarse la queja.</w:t>
      </w:r>
    </w:p>
    <w:p w14:paraId="5437A543" w14:textId="77777777" w:rsidR="003754FE" w:rsidRDefault="003754FE" w:rsidP="003754FE">
      <w:pPr>
        <w:pStyle w:val="TextoNormal"/>
      </w:pPr>
    </w:p>
    <w:p w14:paraId="7772716F" w14:textId="77777777" w:rsidR="003754FE" w:rsidRDefault="003754FE" w:rsidP="003754FE">
      <w:pPr>
        <w:pStyle w:val="TextoNormal"/>
      </w:pPr>
      <w:r>
        <w:t xml:space="preserve">5.3. </w:t>
      </w:r>
      <w:r w:rsidRPr="003754FE">
        <w:rPr>
          <w:i/>
        </w:rPr>
        <w:t>Vulneración del derecho a un proceso con todas las garantías y del derecho a la tutela judicial efectiva (art. 24 CE</w:t>
      </w:r>
      <w:r>
        <w:t>)</w:t>
      </w:r>
    </w:p>
    <w:p w14:paraId="6E7B13C2" w14:textId="77777777" w:rsidR="003754FE" w:rsidRDefault="003754FE" w:rsidP="003754FE">
      <w:pPr>
        <w:pStyle w:val="TextoNormal"/>
      </w:pPr>
    </w:p>
    <w:p w14:paraId="451FD07B" w14:textId="77777777" w:rsidR="003754FE" w:rsidRDefault="003754FE" w:rsidP="003754FE">
      <w:pPr>
        <w:pStyle w:val="TextoNormal"/>
      </w:pPr>
      <w:r>
        <w:t>La referida ausencia de cobertura normativa, no obstante, se esgrime también en la demanda desde la perspectiva de la lesión del derecho a un proceso con todas las garantías y el derecho a la tutela judicial efectiva, que la demanda atribuye a la difusión pública del comunicado que anticipa el fallo en tanto que carente de base legal y generadora de indefensión.</w:t>
      </w:r>
    </w:p>
    <w:p w14:paraId="0EFD043B" w14:textId="77777777" w:rsidR="003754FE" w:rsidRDefault="003754FE" w:rsidP="003754FE">
      <w:pPr>
        <w:pStyle w:val="TextoNormal"/>
      </w:pPr>
    </w:p>
    <w:p w14:paraId="32C46F2D" w14:textId="77777777" w:rsidR="003754FE" w:rsidRDefault="003754FE" w:rsidP="003754FE">
      <w:pPr>
        <w:pStyle w:val="TextoNormal"/>
      </w:pPr>
      <w:r>
        <w:t>5.3.1</w:t>
      </w:r>
      <w:r w:rsidRPr="003754FE">
        <w:rPr>
          <w:i/>
        </w:rPr>
        <w:t>. Doctrina sobre el derecho a no padecer indefensi</w:t>
      </w:r>
      <w:r>
        <w:t>ón</w:t>
      </w:r>
    </w:p>
    <w:p w14:paraId="0D749C2A" w14:textId="77777777" w:rsidR="003754FE" w:rsidRDefault="003754FE" w:rsidP="003754FE">
      <w:pPr>
        <w:pStyle w:val="TextoNormal"/>
      </w:pPr>
    </w:p>
    <w:p w14:paraId="771A2396" w14:textId="77777777" w:rsidR="003754FE" w:rsidRDefault="003754FE" w:rsidP="003754FE">
      <w:pPr>
        <w:pStyle w:val="TextoNormal"/>
      </w:pPr>
      <w:r>
        <w:t>En relación con la queja de que se ha producido una irregularidad procesal causante de indefensión, debe tenerse presente que el derecho a la tutela judicial efectiva (art. 24.1 CE) comprende, entre sus múltiples vertientes, el derecho a no sufrir indefensión, que en nuestra jurisprudencia se entiende como un derecho a la defensa contradictoria, se vincula con las garantías del proceso debido reconocidas en el art. 24.2 CE y requiere indefensión material. Así se ha puesto de relieve, entre muchas, en las SSTC 266/2015, de 14 de diciembre, FJ 4; 91/2021, de 22 de abril, FJ 4.4; 121/2021, de 2 de junio, FJ 5.4; 47/2022, de 24 de marzo, FJ 6.3 A), o 131/2023, de 23 de octubre, FJ 2, todas ellas atinentes a procesos penales. La STC 94/2024, FJ 7.3.1, ha destacado como extremos relevantes de esta doctrina: (i) que el art. 24 CE garantiza el libre acceso de las partes al proceso en defensa de derechos e intereses legítimos, que, entre otras exigencias, precisa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(STC 186/1990, de 15 de noviembre, FJ 5); y (ii) que la relevancia constitucional de la indefensión prohibida por el art. 24 CE exige indefensión material, de modo que “[n]o basta, pues, la existencia de un defecto procesal si no conlleva la privación o limitación, menoscabo o negación, del derecho a la defensa en un proceso público con todas las garantías ‘en relación con algún interés’ de quien lo invoca” (STC 181/1994, de 20 de junio, FJ 2).</w:t>
      </w:r>
    </w:p>
    <w:p w14:paraId="249ACCD5" w14:textId="77777777" w:rsidR="003754FE" w:rsidRDefault="003754FE" w:rsidP="003754FE">
      <w:pPr>
        <w:pStyle w:val="TextoNormal"/>
      </w:pPr>
    </w:p>
    <w:p w14:paraId="58A61F8F" w14:textId="77777777" w:rsidR="003754FE" w:rsidRDefault="003754FE" w:rsidP="003754FE">
      <w:pPr>
        <w:pStyle w:val="TextoNormal"/>
      </w:pPr>
      <w:r>
        <w:t>5.3.2</w:t>
      </w:r>
      <w:r w:rsidRPr="003754FE">
        <w:rPr>
          <w:i/>
        </w:rPr>
        <w:t>. Enjuiciamiento de la que</w:t>
      </w:r>
      <w:r>
        <w:t>ja</w:t>
      </w:r>
    </w:p>
    <w:p w14:paraId="6FD2FE06" w14:textId="77777777" w:rsidR="003754FE" w:rsidRDefault="003754FE" w:rsidP="003754FE">
      <w:pPr>
        <w:pStyle w:val="TextoNormal"/>
      </w:pPr>
    </w:p>
    <w:p w14:paraId="0795238E" w14:textId="77777777" w:rsidR="003754FE" w:rsidRDefault="003754FE" w:rsidP="003754FE">
      <w:pPr>
        <w:pStyle w:val="TextoNormal"/>
      </w:pPr>
      <w:r>
        <w:t>Es cierto que no existe ningún precepto que autorice expresamente la publicación anticipada del fallo de una sentencia de casación. Sin embargo, que esa previsión no exista (y pueda hablarse incluso de irregularidad procesal) no significa que los derechos a la tutela judicial efectiva y a un proceso con todas las garantías se hayan lesionado.</w:t>
      </w:r>
    </w:p>
    <w:p w14:paraId="2F5C2D2E" w14:textId="77777777" w:rsidR="003754FE" w:rsidRDefault="003754FE" w:rsidP="003754FE">
      <w:pPr>
        <w:pStyle w:val="TextoNormal"/>
      </w:pPr>
    </w:p>
    <w:p w14:paraId="5DB89DA3" w14:textId="77777777" w:rsidR="003754FE" w:rsidRDefault="003754FE" w:rsidP="003754FE">
      <w:pPr>
        <w:pStyle w:val="TextoNormal"/>
      </w:pPr>
      <w:r>
        <w:t xml:space="preserve">En primer lugar, porque no existe una infracción de la normativa procesal en sentido estricto, ni de los preceptos invocados por el recurrente —arts. 160 y 789 LECrim y arts. 248, 266 y 270 LOPJ—, que en ningún caso contemplan una prohibición, ni explícita ni implícita, de anticipar el fallo, sino normas sobre la estructura, contenido, notificación y acceso a las sentencias; ni del art. 260.2 LOPJ. El Tribunal Supremo notifica en septiembre la sentencia íntegra, que se data en su encabezamiento el 13 de septiembre de 2022. Con </w:t>
      </w:r>
      <w:r>
        <w:lastRenderedPageBreak/>
        <w:t>ello respeta tanto esa última previsión de integración del voto en la sentencia (art. 260.2 LOPJ) como las anteriores citadas en la demanda, relativas a la notificación de las sentencias el día que se firmen o el día siguiente (art. 160 LECrim), a la disposición específica sobre la sentencia en el procedimiento abreviado (art. 768 LECrim), a la estructura (encabezamiento, antecedentes, hechos probados, fundamentos jurídicos y fallo) con que deben formularse las sentencias (art. 248 LOPJ), al depósito y acceso a las mismas (art. 266 LOPJ) y al deber de notificar las resoluciones judiciales a todos los que sean parte en el pleito, puedan verse perjudicados o dispongan las propias resoluciones de conformidad con la ley (art. 270 LOPJ).</w:t>
      </w:r>
    </w:p>
    <w:p w14:paraId="075E7F79" w14:textId="77777777" w:rsidR="003754FE" w:rsidRDefault="003754FE" w:rsidP="003754FE">
      <w:pPr>
        <w:pStyle w:val="TextoNormal"/>
      </w:pPr>
    </w:p>
    <w:p w14:paraId="492A9A34" w14:textId="77777777" w:rsidR="003754FE" w:rsidRDefault="003754FE" w:rsidP="003754FE">
      <w:pPr>
        <w:pStyle w:val="TextoNormal"/>
      </w:pPr>
      <w:r>
        <w:t>Debe, además, tenerse presente, frente a lo aducido por el demandante sobre la imposibilidad de entender finalizada la deliberación hasta que conste la redacción del voto particular, que el art. 260.1 LOPJ dispone que “[t]odo el que tome parte en la votación de una sentencia o auto definitivo firmará lo acordado, aunque hubiere disentido de la mayoría; pero podrá, en este caso, anunciándolo en el momento de la votación o en el de la firma, formular voto particular”. Su lectura pone de manifiesto que es justamente finalizada la deliberación, al tiempo de la votación o la firma, cuando se anuncia la formulación del voto que, por lógica, se redactará después de haberse resuelto. Decae en tal medida la premisa de la queja de pérdida de imparcialidad planteada en la demanda, asentada en el reproche de un cierre prematuro de la deliberación por parte del órgano judicial al publicar el fallo sin constar el texto del voto particular.</w:t>
      </w:r>
    </w:p>
    <w:p w14:paraId="4E3C5492" w14:textId="77777777" w:rsidR="003754FE" w:rsidRDefault="003754FE" w:rsidP="003754FE">
      <w:pPr>
        <w:pStyle w:val="TextoNormal"/>
      </w:pPr>
    </w:p>
    <w:p w14:paraId="66FB6DD7" w14:textId="77777777" w:rsidR="003754FE" w:rsidRDefault="003754FE" w:rsidP="003754FE">
      <w:pPr>
        <w:pStyle w:val="TextoNormal"/>
      </w:pPr>
      <w:r>
        <w:t>En segundo lugar y de forma determinante, porque no se concreta la indefensión que el recurrente ha sufrido, que parece identificar genéricamente y sin ulterior argumento con la imposibilidad de reaccionar dada la inmediata difusión masiva, cabe entender que de cara a la opinión pública. En ningún caso aduce, ni este tribunal aprecia, que se haya causado indefensión al recurrente en el proceso, donde, como se ha dicho, le fue notificada la sentencia del Tribunal Supremo conforme a la ley, iniciándose entonces el plazo para agotar las posibilidades de cuestionamiento de la decisión de condena; señaladamente, para formular el incidente de nulidad de actuaciones, que efectivamente planteó y fue resuelto por la Sala de lo Penal. De ninguna manera la actuación judicial cuestionada ha situado al interesado al margen de toda posibilidad de alegar y defender en el proceso sus derechos, por lo que no se aprecia un efecto material de indefensión, con real menoscabo de su derecho de defensa y con el consiguiente perjuicio real y efectivo para sus intereses.</w:t>
      </w:r>
    </w:p>
    <w:p w14:paraId="793434DE" w14:textId="77777777" w:rsidR="003754FE" w:rsidRDefault="003754FE" w:rsidP="003754FE">
      <w:pPr>
        <w:pStyle w:val="TextoNormal"/>
      </w:pPr>
    </w:p>
    <w:p w14:paraId="4AB3C474" w14:textId="62DD1E95" w:rsidR="003754FE" w:rsidRDefault="003754FE" w:rsidP="003754FE">
      <w:pPr>
        <w:pStyle w:val="TextoNormal"/>
      </w:pPr>
      <w:r>
        <w:t>La ausencia de una infracción formal y de indefensión con relevancia constitucional conduce a desestimar la vulneración del art. 24 CE alegada y, con ello, del último motivo de la demanda de amparo.</w:t>
      </w:r>
    </w:p>
    <w:p w14:paraId="759FA6C1" w14:textId="77777777" w:rsidR="003754FE" w:rsidRDefault="003754FE" w:rsidP="003754FE">
      <w:pPr>
        <w:pStyle w:val="TextoNormal"/>
      </w:pPr>
    </w:p>
    <w:p w14:paraId="16D74015" w14:textId="77777777" w:rsidR="003754FE" w:rsidRDefault="003754FE" w:rsidP="003754FE">
      <w:pPr>
        <w:pStyle w:val="TextoNormalCentrado"/>
        <w:keepNext/>
      </w:pPr>
      <w:r>
        <w:t>FALLO</w:t>
      </w:r>
    </w:p>
    <w:p w14:paraId="4517BD9A" w14:textId="3AD19F40" w:rsidR="003754FE" w:rsidRDefault="003754FE" w:rsidP="003754FE">
      <w:pPr>
        <w:pStyle w:val="TextoNormalCentrado"/>
        <w:keepNext/>
      </w:pPr>
    </w:p>
    <w:p w14:paraId="36E1B184" w14:textId="0B63E368" w:rsidR="003754FE" w:rsidRDefault="003754FE" w:rsidP="003754FE">
      <w:pPr>
        <w:pStyle w:val="TextoNormal"/>
      </w:pPr>
      <w:r>
        <w:t>En atención a todo lo expuesto, el Tribunal Constitucional, por la autoridad que le confiere la Constitución de la Nación española, ha decidido desestimar el presente recurso de amparo.</w:t>
      </w:r>
    </w:p>
    <w:p w14:paraId="353D09E1" w14:textId="77777777" w:rsidR="003754FE" w:rsidRDefault="003754FE" w:rsidP="003754FE">
      <w:pPr>
        <w:pStyle w:val="TextoNormal"/>
      </w:pPr>
    </w:p>
    <w:p w14:paraId="39BF49AC" w14:textId="77777777" w:rsidR="003754FE" w:rsidRDefault="003754FE" w:rsidP="003754FE">
      <w:pPr>
        <w:pStyle w:val="TextoNormal"/>
      </w:pPr>
      <w:r>
        <w:t>Publíquese esta sentencia en el “Boletín Oficial del Estado”.</w:t>
      </w:r>
    </w:p>
    <w:p w14:paraId="38812F26" w14:textId="77777777" w:rsidR="003754FE" w:rsidRDefault="003754FE" w:rsidP="003754FE">
      <w:pPr>
        <w:pStyle w:val="TextoNormal"/>
      </w:pPr>
      <w:r>
        <w:t>Dada en Madrid, a dieciséis de julio de dos mil veinticuatro.</w:t>
      </w:r>
    </w:p>
    <w:p w14:paraId="7CDC11AF" w14:textId="219F588B" w:rsidR="003754FE" w:rsidRDefault="003754FE">
      <w:pPr>
        <w:spacing w:after="160" w:line="278" w:lineRule="auto"/>
        <w:rPr>
          <w:rFonts w:ascii="Times New Roman" w:eastAsia="Times New Roman" w:hAnsi="Times New Roman" w:cs="Times New Roman"/>
          <w:sz w:val="24"/>
          <w:szCs w:val="24"/>
          <w:lang w:eastAsia="es-ES"/>
        </w:rPr>
      </w:pPr>
      <w:r>
        <w:lastRenderedPageBreak/>
        <w:br w:type="page"/>
      </w:r>
    </w:p>
    <w:p w14:paraId="0C3D98DB" w14:textId="77777777" w:rsidR="003754FE" w:rsidRDefault="003754FE" w:rsidP="003754FE">
      <w:pPr>
        <w:pStyle w:val="TtuloResolucin"/>
      </w:pPr>
      <w:bookmarkStart w:id="11" w:name="SENTENCIA_2024_102"/>
      <w:r>
        <w:lastRenderedPageBreak/>
        <w:t>SENTENCIA 102/2024, de 17 de julio de 2024</w:t>
      </w:r>
    </w:p>
    <w:bookmarkEnd w:id="11"/>
    <w:p w14:paraId="54AD6D7E" w14:textId="77777777" w:rsidR="003754FE" w:rsidRDefault="003754FE" w:rsidP="003754FE">
      <w:pPr>
        <w:pStyle w:val="TtuloResolucin"/>
      </w:pPr>
      <w:r>
        <w:t>Pleno</w:t>
      </w:r>
    </w:p>
    <w:p w14:paraId="34D881D7" w14:textId="77777777" w:rsidR="003754FE" w:rsidRDefault="003754FE" w:rsidP="003754FE">
      <w:pPr>
        <w:pStyle w:val="TtuloBOE"/>
      </w:pPr>
      <w:r>
        <w:t>(BOE núm. 208, de 28 de agosto de 2024)</w:t>
      </w:r>
    </w:p>
    <w:p w14:paraId="367A892A" w14:textId="77777777" w:rsidR="003754FE" w:rsidRDefault="003754FE" w:rsidP="003754FE">
      <w:pPr>
        <w:pStyle w:val="TextoNormalCentrado"/>
      </w:pPr>
      <w:r>
        <w:t>ECLI:ES:TC:2024:102</w:t>
      </w:r>
    </w:p>
    <w:p w14:paraId="3BEF5283" w14:textId="673D51DD" w:rsidR="003754FE" w:rsidRDefault="003754FE" w:rsidP="003754FE">
      <w:pPr>
        <w:pStyle w:val="TextoNormalCentrado"/>
      </w:pPr>
    </w:p>
    <w:p w14:paraId="3B8DF2AB" w14:textId="77777777" w:rsidR="003754FE" w:rsidRDefault="003754FE" w:rsidP="003754FE">
      <w:pPr>
        <w:pStyle w:val="SntesisDescriptiva"/>
      </w:pPr>
      <w:r>
        <w:t>Recurso de amparo 2411-2023. Promovido por don Gaspar Zarrías Arévalo respecto de las sentencias dictadas por la Sala de lo Penal del Tribunal Supremo y la Audiencia Provincial de Sevilla que le condenaron por un delito continuado de prevaricación.</w:t>
      </w:r>
    </w:p>
    <w:p w14:paraId="01256650" w14:textId="12D2C9A1" w:rsidR="003754FE" w:rsidRDefault="003754FE" w:rsidP="003754FE">
      <w:pPr>
        <w:pStyle w:val="SntesisDescriptiva"/>
      </w:pPr>
    </w:p>
    <w:p w14:paraId="1EB7E72C" w14:textId="77777777" w:rsidR="003754FE" w:rsidRDefault="003754FE" w:rsidP="003754FE">
      <w:pPr>
        <w:pStyle w:val="SntesisAnaltica"/>
      </w:pPr>
      <w:r>
        <w:t>Vulneración del derecho a la legalidad penal: condena basada en una interpretación del todo imprevisible del tipo objetivo. Votos particulares.</w:t>
      </w:r>
    </w:p>
    <w:p w14:paraId="66B3ACFC" w14:textId="160025D4" w:rsidR="003754FE" w:rsidRDefault="003754FE" w:rsidP="003754FE">
      <w:pPr>
        <w:pStyle w:val="SntesisAnaltica"/>
      </w:pPr>
    </w:p>
    <w:p w14:paraId="24B18C21" w14:textId="6871F0C3" w:rsidR="003754FE" w:rsidRDefault="003754FE" w:rsidP="003754FE">
      <w:pPr>
        <w:pStyle w:val="Extracto"/>
      </w:pPr>
      <w:r>
        <w:t>1.</w:t>
      </w:r>
      <w:r>
        <w:tab/>
        <w:t xml:space="preserve">En el marco de la serie de sentencias dictadas en relación con el denominado proceso “ERE”, -que en este caso derivó en condena por delito continuado de prevaricación administrativa del art. 404 CP -, se reitera doctrina en materia de la vulneración del derecho a la legalidad penal </w:t>
      </w:r>
      <w:r w:rsidRPr="003754FE">
        <w:rPr>
          <w:i/>
        </w:rPr>
        <w:t>ex</w:t>
      </w:r>
      <w:r>
        <w:t xml:space="preserve"> art. 25.1 CE (STC 93/2024) [FJ 3].</w:t>
      </w:r>
    </w:p>
    <w:p w14:paraId="684518EF" w14:textId="77777777" w:rsidR="003754FE" w:rsidRDefault="003754FE" w:rsidP="003754FE">
      <w:pPr>
        <w:pStyle w:val="Extracto"/>
      </w:pPr>
    </w:p>
    <w:p w14:paraId="7E4CE253" w14:textId="77777777" w:rsidR="003754FE" w:rsidRDefault="003754FE" w:rsidP="003754FE">
      <w:pPr>
        <w:pStyle w:val="Extracto"/>
      </w:pPr>
    </w:p>
    <w:p w14:paraId="6DE11EC1"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41CB7DDD" w14:textId="7266D408" w:rsidR="003754FE" w:rsidRDefault="003754FE" w:rsidP="003754FE">
      <w:pPr>
        <w:pStyle w:val="TextoNormal"/>
      </w:pPr>
    </w:p>
    <w:p w14:paraId="2E85E52B" w14:textId="77777777" w:rsidR="003754FE" w:rsidRDefault="003754FE" w:rsidP="003754FE">
      <w:pPr>
        <w:pStyle w:val="TextoNormalCentrado"/>
        <w:keepNext/>
      </w:pPr>
      <w:r>
        <w:t>EN NOMBRE DEL REY</w:t>
      </w:r>
    </w:p>
    <w:p w14:paraId="0E8F0FCE" w14:textId="215E022B" w:rsidR="003754FE" w:rsidRDefault="003754FE" w:rsidP="003754FE">
      <w:pPr>
        <w:pStyle w:val="TextoNormalCentrado"/>
        <w:keepNext/>
      </w:pPr>
    </w:p>
    <w:p w14:paraId="0794ADA6" w14:textId="77777777" w:rsidR="003754FE" w:rsidRDefault="003754FE" w:rsidP="003754FE">
      <w:pPr>
        <w:pStyle w:val="TextoNormalCentrado"/>
        <w:keepNext/>
      </w:pPr>
    </w:p>
    <w:p w14:paraId="708EE0C5" w14:textId="77777777" w:rsidR="003754FE" w:rsidRDefault="003754FE" w:rsidP="003754FE">
      <w:pPr>
        <w:pStyle w:val="TextoNormal"/>
      </w:pPr>
      <w:r>
        <w:t>la siguiente</w:t>
      </w:r>
    </w:p>
    <w:p w14:paraId="41B7EE33" w14:textId="4839E83A" w:rsidR="003754FE" w:rsidRDefault="003754FE" w:rsidP="003754FE">
      <w:pPr>
        <w:pStyle w:val="TextoNormal"/>
      </w:pPr>
    </w:p>
    <w:p w14:paraId="6CCFA4F1" w14:textId="77777777" w:rsidR="003754FE" w:rsidRDefault="003754FE" w:rsidP="003754FE">
      <w:pPr>
        <w:pStyle w:val="TextoNormalCentrado"/>
        <w:keepNext/>
      </w:pPr>
      <w:r>
        <w:t>SENTENCIA</w:t>
      </w:r>
    </w:p>
    <w:p w14:paraId="5DEC4B13" w14:textId="4D08FC9B" w:rsidR="003754FE" w:rsidRDefault="003754FE" w:rsidP="003754FE">
      <w:pPr>
        <w:pStyle w:val="TextoNormalCentrado"/>
        <w:keepNext/>
      </w:pPr>
    </w:p>
    <w:p w14:paraId="0E4D693D" w14:textId="77777777" w:rsidR="003754FE" w:rsidRDefault="003754FE" w:rsidP="003754FE">
      <w:pPr>
        <w:pStyle w:val="TextoNormal"/>
      </w:pPr>
      <w:r>
        <w:t xml:space="preserve">En el recurso de amparo núm. 2411-2023, promovido por don Gaspar Zarrías Arévalo, representado por la procuradora de los tribunales doña Virginia Aragón Segura, bajo la dirección letrada de don Gonzalo Martínez-Fresneda Ortiz de Solórzano, contra: (i) la sentencia núm. 490/2019, de 19 de noviembre, dictada por la Sección Primera de la Audiencia Provincial de Sevilla en el rollo núm. 1965-2017, dimanante del procedimiento abreviado núm. 133-2016; (ii) la sentencia núm. 749/2022, de 13 de septiembre, de la Sala de lo Penal del Tribunal Supremo, dictada en el recurso de casación núm. 601-2020, y (iii) los autos de 14 de diciembre de 2022 y 16 de febrero de 2023 dictados en el mismo recurso. Han sido parte el Partido Popular, representado por el procurador de los tribunales don Manuel Sánchez-Puelles y González-Carvajal, bajo la dirección técnica de los letrados don Ángel Márquez Prieto y don Alfonso Martínez Escribano; don José Antonio Griñán Martínez y don Antonio Vicente Lozano Peña, representados por el procurador de los tribunales don Roberto Granizo Palomeque, bajo la dirección técnica del letrado don José María Calero Martínez; doña Carmen Martínez Aguayo, representada por la procuradora de los tribunales doña Olga Coca Alonso, bajo la dirección técnica del letrado de don Víctor Moreno Catena; </w:t>
      </w:r>
      <w:r>
        <w:lastRenderedPageBreak/>
        <w:t>don Jesús María Rodríguez Román, representado por la procuradora de los tribunales doña Patricia Rosch Iglesias, bajo la dirección técnica del letrado don Luis Aparicio Díaz; y don Francisco Vallejo Serrano, representado por la procuradora de los tribunales doña Patricia Rosch Iglesias, bajo la dirección técnica de la letrada doña Encarnación Molino Barrero. Ha intervenido el Ministerio Fiscal. Ha sido ponente la magistrada doña Inmaculada Montalbán Huertas.</w:t>
      </w:r>
    </w:p>
    <w:p w14:paraId="2BCAE2FE" w14:textId="3E423DE6" w:rsidR="003754FE" w:rsidRDefault="003754FE" w:rsidP="003754FE">
      <w:pPr>
        <w:pStyle w:val="TextoNormal"/>
      </w:pPr>
    </w:p>
    <w:p w14:paraId="7DBF28BD" w14:textId="77777777" w:rsidR="003754FE" w:rsidRDefault="003754FE" w:rsidP="003754FE">
      <w:pPr>
        <w:pStyle w:val="TextoNormalNegritaCentrado"/>
        <w:keepNext/>
      </w:pPr>
      <w:r>
        <w:t>I. Antecedentes</w:t>
      </w:r>
    </w:p>
    <w:p w14:paraId="031336A9" w14:textId="132496F0" w:rsidR="003754FE" w:rsidRDefault="003754FE" w:rsidP="003754FE">
      <w:pPr>
        <w:pStyle w:val="TextoNormalNegritaCentrado"/>
        <w:keepNext/>
      </w:pPr>
    </w:p>
    <w:p w14:paraId="64B2C0E2" w14:textId="37D2CC05" w:rsidR="003754FE" w:rsidRDefault="003754FE" w:rsidP="003754FE">
      <w:pPr>
        <w:pStyle w:val="TextoNormal"/>
      </w:pPr>
      <w:r w:rsidRPr="003754FE">
        <w:rPr>
          <w:rStyle w:val="NumeroAFNegritaCaracter"/>
        </w:rPr>
        <w:t>1</w:t>
      </w:r>
      <w:r>
        <w:t>. El 11 de abril de 2023 tuvo entrada en el registro general de este tribunal un escrito presentado por la procuradora doña Virginia Aragón Segura, actuando en nombre y representación de don Gaspar Zarrías Arévalo bajo la dirección letrada del abogado don Gonzalo Martínez-Fresneda Ortiz de Solórzano, mediante el que interpuso recurso de amparo contra las resoluciones judiciales que se mencionan en el encabezamiento.</w:t>
      </w:r>
    </w:p>
    <w:p w14:paraId="18FF8CD7" w14:textId="77777777" w:rsidR="003754FE" w:rsidRDefault="003754FE" w:rsidP="003754FE">
      <w:pPr>
        <w:pStyle w:val="TextoNormal"/>
      </w:pPr>
    </w:p>
    <w:p w14:paraId="7FE74B2F" w14:textId="77777777" w:rsidR="003754FE" w:rsidRDefault="003754FE" w:rsidP="003754FE">
      <w:pPr>
        <w:pStyle w:val="TextoNormal"/>
      </w:pPr>
      <w:r w:rsidRPr="003754FE">
        <w:rPr>
          <w:rStyle w:val="NumeroAFNegritaCaracter"/>
        </w:rPr>
        <w:t>2</w:t>
      </w:r>
      <w:r>
        <w:t>. El recurso tiene su origen en los siguientes antecedentes:</w:t>
      </w:r>
    </w:p>
    <w:p w14:paraId="0FCC2E07" w14:textId="77777777" w:rsidR="003754FE" w:rsidRDefault="003754FE" w:rsidP="003754FE">
      <w:pPr>
        <w:pStyle w:val="TextoNormal"/>
      </w:pPr>
    </w:p>
    <w:p w14:paraId="5F23F0E7" w14:textId="77777777" w:rsidR="003754FE" w:rsidRDefault="003754FE" w:rsidP="003754FE">
      <w:pPr>
        <w:pStyle w:val="TextoNormal"/>
      </w:pPr>
      <w:r>
        <w:t>a) Las resoluciones impugnadas en el presente proceso de amparo han sido dictadas en el marco de la denominada “pieza específica” del caso “ERE”, en la que fueron condenados diversos miembros del Consejo de Gobierno y la administración de la Junta de Andalucía —incluyendo desde presidentes de la comunidad autónoma a directores generales— por haber intervenido, a lo largo de casi diez años, en el diseño y/o ejecución de un sistema de concesión de ayudas sociolaborales.</w:t>
      </w:r>
    </w:p>
    <w:p w14:paraId="56C67D9E" w14:textId="77777777" w:rsidR="003754FE" w:rsidRDefault="003754FE" w:rsidP="003754FE">
      <w:pPr>
        <w:pStyle w:val="TextoNormal"/>
      </w:pPr>
    </w:p>
    <w:p w14:paraId="7963549E" w14:textId="77777777" w:rsidR="003754FE" w:rsidRDefault="003754FE" w:rsidP="003754FE">
      <w:pPr>
        <w:pStyle w:val="TextoNormal"/>
      </w:pPr>
      <w:r>
        <w:t>Según el resumen efectuado por el Tribunal Supremo en la sentencia de casación (págs. 97 y siguientes), los hechos en los que se habría articulado ese sistema de concesión ilegal de ayudas sociolaborales se dividirían en tres etapas diferentes:</w:t>
      </w:r>
    </w:p>
    <w:p w14:paraId="36377486" w14:textId="77777777" w:rsidR="003754FE" w:rsidRDefault="003754FE" w:rsidP="003754FE">
      <w:pPr>
        <w:pStyle w:val="TextoNormal"/>
      </w:pPr>
    </w:p>
    <w:p w14:paraId="64187256" w14:textId="77777777" w:rsidR="003754FE" w:rsidRDefault="003754FE" w:rsidP="003754FE">
      <w:pPr>
        <w:pStyle w:val="TextoNormal"/>
      </w:pPr>
      <w:r>
        <w:t>“I) Primera etapa</w:t>
      </w:r>
    </w:p>
    <w:p w14:paraId="79B8C0EE" w14:textId="77777777" w:rsidR="003754FE" w:rsidRDefault="003754FE" w:rsidP="003754FE">
      <w:pPr>
        <w:pStyle w:val="TextoNormal"/>
      </w:pPr>
    </w:p>
    <w:p w14:paraId="024BA118" w14:textId="77777777" w:rsidR="003754FE" w:rsidRDefault="003754FE" w:rsidP="003754FE">
      <w:pPr>
        <w:pStyle w:val="TextoNormal"/>
      </w:pPr>
      <w:r>
        <w:t>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14:paraId="1E554B87" w14:textId="77777777" w:rsidR="003754FE" w:rsidRDefault="003754FE" w:rsidP="003754FE">
      <w:pPr>
        <w:pStyle w:val="TextoNormal"/>
      </w:pPr>
    </w:p>
    <w:p w14:paraId="4A783D85" w14:textId="77777777" w:rsidR="003754FE" w:rsidRDefault="003754FE" w:rsidP="003754FE">
      <w:pPr>
        <w:pStyle w:val="TextoNormal"/>
      </w:pPr>
      <w:r>
        <w:t>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14:paraId="13E89F89" w14:textId="77777777" w:rsidR="003754FE" w:rsidRDefault="003754FE" w:rsidP="003754FE">
      <w:pPr>
        <w:pStyle w:val="TextoNormal"/>
      </w:pPr>
    </w:p>
    <w:p w14:paraId="1070DF28" w14:textId="77777777" w:rsidR="003754FE" w:rsidRDefault="003754FE" w:rsidP="003754FE">
      <w:pPr>
        <w:pStyle w:val="TextoNormal"/>
      </w:pPr>
      <w:r>
        <w:t xml:space="preserve">Los expedientes para la concesión de estas ayudas se integraban por los siguientes documentos: memoria justificativa, acreditación de la personalidad del solicitante, documento </w:t>
      </w:r>
      <w:r>
        <w:lastRenderedPageBreak/>
        <w:t>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14:paraId="57436B5A" w14:textId="77777777" w:rsidR="003754FE" w:rsidRDefault="003754FE" w:rsidP="003754FE">
      <w:pPr>
        <w:pStyle w:val="TextoNormal"/>
      </w:pPr>
    </w:p>
    <w:p w14:paraId="47FB6D1F" w14:textId="77777777" w:rsidR="003754FE" w:rsidRDefault="003754FE" w:rsidP="003754FE">
      <w:pPr>
        <w:pStyle w:val="TextoNormal"/>
      </w:pPr>
      <w:r>
        <w:t>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14:paraId="030D0DC1" w14:textId="77777777" w:rsidR="003754FE" w:rsidRDefault="003754FE" w:rsidP="003754FE">
      <w:pPr>
        <w:pStyle w:val="TextoNormal"/>
      </w:pPr>
    </w:p>
    <w:p w14:paraId="6346D86C" w14:textId="77777777" w:rsidR="003754FE" w:rsidRDefault="003754FE" w:rsidP="003754FE">
      <w:pPr>
        <w:pStyle w:val="TextoNormal"/>
      </w:pPr>
      <w:r>
        <w:t>Sin perjuicio de ahondar más adelante en el régimen jurídico aplicable a estas ayudas, las notas más relevantes de esta regulación eran las siguientes:</w:t>
      </w:r>
    </w:p>
    <w:p w14:paraId="2F31433C" w14:textId="77777777" w:rsidR="003754FE" w:rsidRDefault="003754FE" w:rsidP="003754FE">
      <w:pPr>
        <w:pStyle w:val="TextoNormal"/>
      </w:pPr>
    </w:p>
    <w:p w14:paraId="6B51BAE5" w14:textId="77777777" w:rsidR="003754FE" w:rsidRDefault="003754FE" w:rsidP="003754FE">
      <w:pPr>
        <w:pStyle w:val="TextoNormal"/>
      </w:pPr>
      <w:r>
        <w:t>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14:paraId="5F25FE94" w14:textId="77777777" w:rsidR="003754FE" w:rsidRDefault="003754FE" w:rsidP="003754FE">
      <w:pPr>
        <w:pStyle w:val="TextoNormal"/>
      </w:pPr>
    </w:p>
    <w:p w14:paraId="2C6664BF" w14:textId="77777777" w:rsidR="003754FE" w:rsidRDefault="003754FE" w:rsidP="003754FE">
      <w:pPr>
        <w:pStyle w:val="TextoNormal"/>
      </w:pPr>
      <w:r>
        <w:t>Los beneficiarios de la subvención quedaban sujetos a las siguientes obligaciones:</w:t>
      </w:r>
    </w:p>
    <w:p w14:paraId="318E7928" w14:textId="77777777" w:rsidR="003754FE" w:rsidRDefault="003754FE" w:rsidP="003754FE">
      <w:pPr>
        <w:pStyle w:val="TextoNormal"/>
      </w:pPr>
    </w:p>
    <w:p w14:paraId="1B4F9188" w14:textId="77777777" w:rsidR="003754FE" w:rsidRDefault="003754FE" w:rsidP="003754FE">
      <w:pPr>
        <w:pStyle w:val="TextoNormal"/>
      </w:pPr>
      <w:r>
        <w:t>(i) Realizar la actividad o adoptar el comportamiento que fundamente la concesión de la subvención en la forma y plazos establecidos.</w:t>
      </w:r>
    </w:p>
    <w:p w14:paraId="4109663C" w14:textId="77777777" w:rsidR="003754FE" w:rsidRDefault="003754FE" w:rsidP="003754FE">
      <w:pPr>
        <w:pStyle w:val="TextoNormal"/>
      </w:pPr>
    </w:p>
    <w:p w14:paraId="4F5D3A2A" w14:textId="77777777" w:rsidR="003754FE" w:rsidRDefault="003754FE" w:rsidP="003754FE">
      <w:pPr>
        <w:pStyle w:val="TextoNormal"/>
      </w:pPr>
      <w:r>
        <w:t>(ii) Justificar ante la entidad concedente o, en su caso, la entidad colaboradora la realización de la actividad o la adopción del comportamiento, así como el cumplimiento de los requisitos y condiciones que determinen la concesión o disfrute de la subvención.</w:t>
      </w:r>
    </w:p>
    <w:p w14:paraId="35DD4558" w14:textId="77777777" w:rsidR="003754FE" w:rsidRDefault="003754FE" w:rsidP="003754FE">
      <w:pPr>
        <w:pStyle w:val="TextoNormal"/>
      </w:pPr>
    </w:p>
    <w:p w14:paraId="2D2FF25D" w14:textId="77777777" w:rsidR="003754FE" w:rsidRDefault="003754FE" w:rsidP="003754FE">
      <w:pPr>
        <w:pStyle w:val="TextoNormal"/>
      </w:pPr>
      <w:r>
        <w:t>(iii)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14:paraId="5A361E9F" w14:textId="77777777" w:rsidR="003754FE" w:rsidRDefault="003754FE" w:rsidP="003754FE">
      <w:pPr>
        <w:pStyle w:val="TextoNormal"/>
      </w:pPr>
    </w:p>
    <w:p w14:paraId="5CCA102A" w14:textId="77777777" w:rsidR="003754FE" w:rsidRDefault="003754FE" w:rsidP="003754FE">
      <w:pPr>
        <w:pStyle w:val="TextoNormal"/>
      </w:pPr>
      <w:r>
        <w:t>(iv)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14:paraId="4094F648" w14:textId="77777777" w:rsidR="003754FE" w:rsidRDefault="003754FE" w:rsidP="003754FE">
      <w:pPr>
        <w:pStyle w:val="TextoNormal"/>
      </w:pPr>
    </w:p>
    <w:p w14:paraId="39560532" w14:textId="77777777" w:rsidR="003754FE" w:rsidRDefault="003754FE" w:rsidP="003754FE">
      <w:pPr>
        <w:pStyle w:val="TextoNormal"/>
      </w:pPr>
      <w:r>
        <w:t>(v)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14:paraId="34800248" w14:textId="77777777" w:rsidR="003754FE" w:rsidRDefault="003754FE" w:rsidP="003754FE">
      <w:pPr>
        <w:pStyle w:val="TextoNormal"/>
      </w:pPr>
    </w:p>
    <w:p w14:paraId="14EB61E1" w14:textId="77777777" w:rsidR="003754FE" w:rsidRDefault="003754FE" w:rsidP="003754FE">
      <w:pPr>
        <w:pStyle w:val="TextoNormal"/>
      </w:pPr>
      <w:r>
        <w:lastRenderedPageBreak/>
        <w:t>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14:paraId="71F24FA2" w14:textId="77777777" w:rsidR="003754FE" w:rsidRDefault="003754FE" w:rsidP="003754FE">
      <w:pPr>
        <w:pStyle w:val="TextoNormal"/>
      </w:pPr>
    </w:p>
    <w:p w14:paraId="6AD8CD6C" w14:textId="77777777" w:rsidR="003754FE" w:rsidRDefault="003754FE" w:rsidP="003754FE">
      <w:pPr>
        <w:pStyle w:val="TextoNormal"/>
      </w:pPr>
      <w:r>
        <w:t>En las bases reguladoras se podía disponer que la entrega fuera realizada por entidades colaboradoras. Las empresas públicas de Andalucía podían ser entidades colaboradoras y también se establecía a su cargo las siguientes obligaciones:</w:t>
      </w:r>
    </w:p>
    <w:p w14:paraId="2CE26970" w14:textId="77777777" w:rsidR="003754FE" w:rsidRDefault="003754FE" w:rsidP="003754FE">
      <w:pPr>
        <w:pStyle w:val="TextoNormal"/>
      </w:pPr>
    </w:p>
    <w:p w14:paraId="156B8C8A" w14:textId="77777777" w:rsidR="003754FE" w:rsidRDefault="003754FE" w:rsidP="003754FE">
      <w:pPr>
        <w:pStyle w:val="TextoNormal"/>
      </w:pPr>
      <w:r>
        <w:t>(i) Entregar a los beneficiarios los fondos recibidos de acuerdo con los criterios establecidos en las normas reguladoras de la subvención o ayuda.</w:t>
      </w:r>
    </w:p>
    <w:p w14:paraId="18182898" w14:textId="77777777" w:rsidR="003754FE" w:rsidRDefault="003754FE" w:rsidP="003754FE">
      <w:pPr>
        <w:pStyle w:val="TextoNormal"/>
      </w:pPr>
    </w:p>
    <w:p w14:paraId="0ED55BA4" w14:textId="77777777" w:rsidR="003754FE" w:rsidRDefault="003754FE" w:rsidP="003754FE">
      <w:pPr>
        <w:pStyle w:val="TextoNormal"/>
      </w:pPr>
      <w:r>
        <w:t>(ii) Verificar, en su caso, el cumplimiento y efectividad de las condiciones determinantes para su otorgamiento.</w:t>
      </w:r>
    </w:p>
    <w:p w14:paraId="0E7E0CC5" w14:textId="77777777" w:rsidR="003754FE" w:rsidRDefault="003754FE" w:rsidP="003754FE">
      <w:pPr>
        <w:pStyle w:val="TextoNormal"/>
      </w:pPr>
    </w:p>
    <w:p w14:paraId="23832397" w14:textId="77777777" w:rsidR="003754FE" w:rsidRDefault="003754FE" w:rsidP="003754FE">
      <w:pPr>
        <w:pStyle w:val="TextoNormal"/>
      </w:pPr>
      <w:r>
        <w:t>(iii) Justificar la aplicación de los fondos recibidos ante la entidad concedente y, en su caso, entregar la justificación presentada por los beneficiarios.</w:t>
      </w:r>
    </w:p>
    <w:p w14:paraId="07F4CDDF" w14:textId="77777777" w:rsidR="003754FE" w:rsidRDefault="003754FE" w:rsidP="003754FE">
      <w:pPr>
        <w:pStyle w:val="TextoNormal"/>
      </w:pPr>
    </w:p>
    <w:p w14:paraId="562E36FA" w14:textId="77777777" w:rsidR="003754FE" w:rsidRDefault="003754FE" w:rsidP="003754FE">
      <w:pPr>
        <w:pStyle w:val="TextoNormal"/>
      </w:pPr>
      <w:r>
        <w:t>(iv)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14:paraId="06C41773" w14:textId="77777777" w:rsidR="003754FE" w:rsidRDefault="003754FE" w:rsidP="003754FE">
      <w:pPr>
        <w:pStyle w:val="TextoNormal"/>
      </w:pPr>
    </w:p>
    <w:p w14:paraId="2444B295" w14:textId="77777777" w:rsidR="003754FE" w:rsidRDefault="003754FE" w:rsidP="003754FE">
      <w:pPr>
        <w:pStyle w:val="TextoNormal"/>
      </w:pPr>
      <w:r>
        <w:t>(v) Colaborar en la restitución de las subvenciones otorgadas en los supuestos en que concurra causa de reintegro, y conforme a las normas que se establezcan (artículo 106).</w:t>
      </w:r>
    </w:p>
    <w:p w14:paraId="299D54D8" w14:textId="77777777" w:rsidR="003754FE" w:rsidRDefault="003754FE" w:rsidP="003754FE">
      <w:pPr>
        <w:pStyle w:val="TextoNormal"/>
      </w:pPr>
    </w:p>
    <w:p w14:paraId="257032EA" w14:textId="77777777" w:rsidR="003754FE" w:rsidRDefault="003754FE" w:rsidP="003754FE">
      <w:pPr>
        <w:pStyle w:val="TextoNormal"/>
      </w:pPr>
      <w:r>
        <w:t>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14:paraId="1DCEB77A" w14:textId="77777777" w:rsidR="003754FE" w:rsidRDefault="003754FE" w:rsidP="003754FE">
      <w:pPr>
        <w:pStyle w:val="TextoNormal"/>
      </w:pPr>
    </w:p>
    <w:p w14:paraId="766A3033" w14:textId="77777777" w:rsidR="003754FE" w:rsidRDefault="003754FE" w:rsidP="003754FE">
      <w:pPr>
        <w:pStyle w:val="TextoNormal"/>
      </w:pPr>
      <w:r>
        <w:t>Los proyectos de normas reguladoras de la concesión de subvenciones debían ser sometidos a informe de la Intervención General de la Junta de Andalucía, antes de su aprobación, y publicados en el ‘Boletín Oficial de la Junta de Andalucía’ (artículo 107).</w:t>
      </w:r>
    </w:p>
    <w:p w14:paraId="30883EFD" w14:textId="77777777" w:rsidR="003754FE" w:rsidRDefault="003754FE" w:rsidP="003754FE">
      <w:pPr>
        <w:pStyle w:val="TextoNormal"/>
      </w:pPr>
    </w:p>
    <w:p w14:paraId="4D328026" w14:textId="77777777" w:rsidR="003754FE" w:rsidRDefault="003754FE" w:rsidP="003754FE">
      <w:pPr>
        <w:pStyle w:val="TextoNormal"/>
      </w:pPr>
      <w:r>
        <w:t>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w:t>
      </w:r>
      <w:r w:rsidRPr="003754FE">
        <w:rPr>
          <w:i/>
        </w:rPr>
        <w:t xml:space="preserve"> 85</w:t>
      </w:r>
      <w:r>
        <w:t xml:space="preserve"> bis de la citada ley.</w:t>
      </w:r>
    </w:p>
    <w:p w14:paraId="1673ED13" w14:textId="77777777" w:rsidR="003754FE" w:rsidRDefault="003754FE" w:rsidP="003754FE">
      <w:pPr>
        <w:pStyle w:val="TextoNormal"/>
      </w:pPr>
    </w:p>
    <w:p w14:paraId="48B269F8" w14:textId="77777777" w:rsidR="003754FE" w:rsidRDefault="003754FE" w:rsidP="003754FE">
      <w:pPr>
        <w:pStyle w:val="TextoNormal"/>
      </w:pPr>
      <w:r>
        <w:t>II) Segunda etapa</w:t>
      </w:r>
    </w:p>
    <w:p w14:paraId="0D94D169" w14:textId="77777777" w:rsidR="003754FE" w:rsidRDefault="003754FE" w:rsidP="003754FE">
      <w:pPr>
        <w:pStyle w:val="TextoNormal"/>
      </w:pPr>
    </w:p>
    <w:p w14:paraId="07491868" w14:textId="77777777" w:rsidR="003754FE" w:rsidRDefault="003754FE" w:rsidP="003754FE">
      <w:pPr>
        <w:pStyle w:val="TextoNormal"/>
      </w:pPr>
      <w:r>
        <w:t xml:space="preserve">Ante la necesidad de dar respuesta ágil a las graves crisis empresariales que afectaban a algunas importantes empresas de Andalucía en el año 1999 se decidió que el Instituto de Fomento de Andalucía (IFA) adelantara algunas de estas subvenciones, y así aconteció en </w:t>
      </w:r>
      <w:r>
        <w:lastRenderedPageBreak/>
        <w:t>relación con las ayudas concedidas a las empresas IAMASA y HAMSA. Con tal procedimiento se procedía al pago sin la necesaria fiscalización previa.</w:t>
      </w:r>
    </w:p>
    <w:p w14:paraId="40D5D58D" w14:textId="77777777" w:rsidR="003754FE" w:rsidRDefault="003754FE" w:rsidP="003754FE">
      <w:pPr>
        <w:pStyle w:val="TextoNormal"/>
      </w:pPr>
    </w:p>
    <w:p w14:paraId="7CB8650D" w14:textId="77777777" w:rsidR="003754FE" w:rsidRDefault="003754FE" w:rsidP="003754FE">
      <w:pPr>
        <w:pStyle w:val="TextoNormal"/>
      </w:pPr>
      <w:r>
        <w:t>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14:paraId="12DCA1AC" w14:textId="77777777" w:rsidR="003754FE" w:rsidRDefault="003754FE" w:rsidP="003754FE">
      <w:pPr>
        <w:pStyle w:val="TextoNormal"/>
      </w:pPr>
    </w:p>
    <w:p w14:paraId="4FC32F03" w14:textId="77777777" w:rsidR="003754FE" w:rsidRDefault="003754FE" w:rsidP="003754FE">
      <w:pPr>
        <w:pStyle w:val="TextoNormal"/>
      </w:pPr>
      <w:r>
        <w:t>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14:paraId="354E0778" w14:textId="77777777" w:rsidR="003754FE" w:rsidRDefault="003754FE" w:rsidP="003754FE">
      <w:pPr>
        <w:pStyle w:val="TextoNormal"/>
      </w:pPr>
    </w:p>
    <w:p w14:paraId="71486037" w14:textId="77777777" w:rsidR="003754FE" w:rsidRDefault="003754FE" w:rsidP="003754FE">
      <w:pPr>
        <w:pStyle w:val="TextoNormal"/>
      </w:pPr>
      <w:r>
        <w:t>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14:paraId="1A621ADC" w14:textId="77777777" w:rsidR="003754FE" w:rsidRDefault="003754FE" w:rsidP="003754FE">
      <w:pPr>
        <w:pStyle w:val="TextoNormal"/>
      </w:pPr>
    </w:p>
    <w:p w14:paraId="6A9E69C3" w14:textId="77777777" w:rsidR="003754FE" w:rsidRDefault="003754FE" w:rsidP="003754FE">
      <w:pPr>
        <w:pStyle w:val="TextoNormal"/>
      </w:pPr>
      <w:r>
        <w:t>Ante las dificultades surgidas, en abril de 2000 se procedió a una modificación presupuestaria, bajo la iniciativa de la Consejería de Empleo. Se modificó la clasificación económica del gasto.</w:t>
      </w:r>
    </w:p>
    <w:p w14:paraId="3BBE4054" w14:textId="77777777" w:rsidR="003754FE" w:rsidRDefault="003754FE" w:rsidP="003754FE">
      <w:pPr>
        <w:pStyle w:val="TextoNormal"/>
      </w:pPr>
    </w:p>
    <w:p w14:paraId="768B0E42" w14:textId="77777777" w:rsidR="003754FE" w:rsidRDefault="003754FE" w:rsidP="003754FE">
      <w:pPr>
        <w:pStyle w:val="TextoNormal"/>
      </w:pPr>
      <w:r>
        <w:t>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14:paraId="075601BD" w14:textId="77777777" w:rsidR="003754FE" w:rsidRDefault="003754FE" w:rsidP="003754FE">
      <w:pPr>
        <w:pStyle w:val="TextoNormal"/>
      </w:pPr>
    </w:p>
    <w:p w14:paraId="16BDC819" w14:textId="77777777" w:rsidR="003754FE" w:rsidRDefault="003754FE" w:rsidP="003754FE">
      <w:pPr>
        <w:pStyle w:val="TextoNormal"/>
      </w:pPr>
      <w:r>
        <w:t>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14:paraId="11C2C557" w14:textId="77777777" w:rsidR="003754FE" w:rsidRDefault="003754FE" w:rsidP="003754FE">
      <w:pPr>
        <w:pStyle w:val="TextoNormal"/>
      </w:pPr>
    </w:p>
    <w:p w14:paraId="2A7B7293" w14:textId="77777777" w:rsidR="003754FE" w:rsidRDefault="003754FE" w:rsidP="003754FE">
      <w:pPr>
        <w:pStyle w:val="TextoNormal"/>
      </w:pPr>
      <w:r>
        <w:t>En vez de aprobar una nueva normativa o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14:paraId="2F1368A6" w14:textId="77777777" w:rsidR="003754FE" w:rsidRDefault="003754FE" w:rsidP="003754FE">
      <w:pPr>
        <w:pStyle w:val="TextoNormal"/>
      </w:pPr>
    </w:p>
    <w:p w14:paraId="3356F736" w14:textId="77777777" w:rsidR="003754FE" w:rsidRDefault="003754FE" w:rsidP="003754FE">
      <w:pPr>
        <w:pStyle w:val="TextoNormal"/>
      </w:pPr>
      <w:r>
        <w:lastRenderedPageBreak/>
        <w:t>A tal fin idearon un mecanismo que, como indica el Ministerio Fiscal en su informe, era relativamente sencillo y sumamente eficaz para la finalidad perseguida. Tanto en los proyectos de presupuestos como en las distintas modificaciones presupuestaria aprobadas durante siete años, cambiaron la clasificación presupuestaria que se venía haciendo, incluyendo las ayudas sociolaborales en la partida de ‘transferencia de financiación al IFA’.</w:t>
      </w:r>
    </w:p>
    <w:p w14:paraId="5609A561" w14:textId="77777777" w:rsidR="003754FE" w:rsidRDefault="003754FE" w:rsidP="003754FE">
      <w:pPr>
        <w:pStyle w:val="TextoNormal"/>
      </w:pPr>
    </w:p>
    <w:p w14:paraId="68F82478" w14:textId="77777777" w:rsidR="003754FE" w:rsidRDefault="003754FE" w:rsidP="003754FE">
      <w:pPr>
        <w:pStyle w:val="TextoNormal"/>
      </w:pPr>
      <w:r>
        <w:t>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w:t>
      </w:r>
      <w:r w:rsidRPr="003754FE">
        <w:rPr>
          <w:i/>
        </w:rPr>
        <w:t>o a posterio</w:t>
      </w:r>
      <w:r>
        <w:t>ri.</w:t>
      </w:r>
    </w:p>
    <w:p w14:paraId="046AE113" w14:textId="77777777" w:rsidR="003754FE" w:rsidRDefault="003754FE" w:rsidP="003754FE">
      <w:pPr>
        <w:pStyle w:val="TextoNormal"/>
      </w:pPr>
    </w:p>
    <w:p w14:paraId="7E3A7847" w14:textId="77777777" w:rsidR="003754FE" w:rsidRDefault="003754FE" w:rsidP="003754FE">
      <w:pPr>
        <w:pStyle w:val="TextoNormal"/>
      </w:pPr>
      <w:r>
        <w:t>En efecto, el expediente de las transferencias de financiación no precisa la identificación de los destinatarios de las ayudas. Únicamente requiere consignar:</w:t>
      </w:r>
    </w:p>
    <w:p w14:paraId="4178EE75" w14:textId="77777777" w:rsidR="003754FE" w:rsidRDefault="003754FE" w:rsidP="003754FE">
      <w:pPr>
        <w:pStyle w:val="TextoNormal"/>
      </w:pPr>
    </w:p>
    <w:p w14:paraId="62C74BD4" w14:textId="77777777" w:rsidR="003754FE" w:rsidRDefault="003754FE" w:rsidP="003754FE">
      <w:pPr>
        <w:pStyle w:val="TextoNormal"/>
      </w:pPr>
      <w:r>
        <w:t>(i) La propuesta de resolución del órgano competente autorizando la transferencia;</w:t>
      </w:r>
    </w:p>
    <w:p w14:paraId="442DB880" w14:textId="77777777" w:rsidR="003754FE" w:rsidRDefault="003754FE" w:rsidP="003754FE">
      <w:pPr>
        <w:pStyle w:val="TextoNormal"/>
      </w:pPr>
    </w:p>
    <w:p w14:paraId="47C6F9FC" w14:textId="77777777" w:rsidR="003754FE" w:rsidRDefault="003754FE" w:rsidP="003754FE">
      <w:pPr>
        <w:pStyle w:val="TextoNormal"/>
      </w:pPr>
      <w:r>
        <w:t>(ii) El calendario de pagos aprobado por la Dirección General de Tesorería;</w:t>
      </w:r>
    </w:p>
    <w:p w14:paraId="075CB755" w14:textId="77777777" w:rsidR="003754FE" w:rsidRDefault="003754FE" w:rsidP="003754FE">
      <w:pPr>
        <w:pStyle w:val="TextoNormal"/>
      </w:pPr>
    </w:p>
    <w:p w14:paraId="0445224A" w14:textId="77777777" w:rsidR="003754FE" w:rsidRDefault="003754FE" w:rsidP="003754FE">
      <w:pPr>
        <w:pStyle w:val="TextoNormal"/>
      </w:pPr>
      <w:r>
        <w:t>(iii) Los documentos contables acreditativos de la consignación presupuestaria y el programa de actuación (PAIF) publicado en el ‘Boletín Oficial de la Junta de Andalucía’ por orden de la Consejería de Hacienda.</w:t>
      </w:r>
    </w:p>
    <w:p w14:paraId="3EAF1CFD" w14:textId="77777777" w:rsidR="003754FE" w:rsidRDefault="003754FE" w:rsidP="003754FE">
      <w:pPr>
        <w:pStyle w:val="TextoNormal"/>
      </w:pPr>
    </w:p>
    <w:p w14:paraId="3C269D40" w14:textId="77777777" w:rsidR="003754FE" w:rsidRDefault="003754FE" w:rsidP="003754FE">
      <w:pPr>
        <w:pStyle w:val="TextoNormal"/>
      </w:pPr>
      <w:r>
        <w:t>Y en la fiscalización posterior de la actividad del IFA, realizada a través del llamado ‘control financiero permanente’, conforme a lo previsto en el […] Decreto 9/1999, de 19 de enero, únicamente tenía un triple objetivo:</w:t>
      </w:r>
    </w:p>
    <w:p w14:paraId="23211998" w14:textId="77777777" w:rsidR="003754FE" w:rsidRDefault="003754FE" w:rsidP="003754FE">
      <w:pPr>
        <w:pStyle w:val="TextoNormal"/>
      </w:pPr>
    </w:p>
    <w:p w14:paraId="69A36E49" w14:textId="77777777" w:rsidR="003754FE" w:rsidRDefault="003754FE" w:rsidP="003754FE">
      <w:pPr>
        <w:pStyle w:val="TextoNormal"/>
      </w:pPr>
      <w:r>
        <w:t>(i) Comprobar el cumplimiento de la legalidad;</w:t>
      </w:r>
    </w:p>
    <w:p w14:paraId="2B4D0107" w14:textId="77777777" w:rsidR="003754FE" w:rsidRDefault="003754FE" w:rsidP="003754FE">
      <w:pPr>
        <w:pStyle w:val="TextoNormal"/>
      </w:pPr>
    </w:p>
    <w:p w14:paraId="16178871" w14:textId="77777777" w:rsidR="003754FE" w:rsidRDefault="003754FE" w:rsidP="003754FE">
      <w:pPr>
        <w:pStyle w:val="TextoNormal"/>
      </w:pPr>
      <w:r>
        <w:t>(ii) examinar las cuentas anuales y</w:t>
      </w:r>
    </w:p>
    <w:p w14:paraId="0D36F32C" w14:textId="77777777" w:rsidR="003754FE" w:rsidRDefault="003754FE" w:rsidP="003754FE">
      <w:pPr>
        <w:pStyle w:val="TextoNormal"/>
      </w:pPr>
    </w:p>
    <w:p w14:paraId="1BC66983" w14:textId="77777777" w:rsidR="003754FE" w:rsidRDefault="003754FE" w:rsidP="003754FE">
      <w:pPr>
        <w:pStyle w:val="TextoNormal"/>
      </w:pPr>
      <w:r>
        <w:t>(iii) examinar críticamente la gestión de los programas asignados al instituto. Este control no tenía utilidad alguna para conocer el destino de las subvenciones, dado que se limitaba al control de la transferencia.</w:t>
      </w:r>
    </w:p>
    <w:p w14:paraId="6512A054" w14:textId="77777777" w:rsidR="003754FE" w:rsidRDefault="003754FE" w:rsidP="003754FE">
      <w:pPr>
        <w:pStyle w:val="TextoNormal"/>
      </w:pPr>
    </w:p>
    <w:p w14:paraId="43F0CF84" w14:textId="77777777" w:rsidR="003754FE" w:rsidRDefault="003754FE" w:rsidP="003754FE">
      <w:pPr>
        <w:pStyle w:val="TextoNormal"/>
      </w:pPr>
      <w:r>
        <w:t>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(07 de mayo de 2001, 29 de mayo de 2001, 18 de septiembre de 2001, 3 de noviembre de 2001 y 5 de diciembre de 2001) por importe, respectivamente, de 500, 5.573, 1.225, 660 y 6.355 millones de pesetas.</w:t>
      </w:r>
    </w:p>
    <w:p w14:paraId="60163E50" w14:textId="77777777" w:rsidR="003754FE" w:rsidRDefault="003754FE" w:rsidP="003754FE">
      <w:pPr>
        <w:pStyle w:val="TextoNormal"/>
      </w:pPr>
    </w:p>
    <w:p w14:paraId="13A74EB2" w14:textId="77777777" w:rsidR="003754FE" w:rsidRDefault="003754FE" w:rsidP="003754FE">
      <w:pPr>
        <w:pStyle w:val="TextoNormal"/>
      </w:pPr>
      <w:r>
        <w:t xml:space="preserve">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w:t>
      </w:r>
      <w:r>
        <w:lastRenderedPageBreak/>
        <w:t>y Seguridad Social, en el que se preveía que el IFA prestaría asistencia técnica permanente, materializando las ayudas y se establecía que habrían de suscribirse convenios particulares entre el director general de Trabajo y el IFA para la gestión de los fondos.</w:t>
      </w:r>
    </w:p>
    <w:p w14:paraId="779D7D36" w14:textId="77777777" w:rsidR="003754FE" w:rsidRDefault="003754FE" w:rsidP="003754FE">
      <w:pPr>
        <w:pStyle w:val="TextoNormal"/>
      </w:pPr>
    </w:p>
    <w:p w14:paraId="2F95DF12" w14:textId="77777777" w:rsidR="003754FE" w:rsidRDefault="003754FE" w:rsidP="003754FE">
      <w:pPr>
        <w:pStyle w:val="TextoNormal"/>
      </w:pPr>
      <w:r>
        <w:t>El convenio marco no fue publicado en el ‘Boletín Oficial de la Junta de Andalucía’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14:paraId="1F62CA3C" w14:textId="77777777" w:rsidR="003754FE" w:rsidRDefault="003754FE" w:rsidP="003754FE">
      <w:pPr>
        <w:pStyle w:val="TextoNormal"/>
      </w:pPr>
    </w:p>
    <w:p w14:paraId="371DB14C" w14:textId="77777777" w:rsidR="003754FE" w:rsidRDefault="003754FE" w:rsidP="003754FE">
      <w:pPr>
        <w:pStyle w:val="TextoNormal"/>
      </w:pPr>
      <w:r>
        <w:t>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14:paraId="4A08F134" w14:textId="77777777" w:rsidR="003754FE" w:rsidRDefault="003754FE" w:rsidP="003754FE">
      <w:pPr>
        <w:pStyle w:val="TextoNormal"/>
      </w:pPr>
    </w:p>
    <w:p w14:paraId="0C1802ED" w14:textId="77777777" w:rsidR="003754FE" w:rsidRDefault="003754FE" w:rsidP="003754FE">
      <w:pPr>
        <w:pStyle w:val="TextoNormal"/>
      </w:pPr>
      <w:r>
        <w:t>Por tanto, utilizando el criterio de presupuestación a que antes nos hemos referido se incluyeron las siguientes partidas presupuestarias:</w:t>
      </w:r>
    </w:p>
    <w:p w14:paraId="5D8B5EE3" w14:textId="77777777" w:rsidR="003754FE" w:rsidRDefault="003754FE" w:rsidP="003754FE">
      <w:pPr>
        <w:pStyle w:val="TextoNormal"/>
      </w:pPr>
    </w:p>
    <w:p w14:paraId="6B6CB8E8" w14:textId="77777777" w:rsidR="003754FE" w:rsidRDefault="003754FE" w:rsidP="003754FE">
      <w:pPr>
        <w:pStyle w:val="TextoNormal"/>
      </w:pPr>
      <w:r>
        <w:t>- En 2002: 34 341 351 €.</w:t>
      </w:r>
    </w:p>
    <w:p w14:paraId="75BABEE5" w14:textId="77777777" w:rsidR="003754FE" w:rsidRDefault="003754FE" w:rsidP="003754FE">
      <w:pPr>
        <w:pStyle w:val="TextoNormal"/>
      </w:pPr>
    </w:p>
    <w:p w14:paraId="70D816C3" w14:textId="77777777" w:rsidR="003754FE" w:rsidRDefault="003754FE" w:rsidP="003754FE">
      <w:pPr>
        <w:pStyle w:val="TextoNormal"/>
      </w:pPr>
      <w:r>
        <w:t>- En 2003: 55 646 899 €.</w:t>
      </w:r>
    </w:p>
    <w:p w14:paraId="451C6849" w14:textId="77777777" w:rsidR="003754FE" w:rsidRDefault="003754FE" w:rsidP="003754FE">
      <w:pPr>
        <w:pStyle w:val="TextoNormal"/>
      </w:pPr>
    </w:p>
    <w:p w14:paraId="4CC29CC3" w14:textId="77777777" w:rsidR="003754FE" w:rsidRDefault="003754FE" w:rsidP="003754FE">
      <w:pPr>
        <w:pStyle w:val="TextoNormal"/>
      </w:pPr>
      <w:r>
        <w:t>- En 2004: 46 146 389 €. [En este ejercicio el IFA cambió su denominación por Agencia de la Innovación y Desarrollo de Andalucía (IDEA) y pasó a estar adscrito a la Consejería de Innovación, Ciencia y Empresa].</w:t>
      </w:r>
    </w:p>
    <w:p w14:paraId="0C0E822A" w14:textId="77777777" w:rsidR="003754FE" w:rsidRDefault="003754FE" w:rsidP="003754FE">
      <w:pPr>
        <w:pStyle w:val="TextoNormal"/>
      </w:pPr>
    </w:p>
    <w:p w14:paraId="11948E56" w14:textId="77777777" w:rsidR="003754FE" w:rsidRDefault="003754FE" w:rsidP="003754FE">
      <w:pPr>
        <w:pStyle w:val="TextoNormal"/>
      </w:pPr>
      <w:r>
        <w:t>- En 2005: 72 261 575 €.</w:t>
      </w:r>
    </w:p>
    <w:p w14:paraId="2E08CB4F" w14:textId="77777777" w:rsidR="003754FE" w:rsidRDefault="003754FE" w:rsidP="003754FE">
      <w:pPr>
        <w:pStyle w:val="TextoNormal"/>
      </w:pPr>
    </w:p>
    <w:p w14:paraId="31623C73" w14:textId="77777777" w:rsidR="003754FE" w:rsidRDefault="003754FE" w:rsidP="003754FE">
      <w:pPr>
        <w:pStyle w:val="TextoNormal"/>
      </w:pPr>
      <w:r>
        <w:t>- En 2006: 77 291 000 €.</w:t>
      </w:r>
    </w:p>
    <w:p w14:paraId="7A305800" w14:textId="77777777" w:rsidR="003754FE" w:rsidRDefault="003754FE" w:rsidP="003754FE">
      <w:pPr>
        <w:pStyle w:val="TextoNormal"/>
      </w:pPr>
    </w:p>
    <w:p w14:paraId="26D467F7" w14:textId="77777777" w:rsidR="003754FE" w:rsidRDefault="003754FE" w:rsidP="003754FE">
      <w:pPr>
        <w:pStyle w:val="TextoNormal"/>
      </w:pPr>
      <w:r>
        <w:t>- En 2007: 79 207 500 €.</w:t>
      </w:r>
    </w:p>
    <w:p w14:paraId="06CFD262" w14:textId="77777777" w:rsidR="003754FE" w:rsidRDefault="003754FE" w:rsidP="003754FE">
      <w:pPr>
        <w:pStyle w:val="TextoNormal"/>
      </w:pPr>
    </w:p>
    <w:p w14:paraId="77E26158" w14:textId="77777777" w:rsidR="003754FE" w:rsidRDefault="003754FE" w:rsidP="003754FE">
      <w:pPr>
        <w:pStyle w:val="TextoNormal"/>
      </w:pPr>
      <w:r>
        <w:t>- En 2008: 87 478 495 €.</w:t>
      </w:r>
    </w:p>
    <w:p w14:paraId="74D0683C" w14:textId="77777777" w:rsidR="003754FE" w:rsidRDefault="003754FE" w:rsidP="003754FE">
      <w:pPr>
        <w:pStyle w:val="TextoNormal"/>
      </w:pPr>
    </w:p>
    <w:p w14:paraId="307F7AE4" w14:textId="77777777" w:rsidR="003754FE" w:rsidRDefault="003754FE" w:rsidP="003754FE">
      <w:pPr>
        <w:pStyle w:val="TextoNormal"/>
      </w:pPr>
      <w:r>
        <w:t>Además de estas partidas, durante los distintos ejercicios se aprobaron modificaciones presupuestarias, que incrementaron el flujo de dinero que gestionaba el IFA/IDEA y que recibía como transferencia de financiación.</w:t>
      </w:r>
    </w:p>
    <w:p w14:paraId="2A0D718C" w14:textId="77777777" w:rsidR="003754FE" w:rsidRDefault="003754FE" w:rsidP="003754FE">
      <w:pPr>
        <w:pStyle w:val="TextoNormal"/>
      </w:pPr>
    </w:p>
    <w:p w14:paraId="3C09C005" w14:textId="77777777" w:rsidR="003754FE" w:rsidRDefault="003754FE" w:rsidP="003754FE">
      <w:pPr>
        <w:pStyle w:val="TextoNormal"/>
      </w:pPr>
      <w:r>
        <w:t>Las modificaciones presupuestarias fueron las siguientes:</w:t>
      </w:r>
    </w:p>
    <w:p w14:paraId="07DB8EBC" w14:textId="77777777" w:rsidR="003754FE" w:rsidRDefault="003754FE" w:rsidP="003754FE">
      <w:pPr>
        <w:pStyle w:val="TextoNormal"/>
      </w:pPr>
    </w:p>
    <w:p w14:paraId="41DCC181" w14:textId="77777777" w:rsidR="003754FE" w:rsidRDefault="003754FE" w:rsidP="003754FE">
      <w:pPr>
        <w:pStyle w:val="TextoNormal"/>
      </w:pPr>
      <w:r>
        <w:t>- Modificación de 15 de octubre de 2002, por importe de 9 944 099 €.</w:t>
      </w:r>
    </w:p>
    <w:p w14:paraId="6B71B616" w14:textId="77777777" w:rsidR="003754FE" w:rsidRDefault="003754FE" w:rsidP="003754FE">
      <w:pPr>
        <w:pStyle w:val="TextoNormal"/>
      </w:pPr>
    </w:p>
    <w:p w14:paraId="74CE3341" w14:textId="77777777" w:rsidR="003754FE" w:rsidRDefault="003754FE" w:rsidP="003754FE">
      <w:pPr>
        <w:pStyle w:val="TextoNormal"/>
      </w:pPr>
      <w:r>
        <w:t>- Modificación de 21 de octubre de 2002, por importe de 22 253 204,17 €.</w:t>
      </w:r>
    </w:p>
    <w:p w14:paraId="5203EC7F" w14:textId="77777777" w:rsidR="003754FE" w:rsidRDefault="003754FE" w:rsidP="003754FE">
      <w:pPr>
        <w:pStyle w:val="TextoNormal"/>
      </w:pPr>
    </w:p>
    <w:p w14:paraId="207F65E9" w14:textId="77777777" w:rsidR="003754FE" w:rsidRDefault="003754FE" w:rsidP="003754FE">
      <w:pPr>
        <w:pStyle w:val="TextoNormal"/>
      </w:pPr>
      <w:r>
        <w:t>- Modificación de 7 de diciembre de 2005, por importe de 799 895,97 €.</w:t>
      </w:r>
    </w:p>
    <w:p w14:paraId="7EA1CDCB" w14:textId="77777777" w:rsidR="003754FE" w:rsidRDefault="003754FE" w:rsidP="003754FE">
      <w:pPr>
        <w:pStyle w:val="TextoNormal"/>
      </w:pPr>
    </w:p>
    <w:p w14:paraId="4072ADA4" w14:textId="77777777" w:rsidR="003754FE" w:rsidRDefault="003754FE" w:rsidP="003754FE">
      <w:pPr>
        <w:pStyle w:val="TextoNormal"/>
      </w:pPr>
      <w:r>
        <w:t>- Modificación de 7 de noviembre de 2006, por importe de 9 300 000 €.</w:t>
      </w:r>
    </w:p>
    <w:p w14:paraId="5E6F53FB" w14:textId="77777777" w:rsidR="003754FE" w:rsidRDefault="003754FE" w:rsidP="003754FE">
      <w:pPr>
        <w:pStyle w:val="TextoNormal"/>
      </w:pPr>
    </w:p>
    <w:p w14:paraId="3C3503EE" w14:textId="77777777" w:rsidR="003754FE" w:rsidRDefault="003754FE" w:rsidP="003754FE">
      <w:pPr>
        <w:pStyle w:val="TextoNormal"/>
      </w:pPr>
      <w:r>
        <w:t>- Modificación de 27 de noviembre de 2007, por importe de 7 448 503,44 €.</w:t>
      </w:r>
    </w:p>
    <w:p w14:paraId="5560280F" w14:textId="77777777" w:rsidR="003754FE" w:rsidRDefault="003754FE" w:rsidP="003754FE">
      <w:pPr>
        <w:pStyle w:val="TextoNormal"/>
      </w:pPr>
    </w:p>
    <w:p w14:paraId="7A23E6F0" w14:textId="77777777" w:rsidR="003754FE" w:rsidRDefault="003754FE" w:rsidP="003754FE">
      <w:pPr>
        <w:pStyle w:val="TextoNormal"/>
      </w:pPr>
      <w:r>
        <w:t>- Modificación de 22 de diciembre de 2008, por importe de 1 253 853,89 €.</w:t>
      </w:r>
    </w:p>
    <w:p w14:paraId="40F4C601" w14:textId="77777777" w:rsidR="003754FE" w:rsidRDefault="003754FE" w:rsidP="003754FE">
      <w:pPr>
        <w:pStyle w:val="TextoNormal"/>
      </w:pPr>
    </w:p>
    <w:p w14:paraId="4D6D2F96" w14:textId="77777777" w:rsidR="003754FE" w:rsidRDefault="003754FE" w:rsidP="003754FE">
      <w:pPr>
        <w:pStyle w:val="TextoNormal"/>
      </w:pPr>
      <w:r>
        <w:t>- Modificación de 22 de diciembre de 2008, por importe de 6 011 836,20 €.</w:t>
      </w:r>
    </w:p>
    <w:p w14:paraId="2FCDB748" w14:textId="77777777" w:rsidR="003754FE" w:rsidRDefault="003754FE" w:rsidP="003754FE">
      <w:pPr>
        <w:pStyle w:val="TextoNormal"/>
      </w:pPr>
    </w:p>
    <w:p w14:paraId="63DD8DDD" w14:textId="77777777" w:rsidR="003754FE" w:rsidRDefault="003754FE" w:rsidP="003754FE">
      <w:pPr>
        <w:pStyle w:val="TextoNormal"/>
      </w:pPr>
      <w:r>
        <w:t>- Modificación de 22 de diciembre de 2008, por importe de 8 000 000 €.</w:t>
      </w:r>
    </w:p>
    <w:p w14:paraId="7BC6B41B" w14:textId="77777777" w:rsidR="003754FE" w:rsidRDefault="003754FE" w:rsidP="003754FE">
      <w:pPr>
        <w:pStyle w:val="TextoNormal"/>
      </w:pPr>
    </w:p>
    <w:p w14:paraId="08B940E3" w14:textId="77777777" w:rsidR="003754FE" w:rsidRDefault="003754FE" w:rsidP="003754FE">
      <w:pPr>
        <w:pStyle w:val="TextoNormal"/>
      </w:pPr>
      <w:r>
        <w:t>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14:paraId="48378806" w14:textId="77777777" w:rsidR="003754FE" w:rsidRDefault="003754FE" w:rsidP="003754FE">
      <w:pPr>
        <w:pStyle w:val="TextoNormal"/>
      </w:pPr>
    </w:p>
    <w:p w14:paraId="3B48FEBA" w14:textId="77777777" w:rsidR="003754FE" w:rsidRDefault="003754FE" w:rsidP="003754FE">
      <w:pPr>
        <w:pStyle w:val="TextoNormal"/>
      </w:pPr>
      <w:r>
        <w:t>Según han puesto de relieve distintos informes y resoluciones judiciales y administrativas, como consecuencia de todo lo anterior, las irregularidades más significativas en la concesión de las ayudas (sin hacer una enumeración exhaustiva) han sido las siguientes:</w:t>
      </w:r>
    </w:p>
    <w:p w14:paraId="735ED167" w14:textId="77777777" w:rsidR="003754FE" w:rsidRDefault="003754FE" w:rsidP="003754FE">
      <w:pPr>
        <w:pStyle w:val="TextoNormal"/>
      </w:pPr>
    </w:p>
    <w:p w14:paraId="320E0D5F" w14:textId="77777777" w:rsidR="003754FE" w:rsidRDefault="003754FE" w:rsidP="003754FE">
      <w:pPr>
        <w:pStyle w:val="TextoNormal"/>
      </w:pPr>
      <w:r>
        <w:t>- En muchos casos no ha existido expediente de concesión de la ayuda.</w:t>
      </w:r>
    </w:p>
    <w:p w14:paraId="574CB315" w14:textId="77777777" w:rsidR="003754FE" w:rsidRDefault="003754FE" w:rsidP="003754FE">
      <w:pPr>
        <w:pStyle w:val="TextoNormal"/>
      </w:pPr>
    </w:p>
    <w:p w14:paraId="022A8BA0" w14:textId="77777777" w:rsidR="003754FE" w:rsidRDefault="003754FE" w:rsidP="003754FE">
      <w:pPr>
        <w:pStyle w:val="TextoNormal"/>
      </w:pPr>
      <w:r>
        <w:t>- El director general de Trabajo y Seguridad Social no tiene delegadas competencias para la concesión de subvenciones excepcionales.</w:t>
      </w:r>
    </w:p>
    <w:p w14:paraId="3B7292E0" w14:textId="77777777" w:rsidR="003754FE" w:rsidRDefault="003754FE" w:rsidP="003754FE">
      <w:pPr>
        <w:pStyle w:val="TextoNormal"/>
      </w:pPr>
    </w:p>
    <w:p w14:paraId="11899A06" w14:textId="77777777" w:rsidR="003754FE" w:rsidRDefault="003754FE" w:rsidP="003754FE">
      <w:pPr>
        <w:pStyle w:val="TextoNormal"/>
      </w:pPr>
      <w:r>
        <w:t>- No consta que se haya dado publicidad a la concesión de las ayudas (artículo 109 LGHPA).</w:t>
      </w:r>
    </w:p>
    <w:p w14:paraId="369F5129" w14:textId="77777777" w:rsidR="003754FE" w:rsidRDefault="003754FE" w:rsidP="003754FE">
      <w:pPr>
        <w:pStyle w:val="TextoNormal"/>
      </w:pPr>
    </w:p>
    <w:p w14:paraId="312B998D" w14:textId="77777777" w:rsidR="003754FE" w:rsidRDefault="003754FE" w:rsidP="003754FE">
      <w:pPr>
        <w:pStyle w:val="TextoNormal"/>
      </w:pPr>
      <w:r>
        <w:t>- Se ha omitido la fiscalización previa.</w:t>
      </w:r>
    </w:p>
    <w:p w14:paraId="7249F975" w14:textId="77777777" w:rsidR="003754FE" w:rsidRDefault="003754FE" w:rsidP="003754FE">
      <w:pPr>
        <w:pStyle w:val="TextoNormal"/>
      </w:pPr>
    </w:p>
    <w:p w14:paraId="1CE5DFAD" w14:textId="77777777" w:rsidR="003754FE" w:rsidRDefault="003754FE" w:rsidP="003754FE">
      <w:pPr>
        <w:pStyle w:val="TextoNormal"/>
      </w:pPr>
      <w:r>
        <w:t>- No consta autorización de la concesión de la subvención por el Consejo de Gobierno por razón de la cuantía.</w:t>
      </w:r>
    </w:p>
    <w:p w14:paraId="7DAF79E9" w14:textId="77777777" w:rsidR="003754FE" w:rsidRDefault="003754FE" w:rsidP="003754FE">
      <w:pPr>
        <w:pStyle w:val="TextoNormal"/>
      </w:pPr>
    </w:p>
    <w:p w14:paraId="23FB1BA7" w14:textId="77777777" w:rsidR="003754FE" w:rsidRDefault="003754FE" w:rsidP="003754FE">
      <w:pPr>
        <w:pStyle w:val="TextoNormal"/>
      </w:pPr>
      <w:r>
        <w:t>- No se consigna la aplicación presupuestaria del gasto y su distribución plurianual, ni el presupuesto subvencionado y el porcentaje que representa la subvención sobre el presupuesto aceptado.</w:t>
      </w:r>
    </w:p>
    <w:p w14:paraId="5B06D044" w14:textId="77777777" w:rsidR="003754FE" w:rsidRDefault="003754FE" w:rsidP="003754FE">
      <w:pPr>
        <w:pStyle w:val="TextoNormal"/>
      </w:pPr>
    </w:p>
    <w:p w14:paraId="6B2641D3" w14:textId="77777777" w:rsidR="003754FE" w:rsidRDefault="003754FE" w:rsidP="003754FE">
      <w:pPr>
        <w:pStyle w:val="TextoNormal"/>
      </w:pPr>
      <w:r>
        <w:t>- No consta informe de la Dirección General de Asuntos Europeos y Cooperación, de la Consejería de Presidencia, sobre cumplimiento del deber de notificar a la Comisión las subvenciones concedidas a empresas.</w:t>
      </w:r>
    </w:p>
    <w:p w14:paraId="7517122C" w14:textId="77777777" w:rsidR="003754FE" w:rsidRDefault="003754FE" w:rsidP="003754FE">
      <w:pPr>
        <w:pStyle w:val="TextoNormal"/>
      </w:pPr>
    </w:p>
    <w:p w14:paraId="27883D18" w14:textId="77777777" w:rsidR="003754FE" w:rsidRDefault="003754FE" w:rsidP="003754FE">
      <w:pPr>
        <w:pStyle w:val="TextoNormal"/>
      </w:pPr>
      <w:r>
        <w:t>- No consta memoria explicativa de la excepcionalidad de las subvenciones, ni los requisitos que se exigen para ser beneficiario, ni se detalla la forma en que debería realizarse la justificación del cumplimiento de la finalidad para la que fue concedida la ayuda.</w:t>
      </w:r>
    </w:p>
    <w:p w14:paraId="7DCD0AE2" w14:textId="77777777" w:rsidR="003754FE" w:rsidRDefault="003754FE" w:rsidP="003754FE">
      <w:pPr>
        <w:pStyle w:val="TextoNormal"/>
      </w:pPr>
    </w:p>
    <w:p w14:paraId="6360AD5C" w14:textId="77777777" w:rsidR="003754FE" w:rsidRDefault="003754FE" w:rsidP="003754FE">
      <w:pPr>
        <w:pStyle w:val="TextoNormal"/>
      </w:pPr>
      <w:r>
        <w:lastRenderedPageBreak/>
        <w:t>- Los convenios de colaboración por lo que se han concedido las ayudas no adoptan ni la forma ni los contenidos mínimos que exige la Ley 38/2003, de 17 de noviembre.</w:t>
      </w:r>
    </w:p>
    <w:p w14:paraId="6653F16F" w14:textId="77777777" w:rsidR="003754FE" w:rsidRDefault="003754FE" w:rsidP="003754FE">
      <w:pPr>
        <w:pStyle w:val="TextoNormal"/>
      </w:pPr>
    </w:p>
    <w:p w14:paraId="78CC3679" w14:textId="77777777" w:rsidR="003754FE" w:rsidRDefault="003754FE" w:rsidP="003754FE">
      <w:pPr>
        <w:pStyle w:val="TextoNormal"/>
      </w:pPr>
      <w:r>
        <w:t>- Ni las subvenciones ni los convenios han sido publicados en el ‘Boletín Oficial de la Junta de Andalucía’, ni en la base de datos de subvenciones de la Junta de Andalucía.</w:t>
      </w:r>
    </w:p>
    <w:p w14:paraId="7A077D9F" w14:textId="77777777" w:rsidR="003754FE" w:rsidRDefault="003754FE" w:rsidP="003754FE">
      <w:pPr>
        <w:pStyle w:val="TextoNormal"/>
      </w:pPr>
    </w:p>
    <w:p w14:paraId="1B329173" w14:textId="77777777" w:rsidR="003754FE" w:rsidRDefault="003754FE" w:rsidP="003754FE">
      <w:pPr>
        <w:pStyle w:val="TextoNormal"/>
      </w:pPr>
      <w:r>
        <w:t>- La concesión de las subvenciones no ha sido objeto de informe previo por el Gabinete Jurídico de la Junta de Andalucía.</w:t>
      </w:r>
    </w:p>
    <w:p w14:paraId="485BD6D1" w14:textId="77777777" w:rsidR="003754FE" w:rsidRDefault="003754FE" w:rsidP="003754FE">
      <w:pPr>
        <w:pStyle w:val="TextoNormal"/>
      </w:pPr>
    </w:p>
    <w:p w14:paraId="4DF06A0D" w14:textId="77777777" w:rsidR="003754FE" w:rsidRDefault="003754FE" w:rsidP="003754FE">
      <w:pPr>
        <w:pStyle w:val="TextoNormal"/>
      </w:pPr>
      <w:r>
        <w:t>- No se acredita la personalidad de las entidades solicitantes, ni la de sus representantes.</w:t>
      </w:r>
    </w:p>
    <w:p w14:paraId="665A0CCB" w14:textId="77777777" w:rsidR="003754FE" w:rsidRDefault="003754FE" w:rsidP="003754FE">
      <w:pPr>
        <w:pStyle w:val="TextoNormal"/>
      </w:pPr>
    </w:p>
    <w:p w14:paraId="6974044A" w14:textId="77777777" w:rsidR="003754FE" w:rsidRDefault="003754FE" w:rsidP="003754FE">
      <w:pPr>
        <w:pStyle w:val="TextoNormal"/>
      </w:pPr>
      <w:r>
        <w:t>- No se aporta informe o memoria acreditativa de la finalidad pública, o razones de interés social o económico, en la concesión.</w:t>
      </w:r>
    </w:p>
    <w:p w14:paraId="722F203A" w14:textId="77777777" w:rsidR="003754FE" w:rsidRDefault="003754FE" w:rsidP="003754FE">
      <w:pPr>
        <w:pStyle w:val="TextoNormal"/>
      </w:pPr>
    </w:p>
    <w:p w14:paraId="7929FB6A" w14:textId="77777777" w:rsidR="003754FE" w:rsidRDefault="003754FE" w:rsidP="003754FE">
      <w:pPr>
        <w:pStyle w:val="TextoNormal"/>
      </w:pPr>
      <w:r>
        <w:t>- No consta solicitud presentada por los interesados ni su aceptación expresa.</w:t>
      </w:r>
    </w:p>
    <w:p w14:paraId="24D8D509" w14:textId="77777777" w:rsidR="003754FE" w:rsidRDefault="003754FE" w:rsidP="003754FE">
      <w:pPr>
        <w:pStyle w:val="TextoNormal"/>
      </w:pPr>
    </w:p>
    <w:p w14:paraId="73F21913" w14:textId="77777777" w:rsidR="003754FE" w:rsidRDefault="003754FE" w:rsidP="003754FE">
      <w:pPr>
        <w:pStyle w:val="TextoNormal"/>
      </w:pPr>
      <w:r>
        <w:t>- No se aporta declaración responsable del beneficiario de otras subvenciones o ayudas concedidas para la misma finalidad (artículos 111 y 105 de LGHPA, y artículo 15.1 del Reglamento de subvenciones).</w:t>
      </w:r>
    </w:p>
    <w:p w14:paraId="33127BE8" w14:textId="77777777" w:rsidR="003754FE" w:rsidRDefault="003754FE" w:rsidP="003754FE">
      <w:pPr>
        <w:pStyle w:val="TextoNormal"/>
      </w:pPr>
    </w:p>
    <w:p w14:paraId="0E54A4C2" w14:textId="77777777" w:rsidR="003754FE" w:rsidRDefault="003754FE" w:rsidP="003754FE">
      <w:pPr>
        <w:pStyle w:val="TextoNormal"/>
      </w:pPr>
      <w:r>
        <w:t>- No consta declaración expresa de los beneficiarios de no haber recaído sobre ellos resolución administrativa o judicial firme de reintegro.</w:t>
      </w:r>
    </w:p>
    <w:p w14:paraId="47C5848F" w14:textId="77777777" w:rsidR="003754FE" w:rsidRDefault="003754FE" w:rsidP="003754FE">
      <w:pPr>
        <w:pStyle w:val="TextoNormal"/>
      </w:pPr>
    </w:p>
    <w:p w14:paraId="5A79E77B" w14:textId="77777777" w:rsidR="003754FE" w:rsidRDefault="003754FE" w:rsidP="003754FE">
      <w:pPr>
        <w:pStyle w:val="TextoNormal"/>
      </w:pPr>
      <w:r>
        <w:t>- No se acredita por los beneficiarios estar al corriente en sus obligaciones fiscales.</w:t>
      </w:r>
    </w:p>
    <w:p w14:paraId="7C16515B" w14:textId="77777777" w:rsidR="003754FE" w:rsidRDefault="003754FE" w:rsidP="003754FE">
      <w:pPr>
        <w:pStyle w:val="TextoNormal"/>
      </w:pPr>
    </w:p>
    <w:p w14:paraId="401D3715" w14:textId="77777777" w:rsidR="003754FE" w:rsidRDefault="003754FE" w:rsidP="003754FE">
      <w:pPr>
        <w:pStyle w:val="TextoNormal"/>
      </w:pPr>
      <w:r>
        <w:t>- No se determina el plazo y forma de justificación por el beneficiario del cumplimiento de la finalidad para la que se concede la ayuda.</w:t>
      </w:r>
    </w:p>
    <w:p w14:paraId="406DA99D" w14:textId="77777777" w:rsidR="003754FE" w:rsidRDefault="003754FE" w:rsidP="003754FE">
      <w:pPr>
        <w:pStyle w:val="TextoNormal"/>
      </w:pPr>
    </w:p>
    <w:p w14:paraId="3259C526" w14:textId="77777777" w:rsidR="003754FE" w:rsidRDefault="003754FE" w:rsidP="003754FE">
      <w:pPr>
        <w:pStyle w:val="TextoNormal"/>
      </w:pPr>
      <w:r>
        <w:t>- No se indica la forma y secuencia del pago y los requisitos exigidos para su abono.</w:t>
      </w:r>
    </w:p>
    <w:p w14:paraId="7931D17A" w14:textId="77777777" w:rsidR="003754FE" w:rsidRDefault="003754FE" w:rsidP="003754FE">
      <w:pPr>
        <w:pStyle w:val="TextoNormal"/>
      </w:pPr>
    </w:p>
    <w:p w14:paraId="31E9B27A" w14:textId="77777777" w:rsidR="003754FE" w:rsidRDefault="003754FE" w:rsidP="003754FE">
      <w:pPr>
        <w:pStyle w:val="TextoNormal"/>
      </w:pPr>
      <w:r>
        <w:t>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14:paraId="1B1015AC" w14:textId="77777777" w:rsidR="003754FE" w:rsidRDefault="003754FE" w:rsidP="003754FE">
      <w:pPr>
        <w:pStyle w:val="TextoNormal"/>
      </w:pPr>
    </w:p>
    <w:p w14:paraId="0AA81E19" w14:textId="77777777" w:rsidR="003754FE" w:rsidRDefault="003754FE" w:rsidP="003754FE">
      <w:pPr>
        <w:pStyle w:val="TextoNormal"/>
      </w:pPr>
      <w:r>
        <w:t>Las consecuencias de semejante descontrol fueron las siguientes:</w:t>
      </w:r>
    </w:p>
    <w:p w14:paraId="4257D327" w14:textId="77777777" w:rsidR="003754FE" w:rsidRDefault="003754FE" w:rsidP="003754FE">
      <w:pPr>
        <w:pStyle w:val="TextoNormal"/>
      </w:pPr>
    </w:p>
    <w:p w14:paraId="2559A902" w14:textId="77777777" w:rsidR="003754FE" w:rsidRDefault="003754FE" w:rsidP="003754FE">
      <w:pPr>
        <w:pStyle w:val="TextoNormal"/>
      </w:pPr>
      <w:r>
        <w:t>(i)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ayudas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14:paraId="7E730E73" w14:textId="77777777" w:rsidR="003754FE" w:rsidRDefault="003754FE" w:rsidP="003754FE">
      <w:pPr>
        <w:pStyle w:val="TextoNormal"/>
      </w:pPr>
    </w:p>
    <w:p w14:paraId="3ACE19E0" w14:textId="77777777" w:rsidR="003754FE" w:rsidRDefault="003754FE" w:rsidP="003754FE">
      <w:pPr>
        <w:pStyle w:val="TextoNormal"/>
      </w:pPr>
      <w:r>
        <w:t>- En el año 2001, fueron 748, afectando a un total de 7582 trabajadores.</w:t>
      </w:r>
    </w:p>
    <w:p w14:paraId="56E474A3" w14:textId="77777777" w:rsidR="003754FE" w:rsidRDefault="003754FE" w:rsidP="003754FE">
      <w:pPr>
        <w:pStyle w:val="TextoNormal"/>
      </w:pPr>
    </w:p>
    <w:p w14:paraId="733D1AAE" w14:textId="77777777" w:rsidR="003754FE" w:rsidRDefault="003754FE" w:rsidP="003754FE">
      <w:pPr>
        <w:pStyle w:val="TextoNormal"/>
      </w:pPr>
      <w:r>
        <w:t>- En el año 2002, fueron 650, afectando a un total de 4787 trabajadores.</w:t>
      </w:r>
    </w:p>
    <w:p w14:paraId="41A54CC1" w14:textId="77777777" w:rsidR="003754FE" w:rsidRDefault="003754FE" w:rsidP="003754FE">
      <w:pPr>
        <w:pStyle w:val="TextoNormal"/>
      </w:pPr>
    </w:p>
    <w:p w14:paraId="76CDE4CC" w14:textId="77777777" w:rsidR="003754FE" w:rsidRDefault="003754FE" w:rsidP="003754FE">
      <w:pPr>
        <w:pStyle w:val="TextoNormal"/>
      </w:pPr>
      <w:r>
        <w:t>- En el año 2003, fueron 511, afectando a un total de 4957 trabajadores.</w:t>
      </w:r>
    </w:p>
    <w:p w14:paraId="5666DEE1" w14:textId="77777777" w:rsidR="003754FE" w:rsidRDefault="003754FE" w:rsidP="003754FE">
      <w:pPr>
        <w:pStyle w:val="TextoNormal"/>
      </w:pPr>
    </w:p>
    <w:p w14:paraId="4E9A21CF" w14:textId="77777777" w:rsidR="003754FE" w:rsidRDefault="003754FE" w:rsidP="003754FE">
      <w:pPr>
        <w:pStyle w:val="TextoNormal"/>
      </w:pPr>
      <w:r>
        <w:t>- En el año 2004, fueron 657, afectando a un total de 4833 trabajadores.</w:t>
      </w:r>
    </w:p>
    <w:p w14:paraId="1E1D15EF" w14:textId="77777777" w:rsidR="003754FE" w:rsidRDefault="003754FE" w:rsidP="003754FE">
      <w:pPr>
        <w:pStyle w:val="TextoNormal"/>
      </w:pPr>
    </w:p>
    <w:p w14:paraId="28DEECE5" w14:textId="77777777" w:rsidR="003754FE" w:rsidRDefault="003754FE" w:rsidP="003754FE">
      <w:pPr>
        <w:pStyle w:val="TextoNormal"/>
      </w:pPr>
      <w:r>
        <w:t>- En el año 2005, fueron 424, afectando a un total de 5476 trabajadores.</w:t>
      </w:r>
    </w:p>
    <w:p w14:paraId="3AF86E07" w14:textId="77777777" w:rsidR="003754FE" w:rsidRDefault="003754FE" w:rsidP="003754FE">
      <w:pPr>
        <w:pStyle w:val="TextoNormal"/>
      </w:pPr>
    </w:p>
    <w:p w14:paraId="45D5C131" w14:textId="77777777" w:rsidR="003754FE" w:rsidRDefault="003754FE" w:rsidP="003754FE">
      <w:pPr>
        <w:pStyle w:val="TextoNormal"/>
      </w:pPr>
      <w:r>
        <w:t>- En el año 2006, fueron 434, afectando a un total de 2968 trabajadores.</w:t>
      </w:r>
    </w:p>
    <w:p w14:paraId="1160DA4B" w14:textId="77777777" w:rsidR="003754FE" w:rsidRDefault="003754FE" w:rsidP="003754FE">
      <w:pPr>
        <w:pStyle w:val="TextoNormal"/>
      </w:pPr>
    </w:p>
    <w:p w14:paraId="4B24B424" w14:textId="77777777" w:rsidR="003754FE" w:rsidRDefault="003754FE" w:rsidP="003754FE">
      <w:pPr>
        <w:pStyle w:val="TextoNormal"/>
      </w:pPr>
      <w:r>
        <w:t>- En el año 2007, fueron 428, afectando a un total de 3247 trabajadores.</w:t>
      </w:r>
    </w:p>
    <w:p w14:paraId="08CB794A" w14:textId="77777777" w:rsidR="003754FE" w:rsidRDefault="003754FE" w:rsidP="003754FE">
      <w:pPr>
        <w:pStyle w:val="TextoNormal"/>
      </w:pPr>
    </w:p>
    <w:p w14:paraId="55842A16" w14:textId="77777777" w:rsidR="003754FE" w:rsidRDefault="003754FE" w:rsidP="003754FE">
      <w:pPr>
        <w:pStyle w:val="TextoNormal"/>
      </w:pPr>
      <w:r>
        <w:t>- En el año 2008, fueron 652, afectando a un total de 7000 trabajadores.</w:t>
      </w:r>
    </w:p>
    <w:p w14:paraId="652692D7" w14:textId="77777777" w:rsidR="003754FE" w:rsidRDefault="003754FE" w:rsidP="003754FE">
      <w:pPr>
        <w:pStyle w:val="TextoNormal"/>
      </w:pPr>
    </w:p>
    <w:p w14:paraId="004B0C05" w14:textId="77777777" w:rsidR="003754FE" w:rsidRDefault="003754FE" w:rsidP="003754FE">
      <w:pPr>
        <w:pStyle w:val="TextoNormal"/>
      </w:pPr>
      <w:r>
        <w:t>- En el año 2009, fueron 1379, afectando a un total de 30 821 trabajadores.</w:t>
      </w:r>
    </w:p>
    <w:p w14:paraId="02685DDC" w14:textId="77777777" w:rsidR="003754FE" w:rsidRDefault="003754FE" w:rsidP="003754FE">
      <w:pPr>
        <w:pStyle w:val="TextoNormal"/>
      </w:pPr>
    </w:p>
    <w:p w14:paraId="13311B71" w14:textId="77777777" w:rsidR="003754FE" w:rsidRDefault="003754FE" w:rsidP="003754FE">
      <w:pPr>
        <w:pStyle w:val="TextoNormal"/>
      </w:pPr>
      <w:r>
        <w:t>- En el año 2010, fueron 1490, afectando a un total de 21 450 trabajadores.</w:t>
      </w:r>
    </w:p>
    <w:p w14:paraId="54F1FCBF" w14:textId="77777777" w:rsidR="003754FE" w:rsidRDefault="003754FE" w:rsidP="003754FE">
      <w:pPr>
        <w:pStyle w:val="TextoNormal"/>
      </w:pPr>
    </w:p>
    <w:p w14:paraId="6750C191" w14:textId="77777777" w:rsidR="003754FE" w:rsidRDefault="003754FE" w:rsidP="003754FE">
      <w:pPr>
        <w:pStyle w:val="TextoNormal"/>
      </w:pPr>
      <w:r>
        <w:t>(ii) La ausencia de cualquier mecanismo de comprobación de la pertenencia al colectivo afectado de las personas beneficiarias de las pólizas, permitió la inclusión de beneficiarios que nunca habían pertenecido a las empresas ayudadas por la Consejería de Empleo.</w:t>
      </w:r>
    </w:p>
    <w:p w14:paraId="566FD0E6" w14:textId="77777777" w:rsidR="003754FE" w:rsidRDefault="003754FE" w:rsidP="003754FE">
      <w:pPr>
        <w:pStyle w:val="TextoNormal"/>
      </w:pPr>
    </w:p>
    <w:p w14:paraId="52F7247D" w14:textId="77777777" w:rsidR="003754FE" w:rsidRDefault="003754FE" w:rsidP="003754FE">
      <w:pPr>
        <w:pStyle w:val="TextoNormal"/>
      </w:pPr>
      <w:r>
        <w:t>(iii)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14:paraId="1D85F451" w14:textId="77777777" w:rsidR="003754FE" w:rsidRDefault="003754FE" w:rsidP="003754FE">
      <w:pPr>
        <w:pStyle w:val="TextoNormal"/>
      </w:pPr>
    </w:p>
    <w:p w14:paraId="27CCCF03" w14:textId="77777777" w:rsidR="003754FE" w:rsidRDefault="003754FE" w:rsidP="003754FE">
      <w:pPr>
        <w:pStyle w:val="TextoNormal"/>
      </w:pPr>
      <w:r>
        <w:t>(iv)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14:paraId="49DB2E14" w14:textId="77777777" w:rsidR="003754FE" w:rsidRDefault="003754FE" w:rsidP="003754FE">
      <w:pPr>
        <w:pStyle w:val="TextoNormal"/>
      </w:pPr>
    </w:p>
    <w:p w14:paraId="6F058DE5" w14:textId="77777777" w:rsidR="003754FE" w:rsidRDefault="003754FE" w:rsidP="003754FE">
      <w:pPr>
        <w:pStyle w:val="TextoNormal"/>
      </w:pPr>
      <w:r>
        <w:t>(v)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de un curso de alta dirección, durante cinco ejercicios.</w:t>
      </w:r>
    </w:p>
    <w:p w14:paraId="754BFE87" w14:textId="77777777" w:rsidR="003754FE" w:rsidRDefault="003754FE" w:rsidP="003754FE">
      <w:pPr>
        <w:pStyle w:val="TextoNormal"/>
      </w:pPr>
    </w:p>
    <w:p w14:paraId="1710229C" w14:textId="77777777" w:rsidR="003754FE" w:rsidRDefault="003754FE" w:rsidP="003754FE">
      <w:pPr>
        <w:pStyle w:val="TextoNormal"/>
      </w:pPr>
      <w:r>
        <w:lastRenderedPageBreak/>
        <w:t>III) Tercera etapa</w:t>
      </w:r>
    </w:p>
    <w:p w14:paraId="357FF2C1" w14:textId="77777777" w:rsidR="003754FE" w:rsidRDefault="003754FE" w:rsidP="003754FE">
      <w:pPr>
        <w:pStyle w:val="TextoNormal"/>
      </w:pPr>
    </w:p>
    <w:p w14:paraId="417DB1FD" w14:textId="77777777" w:rsidR="003754FE" w:rsidRDefault="003754FE" w:rsidP="003754FE">
      <w:pPr>
        <w:pStyle w:val="TextoNormal"/>
      </w:pPr>
      <w:r>
        <w:t>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14:paraId="4BE0C7CF" w14:textId="77777777" w:rsidR="003754FE" w:rsidRDefault="003754FE" w:rsidP="003754FE">
      <w:pPr>
        <w:pStyle w:val="TextoNormal"/>
      </w:pPr>
    </w:p>
    <w:p w14:paraId="42FEB557" w14:textId="77777777" w:rsidR="003754FE" w:rsidRDefault="003754FE" w:rsidP="003754FE">
      <w:pPr>
        <w:pStyle w:val="TextoNormal"/>
      </w:pPr>
      <w:r>
        <w:t>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14:paraId="7D446A87" w14:textId="77777777" w:rsidR="003754FE" w:rsidRDefault="003754FE" w:rsidP="003754FE">
      <w:pPr>
        <w:pStyle w:val="TextoNormal"/>
      </w:pPr>
    </w:p>
    <w:p w14:paraId="02CD1B6E" w14:textId="77777777" w:rsidR="003754FE" w:rsidRDefault="003754FE" w:rsidP="003754FE">
      <w:pPr>
        <w:pStyle w:val="TextoNormal"/>
      </w:pPr>
      <w:r>
        <w:t>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14:paraId="0FD2F30B" w14:textId="77777777" w:rsidR="003754FE" w:rsidRDefault="003754FE" w:rsidP="003754FE">
      <w:pPr>
        <w:pStyle w:val="TextoNormal"/>
      </w:pPr>
    </w:p>
    <w:p w14:paraId="221BBB94" w14:textId="77777777" w:rsidR="003754FE" w:rsidRDefault="003754FE" w:rsidP="003754FE">
      <w:pPr>
        <w:pStyle w:val="TextoNormal"/>
      </w:pPr>
      <w:r>
        <w:t>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14:paraId="6BCB775F" w14:textId="77777777" w:rsidR="003754FE" w:rsidRDefault="003754FE" w:rsidP="003754FE">
      <w:pPr>
        <w:pStyle w:val="TextoNormal"/>
      </w:pPr>
    </w:p>
    <w:p w14:paraId="4E5AA177" w14:textId="77777777" w:rsidR="003754FE" w:rsidRDefault="003754FE" w:rsidP="003754FE">
      <w:pPr>
        <w:pStyle w:val="TextoNormal"/>
      </w:pPr>
      <w:r>
        <w:t>b) El demandante de amparo fue condenado en sentencia núm. 490/2019, de 19 de noviembre, dictada por la Sección Primera de la Audiencia Provincial de Sevilla, en el rollo núm. 1965-2017, por haber participado en los hechos anteriores, en su condición de consejero de Presidencia de la Junta de Andalucía, cargo que ocupó entre abril de 1996 y abril de 2009, como autor de un delito continuado de prevaricación a la pena de nueve años de inhabilitación especial, con la consiguiente privación definitiva de todo cargo público de carácter electivo o de designación, en cualquier administración Pública y la incapacidad para obtenerlos durante el tiempo de la condena. Se le impuso asimismo el pago de 1/37 partes de las costas procesales causadas, excluidas las de las acusaciones populares.</w:t>
      </w:r>
    </w:p>
    <w:p w14:paraId="0F00EE0D" w14:textId="77777777" w:rsidR="003754FE" w:rsidRDefault="003754FE" w:rsidP="003754FE">
      <w:pPr>
        <w:pStyle w:val="TextoNormal"/>
      </w:pPr>
    </w:p>
    <w:p w14:paraId="78FA82E8" w14:textId="77777777" w:rsidR="003754FE" w:rsidRDefault="003754FE" w:rsidP="003754FE">
      <w:pPr>
        <w:pStyle w:val="TextoNormal"/>
      </w:pPr>
      <w:r>
        <w:t>c) Interpuesto recurso de casación por la representación procesal del demandante, fue desestimado íntegramente por sentencia de la Sala de lo Penal del Tribunal Supremo núm. 749/2022, de 13 de septiembre.</w:t>
      </w:r>
    </w:p>
    <w:p w14:paraId="7FDCA58C" w14:textId="77777777" w:rsidR="003754FE" w:rsidRDefault="003754FE" w:rsidP="003754FE">
      <w:pPr>
        <w:pStyle w:val="TextoNormal"/>
      </w:pPr>
    </w:p>
    <w:p w14:paraId="679B096A" w14:textId="77777777" w:rsidR="003754FE" w:rsidRDefault="003754FE" w:rsidP="003754FE">
      <w:pPr>
        <w:pStyle w:val="TextoNormal"/>
      </w:pPr>
      <w:r>
        <w:t>d) Por auto del Tribunal Supremo de 14 de diciembre de 2022 se estimó parcialmente la petición de aclaración de la citada sentencia.</w:t>
      </w:r>
    </w:p>
    <w:p w14:paraId="42CAEBB6" w14:textId="77777777" w:rsidR="003754FE" w:rsidRDefault="003754FE" w:rsidP="003754FE">
      <w:pPr>
        <w:pStyle w:val="TextoNormal"/>
      </w:pPr>
    </w:p>
    <w:p w14:paraId="6717B11D" w14:textId="057D942B" w:rsidR="003754FE" w:rsidRDefault="003754FE" w:rsidP="003754FE">
      <w:pPr>
        <w:pStyle w:val="TextoNormal"/>
      </w:pPr>
      <w:r>
        <w:lastRenderedPageBreak/>
        <w:t>e) Por auto del Tribunal Supremo de 16 de febrero de 2023 se inadmitió el incidente de nulidad de actuaciones formulado por el recurrente frente a la sentencia del Tribunal Supremo que desestimó el recurso de casación.</w:t>
      </w:r>
    </w:p>
    <w:p w14:paraId="3A3237D3" w14:textId="77777777" w:rsidR="003754FE" w:rsidRDefault="003754FE" w:rsidP="003754FE">
      <w:pPr>
        <w:pStyle w:val="TextoNormal"/>
      </w:pPr>
    </w:p>
    <w:p w14:paraId="1380195E" w14:textId="77777777" w:rsidR="003754FE" w:rsidRDefault="003754FE" w:rsidP="003754FE">
      <w:pPr>
        <w:pStyle w:val="TextoNormal"/>
      </w:pPr>
      <w:r w:rsidRPr="003754FE">
        <w:rPr>
          <w:rStyle w:val="NumeroAFNegritaCaracter"/>
        </w:rPr>
        <w:t>3</w:t>
      </w:r>
      <w:r>
        <w:t>. La demanda se articula formalmente en torno a dos motivos, en los que se denuncia la vulneración del derecho al juez ordinario predeterminado por la ley (art. 24.2 CE) y del derecho a la presunción de inocencia (art. 24.2 CE), si bien este segundo motivo aglutina quejas diversas en las que asimismo se alega la lesión del derecho a la legalidad penal (art. 25.1 CE).</w:t>
      </w:r>
    </w:p>
    <w:p w14:paraId="7A05CC08" w14:textId="77777777" w:rsidR="003754FE" w:rsidRDefault="003754FE" w:rsidP="003754FE">
      <w:pPr>
        <w:pStyle w:val="TextoNormal"/>
      </w:pPr>
    </w:p>
    <w:p w14:paraId="52C71002" w14:textId="77777777" w:rsidR="003754FE" w:rsidRDefault="003754FE" w:rsidP="003754FE">
      <w:pPr>
        <w:pStyle w:val="TextoNormal"/>
      </w:pPr>
      <w:r>
        <w:t>a) Vulneración del derecho al juez ordinario predeterminado por la ley (art. 24.2 CE)</w:t>
      </w:r>
    </w:p>
    <w:p w14:paraId="47B749B3" w14:textId="77777777" w:rsidR="003754FE" w:rsidRDefault="003754FE" w:rsidP="003754FE">
      <w:pPr>
        <w:pStyle w:val="TextoNormal"/>
      </w:pPr>
    </w:p>
    <w:p w14:paraId="066326ED" w14:textId="77777777" w:rsidR="003754FE" w:rsidRDefault="003754FE" w:rsidP="003754FE">
      <w:pPr>
        <w:pStyle w:val="TextoNormal"/>
      </w:pPr>
      <w:r>
        <w:t>La demanda atribuye la lesión a la atribución al juez de refuerzo del Juzgado de Instrucción núm. 6 de Sevilla de la instrucción de las diligencias que concluyeron en la condena.</w:t>
      </w:r>
    </w:p>
    <w:p w14:paraId="3472AD2E" w14:textId="77777777" w:rsidR="003754FE" w:rsidRDefault="003754FE" w:rsidP="003754FE">
      <w:pPr>
        <w:pStyle w:val="TextoNormal"/>
      </w:pPr>
    </w:p>
    <w:p w14:paraId="237DC950" w14:textId="77777777" w:rsidR="003754FE" w:rsidRDefault="003754FE" w:rsidP="003754FE">
      <w:pPr>
        <w:pStyle w:val="TextoNormal"/>
      </w:pPr>
      <w:r>
        <w:t>Se aduce que dicho juez de refuerzo, Sr. Martín, es nombrado por acuerdo de 24 de julio de 2013 de la Comisión Permanente del Consejo General del Poder Judicial (CGPJ) “al objeto de que su titular pueda dedicarse a las macrocausas que viene investigando desde hace tiempo”, entre las que se encontraba el llamado “asunto de los ERE” (Diligencias Previas 174-11). La titular del juzgado acordó por auto de 9 de noviembre de 2015 la apertura de seis piezas separadas, una de las cuales se incoó como diligencias previas 6645-2015 y concluyó con la sentencia recurrida. Sigue narrándose que, días después (el 9 de diciembre de 2015) y tras haber ordenado algunas diligencias, la juez titular acordó con el juez de refuerzo que desde entonces fuera este el instructor del procedimiento, como así ocurrió. Ese acuerdo privado, que el demandante tilda de atribución y no de distribución de asuntos, fue respaldado por la Sala de Gobierno del Tribunal Superior de Justicia de Andalucía el 14 de diciembre de 2015 y por la Comisión Permanente del CGPJ el 21 de enero de 2016.</w:t>
      </w:r>
    </w:p>
    <w:p w14:paraId="515B2A0B" w14:textId="77777777" w:rsidR="003754FE" w:rsidRDefault="003754FE" w:rsidP="003754FE">
      <w:pPr>
        <w:pStyle w:val="TextoNormal"/>
      </w:pPr>
    </w:p>
    <w:p w14:paraId="68FAFDE8" w14:textId="77777777" w:rsidR="003754FE" w:rsidRDefault="003754FE" w:rsidP="003754FE">
      <w:pPr>
        <w:pStyle w:val="TextoNormal"/>
      </w:pPr>
      <w:r>
        <w:t xml:space="preserve">A juicio del recurrente, el nombramiento del juez de refuerzo mediante un acuerdo donde se le atribuía directa, específica y nominativamente la instrucción de la causa, quitándosela al anterior instructor, vulnera el art. 216 </w:t>
      </w:r>
      <w:r w:rsidRPr="003754FE">
        <w:rPr>
          <w:i/>
        </w:rPr>
        <w:t>bis</w:t>
      </w:r>
      <w:r>
        <w:t xml:space="preserve">.2.4 de la Ley Orgánica del Poder Judicial (LOPJ), en tanto se atribuye al juez de refuerzo una casusa ya abierta y en trámite, por lo que supone un encargo determinado y, en tal medida, el nombramiento de un juez </w:t>
      </w:r>
      <w:r w:rsidRPr="003754FE">
        <w:rPr>
          <w:i/>
        </w:rPr>
        <w:t>ad hoc</w:t>
      </w:r>
      <w:r>
        <w:t xml:space="preserve"> contrario al art. 24.2 CE, que exige que el juez esté predeterminado por la ley. Así se seguiría, entre otras, de la STC 101/1984, que señala que “el juez del caso no podrá ser desposeído de su conocimiento en virtud de decisiones tomadas por órganos gubernativos”.</w:t>
      </w:r>
    </w:p>
    <w:p w14:paraId="0A243C81" w14:textId="77777777" w:rsidR="003754FE" w:rsidRDefault="003754FE" w:rsidP="003754FE">
      <w:pPr>
        <w:pStyle w:val="TextoNormal"/>
      </w:pPr>
    </w:p>
    <w:p w14:paraId="201EF0C3" w14:textId="77777777" w:rsidR="003754FE" w:rsidRDefault="003754FE" w:rsidP="003754FE">
      <w:pPr>
        <w:pStyle w:val="TextoNormal"/>
      </w:pPr>
      <w:r>
        <w:t>Añade que ese “juez extraordinario” acometió actuaciones incomprensibles en perjuicio de los acusados, lo que aporta razones adicionales de indefensión para la anulación de su nombramiento y de la instrucción que practicó. Alude aquí al dictado el 31 de mayo de 2016 de un auto de transformación en un momento procesal indebido y con la instrucción no concluida, al menor plazo concedido a las defensas para presentar el escrito de defensa (treinta días) respecto al que concedió a las acusaciones (setenta y ocho días) y a la inclusión del delito de asociación ilícita en el auto de apertura del juicio oral de forma sorprendente, que fue anulada por la Audiencia Provincial.</w:t>
      </w:r>
    </w:p>
    <w:p w14:paraId="55319A6E" w14:textId="77777777" w:rsidR="003754FE" w:rsidRDefault="003754FE" w:rsidP="003754FE">
      <w:pPr>
        <w:pStyle w:val="TextoNormal"/>
      </w:pPr>
    </w:p>
    <w:p w14:paraId="49028F3B" w14:textId="77777777" w:rsidR="003754FE" w:rsidRDefault="003754FE" w:rsidP="003754FE">
      <w:pPr>
        <w:pStyle w:val="TextoNormal"/>
      </w:pPr>
      <w:r>
        <w:t xml:space="preserve">El recurrente subraya que tanto en sus escritos de conclusiones como en el recurso de casación incluyó la denuncia de vulneración del derecho al juez ordinario predeterminado </w:t>
      </w:r>
      <w:r>
        <w:lastRenderedPageBreak/>
        <w:t>por la ley, pero la sentencia del Tribunal Supremo desestimó la queja desenfocando su contenido, por lo que ni son de recibo los argumentos que en ella se esgrimen ni existe una verdadera respuesta material a lo alegado.</w:t>
      </w:r>
    </w:p>
    <w:p w14:paraId="131E743B" w14:textId="77777777" w:rsidR="003754FE" w:rsidRDefault="003754FE" w:rsidP="003754FE">
      <w:pPr>
        <w:pStyle w:val="TextoNormal"/>
      </w:pPr>
    </w:p>
    <w:p w14:paraId="7B32CD93" w14:textId="77777777" w:rsidR="003754FE" w:rsidRDefault="003754FE" w:rsidP="003754FE">
      <w:pPr>
        <w:pStyle w:val="TextoNormal"/>
      </w:pPr>
      <w:r>
        <w:t>b) Vulneración del derecho a la presunción de inocencia (art. 24.2 CE) y del derecho a la legalidad penal (art. 25.1 CE)</w:t>
      </w:r>
    </w:p>
    <w:p w14:paraId="58857318" w14:textId="77777777" w:rsidR="003754FE" w:rsidRDefault="003754FE" w:rsidP="003754FE">
      <w:pPr>
        <w:pStyle w:val="TextoNormal"/>
      </w:pPr>
    </w:p>
    <w:p w14:paraId="6EE264F2" w14:textId="77777777" w:rsidR="003754FE" w:rsidRDefault="003754FE" w:rsidP="003754FE">
      <w:pPr>
        <w:pStyle w:val="TextoNormal"/>
      </w:pPr>
      <w:r>
        <w:t>El segundo motivo del recurso se desarrolla bajo la denuncia en el título de la lesión del derecho a la presunción de inocencia, pero su desarrollo identifica de forma expresa el origen de la lesión con la subsunción irrazonable y contraria al art. 25.1 CE de la elevación de un proyecto de ley al Parlamento o de la aprobación de una modificación presupuestaria en el tipo objetivo del delito de prevaricación.</w:t>
      </w:r>
    </w:p>
    <w:p w14:paraId="16EC3EF7" w14:textId="77777777" w:rsidR="003754FE" w:rsidRDefault="003754FE" w:rsidP="003754FE">
      <w:pPr>
        <w:pStyle w:val="TextoNormal"/>
      </w:pPr>
    </w:p>
    <w:p w14:paraId="5B9D786D" w14:textId="77777777" w:rsidR="003754FE" w:rsidRDefault="003754FE" w:rsidP="003754FE">
      <w:pPr>
        <w:pStyle w:val="TextoNormal"/>
      </w:pPr>
      <w:r>
        <w:t>(1) Desde la óptica del derecho a la legalidad penal (art. 25.1 CE) se cuestiona la consideración de esa actuación atribuida en los hechos probados como resoluciones dictadas en asuntos administrativos arbitrarias, esto es, la concurrencia de los elementos característicos del tipo objetivo de prevaricación. El demandante defiende que tanto los proyectos de ley como las normas aprobatorias de las modificaciones presupuestarias son normas con rango de ley, inmunes a todo control jurisdiccional; que la aprobación previa por parte del Gobierno es un acto político sin eficacia decisoria, también inmune, y que tiene lugar en el contexto de un proceso legislativo, por lo que no concurre el presupuesto típico de “resolución dictada en asuntos administrativo”. A su juicio, tampoco existe una resolución flagrante o clamorosamente ilegal, dado que para afirmar la incorrecta presupuestación de las transferencias de financiación se ha tenido que acudir al informe de la Intervención General del Estado para establecer un criterio, lo que sería innecesario si realmente fuera patente la irregularidad, del mismo modo que no se explica que fuera aprobada por el Parlamento durante varios ejercicios. Subraya que la propia sentencia de la Audiencia Provincial señaló que cualquier tribunal del orden penal carece de conocimientos específicos para analizar esta cuestión compleja, por lo que difícilmente se puede afirmar que un consejero de Presidencia tuviera conocimientos financieros para tener un criterio jurídico sobre estos temas, de ahí que todas sus decisiones contaron con el aval de la Intervención General y que no pueda afirmarse que en su conducta concurriera el elemento subjetivo del injusto del delito de prevaricación.</w:t>
      </w:r>
    </w:p>
    <w:p w14:paraId="05E95774" w14:textId="77777777" w:rsidR="003754FE" w:rsidRDefault="003754FE" w:rsidP="003754FE">
      <w:pPr>
        <w:pStyle w:val="TextoNormal"/>
      </w:pPr>
    </w:p>
    <w:p w14:paraId="36069F7B" w14:textId="77777777" w:rsidR="003754FE" w:rsidRDefault="003754FE" w:rsidP="003754FE">
      <w:pPr>
        <w:pStyle w:val="TextoNormal"/>
      </w:pPr>
      <w:r>
        <w:t>(2) Junto a los razonamientos anteriores y ya desde la perspectiva del derecho a la presunción de inocencia (art. 24.2 CE), en el punto cuarto de este segundo motivo la demanda desarrolla un amplio razonamiento sobre la falta de prueba del elemento subjetivo de la prevaricación (conocimiento de la ilegalidad del sistema de presupuestación), ya que, a su entender, los hechos base de los que se infiere no han quedado acreditados y no existe engarce lógico entre ellos y las consecuencias que se siguen en contra del demandante. En concreto, se refiere a cuatro cuestiones sobre los hechos base:</w:t>
      </w:r>
    </w:p>
    <w:p w14:paraId="06FDE54C" w14:textId="77777777" w:rsidR="003754FE" w:rsidRDefault="003754FE" w:rsidP="003754FE">
      <w:pPr>
        <w:pStyle w:val="TextoNormal"/>
      </w:pPr>
    </w:p>
    <w:p w14:paraId="184B1B8D" w14:textId="77777777" w:rsidR="003754FE" w:rsidRDefault="003754FE" w:rsidP="003754FE">
      <w:pPr>
        <w:pStyle w:val="TextoNormal"/>
      </w:pPr>
      <w:r>
        <w:t xml:space="preserve">(i) Conexión del nuevo sistema de concesión de ayudas con la crisis de la empresa HAMSA, en cuya gestión había intervenido personalmente, y los reparos del informe del interventor de 19 de junio de 2000 a las ayudas a dicha empresa. Rechaza, de un lado, la “premisa mayor”, el nexo causal entre los problemas con las ayudas a HAMSA y las modificaciones presupuestarias. Descarta que pueda inferirse de ahí, como hizo la sentencia de instancia, que actúo con conciencia de la ilegalidad del sistema, porque la primera </w:t>
      </w:r>
      <w:r>
        <w:lastRenderedPageBreak/>
        <w:t>modificación cuestionada se acordó el 18 de abril de 2000, por lo tanto, antes del informe de disconformidad. Asimismo, rechaza como base de la inferencia un informe previo de 9 de febrero de 2000 del letrado de la Junta de Andalucía adscrito a la Consejería de Empleo en que se habría dejado constancia de las irregularidades advertidas en el expediente al que alude la sentencia de casación (pág. 721), porque tal informe no existió, según rectifica el Tribunal Supremo en el auto de 14 de diciembre de 2022. De otro lado rebate la “premisa menor”, que él había intervenido en la gestión de la subvención a HAMSA. Esta afirmación de la sentencia del Tribunal Supremo (pág. 725) desconoce que solo realizó gestiones después del cierre de la empresa que alguna empresa del sector alimentario se instalara en Jaén y contratara a los antiguos empleados, sin participar en la concesión de ayudas.</w:t>
      </w:r>
    </w:p>
    <w:p w14:paraId="2B152A8F" w14:textId="77777777" w:rsidR="003754FE" w:rsidRDefault="003754FE" w:rsidP="003754FE">
      <w:pPr>
        <w:pStyle w:val="TextoNormal"/>
      </w:pPr>
    </w:p>
    <w:p w14:paraId="523CAF92" w14:textId="77777777" w:rsidR="003754FE" w:rsidRDefault="003754FE" w:rsidP="003754FE">
      <w:pPr>
        <w:pStyle w:val="TextoNormal"/>
      </w:pPr>
      <w:r>
        <w:t>(ii) Conocimiento del convenio marco que el IFA y la Consejería de Empleo firmaron el 17 de julio de 2001 para pactar el sistema de presupuestación. Subraya que el Tribunal Supremo (págs. 446 y 447, 453 y 718) vincula de forma ilógica ese conocimiento del convenio de 2001 con la supuesta referencia a él en una modificación presupuestaria de fecha anterior (28 de julio de 2000), en cuyo extracto se justificaba la modificación propuesta con el fin de dotar de crédito a la aplicación 440.01 para desarrollar el convenio marco de colaboración, que no podía ser el de 2001. Frente a lo que afirma el auto de 16 de febrero de 2023 que resolvió el incidente de nulidad de actuaciones (pág. 57), en las modificaciones posteriores de 2001 no se hizo alusión al convenio marco. Adicionalmente denuncia que se trataría de un hecho nuevo añadido por el Tribunal Supremo para sostener el fallo.</w:t>
      </w:r>
    </w:p>
    <w:p w14:paraId="0D29AEF5" w14:textId="77777777" w:rsidR="003754FE" w:rsidRDefault="003754FE" w:rsidP="003754FE">
      <w:pPr>
        <w:pStyle w:val="TextoNormal"/>
      </w:pPr>
    </w:p>
    <w:p w14:paraId="49B27B9B" w14:textId="77777777" w:rsidR="003754FE" w:rsidRDefault="003754FE" w:rsidP="003754FE">
      <w:pPr>
        <w:pStyle w:val="TextoNormal"/>
      </w:pPr>
      <w:r>
        <w:t>(iii) Paso por la Comisión general de viceconsejeros del proyecto de orden de la Consejería de Empleo para regular las ayudas de 2004 (STS 749/2022, pág. 276). En el auto de 14 de diciembre de 2022 el Tribunal Supremo confirmó que se trataba de un error material, ya que el proyecto no había pasado por dicha comisión. Sin embargo, no extrajo las debidas consecuencias de tal rectificación, porque la sentencia de instancia concluye con tal base que conocía el modo en que la Consejería de Empleo pretendía dar las ayudas (sentencia de la Audiencia Provincial, pág. 1527) y la sentencia de casación que no es verosímil que fuera a reuniones sin un mínimo conocimiento de cómo se estaban danto las ayudas por la Consejería de Empleo (STS 749/2022, pág. 713).</w:t>
      </w:r>
    </w:p>
    <w:p w14:paraId="38372491" w14:textId="77777777" w:rsidR="003754FE" w:rsidRDefault="003754FE" w:rsidP="003754FE">
      <w:pPr>
        <w:pStyle w:val="TextoNormal"/>
      </w:pPr>
    </w:p>
    <w:p w14:paraId="3429C13E" w14:textId="77777777" w:rsidR="003754FE" w:rsidRDefault="003754FE" w:rsidP="003754FE">
      <w:pPr>
        <w:pStyle w:val="TextoNormal"/>
      </w:pPr>
      <w:r>
        <w:t xml:space="preserve">(iv) Conocimiento del contenido de los informes dictados por la Intervención General de la Junta de Andalucía “donde se informaba de ciertas deficiencias (en realidad, meras divergencias de criterio) en relación con la contabilización de las ‘transferencias de financiación’”. Aduce que no fue destinatario de ninguno de estos informes, como se sigue de los hechos probados (sentencia de la Audiencia Provincial, págs. 62 y 66). Insiste en que “en su condición de consejero de la Presidencia, no fue destinatario de ninguno de estos informes […] ni informe de fiscalización, ni informe de actuación, ni informe de cumplimiento, ni provisional ni definitivo”. Sentado lo anterior, alega que no es admisible sostener, como hace la sentencia del Tribunal Supremo, que “[t]enía un papel central en la acción política del Gobierno, como consejero de Presidencia, y no es irracional ni contrario a las máximas de la experiencia inferir que conociera las razones por las que se produjo el cambio de presupuestación” (pág. 725), porque sigue sin señalarse las pruebas de que conociera tales razones. Entiende que este aspecto debe ponerse en conexión con la existencia de prueba sobre un supuesto concierto colectivo, del que, sin embargo, ni siquiera se aclara si existió o no (STS 749/2022, págs. 366, 389), a pesar de lo cual se considera que no es irracional que participase en ese concierto del que nada se sabe. No hay pruebas de tal conocimiento ni </w:t>
      </w:r>
      <w:r>
        <w:lastRenderedPageBreak/>
        <w:t>engarce lógico, sino una remisión a un supuesto concierto delictivo entre los condenados sobre el que no existe prueba y que la sentencia ni siquiera deja claro si existió o no.</w:t>
      </w:r>
    </w:p>
    <w:p w14:paraId="00173D3E" w14:textId="77777777" w:rsidR="003754FE" w:rsidRDefault="003754FE" w:rsidP="003754FE">
      <w:pPr>
        <w:pStyle w:val="TextoNormal"/>
      </w:pPr>
    </w:p>
    <w:p w14:paraId="0D303FEB" w14:textId="77777777" w:rsidR="003754FE" w:rsidRDefault="003754FE" w:rsidP="003754FE">
      <w:pPr>
        <w:pStyle w:val="TextoNormal"/>
      </w:pPr>
      <w:r>
        <w:t>El motivo concluye con el reproche de falta de engarce lógico entre hechos demostrados y el recurso a meras opiniones sobre hechos supuestos como base de la afirmación de la concurrencia del elemento subjetivo. Se sostiene en la sentencia de casación que “es razonable inferir que cuando se produjo el cambio de presupuestación sabía que se iban a pagar las ayudas sociolaborales con un instrumento financiero inadecuado” (pág. 724) y que “era razonable suponer que se informara de las deficiencias advertidas en la Memoria [incluida en el expediente que se elevaba al Consejo de Gobierno para la aprobación de los planes de control financiero permanente]” (pág. 717) con el solo apoyo en las máximas de la experiencia, de modo que “se desconoce lo que sucedió, pero se condena porque parece razonable que sucediera”.</w:t>
      </w:r>
    </w:p>
    <w:p w14:paraId="125F9363" w14:textId="77777777" w:rsidR="003754FE" w:rsidRDefault="003754FE" w:rsidP="003754FE">
      <w:pPr>
        <w:pStyle w:val="TextoNormal"/>
      </w:pPr>
    </w:p>
    <w:p w14:paraId="5F704DD8" w14:textId="77A5F888" w:rsidR="003754FE" w:rsidRDefault="003754FE" w:rsidP="003754FE">
      <w:pPr>
        <w:pStyle w:val="TextoNormal"/>
      </w:pPr>
      <w:r>
        <w:t>Concluye el escrito de demanda interesando el otorgamiento del amparo solicitado.</w:t>
      </w:r>
    </w:p>
    <w:p w14:paraId="68A56EF0" w14:textId="77777777" w:rsidR="003754FE" w:rsidRDefault="003754FE" w:rsidP="003754FE">
      <w:pPr>
        <w:pStyle w:val="TextoNormal"/>
      </w:pPr>
    </w:p>
    <w:p w14:paraId="1F1B12B4" w14:textId="77777777" w:rsidR="003754FE" w:rsidRDefault="003754FE" w:rsidP="003754FE">
      <w:pPr>
        <w:pStyle w:val="TextoNormal"/>
      </w:pPr>
      <w:r w:rsidRPr="003754FE">
        <w:rPr>
          <w:rStyle w:val="NumeroAFNegritaCaracter"/>
        </w:rPr>
        <w:t>4</w:t>
      </w:r>
      <w:r>
        <w:t>. La Sala Segunda de este tribunal dictó el ATC 290/2023, de 5 de junio, en el que se adoptaron los siguientes pronunciamientos:</w:t>
      </w:r>
    </w:p>
    <w:p w14:paraId="33E9C5F7" w14:textId="77777777" w:rsidR="003754FE" w:rsidRDefault="003754FE" w:rsidP="003754FE">
      <w:pPr>
        <w:pStyle w:val="TextoNormal"/>
      </w:pPr>
    </w:p>
    <w:p w14:paraId="4AD61B58" w14:textId="77777777" w:rsidR="003754FE" w:rsidRDefault="003754FE" w:rsidP="003754FE">
      <w:pPr>
        <w:pStyle w:val="TextoNormal"/>
      </w:pPr>
      <w:r>
        <w:t>(i) Previa avocación a la Sala de la decisión, se admitió a trámite el presente recurso de amparo “porque el recurso plantea un problema o afecta a una faceta de un derecho fundamental sobre el que no hay doctrina de este Tribunal [STC 155/2009, de 25 de junio, FJ 2 a)], […] porque el asunto suscitado trasciende del caso concreto debido a que plantea una cuestión jurídica de relevante y general repercusión social y tiene unas consecuencias políticas generales [STC 155/2009, FJ 2 g)]”.</w:t>
      </w:r>
    </w:p>
    <w:p w14:paraId="4CF26CFD" w14:textId="77777777" w:rsidR="003754FE" w:rsidRDefault="003754FE" w:rsidP="003754FE">
      <w:pPr>
        <w:pStyle w:val="TextoNormal"/>
      </w:pPr>
    </w:p>
    <w:p w14:paraId="3305ECCD" w14:textId="77777777" w:rsidR="003754FE" w:rsidRDefault="003754FE" w:rsidP="003754FE">
      <w:pPr>
        <w:pStyle w:val="TextoNormal"/>
      </w:pPr>
      <w:r>
        <w:t>(ii) En aplicación del art. 51 LOTC, se acordó requerir a la Sección Primera de la Audiencia Provincial de Sevilla a fin de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se acordó requerir a la Sala de lo Penal del Tribunal Supremo para que remitiera certificación o fotocopia adverada de las actuaciones correspondientes al recurso de casación núm. 601-2020. Mediante diligencia de ordenación de 24 de julio de 2023 se tuvieron por recibidas en este tribunal las actuaciones correspondientes al procedimiento abreviado núm. 133-2016, rollo núm. 1965-2017.</w:t>
      </w:r>
    </w:p>
    <w:p w14:paraId="719B45D7" w14:textId="77777777" w:rsidR="003754FE" w:rsidRDefault="003754FE" w:rsidP="003754FE">
      <w:pPr>
        <w:pStyle w:val="TextoNormal"/>
      </w:pPr>
    </w:p>
    <w:p w14:paraId="1992C196" w14:textId="25BBEF7F" w:rsidR="003754FE" w:rsidRDefault="003754FE" w:rsidP="003754FE">
      <w:pPr>
        <w:pStyle w:val="TextoNormal"/>
      </w:pPr>
      <w:r>
        <w:t>(iii) Se propuso finalmente la avocación al Pleno del conocimiento del asunto. Por providencia de 20 de junio de 2023 el Pleno de este tribunal acordó, conforme al artículo 10.1 n) de la Ley Orgánica del Tribunal Constitucional (LOTC), a propuesta de la Sala Segunda, “recabar para sí el conocimiento del recurso de amparo que se tramita en dicha Sala con el número 2411-2023, interpuesto por don Gaspar Zarrías Arévalo”.</w:t>
      </w:r>
    </w:p>
    <w:p w14:paraId="5DAB207B" w14:textId="77777777" w:rsidR="003754FE" w:rsidRDefault="003754FE" w:rsidP="003754FE">
      <w:pPr>
        <w:pStyle w:val="TextoNormal"/>
      </w:pPr>
    </w:p>
    <w:p w14:paraId="51B5080F" w14:textId="77777777" w:rsidR="003754FE" w:rsidRDefault="003754FE" w:rsidP="003754FE">
      <w:pPr>
        <w:pStyle w:val="TextoNormal"/>
      </w:pPr>
      <w:r w:rsidRPr="003754FE">
        <w:rPr>
          <w:rStyle w:val="NumeroAFNegritaCaracter"/>
        </w:rPr>
        <w:t>5</w:t>
      </w:r>
      <w:r>
        <w:t>. Las partes personadas en el presente proceso de amparo han presentado las siguientes alegaciones:</w:t>
      </w:r>
    </w:p>
    <w:p w14:paraId="7685A0D3" w14:textId="77777777" w:rsidR="003754FE" w:rsidRDefault="003754FE" w:rsidP="003754FE">
      <w:pPr>
        <w:pStyle w:val="TextoNormal"/>
      </w:pPr>
    </w:p>
    <w:p w14:paraId="69FEEEDA" w14:textId="77777777" w:rsidR="003754FE" w:rsidRDefault="003754FE" w:rsidP="003754FE">
      <w:pPr>
        <w:pStyle w:val="TextoNormal"/>
      </w:pPr>
      <w:r>
        <w:t xml:space="preserve">a) El recurrente de amparo ha ratificado las alegaciones ya formuladas en la demanda en escrito registrado en este tribunal el 25 de septiembre de 2023. En respaldo de la solicitud </w:t>
      </w:r>
      <w:r>
        <w:lastRenderedPageBreak/>
        <w:t>de amparo, hace mención expresa a varios particulares incluidos en las actuaciones correspondientes al procedimiento abreviado núm. 133-2016, rollo núm. 1965-2017, remitidas en formato digital.</w:t>
      </w:r>
    </w:p>
    <w:p w14:paraId="3E342E6F" w14:textId="77777777" w:rsidR="003754FE" w:rsidRDefault="003754FE" w:rsidP="003754FE">
      <w:pPr>
        <w:pStyle w:val="TextoNormal"/>
      </w:pPr>
    </w:p>
    <w:p w14:paraId="76A029EC" w14:textId="77777777" w:rsidR="003754FE" w:rsidRDefault="003754FE" w:rsidP="003754FE">
      <w:pPr>
        <w:pStyle w:val="TextoNormal"/>
      </w:pPr>
      <w:r>
        <w:t>b) El Partido Popular, al que se tuvo por personado en diligencia de ordenación de 27 de julio de 2023, ha interesado, en escrito registrado en este tribunal el 26 de septiembre de 2023, la desestimación del recurso de amparo.</w:t>
      </w:r>
    </w:p>
    <w:p w14:paraId="23C96090" w14:textId="77777777" w:rsidR="003754FE" w:rsidRDefault="003754FE" w:rsidP="003754FE">
      <w:pPr>
        <w:pStyle w:val="TextoNormal"/>
      </w:pPr>
    </w:p>
    <w:p w14:paraId="66DF98DF" w14:textId="77777777" w:rsidR="003754FE" w:rsidRDefault="003754FE" w:rsidP="003754FE">
      <w:pPr>
        <w:pStyle w:val="TextoNormal"/>
      </w:pPr>
      <w:r>
        <w:t xml:space="preserve">El escrito de alegaciones del Partido Popular comienza efectuando diversas consideraciones generales sobre los recursos de amparo planteados contra las sentencias de la Audiencia Provincial y del Tribunal Supremo que incluyen un amplio resumen de los hechos probados, con particular mención a las referencias expresas en ellos al recurrente. Aborda a continuación el primer motivo de la demanda de amparo, que rechaza con base en la doctrina constitucional y con apoyo en los razonamientos del Tribunal Supremo al respecto, que expresamente “hace suyos”. Concluye así que “la magistrada titular solicitó la medida de refuerzo y determinó, en función de las concretas circunstancias, el criterio de distribución más adecuado para una mejor gestión de los asuntos atribuidos al órgano judicial, por lo que no hubo un nombramiento contrario a las normas establecidas en la Ley Orgánica del Poder Judicial, ni nombramiento de un juez </w:t>
      </w:r>
      <w:r w:rsidRPr="003754FE">
        <w:rPr>
          <w:i/>
        </w:rPr>
        <w:t>ad hoc</w:t>
      </w:r>
      <w:r>
        <w:t>, ni se le privó del conocimiento de asunto alguno de su competencia, de la magistrada titular, y, por lo mismo, tampoco ha habido lesión del derecho al juez ordinario predeterminado por la ley”.</w:t>
      </w:r>
    </w:p>
    <w:p w14:paraId="1D024487" w14:textId="77777777" w:rsidR="003754FE" w:rsidRDefault="003754FE" w:rsidP="003754FE">
      <w:pPr>
        <w:pStyle w:val="TextoNormal"/>
      </w:pPr>
    </w:p>
    <w:p w14:paraId="6E3A596F" w14:textId="77777777" w:rsidR="003754FE" w:rsidRDefault="003754FE" w:rsidP="003754FE">
      <w:pPr>
        <w:pStyle w:val="TextoNormal"/>
      </w:pPr>
      <w:r>
        <w:t>En relación con el segundo motivo, aclara de inicio que bajo la denuncia de vulneración del derecho a la presunción de inocencia se entremezclan censuras por tal derecho (art. 24.2 CE) y por el derecho a la legalidad penal (art. 25.1 CE), por lo que articula la respuesta conforme a esa dualidad.</w:t>
      </w:r>
    </w:p>
    <w:p w14:paraId="60D7AED3" w14:textId="77777777" w:rsidR="003754FE" w:rsidRDefault="003754FE" w:rsidP="003754FE">
      <w:pPr>
        <w:pStyle w:val="TextoNormal"/>
      </w:pPr>
    </w:p>
    <w:p w14:paraId="0201F66B" w14:textId="77777777" w:rsidR="003754FE" w:rsidRDefault="003754FE" w:rsidP="003754FE">
      <w:pPr>
        <w:pStyle w:val="TextoNormal"/>
      </w:pPr>
      <w:r>
        <w:t xml:space="preserve">Por lo que atañe a la crítica a la interpretación y aplicación en las sentencias impugnadas del elemento “resoluciones en asunto administrativo” desde la perspectiva del art. 25.1 CE, considera que el recurso de amparo incurre en la “indebida simplificación de que la condena por prevaricación se basa en los actos prelegislativos (proyectos o anteproyectos de leyes)”, que obvia “el hecho de que las decisiones se adoptaron para conseguir una finalidad palmariamente ilegal: evitar el cumplimiento de las exigencias de las normas sobre subvenciones y el control previo de la Intervención General de la Junta de Andalucía”. Desde tal premisa sostiene que los razonamientos que fundan la condena por prevaricación en la sentencia de instancia constituyen “una motivación racional, en absoluto irracional ni ilógica, arbitraria o imprevisible […] con indudable apoyo en nuestra tradición legal y en criterios hermenéuticos plenamente acordes con nuestro sistema normativo, en particular, con el orden constitucional”; y que la sentencia de casación “contribuye, sin duda, a perfeccionar el cumplimiento de esos requisitos de motivación y aplicación acordes con el principio de legalidad”. Funda esa valoración con la abundante reproducción de extractos de ambas resoluciones, deteniéndose en especial en la argumentación de la sentencia del Tribunal Supremo sobre el concepto de “asunto administrativo” (fundamento de Derecho 20) y de “resolución en asunto administrativo” (fundamento 22), en el análisis de tipicidad que efectúa de las distintas resoluciones calificadas como prevaricadoras, tanto de los actos de elaboración de disposiciones de carácter general como de las modificaciones presupuestarias (fundamentos 22, 23 y 24), en el rechazo a que los actos enjuiciados fueran actos políticos (fundamento 21) y en que no obsta al carácter arbitrario o manifiestamente ilegal de esos actos que los </w:t>
      </w:r>
      <w:r>
        <w:lastRenderedPageBreak/>
        <w:t>textos prelegislativos se hayan convertido en ley por la aprobación parlamentaria (fundamento 23).</w:t>
      </w:r>
    </w:p>
    <w:p w14:paraId="46811231" w14:textId="77777777" w:rsidR="003754FE" w:rsidRDefault="003754FE" w:rsidP="003754FE">
      <w:pPr>
        <w:pStyle w:val="TextoNormal"/>
      </w:pPr>
    </w:p>
    <w:p w14:paraId="3EDEA580" w14:textId="77777777" w:rsidR="003754FE" w:rsidRDefault="003754FE" w:rsidP="003754FE">
      <w:pPr>
        <w:pStyle w:val="TextoNormal"/>
      </w:pPr>
      <w:r>
        <w:t>El escrito aborda por último la parte del motivo segundo del recurso que entiende relativa al derecho a la presunción de inocencia para concluir que “hay prueba de cargo para un pronunciamiento de culpabilidad […] y que el discurso valorativo de la prueba nada tiene de arbitrario o irrazonable”. Se mantiene que “el tribunal de instancia contó con prueba de cargo como la abundante prueba documental, la declaración del propio Sr. Zarrías y la existencia de un conjunto de indicios que, valorados conjuntamente, permiten sostener desde criterios de racionalidad que conocía la ilegalidad en el cambio de presupuestación para el pago de las ayudas sociolaborales, utilizando un instrumento financiero manifiestamente ilegal, las transferencias de financiación, y conocía también que la finalidad de ese cambio era evitar la aplicación de la normativa de las subvenciones, que estaban sujetas al control previo de la Intervención de la Junta de Andalucía y a otros requisitos que se pretendían incumplir para la consecución de los objetivos políticos marcados en este ámbito por el Gobierno de la Junta de Andalucía”. A juicio del Partido Popular, la razonabilidad del juicio de inferencia se sigue asimismo de los datos incriminatorios sintetizados en el fundamento de Derecho 95.3 de la sentencia de casación relativos a la especial relevancia del puesto desempeñado por el recurrente, las funciones inherentes al mismo y las concretas actuaciones realizadas como consejero de Presidencia así como a su intervención en gestiones relativas a empresas de Jaén en crisis. Las alegaciones rechazan en particular los cinco extremos en que se centra la crítica en la demanda (conocimiento de un informe de 9 de febrero de 2000 en el expediente de la empresa HAMSA, intervención en la gestión de las ayudas a dicha empresa, conocimiento del convenio marco de 2001, conocimiento de la Comisión General de Viceconsejeros de un proyecto de orden de la Consejería de Empleo de 2004 sobre las ayudas y conocimiento de informes de la Intervención de la Junta de Andalucía) de la mano de la remisión y cita de los pasajes de las sentencias impugnadas y los posteriores autos de aclaración y de inadmisión del incidente de nulidad de actuaciones que se consideran más relevantes.</w:t>
      </w:r>
    </w:p>
    <w:p w14:paraId="0FFD3FBA" w14:textId="77777777" w:rsidR="003754FE" w:rsidRDefault="003754FE" w:rsidP="003754FE">
      <w:pPr>
        <w:pStyle w:val="TextoNormal"/>
      </w:pPr>
    </w:p>
    <w:p w14:paraId="0F7962BE" w14:textId="77777777" w:rsidR="003754FE" w:rsidRDefault="003754FE" w:rsidP="003754FE">
      <w:pPr>
        <w:pStyle w:val="TextoNormal"/>
      </w:pPr>
      <w:r>
        <w:t>c) Don José Antonio Griñán Martínez, al que se tuvo por personado en diligencia de ordenación de 23 de octubre de 2023, evacuó el trámite de vista en escrito registrado en este tribunal el 2 de noviembre de 2023, dándose por instruido.</w:t>
      </w:r>
    </w:p>
    <w:p w14:paraId="7876E269" w14:textId="77777777" w:rsidR="003754FE" w:rsidRDefault="003754FE" w:rsidP="003754FE">
      <w:pPr>
        <w:pStyle w:val="TextoNormal"/>
      </w:pPr>
    </w:p>
    <w:p w14:paraId="2CB5D358" w14:textId="77777777" w:rsidR="003754FE" w:rsidRDefault="003754FE" w:rsidP="003754FE">
      <w:pPr>
        <w:pStyle w:val="TextoNormal"/>
      </w:pPr>
      <w:r>
        <w:t>d) Don Antonio Vicente Lozano Peña, al que se tuvo por personado en diligencia de ordenación de 23 de octubre de 2023, evacuó el trámite de vista en escrito registrado en este tribunal el 2 de noviembre de 2023, dándose por instruido.</w:t>
      </w:r>
    </w:p>
    <w:p w14:paraId="142AB644" w14:textId="77777777" w:rsidR="003754FE" w:rsidRDefault="003754FE" w:rsidP="003754FE">
      <w:pPr>
        <w:pStyle w:val="TextoNormal"/>
      </w:pPr>
    </w:p>
    <w:p w14:paraId="5E058EC6" w14:textId="77777777" w:rsidR="003754FE" w:rsidRDefault="003754FE" w:rsidP="003754FE">
      <w:pPr>
        <w:pStyle w:val="TextoNormal"/>
      </w:pPr>
      <w:r>
        <w:t>e) Doña Carmen Martínez Aguayo, a la que se tuvo por personada en diligencia de ordenación de 23 de octubre de 2023, en escrito registrado en este tribunal el 20 de noviembre de 2023, se ha adherido al recurso de amparo en todo lo que pueda favorecerla, por entender que las vulneraciones de derechos fundamentales denunciadas le son plenamente aplicables, debiendo, en su caso, extenderse los efectos de su estimación.</w:t>
      </w:r>
    </w:p>
    <w:p w14:paraId="29B22D8A" w14:textId="77777777" w:rsidR="003754FE" w:rsidRDefault="003754FE" w:rsidP="003754FE">
      <w:pPr>
        <w:pStyle w:val="TextoNormal"/>
      </w:pPr>
    </w:p>
    <w:p w14:paraId="2B134184" w14:textId="77777777" w:rsidR="003754FE" w:rsidRDefault="003754FE" w:rsidP="003754FE">
      <w:pPr>
        <w:pStyle w:val="TextoNormal"/>
      </w:pPr>
      <w:r>
        <w:t>f) Don Jesús María Rodríguez Román, al que se tuvo por personado en diligencia de ordenación de 23 de octubre de 2023, ha solicitado, en escrito registrado en este tribunal el 20 de noviembre de 2023, que se declare la vulneración del derecho fundamental a la legalidad sancionadora (art. 25.1 CE) en las diferentes vertientes desarrolladas en el recurso.</w:t>
      </w:r>
    </w:p>
    <w:p w14:paraId="533543E1" w14:textId="77777777" w:rsidR="003754FE" w:rsidRDefault="003754FE" w:rsidP="003754FE">
      <w:pPr>
        <w:pStyle w:val="TextoNormal"/>
      </w:pPr>
    </w:p>
    <w:p w14:paraId="61E551C1" w14:textId="77777777" w:rsidR="003754FE" w:rsidRDefault="003754FE" w:rsidP="003754FE">
      <w:pPr>
        <w:pStyle w:val="TextoNormal"/>
      </w:pPr>
      <w:r>
        <w:t xml:space="preserve">El escrito de alegaciones incluye “argumentos de apoyo” en relación con la alegada interpretación extensiva </w:t>
      </w:r>
      <w:r w:rsidRPr="003754FE">
        <w:rPr>
          <w:i/>
        </w:rPr>
        <w:t>in malam partem</w:t>
      </w:r>
      <w:r>
        <w:t xml:space="preserve"> del delito de prevaricación del art. 404 del Código penal (concepto de “resolución” y de “asunto administrativo”). Se subraya en primer lugar que los acuerdos del Consejo de Gobierno de la Junta de Andalucía y las modificaciones presupuestarias son actos políticos o de gobierno, no un asunto administrativo susceptible de revisión en vía jurisdiccional. Se insiste en este punto en la inconsistencia lógica que supone entender que existen “leyes ilegales” o que “cobijan dentro de sí alguna o algunas normas ilegales derivadas de un supuesto quebranto normativo sufrido durante la fase prelegislativa”. Se toma, asimismo, como referencia fundamental el informe de dos catedráticos de Derecho Financiero y Tributario, aportado y sometido a contradicción en el proceso, que consideraron que el conflicto normativo que se produce entre el art. 18.1 de la Ley 15/2001, que restringe las finalidades de las transferencias de financiación, y las sucesivas leyes de presupuestos, que “usan expresamente transferencias de financiación para fines no previstos en el citado art. 18”, tiene que resolverse de acuerdo con la máxima según la cual “la ley especial se aplica con preferencia a la ley general, ley especial deroga ley general, o ley posterior deroga ley anterior”. De ello se derivaría “la validez y efectos de las sucesivas leyes de presupuestos en las que se recogen las transferencias de financiación con finalidad distinta a la de la cobertura de pérdidas de las empresas públicas, por la sencilla razón de que derogaron tácitamente la previsión del art. 18 de la Ley 15/2001”. Además, de acuerdo con la citada pericial, la partida presupuestaria aprobada en una ley de presupuestos sería “absolutamente vinculante </w:t>
      </w:r>
      <w:r w:rsidRPr="003754FE">
        <w:rPr>
          <w:i/>
        </w:rPr>
        <w:t>erga omnes</w:t>
      </w:r>
      <w:r>
        <w:t>” por lo que no habría “resolución administrativa” susceptible de ser subsumida en el tipo de prevaricación. Por último, considera absurdo que tanto al recurrente como a él se les condene mientras se absuelve al interventor general de la Junta de Andalucía que informó favorablemente las modificaciones presupuestarias, con el añadido de que su informe favorable así como el del interventor adjunto de la agencia IDEA —ambos, garantes de la legalidad presupuestaria— evidencian que no se está ante una ilegalidad palmaria, manifiesta y evidente.</w:t>
      </w:r>
    </w:p>
    <w:p w14:paraId="473BB7E1" w14:textId="77777777" w:rsidR="003754FE" w:rsidRDefault="003754FE" w:rsidP="003754FE">
      <w:pPr>
        <w:pStyle w:val="TextoNormal"/>
      </w:pPr>
    </w:p>
    <w:p w14:paraId="62A10033" w14:textId="77777777" w:rsidR="003754FE" w:rsidRDefault="003754FE" w:rsidP="003754FE">
      <w:pPr>
        <w:pStyle w:val="TextoNormal"/>
      </w:pPr>
      <w:r>
        <w:t>g) Don Francisco Vallejo Serrano, al que se tuvo por personado en diligencia de ordenación de 23 de octubre de 2023, ha solicitado, en escrito registrado en este tribunal el 22 de noviembre de 2023, que se declare la vulneración del derecho al juez ordinario predeterminado por la ley y, subsidiariamente, la vulneración del derecho fundamental a la legalidad sancionadora (art. 25.1 CE).</w:t>
      </w:r>
    </w:p>
    <w:p w14:paraId="4E21BA59" w14:textId="77777777" w:rsidR="003754FE" w:rsidRDefault="003754FE" w:rsidP="003754FE">
      <w:pPr>
        <w:pStyle w:val="TextoNormal"/>
      </w:pPr>
    </w:p>
    <w:p w14:paraId="3AD604EB" w14:textId="77777777" w:rsidR="003754FE" w:rsidRDefault="003754FE" w:rsidP="003754FE">
      <w:pPr>
        <w:pStyle w:val="TextoNormal"/>
      </w:pPr>
      <w:r>
        <w:t>En relación con la denuncia de vulneración del art. 24.2 CE y en apoyo de los argumentos expuestos en el recurso de amparo, afirma que el juez de refuerzo no asumió la instrucción en atención a la medida de refuerzo aprobada por el acuerdo de la Comisión Permanente de 21 de mayo de 2015, sino en virtud de un acuerdo de dicha Comisión posterior al inicio de las diligencias, el de 21 de enero de 2016, que ratificaba el acuerdo de la Sala de Gobierno del Tribunal Superior de Justicia de Andalucía de 14 de diciembre de 2015, en el que se valoraba y aprobaba la propuesta realizada conjuntamente por los magistrados destinados en el Juzgado de Instrucción núm. 6 de Sevilla. Insiste en que se trató de un cambio del magistrado encargado de instruir un asunto en pleno estado de tramitación, del que se conocían los hechos y la identidad de las personas contra las que se iba a dirigir el procedimiento, de forma manifiestamente contraria a las previsiones del art. 21</w:t>
      </w:r>
      <w:r w:rsidRPr="003754FE">
        <w:rPr>
          <w:i/>
        </w:rPr>
        <w:t>6 b</w:t>
      </w:r>
      <w:r>
        <w:t>is.2.4 LOPJ.</w:t>
      </w:r>
    </w:p>
    <w:p w14:paraId="4C3F439A" w14:textId="77777777" w:rsidR="003754FE" w:rsidRDefault="003754FE" w:rsidP="003754FE">
      <w:pPr>
        <w:pStyle w:val="TextoNormal"/>
      </w:pPr>
    </w:p>
    <w:p w14:paraId="16DD4DBA" w14:textId="77777777" w:rsidR="003754FE" w:rsidRDefault="003754FE" w:rsidP="003754FE">
      <w:pPr>
        <w:pStyle w:val="TextoNormal"/>
      </w:pPr>
      <w:r>
        <w:lastRenderedPageBreak/>
        <w:t>En lo que se refiere a la vulneración del art. 25.1 CE fruto de la aplicación del tipo de prevaricación (art. 404 del Código penal: CP), aduce que las resoluciones impugnadas confunden el procedimiento de elaboración y tramitación del anteproyecto de ley de presupuestos, la aprobación del proyecto de ley de presupuestos, el procedimiento de aprobación de la ley de presupuestos, el procedimiento de concesión de ayudas sociolaborales y a empresas en crisis, el pago de las ayudas y las modificaciones presupuestarias. Pese a que estos procedimientos son distintos y están encomendados a órganos diversos, con responsabilidades diferentes, las resoluciones impugnadas construyen artificiosamente un único “procedimiento específico” del que extraen ilegítimamente una suerte de responsabilidad penal “solidaria” inadmisible. En todo caso, concluye, la aprobación del proyecto de ley de presupuestos, en cuanto acto de iniciativa legislativa del Consejo de Gobierno, es una actuación en asunto político que no puede subsumirse legítimamente en el concepto de “asunto administrativo” del art. 404 CP.</w:t>
      </w:r>
    </w:p>
    <w:p w14:paraId="478BD648" w14:textId="77777777" w:rsidR="003754FE" w:rsidRDefault="003754FE" w:rsidP="003754FE">
      <w:pPr>
        <w:pStyle w:val="TextoNormal"/>
      </w:pPr>
    </w:p>
    <w:p w14:paraId="0AD30068" w14:textId="77777777" w:rsidR="003754FE" w:rsidRDefault="003754FE" w:rsidP="003754FE">
      <w:pPr>
        <w:pStyle w:val="TextoNormal"/>
      </w:pPr>
      <w:r>
        <w:t>Insiste, asimismo, en que la noción de “ley ilegal” o de “ilegalidades dentro de la ley” es una “aporía”, pues “no puede considerar[se] ilegal una parte de la norma aprobada válidamente por el Parlamento de Andalucía”, como ocurrió con todas las leyes de presupuestos de Andalucía desde el año 2002. Del mismo modo, vistas “las leyes de presupuestos en sus estados de gastos (actividades y objetivos de la partida 31L) y en sus memorias […], no puede afirmarse que el Parlamento […] no sabía lo que aprobaba, o que el Parlamento fuera inducido a error, que es la base del razonamiento que sostiene el castigo por prevaricación”.</w:t>
      </w:r>
    </w:p>
    <w:p w14:paraId="6B93D507" w14:textId="77777777" w:rsidR="003754FE" w:rsidRDefault="003754FE" w:rsidP="003754FE">
      <w:pPr>
        <w:pStyle w:val="TextoNormal"/>
      </w:pPr>
    </w:p>
    <w:p w14:paraId="5D2722F8" w14:textId="04985816" w:rsidR="003754FE" w:rsidRDefault="003754FE" w:rsidP="003754FE">
      <w:pPr>
        <w:pStyle w:val="TextoNormal"/>
      </w:pPr>
      <w:r>
        <w:t>A juicio de la parte, del procedimiento de elaboración del anteproyecto no se puede derivar una ilegalidad constitutiva de prevaricación, pues sería en la fase de elaboración del anteproyecto de ley, en la que ni él ni el recurrente intervinieron, donde se habría producido la pretendida ilegalidad que luego “se arrastra a la ley aprobada por el Parlamento”. Por último, considera absurdo que se les condene mientras se absuelve al interventor general de la Junta de Andalucía que informó favorablemente las modificaciones presupuestarias, con el añadido de que su informe favorable, así como el del interventor adjunto de la agencia IDEA —ambos, garantes de la legalidad presupuestaria— evidencian que no se está ante una ilegalidad palmaria, manifiesta y evidente.</w:t>
      </w:r>
    </w:p>
    <w:p w14:paraId="0DB398E1" w14:textId="77777777" w:rsidR="003754FE" w:rsidRDefault="003754FE" w:rsidP="003754FE">
      <w:pPr>
        <w:pStyle w:val="TextoNormal"/>
      </w:pPr>
    </w:p>
    <w:p w14:paraId="43990558" w14:textId="77777777" w:rsidR="003754FE" w:rsidRDefault="003754FE" w:rsidP="003754FE">
      <w:pPr>
        <w:pStyle w:val="TextoNormal"/>
      </w:pPr>
      <w:r w:rsidRPr="003754FE">
        <w:rPr>
          <w:rStyle w:val="NumeroAFNegritaCaracter"/>
        </w:rPr>
        <w:t>6</w:t>
      </w:r>
      <w:r>
        <w:t>. El Ministerio Fiscal ha presentado alegaciones, registradas en este tribunal en fecha 8 de enero de 2023, previa prórroga del plazo conferido al efecto acordada en diligencia de ordenación de 30 de octubre de 2023, en las que solicita la estimación parcial del recurso de amparo.</w:t>
      </w:r>
    </w:p>
    <w:p w14:paraId="193178D6" w14:textId="77777777" w:rsidR="003754FE" w:rsidRDefault="003754FE" w:rsidP="003754FE">
      <w:pPr>
        <w:pStyle w:val="TextoNormal"/>
      </w:pPr>
    </w:p>
    <w:p w14:paraId="6809897B" w14:textId="77777777" w:rsidR="003754FE" w:rsidRDefault="003754FE" w:rsidP="003754FE">
      <w:pPr>
        <w:pStyle w:val="TextoNormal"/>
      </w:pPr>
      <w:r>
        <w:t>En ellas, tras una sucinta exposición de los antecedentes de hecho y del contenido del recurso, efectúa unas consideraciones previas sobre su alcance que le llevan a concluir que, aunque la demanda se articula formalmente en torno a dos motivos, “realmente existen tres motivos”: por infracción del derecho fundamental al juez ordinario predeterminado por la ley (art. 24.2 CE); por vulneración del derecho fundamental a la presunción de inocencia (art. 24.2 CE), “limitado al contenido argumentativo efectuado […] a propósito de la falta de prueba del elemento subjetivo del injusto típico”; y por vulneración del derecho fundamental a la legalidad penal (art. 25.1 CE), “que es lo que realmente se está invocando cuando la demanda denuncia la falta de pruebas sobre la existencia” de “resoluciones” dictadas por el Sr. Zarrías Arévalo “en asunto administrativo” con “arbitrariedad”.</w:t>
      </w:r>
    </w:p>
    <w:p w14:paraId="0FA3A7BF" w14:textId="77777777" w:rsidR="003754FE" w:rsidRDefault="003754FE" w:rsidP="003754FE">
      <w:pPr>
        <w:pStyle w:val="TextoNormal"/>
      </w:pPr>
    </w:p>
    <w:p w14:paraId="6955FCBF" w14:textId="77777777" w:rsidR="003754FE" w:rsidRDefault="003754FE" w:rsidP="003754FE">
      <w:pPr>
        <w:pStyle w:val="TextoNormal"/>
      </w:pPr>
      <w:r>
        <w:lastRenderedPageBreak/>
        <w:t>A) En aplicación del criterio de la mayor retroacción de actuaciones, el fiscal inicia su análisis con la vulneración del derecho al juez ordinario predeterminado por la ley (art. 24.2 CE), que rechaza con apoyo en la doctrina constitucional, con cita amplia de las SSTC 45/2022, de 23 de marzo, FJ 4.3, y 83/2022, de 27 de junio, FJ 8 b). A su juicio, “el juez de refuerzo instructor de las diligencias previas número 6646-2015 del Juzgado de Instrucción número 6 de Sevilla actuó con plena jurisdicción y competencia, al haber sido designado conforme a la normativa legal, no resultando su actuación lesiva para con el derecho fundamental al juez legal”.</w:t>
      </w:r>
    </w:p>
    <w:p w14:paraId="578B32A2" w14:textId="77777777" w:rsidR="003754FE" w:rsidRDefault="003754FE" w:rsidP="003754FE">
      <w:pPr>
        <w:pStyle w:val="TextoNormal"/>
      </w:pPr>
    </w:p>
    <w:p w14:paraId="75E27F32" w14:textId="77777777" w:rsidR="003754FE" w:rsidRDefault="003754FE" w:rsidP="003754FE">
      <w:pPr>
        <w:pStyle w:val="TextoNormal"/>
      </w:pPr>
      <w:r>
        <w:t xml:space="preserve">Parte el fiscal de que “las medidas de refuerzo en la titularidad de los órganos judiciales son tan legales que están contempladas expresamente en los artículos 216 </w:t>
      </w:r>
      <w:r w:rsidRPr="003754FE">
        <w:rPr>
          <w:i/>
        </w:rPr>
        <w:t>bis</w:t>
      </w:r>
      <w:r>
        <w:t xml:space="preserve">, 216 </w:t>
      </w:r>
      <w:r w:rsidRPr="003754FE">
        <w:rPr>
          <w:i/>
        </w:rPr>
        <w:t>bis</w:t>
      </w:r>
      <w:r>
        <w:t xml:space="preserve">.2, 216 </w:t>
      </w:r>
      <w:r w:rsidRPr="003754FE">
        <w:rPr>
          <w:i/>
        </w:rPr>
        <w:t>bis</w:t>
      </w:r>
      <w:r>
        <w:t xml:space="preserve">.3 y 216 </w:t>
      </w:r>
      <w:r w:rsidRPr="003754FE">
        <w:rPr>
          <w:i/>
        </w:rPr>
        <w:t>bis</w:t>
      </w:r>
      <w:r>
        <w:t xml:space="preserve">.4 LOPJ” en caso de un retraso excepcional o una acumulación de asuntos en un determinado juzgado o tribunal. Frente al argumento del demandante de que se ha incumplido el art. 216 </w:t>
      </w:r>
      <w:r w:rsidRPr="003754FE">
        <w:rPr>
          <w:i/>
        </w:rPr>
        <w:t>bis</w:t>
      </w:r>
      <w:r>
        <w:t>.2 LOPJ opone el fiscal que el Juzgado de Instrucción núm. 6 de Sevilla era el órgano competente y procedió a incoar las diligencias previas número 174-2011. Posteriormente acordó por auto de 9 de noviembre de 2015 el desglose y distribución de la causa en distintas piezas separadas (hasta seis), una de la cuales es la que se incoó como diligencias previas número 6645-2015 por auto de 17 de noviembre de 2015. La incorporación del juez de refuerzo, sin embargo, se había efectuado mucho antes, dado que se realizó por acuerdo de la Comisión Permanente del Consejo General del Poder Judicial de 24 de julio de 2013, para refuerzo de la instrucción de las macrocausas en tramitación (ERE). Por tanto, antes de haberse dispuesto aquel desglose y antes de la incoación de las diligencias previas número 6645-2015. En tal medida, descarta que pueda acogerse el argumento de la parte recurrente de que esas diligencias no podían ser instruidas y concluidas por el juez de refuerzo por haberse materializado la asunción en virtud del acuerdo posterior de la Comisión Permanente del Consejo General del Poder Judicial de 17 de noviembre de 2015. L-a razón del refuerzo era el apoyo a la instrucción de las casusas en tramitación y, en tal medida, es correcto que luego se incluyeran las diligencias cuestionadas en la propuesta conjunta de distribución del trabajo que realizaron la juez titular y el juez de refuerzo.</w:t>
      </w:r>
    </w:p>
    <w:p w14:paraId="01D6DBF9" w14:textId="77777777" w:rsidR="003754FE" w:rsidRDefault="003754FE" w:rsidP="003754FE">
      <w:pPr>
        <w:pStyle w:val="TextoNormal"/>
      </w:pPr>
    </w:p>
    <w:p w14:paraId="00CB70E0" w14:textId="77777777" w:rsidR="003754FE" w:rsidRDefault="003754FE" w:rsidP="003754FE">
      <w:pPr>
        <w:pStyle w:val="TextoNormal"/>
      </w:pPr>
      <w:r>
        <w:t>B) Se abordan a continuación las quejas atinentes al derecho a la legalidad penal (art. 25.1 CE), que rechazan la presencia de “resoluciones arbitrarias dictadas en asunto administrativo”. Desde el recordatorio de la doctrina constitucional concernida con la reproducción de pasajes de las SSTC 47/2022, de 24 de marzo, FJ 8.2.1.1, y 13/2003, de 28 de enero, FJ 3, el fiscal considera que (i) se ha vulnerado el art. 25.1 CE “al atribuir las sentencias recurridas, al objeto de pronunciar una condena por delito de prevaricación, la naturaleza de ‘resolución en asunto administrativo’ a los acuerdos del Consejo de Gobierno de la Junta de Andalucía que aprobaron los anteproyectos de ley de presupuestos de la comunidad autónoma y acordaron su remisión al Parlamento de Andalucía como proyectos de ley”; (ii) pero no al considerar como tal “los acuerdos del Consejo de Gobierno de la Junta de Andalucía relativos a la aprobación de determinadas modificaciones presupuestarias de los programas 22E y 31L”.</w:t>
      </w:r>
    </w:p>
    <w:p w14:paraId="3BAFD329" w14:textId="77777777" w:rsidR="003754FE" w:rsidRDefault="003754FE" w:rsidP="003754FE">
      <w:pPr>
        <w:pStyle w:val="TextoNormal"/>
      </w:pPr>
    </w:p>
    <w:p w14:paraId="56AF4D07" w14:textId="77777777" w:rsidR="003754FE" w:rsidRDefault="003754FE" w:rsidP="003754FE">
      <w:pPr>
        <w:pStyle w:val="TextoNormal"/>
      </w:pPr>
      <w:r>
        <w:t xml:space="preserve">Esa conclusión se sigue del análisis que efectúa del soporte metodológico y axiológico de la calificación de la conducta del recurrente como un delito de prevaricación. Parte de que “[e]l presupuesto y el eje esencial de la tesis judicial no es otro que la identificación, descripción y caracterización de lo que la sentencia del Tribunal Supremo denomina ‘procedimiento prelegislativo’, que permitiría distinguir una especie de doble dimensión de un </w:t>
      </w:r>
      <w:r>
        <w:lastRenderedPageBreak/>
        <w:t>mismo acto, de manera que la actuación del recurrente presentaría una faz política, no susceptible de control judicial, que incluiría la decisión sobre ‘el destino o distribución de los créditos presupuestarios entre los distintos programas y partidas presupuestarias’, y otra faz de ‘componente técnico muy relevante’, regida por un ‘procedimiento administrativo minuciosamente reglado’, conforme a una serie de normas de rango legal y reglamentario que la sentencia de instancia reseña, cita y reproduce repetidamente, y que habrían sido repetida y profusamente infringidas a lo largo de todo el proceso de tramitación del referido procedimiento”. El recurrente habría sido condenado como autor del delito de prevaricación administrativa porque participó “en el ejercicio de sus funciones y competencias como consejero de Presidencia de la Junta de Andalucía, en la tramitación y aprobación de los anteproyectos de ley de presupuestos de Andalucía para los ejercicios 2002 a 2009” y por “haber intervenido en la aprobación de numerosas modificaciones presupuestarias”.</w:t>
      </w:r>
    </w:p>
    <w:p w14:paraId="710FDE82" w14:textId="77777777" w:rsidR="003754FE" w:rsidRDefault="003754FE" w:rsidP="003754FE">
      <w:pPr>
        <w:pStyle w:val="TextoNormal"/>
      </w:pPr>
    </w:p>
    <w:p w14:paraId="2CEA5C6E" w14:textId="77777777" w:rsidR="003754FE" w:rsidRDefault="003754FE" w:rsidP="003754FE">
      <w:pPr>
        <w:pStyle w:val="TextoNormal"/>
      </w:pPr>
      <w:r>
        <w:t>a) Sentado lo anterior, el fiscal pasa a revisar el soporte metodológico de la imputación, “que habrá de girar sustancialmente en torno a la posibilidad de calificar aquella aprobación de los anteproyectos de ley como ‘resoluciones dictadas en asunto administrativo’ (artículo 404 CP), en términos ajustados a la lógica y exentos de extravagancia, entendiendo por extravagante, con arreglo a su definición en el DRAE, lo ‘[q]ue se hace o dice fuera del orden o común modo de obrar’ o resulta ‘[r]aro, extraño, desacostumbrado, excesivamente peculiar u original’”. Considera sintomático en tal sentido la inexistencia de precedentes conocidos de “condena por prevaricación administrativa que tenga por objeto la decisión de un gobierno de presentar al Parlamento un proyecto de ley”, aunque puntualiza que lo determinante, conforme al canon constitucional, es si la decisión judicial objetivamente desacostumbrada se sitúa “fuera del común modo de obrar de los Tribunales —y, en particular, de la línea común de razonamiento que conforma la jurisprudencia del Tribunal Supremo—”. Al respecto analiza los dos grandes bloques argumentativos que, a su juicio, facilitan las sentencias impugnadas para defender su apartamiento del trato dispensado por las jurisdicciones contencioso-administrativa y constitucional al tipo de acto enjuiciado.</w:t>
      </w:r>
    </w:p>
    <w:p w14:paraId="3C48D3B1" w14:textId="77777777" w:rsidR="003754FE" w:rsidRDefault="003754FE" w:rsidP="003754FE">
      <w:pPr>
        <w:pStyle w:val="TextoNormal"/>
      </w:pPr>
    </w:p>
    <w:p w14:paraId="0BC091DE" w14:textId="77777777" w:rsidR="003754FE" w:rsidRDefault="003754FE" w:rsidP="003754FE">
      <w:pPr>
        <w:pStyle w:val="TextoNormal"/>
      </w:pPr>
      <w:r>
        <w:t>(i) Para justificar que se aparta de la doctrina de la Sala Tercera del Tribunal Supremo sobre la posibilidad de revisar la iniciativa legislativa del gobierno, la Sala Segunda comienza vinculando la extensión de la jurisdicción penal en el ámbito propiamente parlamentario con ejemplos que descarta que ofrezcan apoyo a ese razonamiento, pues aluden al deber de cumplimiento de las resoluciones del Tribunal Constitucional (STC 58/2022, de 7 de abril).</w:t>
      </w:r>
    </w:p>
    <w:p w14:paraId="6465D0AE" w14:textId="77777777" w:rsidR="003754FE" w:rsidRDefault="003754FE" w:rsidP="003754FE">
      <w:pPr>
        <w:pStyle w:val="TextoNormal"/>
      </w:pPr>
    </w:p>
    <w:p w14:paraId="4A083D9C" w14:textId="77777777" w:rsidR="003754FE" w:rsidRDefault="003754FE" w:rsidP="003754FE">
      <w:pPr>
        <w:pStyle w:val="TextoNormal"/>
      </w:pPr>
      <w:r>
        <w:t xml:space="preserve">En realidad, según aclara, la sentencia de casación deja esa vía y opta por diferenciar entre la actividad parlamentaria y las actuaciones gubernativas para colegir que “los actos parlamentarios no pueden dirigirse nunca al incumplimiento de la ley”. Pero con ello incurre, según el fiscal, en “una patente quiebra lógica […] en cuanto se pretende combatir la idea de que la actividad legislativa está exenta de control jurisdiccional penal con una demostración de que la actividad parlamentaria gubernativa no lo está”, obviando la distinción entre actividad legislativa y decisiones o actos sin valor de ley, que el Tribunal Constitucional desarrolla, por ejemplo, en relación con el ámbito material de aplicación del artículo 42 LOTC. Concluye que “[d]espejada así cualquier posible confusión, a efectos de control jurisdiccional, entre la eventual naturaleza legislativa de los actos enjuiciados y el origen parlamentario de otros actos que no gozan de tal naturaleza, pierde por tanto sustento lógico-jurídico la afirmación de que ‘[s]i no puede predicarse la naturaleza estrictamente </w:t>
      </w:r>
      <w:r>
        <w:lastRenderedPageBreak/>
        <w:t>parlamentaria de un acto gubernativo de la Mesa de una cámara legislativa, difícilmente puede incluirse en esa categoría al trámite prelegislativo de un proyecto de ley’. Nada tiene que ver, como se desprende de cuanto se ha expuesto, lo uno con lo otro”.</w:t>
      </w:r>
    </w:p>
    <w:p w14:paraId="103E2C13" w14:textId="77777777" w:rsidR="003754FE" w:rsidRDefault="003754FE" w:rsidP="003754FE">
      <w:pPr>
        <w:pStyle w:val="TextoNormal"/>
      </w:pPr>
    </w:p>
    <w:p w14:paraId="73B644B9" w14:textId="77777777" w:rsidR="003754FE" w:rsidRDefault="003754FE" w:rsidP="003754FE">
      <w:pPr>
        <w:pStyle w:val="TextoNormal"/>
      </w:pPr>
      <w:r>
        <w:t>En este bloque de argumentos aprecia el fiscal de nuevo una “falla lógica” en el razonamiento que niega naturaleza legislativa al acto de aprobación de un proyecto de ley para su remisión al Parlamento. Sostiene que las razones que sustentan esa afirmación: que lo realiza el Gobierno, que el procedimiento de tramitación no tiene naturaleza política y está sujeto a derecho administrativo y que el momento inicial del proceso legislativo según el Reglamento del Parlamento de Andalucía (arts. 108 y ss.) es la recepción de un proyecto de ley, “hacen presupuesto de la cuestión”, ya que lo discutido es justamente cuál es la naturaleza de lo que el Tribunal Supremo denomina “procedimiento prelegislativo”. Aduce que no sustenta su carácter administrativo la atribución de competencia al Gobierno, que no predetermina la naturaleza gubernativa, de la misma manera que no toda actividad parlamentaria es legislativa. Tampoco que esa actividad prelegislativa esté sometida a normas de procedimiento, porque también lo están los procedimientos legislativos netamente parlamentarios y, sin embargo, quedan extramuros de la jurisdicción ordinaria. Y excluye asimismo que sirva de sustento a la tesis de la Sala Segunda el Reglamento del Parlamento andaluz, “que permite, cuando menos, sostener que el desarrollo y el contenido de dicha iniciativa legislativa, en cuanto concierne a su ejercicio, es una materia propia del (mismo) procedimiento legislativo que regula el citado Reglamento”.</w:t>
      </w:r>
    </w:p>
    <w:p w14:paraId="2A346C53" w14:textId="77777777" w:rsidR="003754FE" w:rsidRDefault="003754FE" w:rsidP="003754FE">
      <w:pPr>
        <w:pStyle w:val="TextoNormal"/>
      </w:pPr>
    </w:p>
    <w:p w14:paraId="3CEDC3EB" w14:textId="77777777" w:rsidR="003754FE" w:rsidRDefault="003754FE" w:rsidP="003754FE">
      <w:pPr>
        <w:pStyle w:val="TextoNormal"/>
      </w:pPr>
      <w:r>
        <w:t>Por último, descarta el fiscal la pertinencia de la referencia a la definición del elemento “resolución” del art. 404 CP establecida en la STS 163/2019, de 26 de marzo. Manifiesta sus dudas sobre la afectación fruto de la iniciativa legislativa de los derechos de los administrados o de la colectividad en general que exige esa definición, y con ello, sobre la concurrencia del elemento típico de consumación del delito de prevaricación, que exige, según el Tribunal Supremo, “un daño específico a personas o servicios públicos”. Añade que, en todo caso, “la exigencia de que sea ‘recayente sobre un asunto administrativo’ devuelve el razonamiento a su origen”, pues es esa naturaleza administrativa de la actividad del recurrente de aprobar una serie de anteproyectos de ley la controvertida.</w:t>
      </w:r>
    </w:p>
    <w:p w14:paraId="7BCA24DF" w14:textId="77777777" w:rsidR="003754FE" w:rsidRDefault="003754FE" w:rsidP="003754FE">
      <w:pPr>
        <w:pStyle w:val="TextoNormal"/>
      </w:pPr>
    </w:p>
    <w:p w14:paraId="6450F48C" w14:textId="77777777" w:rsidR="003754FE" w:rsidRDefault="003754FE" w:rsidP="003754FE">
      <w:pPr>
        <w:pStyle w:val="TextoNormal"/>
      </w:pPr>
      <w:r>
        <w:t>A la luz de las anteriores consideraciones concluye que “los razonamientos judiciales que conforman este primer bloque argumental sobre la naturaleza administrativa del supuesto procedimiento prelegislativo y la naturaleza decisoria del acto específicamente atribuido al recurrente no responden a una traslación debidamente justificada de la doctrina jurisprudencial —incluida la de la propia Sala Segunda del Tribunal Supremo— que invocan, ni resultan por tanto concluyentes a la hora de calificar como resolución dictada en asunto administrativo, por más que, como es obvio, su tramitación se conduzca a través de un procedimiento normativamente regulado y termine con un acto formal, el ejercicio de la iniciativa legislativa.</w:t>
      </w:r>
    </w:p>
    <w:p w14:paraId="13ADCDE3" w14:textId="77777777" w:rsidR="003754FE" w:rsidRDefault="003754FE" w:rsidP="003754FE">
      <w:pPr>
        <w:pStyle w:val="TextoNormal"/>
      </w:pPr>
    </w:p>
    <w:p w14:paraId="3538F9A4" w14:textId="77777777" w:rsidR="003754FE" w:rsidRDefault="003754FE" w:rsidP="003754FE">
      <w:pPr>
        <w:pStyle w:val="TextoNormal"/>
      </w:pPr>
      <w:r>
        <w:t xml:space="preserve">Por tanto, con el solo apoyo de los mencionados razonamientos, cuya consistencia metodológica ha sido cuestionada, y a la vista de los antecedentes y de la propia doctrina del Tribunal Supremo y del Tribunal Constitucional que invoca y cita la sentencia impugnada, no es posible sostener que la extravagante —en el sentido ya expuesto de desacostumbrada u original (por novedosa)— identificación como resolución dictada en asunto administrativo del acto de aprobación de un anteproyecto de ley y su remisión como proyecto al </w:t>
      </w:r>
      <w:r>
        <w:lastRenderedPageBreak/>
        <w:t>Parlamento encaje dentro del margen de previsibilidad de la interpretación y aplicación de la norma penal que, como se ha expuesto, constituye una exigencia inherente a la tutela constitucional del derecho a la legalidad penal (artículo 25. 1 CE)”.</w:t>
      </w:r>
    </w:p>
    <w:p w14:paraId="24C7A7D1" w14:textId="77777777" w:rsidR="003754FE" w:rsidRDefault="003754FE" w:rsidP="003754FE">
      <w:pPr>
        <w:pStyle w:val="TextoNormal"/>
      </w:pPr>
    </w:p>
    <w:p w14:paraId="42C5DB13" w14:textId="77777777" w:rsidR="003754FE" w:rsidRDefault="003754FE" w:rsidP="003754FE">
      <w:pPr>
        <w:pStyle w:val="TextoNormal"/>
      </w:pPr>
      <w:r>
        <w:t>(ii) Según el criterio del fiscal, en un segundo bloque argumentativo, los órganos judiciales establecen una distinción entre el control de legalidad del acto, de imposible fiscalización, y el enjuiciamiento de sus autores, que corresponde a la jurisdicción penal para evitar una impunidad contraria al principio de igualdad, cuya consistencia lógica resulta cuestionable.</w:t>
      </w:r>
    </w:p>
    <w:p w14:paraId="27683DAF" w14:textId="77777777" w:rsidR="003754FE" w:rsidRDefault="003754FE" w:rsidP="003754FE">
      <w:pPr>
        <w:pStyle w:val="TextoNormal"/>
      </w:pPr>
    </w:p>
    <w:p w14:paraId="05A16099" w14:textId="77777777" w:rsidR="003754FE" w:rsidRDefault="003754FE" w:rsidP="003754FE">
      <w:pPr>
        <w:pStyle w:val="TextoNormal"/>
      </w:pPr>
      <w:r>
        <w:t xml:space="preserve">Entiende que ambas dimensiones (control de legalidad de los actos dictados y enjuiciamiento penal de la conducta de sus autores) no son, en el caso que nos ocupa, conceptualmente separables, pues el delito de prevaricación contiene “elementos objetivos sustanciales”, como “la injusticia y la arbitrariedad”, que exigen un control de la legalidad de los actos dictados. Recuerda, asimismo, que el Derecho penal rige, en nuestro ordenamiento jurídico, como </w:t>
      </w:r>
      <w:r w:rsidRPr="003754FE">
        <w:rPr>
          <w:i/>
        </w:rPr>
        <w:t>ultima ratio</w:t>
      </w:r>
      <w:r>
        <w:t>, por lo que no es lógico pensar que el ordenamiento jurídico ha atribuido a la jurisdicción penal una función de control jurisdiccional de ciertos actos y que, al tiempo, ha excluido terminantemente que puedan ejercer esa función otras jurisdicciones que actúan normalmente como barreras de protección previas (y que solo en el caso de no resultar suficientes pueden dejar paso a una intervención penal legítima). Afirma, por ello, que la manera de razonar de la sentencia casacional conduce a la “inasumible conclusión” de que “el Derecho penal opera como primera y única barrera jurisdiccional de control de la ‘legalidad’ de una iniciativa legislativa”. Añade que, en un contexto marcado por la especial imprevisibilidad de una eventual condena por prevaricación (contexto determinado por la clara exclusión, en la jurisprudencia de la Sala de lo Contencioso-Administrativo y en la doctrina del Tribunal Constitucional, de la posibilidad de todo control jurisdiccional de las iniciativas legislativas del Gobierno, así como por la inexistencia, en el orden penal, de “precedentes de persecución y condena en supuestos similares”), el razonamiento del Tribunal Supremo adolece “de un déficit de coherencia y completitud lógico-jurídica, que impide considerarlo ajustado al canon de idoneidad metodológica que impone la aplicación del art. 25.1 CE”.</w:t>
      </w:r>
    </w:p>
    <w:p w14:paraId="6F167E28" w14:textId="77777777" w:rsidR="003754FE" w:rsidRDefault="003754FE" w:rsidP="003754FE">
      <w:pPr>
        <w:pStyle w:val="TextoNormal"/>
      </w:pPr>
    </w:p>
    <w:p w14:paraId="0E110FD7" w14:textId="77777777" w:rsidR="003754FE" w:rsidRDefault="003754FE" w:rsidP="003754FE">
      <w:pPr>
        <w:pStyle w:val="TextoNormal"/>
      </w:pPr>
      <w:r>
        <w:t>Sin abandonar todavía el plano de análisis puramente formal, el fiscal reprocha también a la sentencia casacional que sustente su criterio favorable a la subsunción de los actos de iniciativa legislativa del Gobierno en el art. 404 CP en el peligro de impunidad y que no analice previamente si esa impunidad es el producto necesario de una adecuada ponderación de los intereses y principios constitucionales en juego. Asimismo, censura que llegue a afirmar que tiene el cometido de analizar la legitimidad constitucional del resultado perseguido con el ejercicio de la iniciativa legislativa presupuestaria, lo que entiende el fiscal que desbordaría el ámbito de la jurisdicción ordinaria (con cita aquí del art. 4 LOTC).</w:t>
      </w:r>
    </w:p>
    <w:p w14:paraId="7907F4B9" w14:textId="77777777" w:rsidR="003754FE" w:rsidRDefault="003754FE" w:rsidP="003754FE">
      <w:pPr>
        <w:pStyle w:val="TextoNormal"/>
      </w:pPr>
    </w:p>
    <w:p w14:paraId="317D49E2" w14:textId="77777777" w:rsidR="003754FE" w:rsidRDefault="003754FE" w:rsidP="003754FE">
      <w:pPr>
        <w:pStyle w:val="TextoNormal"/>
      </w:pPr>
      <w:r>
        <w:t xml:space="preserve">b) Ya en el plano de la “vertiente axiológica”, explica que debe determinarse si la subsunción penal de los hechos se asienta en una base valorativa ajena a los criterios que informan nuestro ordenamiento constitucional. Reitera aquí que el Tribunal Supremo no examina los principios e intereses constitucionales en los que descansa la exclusión del control jurisdiccional de los actos de aprobación de las iniciativas legislativas del Gobierno, pues el alto tribunal se limita a conjurar la situación de impunidad que en este concreto ámbito generaría </w:t>
      </w:r>
      <w:r>
        <w:lastRenderedPageBreak/>
        <w:t>la exclusión de la intervención penal, dando por supuesto su prevalencia en un hipotético conflicto.</w:t>
      </w:r>
    </w:p>
    <w:p w14:paraId="37AE683B" w14:textId="77777777" w:rsidR="003754FE" w:rsidRDefault="003754FE" w:rsidP="003754FE">
      <w:pPr>
        <w:pStyle w:val="TextoNormal"/>
      </w:pPr>
    </w:p>
    <w:p w14:paraId="4DA49607" w14:textId="77777777" w:rsidR="003754FE" w:rsidRDefault="003754FE" w:rsidP="003754FE">
      <w:pPr>
        <w:pStyle w:val="TextoNormal"/>
      </w:pPr>
      <w:r>
        <w:t xml:space="preserve">Entiende el fiscal que el fundamento de la exclusión de control jurisdiccional, asumida tanto en el orden contencioso-administrativo como en la jurisdicción constitucional, es “preservar el principio constitucional de separación de poderes y, en concreto, la autonomía del Poder Legislativo, al menos respecto de[l] ejercicio de la potestad legislativa que el art. 66.2 CE atribuye incondicionalmente a las Cortes Generales”. Cita el fiscal, en este punto, los AATC 85/2006, de 14 de marzo, y 131/2022, de 11 de octubre, y considera que la protección de la autonomía parlamentaria, que “solo consiente” el control de las leyes una vez aprobadas, no puede convivir con la atribución a la jurisdicción penal de un juicio </w:t>
      </w:r>
      <w:r w:rsidRPr="003754FE">
        <w:rPr>
          <w:i/>
        </w:rPr>
        <w:t>ex ante</w:t>
      </w:r>
      <w:r>
        <w:t xml:space="preserve"> sobre la “’legalidad’ formal y material del contenido de la iniciativa legislativa”.</w:t>
      </w:r>
    </w:p>
    <w:p w14:paraId="65A50E58" w14:textId="77777777" w:rsidR="003754FE" w:rsidRDefault="003754FE" w:rsidP="003754FE">
      <w:pPr>
        <w:pStyle w:val="TextoNormal"/>
      </w:pPr>
    </w:p>
    <w:p w14:paraId="59AFD93E" w14:textId="77777777" w:rsidR="003754FE" w:rsidRDefault="003754FE" w:rsidP="003754FE">
      <w:pPr>
        <w:pStyle w:val="TextoNormal"/>
      </w:pPr>
      <w:r>
        <w:t>Al basar exclusivamente la intervención de la jurisdicción penal en la evitación de situaciones de impunidad, el Tribunal Supremo omite cualquier valoración sobre la importancia que la autonomía del Parlamento y la división de poderes tienen en nuestro orden constitucional. A juicio del fiscal, una correcta ponderación de ese conflicto potencial “entre la aplicación de la norma penal y la tutela de la autonomía del Parlamento para legislar, en concreto a partir de la iniciativa del Ejecutivo, forzosamente ha de resolverse a favor de la exclusión de un control penal de la legalidad de esa iniciativa”. Considera que “la idea misma de que un acto exento de control jurisdiccional contencioso-administrativo e incluso constitucional, pueda verse sujeto a un —inescindible por mucho esfuerzo que se haga para justificar lo contrario— control autónomo de legalidad administrativa —e incluso constitucional— por un tribunal penal, choca con cualquier posible lectura conjunta de las normas constitucionales […] expresivas de la separación de poderes en el modelo de democracia parlamentaria que diseña la Constitución de 1978”.</w:t>
      </w:r>
    </w:p>
    <w:p w14:paraId="644DADB8" w14:textId="77777777" w:rsidR="003754FE" w:rsidRDefault="003754FE" w:rsidP="003754FE">
      <w:pPr>
        <w:pStyle w:val="TextoNormal"/>
      </w:pPr>
    </w:p>
    <w:p w14:paraId="7D166FA1" w14:textId="77777777" w:rsidR="003754FE" w:rsidRDefault="003754FE" w:rsidP="003754FE">
      <w:pPr>
        <w:pStyle w:val="TextoNormal"/>
      </w:pPr>
      <w:r>
        <w:t>Concluye, por ello, que “el razonamiento de las sentencias impugnadas carece de un soporte axiológico verdaderamente conforme a los valores de la Constitución, al no abordar en absoluto un tratamiento constitucional de este conflicto de legitimidades y al anteponer cualquier otra consideración al ejercicio eficaz de la jurisdicción penal”.</w:t>
      </w:r>
    </w:p>
    <w:p w14:paraId="0F731BD1" w14:textId="77777777" w:rsidR="003754FE" w:rsidRDefault="003754FE" w:rsidP="003754FE">
      <w:pPr>
        <w:pStyle w:val="TextoNormal"/>
      </w:pPr>
    </w:p>
    <w:p w14:paraId="7757C3BB" w14:textId="77777777" w:rsidR="003754FE" w:rsidRDefault="003754FE" w:rsidP="003754FE">
      <w:pPr>
        <w:pStyle w:val="TextoNormal"/>
      </w:pPr>
      <w:r>
        <w:t>Considera, por todo lo anterior, que ha resultado vulnerado el derecho fundamental de la recurrente a la legalidad penal (art. 25.1 CE) al haber atribuido las sentencias impugnadas la naturaleza de “resolución en asunto administrativo”, a efectos de condenar por delito prevaricación, a los acuerdos del Consejo de Gobierno de la Junta de Andalucía que aprobaron los anteproyectos de ley de presupuestos de la comunidad autónoma y acordaron su remisión al Parlamento de Andalucía como proyectos de ley.</w:t>
      </w:r>
    </w:p>
    <w:p w14:paraId="07AEA83A" w14:textId="77777777" w:rsidR="003754FE" w:rsidRDefault="003754FE" w:rsidP="003754FE">
      <w:pPr>
        <w:pStyle w:val="TextoNormal"/>
      </w:pPr>
    </w:p>
    <w:p w14:paraId="01AD435D" w14:textId="77777777" w:rsidR="003754FE" w:rsidRDefault="003754FE" w:rsidP="003754FE">
      <w:pPr>
        <w:pStyle w:val="TextoNormal"/>
      </w:pPr>
      <w:r>
        <w:t>c) Para concluir el bloque relativo a la prevaricación, analiza el fiscal si la vulneración del art. 25.1 CE, que entiende materializada en relación con los anteproyectos de ley de presupuestos, ha de extenderse también a la aprobación de las llamadas “modificaciones presupuestarias” de las partidas 22E y 31L. Nuevamente distingue, para ello, entre el plano de análisis formal y el axiológico:</w:t>
      </w:r>
    </w:p>
    <w:p w14:paraId="228D55F6" w14:textId="77777777" w:rsidR="003754FE" w:rsidRDefault="003754FE" w:rsidP="003754FE">
      <w:pPr>
        <w:pStyle w:val="TextoNormal"/>
      </w:pPr>
    </w:p>
    <w:p w14:paraId="1CD2755B" w14:textId="77777777" w:rsidR="003754FE" w:rsidRDefault="003754FE" w:rsidP="003754FE">
      <w:pPr>
        <w:pStyle w:val="TextoNormal"/>
      </w:pPr>
      <w:r>
        <w:t>(i) En el plano metodológico, entiende el Ministerio Fiscal que la sentencia de instancia y la casacional asumen la naturaleza administrativa de las modificaciones presupuestarias con argumentos “atinados y perfectamente asumibles”.</w:t>
      </w:r>
    </w:p>
    <w:p w14:paraId="2D5CA32B" w14:textId="77777777" w:rsidR="003754FE" w:rsidRDefault="003754FE" w:rsidP="003754FE">
      <w:pPr>
        <w:pStyle w:val="TextoNormal"/>
      </w:pPr>
    </w:p>
    <w:p w14:paraId="7FB57E58" w14:textId="77777777" w:rsidR="003754FE" w:rsidRDefault="003754FE" w:rsidP="003754FE">
      <w:pPr>
        <w:pStyle w:val="TextoNormal"/>
      </w:pPr>
      <w:r>
        <w:t>Reproduce, en este punto, los arts. 38, 42, 44, 45, 46, 47 y 48 de la Ley 5/1983, de 19 de julio, de hacienda pública de la Comunidad Autónoma de Andalucía. Resalta, a su vez, la falta de regulación de esas modificaciones en la Constitución, en el Estatuto de Autonomía de Andalucía y en el Reglamento del Parlamento de Andalucía. De ese régimen normativo deduce el fiscal que, por disposición expresa de la Ley 5/1983, una vez aprobada la ley de presupuestos, la competencia para modificar los créditos en los estados de gastos autorizados corresponde “al Consejo de Gobierno o, en su caso, a la Consejería de Hacienda”, siempre que la modificación no afecte al crédito global consignado en los presupuestos, “en cuyo caso el Ejecutivo ha de someter al Parlamento un proyecto de ley” por efecto del art. 134.5 CE y del art. 43 de la Ley 5/1983.</w:t>
      </w:r>
    </w:p>
    <w:p w14:paraId="1A7F3BB4" w14:textId="77777777" w:rsidR="003754FE" w:rsidRDefault="003754FE" w:rsidP="003754FE">
      <w:pPr>
        <w:pStyle w:val="TextoNormal"/>
      </w:pPr>
    </w:p>
    <w:p w14:paraId="18090052" w14:textId="77777777" w:rsidR="003754FE" w:rsidRDefault="003754FE" w:rsidP="003754FE">
      <w:pPr>
        <w:pStyle w:val="TextoNormal"/>
      </w:pPr>
      <w:r>
        <w:t>Entiende el Ministerio Fiscal que la atribución de esa competencia no convierte las decisiones que adopta, al efecto, el Consejo de Gobierno o la Consejería de Hacienda en actos con fuerza de ley, pues nos encontramos ante “un procedimiento reglado que se inicia, se desenvuelve y se resuelve, con pleno efecto ejecutivo, en el seno de los órganos del Gobierno”. Solo la afectación del crédito global autorizado por el Parlamento requeriría acudir a un verdadero procedimiento legislativo.</w:t>
      </w:r>
    </w:p>
    <w:p w14:paraId="2C3751F9" w14:textId="77777777" w:rsidR="003754FE" w:rsidRDefault="003754FE" w:rsidP="003754FE">
      <w:pPr>
        <w:pStyle w:val="TextoNormal"/>
      </w:pPr>
    </w:p>
    <w:p w14:paraId="723608BA" w14:textId="77777777" w:rsidR="003754FE" w:rsidRDefault="003754FE" w:rsidP="003754FE">
      <w:pPr>
        <w:pStyle w:val="TextoNormal"/>
      </w:pPr>
      <w:r>
        <w:t>(ii) En el plano “axiológico”, aduce el fiscal que, una vez “negada la premisa” de que las modificaciones presupuestarias puedan ser consideradas actos con “rango, fuerza o valor de ley”, fruto de la “reserva de ley que impone el art. 134 CE en materia presupuestaria”, no hay razón alguna para “temer por la autonomía parlamentaria en el ejercicio de la potestad legislativa, que no está en juego”. Tampoco existiría peligro para “el principio consustancial de separación de poderes”.</w:t>
      </w:r>
    </w:p>
    <w:p w14:paraId="10AE93FD" w14:textId="77777777" w:rsidR="003754FE" w:rsidRDefault="003754FE" w:rsidP="003754FE">
      <w:pPr>
        <w:pStyle w:val="TextoNormal"/>
      </w:pPr>
    </w:p>
    <w:p w14:paraId="2DAF64A6" w14:textId="77777777" w:rsidR="003754FE" w:rsidRDefault="003754FE" w:rsidP="003754FE">
      <w:pPr>
        <w:pStyle w:val="TextoNormal"/>
      </w:pPr>
      <w:r>
        <w:t>Concluye, por todo ello, que la consideración como “resolución en asunto administrativo”, a efectos de condenar por delito de prevaricación, de los acuerdos del Consejo de Gobierno de la Junta de Andalucía relativos a la aprobación de determinadas modificaciones presupuestarias de los programas 22E y 31L, no vulnera el derecho a la legalidad penal (art. 25.1 CE).</w:t>
      </w:r>
    </w:p>
    <w:p w14:paraId="0970AD2B" w14:textId="77777777" w:rsidR="003754FE" w:rsidRDefault="003754FE" w:rsidP="003754FE">
      <w:pPr>
        <w:pStyle w:val="TextoNormal"/>
      </w:pPr>
    </w:p>
    <w:p w14:paraId="1EBF3DCC" w14:textId="77777777" w:rsidR="003754FE" w:rsidRDefault="003754FE" w:rsidP="003754FE">
      <w:pPr>
        <w:pStyle w:val="TextoNormal"/>
      </w:pPr>
      <w:r>
        <w:t>C) El fiscal aborda en último lugar la vulneración del derecho a la presunción de inocencia (art. 24.2 CE) conforme a la delimitación expuesta al inicio de sus alegaciones, queja que circunscribe al cuestionamiento de la concurrencia del elemento subjetivo del injusto típico. El repaso de la tesis de la demanda, de los pronunciamientos de la sentencia de la Audiencia Nacional y del Tribunal Supremo y de la doctrina constitucional sobre el derecho a la presunción de inocencia, singularmente en lo relativo a la admisibilidad y exigencia de la prueba indiciaria, la prueba de los elementos subjetivos y el control que corresponde a este tribunal, llevan al fiscal a descartar la queja, “dada la pluralidad de datos ofrecidos por [las sentencias impugnadas] para acreditar el conocimiento íntimo del recurrente tanto sobre el sistema ideado para la concesión de ayudas sociolaborales como sobre su carácter injusto”. Entiende que ni la argumentación empleada por la Audiencia Provincial sobre la valoración de las pruebas puede reputarse ilógica o excesivamente abierta; ni el Tribunal Supremo, en su control, extrajo conclusiones extravagantes.</w:t>
      </w:r>
    </w:p>
    <w:p w14:paraId="3F62C9FB" w14:textId="77777777" w:rsidR="003754FE" w:rsidRDefault="003754FE" w:rsidP="003754FE">
      <w:pPr>
        <w:pStyle w:val="TextoNormal"/>
      </w:pPr>
    </w:p>
    <w:p w14:paraId="7B29BA33" w14:textId="77777777" w:rsidR="003754FE" w:rsidRDefault="003754FE" w:rsidP="003754FE">
      <w:pPr>
        <w:pStyle w:val="TextoNormal"/>
      </w:pPr>
      <w:r>
        <w:t xml:space="preserve">Destaca en su exposición que un primer nivel de concreción del conocimiento que tenía el recurrente viene dado por su condición de consejero de Presidencia desde el mes de abril </w:t>
      </w:r>
      <w:r>
        <w:lastRenderedPageBreak/>
        <w:t>de 1996 hasta el día 24 de abril de 2009. Durante trece años ocupó “una Consejería del más alto contenido político”, sin que “[d]educir de ahí que en el recurrente había de existir un elevado ‘conocimiento general’ de ‘toda’ la actuación del Consejo de Gobierno de la Junta de Andalucía durante ‘todos’ esos años” pueda quebrantar ninguna regla de la lógica. El fiscal señala que hay un siguiente nivel de “concreción del conocimiento”, que viene dado por el que se afirma en las sentencias impugnadas “tanto del nuevo sistema para la concesión de ayudas sociolaborales como de su carácter injusto”. Para establecerlo, explica el fiscal, las resoluciones siguen la vía indiciaria, atendiendo a dos tipos de indicios.</w:t>
      </w:r>
    </w:p>
    <w:p w14:paraId="47B41119" w14:textId="77777777" w:rsidR="003754FE" w:rsidRDefault="003754FE" w:rsidP="003754FE">
      <w:pPr>
        <w:pStyle w:val="TextoNormal"/>
      </w:pPr>
    </w:p>
    <w:p w14:paraId="12226775" w14:textId="77777777" w:rsidR="003754FE" w:rsidRDefault="003754FE" w:rsidP="003754FE">
      <w:pPr>
        <w:pStyle w:val="TextoNormal"/>
      </w:pPr>
      <w:r>
        <w:t>Un primer grupo permitiría inferir “que cuando se produjo el cambio de presupuestación, el Sr. Zarrías Arévalo sabía que se iban a pagar las ayudas sociolaborales con un instrumento financiero inadecuado”, ya que conocía que “debían articularse a través de la normativa de subvenciones, tal y como se venía haciendo hasta el año 2000”. Como indicios pertenecientes a este grupo sitúa: (i) la adscripción de la asesoría jurídica de la Junta de Andalucía, correspondiéndole también la asistencia política, técnica y el asesoramiento general al presidente de la Junta de Andalucía, razón por la que cabe presumir que estaba al tanto de todos los problemas conflictivos, y singularmente de los problemas de la empresa HAMSA; (ii) su participación como miembro del Consejo de Gobierno en la aprobación de los presupuestos correspondientes a los ejercicios económicos de 2000 a 2008 y de la mayoría de las modificaciones presupuestarias que afectaron a los programas 22E y 31L; (iii) la presidencia de la Comisión general de viceconsejeros, “órgano encargado de filtrar los asuntos que podían llegar al Consejo de Gobierno y por la que pasaban todos los expedientes de modificación presupuestaria, así como el anteproyecto de ley de presupuestos de cada año”, por lo que “hubo de poseer un grado singular de conocimiento de los proyectos normativos, no ya general, sino de detalle”, donde destacan las sesiones que presidió de 12 de septiembre de 2001 y de 7 de noviembre de 2001, en las que se acordó elevar al Consejo de Gobierno sendas modificaciones presupuestarias que serían aprobadas por este el 18 de septiembre de 2001 y el 13 de noviembre de 2001, o las sesiones al inicio de los hechos (13 de diciembre de 2000, 17 de enero de 2001 y 24 de enero de 2001) en las que se discutió el proyecto de decreto para regular las ayudas sociolaborales finalmente no aprobado; (iv) su declaración de que conocía el contenido de la Ley general de la hacienda pública de Andalucía y sabía que las subvenciones tenían un marco legal claro; (v) “la documentación y memorias que se acompañaban a las distintas modificaciones presupuestarias, a los anteproyectos de ley de presupuestos de cada año y a los expedientes del Plan de control financiero permanente de las empresas públicas que durante varios ejercicios aprobó el Consejo de Gobierno” le proporcionó conocimiento del pago de subvenciones mediante transferencias de financiación.</w:t>
      </w:r>
    </w:p>
    <w:p w14:paraId="712E1820" w14:textId="77777777" w:rsidR="003754FE" w:rsidRDefault="003754FE" w:rsidP="003754FE">
      <w:pPr>
        <w:pStyle w:val="TextoNormal"/>
      </w:pPr>
    </w:p>
    <w:p w14:paraId="0256C1C6" w14:textId="77777777" w:rsidR="003754FE" w:rsidRDefault="003754FE" w:rsidP="003754FE">
      <w:pPr>
        <w:pStyle w:val="TextoNormal"/>
      </w:pPr>
      <w:r>
        <w:t xml:space="preserve">Un segundo grupo permite inferir “el verdadero conocimiento del Sr. Zarrías Arévalo desde la perspectiva ofrecida por su participación activa en el ámbito de las gestiones preliminares efectuadas para la concesión de determinadas ayudas a ciertas empresas radicadas en la provincia de Jaén, de cuya dificultosa situación era conocedor porque era en esa provincia donde de forma especial desarrollaba su acción política”. Como indicios de tal inferencia recoge el fiscal: (i) el papel central del recurrente en la acción política del Gobierno, de donde se infiere que conocía las razones por las que se produjo el cambio de presupuestación (los problemas habidos con la concesión de ayudas con reparos de la Intervención); (ii) que esos problemas afloraron en la subvención a la empresa HAMSA, en cuya gestión había intervenido personalmente; (iii) que también participó en la gestión de las ayudas a </w:t>
      </w:r>
      <w:r>
        <w:lastRenderedPageBreak/>
        <w:t>otras empresas como Santana Motor o Primayor, lo que permite suponer que conocía todo lo concerniente a la forma en que se estaban gestionando las ayudas.</w:t>
      </w:r>
    </w:p>
    <w:p w14:paraId="25357375" w14:textId="77777777" w:rsidR="003754FE" w:rsidRDefault="003754FE" w:rsidP="003754FE">
      <w:pPr>
        <w:pStyle w:val="TextoNormal"/>
      </w:pPr>
    </w:p>
    <w:p w14:paraId="07CCB40B" w14:textId="77777777" w:rsidR="003754FE" w:rsidRDefault="003754FE" w:rsidP="003754FE">
      <w:pPr>
        <w:pStyle w:val="TextoNormal"/>
      </w:pPr>
      <w:r>
        <w:t>Frente a ese panorama opone el recurrente consideraciones que, según el criterio del fiscal, aun dándoseles el valor que pretende, no alcanzan a privar de eficacia a las conclusiones establecidas en las sentencias impugnadas con base en una pluralidad de datos que conducen a inferencias sólidas y consistentes.</w:t>
      </w:r>
    </w:p>
    <w:p w14:paraId="1B17B46D" w14:textId="77777777" w:rsidR="003754FE" w:rsidRDefault="003754FE" w:rsidP="003754FE">
      <w:pPr>
        <w:pStyle w:val="TextoNormal"/>
      </w:pPr>
    </w:p>
    <w:p w14:paraId="213C1913" w14:textId="5D92C57B" w:rsidR="003754FE" w:rsidRDefault="003754FE" w:rsidP="003754FE">
      <w:pPr>
        <w:pStyle w:val="TextoNormal"/>
      </w:pPr>
      <w:r>
        <w:t xml:space="preserve">D) El fiscal dedica el apartado final de sus alegaciones a clarificar los efectos que conllevaría la estimación de la vulneración del derecho a la legalidad penal que aprecia, derivada de la indebida subsunción en el tipo objetivo del delito de prevaricación de la intervención del demandante en la aprobación de los anteproyectos de ley de presupuestos. Recuerda a tales efectos que se le condenó como autor de un delito continuado que incluye tanto su participación en los actos de aprobación de los proyectos de presupuestos como en los acuerdos de modificación presupuestaria, cuyo enjuiciamiento con resultado condenatorio no incurre en lesión constitucional. En tal medida, “la eventual persistencia de una condena constitucionalmente homologable por delito de prevaricación, por los hechos consistentes en la aprobación de las modificaciones presupuestarias, ni puede traducirse en la anulación completa del fallo, como es obvio, ni tampoco en una reformulación de la condena que, evidentemente, queda extramuros de la jurisdicción y competencia del Tribunal Constitucional”. Considera por ello que corresponde al Tribunal </w:t>
      </w:r>
      <w:r w:rsidRPr="003754FE">
        <w:rPr>
          <w:i/>
        </w:rPr>
        <w:t>a quo</w:t>
      </w:r>
      <w:r>
        <w:t xml:space="preserve"> determinar la pena conforme a los factores que tuvo en cuenta en su sentencia, pero con exclusión de la conducta de aprobación de los anteproyectos de ley de presupuestos, lo que exige acompañar el fallo anulatorio con la retroacción del procedimiento al momento de dictarse la sentencia de instancia.</w:t>
      </w:r>
    </w:p>
    <w:p w14:paraId="6909B948" w14:textId="77777777" w:rsidR="003754FE" w:rsidRDefault="003754FE" w:rsidP="003754FE">
      <w:pPr>
        <w:pStyle w:val="TextoNormal"/>
      </w:pPr>
    </w:p>
    <w:p w14:paraId="23BF2E77" w14:textId="786644FF" w:rsidR="003754FE" w:rsidRDefault="003754FE" w:rsidP="003754FE">
      <w:pPr>
        <w:pStyle w:val="TextoNormal"/>
      </w:pPr>
      <w:r w:rsidRPr="003754FE">
        <w:rPr>
          <w:rStyle w:val="NumeroAFNegritaCaracter"/>
        </w:rPr>
        <w:t>7</w:t>
      </w:r>
      <w:r>
        <w:t>. Por providencia de 16 de julio de 2024 se señaló para la deliberación y votación de la presente sentencia el día 17 del mismo mes y año.</w:t>
      </w:r>
    </w:p>
    <w:p w14:paraId="5B8D28F4" w14:textId="77777777" w:rsidR="003754FE" w:rsidRDefault="003754FE" w:rsidP="003754FE">
      <w:pPr>
        <w:pStyle w:val="TextoNormal"/>
      </w:pPr>
    </w:p>
    <w:p w14:paraId="40DBF3A2" w14:textId="77777777" w:rsidR="003754FE" w:rsidRDefault="003754FE" w:rsidP="003754FE">
      <w:pPr>
        <w:pStyle w:val="TextoNormalNegritaCentrado"/>
        <w:keepNext/>
      </w:pPr>
      <w:r>
        <w:t>II. Fundamentos jurídicos</w:t>
      </w:r>
    </w:p>
    <w:p w14:paraId="417BD23F" w14:textId="463D831E" w:rsidR="003754FE" w:rsidRDefault="003754FE" w:rsidP="003754FE">
      <w:pPr>
        <w:pStyle w:val="TextoNormalNegritaCentrado"/>
        <w:keepNext/>
      </w:pPr>
    </w:p>
    <w:p w14:paraId="5D7F09E2" w14:textId="77777777" w:rsidR="003754FE" w:rsidRDefault="003754FE" w:rsidP="003754FE">
      <w:pPr>
        <w:pStyle w:val="TextoNormal"/>
      </w:pPr>
      <w:r w:rsidRPr="003754FE">
        <w:rPr>
          <w:rStyle w:val="NumeroAFNegritaCaracter"/>
        </w:rPr>
        <w:t>1</w:t>
      </w:r>
      <w:r>
        <w:t xml:space="preserve">. </w:t>
      </w:r>
      <w:r w:rsidRPr="003754FE">
        <w:rPr>
          <w:i/>
        </w:rPr>
        <w:t>Objeto del recurso, posiciones de las partes y orden de análisis de las quejas</w:t>
      </w:r>
    </w:p>
    <w:p w14:paraId="55C4838E" w14:textId="77777777" w:rsidR="003754FE" w:rsidRDefault="003754FE" w:rsidP="003754FE">
      <w:pPr>
        <w:pStyle w:val="TextoNormal"/>
      </w:pPr>
    </w:p>
    <w:p w14:paraId="3253A949" w14:textId="77777777" w:rsidR="003754FE" w:rsidRDefault="003754FE" w:rsidP="003754FE">
      <w:pPr>
        <w:pStyle w:val="TextoNormal"/>
      </w:pPr>
      <w:r>
        <w:t xml:space="preserve">1.1. </w:t>
      </w:r>
      <w:r w:rsidRPr="003754FE">
        <w:rPr>
          <w:i/>
        </w:rPr>
        <w:t>Objeto del recurso y posiciones de las partes</w:t>
      </w:r>
    </w:p>
    <w:p w14:paraId="579D4033" w14:textId="77777777" w:rsidR="003754FE" w:rsidRDefault="003754FE" w:rsidP="003754FE">
      <w:pPr>
        <w:pStyle w:val="TextoNormal"/>
      </w:pPr>
    </w:p>
    <w:p w14:paraId="45F8E2B8" w14:textId="77777777" w:rsidR="003754FE" w:rsidRDefault="003754FE" w:rsidP="003754FE">
      <w:pPr>
        <w:pStyle w:val="TextoNormal"/>
      </w:pPr>
      <w:r>
        <w:t>El presente recurso de amparo se dirige contra las siguientes resoluciones: (i) la sentencia núm. 490/2019, de 19 de noviembre, dictada por la Sección Primera de la Audiencia Provincial de Sevilla en el rollo núm. 1965-2017, dimanante del procedimiento abreviado núm. 133-2016, que le condenó como autor de un delito continuado de prevaricación administrativa del art. 404 CP a la pena de nueve años de inhabilitación especial, con la consiguiente privación definitiva de todo cargo público de carácter electivo o de designación, en cualquier administración pública y la incapacidad para obtenerlos durante el tiempo de la condena; (ii) la sentencia de la Sala de lo Penal del Tribunal Supremo núm. 749/2022, de 13 de septiembre, que desestima el recurso de casación formulado por el demandante frente a la anterior resolución (recurso de casación núm. 601-20); (iii) el auto de aclaración de 14 de diciembre de 2022, y (iv) el auto de 16 de febrero de 2023 que inadmite el incidente de nulidad de actuaciones interpuesto frente a la citada sentencia desestimatoria.</w:t>
      </w:r>
    </w:p>
    <w:p w14:paraId="455E420A" w14:textId="77777777" w:rsidR="003754FE" w:rsidRDefault="003754FE" w:rsidP="003754FE">
      <w:pPr>
        <w:pStyle w:val="TextoNormal"/>
      </w:pPr>
    </w:p>
    <w:p w14:paraId="1F23D1CE" w14:textId="77777777" w:rsidR="003754FE" w:rsidRDefault="003754FE" w:rsidP="003754FE">
      <w:pPr>
        <w:pStyle w:val="TextoNormal"/>
      </w:pPr>
      <w:r>
        <w:t xml:space="preserve">La demanda de amparo se articula formalmente en dos motivos, en los que, sin embargo, se denuncia una triple lesión de derechos fundamentales: (i) vulneración del derecho al juez ordinario predeterminado por la ley (art. 24.2 CE), en tanto la atribución al juez de refuerzo de la instrucción de la causa y no a la titular es contraria al art. 216 </w:t>
      </w:r>
      <w:r w:rsidRPr="003754FE">
        <w:rPr>
          <w:i/>
        </w:rPr>
        <w:t>bis</w:t>
      </w:r>
      <w:r>
        <w:t xml:space="preserve">.2.4 LOPJ y supone la designación de un juez </w:t>
      </w:r>
      <w:r w:rsidRPr="003754FE">
        <w:rPr>
          <w:i/>
        </w:rPr>
        <w:t>ad hoc</w:t>
      </w:r>
      <w:r>
        <w:t>; (ii) vulneración del derecho a la legalidad penal (art. 25.1 CE) por la subsunción irrazonable de la aprobación y elevación de un proyecto de ley al Parlamento o de la aprobación de una modificación presupuestaria en el tipo objetivo del delito de prevaricación (resolución arbitraria dictada en asunto administrativo); y (iii) vulneración del derecho a la presunción de inocencia (art. 24.2 CE), por la falta de prueba del elemento subjetivo de la prevaricación (conocimiento de la ilegalidad del sistema de presupuestación).</w:t>
      </w:r>
    </w:p>
    <w:p w14:paraId="4885C962" w14:textId="77777777" w:rsidR="003754FE" w:rsidRDefault="003754FE" w:rsidP="003754FE">
      <w:pPr>
        <w:pStyle w:val="TextoNormal"/>
      </w:pPr>
    </w:p>
    <w:p w14:paraId="0C6FEA24" w14:textId="77777777" w:rsidR="003754FE" w:rsidRDefault="003754FE" w:rsidP="003754FE">
      <w:pPr>
        <w:pStyle w:val="TextoNormal"/>
      </w:pPr>
      <w:r>
        <w:t>La representación procesal del Partido Popular ha interesado la desestimación íntegra del amparo, con los argumentos que han sido sintetizados en el antecedente de hecho 5 b).</w:t>
      </w:r>
    </w:p>
    <w:p w14:paraId="1A3EA740" w14:textId="77777777" w:rsidR="003754FE" w:rsidRDefault="003754FE" w:rsidP="003754FE">
      <w:pPr>
        <w:pStyle w:val="TextoNormal"/>
      </w:pPr>
    </w:p>
    <w:p w14:paraId="527EAECA" w14:textId="77777777" w:rsidR="003754FE" w:rsidRDefault="003754FE" w:rsidP="003754FE">
      <w:pPr>
        <w:pStyle w:val="TextoNormal"/>
      </w:pPr>
      <w:r>
        <w:t>Tal y como se ha reflejado con mayor detalle en los antecedente 5 c) a 5 g), las representaciones procesales de don José Antonio Griñán Martínez y don Antonio Vicente Lozano Peña evacuaron vista dándose por instruidas; la de doña Carmen Martínez Aguayo se ha adherido al recurso de amparo en todo lo que pueda favorecerla; la de don Jesús María Rodríguez Román ha interesado que se declare la vulneración del derecho fundamental a la legalidad sancionadora (art. 25.1 CE) en las diferentes vertientes desarrolladas en el recurso; y la de don Francisco Vallejo Serrano ha solicitado que se declare la vulneración del derecho al juez ordinario predeterminado por la ley y, subsidiariamente, la vulneración del derecho fundamental a la legalidad sancionadora (art. 25.1 CE).</w:t>
      </w:r>
    </w:p>
    <w:p w14:paraId="01FAD2B5" w14:textId="77777777" w:rsidR="003754FE" w:rsidRDefault="003754FE" w:rsidP="003754FE">
      <w:pPr>
        <w:pStyle w:val="TextoNormal"/>
      </w:pPr>
    </w:p>
    <w:p w14:paraId="3A1D8801" w14:textId="77777777" w:rsidR="003754FE" w:rsidRDefault="003754FE" w:rsidP="003754FE">
      <w:pPr>
        <w:pStyle w:val="TextoNormal"/>
      </w:pPr>
      <w:r>
        <w:t>Por su parte, el Ministerio Fiscal ha interesado en su escrito de alegaciones la estimación parcial del recurso de amparo por infracción del derecho a la legalidad sancionadora (art. 25.1 CE) con los argumentos que han sido expuestos en el antecedente de hecho 6.</w:t>
      </w:r>
    </w:p>
    <w:p w14:paraId="444B5A37" w14:textId="77777777" w:rsidR="003754FE" w:rsidRDefault="003754FE" w:rsidP="003754FE">
      <w:pPr>
        <w:pStyle w:val="TextoNormal"/>
      </w:pPr>
    </w:p>
    <w:p w14:paraId="7C1FF4D5" w14:textId="77777777" w:rsidR="003754FE" w:rsidRDefault="003754FE" w:rsidP="003754FE">
      <w:pPr>
        <w:pStyle w:val="TextoNormal"/>
      </w:pPr>
      <w:r>
        <w:t xml:space="preserve">1.2. </w:t>
      </w:r>
      <w:r w:rsidRPr="003754FE">
        <w:rPr>
          <w:i/>
        </w:rPr>
        <w:t>Orden de análisis de las quejas</w:t>
      </w:r>
    </w:p>
    <w:p w14:paraId="3F3A85BC" w14:textId="77777777" w:rsidR="003754FE" w:rsidRDefault="003754FE" w:rsidP="003754FE">
      <w:pPr>
        <w:pStyle w:val="TextoNormal"/>
      </w:pPr>
    </w:p>
    <w:p w14:paraId="7823D22F" w14:textId="25931948" w:rsidR="003754FE" w:rsidRDefault="003754FE" w:rsidP="003754FE">
      <w:pPr>
        <w:pStyle w:val="TextoNormal"/>
      </w:pPr>
      <w:r>
        <w:t>Dado el contenido de las alegaciones aducidas en los motivos en los que el recurrente fundamenta la demanda de amparo y por razones de ordenación sistemática de las materias a tratar, su análisis se va a efectuar conforme al siguiente orden: vulneración del derecho al juez predeterminado por la ley, vulneración del derecho a la legalidad penal y vulneración del derecho a la presunción de inocencia.</w:t>
      </w:r>
    </w:p>
    <w:p w14:paraId="35A423AC" w14:textId="77777777" w:rsidR="003754FE" w:rsidRDefault="003754FE" w:rsidP="003754FE">
      <w:pPr>
        <w:pStyle w:val="TextoNormal"/>
      </w:pPr>
    </w:p>
    <w:p w14:paraId="57507140" w14:textId="77777777" w:rsidR="003754FE" w:rsidRDefault="003754FE" w:rsidP="003754FE">
      <w:pPr>
        <w:pStyle w:val="TextoNormal"/>
      </w:pPr>
      <w:r w:rsidRPr="003754FE">
        <w:rPr>
          <w:rStyle w:val="NumeroAFNegritaCaracter"/>
        </w:rPr>
        <w:t>2</w:t>
      </w:r>
      <w:r>
        <w:t xml:space="preserve">. </w:t>
      </w:r>
      <w:r w:rsidRPr="003754FE">
        <w:rPr>
          <w:i/>
        </w:rPr>
        <w:t>Breve delimitación fáctica y jurídica del proceso “ERE” y de la condena del demandante de amparo</w:t>
      </w:r>
    </w:p>
    <w:p w14:paraId="0B981BBB" w14:textId="77777777" w:rsidR="003754FE" w:rsidRDefault="003754FE" w:rsidP="003754FE">
      <w:pPr>
        <w:pStyle w:val="TextoNormal"/>
      </w:pPr>
    </w:p>
    <w:p w14:paraId="12DDB463" w14:textId="77777777" w:rsidR="003754FE" w:rsidRDefault="003754FE" w:rsidP="003754FE">
      <w:pPr>
        <w:pStyle w:val="TextoNormal"/>
      </w:pPr>
      <w:r>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w:t>
      </w:r>
      <w:r>
        <w:lastRenderedPageBreak/>
        <w:t xml:space="preserve">previas con la finalidad de facilitar la comprensión de los hechos objeto del proceso </w:t>
      </w:r>
      <w:r w:rsidRPr="003754FE">
        <w:rPr>
          <w:i/>
        </w:rPr>
        <w:t>a quo</w:t>
      </w:r>
      <w:r>
        <w:t xml:space="preserve">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 la demandante de amparo.</w:t>
      </w:r>
    </w:p>
    <w:p w14:paraId="53E69FAC" w14:textId="77777777" w:rsidR="003754FE" w:rsidRDefault="003754FE" w:rsidP="003754FE">
      <w:pPr>
        <w:pStyle w:val="TextoNormal"/>
      </w:pPr>
    </w:p>
    <w:p w14:paraId="77EFBD7A" w14:textId="77777777" w:rsidR="003754FE" w:rsidRDefault="003754FE" w:rsidP="003754FE">
      <w:pPr>
        <w:pStyle w:val="TextoNormal"/>
      </w:pPr>
      <w:r>
        <w:t xml:space="preserve">2.1. </w:t>
      </w:r>
      <w:r w:rsidRPr="003754FE">
        <w:rPr>
          <w:i/>
        </w:rPr>
        <w:t>Sucinta exposición general de los hechos del proceso “ERE”</w:t>
      </w:r>
    </w:p>
    <w:p w14:paraId="461DBCFF" w14:textId="77777777" w:rsidR="003754FE" w:rsidRDefault="003754FE" w:rsidP="003754FE">
      <w:pPr>
        <w:pStyle w:val="TextoNormal"/>
      </w:pPr>
    </w:p>
    <w:p w14:paraId="27169FB3" w14:textId="77777777" w:rsidR="003754FE" w:rsidRDefault="003754FE" w:rsidP="003754FE">
      <w:pPr>
        <w:pStyle w:val="TextoNormal"/>
      </w:pPr>
      <w:r>
        <w:t>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14:paraId="609BD0F3" w14:textId="77777777" w:rsidR="003754FE" w:rsidRDefault="003754FE" w:rsidP="003754FE">
      <w:pPr>
        <w:pStyle w:val="TextoNormal"/>
      </w:pPr>
    </w:p>
    <w:p w14:paraId="7551E205" w14:textId="77777777" w:rsidR="003754FE" w:rsidRDefault="003754FE" w:rsidP="003754FE">
      <w:pPr>
        <w:pStyle w:val="TextoNormal"/>
      </w:pPr>
      <w:r>
        <w:t>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14:paraId="2A03F44E" w14:textId="77777777" w:rsidR="003754FE" w:rsidRDefault="003754FE" w:rsidP="003754FE">
      <w:pPr>
        <w:pStyle w:val="TextoNormal"/>
      </w:pPr>
    </w:p>
    <w:p w14:paraId="2625E59A" w14:textId="77777777" w:rsidR="003754FE" w:rsidRDefault="003754FE" w:rsidP="003754FE">
      <w:pPr>
        <w:pStyle w:val="TextoNormal"/>
      </w:pPr>
      <w:r>
        <w:t>En la tramitación de sendos expedientes sobre estas ayudas, el interventor delegado de la Consejería de Empleo y Desarrollo Tecnológico formuló reparos en el informe de fiscalización, que, si bien no llegaron a impedir su concesión, la dificultaron y retrasaron.</w:t>
      </w:r>
    </w:p>
    <w:p w14:paraId="117AA1C3" w14:textId="77777777" w:rsidR="003754FE" w:rsidRDefault="003754FE" w:rsidP="003754FE">
      <w:pPr>
        <w:pStyle w:val="TextoNormal"/>
      </w:pPr>
    </w:p>
    <w:p w14:paraId="306CCB81" w14:textId="77777777" w:rsidR="003754FE" w:rsidRDefault="003754FE" w:rsidP="003754FE">
      <w:pPr>
        <w:pStyle w:val="TextoNormal"/>
      </w:pPr>
      <w:r>
        <w:t xml:space="preserve">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ejercicios 2000 y 2001, aprobasen un total de siete modificaciones 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“Transferencias corrientes a empresas privadas en materia de relaciones laborales, acciones que generan empleo”, y 481.00.22E, “Transferencias a familias e instituciones sin fines de lucro, </w:t>
      </w:r>
      <w:r>
        <w:lastRenderedPageBreak/>
        <w:t>acciones que generan empleo”. En las otras dos modificaciones presupuestarias las cantidades se detrajeron de diversos programas y conceptos presupuestarios de la Consejería de Empleo y Desarrollo Tecnológico.</w:t>
      </w:r>
    </w:p>
    <w:p w14:paraId="043F9A62" w14:textId="77777777" w:rsidR="003754FE" w:rsidRDefault="003754FE" w:rsidP="003754FE">
      <w:pPr>
        <w:pStyle w:val="TextoNormal"/>
      </w:pPr>
    </w:p>
    <w:p w14:paraId="48F43DF4" w14:textId="77777777" w:rsidR="003754FE" w:rsidRDefault="003754FE" w:rsidP="003754FE">
      <w:pPr>
        <w:pStyle w:val="TextoNormal"/>
      </w:pPr>
      <w:r>
        <w:t>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14:paraId="6B821F89" w14:textId="77777777" w:rsidR="003754FE" w:rsidRDefault="003754FE" w:rsidP="003754FE">
      <w:pPr>
        <w:pStyle w:val="TextoNormal"/>
      </w:pPr>
    </w:p>
    <w:p w14:paraId="37A40CAC" w14:textId="77777777" w:rsidR="003754FE" w:rsidRDefault="003754FE" w:rsidP="003754FE">
      <w:pPr>
        <w:pStyle w:val="TextoNormal"/>
      </w:pPr>
      <w:r>
        <w:t>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14:paraId="71C4CDC4" w14:textId="77777777" w:rsidR="003754FE" w:rsidRDefault="003754FE" w:rsidP="003754FE">
      <w:pPr>
        <w:pStyle w:val="TextoNormal"/>
      </w:pPr>
    </w:p>
    <w:p w14:paraId="42600B35" w14:textId="77777777" w:rsidR="003754FE" w:rsidRDefault="003754FE" w:rsidP="003754FE">
      <w:pPr>
        <w:pStyle w:val="TextoNormal"/>
      </w:pPr>
      <w:r>
        <w:t>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(DGTSS),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14:paraId="44C046F1" w14:textId="77777777" w:rsidR="003754FE" w:rsidRDefault="003754FE" w:rsidP="003754FE">
      <w:pPr>
        <w:pStyle w:val="TextoNormal"/>
      </w:pPr>
    </w:p>
    <w:p w14:paraId="4072C320" w14:textId="77777777" w:rsidR="003754FE" w:rsidRDefault="003754FE" w:rsidP="003754FE">
      <w:pPr>
        <w:pStyle w:val="TextoNormal"/>
      </w:pPr>
      <w:r>
        <w:t xml:space="preserve">En la mayor parte de los convenios particulares suscritos entre la Dirección General de Trabajo y Seguridad Social y el IFA se hizo constar expresamente que la documentación acreditativa de las ayudas obraba en poder de la Dirección General, autorizando esta su </w:t>
      </w:r>
      <w:r>
        <w:lastRenderedPageBreak/>
        <w:t>pago. En ningún caso llegaron a constituirse las comisiones de seguimiento previstas en el convenio marco.</w:t>
      </w:r>
    </w:p>
    <w:p w14:paraId="5FC176C8" w14:textId="77777777" w:rsidR="003754FE" w:rsidRDefault="003754FE" w:rsidP="003754FE">
      <w:pPr>
        <w:pStyle w:val="TextoNormal"/>
      </w:pPr>
    </w:p>
    <w:p w14:paraId="1A488FC8" w14:textId="77777777" w:rsidR="003754FE" w:rsidRDefault="003754FE" w:rsidP="003754FE">
      <w:pPr>
        <w:pStyle w:val="TextoNormal"/>
      </w:pPr>
      <w:r>
        <w:t>Tras la firma del convenio marco,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14:paraId="38F85B3C" w14:textId="77777777" w:rsidR="003754FE" w:rsidRDefault="003754FE" w:rsidP="003754FE">
      <w:pPr>
        <w:pStyle w:val="TextoNormal"/>
      </w:pPr>
    </w:p>
    <w:p w14:paraId="316E0567" w14:textId="77777777" w:rsidR="003754FE" w:rsidRDefault="003754FE" w:rsidP="003754FE">
      <w:pPr>
        <w:pStyle w:val="TextoNormal"/>
      </w:pPr>
      <w:r>
        <w:t>c) En los anteproyectos y proyectos de las leyes de presupuestos de la comunidad autónoma de los ejercicios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pasó a denominarse Agencia de Innovación y Desarrollo de Andalucía (IDEA), adscrita a la Consejería de Innovación, Ciencia y Empresa— se destinaban a pagar lo ordenado por la Consejería conforme a lo previsto en el convenio marco.</w:t>
      </w:r>
    </w:p>
    <w:p w14:paraId="690FE120" w14:textId="77777777" w:rsidR="003754FE" w:rsidRDefault="003754FE" w:rsidP="003754FE">
      <w:pPr>
        <w:pStyle w:val="TextoNormal"/>
      </w:pPr>
    </w:p>
    <w:p w14:paraId="63513F89" w14:textId="77777777" w:rsidR="003754FE" w:rsidRDefault="003754FE" w:rsidP="003754FE">
      <w:pPr>
        <w:pStyle w:val="TextoNormal"/>
      </w:pPr>
      <w:r>
        <w:t>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 a196):</w:t>
      </w:r>
    </w:p>
    <w:p w14:paraId="653980D6" w14:textId="77777777" w:rsidR="003754FE" w:rsidRDefault="003754FE" w:rsidP="003754FE">
      <w:pPr>
        <w:pStyle w:val="TextoNormal"/>
      </w:pPr>
    </w:p>
    <w:p w14:paraId="470A0F11" w14:textId="77777777" w:rsidR="003754FE" w:rsidRDefault="003754FE" w:rsidP="003754FE">
      <w:pPr>
        <w:pStyle w:val="TextoNormal"/>
      </w:pPr>
      <w:r>
        <w:t>“9. Conclusiones del análisis de la documentación anexa al proyecto de presupuesto anual de la Junta de Andalucía:</w:t>
      </w:r>
    </w:p>
    <w:p w14:paraId="1D0D2846" w14:textId="77777777" w:rsidR="003754FE" w:rsidRDefault="003754FE" w:rsidP="003754FE">
      <w:pPr>
        <w:pStyle w:val="TextoNormal"/>
      </w:pPr>
    </w:p>
    <w:p w14:paraId="45F0DBE7" w14:textId="77777777" w:rsidR="003754FE" w:rsidRDefault="003754FE" w:rsidP="003754FE">
      <w:pPr>
        <w:pStyle w:val="TextoNormal"/>
      </w:pPr>
      <w:r>
        <w:t>A) La descripción de los objetivos y actividades contenidos en las fichas del programa 31L, son, como hemos visto, del siguiente tenor:</w:t>
      </w:r>
    </w:p>
    <w:p w14:paraId="2A41569B" w14:textId="77777777" w:rsidR="003754FE" w:rsidRDefault="003754FE" w:rsidP="003754FE">
      <w:pPr>
        <w:pStyle w:val="TextoNormal"/>
      </w:pPr>
    </w:p>
    <w:p w14:paraId="60CEA894" w14:textId="77777777" w:rsidR="003754FE" w:rsidRDefault="003754FE" w:rsidP="003754FE">
      <w:pPr>
        <w:pStyle w:val="TextoNormal"/>
      </w:pPr>
      <w:r>
        <w:t>• ‘Transferencias al IFA’.</w:t>
      </w:r>
    </w:p>
    <w:p w14:paraId="16A759AE" w14:textId="77777777" w:rsidR="003754FE" w:rsidRDefault="003754FE" w:rsidP="003754FE">
      <w:pPr>
        <w:pStyle w:val="TextoNormal"/>
      </w:pPr>
    </w:p>
    <w:p w14:paraId="7A1959CF" w14:textId="77777777" w:rsidR="003754FE" w:rsidRDefault="003754FE" w:rsidP="003754FE">
      <w:pPr>
        <w:pStyle w:val="TextoNormal"/>
      </w:pPr>
      <w:r>
        <w:t>• ‘Transferencias al AIDA’.</w:t>
      </w:r>
    </w:p>
    <w:p w14:paraId="7D1542F0" w14:textId="77777777" w:rsidR="003754FE" w:rsidRDefault="003754FE" w:rsidP="003754FE">
      <w:pPr>
        <w:pStyle w:val="TextoNormal"/>
      </w:pPr>
    </w:p>
    <w:p w14:paraId="0D4A3AFA" w14:textId="77777777" w:rsidR="003754FE" w:rsidRDefault="003754FE" w:rsidP="003754FE">
      <w:pPr>
        <w:pStyle w:val="TextoNormal"/>
      </w:pPr>
      <w:r>
        <w:t>• ‘Mantenimiento empleo y tejido productivo andaluz’.</w:t>
      </w:r>
    </w:p>
    <w:p w14:paraId="71143C5D" w14:textId="77777777" w:rsidR="003754FE" w:rsidRDefault="003754FE" w:rsidP="003754FE">
      <w:pPr>
        <w:pStyle w:val="TextoNormal"/>
      </w:pPr>
    </w:p>
    <w:p w14:paraId="701AB0DD" w14:textId="77777777" w:rsidR="003754FE" w:rsidRDefault="003754FE" w:rsidP="003754FE">
      <w:pPr>
        <w:pStyle w:val="TextoNormal"/>
      </w:pPr>
      <w:r>
        <w:t>• ‘Gestión de subvenciones’.</w:t>
      </w:r>
    </w:p>
    <w:p w14:paraId="5858EFD9" w14:textId="77777777" w:rsidR="003754FE" w:rsidRDefault="003754FE" w:rsidP="003754FE">
      <w:pPr>
        <w:pStyle w:val="TextoNormal"/>
      </w:pPr>
    </w:p>
    <w:p w14:paraId="103AE9DF" w14:textId="77777777" w:rsidR="003754FE" w:rsidRDefault="003754FE" w:rsidP="003754FE">
      <w:pPr>
        <w:pStyle w:val="TextoNormal"/>
      </w:pPr>
      <w:r>
        <w:t>• ‘Ayudas prejubilaciones y expedientes de regulación de empleo’.</w:t>
      </w:r>
    </w:p>
    <w:p w14:paraId="6874AEBE" w14:textId="77777777" w:rsidR="003754FE" w:rsidRDefault="003754FE" w:rsidP="003754FE">
      <w:pPr>
        <w:pStyle w:val="TextoNormal"/>
      </w:pPr>
    </w:p>
    <w:p w14:paraId="16F36680" w14:textId="77777777" w:rsidR="003754FE" w:rsidRDefault="003754FE" w:rsidP="003754FE">
      <w:pPr>
        <w:pStyle w:val="TextoNormal"/>
      </w:pPr>
      <w:r>
        <w:t>• ‘Suscripción de convenio’.</w:t>
      </w:r>
    </w:p>
    <w:p w14:paraId="0561DB4B" w14:textId="77777777" w:rsidR="003754FE" w:rsidRDefault="003754FE" w:rsidP="003754FE">
      <w:pPr>
        <w:pStyle w:val="TextoNormal"/>
      </w:pPr>
    </w:p>
    <w:p w14:paraId="0A364AAF" w14:textId="77777777" w:rsidR="003754FE" w:rsidRDefault="003754FE" w:rsidP="003754FE">
      <w:pPr>
        <w:pStyle w:val="TextoNormal"/>
      </w:pPr>
      <w:r>
        <w:t>B) Por lo que se refiere a las memorias de los informes económico financieros, en la descripción de las actividades y objetivos contenidos en las mismas, son, como hemos visto igualmente, del siguiente tenor:</w:t>
      </w:r>
    </w:p>
    <w:p w14:paraId="0E0D7E1F" w14:textId="77777777" w:rsidR="003754FE" w:rsidRDefault="003754FE" w:rsidP="003754FE">
      <w:pPr>
        <w:pStyle w:val="TextoNormal"/>
      </w:pPr>
    </w:p>
    <w:p w14:paraId="07712450" w14:textId="77777777" w:rsidR="003754FE" w:rsidRDefault="003754FE" w:rsidP="003754FE">
      <w:pPr>
        <w:pStyle w:val="TextoNormal"/>
      </w:pPr>
      <w:r>
        <w:lastRenderedPageBreak/>
        <w:t>• Potenciar la interlocución con los agentes sociales y económicos.</w:t>
      </w:r>
    </w:p>
    <w:p w14:paraId="5AF898E7" w14:textId="77777777" w:rsidR="003754FE" w:rsidRDefault="003754FE" w:rsidP="003754FE">
      <w:pPr>
        <w:pStyle w:val="TextoNormal"/>
      </w:pPr>
    </w:p>
    <w:p w14:paraId="49A1461D" w14:textId="77777777" w:rsidR="003754FE" w:rsidRDefault="003754FE" w:rsidP="003754FE">
      <w:pPr>
        <w:pStyle w:val="TextoNormal"/>
      </w:pPr>
      <w:r>
        <w:t>• Mantener las políticas de ayudas a prejubilaciones en empresas con dificultades.</w:t>
      </w:r>
    </w:p>
    <w:p w14:paraId="179E79DA" w14:textId="77777777" w:rsidR="003754FE" w:rsidRDefault="003754FE" w:rsidP="003754FE">
      <w:pPr>
        <w:pStyle w:val="TextoNormal"/>
      </w:pPr>
    </w:p>
    <w:p w14:paraId="3E965EF2" w14:textId="77777777" w:rsidR="003754FE" w:rsidRDefault="003754FE" w:rsidP="003754FE">
      <w:pPr>
        <w:pStyle w:val="TextoNormal"/>
      </w:pPr>
      <w:r>
        <w:t>•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0DD0EB4B" w14:textId="77777777" w:rsidR="003754FE" w:rsidRDefault="003754FE" w:rsidP="003754FE">
      <w:pPr>
        <w:pStyle w:val="TextoNormal"/>
      </w:pPr>
    </w:p>
    <w:p w14:paraId="6A2AD316" w14:textId="77777777" w:rsidR="003754FE" w:rsidRDefault="003754FE" w:rsidP="003754FE">
      <w:pPr>
        <w:pStyle w:val="TextoNormal"/>
      </w:pPr>
      <w:r>
        <w:t>• Así mismo y en una cuantía importante instrumenta la materialización de ayudas a empresas con especiales dificultades de mantenimiento del empleo, prejubilaciones y viabilidad económica.</w:t>
      </w:r>
    </w:p>
    <w:p w14:paraId="3F69F0F6" w14:textId="77777777" w:rsidR="003754FE" w:rsidRDefault="003754FE" w:rsidP="003754FE">
      <w:pPr>
        <w:pStyle w:val="TextoNormal"/>
      </w:pPr>
    </w:p>
    <w:p w14:paraId="023A07FC" w14:textId="77777777" w:rsidR="003754FE" w:rsidRDefault="003754FE" w:rsidP="003754FE">
      <w:pPr>
        <w:pStyle w:val="TextoNormal"/>
      </w:pPr>
      <w:r>
        <w:t>•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4A90A8CD" w14:textId="77777777" w:rsidR="003754FE" w:rsidRDefault="003754FE" w:rsidP="003754FE">
      <w:pPr>
        <w:pStyle w:val="TextoNormal"/>
      </w:pPr>
    </w:p>
    <w:p w14:paraId="05A95EAD" w14:textId="77777777" w:rsidR="003754FE" w:rsidRDefault="003754FE" w:rsidP="003754FE">
      <w:pPr>
        <w:pStyle w:val="TextoNormal"/>
      </w:pPr>
      <w:r>
        <w:t>•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14:paraId="51FD32ED" w14:textId="77777777" w:rsidR="003754FE" w:rsidRDefault="003754FE" w:rsidP="003754FE">
      <w:pPr>
        <w:pStyle w:val="TextoNormal"/>
      </w:pPr>
    </w:p>
    <w:p w14:paraId="34FE6C9B" w14:textId="77777777" w:rsidR="003754FE" w:rsidRDefault="003754FE" w:rsidP="003754FE">
      <w:pPr>
        <w:pStyle w:val="TextoNormal"/>
      </w:pPr>
      <w:r>
        <w:t>• Esta Dirección General instrumenta la materialización de las ayudas a través de un convenio con el IFA y de su dotación anual específica de contribución a pólizas de prejubilaciones.</w:t>
      </w:r>
    </w:p>
    <w:p w14:paraId="54EFD2A5" w14:textId="77777777" w:rsidR="003754FE" w:rsidRDefault="003754FE" w:rsidP="003754FE">
      <w:pPr>
        <w:pStyle w:val="TextoNormal"/>
      </w:pPr>
    </w:p>
    <w:p w14:paraId="7743FB79" w14:textId="77777777" w:rsidR="003754FE" w:rsidRDefault="003754FE" w:rsidP="003754FE">
      <w:pPr>
        <w:pStyle w:val="TextoNormal"/>
      </w:pPr>
      <w:r>
        <w:t>• El centro directivo que lo ejecuta es la Dirección General de Trabajo y Seguridad Social.</w:t>
      </w:r>
    </w:p>
    <w:p w14:paraId="2CB613E2" w14:textId="77777777" w:rsidR="003754FE" w:rsidRDefault="003754FE" w:rsidP="003754FE">
      <w:pPr>
        <w:pStyle w:val="TextoNormal"/>
      </w:pPr>
    </w:p>
    <w:p w14:paraId="37708774" w14:textId="77777777" w:rsidR="003754FE" w:rsidRDefault="003754FE" w:rsidP="003754FE">
      <w:pPr>
        <w:pStyle w:val="TextoNormal"/>
      </w:pPr>
      <w:r>
        <w:t>• La previsión es para atender compromisos existentes y no se prevén fondos para nuevas, en su caso, contingencias.</w:t>
      </w:r>
    </w:p>
    <w:p w14:paraId="439EF7C1" w14:textId="77777777" w:rsidR="003754FE" w:rsidRDefault="003754FE" w:rsidP="003754FE">
      <w:pPr>
        <w:pStyle w:val="TextoNormal"/>
      </w:pPr>
    </w:p>
    <w:p w14:paraId="6BB54C11" w14:textId="77777777" w:rsidR="003754FE" w:rsidRDefault="003754FE" w:rsidP="003754FE">
      <w:pPr>
        <w:pStyle w:val="TextoNormal"/>
      </w:pPr>
      <w:r>
        <w:t>• Mantener las políticas de ayudas a prejubilaciones en empresas con dificultades, a través de subvenciones finalistas.</w:t>
      </w:r>
    </w:p>
    <w:p w14:paraId="5A2F4351" w14:textId="77777777" w:rsidR="003754FE" w:rsidRDefault="003754FE" w:rsidP="003754FE">
      <w:pPr>
        <w:pStyle w:val="TextoNormal"/>
      </w:pPr>
    </w:p>
    <w:p w14:paraId="5B024AD7" w14:textId="77777777" w:rsidR="003754FE" w:rsidRDefault="003754FE" w:rsidP="003754FE">
      <w:pPr>
        <w:pStyle w:val="TextoNormal"/>
      </w:pPr>
      <w:r>
        <w:t>• Realización de transferencias al Instituto de Fomento de Andalucía en aplicación de concierto de ayudas a empresas en crisis para el mantenimiento del empleo y tejido productivo andaluz.</w:t>
      </w:r>
    </w:p>
    <w:p w14:paraId="0B416604" w14:textId="77777777" w:rsidR="003754FE" w:rsidRDefault="003754FE" w:rsidP="003754FE">
      <w:pPr>
        <w:pStyle w:val="TextoNormal"/>
      </w:pPr>
    </w:p>
    <w:p w14:paraId="1EFA5BE4" w14:textId="77777777" w:rsidR="003754FE" w:rsidRDefault="003754FE" w:rsidP="003754FE">
      <w:pPr>
        <w:pStyle w:val="TextoNormal"/>
      </w:pPr>
      <w:r>
        <w:t>• Tramitación de transferencias a empresas mediante ayudas a prejubilaciones mediante subvención de la cuota de seguridad social.</w:t>
      </w:r>
    </w:p>
    <w:p w14:paraId="7E51E9CE" w14:textId="77777777" w:rsidR="003754FE" w:rsidRDefault="003754FE" w:rsidP="003754FE">
      <w:pPr>
        <w:pStyle w:val="TextoNormal"/>
      </w:pPr>
    </w:p>
    <w:p w14:paraId="41F91132" w14:textId="77777777" w:rsidR="003754FE" w:rsidRDefault="003754FE" w:rsidP="003754FE">
      <w:pPr>
        <w:pStyle w:val="TextoNormal"/>
      </w:pPr>
      <w:r>
        <w:t>• El programa presupuestario 31L, lo ejecuta la Dirección General de Trabajo y Seguridad Social, centro directivo que tiene atribuida las competencias que corresponden a la consejería en materia de relaciones laborales…</w:t>
      </w:r>
    </w:p>
    <w:p w14:paraId="5390C98D" w14:textId="77777777" w:rsidR="003754FE" w:rsidRDefault="003754FE" w:rsidP="003754FE">
      <w:pPr>
        <w:pStyle w:val="TextoNormal"/>
      </w:pPr>
    </w:p>
    <w:p w14:paraId="7385EE09" w14:textId="77777777" w:rsidR="003754FE" w:rsidRDefault="003754FE" w:rsidP="003754FE">
      <w:pPr>
        <w:pStyle w:val="TextoNormal"/>
      </w:pPr>
      <w:r>
        <w:lastRenderedPageBreak/>
        <w:t>• Atender a las necesidades públicas de mantenimiento del empleo y del tejido productivo andaluz, a través de los acuerdos con la Agencia de Innovación y Desarrollo de Andalucía para la subvención y ayuda de sectores y empresas con dificultades financieras.</w:t>
      </w:r>
    </w:p>
    <w:p w14:paraId="3632B4AC" w14:textId="77777777" w:rsidR="003754FE" w:rsidRDefault="003754FE" w:rsidP="003754FE">
      <w:pPr>
        <w:pStyle w:val="TextoNormal"/>
      </w:pPr>
    </w:p>
    <w:p w14:paraId="78283DB9" w14:textId="77777777" w:rsidR="003754FE" w:rsidRDefault="003754FE" w:rsidP="003754FE">
      <w:pPr>
        <w:pStyle w:val="TextoNormal"/>
      </w:pPr>
      <w:r>
        <w:t>• Esta Dirección General instrumenta la materialización de las ayudas a través de un convenio con la Agencia de Innovación y Desarrollo de Andalucía y de su dotación anual específica de contribución a pólizas de prejubilaciones.</w:t>
      </w:r>
    </w:p>
    <w:p w14:paraId="1180849B" w14:textId="77777777" w:rsidR="003754FE" w:rsidRDefault="003754FE" w:rsidP="003754FE">
      <w:pPr>
        <w:pStyle w:val="TextoNormal"/>
      </w:pPr>
    </w:p>
    <w:p w14:paraId="6CAAF1B4" w14:textId="77777777" w:rsidR="003754FE" w:rsidRDefault="003754FE" w:rsidP="003754FE">
      <w:pPr>
        <w:pStyle w:val="TextoNormal"/>
      </w:pPr>
      <w:r>
        <w:t>• Continuar la línea de colaboración con IDEA en aplicación del concierto de ayudas para el mantenimiento del empleo y tejido productivo andaluz en vigor desde el año 2001.</w:t>
      </w:r>
    </w:p>
    <w:p w14:paraId="3B871531" w14:textId="77777777" w:rsidR="003754FE" w:rsidRDefault="003754FE" w:rsidP="003754FE">
      <w:pPr>
        <w:pStyle w:val="TextoNormal"/>
      </w:pPr>
    </w:p>
    <w:p w14:paraId="3D779796" w14:textId="77777777" w:rsidR="003754FE" w:rsidRDefault="003754FE" w:rsidP="003754FE">
      <w:pPr>
        <w:pStyle w:val="TextoNormal"/>
      </w:pPr>
      <w:r>
        <w:t>•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14:paraId="6CD5D564" w14:textId="77777777" w:rsidR="003754FE" w:rsidRDefault="003754FE" w:rsidP="003754FE">
      <w:pPr>
        <w:pStyle w:val="TextoNormal"/>
      </w:pPr>
    </w:p>
    <w:p w14:paraId="77E71AA5" w14:textId="77777777" w:rsidR="003754FE" w:rsidRDefault="003754FE" w:rsidP="003754FE">
      <w:pPr>
        <w:pStyle w:val="TextoNormal"/>
      </w:pPr>
      <w:r>
        <w:t>• Mantenimiento del empleo y tejido productivo andaluz: cobertura de las necesidades comprometidas asumidas por expedientes de regulación de empleo, ayuda prejubilaciones, proyectos de viabilidad de pequeñas, medianas y grandes empresas e impulso a la consolidación económica en aquellas empresas con dificultades de mantenimiento del empleo”.</w:t>
      </w:r>
    </w:p>
    <w:p w14:paraId="3A479658" w14:textId="77777777" w:rsidR="003754FE" w:rsidRDefault="003754FE" w:rsidP="003754FE">
      <w:pPr>
        <w:pStyle w:val="TextoNormal"/>
      </w:pPr>
    </w:p>
    <w:p w14:paraId="5D8AE6C5" w14:textId="77777777" w:rsidR="003754FE" w:rsidRDefault="003754FE" w:rsidP="003754FE">
      <w:pPr>
        <w:pStyle w:val="TextoNormal"/>
      </w:pPr>
      <w:r>
        <w:t>Las citadas partidas presupuestarias —440.00 “Transferencias al IFA/IDEA en materia de relaciones laborales” y 440.51 “Transferencias de financiación al IFA/IDEA”— fueron aprobadas por el Parlamento de Andalucía en las correspondientes leyes de presupuestos de los ejercicios 2002 a 2009, cuyos importes resultaron incrementados como consecuencia de la aprobación de sucesivas modificaciones presupuestarias.</w:t>
      </w:r>
    </w:p>
    <w:p w14:paraId="5F1516CF" w14:textId="77777777" w:rsidR="003754FE" w:rsidRDefault="003754FE" w:rsidP="003754FE">
      <w:pPr>
        <w:pStyle w:val="TextoNormal"/>
      </w:pPr>
    </w:p>
    <w:p w14:paraId="0AFB6924" w14:textId="77777777" w:rsidR="003754FE" w:rsidRDefault="003754FE" w:rsidP="003754FE">
      <w:pPr>
        <w:pStyle w:val="TextoNormal"/>
      </w:pPr>
      <w:r>
        <w:t>El IFA/IDEA, tanto como consecuencia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14:paraId="35BEA4C6" w14:textId="77777777" w:rsidR="003754FE" w:rsidRDefault="003754FE" w:rsidP="003754FE">
      <w:pPr>
        <w:pStyle w:val="TextoNormal"/>
      </w:pPr>
    </w:p>
    <w:p w14:paraId="10AB0E86" w14:textId="77777777" w:rsidR="003754FE" w:rsidRDefault="003754FE" w:rsidP="003754FE">
      <w:pPr>
        <w:pStyle w:val="TextoNormal"/>
      </w:pPr>
      <w:r>
        <w:t xml:space="preserve">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w:t>
      </w:r>
      <w:r>
        <w:lastRenderedPageBreak/>
        <w:t>trabajador y no por la suma total de las ayudas recibidas por el conjunto de trabajadores de cada empresa. Respecto de las ayudas destinadas a las empresas, el método utilizado fue el fraccionamiento de los importes de los fondos públicos concedidos.</w:t>
      </w:r>
    </w:p>
    <w:p w14:paraId="28ADCF68" w14:textId="77777777" w:rsidR="003754FE" w:rsidRDefault="003754FE" w:rsidP="003754FE">
      <w:pPr>
        <w:pStyle w:val="TextoNormal"/>
      </w:pPr>
    </w:p>
    <w:p w14:paraId="24C0280E" w14:textId="77777777" w:rsidR="003754FE" w:rsidRDefault="003754FE" w:rsidP="003754FE">
      <w:pPr>
        <w:pStyle w:val="TextoNormal"/>
      </w:pPr>
      <w:r>
        <w:t>En el ejercicio del año 2009 se dejaron de suscribir convenios particulares entre la Dirección General de Trabajo y Seguridad Social y el IDEA, dictándose por el director general de Trabajo resoluciones concediendo las ayudas y ordenando su pago al director general de IDEA.</w:t>
      </w:r>
    </w:p>
    <w:p w14:paraId="351A687D" w14:textId="77777777" w:rsidR="003754FE" w:rsidRDefault="003754FE" w:rsidP="003754FE">
      <w:pPr>
        <w:pStyle w:val="TextoNormal"/>
      </w:pPr>
    </w:p>
    <w:p w14:paraId="7BFC96B8" w14:textId="77777777" w:rsidR="003754FE" w:rsidRDefault="003754FE" w:rsidP="003754FE">
      <w:pPr>
        <w:pStyle w:val="TextoNormal"/>
      </w:pPr>
      <w:r>
        <w:t>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14:paraId="3A0769A1" w14:textId="77777777" w:rsidR="003754FE" w:rsidRDefault="003754FE" w:rsidP="003754FE">
      <w:pPr>
        <w:pStyle w:val="TextoNormal"/>
      </w:pPr>
    </w:p>
    <w:p w14:paraId="2EC690E0" w14:textId="77777777" w:rsidR="003754FE" w:rsidRDefault="003754FE" w:rsidP="003754FE">
      <w:pPr>
        <w:pStyle w:val="TextoNormal"/>
      </w:pPr>
      <w:r>
        <w:t>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y 16 de marzo de 2012, hasta su derogación por el Decreto-ley 4/2012, de 16 de octubre, de medidas extraordinarias y urgentes en materia de protección sociolaboral a extrabajadores y extrabajadoras andaluces afectados por procesos de reestructuración de empresas y sectores en crisis.</w:t>
      </w:r>
    </w:p>
    <w:p w14:paraId="1C9E719C" w14:textId="77777777" w:rsidR="003754FE" w:rsidRDefault="003754FE" w:rsidP="003754FE">
      <w:pPr>
        <w:pStyle w:val="TextoNormal"/>
      </w:pPr>
    </w:p>
    <w:p w14:paraId="74C4D037" w14:textId="77777777" w:rsidR="003754FE" w:rsidRDefault="003754FE" w:rsidP="003754FE">
      <w:pPr>
        <w:pStyle w:val="TextoNormal"/>
      </w:pPr>
      <w:r>
        <w:t>En el citado decreto-ley se estableció que a estas ayudas sociolaborales no les eran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14:paraId="40D543C3" w14:textId="77777777" w:rsidR="003754FE" w:rsidRDefault="003754FE" w:rsidP="003754FE">
      <w:pPr>
        <w:pStyle w:val="TextoNormal"/>
      </w:pPr>
    </w:p>
    <w:p w14:paraId="40E6B338" w14:textId="77777777" w:rsidR="003754FE" w:rsidRDefault="003754FE" w:rsidP="003754FE">
      <w:pPr>
        <w:pStyle w:val="TextoNormal"/>
      </w:pPr>
      <w:r>
        <w:t>e) En resumen, el sistema de otorgamiento de las ayudas sociolaborales y a empresas en crisis hasta el año 2010 fue el siguiente:</w:t>
      </w:r>
    </w:p>
    <w:p w14:paraId="6E73E04B" w14:textId="77777777" w:rsidR="003754FE" w:rsidRDefault="003754FE" w:rsidP="003754FE">
      <w:pPr>
        <w:pStyle w:val="TextoNormal"/>
      </w:pPr>
    </w:p>
    <w:p w14:paraId="46FFE52C" w14:textId="77777777" w:rsidR="003754FE" w:rsidRDefault="003754FE" w:rsidP="003754FE">
      <w:pPr>
        <w:pStyle w:val="TextoNormal"/>
      </w:pPr>
      <w:r>
        <w:t>(i) En la década de los años 1990 estas ayudas se tramitaron como subvenciones excepcionales, siendo concedidas y pagadas por la Consejería de Empleo y Desarrollo Tecnológico.</w:t>
      </w:r>
    </w:p>
    <w:p w14:paraId="5946529A" w14:textId="77777777" w:rsidR="003754FE" w:rsidRDefault="003754FE" w:rsidP="003754FE">
      <w:pPr>
        <w:pStyle w:val="TextoNormal"/>
      </w:pPr>
    </w:p>
    <w:p w14:paraId="1EBD4A59" w14:textId="77777777" w:rsidR="003754FE" w:rsidRDefault="003754FE" w:rsidP="003754FE">
      <w:pPr>
        <w:pStyle w:val="TextoNormal"/>
      </w:pPr>
      <w:r>
        <w:t>(ii)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14:paraId="694F34D6" w14:textId="77777777" w:rsidR="003754FE" w:rsidRDefault="003754FE" w:rsidP="003754FE">
      <w:pPr>
        <w:pStyle w:val="TextoNormal"/>
      </w:pPr>
    </w:p>
    <w:p w14:paraId="4F2B5EE4" w14:textId="77777777" w:rsidR="003754FE" w:rsidRDefault="003754FE" w:rsidP="003754FE">
      <w:pPr>
        <w:pStyle w:val="TextoNormal"/>
      </w:pPr>
      <w:r>
        <w:t xml:space="preserve">(iii) Al IFA/IDEA se le atribuyeron los fondos para el pago de las ayudas mediante transferencias de financiación. La utilización de estos créditos no estaba sometida a un control previo, sino a un control </w:t>
      </w:r>
      <w:r w:rsidRPr="003754FE">
        <w:rPr>
          <w:i/>
        </w:rPr>
        <w:t>ex post</w:t>
      </w:r>
      <w:r>
        <w:t>: el llamado “control financiero permanente”. Este control se limitaba a comprobar la legalidad del pago; examinar las cuentas anuales, y analizar críticamente los programas asignados al instituto.</w:t>
      </w:r>
    </w:p>
    <w:p w14:paraId="4892CDC5" w14:textId="77777777" w:rsidR="003754FE" w:rsidRDefault="003754FE" w:rsidP="003754FE">
      <w:pPr>
        <w:pStyle w:val="TextoNormal"/>
      </w:pPr>
    </w:p>
    <w:p w14:paraId="545D47C9" w14:textId="77777777" w:rsidR="003754FE" w:rsidRDefault="003754FE" w:rsidP="003754FE">
      <w:pPr>
        <w:pStyle w:val="TextoNormal"/>
      </w:pPr>
      <w:r>
        <w:lastRenderedPageBreak/>
        <w:t>(iv) Al IFA/IDEA se le dotó de fondos, al principio, durante los ejercicios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14:paraId="7271D05A" w14:textId="77777777" w:rsidR="003754FE" w:rsidRDefault="003754FE" w:rsidP="003754FE">
      <w:pPr>
        <w:pStyle w:val="TextoNormal"/>
      </w:pPr>
    </w:p>
    <w:p w14:paraId="46E845AF" w14:textId="77777777" w:rsidR="003754FE" w:rsidRDefault="003754FE" w:rsidP="003754FE">
      <w:pPr>
        <w:pStyle w:val="TextoNormal"/>
      </w:pPr>
      <w:r>
        <w:t>El seguimiento del referido sistema de otorgamiento de las ayudas sociolaborales y a empresas en crisis hasta el año 2010 permitió, según las resoluciones impugnadas:</w:t>
      </w:r>
    </w:p>
    <w:p w14:paraId="67EE427D" w14:textId="77777777" w:rsidR="003754FE" w:rsidRDefault="003754FE" w:rsidP="003754FE">
      <w:pPr>
        <w:pStyle w:val="TextoNormal"/>
      </w:pPr>
    </w:p>
    <w:p w14:paraId="4665BD65" w14:textId="77777777" w:rsidR="003754FE" w:rsidRDefault="003754FE" w:rsidP="003754FE">
      <w:pPr>
        <w:pStyle w:val="TextoNormal"/>
      </w:pPr>
      <w:r>
        <w:t>(i)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14:paraId="7F329A30" w14:textId="77777777" w:rsidR="003754FE" w:rsidRDefault="003754FE" w:rsidP="003754FE">
      <w:pPr>
        <w:pStyle w:val="TextoNormal"/>
      </w:pPr>
    </w:p>
    <w:p w14:paraId="6AE636B0" w14:textId="77777777" w:rsidR="003754FE" w:rsidRDefault="003754FE" w:rsidP="003754FE">
      <w:pPr>
        <w:pStyle w:val="TextoNormal"/>
      </w:pPr>
      <w:r>
        <w:t>(ii)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 y</w:t>
      </w:r>
    </w:p>
    <w:p w14:paraId="7E66E672" w14:textId="77777777" w:rsidR="003754FE" w:rsidRDefault="003754FE" w:rsidP="003754FE">
      <w:pPr>
        <w:pStyle w:val="TextoNormal"/>
      </w:pPr>
    </w:p>
    <w:p w14:paraId="3D0AD33F" w14:textId="77777777" w:rsidR="003754FE" w:rsidRDefault="003754FE" w:rsidP="003754FE">
      <w:pPr>
        <w:pStyle w:val="TextoNormal"/>
      </w:pPr>
      <w:r>
        <w:t>(iii) que se destinasen fondos del programa 31L a fines distintos y ajenos a los recogidos para este en los correspondientes presupuestos.</w:t>
      </w:r>
    </w:p>
    <w:p w14:paraId="18D4E622" w14:textId="77777777" w:rsidR="003754FE" w:rsidRDefault="003754FE" w:rsidP="003754FE">
      <w:pPr>
        <w:pStyle w:val="TextoNormal"/>
      </w:pPr>
    </w:p>
    <w:p w14:paraId="257E2C0B" w14:textId="77777777" w:rsidR="003754FE" w:rsidRDefault="003754FE" w:rsidP="003754FE">
      <w:pPr>
        <w:pStyle w:val="TextoNormal"/>
      </w:pPr>
      <w:r>
        <w:t>2.2</w:t>
      </w:r>
      <w:r w:rsidRPr="003754FE">
        <w:rPr>
          <w:i/>
        </w:rPr>
        <w:t>. La “pieza específica” y las demás piezas del proceso “ER</w:t>
      </w:r>
      <w:r>
        <w:t>E”</w:t>
      </w:r>
    </w:p>
    <w:p w14:paraId="7D67F9FC" w14:textId="77777777" w:rsidR="003754FE" w:rsidRDefault="003754FE" w:rsidP="003754FE">
      <w:pPr>
        <w:pStyle w:val="TextoNormal"/>
      </w:pPr>
    </w:p>
    <w:p w14:paraId="5C39F35E" w14:textId="77777777" w:rsidR="003754FE" w:rsidRDefault="003754FE" w:rsidP="003754FE">
      <w:pPr>
        <w:pStyle w:val="TextoNormal"/>
      </w:pPr>
      <w:r>
        <w:t>La causa matriz de los “ERE” se desgajó en una primera pieza denominada “pieza específica” y, en lo que aquí interesa, en un número no inferior a otras 200 piezas, que tienen por objeto las ayudas individuales concedidas a empresas o determinados grupos de empresas.</w:t>
      </w:r>
    </w:p>
    <w:p w14:paraId="71B5A115" w14:textId="77777777" w:rsidR="003754FE" w:rsidRDefault="003754FE" w:rsidP="003754FE">
      <w:pPr>
        <w:pStyle w:val="TextoNormal"/>
      </w:pPr>
    </w:p>
    <w:p w14:paraId="1239BE33" w14:textId="77777777" w:rsidR="003754FE" w:rsidRDefault="003754FE" w:rsidP="003754FE">
      <w:pPr>
        <w:pStyle w:val="TextoNormal"/>
      </w:pPr>
      <w:r>
        <w:t>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14:paraId="2B5C042C" w14:textId="77777777" w:rsidR="003754FE" w:rsidRDefault="003754FE" w:rsidP="003754FE">
      <w:pPr>
        <w:pStyle w:val="TextoNormal"/>
      </w:pPr>
    </w:p>
    <w:p w14:paraId="4ACC557A" w14:textId="77777777" w:rsidR="003754FE" w:rsidRDefault="003754FE" w:rsidP="003754FE">
      <w:pPr>
        <w:pStyle w:val="TextoNormal"/>
      </w:pPr>
      <w:r>
        <w:t xml:space="preserve">Entre la “pieza específica” y las piezas individuales existe, afirma la sentencia de casación, una posible zona de coincidencia, “la de aquellas personas que intervinieron en el </w:t>
      </w:r>
      <w:r>
        <w:lastRenderedPageBreak/>
        <w:t>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 págs. 122-133).</w:t>
      </w:r>
    </w:p>
    <w:p w14:paraId="125687D3" w14:textId="77777777" w:rsidR="003754FE" w:rsidRDefault="003754FE" w:rsidP="003754FE">
      <w:pPr>
        <w:pStyle w:val="TextoNormal"/>
      </w:pPr>
    </w:p>
    <w:p w14:paraId="4F299A44" w14:textId="77777777" w:rsidR="003754FE" w:rsidRDefault="003754FE" w:rsidP="003754FE">
      <w:pPr>
        <w:pStyle w:val="TextoNormal"/>
      </w:pPr>
      <w:r>
        <w:t>2.3</w:t>
      </w:r>
      <w:r w:rsidRPr="003754FE">
        <w:rPr>
          <w:i/>
        </w:rPr>
        <w:t>. Hechos enjuiciados en la “pieza específic</w:t>
      </w:r>
      <w:r>
        <w:t>a”</w:t>
      </w:r>
    </w:p>
    <w:p w14:paraId="207547E6" w14:textId="77777777" w:rsidR="003754FE" w:rsidRDefault="003754FE" w:rsidP="003754FE">
      <w:pPr>
        <w:pStyle w:val="TextoNormal"/>
      </w:pPr>
    </w:p>
    <w:p w14:paraId="06462041" w14:textId="77777777" w:rsidR="003754FE" w:rsidRDefault="003754FE" w:rsidP="003754FE">
      <w:pPr>
        <w:pStyle w:val="TextoNormal"/>
      </w:pPr>
      <w:r>
        <w:t>Los hechos enjuiciados en la “pieza específica” se delimitan material y cronológicamente en el fundamento de Derecho 3.4 (págs. 135-137) de la sentencia del Tribunal Supremo en estos términos:</w:t>
      </w:r>
    </w:p>
    <w:p w14:paraId="59FCED68" w14:textId="77777777" w:rsidR="003754FE" w:rsidRDefault="003754FE" w:rsidP="003754FE">
      <w:pPr>
        <w:pStyle w:val="TextoNormal"/>
      </w:pPr>
    </w:p>
    <w:p w14:paraId="42D9FCAE" w14:textId="77777777" w:rsidR="003754FE" w:rsidRDefault="003754FE" w:rsidP="003754FE">
      <w:pPr>
        <w:pStyle w:val="TextoNormal"/>
      </w:pPr>
      <w:r>
        <w:t>“(i) Temporalmente los hechos enjuiciados en esta causa son los acontecidos entre la elaboración de la primera modificación presupuestaria, cuya aprobación data del 18 de abril de 2000 y la aprobación de la última modificación presupuestaria que se produjo el 1 de diciembre de 2009, por lo que cualquier hecho ocurrido fuera de esos márgenes temporales no ha sido objeto de enjuiciamiento en este proceso.</w:t>
      </w:r>
    </w:p>
    <w:p w14:paraId="2CFE9724" w14:textId="77777777" w:rsidR="003754FE" w:rsidRDefault="003754FE" w:rsidP="003754FE">
      <w:pPr>
        <w:pStyle w:val="TextoNormal"/>
      </w:pPr>
    </w:p>
    <w:p w14:paraId="16A3B238" w14:textId="77777777" w:rsidR="003754FE" w:rsidRDefault="003754FE" w:rsidP="003754FE">
      <w:pPr>
        <w:pStyle w:val="TextoNormal"/>
      </w:pPr>
      <w:r>
        <w:t>(ii) En relación con el delito de prevaricación las personas enjuiciadas y que han resultado condenadas lo han sido por adoptar las siguientes resoluciones:</w:t>
      </w:r>
    </w:p>
    <w:p w14:paraId="067A7590" w14:textId="77777777" w:rsidR="003754FE" w:rsidRDefault="003754FE" w:rsidP="003754FE">
      <w:pPr>
        <w:pStyle w:val="TextoNormal"/>
      </w:pPr>
    </w:p>
    <w:p w14:paraId="295172AE" w14:textId="77777777" w:rsidR="003754FE" w:rsidRDefault="003754FE" w:rsidP="003754FE">
      <w:pPr>
        <w:pStyle w:val="TextoNormal"/>
      </w:pPr>
      <w:r>
        <w:t>-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14:paraId="5E8BEA42" w14:textId="77777777" w:rsidR="003754FE" w:rsidRDefault="003754FE" w:rsidP="003754FE">
      <w:pPr>
        <w:pStyle w:val="TextoNormal"/>
      </w:pPr>
    </w:p>
    <w:p w14:paraId="305723FA" w14:textId="77777777" w:rsidR="003754FE" w:rsidRDefault="003754FE" w:rsidP="003754FE">
      <w:pPr>
        <w:pStyle w:val="TextoNormal"/>
      </w:pPr>
      <w:r>
        <w:t>-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14:paraId="565300D2" w14:textId="77777777" w:rsidR="003754FE" w:rsidRDefault="003754FE" w:rsidP="003754FE">
      <w:pPr>
        <w:pStyle w:val="TextoNormal"/>
      </w:pPr>
    </w:p>
    <w:p w14:paraId="19FE6490" w14:textId="77777777" w:rsidR="003754FE" w:rsidRDefault="003754FE" w:rsidP="003754FE">
      <w:pPr>
        <w:pStyle w:val="TextoNormal"/>
      </w:pPr>
      <w:r>
        <w:lastRenderedPageBreak/>
        <w:t>-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14:paraId="62771D84" w14:textId="77777777" w:rsidR="003754FE" w:rsidRDefault="003754FE" w:rsidP="003754FE">
      <w:pPr>
        <w:pStyle w:val="TextoNormal"/>
      </w:pPr>
    </w:p>
    <w:p w14:paraId="6FDD4AF7" w14:textId="77777777" w:rsidR="003754FE" w:rsidRDefault="003754FE" w:rsidP="003754FE">
      <w:pPr>
        <w:pStyle w:val="TextoNormal"/>
      </w:pPr>
      <w:r>
        <w:t>-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14:paraId="4E85E92A" w14:textId="77777777" w:rsidR="003754FE" w:rsidRDefault="003754FE" w:rsidP="003754FE">
      <w:pPr>
        <w:pStyle w:val="TextoNormal"/>
      </w:pPr>
    </w:p>
    <w:p w14:paraId="70970DAF" w14:textId="77777777" w:rsidR="003754FE" w:rsidRDefault="003754FE" w:rsidP="003754FE">
      <w:pPr>
        <w:pStyle w:val="TextoNormal"/>
      </w:pPr>
      <w:r>
        <w:t>- Fraccionamiento de las cuantías de las ayudas a partir del 27 de mayo de 2003 en función de las cantidades asignadas a cada trabajador y no de las cantidades asignadas a las empresas, todo ello para sustraer su conocimiento del consejo rector del IFA.</w:t>
      </w:r>
    </w:p>
    <w:p w14:paraId="69DEA4EE" w14:textId="77777777" w:rsidR="003754FE" w:rsidRDefault="003754FE" w:rsidP="003754FE">
      <w:pPr>
        <w:pStyle w:val="TextoNormal"/>
      </w:pPr>
    </w:p>
    <w:p w14:paraId="3A976889" w14:textId="77777777" w:rsidR="003754FE" w:rsidRDefault="003754FE" w:rsidP="003754FE">
      <w:pPr>
        <w:pStyle w:val="TextoNormal"/>
      </w:pPr>
      <w:r>
        <w:t>-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14:paraId="485C397C" w14:textId="77777777" w:rsidR="003754FE" w:rsidRDefault="003754FE" w:rsidP="003754FE">
      <w:pPr>
        <w:pStyle w:val="TextoNormal"/>
      </w:pPr>
    </w:p>
    <w:p w14:paraId="0F6B361F" w14:textId="77777777" w:rsidR="003754FE" w:rsidRDefault="003754FE" w:rsidP="003754FE">
      <w:pPr>
        <w:pStyle w:val="TextoNormal"/>
      </w:pPr>
      <w:r>
        <w:t>- Concesión de las ayudas sociolaborales.</w:t>
      </w:r>
    </w:p>
    <w:p w14:paraId="0ECE0B21" w14:textId="77777777" w:rsidR="003754FE" w:rsidRDefault="003754FE" w:rsidP="003754FE">
      <w:pPr>
        <w:pStyle w:val="TextoNormal"/>
      </w:pPr>
    </w:p>
    <w:p w14:paraId="558194E8" w14:textId="77777777" w:rsidR="003754FE" w:rsidRDefault="003754FE" w:rsidP="003754FE">
      <w:pPr>
        <w:pStyle w:val="TextoNormal"/>
      </w:pPr>
      <w:r>
        <w:t>(iii) En relación con el delito de malversación de caudales públicos las personas enjuiciadas en este proceso y condenadas por este delito lo han sido bien por su participación directa en la disposición de fondos, bien por haber permitido esa disposición.</w:t>
      </w:r>
    </w:p>
    <w:p w14:paraId="46C1A633" w14:textId="77777777" w:rsidR="003754FE" w:rsidRDefault="003754FE" w:rsidP="003754FE">
      <w:pPr>
        <w:pStyle w:val="TextoNormal"/>
      </w:pPr>
    </w:p>
    <w:p w14:paraId="45FEB6A2" w14:textId="77777777" w:rsidR="003754FE" w:rsidRDefault="003754FE" w:rsidP="003754FE">
      <w:pPr>
        <w:pStyle w:val="TextoNormal"/>
      </w:pPr>
      <w:r>
        <w:t>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14:paraId="46151A18" w14:textId="77777777" w:rsidR="003754FE" w:rsidRDefault="003754FE" w:rsidP="003754FE">
      <w:pPr>
        <w:pStyle w:val="TextoNormal"/>
      </w:pPr>
    </w:p>
    <w:p w14:paraId="15BAF146" w14:textId="77777777" w:rsidR="003754FE" w:rsidRDefault="003754FE" w:rsidP="003754FE">
      <w:pPr>
        <w:pStyle w:val="TextoNormal"/>
      </w:pPr>
      <w:r>
        <w:t>Entendemos que la condena por malversación incluye respecto de cada condenado a todas las disposiciones de fondos públicos realizadas durante el tiempo en que cada uno de ellos ejerció su cargo.</w:t>
      </w:r>
    </w:p>
    <w:p w14:paraId="49757C2A" w14:textId="77777777" w:rsidR="003754FE" w:rsidRDefault="003754FE" w:rsidP="003754FE">
      <w:pPr>
        <w:pStyle w:val="TextoNormal"/>
      </w:pPr>
    </w:p>
    <w:p w14:paraId="65510DE6" w14:textId="77777777" w:rsidR="003754FE" w:rsidRDefault="003754FE" w:rsidP="003754FE">
      <w:pPr>
        <w:pStyle w:val="TextoNormal"/>
      </w:pPr>
      <w:r>
        <w:t>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vigesimosegundo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14:paraId="1C657EA0" w14:textId="77777777" w:rsidR="003754FE" w:rsidRDefault="003754FE" w:rsidP="003754FE">
      <w:pPr>
        <w:pStyle w:val="TextoNormal"/>
      </w:pPr>
    </w:p>
    <w:p w14:paraId="1C467634" w14:textId="77777777" w:rsidR="003754FE" w:rsidRDefault="003754FE" w:rsidP="003754FE">
      <w:pPr>
        <w:pStyle w:val="TextoNormal"/>
      </w:pPr>
      <w:r>
        <w:lastRenderedPageBreak/>
        <w:t>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14:paraId="3DEAFCBF" w14:textId="77777777" w:rsidR="003754FE" w:rsidRDefault="003754FE" w:rsidP="003754FE">
      <w:pPr>
        <w:pStyle w:val="TextoNormal"/>
      </w:pPr>
    </w:p>
    <w:p w14:paraId="1C307D0F" w14:textId="77777777" w:rsidR="003754FE" w:rsidRDefault="003754FE" w:rsidP="003754FE">
      <w:pPr>
        <w:pStyle w:val="TextoNormal"/>
      </w:pPr>
      <w:r>
        <w:t>Este último subapartado C) resulta del siguiente tenor:</w:t>
      </w:r>
    </w:p>
    <w:p w14:paraId="58360CA8" w14:textId="77777777" w:rsidR="003754FE" w:rsidRDefault="003754FE" w:rsidP="003754FE">
      <w:pPr>
        <w:pStyle w:val="TextoNormal"/>
      </w:pPr>
    </w:p>
    <w:p w14:paraId="3D4A12DC" w14:textId="77777777" w:rsidR="003754FE" w:rsidRDefault="003754FE" w:rsidP="003754FE">
      <w:pPr>
        <w:pStyle w:val="TextoNormal"/>
      </w:pPr>
      <w:r>
        <w:t>“C) Los fondos del programa 31L se emplearon también en fines distintos y ajenos a los recogidos en las fichas presupuestarias del mismo, así podemos reseñar que se abonó:</w:t>
      </w:r>
    </w:p>
    <w:p w14:paraId="059D2A20" w14:textId="77777777" w:rsidR="003754FE" w:rsidRDefault="003754FE" w:rsidP="003754FE">
      <w:pPr>
        <w:pStyle w:val="TextoNormal"/>
      </w:pPr>
    </w:p>
    <w:p w14:paraId="6EC41644" w14:textId="77777777" w:rsidR="003754FE" w:rsidRDefault="003754FE" w:rsidP="003754FE">
      <w:pPr>
        <w:pStyle w:val="TextoNormal"/>
      </w:pPr>
      <w:r>
        <w:t>• Facturas emitidas por las mercantiles Tapsa y Cicm, derivadas de varios contratos de campañas de comunicación sobre fomento de empleo y divulgación del SAE [Servicio Andaluz de Empleo], por un total de 3 386 017,00 €, que fueron abonadas por el Instituto, en el periodo de 15 de julio de 2003 a 2 de marzo de 2004.</w:t>
      </w:r>
    </w:p>
    <w:p w14:paraId="09489388" w14:textId="77777777" w:rsidR="003754FE" w:rsidRDefault="003754FE" w:rsidP="003754FE">
      <w:pPr>
        <w:pStyle w:val="TextoNormal"/>
      </w:pPr>
    </w:p>
    <w:p w14:paraId="5336C0DC" w14:textId="77777777" w:rsidR="003754FE" w:rsidRDefault="003754FE" w:rsidP="003754FE">
      <w:pPr>
        <w:pStyle w:val="TextoNormal"/>
      </w:pPr>
      <w:r>
        <w:t>•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14:paraId="4904DDD9" w14:textId="77777777" w:rsidR="003754FE" w:rsidRDefault="003754FE" w:rsidP="003754FE">
      <w:pPr>
        <w:pStyle w:val="TextoNormal"/>
      </w:pPr>
    </w:p>
    <w:p w14:paraId="0A2EF4B6" w14:textId="77777777" w:rsidR="003754FE" w:rsidRDefault="003754FE" w:rsidP="003754FE">
      <w:pPr>
        <w:pStyle w:val="TextoNormal"/>
      </w:pPr>
      <w:r>
        <w:t>•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w:t>
      </w:r>
      <w:r w:rsidRPr="003754FE">
        <w:rPr>
          <w:i/>
        </w:rPr>
        <w:t>s on li</w:t>
      </w:r>
      <w:r>
        <w:t>ne.</w:t>
      </w:r>
    </w:p>
    <w:p w14:paraId="1C6FC417" w14:textId="77777777" w:rsidR="003754FE" w:rsidRDefault="003754FE" w:rsidP="003754FE">
      <w:pPr>
        <w:pStyle w:val="TextoNormal"/>
      </w:pPr>
    </w:p>
    <w:p w14:paraId="34050977" w14:textId="77777777" w:rsidR="003754FE" w:rsidRDefault="003754FE" w:rsidP="003754FE">
      <w:pPr>
        <w:pStyle w:val="TextoNormal"/>
      </w:pPr>
      <w:r>
        <w:t>•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14:paraId="482A3AD5" w14:textId="77777777" w:rsidR="003754FE" w:rsidRDefault="003754FE" w:rsidP="003754FE">
      <w:pPr>
        <w:pStyle w:val="TextoNormal"/>
      </w:pPr>
    </w:p>
    <w:p w14:paraId="30D97F24" w14:textId="77777777" w:rsidR="003754FE" w:rsidRDefault="003754FE" w:rsidP="003754FE">
      <w:pPr>
        <w:pStyle w:val="TextoNormal"/>
      </w:pPr>
      <w:r>
        <w:t>•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14:paraId="55723BB2" w14:textId="77777777" w:rsidR="003754FE" w:rsidRDefault="003754FE" w:rsidP="003754FE">
      <w:pPr>
        <w:pStyle w:val="TextoNormal"/>
      </w:pPr>
    </w:p>
    <w:p w14:paraId="59911814" w14:textId="77777777" w:rsidR="003754FE" w:rsidRDefault="003754FE" w:rsidP="003754FE">
      <w:pPr>
        <w:pStyle w:val="TextoNormal"/>
      </w:pPr>
      <w:r>
        <w:t>•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14:paraId="2430C489" w14:textId="77777777" w:rsidR="003754FE" w:rsidRDefault="003754FE" w:rsidP="003754FE">
      <w:pPr>
        <w:pStyle w:val="TextoNormal"/>
      </w:pPr>
    </w:p>
    <w:p w14:paraId="0C2D9275" w14:textId="77777777" w:rsidR="003754FE" w:rsidRDefault="003754FE" w:rsidP="003754FE">
      <w:pPr>
        <w:pStyle w:val="TextoNormal"/>
      </w:pPr>
      <w:r>
        <w:t>• En los ejercicios 2004, 2005, 2006, 2009 y 2010, se destinaron 1 192 000 € para el pago a la Fundación San Telmo, del ‘Curso de alta dirección de instituciones sociales’, para un total de 100 personas”.</w:t>
      </w:r>
    </w:p>
    <w:p w14:paraId="16E2E471" w14:textId="77777777" w:rsidR="003754FE" w:rsidRDefault="003754FE" w:rsidP="003754FE">
      <w:pPr>
        <w:pStyle w:val="TextoNormal"/>
      </w:pPr>
    </w:p>
    <w:p w14:paraId="699FC7D7" w14:textId="77777777" w:rsidR="003754FE" w:rsidRDefault="003754FE" w:rsidP="003754FE">
      <w:pPr>
        <w:pStyle w:val="TextoNormal"/>
      </w:pPr>
      <w:r>
        <w:t>2.4</w:t>
      </w:r>
      <w:r w:rsidRPr="003754FE">
        <w:rPr>
          <w:i/>
        </w:rPr>
        <w:t>. Hechos por los que ha sido condenado el recurren</w:t>
      </w:r>
      <w:r>
        <w:t>te</w:t>
      </w:r>
    </w:p>
    <w:p w14:paraId="0CE6CE60" w14:textId="77777777" w:rsidR="003754FE" w:rsidRDefault="003754FE" w:rsidP="003754FE">
      <w:pPr>
        <w:pStyle w:val="TextoNormal"/>
      </w:pPr>
    </w:p>
    <w:p w14:paraId="7B74B463" w14:textId="77777777" w:rsidR="003754FE" w:rsidRDefault="003754FE" w:rsidP="003754FE">
      <w:pPr>
        <w:pStyle w:val="TextoNormal"/>
      </w:pPr>
      <w:r>
        <w:t>Los hechos por los que ha sido condenado el Sr. Zarrías Arévalo están descritos en los hechos probados de la sentencia de la Audiencia Provincial de Sevilla (págs. 31 a 97), así como en los fundamentos de Derecho 40, apartado IV, en el que se detalla la prueba de cargo en la que se fundamenta su condena y 49, apartado 18.</w:t>
      </w:r>
    </w:p>
    <w:p w14:paraId="7925F931" w14:textId="77777777" w:rsidR="003754FE" w:rsidRDefault="003754FE" w:rsidP="003754FE">
      <w:pPr>
        <w:pStyle w:val="TextoNormal"/>
      </w:pPr>
    </w:p>
    <w:p w14:paraId="75BA133F" w14:textId="77777777" w:rsidR="003754FE" w:rsidRDefault="003754FE" w:rsidP="003754FE">
      <w:pPr>
        <w:pStyle w:val="TextoNormal"/>
      </w:pPr>
      <w:r>
        <w:t>El Sr. Zarrías Arévalo ha sido condenado como consecuencia de las actuaciones y omisiones que realizó en el ejercicio de su cargo como consejero de Presidencia de 1996 a 2009.</w:t>
      </w:r>
    </w:p>
    <w:p w14:paraId="420F0842" w14:textId="77777777" w:rsidR="003754FE" w:rsidRDefault="003754FE" w:rsidP="003754FE">
      <w:pPr>
        <w:pStyle w:val="TextoNormal"/>
      </w:pPr>
    </w:p>
    <w:p w14:paraId="22CDFCAB" w14:textId="77777777" w:rsidR="003754FE" w:rsidRDefault="003754FE" w:rsidP="003754FE">
      <w:pPr>
        <w:pStyle w:val="TextoNormal"/>
      </w:pPr>
      <w:r>
        <w:t>(i) Como consejero de Presidencia de la Junta de Andalucía y miembro de su Consejo de Gobierno, el Sr. Zarrías participó en la elaboración de los anteproyectos de ley presupuestos para los ejercicios de los ejercicios de 2002 a 2009 y en su aprobación como proyectos de ley. Los anteproyectos y proyectos de ley contenían la aplicación presupuestaria “transferencias al IFA en materia de relaciones laborales” —concepto 440.00—, en el nuevo programa 31L, que sustituyó al 22E, hasta entonces vigente.</w:t>
      </w:r>
    </w:p>
    <w:p w14:paraId="12F50496" w14:textId="77777777" w:rsidR="003754FE" w:rsidRDefault="003754FE" w:rsidP="003754FE">
      <w:pPr>
        <w:pStyle w:val="TextoNormal"/>
      </w:pPr>
    </w:p>
    <w:p w14:paraId="67E69D68" w14:textId="77777777" w:rsidR="003754FE" w:rsidRDefault="003754FE" w:rsidP="003754FE">
      <w:pPr>
        <w:pStyle w:val="TextoNormal"/>
      </w:pPr>
      <w:r>
        <w:t>(ii) Como consejero de Presidencia participó, también, en la aprobación de las modificaciones presupuestarias efectuadas desde 2000 a 2008, en las que, haciendo un uso, según las sentencias impugnadas inadecuado de las trasferencias de financiación, se incrementaron los programas 22E, 31L y 32H en materia de relaciones laborales. Lo que se pretendía con dichas modificaciones presupuestarias era, según las resoluciones impugnadas, eludir la tramitación de los expedientes de concesión de subvenciones, con los requisitos legalmente establecidos para su otorgamiento, así como la fiscalización previa por parte de la Intervención.</w:t>
      </w:r>
    </w:p>
    <w:p w14:paraId="28B8FD3C" w14:textId="77777777" w:rsidR="003754FE" w:rsidRDefault="003754FE" w:rsidP="003754FE">
      <w:pPr>
        <w:pStyle w:val="TextoNormal"/>
      </w:pPr>
    </w:p>
    <w:p w14:paraId="7AA7D131" w14:textId="77777777" w:rsidR="003754FE" w:rsidRDefault="003754FE" w:rsidP="003754FE">
      <w:pPr>
        <w:pStyle w:val="TextoNormal"/>
      </w:pPr>
      <w:r>
        <w:t>La sentencia considera acreditada la participación del recurrente en las siguientes modificaciones presupuestarias:</w:t>
      </w:r>
    </w:p>
    <w:p w14:paraId="174677E9" w14:textId="77777777" w:rsidR="003754FE" w:rsidRDefault="003754FE" w:rsidP="003754FE">
      <w:pPr>
        <w:pStyle w:val="TextoNormal"/>
      </w:pPr>
    </w:p>
    <w:p w14:paraId="23F7554E" w14:textId="77777777" w:rsidR="003754FE" w:rsidRDefault="003754FE" w:rsidP="003754FE">
      <w:pPr>
        <w:pStyle w:val="TextoNormal"/>
      </w:pPr>
      <w:r>
        <w:t>- 18 de abril de 2000, por la que se incrementó en 257 000 000 pesetas la aplicación presupuestaria 440.12.22E, dando de baja la aplicación 472.00.22E;</w:t>
      </w:r>
    </w:p>
    <w:p w14:paraId="54C384B0" w14:textId="77777777" w:rsidR="003754FE" w:rsidRDefault="003754FE" w:rsidP="003754FE">
      <w:pPr>
        <w:pStyle w:val="TextoNormal"/>
      </w:pPr>
    </w:p>
    <w:p w14:paraId="28BDC761" w14:textId="77777777" w:rsidR="003754FE" w:rsidRDefault="003754FE" w:rsidP="003754FE">
      <w:pPr>
        <w:pStyle w:val="TextoNormal"/>
      </w:pPr>
      <w:r>
        <w:t>- 28 de julio de 2000, por la que se incrementó en 904 000 000 pesetas la aplicación 440.01.22E, dando de baja la aplicación 481.00.22E;</w:t>
      </w:r>
    </w:p>
    <w:p w14:paraId="1505F96F" w14:textId="77777777" w:rsidR="003754FE" w:rsidRDefault="003754FE" w:rsidP="003754FE">
      <w:pPr>
        <w:pStyle w:val="TextoNormal"/>
      </w:pPr>
    </w:p>
    <w:p w14:paraId="02F97500" w14:textId="77777777" w:rsidR="003754FE" w:rsidRDefault="003754FE" w:rsidP="003754FE">
      <w:pPr>
        <w:pStyle w:val="TextoNormal"/>
      </w:pPr>
      <w:r>
        <w:t>- 29 de mayo de 2001, por la que se incrementó en 5 573 000 pesetas la partida 440.00.22E, dando de baja otros conceptos;</w:t>
      </w:r>
    </w:p>
    <w:p w14:paraId="1C2A6DE7" w14:textId="77777777" w:rsidR="003754FE" w:rsidRDefault="003754FE" w:rsidP="003754FE">
      <w:pPr>
        <w:pStyle w:val="TextoNormal"/>
      </w:pPr>
    </w:p>
    <w:p w14:paraId="762FBE58" w14:textId="77777777" w:rsidR="003754FE" w:rsidRDefault="003754FE" w:rsidP="003754FE">
      <w:pPr>
        <w:pStyle w:val="TextoNormal"/>
      </w:pPr>
      <w:r>
        <w:t>-18 de septiembre de 2001, por la que se incrementó en 1 250 000 000 pesetas la aplicación 440.00.22E, dando de baja la aplicación 486.00.22E;</w:t>
      </w:r>
    </w:p>
    <w:p w14:paraId="21C13B98" w14:textId="77777777" w:rsidR="003754FE" w:rsidRDefault="003754FE" w:rsidP="003754FE">
      <w:pPr>
        <w:pStyle w:val="TextoNormal"/>
      </w:pPr>
    </w:p>
    <w:p w14:paraId="6DF38F37" w14:textId="77777777" w:rsidR="003754FE" w:rsidRDefault="003754FE" w:rsidP="003754FE">
      <w:pPr>
        <w:pStyle w:val="TextoNormal"/>
      </w:pPr>
      <w:r>
        <w:t>- 13 de noviembre de 2001, por la que se incrementó en 660 000 000 pesetas la aplicación 440.00.22E, dando de baja la aplicación 486.00.22E;</w:t>
      </w:r>
    </w:p>
    <w:p w14:paraId="6D101DCA" w14:textId="77777777" w:rsidR="003754FE" w:rsidRDefault="003754FE" w:rsidP="003754FE">
      <w:pPr>
        <w:pStyle w:val="TextoNormal"/>
      </w:pPr>
    </w:p>
    <w:p w14:paraId="6433B89D" w14:textId="77777777" w:rsidR="003754FE" w:rsidRDefault="003754FE" w:rsidP="003754FE">
      <w:pPr>
        <w:pStyle w:val="TextoNormal"/>
      </w:pPr>
      <w:r>
        <w:t>- 15 de octubre de 2002, por la que se incrementó en 9 944 099 € la partida 440.00.31L, dando de baja otras aplicaciones presupuestarias;</w:t>
      </w:r>
    </w:p>
    <w:p w14:paraId="04FB4E4E" w14:textId="77777777" w:rsidR="003754FE" w:rsidRDefault="003754FE" w:rsidP="003754FE">
      <w:pPr>
        <w:pStyle w:val="TextoNormal"/>
      </w:pPr>
    </w:p>
    <w:p w14:paraId="3C65F33F" w14:textId="77777777" w:rsidR="003754FE" w:rsidRDefault="003754FE" w:rsidP="003754FE">
      <w:pPr>
        <w:pStyle w:val="TextoNormal"/>
      </w:pPr>
      <w:r>
        <w:t>- 9 de diciembre de 2004, en la que se incrementó en 2 994 876 € el programa 32H “Servicio Andaluz de Empleo”. Según las resoluciones judiciales impugnadas, dicha modificación presupuestaria era ilegal al ser contraria a la clasificación económica del gasto, dado que los créditos eran vinculantes de acuerdo con dicha clasificación (art. 38 de la Ley general de la hacienda pública de Andalucía).</w:t>
      </w:r>
    </w:p>
    <w:p w14:paraId="3D884B90" w14:textId="77777777" w:rsidR="003754FE" w:rsidRDefault="003754FE" w:rsidP="003754FE">
      <w:pPr>
        <w:pStyle w:val="TextoNormal"/>
      </w:pPr>
    </w:p>
    <w:p w14:paraId="21F7768C" w14:textId="77777777" w:rsidR="003754FE" w:rsidRDefault="003754FE" w:rsidP="003754FE">
      <w:pPr>
        <w:pStyle w:val="TextoNormal"/>
      </w:pPr>
      <w:r>
        <w:t>- 7 de diciembre de 2005, en la que se incrementó en 799 895,97 € la aplicación presupuestaria 440.51.31L, dando de baja las aplicaciones 480.01, 480.03, 480.13 del programa 31L;</w:t>
      </w:r>
    </w:p>
    <w:p w14:paraId="5D5A1380" w14:textId="77777777" w:rsidR="003754FE" w:rsidRDefault="003754FE" w:rsidP="003754FE">
      <w:pPr>
        <w:pStyle w:val="TextoNormal"/>
      </w:pPr>
    </w:p>
    <w:p w14:paraId="35E7A788" w14:textId="77777777" w:rsidR="003754FE" w:rsidRDefault="003754FE" w:rsidP="003754FE">
      <w:pPr>
        <w:pStyle w:val="TextoNormal"/>
      </w:pPr>
      <w:r>
        <w:t>-7 de noviembre de 2006, en la que se incrementó en 9 300 000 € la aplicación presupuestaria 440.51.31L, dando de baja las aplicaciones del programa 32A;</w:t>
      </w:r>
    </w:p>
    <w:p w14:paraId="5388998E" w14:textId="77777777" w:rsidR="003754FE" w:rsidRDefault="003754FE" w:rsidP="003754FE">
      <w:pPr>
        <w:pStyle w:val="TextoNormal"/>
      </w:pPr>
    </w:p>
    <w:p w14:paraId="1DDAA28E" w14:textId="77777777" w:rsidR="003754FE" w:rsidRDefault="003754FE" w:rsidP="003754FE">
      <w:pPr>
        <w:pStyle w:val="TextoNormal"/>
      </w:pPr>
      <w:r>
        <w:t>- 27 de noviembre de 2007, mediante la cual se incrementó en 7 448 503,44 € la aplicación presupuestaria 440.51.31L dando de baja otras aplicaciones;</w:t>
      </w:r>
    </w:p>
    <w:p w14:paraId="3E2287FD" w14:textId="77777777" w:rsidR="003754FE" w:rsidRDefault="003754FE" w:rsidP="003754FE">
      <w:pPr>
        <w:pStyle w:val="TextoNormal"/>
      </w:pPr>
    </w:p>
    <w:p w14:paraId="1B55EB50" w14:textId="61112C22" w:rsidR="003754FE" w:rsidRDefault="003754FE" w:rsidP="003754FE">
      <w:pPr>
        <w:pStyle w:val="TextoNormal"/>
      </w:pPr>
      <w:r>
        <w:t>- el 22 de diciembre de 2008 se aprobaron tres modificaciones presupuestarias que incrementaron el programa 31L: una por importe de 1 253 853,89 €, otra por importe de 6 011 836,20 € y la tercera por importe de 8 000 000 €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w:t>
      </w:r>
    </w:p>
    <w:p w14:paraId="53C450BB" w14:textId="77777777" w:rsidR="003754FE" w:rsidRDefault="003754FE" w:rsidP="003754FE">
      <w:pPr>
        <w:pStyle w:val="TextoNormal"/>
      </w:pPr>
    </w:p>
    <w:p w14:paraId="311A3FC7" w14:textId="77777777" w:rsidR="003754FE" w:rsidRDefault="003754FE" w:rsidP="003754FE">
      <w:pPr>
        <w:pStyle w:val="TextoNormal"/>
      </w:pPr>
      <w:r w:rsidRPr="003754FE">
        <w:rPr>
          <w:rStyle w:val="NumeroAFNegritaCaracter"/>
        </w:rPr>
        <w:t>3</w:t>
      </w:r>
      <w:r>
        <w:t xml:space="preserve">. </w:t>
      </w:r>
      <w:r w:rsidRPr="003754FE">
        <w:rPr>
          <w:i/>
        </w:rPr>
        <w:t>Vulneración del derecho al juez ordinario predeterminado por la ley (art. 24.2 CE)</w:t>
      </w:r>
    </w:p>
    <w:p w14:paraId="3DD4418D" w14:textId="77777777" w:rsidR="003754FE" w:rsidRDefault="003754FE" w:rsidP="003754FE">
      <w:pPr>
        <w:pStyle w:val="TextoNormal"/>
      </w:pPr>
    </w:p>
    <w:p w14:paraId="3EDAA02B" w14:textId="77777777" w:rsidR="003754FE" w:rsidRDefault="003754FE" w:rsidP="003754FE">
      <w:pPr>
        <w:pStyle w:val="TextoNormal"/>
      </w:pPr>
      <w:r>
        <w:t xml:space="preserve">3.1. </w:t>
      </w:r>
      <w:r w:rsidRPr="003754FE">
        <w:rPr>
          <w:i/>
        </w:rPr>
        <w:t>Posiciones de las partes</w:t>
      </w:r>
    </w:p>
    <w:p w14:paraId="6F2749C1" w14:textId="77777777" w:rsidR="003754FE" w:rsidRDefault="003754FE" w:rsidP="003754FE">
      <w:pPr>
        <w:pStyle w:val="TextoNormal"/>
      </w:pPr>
    </w:p>
    <w:p w14:paraId="64D97AB6" w14:textId="77777777" w:rsidR="003754FE" w:rsidRDefault="003754FE" w:rsidP="003754FE">
      <w:pPr>
        <w:pStyle w:val="TextoNormal"/>
      </w:pPr>
      <w:r>
        <w:t xml:space="preserve">El primer motivo de la demanda denuncia la vulneración del derecho al juez ordinario predeterminado por la ley fruto de la atribución de las diligencias previas 6645-2015, que concluyeron en la sentencia recurrida y que hasta ese momento conducía la magistrada titular del Juzgado de Instrucción núm. 6 de Sevilla, al magistrado de refuerzo de dicho juzgado. El recurrente considera que se trata de un encargo determinado y, en tal medida, de un nombramiento </w:t>
      </w:r>
      <w:r w:rsidRPr="003754FE">
        <w:rPr>
          <w:i/>
        </w:rPr>
        <w:t>ad hoc</w:t>
      </w:r>
      <w:r>
        <w:t xml:space="preserve"> contrario al art. 24.2 CE que vulnera el art. 216 </w:t>
      </w:r>
      <w:r w:rsidRPr="003754FE">
        <w:rPr>
          <w:i/>
        </w:rPr>
        <w:t>bis</w:t>
      </w:r>
      <w:r>
        <w:t>.2.4 LOPJ, al no limitarse la jurisdicción del juez de apoyo a los asuntos de nuevo ingreso o pendientes de señalamiento. Suma a ello que ese juez realizó actuaciones en perjuicio de los acusados que constituyen razones adicionales de indefensión.</w:t>
      </w:r>
    </w:p>
    <w:p w14:paraId="355925D3" w14:textId="77777777" w:rsidR="003754FE" w:rsidRDefault="003754FE" w:rsidP="003754FE">
      <w:pPr>
        <w:pStyle w:val="TextoNormal"/>
      </w:pPr>
    </w:p>
    <w:p w14:paraId="78A91433" w14:textId="77777777" w:rsidR="003754FE" w:rsidRDefault="003754FE" w:rsidP="003754FE">
      <w:pPr>
        <w:pStyle w:val="TextoNormal"/>
      </w:pPr>
      <w:r>
        <w:lastRenderedPageBreak/>
        <w:t xml:space="preserve">De las partes personadas, han formulado alegaciones sobre la aducida vulneración el Partido Popular, que instó la desestimación del motivo con apoyo en los razonamientos del Tribunal Supremo, de los que expone una síntesis; y el Sr. Vallejo Serrano, que interesó la estimación del motivo por entender hubo un cambio del magistrado encargado de instruir en pleno estado de tramitación del asunto, lo que supuso un nombramiento </w:t>
      </w:r>
      <w:r w:rsidRPr="003754FE">
        <w:rPr>
          <w:i/>
        </w:rPr>
        <w:t>ad hoc</w:t>
      </w:r>
      <w:r>
        <w:t xml:space="preserve"> de forma manifiestamente contraria a las previsiones del art. 216 </w:t>
      </w:r>
      <w:r w:rsidRPr="003754FE">
        <w:rPr>
          <w:i/>
        </w:rPr>
        <w:t>bis</w:t>
      </w:r>
      <w:r>
        <w:t>.2.4 LOPJ.</w:t>
      </w:r>
    </w:p>
    <w:p w14:paraId="7FF50F20" w14:textId="77777777" w:rsidR="003754FE" w:rsidRDefault="003754FE" w:rsidP="003754FE">
      <w:pPr>
        <w:pStyle w:val="TextoNormal"/>
      </w:pPr>
    </w:p>
    <w:p w14:paraId="2DA0BD2C" w14:textId="77777777" w:rsidR="003754FE" w:rsidRDefault="003754FE" w:rsidP="003754FE">
      <w:pPr>
        <w:pStyle w:val="TextoNormal"/>
      </w:pPr>
      <w:r>
        <w:t>En su escrito, el fiscal rechazó asimismo la lesión del derecho en tanto la incorporación del juez de refuerzo se había efectuado mucho antes (en el año 2013) de que el órgano judicial competente (el Juzgado de Instrucción núm. 6 de Sevilla) acordara por auto de 9 de noviembre de 2015 el desglose de la causa en distintas piezas separadas, una de la cuales se incoó el 17 de noviembre de 2015 como diligencias previas núm. 6645-2015, y la razón del refuerzo era el apoyo en la instrucción de las causas en tramitación, que lógicamente se incluyeron después en el acuerdo de distribución de asuntos.</w:t>
      </w:r>
    </w:p>
    <w:p w14:paraId="54A62EFF" w14:textId="77777777" w:rsidR="003754FE" w:rsidRDefault="003754FE" w:rsidP="003754FE">
      <w:pPr>
        <w:pStyle w:val="TextoNormal"/>
      </w:pPr>
    </w:p>
    <w:p w14:paraId="2EE8A7CD" w14:textId="77777777" w:rsidR="003754FE" w:rsidRDefault="003754FE" w:rsidP="003754FE">
      <w:pPr>
        <w:pStyle w:val="TextoNormal"/>
      </w:pPr>
      <w:r>
        <w:t xml:space="preserve">3.2. </w:t>
      </w:r>
      <w:r w:rsidRPr="003754FE">
        <w:rPr>
          <w:i/>
        </w:rPr>
        <w:t>Respuesta de los órganos judiciales</w:t>
      </w:r>
    </w:p>
    <w:p w14:paraId="1E6487B7" w14:textId="77777777" w:rsidR="003754FE" w:rsidRDefault="003754FE" w:rsidP="003754FE">
      <w:pPr>
        <w:pStyle w:val="TextoNormal"/>
      </w:pPr>
    </w:p>
    <w:p w14:paraId="43118BD4" w14:textId="77777777" w:rsidR="003754FE" w:rsidRDefault="003754FE" w:rsidP="003754FE">
      <w:pPr>
        <w:pStyle w:val="TextoNormal"/>
      </w:pPr>
      <w:r>
        <w:t xml:space="preserve">La sentencia de la Audiencia Provincial transcribe en el fundamento de Derecho primero los razonamientos del auto de 9 de febrero de 2018 que resolvió las distintas cuestiones previas, entre las que se hallaba la vulneración del derecho al juez ordinario predeterminado por la ley imputada a la designación del juez de refuerzo como instructor de las diligencias previas correspondientes al procedimiento específico. La sala, a partir de un detallado relato sobre las vicisitudes del nombramiento del juez de refuerzo, concluye que “no se ha designado ningún juez </w:t>
      </w:r>
      <w:r w:rsidRPr="003754FE">
        <w:rPr>
          <w:i/>
        </w:rPr>
        <w:t>ad hoc</w:t>
      </w:r>
      <w:r>
        <w:t xml:space="preserve"> para tramitar una causa ya iniciada, sino que se ha procedido con arreglo a la estricta legalidad y atendiendo a las evidentes necesidades derivadas del retraso que se había originado por la acumulación de asuntos de una gran envergadura en un solo juzgado y en un solo juez”.</w:t>
      </w:r>
    </w:p>
    <w:p w14:paraId="6D1C36A1" w14:textId="77777777" w:rsidR="003754FE" w:rsidRDefault="003754FE" w:rsidP="003754FE">
      <w:pPr>
        <w:pStyle w:val="TextoNormal"/>
      </w:pPr>
    </w:p>
    <w:p w14:paraId="432CA651" w14:textId="77777777" w:rsidR="003754FE" w:rsidRDefault="003754FE" w:rsidP="003754FE">
      <w:pPr>
        <w:pStyle w:val="TextoNormal"/>
      </w:pPr>
      <w:r>
        <w:t>También el Tribunal Supremo rechaza la vulneración del derecho fundamental al juez ordinario predeterminado por la ley que se denuncia en los recursos de tres de los condenados, entre los que se cuenta el demandante de amparo (fundamento de Derecho 2). Esa respuesta conjunta se asienta en la doctrina constitucional, con cita de la STC 110/2017, de 5 de octubre, con las sucesivas actuaciones de refuerzo operadas en el juzgado, todas ellas realizadas a petición de la magistrada titular, y la constatación de que las quejas se dirigen contra el procedimiento de distribución de funciones, sin cuestionar ni la adopción de la medida de refuerzo ni el nombramiento del magistrado de apoyo en cuestión.</w:t>
      </w:r>
    </w:p>
    <w:p w14:paraId="389A12C3" w14:textId="77777777" w:rsidR="003754FE" w:rsidRDefault="003754FE" w:rsidP="003754FE">
      <w:pPr>
        <w:pStyle w:val="TextoNormal"/>
      </w:pPr>
    </w:p>
    <w:p w14:paraId="1234AA4C" w14:textId="77777777" w:rsidR="003754FE" w:rsidRDefault="003754FE" w:rsidP="003754FE">
      <w:pPr>
        <w:pStyle w:val="TextoNormal"/>
      </w:pPr>
      <w:r>
        <w:t xml:space="preserve">Al respecto puntualiza la Sala Segunda que “la atribución de competencia viene determinada, no por normas de reparto o por disposiciones normativas específicas, sino por el acuerdo gubernativo correspondiente, en función del plan de trabajo acordado entre el juez titular y el juez comisionado”; plan que “tiene por objeto evitar que al titular del órgano se le pueda privar del conocimiento de asunto alguno de su competencia por orden del órgano gubernativo y se justifica también porque son los magistrados que van a gestionar el órgano judicial quienes mejor conocen la forma en que debe llevarse a cabo la distribución de funciones jurisdiccionales”. Sentado lo anterior, concluye que “la magistrada titular solicitó la medida de refuerzo y determinó, en función de las concretas circunstancias, el criterio de distribución más adecuado para una mejor gestión de los asuntos atribuidos al órgano judicial, por lo que ni hubo un nombramiento contrario a las normas establecidas en la LOPJ, </w:t>
      </w:r>
      <w:r>
        <w:lastRenderedPageBreak/>
        <w:t xml:space="preserve">ni nombramiento de un juez </w:t>
      </w:r>
      <w:r w:rsidRPr="003754FE">
        <w:rPr>
          <w:i/>
        </w:rPr>
        <w:t>ad hoc</w:t>
      </w:r>
      <w:r>
        <w:t>, ni se le privó del conocimiento de asunto alguno de su competencia, de la magistrada titular, y, por lo mismo, tampoco ha habido lesión del derecho al juez ordinario predeterminado por la ley”.</w:t>
      </w:r>
    </w:p>
    <w:p w14:paraId="0B85C21B" w14:textId="77777777" w:rsidR="003754FE" w:rsidRDefault="003754FE" w:rsidP="003754FE">
      <w:pPr>
        <w:pStyle w:val="TextoNormal"/>
      </w:pPr>
    </w:p>
    <w:p w14:paraId="591DE59F" w14:textId="77777777" w:rsidR="003754FE" w:rsidRDefault="003754FE" w:rsidP="003754FE">
      <w:pPr>
        <w:pStyle w:val="TextoNormal"/>
      </w:pPr>
      <w:r>
        <w:t xml:space="preserve">Tampoco considera el Tribunal Supremo que la distribución de asuntos lesionara el art. 24.2 CE por haberse contravenido lo preceptuado en el art. 216 </w:t>
      </w:r>
      <w:r w:rsidRPr="003754FE">
        <w:rPr>
          <w:i/>
        </w:rPr>
        <w:t>bis</w:t>
      </w:r>
      <w:r>
        <w:t xml:space="preserve">.2.4 LOPJ. Sin perjuicio de la falta de claridad que aprecia en la normativa orgánica que regula las comisiones de servicio en la carrera judicial, de ella infiere que pueden concederse por múltiples circunstancias. Distingue así entre supuestos varios de sustitución del titular y los de necesidad de afrontar situaciones excepcionales, que a su vez pueden precisar o no un plan de actuación del juzgado, sin que del art. 216 </w:t>
      </w:r>
      <w:r w:rsidRPr="003754FE">
        <w:rPr>
          <w:i/>
        </w:rPr>
        <w:t>bis</w:t>
      </w:r>
      <w:r>
        <w:t xml:space="preserve">.2.4 LOPJ se siga que el juez de refuerzo solo pueda atender asuntos de nuevo ingreso, como habría puesto de manifiesto ya la Sala de lo Contencioso-Administrativo del Tribunal Supremo en una sentencia de 6 de noviembre de 2009. Por lo que respecta a la cuestión controvertida en el caso, considera que “la comisión de servicios se concedió por la concurrencia de una situación excepcional, la tramitación de una macro causa, lo que excluye la aplicación del artículo 216 </w:t>
      </w:r>
      <w:r w:rsidRPr="003754FE">
        <w:rPr>
          <w:i/>
        </w:rPr>
        <w:t>bis</w:t>
      </w:r>
      <w:r>
        <w:t>.2.4 LOPJ, invocado por los recurrentes, que no parecía exigir un plan de actualización del juzgado, sino un criterio de distribución de la macrocausa que allí se instruía, y a tal fin se requirió a la magistrada titular y al magistrado comisionado para que presentaran un acuerdo de distribución de funciones que fue finalmente aprobado por el órgano gubernativo”, con el añadido de que el magistrado designado ya había intervenido como refuerzo en la instrucción de la causa. Añade que así se consideró respecto de un acuerdo posterior similar en la misma macrocausa por otra sentencia de la Sala de lo Contencioso-Administrativo, la núm. 1301/2021, de 2 de noviembre.</w:t>
      </w:r>
    </w:p>
    <w:p w14:paraId="4F2D05ED" w14:textId="77777777" w:rsidR="003754FE" w:rsidRDefault="003754FE" w:rsidP="003754FE">
      <w:pPr>
        <w:pStyle w:val="TextoNormal"/>
      </w:pPr>
    </w:p>
    <w:p w14:paraId="4D216D45" w14:textId="77777777" w:rsidR="003754FE" w:rsidRDefault="003754FE" w:rsidP="003754FE">
      <w:pPr>
        <w:pStyle w:val="TextoNormal"/>
      </w:pPr>
      <w:r>
        <w:t xml:space="preserve">3.3. </w:t>
      </w:r>
      <w:r w:rsidRPr="003754FE">
        <w:rPr>
          <w:i/>
        </w:rPr>
        <w:t>Doctrina constitucional</w:t>
      </w:r>
    </w:p>
    <w:p w14:paraId="75A141DC" w14:textId="77777777" w:rsidR="003754FE" w:rsidRDefault="003754FE" w:rsidP="003754FE">
      <w:pPr>
        <w:pStyle w:val="TextoNormal"/>
      </w:pPr>
    </w:p>
    <w:p w14:paraId="5EC22E25" w14:textId="77777777" w:rsidR="003754FE" w:rsidRDefault="003754FE" w:rsidP="003754FE">
      <w:pPr>
        <w:pStyle w:val="TextoNormal"/>
      </w:pPr>
      <w:r>
        <w:t>La jurisprudencia constitucional sobre el derecho alegado, últimamente expuesta con amplitud en las SSTC 34/2021, de 17 de febrero; 91/2021, de 22 de abril; 106/2021, de 11 de mayo; 121/2021 y 122/2021, de 2 de junio, o 184/2021, de 28 de octubre, y sintetizada en las SSTC 25/2022, de 23 de febrero, FJ 3, y 83/2022, de 27 de junio, FJ 8, ha considerado que el derecho al juez ordinario predeterminado por la ley, reconocido en el art. 24.2 CE, es una consecuencia necesaria del principio de división de poderes que se proyecta tanto sobre el órgano judicial como sobre sus integrantes.</w:t>
      </w:r>
    </w:p>
    <w:p w14:paraId="3FA950E8" w14:textId="77777777" w:rsidR="003754FE" w:rsidRDefault="003754FE" w:rsidP="003754FE">
      <w:pPr>
        <w:pStyle w:val="TextoNormal"/>
      </w:pPr>
    </w:p>
    <w:p w14:paraId="792B7C34" w14:textId="77777777" w:rsidR="003754FE" w:rsidRDefault="003754FE" w:rsidP="003754FE">
      <w:pPr>
        <w:pStyle w:val="TextoNormal"/>
      </w:pPr>
      <w:r>
        <w:t xml:space="preserve">Este derecho exige, de un lado, que el órgano judicial al que se atribuye un asunto litigioso haya sido creado previamente por la norma jurídica, que esta le haya investido de jurisdicción y competencia con anterioridad al hecho motivador de la actuación o proceso judicial y que su régimen orgánico y procesal no permita calificarle de órgano especial o excepcional. La generalidad y la abstracción de los criterios legales de atribución competencial garantiza la inexistencia de jueces </w:t>
      </w:r>
      <w:r w:rsidRPr="003754FE">
        <w:rPr>
          <w:i/>
        </w:rPr>
        <w:t>ad hoc</w:t>
      </w:r>
      <w:r>
        <w:t xml:space="preserve">; la anterioridad de tales criterios al caso a enjuiciar garantiza que una vez determinado en concreto el juez de un caso en virtud de la aplicación de las reglas competenciales establecidas en las leyes, no podrá ser desposeído de su conocimiento en virtud de decisiones tomadas por órganos gubernativos (SSTC 101/1984, de 8 de noviembre, FJ 4, y 199/1987, de 16 de diciembre, FJ 8). De otro lado, en relación con quienes integran el órgano judicial, el derecho alegado garantiza también que la composición del órgano judicial venga determinada por la ley y, además, que en cada caso concreto se siga el procedimiento legalmente establecido para la designación de los </w:t>
      </w:r>
      <w:r>
        <w:lastRenderedPageBreak/>
        <w:t>miembros que han de constituir el órgano correspondiente (SSTC 47/1983, de 31 de mayo, FJ 2, y 93/1988, de 24 de mayo, FJ 4).</w:t>
      </w:r>
    </w:p>
    <w:p w14:paraId="4A3F7C27" w14:textId="77777777" w:rsidR="003754FE" w:rsidRDefault="003754FE" w:rsidP="003754FE">
      <w:pPr>
        <w:pStyle w:val="TextoNormal"/>
      </w:pPr>
    </w:p>
    <w:p w14:paraId="61DCE643" w14:textId="77777777" w:rsidR="003754FE" w:rsidRDefault="003754FE" w:rsidP="003754FE">
      <w:pPr>
        <w:pStyle w:val="TextoNormal"/>
      </w:pPr>
      <w:r>
        <w:t>A través de las referidas exigencias de predeterminación, que son fuente objetiva de legitimación de la función judicial, se trata de garantizar la independencia e imparcialidad de los órganos judiciales, lo que constituye el interés directo protegido por el derecho al juez ordinario legalmente predeterminado, proclamado también expresamente, aunque con distinta dicción, en el art. 14.1 del Pacto internacional de derechos civiles y políticos y en el art. 6.1 CEDH. No obstante, el Tribunal ha puntualizado que “no cabe exigir el mismo grado de fijeza y predeterminación al órgano que a sus titulares, dadas las diversas contingencias que pueden afectar a estos en su situación personal y la exigencia, dimanante del interés público —las llamadas ‘necesidades del servicio’—, de que los distintos miembros del Poder Judicial colaboren dentro de la administración de justicia en los lugares en que su labor pueda ser más eficaz, supliendo, en la medida de lo posible, las disfuncionalidades del sistema” (STC 152/2015, de 6 de julio, FJ 9, con cita de otras anteriores).</w:t>
      </w:r>
    </w:p>
    <w:p w14:paraId="61BCBAE0" w14:textId="77777777" w:rsidR="003754FE" w:rsidRDefault="003754FE" w:rsidP="003754FE">
      <w:pPr>
        <w:pStyle w:val="TextoNormal"/>
      </w:pPr>
    </w:p>
    <w:p w14:paraId="2F2B0702" w14:textId="77777777" w:rsidR="003754FE" w:rsidRDefault="003754FE" w:rsidP="003754FE">
      <w:pPr>
        <w:pStyle w:val="TextoNormal"/>
      </w:pPr>
      <w:r>
        <w:t xml:space="preserve">No debe olvidarse en tal sentido que la “garantía respecto de las personas físicas que encarnan el Tribunal llamado a juzgar la causa o litigio, no vela por la pureza de los procedimientos gubernativos seguidos en la designación. Su finalidad es más modesta, y más importante: asegurar la independencia y la imparcialidad de los jueces que forman la Sala de Justicia, evitando que se mantenga el Tribunal, pero se alteren arbitrariamente sus componentes” (SSTC 238/1998, de 15 de diciembre, FJ 5; 162/2000, de 12 de junio, FJ 2, y 69/2001, de 17 de marzo, FJ 9). Por eso, “una posible irregularidad procesal en la determinación de los miembros de un tribunal solo constituye una violación del derecho fundamental al juez ordinario predeterminado por la ley si supone una alteración arbitraria de la composición del órgano judicial susceptible de afectar a su imagen de imparcialidad e independencia” (STC 152/2015, FJ 9). En este punto, el análisis que corresponde a este tribunal cuando se denuncia la defectuosa constitución personal del órgano judicial no se proyecta a las razones que la motivaron, sino solo, en el sentido de la protección constitucional que dispensa el derecho fundamental en juego, si existen datos para concluir que ha sido alterada arbitrariamente la composición del órgano judicial, creando un tribunal </w:t>
      </w:r>
      <w:r w:rsidRPr="003754FE">
        <w:rPr>
          <w:i/>
        </w:rPr>
        <w:t>ad casum</w:t>
      </w:r>
      <w:r>
        <w:t>, con pérdida de la necesaria independencia e imparcialidad de la que debió estar revestido (STC 162/2000, FJ 2).</w:t>
      </w:r>
    </w:p>
    <w:p w14:paraId="657E7C01" w14:textId="77777777" w:rsidR="003754FE" w:rsidRDefault="003754FE" w:rsidP="003754FE">
      <w:pPr>
        <w:pStyle w:val="TextoNormal"/>
      </w:pPr>
    </w:p>
    <w:p w14:paraId="77210516" w14:textId="77777777" w:rsidR="003754FE" w:rsidRDefault="003754FE" w:rsidP="003754FE">
      <w:pPr>
        <w:pStyle w:val="TextoNormal"/>
      </w:pPr>
      <w:r>
        <w:t>3.4</w:t>
      </w:r>
      <w:r w:rsidRPr="003754FE">
        <w:rPr>
          <w:i/>
        </w:rPr>
        <w:t>. Enjuiciamiento de la que</w:t>
      </w:r>
      <w:r>
        <w:t>ja</w:t>
      </w:r>
    </w:p>
    <w:p w14:paraId="013EC965" w14:textId="77777777" w:rsidR="003754FE" w:rsidRDefault="003754FE" w:rsidP="003754FE">
      <w:pPr>
        <w:pStyle w:val="TextoNormal"/>
      </w:pPr>
    </w:p>
    <w:p w14:paraId="633FDFCC" w14:textId="77777777" w:rsidR="003754FE" w:rsidRDefault="003754FE" w:rsidP="003754FE">
      <w:pPr>
        <w:pStyle w:val="TextoNormal"/>
      </w:pPr>
      <w:r>
        <w:t>3.4.1. Actuaciones de refuerzo en el Juzgado de Instrucción núm. 6 de Sevilla</w:t>
      </w:r>
    </w:p>
    <w:p w14:paraId="66F4B4A6" w14:textId="77777777" w:rsidR="003754FE" w:rsidRDefault="003754FE" w:rsidP="003754FE">
      <w:pPr>
        <w:pStyle w:val="TextoNormal"/>
      </w:pPr>
    </w:p>
    <w:p w14:paraId="127F1731" w14:textId="77777777" w:rsidR="003754FE" w:rsidRDefault="003754FE" w:rsidP="003754FE">
      <w:pPr>
        <w:pStyle w:val="TextoNormal"/>
      </w:pPr>
      <w:r>
        <w:t>La denuncia de vulneración del derecho al juez ordinario predeterminado por la ley no cuestiona la competencia del Juzgado de Instrucción núm. 6 de Sevilla ni la necesidad de refuerzo y, por tanto, la adopción de las medidas de apoyo; como tampoco pone en duda la legalidad del nombramiento del magistrado señor Martín Gómez como juez comisionado. El dato al que se vincula la vulneración del derecho alegado es el acuerdo de distribución de funciones que determinó que el magistrado de refuerzo asumiera en exclusiva la instrucción de las diligencias previas que concluyeron en la sentencia condenatoria. No obstante, para resolver esta queja resulta imprescindible tener presente la sucesión, objeto y justificación de las medidas de refuerzo.</w:t>
      </w:r>
    </w:p>
    <w:p w14:paraId="6F85EF4A" w14:textId="77777777" w:rsidR="003754FE" w:rsidRDefault="003754FE" w:rsidP="003754FE">
      <w:pPr>
        <w:pStyle w:val="TextoNormal"/>
      </w:pPr>
    </w:p>
    <w:p w14:paraId="212D7D1A" w14:textId="77777777" w:rsidR="003754FE" w:rsidRDefault="003754FE" w:rsidP="003754FE">
      <w:pPr>
        <w:pStyle w:val="TextoNormal"/>
      </w:pPr>
      <w:r>
        <w:lastRenderedPageBreak/>
        <w:t>La descripción en la sentencia de instancia de las actuaciones de refuerzo efectuadas, que toma del expediente de refuerzo núm. 103-2015 remitido por el Tribunal Superior de Justicia de Andalucía, Ceuta y Melilla, pone de relieve que:</w:t>
      </w:r>
    </w:p>
    <w:p w14:paraId="4C7404A5" w14:textId="77777777" w:rsidR="003754FE" w:rsidRDefault="003754FE" w:rsidP="003754FE">
      <w:pPr>
        <w:pStyle w:val="TextoNormal"/>
      </w:pPr>
    </w:p>
    <w:p w14:paraId="1467BAE1" w14:textId="77777777" w:rsidR="003754FE" w:rsidRDefault="003754FE" w:rsidP="003754FE">
      <w:pPr>
        <w:pStyle w:val="TextoNormal"/>
      </w:pPr>
      <w:r>
        <w:t>(i) La incorporación del juez de refuerzo al Juzgado de Instrucción núm. 6 de Sevilla se había producido tiempo atrás, en septiembre de 2013, en virtud del acuerdo de la Comisión Permanente del Consejo General del Poder Judicial de 24 de julio de 2013. A petición de la entonces magistrada titular, el presidente del Tribunal Superior de Justicia de Andalucía, Ceuta y Melilla acordó que el magistrado en comisión de servicio extendiera su función de apoyo, además de a las actuaciones que requiriera la marcha ordinaria del Juzgado, a la tramitación de las diligencias previas núm. 174-2011 (causa matriz del caso) y 2172-2008.</w:t>
      </w:r>
    </w:p>
    <w:p w14:paraId="3F3DB127" w14:textId="77777777" w:rsidR="003754FE" w:rsidRDefault="003754FE" w:rsidP="003754FE">
      <w:pPr>
        <w:pStyle w:val="TextoNormal"/>
      </w:pPr>
    </w:p>
    <w:p w14:paraId="46548359" w14:textId="77777777" w:rsidR="003754FE" w:rsidRDefault="003754FE" w:rsidP="003754FE">
      <w:pPr>
        <w:pStyle w:val="TextoNormal"/>
      </w:pPr>
      <w:r>
        <w:t>(ii) El señor Martín Gómez venía así desempeñando funciones jurisdiccionales en el juzgado competente cuando se aprobó el 21 mayo de 2015 por la Comisión Permanente del Consejo General del Poder Judicial una medida de refuerzo con el fin de dar respuesta a los problemas de sobrecarga de trabajo generados por la acumulación de macrocausas. La medida de apoyo consistió en asignar dos comisiones de servicio para colaborar con la nueva titular del juzgado en todos los asuntos, siendo designados luego para desempeñar la medida de refuerzo el magistrado señor Martín Gómez y la anterior titular. En el plan de actuación presentado por la nueva magistrada titular se especificaba que el magistrado de refuerzo asumiría los asuntos nuevos o pendientes de señalamiento sin perjuicio de colaborar con ella, lo que fue validado por la Sala de Gobierno del Tribunal Superior de Justicia de Andalucía, Ceuta y Melilla el 23 de junio de 2015 y luego por la Comisión Permanente del Consejo General del Poder Judicial el 15 de octubre de 2015.</w:t>
      </w:r>
    </w:p>
    <w:p w14:paraId="3194CB7A" w14:textId="77777777" w:rsidR="003754FE" w:rsidRDefault="003754FE" w:rsidP="003754FE">
      <w:pPr>
        <w:pStyle w:val="TextoNormal"/>
      </w:pPr>
    </w:p>
    <w:p w14:paraId="45F03719" w14:textId="77777777" w:rsidR="003754FE" w:rsidRDefault="003754FE" w:rsidP="003754FE">
      <w:pPr>
        <w:pStyle w:val="TextoNormal"/>
      </w:pPr>
      <w:r>
        <w:t>(iii) En la medida en que esa colaboración era posible, también en la tramitación de las macrocausas, la magistrada titular consideró que la medida de apoyo podía continuar solo con el magistrado señor Martín, sin perjuicio de concretar más adelante entre ellos la distribución de las piezas separadas desgajadas en la causa de los ERE, siendo renovada la comisión de servicio a favor de dicho magistrado por acuerdo de 24 de septiembre de 2015 de la Comisión Permanente del Consejo General del Poder Judicial.</w:t>
      </w:r>
    </w:p>
    <w:p w14:paraId="2FFB0D8F" w14:textId="77777777" w:rsidR="003754FE" w:rsidRDefault="003754FE" w:rsidP="003754FE">
      <w:pPr>
        <w:pStyle w:val="TextoNormal"/>
      </w:pPr>
    </w:p>
    <w:p w14:paraId="6D136E3C" w14:textId="77777777" w:rsidR="003754FE" w:rsidRDefault="003754FE" w:rsidP="003754FE">
      <w:pPr>
        <w:pStyle w:val="TextoNormal"/>
      </w:pPr>
      <w:r>
        <w:t>(iv) El plan de actuación presentado conjuntamente por la magistrada titular y el magistrado en comisión de servicio se aprobó por el Tribunal Superior de Justicia de Andalucía, Ceuta y Melilla el 14 de diciembre de 2015, con la finalidad de impulsar la tramitación de las diligencias previas incoadas como consecuencia del acuerdo de división de las diligencias previas del caso ERE núm. 174-2011, siendo avalado después por acuerdo de la Comisión Permanente del Consejo General del Poder Judicial de 21 de enero de 2016.</w:t>
      </w:r>
    </w:p>
    <w:p w14:paraId="41024612" w14:textId="77777777" w:rsidR="003754FE" w:rsidRDefault="003754FE" w:rsidP="003754FE">
      <w:pPr>
        <w:pStyle w:val="TextoNormal"/>
      </w:pPr>
    </w:p>
    <w:p w14:paraId="7517FDC2" w14:textId="77777777" w:rsidR="003754FE" w:rsidRDefault="003754FE" w:rsidP="003754FE">
      <w:pPr>
        <w:pStyle w:val="TextoNormal"/>
      </w:pPr>
      <w:r>
        <w:t>3.4.2</w:t>
      </w:r>
      <w:r w:rsidRPr="003754FE">
        <w:rPr>
          <w:i/>
        </w:rPr>
        <w:t>. Desestimación de la que</w:t>
      </w:r>
      <w:r>
        <w:t>ja</w:t>
      </w:r>
    </w:p>
    <w:p w14:paraId="1E4D2FE5" w14:textId="77777777" w:rsidR="003754FE" w:rsidRDefault="003754FE" w:rsidP="003754FE">
      <w:pPr>
        <w:pStyle w:val="TextoNormal"/>
      </w:pPr>
    </w:p>
    <w:p w14:paraId="4F711DC8" w14:textId="77777777" w:rsidR="003754FE" w:rsidRDefault="003754FE" w:rsidP="003754FE">
      <w:pPr>
        <w:pStyle w:val="TextoNormal"/>
      </w:pPr>
      <w:r>
        <w:t xml:space="preserve">Como se ha venido reiterando, el demandante no cuestiona la competencia del Juzgado de Instrucción núm. 6 de Sevilla ni la incorporación como juez de refuerzo del señor Martín. La queja se circunscribe a que su actuación como tal se concretara en la instrucción de las diligencias previas núm. 6645-2015, de las que trae causa la condena, en virtud de un acuerdo de la Comisión Permanente del Consejo General del Poder Judicial de 9 de diciembre de 2015 que es posterior al auto de incoación de las citadas diligencias, dictado el 17 de noviembre de 2015. Ese acuerdo gubernativo le habría atribuido expresamente la causa a </w:t>
      </w:r>
      <w:r>
        <w:lastRenderedPageBreak/>
        <w:t xml:space="preserve">pesar de que estaba siendo instruida por la titular del Juzgado y de que, según el art. 216 </w:t>
      </w:r>
      <w:r w:rsidRPr="003754FE">
        <w:rPr>
          <w:i/>
        </w:rPr>
        <w:t>bis</w:t>
      </w:r>
      <w:r>
        <w:t>.2.4 LOPJ, solo podía hacerse cargo de asuntos de nueva entrada o pendientes de señalamiento.</w:t>
      </w:r>
    </w:p>
    <w:p w14:paraId="5A5DA572" w14:textId="77777777" w:rsidR="003754FE" w:rsidRDefault="003754FE" w:rsidP="003754FE">
      <w:pPr>
        <w:pStyle w:val="TextoNormal"/>
      </w:pPr>
    </w:p>
    <w:p w14:paraId="7D1B6FD2" w14:textId="77777777" w:rsidR="003754FE" w:rsidRDefault="003754FE" w:rsidP="003754FE">
      <w:pPr>
        <w:pStyle w:val="TextoNormal"/>
      </w:pPr>
      <w:r>
        <w:t xml:space="preserve">Es cierto que la división de las diligencias previas de origen núm. 174-2011 se efectuó por auto de 9 de noviembre de 2015 y que las diligencias previas núm. 6645-2015 correspondientes al procedimiento específico que dio origen de la condena se incoaron por auto de 17 de noviembre de 2015. También lo es que hasta después de ese desglose no se acordó por la magistrada titular y el magistrado comisionado la distribución de asuntos que luego aprobó el Tribunal Superior de Justicia de Andalucía, Ceuta y Melilla y la Comisión Permanente del Consejo General del Poder Judicial. Sin embargo, de tales circunstancias en absoluto puede extraerse como conclusión que ha existido una designación </w:t>
      </w:r>
      <w:r w:rsidRPr="003754FE">
        <w:rPr>
          <w:i/>
        </w:rPr>
        <w:t>ad hoc</w:t>
      </w:r>
      <w:r>
        <w:t xml:space="preserve"> de la juez responsable contraria a las garantías de independencia e imparcialidad y, por tanto, que se haya producido una vulneración del derecho al juez ordinario predeterminado por la ley. El recurrente obvia en su planteamiento una consideración de conjunto del devenir de la causa y las actuaciones de refuerzo que se articularon en el juzgado.</w:t>
      </w:r>
    </w:p>
    <w:p w14:paraId="60F62E1F" w14:textId="77777777" w:rsidR="003754FE" w:rsidRDefault="003754FE" w:rsidP="003754FE">
      <w:pPr>
        <w:pStyle w:val="TextoNormal"/>
      </w:pPr>
    </w:p>
    <w:p w14:paraId="18D77849" w14:textId="77777777" w:rsidR="003754FE" w:rsidRDefault="003754FE" w:rsidP="003754FE">
      <w:pPr>
        <w:pStyle w:val="TextoNormal"/>
      </w:pPr>
      <w:r>
        <w:t>A la luz de lo referido en el punto anterior: (i) todas las medidas de apoyo se adoptaron a instancia de la titular del Juzgado de Instrucción competente; (ii) todas ellas vienen impulsadas por la sobrecarga de trabajo fruto de la investigación del caso ERE y la necesidad de impulsar su tramitación; (iii) el juez de refuerzo actúa desde septiembre de 2013 con unas atribuciones que incluyen actuaciones en la instrucción de la macrocausa de los ERE; (iv) incorporada la nueva titular, se mantiene la comisión de servicio del magistrado comisionado a petición de la misma, con previsión expresa de colaborar en la tramitación de las macrocausas y de distribución entre ambos magistrados cuando se fijen las piezas separadas; y (v) y el plan de actuación por el que el juez de refuerzo asume la instrucción de la pieza de procedimiento específico (diligencias previas núm. 6645-2015) es fruto del acuerdo de la magistrada titular y el comisionado, que luego es avalado por el Tribunal Superior de Justicia de Andalucía, Ceuta y Melilla y la Comisión Permanente del Consejo General del Poder Judicial.</w:t>
      </w:r>
    </w:p>
    <w:p w14:paraId="12758F2A" w14:textId="77777777" w:rsidR="003754FE" w:rsidRDefault="003754FE" w:rsidP="003754FE">
      <w:pPr>
        <w:pStyle w:val="TextoNormal"/>
      </w:pPr>
    </w:p>
    <w:p w14:paraId="529A587A" w14:textId="77777777" w:rsidR="003754FE" w:rsidRDefault="003754FE" w:rsidP="003754FE">
      <w:pPr>
        <w:pStyle w:val="TextoNormal"/>
      </w:pPr>
      <w:r>
        <w:t>No puede hablarse, por tanto, ni de una alteración arbitraria del juez encargado de la instrucción ni de una privación de las funciones jurisdiccionales del juez competente por decisiones de los órganos gubernativos. La sucesión de medidas de refuerzo provocadas por la instrucción de la causa de los ERE pone de relieve que no se asume por el juez de refuerzo la instrucción de una causa asignada a la juez titular, privándola de su competencia en virtud de una decisión ajena a ella. Por el contrario, siendo preciso el plan de refuerzo precisamente para la gestión de las piezas separadas de la causa matriz, se opta por la decisión razonable de que la labor de instrucción se asuma por el juez comisionado que venía ejerciendo desde tiempo atrás funciones jurisdiccionales en el Juzgado y colaborando con la tramitación de las diligencias previas de origen.</w:t>
      </w:r>
    </w:p>
    <w:p w14:paraId="0E9D5A24" w14:textId="77777777" w:rsidR="003754FE" w:rsidRDefault="003754FE" w:rsidP="003754FE">
      <w:pPr>
        <w:pStyle w:val="TextoNormal"/>
      </w:pPr>
    </w:p>
    <w:p w14:paraId="0ADC1D72" w14:textId="77777777" w:rsidR="003754FE" w:rsidRDefault="003754FE" w:rsidP="003754FE">
      <w:pPr>
        <w:pStyle w:val="TextoNormal"/>
      </w:pPr>
      <w:r>
        <w:t xml:space="preserve">Frente a ello no cabe entender, como sostiene el recurrente, que esta medida sea contraria al juez ordinario predeterminado por la ley por no respetar la previsión contenida en el art. 216 </w:t>
      </w:r>
      <w:r w:rsidRPr="003754FE">
        <w:rPr>
          <w:i/>
        </w:rPr>
        <w:t>bis</w:t>
      </w:r>
      <w:r>
        <w:t xml:space="preserve">.2.4 LOPJ. Este precepto, por el que se regula cómo han de elevarse al Consejo General del Poder Judicial las propuestas de medidas de apoyo judicial, establece, entre otros requisitos, que estas propuestas deberán contener un “[p]lan de actualización del juzgado o tribunal con indicación de su extensión temporal y del proyecto de ordenación de la </w:t>
      </w:r>
      <w:r>
        <w:lastRenderedPageBreak/>
        <w:t>concreta función del juez o equipo de apoyo, cuyo cometido, con plena jurisdicción, se proyectará en el trámite y resolución de los asuntos de nuevo ingreso o pendientes de señalamiento, quedando reservados al titular o titulares del órgano los asuntos en tramitación que no hubieren alcanzado aquel estado procesal”.</w:t>
      </w:r>
    </w:p>
    <w:p w14:paraId="0B2EB20A" w14:textId="77777777" w:rsidR="003754FE" w:rsidRDefault="003754FE" w:rsidP="003754FE">
      <w:pPr>
        <w:pStyle w:val="TextoNormal"/>
      </w:pPr>
    </w:p>
    <w:p w14:paraId="023BAC30" w14:textId="77777777" w:rsidR="003754FE" w:rsidRDefault="003754FE" w:rsidP="003754FE">
      <w:pPr>
        <w:pStyle w:val="TextoNormal"/>
      </w:pPr>
      <w:r>
        <w:t xml:space="preserve">Ahora bien, esta regla, como aprecia la Sala Segunda, con apoyo en las sentencias de la Sala de lo Contencioso-Administrativo del Tribunal Supremo de 6 de noviembre de 2009 (ECLI:ES:TS:2009:8364) y de 2 de noviembre de 2021 (ECLI:ES:TS:2021:4120), está prevista para los supuestos en los que el juez de apoyo se solicita como medida para llevar a cabo “un plan de actualización del juzgado”, pero no en los demás casos en los que, de acuerdo con la Ley Orgánica del Poder Judicial, cabe adoptar medidas de refuerzo judicial (art. 216 </w:t>
      </w:r>
      <w:r w:rsidRPr="003754FE">
        <w:rPr>
          <w:i/>
        </w:rPr>
        <w:t>bis</w:t>
      </w:r>
      <w:r>
        <w:t xml:space="preserve">.1). En el supuesto que ahora se analiza, la comisión de servicios al juez de refuerzo se otorgó no porque existiera un plan de actualización del juzgado, sino porque concurría una situación excepcional, la tramitación de una macrocausa, por lo que, al no concurrir el supuesto de hecho previsto en el art. 216 </w:t>
      </w:r>
      <w:r w:rsidRPr="003754FE">
        <w:rPr>
          <w:i/>
        </w:rPr>
        <w:t>bis</w:t>
      </w:r>
      <w:r>
        <w:t>.2.4 LOPJ, no puede considerarse que la no aplicación de lo dispuesto en esta norma en este caso constituya, como sostiene el recurrente, una vulneración del derecho al juez ordinario predeterminado por la ley (art. 24.2 CE).</w:t>
      </w:r>
    </w:p>
    <w:p w14:paraId="08E0F9A2" w14:textId="77777777" w:rsidR="003754FE" w:rsidRDefault="003754FE" w:rsidP="003754FE">
      <w:pPr>
        <w:pStyle w:val="TextoNormal"/>
      </w:pPr>
    </w:p>
    <w:p w14:paraId="13DC7032" w14:textId="77777777" w:rsidR="003754FE" w:rsidRDefault="003754FE" w:rsidP="003754FE">
      <w:pPr>
        <w:pStyle w:val="TextoNormal"/>
      </w:pPr>
      <w:r>
        <w:t>Este tribunal ha sido siempre consciente (ya en la STC 47/1983, de 31 de mayo, FJ 2) de la necesidad de armonizar la predeterminación y fijeza de los titulares del órgano competente con la organización de las labores jurisdiccionales para suplir las disfuncionalidades del sistema. Si, como es el caso, el juez de refuerzo ya venía desempeñando funciones jurisdiccionales en el órgano judicial competente y se encontraba familiarizado con esa instrucción, no lesiona el derecho al juez ordinario predeterminado por la ley que la distribución de funciones lo tenga en cuenta, aproveche dicho conocimiento y le atribuya la instrucción. Todo ello, hay que insistir, como decisión de la magistrada titular de acuerdo con el magistrado de apoyo y no como imposición o privación gubernativa de la competencia.</w:t>
      </w:r>
    </w:p>
    <w:p w14:paraId="56996CDB" w14:textId="77777777" w:rsidR="003754FE" w:rsidRDefault="003754FE" w:rsidP="003754FE">
      <w:pPr>
        <w:pStyle w:val="TextoNormal"/>
      </w:pPr>
    </w:p>
    <w:p w14:paraId="6CD4E1AC" w14:textId="2FBFDB82" w:rsidR="003754FE" w:rsidRDefault="003754FE" w:rsidP="003754FE">
      <w:pPr>
        <w:pStyle w:val="TextoNormal"/>
      </w:pPr>
      <w:r>
        <w:t>Por lo demás, carecen de consistencia las afirmaciones del recurrente de que la actuación del juez instructor generó indefensión. Al margen de que esa queja no se cohonesta o incide en la vulneración del derecho al juez ordinario predeterminado por la ley, no se ofrecen por el recurrente razones acreditativas de la causación de una indefensión material relevante en la instrucción. En suma, el juez de refuerzo fue designado instructor de las diligencias previas núm. 6645-2015 conforme a la normativa legal y sin injerencia de los órganos gubernativos, por lo que debe desestimarse el motivo.</w:t>
      </w:r>
    </w:p>
    <w:p w14:paraId="4506E82A" w14:textId="77777777" w:rsidR="003754FE" w:rsidRDefault="003754FE" w:rsidP="003754FE">
      <w:pPr>
        <w:pStyle w:val="TextoNormal"/>
      </w:pPr>
    </w:p>
    <w:p w14:paraId="6CD07071" w14:textId="77777777" w:rsidR="003754FE" w:rsidRDefault="003754FE" w:rsidP="003754FE">
      <w:pPr>
        <w:pStyle w:val="TextoNormal"/>
      </w:pPr>
      <w:r w:rsidRPr="003754FE">
        <w:rPr>
          <w:rStyle w:val="NumeroAFNegritaCaracter"/>
        </w:rPr>
        <w:t>4</w:t>
      </w:r>
      <w:r>
        <w:t xml:space="preserve">. </w:t>
      </w:r>
      <w:r w:rsidRPr="003754FE">
        <w:rPr>
          <w:i/>
        </w:rPr>
        <w:t>Vulneración del derecho a la legalidad penal (art. 25.1 CE) derivada de la condena por el delito de prevaricación del art. 404 CP</w:t>
      </w:r>
    </w:p>
    <w:p w14:paraId="45DCF3FC" w14:textId="77777777" w:rsidR="003754FE" w:rsidRDefault="003754FE" w:rsidP="003754FE">
      <w:pPr>
        <w:pStyle w:val="TextoNormal"/>
      </w:pPr>
    </w:p>
    <w:p w14:paraId="4741150A" w14:textId="77777777" w:rsidR="003754FE" w:rsidRDefault="003754FE" w:rsidP="003754FE">
      <w:pPr>
        <w:pStyle w:val="TextoNormal"/>
      </w:pPr>
      <w:r>
        <w:t xml:space="preserve">4.1. </w:t>
      </w:r>
      <w:r w:rsidRPr="003754FE">
        <w:rPr>
          <w:i/>
        </w:rPr>
        <w:t>Exposición de la queja del recurrente y de las posiciones de las partes personadas</w:t>
      </w:r>
    </w:p>
    <w:p w14:paraId="3D1403E0" w14:textId="77777777" w:rsidR="003754FE" w:rsidRDefault="003754FE" w:rsidP="003754FE">
      <w:pPr>
        <w:pStyle w:val="TextoNormal"/>
      </w:pPr>
    </w:p>
    <w:p w14:paraId="5E04373D" w14:textId="77777777" w:rsidR="003754FE" w:rsidRDefault="003754FE" w:rsidP="003754FE">
      <w:pPr>
        <w:pStyle w:val="TextoNormal"/>
      </w:pPr>
      <w:r>
        <w:t xml:space="preserve">a) Como ya se ha expuesto, el demandante de amparo, en su condición de consejero de Presidencia del Gobierno de Andalucía, fue condenado por la comisión de un delito continuado de prevaricación por elaborar los anteproyectos de ley de presupuestos, por aprobarlos como proyectos de ley en el Consejo de Gobierno y por la realización de modificaciones presupuestarias. Fundamenta su recurso en que las resoluciones impugnadas han realizado una interpretación imprevisible y extensiva de los elementos del tipo del delito de </w:t>
      </w:r>
      <w:r>
        <w:lastRenderedPageBreak/>
        <w:t>prevaricación (art. 404 CP) que infringe el art. 25.1 CE. En concreto, aduce que las actuaciones realizadas con ocasión de la elaboración de los anteproyectos de ley de presupuestos y haber participado en su aprobación como proyectos de ley no pueden considerarse “resoluciones” a los efectos de lo dispuesto en el citado artículo del Código penal. También alega que no cabe entender que tales actos hayan recaído en un “asunto administrativo” ni que puedan calificarse de “arbitrarios”. Afirma que la Sala de lo Penal del Tribunal Supremo, en contra de lo establecido en el Estatuto de Autonomía de Andalucía, ha considerado que el ejercicio de la iniciativa legislativa no da lugar a un procedimiento legislativo que desemboca en la aprobación de una ley. Las sentencias impugnadas, en contra de la doctrina constitucional y de la jurisprudencia de la Sala de lo Contencioso-Administrativo del Tribunal Supremo, consideran que los anteproyectos y proyectos de ley pueden ser objeto de control jurisdiccional. Se aduce también en la demanda que no puede exigirse tampoco que el contenido de un proyecto de ley se ajuste al ordenamiento jurídico, ya que su finalidad puede ser, precisamente, modificarlo. Afirma, además, que las sentencias impugnadas se extralimitan en las funciones que la Constitución atribuye al Poder Judicial al controlar el contenido material de los anteproyectos y proyectos de ley. Por lo que se refiere a las modificaciones presupuestarias, el recurrente aduce que tampoco pueden ser consideradas actuaciones dictadas en asunto administrativo, pues no son más que modificaciones contables que no alteran el importe de los caudales públicos, sino que únicamente posibilitan una posterior ejecución de un gasto.</w:t>
      </w:r>
    </w:p>
    <w:p w14:paraId="31820ECE" w14:textId="77777777" w:rsidR="003754FE" w:rsidRDefault="003754FE" w:rsidP="003754FE">
      <w:pPr>
        <w:pStyle w:val="TextoNormal"/>
      </w:pPr>
    </w:p>
    <w:p w14:paraId="5BAE9BF8" w14:textId="77777777" w:rsidR="003754FE" w:rsidRDefault="003754FE" w:rsidP="003754FE">
      <w:pPr>
        <w:pStyle w:val="TextoNormal"/>
      </w:pPr>
      <w:r>
        <w:t>b) El Partido Popular se opone a la estimación de la queja toda vez que, a su juicio, los hechos por los que el recurrente ha sido condenado se adoptaron para conseguir una finalidad palmariamente ilegal, consistente en evitar los controles propios de las subvenciones. Por lo que se refiere a los actos prelegislativos, la representación del Partido Popular afirma que las sentencias impugnadas basan su fallo en que se adoptaron contraviniendo lo dispuesto en el ordenamiento jurídico, con cita de antecedentes jurisprudenciales, lo que pone de relieve que la aplicación del tipo no es imprevisible. Aduce también que las tesis del recurrente no podrían extenderse a las modificaciones presupuestarias.</w:t>
      </w:r>
    </w:p>
    <w:p w14:paraId="75AA2615" w14:textId="77777777" w:rsidR="003754FE" w:rsidRDefault="003754FE" w:rsidP="003754FE">
      <w:pPr>
        <w:pStyle w:val="TextoNormal"/>
      </w:pPr>
    </w:p>
    <w:p w14:paraId="552CB342" w14:textId="77777777" w:rsidR="003754FE" w:rsidRDefault="003754FE" w:rsidP="003754FE">
      <w:pPr>
        <w:pStyle w:val="TextoNormal"/>
      </w:pPr>
      <w:r>
        <w:t xml:space="preserve">c) La representación procesal de los señores Rodríguez Román y Vallejo Serrano ha realizado consideraciones de fondo referidas a que las sentencias impugnadas son contrarias al art. 25.1 CE debido a que llevan a cabo una extensión </w:t>
      </w:r>
      <w:r w:rsidRPr="003754FE">
        <w:rPr>
          <w:i/>
        </w:rPr>
        <w:t>in malam partem</w:t>
      </w:r>
      <w:r>
        <w:t xml:space="preserve"> de los términos “resolución” y “asunto administrativo” del art. 404 CP. Consideran que la elaboración de un proyecto de ley no puede ser nunca constitutiva de un delito de prevaricación.</w:t>
      </w:r>
    </w:p>
    <w:p w14:paraId="43CCE8C8" w14:textId="77777777" w:rsidR="003754FE" w:rsidRDefault="003754FE" w:rsidP="003754FE">
      <w:pPr>
        <w:pStyle w:val="TextoNormal"/>
      </w:pPr>
    </w:p>
    <w:p w14:paraId="3C4542B3" w14:textId="77777777" w:rsidR="003754FE" w:rsidRDefault="003754FE" w:rsidP="003754FE">
      <w:pPr>
        <w:pStyle w:val="TextoNormal"/>
      </w:pPr>
      <w:r>
        <w:t>d) El Ministerio Fiscal sostiene que la condena impuesta por haber participado en la elaboración de anteproyectos de ley, así como por su posterior aprobación en el Consejo de Gobierno, es imprevisible y, por tanto, lesiva del derecho a la legalidad penal (art. 25.1 CE). Fiscalizar penalmente los proyectos de ley supone, según afirma, desapoderar a las Cortes Generales de una facultad que les corresponde en exclusiva, vulnerando así el principio de separación de poderes. Dichas conclusiones, según sostiene esta parte procesal, no resultan extrapolables a las modificaciones presupuestarias, ya que sí pueden ser consideradas decisiones de naturaleza administrativa.</w:t>
      </w:r>
    </w:p>
    <w:p w14:paraId="0E76C19C" w14:textId="77777777" w:rsidR="003754FE" w:rsidRDefault="003754FE" w:rsidP="003754FE">
      <w:pPr>
        <w:pStyle w:val="TextoNormal"/>
      </w:pPr>
    </w:p>
    <w:p w14:paraId="2CCD86C4" w14:textId="77777777" w:rsidR="003754FE" w:rsidRDefault="003754FE" w:rsidP="003754FE">
      <w:pPr>
        <w:pStyle w:val="TextoNormal"/>
      </w:pPr>
      <w:r>
        <w:t xml:space="preserve">4.2. </w:t>
      </w:r>
      <w:r w:rsidRPr="003754FE">
        <w:rPr>
          <w:i/>
        </w:rPr>
        <w:t>Síntesis de los argumentos en los que las resoluciones judiciales fundamentan la condena del recurrente</w:t>
      </w:r>
    </w:p>
    <w:p w14:paraId="1E83E110" w14:textId="77777777" w:rsidR="003754FE" w:rsidRDefault="003754FE" w:rsidP="003754FE">
      <w:pPr>
        <w:pStyle w:val="TextoNormal"/>
      </w:pPr>
    </w:p>
    <w:p w14:paraId="60A7A7F6" w14:textId="77777777" w:rsidR="003754FE" w:rsidRDefault="003754FE" w:rsidP="003754FE">
      <w:pPr>
        <w:pStyle w:val="TextoNormal"/>
      </w:pPr>
      <w:r>
        <w:lastRenderedPageBreak/>
        <w:t>Las alegaciones aducidas por el recurrente en la vía judicial fueron rechazadas por las resoluciones impugnadas en virtud de los argumentos que, resumidamente, se exponen a continuación:</w:t>
      </w:r>
    </w:p>
    <w:p w14:paraId="252C2406" w14:textId="77777777" w:rsidR="003754FE" w:rsidRDefault="003754FE" w:rsidP="003754FE">
      <w:pPr>
        <w:pStyle w:val="TextoNormal"/>
      </w:pPr>
    </w:p>
    <w:p w14:paraId="5456CCEB" w14:textId="77777777" w:rsidR="003754FE" w:rsidRDefault="003754FE" w:rsidP="003754FE">
      <w:pPr>
        <w:pStyle w:val="TextoNormal"/>
      </w:pPr>
      <w:r>
        <w:t>(i) La Sala de lo Penal del Tribunal Supremo rechaza las alegaciones del recurrente en las que, basándose en la jurisprudencia constitucional y en la de la Sala de lo Contencioso-Administrativo del Tribunal Supremo, sostiene que no puede considerarse resolución recaída en un asunto administrativo a las actuaciones llevadas a cabo con ocasión de la elaboración de un anteproyecto ni a su aprobación como proyecto de ley. La Sala de lo Penal afirma que esta cuestión debe tener otro enfoque “cuando se trata de determinar qué deb[e] entenderse por asunto administrativo a efectos penales”. Sostiene que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[concluye la Sala] posibilitaría un ámbito de inmunidad difícilmente justificable” (fundamento de Derecho 20.3, págs. 238-239).</w:t>
      </w:r>
    </w:p>
    <w:p w14:paraId="204331BD" w14:textId="77777777" w:rsidR="003754FE" w:rsidRDefault="003754FE" w:rsidP="003754FE">
      <w:pPr>
        <w:pStyle w:val="TextoNormal"/>
      </w:pPr>
    </w:p>
    <w:p w14:paraId="2F8EEC06" w14:textId="77777777" w:rsidR="003754FE" w:rsidRDefault="003754FE" w:rsidP="003754FE">
      <w:pPr>
        <w:pStyle w:val="TextoNormal"/>
      </w:pPr>
      <w:r>
        <w:t>(ii) La sentencia de la Sala de lo Penal afirma que “los procedimientos reglados que culminan en la decisión de elevar un proyecto de ley al Gobierno no son actos propiamente legislativos, sino actos de gobierno que, por ser reglados, pueden ser el contexto objetivo para la comisión de un delito de prevaricación” (fundamento de Derecho 20.3, pág. 239).</w:t>
      </w:r>
    </w:p>
    <w:p w14:paraId="65BE02FE" w14:textId="77777777" w:rsidR="003754FE" w:rsidRDefault="003754FE" w:rsidP="003754FE">
      <w:pPr>
        <w:pStyle w:val="TextoNormal"/>
      </w:pPr>
    </w:p>
    <w:p w14:paraId="1C5C98C6" w14:textId="77777777" w:rsidR="003754FE" w:rsidRDefault="003754FE" w:rsidP="003754FE">
      <w:pPr>
        <w:pStyle w:val="TextoNormal"/>
      </w:pPr>
      <w:r>
        <w:t>(iii) También considera que “lo que se debe determinar en este caso no es si las resoluciones adoptadas en el proceso prelegislativo son susceptibles de control por la jurisdicción contencioso-administrativa, cuestión que es ajena a la jurisdicción penal, sino si esas resoluciones pueden cumplir con las exigencias típicas del artículo 404 CP, que es algo sustancialmente diferente” (fundamento de Derecho 21.2, pág. 245).</w:t>
      </w:r>
    </w:p>
    <w:p w14:paraId="4ED387F1" w14:textId="77777777" w:rsidR="003754FE" w:rsidRDefault="003754FE" w:rsidP="003754FE">
      <w:pPr>
        <w:pStyle w:val="TextoNormal"/>
      </w:pPr>
    </w:p>
    <w:p w14:paraId="6532C162" w14:textId="77777777" w:rsidR="003754FE" w:rsidRDefault="003754FE" w:rsidP="003754FE">
      <w:pPr>
        <w:pStyle w:val="TextoNormal"/>
      </w:pPr>
      <w:r>
        <w:t>(iv) La sentencia de la Sala de lo Penal, a los efectos de determinar si concurren los elementos típicos del delito de prevaricación distingue, por una parte, “entre la decisión de elevar un proyecto de ley al Gobierno así como el contenido del proyecto normativo, en cuanto incorpora decisiones sujetas a criterios de oportunidad y discrecionalidad, que es un acto de gobierno inmune al control jurisdiccional” y, por otra,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[se afirma en la sentencia impugnada] que la ley imponga unas reglas en la elaboración del proyecto de ley o de una norma con fuerza de ley y que esas reglas imperativas puedan ser desconocidas sin consecuencias, cuando lo pretendido sea violar de forma patente y arbitraria la ley” (fundamento de Derecho 21.2, pág. 246).</w:t>
      </w:r>
    </w:p>
    <w:p w14:paraId="7A9C62C0" w14:textId="77777777" w:rsidR="003754FE" w:rsidRDefault="003754FE" w:rsidP="003754FE">
      <w:pPr>
        <w:pStyle w:val="TextoNormal"/>
      </w:pPr>
    </w:p>
    <w:p w14:paraId="44734DB3" w14:textId="77777777" w:rsidR="003754FE" w:rsidRDefault="003754FE" w:rsidP="003754FE">
      <w:pPr>
        <w:pStyle w:val="TextoNormal"/>
      </w:pPr>
      <w:r>
        <w:t xml:space="preserve">(v) Las consideraciones expuestas llevan al Tribunal Supremo a concluir que “las resoluciones dictadas relativas a este segundo contenido [las adoptadas en la elaboración del anteproyecto y proyecto de ley] no son actos de gobierno inmunes al control de la </w:t>
      </w:r>
      <w:r>
        <w:lastRenderedPageBreak/>
        <w:t>jurisdicción penal, sino ‘resoluciones en asunto administrativo’, a los efectos del artículo 404 del Código penal” (fundamento de Derecho 21.2, pág. 246).</w:t>
      </w:r>
    </w:p>
    <w:p w14:paraId="2E0A011D" w14:textId="77777777" w:rsidR="003754FE" w:rsidRDefault="003754FE" w:rsidP="003754FE">
      <w:pPr>
        <w:pStyle w:val="TextoNormal"/>
      </w:pPr>
    </w:p>
    <w:p w14:paraId="72ED1709" w14:textId="77777777" w:rsidR="003754FE" w:rsidRDefault="003754FE" w:rsidP="003754FE">
      <w:pPr>
        <w:pStyle w:val="TextoNormal"/>
      </w:pPr>
      <w:r>
        <w:t>(vi) Con invocación de sus propios precedentes, la Sala concluye “que el concepto de resolución al que alude el artículo 404 CP no se reduce a la decisión que pone fin a un procedimiento administrativo, sino que puede extenderse a actuaciones posteriores que ejecutan la resolución y actuaciones anteriores de relevancia que hayan sido imprescindibles para adoptar la resolución final quebrantando los controles establecidos en la ley” (fundamento de Derecho 22, pág. 253).</w:t>
      </w:r>
    </w:p>
    <w:p w14:paraId="7CF5B6FF" w14:textId="77777777" w:rsidR="003754FE" w:rsidRDefault="003754FE" w:rsidP="003754FE">
      <w:pPr>
        <w:pStyle w:val="TextoNormal"/>
      </w:pPr>
    </w:p>
    <w:p w14:paraId="244E0D77" w14:textId="77777777" w:rsidR="003754FE" w:rsidRDefault="003754FE" w:rsidP="003754FE">
      <w:pPr>
        <w:pStyle w:val="TextoNormal"/>
      </w:pPr>
      <w:r>
        <w:t>(vii) Las consideraciones expuestas llevan al Tribunal Supremo a afirmar que la elaboración de un anteproyecto de ley, su aprobación como proyecto, así como el proceso de elaboración y aprobación de una modificación presupuestaria pueden ser calificadas como resolución en asunto administrativo en el sentido del art. 404 CP.</w:t>
      </w:r>
    </w:p>
    <w:p w14:paraId="5563FF7B" w14:textId="77777777" w:rsidR="003754FE" w:rsidRDefault="003754FE" w:rsidP="003754FE">
      <w:pPr>
        <w:pStyle w:val="TextoNormal"/>
      </w:pPr>
    </w:p>
    <w:p w14:paraId="4ABAE254" w14:textId="77777777" w:rsidR="003754FE" w:rsidRDefault="003754FE" w:rsidP="003754FE">
      <w:pPr>
        <w:pStyle w:val="TextoNormal"/>
      </w:pPr>
      <w:r>
        <w:t>(viii) El Tribunal Supremo sostiene que no es admisible calificar “el procedimiento prelegislativo como un conjunto de simples ‘actos de trámite’, sin relevancia o carentes de efecto alguno y que lo que finalmente se aprueba por el gobierno autonómico es un documento sin valor jurídico alguno y sin efectos”, como sostuvo la ahora demandante de amparo (fundamento de Derecho 23.3, pág. 263). Según la Sala “[a]lgunos de los actos de ese procedimiento tienen contenido decisorio en la medida en que las autoridades administrativas al aprobar el proyecto en cada una de sus fases debían examinarlo y comprobar su legalidad. Esas autoridades tenían la potestad de rechazar el proyecto de ley o de modificarlo para que, al margen de la decisión política de fondo sobre la materia presupuestaria, cumpliera con las exigencias de legalidad tanto en su tramitación como en su contenido. Esas autoridades aprobaron los proyectos de ley en cada una de sus fases a sabiendas de su ilegalidad y con la de la deliberada intención de suprimir los controles formales establecidos por el legislador, y lo consiguieron.” (fundamento 23.3, pág. 263). Se sostiene además que “[e]l hecho de que los proyectos de ley fueran finalmente aprobados no es obstáculo para atribuir relevancia penal a las resoluciones aludidas, dado que la consumación del delito se produce con el dictado de la resolución injusta, siendo irrelevante que el Parlamento no detectara la ilegalidad” (fundamento 23.3, pág. 263). Por todo ello afirma que “los acuerdos del Consejo de Gobierno que pusieron fin al proceso administrativo y que produjeron como efecto la remisión del proyecto al parlamento con un contenido ilegal, directamente dirigido a eludir los controles de todo tipo existente en la concesión de subvenciones, constituyen resoluciones arbitrarias a los efectos del artículo 404 CP” (fundamento 23.3, pág. 264).</w:t>
      </w:r>
    </w:p>
    <w:p w14:paraId="7F5F41C7" w14:textId="77777777" w:rsidR="003754FE" w:rsidRDefault="003754FE" w:rsidP="003754FE">
      <w:pPr>
        <w:pStyle w:val="TextoNormal"/>
      </w:pPr>
    </w:p>
    <w:p w14:paraId="68229FFC" w14:textId="77777777" w:rsidR="003754FE" w:rsidRDefault="003754FE" w:rsidP="003754FE">
      <w:pPr>
        <w:pStyle w:val="TextoNormal"/>
      </w:pPr>
      <w:r>
        <w:t xml:space="preserve">(ix) Por lo que se refiere a las modificaciones presupuestarias, el Tribunal Supremo considera que el hecho de que “fuer[a]n comunicadas posteriormente al Parlamento o incluidas en la cuenta general no es óbice para estimar que las resoluciones dictadas en el trámite de elaboración y aprobación de tales modificaciones sean actos de trámite, carentes de efectos </w:t>
      </w:r>
      <w:r w:rsidRPr="003754FE">
        <w:rPr>
          <w:i/>
        </w:rPr>
        <w:t>ad extra</w:t>
      </w:r>
      <w:r>
        <w:t>, y no merezcan la consideración de resolución a los efectos del art. 404 CP” (fundamento de Derecho 23.3, pág. 266).</w:t>
      </w:r>
    </w:p>
    <w:p w14:paraId="73F9C0A6" w14:textId="77777777" w:rsidR="003754FE" w:rsidRDefault="003754FE" w:rsidP="003754FE">
      <w:pPr>
        <w:pStyle w:val="TextoNormal"/>
      </w:pPr>
    </w:p>
    <w:p w14:paraId="1705F3BF" w14:textId="77777777" w:rsidR="003754FE" w:rsidRDefault="003754FE" w:rsidP="003754FE">
      <w:pPr>
        <w:pStyle w:val="TextoNormal"/>
      </w:pPr>
      <w:r>
        <w:t xml:space="preserve">Según la Sala Segunda, la decisión aprobatoria de las modificaciones presupuestarias fue adoptada “bien por el consejero de Hacienda, bien por el Consejo de Gobierno de la Junta de Andalucía, y no por el Parlamento, y estaba sujeta a unas exigencias procedimentales y también materiales y estas últimas fueron incumplidas de forma dolosa con la finalidad </w:t>
      </w:r>
      <w:r>
        <w:lastRenderedPageBreak/>
        <w:t>última de eliminar los controles administrativos en la concesión de las subvenciones para actuar libérrimamente. La decisión aprobatoria [sigue afirmando el Tribunal Supremo] culminaba el proceso de elaboración de la modificación presupuestaria y habilitaba al Gobierno para llevar a cabo las transferencias de fondos. La decisión aprobatoria venía precedida de un procedimiento de elaboración reglado, regido por normas de derecho administrativo y ajeno a los criterios de discrecionalidad propios de toda decisión política, por lo que es una resolución a los efectos del art. 404 del Código penal” (fundamento de Derecho 24.2, págs. 267-268).</w:t>
      </w:r>
    </w:p>
    <w:p w14:paraId="625B0ED7" w14:textId="77777777" w:rsidR="003754FE" w:rsidRDefault="003754FE" w:rsidP="003754FE">
      <w:pPr>
        <w:pStyle w:val="TextoNormal"/>
      </w:pPr>
    </w:p>
    <w:p w14:paraId="7F56F93C" w14:textId="77777777" w:rsidR="003754FE" w:rsidRDefault="003754FE" w:rsidP="003754FE">
      <w:pPr>
        <w:pStyle w:val="TextoNormal"/>
      </w:pPr>
      <w:r>
        <w:t>Haciendo suyo el argumento aducido por el Ministerio Fiscal, la Sala considera que “no había razón alguna para tramitar y aprobar las modificaciones presupuestarias como transferencias de financiación porque los créditos habilitados para cada una de ellas no iban destinados a cubrir el déficit financiero de la cuenta de explotación de IFA/IDEA, sino habilitar fondos para el pago de las subvenciones que ordenaba la Consejería de empleo y ya hemos explicado que el cambio de clasificación presupuestaria hizo posible la distribución de subvenciones sin control alguno, con incumplimiento absoluto del procedimiento establecido para la concesión de subvenciones” (fundamento de Derecho 24.2, pág. 268).</w:t>
      </w:r>
    </w:p>
    <w:p w14:paraId="30047FEB" w14:textId="77777777" w:rsidR="003754FE" w:rsidRDefault="003754FE" w:rsidP="003754FE">
      <w:pPr>
        <w:pStyle w:val="TextoNormal"/>
      </w:pPr>
    </w:p>
    <w:p w14:paraId="0648A3D0" w14:textId="77777777" w:rsidR="003754FE" w:rsidRDefault="003754FE" w:rsidP="003754FE">
      <w:pPr>
        <w:pStyle w:val="TextoNormal"/>
      </w:pPr>
      <w:r>
        <w:t xml:space="preserve">(x) En relación con la alegación que el recurrente formuló en el juicio oral referida a que ninguna de las autoridades que intervino en los actos prelegislativos adoptó resolución alguna en el sentido jurídico de dicho término, esto es, entendiendo por tal aquellas que generan efectos </w:t>
      </w:r>
      <w:r w:rsidRPr="003754FE">
        <w:rPr>
          <w:i/>
        </w:rPr>
        <w:t>ad extra</w:t>
      </w:r>
      <w:r>
        <w:t xml:space="preserve">, el Tribunal Supremo asume la tesis del órgano judicial </w:t>
      </w:r>
      <w:r w:rsidRPr="003754FE">
        <w:rPr>
          <w:i/>
        </w:rPr>
        <w:t>a quo</w:t>
      </w:r>
      <w:r>
        <w:t>, al considerar que cada una de las fases de dichos procedimientos —ya se refieran a los anteproyectos y proyectos de ley o las modificaciones presupuestarias- “se constituye en un eslabón necesario y un filtro de singular relieve establecido en la ley para llegar al trámite final de aprobación” (fundamento de Derecho 27, pág. 280).</w:t>
      </w:r>
    </w:p>
    <w:p w14:paraId="283B1D88" w14:textId="77777777" w:rsidR="003754FE" w:rsidRDefault="003754FE" w:rsidP="003754FE">
      <w:pPr>
        <w:pStyle w:val="TextoNormal"/>
      </w:pPr>
    </w:p>
    <w:p w14:paraId="142DB44C" w14:textId="77777777" w:rsidR="003754FE" w:rsidRDefault="003754FE" w:rsidP="003754FE">
      <w:pPr>
        <w:pStyle w:val="TextoNormal"/>
      </w:pPr>
      <w:r>
        <w:t>(xi) La sentencia del Tribunal Supremo, ratificando la de la Audiencia Provincial, considera que las actuaciones llevadas a cabo por los acusados son arbitrarias en el sentido previsto en el art. 404 CP y han sido dictadas a sabiendas de su injusticia. Según se argumenta en la sentencia dictada en casación, las normas aplicables “eran precisas” (fundamento de Derecho 30, pág. 294). Por ello, llega a la conclusión de que estamos ante un supuesto de “incontestable ilegalidad de las acciones llevadas a cabo” (fundamento 30, pág. 296).</w:t>
      </w:r>
    </w:p>
    <w:p w14:paraId="6B706517" w14:textId="77777777" w:rsidR="003754FE" w:rsidRDefault="003754FE" w:rsidP="003754FE">
      <w:pPr>
        <w:pStyle w:val="TextoNormal"/>
      </w:pPr>
    </w:p>
    <w:p w14:paraId="0CC4B128" w14:textId="77777777" w:rsidR="003754FE" w:rsidRDefault="003754FE" w:rsidP="003754FE">
      <w:pPr>
        <w:pStyle w:val="TextoNormal"/>
      </w:pPr>
      <w:r>
        <w:t xml:space="preserve">4.3. </w:t>
      </w:r>
      <w:r w:rsidRPr="003754FE">
        <w:rPr>
          <w:i/>
        </w:rPr>
        <w:t>Doctrina constitucional sobre el derecho a la legalidad penal (art. 25.1 CE)</w:t>
      </w:r>
    </w:p>
    <w:p w14:paraId="01CA73A3" w14:textId="77777777" w:rsidR="003754FE" w:rsidRDefault="003754FE" w:rsidP="003754FE">
      <w:pPr>
        <w:pStyle w:val="TextoNormal"/>
      </w:pPr>
    </w:p>
    <w:p w14:paraId="5231708C" w14:textId="77777777" w:rsidR="003754FE" w:rsidRDefault="003754FE" w:rsidP="003754FE">
      <w:pPr>
        <w:pStyle w:val="TextoNormal"/>
      </w:pPr>
      <w:r>
        <w:t>El enjuiciamiento de la vulneración del art. 25.1 CE exige tener presente la doctrina de este tribunal sobre el derecho a la legalidad penal que consagra, expuesta recientemente, por ejemplo, en las SSTC 14/2021, de 28 de enero, FJ 2; 25/2022, de 23 de febrero, FJ 7.2; 47/2022, de 24 de marzo, FJ 8.2.1; 54/2023, de 22 de mayo, FJ 3, y 8/2024, de 16 de enero, haciendo hincapié en la prohibición de interpretaciones y aplicaciones irrazonables de las normas penales.</w:t>
      </w:r>
    </w:p>
    <w:p w14:paraId="15BAE992" w14:textId="77777777" w:rsidR="003754FE" w:rsidRDefault="003754FE" w:rsidP="003754FE">
      <w:pPr>
        <w:pStyle w:val="TextoNormal"/>
      </w:pPr>
    </w:p>
    <w:p w14:paraId="0FE9DBB4" w14:textId="77777777" w:rsidR="003754FE" w:rsidRDefault="003754FE" w:rsidP="003754FE">
      <w:pPr>
        <w:pStyle w:val="TextoNormal"/>
      </w:pPr>
      <w:r>
        <w:t xml:space="preserve">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w:t>
      </w:r>
      <w:r>
        <w:lastRenderedPageBreak/>
        <w:t>competencia esenciales de los jueces y magistrados integrantes del Poder Judicial (art. 117.1 CE), se configura así como contenido de un derecho fundamental (art. 25.1 CE) (SSTC 137/1997, de 21 de julio, FJ 6; 151/1997, de 29 de septiembre, FJ 3; 232/1997, de 16 de diciembre, FJ 2, y 162/1999, de 27 de septiembre, FJ 5). En numerosas resoluciones (desde la STC 150/1989, de 25 de septiembre, FJ 6, hasta la STC 54/2023, de 22 de mayo, FJ 3, y, entre ellas, muchas intermedias) hemos puesto de relieve que el derecho reconocido en el art. 25.1 CE es una concreción de diversos aspectos del Estado de Derecho en el ámbito del Derecho estatal sancionador. Se vincula, ante todo, con el imperio de la ley como presupuesto de la actuación del Estado sobre los bienes jurídicos de los ciudadanos, pero también con el derecho de los ciudadanos a la seguridad jurídica, así como con la prohibición de la arbitrariedad y el derecho a la objetividad e imparcialidad del juicio de los tribunales, que garantizan el art. 24.2 y el art. 117.1 CE, especialmente cuando este declara que los jueces y magistrados están “sometidos únicamente al imperio de la ley”.</w:t>
      </w:r>
    </w:p>
    <w:p w14:paraId="69488457" w14:textId="77777777" w:rsidR="003754FE" w:rsidRDefault="003754FE" w:rsidP="003754FE">
      <w:pPr>
        <w:pStyle w:val="TextoNormal"/>
      </w:pPr>
    </w:p>
    <w:p w14:paraId="2CB68FD3" w14:textId="77777777" w:rsidR="003754FE" w:rsidRDefault="003754FE" w:rsidP="003754FE">
      <w:pPr>
        <w:pStyle w:val="TextoNormal"/>
      </w:pPr>
      <w:r>
        <w:t xml:space="preserve">Convergen en él diversos fundamentos. De un lado, la libertad, con la regla general de la licitud de lo no prohibido, y la seguridad jurídica, que exige saber a qué atenerse (SSTC 101/1988, de 8 de junio, FJ 3; 239/1988, de 14 de diciembre, FJ 2, o 215/2016, de 15 de diciembre, FJ 8). La previsibilidad de las consecuencias jurídicas de los propios actos resulta una exigencia material imprescindible para mantener la seguridad y, con ello, la libertad de actuación en niveles constitucionalmente admisibles. De otro lado, la exigencia de legitimidad democrática de las normas penales es garantía de intervención del pueblo en una decisión tan trascendental para sus derechos como la definición de la conducta prohibida bajo amenaza de pena (STC 142/1999, de 22 de julio, FJ 3). La garantía imbricada de la libertad y de la seguridad jurídica junto con su legitimación democrática operan como criterios rectores de la tarea de definir los contenidos del art. 25.1 CE, que hemos identificado con los diversos aspectos característicos enunciados con el brocardo </w:t>
      </w:r>
      <w:r w:rsidRPr="003754FE">
        <w:rPr>
          <w:i/>
        </w:rPr>
        <w:t>nullum crimen, nulla poena sine praevia lege scripta, certa et stricta</w:t>
      </w:r>
      <w:r>
        <w:t xml:space="preserve"> (en distintas formulaciones, entre muchas, SSTC 133/1987, de 21 de julio, FJ 4; 127/1990, de 5 de julio, FJ 3; 111/1993, de 25 de marzo, FJ 6; 53/1994, de 24 de febrero, FJ 4; 137/1997, FJ 6; 151/1997, FJ 3; 232/1997, FJ 2; 75/2002, de 8 de abril, FJ 4; 234/2007, de 5 de noviembre, FJ 3, y 14/2021, FJ 2).</w:t>
      </w:r>
    </w:p>
    <w:p w14:paraId="26880364" w14:textId="77777777" w:rsidR="003754FE" w:rsidRDefault="003754FE" w:rsidP="003754FE">
      <w:pPr>
        <w:pStyle w:val="TextoNormal"/>
      </w:pPr>
    </w:p>
    <w:p w14:paraId="66E4109C" w14:textId="77777777" w:rsidR="003754FE" w:rsidRDefault="003754FE" w:rsidP="003754FE">
      <w:pPr>
        <w:pStyle w:val="TextoNormal"/>
      </w:pPr>
      <w:r>
        <w:t>b) La primera garantía que contiene el principio de legalidad es la garantía formal, que impone una reserva de ley absoluta (STC 15/1981, de 7 de mayo, FJ 7) para definir delitos y para amenazarlos con penas, quedando así acotadas las fuentes del Derecho en materia penal [SSTC 142/1999, de 22 de julio,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w:t>
      </w:r>
      <w:r w:rsidRPr="003754FE">
        <w:rPr>
          <w:i/>
        </w:rPr>
        <w:t>lex praevia</w:t>
      </w:r>
      <w:r>
        <w:t>) que permitan predecir con el suficiente grado de certeza (</w:t>
      </w:r>
      <w:r w:rsidRPr="003754FE">
        <w:rPr>
          <w:i/>
        </w:rPr>
        <w:t>lex certa</w:t>
      </w:r>
      <w:r>
        <w:t>) dichas conductas, y se sepa a qué atenerse en cuanto a la aneja responsabilidad y a la eventual sanción” (SSTC 25/2004, de 26 de febrero, FJ 4; 218/2005, de 12 de septiembre, FJ 2; 297/2005, de 21 de noviembre, FJ 6, y 283/2006, de 9 de octubre, FJ 5).</w:t>
      </w:r>
    </w:p>
    <w:p w14:paraId="751E9A36" w14:textId="77777777" w:rsidR="003754FE" w:rsidRDefault="003754FE" w:rsidP="003754FE">
      <w:pPr>
        <w:pStyle w:val="TextoNormal"/>
      </w:pPr>
    </w:p>
    <w:p w14:paraId="3D3AEEDF" w14:textId="77777777" w:rsidR="003754FE" w:rsidRDefault="003754FE" w:rsidP="003754FE">
      <w:pPr>
        <w:pStyle w:val="TextoNormal"/>
      </w:pPr>
      <w:r>
        <w:t xml:space="preserve">c) En particular, la previsibilidad de las consecuencias de la propia conducta puede burlarse tanto por un legislador como por un juzgador que actúen desconociendo el sentido de garantía de la ley penal, bien por la formulación vaga e imprecisa de la misma, bien con su aplicación a supuestos no comprendidos en ella (SSTC 142/1999, FJ 3, y 24/2004, FJ 2). </w:t>
      </w:r>
      <w:r>
        <w:lastRenderedPageBreak/>
        <w:t>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w:t>
      </w:r>
      <w:r w:rsidRPr="003754FE">
        <w:rPr>
          <w:i/>
        </w:rPr>
        <w:t>lex certa</w:t>
      </w:r>
      <w:r>
        <w:t>), para que los ciudadanos puedan conocer de antemano el ámbito de lo proscrito y prever las consecuencias de sus acciones (SSTC 242/2005, de 10 de octubre, FJ 2; 283/2006, FJ 5; 162/2008, de 15 de diciembre, FJ 1; 81/2009, de 23 de marzo, FJ 4; 135/2010, de 2 de diciembre, FJ 4, y 9/2018, de 5 de febrero, FJ 6). Los jueces y tribunales, por su parte, están sometidos al principio de tipicidad (</w:t>
      </w:r>
      <w:r w:rsidRPr="003754FE">
        <w:rPr>
          <w:i/>
        </w:rPr>
        <w:t>lex stricta</w:t>
      </w:r>
      <w:r>
        <w:t>) en su labor de aplicación de las leyes, que implica una sujeción estricta a la ley penal y el veto a la exégesis y aplicación de las normas penales fuera de los supuestos y de los límites que determinan.</w:t>
      </w:r>
    </w:p>
    <w:p w14:paraId="7E3D63D1" w14:textId="77777777" w:rsidR="003754FE" w:rsidRDefault="003754FE" w:rsidP="003754FE">
      <w:pPr>
        <w:pStyle w:val="TextoNormal"/>
      </w:pPr>
    </w:p>
    <w:p w14:paraId="3DB9962A" w14:textId="77777777" w:rsidR="003754FE" w:rsidRDefault="003754FE" w:rsidP="003754FE">
      <w:pPr>
        <w:pStyle w:val="TextoNormal"/>
      </w:pPr>
      <w: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 La analogía </w:t>
      </w:r>
      <w:r w:rsidRPr="003754FE">
        <w:rPr>
          <w:i/>
        </w:rPr>
        <w:t>in malam partem</w:t>
      </w:r>
      <w:r>
        <w:t xml:space="preserve">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de 17 de marzo, FJ 4; 170/2002, de 30 de septiembre, FJ 12; 229/2003, de 18 de diciembre, FJ 6, y 229/2007, de 5 de noviembre, FJ 4).</w:t>
      </w:r>
    </w:p>
    <w:p w14:paraId="2EC3B310" w14:textId="77777777" w:rsidR="003754FE" w:rsidRDefault="003754FE" w:rsidP="003754FE">
      <w:pPr>
        <w:pStyle w:val="TextoNormal"/>
      </w:pPr>
    </w:p>
    <w:p w14:paraId="3D42864B" w14:textId="77777777" w:rsidR="003754FE" w:rsidRDefault="003754FE" w:rsidP="003754FE">
      <w:pPr>
        <w:pStyle w:val="TextoNormal"/>
      </w:pPr>
      <w:r>
        <w:t xml:space="preserve">e) El examen de la razonabilidad de la subsunción de los hechos probados en la norma penal tiene como primer criterio el respeto al tenor literal de la norma, y la consiguiente prohibición de la analogía </w:t>
      </w:r>
      <w:r w:rsidRPr="003754FE">
        <w:rPr>
          <w:i/>
        </w:rPr>
        <w:t>in malam partem</w:t>
      </w:r>
      <w:r>
        <w:t xml:space="preserve">. El tenor literal del enunciado normativo marca en todo caso una zona indudable de exclusión de comportamientos (STC 137/1997,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w:t>
      </w:r>
      <w:r>
        <w:lastRenderedPageBreak/>
        <w:t>129/2008, de 27 de octubre,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y 262/2006, de 11 de septiembre, FJ 4).</w:t>
      </w:r>
    </w:p>
    <w:p w14:paraId="381B7AE1" w14:textId="77777777" w:rsidR="003754FE" w:rsidRDefault="003754FE" w:rsidP="003754FE">
      <w:pPr>
        <w:pStyle w:val="TextoNormal"/>
      </w:pPr>
    </w:p>
    <w:p w14:paraId="36E29E54" w14:textId="77777777" w:rsidR="003754FE" w:rsidRDefault="003754FE" w:rsidP="003754FE">
      <w:pPr>
        <w:pStyle w:val="TextoNormal"/>
      </w:pPr>
      <w: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w:t>
      </w:r>
      <w:r w:rsidRPr="003754FE">
        <w:rPr>
          <w:i/>
        </w:rPr>
        <w:t>per se</w:t>
      </w:r>
      <w:r>
        <w:t xml:space="preserve"> nos es ajena y solo podrá ser tomada en cuenta en la medida en que incida en la irrazonabilidad de la interpretación judicial impugnada” (STC 129/2008, FJ 3).</w:t>
      </w:r>
    </w:p>
    <w:p w14:paraId="025E34CE" w14:textId="77777777" w:rsidR="003754FE" w:rsidRDefault="003754FE" w:rsidP="003754FE">
      <w:pPr>
        <w:pStyle w:val="TextoNormal"/>
      </w:pPr>
    </w:p>
    <w:p w14:paraId="24448023" w14:textId="77777777" w:rsidR="003754FE" w:rsidRDefault="003754FE" w:rsidP="003754FE">
      <w:pPr>
        <w:pStyle w:val="TextoNormal"/>
      </w:pPr>
      <w:r>
        <w:t xml:space="preserve">4.4. </w:t>
      </w:r>
      <w:r w:rsidRPr="003754FE">
        <w:rPr>
          <w:i/>
        </w:rPr>
        <w:t>Características de nuestra democracia constitucional y parlamentaria</w:t>
      </w:r>
    </w:p>
    <w:p w14:paraId="2AD864EB" w14:textId="77777777" w:rsidR="003754FE" w:rsidRDefault="003754FE" w:rsidP="003754FE">
      <w:pPr>
        <w:pStyle w:val="TextoNormal"/>
      </w:pPr>
    </w:p>
    <w:p w14:paraId="305199BE" w14:textId="77777777" w:rsidR="003754FE" w:rsidRDefault="003754FE" w:rsidP="003754FE">
      <w:pPr>
        <w:pStyle w:val="TextoNormal"/>
      </w:pPr>
      <w:r>
        <w:t>Una vez reseñados los razonamientos de la sentencia y expuesta la doctrina acerca del derecho a la legalidad penal, antes de analizar si la interpretación que de la norma aplicada efectúan las resoluciones impugnadas es lesiva del art. 25.1 CE, es preciso recordar cuáles son los elementos esenciales en los que se basa nuestro sistema constitucional, toda vez que el fundamento de la condena parte de una determinada comprensión de las relaciones entre el Ejecutivo autonómico y su Parlamento que trasciende del ámbito de la legalidad y se adentra en el plano de la constitucionalidad. Esta cuestión es de gran relevancia en este caso dado que el Tribunal apreció la especial trascendencia del recurso [art. 50.1 b) LOTC] por considerar que las cuestiones en él planteadas afectan a la esencia de las relaciones institucionales entre los poderes que conforman el Estado. En el ATC 285 /2023, de 5 de junio, FJ único, se afirma que, uno de los motivos por los que este recurso tiene especial trascendencia constitucional es porque “plantea un problema o afecta a una faceta de un derecho fundamental sobre el que no hay doctrina de este tribunal [STC 155/2009, de 25 de junio,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Es a este tribunal al que corresponde en último término la interpretación de las cuestiones que se plantean en este recurso, al ser inherentes a la configuración propia del Estado constitucional.</w:t>
      </w:r>
    </w:p>
    <w:p w14:paraId="6E68F1B7" w14:textId="77777777" w:rsidR="003754FE" w:rsidRDefault="003754FE" w:rsidP="003754FE">
      <w:pPr>
        <w:pStyle w:val="TextoNormal"/>
      </w:pPr>
    </w:p>
    <w:p w14:paraId="73EE52F5" w14:textId="77777777" w:rsidR="003754FE" w:rsidRDefault="003754FE" w:rsidP="003754FE">
      <w:pPr>
        <w:pStyle w:val="TextoNormal"/>
      </w:pPr>
      <w:r>
        <w:lastRenderedPageBreak/>
        <w:t>A) Por todo ello, la resolución del presente recurso de amparo exige partir de las consecuencias que se derivan de que nuestra forma de Estado sea una democracia constitucional y parlamentaria. Esta cuestión ha sido analizada en la STC 93/2024, de 19 de junio, FJ 4.3, por lo que ahora se va a exponer sucintamente la doctrina en ella contenida, con remisión a lo que en la referida sentencia se establece.</w:t>
      </w:r>
    </w:p>
    <w:p w14:paraId="01A95A97" w14:textId="77777777" w:rsidR="003754FE" w:rsidRDefault="003754FE" w:rsidP="003754FE">
      <w:pPr>
        <w:pStyle w:val="TextoNormal"/>
      </w:pPr>
    </w:p>
    <w:p w14:paraId="19675332" w14:textId="77777777" w:rsidR="003754FE" w:rsidRDefault="003754FE" w:rsidP="003754FE">
      <w:pPr>
        <w:pStyle w:val="TextoNormal"/>
      </w:pPr>
      <w:r>
        <w:t>a) La centralidad del Parlamento, el carácter privilegiado de la ley y el monopolio de control de su constitucionalidad por el Tribunal Constitucional definen nuestro sistema constitucional.</w:t>
      </w:r>
    </w:p>
    <w:p w14:paraId="1A30A5D8" w14:textId="77777777" w:rsidR="003754FE" w:rsidRDefault="003754FE" w:rsidP="003754FE">
      <w:pPr>
        <w:pStyle w:val="TextoNormal"/>
      </w:pPr>
    </w:p>
    <w:p w14:paraId="62CEC2E6" w14:textId="77777777" w:rsidR="003754FE" w:rsidRDefault="003754FE" w:rsidP="003754FE">
      <w:pPr>
        <w:pStyle w:val="TextoNormal"/>
      </w:pPr>
      <w:r>
        <w:t>b) Nuestra Constitución ha acogido la forma de gobierno parlamentaria. Ha delimitado, por una parte, las funciones del Parlamento (título III), por otra, las del Gobierno (título IV) y ha regulado y dedicado su título V a establecer las relaciones entre ambos poderes. La función de control del Gobierno que desempeñan los parlamentos (art. 66.2 CE) es inherente a su carácter representativo y a la forma de gobierno parlamentaria que se establece en el art. 1.3 CE. Solo de este modo se garantiza el equilibrio entre estos poderes previsto en nuestra norma fundamental.</w:t>
      </w:r>
    </w:p>
    <w:p w14:paraId="790251F0" w14:textId="77777777" w:rsidR="003754FE" w:rsidRDefault="003754FE" w:rsidP="003754FE">
      <w:pPr>
        <w:pStyle w:val="TextoNormal"/>
      </w:pPr>
    </w:p>
    <w:p w14:paraId="49CC4D7B" w14:textId="77777777" w:rsidR="003754FE" w:rsidRDefault="003754FE" w:rsidP="003754FE">
      <w:pPr>
        <w:pStyle w:val="TextoNormal"/>
      </w:pPr>
      <w:r>
        <w:t>c) La Constitución no define en qué consiste esta forma de control al Gobierno, pero una interpretación sistemática y teleológica ha llevado al Tribunal a entender que este control no se limita a los instrumentos que prevé su título V, sino que incluye también el que se ejerce a través de la función legislativa y, dentro de esta, de la función presupuestaria, al permitir el debate público y, de este modo, el conocimiento de los ciudadanos de la actuación del Gobierno.</w:t>
      </w:r>
    </w:p>
    <w:p w14:paraId="51D475D8" w14:textId="77777777" w:rsidR="003754FE" w:rsidRDefault="003754FE" w:rsidP="003754FE">
      <w:pPr>
        <w:pStyle w:val="TextoNormal"/>
      </w:pPr>
    </w:p>
    <w:p w14:paraId="3BA36955" w14:textId="77777777" w:rsidR="003754FE" w:rsidRDefault="003754FE" w:rsidP="003754FE">
      <w:pPr>
        <w:pStyle w:val="TextoNormal"/>
      </w:pPr>
      <w:r>
        <w:t xml:space="preserve">d) Uno de los modos de ejercer la función de </w:t>
      </w:r>
      <w:r w:rsidRPr="003754FE">
        <w:rPr>
          <w:i/>
        </w:rPr>
        <w:t>indirizzo politico</w:t>
      </w:r>
      <w:r>
        <w:t xml:space="preserve"> (orientación política) que constitucionalmente corresponde al Gobierno es el ejercicio de la iniciativa legislativa (art. 87.1 CE) y, a los efectos que ahora interesan, es especialmente relevante la iniciativa legislativa en materia presupuestaria que corresponde en exclusiva al Gobierno (art. 134.1 CE).</w:t>
      </w:r>
    </w:p>
    <w:p w14:paraId="0B59F83F" w14:textId="77777777" w:rsidR="003754FE" w:rsidRDefault="003754FE" w:rsidP="003754FE">
      <w:pPr>
        <w:pStyle w:val="TextoNormal"/>
      </w:pPr>
    </w:p>
    <w:p w14:paraId="1F592490" w14:textId="77777777" w:rsidR="003754FE" w:rsidRDefault="003754FE" w:rsidP="003754FE">
      <w:pPr>
        <w:pStyle w:val="TextoNormal"/>
      </w:pPr>
      <w:r>
        <w:t>e) La ley de presupuestos no es únicamente un conjunto de previsiones contables. También es un vehículo de dirección y orientación de la política económica que corresponde al Gobierno. Es, además, una “verdadera ley, considerando así superada la cuestión de su carácter formal o material” [STC 76/1992, de 14 de mayo, FJ 4 a)]. “[L]os presupuestos —en el sentido estricto de previsiones de ingresos y habilitaciones de gastos— y el articulado de la ley que los aprueba integran un todo cuyo contenido adquiere fuerza de ley [STC 76/1992, de 14 de mayo, FJ 4 a), que cita a su vez la STC 63/1986, de 21 de mayo, FJ 5]”. A través del debate parlamentario del proyecto de ley de presupuestos se fiscaliza el conjunto de la actividad financiera pública para ese ejercicio, se aprueba o se rechaza el programa político, económico y social del Gobierno que los presenta y se controla que la asignación de los recursos públicos sea equitativa. “Precisamente para que dicha función pueda ser realizada, al margen de un posible contenido eventual o disponible, la ley de presupuestos tiene un contenido constitucionalmente determinado que se concreta en la previsión de ingresos y la autorización de gastos, debiendo esta última extenderse tanto al quantum como a su destino” (STC 3/2003, de 16 de enero, FJ 7).</w:t>
      </w:r>
    </w:p>
    <w:p w14:paraId="5755338F" w14:textId="77777777" w:rsidR="003754FE" w:rsidRDefault="003754FE" w:rsidP="003754FE">
      <w:pPr>
        <w:pStyle w:val="TextoNormal"/>
      </w:pPr>
    </w:p>
    <w:p w14:paraId="4964F32F" w14:textId="77777777" w:rsidR="003754FE" w:rsidRDefault="003754FE" w:rsidP="003754FE">
      <w:pPr>
        <w:pStyle w:val="TextoNormal"/>
      </w:pPr>
      <w:r>
        <w:t xml:space="preserve">f) Del carácter central que la Constitución otorga al Parlamento deriva la posición privilegiada de la ley que conlleva su presunción de legitimidad constitucional y que determina </w:t>
      </w:r>
      <w:r>
        <w:lastRenderedPageBreak/>
        <w:t>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161.1 CE) o cuando la ley sea preconstitucional. A diferencia de las normas infralegales, que sí pueden ser inaplicadas (art. 6 LOPJ) o, en su caso, declaradas nulas por los órganos judiciales para garantizar la supremacía constitucional, cuando se trata de normas con rango de ley solo el Tribunal Constitucional tiene el monopolio de expulsarlas del ordenamiento jurídico con efecto</w:t>
      </w:r>
      <w:r w:rsidRPr="003754FE">
        <w:rPr>
          <w:i/>
        </w:rPr>
        <w:t>s erga omn</w:t>
      </w:r>
      <w:r>
        <w:t>es.</w:t>
      </w:r>
    </w:p>
    <w:p w14:paraId="58929133" w14:textId="77777777" w:rsidR="003754FE" w:rsidRDefault="003754FE" w:rsidP="003754FE">
      <w:pPr>
        <w:pStyle w:val="TextoNormal"/>
      </w:pPr>
    </w:p>
    <w:p w14:paraId="0B4B17DE" w14:textId="77777777" w:rsidR="003754FE" w:rsidRDefault="003754FE" w:rsidP="003754FE">
      <w:pPr>
        <w:pStyle w:val="TextoNormal"/>
      </w:pPr>
      <w:r>
        <w:t>B) Para la resolución de este recurso de amparo es importante también analizar la naturaleza jurídica de los anteproyectos y proyectos de ley. El ahora recurrente ha sido condenado por incurrir en un delito de prevaricación por participar, entre otras actuaciones, en la tramitación, en su condición consejero de Presidencia, en la elaboración de anteproyectos de las leyes de presupuestos para los ejercicios 2002 a 2009.</w:t>
      </w:r>
    </w:p>
    <w:p w14:paraId="4661EED4" w14:textId="77777777" w:rsidR="003754FE" w:rsidRDefault="003754FE" w:rsidP="003754FE">
      <w:pPr>
        <w:pStyle w:val="TextoNormal"/>
      </w:pPr>
    </w:p>
    <w:p w14:paraId="7E40C002" w14:textId="77777777" w:rsidR="003754FE" w:rsidRDefault="003754FE" w:rsidP="003754FE">
      <w:pPr>
        <w:pStyle w:val="TextoNormal"/>
      </w:pPr>
      <w:r>
        <w:t>a) En la STC 93/2024 y en la jurisprudencia allí citada el Tribunal ha establecido que los anteproyectos y proyectos de ley no pueden ser objeto de control jurídico.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 (ATC 135/2004, de 20 de abril, FJ 6).</w:t>
      </w:r>
    </w:p>
    <w:p w14:paraId="14FE0E24" w14:textId="77777777" w:rsidR="003754FE" w:rsidRDefault="003754FE" w:rsidP="003754FE">
      <w:pPr>
        <w:pStyle w:val="TextoNormal"/>
      </w:pPr>
    </w:p>
    <w:p w14:paraId="5336C116" w14:textId="77777777" w:rsidR="003754FE" w:rsidRDefault="003754FE" w:rsidP="003754FE">
      <w:pPr>
        <w:pStyle w:val="TextoNormal"/>
      </w:pPr>
      <w:r>
        <w:t xml:space="preserve">b) La iniciativa legislativa es el cauce institucionalizado para la modificación de las leyes y normas con rango de ley preexistentes. Por ello, como con detalle se expone en la STC 93/2024, FJ 4.3.4, “el proyecto [de ley] cuyo contenido contraviene la normativa existente mientras que es proyecto no puede someterse a un juicio de legalidad —en ese momento es un acto inexistente para el Derecho— y, una vez que se ha aprobado, al haberse convertido en ley, el único juicio que cabe es el de constitucionalidad. Este juicio solo puede efectuarse respecto de la ley aprobada, no respecto de los actos que conforman su procedimiento de elaboración, que nunca tienen eficacia </w:t>
      </w:r>
      <w:r w:rsidRPr="003754FE">
        <w:rPr>
          <w:i/>
        </w:rPr>
        <w:t>ad extra</w:t>
      </w:r>
      <w:r>
        <w:t xml:space="preserve"> y, como meros actos de trámite, una vez dictado el acto final, esto es, la ley, carecen de autonomía respecto de ella”.</w:t>
      </w:r>
    </w:p>
    <w:p w14:paraId="1A19337D" w14:textId="77777777" w:rsidR="003754FE" w:rsidRDefault="003754FE" w:rsidP="003754FE">
      <w:pPr>
        <w:pStyle w:val="TextoNormal"/>
      </w:pPr>
    </w:p>
    <w:p w14:paraId="4F5655F5" w14:textId="77777777" w:rsidR="003754FE" w:rsidRDefault="003754FE" w:rsidP="003754FE">
      <w:pPr>
        <w:pStyle w:val="TextoNormal"/>
      </w:pPr>
      <w:r>
        <w:t>c) Resulta, por tanto, que “el contenido del anteproyecto o del proyecto, en tanto tales, es fiscalizable y no puede ejercerse más control que el político” (STC 93/2024, FJ 4.3.3, que cita, a su vez, el ATC 135/2004, de 20 de abril, FJ 6).</w:t>
      </w:r>
    </w:p>
    <w:p w14:paraId="49C4E0E4" w14:textId="77777777" w:rsidR="003754FE" w:rsidRDefault="003754FE" w:rsidP="003754FE">
      <w:pPr>
        <w:pStyle w:val="TextoNormal"/>
      </w:pPr>
    </w:p>
    <w:p w14:paraId="2E87E1F0" w14:textId="77777777" w:rsidR="003754FE" w:rsidRDefault="003754FE" w:rsidP="003754FE">
      <w:pPr>
        <w:pStyle w:val="TextoNormal"/>
      </w:pPr>
      <w:r>
        <w:t xml:space="preserve">C) “El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por un ámbito material, sino también por la forma en que han de relacionarse entre ellos. Cuando un poder del Estado se extralimita en el ejercicio de sus atribuciones se infringe el principio de separación de </w:t>
      </w:r>
      <w:r>
        <w:lastRenderedPageBreak/>
        <w:t>poderes y se altera el diseño institucional constitucionalmente previsto” (STC 93/2024, FJ 4.3.5).</w:t>
      </w:r>
    </w:p>
    <w:p w14:paraId="6FE4FF05" w14:textId="77777777" w:rsidR="003754FE" w:rsidRDefault="003754FE" w:rsidP="003754FE">
      <w:pPr>
        <w:pStyle w:val="TextoNormal"/>
      </w:pPr>
    </w:p>
    <w:p w14:paraId="22FDC6C6" w14:textId="77777777" w:rsidR="003754FE" w:rsidRDefault="003754FE" w:rsidP="003754FE">
      <w:pPr>
        <w:pStyle w:val="TextoNormal"/>
      </w:pPr>
      <w:r>
        <w:t>4.5</w:t>
      </w:r>
      <w:r w:rsidRPr="003754FE">
        <w:rPr>
          <w:i/>
        </w:rPr>
        <w:t>. Enjuiciamiento de la que</w:t>
      </w:r>
      <w:r>
        <w:t>ja</w:t>
      </w:r>
    </w:p>
    <w:p w14:paraId="5439E73C" w14:textId="77777777" w:rsidR="003754FE" w:rsidRDefault="003754FE" w:rsidP="003754FE">
      <w:pPr>
        <w:pStyle w:val="TextoNormal"/>
      </w:pPr>
    </w:p>
    <w:p w14:paraId="05304540" w14:textId="77777777" w:rsidR="003754FE" w:rsidRDefault="003754FE" w:rsidP="003754FE">
      <w:pPr>
        <w:pStyle w:val="TextoNormal"/>
      </w:pPr>
      <w:r>
        <w:t>Una vez expuestos los fundamentos de la condena del recurrente por el delito de prevaricación, así como los rasgos esenciales de nuestra democracia constitucional y parlamentaria, —sobre esta cuestión, como se acaba de indicar, se ha efectuado una mera síntesis de lo establecido por el Tribunal en la STC 93/2024, FJ 4.3— se van a enjuiciar las quejas aducidas por el demandante en relación con su condena por el delito de prevaricación.</w:t>
      </w:r>
    </w:p>
    <w:p w14:paraId="6FDB99D9" w14:textId="77777777" w:rsidR="003754FE" w:rsidRDefault="003754FE" w:rsidP="003754FE">
      <w:pPr>
        <w:pStyle w:val="TextoNormal"/>
      </w:pPr>
    </w:p>
    <w:p w14:paraId="5FD0545B" w14:textId="77777777" w:rsidR="003754FE" w:rsidRDefault="003754FE" w:rsidP="003754FE">
      <w:pPr>
        <w:pStyle w:val="TextoNormal"/>
      </w:pPr>
      <w:r>
        <w:t>Para ello, han de distinguirse los diferentes hechos por los que ha sido condenado como autor de un delito continuado de prevaricación: (A) participar en la elaboración de los anteproyectos de presupuestos para los ejercicios de los ejercicios 2002 a 2009, así como en su aprobación como proyectos de ley por el Consejo de Gobierno; (B) participar en la tramitación y elevación al Consejo de Gobierno de las modificaciones presupuestarias de 2000 a 2008 antes expuestas (FJ 2.4).</w:t>
      </w:r>
    </w:p>
    <w:p w14:paraId="1BD9CF08" w14:textId="77777777" w:rsidR="003754FE" w:rsidRDefault="003754FE" w:rsidP="003754FE">
      <w:pPr>
        <w:pStyle w:val="TextoNormal"/>
      </w:pPr>
    </w:p>
    <w:p w14:paraId="793D2884" w14:textId="77777777" w:rsidR="003754FE" w:rsidRDefault="003754FE" w:rsidP="003754FE">
      <w:pPr>
        <w:pStyle w:val="TextoNormal"/>
      </w:pPr>
      <w:r>
        <w:t>A) La elaboración de los anteproyectos de ley de presupuestos para los ejercicios 2002 a 2009 y su aprobación como proyectos de ley</w:t>
      </w:r>
    </w:p>
    <w:p w14:paraId="02DEC437" w14:textId="77777777" w:rsidR="003754FE" w:rsidRDefault="003754FE" w:rsidP="003754FE">
      <w:pPr>
        <w:pStyle w:val="TextoNormal"/>
      </w:pPr>
    </w:p>
    <w:p w14:paraId="4F6BE83C" w14:textId="77777777" w:rsidR="003754FE" w:rsidRDefault="003754FE" w:rsidP="003754FE">
      <w:pPr>
        <w:pStyle w:val="TextoNormal"/>
      </w:pPr>
      <w:r>
        <w:t>a) A efectos de apreciar si los órganos judiciales han realizado una interpretación extensiva de los elementos típicos del art. 404 CP y han vulnerado por ello el art. 25.1 CE, como alega el recurrente, es preciso examinar, en primer lugar, si la interpretación que las sentencias recurridas han realizado de los conceptos “resolución arbitraria en un asunto administrativo” (art. 404 CP) es o no lesiva del art. 25.1 CE. Para ello, es necesario atender a la naturaleza jurídica de los anteproyectos de ley.</w:t>
      </w:r>
    </w:p>
    <w:p w14:paraId="4FABCE9E" w14:textId="77777777" w:rsidR="003754FE" w:rsidRDefault="003754FE" w:rsidP="003754FE">
      <w:pPr>
        <w:pStyle w:val="TextoNormal"/>
      </w:pPr>
    </w:p>
    <w:p w14:paraId="1747023F" w14:textId="77777777" w:rsidR="003754FE" w:rsidRDefault="003754FE" w:rsidP="003754FE">
      <w:pPr>
        <w:pStyle w:val="TextoNormal"/>
      </w:pPr>
      <w:r>
        <w:t>De conformidad con lo dispuesto en la STC 93/2024, es claro “que las actuaciones realizadas cuando el Gobierno ejerce la iniciativa legislativa no pueden considerarse en modo alguno una actuación administrativa”, sino una “actividad propia de la función de gobierno en sentido estricto, pues es una prerrogativa que corresponde al Gobierno en virtud de su posición institucional, no a la organización a su servicio, que es la administración pública” [FJ 4.4.1 a)]. Como ya ha afirmado el Tribunal en la citada STC 93/2024, dichas actuaciones ni tienen el carácter de definitivas ni el hecho de que existan normas que disciplinen cómo han de elaborarse los proyectos de ley y su aprobación como proyecto de ley los convierte en actos reglados. De lo anterior se deduce “que el contenido de los anteproyectos y proyectos de ley no puede ser objeto de control por ningún órgano judicial.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[FJ 4.4.1 a)].</w:t>
      </w:r>
    </w:p>
    <w:p w14:paraId="704D5E33" w14:textId="77777777" w:rsidR="003754FE" w:rsidRDefault="003754FE" w:rsidP="003754FE">
      <w:pPr>
        <w:pStyle w:val="TextoNormal"/>
      </w:pPr>
    </w:p>
    <w:p w14:paraId="40C27C68" w14:textId="77777777" w:rsidR="003754FE" w:rsidRDefault="003754FE" w:rsidP="003754FE">
      <w:pPr>
        <w:pStyle w:val="TextoNormal"/>
      </w:pPr>
      <w:r>
        <w:t xml:space="preserve">Las consideraciones que acaban de hacerse son incompatibles con las contenidas en las sentencias recurridas en las que se sostiene que las actuaciones realizadas con ocasión de la participación en la elaboración de los anteproyectos de ley de presupuestos y su aprobación como proyecto de ley —las actuaciones prelegislativas, en terminología de las resoluciones </w:t>
      </w:r>
      <w:r>
        <w:lastRenderedPageBreak/>
        <w:t>impugnadas— han de calificarse como resoluciones recaídas en un asunto administrativo para apreciar que concurren los elementos típicos del delito de prevaricación (art. 404 CP).</w:t>
      </w:r>
    </w:p>
    <w:p w14:paraId="1FE76C4A" w14:textId="77777777" w:rsidR="003754FE" w:rsidRDefault="003754FE" w:rsidP="003754FE">
      <w:pPr>
        <w:pStyle w:val="TextoNormal"/>
      </w:pPr>
    </w:p>
    <w:p w14:paraId="5F720D77" w14:textId="77777777" w:rsidR="003754FE" w:rsidRDefault="003754FE" w:rsidP="003754FE">
      <w:pPr>
        <w:pStyle w:val="TextoNormal"/>
      </w:pPr>
      <w:r>
        <w:t>Por lo expuesto, no cabe considerar que la participación del demandante en la aprobación de anteproyectos de ley de presupuestos y su aprobación como proyectos de ley pueda ser calificada como resoluciones recaídas en asunto administrativo. Al haberlo entendido así las sentencias impugnadas han incurrido en una interpretación extravagante e imprevisible de los elementos típicos “resolución” y “asunto administrativo” que vulnera el derecho fundamental a la legalidad penal que garantiza el art. 25.1 CE.</w:t>
      </w:r>
    </w:p>
    <w:p w14:paraId="5D314B3B" w14:textId="77777777" w:rsidR="003754FE" w:rsidRDefault="003754FE" w:rsidP="003754FE">
      <w:pPr>
        <w:pStyle w:val="TextoNormal"/>
      </w:pPr>
    </w:p>
    <w:p w14:paraId="2C743964" w14:textId="77777777" w:rsidR="003754FE" w:rsidRDefault="003754FE" w:rsidP="003754FE">
      <w:pPr>
        <w:pStyle w:val="TextoNormal"/>
      </w:pPr>
      <w:r>
        <w:t>b) Por otra parte, el recurrente ha alegado que, en contra de lo afirmado en las sentencias impugnadas, los anteproyectos y proyectos de ley, debido a que se encuentran en fase de elaboración, no pueden considerarse ilegales. Según se afirma en la demanda, cualquier proyecto de ley que modifique lo dispuesto en una ley vigente contraviene esta precisamente porque la iniciativa tiene por objeto modificar el ordenamiento jurídico si el Parlamento así lo aprueba. Entiende que en este caso el Parlamento aprobó las leyes de presupuestos por lo que el único control que cabe de las mismas es de constitucionalidad y no el realizado por los órganos judiciales sobre los anteproyectos y proyectos de ley.</w:t>
      </w:r>
    </w:p>
    <w:p w14:paraId="51414E31" w14:textId="77777777" w:rsidR="003754FE" w:rsidRDefault="003754FE" w:rsidP="003754FE">
      <w:pPr>
        <w:pStyle w:val="TextoNormal"/>
      </w:pPr>
    </w:p>
    <w:p w14:paraId="39334C27" w14:textId="77777777" w:rsidR="003754FE" w:rsidRDefault="003754FE" w:rsidP="003754FE">
      <w:pPr>
        <w:pStyle w:val="TextoNormal"/>
      </w:pPr>
      <w:r>
        <w:t>En efecto, la forma de razonar de las sentencias recurridas, como ya se puso de relieve en la STC 93/2024, FJ 4.4.1 b), supone “privar de toda relevancia a la aprobación parlamentaria de la ley, lo que conlleva desconocer la centralidad del Parlamento andaluz en el entramado institucional diseñado estatutariamente”.</w:t>
      </w:r>
    </w:p>
    <w:p w14:paraId="3413AF7C" w14:textId="77777777" w:rsidR="003754FE" w:rsidRDefault="003754FE" w:rsidP="003754FE">
      <w:pPr>
        <w:pStyle w:val="TextoNormal"/>
      </w:pPr>
    </w:p>
    <w:p w14:paraId="3B9CA03E" w14:textId="77777777" w:rsidR="003754FE" w:rsidRDefault="003754FE" w:rsidP="003754FE">
      <w:pPr>
        <w:pStyle w:val="TextoNormal"/>
      </w:pPr>
      <w:r>
        <w:t>De acuerdo con lo establecido en la STC 93/2024, FJ 4.4.1 b), “la ley de presupuestos generales es una ley que tiene la misma naturaleza normativa que el resto de las leyes. En la STC 76/1992, de 14 de mayo, FJ 4 a), el Tribunal afirmó que ‘se trata de una verdadera ley, considerando así superada la cuestión de su carácter formal o material’. Por ello, los jueces, que están sometidos al imperio de la ley (art. 117.1 CE), tienen el deber de respetarla cualquiera que sea el juicio que su contenido les merezca. Solo cuando consideran que es inconstitucional y que de su validez depende el fallo de un asunto deben plantear cuestión de inconstitucionalidad, pero fuera de este supuesto no podrán cuestionar sus determinaciones y, menos aún, no tomarla en consideración”.</w:t>
      </w:r>
    </w:p>
    <w:p w14:paraId="0A752286" w14:textId="77777777" w:rsidR="003754FE" w:rsidRDefault="003754FE" w:rsidP="003754FE">
      <w:pPr>
        <w:pStyle w:val="TextoNormal"/>
      </w:pPr>
    </w:p>
    <w:p w14:paraId="5C6040CC" w14:textId="77777777" w:rsidR="003754FE" w:rsidRDefault="003754FE" w:rsidP="003754FE">
      <w:pPr>
        <w:pStyle w:val="TextoNormal"/>
      </w:pPr>
      <w:r>
        <w:t>Es indubitado que las leyes de presupuestos de Andalucía para los ejercicios 2002 al 2009, en su programa 31L, establecieron un sistema de atribución de fondos al IFA/IDEA (las transferencias de financiación) para la concesión de ayudas sociolaborales que, de acuerdo con lo establecido en sus memorias, habilitaban a la administración autonómica a conceder estas ayudas por tal vía.</w:t>
      </w:r>
    </w:p>
    <w:p w14:paraId="439CD016" w14:textId="77777777" w:rsidR="003754FE" w:rsidRDefault="003754FE" w:rsidP="003754FE">
      <w:pPr>
        <w:pStyle w:val="TextoNormal"/>
      </w:pPr>
    </w:p>
    <w:p w14:paraId="3B91ED42" w14:textId="77777777" w:rsidR="003754FE" w:rsidRDefault="003754FE" w:rsidP="003754FE">
      <w:pPr>
        <w:pStyle w:val="TextoNormal"/>
      </w:pPr>
      <w:r>
        <w:t>Las resoluciones impugnadas, al no reconocer que las leyes de presupuestos para los ejercicios 2002 al 2009 contienen una previsión —la establecida en el programa 31L— que dotaban de fondos al IFA/IDEA (las transferencias de financiación) para la concesión de ayudas sociolaborales que habilitaban a la administración autonómica a conceder estas ayudas por tal vía, han efectuado, también por este motivo, una interpretación absolutamente imprevisible del elemento típico arbitrariedad lesiva del art. 25.1 CE.</w:t>
      </w:r>
    </w:p>
    <w:p w14:paraId="2662291A" w14:textId="77777777" w:rsidR="003754FE" w:rsidRDefault="003754FE" w:rsidP="003754FE">
      <w:pPr>
        <w:pStyle w:val="TextoNormal"/>
      </w:pPr>
    </w:p>
    <w:p w14:paraId="0497FAEE" w14:textId="77777777" w:rsidR="003754FE" w:rsidRDefault="003754FE" w:rsidP="003754FE">
      <w:pPr>
        <w:pStyle w:val="TextoNormal"/>
      </w:pPr>
      <w:r>
        <w:lastRenderedPageBreak/>
        <w:t>En suma, como ha afirmado el tribunal en relación con esta misma cuestión en la STC 93/2024, y por las razones allí expuestas, ha de concluirse que la apreciación de los elementos típicos del art. 404 CP efectuada por las resoluciones impugnadas respecto de la elaboración y elevación al Consejo de Gobierno de los anteproyectos de leyes de presupuestos es contraria al art. 25.1 CE.</w:t>
      </w:r>
    </w:p>
    <w:p w14:paraId="7D4249B2" w14:textId="77777777" w:rsidR="003754FE" w:rsidRDefault="003754FE" w:rsidP="003754FE">
      <w:pPr>
        <w:pStyle w:val="TextoNormal"/>
      </w:pPr>
    </w:p>
    <w:p w14:paraId="191625BF" w14:textId="77777777" w:rsidR="003754FE" w:rsidRDefault="003754FE" w:rsidP="003754FE">
      <w:pPr>
        <w:pStyle w:val="TextoNormal"/>
      </w:pPr>
      <w:r>
        <w:t>B) Las modificaciones presupuestarias</w:t>
      </w:r>
    </w:p>
    <w:p w14:paraId="410852DB" w14:textId="77777777" w:rsidR="003754FE" w:rsidRDefault="003754FE" w:rsidP="003754FE">
      <w:pPr>
        <w:pStyle w:val="TextoNormal"/>
      </w:pPr>
    </w:p>
    <w:p w14:paraId="2E9B6584" w14:textId="77777777" w:rsidR="003754FE" w:rsidRDefault="003754FE" w:rsidP="003754FE">
      <w:pPr>
        <w:pStyle w:val="TextoNormal"/>
      </w:pPr>
      <w:r>
        <w:t>Como ya se ha señalado en este mismo fundamento jurídico, apartado 4.1, el recurrente fue condenado como autor de un delito continuado de prevaricación por haber tramitado y elevado al Consejo de Gobierno modificaciones presupuestarias en los ejercicios 2000 a 2008. Las modificaciones llevadas a cabo en los ejercicios 2000 y 2001 afectaron al programa presupuestario 22E; la realizada en 2004 afectó al programa 32H, y el resto, esto es, las realizadas de 2002 a 2008 afectaron al programa 31L.</w:t>
      </w:r>
    </w:p>
    <w:p w14:paraId="7817E317" w14:textId="77777777" w:rsidR="003754FE" w:rsidRDefault="003754FE" w:rsidP="003754FE">
      <w:pPr>
        <w:pStyle w:val="TextoNormal"/>
      </w:pPr>
    </w:p>
    <w:p w14:paraId="0ECCBD4C" w14:textId="77777777" w:rsidR="003754FE" w:rsidRDefault="003754FE" w:rsidP="003754FE">
      <w:pPr>
        <w:pStyle w:val="TextoNormal"/>
      </w:pPr>
      <w:r>
        <w:t>Respecto de estas últimas —las relativas al programa 31L— y las que afectaron al programa 22E —realizadas en 2000 y 2001—, las sentencias impugnadas afirman que se aprobaron incumpliendo las normas de estructura presupuestaria y clasificación del gasto establecidas en la Orden de la Consejería de Hacienda de 22 de mayo de 1998. Sin embargo, por lo que se refiere a la modificación presupuestaria aprobada para el pago de ayudas sociolaborales por el Consejo de Gobierno el día 9 de diciembre de 2004 en el programa 32H (“Dirección y servicios generales del Servicio Andaluz de Empleo”), las resoluciones recurridas consideran que los fines de dicho programa eran por completo ajenos a la finalidad a la que se dedicaron, por lo que la califican de ilegal.</w:t>
      </w:r>
    </w:p>
    <w:p w14:paraId="5083B227" w14:textId="77777777" w:rsidR="003754FE" w:rsidRDefault="003754FE" w:rsidP="003754FE">
      <w:pPr>
        <w:pStyle w:val="TextoNormal"/>
      </w:pPr>
    </w:p>
    <w:p w14:paraId="12AD340C" w14:textId="77777777" w:rsidR="003754FE" w:rsidRDefault="003754FE" w:rsidP="003754FE">
      <w:pPr>
        <w:pStyle w:val="TextoNormal"/>
      </w:pPr>
      <w:r>
        <w:t>Del mismo modo que se acaba de hacer respecto de los anteproyectos y proyectos de ley, procede analizar si las resoluciones judiciales impugnadas han realizado una interpretación imprevisible del delito de prevaricación (art. 404 CP) —y por ello contraria al art. 25.1 CE—, al considerar que las modificaciones presupuestarias son “resoluciones” “arbitrarias” dictadas en “asunto administrativo”.</w:t>
      </w:r>
    </w:p>
    <w:p w14:paraId="6EB7D75D" w14:textId="77777777" w:rsidR="003754FE" w:rsidRDefault="003754FE" w:rsidP="003754FE">
      <w:pPr>
        <w:pStyle w:val="TextoNormal"/>
      </w:pPr>
    </w:p>
    <w:p w14:paraId="7E885DC4" w14:textId="77777777" w:rsidR="003754FE" w:rsidRDefault="003754FE" w:rsidP="003754FE">
      <w:pPr>
        <w:pStyle w:val="TextoNormal"/>
      </w:pPr>
      <w:r>
        <w:t>En la STC 93/2024, FJ 4.4.2, respecto de las modificaciones presupuestarias, se afirmó que “[c]alificar estos actos como administrativos entra dentro de los márgenes de interpretación admisibles en Derecho, dado que no existe norma ni principio alguno que impida llegar a esta conclusión”. Por los motivos allí expuestos, a los que también procede ahora remitirse, no constituye una interpretación imprevisible ni extravagante del elemento típico “resolución dictada en asunto administrativo” del art. 404 CP calificar a las modificaciones presupuestarias como actos administrativos.</w:t>
      </w:r>
    </w:p>
    <w:p w14:paraId="28F97620" w14:textId="77777777" w:rsidR="003754FE" w:rsidRDefault="003754FE" w:rsidP="003754FE">
      <w:pPr>
        <w:pStyle w:val="TextoNormal"/>
      </w:pPr>
    </w:p>
    <w:p w14:paraId="01C87808" w14:textId="77777777" w:rsidR="003754FE" w:rsidRDefault="003754FE" w:rsidP="003754FE">
      <w:pPr>
        <w:pStyle w:val="TextoNormal"/>
      </w:pPr>
      <w:r>
        <w:t xml:space="preserve">Cuestión distinta es si esta clase de actos pueden considerarse arbitrarios. Las sentencias recurridas así lo consideran. Por lo que se refiere a las modificaciones presupuestarias de los programas 22E y 31L, las resoluciones judiciales recurridas sostienen que se realizaron prescindiendo de las exigencias procedimentales y materiales con el fin de eludir los controles exigidos por la normativa subvencional (sentencia del Tribunal Supremo, fundamento de Derecho 24.2, págs. 265 a 271). En efecto, tanto la Audiencia Provincial como el Tribunal Supremo llegan a la conclusión de que las modificaciones presupuestarias efectuadas no respetan la normativa presupuestaria, en particular la Orden de la Consejería de Hacienda de 22 de mayo de 1998, y por ello aprecian su manifiesta ilegalidad. Asimismo, y por lo que </w:t>
      </w:r>
      <w:r>
        <w:lastRenderedPageBreak/>
        <w:t>se refiere a la modificación presupuestaria aprobada por el Consejo de Gobierno el día 9 de diciembre de 2004 en el programa 32H (“Dirección y servicios generales del Servicio Andaluz de Empleo”), las resoluciones recurridas consideran que los fines de dicho programa eran por completo ajenos a la finalidad a la que se dedicaron, por lo que la califican de ilegal. En la STC 93/2024, FJ 4.4.2, se sostiene que aunque no es función del Tribunal enjuiciar la corrección jurídica de dicha apreciación, “sí entra dentro de sus atribuciones el efectuar un juicio externo de las razones que llevan a los órganos judiciales a resolver en el sentido expuesto, pues solo de este modo puede verificarse que las resoluciones judiciales, al calificar como manifiestamente ilegales las modificaciones presupuestarias efectuadas, no han desbordado los límites que impone el art. 25.1 CE”.</w:t>
      </w:r>
    </w:p>
    <w:p w14:paraId="6B7307FE" w14:textId="77777777" w:rsidR="003754FE" w:rsidRDefault="003754FE" w:rsidP="003754FE">
      <w:pPr>
        <w:pStyle w:val="TextoNormal"/>
      </w:pPr>
    </w:p>
    <w:p w14:paraId="506652B9" w14:textId="77777777" w:rsidR="003754FE" w:rsidRDefault="003754FE" w:rsidP="003754FE">
      <w:pPr>
        <w:pStyle w:val="TextoNormal"/>
      </w:pPr>
      <w:r>
        <w:t>El Tribunal consideró en el FJ 4.4.2 de la mencionada sentencia que para hacer tal juicio externo no puede desconocerse que, desde el año 2002, se incluyó en las leyes de presupuestos el programa 31L, que tiene por objeto otorgar transferencias de financiación al IFA/IDEA en materia de relaciones laborales. En los documentos que acompañan a dichas leyes, “en particular, en las memorias —transcritas en sus pasajes más relevantes en las sentencias que ahora se recurren— se hace referencia a la finalidad que con ese programa se pretende, quién ha de ejecutarlo y cómo debe hacerlo”. Estos datos, a los que ahora procede remitirse, quedaron expuestos en la STC 93/2024, FJ 4.4.2.</w:t>
      </w:r>
    </w:p>
    <w:p w14:paraId="59950EFA" w14:textId="77777777" w:rsidR="003754FE" w:rsidRDefault="003754FE" w:rsidP="003754FE">
      <w:pPr>
        <w:pStyle w:val="TextoNormal"/>
      </w:pPr>
    </w:p>
    <w:p w14:paraId="48A46057" w14:textId="77777777" w:rsidR="003754FE" w:rsidRDefault="003754FE" w:rsidP="003754FE">
      <w:pPr>
        <w:pStyle w:val="TextoNormal"/>
      </w:pPr>
      <w:r>
        <w:t>El Tribunal concluyó que los órganos judiciales, al interpretar el elemento típico “arbitraria” del art. 404 CP, debieron haber tomado en consideración el cambio de presupuestación antes referido —aprobado a partir del año 2002—. Al no hacerlo, resulta imprevisible considerar manifiestamente ilegales actos las modificaciones presupuestarias dictados al amparo del programa 31L incluido en las leyes de presupuestos.</w:t>
      </w:r>
    </w:p>
    <w:p w14:paraId="50E16A2B" w14:textId="77777777" w:rsidR="003754FE" w:rsidRDefault="003754FE" w:rsidP="003754FE">
      <w:pPr>
        <w:pStyle w:val="TextoNormal"/>
      </w:pPr>
    </w:p>
    <w:p w14:paraId="146E9CE1" w14:textId="77777777" w:rsidR="003754FE" w:rsidRDefault="003754FE" w:rsidP="003754FE">
      <w:pPr>
        <w:pStyle w:val="TextoNormal"/>
      </w:pPr>
      <w:r>
        <w:t>Una vez expuesta la doctrina que debe aplicarse a este extremo, procede examinar si las modificaciones presupuestarias en las que participó el demandante de amparo tenían cobertura en el programa 31L. Como ya se ha expuesto en el fundamento jurídico 2.4, se afirma en las resoluciones judiciales que el recurrente participó en la elaboración de las siguientes modificaciones presupuestarias que se destinaron al pago de ayudas sociolaborales:</w:t>
      </w:r>
    </w:p>
    <w:p w14:paraId="79A70A51" w14:textId="77777777" w:rsidR="003754FE" w:rsidRDefault="003754FE" w:rsidP="003754FE">
      <w:pPr>
        <w:pStyle w:val="TextoNormal"/>
      </w:pPr>
    </w:p>
    <w:p w14:paraId="16D7B32E" w14:textId="77777777" w:rsidR="003754FE" w:rsidRDefault="003754FE" w:rsidP="003754FE">
      <w:pPr>
        <w:pStyle w:val="TextoNormal"/>
      </w:pPr>
      <w:r>
        <w:t>(i) cinco modificaciones presupuestarias realizadas en los ejercicios 2000 y 2001 por las que se incrementó la partida 22E. Dichas modificaciones fueron aprobadas por el Consejo de Gobierno el 18 de abril de 2000, por las que se incrementó en 257 000 000 pesetas la aplicación presupuestaria 440.12.22E, dando de baja la aplicación 472.00.22E; el 28 de julio de 2000, por la que se incrementó en 904 000 000 pesetas la aplicación 440.01.22E, dando de baja la aplicación 481.00.223; el 29 de mayo de 2001, por la se incrementó en 5 573 000 pesetas la partida 440.00.22E, dando de baja otros conceptos; el 18 de septiembre de 2001, por la se incrementó en 1 250 000.000 pesetas la aplicación 440.00.22E, dando de baja la aplicación 486.00.22E, y el 13 de noviembre de 2001, por la que se incrementó en 660 000 000 pesetas la aplicación 440.00.22E, dando de baja la aplicación 486.00.22E;</w:t>
      </w:r>
    </w:p>
    <w:p w14:paraId="142B2127" w14:textId="77777777" w:rsidR="003754FE" w:rsidRDefault="003754FE" w:rsidP="003754FE">
      <w:pPr>
        <w:pStyle w:val="TextoNormal"/>
      </w:pPr>
    </w:p>
    <w:p w14:paraId="0F346759" w14:textId="77777777" w:rsidR="003754FE" w:rsidRDefault="003754FE" w:rsidP="003754FE">
      <w:pPr>
        <w:pStyle w:val="TextoNormal"/>
      </w:pPr>
      <w:r>
        <w:t xml:space="preserve">(ii) siete modificaciones presupuestarias por las que se incrementaba la partida 31L en la aplicación presupuestaria 440.51 o 740.51. Dichas modificaciones presupuestarias fueron aprobadas por el Consejo de Gobierno el 15 de octubre de 2002 por cuantía de 9 944 099 €; el 7 de diciembre de 2005 por cuantía de 799 895,97 €; el 7 de noviembre de 2006, por cuantía de 9 300 000 €; el 27 de noviembre de 2007, por cuantía de 7 448 503,44 € y tres </w:t>
      </w:r>
      <w:r>
        <w:lastRenderedPageBreak/>
        <w:t>modificaciones presupuestarias el día 22 de diciembre de 2008 por cuantía de 1 253 853,89 €, otra por importe de 6 011 836,20 € y la tercera por importe de 8 000 000 €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w:t>
      </w:r>
    </w:p>
    <w:p w14:paraId="485DEF6F" w14:textId="77777777" w:rsidR="003754FE" w:rsidRDefault="003754FE" w:rsidP="003754FE">
      <w:pPr>
        <w:pStyle w:val="TextoNormal"/>
      </w:pPr>
    </w:p>
    <w:p w14:paraId="372A3106" w14:textId="77777777" w:rsidR="003754FE" w:rsidRDefault="003754FE" w:rsidP="003754FE">
      <w:pPr>
        <w:pStyle w:val="TextoNormal"/>
      </w:pPr>
      <w:r>
        <w:t>(iii) Una modificación presupuestaria aprobada por el Consejo de Gobierno el 9 de diciembre de 2004 que incrementó el programa 32H (“Dirección y servicios generales del Servicio Andaluz de Empleo”) por importe de 2 994 876 €.</w:t>
      </w:r>
    </w:p>
    <w:p w14:paraId="7F1347E6" w14:textId="77777777" w:rsidR="003754FE" w:rsidRDefault="003754FE" w:rsidP="003754FE">
      <w:pPr>
        <w:pStyle w:val="TextoNormal"/>
      </w:pPr>
    </w:p>
    <w:p w14:paraId="67483C86" w14:textId="77777777" w:rsidR="003754FE" w:rsidRDefault="003754FE" w:rsidP="003754FE">
      <w:pPr>
        <w:pStyle w:val="TextoNormal"/>
      </w:pPr>
      <w:r>
        <w:t>De conformidad con lo expuesto, no pueden considerarse arbitrarias las modificaciones presupuestarias identificadas en el apartado (ii), esto es, las aprobadas por el Consejo de Gobierno el 15 de octubre de 2002, el 7 de diciembre de 2005, el 7 de noviembre de 2006, el 27 de noviembre de 2007 y el 22 de diciembre de 2008, al encontrarse amparadas en el programa 31L de las leyes de presupuestos para los años 2002, 2005, 2006, 2007 y 2008. Por todo ello, las resoluciones impugnadas, en lo que se refiere a estas concretas modificaciones presupuestarias, al calificarlas como manifiestamente ilegales, han incurrido en una interpretación del todo imprevisible del tipo penal que ha determinado la condena.</w:t>
      </w:r>
    </w:p>
    <w:p w14:paraId="0F046D27" w14:textId="77777777" w:rsidR="003754FE" w:rsidRDefault="003754FE" w:rsidP="003754FE">
      <w:pPr>
        <w:pStyle w:val="TextoNormal"/>
      </w:pPr>
    </w:p>
    <w:p w14:paraId="2CD82283" w14:textId="15EC234B" w:rsidR="003754FE" w:rsidRDefault="003754FE" w:rsidP="003754FE">
      <w:pPr>
        <w:pStyle w:val="TextoNormal"/>
      </w:pPr>
      <w:r>
        <w:t>No ocurre lo mismo con las modificaciones presupuestarias realizadas en los programas 22E y 32H. Los fines de estos programas no eran la concesión de ayudas sociolaborales, por lo que, al ser dedicados estos fondos a ayudas sociolaborales, su consideración por las resoluciones judiciales impugnadas como resolución arbitraria recaída en un asunto administrativo no desborda los límites del art. 404 CP.</w:t>
      </w:r>
    </w:p>
    <w:p w14:paraId="2C62773B" w14:textId="77777777" w:rsidR="003754FE" w:rsidRDefault="003754FE" w:rsidP="003754FE">
      <w:pPr>
        <w:pStyle w:val="TextoNormal"/>
      </w:pPr>
    </w:p>
    <w:p w14:paraId="5437081A" w14:textId="77777777" w:rsidR="003754FE" w:rsidRDefault="003754FE" w:rsidP="003754FE">
      <w:pPr>
        <w:pStyle w:val="TextoNormal"/>
      </w:pPr>
      <w:r w:rsidRPr="003754FE">
        <w:rPr>
          <w:rStyle w:val="NumeroAFNegritaCaracter"/>
        </w:rPr>
        <w:t>5</w:t>
      </w:r>
      <w:r>
        <w:t xml:space="preserve">. </w:t>
      </w:r>
      <w:r w:rsidRPr="003754FE">
        <w:rPr>
          <w:i/>
        </w:rPr>
        <w:t>Enjuiciamiento de la queja relativa a la vulneración del derecho a la presunción de inocencia (art. 24.2 CE) en relación con la condena por delito de prevaricación por las actuaciones relacionadas con el programa 22E</w:t>
      </w:r>
    </w:p>
    <w:p w14:paraId="233D1D5C" w14:textId="77777777" w:rsidR="003754FE" w:rsidRDefault="003754FE" w:rsidP="003754FE">
      <w:pPr>
        <w:pStyle w:val="TextoNormal"/>
      </w:pPr>
    </w:p>
    <w:p w14:paraId="50FF5EAE" w14:textId="77777777" w:rsidR="003754FE" w:rsidRDefault="003754FE" w:rsidP="003754FE">
      <w:pPr>
        <w:pStyle w:val="TextoNormal"/>
      </w:pPr>
      <w:r>
        <w:t xml:space="preserve">5.1. </w:t>
      </w:r>
      <w:r w:rsidRPr="003754FE">
        <w:rPr>
          <w:i/>
        </w:rPr>
        <w:t>Posiciones de las partes</w:t>
      </w:r>
    </w:p>
    <w:p w14:paraId="02E8A428" w14:textId="77777777" w:rsidR="003754FE" w:rsidRDefault="003754FE" w:rsidP="003754FE">
      <w:pPr>
        <w:pStyle w:val="TextoNormal"/>
      </w:pPr>
    </w:p>
    <w:p w14:paraId="3971483B" w14:textId="77777777" w:rsidR="003754FE" w:rsidRDefault="003754FE" w:rsidP="003754FE">
      <w:pPr>
        <w:pStyle w:val="TextoNormal"/>
      </w:pPr>
      <w:r>
        <w:t>a) Junto con la vulneración del derecho a la legalidad penal (art. 25.1 CE) que se ha acaba de examinar, en el segundo motivo de la demanda se denuncia la lesión del derecho a la presunción de inocencia (art. 24.2 CE) por la falta de prueba del elemento subjetivo de la prevaricación, que el recurrente identifica con el conocimiento de la ilegalidad del sistema de presupuestación. Considera que ese elemento se fija mediante prueba indiciaria que no satisface las exigencias constitucionales de racionalidad y solidez de la inferencia. Sostiene que los hechos base de los que se infiere no han quedado acreditados y que no existe engarce lógico entre ellos y las consecuencias que se siguen en su contra. Se detiene, en particular, en los siguientes hechos base e inferencias, como con más detalle se ha expuesto en los antecedentes de hecho [3 b) (2)]:</w:t>
      </w:r>
    </w:p>
    <w:p w14:paraId="1AFCAAC6" w14:textId="77777777" w:rsidR="003754FE" w:rsidRDefault="003754FE" w:rsidP="003754FE">
      <w:pPr>
        <w:pStyle w:val="TextoNormal"/>
      </w:pPr>
    </w:p>
    <w:p w14:paraId="21545DC9" w14:textId="77777777" w:rsidR="003754FE" w:rsidRDefault="003754FE" w:rsidP="003754FE">
      <w:pPr>
        <w:pStyle w:val="TextoNormal"/>
      </w:pPr>
      <w:r>
        <w:t xml:space="preserve">(i) Vinculación del conocimiento del recurrente con el hecho de que el nuevo sistema se había diseñado para salvar escollos en la concesión de ayudas en el llamado caso HAMSA, en el que habría intervenido. El recurrente opone, de un lado, que el informe del interventor de 19 de junio de 2000 manifestando reservas al que se alude como impulso del cambio de presupuestación es posterior a la primera modificación presupuestaria de 18 de abril de </w:t>
      </w:r>
      <w:r>
        <w:lastRenderedPageBreak/>
        <w:t>2000; y, de otro, que no intervino en la gestión de la subvención, sino que después del cierre hizo gestiones para que alguna empresa contratara a los antiguos empleados de HAMSA.</w:t>
      </w:r>
    </w:p>
    <w:p w14:paraId="2F1BA224" w14:textId="77777777" w:rsidR="003754FE" w:rsidRDefault="003754FE" w:rsidP="003754FE">
      <w:pPr>
        <w:pStyle w:val="TextoNormal"/>
      </w:pPr>
    </w:p>
    <w:p w14:paraId="33DED5D5" w14:textId="77777777" w:rsidR="003754FE" w:rsidRDefault="003754FE" w:rsidP="003754FE">
      <w:pPr>
        <w:pStyle w:val="TextoNormal"/>
      </w:pPr>
      <w:r>
        <w:t>(ii) Inferencia de su conocimiento del sistema de presupuestación del hecho de que conociera el convenio marco que el IFA y la Consejería de Empleo habían firmado el 17 de julio de 2001, por cuanto se aludía a él en el expediente de una modificación presupuestaria que pasó por la Comisión General de Viceconsejeros. De nuevo pone de manifiesto que la aludida modificación es del año 2000 y el convenio del año 2001, sin que sea cierto, como dice el auto del Tribunal Supremo resolutorio del incidente de nulidad de actuaciones, que en modificaciones posteriores a julio de 2001 se aludiera al convenio.</w:t>
      </w:r>
    </w:p>
    <w:p w14:paraId="45A51CD9" w14:textId="77777777" w:rsidR="003754FE" w:rsidRDefault="003754FE" w:rsidP="003754FE">
      <w:pPr>
        <w:pStyle w:val="TextoNormal"/>
      </w:pPr>
    </w:p>
    <w:p w14:paraId="7EFA260E" w14:textId="77777777" w:rsidR="003754FE" w:rsidRDefault="003754FE" w:rsidP="003754FE">
      <w:pPr>
        <w:pStyle w:val="TextoNormal"/>
      </w:pPr>
      <w:r>
        <w:t>(iii) Conocimiento del sistema por cuanto el proyecto de orden de 2004 de la Consejería de Empleo para regular las ayudas sociolaborales pasó por la Comisión general de viceconsejeros. El demandante recuerda que el auto de aclaración del Tribunal Supremo admite que ese proyecto de orden no pasó por la citada comisión. La relevancia de la rectificación estribaría en que, sobre la base de este dato erróneo, la sentencia de instancia concluía que “conocía el modo en que la Consejería de Empleo pretendía dar las ayudas” (sentencia de la Audiencia Provincial, pág. 1527) y la sentencia de casación afirmaba que “no es verosímil que acudiera a las reuniones [para la instalación de una empresa en Jaén] sin un mínimo conocimiento de cómo se estaban dando las ayudas por la Consejería de Empleo” (STS 749/2022, pág. 713).</w:t>
      </w:r>
    </w:p>
    <w:p w14:paraId="67ABB475" w14:textId="77777777" w:rsidR="003754FE" w:rsidRDefault="003754FE" w:rsidP="003754FE">
      <w:pPr>
        <w:pStyle w:val="TextoNormal"/>
      </w:pPr>
    </w:p>
    <w:p w14:paraId="6EF87D77" w14:textId="77777777" w:rsidR="003754FE" w:rsidRDefault="003754FE" w:rsidP="003754FE">
      <w:pPr>
        <w:pStyle w:val="TextoNormal"/>
      </w:pPr>
      <w:r>
        <w:t>(iv) Conocimiento de varios informes de la Intervención General de la Junta que informaban de las deficiencias sobre la contabilización de las “transferencias de financiación”. El actor replica que no fue destinatario de ninguno de estos informes, como se sigue de los hechos probados, sin que sea asumible la inferencia del Tribunal Supremo de que, a pesar de ello, su papel central en la acción política del Gobierno determina que “no es irracional ni contrario a las máximas de la experiencia inferir que conociera las razones por las que se produjo el cambio de presupuestación” (STS 749/2022, pág. 725). No hay pruebas de tal conocimiento ni engarce lógico, sino una remisión a un supuesto concierto delictivo entre los condenados sobre el que no existe prueba y que la sentencia ni siquiera deja claro si existió o no.</w:t>
      </w:r>
    </w:p>
    <w:p w14:paraId="5D0ACB6B" w14:textId="77777777" w:rsidR="003754FE" w:rsidRDefault="003754FE" w:rsidP="003754FE">
      <w:pPr>
        <w:pStyle w:val="TextoNormal"/>
      </w:pPr>
    </w:p>
    <w:p w14:paraId="653D5458" w14:textId="77777777" w:rsidR="003754FE" w:rsidRDefault="003754FE" w:rsidP="003754FE">
      <w:pPr>
        <w:pStyle w:val="TextoNormal"/>
      </w:pPr>
      <w:r>
        <w:t>b) La representación procesal del Partido Popular considera que el tribunal de instancia contó con un conjunto de indicios cuya valoración conjunta permitió sostener de forma razonable que el recurrente conocía la ilegalidad en el cambio de presupuestación para el pago de las ayudas sociolaborales. Apela a los datos incriminatorios recogidos en el fundamento de Derecho 95.3 de la sentencia del Tribunal Supremo relativos a la especial relevancia del puesto desempeñado por el recurrente, las funciones inherentes al mismo y las concretas actuaciones realizadas como consejero de Presidencia así como a su intervención en gestiones relativas a empresas de Jaén en crisis; y rechaza las concretas alegaciones de la demanda con remisión y cita de diversos pasajes de las sentencias impugnadas.</w:t>
      </w:r>
    </w:p>
    <w:p w14:paraId="460A375B" w14:textId="77777777" w:rsidR="003754FE" w:rsidRDefault="003754FE" w:rsidP="003754FE">
      <w:pPr>
        <w:pStyle w:val="TextoNormal"/>
      </w:pPr>
    </w:p>
    <w:p w14:paraId="217A8C95" w14:textId="77777777" w:rsidR="003754FE" w:rsidRDefault="003754FE" w:rsidP="003754FE">
      <w:pPr>
        <w:pStyle w:val="TextoNormal"/>
      </w:pPr>
      <w:r>
        <w:t xml:space="preserve">c) El Ministerio Fiscal rebate la denuncia de vulneración del derecho a la presunción de inocencia, que circunscribe a la concurrencia del elemento subjetivo, con base en los múltiples datos ofrecidos por las sentencias impugnadas para acreditar el conocimiento del recurrente tanto del sistema ideado para la concesión de ayudas sociolaborales como sobre su carácter injusto. Sostiene que no es ilógico deducir de su condición de consejero de </w:t>
      </w:r>
      <w:r>
        <w:lastRenderedPageBreak/>
        <w:t>Presidencia durante trece años que tenía un conocimiento general de toda la actuación del Consejo de Gobierno durante ese tiempo. Y que tampoco lo es apreciar más concretamente su conocimiento de que el cambio de presupuestación determinaba el pago de las ayudas sociolaborales con un instrumento financiero inadecuado, porque conocía que debía seguirse el sistema de subvenciones, que se infiere de una multitud de indicios relacionados con sus actuaciones institucionales y políticas.</w:t>
      </w:r>
    </w:p>
    <w:p w14:paraId="62950ACB" w14:textId="77777777" w:rsidR="003754FE" w:rsidRDefault="003754FE" w:rsidP="003754FE">
      <w:pPr>
        <w:pStyle w:val="TextoNormal"/>
      </w:pPr>
    </w:p>
    <w:p w14:paraId="50B03B6A" w14:textId="77777777" w:rsidR="003754FE" w:rsidRDefault="003754FE" w:rsidP="003754FE">
      <w:pPr>
        <w:pStyle w:val="TextoNormal"/>
      </w:pPr>
      <w:r>
        <w:t xml:space="preserve">5.2. </w:t>
      </w:r>
      <w:r w:rsidRPr="003754FE">
        <w:rPr>
          <w:i/>
        </w:rPr>
        <w:t>Pronunciamiento de los órganos judiciales</w:t>
      </w:r>
    </w:p>
    <w:p w14:paraId="3570AF35" w14:textId="77777777" w:rsidR="003754FE" w:rsidRDefault="003754FE" w:rsidP="003754FE">
      <w:pPr>
        <w:pStyle w:val="TextoNormal"/>
      </w:pPr>
    </w:p>
    <w:p w14:paraId="40B441A6" w14:textId="77777777" w:rsidR="003754FE" w:rsidRDefault="003754FE" w:rsidP="003754FE">
      <w:pPr>
        <w:pStyle w:val="TextoNormal"/>
      </w:pPr>
      <w:r>
        <w:t xml:space="preserve">5.2.1. </w:t>
      </w:r>
      <w:r w:rsidRPr="003754FE">
        <w:rPr>
          <w:i/>
        </w:rPr>
        <w:t>Sentencia de la Audiencia Provincial</w:t>
      </w:r>
    </w:p>
    <w:p w14:paraId="706B892E" w14:textId="77777777" w:rsidR="003754FE" w:rsidRDefault="003754FE" w:rsidP="003754FE">
      <w:pPr>
        <w:pStyle w:val="TextoNormal"/>
      </w:pPr>
    </w:p>
    <w:p w14:paraId="4318B880" w14:textId="77777777" w:rsidR="003754FE" w:rsidRDefault="003754FE" w:rsidP="003754FE">
      <w:pPr>
        <w:pStyle w:val="TextoNormal"/>
      </w:pPr>
      <w:r>
        <w:t>La sentencia de la Audiencia Provincial, en su fundamento de Derecho 40, apartado IV, explicita, a partir de la valoración de la prueba practicada, la conducta, y el grado de implicación en los hechos enjuiciados de don Gaspar Zarrías Arévalo, que fue consejero de Presidencia desde abril de 1996 al 24 de abril de 2009. Como tal “le correspondía la asistencia política, técnica y el asesoramiento general al presidente de la Junta de Andalucía” (pág. 1521).</w:t>
      </w:r>
    </w:p>
    <w:p w14:paraId="6BBA6BF5" w14:textId="77777777" w:rsidR="003754FE" w:rsidRDefault="003754FE" w:rsidP="003754FE">
      <w:pPr>
        <w:pStyle w:val="TextoNormal"/>
      </w:pPr>
    </w:p>
    <w:p w14:paraId="052BF021" w14:textId="77777777" w:rsidR="003754FE" w:rsidRDefault="003754FE" w:rsidP="003754FE">
      <w:pPr>
        <w:pStyle w:val="TextoNormal"/>
      </w:pPr>
      <w:r>
        <w:t>En esa condición de consejero de Presidencia “presidía la Comisión general de viceconsejeros, por donde pasaban todos los expedientes de modificación presupuestaria, así como el anteproyecto de presupuestos de cada año” (pág. 1522).</w:t>
      </w:r>
    </w:p>
    <w:p w14:paraId="1E47CCD2" w14:textId="77777777" w:rsidR="003754FE" w:rsidRDefault="003754FE" w:rsidP="003754FE">
      <w:pPr>
        <w:pStyle w:val="TextoNormal"/>
      </w:pPr>
    </w:p>
    <w:p w14:paraId="2B84ED2E" w14:textId="77777777" w:rsidR="003754FE" w:rsidRDefault="003754FE" w:rsidP="003754FE">
      <w:pPr>
        <w:pStyle w:val="TextoNormal"/>
      </w:pPr>
      <w:r>
        <w:t>Como miembro del Consejo de Gobierno, participó en la aprobación de los proyectos de presupuestos correspondientes y “estuvo presente en la aprobación de la mayoría de las modificaciones presupuestarias que afectaron, primero al programa 22E y luego al programa 31L” (pág. 1522). Se reseña en concreto que “participó en la aprobación de las modificaciones presupuestarias, que supusieron la reducción de la partida 472.00, que era la adecuada para la concesión de subvenciones, y dotar de fondos a otra que no existía en el presupuesto inicial aprobado, y que no era legalmente apropiada para su otorgamiento, en concreto, la partida 440.01 ‘Transferencia al IFA en materia de relaciones laborales’, también encuadrada en el programa 22E” (págs. 1522-1523). La sentencia alude así a la primera modificación típica de 18 de abril de 2000.</w:t>
      </w:r>
    </w:p>
    <w:p w14:paraId="7C4A0266" w14:textId="77777777" w:rsidR="003754FE" w:rsidRDefault="003754FE" w:rsidP="003754FE">
      <w:pPr>
        <w:pStyle w:val="TextoNormal"/>
      </w:pPr>
    </w:p>
    <w:p w14:paraId="6D34D76E" w14:textId="77777777" w:rsidR="003754FE" w:rsidRDefault="003754FE" w:rsidP="003754FE">
      <w:pPr>
        <w:pStyle w:val="TextoNormal"/>
      </w:pPr>
      <w:r>
        <w:t>La sentencia pone en relación las actuaciones del recurrente en el sistema de presupuestación con la consideración general de que “son tantos y tan evidentes los incumplimientos producidos con las citadas modificaciones presupuestarias, que hace impensable que ello pasara desapercibido por todos los que intervinieron en su tramitación y aprobación. Las irregularidades e incumplimientos que expusimos, nos llevan como única conclusión razonable, que lo que se pretendió con las citadas modificaciones presupuestarias, y con las demás que se aprobaron el 7 de mayo de 2001, 18 de septiembre de 2001 y 13 de noviembre de 2001, fue eludir la tramitación de los expedientes de concesión de subvenciones, con los requisitos legalmente establecidos para su otorgamiento, así como la fiscalización previa por parte de la Intervención. Y es igualmente la única conclusión razonable a la que podemos llegar, para que la citada partida presupuestaria se incluyera en el presupuesto de 2002 y se mantuviera en los siguientes, hasta el 2009” (pág. 1523).</w:t>
      </w:r>
    </w:p>
    <w:p w14:paraId="7CFC13F0" w14:textId="77777777" w:rsidR="003754FE" w:rsidRDefault="003754FE" w:rsidP="003754FE">
      <w:pPr>
        <w:pStyle w:val="TextoNormal"/>
      </w:pPr>
    </w:p>
    <w:p w14:paraId="4623D61E" w14:textId="77777777" w:rsidR="003754FE" w:rsidRDefault="003754FE" w:rsidP="003754FE">
      <w:pPr>
        <w:pStyle w:val="TextoNormal"/>
      </w:pPr>
      <w:r>
        <w:t xml:space="preserve">La sentencia valora a continuación una serie de hechos, que conducen a la conclusión de que el Sr. Zarrías Arévalo conocía que, con el sistema de transferencias de financiación </w:t>
      </w:r>
      <w:r>
        <w:lastRenderedPageBreak/>
        <w:t>instaurado con la modificación presupuestaria de 18 de abril de 2000, introducido y mantenido luego en los presupuestos de 2002 a 2009, “se estaba optando por un sistema de concesión de ayudas sociolaborales, que se apartaba radicalmente del que hasta entonces se venía usando” (pág. 1528):</w:t>
      </w:r>
    </w:p>
    <w:p w14:paraId="34B8618F" w14:textId="77777777" w:rsidR="003754FE" w:rsidRDefault="003754FE" w:rsidP="003754FE">
      <w:pPr>
        <w:pStyle w:val="TextoNormal"/>
      </w:pPr>
    </w:p>
    <w:p w14:paraId="4ED15F7E" w14:textId="77777777" w:rsidR="003754FE" w:rsidRDefault="003754FE" w:rsidP="003754FE">
      <w:pPr>
        <w:pStyle w:val="TextoNormal"/>
      </w:pPr>
      <w:r>
        <w:t>(i) Su conocimiento y seguimiento desde los años noventa de las crisis de las empresas Hamsa y Santana, radicadas en Jaén, su ámbito territorial de actuación política, tal y como declaró en instrucción y ratificó en el acto del juicio, sin que sea verosímil que “este conocimiento desaparezca, precisamente, cuando se opta por establecer una nueva forma de conceder ayudas sociolaborales, usando transferencias de financiación” (pág. 1524).</w:t>
      </w:r>
    </w:p>
    <w:p w14:paraId="7FFCD556" w14:textId="77777777" w:rsidR="003754FE" w:rsidRDefault="003754FE" w:rsidP="003754FE">
      <w:pPr>
        <w:pStyle w:val="TextoNormal"/>
      </w:pPr>
    </w:p>
    <w:p w14:paraId="25D3FAF4" w14:textId="77777777" w:rsidR="003754FE" w:rsidRDefault="003754FE" w:rsidP="003754FE">
      <w:pPr>
        <w:pStyle w:val="TextoNormal"/>
      </w:pPr>
      <w:r>
        <w:t>(ii) La trascendencia social de las crisis empresariales a las que se pretendía dar una respuesta rápida, para la que los reparos de la Intervención constituían un obstáculo, y el hecho de que la decisión de dar esas ayudas fuera una decisión del gobierno en su conjunto, que partía del programa político presentado a las elecciones, como manifestó el recurrente ante el magistrado instructor del Tribunal Supremo, determinan, según la sentencia, que sea “contrario a la lógica y a las máximas de experiencia que los responsables de la Consejería de Empleo, cada uno a su respectivo nivel, no informaran de tal cambio a los consejeros, o a los viceconsejeros, en las reuniones del Consejo de Gobierno, o en las de la Comisión general de viceconsejeros, respectivamente” (pág. 1524).</w:t>
      </w:r>
    </w:p>
    <w:p w14:paraId="0AD00C5C" w14:textId="77777777" w:rsidR="003754FE" w:rsidRDefault="003754FE" w:rsidP="003754FE">
      <w:pPr>
        <w:pStyle w:val="TextoNormal"/>
      </w:pPr>
    </w:p>
    <w:p w14:paraId="3DBB46F3" w14:textId="77777777" w:rsidR="003754FE" w:rsidRDefault="003754FE" w:rsidP="003754FE">
      <w:pPr>
        <w:pStyle w:val="TextoNormal"/>
      </w:pPr>
      <w:r>
        <w:t>(iii) Su intervención en la resolución de la crisis de la empresa Primayor, que consta en atestado ratificado en el acto del juicio, haciendo gestiones en 2008 para mantener la actividad productiva, incluyó, según manifestó en instrucción, la información a los interesados “de que hay una serie de ayudas, en función de lo que ellos [empresa interesada] planteen se examinará por los servicios técnicos” (pág. 1526), por lo que no resulta verosímil “que acudiera a dichas reuniones sin un mínimo conocimiento de cómo se estaban dando las ayudas” (pág. 1527).</w:t>
      </w:r>
    </w:p>
    <w:p w14:paraId="42E08263" w14:textId="77777777" w:rsidR="003754FE" w:rsidRDefault="003754FE" w:rsidP="003754FE">
      <w:pPr>
        <w:pStyle w:val="TextoNormal"/>
      </w:pPr>
    </w:p>
    <w:p w14:paraId="69B02A0E" w14:textId="77777777" w:rsidR="003754FE" w:rsidRDefault="003754FE" w:rsidP="003754FE">
      <w:pPr>
        <w:pStyle w:val="TextoNormal"/>
      </w:pPr>
      <w:r>
        <w:t>(iv) Presidió las tres sesiones de la Comisión General de Viceconsejeros (13 de diciembre de 2000, 17 de enero de 2001 y 24 de enero de 2001) en las que se debatió sobre el proyecto de decreto regulador de este tipo de ayudas. Si bien no prosperó, por su existencia y contenido, confirma que el acusado conocía el modo en que la Consejería de Empleo pretendía dar las ayudas. Conocía también, como declaró en instrucción, cuál era la regulación legal de ellas, establecida en la Ley general de hacienda pública de la Comunidad Autónoma de Andalucía, y que “el sistema instaurado en la modificación presupuestaria de 18 de abril de 2000, que se incluyó en el presupuesto de 2002, no es que se apartara del citado marco legal, sino que era contrario al mismo” (pág. 1527).</w:t>
      </w:r>
    </w:p>
    <w:p w14:paraId="0DCAF57D" w14:textId="77777777" w:rsidR="003754FE" w:rsidRDefault="003754FE" w:rsidP="003754FE">
      <w:pPr>
        <w:pStyle w:val="TextoNormal"/>
      </w:pPr>
    </w:p>
    <w:p w14:paraId="36111204" w14:textId="77777777" w:rsidR="003754FE" w:rsidRDefault="003754FE" w:rsidP="003754FE">
      <w:pPr>
        <w:pStyle w:val="TextoNormal"/>
      </w:pPr>
      <w:r>
        <w:t>Sentado lo anterior, la sentencia de la Audiencia Provincial refuerza sus inferencias sobre el conocimiento del recurrente de la patente ilegalidad de los actos en los que participó con otros datos, al tiempo que desmiente las alegaciones de falta de conocimiento respecto de ellos:</w:t>
      </w:r>
    </w:p>
    <w:p w14:paraId="6A0014F1" w14:textId="77777777" w:rsidR="003754FE" w:rsidRDefault="003754FE" w:rsidP="003754FE">
      <w:pPr>
        <w:pStyle w:val="TextoNormal"/>
      </w:pPr>
    </w:p>
    <w:p w14:paraId="56B497F8" w14:textId="77777777" w:rsidR="003754FE" w:rsidRDefault="003754FE" w:rsidP="003754FE">
      <w:pPr>
        <w:pStyle w:val="TextoNormal"/>
      </w:pPr>
      <w:r>
        <w:t xml:space="preserve">(i) Como miembro del Consejo de Gobierno, aprobó los planes anuales de control financiero permanente de las entidades públicas dependientes de la Junta para los años 2005, 2006 y 2007. Se destaca que la memoria de los trabajos de 2006, cuya propuesta presentó el demandante por ausencia del consejero de Economía y Hacienda, señalaba que “de forma </w:t>
      </w:r>
      <w:r>
        <w:lastRenderedPageBreak/>
        <w:t>indebida, el expediente administrativo de transferencia de financiación ha sido tramitado para financiar operaciones de encargos de ejecución, subvenciones excepcionales u otros que habrían requerido una tramitación administrativa propia y sometida a fiscalización previa” (pág. 1528), apreciando incumplimientos y defectos de contabilización. Por ello se rechaza la alegación de desconocimiento, que se considera también desmentida por lo declarado ante el magistrado instructor del Tribunal Supremo alusiva a que no se estudiaban las memorias ni en la Comisión general de viceconsejeros ni en el Consejo de Gobierno, sino que el conocimiento venía por la información recibida del consejero y la viceconsejera de Economía y Hacienda, que necesariamente tuvieron que contarle las irregularidades para presentar la propuesta en el Consejo de Gobierno en sustitución de aquel. Por otro lado, se afirma que el “plan de control financiero permanente venía en índice rojo, por tanto, se debatía en el Consejo de Gobierno” (pág. 1530).</w:t>
      </w:r>
    </w:p>
    <w:p w14:paraId="79EDBEAA" w14:textId="77777777" w:rsidR="003754FE" w:rsidRDefault="003754FE" w:rsidP="003754FE">
      <w:pPr>
        <w:pStyle w:val="TextoNormal"/>
      </w:pPr>
    </w:p>
    <w:p w14:paraId="5AF15987" w14:textId="77777777" w:rsidR="003754FE" w:rsidRDefault="003754FE" w:rsidP="003754FE">
      <w:pPr>
        <w:pStyle w:val="TextoNormal"/>
      </w:pPr>
      <w:r>
        <w:t>(ii) Tampoco se acoge su afirmación de que no tuvo conocimiento del convenio marco, ya que, en el extracto del expediente para el Consejo de Gobierno de la modificación presupuestaria de 28 de julio de 2000, consta que “tiene por objeto dotar al capítulo IV, aplicación 440.01 con el crédito suficiente para desarrollar el convenio marco de colaboración con el Instituto de Fomento de Andalucía en el que se contemplan una serie de actuaciones en materia de fomento y mantenimiento del empleo, así como la reestructuración de empresas”. Puntualiza la sala que, si bien ese convenio no es el de julio de 2001, sino el borrador del 2000, se menciona en la memoria su existencia, su objeto y la finalidad relacionada de la transferencia de financiación que introduce la modificación.</w:t>
      </w:r>
    </w:p>
    <w:p w14:paraId="5BB81C46" w14:textId="77777777" w:rsidR="003754FE" w:rsidRDefault="003754FE" w:rsidP="003754FE">
      <w:pPr>
        <w:pStyle w:val="TextoNormal"/>
      </w:pPr>
    </w:p>
    <w:p w14:paraId="5182142D" w14:textId="77777777" w:rsidR="003754FE" w:rsidRDefault="003754FE" w:rsidP="003754FE">
      <w:pPr>
        <w:pStyle w:val="TextoNormal"/>
      </w:pPr>
      <w:r>
        <w:t>(iii) Asimismo se descarta la ausencia de conocimiento sobre el sistema de ayudas que el recurrente aduce en instrucción al afirmar que estaba convencido de que “tras el decreto de enero y posteriormente el decreto de noviembre, la Consejería de Empleo, al igual que el resto de Consejerías habían regulado mediante una orden el régimen de concesión de ayudas. Estaba convencido porque lo hicieron todas las consejerías y creía, no tenía ningún dato para pensar de forma distinta” (pág. 1533). En primer lugar, porque “resulta extraño que supiera que todas las consejerías habían regulado mediante una orden el régimen de concesión de ayudas, adaptándose a lo dispuesto en el Decreto 254/2001, de 20 de noviembre, Reglamento concesión de subvenciones por la Junta de Andalucía, salvo la Consejería de Empleo, cuando precisamente, el acusado, se había involucrado en la resolución de crisis de empresas, que se solventaban precisamente en dicha Consejería” (pág. 1533). En cuanto a que no tuviera ningún dato para pensar de forma distinta, según la sentencia de instancia, queda desmentido por el extracto del expediente para el Consejo de Gobierno de la modificación presupuestaria de 15 de octubre de 2002 y de 21 de octubre de 2002, que reflejan que se seguía utilizando las transferencias de financiación para el pago de ayudas sociolaborales y a empresas, en contra de lo dispuesto en el Decreto 254/2021, cuyo art. 1.2 “distingue claramente entre transferencias de carácter genérico para cubrir actividades no singularizadas, es decir, los déficits de las empresas públicas, de las subvenciones que posean carácter finalista, asignándoles procedimientos de tramitación distintos, dada su diferente naturaleza y finalidad” (pág. 1535).</w:t>
      </w:r>
    </w:p>
    <w:p w14:paraId="4D6B91D3" w14:textId="77777777" w:rsidR="003754FE" w:rsidRDefault="003754FE" w:rsidP="003754FE">
      <w:pPr>
        <w:pStyle w:val="TextoNormal"/>
      </w:pPr>
    </w:p>
    <w:p w14:paraId="1274B1BE" w14:textId="77777777" w:rsidR="003754FE" w:rsidRDefault="003754FE" w:rsidP="003754FE">
      <w:pPr>
        <w:pStyle w:val="TextoNormal"/>
      </w:pPr>
      <w:r>
        <w:t xml:space="preserve">(iv) Por último, se descarta el argumento de que las modificaciones presupuestarias que contaran con todos los documentos “era un tema de mero trámite que pasaba a índice verde y en índice verde lo elevaba a Consejo de gobierno para su aprobación” (pág. 1536). La Audiencia Provincial lo considera inverosímil en tanto “llevaría al absurdo de que el destino </w:t>
      </w:r>
      <w:r>
        <w:lastRenderedPageBreak/>
        <w:t>de la administración de la Junta, y las decisiones de mayor calado, estuvieran en manos [de] cargos intermedios, o funcionarios de rango inferior” (pág. 1537) y se contradice con las instrucciones para la tramitación de asuntos del Consejo de Gobierno y de la Comisión General de Viceconsejeros de 14 de junio de 2000 procedente precisamente de la Consejería de Presidencia. Según estas instrucciones, “las modificaciones presupuestarias que llegaban en ‘índice verde’ al Consejo de Gobierno, eran aquellas en las que no solo el expediente estaba completo, sino que habían sido suficientemente debatidas en dicha Comisión General de Viceconsejeros”.</w:t>
      </w:r>
    </w:p>
    <w:p w14:paraId="4AAC40DE" w14:textId="77777777" w:rsidR="003754FE" w:rsidRDefault="003754FE" w:rsidP="003754FE">
      <w:pPr>
        <w:pStyle w:val="TextoNormal"/>
      </w:pPr>
    </w:p>
    <w:p w14:paraId="6087CAEF" w14:textId="77777777" w:rsidR="003754FE" w:rsidRDefault="003754FE" w:rsidP="003754FE">
      <w:pPr>
        <w:pStyle w:val="TextoNormal"/>
      </w:pPr>
      <w:r>
        <w:t>5.2.2. Sentencia y autos del Tribunal Supremo</w:t>
      </w:r>
    </w:p>
    <w:p w14:paraId="771478D0" w14:textId="77777777" w:rsidR="003754FE" w:rsidRDefault="003754FE" w:rsidP="003754FE">
      <w:pPr>
        <w:pStyle w:val="TextoNormal"/>
      </w:pPr>
    </w:p>
    <w:p w14:paraId="599BB066" w14:textId="77777777" w:rsidR="003754FE" w:rsidRDefault="003754FE" w:rsidP="003754FE">
      <w:pPr>
        <w:pStyle w:val="TextoNormal"/>
      </w:pPr>
      <w:r>
        <w:t>La sentencia del Tribunal Supremo, tras hacer un repaso del conjunto de elementos probatorios en los que funda la sentencia de instancia la condena y contestar a los argumentos impugnativos del recurrente, desestima el motivo de casación de infracción de precepto constitucional por vulneración del derecho a la presunción de inocencia en el fundamento de Derecho 95. Aprecia que “el tribunal de instancia contó con prueba de cargo como la abundante prueba documental, la declaración del propio Sr. Zarrías y la existencia de un conjunto de indicios que, valorados conjuntamente, permiten sostener desde criterios de racionalidad que conocía la ilegalidad en el cambio de presupuestación para el pago de las ayudas sociolaborales, utilizando un instrumento financiero manifiestamente ilegal, las transferencias de financiación, y conocía también que la finalidad de ese cambio era evitar la aplicación de la normativa de las subvenciones” (fundamento 95.3, pág. 723).</w:t>
      </w:r>
    </w:p>
    <w:p w14:paraId="3FA335B7" w14:textId="77777777" w:rsidR="003754FE" w:rsidRDefault="003754FE" w:rsidP="003754FE">
      <w:pPr>
        <w:pStyle w:val="TextoNormal"/>
      </w:pPr>
    </w:p>
    <w:p w14:paraId="36760885" w14:textId="77777777" w:rsidR="003754FE" w:rsidRDefault="003754FE" w:rsidP="003754FE">
      <w:pPr>
        <w:pStyle w:val="TextoNormal"/>
      </w:pPr>
      <w:r>
        <w:t>La sentencia de casación subraya que, “al igual que con el resto de condenados, resulta de especial relevancia el puesto desempeñado y las funciones inherentes al mismo” y que “[c]ada autoridad es responsable de sus decisiones y debe ejercer el cargo con diligencia, dedicando a cada asunto el tiempo y la atención que precisa” (fundamento de Derecho 95.3, pág. 723). No obstante, aclara que “la sentencia de instancia no afirma el conocimiento de las ilegalidades simplemente porque estas se produjeran y tampoco establece la responsabilidad penal exclusivamente por el ejercicio del cargo desempeñado, sino que deduce la actuación arbitraria y ‘a sabiendas’, según exige el tipo penal del artículo 404 del Código penal, a partir de un conjunto de indicios que convergen todos en una misma conclusión y que se establecen a partir de hechos objetivos y probados” (fundamento 95.3, págs. 723-724), sin que puedan valorarse de forma aislada, como pretende el recurrente. Sostiene esta conclusión con los siguientes razonamientos:</w:t>
      </w:r>
    </w:p>
    <w:p w14:paraId="32CC99DE" w14:textId="77777777" w:rsidR="003754FE" w:rsidRDefault="003754FE" w:rsidP="003754FE">
      <w:pPr>
        <w:pStyle w:val="TextoNormal"/>
      </w:pPr>
    </w:p>
    <w:p w14:paraId="7C7F1852" w14:textId="77777777" w:rsidR="003754FE" w:rsidRDefault="003754FE" w:rsidP="003754FE">
      <w:pPr>
        <w:pStyle w:val="TextoNormal"/>
      </w:pPr>
      <w:r>
        <w:t>(i) La condición de consejero de Presidencia durante todo el tiempo en que se desarrollaron los hechos, con una función de asesoramiento general al presidente de la Junta de Andalucía, “permite presumir que estaba al tanto de todos los problemas conflictivos” (fundamento de Derecho 95.3, pág. 724). Y la presidencia de la Comisión general de viceconsejeros, que era el órgano encargado de filtrar los asuntos que podían llegar al Consejo de Gobierno, “permite inferir un grado singular de conocimiento, no ya general, sino de detalle de los proyectos normativos” (fundamento 95.3, pág. 724).</w:t>
      </w:r>
    </w:p>
    <w:p w14:paraId="2DAC6233" w14:textId="77777777" w:rsidR="003754FE" w:rsidRDefault="003754FE" w:rsidP="003754FE">
      <w:pPr>
        <w:pStyle w:val="TextoNormal"/>
      </w:pPr>
    </w:p>
    <w:p w14:paraId="278EB2F2" w14:textId="77777777" w:rsidR="003754FE" w:rsidRDefault="003754FE" w:rsidP="003754FE">
      <w:pPr>
        <w:pStyle w:val="TextoNormal"/>
      </w:pPr>
      <w:r>
        <w:t xml:space="preserve">La sentencia de casación no acepta el argumento de descargo ya rechazado por la Audiencia Provincial de que el hecho de presidir la Comisión general de viceconsejeros no permite suponer el conocimiento de las ilegalidades de las modificaciones presupuestarias examinadas en sus sesiones. Opone que, además de las competencias de dicha comisión y </w:t>
      </w:r>
      <w:r>
        <w:lastRenderedPageBreak/>
        <w:t>las directrices de debate fijadas en la instrucción procedente de la Consejería de Presidencia de la que era titular, es lógico, “porque, de otro modo, la decisión de modificar los presupuestos sería adoptada por quienes no tienen legalmente atribuida tal competencia […] serían los funcionarios de rango inferior quienes impondrían a los de rango superior la modificación presupuestaria” (fundamento de Derecho 95.2, pág. 720).</w:t>
      </w:r>
    </w:p>
    <w:p w14:paraId="7B58D914" w14:textId="77777777" w:rsidR="003754FE" w:rsidRDefault="003754FE" w:rsidP="003754FE">
      <w:pPr>
        <w:pStyle w:val="TextoNormal"/>
      </w:pPr>
    </w:p>
    <w:p w14:paraId="447DDA4C" w14:textId="77777777" w:rsidR="003754FE" w:rsidRDefault="003754FE" w:rsidP="003754FE">
      <w:pPr>
        <w:pStyle w:val="TextoNormal"/>
      </w:pPr>
      <w:r>
        <w:t>(ii) El conocimiento que declaró que tenía del contenido de la Ley general de la hacienda pública de Andalucía y de que las subvenciones tenían un marco legal claro, la elevación hasta en tres ocasiones de un proyecto la Comisión general de consejeros un proyecto de decreto de la Consejería de Empleo para regular las ayudas sociolaborales, que finalmente no fue aprobado, y la aprobación por el Consejo de Gobierno, tras pasar el filtro de la Comisión general de viceconsejeros, del Decreto 254/2001, de 20 de noviembre, donde se regulaba el procedimiento de concesión de subvenciones y donde se prohibía el uso de las transferencias de financiación para el pago de subvenciones, son datos a partir de los cuales “es razonable inferir que cuando se produjo el cambio de presupuestación sabía que se iban a pagar las ayudas sociolaborales con un instrumento financiero inadecuado, porque sabía que las ayudas sociolaborales eran subvenciones y que debían articularse a través de la normativa de subvenciones, tal y como se venía haciendo hasta el año 2000” (pág. 724).</w:t>
      </w:r>
    </w:p>
    <w:p w14:paraId="6132922A" w14:textId="77777777" w:rsidR="003754FE" w:rsidRDefault="003754FE" w:rsidP="003754FE">
      <w:pPr>
        <w:pStyle w:val="TextoNormal"/>
      </w:pPr>
    </w:p>
    <w:p w14:paraId="18A1EF35" w14:textId="77777777" w:rsidR="003754FE" w:rsidRDefault="003754FE" w:rsidP="003754FE">
      <w:pPr>
        <w:pStyle w:val="TextoNormal"/>
      </w:pPr>
      <w:r>
        <w:t>En relación con este grupo de indicios, no acoge la Sala de lo Penal la alegación de la defensa de que el proyecto de decreto simplemente no se elevó al Consejo de Gobierno porque no contaba con los informes jurídicos favorables. Considera indudable el valor probatorio de cargo de la discusión hasta en tres ocasiones de un proyecto normativo que tenía por objeto la regulación de las ayudas sociolaborales, en tanto “refuerza la idea de que era un asunto de interés sobre el que se estaba discutiendo y planteando alternativas [lo que] presupone que los que debían efectuar el filtro para que el asunto se discutiera o no en el Consejo de Gobierno conocía la situación que era objeto de regulación” (fundamento de Derecho 95.2, pág. 722).</w:t>
      </w:r>
    </w:p>
    <w:p w14:paraId="3BEAC0D1" w14:textId="77777777" w:rsidR="003754FE" w:rsidRDefault="003754FE" w:rsidP="003754FE">
      <w:pPr>
        <w:pStyle w:val="TextoNormal"/>
      </w:pPr>
    </w:p>
    <w:p w14:paraId="4814A4F9" w14:textId="77777777" w:rsidR="003754FE" w:rsidRDefault="003754FE" w:rsidP="003754FE">
      <w:pPr>
        <w:pStyle w:val="TextoNormal"/>
      </w:pPr>
      <w:r>
        <w:t>(iii) La intervención activa en la negociación o gestiones previas para la concesión de determinadas ayudas y el conocimiento de la situación de las empresas de Jaén, provincia donde el recurrente desarrollaba de forma especial su acción política junto con su papel central en la acción política del Gobierno, como consejero de Presidencia, determina que no sea “irracional ni contrario a las máximas de experiencia inferir que conociera las razones por las que se produjo el cambio de presupuestación, esto es, los problemas habidos en la concesión de ayudas, que obligaron a realizar anticipos por parte del IFA y que dieron lugar a reparos de la Intervención. [que] se habían producido precisamente con la subvención concedida a la empresa Hamsa, en cuya gestión había intervenido personalmente” (pág. 725).</w:t>
      </w:r>
    </w:p>
    <w:p w14:paraId="20B67132" w14:textId="77777777" w:rsidR="003754FE" w:rsidRDefault="003754FE" w:rsidP="003754FE">
      <w:pPr>
        <w:pStyle w:val="TextoNormal"/>
      </w:pPr>
    </w:p>
    <w:p w14:paraId="186016C3" w14:textId="77777777" w:rsidR="003754FE" w:rsidRDefault="003754FE" w:rsidP="003754FE">
      <w:pPr>
        <w:pStyle w:val="TextoNormal"/>
      </w:pPr>
      <w:r>
        <w:t xml:space="preserve">La sentencia del Tribunal Supremo tampoco comparte los argumentos del recurrente cuestionando el valor probatorio de la crisis de Hamsa como detonante del cambio del sistema de ayudas y de su intervención en dicha crisis. El informe de disconformidad del interventor delegado de 19 de junio de 2000, aunque posterior a la primera modificación presupuestaria que introdujo las transferencias de financiación al IFA, de 18 de abril de 2000, es un indicio más del sentido del cambio de presupuestación, que, además, vino precedido de un informe del letrado de la Junta de Andalucía adscrito a la Consejería de Empleo que dejaba constancia de las irregularidades. Concluye que “los problemas habidos con los </w:t>
      </w:r>
      <w:r>
        <w:lastRenderedPageBreak/>
        <w:t>anticipos realizados por el IFA para el pago de esta subvención, y también la correspondiente a la empresa Iamasa fueron anteriores a la primera modificación presupuestaria” (fundamento de Derecho 95.2, pág. 721). En el auto de aclaración de 14 de diciembre de 2022 se reconoce que ese informe de letrado de 9 de febrero de 2000 se efectuó en el expediente de la subvención concedida a Iamasa al tiempo que puntualiza que el cambio de presupuestación no se debió exclusivamente a los problemas con la subvención de la empresa Hamsa, como circunscribe el recurrente, sino, a los surgidos con la ayuda a la empresa Iamasa, apreciación que se reitera en el auto de inadmisión del incidente de nulidad de actuaciones de 16 de febrero de 2023.</w:t>
      </w:r>
    </w:p>
    <w:p w14:paraId="30195674" w14:textId="77777777" w:rsidR="003754FE" w:rsidRDefault="003754FE" w:rsidP="003754FE">
      <w:pPr>
        <w:pStyle w:val="TextoNormal"/>
      </w:pPr>
    </w:p>
    <w:p w14:paraId="43157AEE" w14:textId="77777777" w:rsidR="003754FE" w:rsidRDefault="003754FE" w:rsidP="003754FE">
      <w:pPr>
        <w:pStyle w:val="TextoNormal"/>
      </w:pPr>
      <w:r>
        <w:t>(iv) La participación en la gestión de las ayudas a otras empresas como Santana Motor o Primayor, o la información contenida en la documentación y memorias que se acompañaban a las distintas modificaciones presupuestarias, a los anteproyectos de ley de presupuestos de cada año y a los expedientes del Plan de control financiero permanente de las empresa públicas, que aprobó durante varios ejercicios del Consejo de Gobierno son asimismo indicios que permiten “suponer que conocía todo lo concerniente a la forma en que se estaban gestionando las ayudas” y “del pago de subvenciones a través de transferencias de financiación derivado (pág. 725).</w:t>
      </w:r>
    </w:p>
    <w:p w14:paraId="39C0F65B" w14:textId="77777777" w:rsidR="003754FE" w:rsidRDefault="003754FE" w:rsidP="003754FE">
      <w:pPr>
        <w:pStyle w:val="TextoNormal"/>
      </w:pPr>
    </w:p>
    <w:p w14:paraId="3D4FE10F" w14:textId="77777777" w:rsidR="003754FE" w:rsidRDefault="003754FE" w:rsidP="003754FE">
      <w:pPr>
        <w:pStyle w:val="TextoNormal"/>
      </w:pPr>
      <w:r>
        <w:t>El demandante cuestionó en el recurso de casación tanto los anteriores hechos base como las inferencias. Sin embargo, el Tribunal Supremo recuerda que el recurrente “reconoció que conocía la problemática de la crisis empresarial de Jaén, por su condición de parlamentario electo por esa provincia, habiendo tenido algún tipo de relación o intervenido en la gestión de las crisis de las empresas Hijos de Andrés Molina y Santana, Campofrío, Primayor, Dhul y Nueva Rumasa” (fundamento de Derecho 94, pág. 706), sin que ello implique, como malinterpreta, que se afirme que dictó resoluciones administrativas en la concesión de las ayudas.</w:t>
      </w:r>
    </w:p>
    <w:p w14:paraId="2B188FCB" w14:textId="77777777" w:rsidR="003754FE" w:rsidRDefault="003754FE" w:rsidP="003754FE">
      <w:pPr>
        <w:pStyle w:val="TextoNormal"/>
      </w:pPr>
    </w:p>
    <w:p w14:paraId="559DC950" w14:textId="77777777" w:rsidR="003754FE" w:rsidRDefault="003754FE" w:rsidP="003754FE">
      <w:pPr>
        <w:pStyle w:val="TextoNormal"/>
      </w:pPr>
      <w:r>
        <w:t>Tampoco comparte la lectura que hace el recurrente del valor probatorio de la modificación de 28 de julio de 2000, en cuya documentación se esbozaría el nuevo mecanismo de ayudas y el papel que tenía el convenio marco. La sentencia de casación puntualiza que lo determinante no es que participara en la Comisión General de Viceconsejeros en que se estudió y aprobó —lo que no se dice en la sentencia de instancia—, sino “el conocimiento que tenía sobre lo que era objeto de estudio” en esa reunión (fundamento de Derecho 94, pág. 707). El auto de aclaración añade que el conocimiento del convenio marco se deriva del contenido de las distintas modificaciones presupuestarias informadas favorablemente por la Comisión general de viceconsejeros, en el que se hacía referencia expresa a dicho convenio, citando los folios 16, 289, 447, 453, 454, 573, 575 y 718 de la sentencia de casación. También el auto que inadmite el incidente de nulidad de actuaciones de 16 de febrero de 2023 apela a la referencia expresa al convenio marco en la documentación que acompaña a diversas modificaciones presupuestarias examinadas por la Comisión general de viceconsejeros con asistencia del Sr. Zarrías Arévalo, en concreto, en las sesiones de 12 de septiembre, de 18 de septiembre, 7 de noviembre y 13 de noviembre, todas ellas de 2001.</w:t>
      </w:r>
    </w:p>
    <w:p w14:paraId="501037CA" w14:textId="77777777" w:rsidR="003754FE" w:rsidRDefault="003754FE" w:rsidP="003754FE">
      <w:pPr>
        <w:pStyle w:val="TextoNormal"/>
      </w:pPr>
    </w:p>
    <w:p w14:paraId="09FF02BC" w14:textId="77777777" w:rsidR="003754FE" w:rsidRDefault="003754FE" w:rsidP="003754FE">
      <w:pPr>
        <w:pStyle w:val="TextoNormal"/>
      </w:pPr>
      <w:r>
        <w:t xml:space="preserve">Considera que esas objeciones, o la relativa a que no fue destinatario de las de las memorias que acompañaban el Plan anual de control financiero permanente, cuestionan “la relevancia de cada indicio mediante su aislamiento, mediante su consideración individual, </w:t>
      </w:r>
      <w:r>
        <w:lastRenderedPageBreak/>
        <w:t>desconociendo que la fuerza probatoria de los distintos indicios debe ser valorada desde una perspectiva de conjunto” (fundamento de Derecho 95.2, pág. 722).</w:t>
      </w:r>
    </w:p>
    <w:p w14:paraId="28767415" w14:textId="77777777" w:rsidR="003754FE" w:rsidRDefault="003754FE" w:rsidP="003754FE">
      <w:pPr>
        <w:pStyle w:val="TextoNormal"/>
      </w:pPr>
    </w:p>
    <w:p w14:paraId="1256DC53" w14:textId="77777777" w:rsidR="003754FE" w:rsidRDefault="003754FE" w:rsidP="003754FE">
      <w:pPr>
        <w:pStyle w:val="TextoNormal"/>
      </w:pPr>
      <w:r>
        <w:t xml:space="preserve">5.3. </w:t>
      </w:r>
      <w:r w:rsidRPr="003754FE">
        <w:rPr>
          <w:i/>
        </w:rPr>
        <w:t>Doctrina constitucional sobre el derecho a la presunción de inocencia (art. 24.2 CE)</w:t>
      </w:r>
    </w:p>
    <w:p w14:paraId="58E9673A" w14:textId="77777777" w:rsidR="003754FE" w:rsidRDefault="003754FE" w:rsidP="003754FE">
      <w:pPr>
        <w:pStyle w:val="TextoNormal"/>
      </w:pPr>
    </w:p>
    <w:p w14:paraId="1BBC623D" w14:textId="77777777" w:rsidR="003754FE" w:rsidRDefault="003754FE" w:rsidP="003754FE">
      <w:pPr>
        <w:pStyle w:val="TextoNormal"/>
      </w:pPr>
      <w:r>
        <w:t>Antes de abordar la concreta queja alegada por el demandante de amparo en relación con este motivo, conviene traer a colación, al menos resumidamente, la doctrina constitucional sobre el derecho a la presunción de inocencia (art. 24.2 CE) tal y como ha sido fijada por este tribunal.</w:t>
      </w:r>
    </w:p>
    <w:p w14:paraId="2A975C80" w14:textId="77777777" w:rsidR="003754FE" w:rsidRDefault="003754FE" w:rsidP="003754FE">
      <w:pPr>
        <w:pStyle w:val="TextoNormal"/>
      </w:pPr>
    </w:p>
    <w:p w14:paraId="07BE95E2" w14:textId="77777777" w:rsidR="003754FE" w:rsidRDefault="003754FE" w:rsidP="003754FE">
      <w:pPr>
        <w:pStyle w:val="TextoNormal"/>
      </w:pPr>
      <w:r>
        <w:t xml:space="preserve">Al respecto hemos consignado reiteradamente que este derecho queda configurado como el derecho a no ser condenado sin pruebas de cargo válidas (STC 31/1981, de 28 de julio), de tal manera que toda sentencia condenatoria ha de estar fundada en “una mínima actividad probatoria, realizada con las garantías necesarias, referida a todos los elementos esenciales del delito, y que de la misma quepa inferir razonablemente los hechos y la participación del acusado” (STC 105/2016, de 6 de junio, FJ 8). Esta idoneidad incriminatoria, además,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w:t>
      </w:r>
      <w:r w:rsidRPr="003754FE">
        <w:rPr>
          <w:i/>
        </w:rPr>
        <w:t>ratio decidendi</w:t>
      </w:r>
      <w:r>
        <w:t xml:space="preserve"> de la decisión judicial, sino una mínima explicación de los fundamentos probatorios del relato fáctico, con base en el cual se individualiza el caso y se posibilita la aplicación de la norma jurídica (por todas, STC 22/2013, de 31 de enero, FJ 5, y las resoluciones allí citadas)” (STC 105/2016, de 6 de junio, FJ 8).</w:t>
      </w:r>
    </w:p>
    <w:p w14:paraId="564EFF6C" w14:textId="77777777" w:rsidR="003754FE" w:rsidRDefault="003754FE" w:rsidP="003754FE">
      <w:pPr>
        <w:pStyle w:val="TextoNormal"/>
      </w:pPr>
    </w:p>
    <w:p w14:paraId="3B515DDD" w14:textId="77777777" w:rsidR="003754FE" w:rsidRDefault="003754FE" w:rsidP="003754FE">
      <w:pPr>
        <w:pStyle w:val="TextoNormal"/>
      </w:pPr>
      <w:r>
        <w:t>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En relación con esta concreta cuestión, la STC 133/2014, de 22 de julio, FJ 8, ya señalaba que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111/2008, de 22 de septiembre, FJ 3)”.</w:t>
      </w:r>
    </w:p>
    <w:p w14:paraId="54B27F36" w14:textId="77777777" w:rsidR="003754FE" w:rsidRDefault="003754FE" w:rsidP="003754FE">
      <w:pPr>
        <w:pStyle w:val="TextoNormal"/>
      </w:pPr>
    </w:p>
    <w:p w14:paraId="373EAABB" w14:textId="77777777" w:rsidR="003754FE" w:rsidRDefault="003754FE" w:rsidP="003754FE">
      <w:pPr>
        <w:pStyle w:val="TextoNormal"/>
      </w:pPr>
      <w:r>
        <w:t xml:space="preserve">Es la motivación de la resolución que declara la culpabilidad y responsabilidad de una persona la que se encuentra sometida al control de este tribunal. Así, hemos afirmado en numerosas ocasiones la radical falta de competencia de esta jurisdicción de amparo para la </w:t>
      </w:r>
      <w:r>
        <w:lastRenderedPageBreak/>
        <w:t xml:space="preserve">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Esta conclusión se ha fundamentado en dos razones de diferente índole: (i) por un lado, en que la Constitución no atribuye esa tarea de valoración a este tribunal, que no está incluida en las de amparo del derecho a la presunción de inocencia, y (ii) por otro, en que el proceso constitucional no permite el conocimiento preciso y completo de la actividad probatoria (STC 142/2012, de 2 de julio, FJ 5). De esta manera, “solo cabrá constatar una vulneración del derecho a la presunción de inocencia cuando no haya pruebas de cargo válidas, es decir, cuando los órganos judiciales hayan valorado una actividad probatoria lesiva de otros derechos fundamentales carente de garantías, o cuando no se motive el resultado de dicha valoración, o, finalmente, cuando por ilógico o insuficiente no sea razonable el </w:t>
      </w:r>
      <w:r w:rsidRPr="003754FE">
        <w:rPr>
          <w:i/>
        </w:rPr>
        <w:t>iter</w:t>
      </w:r>
      <w:r>
        <w:t xml:space="preserve"> discursivo que conduce de la prueba al hecho probado” (STC 189/1998, de 28 de septiembre, FJ 2 y, citándola entre otras muchas, SSTC 135/2003, de 30 de junio, FJ 2; 137/2005, de 23 de mayo, FJ 2, y 26/2010, de 27 de abril, FJ 6).</w:t>
      </w:r>
    </w:p>
    <w:p w14:paraId="0066420D" w14:textId="77777777" w:rsidR="003754FE" w:rsidRDefault="003754FE" w:rsidP="003754FE">
      <w:pPr>
        <w:pStyle w:val="TextoNormal"/>
      </w:pPr>
    </w:p>
    <w:p w14:paraId="49F9A238" w14:textId="77777777" w:rsidR="003754FE" w:rsidRDefault="003754FE" w:rsidP="003754FE">
      <w:pPr>
        <w:pStyle w:val="TextoNormal"/>
      </w:pPr>
      <w:r>
        <w:t>Este mismo canon se extiende a los supuestos de prueba indiciaria, donde la supervisión de la solidez de la inferencia puede llevarse a cabo tanto desde el control de su lógica o coherencia, siendo irrazonable cuando los indicios constatados excluyan el hecho que de ellos se hace derivar o no conduzca naturalmente a él, como desde la suficiencia o carácter concluyente, excluyéndose la razonabilidad por el carácter excesivamente abierto, débil o indeterminado de la inferencia (SSTC 127/2011, de 18 de julio, FJ 6; 142/2012, de 2 de julio, FJ 5, y 46/2022, de 24 de marzo, FJ 10.1).</w:t>
      </w:r>
    </w:p>
    <w:p w14:paraId="5626F0F0" w14:textId="77777777" w:rsidR="003754FE" w:rsidRDefault="003754FE" w:rsidP="003754FE">
      <w:pPr>
        <w:pStyle w:val="TextoNormal"/>
      </w:pPr>
    </w:p>
    <w:p w14:paraId="4C8EE2E9" w14:textId="77777777" w:rsidR="003754FE" w:rsidRDefault="003754FE" w:rsidP="003754FE">
      <w:pPr>
        <w:pStyle w:val="TextoNormal"/>
      </w:pPr>
      <w:r>
        <w:t>En conclusión, es deber de los órganos judiciales realizar un esfuerzo dirigido a la motivación de la sentencia o pronunciamiento condenatorio, puesto que son aquellos quienes tienen un conocimiento cabal, completo y obtenido con todas las garantías del acervo probatorio, y función de este tribunal comprobar la coherencia de dicha motivación a través de una supervisión externa de la razonabilidad del discurso que une la actividad probatoria y el relato fáctico resultante (STC 67/2021, de 17 de marzo, FJ 3).</w:t>
      </w:r>
    </w:p>
    <w:p w14:paraId="4CB46906" w14:textId="77777777" w:rsidR="003754FE" w:rsidRDefault="003754FE" w:rsidP="003754FE">
      <w:pPr>
        <w:pStyle w:val="TextoNormal"/>
      </w:pPr>
    </w:p>
    <w:p w14:paraId="3DABEBFC" w14:textId="77777777" w:rsidR="003754FE" w:rsidRDefault="003754FE" w:rsidP="003754FE">
      <w:pPr>
        <w:pStyle w:val="TextoNormal"/>
      </w:pPr>
      <w:r>
        <w:t>5.4</w:t>
      </w:r>
      <w:r w:rsidRPr="003754FE">
        <w:rPr>
          <w:i/>
        </w:rPr>
        <w:t>. Enjuiciamiento de la que</w:t>
      </w:r>
      <w:r>
        <w:t>ja</w:t>
      </w:r>
    </w:p>
    <w:p w14:paraId="2EFC1FFB" w14:textId="77777777" w:rsidR="003754FE" w:rsidRDefault="003754FE" w:rsidP="003754FE">
      <w:pPr>
        <w:pStyle w:val="TextoNormal"/>
      </w:pPr>
    </w:p>
    <w:p w14:paraId="1FF0205B" w14:textId="77777777" w:rsidR="003754FE" w:rsidRDefault="003754FE" w:rsidP="003754FE">
      <w:pPr>
        <w:pStyle w:val="TextoNormal"/>
      </w:pPr>
      <w:r>
        <w:t>En el análisis de este motivo es preciso partir de una triple delimitación del objeto y contenido de la queja de vulneración del derecho a la presunción de inocencia (art. 24.2 CE).</w:t>
      </w:r>
    </w:p>
    <w:p w14:paraId="1B880A70" w14:textId="77777777" w:rsidR="003754FE" w:rsidRDefault="003754FE" w:rsidP="003754FE">
      <w:pPr>
        <w:pStyle w:val="TextoNormal"/>
      </w:pPr>
    </w:p>
    <w:p w14:paraId="61A9A186" w14:textId="77777777" w:rsidR="003754FE" w:rsidRDefault="003754FE" w:rsidP="003754FE">
      <w:pPr>
        <w:pStyle w:val="TextoNormal"/>
      </w:pPr>
      <w:r>
        <w:t xml:space="preserve">En primer lugar, debe atenderse a que la declarada vulneración del derecho a la legalidad penal </w:t>
      </w:r>
      <w:r w:rsidRPr="003754FE">
        <w:rPr>
          <w:i/>
        </w:rPr>
        <w:t>ex</w:t>
      </w:r>
      <w:r>
        <w:t xml:space="preserve"> art. 25.1 CE, por integrarse en el título de prevaricación del art. 404 CP la intervención del recurrente en la tramitación de los presupuestos de 2002 a 2009 que prevén el programa 31L y de las modificaciones presupuestarias con cobertura en dicho programa 31L (</w:t>
      </w:r>
      <w:r w:rsidRPr="003754FE">
        <w:rPr>
          <w:i/>
        </w:rPr>
        <w:t>vid. supra</w:t>
      </w:r>
      <w:r>
        <w:t xml:space="preserve"> FJ 4.5), reduce su participación en los hechos con relevancia penal a su intervención en las modificaciones presupuestarias del programa 22E en los ejercicios 2000 y 2001 y del programa 32H en 2004.</w:t>
      </w:r>
    </w:p>
    <w:p w14:paraId="65549E02" w14:textId="77777777" w:rsidR="003754FE" w:rsidRDefault="003754FE" w:rsidP="003754FE">
      <w:pPr>
        <w:pStyle w:val="TextoNormal"/>
      </w:pPr>
    </w:p>
    <w:p w14:paraId="5E7A6982" w14:textId="77777777" w:rsidR="003754FE" w:rsidRDefault="003754FE" w:rsidP="003754FE">
      <w:pPr>
        <w:pStyle w:val="TextoNormal"/>
      </w:pPr>
      <w:r>
        <w:t xml:space="preserve">En segundo lugar, las alegaciones del actor se circunscriben a cuestionar la falta de prueba de la concurrencia del elemento subjetivo de la prevaricación, que identifica con el </w:t>
      </w:r>
      <w:r>
        <w:lastRenderedPageBreak/>
        <w:t>conocimiento de la ilegalidad del sistema de presupuestación. En momento alguno discute que participara en la tramitación y aprobación de las referidas modificaciones presupuestarias; lo que niega es que tuviera conocimiento de su contenido y, en todo caso, de su manifiesta ilegalidad. Considera, en concreto, que no se satisfacen las exigencias constitucionales de la prueba indiciaria de racionalidad y solidez de la inferencia para considerar probado ese conocimiento. A este concreto aspecto debe limitarse la revisión constitucional del motivo desde la perspectiva del art. 24.2 CE.</w:t>
      </w:r>
    </w:p>
    <w:p w14:paraId="2BD358E3" w14:textId="77777777" w:rsidR="003754FE" w:rsidRDefault="003754FE" w:rsidP="003754FE">
      <w:pPr>
        <w:pStyle w:val="TextoNormal"/>
      </w:pPr>
    </w:p>
    <w:p w14:paraId="495A85FB" w14:textId="77777777" w:rsidR="003754FE" w:rsidRDefault="003754FE" w:rsidP="003754FE">
      <w:pPr>
        <w:pStyle w:val="TextoNormal"/>
      </w:pPr>
      <w:r>
        <w:t xml:space="preserve">En tercer lugar y en estrecha conexión con lo anterior, es preciso tener también presente que la queja del recurrente sobre la falta de prueba del elemento subjetivo se refiere en exclusiva al conocimiento de la ilegalidad del sistema de presupuestación. No existe, sin embargo, alegación alguna respecto de la modificación presupuestaria del programa 32H de 9 de diciembre de 2004, cuya ilegalidad deriva de la dedicación de los fondos a fines por completo ajenos a dicho programa y no a la utilización de un instrumento financiero ilegal. Esa ausencia de carga alegatoria determina </w:t>
      </w:r>
      <w:r w:rsidRPr="003754FE">
        <w:rPr>
          <w:i/>
        </w:rPr>
        <w:t>ab initio</w:t>
      </w:r>
      <w:r>
        <w:t xml:space="preserve"> la imposibilidad de que se proyecte y, por ende, prospere el motivo en relación con la modificación presupuestaria del programa 32H.</w:t>
      </w:r>
    </w:p>
    <w:p w14:paraId="20F1841F" w14:textId="77777777" w:rsidR="003754FE" w:rsidRDefault="003754FE" w:rsidP="003754FE">
      <w:pPr>
        <w:pStyle w:val="TextoNormal"/>
      </w:pPr>
    </w:p>
    <w:p w14:paraId="363B75A4" w14:textId="77777777" w:rsidR="003754FE" w:rsidRDefault="003754FE" w:rsidP="003754FE">
      <w:pPr>
        <w:pStyle w:val="TextoNormal"/>
      </w:pPr>
      <w:r>
        <w:t>Efectuadas estas precisiones, corresponde afrontar el control externo que este tribunal debe realizar, en garantía del derecho a la presunción de inocencia, de la existencia de un engarce lógico y reconocible entre el resultado de la prueba y la afirmación fáctica de que el recurrente actuó con conocimiento de la ilegalidad de las modificaciones presupuestarias del programa 22E. Sin olvidar para ello que no es misión de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(STC 137/2005, de 23 de mayo, FJ 2).</w:t>
      </w:r>
    </w:p>
    <w:p w14:paraId="49C85DFE" w14:textId="77777777" w:rsidR="003754FE" w:rsidRDefault="003754FE" w:rsidP="003754FE">
      <w:pPr>
        <w:pStyle w:val="TextoNormal"/>
      </w:pPr>
    </w:p>
    <w:p w14:paraId="7F6A13CA" w14:textId="77777777" w:rsidR="003754FE" w:rsidRDefault="003754FE" w:rsidP="003754FE">
      <w:pPr>
        <w:pStyle w:val="TextoNormal"/>
      </w:pPr>
      <w:r>
        <w:t>De acuerdo con este parámetro de control constitucional y la doctrina antes recordada, no puede acogerse la queja del actor de falta de prueba de que conociera la manifiesta ilegalidad de las modificaciones presupuestarias en las que participó, que ahora se contraen a las aprobadas en los ejercicios de 2000 y 2001, derivada del apartamiento de la normativa de subvenciones sin cobertura legal.</w:t>
      </w:r>
    </w:p>
    <w:p w14:paraId="6E0A40FF" w14:textId="77777777" w:rsidR="003754FE" w:rsidRDefault="003754FE" w:rsidP="003754FE">
      <w:pPr>
        <w:pStyle w:val="TextoNormal"/>
      </w:pPr>
    </w:p>
    <w:p w14:paraId="40BD93FF" w14:textId="77777777" w:rsidR="003754FE" w:rsidRDefault="003754FE" w:rsidP="003754FE">
      <w:pPr>
        <w:pStyle w:val="TextoNormal"/>
      </w:pPr>
      <w:r>
        <w:t xml:space="preserve">a) La sentencia de la Audiencia Provincial relaciona y valora en un apartado específico, el fundamento de Derecho 40, la prueba de cargo que sostiene la participación del recurrente en los hechos consignada en el relato fáctico, deteniéndose de forma singular en la prueba de que conocía el sentido y efectos de las modificaciones presupuestarias previas a la introducción de la aplicación presupuestaria “transferencias de financiación al IFA” en el programa 31L de las leyes de presupuestos a partir de 2002. Se trata de una exposición amplia y detallada, como evidencia la síntesis efectuada en el apartado 4.2.1 de este fundamento jurídico, a la que nos remitimos para evitar reiteraciones, que después trae la sentencia del Tribunal Supremo en el fundamento 95.1 para descartar la lesión del derecho a la presunción de inocencia en los términos resumidos en el apartado 4.2.2, al que asimismo hay que remitirse. La lectura de ambas exposiciones evidencia que las resoluciones impugnadas han exteriorizado las pruebas relevantes tomadas en consideración y razonado la existencia de una </w:t>
      </w:r>
      <w:r>
        <w:lastRenderedPageBreak/>
        <w:t>conexión fundada entre ellas y la afirmación en los hechos probados de que conocía las irregularidades determinantes de la arbitrariedad de las resoluciones que se le imputan como actos de prevaricación. El examen de los razonamientos judiciales revela la existencia de una conexión fruto de las reglas de la lógica y la experiencia entre la prueba practicada y la afirmación del elemento subjetivo del tipo así como la solidez de esa inferencia.</w:t>
      </w:r>
    </w:p>
    <w:p w14:paraId="057D16C0" w14:textId="77777777" w:rsidR="003754FE" w:rsidRDefault="003754FE" w:rsidP="003754FE">
      <w:pPr>
        <w:pStyle w:val="TextoNormal"/>
      </w:pPr>
    </w:p>
    <w:p w14:paraId="5D7F335A" w14:textId="77777777" w:rsidR="003754FE" w:rsidRDefault="003754FE" w:rsidP="003754FE">
      <w:pPr>
        <w:pStyle w:val="TextoNormal"/>
      </w:pPr>
      <w:r>
        <w:t>b) Así, la sentencia de instancia asienta el conocimiento del demandante de las irregularidades e incumplimientos de que adolecían las modificaciones presupuestarias en cuya aprobación intervino, señaladamente, las realizadas en 2000 y 2001 en dos datos: el conocimiento del Sr. Zarrías Arévalo del cambio al sistema de transferencias de financiación inaugurado con la modificación presupuestaria de 18 de abril de 2000, con apartamiento del sistema subvencional hasta entonces seguido, y el conocimiento de la ilegalidad de ese nuevo sistema; datos, a su vez, acreditados por prueba indiciaria. De la misma forma, la sentencia de casación insiste en los indicios manejados por el tribunal de instancia para sostener que el actor conocía la ilegalidad del cambio de presupuestación para el pago de las ayudas sociolaborales, utilizando un instrumento financiero manifiestamente ilegal, las transferencias de financiación, y que su finalidad era evitar la aplicación de la normativa de subvenciones.</w:t>
      </w:r>
    </w:p>
    <w:p w14:paraId="3F12F35E" w14:textId="77777777" w:rsidR="003754FE" w:rsidRDefault="003754FE" w:rsidP="003754FE">
      <w:pPr>
        <w:pStyle w:val="TextoNormal"/>
      </w:pPr>
    </w:p>
    <w:p w14:paraId="32BB58A4" w14:textId="77777777" w:rsidR="003754FE" w:rsidRDefault="003754FE" w:rsidP="003754FE">
      <w:pPr>
        <w:pStyle w:val="TextoNormal"/>
      </w:pPr>
      <w:r>
        <w:t>c) Sin perjuicio de remitir de nuevo a la relación detallada que contienen las sentencias de la Audiencia Provincial y del Tribunal Supremo a la que se viene aludiendo, cabe referir los siguientes indicios que manejan las resoluciones impugnadas:</w:t>
      </w:r>
    </w:p>
    <w:p w14:paraId="53D0E195" w14:textId="77777777" w:rsidR="003754FE" w:rsidRDefault="003754FE" w:rsidP="003754FE">
      <w:pPr>
        <w:pStyle w:val="TextoNormal"/>
      </w:pPr>
    </w:p>
    <w:p w14:paraId="17E3EE4E" w14:textId="77777777" w:rsidR="003754FE" w:rsidRDefault="003754FE" w:rsidP="003754FE">
      <w:pPr>
        <w:pStyle w:val="TextoNormal"/>
      </w:pPr>
      <w:r>
        <w:t>(i) El conocimiento general de los problemas conflictivos propio de la labor de asesoramiento que corresponde al consejero de Presidencia.</w:t>
      </w:r>
    </w:p>
    <w:p w14:paraId="2FA48CDC" w14:textId="77777777" w:rsidR="003754FE" w:rsidRDefault="003754FE" w:rsidP="003754FE">
      <w:pPr>
        <w:pStyle w:val="TextoNormal"/>
      </w:pPr>
    </w:p>
    <w:p w14:paraId="2A696BA1" w14:textId="77777777" w:rsidR="003754FE" w:rsidRDefault="003754FE" w:rsidP="003754FE">
      <w:pPr>
        <w:pStyle w:val="TextoNormal"/>
      </w:pPr>
      <w:r>
        <w:t>(ii) El conocimiento singular que corresponde al presidente de la Comisión general de viceconsejeros, como órgano por el que pasan los expedientes de modificación presupuestaria y encargado de filtrar los que llegan al Consejo de Gobierno. Resulta aquí relevante no solo la asistencia a las sesiones celebradas el 18 de septiembre y el 7 de noviembre de 2001, en las que se acordó elevar al Consejo de Gobierno las que serían aprobadas el 18 de septiembre y el 13 de noviembre de 2001. También se valora que por las sesiones de la Comisión, aun sin presencia del recurrente pero con su conocimiento, pasaron las modificaciones iniciales del año 2000 y, en especial, la aprobada el 28 de julio de 2000, en cuyo extracto se dibujaba el sistema de ayudas que aunaba las transferencias de financiación y el convenio marco entre la Consejería de Empleo y el IFA. Igualmente decisiva se considera la discusión en tres sesiones de la Comisión presididas por el recurrente (13 de diciembre de 2000, 17 de enero de 2001 y 24 de enero de 2001) del proyecto de decreto de la Consejería de Empleo de regulación de la concesión de las ayudas sociolaborales, que finalmente no se elevó al Consejo de Gobierno por las objeciones que se le hicieron, pero que ilustraba sobre cómo pretendían concederse.</w:t>
      </w:r>
    </w:p>
    <w:p w14:paraId="65749638" w14:textId="77777777" w:rsidR="003754FE" w:rsidRDefault="003754FE" w:rsidP="003754FE">
      <w:pPr>
        <w:pStyle w:val="TextoNormal"/>
      </w:pPr>
    </w:p>
    <w:p w14:paraId="57637D68" w14:textId="77777777" w:rsidR="003754FE" w:rsidRDefault="003754FE" w:rsidP="003754FE">
      <w:pPr>
        <w:pStyle w:val="TextoNormal"/>
      </w:pPr>
      <w:r>
        <w:t xml:space="preserve">En este punto se descarta tanto por la sentencia de la Audiencia Provincial como por la sentencia del Tribunal Supremo el argumento de que el paso por la Comisión General de Viceconsejeros de las modificaciones presupuestarias no permite suponer el conocimiento de su contenido e ilegalidades, ya que desconoce las competencias de tal órgano, las propias instrucciones de tramitación dadas por la Consejería de Empleo, indicativas de un debate en </w:t>
      </w:r>
      <w:r>
        <w:lastRenderedPageBreak/>
        <w:t>su seno, y lleva al absurdo de dejar las decisiones presupuestarias de mayor calado en los cargos intermedios o los funcionarios de rango inferior.</w:t>
      </w:r>
    </w:p>
    <w:p w14:paraId="02F6DF4E" w14:textId="77777777" w:rsidR="003754FE" w:rsidRDefault="003754FE" w:rsidP="003754FE">
      <w:pPr>
        <w:pStyle w:val="TextoNormal"/>
      </w:pPr>
    </w:p>
    <w:p w14:paraId="08F5ADF5" w14:textId="77777777" w:rsidR="003754FE" w:rsidRDefault="003754FE" w:rsidP="003754FE">
      <w:pPr>
        <w:pStyle w:val="TextoNormal"/>
      </w:pPr>
      <w:r>
        <w:t>(iii) El conocimiento de la forma en que se estaban dando las ayudas que proporcionaba la documentación y memorias que acompañaban a las distintas modificaciones presupuestarias y a los anteproyectos de ley de presupuestos.</w:t>
      </w:r>
    </w:p>
    <w:p w14:paraId="4D86A1B3" w14:textId="77777777" w:rsidR="003754FE" w:rsidRDefault="003754FE" w:rsidP="003754FE">
      <w:pPr>
        <w:pStyle w:val="TextoNormal"/>
      </w:pPr>
    </w:p>
    <w:p w14:paraId="049D959A" w14:textId="77777777" w:rsidR="003754FE" w:rsidRDefault="003754FE" w:rsidP="003754FE">
      <w:pPr>
        <w:pStyle w:val="TextoNormal"/>
      </w:pPr>
      <w:r>
        <w:t>(iv) El conocimiento declarado por el Sr. Zarrías de la Ley general de la hacienda pública de Andalucía y del marco normativo de las subvenciones, que prohíbe usar las transferencias de financiación para el pago de subvenciones.</w:t>
      </w:r>
    </w:p>
    <w:p w14:paraId="661F82E6" w14:textId="77777777" w:rsidR="003754FE" w:rsidRDefault="003754FE" w:rsidP="003754FE">
      <w:pPr>
        <w:pStyle w:val="TextoNormal"/>
      </w:pPr>
    </w:p>
    <w:p w14:paraId="487FE8F2" w14:textId="77777777" w:rsidR="003754FE" w:rsidRDefault="003754FE" w:rsidP="003754FE">
      <w:pPr>
        <w:pStyle w:val="TextoNormal"/>
      </w:pPr>
      <w:r>
        <w:t>(v) El conocimiento de la aplicación de la normativa de subvenciones para la concesión de ayudas sociolaborales hasta el año 2000 y de las dificultades que las ayudas así tramitadas habían encontrado, vinculado a su conocimiento y seguimiento de la problemática de la crisis empresarial en Jaén, ámbito territorial de su acción política, con intervención en la gestión de la crisis de la empresa Hamsa, en la que justamente se plantearon reparos por el informe de la intervención de 19 de junio de 2000.</w:t>
      </w:r>
    </w:p>
    <w:p w14:paraId="377AB782" w14:textId="77777777" w:rsidR="003754FE" w:rsidRDefault="003754FE" w:rsidP="003754FE">
      <w:pPr>
        <w:pStyle w:val="TextoNormal"/>
      </w:pPr>
    </w:p>
    <w:p w14:paraId="13081C99" w14:textId="77777777" w:rsidR="003754FE" w:rsidRDefault="003754FE" w:rsidP="003754FE">
      <w:pPr>
        <w:pStyle w:val="TextoNormal"/>
      </w:pPr>
      <w:r>
        <w:t>(vi) La trascendencia social de las crisis empresariales y el hecho de que dar las ayudas fuera una decisión del gobierno en su conjunto en cumplimiento del compromiso electoral en tal sentido, como también declaró, conduce a rechazar que los responsables de la Consejería de Empleo no informaran del cambio de sistema en el Consejo de Gobierno y la Comisión general de viceconsejeros.</w:t>
      </w:r>
    </w:p>
    <w:p w14:paraId="1637E45C" w14:textId="77777777" w:rsidR="003754FE" w:rsidRDefault="003754FE" w:rsidP="003754FE">
      <w:pPr>
        <w:pStyle w:val="TextoNormal"/>
      </w:pPr>
    </w:p>
    <w:p w14:paraId="02002093" w14:textId="77777777" w:rsidR="003754FE" w:rsidRDefault="003754FE" w:rsidP="003754FE">
      <w:pPr>
        <w:pStyle w:val="TextoNormal"/>
      </w:pPr>
      <w:r>
        <w:t>El anterior elenco de elementos fácticos permite inferir de forma lógica y concluyente el doble conocimiento del recurrente del cambio del sistema de financiación y su ilegalidad por oponerse a la normativa legal, conforme han razonado de forma detallada las resoluciones impugnadas. Y con ello sostener fundadamente que actuó con conocimiento de la ilegalidad de las modificaciones presupuestarias del programa 22E vinculada al apartamiento de la normativa de subvenciones sin cobertura en una ley de presupuestos.</w:t>
      </w:r>
    </w:p>
    <w:p w14:paraId="2AAADE30" w14:textId="77777777" w:rsidR="003754FE" w:rsidRDefault="003754FE" w:rsidP="003754FE">
      <w:pPr>
        <w:pStyle w:val="TextoNormal"/>
      </w:pPr>
    </w:p>
    <w:p w14:paraId="6E7F7247" w14:textId="77777777" w:rsidR="003754FE" w:rsidRDefault="003754FE" w:rsidP="003754FE">
      <w:pPr>
        <w:pStyle w:val="TextoNormal"/>
      </w:pPr>
      <w:r>
        <w:t>d) Frente a esa conclusión opone el recurrente cuatro objeciones puntuales, que olvidan la consideración del panorama indiciario conjunto como sustento de la convicción judicial sobre el elemento subjetivo y cuestionan de forma desagregada el valor probatorio de cargo de los indicios manejados por las resoluciones impugnadas, además de hacerlo con base en un entendimiento incorrecto de lo manifestado en las sentencias tanto sobre el hecho base como sobre la inferencia.</w:t>
      </w:r>
    </w:p>
    <w:p w14:paraId="5BCE460A" w14:textId="77777777" w:rsidR="003754FE" w:rsidRDefault="003754FE" w:rsidP="003754FE">
      <w:pPr>
        <w:pStyle w:val="TextoNormal"/>
      </w:pPr>
    </w:p>
    <w:p w14:paraId="6E519CD0" w14:textId="77777777" w:rsidR="003754FE" w:rsidRDefault="003754FE" w:rsidP="003754FE">
      <w:pPr>
        <w:pStyle w:val="TextoNormal"/>
      </w:pPr>
      <w:r>
        <w:t>(i) En lo que se refiere al protagonismo del caso Hamsa, lo relevante no es solo el informe con reparos de la Intervención General, ciertamente posterior a la primera modificación presupuestaria, sino que las sentencias subrayan el conocimiento amplio que el recurrente tuvo del caso y su importancia en el cambio de presupuestación, sin identificarlo como el único incentivo al mismo. De otro lado, la intervención que atribuye al Sr. Zarrías en la crisis de esta empresa no se identifica con la gestión de la subvención, como entiende el recurrente.</w:t>
      </w:r>
    </w:p>
    <w:p w14:paraId="4A337365" w14:textId="77777777" w:rsidR="003754FE" w:rsidRDefault="003754FE" w:rsidP="003754FE">
      <w:pPr>
        <w:pStyle w:val="TextoNormal"/>
      </w:pPr>
    </w:p>
    <w:p w14:paraId="088A1779" w14:textId="77777777" w:rsidR="003754FE" w:rsidRDefault="003754FE" w:rsidP="003754FE">
      <w:pPr>
        <w:pStyle w:val="TextoNormal"/>
      </w:pPr>
      <w:r>
        <w:t xml:space="preserve">(ii) El cuestionado conocimiento del convenio marco tampoco resulta determinante de la apreciación de que conocía el carácter ilegal de las modificaciones presupuestarias que </w:t>
      </w:r>
      <w:r>
        <w:lastRenderedPageBreak/>
        <w:t>arbitraban transferencias de financiación al IFA en materia de relaciones laborales en programas cuyos fines, según la ley, son otros y en contra de la normativa de subvenciones. En todo caso, ya la sentencia de la Audiencia Provincial advertía de que el convenio al que aludía el extracto del expediente de la modificación presupuestaria de 28 de julio de 2000 era el borrador de convenio marco. Ese dato no obsta a que su mención en la justificación de dicha modificación del programa 22E junto a la alusión a la finalidad de dotar de fondos al IFA para el pago de las ayudas ilustrara sobre el nuevo sistema de concesión de las ayudas.</w:t>
      </w:r>
    </w:p>
    <w:p w14:paraId="5B136FF3" w14:textId="77777777" w:rsidR="003754FE" w:rsidRDefault="003754FE" w:rsidP="003754FE">
      <w:pPr>
        <w:pStyle w:val="TextoNormal"/>
      </w:pPr>
    </w:p>
    <w:p w14:paraId="2F2DD26A" w14:textId="77777777" w:rsidR="003754FE" w:rsidRDefault="003754FE" w:rsidP="003754FE">
      <w:pPr>
        <w:pStyle w:val="TextoNormal"/>
      </w:pPr>
      <w:r>
        <w:t>(iii) La errónea referencia al proyecto de decreto 2004 carece de toda relevancia, porque el dato que permite inferir que conocía como pretendían darse las ayudas por la Consejería de Empleo al que se refieren las sentencias al analizar la prueba de cargo contra el recurrente es el proyecto de decreto de la Consejería de Empleo de 2000, discutido en tres sesiones de la Comisión general de viceconsejeros sin ser finalmente elevado al Consejo de Gobierno.</w:t>
      </w:r>
    </w:p>
    <w:p w14:paraId="4622CE3F" w14:textId="77777777" w:rsidR="003754FE" w:rsidRDefault="003754FE" w:rsidP="003754FE">
      <w:pPr>
        <w:pStyle w:val="TextoNormal"/>
      </w:pPr>
    </w:p>
    <w:p w14:paraId="16D6DFCA" w14:textId="77777777" w:rsidR="003754FE" w:rsidRDefault="003754FE" w:rsidP="003754FE">
      <w:pPr>
        <w:pStyle w:val="TextoNormal"/>
      </w:pPr>
      <w:r>
        <w:t>(iv) Y, en fin, tampoco los informes de la Intervención General de la Junta sobre deficiencias de contabilización de las transferencias de financiación que el recurrente niega haber recibido tienen el papel decisivo que pretende otorgarles el demandante, olvidando, además, la referencia a otros documentos como son los que acompañan a las modificaciones presupuestarias y a los anteproyectos de ley de presupuestos.</w:t>
      </w:r>
    </w:p>
    <w:p w14:paraId="4D9E70D5" w14:textId="77777777" w:rsidR="003754FE" w:rsidRDefault="003754FE" w:rsidP="003754FE">
      <w:pPr>
        <w:pStyle w:val="TextoNormal"/>
      </w:pPr>
    </w:p>
    <w:p w14:paraId="7BB44A44" w14:textId="5ED269FF" w:rsidR="003754FE" w:rsidRDefault="003754FE" w:rsidP="003754FE">
      <w:pPr>
        <w:pStyle w:val="TextoNormal"/>
      </w:pPr>
      <w:r>
        <w:t>e) Las alegaciones realizadas por el demandante de amparo no desvirtúan los sostenidos en las resoluciones judiciales. Tanto la sentencia de instancia como la de casación se detienen de forma expresa en la prueba del elemento subjetivo, del conocimiento de la ilegalidad de las modificaciones presupuestarias del programa 22 E en cuya aprobación intervino el demandante. Ese dolo se infiere de dos datos (i) del conocimiento del Sr. Zarrías Arévalo del cambio al sistema de transferencias de financiación inaugurado con la modificación presupuestaria de 18 de abril de 2000, con apartamiento del sistema subvencional hasta entonces seguido, y (ii) del conocimiento de la ilegalidad de ese nuevo sistema en tanto que contrario a la regulación de las subvenciones sin que existiera cobertura para ello en la ley de presupuestos. Esos elementos vienen acreditados por prueba indiciaria, asentada en hechos base probados valorados razonablemente de los que el órgano judicial infiere de forma lógica y concluyente el doble conocimiento aludido del cambio y su ilegalidad. En tal medida debe desestimarse el motivo de amparo que denuncia la vulneración del derecho a la presunción de inocencia.</w:t>
      </w:r>
    </w:p>
    <w:p w14:paraId="349FA5A8" w14:textId="77777777" w:rsidR="003754FE" w:rsidRDefault="003754FE" w:rsidP="003754FE">
      <w:pPr>
        <w:pStyle w:val="TextoNormal"/>
      </w:pPr>
    </w:p>
    <w:p w14:paraId="27700E63" w14:textId="77777777" w:rsidR="003754FE" w:rsidRDefault="003754FE" w:rsidP="003754FE">
      <w:pPr>
        <w:pStyle w:val="TextoNormal"/>
      </w:pPr>
      <w:r w:rsidRPr="003754FE">
        <w:rPr>
          <w:rStyle w:val="NumeroAFNegritaCaracter"/>
        </w:rPr>
        <w:t>6</w:t>
      </w:r>
      <w:r>
        <w:t xml:space="preserve">. </w:t>
      </w:r>
      <w:r w:rsidRPr="003754FE">
        <w:rPr>
          <w:i/>
        </w:rPr>
        <w:t>Conclusiones y alcance del fallo</w:t>
      </w:r>
    </w:p>
    <w:p w14:paraId="2E88FAEE" w14:textId="77777777" w:rsidR="003754FE" w:rsidRDefault="003754FE" w:rsidP="003754FE">
      <w:pPr>
        <w:pStyle w:val="TextoNormal"/>
      </w:pPr>
    </w:p>
    <w:p w14:paraId="687A260B" w14:textId="77777777" w:rsidR="003754FE" w:rsidRDefault="003754FE" w:rsidP="003754FE">
      <w:pPr>
        <w:pStyle w:val="TextoNormal"/>
      </w:pPr>
      <w:r>
        <w:t>Los argumentos expuestos en los fundamentos jurídicos anteriores determinan que la estimación parcial del presente recurso de amparo tenga como efecto la nulidad de las resoluciones impugnadas en relación con la condena del recurrente por el delito de prevaricación del art. 404 CP.</w:t>
      </w:r>
    </w:p>
    <w:p w14:paraId="26EA74C9" w14:textId="77777777" w:rsidR="003754FE" w:rsidRDefault="003754FE" w:rsidP="003754FE">
      <w:pPr>
        <w:pStyle w:val="TextoNormal"/>
      </w:pPr>
    </w:p>
    <w:p w14:paraId="0A506CBF" w14:textId="77777777" w:rsidR="003754FE" w:rsidRDefault="003754FE" w:rsidP="003754FE">
      <w:pPr>
        <w:pStyle w:val="TextoNormal"/>
      </w:pPr>
      <w:r>
        <w:t>Los argumentos expresados en los fundamentos jurídicos 4 y 5 de esta resolución ponen de manifiesto:</w:t>
      </w:r>
    </w:p>
    <w:p w14:paraId="297C979B" w14:textId="77777777" w:rsidR="003754FE" w:rsidRDefault="003754FE" w:rsidP="003754FE">
      <w:pPr>
        <w:pStyle w:val="TextoNormal"/>
      </w:pPr>
    </w:p>
    <w:p w14:paraId="249F8638" w14:textId="77777777" w:rsidR="003754FE" w:rsidRDefault="003754FE" w:rsidP="003754FE">
      <w:pPr>
        <w:pStyle w:val="TextoNormal"/>
      </w:pPr>
      <w:r>
        <w:t xml:space="preserve">a) Que infringe el derecho a la legalidad penal (art. 25.1 CE) la aplicación que han efectuado los órganos judiciales del art. 404 CP al condenar al recurrente en amparo como autor </w:t>
      </w:r>
      <w:r>
        <w:lastRenderedPageBreak/>
        <w:t>de un delito continuado de prevaricación (art. 404 CP): (i) por haber intervenido en la elaboración de los anteproyectos de ley de presupuestos para los ejercicios 2002 a 2009; (ii) por haber participado en la tramitación de las modificaciones presupuestarias correspondientes a los ejercicios 2002, 2005, 2006, 2007 y 2008 en relación con el programa 31L.</w:t>
      </w:r>
    </w:p>
    <w:p w14:paraId="17E61301" w14:textId="77777777" w:rsidR="003754FE" w:rsidRDefault="003754FE" w:rsidP="003754FE">
      <w:pPr>
        <w:pStyle w:val="TextoNormal"/>
      </w:pPr>
    </w:p>
    <w:p w14:paraId="2202F262" w14:textId="77777777" w:rsidR="003754FE" w:rsidRDefault="003754FE" w:rsidP="003754FE">
      <w:pPr>
        <w:pStyle w:val="TextoNormal"/>
      </w:pPr>
      <w:r>
        <w:t>No es lesiva del derecho a la legalidad penal (art. 25.1 CE) la condena por delito de prevaricación del recurrente de amparo en relación con su intervención en: (i) la aprobación de las modificaciones presupuestarias realizadas los ejercicios 2000 y 2001 por las que se incrementaron los créditos de la partida 22E; (ii) la modificación presupuestaria de 9 de diciembre de 2004, por la que se incrementaron los créditos correspondientes al programa 32H.</w:t>
      </w:r>
    </w:p>
    <w:p w14:paraId="74A03F12" w14:textId="77777777" w:rsidR="003754FE" w:rsidRDefault="003754FE" w:rsidP="003754FE">
      <w:pPr>
        <w:pStyle w:val="TextoNormal"/>
      </w:pPr>
    </w:p>
    <w:p w14:paraId="6248D2E4" w14:textId="77777777" w:rsidR="003754FE" w:rsidRDefault="003754FE" w:rsidP="003754FE">
      <w:pPr>
        <w:pStyle w:val="TextoNormal"/>
      </w:pPr>
      <w:r>
        <w:t>b) La desestimación de la vulneración del derecho a la presunción de inocencia (art. 24.2 CE) en lo que se refiere a la intervención del demandante en la aprobación de las modificaciones presupuestarias del programa 22E (ejercicios 2000 y 2001) y del programa 32H (9 de diciembre de 2004).</w:t>
      </w:r>
    </w:p>
    <w:p w14:paraId="146B2C61" w14:textId="77777777" w:rsidR="003754FE" w:rsidRDefault="003754FE" w:rsidP="003754FE">
      <w:pPr>
        <w:pStyle w:val="TextoNormal"/>
      </w:pPr>
    </w:p>
    <w:p w14:paraId="61D04870" w14:textId="604CAF87" w:rsidR="003754FE" w:rsidRDefault="003754FE" w:rsidP="003754FE">
      <w:pPr>
        <w:pStyle w:val="TextoNormal"/>
      </w:pPr>
      <w:r>
        <w:t>En consecuencia, el fallo parcialmente estimatorio determina la nulidad de las resoluciones impugnadas y la retroacción del procedimiento al momento anterior al dictado de la sentencia de instancia para que por la Audiencia Provincial de Sevilla se dicte un nuevo pronunciamiento exclusivamente en lo relativo a la posible comisión de un delito de prevaricación en relación con las modificaciones presupuestarias del programa 22E de los ejercicios 2000-2001 y la modificación presupuestaria del programa 32H de 9 de diciembre de 2004.</w:t>
      </w:r>
    </w:p>
    <w:p w14:paraId="2E05A790" w14:textId="77777777" w:rsidR="003754FE" w:rsidRDefault="003754FE" w:rsidP="003754FE">
      <w:pPr>
        <w:pStyle w:val="TextoNormal"/>
      </w:pPr>
    </w:p>
    <w:p w14:paraId="7F6378A9" w14:textId="77777777" w:rsidR="003754FE" w:rsidRDefault="003754FE" w:rsidP="003754FE">
      <w:pPr>
        <w:pStyle w:val="TextoNormalCentrado"/>
        <w:keepNext/>
      </w:pPr>
      <w:r>
        <w:t>FALLO</w:t>
      </w:r>
    </w:p>
    <w:p w14:paraId="777EE30C" w14:textId="59D9461C" w:rsidR="003754FE" w:rsidRDefault="003754FE" w:rsidP="003754FE">
      <w:pPr>
        <w:pStyle w:val="TextoNormalCentrado"/>
        <w:keepNext/>
      </w:pPr>
    </w:p>
    <w:p w14:paraId="0FC5DFC3" w14:textId="77777777" w:rsidR="003754FE" w:rsidRDefault="003754FE" w:rsidP="003754FE">
      <w:pPr>
        <w:pStyle w:val="TextoNormal"/>
      </w:pPr>
      <w:r>
        <w:t>En atención a todo lo expuesto, el Tribunal Constitucional, por la autoridad que le confiere la Constitución de la Nación española, ha decidido:</w:t>
      </w:r>
    </w:p>
    <w:p w14:paraId="0C12BFD3" w14:textId="77777777" w:rsidR="003754FE" w:rsidRDefault="003754FE" w:rsidP="003754FE">
      <w:pPr>
        <w:pStyle w:val="TextoNormal"/>
      </w:pPr>
    </w:p>
    <w:p w14:paraId="61B93D28" w14:textId="77777777" w:rsidR="003754FE" w:rsidRDefault="003754FE" w:rsidP="003754FE">
      <w:pPr>
        <w:pStyle w:val="TextoNormal"/>
      </w:pPr>
      <w:r>
        <w:t>1º. Reconocer que se ha vulnerado el derecho fundamental del recurrente a la legalidad penal (art. 25.1 CE).</w:t>
      </w:r>
    </w:p>
    <w:p w14:paraId="40D8B901" w14:textId="77777777" w:rsidR="003754FE" w:rsidRDefault="003754FE" w:rsidP="003754FE">
      <w:pPr>
        <w:pStyle w:val="TextoNormal"/>
      </w:pPr>
    </w:p>
    <w:p w14:paraId="6CEA65A7" w14:textId="77777777" w:rsidR="003754FE" w:rsidRDefault="003754FE" w:rsidP="003754FE">
      <w:pPr>
        <w:pStyle w:val="TextoNormal"/>
      </w:pPr>
      <w:r>
        <w:t>2º. Restablecer al recurrente en su derecho y, a tal fin, declarar la nulidad de la sentencia núm. 490/2019, de 19 de noviembre, dictada por la Sección Primera de la Audiencia Provincial de Sevilla, de la sentencia núm. 749/2022, de 13 de septiembre, de la Sala de lo Penal del Tribunal Supremo, así como de los autos del mismo tribunal de 14 de diciembre de 2022 y de 16 de febrero de 2023, ordenando la retroacción del proceso al momento anterior al dictado de la sentencia de instancia para que por la Audiencia Provincial de Sevilla se dicte un nuevo pronunciamiento respetuoso con el derecho fundamental vulnerado, en los términos que se indican en el fundamento jurídico seis de esta sentencia.</w:t>
      </w:r>
    </w:p>
    <w:p w14:paraId="0380712F" w14:textId="77777777" w:rsidR="003754FE" w:rsidRDefault="003754FE" w:rsidP="003754FE">
      <w:pPr>
        <w:pStyle w:val="TextoNormal"/>
      </w:pPr>
    </w:p>
    <w:p w14:paraId="3932FB81" w14:textId="7182C674" w:rsidR="003754FE" w:rsidRDefault="003754FE" w:rsidP="003754FE">
      <w:pPr>
        <w:pStyle w:val="TextoNormal"/>
      </w:pPr>
      <w:r>
        <w:t>3º. Desestimar el recurso de amparo en lo restante.</w:t>
      </w:r>
    </w:p>
    <w:p w14:paraId="5A4C572A" w14:textId="77777777" w:rsidR="003754FE" w:rsidRDefault="003754FE" w:rsidP="003754FE">
      <w:pPr>
        <w:pStyle w:val="TextoNormal"/>
      </w:pPr>
    </w:p>
    <w:p w14:paraId="7EFB1D3F" w14:textId="77777777" w:rsidR="003754FE" w:rsidRDefault="003754FE" w:rsidP="003754FE">
      <w:pPr>
        <w:pStyle w:val="TextoNormal"/>
      </w:pPr>
      <w:r>
        <w:t>Publíquese esta sentencia en el “Boletín Oficial del Estado”.</w:t>
      </w:r>
    </w:p>
    <w:p w14:paraId="0190161B" w14:textId="77777777" w:rsidR="003754FE" w:rsidRDefault="003754FE" w:rsidP="003754FE">
      <w:pPr>
        <w:pStyle w:val="TextoNormal"/>
      </w:pPr>
      <w:r>
        <w:t>Dada en Madrid, a diecisiete de julio de dos mil veinticuatro.</w:t>
      </w:r>
    </w:p>
    <w:p w14:paraId="75F5D67F" w14:textId="029DFA18" w:rsidR="003754FE" w:rsidRDefault="003754FE" w:rsidP="003754FE">
      <w:pPr>
        <w:pStyle w:val="ParrafoNormal"/>
      </w:pPr>
    </w:p>
    <w:p w14:paraId="00EA7586" w14:textId="77777777" w:rsidR="003754FE" w:rsidRDefault="003754FE" w:rsidP="003754FE">
      <w:pPr>
        <w:pStyle w:val="TextoNormalNegritaCentrado"/>
        <w:keepNext/>
      </w:pPr>
      <w:r>
        <w:lastRenderedPageBreak/>
        <w:t>Voto particular que formula el magistrado don Ricardo Enríquez Sancho a la sentencia dictada en el recurso de amparo núm. 2411-2023</w:t>
      </w:r>
    </w:p>
    <w:p w14:paraId="5C5BBF6B" w14:textId="46CB50E0" w:rsidR="003754FE" w:rsidRDefault="003754FE" w:rsidP="003754FE">
      <w:pPr>
        <w:pStyle w:val="TextoNormalNegritaCentrado"/>
        <w:keepNext/>
      </w:pPr>
    </w:p>
    <w:p w14:paraId="68C24595" w14:textId="77777777" w:rsidR="003754FE" w:rsidRDefault="003754FE" w:rsidP="003754FE">
      <w:pPr>
        <w:pStyle w:val="TextoNormal"/>
      </w:pPr>
      <w:r>
        <w:t>En el ejercicio de la facultad que me confiere el art. 90.2 de la Ley Orgánica del Tribunal Constitucional (LOTC), y con el máximo respeto a la opinión de los magistrados que han conformado la mayoría del Pleno, formulo el presente voto particular por discrepar de la fundamentación y del fallo de la sentencia recaída en el recurso de amparo avocado por el Pleno núm. 2411-2023, interpuesto por don Gaspar Zarrías Arévalo, el cual a mi juicio debió ser desestimado porque las sentencias impugnadas no vulneraron el derecho fundamental del recurrente a la legalidad penal (art. 25.1 CE).</w:t>
      </w:r>
    </w:p>
    <w:p w14:paraId="5A2E8A19" w14:textId="77777777" w:rsidR="003754FE" w:rsidRDefault="003754FE" w:rsidP="003754FE">
      <w:pPr>
        <w:pStyle w:val="TextoNormal"/>
      </w:pPr>
    </w:p>
    <w:p w14:paraId="4D7CA38D" w14:textId="77777777" w:rsidR="003754FE" w:rsidRDefault="003754FE" w:rsidP="003754FE">
      <w:pPr>
        <w:pStyle w:val="TextoNormal"/>
      </w:pPr>
      <w:r>
        <w:t>Antes de explicar las razones de este voto particular, procede recordar que el Pleno de este tribunal ha dictado ya diez sentencias en esta serie de recursos de amparo referida a la causa de los “ERE”, en el que se impugnaban las mismas resoluciones que aquí, la sentencia de la Sección Primera de la Audiencia Provincial de Sevilla de 19 de noviembre de 2019, confirmada en casación por la sentencia de la Sala de lo Penal del Tribunal Supremo de 13 de septiembre de 2022 (así como el auto de la misma Sala de lo Penal de 16 de febrero de 2023 que rechazó el incidente de nulidad de actuaciones promovido contra su sentencia). Todos los recurrentes resultaron condenados por el delito de prevaricación [art. 404 del Código penal (CP)], y algunos además —no es el caso del aquí recurrente— por el delito de malversación de caudales públicos (art. 432 CP) en concurso medial con aquel otro, dada su participación en los hechos probados que las sentencias recurridas subsumen en los mencionados delitos y en virtud del correspondiente juicio de autoría, valiéndose de su condición de altos cargos de la Junta de Andalucía en los ejercicios 2000 a 2009. En el caso del señor Zarrías Arévalo, fue consejero de Presidencia de dicho ejecutivo autonómico entre abril de 1996 y abril de 2009.</w:t>
      </w:r>
    </w:p>
    <w:p w14:paraId="78E80C79" w14:textId="77777777" w:rsidR="003754FE" w:rsidRDefault="003754FE" w:rsidP="003754FE">
      <w:pPr>
        <w:pStyle w:val="TextoNormal"/>
      </w:pPr>
    </w:p>
    <w:p w14:paraId="37C51B79" w14:textId="77777777" w:rsidR="003754FE" w:rsidRDefault="003754FE" w:rsidP="003754FE">
      <w:pPr>
        <w:pStyle w:val="TextoNormal"/>
      </w:pPr>
      <w:r>
        <w:t>La sentencia recaída en el recurso de amparo 2411-2023 de la que ahora discrepo, despliega los mismos razonamientos que ya ha utilizado el Pleno en otras sentencias de esta serie para estimar, total o en su caso parcialmente, la queja que aquí se plantea. En concreto y en lo que aquí importa, a partir de la STC 93/2024, de 19 de junio (recurso de amparo avocado 6971-2022, recurrente doña Magdalena Álvarez Arza).</w:t>
      </w:r>
    </w:p>
    <w:p w14:paraId="7F5A8891" w14:textId="77777777" w:rsidR="003754FE" w:rsidRDefault="003754FE" w:rsidP="003754FE">
      <w:pPr>
        <w:pStyle w:val="TextoNormal"/>
      </w:pPr>
    </w:p>
    <w:p w14:paraId="711DACB1" w14:textId="77777777" w:rsidR="003754FE" w:rsidRDefault="003754FE" w:rsidP="003754FE">
      <w:pPr>
        <w:pStyle w:val="TextoNormal"/>
      </w:pPr>
      <w:r>
        <w:t>De la fundamentación y el fallo de la STC 93/2024 manifesté mi disconformidad en un voto conjunto firmado con mis compañeros magistrados don Enrique Arnaldo Alcubilla y doña Concepción Espejel Jorquera. Así lo he hecho también en las demás sentencias de la serie ya dictadas, con relación a esta misma queja. Constatado que la sentencia que ahora nos ocupa bebe directamente de los postulados que se contienen en aquella, debo por fuerza reiterarme en las razones que ya he ofrecido para cuestionar su corrección y acierto, y que expondré de nuevo con detalle en este voto particular.</w:t>
      </w:r>
    </w:p>
    <w:p w14:paraId="5FD660FF" w14:textId="77777777" w:rsidR="003754FE" w:rsidRDefault="003754FE" w:rsidP="003754FE">
      <w:pPr>
        <w:pStyle w:val="TextoNormal"/>
      </w:pPr>
    </w:p>
    <w:p w14:paraId="34F56D3A" w14:textId="77777777" w:rsidR="003754FE" w:rsidRDefault="003754FE" w:rsidP="003754FE">
      <w:pPr>
        <w:pStyle w:val="TextoNormal"/>
      </w:pPr>
      <w:r>
        <w:t xml:space="preserve">1. </w:t>
      </w:r>
      <w:r w:rsidRPr="003754FE">
        <w:rPr>
          <w:i/>
        </w:rPr>
        <w:t>Sobre la estimación parcial de la queja por vulneración del principio de legalidad penal (art. 25.1 CE) al condenar al recurrente por el delito de prevaricación</w:t>
      </w:r>
    </w:p>
    <w:p w14:paraId="3BCA68EA" w14:textId="77777777" w:rsidR="003754FE" w:rsidRDefault="003754FE" w:rsidP="003754FE">
      <w:pPr>
        <w:pStyle w:val="TextoNormal"/>
      </w:pPr>
    </w:p>
    <w:p w14:paraId="4E2A385C" w14:textId="77777777" w:rsidR="003754FE" w:rsidRDefault="003754FE" w:rsidP="003754FE">
      <w:pPr>
        <w:pStyle w:val="TextoNormal"/>
      </w:pPr>
      <w:r>
        <w:t xml:space="preserve">La sentencia de la que ahora discrepo declara, en su fundamento jurídico 4.5, que las resoluciones recurridas han infringido el derecho a la legalidad penal (art. 25.1 CE) del recurrente por haberle condenado por un delito continuado de prevaricación del art. 404 CP: (i) al haber intervenido en la elaboración de los anteproyectos de ley de presupuestos para </w:t>
      </w:r>
      <w:r>
        <w:lastRenderedPageBreak/>
        <w:t>los años 2002 a 2009; actividad que no puede reputarse como “resolución” dictada “en asunto administrativo” y “arbitraria”, en orden a su incardinación en aquel tipo penal [FJ 4.5 A)]; y (ii) al haber participado en la tramitación de determinadas modificaciones presupuestarias correspondientes a los ejercicios de 2002 a 2008, con cobertura en el programa 31L; actuación esta que si bien sí puede calificarse como “resolución” dictada “en asunto administrativo”, no reviste sin embargo la ilegalidad manifiesta (arbitrariedad) propia del referido tipo penal [FJ 4.5 B)].</w:t>
      </w:r>
    </w:p>
    <w:p w14:paraId="3CA1B1EC" w14:textId="77777777" w:rsidR="003754FE" w:rsidRDefault="003754FE" w:rsidP="003754FE">
      <w:pPr>
        <w:pStyle w:val="TextoNormal"/>
      </w:pPr>
    </w:p>
    <w:p w14:paraId="3EBC9AFC" w14:textId="77777777" w:rsidR="003754FE" w:rsidRDefault="003754FE" w:rsidP="003754FE">
      <w:pPr>
        <w:pStyle w:val="TextoNormal"/>
      </w:pPr>
      <w:r>
        <w:t>Esta línea de argumentación de la sentencia ahora dictada, que como ya he indicado antes viene utilizándose desde la STC 93/2024, no resulta sostenible tampoco aquí a la luz de las siguientes consideraciones:</w:t>
      </w:r>
    </w:p>
    <w:p w14:paraId="625A9FC0" w14:textId="77777777" w:rsidR="003754FE" w:rsidRDefault="003754FE" w:rsidP="003754FE">
      <w:pPr>
        <w:pStyle w:val="TextoNormal"/>
      </w:pPr>
    </w:p>
    <w:p w14:paraId="6D1A7656" w14:textId="77777777" w:rsidR="003754FE" w:rsidRDefault="003754FE" w:rsidP="003754FE">
      <w:pPr>
        <w:pStyle w:val="TextoNormal"/>
      </w:pPr>
      <w:r>
        <w:t xml:space="preserve">2. </w:t>
      </w:r>
      <w:r w:rsidRPr="003754FE">
        <w:rPr>
          <w:i/>
        </w:rPr>
        <w:t>La elaboración de anteproyectos y proyectos de ley puede ser considerada “asunto administrativo” por la jurisdicción penal</w:t>
      </w:r>
    </w:p>
    <w:p w14:paraId="07FC6583" w14:textId="77777777" w:rsidR="003754FE" w:rsidRDefault="003754FE" w:rsidP="003754FE">
      <w:pPr>
        <w:pStyle w:val="TextoNormal"/>
      </w:pPr>
    </w:p>
    <w:p w14:paraId="4C141BCE" w14:textId="77777777" w:rsidR="003754FE" w:rsidRDefault="003754FE" w:rsidP="003754FE">
      <w:pPr>
        <w:pStyle w:val="TextoNormal"/>
      </w:pPr>
      <w:r>
        <w:t>La idea que informa esta parte de la sentencia es que la actividad previa a la remisión por el Gobierno de Andalucía a su Parlamento de los correspondientes proyectos de ley de presupuestos es una actividad que, como inherente a la iniciativa legislativa que le corresponde, se integra en esta y no puede ser objeto de control jurídico. Niega, en consecuencia, que toda la actividad tendente a la elaboración de los anteproyectos de ley que luego se convertirán en proyectos remitidos al Parlamento pueda considerarse integrante de un procedimiento administrativo y, por consiguiente, que las decisiones que se adoptan en ese ámbito puedan calificarse como resoluciones recaídas en un “asunto administrativo” que es el término que emplea el art. 404 CP [FJ 4.5 A) a)], presupuesto de que parten la sentencias de la Audiencia Provincial y del Tribunal Supremo para fundar la condena por prevaricación del recurrente.</w:t>
      </w:r>
    </w:p>
    <w:p w14:paraId="3204F305" w14:textId="77777777" w:rsidR="003754FE" w:rsidRDefault="003754FE" w:rsidP="003754FE">
      <w:pPr>
        <w:pStyle w:val="TextoNormal"/>
      </w:pPr>
    </w:p>
    <w:p w14:paraId="448DEB50" w14:textId="77777777" w:rsidR="003754FE" w:rsidRDefault="003754FE" w:rsidP="003754FE">
      <w:pPr>
        <w:pStyle w:val="TextoNormal"/>
      </w:pPr>
      <w:r>
        <w:t>Las sentencias impugnadas no se refieren tanto a las leyes de presupuestos aprobadas por el Parlamento de Andalucía en los años 2002 a 2009 (respecto de todos estos ejercicios, por lo que se refiere al recurrente) como a los trabajos preparatorios de esas leyes, y esa actividad prelegislativa tiene, a mi juicio, inequívoca naturaleza administrativa. Así se desprende también de lo expresado en los arts. 26 y siguientes de la Ley 50/1997, del Gobierno, de los arts. 127 y siguientes de la Ley 39/2015, de procedimiento administrativo común, y hasta de la STC 55/2018, de 24 de mayo, que resolvió el recurso de inconstitucionalidad interpuesto por el Gobierno de la Generalitat de Cataluña, entre otros, contra esos artículos de esta última ley.</w:t>
      </w:r>
    </w:p>
    <w:p w14:paraId="12026F4D" w14:textId="77777777" w:rsidR="003754FE" w:rsidRDefault="003754FE" w:rsidP="003754FE">
      <w:pPr>
        <w:pStyle w:val="TextoNormal"/>
      </w:pPr>
    </w:p>
    <w:p w14:paraId="54F933ED" w14:textId="77777777" w:rsidR="003754FE" w:rsidRDefault="003754FE" w:rsidP="003754FE">
      <w:pPr>
        <w:pStyle w:val="TextoNormal"/>
      </w:pPr>
      <w:r>
        <w:t>La Ley 50/1997, del Gobierno, contiene una extensa regulación de cómo deben tramitarse los anteproyectos de ley antes de su elevación al Consejo de Ministros y de la remisión por este del proyecto de ley subsiguiente al Parlamento. Es cierto que esta ley se refiere al Gobierno de la Nación y no al de las comunidades autónomas, pero sería absurdo sostener que estos trabajos preparatorios tienen una doble naturaleza, “administrativa” cuando los lleva a cabo la administración del Estado, y “no administrativa” o “legislativa” cuando se trata de las comunidades autónomas.</w:t>
      </w:r>
    </w:p>
    <w:p w14:paraId="6B61A004" w14:textId="77777777" w:rsidR="003754FE" w:rsidRDefault="003754FE" w:rsidP="003754FE">
      <w:pPr>
        <w:pStyle w:val="TextoNormal"/>
      </w:pPr>
    </w:p>
    <w:p w14:paraId="1EAC296D" w14:textId="77777777" w:rsidR="003754FE" w:rsidRDefault="003754FE" w:rsidP="003754FE">
      <w:pPr>
        <w:pStyle w:val="TextoNormal"/>
      </w:pPr>
      <w:r>
        <w:t xml:space="preserve">La Ley 39/2015, de procedimiento administrativo común, sí se refiere a todas las administraciones públicas, también a las comunidades autónomas, remitiendo a lo que dispongan sus estatutos de autonomía en cuanto a los órganos a quien corresponde la iniciativa </w:t>
      </w:r>
      <w:r>
        <w:lastRenderedPageBreak/>
        <w:t>legislativa, pero estableciendo con la naturaleza de “bases del régimen jurídico de las administraciones públicas y procedimiento administrativo común” (art. 149.1.18 CE) algunas indicaciones generales de buena regulación.</w:t>
      </w:r>
    </w:p>
    <w:p w14:paraId="0A54C139" w14:textId="77777777" w:rsidR="003754FE" w:rsidRDefault="003754FE" w:rsidP="003754FE">
      <w:pPr>
        <w:pStyle w:val="TextoNormal"/>
      </w:pPr>
    </w:p>
    <w:p w14:paraId="6F8C615E" w14:textId="77777777" w:rsidR="003754FE" w:rsidRDefault="003754FE" w:rsidP="003754FE">
      <w:pPr>
        <w:pStyle w:val="TextoNormal"/>
      </w:pPr>
      <w:r>
        <w:t>Estos preceptos fueron impugnados por el Gobierno de la Generalitat de Cataluña y la STC 55/2018 estimó el recurso, pero no porque esa actividad previa a la remisión de un proyecto de ley a las Cortes Generales o a las diferentes Asambleas legislativas autonómicas —en aquel caso al Parlament de Cataluña— se integrara en la actividad legislativa, sino porque se trata de una actividad propia de las comunidades autónomas (“organización de sus instituciones de autogobierno”: art. 148.1.1 CE) y el Estatuto de Autonomía de Cataluña (arts. 150 y 159) reconocía a la Generalitat competencia para regular su propia organización y procedimiento, por más que en algunos casos esas directrices contenidas en el art. 129 de la Ley 39/2015 fueran coincidentes con las desarrolladas por la legislación autonómica.</w:t>
      </w:r>
    </w:p>
    <w:p w14:paraId="0E55B4B0" w14:textId="77777777" w:rsidR="003754FE" w:rsidRDefault="003754FE" w:rsidP="003754FE">
      <w:pPr>
        <w:pStyle w:val="TextoNormal"/>
      </w:pPr>
    </w:p>
    <w:p w14:paraId="59BAC3FE" w14:textId="77777777" w:rsidR="003754FE" w:rsidRDefault="003754FE" w:rsidP="003754FE">
      <w:pPr>
        <w:pStyle w:val="TextoNormal"/>
      </w:pPr>
      <w:r>
        <w:t>Esa actividad que el Tribunal Supremo llama “prelegislativa” es, para la STC 55/2018, propia de un procedimiento administrativo, aunque sobre ella el legislador estatal no pueda intervenir por la vía del art. 149.1.18 CE. El Estado no puede regularla bajo el título del procedimiento administrativo “común” (art. 149.1.18 CE), pero es “procedimiento administrativo”. Por eso tras la STC 55/2018 esas normas siguen siendo de aplicación al procedimiento prelegislativo estatal. Una cosa es que la jurisdicción contencioso-administrativa venga declarando que esa actividad no constituye un acto impugnable ante ella y otra que, como dice la sentencia de la que discrepo, esa actividad “no pued[a] ser objeto de control por ningún órgano judicial” [FJ 4.4 A)].</w:t>
      </w:r>
    </w:p>
    <w:p w14:paraId="5E1CE4C0" w14:textId="77777777" w:rsidR="003754FE" w:rsidRDefault="003754FE" w:rsidP="003754FE">
      <w:pPr>
        <w:pStyle w:val="TextoNormal"/>
      </w:pPr>
    </w:p>
    <w:p w14:paraId="07ECCE2F" w14:textId="77777777" w:rsidR="003754FE" w:rsidRDefault="003754FE" w:rsidP="003754FE">
      <w:pPr>
        <w:pStyle w:val="TextoNormal"/>
      </w:pPr>
      <w:r>
        <w:t>La mayoría de nuestro Tribunal cita de manera desviada el ATC 135/2004 [aludido en el fundamento jurídico 4.4 B)]. En ese ATC 135/2004 inadmitimos la impugnación del Gobierno de la Nación contra el proyecto de reforma del Estatuto de Autonomía del País Vasco aprobado por el Gobierno de esa comunidad (el llamado “Plan Ibarretxe”) y contra la resolución de la mesa del Parlamento autonómico admitiendo a trámite esa propuesta. El Gobierno alegaba que el contenido de la propuesta era abiertamente inconstitucional, y que por tanto la propuesta solo podía tramitarse como un procedimiento de reforma de la Constitución, y no como un procedimiento de reforma del estatuto de autonomía, como había hecho el Parlamento autonómico. Sostuvimos entonces, efectivamente, que ese proyecto de reforma no podía ser objeto de control por el Tribunal Constitucional porque su efecto era solamente abrir un procedimiento parlamentario cuyo resultado era incierto. De su tramitación podía resultar una norma o no resultar ninguna, y en el primer caso esa norma podía ser contraria a la Constitución o conforme con esta. Por lo tanto, no podía este tribunal anular la propuesta de reforma ni impedir su debate.</w:t>
      </w:r>
    </w:p>
    <w:p w14:paraId="1CD0CA8E" w14:textId="77777777" w:rsidR="003754FE" w:rsidRDefault="003754FE" w:rsidP="003754FE">
      <w:pPr>
        <w:pStyle w:val="TextoNormal"/>
      </w:pPr>
    </w:p>
    <w:p w14:paraId="76314DD5" w14:textId="77777777" w:rsidR="003754FE" w:rsidRDefault="003754FE" w:rsidP="003754FE">
      <w:pPr>
        <w:pStyle w:val="TextoNormal"/>
      </w:pPr>
      <w:r>
        <w:t xml:space="preserve">Pero esta imposibilidad lógica de controlar vicios </w:t>
      </w:r>
      <w:r w:rsidRPr="003754FE">
        <w:rPr>
          <w:i/>
        </w:rPr>
        <w:t>hipotéticos</w:t>
      </w:r>
      <w:r>
        <w:t xml:space="preserve"> contenidos en proyectos de normas (o actos) que podrían suponer la anulación del producto final si no fueran corregidos nada tiene que ver con la posibilidad de examinar si en la elaboración de un anteproyecto de ley (que es un acto previo y diferente a la “decisión de elevar a las Cortes un proyecto de ley” como acto de gobierno conforme a la STC 45/1990, de 15 de marzo, aludida en la sentencia 93/2024, FJ 4.4.1, la autoridad responsable ha incurrido </w:t>
      </w:r>
      <w:r w:rsidRPr="003754FE">
        <w:rPr>
          <w:i/>
        </w:rPr>
        <w:t>efectivamente</w:t>
      </w:r>
      <w:r>
        <w:t xml:space="preserve"> en un delito de prevaricación del art. 404 CP.</w:t>
      </w:r>
    </w:p>
    <w:p w14:paraId="4A919DB3" w14:textId="77777777" w:rsidR="003754FE" w:rsidRDefault="003754FE" w:rsidP="003754FE">
      <w:pPr>
        <w:pStyle w:val="TextoNormal"/>
      </w:pPr>
    </w:p>
    <w:p w14:paraId="7B492C20" w14:textId="77777777" w:rsidR="003754FE" w:rsidRDefault="003754FE" w:rsidP="003754FE">
      <w:pPr>
        <w:pStyle w:val="TextoNormal"/>
      </w:pPr>
      <w:r>
        <w:lastRenderedPageBreak/>
        <w:t>En abstracto, de la simple alteración de la partida presupuestaria que antes cobijaba los créditos concedidos al Instituto de Fomento de Andalucía (IFA, posteriormente Agencia para la Innovación y Desarrollo de Andalucía, IDEA), e incluso de la ampliación de sus competencias, no cabe colegir el designio último de los que promovieron tal cambio, que consistía en eludir los controles ordinarios existentes hasta entonces para el otorgamiento de subvenciones. No es en el ámbito de la inconstitucionalidad de leyes de presupuestos donde se mueven las sentencias impugnadas, sino en el de la creación de un marco jurídico aparentemente neutro a cuyo amparo pudiera actuarse disponiendo de ingentes cantidades de dinero sin control efectivo alguno.</w:t>
      </w:r>
    </w:p>
    <w:p w14:paraId="3C474FA8" w14:textId="77777777" w:rsidR="003754FE" w:rsidRDefault="003754FE" w:rsidP="003754FE">
      <w:pPr>
        <w:pStyle w:val="TextoNormal"/>
      </w:pPr>
    </w:p>
    <w:p w14:paraId="64A4247A" w14:textId="77777777" w:rsidR="003754FE" w:rsidRDefault="003754FE" w:rsidP="003754FE">
      <w:pPr>
        <w:pStyle w:val="TextoNormal"/>
      </w:pPr>
      <w:r>
        <w:t>En mi opinión, refrendada por la regulación establecida en la Ley 39/2015 de procedimiento administrativo común (y por la doctrina sentada en la STC 55/2018, antes citada), la actividad previa al ejercicio de la iniciativa legislativa es parte de un procedimiento administrativo. Por eso tengo que discrepar del fundamento jurídico 4.5 A) de la sentencia, en que se da a esta actividad la naturaleza de actos de gobierno excluidos de todo control por parte de cualquier órgano jurisdiccional, incluso de su posible enjuiciamiento por la jurisdicción penal. Esto equivale a consagrar un ámbito de impunidad que sí me parece contrario a la Constitución.</w:t>
      </w:r>
    </w:p>
    <w:p w14:paraId="27A2A960" w14:textId="77777777" w:rsidR="003754FE" w:rsidRDefault="003754FE" w:rsidP="003754FE">
      <w:pPr>
        <w:pStyle w:val="TextoNormal"/>
      </w:pPr>
    </w:p>
    <w:p w14:paraId="515C026A" w14:textId="77777777" w:rsidR="003754FE" w:rsidRDefault="003754FE" w:rsidP="003754FE">
      <w:pPr>
        <w:pStyle w:val="TextoNormal"/>
      </w:pPr>
      <w:r>
        <w:t>Tal como lo veo, los actos prelegislativos son susceptibles de control penal, y por consiguiente no parece que pueda considerarse “imprevisible”, como hace la mayoría, la interpretación efectuada por las sentencias recurridas. Una cosa es que sea la primera vez que un asunto como este se haya planteado ante los tribunales penales y otra muy distinta que la respuesta dada por ellos a esta cuestión novedosa sea “imprevisible”.</w:t>
      </w:r>
    </w:p>
    <w:p w14:paraId="069155D8" w14:textId="77777777" w:rsidR="003754FE" w:rsidRDefault="003754FE" w:rsidP="003754FE">
      <w:pPr>
        <w:pStyle w:val="TextoNormal"/>
      </w:pPr>
    </w:p>
    <w:p w14:paraId="5E60E57B" w14:textId="77777777" w:rsidR="003754FE" w:rsidRDefault="003754FE" w:rsidP="003754FE">
      <w:pPr>
        <w:pStyle w:val="TextoNormal"/>
      </w:pPr>
      <w:r>
        <w:t xml:space="preserve">3. </w:t>
      </w:r>
      <w:r w:rsidRPr="003754FE">
        <w:rPr>
          <w:i/>
        </w:rPr>
        <w:t>El incumplimiento de la normativa general sobre subvenciones puede considerarse “arbitraria” por la jurisdicción penal</w:t>
      </w:r>
    </w:p>
    <w:p w14:paraId="1B32BA3F" w14:textId="77777777" w:rsidR="003754FE" w:rsidRDefault="003754FE" w:rsidP="003754FE">
      <w:pPr>
        <w:pStyle w:val="TextoNormal"/>
      </w:pPr>
    </w:p>
    <w:p w14:paraId="0D83CD90" w14:textId="77777777" w:rsidR="003754FE" w:rsidRDefault="003754FE" w:rsidP="003754FE">
      <w:pPr>
        <w:pStyle w:val="TextoNormal"/>
      </w:pPr>
      <w:r>
        <w:t>En el apartado siguiente del mismo fundamento jurídico [FJ 4.5 A) b)] se enjuicia la interpretación del concepto de resolución “arbitraria” previsto en el art. 404 CP.</w:t>
      </w:r>
    </w:p>
    <w:p w14:paraId="6BC9EDDF" w14:textId="77777777" w:rsidR="003754FE" w:rsidRDefault="003754FE" w:rsidP="003754FE">
      <w:pPr>
        <w:pStyle w:val="TextoNormal"/>
      </w:pPr>
    </w:p>
    <w:p w14:paraId="5A9FB4CF" w14:textId="77777777" w:rsidR="003754FE" w:rsidRDefault="003754FE" w:rsidP="003754FE">
      <w:pPr>
        <w:pStyle w:val="TextoNormal"/>
      </w:pPr>
      <w:r>
        <w:t>La definición de este concepto corresponde sin duda alguna a la Sala de lo Penal del Tribunal Supremo, y este explica que, según su jurisprudencia, se identifica la arbitrariedad como una ilegalidad patente, grosera, palmaria, clamorosa o flagrante, y señala como hechos relevantes de este caso los siguientes:</w:t>
      </w:r>
    </w:p>
    <w:p w14:paraId="5B4646F0" w14:textId="77777777" w:rsidR="003754FE" w:rsidRDefault="003754FE" w:rsidP="003754FE">
      <w:pPr>
        <w:pStyle w:val="TextoNormal"/>
      </w:pPr>
    </w:p>
    <w:p w14:paraId="023D2F1D" w14:textId="77777777" w:rsidR="003754FE" w:rsidRDefault="003754FE" w:rsidP="003754FE">
      <w:pPr>
        <w:pStyle w:val="TextoNormal"/>
      </w:pPr>
      <w:r>
        <w:t>(i) que se cambió el sistema de financiación de las “ayudas sociolaborales” sin razón aparente;</w:t>
      </w:r>
    </w:p>
    <w:p w14:paraId="7678CB20" w14:textId="77777777" w:rsidR="003754FE" w:rsidRDefault="003754FE" w:rsidP="003754FE">
      <w:pPr>
        <w:pStyle w:val="TextoNormal"/>
      </w:pPr>
    </w:p>
    <w:p w14:paraId="5C0B5022" w14:textId="77777777" w:rsidR="003754FE" w:rsidRDefault="003754FE" w:rsidP="003754FE">
      <w:pPr>
        <w:pStyle w:val="TextoNormal"/>
      </w:pPr>
      <w:r>
        <w:t>(ii) que se hizo y mantuvo ese cambio a pesar de las múltiples advertencias de la intervención y los servicios jurídicos sobre las ilegalidades que se estaban produciendo;</w:t>
      </w:r>
    </w:p>
    <w:p w14:paraId="6E172E30" w14:textId="77777777" w:rsidR="003754FE" w:rsidRDefault="003754FE" w:rsidP="003754FE">
      <w:pPr>
        <w:pStyle w:val="TextoNormal"/>
      </w:pPr>
    </w:p>
    <w:p w14:paraId="4E5DA22C" w14:textId="77777777" w:rsidR="003754FE" w:rsidRDefault="003754FE" w:rsidP="003754FE">
      <w:pPr>
        <w:pStyle w:val="TextoNormal"/>
      </w:pPr>
      <w:r>
        <w:t>(iii) que la consecuencia real del cambio fue la falta de control y absoluta ilegalidad de la concesión de subvenciones.</w:t>
      </w:r>
    </w:p>
    <w:p w14:paraId="5A180FB6" w14:textId="77777777" w:rsidR="003754FE" w:rsidRDefault="003754FE" w:rsidP="003754FE">
      <w:pPr>
        <w:pStyle w:val="TextoNormal"/>
      </w:pPr>
    </w:p>
    <w:p w14:paraId="353BA2D4" w14:textId="77777777" w:rsidR="003754FE" w:rsidRDefault="003754FE" w:rsidP="003754FE">
      <w:pPr>
        <w:pStyle w:val="TextoNormal"/>
      </w:pPr>
      <w:r>
        <w:t xml:space="preserve">Por todo ello concluye: “A partir de estos hechos, dada la incontestable ilegalidad de las acciones llevadas a cabo y en atención a la finalidad directamente perseguida por los autores </w:t>
      </w:r>
      <w:r>
        <w:lastRenderedPageBreak/>
        <w:t>no cabe otra conclusión que la de afirmar la arbitrariedad e injusticia de las resoluciones objeto de enjuiciamiento” (STS 749/2022, fundamento de Derecho 30, pág. 296).</w:t>
      </w:r>
    </w:p>
    <w:p w14:paraId="49F2BEDA" w14:textId="77777777" w:rsidR="003754FE" w:rsidRDefault="003754FE" w:rsidP="003754FE">
      <w:pPr>
        <w:pStyle w:val="TextoNormal"/>
      </w:pPr>
    </w:p>
    <w:p w14:paraId="0A21882A" w14:textId="77777777" w:rsidR="003754FE" w:rsidRDefault="003754FE" w:rsidP="003754FE">
      <w:pPr>
        <w:pStyle w:val="TextoNormal"/>
      </w:pPr>
      <w:r>
        <w:t>Ninguna de estas razones se analiza en la sentencia apoyada por la mayoría, sino que vuelve a reiterarse la idea —ya defendida en la STC 93/2024— de la aprobación parlamentaria como sanadora de todos los posibles vicios denunciados y a la imprevisibilidad de la interpretación llevada a cabo por la Audiencia Provincial de Sevilla y por el Tribunal Supremo.</w:t>
      </w:r>
    </w:p>
    <w:p w14:paraId="705C8D85" w14:textId="77777777" w:rsidR="003754FE" w:rsidRDefault="003754FE" w:rsidP="003754FE">
      <w:pPr>
        <w:pStyle w:val="TextoNormal"/>
      </w:pPr>
    </w:p>
    <w:p w14:paraId="535E1EF4" w14:textId="77777777" w:rsidR="003754FE" w:rsidRDefault="003754FE" w:rsidP="003754FE">
      <w:pPr>
        <w:pStyle w:val="TextoNormal"/>
      </w:pPr>
      <w:r>
        <w:t>La razón de la condena al recurrente por parte de estos tribunales es clara: como con arreglo a la Ley 5/1983, de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el recurrente y otros funcionarios idearon como solución para eludir esos controles incluir una nueva partida en los presupuestos titulada de manera indeterminada como “relaciones laborales” y disfrazada como transferencia de crédito al IFA (posteriormente IDEA) para sus propios fines, eludiendo de este modo los controles exigibles con arreglo a una legalidad que no se deroga.</w:t>
      </w:r>
    </w:p>
    <w:p w14:paraId="26727DFE" w14:textId="77777777" w:rsidR="003754FE" w:rsidRDefault="003754FE" w:rsidP="003754FE">
      <w:pPr>
        <w:pStyle w:val="TextoNormal"/>
      </w:pPr>
    </w:p>
    <w:p w14:paraId="778E8131" w14:textId="77777777" w:rsidR="003754FE" w:rsidRDefault="003754FE" w:rsidP="003754FE">
      <w:pPr>
        <w:pStyle w:val="TextoNormal"/>
      </w:pPr>
      <w:r>
        <w:t>Efectivamente, las leyes de prepuestos hubieran podido derogar esa legalidad, o desplazarla para la concesión de esas ayudas, como hizo luego el Decreto-ley 4/2012 en la llamada “tercera etapa” de los ERE [STS 749/2022, fundamento de Derecho 1, “resumen de los hechos probados”, pág. 111, reproducido en el antecedente 2 a) de nuestra sentencia]. El art. 1 de este Decreto-ley estableció expresamente que “a estas ayudas sociolaborales no les es de aplicación la normativa general sobre subvenciones públicas”, lo que evidencia que el criterio seguido en años anteriores de no seguir los trámites impuestos por esa “normativa general sobre subvenciones públicas” no se ajustaba a la legalidad vigente.</w:t>
      </w:r>
    </w:p>
    <w:p w14:paraId="46769D94" w14:textId="77777777" w:rsidR="003754FE" w:rsidRDefault="003754FE" w:rsidP="003754FE">
      <w:pPr>
        <w:pStyle w:val="TextoNormal"/>
      </w:pPr>
    </w:p>
    <w:p w14:paraId="3DC10DA9" w14:textId="77777777" w:rsidR="003754FE" w:rsidRDefault="003754FE" w:rsidP="003754FE">
      <w:pPr>
        <w:pStyle w:val="TextoNormal"/>
      </w:pPr>
      <w:r>
        <w:t>En esta situación no me parece que la respuesta penal de la actuación del recurrente pueda calificarse de imprevisible.</w:t>
      </w:r>
    </w:p>
    <w:p w14:paraId="58DF9CB1" w14:textId="77777777" w:rsidR="003754FE" w:rsidRDefault="003754FE" w:rsidP="003754FE">
      <w:pPr>
        <w:pStyle w:val="TextoNormal"/>
      </w:pPr>
    </w:p>
    <w:p w14:paraId="14577BFE" w14:textId="77777777" w:rsidR="003754FE" w:rsidRDefault="003754FE" w:rsidP="003754FE">
      <w:pPr>
        <w:pStyle w:val="TextoNormal"/>
      </w:pPr>
      <w:r>
        <w:t xml:space="preserve">4. </w:t>
      </w:r>
      <w:r w:rsidRPr="003754FE">
        <w:rPr>
          <w:i/>
        </w:rPr>
        <w:t>Interpretación de las leyes de presupuestos efectuada por las sentencias recurridas</w:t>
      </w:r>
    </w:p>
    <w:p w14:paraId="5983BBFD" w14:textId="77777777" w:rsidR="003754FE" w:rsidRDefault="003754FE" w:rsidP="003754FE">
      <w:pPr>
        <w:pStyle w:val="TextoNormal"/>
      </w:pPr>
    </w:p>
    <w:p w14:paraId="211DC37C" w14:textId="77777777" w:rsidR="003754FE" w:rsidRDefault="003754FE" w:rsidP="003754FE">
      <w:pPr>
        <w:pStyle w:val="TextoNormal"/>
      </w:pPr>
      <w:r>
        <w:t>a) La sentencia de la que discrepo reitera una y otra vez la idea de que las leyes de presupuestos regularon el modo de concesión de estas ayudas. Por eso diserta ampliamente sobre las “características de nuestra democracia constitucional y parlamentaria” (FJ 4.4), la naturaleza de la ley de presupuestos como “verdadera ley” [FJ 4.4 A) e)], la posibilidad de modificar las leyes vigentes [FJ 4.4 B) b)] y el monopolio de control de constitucionalidad de las leyes por el Tribunal Constitucional [FJ 4.4 A) f)], para terminar concluyendo que la forma de razonar de las sentencias recurridas supone “privar de toda relevancia a la aprobación parlamentaria de la ley” de presupuestos, “que tiene la misma naturaleza normativa que el resto de las leyes” [FJ 4.4 A) b)].</w:t>
      </w:r>
    </w:p>
    <w:p w14:paraId="13E1828F" w14:textId="77777777" w:rsidR="003754FE" w:rsidRDefault="003754FE" w:rsidP="003754FE">
      <w:pPr>
        <w:pStyle w:val="TextoNormal"/>
      </w:pPr>
    </w:p>
    <w:p w14:paraId="110A57CC" w14:textId="77777777" w:rsidR="003754FE" w:rsidRDefault="003754FE" w:rsidP="003754FE">
      <w:pPr>
        <w:pStyle w:val="TextoNormal"/>
      </w:pPr>
      <w:r>
        <w:t>Si así hubiera sucedido, podría compartirse lo razonado por la mayoría. Pero esta parte de una premisa incorrecta. Las sentencias recurridas interpretan de otro modo las leyes de presupuestos.</w:t>
      </w:r>
    </w:p>
    <w:p w14:paraId="555B2AAB" w14:textId="77777777" w:rsidR="003754FE" w:rsidRDefault="003754FE" w:rsidP="003754FE">
      <w:pPr>
        <w:pStyle w:val="TextoNormal"/>
      </w:pPr>
    </w:p>
    <w:p w14:paraId="30A1B8A4" w14:textId="77777777" w:rsidR="003754FE" w:rsidRDefault="003754FE" w:rsidP="003754FE">
      <w:pPr>
        <w:pStyle w:val="TextoNormal"/>
      </w:pPr>
      <w:r>
        <w:lastRenderedPageBreak/>
        <w:t xml:space="preserve">La (supuesta) modificación legislativa se habría producido con la calificación de las ayudas sociolaborales como “transferencia de financiación”, según reconoce la mayoría en el fundamento jurídico 4.5 A) b) antes citado. Una modificación que se habría producido en las “memorias” presupuestarias del programa 31L cuyo contenido junto con el de los informes económico-financieros y fichas extracta la sentencia del Tribunal Supremo (fundamento de Derecho 11, págs. 193-196), transcrita en este punto por el fundamento jurídico 2.1 c) de nuestra sentencia (“9. </w:t>
      </w:r>
      <w:r w:rsidRPr="003754FE">
        <w:rPr>
          <w:i/>
        </w:rPr>
        <w:t>Conclusiones del análisis de la documentación anexa al proyecto de presupuestos de la Junta de Andalucía</w:t>
      </w:r>
      <w:r>
        <w:t>”).</w:t>
      </w:r>
    </w:p>
    <w:p w14:paraId="60BDB6AA" w14:textId="77777777" w:rsidR="003754FE" w:rsidRDefault="003754FE" w:rsidP="003754FE">
      <w:pPr>
        <w:pStyle w:val="TextoNormal"/>
      </w:pPr>
    </w:p>
    <w:p w14:paraId="6297AE51" w14:textId="77777777" w:rsidR="003754FE" w:rsidRDefault="003754FE" w:rsidP="003754FE">
      <w:pPr>
        <w:pStyle w:val="TextoNormal"/>
      </w:pPr>
      <w:r>
        <w:t>b) Pues bien, tanto la Audiencia Provincial de Sevilla como el Tribunal Supremo niegan razonadamente que esa calificación tuviera eficacia normativa y vinculante y habilitara la exclusión de los controles propios de las subvenciones.</w:t>
      </w:r>
    </w:p>
    <w:p w14:paraId="640F1248" w14:textId="77777777" w:rsidR="003754FE" w:rsidRDefault="003754FE" w:rsidP="003754FE">
      <w:pPr>
        <w:pStyle w:val="TextoNormal"/>
      </w:pPr>
    </w:p>
    <w:p w14:paraId="6DFBE867" w14:textId="77777777" w:rsidR="003754FE" w:rsidRDefault="003754FE" w:rsidP="003754FE">
      <w:pPr>
        <w:pStyle w:val="TextoNormal"/>
      </w:pPr>
      <w:r>
        <w:t>La sentencia de la Audiencia Provincial de Sevilla lo hace en su fundamento de Derecho 15 (aludido en la STS 749/2022, fundamento 23.1, pág. 256, última línea), que cita y reproduce el art. 129.3 del Reglamento del Parlamento de Andalucía, que dice así:</w:t>
      </w:r>
    </w:p>
    <w:p w14:paraId="190A0BB0" w14:textId="77777777" w:rsidR="003754FE" w:rsidRDefault="003754FE" w:rsidP="003754FE">
      <w:pPr>
        <w:pStyle w:val="TextoNormal"/>
      </w:pPr>
    </w:p>
    <w:p w14:paraId="0D07694C" w14:textId="77777777" w:rsidR="003754FE" w:rsidRDefault="003754FE" w:rsidP="003754FE">
      <w:pPr>
        <w:pStyle w:val="TextoNormal"/>
      </w:pPr>
      <w:r>
        <w:t xml:space="preserve">“El debate del Presupuesto se referirá al articulado y al estado de autorización de gastos. </w:t>
      </w:r>
      <w:r w:rsidRPr="003754FE">
        <w:rPr>
          <w:i/>
        </w:rPr>
        <w:t>Todo ello sin perjuicio del estudio de otros documentos que deban acompañarlo</w:t>
      </w:r>
      <w:r>
        <w:t>”.</w:t>
      </w:r>
    </w:p>
    <w:p w14:paraId="12BBB0B5" w14:textId="77777777" w:rsidR="003754FE" w:rsidRDefault="003754FE" w:rsidP="003754FE">
      <w:pPr>
        <w:pStyle w:val="TextoNormal"/>
      </w:pPr>
    </w:p>
    <w:p w14:paraId="79A7EF08" w14:textId="77777777" w:rsidR="003754FE" w:rsidRDefault="003754FE" w:rsidP="003754FE">
      <w:pPr>
        <w:pStyle w:val="TextoNormal"/>
      </w:pPr>
      <w:r>
        <w:t>Un precepto que le lleva a concluir lo siguiente:</w:t>
      </w:r>
    </w:p>
    <w:p w14:paraId="5AFF7E97" w14:textId="77777777" w:rsidR="003754FE" w:rsidRDefault="003754FE" w:rsidP="003754FE">
      <w:pPr>
        <w:pStyle w:val="TextoNormal"/>
      </w:pPr>
    </w:p>
    <w:p w14:paraId="7E236776" w14:textId="77777777" w:rsidR="003754FE" w:rsidRDefault="003754FE" w:rsidP="003754FE">
      <w:pPr>
        <w:pStyle w:val="TextoNormal"/>
      </w:pPr>
      <w:r>
        <w:t>“[L]os únicos documentos objeto de debate, y por tanto de aprobación parlamentaria, son el texto articulado de la ley y los estados de gastos de cada uno de los entes públicos de la comunidad autónoma. Sin que el resto de documentos que, como documentación anexa, acompañan al proyecto de presupuesto, sean objeto de aprobación por el Parlamento</w:t>
      </w:r>
      <w:r w:rsidRPr="003754FE">
        <w:rPr>
          <w:i/>
        </w:rPr>
        <w:t>, ni, en consecuencia, adquieran fuerza de l</w:t>
      </w:r>
      <w:r>
        <w:t>ey”.</w:t>
      </w:r>
    </w:p>
    <w:p w14:paraId="0839DF66" w14:textId="77777777" w:rsidR="003754FE" w:rsidRDefault="003754FE" w:rsidP="003754FE">
      <w:pPr>
        <w:pStyle w:val="TextoNormal"/>
      </w:pPr>
    </w:p>
    <w:p w14:paraId="1559C150" w14:textId="77777777" w:rsidR="003754FE" w:rsidRDefault="003754FE" w:rsidP="003754FE">
      <w:pPr>
        <w:pStyle w:val="TextoNormal"/>
      </w:pPr>
      <w:r>
        <w:t>Y el Tribunal Supremo es igualmente concluyente: “ninguna de las leyes de presupuestos aprobadas modificó el régimen jurídico aplicable a las subvenciones” (fundamento de Derecho 23.2, pág. 262); las leyes de presupuestos “habilitaron unos créditos presupuestarios” pero no aprobaron “la forma de ejecución del gasto” ni su “concesión y pago eludiendo los requisitos y controles establecidos en la normativa de subvenciones” (fundamento 11.1, págs. 189-190).</w:t>
      </w:r>
    </w:p>
    <w:p w14:paraId="274DE958" w14:textId="77777777" w:rsidR="003754FE" w:rsidRDefault="003754FE" w:rsidP="003754FE">
      <w:pPr>
        <w:pStyle w:val="TextoNormal"/>
      </w:pPr>
    </w:p>
    <w:p w14:paraId="512C62DC" w14:textId="77777777" w:rsidR="003754FE" w:rsidRDefault="003754FE" w:rsidP="003754FE">
      <w:pPr>
        <w:pStyle w:val="TextoNormal"/>
      </w:pPr>
      <w:r>
        <w:t>En lugar de detenerse en estos estos razonamientos, como corresponde a un recurso de amparo que debe examinar la razonabilidad de la interpretación efectuada por las sentencias recurridas, la sentencia de la que ahora discrepo cambia los términos del debate, hace supuesto de la cuestión y da por sentado lo que esos tribunales niegan: el valor de ley de la “documentación anexa” a los proyectos de ley de presupuestos.</w:t>
      </w:r>
    </w:p>
    <w:p w14:paraId="64501D4C" w14:textId="77777777" w:rsidR="003754FE" w:rsidRDefault="003754FE" w:rsidP="003754FE">
      <w:pPr>
        <w:pStyle w:val="TextoNormal"/>
      </w:pPr>
    </w:p>
    <w:p w14:paraId="6436CFB7" w14:textId="77777777" w:rsidR="003754FE" w:rsidRDefault="003754FE" w:rsidP="003754FE">
      <w:pPr>
        <w:pStyle w:val="TextoNormal"/>
      </w:pPr>
      <w:r>
        <w:t>Lo que era objeto de discusión ante la jurisdicción penal, y esta negó motivadamente, no era “el carácter formal o material” de la ley de presupuestos, cuestión hace tiempo “superada” como reconoce la mayoría citando la STC 76/1992, sino si la “documentación anexa” a la ley de presupuestos, donde se contiene ese cambio de calificación de créditos, supuso efectivamente una modificación, derogación o desplazamiento de la normativa general sobre subvenciones.</w:t>
      </w:r>
    </w:p>
    <w:p w14:paraId="0D752860" w14:textId="77777777" w:rsidR="003754FE" w:rsidRDefault="003754FE" w:rsidP="003754FE">
      <w:pPr>
        <w:pStyle w:val="TextoNormal"/>
      </w:pPr>
    </w:p>
    <w:p w14:paraId="63472508" w14:textId="77777777" w:rsidR="003754FE" w:rsidRDefault="003754FE" w:rsidP="003754FE">
      <w:pPr>
        <w:pStyle w:val="TextoNormal"/>
      </w:pPr>
      <w:r>
        <w:lastRenderedPageBreak/>
        <w:t>Por el sencillo expediente de omitir los razonamientos de las sentencias objeto de amparo, la sentencia ahora dictada asume apodícticamente que sí han producido ese cambio legislativo.</w:t>
      </w:r>
    </w:p>
    <w:p w14:paraId="19FF3123" w14:textId="77777777" w:rsidR="003754FE" w:rsidRDefault="003754FE" w:rsidP="003754FE">
      <w:pPr>
        <w:pStyle w:val="TextoNormal"/>
      </w:pPr>
    </w:p>
    <w:p w14:paraId="20218B52" w14:textId="77777777" w:rsidR="003754FE" w:rsidRDefault="003754FE" w:rsidP="003754FE">
      <w:pPr>
        <w:pStyle w:val="TextoNormal"/>
      </w:pPr>
      <w:r>
        <w:t>Pero la lectura del análisis de la “documentación anexa” al proyecto de ley de presupuestos ofrecido por las págs. 193-196 de la sentencia del Tribunal Supremo, transcritas en el fundamento jurídico 2.1 c) de la misma sentencia, no permite sostener esta conclusión. Antes al contrario: estas “fichas”, “memorias” y “documentación anexa al proyecto de presupuestos” llaman varias veces “subvenciones” a las “ayudas sociolaborales” del programa 31L, de modo que difícilmente puede sostenerse que esa “documentación anexa” autorizara la elusión del régimen de estas.</w:t>
      </w:r>
    </w:p>
    <w:p w14:paraId="5F48C4DC" w14:textId="77777777" w:rsidR="003754FE" w:rsidRDefault="003754FE" w:rsidP="003754FE">
      <w:pPr>
        <w:pStyle w:val="TextoNormal"/>
      </w:pPr>
    </w:p>
    <w:p w14:paraId="22F12BAA" w14:textId="77777777" w:rsidR="003754FE" w:rsidRDefault="003754FE" w:rsidP="003754FE">
      <w:pPr>
        <w:pStyle w:val="TextoNormal"/>
      </w:pPr>
      <w:r>
        <w:t>c) Además, la conclusión de las sentencias recurridas sobre la ausencia de valor legal de esa “documentación anexa” a las leyes de presupuestos no vulnera el derecho a la legalidad sancionadora del art. 25.1 CE, pues viene corroborada por importantes y evidentes argumentos constitucionales.</w:t>
      </w:r>
    </w:p>
    <w:p w14:paraId="35095C78" w14:textId="77777777" w:rsidR="003754FE" w:rsidRDefault="003754FE" w:rsidP="003754FE">
      <w:pPr>
        <w:pStyle w:val="TextoNormal"/>
      </w:pPr>
    </w:p>
    <w:p w14:paraId="058769B4" w14:textId="77777777" w:rsidR="003754FE" w:rsidRDefault="003754FE" w:rsidP="003754FE">
      <w:pPr>
        <w:pStyle w:val="TextoNormal"/>
      </w:pPr>
      <w:r>
        <w:t>En primer lugar, esa “documentación anexa” no está publicada, ni se publica conjuntamente con las leyes de presupuestos, lo que ya de por sí impide otorgarle valor normativo alguno por aplicación de la máxima del art. 9.3 CE: “La Constitución garantiza […] la publicidad de las normas”. Si no hay publicidad, no puede haber “norma” vinculante, ni mucho menos “verdadera ley”, como asume la mayoría.</w:t>
      </w:r>
    </w:p>
    <w:p w14:paraId="0215CD69" w14:textId="77777777" w:rsidR="003754FE" w:rsidRDefault="003754FE" w:rsidP="003754FE">
      <w:pPr>
        <w:pStyle w:val="TextoNormal"/>
      </w:pPr>
    </w:p>
    <w:p w14:paraId="0C0A8D46" w14:textId="77777777" w:rsidR="003754FE" w:rsidRDefault="003754FE" w:rsidP="003754FE">
      <w:pPr>
        <w:pStyle w:val="TextoNormal"/>
      </w:pPr>
      <w:r>
        <w:t xml:space="preserve">En segundo lugar, la diferenciación conceptual entre el anteproyecto o proyecto de ley de presupuestos, por una parte, y su “documentación anexa”, por otra, viene corroborada por otras normas. No solo el art. 129.3 del Reglamento del Parlamento de Andalucía, que cita la sentencia de la Audiencia de Sevilla en el pasaje antes transcrito (idéntico además a los arts. 134.2 del Reglamento del Congreso de los Diputados y 150.2 del Reglamento del Senado), sino también los arts. 34.5 y 35 de la Ley 5/1983, de hacienda pública de Andalucía (vigente en la fecha de los hechos) y el art. 37 de la Ley 47/2003, general presupuestaria del Estado (LGP), igualmente citados en la sentencia de la Audiencia Provincial de Sevilla (fundamento de Derecho 15). Por ejemplo, según este último precepto (art. 37 LGP), al “proyecto de ley de presupuestos generales del Estado, </w:t>
      </w:r>
      <w:r w:rsidRPr="003754FE">
        <w:rPr>
          <w:i/>
        </w:rPr>
        <w:t>integrado por el articulado con sus anexos y los estados de ingresos y de gastos</w:t>
      </w:r>
      <w:r>
        <w:t>”, “se acompañará” cierta “</w:t>
      </w:r>
      <w:r w:rsidRPr="003754FE">
        <w:rPr>
          <w:i/>
        </w:rPr>
        <w:t>documentación complementaria</w:t>
      </w:r>
      <w:r>
        <w:t>”, que incluye, entre otras, “</w:t>
      </w:r>
      <w:r w:rsidRPr="003754FE">
        <w:rPr>
          <w:i/>
        </w:rPr>
        <w:t>las memorias</w:t>
      </w:r>
      <w:r>
        <w:t xml:space="preserve"> descriptivas de los programas de gasto y sus objetivos anuales”. De la misma manera, el art. 35 de la Ley del Parlamento de Andalucía 5/1983 dice que “el proyecto de ley de presupuestos </w:t>
      </w:r>
      <w:r w:rsidRPr="003754FE">
        <w:rPr>
          <w:i/>
        </w:rPr>
        <w:t>y la documentación anexa</w:t>
      </w:r>
      <w:r>
        <w:t xml:space="preserve"> se remitirán al Parlamento” al menos dos meses antes de la expiración del anterior. Todo proyecto de ley del Gobierno va acompañado de cierta documentación (cfr. art. 88 CE y art. 26 de la Ley 50/1997, del Gobierno), pero no por ello esa documentación adquiere el rango y fuerza de la ley una vez aprobada esta.</w:t>
      </w:r>
    </w:p>
    <w:p w14:paraId="551ADB15" w14:textId="77777777" w:rsidR="003754FE" w:rsidRDefault="003754FE" w:rsidP="003754FE">
      <w:pPr>
        <w:pStyle w:val="TextoNormal"/>
      </w:pPr>
    </w:p>
    <w:p w14:paraId="18A045BD" w14:textId="77777777" w:rsidR="003754FE" w:rsidRDefault="003754FE" w:rsidP="003754FE">
      <w:pPr>
        <w:pStyle w:val="TextoNormal"/>
      </w:pPr>
      <w:r>
        <w:t>En tercer lugar, nuestra doctrina también ha reconocido la naturaleza no normativa de las memorias y fichas presupuestarias (no publicadas): “las memorias de los presupuestos […] en modo alguno pudieron adquirir vigencia con la entrada en vigor de las leyes de presupuestos impugnadas; en realidad, son algo externo o ajeno a las mismas, meras previsiones hipotéticas” (STC 63/1986, de 21 de mayo, FJ 8).</w:t>
      </w:r>
    </w:p>
    <w:p w14:paraId="3819980C" w14:textId="77777777" w:rsidR="003754FE" w:rsidRDefault="003754FE" w:rsidP="003754FE">
      <w:pPr>
        <w:pStyle w:val="TextoNormal"/>
      </w:pPr>
    </w:p>
    <w:p w14:paraId="18A444C4" w14:textId="77777777" w:rsidR="003754FE" w:rsidRDefault="003754FE" w:rsidP="003754FE">
      <w:pPr>
        <w:pStyle w:val="TextoNormal"/>
      </w:pPr>
      <w:r>
        <w:lastRenderedPageBreak/>
        <w:t>Finalmente, el ya citado art. 1 del Decreto-ley 4/2012 excluyó expresamente la aplicación de la normativa general de subvenciones, lo que evidencia, como ya he dicho, que las leyes de presupuestos anteriores no habían excluido la aplicación de esa normativa general.</w:t>
      </w:r>
    </w:p>
    <w:p w14:paraId="159EB7FC" w14:textId="77777777" w:rsidR="003754FE" w:rsidRDefault="003754FE" w:rsidP="003754FE">
      <w:pPr>
        <w:pStyle w:val="TextoNormal"/>
      </w:pPr>
    </w:p>
    <w:p w14:paraId="2130554A" w14:textId="77777777" w:rsidR="003754FE" w:rsidRDefault="003754FE" w:rsidP="003754FE">
      <w:pPr>
        <w:pStyle w:val="TextoNormal"/>
      </w:pPr>
      <w:r>
        <w:t>5</w:t>
      </w:r>
      <w:r w:rsidRPr="003754FE">
        <w:rPr>
          <w:i/>
        </w:rPr>
        <w:t>. Modificaciones presupuestari</w:t>
      </w:r>
      <w:r>
        <w:t>as</w:t>
      </w:r>
    </w:p>
    <w:p w14:paraId="23159E1B" w14:textId="77777777" w:rsidR="003754FE" w:rsidRDefault="003754FE" w:rsidP="003754FE">
      <w:pPr>
        <w:pStyle w:val="TextoNormal"/>
      </w:pPr>
    </w:p>
    <w:p w14:paraId="1B5C245F" w14:textId="77777777" w:rsidR="003754FE" w:rsidRDefault="003754FE" w:rsidP="003754FE">
      <w:pPr>
        <w:pStyle w:val="TextoNormal"/>
      </w:pPr>
      <w:r>
        <w:t>En cuanto a determinadas modificaciones presupuestarias producidas en los años 2002 a 2008 [FJ 4.5 B)], por las mismas razones que entiendo que las leyes de presupuestos que incluyeron desde el año 2002 esa célebre partida 31L no sanaron el vicio que arrastraban en cuanto a su oculta finalidad de eludir los controles previos de la intervención, tampoco las modificaciones presupuestarias de aquellos años pueden escudarse en la ley de presupuestos.</w:t>
      </w:r>
    </w:p>
    <w:p w14:paraId="530B3F71" w14:textId="77777777" w:rsidR="003754FE" w:rsidRDefault="003754FE" w:rsidP="003754FE">
      <w:pPr>
        <w:pStyle w:val="TextoNormal"/>
      </w:pPr>
    </w:p>
    <w:p w14:paraId="30DE2062" w14:textId="77777777" w:rsidR="003754FE" w:rsidRDefault="003754FE" w:rsidP="003754FE">
      <w:pPr>
        <w:pStyle w:val="TextoNormal"/>
      </w:pPr>
      <w:r>
        <w:t>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w:t>
      </w:r>
    </w:p>
    <w:p w14:paraId="43178CC7" w14:textId="77777777" w:rsidR="003754FE" w:rsidRDefault="003754FE" w:rsidP="003754FE">
      <w:pPr>
        <w:pStyle w:val="TextoNormal"/>
      </w:pPr>
    </w:p>
    <w:p w14:paraId="202189AB" w14:textId="77777777" w:rsidR="003754FE" w:rsidRDefault="003754FE" w:rsidP="003754FE">
      <w:pPr>
        <w:pStyle w:val="TextoNormal"/>
      </w:pPr>
      <w:r>
        <w:t>Resulta, por tanto, infundada la afirmación de la sentencia de la que disiento según la cual el Tribunal Supremo ha interpretado las leyes de presupuestos de Andalucía para esos años de modo imprevisible, así como las modificaciones presupuestarias aprobadas a su través.</w:t>
      </w:r>
    </w:p>
    <w:p w14:paraId="5D0F096A" w14:textId="77777777" w:rsidR="003754FE" w:rsidRDefault="003754FE" w:rsidP="003754FE">
      <w:pPr>
        <w:pStyle w:val="TextoNormal"/>
      </w:pPr>
    </w:p>
    <w:p w14:paraId="1CBCC449" w14:textId="77777777" w:rsidR="003754FE" w:rsidRDefault="003754FE" w:rsidP="003754FE">
      <w:pPr>
        <w:pStyle w:val="TextoNormal"/>
      </w:pPr>
      <w:r>
        <w:t>6</w:t>
      </w:r>
      <w:r w:rsidRPr="003754FE">
        <w:rPr>
          <w:i/>
        </w:rPr>
        <w:t>. Respeto por las resoluciones impugnadas del derecho fundamental del recurren</w:t>
      </w:r>
      <w:r>
        <w:t>te</w:t>
      </w:r>
    </w:p>
    <w:p w14:paraId="228E0DA4" w14:textId="77777777" w:rsidR="003754FE" w:rsidRDefault="003754FE" w:rsidP="003754FE">
      <w:pPr>
        <w:pStyle w:val="TextoNormal"/>
      </w:pPr>
    </w:p>
    <w:p w14:paraId="5F7CE969" w14:textId="77777777" w:rsidR="003754FE" w:rsidRDefault="003754FE" w:rsidP="003754FE">
      <w:pPr>
        <w:pStyle w:val="TextoNormal"/>
      </w:pPr>
      <w:r>
        <w:t>Colofón de lo que se expone, es que considero que las sentencias recurridas en amparo han efectuado una interpretación razonada de los elementos del delito de prevaricación y su aplicación al caso que supera el canon de control referido a la prohibición de interpretaciones “ilógicas” o “arbitrarias” que impone el art. 25.1 CE, conforme a la doctrina consolidada de este tribunal. Un canon que han superado anteriormente otras interpretaciones razonadas por los tribunales penales pero que pueden resultar más o menos controvertidas, como por ejemplo condenar por prevaricación a un particular a pesar de que el delito solo pueden cometerlo los “funcionarios” según la letra del Código penal (SSTC 47/1995, de 14 de febrero, FJ 6, y 41/1998, de 24 de febrero, FFJJ 5 y 6), o la condena a un alcalde, también por prevaricación, por actos que incluyen algunos que la jurisdicción contencioso-administrativa consideró conformes con el Derecho administrativo (ATC 324/2003, de 20 de octubre, FJ 6).</w:t>
      </w:r>
    </w:p>
    <w:p w14:paraId="3D06AD7C" w14:textId="77777777" w:rsidR="003754FE" w:rsidRDefault="003754FE" w:rsidP="003754FE">
      <w:pPr>
        <w:pStyle w:val="TextoNormal"/>
      </w:pPr>
    </w:p>
    <w:p w14:paraId="0740A2B0" w14:textId="77777777" w:rsidR="003754FE" w:rsidRDefault="003754FE" w:rsidP="003754FE">
      <w:pPr>
        <w:pStyle w:val="TextoNormal"/>
      </w:pPr>
      <w:r>
        <w:t>Aplicando este mismo rasero de la razonabilidad, considero que la interpretación del delito de prevaricación efectuada en este caso por los tribunales competentes para ello, que son la Audiencia Provincial de Sevilla y especialmente el Tribunal Supremo como órgano jurisdiccional superior en la materia (art. 123.1 CE), no es imprevisible ni, por consiguiente, contraria al derecho fundamental a la legalidad penal que garantiza el art. 25.1 CE.</w:t>
      </w:r>
    </w:p>
    <w:p w14:paraId="0BE733C7" w14:textId="77777777" w:rsidR="003754FE" w:rsidRDefault="003754FE" w:rsidP="003754FE">
      <w:pPr>
        <w:pStyle w:val="TextoNormal"/>
      </w:pPr>
    </w:p>
    <w:p w14:paraId="6237B454" w14:textId="77777777" w:rsidR="003754FE" w:rsidRDefault="003754FE" w:rsidP="003754FE">
      <w:pPr>
        <w:pStyle w:val="TextoNormal"/>
      </w:pPr>
      <w:r>
        <w:t>En consecuencia, la demanda de amparo por tal razón debió desestimarse en su integridad.</w:t>
      </w:r>
    </w:p>
    <w:p w14:paraId="456743E9" w14:textId="77777777" w:rsidR="003754FE" w:rsidRDefault="003754FE" w:rsidP="003754FE">
      <w:pPr>
        <w:pStyle w:val="TextoNormal"/>
      </w:pPr>
    </w:p>
    <w:p w14:paraId="1616BC67" w14:textId="77777777" w:rsidR="003754FE" w:rsidRDefault="003754FE" w:rsidP="003754FE">
      <w:pPr>
        <w:pStyle w:val="TextoNormal"/>
      </w:pPr>
      <w:r>
        <w:lastRenderedPageBreak/>
        <w:t>Y en este sentido emito mi voto particular.</w:t>
      </w:r>
    </w:p>
    <w:p w14:paraId="070A8E01" w14:textId="77777777" w:rsidR="003754FE" w:rsidRDefault="003754FE" w:rsidP="003754FE">
      <w:pPr>
        <w:pStyle w:val="TextoNormal"/>
      </w:pPr>
    </w:p>
    <w:p w14:paraId="6BADE3D8" w14:textId="3AF66E7E" w:rsidR="003754FE" w:rsidRDefault="003754FE" w:rsidP="003754FE">
      <w:pPr>
        <w:pStyle w:val="TextoNormal"/>
      </w:pPr>
      <w:r>
        <w:t>Madrid, a diecisiete de julio de dos mil veinticuatro.</w:t>
      </w:r>
    </w:p>
    <w:p w14:paraId="7712E1C2" w14:textId="77777777" w:rsidR="003754FE" w:rsidRDefault="003754FE" w:rsidP="003754FE">
      <w:pPr>
        <w:pStyle w:val="TextoNormal"/>
      </w:pPr>
    </w:p>
    <w:p w14:paraId="44473DCE" w14:textId="77777777" w:rsidR="003754FE" w:rsidRDefault="003754FE" w:rsidP="003754FE">
      <w:pPr>
        <w:pStyle w:val="TextoNormalNegritaCentrado"/>
        <w:keepNext/>
      </w:pPr>
      <w:r>
        <w:t>Voto particular que formula el magistrado don Enrique Arnaldo Alcubilla a la sentencia dictada por el Pleno en el recurso de amparo núm. 2411-2023</w:t>
      </w:r>
    </w:p>
    <w:p w14:paraId="04B4DBD7" w14:textId="296289A5" w:rsidR="003754FE" w:rsidRDefault="003754FE" w:rsidP="003754FE">
      <w:pPr>
        <w:pStyle w:val="TextoNormalNegritaCentrado"/>
        <w:keepNext/>
      </w:pPr>
    </w:p>
    <w:p w14:paraId="5CC8B8BC" w14:textId="77777777" w:rsidR="003754FE" w:rsidRDefault="003754FE" w:rsidP="003754FE">
      <w:pPr>
        <w:pStyle w:val="TextoNormal"/>
      </w:pPr>
      <w:r>
        <w:t>En el ejercicio de la facultad que me confiere el art. 90.2 de la Ley Orgánica del Tribunal Constitucional (LOTC), formulo el presente voto particular por discrepar de la fundamentación y del fallo de la sentencia recaída en el recurso de amparo interpuesto por don Gaspar Zarrías Arévalo, el cual a mi parecer debió ser desestimado, por las razones defendidas durante la deliberación y en los términos que seguidamente paso a exponer.</w:t>
      </w:r>
    </w:p>
    <w:p w14:paraId="618CF38A" w14:textId="77777777" w:rsidR="003754FE" w:rsidRDefault="003754FE" w:rsidP="003754FE">
      <w:pPr>
        <w:pStyle w:val="TextoNormal"/>
      </w:pPr>
    </w:p>
    <w:p w14:paraId="6813CEBE" w14:textId="77777777" w:rsidR="003754FE" w:rsidRDefault="003754FE" w:rsidP="003754FE">
      <w:pPr>
        <w:pStyle w:val="TextoNormal"/>
      </w:pPr>
      <w:r>
        <w:t xml:space="preserve">1. </w:t>
      </w:r>
      <w:r w:rsidRPr="003754FE">
        <w:rPr>
          <w:i/>
        </w:rPr>
        <w:t>Consideración preliminar</w:t>
      </w:r>
    </w:p>
    <w:p w14:paraId="278BCF18" w14:textId="77777777" w:rsidR="003754FE" w:rsidRDefault="003754FE" w:rsidP="003754FE">
      <w:pPr>
        <w:pStyle w:val="TextoNormal"/>
      </w:pPr>
    </w:p>
    <w:p w14:paraId="7037AC09" w14:textId="77777777" w:rsidR="003754FE" w:rsidRDefault="003754FE" w:rsidP="003754FE">
      <w:pPr>
        <w:pStyle w:val="TextoNormal"/>
      </w:pPr>
      <w:r>
        <w:t>La fundamentación de la presente sentencia descansa en buena medida en los argumentos empleados por la mayoría del Pleno en la sentencia que estimó parcialmente el recurso de amparo núm. 6971-2022, interpuesto por doña Magdalena Álvarez Arza (STC 93/2024, de 19 de junio) contra las mismas resoluciones judiciales, que la condenaron por un delito de prevaricación en la pieza específica del conocido como “caso de los ERE de Andalucía”.</w:t>
      </w:r>
    </w:p>
    <w:p w14:paraId="18042E50" w14:textId="77777777" w:rsidR="003754FE" w:rsidRDefault="003754FE" w:rsidP="003754FE">
      <w:pPr>
        <w:pStyle w:val="TextoNormal"/>
      </w:pPr>
    </w:p>
    <w:p w14:paraId="06C5E5D9" w14:textId="77777777" w:rsidR="003754FE" w:rsidRDefault="003754FE" w:rsidP="003754FE">
      <w:pPr>
        <w:pStyle w:val="TextoNormal"/>
      </w:pPr>
      <w:r>
        <w:t>Es procedente, por ello, que me remita a las consideraciones expuestas en el voto particular que suscribí juntamente con el magistrado Enríquez Sancho y la magistrada Espejel Jorquera a la referida sentencia, y a las que formuló el magistrado Tolosa Tribiño en su voto, al que asimismo nos adherimos. Esta remisión se explica porque en cuanto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otro de los altos cargos de la Junta de Andalucía condenados en el referido asunto, en este supuesto también por delito de prevaricación. Se trata de don Gaspar Zarrías Arévalo, quien fuera consejero de Presidencia de la Junta de Andalucía de 1996 a 2009, estando descritos los hechos por los que fue condenado en el relato de hechos probados y en los fundamentos de Derecho 40 y 49 de la sentencia de la Audiencia Provincial de Sevilla, como se pone de manifiesto en el fundamento jurídico 2.4 de la presente sentencia del Tribunal Constitucional.</w:t>
      </w:r>
    </w:p>
    <w:p w14:paraId="779569E0" w14:textId="77777777" w:rsidR="003754FE" w:rsidRDefault="003754FE" w:rsidP="003754FE">
      <w:pPr>
        <w:pStyle w:val="TextoNormal"/>
      </w:pPr>
    </w:p>
    <w:p w14:paraId="7A9B50BF" w14:textId="77777777" w:rsidR="003754FE" w:rsidRDefault="003754FE" w:rsidP="003754FE">
      <w:pPr>
        <w:pStyle w:val="TextoNormal"/>
      </w:pPr>
      <w:r>
        <w:t xml:space="preserve">Conviene recordar que las sentencias impugnadas en amparo condenaron al recurrente y a otros altos cargos de la Junta de Andalucía en la pieza específica del “caso de los ERE de Andalucía”, que planificaron un sistema de concesión y ejecución de ayudas sociolaborales excepcionales eludiendo el control del gasto público. Para ello idearon un mecanismo relativamente sencillo y sumamente eficaz, para la finalidad perseguida. Ese mecanismo fue el cambio de clasificación presupuestaria del gasto, asignándose las ayudas a la partida 440.12 del programa 31L (“Transferencias de financiación al IFA”) por la Consejería de Empleo y ejecutándolas el Instituto de Fomento de Andalucía (IFA), luego denominado a partir de 2004 como Agencia de Innovación y Desarrollo en Andalucía (IDEA). De esta suerte, durante los años 2002 a 2009 no se siguió procedimiento administrativo alguno en la concesión de las ayudas, al otorgarse sin expediente de concesión (en muchos casos); sin publicidad en la concesión; sin fiscalización; sin informe de la Consejería de Presidencia sobre la </w:t>
      </w:r>
      <w:r>
        <w:lastRenderedPageBreak/>
        <w:t>notificación a la Comisión Europea; sin solicitud de los interesados y sin acreditarse la personalidad de los solicitantes; entre otras graves irregularidades que socavaron las reglas y los principios por los que se rige la actividad administrativa subvencional.</w:t>
      </w:r>
    </w:p>
    <w:p w14:paraId="45D81A6D" w14:textId="77777777" w:rsidR="003754FE" w:rsidRDefault="003754FE" w:rsidP="003754FE">
      <w:pPr>
        <w:pStyle w:val="TextoNormal"/>
      </w:pPr>
    </w:p>
    <w:p w14:paraId="2AB03B7C" w14:textId="77777777" w:rsidR="003754FE" w:rsidRDefault="003754FE" w:rsidP="003754FE">
      <w:pPr>
        <w:pStyle w:val="TextoNormal"/>
      </w:pPr>
      <w:r>
        <w:t xml:space="preserve">2. </w:t>
      </w:r>
      <w:r w:rsidRPr="003754FE">
        <w:rPr>
          <w:i/>
        </w:rPr>
        <w:t>Premisas erróneas: la pretendida virtud sanadora de las leyes de presupuestos de Andalucía para los años 2002 a 2009 y la atribución a la memoria económica de valor y eficacia complementaria de la ley de presupuestos</w:t>
      </w:r>
    </w:p>
    <w:p w14:paraId="4348B13E" w14:textId="77777777" w:rsidR="003754FE" w:rsidRDefault="003754FE" w:rsidP="003754FE">
      <w:pPr>
        <w:pStyle w:val="TextoNormal"/>
      </w:pPr>
    </w:p>
    <w:p w14:paraId="6B00025C" w14:textId="77777777" w:rsidR="003754FE" w:rsidRDefault="003754FE" w:rsidP="003754FE">
      <w:pPr>
        <w:pStyle w:val="TextoNormal"/>
      </w:pPr>
      <w:r>
        <w:t>Como en la STC 93/2024, la presente sentencia considera que la actuación del recurrente no puede entenderse subsumible en el delito de prevaricación por el que ha sido condenado, conclusión que asienta sobre la premisa, a mi parecer errónea, de que obraba amparado por lo previsto en la correspondiente ley de presupuestos para cada ejercicio.</w:t>
      </w:r>
    </w:p>
    <w:p w14:paraId="6F3D0DF0" w14:textId="77777777" w:rsidR="003754FE" w:rsidRDefault="003754FE" w:rsidP="003754FE">
      <w:pPr>
        <w:pStyle w:val="TextoNormal"/>
      </w:pPr>
    </w:p>
    <w:p w14:paraId="25959C25" w14:textId="77777777" w:rsidR="003754FE" w:rsidRDefault="003754FE" w:rsidP="003754FE">
      <w:pPr>
        <w:pStyle w:val="TextoNormal"/>
      </w:pPr>
      <w:r>
        <w:t>Nada más lejos de la realidad. Las sentencias impugnadas en amparo han entendido que los trabajos preparatorios de esas leyes (la actividad “prelegislativa”), esto es, la actividad tendente a la elaboración de los anteproyectos de ley que luego se convertirán en proyectos remitidos al Parlamento, puede considerarse integrante de un procedimiento administrativo y, por consiguiente, que las decisiones que se adoptan en ese ámbito pueden calificarse como resoluciones recaídas en asunto administrativo, que es el término empleado en el art. 404 del Código penal para el delito de prevaricación administrativa. Por las razones expresadas en el voto particular a la STC 93/2024, no me parece que esa interpretación realizada por la jurisdicción penal, en el ámbito que le compete conforme al art. 117.3 CE, pueda tildarse de irrazonable o imprevisible. A mi entender, los actos prelegislativos son susceptibles de control penal. Entender lo contrario, como hace la mayoría del Tribunal en la sentencia de la que disiento, equivale a consagrar un inadmisible ámbito de impunidad que resulta patentemente contrario a la Constitución.</w:t>
      </w:r>
    </w:p>
    <w:p w14:paraId="0120C59E" w14:textId="77777777" w:rsidR="003754FE" w:rsidRDefault="003754FE" w:rsidP="003754FE">
      <w:pPr>
        <w:pStyle w:val="TextoNormal"/>
      </w:pPr>
    </w:p>
    <w:p w14:paraId="06593543" w14:textId="77777777" w:rsidR="003754FE" w:rsidRDefault="003754FE" w:rsidP="003754FE">
      <w:pPr>
        <w:pStyle w:val="TextoNormal"/>
      </w:pPr>
      <w:r>
        <w:t>La preparación del anteproyecto de ley de presupuestos es una labor netamente administrativa, sujeta a control y a responsabilidad. Es la presentación del proyecto de ley en el Parlamento el acto que inicia la tramitación parlamentaria. Estamos, pues, en el primer caso, ante actos administrativos insertos en un procedimiento administrativo reglado (a nivel estatal, el procedimiento por el que se rige la elaboración de los presupuestos generales del Estado es una orden del ministro de Hacienda, conforme al art. 36.2 de la Ley general presupuestaria; en la Comunidad Autónoma andaluza, se trata de una orden de la Consejería competente). No es posible equiparar, por tanto, los anteproyectos de ley (tramitación administrativa) con los proyectos de ley (tramitación parlamentaria), ni tampoco equiparar los actos administrativos prelegislativos (reglados o discrecionales) con los políticos (del Gobierno) o legislativos (del Parlamento), ni mucho menos afirmar que los actos preparatorios o prelegislativos no se encuentran sometidos al Derecho administrativo, para deducir de ello una absoluta irresponsabilidad penal de los autores de esa actuación prelegislativa, como hace la sentencia de la que disiento.</w:t>
      </w:r>
    </w:p>
    <w:p w14:paraId="34ED9201" w14:textId="77777777" w:rsidR="003754FE" w:rsidRDefault="003754FE" w:rsidP="003754FE">
      <w:pPr>
        <w:pStyle w:val="TextoNormal"/>
      </w:pPr>
    </w:p>
    <w:p w14:paraId="4141F09E" w14:textId="77777777" w:rsidR="003754FE" w:rsidRDefault="003754FE" w:rsidP="003754FE">
      <w:pPr>
        <w:pStyle w:val="TextoNormal"/>
      </w:pPr>
      <w:r>
        <w:t xml:space="preserve">Pero la sentencia aprobada por la mayoría va aún más lejos y, como en la STC 93/2024, sostiene que la conducta del recurrente, como la de otros condenados en la “pieza específica del caso de los ERE de Andalucía”, no merecía reproche penal desde la perspectiva del delito de prevaricación por el que ha sido condenado, porque se amparaba en las leyes de presupuestos de Andalucía para los años 2002 al 2009, que “en su programa 31L, establecieron un sistema de atribución de fondos al IFA/IDEA (las transferencias de financiación) </w:t>
      </w:r>
      <w:r>
        <w:lastRenderedPageBreak/>
        <w:t>para la concesión de ayudas sociolaborales que, de acuerdo con lo establecido en sus propias memorias, habilitaban a la administración autonómica a conceder estas ayudas por tal vía” (fundamento jurídico 4), lo que habría supuesto la supresión de los controles y procedimiento propios del régimen de subvenciones.</w:t>
      </w:r>
    </w:p>
    <w:p w14:paraId="5C9A0501" w14:textId="77777777" w:rsidR="003754FE" w:rsidRDefault="003754FE" w:rsidP="003754FE">
      <w:pPr>
        <w:pStyle w:val="TextoNormal"/>
      </w:pPr>
    </w:p>
    <w:p w14:paraId="3E139F13" w14:textId="77777777" w:rsidR="003754FE" w:rsidRDefault="003754FE" w:rsidP="003754FE">
      <w:pPr>
        <w:pStyle w:val="TextoNormal"/>
      </w:pPr>
      <w:r>
        <w:t>Lo mismo se afirma respecto de las conductas calificadas de prevaricación por las sentencias impugnadas en amparo relativas a las modificaciones presupuestarias amparadas en el programa 31L, habidas con posterioridad a la aprobación de las distintas leyes de presupuestos, pues, asimismo, encontrarían cobijo en el “sistema de atribución de fondos al IFA/IDEA (las transferencias de financiación) para la concesión de ayudas sociolaborales”, según sostiene la mayoría del Pleno en la sentencia de la que disiento.</w:t>
      </w:r>
    </w:p>
    <w:p w14:paraId="1C95A868" w14:textId="77777777" w:rsidR="003754FE" w:rsidRDefault="003754FE" w:rsidP="003754FE">
      <w:pPr>
        <w:pStyle w:val="TextoNormal"/>
      </w:pPr>
    </w:p>
    <w:p w14:paraId="6D8FECF4" w14:textId="77777777" w:rsidR="003754FE" w:rsidRDefault="003754FE" w:rsidP="003754FE">
      <w:pPr>
        <w:pStyle w:val="TextoNormal"/>
      </w:pPr>
      <w:r>
        <w:t>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subvenciones, en particular, la fiscalización previa por parte de la Intervención de la Junta de Andalucía. Se viene a afirmar que resulta imprevisible condenar por prevaricación conductas amparadas en lo dispuesto en el programa 31L incorporado a las leyes de presupuestos de Andalucía para los años 2002 al 2009. La ley curaría, según la mayoría del Tribunal, todo vicio y haría inatacable la actuación de los gestores públicos, que estarían habituados para actuar al margen de cualquier procedimiento y sin el control previo exigible en cualquier disposición de fondos públicos.</w:t>
      </w:r>
    </w:p>
    <w:p w14:paraId="2F49F491" w14:textId="77777777" w:rsidR="003754FE" w:rsidRDefault="003754FE" w:rsidP="003754FE">
      <w:pPr>
        <w:pStyle w:val="TextoNormal"/>
      </w:pPr>
    </w:p>
    <w:p w14:paraId="443B0588" w14:textId="77777777" w:rsidR="003754FE" w:rsidRDefault="003754FE" w:rsidP="003754FE">
      <w:pPr>
        <w:pStyle w:val="TextoNormal"/>
      </w:pPr>
      <w:r>
        <w:t>Según la sentencia aprobada por la mayoría del Tribunal, y de la que discrepo, la ley de presupuestos es erigida en un tótem todopoderoso que habilita a la administración para operar libérrimamente. Basta una partida, una cifra, económica expresada en euros y un concepto genérico para entender que el organismo correspondiente está apoderado para saltarse procedimientos y controles, simplemente con el argumento de que no se establece en la ley a qué procedimiento o a qué control está sujeta esa actividad.</w:t>
      </w:r>
    </w:p>
    <w:p w14:paraId="47513A46" w14:textId="77777777" w:rsidR="003754FE" w:rsidRDefault="003754FE" w:rsidP="003754FE">
      <w:pPr>
        <w:pStyle w:val="TextoNormal"/>
      </w:pPr>
    </w:p>
    <w:p w14:paraId="759695D7" w14:textId="77777777" w:rsidR="003754FE" w:rsidRDefault="003754FE" w:rsidP="003754FE">
      <w:pPr>
        <w:pStyle w:val="TextoNormal"/>
      </w:pPr>
      <w:r>
        <w:t>Semejante premisa, la de la supuesta cobertura de la actuación del recurrente en la legalidad presupuestaria, descansa en una errónea apreciación del contenido de las leyes de presupuestos consideradas. No es cierto que las sentencias de la jurisdicción penal que condenaron al recurrente hayan privado de toda relevancia a la circunstancia de la aprobación parlamentaria de las sucesivas leyes de presupuestos. Lo que sucede es que, frente a lo que de manera incorrecta ha entendido la mayoría en la sentencia de la que disiento, es que, en realidad, la introducción del programa 31L en las leyes de presupuestos andaluzas de los 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de lo Penal del Tribunal Supremo.</w:t>
      </w:r>
    </w:p>
    <w:p w14:paraId="58463DB9" w14:textId="77777777" w:rsidR="003754FE" w:rsidRDefault="003754FE" w:rsidP="003754FE">
      <w:pPr>
        <w:pStyle w:val="TextoNormal"/>
      </w:pPr>
    </w:p>
    <w:p w14:paraId="2F3D2D0A" w14:textId="77777777" w:rsidR="003754FE" w:rsidRDefault="003754FE" w:rsidP="003754FE">
      <w:pPr>
        <w:pStyle w:val="TextoNormal"/>
      </w:pPr>
      <w:r>
        <w:t xml:space="preserve">Ambas resoluciones judiciales niegan con razón, por otra parte, el pretendido valor legal (tampoco normativo, por supuesto, pues no son normas jurídicas) que se pretende dar a las memorias presupuestarias, informes económico-financieros y fichas del programa 31L. La ausencia de eficacia vinculante de esa documentación anexa a las leyes de presupuestos </w:t>
      </w:r>
      <w:r>
        <w:lastRenderedPageBreak/>
        <w:t>resulta corroborada por diversos instrumentos legales, como ya se señaló en el voto particular conjunto a la STC 93/2014,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meras previsiones hipotéticas” (STC 63/1986, de 21 de mayo, FJ 8). El argumento que utiliza la mayoría en la sentencia de la que discrepo, según el cual han de interpretarse las partidas presupuestarias conforme a la memoria, es fruto de un voluntarismo jurídico que no se puede compartir.</w:t>
      </w:r>
    </w:p>
    <w:p w14:paraId="606B9010" w14:textId="77777777" w:rsidR="003754FE" w:rsidRDefault="003754FE" w:rsidP="003754FE">
      <w:pPr>
        <w:pStyle w:val="TextoNormal"/>
      </w:pPr>
    </w:p>
    <w:p w14:paraId="63571D83" w14:textId="77777777" w:rsidR="003754FE" w:rsidRDefault="003754FE" w:rsidP="003754FE">
      <w:pPr>
        <w:pStyle w:val="TextoNormal"/>
      </w:pPr>
      <w:r>
        <w:t>En cuanto a las modificaciones presupuestarias producidas en los años 2002 y 2005 a 2008, por las mismas razones que entendemos que las leyes de presupuestos que incluyeron desde el año 2002 esa célebre partida 440 del programa 31L no sanaron el vicio que arrastraban en cuanto a su oculta finalidad de eludir los controles previos de la Intervención, tampoco las modificaciones presupuestarias pueden escudarse en la ley de presupuestos.</w:t>
      </w:r>
    </w:p>
    <w:p w14:paraId="3BC9B852" w14:textId="77777777" w:rsidR="003754FE" w:rsidRDefault="003754FE" w:rsidP="003754FE">
      <w:pPr>
        <w:pStyle w:val="TextoNormal"/>
      </w:pPr>
    </w:p>
    <w:p w14:paraId="10ABA81C" w14:textId="77777777" w:rsidR="003754FE" w:rsidRDefault="003754FE" w:rsidP="003754FE">
      <w:pPr>
        <w:pStyle w:val="TextoNormal"/>
      </w:pPr>
      <w:r>
        <w:t>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correspondiente ley de presupuestos, excluyera la aplicación de la normativa general en materia de subvenciones.</w:t>
      </w:r>
    </w:p>
    <w:p w14:paraId="1A5B1EE5" w14:textId="77777777" w:rsidR="003754FE" w:rsidRDefault="003754FE" w:rsidP="003754FE">
      <w:pPr>
        <w:pStyle w:val="TextoNormal"/>
      </w:pPr>
    </w:p>
    <w:p w14:paraId="4477DFDD" w14:textId="77777777" w:rsidR="003754FE" w:rsidRDefault="003754FE" w:rsidP="003754FE">
      <w:pPr>
        <w:pStyle w:val="TextoNormal"/>
      </w:pPr>
      <w:r>
        <w:t>Habida cuenta de lo anterior, no parece que la respuesta penal a la actuación del recurrente pueda calificarse de imprevisible. La razón de la condena del recurrente es clara: como con arreglo a la Ley 5/1983, de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los altos cargos de la Junta de Andalucía implicados en la trama idearon como solución para eludir esos controles incluir una nueva partida en los presupuestos titulada de manera indeterminada para sus propios fines, eludiendo de este modo los controles exigibles con arreglo a una legalidad que no fue derogada por lo dispuesto en las leyes de presupuestos andaluzas de los años 2002 a 2009.</w:t>
      </w:r>
    </w:p>
    <w:p w14:paraId="7307AD41" w14:textId="77777777" w:rsidR="003754FE" w:rsidRDefault="003754FE" w:rsidP="003754FE">
      <w:pPr>
        <w:pStyle w:val="TextoNormal"/>
      </w:pPr>
    </w:p>
    <w:p w14:paraId="01DC65F0" w14:textId="77777777" w:rsidR="003754FE" w:rsidRDefault="003754FE" w:rsidP="003754FE">
      <w:pPr>
        <w:pStyle w:val="TextoNormal"/>
      </w:pPr>
      <w:r>
        <w:t xml:space="preserve">Ciertamente, las cosas podrían haber sucedido de otro modo. Las leyes de presupuestos andaluzas hubieran podido derogar esa legalidad, o excluirla para la concesión de esas ayudas, como hizo luego el Decreto-ley 4/2012 en la llamada “tercera etapa” de los ERE (fundamento jurídico de la sentencia del Tribunal Supremo, “resumen de los hechos probados”), cuyo art.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w:t>
      </w:r>
      <w:r>
        <w:lastRenderedPageBreak/>
        <w:t>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a disponer, después, libérrimamente de los fondos incluidos en la partida 440 del programa 31L y solo y exclusivamente en esa partida.</w:t>
      </w:r>
    </w:p>
    <w:p w14:paraId="3E27C95D" w14:textId="77777777" w:rsidR="003754FE" w:rsidRDefault="003754FE" w:rsidP="003754FE">
      <w:pPr>
        <w:pStyle w:val="TextoNormal"/>
      </w:pPr>
    </w:p>
    <w:p w14:paraId="766BA77D" w14:textId="77777777" w:rsidR="003754FE" w:rsidRDefault="003754FE" w:rsidP="003754FE">
      <w:pPr>
        <w:pStyle w:val="TextoNormal"/>
      </w:pPr>
      <w:r>
        <w:t>La consecuencia de ello es que las conductas enjuiciadas del recurrente fueron correctamente subsumidas en el delito de prevaricación, porque el programa 31L. no concedía una cobertura legal para adjudicar ayudas con elusión de los controles previstos en la normativa subvencional, pues nada se establecía en las leyes de presupuestos en tal sentido. La omisión de aquellos controles permitió que se dispusiera libremente de las ingentes cantidades dinerarias a las que se refieren los hechos probados de las sentencias impugnadas en amparo, ocasionando un grave quebranto a la hacienda pública.</w:t>
      </w:r>
    </w:p>
    <w:p w14:paraId="3589D176" w14:textId="77777777" w:rsidR="003754FE" w:rsidRDefault="003754FE" w:rsidP="003754FE">
      <w:pPr>
        <w:pStyle w:val="TextoNormal"/>
      </w:pPr>
    </w:p>
    <w:p w14:paraId="2E1CF050" w14:textId="77777777" w:rsidR="003754FE" w:rsidRDefault="003754FE" w:rsidP="003754FE">
      <w:pPr>
        <w:pStyle w:val="TextoNormal"/>
      </w:pPr>
      <w:r>
        <w:t xml:space="preserve">3. </w:t>
      </w:r>
      <w:r w:rsidRPr="003754FE">
        <w:rPr>
          <w:i/>
        </w:rPr>
        <w:t>La presente sentencia desconoce los principios constitucionales rectores del gasto público y su control</w:t>
      </w:r>
    </w:p>
    <w:p w14:paraId="4163A5CF" w14:textId="77777777" w:rsidR="003754FE" w:rsidRDefault="003754FE" w:rsidP="003754FE">
      <w:pPr>
        <w:pStyle w:val="TextoNormal"/>
      </w:pPr>
    </w:p>
    <w:p w14:paraId="3A173E88" w14:textId="77777777" w:rsidR="003754FE" w:rsidRDefault="003754FE" w:rsidP="003754FE">
      <w:pPr>
        <w:pStyle w:val="TextoNormal"/>
      </w:pPr>
      <w:r>
        <w:t>En un precepto original en el Derecho Constitucional contemporáneo, la Constitución en su art. 31.2 establece que “[e]l gasto público realizará una asignación equitativa de los recursos públicos, y su programación y ejecución responderán a los criterios de eficiencia y economía”.</w:t>
      </w:r>
    </w:p>
    <w:p w14:paraId="6A190BC5" w14:textId="77777777" w:rsidR="003754FE" w:rsidRDefault="003754FE" w:rsidP="003754FE">
      <w:pPr>
        <w:pStyle w:val="TextoNormal"/>
      </w:pPr>
    </w:p>
    <w:p w14:paraId="7E479D97" w14:textId="77777777" w:rsidR="003754FE" w:rsidRDefault="003754FE" w:rsidP="003754FE">
      <w:pPr>
        <w:pStyle w:val="TextoNormal"/>
      </w:pPr>
      <w:r>
        <w:t>La referencia que hace el art. 31.2 CE a la justicia de los criterios de reparto del gasto público fue introducida en el Senado a través de la enmienda propuesta por el profesor Fuentes Quintana, quien en defensa de la misma enfatizó que lo que se pretende es “que el gasto publico sirva al fin de la justicia (solicitando, por ello una asignación equitativa de los recursos públicos) y a los principios de la eficiencia y economicidad (requisito obligado para justificar la racionalidad de todo gasto publico)”. Y ello porque “el gasto no solamente constituye en este sentido un derecho del ciudadano; mi derecho, en cuanto ciudadano, a los gastos públicos no es solo a que prepondere la equidad en su distribución, sino también a que su programación, su presupuestación y su control tengan lugar con arreglo a los principios de economicidad y eficiencia. La economicidad y eficiencia deben ser mandatos obligados para el gasto público y para el gasto privado y, naturalmente, son derechos de los individuos, porque en la medida en que el Estado despilfarra el contenido del conjunto en sus gastos públicos, es evidente que lo que está haciendo es malbaratar el conjunto, no defender el conjunto de los derechos individuales de los ciudadanos” (“Diario de Sesiones del Senado”, núm. 45, de 29 de agosto de 1978, enmienda núm. 674, presentada en el seno de la Comisión Constitucional).</w:t>
      </w:r>
    </w:p>
    <w:p w14:paraId="69B08BB1" w14:textId="77777777" w:rsidR="003754FE" w:rsidRDefault="003754FE" w:rsidP="003754FE">
      <w:pPr>
        <w:pStyle w:val="TextoNormal"/>
      </w:pPr>
    </w:p>
    <w:p w14:paraId="6A33AF54" w14:textId="77777777" w:rsidR="003754FE" w:rsidRDefault="003754FE" w:rsidP="003754FE">
      <w:pPr>
        <w:pStyle w:val="TextoNormal"/>
      </w:pPr>
      <w:r>
        <w:t xml:space="preserve">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pude hacer el Estado a través del Tribunal de Cuentas sobre la actividad financiera de las corporaciones locales. Pueden coexistir y superponerse, sin perjuicio de “evitar duplicidades innecesarias o disfuncionalidades”, que serían contrarias al 31.2 CE. También en la STC 204/1992, de 26 de noviembre, sobre los consejos consultivos autonómicos y el Consejo de Estado, si bien aquí el Tribunal añade al art. 31.2 CE el art. 103.1 </w:t>
      </w:r>
      <w:r>
        <w:lastRenderedPageBreak/>
        <w:t>CE, que obliga a la administración pública a actuar con sujeción tanto al principio de legalidad (lo que incluye la legalidad presupuestaria, claro está), como al principio de eficacia administrativa).</w:t>
      </w:r>
    </w:p>
    <w:p w14:paraId="59997F5F" w14:textId="77777777" w:rsidR="003754FE" w:rsidRDefault="003754FE" w:rsidP="003754FE">
      <w:pPr>
        <w:pStyle w:val="TextoNormal"/>
      </w:pPr>
    </w:p>
    <w:p w14:paraId="64886907" w14:textId="77777777" w:rsidR="003754FE" w:rsidRDefault="003754FE" w:rsidP="003754FE">
      <w:pPr>
        <w:pStyle w:val="TextoNormal"/>
      </w:pPr>
      <w:r>
        <w:t>Pero, sin duda, el pronunciamiento más importante se contiene en la STC 45/2017, de 27 de abril, en la que se afirma que “[l]a actividad financiera de las distintas Haciendas [ha de] asegurar los principios constitucionales que, conforme a la Constitución han de regir el gasto público: legalidad (art. 133.4 CE), eficiencia y economía (art. 31.2 CE), asignación equitativa de los recursos públicos (art. 31.2 CE), subordinación de la riqueza al interés general (art. 128.1 CE), estabilidad presupuestaria (art. 135 CE […]) y control (art. 136 CE)”.</w:t>
      </w:r>
    </w:p>
    <w:p w14:paraId="7FA889B2" w14:textId="77777777" w:rsidR="003754FE" w:rsidRDefault="003754FE" w:rsidP="003754FE">
      <w:pPr>
        <w:pStyle w:val="TextoNormal"/>
      </w:pPr>
    </w:p>
    <w:p w14:paraId="58528F91" w14:textId="77777777" w:rsidR="003754FE" w:rsidRDefault="003754FE" w:rsidP="003754FE">
      <w:pPr>
        <w:pStyle w:val="TextoNormal"/>
      </w:pPr>
      <w:r>
        <w:t>Sobre el principio de legalidad (que la sentencia presenta como respetado y salutífero para el recurrente) ya me he expresado, sin perjuicio de volver después. Me importa detenerme ahora en los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pagos. Ello queda confirmado, por lo demás, en un precepto transversal de nuestra Constitución, íntimamente ligado, entre otros, al citado art. 31.2 CE, y que no es otro que el también citado art. 103.1 CE, a cuyo tenor “[l]a administración pública sirve con objetividad 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14:paraId="15D42737" w14:textId="77777777" w:rsidR="003754FE" w:rsidRDefault="003754FE" w:rsidP="003754FE">
      <w:pPr>
        <w:pStyle w:val="TextoNormal"/>
      </w:pPr>
    </w:p>
    <w:p w14:paraId="3308747A" w14:textId="77777777" w:rsidR="003754FE" w:rsidRDefault="003754FE" w:rsidP="003754FE">
      <w:pPr>
        <w:pStyle w:val="TextoNormal"/>
      </w:pPr>
      <w: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enunciadas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w:t>
      </w:r>
      <w:r w:rsidRPr="003754FE">
        <w:rPr>
          <w:i/>
        </w:rPr>
        <w:t>in fine</w:t>
      </w:r>
      <w:r>
        <w:t xml:space="preserve"> que el sometimiento de la administración pública a la ley y al Derecho sea pleno, o sea completo, sin excepción ni matiz, lo que corrobora el enunciado del art. 106.1 CE.</w:t>
      </w:r>
    </w:p>
    <w:p w14:paraId="6E0BF7B4" w14:textId="77777777" w:rsidR="003754FE" w:rsidRDefault="003754FE" w:rsidP="003754FE">
      <w:pPr>
        <w:pStyle w:val="TextoNormal"/>
      </w:pPr>
    </w:p>
    <w:p w14:paraId="37FFC8B1" w14:textId="77777777" w:rsidR="003754FE" w:rsidRDefault="003754FE" w:rsidP="003754FE">
      <w:pPr>
        <w:pStyle w:val="TextoNormal"/>
      </w:pPr>
      <w:r>
        <w:t xml:space="preserve">Si el fraude fiscal es una de las agresiones más graves al interés común de los ciudadanos, la malversación de los caudales públicos es otra no menos importante. Como la lucha contra el fraude fiscal, la lucha contra la corrupción es otro objetivo o mandato que la Constitución impone a todos los poderes públicos. Ese mandato deriva del deber constitucional de realizar una asignación equitativa de los recursos públicos en el marco de una programación y ejecución basada en los criterios de eficiencia y economía (art. 31.1 CE). La justicia financiera no se limita a la vertiente del ingreso; debe atender con la misma fuerza a la del gasto ¿De qué vale defender la ética en el ingreso si luego no se exige la correlativa ética en el gasto? La mala, negligente o indebida gestión de los recursos públicos compromete el cumplimiento de los fines de un Estado social y democrático de Derecho (art. 1.1 CE). El Tribunal del que formo parte ha renunciado de nuevo a formar una doctrina en cuestión tan nuclear </w:t>
      </w:r>
      <w:r>
        <w:lastRenderedPageBreak/>
        <w:t xml:space="preserve">como de tan vieja raigambre en la sociedad. En efecto, ya la Carta Magna inglesa de 1215 reconoció el derecho de los ciudadanos, no solo a consentir tributos, sino también a conocer su justificación y el destino a que se afectaban, derechos que recogió el </w:t>
      </w:r>
      <w:r w:rsidRPr="003754FE">
        <w:rPr>
          <w:i/>
        </w:rPr>
        <w:t>Bill of Rights</w:t>
      </w:r>
      <w:r>
        <w:t xml:space="preserve"> de 1689 y más adelante la Declaración de los derechos del hombre y del ciudadano de 1789 y nuestra Constitución de Cádiz de 1812.</w:t>
      </w:r>
    </w:p>
    <w:p w14:paraId="57B19806" w14:textId="77777777" w:rsidR="003754FE" w:rsidRDefault="003754FE" w:rsidP="003754FE">
      <w:pPr>
        <w:pStyle w:val="TextoNormal"/>
      </w:pPr>
    </w:p>
    <w:p w14:paraId="11002F48" w14:textId="77777777" w:rsidR="003754FE" w:rsidRDefault="003754FE" w:rsidP="003754FE">
      <w:pPr>
        <w:pStyle w:val="TextoNormal"/>
      </w:pPr>
      <w:r>
        <w:t>Adelanto ya que las conclusiones a las que llega la sentencia de este tribunal de la que disiento no se acomodan a estos principios constitucionales, pues se asientan en la incertidumbre jurídica, en la irresponsabilidad, y en la falta de objetividad y de transparencia de la administración pública.</w:t>
      </w:r>
    </w:p>
    <w:p w14:paraId="7A671BCA" w14:textId="77777777" w:rsidR="003754FE" w:rsidRDefault="003754FE" w:rsidP="003754FE">
      <w:pPr>
        <w:pStyle w:val="TextoNormal"/>
      </w:pPr>
    </w:p>
    <w:p w14:paraId="3B6720F1" w14:textId="77777777" w:rsidR="003754FE" w:rsidRDefault="003754FE" w:rsidP="003754FE">
      <w:pPr>
        <w:pStyle w:val="TextoNormal"/>
      </w:pPr>
      <w:r>
        <w:t xml:space="preserve">La sentencia de este tribunal descubre con la linterna de Diógenes el argumento de la salvadora ley de presupuestos que todo lo ampara y que borra toda responsabilidad penal en la conducta del recurrente y de otros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w:t>
      </w:r>
      <w:r w:rsidRPr="003754FE">
        <w:rPr>
          <w:i/>
        </w:rPr>
        <w:t>ius</w:t>
      </w:r>
      <w:r>
        <w:t xml:space="preserve">. La ley no agota el ámbito del Derecho, que es algo más. Y en ese algo más están desde luego los principios actuales de actuación de las administraciones públicas, que enuncian muy en particular los arts. 9.3, 31.2, 103.1, 105 y 106.1 CE, y los propios principios generales del Derecho, que no tienen por qué ser norma escrita y que sintetizan nuestra cultura jurídica, que es la propia de un Estado constitucional y democrático de Derecho (art. 1.1 CE). Y, por supuesto, en el </w:t>
      </w:r>
      <w:r w:rsidRPr="003754FE">
        <w:rPr>
          <w:i/>
        </w:rPr>
        <w:t>ius</w:t>
      </w:r>
      <w:r>
        <w:t xml:space="preserve"> están también los principios del Derecho de la Unión Europea, a los que luego me referiré.</w:t>
      </w:r>
    </w:p>
    <w:p w14:paraId="66DA0C7D" w14:textId="77777777" w:rsidR="003754FE" w:rsidRDefault="003754FE" w:rsidP="003754FE">
      <w:pPr>
        <w:pStyle w:val="TextoNormal"/>
      </w:pPr>
    </w:p>
    <w:p w14:paraId="7BF9DDED" w14:textId="77777777" w:rsidR="003754FE" w:rsidRDefault="003754FE" w:rsidP="003754FE">
      <w:pPr>
        <w:pStyle w:val="TextoNormal"/>
      </w:pPr>
      <w:r>
        <w:t>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no es nunca ilimitado ni puede ejercerse al puro arbitrio o capricho de quienes lo lleven a 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14:paraId="5F26D17C" w14:textId="77777777" w:rsidR="003754FE" w:rsidRDefault="003754FE" w:rsidP="003754FE">
      <w:pPr>
        <w:pStyle w:val="TextoNormal"/>
      </w:pPr>
    </w:p>
    <w:p w14:paraId="74CD4A59" w14:textId="77777777" w:rsidR="003754FE" w:rsidRDefault="003754FE" w:rsidP="003754FE">
      <w:pPr>
        <w:pStyle w:val="TextoNormal"/>
      </w:pPr>
      <w:r>
        <w:lastRenderedPageBreak/>
        <w:t xml:space="preserve">4. </w:t>
      </w:r>
      <w:r w:rsidRPr="003754FE">
        <w:rPr>
          <w:i/>
        </w:rPr>
        <w:t>Sobre la aplicación de los principios del Derecho de la Unión Europea en materia de control del gasto público, como dique de contención en la lucha contra el fraude y la corrupción política</w:t>
      </w:r>
    </w:p>
    <w:p w14:paraId="54F78C28" w14:textId="77777777" w:rsidR="003754FE" w:rsidRDefault="003754FE" w:rsidP="003754FE">
      <w:pPr>
        <w:pStyle w:val="TextoNormal"/>
      </w:pPr>
    </w:p>
    <w:p w14:paraId="79C6AEF5" w14:textId="77777777" w:rsidR="003754FE" w:rsidRDefault="003754FE" w:rsidP="003754FE">
      <w:pPr>
        <w:pStyle w:val="TextoNormal"/>
      </w:pPr>
      <w:r>
        <w:t>Si bien el Derecho de la Unión Europea no es directamente aplicable en el asunto que nos ocupa, al no tener los fondos públicos malversados origen comunitario, no puede desconocerse que los principios del Derecho de la Unión sobre el control del gasto público son muy relevantes para analizar la regularidad de la actuación de los gestores de los caudales públicos. En tal sentido, no me parece aventurado afirmar que esa gestión, en el conocido como “caso de los ERE de Andalucía”, y como se desprende de las sentencias condenatorias que se impugnan en amparo, ha sido contraria no solo a los principios del Derecho interno, sino también a los principios del Derecho de la Unión Europea.</w:t>
      </w:r>
    </w:p>
    <w:p w14:paraId="7C5DE994" w14:textId="77777777" w:rsidR="003754FE" w:rsidRDefault="003754FE" w:rsidP="003754FE">
      <w:pPr>
        <w:pStyle w:val="TextoNormal"/>
      </w:pPr>
    </w:p>
    <w:p w14:paraId="1AA85D37" w14:textId="77777777" w:rsidR="003754FE" w:rsidRDefault="003754FE" w:rsidP="003754FE">
      <w:pPr>
        <w:pStyle w:val="TextoNormal"/>
      </w:pPr>
      <w:r>
        <w:t>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peligro los intereses financieros del poder público y sería, contraria al Derecho de la Unión Europea.</w:t>
      </w:r>
    </w:p>
    <w:p w14:paraId="2DBB50C3" w14:textId="77777777" w:rsidR="003754FE" w:rsidRDefault="003754FE" w:rsidP="003754FE">
      <w:pPr>
        <w:pStyle w:val="TextoNormal"/>
      </w:pPr>
    </w:p>
    <w:p w14:paraId="5100C7B3" w14:textId="77777777" w:rsidR="003754FE" w:rsidRDefault="003754FE" w:rsidP="003754FE">
      <w:pPr>
        <w:pStyle w:val="TextoNormal"/>
      </w:pPr>
      <w: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el fraude. Conforme al art. 325 del Tratado de funcionamiento de la Unión Europea (TFUE), relativo a la lucha contra el fraude, “1. La Unión y los Estados miembros </w:t>
      </w:r>
      <w:r w:rsidRPr="003754FE">
        <w:rPr>
          <w:i/>
        </w:rPr>
        <w:t>combatirán el fraude y toda actividad ilegal</w:t>
      </w:r>
      <w:r>
        <w:t xml:space="preserve"> que afecte a los intereses financieros de la Unión mediante medidas adoptadas en virtud de lo dispuesto en el presente artículo, que deberán tener un </w:t>
      </w:r>
      <w:r w:rsidRPr="003754FE">
        <w:rPr>
          <w:i/>
        </w:rPr>
        <w:t>efecto disuasorio</w:t>
      </w:r>
      <w:r>
        <w:t xml:space="preserve"> y ser capaces de ofrecer una protección eficaz en los Estados miembros y en las instituciones, órganos y organismos de la Unión. 2. Los Estados miembros adoptarán para combatir el fraude que afecte a los intereses financieros de la Unión </w:t>
      </w:r>
      <w:r w:rsidRPr="003754FE">
        <w:rPr>
          <w:i/>
        </w:rPr>
        <w:t>las mismas medidas</w:t>
      </w:r>
      <w:r>
        <w:t xml:space="preserve"> que para combatir el fraude que afecte a sus propios intereses financieros”.</w:t>
      </w:r>
    </w:p>
    <w:p w14:paraId="04D72C98" w14:textId="77777777" w:rsidR="003754FE" w:rsidRDefault="003754FE" w:rsidP="003754FE">
      <w:pPr>
        <w:pStyle w:val="TextoNormal"/>
      </w:pPr>
    </w:p>
    <w:p w14:paraId="4023AEF5" w14:textId="77777777" w:rsidR="003754FE" w:rsidRDefault="003754FE" w:rsidP="003754FE">
      <w:pPr>
        <w:pStyle w:val="TextoNormal"/>
      </w:pPr>
      <w:r>
        <w:t xml:space="preserve">En cuanto a los principios que debe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STJUE de 21 de diciembre de 2021, </w:t>
      </w:r>
      <w:r w:rsidRPr="003754FE">
        <w:rPr>
          <w:i/>
        </w:rPr>
        <w:t>Euro Box Promotion y otros</w:t>
      </w:r>
      <w:r>
        <w:t>, asuntos acumulados C‑357/19, C‑379/19, C‑547/19, C‑811/19 y C‑840/19 (y jurisprudencia citada en esta), recordando las líneas más importantes de esa doctrina, de las que interesa destacar las siguientes.</w:t>
      </w:r>
    </w:p>
    <w:p w14:paraId="5D52DAC7" w14:textId="77777777" w:rsidR="003754FE" w:rsidRDefault="003754FE" w:rsidP="003754FE">
      <w:pPr>
        <w:pStyle w:val="TextoNormal"/>
      </w:pPr>
    </w:p>
    <w:p w14:paraId="3CAC768B" w14:textId="77777777" w:rsidR="003754FE" w:rsidRDefault="003754FE" w:rsidP="003754FE">
      <w:pPr>
        <w:pStyle w:val="TextoNormal"/>
      </w:pPr>
      <w:r>
        <w:t xml:space="preserve">a) Por lo que se refiere a las obligaciones derivadas del art. 325.1 TFUE, esta disposición impone a los Estados miembros el deber de luchar contra el fraude y </w:t>
      </w:r>
      <w:r w:rsidRPr="003754FE">
        <w:rPr>
          <w:i/>
        </w:rPr>
        <w:t>toda actividad ilegal que afecte a los intereses financieros</w:t>
      </w:r>
      <w:r>
        <w:t xml:space="preserve"> de la Unión mediante medidas disuasorias y eficaces. Medidas de lucha que deben ser equivalente a las medias implementadas en el ámbito nacional.</w:t>
      </w:r>
    </w:p>
    <w:p w14:paraId="738BB51F" w14:textId="77777777" w:rsidR="003754FE" w:rsidRDefault="003754FE" w:rsidP="003754FE">
      <w:pPr>
        <w:pStyle w:val="TextoNormal"/>
      </w:pPr>
    </w:p>
    <w:p w14:paraId="0901EF5D" w14:textId="77777777" w:rsidR="003754FE" w:rsidRDefault="003754FE" w:rsidP="003754FE">
      <w:pPr>
        <w:pStyle w:val="TextoNormal"/>
      </w:pPr>
      <w:r>
        <w:lastRenderedPageBreak/>
        <w:t xml:space="preserve">b) Por otra parte, en lo referente a la expresión “toda actividad ilegal”, que figura en el art. 325.1 TFUE, recuerda el Tribunal de Justicia que ese concepto comprende en particular todo acto de corrupción de los funcionarios o todo </w:t>
      </w:r>
      <w:r w:rsidRPr="003754FE">
        <w:rPr>
          <w:i/>
        </w:rPr>
        <w:t>abuso</w:t>
      </w:r>
      <w:r>
        <w:t xml:space="preserve">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acción, como ocurre, por ejemplo, </w:t>
      </w:r>
      <w:r w:rsidRPr="003754FE">
        <w:rPr>
          <w:i/>
        </w:rPr>
        <w:t>con la omisión por parte de un funcionario de efectuar los controles y las comprobaciones exigidas respecto de los gastos cubiertos por el presupuesto de la Unión o la autorización de gastos inadecuados o incorrectos de los fondos de la Unión</w:t>
      </w:r>
      <w:r>
        <w:t>.</w:t>
      </w:r>
    </w:p>
    <w:p w14:paraId="3AB105B5" w14:textId="77777777" w:rsidR="003754FE" w:rsidRDefault="003754FE" w:rsidP="003754FE">
      <w:pPr>
        <w:pStyle w:val="TextoNormal"/>
      </w:pPr>
    </w:p>
    <w:p w14:paraId="7D85DD09" w14:textId="77777777" w:rsidR="003754FE" w:rsidRDefault="003754FE" w:rsidP="003754FE">
      <w:pPr>
        <w:pStyle w:val="TextoNormal"/>
      </w:pPr>
      <w:r>
        <w:t xml:space="preserve">c) Además, subraya el Tribunal de Justicia que los Estados deben garantizar que las normas de Derecho penal y de procedimiento penal permitan una represión eficaz de los delitos de fraude que afecten a los intereses financieros de la Unión y </w:t>
      </w:r>
      <w:r w:rsidRPr="003754FE">
        <w:rPr>
          <w:i/>
        </w:rPr>
        <w:t>de corrupción en general</w:t>
      </w:r>
      <w:r>
        <w:t xml:space="preserve">. Esta exigencia de efectividad se extiende necesariamente tanto a las acciones penales y a las sanciones de los delitos de fraude que afecten a los intereses financieros de la Unión y de </w:t>
      </w:r>
      <w:r w:rsidRPr="003754FE">
        <w:rPr>
          <w:i/>
        </w:rPr>
        <w:t>corrupción en general</w:t>
      </w:r>
      <w:r>
        <w:t xml:space="preserve"> como a la aplicación de las penas impuestas, en la medida en que, de no existir una ejecución efectiva de las sanciones, estas no pueden ser eficaces y disuasorias; todo ello para evitar un </w:t>
      </w:r>
      <w:r w:rsidRPr="003754FE">
        <w:rPr>
          <w:i/>
        </w:rPr>
        <w:t>riesgo sistémico de impunidad</w:t>
      </w:r>
      <w:r>
        <w:t xml:space="preserve"> de los hechos constitutivos de tales delitos, así como garantizar la protección de los derechos fundamentales de las personas acusadas.</w:t>
      </w:r>
    </w:p>
    <w:p w14:paraId="54A99AE5" w14:textId="77777777" w:rsidR="003754FE" w:rsidRDefault="003754FE" w:rsidP="003754FE">
      <w:pPr>
        <w:pStyle w:val="TextoNormal"/>
      </w:pPr>
    </w:p>
    <w:p w14:paraId="011C69F1" w14:textId="77777777" w:rsidR="003754FE" w:rsidRDefault="003754FE" w:rsidP="003754FE">
      <w:pPr>
        <w:pStyle w:val="TextoNormal"/>
      </w:pPr>
      <w:r>
        <w:t xml:space="preserve">Por otra parte, a los órganos jurisdiccionales nacionales les corresponde dar plenos efectos a las obligaciones que resultan del art. 325.1 TFUE, así como de la Decisión 2006/928, y </w:t>
      </w:r>
      <w:r w:rsidRPr="003754FE">
        <w:rPr>
          <w:i/>
        </w:rPr>
        <w:t>dejar sin aplicación disposiciones internas que, en el marco de un procedimiento relativo a delitos graves de fraude que afecten a los intereses financieros de la Unión o a delitos de corrupción en general, impiden la aplicación de sanciones eficaces y disuasorias para luchar contra tales delitos</w:t>
      </w:r>
      <w:r>
        <w:t>.</w:t>
      </w:r>
    </w:p>
    <w:p w14:paraId="68B7B254" w14:textId="77777777" w:rsidR="003754FE" w:rsidRDefault="003754FE" w:rsidP="003754FE">
      <w:pPr>
        <w:pStyle w:val="TextoNormal"/>
      </w:pPr>
    </w:p>
    <w:p w14:paraId="45101BF9" w14:textId="77777777" w:rsidR="003754FE" w:rsidRDefault="003754FE" w:rsidP="003754FE">
      <w:pPr>
        <w:pStyle w:val="TextoNormal"/>
      </w:pPr>
      <w:r>
        <w:t xml:space="preserve">Pues bien, teniendo en cuenta que, </w:t>
      </w:r>
      <w:r w:rsidRPr="003754FE">
        <w:rPr>
          <w:i/>
        </w:rPr>
        <w:t>ex</w:t>
      </w:r>
      <w:r>
        <w:t xml:space="preserve">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el recurrente. Lo que entre otras cosas significa que no existe razón para entender que el control interno de esa gestión de fondos públicos deba ser menos intenso que el que se aplicaría si los fondos malversados hubieran sido europeos.</w:t>
      </w:r>
    </w:p>
    <w:p w14:paraId="33D4FB24" w14:textId="77777777" w:rsidR="003754FE" w:rsidRDefault="003754FE" w:rsidP="003754FE">
      <w:pPr>
        <w:pStyle w:val="TextoNormal"/>
      </w:pPr>
    </w:p>
    <w:p w14:paraId="7456B922" w14:textId="77777777" w:rsidR="003754FE" w:rsidRDefault="003754FE" w:rsidP="003754FE">
      <w:pPr>
        <w:pStyle w:val="TextoNormal"/>
      </w:pPr>
      <w:r>
        <w:t xml:space="preserve">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el recurrente </w:t>
      </w:r>
      <w:r>
        <w:lastRenderedPageBreak/>
        <w:t>y el resto de implicados de la Junta de Andalucía pretendiesen a partir de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14:paraId="06F0E6C0" w14:textId="77777777" w:rsidR="003754FE" w:rsidRDefault="003754FE" w:rsidP="003754FE">
      <w:pPr>
        <w:pStyle w:val="TextoNormal"/>
      </w:pPr>
    </w:p>
    <w:p w14:paraId="10FE4C24" w14:textId="77777777" w:rsidR="003754FE" w:rsidRDefault="003754FE" w:rsidP="003754FE">
      <w:pPr>
        <w:pStyle w:val="TextoNormal"/>
      </w:pPr>
      <w:r>
        <w:t>En todo caso, es cierto que ha quedado acreditado, como resulta de las sentencias impugnadas en amparo, que en el conocido como “caso de los ERE de Andalucía”, se buscó de manera intencionada la elusión de los controles ordinarios del gasto público, lo que supuso 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14:paraId="6D157A35" w14:textId="77777777" w:rsidR="003754FE" w:rsidRDefault="003754FE" w:rsidP="003754FE">
      <w:pPr>
        <w:pStyle w:val="TextoNormal"/>
      </w:pPr>
    </w:p>
    <w:p w14:paraId="52C53C4F" w14:textId="77777777" w:rsidR="003754FE" w:rsidRDefault="003754FE" w:rsidP="003754FE">
      <w:pPr>
        <w:pStyle w:val="TextoNormal"/>
      </w:pPr>
      <w:r>
        <w:t>En definitiva, llama poderosamente la atención el elocuente contraste entre la protección reforzada que la Unión Europea atribuye al delito de malversación de caudales públicos y la respuesta dada por esta y las restantes sentencias de este tribunal a uno de los casos más graves de corrupción política institucionalizada en España. Una sentencia que no ha dudado en desbordar los límites del control que a este tribunal corresponden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penal que no puede calificarse de imprevisible ni irrazonable, habían condenado al demandante de amparo como autor de un delito de prevaricación. Por eso, resulta especialmente difícil conciliar la decisión de la sentencia de este Tribunal, que conduce a la postre a dejar impunes unas conductas de especial gravedad cometidas por unos concretos responsables políticos en el desempeño de sus funciones públicas, con el esfuerzo de la Unión Europea por eliminar márgenes de impunidad para prevenir la corrupción política.</w:t>
      </w:r>
    </w:p>
    <w:p w14:paraId="7CC31BE5" w14:textId="77777777" w:rsidR="003754FE" w:rsidRDefault="003754FE" w:rsidP="003754FE">
      <w:pPr>
        <w:pStyle w:val="TextoNormal"/>
      </w:pPr>
    </w:p>
    <w:p w14:paraId="2529E32F" w14:textId="77777777" w:rsidR="003754FE" w:rsidRDefault="003754FE" w:rsidP="003754FE">
      <w:pPr>
        <w:pStyle w:val="TextoNormal"/>
      </w:pPr>
      <w:r>
        <w:t xml:space="preserve">5. </w:t>
      </w:r>
      <w:r w:rsidRPr="003754FE">
        <w:rPr>
          <w:i/>
        </w:rPr>
        <w:t>Colofón: las sentencias impugnadas en amparo no vulneraron el derecho del recurrente a la legalidad penal</w:t>
      </w:r>
    </w:p>
    <w:p w14:paraId="59607859" w14:textId="77777777" w:rsidR="003754FE" w:rsidRDefault="003754FE" w:rsidP="003754FE">
      <w:pPr>
        <w:pStyle w:val="TextoNormal"/>
      </w:pPr>
    </w:p>
    <w:p w14:paraId="1505BF9D" w14:textId="77777777" w:rsidR="003754FE" w:rsidRDefault="003754FE" w:rsidP="003754FE">
      <w:pPr>
        <w:pStyle w:val="TextoNormal"/>
      </w:pPr>
      <w:r>
        <w:t>En suma, para la mayoría del Tribunal en la sentencia de la que disiento, la actuación del recurrente estaba en todo momento amparada en la ley, careciendo de trascendencia penal desde la perspectiva del derecho a la legalidad penal (previsibilidad). Y ello porque nadie podía prever racionalmente que por cumplir escrupulosamente la ley se pudiese estar incumpliendo esta.</w:t>
      </w:r>
    </w:p>
    <w:p w14:paraId="1BC9D577" w14:textId="77777777" w:rsidR="003754FE" w:rsidRDefault="003754FE" w:rsidP="003754FE">
      <w:pPr>
        <w:pStyle w:val="TextoNormal"/>
      </w:pPr>
    </w:p>
    <w:p w14:paraId="7B64FE58" w14:textId="77777777" w:rsidR="003754FE" w:rsidRDefault="003754FE" w:rsidP="003754FE">
      <w:pPr>
        <w:pStyle w:val="TextoNormal"/>
      </w:pPr>
      <w:r>
        <w:t>Discrepo no solo por lo ya manifestado sobre la errónea configuración salvífica de la ley de presupuestos, sino porque entiendo que el Tribunal se ha extralimitado en su función de control, al haberse injerido en el ámbito de la jurisdicción ordinaria (arts. 117.1 y 123.1 CE) y efectuado una interpretación extensiva e injustificada del canon de enjuiciamiento constitucional sobre la legalidad penal.</w:t>
      </w:r>
    </w:p>
    <w:p w14:paraId="47B10886" w14:textId="77777777" w:rsidR="003754FE" w:rsidRDefault="003754FE" w:rsidP="003754FE">
      <w:pPr>
        <w:pStyle w:val="TextoNormal"/>
      </w:pPr>
    </w:p>
    <w:p w14:paraId="2DC7B7C4" w14:textId="77777777" w:rsidR="003754FE" w:rsidRDefault="003754FE" w:rsidP="003754FE">
      <w:pPr>
        <w:pStyle w:val="TextoNormal"/>
      </w:pPr>
      <w:r>
        <w:t xml:space="preserve">Las sentencias recurridas en amparo han efectuado una interpretación razonada de los elementos típicos del delito de prevaricación, y que su aplicación al caso en dichas </w:t>
      </w:r>
      <w:r>
        <w:lastRenderedPageBreak/>
        <w:t>resoluciones judiciales supera sin dificultad el canon de control referido a la prohibición de interpretaciones “ilógicas” o “arbitrarias” que impone el art. 25.1 CE, conforme a la doctrina consolidada de este tribunal. La subsunción de la conducta del recurrente, a partir de los hechos declarados probados [sobre los que a este tribunal nada le cabe decir: art. 44.1 b) LOTC], en el delito de prevaricación, que han efectuado la Audiencia Provincial de Sevilla y especialmente el Tribunal Supremo como órgano jurisdiccional superior en la materia (art. 123.1 CE), no es irrazonable ni imprevisible ni, por consiguiente, contraria al derecho fundamental a la legalidad penal que garantiza el art. 25.1 CE. La sentencia de este tribunal incurre en un claro exceso de jurisdicción, al suplantar a los órganos judiciales del orden penal en la función que constitucionalmente les correspond</w:t>
      </w:r>
      <w:r w:rsidRPr="003754FE">
        <w:rPr>
          <w:i/>
        </w:rPr>
        <w:t xml:space="preserve">e </w:t>
      </w:r>
      <w:r>
        <w:t>ex art. 117.3 CE.</w:t>
      </w:r>
    </w:p>
    <w:p w14:paraId="2A911DFF" w14:textId="77777777" w:rsidR="003754FE" w:rsidRDefault="003754FE" w:rsidP="003754FE">
      <w:pPr>
        <w:pStyle w:val="TextoNormal"/>
      </w:pPr>
    </w:p>
    <w:p w14:paraId="41F1B42A" w14:textId="77777777" w:rsidR="003754FE" w:rsidRDefault="003754FE" w:rsidP="003754FE">
      <w:pPr>
        <w:pStyle w:val="TextoNormal"/>
      </w:pPr>
      <w:r>
        <w:t>Por todo ello, considero que el recurso de amparo debió ser íntegramente desestimado.</w:t>
      </w:r>
    </w:p>
    <w:p w14:paraId="4ED102DF" w14:textId="77777777" w:rsidR="003754FE" w:rsidRDefault="003754FE" w:rsidP="003754FE">
      <w:pPr>
        <w:pStyle w:val="TextoNormal"/>
      </w:pPr>
    </w:p>
    <w:p w14:paraId="09692EB2" w14:textId="77777777" w:rsidR="003754FE" w:rsidRDefault="003754FE" w:rsidP="003754FE">
      <w:pPr>
        <w:pStyle w:val="TextoNormal"/>
      </w:pPr>
      <w:r>
        <w:t>6</w:t>
      </w:r>
      <w:r w:rsidRPr="003754FE">
        <w:rPr>
          <w:i/>
        </w:rPr>
        <w:t>. A modo de epílogo decepcionado, con una necesaria llamada de advertenc</w:t>
      </w:r>
      <w:r>
        <w:t>ia</w:t>
      </w:r>
    </w:p>
    <w:p w14:paraId="2E7E657E" w14:textId="77777777" w:rsidR="003754FE" w:rsidRDefault="003754FE" w:rsidP="003754FE">
      <w:pPr>
        <w:pStyle w:val="TextoNormal"/>
      </w:pPr>
    </w:p>
    <w:p w14:paraId="0DAABB4C" w14:textId="77777777" w:rsidR="003754FE" w:rsidRDefault="003754FE" w:rsidP="003754FE">
      <w:pPr>
        <w:pStyle w:val="TextoNormal"/>
      </w:pPr>
      <w:r>
        <w:t>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14:paraId="5205CF49" w14:textId="77777777" w:rsidR="003754FE" w:rsidRDefault="003754FE" w:rsidP="003754FE">
      <w:pPr>
        <w:pStyle w:val="TextoNormal"/>
      </w:pPr>
    </w:p>
    <w:p w14:paraId="42CE7C12" w14:textId="77777777" w:rsidR="003754FE" w:rsidRDefault="003754FE" w:rsidP="003754FE">
      <w:pPr>
        <w:pStyle w:val="TextoNormal"/>
      </w:pPr>
      <w:r>
        <w:t>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prestidigitador, pues las leyes de presupuestos andaluzas a las que se refiere la sentencia de este tribunal en ningún momento establecen aquello que esta sentencia afirma, la pretendida modificación o eliminación del régimen de controles de las ayudas y subvenciones previsto en la normativa aplicable.</w:t>
      </w:r>
    </w:p>
    <w:p w14:paraId="268E05EC" w14:textId="77777777" w:rsidR="003754FE" w:rsidRDefault="003754FE" w:rsidP="003754FE">
      <w:pPr>
        <w:pStyle w:val="TextoNormal"/>
      </w:pPr>
    </w:p>
    <w:p w14:paraId="7928EA27" w14:textId="77777777" w:rsidR="003754FE" w:rsidRDefault="003754FE" w:rsidP="003754FE">
      <w:pPr>
        <w:pStyle w:val="TextoNormal"/>
      </w:pPr>
      <w:r>
        <w:t>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precepto de la ley de presupuestos remite, por ser esas partidas presupuestarias necesarias para dar cumplimiento al mandato que aquel precepto contiene.</w:t>
      </w:r>
    </w:p>
    <w:p w14:paraId="25338AE2" w14:textId="77777777" w:rsidR="003754FE" w:rsidRDefault="003754FE" w:rsidP="003754FE">
      <w:pPr>
        <w:pStyle w:val="TextoNormal"/>
      </w:pPr>
    </w:p>
    <w:p w14:paraId="37C1A743" w14:textId="77777777" w:rsidR="003754FE" w:rsidRDefault="003754FE" w:rsidP="003754FE">
      <w:pPr>
        <w:pStyle w:val="TextoNormal"/>
      </w:pPr>
      <w:r>
        <w:t>En todo caso, es obvio que una ley sobre la que pudieran pesar sospechas fundadas de inconstitucionalidad despliega plenos efectos en tanto no sea derogada o este tribunal no la haya expulsado del ordenamiento jurídico al conocer de un proceso de inconstitucionalidad. Más ¿qué tiene que ver que la ley, mientras no haya sido declarada inconstitucional, siga siendo ley, con que la conducta de quienes se han servido de ella para desviar fondos públicos sea delictiva?</w:t>
      </w:r>
    </w:p>
    <w:p w14:paraId="31851E85" w14:textId="77777777" w:rsidR="003754FE" w:rsidRDefault="003754FE" w:rsidP="003754FE">
      <w:pPr>
        <w:pStyle w:val="TextoNormal"/>
      </w:pPr>
    </w:p>
    <w:p w14:paraId="569570B6" w14:textId="77777777" w:rsidR="003754FE" w:rsidRDefault="003754FE" w:rsidP="003754FE">
      <w:pPr>
        <w:pStyle w:val="TextoNormal"/>
      </w:pPr>
      <w:r>
        <w:t>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14:paraId="4E27075F" w14:textId="77777777" w:rsidR="003754FE" w:rsidRDefault="003754FE" w:rsidP="003754FE">
      <w:pPr>
        <w:pStyle w:val="TextoNormal"/>
      </w:pPr>
    </w:p>
    <w:p w14:paraId="5CCE6F21" w14:textId="77777777" w:rsidR="003754FE" w:rsidRDefault="003754FE" w:rsidP="003754FE">
      <w:pPr>
        <w:pStyle w:val="TextoNormal"/>
      </w:pPr>
      <w:r>
        <w:t>Si, como decía García de Enterría, la justicia constitucional trata los problemas políticos con criterios jurídicos, poniendo la razón, la razón del Derecho, donde otros ponen otros motivos, pasiones o subjetivismos varios, me parece incuestionable que la presente sentencia, de la que respetuosa pero enérgicamente discrepo, hace tambalearse los pilares básicos del Estado de Derecho, por cuanto:</w:t>
      </w:r>
    </w:p>
    <w:p w14:paraId="30B2C44D" w14:textId="77777777" w:rsidR="003754FE" w:rsidRDefault="003754FE" w:rsidP="003754FE">
      <w:pPr>
        <w:pStyle w:val="TextoNormal"/>
      </w:pPr>
    </w:p>
    <w:p w14:paraId="447A6670" w14:textId="77777777" w:rsidR="003754FE" w:rsidRDefault="003754FE" w:rsidP="003754FE">
      <w:pPr>
        <w:pStyle w:val="TextoNormal"/>
      </w:pPr>
      <w:r>
        <w:t>(i)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14:paraId="19193D08" w14:textId="77777777" w:rsidR="003754FE" w:rsidRDefault="003754FE" w:rsidP="003754FE">
      <w:pPr>
        <w:pStyle w:val="TextoNormal"/>
      </w:pPr>
    </w:p>
    <w:p w14:paraId="649D6DEF" w14:textId="77777777" w:rsidR="003754FE" w:rsidRDefault="003754FE" w:rsidP="003754FE">
      <w:pPr>
        <w:pStyle w:val="TextoNormal"/>
      </w:pPr>
      <w:r>
        <w:t>(ii)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olvidando que la jurisdicción constitucional debe evitar (por su propia naturaleza de jurisdicción de garantías) caer por desfiladeros abruptos.</w:t>
      </w:r>
    </w:p>
    <w:p w14:paraId="415D1FD8" w14:textId="77777777" w:rsidR="003754FE" w:rsidRDefault="003754FE" w:rsidP="003754FE">
      <w:pPr>
        <w:pStyle w:val="TextoNormal"/>
      </w:pPr>
    </w:p>
    <w:p w14:paraId="5E54C5DE" w14:textId="77777777" w:rsidR="003754FE" w:rsidRDefault="003754FE" w:rsidP="003754FE">
      <w:pPr>
        <w:pStyle w:val="TextoNormal"/>
      </w:pPr>
      <w:r>
        <w:t>(iii) Contraviene los arts. 9.3, 31.2, 103.1, 105 y 106.1 CE, al dejar de lado los principios en que se ha de basa</w:t>
      </w:r>
      <w:r w:rsidRPr="003754FE">
        <w:rPr>
          <w:i/>
        </w:rPr>
        <w:t>r ex constitutio</w:t>
      </w:r>
      <w:r>
        <w:t>ne la actuación de la administración pública.</w:t>
      </w:r>
    </w:p>
    <w:p w14:paraId="73BBC6EF" w14:textId="77777777" w:rsidR="003754FE" w:rsidRDefault="003754FE" w:rsidP="003754FE">
      <w:pPr>
        <w:pStyle w:val="TextoNormal"/>
      </w:pPr>
    </w:p>
    <w:p w14:paraId="3F2617C8" w14:textId="77777777" w:rsidR="003754FE" w:rsidRDefault="003754FE" w:rsidP="003754FE">
      <w:pPr>
        <w:pStyle w:val="TextoNormal"/>
      </w:pPr>
      <w:r>
        <w:t>(iv)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14:paraId="2EF17303" w14:textId="77777777" w:rsidR="003754FE" w:rsidRDefault="003754FE" w:rsidP="003754FE">
      <w:pPr>
        <w:pStyle w:val="TextoNormal"/>
      </w:pPr>
    </w:p>
    <w:p w14:paraId="1F111194" w14:textId="77777777" w:rsidR="003754FE" w:rsidRDefault="003754FE" w:rsidP="003754FE">
      <w:pPr>
        <w:pStyle w:val="TextoNormal"/>
      </w:pPr>
      <w:r>
        <w:t xml:space="preserve">Mediante un control meramente formal y un análisis estanco de cada una de las partes de la trama del “caso de los ERE de Andalucía”, ha dejado sin efecto el reproche penal de las </w:t>
      </w:r>
      <w:r>
        <w:lastRenderedPageBreak/>
        <w:t>sentencias impugnadas en amparo, trasmitiendo así a la ciudadanía que la corrupción política es un medio válido de actuación de los poderes públicos, mientras lo hagan bajo la pretendida cobertura formal de un artificio legal ideado precisamente por aquellos que pretendían eludir el control del gasto público.</w:t>
      </w:r>
    </w:p>
    <w:p w14:paraId="54542D14" w14:textId="77777777" w:rsidR="003754FE" w:rsidRDefault="003754FE" w:rsidP="003754FE">
      <w:pPr>
        <w:pStyle w:val="TextoNormal"/>
      </w:pPr>
    </w:p>
    <w:p w14:paraId="1D0EBE1C" w14:textId="77777777" w:rsidR="003754FE" w:rsidRDefault="003754FE" w:rsidP="003754FE">
      <w:pPr>
        <w:pStyle w:val="TextoNormal"/>
      </w:pPr>
      <w:r>
        <w:t>(v) Y, en fin, contraviene los principios nucleares en la materia del Derecho de la Unión Europea.</w:t>
      </w:r>
    </w:p>
    <w:p w14:paraId="69FD0FFF" w14:textId="77777777" w:rsidR="003754FE" w:rsidRDefault="003754FE" w:rsidP="003754FE">
      <w:pPr>
        <w:pStyle w:val="TextoNormal"/>
      </w:pPr>
    </w:p>
    <w:p w14:paraId="3627AAD4" w14:textId="77777777" w:rsidR="003754FE" w:rsidRDefault="003754FE" w:rsidP="003754FE">
      <w:pPr>
        <w:pStyle w:val="TextoNormal"/>
      </w:pPr>
      <w:r>
        <w:t>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Ninguno de los argumentos que he defendido en el Pleno y expuesto en mis votos particulares a anteriores sentencias de esta serie del “caso ERE de Andalucía” ha sido rebatido o contestado; ni siquiera una coma de las iniciales sentencias de esta serie ha sido cambiada de sitio.</w:t>
      </w:r>
    </w:p>
    <w:p w14:paraId="3B63FB6A" w14:textId="77777777" w:rsidR="003754FE" w:rsidRDefault="003754FE" w:rsidP="003754FE">
      <w:pPr>
        <w:pStyle w:val="TextoNormal"/>
      </w:pPr>
    </w:p>
    <w:p w14:paraId="260D63C1" w14:textId="77777777" w:rsidR="003754FE" w:rsidRDefault="003754FE" w:rsidP="003754FE">
      <w:pPr>
        <w:pStyle w:val="TextoNormal"/>
      </w:pPr>
      <w:r>
        <w:t>La reiteración argumental en este voto puede resultar melancólica, pero responde al cumplimiento del deber que me incumbe como magistrado y a mi convicción de que la deliberación ha de ser el camino irrenunciable para encontrar la luz, particularmente necesaria para el guardián de la Constitución. No estará de más recordar que quien fuera presidente de este tribunal, el magistrado Tomás y Valiente, ya aludió en 1994, en una conferencia titulada “La Constitución y el Tribunal Constitucional”, a “la importancia de las deliberaciones y a 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14:paraId="46F74AB5" w14:textId="77777777" w:rsidR="003754FE" w:rsidRDefault="003754FE" w:rsidP="003754FE">
      <w:pPr>
        <w:pStyle w:val="TextoNormal"/>
      </w:pPr>
    </w:p>
    <w:p w14:paraId="7E204502" w14:textId="17F9E184" w:rsidR="003754FE" w:rsidRDefault="003754FE" w:rsidP="003754FE">
      <w:pPr>
        <w:pStyle w:val="TextoNormal"/>
      </w:pPr>
      <w:r>
        <w:t>Madrid, a diecisiete de julio de dos mil veinticuatro.</w:t>
      </w:r>
    </w:p>
    <w:p w14:paraId="7643DC94" w14:textId="77777777" w:rsidR="003754FE" w:rsidRDefault="003754FE" w:rsidP="003754FE">
      <w:pPr>
        <w:pStyle w:val="TextoNormal"/>
      </w:pPr>
    </w:p>
    <w:p w14:paraId="254AB02F" w14:textId="77777777" w:rsidR="003754FE" w:rsidRDefault="003754FE" w:rsidP="003754FE">
      <w:pPr>
        <w:pStyle w:val="TextoNormalNegritaCentrado"/>
        <w:keepNext/>
      </w:pPr>
      <w:r>
        <w:t>Voto particular que formula la magistrada doña Concepción Espejel Jorquera a la sentencia dictada en el recurso de amparo núm. 2411-2023</w:t>
      </w:r>
    </w:p>
    <w:p w14:paraId="454D3404" w14:textId="3DD16634" w:rsidR="003754FE" w:rsidRDefault="003754FE" w:rsidP="003754FE">
      <w:pPr>
        <w:pStyle w:val="TextoNormalNegritaCentrado"/>
        <w:keepNext/>
      </w:pPr>
    </w:p>
    <w:p w14:paraId="747F6EE7" w14:textId="77777777" w:rsidR="003754FE" w:rsidRDefault="003754FE" w:rsidP="003754FE">
      <w:pPr>
        <w:pStyle w:val="TextoNormal"/>
      </w:pPr>
      <w:r>
        <w:t>En el ejercicio de la facultad conferida en el art. 90.2 de la Ley Orgánica del Tribunal Constitucional, y con el respeto debido a la opinión de los magistrados que han conformado la mayoría del Pleno, formulo el presente voto particular por discrepar de la fundamentación y del fallo de la sentencia recaída en el recurso de amparo interpuesto por don Gaspar Zarrías Arévalo, el cual debió ser desestimado, porque las sentencias impugnadas no vulneraron su derecho fundamental a la legalidad penal (art. 25.1 CE).</w:t>
      </w:r>
    </w:p>
    <w:p w14:paraId="27244854" w14:textId="77777777" w:rsidR="003754FE" w:rsidRDefault="003754FE" w:rsidP="003754FE">
      <w:pPr>
        <w:pStyle w:val="TextoNormal"/>
      </w:pPr>
    </w:p>
    <w:p w14:paraId="526C6A7D" w14:textId="77777777" w:rsidR="003754FE" w:rsidRDefault="003754FE" w:rsidP="003754FE">
      <w:pPr>
        <w:pStyle w:val="TextoNormal"/>
      </w:pPr>
      <w:r>
        <w:t>Me remito, en lo coincidente, a los motivos de mi discrepancia expuestos en el voto particular emitido a la sentencia dictada en el recurso de amparo núm. 7007-2022, así como en los votos particulares formulados tanto a la STC 93/2024, de 19 de junio, como a las SSTC 94/2024, de 2 de julio, y 95/2024, 96/2024, 97/2024 y 98/2024, de 3 de julio.</w:t>
      </w:r>
    </w:p>
    <w:p w14:paraId="7E00390E" w14:textId="77777777" w:rsidR="003754FE" w:rsidRDefault="003754FE" w:rsidP="003754FE">
      <w:pPr>
        <w:pStyle w:val="TextoNormal"/>
      </w:pPr>
    </w:p>
    <w:p w14:paraId="413ED949" w14:textId="77777777" w:rsidR="003754FE" w:rsidRDefault="003754FE" w:rsidP="003754FE">
      <w:pPr>
        <w:pStyle w:val="TextoNormal"/>
      </w:pPr>
      <w:r>
        <w:t xml:space="preserve">1. En primer término, considero que se han realizado descalificaciones gratuitas a la Sala de lo Penal del Tribunal Supremo y a la Sección Primera de la Audiencia Provincial de </w:t>
      </w:r>
      <w:r>
        <w:lastRenderedPageBreak/>
        <w:t>Sevilla. Entiendo improcedente que se recordara a dichos tribunales los pilares de nuestro sistema constitucional que no ignoraron, y que se les reprochara haber efectuado “una interpretación extravagante e imprevisible de los elementos típicos ‘resolución’ y ‘asunto administrativo’” y “una interpretación absolutamente imprevisible del elemento típico arbitrariedad lesiva del artículo 25.1 CE”.</w:t>
      </w:r>
    </w:p>
    <w:p w14:paraId="03FA6A92" w14:textId="77777777" w:rsidR="003754FE" w:rsidRDefault="003754FE" w:rsidP="003754FE">
      <w:pPr>
        <w:pStyle w:val="TextoNormal"/>
      </w:pPr>
    </w:p>
    <w:p w14:paraId="6FB8AF8D" w14:textId="77777777" w:rsidR="003754FE" w:rsidRDefault="003754FE" w:rsidP="003754FE">
      <w:pPr>
        <w:pStyle w:val="TextoNormal"/>
      </w:pPr>
      <w:r>
        <w:t>2. Por otro lado, pongo de relieve nuevamente la omisión en esta sentencia, como en las anteriores, del debido análisis de los razonamientos contenidos en la sentencia de la Sala de lo Penal del Tribunal Supremo sobre el juicio de tipicidad del delito de prevaricación administrativa. Considero que, si los sólidos argumentos contenidos en la sentencia de casación y el relato fáctico de la sentencia de instancia hubieran sido correctamente analizados en las sentencias de este tribunal, de las que discrepo, y si se hubiera contemplado la trama criminal descrita por el Tribunal Supremo en su conjunto, observando el canon de constitucionalidad aplicable en supuestos como los que nos ocupan, ello hubiera debido llevar a la desestimación de los recursos de amparo planteados.</w:t>
      </w:r>
    </w:p>
    <w:p w14:paraId="270E28D5" w14:textId="77777777" w:rsidR="003754FE" w:rsidRDefault="003754FE" w:rsidP="003754FE">
      <w:pPr>
        <w:pStyle w:val="TextoNormal"/>
      </w:pPr>
    </w:p>
    <w:p w14:paraId="3B4EF6C2" w14:textId="77777777" w:rsidR="003754FE" w:rsidRDefault="003754FE" w:rsidP="003754FE">
      <w:pPr>
        <w:pStyle w:val="TextoNormal"/>
      </w:pPr>
      <w:r>
        <w:t>3. Además, y a mi juicio, en estas sentencias se ha desbordado el ámbito reservado a la jurisdicción ordinaria, suplantando la función del Tribunal Supremo como máximo intérprete de la ley.</w:t>
      </w:r>
    </w:p>
    <w:p w14:paraId="19045695" w14:textId="77777777" w:rsidR="003754FE" w:rsidRDefault="003754FE" w:rsidP="003754FE">
      <w:pPr>
        <w:pStyle w:val="TextoNormal"/>
      </w:pPr>
    </w:p>
    <w:p w14:paraId="4444F8BE" w14:textId="77777777" w:rsidR="003754FE" w:rsidRDefault="003754FE" w:rsidP="003754FE">
      <w:pPr>
        <w:pStyle w:val="TextoNormal"/>
      </w:pPr>
      <w:r>
        <w:t>4. Asimismo, discrepo de la idea que informa gran parte de la sentencia que es que la actividad previa a la remisión por el Gobierno de Andalucía a su Parlamento de los correspondientes proyectos de ley de presupuestos es una actividad que, como inherente a la iniciativa legislativa que le corresponde, se integra en esta y no puede ser objeto de control jurídico. A mi juicio, con refrendo en la regulación establecida en la Ley 39/2015 de procedimiento administrativo común (y por la doctrina sentada en la STC 55/2018, de 24 de mayo), la actividad previa al ejercicio de la iniciativa legislativa es parte de un procedimiento administrativo. No puedo, en consecuencia, compartir el argumento de la sentencia que da a esta actividad la naturaleza de actos de gobierno excluidos de todo control por parte de cualquier órgano jurisdiccional, incluso de su posible enjuiciamiento por la jurisdicción penal.</w:t>
      </w:r>
    </w:p>
    <w:p w14:paraId="2975E821" w14:textId="77777777" w:rsidR="003754FE" w:rsidRDefault="003754FE" w:rsidP="003754FE">
      <w:pPr>
        <w:pStyle w:val="TextoNormal"/>
      </w:pPr>
    </w:p>
    <w:p w14:paraId="459DC954" w14:textId="77777777" w:rsidR="003754FE" w:rsidRDefault="003754FE" w:rsidP="003754FE">
      <w:pPr>
        <w:pStyle w:val="TextoNormal"/>
      </w:pPr>
      <w:r>
        <w:t>Considero que el referido planteamiento lleva a consagrar un ámbito de impunidad que es contrario a la Constitución.</w:t>
      </w:r>
    </w:p>
    <w:p w14:paraId="55460C7E" w14:textId="77777777" w:rsidR="003754FE" w:rsidRDefault="003754FE" w:rsidP="003754FE">
      <w:pPr>
        <w:pStyle w:val="TextoNormal"/>
      </w:pPr>
    </w:p>
    <w:p w14:paraId="1F48AA0D" w14:textId="77777777" w:rsidR="003754FE" w:rsidRDefault="003754FE" w:rsidP="003754FE">
      <w:pPr>
        <w:pStyle w:val="TextoNormal"/>
      </w:pPr>
      <w:r>
        <w:t>Asimismo, y a diferencia de lo sostenido en esta sentencia, estimo que el incumplimiento de la normativa general sobre subvenciones puede considerarse “arbitraria” por la jurisdicción penal, por lo que la respuesta penal de la actuación del recurrente no puede calificarse de imprevisible.</w:t>
      </w:r>
    </w:p>
    <w:p w14:paraId="289452F3" w14:textId="77777777" w:rsidR="003754FE" w:rsidRDefault="003754FE" w:rsidP="003754FE">
      <w:pPr>
        <w:pStyle w:val="TextoNormal"/>
      </w:pPr>
    </w:p>
    <w:p w14:paraId="0542F2AB" w14:textId="77777777" w:rsidR="003754FE" w:rsidRDefault="003754FE" w:rsidP="003754FE">
      <w:pPr>
        <w:pStyle w:val="TextoNormal"/>
      </w:pPr>
      <w:r>
        <w:t xml:space="preserve">5. Tampoco comparto la interpretación de las leyes de presupuestos efectuada por las sentencias recurridas. En mi opinión, 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 Resultan, por tanto, infundadas las afirmaciones según las cuales el Tribunal </w:t>
      </w:r>
      <w:r>
        <w:lastRenderedPageBreak/>
        <w:t>Supremo ha interpretado las leyes de presupuestos de Andalucía para los años 2002, 2003 y 2004 de modo imprevisible.</w:t>
      </w:r>
    </w:p>
    <w:p w14:paraId="44346CE9" w14:textId="77777777" w:rsidR="003754FE" w:rsidRDefault="003754FE" w:rsidP="003754FE">
      <w:pPr>
        <w:pStyle w:val="TextoNormal"/>
      </w:pPr>
    </w:p>
    <w:p w14:paraId="4081B21B" w14:textId="77777777" w:rsidR="003754FE" w:rsidRDefault="003754FE" w:rsidP="003754FE">
      <w:pPr>
        <w:pStyle w:val="TextoNormal"/>
      </w:pPr>
      <w:r>
        <w:t>En conclusión, no puede considerarse como imprevisible la calificación de la conducta del recurrente como delito de prevaricación administrativa, dados los términos de su descripción en el tipo penal.</w:t>
      </w:r>
    </w:p>
    <w:p w14:paraId="267D055E" w14:textId="77777777" w:rsidR="003754FE" w:rsidRDefault="003754FE" w:rsidP="003754FE">
      <w:pPr>
        <w:pStyle w:val="TextoNormal"/>
      </w:pPr>
    </w:p>
    <w:p w14:paraId="01A1AF12" w14:textId="77777777" w:rsidR="003754FE" w:rsidRDefault="003754FE" w:rsidP="003754FE">
      <w:pPr>
        <w:pStyle w:val="TextoNormal"/>
      </w:pPr>
      <w:r>
        <w:t>6. Reitero que la estimación de la vulneración del art. 25.1 CE por la condena por delito de prevaricación con base en la consideración de que las conductas constitutivas de infracción penal estaban amparadas por las sucesivas leyes de presupuestos también justificaría los fraudes que se enjuician en los procesos diferentes a la “pieza específica” de los responsables políticos, lo que provocaría un estado de impunidad difícilmente soportable. Además, la consecuencia última que pudiera derivar de la decisión del Pleno es que, dada la atipicidad de las conductas o bien la estructura de las causas de justificación (a modo de cumplimiento de un deber o de estado de error de prohibición), a la postre nadie estaría obligado a devolver el dinero defraudado.</w:t>
      </w:r>
    </w:p>
    <w:p w14:paraId="7258E451" w14:textId="77777777" w:rsidR="003754FE" w:rsidRDefault="003754FE" w:rsidP="003754FE">
      <w:pPr>
        <w:pStyle w:val="TextoNormal"/>
      </w:pPr>
    </w:p>
    <w:p w14:paraId="4581EAAA" w14:textId="77777777" w:rsidR="003754FE" w:rsidRDefault="003754FE" w:rsidP="003754FE">
      <w:pPr>
        <w:pStyle w:val="TextoNormal"/>
      </w:pPr>
      <w:r>
        <w:t>7. En conclusión, las sentencias recurridas en amparo han efectuado una interpretación razonada de los elementos del delito de prevaricación y su aplicación al caso, que supera el canon de control referido a la prohibición de interpretaciones “ilógicas” o “arbitrarias” que impone el art. 25.1 CE. La interpretación del delito de prevaricación efectuada por los tribunales penales no era imprevisible ni irrazonable y no es contraria al derecho fundamental a la legalidad penal que garantiza el art. 25.1 CE.</w:t>
      </w:r>
    </w:p>
    <w:p w14:paraId="38D47AE5" w14:textId="77777777" w:rsidR="003754FE" w:rsidRDefault="003754FE" w:rsidP="003754FE">
      <w:pPr>
        <w:pStyle w:val="TextoNormal"/>
      </w:pPr>
    </w:p>
    <w:p w14:paraId="77BFB8FF" w14:textId="77777777" w:rsidR="003754FE" w:rsidRDefault="003754FE" w:rsidP="003754FE">
      <w:pPr>
        <w:pStyle w:val="TextoNormal"/>
      </w:pPr>
      <w:r>
        <w:t>8. En definitiva, en esta sentencia, como en las restantes resolutorias de los recursos de amparo planteados contra las sentencias dictadas en la rama política de los ERE, se ha creado un artificio común estereotipado que, desconociendo la doctrina que este tribunal ha venido manteniendo en otros recursos, ha llevado a dar cobertura legal a una trama criminal perfectamente descrita y analizada por el Tribunal Supremo, que ha conducido a la impunidad de la mayor parte de los recurrentes, con una argumentación, de la que discrepo, articulada mediante una pretendida vulneración del principio de legalidad penal.</w:t>
      </w:r>
    </w:p>
    <w:p w14:paraId="6B2EADB0" w14:textId="77777777" w:rsidR="003754FE" w:rsidRDefault="003754FE" w:rsidP="003754FE">
      <w:pPr>
        <w:pStyle w:val="TextoNormal"/>
      </w:pPr>
    </w:p>
    <w:p w14:paraId="05B29E95" w14:textId="77777777" w:rsidR="003754FE" w:rsidRDefault="003754FE" w:rsidP="003754FE">
      <w:pPr>
        <w:pStyle w:val="TextoNormal"/>
      </w:pPr>
      <w:r>
        <w:t>Estimo, que el Tribunal ha excedido sus competencias invadiendo las que corresponden al Tribunal Supremo para la interpretación de los tipos penales, para efectuar el juicio de subsunción orillando el canon pacíficamente aplicado en los recursos de amparo. Las sentencias recurridas están ampliamente motivadas, no resultan en modo alguno erróneas o arbitrarias, lo que debió comportar la inadmisión a trámite de los recursos por falta de especial trascendencia constitucional y, en el estadio procesal en el que nos encontramos, a la desestimación íntegra de todos los recursos planteados por no haberse vulnerado el principio de legalidad penal y, en su caso, el de presunción de inocencia.</w:t>
      </w:r>
    </w:p>
    <w:p w14:paraId="610884CB" w14:textId="77777777" w:rsidR="003754FE" w:rsidRDefault="003754FE" w:rsidP="003754FE">
      <w:pPr>
        <w:pStyle w:val="TextoNormal"/>
      </w:pPr>
    </w:p>
    <w:p w14:paraId="5D9E65BF" w14:textId="77777777" w:rsidR="003754FE" w:rsidRDefault="003754FE" w:rsidP="003754FE">
      <w:pPr>
        <w:pStyle w:val="TextoNormal"/>
      </w:pPr>
      <w:r>
        <w:t>Por lo expuesto, formulo el presente voto particular.</w:t>
      </w:r>
    </w:p>
    <w:p w14:paraId="6F46F684" w14:textId="77777777" w:rsidR="003754FE" w:rsidRDefault="003754FE" w:rsidP="003754FE">
      <w:pPr>
        <w:pStyle w:val="TextoNormal"/>
      </w:pPr>
    </w:p>
    <w:p w14:paraId="7BBCDBD1" w14:textId="106C0664" w:rsidR="003754FE" w:rsidRDefault="003754FE" w:rsidP="003754FE">
      <w:pPr>
        <w:pStyle w:val="TextoNormal"/>
      </w:pPr>
      <w:r>
        <w:t>Madrid, a diecisiete de julio de dos mil veinticuatro.</w:t>
      </w:r>
    </w:p>
    <w:p w14:paraId="2E258883" w14:textId="77777777" w:rsidR="003754FE" w:rsidRDefault="003754FE" w:rsidP="003754FE">
      <w:pPr>
        <w:pStyle w:val="TextoNormal"/>
      </w:pPr>
    </w:p>
    <w:p w14:paraId="46334392" w14:textId="77777777" w:rsidR="003754FE" w:rsidRDefault="003754FE" w:rsidP="003754FE">
      <w:pPr>
        <w:pStyle w:val="TextoNormalNegritaCentrado"/>
        <w:keepNext/>
      </w:pPr>
      <w:r>
        <w:lastRenderedPageBreak/>
        <w:t>Voto particular que formula el magistrado don César Tolosa Tribiño a la sentencia dictada en el recurso de amparo núm. 2411-2023 interpuesto por don Gaspar Zarrías Arévalo.</w:t>
      </w:r>
    </w:p>
    <w:p w14:paraId="2DE1291B" w14:textId="31F2AF13" w:rsidR="003754FE" w:rsidRDefault="003754FE" w:rsidP="003754FE">
      <w:pPr>
        <w:pStyle w:val="TextoNormalNegritaCentrado"/>
        <w:keepNext/>
      </w:pPr>
    </w:p>
    <w:p w14:paraId="3AE3F139" w14:textId="77777777" w:rsidR="003754FE" w:rsidRDefault="003754FE" w:rsidP="003754FE">
      <w:pPr>
        <w:pStyle w:val="TextoNormal"/>
      </w:pPr>
      <w:r>
        <w:t>En el ejercicio de la facultad que me confiere el artículo 90.2 de la Ley Orgánica del Tribunal Constitucional formulo el presente voto particular. Considero que el recurso de amparo debió ser desestimado al no existir vulneración del derecho a la legalidad penal en relación con la condena de don Gaspar Zarrías Arévalo por el delito continuado de prevaricación.</w:t>
      </w:r>
    </w:p>
    <w:p w14:paraId="725408A9" w14:textId="77777777" w:rsidR="003754FE" w:rsidRDefault="003754FE" w:rsidP="003754FE">
      <w:pPr>
        <w:pStyle w:val="TextoNormal"/>
      </w:pPr>
    </w:p>
    <w:p w14:paraId="6BB7AB9C" w14:textId="77777777" w:rsidR="003754FE" w:rsidRDefault="003754FE" w:rsidP="003754FE">
      <w:pPr>
        <w:pStyle w:val="TextoNormal"/>
      </w:pPr>
      <w:r w:rsidRPr="003754FE">
        <w:rPr>
          <w:i/>
        </w:rPr>
        <w:t>Remisión a los votos particulares ya formulados</w:t>
      </w:r>
    </w:p>
    <w:p w14:paraId="1B7ECFB6" w14:textId="77777777" w:rsidR="003754FE" w:rsidRDefault="003754FE" w:rsidP="003754FE">
      <w:pPr>
        <w:pStyle w:val="TextoNormal"/>
      </w:pPr>
    </w:p>
    <w:p w14:paraId="1B0B4DE7" w14:textId="77777777" w:rsidR="003754FE" w:rsidRDefault="003754FE" w:rsidP="003754FE">
      <w:pPr>
        <w:pStyle w:val="TextoNormal"/>
      </w:pPr>
      <w:r>
        <w:t>Don Gaspar Zarrías Arévalo fue condenado como autor de un delito continuado de prevaricación administrativa al considerarse probado que en su condición de consejero de Presidencia de la Junta de Andalucía, consciente de que se eludía la fiscalización previa, participó en la elaboración de los anteproyectos de ley de presupuestos y en su aprobación como proyectos de ley para los ejercicios de los años 2002 a 2009, en los que mediante el cambio de la clasificación presupuestaria, se consignaron en concepto de transferencias de financiación a la agencia IFA/IDEA —que debían destinarse a gastos de explotación de IFA/IDEA—, las importantes cantidades de dinero que constan en los hechos probados, luego incrementadas sustancialmente mediante la aprobación de sucesivas modificaciones presupuestarias entre los años 2000 y 2008, para que se pudieran efectuar libérrimamente pagos (“ayudas sociolaborales”), sin la necesaria cobertura presupuestaria, sin la existencia de control alguno y sin el cumplimiento de los requisitos de las normas reguladoras de las subvenciones.</w:t>
      </w:r>
    </w:p>
    <w:p w14:paraId="0807F67F" w14:textId="77777777" w:rsidR="003754FE" w:rsidRDefault="003754FE" w:rsidP="003754FE">
      <w:pPr>
        <w:pStyle w:val="TextoNormal"/>
      </w:pPr>
    </w:p>
    <w:p w14:paraId="1373C5C5" w14:textId="77777777" w:rsidR="003754FE" w:rsidRDefault="003754FE" w:rsidP="003754FE">
      <w:pPr>
        <w:pStyle w:val="TextoNormal"/>
      </w:pPr>
      <w:r>
        <w:t>La sentencia, frente a la que formulo el presente voto particular, da respuesta al planteamiento del recurrente y para ello se remite a los argumentos expuestos en la STC 93/2024, de 19 de junio —recurso de amparo interpuesto por doña Magdalena Álvarez Arza— en el que partiendo de la premisa del carácter no fiscalizable del contenido del anteproyecto o proyecto de ley y de que sobre los mismos no puede ejercerse más control que el político, concluye que los órganos judiciales han efectuado una interpretación del elemento del tipo del delito de prevaricación administrativa (“resolución arbitraria en un asunto administrativo”) lesiva del derecho a la legalidad penal. Y, en relación con las modificaciones presupuestarias del programa 31L, considera que su calificación como arbitrarias es imprevisible al encontrarse amparadas por las sucesivas leyes de presupuestos.</w:t>
      </w:r>
    </w:p>
    <w:p w14:paraId="7A81D383" w14:textId="77777777" w:rsidR="003754FE" w:rsidRDefault="003754FE" w:rsidP="003754FE">
      <w:pPr>
        <w:pStyle w:val="TextoNormal"/>
      </w:pPr>
    </w:p>
    <w:p w14:paraId="53062E96" w14:textId="77777777" w:rsidR="003754FE" w:rsidRDefault="003754FE" w:rsidP="003754FE">
      <w:pPr>
        <w:pStyle w:val="TextoNormal"/>
      </w:pPr>
      <w:r>
        <w:t>La presente sentencia reconoce la vulneración del principio de legalidad penal en relación con la condena por el delito de prevaricación proyectando la doctrina expuesta en la STC 93/2024, luego aplicada en las SSTC 94/2024 de 2 de julio, y 96/2024, 97/2024, 98/2024, de 3 de julio, por lo que me debo remitir, en lo relativo a la doctrina acuñada en dichas sentencias, al razonamiento expuesto en los votos particulares formulados frente a aquellas, debiendo insistir en:</w:t>
      </w:r>
    </w:p>
    <w:p w14:paraId="4A9869A0" w14:textId="77777777" w:rsidR="003754FE" w:rsidRDefault="003754FE" w:rsidP="003754FE">
      <w:pPr>
        <w:pStyle w:val="TextoNormal"/>
      </w:pPr>
    </w:p>
    <w:p w14:paraId="7CFC9C88" w14:textId="77777777" w:rsidR="003754FE" w:rsidRDefault="003754FE" w:rsidP="003754FE">
      <w:pPr>
        <w:pStyle w:val="TextoNormal"/>
      </w:pPr>
      <w:r>
        <w:t xml:space="preserve">a) El exceso de jurisdicción en que ha incurrido el Tribunal Constitucional al rectificar por vez primera al Tribunal Supremo en la interpretación de un elemento recogido en la descripción de la conducta típica, que socava la jurisdicción del Tribunal Supremo como órgano jurisdiccional superior en todos los órdenes y máxima autoridad jurisdiccional en la </w:t>
      </w:r>
      <w:r>
        <w:lastRenderedPageBreak/>
        <w:t>función de interpretar y aplicar la legislación vigente (arts. 117.3 y 123.1 CE), convirtiéndose el Tribunal Constitucional en un tribunal de casación.</w:t>
      </w:r>
    </w:p>
    <w:p w14:paraId="6F7D9361" w14:textId="77777777" w:rsidR="003754FE" w:rsidRDefault="003754FE" w:rsidP="003754FE">
      <w:pPr>
        <w:pStyle w:val="TextoNormal"/>
      </w:pPr>
    </w:p>
    <w:p w14:paraId="6C004232" w14:textId="77777777" w:rsidR="003754FE" w:rsidRDefault="003754FE" w:rsidP="003754FE">
      <w:pPr>
        <w:pStyle w:val="TextoNormal"/>
      </w:pPr>
      <w:r>
        <w:t>b) La sentencia deja al margen de todo control aquello que tenga que ver con la actividad presupuestaria desde la fase inicial de elaboración de los presupuestos a la fase final de su ejecución y determina la impunidad de los miembros del Gobierno de la Junta de Andalucía en todo lo concerniente a la elaboración, aprobación, ejecución de los presupuestos y a las enmiendas presupuestarias o su ejecución, por lo que quedan desprotegidos entre otros intereses la indemnidad del patrimonio público.</w:t>
      </w:r>
    </w:p>
    <w:p w14:paraId="323AD901" w14:textId="77777777" w:rsidR="003754FE" w:rsidRDefault="003754FE" w:rsidP="003754FE">
      <w:pPr>
        <w:pStyle w:val="TextoNormal"/>
      </w:pPr>
    </w:p>
    <w:p w14:paraId="69E2041E" w14:textId="77777777" w:rsidR="003754FE" w:rsidRDefault="003754FE" w:rsidP="003754FE">
      <w:pPr>
        <w:pStyle w:val="TextoNormal"/>
      </w:pPr>
      <w:r>
        <w:t>c) La confusión entre la condición de consejero —miembro del Gobierno— con el Gobierno mismo, en que incurre la sentencia, para calificar la aprobación de los anteproyectos y proyectos de leyes de presupuestos como acción del Gobierno.</w:t>
      </w:r>
    </w:p>
    <w:p w14:paraId="00C6AB20" w14:textId="77777777" w:rsidR="003754FE" w:rsidRDefault="003754FE" w:rsidP="003754FE">
      <w:pPr>
        <w:pStyle w:val="TextoNormal"/>
      </w:pPr>
    </w:p>
    <w:p w14:paraId="5A8983FA" w14:textId="77777777" w:rsidR="003754FE" w:rsidRDefault="003754FE" w:rsidP="003754FE">
      <w:pPr>
        <w:pStyle w:val="TextoNormal"/>
      </w:pPr>
      <w:r>
        <w:t>d) La incompatibilidad de la sentencia con la inexistente previsión constitucional de inmunidad de los miembros del Gobierno (arts. 56.3 y 71.1 CE) y con la obligada interpretación estricta y finalista del privilegio de la inviolabilidad y de la inmunidad que determina su inviable proyección a los miembros del Gobierno al no existir dicha previsión constitucional (STC 9/1990, de 18 de enero).</w:t>
      </w:r>
    </w:p>
    <w:p w14:paraId="4EF5F94E" w14:textId="77777777" w:rsidR="003754FE" w:rsidRDefault="003754FE" w:rsidP="003754FE">
      <w:pPr>
        <w:pStyle w:val="TextoNormal"/>
      </w:pPr>
    </w:p>
    <w:p w14:paraId="3A927F9D" w14:textId="77777777" w:rsidR="003754FE" w:rsidRDefault="003754FE" w:rsidP="003754FE">
      <w:pPr>
        <w:pStyle w:val="TextoNormal"/>
      </w:pPr>
      <w:r>
        <w:t>e) La inadecuación del principio de irresponsabilidad penal establecido en la sentencia con las obligaciones de España derivadas del artículo 325 TFUE, apartado 1, cuando la acuñada doctrina de la irresponsabilidad penal de los miembros del Gobierno tenga su proyección en la protección de los intereses financieros de la Unión Europea.</w:t>
      </w:r>
    </w:p>
    <w:p w14:paraId="440EF2CE" w14:textId="77777777" w:rsidR="003754FE" w:rsidRDefault="003754FE" w:rsidP="003754FE">
      <w:pPr>
        <w:pStyle w:val="TextoNormal"/>
      </w:pPr>
    </w:p>
    <w:p w14:paraId="7E4B2E36" w14:textId="77777777" w:rsidR="003754FE" w:rsidRDefault="003754FE" w:rsidP="003754FE">
      <w:pPr>
        <w:pStyle w:val="TextoNormal"/>
      </w:pPr>
      <w:r>
        <w:t>f) La corrección constitucional del razonamiento del Tribunal Supremo al calificar los hechos probados como delito de prevaricación administrativa y entender que los anteproyectos y proyectos de ley se incardinan en el tipo “resolución arbitraria en asunto administrativo”, al no poder considerarse la subsunción penal extravagante o imprevisible para sus destinatarios, ni por su soporte metodológico, ni por las pautas valorativas que la inspiran y cuyo contenido se extracta en el voto particular.</w:t>
      </w:r>
    </w:p>
    <w:p w14:paraId="0FCF5C85" w14:textId="77777777" w:rsidR="003754FE" w:rsidRDefault="003754FE" w:rsidP="003754FE">
      <w:pPr>
        <w:pStyle w:val="TextoNormal"/>
      </w:pPr>
    </w:p>
    <w:p w14:paraId="51A28F71" w14:textId="77777777" w:rsidR="003754FE" w:rsidRDefault="003754FE" w:rsidP="003754FE">
      <w:pPr>
        <w:pStyle w:val="TextoNormal"/>
      </w:pPr>
      <w:r>
        <w:t>g) Las quiebras lógicas en que incurre el razonamiento de la sentencia que estima el amparo y que se exponen en el apartado 3.2.2 del voto particular a la STC 93/2024, entre las que destaca el argumento por el que se somete el delito consumado de prevaricación administrativa cometido por un miembro del Gobierno al aprobar un proyecto o anteproyecto de ley a una especie de condición resolutoria derivada de la aprobación de la ley por el Parlamento, lo que supone introducir un factor de incertidumbre e imprevisibilidad contrario a la certeza en la que se asienta el principio de legalidad que se dice aplicar.</w:t>
      </w:r>
    </w:p>
    <w:p w14:paraId="31108708" w14:textId="77777777" w:rsidR="003754FE" w:rsidRDefault="003754FE" w:rsidP="003754FE">
      <w:pPr>
        <w:pStyle w:val="TextoNormal"/>
      </w:pPr>
    </w:p>
    <w:p w14:paraId="5F240AC6" w14:textId="77777777" w:rsidR="003754FE" w:rsidRDefault="003754FE" w:rsidP="003754FE">
      <w:pPr>
        <w:pStyle w:val="TextoNormal"/>
      </w:pPr>
      <w:r>
        <w:t>h) El insostenible argumento de la sentencia por el que “no puede considerarse ilegal ni indebido otorgar las referidas ayudas, de acuerdo con lo establecido en el programa 31L de las leyes de presupuestos de aquellos años y las memorias que las acompañaban”. Como indica la STS 749/2022: “[l]a aprobación parlamentaria de los distintos créditos presupuestarios no puede ser coartada para justificar los pagos ilegales”. Ninguno de los condenados estaba amparado, ni venía obligado por las sucesivas leyes de presupuestos para cometer los delitos. Las leyes eran neutras en la previsión de transferencias de financiación para gastos de explotación.</w:t>
      </w:r>
    </w:p>
    <w:p w14:paraId="0ECED951" w14:textId="77777777" w:rsidR="003754FE" w:rsidRDefault="003754FE" w:rsidP="003754FE">
      <w:pPr>
        <w:pStyle w:val="TextoNormal"/>
      </w:pPr>
    </w:p>
    <w:p w14:paraId="74A5C523" w14:textId="77777777" w:rsidR="003754FE" w:rsidRDefault="003754FE" w:rsidP="003754FE">
      <w:pPr>
        <w:pStyle w:val="TextoNormal"/>
      </w:pPr>
      <w:r>
        <w:t>i) A lo que añadimos ahora, la contradicción con la doctrina de este Tribunal en que incurre la sentencia al considerar que fueron la memorias de las leyes de presupuestos las que habilitaban a la administración autonómica a conceder ayudas y de este modo considerar que la disposición libérrima de fondos tenía cobertura presupuestaria, pues dicha afirmación además de insostenible —como se ha indicado— es también contraria no solo a la abundante prueba pericial desplegada en el juicio sino a nuestra propia doctrina en virtud de la cual: “Las memorias de los presupuestos […] en modo alguno pudieron adquirir vigencia con la entrada en vigor de las leyes de presupuestos impugnadas; en realidad, son algo externo o ajeno a las mismas, meras previsiones hipotéticas” (STC 63/1986, de 21 de mayo, FJ 8).</w:t>
      </w:r>
    </w:p>
    <w:p w14:paraId="1ABCAF30" w14:textId="77777777" w:rsidR="003754FE" w:rsidRDefault="003754FE" w:rsidP="003754FE">
      <w:pPr>
        <w:pStyle w:val="TextoNormal"/>
      </w:pPr>
    </w:p>
    <w:p w14:paraId="440FA15B" w14:textId="77777777" w:rsidR="003754FE" w:rsidRDefault="003754FE" w:rsidP="003754FE">
      <w:pPr>
        <w:pStyle w:val="TextoNormal"/>
      </w:pPr>
      <w:r>
        <w:t>Y en este sentido emito el presente voto particular.</w:t>
      </w:r>
    </w:p>
    <w:p w14:paraId="7E01FF93" w14:textId="77777777" w:rsidR="003754FE" w:rsidRDefault="003754FE" w:rsidP="003754FE">
      <w:pPr>
        <w:pStyle w:val="TextoNormal"/>
      </w:pPr>
    </w:p>
    <w:p w14:paraId="37C74B1D" w14:textId="2DB6988C" w:rsidR="003754FE" w:rsidRDefault="003754FE" w:rsidP="003754FE">
      <w:pPr>
        <w:pStyle w:val="TextoNormal"/>
      </w:pPr>
      <w:r>
        <w:t>Madrid, a diecisiete de julio de dos mil veinticuatro.</w:t>
      </w:r>
    </w:p>
    <w:p w14:paraId="1695FFAB" w14:textId="137DFB8C" w:rsidR="003754FE" w:rsidRDefault="003754FE">
      <w:pPr>
        <w:spacing w:after="160" w:line="278" w:lineRule="auto"/>
        <w:rPr>
          <w:rFonts w:ascii="Times New Roman" w:eastAsia="Times New Roman" w:hAnsi="Times New Roman" w:cs="Times New Roman"/>
          <w:sz w:val="24"/>
          <w:szCs w:val="24"/>
          <w:lang w:eastAsia="es-ES"/>
        </w:rPr>
      </w:pPr>
      <w:r>
        <w:br w:type="page"/>
      </w:r>
    </w:p>
    <w:p w14:paraId="661241F8" w14:textId="77777777" w:rsidR="003754FE" w:rsidRDefault="003754FE" w:rsidP="003754FE">
      <w:pPr>
        <w:pStyle w:val="TtuloResolucin"/>
      </w:pPr>
      <w:bookmarkStart w:id="12" w:name="SENTENCIA_2024_103"/>
      <w:r>
        <w:lastRenderedPageBreak/>
        <w:t>SENTENCIA 103/2024, de 17 de julio de 2024</w:t>
      </w:r>
    </w:p>
    <w:bookmarkEnd w:id="12"/>
    <w:p w14:paraId="79E933E1" w14:textId="77777777" w:rsidR="003754FE" w:rsidRDefault="003754FE" w:rsidP="003754FE">
      <w:pPr>
        <w:pStyle w:val="TtuloResolucin"/>
      </w:pPr>
      <w:r>
        <w:t>Pleno</w:t>
      </w:r>
    </w:p>
    <w:p w14:paraId="165B3A4D" w14:textId="77777777" w:rsidR="003754FE" w:rsidRDefault="003754FE" w:rsidP="003754FE">
      <w:pPr>
        <w:pStyle w:val="TtuloBOE"/>
      </w:pPr>
      <w:r>
        <w:t>(BOE núm. 208, de 28 de agosto de 2024)</w:t>
      </w:r>
    </w:p>
    <w:p w14:paraId="4B8BCC9B" w14:textId="77777777" w:rsidR="003754FE" w:rsidRDefault="003754FE" w:rsidP="003754FE">
      <w:pPr>
        <w:pStyle w:val="TextoNormalCentrado"/>
      </w:pPr>
      <w:r>
        <w:t>ECLI:ES:TC:2024:103</w:t>
      </w:r>
    </w:p>
    <w:p w14:paraId="3A1378F3" w14:textId="1813D2D4" w:rsidR="003754FE" w:rsidRDefault="003754FE" w:rsidP="003754FE">
      <w:pPr>
        <w:pStyle w:val="TextoNormalCentrado"/>
      </w:pPr>
    </w:p>
    <w:p w14:paraId="75EC7B24" w14:textId="77777777" w:rsidR="003754FE" w:rsidRDefault="003754FE" w:rsidP="003754FE">
      <w:pPr>
        <w:pStyle w:val="SntesisDescriptiva"/>
      </w:pPr>
      <w:r>
        <w:t>Recurso de amparo 2485-2023. Promovido por don Antonio Vicente Lozano Peña respecto de las sentencias dictadas por la Sala de lo Penal del Tribunal Supremo y la Audiencia Provincial de Sevilla que le condenaron por un delito continuado de prevaricación.</w:t>
      </w:r>
    </w:p>
    <w:p w14:paraId="66405C61" w14:textId="4E24D42C" w:rsidR="003754FE" w:rsidRDefault="003754FE" w:rsidP="003754FE">
      <w:pPr>
        <w:pStyle w:val="SntesisDescriptiva"/>
      </w:pPr>
    </w:p>
    <w:p w14:paraId="53A71C30" w14:textId="77777777" w:rsidR="003754FE" w:rsidRDefault="003754FE" w:rsidP="003754FE">
      <w:pPr>
        <w:pStyle w:val="SntesisAnaltica"/>
      </w:pPr>
      <w:r>
        <w:t>Vulneración del derecho a la legalidad penal: condena basada en una interpretación del todo imprevisible del tipo objetivo. Votos particulares.</w:t>
      </w:r>
    </w:p>
    <w:p w14:paraId="3A8A8A0D" w14:textId="6FDEDBE7" w:rsidR="003754FE" w:rsidRDefault="003754FE" w:rsidP="003754FE">
      <w:pPr>
        <w:pStyle w:val="SntesisAnaltica"/>
      </w:pPr>
    </w:p>
    <w:p w14:paraId="73A5CCD0" w14:textId="70FF4058" w:rsidR="003754FE" w:rsidRDefault="003754FE" w:rsidP="003754FE">
      <w:pPr>
        <w:pStyle w:val="Extracto"/>
      </w:pPr>
      <w:r>
        <w:t>1.</w:t>
      </w:r>
      <w:r>
        <w:tab/>
        <w:t xml:space="preserve">En el marco de la serie de sentencias dictadas en relación con el denominado proceso “ERE”, -que en este caso derivó en condena por delito continuado de prevaricación administrativa del art. 404 CP -, se reitera doctrina en materia de la vulneración del derecho a la legalidad penal </w:t>
      </w:r>
      <w:r w:rsidRPr="003754FE">
        <w:rPr>
          <w:i/>
        </w:rPr>
        <w:t>ex</w:t>
      </w:r>
      <w:r>
        <w:t xml:space="preserve"> art. 25.1 CE (STC 93/2024) [FJ 3].</w:t>
      </w:r>
    </w:p>
    <w:p w14:paraId="405A856D" w14:textId="77777777" w:rsidR="003754FE" w:rsidRDefault="003754FE" w:rsidP="003754FE">
      <w:pPr>
        <w:pStyle w:val="Extracto"/>
      </w:pPr>
    </w:p>
    <w:p w14:paraId="5E994A02" w14:textId="77777777" w:rsidR="003754FE" w:rsidRDefault="003754FE" w:rsidP="003754FE">
      <w:pPr>
        <w:pStyle w:val="Extracto"/>
      </w:pPr>
    </w:p>
    <w:p w14:paraId="7DB197DC"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14:paraId="0A793521" w14:textId="4D34CD37" w:rsidR="003754FE" w:rsidRDefault="003754FE" w:rsidP="003754FE">
      <w:pPr>
        <w:pStyle w:val="TextoNormal"/>
      </w:pPr>
    </w:p>
    <w:p w14:paraId="7E903B24" w14:textId="77777777" w:rsidR="003754FE" w:rsidRDefault="003754FE" w:rsidP="003754FE">
      <w:pPr>
        <w:pStyle w:val="TextoNormalCentrado"/>
        <w:keepNext/>
      </w:pPr>
      <w:r>
        <w:t>EN NOMBRE DEL REY</w:t>
      </w:r>
    </w:p>
    <w:p w14:paraId="51DF1CD4" w14:textId="7761D0B2" w:rsidR="003754FE" w:rsidRDefault="003754FE" w:rsidP="003754FE">
      <w:pPr>
        <w:pStyle w:val="TextoNormalCentrado"/>
        <w:keepNext/>
      </w:pPr>
    </w:p>
    <w:p w14:paraId="0952B9C6" w14:textId="77777777" w:rsidR="003754FE" w:rsidRDefault="003754FE" w:rsidP="003754FE">
      <w:pPr>
        <w:pStyle w:val="TextoNormalCentrado"/>
        <w:keepNext/>
      </w:pPr>
    </w:p>
    <w:p w14:paraId="586CB9C0" w14:textId="77777777" w:rsidR="003754FE" w:rsidRDefault="003754FE" w:rsidP="003754FE">
      <w:pPr>
        <w:pStyle w:val="TextoNormal"/>
      </w:pPr>
      <w:r>
        <w:t>la siguiente</w:t>
      </w:r>
    </w:p>
    <w:p w14:paraId="3BC33DF2" w14:textId="4C2C3EA9" w:rsidR="003754FE" w:rsidRDefault="003754FE" w:rsidP="003754FE">
      <w:pPr>
        <w:pStyle w:val="TextoNormal"/>
      </w:pPr>
    </w:p>
    <w:p w14:paraId="624A969E" w14:textId="77777777" w:rsidR="003754FE" w:rsidRDefault="003754FE" w:rsidP="003754FE">
      <w:pPr>
        <w:pStyle w:val="TextoNormalCentrado"/>
        <w:keepNext/>
      </w:pPr>
      <w:r>
        <w:t>SENTENCIA</w:t>
      </w:r>
    </w:p>
    <w:p w14:paraId="7358F7C8" w14:textId="3726B06A" w:rsidR="003754FE" w:rsidRDefault="003754FE" w:rsidP="003754FE">
      <w:pPr>
        <w:pStyle w:val="TextoNormalCentrado"/>
        <w:keepNext/>
      </w:pPr>
    </w:p>
    <w:p w14:paraId="2DF6C187" w14:textId="77777777" w:rsidR="003754FE" w:rsidRDefault="003754FE" w:rsidP="003754FE">
      <w:pPr>
        <w:pStyle w:val="TextoNormal"/>
      </w:pPr>
      <w:r>
        <w:t xml:space="preserve">En el recurso de amparo núm. 2485-2023, promovido por don Antonio Vicente Lozano Peña, representado por el procurador de los tribunales don Roberto Primitivo Granizo Palomeque, bajo la dirección letrada de don José María Calero Martínez, contra: (i) la sentencia núm. 490/2019, de 19 de noviembre, dictada por la Sección Primera de la Audiencia Provincial de Sevilla en el rollo núm. 1965-2017, dimanante del procedimiento abreviado núm. 133-2016; (ii) la sentencia núm. 749/2022, de 13 de septiembre, de la Sala de lo Penal del Tribunal Supremo, dictada en el recurso de casación núm. 601-2020, y (iii) el auto de 16 de febrero de 2023 dictado en el mismo recurso. Han sido parte el Partido Popular, representado por el procurador de los tribunales don Manuel Sánchez-Puelles y González-Carvajal, bajo la dirección técnica de los letrados don Ángel Márquez Prieto y don Alfonso Martínez Escribano; don Francisco Vallejo Serrano, representado por la procuradora de los tribunales doña Patricia Rosch Iglesias, bajo la dirección técnica de la letrada doña Encarnación Molino Barrero; don Jesús María Rodríguez Román, representado por la procuradora de los tribunales doña Patricia Rosch Iglesias, bajo la dirección técnica del letrado don Luis Aparicio Díaz; don José Antonio Griñán Martínez, representado por el procurador de los </w:t>
      </w:r>
      <w:r>
        <w:lastRenderedPageBreak/>
        <w:t>tribunales don Roberto Primitivo Granizo Palomeque, bajo la dirección técnica del letrado don José María Calero Martínez; y doña Carmen Martínez Aguayo, representada por la procuradora de los tribunales doña Olga Coca Alonso, bajo la dirección técnica del letrado don Víctor Moreno Catena. Ha intervenido el Ministerio Fiscal. Ha sido ponente la magistrada doña Inmaculada Montalbán Huertas.</w:t>
      </w:r>
    </w:p>
    <w:p w14:paraId="780ED959" w14:textId="371B50C7" w:rsidR="003754FE" w:rsidRDefault="003754FE" w:rsidP="003754FE">
      <w:pPr>
        <w:pStyle w:val="TextoNormal"/>
      </w:pPr>
    </w:p>
    <w:p w14:paraId="189362E4" w14:textId="77777777" w:rsidR="003754FE" w:rsidRDefault="003754FE" w:rsidP="003754FE">
      <w:pPr>
        <w:pStyle w:val="TextoNormalNegritaCentrado"/>
        <w:keepNext/>
      </w:pPr>
      <w:r>
        <w:t>I. Antecedentes</w:t>
      </w:r>
    </w:p>
    <w:p w14:paraId="0EF506E6" w14:textId="691653A2" w:rsidR="003754FE" w:rsidRDefault="003754FE" w:rsidP="003754FE">
      <w:pPr>
        <w:pStyle w:val="TextoNormalNegritaCentrado"/>
        <w:keepNext/>
      </w:pPr>
    </w:p>
    <w:p w14:paraId="3F1B7026" w14:textId="0DDC1058" w:rsidR="003754FE" w:rsidRDefault="003754FE" w:rsidP="003754FE">
      <w:pPr>
        <w:pStyle w:val="TextoNormal"/>
      </w:pPr>
      <w:r w:rsidRPr="003754FE">
        <w:rPr>
          <w:rStyle w:val="NumeroAFNegritaCaracter"/>
        </w:rPr>
        <w:t>1</w:t>
      </w:r>
      <w:r>
        <w:t>. El 13 de abril de 2023 tuvo entrada en el registro general de este tribunal un escrito presentado por el procurador don Roberto Primitivo Granizo Palomeque, actuando en nombre y representación de don Antonio Vicente Lozano Peña, bajo la dirección letrada del abogado don José María Calero Martínez, mediante el que interpuso recurso de amparo contra las resoluciones judiciales que se mencionan en el encabezamiento.</w:t>
      </w:r>
    </w:p>
    <w:p w14:paraId="1503ABC3" w14:textId="77777777" w:rsidR="003754FE" w:rsidRDefault="003754FE" w:rsidP="003754FE">
      <w:pPr>
        <w:pStyle w:val="TextoNormal"/>
      </w:pPr>
    </w:p>
    <w:p w14:paraId="0F8581F0" w14:textId="77777777" w:rsidR="003754FE" w:rsidRDefault="003754FE" w:rsidP="003754FE">
      <w:pPr>
        <w:pStyle w:val="TextoNormal"/>
      </w:pPr>
      <w:r w:rsidRPr="003754FE">
        <w:rPr>
          <w:rStyle w:val="NumeroAFNegritaCaracter"/>
        </w:rPr>
        <w:t>2</w:t>
      </w:r>
      <w:r>
        <w:t>. El recurso tiene su origen en los siguientes antecedentes:</w:t>
      </w:r>
    </w:p>
    <w:p w14:paraId="3586A644" w14:textId="77777777" w:rsidR="003754FE" w:rsidRDefault="003754FE" w:rsidP="003754FE">
      <w:pPr>
        <w:pStyle w:val="TextoNormal"/>
      </w:pPr>
    </w:p>
    <w:p w14:paraId="4C1310B1" w14:textId="77777777" w:rsidR="003754FE" w:rsidRDefault="003754FE" w:rsidP="003754FE">
      <w:pPr>
        <w:pStyle w:val="TextoNormal"/>
      </w:pPr>
      <w:r>
        <w:t>a) Por sentencia núm. 490/2019, de 19 de noviembre, dictada por la Sección Primera de la Audiencia Provincial de Sevilla, en el rollo núm. 1965-2017, en el marco de la denominada “pieza específica” del caso “ERE”, se condenó a diversos miembros del Consejo de Gobierno y de la administración de la Junta de Andalucía —incluyendo desde presidentes de la Comunidad a directores generales— por haber intervenido, a lo largo de casi diez años, en el diseño de un sistema ilegal de concesión de ayudas sociolaborales.</w:t>
      </w:r>
    </w:p>
    <w:p w14:paraId="100E33BE" w14:textId="77777777" w:rsidR="003754FE" w:rsidRDefault="003754FE" w:rsidP="003754FE">
      <w:pPr>
        <w:pStyle w:val="TextoNormal"/>
      </w:pPr>
    </w:p>
    <w:p w14:paraId="3569C355" w14:textId="77777777" w:rsidR="003754FE" w:rsidRDefault="003754FE" w:rsidP="003754FE">
      <w:pPr>
        <w:pStyle w:val="TextoNormal"/>
      </w:pPr>
      <w:r>
        <w:t>Según el resumen efectuado por la Sala de lo Penal del Tribunal Supremo en la sentencia de casación (folios 97 y siguientes) los hechos en los que se habría articulado el sistema de concesión ilegal de ayudas sociolaborales se dividirían en tres etapas diferentes:</w:t>
      </w:r>
    </w:p>
    <w:p w14:paraId="3FE75277" w14:textId="77777777" w:rsidR="003754FE" w:rsidRDefault="003754FE" w:rsidP="003754FE">
      <w:pPr>
        <w:pStyle w:val="TextoNormal"/>
      </w:pPr>
    </w:p>
    <w:p w14:paraId="27975F59" w14:textId="77777777" w:rsidR="003754FE" w:rsidRDefault="003754FE" w:rsidP="003754FE">
      <w:pPr>
        <w:pStyle w:val="TextoNormal"/>
      </w:pPr>
      <w:r>
        <w:t>“I) Primera etapa</w:t>
      </w:r>
    </w:p>
    <w:p w14:paraId="0BD95182" w14:textId="77777777" w:rsidR="003754FE" w:rsidRDefault="003754FE" w:rsidP="003754FE">
      <w:pPr>
        <w:pStyle w:val="TextoNormal"/>
      </w:pPr>
    </w:p>
    <w:p w14:paraId="0689802F" w14:textId="77777777" w:rsidR="003754FE" w:rsidRDefault="003754FE" w:rsidP="003754FE">
      <w:pPr>
        <w:pStyle w:val="TextoNormal"/>
      </w:pPr>
      <w:r>
        <w:t>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14:paraId="06E5E2A7" w14:textId="77777777" w:rsidR="003754FE" w:rsidRDefault="003754FE" w:rsidP="003754FE">
      <w:pPr>
        <w:pStyle w:val="TextoNormal"/>
      </w:pPr>
    </w:p>
    <w:p w14:paraId="7899CE46" w14:textId="77777777" w:rsidR="003754FE" w:rsidRDefault="003754FE" w:rsidP="003754FE">
      <w:pPr>
        <w:pStyle w:val="TextoNormal"/>
      </w:pPr>
      <w:r>
        <w:t>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14:paraId="608CCEBB" w14:textId="77777777" w:rsidR="003754FE" w:rsidRDefault="003754FE" w:rsidP="003754FE">
      <w:pPr>
        <w:pStyle w:val="TextoNormal"/>
      </w:pPr>
    </w:p>
    <w:p w14:paraId="16754578" w14:textId="77777777" w:rsidR="003754FE" w:rsidRDefault="003754FE" w:rsidP="003754FE">
      <w:pPr>
        <w:pStyle w:val="TextoNormal"/>
      </w:pPr>
      <w:r>
        <w:t xml:space="preserve">Los expedientes para la concesión de estas ayudas se integraban por los siguientes documentos: memoria justificativa, acreditación de la personalidad del solicitante, documento acreditativo de la situación de hecho que amparaba la solicitud (resolución de la autoridad </w:t>
      </w:r>
      <w:r>
        <w:lastRenderedPageBreak/>
        <w:t>laboral del ERE) y compromisos asumidos para el caso de que variara la situación laboral de los perceptores. La Dirección General de Trabajo elevaba una propuesta de resolución al consejero de Empleo que era al órgano competente para la concesión.</w:t>
      </w:r>
    </w:p>
    <w:p w14:paraId="3386CBF9" w14:textId="77777777" w:rsidR="003754FE" w:rsidRDefault="003754FE" w:rsidP="003754FE">
      <w:pPr>
        <w:pStyle w:val="TextoNormal"/>
      </w:pPr>
    </w:p>
    <w:p w14:paraId="3B7760E3" w14:textId="77777777" w:rsidR="003754FE" w:rsidRDefault="003754FE" w:rsidP="003754FE">
      <w:pPr>
        <w:pStyle w:val="TextoNormal"/>
      </w:pPr>
      <w:r>
        <w:t>La sentencia en sus distintos fundamentos jurídicos, singularmente el séptimo, declara que estas ayudas, que suponían la disposición gratuita de fondos públicas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14:paraId="61549786" w14:textId="77777777" w:rsidR="003754FE" w:rsidRDefault="003754FE" w:rsidP="003754FE">
      <w:pPr>
        <w:pStyle w:val="TextoNormal"/>
      </w:pPr>
    </w:p>
    <w:p w14:paraId="66640A88" w14:textId="77777777" w:rsidR="003754FE" w:rsidRDefault="003754FE" w:rsidP="003754FE">
      <w:pPr>
        <w:pStyle w:val="TextoNormal"/>
      </w:pPr>
      <w:r>
        <w:t>Sin perjuicio de ahondar más adelante en el régimen jurídico aplicable a estas ayudas, las notas más relevantes de esta regulación eran las siguientes:</w:t>
      </w:r>
    </w:p>
    <w:p w14:paraId="1D56AEDA" w14:textId="77777777" w:rsidR="003754FE" w:rsidRDefault="003754FE" w:rsidP="003754FE">
      <w:pPr>
        <w:pStyle w:val="TextoNormal"/>
      </w:pPr>
    </w:p>
    <w:p w14:paraId="6907118E" w14:textId="77777777" w:rsidR="003754FE" w:rsidRDefault="003754FE" w:rsidP="003754FE">
      <w:pPr>
        <w:pStyle w:val="TextoNormal"/>
      </w:pPr>
      <w:r>
        <w:t>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14:paraId="6A64B980" w14:textId="77777777" w:rsidR="003754FE" w:rsidRDefault="003754FE" w:rsidP="003754FE">
      <w:pPr>
        <w:pStyle w:val="TextoNormal"/>
      </w:pPr>
    </w:p>
    <w:p w14:paraId="279C15FB" w14:textId="77777777" w:rsidR="003754FE" w:rsidRDefault="003754FE" w:rsidP="003754FE">
      <w:pPr>
        <w:pStyle w:val="TextoNormal"/>
      </w:pPr>
      <w:r>
        <w:t>Los beneficiarios de la subvención quedaban sujetos a las siguientes obligaciones:</w:t>
      </w:r>
    </w:p>
    <w:p w14:paraId="77688EE3" w14:textId="77777777" w:rsidR="003754FE" w:rsidRDefault="003754FE" w:rsidP="003754FE">
      <w:pPr>
        <w:pStyle w:val="TextoNormal"/>
      </w:pPr>
    </w:p>
    <w:p w14:paraId="586D3321" w14:textId="77777777" w:rsidR="003754FE" w:rsidRDefault="003754FE" w:rsidP="003754FE">
      <w:pPr>
        <w:pStyle w:val="TextoNormal"/>
      </w:pPr>
      <w:r>
        <w:t>(i) Realizar la actividad o adoptar el comportamiento que fundamente la concesión de la subvención en la forma y plazos establecidos.</w:t>
      </w:r>
    </w:p>
    <w:p w14:paraId="2D46565F" w14:textId="77777777" w:rsidR="003754FE" w:rsidRDefault="003754FE" w:rsidP="003754FE">
      <w:pPr>
        <w:pStyle w:val="TextoNormal"/>
      </w:pPr>
    </w:p>
    <w:p w14:paraId="4CE3B2CC" w14:textId="77777777" w:rsidR="003754FE" w:rsidRDefault="003754FE" w:rsidP="003754FE">
      <w:pPr>
        <w:pStyle w:val="TextoNormal"/>
      </w:pPr>
      <w:r>
        <w:t>(ii) Justificar ante la entidad concedente o, en su caso, la entidad colaboradora la realización de la actividad o la adopción del comportamiento, así como el cumplimiento de los requisitos y condiciones que determinen la concesión o disfrute de la subvención.</w:t>
      </w:r>
    </w:p>
    <w:p w14:paraId="3545E337" w14:textId="77777777" w:rsidR="003754FE" w:rsidRDefault="003754FE" w:rsidP="003754FE">
      <w:pPr>
        <w:pStyle w:val="TextoNormal"/>
      </w:pPr>
    </w:p>
    <w:p w14:paraId="3E59BD5A" w14:textId="77777777" w:rsidR="003754FE" w:rsidRDefault="003754FE" w:rsidP="003754FE">
      <w:pPr>
        <w:pStyle w:val="TextoNormal"/>
      </w:pPr>
      <w:r>
        <w:t>(iii)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14:paraId="13E2630A" w14:textId="77777777" w:rsidR="003754FE" w:rsidRDefault="003754FE" w:rsidP="003754FE">
      <w:pPr>
        <w:pStyle w:val="TextoNormal"/>
      </w:pPr>
    </w:p>
    <w:p w14:paraId="0B1B24CE" w14:textId="77777777" w:rsidR="003754FE" w:rsidRDefault="003754FE" w:rsidP="003754FE">
      <w:pPr>
        <w:pStyle w:val="TextoNormal"/>
      </w:pPr>
      <w:r>
        <w:t>(iv)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14:paraId="10B56EA4" w14:textId="77777777" w:rsidR="003754FE" w:rsidRDefault="003754FE" w:rsidP="003754FE">
      <w:pPr>
        <w:pStyle w:val="TextoNormal"/>
      </w:pPr>
    </w:p>
    <w:p w14:paraId="49D0F93B" w14:textId="77777777" w:rsidR="003754FE" w:rsidRDefault="003754FE" w:rsidP="003754FE">
      <w:pPr>
        <w:pStyle w:val="TextoNormal"/>
      </w:pPr>
      <w:r>
        <w:t>(v)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14:paraId="2EB116E5" w14:textId="77777777" w:rsidR="003754FE" w:rsidRDefault="003754FE" w:rsidP="003754FE">
      <w:pPr>
        <w:pStyle w:val="TextoNormal"/>
      </w:pPr>
    </w:p>
    <w:p w14:paraId="18B1F7BA" w14:textId="77777777" w:rsidR="003754FE" w:rsidRDefault="003754FE" w:rsidP="003754FE">
      <w:pPr>
        <w:pStyle w:val="TextoNormal"/>
      </w:pPr>
      <w:r>
        <w:t xml:space="preserve">En defecto de regulación específica, los consejeros correspondientes, antes de proceder a la autorización de los créditos, debían aprobar las bases reguladoras de la concesión, </w:t>
      </w:r>
      <w:r>
        <w:lastRenderedPageBreak/>
        <w:t>fijando un plazo para la presentación de las solicitudes y de forma excepcional previamente a la autorización de los créditos, las oportunas bases reguladoras de la concesión, que habían de contener el plazo para presentar las solicitudes (artículo 107).</w:t>
      </w:r>
    </w:p>
    <w:p w14:paraId="10ADDD46" w14:textId="77777777" w:rsidR="003754FE" w:rsidRDefault="003754FE" w:rsidP="003754FE">
      <w:pPr>
        <w:pStyle w:val="TextoNormal"/>
      </w:pPr>
    </w:p>
    <w:p w14:paraId="0264BF60" w14:textId="77777777" w:rsidR="003754FE" w:rsidRDefault="003754FE" w:rsidP="003754FE">
      <w:pPr>
        <w:pStyle w:val="TextoNormal"/>
      </w:pPr>
      <w:r>
        <w:t>En las bases reguladoras se podía disponer que la entrega fuera realizada por entidades colaboradoras. Las empresas públicas de Andalucía podían ser entidades colaboradoras y también se establecía a su cargo las siguientes obligaciones:</w:t>
      </w:r>
    </w:p>
    <w:p w14:paraId="39640520" w14:textId="77777777" w:rsidR="003754FE" w:rsidRDefault="003754FE" w:rsidP="003754FE">
      <w:pPr>
        <w:pStyle w:val="TextoNormal"/>
      </w:pPr>
    </w:p>
    <w:p w14:paraId="11AE004E" w14:textId="77777777" w:rsidR="003754FE" w:rsidRDefault="003754FE" w:rsidP="003754FE">
      <w:pPr>
        <w:pStyle w:val="TextoNormal"/>
      </w:pPr>
      <w:r>
        <w:t>(i) Entregar a los beneficiarios los fondos recibidos de acuerdo con los criterios establecidos en las normas reguladoras de la subvención o ayuda.</w:t>
      </w:r>
    </w:p>
    <w:p w14:paraId="68526000" w14:textId="77777777" w:rsidR="003754FE" w:rsidRDefault="003754FE" w:rsidP="003754FE">
      <w:pPr>
        <w:pStyle w:val="TextoNormal"/>
      </w:pPr>
    </w:p>
    <w:p w14:paraId="34FF2C36" w14:textId="77777777" w:rsidR="003754FE" w:rsidRDefault="003754FE" w:rsidP="003754FE">
      <w:pPr>
        <w:pStyle w:val="TextoNormal"/>
      </w:pPr>
      <w:r>
        <w:t>(ii) Verificar, en su caso, el cumplimiento y efectividad de las condiciones determinantes para su otorgamiento.</w:t>
      </w:r>
    </w:p>
    <w:p w14:paraId="61415414" w14:textId="77777777" w:rsidR="003754FE" w:rsidRDefault="003754FE" w:rsidP="003754FE">
      <w:pPr>
        <w:pStyle w:val="TextoNormal"/>
      </w:pPr>
    </w:p>
    <w:p w14:paraId="38D95AA3" w14:textId="77777777" w:rsidR="003754FE" w:rsidRDefault="003754FE" w:rsidP="003754FE">
      <w:pPr>
        <w:pStyle w:val="TextoNormal"/>
      </w:pPr>
      <w:r>
        <w:t>(iii) Justificar la aplicación de los fondos recibidos ante la entidad concedente y, en su caso, entregar la justificación presentada por los beneficiarios.</w:t>
      </w:r>
    </w:p>
    <w:p w14:paraId="3CC80797" w14:textId="77777777" w:rsidR="003754FE" w:rsidRDefault="003754FE" w:rsidP="003754FE">
      <w:pPr>
        <w:pStyle w:val="TextoNormal"/>
      </w:pPr>
    </w:p>
    <w:p w14:paraId="73E72779" w14:textId="77777777" w:rsidR="003754FE" w:rsidRDefault="003754FE" w:rsidP="003754FE">
      <w:pPr>
        <w:pStyle w:val="TextoNormal"/>
      </w:pPr>
      <w:r>
        <w:t>(iv)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14:paraId="561B8B30" w14:textId="77777777" w:rsidR="003754FE" w:rsidRDefault="003754FE" w:rsidP="003754FE">
      <w:pPr>
        <w:pStyle w:val="TextoNormal"/>
      </w:pPr>
    </w:p>
    <w:p w14:paraId="7B56DE90" w14:textId="77777777" w:rsidR="003754FE" w:rsidRDefault="003754FE" w:rsidP="003754FE">
      <w:pPr>
        <w:pStyle w:val="TextoNormal"/>
      </w:pPr>
      <w:r>
        <w:t>(v) Colaborar en la restitución de las subvenciones otorgadas en los supuestos en que concurra causa de reintegro, y conforme a las normas que se establezcan (artículo 106).</w:t>
      </w:r>
    </w:p>
    <w:p w14:paraId="32D4165C" w14:textId="77777777" w:rsidR="003754FE" w:rsidRDefault="003754FE" w:rsidP="003754FE">
      <w:pPr>
        <w:pStyle w:val="TextoNormal"/>
      </w:pPr>
    </w:p>
    <w:p w14:paraId="1C1E5CD7" w14:textId="77777777" w:rsidR="003754FE" w:rsidRDefault="003754FE" w:rsidP="003754FE">
      <w:pPr>
        <w:pStyle w:val="TextoNormal"/>
      </w:pPr>
      <w:r>
        <w:t>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14:paraId="485AB251" w14:textId="77777777" w:rsidR="003754FE" w:rsidRDefault="003754FE" w:rsidP="003754FE">
      <w:pPr>
        <w:pStyle w:val="TextoNormal"/>
      </w:pPr>
    </w:p>
    <w:p w14:paraId="59F2FBAB" w14:textId="77777777" w:rsidR="003754FE" w:rsidRDefault="003754FE" w:rsidP="003754FE">
      <w:pPr>
        <w:pStyle w:val="TextoNormal"/>
      </w:pPr>
      <w:r>
        <w:t>Los proyectos de normas reguladoras de la concesión de subvenciones debían ser sometidos a informe de la Intervención General de la Junta de Andalucía, antes de su aprobación, y publicados en el ‘Boletín Oficial de la Juntad de Andalucía’ (artículo 107).</w:t>
      </w:r>
    </w:p>
    <w:p w14:paraId="78FDB718" w14:textId="77777777" w:rsidR="003754FE" w:rsidRDefault="003754FE" w:rsidP="003754FE">
      <w:pPr>
        <w:pStyle w:val="TextoNormal"/>
      </w:pPr>
    </w:p>
    <w:p w14:paraId="131496A4" w14:textId="77777777" w:rsidR="003754FE" w:rsidRDefault="003754FE" w:rsidP="003754FE">
      <w:pPr>
        <w:pStyle w:val="TextoNormal"/>
      </w:pPr>
      <w:r>
        <w:t>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 también sometida a seguimiento y control posterior, conforme a lo previsto en el artículo</w:t>
      </w:r>
      <w:r w:rsidRPr="003754FE">
        <w:rPr>
          <w:i/>
        </w:rPr>
        <w:t xml:space="preserve"> 85</w:t>
      </w:r>
      <w:r>
        <w:t xml:space="preserve"> bis de la citada ley.</w:t>
      </w:r>
    </w:p>
    <w:p w14:paraId="1972CB98" w14:textId="77777777" w:rsidR="003754FE" w:rsidRDefault="003754FE" w:rsidP="003754FE">
      <w:pPr>
        <w:pStyle w:val="TextoNormal"/>
      </w:pPr>
    </w:p>
    <w:p w14:paraId="6E602E38" w14:textId="77777777" w:rsidR="003754FE" w:rsidRDefault="003754FE" w:rsidP="003754FE">
      <w:pPr>
        <w:pStyle w:val="TextoNormal"/>
      </w:pPr>
      <w:r>
        <w:t>II) Segunda etapa</w:t>
      </w:r>
    </w:p>
    <w:p w14:paraId="17625646" w14:textId="77777777" w:rsidR="003754FE" w:rsidRDefault="003754FE" w:rsidP="003754FE">
      <w:pPr>
        <w:pStyle w:val="TextoNormal"/>
      </w:pPr>
    </w:p>
    <w:p w14:paraId="7B0F0423" w14:textId="77777777" w:rsidR="003754FE" w:rsidRDefault="003754FE" w:rsidP="003754FE">
      <w:pPr>
        <w:pStyle w:val="TextoNormal"/>
      </w:pPr>
      <w:r>
        <w:t>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14:paraId="5707B003" w14:textId="77777777" w:rsidR="003754FE" w:rsidRDefault="003754FE" w:rsidP="003754FE">
      <w:pPr>
        <w:pStyle w:val="TextoNormal"/>
      </w:pPr>
    </w:p>
    <w:p w14:paraId="3AA16E9D" w14:textId="77777777" w:rsidR="003754FE" w:rsidRDefault="003754FE" w:rsidP="003754FE">
      <w:pPr>
        <w:pStyle w:val="TextoNormal"/>
      </w:pPr>
      <w:r>
        <w:lastRenderedPageBreak/>
        <w:t>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14:paraId="24A0B7CF" w14:textId="77777777" w:rsidR="003754FE" w:rsidRDefault="003754FE" w:rsidP="003754FE">
      <w:pPr>
        <w:pStyle w:val="TextoNormal"/>
      </w:pPr>
    </w:p>
    <w:p w14:paraId="376548CF" w14:textId="77777777" w:rsidR="003754FE" w:rsidRDefault="003754FE" w:rsidP="003754FE">
      <w:pPr>
        <w:pStyle w:val="TextoNormal"/>
      </w:pPr>
      <w:r>
        <w:t>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14:paraId="78D2F744" w14:textId="77777777" w:rsidR="003754FE" w:rsidRDefault="003754FE" w:rsidP="003754FE">
      <w:pPr>
        <w:pStyle w:val="TextoNormal"/>
      </w:pPr>
    </w:p>
    <w:p w14:paraId="77580527" w14:textId="77777777" w:rsidR="003754FE" w:rsidRDefault="003754FE" w:rsidP="003754FE">
      <w:pPr>
        <w:pStyle w:val="TextoNormal"/>
      </w:pPr>
      <w:r>
        <w:t>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(IGE).</w:t>
      </w:r>
    </w:p>
    <w:p w14:paraId="2432DCE7" w14:textId="77777777" w:rsidR="003754FE" w:rsidRDefault="003754FE" w:rsidP="003754FE">
      <w:pPr>
        <w:pStyle w:val="TextoNormal"/>
      </w:pPr>
    </w:p>
    <w:p w14:paraId="264B39A5" w14:textId="77777777" w:rsidR="003754FE" w:rsidRDefault="003754FE" w:rsidP="003754FE">
      <w:pPr>
        <w:pStyle w:val="TextoNormal"/>
      </w:pPr>
      <w:r>
        <w:t>Ante las dificultades surgidas, en abril de 2000 se procedió a una modificación presupuestaria, bajo la iniciativa de la Consejería de Empleo. Se modificó la clasificación económica del gasto.</w:t>
      </w:r>
    </w:p>
    <w:p w14:paraId="29E253B2" w14:textId="77777777" w:rsidR="003754FE" w:rsidRDefault="003754FE" w:rsidP="003754FE">
      <w:pPr>
        <w:pStyle w:val="TextoNormal"/>
      </w:pPr>
    </w:p>
    <w:p w14:paraId="5335C84C" w14:textId="77777777" w:rsidR="003754FE" w:rsidRDefault="003754FE" w:rsidP="003754FE">
      <w:pPr>
        <w:pStyle w:val="TextoNormal"/>
      </w:pPr>
      <w:r>
        <w:t>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14:paraId="513A97A7" w14:textId="77777777" w:rsidR="003754FE" w:rsidRDefault="003754FE" w:rsidP="003754FE">
      <w:pPr>
        <w:pStyle w:val="TextoNormal"/>
      </w:pPr>
    </w:p>
    <w:p w14:paraId="49AE3C67" w14:textId="77777777" w:rsidR="003754FE" w:rsidRDefault="003754FE" w:rsidP="003754FE">
      <w:pPr>
        <w:pStyle w:val="TextoNormal"/>
      </w:pPr>
      <w:r>
        <w:t>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14:paraId="665AE182" w14:textId="77777777" w:rsidR="003754FE" w:rsidRDefault="003754FE" w:rsidP="003754FE">
      <w:pPr>
        <w:pStyle w:val="TextoNormal"/>
      </w:pPr>
    </w:p>
    <w:p w14:paraId="62BC8C95" w14:textId="77777777" w:rsidR="003754FE" w:rsidRDefault="003754FE" w:rsidP="003754FE">
      <w:pPr>
        <w:pStyle w:val="TextoNormal"/>
      </w:pPr>
      <w:r>
        <w:t>En vez de aprobar una nueva normativa o de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14:paraId="6165AEB7" w14:textId="77777777" w:rsidR="003754FE" w:rsidRDefault="003754FE" w:rsidP="003754FE">
      <w:pPr>
        <w:pStyle w:val="TextoNormal"/>
      </w:pPr>
    </w:p>
    <w:p w14:paraId="114CC499" w14:textId="77777777" w:rsidR="003754FE" w:rsidRDefault="003754FE" w:rsidP="003754FE">
      <w:pPr>
        <w:pStyle w:val="TextoNormal"/>
      </w:pPr>
      <w:r>
        <w:t xml:space="preserve">A tal fin idearon un mecanismo que, como indica el Ministerio Fiscal en su informe, era relativamente sencillo y sumamente eficaz para la finalidad perseguida. Tanto en los proyectos de presupuestos como en las distintas modificaciones presupuestaria aprobadas </w:t>
      </w:r>
      <w:r>
        <w:lastRenderedPageBreak/>
        <w:t>durante siete años, cambiaron la clasificación presupuestaria que se venía haciendo, incluyendo las ayudas sociolaborales en la partida de ‘Transferencia de financiación al IFA’.</w:t>
      </w:r>
    </w:p>
    <w:p w14:paraId="3ECF32E6" w14:textId="77777777" w:rsidR="003754FE" w:rsidRDefault="003754FE" w:rsidP="003754FE">
      <w:pPr>
        <w:pStyle w:val="TextoNormal"/>
      </w:pPr>
    </w:p>
    <w:p w14:paraId="202AA674" w14:textId="77777777" w:rsidR="003754FE" w:rsidRDefault="003754FE" w:rsidP="003754FE">
      <w:pPr>
        <w:pStyle w:val="TextoNormal"/>
      </w:pPr>
      <w:r>
        <w:t>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w:t>
      </w:r>
      <w:r w:rsidRPr="003754FE">
        <w:rPr>
          <w:i/>
        </w:rPr>
        <w:t>o a posterio</w:t>
      </w:r>
      <w:r>
        <w:t>ri.</w:t>
      </w:r>
    </w:p>
    <w:p w14:paraId="09593B1A" w14:textId="77777777" w:rsidR="003754FE" w:rsidRDefault="003754FE" w:rsidP="003754FE">
      <w:pPr>
        <w:pStyle w:val="TextoNormal"/>
      </w:pPr>
    </w:p>
    <w:p w14:paraId="6D39D4F3" w14:textId="77777777" w:rsidR="003754FE" w:rsidRDefault="003754FE" w:rsidP="003754FE">
      <w:pPr>
        <w:pStyle w:val="TextoNormal"/>
      </w:pPr>
      <w:r>
        <w:t>En efecto, el expediente de las transferencias de financiación no precisa la identificación de los destinatarios de las ayudas. Únicamente requiere consignar:</w:t>
      </w:r>
    </w:p>
    <w:p w14:paraId="70196941" w14:textId="77777777" w:rsidR="003754FE" w:rsidRDefault="003754FE" w:rsidP="003754FE">
      <w:pPr>
        <w:pStyle w:val="TextoNormal"/>
      </w:pPr>
    </w:p>
    <w:p w14:paraId="6F8AE288" w14:textId="77777777" w:rsidR="003754FE" w:rsidRDefault="003754FE" w:rsidP="003754FE">
      <w:pPr>
        <w:pStyle w:val="TextoNormal"/>
      </w:pPr>
      <w:r>
        <w:t>(i) La propuesta de resolución del órgano competente autorizando la transferencia;</w:t>
      </w:r>
    </w:p>
    <w:p w14:paraId="21B02E1D" w14:textId="77777777" w:rsidR="003754FE" w:rsidRDefault="003754FE" w:rsidP="003754FE">
      <w:pPr>
        <w:pStyle w:val="TextoNormal"/>
      </w:pPr>
    </w:p>
    <w:p w14:paraId="51AF4379" w14:textId="77777777" w:rsidR="003754FE" w:rsidRDefault="003754FE" w:rsidP="003754FE">
      <w:pPr>
        <w:pStyle w:val="TextoNormal"/>
      </w:pPr>
      <w:r>
        <w:t>(ii) el calendario de pagos aprobado por la Dirección General de Tesorería;</w:t>
      </w:r>
    </w:p>
    <w:p w14:paraId="149E5851" w14:textId="77777777" w:rsidR="003754FE" w:rsidRDefault="003754FE" w:rsidP="003754FE">
      <w:pPr>
        <w:pStyle w:val="TextoNormal"/>
      </w:pPr>
    </w:p>
    <w:p w14:paraId="662FA27F" w14:textId="77777777" w:rsidR="003754FE" w:rsidRDefault="003754FE" w:rsidP="003754FE">
      <w:pPr>
        <w:pStyle w:val="TextoNormal"/>
      </w:pPr>
      <w:r>
        <w:t>(iii) los documentos contables acreditativos de la consignación presupuestaria y el programa de actuación (PAIF) publicado en el ‘BOJA’ por orden de la Consejería de Hacienda.</w:t>
      </w:r>
    </w:p>
    <w:p w14:paraId="77ED77CE" w14:textId="77777777" w:rsidR="003754FE" w:rsidRDefault="003754FE" w:rsidP="003754FE">
      <w:pPr>
        <w:pStyle w:val="TextoNormal"/>
      </w:pPr>
    </w:p>
    <w:p w14:paraId="4E8C3905" w14:textId="77777777" w:rsidR="003754FE" w:rsidRDefault="003754FE" w:rsidP="003754FE">
      <w:pPr>
        <w:pStyle w:val="TextoNormal"/>
      </w:pPr>
      <w:r>
        <w:t>Y en la fiscalización posterior de la actividad del IFA, realizada a través del llamado ‘control financiero permanente’, conforme a lo previsto en el […] Decreto 9/1999, de 19 de enero, únicamente tenía un triple objetivo:</w:t>
      </w:r>
    </w:p>
    <w:p w14:paraId="2D0E73CD" w14:textId="77777777" w:rsidR="003754FE" w:rsidRDefault="003754FE" w:rsidP="003754FE">
      <w:pPr>
        <w:pStyle w:val="TextoNormal"/>
      </w:pPr>
    </w:p>
    <w:p w14:paraId="4577162C" w14:textId="77777777" w:rsidR="003754FE" w:rsidRDefault="003754FE" w:rsidP="003754FE">
      <w:pPr>
        <w:pStyle w:val="TextoNormal"/>
      </w:pPr>
      <w:r>
        <w:t>(i) comprobar el cumplimiento de la legalidad;</w:t>
      </w:r>
    </w:p>
    <w:p w14:paraId="33144B16" w14:textId="77777777" w:rsidR="003754FE" w:rsidRDefault="003754FE" w:rsidP="003754FE">
      <w:pPr>
        <w:pStyle w:val="TextoNormal"/>
      </w:pPr>
    </w:p>
    <w:p w14:paraId="5D94768E" w14:textId="77777777" w:rsidR="003754FE" w:rsidRDefault="003754FE" w:rsidP="003754FE">
      <w:pPr>
        <w:pStyle w:val="TextoNormal"/>
      </w:pPr>
      <w:r>
        <w:t>(ii) examinar las cuentas anuales y</w:t>
      </w:r>
    </w:p>
    <w:p w14:paraId="26E6C0F6" w14:textId="77777777" w:rsidR="003754FE" w:rsidRDefault="003754FE" w:rsidP="003754FE">
      <w:pPr>
        <w:pStyle w:val="TextoNormal"/>
      </w:pPr>
    </w:p>
    <w:p w14:paraId="591A4441" w14:textId="77777777" w:rsidR="003754FE" w:rsidRDefault="003754FE" w:rsidP="003754FE">
      <w:pPr>
        <w:pStyle w:val="TextoNormal"/>
      </w:pPr>
      <w:r>
        <w:t>(iii) examinar críticamente la gestión de los programas asignados al Instituto. Este control no tenía utilidad alguna para conocer el destino de las subvenciones, dado que se limitaba al control de la transferencia.</w:t>
      </w:r>
    </w:p>
    <w:p w14:paraId="626274E1" w14:textId="77777777" w:rsidR="003754FE" w:rsidRDefault="003754FE" w:rsidP="003754FE">
      <w:pPr>
        <w:pStyle w:val="TextoNormal"/>
      </w:pPr>
    </w:p>
    <w:p w14:paraId="45C3D0E4" w14:textId="77777777" w:rsidR="003754FE" w:rsidRDefault="003754FE" w:rsidP="003754FE">
      <w:pPr>
        <w:pStyle w:val="TextoNormal"/>
      </w:pPr>
      <w:r>
        <w:t>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14:paraId="7F771AE4" w14:textId="77777777" w:rsidR="003754FE" w:rsidRDefault="003754FE" w:rsidP="003754FE">
      <w:pPr>
        <w:pStyle w:val="TextoNormal"/>
      </w:pPr>
    </w:p>
    <w:p w14:paraId="6106F1BE" w14:textId="77777777" w:rsidR="003754FE" w:rsidRDefault="003754FE" w:rsidP="003754FE">
      <w:pPr>
        <w:pStyle w:val="TextoNormal"/>
      </w:pPr>
      <w:r>
        <w:t>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14:paraId="3ABF7BCF" w14:textId="77777777" w:rsidR="003754FE" w:rsidRDefault="003754FE" w:rsidP="003754FE">
      <w:pPr>
        <w:pStyle w:val="TextoNormal"/>
      </w:pPr>
    </w:p>
    <w:p w14:paraId="3CAC48DB" w14:textId="77777777" w:rsidR="003754FE" w:rsidRDefault="003754FE" w:rsidP="003754FE">
      <w:pPr>
        <w:pStyle w:val="TextoNormal"/>
      </w:pPr>
      <w:r>
        <w:lastRenderedPageBreak/>
        <w:t>El convenio marco no fue publicado en el ‘BOJA’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14:paraId="4E11A6C5" w14:textId="77777777" w:rsidR="003754FE" w:rsidRDefault="003754FE" w:rsidP="003754FE">
      <w:pPr>
        <w:pStyle w:val="TextoNormal"/>
      </w:pPr>
    </w:p>
    <w:p w14:paraId="3D956115" w14:textId="77777777" w:rsidR="003754FE" w:rsidRDefault="003754FE" w:rsidP="003754FE">
      <w:pPr>
        <w:pStyle w:val="TextoNormal"/>
      </w:pPr>
      <w:r>
        <w:t>A partir de 2002 y hasta el año 2009, con la finalidad de evitar todo control y con conciencia de los incumplimientos ya reseñados, se procedió a elaborar y aprobar los proyectos de ley de presupuestos en los que se incluía la partida ‘Transferencias al IFA en materia de relaciones laborales’ en el nuevo programa 31L, que sustituía al 22E.</w:t>
      </w:r>
    </w:p>
    <w:p w14:paraId="534C86A4" w14:textId="77777777" w:rsidR="003754FE" w:rsidRDefault="003754FE" w:rsidP="003754FE">
      <w:pPr>
        <w:pStyle w:val="TextoNormal"/>
      </w:pPr>
    </w:p>
    <w:p w14:paraId="68E34724" w14:textId="77777777" w:rsidR="003754FE" w:rsidRDefault="003754FE" w:rsidP="003754FE">
      <w:pPr>
        <w:pStyle w:val="TextoNormal"/>
      </w:pPr>
      <w:r>
        <w:t>Por tanto, utilizando el criterio de presupuestación a que antes nos hemos referido se incluyeron las siguientes partidas presupuestarias:</w:t>
      </w:r>
    </w:p>
    <w:p w14:paraId="4743B2A0" w14:textId="77777777" w:rsidR="003754FE" w:rsidRDefault="003754FE" w:rsidP="003754FE">
      <w:pPr>
        <w:pStyle w:val="TextoNormal"/>
      </w:pPr>
    </w:p>
    <w:p w14:paraId="2CB72FEB" w14:textId="77777777" w:rsidR="003754FE" w:rsidRDefault="003754FE" w:rsidP="003754FE">
      <w:pPr>
        <w:pStyle w:val="TextoNormal"/>
      </w:pPr>
      <w:r>
        <w:t>- En 2002: 34 341 351 €.</w:t>
      </w:r>
    </w:p>
    <w:p w14:paraId="0858C023" w14:textId="77777777" w:rsidR="003754FE" w:rsidRDefault="003754FE" w:rsidP="003754FE">
      <w:pPr>
        <w:pStyle w:val="TextoNormal"/>
      </w:pPr>
    </w:p>
    <w:p w14:paraId="478716AA" w14:textId="77777777" w:rsidR="003754FE" w:rsidRDefault="003754FE" w:rsidP="003754FE">
      <w:pPr>
        <w:pStyle w:val="TextoNormal"/>
      </w:pPr>
      <w:r>
        <w:t>- En 2003: 55 646 899 €.</w:t>
      </w:r>
    </w:p>
    <w:p w14:paraId="7950CDFD" w14:textId="77777777" w:rsidR="003754FE" w:rsidRDefault="003754FE" w:rsidP="003754FE">
      <w:pPr>
        <w:pStyle w:val="TextoNormal"/>
      </w:pPr>
    </w:p>
    <w:p w14:paraId="653BAB1C" w14:textId="77777777" w:rsidR="003754FE" w:rsidRDefault="003754FE" w:rsidP="003754FE">
      <w:pPr>
        <w:pStyle w:val="TextoNormal"/>
      </w:pPr>
      <w:r>
        <w:t>- En 2004: 46 146 389 €. [En este ejercicio el IFA cambió su denominación por Agencia de Innovación y Desarrollo de Andalucía (IDEA) y pasó a estar adscrito a la Consejería de Innovación, Ciencia y Empresa].</w:t>
      </w:r>
    </w:p>
    <w:p w14:paraId="180A6DA6" w14:textId="77777777" w:rsidR="003754FE" w:rsidRDefault="003754FE" w:rsidP="003754FE">
      <w:pPr>
        <w:pStyle w:val="TextoNormal"/>
      </w:pPr>
    </w:p>
    <w:p w14:paraId="74DAFD54" w14:textId="77777777" w:rsidR="003754FE" w:rsidRDefault="003754FE" w:rsidP="003754FE">
      <w:pPr>
        <w:pStyle w:val="TextoNormal"/>
      </w:pPr>
      <w:r>
        <w:t>- En 2005: 72 261 575 €.</w:t>
      </w:r>
    </w:p>
    <w:p w14:paraId="6F12ABEE" w14:textId="77777777" w:rsidR="003754FE" w:rsidRDefault="003754FE" w:rsidP="003754FE">
      <w:pPr>
        <w:pStyle w:val="TextoNormal"/>
      </w:pPr>
    </w:p>
    <w:p w14:paraId="214738E4" w14:textId="77777777" w:rsidR="003754FE" w:rsidRDefault="003754FE" w:rsidP="003754FE">
      <w:pPr>
        <w:pStyle w:val="TextoNormal"/>
      </w:pPr>
      <w:r>
        <w:t>- En 2006: 77 291 000 €.</w:t>
      </w:r>
    </w:p>
    <w:p w14:paraId="6D226255" w14:textId="77777777" w:rsidR="003754FE" w:rsidRDefault="003754FE" w:rsidP="003754FE">
      <w:pPr>
        <w:pStyle w:val="TextoNormal"/>
      </w:pPr>
    </w:p>
    <w:p w14:paraId="755D978C" w14:textId="77777777" w:rsidR="003754FE" w:rsidRDefault="003754FE" w:rsidP="003754FE">
      <w:pPr>
        <w:pStyle w:val="TextoNormal"/>
      </w:pPr>
      <w:r>
        <w:t>- En 2007: 79 207 500 €.</w:t>
      </w:r>
    </w:p>
    <w:p w14:paraId="668F38F0" w14:textId="77777777" w:rsidR="003754FE" w:rsidRDefault="003754FE" w:rsidP="003754FE">
      <w:pPr>
        <w:pStyle w:val="TextoNormal"/>
      </w:pPr>
    </w:p>
    <w:p w14:paraId="49803657" w14:textId="77777777" w:rsidR="003754FE" w:rsidRDefault="003754FE" w:rsidP="003754FE">
      <w:pPr>
        <w:pStyle w:val="TextoNormal"/>
      </w:pPr>
      <w:r>
        <w:t>- En 2008: 87 478 495 €.</w:t>
      </w:r>
    </w:p>
    <w:p w14:paraId="71193718" w14:textId="77777777" w:rsidR="003754FE" w:rsidRDefault="003754FE" w:rsidP="003754FE">
      <w:pPr>
        <w:pStyle w:val="TextoNormal"/>
      </w:pPr>
    </w:p>
    <w:p w14:paraId="1B3DEF58" w14:textId="77777777" w:rsidR="003754FE" w:rsidRDefault="003754FE" w:rsidP="003754FE">
      <w:pPr>
        <w:pStyle w:val="TextoNormal"/>
      </w:pPr>
      <w:r>
        <w:t>Además de estas partidas, durante los distintos ejercicios se aprobaron modificaciones presupuestarias, que incrementaron el flujo de dinero que gestionaba el IFA/IDEA y que recibía como transferencia de financiación.</w:t>
      </w:r>
    </w:p>
    <w:p w14:paraId="3C83FFF8" w14:textId="77777777" w:rsidR="003754FE" w:rsidRDefault="003754FE" w:rsidP="003754FE">
      <w:pPr>
        <w:pStyle w:val="TextoNormal"/>
      </w:pPr>
    </w:p>
    <w:p w14:paraId="219CC606" w14:textId="77777777" w:rsidR="003754FE" w:rsidRDefault="003754FE" w:rsidP="003754FE">
      <w:pPr>
        <w:pStyle w:val="TextoNormal"/>
      </w:pPr>
      <w:r>
        <w:t>Las modificaciones presupuestarias fueron las siguientes:</w:t>
      </w:r>
    </w:p>
    <w:p w14:paraId="51B896B1" w14:textId="77777777" w:rsidR="003754FE" w:rsidRDefault="003754FE" w:rsidP="003754FE">
      <w:pPr>
        <w:pStyle w:val="TextoNormal"/>
      </w:pPr>
    </w:p>
    <w:p w14:paraId="2C6E2FB1" w14:textId="77777777" w:rsidR="003754FE" w:rsidRDefault="003754FE" w:rsidP="003754FE">
      <w:pPr>
        <w:pStyle w:val="TextoNormal"/>
      </w:pPr>
      <w:r>
        <w:t>- Modificación de 15 de octubre de 2002, por importe de 9 944 099 €.</w:t>
      </w:r>
    </w:p>
    <w:p w14:paraId="17E256C9" w14:textId="77777777" w:rsidR="003754FE" w:rsidRDefault="003754FE" w:rsidP="003754FE">
      <w:pPr>
        <w:pStyle w:val="TextoNormal"/>
      </w:pPr>
    </w:p>
    <w:p w14:paraId="5B2171E2" w14:textId="77777777" w:rsidR="003754FE" w:rsidRDefault="003754FE" w:rsidP="003754FE">
      <w:pPr>
        <w:pStyle w:val="TextoNormal"/>
      </w:pPr>
      <w:r>
        <w:t>- Modificación de 21 de octubre de 2002, por importe de 22 253 204,17 €.</w:t>
      </w:r>
    </w:p>
    <w:p w14:paraId="77ABBB97" w14:textId="77777777" w:rsidR="003754FE" w:rsidRDefault="003754FE" w:rsidP="003754FE">
      <w:pPr>
        <w:pStyle w:val="TextoNormal"/>
      </w:pPr>
    </w:p>
    <w:p w14:paraId="6E1DB138" w14:textId="77777777" w:rsidR="003754FE" w:rsidRDefault="003754FE" w:rsidP="003754FE">
      <w:pPr>
        <w:pStyle w:val="TextoNormal"/>
      </w:pPr>
      <w:r>
        <w:t>- Modificación de 7 de diciembre de 2005, por importe de 799 895,97 €.</w:t>
      </w:r>
    </w:p>
    <w:p w14:paraId="0E7173E6" w14:textId="77777777" w:rsidR="003754FE" w:rsidRDefault="003754FE" w:rsidP="003754FE">
      <w:pPr>
        <w:pStyle w:val="TextoNormal"/>
      </w:pPr>
    </w:p>
    <w:p w14:paraId="64AEEA7F" w14:textId="77777777" w:rsidR="003754FE" w:rsidRDefault="003754FE" w:rsidP="003754FE">
      <w:pPr>
        <w:pStyle w:val="TextoNormal"/>
      </w:pPr>
      <w:r>
        <w:t>- Modificación de 7 de noviembre de 2006, por importe de 9 300 000 €.</w:t>
      </w:r>
    </w:p>
    <w:p w14:paraId="775E9E53" w14:textId="77777777" w:rsidR="003754FE" w:rsidRDefault="003754FE" w:rsidP="003754FE">
      <w:pPr>
        <w:pStyle w:val="TextoNormal"/>
      </w:pPr>
    </w:p>
    <w:p w14:paraId="3007D176" w14:textId="77777777" w:rsidR="003754FE" w:rsidRDefault="003754FE" w:rsidP="003754FE">
      <w:pPr>
        <w:pStyle w:val="TextoNormal"/>
      </w:pPr>
      <w:r>
        <w:t>- Modificación de 27 de noviembre de 2007, por importe de 7 448 503,44 €.</w:t>
      </w:r>
    </w:p>
    <w:p w14:paraId="6319C963" w14:textId="77777777" w:rsidR="003754FE" w:rsidRDefault="003754FE" w:rsidP="003754FE">
      <w:pPr>
        <w:pStyle w:val="TextoNormal"/>
      </w:pPr>
    </w:p>
    <w:p w14:paraId="3815AEB8" w14:textId="77777777" w:rsidR="003754FE" w:rsidRDefault="003754FE" w:rsidP="003754FE">
      <w:pPr>
        <w:pStyle w:val="TextoNormal"/>
      </w:pPr>
      <w:r>
        <w:t>- Modificación de 22 de diciembre de 2008, por importe de 1 253 853,89 €.</w:t>
      </w:r>
    </w:p>
    <w:p w14:paraId="55E0FF2B" w14:textId="77777777" w:rsidR="003754FE" w:rsidRDefault="003754FE" w:rsidP="003754FE">
      <w:pPr>
        <w:pStyle w:val="TextoNormal"/>
      </w:pPr>
    </w:p>
    <w:p w14:paraId="18D4DA8D" w14:textId="77777777" w:rsidR="003754FE" w:rsidRDefault="003754FE" w:rsidP="003754FE">
      <w:pPr>
        <w:pStyle w:val="TextoNormal"/>
      </w:pPr>
      <w:r>
        <w:t>- Modificación de 22 de diciembre de 2008, por importe de 6 011 836,20 €.</w:t>
      </w:r>
    </w:p>
    <w:p w14:paraId="47CF5D9E" w14:textId="77777777" w:rsidR="003754FE" w:rsidRDefault="003754FE" w:rsidP="003754FE">
      <w:pPr>
        <w:pStyle w:val="TextoNormal"/>
      </w:pPr>
    </w:p>
    <w:p w14:paraId="429E4626" w14:textId="77777777" w:rsidR="003754FE" w:rsidRDefault="003754FE" w:rsidP="003754FE">
      <w:pPr>
        <w:pStyle w:val="TextoNormal"/>
      </w:pPr>
      <w:r>
        <w:t>- Modificación de 22 de diciembre de 2008, por importe de 8 000 000 €.</w:t>
      </w:r>
    </w:p>
    <w:p w14:paraId="11941658" w14:textId="77777777" w:rsidR="003754FE" w:rsidRDefault="003754FE" w:rsidP="003754FE">
      <w:pPr>
        <w:pStyle w:val="TextoNormal"/>
      </w:pPr>
    </w:p>
    <w:p w14:paraId="73C95F68" w14:textId="77777777" w:rsidR="003754FE" w:rsidRDefault="003754FE" w:rsidP="003754FE">
      <w:pPr>
        <w:pStyle w:val="TextoNormal"/>
      </w:pPr>
      <w:r>
        <w:t>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14:paraId="27C62F29" w14:textId="77777777" w:rsidR="003754FE" w:rsidRDefault="003754FE" w:rsidP="003754FE">
      <w:pPr>
        <w:pStyle w:val="TextoNormal"/>
      </w:pPr>
    </w:p>
    <w:p w14:paraId="624779F8" w14:textId="77777777" w:rsidR="003754FE" w:rsidRDefault="003754FE" w:rsidP="003754FE">
      <w:pPr>
        <w:pStyle w:val="TextoNormal"/>
      </w:pPr>
      <w:r>
        <w:t>Según han puesto de relieve distintos informes y resoluciones judiciales y administrativas, como consecuencia de todo lo anterior, las irregularidades más significativas en la concesión de las ayudas (sin hacer una enumeración exhaustiva) han sido las siguientes:</w:t>
      </w:r>
    </w:p>
    <w:p w14:paraId="234B606E" w14:textId="77777777" w:rsidR="003754FE" w:rsidRDefault="003754FE" w:rsidP="003754FE">
      <w:pPr>
        <w:pStyle w:val="TextoNormal"/>
      </w:pPr>
    </w:p>
    <w:p w14:paraId="4A1B5B2E" w14:textId="77777777" w:rsidR="003754FE" w:rsidRDefault="003754FE" w:rsidP="003754FE">
      <w:pPr>
        <w:pStyle w:val="TextoNormal"/>
      </w:pPr>
      <w:r>
        <w:t>- En muchos casos no ha existido expediente de concesión de la ayuda.</w:t>
      </w:r>
    </w:p>
    <w:p w14:paraId="27F19776" w14:textId="77777777" w:rsidR="003754FE" w:rsidRDefault="003754FE" w:rsidP="003754FE">
      <w:pPr>
        <w:pStyle w:val="TextoNormal"/>
      </w:pPr>
    </w:p>
    <w:p w14:paraId="5FB0E764" w14:textId="77777777" w:rsidR="003754FE" w:rsidRDefault="003754FE" w:rsidP="003754FE">
      <w:pPr>
        <w:pStyle w:val="TextoNormal"/>
      </w:pPr>
      <w:r>
        <w:t>- El director general de Trabajo y Seguridad Social no tiene delegadas competencias para la concesión de subvenciones excepcionales.</w:t>
      </w:r>
    </w:p>
    <w:p w14:paraId="2C27D780" w14:textId="77777777" w:rsidR="003754FE" w:rsidRDefault="003754FE" w:rsidP="003754FE">
      <w:pPr>
        <w:pStyle w:val="TextoNormal"/>
      </w:pPr>
    </w:p>
    <w:p w14:paraId="1D3C84E6" w14:textId="77777777" w:rsidR="003754FE" w:rsidRDefault="003754FE" w:rsidP="003754FE">
      <w:pPr>
        <w:pStyle w:val="TextoNormal"/>
      </w:pPr>
      <w:r>
        <w:t>- No consta que se haya dado publicidad a la concesión de las ayudas (artículo 109 LGHPA).</w:t>
      </w:r>
    </w:p>
    <w:p w14:paraId="1A33DFF3" w14:textId="77777777" w:rsidR="003754FE" w:rsidRDefault="003754FE" w:rsidP="003754FE">
      <w:pPr>
        <w:pStyle w:val="TextoNormal"/>
      </w:pPr>
    </w:p>
    <w:p w14:paraId="096992B9" w14:textId="77777777" w:rsidR="003754FE" w:rsidRDefault="003754FE" w:rsidP="003754FE">
      <w:pPr>
        <w:pStyle w:val="TextoNormal"/>
      </w:pPr>
      <w:r>
        <w:t>- Se ha omitido la fiscalización previa.</w:t>
      </w:r>
    </w:p>
    <w:p w14:paraId="3CCAFAE4" w14:textId="77777777" w:rsidR="003754FE" w:rsidRDefault="003754FE" w:rsidP="003754FE">
      <w:pPr>
        <w:pStyle w:val="TextoNormal"/>
      </w:pPr>
    </w:p>
    <w:p w14:paraId="12220B87" w14:textId="77777777" w:rsidR="003754FE" w:rsidRDefault="003754FE" w:rsidP="003754FE">
      <w:pPr>
        <w:pStyle w:val="TextoNormal"/>
      </w:pPr>
      <w:r>
        <w:t>- No consta autorización de la concesión de la subvención por el Consejo de Gobierno por razón de la cuantía.</w:t>
      </w:r>
    </w:p>
    <w:p w14:paraId="6FD15BA1" w14:textId="77777777" w:rsidR="003754FE" w:rsidRDefault="003754FE" w:rsidP="003754FE">
      <w:pPr>
        <w:pStyle w:val="TextoNormal"/>
      </w:pPr>
    </w:p>
    <w:p w14:paraId="3585B40B" w14:textId="77777777" w:rsidR="003754FE" w:rsidRDefault="003754FE" w:rsidP="003754FE">
      <w:pPr>
        <w:pStyle w:val="TextoNormal"/>
      </w:pPr>
      <w:r>
        <w:t>- No se consigna la aplicación presupuestaria del gasto y su distribución plurianual, ni el presupuesto subvencionado y el porcentaje que representa la subvención sobre el presupuesto aceptado.</w:t>
      </w:r>
    </w:p>
    <w:p w14:paraId="1C85AD4C" w14:textId="77777777" w:rsidR="003754FE" w:rsidRDefault="003754FE" w:rsidP="003754FE">
      <w:pPr>
        <w:pStyle w:val="TextoNormal"/>
      </w:pPr>
    </w:p>
    <w:p w14:paraId="4F969689" w14:textId="77777777" w:rsidR="003754FE" w:rsidRDefault="003754FE" w:rsidP="003754FE">
      <w:pPr>
        <w:pStyle w:val="TextoNormal"/>
      </w:pPr>
      <w:r>
        <w:t>- No consta informe de la Dirección General de Asuntos Europeos y Cooperación, de la Consejería de Presidencia, sobre cumplimiento del deber de notificar a la Comisión las subvenciones concedidas a empresas.</w:t>
      </w:r>
    </w:p>
    <w:p w14:paraId="7EF79197" w14:textId="77777777" w:rsidR="003754FE" w:rsidRDefault="003754FE" w:rsidP="003754FE">
      <w:pPr>
        <w:pStyle w:val="TextoNormal"/>
      </w:pPr>
    </w:p>
    <w:p w14:paraId="4F29C693" w14:textId="77777777" w:rsidR="003754FE" w:rsidRDefault="003754FE" w:rsidP="003754FE">
      <w:pPr>
        <w:pStyle w:val="TextoNormal"/>
      </w:pPr>
      <w:r>
        <w:t>- No consta memoria explicativa de la excepcionalidad de las subvenciones, ni los requisitos que se exigen para ser beneficiario, ni se detalla la forma en que debería realizarse la justificación del cumplimiento de la finalidad para la que fue concedida la ayuda.</w:t>
      </w:r>
    </w:p>
    <w:p w14:paraId="5D4D6D41" w14:textId="77777777" w:rsidR="003754FE" w:rsidRDefault="003754FE" w:rsidP="003754FE">
      <w:pPr>
        <w:pStyle w:val="TextoNormal"/>
      </w:pPr>
    </w:p>
    <w:p w14:paraId="55AF10ED" w14:textId="77777777" w:rsidR="003754FE" w:rsidRDefault="003754FE" w:rsidP="003754FE">
      <w:pPr>
        <w:pStyle w:val="TextoNormal"/>
      </w:pPr>
      <w:r>
        <w:t>- Los convenios de colaboración por el que se han concedido las ayudas no adoptan ni la forma ni los contenidos mínimos que exige la Ley 38/2003, de 17 de noviembre.</w:t>
      </w:r>
    </w:p>
    <w:p w14:paraId="1D785183" w14:textId="77777777" w:rsidR="003754FE" w:rsidRDefault="003754FE" w:rsidP="003754FE">
      <w:pPr>
        <w:pStyle w:val="TextoNormal"/>
      </w:pPr>
    </w:p>
    <w:p w14:paraId="289CB8C1" w14:textId="77777777" w:rsidR="003754FE" w:rsidRDefault="003754FE" w:rsidP="003754FE">
      <w:pPr>
        <w:pStyle w:val="TextoNormal"/>
      </w:pPr>
      <w:r>
        <w:t>- Ni las subvenciones ni los convenios han sido publicados en el ‘Boletín Oficial de la Junta de Andalucía’, ni en la base de datos de subvenciones de la Junta de Andalucía.</w:t>
      </w:r>
    </w:p>
    <w:p w14:paraId="0A021C84" w14:textId="77777777" w:rsidR="003754FE" w:rsidRDefault="003754FE" w:rsidP="003754FE">
      <w:pPr>
        <w:pStyle w:val="TextoNormal"/>
      </w:pPr>
    </w:p>
    <w:p w14:paraId="033A8AD4" w14:textId="77777777" w:rsidR="003754FE" w:rsidRDefault="003754FE" w:rsidP="003754FE">
      <w:pPr>
        <w:pStyle w:val="TextoNormal"/>
      </w:pPr>
      <w:r>
        <w:t>- La concesión de las subvenciones no ha sido objeto de informe previo por el Gabinete Jurídico de la Junta de Andalucía.</w:t>
      </w:r>
    </w:p>
    <w:p w14:paraId="4B5CE088" w14:textId="77777777" w:rsidR="003754FE" w:rsidRDefault="003754FE" w:rsidP="003754FE">
      <w:pPr>
        <w:pStyle w:val="TextoNormal"/>
      </w:pPr>
    </w:p>
    <w:p w14:paraId="4521EFEF" w14:textId="77777777" w:rsidR="003754FE" w:rsidRDefault="003754FE" w:rsidP="003754FE">
      <w:pPr>
        <w:pStyle w:val="TextoNormal"/>
      </w:pPr>
      <w:r>
        <w:t>- No se acredita la personalidad de las entidades solicitantes, ni la de sus representantes.</w:t>
      </w:r>
    </w:p>
    <w:p w14:paraId="5B7DF08C" w14:textId="77777777" w:rsidR="003754FE" w:rsidRDefault="003754FE" w:rsidP="003754FE">
      <w:pPr>
        <w:pStyle w:val="TextoNormal"/>
      </w:pPr>
    </w:p>
    <w:p w14:paraId="26C1898F" w14:textId="77777777" w:rsidR="003754FE" w:rsidRDefault="003754FE" w:rsidP="003754FE">
      <w:pPr>
        <w:pStyle w:val="TextoNormal"/>
      </w:pPr>
      <w:r>
        <w:t>- No se aporta informe o memoria acreditativa de la finalidad pública, o razones de interés social o económico, en la concesión.</w:t>
      </w:r>
    </w:p>
    <w:p w14:paraId="1187F27C" w14:textId="77777777" w:rsidR="003754FE" w:rsidRDefault="003754FE" w:rsidP="003754FE">
      <w:pPr>
        <w:pStyle w:val="TextoNormal"/>
      </w:pPr>
    </w:p>
    <w:p w14:paraId="4A1C2A46" w14:textId="77777777" w:rsidR="003754FE" w:rsidRDefault="003754FE" w:rsidP="003754FE">
      <w:pPr>
        <w:pStyle w:val="TextoNormal"/>
      </w:pPr>
      <w:r>
        <w:t>- No consta solicitud presentada por los interesados ni su aceptación expresa.</w:t>
      </w:r>
    </w:p>
    <w:p w14:paraId="3A41A1BF" w14:textId="77777777" w:rsidR="003754FE" w:rsidRDefault="003754FE" w:rsidP="003754FE">
      <w:pPr>
        <w:pStyle w:val="TextoNormal"/>
      </w:pPr>
    </w:p>
    <w:p w14:paraId="2F101E98" w14:textId="77777777" w:rsidR="003754FE" w:rsidRDefault="003754FE" w:rsidP="003754FE">
      <w:pPr>
        <w:pStyle w:val="TextoNormal"/>
      </w:pPr>
      <w:r>
        <w:t>- No se aporta declaración responsable del beneficiario de otras subvenciones o ayudas concedidas para la misma finalidad (artículos 111 y 105 de LGHPA, y artículo 15.1 del Reglamento de subvenciones).</w:t>
      </w:r>
    </w:p>
    <w:p w14:paraId="7C13235C" w14:textId="77777777" w:rsidR="003754FE" w:rsidRDefault="003754FE" w:rsidP="003754FE">
      <w:pPr>
        <w:pStyle w:val="TextoNormal"/>
      </w:pPr>
    </w:p>
    <w:p w14:paraId="16990B9E" w14:textId="77777777" w:rsidR="003754FE" w:rsidRDefault="003754FE" w:rsidP="003754FE">
      <w:pPr>
        <w:pStyle w:val="TextoNormal"/>
      </w:pPr>
      <w:r>
        <w:t>- No consta declaración expresa de los beneficiarios de no haber recaído sobre ellos resolución administrativa o judicial firme de reintegro.</w:t>
      </w:r>
    </w:p>
    <w:p w14:paraId="4DABC905" w14:textId="77777777" w:rsidR="003754FE" w:rsidRDefault="003754FE" w:rsidP="003754FE">
      <w:pPr>
        <w:pStyle w:val="TextoNormal"/>
      </w:pPr>
    </w:p>
    <w:p w14:paraId="29515B16" w14:textId="77777777" w:rsidR="003754FE" w:rsidRDefault="003754FE" w:rsidP="003754FE">
      <w:pPr>
        <w:pStyle w:val="TextoNormal"/>
      </w:pPr>
      <w:r>
        <w:t>- No se acredita por los beneficiarios estar al corriente en sus obligaciones fiscales.</w:t>
      </w:r>
    </w:p>
    <w:p w14:paraId="3B8C2192" w14:textId="77777777" w:rsidR="003754FE" w:rsidRDefault="003754FE" w:rsidP="003754FE">
      <w:pPr>
        <w:pStyle w:val="TextoNormal"/>
      </w:pPr>
    </w:p>
    <w:p w14:paraId="6F726AF2" w14:textId="77777777" w:rsidR="003754FE" w:rsidRDefault="003754FE" w:rsidP="003754FE">
      <w:pPr>
        <w:pStyle w:val="TextoNormal"/>
      </w:pPr>
      <w:r>
        <w:t>- No se determina el plazo y forma de justificación por el beneficiario del cumplimiento de la finalidad para la que se concede la ayuda.</w:t>
      </w:r>
    </w:p>
    <w:p w14:paraId="5B263EA5" w14:textId="77777777" w:rsidR="003754FE" w:rsidRDefault="003754FE" w:rsidP="003754FE">
      <w:pPr>
        <w:pStyle w:val="TextoNormal"/>
      </w:pPr>
    </w:p>
    <w:p w14:paraId="4AC56F64" w14:textId="77777777" w:rsidR="003754FE" w:rsidRDefault="003754FE" w:rsidP="003754FE">
      <w:pPr>
        <w:pStyle w:val="TextoNormal"/>
      </w:pPr>
      <w:r>
        <w:t>- No se indica la forma y secuencia del pago y los requisitos exigidos para su abono.</w:t>
      </w:r>
    </w:p>
    <w:p w14:paraId="62100414" w14:textId="77777777" w:rsidR="003754FE" w:rsidRDefault="003754FE" w:rsidP="003754FE">
      <w:pPr>
        <w:pStyle w:val="TextoNormal"/>
      </w:pPr>
    </w:p>
    <w:p w14:paraId="4050C71F" w14:textId="77777777" w:rsidR="003754FE" w:rsidRDefault="003754FE" w:rsidP="003754FE">
      <w:pPr>
        <w:pStyle w:val="TextoNormal"/>
      </w:pPr>
      <w:r>
        <w:t>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14:paraId="260A28B2" w14:textId="77777777" w:rsidR="003754FE" w:rsidRDefault="003754FE" w:rsidP="003754FE">
      <w:pPr>
        <w:pStyle w:val="TextoNormal"/>
      </w:pPr>
    </w:p>
    <w:p w14:paraId="7AFE05AD" w14:textId="77777777" w:rsidR="003754FE" w:rsidRDefault="003754FE" w:rsidP="003754FE">
      <w:pPr>
        <w:pStyle w:val="TextoNormal"/>
      </w:pPr>
      <w:r>
        <w:t>Las consecuencias de semejante descontrol fueron las siguientes:</w:t>
      </w:r>
    </w:p>
    <w:p w14:paraId="12450FEC" w14:textId="77777777" w:rsidR="003754FE" w:rsidRDefault="003754FE" w:rsidP="003754FE">
      <w:pPr>
        <w:pStyle w:val="TextoNormal"/>
      </w:pPr>
    </w:p>
    <w:p w14:paraId="5751A9C2" w14:textId="77777777" w:rsidR="003754FE" w:rsidRDefault="003754FE" w:rsidP="003754FE">
      <w:pPr>
        <w:pStyle w:val="TextoNormal"/>
      </w:pPr>
      <w:r>
        <w:t>(i)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ayudas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14:paraId="2637F451" w14:textId="77777777" w:rsidR="003754FE" w:rsidRDefault="003754FE" w:rsidP="003754FE">
      <w:pPr>
        <w:pStyle w:val="TextoNormal"/>
      </w:pPr>
    </w:p>
    <w:p w14:paraId="059201F7" w14:textId="77777777" w:rsidR="003754FE" w:rsidRDefault="003754FE" w:rsidP="003754FE">
      <w:pPr>
        <w:pStyle w:val="TextoNormal"/>
      </w:pPr>
      <w:r>
        <w:t>- En el año 2001, fueron 748, afectando a un total de 7582 trabajadores.</w:t>
      </w:r>
    </w:p>
    <w:p w14:paraId="47773DDF" w14:textId="77777777" w:rsidR="003754FE" w:rsidRDefault="003754FE" w:rsidP="003754FE">
      <w:pPr>
        <w:pStyle w:val="TextoNormal"/>
      </w:pPr>
    </w:p>
    <w:p w14:paraId="2CA304CC" w14:textId="77777777" w:rsidR="003754FE" w:rsidRDefault="003754FE" w:rsidP="003754FE">
      <w:pPr>
        <w:pStyle w:val="TextoNormal"/>
      </w:pPr>
      <w:r>
        <w:t>- En el año 2002, fueron 650, afectando a un total de 4787 trabajadores.</w:t>
      </w:r>
    </w:p>
    <w:p w14:paraId="4E079C3C" w14:textId="77777777" w:rsidR="003754FE" w:rsidRDefault="003754FE" w:rsidP="003754FE">
      <w:pPr>
        <w:pStyle w:val="TextoNormal"/>
      </w:pPr>
    </w:p>
    <w:p w14:paraId="749A079A" w14:textId="77777777" w:rsidR="003754FE" w:rsidRDefault="003754FE" w:rsidP="003754FE">
      <w:pPr>
        <w:pStyle w:val="TextoNormal"/>
      </w:pPr>
      <w:r>
        <w:t>- En el año 2003, fueron 511, afectando a un total de 4957 trabajadores.</w:t>
      </w:r>
    </w:p>
    <w:p w14:paraId="4D8E3A01" w14:textId="77777777" w:rsidR="003754FE" w:rsidRDefault="003754FE" w:rsidP="003754FE">
      <w:pPr>
        <w:pStyle w:val="TextoNormal"/>
      </w:pPr>
    </w:p>
    <w:p w14:paraId="097EB8BA" w14:textId="77777777" w:rsidR="003754FE" w:rsidRDefault="003754FE" w:rsidP="003754FE">
      <w:pPr>
        <w:pStyle w:val="TextoNormal"/>
      </w:pPr>
      <w:r>
        <w:lastRenderedPageBreak/>
        <w:t>- En el año 2004, fueron 657, afectando a un total de 4833 trabajadores.</w:t>
      </w:r>
    </w:p>
    <w:p w14:paraId="4BCBBC50" w14:textId="77777777" w:rsidR="003754FE" w:rsidRDefault="003754FE" w:rsidP="003754FE">
      <w:pPr>
        <w:pStyle w:val="TextoNormal"/>
      </w:pPr>
    </w:p>
    <w:p w14:paraId="1D835FDA" w14:textId="77777777" w:rsidR="003754FE" w:rsidRDefault="003754FE" w:rsidP="003754FE">
      <w:pPr>
        <w:pStyle w:val="TextoNormal"/>
      </w:pPr>
      <w:r>
        <w:t>- En el año 2005, fueron 424, afectando a un total de 5476 trabajadores.</w:t>
      </w:r>
    </w:p>
    <w:p w14:paraId="452E237F" w14:textId="77777777" w:rsidR="003754FE" w:rsidRDefault="003754FE" w:rsidP="003754FE">
      <w:pPr>
        <w:pStyle w:val="TextoNormal"/>
      </w:pPr>
    </w:p>
    <w:p w14:paraId="2DBC51D3" w14:textId="77777777" w:rsidR="003754FE" w:rsidRDefault="003754FE" w:rsidP="003754FE">
      <w:pPr>
        <w:pStyle w:val="TextoNormal"/>
      </w:pPr>
      <w:r>
        <w:t>- En el año 2006, fueron 434, afectando a un total de 2968 trabajadores.</w:t>
      </w:r>
    </w:p>
    <w:p w14:paraId="70338D4F" w14:textId="77777777" w:rsidR="003754FE" w:rsidRDefault="003754FE" w:rsidP="003754FE">
      <w:pPr>
        <w:pStyle w:val="TextoNormal"/>
      </w:pPr>
    </w:p>
    <w:p w14:paraId="7D2A270F" w14:textId="77777777" w:rsidR="003754FE" w:rsidRDefault="003754FE" w:rsidP="003754FE">
      <w:pPr>
        <w:pStyle w:val="TextoNormal"/>
      </w:pPr>
      <w:r>
        <w:t>- En el año 2007, fueron 428, afectando a un total de 3247 trabajadores.</w:t>
      </w:r>
    </w:p>
    <w:p w14:paraId="2FE7C61C" w14:textId="77777777" w:rsidR="003754FE" w:rsidRDefault="003754FE" w:rsidP="003754FE">
      <w:pPr>
        <w:pStyle w:val="TextoNormal"/>
      </w:pPr>
    </w:p>
    <w:p w14:paraId="46410376" w14:textId="77777777" w:rsidR="003754FE" w:rsidRDefault="003754FE" w:rsidP="003754FE">
      <w:pPr>
        <w:pStyle w:val="TextoNormal"/>
      </w:pPr>
      <w:r>
        <w:t>- En el año 2008, fueron 652, afectando a un total de 7000 trabajadores.</w:t>
      </w:r>
    </w:p>
    <w:p w14:paraId="5FE8D47F" w14:textId="77777777" w:rsidR="003754FE" w:rsidRDefault="003754FE" w:rsidP="003754FE">
      <w:pPr>
        <w:pStyle w:val="TextoNormal"/>
      </w:pPr>
    </w:p>
    <w:p w14:paraId="131D0FDA" w14:textId="77777777" w:rsidR="003754FE" w:rsidRDefault="003754FE" w:rsidP="003754FE">
      <w:pPr>
        <w:pStyle w:val="TextoNormal"/>
      </w:pPr>
      <w:r>
        <w:t>- En el año 2009, fueron 1379, afectando a un total de 30 821 trabajadores.</w:t>
      </w:r>
    </w:p>
    <w:p w14:paraId="5FC401C6" w14:textId="77777777" w:rsidR="003754FE" w:rsidRDefault="003754FE" w:rsidP="003754FE">
      <w:pPr>
        <w:pStyle w:val="TextoNormal"/>
      </w:pPr>
    </w:p>
    <w:p w14:paraId="72CD99C1" w14:textId="77777777" w:rsidR="003754FE" w:rsidRDefault="003754FE" w:rsidP="003754FE">
      <w:pPr>
        <w:pStyle w:val="TextoNormal"/>
      </w:pPr>
      <w:r>
        <w:t>- En el año 2010, fueron 1490, afectando a un total de 21 450 trabajadores.</w:t>
      </w:r>
    </w:p>
    <w:p w14:paraId="4633D861" w14:textId="77777777" w:rsidR="003754FE" w:rsidRDefault="003754FE" w:rsidP="003754FE">
      <w:pPr>
        <w:pStyle w:val="TextoNormal"/>
      </w:pPr>
    </w:p>
    <w:p w14:paraId="7E196750" w14:textId="77777777" w:rsidR="003754FE" w:rsidRDefault="003754FE" w:rsidP="003754FE">
      <w:pPr>
        <w:pStyle w:val="TextoNormal"/>
      </w:pPr>
      <w:r>
        <w:t>(ii) La ausencia de cualquier mecanismo de comprobación de la pertenencia al colectivo afectado de las personas beneficiarias de las pólizas, permitió la inclusión de beneficiarios que nunca habían pertenecido a las empresas ayudadas por la Consejería de Empleo.</w:t>
      </w:r>
    </w:p>
    <w:p w14:paraId="4698B4B9" w14:textId="77777777" w:rsidR="003754FE" w:rsidRDefault="003754FE" w:rsidP="003754FE">
      <w:pPr>
        <w:pStyle w:val="TextoNormal"/>
      </w:pPr>
    </w:p>
    <w:p w14:paraId="3C23707C" w14:textId="77777777" w:rsidR="003754FE" w:rsidRDefault="003754FE" w:rsidP="003754FE">
      <w:pPr>
        <w:pStyle w:val="TextoNormal"/>
      </w:pPr>
      <w:r>
        <w:t>(iii)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14:paraId="0E8B1D82" w14:textId="77777777" w:rsidR="003754FE" w:rsidRDefault="003754FE" w:rsidP="003754FE">
      <w:pPr>
        <w:pStyle w:val="TextoNormal"/>
      </w:pPr>
    </w:p>
    <w:p w14:paraId="7394D35E" w14:textId="77777777" w:rsidR="003754FE" w:rsidRDefault="003754FE" w:rsidP="003754FE">
      <w:pPr>
        <w:pStyle w:val="TextoNormal"/>
      </w:pPr>
      <w:r>
        <w:t>(iv)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14:paraId="047FE6C3" w14:textId="77777777" w:rsidR="003754FE" w:rsidRDefault="003754FE" w:rsidP="003754FE">
      <w:pPr>
        <w:pStyle w:val="TextoNormal"/>
      </w:pPr>
    </w:p>
    <w:p w14:paraId="3F6619F1" w14:textId="77777777" w:rsidR="003754FE" w:rsidRDefault="003754FE" w:rsidP="003754FE">
      <w:pPr>
        <w:pStyle w:val="TextoNormal"/>
      </w:pPr>
      <w:r>
        <w:t>(v)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2006, que puso fin a una conflictividad laboral de la limpieza pública de la provincia de Granada; se financiaron dieciséis muestras de artesanía y jornadas relacionadas con el empleo en diversos municipios andaluces; y se pagó a la fundación San Telmo de un curso de alta dirección, durante cinco ejercicios.</w:t>
      </w:r>
    </w:p>
    <w:p w14:paraId="0C232D0D" w14:textId="77777777" w:rsidR="003754FE" w:rsidRDefault="003754FE" w:rsidP="003754FE">
      <w:pPr>
        <w:pStyle w:val="TextoNormal"/>
      </w:pPr>
    </w:p>
    <w:p w14:paraId="2F74B29B" w14:textId="77777777" w:rsidR="003754FE" w:rsidRDefault="003754FE" w:rsidP="003754FE">
      <w:pPr>
        <w:pStyle w:val="TextoNormal"/>
      </w:pPr>
      <w:r>
        <w:t>III) Tercera etapa</w:t>
      </w:r>
    </w:p>
    <w:p w14:paraId="075E09F1" w14:textId="77777777" w:rsidR="003754FE" w:rsidRDefault="003754FE" w:rsidP="003754FE">
      <w:pPr>
        <w:pStyle w:val="TextoNormal"/>
      </w:pPr>
    </w:p>
    <w:p w14:paraId="1C9E1331" w14:textId="77777777" w:rsidR="003754FE" w:rsidRDefault="003754FE" w:rsidP="003754FE">
      <w:pPr>
        <w:pStyle w:val="TextoNormal"/>
      </w:pPr>
      <w:r>
        <w:t xml:space="preserve">La tercera etapa se inicia en 2010, momento en el que se abandonaron las transferencias de financiación y se presupuestaron las partidas para la concesión de las ayudas, publicándose las primeras bases reguladoras de las mismas, mediante las Órdenes de la Consejería </w:t>
      </w:r>
      <w:r>
        <w:lastRenderedPageBreak/>
        <w:t>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14:paraId="44871B11" w14:textId="77777777" w:rsidR="003754FE" w:rsidRDefault="003754FE" w:rsidP="003754FE">
      <w:pPr>
        <w:pStyle w:val="TextoNormal"/>
      </w:pPr>
    </w:p>
    <w:p w14:paraId="60434635" w14:textId="77777777" w:rsidR="003754FE" w:rsidRDefault="003754FE" w:rsidP="003754FE">
      <w:pPr>
        <w:pStyle w:val="TextoNormal"/>
      </w:pPr>
      <w:r>
        <w:t>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14:paraId="036DC64E" w14:textId="77777777" w:rsidR="003754FE" w:rsidRDefault="003754FE" w:rsidP="003754FE">
      <w:pPr>
        <w:pStyle w:val="TextoNormal"/>
      </w:pPr>
    </w:p>
    <w:p w14:paraId="472EB98E" w14:textId="77777777" w:rsidR="003754FE" w:rsidRDefault="003754FE" w:rsidP="003754FE">
      <w:pPr>
        <w:pStyle w:val="TextoNormal"/>
      </w:pPr>
      <w:r>
        <w:t>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14:paraId="6FA2114B" w14:textId="77777777" w:rsidR="003754FE" w:rsidRDefault="003754FE" w:rsidP="003754FE">
      <w:pPr>
        <w:pStyle w:val="TextoNormal"/>
      </w:pPr>
    </w:p>
    <w:p w14:paraId="2A737B5F" w14:textId="77777777" w:rsidR="003754FE" w:rsidRDefault="003754FE" w:rsidP="003754FE">
      <w:pPr>
        <w:pStyle w:val="TextoNormal"/>
      </w:pPr>
      <w:r>
        <w:t>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14:paraId="52543A86" w14:textId="77777777" w:rsidR="003754FE" w:rsidRDefault="003754FE" w:rsidP="003754FE">
      <w:pPr>
        <w:pStyle w:val="TextoNormal"/>
      </w:pPr>
    </w:p>
    <w:p w14:paraId="4FCEAD78" w14:textId="77777777" w:rsidR="003754FE" w:rsidRDefault="003754FE" w:rsidP="003754FE">
      <w:pPr>
        <w:pStyle w:val="TextoNormal"/>
      </w:pPr>
      <w:r>
        <w:t>b) El demandante fue condenado porque participó en este procedimiento específico desde su puesto de director general de Presupuestos en la Consejería de Economía y Hacienda de la Junta de Andalucía, cargo que ocupó desde el mes de abril de 2002 hasta el mes de abril de 2009, participando en la tramitación de los anteproyectos de presupuestos correspondientes a los años 2003 a 2009, en los que se incluyó la partida presupuestaria de transferencias de financiación al ente público IFA/IDEA, como vía para conceder ayudas sociolaborales y a empresas en crisis, así como en varias modificaciones presupuestarias en el programa 31L que incrementaron dicha partida para el mismo fin, y en una modificación que afectó al programa 32H.</w:t>
      </w:r>
    </w:p>
    <w:p w14:paraId="5BBCA0AF" w14:textId="77777777" w:rsidR="003754FE" w:rsidRDefault="003754FE" w:rsidP="003754FE">
      <w:pPr>
        <w:pStyle w:val="TextoNormal"/>
      </w:pPr>
    </w:p>
    <w:p w14:paraId="5398C71B" w14:textId="77777777" w:rsidR="003754FE" w:rsidRDefault="003754FE" w:rsidP="003754FE">
      <w:pPr>
        <w:pStyle w:val="TextoNormal"/>
      </w:pPr>
      <w:r>
        <w:t>Por dichos hechos fue condenado como autor de un delito continuado de prevaricación del art. 404 del Código penal (CP) a la pena de nueve años de inhabilitación especial, con la consiguiente privación definitiva de todo cargo público de carácter electivo o de designación, en cualquier administración pública, que tuviera, y la incapacidad para obtenerlos durante el tiempo de la condena. Se le impuso asimismo el pago de 1/37 parte de las costas procesales causadas, excluidas las de las acusaciones populares.</w:t>
      </w:r>
    </w:p>
    <w:p w14:paraId="5876C9DD" w14:textId="77777777" w:rsidR="003754FE" w:rsidRDefault="003754FE" w:rsidP="003754FE">
      <w:pPr>
        <w:pStyle w:val="TextoNormal"/>
      </w:pPr>
    </w:p>
    <w:p w14:paraId="6F59C279" w14:textId="77777777" w:rsidR="003754FE" w:rsidRDefault="003754FE" w:rsidP="003754FE">
      <w:pPr>
        <w:pStyle w:val="TextoNormal"/>
      </w:pPr>
      <w:r>
        <w:t>c) El actor interpuso recurso de casación que fue desestimado íntegramente por sentencia núm. 749/2022, de 13 de septiembre, de la Sala de lo Penal del Tribunal Supremo.</w:t>
      </w:r>
    </w:p>
    <w:p w14:paraId="7FB7F58A" w14:textId="77777777" w:rsidR="003754FE" w:rsidRDefault="003754FE" w:rsidP="003754FE">
      <w:pPr>
        <w:pStyle w:val="TextoNormal"/>
      </w:pPr>
    </w:p>
    <w:p w14:paraId="7CCC7079" w14:textId="55FF04A5" w:rsidR="003754FE" w:rsidRDefault="003754FE" w:rsidP="003754FE">
      <w:pPr>
        <w:pStyle w:val="TextoNormal"/>
      </w:pPr>
      <w:r>
        <w:t>d) Contra la anterior sentencia el actor promovió incidente de nulidad de actuaciones que fue inadmitido por auto de la Sala de lo Penal del Tribunal Supremo de 16 de febrero de 2023.</w:t>
      </w:r>
    </w:p>
    <w:p w14:paraId="53586F40" w14:textId="77777777" w:rsidR="003754FE" w:rsidRDefault="003754FE" w:rsidP="003754FE">
      <w:pPr>
        <w:pStyle w:val="TextoNormal"/>
      </w:pPr>
    </w:p>
    <w:p w14:paraId="498A68C4" w14:textId="77777777" w:rsidR="003754FE" w:rsidRDefault="003754FE" w:rsidP="003754FE">
      <w:pPr>
        <w:pStyle w:val="TextoNormal"/>
      </w:pPr>
      <w:r w:rsidRPr="003754FE">
        <w:rPr>
          <w:rStyle w:val="NumeroAFNegritaCaracter"/>
        </w:rPr>
        <w:lastRenderedPageBreak/>
        <w:t>3</w:t>
      </w:r>
      <w:r>
        <w:t>. El recurrente invoca en su demanda de amparo la vulneración de los siguientes derechos:</w:t>
      </w:r>
    </w:p>
    <w:p w14:paraId="43B344A2" w14:textId="77777777" w:rsidR="003754FE" w:rsidRDefault="003754FE" w:rsidP="003754FE">
      <w:pPr>
        <w:pStyle w:val="TextoNormal"/>
      </w:pPr>
    </w:p>
    <w:p w14:paraId="190AE770" w14:textId="77777777" w:rsidR="003754FE" w:rsidRDefault="003754FE" w:rsidP="003754FE">
      <w:pPr>
        <w:pStyle w:val="TextoNormal"/>
      </w:pPr>
      <w:r>
        <w:t>a) Vulneración del derecho a la legalidad penal (art. 25.1 CE) por subsunción irrazonable de los hechos probados relativos al actor en el art. 404 CP (delito de prevaricación administrativa).</w:t>
      </w:r>
    </w:p>
    <w:p w14:paraId="64822578" w14:textId="77777777" w:rsidR="003754FE" w:rsidRDefault="003754FE" w:rsidP="003754FE">
      <w:pPr>
        <w:pStyle w:val="TextoNormal"/>
      </w:pPr>
    </w:p>
    <w:p w14:paraId="5B476A12" w14:textId="77777777" w:rsidR="003754FE" w:rsidRDefault="003754FE" w:rsidP="003754FE">
      <w:pPr>
        <w:pStyle w:val="TextoNormal"/>
      </w:pPr>
      <w:r>
        <w:t>Se trata de una aplicación del precepto imprevisible porque desborda el marco de conductas que el legislador quiso sancionar penalmente, incluyendo otras que por estar referidas a funcionarios y autoridades que a impulso de directrices políticas proponen una ley al Parlamento, deben quedar exentas del examen jurisdiccional en general y con mucho más motivo del juicio penal, para asegurar el equilibrio de poderes en una sociedad democrática.</w:t>
      </w:r>
    </w:p>
    <w:p w14:paraId="3C66E82C" w14:textId="77777777" w:rsidR="003754FE" w:rsidRDefault="003754FE" w:rsidP="003754FE">
      <w:pPr>
        <w:pStyle w:val="TextoNormal"/>
      </w:pPr>
    </w:p>
    <w:p w14:paraId="77AEF115" w14:textId="77777777" w:rsidR="003754FE" w:rsidRDefault="003754FE" w:rsidP="003754FE">
      <w:pPr>
        <w:pStyle w:val="TextoNormal"/>
      </w:pPr>
      <w:r>
        <w:t>La aplicación que se ha hecho de la norma penal en este caso es insostenible, porque el proceso prelegislativo no es un “asunto administrativo”, la tramitación del mismo no puede dar lugar a “resoluciones”, especie respecto del acto administrativo definida en el art. 89 de la Ley 30/1992, de 26 de noviembre, de régimen jurídico de las administraciones públicas y del procedimiento administrativo común, como acto que pone fin al procedimiento administrativo, decidiendo todas las cuestiones planteadas por los administradores y aquellas otras derivadas del mismo. La utilización inadecuada de las transferencias de financiación no incurre en una aplicación arbitraria del Derecho, la actuación en las modificaciones presupuestarias siguiendo el informe de la Intervención General de la Junta de Andalucía no puede considerarse realizada “a sabiendas” de su ilegalidad. El proceso prelegislativo de elaboración del anteproyecto de ley de presupuestos no es un asunto administrativo.</w:t>
      </w:r>
    </w:p>
    <w:p w14:paraId="44EA45E3" w14:textId="77777777" w:rsidR="003754FE" w:rsidRDefault="003754FE" w:rsidP="003754FE">
      <w:pPr>
        <w:pStyle w:val="TextoNormal"/>
      </w:pPr>
    </w:p>
    <w:p w14:paraId="7440506F" w14:textId="77777777" w:rsidR="003754FE" w:rsidRDefault="003754FE" w:rsidP="003754FE">
      <w:pPr>
        <w:pStyle w:val="TextoNormal"/>
      </w:pPr>
      <w:r>
        <w:t>Las sentencias de la Audiencia Provincial de Sevilla y del Tribunal Supremo incurren en contradicción, pues afirman que existe un procedimiento reglado previo a la adopción de la decisión política, pero no identifican ningún incumplimiento de las normas procedimentales y terminan afirmando que resolución es la decisión final de remitir el proyecto, incurriendo en el imposible semántico de tener por decisión lo que solo es una propuesta de decisión. Solo la decisión del Parlamento otorga eficacia jurídica legislativa a lo que solo es un proyecto. Lo único objetable es el uso inadecuado de un instrumento presupuestario, pero ello queda lejos del marco de revisión penal.</w:t>
      </w:r>
    </w:p>
    <w:p w14:paraId="4AF308A3" w14:textId="77777777" w:rsidR="003754FE" w:rsidRDefault="003754FE" w:rsidP="003754FE">
      <w:pPr>
        <w:pStyle w:val="TextoNormal"/>
      </w:pPr>
    </w:p>
    <w:p w14:paraId="4F9A043F" w14:textId="77777777" w:rsidR="003754FE" w:rsidRDefault="003754FE" w:rsidP="003754FE">
      <w:pPr>
        <w:pStyle w:val="TextoNormal"/>
      </w:pPr>
      <w:r>
        <w:t>La sentencia de la Audiencia Provincial describe en sus hechos probados una actuación del ahora demandante de amparo que resulta inequívocamente regular, ordinaria y ajustada al cumplimiento de sus obligaciones y facultades: elevar la correspondiente propuesta tras haber dado fe el jefe de servicio responsable del expediente del cumplimiento de la normativa. La explicación que ofrece el Tribunal Supremo para afirmar que incurrió en arbitrariedad es insuficiente, pues lo funda en que se cambió el sistema de presupuestación sin una razón sólida que lo justificara (fundamento de Derecho 30), cuando en el relato de hechos probados se recoge de manera reiterada y persistente que la razón del cambio fue lograr una mayor rapidez en la concesión y pago de las ayudas, quien ocupa la dirección general a partir de 2002 ni participó ni pudo participar desde su posición orgánica en dicha modificación, y se trata de razones políticas que quedan fuera del control de los tribunales de justicia en un Estado democrático.</w:t>
      </w:r>
    </w:p>
    <w:p w14:paraId="725554C8" w14:textId="77777777" w:rsidR="003754FE" w:rsidRDefault="003754FE" w:rsidP="003754FE">
      <w:pPr>
        <w:pStyle w:val="TextoNormal"/>
      </w:pPr>
    </w:p>
    <w:p w14:paraId="143A0E35" w14:textId="77777777" w:rsidR="003754FE" w:rsidRDefault="003754FE" w:rsidP="003754FE">
      <w:pPr>
        <w:pStyle w:val="TextoNormal"/>
      </w:pPr>
      <w:r>
        <w:lastRenderedPageBreak/>
        <w:t>Aduce que el único precepto que se invoca como desconocido es el art. 18 de la Ley del Parlamento de Andalucía 15/2001, de 26 de diciembre, por el que se aprueban medidas fiscales, presupuestarias, de control y administrativas, que se refiere a las transferencias de financiación. Este precepto no está diciendo que el destino único y exclusivo de dichas transferencias deba ser equilibrar el balance de las empresas de la Junta de Andalucía, por lo que la interpretación que del mismo verificó el Consejo de Gobierno y, en ejercicio de sus funciones, el director general de Presupuestos no es irrazonable ni disparatada, que es lo que exigiría la arbitrariedad. También es irrazonable considerar que el actor actuó “a sabiendas” de incurrir en arbitrariedad en una resolución administrativa, pues todas las modificaciones presupuestarias fueron informadas favorablemente por la Intervención General y así se declara probado. La sentencia de instancia absuelve al interventor y condena a quienes siguen su criterio de legalidad, lo que resulta irrazonable.</w:t>
      </w:r>
    </w:p>
    <w:p w14:paraId="31251288" w14:textId="77777777" w:rsidR="003754FE" w:rsidRDefault="003754FE" w:rsidP="003754FE">
      <w:pPr>
        <w:pStyle w:val="TextoNormal"/>
      </w:pPr>
    </w:p>
    <w:p w14:paraId="1E02F1FB" w14:textId="77777777" w:rsidR="003754FE" w:rsidRDefault="003754FE" w:rsidP="003754FE">
      <w:pPr>
        <w:pStyle w:val="TextoNormal"/>
      </w:pPr>
      <w:r>
        <w:t>b) Vulneración del derecho a la legalidad penal (art. 25.1 CE) por inaplicación irrazonable, inesperada e imprevisible de la regulación de la prescripción del delito contenida en los arts. 130, 131 y 132 CP.</w:t>
      </w:r>
    </w:p>
    <w:p w14:paraId="0499D3BF" w14:textId="77777777" w:rsidR="003754FE" w:rsidRDefault="003754FE" w:rsidP="003754FE">
      <w:pPr>
        <w:pStyle w:val="TextoNormal"/>
      </w:pPr>
    </w:p>
    <w:p w14:paraId="50987578" w14:textId="77777777" w:rsidR="003754FE" w:rsidRDefault="003754FE" w:rsidP="003754FE">
      <w:pPr>
        <w:pStyle w:val="TextoNormal"/>
      </w:pPr>
      <w:r>
        <w:t>La sentencia de la Audiencia Provincial identifica los actos que considera “resolución” y en lo que concierne al demandante lo concreta en el acuerdo de elevación de la propuesta de modificación presupuestaria a la consejera de Economía y Hacienda, doña Magdalena Álvarez Arza, para su aprobación, lo que se produjo el 21 de octubre de 2002. El actor fue imputado por auto de 28 de junio de 2013, cuando ya habían transcurrido más de diez años.</w:t>
      </w:r>
    </w:p>
    <w:p w14:paraId="2AAA6A7F" w14:textId="77777777" w:rsidR="003754FE" w:rsidRDefault="003754FE" w:rsidP="003754FE">
      <w:pPr>
        <w:pStyle w:val="TextoNormal"/>
      </w:pPr>
    </w:p>
    <w:p w14:paraId="4C35A657" w14:textId="77777777" w:rsidR="003754FE" w:rsidRDefault="003754FE" w:rsidP="003754FE">
      <w:pPr>
        <w:pStyle w:val="TextoNormal"/>
      </w:pPr>
      <w:r>
        <w:t>c) Vulneración del derecho a la presunción de inocencia por ausencia de explicación del elemento objetivo del tipo, “resolución en asunto administrativo”; alternativamente, vulneración del derecho a la tutela judicial efectiva y a la presunción de inocencia al haber incurrido el Tribunal Supremo en modificación de aspectos fácticos esenciales de la sentencia de instancia, concretamente, en la determinación de las resoluciones consideradas prevaricadoras, incluyendo unas denominadas “memorias favorables”.</w:t>
      </w:r>
    </w:p>
    <w:p w14:paraId="16FBB30E" w14:textId="77777777" w:rsidR="003754FE" w:rsidRDefault="003754FE" w:rsidP="003754FE">
      <w:pPr>
        <w:pStyle w:val="TextoNormal"/>
      </w:pPr>
    </w:p>
    <w:p w14:paraId="4B9090E2" w14:textId="77777777" w:rsidR="003754FE" w:rsidRDefault="003754FE" w:rsidP="003754FE">
      <w:pPr>
        <w:pStyle w:val="TextoNormal"/>
      </w:pPr>
      <w:r>
        <w:t>El Tribunal Supremo dice que su condena no se ha limitado a hechos puntualmente acaecidos en el año 2002, sino también a su intervención en la elaboración, tramitación y aprobación de los proyectos de presupuestos y modificaciones presupuestarias desde el 15 de octubre de 2002 al 22 de diciembre de 2008, razón en la que se basa para no acoger su alegación de prescripción. También se refiere a unas “memorias favorables” que no es posible saber a qué actos aluden. La presunción de inocencia exige concreción de los hechos en que se funda la condena, en términos comprensibles e identificables. En este caso la respuesta dada por el Tribunal Supremo en sentencia a su recurso de casación supone una ininteligible ampliación de los actos que motivan la condena. El auto del Tribunal Supremo que desestima el incidente de nulidad de actuaciones, por su parte, trata de justificar su intervención creadora haciendo una crítica del desorden e imprecisión de la sentencia de instancia que, en su caso, debiera haber motivado su anulación.</w:t>
      </w:r>
    </w:p>
    <w:p w14:paraId="6A3E2D8C" w14:textId="77777777" w:rsidR="003754FE" w:rsidRDefault="003754FE" w:rsidP="003754FE">
      <w:pPr>
        <w:pStyle w:val="TextoNormal"/>
      </w:pPr>
    </w:p>
    <w:p w14:paraId="52065C09" w14:textId="6E663F61" w:rsidR="003754FE" w:rsidRDefault="003754FE" w:rsidP="003754FE">
      <w:pPr>
        <w:pStyle w:val="TextoNormal"/>
      </w:pPr>
      <w:r>
        <w:t>En el suplico de la demanda se solicita la anulación de las resoluciones impugnadas.</w:t>
      </w:r>
    </w:p>
    <w:p w14:paraId="344233C4" w14:textId="77777777" w:rsidR="003754FE" w:rsidRDefault="003754FE" w:rsidP="003754FE">
      <w:pPr>
        <w:pStyle w:val="TextoNormal"/>
      </w:pPr>
    </w:p>
    <w:p w14:paraId="123132CD" w14:textId="77777777" w:rsidR="003754FE" w:rsidRDefault="003754FE" w:rsidP="003754FE">
      <w:pPr>
        <w:pStyle w:val="TextoNormal"/>
      </w:pPr>
      <w:r w:rsidRPr="003754FE">
        <w:rPr>
          <w:rStyle w:val="NumeroAFNegritaCaracter"/>
        </w:rPr>
        <w:t>4</w:t>
      </w:r>
      <w:r>
        <w:t xml:space="preserve">. La Sala Segunda de este tribunal dictó el ATC 295/2023, de 5 de junio, en el que, previa avocación de la decisión, admitió a trámite el presente recurso de amparo “porque el recurso plantea un problema o afecta a una faceta de un derecho fundamental sobre el que </w:t>
      </w:r>
      <w:r>
        <w:lastRenderedPageBreak/>
        <w:t>no hay doctrina de este tribunal [STC 155/2009, de 25 de junio, FJ 2 a)], y porque el asunto suscitado trasciende del caso concreto porque plantea una cuestión jurídica de relevante y general repercusión social y tiene unas consecuencias políticas generales [STC 155/2009, FJ 2 g)]”.</w:t>
      </w:r>
    </w:p>
    <w:p w14:paraId="55AB0E34" w14:textId="77777777" w:rsidR="003754FE" w:rsidRDefault="003754FE" w:rsidP="003754FE">
      <w:pPr>
        <w:pStyle w:val="TextoNormal"/>
      </w:pPr>
    </w:p>
    <w:p w14:paraId="70F7064D" w14:textId="77777777" w:rsidR="003754FE" w:rsidRDefault="003754FE" w:rsidP="003754FE">
      <w:pPr>
        <w:pStyle w:val="TextoNormal"/>
      </w:pPr>
      <w:r>
        <w:t>Acordó, en aplicación del art. 51 de la Ley Orgánica del Tribunal Constitucional (LOTC), requerir a la Sección Primera de la Audiencia Provincial de Sevilla para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w:t>
      </w:r>
    </w:p>
    <w:p w14:paraId="216B78A6" w14:textId="77777777" w:rsidR="003754FE" w:rsidRDefault="003754FE" w:rsidP="003754FE">
      <w:pPr>
        <w:pStyle w:val="TextoNormal"/>
      </w:pPr>
    </w:p>
    <w:p w14:paraId="770E6768" w14:textId="77777777" w:rsidR="003754FE" w:rsidRDefault="003754FE" w:rsidP="003754FE">
      <w:pPr>
        <w:pStyle w:val="TextoNormal"/>
      </w:pPr>
      <w:r>
        <w:t>Ordenó formar pieza separada de suspensión y en ella conceder un plazo común de tres días al Ministerio Fiscal y al solicitante de amparo para que efectuasen alegaciones sobre dicha cuestión.</w:t>
      </w:r>
    </w:p>
    <w:p w14:paraId="2401C3DA" w14:textId="77777777" w:rsidR="003754FE" w:rsidRDefault="003754FE" w:rsidP="003754FE">
      <w:pPr>
        <w:pStyle w:val="TextoNormal"/>
      </w:pPr>
    </w:p>
    <w:p w14:paraId="4AC8A14A" w14:textId="77777777" w:rsidR="003754FE" w:rsidRDefault="003754FE" w:rsidP="003754FE">
      <w:pPr>
        <w:pStyle w:val="TextoNormal"/>
      </w:pPr>
      <w:r>
        <w:t>Se propuso finalmente la avocación al Pleno del conocimiento del asunto.</w:t>
      </w:r>
    </w:p>
    <w:p w14:paraId="737CBF4B" w14:textId="77777777" w:rsidR="003754FE" w:rsidRDefault="003754FE" w:rsidP="003754FE">
      <w:pPr>
        <w:pStyle w:val="TextoNormal"/>
      </w:pPr>
    </w:p>
    <w:p w14:paraId="2ED601B3" w14:textId="2F23D761" w:rsidR="003754FE" w:rsidRDefault="003754FE" w:rsidP="003754FE">
      <w:pPr>
        <w:pStyle w:val="TextoNormal"/>
      </w:pPr>
      <w:r>
        <w:t>Por providencia de 20 de junio de 2023 el Pleno de este tribunal acordó, conforme al art. 10.1 n) LOTC, a propuesta de la Sala Segunda, “recabar para sí el conocimiento del recurso de amparo que se tramita en dicha Sala con el número 2485-2023, interpuesto por don Antonio Vicente Lozano Peña”.</w:t>
      </w:r>
    </w:p>
    <w:p w14:paraId="631E3EC5" w14:textId="77777777" w:rsidR="003754FE" w:rsidRDefault="003754FE" w:rsidP="003754FE">
      <w:pPr>
        <w:pStyle w:val="TextoNormal"/>
      </w:pPr>
    </w:p>
    <w:p w14:paraId="4F38DE56" w14:textId="77777777" w:rsidR="003754FE" w:rsidRDefault="003754FE" w:rsidP="003754FE">
      <w:pPr>
        <w:pStyle w:val="TextoNormal"/>
      </w:pPr>
      <w:r w:rsidRPr="003754FE">
        <w:rPr>
          <w:rStyle w:val="NumeroAFNegritaCaracter"/>
        </w:rPr>
        <w:t>5</w:t>
      </w:r>
      <w:r>
        <w:t>. Se han producido las siguientes incidencias en cuanto a la comparecencia, la personación y las alegaciones de las partes procesales:</w:t>
      </w:r>
    </w:p>
    <w:p w14:paraId="17D8A4BC" w14:textId="77777777" w:rsidR="003754FE" w:rsidRDefault="003754FE" w:rsidP="003754FE">
      <w:pPr>
        <w:pStyle w:val="TextoNormal"/>
      </w:pPr>
    </w:p>
    <w:p w14:paraId="2F992482" w14:textId="77777777" w:rsidR="003754FE" w:rsidRDefault="003754FE" w:rsidP="003754FE">
      <w:pPr>
        <w:pStyle w:val="TextoNormal"/>
      </w:pPr>
      <w:r>
        <w:t>a) Por diligencia de ordenación de la Secretaría de Justicia del Pleno de 24 de julio de 2023 se tuvo por recibida de la Sección Primera de la Audiencia Provincial de Sevilla copia en formato digital de las actuaciones correspondientes al procedimiento abreviado núm. 133-2016, rollo núm. 1965-2017, y los emplazamientos practicados. Observándose que no se había emplazado a todas las partes del mencionado procedimiento, se acordó remitir nuevo oficio a la Sección Primera de la Audiencia Provincial de Sevilla, a fin de que procediera a emplazar a todas las partes, a excepción del recurrente, en el presente proceso y de las ya emplazadas, con entrega de copia de la demanda, para que en el plazo de diez días pudieran comparecer en el presente recurso de amparo.</w:t>
      </w:r>
    </w:p>
    <w:p w14:paraId="0CC1E869" w14:textId="77777777" w:rsidR="003754FE" w:rsidRDefault="003754FE" w:rsidP="003754FE">
      <w:pPr>
        <w:pStyle w:val="TextoNormal"/>
      </w:pPr>
    </w:p>
    <w:p w14:paraId="5D67DF0D" w14:textId="77777777" w:rsidR="003754FE" w:rsidRDefault="003754FE" w:rsidP="003754FE">
      <w:pPr>
        <w:pStyle w:val="TextoNormal"/>
      </w:pPr>
      <w:r>
        <w:t>b) Por escrito presentado el 25 de julio de 2023, el procurador de los tribunales don Manuel Sánchez-Puelles y González-Carvajal, actuando en nombre y representación del Partido Popular, bajo la dirección técnica de los letrados don Ángel Márquez Prieto y don Alfonso Martínez Escribano, solicitó se le tuviera por personado en el procedimiento, así como la acumulación de los recursos de amparo dimanantes de la misma causa penal. Por diligencia de ordenación de la Secretaría de Justicia del Pleno de este tribunal de 27 de julio de 2023, se admitió su personación y, a tenor de lo dispuesto en el art 52 LOTC, se acordó dar vista de todas las actuaciones del presente recurso de amparo, por un plazo común de veinte días, a la parte recurrente, al Partido Popular y al Ministerio Fiscal para que dentro de dicho término pudieran presentar las alegaciones que estimasen procedentes.</w:t>
      </w:r>
    </w:p>
    <w:p w14:paraId="0B881BA2" w14:textId="77777777" w:rsidR="003754FE" w:rsidRDefault="003754FE" w:rsidP="003754FE">
      <w:pPr>
        <w:pStyle w:val="TextoNormal"/>
      </w:pPr>
    </w:p>
    <w:p w14:paraId="212BC750" w14:textId="77777777" w:rsidR="003754FE" w:rsidRDefault="003754FE" w:rsidP="003754FE">
      <w:pPr>
        <w:pStyle w:val="TextoNormal"/>
      </w:pPr>
      <w:r>
        <w:t>c) Por escrito presentado el 22 de septiembre de 2023, el actor formuló alegaciones en las que reitera de forma resumida los fundamentos esgrimidos en su recurso.</w:t>
      </w:r>
    </w:p>
    <w:p w14:paraId="77778147" w14:textId="77777777" w:rsidR="003754FE" w:rsidRDefault="003754FE" w:rsidP="003754FE">
      <w:pPr>
        <w:pStyle w:val="TextoNormal"/>
      </w:pPr>
    </w:p>
    <w:p w14:paraId="498194B8" w14:textId="77777777" w:rsidR="003754FE" w:rsidRDefault="003754FE" w:rsidP="003754FE">
      <w:pPr>
        <w:pStyle w:val="TextoNormal"/>
      </w:pPr>
      <w:r>
        <w:t>d) Por escrito presentado el 26 de septiembre de 2023, el Partido Popular formuló alegaciones en las que interesó la desestimación del recurso de amparo. En síntesis, manifiesta su sustancial conformidad con los fundamentos fácticos y jurídicos de las resoluciones judiciales impugnadas, al tiempo que reprocha al recurso de amparo haber hecho una selección parcial y fragmentada de los fundamentos de la condena.</w:t>
      </w:r>
    </w:p>
    <w:p w14:paraId="48100207" w14:textId="77777777" w:rsidR="003754FE" w:rsidRDefault="003754FE" w:rsidP="003754FE">
      <w:pPr>
        <w:pStyle w:val="TextoNormal"/>
      </w:pPr>
    </w:p>
    <w:p w14:paraId="7F5781C5" w14:textId="77777777" w:rsidR="003754FE" w:rsidRDefault="003754FE" w:rsidP="003754FE">
      <w:pPr>
        <w:pStyle w:val="TextoNormal"/>
      </w:pPr>
      <w:r>
        <w:t>Aduce, al inicio del escrito, que los motivos primero y segundo del recurso de amparo incurren en la causa de inadmisibilidad prevista en el art. 44.1 c) LOTC, porque la vulneración del derecho fundamental a la legalidad penal (art. 25.1 CE) se hizo valer en el incidente de nulidad de actuaciones. Aunque también afirma que al haber planteado en casación una temática de fondo similar a la que se alega como base de la censura casacional, se dará respuesta a todos los motivos.</w:t>
      </w:r>
    </w:p>
    <w:p w14:paraId="1C99E4C5" w14:textId="77777777" w:rsidR="003754FE" w:rsidRDefault="003754FE" w:rsidP="003754FE">
      <w:pPr>
        <w:pStyle w:val="TextoNormal"/>
      </w:pPr>
    </w:p>
    <w:p w14:paraId="4FAA8ED9" w14:textId="77777777" w:rsidR="003754FE" w:rsidRDefault="003754FE" w:rsidP="003754FE">
      <w:pPr>
        <w:pStyle w:val="TextoNormal"/>
      </w:pPr>
      <w:r>
        <w:t>Rebate el primer motivo de amparo, relativo a la vulneración del derecho a la legalidad penal (art. 25.1 CE) por aplicación inesperada e imprevisible del delito de prevaricación administrativa del art. 404 CP, porque tanto la sentencia de instancia como la de casación —de cuyos fundamentos hace citas muy extensas— justificaron acertadamente el juicio positivo de tipicidad en la consideración de que el procedimiento prelegislativo de elaboración de los anteproyectos de leyes de presupuestos constituye, de acuerdo con las normas legales y reglamentarias aplicables, un procedimiento de naturaleza administrativa, y que los actos y decisiones que fueron objeto de incriminación y condena constituyeron por ello resoluciones idóneas para realizar el tipo objetivo del delito de prevaricación, lo que se justificó en abundante cita de jurisprudencia del Tribunal Supremo así como en algunos precedentes del Tribunal Constitucional —se insiste en la STC 238/2007, de 21 de noviembre— que harían razonablemente previsible la aplicación de la norma penal. Destaca asimismo el relevante papel que la Dirección General de Presupuestos tuvo en la tramitación y aprobación de los anteproyectos de ley. Las mismas consideraciones se aplicarían a las modificaciones presupuestarias.</w:t>
      </w:r>
    </w:p>
    <w:p w14:paraId="1EE54CB6" w14:textId="77777777" w:rsidR="003754FE" w:rsidRDefault="003754FE" w:rsidP="003754FE">
      <w:pPr>
        <w:pStyle w:val="TextoNormal"/>
      </w:pPr>
    </w:p>
    <w:p w14:paraId="0FF89946" w14:textId="77777777" w:rsidR="003754FE" w:rsidRDefault="003754FE" w:rsidP="003754FE">
      <w:pPr>
        <w:pStyle w:val="TextoNormal"/>
      </w:pPr>
      <w:r>
        <w:t>Rechaza igualmente el segundo motivo de amparo, que denuncia vulneración del derecho a la legalidad penal (art. 25.1 CE) por inaplicación irrazonable de la prescripción del delito de prevaricación, arts. 130, 131 y 132 CP, porque se funda en una tergiversación del relato de hechos probados, que no se circunscribe a un hecho puntual cometido el 21 de octubre de 2002, como se afirma en el recurso, sino que se extiende a la intervención del recurrente en la elaboración, tramitación y aprobación de los proyectos de presupuestos y modificaciones presupuestarias desde el 15 de octubre de 2002 hasta el 22 de diciembre de 2008, lo que excluiría la prescripción del delito, como debidamente se razona en la sentencia del Tribunal Supremo (fundamento de Derecho 88).</w:t>
      </w:r>
    </w:p>
    <w:p w14:paraId="2164DE7A" w14:textId="77777777" w:rsidR="003754FE" w:rsidRDefault="003754FE" w:rsidP="003754FE">
      <w:pPr>
        <w:pStyle w:val="TextoNormal"/>
      </w:pPr>
    </w:p>
    <w:p w14:paraId="2D0D5A81" w14:textId="77777777" w:rsidR="003754FE" w:rsidRDefault="003754FE" w:rsidP="003754FE">
      <w:pPr>
        <w:pStyle w:val="TextoNormal"/>
      </w:pPr>
      <w:r>
        <w:t xml:space="preserve">Desecha finalmente el tercer motivo de amparo, relativo a la vulneración del derecho a la presunción de inocencia y del derecho a la tutela judicial efectiva, porque la sentencia de casación se limitó a precisar los hechos de la sentencia de instancia atribuidos al actor, en lo relativo a su intervención en la elaboración de los anteproyectos de presupuestos y modificaciones presupuestarias, con sus informes y memorias, sin que ello hubiera supuesto la </w:t>
      </w:r>
      <w:r>
        <w:lastRenderedPageBreak/>
        <w:t>introducción de alteraciones fácticas esenciales, tal y como se explica y razona en el auto de inadmisión del incidente de nulidad de actuaciones.</w:t>
      </w:r>
    </w:p>
    <w:p w14:paraId="1A896E5F" w14:textId="77777777" w:rsidR="003754FE" w:rsidRDefault="003754FE" w:rsidP="003754FE">
      <w:pPr>
        <w:pStyle w:val="TextoNormal"/>
      </w:pPr>
    </w:p>
    <w:p w14:paraId="5E782263" w14:textId="77777777" w:rsidR="003754FE" w:rsidRDefault="003754FE" w:rsidP="003754FE">
      <w:pPr>
        <w:pStyle w:val="TextoNormal"/>
      </w:pPr>
      <w:r>
        <w:t>e) Por escrito presentado el 9 de octubre de 2023 la procuradora de los tribunales doña Patricia Rosch Iglesias, actuando en nombre y representación de don Francisco Vallejo Serrano, bajo la dirección técnica de la letrada doña Encarnación Molino Barrero, solicitó se la tuviera por personada en el procedimiento a los efectos previstos en los arts. 47.1, 51.2 y 52.1 LOTC.</w:t>
      </w:r>
    </w:p>
    <w:p w14:paraId="50020312" w14:textId="77777777" w:rsidR="003754FE" w:rsidRDefault="003754FE" w:rsidP="003754FE">
      <w:pPr>
        <w:pStyle w:val="TextoNormal"/>
      </w:pPr>
    </w:p>
    <w:p w14:paraId="79A24BEF" w14:textId="77777777" w:rsidR="003754FE" w:rsidRDefault="003754FE" w:rsidP="003754FE">
      <w:pPr>
        <w:pStyle w:val="TextoNormal"/>
      </w:pPr>
      <w:r>
        <w:t>f) Por escrito presentado el 9 de octubre de 2023 la procuradora de los tribunales doña Patricia Rosch Iglesias, actuando en nombre y representación de don Jesús María Rodríguez Román, bajo la dirección técnica del letrado don Luis Aparicio Díaz, solicitó se la tuviera por personada en el procedimiento a los efectos previstos en los arts. 47.1, 51.2 y 52.1 LOTC.</w:t>
      </w:r>
    </w:p>
    <w:p w14:paraId="7EE6ED87" w14:textId="77777777" w:rsidR="003754FE" w:rsidRDefault="003754FE" w:rsidP="003754FE">
      <w:pPr>
        <w:pStyle w:val="TextoNormal"/>
      </w:pPr>
    </w:p>
    <w:p w14:paraId="3326556D" w14:textId="77777777" w:rsidR="003754FE" w:rsidRDefault="003754FE" w:rsidP="003754FE">
      <w:pPr>
        <w:pStyle w:val="TextoNormal"/>
      </w:pPr>
      <w:r>
        <w:t>g) Por escrito presentado el 10 de octubre de 2023, el procurador de los tribunales don Roberto Granizo Palomeque, actuando en nombre y representación de don José Antonio Griñán Martínez, bajo la dirección técnica del letrado don José María Calero Martínez, solicitó se le tuviera por personado en el procedimiento con el fin de sostener los derechos y ejercitar las acciones que a su mandante pudieran corresponder.</w:t>
      </w:r>
    </w:p>
    <w:p w14:paraId="26415BC4" w14:textId="77777777" w:rsidR="003754FE" w:rsidRDefault="003754FE" w:rsidP="003754FE">
      <w:pPr>
        <w:pStyle w:val="TextoNormal"/>
      </w:pPr>
    </w:p>
    <w:p w14:paraId="588D966E" w14:textId="77777777" w:rsidR="003754FE" w:rsidRDefault="003754FE" w:rsidP="003754FE">
      <w:pPr>
        <w:pStyle w:val="TextoNormal"/>
      </w:pPr>
      <w:r>
        <w:t>h) Por escrito presentado el 10 de octubre de 2023, la procuradora de los tribunales doña Olga Coca Alonso, actuando en nombre y representación de doña Carmen Martínez Aguayo, bajo la dirección técnica del letrado don Víctor Moreno Catena, solicitó que se le tuviera por personada en el procedimiento, manifestando al mismo tiempo su adhesión al recurso de amparo formulado por don Antonio Vicente Lozano Peña en todo lo que pueda favorecer a su mandante, por entender que los fundamentos, alegaciones y vulneraciones de derechos fundamentales denunciados son plenamente aplicables y predicables de doña Carmen Martínez Aguayo.</w:t>
      </w:r>
    </w:p>
    <w:p w14:paraId="4B680DF8" w14:textId="77777777" w:rsidR="003754FE" w:rsidRDefault="003754FE" w:rsidP="003754FE">
      <w:pPr>
        <w:pStyle w:val="TextoNormal"/>
      </w:pPr>
    </w:p>
    <w:p w14:paraId="51DB7147" w14:textId="77777777" w:rsidR="003754FE" w:rsidRDefault="003754FE" w:rsidP="003754FE">
      <w:pPr>
        <w:pStyle w:val="TextoNormal"/>
      </w:pPr>
      <w:r>
        <w:t>i) Por diligencia de ordenación de 23 de octubre de 2023 se tuvieron por recibidos los emplazamientos practicados por la Sección Primera de la Audiencia Provincial de Sevilla y se acordó tener por personados y parte en el proceso a la procuradora doña Patricia Rosch Iglesias, en nombre y representación de don Francisco Vallejo Serrano, a la misma procuradora señora Rosch Iglesias, en nombre y representación de don Jesús María Rodríguez Román, al procurador don Roberto Granizo Palomeque, en nombre y representación de don José Antonio Griñán Martínez, y a la procuradora doña Olga Coca Alonso, en nombre y representación de doña Carmen Martínez Aguayo.</w:t>
      </w:r>
    </w:p>
    <w:p w14:paraId="0610F93C" w14:textId="77777777" w:rsidR="003754FE" w:rsidRDefault="003754FE" w:rsidP="003754FE">
      <w:pPr>
        <w:pStyle w:val="TextoNormal"/>
      </w:pPr>
    </w:p>
    <w:p w14:paraId="66BA14A5" w14:textId="77777777" w:rsidR="003754FE" w:rsidRDefault="003754FE" w:rsidP="003754FE">
      <w:pPr>
        <w:pStyle w:val="TextoNormal"/>
      </w:pPr>
      <w:r>
        <w:t>Asimismo, a tenor de lo dispuesto en el artículo 52 LOTC, se dio vista de todas las actuaciones del presente recurso de amparo, por un plazo común de veinte días, a las citadas partes personadas, para que dentro de dicho término pudieran presentar las alegaciones que a su derecho conviniera.</w:t>
      </w:r>
    </w:p>
    <w:p w14:paraId="020AB39D" w14:textId="77777777" w:rsidR="003754FE" w:rsidRDefault="003754FE" w:rsidP="003754FE">
      <w:pPr>
        <w:pStyle w:val="TextoNormal"/>
      </w:pPr>
    </w:p>
    <w:p w14:paraId="3034DFA4" w14:textId="77777777" w:rsidR="003754FE" w:rsidRDefault="003754FE" w:rsidP="003754FE">
      <w:pPr>
        <w:pStyle w:val="TextoNormal"/>
      </w:pPr>
      <w:r>
        <w:t xml:space="preserve">j) Por escrito presentado el 26 de octubre de 2023 el fiscal ante el Tribunal Constitucional solicitó una prórroga para evacuar las alegaciones previstas en el art. 52 LOTC, por un plazo de treinta días hábiles complementarios a contar desde la conclusión del plazo ordinario, prevista para el 8 de noviembre de 2023. Por diligencia de ordenación de 30 de octubre de </w:t>
      </w:r>
      <w:r>
        <w:lastRenderedPageBreak/>
        <w:t>2023 se tuvo por recibido el anterior escrito del fiscal y se acordó ampliar el plazo en los términos solicitados.</w:t>
      </w:r>
    </w:p>
    <w:p w14:paraId="486E5187" w14:textId="77777777" w:rsidR="003754FE" w:rsidRDefault="003754FE" w:rsidP="003754FE">
      <w:pPr>
        <w:pStyle w:val="TextoNormal"/>
      </w:pPr>
    </w:p>
    <w:p w14:paraId="44DE7F1E" w14:textId="77777777" w:rsidR="003754FE" w:rsidRDefault="003754FE" w:rsidP="003754FE">
      <w:pPr>
        <w:pStyle w:val="TextoNormal"/>
      </w:pPr>
      <w:r>
        <w:t>k) Por escrito presentado el 20 de noviembre de 2023, la representación procesal de doña Carmen Martínez Aguayo evacuó escrito de alegaciones en el que manifestó su adhesión al presente recurso de amparo en todo lo que pudiera favorecer a su mandante, por entender que los fundamentos, alegaciones y vulneraciones de derechos fundamentales denunciados son plenamente aplicables a la misma, lo que conllevaría la revocación de las sentencias impugnadas y su absolución.</w:t>
      </w:r>
    </w:p>
    <w:p w14:paraId="185FF157" w14:textId="77777777" w:rsidR="003754FE" w:rsidRDefault="003754FE" w:rsidP="003754FE">
      <w:pPr>
        <w:pStyle w:val="TextoNormal"/>
      </w:pPr>
    </w:p>
    <w:p w14:paraId="59CE3164" w14:textId="77777777" w:rsidR="003754FE" w:rsidRDefault="003754FE" w:rsidP="003754FE">
      <w:pPr>
        <w:pStyle w:val="TextoNormal"/>
      </w:pPr>
      <w:r>
        <w:t>l) Por escrito presentado el 20 de noviembre de 2023, la representación procesal de don Jesús María Rodríguez Román evacuó escrito de alegaciones en el que solicitó la estimación del presente recurso de amparo, que se declarase la vulneración del derecho fundamental a la legalidad sancionadora (art. 25.1 CE) y que se declarasen nulas las sentencias impugnadas en el mismo.</w:t>
      </w:r>
    </w:p>
    <w:p w14:paraId="637289DE" w14:textId="77777777" w:rsidR="003754FE" w:rsidRDefault="003754FE" w:rsidP="003754FE">
      <w:pPr>
        <w:pStyle w:val="TextoNormal"/>
      </w:pPr>
    </w:p>
    <w:p w14:paraId="475614AF" w14:textId="77777777" w:rsidR="003754FE" w:rsidRDefault="003754FE" w:rsidP="003754FE">
      <w:pPr>
        <w:pStyle w:val="TextoNormal"/>
      </w:pPr>
      <w:r>
        <w:t xml:space="preserve">Aduce que, en lo concerniente al delito de prevaricación del art. 404 CP, se ha verificado una interpretación extensiva </w:t>
      </w:r>
      <w:r w:rsidRPr="003754FE">
        <w:rPr>
          <w:i/>
        </w:rPr>
        <w:t>in malam partem</w:t>
      </w:r>
      <w:r>
        <w:t xml:space="preserve"> de los conceptos típicos “resolución” y “asunto administrativo”, porque los acuerdos del Consejo de Gobierno de la Junta de Andalucía y las modificaciones presupuestarias son actos políticos o de gobierno, y no pueden ser considerados como asunto administrativo susceptible de revisión en vía jurisdiccional, incluida la penal, y porque no puede existir una ley ilegal, ni ilegalidades dentro de una ley. Conforme se dictamina en el informe pericial de los profesores señores Zornoza y Martínez Lago, las leyes de presupuestos posteriores a la Ley del Parlamento de Andalucía 15/2001, que contemplaron transferencias de financiación para finalidades no previstas en el art. 18.1 de esta ley, permiten descartar la ilegalidad de las partidas presupuestarias objeto de incriminación, pues procedía resolver el conflicto de normas conforme a los principios generales de que la ley especial prevalece sobre la general y la ley posterior deroga a la anterior. En cuanto a las modificaciones presupuestarias, el informe favorable del interventor general de la Junta de Andalucía, que resultó absuelto en la causa, y del interventor adjunto a la agencia IFA/IDEA excluye la existencia de una ilegalidad palmaria, manifiesta y evidente.</w:t>
      </w:r>
    </w:p>
    <w:p w14:paraId="3E5B079F" w14:textId="77777777" w:rsidR="003754FE" w:rsidRDefault="003754FE" w:rsidP="003754FE">
      <w:pPr>
        <w:pStyle w:val="TextoNormal"/>
      </w:pPr>
    </w:p>
    <w:p w14:paraId="2C8CD38A" w14:textId="602B864C" w:rsidR="003754FE" w:rsidRDefault="003754FE" w:rsidP="003754FE">
      <w:pPr>
        <w:pStyle w:val="TextoNormal"/>
      </w:pPr>
      <w:r>
        <w:t xml:space="preserve">m) Por escrito presentado el 22 de noviembre de 2023, la representación procesal de don Francisco Vallejo Serrano evacuó escrito de alegaciones en el que aduce que se ha vulnerado el derecho fundamental a la legalidad sancionadora (art. 25.1 CE) porque se ha verificado una interpretación extensiva </w:t>
      </w:r>
      <w:r w:rsidRPr="003754FE">
        <w:rPr>
          <w:i/>
        </w:rPr>
        <w:t>in malam partem</w:t>
      </w:r>
      <w:r>
        <w:t xml:space="preserve"> de los conceptos típicos del delito de prevaricación, “resolución” y “asunto administrativo”. Argumenta que no puede existir una ley ilegal, ni ilegalidades dentro de una ley, y que en este caso se incurre en una auténtica aporía pues se funda la condena en la supuesta ilegalidad de una partida presupuestaria incluida en las leyes de presupuestos por no ajustarse a lo prevenido en otra ley, la Ley 15/2001, de 26 de diciembre, por la que se aprueban medidas fiscales, presupuestarias, de control y administrativas. No puede afirmarse que el Parlamento no sabía lo que aprobaba, o que el Parlamento fuera inducido a error, que es la base del razonamiento que sostiene el castigo por prevaricación. Por otra parte, las transferencias de financiación no son ilegales, resultando incoherente, ilógico y arbitrario condenar a su mandante y al recurrente, mientras que se absuelve al señor interventor general de la Junta de Andalucía, que informó favorablemente todas las modificaciones presupuestarias, siendo conocedor de la citada figura presupuestaria “transferencias de financiación”, y garante de la legalidad presupuestaria.</w:t>
      </w:r>
    </w:p>
    <w:p w14:paraId="2CCC0D27" w14:textId="77777777" w:rsidR="003754FE" w:rsidRDefault="003754FE" w:rsidP="003754FE">
      <w:pPr>
        <w:pStyle w:val="TextoNormal"/>
      </w:pPr>
    </w:p>
    <w:p w14:paraId="77B6610F" w14:textId="77777777" w:rsidR="003754FE" w:rsidRDefault="003754FE" w:rsidP="003754FE">
      <w:pPr>
        <w:pStyle w:val="TextoNormal"/>
      </w:pPr>
      <w:r w:rsidRPr="003754FE">
        <w:rPr>
          <w:rStyle w:val="NumeroAFNegritaCaracter"/>
        </w:rPr>
        <w:t>6</w:t>
      </w:r>
      <w:r>
        <w:t>. Por escrito presentado el 8 de enero de 2024, el Ministerio Fiscal formuló alegaciones en las que interesó la estimación parcial de la demanda de amparo interpuesta por don Antonio Vicente Lozano Peña, solicitando su otorgamiento únicamente respecto de la condena por el delito de prevaricación, en lo concerniente a su participación en la aprobación de los sucesivos anteproyectos de leyes de presupuestos, interesando: a) que se declare vulnerado el derecho fundamental del recurrente a la legalidad penal (artículo 25.1 CE) en relación con dicho aspecto de la condena; y b) que se le restituya en la integridad de su derecho, acordando a tal efecto la nulidad de las resoluciones impugnadas y la retroacción del procedimiento al momento anterior al dictado de la sentencia de instancia para que por la Audiencia Provincial de Sevilla se dicte un nuevo fallo respetuoso con el derecho vulnerado. Respecto de las restantes vulneraciones denunciadas, interesa su desestimación.</w:t>
      </w:r>
    </w:p>
    <w:p w14:paraId="36B07ACB" w14:textId="77777777" w:rsidR="003754FE" w:rsidRDefault="003754FE" w:rsidP="003754FE">
      <w:pPr>
        <w:pStyle w:val="TextoNormal"/>
      </w:pPr>
    </w:p>
    <w:p w14:paraId="31A3F985" w14:textId="77777777" w:rsidR="003754FE" w:rsidRDefault="003754FE" w:rsidP="003754FE">
      <w:pPr>
        <w:pStyle w:val="TextoNormal"/>
      </w:pPr>
      <w:r>
        <w:t>La fiscal ante el Tribunal Constitucional que suscribe el escrito de alegaciones, tras identificar las resoluciones judiciales impugnadas en la demanda de amparo, y sus motivos de queja, empieza manifestando que se cumplen los requisitos de admisibilidad, pasando al examen del primero de ellos, que denuncia la vulneración del derecho a la legalidad penal (art. 25.1 CE) por arbitraria aplicación del delito de prevaricación administrativa del art. 404 CP, a cuyo fin expone y aplica los parámetros de control que la doctrina constitucional (por todas, STC 47/2022, de 24 de marzo, FJ 8.2.1.1), ha establecido para juzgar la razonabilidad de la subsunción de los hechos probados en la norma penal, que se cifran en: (i) el respeto al tenor literal del precepto; (ii) un soporte metodológico, que excluye una argumentación ilógica o indiscutiblemente extravagante; y (iii) un soporte axiológico, que proscribe una base valorativa que resulte ajena a los criterios que informan nuestro ordenamiento constitucional.</w:t>
      </w:r>
    </w:p>
    <w:p w14:paraId="20145DAD" w14:textId="77777777" w:rsidR="003754FE" w:rsidRDefault="003754FE" w:rsidP="003754FE">
      <w:pPr>
        <w:pStyle w:val="TextoNormal"/>
      </w:pPr>
    </w:p>
    <w:p w14:paraId="1A2D9CB7" w14:textId="77777777" w:rsidR="003754FE" w:rsidRDefault="003754FE" w:rsidP="003754FE">
      <w:pPr>
        <w:pStyle w:val="TextoNormal"/>
      </w:pPr>
      <w:r>
        <w:t>Desde el punto de vista metodológico, la fiscal, tras destacar la novedad que representa ver aplicado el tipo de la prevaricación administrativa del art. 404 CP a la decisión de un Gobierno de presentar al Parlamento un proyecto de ley, manifiesta que la argumentación empleada en las resoluciones judiciales para justificarla presenta graves deficiencias. La fiscal considera que se ha de partir de que tanto el Tribunal Constitucional como la Sala de lo Contencioso-Administrativo del Tribunal Supremo han rehusado entrar a revisar tal tipo de decisiones gubernamentales: El Tribunal Constitucional, al pronunciarse sobre la naturaleza de la decisión de enviar a las Cortes un proyecto de ley (STC 45/1990, de 15 de marzo) o sobre la adopción por el Consejo de Ministros de acuerdos en materia presupuestaria o asimilada a ella (SSTS 1035/2016, 1036/2016, 1037/2016, 1038/2016 y 1039/2016), precedentes en los que ha establecido que no tiene sentido admitir un recurso contra un proyecto de ley que no es aún norma y que puede sufrir modificaciones o incluso no ser aprobado en su tramitación parlamentaria, ni cercenar las facultades del Gobierno en el ejercicio de la iniciativa legislativa sometiendo al Parlamento a tutelas innecesarias, cuando el órgano legislativo puede modificar el proyecto de ley y cuando se dispone de instrumentos jurídicos que pueden corregir las ilegalidades que se adviertan en la ley finalmente aprobada; la Sala de lo Contencioso-Administrativo del Tribunal Supremo, en aquellos casos en los que ha descartado revisar la iniciativa legislativa del Consejo de Gobierno porque se trata de una actuación no regulada por el Derecho Administrativo.</w:t>
      </w:r>
    </w:p>
    <w:p w14:paraId="0F429AAC" w14:textId="77777777" w:rsidR="003754FE" w:rsidRDefault="003754FE" w:rsidP="003754FE">
      <w:pPr>
        <w:pStyle w:val="TextoNormal"/>
      </w:pPr>
    </w:p>
    <w:p w14:paraId="1A47DF4A" w14:textId="77777777" w:rsidR="003754FE" w:rsidRDefault="003754FE" w:rsidP="003754FE">
      <w:pPr>
        <w:pStyle w:val="TextoNormal"/>
      </w:pPr>
      <w:r>
        <w:t xml:space="preserve">Frente a tan claros planteamientos, las resoluciones judiciales impugnadas en el presente recurso de amparo reconocen a la jurisdicción penal una capacidad para controlar la </w:t>
      </w:r>
      <w:r>
        <w:lastRenderedPageBreak/>
        <w:t>iniciativa legislativa del Consejo de Gobierno, basada en su supuesta naturaleza administrativa, que resulta metodológicamente inconsistente porque: (i) la atribución de competencia al Gobierno para la iniciativa legislativa no predetermina ni califica necesariamente la naturaleza gubernativa —y por tanto administrativa— de esa función; (ii) el que esa actividad prelegislativa se halle regulada por normas de organización, procedimiento y delimitación de sus contenidos, ni excluye por definición su naturaleza política ni supone forzosamente que esté sujeta al Derecho administrativo; y (iii) en el Reglamento del Parlamento de Andalucía la iniciativa del Consejo de Gobierno está claramente integrada en el proceso legislativo, como materia propia del mismo. Por tales razones, el argumento de que la aprobación del anteproyecto de ley es un acto recaído en asunto administrativo porque finaliza un procedimiento de elaboración previo convierte el presupuesto en consecuencia. Tratándose de un acto que, conforme al art. 108 del Reglamento del Parlamento de Andalucía, no tiene otra repercusión formal o material en la esfera jurídica que la de provocar la apertura de la fase parlamentaria del procedimiento legislativo, no es posible concretar ningún daño específico a personas o servicios públicos, lo que también constituye una exigencia del delito de prevaricación. Afirma que “[n]o se desprende de la motivación judicial examinada una razón concluyente que permita suponer —y mucho menos tener por acreditado— que en el momento de los hechos el recurrente en amparo se hallara en situación de contemplar como razonablemente previsible que, en su calidad de director general de Presupuestos, pudiera ser condenado por prevaricación administrativa como consecuencia del ejercicio (por irregular que hubiera sido la tramitación del procedimiento o por jurídicamente cuestionable que pudiera resultar su contenido) de la iniciativa legislativa prevista en el Estatuto de Autonomía y en el Reglamento del Parlamento andaluz”.</w:t>
      </w:r>
    </w:p>
    <w:p w14:paraId="10053A7E" w14:textId="77777777" w:rsidR="003754FE" w:rsidRDefault="003754FE" w:rsidP="003754FE">
      <w:pPr>
        <w:pStyle w:val="TextoNormal"/>
      </w:pPr>
    </w:p>
    <w:p w14:paraId="37144741" w14:textId="77777777" w:rsidR="003754FE" w:rsidRDefault="003754FE" w:rsidP="003754FE">
      <w:pPr>
        <w:pStyle w:val="TextoNormal"/>
      </w:pPr>
      <w:r>
        <w:t xml:space="preserve">La fiscal también observa contradicciones metodológicas insalvables en otros momentos de la argumentación judicial, como cuando el tribunal penal, para ejercer su jurisdicción y evitar la impunidad, se autoatribuye una capacidad autónoma de control de la legalidad de un acto que, en ese mismo plano de la legalidad, e incluso de su constitucionalidad material, han rehusado ejercer la jurisdicción contenciosa y la constitucional, lo que entra en colisión con uno de los principios esenciales del Derecho penal, el de intervención mínima y </w:t>
      </w:r>
      <w:r w:rsidRPr="003754FE">
        <w:rPr>
          <w:i/>
        </w:rPr>
        <w:t>ultima ratio</w:t>
      </w:r>
      <w:r>
        <w:t xml:space="preserve">, de reconocida dimensión constitucional (STC 24/2004, de 24 de febrero, FJ 5), o cuando distingue en la actuación del Consejo de Gobierno una vertiente política, consistente en la remisión del proyecto de ley al Parlamento, y una vertiente administrativa o gubernativa, que estaría sujeta a un control de legalidad y a la exigencia de responsabilidad penal a sus autores, punto en el que surge nuevamente el factor de imprevisibilidad de la represión penal. Considera que “la sensación de impunidad que subjetivamente pueda suscitar —incluso al tribunal que juzga los hechos— la eventual limitación del </w:t>
      </w:r>
      <w:r w:rsidRPr="003754FE">
        <w:rPr>
          <w:i/>
        </w:rPr>
        <w:t>ius puniendi</w:t>
      </w:r>
      <w:r>
        <w:t xml:space="preserve"> en determinados supuestos no puede hacerse valer como fundamento de una condena sin una previa reflexión relativa, precisamente, a la ponderación de principios e intereses constitucionales sobre los que se asienta el ejercicio del poder público, incluido el de la potestad jurisdiccional que invoca la sentencia”.</w:t>
      </w:r>
    </w:p>
    <w:p w14:paraId="7CD1B0C9" w14:textId="77777777" w:rsidR="003754FE" w:rsidRDefault="003754FE" w:rsidP="003754FE">
      <w:pPr>
        <w:pStyle w:val="TextoNormal"/>
      </w:pPr>
    </w:p>
    <w:p w14:paraId="0709D230" w14:textId="77777777" w:rsidR="003754FE" w:rsidRDefault="003754FE" w:rsidP="003754FE">
      <w:pPr>
        <w:pStyle w:val="TextoNormal"/>
      </w:pPr>
      <w:r>
        <w:t xml:space="preserve">Desde el punto de vista axiológico-constitucional, la fiscal califica de inasumible el planteamiento de que los tribunales del orden jurisdiccional penal puedan fiscalizar la legalidad de los proyectos de ley antes —o al margen— de su toma en consideración, su valoración, enmienda y aprobación, o no, por los parlamentos, pues esta lógica contradice abiertamente la doctrina del Tribunal Constitucional y la jurisprudencia de la Sala de lo Contencioso-Administrativo del Tribunal Supremo, y menoscaba el principio de separación de poderes y </w:t>
      </w:r>
      <w:r>
        <w:lastRenderedPageBreak/>
        <w:t>la autonomía del Poder Legislativo en el ejercicio de la potestad legislativa que le atribuye el art. 66.2 CE, como manifestación directa de la voluntad popular (STC 70/2022, de 2 de junio, FJ 5), razón por la que “a juicio de esta Fiscalía, una correcta contemplación del posible conflicto entre la aplicación de la norma penal y la tutela de la autonomía del Parlamento para legislar, en concreto a partir de la iniciativa del Ejecutivo, forzosamente ha de resolverse a favor de la exclusión de un control penal de la legalidad de esa iniciativa. […] No cabe invocar la autonomía penal frente a la autonomía parlamentaria, porque, como se desprende de la repetidamente mencionada STC 70/2022 no es planteable siquiera la interacción en el ejercicio de ambas potestades constitucionales: el ejercicio de la jurisdicción está sometido al imperio de la ley (art. 117.1 CE), y por tanto no puede interferir en su elaboración, que corresponde en exclusiva a las Cortes y a los parlamentos autonómicos, a partir de la iniciativa legislativa de cualquiera de los sujetos legitimados para adoptarla. En consecuencia, resulta inevitable llegar a la conclusión de que el razonamiento de las sentencias impugnadas que, al no abordar en absoluto un tratamiento constitucional de ese conflicto de legitimidades, anteponiendo a cualquier otra consideración el ejercicio eficaz de la jurisdicción penal, carece de un soporte axiológico verdaderamente conforme a los valores de la Constitución. Es decir, se apoya en ‘una base valorativa ajena a los criterios que informan nuestro ordenamiento constitucional’ y de este modo obtiene ‘soluciones esencialmente opuestas a la orientación material de la norma y, por ello, imprevisibles para sus destinatarios’ (STC 137/1997, de 21 de julio, FJ 7)”.</w:t>
      </w:r>
    </w:p>
    <w:p w14:paraId="5AF30DD1" w14:textId="77777777" w:rsidR="003754FE" w:rsidRDefault="003754FE" w:rsidP="003754FE">
      <w:pPr>
        <w:pStyle w:val="TextoNormal"/>
      </w:pPr>
    </w:p>
    <w:p w14:paraId="7EB7FA23" w14:textId="77777777" w:rsidR="003754FE" w:rsidRDefault="003754FE" w:rsidP="003754FE">
      <w:pPr>
        <w:pStyle w:val="TextoNormal"/>
      </w:pPr>
      <w:r>
        <w:t>Por el contrario, la fiscal ante el Tribunal Constitucional sostiene en su escrito de alegaciones que el juicio que merece la incriminación penal de las modificaciones presupuestarias en las que el recurrente en amparo intervino en el desempeño de su cargo de director general de Presupuestos debe ser completamente distinto, porque al ser tales modificaciones presupuestarias actos de aplicación de la ley, y no de modificación de la misma, competencia del Consejo de Gobierno o, en su caso, a la Consejería de Hacienda, su subsunción en el delito de prevaricación administrativa del art. 404 CP era admisible, sin que ello supusiera incurrir en una interpretación de la norma penal extravagante o ajena a los modelos aceptados por la comunidad jurídica, desde un punto de vista metodológico, ni en los problemas de índole axiológica que suscitaba la incriminación penal de los actos de elaboración de las leyes de presupuestos. Considera por ello que, en el marco de estas modificaciones presupuestarias, la motivación ofrecida en las resoluciones judiciales para aseverar la arbitrariedad del uso de la aplicación de las transferencias de financiación para conceder subvenciones sin sujeción a control estaba suficientemente justificada.</w:t>
      </w:r>
    </w:p>
    <w:p w14:paraId="7FCA44F1" w14:textId="77777777" w:rsidR="003754FE" w:rsidRDefault="003754FE" w:rsidP="003754FE">
      <w:pPr>
        <w:pStyle w:val="TextoNormal"/>
      </w:pPr>
    </w:p>
    <w:p w14:paraId="3FED8315" w14:textId="77777777" w:rsidR="003754FE" w:rsidRDefault="003754FE" w:rsidP="003754FE">
      <w:pPr>
        <w:pStyle w:val="TextoNormal"/>
      </w:pPr>
      <w:r>
        <w:t>La fiscal rebate los restantes motivos de amparo con estos argumentos:</w:t>
      </w:r>
    </w:p>
    <w:p w14:paraId="160721C5" w14:textId="77777777" w:rsidR="003754FE" w:rsidRDefault="003754FE" w:rsidP="003754FE">
      <w:pPr>
        <w:pStyle w:val="TextoNormal"/>
      </w:pPr>
    </w:p>
    <w:p w14:paraId="5877E874" w14:textId="77777777" w:rsidR="003754FE" w:rsidRDefault="003754FE" w:rsidP="003754FE">
      <w:pPr>
        <w:pStyle w:val="TextoNormal"/>
      </w:pPr>
      <w:r>
        <w:t>(i) No se ha vulnerado el derecho a la legalidad penal (art. 25.1 CE) por indebida inaplicación del instituto de la prescripción, porque las resoluciones judiciales impugnadas, en los hechos y en los fundamentos jurídicos, basan la condena por delito de prevaricación en la intervención que el actor tuvo en los procesos de elaboración y aprobación de las modificaciones presupuestarias y de los proyectos anuales de presupuestos mientras desempeñó su cargo de director general de Presupuestos, en el período de 2002 a 2009, y no únicamente, como se afirma la demanda, en su intervención en la modificación presupuestaria de 21 de diciembre de 2002.</w:t>
      </w:r>
    </w:p>
    <w:p w14:paraId="059C6E86" w14:textId="77777777" w:rsidR="003754FE" w:rsidRDefault="003754FE" w:rsidP="003754FE">
      <w:pPr>
        <w:pStyle w:val="TextoNormal"/>
      </w:pPr>
    </w:p>
    <w:p w14:paraId="3C07896B" w14:textId="1BE99169" w:rsidR="003754FE" w:rsidRDefault="003754FE" w:rsidP="003754FE">
      <w:pPr>
        <w:pStyle w:val="TextoNormal"/>
      </w:pPr>
      <w:r>
        <w:lastRenderedPageBreak/>
        <w:t>(ii) Las resoluciones judiciales impugnadas precisaron suficientemente las actuaciones prevaricadoras que el actor realizó en el ejercicio de sus competencias. No se observa en la sentencia casacional una ampliación de los hechos probados, que quedaron descritos y detallados en el relato fáctico de la sentencia de la Audiencia Provincial, con el complemento de su fundamento de Derecho 35. El Tribunal Supremo lo que hizo fue concretar las resoluciones susceptibles de tipificación penal a partir del relato de hechos probados de la sentencia de instancia, que era genérica pero suficiente, y con la argumentación jurídica realizada para el juicio de subsunción, que se contenía en los fundamentos 35 y 45, precisando, a continuación, que se incluían las resoluciones dictadas en el proceso de elaboración y aprobación de los presupuestos y modificaciones presupuestarias de acuerdo con las declaraciones y razonamientos de la sentencia de instancia.</w:t>
      </w:r>
    </w:p>
    <w:p w14:paraId="39E968D3" w14:textId="77777777" w:rsidR="003754FE" w:rsidRDefault="003754FE" w:rsidP="003754FE">
      <w:pPr>
        <w:pStyle w:val="TextoNormal"/>
      </w:pPr>
    </w:p>
    <w:p w14:paraId="779D625F" w14:textId="6BD3CF5E" w:rsidR="003754FE" w:rsidRDefault="003754FE" w:rsidP="003754FE">
      <w:pPr>
        <w:pStyle w:val="TextoNormal"/>
      </w:pPr>
      <w:r w:rsidRPr="003754FE">
        <w:rPr>
          <w:rStyle w:val="NumeroAFNegritaCaracter"/>
        </w:rPr>
        <w:t>7</w:t>
      </w:r>
      <w:r>
        <w:t>. Por providencia de 16 de julio de 2024 se señaló para la deliberación y votación de la presente sentencia el día 17 del mismo mes y año.</w:t>
      </w:r>
    </w:p>
    <w:p w14:paraId="73449437" w14:textId="77777777" w:rsidR="003754FE" w:rsidRDefault="003754FE" w:rsidP="003754FE">
      <w:pPr>
        <w:pStyle w:val="TextoNormal"/>
      </w:pPr>
    </w:p>
    <w:p w14:paraId="64203B41" w14:textId="77777777" w:rsidR="003754FE" w:rsidRDefault="003754FE" w:rsidP="003754FE">
      <w:pPr>
        <w:pStyle w:val="TextoNormalNegritaCentrado"/>
        <w:keepNext/>
      </w:pPr>
      <w:r>
        <w:t>II. Fundamentos jurídicos</w:t>
      </w:r>
    </w:p>
    <w:p w14:paraId="260A8309" w14:textId="7C51AB29" w:rsidR="003754FE" w:rsidRDefault="003754FE" w:rsidP="003754FE">
      <w:pPr>
        <w:pStyle w:val="TextoNormalNegritaCentrado"/>
        <w:keepNext/>
      </w:pPr>
    </w:p>
    <w:p w14:paraId="0420AF5F" w14:textId="77777777" w:rsidR="003754FE" w:rsidRDefault="003754FE" w:rsidP="003754FE">
      <w:pPr>
        <w:pStyle w:val="TextoNormal"/>
      </w:pPr>
      <w:r w:rsidRPr="003754FE">
        <w:rPr>
          <w:rStyle w:val="NumeroAFNegritaCaracter"/>
        </w:rPr>
        <w:t>1</w:t>
      </w:r>
      <w:r>
        <w:t xml:space="preserve">. </w:t>
      </w:r>
      <w:r w:rsidRPr="003754FE">
        <w:rPr>
          <w:i/>
        </w:rPr>
        <w:t>Objeto del recurso, posiciones de las partes y óbices procesales</w:t>
      </w:r>
    </w:p>
    <w:p w14:paraId="63B970ED" w14:textId="77777777" w:rsidR="003754FE" w:rsidRDefault="003754FE" w:rsidP="003754FE">
      <w:pPr>
        <w:pStyle w:val="TextoNormal"/>
      </w:pPr>
    </w:p>
    <w:p w14:paraId="6E917994" w14:textId="77777777" w:rsidR="003754FE" w:rsidRDefault="003754FE" w:rsidP="003754FE">
      <w:pPr>
        <w:pStyle w:val="TextoNormal"/>
      </w:pPr>
      <w:r>
        <w:t xml:space="preserve">1.1. </w:t>
      </w:r>
      <w:r w:rsidRPr="003754FE">
        <w:rPr>
          <w:i/>
        </w:rPr>
        <w:t>Objeto del recurso y posiciones de las partes</w:t>
      </w:r>
    </w:p>
    <w:p w14:paraId="2DDB0E57" w14:textId="77777777" w:rsidR="003754FE" w:rsidRDefault="003754FE" w:rsidP="003754FE">
      <w:pPr>
        <w:pStyle w:val="TextoNormal"/>
      </w:pPr>
    </w:p>
    <w:p w14:paraId="54C65539" w14:textId="77777777" w:rsidR="003754FE" w:rsidRDefault="003754FE" w:rsidP="003754FE">
      <w:pPr>
        <w:pStyle w:val="TextoNormal"/>
      </w:pPr>
      <w:r>
        <w:t>El presente recurso de amparo se dirige contra las siguientes resoluciones: (i) la sentencia núm. 490/2019, de 19 de noviembre, dictada por la Sección Primera de la Audiencia Provincial de Sevilla en el rollo núm. 1965-2017, dimanante del procedimiento abreviado núm. 133-2016, que condenó al demandante de amparo como autor de un delito continuado de prevaricación, previsto en el art. 404 CP, a la pena de nueve años de inhabilitación especial para todo cargo público de carácter electivo o de designación en cualquier administración pública; (ii) la sentencia de la Sala de lo Penal del Tribunal Supremo núm. 749/2022, de 13 de septiembre, que desestima el recurso de casación formulado frente a la anterior resolución (recurso de casación núm. 601-2020), y el auto de la Sala de lo Penal del Tribunal Supremo de 16 de febrero de 2023 por el que se inadmite el incidente de nulidad de actuaciones interpuesto contra la sentencia recaída en el recurso de casación.</w:t>
      </w:r>
    </w:p>
    <w:p w14:paraId="0A2F8FE2" w14:textId="77777777" w:rsidR="003754FE" w:rsidRDefault="003754FE" w:rsidP="003754FE">
      <w:pPr>
        <w:pStyle w:val="TextoNormal"/>
      </w:pPr>
    </w:p>
    <w:p w14:paraId="14C987E6" w14:textId="77777777" w:rsidR="003754FE" w:rsidRDefault="003754FE" w:rsidP="003754FE">
      <w:pPr>
        <w:pStyle w:val="TextoNormal"/>
      </w:pPr>
      <w:r>
        <w:t>El recurrente alega en su escrito de demanda las siguientes vulneraciones de derechos fundamentales: (i) la vulneración del derecho a la legalidad penal (art. 25.1 CE), al considerar que las resoluciones judiciales han efectuado una subsunción irrazonable de los hechos probados en el delito de prevaricación (art. 404 CP); (ii) la vulneración del derecho a la legalidad penal (art. 25.1 CE) por la inaplicación, inesperada e imprevisible, de la regulación de la prescripción contenida en los arts. 130, 131 y 132 CP, y (iii) la vulneración del derecho a la presunción de inocencia por la ausencia de explicación del elemento objetivo de la “resolución en asunto administrativo”. Alternativamente, aduce la lesión del derecho a la tutela judicial efectiva y a la presunción de inocencia, al incluirse en la respuesta al motivo casacional del apartado motivo I (prescripción) la modificación de aspectos fácticos esenciales de la sentencia; concretamente, en la determinación de las resoluciones consideradas tales a efectos del delito de prevaricación, incluyendo unas denominadas “memorias favorables”.</w:t>
      </w:r>
    </w:p>
    <w:p w14:paraId="50F131A3" w14:textId="77777777" w:rsidR="003754FE" w:rsidRDefault="003754FE" w:rsidP="003754FE">
      <w:pPr>
        <w:pStyle w:val="TextoNormal"/>
      </w:pPr>
    </w:p>
    <w:p w14:paraId="63C190FD" w14:textId="77777777" w:rsidR="003754FE" w:rsidRDefault="003754FE" w:rsidP="003754FE">
      <w:pPr>
        <w:pStyle w:val="TextoNormal"/>
      </w:pPr>
      <w:r>
        <w:lastRenderedPageBreak/>
        <w:t>El Partido Popular formuló alegaciones en las que interesó la desestimación del recurso de amparo. No obstante, en relación con los motivos primero y segundo en los que se fundamenta este recurso [la vulneración del derecho a la legalidad penal (art. 25.1 CE) por haber efectuado una subsunción irrazonable de los hechos probados en el delito de prevaricación y por no haber apreciado la prescripción del delito de prevaricación], alega, como cuestión previa, que el derecho fundamental que ahora se aduce en amparo (el consagrado en el art. 25.1 CE) no fue invocado en la vía judicial y, por este motivo, no cumple el requisito procesal que establece el art. 44.1 c) LOTC. En lo que se refiere a la cuestión de fondo, esta parte procesal manifiesta su sustancial conformidad con los fundamentos fácticos y jurídicos de las resoluciones judiciales impugnadas. Además, aduce que en el recurso de amparo se ha efectuado una selección parcial y fragmentada de los fundamentos de la condena. Por todo ello, solicita la desestimación del recurso.</w:t>
      </w:r>
    </w:p>
    <w:p w14:paraId="305218DD" w14:textId="77777777" w:rsidR="003754FE" w:rsidRDefault="003754FE" w:rsidP="003754FE">
      <w:pPr>
        <w:pStyle w:val="TextoNormal"/>
      </w:pPr>
    </w:p>
    <w:p w14:paraId="1BB07ABC" w14:textId="77777777" w:rsidR="003754FE" w:rsidRDefault="003754FE" w:rsidP="003754FE">
      <w:pPr>
        <w:pStyle w:val="TextoNormal"/>
      </w:pPr>
      <w:r>
        <w:t xml:space="preserve">La representación procesal de doña Carmen Martínez Aguayo se adhiere al presente recurso en todo lo que pueda favorecer a su mandante. La representación procesal de don Jesús María Rodríguez Román y la de don Francisco Vallejo Serrano solicitan la estimación del recurso al apreciar que las resoluciones impugnadas han vulnerado el derecho fundamental a la legalidad sancionadora (art. 25.1 CE) al efectuar una interpretación extensiva </w:t>
      </w:r>
      <w:r w:rsidRPr="003754FE">
        <w:rPr>
          <w:i/>
        </w:rPr>
        <w:t>in malam partem</w:t>
      </w:r>
      <w:r>
        <w:t xml:space="preserve"> de los conceptos típicos “resolución” y “asunto administrativo”.</w:t>
      </w:r>
    </w:p>
    <w:p w14:paraId="196017DA" w14:textId="77777777" w:rsidR="003754FE" w:rsidRDefault="003754FE" w:rsidP="003754FE">
      <w:pPr>
        <w:pStyle w:val="TextoNormal"/>
      </w:pPr>
    </w:p>
    <w:p w14:paraId="606456BE" w14:textId="77777777" w:rsidR="003754FE" w:rsidRDefault="003754FE" w:rsidP="003754FE">
      <w:pPr>
        <w:pStyle w:val="TextoNormal"/>
      </w:pPr>
      <w:r>
        <w:t>El Ministerio Fiscal presentó alegaciones en las que interesó la estimación parcial del recurso de amparo interpuesto por don Antonio Vicente Lozano Peña. Solicita su otorgamiento únicamente respecto de la condena por el delito de prevaricación, en lo concerniente a su participación en la aprobación de los sucesivos anteproyectos de leyes de presupuestos. Respecto de las restantes vulneraciones aducidas solicita su desestimación.</w:t>
      </w:r>
    </w:p>
    <w:p w14:paraId="09264E80" w14:textId="77777777" w:rsidR="003754FE" w:rsidRDefault="003754FE" w:rsidP="003754FE">
      <w:pPr>
        <w:pStyle w:val="TextoNormal"/>
      </w:pPr>
    </w:p>
    <w:p w14:paraId="5CA2034A" w14:textId="77777777" w:rsidR="003754FE" w:rsidRDefault="003754FE" w:rsidP="003754FE">
      <w:pPr>
        <w:pStyle w:val="TextoNormal"/>
      </w:pPr>
      <w:r>
        <w:t xml:space="preserve">1.2. </w:t>
      </w:r>
      <w:r w:rsidRPr="003754FE">
        <w:rPr>
          <w:i/>
        </w:rPr>
        <w:t>Óbice procesal</w:t>
      </w:r>
    </w:p>
    <w:p w14:paraId="1647A5FA" w14:textId="77777777" w:rsidR="003754FE" w:rsidRDefault="003754FE" w:rsidP="003754FE">
      <w:pPr>
        <w:pStyle w:val="TextoNormal"/>
      </w:pPr>
    </w:p>
    <w:p w14:paraId="21D2861F" w14:textId="77777777" w:rsidR="003754FE" w:rsidRDefault="003754FE" w:rsidP="003754FE">
      <w:pPr>
        <w:pStyle w:val="TextoNormal"/>
      </w:pPr>
      <w:r>
        <w:t>Como se acaba de indicar, el Partido Popular aduce, como cuestión previa, que los motivos primero y segundo del recurso de amparo incurren en la causa de inadmisibilidad prevista en el art. 44.1 c) LOTC, al no haberse invocado en la vía judicial la vulneración del derecho a la legalidad penal (art. 25.1 CE).</w:t>
      </w:r>
    </w:p>
    <w:p w14:paraId="7C122C0C" w14:textId="77777777" w:rsidR="003754FE" w:rsidRDefault="003754FE" w:rsidP="003754FE">
      <w:pPr>
        <w:pStyle w:val="TextoNormal"/>
      </w:pPr>
    </w:p>
    <w:p w14:paraId="09B6EF61" w14:textId="77777777" w:rsidR="003754FE" w:rsidRDefault="003754FE" w:rsidP="003754FE">
      <w:pPr>
        <w:pStyle w:val="TextoNormal"/>
      </w:pPr>
      <w:r>
        <w:t xml:space="preserve">Como ha señalado el Tribunal en la STC 100/2024, de 16 de julio, FJ 1.2, en un supuesto similar al que ahora se suscita, el hecho de que la argumentación del recurso de casación no sea igual que la expuesta en el recurso de amparo no determina que haya de apreciarse esta causa de inadmisibilidad, pues la jurisprudencia constitucional no exige esta coincidencia (STC 41/2012, de 29 de marzo, FJ 4)). El Tribunal, desde siempre, ha interpretado este requisito de forma flexible, rechazando una interpretación excesivamente rigorista (entre otras muchas, STC 132/2006, de 27 de abril, FJ 6). Por ello, ha declarado que el requisito que establece el art. 44.1 c) LOTC no supone necesaria e inexcusablemente la cita concreta y numérica del precepto de la Constitución en el que se reconoce el derecho supuestamente vulnerado, ni tampoco la mención de su </w:t>
      </w:r>
      <w:r w:rsidRPr="003754FE">
        <w:rPr>
          <w:i/>
        </w:rPr>
        <w:t>nomen iuris</w:t>
      </w:r>
      <w:r>
        <w:t xml:space="preserve">. Como ha indicado, la citada STC 41/2012, FJ 4, “lo decisivo es que a través de las alegaciones que se formulen en la vía judicial (STC 162/1990, de 22 de octubre, FJ 2), de los términos en que se ha planteado el debate procesal (STC 145/1993, de 26 de abril, FJ 2), o de la descripción fáctica o histórica o de los datos o circunstancias de hecho de la violación del derecho fundamental o del agravio del mismo (STC 105/1992, de 1 de julio, FJ 2) se permita a los órganos judiciales su </w:t>
      </w:r>
      <w:r>
        <w:lastRenderedPageBreak/>
        <w:t>conocimiento en orden a que, de un lado, puedan argumentar y pronunciarse sobre la cuestión, y, de otro, reparen, en su caso, la vulneración aducida. En definitiva, se ha de poner en conocimiento del órgano judicial el ‘hecho fundamentador de la vulneración’ (STC 29/2004, de 4 de marzo, FJ 3), de modo que la pretensión deducida en amparo no tenga un contenido distinto a la que se hizo valer ante los órganos judiciales y evitar así que el recurso de amparo se convierta en un remedio alternativo e independiente de protección de los derechos fundamentales (STC 201/2000, de 24 de julio, FJ 3, por todas)”.</w:t>
      </w:r>
    </w:p>
    <w:p w14:paraId="01067A44" w14:textId="77777777" w:rsidR="003754FE" w:rsidRDefault="003754FE" w:rsidP="003754FE">
      <w:pPr>
        <w:pStyle w:val="TextoNormal"/>
      </w:pPr>
    </w:p>
    <w:p w14:paraId="2E6FDB58" w14:textId="77777777" w:rsidR="003754FE" w:rsidRDefault="003754FE" w:rsidP="003754FE">
      <w:pPr>
        <w:pStyle w:val="TextoNormal"/>
      </w:pPr>
      <w:r>
        <w:t>En el presente caso se cumplen estos requisitos. Como reconoce la representación procesal del Partido Popular, las cuestiones que ahora se plantean fueron suscitadas en el recurso de casación. En este recurso se adujo tanto la indebida subsunción de los hechos probados en el delito de prevaricación como la inaplicación de las normas relativas a la prescripción de este delito. En efecto, en los motivos casacionales, el ahora recurrente en amparo reprocha a la sentencia de la Audiencia Provincial tanto “la inaplicación indebida de los arts. 130, 131 y 132 CP”, que son los que regulan la prescripción, como una indebida subsunción de los hechos probados en el delito de prevaricación. En relación con esta última queja se alegó, entre otras cosas, que al haber considerado constitutivo del delito de prevaricación actuaciones como son la elaboración del anteproyecto de la ley de presupuestos y la tramitación de modificaciones presupuestarias, que no pueden considerarse como una “resolución” recaída en “asunto administrativo”, se había efectuado una interpretación que desbordaba las previsiones del tipo legal de este delito. Este planteamiento es suficiente para que el Tribunal Supremo haya podido examinar si la Audiencia Provincial ha efectuado una aplicación de los elementos típicos del delito de prevaricación (art. 404 CP) y del instituto de la prescripción acorde con las exigencias del principio de legalidad penal que consagra el art. 25.1 CE.</w:t>
      </w:r>
    </w:p>
    <w:p w14:paraId="3FAA182F" w14:textId="77777777" w:rsidR="003754FE" w:rsidRDefault="003754FE" w:rsidP="003754FE">
      <w:pPr>
        <w:pStyle w:val="TextoNormal"/>
      </w:pPr>
    </w:p>
    <w:p w14:paraId="36DB00C5" w14:textId="7B6E9245" w:rsidR="003754FE" w:rsidRDefault="003754FE" w:rsidP="003754FE">
      <w:pPr>
        <w:pStyle w:val="TextoNormal"/>
      </w:pPr>
      <w:r>
        <w:t>Por todo ello, la causa de inadmisibilidad alegada por el Partido Popular ha de ser desestimada.</w:t>
      </w:r>
    </w:p>
    <w:p w14:paraId="630DC620" w14:textId="77777777" w:rsidR="003754FE" w:rsidRDefault="003754FE" w:rsidP="003754FE">
      <w:pPr>
        <w:pStyle w:val="TextoNormal"/>
      </w:pPr>
    </w:p>
    <w:p w14:paraId="512DE52A" w14:textId="77777777" w:rsidR="003754FE" w:rsidRDefault="003754FE" w:rsidP="003754FE">
      <w:pPr>
        <w:pStyle w:val="TextoNormal"/>
      </w:pPr>
      <w:r w:rsidRPr="003754FE">
        <w:rPr>
          <w:rStyle w:val="NumeroAFNegritaCaracter"/>
        </w:rPr>
        <w:t>2</w:t>
      </w:r>
      <w:r>
        <w:t xml:space="preserve">. </w:t>
      </w:r>
      <w:r w:rsidRPr="003754FE">
        <w:rPr>
          <w:i/>
        </w:rPr>
        <w:t>Breve delimitación fáctica y jurídica del proceso “ERE” y de la condena del demandante de amparo</w:t>
      </w:r>
    </w:p>
    <w:p w14:paraId="42D36C4C" w14:textId="77777777" w:rsidR="003754FE" w:rsidRDefault="003754FE" w:rsidP="003754FE">
      <w:pPr>
        <w:pStyle w:val="TextoNormal"/>
      </w:pPr>
    </w:p>
    <w:p w14:paraId="409F7A32" w14:textId="77777777" w:rsidR="003754FE" w:rsidRDefault="003754FE" w:rsidP="003754FE">
      <w:pPr>
        <w:pStyle w:val="TextoNormal"/>
      </w:pPr>
      <w:r>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w:t>
      </w:r>
      <w:r w:rsidRPr="003754FE">
        <w:rPr>
          <w:i/>
        </w:rPr>
        <w:t>a quo</w:t>
      </w:r>
      <w:r>
        <w:t xml:space="preserve">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 la demandante de amparo.</w:t>
      </w:r>
    </w:p>
    <w:p w14:paraId="7850A872" w14:textId="77777777" w:rsidR="003754FE" w:rsidRDefault="003754FE" w:rsidP="003754FE">
      <w:pPr>
        <w:pStyle w:val="TextoNormal"/>
      </w:pPr>
    </w:p>
    <w:p w14:paraId="43F9F145" w14:textId="77777777" w:rsidR="003754FE" w:rsidRDefault="003754FE" w:rsidP="003754FE">
      <w:pPr>
        <w:pStyle w:val="TextoNormal"/>
      </w:pPr>
      <w:r>
        <w:lastRenderedPageBreak/>
        <w:t xml:space="preserve">2.1. </w:t>
      </w:r>
      <w:r w:rsidRPr="003754FE">
        <w:rPr>
          <w:i/>
        </w:rPr>
        <w:t>Sucinta exposición general de los hechos del proceso “ERE”</w:t>
      </w:r>
    </w:p>
    <w:p w14:paraId="1ACD091A" w14:textId="77777777" w:rsidR="003754FE" w:rsidRDefault="003754FE" w:rsidP="003754FE">
      <w:pPr>
        <w:pStyle w:val="TextoNormal"/>
      </w:pPr>
    </w:p>
    <w:p w14:paraId="66EDEE01" w14:textId="77777777" w:rsidR="003754FE" w:rsidRDefault="003754FE" w:rsidP="003754FE">
      <w:pPr>
        <w:pStyle w:val="TextoNormal"/>
      </w:pPr>
      <w:r>
        <w:t>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14:paraId="6A02A729" w14:textId="77777777" w:rsidR="003754FE" w:rsidRDefault="003754FE" w:rsidP="003754FE">
      <w:pPr>
        <w:pStyle w:val="TextoNormal"/>
      </w:pPr>
    </w:p>
    <w:p w14:paraId="77243A91" w14:textId="77777777" w:rsidR="003754FE" w:rsidRDefault="003754FE" w:rsidP="003754FE">
      <w:pPr>
        <w:pStyle w:val="TextoNormal"/>
      </w:pPr>
      <w:r>
        <w:t>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14:paraId="2F01E19B" w14:textId="77777777" w:rsidR="003754FE" w:rsidRDefault="003754FE" w:rsidP="003754FE">
      <w:pPr>
        <w:pStyle w:val="TextoNormal"/>
      </w:pPr>
    </w:p>
    <w:p w14:paraId="42C6A6BD" w14:textId="77777777" w:rsidR="003754FE" w:rsidRDefault="003754FE" w:rsidP="003754FE">
      <w:pPr>
        <w:pStyle w:val="TextoNormal"/>
      </w:pPr>
      <w:r>
        <w:t>En la tramitación de sendos expedientes sobre estas ayudas, el interventor delegado de la Consejería de Empleo y Desarrollo Tecnológico formuló reparos en el informe de fiscalización, que, si bien no llegaron a impedir su concesión, la dificultaron y retrasaron.</w:t>
      </w:r>
    </w:p>
    <w:p w14:paraId="03EFEB86" w14:textId="77777777" w:rsidR="003754FE" w:rsidRDefault="003754FE" w:rsidP="003754FE">
      <w:pPr>
        <w:pStyle w:val="TextoNormal"/>
      </w:pPr>
    </w:p>
    <w:p w14:paraId="620A54FA" w14:textId="77777777" w:rsidR="003754FE" w:rsidRDefault="003754FE" w:rsidP="003754FE">
      <w:pPr>
        <w:pStyle w:val="TextoNormal"/>
      </w:pPr>
      <w:r>
        <w:t>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14:paraId="3BE897FF" w14:textId="77777777" w:rsidR="003754FE" w:rsidRDefault="003754FE" w:rsidP="003754FE">
      <w:pPr>
        <w:pStyle w:val="TextoNormal"/>
      </w:pPr>
    </w:p>
    <w:p w14:paraId="7A8E1101" w14:textId="77777777" w:rsidR="003754FE" w:rsidRDefault="003754FE" w:rsidP="003754FE">
      <w:pPr>
        <w:pStyle w:val="TextoNormal"/>
      </w:pPr>
      <w:r>
        <w:t xml:space="preserve">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w:t>
      </w:r>
      <w:r>
        <w:lastRenderedPageBreak/>
        <w:t>las denominadas transferencias de financiación, en sus modalidades de explotación y capital. Las transferencias de financiación tenían como objeto equilibrar la cuenta de pérdidas y ganancias del IFA.</w:t>
      </w:r>
    </w:p>
    <w:p w14:paraId="2E9CE84D" w14:textId="77777777" w:rsidR="003754FE" w:rsidRDefault="003754FE" w:rsidP="003754FE">
      <w:pPr>
        <w:pStyle w:val="TextoNormal"/>
      </w:pPr>
    </w:p>
    <w:p w14:paraId="1B0BD199" w14:textId="77777777" w:rsidR="003754FE" w:rsidRDefault="003754FE" w:rsidP="003754FE">
      <w:pPr>
        <w:pStyle w:val="TextoNormal"/>
      </w:pPr>
      <w:r>
        <w:t>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14:paraId="27FE8A27" w14:textId="77777777" w:rsidR="003754FE" w:rsidRDefault="003754FE" w:rsidP="003754FE">
      <w:pPr>
        <w:pStyle w:val="TextoNormal"/>
      </w:pPr>
    </w:p>
    <w:p w14:paraId="0BCC5A2A" w14:textId="77777777" w:rsidR="003754FE" w:rsidRDefault="003754FE" w:rsidP="003754FE">
      <w:pPr>
        <w:pStyle w:val="TextoNormal"/>
      </w:pPr>
      <w:r>
        <w:t>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14:paraId="0CF25397" w14:textId="77777777" w:rsidR="003754FE" w:rsidRDefault="003754FE" w:rsidP="003754FE">
      <w:pPr>
        <w:pStyle w:val="TextoNormal"/>
      </w:pPr>
    </w:p>
    <w:p w14:paraId="645DF3F7" w14:textId="77777777" w:rsidR="003754FE" w:rsidRDefault="003754FE" w:rsidP="003754FE">
      <w:pPr>
        <w:pStyle w:val="TextoNormal"/>
      </w:pPr>
      <w:r>
        <w:t>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14:paraId="5B0D7D24" w14:textId="77777777" w:rsidR="003754FE" w:rsidRDefault="003754FE" w:rsidP="003754FE">
      <w:pPr>
        <w:pStyle w:val="TextoNormal"/>
      </w:pPr>
    </w:p>
    <w:p w14:paraId="0D5C2934" w14:textId="77777777" w:rsidR="003754FE" w:rsidRDefault="003754FE" w:rsidP="003754FE">
      <w:pPr>
        <w:pStyle w:val="TextoNormal"/>
      </w:pPr>
      <w:r>
        <w:t>Tras la firma del convenio marco,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14:paraId="1A43C5F0" w14:textId="77777777" w:rsidR="003754FE" w:rsidRDefault="003754FE" w:rsidP="003754FE">
      <w:pPr>
        <w:pStyle w:val="TextoNormal"/>
      </w:pPr>
    </w:p>
    <w:p w14:paraId="1E16D3EF" w14:textId="77777777" w:rsidR="003754FE" w:rsidRDefault="003754FE" w:rsidP="003754FE">
      <w:pPr>
        <w:pStyle w:val="TextoNormal"/>
      </w:pPr>
      <w:r>
        <w:lastRenderedPageBreak/>
        <w:t>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paso a denominarse Agencia de Innovación y Desarrollo de Andalucía (IDEA), adscrita a la Consejería de Innovación, Ciencia y Empresa— se destinaban a pagar lo ordenado por la Consejería conforme a lo previsto en el convenio marco.</w:t>
      </w:r>
    </w:p>
    <w:p w14:paraId="169E33AA" w14:textId="77777777" w:rsidR="003754FE" w:rsidRDefault="003754FE" w:rsidP="003754FE">
      <w:pPr>
        <w:pStyle w:val="TextoNormal"/>
      </w:pPr>
    </w:p>
    <w:p w14:paraId="0401B43E" w14:textId="77777777" w:rsidR="003754FE" w:rsidRDefault="003754FE" w:rsidP="003754FE">
      <w:pPr>
        <w:pStyle w:val="TextoNormal"/>
      </w:pPr>
      <w:r>
        <w:t>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 a196):</w:t>
      </w:r>
    </w:p>
    <w:p w14:paraId="67EFF791" w14:textId="77777777" w:rsidR="003754FE" w:rsidRDefault="003754FE" w:rsidP="003754FE">
      <w:pPr>
        <w:pStyle w:val="TextoNormal"/>
      </w:pPr>
    </w:p>
    <w:p w14:paraId="4270EAC0" w14:textId="77777777" w:rsidR="003754FE" w:rsidRDefault="003754FE" w:rsidP="003754FE">
      <w:pPr>
        <w:pStyle w:val="TextoNormal"/>
      </w:pPr>
      <w:r>
        <w:t>“9. Conclusiones del análisis de la documentación anexa al proyecto de presupuesto anual de la Junta de Andalucía:</w:t>
      </w:r>
    </w:p>
    <w:p w14:paraId="44938C09" w14:textId="77777777" w:rsidR="003754FE" w:rsidRDefault="003754FE" w:rsidP="003754FE">
      <w:pPr>
        <w:pStyle w:val="TextoNormal"/>
      </w:pPr>
    </w:p>
    <w:p w14:paraId="4581DC7D" w14:textId="77777777" w:rsidR="003754FE" w:rsidRDefault="003754FE" w:rsidP="003754FE">
      <w:pPr>
        <w:pStyle w:val="TextoNormal"/>
      </w:pPr>
      <w:r>
        <w:t>A) La descripción de los objetivos y actividades contenidos en las fichas del programa 31L, son, como hemos visto, del siguiente tenor:</w:t>
      </w:r>
    </w:p>
    <w:p w14:paraId="3BBEC98B" w14:textId="77777777" w:rsidR="003754FE" w:rsidRDefault="003754FE" w:rsidP="003754FE">
      <w:pPr>
        <w:pStyle w:val="TextoNormal"/>
      </w:pPr>
    </w:p>
    <w:p w14:paraId="3054FC2D" w14:textId="77777777" w:rsidR="003754FE" w:rsidRDefault="003754FE" w:rsidP="003754FE">
      <w:pPr>
        <w:pStyle w:val="TextoNormal"/>
      </w:pPr>
      <w:r>
        <w:t>• ‘Transferencias al IFA’.</w:t>
      </w:r>
    </w:p>
    <w:p w14:paraId="09F34BE1" w14:textId="77777777" w:rsidR="003754FE" w:rsidRDefault="003754FE" w:rsidP="003754FE">
      <w:pPr>
        <w:pStyle w:val="TextoNormal"/>
      </w:pPr>
    </w:p>
    <w:p w14:paraId="412A9DCF" w14:textId="77777777" w:rsidR="003754FE" w:rsidRDefault="003754FE" w:rsidP="003754FE">
      <w:pPr>
        <w:pStyle w:val="TextoNormal"/>
      </w:pPr>
      <w:r>
        <w:t>• ‘Transferencias al AIDA’.</w:t>
      </w:r>
    </w:p>
    <w:p w14:paraId="40F5139D" w14:textId="77777777" w:rsidR="003754FE" w:rsidRDefault="003754FE" w:rsidP="003754FE">
      <w:pPr>
        <w:pStyle w:val="TextoNormal"/>
      </w:pPr>
    </w:p>
    <w:p w14:paraId="4586C919" w14:textId="77777777" w:rsidR="003754FE" w:rsidRDefault="003754FE" w:rsidP="003754FE">
      <w:pPr>
        <w:pStyle w:val="TextoNormal"/>
      </w:pPr>
      <w:r>
        <w:t>• ‘Mantenimiento empleo y tejido productivo andaluz’.</w:t>
      </w:r>
    </w:p>
    <w:p w14:paraId="770BB7E3" w14:textId="77777777" w:rsidR="003754FE" w:rsidRDefault="003754FE" w:rsidP="003754FE">
      <w:pPr>
        <w:pStyle w:val="TextoNormal"/>
      </w:pPr>
    </w:p>
    <w:p w14:paraId="1A96F219" w14:textId="77777777" w:rsidR="003754FE" w:rsidRDefault="003754FE" w:rsidP="003754FE">
      <w:pPr>
        <w:pStyle w:val="TextoNormal"/>
      </w:pPr>
      <w:r>
        <w:t>• ‘Gestión de subvenciones’.</w:t>
      </w:r>
    </w:p>
    <w:p w14:paraId="42C7EE01" w14:textId="77777777" w:rsidR="003754FE" w:rsidRDefault="003754FE" w:rsidP="003754FE">
      <w:pPr>
        <w:pStyle w:val="TextoNormal"/>
      </w:pPr>
    </w:p>
    <w:p w14:paraId="7AB980D3" w14:textId="77777777" w:rsidR="003754FE" w:rsidRDefault="003754FE" w:rsidP="003754FE">
      <w:pPr>
        <w:pStyle w:val="TextoNormal"/>
      </w:pPr>
      <w:r>
        <w:t>• ‘Ayudas prejubilaciones y expedientes de regulación de empleo’.</w:t>
      </w:r>
    </w:p>
    <w:p w14:paraId="66C082F7" w14:textId="77777777" w:rsidR="003754FE" w:rsidRDefault="003754FE" w:rsidP="003754FE">
      <w:pPr>
        <w:pStyle w:val="TextoNormal"/>
      </w:pPr>
    </w:p>
    <w:p w14:paraId="30479587" w14:textId="77777777" w:rsidR="003754FE" w:rsidRDefault="003754FE" w:rsidP="003754FE">
      <w:pPr>
        <w:pStyle w:val="TextoNormal"/>
      </w:pPr>
      <w:r>
        <w:t>• ‘Suscripción de convenio’.</w:t>
      </w:r>
    </w:p>
    <w:p w14:paraId="4ACD6E5F" w14:textId="77777777" w:rsidR="003754FE" w:rsidRDefault="003754FE" w:rsidP="003754FE">
      <w:pPr>
        <w:pStyle w:val="TextoNormal"/>
      </w:pPr>
    </w:p>
    <w:p w14:paraId="7F2780A2" w14:textId="77777777" w:rsidR="003754FE" w:rsidRDefault="003754FE" w:rsidP="003754FE">
      <w:pPr>
        <w:pStyle w:val="TextoNormal"/>
      </w:pPr>
      <w:r>
        <w:t>B) Por lo que se refiere a las memorias de los informes económico financieros, en la descripción de las actividades y objetivos contenidos en las mismas, son, como hemos visto igualmente, del siguiente tenor:</w:t>
      </w:r>
    </w:p>
    <w:p w14:paraId="7ECCBFA8" w14:textId="77777777" w:rsidR="003754FE" w:rsidRDefault="003754FE" w:rsidP="003754FE">
      <w:pPr>
        <w:pStyle w:val="TextoNormal"/>
      </w:pPr>
    </w:p>
    <w:p w14:paraId="5D52A981" w14:textId="77777777" w:rsidR="003754FE" w:rsidRDefault="003754FE" w:rsidP="003754FE">
      <w:pPr>
        <w:pStyle w:val="TextoNormal"/>
      </w:pPr>
      <w:r>
        <w:t>• Potenciar la interlocución con los agentes sociales y económicos.</w:t>
      </w:r>
    </w:p>
    <w:p w14:paraId="203E533B" w14:textId="77777777" w:rsidR="003754FE" w:rsidRDefault="003754FE" w:rsidP="003754FE">
      <w:pPr>
        <w:pStyle w:val="TextoNormal"/>
      </w:pPr>
    </w:p>
    <w:p w14:paraId="6572EC4A" w14:textId="77777777" w:rsidR="003754FE" w:rsidRDefault="003754FE" w:rsidP="003754FE">
      <w:pPr>
        <w:pStyle w:val="TextoNormal"/>
      </w:pPr>
      <w:r>
        <w:t>• Mantener las políticas de ayudas a prejubilaciones en empresas con dificultades.</w:t>
      </w:r>
    </w:p>
    <w:p w14:paraId="1695887D" w14:textId="77777777" w:rsidR="003754FE" w:rsidRDefault="003754FE" w:rsidP="003754FE">
      <w:pPr>
        <w:pStyle w:val="TextoNormal"/>
      </w:pPr>
    </w:p>
    <w:p w14:paraId="77E42EC0" w14:textId="77777777" w:rsidR="003754FE" w:rsidRDefault="003754FE" w:rsidP="003754FE">
      <w:pPr>
        <w:pStyle w:val="TextoNormal"/>
      </w:pPr>
      <w:r>
        <w:t>• Atender a las necesidades públicas de mantenimiento del empleo y del tejido productivo andaluz, a través de los acuerdos con el Instituto de Fomento de Andalucía para la subvención y ayuda a sectores y empresas con dificultades financieras que pudieran verse afectadas por las distintas crisis.</w:t>
      </w:r>
    </w:p>
    <w:p w14:paraId="1395359A" w14:textId="77777777" w:rsidR="003754FE" w:rsidRDefault="003754FE" w:rsidP="003754FE">
      <w:pPr>
        <w:pStyle w:val="TextoNormal"/>
      </w:pPr>
    </w:p>
    <w:p w14:paraId="5B5AF87B" w14:textId="77777777" w:rsidR="003754FE" w:rsidRDefault="003754FE" w:rsidP="003754FE">
      <w:pPr>
        <w:pStyle w:val="TextoNormal"/>
      </w:pPr>
      <w:r>
        <w:lastRenderedPageBreak/>
        <w:t>• Así mismo y en una cuantía importante instrumenta la materialización de ayudas a empresas con especiales dificultades de mantenimiento del empleo, prejubilaciones y viabilidad económica.</w:t>
      </w:r>
    </w:p>
    <w:p w14:paraId="07AF8F77" w14:textId="77777777" w:rsidR="003754FE" w:rsidRDefault="003754FE" w:rsidP="003754FE">
      <w:pPr>
        <w:pStyle w:val="TextoNormal"/>
      </w:pPr>
    </w:p>
    <w:p w14:paraId="7FC1DB5E" w14:textId="77777777" w:rsidR="003754FE" w:rsidRDefault="003754FE" w:rsidP="003754FE">
      <w:pPr>
        <w:pStyle w:val="TextoNormal"/>
      </w:pPr>
      <w:r>
        <w:t>•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14:paraId="4A7B5211" w14:textId="77777777" w:rsidR="003754FE" w:rsidRDefault="003754FE" w:rsidP="003754FE">
      <w:pPr>
        <w:pStyle w:val="TextoNormal"/>
      </w:pPr>
    </w:p>
    <w:p w14:paraId="55CEAE51" w14:textId="77777777" w:rsidR="003754FE" w:rsidRDefault="003754FE" w:rsidP="003754FE">
      <w:pPr>
        <w:pStyle w:val="TextoNormal"/>
      </w:pPr>
      <w:r>
        <w:t>•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14:paraId="70E2C475" w14:textId="77777777" w:rsidR="003754FE" w:rsidRDefault="003754FE" w:rsidP="003754FE">
      <w:pPr>
        <w:pStyle w:val="TextoNormal"/>
      </w:pPr>
    </w:p>
    <w:p w14:paraId="70235D1A" w14:textId="77777777" w:rsidR="003754FE" w:rsidRDefault="003754FE" w:rsidP="003754FE">
      <w:pPr>
        <w:pStyle w:val="TextoNormal"/>
      </w:pPr>
      <w:r>
        <w:t>• Esta Dirección General instrumenta la materialización de las ayudas a través de un convenio con el IFA y de su dotación anual específica de contribución a pólizas de prejubilaciones.</w:t>
      </w:r>
    </w:p>
    <w:p w14:paraId="7D662008" w14:textId="77777777" w:rsidR="003754FE" w:rsidRDefault="003754FE" w:rsidP="003754FE">
      <w:pPr>
        <w:pStyle w:val="TextoNormal"/>
      </w:pPr>
    </w:p>
    <w:p w14:paraId="42C92B4E" w14:textId="77777777" w:rsidR="003754FE" w:rsidRDefault="003754FE" w:rsidP="003754FE">
      <w:pPr>
        <w:pStyle w:val="TextoNormal"/>
      </w:pPr>
      <w:r>
        <w:t>• El centro directivo que lo ejecuta es la Dirección General de Trabajo y Seguridad Social.</w:t>
      </w:r>
    </w:p>
    <w:p w14:paraId="20E39841" w14:textId="77777777" w:rsidR="003754FE" w:rsidRDefault="003754FE" w:rsidP="003754FE">
      <w:pPr>
        <w:pStyle w:val="TextoNormal"/>
      </w:pPr>
    </w:p>
    <w:p w14:paraId="5730FF36" w14:textId="77777777" w:rsidR="003754FE" w:rsidRDefault="003754FE" w:rsidP="003754FE">
      <w:pPr>
        <w:pStyle w:val="TextoNormal"/>
      </w:pPr>
      <w:r>
        <w:t>• La previsión es para atender compromisos existentes y no se prevén fondos para nuevas, en su caso, contingencias.</w:t>
      </w:r>
    </w:p>
    <w:p w14:paraId="709CD9C7" w14:textId="77777777" w:rsidR="003754FE" w:rsidRDefault="003754FE" w:rsidP="003754FE">
      <w:pPr>
        <w:pStyle w:val="TextoNormal"/>
      </w:pPr>
    </w:p>
    <w:p w14:paraId="6F6430DA" w14:textId="77777777" w:rsidR="003754FE" w:rsidRDefault="003754FE" w:rsidP="003754FE">
      <w:pPr>
        <w:pStyle w:val="TextoNormal"/>
      </w:pPr>
      <w:r>
        <w:t>• Mantener las políticas de ayudas a prejubilaciones en empresas con dificultades, a través de subvenciones finalistas.</w:t>
      </w:r>
    </w:p>
    <w:p w14:paraId="7D6B9E2D" w14:textId="77777777" w:rsidR="003754FE" w:rsidRDefault="003754FE" w:rsidP="003754FE">
      <w:pPr>
        <w:pStyle w:val="TextoNormal"/>
      </w:pPr>
    </w:p>
    <w:p w14:paraId="17918C35" w14:textId="77777777" w:rsidR="003754FE" w:rsidRDefault="003754FE" w:rsidP="003754FE">
      <w:pPr>
        <w:pStyle w:val="TextoNormal"/>
      </w:pPr>
      <w:r>
        <w:t>• Realización de transferencias al Instituto de Fomento de Andalucía en aplicación de concierto de ayudas a empresas en crisis para el mantenimiento del empleo y tejido productivo andaluz.</w:t>
      </w:r>
    </w:p>
    <w:p w14:paraId="6F916A57" w14:textId="77777777" w:rsidR="003754FE" w:rsidRDefault="003754FE" w:rsidP="003754FE">
      <w:pPr>
        <w:pStyle w:val="TextoNormal"/>
      </w:pPr>
    </w:p>
    <w:p w14:paraId="57E47E4B" w14:textId="77777777" w:rsidR="003754FE" w:rsidRDefault="003754FE" w:rsidP="003754FE">
      <w:pPr>
        <w:pStyle w:val="TextoNormal"/>
      </w:pPr>
      <w:r>
        <w:t>• Tramitación de transferencias a empresas mediante ayudas a prejubilaciones mediante subvención de la cuota de la seguridad social.</w:t>
      </w:r>
    </w:p>
    <w:p w14:paraId="3F985945" w14:textId="77777777" w:rsidR="003754FE" w:rsidRDefault="003754FE" w:rsidP="003754FE">
      <w:pPr>
        <w:pStyle w:val="TextoNormal"/>
      </w:pPr>
    </w:p>
    <w:p w14:paraId="41E75C11" w14:textId="77777777" w:rsidR="003754FE" w:rsidRDefault="003754FE" w:rsidP="003754FE">
      <w:pPr>
        <w:pStyle w:val="TextoNormal"/>
      </w:pPr>
      <w:r>
        <w:t>• El programa presupuestario 31 L, lo ejecuta la Dirección General de Trabajo y Seguridad Social, centro directivo que tiene atribuida las competencias que corresponden a la consejería en materia de relaciones laborales.</w:t>
      </w:r>
    </w:p>
    <w:p w14:paraId="6B11CCFA" w14:textId="77777777" w:rsidR="003754FE" w:rsidRDefault="003754FE" w:rsidP="003754FE">
      <w:pPr>
        <w:pStyle w:val="TextoNormal"/>
      </w:pPr>
    </w:p>
    <w:p w14:paraId="20C76036" w14:textId="77777777" w:rsidR="003754FE" w:rsidRDefault="003754FE" w:rsidP="003754FE">
      <w:pPr>
        <w:pStyle w:val="TextoNormal"/>
      </w:pPr>
      <w:r>
        <w:t>• Atender a las necesidades públicas de mantenimiento del empleo y del tejido productivo andaluz, a través de los acuerdos con la Agencia de Innovación y Desarrollo de Andalucía para la subvención y ayuda de sectores y empresas con dificultades financieras.</w:t>
      </w:r>
    </w:p>
    <w:p w14:paraId="1AC5145F" w14:textId="77777777" w:rsidR="003754FE" w:rsidRDefault="003754FE" w:rsidP="003754FE">
      <w:pPr>
        <w:pStyle w:val="TextoNormal"/>
      </w:pPr>
    </w:p>
    <w:p w14:paraId="69B19294" w14:textId="77777777" w:rsidR="003754FE" w:rsidRDefault="003754FE" w:rsidP="003754FE">
      <w:pPr>
        <w:pStyle w:val="TextoNormal"/>
      </w:pPr>
      <w:r>
        <w:t>• Esta Dirección General instrumenta la materialización de las ayudas a través de un convenio con la Agencia de Innovación y Desarrollo de Andalucía y de su dotación anual específica de contribución a pólizas de prejubilaciones.</w:t>
      </w:r>
    </w:p>
    <w:p w14:paraId="2F8CFCEB" w14:textId="77777777" w:rsidR="003754FE" w:rsidRDefault="003754FE" w:rsidP="003754FE">
      <w:pPr>
        <w:pStyle w:val="TextoNormal"/>
      </w:pPr>
    </w:p>
    <w:p w14:paraId="43CF9A50" w14:textId="77777777" w:rsidR="003754FE" w:rsidRDefault="003754FE" w:rsidP="003754FE">
      <w:pPr>
        <w:pStyle w:val="TextoNormal"/>
      </w:pPr>
      <w:r>
        <w:lastRenderedPageBreak/>
        <w:t>• Continuar la línea de colaboración con IDEA en aplicación del concierto de ayudas para el mantenimiento del empleo y tejido productivo andaluz en vigor desde el año 2001.</w:t>
      </w:r>
    </w:p>
    <w:p w14:paraId="0C2991E7" w14:textId="77777777" w:rsidR="003754FE" w:rsidRDefault="003754FE" w:rsidP="003754FE">
      <w:pPr>
        <w:pStyle w:val="TextoNormal"/>
      </w:pPr>
    </w:p>
    <w:p w14:paraId="292816D2" w14:textId="77777777" w:rsidR="003754FE" w:rsidRDefault="003754FE" w:rsidP="003754FE">
      <w:pPr>
        <w:pStyle w:val="TextoNormal"/>
      </w:pPr>
      <w:r>
        <w:t>•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14:paraId="5E4313DC" w14:textId="77777777" w:rsidR="003754FE" w:rsidRDefault="003754FE" w:rsidP="003754FE">
      <w:pPr>
        <w:pStyle w:val="TextoNormal"/>
      </w:pPr>
    </w:p>
    <w:p w14:paraId="2073FE0F" w14:textId="77777777" w:rsidR="003754FE" w:rsidRDefault="003754FE" w:rsidP="003754FE">
      <w:pPr>
        <w:pStyle w:val="TextoNormal"/>
      </w:pPr>
      <w:r>
        <w:t>• Mantenimiento del empleo y tejido productivo andaluz: cobertura de las necesidades comprometidas y asumidas por expedientes de regulación de empleo, ayuda prejubilaciones, proyectos de viabilidad de pequeñas, medianas y grandes empresas e impulso a la consolidación económica en aquellas empresas con dificultades de mantenimiento del empleo”.</w:t>
      </w:r>
    </w:p>
    <w:p w14:paraId="496FFEC2" w14:textId="77777777" w:rsidR="003754FE" w:rsidRDefault="003754FE" w:rsidP="003754FE">
      <w:pPr>
        <w:pStyle w:val="TextoNormal"/>
      </w:pPr>
    </w:p>
    <w:p w14:paraId="4A94366E" w14:textId="77777777" w:rsidR="003754FE" w:rsidRDefault="003754FE" w:rsidP="003754FE">
      <w:pPr>
        <w:pStyle w:val="TextoNormal"/>
      </w:pPr>
      <w:r>
        <w:t>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14:paraId="1512411C" w14:textId="77777777" w:rsidR="003754FE" w:rsidRDefault="003754FE" w:rsidP="003754FE">
      <w:pPr>
        <w:pStyle w:val="TextoNormal"/>
      </w:pPr>
    </w:p>
    <w:p w14:paraId="0FCA5A4B" w14:textId="77777777" w:rsidR="003754FE" w:rsidRDefault="003754FE" w:rsidP="003754FE">
      <w:pPr>
        <w:pStyle w:val="TextoNormal"/>
      </w:pPr>
      <w:r>
        <w:t>El IFA/IDEA, como consecuencia tanto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14:paraId="6FE1AF7B" w14:textId="77777777" w:rsidR="003754FE" w:rsidRDefault="003754FE" w:rsidP="003754FE">
      <w:pPr>
        <w:pStyle w:val="TextoNormal"/>
      </w:pPr>
    </w:p>
    <w:p w14:paraId="6380F120" w14:textId="77777777" w:rsidR="003754FE" w:rsidRDefault="003754FE" w:rsidP="003754FE">
      <w:pPr>
        <w:pStyle w:val="TextoNormal"/>
      </w:pPr>
      <w:r>
        <w:t>Según consta en la sentencia de la Audiencia Provincial, el Consejero de Empleo —don José Antonio Viera Chacón— y el vicepresidente del IFA —don Antonio Fernández García—, para evitar dar información a los miembros del consejo rector del IFA ajenos a la Consejería de Empleo,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14:paraId="32D63262" w14:textId="77777777" w:rsidR="003754FE" w:rsidRDefault="003754FE" w:rsidP="003754FE">
      <w:pPr>
        <w:pStyle w:val="TextoNormal"/>
      </w:pPr>
    </w:p>
    <w:p w14:paraId="1F50EDEF" w14:textId="77777777" w:rsidR="003754FE" w:rsidRDefault="003754FE" w:rsidP="003754FE">
      <w:pPr>
        <w:pStyle w:val="TextoNormal"/>
      </w:pPr>
      <w:r>
        <w:t>En el ejercicio del año 2009 se dejaron de suscribir convenios particulares entre la Dirección General de Trabajo y Seguridad Social y el IDEA, dictándose por el director general de Trabajo resoluciones concediendo las ayudas y ordenando su pago al director general de IDEA.</w:t>
      </w:r>
    </w:p>
    <w:p w14:paraId="5CE3CA51" w14:textId="77777777" w:rsidR="003754FE" w:rsidRDefault="003754FE" w:rsidP="003754FE">
      <w:pPr>
        <w:pStyle w:val="TextoNormal"/>
      </w:pPr>
    </w:p>
    <w:p w14:paraId="5DE48ADE" w14:textId="77777777" w:rsidR="003754FE" w:rsidRDefault="003754FE" w:rsidP="003754FE">
      <w:pPr>
        <w:pStyle w:val="TextoNormal"/>
      </w:pPr>
      <w:r>
        <w:t>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14:paraId="3E0831AA" w14:textId="77777777" w:rsidR="003754FE" w:rsidRDefault="003754FE" w:rsidP="003754FE">
      <w:pPr>
        <w:pStyle w:val="TextoNormal"/>
      </w:pPr>
    </w:p>
    <w:p w14:paraId="6691E511" w14:textId="77777777" w:rsidR="003754FE" w:rsidRDefault="003754FE" w:rsidP="003754FE">
      <w:pPr>
        <w:pStyle w:val="TextoNormal"/>
      </w:pPr>
      <w:r>
        <w:t>d) En el año 2010 se abandonaron las transferencias de financiación al IDEA y se presupuestaron en los correspondientes programas las partidas destinadas a ayudas sociolaborales y a empresas en crisis, publicándose las bases reguladoras de las convocatorias para su concesión mediante Órdenes de la Consejería de Empleo de 1 de abril de 2011 y de 13 y 16 de marzo de 2012, hasta su derogación por el Decreto-ley 4/2012, de 16 de octubre, de la Junta de Andalucía, de medidas extraordinarias y urgentes en materia de protección sociolaboral a extrabajadores y extrabajadoras andaluces afectados por procesos de reestructuración de empresas y sectores en crisis.</w:t>
      </w:r>
    </w:p>
    <w:p w14:paraId="54FC6861" w14:textId="77777777" w:rsidR="003754FE" w:rsidRDefault="003754FE" w:rsidP="003754FE">
      <w:pPr>
        <w:pStyle w:val="TextoNormal"/>
      </w:pPr>
    </w:p>
    <w:p w14:paraId="4030B3FC" w14:textId="77777777" w:rsidR="003754FE" w:rsidRDefault="003754FE" w:rsidP="003754FE">
      <w:pPr>
        <w:pStyle w:val="TextoNormal"/>
      </w:pPr>
      <w:r>
        <w:t>En el citado decreto-ley se estableció que a estas ayudas sociolaborales no les eran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14:paraId="641F7EF1" w14:textId="77777777" w:rsidR="003754FE" w:rsidRDefault="003754FE" w:rsidP="003754FE">
      <w:pPr>
        <w:pStyle w:val="TextoNormal"/>
      </w:pPr>
    </w:p>
    <w:p w14:paraId="20DDACCA" w14:textId="77777777" w:rsidR="003754FE" w:rsidRDefault="003754FE" w:rsidP="003754FE">
      <w:pPr>
        <w:pStyle w:val="TextoNormal"/>
      </w:pPr>
      <w:r>
        <w:t>e) En resumen, el sistema de otorgamiento de las ayudas sociolaborales y a empresas en crisis hasta el año 2010 fue el siguiente:</w:t>
      </w:r>
    </w:p>
    <w:p w14:paraId="262E9BC0" w14:textId="77777777" w:rsidR="003754FE" w:rsidRDefault="003754FE" w:rsidP="003754FE">
      <w:pPr>
        <w:pStyle w:val="TextoNormal"/>
      </w:pPr>
    </w:p>
    <w:p w14:paraId="7446533A" w14:textId="77777777" w:rsidR="003754FE" w:rsidRDefault="003754FE" w:rsidP="003754FE">
      <w:pPr>
        <w:pStyle w:val="TextoNormal"/>
      </w:pPr>
      <w:r>
        <w:t>(i) En la década de los años 1990 estas ayudas se tramitaron como subvenciones excepcionales, siendo concedidas y pagadas por la Consejería de Empleo y Desarrollo Tecnológico.</w:t>
      </w:r>
    </w:p>
    <w:p w14:paraId="4AF6C70B" w14:textId="77777777" w:rsidR="003754FE" w:rsidRDefault="003754FE" w:rsidP="003754FE">
      <w:pPr>
        <w:pStyle w:val="TextoNormal"/>
      </w:pPr>
    </w:p>
    <w:p w14:paraId="21FC3DC8" w14:textId="77777777" w:rsidR="003754FE" w:rsidRDefault="003754FE" w:rsidP="003754FE">
      <w:pPr>
        <w:pStyle w:val="TextoNormal"/>
      </w:pPr>
      <w:r>
        <w:t>(ii)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14:paraId="3CFB0AD2" w14:textId="77777777" w:rsidR="003754FE" w:rsidRDefault="003754FE" w:rsidP="003754FE">
      <w:pPr>
        <w:pStyle w:val="TextoNormal"/>
      </w:pPr>
    </w:p>
    <w:p w14:paraId="5B0B512F" w14:textId="77777777" w:rsidR="003754FE" w:rsidRDefault="003754FE" w:rsidP="003754FE">
      <w:pPr>
        <w:pStyle w:val="TextoNormal"/>
      </w:pPr>
      <w:r>
        <w:t xml:space="preserve">(iii) Al IFA/IDEA se le atribuyeron los fondos para el pago de las ayudas mediante transferencias de financiación. La utilización de estos créditos no estaba sometida a un control previo, sino a un control </w:t>
      </w:r>
      <w:r w:rsidRPr="003754FE">
        <w:rPr>
          <w:i/>
        </w:rPr>
        <w:t>ex post</w:t>
      </w:r>
      <w:r>
        <w:t>: el llamado “control financiero permanente”. Este control se limitaba a comprobar la legalidad del pago; examinar las cuentas anuales, y analizar críticamente los programas asignados al instituto.</w:t>
      </w:r>
    </w:p>
    <w:p w14:paraId="2CE8590D" w14:textId="77777777" w:rsidR="003754FE" w:rsidRDefault="003754FE" w:rsidP="003754FE">
      <w:pPr>
        <w:pStyle w:val="TextoNormal"/>
      </w:pPr>
    </w:p>
    <w:p w14:paraId="6DD58E4F" w14:textId="77777777" w:rsidR="003754FE" w:rsidRDefault="003754FE" w:rsidP="003754FE">
      <w:pPr>
        <w:pStyle w:val="TextoNormal"/>
      </w:pPr>
      <w:r>
        <w:t>(iv) Al IFA/IDEA se le dotó de fondos, al principio, durante los años 2000 y 2001, mediante modificaciones presupuestarias y, después, estableciendo en las leyes de presupuestos de los ejercicios 2002 a 2009 unas partidas presupuestarias específicas, en el programa 31L, para que abonase dichas ayudas, cuyo importe inicial se incrementó a través de la aprobación de modificaciones presupuestarias.</w:t>
      </w:r>
    </w:p>
    <w:p w14:paraId="79708333" w14:textId="77777777" w:rsidR="003754FE" w:rsidRDefault="003754FE" w:rsidP="003754FE">
      <w:pPr>
        <w:pStyle w:val="TextoNormal"/>
      </w:pPr>
    </w:p>
    <w:p w14:paraId="0A625B69" w14:textId="77777777" w:rsidR="003754FE" w:rsidRDefault="003754FE" w:rsidP="003754FE">
      <w:pPr>
        <w:pStyle w:val="TextoNormal"/>
      </w:pPr>
      <w:r>
        <w:t>El seguimiento del referido sistema de otorgamiento de las ayudas sociolaborales y a empresas en crisis hasta el año 2010 permitió, según las resoluciones impugnadas:</w:t>
      </w:r>
    </w:p>
    <w:p w14:paraId="59216B7D" w14:textId="77777777" w:rsidR="003754FE" w:rsidRDefault="003754FE" w:rsidP="003754FE">
      <w:pPr>
        <w:pStyle w:val="TextoNormal"/>
      </w:pPr>
    </w:p>
    <w:p w14:paraId="19B2D34C" w14:textId="77777777" w:rsidR="003754FE" w:rsidRDefault="003754FE" w:rsidP="003754FE">
      <w:pPr>
        <w:pStyle w:val="TextoNormal"/>
      </w:pPr>
      <w:r>
        <w:t>(i)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14:paraId="262706A4" w14:textId="77777777" w:rsidR="003754FE" w:rsidRDefault="003754FE" w:rsidP="003754FE">
      <w:pPr>
        <w:pStyle w:val="TextoNormal"/>
      </w:pPr>
    </w:p>
    <w:p w14:paraId="599464BA" w14:textId="77777777" w:rsidR="003754FE" w:rsidRDefault="003754FE" w:rsidP="003754FE">
      <w:pPr>
        <w:pStyle w:val="TextoNormal"/>
      </w:pPr>
      <w:r>
        <w:t>(ii)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w:t>
      </w:r>
    </w:p>
    <w:p w14:paraId="038648E4" w14:textId="77777777" w:rsidR="003754FE" w:rsidRDefault="003754FE" w:rsidP="003754FE">
      <w:pPr>
        <w:pStyle w:val="TextoNormal"/>
      </w:pPr>
    </w:p>
    <w:p w14:paraId="0DFA8369" w14:textId="77777777" w:rsidR="003754FE" w:rsidRDefault="003754FE" w:rsidP="003754FE">
      <w:pPr>
        <w:pStyle w:val="TextoNormal"/>
      </w:pPr>
      <w:r>
        <w:t>(iii) Que se destinasen fondos del programa 31L a fines distintos y ajenos a los recogidos para este en los correspondientes presupuestos.</w:t>
      </w:r>
    </w:p>
    <w:p w14:paraId="56F04CB5" w14:textId="77777777" w:rsidR="003754FE" w:rsidRDefault="003754FE" w:rsidP="003754FE">
      <w:pPr>
        <w:pStyle w:val="TextoNormal"/>
      </w:pPr>
    </w:p>
    <w:p w14:paraId="2A9F6EB2" w14:textId="77777777" w:rsidR="003754FE" w:rsidRDefault="003754FE" w:rsidP="003754FE">
      <w:pPr>
        <w:pStyle w:val="TextoNormal"/>
      </w:pPr>
      <w:r>
        <w:t>2.2</w:t>
      </w:r>
      <w:r w:rsidRPr="003754FE">
        <w:rPr>
          <w:i/>
        </w:rPr>
        <w:t>. La “pieza específica” y las demás piezas del proceso “ER</w:t>
      </w:r>
      <w:r>
        <w:t>E”</w:t>
      </w:r>
    </w:p>
    <w:p w14:paraId="1216E5CF" w14:textId="77777777" w:rsidR="003754FE" w:rsidRDefault="003754FE" w:rsidP="003754FE">
      <w:pPr>
        <w:pStyle w:val="TextoNormal"/>
      </w:pPr>
    </w:p>
    <w:p w14:paraId="4E1A8109" w14:textId="77777777" w:rsidR="003754FE" w:rsidRDefault="003754FE" w:rsidP="003754FE">
      <w:pPr>
        <w:pStyle w:val="TextoNormal"/>
      </w:pPr>
      <w:r>
        <w:t>La causa matriz de los “ERE” se desgajó en una primera pieza denominada “pieza específica” y, en lo que aquí interesa, en un número no inferior a otras 200 piezas, que tienen por objeto las ayudas individuales concedidas a empresas o determinados grupos de empresas.</w:t>
      </w:r>
    </w:p>
    <w:p w14:paraId="2BF4E992" w14:textId="77777777" w:rsidR="003754FE" w:rsidRDefault="003754FE" w:rsidP="003754FE">
      <w:pPr>
        <w:pStyle w:val="TextoNormal"/>
      </w:pPr>
    </w:p>
    <w:p w14:paraId="07A64109" w14:textId="77777777" w:rsidR="003754FE" w:rsidRDefault="003754FE" w:rsidP="003754FE">
      <w:pPr>
        <w:pStyle w:val="TextoNormal"/>
      </w:pPr>
      <w:r>
        <w:t>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14:paraId="4366B800" w14:textId="77777777" w:rsidR="003754FE" w:rsidRDefault="003754FE" w:rsidP="003754FE">
      <w:pPr>
        <w:pStyle w:val="TextoNormal"/>
      </w:pPr>
    </w:p>
    <w:p w14:paraId="59B00028" w14:textId="77777777" w:rsidR="003754FE" w:rsidRDefault="003754FE" w:rsidP="003754FE">
      <w:pPr>
        <w:pStyle w:val="TextoNormal"/>
      </w:pPr>
      <w:r>
        <w:t xml:space="preserve">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w:t>
      </w:r>
      <w:r>
        <w:lastRenderedPageBreak/>
        <w:t>de ‘diseño y puesta en funcionamiento del procedimiento específico en todas sus variantes’ y en las distintas piezas separadas la concesión y pago de las distintas ayudas”. Esta división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 págs. 122-133).</w:t>
      </w:r>
    </w:p>
    <w:p w14:paraId="1C8074A7" w14:textId="77777777" w:rsidR="003754FE" w:rsidRDefault="003754FE" w:rsidP="003754FE">
      <w:pPr>
        <w:pStyle w:val="TextoNormal"/>
      </w:pPr>
    </w:p>
    <w:p w14:paraId="58BEAB1D" w14:textId="77777777" w:rsidR="003754FE" w:rsidRDefault="003754FE" w:rsidP="003754FE">
      <w:pPr>
        <w:pStyle w:val="TextoNormal"/>
      </w:pPr>
      <w:r>
        <w:t>2.3</w:t>
      </w:r>
      <w:r w:rsidRPr="003754FE">
        <w:rPr>
          <w:i/>
        </w:rPr>
        <w:t>. Hechos enjuiciados en la “pieza específic</w:t>
      </w:r>
      <w:r>
        <w:t>a”</w:t>
      </w:r>
    </w:p>
    <w:p w14:paraId="07742220" w14:textId="77777777" w:rsidR="003754FE" w:rsidRDefault="003754FE" w:rsidP="003754FE">
      <w:pPr>
        <w:pStyle w:val="TextoNormal"/>
      </w:pPr>
    </w:p>
    <w:p w14:paraId="5367CCBD" w14:textId="77777777" w:rsidR="003754FE" w:rsidRDefault="003754FE" w:rsidP="003754FE">
      <w:pPr>
        <w:pStyle w:val="TextoNormal"/>
      </w:pPr>
      <w:r>
        <w:t>Los hechos enjuiciados en la “pieza específica” se delimitan material y cronológicamente en el fundamento de Derecho 3.4 (págs. 135-137) de la sentencia del Tribunal Supremo en estos términos:</w:t>
      </w:r>
    </w:p>
    <w:p w14:paraId="68701FE5" w14:textId="77777777" w:rsidR="003754FE" w:rsidRDefault="003754FE" w:rsidP="003754FE">
      <w:pPr>
        <w:pStyle w:val="TextoNormal"/>
      </w:pPr>
    </w:p>
    <w:p w14:paraId="0E9BCD85" w14:textId="77777777" w:rsidR="003754FE" w:rsidRDefault="003754FE" w:rsidP="003754FE">
      <w:pPr>
        <w:pStyle w:val="TextoNormal"/>
      </w:pPr>
      <w:r>
        <w:t>“(i) Temporalmente los hechos enjuiciados en esta causa son los acontecidos entre la elaboración de la primera modificación presupuestaria, cuya aprobación data del 18 de abril de 2000 y la aprobación de la última modificación presupuestaria que se produjo el 1 de diciembre de 2009, por lo que cualquier hecho ocurrido fuera de esos márgenes temporales no ha sido objeto de enjuiciamiento en este proceso.</w:t>
      </w:r>
    </w:p>
    <w:p w14:paraId="41649ABA" w14:textId="77777777" w:rsidR="003754FE" w:rsidRDefault="003754FE" w:rsidP="003754FE">
      <w:pPr>
        <w:pStyle w:val="TextoNormal"/>
      </w:pPr>
    </w:p>
    <w:p w14:paraId="06E77A03" w14:textId="77777777" w:rsidR="003754FE" w:rsidRDefault="003754FE" w:rsidP="003754FE">
      <w:pPr>
        <w:pStyle w:val="TextoNormal"/>
      </w:pPr>
      <w:r>
        <w:t>(ii) En relación con el delito de prevaricación las personas enjuiciadas y que han resultado condenadas lo han sido por adoptar las siguientes resoluciones:</w:t>
      </w:r>
    </w:p>
    <w:p w14:paraId="390DA7F8" w14:textId="77777777" w:rsidR="003754FE" w:rsidRDefault="003754FE" w:rsidP="003754FE">
      <w:pPr>
        <w:pStyle w:val="TextoNormal"/>
      </w:pPr>
    </w:p>
    <w:p w14:paraId="558D5E44" w14:textId="77777777" w:rsidR="003754FE" w:rsidRDefault="003754FE" w:rsidP="003754FE">
      <w:pPr>
        <w:pStyle w:val="TextoNormal"/>
      </w:pPr>
      <w:r>
        <w:t>-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14:paraId="0E046C45" w14:textId="77777777" w:rsidR="003754FE" w:rsidRDefault="003754FE" w:rsidP="003754FE">
      <w:pPr>
        <w:pStyle w:val="TextoNormal"/>
      </w:pPr>
    </w:p>
    <w:p w14:paraId="0183A761" w14:textId="77777777" w:rsidR="003754FE" w:rsidRDefault="003754FE" w:rsidP="003754FE">
      <w:pPr>
        <w:pStyle w:val="TextoNormal"/>
      </w:pPr>
      <w:r>
        <w:t>-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14:paraId="7AA9A8A2" w14:textId="77777777" w:rsidR="003754FE" w:rsidRDefault="003754FE" w:rsidP="003754FE">
      <w:pPr>
        <w:pStyle w:val="TextoNormal"/>
      </w:pPr>
    </w:p>
    <w:p w14:paraId="22A4479A" w14:textId="77777777" w:rsidR="003754FE" w:rsidRDefault="003754FE" w:rsidP="003754FE">
      <w:pPr>
        <w:pStyle w:val="TextoNormal"/>
      </w:pPr>
      <w:r>
        <w:t>-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14:paraId="3CEFF52E" w14:textId="77777777" w:rsidR="003754FE" w:rsidRDefault="003754FE" w:rsidP="003754FE">
      <w:pPr>
        <w:pStyle w:val="TextoNormal"/>
      </w:pPr>
    </w:p>
    <w:p w14:paraId="430DA2DC" w14:textId="77777777" w:rsidR="003754FE" w:rsidRDefault="003754FE" w:rsidP="003754FE">
      <w:pPr>
        <w:pStyle w:val="TextoNormal"/>
      </w:pPr>
      <w:r>
        <w:t xml:space="preserve">- Otorgamiento de los convenios particulares suscritos a partir de la firma del convenio marco, firmados hasta su cese por el acusado don Francisco Javier Guerrero Benítez, como director general de Trabajo y por el IFA. En relación con este último, firmados por su </w:t>
      </w:r>
      <w:r>
        <w:lastRenderedPageBreak/>
        <w:t>presidente hasta el 28 de enero de 2003 y posteriormente por los directores generales de dicho instituto.</w:t>
      </w:r>
    </w:p>
    <w:p w14:paraId="5E762EBD" w14:textId="77777777" w:rsidR="003754FE" w:rsidRDefault="003754FE" w:rsidP="003754FE">
      <w:pPr>
        <w:pStyle w:val="TextoNormal"/>
      </w:pPr>
    </w:p>
    <w:p w14:paraId="1EED8D2C" w14:textId="77777777" w:rsidR="003754FE" w:rsidRDefault="003754FE" w:rsidP="003754FE">
      <w:pPr>
        <w:pStyle w:val="TextoNormal"/>
      </w:pPr>
      <w:r>
        <w:t>- Fraccionamiento de las cuantías de las ayudas a partir del 27 de mayo de 2003 en función de las cantidades asignadas a cada trabajador y no de las cantidades asignadas a las empresas, todo ello para sustraer su conocimiento del consejo rector del IFA.</w:t>
      </w:r>
    </w:p>
    <w:p w14:paraId="2D8E75A2" w14:textId="77777777" w:rsidR="003754FE" w:rsidRDefault="003754FE" w:rsidP="003754FE">
      <w:pPr>
        <w:pStyle w:val="TextoNormal"/>
      </w:pPr>
    </w:p>
    <w:p w14:paraId="3A12B4E3" w14:textId="77777777" w:rsidR="003754FE" w:rsidRDefault="003754FE" w:rsidP="003754FE">
      <w:pPr>
        <w:pStyle w:val="TextoNormal"/>
      </w:pPr>
      <w:r>
        <w:t>-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14:paraId="22CEE5B6" w14:textId="77777777" w:rsidR="003754FE" w:rsidRDefault="003754FE" w:rsidP="003754FE">
      <w:pPr>
        <w:pStyle w:val="TextoNormal"/>
      </w:pPr>
    </w:p>
    <w:p w14:paraId="5666D7C9" w14:textId="77777777" w:rsidR="003754FE" w:rsidRDefault="003754FE" w:rsidP="003754FE">
      <w:pPr>
        <w:pStyle w:val="TextoNormal"/>
      </w:pPr>
      <w:r>
        <w:t>- Concesión de las ayudas sociolaborales.</w:t>
      </w:r>
    </w:p>
    <w:p w14:paraId="0975152E" w14:textId="77777777" w:rsidR="003754FE" w:rsidRDefault="003754FE" w:rsidP="003754FE">
      <w:pPr>
        <w:pStyle w:val="TextoNormal"/>
      </w:pPr>
    </w:p>
    <w:p w14:paraId="64556388" w14:textId="77777777" w:rsidR="003754FE" w:rsidRDefault="003754FE" w:rsidP="003754FE">
      <w:pPr>
        <w:pStyle w:val="TextoNormal"/>
      </w:pPr>
      <w:r>
        <w:t>(iii) En relación con el delito de malversación de caudales públicos las personas enjuiciadas en este proceso y condenadas por este delito lo han sido bien por su participación directa en la disposición de fondos, bien por haber permitido esa disposición.</w:t>
      </w:r>
    </w:p>
    <w:p w14:paraId="177BD97A" w14:textId="77777777" w:rsidR="003754FE" w:rsidRDefault="003754FE" w:rsidP="003754FE">
      <w:pPr>
        <w:pStyle w:val="TextoNormal"/>
      </w:pPr>
    </w:p>
    <w:p w14:paraId="3098FBE3" w14:textId="77777777" w:rsidR="003754FE" w:rsidRDefault="003754FE" w:rsidP="003754FE">
      <w:pPr>
        <w:pStyle w:val="TextoNormal"/>
      </w:pPr>
      <w:r>
        <w:t>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14:paraId="4B829D68" w14:textId="77777777" w:rsidR="003754FE" w:rsidRDefault="003754FE" w:rsidP="003754FE">
      <w:pPr>
        <w:pStyle w:val="TextoNormal"/>
      </w:pPr>
    </w:p>
    <w:p w14:paraId="7A9DC55F" w14:textId="77777777" w:rsidR="003754FE" w:rsidRDefault="003754FE" w:rsidP="003754FE">
      <w:pPr>
        <w:pStyle w:val="TextoNormal"/>
      </w:pPr>
      <w:r>
        <w:t>Entendemos que la condena por malversación incluye respecto de cada condenado a todas las disposiciones de fondos públicos realizadas durante el tiempo en que cada uno de ellos ejerció su cargo.</w:t>
      </w:r>
    </w:p>
    <w:p w14:paraId="398ADFB6" w14:textId="77777777" w:rsidR="003754FE" w:rsidRDefault="003754FE" w:rsidP="003754FE">
      <w:pPr>
        <w:pStyle w:val="TextoNormal"/>
      </w:pPr>
    </w:p>
    <w:p w14:paraId="450AFE98" w14:textId="77777777" w:rsidR="003754FE" w:rsidRDefault="003754FE" w:rsidP="003754FE">
      <w:pPr>
        <w:pStyle w:val="TextoNormal"/>
      </w:pPr>
      <w:r>
        <w:t>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vigesimosegundo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14:paraId="18809FEE" w14:textId="77777777" w:rsidR="003754FE" w:rsidRDefault="003754FE" w:rsidP="003754FE">
      <w:pPr>
        <w:pStyle w:val="TextoNormal"/>
      </w:pPr>
    </w:p>
    <w:p w14:paraId="43E978C5" w14:textId="77777777" w:rsidR="003754FE" w:rsidRDefault="003754FE" w:rsidP="003754FE">
      <w:pPr>
        <w:pStyle w:val="TextoNormal"/>
      </w:pPr>
      <w:r>
        <w:t xml:space="preserve">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w:t>
      </w:r>
      <w:r>
        <w:lastRenderedPageBreak/>
        <w:t>emplearon en fines distintos y ajenos a los recogidos en las fichas presupuestarias de dicho programa, que describe en el subapartado C).</w:t>
      </w:r>
    </w:p>
    <w:p w14:paraId="79A7D7CA" w14:textId="77777777" w:rsidR="003754FE" w:rsidRDefault="003754FE" w:rsidP="003754FE">
      <w:pPr>
        <w:pStyle w:val="TextoNormal"/>
      </w:pPr>
    </w:p>
    <w:p w14:paraId="47319C7B" w14:textId="77777777" w:rsidR="003754FE" w:rsidRDefault="003754FE" w:rsidP="003754FE">
      <w:pPr>
        <w:pStyle w:val="TextoNormal"/>
      </w:pPr>
      <w:r>
        <w:t>Este último subapartado C) resulta del siguiente tenor:</w:t>
      </w:r>
    </w:p>
    <w:p w14:paraId="053EFF7E" w14:textId="77777777" w:rsidR="003754FE" w:rsidRDefault="003754FE" w:rsidP="003754FE">
      <w:pPr>
        <w:pStyle w:val="TextoNormal"/>
      </w:pPr>
    </w:p>
    <w:p w14:paraId="07330341" w14:textId="77777777" w:rsidR="003754FE" w:rsidRDefault="003754FE" w:rsidP="003754FE">
      <w:pPr>
        <w:pStyle w:val="TextoNormal"/>
      </w:pPr>
      <w:r>
        <w:t>“C) Los fondos del programa 31L se emplearon también en fines distintos y ajenos a los recogidos en las fichas presupuestarias del mismo, así podemos reseñar que se abonó:</w:t>
      </w:r>
    </w:p>
    <w:p w14:paraId="53CEB133" w14:textId="77777777" w:rsidR="003754FE" w:rsidRDefault="003754FE" w:rsidP="003754FE">
      <w:pPr>
        <w:pStyle w:val="TextoNormal"/>
      </w:pPr>
    </w:p>
    <w:p w14:paraId="0642621E" w14:textId="77777777" w:rsidR="003754FE" w:rsidRDefault="003754FE" w:rsidP="003754FE">
      <w:pPr>
        <w:pStyle w:val="TextoNormal"/>
      </w:pPr>
      <w:r>
        <w:t>• Facturas emitidas por las mercantiles Tapsa y Cicm, derivadas de varios contratos de campañas de comunicación sobre Fomento de Empleo y divulgación del SAE [Servicio Andaluz de Empleo], por un total de 3 386 017,00 €, que fueron abonadas por el Instituto, en el periodo 15 de julio de 2003 a 2 de marzo de 2004.</w:t>
      </w:r>
    </w:p>
    <w:p w14:paraId="0A9DD543" w14:textId="77777777" w:rsidR="003754FE" w:rsidRDefault="003754FE" w:rsidP="003754FE">
      <w:pPr>
        <w:pStyle w:val="TextoNormal"/>
      </w:pPr>
    </w:p>
    <w:p w14:paraId="4CEACF23" w14:textId="77777777" w:rsidR="003754FE" w:rsidRDefault="003754FE" w:rsidP="003754FE">
      <w:pPr>
        <w:pStyle w:val="TextoNormal"/>
      </w:pPr>
      <w:r>
        <w:t>•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14:paraId="5340180E" w14:textId="77777777" w:rsidR="003754FE" w:rsidRDefault="003754FE" w:rsidP="003754FE">
      <w:pPr>
        <w:pStyle w:val="TextoNormal"/>
      </w:pPr>
    </w:p>
    <w:p w14:paraId="74929A81" w14:textId="77777777" w:rsidR="003754FE" w:rsidRDefault="003754FE" w:rsidP="003754FE">
      <w:pPr>
        <w:pStyle w:val="TextoNormal"/>
      </w:pPr>
      <w:r>
        <w:t>•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w:t>
      </w:r>
      <w:r w:rsidRPr="003754FE">
        <w:rPr>
          <w:i/>
        </w:rPr>
        <w:t>s on li</w:t>
      </w:r>
      <w:r>
        <w:t>ne.</w:t>
      </w:r>
    </w:p>
    <w:p w14:paraId="6AA3AFA5" w14:textId="77777777" w:rsidR="003754FE" w:rsidRDefault="003754FE" w:rsidP="003754FE">
      <w:pPr>
        <w:pStyle w:val="TextoNormal"/>
      </w:pPr>
    </w:p>
    <w:p w14:paraId="2E9D7BFA" w14:textId="77777777" w:rsidR="003754FE" w:rsidRDefault="003754FE" w:rsidP="003754FE">
      <w:pPr>
        <w:pStyle w:val="TextoNormal"/>
      </w:pPr>
      <w:r>
        <w:t>•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14:paraId="1762C0D4" w14:textId="77777777" w:rsidR="003754FE" w:rsidRDefault="003754FE" w:rsidP="003754FE">
      <w:pPr>
        <w:pStyle w:val="TextoNormal"/>
      </w:pPr>
    </w:p>
    <w:p w14:paraId="78BA6338" w14:textId="77777777" w:rsidR="003754FE" w:rsidRDefault="003754FE" w:rsidP="003754FE">
      <w:pPr>
        <w:pStyle w:val="TextoNormal"/>
      </w:pPr>
      <w:r>
        <w:t>•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14:paraId="60B52109" w14:textId="77777777" w:rsidR="003754FE" w:rsidRDefault="003754FE" w:rsidP="003754FE">
      <w:pPr>
        <w:pStyle w:val="TextoNormal"/>
      </w:pPr>
    </w:p>
    <w:p w14:paraId="58A662E9" w14:textId="77777777" w:rsidR="003754FE" w:rsidRDefault="003754FE" w:rsidP="003754FE">
      <w:pPr>
        <w:pStyle w:val="TextoNormal"/>
      </w:pPr>
      <w:r>
        <w:t>•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14:paraId="24FB4547" w14:textId="77777777" w:rsidR="003754FE" w:rsidRDefault="003754FE" w:rsidP="003754FE">
      <w:pPr>
        <w:pStyle w:val="TextoNormal"/>
      </w:pPr>
    </w:p>
    <w:p w14:paraId="710098DE" w14:textId="77777777" w:rsidR="003754FE" w:rsidRDefault="003754FE" w:rsidP="003754FE">
      <w:pPr>
        <w:pStyle w:val="TextoNormal"/>
      </w:pPr>
      <w:r>
        <w:lastRenderedPageBreak/>
        <w:t>• En los ejercicios 2004, 2005, 2006, 2009 y 2010, se destinaron 1 192 000 € para el pago a la Fundación San Telmo, del ‘Curso de alta dirección de instituciones sociales’, para un total de 100 personas”.</w:t>
      </w:r>
    </w:p>
    <w:p w14:paraId="674E30C6" w14:textId="77777777" w:rsidR="003754FE" w:rsidRDefault="003754FE" w:rsidP="003754FE">
      <w:pPr>
        <w:pStyle w:val="TextoNormal"/>
      </w:pPr>
    </w:p>
    <w:p w14:paraId="4E04253A" w14:textId="77777777" w:rsidR="003754FE" w:rsidRDefault="003754FE" w:rsidP="003754FE">
      <w:pPr>
        <w:pStyle w:val="TextoNormal"/>
      </w:pPr>
      <w:r>
        <w:t>2.4</w:t>
      </w:r>
      <w:r w:rsidRPr="003754FE">
        <w:rPr>
          <w:i/>
        </w:rPr>
        <w:t>. Hechos por los que ha sido condenado el demandante de ampa</w:t>
      </w:r>
      <w:r>
        <w:t>ro</w:t>
      </w:r>
    </w:p>
    <w:p w14:paraId="0FEE6CDF" w14:textId="77777777" w:rsidR="003754FE" w:rsidRDefault="003754FE" w:rsidP="003754FE">
      <w:pPr>
        <w:pStyle w:val="TextoNormal"/>
      </w:pPr>
    </w:p>
    <w:p w14:paraId="2CE69E7E" w14:textId="77777777" w:rsidR="003754FE" w:rsidRDefault="003754FE" w:rsidP="003754FE">
      <w:pPr>
        <w:pStyle w:val="TextoNormal"/>
      </w:pPr>
      <w:r>
        <w:t>Los hechos por los que ha sido condenado don Antonio Vicente Lozano Peña están descritos en los hechos probados (págs. 31 a 96) y en los fundamentos de Derecho 35 y 49.13 de la sentencia de la Audiencia Provincial de Sevilla (págs. 1207 a 1273 y 1807, respectivamente).</w:t>
      </w:r>
    </w:p>
    <w:p w14:paraId="11A3D005" w14:textId="77777777" w:rsidR="003754FE" w:rsidRDefault="003754FE" w:rsidP="003754FE">
      <w:pPr>
        <w:pStyle w:val="TextoNormal"/>
      </w:pPr>
    </w:p>
    <w:p w14:paraId="73B2DF3C" w14:textId="77777777" w:rsidR="003754FE" w:rsidRDefault="003754FE" w:rsidP="003754FE">
      <w:pPr>
        <w:pStyle w:val="TextoNormal"/>
      </w:pPr>
      <w:r>
        <w:t>Don Antonio Vicente Lozano Peña ocupó el cargo de director general de Presupuestos. En el ejercicio de este cargo, el recurrente, bajo la dependencia directa del titular de la viceconsejería de Economía y Hacienda, tenía competencia, entre otras materias, para estudiar y elaborar el anteproyecto de la ley de presupuestos de ingresos y gastos, la obtención de antecedentes e informes y demás documentación necesaria para su elaboración y la coordinación de los distintos centros directivos que intervienen en esta tarea.</w:t>
      </w:r>
    </w:p>
    <w:p w14:paraId="7900DAB7" w14:textId="77777777" w:rsidR="003754FE" w:rsidRDefault="003754FE" w:rsidP="003754FE">
      <w:pPr>
        <w:pStyle w:val="TextoNormal"/>
      </w:pPr>
    </w:p>
    <w:p w14:paraId="7344B0F6" w14:textId="77777777" w:rsidR="003754FE" w:rsidRDefault="003754FE" w:rsidP="003754FE">
      <w:pPr>
        <w:pStyle w:val="TextoNormal"/>
      </w:pPr>
      <w:r>
        <w:t>La Audiencia Provincial de Sevilla al precisar los hechos que han determinado la condena del recurrente por delito de prevaricación (fundamento de Derecho 49.13) se limita a señalar que esta condena fue por participar “en las modificaciones presupuestarias y anteproyectos de presupuestos que se tramitaron en ese periodo de tiempo” [en el que ejerció como director general de Presupuestos (del 21 de abril de 2002 al 26 de abril de 2009)]. Precisa, no obstante, que “entre las modificaciones presupuestarias, se encuentra la de diciembre de 2004, por la que se incrementó al alza el programa 32H, cuyos fines eran totalmente ajenos a la concesión de ayudas sociolaborales”.</w:t>
      </w:r>
    </w:p>
    <w:p w14:paraId="6A4B0771" w14:textId="77777777" w:rsidR="003754FE" w:rsidRDefault="003754FE" w:rsidP="003754FE">
      <w:pPr>
        <w:pStyle w:val="TextoNormal"/>
      </w:pPr>
    </w:p>
    <w:p w14:paraId="2A5D1D15" w14:textId="77777777" w:rsidR="003754FE" w:rsidRDefault="003754FE" w:rsidP="003754FE">
      <w:pPr>
        <w:pStyle w:val="TextoNormal"/>
      </w:pPr>
      <w:r>
        <w:t>De lo expuesto en el fundamento de Derecho 35 de la Audiencia Provincial de Sevilla (págs. 1207 a 1273) cabe deducir que las modificaciones presupuestarias por las que ha sido condenado, además de la expresamente señalada de 9 de diciembre de 2004 relativa al programa 32H, son aquellas que afectaban al programa 31L. De todo ello ha de entenderse que el recurrente ha sido condenado por los siguientes hechos:</w:t>
      </w:r>
    </w:p>
    <w:p w14:paraId="731F62D8" w14:textId="77777777" w:rsidR="003754FE" w:rsidRDefault="003754FE" w:rsidP="003754FE">
      <w:pPr>
        <w:pStyle w:val="TextoNormal"/>
      </w:pPr>
    </w:p>
    <w:p w14:paraId="5F5DC0A7" w14:textId="77777777" w:rsidR="003754FE" w:rsidRDefault="003754FE" w:rsidP="003754FE">
      <w:pPr>
        <w:pStyle w:val="TextoNormal"/>
      </w:pPr>
      <w:r>
        <w:t>a) Intervenir en la tramitación del anteproyecto de presupuestos para los años 2003 a 2009.</w:t>
      </w:r>
    </w:p>
    <w:p w14:paraId="700DFAEB" w14:textId="77777777" w:rsidR="003754FE" w:rsidRDefault="003754FE" w:rsidP="003754FE">
      <w:pPr>
        <w:pStyle w:val="TextoNormal"/>
      </w:pPr>
    </w:p>
    <w:p w14:paraId="44F4971F" w14:textId="77777777" w:rsidR="003754FE" w:rsidRDefault="003754FE" w:rsidP="003754FE">
      <w:pPr>
        <w:pStyle w:val="TextoNormal"/>
      </w:pPr>
      <w:r>
        <w:t>b) Participar en las modificaciones presupuestarias que se tramitaron durante el tiempo que fue director general de Presupuestos vinculadas al programa 31L</w:t>
      </w:r>
    </w:p>
    <w:p w14:paraId="69B46A26" w14:textId="77777777" w:rsidR="003754FE" w:rsidRDefault="003754FE" w:rsidP="003754FE">
      <w:pPr>
        <w:pStyle w:val="TextoNormal"/>
      </w:pPr>
    </w:p>
    <w:p w14:paraId="3BCD1957" w14:textId="7D528C39" w:rsidR="003754FE" w:rsidRDefault="003754FE" w:rsidP="003754FE">
      <w:pPr>
        <w:pStyle w:val="TextoNormal"/>
      </w:pPr>
      <w:r>
        <w:t>c) Participar en la modificación presupuestaria de 9 de diciembre de 2004 por la que se incrementaron los fondos del programa 32H. Se considera acreditado que esos fondos fueron utilizados para el pago de las ayudas sociolaborales previstas en el programa 31L.</w:t>
      </w:r>
    </w:p>
    <w:p w14:paraId="708B004D" w14:textId="77777777" w:rsidR="003754FE" w:rsidRDefault="003754FE" w:rsidP="003754FE">
      <w:pPr>
        <w:pStyle w:val="TextoNormal"/>
      </w:pPr>
    </w:p>
    <w:p w14:paraId="764790C8" w14:textId="77777777" w:rsidR="003754FE" w:rsidRDefault="003754FE" w:rsidP="003754FE">
      <w:pPr>
        <w:pStyle w:val="TextoNormal"/>
      </w:pPr>
      <w:r w:rsidRPr="003754FE">
        <w:rPr>
          <w:rStyle w:val="NumeroAFNegritaCaracter"/>
        </w:rPr>
        <w:t>3</w:t>
      </w:r>
      <w:r>
        <w:t xml:space="preserve">. </w:t>
      </w:r>
      <w:r w:rsidRPr="003754FE">
        <w:rPr>
          <w:i/>
        </w:rPr>
        <w:t>Doctrina constitucional sobre el derecho a la legalidad penal (art. 25.1 CE)</w:t>
      </w:r>
    </w:p>
    <w:p w14:paraId="7AF7F5AC" w14:textId="77777777" w:rsidR="003754FE" w:rsidRDefault="003754FE" w:rsidP="003754FE">
      <w:pPr>
        <w:pStyle w:val="TextoNormal"/>
      </w:pPr>
    </w:p>
    <w:p w14:paraId="0B84E190" w14:textId="77777777" w:rsidR="003754FE" w:rsidRDefault="003754FE" w:rsidP="003754FE">
      <w:pPr>
        <w:pStyle w:val="TextoNormal"/>
      </w:pPr>
      <w:r>
        <w:t xml:space="preserve">El enjuiciamiento de la vulneración del art. 25.1 CE exige tener presente la doctrina de este tribunal sobre el derecho a la legalidad penal que consagra, expuesta recientemente, por ejemplo, en las SSTC 14/2021, de 28 de enero, FJ 2; 25/2022, de 23 de febrero, FJ 7.2; </w:t>
      </w:r>
      <w:r>
        <w:lastRenderedPageBreak/>
        <w:t>47/2022, de 24 de marzo, FJ 8.2.1; 54/2023, de 22 de mayo, FJ 3, y 8/2024, de 16 de enero, FJ 6, haciendo hincapié en la prohibición de interpretaciones y aplicaciones irrazonables de las normas penales.</w:t>
      </w:r>
    </w:p>
    <w:p w14:paraId="14F32485" w14:textId="77777777" w:rsidR="003754FE" w:rsidRDefault="003754FE" w:rsidP="003754FE">
      <w:pPr>
        <w:pStyle w:val="TextoNormal"/>
      </w:pPr>
    </w:p>
    <w:p w14:paraId="29EF4E01" w14:textId="77777777" w:rsidR="003754FE" w:rsidRDefault="003754FE" w:rsidP="003754FE">
      <w:pPr>
        <w:pStyle w:val="TextoNormal"/>
      </w:pPr>
      <w:r>
        <w:t>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(SSTC 137/1997, de 21 de julio, FJ 6; 151/1997, de 29 de septiembre, FJ 3; 232/1997, de 16 de diciembre, FJ 2, y 162/1999, de 27 de septiembre, FJ 5).</w:t>
      </w:r>
    </w:p>
    <w:p w14:paraId="2303C2B8" w14:textId="77777777" w:rsidR="003754FE" w:rsidRDefault="003754FE" w:rsidP="003754FE">
      <w:pPr>
        <w:pStyle w:val="TextoNormal"/>
      </w:pPr>
    </w:p>
    <w:p w14:paraId="157ECBDF" w14:textId="77777777" w:rsidR="003754FE" w:rsidRDefault="003754FE" w:rsidP="003754FE">
      <w:pPr>
        <w:pStyle w:val="TextoNormal"/>
      </w:pPr>
      <w:r>
        <w:t xml:space="preserve">En numerosas resoluciones (desde la STC 150/1989, de 25 de septiembre, FJ 6, hasta la STC 54/2023, de 22 de mayo, FJ 3, y, entre ellas, muchas intermedias), el Tribunal ha puesto de relieve que el derecho reconocido en el art. 25.1 CE es una concreción de diversos aspectos del Estado de Derecho en el ámbito del Derecho estatal sancionador y tiene un fundamento plural. Se vincula, ante todo, con el imperio de la ley como presupuesto de la actuación del Estado sobre los bienes jurídicos de los ciudadanos y con el derecho de los ciudadanos a la seguridad jurídica y a una previsibilidad de las consecuencias jurídicas de los propios actos que garantice un ámbito de libertad de actuación en niveles constitucionalmente admisibles. Ese fundamento determina el contenido </w:t>
      </w:r>
      <w:r w:rsidRPr="003754FE">
        <w:rPr>
          <w:i/>
        </w:rPr>
        <w:t>iusfundamental</w:t>
      </w:r>
      <w:r>
        <w:t xml:space="preserve"> del derecho a la legalidad penal, integrado por los diversos aspectos enunciados con el brocardo </w:t>
      </w:r>
      <w:r w:rsidRPr="003754FE">
        <w:rPr>
          <w:i/>
        </w:rPr>
        <w:t>nullum crimen nulla poena sine praevia lege scripta, certa et stricta</w:t>
      </w:r>
      <w:r>
        <w:t xml:space="preserve"> (en distintas formulaciones, entre muchas, SSTC 133/1987, de 21 de julio, FJ 4; 127/1990, de 5 de julio, FJ 3; 111/1993, de 25 de marzo, FJ 6; 53/1994, de 24 de febrero, FJ 4; 137/1997, de 21 de julio, FJ 6; 151/1997, de 29 de septiembre, FJ 3; 232/1997, de 16 de diciembre, FJ 2; 75/2002, de 8 de abril, FJ 4; 234/2007, de 5 de noviembre, FJ 3, y 14/2021, de 28 de enero, FJ 2).</w:t>
      </w:r>
    </w:p>
    <w:p w14:paraId="4356A661" w14:textId="77777777" w:rsidR="003754FE" w:rsidRDefault="003754FE" w:rsidP="003754FE">
      <w:pPr>
        <w:pStyle w:val="TextoNormal"/>
      </w:pPr>
    </w:p>
    <w:p w14:paraId="3B886FC1" w14:textId="77777777" w:rsidR="003754FE" w:rsidRDefault="003754FE" w:rsidP="003754FE">
      <w:pPr>
        <w:pStyle w:val="TextoNormal"/>
      </w:pPr>
      <w:r>
        <w:t>b) La primera garantía que contiene el principio de legalidad es la garantía formal, que impone una reserva de ley absoluta (STC 15/1981, de 7 de mayo, FJ 7) para definir delitos y fijar sus correspondientes penas, quedando así acotadas las fuentes del Derecho en materia penal [SSTC 142/1999, de 22 de julio,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w:t>
      </w:r>
      <w:r w:rsidRPr="003754FE">
        <w:rPr>
          <w:i/>
        </w:rPr>
        <w:t>lex praevia</w:t>
      </w:r>
      <w:r>
        <w:t>) que permitan predecir con el suficiente grado de certeza (</w:t>
      </w:r>
      <w:r w:rsidRPr="003754FE">
        <w:rPr>
          <w:i/>
        </w:rPr>
        <w:t>lex certa</w:t>
      </w:r>
      <w:r>
        <w:t>) dichas conductas, y se sepa a qué atenerse en cuanto a la aneja responsabilidad y a la eventual sanción” (SSTC 25/2004, de 26 de febrero, FJ 4; 218/2005, de 12 de septiembre, FJ 2; 297/2005, de 21 de noviembre, FJ 6, y 283/2006, de 9 de octubre, FJ 5).</w:t>
      </w:r>
    </w:p>
    <w:p w14:paraId="762C949F" w14:textId="77777777" w:rsidR="003754FE" w:rsidRDefault="003754FE" w:rsidP="003754FE">
      <w:pPr>
        <w:pStyle w:val="TextoNormal"/>
      </w:pPr>
    </w:p>
    <w:p w14:paraId="0C695CD5" w14:textId="77777777" w:rsidR="003754FE" w:rsidRDefault="003754FE" w:rsidP="003754FE">
      <w:pPr>
        <w:pStyle w:val="TextoNormal"/>
      </w:pPr>
      <w:r>
        <w:t xml:space="preserve">c) En particular, la previsibilidad de las consecuencias de la propia conducta puede burlarse tanto por un legislador como por un juzgador que actúen desconociendo el sentido de garantía de la ley penal, bien por la formulación vaga e imprecisa de la misma, bien con su aplicación a supuestos no comprendidos en ella (SSTC 142/1999, de 22 de julio, FJ 3, y 24/2004, de 24 de febrero, FJ 2). Frente a tal riesgo, este aspecto material de la legalidad </w:t>
      </w:r>
      <w:r>
        <w:lastRenderedPageBreak/>
        <w:t>penal contiene un doble mandato dirigido al legislador y al aplicador. Comporta, en relación con el legislador, el mandato de taxatividad o de certeza, que se traduce en la exigencia de predeterminación normativa de las conductas punibles y de sus correspondientes sanciones (</w:t>
      </w:r>
      <w:r w:rsidRPr="003754FE">
        <w:rPr>
          <w:i/>
        </w:rPr>
        <w:t>lex certa</w:t>
      </w:r>
      <w:r>
        <w:t>), para que los ciudadanos puedan conocer de antemano el ámbito de lo proscrito y prever las consecuencias de sus acciones (SSTC 242/2005, de 10 de octubre, FJ 2; 283/2006, de 9 de octubre, FJ 5; 162/2008, de 15 de diciembre, FJ 1; 81/2009, de 23 de marzo, FJ 4; 135/2010, de 2 de diciembre, FJ 4, y 9/2018, de 5 de febrero, FJ 6). Los jueces y tribunales, por su parte, están sometidos al principio de tipicidad (</w:t>
      </w:r>
      <w:r w:rsidRPr="003754FE">
        <w:rPr>
          <w:i/>
        </w:rPr>
        <w:t>lex stricta</w:t>
      </w:r>
      <w:r>
        <w:t>) en su labor de aplicación de las leyes, que implica una sujeción estricta a la ley penal y el veto a la exégesis y aplicación de las normas penales fuera de los supuestos y de los límites que determinan.</w:t>
      </w:r>
    </w:p>
    <w:p w14:paraId="4625DD9A" w14:textId="77777777" w:rsidR="003754FE" w:rsidRDefault="003754FE" w:rsidP="003754FE">
      <w:pPr>
        <w:pStyle w:val="TextoNormal"/>
      </w:pPr>
    </w:p>
    <w:p w14:paraId="7E26CA35" w14:textId="77777777" w:rsidR="003754FE" w:rsidRDefault="003754FE" w:rsidP="003754FE">
      <w:pPr>
        <w:pStyle w:val="TextoNormal"/>
      </w:pPr>
      <w: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de 21 de julio, FJ 6). La analogía </w:t>
      </w:r>
      <w:r w:rsidRPr="003754FE">
        <w:rPr>
          <w:i/>
        </w:rPr>
        <w:t>in malam partem</w:t>
      </w:r>
      <w:r>
        <w:t xml:space="preserve">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de 17 de marzo, FJ 4; 170/2002, de 30 de septiembre, FJ 12; 229/2003, de 18 de diciembre, FJ 6, y 229/2007, de 5 de noviembre, FJ 4).</w:t>
      </w:r>
    </w:p>
    <w:p w14:paraId="75414837" w14:textId="77777777" w:rsidR="003754FE" w:rsidRDefault="003754FE" w:rsidP="003754FE">
      <w:pPr>
        <w:pStyle w:val="TextoNormal"/>
      </w:pPr>
    </w:p>
    <w:p w14:paraId="21B8C8AD" w14:textId="77777777" w:rsidR="003754FE" w:rsidRDefault="003754FE" w:rsidP="003754FE">
      <w:pPr>
        <w:pStyle w:val="TextoNormal"/>
      </w:pPr>
      <w:r>
        <w:t xml:space="preserve">e) El examen de la razonabilidad de la subsunción de los hechos probados en la norma penal tiene como primer criterio el respeto al tenor literal de la norma, y la consiguiente prohibición de la analogía </w:t>
      </w:r>
      <w:r w:rsidRPr="003754FE">
        <w:rPr>
          <w:i/>
        </w:rPr>
        <w:t>in malam partem</w:t>
      </w:r>
      <w:r>
        <w:t xml:space="preserve">. El tenor literal del enunciado normativo marca en todo caso una zona indudable de exclusión de comportamientos (STC 137/1997, de 21 de julio,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w:t>
      </w:r>
      <w:r>
        <w:lastRenderedPageBreak/>
        <w:t>STC 129/2008, de 27 de octubre,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y 262/2006, de 11 de septiembre, FJ 4).</w:t>
      </w:r>
    </w:p>
    <w:p w14:paraId="52BAFD05" w14:textId="77777777" w:rsidR="003754FE" w:rsidRDefault="003754FE" w:rsidP="003754FE">
      <w:pPr>
        <w:pStyle w:val="TextoNormal"/>
      </w:pPr>
    </w:p>
    <w:p w14:paraId="12691FDC" w14:textId="211A989B" w:rsidR="003754FE" w:rsidRDefault="003754FE" w:rsidP="003754FE">
      <w:pPr>
        <w:pStyle w:val="TextoNormal"/>
      </w:pPr>
      <w: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w:t>
      </w:r>
      <w:r w:rsidRPr="003754FE">
        <w:rPr>
          <w:i/>
        </w:rPr>
        <w:t>per se</w:t>
      </w:r>
      <w:r>
        <w:t xml:space="preserve"> nos es ajena y solo podrá ser tomada en cuenta en la medida en que incida en la irrazonabilidad de la interpretación judicial impugnada” (STC 129/2008, FJ 3).</w:t>
      </w:r>
    </w:p>
    <w:p w14:paraId="549F0045" w14:textId="77777777" w:rsidR="003754FE" w:rsidRDefault="003754FE" w:rsidP="003754FE">
      <w:pPr>
        <w:pStyle w:val="TextoNormal"/>
      </w:pPr>
    </w:p>
    <w:p w14:paraId="735D4BED" w14:textId="77777777" w:rsidR="003754FE" w:rsidRDefault="003754FE" w:rsidP="003754FE">
      <w:pPr>
        <w:pStyle w:val="TextoNormal"/>
      </w:pPr>
      <w:r w:rsidRPr="003754FE">
        <w:rPr>
          <w:rStyle w:val="NumeroAFNegritaCaracter"/>
        </w:rPr>
        <w:t>4</w:t>
      </w:r>
      <w:r>
        <w:t xml:space="preserve">. </w:t>
      </w:r>
      <w:r w:rsidRPr="003754FE">
        <w:rPr>
          <w:i/>
        </w:rPr>
        <w:t>Vulneración del derecho a la legalidad penal (art. 25.1 CE) derivada de la condena por el delito de prevaricación del art. 404 CP</w:t>
      </w:r>
    </w:p>
    <w:p w14:paraId="16BBCC12" w14:textId="77777777" w:rsidR="003754FE" w:rsidRDefault="003754FE" w:rsidP="003754FE">
      <w:pPr>
        <w:pStyle w:val="TextoNormal"/>
      </w:pPr>
    </w:p>
    <w:p w14:paraId="6D233640" w14:textId="77777777" w:rsidR="003754FE" w:rsidRDefault="003754FE" w:rsidP="003754FE">
      <w:pPr>
        <w:pStyle w:val="TextoNormal"/>
      </w:pPr>
      <w:r>
        <w:t xml:space="preserve">4.1. </w:t>
      </w:r>
      <w:r w:rsidRPr="003754FE">
        <w:rPr>
          <w:i/>
        </w:rPr>
        <w:t>Exposición de la queja del recurrente y de las posiciones de las partes personadas</w:t>
      </w:r>
    </w:p>
    <w:p w14:paraId="4426ECFF" w14:textId="77777777" w:rsidR="003754FE" w:rsidRDefault="003754FE" w:rsidP="003754FE">
      <w:pPr>
        <w:pStyle w:val="TextoNormal"/>
      </w:pPr>
    </w:p>
    <w:p w14:paraId="644A30D1" w14:textId="77777777" w:rsidR="003754FE" w:rsidRDefault="003754FE" w:rsidP="003754FE">
      <w:pPr>
        <w:pStyle w:val="TextoNormal"/>
      </w:pPr>
      <w:r>
        <w:t>(i) Alegaciones del recurrente</w:t>
      </w:r>
    </w:p>
    <w:p w14:paraId="60411218" w14:textId="77777777" w:rsidR="003754FE" w:rsidRDefault="003754FE" w:rsidP="003754FE">
      <w:pPr>
        <w:pStyle w:val="TextoNormal"/>
      </w:pPr>
    </w:p>
    <w:p w14:paraId="6DD82656" w14:textId="77777777" w:rsidR="003754FE" w:rsidRDefault="003754FE" w:rsidP="003754FE">
      <w:pPr>
        <w:pStyle w:val="TextoNormal"/>
      </w:pPr>
      <w:r>
        <w:t>Como ya se ha indicado, el recurrente ha sido condenado como autor de un delito continuado de prevaricación a la pena de nueve años de inhabilitación especial. El demandante aduce que las resoluciones impugnadas han vulnerado el derecho a la legalidad penal (art. 25.1 CE) al haber realizado una subsunción irrazonable de los hechos probados en el art. 404 CP (delito de prevaricación administrativa).</w:t>
      </w:r>
    </w:p>
    <w:p w14:paraId="75211502" w14:textId="77777777" w:rsidR="003754FE" w:rsidRDefault="003754FE" w:rsidP="003754FE">
      <w:pPr>
        <w:pStyle w:val="TextoNormal"/>
      </w:pPr>
    </w:p>
    <w:p w14:paraId="1453EB3A" w14:textId="77777777" w:rsidR="003754FE" w:rsidRDefault="003754FE" w:rsidP="003754FE">
      <w:pPr>
        <w:pStyle w:val="TextoNormal"/>
      </w:pPr>
      <w:r>
        <w:t>Alega que los órganos judiciales han efectuado una aplicación imprevisible del art. 404 CP al sancionar penalmente conductas que, por estar referidas a funcionarios y autoridades que a impulso de directrices políticas proponen una ley al Parlamento, deben quedar exentas del examen jurisdiccional en general, y con mayor motivo del juicio penal. Entiende que solo así se puede asegurar el equilibrio de poderes en una sociedad democrática. El demandante aduce que ni el proceso prelegislativo es un “asunto administrativo” ni su tramitación puede dar lugar a “resoluciones”. A su juicio, este concepto se refiere a los actos administrativos que ponen fin a un procedimiento administrativo. Aduce también que su participación en las modificaciones presupuestarias, al actuar siguiendo el informe de la Intervención General de la Junta de Andalucía, no puede considerarse una actuación arbitraria.</w:t>
      </w:r>
    </w:p>
    <w:p w14:paraId="61775D1F" w14:textId="77777777" w:rsidR="003754FE" w:rsidRDefault="003754FE" w:rsidP="003754FE">
      <w:pPr>
        <w:pStyle w:val="TextoNormal"/>
      </w:pPr>
    </w:p>
    <w:p w14:paraId="4D3ABD07" w14:textId="77777777" w:rsidR="003754FE" w:rsidRDefault="003754FE" w:rsidP="003754FE">
      <w:pPr>
        <w:pStyle w:val="TextoNormal"/>
      </w:pPr>
      <w:r>
        <w:lastRenderedPageBreak/>
        <w:t>Por otra parte, denuncia que las sentencias impugnadas incurren en contradicción, pues, sostienen que existe un procedimiento reglado previo a la adopción de la decisión política, pero no identifican ningún incumplimiento de las normas procedimentales. Además, tienen por decisión lo que solo es una propuesta, lo que, según el actor, es un “imposible semántico”. Afirma que lo único objetable es el uso inadecuado de un instrumento presupuestario, pero, a su juicio, ello queda lejos del marco de revisión penal.</w:t>
      </w:r>
    </w:p>
    <w:p w14:paraId="065D4CF6" w14:textId="77777777" w:rsidR="003754FE" w:rsidRDefault="003754FE" w:rsidP="003754FE">
      <w:pPr>
        <w:pStyle w:val="TextoNormal"/>
      </w:pPr>
    </w:p>
    <w:p w14:paraId="267BD0D5" w14:textId="77777777" w:rsidR="003754FE" w:rsidRDefault="003754FE" w:rsidP="003754FE">
      <w:pPr>
        <w:pStyle w:val="TextoNormal"/>
      </w:pPr>
      <w:r>
        <w:t>El demandante considera que las resoluciones judiciales describen, en términos inequívocos, que su actuación fue regular, ordinaria y ajustada al cumplimiento de sus obligaciones —elevar la correspondiente propuesta tras haber dado fe el jefe de servicio responsable del expediente del cumplimiento de la normativa—. Sostiene que la explicación que ofrece el Tribunal Supremo para afirmar que incurrió en arbitrariedad es insuficiente, pues la funda en que se cambió el sistema de presupuestación sin una razón sólida que lo justificara (fundamento de Derecho 30), cuando en el relato de hechos probados se recoge de manera reiterada y persistente que la razón del cambio fue lograr una mayor rapidez en la concesión y pago de las ayudas. Alega, además, que dado el cargo que ocupó ni participó ni pudo participar desde su posición orgánica en dicha modificación. Asimismo, señala que se trata de razones políticas que quedan fuera del control de los tribunales de justicia en un Estado democrático.</w:t>
      </w:r>
    </w:p>
    <w:p w14:paraId="6BD696A0" w14:textId="77777777" w:rsidR="003754FE" w:rsidRDefault="003754FE" w:rsidP="003754FE">
      <w:pPr>
        <w:pStyle w:val="TextoNormal"/>
      </w:pPr>
    </w:p>
    <w:p w14:paraId="0C014DCF" w14:textId="77777777" w:rsidR="003754FE" w:rsidRDefault="003754FE" w:rsidP="003754FE">
      <w:pPr>
        <w:pStyle w:val="TextoNormal"/>
      </w:pPr>
      <w:r>
        <w:t>Aduce que el único precepto que se invoca como desconocido es el art. 18 de la Ley del Parlamento de Andalucía 15/2001, de 26 de diciembre, por el que se aprueban medidas fiscales, presupuestarias, de control y administrativas, que se refiere a las transferencias de financiación. A su juicio, este precepto no establece que el destino único y exclusivo de dichas transferencias deba ser equilibrar la cuenta de pérdidas y ganancias de las empresas o fundaciones de la Junta de Andalucía. Considera que el citado precepto no impide que se pueda utilizar ese sistema de presupuestación para otros fines y, por tanto, su utilización en este caso del referido concepto presupuestario no es manifiestamente irrazonable, lo que impide apreciar que esta actuación incurra en arbitrariedad.</w:t>
      </w:r>
    </w:p>
    <w:p w14:paraId="4DF4C2FC" w14:textId="77777777" w:rsidR="003754FE" w:rsidRDefault="003754FE" w:rsidP="003754FE">
      <w:pPr>
        <w:pStyle w:val="TextoNormal"/>
      </w:pPr>
    </w:p>
    <w:p w14:paraId="27AB7E4B" w14:textId="77777777" w:rsidR="003754FE" w:rsidRDefault="003754FE" w:rsidP="003754FE">
      <w:pPr>
        <w:pStyle w:val="TextoNormal"/>
      </w:pPr>
      <w:r>
        <w:t>También sostiene que es irrazonable considerar que el actor actuó “a sabiendas” de incurrir en arbitrariedad en una resolución administrativa, pues todas las modificaciones presupuestarias fueron informadas favorablemente por la Intervención General y así se declara probado. La sentencia de instancia absuelve al interventor y condena a quienes siguen su criterio de legalidad, lo que resulta irrazonable.</w:t>
      </w:r>
    </w:p>
    <w:p w14:paraId="453D7C56" w14:textId="77777777" w:rsidR="003754FE" w:rsidRDefault="003754FE" w:rsidP="003754FE">
      <w:pPr>
        <w:pStyle w:val="TextoNormal"/>
      </w:pPr>
    </w:p>
    <w:p w14:paraId="6BDDEF6A" w14:textId="77777777" w:rsidR="003754FE" w:rsidRDefault="003754FE" w:rsidP="003754FE">
      <w:pPr>
        <w:pStyle w:val="TextoNormal"/>
      </w:pPr>
      <w:r>
        <w:t>Por todo ello, considera que los órganos judiciales, al apreciar que ha incurrido en un delito de prevaricación, han vulnerado el derecho a la legalidad penal que consagra el art. 25. CE.</w:t>
      </w:r>
    </w:p>
    <w:p w14:paraId="174DD6AB" w14:textId="77777777" w:rsidR="003754FE" w:rsidRDefault="003754FE" w:rsidP="003754FE">
      <w:pPr>
        <w:pStyle w:val="TextoNormal"/>
      </w:pPr>
    </w:p>
    <w:p w14:paraId="145A9952" w14:textId="77777777" w:rsidR="003754FE" w:rsidRDefault="003754FE" w:rsidP="003754FE">
      <w:pPr>
        <w:pStyle w:val="TextoNormal"/>
      </w:pPr>
      <w:r>
        <w:t>(ii) Exposición de lo alegado por las partes personadas</w:t>
      </w:r>
    </w:p>
    <w:p w14:paraId="2CE1771C" w14:textId="77777777" w:rsidR="003754FE" w:rsidRDefault="003754FE" w:rsidP="003754FE">
      <w:pPr>
        <w:pStyle w:val="TextoNormal"/>
      </w:pPr>
    </w:p>
    <w:p w14:paraId="22EDFB4F" w14:textId="77777777" w:rsidR="003754FE" w:rsidRDefault="003754FE" w:rsidP="003754FE">
      <w:pPr>
        <w:pStyle w:val="TextoNormal"/>
      </w:pPr>
      <w:r>
        <w:t xml:space="preserve">El Partido Popular se opone a este motivo del recurso al apreciar que los órganos judiciales no han efectuado una aplicación imprevisible del delito de prevaricación administrativa del art. 404 CP. Esta parte procesal entiende que tanto la sentencia de instancia como la de casación justificaron acertadamente el juicio positivo de tipicidad en la consideración de que el procedimiento prelegislativo de elaboración de los anteproyectos de leyes de presupuestos constituye, de acuerdo con las normas legales y reglamentarias aplicables, un </w:t>
      </w:r>
      <w:r>
        <w:lastRenderedPageBreak/>
        <w:t>procedimiento de naturaleza administrativa, y que los actos y decisiones que fueron objeto de incriminación y condena constituyeron por ello resoluciones idóneas para realizar el tipo objetivo del delito de prevaricación (cita abundante jurisprudencia del Tribunal Supremo e invoca la STC 238/2007).</w:t>
      </w:r>
    </w:p>
    <w:p w14:paraId="7D6EB053" w14:textId="77777777" w:rsidR="003754FE" w:rsidRDefault="003754FE" w:rsidP="003754FE">
      <w:pPr>
        <w:pStyle w:val="TextoNormal"/>
      </w:pPr>
    </w:p>
    <w:p w14:paraId="22124334" w14:textId="77777777" w:rsidR="003754FE" w:rsidRDefault="003754FE" w:rsidP="003754FE">
      <w:pPr>
        <w:pStyle w:val="TextoNormal"/>
      </w:pPr>
      <w:r>
        <w:t>El Ministerio Fiscal interesó la estimación de este motivo del recurso únicamente en lo concerniente a la participación del demandante en la aprobación de los anteproyectos de leyes de presupuestos. La fiscal, partiendo tanto de la jurisprudencia de la Sala de lo Contencioso-Administrativo del Tribunal Supremo, como la de este tribunal, considera que no puede ser objeto de impugnación la iniciativa legislativa del Gobierno, pues tales actuaciones no se encuentran sujetas al Derecho administrativo y, además, conlleva someter al Parlamento a tutelas innecesarias. Afirma que resulta metodológicamente inconsistente considerar que la iniciativa legislativa del Gobierno tiene naturaleza administrativa dado que la atribución al Gobierno de la referida iniciativa no determina su naturaleza administrativa; alega, además, que tampoco permite atribuirle tal carácter el hecho de que la actividad prelegislativa se halle regulada por normas de organización, de procedimiento y de delimitación de sus contenidos. Junto a ello afirma que en el Reglamento del Parlamento de Andalucía la iniciativa del Consejo de Gobierno está claramente integrada en el procedimiento legislativo. A la misma conclusión llega desde la perspectiva axiológica-constitucional. Considera que la jurisdicción penal no puede fiscalizar la legalidad de los proyectos de ley, pues este enjuiciamiento es contrario a la jurisprudencia constitucional y a la de la Sala de lo Contencioso-Administrativo del Tribunal Supremo y menoscaba el principio de división de poderes.</w:t>
      </w:r>
    </w:p>
    <w:p w14:paraId="35368703" w14:textId="77777777" w:rsidR="003754FE" w:rsidRDefault="003754FE" w:rsidP="003754FE">
      <w:pPr>
        <w:pStyle w:val="TextoNormal"/>
      </w:pPr>
    </w:p>
    <w:p w14:paraId="208F199C" w14:textId="77777777" w:rsidR="003754FE" w:rsidRDefault="003754FE" w:rsidP="003754FE">
      <w:pPr>
        <w:pStyle w:val="TextoNormal"/>
      </w:pPr>
      <w:r>
        <w:t>Por el contrario, sostiene que no puede apreciarse que la incriminación por las modificaciones presupuestarias en las que el recurrente intervino en el desempeño de su cargo de director general de Presupuestos lesione el art. 25.1 CE por haber efectuado una interpretación y aplicación de la norma penal que tipifica el delito de prevaricación imprevisible.</w:t>
      </w:r>
    </w:p>
    <w:p w14:paraId="2FA4C097" w14:textId="77777777" w:rsidR="003754FE" w:rsidRDefault="003754FE" w:rsidP="003754FE">
      <w:pPr>
        <w:pStyle w:val="TextoNormal"/>
      </w:pPr>
    </w:p>
    <w:p w14:paraId="0202D5B7" w14:textId="77777777" w:rsidR="003754FE" w:rsidRDefault="003754FE" w:rsidP="003754FE">
      <w:pPr>
        <w:pStyle w:val="TextoNormal"/>
      </w:pPr>
      <w:r>
        <w:t xml:space="preserve">4.2. </w:t>
      </w:r>
      <w:r w:rsidRPr="003754FE">
        <w:rPr>
          <w:i/>
        </w:rPr>
        <w:t>Síntesis de los argumentos en los que las resoluciones judiciales fundamentan la condena del recurrente</w:t>
      </w:r>
    </w:p>
    <w:p w14:paraId="0409E67C" w14:textId="77777777" w:rsidR="003754FE" w:rsidRDefault="003754FE" w:rsidP="003754FE">
      <w:pPr>
        <w:pStyle w:val="TextoNormal"/>
      </w:pPr>
    </w:p>
    <w:p w14:paraId="5224E37B" w14:textId="77777777" w:rsidR="003754FE" w:rsidRDefault="003754FE" w:rsidP="003754FE">
      <w:pPr>
        <w:pStyle w:val="TextoNormal"/>
      </w:pPr>
      <w:r>
        <w:t>El Tribunal Supremo rechaza el motivo por el que el recurrente adujo que las aprobaciones de los anteproyectos de leyes de presupuestos no pueden ser calificadas como resolución administrativa a efectos penales. De igual modo, desestima la queja en la que sostiene que la condena por delito de prevaricación por efectuar modificaciones presupuestarias lesiona el art. 25.1 CE.</w:t>
      </w:r>
    </w:p>
    <w:p w14:paraId="30C4147A" w14:textId="77777777" w:rsidR="003754FE" w:rsidRDefault="003754FE" w:rsidP="003754FE">
      <w:pPr>
        <w:pStyle w:val="TextoNormal"/>
      </w:pPr>
    </w:p>
    <w:p w14:paraId="719E3B83" w14:textId="77777777" w:rsidR="003754FE" w:rsidRDefault="003754FE" w:rsidP="003754FE">
      <w:pPr>
        <w:pStyle w:val="TextoNormal"/>
      </w:pPr>
      <w:r>
        <w:t>El Tribunal Supremo desestima estos motivos del recurso de casación por las razones expuestas en los fundamentos jurídicos vigésimo a vigesimosegundo y vigesimosexto, destinados a la resolución de lo que denomina “cuestiones generales”. En síntesis, estos fundamentos sostienen que:</w:t>
      </w:r>
    </w:p>
    <w:p w14:paraId="5513E2FA" w14:textId="77777777" w:rsidR="003754FE" w:rsidRDefault="003754FE" w:rsidP="003754FE">
      <w:pPr>
        <w:pStyle w:val="TextoNormal"/>
      </w:pPr>
    </w:p>
    <w:p w14:paraId="5FD312CD" w14:textId="77777777" w:rsidR="003754FE" w:rsidRDefault="003754FE" w:rsidP="003754FE">
      <w:pPr>
        <w:pStyle w:val="TextoNormal"/>
      </w:pPr>
      <w:r>
        <w:t xml:space="preserve">(i) La Sala de lo Penal del Tribunal Supremo rechaza las alegaciones del recurrente en las que, basándose en la jurisprudencia constitucional y en la de la Sala de lo Contencioso-Administrativo del Tribunal Supremo, mantiene que no puede considerarse resolución recaída en un asunto administrativo a las actuaciones llevadas a cabo con ocasión de la elaboración de un anteproyecto ni a su aprobación como proyecto de ley. La Sala de lo Penal </w:t>
      </w:r>
      <w:r>
        <w:lastRenderedPageBreak/>
        <w:t>afirma que esta cuestión debe tener otro enfoque “cuando se trata de determinar qué deb[e] entenderse por asunto administrativo a efectos penales”. Considera que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[concluye la Sala] posibilitaría un ámbito de inmunidad difícilmente justificable” (fundamento de Derecho 20.3, págs. 238-239).</w:t>
      </w:r>
    </w:p>
    <w:p w14:paraId="75A6A0AA" w14:textId="77777777" w:rsidR="003754FE" w:rsidRDefault="003754FE" w:rsidP="003754FE">
      <w:pPr>
        <w:pStyle w:val="TextoNormal"/>
      </w:pPr>
    </w:p>
    <w:p w14:paraId="5C84186E" w14:textId="77777777" w:rsidR="003754FE" w:rsidRDefault="003754FE" w:rsidP="003754FE">
      <w:pPr>
        <w:pStyle w:val="TextoNormal"/>
      </w:pPr>
      <w:r>
        <w:t>(ii) La sentencia de la Sala de lo Penal establece que “los procedimientos reglados que culminan en la decisión de elevar un proyecto de ley al Gobierno no son actos propiamente legislativos, sino actos de gobierno que, por ser reglados, pueden ser el contexto objetivo para la comisión de un delito de prevaricación” (fundamento de Derecho 20.3, pág. 239).</w:t>
      </w:r>
    </w:p>
    <w:p w14:paraId="6267318E" w14:textId="77777777" w:rsidR="003754FE" w:rsidRDefault="003754FE" w:rsidP="003754FE">
      <w:pPr>
        <w:pStyle w:val="TextoNormal"/>
      </w:pPr>
    </w:p>
    <w:p w14:paraId="2B96D311" w14:textId="77777777" w:rsidR="003754FE" w:rsidRDefault="003754FE" w:rsidP="003754FE">
      <w:pPr>
        <w:pStyle w:val="TextoNormal"/>
      </w:pPr>
      <w:r>
        <w:t>(iii) También considera que “lo que se debe determinar en este caso no es si las resoluciones adoptadas en el proceso prelegislativo son susceptibles de control por la jurisdicción contencioso-administrativa, cuestión que es ajena a la jurisdicción penal, sino si esas resoluciones pueden cumplir con las exigencias típicas del artículo 404 del Código penal, que es sustancialmente diferente” (fundamento de Derecho 21.2, pág. 245).</w:t>
      </w:r>
    </w:p>
    <w:p w14:paraId="37F96FC4" w14:textId="77777777" w:rsidR="003754FE" w:rsidRDefault="003754FE" w:rsidP="003754FE">
      <w:pPr>
        <w:pStyle w:val="TextoNormal"/>
      </w:pPr>
    </w:p>
    <w:p w14:paraId="07B738E1" w14:textId="77777777" w:rsidR="003754FE" w:rsidRDefault="003754FE" w:rsidP="003754FE">
      <w:pPr>
        <w:pStyle w:val="TextoNormal"/>
      </w:pPr>
      <w:r>
        <w:t>(iv) La sentencia de la Sala de lo Penal, a los efectos de determinar si concurren los elementos típicos del delito de prevaricación distingue, por una parte, “entre la decisión de elevar un proyecto de ley al Gobierno así como el contenido del proyecto normativo, en cuanto incorpora decisiones sujetas a criterios de oportunidad y discrecionalidad, que es un acto de gobierno inmune al control jurisdiccional” y, por otra,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[se afirma en la sentencia impugnada] que la ley imponga unas reglas en la elaboración del proyecto de ley o de una norma con fuerza de ley y que esas reglas imperativas puedan ser desconocidas sin consecuencias, cuando lo pretendido sea violar de forma patente y arbitraria la ley” (fundamento de Derecho 21.2, pág. 246).</w:t>
      </w:r>
    </w:p>
    <w:p w14:paraId="778BA33B" w14:textId="77777777" w:rsidR="003754FE" w:rsidRDefault="003754FE" w:rsidP="003754FE">
      <w:pPr>
        <w:pStyle w:val="TextoNormal"/>
      </w:pPr>
    </w:p>
    <w:p w14:paraId="31A1E30E" w14:textId="77777777" w:rsidR="003754FE" w:rsidRDefault="003754FE" w:rsidP="003754FE">
      <w:pPr>
        <w:pStyle w:val="TextoNormal"/>
      </w:pPr>
      <w:r>
        <w:t>(v) Las consideraciones expuestas llevan al Tribunal Supremo a afirmar que “las resoluciones dictadas relativas a este segundo contenido [las adoptadas en la elaboración del anteproyecto y proyecto de ley] no son actos de gobierno inmunes al control de la jurisdicción penal, sino ‘resoluciones en asunto administrativo’, a los efectos del artículo 404 del Código penal” (fundamento de Derecho 21.2, pág. 246).</w:t>
      </w:r>
    </w:p>
    <w:p w14:paraId="7D70E67A" w14:textId="77777777" w:rsidR="003754FE" w:rsidRDefault="003754FE" w:rsidP="003754FE">
      <w:pPr>
        <w:pStyle w:val="TextoNormal"/>
      </w:pPr>
    </w:p>
    <w:p w14:paraId="563304CC" w14:textId="77777777" w:rsidR="003754FE" w:rsidRDefault="003754FE" w:rsidP="003754FE">
      <w:pPr>
        <w:pStyle w:val="TextoNormal"/>
      </w:pPr>
      <w:r>
        <w:t>(vi) Con invocación de sus propios precedentes, la Sala concluye “que el concepto de resolución al que alude el artículo 404 CP no se reduce a la decisión que pone fin a un procedimiento administrativo, sino que puede extenderse a actuaciones posteriores que ejecutan la resolución y actuaciones anteriores de relevancia que hayan sido imprescindibles para adoptar la resolución final quebrantando los controles establecidos en la ley” (fundamento de Derecho 22, pág. 253).</w:t>
      </w:r>
    </w:p>
    <w:p w14:paraId="4333D869" w14:textId="77777777" w:rsidR="003754FE" w:rsidRDefault="003754FE" w:rsidP="003754FE">
      <w:pPr>
        <w:pStyle w:val="TextoNormal"/>
      </w:pPr>
    </w:p>
    <w:p w14:paraId="33449F17" w14:textId="77777777" w:rsidR="003754FE" w:rsidRDefault="003754FE" w:rsidP="003754FE">
      <w:pPr>
        <w:pStyle w:val="TextoNormal"/>
      </w:pPr>
      <w:r>
        <w:t>(vii) Las consideraciones expuestas llevan al Tribunal Supremo a afirmar que la elaboración de un anteproyecto de ley, su aprobación como proyecto, así como el proceso de elaboración y aprobación de una modificación presupuestaria pueden ser calificadas como resolución en asunto administrativo en el sentido del art. 404 CP.</w:t>
      </w:r>
    </w:p>
    <w:p w14:paraId="6504D46C" w14:textId="77777777" w:rsidR="003754FE" w:rsidRDefault="003754FE" w:rsidP="003754FE">
      <w:pPr>
        <w:pStyle w:val="TextoNormal"/>
      </w:pPr>
    </w:p>
    <w:p w14:paraId="54AFFC00" w14:textId="77777777" w:rsidR="003754FE" w:rsidRDefault="003754FE" w:rsidP="003754FE">
      <w:pPr>
        <w:pStyle w:val="TextoNormal"/>
      </w:pPr>
      <w:r>
        <w:t xml:space="preserve">4.3. </w:t>
      </w:r>
      <w:r w:rsidRPr="003754FE">
        <w:rPr>
          <w:i/>
        </w:rPr>
        <w:t>Características de nuestra democracia constitucional y parlamentaria</w:t>
      </w:r>
    </w:p>
    <w:p w14:paraId="46F33305" w14:textId="77777777" w:rsidR="003754FE" w:rsidRDefault="003754FE" w:rsidP="003754FE">
      <w:pPr>
        <w:pStyle w:val="TextoNormal"/>
      </w:pPr>
    </w:p>
    <w:p w14:paraId="0CAA2D3E" w14:textId="77777777" w:rsidR="003754FE" w:rsidRDefault="003754FE" w:rsidP="003754FE">
      <w:pPr>
        <w:pStyle w:val="TextoNormal"/>
      </w:pPr>
      <w:r>
        <w:t>Una vez reseñados los razonamientos de la sentencia, antes de analizar si la interpretación que de la norma aplicada efectúan las resoluciones impugnadas es lesiva del art. 25.1 CE, es preciso recordar cuáles son los elementos esenciales en los que se basa nuestro sistema constitucional, toda vez que el fundamento de la condena parte de una determinada comprensión de las relaciones entre el Ejecutivo autonómico y su Parlamento que trasciende del ámbito de la legalidad y se adentra en el plano de la constitucionalidad. Esta cuestión es de gran relevancia en este caso dado que el Tribunal apreció la especial trascendencia del recurso [art. 50.1 b) LOTC] por considerar que las cuestiones en él planteadas afectan a la esencia de las relaciones institucionales entre los poderes que conforman el Estado. En el ATC 295 /2023, de 5 de junio, FJ único, se afirma que, uno de los motivos por los que este recurso tiene especial trascendencia constitucional es porque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Es a este tribunal al que corresponde en último término la interpretación de las cuestiones que se plantean en este recurso, al ser inherentes a la configuración propia del Estado constitucional.</w:t>
      </w:r>
    </w:p>
    <w:p w14:paraId="5E550401" w14:textId="77777777" w:rsidR="003754FE" w:rsidRDefault="003754FE" w:rsidP="003754FE">
      <w:pPr>
        <w:pStyle w:val="TextoNormal"/>
      </w:pPr>
    </w:p>
    <w:p w14:paraId="49711D50" w14:textId="77777777" w:rsidR="003754FE" w:rsidRDefault="003754FE" w:rsidP="003754FE">
      <w:pPr>
        <w:pStyle w:val="TextoNormal"/>
      </w:pPr>
      <w:r>
        <w:t>A) Por todo ello, la resolución del presente recurso de amparo exige partir de las consecuencias que se derivan de que nuestra forma de Estado sea una democracia constitucional y parlamentaria. Esta cuestión ha sido analizada en la STC 93/2024, de 19 de junio, FJ 4.3, por lo que ahora se va a exponer sucintamente la doctrina en ella contenida, con remisión a lo que en la referida sentencia se establece.</w:t>
      </w:r>
    </w:p>
    <w:p w14:paraId="7040A8F6" w14:textId="77777777" w:rsidR="003754FE" w:rsidRDefault="003754FE" w:rsidP="003754FE">
      <w:pPr>
        <w:pStyle w:val="TextoNormal"/>
      </w:pPr>
    </w:p>
    <w:p w14:paraId="00C50088" w14:textId="77777777" w:rsidR="003754FE" w:rsidRDefault="003754FE" w:rsidP="003754FE">
      <w:pPr>
        <w:pStyle w:val="TextoNormal"/>
      </w:pPr>
      <w:r>
        <w:t>a) La centralidad del Parlamento, el carácter privilegiado de la ley y el monopolio de control de su constitucionalidad por el Tribunal Constitucional definen nuestro sistema constitucional.</w:t>
      </w:r>
    </w:p>
    <w:p w14:paraId="6959A4F9" w14:textId="77777777" w:rsidR="003754FE" w:rsidRDefault="003754FE" w:rsidP="003754FE">
      <w:pPr>
        <w:pStyle w:val="TextoNormal"/>
      </w:pPr>
    </w:p>
    <w:p w14:paraId="632961DA" w14:textId="77777777" w:rsidR="003754FE" w:rsidRDefault="003754FE" w:rsidP="003754FE">
      <w:pPr>
        <w:pStyle w:val="TextoNormal"/>
      </w:pPr>
      <w:r>
        <w:t>b) Nuestra Constitución ha acogido la forma de gobierno parlamentaria. Ha delimitado, por una parte, las funciones del Parlamento (título III), por otra, las del Gobierno (título IV) y ha regulado y dedicado su título V a establecer las relaciones entre ambos poderes. La función de control del Gobierno que desempeñan los parlamentos (art. 66.2 CE) es inherente a su carácter representativo y a la forma de gobierno parlamentaria que se establece en el art. 1.3 CE. Solo de este modo se garantiza el equilibrio entre estos poderes previsto en nuestra Norma Fundamental.</w:t>
      </w:r>
    </w:p>
    <w:p w14:paraId="06D97DA1" w14:textId="77777777" w:rsidR="003754FE" w:rsidRDefault="003754FE" w:rsidP="003754FE">
      <w:pPr>
        <w:pStyle w:val="TextoNormal"/>
      </w:pPr>
    </w:p>
    <w:p w14:paraId="559AA6E5" w14:textId="77777777" w:rsidR="003754FE" w:rsidRDefault="003754FE" w:rsidP="003754FE">
      <w:pPr>
        <w:pStyle w:val="TextoNormal"/>
      </w:pPr>
      <w:r>
        <w:lastRenderedPageBreak/>
        <w:t>c) La Constitución no define en qué consiste esta forma de control al Gobierno, pero una interpretación sistemática y teleológica ha llevado al Tribunal a entender que este control no se limita a los instrumentos que prevé su título V, sino que incluye también el que se ejerce a través de la función legislativa y, dentro de esta, de la función presupuestaria, al permitir el debate público y, de este modo, el conocimiento de los ciudadanos de la actuación del Gobierno.</w:t>
      </w:r>
    </w:p>
    <w:p w14:paraId="38B537C5" w14:textId="77777777" w:rsidR="003754FE" w:rsidRDefault="003754FE" w:rsidP="003754FE">
      <w:pPr>
        <w:pStyle w:val="TextoNormal"/>
      </w:pPr>
    </w:p>
    <w:p w14:paraId="29A28A1A" w14:textId="77777777" w:rsidR="003754FE" w:rsidRDefault="003754FE" w:rsidP="003754FE">
      <w:pPr>
        <w:pStyle w:val="TextoNormal"/>
      </w:pPr>
      <w:r>
        <w:t xml:space="preserve">d) Uno de los modos de ejercer la función de </w:t>
      </w:r>
      <w:r w:rsidRPr="003754FE">
        <w:rPr>
          <w:i/>
        </w:rPr>
        <w:t>indirizzo politico</w:t>
      </w:r>
      <w:r>
        <w:t xml:space="preserve"> (orientación política) que constitucionalmente corresponde al Gobierno es el ejercicio de la iniciativa legislativa (art. 87.1 CE) y, a los efectos que ahora interesan, es especialmente relevante la iniciativa legislativa en materia presupuestaria que corresponde en exclusiva al Gobierno (art. 134.1 CE).</w:t>
      </w:r>
    </w:p>
    <w:p w14:paraId="124407FD" w14:textId="77777777" w:rsidR="003754FE" w:rsidRDefault="003754FE" w:rsidP="003754FE">
      <w:pPr>
        <w:pStyle w:val="TextoNormal"/>
      </w:pPr>
    </w:p>
    <w:p w14:paraId="37FA0115" w14:textId="77777777" w:rsidR="003754FE" w:rsidRDefault="003754FE" w:rsidP="003754FE">
      <w:pPr>
        <w:pStyle w:val="TextoNormal"/>
      </w:pPr>
      <w:r>
        <w:t xml:space="preserve">e) La ley de presupuestos no es únicamente un conjunto de previsiones contables. También es un vehículo de dirección y orientación de la política económica que corresponde al Gobierno. Es, además, una “verdadera ley, considerando así superada la cuestión de su carácter formal o material” [STC 76/1992, de 14 de mayo, FJ 4 a)]. “[L]os presupuestos —en el sentido estricto de previsiones de ingresos y habilitaciones de gastos— y el articulado de la ley que los aprueba integran un todo cuyo contenido adquiere fuerza de ley” [STC 76/1992, de 14 de mayo, FJ 4 a), que cita a su vez la STC 63/1986, de 21 de mayo, FJ 5]. A través del debate parlamentario del proyecto de ley de presupuestos se fiscaliza el conjunto de la actividad financiera pública para ese ejercicio, se aprueba o se rechaza el programa político, económico y social del Gobierno que los presenta y se controla que la asignación de los recursos públicos sea equitativa. “Precisamente para que dicha función pueda ser realizada, al margen de un posible contenido eventual o disponible, la ley de presupuestos tiene un contenido constitucionalmente determinado que se concreta en la previsión de ingresos y la autorización de gastos, debiendo esta última extenderse tanto al </w:t>
      </w:r>
      <w:r w:rsidRPr="003754FE">
        <w:rPr>
          <w:i/>
        </w:rPr>
        <w:t>quantum</w:t>
      </w:r>
      <w:r>
        <w:t xml:space="preserve"> como a su destino” (STC 3/2003, de 16 de enero, FJ 7).</w:t>
      </w:r>
    </w:p>
    <w:p w14:paraId="14E7383C" w14:textId="77777777" w:rsidR="003754FE" w:rsidRDefault="003754FE" w:rsidP="003754FE">
      <w:pPr>
        <w:pStyle w:val="TextoNormal"/>
      </w:pPr>
    </w:p>
    <w:p w14:paraId="4CA632A2" w14:textId="77777777" w:rsidR="003754FE" w:rsidRDefault="003754FE" w:rsidP="003754FE">
      <w:pPr>
        <w:pStyle w:val="TextoNormal"/>
      </w:pPr>
      <w:r>
        <w:t>f) Del carácter central que la Constitución otorga al Parlamento deriva la posición privilegiada de la ley que conlleva su presunción de legitimidad constitucional y que determina 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161.1 CE) o cuando la ley sea preconstitucional. A diferencia de las normas infralegales, que sí pueden ser inaplicadas [art. 6 de la Ley Orgánica del Poder Judicial (LOPJ)] o, en su caso, declaradas nulas por los órganos judiciales para garantizar la supremacía constitucional, cuando se trata de normas con rango de ley solo el Tribunal Constitucional tiene el monopolio de expulsarlas del ordenamiento jurídico con efecto</w:t>
      </w:r>
      <w:r w:rsidRPr="003754FE">
        <w:rPr>
          <w:i/>
        </w:rPr>
        <w:t>s erga omn</w:t>
      </w:r>
      <w:r>
        <w:t>es.</w:t>
      </w:r>
    </w:p>
    <w:p w14:paraId="2C211F13" w14:textId="77777777" w:rsidR="003754FE" w:rsidRDefault="003754FE" w:rsidP="003754FE">
      <w:pPr>
        <w:pStyle w:val="TextoNormal"/>
      </w:pPr>
    </w:p>
    <w:p w14:paraId="3DFC737C" w14:textId="77777777" w:rsidR="003754FE" w:rsidRDefault="003754FE" w:rsidP="003754FE">
      <w:pPr>
        <w:pStyle w:val="TextoNormal"/>
      </w:pPr>
      <w:r>
        <w:t>B) Para la resolución de este recurso de amparo es importante también analizar la naturaleza jurídica de los anteproyectos y proyectos de ley. El ahora recurrente ha sido condenado por incurrir en un delito de prevaricación, por participar entre otras actuaciones, en la tramitación, en su condición de director general de Presupuestos, en la elaboración de los anteproyectos de la ley de presupuestos para los años 2003 al 2009.</w:t>
      </w:r>
    </w:p>
    <w:p w14:paraId="764AD6D2" w14:textId="77777777" w:rsidR="003754FE" w:rsidRDefault="003754FE" w:rsidP="003754FE">
      <w:pPr>
        <w:pStyle w:val="TextoNormal"/>
      </w:pPr>
    </w:p>
    <w:p w14:paraId="0E42D593" w14:textId="77777777" w:rsidR="003754FE" w:rsidRDefault="003754FE" w:rsidP="003754FE">
      <w:pPr>
        <w:pStyle w:val="TextoNormal"/>
      </w:pPr>
      <w:r>
        <w:lastRenderedPageBreak/>
        <w:t>a) En la STC 93/2024 y en la jurisprudencia allí citada el Tribunal ha establecido que los anteproyectos y proyectos de ley no pueden ser objeto de control jurídico.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 (STC 93/2024, FJ 4.3.3, y ATC 135/2004, de 20 de abril, FJ 6).</w:t>
      </w:r>
    </w:p>
    <w:p w14:paraId="14EE43B9" w14:textId="77777777" w:rsidR="003754FE" w:rsidRDefault="003754FE" w:rsidP="003754FE">
      <w:pPr>
        <w:pStyle w:val="TextoNormal"/>
      </w:pPr>
    </w:p>
    <w:p w14:paraId="2521A9EF" w14:textId="77777777" w:rsidR="003754FE" w:rsidRDefault="003754FE" w:rsidP="003754FE">
      <w:pPr>
        <w:pStyle w:val="TextoNormal"/>
      </w:pPr>
      <w:r>
        <w:t xml:space="preserve">b) La iniciativa legislativa es el cauce institucionalizado para la modificación de las leyes y normas con rango de ley preexistentes. Por ello, como con detalle se expone en la STC 93/2024, FJ 4.3.4, “el proyecto [de ley] cuyo contenido contraviene la normativa existente mientras que es proyecto no puede someterse a un juicio de legalidad —en ese momento es un acto inexistente para el Derecho— y, una vez que se ha aprobado, al haberse convertido en ley, el único juicio que cabe es el de constitucionalidad. Este juicio solo puede efectuarse respecto de la ley aprobada, no respecto de los actos que conforman su procedimiento de elaboración, que nunca tienen eficacia </w:t>
      </w:r>
      <w:r w:rsidRPr="003754FE">
        <w:rPr>
          <w:i/>
        </w:rPr>
        <w:t>ad extra</w:t>
      </w:r>
      <w:r>
        <w:t xml:space="preserve"> y, como meros actos de trámite, una vez dictado el acto final, esto es, la ley, carecen de autonomía respecto de ella”.</w:t>
      </w:r>
    </w:p>
    <w:p w14:paraId="49F2C495" w14:textId="77777777" w:rsidR="003754FE" w:rsidRDefault="003754FE" w:rsidP="003754FE">
      <w:pPr>
        <w:pStyle w:val="TextoNormal"/>
      </w:pPr>
    </w:p>
    <w:p w14:paraId="54E750A2" w14:textId="77777777" w:rsidR="003754FE" w:rsidRDefault="003754FE" w:rsidP="003754FE">
      <w:pPr>
        <w:pStyle w:val="TextoNormal"/>
      </w:pPr>
      <w:r>
        <w:t>c) Resulta, por tanto, que “[e]l contenido del anteproyecto o del proyecto, en tanto tales, es infiscalizable y no puede ejercerse más control que el político” (STC 93/2024, FJ 4.3.3, que cita, a su vez, el ATC 135/2004, de 20 de abril, FJ 6).</w:t>
      </w:r>
    </w:p>
    <w:p w14:paraId="1C497E79" w14:textId="77777777" w:rsidR="003754FE" w:rsidRDefault="003754FE" w:rsidP="003754FE">
      <w:pPr>
        <w:pStyle w:val="TextoNormal"/>
      </w:pPr>
    </w:p>
    <w:p w14:paraId="15D70E94" w14:textId="77777777" w:rsidR="003754FE" w:rsidRDefault="003754FE" w:rsidP="003754FE">
      <w:pPr>
        <w:pStyle w:val="TextoNormal"/>
      </w:pPr>
      <w:r>
        <w:t>C) “El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por un ámbito material, sino también por la forma en que han de relacionarse entre ellos. Cuando un poder del Estado se extralimita en el ejercicio de sus atribuciones se infringe el principio de separación de poderes y se altera el diseño institucional constitucionalmente previsto” (STC 93/2024, FJ 4.3.5).</w:t>
      </w:r>
    </w:p>
    <w:p w14:paraId="05236B7D" w14:textId="77777777" w:rsidR="003754FE" w:rsidRDefault="003754FE" w:rsidP="003754FE">
      <w:pPr>
        <w:pStyle w:val="TextoNormal"/>
      </w:pPr>
    </w:p>
    <w:p w14:paraId="51EA7509" w14:textId="77777777" w:rsidR="003754FE" w:rsidRDefault="003754FE" w:rsidP="003754FE">
      <w:pPr>
        <w:pStyle w:val="TextoNormal"/>
      </w:pPr>
      <w:r>
        <w:t>4.4</w:t>
      </w:r>
      <w:r w:rsidRPr="003754FE">
        <w:rPr>
          <w:i/>
        </w:rPr>
        <w:t>. Enjuiciamiento de la que</w:t>
      </w:r>
      <w:r>
        <w:t>ja</w:t>
      </w:r>
    </w:p>
    <w:p w14:paraId="3FCF4182" w14:textId="77777777" w:rsidR="003754FE" w:rsidRDefault="003754FE" w:rsidP="003754FE">
      <w:pPr>
        <w:pStyle w:val="TextoNormal"/>
      </w:pPr>
    </w:p>
    <w:p w14:paraId="4DBFD6A3" w14:textId="77777777" w:rsidR="003754FE" w:rsidRDefault="003754FE" w:rsidP="003754FE">
      <w:pPr>
        <w:pStyle w:val="TextoNormal"/>
      </w:pPr>
      <w:r>
        <w:t>Una vez expuestos los fundamentos de la condena del recurrente por el delito de prevaricación, así como los rasgos esenciales de nuestra democracia constitucional y parlamentaria —sobre esta cuestión, como se acaba de indicar, se ha efectuado una mera síntesis de lo establecido por el Tribunal en la STC 93/2024, FJ 4.3—, se van a enjuiciar las quejas aducidas por el demandante en relación con su condena por el delito de prevaricación.</w:t>
      </w:r>
    </w:p>
    <w:p w14:paraId="5898268C" w14:textId="77777777" w:rsidR="003754FE" w:rsidRDefault="003754FE" w:rsidP="003754FE">
      <w:pPr>
        <w:pStyle w:val="TextoNormal"/>
      </w:pPr>
    </w:p>
    <w:p w14:paraId="1B89FFF2" w14:textId="77777777" w:rsidR="003754FE" w:rsidRDefault="003754FE" w:rsidP="003754FE">
      <w:pPr>
        <w:pStyle w:val="TextoNormal"/>
      </w:pPr>
      <w:r>
        <w:t xml:space="preserve">Para ello, han de distinguirse los distintos hechos por los que ha sido condenado como autor de un delito continuado de prevaricación: A) la participación en la elaboración de los anteproyectos de leyes de presupuestos para los ejercicios de los años 2003 a 2009; B) la participación en la tramitación de las modificaciones presupuestarias de 2002 a 2009 relacionadas con el programa 31L de las leyes de presupuestos correspondientes a los referidos </w:t>
      </w:r>
      <w:r>
        <w:lastRenderedPageBreak/>
        <w:t>ejercicios; y C) la participación en la tramitación de la modificación presupuestaria de 9 de diciembre de 2004.</w:t>
      </w:r>
    </w:p>
    <w:p w14:paraId="058CF914" w14:textId="77777777" w:rsidR="003754FE" w:rsidRDefault="003754FE" w:rsidP="003754FE">
      <w:pPr>
        <w:pStyle w:val="TextoNormal"/>
      </w:pPr>
    </w:p>
    <w:p w14:paraId="78D0AC95" w14:textId="77777777" w:rsidR="003754FE" w:rsidRDefault="003754FE" w:rsidP="003754FE">
      <w:pPr>
        <w:pStyle w:val="TextoNormal"/>
      </w:pPr>
      <w:r>
        <w:t>A) La participación en la elaboración de los anteproyectos de leyes de presupuestos para los ejercicios 2003 a 2009</w:t>
      </w:r>
    </w:p>
    <w:p w14:paraId="743CFE6B" w14:textId="77777777" w:rsidR="003754FE" w:rsidRDefault="003754FE" w:rsidP="003754FE">
      <w:pPr>
        <w:pStyle w:val="TextoNormal"/>
      </w:pPr>
    </w:p>
    <w:p w14:paraId="43DF3CB2" w14:textId="77777777" w:rsidR="003754FE" w:rsidRDefault="003754FE" w:rsidP="003754FE">
      <w:pPr>
        <w:pStyle w:val="TextoNormal"/>
      </w:pPr>
      <w:r>
        <w:t>A efectos de apreciar si los órganos judiciales han realizado una interpretación extensiva de los elementos típicos del art. 404 CP y han vulnerado por ello el art. 25.1 CE, como alega el recurrente, es preciso examinar, en primer lugar, si la interpretación que las sentencias recurridas han realizado de los conceptos “resolución arbitraria en un asunto administrativo” (art. 404 CP) es o no lesiva del art. 25.1 CE. Para ello, es necesario atender a la naturaleza jurídica de los anteproyectos de ley.</w:t>
      </w:r>
    </w:p>
    <w:p w14:paraId="34CF4694" w14:textId="77777777" w:rsidR="003754FE" w:rsidRDefault="003754FE" w:rsidP="003754FE">
      <w:pPr>
        <w:pStyle w:val="TextoNormal"/>
      </w:pPr>
    </w:p>
    <w:p w14:paraId="54CD9DFC" w14:textId="77777777" w:rsidR="003754FE" w:rsidRDefault="003754FE" w:rsidP="003754FE">
      <w:pPr>
        <w:pStyle w:val="TextoNormal"/>
      </w:pPr>
      <w:r>
        <w:t>De conformidad con lo dispuesto en la STC 93/2024, es claro “que las actuaciones realizadas cuando el Gobierno ejerce la iniciativa legislativa no pueden considerarse en modo alguno una actuación administrativa”, sino una “actividad propia de la función de gobierno en sentido estricto, pues es una prerrogativa que corresponde al Gobierno en virtud de su posición institucional, no a la organización a su servicio, que es la administración pública” [FJ 4.4.1 a)]. Como ya ha afirmado el Tribunal en la citada STC 93/2024, dichas actuaciones ni tienen el carácter de definitivas ni el hecho de que existan normas que disciplinen cómo han de elaborarse los proyectos de ley y su aprobación como proyecto de ley los convierte en actos reglados. De lo anterior se deduce “que el contenido de los anteproyectos y proyectos de ley no pueden ser objeto de control por ningún órgano judicial.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[FJ 4.4.1 a)].</w:t>
      </w:r>
    </w:p>
    <w:p w14:paraId="07875A39" w14:textId="77777777" w:rsidR="003754FE" w:rsidRDefault="003754FE" w:rsidP="003754FE">
      <w:pPr>
        <w:pStyle w:val="TextoNormal"/>
      </w:pPr>
    </w:p>
    <w:p w14:paraId="37087AF8" w14:textId="77777777" w:rsidR="003754FE" w:rsidRDefault="003754FE" w:rsidP="003754FE">
      <w:pPr>
        <w:pStyle w:val="TextoNormal"/>
      </w:pPr>
      <w:r>
        <w:t>Las consideraciones que acaban de hacerse son incompatibles con las contenidas en las sentencias recurridas en las que se sostiene que las actuaciones realizadas con ocasión de la aprobación de los anteproyectos de ley —las actuaciones prelegislativas, en terminología de las resoluciones impugnadas— han de calificarse como resoluciones recaídas en un asunto administrativo para apreciar que concurren los elementos típicos del delito de prevaricación (art. 404 CP).</w:t>
      </w:r>
    </w:p>
    <w:p w14:paraId="6750BA71" w14:textId="77777777" w:rsidR="003754FE" w:rsidRDefault="003754FE" w:rsidP="003754FE">
      <w:pPr>
        <w:pStyle w:val="TextoNormal"/>
      </w:pPr>
    </w:p>
    <w:p w14:paraId="11E952B8" w14:textId="77777777" w:rsidR="003754FE" w:rsidRDefault="003754FE" w:rsidP="003754FE">
      <w:pPr>
        <w:pStyle w:val="TextoNormal"/>
      </w:pPr>
      <w:r>
        <w:t>Por lo expuesto, no cabe considerar que las actuaciones realizadas por el recurrente, en su condición de director general de Presupuestos, en la elaboración de los anteproyectos de leyes de presupuestos para los años 2003 al 2009 puedan ser calificadas como resoluciones recaídas en asunto administrativo. Al haberlo entendido así las sentencias impugnadas han incurrido en una interpretación extravagante e imprevisible de los elementos típicos “resolución” y “asunto administrativo” que vulnera el derecho fundamental a la legalidad penal que garantiza el art. 25 CE.</w:t>
      </w:r>
    </w:p>
    <w:p w14:paraId="764F43A0" w14:textId="77777777" w:rsidR="003754FE" w:rsidRDefault="003754FE" w:rsidP="003754FE">
      <w:pPr>
        <w:pStyle w:val="TextoNormal"/>
      </w:pPr>
    </w:p>
    <w:p w14:paraId="28BD31FF" w14:textId="77777777" w:rsidR="003754FE" w:rsidRDefault="003754FE" w:rsidP="003754FE">
      <w:pPr>
        <w:pStyle w:val="TextoNormal"/>
      </w:pPr>
      <w:r>
        <w:t xml:space="preserve">Por otra parte, el recurrente ha alegado que los órganos judiciales han incurrido en un exceso y han efectuado una “expansión inaceptable de su jurisdicción”, provocando un desequilibrio en el sistema de poderes del Estado al proyectar su actuación fuera de su marco </w:t>
      </w:r>
      <w:r>
        <w:lastRenderedPageBreak/>
        <w:t>propio, condicionando la actuación del Parlamento al someter a escrutinio penal las propuestas dirigidas a la sede de la soberanía popular.</w:t>
      </w:r>
    </w:p>
    <w:p w14:paraId="455AB5D1" w14:textId="77777777" w:rsidR="003754FE" w:rsidRDefault="003754FE" w:rsidP="003754FE">
      <w:pPr>
        <w:pStyle w:val="TextoNormal"/>
      </w:pPr>
    </w:p>
    <w:p w14:paraId="5363FF2D" w14:textId="77777777" w:rsidR="003754FE" w:rsidRDefault="003754FE" w:rsidP="003754FE">
      <w:pPr>
        <w:pStyle w:val="TextoNormal"/>
      </w:pPr>
      <w:r>
        <w:t>En efecto, la forma de razonar de las sentencias recurridas, como ya se puso de relieve en la STC 93/2024, FJ 4.4.1 b), supone “privar de toda relevancia a la aprobación parlamentaria de la ley, lo que conlleva desconocer la centralidad del Parlamento andaluz en el entramado institucional diseñado estatutariamente”.</w:t>
      </w:r>
    </w:p>
    <w:p w14:paraId="65FEAF4A" w14:textId="77777777" w:rsidR="003754FE" w:rsidRDefault="003754FE" w:rsidP="003754FE">
      <w:pPr>
        <w:pStyle w:val="TextoNormal"/>
      </w:pPr>
    </w:p>
    <w:p w14:paraId="42912583" w14:textId="77777777" w:rsidR="003754FE" w:rsidRDefault="003754FE" w:rsidP="003754FE">
      <w:pPr>
        <w:pStyle w:val="TextoNormal"/>
      </w:pPr>
      <w:r>
        <w:t>De acuerdo con lo establecido en la STC 93/2024, FJ 4.4.1 b), una cosa “es que el Gobierno, por la posición que ocupa en el sistema de poderes, tenga atribuida en exclusiva la iniciativa legislativa en materia presupuestaria y que dicha posición sea generadora de consecuencias jurídicas en el procedimiento legislativo (poder de retirada del proyecto hasta su aprobación definitiva —arts. 128 del Reglamento del Congreso y 130 del Reglamento del Parlamento de Andalucía—, veto presupuestario, etc.) y otra, muy distinta, sostener que la intervención del Parlamento en la aprobación del presupuesto es meramente formal, hasta el punto de concluir que no puede entenderse aprobado el sistema de presupuestación expresamente previsto en la ley al considerar que este sistema había sido establecido ilegalmente por el Gobierno en el proyecto de ley. Los principios que rigen nuestro sistema constitucional, en particular los que otorgan la centralidad al Parlamento en la conformación del Estado y a los que se ha hecho referencia anteriormente, niegan tal posibilidad”.</w:t>
      </w:r>
    </w:p>
    <w:p w14:paraId="4D11A50D" w14:textId="77777777" w:rsidR="003754FE" w:rsidRDefault="003754FE" w:rsidP="003754FE">
      <w:pPr>
        <w:pStyle w:val="TextoNormal"/>
      </w:pPr>
    </w:p>
    <w:p w14:paraId="5A6436AD" w14:textId="77777777" w:rsidR="003754FE" w:rsidRDefault="003754FE" w:rsidP="003754FE">
      <w:pPr>
        <w:pStyle w:val="TextoNormal"/>
      </w:pPr>
      <w:r>
        <w:t>En suma, como ha afirmado el Tribunal en relación con esta misma cuestión en la STC 93/2024, y por las razones allí expuestas, ha de concluirse que la apreciación de los elementos típicos del art. 404 CP efectuada por las resoluciones impugnadas respecto de la participación del recurrente en la elaboración de los anteproyectos de leyes de presupuestos para los ejercicios 2003 a 2009 es contraria al art. 25.1 CE.</w:t>
      </w:r>
    </w:p>
    <w:p w14:paraId="773650BA" w14:textId="77777777" w:rsidR="003754FE" w:rsidRDefault="003754FE" w:rsidP="003754FE">
      <w:pPr>
        <w:pStyle w:val="TextoNormal"/>
      </w:pPr>
    </w:p>
    <w:p w14:paraId="6E1FC1AC" w14:textId="77777777" w:rsidR="003754FE" w:rsidRDefault="003754FE" w:rsidP="003754FE">
      <w:pPr>
        <w:pStyle w:val="TextoNormal"/>
      </w:pPr>
      <w:r>
        <w:t>B) Las modificaciones presupuestarias</w:t>
      </w:r>
    </w:p>
    <w:p w14:paraId="1F633BD4" w14:textId="77777777" w:rsidR="003754FE" w:rsidRDefault="003754FE" w:rsidP="003754FE">
      <w:pPr>
        <w:pStyle w:val="TextoNormal"/>
      </w:pPr>
    </w:p>
    <w:p w14:paraId="345ECEFA" w14:textId="77777777" w:rsidR="003754FE" w:rsidRDefault="003754FE" w:rsidP="003754FE">
      <w:pPr>
        <w:pStyle w:val="TextoNormal"/>
      </w:pPr>
      <w:r>
        <w:t>Como ya se ha señalado en este mismo fundamento jurídico, apartado 4.1, el recurrente fue condenado como autor de un delito continuado de prevaricación al haber participado, en su condición de director general de Presupuestos, en las modificaciones presupuestarias relativas al programa 31L de las leyes de presupuestos.</w:t>
      </w:r>
    </w:p>
    <w:p w14:paraId="430C7BFB" w14:textId="77777777" w:rsidR="003754FE" w:rsidRDefault="003754FE" w:rsidP="003754FE">
      <w:pPr>
        <w:pStyle w:val="TextoNormal"/>
      </w:pPr>
    </w:p>
    <w:p w14:paraId="3D3E6DAD" w14:textId="77777777" w:rsidR="003754FE" w:rsidRDefault="003754FE" w:rsidP="003754FE">
      <w:pPr>
        <w:pStyle w:val="TextoNormal"/>
      </w:pPr>
      <w:r>
        <w:t>Asimismo, las resoluciones judiciales impugnadas han considerado que la participación del actor en la tramitación de la modificación presupuestaria aprobada para el pago de ayudas sociolaborales por el Consejo de Gobierno el día 9 de diciembre de 2004 por importe 2 994 876 € en el programa 32H (“Dirección y servicios generales del Servicio Andaluz de Empleo”) es constitutiva también de un delito de prevaricación.</w:t>
      </w:r>
    </w:p>
    <w:p w14:paraId="3A5FA620" w14:textId="77777777" w:rsidR="003754FE" w:rsidRDefault="003754FE" w:rsidP="003754FE">
      <w:pPr>
        <w:pStyle w:val="TextoNormal"/>
      </w:pPr>
    </w:p>
    <w:p w14:paraId="37312778" w14:textId="77777777" w:rsidR="003754FE" w:rsidRDefault="003754FE" w:rsidP="003754FE">
      <w:pPr>
        <w:pStyle w:val="TextoNormal"/>
      </w:pPr>
      <w:r>
        <w:t>Del mismo modo que se acaba de hacer respecto de la participación del demandante en la actuación de los anteproyectos de ley, procede analizar si las resoluciones judiciales impugnadas han realizado una interpretación imprevisible del delito de prevaricación (art. 404 CP) —y por ello contraria al art. 25.1 CE—, al considerar que las modificaciones presupuestarias son “resoluciones” “arbitrarias” dictadas en “asunto administrativo”.</w:t>
      </w:r>
    </w:p>
    <w:p w14:paraId="3DF5FAAA" w14:textId="77777777" w:rsidR="003754FE" w:rsidRDefault="003754FE" w:rsidP="003754FE">
      <w:pPr>
        <w:pStyle w:val="TextoNormal"/>
      </w:pPr>
    </w:p>
    <w:p w14:paraId="68700B04" w14:textId="77777777" w:rsidR="003754FE" w:rsidRDefault="003754FE" w:rsidP="003754FE">
      <w:pPr>
        <w:pStyle w:val="TextoNormal"/>
      </w:pPr>
      <w:r>
        <w:t xml:space="preserve">a) En la STC 93/2024, FJ 4.4.2, respecto de las modificaciones presupuestarias, se afirmó que “[c]alificar estos actos como administrativos entra dentro de los márgenes de </w:t>
      </w:r>
      <w:r>
        <w:lastRenderedPageBreak/>
        <w:t>interpretación admisibles en Derecho, dado que no existe norma ni principio alguno que impida llegar a esta conclusión”. Por los motivos allí expuestos, a los que también procede ahora remitirse, no constituye una interpretación imprevisible ni extravagante del elemento típico “resolución” dictada “en un asunto administrativo” del art. 404 CP calificar a las modificaciones presupuestarias como actos administrativos.</w:t>
      </w:r>
    </w:p>
    <w:p w14:paraId="5F042C4D" w14:textId="77777777" w:rsidR="003754FE" w:rsidRDefault="003754FE" w:rsidP="003754FE">
      <w:pPr>
        <w:pStyle w:val="TextoNormal"/>
      </w:pPr>
    </w:p>
    <w:p w14:paraId="6B5416DB" w14:textId="77777777" w:rsidR="003754FE" w:rsidRDefault="003754FE" w:rsidP="003754FE">
      <w:pPr>
        <w:pStyle w:val="TextoNormal"/>
      </w:pPr>
      <w:r>
        <w:t>Cuestión distinta es si esta clase de actos pueden considerarse arbitrarios. Las sentencias recurridas así lo consideran. Las resoluciones judiciales impugnadas llegan a esta conclusión al entender que se realizaron prescindiendo de las exigencias procedimentales y materiales con el fin de eludir los controles exigidos por la normativa subvencional (sentencia del Tribunal Supremo, fundamento de Derecho 24.2, págs. 265 a 271). En efecto, tanto la Audiencia Provincial como el Tribunal Supremo estiman que las modificaciones presupuestarias efectuadas no respetan la normativa presupuestaria, en particular la Orden de la Consejería de Hacienda de 22 de mayo de 1998, y por ello aprecian su manifiesta ilegalidad.</w:t>
      </w:r>
    </w:p>
    <w:p w14:paraId="08499DEC" w14:textId="77777777" w:rsidR="003754FE" w:rsidRDefault="003754FE" w:rsidP="003754FE">
      <w:pPr>
        <w:pStyle w:val="TextoNormal"/>
      </w:pPr>
    </w:p>
    <w:p w14:paraId="00193988" w14:textId="77777777" w:rsidR="003754FE" w:rsidRDefault="003754FE" w:rsidP="003754FE">
      <w:pPr>
        <w:pStyle w:val="TextoNormal"/>
      </w:pPr>
      <w:r>
        <w:t>En la STC 93/2024, FJ 4.4.2, se sostiene que, aunque no es función del Tribunal enjuiciar la corrección jurídica de dicha apreciación, “sí entra dentro de sus atribuciones el efectuar un juicio externo de las razones que llevan a los órganos judiciales a resolver en el sentido expuesto, pues solo de este modo puede verificarse que las resoluciones judiciales, al calificar como manifiestamente ilegales las modificaciones presupuestarias efectuadas, no han desbordado los límites que impone el art. 25.1 CE”. El Tribunal consideró en el fundamento jurídico 4.4.2 de la mencionada sentencia que para hacer tal juicio externo no puede desconocerse que, desde el año 2002, se incluyó en las leyes de presupuestos el programa 31L, que tiene por objeto otorgar transferencias de financiación al IFA/IDEA en materia de relaciones laborales. En los documentos que acompañan a dichas leyes, “en particular, en las memorias —transcritas en sus pasajes más relevantes en las sentencias que ahora se recurren— se hace referencia a la finalidad que con ese programa se pretende, quién ha de ejecutarlo y cómo debe hacerlo”. Estos datos, a los que ahora procede remitirse, quedaron expuestos en el la STC 93/2024, FJ 4.4.2.</w:t>
      </w:r>
    </w:p>
    <w:p w14:paraId="18727BC3" w14:textId="77777777" w:rsidR="003754FE" w:rsidRDefault="003754FE" w:rsidP="003754FE">
      <w:pPr>
        <w:pStyle w:val="TextoNormal"/>
      </w:pPr>
    </w:p>
    <w:p w14:paraId="2E54E862" w14:textId="77777777" w:rsidR="003754FE" w:rsidRDefault="003754FE" w:rsidP="003754FE">
      <w:pPr>
        <w:pStyle w:val="TextoNormal"/>
      </w:pPr>
      <w:r>
        <w:t>El Tribunal concluyó que los órganos judiciales, al interpretar el elemento típico “arbitraria” del art. 404 CP, debieron haber tomado en consideración el cambio de presupuestación antes referido —aprobado a partir del año 2002—. Al no hacerlo, resulta imprevisible considerar manifiestamente ilegales actos —las modificaciones presupuestarias— dictados al amparo del programa 31L incluido en las leyes de presupuestos.</w:t>
      </w:r>
    </w:p>
    <w:p w14:paraId="2F10F422" w14:textId="77777777" w:rsidR="003754FE" w:rsidRDefault="003754FE" w:rsidP="003754FE">
      <w:pPr>
        <w:pStyle w:val="TextoNormal"/>
      </w:pPr>
    </w:p>
    <w:p w14:paraId="6B0B3A89" w14:textId="77777777" w:rsidR="003754FE" w:rsidRDefault="003754FE" w:rsidP="003754FE">
      <w:pPr>
        <w:pStyle w:val="TextoNormal"/>
      </w:pPr>
      <w:r>
        <w:t xml:space="preserve">b) Una vez expuesta la doctrina que debe aplicarse a este extremo, procede examinar si las modificaciones presupuestarias en cuya elaboración participó el demandante de amparo tenían cobertura en el programa 31L. La Audiencia Provincial de Sevilla, en relación con el recurrente, no enumera las modificaciones presupuestarias en las que participó, sino que, como se ha expuesto en el fundamento jurídico 2.4, se limita a afirmar que se le condena por el delito de prevaricación por “las modificaciones presupuestarias […] que se tramitaron en ese periodo de tiempo [en el que ejerció como director general de Presupuestos (del 21 de abril de 2002 al 26 de abril de 2009)]”, especificando únicamente la modificación presupuestaria de 9 de diciembre de 2004 por la que incrementó el programa 32H. No obstante, como se ha indicado también en el citado fundamento jurídico 2.4 de esta sentencia, de lo expuesto en el fundamento de Derecho 35 de la Audiencia Provincial de Sevilla (págs. 1207 a 1273) cabe deducir que las modificaciones presupuestarias por las que ha sido condenado </w:t>
      </w:r>
      <w:r>
        <w:lastRenderedPageBreak/>
        <w:t>el recurrente, además de la expresamente señalada de 9 de diciembre de 2004 relativa al programa 32H, son aquellas que afectaban al programa 31L.</w:t>
      </w:r>
    </w:p>
    <w:p w14:paraId="06E83270" w14:textId="77777777" w:rsidR="003754FE" w:rsidRDefault="003754FE" w:rsidP="003754FE">
      <w:pPr>
        <w:pStyle w:val="TextoNormal"/>
      </w:pPr>
    </w:p>
    <w:p w14:paraId="746580E4" w14:textId="77777777" w:rsidR="003754FE" w:rsidRDefault="003754FE" w:rsidP="003754FE">
      <w:pPr>
        <w:pStyle w:val="TextoNormal"/>
      </w:pPr>
      <w:r>
        <w:t>De acuerdo con lo doctrina expuesta, no pueden considerarse arbitrarias las actuaciones realizadas por el recurrente en relación con las modificaciones presupuestarias relativas al programa 31L pues al referirse al citado programa, estaban amparadas en la ley de presupuestos. Por todo ello, las resoluciones impugnadas, en lo que se refiere a estas concretas modificaciones presupuestarias, al calificarlas como manifiestamente ilegales, han incurrido en una interpretación del todo imprevisible del tipo penal que ha determinado la condena.</w:t>
      </w:r>
    </w:p>
    <w:p w14:paraId="4CBBDB23" w14:textId="77777777" w:rsidR="003754FE" w:rsidRDefault="003754FE" w:rsidP="003754FE">
      <w:pPr>
        <w:pStyle w:val="TextoNormal"/>
      </w:pPr>
    </w:p>
    <w:p w14:paraId="367672C2" w14:textId="0244ECBE" w:rsidR="003754FE" w:rsidRDefault="003754FE" w:rsidP="003754FE">
      <w:pPr>
        <w:pStyle w:val="TextoNormal"/>
      </w:pPr>
      <w:r>
        <w:t>No ocurre lo mismo con su participación en la modificación presupuestaria aprobada por el Consejo de Gobierno el 9 de diciembre de 2004 por la que se incrementó el programa 32H (“Dirección y servicios generales del Servicio Andaluz de Empleo”) por importe de 2 994 876 €. Los fines de este programa no eran la concesión de ayudas sociolaborales, por lo que, al ser dedicados estos fondos a ayudas sociolaborales, su consideración por las resoluciones judiciales impugnadas como resolución arbitraria recaída en un asunto administrativo no desborda los límites del art. 404 CP.</w:t>
      </w:r>
    </w:p>
    <w:p w14:paraId="52249D20" w14:textId="77777777" w:rsidR="003754FE" w:rsidRDefault="003754FE" w:rsidP="003754FE">
      <w:pPr>
        <w:pStyle w:val="TextoNormal"/>
      </w:pPr>
    </w:p>
    <w:p w14:paraId="76710AE8" w14:textId="77777777" w:rsidR="003754FE" w:rsidRDefault="003754FE" w:rsidP="003754FE">
      <w:pPr>
        <w:pStyle w:val="TextoNormal"/>
      </w:pPr>
      <w:r w:rsidRPr="003754FE">
        <w:rPr>
          <w:rStyle w:val="NumeroAFNegritaCaracter"/>
        </w:rPr>
        <w:t>5</w:t>
      </w:r>
      <w:r>
        <w:t xml:space="preserve">. </w:t>
      </w:r>
      <w:r w:rsidRPr="003754FE">
        <w:rPr>
          <w:i/>
        </w:rPr>
        <w:t>La vulneración del derecho a la legalidad penal (art. 25.1 CE) por la inaplicación, inesperada e imprevisible, de la regulación de la prescripción contenida en los arts. 130, 131 y 132 CP</w:t>
      </w:r>
    </w:p>
    <w:p w14:paraId="7C3B8EC9" w14:textId="77777777" w:rsidR="003754FE" w:rsidRDefault="003754FE" w:rsidP="003754FE">
      <w:pPr>
        <w:pStyle w:val="TextoNormal"/>
      </w:pPr>
    </w:p>
    <w:p w14:paraId="2C05C86C" w14:textId="77777777" w:rsidR="003754FE" w:rsidRDefault="003754FE" w:rsidP="003754FE">
      <w:pPr>
        <w:pStyle w:val="TextoNormal"/>
      </w:pPr>
      <w:r>
        <w:t xml:space="preserve">5.1. </w:t>
      </w:r>
      <w:r w:rsidRPr="003754FE">
        <w:rPr>
          <w:i/>
        </w:rPr>
        <w:t>Exposición de la queja del recurrente y de las posiciones de las partes personadas</w:t>
      </w:r>
    </w:p>
    <w:p w14:paraId="511E37D5" w14:textId="77777777" w:rsidR="003754FE" w:rsidRDefault="003754FE" w:rsidP="003754FE">
      <w:pPr>
        <w:pStyle w:val="TextoNormal"/>
      </w:pPr>
    </w:p>
    <w:p w14:paraId="1E1551C9" w14:textId="77777777" w:rsidR="003754FE" w:rsidRDefault="003754FE" w:rsidP="003754FE">
      <w:pPr>
        <w:pStyle w:val="TextoNormal"/>
      </w:pPr>
      <w:r>
        <w:t>(i) Bajo esta alegación lo que el demandante de amparo denuncia es que se ha vulnerado su derecho a la legalidad penal (art. 25.1 CE) por no haber aplicado los preceptos del Código penal que regulan la prescripción. Aduce en la demanda de amparo que la sentencia de la Audiencia Provincial identifica los actos que considera “resolución” y en lo que a él se refiere lo concreta en el acuerdo de elevación de la propuesta de modificación presupuestaria a la consejera de Economía y Hacienda, doña Magdalena Álvarez Arza, para su aprobación, lo que se produjo el 21 de octubre de 2002. El actor afirma que fue imputado por auto de 28 de junio de 2013, cuando ya habían transcurrido más de diez años.</w:t>
      </w:r>
    </w:p>
    <w:p w14:paraId="1FE2371F" w14:textId="77777777" w:rsidR="003754FE" w:rsidRDefault="003754FE" w:rsidP="003754FE">
      <w:pPr>
        <w:pStyle w:val="TextoNormal"/>
      </w:pPr>
    </w:p>
    <w:p w14:paraId="61537271" w14:textId="77777777" w:rsidR="003754FE" w:rsidRDefault="003754FE" w:rsidP="003754FE">
      <w:pPr>
        <w:pStyle w:val="TextoNormal"/>
      </w:pPr>
      <w:r>
        <w:t>(ii) El Partido Popular se opone a este motivo del recurso. Alega que se funda en una tergiversación del relato de hechos probados, que no se circunscribe a un hecho puntual cometido el 21 de octubre de 2002, como se afirma en el recurso, sino que se extiende a la intervención del recurrente en la elaboración, tramitación y aprobación de los proyectos de presupuestos y modificaciones presupuestarias desde el 15 de octubre de 2002 hasta el 22 de diciembre de 2008, lo que excluiría la prescripción del delito, como debidamente se razona en la sentencia del Tribunal Supremo, fundamento de Derecho 88.</w:t>
      </w:r>
    </w:p>
    <w:p w14:paraId="78335A66" w14:textId="77777777" w:rsidR="003754FE" w:rsidRDefault="003754FE" w:rsidP="003754FE">
      <w:pPr>
        <w:pStyle w:val="TextoNormal"/>
      </w:pPr>
    </w:p>
    <w:p w14:paraId="1AF874F7" w14:textId="77777777" w:rsidR="003754FE" w:rsidRDefault="003754FE" w:rsidP="003754FE">
      <w:pPr>
        <w:pStyle w:val="TextoNormal"/>
      </w:pPr>
      <w:r>
        <w:t>El Ministerio Fiscal también se opone a este motivo del recurso aduciendo argumentos similares a los alegados por el Partido Popular. Sostiene que las resoluciones judiciales impugnadas fundamentan la condena por delito de prevaricación en la intervención que el actor tuvo en los procesos de elaboración y aprobación de las modificaciones presupuestarias y de los proyectos anuales de presupuestos mientras desempeñó su cargo de director general de Presupuestos y no únicamente, como afirma la demanda, en su intervención en la modificación presupuestaria de 21 de diciembre de 2002.</w:t>
      </w:r>
    </w:p>
    <w:p w14:paraId="032DBBA1" w14:textId="77777777" w:rsidR="003754FE" w:rsidRDefault="003754FE" w:rsidP="003754FE">
      <w:pPr>
        <w:pStyle w:val="TextoNormal"/>
      </w:pPr>
    </w:p>
    <w:p w14:paraId="361D6C6E" w14:textId="77777777" w:rsidR="003754FE" w:rsidRDefault="003754FE" w:rsidP="003754FE">
      <w:pPr>
        <w:pStyle w:val="TextoNormal"/>
      </w:pPr>
      <w:r>
        <w:t xml:space="preserve">5.2. </w:t>
      </w:r>
      <w:r w:rsidRPr="003754FE">
        <w:rPr>
          <w:i/>
        </w:rPr>
        <w:t>Argumentos por los que la sentencia del Tribunal Supremo desestima esta queja</w:t>
      </w:r>
    </w:p>
    <w:p w14:paraId="19F35360" w14:textId="77777777" w:rsidR="003754FE" w:rsidRDefault="003754FE" w:rsidP="003754FE">
      <w:pPr>
        <w:pStyle w:val="TextoNormal"/>
      </w:pPr>
    </w:p>
    <w:p w14:paraId="15861CDB" w14:textId="77777777" w:rsidR="003754FE" w:rsidRDefault="003754FE" w:rsidP="003754FE">
      <w:pPr>
        <w:pStyle w:val="TextoNormal"/>
      </w:pPr>
      <w:r>
        <w:t>La sentencia del Tribunal Supremo, en el fundamento de Derecho 88, desestimó el motivo del recurso de casación por el que el recurrente adujo la prescripción del delito de prevaricación. Según se expone en esta sentencia, “[s]iendo cierto que la fundamentación jurídica de la resolución adolece de cierta imprecisión a la hora de determinar qué decisiones adoptadas, tanto en la elaboración de los proyectos de ley como en la aprobación de las modificaciones presupuestarias, pueden ser calificadas de resolución a efectos del delito de prevaricación, para determinar los hechos que delimitan el delito objeto de condena debe acudirse exclusivamente al juicio histórico de la sentencia y basta leer el relato fáctico para apreciar que los hechos por los que ha sido condenado no se limitan a una intervención puntual en el año 2002 sino a su intervención en la elaboración, tramitación y aprobación de los proyectos de presupuestos y las modificaciones presupuestarias desde el 15 de octubre de 2002 al 22 de diciembre de 2008, de ahí que no pueda acogerse la alegación de que el delito de prescripción esté prescrito por haber transcurrido más de diez años entre la fecha del hecho y la fecha en que se dirigió el proceso contra él.”</w:t>
      </w:r>
    </w:p>
    <w:p w14:paraId="096FF665" w14:textId="77777777" w:rsidR="003754FE" w:rsidRDefault="003754FE" w:rsidP="003754FE">
      <w:pPr>
        <w:pStyle w:val="TextoNormal"/>
      </w:pPr>
    </w:p>
    <w:p w14:paraId="2FBF7B36" w14:textId="77777777" w:rsidR="003754FE" w:rsidRDefault="003754FE" w:rsidP="003754FE">
      <w:pPr>
        <w:pStyle w:val="TextoNormal"/>
      </w:pPr>
      <w:r>
        <w:t xml:space="preserve">5.3. </w:t>
      </w:r>
      <w:r w:rsidRPr="003754FE">
        <w:rPr>
          <w:i/>
        </w:rPr>
        <w:t>Enjuiciamiento de la queja</w:t>
      </w:r>
    </w:p>
    <w:p w14:paraId="2AF49937" w14:textId="77777777" w:rsidR="003754FE" w:rsidRDefault="003754FE" w:rsidP="003754FE">
      <w:pPr>
        <w:pStyle w:val="TextoNormal"/>
      </w:pPr>
    </w:p>
    <w:p w14:paraId="210C9E9B" w14:textId="77777777" w:rsidR="003754FE" w:rsidRDefault="003754FE" w:rsidP="003754FE">
      <w:pPr>
        <w:pStyle w:val="TextoNormal"/>
      </w:pPr>
      <w:r>
        <w:t>Esta queja no puede prosperar. Ha de indicarse, en primer lugar, que la estimación parcial del primer motivo del recurso de amparo deja parcialmente sin contenido el segundo de los dos motivos. Según se ha afirmado en el fundamento jurídico anterior, de la subsunción de los hechos imputados al recurrente en el delito de prevaricación solo puede considerarse acorde con las exigencias que se derivan del art. 25.1 CE los relativos a su participación en la modificación presupuestaria aprobada por el Consejo de Gobierno el día 9 de diciembre de 2004 por importe 2 994 876 € en el programa 32H (“Dirección y servicios generales del Servicio Andaluz de Empleo”).</w:t>
      </w:r>
    </w:p>
    <w:p w14:paraId="720DF686" w14:textId="77777777" w:rsidR="003754FE" w:rsidRDefault="003754FE" w:rsidP="003754FE">
      <w:pPr>
        <w:pStyle w:val="TextoNormal"/>
      </w:pPr>
    </w:p>
    <w:p w14:paraId="5BDE2513" w14:textId="77777777" w:rsidR="003754FE" w:rsidRDefault="003754FE" w:rsidP="003754FE">
      <w:pPr>
        <w:pStyle w:val="TextoNormal"/>
      </w:pPr>
      <w:r>
        <w:t>Como consecuencia de ello, resulta innecesario examinar la queja por la que se aduce que las resoluciones judiciales, al no haber apreciado la prescripción del delito de prevaricación a pesar de haber transcurrido más de diez años desde que elevó la propuesta de modificación presupuestaria a la consejera de Economía y Hacienda, doña Magdalena Álvarez, para su aprobación, lo que se produjo el 21 de octubre de 2002 hasta que fue imputado, que fue por auto de 28 de junio de 2013. Esa concreta modificación presupuestaria se refería al programa 31L, por lo que al tener cobertura en la ley de presupuestos para el año 2002, el recurrente, al participar en su tramitación, actúo amparado en la ley, lo que determina, como se ha señalado, que las resoluciones judiciales, al apreciar que esos hechos eran constitutivos de un delito de prevaricación hayan efectuado una aplicación de la norma penal imprevisible lesiva del derecho a la legalidad penal (art. 25.1 CE). Una vez apreciada esta vulneración constitucional en relación con esta concreta modificación presupuestaria, la queja por la que se aduce la vulneración del referido derecho fundamental por la inaplicación de los preceptos del Código penal que regulan la prescripción respecto de esta concreta actuación, decae.</w:t>
      </w:r>
    </w:p>
    <w:p w14:paraId="0455270F" w14:textId="77777777" w:rsidR="003754FE" w:rsidRDefault="003754FE" w:rsidP="003754FE">
      <w:pPr>
        <w:pStyle w:val="TextoNormal"/>
      </w:pPr>
    </w:p>
    <w:p w14:paraId="389F7D8D" w14:textId="30ECE427" w:rsidR="003754FE" w:rsidRDefault="003754FE" w:rsidP="003754FE">
      <w:pPr>
        <w:pStyle w:val="TextoNormal"/>
      </w:pPr>
      <w:r>
        <w:t xml:space="preserve">En todo caso, no está de más de señalar que los órganos judiciales, al estimar que el delito de prevaricación no estaba prescrito, no efectuaron una interpretación y aplicación imprevisible ni extravagante de las normas en materia de prescripción. Las sentencias impugnadas no aplicaron la prescripción al considerar que los hechos imputados no se limitaron, como </w:t>
      </w:r>
      <w:r>
        <w:lastRenderedPageBreak/>
        <w:t>sostiene el recurrente, a una actuación puntual realizada el 21 de octubre de 2002, sino que tuvieron lugar entre el 15 de octubre de 2002 al 22 de diciembre de 2008. Por ello, al tratarse de hechos que se consideraron constitutivos de un delito continuado de prevaricación, los órganos judiciales aplicaron lo dispuesto en el art. 132.1 CP, en el que expresamente se dispone que en tales casos los términos de prescripción se computarán “desde el día en que se realizó la última infracción”, lo que determinó que no se apreciara la prescripción, dado que entre la fecha que se realizó la última infracción y el auto de imputación (que se dictó el 18 de junio de 2013) no habían transcurridos los diez años necesarios para ello. En consecuencia, no puede apreciarse que la interpretación ni la aplicación que efectuaron los órganos judiciales de las normas relativas a la prescripción sea contraria al derecho a legalidad penal (art. 25.1 CE).</w:t>
      </w:r>
    </w:p>
    <w:p w14:paraId="1FB3E221" w14:textId="77777777" w:rsidR="003754FE" w:rsidRDefault="003754FE" w:rsidP="003754FE">
      <w:pPr>
        <w:pStyle w:val="TextoNormal"/>
      </w:pPr>
    </w:p>
    <w:p w14:paraId="59069493" w14:textId="77777777" w:rsidR="003754FE" w:rsidRDefault="003754FE" w:rsidP="003754FE">
      <w:pPr>
        <w:pStyle w:val="TextoNormal"/>
      </w:pPr>
      <w:r w:rsidRPr="003754FE">
        <w:rPr>
          <w:rStyle w:val="NumeroAFNegritaCaracter"/>
        </w:rPr>
        <w:t>6</w:t>
      </w:r>
      <w:r>
        <w:t xml:space="preserve">. </w:t>
      </w:r>
      <w:r w:rsidRPr="003754FE">
        <w:rPr>
          <w:i/>
        </w:rPr>
        <w:t>Vulneración de los derechos fundamentales a la presunción de inocencia y a la tutela judicial efectiva como consecuencia de haber ampliado la sentencia del Tribunal Supremo las resoluciones consideradas prevaricadoras</w:t>
      </w:r>
    </w:p>
    <w:p w14:paraId="51794E7D" w14:textId="77777777" w:rsidR="003754FE" w:rsidRDefault="003754FE" w:rsidP="003754FE">
      <w:pPr>
        <w:pStyle w:val="TextoNormal"/>
      </w:pPr>
    </w:p>
    <w:p w14:paraId="7CACBE9F" w14:textId="77777777" w:rsidR="003754FE" w:rsidRDefault="003754FE" w:rsidP="003754FE">
      <w:pPr>
        <w:pStyle w:val="TextoNormal"/>
      </w:pPr>
      <w:r>
        <w:t xml:space="preserve">6.1. </w:t>
      </w:r>
      <w:r w:rsidRPr="003754FE">
        <w:rPr>
          <w:i/>
        </w:rPr>
        <w:t>Exposición de la queja del recurrente y de las posiciones de las partes</w:t>
      </w:r>
    </w:p>
    <w:p w14:paraId="1CDA09C2" w14:textId="77777777" w:rsidR="003754FE" w:rsidRDefault="003754FE" w:rsidP="003754FE">
      <w:pPr>
        <w:pStyle w:val="TextoNormal"/>
      </w:pPr>
    </w:p>
    <w:p w14:paraId="488874FE" w14:textId="77777777" w:rsidR="003754FE" w:rsidRDefault="003754FE" w:rsidP="003754FE">
      <w:pPr>
        <w:pStyle w:val="TextoNormal"/>
      </w:pPr>
      <w:r>
        <w:t>(i) En el tercer motivo de la demanda de amparo se alega que la sentencia del Tribunal Supremo ha vulnerado el derecho del señor Lozano Peña a la presunción de inocencia, por ausencia de explicación de un elemento objetivo del tipo, el de “resolución en asunto administrativo”, y, “alternativamente” , sus derechos a la tutela judicial efectiva y a la presunción de inocencia, porque para desestimar el motivo casacional en el que se hacía valer la inaplicación indebida de los arts. 130, 131 y 132 CP, sobre prescripción del delito, modifica aspectos fácticos esenciales de la sentencia de instancia, ampliando las resoluciones que se consideraban prevaricadoras. Se refiere a un pasaje del fundamento de Derecho 88 (pág. 657) en el que se afirma que los hechos por los que ha sido condenado ya no se limitan a la intervención puntual en el año 2002 (la elevación por el demandante a la consejera de Economía y Hacienda de la modificación presupuestaria que fue aprobada el 21 de octubre de 2002), sino que pasan a abarcar toda su intervención en la elaboración, tramitación y aprobación de los proyectos de ley de presupuestos y de las modificaciones presupuestarias desde el 15 de octubre de 2002 al 22 de diciembre de 2008, y a otro pasaje del fundamento de Derecho 27, en el que se afirma que las “memorias favorables” también constituyen resolución a los efectos del art. 404 CP, utilizando un concepto que la demanda tilda de confuso.</w:t>
      </w:r>
    </w:p>
    <w:p w14:paraId="492CF388" w14:textId="77777777" w:rsidR="003754FE" w:rsidRDefault="003754FE" w:rsidP="003754FE">
      <w:pPr>
        <w:pStyle w:val="TextoNormal"/>
      </w:pPr>
    </w:p>
    <w:p w14:paraId="4E8D7B40" w14:textId="77777777" w:rsidR="003754FE" w:rsidRDefault="003754FE" w:rsidP="003754FE">
      <w:pPr>
        <w:pStyle w:val="TextoNormal"/>
      </w:pPr>
      <w:r>
        <w:t>Añade que el auto del Tribunal Supremo de 16 de febrero de 2023, de inadmisión del incidente de nulidad de actuaciones promovido, entre otros condenados, por el demandante, viene a reconocer que la sentencia de casación completó el relato fáctico de la sentencia de instancia, aunque se justifica en que para ello utilizó los materiales de la misma, que aparecían desordenados o carentes de la necesaria claridad y precisión. Afirma que así se lesiona el principio de presunción de inocencia porque el señor Lozano Peña solo pudo conocer los hechos por los que fue condenado en virtud de las explicaciones ofrecidas en la sentencia de casación, cuando ya no le cabía otra forma de reacción procesal que la interposición del incidente de nulidad de actuaciones, y la presentación de esta demanda de amparo, lo que afecta al proceso debido.</w:t>
      </w:r>
    </w:p>
    <w:p w14:paraId="2B32B76E" w14:textId="77777777" w:rsidR="003754FE" w:rsidRDefault="003754FE" w:rsidP="003754FE">
      <w:pPr>
        <w:pStyle w:val="TextoNormal"/>
      </w:pPr>
    </w:p>
    <w:p w14:paraId="1F40B538" w14:textId="77777777" w:rsidR="003754FE" w:rsidRDefault="003754FE" w:rsidP="003754FE">
      <w:pPr>
        <w:pStyle w:val="TextoNormal"/>
      </w:pPr>
      <w:r>
        <w:lastRenderedPageBreak/>
        <w:t>(ii) La representación procesal del Partido Popular interesa la desestimación de este motivo alegando que incurre en una selección fragmentada y parcial de los hechos atribuidos al demandante en la sentencia de instancia, planteamiento que rechaza haciendo cita literal de los pasajes del relato de hechos probados de la sentencia de instancia que refieren la participación del demandante de amparo en los procedimientos de elaboración de los anteproyectos de leyes de presupuestos y de las modificaciones presupuestarias, de su fundamento de Derecho 35, en el que se valoran las pruebas de cargo sobre las que se funda su intervención en los mismos, y de su fundamento 45 en el que se argumenta el juicio de subsunción jurídica. Considera asimismo que la sentencia del Tribunal Supremo mantiene una identidad sustancial en su aspecto fáctico con la sentencia de instancia, a la que no añade nada relevante, al recapitular los hechos atribuidos al demandante en su fundamento 91.3, y centrar en su fundamento 18 el juicio de subsunción jurídica en las resoluciones de elaboración de los instrumentos presupuestarios que se identifican en el relato de hechos probados, considerando que la mención a las memorias favorables es una referencia a las modificaciones presupuestarias que no genera ningún tipo de indefensión.</w:t>
      </w:r>
    </w:p>
    <w:p w14:paraId="6DA62259" w14:textId="77777777" w:rsidR="003754FE" w:rsidRDefault="003754FE" w:rsidP="003754FE">
      <w:pPr>
        <w:pStyle w:val="TextoNormal"/>
      </w:pPr>
    </w:p>
    <w:p w14:paraId="560E4062" w14:textId="77777777" w:rsidR="003754FE" w:rsidRDefault="003754FE" w:rsidP="003754FE">
      <w:pPr>
        <w:pStyle w:val="TextoNormal"/>
      </w:pPr>
      <w:r>
        <w:t>(iii) El Ministerio Fiscal en su escrito de alegaciones analiza de forma conjunta este motivo de amparo con el motivo de amparo precedente, relativo, como ya se ha indicado, a la vulneración del derecho a la legalidad penal por inaplicación del instituto de la prescripción, por entender que ambos parten del mismo presupuesto: que la única vez que el demandante dictó un acuerdo de elevación de una propuesta de modificación presupuestaria para su aprobación, con relevancia penal, fue en la modificación aprobada el día 21 de octubre de 2002 por la consejera de Economía y Hacienda, y que la sentencia de casación amplía, a su juicio de forma ininteligible, este sustrato fáctico para incluir su intervención en la elaboración de los proyectos de ley y de las modificaciones presupuestarias que se produjeron durante el tiempo en que ejerció el cargo de director general de Presupuestos, añadiendo asimismo las “memorias favorables” como resolución punible.</w:t>
      </w:r>
    </w:p>
    <w:p w14:paraId="6046ACD5" w14:textId="77777777" w:rsidR="003754FE" w:rsidRDefault="003754FE" w:rsidP="003754FE">
      <w:pPr>
        <w:pStyle w:val="TextoNormal"/>
      </w:pPr>
    </w:p>
    <w:p w14:paraId="2EFB1328" w14:textId="77777777" w:rsidR="003754FE" w:rsidRDefault="003754FE" w:rsidP="003754FE">
      <w:pPr>
        <w:pStyle w:val="TextoNormal"/>
      </w:pPr>
      <w:r>
        <w:t>El fiscal rebate esta argumentación porque la sentencia de instancia no basó la condena del señor Lozano Peña en una única intervención en el año 2002, sino que abarcó la elaboración de los proyectos de presupuestos y modificaciones presupuestarias que salieron adelante con su informe favorable desde la de 15 de octubre de 2002 hasta la de 22 de diciembre de 2008. Señala que la sentencia de instancia, en su fundamento de Derecho 35, describió las resoluciones que el demandante de amparo adoptó para que estos instrumentos presupuestarios fueran aprobados, con la ilegal clasificación del gasto que en ellos se hacía, haciendo una síntesis de los razonamientos desarrollados en dicha resolución. Concluye que la sentencia de casación se limitó a concretar las resoluciones susceptibles de tipificación penal siguiendo la descripción verificada en el relato de hechos probados y su subsunción en los fundamentos de Derecho 35 y 45.</w:t>
      </w:r>
    </w:p>
    <w:p w14:paraId="27B40DA3" w14:textId="77777777" w:rsidR="003754FE" w:rsidRDefault="003754FE" w:rsidP="003754FE">
      <w:pPr>
        <w:pStyle w:val="TextoNormal"/>
      </w:pPr>
    </w:p>
    <w:p w14:paraId="4AF30397" w14:textId="77777777" w:rsidR="003754FE" w:rsidRDefault="003754FE" w:rsidP="003754FE">
      <w:pPr>
        <w:pStyle w:val="TextoNormal"/>
      </w:pPr>
      <w:r>
        <w:t xml:space="preserve">6.2. </w:t>
      </w:r>
      <w:r w:rsidRPr="003754FE">
        <w:rPr>
          <w:i/>
        </w:rPr>
        <w:t>Síntesis de los argumentos de las resoluciones judiciales</w:t>
      </w:r>
    </w:p>
    <w:p w14:paraId="37F204F1" w14:textId="77777777" w:rsidR="003754FE" w:rsidRDefault="003754FE" w:rsidP="003754FE">
      <w:pPr>
        <w:pStyle w:val="TextoNormal"/>
      </w:pPr>
    </w:p>
    <w:p w14:paraId="30B04BF5" w14:textId="77777777" w:rsidR="003754FE" w:rsidRDefault="003754FE" w:rsidP="003754FE">
      <w:pPr>
        <w:pStyle w:val="TextoNormal"/>
      </w:pPr>
      <w:r>
        <w:t xml:space="preserve">6.2.1. </w:t>
      </w:r>
      <w:r w:rsidRPr="003754FE">
        <w:rPr>
          <w:i/>
        </w:rPr>
        <w:t>Sentencia de la Audiencia Provincial de Sevilla</w:t>
      </w:r>
    </w:p>
    <w:p w14:paraId="2E44440C" w14:textId="77777777" w:rsidR="003754FE" w:rsidRDefault="003754FE" w:rsidP="003754FE">
      <w:pPr>
        <w:pStyle w:val="TextoNormal"/>
      </w:pPr>
    </w:p>
    <w:p w14:paraId="19AC32D7" w14:textId="77777777" w:rsidR="003754FE" w:rsidRDefault="003754FE" w:rsidP="003754FE">
      <w:pPr>
        <w:pStyle w:val="TextoNormal"/>
      </w:pPr>
      <w:r>
        <w:t xml:space="preserve">La sentencia de la Audiencia Provincial de Sevilla declara probado que el señor Lozano Peña tuvo una intervención de naturaleza resolutiva en los anteproyectos de leyes de presupuestos y de las modificaciones presupuestarias que sirvieron de fundamento a la incriminación del delito continuado de prevaricación del art. 404 CP en base a (i) las atribuciones </w:t>
      </w:r>
      <w:r>
        <w:lastRenderedPageBreak/>
        <w:t>propias de su cargo, tal y como se configuraban en la normativa aplicable (entre otros, Decreto 137/2000, de 16 de mayo, que regulaba la estructura orgánica de la Consejería de Economía y Hacienda y órdenes de la Consejería de Economía y Hacienda que regulaban la elaboración del presupuesto y su estructura); (ii) los documentos obrantes en la causa en los que se formalizaron sus decisiones, en especial, los propios expedientes; (iii) el informe pericial de la Intervención General de la Administración del Estado, que analizó el contenido de las memorias de varios presupuestos donde se reconocía el déficit del programa 31L; (iv) algunos testimonios, como el de don Francisco Gómez Millán, que depuso sobre el trámite de las modificaciones presupuestarias y la posibilidad de que fueran rechazadas con causa justificada las que no fueran correctas; y (v) las declaraciones prestadas por el propio demandante, en calidad de investigado, en fase sumarial, ante el Juzgado de Instrucción núm. 6 de Sevilla, los días 19 de septiembre de 2013 y 12 de mayo de 2014, y en el plenario.</w:t>
      </w:r>
    </w:p>
    <w:p w14:paraId="3F06092F" w14:textId="77777777" w:rsidR="003754FE" w:rsidRDefault="003754FE" w:rsidP="003754FE">
      <w:pPr>
        <w:pStyle w:val="TextoNormal"/>
      </w:pPr>
    </w:p>
    <w:p w14:paraId="24D8EC39" w14:textId="77777777" w:rsidR="003754FE" w:rsidRDefault="003754FE" w:rsidP="003754FE">
      <w:pPr>
        <w:pStyle w:val="TextoNormal"/>
      </w:pPr>
      <w:r>
        <w:t>En lo que concierne a la delimitación de las resoluciones calificadas de prevaricadoras, la sentencia de la Audiencia Provincial de Sevilla declara probado que don Antonio Vicente Lozano Peña fue director general de Presupuestos desde el 21 de abril de 2002 hasta el 26 de abril de 2009, y que en el ejercicio de su cargo tuvo intervención decisiva en la elaboración de los anteproyectos de leyes de presupuestos, que incorporaron en el programa 31L la aplicación de transferencias de financiación al IFA/IDEA para el pago de ayudas sociolaborales y a empresas en crisis, y en las modificaciones presupuestarias que incrementaron los créditos asignados inicialmente a la misma, tratándose de las modificaciones presupuestarias que serían aprobadas los días 15 y 21 de octubre de 2002, 7 de diciembre de 2005, 7 de noviembre de 2006, 27 de noviembre de 2007 y 22 de diciembre de 2008 [fecha en la que se aprobaron tres modificaciones presupuestarias que incrementaron el programa 31L: una por importe de 1 253 853,89 €, otra por importe de 6 011 836,20 € y la tercera por importe de 8 000 000 €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w:t>
      </w:r>
    </w:p>
    <w:p w14:paraId="460A7B04" w14:textId="77777777" w:rsidR="003754FE" w:rsidRDefault="003754FE" w:rsidP="003754FE">
      <w:pPr>
        <w:pStyle w:val="TextoNormal"/>
      </w:pPr>
    </w:p>
    <w:p w14:paraId="1655585C" w14:textId="77777777" w:rsidR="003754FE" w:rsidRDefault="003754FE" w:rsidP="003754FE">
      <w:pPr>
        <w:pStyle w:val="TextoNormal"/>
      </w:pPr>
      <w:r>
        <w:t xml:space="preserve">También se señala su participación en una modificación presupuestaria que afectó al programa 32H. La sentencia de la Audiencia Provincial relata que siendo manifiesta la insuficiencia de crédito en el ejercicio 2004 para atender los compromisos ya asumidos por la Consejería de Empleo, a través de su Dirección General de Trabajo, el 18 de marzo de 2004 se tramitó una modificación presupuestaria que minoró el crédito inicial del programa 31L. En la memoria justificativa de necesidades urgentes para la aplicación 441.51 del programa 31L, suscrita por el acusado don Francisco Javier Guerrero Benítez el 7 de julio de 2004, se recogió que los compromisos de ejercicios anteriores ya alcanzaban el importe de 74 470 000 €. Como una vez aprobada una modificación presupuestaria que disminuye el crédito de un programa —31L— no se puede aprobar otra en el mismo ejercicio que lo incremente, “se tramitó una modificación presupuestaria que incrementaba el programa 32H ‘Servicio Andaluz de Empleo’, por importe de 2 994 876 €, y que fue aprobada por el Consejo de Gobierno el 9 de diciembre de 2004, a propuesta de la Consejería de Empleo, previa tramitación favorable por la Consejería de Economía y Hacienda, estudio y aprobación de la Comisión General de Viceconsejeros”. La memoria justificativa de esta modificación “prácticamente transcribía los datos consignados en la memoria de necesidades presupuestarias urgentes para el programa 31L, de julio de 2004, realizada por Francisco Javier Guerrero </w:t>
      </w:r>
      <w:r>
        <w:lastRenderedPageBreak/>
        <w:t>Benítez. A pesar de que los fines del programa 32H eran ajenos a la concesión de ayudas sociolaborales y ayudas a empresas, el director general de Presupuestos, el acusado Antonio Vicente Lozano Peña, tramitó la modificación y el interventor general, el acusado Manuel Gómez Martínez informó a favor de la misma. Consta en la contabilidad de IDEA que ese dinero se recibió y se destinó al pago de ayudas del programa 31L” (Hecho probado noveno, págs. 67 y 68).</w:t>
      </w:r>
    </w:p>
    <w:p w14:paraId="14F40FF2" w14:textId="77777777" w:rsidR="003754FE" w:rsidRDefault="003754FE" w:rsidP="003754FE">
      <w:pPr>
        <w:pStyle w:val="TextoNormal"/>
      </w:pPr>
    </w:p>
    <w:p w14:paraId="0996DF19" w14:textId="77777777" w:rsidR="003754FE" w:rsidRDefault="003754FE" w:rsidP="003754FE">
      <w:pPr>
        <w:pStyle w:val="TextoNormal"/>
      </w:pPr>
      <w:r>
        <w:t>La sentencia de instancia afirma asimismo que “pese al conocimiento de las normas aplicables a la materia y de los datos que arrojaba el seguimiento de la ejecución de los presupuestos y evaluación del programa 31L, de la Consejería de Empleo y de IFA/IDEA, se elaboraron los proyectos de presupuestos y se tramitaron las modificaciones presupuestarias, ya reseñadas. Vulnerando la finalidad legal de la partida presupuestaria, transferencia de financiación, que no era otra que la cobertura de las pérdidas de una entidad pública”. Y en lo que se refiere a las modificaciones presupuestarias, que “el acusado adoptaba el acuerdo de elevación de la propuesta al consejero de Economía y Hacienda. Acuerdo este que supone dar por concluida la tramitación de la misma” (sentencia de la Audiencia Provincial, fundamento de Derecho 35, pág. 1232), citando “a título de ejemplo” los expedientes de modificación presupuestaria de 15 de octubre de 2002, 7 de diciembre de 2005, 7 de noviembre de 2006 y 27 de noviembre de 2007.</w:t>
      </w:r>
    </w:p>
    <w:p w14:paraId="29A6EA19" w14:textId="77777777" w:rsidR="003754FE" w:rsidRDefault="003754FE" w:rsidP="003754FE">
      <w:pPr>
        <w:pStyle w:val="TextoNormal"/>
      </w:pPr>
    </w:p>
    <w:p w14:paraId="5A7E835A" w14:textId="77777777" w:rsidR="003754FE" w:rsidRDefault="003754FE" w:rsidP="003754FE">
      <w:pPr>
        <w:pStyle w:val="TextoNormal"/>
      </w:pPr>
      <w:r>
        <w:t>Se afirma que el señor Lozano Peña, como director general de Presupuestos, recibía toda la información económica y presupuestaria de las empresas públicas y tenía encomendada la elaboración de su presupuesto de explotación y capital, señalando que en relación con el de IFA/IDEA “el necesario cuadre del presupuesto del ente, hasta el ejercicio 2009, obligaba a compensar los ingresos presupuestarios de las transferencias de financiación, con un incremento presupuestario ficticio de otros gastos de explotación. Así, año tras año se introdujeron en el presupuesto de IFA-IDEA gastos ficticios que nunca se iban a producir” (sentencia de la Audiencia Provincial, fundamento de Derecho 35, pág. 1233).</w:t>
      </w:r>
    </w:p>
    <w:p w14:paraId="0E06AC7F" w14:textId="77777777" w:rsidR="003754FE" w:rsidRDefault="003754FE" w:rsidP="003754FE">
      <w:pPr>
        <w:pStyle w:val="TextoNormal"/>
      </w:pPr>
    </w:p>
    <w:p w14:paraId="71CB5A8F" w14:textId="77777777" w:rsidR="003754FE" w:rsidRDefault="003754FE" w:rsidP="003754FE">
      <w:pPr>
        <w:pStyle w:val="TextoNormal"/>
      </w:pPr>
      <w:r>
        <w:t>La Audiencia Provincial de Sevilla destaca asimismo que a la Dirección General de Presupuestos correspondía elaborar los estados de gastos de los anteproyectos de presupuestos, lo que constituía una actuación administrativa que revelaba una innegable capacidad resolutoria. Asimismo, el acuerdo del director general de Presupuestos de “elevar” el anteproyecto “está resolviendo en vía administrativa una fase del proceso de presupuestación. Que no es un acto de mero trámite, sino que tiene sustantividad propia, al ser esencial y necesario” (sentencia de la Audiencia Provincial, fundamento de Derecho 35, pág. 1242). Al igual que sucedía con “la decisión de elevar el expediente de modificación al órgano competente para su aprobación, [que] no era de mero trámite, como se desprende no solo de la normativa reguladora, sino también de las declaraciones de algunos testigos en el acto del juicio” (sentencia de la Audiencia Provincial, fundamento 35, pág. 1247). Las irregularidades e incumplimientos en las que incurrían las modificaciones presupuestarias “hubieran justificado sobradamente que el director general de Presupuestos no hubiera ‘elevado’ para su aprobación, los expedientes de modificaciones presupuestarias” (sentencia de la Audiencia Provincial, fundamento 35, pág. 1248).</w:t>
      </w:r>
    </w:p>
    <w:p w14:paraId="32A56E42" w14:textId="77777777" w:rsidR="003754FE" w:rsidRDefault="003754FE" w:rsidP="003754FE">
      <w:pPr>
        <w:pStyle w:val="TextoNormal"/>
      </w:pPr>
    </w:p>
    <w:p w14:paraId="2E129F79" w14:textId="77777777" w:rsidR="003754FE" w:rsidRDefault="003754FE" w:rsidP="003754FE">
      <w:pPr>
        <w:pStyle w:val="TextoNormal"/>
      </w:pPr>
      <w:r>
        <w:t xml:space="preserve">Se añade que “sabiendo que las subvenciones eran concedidas por la Consejería de Empleo, era igualmente conocido por el director general de Presupuestos, que una vez que el interventor de la Consejería de Empleo había fiscalizado el expediente de transferencia de </w:t>
      </w:r>
      <w:r>
        <w:lastRenderedPageBreak/>
        <w:t>financiación, era materialmente imposible la fiscalización previa de la concesión de subvenciones, dado que no existía ningún procedimiento que permitiera tramitar otro expediente para dicha concesión, al carecer de crédito presupuestario para ello, por haberse consumido el crédito de transferencia de financiación, al realizar el envío de fondos a IFA-IDEA”, que ello “propició que las subvenciones sociolaborales fueran concedidas por la Consejería de Empleo al margen del presupuesto, imposibilitando así su fiscalización previa, lo que favoreció un descontrol absoluto”, destacándose que “[l]o anteriormente expuesto es válido tanto para la elaboración de los proyectos de presupuestos, como para las modificaciones presupuestarias que aumentaron los créditos del programa 22E, posteriormente 31L” (sentencia de la Audiencia Provincial, fundamento de Derecho 35, págs. 1256 y 1257).</w:t>
      </w:r>
    </w:p>
    <w:p w14:paraId="17049F95" w14:textId="77777777" w:rsidR="003754FE" w:rsidRDefault="003754FE" w:rsidP="003754FE">
      <w:pPr>
        <w:pStyle w:val="TextoNormal"/>
      </w:pPr>
    </w:p>
    <w:p w14:paraId="4ACE013C" w14:textId="77777777" w:rsidR="003754FE" w:rsidRDefault="003754FE" w:rsidP="003754FE">
      <w:pPr>
        <w:pStyle w:val="TextoNormal"/>
      </w:pPr>
      <w:r>
        <w:t xml:space="preserve">6.2.2. </w:t>
      </w:r>
      <w:r w:rsidRPr="003754FE">
        <w:rPr>
          <w:i/>
        </w:rPr>
        <w:t>Sentencia y auto de la Sala de lo Penal del Tribunal Supremo</w:t>
      </w:r>
    </w:p>
    <w:p w14:paraId="4071AEC9" w14:textId="77777777" w:rsidR="003754FE" w:rsidRDefault="003754FE" w:rsidP="003754FE">
      <w:pPr>
        <w:pStyle w:val="TextoNormal"/>
      </w:pPr>
    </w:p>
    <w:p w14:paraId="35AADDC8" w14:textId="77777777" w:rsidR="003754FE" w:rsidRDefault="003754FE" w:rsidP="003754FE">
      <w:pPr>
        <w:pStyle w:val="TextoNormal"/>
      </w:pPr>
      <w:r>
        <w:t>La sentencia de casación, por su parte, desestima el motivo de infracción de preceptos constitucionales por vulneración del derecho a la presunción de inocencia (motivo casacional tercero, apartado tercero) tras analizar los medios de prueba que tomó en consideración la sentencia de instancia y concluir que fueron valorados de manera racional (sentencia del Tribunal Supremo, fundamento de Derecho 91, págs. 672 a 692). Destaca el Alto Tribunal la relevancia que tenía la Dirección General de Presupuestos en la elaboración de los instrumentos presupuestarios, así como el conocimiento que había alcanzado el demandante de amparo, como titular de esa dirección general y por su integración en los grupos de trabajo constituidos para su elaboración, de la inadecuación del sistema de presupuestación y del déficit que generaba. Afirma que siendo el señor Lozano Peña “el encargado de la realización última de los anteproyectos de ley de presupuestos de la Comunidad Autónoma de Andalucía, incorporó a estos, tras su examen, los proyectos de presupuestos correspondientes al IFA/IDEA, en los que se recogían unos gastos ficticios, por inexistentes” (pág. 680) y que “a partir del contenido de las memorias de los distintos presupuestos tuvo conocimiento que la Dirección General de Empleo concedía subvenciones por encima de la disponibilidad presupuestaria de cada año, razón por la que en el presupuesto del ejercicio siguiente parte de la cantidad presupuestada se tenía que destinar a la cobertura de las cantidades ya comprometidas en el ejercicio anterior”, lo que permitió al tribunal de instancia deducir de manera razonable que “como las subvenciones se concedían sin cobertura presupuestaria previa se concedían sin la tramitación del previo expediente de gasto, todo ello en contravención de la normativa presupuestaria” (págs. 680 y 681). La Sala hace referencia a continuación al contenido de las memorias de los presupuestos para los años 2005 a 2008, así como a las memorias de las modificaciones presupuestarias de 7 de julio y 9 de diciembre de 2004. De estas últimas concluye que “[e]l señor Lozano Peña utilizó el programa 32H, del Servicio Andaluz de Empleo y elevó la propuesta de modificación presupuestaria al Consejo de Gobierno, para su aprobación por un importe aproximado de tres millones de euros” con conocimiento de que “los fines contenidos en la ficha presupuestaria del programa 32H no estaban destinados a la concesión de ayudas sociolaborales” (pág. 685).</w:t>
      </w:r>
    </w:p>
    <w:p w14:paraId="7DBDC4BD" w14:textId="77777777" w:rsidR="003754FE" w:rsidRDefault="003754FE" w:rsidP="003754FE">
      <w:pPr>
        <w:pStyle w:val="TextoNormal"/>
      </w:pPr>
    </w:p>
    <w:p w14:paraId="675565D1" w14:textId="77777777" w:rsidR="003754FE" w:rsidRDefault="003754FE" w:rsidP="003754FE">
      <w:pPr>
        <w:pStyle w:val="TextoNormal"/>
      </w:pPr>
      <w:r>
        <w:t xml:space="preserve">A la alegación del recurrente de que no se le había atribuido una resolución administrativa con valor a los efectos del art. 404 CP, pues se había limitado a trasladar a la Consejería de Economía y Hacienda una solicitud de modificación presupuestaria, el Tribunal Supremo contesta que “[l]a cuestión que se plantea es sustantiva y no probatoria, dado que el análisis de si el hecho, es decir, si la resolución dictada es o no susceptible de incardinarse en el </w:t>
      </w:r>
      <w:r>
        <w:lastRenderedPageBreak/>
        <w:t>artículo 404 CP pertenece al juicio de tipicidad. Por otra parte, el señor Lozano Peña no ha dictado una sola resolución, como se afirma, sino reiteradas resoluciones ya que entendemos por tales aquellas que pusieron fin a la tramitación en su departamento u oficina tanto de los anteproyectos de presupuestos, como de las modificaciones presupuestarias, acordando su elevación al consejero” (sentencia del Tribunal Supremo, fundamento de Derecho 91.2, pág. 693).</w:t>
      </w:r>
    </w:p>
    <w:p w14:paraId="13B8FFE9" w14:textId="77777777" w:rsidR="003754FE" w:rsidRDefault="003754FE" w:rsidP="003754FE">
      <w:pPr>
        <w:pStyle w:val="TextoNormal"/>
      </w:pPr>
    </w:p>
    <w:p w14:paraId="4E506ADF" w14:textId="77777777" w:rsidR="003754FE" w:rsidRDefault="003754FE" w:rsidP="003754FE">
      <w:pPr>
        <w:pStyle w:val="TextoNormal"/>
      </w:pPr>
      <w:r>
        <w:t>El auto de 16 de febrero de 2023, por el que el Tribunal Supremo inadmitió el incidente de nulidad de actuaciones promovido, entre otros condenados, por el señor Lozano Peña, desestima en su fundamento de Derecho 11 la alegación de vulneración de los derechos a la presunción de inocencia y a la tutela judicial efectiva por indebida ampliación en la sentencia de casación de los hechos incriminatorios referentes al delito de prevaricación. El auto, tras examinar el relato de hechos probados de la sentencia de instancia, concluye que “las resoluciones calificadas de prevaricadoras en relación con el recurrente, como director general de Presupuestos, fueron las dictadas en el proceso de elaboración y aprobación de las modificaciones presupuestarias y de los proyectos anuales de presupuestos en los que intervino en el ejercicio de su cargo” y que “en el fundamento jurídico destinado a dar respuesta al recurso de casación formulado por su defensa (FJ 35) se precisó qué actuaciones del director general de Presupuestos fueron prevaricadoras, en el ejercicio de sus competencias” (pág. 53). Se afirma que no es cierto que la Sala haya ampliado indebidamente los hechos referidos en la sentencia de instancia, sino que los ha precisado, dada la descripción genérica realizada en el relato fáctico, y que la cuestión que se plantea “en ningún caso se ha realizado a espaldas de la defensa y sin que esta pudiera alegar y probar lo conducente a su derecho”, por lo que no se ha producido la indefensión que proclama.</w:t>
      </w:r>
    </w:p>
    <w:p w14:paraId="4A232EBF" w14:textId="77777777" w:rsidR="003754FE" w:rsidRDefault="003754FE" w:rsidP="003754FE">
      <w:pPr>
        <w:pStyle w:val="TextoNormal"/>
      </w:pPr>
    </w:p>
    <w:p w14:paraId="22E807C7" w14:textId="77777777" w:rsidR="003754FE" w:rsidRDefault="003754FE" w:rsidP="003754FE">
      <w:pPr>
        <w:pStyle w:val="TextoNormal"/>
      </w:pPr>
      <w:r>
        <w:t>6.3</w:t>
      </w:r>
      <w:r w:rsidRPr="003754FE">
        <w:rPr>
          <w:i/>
        </w:rPr>
        <w:t>. Enjuiciamiento de la que</w:t>
      </w:r>
      <w:r>
        <w:t>ja</w:t>
      </w:r>
    </w:p>
    <w:p w14:paraId="39EC4DA2" w14:textId="77777777" w:rsidR="003754FE" w:rsidRDefault="003754FE" w:rsidP="003754FE">
      <w:pPr>
        <w:pStyle w:val="TextoNormal"/>
      </w:pPr>
    </w:p>
    <w:p w14:paraId="75714449" w14:textId="77777777" w:rsidR="003754FE" w:rsidRDefault="003754FE" w:rsidP="003754FE">
      <w:pPr>
        <w:pStyle w:val="TextoNormal"/>
      </w:pPr>
      <w:r>
        <w:t>El enjuiciamiento de la vulneración de los derechos fundamentales de don Antonio Lozano Peña a la presunción de inocencia y a la tutela judicial efectiva que, conforme a las alegaciones vertidas en el tercer motivo de la presente demanda de amparo, se seguiría de la ampliación en la sentencia de casación del sustrato fáctico de su condena por delito de prevaricación del art. 404 CP, deviene prácticamente innecesario como consecuencia de la declaración que se ha efectuado en el fundamento jurídico 4.4 de que se ha vulnerado el derecho a la legalidad penal. En efecto, en dicho fundamento se establece que la proyección de ese título de imputación sobre los actos de preparación y aprobación de anteproyectos de leyes de presupuestos y de modificaciones presupuestarias en lo relativo al programa 31L, en los que intervino el señor Lozano Peña, resulta inconciliable con las exigencias del derecho fundamental a la legalidad penal del art. 25.1 CE por resultar, en las circunstancias concurrentes en este caso, impredecible. Este fundamento de ilegalidad constitucional conduce irremisiblemente a la nulidad de ambas sentencias y, consiguientemente, a que pierda en gran medida —aunque no del todo, como veremos— relevancia la cuestión suscitada en este motivo de amparo, que es la relativa al momento procesal, instancia o grado, en que el relato fáctico sobre el que se construyó tal juicio de subsunción jurídica quedó definitivamente conformado.</w:t>
      </w:r>
    </w:p>
    <w:p w14:paraId="115B01DB" w14:textId="77777777" w:rsidR="003754FE" w:rsidRDefault="003754FE" w:rsidP="003754FE">
      <w:pPr>
        <w:pStyle w:val="TextoNormal"/>
      </w:pPr>
    </w:p>
    <w:p w14:paraId="1D7F86AA" w14:textId="77777777" w:rsidR="003754FE" w:rsidRDefault="003754FE" w:rsidP="003754FE">
      <w:pPr>
        <w:pStyle w:val="TextoNormal"/>
      </w:pPr>
      <w:r>
        <w:t xml:space="preserve">No es ocioso, sin embargo, observar la debilidad argumental de las alegaciones que se hacen en este motivo de amparo, pues la sentencia de la Audiencia Provincial de Sevilla verifica un relato de la elaboración de los instrumentos presupuestarios que fueron </w:t>
      </w:r>
      <w:r>
        <w:lastRenderedPageBreak/>
        <w:t>tramitados y aprobados en el tiempo en el que el señor Lozano Peña ejerció su cargo de director general de Presupuestos, en el que afloran datos reveladores de su intervención personal en ellos, y de su conocimiento de los efectos y consecuencias que traía consigo el sistema de presupuestación que se incorporaba a las mismas (</w:t>
      </w:r>
      <w:r w:rsidRPr="003754FE">
        <w:rPr>
          <w:i/>
        </w:rPr>
        <w:t>vid. supra</w:t>
      </w:r>
      <w:r>
        <w:t xml:space="preserve"> FJ 6.2.1). Por otra parte, en lo relativo a las referencias a las memorias de los anteproyectos de presupuestos y modificaciones presupuestarias que se hacen en la sentencia de la Sala de lo Penal del Tribunal Supremo, es fácilmente observable que cumplen una función más bien expositiva o argumental del conocimiento de la finalidad perseguida (sufragar el déficit de los ejercicios anteriores) por lo que no puede afirmarse con propiedad que el Tribunal Supremo hubiera efectuado, con dicha mención, un extensión material del número y tipo de las resoluciones objeto de incriminación como prevaricadoras.</w:t>
      </w:r>
    </w:p>
    <w:p w14:paraId="6DBB86EE" w14:textId="77777777" w:rsidR="003754FE" w:rsidRDefault="003754FE" w:rsidP="003754FE">
      <w:pPr>
        <w:pStyle w:val="TextoNormal"/>
      </w:pPr>
    </w:p>
    <w:p w14:paraId="71571D6B" w14:textId="77777777" w:rsidR="003754FE" w:rsidRDefault="003754FE" w:rsidP="003754FE">
      <w:pPr>
        <w:pStyle w:val="TextoNormal"/>
      </w:pPr>
      <w:r>
        <w:t>En cualquier caso, lo dicho no dispensa a este tribunal de la necesidad de verificar un juicio específico de si los vicios constitucionales denunciados en este motivo de amparo alcanzan de una manera relevante a la modificación presupuestaria del programa 32H que fue aprobada el 9 de diciembre de 2004, pues, habiéndose producido esta modificación fuera del ámbito de cobertura del programa 31L, su calificación como ilegal y prevaricadora no resultaba impredecible por las razones ya expuestas. De modo que el enjuiciamiento de este aspecto de la condena penal desde la perspectiva de los derechos a la tutela judicial efectiva sin indefensión y a la presunción de inocencia se revela necesaria en tanto que de dicho juicio dependerá el alcance que se otorgue a la presente sentencia.</w:t>
      </w:r>
    </w:p>
    <w:p w14:paraId="3059E759" w14:textId="77777777" w:rsidR="003754FE" w:rsidRDefault="003754FE" w:rsidP="003754FE">
      <w:pPr>
        <w:pStyle w:val="TextoNormal"/>
      </w:pPr>
    </w:p>
    <w:p w14:paraId="5BED88A4" w14:textId="77777777" w:rsidR="003754FE" w:rsidRDefault="003754FE" w:rsidP="003754FE">
      <w:pPr>
        <w:pStyle w:val="TextoNormal"/>
      </w:pPr>
      <w:r>
        <w:t>Como se ha expuesto de manera detallada anteriormente, la modificación presupuestaria aprobada por el Consejo de Gobierno el 9 de diciembre de 2004, incrementó el programa 32H (“Dirección y servicios generales del Servicio Andaluz de Empleo”) por un importe de 2 994 876 €, con unos fondos que posteriormente utilizaría la agencia IDEA para fines propios del programa 31L, pues dichos fondos se incorporaron a la contabilidad de la agencia IFA/IDEA con ese propósito.</w:t>
      </w:r>
    </w:p>
    <w:p w14:paraId="09667490" w14:textId="77777777" w:rsidR="003754FE" w:rsidRDefault="003754FE" w:rsidP="003754FE">
      <w:pPr>
        <w:pStyle w:val="TextoNormal"/>
      </w:pPr>
    </w:p>
    <w:p w14:paraId="646F7B55" w14:textId="77777777" w:rsidR="003754FE" w:rsidRDefault="003754FE" w:rsidP="003754FE">
      <w:pPr>
        <w:pStyle w:val="TextoNormal"/>
      </w:pPr>
      <w:r>
        <w:t xml:space="preserve">Las vicisitudes relacionadas con la aprobación de esta modificación presupuestaria, así como las relativas a la modificación de julio de 2004 que redujeron el programa 31L, de la que trae causa, aparecen relatadas de manera circunstanciada en el hecho probado noveno, páginas 67 y 68, de la sentencia de la Audiencia Provincial de Sevilla, donde se hace explícita la participación personal del señor Lozano Peña en estas líneas: “A pesar de que los fines del programa 32H eran ajenos a la concesión de ayudas sociolaborales y ayudas a empresas, el director general de Presupuestos, el acusado Antonio Vicente Lozano Peña, tramitó la modificación y el interventor general, el acusado Manuel Gómez Martínez informó a favor de la misma. Consta en la contabilidad de IDEA que ese dinero se recibió y se destinó al pago de ayudas del programa 31L”. No es posible afirmar, por lo tanto, que el señor Lozano Peña desconociera que estos hechos eran una parte del relevante del sustrato fáctico sobre el que se había construido el juicio de subsunción jurídica que llevó a su condena por delito de prevaricación, lo que se recuerda nuevamente en el fundamento de Derecho 49.13, en el momento de individualización de la pena: “Entre las modificaciones presupuestarias, se encuentra la de diciembre de 2004, por la que se incrementó al alza el programa 32H, cuyos fines eran totalmente ajenos a la concesión de ayudas sociolaborales” (pág. 1807). Por lo demás, se trata de hechos cuya acreditación tiene una inequívoca base documental —la documentación administrativa y contable obrante en las actuaciones— que </w:t>
      </w:r>
      <w:r>
        <w:lastRenderedPageBreak/>
        <w:t>dota de la necesaria solidez, en orden a enervar el principio de presunción de inocencia, a la inferencia de la participación del demandante en su realización.</w:t>
      </w:r>
    </w:p>
    <w:p w14:paraId="2EE04C13" w14:textId="77777777" w:rsidR="003754FE" w:rsidRDefault="003754FE" w:rsidP="003754FE">
      <w:pPr>
        <w:pStyle w:val="TextoNormal"/>
      </w:pPr>
    </w:p>
    <w:p w14:paraId="5F4FC793" w14:textId="6DD3545C" w:rsidR="003754FE" w:rsidRDefault="003754FE" w:rsidP="003754FE">
      <w:pPr>
        <w:pStyle w:val="TextoNormal"/>
      </w:pPr>
      <w:r>
        <w:t>Por las razones expuestas, procede la desestimación de este tercer motivo de amparo.</w:t>
      </w:r>
    </w:p>
    <w:p w14:paraId="5642ABED" w14:textId="77777777" w:rsidR="003754FE" w:rsidRDefault="003754FE" w:rsidP="003754FE">
      <w:pPr>
        <w:pStyle w:val="TextoNormal"/>
      </w:pPr>
    </w:p>
    <w:p w14:paraId="7BDB3BC0" w14:textId="77777777" w:rsidR="003754FE" w:rsidRDefault="003754FE" w:rsidP="003754FE">
      <w:pPr>
        <w:pStyle w:val="TextoNormal"/>
      </w:pPr>
      <w:r w:rsidRPr="003754FE">
        <w:rPr>
          <w:rStyle w:val="NumeroAFNegritaCaracter"/>
        </w:rPr>
        <w:t>7</w:t>
      </w:r>
      <w:r>
        <w:t xml:space="preserve">. </w:t>
      </w:r>
      <w:r w:rsidRPr="003754FE">
        <w:rPr>
          <w:i/>
        </w:rPr>
        <w:t>Conclusiones y alcance del fallo</w:t>
      </w:r>
    </w:p>
    <w:p w14:paraId="4AB9ACE8" w14:textId="77777777" w:rsidR="003754FE" w:rsidRDefault="003754FE" w:rsidP="003754FE">
      <w:pPr>
        <w:pStyle w:val="TextoNormal"/>
      </w:pPr>
    </w:p>
    <w:p w14:paraId="34AB8C62" w14:textId="56902C32" w:rsidR="003754FE" w:rsidRDefault="003754FE" w:rsidP="003754FE">
      <w:pPr>
        <w:pStyle w:val="TextoNormal"/>
      </w:pPr>
      <w:r>
        <w:t>En el fundamento jurídico 4.4 de esta resolución hemos declarado que la condena por delito continuado de prevaricación administrativa del art. 404 CP impuesta al señor Lozano Peña por haber participado en la elaboración de los anteproyectos de ley de presupuestos de los ejercicios de 2003 a 2009 y en las modificaciones presupuestarias relativas al programa 31L, fue contraria a las exigencias del derecho a la legalidad penal (art. 25.1 CE). El restablecimiento del derecho conculcado hace preciso declarar la nulidad de la sentencia de la Audiencia Provincial de Sevilla, así como de la sentencia y auto de la Sala de lo Penal del Tribunal Supremo. Por otra parte, en el mismo fundamento jurídico hemos expresado las razones por las que la modificación presupuestaria que fue aprobada el 9 de diciembre de 2004, en la que se incrementó otro programa, el 32H, no fue impredecible ni contraria al art. 25.1 CE, lo que determina que sea procedente asimismo ordenar la retroacción de las actuaciones al momento anterior al dictado de la sentencia por la Audiencia Provincial de Sevilla a los efectos de que dicte una nueva resolución que se ciña a esta concreta modificación presupuestaria.</w:t>
      </w:r>
    </w:p>
    <w:p w14:paraId="33BC2A30" w14:textId="77777777" w:rsidR="003754FE" w:rsidRDefault="003754FE" w:rsidP="003754FE">
      <w:pPr>
        <w:pStyle w:val="TextoNormal"/>
      </w:pPr>
    </w:p>
    <w:p w14:paraId="6C748704" w14:textId="77777777" w:rsidR="003754FE" w:rsidRDefault="003754FE" w:rsidP="003754FE">
      <w:pPr>
        <w:pStyle w:val="TextoNormalCentrado"/>
        <w:keepNext/>
      </w:pPr>
      <w:r>
        <w:t>FALLO</w:t>
      </w:r>
    </w:p>
    <w:p w14:paraId="4BB1E39A" w14:textId="02756371" w:rsidR="003754FE" w:rsidRDefault="003754FE" w:rsidP="003754FE">
      <w:pPr>
        <w:pStyle w:val="TextoNormalCentrado"/>
        <w:keepNext/>
      </w:pPr>
    </w:p>
    <w:p w14:paraId="08F39690" w14:textId="77777777" w:rsidR="003754FE" w:rsidRDefault="003754FE" w:rsidP="003754FE">
      <w:pPr>
        <w:pStyle w:val="TextoNormal"/>
      </w:pPr>
      <w:r>
        <w:t>En atención a todo lo expuesto, el Tribunal Constitucional, por la autoridad que le confiere la Constitución de la Nación española, ha decidido estimar parcialmente el recurso de amparo interpuesto por don Antonio Vicente Lozano Peña y, en su virtud:</w:t>
      </w:r>
    </w:p>
    <w:p w14:paraId="5618F1AE" w14:textId="77777777" w:rsidR="003754FE" w:rsidRDefault="003754FE" w:rsidP="003754FE">
      <w:pPr>
        <w:pStyle w:val="TextoNormal"/>
      </w:pPr>
    </w:p>
    <w:p w14:paraId="7ACE9972" w14:textId="77777777" w:rsidR="003754FE" w:rsidRDefault="003754FE" w:rsidP="003754FE">
      <w:pPr>
        <w:pStyle w:val="TextoNormal"/>
      </w:pPr>
      <w:r>
        <w:t>1º Reconocer que se ha vulnerado su derecho fundamental a la legalidad penal (art. 25.1 CE).</w:t>
      </w:r>
    </w:p>
    <w:p w14:paraId="04BD53C6" w14:textId="77777777" w:rsidR="003754FE" w:rsidRDefault="003754FE" w:rsidP="003754FE">
      <w:pPr>
        <w:pStyle w:val="TextoNormal"/>
      </w:pPr>
    </w:p>
    <w:p w14:paraId="041505FF" w14:textId="77777777" w:rsidR="003754FE" w:rsidRDefault="003754FE" w:rsidP="003754FE">
      <w:pPr>
        <w:pStyle w:val="TextoNormal"/>
      </w:pPr>
      <w:r>
        <w:t>2º Restablecerle en su derecho y, a tal fin, declarar la nulidad de la sentencia núm. 490/2019, de 19 de noviembre, dictada por la Sección Primera de la Audiencia Provincial de Sevilla, de la sentencia núm. 749/2022, de 13 de septiembre, de la Sala de lo Penal del Tribunal Supremo, y del auto del mismo tribunal de 16 de febrero de 2013, ordenando la retroacción del proceso al momento anterior al dictado de la sentencia de instancia para que por la Audiencia Provincial de Sevilla se dicte un nuevo pronunciamiento respetuoso con el derecho fundamental vulnerado, en los términos que se indican en el fundamento jurídico siete de esta sentencia.</w:t>
      </w:r>
    </w:p>
    <w:p w14:paraId="7CA9B9CB" w14:textId="77777777" w:rsidR="003754FE" w:rsidRDefault="003754FE" w:rsidP="003754FE">
      <w:pPr>
        <w:pStyle w:val="TextoNormal"/>
      </w:pPr>
    </w:p>
    <w:p w14:paraId="0AEC2735" w14:textId="22069826" w:rsidR="003754FE" w:rsidRDefault="003754FE" w:rsidP="003754FE">
      <w:pPr>
        <w:pStyle w:val="TextoNormal"/>
      </w:pPr>
      <w:r>
        <w:t>3º Desestimar el recurso de amparo en lo restante.</w:t>
      </w:r>
    </w:p>
    <w:p w14:paraId="28DC0852" w14:textId="77777777" w:rsidR="003754FE" w:rsidRDefault="003754FE" w:rsidP="003754FE">
      <w:pPr>
        <w:pStyle w:val="TextoNormal"/>
      </w:pPr>
    </w:p>
    <w:p w14:paraId="155CB265" w14:textId="77777777" w:rsidR="003754FE" w:rsidRDefault="003754FE" w:rsidP="003754FE">
      <w:pPr>
        <w:pStyle w:val="TextoNormal"/>
      </w:pPr>
      <w:r>
        <w:t>Publíquese esta sentencia en el “Boletín Oficial del Estado”.</w:t>
      </w:r>
    </w:p>
    <w:p w14:paraId="17D8524C" w14:textId="77777777" w:rsidR="003754FE" w:rsidRDefault="003754FE" w:rsidP="003754FE">
      <w:pPr>
        <w:pStyle w:val="TextoNormal"/>
      </w:pPr>
      <w:r>
        <w:t>Dada en Madrid, a diecisiete de julio de dos mil veinticuatro.</w:t>
      </w:r>
    </w:p>
    <w:p w14:paraId="2C81F867" w14:textId="2034777A" w:rsidR="003754FE" w:rsidRDefault="003754FE" w:rsidP="003754FE">
      <w:pPr>
        <w:pStyle w:val="ParrafoNormal"/>
      </w:pPr>
    </w:p>
    <w:p w14:paraId="27319AEE" w14:textId="77777777" w:rsidR="003754FE" w:rsidRDefault="003754FE" w:rsidP="003754FE">
      <w:pPr>
        <w:pStyle w:val="TextoNormalNegritaCentrado"/>
        <w:keepNext/>
      </w:pPr>
      <w:r>
        <w:lastRenderedPageBreak/>
        <w:t>Voto particular que formula el magistrado don Ricardo Enríquez Sancho a la sentencia dictada en el recurso de amparo núm. 2485-2023</w:t>
      </w:r>
    </w:p>
    <w:p w14:paraId="75F9DFAA" w14:textId="0E066A88" w:rsidR="003754FE" w:rsidRDefault="003754FE" w:rsidP="003754FE">
      <w:pPr>
        <w:pStyle w:val="TextoNormalNegritaCentrado"/>
        <w:keepNext/>
      </w:pPr>
    </w:p>
    <w:p w14:paraId="60883A78" w14:textId="77777777" w:rsidR="003754FE" w:rsidRDefault="003754FE" w:rsidP="003754FE">
      <w:pPr>
        <w:pStyle w:val="TextoNormal"/>
      </w:pPr>
      <w:r>
        <w:t>En el ejercicio de la facultad que me confiere el art. 90.2 de la Ley Orgánica del Tribunal Constitucional (LOTC), y con el máximo respeto a la opinión de los magistrados que han conformado la mayoría del Pleno, formulo el presente voto particular por discrepar de la fundamentación y del fallo de la sentencia recaída en el recurso de amparo avocado por el Pleno núm. 2485-2023, interpuesto por don Antonio Vicente Lozano Peña, el cual a mi juicio debió ser inadmitido por falta de denuncia temporánea de dicha lesión, y subsidiariamente desestimado porque las sentencias impugnadas no vulneraron su derecho fundamental a la legalidad penal (art. 25.1 CE).</w:t>
      </w:r>
    </w:p>
    <w:p w14:paraId="30681473" w14:textId="77777777" w:rsidR="003754FE" w:rsidRDefault="003754FE" w:rsidP="003754FE">
      <w:pPr>
        <w:pStyle w:val="TextoNormal"/>
      </w:pPr>
    </w:p>
    <w:p w14:paraId="77734CB7" w14:textId="77777777" w:rsidR="003754FE" w:rsidRDefault="003754FE" w:rsidP="003754FE">
      <w:pPr>
        <w:pStyle w:val="TextoNormal"/>
      </w:pPr>
      <w:r>
        <w:t>Antes de explicar las razones de este voto particular, procede recordar que el Pleno de este tribunal ha dictado ya once sentencias en esta serie de recursos de amparo referida a la causa de los “ERE”, en el que se impugnaban las mismas resoluciones que aquí, la sentencia de la Sección Primera de la Audiencia Provincial de Sevilla de 19 de noviembre de 2019, confirmada en casación por la sentencia de la Sala de lo Penal del Tribunal Supremo de 13 de septiembre de 2022 (así como el auto de la misma Sala de lo Penal de 16 de febrero de 2023 que rechazó el incidente de nulidad de actuaciones promovido contra su sentencia). Todos los recurrentes resultaron condenados por el delito de prevaricación [art. 404 del Código penal (CP)], y algunos además —no es el caso del aquí recurrente— por el delito de malversación de caudales públicos (art. 432 CP) en concurso medial con aquel otro, dada su participación en los hechos probados que las sentencias recurridas subsumen en los mencionados delitos y en virtud del correspondiente juicio de autoría, valiéndose de su condición de altos cargos de la Junta de Andalucía en los años 2000 a 2009. En el caso del señor Lozano Peña, fue director general de Presupuestos de la Consejería de Economía y Hacienda, de abril de 2002 hasta abril de 2009, por tanto incluyendo los años objeto de investigación (2000-2009).</w:t>
      </w:r>
    </w:p>
    <w:p w14:paraId="1524F776" w14:textId="77777777" w:rsidR="003754FE" w:rsidRDefault="003754FE" w:rsidP="003754FE">
      <w:pPr>
        <w:pStyle w:val="TextoNormal"/>
      </w:pPr>
    </w:p>
    <w:p w14:paraId="4D65FD61" w14:textId="77777777" w:rsidR="003754FE" w:rsidRDefault="003754FE" w:rsidP="003754FE">
      <w:pPr>
        <w:pStyle w:val="TextoNormal"/>
      </w:pPr>
      <w:r>
        <w:t>La sentencia recaída en el recurso de amparo 2485-2023 de la que ahora discrepo, despliega los mismos razonamientos que ya ha utilizado el Pleno en otras sentencias de esta serie para estimar, total o en su caso parcialmente, la queja que aquí se plantea. En concreto y en lo que aquí importa, a partir de la STC 93/2024, de 19 de junio (recurso de amparo avocado núm. 6971-2022, recurrente doña Magdalena Álvarez Arza).</w:t>
      </w:r>
    </w:p>
    <w:p w14:paraId="590FE73F" w14:textId="77777777" w:rsidR="003754FE" w:rsidRDefault="003754FE" w:rsidP="003754FE">
      <w:pPr>
        <w:pStyle w:val="TextoNormal"/>
      </w:pPr>
    </w:p>
    <w:p w14:paraId="7565BCFE" w14:textId="77777777" w:rsidR="003754FE" w:rsidRDefault="003754FE" w:rsidP="003754FE">
      <w:pPr>
        <w:pStyle w:val="TextoNormal"/>
      </w:pPr>
      <w:r>
        <w:t>De la fundamentación y el fallo de la STC 93/2024 manifesté mi disconformidad en un voto conjunto firmado con mis compañeros magistrados don Enrique Arnaldo Alcubilla y doña Concepción Espejel Jorquera Así lo he hecho también en las demás sentencias de la serie ya dictadas, con relación a esta misma queja. Constatado que la sentencia que ahora nos ocupa bebe directamente de los postulados que se contienen en aquella, debo por fuerza reiterarme en las razones que ya he ofrecido para cuestionar su corrección y acierto, y que expondré de nuevo con detalle en este voto particular. No sin antes referirme a la indebida desestimación del óbice procesal opuesto por una de las partes personadas en este proceso de amparo.</w:t>
      </w:r>
    </w:p>
    <w:p w14:paraId="1BCCFC1C" w14:textId="77777777" w:rsidR="003754FE" w:rsidRDefault="003754FE" w:rsidP="003754FE">
      <w:pPr>
        <w:pStyle w:val="TextoNormal"/>
      </w:pPr>
    </w:p>
    <w:p w14:paraId="5CB50833" w14:textId="77777777" w:rsidR="003754FE" w:rsidRDefault="003754FE" w:rsidP="003754FE">
      <w:pPr>
        <w:pStyle w:val="TextoNormal"/>
      </w:pPr>
      <w:r>
        <w:t xml:space="preserve">1. </w:t>
      </w:r>
      <w:r w:rsidRPr="003754FE">
        <w:rPr>
          <w:i/>
        </w:rPr>
        <w:t>Las quejas por vulneración del derecho a la legalidad penal (art. 25.1 CE) debieron inadmitirse por incumplimiento del requisito de invocación temporánea de la lesión en la vía judicial previa</w:t>
      </w:r>
    </w:p>
    <w:p w14:paraId="6814D5BF" w14:textId="77777777" w:rsidR="003754FE" w:rsidRDefault="003754FE" w:rsidP="003754FE">
      <w:pPr>
        <w:pStyle w:val="TextoNormal"/>
      </w:pPr>
    </w:p>
    <w:p w14:paraId="38E341A7" w14:textId="77777777" w:rsidR="003754FE" w:rsidRDefault="003754FE" w:rsidP="003754FE">
      <w:pPr>
        <w:pStyle w:val="TextoNormal"/>
      </w:pPr>
      <w:r>
        <w:t>a) La representación procesal del Partido Popular opuso en su escrito de alegaciones del trámite del art. 52 LOTC, la excepción de inadmisibilidad consistente en el incumplimiento de la exigencia del art. 44.1 c) de nuestra Ley Orgánica reguladora, esto es: “Que se haya denunciado formalmente en el proceso, si hubo oportunidad, la vulneración del derecho constitucional tan pronto como, una vez conocida, hubiera lugar para ello”. Así, respecto de la queja de la demanda de amparo por la vulneración por la sentencia de instancia del derecho fundamental a la legalidad penal (art. 25.1 CE) del recurrente, queja por tanto que este debió invocar ya en su recurso de casación para que fuera reparado su derecho por la Sala de lo Penal del Tribunal Supremo, se señala con relación a la condena por el delito de prevaricación, que “concurriría una causa de inadmisión, por falta de invocación previa de los derechos fundamentales que se dicen vulnerados en los motivos primero y segundo de la demanda de amparo [el derecho a la legalidad penal del art. 25.1 CE], con infracción del correspondiente apartado del art. 44.1 LOTC. No se mencionaban siquiera dichos derechos ni la doctrina constitucional que interpreta el contenido constitucional del derecho a la legalidad penal en la vertiente que exige racionalidad y previsibilidad de la motivación de las decisiones punitivas”, en dicho escrito de casación.</w:t>
      </w:r>
    </w:p>
    <w:p w14:paraId="0776B6F0" w14:textId="77777777" w:rsidR="003754FE" w:rsidRDefault="003754FE" w:rsidP="003754FE">
      <w:pPr>
        <w:pStyle w:val="TextoNormal"/>
      </w:pPr>
    </w:p>
    <w:p w14:paraId="38EF14A6" w14:textId="77777777" w:rsidR="003754FE" w:rsidRDefault="003754FE" w:rsidP="003754FE">
      <w:pPr>
        <w:pStyle w:val="TextoNormal"/>
      </w:pPr>
      <w:r>
        <w:t>La sentencia de la que discrepo desestima el óbice alegado en el fundamento jurídico 1.2 porque, dice, en dicho recurso de casación “se adujo tanto la indebida subsunción […] de las normas relativas a la prescripción de este delito […]; reprocha a la sentencia de la Audiencia Provincial […] una indebida a subsunción de los hechos probados en el delito de prevaricación”, por considerar la Audiencia que encajan en este delito actuaciones como “la elaboración del anteproyecto de la ley de presupuestos y la tramitación de modificaciones presupuestarias, que no pueden considerarse como una ‘resolución’ recaída en ‘asunto administrativo’”. Esto es suficiente, añade, para que el Tribunal Supremo pudiera examinar la queja bajo la perspectiva de vulneración del “principio de legalidad penal que consagra el art. 25.1 CE”.</w:t>
      </w:r>
    </w:p>
    <w:p w14:paraId="2F120ED4" w14:textId="77777777" w:rsidR="003754FE" w:rsidRDefault="003754FE" w:rsidP="003754FE">
      <w:pPr>
        <w:pStyle w:val="TextoNormal"/>
      </w:pPr>
    </w:p>
    <w:p w14:paraId="79A66A06" w14:textId="77777777" w:rsidR="003754FE" w:rsidRDefault="003754FE" w:rsidP="003754FE">
      <w:pPr>
        <w:pStyle w:val="TextoNormal"/>
      </w:pPr>
      <w:r>
        <w:t>b) El óbice a mi juicio debió ser estimado. El escrito del recurso de casación no contiene una mínima fundamentación de por qué se habría producido la lesión constitucional que por vez primera se esgrime ante este tribunal. Que nuestra doctrina sobre el cumplimiento del art. 44.1 c) LOTC, citada por la sentencia de la que discrepo (y que ya trajo a colación la STC 100/2024, de 16 de julio, para resolver un óbice de procedibilidad similar en el recurso de amparo avocado 2119-2023), permita una flexibilidad en cuanto a los aspectos formales de la invocación, no implica en todo caso suprimir la carga de todo recurrente de tener que suministrar al órgano judicial los elementos de juicio necesarios para considerar que el error que se achaca a la resolución impugnada tiene relevancia constitucional y no solo de legalidad ordinaria pues afecta al contenido esencial del derecho fundamental de que se trate, tal y como ha sido definido por este tribunal. En el caso del art. 25.1 CE, por la doctrina que trae el fundamento jurídico 3 de la propia sentencia.</w:t>
      </w:r>
    </w:p>
    <w:p w14:paraId="75C422EF" w14:textId="77777777" w:rsidR="003754FE" w:rsidRDefault="003754FE" w:rsidP="003754FE">
      <w:pPr>
        <w:pStyle w:val="TextoNormal"/>
      </w:pPr>
    </w:p>
    <w:p w14:paraId="54853336" w14:textId="77777777" w:rsidR="003754FE" w:rsidRDefault="003754FE" w:rsidP="003754FE">
      <w:pPr>
        <w:pStyle w:val="TextoNormal"/>
      </w:pPr>
      <w:r>
        <w:t xml:space="preserve">En el recurso de casación del recurrente se incluye un primer motivo por “infracción de ley al amparo del artículo 849.1 de la Ley de enjuiciamiento criminal (LECrim)”, por aplicación indebida del art. 404 CP [motivo “II. Segundo” (quiere decir, motivo I. Segundo)], en el que se ofrecen las razones por las que considera que los hechos probados no son subsumibles en dicho delito de prevaricación, cuestión esta de legalidad ordinaria. No solo no se invoca nominalmente el derecho del art. 25.1 CE (disculpable), sino que no se explica </w:t>
      </w:r>
      <w:r>
        <w:lastRenderedPageBreak/>
        <w:t>sobre todo por qué el razonamiento de la sentencia de instancia incurre en algunas de las modalidades de vulneración de aquel derecho fundamental según nuestra reiterada doctrina. Por qué, en definitiva, esa subsunción de los hechos atribuidos al recurrente, en las correspondientes norma penal (art. 404 CP), resulta “por su soporte metodológico —una argumentación ilógica o indiscutiblemente extravagante— o axiológico —una base valorativa ajena a los criterios que informan nuestro ordenamiento constitucional—”, de modo que conduce “a soluciones esencialmente opuestas a la orientación material de la norma y, por ello, imprevisibles para sus destinatarios”, que como recuerda la sentencia de la que ahora discrepo, es lo que venimos exigiendo para declarar cometida la vulneración de ese derecho.</w:t>
      </w:r>
    </w:p>
    <w:p w14:paraId="4D34D841" w14:textId="77777777" w:rsidR="003754FE" w:rsidRDefault="003754FE" w:rsidP="003754FE">
      <w:pPr>
        <w:pStyle w:val="TextoNormal"/>
      </w:pPr>
    </w:p>
    <w:p w14:paraId="61F7FE4D" w14:textId="77777777" w:rsidR="003754FE" w:rsidRDefault="003754FE" w:rsidP="003754FE">
      <w:pPr>
        <w:pStyle w:val="TextoNormal"/>
      </w:pPr>
      <w:r>
        <w:t xml:space="preserve">c) Ciertamente, como dice el fundamento jurídico 1.2, el escrito de casación negó que la actividad de preparación de anteproyectos de ley de presupuestos, o la relativa a modificaciones presupuestarias, pudiera considerarse una “resolución” recaída en “asunto administrativo” </w:t>
      </w:r>
      <w:r w:rsidRPr="003754FE">
        <w:rPr>
          <w:i/>
        </w:rPr>
        <w:t>ex</w:t>
      </w:r>
      <w:r>
        <w:t xml:space="preserve"> art. 404 CP. Pero lo adujo en todo momento desde el plano de la legalidad ordinaria, sin cuestionar la falta de racionalidad o la ausencia de respeto al elemento axiológico propio de ese delito en la argumentación judicial que llevaba a esa subsunción, manifestando simplemente el recurso de casación que aquellos actos “no son subsumibles” en el delito de prevaricación (pág. 36 del escrito).</w:t>
      </w:r>
    </w:p>
    <w:p w14:paraId="1882E4E1" w14:textId="77777777" w:rsidR="003754FE" w:rsidRDefault="003754FE" w:rsidP="003754FE">
      <w:pPr>
        <w:pStyle w:val="TextoNormal"/>
      </w:pPr>
    </w:p>
    <w:p w14:paraId="428F02A7" w14:textId="77777777" w:rsidR="003754FE" w:rsidRDefault="003754FE" w:rsidP="003754FE">
      <w:pPr>
        <w:pStyle w:val="TextoNormal"/>
      </w:pPr>
      <w:r>
        <w:t>La mera identificación de los hechos probados que se entiende han sido erróneamente calificados como delito, no satisface lógicamente por sí misma la carga de argumentar que se ha producido no un simple error jurídico, sino la conculcación del derecho fundamental del art. 25.1 CE, que es de lo que aquí se trata. Esa carga sí se levanta en el escrito donde plantea un incidente de nulidad de actuaciones contra la sentencia de casación (resolución esta que sin embargo no causa en origen la lesión) y después en la demanda de amparo, pero no evita que se haya ya producido el óbice insubsanable del incumplimiento de la invocación temporánea de la lesión del derecho [art. 44.1 c) LOTC], para que, se insiste, la supuesta vulneración pudiera ser reparada por la sentencia de casación.</w:t>
      </w:r>
    </w:p>
    <w:p w14:paraId="69169F3A" w14:textId="77777777" w:rsidR="003754FE" w:rsidRDefault="003754FE" w:rsidP="003754FE">
      <w:pPr>
        <w:pStyle w:val="TextoNormal"/>
      </w:pPr>
    </w:p>
    <w:p w14:paraId="398F23D4" w14:textId="77777777" w:rsidR="003754FE" w:rsidRDefault="003754FE" w:rsidP="003754FE">
      <w:pPr>
        <w:pStyle w:val="TextoNormal"/>
      </w:pPr>
      <w:r>
        <w:t>La tesis que aquí (y en la STC 100/2024) aplica la sentencia de la que discrepo, conduce materialmente a equiparar el motivo de casación por infracción de ley del art. 849.1 LECrim, con la vulneración del principio de legalidad penal del art. 25.1 CE, lo que resulta inasumible con arreglo, insisto, a la doctrina reiterada de este tribunal sobre el contenido de este derecho fundamental. Quedan así desdibujados los límites entre la legalidad ordinaria y la constitucional, provocando un efecto-llamada para que en virtud de la “doctrina” que así se fija, pueda a partir de ahora alegarse en las demandas de amparo ante este tribunal la lesión del art. 25.1 CE, debido a la mera desestimación en casación del motivo de infracción de ley del art. 849.1 LECrim.</w:t>
      </w:r>
    </w:p>
    <w:p w14:paraId="150504C0" w14:textId="77777777" w:rsidR="003754FE" w:rsidRDefault="003754FE" w:rsidP="003754FE">
      <w:pPr>
        <w:pStyle w:val="TextoNormal"/>
      </w:pPr>
    </w:p>
    <w:p w14:paraId="56FF3920" w14:textId="77777777" w:rsidR="003754FE" w:rsidRDefault="003754FE" w:rsidP="003754FE">
      <w:pPr>
        <w:pStyle w:val="TextoNormal"/>
      </w:pPr>
      <w:r>
        <w:t>Tampoco cabe considerar levantada dicha carga procesal en el motivo cuarto del escrito de casación del recurrente, en fin, en el que se alega la “infracción de precepto constitucional al amparo de lo establecido en el artículo 852 LECrim y 5.4 LOPJ”, con cita de varios derechos fundamentales, también del “principio de legalidad”, pero sin desarrollo luego de argumentación alguna al respecto, centrado realmente el motivo en la denuncia de vulneración del derecho a la presunción de inocencia.</w:t>
      </w:r>
    </w:p>
    <w:p w14:paraId="516D19AD" w14:textId="77777777" w:rsidR="003754FE" w:rsidRDefault="003754FE" w:rsidP="003754FE">
      <w:pPr>
        <w:pStyle w:val="TextoNormal"/>
      </w:pPr>
    </w:p>
    <w:p w14:paraId="57EE87BC" w14:textId="77777777" w:rsidR="003754FE" w:rsidRDefault="003754FE" w:rsidP="003754FE">
      <w:pPr>
        <w:pStyle w:val="TextoNormal"/>
      </w:pPr>
      <w:r>
        <w:t xml:space="preserve">La estimación del óbice opuesto por la parte personada en este recurso, debió por tanto traer consigo la inadmisión de la queja de la demanda por lesión del derecho del art. 25.1 </w:t>
      </w:r>
      <w:r>
        <w:lastRenderedPageBreak/>
        <w:t>CE, en cuanto a la condena al recurrente por los delitos de prevaricación, resultando de aplicación nuestra reiterada doctrina acerca de la posibilidad de efectuar el control de los óbices de procedibilidad del recurso de amparo incluso en el trámite de sentencia (últimamente, SSTC 79/2023, de 3 de julio, FJ 2; 22/2024, de 12 de febrero, FJ 2, y 53/2024, de 8 de abril, FJ 2).</w:t>
      </w:r>
    </w:p>
    <w:p w14:paraId="6C2F44A0" w14:textId="77777777" w:rsidR="003754FE" w:rsidRDefault="003754FE" w:rsidP="003754FE">
      <w:pPr>
        <w:pStyle w:val="TextoNormal"/>
      </w:pPr>
    </w:p>
    <w:p w14:paraId="07001DC0" w14:textId="77777777" w:rsidR="003754FE" w:rsidRDefault="003754FE" w:rsidP="003754FE">
      <w:pPr>
        <w:pStyle w:val="TextoNormal"/>
      </w:pPr>
      <w:r>
        <w:t xml:space="preserve">2. </w:t>
      </w:r>
      <w:r w:rsidRPr="003754FE">
        <w:rPr>
          <w:i/>
        </w:rPr>
        <w:t>Sobre la estimación parcial de la queja por vulneración del principio de legalidad penal (art. 25.1 CE) al condenar al recurrente por el delito de prevaricación</w:t>
      </w:r>
    </w:p>
    <w:p w14:paraId="5720CDD0" w14:textId="77777777" w:rsidR="003754FE" w:rsidRDefault="003754FE" w:rsidP="003754FE">
      <w:pPr>
        <w:pStyle w:val="TextoNormal"/>
      </w:pPr>
    </w:p>
    <w:p w14:paraId="5DC34B85" w14:textId="77777777" w:rsidR="003754FE" w:rsidRDefault="003754FE" w:rsidP="003754FE">
      <w:pPr>
        <w:pStyle w:val="TextoNormal"/>
      </w:pPr>
      <w:r>
        <w:t>La sentencia de la que ahora discrepo declara, en su fundamento jurídico 4.4, que las resoluciones recurridas han infringido el derecho a la legalidad penal (art. 25.1 CE) del recurrente por haberle condenado por un delito continuado de prevaricación del art. 404 CP: (i) debido a su participación en la elaboración de los anteproyectos de leyes de presupuestos para los ejercicios de los años 2003 a 2009 [FJ 4.4 A)], y (ii) por haber participado en la tramitación de las modificaciones presupuestarias de los años 2002 a 2009, relacionadas con el programa 31L de las leyes de presupuestos de dichos ejercicios [FJ 4.4 B)].</w:t>
      </w:r>
    </w:p>
    <w:p w14:paraId="17F29D97" w14:textId="77777777" w:rsidR="003754FE" w:rsidRDefault="003754FE" w:rsidP="003754FE">
      <w:pPr>
        <w:pStyle w:val="TextoNormal"/>
      </w:pPr>
    </w:p>
    <w:p w14:paraId="7060E5DA" w14:textId="77777777" w:rsidR="003754FE" w:rsidRDefault="003754FE" w:rsidP="003754FE">
      <w:pPr>
        <w:pStyle w:val="TextoNormal"/>
      </w:pPr>
      <w:r>
        <w:t>Esta línea de argumentación de la sentencia ahora dictada, que como ya he indicado antes viene utilizándose desde la STC 93/2024, no resulta sostenible tampoco aquí a la luz de las siguientes consideraciones:</w:t>
      </w:r>
    </w:p>
    <w:p w14:paraId="60291E99" w14:textId="77777777" w:rsidR="003754FE" w:rsidRDefault="003754FE" w:rsidP="003754FE">
      <w:pPr>
        <w:pStyle w:val="TextoNormal"/>
      </w:pPr>
    </w:p>
    <w:p w14:paraId="03B5FE2E" w14:textId="77777777" w:rsidR="003754FE" w:rsidRDefault="003754FE" w:rsidP="003754FE">
      <w:pPr>
        <w:pStyle w:val="TextoNormal"/>
      </w:pPr>
      <w:r>
        <w:t xml:space="preserve">2.1. </w:t>
      </w:r>
      <w:r w:rsidRPr="003754FE">
        <w:rPr>
          <w:i/>
        </w:rPr>
        <w:t>La elaboración de anteproyectos y proyectos de ley puede ser considerada “asunto administrativo” por la jurisdicción penal</w:t>
      </w:r>
    </w:p>
    <w:p w14:paraId="1F7DA805" w14:textId="77777777" w:rsidR="003754FE" w:rsidRDefault="003754FE" w:rsidP="003754FE">
      <w:pPr>
        <w:pStyle w:val="TextoNormal"/>
      </w:pPr>
    </w:p>
    <w:p w14:paraId="4D0B09A1" w14:textId="77777777" w:rsidR="003754FE" w:rsidRDefault="003754FE" w:rsidP="003754FE">
      <w:pPr>
        <w:pStyle w:val="TextoNormal"/>
      </w:pPr>
      <w:r>
        <w:t>La idea que informa esta parte de la sentencia es que la actividad previa a la remisión por el Gobierno de Andalucía a su Parlamento de los correspondientes proyectos de leyes de presupuestos es una actividad que, como inherente a la iniciativa legislativa que le corresponde, se integra en esta y no puede ser objeto de control jurídico. Niega, en consecuencia, que toda la actividad tendente a la elaboración de los anteproyectos de ley que luego se convertirán en proyectos remitidos al Parlamento pueda considerarse integrante de un procedimiento administrativo y, por consiguiente, que las decisiones que se adoptan en ese ámbito puedan calificarse como resoluciones recaídas en un “asunto administrativo” que es el término que emplea el art. 404 CP [FJ 4.4 A)], presupuesto de que parten la sentencias de la Audiencia Provincial y del Tribunal Supremo para fundar la condena por prevaricación del recurrente.</w:t>
      </w:r>
    </w:p>
    <w:p w14:paraId="4DB7196A" w14:textId="77777777" w:rsidR="003754FE" w:rsidRDefault="003754FE" w:rsidP="003754FE">
      <w:pPr>
        <w:pStyle w:val="TextoNormal"/>
      </w:pPr>
    </w:p>
    <w:p w14:paraId="323BE676" w14:textId="77777777" w:rsidR="003754FE" w:rsidRDefault="003754FE" w:rsidP="003754FE">
      <w:pPr>
        <w:pStyle w:val="TextoNormal"/>
      </w:pPr>
      <w:r>
        <w:t>Las sentencias impugnadas no se refieren tanto a las leyes de presupuestos aprobadas por el Parlamento de Andalucía en los años 2002 a 2009 (ejercicios 2003 a 2009, por lo que se refiere al recurrente) como a los trabajos preparatorios de esas leyes, y esa actividad prelegislativa tiene, a mi juicio, inequívoca naturaleza administrativa. Así se desprende también de lo expresado en los arts. 26 y siguientes de la Ley 50/1997, de 27 de noviembre, del Gobierno, de los arts. 127 y siguientes de la Ley 39/2015, de 1 de octubre, de procedimiento administrativo común de las administraciones públicas, y hasta de la STC 55/2018, de 24 de mayo, que resolvió el recurso de inconstitucionalidad interpuesto por el Gobierno de la Generalitat de Cataluña, entre otros, contra esos artículos de esta última ley.</w:t>
      </w:r>
    </w:p>
    <w:p w14:paraId="3D87BA7E" w14:textId="77777777" w:rsidR="003754FE" w:rsidRDefault="003754FE" w:rsidP="003754FE">
      <w:pPr>
        <w:pStyle w:val="TextoNormal"/>
      </w:pPr>
    </w:p>
    <w:p w14:paraId="28BFDEE1" w14:textId="77777777" w:rsidR="003754FE" w:rsidRDefault="003754FE" w:rsidP="003754FE">
      <w:pPr>
        <w:pStyle w:val="TextoNormal"/>
      </w:pPr>
      <w:r>
        <w:t xml:space="preserve">La Ley 50/1997, del Gobierno, contiene una extensa regulación de cómo deben tramitarse los anteproyectos de ley antes de su elevación al Consejo de Ministros y de la remisión </w:t>
      </w:r>
      <w:r>
        <w:lastRenderedPageBreak/>
        <w:t>por este del proyecto de ley subsiguiente al Parlamento. Es cierto que esta ley se refiere al Gobierno de la Nación y no al de las comunidades autónomas, pero sería absurdo sostener que estos trabajos preparatorios tienen una doble naturaleza, “administrativa” cuando los lleva a cabo la administración del Estado, y “no administrativa” o “legislativa” cuando se trata de las comunidades autónomas.</w:t>
      </w:r>
    </w:p>
    <w:p w14:paraId="2805C9A5" w14:textId="77777777" w:rsidR="003754FE" w:rsidRDefault="003754FE" w:rsidP="003754FE">
      <w:pPr>
        <w:pStyle w:val="TextoNormal"/>
      </w:pPr>
    </w:p>
    <w:p w14:paraId="3C48BFAC" w14:textId="77777777" w:rsidR="003754FE" w:rsidRDefault="003754FE" w:rsidP="003754FE">
      <w:pPr>
        <w:pStyle w:val="TextoNormal"/>
      </w:pPr>
      <w:r>
        <w:t>La Ley 39/2015, de procedimiento administrativo común, sí se refiere a todas las administraciones públicas, también a las comunidades autónomas, remitiendo a lo que dispongan sus estatutos de autonomía en cuanto a los órganos a quien corresponde la iniciativa legislativa, pero estableciendo con la naturaleza de “bases del régimen jurídico de las administraciones públicas y procedimiento administrativo común” (art. 149.1.18 CE) algunas indicaciones generales de buena regulación.</w:t>
      </w:r>
    </w:p>
    <w:p w14:paraId="3D8CA9A3" w14:textId="77777777" w:rsidR="003754FE" w:rsidRDefault="003754FE" w:rsidP="003754FE">
      <w:pPr>
        <w:pStyle w:val="TextoNormal"/>
      </w:pPr>
    </w:p>
    <w:p w14:paraId="085A3747" w14:textId="77777777" w:rsidR="003754FE" w:rsidRDefault="003754FE" w:rsidP="003754FE">
      <w:pPr>
        <w:pStyle w:val="TextoNormal"/>
      </w:pPr>
      <w:r>
        <w:t>Estos preceptos fueron impugnados por el Gobierno de la Generalitat de Cataluña y la STC 55/2018 estimó el recurso, pero no porque esa actividad previa a la remisión de un proyecto de ley a las Cortes Generales o a las diferentes asambleas legislativas autonómicas —en aquel caso al Parlament de Cataluña— se integrara en la actividad legislativa, sino porque se trata de una actividad propia de las comunidades autónomas (“organización de sus instituciones de autogobierno”: art. 148.1.1 CE) y el Estatuto de Autonomía de Cataluña (arts. 150 y 159) reconocía a la Generalitat competencia para regular su propia organización y procedimiento, por más que en algunos casos esas directrices contenidas en el art. 129 de la Ley 39/2015 fueran coincidentes con las desarrolladas por la legislación autonómica.</w:t>
      </w:r>
    </w:p>
    <w:p w14:paraId="1AEEFE1F" w14:textId="77777777" w:rsidR="003754FE" w:rsidRDefault="003754FE" w:rsidP="003754FE">
      <w:pPr>
        <w:pStyle w:val="TextoNormal"/>
      </w:pPr>
    </w:p>
    <w:p w14:paraId="52191364" w14:textId="77777777" w:rsidR="003754FE" w:rsidRDefault="003754FE" w:rsidP="003754FE">
      <w:pPr>
        <w:pStyle w:val="TextoNormal"/>
      </w:pPr>
      <w:r>
        <w:t>Esa actividad que el Tribunal Supremo llama “prelegislativa” es, para la STC 55/2018, propia de un procedimiento administrativo, aunque sobre ella el legislador estatal no pueda intervenir por la vía del art. 149.1.18 CE. El Estado no puede regularla bajo el título del procedimiento administrativo “común” (art. 149.1.18 CE), pero es “procedimiento administrativo”. Por eso tras la STC 55/2018 esas normas siguen siendo de aplicación al procedimiento prelegislativo estatal. Una cosa es que la jurisdicción contencioso-administrativa venga declarando que esa actividad no constituye un acto impugnable ante ella y otra que, como dice la sentencia de la que discrepo, esa actividad “no pued[a] ser objeto de control por ningún órgano judicial” [FJ 4.4 A)].</w:t>
      </w:r>
    </w:p>
    <w:p w14:paraId="3D1DBB9C" w14:textId="77777777" w:rsidR="003754FE" w:rsidRDefault="003754FE" w:rsidP="003754FE">
      <w:pPr>
        <w:pStyle w:val="TextoNormal"/>
      </w:pPr>
    </w:p>
    <w:p w14:paraId="7289D076" w14:textId="77777777" w:rsidR="003754FE" w:rsidRDefault="003754FE" w:rsidP="003754FE">
      <w:pPr>
        <w:pStyle w:val="TextoNormal"/>
      </w:pPr>
      <w:r>
        <w:t>La mayoría de nuestro Tribunal cita de manera desviada el ATC 135/2004 [aludido en el fundamento jurídico 4.3 B)]. En ese ATC 135/2004 inadmitimos la impugnación del Gobierno de la Nación contra el proyecto de reforma del Estatuto de Autonomía del País Vasco aprobado por el Gobierno de esa comunidad (el llamado “Plan Ibarretxe”) y contra la resolución de la mesa del Parlamento autonómico admitiendo a trámite esa propuesta. El Gobierno alegaba que el contenido de la propuesta era abiertamente inconstitucional, y que por tanto la propuesta solo podía tramitarse como un procedimiento de reforma de la Constitución, y no como un procedimiento de reforma del Estatuto de Autonomía, como había hecho el Parlamento autonómico. Sostuvimos entonces, efectivamente, que ese proyecto de reforma no podía ser objeto de control por el Tribunal Constitucional porque su efecto era solamente abrir un procedimiento parlamentario cuyo resultado era incierto. De su tramitación podía resultar una norma o no resultar ninguna, y en el primer caso esa norma podía ser contraria a la Constitución o conforme con esta. Por lo tanto, no podía este tribunal anular la propuesta de reforma ni impedir su debate.</w:t>
      </w:r>
    </w:p>
    <w:p w14:paraId="5BDFF628" w14:textId="77777777" w:rsidR="003754FE" w:rsidRDefault="003754FE" w:rsidP="003754FE">
      <w:pPr>
        <w:pStyle w:val="TextoNormal"/>
      </w:pPr>
    </w:p>
    <w:p w14:paraId="2105B1A2" w14:textId="77777777" w:rsidR="003754FE" w:rsidRDefault="003754FE" w:rsidP="003754FE">
      <w:pPr>
        <w:pStyle w:val="TextoNormal"/>
      </w:pPr>
      <w:r>
        <w:lastRenderedPageBreak/>
        <w:t xml:space="preserve">Pero esta imposibilidad lógica de controlar vicios </w:t>
      </w:r>
      <w:r w:rsidRPr="003754FE">
        <w:rPr>
          <w:i/>
        </w:rPr>
        <w:t>hipotéticos</w:t>
      </w:r>
      <w:r>
        <w:t xml:space="preserve"> contenidos en proyectos de normas (o actos) que podrían suponer la anulación del producto final si no fueran corregidos nada tiene que ver con la posibilidad de examinar si en la elaboración de un anteproyecto de ley (que es un acto previo y diferente a la “decisión de elevar a las Cortes un proyecto de ley” como acto de gobierno conforme a la STC 45/1990 aludida en la STC 93/2024, FJ 4.4.1), la autoridad responsable ha incurrido </w:t>
      </w:r>
      <w:r w:rsidRPr="003754FE">
        <w:rPr>
          <w:i/>
        </w:rPr>
        <w:t>efectivamente</w:t>
      </w:r>
      <w:r>
        <w:t xml:space="preserve"> en un delito de prevaricación del art. 404 CP.</w:t>
      </w:r>
    </w:p>
    <w:p w14:paraId="276F94AB" w14:textId="77777777" w:rsidR="003754FE" w:rsidRDefault="003754FE" w:rsidP="003754FE">
      <w:pPr>
        <w:pStyle w:val="TextoNormal"/>
      </w:pPr>
    </w:p>
    <w:p w14:paraId="3380C64B" w14:textId="77777777" w:rsidR="003754FE" w:rsidRDefault="003754FE" w:rsidP="003754FE">
      <w:pPr>
        <w:pStyle w:val="TextoNormal"/>
      </w:pPr>
      <w:r>
        <w:t>En abstracto, de la simple alteración de la partida presupuestaria que antes cobijaba los créditos concedidos al Instituto de Fomento de Andalucía (IFA, posteriormente Agencia de Innovación y Desarrollo de Andalucía, IDEA), e incluso de la ampliación de sus competencias, no cabe colegir el designio último de los que promovieron tal cambio, que consistía en eludir los controles ordinarios existentes hasta entonces para el otorgamiento de subvenciones. No es en el ámbito de la inconstitucionalidad de leyes de presupuestos donde se mueven las sentencias impugnadas, sino en el de la creación de un marco jurídico aparentemente neutro a cuyo amparo pudiera actuarse disponiendo de ingentes cantidades de dinero sin control efectivo alguno.</w:t>
      </w:r>
    </w:p>
    <w:p w14:paraId="3EF1D7CA" w14:textId="77777777" w:rsidR="003754FE" w:rsidRDefault="003754FE" w:rsidP="003754FE">
      <w:pPr>
        <w:pStyle w:val="TextoNormal"/>
      </w:pPr>
    </w:p>
    <w:p w14:paraId="7D40B646" w14:textId="77777777" w:rsidR="003754FE" w:rsidRDefault="003754FE" w:rsidP="003754FE">
      <w:pPr>
        <w:pStyle w:val="TextoNormal"/>
      </w:pPr>
      <w:r>
        <w:t>En mi opinión, refrendada por la regulación establecida en la Ley 39/2015, de procedimiento administrativo común (y por la doctrina sentada en la STC 55/2018, antes citada), la actividad previa al ejercicio de la iniciativa legislativa es parte de un procedimiento administrativo. Por eso tengo que discrepar del fundamento jurídico 4.4 A) de la sentencia, en que se da a esta actividad la naturaleza de actos de gobierno excluidos de todo control por parte de cualquier órgano jurisdiccional, incluso de su posible enjuiciamiento por la jurisdicción penal. Esto equivale a consagrar un ámbito de impunidad que sí me parece contrario a la Constitución.</w:t>
      </w:r>
    </w:p>
    <w:p w14:paraId="565D2AA1" w14:textId="77777777" w:rsidR="003754FE" w:rsidRDefault="003754FE" w:rsidP="003754FE">
      <w:pPr>
        <w:pStyle w:val="TextoNormal"/>
      </w:pPr>
    </w:p>
    <w:p w14:paraId="2540CD18" w14:textId="77777777" w:rsidR="003754FE" w:rsidRDefault="003754FE" w:rsidP="003754FE">
      <w:pPr>
        <w:pStyle w:val="TextoNormal"/>
      </w:pPr>
      <w:r>
        <w:t>Tal como lo veo, los actos prelegislativos son susceptibles de control penal, y por consiguiente no parece que pueda considerarse “imprevisible”, como hace la mayoría, la interpretación efectuada por las sentencias recurridas. Una cosa es que sea la primera vez que un asunto como este se haya planteado ante los tribunales penales y otra muy distinta que la respuesta dada por ellos a esta cuestión novedosa sea “imprevisible”.</w:t>
      </w:r>
    </w:p>
    <w:p w14:paraId="67538BE2" w14:textId="77777777" w:rsidR="003754FE" w:rsidRDefault="003754FE" w:rsidP="003754FE">
      <w:pPr>
        <w:pStyle w:val="TextoNormal"/>
      </w:pPr>
    </w:p>
    <w:p w14:paraId="31DCB44C" w14:textId="77777777" w:rsidR="003754FE" w:rsidRDefault="003754FE" w:rsidP="003754FE">
      <w:pPr>
        <w:pStyle w:val="TextoNormal"/>
      </w:pPr>
      <w:r>
        <w:t xml:space="preserve">2.2. </w:t>
      </w:r>
      <w:r w:rsidRPr="003754FE">
        <w:rPr>
          <w:i/>
        </w:rPr>
        <w:t>Interpretación de las leyes de presupuestos efectuada por las sentencias recurridas</w:t>
      </w:r>
    </w:p>
    <w:p w14:paraId="6D056305" w14:textId="77777777" w:rsidR="003754FE" w:rsidRDefault="003754FE" w:rsidP="003754FE">
      <w:pPr>
        <w:pStyle w:val="TextoNormal"/>
      </w:pPr>
    </w:p>
    <w:p w14:paraId="1E45B924" w14:textId="77777777" w:rsidR="003754FE" w:rsidRDefault="003754FE" w:rsidP="003754FE">
      <w:pPr>
        <w:pStyle w:val="TextoNormal"/>
      </w:pPr>
      <w:r>
        <w:t>a) La sentencia de la que discrepo reitera una y otra vez la idea de que las leyes de presupuestos regularon el modo de concesión de estas ayudas. Por eso diserta ampliamente sobre las “características de nuestra democracia constitucional y parlamentaria” (FJ 4.3), la naturaleza de la ley de presupuestos como “verdadera ley” [FJ 4.3 A) e)], la posibilidad de modificar las leyes vigentes [FJ 4.3 B) b)] y el monopolio de control de constitucionalidad de las leyes por el Tribunal Constitucional [FJ 4.3 A) f)], para terminar concluyendo que la forma de razonar de las sentencias recurridas supone “privar de toda relevancia a la aprobación parlamentaria de la ley” de presupuestos” [FJ 4.4 A)].</w:t>
      </w:r>
    </w:p>
    <w:p w14:paraId="69806540" w14:textId="77777777" w:rsidR="003754FE" w:rsidRDefault="003754FE" w:rsidP="003754FE">
      <w:pPr>
        <w:pStyle w:val="TextoNormal"/>
      </w:pPr>
    </w:p>
    <w:p w14:paraId="025559F9" w14:textId="77777777" w:rsidR="003754FE" w:rsidRDefault="003754FE" w:rsidP="003754FE">
      <w:pPr>
        <w:pStyle w:val="TextoNormal"/>
      </w:pPr>
      <w:r>
        <w:t>Si así hubiera sucedido, podría compartirse lo razonado por la mayoría. Pero esta parte de una premisa incorrecta. Las sentencias recurridas interpretan de otro modo las leyes de presupuestos.</w:t>
      </w:r>
    </w:p>
    <w:p w14:paraId="2823B363" w14:textId="77777777" w:rsidR="003754FE" w:rsidRDefault="003754FE" w:rsidP="003754FE">
      <w:pPr>
        <w:pStyle w:val="TextoNormal"/>
      </w:pPr>
    </w:p>
    <w:p w14:paraId="3E712A04" w14:textId="77777777" w:rsidR="003754FE" w:rsidRDefault="003754FE" w:rsidP="003754FE">
      <w:pPr>
        <w:pStyle w:val="TextoNormal"/>
      </w:pPr>
      <w:r>
        <w:lastRenderedPageBreak/>
        <w:t>La (supuesta) modificación legislativa se habría producido con la calificación de las ayudas sociolaborales como “transferencia de financiación”, según reconoce la mayoría en el fundamento jurídico antes citado. Una modificación que se habría producido en las “memorias presupuestarias, informes económico-financieros y fichas del programa 31L” cuyo contenido extracta la sentencia del Tribunal Supremo (fundamento de Derecho 11, págs. 193-196), transcrita en este punto por el fundamento jurídico 2.1 c) de nuestra sentencia (“9. Conclusiones del análisis de la documentación anexa al proyecto de presupuesto anual de la Junta de Andalucía”).</w:t>
      </w:r>
    </w:p>
    <w:p w14:paraId="54D7E7B7" w14:textId="77777777" w:rsidR="003754FE" w:rsidRDefault="003754FE" w:rsidP="003754FE">
      <w:pPr>
        <w:pStyle w:val="TextoNormal"/>
      </w:pPr>
    </w:p>
    <w:p w14:paraId="6893B208" w14:textId="77777777" w:rsidR="003754FE" w:rsidRDefault="003754FE" w:rsidP="003754FE">
      <w:pPr>
        <w:pStyle w:val="TextoNormal"/>
      </w:pPr>
      <w:r>
        <w:t>b) Pues bien, tanto la Audiencia Provincial de Sevilla como el Tribunal Supremo niegan razonadamente que esa calificación tuviera eficacia normativa y vinculante y habilitara la exclusión de los controles propios de las subvenciones.</w:t>
      </w:r>
    </w:p>
    <w:p w14:paraId="7C1B9025" w14:textId="77777777" w:rsidR="003754FE" w:rsidRDefault="003754FE" w:rsidP="003754FE">
      <w:pPr>
        <w:pStyle w:val="TextoNormal"/>
      </w:pPr>
    </w:p>
    <w:p w14:paraId="30EA6AD3" w14:textId="77777777" w:rsidR="003754FE" w:rsidRDefault="003754FE" w:rsidP="003754FE">
      <w:pPr>
        <w:pStyle w:val="TextoNormal"/>
      </w:pPr>
      <w:r>
        <w:t>La sentencia de la Audiencia Provincial de Sevilla lo hace en su fundamento de Derecho 15 (aludido en la sentencia del Tribunal Supremo, fundamento 23.1, pág. 256, última línea), que cita y reproduce el art. 129.3 del Reglamento del Parlamento de Andalucía, que dice así:</w:t>
      </w:r>
    </w:p>
    <w:p w14:paraId="1E39358F" w14:textId="77777777" w:rsidR="003754FE" w:rsidRDefault="003754FE" w:rsidP="003754FE">
      <w:pPr>
        <w:pStyle w:val="TextoNormal"/>
      </w:pPr>
    </w:p>
    <w:p w14:paraId="092A04A3" w14:textId="77777777" w:rsidR="003754FE" w:rsidRDefault="003754FE" w:rsidP="003754FE">
      <w:pPr>
        <w:pStyle w:val="TextoNormal"/>
      </w:pPr>
      <w:r>
        <w:t xml:space="preserve">“El debate del presupuesto se referirá al articulado y al estado de autorización de gastos. </w:t>
      </w:r>
      <w:r w:rsidRPr="003754FE">
        <w:rPr>
          <w:i/>
        </w:rPr>
        <w:t>Todo ello sin perjuicio del estudio de otros documentos que deban acompañarlo</w:t>
      </w:r>
      <w:r>
        <w:t>”.</w:t>
      </w:r>
    </w:p>
    <w:p w14:paraId="2C132A75" w14:textId="77777777" w:rsidR="003754FE" w:rsidRDefault="003754FE" w:rsidP="003754FE">
      <w:pPr>
        <w:pStyle w:val="TextoNormal"/>
      </w:pPr>
    </w:p>
    <w:p w14:paraId="0EDA545A" w14:textId="77777777" w:rsidR="003754FE" w:rsidRDefault="003754FE" w:rsidP="003754FE">
      <w:pPr>
        <w:pStyle w:val="TextoNormal"/>
      </w:pPr>
      <w:r>
        <w:t>Un precepto que le lleva a concluir lo siguiente:</w:t>
      </w:r>
    </w:p>
    <w:p w14:paraId="5BA85358" w14:textId="77777777" w:rsidR="003754FE" w:rsidRDefault="003754FE" w:rsidP="003754FE">
      <w:pPr>
        <w:pStyle w:val="TextoNormal"/>
      </w:pPr>
    </w:p>
    <w:p w14:paraId="0FC21663" w14:textId="77777777" w:rsidR="003754FE" w:rsidRDefault="003754FE" w:rsidP="003754FE">
      <w:pPr>
        <w:pStyle w:val="TextoNormal"/>
      </w:pPr>
      <w:r>
        <w:t>“[L]os únicos documentos objeto de debate, y por tanto de aprobación parlamentaria, son el texto articulado de la ley y los estados de gastos de cada uno de los entes públicos de la comunidad autónoma. Sin que el resto de documentos que, como documentación anexa, acompañan al proyecto de presupuesto, sean objeto de aprobación por el Parlamento</w:t>
      </w:r>
      <w:r w:rsidRPr="003754FE">
        <w:rPr>
          <w:i/>
        </w:rPr>
        <w:t>, ni, en consecuencia, adquieran fuerza de l</w:t>
      </w:r>
      <w:r>
        <w:t>ey”.</w:t>
      </w:r>
    </w:p>
    <w:p w14:paraId="1FA8399F" w14:textId="77777777" w:rsidR="003754FE" w:rsidRDefault="003754FE" w:rsidP="003754FE">
      <w:pPr>
        <w:pStyle w:val="TextoNormal"/>
      </w:pPr>
    </w:p>
    <w:p w14:paraId="0C57EB99" w14:textId="77777777" w:rsidR="003754FE" w:rsidRDefault="003754FE" w:rsidP="003754FE">
      <w:pPr>
        <w:pStyle w:val="TextoNormal"/>
      </w:pPr>
      <w:r>
        <w:t>Y el Tribunal Supremo es igualmente concluyente: “ninguna de las leyes de presupuestos aprobadas modificó el régimen jurídico aplicable a las subvenciones” (fundamento de Derecho 23.3, pág. 262); las leyes de presupuestos “habilitaron unos créditos presupuestarios” pero no aprobaron “la forma de ejecución del gasto” ni su “concesión y pago […] eludiendo los requisitos y controles establecidos en la normativa de subvenciones” (fundamento 11.2, págs. 189-190).</w:t>
      </w:r>
    </w:p>
    <w:p w14:paraId="309523CD" w14:textId="77777777" w:rsidR="003754FE" w:rsidRDefault="003754FE" w:rsidP="003754FE">
      <w:pPr>
        <w:pStyle w:val="TextoNormal"/>
      </w:pPr>
    </w:p>
    <w:p w14:paraId="4A7BF241" w14:textId="77777777" w:rsidR="003754FE" w:rsidRDefault="003754FE" w:rsidP="003754FE">
      <w:pPr>
        <w:pStyle w:val="TextoNormal"/>
      </w:pPr>
      <w:r>
        <w:t>En lugar de detenerse en estos estos razonamientos, como corresponde a un recurso de amparo que debe examinar la razonabilidad de la interpretación efectuada por las sentencias recurridas, la sentencia de la que ahora discrepo cambia los términos del debate, hace supuesto de la cuestión y da por sentado lo que esos tribunales niegan: el valor de ley de la “documentación anexa” a los proyectos de ley de presupuestos.</w:t>
      </w:r>
    </w:p>
    <w:p w14:paraId="58F162B7" w14:textId="77777777" w:rsidR="003754FE" w:rsidRDefault="003754FE" w:rsidP="003754FE">
      <w:pPr>
        <w:pStyle w:val="TextoNormal"/>
      </w:pPr>
    </w:p>
    <w:p w14:paraId="26285DA0" w14:textId="77777777" w:rsidR="003754FE" w:rsidRDefault="003754FE" w:rsidP="003754FE">
      <w:pPr>
        <w:pStyle w:val="TextoNormal"/>
      </w:pPr>
      <w:r>
        <w:t>Lo que era objeto de discusión ante la jurisdicción penal, y esta negó motivadamente, no era “el carácter formal o material” de la ley de presupuestos, cuestión hace tiempo “superada” como reconoce la mayoría citando la STC 76/1992, sino si la “documentación anexa” a la ley de presupuestos, donde se contiene ese cambio de calificación de créditos, supuso efectivamente una modificación, derogación o desplazamiento de la normativa general sobre subvenciones.</w:t>
      </w:r>
    </w:p>
    <w:p w14:paraId="0F08BD6A" w14:textId="77777777" w:rsidR="003754FE" w:rsidRDefault="003754FE" w:rsidP="003754FE">
      <w:pPr>
        <w:pStyle w:val="TextoNormal"/>
      </w:pPr>
    </w:p>
    <w:p w14:paraId="43BE4DEB" w14:textId="77777777" w:rsidR="003754FE" w:rsidRDefault="003754FE" w:rsidP="003754FE">
      <w:pPr>
        <w:pStyle w:val="TextoNormal"/>
      </w:pPr>
      <w:r>
        <w:t>Por el sencillo expediente de omitir los razonamientos de las sentencias objeto de amparo, la sentencia ahora dictada asume apodícticamente que sí han producido ese cambio legislativo.</w:t>
      </w:r>
    </w:p>
    <w:p w14:paraId="3FA2534F" w14:textId="77777777" w:rsidR="003754FE" w:rsidRDefault="003754FE" w:rsidP="003754FE">
      <w:pPr>
        <w:pStyle w:val="TextoNormal"/>
      </w:pPr>
    </w:p>
    <w:p w14:paraId="7294DCCB" w14:textId="77777777" w:rsidR="003754FE" w:rsidRDefault="003754FE" w:rsidP="003754FE">
      <w:pPr>
        <w:pStyle w:val="TextoNormal"/>
      </w:pPr>
      <w:r>
        <w:t>Pero la lectura del análisis de la “documentación anexa” al proyecto de ley de presupuestos ofrecido por las págs. 193-196 de la sentencia del Tribunal Supremo, transcritas en el fundamento jurídico 2.1 c) de la misma sentencia, no permite sostener esta conclusión. Antes al contrario: estas “fichas”, “memorias” y “documentación anexa al proyecto de presupuestos” llaman varias veces “subvenciones” a las “ayudas sociolaborales” del programa 31L, de modo que difícilmente puede sostenerse que esa “documentación anexa” autorizara la elusión del régimen de estas.</w:t>
      </w:r>
    </w:p>
    <w:p w14:paraId="6E0BCCAD" w14:textId="77777777" w:rsidR="003754FE" w:rsidRDefault="003754FE" w:rsidP="003754FE">
      <w:pPr>
        <w:pStyle w:val="TextoNormal"/>
      </w:pPr>
    </w:p>
    <w:p w14:paraId="0A0B3E8D" w14:textId="77777777" w:rsidR="003754FE" w:rsidRDefault="003754FE" w:rsidP="003754FE">
      <w:pPr>
        <w:pStyle w:val="TextoNormal"/>
      </w:pPr>
      <w:r>
        <w:t>c) Además, la conclusión de las sentencias recurridas sobre la ausencia de valor legal de esa “documentación anexa” a las leyes de presupuestos no vulnera el derecho a la legalidad sancionadora del art. 25.1 CE, pues viene corroborada por importantes y evidentes argumentos constitucionales.</w:t>
      </w:r>
    </w:p>
    <w:p w14:paraId="6F99FEA4" w14:textId="77777777" w:rsidR="003754FE" w:rsidRDefault="003754FE" w:rsidP="003754FE">
      <w:pPr>
        <w:pStyle w:val="TextoNormal"/>
      </w:pPr>
    </w:p>
    <w:p w14:paraId="34977E36" w14:textId="77777777" w:rsidR="003754FE" w:rsidRDefault="003754FE" w:rsidP="003754FE">
      <w:pPr>
        <w:pStyle w:val="TextoNormal"/>
      </w:pPr>
      <w:r>
        <w:t>En primer lugar, esa “documentación anexa” no está publicada, ni se publica conjuntamente con las leyes de presupuestos, lo que ya de por sí impide otorgarle valor normativo alguno por aplicación de la máxima del art. 9.3 CE: “La Constitución garantiza […] la publicidad de las normas”. Si no hay publicidad, no puede haber “norma” vinculante, ni mucho menos “verdadera ley”, como asume la mayoría.</w:t>
      </w:r>
    </w:p>
    <w:p w14:paraId="32B15297" w14:textId="77777777" w:rsidR="003754FE" w:rsidRDefault="003754FE" w:rsidP="003754FE">
      <w:pPr>
        <w:pStyle w:val="TextoNormal"/>
      </w:pPr>
    </w:p>
    <w:p w14:paraId="45ABC434" w14:textId="77777777" w:rsidR="003754FE" w:rsidRDefault="003754FE" w:rsidP="003754FE">
      <w:pPr>
        <w:pStyle w:val="TextoNormal"/>
      </w:pPr>
      <w:r>
        <w:t xml:space="preserve">En segundo lugar, la diferenciación conceptual entre el anteproyecto o proyecto de ley de presupuestos, por una parte, y su “documentación anexa”, por otra, viene corroborada por otras normas. No solo el art. 129.3 del Reglamento del Parlamento de Andalucía, que cita la sentencia de la Audiencia de Sevilla en el pasaje antes transcrito (idéntico además a los arts. 134.2 del Reglamento del Congreso de los Diputados y 150.2 del Reglamento del Senado), sino también los arts. 34.5 y 35 de la Ley 5/1983, de hacienda pública de Andalucía (vigente en la fecha de los hechos) y el art. 37 de la Ley 47/2003, general presupuestaria del Estado (LGP), igualmente citados en la sentencia de la Audiencia Provincial de Sevilla (fundamento de Derecho 15). Por ejemplo, según este último precepto (art. 37 LGP), al “proyecto de ley de presupuestos generales del Estado, </w:t>
      </w:r>
      <w:r w:rsidRPr="003754FE">
        <w:rPr>
          <w:i/>
        </w:rPr>
        <w:t>integrado por el articulado con sus anexos y los estados de ingresos y de gastos</w:t>
      </w:r>
      <w:r>
        <w:t>”, “se acompañará” cierta “</w:t>
      </w:r>
      <w:r w:rsidRPr="003754FE">
        <w:rPr>
          <w:i/>
        </w:rPr>
        <w:t>documentación complementaria</w:t>
      </w:r>
      <w:r>
        <w:t>”, que incluye, entre otras, “</w:t>
      </w:r>
      <w:r w:rsidRPr="003754FE">
        <w:rPr>
          <w:i/>
        </w:rPr>
        <w:t>las memorias</w:t>
      </w:r>
      <w:r>
        <w:t xml:space="preserve"> descriptivas de los programas de gasto y sus objetivos anuales”. De la misma manera, el art. 35 de la Ley 5/1983 establecía que “[e]l proyecto de ley de presupuestos </w:t>
      </w:r>
      <w:r w:rsidRPr="003754FE">
        <w:rPr>
          <w:i/>
        </w:rPr>
        <w:t>y la documentación anexa</w:t>
      </w:r>
      <w:r>
        <w:t xml:space="preserve"> se remitirán al Parlamento” al menos dos meses antes de la expiración del anterior. Todo proyecto de ley del Gobierno va acompañado de cierta documentación (cfr. art. 88 CE y art. 26 de la Ley 50/1997, del Gobierno), pero no por ello esa documentación adquiere el rango y fuerza de la ley una vez aprobada esta.</w:t>
      </w:r>
    </w:p>
    <w:p w14:paraId="423AE7FA" w14:textId="77777777" w:rsidR="003754FE" w:rsidRDefault="003754FE" w:rsidP="003754FE">
      <w:pPr>
        <w:pStyle w:val="TextoNormal"/>
      </w:pPr>
    </w:p>
    <w:p w14:paraId="6B23599A" w14:textId="77777777" w:rsidR="003754FE" w:rsidRDefault="003754FE" w:rsidP="003754FE">
      <w:pPr>
        <w:pStyle w:val="TextoNormal"/>
      </w:pPr>
      <w:r>
        <w:t>En tercer lugar, nuestra doctrina también ha reconocido la naturaleza no normativa de las memorias y fichas presupuestarias (no publicadas): “las memorias de los presupuestos […] en modo alguno pudieron adquirir vigencia con la entrada en vigor de las leyes de presupuestos impugnadas; en realidad, son algo externo o ajeno a las mismas, meras previsiones hipotéticas” (STC 63/1986, de 21 de mayo, FJ 8).</w:t>
      </w:r>
    </w:p>
    <w:p w14:paraId="70FA8435" w14:textId="77777777" w:rsidR="003754FE" w:rsidRDefault="003754FE" w:rsidP="003754FE">
      <w:pPr>
        <w:pStyle w:val="TextoNormal"/>
      </w:pPr>
    </w:p>
    <w:p w14:paraId="727AF3A3" w14:textId="77777777" w:rsidR="003754FE" w:rsidRDefault="003754FE" w:rsidP="003754FE">
      <w:pPr>
        <w:pStyle w:val="TextoNormal"/>
      </w:pPr>
      <w:r>
        <w:t>Finalmente, el ya citado artículo 1 del Decreto-ley 4/2012 excluyó expresamente la aplicación de la normativa general de subvenciones, lo que evidencia, como ya he dicho, que las leyes de presupuestos anteriores no habían excluido la aplicación de esa normativa general.</w:t>
      </w:r>
    </w:p>
    <w:p w14:paraId="79189288" w14:textId="77777777" w:rsidR="003754FE" w:rsidRDefault="003754FE" w:rsidP="003754FE">
      <w:pPr>
        <w:pStyle w:val="TextoNormal"/>
      </w:pPr>
    </w:p>
    <w:p w14:paraId="0F1B644E" w14:textId="77777777" w:rsidR="003754FE" w:rsidRDefault="003754FE" w:rsidP="003754FE">
      <w:pPr>
        <w:pStyle w:val="TextoNormal"/>
      </w:pPr>
      <w:r>
        <w:t>2.3</w:t>
      </w:r>
      <w:r w:rsidRPr="003754FE">
        <w:rPr>
          <w:i/>
        </w:rPr>
        <w:t>. Modificaciones presupuestari</w:t>
      </w:r>
      <w:r>
        <w:t>as</w:t>
      </w:r>
    </w:p>
    <w:p w14:paraId="4237E1EF" w14:textId="77777777" w:rsidR="003754FE" w:rsidRDefault="003754FE" w:rsidP="003754FE">
      <w:pPr>
        <w:pStyle w:val="TextoNormal"/>
      </w:pPr>
    </w:p>
    <w:p w14:paraId="7C972674" w14:textId="77777777" w:rsidR="003754FE" w:rsidRDefault="003754FE" w:rsidP="003754FE">
      <w:pPr>
        <w:pStyle w:val="TextoNormal"/>
      </w:pPr>
      <w:r>
        <w:t>En cuanto a modificaciones presupuestarias producidas en los años 2002 a 2009 [FJ 4.4 B)], por las mismas razones que entiendo que las leyes de presupuestos que incluyeron desde el año 2002 esa célebre partida 31L no sanaron el vicio que arrastraban en cuanto a su oculta finalidad de eludir los controles previos de la intervención, tampoco las modificaciones presupuestarias de aquellos años pueden escudarse en la ley de presupuestos.</w:t>
      </w:r>
    </w:p>
    <w:p w14:paraId="380C1884" w14:textId="77777777" w:rsidR="003754FE" w:rsidRDefault="003754FE" w:rsidP="003754FE">
      <w:pPr>
        <w:pStyle w:val="TextoNormal"/>
      </w:pPr>
    </w:p>
    <w:p w14:paraId="1F5A1C0C" w14:textId="77777777" w:rsidR="003754FE" w:rsidRDefault="003754FE" w:rsidP="003754FE">
      <w:pPr>
        <w:pStyle w:val="TextoNormal"/>
      </w:pPr>
      <w:r>
        <w:t>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w:t>
      </w:r>
    </w:p>
    <w:p w14:paraId="229F5569" w14:textId="77777777" w:rsidR="003754FE" w:rsidRDefault="003754FE" w:rsidP="003754FE">
      <w:pPr>
        <w:pStyle w:val="TextoNormal"/>
      </w:pPr>
    </w:p>
    <w:p w14:paraId="3FFA76D2" w14:textId="77777777" w:rsidR="003754FE" w:rsidRDefault="003754FE" w:rsidP="003754FE">
      <w:pPr>
        <w:pStyle w:val="TextoNormal"/>
      </w:pPr>
      <w:r>
        <w:t>Resulta, por tanto, infundada la afirmación de la sentencia de la que disiento según la cual el Tribunal Supremo ha interpretado las leyes de presupuestos de Andalucía para esos años de modo imprevisible, así como las modificaciones presupuestarias aprobadas a su través.</w:t>
      </w:r>
    </w:p>
    <w:p w14:paraId="3B89C5C4" w14:textId="77777777" w:rsidR="003754FE" w:rsidRDefault="003754FE" w:rsidP="003754FE">
      <w:pPr>
        <w:pStyle w:val="TextoNormal"/>
      </w:pPr>
    </w:p>
    <w:p w14:paraId="24ECBDE1" w14:textId="77777777" w:rsidR="003754FE" w:rsidRDefault="003754FE" w:rsidP="003754FE">
      <w:pPr>
        <w:pStyle w:val="TextoNormal"/>
      </w:pPr>
      <w:r>
        <w:t>En esta sentencia se efectúa el análisis del carácter “arbitrario” de las resoluciones dictadas en asuntos administrativos, a efectos de su encaje en el art. 404 CP, no al tratar del procedimiento de aprobación de los anteproyectos de leyes de presupuestos (como sí lo hace en otras sentencias de esta serie), sino al referirse a las modificaciones presupuestarias, reconociendo que el procedimiento que conduce a su aprobación reúne los elementos del tipo penal, excepto el de la arbitrariedad. Pues bien, la definición de este concepto de arbitrariedad corresponde sin duda alguna a la Sala de lo Penal del Tribunal Supremo, y este explica que, según su jurisprudencia, se identifica la arbitrariedad como una ilegalidad patente, grosera, palmaria, clamorosa o flagrante, y señala como hechos relevantes de este caso los siguientes:</w:t>
      </w:r>
    </w:p>
    <w:p w14:paraId="2C399A3C" w14:textId="77777777" w:rsidR="003754FE" w:rsidRDefault="003754FE" w:rsidP="003754FE">
      <w:pPr>
        <w:pStyle w:val="TextoNormal"/>
      </w:pPr>
    </w:p>
    <w:p w14:paraId="51D9B2B4" w14:textId="77777777" w:rsidR="003754FE" w:rsidRDefault="003754FE" w:rsidP="003754FE">
      <w:pPr>
        <w:pStyle w:val="TextoNormal"/>
      </w:pPr>
      <w:r>
        <w:t>(i) que se cambió el sistema de financiación de las “ayudas sociolaborales” sin razón aparente;</w:t>
      </w:r>
    </w:p>
    <w:p w14:paraId="2B7E1A62" w14:textId="77777777" w:rsidR="003754FE" w:rsidRDefault="003754FE" w:rsidP="003754FE">
      <w:pPr>
        <w:pStyle w:val="TextoNormal"/>
      </w:pPr>
    </w:p>
    <w:p w14:paraId="57C07140" w14:textId="77777777" w:rsidR="003754FE" w:rsidRDefault="003754FE" w:rsidP="003754FE">
      <w:pPr>
        <w:pStyle w:val="TextoNormal"/>
      </w:pPr>
      <w:r>
        <w:t>(ii) que se hizo y mantuvo ese cambio a pesar de las múltiples advertencias de la Intervención y los servicios jurídicos sobre las ilegalidades que se estaban produciendo;</w:t>
      </w:r>
    </w:p>
    <w:p w14:paraId="0F972920" w14:textId="77777777" w:rsidR="003754FE" w:rsidRDefault="003754FE" w:rsidP="003754FE">
      <w:pPr>
        <w:pStyle w:val="TextoNormal"/>
      </w:pPr>
    </w:p>
    <w:p w14:paraId="7895DB77" w14:textId="77777777" w:rsidR="003754FE" w:rsidRDefault="003754FE" w:rsidP="003754FE">
      <w:pPr>
        <w:pStyle w:val="TextoNormal"/>
      </w:pPr>
      <w:r>
        <w:t>(iii) que la consecuencia real del cambio fue la falta de control y absoluta ilegalidad de la concesión de subvenciones.</w:t>
      </w:r>
    </w:p>
    <w:p w14:paraId="3E3868CB" w14:textId="77777777" w:rsidR="003754FE" w:rsidRDefault="003754FE" w:rsidP="003754FE">
      <w:pPr>
        <w:pStyle w:val="TextoNormal"/>
      </w:pPr>
    </w:p>
    <w:p w14:paraId="50EBD3F9" w14:textId="77777777" w:rsidR="003754FE" w:rsidRDefault="003754FE" w:rsidP="003754FE">
      <w:pPr>
        <w:pStyle w:val="TextoNormal"/>
      </w:pPr>
      <w:r>
        <w:t xml:space="preserve">Por todo ello concluye: “A partir de estos hechos, dada la incontestable ilegalidad de las acciones llevadas a cabo y en atención a la finalidad directamente perseguida por los autores no cabe otra conclusión que la de afirmar la arbitrariedad e injusticia de las resoluciones </w:t>
      </w:r>
      <w:r>
        <w:lastRenderedPageBreak/>
        <w:t>objeto de enjuiciamiento” (sentencia del Tribunal Supremo, fundamento de Derecho 30, pág. 296).</w:t>
      </w:r>
    </w:p>
    <w:p w14:paraId="7EB6CB34" w14:textId="77777777" w:rsidR="003754FE" w:rsidRDefault="003754FE" w:rsidP="003754FE">
      <w:pPr>
        <w:pStyle w:val="TextoNormal"/>
      </w:pPr>
    </w:p>
    <w:p w14:paraId="502F0D73" w14:textId="77777777" w:rsidR="003754FE" w:rsidRDefault="003754FE" w:rsidP="003754FE">
      <w:pPr>
        <w:pStyle w:val="TextoNormal"/>
      </w:pPr>
      <w:r>
        <w:t>Ninguna de estas razones se analiza en la sentencia apoyada por la mayoría, sino que vuelve a reiterarse la idea —ya defendida en la STC 93/2024— de la aprobación parlamentaria como sanadora de todos los posibles vicios denunciados y a la imprevisibilidad de la interpretación llevada a cabo por la Audiencia Provincial de Sevilla y por el Tribunal Supremo.</w:t>
      </w:r>
    </w:p>
    <w:p w14:paraId="5440EC76" w14:textId="77777777" w:rsidR="003754FE" w:rsidRDefault="003754FE" w:rsidP="003754FE">
      <w:pPr>
        <w:pStyle w:val="TextoNormal"/>
      </w:pPr>
    </w:p>
    <w:p w14:paraId="76BC462C" w14:textId="77777777" w:rsidR="003754FE" w:rsidRDefault="003754FE" w:rsidP="003754FE">
      <w:pPr>
        <w:pStyle w:val="TextoNormal"/>
      </w:pPr>
      <w:r>
        <w:t>La razón de la condena al recurrente por parte de estos tribunales es clara: como con arreglo a la Ley 5/1983, de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el recurrente y otros funcionarios idearon como solución para eludir esos controles incluir una nueva partida en los presupuestos titulada de manera indeterminada como “relaciones laborales” y disfrazada como transferencia de crédito al IFA (posteriormente IDEA) para sus propios fines, eludiendo de este modo los controles exigibles con arreglo a una legalidad que no se deroga.</w:t>
      </w:r>
    </w:p>
    <w:p w14:paraId="4BC7C241" w14:textId="77777777" w:rsidR="003754FE" w:rsidRDefault="003754FE" w:rsidP="003754FE">
      <w:pPr>
        <w:pStyle w:val="TextoNormal"/>
      </w:pPr>
    </w:p>
    <w:p w14:paraId="3612D174" w14:textId="77777777" w:rsidR="003754FE" w:rsidRDefault="003754FE" w:rsidP="003754FE">
      <w:pPr>
        <w:pStyle w:val="TextoNormal"/>
      </w:pPr>
      <w:r>
        <w:t>Efectivamente, las leyes de prepuestos hubieran podido derogar esa legalidad, o desplazarla para la concesión de esas ayudas, como hizo luego el Decreto-ley 4/2012 en la llamada “tercera etapa” de los ERE [sentencia del Tribunal Supremo, fundamento de Derecho 1, “Resumen de los hechos probados”, pág. 111, reproducido en el antecedente 2 a) de nuestra sentencia]. El art. 1 de este Decreto-ley estableció expresamente que “a estas ayudas sociolaborales no les es de aplicación la normativa general sobre subvenciones públicas”, lo que evidencia que el criterio seguido en años anteriores de no seguir los trámites impuestos por esa “normativa general sobre subvenciones públicas” no se ajustaba a la legalidad vigente.</w:t>
      </w:r>
    </w:p>
    <w:p w14:paraId="371D5839" w14:textId="77777777" w:rsidR="003754FE" w:rsidRDefault="003754FE" w:rsidP="003754FE">
      <w:pPr>
        <w:pStyle w:val="TextoNormal"/>
      </w:pPr>
    </w:p>
    <w:p w14:paraId="33D3B391" w14:textId="77777777" w:rsidR="003754FE" w:rsidRDefault="003754FE" w:rsidP="003754FE">
      <w:pPr>
        <w:pStyle w:val="TextoNormal"/>
      </w:pPr>
      <w:r>
        <w:t>En esta situación no me parece que la respuesta penal de la actuación del recurrente pueda calificarse de imprevisible.</w:t>
      </w:r>
    </w:p>
    <w:p w14:paraId="1F9724B1" w14:textId="77777777" w:rsidR="003754FE" w:rsidRDefault="003754FE" w:rsidP="003754FE">
      <w:pPr>
        <w:pStyle w:val="TextoNormal"/>
      </w:pPr>
    </w:p>
    <w:p w14:paraId="0BD7692E" w14:textId="77777777" w:rsidR="003754FE" w:rsidRDefault="003754FE" w:rsidP="003754FE">
      <w:pPr>
        <w:pStyle w:val="TextoNormal"/>
      </w:pPr>
      <w:r>
        <w:t>2.4</w:t>
      </w:r>
      <w:r w:rsidRPr="003754FE">
        <w:rPr>
          <w:i/>
        </w:rPr>
        <w:t>. Respeto por las resoluciones impugnadas del derecho fundamental del recurren</w:t>
      </w:r>
      <w:r>
        <w:t>te</w:t>
      </w:r>
    </w:p>
    <w:p w14:paraId="08962784" w14:textId="77777777" w:rsidR="003754FE" w:rsidRDefault="003754FE" w:rsidP="003754FE">
      <w:pPr>
        <w:pStyle w:val="TextoNormal"/>
      </w:pPr>
    </w:p>
    <w:p w14:paraId="71747F5C" w14:textId="77777777" w:rsidR="003754FE" w:rsidRDefault="003754FE" w:rsidP="003754FE">
      <w:pPr>
        <w:pStyle w:val="TextoNormal"/>
      </w:pPr>
      <w:r>
        <w:t>Colofón de lo que se expone, es que considero que las sentencias recurridas en amparo han efectuado una interpretación razonada de los elementos del delito de prevaricación y su aplicación al caso que supera el canon de control referido a la prohibición de interpretaciones “ilógicas” o “arbitrarias” que impone el art. 25.1 CE, conforme a la doctrina consolidada de este tribunal. Un canon que han superado anteriormente otras interpretaciones razonadas por los tribunales penales pero que pueden resultar más o menos controvertidas, como por ejemplo condenar por prevaricación a un particular a pesar de que el delito solo pueden cometerlo los “funcionarios” según la letra del Código penal (SSTC 47/1995, de 14 de febrero, FJ 6, y 41/1998, de 24 de febrero, FFJJ 5 y 6), o la condena a un alcalde, también por prevaricación, por actos que incluyen algunos que la jurisdicción contencioso-administrativa consideró conformes con el Derecho administrativo (ATC 324/2003, de 20 de octubre, FJ 6).</w:t>
      </w:r>
    </w:p>
    <w:p w14:paraId="445DEE64" w14:textId="77777777" w:rsidR="003754FE" w:rsidRDefault="003754FE" w:rsidP="003754FE">
      <w:pPr>
        <w:pStyle w:val="TextoNormal"/>
      </w:pPr>
    </w:p>
    <w:p w14:paraId="162B30E7" w14:textId="77777777" w:rsidR="003754FE" w:rsidRDefault="003754FE" w:rsidP="003754FE">
      <w:pPr>
        <w:pStyle w:val="TextoNormal"/>
      </w:pPr>
      <w:r>
        <w:lastRenderedPageBreak/>
        <w:t>Aplicando este mismo rasero de la razonabilidad, considero que la interpretación del delito de prevaricación efectuada en este caso por los tribunales competentes para ello, que son la Audiencia Provincial de Sevilla y especialmente el Tribunal Supremo como órgano jurisdiccional superior en la materia (art. 123.1 CE), no es imprevisible ni, por consiguiente, contraria al derecho fundamental a la legalidad penal que garantiza el art. 25.1 CE.</w:t>
      </w:r>
    </w:p>
    <w:p w14:paraId="1FA78374" w14:textId="77777777" w:rsidR="003754FE" w:rsidRDefault="003754FE" w:rsidP="003754FE">
      <w:pPr>
        <w:pStyle w:val="TextoNormal"/>
      </w:pPr>
    </w:p>
    <w:p w14:paraId="3455228E" w14:textId="77777777" w:rsidR="003754FE" w:rsidRDefault="003754FE" w:rsidP="003754FE">
      <w:pPr>
        <w:pStyle w:val="TextoNormal"/>
      </w:pPr>
      <w:r>
        <w:t>La demanda de amparo por tal razón debió de inadmitirse en cuanto a los aspectos de la queja de lesión del art. 25.1 CE que se declaran con lugar, o subsidiariamente haberse desestimado en su integridad.</w:t>
      </w:r>
    </w:p>
    <w:p w14:paraId="569FD32A" w14:textId="77777777" w:rsidR="003754FE" w:rsidRDefault="003754FE" w:rsidP="003754FE">
      <w:pPr>
        <w:pStyle w:val="TextoNormal"/>
      </w:pPr>
    </w:p>
    <w:p w14:paraId="51A11E8B" w14:textId="77777777" w:rsidR="003754FE" w:rsidRDefault="003754FE" w:rsidP="003754FE">
      <w:pPr>
        <w:pStyle w:val="TextoNormal"/>
      </w:pPr>
      <w:r>
        <w:t>Y en este sentido emito mi voto particular.</w:t>
      </w:r>
    </w:p>
    <w:p w14:paraId="615DA998" w14:textId="77777777" w:rsidR="003754FE" w:rsidRDefault="003754FE" w:rsidP="003754FE">
      <w:pPr>
        <w:pStyle w:val="TextoNormal"/>
      </w:pPr>
    </w:p>
    <w:p w14:paraId="76B2D947" w14:textId="61402680" w:rsidR="003754FE" w:rsidRDefault="003754FE" w:rsidP="003754FE">
      <w:pPr>
        <w:pStyle w:val="TextoNormal"/>
      </w:pPr>
      <w:r>
        <w:t>Madrid, a diecisiete de julio de dos mil veinticuatro.</w:t>
      </w:r>
    </w:p>
    <w:p w14:paraId="4ADC7C4F" w14:textId="77777777" w:rsidR="003754FE" w:rsidRDefault="003754FE" w:rsidP="003754FE">
      <w:pPr>
        <w:pStyle w:val="TextoNormal"/>
      </w:pPr>
    </w:p>
    <w:p w14:paraId="7E7C72FE" w14:textId="77777777" w:rsidR="003754FE" w:rsidRDefault="003754FE" w:rsidP="003754FE">
      <w:pPr>
        <w:pStyle w:val="TextoNormalNegritaCentrado"/>
        <w:keepNext/>
      </w:pPr>
      <w:r>
        <w:t>Voto particular que formula el magistrado don Enrique Arnaldo Alcubilla a la sentencia dictada por el Pleno en el recurso de amparo núm. 2485-2023</w:t>
      </w:r>
    </w:p>
    <w:p w14:paraId="2F7B5076" w14:textId="28CA932A" w:rsidR="003754FE" w:rsidRDefault="003754FE" w:rsidP="003754FE">
      <w:pPr>
        <w:pStyle w:val="TextoNormalNegritaCentrado"/>
        <w:keepNext/>
      </w:pPr>
    </w:p>
    <w:p w14:paraId="340CC604" w14:textId="77777777" w:rsidR="003754FE" w:rsidRDefault="003754FE" w:rsidP="003754FE">
      <w:pPr>
        <w:pStyle w:val="TextoNormal"/>
      </w:pPr>
      <w:r>
        <w:t>En el ejercicio de la facultad que me confiere el art. 90.2 de la Ley Orgánica del Tribunal Constitucional, formulo el presente voto particular por discrepar de la fundamentación y del fallo de la sentencia recaída en el recurso de amparo interpuesto por don Antonio Vicente Lozano Peña, el cual a mi parecer debió ser desestimado, por las razones defendidas durante la deliberación y en los términos que seguidamente paso a exponer.</w:t>
      </w:r>
    </w:p>
    <w:p w14:paraId="720085E9" w14:textId="77777777" w:rsidR="003754FE" w:rsidRDefault="003754FE" w:rsidP="003754FE">
      <w:pPr>
        <w:pStyle w:val="TextoNormal"/>
      </w:pPr>
    </w:p>
    <w:p w14:paraId="3580C14F" w14:textId="77777777" w:rsidR="003754FE" w:rsidRDefault="003754FE" w:rsidP="003754FE">
      <w:pPr>
        <w:pStyle w:val="TextoNormal"/>
      </w:pPr>
      <w:r>
        <w:t xml:space="preserve">1. </w:t>
      </w:r>
      <w:r w:rsidRPr="003754FE">
        <w:rPr>
          <w:i/>
        </w:rPr>
        <w:t>Consideración preliminar</w:t>
      </w:r>
    </w:p>
    <w:p w14:paraId="2D49933F" w14:textId="77777777" w:rsidR="003754FE" w:rsidRDefault="003754FE" w:rsidP="003754FE">
      <w:pPr>
        <w:pStyle w:val="TextoNormal"/>
      </w:pPr>
    </w:p>
    <w:p w14:paraId="613BB29C" w14:textId="77777777" w:rsidR="003754FE" w:rsidRDefault="003754FE" w:rsidP="003754FE">
      <w:pPr>
        <w:pStyle w:val="TextoNormal"/>
      </w:pPr>
      <w:r>
        <w:t>La fundamentación de la presente sentencia descansa en buena medida en los argumentos empleados por la mayoría del Pleno en la sentencia que estimó parcialmente el recurso de amparo núm. 6971-2022, interpuesto por doña Magdalena Álvarez Arza (STC 93/2024, de 19 de junio) contra las mismas resoluciones judiciales, que la condenaron por un delito de prevaricación en la pieza específica del conocido como “caso de los ERE de Andalucía”.</w:t>
      </w:r>
    </w:p>
    <w:p w14:paraId="1130FBA0" w14:textId="77777777" w:rsidR="003754FE" w:rsidRDefault="003754FE" w:rsidP="003754FE">
      <w:pPr>
        <w:pStyle w:val="TextoNormal"/>
      </w:pPr>
    </w:p>
    <w:p w14:paraId="683BCC9D" w14:textId="77777777" w:rsidR="003754FE" w:rsidRDefault="003754FE" w:rsidP="003754FE">
      <w:pPr>
        <w:pStyle w:val="TextoNormal"/>
      </w:pPr>
      <w:r>
        <w:t>Es procedente, por ello, que me remita a las consideraciones expuestas en el voto particular que suscribí juntamente con los magistrados Enríquez Sancho y Espejel Jorquera a la referida sentencia, y a las que formuló el magistrado Tolosa Tribiño en su voto, al que asimismo nos adherimos. Esta remisión se explica porque en cuanto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otro de los altos cargos de la Junta de Andalucía condenados en el referido asunto, en este supuesto también por delito de prevaricación. Se trata de don Antonio Vicente Lozano Peña, quien fuera director general de presupuestos de la Junta de Andalucía desde el mes de abril de 2002 al mes de abril de 2009, estando descritos los hechos por los que fue condenado en el relato de hechos probados y en los fundamentos de Derecho 35 y 49 de la sentencia de la Audiencia Provincial de Sevilla, como se pone de manifiesto en el fundamento jurídico 2.4 de la presente sentencia del Tribunal Constitucional.</w:t>
      </w:r>
    </w:p>
    <w:p w14:paraId="1195A81F" w14:textId="77777777" w:rsidR="003754FE" w:rsidRDefault="003754FE" w:rsidP="003754FE">
      <w:pPr>
        <w:pStyle w:val="TextoNormal"/>
      </w:pPr>
    </w:p>
    <w:p w14:paraId="4F157E85" w14:textId="77777777" w:rsidR="003754FE" w:rsidRDefault="003754FE" w:rsidP="003754FE">
      <w:pPr>
        <w:pStyle w:val="TextoNormal"/>
      </w:pPr>
      <w:r>
        <w:lastRenderedPageBreak/>
        <w:t>Conviene recordar que las sentencias impugnadas en amparo condenaron al recurrente y a otros altos cargos de la Junta de Andalucía en la pieza específica del “caso de los ERE de Andalucía”, que planificaron un sistema de concesión y ejecución de ayudas sociolaborales excepcionales eludiendo el control del gasto público. Para ello idearon un mecanismo relativamente sencillo y sumamente eficaz, para la finalidad perseguida. Ese mecanismo fue el cambio de clasificación presupuestaria del gasto, asignándose las ayudas a la partida 440.12 del programa 31L (“Transferencias de financiación al IFA”) por la Consejería de Empleo y ejecutándolas el Instituto de Fomento de Andalucía (IFA), luego denominado a partir de 2004 como Agencia de Innovación y Desarrollo en Andalucía (IDEA). De esta suerte, durante los años 2002 a 2009 no se siguió procedimiento administrativo alguno en la concesión de las ayudas, al otorgarse sin expediente de concesión (en muchos casos); sin publicidad en la concesión; sin fiscalización; sin informe de la Consejería de Presidencia sobre la notificación a la Comisión Europea; sin solicitud de los interesados y sin acreditarse la personalidad de los solicitantes; entre otras graves irregularidades que socavaron las reglas y los principios por los que se rige la actividad administrativa subvencional.</w:t>
      </w:r>
    </w:p>
    <w:p w14:paraId="4D323373" w14:textId="77777777" w:rsidR="003754FE" w:rsidRDefault="003754FE" w:rsidP="003754FE">
      <w:pPr>
        <w:pStyle w:val="TextoNormal"/>
      </w:pPr>
    </w:p>
    <w:p w14:paraId="342771DC" w14:textId="77777777" w:rsidR="003754FE" w:rsidRDefault="003754FE" w:rsidP="003754FE">
      <w:pPr>
        <w:pStyle w:val="TextoNormal"/>
      </w:pPr>
      <w:r>
        <w:t xml:space="preserve">2. </w:t>
      </w:r>
      <w:r w:rsidRPr="003754FE">
        <w:rPr>
          <w:i/>
        </w:rPr>
        <w:t>Premisas erróneas: la pretendida virtud sanadora de las leyes de presupuestos de Andalucía para los años 2002 a 2009 y la atribución a la memoria económica de valor y eficacia complementaria de la ley de presupuestos</w:t>
      </w:r>
    </w:p>
    <w:p w14:paraId="26D5408D" w14:textId="77777777" w:rsidR="003754FE" w:rsidRDefault="003754FE" w:rsidP="003754FE">
      <w:pPr>
        <w:pStyle w:val="TextoNormal"/>
      </w:pPr>
    </w:p>
    <w:p w14:paraId="79994F23" w14:textId="77777777" w:rsidR="003754FE" w:rsidRDefault="003754FE" w:rsidP="003754FE">
      <w:pPr>
        <w:pStyle w:val="TextoNormal"/>
      </w:pPr>
      <w:r>
        <w:t>Como en la STC 93/2024, la presente sentencia considera que la actuación del recurrente no puede entenderse subsumible en el delito de prevaricación por el que ha sido condenado, conclusión que asienta sobre la premisa, a mi parecer errónea, de que obraba amparado por lo previsto en la correspondiente ley de presupuestos para cada ejercicio.</w:t>
      </w:r>
    </w:p>
    <w:p w14:paraId="41182649" w14:textId="77777777" w:rsidR="003754FE" w:rsidRDefault="003754FE" w:rsidP="003754FE">
      <w:pPr>
        <w:pStyle w:val="TextoNormal"/>
      </w:pPr>
    </w:p>
    <w:p w14:paraId="1E210068" w14:textId="77777777" w:rsidR="003754FE" w:rsidRDefault="003754FE" w:rsidP="003754FE">
      <w:pPr>
        <w:pStyle w:val="TextoNormal"/>
      </w:pPr>
      <w:r>
        <w:t>Nada más lejos de la realidad. Las sentencias impugnadas en amparo han entendido que los trabajos preparatorios de esas leyes (la actividad “prelegislativa”), esto es, la actividad tendente a la elaboración de los anteproyectos de ley que luego se convertirán en proyectos remitidos al Parlamento, puede considerarse integrante de un procedimiento administrativo y, por consiguiente, que las decisiones que se adoptan en ese ámbito pueden calificarse como resoluciones recaídas en asunto administrativo, que es el término empleado en el art. 404 del Código penal para el delito de prevaricación administrativa. Por las razones expresadas en el voto particular a la STC 93/2024, no me parece que esa interpretación realizada por la jurisdicción penal, en el ámbito que le compete conforme al art. 117.3 CE, pueda tildarse de irrazonable o imprevisible. A mi entender, los actos prelegislativos son susceptibles de control penal. Entender lo contrario, como hace la mayoría del Tribunal en la sentencia de la que disiento, equivale a consagrar un inadmisible ámbito de impunidad que resulta patentemente contrario a la Constitución.</w:t>
      </w:r>
    </w:p>
    <w:p w14:paraId="2F3B56B2" w14:textId="77777777" w:rsidR="003754FE" w:rsidRDefault="003754FE" w:rsidP="003754FE">
      <w:pPr>
        <w:pStyle w:val="TextoNormal"/>
      </w:pPr>
    </w:p>
    <w:p w14:paraId="119512BB" w14:textId="77777777" w:rsidR="003754FE" w:rsidRDefault="003754FE" w:rsidP="003754FE">
      <w:pPr>
        <w:pStyle w:val="TextoNormal"/>
      </w:pPr>
      <w:r>
        <w:t xml:space="preserve">La preparación del anteproyecto de ley de presupuestos es una labor netamente administrativa, sujeta a control y a responsabilidad. Es la presentación del proyecto de ley en el Parlamento el acto que inicia la tramitación parlamentaria. Estamos, pues, en el primer caso, ante actos administrativos insertos en un procedimiento administrativo reglado (a nivel estatal, el procedimiento por el que se rige la elaboración de los presupuestos generales del Estado es una orden del ministro de Hacienda, conforme al art. 36.2 de la Ley general presupuestaria; en la Comunidad Autónoma andaluza, se trata de una orden de la Consejería competente). No es posible equiparar, por tanto, los anteproyectos de ley (tramitación administrativa) con los proyectos de ley (tramitación parlamentaria), ni tampoco equiparar los </w:t>
      </w:r>
      <w:r>
        <w:lastRenderedPageBreak/>
        <w:t>actos administrativos prelegislativos (reglados o discrecionales) con los políticos (del Gobierno) o legislativos (del Parlamento), ni mucho menos afirmar que los actos preparatorios o prelegislativos no se encuentran sometidos al Derecho administrativo, para deducir de ello una absoluta irresponsabilidad penal de los autores de esa actuación prelegislativa, como hace la sentencia de la que disiento.</w:t>
      </w:r>
    </w:p>
    <w:p w14:paraId="517EA49D" w14:textId="77777777" w:rsidR="003754FE" w:rsidRDefault="003754FE" w:rsidP="003754FE">
      <w:pPr>
        <w:pStyle w:val="TextoNormal"/>
      </w:pPr>
    </w:p>
    <w:p w14:paraId="15694C42" w14:textId="77777777" w:rsidR="003754FE" w:rsidRDefault="003754FE" w:rsidP="003754FE">
      <w:pPr>
        <w:pStyle w:val="TextoNormal"/>
      </w:pPr>
      <w:r>
        <w:t>Pero la sentencia aprobada por la mayoría va aún más lejos y, como en la STC 93/2024, sostiene que la conducta del recurrente, como la de otros condenados en la “pieza específica del caso de los ERE de Andalucía”, no merecía reproche penal desde la perspectiva del delito de prevaricación por el que ha sido condenado, porque se amparaba en las leyes de presupuestos de Andalucía para los años 2002 al 2009, que “en su programa 31L, establecieron un sistema de atribución de fondos al IFA/IDEA (las transferencias de financiación) para la concesión de ayudas sociolaborales que, de acuerdo con lo establecido en sus propias memorias, habilitaban a la administración autonómica a conceder estas ayudas por tal vía” (FJ 4, por remisión a lo declarado en la STC 93/2024, FJ 4), lo que habría supuesto la supresión de los controles y procedimiento propios del régimen de subvenciones.</w:t>
      </w:r>
    </w:p>
    <w:p w14:paraId="10F2735F" w14:textId="77777777" w:rsidR="003754FE" w:rsidRDefault="003754FE" w:rsidP="003754FE">
      <w:pPr>
        <w:pStyle w:val="TextoNormal"/>
      </w:pPr>
    </w:p>
    <w:p w14:paraId="50357DDC" w14:textId="77777777" w:rsidR="003754FE" w:rsidRDefault="003754FE" w:rsidP="003754FE">
      <w:pPr>
        <w:pStyle w:val="TextoNormal"/>
      </w:pPr>
      <w:r>
        <w:t>Lo mismo se afirma respecto de las conductas calificadas de prevaricación por las sentencias impugnadas en amparo relativas a las modificaciones presupuestarias amparadas en el programa 31L, habidas con posterioridad a la aprobación de las distintas leyes de presupuestos, pues, asimismo, encontrarían cobijo en el “sistema de atribución de fondos al IFA/IDEA (las transferencias de financiación) para la concesión de ayudas sociolaborales”, según sostiene la mayoría del Pleno en la sentencia de la que disiento.</w:t>
      </w:r>
    </w:p>
    <w:p w14:paraId="028D3779" w14:textId="77777777" w:rsidR="003754FE" w:rsidRDefault="003754FE" w:rsidP="003754FE">
      <w:pPr>
        <w:pStyle w:val="TextoNormal"/>
      </w:pPr>
    </w:p>
    <w:p w14:paraId="40F0B2A7" w14:textId="77777777" w:rsidR="003754FE" w:rsidRDefault="003754FE" w:rsidP="003754FE">
      <w:pPr>
        <w:pStyle w:val="TextoNormal"/>
      </w:pPr>
      <w:r>
        <w:t>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subvenciones, en particular, la fiscalización previa por parte de la Intervención de la Junta de Andalucía. Se viene a afirmar que resulta imprevisible condenar por prevaricación conductas amparadas en lo dispuesto en el programa 31L incorporado a las leyes de presupuestos de Andalucía para los años 2002 al 2009. La ley curaría, según la mayoría del Tribunal, todo vicio y haría inatacable la actuación de los gestores públicos, que estarían habituados para actuar al margen de cualquier procedimiento y sin el control previo exigible en cualquier disposición de fondos públicos.</w:t>
      </w:r>
    </w:p>
    <w:p w14:paraId="15603C2D" w14:textId="77777777" w:rsidR="003754FE" w:rsidRDefault="003754FE" w:rsidP="003754FE">
      <w:pPr>
        <w:pStyle w:val="TextoNormal"/>
      </w:pPr>
    </w:p>
    <w:p w14:paraId="509F0666" w14:textId="77777777" w:rsidR="003754FE" w:rsidRDefault="003754FE" w:rsidP="003754FE">
      <w:pPr>
        <w:pStyle w:val="TextoNormal"/>
      </w:pPr>
      <w:r>
        <w:t>Según la sentencia aprobada por la mayoría del Tribunal, y de la que discrepo, la ley de presupuestos es erigida en un tótem todopoderoso que habilita a la administración para operar libérrimamente. Basta una partida, una cifra, económica expresada en euros y un concepto genérico para entender que el organismo correspondiente está apoderado para saltarse procedimientos y controles, simplemente con el argumento de que no se establece en la ley a qué procedimiento o a qué control está sujeta esa actividad.</w:t>
      </w:r>
    </w:p>
    <w:p w14:paraId="521E9772" w14:textId="77777777" w:rsidR="003754FE" w:rsidRDefault="003754FE" w:rsidP="003754FE">
      <w:pPr>
        <w:pStyle w:val="TextoNormal"/>
      </w:pPr>
    </w:p>
    <w:p w14:paraId="18F6D51C" w14:textId="77777777" w:rsidR="003754FE" w:rsidRDefault="003754FE" w:rsidP="003754FE">
      <w:pPr>
        <w:pStyle w:val="TextoNormal"/>
      </w:pPr>
      <w:r>
        <w:t xml:space="preserve">Semejante premisa, la de la supuesta cobertura de la actuación del recurrente en la legalidad presupuestaria, descansa en una errónea apreciación del contenido de las leyes de presupuestos consideradas. No es cierto que las sentencias de la jurisdicción penal que condenaron al recurrente hayan privado de toda relevancia a la circunstancia de la aprobación parlamentaria de las sucesivas leyes de presupuestos. Lo que sucede es que, frente a lo que </w:t>
      </w:r>
      <w:r>
        <w:lastRenderedPageBreak/>
        <w:t>de manera incorrecta ha entendido la mayoría en la sentencia de la que disiento, es que, en realidad, la introducción del programa 31L en las leyes de presupuestos andaluzas de los 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de lo Penal del Tribunal Supremo.</w:t>
      </w:r>
    </w:p>
    <w:p w14:paraId="350700F0" w14:textId="77777777" w:rsidR="003754FE" w:rsidRDefault="003754FE" w:rsidP="003754FE">
      <w:pPr>
        <w:pStyle w:val="TextoNormal"/>
      </w:pPr>
    </w:p>
    <w:p w14:paraId="7FC78614" w14:textId="77777777" w:rsidR="003754FE" w:rsidRDefault="003754FE" w:rsidP="003754FE">
      <w:pPr>
        <w:pStyle w:val="TextoNormal"/>
      </w:pPr>
      <w:r>
        <w:t>Ambas resoluciones judiciales niegan con razón, por otra parte, el pretendido valor legal (tampoco normativo, por supuesto, pues no son normas jurídicas) que se pretende dar a las memorias presupuestarias, informes económico-financieros y fichas del programa 31L. La ausencia de eficacia vinculante de esa documentación anexa a las leyes de presupuestos resulta corroborada por diversos instrumentos legales, como ya se señaló en el voto particular conjunto a la STC 93/2014,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meras previsiones hipotéticas” (STC 63/1986, de 21 de mayo, FJ 8). El argumento que utiliza la mayoría en la sentencia de la que discrepo, según el cual han de interpretarse las partidas presupuestarias conforme a la memoria, es fruto de un voluntarismo jurídico que no se puede compartir.</w:t>
      </w:r>
    </w:p>
    <w:p w14:paraId="6CAEF722" w14:textId="77777777" w:rsidR="003754FE" w:rsidRDefault="003754FE" w:rsidP="003754FE">
      <w:pPr>
        <w:pStyle w:val="TextoNormal"/>
      </w:pPr>
    </w:p>
    <w:p w14:paraId="6EFD14EE" w14:textId="77777777" w:rsidR="003754FE" w:rsidRDefault="003754FE" w:rsidP="003754FE">
      <w:pPr>
        <w:pStyle w:val="TextoNormal"/>
      </w:pPr>
      <w:r>
        <w:t>En cuanto a las modificaciones presupuestarias producidas en los años 2002 a 2008, por las mismas razones que entendemos que las leyes de presupuestos que incluyeron desde el año 2002 esa célebre partida 440 del programa 31L no sanaron el vicio que arrastraban en cuanto a su oculta finalidad de eludir los controles previos de la Intervención, tampoco las modificaciones presupuestarias pueden escudarse en la ley de presupuestos.</w:t>
      </w:r>
    </w:p>
    <w:p w14:paraId="1D0D3288" w14:textId="77777777" w:rsidR="003754FE" w:rsidRDefault="003754FE" w:rsidP="003754FE">
      <w:pPr>
        <w:pStyle w:val="TextoNormal"/>
      </w:pPr>
    </w:p>
    <w:p w14:paraId="22226271" w14:textId="77777777" w:rsidR="003754FE" w:rsidRDefault="003754FE" w:rsidP="003754FE">
      <w:pPr>
        <w:pStyle w:val="TextoNormal"/>
      </w:pPr>
      <w:r>
        <w:t>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correspondiente ley de presupuestos, excluyera la aplicación de la normativa general en materia de subvenciones.</w:t>
      </w:r>
    </w:p>
    <w:p w14:paraId="29E21D5B" w14:textId="77777777" w:rsidR="003754FE" w:rsidRDefault="003754FE" w:rsidP="003754FE">
      <w:pPr>
        <w:pStyle w:val="TextoNormal"/>
      </w:pPr>
    </w:p>
    <w:p w14:paraId="63EA27FA" w14:textId="77777777" w:rsidR="003754FE" w:rsidRDefault="003754FE" w:rsidP="003754FE">
      <w:pPr>
        <w:pStyle w:val="TextoNormal"/>
      </w:pPr>
      <w:r>
        <w:t xml:space="preserve">Habida cuenta de lo anterior, no parece que la respuesta penal a la actuación del recurrente pueda calificarse de imprevisible. La razón de la condena del recurrente es clara: como con arreglo a la Ley 5/1983, de la hacienda pública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los altos cargos de la Junta de Andalucía implicados en la trama idearon como solución para eludir esos controles incluir una nueva partida en los presupuestos titulada de manera indeterminada para sus propios fines, eludiendo de este </w:t>
      </w:r>
      <w:r>
        <w:lastRenderedPageBreak/>
        <w:t>modo los controles exigibles con arreglo a una legalidad que no fue derogada por lo dispuesto en las leyes de presupuestos andaluzas de los años 2002 a 2009.</w:t>
      </w:r>
    </w:p>
    <w:p w14:paraId="6299E9E8" w14:textId="77777777" w:rsidR="003754FE" w:rsidRDefault="003754FE" w:rsidP="003754FE">
      <w:pPr>
        <w:pStyle w:val="TextoNormal"/>
      </w:pPr>
    </w:p>
    <w:p w14:paraId="45951414" w14:textId="77777777" w:rsidR="003754FE" w:rsidRDefault="003754FE" w:rsidP="003754FE">
      <w:pPr>
        <w:pStyle w:val="TextoNormal"/>
      </w:pPr>
      <w:r>
        <w:t>Ciertamente, las cosas podrían haber sucedido de otro modo. Las leyes de presupuestos andaluzas hubieran podido derogar esa legalidad, o excluirla para la concesión de esas ayudas, como hizo luego el Decreto-ley 4/2012 en la llamada “tercera etapa” de los ERE (fundamento jurídico de la sentencia del Tribunal Supremo, “resumen de los hechos probados”), cuyo art.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a disponer, después, libérrimamente de los fondos incluidos en la partida 440 del programa 31L y solo y exclusivamente en esa partida.</w:t>
      </w:r>
    </w:p>
    <w:p w14:paraId="698E52D2" w14:textId="77777777" w:rsidR="003754FE" w:rsidRDefault="003754FE" w:rsidP="003754FE">
      <w:pPr>
        <w:pStyle w:val="TextoNormal"/>
      </w:pPr>
    </w:p>
    <w:p w14:paraId="04C97138" w14:textId="77777777" w:rsidR="003754FE" w:rsidRDefault="003754FE" w:rsidP="003754FE">
      <w:pPr>
        <w:pStyle w:val="TextoNormal"/>
      </w:pPr>
      <w:r>
        <w:t>La consecuencia de ello es que las conductas enjuiciadas del recurrente fueron correctamente subsumidas en el delito de prevaricación, porque el programa 31L no concedía una cobertura legal para adjudicar ayudas con elusión de los controles previstos en la normativa subvencional, pues nada se establecía en las leyes de presupuestos en tal sentido. La omisión de aquellos controles permitió que se dispusiera libremente de las ingentes cantidades dinerarias a las que se refieren los hechos probados de las sentencias impugnadas en amparo, ocasionando un grave quebranto a la hacienda pública.</w:t>
      </w:r>
    </w:p>
    <w:p w14:paraId="5A8ED836" w14:textId="77777777" w:rsidR="003754FE" w:rsidRDefault="003754FE" w:rsidP="003754FE">
      <w:pPr>
        <w:pStyle w:val="TextoNormal"/>
      </w:pPr>
    </w:p>
    <w:p w14:paraId="3651143D" w14:textId="77777777" w:rsidR="003754FE" w:rsidRDefault="003754FE" w:rsidP="003754FE">
      <w:pPr>
        <w:pStyle w:val="TextoNormal"/>
      </w:pPr>
      <w:r>
        <w:t xml:space="preserve">3. </w:t>
      </w:r>
      <w:r w:rsidRPr="003754FE">
        <w:rPr>
          <w:i/>
        </w:rPr>
        <w:t>La presente sentencia desconoce los principios constitucionales rectores del gasto público y su control</w:t>
      </w:r>
    </w:p>
    <w:p w14:paraId="2147E167" w14:textId="77777777" w:rsidR="003754FE" w:rsidRDefault="003754FE" w:rsidP="003754FE">
      <w:pPr>
        <w:pStyle w:val="TextoNormal"/>
      </w:pPr>
    </w:p>
    <w:p w14:paraId="68ACDAB4" w14:textId="77777777" w:rsidR="003754FE" w:rsidRDefault="003754FE" w:rsidP="003754FE">
      <w:pPr>
        <w:pStyle w:val="TextoNormal"/>
      </w:pPr>
      <w:r>
        <w:t>En un precepto original en el Derecho Constitucional contemporáneo, la Constitución en su art. 31.2 establece que “[e]l gasto público realizará una asignación equitativa de los recursos públicos, y su programación y ejecución responderán a los criterios de eficiencia y economía”.</w:t>
      </w:r>
    </w:p>
    <w:p w14:paraId="598D604C" w14:textId="77777777" w:rsidR="003754FE" w:rsidRDefault="003754FE" w:rsidP="003754FE">
      <w:pPr>
        <w:pStyle w:val="TextoNormal"/>
      </w:pPr>
    </w:p>
    <w:p w14:paraId="4525800D" w14:textId="77777777" w:rsidR="003754FE" w:rsidRDefault="003754FE" w:rsidP="003754FE">
      <w:pPr>
        <w:pStyle w:val="TextoNormal"/>
      </w:pPr>
      <w:r>
        <w:t xml:space="preserve">La referencia que hace el art. 31.2 CE a la justicia de los criterios de reparto del gasto público fue introducida en el Senado a través de la enmienda propuesta por el profesor Fuentes Quintana, quien en defensa de la misma enfatizó que lo que se pretende es “que el gasto publico sirva al fin de la justicia (solicitando, por ello una asignación equitativa de los recursos públicos) y a los principios de la eficiencia y economicidad (requisito obligado para justificar la racionalidad de todo gasto publico)”. Y ello porque “el gasto no solamente constituye en este sentido un derecho del ciudadano; mi derecho, en cuanto ciudadano, a los gastos públicos no es solo a que prepondere la equidad en su distribución, sino también a que su programación, su presupuestación y su control tengan lugar con arreglo a los principios de economicidad y eficiencia. La economicidad y eficiencia deben ser mandatos obligados para el gasto público y para el gasto privado y, naturalmente, son derechos de los individuos, porque en la medida en que el Estado despilfarra el contenido del conjunto en sus gastos públicos, es evidente que lo que está haciendo es malbaratar el conjunto, no </w:t>
      </w:r>
      <w:r>
        <w:lastRenderedPageBreak/>
        <w:t>defender el conjunto de los derechos individuales de los ciudadanos” (“Diario de Sesiones del Senado”, núm. 45, de 29 de agosto de 1978, enmienda núm. 674, presentada en el seno de la Comisión Constitucional).</w:t>
      </w:r>
    </w:p>
    <w:p w14:paraId="1A579206" w14:textId="77777777" w:rsidR="003754FE" w:rsidRDefault="003754FE" w:rsidP="003754FE">
      <w:pPr>
        <w:pStyle w:val="TextoNormal"/>
      </w:pPr>
    </w:p>
    <w:p w14:paraId="404522C1" w14:textId="77777777" w:rsidR="003754FE" w:rsidRDefault="003754FE" w:rsidP="003754FE">
      <w:pPr>
        <w:pStyle w:val="TextoNormal"/>
      </w:pPr>
      <w:r>
        <w:t>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pude hacer el Estado a través del Tribunal de Cuentas sobre la actividad financiera de las corporaciones locales. Pueden coexistir y superponerse, sin perjuicio de “evitar duplicidades innecesarias o disfuncionalidades”, que serían contrarias al 31.2 CE. También en la STC 204/1992, de 26 de noviembre, sobre los consejos consultivos autonómicos y el Consejo de Estado, si bien aquí el Tribunal añade al art. 31.2 CE el art. 103.1 CE, que obliga a la administración pública a actuar con sujeción tanto al principio de legalidad (lo que incluye la legalidad presupuestaria, claro está), como al principio de eficacia administrativa).</w:t>
      </w:r>
    </w:p>
    <w:p w14:paraId="0A682C0A" w14:textId="77777777" w:rsidR="003754FE" w:rsidRDefault="003754FE" w:rsidP="003754FE">
      <w:pPr>
        <w:pStyle w:val="TextoNormal"/>
      </w:pPr>
    </w:p>
    <w:p w14:paraId="17DA22D7" w14:textId="77777777" w:rsidR="003754FE" w:rsidRDefault="003754FE" w:rsidP="003754FE">
      <w:pPr>
        <w:pStyle w:val="TextoNormal"/>
      </w:pPr>
      <w:r>
        <w:t>Pero, sin duda, el pronunciamiento más importante se contiene en la STC 45/2017, de 27 de abril, en la que se afirma que “[l]a actividad financiera de las distintas haciendas [ha de] asegurar los principios constitucionales que, conforme a la Constitución han de regir el gasto público: legalidad (art. 133.4 CE), eficiencia y economía (art. 31.2 CE), asignación equitativa de los recursos públicos (art. 31.2 CE), subordinación de la riqueza al interés general (art. 128.1 CE), estabilidad presupuestaria (art. 135 CE […]) y control (art. 136 CE)”.</w:t>
      </w:r>
    </w:p>
    <w:p w14:paraId="47B56250" w14:textId="77777777" w:rsidR="003754FE" w:rsidRDefault="003754FE" w:rsidP="003754FE">
      <w:pPr>
        <w:pStyle w:val="TextoNormal"/>
      </w:pPr>
    </w:p>
    <w:p w14:paraId="0BDCFB9C" w14:textId="77777777" w:rsidR="003754FE" w:rsidRDefault="003754FE" w:rsidP="003754FE">
      <w:pPr>
        <w:pStyle w:val="TextoNormal"/>
      </w:pPr>
      <w:r>
        <w:t>Sobre el principio de legalidad (que la sentencia presenta como respetado y salutífero para el recurrente) ya me he expresado, sin perjuicio de volver después. Me importa detenerme ahora en los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pagos. Ello queda confirmado, por lo demás, en un precepto transversal de nuestra Constitución, íntimamente ligado, entre otros, al citado art. 31.2 CE, y que no es otro que el también citado art. 103.1 CE, a cuyo tenor “[l]a Administración Pública sirve con objetividad 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14:paraId="0C4C421C" w14:textId="77777777" w:rsidR="003754FE" w:rsidRDefault="003754FE" w:rsidP="003754FE">
      <w:pPr>
        <w:pStyle w:val="TextoNormal"/>
      </w:pPr>
    </w:p>
    <w:p w14:paraId="2F432DD8" w14:textId="77777777" w:rsidR="003754FE" w:rsidRDefault="003754FE" w:rsidP="003754FE">
      <w:pPr>
        <w:pStyle w:val="TextoNormal"/>
      </w:pPr>
      <w: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enunciadas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w:t>
      </w:r>
      <w:r w:rsidRPr="003754FE">
        <w:rPr>
          <w:i/>
        </w:rPr>
        <w:t>in fine</w:t>
      </w:r>
      <w:r>
        <w:t xml:space="preserve"> que el sometimiento de la administración pública a la ley y al Derecho sea pleno, o sea completo, sin excepción ni matiz, lo que corrobora el enunciado del art. 106.1 CE.</w:t>
      </w:r>
    </w:p>
    <w:p w14:paraId="7777193F" w14:textId="77777777" w:rsidR="003754FE" w:rsidRDefault="003754FE" w:rsidP="003754FE">
      <w:pPr>
        <w:pStyle w:val="TextoNormal"/>
      </w:pPr>
    </w:p>
    <w:p w14:paraId="4F1AC82A" w14:textId="77777777" w:rsidR="003754FE" w:rsidRDefault="003754FE" w:rsidP="003754FE">
      <w:pPr>
        <w:pStyle w:val="TextoNormal"/>
      </w:pPr>
      <w:r>
        <w:t xml:space="preserve">Si el fraude fiscal es una de las agresiones más graves al interés común de los ciudadanos, la malversación de los caudales públicos es otra no menos importante. Como la lucha contra el fraude fiscal, la lucha contra la corrupción es otro objetivo o mandato que la Constitución impone a todos los poderes públicos. Ese mandato deriva del deber constitucional de realizar una asignación equitativa de los recursos públicos en el marco de una programación y ejecución basada en los criterios de eficiencia y economía (art. 31.1 CE). La justicia financiera no se limita a la vertiente del ingreso; debe atender con la misma fuerza a la del gasto ¿De qué vale defender la ética en el ingreso si luego no se exige la correlativa ética en el gasto? La mala, negligente o indebida gestión de los recursos públicos compromete el cumplimiento de los fines de un Estado social y democrático de Derecho (art. 1.1 CE). El Tribunal del que formo parte ha renunciado de nuevo a formar una doctrina en cuestión tan nuclear como de tan vieja raigambre en la sociedad. En efecto, ya la Carta Magna inglesa de 1215 reconoció el derecho de los ciudadanos, no solo a consentir tributos, sino también a conocer su justificación y el destino a que se afectaban, derechos que recogió el </w:t>
      </w:r>
      <w:r w:rsidRPr="003754FE">
        <w:rPr>
          <w:i/>
        </w:rPr>
        <w:t>Bill of Rights</w:t>
      </w:r>
      <w:r>
        <w:t xml:space="preserve"> de 1689 y más adelante la Declaración de los derechos del hombre y del ciudadano de 1789 y nuestra Constitución de Cádiz de 1812.</w:t>
      </w:r>
    </w:p>
    <w:p w14:paraId="63853A7E" w14:textId="77777777" w:rsidR="003754FE" w:rsidRDefault="003754FE" w:rsidP="003754FE">
      <w:pPr>
        <w:pStyle w:val="TextoNormal"/>
      </w:pPr>
    </w:p>
    <w:p w14:paraId="5B5114A6" w14:textId="77777777" w:rsidR="003754FE" w:rsidRDefault="003754FE" w:rsidP="003754FE">
      <w:pPr>
        <w:pStyle w:val="TextoNormal"/>
      </w:pPr>
      <w:r>
        <w:t>Adelanto ya que las conclusiones a las que llega la sentencia de este tribunal de la que disiento no se acomodan a estos principios constitucionales, pues se asientan en la incertidumbre jurídica, en la irresponsabilidad, y en la falta de objetividad y de transparencia de la administración pública.</w:t>
      </w:r>
    </w:p>
    <w:p w14:paraId="0D50D1C9" w14:textId="77777777" w:rsidR="003754FE" w:rsidRDefault="003754FE" w:rsidP="003754FE">
      <w:pPr>
        <w:pStyle w:val="TextoNormal"/>
      </w:pPr>
    </w:p>
    <w:p w14:paraId="551C5268" w14:textId="77777777" w:rsidR="003754FE" w:rsidRDefault="003754FE" w:rsidP="003754FE">
      <w:pPr>
        <w:pStyle w:val="TextoNormal"/>
      </w:pPr>
      <w:r>
        <w:t xml:space="preserve">La sentencia de este tribunal descubre con la linterna de Diógenes el argumento de la salvadora ley de presupuestos que todo lo ampara y que borra toda responsabilidad penal en la conducta del recurrente y de otros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w:t>
      </w:r>
      <w:r w:rsidRPr="003754FE">
        <w:rPr>
          <w:i/>
        </w:rPr>
        <w:t>ius</w:t>
      </w:r>
      <w:r>
        <w:t xml:space="preserve">. La ley no agota el ámbito del Derecho, que es algo más. Y en ese algo más están desde luego los principios actuales de actuación de las administraciones públicas, que enuncian muy en particular los arts. 9.3, 31.2, 103.1, 105 y 106.1 CE, y los propios principios generales del Derecho, que no tienen por qué ser norma escrita y que sintetizan nuestra cultura jurídica, que es la propia de un Estado constitucional y democrático de Derecho (art. 1.1 CE). Y, por supuesto, en el </w:t>
      </w:r>
      <w:r w:rsidRPr="003754FE">
        <w:rPr>
          <w:i/>
        </w:rPr>
        <w:t>ius</w:t>
      </w:r>
      <w:r>
        <w:t xml:space="preserve"> están también los principios del Derecho de la Unión Europea, a los que luego me referiré.</w:t>
      </w:r>
    </w:p>
    <w:p w14:paraId="17C78E48" w14:textId="77777777" w:rsidR="003754FE" w:rsidRDefault="003754FE" w:rsidP="003754FE">
      <w:pPr>
        <w:pStyle w:val="TextoNormal"/>
      </w:pPr>
    </w:p>
    <w:p w14:paraId="5C84F400" w14:textId="77777777" w:rsidR="003754FE" w:rsidRDefault="003754FE" w:rsidP="003754FE">
      <w:pPr>
        <w:pStyle w:val="TextoNormal"/>
      </w:pPr>
      <w:r>
        <w:t xml:space="preserve">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w:t>
      </w:r>
      <w:r>
        <w:lastRenderedPageBreak/>
        <w:t>no es nunca ilimitado ni puede ejercerse al puro arbitrio o capricho de quienes lo lleven a 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14:paraId="31336028" w14:textId="77777777" w:rsidR="003754FE" w:rsidRDefault="003754FE" w:rsidP="003754FE">
      <w:pPr>
        <w:pStyle w:val="TextoNormal"/>
      </w:pPr>
    </w:p>
    <w:p w14:paraId="697C85BD" w14:textId="77777777" w:rsidR="003754FE" w:rsidRDefault="003754FE" w:rsidP="003754FE">
      <w:pPr>
        <w:pStyle w:val="TextoNormal"/>
      </w:pPr>
      <w:r>
        <w:t xml:space="preserve">4. </w:t>
      </w:r>
      <w:r w:rsidRPr="003754FE">
        <w:rPr>
          <w:i/>
        </w:rPr>
        <w:t>Sobre la aplicación de los principios del Derecho de la Unión Europea en materia de control del gasto público, como dique de contención en la lucha contra el fraude y la corrupción política</w:t>
      </w:r>
    </w:p>
    <w:p w14:paraId="12B79BFC" w14:textId="77777777" w:rsidR="003754FE" w:rsidRDefault="003754FE" w:rsidP="003754FE">
      <w:pPr>
        <w:pStyle w:val="TextoNormal"/>
      </w:pPr>
    </w:p>
    <w:p w14:paraId="0406D981" w14:textId="77777777" w:rsidR="003754FE" w:rsidRDefault="003754FE" w:rsidP="003754FE">
      <w:pPr>
        <w:pStyle w:val="TextoNormal"/>
      </w:pPr>
      <w:r>
        <w:t>Si bien el Derecho de la Unión Europea no es directamente aplicable en el asunto que nos ocupa, al no tener los fondos públicos malversados origen comunitario, no puede desconocerse que los principios del Derecho de la Unión sobre el control del gasto público son muy relevantes para analizar la regularidad de la actuación de los gestores de los caudales públicos. En tal sentido, no me parece aventurado afirmar que esa gestión, en el conocido como “caso de los ERE de Andalucía”, y como se desprende de las sentencias condenatorias que se impugnan en amparo, ha sido contraria no solo a los principios del Derecho interno, sino también a los principios del Derecho de la Unión Europea.</w:t>
      </w:r>
    </w:p>
    <w:p w14:paraId="55C4414D" w14:textId="77777777" w:rsidR="003754FE" w:rsidRDefault="003754FE" w:rsidP="003754FE">
      <w:pPr>
        <w:pStyle w:val="TextoNormal"/>
      </w:pPr>
    </w:p>
    <w:p w14:paraId="0251994C" w14:textId="77777777" w:rsidR="003754FE" w:rsidRDefault="003754FE" w:rsidP="003754FE">
      <w:pPr>
        <w:pStyle w:val="TextoNormal"/>
      </w:pPr>
      <w:r>
        <w:t>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peligro los intereses financieros del poder público y sería, contraria al Derecho de la Unión Europea.</w:t>
      </w:r>
    </w:p>
    <w:p w14:paraId="3F01057E" w14:textId="77777777" w:rsidR="003754FE" w:rsidRDefault="003754FE" w:rsidP="003754FE">
      <w:pPr>
        <w:pStyle w:val="TextoNormal"/>
      </w:pPr>
    </w:p>
    <w:p w14:paraId="3CCD14C6" w14:textId="77777777" w:rsidR="003754FE" w:rsidRDefault="003754FE" w:rsidP="003754FE">
      <w:pPr>
        <w:pStyle w:val="TextoNormal"/>
      </w:pPr>
      <w: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el fraude. Conforme al art. 325 del Tratado de funcionamiento de la Unión Europea (TFUE), relativo a la lucha contra el fraude, “1. La Unión y los Estados miembros </w:t>
      </w:r>
      <w:r w:rsidRPr="003754FE">
        <w:rPr>
          <w:i/>
        </w:rPr>
        <w:t>combatirán el fraude y toda actividad ilegal</w:t>
      </w:r>
      <w:r>
        <w:t xml:space="preserve"> que afecte a los intereses financieros de la Unión mediante medidas adoptadas en virtud de lo dispuesto en el presente artículo, que deberán tener un </w:t>
      </w:r>
      <w:r w:rsidRPr="003754FE">
        <w:rPr>
          <w:i/>
        </w:rPr>
        <w:t>efecto disuasorio</w:t>
      </w:r>
      <w:r>
        <w:t xml:space="preserve"> y ser capaces de ofrecer una protección eficaz en los Estados miembros y en las instituciones, órganos y organismos de la Unión. 2. Los Estados miembros adoptarán para combatir el fraude que afecte a los intereses financieros de la Unión </w:t>
      </w:r>
      <w:r w:rsidRPr="003754FE">
        <w:rPr>
          <w:i/>
        </w:rPr>
        <w:t>las mismas medidas</w:t>
      </w:r>
      <w:r>
        <w:t xml:space="preserve"> que para combatir el fraude que afecte a sus propios intereses financieros”.</w:t>
      </w:r>
    </w:p>
    <w:p w14:paraId="5680119A" w14:textId="77777777" w:rsidR="003754FE" w:rsidRDefault="003754FE" w:rsidP="003754FE">
      <w:pPr>
        <w:pStyle w:val="TextoNormal"/>
      </w:pPr>
    </w:p>
    <w:p w14:paraId="1FDC9721" w14:textId="77777777" w:rsidR="003754FE" w:rsidRDefault="003754FE" w:rsidP="003754FE">
      <w:pPr>
        <w:pStyle w:val="TextoNormal"/>
      </w:pPr>
      <w:r>
        <w:t xml:space="preserve">En cuanto a los principios que debe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STJUE de 21 de diciembre de 2021, </w:t>
      </w:r>
      <w:r w:rsidRPr="003754FE">
        <w:rPr>
          <w:i/>
        </w:rPr>
        <w:t xml:space="preserve">Euro </w:t>
      </w:r>
      <w:r w:rsidRPr="003754FE">
        <w:rPr>
          <w:i/>
        </w:rPr>
        <w:lastRenderedPageBreak/>
        <w:t>Box Promotion y otros</w:t>
      </w:r>
      <w:r>
        <w:t>, asuntos acumulados C‑357/19, C‑379/19, C‑547/19, C‑811/19 y C‑840/19 (y jurisprudencia citada en esta), recordando las líneas más importantes de esa doctrina, de las que interesa destacar las siguientes.</w:t>
      </w:r>
    </w:p>
    <w:p w14:paraId="17F823CD" w14:textId="77777777" w:rsidR="003754FE" w:rsidRDefault="003754FE" w:rsidP="003754FE">
      <w:pPr>
        <w:pStyle w:val="TextoNormal"/>
      </w:pPr>
    </w:p>
    <w:p w14:paraId="016C157E" w14:textId="77777777" w:rsidR="003754FE" w:rsidRDefault="003754FE" w:rsidP="003754FE">
      <w:pPr>
        <w:pStyle w:val="TextoNormal"/>
      </w:pPr>
      <w:r>
        <w:t xml:space="preserve">a) Por lo que se refiere a las obligaciones derivadas del art. 325.1 TFUE, esta disposición impone a los Estados miembros el deber de luchar contra el fraude y </w:t>
      </w:r>
      <w:r w:rsidRPr="003754FE">
        <w:rPr>
          <w:i/>
        </w:rPr>
        <w:t>toda actividad ilegal que afecte a los intereses financieros</w:t>
      </w:r>
      <w:r>
        <w:t xml:space="preserve"> de la Unión mediante medidas disuasorias y eficaces. Medidas de lucha que deben ser equivalente a las medias implementadas en el ámbito nacional.</w:t>
      </w:r>
    </w:p>
    <w:p w14:paraId="38B4F650" w14:textId="77777777" w:rsidR="003754FE" w:rsidRDefault="003754FE" w:rsidP="003754FE">
      <w:pPr>
        <w:pStyle w:val="TextoNormal"/>
      </w:pPr>
    </w:p>
    <w:p w14:paraId="17FEB143" w14:textId="77777777" w:rsidR="003754FE" w:rsidRDefault="003754FE" w:rsidP="003754FE">
      <w:pPr>
        <w:pStyle w:val="TextoNormal"/>
      </w:pPr>
      <w:r>
        <w:t xml:space="preserve">b) Por otra parte, en lo referente a la expresión “toda actividad ilegal”, que figura en el art. 325.1 TFUE, recuerda el Tribunal de Justicia que ese concepto comprende en particular todo acto de corrupción de los funcionarios o todo </w:t>
      </w:r>
      <w:r w:rsidRPr="003754FE">
        <w:rPr>
          <w:i/>
        </w:rPr>
        <w:t>abuso</w:t>
      </w:r>
      <w:r>
        <w:t xml:space="preserve">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acción, como ocurre, por ejemplo, </w:t>
      </w:r>
      <w:r w:rsidRPr="003754FE">
        <w:rPr>
          <w:i/>
        </w:rPr>
        <w:t>con la omisión por parte de un funcionario de efectuar los controles y las comprobaciones exigidas respecto de los gastos cubiertos por el presupuesto de la Unión o la autorización de gastos inadecuados o incorrectos de los fondos de la Unión</w:t>
      </w:r>
      <w:r>
        <w:t>.</w:t>
      </w:r>
    </w:p>
    <w:p w14:paraId="455B94F9" w14:textId="77777777" w:rsidR="003754FE" w:rsidRDefault="003754FE" w:rsidP="003754FE">
      <w:pPr>
        <w:pStyle w:val="TextoNormal"/>
      </w:pPr>
    </w:p>
    <w:p w14:paraId="4BD820BB" w14:textId="77777777" w:rsidR="003754FE" w:rsidRDefault="003754FE" w:rsidP="003754FE">
      <w:pPr>
        <w:pStyle w:val="TextoNormal"/>
      </w:pPr>
      <w:r>
        <w:t xml:space="preserve">c) Además, subraya el Tribunal de Justicia que los Estados deben garantizar que las normas de Derecho penal y de procedimiento penal permitan una represión eficaz de los delitos de fraude que afecten a los intereses financieros de la Unión y </w:t>
      </w:r>
      <w:r w:rsidRPr="003754FE">
        <w:rPr>
          <w:i/>
        </w:rPr>
        <w:t>de corrupción en general</w:t>
      </w:r>
      <w:r>
        <w:t xml:space="preserve">. Esta exigencia de efectividad se extiende necesariamente tanto a las acciones penales y a las sanciones de los delitos de fraude que afecten a los intereses financieros de la Unión y de </w:t>
      </w:r>
      <w:r w:rsidRPr="003754FE">
        <w:rPr>
          <w:i/>
        </w:rPr>
        <w:t>corrupción en general</w:t>
      </w:r>
      <w:r>
        <w:t xml:space="preserve"> como a la aplicación de las penas impuestas, en la medida en que, de no existir una ejecución efectiva de las sanciones, estas no pueden ser eficaces y disuasorias; todo ello para evitar un </w:t>
      </w:r>
      <w:r w:rsidRPr="003754FE">
        <w:rPr>
          <w:i/>
        </w:rPr>
        <w:t>riesgo sistémico de impunidad</w:t>
      </w:r>
      <w:r>
        <w:t xml:space="preserve"> de los hechos constitutivos de tales delitos, así como garantizar la protección de los derechos fundamentales de las personas acusadas.</w:t>
      </w:r>
    </w:p>
    <w:p w14:paraId="080F6DDA" w14:textId="77777777" w:rsidR="003754FE" w:rsidRDefault="003754FE" w:rsidP="003754FE">
      <w:pPr>
        <w:pStyle w:val="TextoNormal"/>
      </w:pPr>
    </w:p>
    <w:p w14:paraId="09238CBF" w14:textId="77777777" w:rsidR="003754FE" w:rsidRDefault="003754FE" w:rsidP="003754FE">
      <w:pPr>
        <w:pStyle w:val="TextoNormal"/>
      </w:pPr>
      <w:r>
        <w:t xml:space="preserve">Por otra parte, a los órganos jurisdiccionales nacionales les corresponde dar plenos efectos a las obligaciones que resultan del art. 325.1 TFUE, así como de la Decisión 2006/928, y </w:t>
      </w:r>
      <w:r w:rsidRPr="003754FE">
        <w:rPr>
          <w:i/>
        </w:rPr>
        <w:t>dejar sin aplicación disposiciones internas que, en el marco de un procedimiento relativo a delitos graves de fraude que afecten a los intereses financieros de la Unión o a delitos de corrupción en general, impiden la aplicación de sanciones eficaces y disuasorias para luchar contra tales delitos</w:t>
      </w:r>
      <w:r>
        <w:t>.</w:t>
      </w:r>
    </w:p>
    <w:p w14:paraId="7C25B47F" w14:textId="77777777" w:rsidR="003754FE" w:rsidRDefault="003754FE" w:rsidP="003754FE">
      <w:pPr>
        <w:pStyle w:val="TextoNormal"/>
      </w:pPr>
    </w:p>
    <w:p w14:paraId="2F1080AE" w14:textId="77777777" w:rsidR="003754FE" w:rsidRDefault="003754FE" w:rsidP="003754FE">
      <w:pPr>
        <w:pStyle w:val="TextoNormal"/>
      </w:pPr>
      <w:r>
        <w:t xml:space="preserve">Pues bien, teniendo en cuenta que, </w:t>
      </w:r>
      <w:r w:rsidRPr="003754FE">
        <w:rPr>
          <w:i/>
        </w:rPr>
        <w:t>ex</w:t>
      </w:r>
      <w:r>
        <w:t xml:space="preserve">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el recurrente. Lo que entre otras cosas significa que no existe razón para entender que el control interno de esa gestión de </w:t>
      </w:r>
      <w:r>
        <w:lastRenderedPageBreak/>
        <w:t>fondos públicos deba ser menos intenso que el que se aplicaría si los fondos malversados hubieran sido europeos.</w:t>
      </w:r>
    </w:p>
    <w:p w14:paraId="613FE41E" w14:textId="77777777" w:rsidR="003754FE" w:rsidRDefault="003754FE" w:rsidP="003754FE">
      <w:pPr>
        <w:pStyle w:val="TextoNormal"/>
      </w:pPr>
    </w:p>
    <w:p w14:paraId="2A3DA41D" w14:textId="77777777" w:rsidR="003754FE" w:rsidRDefault="003754FE" w:rsidP="003754FE">
      <w:pPr>
        <w:pStyle w:val="TextoNormal"/>
      </w:pPr>
      <w:r>
        <w:t>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el recurrente y el resto de implicados de la Junta de Andalucía pretendiesen a partir de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14:paraId="05CD27B9" w14:textId="77777777" w:rsidR="003754FE" w:rsidRDefault="003754FE" w:rsidP="003754FE">
      <w:pPr>
        <w:pStyle w:val="TextoNormal"/>
      </w:pPr>
    </w:p>
    <w:p w14:paraId="43D0A79F" w14:textId="77777777" w:rsidR="003754FE" w:rsidRDefault="003754FE" w:rsidP="003754FE">
      <w:pPr>
        <w:pStyle w:val="TextoNormal"/>
      </w:pPr>
      <w:r>
        <w:t>En todo caso, es cierto que ha quedado acreditado, como resulta de las sentencias impugnadas en amparo, que en el conocido como “caso de los ERE de Andalucía”, se buscó de manera intencionada la elusión de los controles ordinarios del gasto público, lo que supuso 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14:paraId="4D9BCE19" w14:textId="77777777" w:rsidR="003754FE" w:rsidRDefault="003754FE" w:rsidP="003754FE">
      <w:pPr>
        <w:pStyle w:val="TextoNormal"/>
      </w:pPr>
    </w:p>
    <w:p w14:paraId="4BB52504" w14:textId="77777777" w:rsidR="003754FE" w:rsidRDefault="003754FE" w:rsidP="003754FE">
      <w:pPr>
        <w:pStyle w:val="TextoNormal"/>
      </w:pPr>
      <w:r>
        <w:t>En definitiva, llama poderosamente la atención el elocuente contraste entre la protección reforzada que la Unión Europea atribuye al delito de malversación de caudales públicos y la respuesta dada por esta y las restantes sentencias de este tribunal a uno de los casos más graves de corrupción política institucionalizada en España. Una sentencia que no ha dudado en desbordar los límites del control que a este tribunal corresponden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penal que no puede calificarse de imprevisible ni irrazonable, habían condenado al demandante de amparo como autor de un delito de prevaricación. Por eso, resulta especialmente difícil conciliar la decisión de la sentencia de este tribunal, que conduce a la postre a dejar impunes unas conductas de especial gravedad cometidas por unos concretos responsables políticos en el desempeño de sus funciones públicas, con el esfuerzo de la Unión Europea por eliminar márgenes de impunidad para prevenir la corrupción política.</w:t>
      </w:r>
    </w:p>
    <w:p w14:paraId="361688BD" w14:textId="77777777" w:rsidR="003754FE" w:rsidRDefault="003754FE" w:rsidP="003754FE">
      <w:pPr>
        <w:pStyle w:val="TextoNormal"/>
      </w:pPr>
    </w:p>
    <w:p w14:paraId="3E726B37" w14:textId="77777777" w:rsidR="003754FE" w:rsidRDefault="003754FE" w:rsidP="003754FE">
      <w:pPr>
        <w:pStyle w:val="TextoNormal"/>
      </w:pPr>
      <w:r>
        <w:t xml:space="preserve">5. </w:t>
      </w:r>
      <w:r w:rsidRPr="003754FE">
        <w:rPr>
          <w:i/>
        </w:rPr>
        <w:t>Colofón: las sentencias impugnadas en amparo no vulneraron el derecho del recurrente a la legalidad penal</w:t>
      </w:r>
    </w:p>
    <w:p w14:paraId="680953FC" w14:textId="77777777" w:rsidR="003754FE" w:rsidRDefault="003754FE" w:rsidP="003754FE">
      <w:pPr>
        <w:pStyle w:val="TextoNormal"/>
      </w:pPr>
    </w:p>
    <w:p w14:paraId="747510D3" w14:textId="77777777" w:rsidR="003754FE" w:rsidRDefault="003754FE" w:rsidP="003754FE">
      <w:pPr>
        <w:pStyle w:val="TextoNormal"/>
      </w:pPr>
      <w:r>
        <w:t xml:space="preserve">En suma, para la mayoría del Tribunal en la sentencia de la que disiento, la actuación del recurrente estaba en todo momento amparada en la ley, careciendo de trascendencia penal desde la perspectiva del derecho a la legalidad penal (previsibilidad). Y ello porque nadie </w:t>
      </w:r>
      <w:r>
        <w:lastRenderedPageBreak/>
        <w:t>podía prever racionalmente que por cumplir escrupulosamente la ley se pudiese estar incumpliendo esta.</w:t>
      </w:r>
    </w:p>
    <w:p w14:paraId="6434F476" w14:textId="77777777" w:rsidR="003754FE" w:rsidRDefault="003754FE" w:rsidP="003754FE">
      <w:pPr>
        <w:pStyle w:val="TextoNormal"/>
      </w:pPr>
    </w:p>
    <w:p w14:paraId="4D5A5EC4" w14:textId="77777777" w:rsidR="003754FE" w:rsidRDefault="003754FE" w:rsidP="003754FE">
      <w:pPr>
        <w:pStyle w:val="TextoNormal"/>
      </w:pPr>
      <w:r>
        <w:t>Discrepo no solo por lo ya manifestado sobre la errónea configuración salvífica de la ley de presupuestos, sino porque entiendo que el Tribunal se ha extralimitado en su función de control, al haberse injerido en el ámbito de la jurisdicción ordinaria (arts. 117.1 y 123.1 CE) y efectuado una interpretación extensiva e injustificada del canon de enjuiciamiento constitucional sobre la legalidad penal.</w:t>
      </w:r>
    </w:p>
    <w:p w14:paraId="5576C0AC" w14:textId="77777777" w:rsidR="003754FE" w:rsidRDefault="003754FE" w:rsidP="003754FE">
      <w:pPr>
        <w:pStyle w:val="TextoNormal"/>
      </w:pPr>
    </w:p>
    <w:p w14:paraId="66F523DA" w14:textId="77777777" w:rsidR="003754FE" w:rsidRDefault="003754FE" w:rsidP="003754FE">
      <w:pPr>
        <w:pStyle w:val="TextoNormal"/>
      </w:pPr>
      <w:r>
        <w:t>Las sentencias recurridas en amparo han efectuado una interpretación razonada de los elementos típicos del delito de prevaricación, y que su aplicación al caso en dichas resoluciones judiciales supera sin dificultad el canon de control referido a la prohibición de interpretaciones “ilógicas” o “arbitrarias” que impone el art. 25.1 CE, conforme a la doctrina consolidada de este tribunal. La subsunción de la conducta del recurrente, a partir de los hechos declarados probados [sobre los que a este tribunal nada le cabe decir: art. 44.1 b) LOTC], en el delito de prevaricación, que han efectuado la Audiencia Provincial de Sevilla y especialmente el Tribunal Supremo como órgano jurisdiccional superior en la materia (art. 123.1 CE), no es irrazonable ni imprevisible ni, por consiguiente, contraria al derecho fundamental a la legalidad penal que garantiza el art. 25.1 CE. La sentencia de este tribunal incurre en un claro exceso de jurisdicción, al suplantar a los órganos judiciales del orden penal en la función que constitucionalmente les correspond</w:t>
      </w:r>
      <w:r w:rsidRPr="003754FE">
        <w:rPr>
          <w:i/>
        </w:rPr>
        <w:t xml:space="preserve">e </w:t>
      </w:r>
      <w:r>
        <w:t>ex art. 117.3 CE.</w:t>
      </w:r>
    </w:p>
    <w:p w14:paraId="2B31D09B" w14:textId="77777777" w:rsidR="003754FE" w:rsidRDefault="003754FE" w:rsidP="003754FE">
      <w:pPr>
        <w:pStyle w:val="TextoNormal"/>
      </w:pPr>
    </w:p>
    <w:p w14:paraId="313CC9B6" w14:textId="77777777" w:rsidR="003754FE" w:rsidRDefault="003754FE" w:rsidP="003754FE">
      <w:pPr>
        <w:pStyle w:val="TextoNormal"/>
      </w:pPr>
      <w:r>
        <w:t>Por todo ello, considero que el recurso de amparo debió ser íntegramente desestimado.</w:t>
      </w:r>
    </w:p>
    <w:p w14:paraId="6E43F3C0" w14:textId="77777777" w:rsidR="003754FE" w:rsidRDefault="003754FE" w:rsidP="003754FE">
      <w:pPr>
        <w:pStyle w:val="TextoNormal"/>
      </w:pPr>
    </w:p>
    <w:p w14:paraId="0253D9EC" w14:textId="77777777" w:rsidR="003754FE" w:rsidRDefault="003754FE" w:rsidP="003754FE">
      <w:pPr>
        <w:pStyle w:val="TextoNormal"/>
      </w:pPr>
      <w:r>
        <w:t>6</w:t>
      </w:r>
      <w:r w:rsidRPr="003754FE">
        <w:rPr>
          <w:i/>
        </w:rPr>
        <w:t>. A modo de epílogo decepcionado, con una necesaria llamada de advertenc</w:t>
      </w:r>
      <w:r>
        <w:t>ia</w:t>
      </w:r>
    </w:p>
    <w:p w14:paraId="42321F3D" w14:textId="77777777" w:rsidR="003754FE" w:rsidRDefault="003754FE" w:rsidP="003754FE">
      <w:pPr>
        <w:pStyle w:val="TextoNormal"/>
      </w:pPr>
    </w:p>
    <w:p w14:paraId="438871DA" w14:textId="77777777" w:rsidR="003754FE" w:rsidRDefault="003754FE" w:rsidP="003754FE">
      <w:pPr>
        <w:pStyle w:val="TextoNormal"/>
      </w:pPr>
      <w:r>
        <w:t>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14:paraId="4B5C4688" w14:textId="77777777" w:rsidR="003754FE" w:rsidRDefault="003754FE" w:rsidP="003754FE">
      <w:pPr>
        <w:pStyle w:val="TextoNormal"/>
      </w:pPr>
    </w:p>
    <w:p w14:paraId="5B13861E" w14:textId="77777777" w:rsidR="003754FE" w:rsidRDefault="003754FE" w:rsidP="003754FE">
      <w:pPr>
        <w:pStyle w:val="TextoNormal"/>
      </w:pPr>
      <w:r>
        <w:t>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prestidigitador, pues las leyes de presupuestos andaluzas a las que se refiere la sentencia de este tribunal en ningún momento establecen aquello que esta sentencia afirma, la pretendida modificación o eliminación del régimen de controles de las ayudas y subvenciones previsto en la normativa aplicable.</w:t>
      </w:r>
    </w:p>
    <w:p w14:paraId="6B691F94" w14:textId="77777777" w:rsidR="003754FE" w:rsidRDefault="003754FE" w:rsidP="003754FE">
      <w:pPr>
        <w:pStyle w:val="TextoNormal"/>
      </w:pPr>
    </w:p>
    <w:p w14:paraId="5E02285A" w14:textId="77777777" w:rsidR="003754FE" w:rsidRDefault="003754FE" w:rsidP="003754FE">
      <w:pPr>
        <w:pStyle w:val="TextoNormal"/>
      </w:pPr>
      <w:r>
        <w:t xml:space="preserve">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w:t>
      </w:r>
      <w:r>
        <w:lastRenderedPageBreak/>
        <w:t>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precepto de la ley de presupuestos remite, por ser esas partidas presupuestarias necesarias para dar cumplimiento al mandato que aquel precepto contiene.</w:t>
      </w:r>
    </w:p>
    <w:p w14:paraId="1FA1090E" w14:textId="77777777" w:rsidR="003754FE" w:rsidRDefault="003754FE" w:rsidP="003754FE">
      <w:pPr>
        <w:pStyle w:val="TextoNormal"/>
      </w:pPr>
    </w:p>
    <w:p w14:paraId="543C5805" w14:textId="77777777" w:rsidR="003754FE" w:rsidRDefault="003754FE" w:rsidP="003754FE">
      <w:pPr>
        <w:pStyle w:val="TextoNormal"/>
      </w:pPr>
      <w:r>
        <w:t>En todo caso, es obvio que una ley sobre la que pudieran pesar sospechas fundadas de inconstitucionalidad despliega plenos efectos en tanto no sea derogada o este tribunal no la haya expulsado del ordenamiento jurídico al conocer de un proceso de inconstitucionalidad. Más ¿qué tiene que ver que la ley, mientras no haya sido declarada inconstitucional, siga siendo ley, con que la conducta de quienes se han servido de ella para desviar fondos públicos sea delictiva?</w:t>
      </w:r>
    </w:p>
    <w:p w14:paraId="4D61DD7A" w14:textId="77777777" w:rsidR="003754FE" w:rsidRDefault="003754FE" w:rsidP="003754FE">
      <w:pPr>
        <w:pStyle w:val="TextoNormal"/>
      </w:pPr>
    </w:p>
    <w:p w14:paraId="134FED53" w14:textId="77777777" w:rsidR="003754FE" w:rsidRDefault="003754FE" w:rsidP="003754FE">
      <w:pPr>
        <w:pStyle w:val="TextoNormal"/>
      </w:pPr>
      <w:r>
        <w:t>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14:paraId="2BB18F7E" w14:textId="77777777" w:rsidR="003754FE" w:rsidRDefault="003754FE" w:rsidP="003754FE">
      <w:pPr>
        <w:pStyle w:val="TextoNormal"/>
      </w:pPr>
    </w:p>
    <w:p w14:paraId="11114C98" w14:textId="77777777" w:rsidR="003754FE" w:rsidRDefault="003754FE" w:rsidP="003754FE">
      <w:pPr>
        <w:pStyle w:val="TextoNormal"/>
      </w:pPr>
      <w:r>
        <w:t>Si, como decía García de Enterría, la justicia constitucional trata los problemas políticos con criterios jurídicos, poniendo la razón, la razón del Derecho, donde otros ponen otros motivos, pasiones o subjetivismos varios, me parece incuestionable que la presente sentencia, de la que respetuosa pero enérgicamente discrepo, hace tambalearse los pilares básicos del Estado de Derecho, por cuanto:</w:t>
      </w:r>
    </w:p>
    <w:p w14:paraId="1E8651EB" w14:textId="77777777" w:rsidR="003754FE" w:rsidRDefault="003754FE" w:rsidP="003754FE">
      <w:pPr>
        <w:pStyle w:val="TextoNormal"/>
      </w:pPr>
    </w:p>
    <w:p w14:paraId="14D0650D" w14:textId="77777777" w:rsidR="003754FE" w:rsidRDefault="003754FE" w:rsidP="003754FE">
      <w:pPr>
        <w:pStyle w:val="TextoNormal"/>
      </w:pPr>
      <w:r>
        <w:t>(i)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14:paraId="2BEA124B" w14:textId="77777777" w:rsidR="003754FE" w:rsidRDefault="003754FE" w:rsidP="003754FE">
      <w:pPr>
        <w:pStyle w:val="TextoNormal"/>
      </w:pPr>
    </w:p>
    <w:p w14:paraId="008599DD" w14:textId="77777777" w:rsidR="003754FE" w:rsidRDefault="003754FE" w:rsidP="003754FE">
      <w:pPr>
        <w:pStyle w:val="TextoNormal"/>
      </w:pPr>
      <w:r>
        <w:t>(ii)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olvidando que la jurisdicción constitucional debe evitar (por su propia naturaleza de jurisdicción de garantías) caer por desfiladeros abruptos.</w:t>
      </w:r>
    </w:p>
    <w:p w14:paraId="78D78236" w14:textId="77777777" w:rsidR="003754FE" w:rsidRDefault="003754FE" w:rsidP="003754FE">
      <w:pPr>
        <w:pStyle w:val="TextoNormal"/>
      </w:pPr>
    </w:p>
    <w:p w14:paraId="66277E73" w14:textId="77777777" w:rsidR="003754FE" w:rsidRDefault="003754FE" w:rsidP="003754FE">
      <w:pPr>
        <w:pStyle w:val="TextoNormal"/>
      </w:pPr>
      <w:r>
        <w:lastRenderedPageBreak/>
        <w:t>(iii) Contraviene los arts. 9.3, 31.2, 103.1, 105 y 106.1 CE, al dejar de lado los principios en que se ha de basa</w:t>
      </w:r>
      <w:r w:rsidRPr="003754FE">
        <w:rPr>
          <w:i/>
        </w:rPr>
        <w:t>r ex constitutio</w:t>
      </w:r>
      <w:r>
        <w:t>ne la actuación de la administración pública.</w:t>
      </w:r>
    </w:p>
    <w:p w14:paraId="4B7FEAD6" w14:textId="77777777" w:rsidR="003754FE" w:rsidRDefault="003754FE" w:rsidP="003754FE">
      <w:pPr>
        <w:pStyle w:val="TextoNormal"/>
      </w:pPr>
    </w:p>
    <w:p w14:paraId="77B1D6F0" w14:textId="77777777" w:rsidR="003754FE" w:rsidRDefault="003754FE" w:rsidP="003754FE">
      <w:pPr>
        <w:pStyle w:val="TextoNormal"/>
      </w:pPr>
      <w:r>
        <w:t>(iv)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14:paraId="2CC1D699" w14:textId="77777777" w:rsidR="003754FE" w:rsidRDefault="003754FE" w:rsidP="003754FE">
      <w:pPr>
        <w:pStyle w:val="TextoNormal"/>
      </w:pPr>
    </w:p>
    <w:p w14:paraId="344C9B0F" w14:textId="77777777" w:rsidR="003754FE" w:rsidRDefault="003754FE" w:rsidP="003754FE">
      <w:pPr>
        <w:pStyle w:val="TextoNormal"/>
      </w:pPr>
      <w:r>
        <w:t>Mediante un control meramente formal y un análisis estanco de cada una de las partes de la trama del “caso de los ERE de Andalucía”, ha dejado sin efecto el reproche penal de las sentencias impugnadas en amparo, trasmitiendo así a la ciudadanía que la corrupción política es un medio válido de actuación de los poderes públicos, mientras lo hagan bajo la pretendida cobertura formal de un artificio legal ideado precisamente por aquellos que pretendían eludir el control del gasto público.</w:t>
      </w:r>
    </w:p>
    <w:p w14:paraId="7196A846" w14:textId="77777777" w:rsidR="003754FE" w:rsidRDefault="003754FE" w:rsidP="003754FE">
      <w:pPr>
        <w:pStyle w:val="TextoNormal"/>
      </w:pPr>
    </w:p>
    <w:p w14:paraId="3139E1D7" w14:textId="77777777" w:rsidR="003754FE" w:rsidRDefault="003754FE" w:rsidP="003754FE">
      <w:pPr>
        <w:pStyle w:val="TextoNormal"/>
      </w:pPr>
      <w:r>
        <w:t>(v) Y, en fin, contraviene los principios nucleares en la materia del Derecho de la Unión Europea.</w:t>
      </w:r>
    </w:p>
    <w:p w14:paraId="6A0F9DD2" w14:textId="77777777" w:rsidR="003754FE" w:rsidRDefault="003754FE" w:rsidP="003754FE">
      <w:pPr>
        <w:pStyle w:val="TextoNormal"/>
      </w:pPr>
    </w:p>
    <w:p w14:paraId="269251DD" w14:textId="77777777" w:rsidR="003754FE" w:rsidRDefault="003754FE" w:rsidP="003754FE">
      <w:pPr>
        <w:pStyle w:val="TextoNormal"/>
      </w:pPr>
      <w:r>
        <w:t>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Ninguno de los argumentos que he defendido en el Pleno y expuesto en mis votos particulares a anteriores sentencias de esta serie del “caso ERE de Andalucía” ha sido rebatido o contestado; ni siquiera una coma de las iniciales sentencias de esta serie ha sido cambiada de sitio.</w:t>
      </w:r>
    </w:p>
    <w:p w14:paraId="0846B0B4" w14:textId="77777777" w:rsidR="003754FE" w:rsidRDefault="003754FE" w:rsidP="003754FE">
      <w:pPr>
        <w:pStyle w:val="TextoNormal"/>
      </w:pPr>
    </w:p>
    <w:p w14:paraId="555AAB7C" w14:textId="77777777" w:rsidR="003754FE" w:rsidRDefault="003754FE" w:rsidP="003754FE">
      <w:pPr>
        <w:pStyle w:val="TextoNormal"/>
      </w:pPr>
      <w:r>
        <w:t>La reiteración argumental en este voto puede resultar melancólica, pero responde al cumplimiento del deber que me incumbe como magistrado y a mi convicción de que la deliberación ha de ser el camino irrenunciable para encontrar la luz, particularmente necesaria para el guardián de la Constitución. No estará de más recordar que quien fuera presidente de este tribunal, el magistrado Tomás y Valiente, ya aludió en 1994, en una conferencia titulada “La Constitución y el Tribunal Constitucional”, a “la importancia de las deliberaciones y a 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14:paraId="2AC755D9" w14:textId="77777777" w:rsidR="003754FE" w:rsidRDefault="003754FE" w:rsidP="003754FE">
      <w:pPr>
        <w:pStyle w:val="TextoNormal"/>
      </w:pPr>
    </w:p>
    <w:p w14:paraId="29CD5363" w14:textId="3C3521A0" w:rsidR="003754FE" w:rsidRDefault="003754FE" w:rsidP="003754FE">
      <w:pPr>
        <w:pStyle w:val="TextoNormal"/>
      </w:pPr>
      <w:r>
        <w:t>Madrid, a diecisiete de julio de dos mil veinticuatro.</w:t>
      </w:r>
    </w:p>
    <w:p w14:paraId="0CADA8C5" w14:textId="77777777" w:rsidR="003754FE" w:rsidRDefault="003754FE" w:rsidP="003754FE">
      <w:pPr>
        <w:pStyle w:val="TextoNormal"/>
      </w:pPr>
    </w:p>
    <w:p w14:paraId="29A2C1D9" w14:textId="77777777" w:rsidR="003754FE" w:rsidRDefault="003754FE" w:rsidP="003754FE">
      <w:pPr>
        <w:pStyle w:val="TextoNormalNegritaCentrado"/>
        <w:keepNext/>
      </w:pPr>
      <w:r>
        <w:t>Voto particular que formula la magistrada doña Concepción Espejel Jorquera a la sentencia dictada en el recurso de amparo núm. 2485-2023</w:t>
      </w:r>
    </w:p>
    <w:p w14:paraId="3DFA2327" w14:textId="402369E8" w:rsidR="003754FE" w:rsidRDefault="003754FE" w:rsidP="003754FE">
      <w:pPr>
        <w:pStyle w:val="TextoNormalNegritaCentrado"/>
        <w:keepNext/>
      </w:pPr>
    </w:p>
    <w:p w14:paraId="6AA5605B" w14:textId="77777777" w:rsidR="003754FE" w:rsidRDefault="003754FE" w:rsidP="003754FE">
      <w:pPr>
        <w:pStyle w:val="TextoNormal"/>
      </w:pPr>
      <w:r>
        <w:t xml:space="preserve">En el ejercicio de la facultad conferida en el art. 90.2 de la Ley Orgánica del Tribunal Constitucional, y con el respeto debido a la opinión de los magistrados que han conformado </w:t>
      </w:r>
      <w:r>
        <w:lastRenderedPageBreak/>
        <w:t>la mayoría del Pleno, formulo el presente voto particular por discrepar de la fundamentación y del fallo de la sentencia recaída en el recurso de amparo interpuesto por don Antonio Vicente Lozano Peña, el cual debió ser desestimado, porque las sentencias impugnadas no vulneraron su derecho fundamental a la legalidad penal (art. 25.1 CE).</w:t>
      </w:r>
    </w:p>
    <w:p w14:paraId="589AD672" w14:textId="77777777" w:rsidR="003754FE" w:rsidRDefault="003754FE" w:rsidP="003754FE">
      <w:pPr>
        <w:pStyle w:val="TextoNormal"/>
      </w:pPr>
    </w:p>
    <w:p w14:paraId="2016EA4B" w14:textId="77777777" w:rsidR="003754FE" w:rsidRDefault="003754FE" w:rsidP="003754FE">
      <w:pPr>
        <w:pStyle w:val="TextoNormal"/>
      </w:pPr>
      <w:r>
        <w:t>Me remito, en lo coincidente, a los motivos de mi discrepancia expuestos en el voto particular emitido a la sentencia dictada en el recurso de amparo núm. 7007-2022, así como en los votos particulares formulados tanto a la STC 93/2024, de 19 de junio, como a las SSTC 94/2024, de 2 de julio, y 95/2024, 96/2024, 97/2024 y 98/2024, de 3 de julio.</w:t>
      </w:r>
    </w:p>
    <w:p w14:paraId="37E07F57" w14:textId="77777777" w:rsidR="003754FE" w:rsidRDefault="003754FE" w:rsidP="003754FE">
      <w:pPr>
        <w:pStyle w:val="TextoNormal"/>
      </w:pPr>
    </w:p>
    <w:p w14:paraId="05C8B98B" w14:textId="77777777" w:rsidR="003754FE" w:rsidRDefault="003754FE" w:rsidP="003754FE">
      <w:pPr>
        <w:pStyle w:val="TextoNormal"/>
      </w:pPr>
      <w:r>
        <w:t>1. En primer término, considero que se han realizado descalificaciones gratuitas a la Sala de lo Penal del Tribunal Supremo y a la Sección Primera de la Audiencia Provincial de Sevilla. Entiendo improcedente que se recordara a dichos tribunales los pilares de nuestro sistema constitucional que no ignoraron, y que se les reprochara haber efectuado “una interpretación extravagante e imprevisible de los elementos típicos ‘resolución’ y ‘asunto administrativo’”.</w:t>
      </w:r>
    </w:p>
    <w:p w14:paraId="34E2D3BF" w14:textId="77777777" w:rsidR="003754FE" w:rsidRDefault="003754FE" w:rsidP="003754FE">
      <w:pPr>
        <w:pStyle w:val="TextoNormal"/>
      </w:pPr>
    </w:p>
    <w:p w14:paraId="116D3825" w14:textId="77777777" w:rsidR="003754FE" w:rsidRDefault="003754FE" w:rsidP="003754FE">
      <w:pPr>
        <w:pStyle w:val="TextoNormal"/>
      </w:pPr>
      <w:r>
        <w:t>2. Por otro lado, pongo de relieve nuevamente la omisión en esta sentencia, como en las anteriores, del debido análisis de los razonamientos contenidos en la sentencia de la Sala de lo Penal del Tribunal Supremo sobre el juicio de tipicidad del delito de prevaricación administrativa. Considero que, si los sólidos argumentos contenidos en la sentencia de casación y el relato fáctico de la sentencia de instancia hubieran sido correctamente analizados en las sentencias de este tribunal, de las que discrepo, y si se hubiera contemplado la trama criminal descrita por el Tribunal Supremo en su conjunto, observando el canon de constitucionalidad aplicable en supuestos como los que nos ocupan, ello hubiera debido llevar a la desestimación de los recursos de amparo planteados.</w:t>
      </w:r>
    </w:p>
    <w:p w14:paraId="3FEF5D9A" w14:textId="77777777" w:rsidR="003754FE" w:rsidRDefault="003754FE" w:rsidP="003754FE">
      <w:pPr>
        <w:pStyle w:val="TextoNormal"/>
      </w:pPr>
    </w:p>
    <w:p w14:paraId="37847B7E" w14:textId="77777777" w:rsidR="003754FE" w:rsidRDefault="003754FE" w:rsidP="003754FE">
      <w:pPr>
        <w:pStyle w:val="TextoNormal"/>
      </w:pPr>
      <w:r>
        <w:t>3. Además, y a mi juicio, en estas sentencias se ha desbordado el ámbito reservado a la jurisdicción ordinaria, suplantando la función del Tribunal Supremo como máximo intérprete de la ley.</w:t>
      </w:r>
    </w:p>
    <w:p w14:paraId="52F98078" w14:textId="77777777" w:rsidR="003754FE" w:rsidRDefault="003754FE" w:rsidP="003754FE">
      <w:pPr>
        <w:pStyle w:val="TextoNormal"/>
      </w:pPr>
    </w:p>
    <w:p w14:paraId="48568337" w14:textId="77777777" w:rsidR="003754FE" w:rsidRDefault="003754FE" w:rsidP="003754FE">
      <w:pPr>
        <w:pStyle w:val="TextoNormal"/>
      </w:pPr>
      <w:r>
        <w:t>4. Asimismo, discrepo de la idea que informa gran parte de la sentencia que es que la actividad previa a la remisión por el Gobierno de Andalucía a su Parlamento de los correspondientes proyectos de ley de presupuestos es una actividad que, como inherente a la iniciativa legislativa que le corresponde, se integra en esta y no puede ser objeto de control jurídico. A mi juicio, con refrendo en la regulación establecida en la Ley 39/2015 del procedimiento administrativo común (y por la doctrina sentada en la STC 55/2018, de 24 de mayo), la actividad previa al ejercicio de la iniciativa legislativa es parte de un procedimiento administrativo. No puedo, en consecuencia, compartir el argumento de la sentencia que da a esta actividad la naturaleza de actos de gobierno excluidos de todo control por parte de cualquier órgano jurisdiccional, incluso de su posible enjuiciamiento por la jurisdicción penal.</w:t>
      </w:r>
    </w:p>
    <w:p w14:paraId="79CCAC81" w14:textId="77777777" w:rsidR="003754FE" w:rsidRDefault="003754FE" w:rsidP="003754FE">
      <w:pPr>
        <w:pStyle w:val="TextoNormal"/>
      </w:pPr>
    </w:p>
    <w:p w14:paraId="53BBEB5A" w14:textId="77777777" w:rsidR="003754FE" w:rsidRDefault="003754FE" w:rsidP="003754FE">
      <w:pPr>
        <w:pStyle w:val="TextoNormal"/>
      </w:pPr>
      <w:r>
        <w:t>Considero que el referido planteamiento lleva a consagrar un ámbito de impunidad que es contrario a la Constitución.</w:t>
      </w:r>
    </w:p>
    <w:p w14:paraId="2AFFEBC6" w14:textId="77777777" w:rsidR="003754FE" w:rsidRDefault="003754FE" w:rsidP="003754FE">
      <w:pPr>
        <w:pStyle w:val="TextoNormal"/>
      </w:pPr>
    </w:p>
    <w:p w14:paraId="0EA1E71A" w14:textId="77777777" w:rsidR="003754FE" w:rsidRDefault="003754FE" w:rsidP="003754FE">
      <w:pPr>
        <w:pStyle w:val="TextoNormal"/>
      </w:pPr>
      <w:r>
        <w:t xml:space="preserve">Asimismo, y a diferencia de lo sostenido en esta sentencia, estimo que el incumplimiento de la normativa general sobre subvenciones puede considerarse “arbitraria” por la </w:t>
      </w:r>
      <w:r>
        <w:lastRenderedPageBreak/>
        <w:t>jurisdicción penal, por lo que la respuesta penal de la actuación del recurrente no puede calificarse de imprevisible.</w:t>
      </w:r>
    </w:p>
    <w:p w14:paraId="47F47DED" w14:textId="77777777" w:rsidR="003754FE" w:rsidRDefault="003754FE" w:rsidP="003754FE">
      <w:pPr>
        <w:pStyle w:val="TextoNormal"/>
      </w:pPr>
    </w:p>
    <w:p w14:paraId="7BE151E0" w14:textId="77777777" w:rsidR="003754FE" w:rsidRDefault="003754FE" w:rsidP="003754FE">
      <w:pPr>
        <w:pStyle w:val="TextoNormal"/>
      </w:pPr>
      <w:r>
        <w:t>5. Tampoco comparto la interpretación de las leyes de presupuestos efectuada por las sentencias recurridas. En mi opinión, 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 Resultan, por tanto, infundadas las afirmaciones según las cuales el Tribunal Supremo ha interpretado las leyes de presupuestos de Andalucía para los años 2002, 2003 y 2004 de modo imprevisible.</w:t>
      </w:r>
    </w:p>
    <w:p w14:paraId="6DB9E2FF" w14:textId="77777777" w:rsidR="003754FE" w:rsidRDefault="003754FE" w:rsidP="003754FE">
      <w:pPr>
        <w:pStyle w:val="TextoNormal"/>
      </w:pPr>
    </w:p>
    <w:p w14:paraId="15A6D04E" w14:textId="77777777" w:rsidR="003754FE" w:rsidRDefault="003754FE" w:rsidP="003754FE">
      <w:pPr>
        <w:pStyle w:val="TextoNormal"/>
      </w:pPr>
      <w:r>
        <w:t>En conclusión, no puede considerarse como imprevisible la calificación de la conducta del recurrente como delito de prevaricación administrativa, dados los términos de su descripción en el tipo penal.</w:t>
      </w:r>
    </w:p>
    <w:p w14:paraId="68E46880" w14:textId="77777777" w:rsidR="003754FE" w:rsidRDefault="003754FE" w:rsidP="003754FE">
      <w:pPr>
        <w:pStyle w:val="TextoNormal"/>
      </w:pPr>
    </w:p>
    <w:p w14:paraId="20901277" w14:textId="77777777" w:rsidR="003754FE" w:rsidRDefault="003754FE" w:rsidP="003754FE">
      <w:pPr>
        <w:pStyle w:val="TextoNormal"/>
      </w:pPr>
      <w:r>
        <w:t>6. Reitero que la estimación de la vulneración del art. 25.1 CE por la condena por delito de prevaricación con base en la consideración de que las conductas constitutivas de infracción penal estaban amparadas por las sucesivas leyes de presupuestos también justificaría los fraudes que se enjuician en los procesos diferentes a la “pieza específica” de los responsables políticos, lo que provocaría un estado de impunidad difícilmente soportable. Además, la consecuencia última que pudiera derivar de la decisión del Pleno es que, dada la atipicidad de las conductas o bien la estructura de las causas de justificación (a modo de cumplimiento de un deber o de estado de error de prohibición), a la postre nadie estaría obligado a devolver el dinero defraudado.</w:t>
      </w:r>
    </w:p>
    <w:p w14:paraId="5D557334" w14:textId="77777777" w:rsidR="003754FE" w:rsidRDefault="003754FE" w:rsidP="003754FE">
      <w:pPr>
        <w:pStyle w:val="TextoNormal"/>
      </w:pPr>
    </w:p>
    <w:p w14:paraId="4FF87A79" w14:textId="77777777" w:rsidR="003754FE" w:rsidRDefault="003754FE" w:rsidP="003754FE">
      <w:pPr>
        <w:pStyle w:val="TextoNormal"/>
      </w:pPr>
      <w:r>
        <w:t>7. En conclusión, las sentencias recurridas en amparo han efectuado una interpretación razonada de los elementos del delito de prevaricación y su aplicación al caso, que supera el canon de control referido a la prohibición de interpretaciones “ilógicas” o “arbitrarias” que impone el art. 25.1 CE. La interpretación del delito de prevaricación efectuada por los tribunales penales no era imprevisible ni irrazonable y no es contraria al derecho fundamental a la legalidad penal que garantiza el art. 25.1 CE.</w:t>
      </w:r>
    </w:p>
    <w:p w14:paraId="52F7A456" w14:textId="77777777" w:rsidR="003754FE" w:rsidRDefault="003754FE" w:rsidP="003754FE">
      <w:pPr>
        <w:pStyle w:val="TextoNormal"/>
      </w:pPr>
    </w:p>
    <w:p w14:paraId="7C7E7A81" w14:textId="77777777" w:rsidR="003754FE" w:rsidRDefault="003754FE" w:rsidP="003754FE">
      <w:pPr>
        <w:pStyle w:val="TextoNormal"/>
      </w:pPr>
      <w:r>
        <w:t>8. En definitiva, en esta sentencia, como en las restantes resolutorias de los recursos de amparo planteados contra las sentencias dictadas en la rama política de los ERE, se ha creado un artificio común estereotipado que, desconociendo la doctrina que este tribunal ha venido manteniendo en otros recursos, ha llevado a dar cobertura legal a una trama criminal perfectamente descrita y analizada por el Tribunal Supremo, que ha conducido a la impunidad de la mayor parte de los recurrentes, con una argumentación, de la que discrepo, articulada mediante una pretendida vulneración del principio de legalidad penal.</w:t>
      </w:r>
    </w:p>
    <w:p w14:paraId="688290BF" w14:textId="77777777" w:rsidR="003754FE" w:rsidRDefault="003754FE" w:rsidP="003754FE">
      <w:pPr>
        <w:pStyle w:val="TextoNormal"/>
      </w:pPr>
    </w:p>
    <w:p w14:paraId="281CD73A" w14:textId="77777777" w:rsidR="003754FE" w:rsidRDefault="003754FE" w:rsidP="003754FE">
      <w:pPr>
        <w:pStyle w:val="TextoNormal"/>
      </w:pPr>
      <w:r>
        <w:t xml:space="preserve">Estimo, que el Tribunal ha excedido sus competencias invadiendo las que corresponden al Tribunal Supremo para la interpretación de los tipos penales, para efectuar el juicio de subsunción orillando el canon pacíficamente aplicado en los recursos de amparo. Las sentencias recurridas están ampliamente motivadas, no resultan en modo alguno erróneas o arbitrarias, lo que debió comportar la inadmisión a trámite de los recursos por falta de especial trascendencia constitucional y, en el estadio procesal en el que nos encontramos, a la </w:t>
      </w:r>
      <w:r>
        <w:lastRenderedPageBreak/>
        <w:t>desestimación íntegra de todos los recursos planteados por no haberse vulnerado el principio de legalidad penal y, en su caso, el de presunción de inocencia.</w:t>
      </w:r>
    </w:p>
    <w:p w14:paraId="56210CDB" w14:textId="77777777" w:rsidR="003754FE" w:rsidRDefault="003754FE" w:rsidP="003754FE">
      <w:pPr>
        <w:pStyle w:val="TextoNormal"/>
      </w:pPr>
    </w:p>
    <w:p w14:paraId="315892B5" w14:textId="77777777" w:rsidR="003754FE" w:rsidRDefault="003754FE" w:rsidP="003754FE">
      <w:pPr>
        <w:pStyle w:val="TextoNormal"/>
      </w:pPr>
      <w:r>
        <w:t>Por lo expuesto, formulo el presente voto particular.</w:t>
      </w:r>
    </w:p>
    <w:p w14:paraId="77781573" w14:textId="77777777" w:rsidR="003754FE" w:rsidRDefault="003754FE" w:rsidP="003754FE">
      <w:pPr>
        <w:pStyle w:val="TextoNormal"/>
      </w:pPr>
    </w:p>
    <w:p w14:paraId="0568C6BD" w14:textId="54DBCDEB" w:rsidR="003754FE" w:rsidRDefault="003754FE" w:rsidP="003754FE">
      <w:pPr>
        <w:pStyle w:val="TextoNormal"/>
      </w:pPr>
      <w:r>
        <w:t>Madrid, a diecisiete de julio de dos mil veinticuatro.</w:t>
      </w:r>
    </w:p>
    <w:p w14:paraId="799BF8AA" w14:textId="77777777" w:rsidR="003754FE" w:rsidRDefault="003754FE" w:rsidP="003754FE">
      <w:pPr>
        <w:pStyle w:val="TextoNormal"/>
      </w:pPr>
    </w:p>
    <w:p w14:paraId="47097D49" w14:textId="77777777" w:rsidR="003754FE" w:rsidRDefault="003754FE" w:rsidP="003754FE">
      <w:pPr>
        <w:pStyle w:val="TextoNormalNegritaCentrado"/>
        <w:keepNext/>
      </w:pPr>
      <w:r>
        <w:t>Voto particular que formula el magistrado don César Tolosa Tribiño a la sentencia dictada en el recurso de amparo núm. 2485-2023 interpuesto por don Antonio Vicente Lozano Peña</w:t>
      </w:r>
    </w:p>
    <w:p w14:paraId="54EC3BED" w14:textId="05C3E3DE" w:rsidR="003754FE" w:rsidRDefault="003754FE" w:rsidP="003754FE">
      <w:pPr>
        <w:pStyle w:val="TextoNormalNegritaCentrado"/>
        <w:keepNext/>
      </w:pPr>
    </w:p>
    <w:p w14:paraId="3193D580" w14:textId="77777777" w:rsidR="003754FE" w:rsidRDefault="003754FE" w:rsidP="003754FE">
      <w:pPr>
        <w:pStyle w:val="TextoNormal"/>
      </w:pPr>
      <w:r>
        <w:t>En el ejercicio de la facultad que me confiere el artículo 90.2 de la Ley Orgánica del Tribunal Constitucional formulo el presente voto particular. Considero que el recurso de amparo debió ser desestimado al no existir vulneración del derecho a la legalidad penal en relación con la condena de don Antonio Vicente Lozano Peña por el delito continuado de prevaricación.</w:t>
      </w:r>
    </w:p>
    <w:p w14:paraId="2F5A8D28" w14:textId="77777777" w:rsidR="003754FE" w:rsidRDefault="003754FE" w:rsidP="003754FE">
      <w:pPr>
        <w:pStyle w:val="TextoNormal"/>
      </w:pPr>
    </w:p>
    <w:p w14:paraId="73F98BF0" w14:textId="77777777" w:rsidR="003754FE" w:rsidRDefault="003754FE" w:rsidP="003754FE">
      <w:pPr>
        <w:pStyle w:val="TextoNormal"/>
      </w:pPr>
      <w:r w:rsidRPr="003754FE">
        <w:rPr>
          <w:i/>
        </w:rPr>
        <w:t>Remisión a los votos particulares ya formulados</w:t>
      </w:r>
    </w:p>
    <w:p w14:paraId="3D28AE03" w14:textId="77777777" w:rsidR="003754FE" w:rsidRDefault="003754FE" w:rsidP="003754FE">
      <w:pPr>
        <w:pStyle w:val="TextoNormal"/>
      </w:pPr>
    </w:p>
    <w:p w14:paraId="1A6A18FC" w14:textId="77777777" w:rsidR="003754FE" w:rsidRDefault="003754FE" w:rsidP="003754FE">
      <w:pPr>
        <w:pStyle w:val="TextoNormal"/>
      </w:pPr>
      <w:r>
        <w:t>Don Antonio Vicente Lozano Peña fue condenado como autor de un delito continuado de prevaricación administrativa al considerarse probado que en su condición de director general de Presupuestos de la Junta de Andalucía desde abril de 2002 a abril de 2009, consciente de que se eludía la fiscalización previa, participó en la elaboración de sucesivos anteproyectos de presupuestos y modificaciones presupuestarias en los que se cambió la clasificación presupuestaria, se consignó en concepto de transferencias de financiación a la agencia IFA/IDEA —que debían destinarse a gastos de explotación de IFA/IDEA—, las importantes cantidades de dinero que constan en los hechos probados, para que se pudieran efectuar libérrimamente pagos (“ayudas sociolaborales”), sin la necesaria cobertura presupuestaria, sin la existencia de control alguno y sin el cumplimiento de los requisitos de las normas reguladoras de las subvenciones.</w:t>
      </w:r>
    </w:p>
    <w:p w14:paraId="763F4640" w14:textId="77777777" w:rsidR="003754FE" w:rsidRDefault="003754FE" w:rsidP="003754FE">
      <w:pPr>
        <w:pStyle w:val="TextoNormal"/>
      </w:pPr>
    </w:p>
    <w:p w14:paraId="62D37D01" w14:textId="77777777" w:rsidR="003754FE" w:rsidRDefault="003754FE" w:rsidP="003754FE">
      <w:pPr>
        <w:pStyle w:val="TextoNormal"/>
      </w:pPr>
      <w:r>
        <w:t>La sentencia, frente a la que formulo el presente voto particular, da respuesta al planteamiento del recurrente y para ello se remite a los argumentos expuestos en la STC 93/2024, de 19 de junio —recurso de amparo interpuesto por doña Magdalena Álvarez Arza— en el que partiendo de la premisa del carácter no fiscalizable del contenido del anteproyecto o proyecto de ley y de que sobre los mismos no puede ejercerse más control que el político, concluye que los órganos judiciales han efectuado una interpretación del elemento del tipo del delito de prevaricación administrativa (“resolución arbitraria en un asunto administrativo”) lesiva del derecho a la legalidad penal. Y, en relación con las modificaciones presupuestarias del programa 31L, considera que su calificación como arbitrarias es imprevisible al encontrarse amparadas por las sucesivas leyes de presupuestos.</w:t>
      </w:r>
    </w:p>
    <w:p w14:paraId="5D264A69" w14:textId="77777777" w:rsidR="003754FE" w:rsidRDefault="003754FE" w:rsidP="003754FE">
      <w:pPr>
        <w:pStyle w:val="TextoNormal"/>
      </w:pPr>
    </w:p>
    <w:p w14:paraId="589B5266" w14:textId="77777777" w:rsidR="003754FE" w:rsidRDefault="003754FE" w:rsidP="003754FE">
      <w:pPr>
        <w:pStyle w:val="TextoNormal"/>
      </w:pPr>
      <w:r>
        <w:t xml:space="preserve">La presente sentencia reconoce la vulneración del principio de legalidad penal en relación con la condena por el delito de prevaricación proyectando la doctrina expuesta en la STC 93/2024, luego aplicada en las SSTC 94/2024, de 2 de julio, y 96/2024, 97/2024 y 98/2024,de 3 de julio, por lo que me debo remitir, en lo relativo a la doctrina acuñada en </w:t>
      </w:r>
      <w:r>
        <w:lastRenderedPageBreak/>
        <w:t>dichas sentencias, al razonamiento expuesto en los votos particulares formulados frente a aquellas, debiendo insistir en:</w:t>
      </w:r>
    </w:p>
    <w:p w14:paraId="0C80C3E9" w14:textId="77777777" w:rsidR="003754FE" w:rsidRDefault="003754FE" w:rsidP="003754FE">
      <w:pPr>
        <w:pStyle w:val="TextoNormal"/>
      </w:pPr>
    </w:p>
    <w:p w14:paraId="68E53FA8" w14:textId="77777777" w:rsidR="003754FE" w:rsidRDefault="003754FE" w:rsidP="003754FE">
      <w:pPr>
        <w:pStyle w:val="TextoNormal"/>
      </w:pPr>
      <w:r>
        <w:t>a) El exceso de jurisdicción en que ha incurrido el Tribunal Constitucional al rectificar por vez primera al Tribunal Supremo en la interpretación de un elemento recogido en la descripción de la conducta típica, que socava la jurisdicción del Tribunal Supremo como órgano jurisdiccional superior en todos los órdenes y máxima autoridad jurisdiccional en la función de interpretar y aplicar la legislación vigente (arts. 117.3 y 123.1 CE), convirtiéndose el Tribunal Constitucional en un tribunal de casación.</w:t>
      </w:r>
    </w:p>
    <w:p w14:paraId="3AFEEF31" w14:textId="77777777" w:rsidR="003754FE" w:rsidRDefault="003754FE" w:rsidP="003754FE">
      <w:pPr>
        <w:pStyle w:val="TextoNormal"/>
      </w:pPr>
    </w:p>
    <w:p w14:paraId="64E09C13" w14:textId="77777777" w:rsidR="003754FE" w:rsidRDefault="003754FE" w:rsidP="003754FE">
      <w:pPr>
        <w:pStyle w:val="TextoNormal"/>
      </w:pPr>
      <w:r>
        <w:t>b) La sentencia deja al margen de todo control aquello que tenga que ver con la actividad presupuestaria desde la fase inicial de elaboración de los presupuestos a la fase final de su ejecución y determina la impunidad de los miembros del Gobierno de la Junta de Andalucía en todo lo concerniente a la elaboración, aprobación, ejecución de los presupuestos y a las enmiendas presupuestarias o su ejecución, por lo que quedan desprotegidos entre otros intereses la indemnidad del patrimonio público.</w:t>
      </w:r>
    </w:p>
    <w:p w14:paraId="30C3C5B4" w14:textId="77777777" w:rsidR="003754FE" w:rsidRDefault="003754FE" w:rsidP="003754FE">
      <w:pPr>
        <w:pStyle w:val="TextoNormal"/>
      </w:pPr>
    </w:p>
    <w:p w14:paraId="21B79C2F" w14:textId="77777777" w:rsidR="003754FE" w:rsidRDefault="003754FE" w:rsidP="003754FE">
      <w:pPr>
        <w:pStyle w:val="TextoNormal"/>
      </w:pPr>
      <w:r>
        <w:t>c) La confusión entre la condición de consejero —miembro del Gobierno— con el Gobierno mismo, en que incurre la sentencia, para calificar la aprobación de los anteproyectos y proyectos de leyes de presupuestos como acción del Gobierno.</w:t>
      </w:r>
    </w:p>
    <w:p w14:paraId="4AC075EE" w14:textId="77777777" w:rsidR="003754FE" w:rsidRDefault="003754FE" w:rsidP="003754FE">
      <w:pPr>
        <w:pStyle w:val="TextoNormal"/>
      </w:pPr>
    </w:p>
    <w:p w14:paraId="01E50E4B" w14:textId="77777777" w:rsidR="003754FE" w:rsidRDefault="003754FE" w:rsidP="003754FE">
      <w:pPr>
        <w:pStyle w:val="TextoNormal"/>
      </w:pPr>
      <w:r>
        <w:t>d) La incompatibilidad de la sentencia con la inexistente previsión constitucional de inmunidad de los miembros del Gobierno (arts. 56.3 y 71.1 CE) y con la obligada interpretación estricta y finalista del privilegio de la inviolabilidad y de la inmunidad que determina su inviable proyección a los miembros del Gobierno al no existir dicha previsión constitucional (STC 9/1990, de 18 de enero).</w:t>
      </w:r>
    </w:p>
    <w:p w14:paraId="09780698" w14:textId="77777777" w:rsidR="003754FE" w:rsidRDefault="003754FE" w:rsidP="003754FE">
      <w:pPr>
        <w:pStyle w:val="TextoNormal"/>
      </w:pPr>
    </w:p>
    <w:p w14:paraId="27880A0E" w14:textId="77777777" w:rsidR="003754FE" w:rsidRDefault="003754FE" w:rsidP="003754FE">
      <w:pPr>
        <w:pStyle w:val="TextoNormal"/>
      </w:pPr>
      <w:r>
        <w:t>e) La inadecuación del principio de irresponsabilidad penal establecido en la sentencia con las obligaciones de España derivadas del artículo 325 TFUE, apartado 1, cuando la acuñada doctrina de la irresponsabilidad penal de los miembros del Gobierno tenga su proyección en la protección de los intereses financieros de la Unión Europea.</w:t>
      </w:r>
    </w:p>
    <w:p w14:paraId="1443B639" w14:textId="77777777" w:rsidR="003754FE" w:rsidRDefault="003754FE" w:rsidP="003754FE">
      <w:pPr>
        <w:pStyle w:val="TextoNormal"/>
      </w:pPr>
    </w:p>
    <w:p w14:paraId="0D366100" w14:textId="77777777" w:rsidR="003754FE" w:rsidRDefault="003754FE" w:rsidP="003754FE">
      <w:pPr>
        <w:pStyle w:val="TextoNormal"/>
      </w:pPr>
      <w:r>
        <w:t>f) La corrección constitucional del razonamiento del Tribunal Supremo al calificar los hechos probados como delito de prevaricación administrativa y entender que los anteproyectos y proyectos de ley se incardinan en el tipo “resolución arbitraria en asunto administrativo”, al no poder considerarse la subsunción penal extravagante o imprevisible para sus destinatarios, ni por su soporte metodológico, ni por las pautas valorativas que la inspiran y cuyo contenido se extracta en el voto particular.</w:t>
      </w:r>
    </w:p>
    <w:p w14:paraId="3826ECC4" w14:textId="77777777" w:rsidR="003754FE" w:rsidRDefault="003754FE" w:rsidP="003754FE">
      <w:pPr>
        <w:pStyle w:val="TextoNormal"/>
      </w:pPr>
    </w:p>
    <w:p w14:paraId="7B3E3ECD" w14:textId="77777777" w:rsidR="003754FE" w:rsidRDefault="003754FE" w:rsidP="003754FE">
      <w:pPr>
        <w:pStyle w:val="TextoNormal"/>
      </w:pPr>
      <w:r>
        <w:t>g) Las quiebras lógicas en que incurre el razonamiento de la sentencia que estima el amparo y que se exponen en el apartado 3.2.2 del voto particular a la STC 93/2024, entre las que destaca el argumento por el que se somete el delito consumado de prevaricación administrativa cometido por un miembro del Gobierno al aprobar un proyecto o anteproyecto de ley a una especia de condición resolutoria derivada de la aprobación de la ley por el Parlamento, lo que supone introducir un factor de incertidumbre e imprevisibilidad contrario a la certeza en la que se asienta el principio de legalidad que se dice aplicar.</w:t>
      </w:r>
    </w:p>
    <w:p w14:paraId="723F361B" w14:textId="77777777" w:rsidR="003754FE" w:rsidRDefault="003754FE" w:rsidP="003754FE">
      <w:pPr>
        <w:pStyle w:val="TextoNormal"/>
      </w:pPr>
    </w:p>
    <w:p w14:paraId="0E9C15A5" w14:textId="77777777" w:rsidR="003754FE" w:rsidRDefault="003754FE" w:rsidP="003754FE">
      <w:pPr>
        <w:pStyle w:val="TextoNormal"/>
      </w:pPr>
      <w:r>
        <w:lastRenderedPageBreak/>
        <w:t>h) El insostenible argumento de la sentencia por el que “no puede considerarse ilegal ni indebido otorgar las referidas ayudas, de acuerdo con lo establecido en el programa 31L de las leyes de presupuestos de aquellos años y las memorias que las acompañaban”. Como indica la STS 749/2022 “[l]a aprobación parlamentaria de los distintos créditos presupuestarios no puede ser coartada para justificar los pagos ilegales”. Ninguno de los condenados estaba amparado, ni venía obligado por las sucesivas leyes de presupuestos para cometer los delitos. Las leyes eran neutras en la previsión de transferencias de financiación para gastos de explotación.</w:t>
      </w:r>
    </w:p>
    <w:p w14:paraId="66D99A8E" w14:textId="77777777" w:rsidR="003754FE" w:rsidRDefault="003754FE" w:rsidP="003754FE">
      <w:pPr>
        <w:pStyle w:val="TextoNormal"/>
      </w:pPr>
    </w:p>
    <w:p w14:paraId="7108FAF3" w14:textId="77777777" w:rsidR="003754FE" w:rsidRDefault="003754FE" w:rsidP="003754FE">
      <w:pPr>
        <w:pStyle w:val="TextoNormal"/>
      </w:pPr>
      <w:r>
        <w:t>i) A lo que añadimos ahora, la contradicción con la doctrina de este tribunal en que incurre la sentencia al considerar que fueron la memorias de las leyes de presupuestos las que habilitaban a la administración autonómica a conceder ayudas y de este modo considerar que la disposición libérrima de fondos tenía cobertura presupuestaria, pues dicha afirmación además de insostenible —como se ha indicado— es también contraria no solo a la abundante prueba pericial desplegada en el juicio sino a nuestra propia doctrina en virtud de la cual: “Las memorias de los presupuestos […] en modo alguno pudieron adquirir vigencia con la entrada en vigor de las leyes de presupuestos impugnadas; en realidad, son algo externo o ajeno a las mismas, meras previsiones hipotéticas” (STC 63/1986, de 21 de mayo, FJ 8).</w:t>
      </w:r>
    </w:p>
    <w:p w14:paraId="3778B780" w14:textId="77777777" w:rsidR="003754FE" w:rsidRDefault="003754FE" w:rsidP="003754FE">
      <w:pPr>
        <w:pStyle w:val="TextoNormal"/>
      </w:pPr>
    </w:p>
    <w:p w14:paraId="69D5C003" w14:textId="77777777" w:rsidR="003754FE" w:rsidRDefault="003754FE" w:rsidP="003754FE">
      <w:pPr>
        <w:pStyle w:val="TextoNormal"/>
      </w:pPr>
      <w:r>
        <w:t>Y en este sentido emito el presente voto particular.</w:t>
      </w:r>
    </w:p>
    <w:p w14:paraId="114B07D7" w14:textId="77777777" w:rsidR="003754FE" w:rsidRDefault="003754FE" w:rsidP="003754FE">
      <w:pPr>
        <w:pStyle w:val="TextoNormal"/>
      </w:pPr>
    </w:p>
    <w:p w14:paraId="437CE890" w14:textId="067887F8" w:rsidR="003754FE" w:rsidRDefault="003754FE" w:rsidP="003754FE">
      <w:pPr>
        <w:pStyle w:val="TextoNormal"/>
      </w:pPr>
      <w:r>
        <w:t>Madrid, a diecisiete de julio de dos mil veinticuatro.</w:t>
      </w:r>
    </w:p>
    <w:p w14:paraId="2BF09F7F" w14:textId="4923A38D" w:rsidR="003754FE" w:rsidRDefault="003754FE">
      <w:pPr>
        <w:spacing w:after="160" w:line="278" w:lineRule="auto"/>
        <w:rPr>
          <w:rFonts w:ascii="Times New Roman" w:eastAsia="Times New Roman" w:hAnsi="Times New Roman" w:cs="Times New Roman"/>
          <w:sz w:val="24"/>
          <w:szCs w:val="24"/>
          <w:lang w:eastAsia="es-ES"/>
        </w:rPr>
      </w:pPr>
      <w:r>
        <w:br w:type="page"/>
      </w:r>
    </w:p>
    <w:p w14:paraId="1026D0C9" w14:textId="77777777" w:rsidR="003754FE" w:rsidRDefault="003754FE" w:rsidP="003754FE">
      <w:pPr>
        <w:pStyle w:val="TtuloResolucin"/>
      </w:pPr>
      <w:bookmarkStart w:id="13" w:name="SENTENCIA_2024_104"/>
      <w:r>
        <w:lastRenderedPageBreak/>
        <w:t>SENTENCIA 104/2024, de 9 de septiembre de 2024</w:t>
      </w:r>
    </w:p>
    <w:bookmarkEnd w:id="13"/>
    <w:p w14:paraId="5BDDB51C" w14:textId="77777777" w:rsidR="003754FE" w:rsidRDefault="003754FE" w:rsidP="003754FE">
      <w:pPr>
        <w:pStyle w:val="TtuloResolucin"/>
      </w:pPr>
      <w:r>
        <w:t>Sala Segunda</w:t>
      </w:r>
    </w:p>
    <w:p w14:paraId="1AAC9C0E" w14:textId="77777777" w:rsidR="003754FE" w:rsidRDefault="003754FE" w:rsidP="003754FE">
      <w:pPr>
        <w:pStyle w:val="TtuloBOE"/>
      </w:pPr>
      <w:r>
        <w:t>(BOE núm. 247, de 12 de octubre de 2024)</w:t>
      </w:r>
    </w:p>
    <w:p w14:paraId="7518ED61" w14:textId="77777777" w:rsidR="003754FE" w:rsidRDefault="003754FE" w:rsidP="003754FE">
      <w:pPr>
        <w:pStyle w:val="TextoNormalCentrado"/>
      </w:pPr>
      <w:r>
        <w:t>ECLI:ES:TC:2024:104</w:t>
      </w:r>
    </w:p>
    <w:p w14:paraId="66E19975" w14:textId="77C9002E" w:rsidR="003754FE" w:rsidRDefault="003754FE" w:rsidP="003754FE">
      <w:pPr>
        <w:pStyle w:val="TextoNormalCentrado"/>
      </w:pPr>
    </w:p>
    <w:p w14:paraId="7CF0C1D1" w14:textId="77777777" w:rsidR="003754FE" w:rsidRDefault="003754FE" w:rsidP="003754FE">
      <w:pPr>
        <w:pStyle w:val="SntesisDescriptiva"/>
      </w:pPr>
      <w:r>
        <w:t>Recurso de amparo 4054-2022. Recurso de amparo 4054-2022. Promovido por doña Concepción María Maján Díaz respecto de las resoluciones dictadas por un juzgado de lo contencioso-administrativo de Badajoz en tasación de las costas causadas en procedimiento abreviado.</w:t>
      </w:r>
    </w:p>
    <w:p w14:paraId="1B46D254" w14:textId="159B2BEC" w:rsidR="003754FE" w:rsidRDefault="003754FE" w:rsidP="003754FE">
      <w:pPr>
        <w:pStyle w:val="SntesisDescriptiva"/>
      </w:pPr>
    </w:p>
    <w:p w14:paraId="50D94BAC" w14:textId="77777777" w:rsidR="003754FE" w:rsidRDefault="003754FE" w:rsidP="003754FE">
      <w:pPr>
        <w:pStyle w:val="SntesisAnaltica"/>
      </w:pPr>
      <w:r>
        <w:t>Vulneración del derecho a la tutela judicial sin indefensión en relación con los derechos de defensa y a la asistencia letrada: STC 10/2022 (resoluciones judiciales que consideran gastos indebidos los honorarios del abogado en un supuesto en el que no es preceptiva la intervención de letrado).</w:t>
      </w:r>
    </w:p>
    <w:p w14:paraId="2D660264" w14:textId="053B5930" w:rsidR="003754FE" w:rsidRDefault="003754FE" w:rsidP="003754FE">
      <w:pPr>
        <w:pStyle w:val="SntesisAnaltica"/>
      </w:pPr>
    </w:p>
    <w:p w14:paraId="4D211F30" w14:textId="10DFB4B5" w:rsidR="003754FE" w:rsidRDefault="003754FE" w:rsidP="003754FE">
      <w:pPr>
        <w:pStyle w:val="Extracto"/>
      </w:pPr>
      <w:r>
        <w:t>1.</w:t>
      </w:r>
      <w:r>
        <w:tab/>
        <w:t>El preámbulo de la Ley 42/2015 -ley que reformó el art. 23.3 LJCA- expresa la recuperación de la posibilidad de que los funcionarios públicos, que no tienen reconocido el derecho de justicia gratuita con independencia de sus recursos económicos, puedan -carácter potestativo- comparecer por sí mismos en defensa de sus derechos estatutarios, cuando se refieran a cuestiones de personal que no impliquen separación de empleados públicos inamovibles [FJ 2].</w:t>
      </w:r>
    </w:p>
    <w:p w14:paraId="15E05EAD" w14:textId="77777777" w:rsidR="003754FE" w:rsidRDefault="003754FE" w:rsidP="003754FE">
      <w:pPr>
        <w:pStyle w:val="Extracto"/>
      </w:pPr>
    </w:p>
    <w:p w14:paraId="2B2E9045" w14:textId="0C4AE37F" w:rsidR="003754FE" w:rsidRDefault="003754FE" w:rsidP="003754FE">
      <w:pPr>
        <w:pStyle w:val="Extracto"/>
      </w:pPr>
      <w:r>
        <w:t>2.</w:t>
      </w:r>
      <w:r>
        <w:tab/>
        <w:t>En los supuestos incluidos en el ámbito material concedido a los funcionarios públicos para la potestativa comparecencia por sí mismos, si finalmente concurren al órgano judicial asistidos de abogado, la exclusión de los honorarios de éste en la tasación de costas -aduciendo que son “gastos indebidos” dado que su intervención no es preceptiva-, supone una carga adicional para tal recurrente, con innegables efectos disuasorios, si debe asumir los derechos y honorarios devengados por su representación y asistencia técnica a los que, cuando proceda, también podrían sumarse los gastos derivados de la intervención del letrado de la Administración de que se trate (STC 10/2022) [FJ 2].</w:t>
      </w:r>
    </w:p>
    <w:p w14:paraId="7C2BFC09" w14:textId="77777777" w:rsidR="003754FE" w:rsidRDefault="003754FE" w:rsidP="003754FE">
      <w:pPr>
        <w:pStyle w:val="Extracto"/>
      </w:pPr>
    </w:p>
    <w:p w14:paraId="0B5F8D4C" w14:textId="336A4161" w:rsidR="003754FE" w:rsidRDefault="003754FE" w:rsidP="003754FE">
      <w:pPr>
        <w:pStyle w:val="Extracto"/>
      </w:pPr>
      <w:r>
        <w:t>3.</w:t>
      </w:r>
      <w:r>
        <w:tab/>
        <w:t>Las resoluciones judiciales vulneran el derecho a la tutela judicial efectiva, en relación con el derecho de defensa y a la asistencia letrada (art. 24.1 y 2 CE), toda vez que incurran en una interpretación irracional de los preceptos aplicables, carente de la suficiente cobertura legal, con efectos disuasorios del ejercicio de los derechos de acceso a la jurisdicción y a la asistencia letrada [FJ 2].</w:t>
      </w:r>
    </w:p>
    <w:p w14:paraId="52E29F2A" w14:textId="77777777" w:rsidR="003754FE" w:rsidRDefault="003754FE" w:rsidP="003754FE">
      <w:pPr>
        <w:pStyle w:val="Extracto"/>
      </w:pPr>
    </w:p>
    <w:p w14:paraId="4BB565B0" w14:textId="77777777" w:rsidR="003754FE" w:rsidRDefault="003754FE" w:rsidP="003754FE">
      <w:pPr>
        <w:pStyle w:val="Extracto"/>
      </w:pPr>
    </w:p>
    <w:p w14:paraId="385FFEBE"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Enrique Arnaldo Alcubilla, don César Tolosa Tribiño y doña Laura Díez Bueso, ha pronunciado</w:t>
      </w:r>
    </w:p>
    <w:p w14:paraId="0150F7D1" w14:textId="19B10D82" w:rsidR="003754FE" w:rsidRDefault="003754FE" w:rsidP="003754FE">
      <w:pPr>
        <w:pStyle w:val="TextoNormal"/>
      </w:pPr>
    </w:p>
    <w:p w14:paraId="3E190C60" w14:textId="77777777" w:rsidR="003754FE" w:rsidRDefault="003754FE" w:rsidP="003754FE">
      <w:pPr>
        <w:pStyle w:val="TextoNormalCentrado"/>
        <w:keepNext/>
      </w:pPr>
      <w:r>
        <w:t>EN NOMBRE DEL REY</w:t>
      </w:r>
    </w:p>
    <w:p w14:paraId="2C6961AC" w14:textId="61D4DC6C" w:rsidR="003754FE" w:rsidRDefault="003754FE" w:rsidP="003754FE">
      <w:pPr>
        <w:pStyle w:val="TextoNormalCentrado"/>
        <w:keepNext/>
      </w:pPr>
    </w:p>
    <w:p w14:paraId="3413A3CA" w14:textId="77777777" w:rsidR="003754FE" w:rsidRDefault="003754FE" w:rsidP="003754FE">
      <w:pPr>
        <w:pStyle w:val="TextoNormalCentrado"/>
        <w:keepNext/>
      </w:pPr>
    </w:p>
    <w:p w14:paraId="2A93B8E8" w14:textId="77777777" w:rsidR="003754FE" w:rsidRDefault="003754FE" w:rsidP="003754FE">
      <w:pPr>
        <w:pStyle w:val="TextoNormal"/>
      </w:pPr>
      <w:r>
        <w:t>la siguiente</w:t>
      </w:r>
    </w:p>
    <w:p w14:paraId="007C96E2" w14:textId="46B50BD5" w:rsidR="003754FE" w:rsidRDefault="003754FE" w:rsidP="003754FE">
      <w:pPr>
        <w:pStyle w:val="TextoNormal"/>
      </w:pPr>
    </w:p>
    <w:p w14:paraId="5579A1F4" w14:textId="77777777" w:rsidR="003754FE" w:rsidRDefault="003754FE" w:rsidP="003754FE">
      <w:pPr>
        <w:pStyle w:val="TextoNormalCentrado"/>
        <w:keepNext/>
      </w:pPr>
      <w:r>
        <w:t>SENTENCIA</w:t>
      </w:r>
    </w:p>
    <w:p w14:paraId="49A6FD1C" w14:textId="2648E4AE" w:rsidR="003754FE" w:rsidRDefault="003754FE" w:rsidP="003754FE">
      <w:pPr>
        <w:pStyle w:val="TextoNormalCentrado"/>
        <w:keepNext/>
      </w:pPr>
    </w:p>
    <w:p w14:paraId="4871EDD1" w14:textId="77777777" w:rsidR="003754FE" w:rsidRDefault="003754FE" w:rsidP="003754FE">
      <w:pPr>
        <w:pStyle w:val="TextoNormal"/>
      </w:pPr>
      <w:r>
        <w:t>En el recurso de amparo núm. 4054-2022, promovido por doña Concepción María Maján Díaz, representada por la procuradora de los tribunales doña Gloria Llorente de la Torre y con la asistencia del letrado don Raúl Tardío López, contra el auto de 2 de junio de 2022 dictado por el Juzgado de lo Contencioso-Administrativo núm. 2 de Badajoz en la pieza de impugnación de la tasación de costas núm. 3-2022, que desestima el recurso de revisión interpuesto contra el decreto de la letrada de la administración de justicia de 16 de mayo de 2022. Ha sido parte la Junta de Extremadura, representada por la procuradora de los tribunales doña María Aurora Gómez-Villaboa Mandri y por la letrada doña Julia Durán Aznal. Ha intervenido el Ministerio Fiscal. Ha sido ponente el magistrado don César Tolosa Tribiño.</w:t>
      </w:r>
    </w:p>
    <w:p w14:paraId="06CA032F" w14:textId="3BA51DB8" w:rsidR="003754FE" w:rsidRDefault="003754FE" w:rsidP="003754FE">
      <w:pPr>
        <w:pStyle w:val="TextoNormal"/>
      </w:pPr>
    </w:p>
    <w:p w14:paraId="72FA661D" w14:textId="77777777" w:rsidR="003754FE" w:rsidRDefault="003754FE" w:rsidP="003754FE">
      <w:pPr>
        <w:pStyle w:val="TextoNormalNegritaCentrado"/>
        <w:keepNext/>
      </w:pPr>
      <w:r>
        <w:t>I. Antecedentes</w:t>
      </w:r>
    </w:p>
    <w:p w14:paraId="5C9EF5D3" w14:textId="59497AD7" w:rsidR="003754FE" w:rsidRDefault="003754FE" w:rsidP="003754FE">
      <w:pPr>
        <w:pStyle w:val="TextoNormalNegritaCentrado"/>
        <w:keepNext/>
      </w:pPr>
    </w:p>
    <w:p w14:paraId="12B514DD" w14:textId="117EE7F0" w:rsidR="003754FE" w:rsidRDefault="003754FE" w:rsidP="003754FE">
      <w:pPr>
        <w:pStyle w:val="TextoNormal"/>
      </w:pPr>
      <w:r w:rsidRPr="003754FE">
        <w:rPr>
          <w:rStyle w:val="NumeroAFNegritaCaracter"/>
        </w:rPr>
        <w:t>1</w:t>
      </w:r>
      <w:r>
        <w:t>. Por escrito registrado en este tribunal el día 6 de julio de 2022, doña Concepción María Maján Díaz, con la indicada representación y defensa, interpuso recurso de amparo contra las resoluciones a las que se hace referencia en el encabezamiento de esta sentencia, dictadas por el Juzgado de lo Contencioso-Administrativo núm. 2 de Badajoz, en el procedimiento de tasación de costas núm. 3-2022, en que alega la vulneración del derecho a la tutela judicial efectiva (art. 24.1 CE) y del derecho de defensa y a la asistencia letrada (art. 24.2 CE).</w:t>
      </w:r>
    </w:p>
    <w:p w14:paraId="7B94A88C" w14:textId="77777777" w:rsidR="003754FE" w:rsidRDefault="003754FE" w:rsidP="003754FE">
      <w:pPr>
        <w:pStyle w:val="TextoNormal"/>
      </w:pPr>
    </w:p>
    <w:p w14:paraId="2EA19C79" w14:textId="77777777" w:rsidR="003754FE" w:rsidRDefault="003754FE" w:rsidP="003754FE">
      <w:pPr>
        <w:pStyle w:val="TextoNormal"/>
      </w:pPr>
      <w:r w:rsidRPr="003754FE">
        <w:rPr>
          <w:rStyle w:val="NumeroAFNegritaCaracter"/>
        </w:rPr>
        <w:t>2</w:t>
      </w:r>
      <w:r>
        <w:t>. Los hechos relevantes que se desprenden de la demanda de amparo y de las actuaciones que la acompañan son los siguientes:</w:t>
      </w:r>
    </w:p>
    <w:p w14:paraId="5DC70569" w14:textId="77777777" w:rsidR="003754FE" w:rsidRDefault="003754FE" w:rsidP="003754FE">
      <w:pPr>
        <w:pStyle w:val="TextoNormal"/>
      </w:pPr>
    </w:p>
    <w:p w14:paraId="6EA1E723" w14:textId="77777777" w:rsidR="003754FE" w:rsidRDefault="003754FE" w:rsidP="003754FE">
      <w:pPr>
        <w:pStyle w:val="TextoNormal"/>
      </w:pPr>
      <w:r>
        <w:t>a) El 21 de noviembre de 2018, la representación de doña Concepción María Maján Díaz interpuso recurso contencioso-administrativo contra la desestimación por silencio administrativo de la solicitud de revisión de la resolución de 22 de abril de 2008 dictada por el director gerente del Servicio Extremeño de Salud, por la que se condicionaba el pago del complemento de carrera profesional a la adquisición de la condición de personal estatutario fijo. Solicitaba que se declarara la nulidad de dicha resolución y que se condenara al organismo demandado a abonar a la demandante “el nivel experto de carrera profesional con efectos retroactivos”.</w:t>
      </w:r>
    </w:p>
    <w:p w14:paraId="63605188" w14:textId="77777777" w:rsidR="003754FE" w:rsidRDefault="003754FE" w:rsidP="003754FE">
      <w:pPr>
        <w:pStyle w:val="TextoNormal"/>
      </w:pPr>
    </w:p>
    <w:p w14:paraId="7BE554A0" w14:textId="77777777" w:rsidR="003754FE" w:rsidRDefault="003754FE" w:rsidP="003754FE">
      <w:pPr>
        <w:pStyle w:val="TextoNormal"/>
      </w:pPr>
      <w:r>
        <w:t>b) El Juzgado de lo Contencioso-Administrativo núm. 2 de Badajoz dictó sentencia el 21 de febrero de 2019 por la que estimaba el recurso interpuesto. En el hecho tercero indicaba que “[l]a cuantía de este procedimiento se fija en 9000 euros” y en su fundamento jurídico cuarto, contenía el siguiente pronunciamiento relativo a las costas: “De conformidad con lo dispuesto en el artículo 139.1 de la Ley reguladora de la jurisdicción contenciosa administrativa, de conformidad con la redacción otorgada por la Ley 37/2011, de medidas de agilización procesal, procede imponer las costas a la administración demandada, que ha visto desestimadas sus pretensiones”.</w:t>
      </w:r>
    </w:p>
    <w:p w14:paraId="35C898EC" w14:textId="77777777" w:rsidR="003754FE" w:rsidRDefault="003754FE" w:rsidP="003754FE">
      <w:pPr>
        <w:pStyle w:val="TextoNormal"/>
      </w:pPr>
    </w:p>
    <w:p w14:paraId="3805C768" w14:textId="77777777" w:rsidR="003754FE" w:rsidRDefault="003754FE" w:rsidP="003754FE">
      <w:pPr>
        <w:pStyle w:val="TextoNormal"/>
      </w:pPr>
      <w:r>
        <w:t xml:space="preserve">c) La representación de la demandante de amparo, mediante escrito de 7 de abril de 2022, solicitó la tasación de las costas, refiriéndose a la cuantía del procedimiento fijada en la </w:t>
      </w:r>
      <w:r>
        <w:lastRenderedPageBreak/>
        <w:t>sentencia declarada firme y al “criterio 90 C) 1 de las Normas del Ilustre Colegio de Abogados de Badajoz”. Acompañaba a su escrito la minuta de honorarios de letrado en que, conforme al indicado criterio, fijaba el importe total de la minuta en 2577,45 €.</w:t>
      </w:r>
    </w:p>
    <w:p w14:paraId="6689B5E1" w14:textId="77777777" w:rsidR="003754FE" w:rsidRDefault="003754FE" w:rsidP="003754FE">
      <w:pPr>
        <w:pStyle w:val="TextoNormal"/>
      </w:pPr>
    </w:p>
    <w:p w14:paraId="0BDBBBF0" w14:textId="77777777" w:rsidR="003754FE" w:rsidRDefault="003754FE" w:rsidP="003754FE">
      <w:pPr>
        <w:pStyle w:val="TextoNormal"/>
      </w:pPr>
      <w:r>
        <w:t>d) La solicitud dio lugar al procedimiento de tasación de costas núm. 3-2022 y a que el 20 de abril de 2022 la letrada de la administración de justicia tasara las costas en cero euros, al no ser preceptiva la intervención del letrado don Raúl Tardío López.</w:t>
      </w:r>
    </w:p>
    <w:p w14:paraId="43C173A0" w14:textId="77777777" w:rsidR="003754FE" w:rsidRDefault="003754FE" w:rsidP="003754FE">
      <w:pPr>
        <w:pStyle w:val="TextoNormal"/>
      </w:pPr>
    </w:p>
    <w:p w14:paraId="4F97E307" w14:textId="77777777" w:rsidR="003754FE" w:rsidRDefault="003754FE" w:rsidP="003754FE">
      <w:pPr>
        <w:pStyle w:val="TextoNormal"/>
      </w:pPr>
      <w:r>
        <w:t>e) La demandante de amparo impugnó la tasación de costas y solicitó que se efectuara una nueva tasación de costas que reflejara los honorarios devengados por el letrado. En el recurso reproducía el fundamento jurídico cuarto de la STC 10/2022, de 7 de febrero, e indicaba que el Tribunal Constitucional ha calificado de interpretación irracional de los preceptos aplicables y contraria al derecho fundamental a la tutela judicial efectiva —por la carga adicional y por los efectos disuasorios para el funcionario que decide voluntariamente recurrir a letrado para defender sus derechos estatutarios— aquella que considere gastos indebidos los honorarios del abogado en un supuesto en el que no resulta preceptiva su intervención.</w:t>
      </w:r>
    </w:p>
    <w:p w14:paraId="7F9F8DB0" w14:textId="77777777" w:rsidR="003754FE" w:rsidRDefault="003754FE" w:rsidP="003754FE">
      <w:pPr>
        <w:pStyle w:val="TextoNormal"/>
      </w:pPr>
    </w:p>
    <w:p w14:paraId="3A040B30" w14:textId="77777777" w:rsidR="003754FE" w:rsidRDefault="003754FE" w:rsidP="003754FE">
      <w:pPr>
        <w:pStyle w:val="TextoNormal"/>
      </w:pPr>
      <w:r>
        <w:t xml:space="preserve">f) Tras oír a la parte demandada, por decreto de la letrada de la administración de justicia de 16 de mayo de 2022 se desestimó la impugnación formulada. Su decisión se fundamentó en que, no siendo preceptiva la asistencia letrada del demandante </w:t>
      </w:r>
      <w:r w:rsidRPr="003754FE">
        <w:rPr>
          <w:i/>
        </w:rPr>
        <w:t>ex</w:t>
      </w:r>
      <w:r>
        <w:t xml:space="preserve"> art. 23.3 de la Ley reguladora de la jurisdicción contencioso-administrativa (LJCA), debían excluirse de la referida tasación los honorarios del letrado de dicha parte, de conformidad con los arts. 32.5 y 241.1 de la Ley de enjuiciamiento civil (LEC) a los que remite el art. 139.7 LJCA. Sin referirse a la STC 10/2022, invocada por la demandante de amparo, reconoció: “Aun no siendo materia pacífica, teniendo en cuenta el contenido de los artículos mencionados, este juzgado viene considerando que cuando la defensa técnica no es preceptiva (como ocurre en el presente supuesto, materia de personal, referido a efectos económicos derivados del reconocimiento del nivel de experto de carrera profesional) los honorarios del abogado no integran el concepto de costas, por lo que la parte que acudió a él será la que tenga que soportar ese gasto”.</w:t>
      </w:r>
    </w:p>
    <w:p w14:paraId="2B1622E7" w14:textId="77777777" w:rsidR="003754FE" w:rsidRDefault="003754FE" w:rsidP="003754FE">
      <w:pPr>
        <w:pStyle w:val="TextoNormal"/>
      </w:pPr>
    </w:p>
    <w:p w14:paraId="7A4D2ADB" w14:textId="77777777" w:rsidR="003754FE" w:rsidRDefault="003754FE" w:rsidP="003754FE">
      <w:pPr>
        <w:pStyle w:val="TextoNormal"/>
      </w:pPr>
      <w:r>
        <w:t>g) La demandante de amparo interpuso recurso de revisión frente al anterior decreto, en el que recordaba la obligatoriedad del cumplimiento de las resoluciones del Tribunal Constitucional [arts. 164.1 CE, 87.1 de la Ley Orgánica del Tribunal Constitucional (LOTC) y 5.1 de la Ley Orgánica del Poder Judicial (LOPJ)] e insistía en el pronunciamiento contenido en la STC 10/2022.</w:t>
      </w:r>
    </w:p>
    <w:p w14:paraId="1C1F5502" w14:textId="77777777" w:rsidR="003754FE" w:rsidRDefault="003754FE" w:rsidP="003754FE">
      <w:pPr>
        <w:pStyle w:val="TextoNormal"/>
      </w:pPr>
    </w:p>
    <w:p w14:paraId="4D9998F9" w14:textId="77777777" w:rsidR="003754FE" w:rsidRDefault="003754FE" w:rsidP="003754FE">
      <w:pPr>
        <w:pStyle w:val="TextoNormal"/>
      </w:pPr>
      <w:r>
        <w:t>h) Por auto de 2 de junio de 2022, el Juzgado de lo Contencioso-Administrativo núm. 2 de Badajoz desestimó el recurso interpuesto por la demandante de amparo. En su fundamentación, tras reproducir las alegaciones de las partes y el contenido del decreto impugnado, sin referencia alguna a la STC 10/2020 y con mención al art. 32.5 LEC, indicó:</w:t>
      </w:r>
    </w:p>
    <w:p w14:paraId="2C54AD24" w14:textId="77777777" w:rsidR="003754FE" w:rsidRDefault="003754FE" w:rsidP="003754FE">
      <w:pPr>
        <w:pStyle w:val="TextoNormal"/>
      </w:pPr>
    </w:p>
    <w:p w14:paraId="081E056B" w14:textId="77777777" w:rsidR="003754FE" w:rsidRDefault="003754FE" w:rsidP="003754FE">
      <w:pPr>
        <w:pStyle w:val="TextoNormal"/>
      </w:pPr>
      <w:r>
        <w:t xml:space="preserve">“Dicho precepto no admite dudas y la claridad de su redacción no admite controversia, por lo que no resulta posible realizar una interpretación diferente a la que se obtiene de su tenor literal. Cuando la parte demandante es funcionario público que actúa en defensa de sus derechos estatutarios, cuando se refieran a cuestiones de personal que no impliquen separación de empleados públicos inamovibles, el artículo 23.3 de la Ley de la jurisdicción </w:t>
      </w:r>
      <w:r>
        <w:lastRenderedPageBreak/>
        <w:t>contencioso-administrativa les otorga el privilegio de comparecer por sí mismos. Conforme a los preceptos citados, si el funcionario público comparece asistido de letrado, en el supuesto de ser condenado en costas por desestimación íntegra de sus pretensiones, debe hacerse cargo de las costas suyas y de las del letrado de la administración demandada. Y cuando obtiene un pronunciamiento favorable a sus pretensiones y quien resulta condenada en costas es la administración, esta no debe hacerse cargo de la minuta del letrado del funcionario demandante porque su intervención no es preceptiva. Esta es la interpretación literal del contenido del artículo 32.5 de la Ley de enjuiciamiento civil.</w:t>
      </w:r>
    </w:p>
    <w:p w14:paraId="7D36BB2E" w14:textId="77777777" w:rsidR="003754FE" w:rsidRDefault="003754FE" w:rsidP="003754FE">
      <w:pPr>
        <w:pStyle w:val="TextoNormal"/>
      </w:pPr>
    </w:p>
    <w:p w14:paraId="5D755583" w14:textId="77777777" w:rsidR="003754FE" w:rsidRDefault="003754FE" w:rsidP="003754FE">
      <w:pPr>
        <w:pStyle w:val="TextoNormal"/>
      </w:pPr>
      <w:r>
        <w:t>El artículo 3.1 del Código civil establece que ‘Las normas se interpretarán según el sentido propio de sus palabras, en relación con el contexto, los antecedentes históricos y legislativos, y la realidad social del tiempo en que han de ser aplicadas, atendiendo fundamentalmente al espíritu y finalidad de aquellas’.</w:t>
      </w:r>
    </w:p>
    <w:p w14:paraId="3648BFE6" w14:textId="77777777" w:rsidR="003754FE" w:rsidRDefault="003754FE" w:rsidP="003754FE">
      <w:pPr>
        <w:pStyle w:val="TextoNormal"/>
      </w:pPr>
    </w:p>
    <w:p w14:paraId="543A31F8" w14:textId="77777777" w:rsidR="003754FE" w:rsidRDefault="003754FE" w:rsidP="003754FE">
      <w:pPr>
        <w:pStyle w:val="TextoNormal"/>
      </w:pPr>
      <w:r>
        <w:t>Pues bien, el sentido propio de las palabras contenidas en el artículo 32.5 de la Ley de enjuiciamiento civil no admite interpretación alguna, dada su claridad.</w:t>
      </w:r>
    </w:p>
    <w:p w14:paraId="1126A16E" w14:textId="77777777" w:rsidR="003754FE" w:rsidRDefault="003754FE" w:rsidP="003754FE">
      <w:pPr>
        <w:pStyle w:val="TextoNormal"/>
      </w:pPr>
    </w:p>
    <w:p w14:paraId="20105E15" w14:textId="63C96308" w:rsidR="003754FE" w:rsidRDefault="003754FE" w:rsidP="003754FE">
      <w:pPr>
        <w:pStyle w:val="TextoNormal"/>
      </w:pPr>
      <w:r>
        <w:t>Por todo lo expuesto, procede la desestimación del recurso de revisión presentado contra el Decreto de 16 de mayo de 2022, ratificándolo en su integridad, con los efectos a ello inherentes”.</w:t>
      </w:r>
    </w:p>
    <w:p w14:paraId="6C3865EA" w14:textId="77777777" w:rsidR="003754FE" w:rsidRDefault="003754FE" w:rsidP="003754FE">
      <w:pPr>
        <w:pStyle w:val="TextoNormal"/>
      </w:pPr>
    </w:p>
    <w:p w14:paraId="538D0EE0" w14:textId="77777777" w:rsidR="003754FE" w:rsidRDefault="003754FE" w:rsidP="003754FE">
      <w:pPr>
        <w:pStyle w:val="TextoNormal"/>
      </w:pPr>
      <w:r w:rsidRPr="003754FE">
        <w:rPr>
          <w:rStyle w:val="NumeroAFNegritaCaracter"/>
        </w:rPr>
        <w:t>3</w:t>
      </w:r>
      <w:r>
        <w:t>. Doña Concepción María Maján Díaz ha interpuesto demanda de amparo contra las resoluciones indicadas denunciando la vulneración del derecho a la tutela judicial efectiva (art. 24.1 CE) en su vertiente de derecho de acceso a la jurisdicción en relación con el derecho a la defensa y a la asistencia letrada (art. 24.2 CE).</w:t>
      </w:r>
    </w:p>
    <w:p w14:paraId="11598515" w14:textId="77777777" w:rsidR="003754FE" w:rsidRDefault="003754FE" w:rsidP="003754FE">
      <w:pPr>
        <w:pStyle w:val="TextoNormal"/>
      </w:pPr>
    </w:p>
    <w:p w14:paraId="08D5F24C" w14:textId="77777777" w:rsidR="003754FE" w:rsidRDefault="003754FE" w:rsidP="003754FE">
      <w:pPr>
        <w:pStyle w:val="TextoNormal"/>
      </w:pPr>
      <w:r>
        <w:t>La recurrente argumenta que la controversia suscitada es idéntica a la resuelta por la STC 10/2022, de 7 de febrero, toda vez que el Juzgado de lo Contencioso-Administrativo núm. 2 de Badajoz excluye de la tasación de costas los honorarios del letrado de la demandante con el argumento de que su intervención no es preceptiva, y ello a pesar de que la recurrente citó y reprodujo en los recursos —de reposición y directo de revisión— el contenido de la indicada sentencia del Tribunal.</w:t>
      </w:r>
    </w:p>
    <w:p w14:paraId="78977262" w14:textId="77777777" w:rsidR="003754FE" w:rsidRDefault="003754FE" w:rsidP="003754FE">
      <w:pPr>
        <w:pStyle w:val="TextoNormal"/>
      </w:pPr>
    </w:p>
    <w:p w14:paraId="72145D7B" w14:textId="77777777" w:rsidR="003754FE" w:rsidRDefault="003754FE" w:rsidP="003754FE">
      <w:pPr>
        <w:pStyle w:val="TextoNormal"/>
      </w:pPr>
      <w:r>
        <w:t>Añade, con sustento en la STC 10/2022, que eximir a la administración pública del pago de los honorarios del letrado del demandante cuando aquella resulte vencida en una controversia suscitada en materia de personal resuelta por los órganos judiciales de la jurisdicción contencioso-administrativa con el argumento de que el funcionario estatutario puede comparecer por sí mismo en defensa de sus derechos estatutarios supone una carga adicional para el recurrente con innegables efectos disuasorios, porque ese funcionario estatutario tendrá que asumir los derechos y honorarios devengados por su representación y asistencia técnica, a los que, cuando proceda y cuando menos, se sumarán los gastos derivados de la intervención del letrado de la administración de que se trate.</w:t>
      </w:r>
    </w:p>
    <w:p w14:paraId="1A18B94E" w14:textId="77777777" w:rsidR="003754FE" w:rsidRDefault="003754FE" w:rsidP="003754FE">
      <w:pPr>
        <w:pStyle w:val="TextoNormal"/>
      </w:pPr>
    </w:p>
    <w:p w14:paraId="11C73BF0" w14:textId="596CF611" w:rsidR="003754FE" w:rsidRDefault="003754FE" w:rsidP="003754FE">
      <w:pPr>
        <w:pStyle w:val="TextoNormal"/>
      </w:pPr>
      <w:r>
        <w:t>Finalmente solicita que se otorgue el amparo y se declare la nulidad del auto de 2 de junio de 2022 dictado por el Juzgado de lo Contencioso-Administrativo núm. 2 de Badajoz y se retrotraigan las actuaciones para que se dicte una nueva resolución respetuosa con el derecho fundamental vulnerado.</w:t>
      </w:r>
    </w:p>
    <w:p w14:paraId="6B873887" w14:textId="77777777" w:rsidR="003754FE" w:rsidRDefault="003754FE" w:rsidP="003754FE">
      <w:pPr>
        <w:pStyle w:val="TextoNormal"/>
      </w:pPr>
    </w:p>
    <w:p w14:paraId="6B9C2A04" w14:textId="7C71C497" w:rsidR="003754FE" w:rsidRDefault="003754FE" w:rsidP="003754FE">
      <w:pPr>
        <w:pStyle w:val="TextoNormal"/>
      </w:pPr>
      <w:r w:rsidRPr="003754FE">
        <w:rPr>
          <w:rStyle w:val="NumeroAFNegritaCaracter"/>
        </w:rPr>
        <w:lastRenderedPageBreak/>
        <w:t>4</w:t>
      </w:r>
      <w:r>
        <w:t>. Por providencia de 12 de febrero de 2024, la Sección Tercera de este tribunal acordó admitir a trámite el recurso de amparo apreciando que concurre en el mismo una especial trascendencia constitucional (art. 50.1 LOTC) porque el recurso puede dar ocasión al Tribunal para aclarar o cambiar su doctrina, como consecuencia de un proceso de reflexión interna [STC 155/2009, de 25 de junio, FJ 2 b)]. En la misma resolución se acordó dirigir atenta comunicación al Juzgado de lo Contencioso-Administrativo núm. 2 de Badajoz, a fin de que remitiera certificación o fotocopia adverada de las actuaciones correspondientes a la pieza de impugnación de tasación de costas 3-2022 dimanante del procedimiento abreviado núm. 219-2018, debiendo emplazar a quienes hubieran sido parte en el procedimiento para que comparecieran en las actuaciones, si así lo deseaban, excepto a la parte recurrente en amparo.</w:t>
      </w:r>
    </w:p>
    <w:p w14:paraId="2FA2B58F" w14:textId="77777777" w:rsidR="003754FE" w:rsidRDefault="003754FE" w:rsidP="003754FE">
      <w:pPr>
        <w:pStyle w:val="TextoNormal"/>
      </w:pPr>
    </w:p>
    <w:p w14:paraId="1E536184" w14:textId="056B43B2" w:rsidR="003754FE" w:rsidRDefault="003754FE" w:rsidP="003754FE">
      <w:pPr>
        <w:pStyle w:val="TextoNormal"/>
      </w:pPr>
      <w:r w:rsidRPr="003754FE">
        <w:rPr>
          <w:rStyle w:val="NumeroAFNegritaCaracter"/>
        </w:rPr>
        <w:t>5</w:t>
      </w:r>
      <w:r>
        <w:t>. Por diligencia de ordenación de 26 de abril de 2024 se tuvo por personada en el procedimiento a la procuradora de los tribunales doña María Aurora Gómez-Villaboa Mandri, en nombre y representación de la Junta de Extremadura, otorgándose un plazo común al Ministerio Fiscal y a las partes personadas para que formularan las alegaciones que consideraran oportunas.</w:t>
      </w:r>
    </w:p>
    <w:p w14:paraId="417C58A9" w14:textId="77777777" w:rsidR="003754FE" w:rsidRDefault="003754FE" w:rsidP="003754FE">
      <w:pPr>
        <w:pStyle w:val="TextoNormal"/>
      </w:pPr>
    </w:p>
    <w:p w14:paraId="424AA52F" w14:textId="77777777" w:rsidR="003754FE" w:rsidRDefault="003754FE" w:rsidP="003754FE">
      <w:pPr>
        <w:pStyle w:val="TextoNormal"/>
      </w:pPr>
      <w:r w:rsidRPr="003754FE">
        <w:rPr>
          <w:rStyle w:val="NumeroAFNegritaCaracter"/>
        </w:rPr>
        <w:t>6</w:t>
      </w:r>
      <w:r>
        <w:t>. La representación de la demandante presentó escrito de alegaciones el 22 de mayo de 2024.</w:t>
      </w:r>
    </w:p>
    <w:p w14:paraId="2A29B29C" w14:textId="77777777" w:rsidR="003754FE" w:rsidRDefault="003754FE" w:rsidP="003754FE">
      <w:pPr>
        <w:pStyle w:val="TextoNormal"/>
      </w:pPr>
    </w:p>
    <w:p w14:paraId="627527D6" w14:textId="77777777" w:rsidR="003754FE" w:rsidRDefault="003754FE" w:rsidP="003754FE">
      <w:pPr>
        <w:pStyle w:val="TextoNormal"/>
      </w:pPr>
      <w:r>
        <w:t>En las alegaciones resalta que el Tribunal Constitucional resolvió en la STC 10/2022, de 7 de febrero, un supuesto similar al planteado, recordando el carácter nuclear que el Tribunal ha reconocido al derecho de asistencia letrada y la vinculación entre la imposición de costas y el derecho de acceso a la jurisdicción como vertiente del derecho a la tutela judicial efectiva y afirmando que los órganos judiciales no pueden imponer requisitos o consecuencias impeditivas, obstaculizadoras, limitativas o disuasorias del ejercicio de las acciones. La STC 10/2022 considera que la selección e interpretación de la normativa aplicable llevada a cabo por el juzgado comporta una carga adicional al recurrente funcionario que, en este caso, deberá asumir los derechos y honorarios devengados por su representación y asistencia técnica a los que, cuando proceda y cuanto menos, se sumarán los gastos derivados de la intervención del letrado de la administración de que se trate.</w:t>
      </w:r>
    </w:p>
    <w:p w14:paraId="0BAF91B3" w14:textId="77777777" w:rsidR="003754FE" w:rsidRDefault="003754FE" w:rsidP="003754FE">
      <w:pPr>
        <w:pStyle w:val="TextoNormal"/>
      </w:pPr>
    </w:p>
    <w:p w14:paraId="68F87900" w14:textId="77777777" w:rsidR="003754FE" w:rsidRDefault="003754FE" w:rsidP="003754FE">
      <w:pPr>
        <w:pStyle w:val="TextoNormal"/>
      </w:pPr>
      <w:r>
        <w:t>No es, desde luego, razonable que lo que el legislador configura como una facultad o privilegio para el funcionario público se torne en una situación de inferioridad, que lesiona el derecho a la tutela judicial efectiva en relación con el derecho de defensa y a la asistencia letrada.</w:t>
      </w:r>
    </w:p>
    <w:p w14:paraId="7D06626B" w14:textId="77777777" w:rsidR="003754FE" w:rsidRDefault="003754FE" w:rsidP="003754FE">
      <w:pPr>
        <w:pStyle w:val="TextoNormal"/>
      </w:pPr>
    </w:p>
    <w:p w14:paraId="0315B6A5" w14:textId="40075BD4" w:rsidR="003754FE" w:rsidRDefault="003754FE" w:rsidP="003754FE">
      <w:pPr>
        <w:pStyle w:val="TextoNormal"/>
      </w:pPr>
      <w:r>
        <w:t>Para salvaguardar los derechos concernidos, el apartado tercero del art. 23 LJCA debe ser interpretado como una facultad reconocida a los funcionarios públicos que les permite optar entre la defensa técnica o la autodefensa de sus intereses. Indica que el juzgado se apartó deliberadamente de esa interpretación del art. 23.2 LJCA a pesar de los esfuerzos de la demandante.</w:t>
      </w:r>
    </w:p>
    <w:p w14:paraId="31A189AE" w14:textId="77777777" w:rsidR="003754FE" w:rsidRDefault="003754FE" w:rsidP="003754FE">
      <w:pPr>
        <w:pStyle w:val="TextoNormal"/>
      </w:pPr>
    </w:p>
    <w:p w14:paraId="7CE32EE2" w14:textId="77777777" w:rsidR="003754FE" w:rsidRDefault="003754FE" w:rsidP="003754FE">
      <w:pPr>
        <w:pStyle w:val="TextoNormal"/>
      </w:pPr>
      <w:r w:rsidRPr="003754FE">
        <w:rPr>
          <w:rStyle w:val="NumeroAFNegritaCaracter"/>
        </w:rPr>
        <w:t>7</w:t>
      </w:r>
      <w:r>
        <w:t>. La Junta de Extremadura presentó alegaciones mediante escrito registrado el 30 de mayo de 2024 por las que solicitó la desestimación de la demanda.</w:t>
      </w:r>
    </w:p>
    <w:p w14:paraId="08F54B42" w14:textId="77777777" w:rsidR="003754FE" w:rsidRDefault="003754FE" w:rsidP="003754FE">
      <w:pPr>
        <w:pStyle w:val="TextoNormal"/>
      </w:pPr>
    </w:p>
    <w:p w14:paraId="75892097" w14:textId="77777777" w:rsidR="003754FE" w:rsidRDefault="003754FE" w:rsidP="003754FE">
      <w:pPr>
        <w:pStyle w:val="TextoNormal"/>
      </w:pPr>
      <w:r>
        <w:lastRenderedPageBreak/>
        <w:t>La Junta de Extremadura manifiesta que no comparte el criterio que se contiene en la STC 10/2022, de 7 de febrero, a la que alude la recurrente como fundamento de la demanda de amparo. Considera que es de aplicación el art. 23.3 de la Ley 29/1998 que facilita a los funcionarios públicos comparecer por sí mismos en defensa de sus derechos estatutarios cuando se refieran a cuestiones de personal que no impliquen separación de empleados inamovibles. Dicha posibilidad, que se extiende a funcionarios interinos conforme a diversas resoluciones judiciales, se sustenta en considerar perfectamente capacitado al funcionario, personal estatutario incluido, para la defensa de sus derechos, en tanto que las pruebas selectivas de acceso comprenden el régimen jurídico de la función pública.</w:t>
      </w:r>
    </w:p>
    <w:p w14:paraId="21FD9E91" w14:textId="77777777" w:rsidR="003754FE" w:rsidRDefault="003754FE" w:rsidP="003754FE">
      <w:pPr>
        <w:pStyle w:val="TextoNormal"/>
      </w:pPr>
    </w:p>
    <w:p w14:paraId="34704C41" w14:textId="77777777" w:rsidR="003754FE" w:rsidRDefault="003754FE" w:rsidP="003754FE">
      <w:pPr>
        <w:pStyle w:val="TextoNormal"/>
      </w:pPr>
      <w:r>
        <w:t>Afirma que es incongruente que se les otorgue a los funcionarios el privilegio de actuar sin abogado, lo que supone no abonar sus honorarios, y, sin embargo, si se condena en costas a la administración y por el motivo que sea se han utilizado los servicios de un abogado, puedan incluir sus honorarios en las costas “porque entonces se entiende que no están suficientemente preparados para ejercer su defensa”.</w:t>
      </w:r>
    </w:p>
    <w:p w14:paraId="117B438E" w14:textId="77777777" w:rsidR="003754FE" w:rsidRDefault="003754FE" w:rsidP="003754FE">
      <w:pPr>
        <w:pStyle w:val="TextoNormal"/>
      </w:pPr>
    </w:p>
    <w:p w14:paraId="314BE388" w14:textId="6112FB2A" w:rsidR="003754FE" w:rsidRDefault="003754FE" w:rsidP="003754FE">
      <w:pPr>
        <w:pStyle w:val="TextoNormal"/>
      </w:pPr>
      <w:r>
        <w:t>Reconoce que el criterio de la STC 10/2022 es contrario al sostenido por la Junta de Extremadura, pero considera que debe desestimarse el recurso de amparo atendidos el art. 23.3 LJCA y los arts. 32.5 y 241.1 LEC, de aplicación supletoria, y con apoyo en la sentencia de la Audiencia Nacional de 22 de enero de 2022 y la del Tribunal Supremo de 10 de diciembre de 1983, que atienden al carácter facultativo de la intervención del abogado y procurador para no imponer las costas.</w:t>
      </w:r>
    </w:p>
    <w:p w14:paraId="4D7BDDEB" w14:textId="77777777" w:rsidR="003754FE" w:rsidRDefault="003754FE" w:rsidP="003754FE">
      <w:pPr>
        <w:pStyle w:val="TextoNormal"/>
      </w:pPr>
    </w:p>
    <w:p w14:paraId="3D34D02D" w14:textId="77777777" w:rsidR="003754FE" w:rsidRDefault="003754FE" w:rsidP="003754FE">
      <w:pPr>
        <w:pStyle w:val="TextoNormal"/>
      </w:pPr>
      <w:r w:rsidRPr="003754FE">
        <w:rPr>
          <w:rStyle w:val="NumeroAFNegritaCaracter"/>
        </w:rPr>
        <w:t>8</w:t>
      </w:r>
      <w:r>
        <w:t>. El Ministerio Fiscal registró sus alegaciones por escrito el 18 de junio de 2024. En las mismas solicita que se declare la vulneración del derecho a la tutela judicial efectiva sin indefensión, en relación con el derecho de defensa y a la asistencia letrada (art. 24.1 y 2 CE), se anule el auto de 2 de junio de 2022 del Juzgado de lo Contencioso-Administrativo núm. 2 de Badajoz y se retrotraigan las actuaciones para que se dicte la resolución que corresponda respetuosa con el derecho vulnerado.</w:t>
      </w:r>
    </w:p>
    <w:p w14:paraId="173C5A6E" w14:textId="77777777" w:rsidR="003754FE" w:rsidRDefault="003754FE" w:rsidP="003754FE">
      <w:pPr>
        <w:pStyle w:val="TextoNormal"/>
      </w:pPr>
    </w:p>
    <w:p w14:paraId="61932BD6" w14:textId="77777777" w:rsidR="003754FE" w:rsidRDefault="003754FE" w:rsidP="003754FE">
      <w:pPr>
        <w:pStyle w:val="TextoNormal"/>
      </w:pPr>
      <w:r>
        <w:t>Tras compendiar los acontecimientos procesales que considera de interés al caso y concretar los aspectos más relevantes de la pretensión del demandante de amparo, el fiscal señala que la STC 10/2022, de 7 de febrero, de la que reproduce sus fundamentos jurídicos 3 y 4, resolvió un supuesto análogo al que plantea la recurrente.</w:t>
      </w:r>
    </w:p>
    <w:p w14:paraId="7F34B5B1" w14:textId="77777777" w:rsidR="003754FE" w:rsidRDefault="003754FE" w:rsidP="003754FE">
      <w:pPr>
        <w:pStyle w:val="TextoNormal"/>
      </w:pPr>
    </w:p>
    <w:p w14:paraId="5AB50CDF" w14:textId="77777777" w:rsidR="003754FE" w:rsidRDefault="003754FE" w:rsidP="003754FE">
      <w:pPr>
        <w:pStyle w:val="TextoNormal"/>
      </w:pPr>
      <w:r>
        <w:t>Destaca, con cita de la STC 29/2023, de 17 de abril, FFJJ 2 y 3, las consecuencias de la falta de asistencia letrada y el valor de la misma distinguiendo los supuestos en que legalmente sea preceptiva o no preceptiva, sin que en este último caso decaiga como derecho fundamental. Apunta, asimismo, el deber del órgano judicial de garantizar la igualdad de las partes evitando de este modo la existencia de desequilibrios.</w:t>
      </w:r>
    </w:p>
    <w:p w14:paraId="310506A0" w14:textId="77777777" w:rsidR="003754FE" w:rsidRDefault="003754FE" w:rsidP="003754FE">
      <w:pPr>
        <w:pStyle w:val="TextoNormal"/>
      </w:pPr>
    </w:p>
    <w:p w14:paraId="774BA6D6" w14:textId="77777777" w:rsidR="003754FE" w:rsidRDefault="003754FE" w:rsidP="003754FE">
      <w:pPr>
        <w:pStyle w:val="TextoNormal"/>
      </w:pPr>
      <w:r>
        <w:t xml:space="preserve">Entiende que el art. 23 LJCA regula los supuestos de postulación y representación obligatoria o preceptiva (STC 10/2022, FJ 4) de modo distinto a como lo realiza en el orden jurisdiccional civil o social. Recuerda que ya se contemplaba en el art. 33.3 de la Ley de 27 de diciembre de 1956 en relación con el art. 113 y ss. de la misma Ley. Señala que la Ley 10/2012, de 20 de noviembre, que regula las tasas judiciales suprimió la excepción de postulación para los funcionarios, en tanto que la práctica demuestra cómo esa falta de representación técnica acaba siendo un obstáculo para un desenvolvimiento del proceso más ágil </w:t>
      </w:r>
      <w:r>
        <w:lastRenderedPageBreak/>
        <w:t>y eficaz. Reconoce que la dialéctica procesal efectiva facilita al órgano judicial la búsqueda de una sentencia ajustada a derecho [STC 29/2023, FJ 2 a)].</w:t>
      </w:r>
    </w:p>
    <w:p w14:paraId="0820C337" w14:textId="77777777" w:rsidR="003754FE" w:rsidRDefault="003754FE" w:rsidP="003754FE">
      <w:pPr>
        <w:pStyle w:val="TextoNormal"/>
      </w:pPr>
    </w:p>
    <w:p w14:paraId="4B792A12" w14:textId="77777777" w:rsidR="003754FE" w:rsidRDefault="003754FE" w:rsidP="003754FE">
      <w:pPr>
        <w:pStyle w:val="TextoNormal"/>
      </w:pPr>
      <w:r>
        <w:t>La presunción inicial de conocimiento jurídico del funcionario público para la defensa de sus derechos en el ámbito del art. 23.3 LJCA no puede enervar su derecho a optar por la defensa técnica con todas las consecuencias, como ocurre si se anuda a ello una interpretación excluyente de la reclamación de sus costas, pues ello significaría que la facultad prevista en la ley supondría imponerle una carga adicional no prevista por la ley. Los arts. 139 LJCA y 394 LEC no contemplan dicha exclusión en la imposición de costas y, si bien los arts. 32.5 y 241.1 LEC se refieren a su no inclusión, lo hacen partiendo de su intervención preceptiva o no al margen del derecho de opción del art. 23.3 LJCA.</w:t>
      </w:r>
    </w:p>
    <w:p w14:paraId="4B84C736" w14:textId="77777777" w:rsidR="003754FE" w:rsidRDefault="003754FE" w:rsidP="003754FE">
      <w:pPr>
        <w:pStyle w:val="TextoNormal"/>
      </w:pPr>
    </w:p>
    <w:p w14:paraId="7821D738" w14:textId="77777777" w:rsidR="003754FE" w:rsidRDefault="003754FE" w:rsidP="003754FE">
      <w:pPr>
        <w:pStyle w:val="TextoNormal"/>
      </w:pPr>
      <w:r>
        <w:t>Desde la perspectiva del equilibrio entre las partes, propugnada por la doctrina constitucional según lo expuesto, esta interpretación limitativa del derecho de defensa y asistencia letrada adquiere, además, una especial trascendencia en el proceso contencioso-administrativo, en que la parte demandada genuina es la administración que, por ministerio de la ley, siempre interviene en el proceso con representación de letrado y, con carácter general, a través de sus cuerpos especializados.</w:t>
      </w:r>
    </w:p>
    <w:p w14:paraId="5525F9F4" w14:textId="77777777" w:rsidR="003754FE" w:rsidRDefault="003754FE" w:rsidP="003754FE">
      <w:pPr>
        <w:pStyle w:val="TextoNormal"/>
      </w:pPr>
    </w:p>
    <w:p w14:paraId="4C043E10" w14:textId="7400C6AD" w:rsidR="003754FE" w:rsidRDefault="003754FE" w:rsidP="003754FE">
      <w:pPr>
        <w:pStyle w:val="TextoNormal"/>
      </w:pPr>
      <w:r>
        <w:t>Insiste en el pronunciamiento de la STC 10/2022, FJ 2, poniendo de manifiesto que la exclusión de los honorarios del letrado en la tasación de costas es difícilmente conciliable con el deber positivo de evitar desequilibrios en cuanto, imponiendo dicha carga sobre el recurrente funcionario —no obligado a comparecer personalmente— podría abocar a la renuncia a un derecho —efecto disuasorio— que le otorga la legislación para su defensa, con la eventual consecuencia de desigualdad negativa procesal.</w:t>
      </w:r>
    </w:p>
    <w:p w14:paraId="1D61738B" w14:textId="77777777" w:rsidR="003754FE" w:rsidRDefault="003754FE" w:rsidP="003754FE">
      <w:pPr>
        <w:pStyle w:val="TextoNormal"/>
      </w:pPr>
    </w:p>
    <w:p w14:paraId="457D6275" w14:textId="76370C00" w:rsidR="003754FE" w:rsidRDefault="003754FE" w:rsidP="003754FE">
      <w:pPr>
        <w:pStyle w:val="TextoNormal"/>
      </w:pPr>
      <w:r w:rsidRPr="003754FE">
        <w:rPr>
          <w:rStyle w:val="NumeroAFNegritaCaracter"/>
        </w:rPr>
        <w:t>9</w:t>
      </w:r>
      <w:r>
        <w:t>. Por providencia de 5 de septiembre de 2024 se señaló para deliberación y votación de la presente sentencia el día 9 del mismo mes y año.</w:t>
      </w:r>
    </w:p>
    <w:p w14:paraId="44721931" w14:textId="77777777" w:rsidR="003754FE" w:rsidRDefault="003754FE" w:rsidP="003754FE">
      <w:pPr>
        <w:pStyle w:val="TextoNormal"/>
      </w:pPr>
    </w:p>
    <w:p w14:paraId="2082E47E" w14:textId="77777777" w:rsidR="003754FE" w:rsidRDefault="003754FE" w:rsidP="003754FE">
      <w:pPr>
        <w:pStyle w:val="TextoNormalNegritaCentrado"/>
        <w:keepNext/>
      </w:pPr>
      <w:r>
        <w:t>II. Fundamentos jurídicos</w:t>
      </w:r>
    </w:p>
    <w:p w14:paraId="1155F88E" w14:textId="2A2D2220" w:rsidR="003754FE" w:rsidRDefault="003754FE" w:rsidP="003754FE">
      <w:pPr>
        <w:pStyle w:val="TextoNormalNegritaCentrado"/>
        <w:keepNext/>
      </w:pPr>
    </w:p>
    <w:p w14:paraId="3FD37343" w14:textId="77777777" w:rsidR="003754FE" w:rsidRDefault="003754FE" w:rsidP="003754FE">
      <w:pPr>
        <w:pStyle w:val="TextoNormal"/>
      </w:pPr>
      <w:r w:rsidRPr="003754FE">
        <w:rPr>
          <w:rStyle w:val="NumeroAFNegritaCaracter"/>
        </w:rPr>
        <w:t>1</w:t>
      </w:r>
      <w:r>
        <w:t xml:space="preserve">. </w:t>
      </w:r>
      <w:r w:rsidRPr="003754FE">
        <w:rPr>
          <w:i/>
        </w:rPr>
        <w:t>Objeto del recurso de amparo y pretensiones de las partes</w:t>
      </w:r>
    </w:p>
    <w:p w14:paraId="5EB5AF0B" w14:textId="77777777" w:rsidR="003754FE" w:rsidRDefault="003754FE" w:rsidP="003754FE">
      <w:pPr>
        <w:pStyle w:val="TextoNormal"/>
      </w:pPr>
    </w:p>
    <w:p w14:paraId="2E91CA69" w14:textId="77777777" w:rsidR="003754FE" w:rsidRDefault="003754FE" w:rsidP="003754FE">
      <w:pPr>
        <w:pStyle w:val="TextoNormal"/>
      </w:pPr>
      <w:r>
        <w:t>La demanda de amparo impugna el auto de 2 de junio de 2022 dictado por el Juzgado de lo Contencioso-Administrativo núm. 2 de Badajoz en la pieza de impugnación de la tasación de costas núm. 3-2022, que desestima el recurso de revisión interpuesto contra el decreto de 16 de mayo de 2022, en virtud del cual se excluyen de la tasación de costas, derivada de la condena en costas declarada por sentencia, los honorarios del letrado de la demandante.</w:t>
      </w:r>
    </w:p>
    <w:p w14:paraId="186F5133" w14:textId="77777777" w:rsidR="003754FE" w:rsidRDefault="003754FE" w:rsidP="003754FE">
      <w:pPr>
        <w:pStyle w:val="TextoNormal"/>
      </w:pPr>
    </w:p>
    <w:p w14:paraId="7EBE64AE" w14:textId="77777777" w:rsidR="003754FE" w:rsidRDefault="003754FE" w:rsidP="003754FE">
      <w:pPr>
        <w:pStyle w:val="TextoNormal"/>
      </w:pPr>
      <w:r>
        <w:t xml:space="preserve">Para la recurrente, el órgano jurisdiccional ha vulnerado su derecho a la tutela judicial efectiva (art. 24.1 CE), así como el derecho de asistencia y defensa letrada (art. 24.2 CE), al haber incurrido en una interpretación irracional de las previsiones legales. Considera que la controversia suscitada es idéntica a la resuelta por la STC 10/2022, de 7 de febrero, toda vez que el Juzgado de lo Contencioso-Administrativo núm. 2 de Badajoz excluye de la tasación de costas los honorarios del letrado de la demandante con el argumento de que su intervención no es preceptiva, lo que supone una carga adicional para el recurrente con innegables efectos disuasorios, porque tendrá que asumir los derechos y honorarios devengados por su </w:t>
      </w:r>
      <w:r>
        <w:lastRenderedPageBreak/>
        <w:t>representación y asistencia técnica, a los que, cuando proceda y cuando menos, se sumarán los gastos derivados de la intervención del letrado de la administración de que se trate.</w:t>
      </w:r>
    </w:p>
    <w:p w14:paraId="716062A2" w14:textId="77777777" w:rsidR="003754FE" w:rsidRDefault="003754FE" w:rsidP="003754FE">
      <w:pPr>
        <w:pStyle w:val="TextoNormal"/>
      </w:pPr>
    </w:p>
    <w:p w14:paraId="2B1616A6" w14:textId="77777777" w:rsidR="003754FE" w:rsidRDefault="003754FE" w:rsidP="003754FE">
      <w:pPr>
        <w:pStyle w:val="TextoNormal"/>
      </w:pPr>
      <w:r>
        <w:t>La abogada de la Junta de Extremadura se opone al recurso y expresa su discrepancia en relación con el criterio que se contiene en la STC 10/2022, de 7 de febrero, a la que se alude por la recurrente como fundamento de la demanda de amparo.</w:t>
      </w:r>
    </w:p>
    <w:p w14:paraId="1D3A7DA7" w14:textId="77777777" w:rsidR="003754FE" w:rsidRDefault="003754FE" w:rsidP="003754FE">
      <w:pPr>
        <w:pStyle w:val="TextoNormal"/>
      </w:pPr>
    </w:p>
    <w:p w14:paraId="6040E303" w14:textId="760B0EF0" w:rsidR="003754FE" w:rsidRDefault="003754FE" w:rsidP="003754FE">
      <w:pPr>
        <w:pStyle w:val="TextoNormal"/>
      </w:pPr>
      <w:r>
        <w:t>El Ministerio Fiscal se manifiesta favorable a la estimación del recurso al considerar que debe aplicarse la doctrina constitucional expuesta en la STC 10/2022, que resolvió un supuesto análogo al que plantea la recurrente.</w:t>
      </w:r>
    </w:p>
    <w:p w14:paraId="08CD5B83" w14:textId="77777777" w:rsidR="003754FE" w:rsidRDefault="003754FE" w:rsidP="003754FE">
      <w:pPr>
        <w:pStyle w:val="TextoNormal"/>
      </w:pPr>
    </w:p>
    <w:p w14:paraId="294E56BC" w14:textId="77777777" w:rsidR="003754FE" w:rsidRDefault="003754FE" w:rsidP="003754FE">
      <w:pPr>
        <w:pStyle w:val="TextoNormal"/>
      </w:pPr>
      <w:r w:rsidRPr="003754FE">
        <w:rPr>
          <w:rStyle w:val="NumeroAFNegritaCaracter"/>
        </w:rPr>
        <w:t>2</w:t>
      </w:r>
      <w:r>
        <w:t xml:space="preserve">. </w:t>
      </w:r>
      <w:r w:rsidRPr="003754FE">
        <w:rPr>
          <w:i/>
        </w:rPr>
        <w:t>Aplicación de la doctrina constitucional sentada en la STC 10/2022, de 7 de febrero</w:t>
      </w:r>
    </w:p>
    <w:p w14:paraId="7D7828E9" w14:textId="77777777" w:rsidR="003754FE" w:rsidRDefault="003754FE" w:rsidP="003754FE">
      <w:pPr>
        <w:pStyle w:val="TextoNormal"/>
      </w:pPr>
    </w:p>
    <w:p w14:paraId="04BA6B78" w14:textId="77777777" w:rsidR="003754FE" w:rsidRDefault="003754FE" w:rsidP="003754FE">
      <w:pPr>
        <w:pStyle w:val="TextoNormal"/>
      </w:pPr>
      <w:r>
        <w:t>La cuestión constitucional suscitada en este recurso de amparo en relación con el derecho fundamental a la tutela judicial efectiva (art. 24.1 CE), en su vertiente de derecho de acceso al proceso, así como sobre el derecho de defensa y a la asistencia letrada (art. 24.2 CE), como bien afirman la demandante y el Ministerio Fiscal, es la misma que ya ha sido objeto de análisis por este tribunal en la STC 10/2022 al resolver el recurso de amparo interpuesto entonces frente a una resolución de contenido similar a la actualmente recurrida.</w:t>
      </w:r>
    </w:p>
    <w:p w14:paraId="2CA39BB5" w14:textId="77777777" w:rsidR="003754FE" w:rsidRDefault="003754FE" w:rsidP="003754FE">
      <w:pPr>
        <w:pStyle w:val="TextoNormal"/>
      </w:pPr>
    </w:p>
    <w:p w14:paraId="598C531A" w14:textId="77777777" w:rsidR="003754FE" w:rsidRDefault="003754FE" w:rsidP="003754FE">
      <w:pPr>
        <w:pStyle w:val="TextoNormal"/>
      </w:pPr>
      <w:r>
        <w:t>En los fundamentos jurídicos 3 y 4 de dicha sentencia, a los que nos remitimos expresamente, se expuso de manera pormenorizada nuestra doctrina sobre el contenido y alcance de los derechos invocados y se concluyó que la interpretación y aplicación efectuada entonces del art. 32.5 LEC, análoga a la realizada en la resolución impugnada, era “totalmente irrazonable” atendido el contenido de los derechos invocados. En tal sentido indicamos (FJ 4):</w:t>
      </w:r>
    </w:p>
    <w:p w14:paraId="448AB2B5" w14:textId="77777777" w:rsidR="003754FE" w:rsidRDefault="003754FE" w:rsidP="003754FE">
      <w:pPr>
        <w:pStyle w:val="TextoNormal"/>
      </w:pPr>
    </w:p>
    <w:p w14:paraId="4AAAA754" w14:textId="77777777" w:rsidR="003754FE" w:rsidRDefault="003754FE" w:rsidP="003754FE">
      <w:pPr>
        <w:pStyle w:val="TextoNormal"/>
      </w:pPr>
      <w:r>
        <w:t>“Pues bien, resulta evidente que la selección e interpretación de la normativa aplicable llevada a cabo por el juzgado comporta, en la hipótesis excepcional prevista, una carga adicional al recurrente funcionario que, en ese caso, deberá asumir los derechos y honorarios devengados por su representación y asistencia técnica, a los que, cuando proceda y cuando menos, se sumarán los gastos derivados de la intervención del letrado de la administración de que se trate. Ante esa perspectiva, el derecho a la asistencia letrada perderá atractivo para el servidor público afectado, pues su libre ejercicio se grava económicamente; y, por la misma razón, tal lectura tendrá efectos disuasorios sobre el ejercicio por el funcionario del derecho de acceso a la jurisdicción.</w:t>
      </w:r>
    </w:p>
    <w:p w14:paraId="710C5A8C" w14:textId="77777777" w:rsidR="003754FE" w:rsidRDefault="003754FE" w:rsidP="003754FE">
      <w:pPr>
        <w:pStyle w:val="TextoNormal"/>
      </w:pPr>
    </w:p>
    <w:p w14:paraId="249C918A" w14:textId="77777777" w:rsidR="003754FE" w:rsidRDefault="003754FE" w:rsidP="003754FE">
      <w:pPr>
        <w:pStyle w:val="TextoNormal"/>
      </w:pPr>
      <w:r>
        <w:t xml:space="preserve">[…] consideramos necesario realizar una lectura más acorde con la relevancia constitucional de la asistencia letrada y del pronunciamiento en costas a efectos de asegurar la plena salvaguarda de los derechos concernidos. Para ello bastará con interpretar la excepción dispuesta en ese apartado 3 del art. 23 LJCA como una facultad reconocida a los funcionarios públicos que, en la situación objetiva descrita, les permite optar entre la defensa técnica o la autodefensa de sus intereses. Esa interpretación resulta avalada por la propia literalidad del precepto, que utiliza el vocablo ‘podrán’, connotando la posibilidad de que no operen las reglas dispuestas en los dos primeros apartados de ese precepto, en virtud de las cuales resultaría preceptiva la asistencia letrada en las actuaciones ante órganos jurisdiccionales unipersonales (art. 23.1 LJCA), y esa asistencia técnica por abogado y la representación por medio de procurador cuando se trate de actuaciones ante órganos colegiados (art. 23.2 </w:t>
      </w:r>
      <w:r>
        <w:lastRenderedPageBreak/>
        <w:t>LJCA). Por lo demás, es la interpretación que se desprende de la voluntad expresada por el legislador. En el propio preámbulo de la Ley 42/2015, de 5 de octubre, de reforma de la Ley 1/2000, de 7 de enero, de enjuiciamiento civil, que introduce la previsión del art. 23.3 LJCA, recuperando una posibilidad que había existido antes en dicha Ley, justifica tal introducción señalando que se hace ‘para permitir que los funcionarios públicos, que no tienen reconocido el derecho de justicia gratuita con independencia de sus recursos, puedan comparecer por sí mismos en defensa de sus derechos estatutarios, cuando se refieran a cuestiones de personal que no impliquen separación de empleados públicos inamovibles, con lo que se recupera la regulación ya existente con anterioridad a la Ley 10/2012’. De esta explicación se desprende claramente el carácter potestativo que se otorga a la previsión del art. 23.3 LJCA.</w:t>
      </w:r>
    </w:p>
    <w:p w14:paraId="711AF787" w14:textId="77777777" w:rsidR="003754FE" w:rsidRDefault="003754FE" w:rsidP="003754FE">
      <w:pPr>
        <w:pStyle w:val="TextoNormal"/>
      </w:pPr>
    </w:p>
    <w:p w14:paraId="43486F28" w14:textId="77777777" w:rsidR="003754FE" w:rsidRDefault="003754FE" w:rsidP="003754FE">
      <w:pPr>
        <w:pStyle w:val="TextoNormal"/>
      </w:pPr>
      <w:r>
        <w:t>De acuerdo con esa intelección, las resoluciones impugnadas vulneraron el derecho a la tutela judicial efectiva, en relación con el derecho de defensa y a la asistencia letrada (art. 24.1 y 2 CE), toda vez que incurrieron en una interpretación irracional de los preceptos aplicables, carente de la suficiente cobertura legal, con efectos disuasorios del ejercicio por el recurrente de sus derechos de acceso a la jurisdicción y a la asistencia letrada”.</w:t>
      </w:r>
    </w:p>
    <w:p w14:paraId="59322B93" w14:textId="77777777" w:rsidR="003754FE" w:rsidRDefault="003754FE" w:rsidP="003754FE">
      <w:pPr>
        <w:pStyle w:val="TextoNormal"/>
      </w:pPr>
    </w:p>
    <w:p w14:paraId="2DA98869" w14:textId="4B123C9E" w:rsidR="003754FE" w:rsidRDefault="003754FE" w:rsidP="003754FE">
      <w:pPr>
        <w:pStyle w:val="TextoNormal"/>
      </w:pPr>
      <w:r>
        <w:t>En suma, como también se concluyó en la STC 10/2022, FJ 4, el Tribunal considera que la resolución impugnada ha vulnerado el derecho a la tutela judicial efectiva, en relación con el derecho de defensa y a la asistencia letrada (art. 24.1 y 2 CE), toda vez que incurrió en una interpretación irracional de los preceptos aplicables, carente de la suficiente cobertura legal y apartada de la doctrina constitucional, con efectos disuasorios del ejercicio por la recurrente de sus derechos de acceso a la jurisdicción y a la asistencia letrada.</w:t>
      </w:r>
    </w:p>
    <w:p w14:paraId="0F3E7A1F" w14:textId="77777777" w:rsidR="003754FE" w:rsidRDefault="003754FE" w:rsidP="003754FE">
      <w:pPr>
        <w:pStyle w:val="TextoNormal"/>
      </w:pPr>
    </w:p>
    <w:p w14:paraId="7BE22D61" w14:textId="77777777" w:rsidR="003754FE" w:rsidRDefault="003754FE" w:rsidP="003754FE">
      <w:pPr>
        <w:pStyle w:val="TextoNormalCentrado"/>
        <w:keepNext/>
      </w:pPr>
      <w:r>
        <w:t>FALLO</w:t>
      </w:r>
    </w:p>
    <w:p w14:paraId="201C180D" w14:textId="70D37952" w:rsidR="003754FE" w:rsidRDefault="003754FE" w:rsidP="003754FE">
      <w:pPr>
        <w:pStyle w:val="TextoNormalCentrado"/>
        <w:keepNext/>
      </w:pPr>
    </w:p>
    <w:p w14:paraId="44A4021F"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doña Concepción María Maján Díaz y, en su virtud:</w:t>
      </w:r>
    </w:p>
    <w:p w14:paraId="02967FD6" w14:textId="77777777" w:rsidR="003754FE" w:rsidRDefault="003754FE" w:rsidP="003754FE">
      <w:pPr>
        <w:pStyle w:val="TextoNormal"/>
      </w:pPr>
    </w:p>
    <w:p w14:paraId="72FE65FB" w14:textId="77777777" w:rsidR="003754FE" w:rsidRDefault="003754FE" w:rsidP="003754FE">
      <w:pPr>
        <w:pStyle w:val="TextoNormal"/>
      </w:pPr>
      <w:r>
        <w:t>1º Declarar que ha sido vulnerado el derecho fundamental de la demandante de amparo a la tutela judicial efectiva sin indefensión, en relación con el derecho de defensa y a la asistencia letrada (art. 24.1 y 2 CE).</w:t>
      </w:r>
    </w:p>
    <w:p w14:paraId="71861DF8" w14:textId="77777777" w:rsidR="003754FE" w:rsidRDefault="003754FE" w:rsidP="003754FE">
      <w:pPr>
        <w:pStyle w:val="TextoNormal"/>
      </w:pPr>
    </w:p>
    <w:p w14:paraId="7AF30201" w14:textId="77777777" w:rsidR="003754FE" w:rsidRDefault="003754FE" w:rsidP="003754FE">
      <w:pPr>
        <w:pStyle w:val="TextoNormal"/>
      </w:pPr>
      <w:r>
        <w:t>2º Restablecerla en su derecho y, en consecuencia, declarar la nulidad del auto de 2 de junio de 2022 dictado por el Juzgado de lo Contencioso-Administrativo núm. 2 de Badajoz en la pieza de impugnación de la tasación de costas núm. 3-2022.</w:t>
      </w:r>
    </w:p>
    <w:p w14:paraId="4EE2CE4E" w14:textId="77777777" w:rsidR="003754FE" w:rsidRDefault="003754FE" w:rsidP="003754FE">
      <w:pPr>
        <w:pStyle w:val="TextoNormal"/>
      </w:pPr>
    </w:p>
    <w:p w14:paraId="52C2A43E" w14:textId="2D723B33" w:rsidR="003754FE" w:rsidRDefault="003754FE" w:rsidP="003754FE">
      <w:pPr>
        <w:pStyle w:val="TextoNormal"/>
      </w:pPr>
      <w:r>
        <w:t>3º Retrotraer las actuaciones al momento inmediatamente anterior al dictado de la resolución impugnada, para que el órgano judicial dicte una nueva resolución que sea respetuosa con el derecho fundamental vulnerado.</w:t>
      </w:r>
    </w:p>
    <w:p w14:paraId="03BF9500" w14:textId="77777777" w:rsidR="003754FE" w:rsidRDefault="003754FE" w:rsidP="003754FE">
      <w:pPr>
        <w:pStyle w:val="TextoNormal"/>
      </w:pPr>
    </w:p>
    <w:p w14:paraId="06CCF7A1" w14:textId="77777777" w:rsidR="003754FE" w:rsidRDefault="003754FE" w:rsidP="003754FE">
      <w:pPr>
        <w:pStyle w:val="TextoNormal"/>
      </w:pPr>
      <w:r>
        <w:t>Publíquese esta sentencia en el “Boletín Oficial del Estado”.</w:t>
      </w:r>
    </w:p>
    <w:p w14:paraId="5EAF481C" w14:textId="77777777" w:rsidR="003754FE" w:rsidRDefault="003754FE" w:rsidP="003754FE">
      <w:pPr>
        <w:pStyle w:val="TextoNormal"/>
      </w:pPr>
      <w:r>
        <w:t>Dada en Madrid, a nueve de septiembre de dos mil veinticuatro.</w:t>
      </w:r>
    </w:p>
    <w:p w14:paraId="749C7FCB" w14:textId="32DF8A9B" w:rsidR="003754FE" w:rsidRDefault="003754FE">
      <w:pPr>
        <w:spacing w:after="160" w:line="278" w:lineRule="auto"/>
        <w:rPr>
          <w:rFonts w:ascii="Times New Roman" w:eastAsia="Times New Roman" w:hAnsi="Times New Roman" w:cs="Times New Roman"/>
          <w:sz w:val="24"/>
          <w:szCs w:val="24"/>
          <w:lang w:eastAsia="es-ES"/>
        </w:rPr>
      </w:pPr>
      <w:r>
        <w:br w:type="page"/>
      </w:r>
    </w:p>
    <w:p w14:paraId="617E1C7A" w14:textId="77777777" w:rsidR="003754FE" w:rsidRDefault="003754FE" w:rsidP="003754FE">
      <w:pPr>
        <w:pStyle w:val="TtuloResolucin"/>
      </w:pPr>
      <w:bookmarkStart w:id="14" w:name="SENTENCIA_2024_105"/>
      <w:r>
        <w:lastRenderedPageBreak/>
        <w:t>SENTENCIA 105/2024, de 9 de septiembre de 2024</w:t>
      </w:r>
    </w:p>
    <w:bookmarkEnd w:id="14"/>
    <w:p w14:paraId="616B76F4" w14:textId="77777777" w:rsidR="003754FE" w:rsidRDefault="003754FE" w:rsidP="003754FE">
      <w:pPr>
        <w:pStyle w:val="TtuloResolucin"/>
      </w:pPr>
      <w:r>
        <w:t>Sala Segunda</w:t>
      </w:r>
    </w:p>
    <w:p w14:paraId="4C70A1F2" w14:textId="77777777" w:rsidR="003754FE" w:rsidRDefault="003754FE" w:rsidP="003754FE">
      <w:pPr>
        <w:pStyle w:val="TtuloBOE"/>
      </w:pPr>
      <w:r>
        <w:t>(BOE núm. 247, de 12 de octubre de 2024)</w:t>
      </w:r>
    </w:p>
    <w:p w14:paraId="0AF536CB" w14:textId="77777777" w:rsidR="003754FE" w:rsidRDefault="003754FE" w:rsidP="003754FE">
      <w:pPr>
        <w:pStyle w:val="TextoNormalCentrado"/>
      </w:pPr>
      <w:r>
        <w:t>ECLI:ES:TC:2024:105</w:t>
      </w:r>
    </w:p>
    <w:p w14:paraId="131E92D2" w14:textId="16F332EC" w:rsidR="003754FE" w:rsidRDefault="003754FE" w:rsidP="003754FE">
      <w:pPr>
        <w:pStyle w:val="TextoNormalCentrado"/>
      </w:pPr>
    </w:p>
    <w:p w14:paraId="6EF8871C" w14:textId="77777777" w:rsidR="003754FE" w:rsidRDefault="003754FE" w:rsidP="003754FE">
      <w:pPr>
        <w:pStyle w:val="SntesisDescriptiva"/>
      </w:pPr>
      <w:r>
        <w:t>Recurso de amparo 6095-2022. Recurso de amparo 6095-2022. Promovido por doña Giselle Góngora Ramos en relación con los autos dictados por la Audiencia Provincial de Valladolid y un juzgado de instrucción de su capital que acordaron el sobreseimiento provisional de diligencias previas por un posible delito de lesiones.</w:t>
      </w:r>
    </w:p>
    <w:p w14:paraId="48107CC1" w14:textId="71C007CF" w:rsidR="003754FE" w:rsidRDefault="003754FE" w:rsidP="003754FE">
      <w:pPr>
        <w:pStyle w:val="SntesisDescriptiva"/>
      </w:pPr>
    </w:p>
    <w:p w14:paraId="41E9D96D" w14:textId="77777777" w:rsidR="003754FE" w:rsidRDefault="003754FE" w:rsidP="003754FE">
      <w:pPr>
        <w:pStyle w:val="SntesisAnaltica"/>
      </w:pPr>
      <w:r>
        <w:t>Vulneración del derecho a la tutela judicial efectiva, en relación con el derecho a la integridad física y moral: investigación insuficiente de una denuncia de lesiones y malos tratos que se dicen padecidos en institución penitenciaria (STC 33/2024).</w:t>
      </w:r>
    </w:p>
    <w:p w14:paraId="5F660C20" w14:textId="68EC0788" w:rsidR="003754FE" w:rsidRDefault="003754FE" w:rsidP="003754FE">
      <w:pPr>
        <w:pStyle w:val="SntesisAnaltica"/>
      </w:pPr>
    </w:p>
    <w:p w14:paraId="6F29DF97" w14:textId="5435BC16" w:rsidR="003754FE" w:rsidRDefault="003754FE" w:rsidP="003754FE">
      <w:pPr>
        <w:pStyle w:val="Extracto"/>
      </w:pPr>
      <w:r>
        <w:t>1.</w:t>
      </w:r>
      <w:r>
        <w:tab/>
        <w:t>Aplicación de doctrina sobre las exigencias constitucionales derivadas de los derechos a la tutela judicial efectiva (art. 24.1 CE) y a no ser sometido a tortura ni a tratos inhumanos o degradantes (art. 15 CE), en relación con las decisiones judiciales de sobreseimiento y archivo de instrucciones penales incoadas por denuncia de haber sufrido el mencionado tipo de tratos bajo custodia o en el contexto de actuaciones de agentes estatales (SSTC 120/1990, 130/2016 o 33/2024) [FJ 4].</w:t>
      </w:r>
    </w:p>
    <w:p w14:paraId="67AF3A12" w14:textId="77777777" w:rsidR="003754FE" w:rsidRDefault="003754FE" w:rsidP="003754FE">
      <w:pPr>
        <w:pStyle w:val="Extracto"/>
      </w:pPr>
    </w:p>
    <w:p w14:paraId="4BB617FC" w14:textId="77777777" w:rsidR="003754FE" w:rsidRDefault="003754FE" w:rsidP="003754FE">
      <w:pPr>
        <w:pStyle w:val="Extracto"/>
      </w:pPr>
    </w:p>
    <w:p w14:paraId="6DA91A60"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Enrique Arnaldo Alcubilla, don César Tolosa Tribiño y doña Laura Díez Bueso, ha pronunciado</w:t>
      </w:r>
    </w:p>
    <w:p w14:paraId="0D0FB97D" w14:textId="0592D95B" w:rsidR="003754FE" w:rsidRDefault="003754FE" w:rsidP="003754FE">
      <w:pPr>
        <w:pStyle w:val="TextoNormal"/>
      </w:pPr>
    </w:p>
    <w:p w14:paraId="0BF86C7F" w14:textId="77777777" w:rsidR="003754FE" w:rsidRDefault="003754FE" w:rsidP="003754FE">
      <w:pPr>
        <w:pStyle w:val="TextoNormalCentrado"/>
        <w:keepNext/>
      </w:pPr>
      <w:r>
        <w:t>EN NOMBRE DEL REY</w:t>
      </w:r>
    </w:p>
    <w:p w14:paraId="45FABAF0" w14:textId="3EE2558A" w:rsidR="003754FE" w:rsidRDefault="003754FE" w:rsidP="003754FE">
      <w:pPr>
        <w:pStyle w:val="TextoNormalCentrado"/>
        <w:keepNext/>
      </w:pPr>
    </w:p>
    <w:p w14:paraId="0F133E3E" w14:textId="77777777" w:rsidR="003754FE" w:rsidRDefault="003754FE" w:rsidP="003754FE">
      <w:pPr>
        <w:pStyle w:val="TextoNormalCentrado"/>
        <w:keepNext/>
      </w:pPr>
    </w:p>
    <w:p w14:paraId="330EB1ED" w14:textId="77777777" w:rsidR="003754FE" w:rsidRDefault="003754FE" w:rsidP="003754FE">
      <w:pPr>
        <w:pStyle w:val="TextoNormal"/>
      </w:pPr>
      <w:r>
        <w:t>la siguiente</w:t>
      </w:r>
    </w:p>
    <w:p w14:paraId="3A919F90" w14:textId="7FA333FF" w:rsidR="003754FE" w:rsidRDefault="003754FE" w:rsidP="003754FE">
      <w:pPr>
        <w:pStyle w:val="TextoNormal"/>
      </w:pPr>
    </w:p>
    <w:p w14:paraId="2551E9C3" w14:textId="77777777" w:rsidR="003754FE" w:rsidRDefault="003754FE" w:rsidP="003754FE">
      <w:pPr>
        <w:pStyle w:val="TextoNormalCentrado"/>
        <w:keepNext/>
      </w:pPr>
      <w:r>
        <w:t>SENTENCIA</w:t>
      </w:r>
    </w:p>
    <w:p w14:paraId="6E39088D" w14:textId="1D0A0AED" w:rsidR="003754FE" w:rsidRDefault="003754FE" w:rsidP="003754FE">
      <w:pPr>
        <w:pStyle w:val="TextoNormalCentrado"/>
        <w:keepNext/>
      </w:pPr>
    </w:p>
    <w:p w14:paraId="340682A4" w14:textId="77777777" w:rsidR="003754FE" w:rsidRDefault="003754FE" w:rsidP="003754FE">
      <w:pPr>
        <w:pStyle w:val="TextoNormal"/>
      </w:pPr>
      <w:r>
        <w:t>En el recurso de amparo núm. 6095-2022, interpuesto por doña Giselle Góngora Ramos contra el auto dictado el 4 de noviembre de 2021 por el Juzgado de Instrucción núm. 1 de Valladolid, que acuerda el sobreseimiento provisional de las diligencias previas núm. 1377-2021 y contra el auto de 6 de septiembre de 2022, dictado por la Sección Segunda de la Audiencia Provincial de Valladolid que desestima el recurso de apelación núm. 511-2022 interpuesto frente al anterior. Ha intervenido el Ministerio Fiscal. Ha sido ponente el magistrado don César Tolosa Tribiño.</w:t>
      </w:r>
    </w:p>
    <w:p w14:paraId="6246CC69" w14:textId="58F7C327" w:rsidR="003754FE" w:rsidRDefault="003754FE" w:rsidP="003754FE">
      <w:pPr>
        <w:pStyle w:val="TextoNormal"/>
      </w:pPr>
    </w:p>
    <w:p w14:paraId="77EE3C4F" w14:textId="77777777" w:rsidR="003754FE" w:rsidRDefault="003754FE" w:rsidP="003754FE">
      <w:pPr>
        <w:pStyle w:val="TextoNormalNegritaCentrado"/>
        <w:keepNext/>
      </w:pPr>
      <w:r>
        <w:t>I. Antecedentes</w:t>
      </w:r>
    </w:p>
    <w:p w14:paraId="58A274F7" w14:textId="6B6E0CCE" w:rsidR="003754FE" w:rsidRDefault="003754FE" w:rsidP="003754FE">
      <w:pPr>
        <w:pStyle w:val="TextoNormalNegritaCentrado"/>
        <w:keepNext/>
      </w:pPr>
    </w:p>
    <w:p w14:paraId="18C83F2E" w14:textId="1EBC7A3C" w:rsidR="003754FE" w:rsidRDefault="003754FE" w:rsidP="003754FE">
      <w:pPr>
        <w:pStyle w:val="TextoNormal"/>
      </w:pPr>
      <w:r w:rsidRPr="003754FE">
        <w:rPr>
          <w:rStyle w:val="NumeroAFNegritaCaracter"/>
        </w:rPr>
        <w:t>1</w:t>
      </w:r>
      <w:r>
        <w:t xml:space="preserve">. El día 16 de septiembre de 2022 tuvo entrada en el registro general de este tribunal un escrito por el que doña Giselle Góngora Ramos solicitaba la designación de abogado y </w:t>
      </w:r>
      <w:r>
        <w:lastRenderedPageBreak/>
        <w:t>procurador de los tribunales a los efectos de la interposición de la demanda de amparo. Previos los correspondientes trámites, el 5 de diciembre de 2022 se registró la demanda de amparo presentada contra los autos mencionados en el encabezamiento de esta sentencia por doña Olga Romojaro Casado, como procuradora de los tribunales, en representación de la demandante y asistida por la letrada doña María Leandra Bris García.</w:t>
      </w:r>
    </w:p>
    <w:p w14:paraId="78E1DF60" w14:textId="77777777" w:rsidR="003754FE" w:rsidRDefault="003754FE" w:rsidP="003754FE">
      <w:pPr>
        <w:pStyle w:val="TextoNormal"/>
      </w:pPr>
    </w:p>
    <w:p w14:paraId="4AC865D6" w14:textId="77777777" w:rsidR="003754FE" w:rsidRDefault="003754FE" w:rsidP="003754FE">
      <w:pPr>
        <w:pStyle w:val="TextoNormal"/>
      </w:pPr>
      <w:r w:rsidRPr="003754FE">
        <w:rPr>
          <w:rStyle w:val="NumeroAFNegritaCaracter"/>
        </w:rPr>
        <w:t>2</w:t>
      </w:r>
      <w:r>
        <w:t>. Los hechos relevantes para la resolución del recurso de amparo y que resultan de las actuaciones recibidas son los siguientes:</w:t>
      </w:r>
    </w:p>
    <w:p w14:paraId="28B7E364" w14:textId="77777777" w:rsidR="003754FE" w:rsidRDefault="003754FE" w:rsidP="003754FE">
      <w:pPr>
        <w:pStyle w:val="TextoNormal"/>
      </w:pPr>
    </w:p>
    <w:p w14:paraId="1E28AD29" w14:textId="77777777" w:rsidR="003754FE" w:rsidRDefault="003754FE" w:rsidP="003754FE">
      <w:pPr>
        <w:pStyle w:val="TextoNormal"/>
      </w:pPr>
      <w:r>
        <w:t>a) El día 16 de septiembre de 2021 se registró en el Juzgado de Instrucción núm. 5 de Valladolid, en funciones de guardia, la denuncia manuscrita remitida por la ahora demandante de amparo, en situación de presa preventiva en el Centro Penitenciario de Valladolid (Villanubla).</w:t>
      </w:r>
    </w:p>
    <w:p w14:paraId="099D4DCB" w14:textId="77777777" w:rsidR="003754FE" w:rsidRDefault="003754FE" w:rsidP="003754FE">
      <w:pPr>
        <w:pStyle w:val="TextoNormal"/>
      </w:pPr>
    </w:p>
    <w:p w14:paraId="0354E1A1" w14:textId="77777777" w:rsidR="003754FE" w:rsidRDefault="003754FE" w:rsidP="003754FE">
      <w:pPr>
        <w:pStyle w:val="TextoNormal"/>
      </w:pPr>
      <w:r>
        <w:t>En la denuncia firmada el 10 de septiembre de ese mismo año en el centro penitenciario relata:</w:t>
      </w:r>
    </w:p>
    <w:p w14:paraId="180789FE" w14:textId="77777777" w:rsidR="003754FE" w:rsidRDefault="003754FE" w:rsidP="003754FE">
      <w:pPr>
        <w:pStyle w:val="TextoNormal"/>
      </w:pPr>
    </w:p>
    <w:p w14:paraId="6A020AEB" w14:textId="77777777" w:rsidR="003754FE" w:rsidRDefault="003754FE" w:rsidP="003754FE">
      <w:pPr>
        <w:pStyle w:val="TextoNormal"/>
      </w:pPr>
      <w:r>
        <w:t>“El día 9 de agosto 2021 fui agredida física y verbalmente por el jefe de seguridad del centro penitenciario [de] Villanubla módulo 5[,] el cual llegó a mi celda con el objetivo de desnudarme para él comprobar si yo tenía pene o vagina al oponerme a tal acto de atropello contra mi integridad ya que estaba confinada por los protocolos de bioseguridad por el covid-19[,] al no quitarme la ropa me agredió físicamente de tal manera que recibí un fuerte golpe en mis glúteos que al día de hoy me afecta para poder sentarme y caminar bien ya que los tengo rellenos de silicona y dicha agresión (golpe) me [ha] afectado [a] mi salud. [A]parte comuniqué mi estado de salud al personal del centro penitenciario y ha sido tan indiferente a dicha situación vulnerando aún más mi estado emocional[.]</w:t>
      </w:r>
    </w:p>
    <w:p w14:paraId="54B60621" w14:textId="77777777" w:rsidR="003754FE" w:rsidRDefault="003754FE" w:rsidP="003754FE">
      <w:pPr>
        <w:pStyle w:val="TextoNormal"/>
      </w:pPr>
    </w:p>
    <w:p w14:paraId="73F00DC1" w14:textId="77777777" w:rsidR="003754FE" w:rsidRDefault="003754FE" w:rsidP="003754FE">
      <w:pPr>
        <w:pStyle w:val="TextoNormal"/>
      </w:pPr>
      <w:r>
        <w:t>- [S]olicito valoración médica por médico forense.</w:t>
      </w:r>
    </w:p>
    <w:p w14:paraId="24BFB993" w14:textId="77777777" w:rsidR="003754FE" w:rsidRDefault="003754FE" w:rsidP="003754FE">
      <w:pPr>
        <w:pStyle w:val="TextoNormal"/>
      </w:pPr>
    </w:p>
    <w:p w14:paraId="0D2629A9" w14:textId="77777777" w:rsidR="003754FE" w:rsidRDefault="003754FE" w:rsidP="003754FE">
      <w:pPr>
        <w:pStyle w:val="TextoNormal"/>
      </w:pPr>
      <w:r>
        <w:t>- [A]sistencia médica especializada y ratificado de esta denuncia.</w:t>
      </w:r>
    </w:p>
    <w:p w14:paraId="357C2066" w14:textId="77777777" w:rsidR="003754FE" w:rsidRDefault="003754FE" w:rsidP="003754FE">
      <w:pPr>
        <w:pStyle w:val="TextoNormal"/>
      </w:pPr>
    </w:p>
    <w:p w14:paraId="7A841B95" w14:textId="77777777" w:rsidR="003754FE" w:rsidRDefault="003754FE" w:rsidP="003754FE">
      <w:pPr>
        <w:pStyle w:val="TextoNormal"/>
      </w:pPr>
      <w:r>
        <w:t>Pueden solicitar el nombre de dicho funcionario que estuvo de servicio el día 9 de agosto [en el] módulo 5, al centro penitenciario y yo estoy dispuesta al reconocimiento de él llegado el caso. Ya he pasado escrito al Defensor del Pueblo el cual registró dicho atropello con el núm. de expediente 21020808. También tengo copia de las respectivas cartas y audiencias que he tenido con el director del centro penitenciario, subdirector médico, los cuales no me han dado solución alguna a la situación complicada de salud por la que estoy pasando debido a la magnitud de dicha agresión”.</w:t>
      </w:r>
    </w:p>
    <w:p w14:paraId="107D2EC1" w14:textId="77777777" w:rsidR="003754FE" w:rsidRDefault="003754FE" w:rsidP="003754FE">
      <w:pPr>
        <w:pStyle w:val="TextoNormal"/>
      </w:pPr>
    </w:p>
    <w:p w14:paraId="48BF1D56" w14:textId="77777777" w:rsidR="003754FE" w:rsidRDefault="003754FE" w:rsidP="003754FE">
      <w:pPr>
        <w:pStyle w:val="TextoNormal"/>
      </w:pPr>
      <w:r>
        <w:t>b) Por diligencia de ordenación de 20 de septiembre de 2021 del Juzgado de Instrucción núm. 5 de Valladolid se acordó la incoación de diligencias indeterminadas y su remisión al Juzgado Decano quien la repartió al Juzgado de Instrucción núm. 1 de Valladolid, que, por auto de 2 de octubre siguiente, acordó la iniciación de las diligencias previas núm. 1377-2021; librar oficio al centro penitenciario a fin de que se identificara al jefe de servicio denunciado y el reconocimiento médico forense de las lesiones sufridas por la denunciante. Posteriormente, por providencia de 11 de octubre de 2021, se acordó librar oficio al centro penitenciario a fin de que se informara sobre la atención recibida por la denunciante con ocasión de las lesiones del día 9 de agosto de 2021.</w:t>
      </w:r>
    </w:p>
    <w:p w14:paraId="1E2AEE19" w14:textId="77777777" w:rsidR="003754FE" w:rsidRDefault="003754FE" w:rsidP="003754FE">
      <w:pPr>
        <w:pStyle w:val="TextoNormal"/>
      </w:pPr>
    </w:p>
    <w:p w14:paraId="6C617CCE" w14:textId="77777777" w:rsidR="003754FE" w:rsidRDefault="003754FE" w:rsidP="003754FE">
      <w:pPr>
        <w:pStyle w:val="TextoNormal"/>
      </w:pPr>
      <w:r>
        <w:t>c) El día 6 de octubre de 2021 por el médico forense se informó que “en la documentación remitida, la informada denuncia una agresión sucedida el 9 de agosto de 2021 consistente en una contusión en los glúteos. Que no puede emitir informe de sanidad estimativo de las lesiones al no disponer de parte de lesiones de esa fecha o informe clínico alguno”.</w:t>
      </w:r>
    </w:p>
    <w:p w14:paraId="11657970" w14:textId="77777777" w:rsidR="003754FE" w:rsidRDefault="003754FE" w:rsidP="003754FE">
      <w:pPr>
        <w:pStyle w:val="TextoNormal"/>
      </w:pPr>
    </w:p>
    <w:p w14:paraId="2D6BFE5D" w14:textId="77777777" w:rsidR="003754FE" w:rsidRDefault="003754FE" w:rsidP="003754FE">
      <w:pPr>
        <w:pStyle w:val="TextoNormal"/>
      </w:pPr>
      <w:r>
        <w:t>d) El 28 de octubre de 2021 se registró informe firmado el día anterior por el director del centro penitenciario, con el siguiente contenido:</w:t>
      </w:r>
    </w:p>
    <w:p w14:paraId="53CCC162" w14:textId="77777777" w:rsidR="003754FE" w:rsidRDefault="003754FE" w:rsidP="003754FE">
      <w:pPr>
        <w:pStyle w:val="TextoNormal"/>
      </w:pPr>
    </w:p>
    <w:p w14:paraId="45019748" w14:textId="77777777" w:rsidR="003754FE" w:rsidRDefault="003754FE" w:rsidP="003754FE">
      <w:pPr>
        <w:pStyle w:val="TextoNormal"/>
      </w:pPr>
      <w:r>
        <w:t>(i) Relata que la denunciante ingresó el día 6 de agosto de 2021 (viernes) por la tarde en el centro y ante su apariencia de género femenino fue destinada a la unidad de mujeres. El lunes siguiente, el jefe de servicio fue informado de que la interna se encontraba en un periodo de transición no concluido, al faltar la intervención sobre los genitales y, ante la inquietud que se estaba produciendo en el módulo de mujeres, previa consulta al mando de incidencias, el jefe de servicio acudió a la celda de doña Gisella, acompañado de las dos funcionarias de servicio “para hacer entender a la interna la necesidad de verificar de manera voluntaria si se encontraba, o no, operada, dada la trascendencia de este dato en algunos aspectos de la vida regimental”.</w:t>
      </w:r>
    </w:p>
    <w:p w14:paraId="7B25923E" w14:textId="77777777" w:rsidR="003754FE" w:rsidRDefault="003754FE" w:rsidP="003754FE">
      <w:pPr>
        <w:pStyle w:val="TextoNormal"/>
      </w:pPr>
    </w:p>
    <w:p w14:paraId="22419C52" w14:textId="77777777" w:rsidR="003754FE" w:rsidRDefault="003754FE" w:rsidP="003754FE">
      <w:pPr>
        <w:pStyle w:val="TextoNormal"/>
      </w:pPr>
      <w:r>
        <w:t>(ii) Destaca que la versión del jefe de servicio en el informe que acompaña es “el relato más fidedigno de los hechos, tanto a la vista de las investigaciones realizadas por esta dirección […] como de las actuaciones habituales de este trabajador”. Añade, que las declaraciones de las funcionarias que presenciaron lo sucedido abundan en la falsedad de los hechos descritos, ya que “ni se le llegó a cachear ni a presionar de ninguna forma, tan solo se intentó hacer entender a la interna la relevancia de este dato, en todo momento en tono muy correcto y con la única finalidad de organizar la vida regimental de la unidad”. Refiere que ni ese día, ni en todos los que permaneció en el centro “se le llegó a desnudar de forma completa o, de otra forma, contemplados sus genitales; precisamente, para no vulnerar su intimidad personal”.</w:t>
      </w:r>
    </w:p>
    <w:p w14:paraId="66B275F8" w14:textId="77777777" w:rsidR="003754FE" w:rsidRDefault="003754FE" w:rsidP="003754FE">
      <w:pPr>
        <w:pStyle w:val="TextoNormal"/>
      </w:pPr>
    </w:p>
    <w:p w14:paraId="71746F37" w14:textId="77777777" w:rsidR="003754FE" w:rsidRDefault="003754FE" w:rsidP="003754FE">
      <w:pPr>
        <w:pStyle w:val="TextoNormal"/>
      </w:pPr>
      <w:r>
        <w:t>(iii) Expone el principio de separación y clasificación interior por sexos (art. 16 de la Ley Orgánica 1/1979, de 26 de septiembre, general penitenciaria) y la Instrucción 1/2001 de la Dirección General de Instituciones Penitenciarias, en la que en caso de transexuales el criterio de separación interior por sexos parte de la “identidad sexual aparente” tomando en consideración sus caracteres fisiológicos y su apariencia externa, obviando criterios como pudiera ser la identidad psicosocial de género. Añade que deben tomarse precauciones para la convivencia del resto de personas, pues en el caso de la prisión de Valladolid las duchas son colectivas para cada unidad y se utilizan en un horario general para todo el módulo.</w:t>
      </w:r>
    </w:p>
    <w:p w14:paraId="736C14AE" w14:textId="77777777" w:rsidR="003754FE" w:rsidRDefault="003754FE" w:rsidP="003754FE">
      <w:pPr>
        <w:pStyle w:val="TextoNormal"/>
      </w:pPr>
    </w:p>
    <w:p w14:paraId="37D19887" w14:textId="77777777" w:rsidR="003754FE" w:rsidRDefault="003754FE" w:rsidP="003754FE">
      <w:pPr>
        <w:pStyle w:val="TextoNormal"/>
      </w:pPr>
      <w:r>
        <w:t>(iv) En relación con la atención médica prestada refiere que no se dispone de su historia clínica por el traslado de la interna, pero que se puede aportar el informe remitido al Juzgado de Vigilancia Penitenciaria el 14 de septiembre de 2021 para instruir la queja núm. G28 2739-2021. En el citado informe se indicaba: “Con fecha 11 de agosto de 2021 se grabó por el Hospital Clínico Universitario asignación de fecha para la citada consulta para el próximo día 16 del corriente”.</w:t>
      </w:r>
    </w:p>
    <w:p w14:paraId="5572489D" w14:textId="77777777" w:rsidR="003754FE" w:rsidRDefault="003754FE" w:rsidP="003754FE">
      <w:pPr>
        <w:pStyle w:val="TextoNormal"/>
      </w:pPr>
    </w:p>
    <w:p w14:paraId="63D1CFCF" w14:textId="77777777" w:rsidR="003754FE" w:rsidRDefault="003754FE" w:rsidP="003754FE">
      <w:pPr>
        <w:pStyle w:val="TextoNormal"/>
      </w:pPr>
      <w:r>
        <w:lastRenderedPageBreak/>
        <w:t>Añade que el día 9 de agosto de 2021 la interna “ni fue atendida por lesiones ni las presentaba, ya que, en congruencia con lo señalado en los apartados anteriores, no se produjo ningún contacto físico con ella”. Sostiene que:</w:t>
      </w:r>
    </w:p>
    <w:p w14:paraId="36169F3E" w14:textId="77777777" w:rsidR="003754FE" w:rsidRDefault="003754FE" w:rsidP="003754FE">
      <w:pPr>
        <w:pStyle w:val="TextoNormal"/>
      </w:pPr>
    </w:p>
    <w:p w14:paraId="08B7FAFE" w14:textId="77777777" w:rsidR="003754FE" w:rsidRDefault="003754FE" w:rsidP="003754FE">
      <w:pPr>
        <w:pStyle w:val="TextoNormal"/>
      </w:pPr>
      <w:r>
        <w:t>“Al parecer, y según la propia interna expresó a esta dirección en audiencia personal, en un país de Hispanoamérica —ha proporcionado varias versiones al respecto— se sometió a intervención para el implante de silicona en pecho y nalgas, que le han producido derrames dolorosos. De este hecho, según constará anotado en la historia clínica, no se tuvo noticia hasta el día 14 de agosto, a pesar de que ambas funcionarias informantes manifiesten en su escrito que fue llevada a consulta el día 9 por los dolores que ya a esas horas sufría en varias zonas de su cuerpo. No obstante, según ha explicado el médico, no recuerda que le mencionara esas dolencias sino aspectos relativos a su cambio de sexo. La historia clínica digital solo se encuentra accesible en el centro de destino de la interna”.</w:t>
      </w:r>
    </w:p>
    <w:p w14:paraId="3807931F" w14:textId="77777777" w:rsidR="003754FE" w:rsidRDefault="003754FE" w:rsidP="003754FE">
      <w:pPr>
        <w:pStyle w:val="TextoNormal"/>
      </w:pPr>
    </w:p>
    <w:p w14:paraId="43354E94" w14:textId="77777777" w:rsidR="003754FE" w:rsidRDefault="003754FE" w:rsidP="003754FE">
      <w:pPr>
        <w:pStyle w:val="TextoNormal"/>
      </w:pPr>
      <w:r>
        <w:t>(v) Se acompaña al informe:</w:t>
      </w:r>
    </w:p>
    <w:p w14:paraId="79246E53" w14:textId="77777777" w:rsidR="003754FE" w:rsidRDefault="003754FE" w:rsidP="003754FE">
      <w:pPr>
        <w:pStyle w:val="TextoNormal"/>
      </w:pPr>
    </w:p>
    <w:p w14:paraId="4F0D7FB3" w14:textId="77777777" w:rsidR="003754FE" w:rsidRDefault="003754FE" w:rsidP="003754FE">
      <w:pPr>
        <w:pStyle w:val="TextoNormal"/>
      </w:pPr>
      <w:r>
        <w:t>- Declaración del jefe de servicios núm. 23579, de 13 de octubre de 2021, cuyo relato coincide con el expuesto por el director del centro.</w:t>
      </w:r>
    </w:p>
    <w:p w14:paraId="28E24223" w14:textId="77777777" w:rsidR="003754FE" w:rsidRDefault="003754FE" w:rsidP="003754FE">
      <w:pPr>
        <w:pStyle w:val="TextoNormal"/>
      </w:pPr>
    </w:p>
    <w:p w14:paraId="1A5EE378" w14:textId="77777777" w:rsidR="003754FE" w:rsidRDefault="003754FE" w:rsidP="003754FE">
      <w:pPr>
        <w:pStyle w:val="TextoNormal"/>
      </w:pPr>
      <w:r>
        <w:t>- Declaración de la funcionaria con núm. 96319, que refiere que junto con el jefe de servicios subieron a la celda para que voluntariamente doña Giselle permitiera comprobar su identidad sexual, explicándole que el motivo era para aclarar la situación y facilitar el normal desarrollo de la vida en el módulo. Añade que el jefe de servicios salió de la celda para que estuviera más cómoda y no se sintiera violentada. El diálogo mantenido fue en tono muy correcto, no habiendo ningún tipo de contacto físico con ella, ni por el jefe de servicios, ni de las funcionarias. Señala que cuando “vimos que no atendía a nuestra petición, desistimos y nos fuimos”. Añade que las declaraciones vertidas por la interna en su escrito son totalmente falsas.</w:t>
      </w:r>
    </w:p>
    <w:p w14:paraId="25936C31" w14:textId="77777777" w:rsidR="003754FE" w:rsidRDefault="003754FE" w:rsidP="003754FE">
      <w:pPr>
        <w:pStyle w:val="TextoNormal"/>
      </w:pPr>
    </w:p>
    <w:p w14:paraId="51B64229" w14:textId="77777777" w:rsidR="003754FE" w:rsidRDefault="003754FE" w:rsidP="003754FE">
      <w:pPr>
        <w:pStyle w:val="TextoNormal"/>
      </w:pPr>
      <w:r>
        <w:t>- Declaración de la funcionaria con núm. 72783, en que refiere que la mañana del día 9 de agosto la interna manifestó dolores en los pies, piernas y glúteos y fue llevada a consulta médica. Ratifica que sobre las 21:00 horas fue a la celda con otra funcionaria del servicio y el jefe de servicios a fin de comprobar si poseía genitales masculinos o femeninos, negándose la interna, abandonando la celda sin que hubiera ningún contacto físico.</w:t>
      </w:r>
    </w:p>
    <w:p w14:paraId="3AB07247" w14:textId="77777777" w:rsidR="003754FE" w:rsidRDefault="003754FE" w:rsidP="003754FE">
      <w:pPr>
        <w:pStyle w:val="TextoNormal"/>
      </w:pPr>
    </w:p>
    <w:p w14:paraId="29786D3B" w14:textId="77777777" w:rsidR="003754FE" w:rsidRDefault="003754FE" w:rsidP="003754FE">
      <w:pPr>
        <w:pStyle w:val="TextoNormal"/>
      </w:pPr>
      <w:r>
        <w:t>e) Por auto de 4 de noviembre de 2021, el Juzgado de Instrucción núm. 1 de Valladolid acordó el sobreseimiento provisional de la causa. Indica que “[d]e lo actuado no aparece debidamente justificada la perpetración del delito que ha dado motivo a la formación de la causa, por lo que procede decretar el sobreseimiento provisional de las actuaciones de acuerdo con lo dispuesto en el artículo 641.1 y, en su caso, en el artículo 779.1.1 de la Ley de enjuiciamiento criminal”.</w:t>
      </w:r>
    </w:p>
    <w:p w14:paraId="7351079A" w14:textId="77777777" w:rsidR="003754FE" w:rsidRDefault="003754FE" w:rsidP="003754FE">
      <w:pPr>
        <w:pStyle w:val="TextoNormal"/>
      </w:pPr>
    </w:p>
    <w:p w14:paraId="6617DBC2" w14:textId="77777777" w:rsidR="003754FE" w:rsidRDefault="003754FE" w:rsidP="003754FE">
      <w:pPr>
        <w:pStyle w:val="TextoNormal"/>
      </w:pPr>
      <w:r>
        <w:t>f) La demandante de amparo fue trasladada al Centro Penitenciario de León (Mansilla de las Mulas).</w:t>
      </w:r>
    </w:p>
    <w:p w14:paraId="614C0FFA" w14:textId="77777777" w:rsidR="003754FE" w:rsidRDefault="003754FE" w:rsidP="003754FE">
      <w:pPr>
        <w:pStyle w:val="TextoNormal"/>
      </w:pPr>
    </w:p>
    <w:p w14:paraId="1704EE4B" w14:textId="77777777" w:rsidR="003754FE" w:rsidRDefault="003754FE" w:rsidP="003754FE">
      <w:pPr>
        <w:pStyle w:val="TextoNormal"/>
      </w:pPr>
      <w:r>
        <w:t xml:space="preserve">El 13 de enero de 2022 redactó una nueva denuncia por los hechos acaecidos el 9 de agosto de 2021. Afirma en ella que desde su entrada en el centro recibió trato inhumano y denigrante por su orientación de género, fue hostigada por los funcionarios que realizaban </w:t>
      </w:r>
      <w:r>
        <w:lastRenderedPageBreak/>
        <w:t>el turno el referido día, que solo le preguntaban si tenía pene o vagina, motivo por el cual desde su ingreso fue sometida a diferentes ataques transfóbicos, xenofóbicos y racistas por parte del personal de dicha institución penitenciaria, ignorando la orden del juez que le envió a un módulo de mujeres.</w:t>
      </w:r>
    </w:p>
    <w:p w14:paraId="48438210" w14:textId="77777777" w:rsidR="003754FE" w:rsidRDefault="003754FE" w:rsidP="003754FE">
      <w:pPr>
        <w:pStyle w:val="TextoNormal"/>
      </w:pPr>
    </w:p>
    <w:p w14:paraId="708A5BEA" w14:textId="77777777" w:rsidR="003754FE" w:rsidRDefault="003754FE" w:rsidP="003754FE">
      <w:pPr>
        <w:pStyle w:val="TextoNormal"/>
      </w:pPr>
      <w:r>
        <w:t>Insiste en que el jefe de servicio subió a su celda para “comprobar por él mismo si yo dentro de mis piernas tenía pene o vagina palabras textuales dichas por el funcionario”, al constatar que yo tenía pene “fui agredida físicamente, verbalmente ya que él decía que era una burla al sistema penitenciario que un hombre disfrazado de mujer quiera estar en dicho módulo”.</w:t>
      </w:r>
    </w:p>
    <w:p w14:paraId="0340BC32" w14:textId="77777777" w:rsidR="003754FE" w:rsidRDefault="003754FE" w:rsidP="003754FE">
      <w:pPr>
        <w:pStyle w:val="TextoNormal"/>
      </w:pPr>
    </w:p>
    <w:p w14:paraId="7B6EB098" w14:textId="77777777" w:rsidR="003754FE" w:rsidRDefault="003754FE" w:rsidP="003754FE">
      <w:pPr>
        <w:pStyle w:val="TextoNormal"/>
      </w:pPr>
      <w:r>
        <w:t>Añade, que “[a]l recibir por parte de dicho trabajador tan brutal agresión [que no describe] vengo sufriendo al día de hoy una lesión con un traumatismo que afecta mis glúteos y entrepierna, que en mi proceso de transición me sometí a un aumento de glúteos hace siete años ya. A cinco meses de haber sufrido esta agresión presento dificultad al sentarme y caminar siendo valorada por médico en consulta externa en el Hospital Universitario de León tres meses después. El diagnóstico es que presento un empastamiento en glúteos y que el sistema de salud de España no cubre dicha cirugía, debo de recurrir a un cirujano plástico reconstructivo y someterme a múltiples cirugías”.</w:t>
      </w:r>
    </w:p>
    <w:p w14:paraId="38C9389F" w14:textId="77777777" w:rsidR="003754FE" w:rsidRDefault="003754FE" w:rsidP="003754FE">
      <w:pPr>
        <w:pStyle w:val="TextoNormal"/>
      </w:pPr>
    </w:p>
    <w:p w14:paraId="4FA1B1AA" w14:textId="77777777" w:rsidR="003754FE" w:rsidRDefault="003754FE" w:rsidP="003754FE">
      <w:pPr>
        <w:pStyle w:val="TextoNormal"/>
      </w:pPr>
      <w:r>
        <w:t>g) Recibida la denuncia, por auto de 11 de marzo de 2022 dictado por el Juzgado de Instrucción núm. 1 de Valladolid, fue acumulada a las diligencias previas núm. 1377-2021.</w:t>
      </w:r>
    </w:p>
    <w:p w14:paraId="205B78B8" w14:textId="77777777" w:rsidR="003754FE" w:rsidRDefault="003754FE" w:rsidP="003754FE">
      <w:pPr>
        <w:pStyle w:val="TextoNormal"/>
      </w:pPr>
    </w:p>
    <w:p w14:paraId="49C8AEB8" w14:textId="77777777" w:rsidR="003754FE" w:rsidRDefault="003754FE" w:rsidP="003754FE">
      <w:pPr>
        <w:pStyle w:val="TextoNormal"/>
      </w:pPr>
      <w:r>
        <w:t>h) Mediante escrito de 27 de junio de 2022 se interpuso recurso de apelación frente al auto de 4 de noviembre de 2021 por la procuradora y abogada designadas por el turno de oficio.</w:t>
      </w:r>
    </w:p>
    <w:p w14:paraId="619188FF" w14:textId="77777777" w:rsidR="003754FE" w:rsidRDefault="003754FE" w:rsidP="003754FE">
      <w:pPr>
        <w:pStyle w:val="TextoNormal"/>
      </w:pPr>
    </w:p>
    <w:p w14:paraId="2389EFFE" w14:textId="77777777" w:rsidR="003754FE" w:rsidRDefault="003754FE" w:rsidP="003754FE">
      <w:pPr>
        <w:pStyle w:val="TextoNormal"/>
      </w:pPr>
      <w:r>
        <w:t>(i) En el mismo se amplían aspectos de lo acontecido el 9 de agosto de 2021. Añade que el jefe de servicios “le dijo que se quitara la ropa, poniéndose de rodillas suplicándole que no la obligara a desnudarse […]. Cuando comenzó a desabrocharse el pantalón, el jefe de servicios se lo cogió y se lo bajó y al ver que tenía pene le insultó […] Entonces le dio un puñetazo en el pecho donde tiene una prótesis que le hizo bajar la cabeza y con la otra mano le empujó en el pecho, cayendo hacia atrás golpeándose con el borde de la cama de hormigón en los glúteos. En ese momento la funcionaria le entregó una bata y cerraron la puerta. […] al día siguiente no podía apenas moverse, solicitando ser vista por un médico. El mismo día la funcionaria le negó llamar al médico porque no era una urgencia, siendo vista al día siguiente por un médico que le reprochó que no hubiera dicho en el ingreso que era mujer”. Aporta con el recurso numerosos informes médicos.</w:t>
      </w:r>
    </w:p>
    <w:p w14:paraId="17BB8257" w14:textId="77777777" w:rsidR="003754FE" w:rsidRDefault="003754FE" w:rsidP="003754FE">
      <w:pPr>
        <w:pStyle w:val="TextoNormal"/>
      </w:pPr>
    </w:p>
    <w:p w14:paraId="66315A17" w14:textId="77777777" w:rsidR="003754FE" w:rsidRDefault="003754FE" w:rsidP="003754FE">
      <w:pPr>
        <w:pStyle w:val="TextoNormal"/>
      </w:pPr>
      <w:r>
        <w:t>Afirma que ha existido una instrucción insuficiente, ni tan siquiera se ha oído en declaración a la denunciante, no siendo posible la clausura de la instrucción existiendo sospechas razonables, lo que se traduce en la existencia de un especial mandato de agotar cuantas posibilidades de indagación resulten útiles.</w:t>
      </w:r>
    </w:p>
    <w:p w14:paraId="304B1560" w14:textId="77777777" w:rsidR="003754FE" w:rsidRDefault="003754FE" w:rsidP="003754FE">
      <w:pPr>
        <w:pStyle w:val="TextoNormal"/>
      </w:pPr>
    </w:p>
    <w:p w14:paraId="31989AD0" w14:textId="77777777" w:rsidR="003754FE" w:rsidRDefault="003754FE" w:rsidP="003754FE">
      <w:pPr>
        <w:pStyle w:val="TextoNormal"/>
      </w:pPr>
      <w:r>
        <w:t xml:space="preserve">Finalmente solicita que se practiquen diversas diligencias: (1) declaración de la denunciante y ofrecimiento de acciones; (2) oficios al Hospital Clínico Universitario de Valladolid y al Complejo Asistencial Universitario de León, al Consulado de Colombia, a los centros penitenciarios de Valladolid y de Mansilla de las Mulas, recabando informes, historiales </w:t>
      </w:r>
      <w:r>
        <w:lastRenderedPageBreak/>
        <w:t>médicos y grabación de la cámara de seguridad delante de la celda de la denunciante y (3) pericial médico forense sobre la contusión en los glúteos conforme al historial médico y la evolución de sus enfermedades como consecuencia de la falta de tratamiento.</w:t>
      </w:r>
    </w:p>
    <w:p w14:paraId="00220136" w14:textId="77777777" w:rsidR="003754FE" w:rsidRDefault="003754FE" w:rsidP="003754FE">
      <w:pPr>
        <w:pStyle w:val="TextoNormal"/>
      </w:pPr>
    </w:p>
    <w:p w14:paraId="5B9CDFFB" w14:textId="77777777" w:rsidR="003754FE" w:rsidRDefault="003754FE" w:rsidP="003754FE">
      <w:pPr>
        <w:pStyle w:val="TextoNormal"/>
      </w:pPr>
      <w:r>
        <w:t>(ii) Entre la documentación constan dos informes de 16 de septiembre de 2021, elaborados a las 10:34 y 12:33 horas, de los que resulta respectivamente que “[l]a paciente refiere que no se puede sentar debido a que ha sufrido una agresión hace unos días y los implantes de silicona del glúteo derecho se le han desplazado”, y “que desde hace un mes no se puede sentar por dolor en los glúteos y región proximal de muslos, a raíz de una caída sentada, cree que se le han podido desplazar las prótesis”; el informe del Defensor del Pueblo y la declaración recibida a la denunciante por videoconferencia por el inspector de la Subdirección General de Análisis e Inspección.</w:t>
      </w:r>
    </w:p>
    <w:p w14:paraId="1C872B13" w14:textId="77777777" w:rsidR="003754FE" w:rsidRDefault="003754FE" w:rsidP="003754FE">
      <w:pPr>
        <w:pStyle w:val="TextoNormal"/>
      </w:pPr>
    </w:p>
    <w:p w14:paraId="06D5DDFB" w14:textId="77777777" w:rsidR="003754FE" w:rsidRDefault="003754FE" w:rsidP="003754FE">
      <w:pPr>
        <w:pStyle w:val="TextoNormal"/>
      </w:pPr>
      <w:r>
        <w:t>(iii) En la declaración prestada por videoconferencia, la denunciante refiere:</w:t>
      </w:r>
    </w:p>
    <w:p w14:paraId="1824884C" w14:textId="77777777" w:rsidR="003754FE" w:rsidRDefault="003754FE" w:rsidP="003754FE">
      <w:pPr>
        <w:pStyle w:val="TextoNormal"/>
      </w:pPr>
    </w:p>
    <w:p w14:paraId="1739421A" w14:textId="77777777" w:rsidR="003754FE" w:rsidRDefault="003754FE" w:rsidP="003754FE">
      <w:pPr>
        <w:pStyle w:val="TextoNormal"/>
      </w:pPr>
      <w:r>
        <w:t>“El día 9 sobre las 4:45 de la tarde, ya habían bajado las internas al patio, subió a mi celda un jefe de servicios y me dijo que tenía que ver lo que tenía entre las piernas para ver si era un hombre y que me tenía que quitar la ropa, para comprobar si tenía pene. Yo le dije que sí lo tenía, pero era una mujer. Al final me quitó la ropa y al ver que tenía pene me insultó, y me dijo que era una vergüenza para las mujeres, y que no tenía que estar en ese módulo sino en el dos, que es de hombres. Entonces me empujó y me golpeé los glúteos contra la esquina de la cama que es de hormigón. Tras el golpe sentí dolor y al día siguiente no podía apenas moverme y solicité que me viera el médico que me dijo por qué no le dije que era una mujer trans cuando me vio al ingreso, luego me entrevistó la psicóloga, que me dijo que no iba a tener ningún problema en el centro, y luego el educador. La doctora me recetó medicación y se me amorataron los glúteos y no me podía sentar. Solicité ver a la doctora y ella me obligó a salir de la consulta y al día siguiente me recetaron una media que no me hacía nada, y Tramadol para el dolor […]. Luego escribí al Defensor del Pueblo y al Consulado de Colombia, y al Juzgado de Vigilancia, pero como era agosto y estaban de vacaciones solo me respondió el Defensor del Pueblo y el Consulado.</w:t>
      </w:r>
    </w:p>
    <w:p w14:paraId="272B5143" w14:textId="77777777" w:rsidR="003754FE" w:rsidRDefault="003754FE" w:rsidP="003754FE">
      <w:pPr>
        <w:pStyle w:val="TextoNormal"/>
      </w:pPr>
    </w:p>
    <w:p w14:paraId="7E9136FB" w14:textId="77777777" w:rsidR="003754FE" w:rsidRDefault="003754FE" w:rsidP="003754FE">
      <w:pPr>
        <w:pStyle w:val="TextoNormal"/>
      </w:pPr>
      <w:r>
        <w:t>[…]</w:t>
      </w:r>
    </w:p>
    <w:p w14:paraId="5DD0C0BE" w14:textId="77777777" w:rsidR="003754FE" w:rsidRDefault="003754FE" w:rsidP="003754FE">
      <w:pPr>
        <w:pStyle w:val="TextoNormal"/>
      </w:pPr>
    </w:p>
    <w:p w14:paraId="5935FED5" w14:textId="77777777" w:rsidR="003754FE" w:rsidRDefault="003754FE" w:rsidP="003754FE">
      <w:pPr>
        <w:pStyle w:val="TextoNormal"/>
      </w:pPr>
      <w:r>
        <w:t>La puerta de la celda la abrió la funcionaria que estaba de servicio en el módulo, y entró en la celda el jefe de servicios, pero ella permaneció en la puerta de la celda. […]. Comencé a desabrocharme el pantalón y él me lo cogió y me lo bajó y comenzó a decirme que ese no era mi sitio y que tenía que irme al módulo 2 que es de hombres. Me dio un puñetazo en el pecho donde tenía una prótesis que me hizo bajar la cabeza y con la otra mano me empujó en el pecho y caí hacia atrás golpeándome con el borde de la cama de hormigón en los glúteos. En ese momento entró la funcionara que estaba en la puerta y me trajo una bata, cuando ya no la necesitaba. […].</w:t>
      </w:r>
    </w:p>
    <w:p w14:paraId="0B41A0D8" w14:textId="77777777" w:rsidR="003754FE" w:rsidRDefault="003754FE" w:rsidP="003754FE">
      <w:pPr>
        <w:pStyle w:val="TextoNormal"/>
      </w:pPr>
    </w:p>
    <w:p w14:paraId="56101353" w14:textId="77777777" w:rsidR="003754FE" w:rsidRDefault="003754FE" w:rsidP="003754FE">
      <w:pPr>
        <w:pStyle w:val="TextoNormal"/>
      </w:pPr>
      <w:r>
        <w:t>Pregunta: ¿Solicitó usted ese día ser vista por el médico?</w:t>
      </w:r>
    </w:p>
    <w:p w14:paraId="53AA3D41" w14:textId="77777777" w:rsidR="003754FE" w:rsidRDefault="003754FE" w:rsidP="003754FE">
      <w:pPr>
        <w:pStyle w:val="TextoNormal"/>
      </w:pPr>
    </w:p>
    <w:p w14:paraId="04DB1B1C" w14:textId="77777777" w:rsidR="003754FE" w:rsidRDefault="003754FE" w:rsidP="003754FE">
      <w:pPr>
        <w:pStyle w:val="TextoNormal"/>
      </w:pPr>
      <w:r>
        <w:t xml:space="preserve">Respuesta: Sí y la funcionaria me lo negó, diciendo que no se trataba de una urgencia. El médico me vio al día siguiente y me reprochó que no lo hubiese dicho en el ingreso que se trataba de una mujer. </w:t>
      </w:r>
    </w:p>
    <w:p w14:paraId="288649C4" w14:textId="77777777" w:rsidR="003754FE" w:rsidRDefault="003754FE" w:rsidP="003754FE">
      <w:pPr>
        <w:pStyle w:val="TextoNormal"/>
      </w:pPr>
    </w:p>
    <w:p w14:paraId="26DF83D2" w14:textId="77777777" w:rsidR="003754FE" w:rsidRDefault="003754FE" w:rsidP="003754FE">
      <w:pPr>
        <w:pStyle w:val="TextoNormal"/>
      </w:pPr>
      <w:r>
        <w:lastRenderedPageBreak/>
        <w:t>Pregunta: ¿Le indicó usted que le había golpeado un funcionario?</w:t>
      </w:r>
    </w:p>
    <w:p w14:paraId="52B21E00" w14:textId="77777777" w:rsidR="003754FE" w:rsidRDefault="003754FE" w:rsidP="003754FE">
      <w:pPr>
        <w:pStyle w:val="TextoNormal"/>
      </w:pPr>
      <w:r>
        <w:t>Respuesta: No, le dije que me dolían los glúteos”.</w:t>
      </w:r>
    </w:p>
    <w:p w14:paraId="2566DFCA" w14:textId="77777777" w:rsidR="003754FE" w:rsidRDefault="003754FE" w:rsidP="003754FE">
      <w:pPr>
        <w:pStyle w:val="TextoNormal"/>
      </w:pPr>
    </w:p>
    <w:p w14:paraId="2269C30F" w14:textId="77777777" w:rsidR="003754FE" w:rsidRDefault="003754FE" w:rsidP="003754FE">
      <w:pPr>
        <w:pStyle w:val="TextoNormal"/>
      </w:pPr>
      <w:r>
        <w:t>(iv) En la resolución de la queja por el Defensor del Pueblo se indica:</w:t>
      </w:r>
    </w:p>
    <w:p w14:paraId="4300876D" w14:textId="77777777" w:rsidR="003754FE" w:rsidRDefault="003754FE" w:rsidP="003754FE">
      <w:pPr>
        <w:pStyle w:val="TextoNormal"/>
      </w:pPr>
    </w:p>
    <w:p w14:paraId="1FF181AE" w14:textId="77777777" w:rsidR="003754FE" w:rsidRDefault="003754FE" w:rsidP="003754FE">
      <w:pPr>
        <w:pStyle w:val="TextoNormal"/>
      </w:pPr>
      <w:r>
        <w:t>“[S]e le participa que se ha recibido de la Secretaría General de Instituciones Penitenciarias el informe que preceptúa el artículo 18 de la Ley Orgánica 3/1981, de 6 de abril, del Defensor del Pueblo.</w:t>
      </w:r>
    </w:p>
    <w:p w14:paraId="5BD24DB5" w14:textId="77777777" w:rsidR="003754FE" w:rsidRDefault="003754FE" w:rsidP="003754FE">
      <w:pPr>
        <w:pStyle w:val="TextoNormal"/>
      </w:pPr>
    </w:p>
    <w:p w14:paraId="394B1837" w14:textId="77777777" w:rsidR="003754FE" w:rsidRDefault="003754FE" w:rsidP="003754FE">
      <w:pPr>
        <w:pStyle w:val="TextoNormal"/>
      </w:pPr>
      <w:r>
        <w:t>En el mismo se informa de lo siguiente:</w:t>
      </w:r>
    </w:p>
    <w:p w14:paraId="65471B7B" w14:textId="77777777" w:rsidR="003754FE" w:rsidRDefault="003754FE" w:rsidP="003754FE">
      <w:pPr>
        <w:pStyle w:val="TextoNormal"/>
      </w:pPr>
    </w:p>
    <w:p w14:paraId="14C6CF4E" w14:textId="77777777" w:rsidR="003754FE" w:rsidRDefault="003754FE" w:rsidP="003754FE">
      <w:pPr>
        <w:pStyle w:val="TextoNormal"/>
      </w:pPr>
      <w:r>
        <w:t>‘Por parte de esta secretaría general, tras conocer el contenido de la queja, se procedió a verificar lo ocurrido y, por medio de la Subdirección General de Análisis e Inspección, a transmitir indicaciones a la dirección del Centro Penitenciario de Valladolid para garantizar que no vuelva a producirse una situación como la acontecida, ya que este cometido solo es factible en el contexto de un acto médico especialmente profesional y confidencial que debe ser competencia exclusiva de los facultativos del centro, quienes luego podrán informar a la dirección del centro penitenciario, para que disponga las medidas idóneas para la estancia de la persona transgénero en la unidad residencial más conveniente para la salvaguarda de sus derechos y evitar posibles problemas, si es que surgieran, que pudieran provenir del resto de personas internadas en el centro.</w:t>
      </w:r>
    </w:p>
    <w:p w14:paraId="1AB0CF36" w14:textId="77777777" w:rsidR="003754FE" w:rsidRDefault="003754FE" w:rsidP="003754FE">
      <w:pPr>
        <w:pStyle w:val="TextoNormal"/>
      </w:pPr>
    </w:p>
    <w:p w14:paraId="7662D084" w14:textId="77777777" w:rsidR="003754FE" w:rsidRDefault="003754FE" w:rsidP="003754FE">
      <w:pPr>
        <w:pStyle w:val="TextoNormal"/>
      </w:pPr>
      <w:r>
        <w:t>[…]</w:t>
      </w:r>
    </w:p>
    <w:p w14:paraId="6B5DA1DD" w14:textId="77777777" w:rsidR="003754FE" w:rsidRDefault="003754FE" w:rsidP="003754FE">
      <w:pPr>
        <w:pStyle w:val="TextoNormal"/>
      </w:pPr>
    </w:p>
    <w:p w14:paraId="61A8AB3C" w14:textId="77777777" w:rsidR="003754FE" w:rsidRDefault="003754FE" w:rsidP="003754FE">
      <w:pPr>
        <w:pStyle w:val="TextoNormal"/>
      </w:pPr>
      <w:r>
        <w:t>[S]e han comprobado las circunstancias de los hechos señalados por doña Giselle, determinando que, efectivamente, un jefe de servicios y dos funcionarias, tal como reconocen en todo momento, pretendieron efectuar esa verificación dirigiéndose a la celda de la interna, que estaba sola (por realizar cuarentena preventiva en evitación de contagios de covid-19), verificación que no llegaron a efectuar ante la negativa de la propia interna y que respetaron.</w:t>
      </w:r>
    </w:p>
    <w:p w14:paraId="7ABC8516" w14:textId="77777777" w:rsidR="003754FE" w:rsidRDefault="003754FE" w:rsidP="003754FE">
      <w:pPr>
        <w:pStyle w:val="TextoNormal"/>
      </w:pPr>
    </w:p>
    <w:p w14:paraId="5923EA89" w14:textId="77777777" w:rsidR="003754FE" w:rsidRDefault="003754FE" w:rsidP="003754FE">
      <w:pPr>
        <w:pStyle w:val="TextoNormal"/>
      </w:pPr>
      <w:r>
        <w:t>Dichos funcionarios interpretaron que ese era el correcto proceder dado que, con carácter previo, se había producido un cierto malestar por parte de otras internas del departamento. Tanto el jefe de servicios como las funcionarias intervinientes niegan cualquier tipo de contacto físico alguno con la interna y niegan, tajantemente, que se produjera agresión alguna.</w:t>
      </w:r>
    </w:p>
    <w:p w14:paraId="05A9FACA" w14:textId="77777777" w:rsidR="003754FE" w:rsidRDefault="003754FE" w:rsidP="003754FE">
      <w:pPr>
        <w:pStyle w:val="TextoNormal"/>
      </w:pPr>
    </w:p>
    <w:p w14:paraId="1AA141E6" w14:textId="77777777" w:rsidR="003754FE" w:rsidRDefault="003754FE" w:rsidP="003754FE">
      <w:pPr>
        <w:pStyle w:val="TextoNormal"/>
      </w:pPr>
      <w:r>
        <w:t>El director del Centro Penitenciario de Valladolid […] considera, igualmente, que la actuación del jefe de servicios y las dos funcionarias vino propiciada por cierto malestar manifestado por algunas internas.</w:t>
      </w:r>
    </w:p>
    <w:p w14:paraId="71C6BA15" w14:textId="77777777" w:rsidR="003754FE" w:rsidRDefault="003754FE" w:rsidP="003754FE">
      <w:pPr>
        <w:pStyle w:val="TextoNormal"/>
      </w:pPr>
    </w:p>
    <w:p w14:paraId="25BD30C1" w14:textId="77777777" w:rsidR="003754FE" w:rsidRDefault="003754FE" w:rsidP="003754FE">
      <w:pPr>
        <w:pStyle w:val="TextoNormal"/>
      </w:pPr>
      <w:r>
        <w:t>[…]</w:t>
      </w:r>
    </w:p>
    <w:p w14:paraId="47C243E7" w14:textId="77777777" w:rsidR="003754FE" w:rsidRDefault="003754FE" w:rsidP="003754FE">
      <w:pPr>
        <w:pStyle w:val="TextoNormal"/>
      </w:pPr>
    </w:p>
    <w:p w14:paraId="2DA585EB" w14:textId="77777777" w:rsidR="003754FE" w:rsidRDefault="003754FE" w:rsidP="003754FE">
      <w:pPr>
        <w:pStyle w:val="TextoNormal"/>
      </w:pPr>
      <w:r>
        <w:t>Con el paso de los días, la interna comenzó a quejarse de dolor en región glútea asociado a su prótesis, para el que se prescribió tratamiento analgésico’”.</w:t>
      </w:r>
    </w:p>
    <w:p w14:paraId="60DBDE72" w14:textId="77777777" w:rsidR="003754FE" w:rsidRDefault="003754FE" w:rsidP="003754FE">
      <w:pPr>
        <w:pStyle w:val="TextoNormal"/>
      </w:pPr>
    </w:p>
    <w:p w14:paraId="6B1C8C12" w14:textId="77777777" w:rsidR="003754FE" w:rsidRDefault="003754FE" w:rsidP="003754FE">
      <w:pPr>
        <w:pStyle w:val="TextoNormal"/>
      </w:pPr>
      <w:r>
        <w:t>i) Por auto de la Sección Segunda de la Audiencia Provincial de Valladolid, de 6 de septiembre de 2022, se desestimó el recurso de apelación.</w:t>
      </w:r>
    </w:p>
    <w:p w14:paraId="64906675" w14:textId="77777777" w:rsidR="003754FE" w:rsidRDefault="003754FE" w:rsidP="003754FE">
      <w:pPr>
        <w:pStyle w:val="TextoNormal"/>
      </w:pPr>
    </w:p>
    <w:p w14:paraId="36F107BC" w14:textId="77777777" w:rsidR="003754FE" w:rsidRDefault="003754FE" w:rsidP="003754FE">
      <w:pPr>
        <w:pStyle w:val="TextoNormal"/>
      </w:pPr>
      <w:r>
        <w:lastRenderedPageBreak/>
        <w:t>En la motivación efectúa una exhaustiva exposición del contenido de las actuaciones practicadas y del contenido del informe remitido por el director del Centro Penitenciario de Valladolid y de las declaraciones de los funcionarios que se adjuntan. Destaca que las declaraciones de la denunciante han variado entre los dos escritos de denuncia y la declaración que prestó ante el inspector de la Subdirección General de Análisis e Inspección Penitenciaria. Pone de manifiesto los aspectos que fueron omitidos en la primera denuncia presentada, en la que nada dijo sobre que el jefe de servicios le quitara o le bajara el pantalón, no refiere ningún golpe en el pecho, no concreta la forma en la que recibió el golpe en los glúteos; en la segunda denuncia no concreta una agresión, únicamente indica que el jefe de servicios quería comprobar si ella tenía pene; y, finalmente, en la declaración ante el inspector refirió que el jefe de servicios le bajó el pantalón, le dio un golpe en el pecho y un empujón que provocó el impacto de sus glúteos contra la cama. Concluye que no se aprecia coherencia en la narración del desarrollo de los hechos, observando que con el paso del tiempo atribuye al jefe de servicios un comportamiento más violento y agresivo.</w:t>
      </w:r>
    </w:p>
    <w:p w14:paraId="5F5AB0F8" w14:textId="77777777" w:rsidR="003754FE" w:rsidRDefault="003754FE" w:rsidP="003754FE">
      <w:pPr>
        <w:pStyle w:val="TextoNormal"/>
      </w:pPr>
    </w:p>
    <w:p w14:paraId="08C2A4B3" w14:textId="77777777" w:rsidR="003754FE" w:rsidRDefault="003754FE" w:rsidP="003754FE">
      <w:pPr>
        <w:pStyle w:val="TextoNormal"/>
      </w:pPr>
      <w:r>
        <w:t>Añade que los informes médicos no avalan la agresión denunciada, por lo que únicamente consta su propio relato que no es uniforme, mientras que las narraciones de las funcionarias que le acompañaron a la celda sí son coherentes entre sí, lo que permite atribuirles mayor verosimilitud.</w:t>
      </w:r>
    </w:p>
    <w:p w14:paraId="46B6B37E" w14:textId="77777777" w:rsidR="003754FE" w:rsidRDefault="003754FE" w:rsidP="003754FE">
      <w:pPr>
        <w:pStyle w:val="TextoNormal"/>
      </w:pPr>
    </w:p>
    <w:p w14:paraId="0D404697" w14:textId="6279A867" w:rsidR="003754FE" w:rsidRDefault="003754FE" w:rsidP="003754FE">
      <w:pPr>
        <w:pStyle w:val="TextoNormal"/>
      </w:pPr>
      <w:r>
        <w:t>Destaca que si bien el jefe de servicios y las funcionarias deberían haber solicitado que se hiciera un examen médico para concretar si había concluido el periodo de transición, el hecho de preguntarle de forma directa, motivado por las quejas de las internas, no se considera que constituya infracción penal. Finalmente, advierte que no existió desatención médica atendidos los datos recogidos en los documentos obrantes en la causa.</w:t>
      </w:r>
    </w:p>
    <w:p w14:paraId="25B9B4DE" w14:textId="77777777" w:rsidR="003754FE" w:rsidRDefault="003754FE" w:rsidP="003754FE">
      <w:pPr>
        <w:pStyle w:val="TextoNormal"/>
      </w:pPr>
    </w:p>
    <w:p w14:paraId="24FE2BFD" w14:textId="77777777" w:rsidR="003754FE" w:rsidRDefault="003754FE" w:rsidP="003754FE">
      <w:pPr>
        <w:pStyle w:val="TextoNormal"/>
      </w:pPr>
      <w:r w:rsidRPr="003754FE">
        <w:rPr>
          <w:rStyle w:val="NumeroAFNegritaCaracter"/>
        </w:rPr>
        <w:t>3</w:t>
      </w:r>
      <w:r>
        <w:t>. La demanda de amparo afirma que las resoluciones judiciales impugnadas han vulnerado el derecho a la tutela judicial efectiva (art. 24.1 CE) en la vertiente que reconoce el derecho a una investigación eficaz de los hechos objeto de denuncia.</w:t>
      </w:r>
    </w:p>
    <w:p w14:paraId="48CD5499" w14:textId="77777777" w:rsidR="003754FE" w:rsidRDefault="003754FE" w:rsidP="003754FE">
      <w:pPr>
        <w:pStyle w:val="TextoNormal"/>
      </w:pPr>
    </w:p>
    <w:p w14:paraId="57CD49AB" w14:textId="29B74A34" w:rsidR="003754FE" w:rsidRDefault="003754FE" w:rsidP="003754FE">
      <w:pPr>
        <w:pStyle w:val="TextoNormal"/>
      </w:pPr>
      <w:r>
        <w:t>La demandante relata el contenido de las denuncias interpuestas, del recurso de apelación y de los autos impugnados. Cuestiona que no se haya tomado declaración al jefe de servicios del centro penitenciario con carné profesional núm. 23579, o que, ante la imposibilidad manifestada por el médico forense de emitir el dictamen solicitado por el órgano judicial por faltar el informe médico, en lugar de recabar el historial médico de la denunciante, procediera al archivo de la causa mediante una resolución ausente de motivación. Se duele también de que no se le recibiera declaración a la denunciante. Sostiene que esa falta de investigación viene a ser aceptada implícitamente por la resolución que resuelve el recurso de apelación.</w:t>
      </w:r>
    </w:p>
    <w:p w14:paraId="49FBCC12" w14:textId="77777777" w:rsidR="003754FE" w:rsidRDefault="003754FE" w:rsidP="003754FE">
      <w:pPr>
        <w:pStyle w:val="TextoNormal"/>
      </w:pPr>
    </w:p>
    <w:p w14:paraId="70E94B1D" w14:textId="23E3937C" w:rsidR="003754FE" w:rsidRDefault="003754FE" w:rsidP="003754FE">
      <w:pPr>
        <w:pStyle w:val="TextoNormal"/>
      </w:pPr>
      <w:r w:rsidRPr="003754FE">
        <w:rPr>
          <w:rStyle w:val="NumeroAFNegritaCaracter"/>
        </w:rPr>
        <w:t>4</w:t>
      </w:r>
      <w:r>
        <w:t xml:space="preserve">. En virtud de providencia de la Sala Segunda, de 6 de mayo de 2024, se acordó la admisión a trámite de este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de 25 de junio, FJ 2 f)]. Asimismo, constando ya remitidas las actuaciones correspondientes, se ordenó dirigir al Juzgado de Instrucción núm. 1 de Valladolid atenta comunicación a fin de que, en plazo que no exceda de diez días, procediera a emplazar a </w:t>
      </w:r>
      <w:r>
        <w:lastRenderedPageBreak/>
        <w:t>quienes hubieran sido parte en el procedimiento, excepto a la recurrente en amparo, a fin de que pudieran comparecer en el presente proceso constitucional.</w:t>
      </w:r>
    </w:p>
    <w:p w14:paraId="79690D94" w14:textId="77777777" w:rsidR="003754FE" w:rsidRDefault="003754FE" w:rsidP="003754FE">
      <w:pPr>
        <w:pStyle w:val="TextoNormal"/>
      </w:pPr>
    </w:p>
    <w:p w14:paraId="45F7BB9D" w14:textId="393E5EA4" w:rsidR="003754FE" w:rsidRDefault="003754FE" w:rsidP="003754FE">
      <w:pPr>
        <w:pStyle w:val="TextoNormal"/>
      </w:pPr>
      <w:r w:rsidRPr="003754FE">
        <w:rPr>
          <w:rStyle w:val="NumeroAFNegritaCaracter"/>
        </w:rPr>
        <w:t>5</w:t>
      </w:r>
      <w:r>
        <w:t>. La Secretaría de Justicia de la Sala Segunda de este tribunal, por diligencia de ordenación de 27 de mayo de 2024, acordó dar vista de las actuaciones recibidas a las partes y al Ministerio Fiscal, por plazo común de veinte días, para que pudieran presentar las alegaciones que estimasen pertinentes, de conformidad con el art. 52.1 LOTC.</w:t>
      </w:r>
    </w:p>
    <w:p w14:paraId="22A37FAE" w14:textId="77777777" w:rsidR="003754FE" w:rsidRDefault="003754FE" w:rsidP="003754FE">
      <w:pPr>
        <w:pStyle w:val="TextoNormal"/>
      </w:pPr>
    </w:p>
    <w:p w14:paraId="61DCB572" w14:textId="78DCF70B" w:rsidR="003754FE" w:rsidRDefault="003754FE" w:rsidP="003754FE">
      <w:pPr>
        <w:pStyle w:val="TextoNormal"/>
      </w:pPr>
      <w:r w:rsidRPr="003754FE">
        <w:rPr>
          <w:rStyle w:val="NumeroAFNegritaCaracter"/>
        </w:rPr>
        <w:t>6</w:t>
      </w:r>
      <w:r>
        <w:t>. La representación procesal de la demandante de amparo aportó su escrito de alegaciones el 24 de junio de 2024, en el que justifica el cumplimiento de los presupuestos y requisitos de la demanda de amparo y se detiene a razonar la existencia de la vulneración del derecho fundamental invocado, poniendo el énfasis en la falta de actuación del órgano judicial a fin de que se pudiera emitir el dictamen acerca de las lesiones por el médico forense y también en que no se hubieran practicado las diligencias de investigación imprescindibles solicitadas en el recurso de apelación. Alude a la doctrina constitucional relativa a la necesidad de una investigación eficaz, con referencia a la STC 87/2020, de 20 de julio, que considera infringida y solicita la anulación de las resoluciones impugnadas y la retroacción de las actuaciones para que se practiquen las diligencias indagatorias que resulten posibles a fin de preservar una investigación eficaz y suficiente.</w:t>
      </w:r>
    </w:p>
    <w:p w14:paraId="68F5A089" w14:textId="77777777" w:rsidR="003754FE" w:rsidRDefault="003754FE" w:rsidP="003754FE">
      <w:pPr>
        <w:pStyle w:val="TextoNormal"/>
      </w:pPr>
    </w:p>
    <w:p w14:paraId="09F338A9" w14:textId="77777777" w:rsidR="003754FE" w:rsidRDefault="003754FE" w:rsidP="003754FE">
      <w:pPr>
        <w:pStyle w:val="TextoNormal"/>
      </w:pPr>
      <w:r w:rsidRPr="003754FE">
        <w:rPr>
          <w:rStyle w:val="NumeroAFNegritaCaracter"/>
        </w:rPr>
        <w:t>7</w:t>
      </w:r>
      <w:r>
        <w:t>. El Ministerio Fiscal presentó su escrito de alegaciones el 15 de julio de 2024 en las que solicita que se otorgue el amparo por vulneración del derecho de la recurrente a la tutela judicial efectiva (art. 24.1 CE) en su vertiente del derecho a obtener una investigación suficiente y eficaz en el curso de un proceso penal; se declare la nulidad de las resoluciones impugnadas; y se acuerde la retroacción de las actuaciones al momento inmediatamente anterior al pronunciamiento de la primera de las resoluciones impugnadas para que el Juzgado de Instrucción núm. 1 de Valladolid dicte otra nueva respetuosa con el derecho fundamental vulnerado.</w:t>
      </w:r>
    </w:p>
    <w:p w14:paraId="475669FB" w14:textId="77777777" w:rsidR="003754FE" w:rsidRDefault="003754FE" w:rsidP="003754FE">
      <w:pPr>
        <w:pStyle w:val="TextoNormal"/>
      </w:pPr>
    </w:p>
    <w:p w14:paraId="69BA7895" w14:textId="77777777" w:rsidR="003754FE" w:rsidRDefault="003754FE" w:rsidP="003754FE">
      <w:pPr>
        <w:pStyle w:val="TextoNormal"/>
      </w:pPr>
      <w:r>
        <w:t xml:space="preserve">Para alcanzar dicha conclusión el fiscal efectúa un exhaustivo examen del contenido de las actuaciones y expone la doctrina constitucional relativa al derecho a una investigación eficaz con reproducción de alguna de las sentencias dictadas tanto por este tribunal (SSTC 12/2013, de 28 de enero; 130/2016, de 18 de julio, y 87/2020) como por el Tribunal Europeo de Derechos Humanos (SSTEDH de 7 de octubre de 2014, asunto </w:t>
      </w:r>
      <w:r w:rsidRPr="003754FE">
        <w:rPr>
          <w:i/>
        </w:rPr>
        <w:t>Etxebarria Caballero c. España</w:t>
      </w:r>
      <w:r>
        <w:t xml:space="preserve">, y de 22 de junio de 2023, asunto </w:t>
      </w:r>
      <w:r w:rsidRPr="003754FE">
        <w:rPr>
          <w:i/>
        </w:rPr>
        <w:t>R.K. c. Hungría</w:t>
      </w:r>
      <w:r>
        <w:t>).</w:t>
      </w:r>
    </w:p>
    <w:p w14:paraId="6895CB02" w14:textId="77777777" w:rsidR="003754FE" w:rsidRDefault="003754FE" w:rsidP="003754FE">
      <w:pPr>
        <w:pStyle w:val="TextoNormal"/>
      </w:pPr>
    </w:p>
    <w:p w14:paraId="1CEFC5C8" w14:textId="77777777" w:rsidR="003754FE" w:rsidRDefault="003754FE" w:rsidP="003754FE">
      <w:pPr>
        <w:pStyle w:val="TextoNormal"/>
      </w:pPr>
      <w:r>
        <w:t>Destaca la ausencia de motivación del auto de 4 de noviembre de 2021 dictado por el Juzgado de Instrucción núm.1 de Valladolid y cuestiona que solo se hubiera practicado una diligencia sin inmediación judicial. No comparte que las declaraciones de la denunciante sean incoherentes entre sí, pues las mismas recogen los elementos básicos de la imputación realizada, que han sido indiciariamente corroborados por los informes obrantes en las actuaciones y por los informes médicos de 16 de septiembre de 2021. Advierte que la motivación de la Audiencia Provincial omite toda referencia a la persistencia de la recurrente en las dos denuncias y en la declaración prestada.</w:t>
      </w:r>
    </w:p>
    <w:p w14:paraId="072ECEA1" w14:textId="77777777" w:rsidR="003754FE" w:rsidRDefault="003754FE" w:rsidP="003754FE">
      <w:pPr>
        <w:pStyle w:val="TextoNormal"/>
      </w:pPr>
    </w:p>
    <w:p w14:paraId="0F0EBC86" w14:textId="54A8A428" w:rsidR="003754FE" w:rsidRDefault="003754FE" w:rsidP="003754FE">
      <w:pPr>
        <w:pStyle w:val="TextoNormal"/>
      </w:pPr>
      <w:r>
        <w:t xml:space="preserve">Considera que dadas las características de los hechos denunciados, deviene la necesidad de realizar una investigación racional y adaptada a los hechos concretos mediante la práctica </w:t>
      </w:r>
      <w:r>
        <w:lastRenderedPageBreak/>
        <w:t>de diligencias más idóneas, entre ellas la declaración de la demandante de amparo, la declaración de los funcionarios y particularmente del jefe de servicios, el reconocimiento por el médico forense de la recurrente y el visionado de la cámara de seguridad de la entrada de la celda.</w:t>
      </w:r>
    </w:p>
    <w:p w14:paraId="1571684E" w14:textId="77777777" w:rsidR="003754FE" w:rsidRDefault="003754FE" w:rsidP="003754FE">
      <w:pPr>
        <w:pStyle w:val="TextoNormal"/>
      </w:pPr>
    </w:p>
    <w:p w14:paraId="38A6A695" w14:textId="6C516BEE" w:rsidR="003754FE" w:rsidRDefault="003754FE" w:rsidP="003754FE">
      <w:pPr>
        <w:pStyle w:val="TextoNormal"/>
      </w:pPr>
      <w:r w:rsidRPr="003754FE">
        <w:rPr>
          <w:rStyle w:val="NumeroAFNegritaCaracter"/>
        </w:rPr>
        <w:t>8</w:t>
      </w:r>
      <w:r>
        <w:t>. Por providencia de 5 de septiembre de 2024 se señaló para la deliberación y votación de la presente sentencia el siguiente día 9.</w:t>
      </w:r>
    </w:p>
    <w:p w14:paraId="318075FE" w14:textId="77777777" w:rsidR="003754FE" w:rsidRDefault="003754FE" w:rsidP="003754FE">
      <w:pPr>
        <w:pStyle w:val="TextoNormal"/>
      </w:pPr>
    </w:p>
    <w:p w14:paraId="1901026A" w14:textId="77777777" w:rsidR="003754FE" w:rsidRDefault="003754FE" w:rsidP="003754FE">
      <w:pPr>
        <w:pStyle w:val="TextoNormalNegritaCentrado"/>
        <w:keepNext/>
      </w:pPr>
      <w:r>
        <w:t>II. Fundamentos jurídicos</w:t>
      </w:r>
    </w:p>
    <w:p w14:paraId="08474335" w14:textId="30E9EB9F" w:rsidR="003754FE" w:rsidRDefault="003754FE" w:rsidP="003754FE">
      <w:pPr>
        <w:pStyle w:val="TextoNormalNegritaCentrado"/>
        <w:keepNext/>
      </w:pPr>
    </w:p>
    <w:p w14:paraId="58292E26" w14:textId="77777777" w:rsidR="003754FE" w:rsidRDefault="003754FE" w:rsidP="003754FE">
      <w:pPr>
        <w:pStyle w:val="TextoNormal"/>
      </w:pPr>
      <w:r w:rsidRPr="003754FE">
        <w:rPr>
          <w:rStyle w:val="NumeroAFNegritaCaracter"/>
        </w:rPr>
        <w:t>1</w:t>
      </w:r>
      <w:r>
        <w:t xml:space="preserve">. </w:t>
      </w:r>
      <w:r w:rsidRPr="003754FE">
        <w:rPr>
          <w:i/>
        </w:rPr>
        <w:t>Delimitación del objeto del recurso de amparo</w:t>
      </w:r>
    </w:p>
    <w:p w14:paraId="23D79CB8" w14:textId="77777777" w:rsidR="003754FE" w:rsidRDefault="003754FE" w:rsidP="003754FE">
      <w:pPr>
        <w:pStyle w:val="TextoNormal"/>
      </w:pPr>
    </w:p>
    <w:p w14:paraId="717CAF5A" w14:textId="77777777" w:rsidR="003754FE" w:rsidRDefault="003754FE" w:rsidP="003754FE">
      <w:pPr>
        <w:pStyle w:val="TextoNormal"/>
      </w:pPr>
      <w:r>
        <w:t>Se interpone el presente recurso de amparo contra el auto dictado el 4 de noviembre de 2021 por el Juzgado de Instrucción núm. 1 de Valladolid que acuerda el sobreseimiento provisional de las diligencias previas núm. 1377-2021 y contra el auto de 6 de septiembre de 2022, dictado por la Sección Segunda de la Audiencia Provincial de Valladolid que desestima el recurso de apelación núm. 511-2022 interpuesto contra el anterior.</w:t>
      </w:r>
    </w:p>
    <w:p w14:paraId="16D98FB9" w14:textId="77777777" w:rsidR="003754FE" w:rsidRDefault="003754FE" w:rsidP="003754FE">
      <w:pPr>
        <w:pStyle w:val="TextoNormal"/>
      </w:pPr>
    </w:p>
    <w:p w14:paraId="47F781D1" w14:textId="77777777" w:rsidR="003754FE" w:rsidRDefault="003754FE" w:rsidP="003754FE">
      <w:pPr>
        <w:pStyle w:val="TextoNormal"/>
      </w:pPr>
      <w:r>
        <w:t>La recurrente alega la vulneración del derecho a la tutela judicial efectiva (art. 24.1 CE) por la falta de una investigación judicial suficiente de los hechos denunciados. Esa vulneración se habría producido porque las resoluciones judiciales impugnadas decretan y confirman el sobreseimiento provisional y archivo de la causa incoada, sin que se haya llevado a cabo una investigación judicial suficiente y eficaz para intentar esclarecer lo sucedido.</w:t>
      </w:r>
    </w:p>
    <w:p w14:paraId="0193CB1D" w14:textId="77777777" w:rsidR="003754FE" w:rsidRDefault="003754FE" w:rsidP="003754FE">
      <w:pPr>
        <w:pStyle w:val="TextoNormal"/>
      </w:pPr>
    </w:p>
    <w:p w14:paraId="410F243E" w14:textId="47B93AB6" w:rsidR="003754FE" w:rsidRDefault="003754FE" w:rsidP="003754FE">
      <w:pPr>
        <w:pStyle w:val="TextoNormal"/>
      </w:pPr>
      <w:r>
        <w:t>El Ministerio Fiscal interesa, conforme ha quedado expuesto en el relato de antecedentes, que se le otorgue a la recurrente el amparo solicitado por entender que los órganos judiciales vulneraron el derecho a la tutela judicial efectiva (art. 24.1 CE) por la falta de una investigación judicial suficiente de los hechos denunciados.</w:t>
      </w:r>
    </w:p>
    <w:p w14:paraId="424AB50A" w14:textId="77777777" w:rsidR="003754FE" w:rsidRDefault="003754FE" w:rsidP="003754FE">
      <w:pPr>
        <w:pStyle w:val="TextoNormal"/>
      </w:pPr>
    </w:p>
    <w:p w14:paraId="08B09419" w14:textId="77777777" w:rsidR="003754FE" w:rsidRDefault="003754FE" w:rsidP="003754FE">
      <w:pPr>
        <w:pStyle w:val="TextoNormal"/>
      </w:pPr>
      <w:r w:rsidRPr="003754FE">
        <w:rPr>
          <w:rStyle w:val="NumeroAFNegritaCaracter"/>
        </w:rPr>
        <w:t>2</w:t>
      </w:r>
      <w:r>
        <w:t xml:space="preserve">. </w:t>
      </w:r>
      <w:r w:rsidRPr="003754FE">
        <w:rPr>
          <w:i/>
        </w:rPr>
        <w:t>Consideraciones previas: la jurisprudencia constitucional en materia de investigación judicial de denuncias por torturas y tratos inhumanos o degradantes</w:t>
      </w:r>
    </w:p>
    <w:p w14:paraId="7AD375EE" w14:textId="77777777" w:rsidR="003754FE" w:rsidRDefault="003754FE" w:rsidP="003754FE">
      <w:pPr>
        <w:pStyle w:val="TextoNormal"/>
      </w:pPr>
    </w:p>
    <w:p w14:paraId="2042D120" w14:textId="77777777" w:rsidR="003754FE" w:rsidRDefault="003754FE" w:rsidP="003754FE">
      <w:pPr>
        <w:pStyle w:val="TextoNormal"/>
      </w:pPr>
      <w:r>
        <w:t xml:space="preserve">a) Este tribunal ha establecido una consolidada jurisprudencia sobre las exigencias constitucionales derivadas de los derechos a la tutela judicial efectiva (art. 24.1 CE) y a no ser sometido a tortura ni a tratos inhumanos o degradantes (art. 15 CE), en relación con las decisiones judiciales de sobreseimiento y archivo de instrucciones penales incoadas por denuncia de haber sufrido este tipo de tratos bajo custodia o en el contexto de actuaciones de agentes estatales que recientemente hemos reflejado en la STC 33/2024, de 11 de marzo, FJ 2, haciéndonos eco de los pronunciamientos más recientes de este tribunal (SSTC 130/2016; 144/2016, de 19 de septiembre; 39/2017, de 24 de abril; 166/2021, de 4 de octubre; 12/2022 y 13/2022, de 7 de febrero; 34/2022, de 7 de marzo; 122/2022, de 10 de octubre, y 124/2022, de 10 de octubre) y del Tribunal Europeo de Derechos Humanos en la materia (SSTEDH de 28 de julio de 1999, asunto </w:t>
      </w:r>
      <w:r w:rsidRPr="003754FE">
        <w:rPr>
          <w:i/>
        </w:rPr>
        <w:t>Selmouni c. Francia</w:t>
      </w:r>
      <w:r>
        <w:t xml:space="preserve">; de 11 de abril de 2000, asunto </w:t>
      </w:r>
      <w:r w:rsidRPr="003754FE">
        <w:rPr>
          <w:i/>
        </w:rPr>
        <w:t>Sevtap Veznedaroglu c. Turquía</w:t>
      </w:r>
      <w:r>
        <w:t xml:space="preserve">; de 16 de diciembre de 2003, asunto </w:t>
      </w:r>
      <w:r w:rsidRPr="003754FE">
        <w:rPr>
          <w:i/>
        </w:rPr>
        <w:t>Kmetty c. Hungría</w:t>
      </w:r>
      <w:r>
        <w:t xml:space="preserve">, o de 7 de julio de 2022, asunto </w:t>
      </w:r>
      <w:r w:rsidRPr="003754FE">
        <w:rPr>
          <w:i/>
        </w:rPr>
        <w:t>Torosian c. Grecia</w:t>
      </w:r>
      <w:r>
        <w:t xml:space="preserve">; y entre los que afectan a España, SSTEDH de 5 de mayo de 2015, asunto </w:t>
      </w:r>
      <w:r w:rsidRPr="003754FE">
        <w:rPr>
          <w:i/>
        </w:rPr>
        <w:t>Arratibel Garciandia c. España</w:t>
      </w:r>
      <w:r>
        <w:t xml:space="preserve">; de 31 de mayo de 2016, asunto </w:t>
      </w:r>
      <w:r w:rsidRPr="003754FE">
        <w:rPr>
          <w:i/>
        </w:rPr>
        <w:lastRenderedPageBreak/>
        <w:t>Beortegui Martínez c España</w:t>
      </w:r>
      <w:r>
        <w:t xml:space="preserve">; de 19 de enero de 2021, asunto </w:t>
      </w:r>
      <w:r w:rsidRPr="003754FE">
        <w:rPr>
          <w:i/>
        </w:rPr>
        <w:t>González Etayo c. España</w:t>
      </w:r>
      <w:r>
        <w:t xml:space="preserve"> , o de 9 de marzo de 2021, asunto </w:t>
      </w:r>
      <w:r w:rsidRPr="003754FE">
        <w:rPr>
          <w:i/>
        </w:rPr>
        <w:t>López Martínez c. España</w:t>
      </w:r>
      <w:r>
        <w:t>).</w:t>
      </w:r>
    </w:p>
    <w:p w14:paraId="24982A1F" w14:textId="77777777" w:rsidR="003754FE" w:rsidRDefault="003754FE" w:rsidP="003754FE">
      <w:pPr>
        <w:pStyle w:val="TextoNormal"/>
      </w:pPr>
    </w:p>
    <w:p w14:paraId="7161F862" w14:textId="77777777" w:rsidR="003754FE" w:rsidRDefault="003754FE" w:rsidP="003754FE">
      <w:pPr>
        <w:pStyle w:val="TextoNormal"/>
      </w:pPr>
      <w:r>
        <w:t>b) En referencia a tales pronunciamientos indicamos en la referida STC 33/2024, FJ 2:</w:t>
      </w:r>
    </w:p>
    <w:p w14:paraId="6F8BDA5C" w14:textId="77777777" w:rsidR="003754FE" w:rsidRDefault="003754FE" w:rsidP="003754FE">
      <w:pPr>
        <w:pStyle w:val="TextoNormal"/>
      </w:pPr>
    </w:p>
    <w:p w14:paraId="6A016642" w14:textId="77777777" w:rsidR="003754FE" w:rsidRDefault="003754FE" w:rsidP="003754FE">
      <w:pPr>
        <w:pStyle w:val="TextoNormal"/>
      </w:pPr>
      <w:r>
        <w:t>“Esta jurisprudencia, tanto del Tribunal Constitucional como del Tribunal Europeo de Derechos Humanos, ha sido expuesta de forma extensa en las SSTC 130/2016, FJ 2; 166/2021, FFJJ 2 y 3, y 13/2022, FFJJ 2 y 3, a las que nos remitimos, dejando ahora solo constancia resumida de sus aspectos esenciales en lo que puede afectar a la resolución del presente recurso:</w:t>
      </w:r>
    </w:p>
    <w:p w14:paraId="32118982" w14:textId="77777777" w:rsidR="003754FE" w:rsidRDefault="003754FE" w:rsidP="003754FE">
      <w:pPr>
        <w:pStyle w:val="TextoNormal"/>
      </w:pPr>
    </w:p>
    <w:p w14:paraId="5B2B5D9E" w14:textId="77777777" w:rsidR="003754FE" w:rsidRDefault="003754FE" w:rsidP="003754FE">
      <w:pPr>
        <w:pStyle w:val="TextoNormal"/>
      </w:pPr>
      <w:r>
        <w:t>(i) Las quejas referidas a este tipo de decisiones judiciales tienen su encuadre constitucional más preciso en el derecho a la tutela judicial efectiva (art. 24.1 CE), pero su relación con el derecho a no ser sometido a tortura o tratos inhumanos o degradantes (art. 15 CE) impone que la valoración constitucional sobre la suficiencia de la indagación judicial dependa no solo de que las decisiones de sobreseimiento y archivo de las diligencias penales estén motivadas y jurídicamente fundadas, sino además, según el parámetro de control constitucional reforzado, de que sean acordes con la prohibición absoluta de las conductas denunciadas.</w:t>
      </w:r>
    </w:p>
    <w:p w14:paraId="63CE6FA5" w14:textId="77777777" w:rsidR="003754FE" w:rsidRDefault="003754FE" w:rsidP="003754FE">
      <w:pPr>
        <w:pStyle w:val="TextoNormal"/>
      </w:pPr>
    </w:p>
    <w:p w14:paraId="2FE82B12" w14:textId="77777777" w:rsidR="003754FE" w:rsidRDefault="003754FE" w:rsidP="003754FE">
      <w:pPr>
        <w:pStyle w:val="TextoNormal"/>
      </w:pPr>
      <w:r>
        <w:t xml:space="preserve">Los supuestos a los que resulta de aplicación esta jurisprudencia se refieren a denuncias por actuaciones constitutivas de tortura o cualquier tipo de malos tratos prohibidos por el art. 15 CE y no solo en el contexto de detenciones incomunicadas (SSTC 130/2016, y 144/2016) o situaciones asimilables como la de interno en módulos de régimen cerrado o de aislamiento (STC 12/2022), sino también cuando suceden en comisaría por detenciones comunicadas (STC 13/2022), en actuaciones en el momento de la detención (STC 166/2021) o incluso cuando la conducta policial se ha desarrollado en meras labores de orden público sin dar lugar a una detención (SSTEDH de 24 de julio de 2012, asunto </w:t>
      </w:r>
      <w:r w:rsidRPr="003754FE">
        <w:rPr>
          <w:i/>
        </w:rPr>
        <w:t>B.S. c. España</w:t>
      </w:r>
      <w:r>
        <w:t xml:space="preserve">, o de 9 de marzo de 2021, asunto </w:t>
      </w:r>
      <w:r w:rsidRPr="003754FE">
        <w:rPr>
          <w:i/>
        </w:rPr>
        <w:t>López Martínez c. España</w:t>
      </w:r>
      <w:r>
        <w:t>).</w:t>
      </w:r>
    </w:p>
    <w:p w14:paraId="5606E734" w14:textId="77777777" w:rsidR="003754FE" w:rsidRDefault="003754FE" w:rsidP="003754FE">
      <w:pPr>
        <w:pStyle w:val="TextoNormal"/>
      </w:pPr>
    </w:p>
    <w:p w14:paraId="5D935D4A" w14:textId="77777777" w:rsidR="003754FE" w:rsidRDefault="003754FE" w:rsidP="003754FE">
      <w:pPr>
        <w:pStyle w:val="TextoNormal"/>
      </w:pPr>
      <w:r>
        <w:t>(ii) La suficiencia y efectividad de esta investigación judicial, así como la necesidad de perseverar en la práctica de nuevas diligencias de investigación, deben evaluarse atendiendo a las circunstancias concretas de la denuncia y de lo denunciado, y desde la gravedad de lo denunciado y su previa opacidad, rasgos ambos que afectan al grado de esfuerzo judicial exigido por el art. 24.1 CE. En ese sentido, es preciso atender, entre otras circunstancias, a la probable escasez de pruebas existente en este tipo de delitos y la dificultad de la víctima de aportar medios de prueba sobre su comisión; y a que la cualificación oficial de los denunciados debe compensarse con la firmeza judicial frente a la posible resistencia o demora en la aportación de medios de prueba, con la especial atención a diligencias de prueba cuyo origen se sitúe al margen de las instituciones afectadas por la denuncia.</w:t>
      </w:r>
    </w:p>
    <w:p w14:paraId="27874380" w14:textId="77777777" w:rsidR="003754FE" w:rsidRDefault="003754FE" w:rsidP="003754FE">
      <w:pPr>
        <w:pStyle w:val="TextoNormal"/>
      </w:pPr>
    </w:p>
    <w:p w14:paraId="53EB1C8C" w14:textId="77777777" w:rsidR="003754FE" w:rsidRDefault="003754FE" w:rsidP="003754FE">
      <w:pPr>
        <w:pStyle w:val="TextoNormal"/>
      </w:pPr>
      <w:r>
        <w:t xml:space="preserve">(iii) Existe una especial exigencia de desarrollar una exhaustiva investigación en relación con las denuncias de este tipo de conductas contrarias al art. 15 CE, agotando cuantas posibilidades de indagación resulten útiles para aclarar los hechos, ya que es necesario acentuar las garantías por concurrir una situación especial en la que el ciudadano se encuentra provisionalmente bajo la custodia física del Estado. Este mandato, si bien no comporta la realización de todas las diligencias de investigación posibles, sí impone que no se clausure la instrucción judicial penal cuando existan sospechas razonables de que se ha podido cometer </w:t>
      </w:r>
      <w:r>
        <w:lastRenderedPageBreak/>
        <w:t>el delito de torturas o de tratos inhumanos o degradantes denunciado y cuando tales sospechas se revelen como susceptibles de ser despejadas a través de la actividad investigadora.</w:t>
      </w:r>
    </w:p>
    <w:p w14:paraId="58429848" w14:textId="77777777" w:rsidR="003754FE" w:rsidRDefault="003754FE" w:rsidP="003754FE">
      <w:pPr>
        <w:pStyle w:val="TextoNormal"/>
      </w:pPr>
    </w:p>
    <w:p w14:paraId="2203D786" w14:textId="77777777" w:rsidR="003754FE" w:rsidRDefault="003754FE" w:rsidP="003754FE">
      <w:pPr>
        <w:pStyle w:val="TextoNormal"/>
      </w:pPr>
      <w:r>
        <w:t>El Tribunal ha estimado la pretensión de amparo en supuestos en que, existiendo sospechas razonables de delito, se había concluido la instrucción sin haber tomado declaración a la persona denunciante [por ejemplo, SSTC 34/2008, de 25 de febrero, FJ 8; 52/2008, de 14 de abril, FJ 5; 107/2008, de 22 de septiembre, FJ 4; 63/2010, de 18 de octubre, FJ 3 b); 131/2012, de 18 de junio, FJ 5; 153/2013, de 9 de septiembre, FJ 6, y 39/2017, FJ 4], sin haber oído al letrado de oficio que asistió a la persona detenida en dependencias policiales (SSTC 52/2008, FJ 5; 130/2016, FJ 5, y 144/2016, FJ 4), sin haber recibido declaración a los profesionales sanitarios que le asistieron (STC 52/2008, FJ 5), sin haber identificado, y tomado declaración, a los agentes de los cuerpos y fuerzas de seguridad del Estado bajo cuya custodia se encontraba quien formuló la denuncia (SSTC 107/2008, FJ 4; 40/2010, de 19 de julio, FJ 4; 144/2016, FJ 4, y 39/2017, FJ 4) o sin haber oído a aquellas personas que aparecían identificadas como posibles testigos en las diferentes actuaciones indagatorias que ya se hubieran desarrollado (STC 12/2022, FJ 4)”.</w:t>
      </w:r>
    </w:p>
    <w:p w14:paraId="486CFB90" w14:textId="77777777" w:rsidR="003754FE" w:rsidRDefault="003754FE" w:rsidP="003754FE">
      <w:pPr>
        <w:pStyle w:val="TextoNormal"/>
      </w:pPr>
    </w:p>
    <w:p w14:paraId="58E6269D" w14:textId="77777777" w:rsidR="003754FE" w:rsidRDefault="003754FE" w:rsidP="003754FE">
      <w:pPr>
        <w:pStyle w:val="TextoNormal"/>
      </w:pPr>
      <w:r>
        <w:t>c) Finalmente, debemos indicar que la exigencia constitucional de una investigación efectiva, profunda y exhaustiva, debe tener como soporte la defensa del derecho fundamental sustantivo, lo que en el presente caso supone la necesidad de atestiguar y evidenciar que la denuncia, contiene actuaciones que provoquen sentimientos de miedo, angustia e inferioridad, que estén orientadas a humillar, degradar y quebrantar eventualmente la resistencia física o moral de la persona a quien se le aplican, o que impliquen lesiones corporales o un sufrimiento físico o mental intenso.</w:t>
      </w:r>
    </w:p>
    <w:p w14:paraId="71B9F2C4" w14:textId="77777777" w:rsidR="003754FE" w:rsidRDefault="003754FE" w:rsidP="003754FE">
      <w:pPr>
        <w:pStyle w:val="TextoNormal"/>
      </w:pPr>
    </w:p>
    <w:p w14:paraId="3D5FEE8A" w14:textId="77777777" w:rsidR="003754FE" w:rsidRDefault="003754FE" w:rsidP="003754FE">
      <w:pPr>
        <w:pStyle w:val="TextoNormal"/>
      </w:pPr>
      <w:r>
        <w:t xml:space="preserve">Esto es, en los términos utilizados por la STEDH de 17 de abril de 2012, asunto </w:t>
      </w:r>
      <w:r w:rsidRPr="003754FE">
        <w:rPr>
          <w:i/>
        </w:rPr>
        <w:t>Rizvanov c</w:t>
      </w:r>
      <w:r>
        <w:t xml:space="preserve">. Azerbaijan: “Los malos tratos deben alcanzar un nivel mínimo de gravedad para entrar dentro del ámbito del artículo 3. La valoración de este mínimo depende de todas las circunstancias del caso, tales como la duración del tratamiento, sus efectos físicos o mentales y, en algunos casos, el sexo, la edad y el estado de salud de la víctima (véase </w:t>
      </w:r>
      <w:r w:rsidRPr="003754FE">
        <w:rPr>
          <w:i/>
        </w:rPr>
        <w:t>Irlanda c. el Reino Unido</w:t>
      </w:r>
      <w:r>
        <w:t xml:space="preserve"> [Tribunal Europeo de Derechos Humanos 1978, 2], 18 de enero de 1978, § 162, serie A núm. 25; </w:t>
      </w:r>
      <w:r w:rsidRPr="003754FE">
        <w:rPr>
          <w:i/>
        </w:rPr>
        <w:t>Kudła c. Polonia</w:t>
      </w:r>
      <w:r>
        <w:t xml:space="preserve"> [Tribunal Europeo de Derechos Humanos 2000, 163] GC, núm. 30210/96, § 91, Tribunal Europeo de Derechos Humanos 2000-XI; y </w:t>
      </w:r>
      <w:r w:rsidRPr="003754FE">
        <w:rPr>
          <w:i/>
        </w:rPr>
        <w:t>Peers c. Grecia</w:t>
      </w:r>
      <w:r>
        <w:t xml:space="preserve"> [Tribunal Europeo de Derechos Humanos 2001, 297], núm. 28524/95, § 67, Tribunal Europeo de Derechos Humanos 2001-III)”.</w:t>
      </w:r>
    </w:p>
    <w:p w14:paraId="044438B6" w14:textId="77777777" w:rsidR="003754FE" w:rsidRDefault="003754FE" w:rsidP="003754FE">
      <w:pPr>
        <w:pStyle w:val="TextoNormal"/>
      </w:pPr>
    </w:p>
    <w:p w14:paraId="4EBAB24D" w14:textId="48DCECE8" w:rsidR="003754FE" w:rsidRDefault="003754FE" w:rsidP="003754FE">
      <w:pPr>
        <w:pStyle w:val="TextoNormal"/>
      </w:pPr>
      <w:r>
        <w:t xml:space="preserve">Desde la perspectiva interna, los tres comportamientos absolutamente prohibidos por el art. 15 CE se caracterizan por la irrogación de “padecimientos físicos o psíquicos ilícitos e infligidos de modo vejatorio para quien los sufre y con esa propia intención de vejar y doblegar la voluntad del sujeto paciente” (SSTC 120/1990, de 27 de junio, FJ 9; 57/1994, de 28 de febrero, FJ 4, y 196/2006, de 3 de julio, FJ 4). Cada tipo de conducta prohibida se distingue por “la diferente intensidad del sufrimiento causado” en “una escala gradual cuyo último nivel estaría constituido por la pena o trato degradante” (ATC 333/1997, de 13 de octubre, FJ 5; también, SSTC 137/1990, de 19 de julio, FJ 7, y 215/1994, de 14 de julio, FJ 5), para cuya apreciación ha de concurrir “un umbral mínimo de severidad” (ATC 333/1997, FJ 5; conforme a las SSTEDH de 25 de febrero de 1982, asunto </w:t>
      </w:r>
      <w:r w:rsidRPr="003754FE">
        <w:rPr>
          <w:i/>
        </w:rPr>
        <w:t>Campbell y Cosans c. Reino Unido</w:t>
      </w:r>
      <w:r>
        <w:t xml:space="preserve">, § 28, y de 25 de marzo de 1993, asunto </w:t>
      </w:r>
      <w:r w:rsidRPr="003754FE">
        <w:rPr>
          <w:i/>
        </w:rPr>
        <w:t>Costello-Roberts c. Reino Unido</w:t>
      </w:r>
      <w:r>
        <w:t xml:space="preserve">, § 30). Tales conductas constituyen un atentado “frontal y radical” a la dignidad humana, “bien </w:t>
      </w:r>
      <w:r>
        <w:lastRenderedPageBreak/>
        <w:t>porque cosifican al individuo, rebajándolo a un nivel material o animal, bien porque lo mediatizan o instrumentalizan, olvidándose de que toda persona es un fin en sí mismo” (STC 181/2004, de 2 de noviembre, FJ 13).</w:t>
      </w:r>
    </w:p>
    <w:p w14:paraId="6FC85156" w14:textId="77777777" w:rsidR="003754FE" w:rsidRDefault="003754FE" w:rsidP="003754FE">
      <w:pPr>
        <w:pStyle w:val="TextoNormal"/>
      </w:pPr>
    </w:p>
    <w:p w14:paraId="30010AA8" w14:textId="77777777" w:rsidR="003754FE" w:rsidRDefault="003754FE" w:rsidP="003754FE">
      <w:pPr>
        <w:pStyle w:val="TextoNormal"/>
      </w:pPr>
      <w:r w:rsidRPr="003754FE">
        <w:rPr>
          <w:rStyle w:val="NumeroAFNegritaCaracter"/>
        </w:rPr>
        <w:t>3</w:t>
      </w:r>
      <w:r>
        <w:t xml:space="preserve">. </w:t>
      </w:r>
      <w:r w:rsidRPr="003754FE">
        <w:rPr>
          <w:i/>
        </w:rPr>
        <w:t>Los hechos que han dado lugar al presente recurso de amparo</w:t>
      </w:r>
    </w:p>
    <w:p w14:paraId="07858B27" w14:textId="77777777" w:rsidR="003754FE" w:rsidRDefault="003754FE" w:rsidP="003754FE">
      <w:pPr>
        <w:pStyle w:val="TextoNormal"/>
      </w:pPr>
    </w:p>
    <w:p w14:paraId="680E15D1" w14:textId="77777777" w:rsidR="003754FE" w:rsidRDefault="003754FE" w:rsidP="003754FE">
      <w:pPr>
        <w:pStyle w:val="TextoNormal"/>
      </w:pPr>
      <w:r>
        <w:t>El Tribunal constata, a la vista de las actuaciones judiciales remitidas en este procedimiento de amparo, los siguientes hechos relevantes para la resolución de la presente demanda:</w:t>
      </w:r>
    </w:p>
    <w:p w14:paraId="4D6EFE22" w14:textId="77777777" w:rsidR="003754FE" w:rsidRDefault="003754FE" w:rsidP="003754FE">
      <w:pPr>
        <w:pStyle w:val="TextoNormal"/>
      </w:pPr>
    </w:p>
    <w:p w14:paraId="399641CB" w14:textId="77777777" w:rsidR="003754FE" w:rsidRDefault="003754FE" w:rsidP="003754FE">
      <w:pPr>
        <w:pStyle w:val="TextoNormal"/>
      </w:pPr>
      <w:r>
        <w:t>(i) La demandante de amparo formuló una denuncia contra el jefe de servicios del centro penitenciario de Villanubla, en Valladolid, donde había ingresado en condición de presa preventiva, por los hechos que narra en su denuncia, que tuvieron lugar en la tarde del día 9 de agosto de 2021.</w:t>
      </w:r>
    </w:p>
    <w:p w14:paraId="089F76B9" w14:textId="77777777" w:rsidR="003754FE" w:rsidRDefault="003754FE" w:rsidP="003754FE">
      <w:pPr>
        <w:pStyle w:val="TextoNormal"/>
      </w:pPr>
    </w:p>
    <w:p w14:paraId="73D46DD9" w14:textId="77777777" w:rsidR="003754FE" w:rsidRDefault="003754FE" w:rsidP="003754FE">
      <w:pPr>
        <w:pStyle w:val="TextoNormal"/>
      </w:pPr>
      <w:r>
        <w:t>(ii) Los hechos sustancialmente consistieron, según relata en la denuncia manuscrita inicial fechada el 10 de septiembre de 2021, en que el día 9 de agosto de 2021, el jefe de servicios, acompañado de dos funcionarias del centro penitenciario, se presentó en la celda en la que estaba aislada en virtud del protocolo covid-19, al haber ingresado en dicha institución el día 6 de agosto por la tarde. Narra que el jefe de servicios llegó a la celda con el objetivo de que se desnudara a fin de verificar si tenía pene o vagina y al no quitarse la ropa le agredió físicamente de tal modo que recibió un fuerte golpe en sus glúteos. Tal agresión le ha impedido sentarse y caminar bien al afectar a la prótesis de silicona.</w:t>
      </w:r>
    </w:p>
    <w:p w14:paraId="512E63EA" w14:textId="77777777" w:rsidR="003754FE" w:rsidRDefault="003754FE" w:rsidP="003754FE">
      <w:pPr>
        <w:pStyle w:val="TextoNormal"/>
      </w:pPr>
    </w:p>
    <w:p w14:paraId="33541A00" w14:textId="77777777" w:rsidR="003754FE" w:rsidRDefault="003754FE" w:rsidP="003754FE">
      <w:pPr>
        <w:pStyle w:val="TextoNormal"/>
      </w:pPr>
      <w:r>
        <w:t>(iii) Trasladada al centro penitenciario de Mansilla de las Mulas de León, el 13 de enero de 2022, redactó otra denuncia manuscrita referida a los mismos hechos, en los que se refirió al hostigamiento de los funcionarios desde que entró en el centro y en relación con el episodio del jefe de servicios, de modo genérico indicó que fue agredida física y verbalmente ya que el jefe de servicios decía que era una burla al sistema penitenciario que un hombre disfrazado de mujer quisiera estar en dicho módulo. Insiste en las dificultades que desde entonces tiene para caminar y sentarse.</w:t>
      </w:r>
    </w:p>
    <w:p w14:paraId="1CECFAF5" w14:textId="77777777" w:rsidR="003754FE" w:rsidRDefault="003754FE" w:rsidP="003754FE">
      <w:pPr>
        <w:pStyle w:val="TextoNormal"/>
      </w:pPr>
    </w:p>
    <w:p w14:paraId="603EE450" w14:textId="77777777" w:rsidR="003754FE" w:rsidRDefault="003754FE" w:rsidP="003754FE">
      <w:pPr>
        <w:pStyle w:val="TextoNormal"/>
      </w:pPr>
      <w:r>
        <w:t>(iv) Por último, cuando se le recibe declaración por el inspector de la Subdirección General de Análisis e Inspección como consecuencia de la solicitud de información por el Defensor del Pueblo, precisó que el jefe de servicios le quitó la ropa para comprobar si tenía pene y al confirmarlo la insultó, la empujó y se golpeó los glúteos contra la esquina de la cama que era de hormigón. Al día siguiente solicitó que la viera un médico, quien le dijo que por qué no le comentó que era una mujer trans cuando le vio en el ingreso, luego le entrevistó la psicóloga y luego el educador. La doctora le recetó medicación y se le amorataron los glúteos y no se podía sentar. Solicitó ver a la doctora y ella le obligó a salir de la consulta y al día siguiente le recetaron una media que no le hacía nada y Tramadol para el dolor.</w:t>
      </w:r>
    </w:p>
    <w:p w14:paraId="3E609515" w14:textId="77777777" w:rsidR="003754FE" w:rsidRDefault="003754FE" w:rsidP="003754FE">
      <w:pPr>
        <w:pStyle w:val="TextoNormal"/>
      </w:pPr>
    </w:p>
    <w:p w14:paraId="39C9C263" w14:textId="77777777" w:rsidR="003754FE" w:rsidRDefault="003754FE" w:rsidP="003754FE">
      <w:pPr>
        <w:pStyle w:val="TextoNormal"/>
      </w:pPr>
      <w:r>
        <w:t xml:space="preserve">(v) Se advierte que el Juzgado de Instrucción núm. 1 de Valladolid, procedió al sobreseimiento de la causa sin haber podido obtener el informe forense de las lesiones de la denunciante por no tener a su disposición el historial clínico del Centro Penitenciario de Valladolid y basándose exclusivamente en el informe solicitado al director del centro penitenciario del que resultaba que los funcionarios negaban la versión de la denunciante y la existencia de </w:t>
      </w:r>
      <w:r>
        <w:lastRenderedPageBreak/>
        <w:t>cualquier agresión, refiriendo que fue una funcionaria la que entró en la celda y el jefe de servicios se quedó fuera.</w:t>
      </w:r>
    </w:p>
    <w:p w14:paraId="21113E6F" w14:textId="77777777" w:rsidR="003754FE" w:rsidRDefault="003754FE" w:rsidP="003754FE">
      <w:pPr>
        <w:pStyle w:val="TextoNormal"/>
      </w:pPr>
    </w:p>
    <w:p w14:paraId="2237B2B5" w14:textId="77777777" w:rsidR="003754FE" w:rsidRDefault="003754FE" w:rsidP="003754FE">
      <w:pPr>
        <w:pStyle w:val="TextoNormal"/>
      </w:pPr>
      <w:r>
        <w:t>(vi) Por la Secretaría General de Instituciones Penitenciarias, a raíz de la queja planteada por la demandante ante el Defensor del Pueblo, se transmitieron indicaciones a la dirección del Centro Penitenciario de Valladolid para garantizar que no volviera a producirse una situación como la acontecida. Indica que verificar los órganos sexuales de los internos solo es factible en el contexto de un acto médico especialmente profesional y confidencial que debe ser competencia exclusiva de los facultativos del centro, quienes luego podrán informar a la dirección del centro penitenciario para que disponga las medidas idóneas para la estancia de la persona transgénero en la unidad residencial más conveniente para la salvaguarda de sus derechos y evitar posibles problemas.</w:t>
      </w:r>
    </w:p>
    <w:p w14:paraId="2F11EEEE" w14:textId="77777777" w:rsidR="003754FE" w:rsidRDefault="003754FE" w:rsidP="003754FE">
      <w:pPr>
        <w:pStyle w:val="TextoNormal"/>
      </w:pPr>
    </w:p>
    <w:p w14:paraId="6220D906" w14:textId="79E11D3B" w:rsidR="003754FE" w:rsidRDefault="003754FE" w:rsidP="003754FE">
      <w:pPr>
        <w:pStyle w:val="TextoNormal"/>
      </w:pPr>
      <w:r>
        <w:t>(vii) Tras los hechos acontecidos el 9 de agosto de 2021 no consta que se realizara indagación alguna por personal del centro penitenciario —médico o no— a fin de verificar la presencia de órganos genitales masculinos o femeninos en la demandante a fin de adoptar medidas regimentales idóneas para la salvaguardada de sus derechos. Tampoco consta en los informes emitidos dato alguno que permita advertir cómo se alcanzó la conclusión de que la demandante poseía órganos genitales masculinos.</w:t>
      </w:r>
    </w:p>
    <w:p w14:paraId="348C3CF7" w14:textId="77777777" w:rsidR="003754FE" w:rsidRDefault="003754FE" w:rsidP="003754FE">
      <w:pPr>
        <w:pStyle w:val="TextoNormal"/>
      </w:pPr>
    </w:p>
    <w:p w14:paraId="383A6C0F" w14:textId="77777777" w:rsidR="003754FE" w:rsidRDefault="003754FE" w:rsidP="003754FE">
      <w:pPr>
        <w:pStyle w:val="TextoNormal"/>
      </w:pPr>
      <w:r w:rsidRPr="003754FE">
        <w:rPr>
          <w:rStyle w:val="NumeroAFNegritaCaracter"/>
        </w:rPr>
        <w:t>4</w:t>
      </w:r>
      <w:r>
        <w:t xml:space="preserve">. </w:t>
      </w:r>
      <w:r w:rsidRPr="003754FE">
        <w:rPr>
          <w:i/>
        </w:rPr>
        <w:t>Aplicación de la doctrina constitucional en materia de investigación judicial eficaz y suficiente al presente caso</w:t>
      </w:r>
    </w:p>
    <w:p w14:paraId="0A6BB7F8" w14:textId="77777777" w:rsidR="003754FE" w:rsidRDefault="003754FE" w:rsidP="003754FE">
      <w:pPr>
        <w:pStyle w:val="TextoNormal"/>
      </w:pPr>
    </w:p>
    <w:p w14:paraId="02FCCDCB" w14:textId="77777777" w:rsidR="003754FE" w:rsidRDefault="003754FE" w:rsidP="003754FE">
      <w:pPr>
        <w:pStyle w:val="TextoNormal"/>
      </w:pPr>
      <w:r>
        <w:t>Los hechos anteriormente relatados, puestos en relación con la jurisprudencia constitucional en la materia, determinan que el Tribunal concluya, de conformidad con lo solicitado por el Ministerio Fiscal, que la decisión judicial de archivar las diligencias penales abiertas como consecuencia de la denuncia de la demandante de amparo no fue conforme con las exigencias del art. 24.1 CE relacionadas con el derecho a la integridad física y moral (art. 15 CE) por las razones siguientes:</w:t>
      </w:r>
    </w:p>
    <w:p w14:paraId="4E329FC3" w14:textId="77777777" w:rsidR="003754FE" w:rsidRDefault="003754FE" w:rsidP="003754FE">
      <w:pPr>
        <w:pStyle w:val="TextoNormal"/>
      </w:pPr>
    </w:p>
    <w:p w14:paraId="66C46E80" w14:textId="77777777" w:rsidR="003754FE" w:rsidRDefault="003754FE" w:rsidP="003754FE">
      <w:pPr>
        <w:pStyle w:val="TextoNormal"/>
      </w:pPr>
      <w:r>
        <w:t>(i) Puede considerarse que los hechos narrados en las sucesivas denuncias y posterior declaración efectuada por la denunciante evidencian una actuación que alcanza el nivel mínimo de gravedad exigido, atendidas todas las circunstancias del caso, para entender que implican un atentado a la dignidad humana de la denunciante por suponer su cosificación rebajándola a un nivel material o animal. En efecto, según el relato de la denuncia —cuya veracidad deberá ser objeto de investigación, según se indicará más adelante—, que tres funcionarios se presenten en la celda en la que se encontraba, obligando a la denunciante a que les muestre sus genitales, forzándola y golpeándola, atendida su condición de transexual y su situación de reclusión en un centro penitenciario, unido a los comentarios efectuados, avalan dicha conclusión.</w:t>
      </w:r>
    </w:p>
    <w:p w14:paraId="006E097C" w14:textId="77777777" w:rsidR="003754FE" w:rsidRDefault="003754FE" w:rsidP="003754FE">
      <w:pPr>
        <w:pStyle w:val="TextoNormal"/>
      </w:pPr>
    </w:p>
    <w:p w14:paraId="160DA286" w14:textId="77777777" w:rsidR="003754FE" w:rsidRDefault="003754FE" w:rsidP="003754FE">
      <w:pPr>
        <w:pStyle w:val="TextoNormal"/>
      </w:pPr>
      <w:r>
        <w:t>(ii) Averiguar si tales hechos realmente sucedieron o responden a una falaz invención de la denunciante, como sostiene el director y los funcionarios del Centro Penitenciario de Valladolid, no puede limitarse, sin más, a recabar un informe de los implicados directa o indirectamente por la denuncia. La tutela del derecho exige algo más, cuando existen diligencias de investigación que pueden ser practicadas y no se realizan.</w:t>
      </w:r>
    </w:p>
    <w:p w14:paraId="11AC3935" w14:textId="77777777" w:rsidR="003754FE" w:rsidRDefault="003754FE" w:rsidP="003754FE">
      <w:pPr>
        <w:pStyle w:val="TextoNormal"/>
      </w:pPr>
    </w:p>
    <w:p w14:paraId="10244C3D" w14:textId="77777777" w:rsidR="003754FE" w:rsidRDefault="003754FE" w:rsidP="003754FE">
      <w:pPr>
        <w:pStyle w:val="TextoNormal"/>
      </w:pPr>
      <w:r>
        <w:lastRenderedPageBreak/>
        <w:t>El Tribunal, de manera acorde con las alegaciones del Ministerio Fiscal, entiende procedente despejar cualquier duda sobre la veracidad de los hechos denunciados y consiguientemente debe afirmar que las diligencias practicadas no son lo suficientemente contundentes para que los órganos judiciales puedan proceder al archivo de la causa. En atención a las concretas circunstancias del caso, el grado de esfuerzo judicial desarrollado no alcanza la suficiencia y efectividad exigida por la jurisprudencia constitucional en la materia. El Tribunal advierte que no se ha dado cumplimiento a la exigencia constitucional de perseverancia en la actividad indagatoria, de hecho, se clausuró la investigación con la lectura de la denuncia y el examen de la documental aportada, renunciando de modo injustificado incluso a la práctica de la única prueba acordada que se distanciaba de los implicados: el informe médico forense.</w:t>
      </w:r>
    </w:p>
    <w:p w14:paraId="5D325F08" w14:textId="77777777" w:rsidR="003754FE" w:rsidRDefault="003754FE" w:rsidP="003754FE">
      <w:pPr>
        <w:pStyle w:val="TextoNormal"/>
      </w:pPr>
    </w:p>
    <w:p w14:paraId="7D4513FA" w14:textId="77777777" w:rsidR="003754FE" w:rsidRDefault="003754FE" w:rsidP="003754FE">
      <w:pPr>
        <w:pStyle w:val="TextoNormal"/>
      </w:pPr>
      <w:r>
        <w:t>Puede constatarse que no se tomó —con los beneficios que resultan de la inmediación judicial— declaración al director del centro penitenciario y a las funcionarias que junto al jefe de servicios acudieron a la celda el día 9 de agosto de 2021. Dicha declaración hubiera arrojado algo de luz sobre la realidad de la solicitud de inmediata asistencia médica que dice la solicitante efectuó ese mismo día o sobre la contradicción en que incurrieron —el director con las funcionarias y la denunciante— acerca de si fue atendida ese mismo día (versión de las funcionarias, negada por el director) o al siguiente (versión de la denunciante frente al informe del director que sostiene que la primera consulta se produjo el día 16 de septiembre de 2021) por personal sanitario existente en la prisión.</w:t>
      </w:r>
    </w:p>
    <w:p w14:paraId="7F4A7534" w14:textId="77777777" w:rsidR="003754FE" w:rsidRDefault="003754FE" w:rsidP="003754FE">
      <w:pPr>
        <w:pStyle w:val="TextoNormal"/>
      </w:pPr>
    </w:p>
    <w:p w14:paraId="31D79553" w14:textId="77777777" w:rsidR="003754FE" w:rsidRDefault="003754FE" w:rsidP="003754FE">
      <w:pPr>
        <w:pStyle w:val="TextoNormal"/>
      </w:pPr>
      <w:r>
        <w:t>No se arroja claridad sobre tal asistencia —pudo no ser llevada a cabo por el médico y sí por el servicio de enfermería, lo que explicaría la contradicción— sin duda alguna relevante atendida la proximidad con el hecho denunciado y cuya invectiva por la denunciante —</w:t>
      </w:r>
      <w:r w:rsidRPr="003754FE">
        <w:rPr>
          <w:i/>
        </w:rPr>
        <w:t>a priori</w:t>
      </w:r>
      <w:r>
        <w:t>— carece de sentido. Tal incertidumbre hubiera podido ser despejada mediante la identificación del personal que prestaba asistencia sanitaria —como técnico de asistencia sanitaria, enfermera o médico— y su toma de declaración a fin de que diera razón de la existencia de tal asistencia —a la que se refieren las funcionarias— y del contenido de la misma y en su caso de la constancia de moratones en los glúteos y de la eventual medicación prescrita —a los que hace referencia la denunciante— y de la causa que eventualmente hubiera manifestado como origen de la lesiones. De ese modo se hubiera podido corroborar la tesis de la denunciante o avalar la del jefe de servicios y de las funcionarias. Debe destacarse la importancia indiciaria que tienen los datos reflejados en partes médicos o aportados por el personal médico que puedan avalar la sospecha de la existencia de maltrato físico o psíquico cuando son próximos a los hechos denunciados y la obligación del juez instructor de preservar su aportación a la causa.</w:t>
      </w:r>
    </w:p>
    <w:p w14:paraId="2AF61E84" w14:textId="77777777" w:rsidR="003754FE" w:rsidRDefault="003754FE" w:rsidP="003754FE">
      <w:pPr>
        <w:pStyle w:val="TextoNormal"/>
      </w:pPr>
    </w:p>
    <w:p w14:paraId="0571618B" w14:textId="77777777" w:rsidR="003754FE" w:rsidRDefault="003754FE" w:rsidP="003754FE">
      <w:pPr>
        <w:pStyle w:val="TextoNormal"/>
      </w:pPr>
      <w:r>
        <w:t>Por otra parte, es lógica la relevancia que tanto para el director del centro penitenciario, como para el jefe de servicios —y que también se refleja en el informe de la Secretaría General de Instituciones Penitenciarias— tenía la constatación de la existencia de órganos sexuales masculinos en la denunciante para adoptar medidas regimentales. Precisamente, dicho examen según coinciden todas las versiones —discrepan en el modo en que se hizo y en su resultado— fue lo que motivó la visita a la celda por el jefe de servicios y las dos funcionarias. Pues bien, no se comprende, pues no se ha investigado —pese a su relevancia para corroborar las distintas declaraciones—, cómo pudieron alcanzar tal convicción o por qué —y eso es más grave—, pudieron prescindir de la misma.</w:t>
      </w:r>
    </w:p>
    <w:p w14:paraId="47A811AD" w14:textId="77777777" w:rsidR="003754FE" w:rsidRDefault="003754FE" w:rsidP="003754FE">
      <w:pPr>
        <w:pStyle w:val="TextoNormal"/>
      </w:pPr>
    </w:p>
    <w:p w14:paraId="4F691B63" w14:textId="77777777" w:rsidR="003754FE" w:rsidRDefault="003754FE" w:rsidP="003754FE">
      <w:pPr>
        <w:pStyle w:val="TextoNormal"/>
      </w:pPr>
      <w:r>
        <w:lastRenderedPageBreak/>
        <w:t>Esto es, el jefe de servicios se fue de la celda sin poder comprobar tal extremo —versión de estos y del director, negada por la denunciante— y el informe del director deja claro que “ni ese día, ni en todos los que permaneció doña Giselle en este centro, se le llegó a desnudar de forma completa o, de otra forma, contemplados sus genitales; precisamente, para no vulnerar su intimidad”.</w:t>
      </w:r>
    </w:p>
    <w:p w14:paraId="27E8B3AA" w14:textId="77777777" w:rsidR="003754FE" w:rsidRDefault="003754FE" w:rsidP="003754FE">
      <w:pPr>
        <w:pStyle w:val="TextoNormal"/>
      </w:pPr>
    </w:p>
    <w:p w14:paraId="7E1A61A7" w14:textId="77777777" w:rsidR="003754FE" w:rsidRDefault="003754FE" w:rsidP="003754FE">
      <w:pPr>
        <w:pStyle w:val="TextoNormal"/>
      </w:pPr>
      <w:r>
        <w:t>Es de observar también que de los documentos aportados por la denunciante en el recurso de apelación constan dos informes médicos emitidos el día 16 de septiembre de 2021 en los que la denunciante indica que “ha sufrido una agresión hace unos días y los implantes de silicona del glúteo derecho se le han desplazado” y que hace un mes —esto es, mientras se encontraba ingresada en el Centro Penitenciario de Valladolid— “no se puede sentar por dolor en los glúteos y región proximal de muslos, a raíz de una caída sentada, cree que se le han podido desplazar las prótesis”.</w:t>
      </w:r>
    </w:p>
    <w:p w14:paraId="79B102AF" w14:textId="77777777" w:rsidR="003754FE" w:rsidRDefault="003754FE" w:rsidP="003754FE">
      <w:pPr>
        <w:pStyle w:val="TextoNormal"/>
      </w:pPr>
    </w:p>
    <w:p w14:paraId="71FC31A1" w14:textId="3FC4E7BA" w:rsidR="003754FE" w:rsidRDefault="003754FE" w:rsidP="003754FE">
      <w:pPr>
        <w:pStyle w:val="TextoNormal"/>
      </w:pPr>
      <w:r>
        <w:t>En fin, el Tribunal, por tanto, debe concluir que no se ha dado cumplimiento a la exigencia constitucional de perseverancia en la actividad indagatoria y considera razonable que se prosiga con la investigación, practicando las diligencias de investigación necesarias entre las que cobra especial referencia la propia declaración de la denunciante y de quienes han emitido los informes (director del centro penitenciario, jefe de servicios, funcionarias) pues la evaluación de la credibilidad del relato expuesto en la denuncia exigía valorar directamente —con inmediación— el testimonio de quienes presenciaron los hechos denunciados o fueron testigos de referencia de los mismos, en presencia judicial, sin que se adivine obstáculo alguno a la práctica de tales declaraciones en el presente caso (por todas, SSTC 107/2008, FJ 4; 131/2012, FJ 5; 153/2013, FJ 6, y 144/2016, FJ 4).</w:t>
      </w:r>
    </w:p>
    <w:p w14:paraId="4CF54827" w14:textId="77777777" w:rsidR="003754FE" w:rsidRDefault="003754FE" w:rsidP="003754FE">
      <w:pPr>
        <w:pStyle w:val="TextoNormal"/>
      </w:pPr>
    </w:p>
    <w:p w14:paraId="793AC812" w14:textId="77777777" w:rsidR="003754FE" w:rsidRDefault="003754FE" w:rsidP="003754FE">
      <w:pPr>
        <w:pStyle w:val="TextoNormal"/>
      </w:pPr>
      <w:r w:rsidRPr="003754FE">
        <w:rPr>
          <w:rStyle w:val="NumeroAFNegritaCaracter"/>
        </w:rPr>
        <w:t>5</w:t>
      </w:r>
      <w:r>
        <w:t xml:space="preserve">. </w:t>
      </w:r>
      <w:r w:rsidRPr="003754FE">
        <w:rPr>
          <w:i/>
        </w:rPr>
        <w:t>Otorgamiento del amparo solicitado</w:t>
      </w:r>
    </w:p>
    <w:p w14:paraId="1068A4BD" w14:textId="77777777" w:rsidR="003754FE" w:rsidRDefault="003754FE" w:rsidP="003754FE">
      <w:pPr>
        <w:pStyle w:val="TextoNormal"/>
      </w:pPr>
    </w:p>
    <w:p w14:paraId="7376FF95" w14:textId="586024B6" w:rsidR="003754FE" w:rsidRDefault="003754FE" w:rsidP="003754FE">
      <w:pPr>
        <w:pStyle w:val="TextoNormal"/>
      </w:pPr>
      <w:r>
        <w:t>En conclusión, procede otorgar el amparo por vulneración del derecho a la tutela judicial efectiva (art. 24.1 CE) en relación con el derecho a la integridad física moral (art. 15 CE). El restablecimiento de la recurrente en la integridad de su derecho exige, tal como se viene razonando en la jurisprudencia constitucional sobre la materia, la anulación de los autos impugnados y la retroacción de actuaciones para que se le dispense la tutela judicial demandada (por todas, SSTC 131/2012, FJ 6; 153/2013, FJ 7; 130/2016, FJ 6; 144/2016, FJ 5, y 53/2022, de 4 de abril, FJ 5).</w:t>
      </w:r>
    </w:p>
    <w:p w14:paraId="28B10131" w14:textId="77777777" w:rsidR="003754FE" w:rsidRDefault="003754FE" w:rsidP="003754FE">
      <w:pPr>
        <w:pStyle w:val="TextoNormal"/>
      </w:pPr>
    </w:p>
    <w:p w14:paraId="0C78E0C0" w14:textId="77777777" w:rsidR="003754FE" w:rsidRDefault="003754FE" w:rsidP="003754FE">
      <w:pPr>
        <w:pStyle w:val="TextoNormalCentrado"/>
        <w:keepNext/>
      </w:pPr>
      <w:r>
        <w:t>FALLO</w:t>
      </w:r>
    </w:p>
    <w:p w14:paraId="503E7DD6" w14:textId="086E59D4" w:rsidR="003754FE" w:rsidRDefault="003754FE" w:rsidP="003754FE">
      <w:pPr>
        <w:pStyle w:val="TextoNormalCentrado"/>
        <w:keepNext/>
      </w:pPr>
    </w:p>
    <w:p w14:paraId="44E0613F"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doña Giselle Góngora Ramos y, en su virtud:</w:t>
      </w:r>
    </w:p>
    <w:p w14:paraId="5B7CC273" w14:textId="77777777" w:rsidR="003754FE" w:rsidRDefault="003754FE" w:rsidP="003754FE">
      <w:pPr>
        <w:pStyle w:val="TextoNormal"/>
      </w:pPr>
    </w:p>
    <w:p w14:paraId="7132659E" w14:textId="77777777" w:rsidR="003754FE" w:rsidRDefault="003754FE" w:rsidP="003754FE">
      <w:pPr>
        <w:pStyle w:val="TextoNormal"/>
      </w:pPr>
      <w:r>
        <w:t>1º Declarar vulnerado su derecho a la tutela judicial efectiva (art. 24.1 CE) en relación con el derecho a la integridad física y moral (art. 15 CE).</w:t>
      </w:r>
    </w:p>
    <w:p w14:paraId="560E10BC" w14:textId="77777777" w:rsidR="003754FE" w:rsidRDefault="003754FE" w:rsidP="003754FE">
      <w:pPr>
        <w:pStyle w:val="TextoNormal"/>
      </w:pPr>
    </w:p>
    <w:p w14:paraId="54D37F5F" w14:textId="77777777" w:rsidR="003754FE" w:rsidRDefault="003754FE" w:rsidP="003754FE">
      <w:pPr>
        <w:pStyle w:val="TextoNormal"/>
      </w:pPr>
      <w:r>
        <w:t xml:space="preserve">2º Restablecerla en la integridad de su derecho y, a tal fin, declarar la nulidad de los autos dictados el 4 de noviembre de 2021 por el Juzgado de Instrucción núm. 1 de Valladolid que acuerda el sobreseimiento provisional de las diligencias previas núm. 1377-2021 y el de 6 </w:t>
      </w:r>
      <w:r>
        <w:lastRenderedPageBreak/>
        <w:t>de septiembre de 2022, dictado por la Sección Segunda de la Audiencia Provincial de Valladolid que desestima el recurso de apelación núm. 511-2022.</w:t>
      </w:r>
    </w:p>
    <w:p w14:paraId="7A6E5EAA" w14:textId="77777777" w:rsidR="003754FE" w:rsidRDefault="003754FE" w:rsidP="003754FE">
      <w:pPr>
        <w:pStyle w:val="TextoNormal"/>
      </w:pPr>
    </w:p>
    <w:p w14:paraId="4FD9FA65" w14:textId="68751D0C" w:rsidR="003754FE" w:rsidRDefault="003754FE" w:rsidP="003754FE">
      <w:pPr>
        <w:pStyle w:val="TextoNormal"/>
      </w:pPr>
      <w:r>
        <w:t>3º Retrotraer las actuaciones al momento anterior al dictado del primero de los autos anulados para que el Juzgado de Instrucción núm.1 de Valladolid proceda en términos respetuosos con el derecho fundamental vulnerado.</w:t>
      </w:r>
    </w:p>
    <w:p w14:paraId="3E35D1D9" w14:textId="77777777" w:rsidR="003754FE" w:rsidRDefault="003754FE" w:rsidP="003754FE">
      <w:pPr>
        <w:pStyle w:val="TextoNormal"/>
      </w:pPr>
    </w:p>
    <w:p w14:paraId="13339796" w14:textId="77777777" w:rsidR="003754FE" w:rsidRDefault="003754FE" w:rsidP="003754FE">
      <w:pPr>
        <w:pStyle w:val="TextoNormal"/>
      </w:pPr>
      <w:r>
        <w:t>Publíquese esta sentencia en el “Boletín Oficial del Estado”.</w:t>
      </w:r>
    </w:p>
    <w:p w14:paraId="020E6A7F" w14:textId="77777777" w:rsidR="003754FE" w:rsidRDefault="003754FE" w:rsidP="003754FE">
      <w:pPr>
        <w:pStyle w:val="TextoNormal"/>
      </w:pPr>
      <w:r>
        <w:t>Dada en Madrid, a nueve de septiembre de dos mil veinticuatro.</w:t>
      </w:r>
    </w:p>
    <w:p w14:paraId="008DDDE8" w14:textId="5D86C10E" w:rsidR="003754FE" w:rsidRDefault="003754FE">
      <w:pPr>
        <w:spacing w:after="160" w:line="278" w:lineRule="auto"/>
        <w:rPr>
          <w:rFonts w:ascii="Times New Roman" w:eastAsia="Times New Roman" w:hAnsi="Times New Roman" w:cs="Times New Roman"/>
          <w:sz w:val="24"/>
          <w:szCs w:val="24"/>
          <w:lang w:eastAsia="es-ES"/>
        </w:rPr>
      </w:pPr>
      <w:r>
        <w:br w:type="page"/>
      </w:r>
    </w:p>
    <w:p w14:paraId="77359C69" w14:textId="77777777" w:rsidR="003754FE" w:rsidRDefault="003754FE" w:rsidP="003754FE">
      <w:pPr>
        <w:pStyle w:val="TtuloResolucin"/>
      </w:pPr>
      <w:bookmarkStart w:id="15" w:name="SENTENCIA_2024_106"/>
      <w:r>
        <w:lastRenderedPageBreak/>
        <w:t>SENTENCIA 106/2024, de 9 de septiembre de 2024</w:t>
      </w:r>
    </w:p>
    <w:bookmarkEnd w:id="15"/>
    <w:p w14:paraId="7FD68BB2" w14:textId="77777777" w:rsidR="003754FE" w:rsidRDefault="003754FE" w:rsidP="003754FE">
      <w:pPr>
        <w:pStyle w:val="TtuloResolucin"/>
      </w:pPr>
      <w:r>
        <w:t>Sala Primera</w:t>
      </w:r>
    </w:p>
    <w:p w14:paraId="4CEE6F65" w14:textId="77777777" w:rsidR="003754FE" w:rsidRDefault="003754FE" w:rsidP="003754FE">
      <w:pPr>
        <w:pStyle w:val="TtuloBOE"/>
      </w:pPr>
      <w:r>
        <w:t>(BOE núm. 247, de 12 de octubre de 2024)</w:t>
      </w:r>
    </w:p>
    <w:p w14:paraId="641AE0D0" w14:textId="77777777" w:rsidR="003754FE" w:rsidRDefault="003754FE" w:rsidP="003754FE">
      <w:pPr>
        <w:pStyle w:val="TextoNormalCentrado"/>
      </w:pPr>
      <w:r>
        <w:t>ECLI:ES:TC:2024:106</w:t>
      </w:r>
    </w:p>
    <w:p w14:paraId="5EEF82A4" w14:textId="2573BCB3" w:rsidR="003754FE" w:rsidRDefault="003754FE" w:rsidP="003754FE">
      <w:pPr>
        <w:pStyle w:val="TextoNormalCentrado"/>
      </w:pPr>
    </w:p>
    <w:p w14:paraId="414B454D" w14:textId="77777777" w:rsidR="003754FE" w:rsidRDefault="003754FE" w:rsidP="003754FE">
      <w:pPr>
        <w:pStyle w:val="SntesisDescriptiva"/>
      </w:pPr>
      <w:r>
        <w:t>Recurso de amparo 6469-2022. Recurso de amparo 6469-2022. Promovido por doña M.A.R., en relación con los autos dictados por la Audiencia Provincial de Madrid y un juzgado de su capital en expediente de jurisdicción voluntaria por desacuerdo en el ejercicio de la patria potestad en relación con la evaluación y posible tratamiento psicológico de una menor de edad.</w:t>
      </w:r>
    </w:p>
    <w:p w14:paraId="3F8CC07E" w14:textId="3AFAC458" w:rsidR="003754FE" w:rsidRDefault="003754FE" w:rsidP="003754FE">
      <w:pPr>
        <w:pStyle w:val="SntesisDescriptiva"/>
      </w:pPr>
    </w:p>
    <w:p w14:paraId="5656A11C" w14:textId="77777777" w:rsidR="003754FE" w:rsidRDefault="003754FE" w:rsidP="003754FE">
      <w:pPr>
        <w:pStyle w:val="SntesisAnaltica"/>
      </w:pPr>
      <w:r>
        <w:t>Supuesta vulneración de los derechos a la tutela judicial efectiva y de defensa: información sobre la exploración judicial que permitió a la madre conocer las manifestaciones más relevantes de la menor.</w:t>
      </w:r>
    </w:p>
    <w:p w14:paraId="54D70E77" w14:textId="5952BE2D" w:rsidR="003754FE" w:rsidRDefault="003754FE" w:rsidP="003754FE">
      <w:pPr>
        <w:pStyle w:val="SntesisAnaltica"/>
      </w:pPr>
    </w:p>
    <w:p w14:paraId="57319346" w14:textId="613F4F58" w:rsidR="003754FE" w:rsidRDefault="003754FE" w:rsidP="003754FE">
      <w:pPr>
        <w:pStyle w:val="Extracto"/>
      </w:pPr>
      <w:r>
        <w:t>1.</w:t>
      </w:r>
      <w:r>
        <w:tab/>
        <w:t>En los supuestos que, por decisión del juez, la exploración judicial se desarrolla en ausencia de las partes, para garantizar el derecho de audiencia en condiciones que preserven el interés superior del menor, la posterior entrega del acta detallada a las partes concilia esa decisión judicial con los derechos fundamentales de las partes en el proceso (art. 24 CE), en la medida en que el interés prevalente del menor debe ponderarse con el de sus progenitores que, aun siendo de menor rango, no resulta desdeñable (SSTC 141/2000 o 185/2012) [FJ 3].</w:t>
      </w:r>
    </w:p>
    <w:p w14:paraId="5AE238A7" w14:textId="77777777" w:rsidR="003754FE" w:rsidRDefault="003754FE" w:rsidP="003754FE">
      <w:pPr>
        <w:pStyle w:val="Extracto"/>
      </w:pPr>
    </w:p>
    <w:p w14:paraId="40FB63A9" w14:textId="04DAF4AB" w:rsidR="003754FE" w:rsidRDefault="003754FE" w:rsidP="003754FE">
      <w:pPr>
        <w:pStyle w:val="Extracto"/>
      </w:pPr>
      <w:r>
        <w:t>2.</w:t>
      </w:r>
      <w:r>
        <w:tab/>
        <w:t>La entrega a las partes del acta que documenta el resultado de la audiencia al menor constituye un instrumento idóneo para procurar la garantía del derecho a la tutela judicial efectiva sin indefensión y del principio de contradicción, en la medida en que las cautelas, recogidas en el párrafo segundo del artículo 18.2.4 de la Ley 15/2015 sobre jurisdicción voluntaria, contribuyen decisivamente a la preservación del derecho a la intimidad del menor siempre que el contenido de la mencionada acta detalle aquellas manifestaciones del menor, imprescindibles por significativas y por ello estrictamente relevantes, para la decisión del expediente (STC 64/20199) [FJ 4].</w:t>
      </w:r>
    </w:p>
    <w:p w14:paraId="282514A3" w14:textId="77777777" w:rsidR="003754FE" w:rsidRDefault="003754FE" w:rsidP="003754FE">
      <w:pPr>
        <w:pStyle w:val="Extracto"/>
      </w:pPr>
    </w:p>
    <w:p w14:paraId="5074B039" w14:textId="425E38BC" w:rsidR="003754FE" w:rsidRDefault="003754FE" w:rsidP="003754FE">
      <w:pPr>
        <w:pStyle w:val="Extracto"/>
      </w:pPr>
      <w:r>
        <w:t>3.</w:t>
      </w:r>
      <w:r>
        <w:tab/>
        <w:t>Siendo indiscutible la existencia de una relación entre denegación de pruebas e indefensión, no son conceptos que hayan sin más de equipararse; y sólo puede tener relevancia constitucional -por provocar indefensión- la denegación de prueba que, siendo solicitada en el momento y forma oportuna, no resulte razonable y prive al solicitante de amparo de hechos decisivos para su pretensión (STC 149/1987) [FJ 4].</w:t>
      </w:r>
    </w:p>
    <w:p w14:paraId="0476E7A6" w14:textId="77777777" w:rsidR="003754FE" w:rsidRDefault="003754FE" w:rsidP="003754FE">
      <w:pPr>
        <w:pStyle w:val="Extracto"/>
      </w:pPr>
    </w:p>
    <w:p w14:paraId="2D0E2167" w14:textId="10403B46" w:rsidR="003754FE" w:rsidRDefault="003754FE" w:rsidP="003754FE">
      <w:pPr>
        <w:pStyle w:val="Extracto"/>
      </w:pPr>
      <w:r>
        <w:t>4.</w:t>
      </w:r>
      <w:r>
        <w:tab/>
        <w:t xml:space="preserve">La denegación de las pruebas solo generará indefensión cuando esta sea de carácter material y pueda apreciarse el efectivo menoscabo del derecho de quien por ese motivo busca amparo. Y no existe indefensión de relevancia constitucional cuando la inadmisión de la prueba se ha producido, o bien debidamente en aplicación estricta de normas legales cuya legitimidad constitucional no puede ponerse en duda, o cuando aun existiendo en la inadmisión de la prueba una irregularidad procesal, no se llega a producir efectivo y real menoscabo del derecho de defensa, </w:t>
      </w:r>
      <w:r>
        <w:lastRenderedPageBreak/>
        <w:t>por no existir o no demostrarse la relación entre los hechos que se quisieron y no se pudieron probar y las pruebas inadmitidas (STC 149/1987) [FJ 4].</w:t>
      </w:r>
    </w:p>
    <w:p w14:paraId="19CFD564" w14:textId="77777777" w:rsidR="003754FE" w:rsidRDefault="003754FE" w:rsidP="003754FE">
      <w:pPr>
        <w:pStyle w:val="Extracto"/>
      </w:pPr>
    </w:p>
    <w:p w14:paraId="3235C2E5" w14:textId="527E3E0E" w:rsidR="003754FE" w:rsidRDefault="003754FE" w:rsidP="003754FE">
      <w:pPr>
        <w:pStyle w:val="Extracto"/>
      </w:pPr>
      <w:r>
        <w:t>5.</w:t>
      </w:r>
      <w:r>
        <w:tab/>
        <w:t>Para que una irregularidad u omisión procesal en materia de prueba (referida a su admisión, a su práctica o a su valoración) cause indefensión material constitucionalmente relevante, la prueba denegada o no practicada debe resultar decisiva en términos de defensa, de suerte que, de haberse practicado la prueba omitida, la resolución final del proceso hubiese podido ser distinta en el sentido de resultar favorable a quien denuncia la infracción del derecho fundamental [FJ 4].</w:t>
      </w:r>
    </w:p>
    <w:p w14:paraId="65F2A54A" w14:textId="77777777" w:rsidR="003754FE" w:rsidRDefault="003754FE" w:rsidP="003754FE">
      <w:pPr>
        <w:pStyle w:val="Extracto"/>
      </w:pPr>
    </w:p>
    <w:p w14:paraId="4CE8CFB2" w14:textId="0A6AC222" w:rsidR="003754FE" w:rsidRDefault="003754FE" w:rsidP="003754FE">
      <w:pPr>
        <w:pStyle w:val="Extracto"/>
      </w:pPr>
      <w:r>
        <w:t>6.</w:t>
      </w:r>
      <w:r>
        <w:tab/>
        <w:t>Recae sobre el recurrente la carga de acreditar la indefensión sufrida, lo que supone que ha de demostrar la relación entre los hechos que se quiso y no se pudo probar y las pruebas inadmitidas o no practicadas; y, además, ha de argumentar el modo en que la admisión y la práctica de la prueba objeto de la controversia habrían podido tener una incidencia favorable a la estimación de las pretensiones (SSTC 247/2004 o 148/2023) [FJ 4].</w:t>
      </w:r>
    </w:p>
    <w:p w14:paraId="5480A8C7" w14:textId="77777777" w:rsidR="003754FE" w:rsidRDefault="003754FE" w:rsidP="003754FE">
      <w:pPr>
        <w:pStyle w:val="Extracto"/>
      </w:pPr>
    </w:p>
    <w:p w14:paraId="7DF51933" w14:textId="77777777" w:rsidR="003754FE" w:rsidRDefault="003754FE" w:rsidP="003754FE">
      <w:pPr>
        <w:pStyle w:val="Extracto"/>
      </w:pPr>
    </w:p>
    <w:p w14:paraId="158EC73A" w14:textId="77777777" w:rsidR="003754FE" w:rsidRDefault="003754FE" w:rsidP="003754FE">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0022C110" w14:textId="714F9833" w:rsidR="003754FE" w:rsidRDefault="003754FE" w:rsidP="003754FE">
      <w:pPr>
        <w:pStyle w:val="TextoNormal"/>
      </w:pPr>
    </w:p>
    <w:p w14:paraId="7D488411" w14:textId="77777777" w:rsidR="003754FE" w:rsidRDefault="003754FE" w:rsidP="003754FE">
      <w:pPr>
        <w:pStyle w:val="TextoNormalCentrado"/>
        <w:keepNext/>
      </w:pPr>
      <w:r>
        <w:t>EN NOMBRE DEL REY</w:t>
      </w:r>
    </w:p>
    <w:p w14:paraId="43544D8A" w14:textId="142F7FDA" w:rsidR="003754FE" w:rsidRDefault="003754FE" w:rsidP="003754FE">
      <w:pPr>
        <w:pStyle w:val="TextoNormalCentrado"/>
        <w:keepNext/>
      </w:pPr>
    </w:p>
    <w:p w14:paraId="1F9F9593" w14:textId="77777777" w:rsidR="003754FE" w:rsidRDefault="003754FE" w:rsidP="003754FE">
      <w:pPr>
        <w:pStyle w:val="TextoNormalCentrado"/>
        <w:keepNext/>
      </w:pPr>
    </w:p>
    <w:p w14:paraId="50A28B4E" w14:textId="77777777" w:rsidR="003754FE" w:rsidRDefault="003754FE" w:rsidP="003754FE">
      <w:pPr>
        <w:pStyle w:val="TextoNormal"/>
      </w:pPr>
      <w:r>
        <w:t>la siguiente</w:t>
      </w:r>
    </w:p>
    <w:p w14:paraId="2F7925B9" w14:textId="55A907F1" w:rsidR="003754FE" w:rsidRDefault="003754FE" w:rsidP="003754FE">
      <w:pPr>
        <w:pStyle w:val="TextoNormal"/>
      </w:pPr>
    </w:p>
    <w:p w14:paraId="3A3C5664" w14:textId="77777777" w:rsidR="003754FE" w:rsidRDefault="003754FE" w:rsidP="003754FE">
      <w:pPr>
        <w:pStyle w:val="TextoNormalCentrado"/>
        <w:keepNext/>
      </w:pPr>
      <w:r>
        <w:t>SENTENCIA</w:t>
      </w:r>
    </w:p>
    <w:p w14:paraId="4ABB1B40" w14:textId="07113574" w:rsidR="003754FE" w:rsidRDefault="003754FE" w:rsidP="003754FE">
      <w:pPr>
        <w:pStyle w:val="TextoNormalCentrado"/>
        <w:keepNext/>
      </w:pPr>
    </w:p>
    <w:p w14:paraId="62B90A65" w14:textId="77777777" w:rsidR="003754FE" w:rsidRDefault="003754FE" w:rsidP="003754FE">
      <w:pPr>
        <w:pStyle w:val="TextoNormal"/>
      </w:pPr>
      <w:r>
        <w:t>En el recurso de amparo núm. 6469-2022, promovido por doña M.A.R., representada por la procuradora de los tribunales doña María Teresa Campos Montellano y defendida por el letrado don Luis Mateos Sáenz, contra el auto núm. 294/2022, de 23 de junio, dictado por la Sección Vigesimocuarta de la Audiencia Provincial de Madrid, por el que se desestima el recurso de apelación núm. 1757-2021 interpuesto contra el auto de 13 de octubre de 2021, dictado por el Juzgado de Primera Instancia núm. 76 de Madrid, en procedimiento de jurisdicción voluntaria núm. 257-2021, por el que se resuelve un desacuerdo en el ejercicio de la patria potestad, en relación con la evaluación y posible tratamiento psicológico de la hija común menor de edad. Ha intervenido el Ministerio Fiscal y don M.A.A.R., representado por el procurador don Roberto de Hoyos Mencía y asistido por el letrado don Jesús Barcia Paredes. Ha sido ponente el magistrado don Juan Carlos Campo Moreno.</w:t>
      </w:r>
    </w:p>
    <w:p w14:paraId="514E1195" w14:textId="6CE9DC65" w:rsidR="003754FE" w:rsidRDefault="003754FE" w:rsidP="003754FE">
      <w:pPr>
        <w:pStyle w:val="TextoNormal"/>
      </w:pPr>
    </w:p>
    <w:p w14:paraId="5B1A7DA8" w14:textId="77777777" w:rsidR="003754FE" w:rsidRDefault="003754FE" w:rsidP="003754FE">
      <w:pPr>
        <w:pStyle w:val="TextoNormalNegritaCentrado"/>
        <w:keepNext/>
      </w:pPr>
      <w:r>
        <w:t>I. Antecedentes</w:t>
      </w:r>
    </w:p>
    <w:p w14:paraId="6B273075" w14:textId="597AE7C6" w:rsidR="003754FE" w:rsidRDefault="003754FE" w:rsidP="003754FE">
      <w:pPr>
        <w:pStyle w:val="TextoNormalNegritaCentrado"/>
        <w:keepNext/>
      </w:pPr>
    </w:p>
    <w:p w14:paraId="0B7A5600" w14:textId="5152360D" w:rsidR="003754FE" w:rsidRDefault="003754FE" w:rsidP="003754FE">
      <w:pPr>
        <w:pStyle w:val="TextoNormal"/>
      </w:pPr>
      <w:r w:rsidRPr="003754FE">
        <w:rPr>
          <w:rStyle w:val="NumeroAFNegritaCaracter"/>
        </w:rPr>
        <w:t>1</w:t>
      </w:r>
      <w:r>
        <w:t xml:space="preserve">. Mediante escrito registrado en este tribunal el 3 de octubre de 2022, doña María Teresa Campos Montellano, procuradora de los tribunales, actuando en nombre y representación </w:t>
      </w:r>
      <w:r>
        <w:lastRenderedPageBreak/>
        <w:t>de doña M.A.R., y bajo la dirección letrada de don Luis Mateos Sanz, interpuso recurso de amparo contra las resoluciones a las que se ha hecho referencia en el encabezamiento de esta sentencia.</w:t>
      </w:r>
    </w:p>
    <w:p w14:paraId="76BC2D6A" w14:textId="77777777" w:rsidR="003754FE" w:rsidRDefault="003754FE" w:rsidP="003754FE">
      <w:pPr>
        <w:pStyle w:val="TextoNormal"/>
      </w:pPr>
    </w:p>
    <w:p w14:paraId="3A8FCC4A" w14:textId="77777777" w:rsidR="003754FE" w:rsidRDefault="003754FE" w:rsidP="003754FE">
      <w:pPr>
        <w:pStyle w:val="TextoNormal"/>
      </w:pPr>
      <w:r w:rsidRPr="003754FE">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5626A799" w14:textId="77777777" w:rsidR="003754FE" w:rsidRDefault="003754FE" w:rsidP="003754FE">
      <w:pPr>
        <w:pStyle w:val="TextoNormal"/>
      </w:pPr>
    </w:p>
    <w:p w14:paraId="59C16A09" w14:textId="77777777" w:rsidR="003754FE" w:rsidRDefault="003754FE" w:rsidP="003754FE">
      <w:pPr>
        <w:pStyle w:val="TextoNormal"/>
      </w:pPr>
      <w:r>
        <w:t>a) El 24 de marzo de 2021, don M.A.A.R., promovió expediente de jurisdicción voluntaria frente a la recurrente en amparo, a fin de obtener autorización judicial para que fuera evaluada psicológicamente la hija común menor de edad. El padre tiene atribuida su guarda y custodia desde 2016, mientras que la patria potestad es compartida con la madre, demandante de amparo, que reside fuera de España. El padre adujo que la menor se encontraba gravemente afectada por un posible maltrato psicológico ejercido por la madre con el apoyo de una tercera persona, hechos que habían sido denunciados y habían dado lugar a un procedimiento penal, que se sigue en el Juzgado de instrucción núm. 16 de Madrid. Su petición vino apoyada en las grabaciones realizadas por la menor en las que la madre cuestiona con dureza y de forma continuada la figura paterna. El padre de la menor aportó también las declaraciones de una psicóloga —que trató a la menor en el pasado— que valoró que estos hechos producen en la menor un estado de angustia.</w:t>
      </w:r>
    </w:p>
    <w:p w14:paraId="66D54EBA" w14:textId="77777777" w:rsidR="003754FE" w:rsidRDefault="003754FE" w:rsidP="003754FE">
      <w:pPr>
        <w:pStyle w:val="TextoNormal"/>
      </w:pPr>
    </w:p>
    <w:p w14:paraId="0BB03136" w14:textId="77777777" w:rsidR="003754FE" w:rsidRDefault="003754FE" w:rsidP="003754FE">
      <w:pPr>
        <w:pStyle w:val="TextoNormal"/>
      </w:pPr>
      <w:r>
        <w:t>b) Por diligencia de ordenación de 7 de mayo de 2021, el letrado de la administración de justicia requirió al procurador de don M.A.A.R., para que, en el término de diez días, acreditase la negativa de la madre para que la menor sea evaluada por un psicólogo, lo que quedó cumplimentado el día 20 de mayo de 2021.</w:t>
      </w:r>
    </w:p>
    <w:p w14:paraId="5618DB59" w14:textId="77777777" w:rsidR="003754FE" w:rsidRDefault="003754FE" w:rsidP="003754FE">
      <w:pPr>
        <w:pStyle w:val="TextoNormal"/>
      </w:pPr>
    </w:p>
    <w:p w14:paraId="4F93904A" w14:textId="77777777" w:rsidR="003754FE" w:rsidRDefault="003754FE" w:rsidP="003754FE">
      <w:pPr>
        <w:pStyle w:val="TextoNormal"/>
      </w:pPr>
      <w:r>
        <w:t>c) Por decreto de 21 de mayo de 2021, el Juzgado de Primera Instancia núm. 76 de Madrid acordó admitir a trámite la solicitud de incoar un procedimiento de jurisdicción voluntaria y citó a las partes y al Ministerio Fiscal para la celebración de una comparecencia que se habría de celebrar el 6 de octubre de 2021.</w:t>
      </w:r>
    </w:p>
    <w:p w14:paraId="5BE073CD" w14:textId="77777777" w:rsidR="003754FE" w:rsidRDefault="003754FE" w:rsidP="003754FE">
      <w:pPr>
        <w:pStyle w:val="TextoNormal"/>
      </w:pPr>
    </w:p>
    <w:p w14:paraId="3AA2F22A" w14:textId="77777777" w:rsidR="003754FE" w:rsidRDefault="003754FE" w:rsidP="003754FE">
      <w:pPr>
        <w:pStyle w:val="TextoNormal"/>
      </w:pPr>
      <w:r>
        <w:t>d) Por escrito de 27 de mayo de 2021, la demandante de amparo formuló oposición a la solicitud de autorización judicial para proceder a la evaluación psicológica de la menor. Alegó que era un procedimiento fraudulento, y que únicamente perseguía hacer acopio de pruebas para utilizarlas en el procedimiento penal abierto contra la recurrente en amparo por supuesto maltrato psicológico.</w:t>
      </w:r>
    </w:p>
    <w:p w14:paraId="2B70B706" w14:textId="77777777" w:rsidR="003754FE" w:rsidRDefault="003754FE" w:rsidP="003754FE">
      <w:pPr>
        <w:pStyle w:val="TextoNormal"/>
      </w:pPr>
    </w:p>
    <w:p w14:paraId="7A2BB8B0" w14:textId="77777777" w:rsidR="003754FE" w:rsidRDefault="003754FE" w:rsidP="003754FE">
      <w:pPr>
        <w:pStyle w:val="TextoNormal"/>
      </w:pPr>
      <w:r>
        <w:t xml:space="preserve">e) El 6 de octubre de 2021 se celebró vista pública, que quedó registrada en soporte de audio y video. Consta en actuaciones la grabación audiovisual de la vista y de la exploración judicial de la menor. Primero se realiza la exploración judicial de la menor, solo en presencia de la jueza y el fiscal. También consta en actuaciones una acta de comparecencia de la exploración judicial de la menor en la que, como única información, figura la hora de inicio: 11:17 horas. La grabación de la comparecencia contradictoria permite constatar que la jueza inicia el acto de la vista informando a las partes de lo percibido en la exploración judicial: (i) informa a las partes que, según su criterio la menor no está bien, está muy afectada por la mala relación entre sus padres, con los que ha convivido desde que tiene dos años, habiendo cumplido ya los catorce; (ii) les señala que, a lo largo de la exploración judicial, se ha quebrado y se ha puesto a llorar, resultando obvio que la menor sufre permanentemente </w:t>
      </w:r>
      <w:r>
        <w:lastRenderedPageBreak/>
        <w:t>una situación de conflicto, dado que está sometida a una tensión y a un daño emocional innecesario y que tiene una edad muy mala; les recuerda que la última vez que tuvo que examinarla fue hace menos de un año; (iii) ruega a los padres que utilicen el sentido común y, en el ejercicio de la patria potestad, actúen primando el bienestar de la menor; y (iv) solicita a los padres que intenten ponerse de acuerdo para ofrecer a la menor una evaluación psicológica que dictamine si la menor necesita someterse a tratamiento, pues “ella manifiesta que sí, que sería bueno ir al psicólogo”. En el transcurso de la vista, en diversas ocasiones, la jueza y el fiscal solicitan a la madre (hoy recurrente) que explique las razones por las que se niega a la evaluación psicológica de la menor. La recurrente responde que su hija menor le ha dicho a ella que se encuentra bien.</w:t>
      </w:r>
    </w:p>
    <w:p w14:paraId="4B27B645" w14:textId="77777777" w:rsidR="003754FE" w:rsidRDefault="003754FE" w:rsidP="003754FE">
      <w:pPr>
        <w:pStyle w:val="TextoNormal"/>
      </w:pPr>
    </w:p>
    <w:p w14:paraId="5A50B65A" w14:textId="77777777" w:rsidR="003754FE" w:rsidRDefault="003754FE" w:rsidP="003754FE">
      <w:pPr>
        <w:pStyle w:val="TextoNormal"/>
      </w:pPr>
      <w:r>
        <w:t>f) Por auto de 13 de octubre de 2021 la juzgadora estimó la solicitud formulada por el padre de la menor y le concedió autorización “para que, por sí mismo y sin necesidad de consentimiento de la demandada, pueda someter a su hija menor al tratamiento psicológico con el profesional de su elección”. Sus argumentos, resumidamente expuestos, fueron los siguientes:</w:t>
      </w:r>
    </w:p>
    <w:p w14:paraId="26A95824" w14:textId="77777777" w:rsidR="003754FE" w:rsidRDefault="003754FE" w:rsidP="003754FE">
      <w:pPr>
        <w:pStyle w:val="TextoNormal"/>
      </w:pPr>
    </w:p>
    <w:p w14:paraId="728B2AFF" w14:textId="77777777" w:rsidR="003754FE" w:rsidRDefault="003754FE" w:rsidP="003754FE">
      <w:pPr>
        <w:pStyle w:val="TextoNormal"/>
      </w:pPr>
      <w:r>
        <w:t>(i) La administración de un tratamiento médico es una facultad inherente al ejercicio de la patria potestad que, en este caso, se ejercita de forma compartida entre los progenitores. En esta solicitud, el interés que ha de prevalecer por encima de cualquier otro es el de la menor, constituyendo este interés el principio básico orientador de la actuación judicial, que concuerda con el principio constitucional de protección integral de los hijos del art. 39.2 CE y responde a la nueva configuración de la patria potestad del art. 154.2 del Código civil.</w:t>
      </w:r>
    </w:p>
    <w:p w14:paraId="1B259571" w14:textId="77777777" w:rsidR="003754FE" w:rsidRDefault="003754FE" w:rsidP="003754FE">
      <w:pPr>
        <w:pStyle w:val="TextoNormal"/>
      </w:pPr>
    </w:p>
    <w:p w14:paraId="45DEA66F" w14:textId="77777777" w:rsidR="003754FE" w:rsidRDefault="003754FE" w:rsidP="003754FE">
      <w:pPr>
        <w:pStyle w:val="TextoNormal"/>
      </w:pPr>
      <w:r>
        <w:t>(ii) Ha quedado acreditado que la menor, de catorce años de edad, “se encuentra inmersa en el conflicto existente entre sus padres, de la que es buena muestra los numerosísimos procedimientos que se siguen ante este juzgado y en otros, por distintas solicitudes y ocasiones, de las que resulta patente que la mala relación existente entre los progenitores, está afectando a la menor negativamente, quien se ve inmersa en el conflicto existente”.</w:t>
      </w:r>
    </w:p>
    <w:p w14:paraId="6D7B08D0" w14:textId="77777777" w:rsidR="003754FE" w:rsidRDefault="003754FE" w:rsidP="003754FE">
      <w:pPr>
        <w:pStyle w:val="TextoNormal"/>
      </w:pPr>
    </w:p>
    <w:p w14:paraId="67C240C2" w14:textId="77777777" w:rsidR="003754FE" w:rsidRDefault="003754FE" w:rsidP="003754FE">
      <w:pPr>
        <w:pStyle w:val="TextoNormal"/>
      </w:pPr>
      <w:r>
        <w:t>(iii) “[D]ebe concluirse que ha quedado de manifiesto la necesidad de someter a la menor a tratamiento psicológico, al constar que la menor presenta un cuadro de conflicto de lealtades por el enfrentamiento de sus padres que vive con ansiedad, […] sin que la madre haya podido dar una clara fundamentación a su negativa, por lo que ante la discrepancia entre los progenitores, y dado que la menor reside con su padre, estando la madre residiendo en el extranjero, tan solo cabe acudir al criterio del beneficio del interés de la menor a efectos de poder emitir un juicio razonado acerca de la necesidad de atribuir a uno de los progenitores la facultad para decidir”.</w:t>
      </w:r>
    </w:p>
    <w:p w14:paraId="5547E3BB" w14:textId="77777777" w:rsidR="003754FE" w:rsidRDefault="003754FE" w:rsidP="003754FE">
      <w:pPr>
        <w:pStyle w:val="TextoNormal"/>
      </w:pPr>
    </w:p>
    <w:p w14:paraId="1D5589B3" w14:textId="77777777" w:rsidR="003754FE" w:rsidRDefault="003754FE" w:rsidP="003754FE">
      <w:pPr>
        <w:pStyle w:val="TextoNormal"/>
      </w:pPr>
      <w:r>
        <w:t>(iv) La jueza estimó la demanda y autorizó al padre de la menor para que por sí mismo y sin consentimiento de la madre, pueda someter a la hija común menor de edad a tratamiento psicológico con el profesional de su elección.</w:t>
      </w:r>
    </w:p>
    <w:p w14:paraId="3E5F467F" w14:textId="77777777" w:rsidR="003754FE" w:rsidRDefault="003754FE" w:rsidP="003754FE">
      <w:pPr>
        <w:pStyle w:val="TextoNormal"/>
      </w:pPr>
    </w:p>
    <w:p w14:paraId="0579965C" w14:textId="77777777" w:rsidR="003754FE" w:rsidRDefault="003754FE" w:rsidP="003754FE">
      <w:pPr>
        <w:pStyle w:val="TextoNormal"/>
      </w:pPr>
      <w:r>
        <w:t>g) Mediante escrito de 18 de octubre de 2021, la representante procesal de la demandante de amparo solicitó que se le hiciese entrega de una copia de la grabación original de la vista celebrada el 6 de octubre. Por diligencia de ordenación de 20 de octubre de 2021, se ordenó la entrega de la grabación de la vista.</w:t>
      </w:r>
    </w:p>
    <w:p w14:paraId="5AFE0BA6" w14:textId="77777777" w:rsidR="003754FE" w:rsidRDefault="003754FE" w:rsidP="003754FE">
      <w:pPr>
        <w:pStyle w:val="TextoNormal"/>
      </w:pPr>
    </w:p>
    <w:p w14:paraId="0EE1D69D" w14:textId="77777777" w:rsidR="003754FE" w:rsidRDefault="003754FE" w:rsidP="003754FE">
      <w:pPr>
        <w:pStyle w:val="TextoNormal"/>
      </w:pPr>
      <w:r>
        <w:lastRenderedPageBreak/>
        <w:t>h) Por escrito de 22 de octubre de 2021, la recurrente solicitó el acta de la exploración judicial de la menor (su grabación), pues no le fue entregada en la vista. Al mismo tiempo anunció su voluntad de recurrir en apelación el auto de 13 de octubre de 2021. En el mismo escrito, con cita de la STC 64/2019, de 9 de mayo, solicitó la información que contuviera el acta de la exploración.</w:t>
      </w:r>
    </w:p>
    <w:p w14:paraId="6B5A1517" w14:textId="77777777" w:rsidR="003754FE" w:rsidRDefault="003754FE" w:rsidP="003754FE">
      <w:pPr>
        <w:pStyle w:val="TextoNormal"/>
      </w:pPr>
    </w:p>
    <w:p w14:paraId="52D0D68C" w14:textId="77777777" w:rsidR="003754FE" w:rsidRDefault="003754FE" w:rsidP="003754FE">
      <w:pPr>
        <w:pStyle w:val="TextoNormal"/>
      </w:pPr>
      <w:r>
        <w:t>i) Mediante providencia de 27 de octubre de 2021, la juzgadora de primera instancia declaró no haber lugar a acordar la entrega de la grabación de la exploración de la menor, afirmando la necesidad de salvaguardar su intimidad.</w:t>
      </w:r>
    </w:p>
    <w:p w14:paraId="5CF06B64" w14:textId="77777777" w:rsidR="003754FE" w:rsidRDefault="003754FE" w:rsidP="003754FE">
      <w:pPr>
        <w:pStyle w:val="TextoNormal"/>
      </w:pPr>
    </w:p>
    <w:p w14:paraId="723DB5E4" w14:textId="77777777" w:rsidR="003754FE" w:rsidRDefault="003754FE" w:rsidP="003754FE">
      <w:pPr>
        <w:pStyle w:val="TextoNormal"/>
      </w:pPr>
      <w:r>
        <w:t>j) Mediante escrito de 3 de noviembre de 2021, la demandante de amparo interpuso recurso de reposición contra la providencia de 27 de octubre de 2021. En su recurso denunció la vulneración del derecho a la tutela judicial efectiva, pues, a su juicio, conocer el contenido íntegro de la exploración judicial de su hija es imprescindible para tener conocimiento de todo lo actuado. A su parecer, la denegación acordada no es ajustada a Derecho y vulnera el artículo 24.1 CE, en relación con el apartado cuarto del artículo 18.2 de la Ley 15/2015, de 2 de julio, sobre jurisdicción voluntaria.</w:t>
      </w:r>
    </w:p>
    <w:p w14:paraId="4522DD9F" w14:textId="77777777" w:rsidR="003754FE" w:rsidRDefault="003754FE" w:rsidP="003754FE">
      <w:pPr>
        <w:pStyle w:val="TextoNormal"/>
      </w:pPr>
    </w:p>
    <w:p w14:paraId="744DA4BC" w14:textId="77777777" w:rsidR="003754FE" w:rsidRDefault="003754FE" w:rsidP="003754FE">
      <w:pPr>
        <w:pStyle w:val="TextoNormal"/>
      </w:pPr>
      <w:r>
        <w:t>Del recurso se dio traslado al Ministerio Fiscal que, por escrito de 8 de noviembre de 2021, interesó su desestimación, por entender que se recurría el auto de 13 de octubre de 2021 que, a su parecer, era ajustado a Derecho, dado que su contenido preservaba la intimidad de la menor e informaba de forma suficiente del resultado de la audiencia personal y su valoración. Por su parte, el padre de la menor se opuso al recurso de reposición con fundamento en la necesidad de dar protección jurídica a la hija común.</w:t>
      </w:r>
    </w:p>
    <w:p w14:paraId="12FA7398" w14:textId="77777777" w:rsidR="003754FE" w:rsidRDefault="003754FE" w:rsidP="003754FE">
      <w:pPr>
        <w:pStyle w:val="TextoNormal"/>
      </w:pPr>
    </w:p>
    <w:p w14:paraId="57C023AB" w14:textId="77777777" w:rsidR="003754FE" w:rsidRDefault="003754FE" w:rsidP="003754FE">
      <w:pPr>
        <w:pStyle w:val="TextoNormal"/>
      </w:pPr>
      <w:r>
        <w:t>k) Mediante auto de 17 de noviembre de 2021, fue desestimado el recurso de reposición, con la fundamentación que, a continuación, se resume:</w:t>
      </w:r>
    </w:p>
    <w:p w14:paraId="0CB9E930" w14:textId="77777777" w:rsidR="003754FE" w:rsidRDefault="003754FE" w:rsidP="003754FE">
      <w:pPr>
        <w:pStyle w:val="TextoNormal"/>
      </w:pPr>
    </w:p>
    <w:p w14:paraId="15898ED6" w14:textId="77777777" w:rsidR="003754FE" w:rsidRDefault="003754FE" w:rsidP="003754FE">
      <w:pPr>
        <w:pStyle w:val="TextoNormal"/>
      </w:pPr>
      <w:r>
        <w:t>(i) Según la doctrina constitucional sobre la indefensión, no toda irregularidad procesal la genera. El Tribunal Constitucional —expone la juzgadora— sostiene que la denegación de las pruebas solo generará indefensión cuando esta sea de carácter material y pueda apreciarse el efectivo menoscabo del derecho de quien por ese motivo busca amparo, siendo claro que no existe una indefensión de relevancia constitucional cuando la inadmisión de la prueba se ha producido, o bien debidamente —en aplicación estricta de normas legales cuya legitimidad constitucional no puede ponerse en duda—, o incluso, cuando aun existiendo en la inadmisión de la prueba una irregularidad procesal, no se llega a producir efectivo y real menoscabo del derecho de defensa, por no existir o no demostrarse la relación entre los hechos que se quisieron y no se pudieron probar y las pruebas inadmitidas.</w:t>
      </w:r>
    </w:p>
    <w:p w14:paraId="08A9A24E" w14:textId="77777777" w:rsidR="003754FE" w:rsidRDefault="003754FE" w:rsidP="003754FE">
      <w:pPr>
        <w:pStyle w:val="TextoNormal"/>
      </w:pPr>
    </w:p>
    <w:p w14:paraId="781863F7" w14:textId="77777777" w:rsidR="003754FE" w:rsidRDefault="003754FE" w:rsidP="003754FE">
      <w:pPr>
        <w:pStyle w:val="TextoNormal"/>
      </w:pPr>
      <w:r>
        <w:t xml:space="preserve">(ii) Aclara que la exploración del menor no constituye un medio de prueba de los señalados en el artículo 299 de la Ley de enjuiciamiento civil (en adelante LEC), sino que es un mandato legal que tiene como fundamento que el juzgador conozca la actitud del menor frente al conflicto surgido entre sus progenitores, por lo que debe salvaguardarse el carácter reservado de dicha exploración y evitar que la intervención o conocimiento por terceros impida que el menor manifieste libremente sus opiniones, debiendo quedar limitado su conocimiento al juzgador y al Ministerio Fiscal, que actúa —al carecer de interés propio—, en exclusivo beneficio del menor, como señala el artículo 2.5 c) Ley Orgánica 1/1996 de protección jurídica del menor. Para el órgano judicial, este carácter reservado de la </w:t>
      </w:r>
      <w:r>
        <w:lastRenderedPageBreak/>
        <w:t>exploración judicial se recoge, también, en el artículo 9 de la misma norma. En la misma dirección afirma que, la propia STC 64/2019, de 19 de mayo, invocada por la recurrente, contempla expresamente que, “[e]n caso de concurrir otro interés legítimo junto al interés superior del menor deberán priorizarse las medidas que, respondiendo a este interés, respeten también los otros intereses legítimos presentes. En caso de que no puedan respetarse todos los intereses legítimos concurrentes, deberá primar el interés superior del menor sobre cualquier otro interés legítimo que pudiera concurrir”.</w:t>
      </w:r>
    </w:p>
    <w:p w14:paraId="12B12D13" w14:textId="77777777" w:rsidR="003754FE" w:rsidRDefault="003754FE" w:rsidP="003754FE">
      <w:pPr>
        <w:pStyle w:val="TextoNormal"/>
      </w:pPr>
    </w:p>
    <w:p w14:paraId="089CC836" w14:textId="77777777" w:rsidR="003754FE" w:rsidRDefault="003754FE" w:rsidP="003754FE">
      <w:pPr>
        <w:pStyle w:val="TextoNormal"/>
      </w:pPr>
      <w:r>
        <w:t>(iii) A partir de esas dos premisas, la jueza de instancia concluye que, “[e]n el presente caso, dada la naturaleza de la modificación de medidas planteadas y la implicación de la figura de la menor en el conflicto planteado, se estima pertinente preservar la intimidad de la menor y mantener la resolución recurrida en ese punto, tanto más cuando ninguna indefensión puede extraerse de la denegación”.</w:t>
      </w:r>
    </w:p>
    <w:p w14:paraId="454171B5" w14:textId="77777777" w:rsidR="003754FE" w:rsidRDefault="003754FE" w:rsidP="003754FE">
      <w:pPr>
        <w:pStyle w:val="TextoNormal"/>
      </w:pPr>
    </w:p>
    <w:p w14:paraId="658DCAD1" w14:textId="77777777" w:rsidR="003754FE" w:rsidRDefault="003754FE" w:rsidP="003754FE">
      <w:pPr>
        <w:pStyle w:val="TextoNormal"/>
      </w:pPr>
      <w:r>
        <w:t>l) Mediante escrito de 17 de noviembre de 2021, la madre, hoy recurrente, interpuso recurso de apelación contra el auto de 13 de octubre de 2021 alegando la vulneración del artículo 24.1 y 2 CE, y también del derecho a un juez imparcial, del derecho de defensa y del derecho a la práctica de los medios de prueba. A su parecer, no se había practicado prueba suficiente en el acto del juicio para alcanzar el fallo, por cuanto: (i) la juzgadora no permitió el interrogatorio de las partes; (ii) la prueba documental aportada por la recurrente no se ha tenido en consideración, porque el órgano judicial afirmó que no le correspondía a él evaluar el procedimiento penal relativo a un presunto maltrato psicológico. La petición de evaluación psicológica es fraudulenta, pues está motivada para preconstituir prueba en dicho procedimiento abierto contra la demandante de amparo; (iii) el contenido de la exploración judicial de la menor no ha podido ser conocido por la recurrente; y (iv) la falta de práctica de prueba le ha provocado indefensión.</w:t>
      </w:r>
    </w:p>
    <w:p w14:paraId="2B00237A" w14:textId="77777777" w:rsidR="003754FE" w:rsidRDefault="003754FE" w:rsidP="003754FE">
      <w:pPr>
        <w:pStyle w:val="TextoNormal"/>
      </w:pPr>
    </w:p>
    <w:p w14:paraId="1E33E76A" w14:textId="77777777" w:rsidR="003754FE" w:rsidRDefault="003754FE" w:rsidP="003754FE">
      <w:pPr>
        <w:pStyle w:val="TextoNormal"/>
      </w:pPr>
      <w:r>
        <w:t>m) Mediante diligencia de ordenación de 22 de noviembre de 2021 se dio traslado para alegaciones a las partes y al Ministerio Fiscal. El 30 de noviembre de 2021, este último se mostró conforme con la resolución impugnada y alegó que, valorado el conjunto de la prueba practicada y respondiendo al interés superior de la menor y su bienestar, estima que el hecho de no haber aportado la madre una clara fundamentación a su negativa a que reciba dicho tratamiento psicológico, salvo la alegación mencionada de que es un procedimiento fraudulento, es prueba suficiente la valorada para pronunciarse sobre el fondo del desacuerdo parental.</w:t>
      </w:r>
    </w:p>
    <w:p w14:paraId="135D1C77" w14:textId="77777777" w:rsidR="003754FE" w:rsidRDefault="003754FE" w:rsidP="003754FE">
      <w:pPr>
        <w:pStyle w:val="TextoNormal"/>
      </w:pPr>
    </w:p>
    <w:p w14:paraId="754AA7F8" w14:textId="6CAFB262" w:rsidR="003754FE" w:rsidRDefault="003754FE" w:rsidP="003754FE">
      <w:pPr>
        <w:pStyle w:val="TextoNormal"/>
      </w:pPr>
      <w:r>
        <w:t xml:space="preserve">n) Por auto de 23 de junio de 2022, la Sección Vigesimocuarta de la Audiencia Provincial de Madrid, desestimó el recurso de apelación. La Sala mostró su conformidad con todas las consideraciones de la resolución recurrida y, reiteró, que no hay ninguna manifestación o acreditación de por qué se opone la madre al tratamiento psicológico pretendido. Destacó también que la resolución dictada por el juzgado de primera instancia expresaba una sucesión de elementos que ponían de manifiesto la necesidad de someter a la menor a un tratamiento psicológico, pues presenta un cuadro de conflicto de lealtades, sin que la madre haya dado una fundamentación clara a su negativa a autorizar a la menor al tratamiento psicológico, siendo así que la menor convive con el padre y la madre vive en el extranjero. Previamente, el Ministerio Fiscal, había mostrado su conformidad con la resolución del juzgado y había interesado la autorización solicitada en interés de la menor, porque consideraba obvio </w:t>
      </w:r>
      <w:r>
        <w:lastRenderedPageBreak/>
        <w:t>que le alcanzaba el conflicto entre sus progenitores y, también, el beneficio del tratamiento psicológico para sobrellevar el malestar emocional evidenciado en la exploración judicial.</w:t>
      </w:r>
    </w:p>
    <w:p w14:paraId="666F352C" w14:textId="77777777" w:rsidR="003754FE" w:rsidRDefault="003754FE" w:rsidP="003754FE">
      <w:pPr>
        <w:pStyle w:val="TextoNormal"/>
      </w:pPr>
    </w:p>
    <w:p w14:paraId="39B5848B" w14:textId="77777777" w:rsidR="003754FE" w:rsidRDefault="003754FE" w:rsidP="003754FE">
      <w:pPr>
        <w:pStyle w:val="TextoNormal"/>
      </w:pPr>
      <w:r w:rsidRPr="003754FE">
        <w:rPr>
          <w:rStyle w:val="NumeroAFNegritaCaracter"/>
        </w:rPr>
        <w:t>3</w:t>
      </w:r>
      <w:r>
        <w:t>. En la demanda de amparo se aduce la vulneración del derecho a la tutela judicial efectiva (art. 24.1 y 2 CE), reiterando aquí el contenido de las alegaciones planteadas en el recurso de reposición, a saber: (i) El artículo 18.2.4 de la Ley 15/2015, de 2 de julio, sobre jurisdicción voluntaria, establece la doble obligación de levantar acta de la exploración judicial del menor, así como la de proceder a su entrega y conceder un plazo para hacer alegaciones; (ii) La STC 64/2019, de 9 de mayo, confirma estas obligaciones, derivándose de ella que es el juzgador el que tiene que garantizar la intimidad del menor, haciendo que el acta no sea un elemento que perturbe su relación con cualquiera de sus progenitores, pero sin vulnerar su obligación de dar traslado a la parte para que pueda defenderse. Para la recurrente, el juzgador “incumple doblemente su obligación pues, si realizó una exploración en la que la intimidad del menor pudiera verse comprometida no ejerció su labor de modo adecuado; y si, no entrega el acta, de nuevo incumple su obligación de permitir el derecho de defensa”. En definitiva, para la recurrente, la vulneración del juzgador es doble desde la perspectiva del derecho constitucional: vulnera el derecho a la intimidad de la menor, por no saber tutelarlo y vulnera el derecho de defensa de los interesados.</w:t>
      </w:r>
    </w:p>
    <w:p w14:paraId="45A3BD96" w14:textId="77777777" w:rsidR="003754FE" w:rsidRDefault="003754FE" w:rsidP="003754FE">
      <w:pPr>
        <w:pStyle w:val="TextoNormal"/>
      </w:pPr>
    </w:p>
    <w:p w14:paraId="6A7C0BE5" w14:textId="76ED5757" w:rsidR="003754FE" w:rsidRDefault="003754FE" w:rsidP="003754FE">
      <w:pPr>
        <w:pStyle w:val="TextoNormal"/>
      </w:pPr>
      <w:r>
        <w:t>La especial trascendencia constitucional del asunto, al parecer de la recurrente, es la falta de acatamiento de la doctrina del Tribunal Constitucional, en este caso expuesta en la STC 64/2019. Afirma que resulta indiscutible el incumplimiento de la doctrina constitucional, en la medida en que el letrado de la recurrente ha reiterado en tres ocasiones la existencia de tal doctrina: en el acto de la vista, en el recurso de reposición y en el recurso de apelación. A su parecer, existe un empecinamiento de los órganos judiciales de no acatar la doctrina invocada, no siendo descartable, añade la recurrente, una costumbre generalizada de no entregar a las partes el acta de la exploración, siendo en sede de audiencia provincial donde se zanjan el conflicto, aludiendo a que las partes no protestaron, no recurrieron o no solicitaron el acta para formalizar la apelación. Da la impresión de que los juzgados no entregan las actas porque saben que procesalmente la parte no va a saber cómo tutelar su derecho a acceder al acta de la exploración e interpretan que no hay que dar traslado del acta, sino poner en conocimiento de las partes el contenido del acta.</w:t>
      </w:r>
    </w:p>
    <w:p w14:paraId="4FD9B592" w14:textId="77777777" w:rsidR="003754FE" w:rsidRDefault="003754FE" w:rsidP="003754FE">
      <w:pPr>
        <w:pStyle w:val="TextoNormal"/>
      </w:pPr>
    </w:p>
    <w:p w14:paraId="1434ECB8" w14:textId="76131F07" w:rsidR="003754FE" w:rsidRDefault="003754FE" w:rsidP="003754FE">
      <w:pPr>
        <w:pStyle w:val="TextoNormal"/>
      </w:pPr>
      <w:r w:rsidRPr="003754FE">
        <w:rPr>
          <w:rStyle w:val="NumeroAFNegritaCaracter"/>
        </w:rPr>
        <w:t>4</w:t>
      </w:r>
      <w:r>
        <w:t>. Mediante diligencia de ordenación de 27 de abril de 2023 se comunicó a las partes que, en virtud del acuerdo adoptado por el Pleno del Tribunal Constitucional el día 17 de enero de 2023 (“Boletín Oficial del Estado” de 19 de enero), el presente recurso de amparo había sido turnado a la Sección Segunda de la Sala Primera de este tribunal.</w:t>
      </w:r>
    </w:p>
    <w:p w14:paraId="78962845" w14:textId="77777777" w:rsidR="003754FE" w:rsidRDefault="003754FE" w:rsidP="003754FE">
      <w:pPr>
        <w:pStyle w:val="TextoNormal"/>
      </w:pPr>
    </w:p>
    <w:p w14:paraId="48A765E2" w14:textId="1051E045" w:rsidR="003754FE" w:rsidRDefault="003754FE" w:rsidP="003754FE">
      <w:pPr>
        <w:pStyle w:val="TextoNormal"/>
      </w:pPr>
      <w:r w:rsidRPr="003754FE">
        <w:rPr>
          <w:rStyle w:val="NumeroAFNegritaCaracter"/>
        </w:rPr>
        <w:t>5</w:t>
      </w:r>
      <w:r>
        <w:t>. Mediante providencia de 3 de julio de 2023, la Sección Segunda de este tribunal acordó admitir a trámite el presente recurso de amparo, apreciando que concurría en él la especial trascendencia constitucional que exige el art. 50.1 de la Ley Orgánica del Tribunal Constitucional (LOTC), como consecuencia de que el órgano judicial pudiera haber incurrido en una “negativa manifiesta del deber de acatamiento de la doctrina” de este tribunal [STC 155/2009, de 25 de junio, FJ 2 f)]. Asimismo, se acordó en la misma providencia emplazar a las partes para que, en el plazo de diez días, pudieran comparecer si lo desearan.</w:t>
      </w:r>
    </w:p>
    <w:p w14:paraId="43068CC0" w14:textId="77777777" w:rsidR="003754FE" w:rsidRDefault="003754FE" w:rsidP="003754FE">
      <w:pPr>
        <w:pStyle w:val="TextoNormal"/>
      </w:pPr>
    </w:p>
    <w:p w14:paraId="1198534E" w14:textId="4FE18090" w:rsidR="003754FE" w:rsidRDefault="003754FE" w:rsidP="003754FE">
      <w:pPr>
        <w:pStyle w:val="TextoNormal"/>
      </w:pPr>
      <w:r w:rsidRPr="003754FE">
        <w:rPr>
          <w:rStyle w:val="NumeroAFNegritaCaracter"/>
        </w:rPr>
        <w:lastRenderedPageBreak/>
        <w:t>6</w:t>
      </w:r>
      <w:r>
        <w:t>. Mediante diligencia de ordenación de 28 de julio de 2023, la Sala Primera del Tribunal Constitucional acordó tener por personado y parte en el procedimiento al procurador don Roberto de Hoyos Mencía, en nombre y representación de don M.A.A.R., y dar vista de las actuaciones recibidas a las partes personadas y al Ministerio Fiscal, por plazo común de veinte días, dentro de los cuales podrán presentar las alegaciones que estimen pertinentes, conforme determina el artículo 52.1 de la Ley Orgánica de este tribunal.</w:t>
      </w:r>
    </w:p>
    <w:p w14:paraId="49A95AFB" w14:textId="77777777" w:rsidR="003754FE" w:rsidRDefault="003754FE" w:rsidP="003754FE">
      <w:pPr>
        <w:pStyle w:val="TextoNormal"/>
      </w:pPr>
    </w:p>
    <w:p w14:paraId="7F9BA426" w14:textId="6DE1F5D9" w:rsidR="003754FE" w:rsidRDefault="003754FE" w:rsidP="003754FE">
      <w:pPr>
        <w:pStyle w:val="TextoNormal"/>
      </w:pPr>
      <w:r w:rsidRPr="003754FE">
        <w:rPr>
          <w:rStyle w:val="NumeroAFNegritaCaracter"/>
        </w:rPr>
        <w:t>7</w:t>
      </w:r>
      <w:r>
        <w:t>. El 4 de septiembre de 2023, don Roberto de Hoyos Mencía, procurador de los tribunales y de don M.A.A.R., presentó las siguientes alegaciones: la demanda es prematura, dado que incurre en causa de inadmisión por falta de agotamiento de la vía judicial previa por no haber acudido al incidente de nulidad de actuaciones tras ver desestimado el recurso de apelación presentado. Con cita de doctrina de este tribunal relativa al agotamiento de la vía judicial previa, afirma que es un defecto insubsanable y que la demanda debe ser desestimada. Señala que, subsidiariamente, para el caso de estimarse el recurso de amparo, se ordene al juzgado que dé traslado a las partes del acta de exploración de la menor, pero solo a los únicos efectos de dilucidar el objeto del procedimiento, es decir saber si la menor explorada se mostró a favor o en contra de recibir dichas sesiones con un profesional psicólogo.</w:t>
      </w:r>
    </w:p>
    <w:p w14:paraId="1FB3F830" w14:textId="77777777" w:rsidR="003754FE" w:rsidRDefault="003754FE" w:rsidP="003754FE">
      <w:pPr>
        <w:pStyle w:val="TextoNormal"/>
      </w:pPr>
    </w:p>
    <w:p w14:paraId="4C7F2A6B" w14:textId="77777777" w:rsidR="003754FE" w:rsidRDefault="003754FE" w:rsidP="003754FE">
      <w:pPr>
        <w:pStyle w:val="TextoNormal"/>
      </w:pPr>
      <w:r w:rsidRPr="003754FE">
        <w:rPr>
          <w:rStyle w:val="NumeroAFNegritaCaracter"/>
        </w:rPr>
        <w:t>8</w:t>
      </w:r>
      <w:r>
        <w:t>. El 27 de septiembre de 2023, el Ministerio Fiscal interesó la estimación del recurso de amparo con base en los siguientes argumentos:</w:t>
      </w:r>
    </w:p>
    <w:p w14:paraId="08A42DEB" w14:textId="77777777" w:rsidR="003754FE" w:rsidRDefault="003754FE" w:rsidP="003754FE">
      <w:pPr>
        <w:pStyle w:val="TextoNormal"/>
      </w:pPr>
    </w:p>
    <w:p w14:paraId="2E84E1B3" w14:textId="77777777" w:rsidR="003754FE" w:rsidRDefault="003754FE" w:rsidP="003754FE">
      <w:pPr>
        <w:pStyle w:val="TextoNormal"/>
      </w:pPr>
      <w:r>
        <w:t>a) El acta de la exploración que fue puesta a disposición de las partes no recoge el contenido mínimo legal previsto, es decir, los aspectos esenciales de la audiencia. Además, una vez practicada la misma, ni siquiera se conoce cuál era la postura libremente expresada por la menor respecto de la cuestión controvertida, en este caso, la necesidad o no de una evaluación psicológica. En atención a estas consideraciones sobre la insuficiencia del contenido del acta, no cabe entender abusiva, sino más bien legítima, la petición de la madre (parte demandada) de obtener una copia de la exploración judicial de la menor para, en su caso, interponer recurso de apelación.</w:t>
      </w:r>
    </w:p>
    <w:p w14:paraId="5A9FC62F" w14:textId="77777777" w:rsidR="003754FE" w:rsidRDefault="003754FE" w:rsidP="003754FE">
      <w:pPr>
        <w:pStyle w:val="TextoNormal"/>
      </w:pPr>
    </w:p>
    <w:p w14:paraId="46CEA113" w14:textId="77777777" w:rsidR="003754FE" w:rsidRDefault="003754FE" w:rsidP="003754FE">
      <w:pPr>
        <w:pStyle w:val="TextoNormal"/>
      </w:pPr>
      <w:r>
        <w:t>b) Las dos resoluciones impugnadas —la que resuelve el recurso de reposición y la que resuelve el recurso de apelación— incurren en un error patente ya que mantienen la negativa a la entrega de la copia de la exploración de la hija común en atención a la salvaguarda del interés superior del menor, que consiste en preservar su intimidad en la práctica de la audiencia. No reparan los órganos judiciales en que la audiencia ya se había celebrado con anterioridad, ante la jueza y la fiscal, sin la presencia de los progenitores litigantes y con las debidas garantías para preservar su intimidad. Es así como incurren en error patente, porque en el momento procesal en el que se solicita la copia no se trata de preservar la intimidad de la menor, lo que ya se hizo de forma correcta en la audiencia, donde pudo expresarse libremente, sin ninguna influencia por parte de los progenitores. Se trata, en ese momento posterior, del derecho legal de las partes litigantes a conocer el resultado de la audiencia personal —en garantía del principio de contradicción—, o, al menos, los elementos esenciales de la misma.</w:t>
      </w:r>
    </w:p>
    <w:p w14:paraId="0B1FBE25" w14:textId="77777777" w:rsidR="003754FE" w:rsidRDefault="003754FE" w:rsidP="003754FE">
      <w:pPr>
        <w:pStyle w:val="TextoNormal"/>
      </w:pPr>
    </w:p>
    <w:p w14:paraId="22619FAF" w14:textId="77777777" w:rsidR="003754FE" w:rsidRDefault="003754FE" w:rsidP="003754FE">
      <w:pPr>
        <w:pStyle w:val="TextoNormal"/>
      </w:pPr>
      <w:r>
        <w:t xml:space="preserve">c) El derecho de las partes a conocer el resultado de la exploración judicial mediante la obtención de copia del acta es un derecho legal —como se desprende inequívocamente del </w:t>
      </w:r>
      <w:r>
        <w:lastRenderedPageBreak/>
        <w:t>artículo 18.2.4 de la Ley de jurisdicción voluntaria— que, no obstante, se encuentra anudado al derecho a la tutela judicial efectiva sin indefensión del artículo 24.1 CE. Esta distinción entre la celebración de la audiencia de los menores con salvaguarda de su intimidad y la obtención de copia del acta de la audiencia para la salvaguarda del derecho de defensa de los progenitores ha sido recogida en la STC 64/2019, de 9 de mayo.</w:t>
      </w:r>
    </w:p>
    <w:p w14:paraId="724CCA2D" w14:textId="77777777" w:rsidR="003754FE" w:rsidRDefault="003754FE" w:rsidP="003754FE">
      <w:pPr>
        <w:pStyle w:val="TextoNormal"/>
      </w:pPr>
    </w:p>
    <w:p w14:paraId="3319E6FA" w14:textId="219822A7" w:rsidR="003754FE" w:rsidRDefault="003754FE" w:rsidP="003754FE">
      <w:pPr>
        <w:pStyle w:val="TextoNormal"/>
      </w:pPr>
      <w:r>
        <w:t>d) En el acta de la exploración de la menor no consta ningún dato, más allá de la hora de comienzo, por lo que las partes desconocen su contenido esencial que, en aras del interés superior del menor, el órgano judicial habrá tenido en cuenta al dictar la resolución que autoriza la evaluación psicológica. Ello ha impedido a las partes, cualquiera que sea su posición procesal —en este caso a la parte demandada que está en desacuerdo con el pronunciamiento judicial—, ejercer válidamente sus pretensiones impugnatorias, lo que efectivamente le genera una indefensión material y efectiva en el procedimiento judicial.</w:t>
      </w:r>
    </w:p>
    <w:p w14:paraId="249E76B2" w14:textId="77777777" w:rsidR="003754FE" w:rsidRDefault="003754FE" w:rsidP="003754FE">
      <w:pPr>
        <w:pStyle w:val="TextoNormal"/>
      </w:pPr>
    </w:p>
    <w:p w14:paraId="1C7E4AD5" w14:textId="340994F0" w:rsidR="003754FE" w:rsidRDefault="003754FE" w:rsidP="003754FE">
      <w:pPr>
        <w:pStyle w:val="TextoNormal"/>
      </w:pPr>
      <w:r w:rsidRPr="003754FE">
        <w:rPr>
          <w:rStyle w:val="NumeroAFNegritaCaracter"/>
        </w:rPr>
        <w:t>9</w:t>
      </w:r>
      <w:r>
        <w:t>. Mediante providencia de 5 de septiembre de 2024, se señaló para la deliberación y votación de la presente sentencia el siguiente día 9.</w:t>
      </w:r>
    </w:p>
    <w:p w14:paraId="11884286" w14:textId="77777777" w:rsidR="003754FE" w:rsidRDefault="003754FE" w:rsidP="003754FE">
      <w:pPr>
        <w:pStyle w:val="TextoNormal"/>
      </w:pPr>
    </w:p>
    <w:p w14:paraId="4C3F074E" w14:textId="77777777" w:rsidR="003754FE" w:rsidRDefault="003754FE" w:rsidP="003754FE">
      <w:pPr>
        <w:pStyle w:val="TextoNormalNegritaCentrado"/>
        <w:keepNext/>
      </w:pPr>
      <w:r>
        <w:t>II. Fundamentos jurídicos</w:t>
      </w:r>
    </w:p>
    <w:p w14:paraId="7032F540" w14:textId="6DF78891" w:rsidR="003754FE" w:rsidRDefault="003754FE" w:rsidP="003754FE">
      <w:pPr>
        <w:pStyle w:val="TextoNormalNegritaCentrado"/>
        <w:keepNext/>
      </w:pPr>
    </w:p>
    <w:p w14:paraId="2FCB4A49" w14:textId="77777777" w:rsidR="003754FE" w:rsidRDefault="003754FE" w:rsidP="003754FE">
      <w:pPr>
        <w:pStyle w:val="TextoNormal"/>
      </w:pPr>
      <w:r w:rsidRPr="003754FE">
        <w:rPr>
          <w:rStyle w:val="NumeroAFNegritaCaracter"/>
        </w:rPr>
        <w:t>1</w:t>
      </w:r>
      <w:r>
        <w:t xml:space="preserve">. </w:t>
      </w:r>
      <w:r w:rsidRPr="003754FE">
        <w:rPr>
          <w:i/>
        </w:rPr>
        <w:t>Objeto del recurso de amparo y pretensiones de las partes</w:t>
      </w:r>
    </w:p>
    <w:p w14:paraId="4BEBE340" w14:textId="77777777" w:rsidR="003754FE" w:rsidRDefault="003754FE" w:rsidP="003754FE">
      <w:pPr>
        <w:pStyle w:val="TextoNormal"/>
      </w:pPr>
    </w:p>
    <w:p w14:paraId="13DE362F" w14:textId="77777777" w:rsidR="003754FE" w:rsidRDefault="003754FE" w:rsidP="003754FE">
      <w:pPr>
        <w:pStyle w:val="TextoNormal"/>
      </w:pPr>
      <w:r>
        <w:t>Con carácter previo, estando referida la cuestión controvertida a la resolución judicial de un desacuerdo parental en el ejercicio de la patria potestad sobre una hija común de catorce años de edad, con el fin de preservar su intimidad,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del 27 de julio de 2015), debe indicarse que, conforme solicita la recurrente, madre de la menor, la presente sentencia no incluye la identificación de la hija común ni, a estos mismos efectos, la de los ascendientes que aparecen mencionados en las actuaciones [STC 141/2012, de 2 de julio, FJ 8; en el mismo sentido, SSTC 182/2015, de 7 de septiembre; 13/2016, de 1 de febrero, FJ 1; 22/2016, de 15 de febrero, FJ 1; 34/2016, de 29 de febrero, FJ 1; 50/2016, de 14 de marzo, FJ 1, y 132/2016, de 18 de julio, FJ 1 c)]. De este modo la madre de la menor aparecerá identificada como doña M.A.R., y su padre como don M.A.A.R.</w:t>
      </w:r>
    </w:p>
    <w:p w14:paraId="52C108E9" w14:textId="77777777" w:rsidR="003754FE" w:rsidRDefault="003754FE" w:rsidP="003754FE">
      <w:pPr>
        <w:pStyle w:val="TextoNormal"/>
      </w:pPr>
    </w:p>
    <w:p w14:paraId="26803C46" w14:textId="77777777" w:rsidR="003754FE" w:rsidRDefault="003754FE" w:rsidP="003754FE">
      <w:pPr>
        <w:pStyle w:val="TextoNormal"/>
      </w:pPr>
      <w:r>
        <w:t>El presente recurso de amparo se dirige contra el auto núm. 294/2022, de 23 de junio, dictado por la Sección Vigesimocuarta de la Audiencia Provincial de Madrid, que desestima el recurso de apelación núm. 1757-2021 interpuesto contra el auto de 13 de octubre de 2021, dictado por el Juzgado de Primera Instancia núm. 76 de Madrid, en procedimiento de jurisdicción voluntaria núm. 257-2021, que concedió autorización al padre para que “por sí mismo y sin necesidad de consentimiento de la demandada, pueda someter a su hija menor a tratamiento psicológico con el profesional de su elección”.</w:t>
      </w:r>
    </w:p>
    <w:p w14:paraId="13828ABC" w14:textId="77777777" w:rsidR="003754FE" w:rsidRDefault="003754FE" w:rsidP="003754FE">
      <w:pPr>
        <w:pStyle w:val="TextoNormal"/>
      </w:pPr>
    </w:p>
    <w:p w14:paraId="48BCE99E" w14:textId="77777777" w:rsidR="003754FE" w:rsidRDefault="003754FE" w:rsidP="003754FE">
      <w:pPr>
        <w:pStyle w:val="TextoNormal"/>
      </w:pPr>
      <w:r>
        <w:t xml:space="preserve">En los antecedentes han quedado expuestos con más detalle los argumentos por los que la demandante aduce la lesión de sus derechos a la tutela judicial efectiva y a la defensa (art. 24 CE). Según su parecer, el artículo 18.2.4 de la Ley 15/2015, de 2 de julio, sobre jurisdicción voluntaria, establece la doble obligación de levantar acta de la exploración judicial de </w:t>
      </w:r>
      <w:r>
        <w:lastRenderedPageBreak/>
        <w:t>la menor, así como la de proceder a su entrega a los interesados concediéndoles un plazo para hacer alegaciones. Añade que la STC 64/2019, de 9 de mayo, confirmó estas obligaciones, derivándose de ella que es el juzgador quien ha de garantizar la intimidad del menor, haciendo que lo reflejado en el acta no sea un elemento que perturbe su relación con cualquiera de sus progenitores, pero sin desconocer su obligación de dar traslado a las partes para que pueda defenderse. Para la recurrente, las resoluciones judiciales impugnadas, que le niegan la entrega del acta de la exploración judicial de la menor (su grabación), incumplen las exigencias derivadas del principio de contradicción y vulneran su derecho de defensa, en la medida en que ponderan de forma errónea la intimidad de su hija menor de edad con los derechos fundamentales de las partes en el proceso, derechos que, aun siendo de menor rango, deben también protegerse.</w:t>
      </w:r>
    </w:p>
    <w:p w14:paraId="4ED6D0AB" w14:textId="77777777" w:rsidR="003754FE" w:rsidRDefault="003754FE" w:rsidP="003754FE">
      <w:pPr>
        <w:pStyle w:val="TextoNormal"/>
      </w:pPr>
    </w:p>
    <w:p w14:paraId="051EB5B9" w14:textId="77777777" w:rsidR="003754FE" w:rsidRDefault="003754FE" w:rsidP="003754FE">
      <w:pPr>
        <w:pStyle w:val="TextoNormal"/>
      </w:pPr>
      <w:r>
        <w:t>El Ministerio Fiscal ha interesado la estimación del recurso de amparo, porque el acta de la exploración judicial que ha sido entregado a las partes no recoge el contenido mínimo legal previsto, es decir, los aspectos esenciales de la audiencia de la menor. Considera, además, que las resoluciones impugnadas incurren en un error patente, ya que mantienen la negativa a la entrega de la copia de la exploración judicial de la menor en un momento procesal en el que ya se había preservado su intimidad y correspondía, entonces, preservar el derecho legal de las partes litigantes a conocer —en garantía del principio de contradicción— el resultado de la exploración judicial o, al menos, los elementos esenciales de la misma, pues el derecho de las partes a conocer su resultado mediante la obtención de copia del acta es un derecho legal que se encuentra anudado al derecho a la tutela judicial efectiva sin indefensión (art. 24.1 CE). En el acta de la exploración de la menor no consta ningún dato, más allá de la hora en que comenzó, lo que les ha impedido ejercer válidamente sus pretensiones impugnatorias, generándole una indefensión material y efectiva en el procedimiento judicial.</w:t>
      </w:r>
    </w:p>
    <w:p w14:paraId="3303369D" w14:textId="77777777" w:rsidR="003754FE" w:rsidRDefault="003754FE" w:rsidP="003754FE">
      <w:pPr>
        <w:pStyle w:val="TextoNormal"/>
      </w:pPr>
    </w:p>
    <w:p w14:paraId="279F07CE" w14:textId="52E1A74D" w:rsidR="003754FE" w:rsidRDefault="003754FE" w:rsidP="003754FE">
      <w:pPr>
        <w:pStyle w:val="TextoNormal"/>
      </w:pPr>
      <w:r>
        <w:t xml:space="preserve">El padre de la menor, personado en este proceso de amparo como coadyuvante, considera —en primer lugar— que la demandante de amparo no ha agotado debidamente todos los recursos utilizables en la vía judicial, lo que constituiría una causa de inadmisión del recurso de amparo, </w:t>
      </w:r>
      <w:r w:rsidRPr="003754FE">
        <w:rPr>
          <w:i/>
        </w:rPr>
        <w:t>ex</w:t>
      </w:r>
      <w:r>
        <w:t xml:space="preserve"> art. 44.1 a) LOTC. Entiende que era procesalmente posible solicitar en vía judicial la restitución de los derechos fundamentales ahora invocados con carácter previo a acudir en amparo, lo que debe dar lugar a apreciar la causa de inadmisión invocada. Y, en cuanto al fondo de la queja, entiende que los órganos judiciales se han limitado a proteger el interés de la menor involucrada en este caso, sin que hayan sido indebidamente afectados los derechos procesales de las partes.</w:t>
      </w:r>
    </w:p>
    <w:p w14:paraId="57A102AE" w14:textId="77777777" w:rsidR="003754FE" w:rsidRDefault="003754FE" w:rsidP="003754FE">
      <w:pPr>
        <w:pStyle w:val="TextoNormal"/>
      </w:pPr>
    </w:p>
    <w:p w14:paraId="6977DF97" w14:textId="77777777" w:rsidR="003754FE" w:rsidRDefault="003754FE" w:rsidP="003754FE">
      <w:pPr>
        <w:pStyle w:val="TextoNormal"/>
      </w:pPr>
      <w:r w:rsidRPr="003754FE">
        <w:rPr>
          <w:rStyle w:val="NumeroAFNegritaCaracter"/>
        </w:rPr>
        <w:t>2</w:t>
      </w:r>
      <w:r>
        <w:t xml:space="preserve">. </w:t>
      </w:r>
      <w:r w:rsidRPr="003754FE">
        <w:rPr>
          <w:i/>
        </w:rPr>
        <w:t>Óbices procesales</w:t>
      </w:r>
    </w:p>
    <w:p w14:paraId="6D660AA0" w14:textId="77777777" w:rsidR="003754FE" w:rsidRDefault="003754FE" w:rsidP="003754FE">
      <w:pPr>
        <w:pStyle w:val="TextoNormal"/>
      </w:pPr>
    </w:p>
    <w:p w14:paraId="6B242EE1" w14:textId="77777777" w:rsidR="003754FE" w:rsidRDefault="003754FE" w:rsidP="003754FE">
      <w:pPr>
        <w:pStyle w:val="TextoNormal"/>
      </w:pPr>
      <w:r>
        <w:t>El padre de la menor ha solicitado la desestimación del recurso por considerar que incurre en el defecto procesal de falta de agotamiento de la vía judicial previa; afirma que tras la desestimación del recurso de apelación que cuestiona, la demandante no acudió al incidente de nulidad de actuaciones a denunciar la lesión que ahora justifica su queja.</w:t>
      </w:r>
    </w:p>
    <w:p w14:paraId="0EAC4B2A" w14:textId="77777777" w:rsidR="003754FE" w:rsidRDefault="003754FE" w:rsidP="003754FE">
      <w:pPr>
        <w:pStyle w:val="TextoNormal"/>
      </w:pPr>
    </w:p>
    <w:p w14:paraId="4DB5A1AC" w14:textId="77777777" w:rsidR="003754FE" w:rsidRDefault="003754FE" w:rsidP="003754FE">
      <w:pPr>
        <w:pStyle w:val="TextoNormal"/>
      </w:pPr>
      <w:r>
        <w:t xml:space="preserve">La alegación no puede prosperar. Como ha quedado expuesto en los antecedentes, la recurrente en amparo interpuso en la vía judicial previa recurso de reposición contra la providencia de 27 de octubre de 2021 que le denegó la entrega del acta de exploración judicial; en dicho recurso denunció ya la supuesta vulneración del derecho a la tutela judicial efectiva </w:t>
      </w:r>
      <w:r>
        <w:lastRenderedPageBreak/>
        <w:t>(art. 24.1 CE) pues, a su juicio, tal denegación no era ajustada a Derecho. Posteriormente, mediante escrito de 17 de noviembre de 2021, la recurrente interpuso recurso de apelación alegando de nuevo la vulneración del artículo 24 CE. Pues bien, siendo el incidente de nulidad de actuaciones regulado en el art. 228 LEC, un remedio procesal previsto para los casos en los que la supuesta vulneración “no haya podido denunciarse antes de recaer resolución que ponga fin al proceso y siempre que dicha resolución no sea susceptible de recurso ordinario ni extraordinario”, es claro que, en el presente supuesto, el incidente resultaba innecesario, pues la lesión aducida en amparo ya había sido denunciada ante la jurisdicción ordinaria a través de los recursos expuestos, dando así oportunidad de remediarla a los órganos judiciales.</w:t>
      </w:r>
    </w:p>
    <w:p w14:paraId="700EB72A" w14:textId="77777777" w:rsidR="003754FE" w:rsidRDefault="003754FE" w:rsidP="003754FE">
      <w:pPr>
        <w:pStyle w:val="TextoNormal"/>
      </w:pPr>
    </w:p>
    <w:p w14:paraId="6AA41F9D" w14:textId="7F95B96B" w:rsidR="003754FE" w:rsidRDefault="003754FE" w:rsidP="003754FE">
      <w:pPr>
        <w:pStyle w:val="TextoNormal"/>
      </w:pPr>
      <w:r>
        <w:t>Por las razones expuestas, el óbice planteado no puede ser apreciado ni impide nuestro pronunciamiento sobre el fondo.</w:t>
      </w:r>
    </w:p>
    <w:p w14:paraId="0223647F" w14:textId="77777777" w:rsidR="003754FE" w:rsidRDefault="003754FE" w:rsidP="003754FE">
      <w:pPr>
        <w:pStyle w:val="TextoNormal"/>
      </w:pPr>
    </w:p>
    <w:p w14:paraId="20604178" w14:textId="77777777" w:rsidR="003754FE" w:rsidRDefault="003754FE" w:rsidP="003754FE">
      <w:pPr>
        <w:pStyle w:val="TextoNormal"/>
      </w:pPr>
      <w:r w:rsidRPr="003754FE">
        <w:rPr>
          <w:rStyle w:val="NumeroAFNegritaCaracter"/>
        </w:rPr>
        <w:t>3</w:t>
      </w:r>
      <w:r>
        <w:t xml:space="preserve">. </w:t>
      </w:r>
      <w:r w:rsidRPr="003754FE">
        <w:rPr>
          <w:i/>
        </w:rPr>
        <w:t>Doctrina constitucional precedente sobre la cuestión planteada</w:t>
      </w:r>
    </w:p>
    <w:p w14:paraId="7F3A8F23" w14:textId="77777777" w:rsidR="003754FE" w:rsidRDefault="003754FE" w:rsidP="003754FE">
      <w:pPr>
        <w:pStyle w:val="TextoNormal"/>
      </w:pPr>
    </w:p>
    <w:p w14:paraId="77C88335" w14:textId="77777777" w:rsidR="003754FE" w:rsidRDefault="003754FE" w:rsidP="003754FE">
      <w:pPr>
        <w:pStyle w:val="TextoNormal"/>
      </w:pPr>
      <w:r>
        <w:t>En la STC 64/2019, de 9 de mayo, el Pleno de este tribunal resolvió una cuestión de inconstitucionalidad planteada en relación con la redacción precedente, pero materialmente idéntica, del art. 18.2.4 de la Ley 15/2015, de jurisdicción voluntaria, por posible vulneración del derecho fundamental a la intimidad del menor. El apartado entonces impugnado, tras establecer que en estos supuestos la audiencia del menor afectado debe realizarse en acto separado de la vista contradictoria, con asistencia del fiscal y sin interferencia de las partes, señalaba en sus dos últimos párrafos lo siguiente:</w:t>
      </w:r>
    </w:p>
    <w:p w14:paraId="5D94DA0C" w14:textId="77777777" w:rsidR="003754FE" w:rsidRDefault="003754FE" w:rsidP="003754FE">
      <w:pPr>
        <w:pStyle w:val="TextoNormal"/>
      </w:pPr>
    </w:p>
    <w:p w14:paraId="4CBCF5E8" w14:textId="77777777" w:rsidR="003754FE" w:rsidRDefault="003754FE" w:rsidP="003754FE">
      <w:pPr>
        <w:pStyle w:val="TextoNormal"/>
      </w:pPr>
      <w:r>
        <w:t>“El juez o el secretario judicial podrán acordar que la audiencia del menor o persona con capacidad modificada judicialmente se practique en acto separado, sin interferencias de otras personas, pudiendo asistir el Ministerio Fiscal. En todo caso se garantizará que puedan ser oídos en condiciones idóneas, en términos que les sean accesibles, comprensibles y adaptados a su edad, madurez y circunstancias, recabando el auxilio de especialistas cuando ello fuera necesario.</w:t>
      </w:r>
    </w:p>
    <w:p w14:paraId="1720D02E" w14:textId="77777777" w:rsidR="003754FE" w:rsidRDefault="003754FE" w:rsidP="003754FE">
      <w:pPr>
        <w:pStyle w:val="TextoNormal"/>
      </w:pPr>
    </w:p>
    <w:p w14:paraId="16FCFC8B" w14:textId="77777777" w:rsidR="003754FE" w:rsidRDefault="003754FE" w:rsidP="003754FE">
      <w:pPr>
        <w:pStyle w:val="TextoNormal"/>
      </w:pPr>
      <w:r>
        <w:t>Del resultado de la exploración se extenderá acta detallada y, siempre que sea posible, será grabada en soporte audiovisual. Si ello tuviera lugar después de la comparecencia, se dará traslado del acta correspondiente a los interesados para que puedan efectuar alegaciones en el plazo de cinco días”.</w:t>
      </w:r>
    </w:p>
    <w:p w14:paraId="473A8794" w14:textId="77777777" w:rsidR="003754FE" w:rsidRDefault="003754FE" w:rsidP="003754FE">
      <w:pPr>
        <w:pStyle w:val="TextoNormal"/>
      </w:pPr>
    </w:p>
    <w:p w14:paraId="4EF27BAA" w14:textId="77777777" w:rsidR="003754FE" w:rsidRDefault="003754FE" w:rsidP="003754FE">
      <w:pPr>
        <w:pStyle w:val="TextoNormal"/>
      </w:pPr>
      <w:r>
        <w:t>La duda de constitucionalidad quedó entonces circunscrita al apartado cuarto del precepto, que regula cómo debe documentarse la exploración de los menores en los expedientes de jurisdicción voluntaria. En cuanto la ley regulaba la obligación de extender acta detallada del resultado de la exploración judicial del menor, celebrada en acto separado de la comparecencia, así como la de dar traslado a los interesados para que pudiesen formular alegaciones, la duda de constitucionalidad se concretaba entonces en si el presunto carácter detallado del acta impedía que el juez se reservara la comunicación a las partes de ciertos contenidos que afectasen a la intimidad del menor, para el caso de que de la exploración se hubiera obtenido información que así pudiera calificarse.</w:t>
      </w:r>
    </w:p>
    <w:p w14:paraId="6F906DDF" w14:textId="77777777" w:rsidR="003754FE" w:rsidRDefault="003754FE" w:rsidP="003754FE">
      <w:pPr>
        <w:pStyle w:val="TextoNormal"/>
      </w:pPr>
    </w:p>
    <w:p w14:paraId="7141F6FB" w14:textId="77777777" w:rsidR="003754FE" w:rsidRDefault="003754FE" w:rsidP="003754FE">
      <w:pPr>
        <w:pStyle w:val="TextoNormal"/>
      </w:pPr>
      <w:r>
        <w:t xml:space="preserve">Se planteaba así una posible colisión del derecho a la intimidad del menor con el derecho de defensa y a la utilización de los medios de prueba pertinentes (art. 24.2 CE) de los </w:t>
      </w:r>
      <w:r>
        <w:lastRenderedPageBreak/>
        <w:t>progenitores interesados, en cuanto el acta de la exploración puede proporcionar información relevante y forma parte del acervo probatorio, además de que coadyuva a la formación de la convicción judicial, por lo que se impone dar acceso a los interesados de las manifestaciones del menor, si bien no puede comprometerse su derecho a la intimidad. En hipótesis, los interesados sí pueden tener intereses contrapuestos a los del menor, como reconoce el párrafo tercero del art. 9.2 de la Ley Orgánica 1/1996.</w:t>
      </w:r>
    </w:p>
    <w:p w14:paraId="25A2BFD7" w14:textId="77777777" w:rsidR="003754FE" w:rsidRDefault="003754FE" w:rsidP="003754FE">
      <w:pPr>
        <w:pStyle w:val="TextoNormal"/>
      </w:pPr>
    </w:p>
    <w:p w14:paraId="1E132876" w14:textId="77777777" w:rsidR="003754FE" w:rsidRDefault="003754FE" w:rsidP="003754FE">
      <w:pPr>
        <w:pStyle w:val="TextoNormal"/>
      </w:pPr>
      <w:r>
        <w:t>Realizada una ponderación de los bienes y derechos en juego, bajo el prisma del interés superior del menor, el Tribunal alcanzó en la citada resolución las conclusiones siguientes:</w:t>
      </w:r>
    </w:p>
    <w:p w14:paraId="144D0099" w14:textId="77777777" w:rsidR="003754FE" w:rsidRDefault="003754FE" w:rsidP="003754FE">
      <w:pPr>
        <w:pStyle w:val="TextoNormal"/>
      </w:pPr>
    </w:p>
    <w:p w14:paraId="5214058A" w14:textId="77777777" w:rsidR="003754FE" w:rsidRDefault="003754FE" w:rsidP="003754FE">
      <w:pPr>
        <w:pStyle w:val="TextoNormal"/>
      </w:pPr>
      <w:r>
        <w:t>a) Las cautelas recogidas en el párrafo segundo del apartado cuarto del art. 18.2 de la Ley 15/2015, contribuyen a la preservación del derecho a la intimidad del menor y, en aras de proteger su interés, se pueden permitir excepciones a la audiencia pública, siempre que la intervención efectiva del Ministerio Fiscal garantice la tutela judicial efectiva, en cuanto garante del interés prevalente de los menores (STC 17/2006, de 30 de enero, FJ 5).</w:t>
      </w:r>
    </w:p>
    <w:p w14:paraId="654BD4B2" w14:textId="77777777" w:rsidR="003754FE" w:rsidRDefault="003754FE" w:rsidP="003754FE">
      <w:pPr>
        <w:pStyle w:val="TextoNormal"/>
      </w:pPr>
    </w:p>
    <w:p w14:paraId="3B878F0D" w14:textId="77777777" w:rsidR="003754FE" w:rsidRDefault="003754FE" w:rsidP="003754FE">
      <w:pPr>
        <w:pStyle w:val="TextoNormal"/>
      </w:pPr>
      <w:r>
        <w:t>b) En los supuestos que, por decisión del juez, la exploración judicial se desarrolla en ausencia de las partes para garantizar el derecho de audiencia en condiciones que preserven el interés superior del menor, la posterior entrega del acta detallada a las partes concilia esa decisión judicial con los derechos fundamentales de las partes en el proceso (art. 24 CE), en la medida en que el interés prevalente del menor debe ponderarse con el de sus progenitores que, aun siendo de menor rango, no resulta desdeñable por ello (SSTC 141/2000, de 29 mayo, FJ 5; 124/2002, de 20 mayo, FJ 4; 144/2003, de 14 julio, FJ 2; 71/2004, de 19 abril, FJ 8; 11/2008, de 21 enero, FJ 7, y 185/2012, de 17 de octubre, FJ 4).</w:t>
      </w:r>
    </w:p>
    <w:p w14:paraId="22688FFF" w14:textId="77777777" w:rsidR="003754FE" w:rsidRDefault="003754FE" w:rsidP="003754FE">
      <w:pPr>
        <w:pStyle w:val="TextoNormal"/>
      </w:pPr>
    </w:p>
    <w:p w14:paraId="7166B8F6" w14:textId="77777777" w:rsidR="003754FE" w:rsidRDefault="003754FE" w:rsidP="003754FE">
      <w:pPr>
        <w:pStyle w:val="TextoNormal"/>
      </w:pPr>
      <w:r>
        <w:t>c) La entrega del acta detallada a las partes responde a las exigencias derivadas del principio procesal de contradicción (art. 24 CE), compensando la amplísima libertad del juez en un expediente que afecta a los intereses de un menor, que puede fundar su decisión en cualquiera de los hechos de los que hubiera tenido conocimiento, por cualquier medio. Por ello, resulta imprescindible la garantía de que los hechos en los que se funda la resolución judicial resolutoria no permanezcan a la esfera del conocimiento privado del decisor, pues, de otro modo, quedaría irremediablemente sacrificado el derecho a la tutela judicial efectiva.</w:t>
      </w:r>
    </w:p>
    <w:p w14:paraId="0A7B3491" w14:textId="77777777" w:rsidR="003754FE" w:rsidRDefault="003754FE" w:rsidP="003754FE">
      <w:pPr>
        <w:pStyle w:val="TextoNormal"/>
      </w:pPr>
    </w:p>
    <w:p w14:paraId="32B1257C" w14:textId="77777777" w:rsidR="003754FE" w:rsidRDefault="003754FE" w:rsidP="003754FE">
      <w:pPr>
        <w:pStyle w:val="TextoNormal"/>
      </w:pPr>
      <w:r>
        <w:t>No obstante, expuesta así la ponderación de derechos en conflicto, el Tribunal estableció dos precisiones relevantes. La primera, relativa a la exploración judicial en sí misma, según la cual el juez o letrado de la administración de justicia debe cuidar de preservar la intimidad del menor en el momento de la celebración de la exploración judicial, a puerta cerrada e, igualmente, deben velar para que las manifestaciones del menor se circunscriban a las necesarias para la averiguación de los hechos y circunstancias controvertidos, de modo que la exploración únicamente verse sobre aquellas cuestiones que guarden estricta relación con el objeto del expediente. En atención a la segunda, el acta de la exploración judicial debe incluir únicamente aquellas manifestaciones del menor que sean imprescindibles por significativas y, por ello, estrictamente relevantes para la decisión del expediente.</w:t>
      </w:r>
    </w:p>
    <w:p w14:paraId="4E666F61" w14:textId="77777777" w:rsidR="003754FE" w:rsidRDefault="003754FE" w:rsidP="003754FE">
      <w:pPr>
        <w:pStyle w:val="TextoNormal"/>
      </w:pPr>
    </w:p>
    <w:p w14:paraId="3795B88E" w14:textId="77777777" w:rsidR="003754FE" w:rsidRDefault="003754FE" w:rsidP="003754FE">
      <w:pPr>
        <w:pStyle w:val="TextoNormal"/>
      </w:pPr>
      <w:r>
        <w:t>Y concluyó que, así acotado, el contenido del acta había de ser puesto en conocimiento de las partes para que pudieran efectuar sus alegaciones sobre el objeto de la controversia, una vez conocido el contenido de la exploración judicial.</w:t>
      </w:r>
    </w:p>
    <w:p w14:paraId="7CEE3AD8" w14:textId="77777777" w:rsidR="003754FE" w:rsidRDefault="003754FE" w:rsidP="003754FE">
      <w:pPr>
        <w:pStyle w:val="TextoNormal"/>
      </w:pPr>
    </w:p>
    <w:p w14:paraId="53EBF554" w14:textId="77777777" w:rsidR="003754FE" w:rsidRDefault="003754FE" w:rsidP="003754FE">
      <w:pPr>
        <w:pStyle w:val="TextoNormal"/>
      </w:pPr>
      <w:r>
        <w:lastRenderedPageBreak/>
        <w:t>Como señala su exposición de motivos, las conclusiones jurisprudenciales expuestas han sido tomadas en consideración por el legislador en la reforma del apartado cuarto del art. 18.2 de la ley reseñada (disposición final decimoquinta de la Ley Orgánica 8/2021, de 4 de junio, de protección integral a la infancia y la adolescencia frente a la violencia), en cuanto la ley especifica ahora cual ha de ser el contenido del acta de la exploración judicial, determinando que expresará “los datos objetivos del desarrollo de la audiencia, en la que reflejará las manifestaciones del niño, niña o adolescente imprescindibles por significativas, y por ello estrictamente relevantes, para la decisión del expediente, cuidando de preservar su intimidad”.</w:t>
      </w:r>
    </w:p>
    <w:p w14:paraId="208C1A29" w14:textId="77777777" w:rsidR="003754FE" w:rsidRDefault="003754FE" w:rsidP="003754FE">
      <w:pPr>
        <w:pStyle w:val="TextoNormal"/>
      </w:pPr>
    </w:p>
    <w:p w14:paraId="167526ED" w14:textId="20E2686D" w:rsidR="003754FE" w:rsidRDefault="003754FE" w:rsidP="003754FE">
      <w:pPr>
        <w:pStyle w:val="TextoNormal"/>
      </w:pPr>
      <w:r>
        <w:t>En tal medida, pese al cambio normativo, la doctrina constitucional que ha sido expuesta (STC 64/2019) es indiscutiblemente aplicable a la resolución del presente recurso de amparo.</w:t>
      </w:r>
    </w:p>
    <w:p w14:paraId="579CB39F" w14:textId="77777777" w:rsidR="003754FE" w:rsidRDefault="003754FE" w:rsidP="003754FE">
      <w:pPr>
        <w:pStyle w:val="TextoNormal"/>
      </w:pPr>
    </w:p>
    <w:p w14:paraId="197A1FAA" w14:textId="77777777" w:rsidR="003754FE" w:rsidRDefault="003754FE" w:rsidP="003754FE">
      <w:pPr>
        <w:pStyle w:val="TextoNormal"/>
      </w:pPr>
      <w:r w:rsidRPr="003754FE">
        <w:rPr>
          <w:rStyle w:val="NumeroAFNegritaCaracter"/>
        </w:rPr>
        <w:t>4</w:t>
      </w:r>
      <w:r>
        <w:t xml:space="preserve">. </w:t>
      </w:r>
      <w:r w:rsidRPr="003754FE">
        <w:rPr>
          <w:i/>
        </w:rPr>
        <w:t>Aplicación de la doctrina constitucional precedente a la resolución del caso</w:t>
      </w:r>
    </w:p>
    <w:p w14:paraId="6D114359" w14:textId="77777777" w:rsidR="003754FE" w:rsidRDefault="003754FE" w:rsidP="003754FE">
      <w:pPr>
        <w:pStyle w:val="TextoNormal"/>
      </w:pPr>
    </w:p>
    <w:p w14:paraId="1C2EB67C" w14:textId="77777777" w:rsidR="003754FE" w:rsidRDefault="003754FE" w:rsidP="003754FE">
      <w:pPr>
        <w:pStyle w:val="TextoNormal"/>
      </w:pPr>
      <w:r>
        <w:t>Expuesta la doctrina del Tribunal en relación con el conflicto de derechos que se plantea en el art. 18.2.4 de la Ley 15/2015, de jurisdicción voluntaria, debemos adelantar que su aplicación al presente caso conduce a la desestimación del recurso de amparo, lo que fundamentamos en las razones que a continuación se exponen.</w:t>
      </w:r>
    </w:p>
    <w:p w14:paraId="04ED89AE" w14:textId="77777777" w:rsidR="003754FE" w:rsidRDefault="003754FE" w:rsidP="003754FE">
      <w:pPr>
        <w:pStyle w:val="TextoNormal"/>
      </w:pPr>
    </w:p>
    <w:p w14:paraId="59EA862F" w14:textId="77777777" w:rsidR="003754FE" w:rsidRDefault="003754FE" w:rsidP="003754FE">
      <w:pPr>
        <w:pStyle w:val="TextoNormal"/>
      </w:pPr>
      <w:r>
        <w:t>Acierta la recurrente cuando denuncia el incumplimiento, por parte del órgano judicial del mandato legal establecido en el tercer párrafo del apartado cuarto del art. 18.2 de la Ley 15/2015, de la jurisdicción voluntaria, pues es claro que en este caso fue obviada la prescripción legal que exige extender acta expresiva de los datos objetivos del desarrollo de la audiencia a la menor que incluya sus manifestaciones relevantes para la decisión del expediente, así como la de dar traslado de la misma a los interesados para que puedan efectuar alegaciones sobre su contenido en el plazo de cinco días.</w:t>
      </w:r>
    </w:p>
    <w:p w14:paraId="1F07D906" w14:textId="77777777" w:rsidR="003754FE" w:rsidRDefault="003754FE" w:rsidP="003754FE">
      <w:pPr>
        <w:pStyle w:val="TextoNormal"/>
      </w:pPr>
    </w:p>
    <w:p w14:paraId="3A131CFD" w14:textId="77777777" w:rsidR="003754FE" w:rsidRDefault="003754FE" w:rsidP="003754FE">
      <w:pPr>
        <w:pStyle w:val="TextoNormal"/>
      </w:pPr>
      <w:r>
        <w:t>En relación con esta cuestión, ya hemos expuesto que este tribunal señaló en la STC 64/2019 que la entrega a las partes del acta que documenta el resultado de la audiencia al menor constituye un instrumento perfectamente idóneo para procurar la garantía del derecho a la tutela judicial efectiva sin indefensión y del principio de contradicción, en la medida en que las cautelas recogidas en el párrafo segundo del artículo 18.2.4 de la Ley 15/2015 contribuyen decisivamente a la preservación del derecho a la intimidad del menor, siendo la medida menos gravosa para proteger su intimidad, extender un acta de la exploración judicial y entregarlo a las partes, siempre que el contenido del acta detalle aquellas manifestaciones del menor, imprescindibles por significativas y por ello estrictamente relevantes, para la decisión del expediente.</w:t>
      </w:r>
    </w:p>
    <w:p w14:paraId="1D78D317" w14:textId="77777777" w:rsidR="003754FE" w:rsidRDefault="003754FE" w:rsidP="003754FE">
      <w:pPr>
        <w:pStyle w:val="TextoNormal"/>
      </w:pPr>
    </w:p>
    <w:p w14:paraId="385B27A6" w14:textId="77777777" w:rsidR="003754FE" w:rsidRDefault="003754FE" w:rsidP="003754FE">
      <w:pPr>
        <w:pStyle w:val="TextoNormal"/>
      </w:pPr>
      <w:r>
        <w:t xml:space="preserve">Siendo, por tanto, indiscutible que cuando, por providencia de 27 de octubre de 2021, el Juzgado de Primera Instancia núm. 76 de Madrid declaró no haber lugar acordar la entrega de la exploración de la menor, alegando la protección de su intimidad, el órgano judicial incurrió en una infracción procesal evidente. En tal medida, es labor de este tribunal analizar ahora si —como se alega— tal infracción procesal ha provocado una vulneración del derecho de defensa de la recurrente, en la medida en que el órgano judicial haya fundado su decisión en cualquier hecho que, afectando a la menor, ha llegado a su conocimiento sin que haya sido invocado por el solicitante o por otros interesados y, por tanto, sin respetar la </w:t>
      </w:r>
      <w:r>
        <w:lastRenderedPageBreak/>
        <w:t>garantía de que los hechos en los que se funda el auto impugnado que resuelve la disensión parental no pertenecen a la esfera del conocimiento privado de la juzgadora.</w:t>
      </w:r>
    </w:p>
    <w:p w14:paraId="338C2776" w14:textId="77777777" w:rsidR="003754FE" w:rsidRDefault="003754FE" w:rsidP="003754FE">
      <w:pPr>
        <w:pStyle w:val="TextoNormal"/>
      </w:pPr>
    </w:p>
    <w:p w14:paraId="191740F6" w14:textId="77777777" w:rsidR="003754FE" w:rsidRDefault="003754FE" w:rsidP="003754FE">
      <w:pPr>
        <w:pStyle w:val="TextoNormal"/>
      </w:pPr>
      <w:r>
        <w:t>Nos detendremos para ello en los fundamentos del auto que, tras resolver las pretensiones en litigio, denegó a la madre la entrega del acta que recogía la previa exploración de la menor, pues solo si concluimos que se apoya en razones que en exclusiva se ubicaban en la esfera de conocimiento privado del decisor, podrá afirmarse que la infracción procesal indudablemente cometida por el órgano judicial ha generado la vulneración del derecho de defensa de la recurrente. En este contexto, entendemos que las razones esgrimidas por el órgano judicial para conceder al padre de la menor la autorización para un tratamiento psicológico con el especialista de su elección, no generaron vulneración del derecho de defensa de la recurrente, pues se identifican de forma evidente con dos datos objetivos que rodean el caso y que, desde luego, están lejos de ser privativos de la esfera de conocimiento del juzgador: (i) la menor, de catorce años de edad, se encuentra inmersa en un conflicto existente entre sus padres, siendo buena muestra del mismo los numerosísimos procedimientos que se siguen en el propio juzgado y en otros, por distintas solicitudes y ocasiones, de los que —al parecer de la jueza— resulta patente que, la mala relación existente entre los progenitores está afectando a la menor negativamente; y (ii) la madre de la menor, que reside en el extranjero y no ostenta la custodia sobre su hija, no ha podido fundamentar de forma clara por qué razón se niega a que su hija reciba tratamiento y apoyo psicológico, en cuanto puede ser beneficioso en términos objetivos para el interés de la menor, por el conflicto en el que los padres la tienen inmersa.</w:t>
      </w:r>
    </w:p>
    <w:p w14:paraId="771248FD" w14:textId="77777777" w:rsidR="003754FE" w:rsidRDefault="003754FE" w:rsidP="003754FE">
      <w:pPr>
        <w:pStyle w:val="TextoNormal"/>
      </w:pPr>
    </w:p>
    <w:p w14:paraId="064BC04F" w14:textId="77777777" w:rsidR="003754FE" w:rsidRDefault="003754FE" w:rsidP="003754FE">
      <w:pPr>
        <w:pStyle w:val="TextoNormal"/>
      </w:pPr>
      <w:r>
        <w:t>Pero es que, además, debemos tomar en consideración hechos procesales significativos que figuran en las actuaciones sobre el conocimiento de la demandante de amparo del contenido relevante de la exploración judicial de su hija menor; contenido que fue trasladado a las partes por la jueza y el fiscal en la comparecencia. Así, consta en actuaciones que, en el acto de la vista, las partes fueron informadas verbalmente del desarrollo de la exploración judicial de la menor. Al iniciar la comparecencia la juzgadora les expuso que, de la exploración que la menor se desprendía que no se sentía bien; que estaba muy afectada por la mala relación entre sus padres, con los que ha convivido desde que tenía dos años. Relató que, a lo largo de la exploración judicial, la menor se había quebrado y se había puesto a llorar, resultando obvio que la menor sufre una situación permanente de conflicto. También es muy importante señalar que la jueza trasladó expresamente a las partes que la menor manifiesta que cree “que sí, que sería bueno ir al psicólogo”.</w:t>
      </w:r>
    </w:p>
    <w:p w14:paraId="37264156" w14:textId="77777777" w:rsidR="003754FE" w:rsidRDefault="003754FE" w:rsidP="003754FE">
      <w:pPr>
        <w:pStyle w:val="TextoNormal"/>
      </w:pPr>
    </w:p>
    <w:p w14:paraId="63A4290C" w14:textId="77777777" w:rsidR="003754FE" w:rsidRDefault="003754FE" w:rsidP="003754FE">
      <w:pPr>
        <w:pStyle w:val="TextoNormal"/>
      </w:pPr>
      <w:r>
        <w:t xml:space="preserve">Podemos afirmar, en consecuencia, que la recurrente en amparo conocía aquellas manifestaciones de la menor imprescindibles por significativas, y por ello estrictamente relevantes, para la decisión del expediente. Así acotado el contenido del acta, fue puesto en conocimiento de las partes, para que pudieran efectuar sus alegaciones, si bien es cierto que no fue entregado por escrito. No obstante, esta irregularidad procesal ya reconocida, hemos de apuntar que no tiene un alcance determinante, pues recordemos que la demandante de amparo solicitó entrega de copia de la grabación original de la vista, celebrada el 6 de octubre de 2021, que se ordenó por diligencia de ordenación de 20 de octubre de 2021, por lo que la demandante de amparo disponía —en todo momento— de los elementos relevantes y significativos de la exploración judicial que la jueza y el fiscal le habían trasladado verbalmente en el acto de la vista. Así las cosas, contaba con la información necesaria en orden a </w:t>
      </w:r>
      <w:r>
        <w:lastRenderedPageBreak/>
        <w:t>defender sus intereses en la vista y a preparar de la forma más completa posible el recurso de apelación.</w:t>
      </w:r>
    </w:p>
    <w:p w14:paraId="23339E2E" w14:textId="77777777" w:rsidR="003754FE" w:rsidRDefault="003754FE" w:rsidP="003754FE">
      <w:pPr>
        <w:pStyle w:val="TextoNormal"/>
      </w:pPr>
    </w:p>
    <w:p w14:paraId="1D588B98" w14:textId="77777777" w:rsidR="003754FE" w:rsidRDefault="003754FE" w:rsidP="003754FE">
      <w:pPr>
        <w:pStyle w:val="TextoNormal"/>
      </w:pPr>
      <w:r>
        <w:t>A partir de estas razones y en relación con la indefensión alegada, la doctrina del Tribunal Constitucional más representativa, asentada ya en la STC 149/1987, de 30 de septiembre, FJ 3, sostiene que “siendo indiscutible la existencia de una relación entre denegación de pruebas e indefensión, pero no son conceptos que hayan sin más de equipararse” y solo puede tener relevancia constitucional —por provocar indefensión— la denegación de pruebas que siendo, solicitada en el momento y forma oportunas, no resultase razonable y privase al solicitante de amparo de hechos decisivos para su pretensión.</w:t>
      </w:r>
    </w:p>
    <w:p w14:paraId="599B6FB7" w14:textId="77777777" w:rsidR="003754FE" w:rsidRDefault="003754FE" w:rsidP="003754FE">
      <w:pPr>
        <w:pStyle w:val="TextoNormal"/>
      </w:pPr>
    </w:p>
    <w:p w14:paraId="6DE20EF3" w14:textId="77777777" w:rsidR="003754FE" w:rsidRDefault="003754FE" w:rsidP="003754FE">
      <w:pPr>
        <w:pStyle w:val="TextoNormal"/>
      </w:pPr>
      <w:r>
        <w:t>En esa misma resolución, el Tribunal añade que la denegación de las pruebas solo generará indefensión cuando esta sea de carácter material y pueda apreciarse el efectivo menoscabo del derecho de quien por ese motivo busca amparo, siendo claro que no existe una indefensión de relevancia constitucional cuando la inadmisión de la prueba se ha producido, o bien debidamente, en aplicación estricta de normas legales cuya legitimidad constitucional no puede ponerse en duda, o incluso, cuando aun existiendo en la inadmisión de la prueba una irregularidad procesal, no se llega a producir efectivo y real menoscabo del derecho de defensa, por no existir o no demostrarse la relación entre los hechos que se quisieron y no se pudieron probar y las pruebas inadmitidas.</w:t>
      </w:r>
    </w:p>
    <w:p w14:paraId="6EB01FB5" w14:textId="77777777" w:rsidR="003754FE" w:rsidRDefault="003754FE" w:rsidP="003754FE">
      <w:pPr>
        <w:pStyle w:val="TextoNormal"/>
      </w:pPr>
    </w:p>
    <w:p w14:paraId="31F4843B" w14:textId="77777777" w:rsidR="003754FE" w:rsidRDefault="003754FE" w:rsidP="003754FE">
      <w:pPr>
        <w:pStyle w:val="TextoNormal"/>
      </w:pPr>
      <w:r>
        <w:t xml:space="preserve">En esta dirección, en la mucho más reciente STC 148/2023, de 6 de noviembre, FJ 3, recordábamos que para que una irregularidad u omisión procesal en materia de prueba (referida a su admisión, a su práctica o a su valoración) cause por sí misma indefensión material constitucionalmente relevante, la prueba denegada o no practicada debe resultar decisiva en términos de defensa, de suerte que, de haberse practicado la prueba omitida, la resolución final del proceso hubiese podido ser distinta en el sentido de resultar favorable a quien denuncia la infracción del derecho fundamental. Hemos reiterado también que recae sobre el recurrente la carga de acreditar la indefensión sufrida, lo que supone que ha de demostrar la relación entre los hechos que se quiso y no se pudo probar y las pruebas inadmitidas o no practicadas; y, además, ha de argumentar el modo en que la admisión y la práctica de la prueba objeto de la controversia habrían podido tener una incidencia favorable a la estimación de las pretensiones. Solo en tal caso —comprobado que el fallo del proceso </w:t>
      </w:r>
      <w:r w:rsidRPr="003754FE">
        <w:rPr>
          <w:i/>
        </w:rPr>
        <w:t>a quo</w:t>
      </w:r>
      <w:r>
        <w:t xml:space="preserve"> pudo, tal vez, haber sido otro si la prueba se hubiera practicado— podrá apreciarse también el menoscabo efectivo del derecho de quien por este motivo solicita el amparo constitucional (por todas, SSTC 247/2004, de 20 de diciembre, FJ 3; 23/2007, de 12 de febrero, FJ 6; 94/2007, de 7 de mayo, FJ 3; 185/2007, de 10 de septiembre, FJ 2; 240/2007, de 10 de diciembre, FJ 2, y 22/2008, de 31 de enero, FJ 2).</w:t>
      </w:r>
    </w:p>
    <w:p w14:paraId="61BD21FC" w14:textId="77777777" w:rsidR="003754FE" w:rsidRDefault="003754FE" w:rsidP="003754FE">
      <w:pPr>
        <w:pStyle w:val="TextoNormal"/>
      </w:pPr>
    </w:p>
    <w:p w14:paraId="68E9437B" w14:textId="77777777" w:rsidR="003754FE" w:rsidRDefault="003754FE" w:rsidP="003754FE">
      <w:pPr>
        <w:pStyle w:val="TextoNormal"/>
      </w:pPr>
      <w:r>
        <w:t>Pues bien, resulta claro que, en el presente caso, ninguna indefensión constitucionalmente relevante puede extraerse de la omisión de redacción y entrega del acta de exploración de la menor, dado que no se ha producido un efectivo y real menoscabo del derecho de defensa, pues no se alcanza a explicar por la demandante de amparo que los fundamentos de la decisión adoptada por el órgano judicial e impugnada en esta sede, pongan de manifiesto una relación entre la autorización judicial que se concede al padre de la menor para que esta reciba tratamiento psicológico y el acta de la exploración judicial reclamada por la demandante de amparo.</w:t>
      </w:r>
    </w:p>
    <w:p w14:paraId="3295E69F" w14:textId="77777777" w:rsidR="003754FE" w:rsidRDefault="003754FE" w:rsidP="003754FE">
      <w:pPr>
        <w:pStyle w:val="TextoNormal"/>
      </w:pPr>
    </w:p>
    <w:p w14:paraId="55B629B8" w14:textId="77777777" w:rsidR="003754FE" w:rsidRDefault="003754FE" w:rsidP="003754FE">
      <w:pPr>
        <w:pStyle w:val="TextoNormal"/>
      </w:pPr>
      <w:r>
        <w:lastRenderedPageBreak/>
        <w:t>Como quedó expuesto en los antecedentes, el órgano judicial emite su valoración a partir de elementos objetivos por todos conocidos y, especialmente compartidos con las partes: la menor presenta un cuadro de conflicto de lealtades por el enfrentamiento de sus padres que vive con ansiedad y la madre no ha fundamentado de forma clara las razones por las que se niega a prestar asistencia psicológica a la menor. Por lo demás, a la vista de los hechos expuestos, el acta de la exploración reclamada no era otra cosa sino la mera trascripción de la información ya trasladada a las partes por la jueza en la vista oral, pues eran estas las manifestaciones de la menor imprescindibles por significativas y, por ello, estrictamente relevantes para la decisión del expediente, siendo este el alcance de la obligación legal del art. 18.2.4 de la Ley de jurisdicción voluntaria, conforme a la doctrina sentada en la STC 64/2019, de 9 de mayo.</w:t>
      </w:r>
    </w:p>
    <w:p w14:paraId="5903EE6B" w14:textId="77777777" w:rsidR="003754FE" w:rsidRDefault="003754FE" w:rsidP="003754FE">
      <w:pPr>
        <w:pStyle w:val="TextoNormal"/>
      </w:pPr>
    </w:p>
    <w:p w14:paraId="101A37EC" w14:textId="77777777" w:rsidR="003754FE" w:rsidRDefault="003754FE" w:rsidP="003754FE">
      <w:pPr>
        <w:pStyle w:val="TextoNormal"/>
      </w:pPr>
      <w:r>
        <w:t>Queda añadir que, sin perjuicio de que podrían resultar controvertidos el momento y la forma en que la recurrente lleva a cabo la petición del acta de la exploración, pues no lo solicitó en el momento de la vista oral, sino después, cuando obtuvo una resolución judicial contraria a sus pretensiones; lo cierto es que tampoco la recurrente ha probado que, de haber estado en posesión del acta escrita, la resolución final del proceso hubiese podido ser distinta en el sentido de resultar favorable a quien denuncia la infracción del derecho fundamental. En definitiva, no argumenta la demandante de amparo de qué modo la entrega del acta de la exploración de la menor, es decir, la trascripción de la información recibida en la vista oral, habrían podido tener una incidencia en la estimación de sus pretensiones, que hubiera dado lugar a una resolución judicial denegatoria de autorización para el tratamiento psicológico de una menor sometida a un conflicto de lealtades por el enfrentamiento de sus padres. No existe, en consecuencia, una indefensión material real, susceptible de tener que ser reparada en amparo.</w:t>
      </w:r>
    </w:p>
    <w:p w14:paraId="250AD342" w14:textId="77777777" w:rsidR="003754FE" w:rsidRDefault="003754FE" w:rsidP="003754FE">
      <w:pPr>
        <w:pStyle w:val="TextoNormal"/>
      </w:pPr>
    </w:p>
    <w:p w14:paraId="5E78E424" w14:textId="77777777" w:rsidR="003754FE" w:rsidRDefault="003754FE" w:rsidP="003754FE">
      <w:pPr>
        <w:pStyle w:val="TextoNormal"/>
      </w:pPr>
      <w:r>
        <w:t>Así, sabedor el órgano judicial de que las partes conocían el contenido relevante de la exploración judicial —por la información facilitada en la vista oral—, la restante información que la demandante reclamaba —la exploración judicial de la menor completa— formaba, sin duda, parte de la intimidad de la menor. En este sentido, la jueza salvaguardó el carácter reservado de dicha exploración, en exclusivo beneficio de la menor, como señala el artículo 2.5 c) de la Ley Orgánica 1/1996 de protección jurídica del menor y se deriva igualmente del artículo 9 de la misma norma. En definitiva, este tribunal coincide con el órgano judicial cuando afirma que, “dada la naturaleza de la modificación de medidas planteadas [autorización para que la menor reciba un tratamiento psicológico] y la implicación de la figura del menor en el conflicto planteado, se estima pertinente el preservar la intimidad de la menor y mantener la resolución recurrida en ese punto, tanto más cuando ninguna indefensión puede extraerse de la denegación”.</w:t>
      </w:r>
    </w:p>
    <w:p w14:paraId="2EDC17B3" w14:textId="77777777" w:rsidR="003754FE" w:rsidRDefault="003754FE" w:rsidP="003754FE">
      <w:pPr>
        <w:pStyle w:val="TextoNormal"/>
      </w:pPr>
    </w:p>
    <w:p w14:paraId="710C4156" w14:textId="7ADBA3EE" w:rsidR="003754FE" w:rsidRDefault="003754FE" w:rsidP="003754FE">
      <w:pPr>
        <w:pStyle w:val="TextoNormal"/>
      </w:pPr>
      <w:r>
        <w:t>En conclusión, la solicitud de amparo debe ser desestimada porque la demandante de amparo dispuso de los elementos relevantes y significativos de la exploración judicial de la menor; porque la jueza y el representante del Ministerio Fiscal le dieron traslado verbal de aquellos en el acto de la vista; porque las razones esgrimidas por el órgano judicial para conceder al padre de la menor la autorización para un tratamiento psicológico fueron razones de conocimiento compartido por todos los interesados en el procedimiento y, finalmente, porque no se ha acreditado por la recurrente en amparo que la resolución final del proceso hubiese podido ser distinta, en caso de haber redactado y entregado el acta de la exploración judicial escrita.</w:t>
      </w:r>
    </w:p>
    <w:p w14:paraId="6C8CEE86" w14:textId="77777777" w:rsidR="003754FE" w:rsidRDefault="003754FE" w:rsidP="003754FE">
      <w:pPr>
        <w:pStyle w:val="TextoNormal"/>
      </w:pPr>
    </w:p>
    <w:p w14:paraId="74609821" w14:textId="77777777" w:rsidR="003754FE" w:rsidRDefault="003754FE" w:rsidP="003754FE">
      <w:pPr>
        <w:pStyle w:val="TextoNormalCentrado"/>
        <w:keepNext/>
      </w:pPr>
      <w:r>
        <w:t>FALLO</w:t>
      </w:r>
    </w:p>
    <w:p w14:paraId="361AC233" w14:textId="3B98EA48" w:rsidR="003754FE" w:rsidRDefault="003754FE" w:rsidP="003754FE">
      <w:pPr>
        <w:pStyle w:val="TextoNormalCentrado"/>
        <w:keepNext/>
      </w:pPr>
    </w:p>
    <w:p w14:paraId="51703382" w14:textId="5874DC97" w:rsidR="003754FE" w:rsidRDefault="003754FE" w:rsidP="003754FE">
      <w:pPr>
        <w:pStyle w:val="TextoNormal"/>
      </w:pPr>
      <w:r>
        <w:t>En atención a todo lo expuesto, el Tribunal Constitucional, por la autoridad que le confiere la Constitución de la Nación española, ha decidido desestimar el recurso de amparo interpuesto por doña M.A.R.</w:t>
      </w:r>
    </w:p>
    <w:p w14:paraId="1B6194AC" w14:textId="77777777" w:rsidR="003754FE" w:rsidRDefault="003754FE" w:rsidP="003754FE">
      <w:pPr>
        <w:pStyle w:val="TextoNormal"/>
      </w:pPr>
    </w:p>
    <w:p w14:paraId="458E93AC" w14:textId="77777777" w:rsidR="003754FE" w:rsidRDefault="003754FE" w:rsidP="003754FE">
      <w:pPr>
        <w:pStyle w:val="TextoNormal"/>
      </w:pPr>
      <w:r>
        <w:t>Publíquese esta sentencia en el “Boletín Oficial del Estado”.</w:t>
      </w:r>
    </w:p>
    <w:p w14:paraId="410924F0" w14:textId="77777777" w:rsidR="003754FE" w:rsidRDefault="003754FE" w:rsidP="003754FE">
      <w:pPr>
        <w:pStyle w:val="TextoNormal"/>
      </w:pPr>
      <w:r>
        <w:t>Dada en Madrid, a nueve de septiembre de dos mil veinticuatro.</w:t>
      </w:r>
    </w:p>
    <w:p w14:paraId="63525497" w14:textId="6883FFF7" w:rsidR="003754FE" w:rsidRDefault="003754FE">
      <w:pPr>
        <w:spacing w:after="160" w:line="278" w:lineRule="auto"/>
        <w:rPr>
          <w:rFonts w:ascii="Times New Roman" w:eastAsia="Times New Roman" w:hAnsi="Times New Roman" w:cs="Times New Roman"/>
          <w:sz w:val="24"/>
          <w:szCs w:val="24"/>
          <w:lang w:eastAsia="es-ES"/>
        </w:rPr>
      </w:pPr>
      <w:r>
        <w:br w:type="page"/>
      </w:r>
    </w:p>
    <w:p w14:paraId="7C839885" w14:textId="77777777" w:rsidR="003754FE" w:rsidRDefault="003754FE" w:rsidP="003754FE">
      <w:pPr>
        <w:pStyle w:val="TtuloResolucin"/>
      </w:pPr>
      <w:bookmarkStart w:id="16" w:name="SENTENCIA_2024_107"/>
      <w:r>
        <w:lastRenderedPageBreak/>
        <w:t>SENTENCIA 107/2024, de 9 de septiembre de 2024</w:t>
      </w:r>
    </w:p>
    <w:bookmarkEnd w:id="16"/>
    <w:p w14:paraId="7F677BB2" w14:textId="77777777" w:rsidR="003754FE" w:rsidRDefault="003754FE" w:rsidP="003754FE">
      <w:pPr>
        <w:pStyle w:val="TtuloResolucin"/>
      </w:pPr>
      <w:r>
        <w:t>Sala Segunda</w:t>
      </w:r>
    </w:p>
    <w:p w14:paraId="46981990" w14:textId="77777777" w:rsidR="003754FE" w:rsidRDefault="003754FE" w:rsidP="003754FE">
      <w:pPr>
        <w:pStyle w:val="TtuloBOE"/>
      </w:pPr>
      <w:r>
        <w:t>(BOE núm. 247, de 12 de octubre de 2024)</w:t>
      </w:r>
    </w:p>
    <w:p w14:paraId="42F36164" w14:textId="77777777" w:rsidR="003754FE" w:rsidRDefault="003754FE" w:rsidP="003754FE">
      <w:pPr>
        <w:pStyle w:val="TextoNormalCentrado"/>
      </w:pPr>
      <w:r>
        <w:t>ECLI:ES:TC:2024:107</w:t>
      </w:r>
    </w:p>
    <w:p w14:paraId="7455C37B" w14:textId="193936AE" w:rsidR="003754FE" w:rsidRDefault="003754FE" w:rsidP="003754FE">
      <w:pPr>
        <w:pStyle w:val="TextoNormalCentrado"/>
      </w:pPr>
    </w:p>
    <w:p w14:paraId="5F48B682" w14:textId="77777777" w:rsidR="003754FE" w:rsidRDefault="003754FE" w:rsidP="003754FE">
      <w:pPr>
        <w:pStyle w:val="SntesisDescriptiva"/>
      </w:pPr>
      <w:r>
        <w:t>Recurso de amparo 7630-2022. Promovido por don Rochdi Abdeselam Abdel Lah respecto de las resoluciones dictadas por la Sala de lo Penal de la Audiencia Nacional sobre progresión de grado penitenciario.</w:t>
      </w:r>
    </w:p>
    <w:p w14:paraId="00E74E27" w14:textId="44ADEC22" w:rsidR="003754FE" w:rsidRDefault="003754FE" w:rsidP="003754FE">
      <w:pPr>
        <w:pStyle w:val="SntesisDescriptiva"/>
      </w:pPr>
    </w:p>
    <w:p w14:paraId="25602844" w14:textId="77777777" w:rsidR="003754FE" w:rsidRDefault="003754FE" w:rsidP="003754FE">
      <w:pPr>
        <w:pStyle w:val="SntesisAnaltica"/>
      </w:pPr>
      <w:r>
        <w:t>Vulneración del derecho a la tutela judicial efectiva (intangibilidad de las resoluciones judiciales firmes): utilización improcedente del incidente de nulidad de actuaciones en perjuicio del recurrente aduciendo la tutela del derecho al juez ordinario predeterminado por la ley que ninguna parte legítima había invocado. Voto particular.</w:t>
      </w:r>
    </w:p>
    <w:p w14:paraId="77B98CAE" w14:textId="36062903" w:rsidR="003754FE" w:rsidRDefault="003754FE" w:rsidP="003754FE">
      <w:pPr>
        <w:pStyle w:val="SntesisAnaltica"/>
      </w:pPr>
    </w:p>
    <w:p w14:paraId="05A74D68" w14:textId="5C5694D9" w:rsidR="003754FE" w:rsidRDefault="003754FE" w:rsidP="003754FE">
      <w:pPr>
        <w:pStyle w:val="Extracto"/>
      </w:pPr>
      <w:r>
        <w:t>1.</w:t>
      </w:r>
      <w:r>
        <w:tab/>
        <w:t>La garantía de intangibilidad asegura a las partes procesales que las resoluciones judiciales solo puedan ser modificadas dentro de los cauces legales previstos y proscribe que los juzgados y tribunales puedan variar o revisar las resoluciones judiciales definitivas y firmes al margen de los casos taxativamente previstos por la ley, incluso en la hipótesis de que con posterioridad entendiesen que la decisión judicial no se ajusta a la legalidad; si se permitiese reabrir lo ya resuelto por una decisión firme fuera de los supuestos legalmente permitidos, el derecho a la tutela judicial efectiva resultaría vulnerado y carente de efectividad (SSTC 119/1988 o 3/2024) [FJ 3].</w:t>
      </w:r>
    </w:p>
    <w:p w14:paraId="0FB3FC90" w14:textId="77777777" w:rsidR="003754FE" w:rsidRDefault="003754FE" w:rsidP="003754FE">
      <w:pPr>
        <w:pStyle w:val="Extracto"/>
      </w:pPr>
    </w:p>
    <w:p w14:paraId="46CDA653" w14:textId="776D81CA" w:rsidR="003754FE" w:rsidRDefault="003754FE" w:rsidP="003754FE">
      <w:pPr>
        <w:pStyle w:val="Extracto"/>
      </w:pPr>
      <w:r>
        <w:t>2.</w:t>
      </w:r>
      <w:r>
        <w:tab/>
        <w:t>El incidente de nulidad de actuaciones tiene como objetivo permitir que la jurisdicción ordinaria pueda reparar lesiones de derechos fundamentales que no hayan podido denunciarse antes de recaer resolución que ponga fin al proceso y siempre que dicha resolución no sea susceptible de recurso ordinario ni extraordinario (STC 153/2012) [FJ 4].</w:t>
      </w:r>
    </w:p>
    <w:p w14:paraId="43BAD5F2" w14:textId="77777777" w:rsidR="003754FE" w:rsidRDefault="003754FE" w:rsidP="003754FE">
      <w:pPr>
        <w:pStyle w:val="Extracto"/>
      </w:pPr>
    </w:p>
    <w:p w14:paraId="4C27FBF8" w14:textId="7DF3C752" w:rsidR="003754FE" w:rsidRDefault="003754FE" w:rsidP="003754FE">
      <w:pPr>
        <w:pStyle w:val="Extracto"/>
      </w:pPr>
      <w:r>
        <w:t>3.</w:t>
      </w:r>
      <w:r>
        <w:tab/>
        <w:t>La utilización improcedente del incidente de nulidad de actuaciones, por parte del órgano judicial, para cambiar una resolución judicial firme y favorable al recurrente por otra que le perjudicaba, con el pretexto de que se estaba tutelando el derecho al juez ordinario predeterminado por la ley que ninguna parte legítima había invocado, vulnera el derecho a la intangibilidad de las resoluciones judiciales firmes, prescinde de la legalidad procesal y merma la efectividad de la tutela judicial [FJ 4].</w:t>
      </w:r>
    </w:p>
    <w:p w14:paraId="09C47A75" w14:textId="77777777" w:rsidR="003754FE" w:rsidRDefault="003754FE" w:rsidP="003754FE">
      <w:pPr>
        <w:pStyle w:val="Extracto"/>
      </w:pPr>
    </w:p>
    <w:p w14:paraId="32177E6A" w14:textId="77777777" w:rsidR="003754FE" w:rsidRDefault="003754FE" w:rsidP="003754FE">
      <w:pPr>
        <w:pStyle w:val="Extracto"/>
      </w:pPr>
    </w:p>
    <w:p w14:paraId="1798A109"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Enrique Arnaldo Alcubilla, don César Tolosa Tribiño y doña Laura Díez Bueso, ha pronunciado</w:t>
      </w:r>
    </w:p>
    <w:p w14:paraId="67C1F84D" w14:textId="4A78CE8C" w:rsidR="003754FE" w:rsidRDefault="003754FE" w:rsidP="003754FE">
      <w:pPr>
        <w:pStyle w:val="TextoNormal"/>
      </w:pPr>
    </w:p>
    <w:p w14:paraId="51FD0F9E" w14:textId="77777777" w:rsidR="003754FE" w:rsidRDefault="003754FE" w:rsidP="003754FE">
      <w:pPr>
        <w:pStyle w:val="TextoNormalCentrado"/>
        <w:keepNext/>
      </w:pPr>
      <w:r>
        <w:t>EN NOMBRE DEL REY</w:t>
      </w:r>
    </w:p>
    <w:p w14:paraId="7179293B" w14:textId="502FB9F0" w:rsidR="003754FE" w:rsidRDefault="003754FE" w:rsidP="003754FE">
      <w:pPr>
        <w:pStyle w:val="TextoNormalCentrado"/>
        <w:keepNext/>
      </w:pPr>
    </w:p>
    <w:p w14:paraId="485F6560" w14:textId="77777777" w:rsidR="003754FE" w:rsidRDefault="003754FE" w:rsidP="003754FE">
      <w:pPr>
        <w:pStyle w:val="TextoNormalCentrado"/>
        <w:keepNext/>
      </w:pPr>
    </w:p>
    <w:p w14:paraId="63899FDA" w14:textId="77777777" w:rsidR="003754FE" w:rsidRDefault="003754FE" w:rsidP="003754FE">
      <w:pPr>
        <w:pStyle w:val="TextoNormal"/>
      </w:pPr>
      <w:r>
        <w:t>la siguiente</w:t>
      </w:r>
    </w:p>
    <w:p w14:paraId="05BDB2E8" w14:textId="59852281" w:rsidR="003754FE" w:rsidRDefault="003754FE" w:rsidP="003754FE">
      <w:pPr>
        <w:pStyle w:val="TextoNormal"/>
      </w:pPr>
    </w:p>
    <w:p w14:paraId="28E3918D" w14:textId="77777777" w:rsidR="003754FE" w:rsidRDefault="003754FE" w:rsidP="003754FE">
      <w:pPr>
        <w:pStyle w:val="TextoNormalCentrado"/>
        <w:keepNext/>
      </w:pPr>
      <w:r>
        <w:t>SENTENCIA</w:t>
      </w:r>
    </w:p>
    <w:p w14:paraId="0A414AAD" w14:textId="05DA75BD" w:rsidR="003754FE" w:rsidRDefault="003754FE" w:rsidP="003754FE">
      <w:pPr>
        <w:pStyle w:val="TextoNormalCentrado"/>
        <w:keepNext/>
      </w:pPr>
    </w:p>
    <w:p w14:paraId="5950F496" w14:textId="77777777" w:rsidR="003754FE" w:rsidRDefault="003754FE" w:rsidP="003754FE">
      <w:pPr>
        <w:pStyle w:val="TextoNormal"/>
      </w:pPr>
      <w:r>
        <w:t>En el recurso de amparo núm. 7630-2022, promovido por don Rochdi Abdeselam Abdel Lah contra los autos de 26 de septiembre de 2022 y núm. 617/2022, de 18 de octubre, y contra la providencia de 17 de octubre de 2022 de la Sección Primera, en pleno, de la Sala de lo Penal de la Audiencia Nacional, dictados en el rollo de apelación núm. 302-2022. Ha intervenido el Ministerio Fiscal. Ha sido ponente la magistrada doña María Luisa Balaguer Callejón.</w:t>
      </w:r>
    </w:p>
    <w:p w14:paraId="64A9A78F" w14:textId="754B0021" w:rsidR="003754FE" w:rsidRDefault="003754FE" w:rsidP="003754FE">
      <w:pPr>
        <w:pStyle w:val="TextoNormal"/>
      </w:pPr>
    </w:p>
    <w:p w14:paraId="33F5C6F5" w14:textId="77777777" w:rsidR="003754FE" w:rsidRDefault="003754FE" w:rsidP="003754FE">
      <w:pPr>
        <w:pStyle w:val="TextoNormalNegritaCentrado"/>
        <w:keepNext/>
      </w:pPr>
      <w:r>
        <w:t>I. Antecedentes</w:t>
      </w:r>
    </w:p>
    <w:p w14:paraId="6AE2FBB6" w14:textId="20DF5CBF" w:rsidR="003754FE" w:rsidRDefault="003754FE" w:rsidP="003754FE">
      <w:pPr>
        <w:pStyle w:val="TextoNormalNegritaCentrado"/>
        <w:keepNext/>
      </w:pPr>
    </w:p>
    <w:p w14:paraId="39BDC7D9" w14:textId="1EC49CB7" w:rsidR="003754FE" w:rsidRDefault="003754FE" w:rsidP="003754FE">
      <w:pPr>
        <w:pStyle w:val="TextoNormal"/>
      </w:pPr>
      <w:r w:rsidRPr="003754FE">
        <w:rPr>
          <w:rStyle w:val="NumeroAFNegritaCaracter"/>
        </w:rPr>
        <w:t>1</w:t>
      </w:r>
      <w:r>
        <w:t>. Don Rochdi Abdeselam Abdel Lah, representado por la procuradora de los tribunales doña Gema Carmen de Luis Sánchez y asistido de la abogada doña Alicia Moreno Pérez, interpuso recurso de amparo contra las resoluciones que se mencionan en el encabezamiento, mediante escrito presentado en el registro electrónico de este tribunal el 20 de noviembre de 2022.</w:t>
      </w:r>
    </w:p>
    <w:p w14:paraId="220E7A7D" w14:textId="77777777" w:rsidR="003754FE" w:rsidRDefault="003754FE" w:rsidP="003754FE">
      <w:pPr>
        <w:pStyle w:val="TextoNormal"/>
      </w:pPr>
    </w:p>
    <w:p w14:paraId="0B315B48" w14:textId="77777777" w:rsidR="003754FE" w:rsidRDefault="003754FE" w:rsidP="003754FE">
      <w:pPr>
        <w:pStyle w:val="TextoNormal"/>
      </w:pPr>
      <w:r w:rsidRPr="003754FE">
        <w:rPr>
          <w:rStyle w:val="NumeroAFNegritaCaracter"/>
        </w:rPr>
        <w:t>2</w:t>
      </w:r>
      <w:r>
        <w:t>. Los antecedentes relevantes para resolver el recurso son los siguientes:</w:t>
      </w:r>
    </w:p>
    <w:p w14:paraId="0F1C69AA" w14:textId="77777777" w:rsidR="003754FE" w:rsidRDefault="003754FE" w:rsidP="003754FE">
      <w:pPr>
        <w:pStyle w:val="TextoNormal"/>
      </w:pPr>
    </w:p>
    <w:p w14:paraId="7962B386" w14:textId="77777777" w:rsidR="003754FE" w:rsidRDefault="003754FE" w:rsidP="003754FE">
      <w:pPr>
        <w:pStyle w:val="TextoNormal"/>
      </w:pPr>
      <w:r>
        <w:t>a) El Juzgado Central de Vigilancia Penitenciaria, mediante auto núm. 1393/2022, de 5 de abril, dictado en el expediente sobre clasificación de grado núm. 4-2021, desestimó el recurso que el demandante de amparo, interno en el centro penitenciario de A Lama (Pontevedra), interpuso contra la resolución de la Secretaría General de Instituciones Penitenciarias de 22 de noviembre de 2021, que decidió su continuidad en el primer grado de clasificación penitenciaria.</w:t>
      </w:r>
    </w:p>
    <w:p w14:paraId="1965F820" w14:textId="77777777" w:rsidR="003754FE" w:rsidRDefault="003754FE" w:rsidP="003754FE">
      <w:pPr>
        <w:pStyle w:val="TextoNormal"/>
      </w:pPr>
    </w:p>
    <w:p w14:paraId="4DC90B73" w14:textId="77777777" w:rsidR="003754FE" w:rsidRDefault="003754FE" w:rsidP="003754FE">
      <w:pPr>
        <w:pStyle w:val="TextoNormal"/>
      </w:pPr>
      <w:r>
        <w:t>b) La abogada del interno, que firma también la demanda de amparo, recurrió en apelación dicho auto e interesó la progresión del recurrente al segundo grado del tratamiento penitenciario.</w:t>
      </w:r>
    </w:p>
    <w:p w14:paraId="206B0B9C" w14:textId="77777777" w:rsidR="003754FE" w:rsidRDefault="003754FE" w:rsidP="003754FE">
      <w:pPr>
        <w:pStyle w:val="TextoNormal"/>
      </w:pPr>
    </w:p>
    <w:p w14:paraId="5DAED374" w14:textId="77777777" w:rsidR="003754FE" w:rsidRDefault="003754FE" w:rsidP="003754FE">
      <w:pPr>
        <w:pStyle w:val="TextoNormal"/>
      </w:pPr>
      <w:r>
        <w:t>Por diligencia de ordenación de 31 de mayo de 2022 de la letrada de la administración de justicia de la Sección Primera de la Sala de lo Penal de la Audiencia Nacional se dispuso la sustanciación del recurso de apelación núm. 302-2022, se designó un magistrado ponente y dos magistrados para formar sala (un magistrado y una magistrada) y se señaló para la deliberación y fallo del recurso el día 9 de junio de 2022.</w:t>
      </w:r>
    </w:p>
    <w:p w14:paraId="023383BE" w14:textId="77777777" w:rsidR="003754FE" w:rsidRDefault="003754FE" w:rsidP="003754FE">
      <w:pPr>
        <w:pStyle w:val="TextoNormal"/>
      </w:pPr>
    </w:p>
    <w:p w14:paraId="69242482" w14:textId="77777777" w:rsidR="003754FE" w:rsidRDefault="003754FE" w:rsidP="003754FE">
      <w:pPr>
        <w:pStyle w:val="TextoNormal"/>
      </w:pPr>
      <w:r>
        <w:t>La citada Sección Primera, compuesta por el mismo ponente, aunque por un magistrado y una magistrada distintos de los designados en la diligencia de ordenación, mediante auto núm. 508/2022, de 28 de julio, estimó el recurso. Este auto se notificó al recurrente y al Ministerio Fiscal y no fue objeto de impugnación o solicitud de aclaración.</w:t>
      </w:r>
    </w:p>
    <w:p w14:paraId="5F4A1A4E" w14:textId="77777777" w:rsidR="003754FE" w:rsidRDefault="003754FE" w:rsidP="003754FE">
      <w:pPr>
        <w:pStyle w:val="TextoNormal"/>
      </w:pPr>
    </w:p>
    <w:p w14:paraId="6F2C78FE" w14:textId="77777777" w:rsidR="003754FE" w:rsidRDefault="003754FE" w:rsidP="003754FE">
      <w:pPr>
        <w:pStyle w:val="TextoNormal"/>
      </w:pPr>
      <w:r>
        <w:t>Resuelto el recurso, el Juzgado Central de Vigilancia Penitencia, recibió las actuaciones procedentes de la Sección Primera y, por diligencia de ordenación de 6 de septiembre de 2022, unió el testimonio del auto y acordó comunicar la resolución al centro penitenciario para su cumplimento y, una vez verificado, archivar el expediente sin más trámites.</w:t>
      </w:r>
    </w:p>
    <w:p w14:paraId="364C308D" w14:textId="77777777" w:rsidR="003754FE" w:rsidRDefault="003754FE" w:rsidP="003754FE">
      <w:pPr>
        <w:pStyle w:val="TextoNormal"/>
      </w:pPr>
    </w:p>
    <w:p w14:paraId="676317CC" w14:textId="77777777" w:rsidR="003754FE" w:rsidRDefault="003754FE" w:rsidP="003754FE">
      <w:pPr>
        <w:pStyle w:val="TextoNormal"/>
      </w:pPr>
      <w:r>
        <w:t>c) El 26 de agosto de 2022 la Sala de Vacaciones de la Sección Primera de la Sala de lo Penal de la Audiencia Nacional, compuesta por dos magistrados y una magistrada diferentes de los firmantes del auto núm. 508/2022, de 28 de julio, dictó la providencia siguiente: “Dada cuenta; apareciendo firmado el auto por una composición del tribunal diferente de la establecida, conforme a las normas de reparto, en la diligencia de ordenación dictada en este rollo de apelación, dese traslado al Ministerio Fiscal y a la defensa del interno para que en el plazo de cinco días puedan instar lo que consideren procedente”.</w:t>
      </w:r>
    </w:p>
    <w:p w14:paraId="6AA6BE2E" w14:textId="77777777" w:rsidR="003754FE" w:rsidRDefault="003754FE" w:rsidP="003754FE">
      <w:pPr>
        <w:pStyle w:val="TextoNormal"/>
      </w:pPr>
    </w:p>
    <w:p w14:paraId="44B6609B" w14:textId="77777777" w:rsidR="003754FE" w:rsidRDefault="003754FE" w:rsidP="003754FE">
      <w:pPr>
        <w:pStyle w:val="TextoNormal"/>
      </w:pPr>
      <w:r>
        <w:t>La defensa del recurrente, en su escrito de 5 de septiembre de 2022, se dio por enterada, “no teniendo nada que alegar respecto de la firma del auto dictado en el presente rollo”. El fiscal, en su escrito de 7 de septiembre, interesó que se acordase “la nulidad del auto dictado por la ‘Sala de Vacaciones’, de conformidad con los arts. 180, 238.1, 240 y 241 LOPJ [Ley Orgánica 6/1985, de 1 de julio, del Poder Judicial]”. Por diligencia de ordenación del día siguiente, 8 de septiembre, se tuvieron por recibidos dichos escritos y se dejaron los autos pendientes de dictar resolución.</w:t>
      </w:r>
    </w:p>
    <w:p w14:paraId="0A2BA7FF" w14:textId="77777777" w:rsidR="003754FE" w:rsidRDefault="003754FE" w:rsidP="003754FE">
      <w:pPr>
        <w:pStyle w:val="TextoNormal"/>
      </w:pPr>
    </w:p>
    <w:p w14:paraId="0EC52119" w14:textId="77777777" w:rsidR="003754FE" w:rsidRDefault="003754FE" w:rsidP="003754FE">
      <w:pPr>
        <w:pStyle w:val="TextoNormal"/>
      </w:pPr>
      <w:r>
        <w:t>A la vista de la anterior diligencia la defensa presentó escrito de 19 de septiembre para poner de manifiesto que, si el fiscal estaba solicitando la nulidad del auto, resultaba necesario incoar un incidente de nulidad de actuaciones con el preceptivo traslado para alegaciones antes de dictar cualquier resolución. Adelantaba, además, su oposición a la pretensión anulatoria porque: (i) partiendo de que al fiscal se le notificó el auto en la misma fecha que a esa parte (29 de julio de 2022) y que en la resolución constaba la identidad de quienes la suscribieron, por aquel no se alegó ningún motivo de impugnación por los medios legalmente establecidos; no podía venir entonces invocando una nulidad no razonada en virtud de una providencia dictada por la Sala de Vacaciones en tiempo inhábil cuando el recurrente disfrutaba en aquellos momentos del segundo grado; (ii) el auto no fue dictado por la Sala de Vacaciones, como se afirmaba por el fiscal, sino el 28 de julio durante el período ordinario de actividad judicial (art. 179 LOPJ); (iii) la parte había efectuado “las comprobaciones necesarias para confirmar que […] por la razón que fuera y como sucede con frecuencia, la Sección no deliberó el recurso que nos ocupa en la fecha señalada (9 de junio) con el tribunal designado”, sino que “el recurso fue deliberado por los magistrados que firman el auto en la fecha del mismo”; (iv) el tribunal que dictó el auto lo hizo con “plena jurisdicción y competencia objetiva y funcional para hacerlo con independencia de que en este caso (suponemos que no es el único) no se haya producido conforme a las reglas, internas, de reparto de asuntos lo que no tiene nada que ver con la competencia objetiva y/o funcional de un tribunal y en consecuencia nunca puede llamar a la nulidad de pleno Derecho que parece invocarse”.</w:t>
      </w:r>
    </w:p>
    <w:p w14:paraId="208AC560" w14:textId="77777777" w:rsidR="003754FE" w:rsidRDefault="003754FE" w:rsidP="003754FE">
      <w:pPr>
        <w:pStyle w:val="TextoNormal"/>
      </w:pPr>
    </w:p>
    <w:p w14:paraId="75DAEEF0" w14:textId="77777777" w:rsidR="003754FE" w:rsidRDefault="003754FE" w:rsidP="003754FE">
      <w:pPr>
        <w:pStyle w:val="TextoNormal"/>
      </w:pPr>
      <w:r>
        <w:t>Por providencia de 21 de septiembre de 2022 se tuvieron por hechas las manifestaciones del anterior escrito y, “[c]on el fin de conformar unidad de criterio que garantice la seguridad jurídica”, se señaló el día 23 de septiembre de 2022 para la deliberación “por la Sala compuesta por la totalidad de los magistrados/as de esta Sección Primera”.</w:t>
      </w:r>
    </w:p>
    <w:p w14:paraId="7A6D06A1" w14:textId="77777777" w:rsidR="003754FE" w:rsidRDefault="003754FE" w:rsidP="003754FE">
      <w:pPr>
        <w:pStyle w:val="TextoNormal"/>
      </w:pPr>
    </w:p>
    <w:p w14:paraId="09D376E1" w14:textId="77777777" w:rsidR="003754FE" w:rsidRDefault="003754FE" w:rsidP="003754FE">
      <w:pPr>
        <w:pStyle w:val="TextoNormal"/>
      </w:pPr>
      <w:r>
        <w:t xml:space="preserve">d) La Sección Primera, en pleno, integrada por tres magistrados y dos magistradas, mediante auto de 26 de septiembre de 2022, declaró la nulidad del auto núm. 508/2022, de 28 de julio, “tal y como interesa el Ministerio Fiscal, de conformidad con el art. 241 de la LOPJ”, al considerar vulnerado el derecho al juez ordinario predeterminado por la ley </w:t>
      </w:r>
      <w:r>
        <w:lastRenderedPageBreak/>
        <w:t>reconocido en el art. 24.2 CE (fundamento jurídico 3 del auto). Dispuso así reponer “las actuaciones al momento procesal inmediatamente anterior a su firma [la del auto anulado]”, indicando que contra la resolución anulatoria no cabía recurso alguno (art. 241 LOPJ).</w:t>
      </w:r>
    </w:p>
    <w:p w14:paraId="3BF70BCD" w14:textId="77777777" w:rsidR="003754FE" w:rsidRDefault="003754FE" w:rsidP="003754FE">
      <w:pPr>
        <w:pStyle w:val="TextoNormal"/>
      </w:pPr>
    </w:p>
    <w:p w14:paraId="051BC370" w14:textId="77777777" w:rsidR="003754FE" w:rsidRDefault="003754FE" w:rsidP="003754FE">
      <w:pPr>
        <w:pStyle w:val="TextoNormal"/>
      </w:pPr>
      <w:r>
        <w:t>El auto de 26 de septiembre de 2022, tras recordar la doctrina constitucional de aquel derecho mediante un breve extracto del fundamento jurídico 8 de la STC 83/2022, de 27 de junio, afirmaba que una vez realizada la designación de los componentes de un tribunal con arreglo a las normas de reparto aprobadas por la Sala de Gobierno, “es ese mismo tribunal designado el único competente para resolver el asunto, como culminación de la garantía constitucional del juez ordinario predeterminado por ley” (FJ 1). Y tal garantía no había sido respetada debido a “[l]a selección de hecho por el magistrado ponente de los integrantes del tribunal que resolvió el recurso”, como consecuencia de su tardanza en proponer su resolución al resto de miembros para su aprobación, tardanza que no se podía aceptar como motivo para cambiar un tribunal designado con reglas objetivas, pues ello implicaría “dejar en manos del magistrado ponente” su composición. Distinto sería si el asunto, cuando se registra, exige una resolución urgente y están ausentes todos o parte de los miembros que deben resolverlo, en cuyo caso sí que operaría la sustitución —regida por normas objetivas que continúan garantizando el derecho al juez ordinario predeterminado por la ley— de los titulares por otros de la misma o distinta sección. Pero ese no era el caso, dado que el recurso de apelación “tuvo entrada cuando estaban presentes el magistrado y la magistrada a los que correspondía por normas de reparto conocer el recurso junto al ponente” (FJ 2).</w:t>
      </w:r>
    </w:p>
    <w:p w14:paraId="52C68880" w14:textId="77777777" w:rsidR="003754FE" w:rsidRDefault="003754FE" w:rsidP="003754FE">
      <w:pPr>
        <w:pStyle w:val="TextoNormal"/>
      </w:pPr>
    </w:p>
    <w:p w14:paraId="6FC92168" w14:textId="77777777" w:rsidR="003754FE" w:rsidRDefault="003754FE" w:rsidP="003754FE">
      <w:pPr>
        <w:pStyle w:val="TextoNormal"/>
      </w:pPr>
      <w:r>
        <w:t>Finalmente, el auto rechazaba las alegaciones del escrito de la defensa de 19 de septiembre porque: (i) “[e]l auto cuya nulidad se declara no es susceptible de recurso ordinario alguno, por lo que nunca podía el Ministerio Fiscal alegar el motivo de nulidad a través de los recursos legalmente establecidos”; (ii) es irrelevante que el fiscal atribuyese a la Sala de Vacaciones haber dictado el auto cuya nulidad se decreta, al tratarse de una mención incorrecta que “en nada afecta al motivo de nulidad palmario que concurre”, como tampoco lo afecta el que “se dictara por la Sala de Vacaciones una providencia de mera tramitación, que no decide cuestión alguna y se limita a dar audiencia a las partes sobre las circunstancias concurrentes, lo que podría haberse efectuado por una mera diligencia de ordenación”; y (iii) “es evidente que no se trata de una cuestión que afecte a la jurisdicción y competencia de la Sección Primera de la Sala de lo Penal de la Audiencia Nacional, sino a la vulneración de las reglas objetivas que garantizan el cumplimiento del derecho constitucional al juez ordinario predeterminado por la ley”.</w:t>
      </w:r>
    </w:p>
    <w:p w14:paraId="1362463A" w14:textId="77777777" w:rsidR="003754FE" w:rsidRDefault="003754FE" w:rsidP="003754FE">
      <w:pPr>
        <w:pStyle w:val="TextoNormal"/>
      </w:pPr>
    </w:p>
    <w:p w14:paraId="757E944C" w14:textId="77777777" w:rsidR="003754FE" w:rsidRDefault="003754FE" w:rsidP="003754FE">
      <w:pPr>
        <w:pStyle w:val="TextoNormal"/>
      </w:pPr>
      <w:r>
        <w:t xml:space="preserve">Al auto anulatorio se formularon dos votos particulares discrepantes correspondientes a dos de los magistrados que firmaron el auto núm. 508/2022, de 28 de julio, que fue anulado: la magistrada y el ponente. La magistrada exponía: (i) que el auto anulado no fue dictado por la Sala de Vacaciones, que entraba en funcionamiento el mes de agosto; (ii) que tanto el magistrado ponente como ella tenían plena jurisdicción y competencia objetiva y funcional para resolver los recursos de apelación procedentes del Juzgado Central de Vigilancia Penitenciaria (art. 65.6 LOPJ), al ser titulares de la Sección Primera a la que se atribuye su resolución; (iii) que la presencia de un componente ajeno a la Sección Primera para formar sala se debió a que tres de los cinco magistrados que la integraban se hallaban de vacaciones; (iv) que las vacaciones alteraban la composición ordinaria de los tribunales preestablecida en las normas de reparto (art. 207 LOPJ) por lo que sus componentes debían ser sustituidos conforme a las normas previstas, tal y como fue el caso, en que la Sala se completó con un </w:t>
      </w:r>
      <w:r>
        <w:lastRenderedPageBreak/>
        <w:t>magistrado titular de la Sala de lo Penal que no estaba ausente por vacaciones, “como es práctica habitual en los meses de verano, no solo en el mes de agosto en el que existe la previsión de la Sala de Vacaciones, sino a finales de julio y a principios de septiembre”; (v) el recurso “nunca llegó a ser deliberado por el tribunal originalmente designado, pues así lo afirma el auto de la mayoría, [sino que] fue deliberado por el tribunal que firmó el auto de 28 de julio”, cuando lo sometió el ponente designado, que se había retrasado respecto de la fecha inicial que se había señalado para deliberar.</w:t>
      </w:r>
    </w:p>
    <w:p w14:paraId="32B3590D" w14:textId="77777777" w:rsidR="003754FE" w:rsidRDefault="003754FE" w:rsidP="003754FE">
      <w:pPr>
        <w:pStyle w:val="TextoNormal"/>
      </w:pPr>
    </w:p>
    <w:p w14:paraId="0B87168D" w14:textId="77777777" w:rsidR="003754FE" w:rsidRDefault="003754FE" w:rsidP="003754FE">
      <w:pPr>
        <w:pStyle w:val="TextoNormal"/>
      </w:pPr>
      <w:r>
        <w:t>El voto particular del magistrado ponente del auto anulado sintetizaba su posición en que: (i) la nulidad que se acordaba no respondía a ninguno de los motivos de nulidad previstos en los arts. 238 y ss. LOPJ, ya que no se trataba de un auto dictado por la “Sala de Vacaciones”, como el fiscal aducía erróneamente sin alegar ninguna otra razón de nulidad; (ii) la nulidad no respetaba los requisitos procesales de los arts. 240 y 241 LOPJ, al haberse decretado tras un “atípico incidente de nulidad de actuaciones”, iniciado improcedentemente por la Sala de Vacaciones de oficio, sin que ninguna parte legítima lo hubiese instado pese a que todas conocían la identidad de los firmantes del auto, en tiempo inhábil y con invasión de las competencias del tribunal ordinario al tratarse de una actuación no urgente (art. 180 LOPJ) y sin que la defensa hubiera podido formular alegaciones específicas, a pesar de haberlo solicitado; (iii) trasgredía de forma palmaria el principio de seguridad jurídica y de invariabilidad de las resoluciones judiciales firmes; y (iv) podía causar graves perjuicios a la parte, puesto que se anulaba una resolución que estaba siendo ejecutada con plenos efectos jurídicos.</w:t>
      </w:r>
    </w:p>
    <w:p w14:paraId="31514B02" w14:textId="77777777" w:rsidR="003754FE" w:rsidRDefault="003754FE" w:rsidP="003754FE">
      <w:pPr>
        <w:pStyle w:val="TextoNormal"/>
      </w:pPr>
    </w:p>
    <w:p w14:paraId="7691123B" w14:textId="77777777" w:rsidR="003754FE" w:rsidRDefault="003754FE" w:rsidP="003754FE">
      <w:pPr>
        <w:pStyle w:val="TextoNormal"/>
      </w:pPr>
      <w:r>
        <w:t>Según este voto, “la resolución que se anula por la mayoría de la Sala fue dictada por el tribunal competente ordinario establecido por la ley”, que estuvo integrado por la magistrada más antigua de la Sección y por un magistrado de la Sala, al hallarse de vacaciones la mayoría de los miembros de la Sección, en cumplimiento de las normas de sustitución previstas en los arts. 198.2 y 207 y ss. LOPJ y en el acuerdo de 13 de enero de 2022, de la Comisión Permanente del Consejo General del Poder Judicial, por el que se publica el acuerdo de la Sala de Gobierno de la Audiencia Nacional relativo a las normas sobre composición y funcionamiento de las Secciones de cada una de las Salas y sobre asignación de ponencias (“Boletín Oficial del Estado” de 1 de febrero de 2022). La resolución anulada no se deliberó por el tribunal inicialmente designado en la diligencia de ordenación, pero ni los magistrados son “propietarios” de los asuntos que las normas de reparto les atribuyen, ni las partes tienen “el derecho subjetivo […] a una composición fija y perenne de un tribunal, […] sino que su derecho es el de acceso a un tribunal de composición regular” conforme a las normas de reparto y, en su caso, de sustitución, tal y como sucedió en este caso. La “costumbre” de la Sección Primera es la de deliberar “cuando el ponente pasa al resto del tribunal una propuesta de resolución que firman de estar de acuerdo con ella o, de no estarlo, queda entonces para su deliberación formal”. Continúa el voto exponiendo que “para evitar que el recurso se quedara pendiente de resolver durante el mes de agosto” la propuesta se presentó al tribunal el 28 de julio de 2022 y ese día se deliberó y aprobó el auto, por un tribunal “con plenitud de competencia jurisdiccional […] sirviendo la propia resolución dictada como puesta en conocimiento de las partes del cambio de composición de tribunal por razones de servicio, y ello sin perjuicio de que las partes pudieran manifestar si a su derecho convenía, tras serles notificado el auto, posibles causas de oposición o recusación” si bien, notificado dicho auto, ni el fiscal ni la defensa manifestaron ningún reparo, “cobrando la resolución firmeza inmediata, siendo inmediatamente ejecutivo y poniendo fin al proceso”.</w:t>
      </w:r>
    </w:p>
    <w:p w14:paraId="4E9A2E45" w14:textId="77777777" w:rsidR="003754FE" w:rsidRDefault="003754FE" w:rsidP="003754FE">
      <w:pPr>
        <w:pStyle w:val="TextoNormal"/>
      </w:pPr>
    </w:p>
    <w:p w14:paraId="40ABB146" w14:textId="77777777" w:rsidR="003754FE" w:rsidRDefault="003754FE" w:rsidP="003754FE">
      <w:pPr>
        <w:pStyle w:val="TextoNormal"/>
      </w:pPr>
      <w:r>
        <w:t>e) Contra el auto de 26 de septiembre de 2022 el demandante promovió, mediante escrito de 13 de octubre, incidente de nulidad de actuaciones (art. 241 LOPJ), en el que alegó que dicho auto vulneraba su derecho “del art. 24.1 CE (tutela judicial efectiva), en particular en su manifestación de intangibilidad de las resoluciones judiciales firmes”, y afectaba a “las garantías jurídicas con infracción del principio de seguridad jurídica”, en términos que se reiteran en la demanda de amparo y que se exponen en el antecedente tercero de esta sentencia. Interesó su anulación y la reposición de las actuaciones al momento procesal inmediatamente anterior a su dictado.</w:t>
      </w:r>
    </w:p>
    <w:p w14:paraId="0024E62F" w14:textId="77777777" w:rsidR="003754FE" w:rsidRDefault="003754FE" w:rsidP="003754FE">
      <w:pPr>
        <w:pStyle w:val="TextoNormal"/>
      </w:pPr>
    </w:p>
    <w:p w14:paraId="0074C2B8" w14:textId="77777777" w:rsidR="003754FE" w:rsidRDefault="003754FE" w:rsidP="003754FE">
      <w:pPr>
        <w:pStyle w:val="TextoNormal"/>
      </w:pPr>
      <w:r>
        <w:t>f) La Sección Primera, en pleno, mediante providencia de 17 de octubre de 2022, inadmitió de plano el incidente al considerar que lo que se planteaba era una “discrepancia” con la nulidad de actuaciones acordada. El magistrado ponente del auto anulado formuló nuevo voto particular discrepante por los motivos siguientes: (i) la providencia estaba fechada el 17 de octubre, en que fue redactada, aunque la deliberación tuvo lugar al día siguiente; y (ii) “[d]e la simple lectura del escrito en el que se plantea el incidente se aprecia que en el mismo no se están combatiendo los argumentos por los que se decreta la nulidad en el auto a que se refiere, sino que expone las infracciones de derechos fundamentales que se producen en dicha resolución”, que son infracciones “graves” que “también fueron puestas de manifiesto” en el anterior voto particular, a cuyo contenido se remitía.</w:t>
      </w:r>
    </w:p>
    <w:p w14:paraId="41694B6D" w14:textId="77777777" w:rsidR="003754FE" w:rsidRDefault="003754FE" w:rsidP="003754FE">
      <w:pPr>
        <w:pStyle w:val="TextoNormal"/>
      </w:pPr>
    </w:p>
    <w:p w14:paraId="138B9412" w14:textId="7F728F8C" w:rsidR="003754FE" w:rsidRDefault="003754FE" w:rsidP="003754FE">
      <w:pPr>
        <w:pStyle w:val="TextoNormal"/>
      </w:pPr>
      <w:r>
        <w:t>g) La Sección Primera, en pleno, de la Sala de lo Penal de la Audiencia Nacional, tras su auto de 26 de septiembre de 2022, dictó el auto núm. 617/2022, de 18 de octubre —con los votos particulares discrepantes del magistrado y la magistrada que formularon voto particular al primero—, y desestimó el recurso de apelación que el demandante interpuso contra el auto núm. 1393/2022, de 5 de abril, del Juzgado Central de Vigilancia Penitenciaria, que confirmó la resolución administrativa que acordaba su continuación en el primer grado.</w:t>
      </w:r>
    </w:p>
    <w:p w14:paraId="5714CECC" w14:textId="77777777" w:rsidR="003754FE" w:rsidRDefault="003754FE" w:rsidP="003754FE">
      <w:pPr>
        <w:pStyle w:val="TextoNormal"/>
      </w:pPr>
    </w:p>
    <w:p w14:paraId="0BC367E7" w14:textId="77777777" w:rsidR="003754FE" w:rsidRDefault="003754FE" w:rsidP="003754FE">
      <w:pPr>
        <w:pStyle w:val="TextoNormal"/>
      </w:pPr>
      <w:r w:rsidRPr="003754FE">
        <w:rPr>
          <w:rStyle w:val="NumeroAFNegritaCaracter"/>
        </w:rPr>
        <w:t>3</w:t>
      </w:r>
      <w:r>
        <w:t>. La demanda de amparo, tras exponer los antecedentes y los requisitos procesales del recurso, denuncia que las resoluciones impugnadas produjeron “vulneración de los derechos fundamentales a la tutela judicial efectiva y a las garantías del proceso debido consagrados en el art. 24.1 y 2 CE causando indefensión, y afectación del principio de seguridad jurídica protegido por el art. 9.3 de la CE”. La vulneración de tales derechos trae causa, según el recurrente, de haberse prescindido de las normas esenciales que disciplinan el incidente de nulidad de actuaciones (art. 241 LOPJ), de no haberse obtenido una resolución jurídicamente motivada y de no haberse respetado el derecho a la intangibilidad de las resoluciones judiciales firmes. Con relación a este último derecho, el recurrente destaca que la especial trascendencia constitucional del recurso reside en lo insólito de un caso que no tiene precedentes cuya resolución de fondo contribuiría a la general eficacia de este derecho fundamental profundizando sobre los “cauces y recursos que pueden legitimar la tangibilidad de una resolución firme”.</w:t>
      </w:r>
    </w:p>
    <w:p w14:paraId="5BE1583E" w14:textId="77777777" w:rsidR="003754FE" w:rsidRDefault="003754FE" w:rsidP="003754FE">
      <w:pPr>
        <w:pStyle w:val="TextoNormal"/>
      </w:pPr>
    </w:p>
    <w:p w14:paraId="23AFDB7F" w14:textId="77777777" w:rsidR="003754FE" w:rsidRDefault="003754FE" w:rsidP="003754FE">
      <w:pPr>
        <w:pStyle w:val="TextoNormal"/>
      </w:pPr>
      <w:r>
        <w:t>a) Para el demandante la citada concatenación de infracciones se inició por la Sala de Vacaciones de la Sección Primera de la Sala de lo Penal de la Audiencia Nacional al tramitar de oficio un incidente de nulidad de actuaciones “atípico”, que desembocó en el mantenimiento de su clasificación en el primer grado penitenciario, a pesar de haberse acordado su progresión en grado en resolución firme.</w:t>
      </w:r>
    </w:p>
    <w:p w14:paraId="6B12507D" w14:textId="77777777" w:rsidR="003754FE" w:rsidRDefault="003754FE" w:rsidP="003754FE">
      <w:pPr>
        <w:pStyle w:val="TextoNormal"/>
      </w:pPr>
    </w:p>
    <w:p w14:paraId="16848684" w14:textId="77777777" w:rsidR="003754FE" w:rsidRDefault="003754FE" w:rsidP="003754FE">
      <w:pPr>
        <w:pStyle w:val="TextoNormal"/>
      </w:pPr>
      <w:r>
        <w:lastRenderedPageBreak/>
        <w:t xml:space="preserve">La Sala de Vacaciones, incompetente para “hacer lo que lo hizo”, en lugar de estar a la legitimación que legalmente se atribuye a quienes hubieran sido o debido ser parte legítima en el procedimiento para promover el incidente, dictó providencia de 26 de agosto de 2022 en la que dio trámite a las partes para alegar sobre el hecho de que el auto estimatorio de la apelación apareciese firmado por una composición del tribunal diferente, “como si no hubiéramos tenido conocimiento de tal circunstancia”. El fiscal, —prosigue el demandante— a “rebufo” de “tan innecesaria” providencia, emitió “un informe de dos líneas” en el que interesaba que se acordase la nulidad del auto por haber sido dictado por la Sala de Vacaciones, pero no adujo la vulneración de ningún derecho fundamental, tal y como exige el art. 241 LOPJ. Y la Sección Primera, en pleno, mediante auto de 26 de septiembre de 2022, sin atender a la petición de la parte de que se tramitase en forma el correspondiente incidente de nulidad de actuaciones con traslado para alegaciones, ni tampoco a las razones que dio en su escrito de 19 de septiembre para mantener la validez del auto estimatorio de la apelación, lo anuló al entender que vulneraba el derecho al juez ordinario predeterminado por la ley, vulneración sobre la que “nada apuntaba” el informe del fiscal y sobre la que la representación del demandante no tuvo “ocasión de decir nada, en clara indefensión”. Y, “cuando quiso decir algo al respecto (promoviendo incidente de nulidad sobre el auto de nulidad para contradecir tal cuestión, que no había sido objeto de debate porque el fiscal no lo había mencionado) nuestro representado vio despachado el incidente” con una simple providencia de inadmisión sin motivar que también vulneró su derecho a la tutela judicial efectiva (STC 153/2012, de 16 de julio, FJ 3). En fin, “la Sala acuerda la nulidad de un auto firme, ejecutivo y ejecutado, dando como razón, </w:t>
      </w:r>
      <w:r w:rsidRPr="003754FE">
        <w:rPr>
          <w:i/>
        </w:rPr>
        <w:t>ex oficio</w:t>
      </w:r>
      <w:r>
        <w:t>, la vulneración de un derecho fundamental […] que ninguna [de las partes] (ni recurrente ni fiscal) habíamos denunciado como infringido, ni alegado nos hubiese producido cualquier suerte de material indefensión”.</w:t>
      </w:r>
    </w:p>
    <w:p w14:paraId="464CBC76" w14:textId="77777777" w:rsidR="003754FE" w:rsidRDefault="003754FE" w:rsidP="003754FE">
      <w:pPr>
        <w:pStyle w:val="TextoNormal"/>
      </w:pPr>
    </w:p>
    <w:p w14:paraId="1CE9851B" w14:textId="77777777" w:rsidR="003754FE" w:rsidRDefault="003754FE" w:rsidP="003754FE">
      <w:pPr>
        <w:pStyle w:val="TextoNormal"/>
      </w:pPr>
      <w:r>
        <w:t>b) La nulidad adoptada tampoco satisface para el recurrente el derecho a una resolución motivada, puesto que el auto anulado no infringió el derecho al juez ordinario predeterminado por la ley. La resolución anulatoria aludía de manera indistinta a las normas de reparto (art. 152.1.1 LOPJ) y a los criterios de composición de los órganos colegiados (art. 152.1.2 LOPJ), sin tener en cuenta que el art. 68 de la Ley de enjuiciamiento civil (LEC) solo ordena la nulidad cuando se infringen las normas de reparto, pero no prevé lo mismo con respecto a los criterios de composición. Con cita, entre otras, de la STC 193/1996, de 26 de noviembre, FJ 1, sostiene que no se creó una nueva Sección, “sino que [se] mantuvo el órgano judicial existente, procediéndose a una reorganización en su composición para evitar la paralización de los asuntos de los que estaba conociendo, a los efectos de evitar el evidente grave daño que ello produciría, en especial a los justiciables y, en definitiva, a la sociedad”. Afirma que podría aceptar la discusión sobre si la alteración de la composición de la Sala fue irregular, pero “lo que no se nos puede discutir es que si ninguna de las partes hemos denunciado, expresamente, que los dos nuevos magistrados que entraron a componer Sala y deliberaron el recurso podían haber perturbado materialmente nuestro derecho al juez ordinario porque concurriera algún motivo de recusación o cualquier sospecha de parcialidad, parece claro que no existen los presupuestos que habilitarían y legitimarían que su decisión en firme pueda ser anulada por la vía del 241 LOPJ. Debe mantenerse intangible”.</w:t>
      </w:r>
    </w:p>
    <w:p w14:paraId="42568F16" w14:textId="77777777" w:rsidR="003754FE" w:rsidRDefault="003754FE" w:rsidP="003754FE">
      <w:pPr>
        <w:pStyle w:val="TextoNormal"/>
      </w:pPr>
    </w:p>
    <w:p w14:paraId="710D257B" w14:textId="77777777" w:rsidR="003754FE" w:rsidRDefault="003754FE" w:rsidP="003754FE">
      <w:pPr>
        <w:pStyle w:val="TextoNormal"/>
      </w:pPr>
      <w:r>
        <w:t xml:space="preserve">c) La declaración de nulidad y el subsiguiente auto núm. 617/2022, de 18 de octubre, que resolvió de nuevo el recurso de apelación del interno y confirmó su continuidad en el primer grado, cuyo acierto o no, en cuanto al fondo, es ajeno a la queja de amparo, significaron, a juicio del demandante, “la infracción de su derecho a la efectiva tutela judicial en la vertiente </w:t>
      </w:r>
      <w:r>
        <w:lastRenderedPageBreak/>
        <w:t>de ese derecho fundamental en la que se encuentra implicado el principio de invariabilidad o intangibilidad de las resoluciones judiciales, conectado con el principio de seguridad jurídica que protege el art. 9.3 de la CE”. El citado auto ahora desestimatorio de la apelación “cambió nada menos que el resultado de una resolución firme y definitiva a través de un mecanismo (nulidad excepcional) traído sin respetar las normas que regulan dicho incidente, con quiebra del derecho de esta parte a un proceso con todas las garantías causándole manifiesta indefensión como razonábamos en nuestra anterior queja. Y, además, lo hizo sobre la base de una no alegada por nadie [e inexistente] infracción del derecho al juez predeterminado por la ley”.</w:t>
      </w:r>
    </w:p>
    <w:p w14:paraId="2F8B9C14" w14:textId="77777777" w:rsidR="003754FE" w:rsidRDefault="003754FE" w:rsidP="003754FE">
      <w:pPr>
        <w:pStyle w:val="TextoNormal"/>
      </w:pPr>
    </w:p>
    <w:p w14:paraId="5B1963DE" w14:textId="107F8046" w:rsidR="003754FE" w:rsidRDefault="003754FE" w:rsidP="003754FE">
      <w:pPr>
        <w:pStyle w:val="TextoNormal"/>
      </w:pPr>
      <w:r>
        <w:t>d) La demanda termina con la solicitud de que se otorgue el amparo y se declare que las resoluciones impugnadas vulneraron los derechos alegados por el recurrente, que deberá ser restablecido en ellos mediante su anulación y el restablecimiento del auto de 28 de julio de 2022.</w:t>
      </w:r>
    </w:p>
    <w:p w14:paraId="7B544F0F" w14:textId="77777777" w:rsidR="003754FE" w:rsidRDefault="003754FE" w:rsidP="003754FE">
      <w:pPr>
        <w:pStyle w:val="TextoNormal"/>
      </w:pPr>
    </w:p>
    <w:p w14:paraId="3769642C" w14:textId="3F2611E1" w:rsidR="003754FE" w:rsidRDefault="003754FE" w:rsidP="003754FE">
      <w:pPr>
        <w:pStyle w:val="TextoNormal"/>
      </w:pPr>
      <w:r w:rsidRPr="003754FE">
        <w:rPr>
          <w:rStyle w:val="NumeroAFNegritaCaracter"/>
        </w:rPr>
        <w:t>4</w:t>
      </w:r>
      <w:r>
        <w:t>. En virtud de los arts. 2.1 y 3 y 3.1 del acuerdo del Pleno del Tribunal Constitucional de 17 de enero de 2023, publicado en el “BOE” de 19 de enero de 2023, el recurso fue turnado a la Sección Cuarta de la Sala Segunda de este tribunal al conservar la magistrada la ponencia asignada, lo que fue puesto en conocimiento de las partes por diligencia de ordenación de 23 de enero de 2023 del secretario de justicia de la Sección Cuarta.</w:t>
      </w:r>
    </w:p>
    <w:p w14:paraId="4182D6C4" w14:textId="77777777" w:rsidR="003754FE" w:rsidRDefault="003754FE" w:rsidP="003754FE">
      <w:pPr>
        <w:pStyle w:val="TextoNormal"/>
      </w:pPr>
    </w:p>
    <w:p w14:paraId="71C69951" w14:textId="540C419C" w:rsidR="003754FE" w:rsidRDefault="003754FE" w:rsidP="003754FE">
      <w:pPr>
        <w:pStyle w:val="TextoNormal"/>
      </w:pPr>
      <w:r w:rsidRPr="003754FE">
        <w:rPr>
          <w:rStyle w:val="NumeroAFNegritaCaracter"/>
        </w:rPr>
        <w:t>5</w:t>
      </w:r>
      <w:r>
        <w:t>. La Sala Segunda de este tribunal, mediante providencia de 12 de febrero de 2024, admitió a trámite la demanda al apreciar que concurre en el recurso una especial trascendencia constitucional [art. 50.1 de la Ley Orgánica del Tribunal Constitucional (LOTC)] porque el recurso plantea un problema o afecta a una faceta de un derecho fundamental sobre el que no hay doctrina de este tribunal [STC 155/2009, de 25 de junio, FJ 2 a)]; y acordó dirigirse a la Sección Primera de la Sala de lo Penal de la Audiencia Nacional y al Juzgado Central de Vigilancia Penitenciaria para que remitiesen testimonio íntegro de sus respectivas actuaciones. Los órganos judiciales cumplieron lo acordado y sendas actuaciones tuvieron entrada en el registro del Tribunal los días 1 y 19 de marzo de 2024.</w:t>
      </w:r>
    </w:p>
    <w:p w14:paraId="644762CE" w14:textId="77777777" w:rsidR="003754FE" w:rsidRDefault="003754FE" w:rsidP="003754FE">
      <w:pPr>
        <w:pStyle w:val="TextoNormal"/>
      </w:pPr>
    </w:p>
    <w:p w14:paraId="09E8CD09" w14:textId="1CBB1E41" w:rsidR="003754FE" w:rsidRDefault="003754FE" w:rsidP="003754FE">
      <w:pPr>
        <w:pStyle w:val="TextoNormal"/>
      </w:pPr>
      <w:r w:rsidRPr="003754FE">
        <w:rPr>
          <w:rStyle w:val="NumeroAFNegritaCaracter"/>
        </w:rPr>
        <w:t>6</w:t>
      </w:r>
      <w:r>
        <w:t>. El secretario de justicia de la Sección Cuarta de este tribunal, por diligencia de ordenación de 21 de marzo de 2024, conforme a lo dispuesto en el art. 52.1 LOTC, acordó dar vista de las actuaciones recibidas al recurrente y al Ministerio Fiscal por un plazo común de veinte días para presentar alegaciones.</w:t>
      </w:r>
    </w:p>
    <w:p w14:paraId="5F63C420" w14:textId="77777777" w:rsidR="003754FE" w:rsidRDefault="003754FE" w:rsidP="003754FE">
      <w:pPr>
        <w:pStyle w:val="TextoNormal"/>
      </w:pPr>
    </w:p>
    <w:p w14:paraId="3C51599F" w14:textId="77777777" w:rsidR="003754FE" w:rsidRDefault="003754FE" w:rsidP="003754FE">
      <w:pPr>
        <w:pStyle w:val="TextoNormal"/>
      </w:pPr>
      <w:r w:rsidRPr="003754FE">
        <w:rPr>
          <w:rStyle w:val="NumeroAFNegritaCaracter"/>
        </w:rPr>
        <w:t>7</w:t>
      </w:r>
      <w:r>
        <w:t>. El fiscal ante el Tribunal Constitucional, en su escrito presentado el 23 de mayo de 2024, tras exponer los antecedentes y verificar el cumplimiento de los requisitos procesales del recurso, sostiene que se ha vulnerado el derecho a la tutela judicial efectiva del recurrente en su triple vertiente de derecho a la tutela judicial sin indefensión, a obtener una respuesta jurídicamente fundada y a la intangibilidad de las resoluciones judiciales.</w:t>
      </w:r>
    </w:p>
    <w:p w14:paraId="373AA7D7" w14:textId="77777777" w:rsidR="003754FE" w:rsidRDefault="003754FE" w:rsidP="003754FE">
      <w:pPr>
        <w:pStyle w:val="TextoNormal"/>
      </w:pPr>
    </w:p>
    <w:p w14:paraId="2F8CF85E" w14:textId="77777777" w:rsidR="003754FE" w:rsidRDefault="003754FE" w:rsidP="003754FE">
      <w:pPr>
        <w:pStyle w:val="TextoNormal"/>
      </w:pPr>
      <w:r>
        <w:t xml:space="preserve">a) La indefensión se produjo, según el fiscal —con cita, entre otras, de las SSTC 219/1999, de 29 de noviembre, FJ 2; 153/2012, de 16 de julio, FJ 3, y 266/2015, de 14 de diciembre, FJ 4—, porque se dejó al recurrente sin posibilidad de alegar sobre la supuesta vulneración del derecho al juez ordinario predeterminado por la ley, que fue el motivo por el que la Sección Primera, en pleno, de la Sala de lo Penal de la Audiencia Nacional anuló </w:t>
      </w:r>
      <w:r>
        <w:lastRenderedPageBreak/>
        <w:t>el auto que acordaba la progresión en grado del interno. El motivo de la anulación fue imprevisible para el recurrente: la Sala de Vacaciones incoó de oficio un trámite de audiencia sin especificar su objeto y el fiscal, en la respuesta a dicho trámite, tampoco denunció la vulneración de tal derecho. El recurrente, tras la respuesta del fiscal, pareció percibir que la Sección estaba iniciando un trámite para acordar la nulidad del citado auto, por lo que solicitó la incoación formal del incidente de nulidad de actuaciones conforme a lo dispuesto en el art. 241 LOPJ. Esta petición fue desatendida, al igual que lo fue el escrito del demandante promoviendo un incidente de nulidad contra el auto anulatorio, que fue inadmitido de plano mediante una providencia que infringió el canon de motivación aplicable.</w:t>
      </w:r>
    </w:p>
    <w:p w14:paraId="5FEF581D" w14:textId="77777777" w:rsidR="003754FE" w:rsidRDefault="003754FE" w:rsidP="003754FE">
      <w:pPr>
        <w:pStyle w:val="TextoNormal"/>
      </w:pPr>
    </w:p>
    <w:p w14:paraId="313F4F69" w14:textId="77777777" w:rsidR="003754FE" w:rsidRDefault="003754FE" w:rsidP="003754FE">
      <w:pPr>
        <w:pStyle w:val="TextoNormal"/>
      </w:pPr>
      <w:r>
        <w:t xml:space="preserve">b) El derecho a una resolución jurídicamente fundada (SSTC 38/2018, de 23 de abril, FJ 4, y 151/2022, de 30 de noviembre, FJ 4), a juicio del fiscal, fue infringido, en primer término, porque el auto anulatorio no observó el canon de constitucionalidad que debió aplicarse para verificar “la eventual lesión del derecho fundamental al juez ordinario predeterminado por la ley (prescindiendo, claro está, del detalle no menor y ya señalado de que nadie había invocado ese derecho, del que, obviamente, no son titulares los magistrados que forman el tribunal)”. El auto de anulación aplicó la doctrina general sobre el derecho al juez ordinario predeterminado por la ley —que el fiscal recuerda con cita de la STC 91/2021, de 22 de abril, FJ 3.3—, pero no atendió a la doctrina que resultaba aplicable y que se contiene —cita— en la STC 37/2003, de 25 de febrero, cuyo fundamento jurídico 4 establece que “la predeterminación legal del juez que debe conocer de un asunto está referida al órgano jurisdiccional y no a las diversas Salas o Secciones de un mismo tribunal (dotadas </w:t>
      </w:r>
      <w:r w:rsidRPr="003754FE">
        <w:rPr>
          <w:i/>
        </w:rPr>
        <w:t>ex lege</w:t>
      </w:r>
      <w:r>
        <w:t xml:space="preserve"> de la misma competencia material), en relación con las cuales basta con que existan y se apliquen normas de reparto que establezcan criterios objetivos y de generalidad (STC 205/1994, de 11 de julio, FJ 3). Consiguientemente, al haberse remitido el conocimiento del asunto a otra Sección distinta de aquella a la cual inicialmente le había correspondido en virtud de lo establecido en una norma de reparto de carácter general y que tiene carácter objetivo, no puede apreciarse la vulneración del derecho al juez predeterminado por la ley invocada”.</w:t>
      </w:r>
    </w:p>
    <w:p w14:paraId="08EEFD6D" w14:textId="77777777" w:rsidR="003754FE" w:rsidRDefault="003754FE" w:rsidP="003754FE">
      <w:pPr>
        <w:pStyle w:val="TextoNormal"/>
      </w:pPr>
    </w:p>
    <w:p w14:paraId="51ADB45C" w14:textId="77777777" w:rsidR="003754FE" w:rsidRDefault="003754FE" w:rsidP="003754FE">
      <w:pPr>
        <w:pStyle w:val="TextoNormal"/>
      </w:pPr>
      <w:r>
        <w:t xml:space="preserve">La arbitrariedad que el auto anulatorio reprocha al auto que anula y, “por su conducto”, al magistrado ponente, basada en la selección de hecho de los componentes del tribunal a causa de su tardanza en someter el asunto a deliberación, no se justifica en la resolución. Según el fiscal, dicha resolución “no niega ni excluye” la costumbre que el voto particular del ponente describe a la hora de deliberar. El auto anulatorio no explica racionalmente por qué la situación planteada con tres magistrados ausentes a finales de julio —“lo que comportaba un factor de relativa urgencia”, dado que la deliberación podría retrasarse un mes entero— no estaba incluida entre aquellas situaciones que el propio auto consideraba que sí que podían atenderse, porque el argumento relativo a que había de estarse a la fecha de entrada del recurso “carece de todo encaje lógico en ese contexto: la presencia de los magistrados es necesaria para deliberar el recurso, no para que tenga entrada, y por tanto lo determinante es cómo y cuándo se produce, en este y en todos los demás casos, la deliberación”. Y tampoco cita ni examina las normas oficiales de funcionamiento del tribunal, y menos aún “establece en sus razonamientos ningún tipo de nexo lógico ni jurídico entre la aplicación de esas supuestas normas de formación y funcionamiento de la Sección, cuyo quebrantamiento atribuye a la actuación del tribunal que resolvió </w:t>
      </w:r>
      <w:r w:rsidRPr="003754FE">
        <w:rPr>
          <w:i/>
        </w:rPr>
        <w:t>ab initio</w:t>
      </w:r>
      <w:r>
        <w:t xml:space="preserve"> el recurso de apelación, con la radical consecuencia de su anulación, y el fundamento constitucional de imparcialidad que […] constituye el interés directo protegido por el derecho al juez ordinario legalmente predeterminado”.</w:t>
      </w:r>
    </w:p>
    <w:p w14:paraId="15DA28E2" w14:textId="77777777" w:rsidR="003754FE" w:rsidRDefault="003754FE" w:rsidP="003754FE">
      <w:pPr>
        <w:pStyle w:val="TextoNormal"/>
      </w:pPr>
    </w:p>
    <w:p w14:paraId="77082D91" w14:textId="77777777" w:rsidR="003754FE" w:rsidRDefault="003754FE" w:rsidP="003754FE">
      <w:pPr>
        <w:pStyle w:val="TextoNormal"/>
      </w:pPr>
      <w:r>
        <w:t>La infracción del derecho a la obtención de una resolución exenta de error manifiesto, irracionalidad o arbitrariedad quedó evidenciada, “y con mayor certeza si cabe”, en la respuesta que el auto de anulación de 26 de septiembre de 2022 ofreció a los argumentos del escrito de 19 de septiembre del recurrente. Para el fiscal es patente que no se sostiene la afirmación del auto de que el Ministerio Fiscal nunca pudo alegar sobre el motivo de nulidad por no ser el auto anulado susceptible de recurso, porque “es obvio —y, desde luego, necesariamente conocido por un tribunal de la Audiencia Nacional, que en su resolución cita expresamente el artículo 241 LOPJ— que la vulneración de un derecho fundamental permite impugnar a quien es parte —y lo era el fiscal— una resolución contra la que no cabe recurso ordinario o extraordinario”; además, la irracionalidad del argumento resulta del hecho de que con él se reconoce “un efecto objetivo de fraude de ley procesal” al haber posibilitado paradójicamente, mediante una “decisión procesalmente atípica”, que el fiscal pudiese alegar contra una resolución irrecurrible. Asimismo, limitarse a responder que la providencia de la Sala de Vacaciones que desencadenó todas las actuaciones fue una mera resolución de trámite significó dejar sin abordar, en contra del derecho a obtener una resolución fundada, las cuestiones planteadas: la actuación sin competencia de la Sala, la ausencia de procedimiento habilitado legalmente para plantear de oficio el incidente, su ulterior tramitación sin cumplir sus trámites y plazos y su llamativo resultado material que terminó perjudicando al recurrente, con el fin de preservar la tutela y eficacia de un derecho fundamental que ampara a todos los justiciables, incluido el interno, que no había sido invocado por el fiscal que interesaba la declaración de nulidad.</w:t>
      </w:r>
    </w:p>
    <w:p w14:paraId="2FEFB1C8" w14:textId="77777777" w:rsidR="003754FE" w:rsidRDefault="003754FE" w:rsidP="003754FE">
      <w:pPr>
        <w:pStyle w:val="TextoNormal"/>
      </w:pPr>
    </w:p>
    <w:p w14:paraId="0BD27DC2" w14:textId="77777777" w:rsidR="003754FE" w:rsidRDefault="003754FE" w:rsidP="003754FE">
      <w:pPr>
        <w:pStyle w:val="TextoNormal"/>
      </w:pPr>
      <w:r>
        <w:t xml:space="preserve">La inadmisión del incidente de nulidad de actuaciones que el recurrente planteó contra el auto de anulación invocando básicamente los mismos derechos fundamentales que los alegados en su recurso de amparo vulneró igualmente el deber de motivación, puesto que la providencia de inadmisión “se limitó a rechazar tales alegaciones de plano porque —dijo— constituían la mera expresión de una discrepancia sobre la vulneración del derecho al juez ordinario predeterminado legalmente”. El fiscal considera estar en el mismo caso que el contemplado en la STC 204/2014, de 15 de diciembre, que estimó el recurso contra la inadmisión de plano del incidente de nulidad. “El supuesto es idéntico: en el presente caso el recurrente adujo de manera explícita y motivada en su escrito la vulneración de su derecho a la tutela judicial efectiva; pero el órgano judicial, lejos de examinar ese contenido susceptible de control a través del incidente de nulidad de actuaciones (y ofrecer en su caso una explicación motivada de la razón por la que </w:t>
      </w:r>
      <w:r w:rsidRPr="003754FE">
        <w:rPr>
          <w:i/>
        </w:rPr>
        <w:t>a limine</w:t>
      </w:r>
      <w:r>
        <w:t xml:space="preserve"> cabía excluir la alegada vulneración de un derecho fundamental), se limitó a ignorar esa pretensión, reduciéndola a una mera discrepancia con la motivación del auto, y acordando una inadmisión de plano que la doctrina expuesta descarta por definición en esos supuestos”. Se pretirió un mecanismo de tutela pertinente ante la jurisdicción ordinaria y, de este modo, la providencia de inadmisión del incidente de 17 de octubre de 2022 “no solo redundó en las lesiones del derecho fundamental del recurrente causadas por el auto que trataba de impugnar, sino que añadió una nueva vulneración autónoma del mismo derecho a la tutela judicial efectiva, en su vertiente de acceso a los recursos”.</w:t>
      </w:r>
    </w:p>
    <w:p w14:paraId="1E6E1536" w14:textId="77777777" w:rsidR="003754FE" w:rsidRDefault="003754FE" w:rsidP="003754FE">
      <w:pPr>
        <w:pStyle w:val="TextoNormal"/>
      </w:pPr>
    </w:p>
    <w:p w14:paraId="2CF1AF1A" w14:textId="77777777" w:rsidR="003754FE" w:rsidRDefault="003754FE" w:rsidP="003754FE">
      <w:pPr>
        <w:pStyle w:val="TextoNormal"/>
      </w:pPr>
      <w:r>
        <w:t xml:space="preserve">c) La vulneración del derecho a la tutela judicial efectiva en su vertiente de derecho a la intangibilidad de las resoluciones judiciales firmes resulta evidente para el fiscal. Tras recordar la jurisprudencia sobre la materia con la cita de la STC 35/2018, de 23 de abril, FJ 3, señala que “la anulación del auto por el que la Sección Primera de la Sala de lo Penal de la </w:t>
      </w:r>
      <w:r>
        <w:lastRenderedPageBreak/>
        <w:t>Audiencia Nacional había estimado el recurso de apelación interpuesto por el demandante, acordada por una resolución del mismo tribunal, con una composición distinta, constituyó una modificación o alteración (en realidad, una supresión) de una resolución judicial definitiva y firme, manifiestamente fuera de los cauces legales establecidos para ello y de los supuestos taxativamente previstos en la ley”. Bastaría acumular los datos siguientes, “con independencia incluso de las demás infracciones constitucionales analizadas”, para acreditar dicha vulneración: “un órgano judicial de composición extraordinaria y ámbito de actuación limitado (art. 180 LOPJ) que no justificó su competencia ni el cauce procedimental empleado para hacerlo, inició de oficio un procedimiento con objeto inicialmente no especificado, que en virtud de una actuación del fiscal no ajustada a las exigencias de la norma que más tarde invocaría el propio tribunal (el art. 241 LOPJ), y sin dar cumplimiento a los trámites procesales que en garantía del principio de contradicción prescribe dicha norma, concluyó con la anulación de una resolución judicial firme, basada en la infracción de un derecho fundamental que ninguna de las partes había alegado en ningún momento, y en perjuicio directo de los intereses de uno de los titulares de ese derecho fundamental, que ya había visto reconocida su pretensión de fondo por dicha resolución judicial firme”.</w:t>
      </w:r>
    </w:p>
    <w:p w14:paraId="313B1D35" w14:textId="77777777" w:rsidR="003754FE" w:rsidRDefault="003754FE" w:rsidP="003754FE">
      <w:pPr>
        <w:pStyle w:val="TextoNormal"/>
      </w:pPr>
    </w:p>
    <w:p w14:paraId="5BC31139" w14:textId="11BBE6F6" w:rsidR="003754FE" w:rsidRDefault="003754FE" w:rsidP="003754FE">
      <w:pPr>
        <w:pStyle w:val="TextoNormal"/>
      </w:pPr>
      <w:r>
        <w:t>d) El fiscal finaliza su escrito interesando que se otorgue el amparo, que se declare la vulneración del derecho fundamental a la tutela judicial efectiva del recurrente (art. 24.1 CE) y que, para restablecerlo en su derecho, se declare no solo la nulidad de las resoluciones impugnadas sino también, a consecuencia de la estimación de la vulneración del derecho a la invariabilidad de las resoluciones judiciales, la de todas las actuaciones posteriores al dictado del auto núm. 508/2022, de 28 de julio, y en particular la de la providencia de 26 de agosto de 2022 de la Sala de Vacaciones “que, como se ha explicado, determinó directamente la violación del mencionado derecho, abriendo la vía a la consecutiva infracción de las otras dos vertientes”, por lo que, aunque no fuese impugnada expresamente, debe estarse a la reiterada doctrina constitucional (SSTC 232/1993, de 12 de julio, FJ 1; 97/1999, de 31 de mayo, FJ 2; 14/2000, de 17 de enero, FJ 2; 16/2001, de 29 de enero, FJ 1; 204/2001, de 15 de octubre, FJ 1; 95/2018 , de 17 de septiembre, FJ 1; 90/2023, de 11 de septiembre, FJ 1, y 131/2023, de 23 de octubre, FJ 1, entre otras muchas) que establece que al haber sido impugnada en amparo una resolución judicial confirmatoria de otras, que han sido lógica y cronológicamente presupuesto de aquella, han de entenderse también recurridas las precedentes resoluciones confirmadas.</w:t>
      </w:r>
    </w:p>
    <w:p w14:paraId="17629074" w14:textId="77777777" w:rsidR="003754FE" w:rsidRDefault="003754FE" w:rsidP="003754FE">
      <w:pPr>
        <w:pStyle w:val="TextoNormal"/>
      </w:pPr>
    </w:p>
    <w:p w14:paraId="7E6A1E7A" w14:textId="48203D0F" w:rsidR="003754FE" w:rsidRDefault="003754FE" w:rsidP="003754FE">
      <w:pPr>
        <w:pStyle w:val="TextoNormal"/>
      </w:pPr>
      <w:r w:rsidRPr="003754FE">
        <w:rPr>
          <w:rStyle w:val="NumeroAFNegritaCaracter"/>
        </w:rPr>
        <w:t>8</w:t>
      </w:r>
      <w:r>
        <w:t>. Por providencia de 5 de septiembre de 2024 se señaló para la deliberación y votación de la presente sentencia el día 9 del mismo mes y año.</w:t>
      </w:r>
    </w:p>
    <w:p w14:paraId="1ECB20BF" w14:textId="77777777" w:rsidR="003754FE" w:rsidRDefault="003754FE" w:rsidP="003754FE">
      <w:pPr>
        <w:pStyle w:val="TextoNormal"/>
      </w:pPr>
    </w:p>
    <w:p w14:paraId="5E8813F1" w14:textId="77777777" w:rsidR="003754FE" w:rsidRDefault="003754FE" w:rsidP="003754FE">
      <w:pPr>
        <w:pStyle w:val="TextoNormalNegritaCentrado"/>
        <w:keepNext/>
      </w:pPr>
      <w:r>
        <w:t>II. Fundamentos jurídicos</w:t>
      </w:r>
    </w:p>
    <w:p w14:paraId="2241B9E3" w14:textId="4E84FA6D" w:rsidR="003754FE" w:rsidRDefault="003754FE" w:rsidP="003754FE">
      <w:pPr>
        <w:pStyle w:val="TextoNormalNegritaCentrado"/>
        <w:keepNext/>
      </w:pPr>
    </w:p>
    <w:p w14:paraId="287B9256" w14:textId="77777777" w:rsidR="003754FE" w:rsidRDefault="003754FE" w:rsidP="003754FE">
      <w:pPr>
        <w:pStyle w:val="TextoNormal"/>
      </w:pPr>
      <w:r w:rsidRPr="003754FE">
        <w:rPr>
          <w:rStyle w:val="NumeroAFNegritaCaracter"/>
        </w:rPr>
        <w:t>1</w:t>
      </w:r>
      <w:r>
        <w:t xml:space="preserve">. </w:t>
      </w:r>
      <w:r w:rsidRPr="003754FE">
        <w:rPr>
          <w:i/>
        </w:rPr>
        <w:t>Objeto del recurso y posiciones de las partes</w:t>
      </w:r>
    </w:p>
    <w:p w14:paraId="345BE3ED" w14:textId="77777777" w:rsidR="003754FE" w:rsidRDefault="003754FE" w:rsidP="003754FE">
      <w:pPr>
        <w:pStyle w:val="TextoNormal"/>
      </w:pPr>
    </w:p>
    <w:p w14:paraId="1451074B" w14:textId="77777777" w:rsidR="003754FE" w:rsidRDefault="003754FE" w:rsidP="003754FE">
      <w:pPr>
        <w:pStyle w:val="TextoNormal"/>
      </w:pPr>
      <w:r>
        <w:t xml:space="preserve">El presente recurso de amparo se dirige contra las resoluciones judiciales de la Sección Primera, en pleno, de la Sala de lo Penal de la Audiencia Nacional, dictadas en el rollo de apelación núm. 302-2022, y en concreto contra: (i) el auto de 26 de septiembre de 2022, que anuló el auto núm. 508/2022, de 28 de julio, de la misma Sección compuesta por tres magistrados, que había estimado el recurso de apelación del recurrente, interno en un centro penitenciario, y acordado su progresión al segundo grado del tratamiento penitenciario; (ii) </w:t>
      </w:r>
      <w:r>
        <w:lastRenderedPageBreak/>
        <w:t>la providencia de 17 de octubre de 2022, que inadmitió a trámite el incidente de nulidad de actuaciones interpuesto frente al auto de anulación; y (iii) el auto núm. 617/2022, de 18 de octubre, que, tras el auto de anulación, resolvió de nuevo el recurso de apelación del recurrente, lo desestimó y confirmó el auto núm. 1393/2022, de 5 de abril, del Juzgado Central de Vigilancia Penitenciaria, que confirmó a su vez la resolución de la Secretaría General de Instituciones Penitenciarias de 22 de noviembre de 2021, que decidió su continuidad en el primer grado de clasificación penitenciaria. Y tiene por objeto determinar si tales resoluciones incurrieron en las vulneraciones de derechos fundamentales denunciadas por el demandante.</w:t>
      </w:r>
    </w:p>
    <w:p w14:paraId="7F979620" w14:textId="77777777" w:rsidR="003754FE" w:rsidRDefault="003754FE" w:rsidP="003754FE">
      <w:pPr>
        <w:pStyle w:val="TextoNormal"/>
      </w:pPr>
    </w:p>
    <w:p w14:paraId="22CAA337" w14:textId="77777777" w:rsidR="003754FE" w:rsidRDefault="003754FE" w:rsidP="003754FE">
      <w:pPr>
        <w:pStyle w:val="TextoNormal"/>
      </w:pPr>
      <w:r>
        <w:t>El recurrente denuncia que las citadas resoluciones vulneraron sus derechos a la tutela judicial efectiva sin indefensión (art. 24.1 CE) y a un proceso con todas las garantías (art. 24.2 CE) con afectación del principio de seguridad jurídica (art. 9.3 CE), porque se prescindió de las normas esenciales que disciplinan el incidente de nulidad de actuaciones (art. 241 LOPJ), no se cumplieron las exigencias de motivación constitucionalmente exigibles y no se respetó el derecho a la intangibilidad de las resoluciones judiciales firmes.</w:t>
      </w:r>
    </w:p>
    <w:p w14:paraId="18E7C009" w14:textId="77777777" w:rsidR="003754FE" w:rsidRDefault="003754FE" w:rsidP="003754FE">
      <w:pPr>
        <w:pStyle w:val="TextoNormal"/>
      </w:pPr>
    </w:p>
    <w:p w14:paraId="51215747" w14:textId="2FDE82A2" w:rsidR="003754FE" w:rsidRDefault="003754FE" w:rsidP="003754FE">
      <w:pPr>
        <w:pStyle w:val="TextoNormal"/>
      </w:pPr>
      <w:r>
        <w:t>El fiscal ante el Tribunal Constitucional, en sentido similar, sostiene que las resoluciones impugnadas y también la precedente que había sido su presupuesto (la providencia de la Sala de Vacaciones de 26 de agosto de 2022) vulneraron el derecho a la tutela judicial efectiva del recurrente en su triple vertiente de derecho a la tutela judicial sin indefensión, a obtener una respuesta jurídicamente fundada y a la intangibilidad de las resoluciones judiciales firmes.</w:t>
      </w:r>
    </w:p>
    <w:p w14:paraId="532C1451" w14:textId="77777777" w:rsidR="003754FE" w:rsidRDefault="003754FE" w:rsidP="003754FE">
      <w:pPr>
        <w:pStyle w:val="TextoNormal"/>
      </w:pPr>
    </w:p>
    <w:p w14:paraId="4C70FE6D" w14:textId="77777777" w:rsidR="003754FE" w:rsidRDefault="003754FE" w:rsidP="003754FE">
      <w:pPr>
        <w:pStyle w:val="TextoNormal"/>
      </w:pPr>
      <w:r w:rsidRPr="003754FE">
        <w:rPr>
          <w:rStyle w:val="NumeroAFNegritaCaracter"/>
        </w:rPr>
        <w:t>2</w:t>
      </w:r>
      <w:r>
        <w:t xml:space="preserve">. </w:t>
      </w:r>
      <w:r w:rsidRPr="003754FE">
        <w:rPr>
          <w:i/>
        </w:rPr>
        <w:t>Especial trascendencia constitucional y orden de examen de las quejas</w:t>
      </w:r>
    </w:p>
    <w:p w14:paraId="3E929CF8" w14:textId="77777777" w:rsidR="003754FE" w:rsidRDefault="003754FE" w:rsidP="003754FE">
      <w:pPr>
        <w:pStyle w:val="TextoNormal"/>
      </w:pPr>
    </w:p>
    <w:p w14:paraId="2006F2DA" w14:textId="77777777" w:rsidR="003754FE" w:rsidRDefault="003754FE" w:rsidP="003754FE">
      <w:pPr>
        <w:pStyle w:val="TextoNormal"/>
      </w:pPr>
      <w:r>
        <w:t>a) Los antecedentes de esta sentencia ponen de manifiesto, en primer lugar, que la queja relativa a la vulneración del derecho a la tutela judicial efectiva en su vertiente de derecho a la intangibilidad de las resoluciones judiciales firmes incide en todas las demás y que su eventual apreciación es la que conlleva una mayor retroacción de las actuaciones procesales.</w:t>
      </w:r>
    </w:p>
    <w:p w14:paraId="0D1AE47C" w14:textId="77777777" w:rsidR="003754FE" w:rsidRDefault="003754FE" w:rsidP="003754FE">
      <w:pPr>
        <w:pStyle w:val="TextoNormal"/>
      </w:pPr>
    </w:p>
    <w:p w14:paraId="5888C50F" w14:textId="77777777" w:rsidR="003754FE" w:rsidRDefault="003754FE" w:rsidP="003754FE">
      <w:pPr>
        <w:pStyle w:val="TextoNormal"/>
      </w:pPr>
      <w:r>
        <w:t xml:space="preserve">El recurrente, en su escrito promoviendo el incidente de nulidad contra el auto de anulación de 26 de septiembre de 2022, denunció la vulneración de su derecho “del art. 24.1 CE (tutela judicial efectiva) en particular en su manifestación de intangibilidad de las resoluciones judiciales firmes”; y, en su demanda de amparo, al desarrollar las quejas relativas a la infracción del derecho a un proceso con todas las garantías y a la vulneración del derecho a obtener una resolución jurídicamente motivada, concluía que “la Sala acuerda la nulidad de un auto firme, ejecutivo y ejecutado, dando como razón, </w:t>
      </w:r>
      <w:r w:rsidRPr="003754FE">
        <w:rPr>
          <w:i/>
        </w:rPr>
        <w:t>ex oficio</w:t>
      </w:r>
      <w:r>
        <w:t>, la vulneración de un derecho fundamental […] que ninguna [de las partes] (ni recurrente ni fiscal) habíamos denunciado como infringido, ni alegado nos hubiese producido cualquier suerte de material indefensión”, auto firme que debió “mantenerse intangible”.</w:t>
      </w:r>
    </w:p>
    <w:p w14:paraId="262BDE66" w14:textId="77777777" w:rsidR="003754FE" w:rsidRDefault="003754FE" w:rsidP="003754FE">
      <w:pPr>
        <w:pStyle w:val="TextoNormal"/>
      </w:pPr>
    </w:p>
    <w:p w14:paraId="2F324476" w14:textId="77777777" w:rsidR="003754FE" w:rsidRDefault="003754FE" w:rsidP="003754FE">
      <w:pPr>
        <w:pStyle w:val="TextoNormal"/>
      </w:pPr>
      <w:r>
        <w:t xml:space="preserve">El fiscal reconoce también, en el caso, una especial singularidad y autonomía a esta vertiente del derecho a la tutela judicial efectiva y considera que la estimación de la lesión del derecho a la intangibilidad de las resoluciones judiciales firmes es la que implica una mayor retroacción anulatoria, que debe alcanzar a todas las actuaciones posteriores al dictado del auto núm. 508/2022, de 28 de julio, y en particular a la anulación de la providencia de 26 de agosto de 2022 de la Sala de Vacaciones “que, como se ha explicado, determinó </w:t>
      </w:r>
      <w:r>
        <w:lastRenderedPageBreak/>
        <w:t>directamente la violación del mencionado derecho, abriendo la vía a la consecutiva infracción de las otras dos vertientes”.</w:t>
      </w:r>
    </w:p>
    <w:p w14:paraId="61911AA7" w14:textId="77777777" w:rsidR="003754FE" w:rsidRDefault="003754FE" w:rsidP="003754FE">
      <w:pPr>
        <w:pStyle w:val="TextoNormal"/>
      </w:pPr>
    </w:p>
    <w:p w14:paraId="0BD8ED9E" w14:textId="77777777" w:rsidR="003754FE" w:rsidRDefault="003754FE" w:rsidP="003754FE">
      <w:pPr>
        <w:pStyle w:val="TextoNormal"/>
      </w:pPr>
      <w:r>
        <w:t xml:space="preserve">b) En segundo lugar, resulta que la especial trascendencia constitucional del recurso, que no ha sido discutida, conecta con la eficacia general del derecho a la intangibilidad de las resoluciones judiciales firmes, que se alega vulnerado mediante un mecanismo sin precedentes, lo que motivó la admisión del amparo al plantear un problema de esta faceta del derecho fundamental a la tutela judicial efectiva sobre el que no hay doctrina de este tribunal, tal y como se explicitó, por exigencias de certeza y buena administración de justicia (STEDH de 20 de enero de 2015, asunto </w:t>
      </w:r>
      <w:r w:rsidRPr="003754FE">
        <w:rPr>
          <w:i/>
        </w:rPr>
        <w:t>Arribas Antón c. España</w:t>
      </w:r>
      <w:r>
        <w:t>, § 46), en la providencia de admisión de 12 de febrero de 2024 de la Sala Segunda de este tribunal mediante la cita de la STC 155/2009, de 25 de junio, FJ 2 a). La singularidad del caso reside en la utilización del incidente de nulidad de actuaciones —regulado y concebido en el art. 241 LOPJ como vía excepcional contra resoluciones firmes de reparación de vulneraciones de derechos fundamentales ante la jurisdicción ordinaria— para anular una resolución firme en perjuicio del titular del derecho, cuando dicha vía no había sido instada por ninguna de las partes legitimadas para hacerlo, ni ninguna había entendido que se hubiese producido la vulneración del derecho que el órgano judicial afirmaba tutelar: el derecho al juez ordinario predeterminado por la ley.</w:t>
      </w:r>
    </w:p>
    <w:p w14:paraId="22F66ECF" w14:textId="77777777" w:rsidR="003754FE" w:rsidRDefault="003754FE" w:rsidP="003754FE">
      <w:pPr>
        <w:pStyle w:val="TextoNormal"/>
      </w:pPr>
    </w:p>
    <w:p w14:paraId="30DF49EC" w14:textId="77777777" w:rsidR="003754FE" w:rsidRDefault="003754FE" w:rsidP="003754FE">
      <w:pPr>
        <w:pStyle w:val="TextoNormal"/>
      </w:pPr>
      <w:r>
        <w:t>c) Por estas razones, dado que corresponde a este tribunal determinar el orden de examen de las quejas, así como si resulta necesario o conveniente pronunciarse sobre todas ellas cuando ya se haya apreciado alguna, aplicaremos, para examinarlas, el criterio de “mayor retroacción” que nuestra jurisprudencia emplea para asegurar la más amplia tutela de los derechos fundamentales del recurrente. En virtud de tal criterio se concede prioridad al examen de la queja que, de prosperar, determinaría la retroacción a un momento procesal anterior, haciendo innecesario un pronunciamiento sobre las restantes (STC 41/2022, de 21 de marzo, FJ 3, entre otras muchas), como sucede —se adelanta— en este caso.</w:t>
      </w:r>
    </w:p>
    <w:p w14:paraId="51B5D434" w14:textId="77777777" w:rsidR="003754FE" w:rsidRDefault="003754FE" w:rsidP="003754FE">
      <w:pPr>
        <w:pStyle w:val="TextoNormal"/>
      </w:pPr>
    </w:p>
    <w:p w14:paraId="707138D5" w14:textId="0D75C5C1" w:rsidR="003754FE" w:rsidRDefault="003754FE" w:rsidP="003754FE">
      <w:pPr>
        <w:pStyle w:val="TextoNormal"/>
      </w:pPr>
      <w:r>
        <w:t>Así, analizaremos la queja relativa a la vulneración del derecho a la tutela judicial efectiva, en su vertiente de derecho a la intangibilidad de las resoluciones judiciales firmes, comenzando con la exposición de la doctrina constitucional aplicable sobre este derecho para verificar seguidamente si se ha respetado por las resoluciones judiciales objeto de impugnación.</w:t>
      </w:r>
    </w:p>
    <w:p w14:paraId="2606FF8E" w14:textId="77777777" w:rsidR="003754FE" w:rsidRDefault="003754FE" w:rsidP="003754FE">
      <w:pPr>
        <w:pStyle w:val="TextoNormal"/>
      </w:pPr>
    </w:p>
    <w:p w14:paraId="41C627D9" w14:textId="77777777" w:rsidR="003754FE" w:rsidRDefault="003754FE" w:rsidP="003754FE">
      <w:pPr>
        <w:pStyle w:val="TextoNormal"/>
      </w:pPr>
      <w:r w:rsidRPr="003754FE">
        <w:rPr>
          <w:rStyle w:val="NumeroAFNegritaCaracter"/>
        </w:rPr>
        <w:t>3</w:t>
      </w:r>
      <w:r>
        <w:t xml:space="preserve">. </w:t>
      </w:r>
      <w:r w:rsidRPr="003754FE">
        <w:rPr>
          <w:i/>
        </w:rPr>
        <w:t>Doctrina constitucional aplicable sobre el derecho a la tutela judicial efectiva, en su vertiente de derecho a la intangibilidad de las resoluciones judiciales firmes</w:t>
      </w:r>
    </w:p>
    <w:p w14:paraId="40318EEE" w14:textId="77777777" w:rsidR="003754FE" w:rsidRDefault="003754FE" w:rsidP="003754FE">
      <w:pPr>
        <w:pStyle w:val="TextoNormal"/>
      </w:pPr>
    </w:p>
    <w:p w14:paraId="27C578F3" w14:textId="77777777" w:rsidR="003754FE" w:rsidRDefault="003754FE" w:rsidP="003754FE">
      <w:pPr>
        <w:pStyle w:val="TextoNormal"/>
      </w:pPr>
      <w:r>
        <w:t>El derecho a la tutela judicial efectiva integra entre sus garantías la de la intangibilidad o invariabilidad de las resoluciones judiciales firmes, dado que así lo exigen los principios de seguridad jurídica y de legalidad procesal y la eficacia del derecho fundamental de carácter subjetivo a la ejecución de tales resoluciones, cuyo cumplimiento es una de las garantías esenciales para el funcionamiento y desarrollo del Estado de Derecho (arts. 9.3, 24.1 y 117.3 CE).</w:t>
      </w:r>
    </w:p>
    <w:p w14:paraId="5522DA0E" w14:textId="77777777" w:rsidR="003754FE" w:rsidRDefault="003754FE" w:rsidP="003754FE">
      <w:pPr>
        <w:pStyle w:val="TextoNormal"/>
      </w:pPr>
    </w:p>
    <w:p w14:paraId="4B673B15" w14:textId="53172E1C" w:rsidR="003754FE" w:rsidRDefault="003754FE" w:rsidP="003754FE">
      <w:pPr>
        <w:pStyle w:val="TextoNormal"/>
      </w:pPr>
      <w:r>
        <w:t xml:space="preserve">La garantía de intangibilidad asegura a las partes procesales que las resoluciones judiciales solo puedan ser modificadas dentro de los cauces legales previstos y proscribe que los juzgados y tribunales puedan variar o revisar las resoluciones judiciales definitivas y firmes </w:t>
      </w:r>
      <w:r>
        <w:lastRenderedPageBreak/>
        <w:t>al margen de los casos taxativamente previstos por la ley, incluso en la hipótesis de que con posterioridad entendiesen que la decisión judicial no se ajusta a la legalidad; si se permitiese reabrir lo ya resuelto por una decisión firme fuera de los supuestos legalmente permitidos, el derecho a la tutela judicial efectiva, aparte de vulnerado, resultaría virtual y carente de efectividad (entre otras, SSTC 119/1988, de 20 de junio, FJ 2; 180/1997, de 27 de octubre, FJ 2; 256/2006, de 11 de septiembre, FJ 3; 35/2018, de 23 de abril, FJ 3, y 3/2024, de 15 de enero, FJ 3).</w:t>
      </w:r>
    </w:p>
    <w:p w14:paraId="247A7B67" w14:textId="77777777" w:rsidR="003754FE" w:rsidRDefault="003754FE" w:rsidP="003754FE">
      <w:pPr>
        <w:pStyle w:val="TextoNormal"/>
      </w:pPr>
    </w:p>
    <w:p w14:paraId="1106916D" w14:textId="77777777" w:rsidR="003754FE" w:rsidRDefault="003754FE" w:rsidP="003754FE">
      <w:pPr>
        <w:pStyle w:val="TextoNormal"/>
      </w:pPr>
      <w:r w:rsidRPr="003754FE">
        <w:rPr>
          <w:rStyle w:val="NumeroAFNegritaCaracter"/>
        </w:rPr>
        <w:t>4</w:t>
      </w:r>
      <w:r>
        <w:t xml:space="preserve">. </w:t>
      </w:r>
      <w:r w:rsidRPr="003754FE">
        <w:rPr>
          <w:i/>
        </w:rPr>
        <w:t>Aplicación de la doctrina al caso</w:t>
      </w:r>
    </w:p>
    <w:p w14:paraId="2DCCFE8B" w14:textId="77777777" w:rsidR="003754FE" w:rsidRDefault="003754FE" w:rsidP="003754FE">
      <w:pPr>
        <w:pStyle w:val="TextoNormal"/>
      </w:pPr>
    </w:p>
    <w:p w14:paraId="06186931" w14:textId="77777777" w:rsidR="003754FE" w:rsidRDefault="003754FE" w:rsidP="003754FE">
      <w:pPr>
        <w:pStyle w:val="TextoNormal"/>
      </w:pPr>
      <w:r>
        <w:t>En el caso enjuiciado el derecho a la intangibilidad de las resoluciones judiciales firmes fue vulnerado puesto que, mediante la concatenación de distintas resoluciones judiciales dictadas al margen de cualquier procedimiento legal, la Sección Primera, en pleno, de la Sala de lo Penal de la Audiencia Nacional, en palabras del recurrente, “cambió nada menos que el resultado de una resolución firme y definitiva a través de un mecanismo (nulidad excepcional) traído sin respetar las normas que regulan dicho incidente […]. Y, además, lo hizo sobre la base de una no alegada por nadie [e inexistente] infracción del derecho al juez predeterminado por la ley”.</w:t>
      </w:r>
    </w:p>
    <w:p w14:paraId="110161D9" w14:textId="77777777" w:rsidR="003754FE" w:rsidRDefault="003754FE" w:rsidP="003754FE">
      <w:pPr>
        <w:pStyle w:val="TextoNormal"/>
      </w:pPr>
    </w:p>
    <w:p w14:paraId="4FFCAABD" w14:textId="77777777" w:rsidR="003754FE" w:rsidRDefault="003754FE" w:rsidP="003754FE">
      <w:pPr>
        <w:pStyle w:val="TextoNormal"/>
      </w:pPr>
      <w:r>
        <w:t>El fiscal, en igual sentido, resume cómo la citada Sección Primera lesionó dicha garantía de intangibilidad, actuando “manifiestamente fuera de los cauces legales” y “de los supuestos taxativamente previstos en la ley”, de la siguiente manera: “un órgano judicial de composición extraordinaria y ámbito de actuación limitado (art. 180 LOPJ) que no justificó su competencia ni el cauce procedimental empleado para hacerlo, inició de oficio un procedimiento con objeto inicialmente no especificado, que en virtud de una actuación del fiscal no ajustada a las exigencias de la norma que más tarde invocaría el propio tribunal (el art. 241 LOPJ), y sin dar cumplimiento a los trámites procesales que en garantía del principio de contradicción prescribe dicha norma, concluyó con la anulación de una resolución judicial firme, basada en la infracción de un derecho fundamental que ninguna de las partes había alegado en ningún momento, y en perjuicio directo de los intereses de uno de los titulares de ese derecho fundamental, que ya había visto reconocida su pretensión de fondo por dicha resolución judicial firme”.</w:t>
      </w:r>
    </w:p>
    <w:p w14:paraId="45AB11B4" w14:textId="77777777" w:rsidR="003754FE" w:rsidRDefault="003754FE" w:rsidP="003754FE">
      <w:pPr>
        <w:pStyle w:val="TextoNormal"/>
      </w:pPr>
    </w:p>
    <w:p w14:paraId="2A9A751F" w14:textId="77777777" w:rsidR="003754FE" w:rsidRDefault="003754FE" w:rsidP="003754FE">
      <w:pPr>
        <w:pStyle w:val="TextoNormal"/>
      </w:pPr>
      <w:r>
        <w:t>El curso de las actuaciones resumido en los antecedentes de esta sentencia confirma las alegaciones anteriores y sirve de prueba de la violación apreciada. Es un hecho no controvertido que el auto núm. 508/2022, de 28 de julio, que estimó el recurso de apelación del interno y su progresión al segundo grado del tratamiento penitenciario, ganó firmeza. Sin embargo, dicho auto se dejó sin efecto fuera de todo procedimiento legalmente establecido, a través de una sucesión de actuaciones del órgano judicial que terminaron con el dictado del auto núm. 617/2022, de 18 de octubre, de signo contrario y en perjuicio del interno, pues lo mantuvo en el primer grado de clasificación penitenciaria.</w:t>
      </w:r>
    </w:p>
    <w:p w14:paraId="4FA7BA38" w14:textId="77777777" w:rsidR="003754FE" w:rsidRDefault="003754FE" w:rsidP="003754FE">
      <w:pPr>
        <w:pStyle w:val="TextoNormal"/>
      </w:pPr>
    </w:p>
    <w:p w14:paraId="6730559C" w14:textId="77777777" w:rsidR="003754FE" w:rsidRDefault="003754FE" w:rsidP="003754FE">
      <w:pPr>
        <w:pStyle w:val="TextoNormal"/>
      </w:pPr>
      <w:r>
        <w:t xml:space="preserve">Basta recordar que tal desenlace tuvo origen en la providencia de 26 de agosto de 2022 de la Sala de Vacaciones que, sin respetar lo dispuesto en los arts. 179 a 184 LOPJ, es decir, actuando fuera del periodo ordinario de actividad judicial, en tiempo inhábil y sin justificar la urgencia de su intervención, dio inicio de forma espontánea —solicitando crípticamente que las partes se pronunciasen sobre la firma del auto que estimó la apelación por magistrados distintos de los designados— a un incidente de nulidad de actuaciones del art. 241 LOPJ, </w:t>
      </w:r>
      <w:r>
        <w:lastRenderedPageBreak/>
        <w:t>que fue tramitado sin atender a su objetivo de proteger los derechos fundamentales y sin respetar sus reglas: la exclusiva legitimación de las partes para instarlo, la invocación de cualquier vulneración de un derecho fundamental que no hubiera podido denunciarse antes de recaer resolución poniendo fin al proceso sin ulterior recurso o la debida contradicción sobre el objeto del incidente.</w:t>
      </w:r>
    </w:p>
    <w:p w14:paraId="776DF8B0" w14:textId="77777777" w:rsidR="003754FE" w:rsidRDefault="003754FE" w:rsidP="003754FE">
      <w:pPr>
        <w:pStyle w:val="TextoNormal"/>
      </w:pPr>
    </w:p>
    <w:p w14:paraId="71C08FC6" w14:textId="77777777" w:rsidR="003754FE" w:rsidRDefault="003754FE" w:rsidP="003754FE">
      <w:pPr>
        <w:pStyle w:val="TextoNormal"/>
      </w:pPr>
      <w:r>
        <w:t>Así, la intervención del órgano judicial para anular, mediante auto de 26 de septiembre de 2022, la firmeza de la resolución de progresión en grado se produjo de oficio y contravino la legitimación que el art. 241 LOPJ atribuye a quienes sean parte legítima en el proceso o hubieran debido serlo. El fiscal de la causa que, en su caso, podía haber reaccionado contra aquella resolución favorable al preso no instó, pudiendo hacerlo, este mecanismo de tutela de derechos fundamentales. El planteamiento de oficio de la nulidad tampoco resultaba posible al amparo del art. 240.2 LOPJ porque ya se había cumplido la preclusión procesal que el citado precepto establece: había recaído resolución que había puesto fin al proceso; y tampoco concurría el segundo supuesto habilitante del precepto, dado que el órgano judicial no estaba resolviendo un recurso que le permitiese decretar la nulidad por los motivos de falta de jurisdicción o de competencia objetiva o funcional o por haberse producido violencia o intimidación.</w:t>
      </w:r>
    </w:p>
    <w:p w14:paraId="78202111" w14:textId="77777777" w:rsidR="003754FE" w:rsidRDefault="003754FE" w:rsidP="003754FE">
      <w:pPr>
        <w:pStyle w:val="TextoNormal"/>
      </w:pPr>
    </w:p>
    <w:p w14:paraId="5D0290C3" w14:textId="77777777" w:rsidR="003754FE" w:rsidRDefault="003754FE" w:rsidP="003754FE">
      <w:pPr>
        <w:pStyle w:val="TextoNormal"/>
      </w:pPr>
      <w:r>
        <w:t>Ninguna de las partes había invocado la vulneración de ningún derecho fundamental ni tampoco se atisbaba —ni en la providencia de la Sala de Vacaciones ni en el escueto escrito del fiscal en su respuesta a un trámite de audiencia que se abría fuera de todo cauce legal— que el derecho fundamental que el auto anulatorio consideró infringido iba a ser el derecho al juez ordinario predeterminado por la ley.</w:t>
      </w:r>
    </w:p>
    <w:p w14:paraId="1714B4DB" w14:textId="77777777" w:rsidR="003754FE" w:rsidRDefault="003754FE" w:rsidP="003754FE">
      <w:pPr>
        <w:pStyle w:val="TextoNormal"/>
      </w:pPr>
    </w:p>
    <w:p w14:paraId="2D5E08AF" w14:textId="77777777" w:rsidR="003754FE" w:rsidRDefault="003754FE" w:rsidP="003754FE">
      <w:pPr>
        <w:pStyle w:val="TextoNormal"/>
      </w:pPr>
      <w:r>
        <w:t>El recurrente, además, tampoco tuvo oportunidad de alegar sobre una causa de nulidad que resultaba imprevisible, a pesar de haber actuado con diligencia y de insistir, en su escrito de 19 de septiembre de 2022, en que se tramitase el incidente de nulidad de actuaciones como se debía, si es que era eso —decía— lo que el fiscal estaba interesando, con el fin de que se justificasen los motivos de nulidad y se le diera el traslado preceptivo. El órgano judicial hizo caso omiso de la petición, unió el escrito y anuló la resolución actuando en pleno, sin ser ya el órgano que tendría que haber resuelto el incidente: el mismo que dictó la resolución firme.</w:t>
      </w:r>
    </w:p>
    <w:p w14:paraId="482D5F8F" w14:textId="77777777" w:rsidR="003754FE" w:rsidRDefault="003754FE" w:rsidP="003754FE">
      <w:pPr>
        <w:pStyle w:val="TextoNormal"/>
      </w:pPr>
    </w:p>
    <w:p w14:paraId="53EFB9EC" w14:textId="77777777" w:rsidR="003754FE" w:rsidRDefault="003754FE" w:rsidP="003754FE">
      <w:pPr>
        <w:pStyle w:val="TextoNormal"/>
      </w:pPr>
      <w:r>
        <w:t>La anulación, que se justificaba en la vulneración de un derecho fundamental —el del juez ordinario predeterminado por la ley—, trajo la paradójica consecuencia de acabar con el dictado de una resolución en perjuicio del interno, que se vio mantenido en el primer grado penitenciario, a partir de una serie de actuaciones judiciales que pretendían ampararlo en su derecho. El órgano judicial, en fin, persistió en seguir fuera de todo procedimiento tras inadmitir, con la providencia inmotivada de 17 de octubre de 2022, el incidente de nulidad de actuaciones que el recurrente planteó en legal forma, antes de acudir en amparo, contra la lesión consumada de su derecho a la intangibilidad de una resolución firme.</w:t>
      </w:r>
    </w:p>
    <w:p w14:paraId="0DAC746E" w14:textId="77777777" w:rsidR="003754FE" w:rsidRDefault="003754FE" w:rsidP="003754FE">
      <w:pPr>
        <w:pStyle w:val="TextoNormal"/>
      </w:pPr>
    </w:p>
    <w:p w14:paraId="4837D360" w14:textId="77777777" w:rsidR="003754FE" w:rsidRDefault="003754FE" w:rsidP="003754FE">
      <w:pPr>
        <w:pStyle w:val="TextoNormal"/>
      </w:pPr>
      <w:r>
        <w:t xml:space="preserve">De este modo, el incidente de nulidad de actuaciones, cuya regulación tiene como objetivo permitir que la jurisdicción ordinaria pueda reparar “lesiones de derechos fundamentales que no hayan ‘podido denunciarse antes de recaer resolución que ponga fin al proceso y siempre que dicha resolución no sea susceptible de recurso ordinario ni extraordinario’” (STC 153/2012, de 16 de julio, FJ 3), se utilizó por el órgano judicial improcedentemente </w:t>
      </w:r>
      <w:r>
        <w:lastRenderedPageBreak/>
        <w:t>para cambiar una resolución judicial firme y favorable al recurrente por otra que le perjudicaba, con el pretexto de que se estaba tutelando el derecho al juez ordinario predeterminado por la ley que ninguna parte legítima había invocado.</w:t>
      </w:r>
    </w:p>
    <w:p w14:paraId="541291DD" w14:textId="77777777" w:rsidR="003754FE" w:rsidRDefault="003754FE" w:rsidP="003754FE">
      <w:pPr>
        <w:pStyle w:val="TextoNormal"/>
      </w:pPr>
    </w:p>
    <w:p w14:paraId="788C82ED" w14:textId="67729ED4" w:rsidR="003754FE" w:rsidRDefault="003754FE" w:rsidP="003754FE">
      <w:pPr>
        <w:pStyle w:val="TextoNormal"/>
      </w:pPr>
      <w:r>
        <w:t>El derecho a la intangibilidad de las resoluciones judiciales firmes no admite tal clase de actuaciones que prescinden de la legalidad procesal y que solo merman la efectividad de la tutela judicial.</w:t>
      </w:r>
    </w:p>
    <w:p w14:paraId="5686142F" w14:textId="77777777" w:rsidR="003754FE" w:rsidRDefault="003754FE" w:rsidP="003754FE">
      <w:pPr>
        <w:pStyle w:val="TextoNormal"/>
      </w:pPr>
    </w:p>
    <w:p w14:paraId="5302FB44" w14:textId="77777777" w:rsidR="003754FE" w:rsidRDefault="003754FE" w:rsidP="003754FE">
      <w:pPr>
        <w:pStyle w:val="TextoNormal"/>
      </w:pPr>
      <w:r w:rsidRPr="003754FE">
        <w:rPr>
          <w:rStyle w:val="NumeroAFNegritaCaracter"/>
        </w:rPr>
        <w:t>5</w:t>
      </w:r>
      <w:r>
        <w:t xml:space="preserve">. </w:t>
      </w:r>
      <w:r w:rsidRPr="003754FE">
        <w:rPr>
          <w:i/>
        </w:rPr>
        <w:t>Estimación del recurso</w:t>
      </w:r>
    </w:p>
    <w:p w14:paraId="056E467B" w14:textId="77777777" w:rsidR="003754FE" w:rsidRDefault="003754FE" w:rsidP="003754FE">
      <w:pPr>
        <w:pStyle w:val="TextoNormal"/>
      </w:pPr>
    </w:p>
    <w:p w14:paraId="3C9652D4" w14:textId="6ADED137" w:rsidR="003754FE" w:rsidRDefault="003754FE" w:rsidP="003754FE">
      <w:pPr>
        <w:pStyle w:val="TextoNormal"/>
      </w:pPr>
      <w:r>
        <w:t>En consecuencia, el recurso debe estimarse [art. 53 a) LOTC] y, conforme a lo dispuesto en el art. 55.1 LOTC, debe reconocerse el derecho del recurrente a la tutela judicial efectiva (art. 24.1 CE), en su vertiente de derecho a la intangibilidad de las resoluciones judiciales firmes. Para reparar la vulneración deben anularse las resoluciones judiciales impugnadas y también, a fin de garantizar la intangibilidad del auto firme núm. 508/2022, de 28 de julio, debe anularse, como indica el fiscal, la providencia de 26 de agosto de 2022, de la Sala de Vacaciones, que las precede y que fue determinante para dejar sin efecto la anterior resolución firme (STC 131/2023, de 23 de octubre, FJ 1).</w:t>
      </w:r>
    </w:p>
    <w:p w14:paraId="6F898F7A" w14:textId="77777777" w:rsidR="003754FE" w:rsidRDefault="003754FE" w:rsidP="003754FE">
      <w:pPr>
        <w:pStyle w:val="TextoNormal"/>
      </w:pPr>
    </w:p>
    <w:p w14:paraId="2B7A4445" w14:textId="77777777" w:rsidR="003754FE" w:rsidRDefault="003754FE" w:rsidP="003754FE">
      <w:pPr>
        <w:pStyle w:val="TextoNormalCentrado"/>
        <w:keepNext/>
      </w:pPr>
      <w:r>
        <w:t>FALLO</w:t>
      </w:r>
    </w:p>
    <w:p w14:paraId="69DFA220" w14:textId="435B9545" w:rsidR="003754FE" w:rsidRDefault="003754FE" w:rsidP="003754FE">
      <w:pPr>
        <w:pStyle w:val="TextoNormalCentrado"/>
        <w:keepNext/>
      </w:pPr>
    </w:p>
    <w:p w14:paraId="3A18EBCB"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don Rochdi Abdeselam Abdel Lah y, en su virtud:</w:t>
      </w:r>
    </w:p>
    <w:p w14:paraId="3AB0A820" w14:textId="77777777" w:rsidR="003754FE" w:rsidRDefault="003754FE" w:rsidP="003754FE">
      <w:pPr>
        <w:pStyle w:val="TextoNormal"/>
      </w:pPr>
    </w:p>
    <w:p w14:paraId="14E91224" w14:textId="77777777" w:rsidR="003754FE" w:rsidRDefault="003754FE" w:rsidP="003754FE">
      <w:pPr>
        <w:pStyle w:val="TextoNormal"/>
      </w:pPr>
      <w:r>
        <w:t>1º Declarar que ha sido vulnerado y reconocer el derecho del recurrente a la tutela judicial efectiva (art. 24.1 CE), en su vertiente de derecho a la intangibilidad de las resoluciones judiciales firmes.</w:t>
      </w:r>
    </w:p>
    <w:p w14:paraId="0F090B2C" w14:textId="77777777" w:rsidR="003754FE" w:rsidRDefault="003754FE" w:rsidP="003754FE">
      <w:pPr>
        <w:pStyle w:val="TextoNormal"/>
      </w:pPr>
    </w:p>
    <w:p w14:paraId="10CC67F3" w14:textId="727DF303" w:rsidR="003754FE" w:rsidRDefault="003754FE" w:rsidP="003754FE">
      <w:pPr>
        <w:pStyle w:val="TextoNormal"/>
      </w:pPr>
      <w:r>
        <w:t>2º Restablecerlo en su derecho y, a tal fin, declarar la nulidad de las siguientes resoluciones dictadas en el rollo de la apelación núm. 302-2022, tramitado en la Sección Primera de la Sala de lo Penal de la Audiencia Nacional: (i) providencia de 26 de agosto de 2022 de su Sala de Vacaciones; (ii) autos de 26 de septiembre de 2022 y núm. 617/2022, de 18 de octubre, de la Sección en pleno; y (iii) providencia de 17 de octubre de 2022 de la Sección en pleno.</w:t>
      </w:r>
    </w:p>
    <w:p w14:paraId="1D20D7F1" w14:textId="77777777" w:rsidR="003754FE" w:rsidRDefault="003754FE" w:rsidP="003754FE">
      <w:pPr>
        <w:pStyle w:val="TextoNormal"/>
      </w:pPr>
    </w:p>
    <w:p w14:paraId="46C8A342" w14:textId="77777777" w:rsidR="003754FE" w:rsidRDefault="003754FE" w:rsidP="003754FE">
      <w:pPr>
        <w:pStyle w:val="TextoNormal"/>
      </w:pPr>
      <w:r>
        <w:t>Publíquese esta sentencia en el “Boletín Oficial del Estado”.</w:t>
      </w:r>
    </w:p>
    <w:p w14:paraId="23BAA355" w14:textId="77777777" w:rsidR="003754FE" w:rsidRDefault="003754FE" w:rsidP="003754FE">
      <w:pPr>
        <w:pStyle w:val="TextoNormal"/>
      </w:pPr>
      <w:r>
        <w:t>Dada en Madrid, a nueve de septiembre de dos mil veinticuatro.</w:t>
      </w:r>
    </w:p>
    <w:p w14:paraId="4510CF26" w14:textId="1A2BF74A" w:rsidR="003754FE" w:rsidRDefault="003754FE" w:rsidP="003754FE">
      <w:pPr>
        <w:pStyle w:val="ParrafoNormal"/>
      </w:pPr>
    </w:p>
    <w:p w14:paraId="1E9D0C04" w14:textId="77777777" w:rsidR="003754FE" w:rsidRDefault="003754FE" w:rsidP="003754FE">
      <w:pPr>
        <w:pStyle w:val="TextoNormalNegritaCentrado"/>
        <w:keepNext/>
      </w:pPr>
      <w:r>
        <w:t>Voto particular que formula el magistrado don Enrique Arnaldo Alcubilla a la sentencia de la Sala Segunda que estima el recurso de amparo núm. 7630-2022</w:t>
      </w:r>
    </w:p>
    <w:p w14:paraId="2C13B668" w14:textId="0B4985C2" w:rsidR="003754FE" w:rsidRDefault="003754FE" w:rsidP="003754FE">
      <w:pPr>
        <w:pStyle w:val="TextoNormalNegritaCentrado"/>
        <w:keepNext/>
      </w:pPr>
    </w:p>
    <w:p w14:paraId="15F7BCA7" w14:textId="77777777" w:rsidR="003754FE" w:rsidRDefault="003754FE" w:rsidP="003754FE">
      <w:pPr>
        <w:pStyle w:val="TextoNormal"/>
      </w:pPr>
      <w:r>
        <w:t>En el ejercicio de la facultad que me confiere el art. 90.2 de la Ley Orgánica del Tribunal Constitucional (LOTC) y con respeto a la opinión de mis compañeros, formulo el presente voto particular concurrente a la sentencia dictada en el presente recurso de amparo pues, aunque comparto el fallo estimatorio, disiento en parte de la fundamentación.</w:t>
      </w:r>
    </w:p>
    <w:p w14:paraId="7A9A8C25" w14:textId="77777777" w:rsidR="003754FE" w:rsidRDefault="003754FE" w:rsidP="003754FE">
      <w:pPr>
        <w:pStyle w:val="TextoNormal"/>
      </w:pPr>
    </w:p>
    <w:p w14:paraId="632823E6" w14:textId="77777777" w:rsidR="003754FE" w:rsidRDefault="003754FE" w:rsidP="003754FE">
      <w:pPr>
        <w:pStyle w:val="TextoNormal"/>
      </w:pPr>
      <w:r>
        <w:t>Como expuse en la deliberación, para la cabal comprensión del asunto sometido a nuestra consideración era necesario exponer con mayor claridad los antecedentes del caso, pues ello habría evidenciado que la singular actuación de la Sala de Vacaciones de la Sección Primera de la Sala de lo Penal de la Audiencia Nacional (y a la postre de la Sección en pleno), vino precedida de la muy desafortunada actuación de dicha Sección en la peculiar composición de magistrados que dictaron el auto de 28 de julio de 2022, que estimó el recurso de apelación del demandante de amparo sobre clasificación penitenciaria.</w:t>
      </w:r>
    </w:p>
    <w:p w14:paraId="1B43C58A" w14:textId="77777777" w:rsidR="003754FE" w:rsidRDefault="003754FE" w:rsidP="003754FE">
      <w:pPr>
        <w:pStyle w:val="TextoNormal"/>
      </w:pPr>
    </w:p>
    <w:p w14:paraId="147D8DDF" w14:textId="77777777" w:rsidR="003754FE" w:rsidRDefault="003754FE" w:rsidP="003754FE">
      <w:pPr>
        <w:pStyle w:val="TextoNormal"/>
      </w:pPr>
      <w:r>
        <w:t>En efecto, como se refleja en el auto de 26 de septiembre de 2022 que anula el anterior, resulta que, señalada la deliberación del recurso de apelación para el 9 de junio de 2022, ni en esa fecha ni en las posteriores se llevó por el magistrado ponente el asunto a la deliberación con los magistrados con los que formaba sala conforme a lo indicado en la diligencia de ordenación de 31 de mayo de 2002 ni se presentó proyecto alguno de resolución para su firma a los magistrados designados. Fue pocos días después de que iniciaran el disfrute de sus vacaciones los dos magistrados que componían sala con el ponente, quien en esas fechas tenía también concedido un permiso oficial comunicado a la presidencia de la Sala (los días 26, 27 y 28 de julio de 2022), cuando se dictó el 28 de julio de 2022 el auto en cuestión por la Sección Primera, compuesta por el mismo magistrado ponente, pero con dos magistrados distintos (uno de la propia Sección Primera y otro de la Sección Segunda) de los inicialmente designados (cambio de composición del tribunal que no fue comunicado a las partes previamente al dictado del auto). Así pues, el auto de 28 de julio de 2022 se dictó, a propuesta sí del ponente, pero por un órgano compuesto de forma distinta a como se había fijado y notificado a las partes.</w:t>
      </w:r>
    </w:p>
    <w:p w14:paraId="4F9675D9" w14:textId="77777777" w:rsidR="003754FE" w:rsidRDefault="003754FE" w:rsidP="003754FE">
      <w:pPr>
        <w:pStyle w:val="TextoNormal"/>
      </w:pPr>
    </w:p>
    <w:p w14:paraId="42312BF8" w14:textId="77777777" w:rsidR="003754FE" w:rsidRDefault="003754FE" w:rsidP="003754FE">
      <w:pPr>
        <w:pStyle w:val="TextoNormal"/>
      </w:pPr>
      <w:r>
        <w:t>La secuencia descrita no debió ser obviada en la fundamentación de nuestra sentencia, pues no parece justificado —por decir lo menos— que la demora del ponente en llevar a deliberación un asunto (casi dos meses) y proponer el correspondiente proyecto de resolución para que pudiera ser aprobado y firmado por el resto de los magistrados, designados con reglas objetivas, posibilite un cambio de la composición del tribunal, lo que sería tanto como dejar en manos del ponente la selección de magistrados integrantes del tribunal, en detrimento del principio del juez natural. En suma, lo cierto es que el auto de 28 de julio de 2022 fue dictado por un tribunal con una composición diferente a la que le correspondía conforme a la designación inicial y así debió advertirlo nuestra sentencia, sin perjuicio de otorgar el amparo al demandante por vulneración del derecho a la tutela judicial efectiva, en la vertiente de intangibilidad de las resoluciones judiciales firmes.</w:t>
      </w:r>
    </w:p>
    <w:p w14:paraId="40D19765" w14:textId="77777777" w:rsidR="003754FE" w:rsidRDefault="003754FE" w:rsidP="003754FE">
      <w:pPr>
        <w:pStyle w:val="TextoNormal"/>
      </w:pPr>
    </w:p>
    <w:p w14:paraId="5220AF18" w14:textId="77777777" w:rsidR="003754FE" w:rsidRDefault="003754FE" w:rsidP="003754FE">
      <w:pPr>
        <w:pStyle w:val="TextoNormal"/>
      </w:pPr>
      <w:r>
        <w:t xml:space="preserve">Por otra parte, al abordar el enjuiciamiento de las resoluciones impugnadas en amparo, la sentencia incurre en algunas imprecisiones que me parece importante destacar, para situar el alcance de la actuación judicial en sus justos términos. Comparto la apreciación de que el peculiar incidente de nulidad promovido por el Ministerio Fiscal, a raíz de la providencia dictada por la Sala de Vacaciones, fue tramitado por la Sección Primera sin atender a sus reglas, pero discrepo de algunas afirmaciones contenidas al respecto en nuestra sentencia. Es cierto que el fiscal no invoca en su parco escrito la vulneración de ningún derecho fundamental (ni el derecho al juez ordinario predeterminado por la ley, en el que a la postre funda la Sección Primera la anulación del auto de 28 de julio de 2022, ni ningún otro derecho) y que, por consiguiente, el demandante no tuvo oportunidad de alegar sobre una posible causa de nulidad para él desconocida, pero no me parece acertado afirmar, como se hace en </w:t>
      </w:r>
      <w:r>
        <w:lastRenderedPageBreak/>
        <w:t>nuestra sentencia, que la intervención anulatoria del órgano judicial se produjo de oficio y contravino la legitimación para instar el excepcional incidente de nulidad de actuaciones previsto en el art. 241 de la Ley Orgánica del Poder Judicial (LOPJ), pues no es así.</w:t>
      </w:r>
    </w:p>
    <w:p w14:paraId="0E68762F" w14:textId="77777777" w:rsidR="003754FE" w:rsidRDefault="003754FE" w:rsidP="003754FE">
      <w:pPr>
        <w:pStyle w:val="TextoNormal"/>
      </w:pPr>
    </w:p>
    <w:p w14:paraId="49B7B772" w14:textId="77777777" w:rsidR="003754FE" w:rsidRDefault="003754FE" w:rsidP="003754FE">
      <w:pPr>
        <w:pStyle w:val="TextoNormal"/>
      </w:pPr>
      <w:r>
        <w:t>En efecto, por más que la actuación de la Sala de Vacaciones en la providencia de 26 de agosto de 2022 excitando el celo del Ministerio Fiscal pueda resultar jurídicamente discutible (en la medida en que no se justifica la urgencia de su intervención en el periodo vacacional), es innegable que el incidente de nulidad frente al auto de 28 de julio de 2022 fue promovido por aquel, esto es, por parte legitimada en el proceso, y dentro del plazo establecido, como exige el art. 241.1 LOPJ. Cuestión distinta es que dicho incidente de nulidad debiera haber sido inadmitido por la Sección Primera, porque aun cuando se formuló por sujeto legitimado, el Ministerio Fiscal, y se invocaron los procedentes artículos de la LOPJ, no se expresó en cuál o cuáles derechos fundamentales de los referidos en el art. 53.2 de la Constitución se fundaba, como igualmente exige el citado art. 241.1 LOPJ.</w:t>
      </w:r>
    </w:p>
    <w:p w14:paraId="70E16745" w14:textId="77777777" w:rsidR="003754FE" w:rsidRDefault="003754FE" w:rsidP="003754FE">
      <w:pPr>
        <w:pStyle w:val="TextoNormal"/>
      </w:pPr>
    </w:p>
    <w:p w14:paraId="43956407" w14:textId="1243A580" w:rsidR="003754FE" w:rsidRDefault="003754FE" w:rsidP="003754FE">
      <w:pPr>
        <w:pStyle w:val="TextoNormal"/>
      </w:pPr>
      <w:r>
        <w:t>Madrid, a nueve de septiembre de dos mil veinticuatro.</w:t>
      </w:r>
    </w:p>
    <w:p w14:paraId="14540FE9" w14:textId="77F30AF9" w:rsidR="003754FE" w:rsidRDefault="003754FE">
      <w:pPr>
        <w:spacing w:after="160" w:line="278" w:lineRule="auto"/>
        <w:rPr>
          <w:rFonts w:ascii="Times New Roman" w:eastAsia="Times New Roman" w:hAnsi="Times New Roman" w:cs="Times New Roman"/>
          <w:sz w:val="24"/>
          <w:szCs w:val="24"/>
          <w:lang w:eastAsia="es-ES"/>
        </w:rPr>
      </w:pPr>
      <w:r>
        <w:br w:type="page"/>
      </w:r>
    </w:p>
    <w:p w14:paraId="15681895" w14:textId="77777777" w:rsidR="003754FE" w:rsidRDefault="003754FE" w:rsidP="003754FE">
      <w:pPr>
        <w:pStyle w:val="TtuloResolucin"/>
      </w:pPr>
      <w:bookmarkStart w:id="17" w:name="SENTENCIA_2024_108"/>
      <w:r>
        <w:lastRenderedPageBreak/>
        <w:t>SENTENCIA 108/2024, de 9 de septiembre de 2024</w:t>
      </w:r>
    </w:p>
    <w:bookmarkEnd w:id="17"/>
    <w:p w14:paraId="2EA3C241" w14:textId="77777777" w:rsidR="003754FE" w:rsidRDefault="003754FE" w:rsidP="003754FE">
      <w:pPr>
        <w:pStyle w:val="TtuloResolucin"/>
      </w:pPr>
      <w:r>
        <w:t>Sala Segunda</w:t>
      </w:r>
    </w:p>
    <w:p w14:paraId="31651DD1" w14:textId="77777777" w:rsidR="003754FE" w:rsidRDefault="003754FE" w:rsidP="003754FE">
      <w:pPr>
        <w:pStyle w:val="TtuloBOE"/>
      </w:pPr>
      <w:r>
        <w:t>(BOE núm. 247, de 12 de octubre de 2024)</w:t>
      </w:r>
    </w:p>
    <w:p w14:paraId="2182E1C5" w14:textId="77777777" w:rsidR="003754FE" w:rsidRDefault="003754FE" w:rsidP="003754FE">
      <w:pPr>
        <w:pStyle w:val="TextoNormalCentrado"/>
      </w:pPr>
      <w:r>
        <w:t>ECLI:ES:TC:2024:108</w:t>
      </w:r>
    </w:p>
    <w:p w14:paraId="18876A59" w14:textId="1E0784EB" w:rsidR="003754FE" w:rsidRDefault="003754FE" w:rsidP="003754FE">
      <w:pPr>
        <w:pStyle w:val="TextoNormalCentrado"/>
      </w:pPr>
    </w:p>
    <w:p w14:paraId="1954C436" w14:textId="77777777" w:rsidR="003754FE" w:rsidRDefault="003754FE" w:rsidP="003754FE">
      <w:pPr>
        <w:pStyle w:val="SntesisDescriptiva"/>
      </w:pPr>
      <w:r>
        <w:t>Recurso de amparo 2922-2023. Promovido por don Ibrahim Cetin en relación con la sentencia de la Audiencia Provincial de Barcelona que anuló la previa absolución por un delito de atentado contra la autoridad en concurso ideal con un delito leve de lesiones.</w:t>
      </w:r>
    </w:p>
    <w:p w14:paraId="45F65C40" w14:textId="39916176" w:rsidR="003754FE" w:rsidRDefault="003754FE" w:rsidP="003754FE">
      <w:pPr>
        <w:pStyle w:val="SntesisDescriptiva"/>
      </w:pPr>
    </w:p>
    <w:p w14:paraId="11337D89" w14:textId="77777777" w:rsidR="003754FE" w:rsidRDefault="003754FE" w:rsidP="003754FE">
      <w:pPr>
        <w:pStyle w:val="SntesisAnaltica"/>
      </w:pPr>
      <w:r>
        <w:t>Vulneración de los derechos a la tutela judicial efectiva (resolución fundada en derecho) y a la presunción de inocencia: STC 72/2024 (revocación de la sentencia absolutoria basada en una discrepancia en la valoración de la prueba que supone una extralimitación de las facultades del tribunal de apelación).</w:t>
      </w:r>
    </w:p>
    <w:p w14:paraId="6EA4B716" w14:textId="5B2763FB" w:rsidR="003754FE" w:rsidRDefault="003754FE" w:rsidP="003754FE">
      <w:pPr>
        <w:pStyle w:val="SntesisAnaltica"/>
      </w:pPr>
    </w:p>
    <w:p w14:paraId="0C63B0FB" w14:textId="1A28C68C" w:rsidR="003754FE" w:rsidRDefault="003754FE" w:rsidP="003754FE">
      <w:pPr>
        <w:pStyle w:val="Extracto"/>
      </w:pPr>
      <w:r>
        <w:t>1.</w:t>
      </w:r>
      <w:r>
        <w:tab/>
        <w:t>El control que es posible en apelación para controvertir el juicio fáctico de una sentencia absolutoria no consiente el acceso a las fuentes de prueba para reevaluarlas dado que, en nuestro modelo de revisión, sería contrario a las garantías del juicio justo que no permiten, en ese contexto impugnatorio de las acusaciones, una valoración alternativa de las inferencias fácticas ni una reconstrucción del hecho probado (STC 72/2024) [FJ 4].</w:t>
      </w:r>
    </w:p>
    <w:p w14:paraId="580476C1" w14:textId="77777777" w:rsidR="003754FE" w:rsidRDefault="003754FE" w:rsidP="003754FE">
      <w:pPr>
        <w:pStyle w:val="Extracto"/>
      </w:pPr>
    </w:p>
    <w:p w14:paraId="1D0C9B62" w14:textId="77777777" w:rsidR="003754FE" w:rsidRDefault="003754FE" w:rsidP="003754FE">
      <w:pPr>
        <w:pStyle w:val="Extracto"/>
      </w:pPr>
    </w:p>
    <w:p w14:paraId="72FD4899"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Enrique Arnaldo Alcubilla, don César Tolosa Tribiño y doña Laura Díez Bueso, ha pronunciado</w:t>
      </w:r>
    </w:p>
    <w:p w14:paraId="4B1A0C1F" w14:textId="302ABF65" w:rsidR="003754FE" w:rsidRDefault="003754FE" w:rsidP="003754FE">
      <w:pPr>
        <w:pStyle w:val="TextoNormal"/>
      </w:pPr>
    </w:p>
    <w:p w14:paraId="2A567D8B" w14:textId="77777777" w:rsidR="003754FE" w:rsidRDefault="003754FE" w:rsidP="003754FE">
      <w:pPr>
        <w:pStyle w:val="TextoNormalCentrado"/>
        <w:keepNext/>
      </w:pPr>
      <w:r>
        <w:t>EN NOMBRE DEL REY</w:t>
      </w:r>
    </w:p>
    <w:p w14:paraId="7B6075AF" w14:textId="3E8FB66E" w:rsidR="003754FE" w:rsidRDefault="003754FE" w:rsidP="003754FE">
      <w:pPr>
        <w:pStyle w:val="TextoNormalCentrado"/>
        <w:keepNext/>
      </w:pPr>
    </w:p>
    <w:p w14:paraId="4DE8979E" w14:textId="77777777" w:rsidR="003754FE" w:rsidRDefault="003754FE" w:rsidP="003754FE">
      <w:pPr>
        <w:pStyle w:val="TextoNormalCentrado"/>
        <w:keepNext/>
      </w:pPr>
    </w:p>
    <w:p w14:paraId="6622FC29" w14:textId="77777777" w:rsidR="003754FE" w:rsidRDefault="003754FE" w:rsidP="003754FE">
      <w:pPr>
        <w:pStyle w:val="TextoNormal"/>
      </w:pPr>
      <w:r>
        <w:t>la siguiente</w:t>
      </w:r>
    </w:p>
    <w:p w14:paraId="12685B4B" w14:textId="488309FD" w:rsidR="003754FE" w:rsidRDefault="003754FE" w:rsidP="003754FE">
      <w:pPr>
        <w:pStyle w:val="TextoNormal"/>
      </w:pPr>
    </w:p>
    <w:p w14:paraId="627CC90C" w14:textId="77777777" w:rsidR="003754FE" w:rsidRDefault="003754FE" w:rsidP="003754FE">
      <w:pPr>
        <w:pStyle w:val="TextoNormalCentrado"/>
        <w:keepNext/>
      </w:pPr>
      <w:r>
        <w:t>SENTENCIA</w:t>
      </w:r>
    </w:p>
    <w:p w14:paraId="39E65D75" w14:textId="559C2679" w:rsidR="003754FE" w:rsidRDefault="003754FE" w:rsidP="003754FE">
      <w:pPr>
        <w:pStyle w:val="TextoNormalCentrado"/>
        <w:keepNext/>
      </w:pPr>
    </w:p>
    <w:p w14:paraId="17486635" w14:textId="77777777" w:rsidR="003754FE" w:rsidRDefault="003754FE" w:rsidP="003754FE">
      <w:pPr>
        <w:pStyle w:val="TextoNormal"/>
      </w:pPr>
      <w:r>
        <w:t>En el recurso de amparo núm. 2922-2023, interpuesto por don Ibrahim Cetin contra la sentencia de 12 de enero de 2023 de la Sección Octava de la Audiencia Provincial de Barcelona, dictada en el recurso de apelación núm. 191-2022, y la providencia de 6 de marzo de 2023, que inadmite el incidente de nulidad promovido frente a dicha sentencia. Ha comparecido y formulado alegaciones don Kalafat Güçlü. Ha intervenido el Ministerio Fiscal. Ha sido ponente el magistrado don Enrique Arnaldo Alcubilla.</w:t>
      </w:r>
    </w:p>
    <w:p w14:paraId="3A9DB88E" w14:textId="462512A0" w:rsidR="003754FE" w:rsidRDefault="003754FE" w:rsidP="003754FE">
      <w:pPr>
        <w:pStyle w:val="TextoNormal"/>
      </w:pPr>
    </w:p>
    <w:p w14:paraId="467A765B" w14:textId="77777777" w:rsidR="003754FE" w:rsidRDefault="003754FE" w:rsidP="003754FE">
      <w:pPr>
        <w:pStyle w:val="TextoNormalNegritaCentrado"/>
        <w:keepNext/>
      </w:pPr>
      <w:r>
        <w:t>I. Antecedentes</w:t>
      </w:r>
    </w:p>
    <w:p w14:paraId="7BB3F0F0" w14:textId="412F1662" w:rsidR="003754FE" w:rsidRDefault="003754FE" w:rsidP="003754FE">
      <w:pPr>
        <w:pStyle w:val="TextoNormalNegritaCentrado"/>
        <w:keepNext/>
      </w:pPr>
    </w:p>
    <w:p w14:paraId="4E3B88D2" w14:textId="6712CEEF" w:rsidR="003754FE" w:rsidRDefault="003754FE" w:rsidP="003754FE">
      <w:pPr>
        <w:pStyle w:val="TextoNormal"/>
      </w:pPr>
      <w:r w:rsidRPr="003754FE">
        <w:rPr>
          <w:rStyle w:val="NumeroAFNegritaCaracter"/>
        </w:rPr>
        <w:t>1</w:t>
      </w:r>
      <w:r>
        <w:t xml:space="preserve">. Mediante escrito presentado en el registro general del Tribunal Constitucional el 4 de mayo de 2023, el procurador de los tribunales don Adolfo Morales Hernández-Sanjuán, en nombre y representación de don Ibrahim Cetin y asistido por la abogada doña Norma </w:t>
      </w:r>
      <w:r>
        <w:lastRenderedPageBreak/>
        <w:t>Pedemonte i Rubió, interpuso recurso de amparo contra las resoluciones judiciales mencionadas en el encabezamiento.</w:t>
      </w:r>
    </w:p>
    <w:p w14:paraId="3939F0CA" w14:textId="77777777" w:rsidR="003754FE" w:rsidRDefault="003754FE" w:rsidP="003754FE">
      <w:pPr>
        <w:pStyle w:val="TextoNormal"/>
      </w:pPr>
    </w:p>
    <w:p w14:paraId="10D080DC" w14:textId="77777777" w:rsidR="003754FE" w:rsidRDefault="003754FE" w:rsidP="003754FE">
      <w:pPr>
        <w:pStyle w:val="TextoNormal"/>
      </w:pPr>
      <w:r w:rsidRPr="003754FE">
        <w:rPr>
          <w:rStyle w:val="NumeroAFNegritaCaracter"/>
        </w:rPr>
        <w:t>2</w:t>
      </w:r>
      <w:r>
        <w:t>. El recurso tiene su origen en los antecedentes que seguidamente se relacionan:</w:t>
      </w:r>
    </w:p>
    <w:p w14:paraId="6471F7EA" w14:textId="77777777" w:rsidR="003754FE" w:rsidRDefault="003754FE" w:rsidP="003754FE">
      <w:pPr>
        <w:pStyle w:val="TextoNormal"/>
      </w:pPr>
    </w:p>
    <w:p w14:paraId="77CACA20" w14:textId="77777777" w:rsidR="003754FE" w:rsidRDefault="003754FE" w:rsidP="003754FE">
      <w:pPr>
        <w:pStyle w:val="TextoNormal"/>
      </w:pPr>
      <w:r>
        <w:t>a) El Juzgado de lo Penal núm. 25 de Barcelona dictó sentencia el 31 de mayo de 2022 en el procedimiento abreviado núm. 551-2021, en la que absolvió al demandante de amparo del delito de atentado contra la autoridad (art. 550.1 y 2 del Código penal, en adelante CP), en concurso ideal con un delito leve de lesiones (art. 147.2 CP), con la agravante de discriminación por ideología (art. 22.4 CP), de los que había sido acusado por el Ministerio Fiscal y por la acusación particular, declarando de oficio las costas del procedimiento.</w:t>
      </w:r>
    </w:p>
    <w:p w14:paraId="0E038814" w14:textId="77777777" w:rsidR="003754FE" w:rsidRDefault="003754FE" w:rsidP="003754FE">
      <w:pPr>
        <w:pStyle w:val="TextoNormal"/>
      </w:pPr>
    </w:p>
    <w:p w14:paraId="74D9FE46" w14:textId="77777777" w:rsidR="003754FE" w:rsidRDefault="003754FE" w:rsidP="003754FE">
      <w:pPr>
        <w:pStyle w:val="TextoNormal"/>
      </w:pPr>
      <w:r>
        <w:t>En síntesis, los hechos atribuidos consistían en la agresión que, presuntamente, el acusado, de nacionalidad turca y origen kurdo, residente en España desde abril de 2017, habría cometido a la salida de un restaurante sito en el núm. 31 de la ronda Universat de Barcelona contra quien, en ese momento, ostentaba la condición de cónsul de Turquía en esa ciudad (don Kalafat Güçlü). En la sentencia del juzgado se absuelve al acusado por entender que no ha quedado probado que fuese el autor de la agresión que el cónsul turco afirma haber sufrido a la salida del indicado local en la fecha y hora referidos. Así, en el relato de hechos probados de la sentencia se hace constar que “No ha quedado acreditado que Ibrahim Cetin, sobre las 23:33 horas del día 10 de octubre de 2019, cuando Kalafat Güçlü salió del restaurante, guiado por el propósito de ofender a este y a su acompañante y de menoscabar la integridad física de Kalafat Güçlü, le propinara un puñetazo en la cara mientras en lengua turca gritaba ‘sois unos hijos de puta’”.</w:t>
      </w:r>
    </w:p>
    <w:p w14:paraId="221AA1E4" w14:textId="77777777" w:rsidR="003754FE" w:rsidRDefault="003754FE" w:rsidP="003754FE">
      <w:pPr>
        <w:pStyle w:val="TextoNormal"/>
      </w:pPr>
    </w:p>
    <w:p w14:paraId="648C282B" w14:textId="77777777" w:rsidR="003754FE" w:rsidRDefault="003754FE" w:rsidP="003754FE">
      <w:pPr>
        <w:pStyle w:val="TextoNormal"/>
      </w:pPr>
      <w:r>
        <w:t>Se razona en la sentencia que la declaración prestada por el perjudicado y el informe médico aportado (en el que se aprecia una contusión en la zona malar) permiten tener por acreditada la existencia de la agresión, pero no así su autoría. Las tareas de identificación policial del autor de los hechos se basaron en las imágenes de las cámaras de dos restaurantes tomadas sobre la vía pública, así como en un vídeo de una manifestación de protesta en Barcelona contra las acciones del Gobierno turco en la zona kurda de Siria (en la sentencia se señala que “parece que había un seguimiento del acusado con carácter previo a la fecha de los hechos, por su presunta vinculación con el PKK [Partido de los Trabajadores de Kurdistán], lo que pudo predeterminar la atribución del hecho al acusado”), imágenes que no permiten identificar al autor, sin que el testimonio del agente de policía que depuso en el juicio oral resulte suficiente, según el juzgado, para acreditar que el acusado fuera quien cometió la agresión. Llega el juzgado a la misma conclusión en cuanto al reconocimiento efectuado por el agredido, porque considera este ofreció una descripción inicial muy genérica del presunto autor en su denuncia, y el posterior reconocimiento en rueda está viciado porque vino precedido por la muestra de fotografías del acusado en la comisaría de policía.</w:t>
      </w:r>
    </w:p>
    <w:p w14:paraId="1365B591" w14:textId="77777777" w:rsidR="003754FE" w:rsidRDefault="003754FE" w:rsidP="003754FE">
      <w:pPr>
        <w:pStyle w:val="TextoNormal"/>
      </w:pPr>
    </w:p>
    <w:p w14:paraId="05E66112" w14:textId="77777777" w:rsidR="003754FE" w:rsidRDefault="003754FE" w:rsidP="003754FE">
      <w:pPr>
        <w:pStyle w:val="TextoNormal"/>
      </w:pPr>
      <w:r>
        <w:t xml:space="preserve">b) La representación procesal del acusador particular interpuso recurso de apelación contra la anterior sentencia, al que se adhirió el Ministerio Fiscal. Con apoyo en lo dispuesto en los arts. 790.2 y 792.2 de la Ley de enjuiciamiento criminal (en adelante LECrim), en la redacción resultante de la reforma introducida por la Ley 41/2015, de 5 de octubre, de modificación de la Ley de enjuiciamiento criminal para la agilización de la justicia penal y el fortalecimiento de las garantías procesales, el recurso vino fundamentado en apreciar la existencia de un error en la valoración de la prueba, solicitándose que, con estimación del </w:t>
      </w:r>
      <w:r>
        <w:lastRenderedPageBreak/>
        <w:t>mismo, se anulase la sentencia absolutoria impugnada y se ordenase la devolución de las actuaciones al Juzgado de lo Penal núm. 25 de Barcelona para que, por otro magistrado, dictase nueva sentencia.</w:t>
      </w:r>
    </w:p>
    <w:p w14:paraId="4CB37FDF" w14:textId="77777777" w:rsidR="003754FE" w:rsidRDefault="003754FE" w:rsidP="003754FE">
      <w:pPr>
        <w:pStyle w:val="TextoNormal"/>
      </w:pPr>
    </w:p>
    <w:p w14:paraId="2FAFB33A" w14:textId="77777777" w:rsidR="003754FE" w:rsidRDefault="003754FE" w:rsidP="003754FE">
      <w:pPr>
        <w:pStyle w:val="TextoNormal"/>
      </w:pPr>
      <w:r>
        <w:t>c) Remitidos los autos a la Sección Octava de la Audiencia Provincial de Barcelona, esta dictó sentencia el 12 de enero de 2023 estimando el recurso de apelación, declarando la nulidad de la sentencia absolutoria impugnada y del plenario y retrotrayendo las actuaciones al momento anterior a la celebración del juicio para que se celebre este de nuevo en el Juzgado de lo Penal núm. 25 de Barcelona ante un juez distinto (arts. 790 y 792 LECrim), dada la “patente impronta del razonamiento determinante del pronunciamiento absolutorio”, para preservar el derecho a un juez imparcial (art. 24.2 CE).</w:t>
      </w:r>
    </w:p>
    <w:p w14:paraId="59546C6B" w14:textId="77777777" w:rsidR="003754FE" w:rsidRDefault="003754FE" w:rsidP="003754FE">
      <w:pPr>
        <w:pStyle w:val="TextoNormal"/>
      </w:pPr>
    </w:p>
    <w:p w14:paraId="3BCBD117" w14:textId="77777777" w:rsidR="003754FE" w:rsidRDefault="003754FE" w:rsidP="003754FE">
      <w:pPr>
        <w:pStyle w:val="TextoNormal"/>
      </w:pPr>
      <w:r>
        <w:t>En su resolución, la Audiencia Provincial de Barcelona recuerda la doctrina constitucional sobre los límites para la revocación de sentencias absolutorias, señalando que, tal como estaba planteado el recurso de apelación, su análisis debía centrarse en la falta de razonabilidad de la motivación fáctica de la sentencia del juzgado. Más en concreto, a partir del examen de la videograbación del juicio, la Audiencia Provincial considera inconsistente el razonamiento del juzgado que niega credibilidad al testimonio del agente policial que identificó al autor a partir de las imágenes tomadas en el lugar de los hechos y su comparación con otras imágenes tomadas en manifestaciones de protesta contra el Gobierno turco celebradas en Barcelona, y que en el acto del juicio ratificó la identificación plasmada en el atestado, puntualizando que los datos de nombre y apellido fueron conocidos con posterioridad al de sus rasgos físicos. Asimismo, en cuanto a la identificación realizada por la víctima, la Audiencia Provincial considera que el criterio del juzgado resulta contrario a una constante doctrina legal, que admite la validez del reconocimiento en rueda aunque previamente se haya realizado un reconocimiento fotográfico.</w:t>
      </w:r>
    </w:p>
    <w:p w14:paraId="352655A6" w14:textId="77777777" w:rsidR="003754FE" w:rsidRDefault="003754FE" w:rsidP="003754FE">
      <w:pPr>
        <w:pStyle w:val="TextoNormal"/>
      </w:pPr>
    </w:p>
    <w:p w14:paraId="243818B1" w14:textId="03F7AF39" w:rsidR="003754FE" w:rsidRDefault="003754FE" w:rsidP="003754FE">
      <w:pPr>
        <w:pStyle w:val="TextoNormal"/>
      </w:pPr>
      <w:r>
        <w:t>d) El recurrente promovió un incidente de nulidad contra la sentencia dictada en apelación, en el que invocó la lesión de los derechos a la tutela judicial efectiva (art. 24.1 CE), a la defensa, a un proceso con todas las garantías y a la presunción de inocencia (art. 24.2 CE), que fue inadmitido por providencia de 6 de marzo de 2023 de la Sección Octava de la Audiencia Provincial de Barcelona.</w:t>
      </w:r>
    </w:p>
    <w:p w14:paraId="212CA675" w14:textId="77777777" w:rsidR="003754FE" w:rsidRDefault="003754FE" w:rsidP="003754FE">
      <w:pPr>
        <w:pStyle w:val="TextoNormal"/>
      </w:pPr>
    </w:p>
    <w:p w14:paraId="7933E255" w14:textId="77777777" w:rsidR="003754FE" w:rsidRDefault="003754FE" w:rsidP="003754FE">
      <w:pPr>
        <w:pStyle w:val="TextoNormal"/>
      </w:pPr>
      <w:r w:rsidRPr="003754FE">
        <w:rPr>
          <w:rStyle w:val="NumeroAFNegritaCaracter"/>
        </w:rPr>
        <w:t>3</w:t>
      </w:r>
      <w:r>
        <w:t>. El recurrente, tras referirse a los antecedentes del asunto y exponer en su recurso de amparo las razones que dotan a este de especial trascendencia constitucional, aduce que la sentencia dictada en apelación por la Sección Octava de la Audiencia Provincial de Barcelona, que revoca el pronunciamiento absolutorio del juzgado de lo penal y ordena retrotraer las actuaciones para que se celebre de nuevo el juicio oral ante un juez distinto, ha vulnerado sus derechos fundamentales a la tutela judicial efectiva, a la defensa, a un proceso con todas las garantías y a la presunción de inocencia, por los motivos que siguen.</w:t>
      </w:r>
    </w:p>
    <w:p w14:paraId="57EEF654" w14:textId="77777777" w:rsidR="003754FE" w:rsidRDefault="003754FE" w:rsidP="003754FE">
      <w:pPr>
        <w:pStyle w:val="TextoNormal"/>
      </w:pPr>
    </w:p>
    <w:p w14:paraId="76492487" w14:textId="77777777" w:rsidR="003754FE" w:rsidRDefault="003754FE" w:rsidP="003754FE">
      <w:pPr>
        <w:pStyle w:val="TextoNormal"/>
      </w:pPr>
      <w:r>
        <w:t xml:space="preserve">a) Como primer motivo de amparo se alega la vulneración del derecho a tutela judicial efectiva (art. 24.1 CE), por falta de motivación y de congruencia de la sentencia impugnada. Considera el recurrente, en primer lugar, que la Audiencia Provincial de Barcelona no se ha limitado a controlar la razonabilidad del discurso argumental del juzgado de lo penal, sino que ha realizado una nueva valoración de la prueba practicada en el plenario (en particular, de las declaraciones prestadas por un agente policial y por el denunciante), para cuya ponderación se requiere una inmediación que la Audiencia Provincial no tenía, sin que sea </w:t>
      </w:r>
      <w:r>
        <w:lastRenderedPageBreak/>
        <w:t>suficiente el visionado de la grabación del juicio oral celebrado en primera instancia; no se han respetado, pues, las garantías de oralidad, inmediación y contradicción. En segundo lugar, la sentencia impugnada incurre en incongruencia por no haberse pronunciado sobre una de las pretensiones del recurrente en amparo, consistente en la revisión de la decisión sobre la imposición de las costas de oficio, que había sido planteada en el escrito de impugnación del recurso de apelación.</w:t>
      </w:r>
    </w:p>
    <w:p w14:paraId="1F61FBD8" w14:textId="77777777" w:rsidR="003754FE" w:rsidRDefault="003754FE" w:rsidP="003754FE">
      <w:pPr>
        <w:pStyle w:val="TextoNormal"/>
      </w:pPr>
    </w:p>
    <w:p w14:paraId="48A5FF16" w14:textId="77777777" w:rsidR="003754FE" w:rsidRDefault="003754FE" w:rsidP="003754FE">
      <w:pPr>
        <w:pStyle w:val="TextoNormal"/>
      </w:pPr>
      <w:r>
        <w:t xml:space="preserve">b) En el segundo motivo de amparo se alega la vulneración de los derechos a la defensa, a un proceso con todas las garantías y a la presunción de inocencia (art. 24.2 CE). Sostiene el recurrente que, conforme a la jurisprudencia del Tribunal Constitucional y del Tribunal Europeo de Derechos Humanos, para revocar en apelación una sentencia penal absolutoria, con fundamento en una diferente apreciación del tribunal </w:t>
      </w:r>
      <w:r w:rsidRPr="003754FE">
        <w:rPr>
          <w:i/>
        </w:rPr>
        <w:t>ad quem</w:t>
      </w:r>
      <w:r>
        <w:t xml:space="preserve"> sobre la concurrencia de los presupuestos fácticos de los elementos subjetivos del tipo penal, es necesario que el acusado sea oído. En este caso, se ha revocado el pronunciamiento absolutorio del juzgado de lo penal sin dar audiencia al acusado, partiendo de la nueva valoración que realiza la Audiencia Provincial de la prueba testifical en cuanto a la identificación del autor de la agresión.</w:t>
      </w:r>
    </w:p>
    <w:p w14:paraId="2FC9D1E9" w14:textId="77777777" w:rsidR="003754FE" w:rsidRDefault="003754FE" w:rsidP="003754FE">
      <w:pPr>
        <w:pStyle w:val="TextoNormal"/>
      </w:pPr>
    </w:p>
    <w:p w14:paraId="535A7C81" w14:textId="24C97A35" w:rsidR="003754FE" w:rsidRDefault="003754FE" w:rsidP="003754FE">
      <w:pPr>
        <w:pStyle w:val="TextoNormal"/>
      </w:pPr>
      <w:r>
        <w:t>En el suplico de la demanda de amparo se solicita la declaración de nulidad de la sentencia impugnada y que se retrotraigan las actuaciones para que se dicte una nueva resolución respetuosa con los derechos fundamentales vulnerados. Mediante otrosí solicita la suspensión de la ejecución de la sentencia impugnada, pues de otro modo se producirían perjuicios irreparables que harían perder al recurso de amparo su finalidad, habida cuenta de que está prevista la celebración de nuevo juicio oral ante el Juzgado de lo Penal núm. 25 de Barcelona el día 22 de junio de 2023.</w:t>
      </w:r>
    </w:p>
    <w:p w14:paraId="2A1ACBE8" w14:textId="77777777" w:rsidR="003754FE" w:rsidRDefault="003754FE" w:rsidP="003754FE">
      <w:pPr>
        <w:pStyle w:val="TextoNormal"/>
      </w:pPr>
    </w:p>
    <w:p w14:paraId="430F0AF1" w14:textId="77777777" w:rsidR="003754FE" w:rsidRDefault="003754FE" w:rsidP="003754FE">
      <w:pPr>
        <w:pStyle w:val="TextoNormal"/>
      </w:pPr>
      <w:r w:rsidRPr="003754FE">
        <w:rPr>
          <w:rStyle w:val="NumeroAFNegritaCaracter"/>
        </w:rPr>
        <w:t>4</w:t>
      </w:r>
      <w:r>
        <w:t>. La Sección Cuarta de este tribunal, por providencia de 22 de junio de 2023, acordó la admisión a trámite del presente recurso de amparo, apreciando que concurre en el mismo una especial trascendencia constitucional (art. 50.1 de la Ley Orgánica del Tribunal Constitucional: LOTC) porque el recurso puede dar ocasión a este tribunal para aclarar o cambiar su doctrina, como consecuencia de un proceso de reflexión interna [STC 155/2009, de 25 de junio, FJ 2 b)]. Asimismo, en aplicación del art. 51 LOTC, acordó dirigir atenta comunicación al Juzgado de lo Penal núm. 25 de Barcelona y a la Sección Octava de la Audiencia Provincial de Barcelona para que remitieran, en un plazo no superior a diez días, testimonio de sus respectivas actuaciones (procedimiento abreviado núm. 551-2021 y rollo de apelación núm. 191-2022). Ordenó también el emplazamiento, por término de diez días, de quienes hubieran sido parte en el procedimiento penal para que pudieran comparecer, si lo desearan, en el recurso de amparo.</w:t>
      </w:r>
    </w:p>
    <w:p w14:paraId="785E7BE2" w14:textId="77777777" w:rsidR="003754FE" w:rsidRDefault="003754FE" w:rsidP="003754FE">
      <w:pPr>
        <w:pStyle w:val="TextoNormal"/>
      </w:pPr>
    </w:p>
    <w:p w14:paraId="5855A475" w14:textId="788695B4" w:rsidR="003754FE" w:rsidRDefault="003754FE" w:rsidP="003754FE">
      <w:pPr>
        <w:pStyle w:val="TextoNormal"/>
      </w:pPr>
      <w:r>
        <w:t>Asimismo se acordó, de conformidad con lo dispuesto en el art. 56.6 LOTC, la suspensión cautelar urgente del juicio oral previsto para celebrarse el 22 de junio de 2023 ante el Juzgado de lo Penal núm. 25 de Barcelona.</w:t>
      </w:r>
    </w:p>
    <w:p w14:paraId="0DE6C697" w14:textId="77777777" w:rsidR="003754FE" w:rsidRDefault="003754FE" w:rsidP="003754FE">
      <w:pPr>
        <w:pStyle w:val="TextoNormal"/>
      </w:pPr>
    </w:p>
    <w:p w14:paraId="3B1C9929" w14:textId="715A3763" w:rsidR="003754FE" w:rsidRDefault="003754FE" w:rsidP="003754FE">
      <w:pPr>
        <w:pStyle w:val="TextoNormal"/>
      </w:pPr>
      <w:r w:rsidRPr="003754FE">
        <w:rPr>
          <w:rStyle w:val="NumeroAFNegritaCaracter"/>
        </w:rPr>
        <w:t>5</w:t>
      </w:r>
      <w:r>
        <w:t>. El 28 de julio de 2023 compareció en las actuaciones la procuradora de los tribunales doña Adela Cano Lantero, en nombre y representación de don Kalafat Güçlü, y bajo la dirección técnica del abogado don Cristobal Martell Pérez-Alcalde, solicitando que se la tuviera por personada y parte en el presente recurso de amparo.</w:t>
      </w:r>
    </w:p>
    <w:p w14:paraId="37B7E3B7" w14:textId="77777777" w:rsidR="003754FE" w:rsidRDefault="003754FE" w:rsidP="003754FE">
      <w:pPr>
        <w:pStyle w:val="TextoNormal"/>
      </w:pPr>
    </w:p>
    <w:p w14:paraId="4E650F02" w14:textId="08FD143F" w:rsidR="003754FE" w:rsidRDefault="003754FE" w:rsidP="003754FE">
      <w:pPr>
        <w:pStyle w:val="TextoNormal"/>
      </w:pPr>
      <w:r w:rsidRPr="003754FE">
        <w:rPr>
          <w:rStyle w:val="NumeroAFNegritaCaracter"/>
        </w:rPr>
        <w:lastRenderedPageBreak/>
        <w:t>6</w:t>
      </w:r>
      <w:r>
        <w:t>. La secretaría de justicia de la Sala Segunda de este tribunal, por diligencia de 6 de septiembre de 2023, tuvo por personada y parte en el recurso de amparo a la procuradora doña Adela Cano Lantero, en nombre y representación de don Kalafat Güçlü y, una vez recibidos los testimonios de actuaciones, por diligencia de 20 de septiembre de 2023 acordó dar vista por plazo común de veinte días de las actuaciones a las partes y al Ministerio Fiscal, para que pudiesen presentar las alegaciones que estimaren pertinentes, de conformidad con el art. 52.1 LOTC.</w:t>
      </w:r>
    </w:p>
    <w:p w14:paraId="0FF63271" w14:textId="77777777" w:rsidR="003754FE" w:rsidRDefault="003754FE" w:rsidP="003754FE">
      <w:pPr>
        <w:pStyle w:val="TextoNormal"/>
      </w:pPr>
    </w:p>
    <w:p w14:paraId="7364B182" w14:textId="43DD2444" w:rsidR="003754FE" w:rsidRDefault="003754FE" w:rsidP="003754FE">
      <w:pPr>
        <w:pStyle w:val="TextoNormal"/>
      </w:pPr>
      <w:r w:rsidRPr="003754FE">
        <w:rPr>
          <w:rStyle w:val="NumeroAFNegritaCaracter"/>
        </w:rPr>
        <w:t>7</w:t>
      </w:r>
      <w:r>
        <w:t>. La representación procesal del recurrente presentó escrito de alegaciones el 19 de octubre de 2023, reiterando lo expuesto en la demanda de amparo. Por otrosí solicita que, de conformidad con lo dispuesto en el art. 95.2 LOTC, le sean impuestas a la acusación particular las costas derivadas de la tramitación del presente proceso, atendiendo a que ha mantenido una posición infundada, con temeridad y mala fe.</w:t>
      </w:r>
    </w:p>
    <w:p w14:paraId="454B9684" w14:textId="77777777" w:rsidR="003754FE" w:rsidRDefault="003754FE" w:rsidP="003754FE">
      <w:pPr>
        <w:pStyle w:val="TextoNormal"/>
      </w:pPr>
    </w:p>
    <w:p w14:paraId="20A1C756" w14:textId="77777777" w:rsidR="003754FE" w:rsidRDefault="003754FE" w:rsidP="003754FE">
      <w:pPr>
        <w:pStyle w:val="TextoNormal"/>
      </w:pPr>
      <w:r w:rsidRPr="003754FE">
        <w:rPr>
          <w:rStyle w:val="NumeroAFNegritaCaracter"/>
        </w:rPr>
        <w:t>8</w:t>
      </w:r>
      <w:r>
        <w:t>. La representación procesal de don Kalafat Güçlü presentó escrito de alegaciones el 23 de octubre de 2023, interesando la inadmisión del recurso de amparo o, subsidiariamente, su desestimación. Por otrosí solicita que, de conformidad con lo dispuesto en el art. 95.2 LOTC, le sean impuestas al demandante de amparo las costas derivadas de la tramitación del presente recurso, por haber actuado con temeridad.</w:t>
      </w:r>
    </w:p>
    <w:p w14:paraId="4A5FC238" w14:textId="77777777" w:rsidR="003754FE" w:rsidRDefault="003754FE" w:rsidP="003754FE">
      <w:pPr>
        <w:pStyle w:val="TextoNormal"/>
      </w:pPr>
    </w:p>
    <w:p w14:paraId="644A5AC8" w14:textId="77777777" w:rsidR="003754FE" w:rsidRDefault="003754FE" w:rsidP="003754FE">
      <w:pPr>
        <w:pStyle w:val="TextoNormal"/>
      </w:pPr>
      <w:r>
        <w:t>Sostiene, en primer lugar, que en la demanda de amparo no se justifica debidamente la especial trascendencia constitucional del recurso y, en todo caso, no concurre una especial trascendencia constitucional, lo que debe conducir a acordar la inadmisión del recurso de amparo. Los alegatos del demandante para cumplir la carga exigida por el art. 49.1 LOTC se vienen a confundir con la pretendida lesión de los derechos fundamentales por lo que solicita el otorgamiento del amparo. Y la genérica alusión de los supuestos b) y e) de la STC 155/2009, de 25 de junio, FJ 2, resulta además contradictoria, pues o existe un incumplimiento generalizado de la doctrina constitucional [supuesto e)], o existe una lesión del derecho cuya manifestación fenomenológica aún no ha podido tener encaje en la doctrina constitucional por circunstancias exógenas, que puede dar ocasión al Tribunal Constitucional para aclarar o cambiar su doctrina como consecuencia de un proceso de reflexión interna [supuesto b)], pero no ambos supuestos a la vez, como pretende el demandante de amparo.</w:t>
      </w:r>
    </w:p>
    <w:p w14:paraId="1DACCDD0" w14:textId="77777777" w:rsidR="003754FE" w:rsidRDefault="003754FE" w:rsidP="003754FE">
      <w:pPr>
        <w:pStyle w:val="TextoNormal"/>
      </w:pPr>
    </w:p>
    <w:p w14:paraId="3E4AE294" w14:textId="77777777" w:rsidR="003754FE" w:rsidRDefault="003754FE" w:rsidP="003754FE">
      <w:pPr>
        <w:pStyle w:val="TextoNormal"/>
      </w:pPr>
      <w:r>
        <w:t>En caso de que se entienda que se ha cumplido en la demanda de amparo la carga impuesta por el art. 49.1 LOTC y que el presente recurso reviste especial trascendencia constitucional, la representación procesal de don Kalafat Güçlü interesa la desestimación del presente recurso, por entender que las resoluciones judiciales impugnadas en amparo no han vulnerado los derechos fundamentales alegados por el recurrente.</w:t>
      </w:r>
    </w:p>
    <w:p w14:paraId="7A9B3CD2" w14:textId="77777777" w:rsidR="003754FE" w:rsidRDefault="003754FE" w:rsidP="003754FE">
      <w:pPr>
        <w:pStyle w:val="TextoNormal"/>
      </w:pPr>
    </w:p>
    <w:p w14:paraId="44A48FE9" w14:textId="77777777" w:rsidR="003754FE" w:rsidRDefault="003754FE" w:rsidP="003754FE">
      <w:pPr>
        <w:pStyle w:val="TextoNormal"/>
      </w:pPr>
      <w:r>
        <w:t xml:space="preserve">Por lo que atañe a la queja principal del demandante, referida a la pretendida lesión de los derechos a la tutela judicial efectiva, a la defensa, a un proceso con todas las garantías y a la presunción de inocencia, por la revocación de la sentencia absolutoria sin practicar vista en apelación, sostiene que esa queja resulta infundada. En el presente caso, no se realiza en la sentencia recaída en apelación una modificación de los hechos de la sentencia de instancia, ni se entra a valorar el acervo probatorio, ni mucho menos se condena al demandante de amparo, por lo que no resulta de aplicación la jurisprudencia que este invoca, en particular la sentencia del Tribunal Europeo de Derechos Humanos de 7 de junio de 2022, asunto </w:t>
      </w:r>
      <w:r w:rsidRPr="003754FE">
        <w:rPr>
          <w:i/>
        </w:rPr>
        <w:lastRenderedPageBreak/>
        <w:t>Centelles Mas y otros c. España</w:t>
      </w:r>
      <w:r>
        <w:t xml:space="preserve">, y la STC 88/2019, de 1 de julio. La Audiencia Provincial revisó las declaraciones testificales con el auxilio de la videograbación del juicio, no con el propósito de valorar la prueba, sino contrastar las inferencias lógicas del juzgador </w:t>
      </w:r>
      <w:r w:rsidRPr="003754FE">
        <w:rPr>
          <w:i/>
        </w:rPr>
        <w:t>a quo</w:t>
      </w:r>
      <w:r>
        <w:t xml:space="preserve"> en su sentencia respecto de lo objetivamente declarado por los agentes de policía que despusieron como testigos en el juicio oral, así como respecto de la valoración sobre la rueda de reconocimiento practicada en la fase de instrucción por el denunciante, llegando a la conclusión de que esas inferencias no se ajustan a los cánones de razonabilidad exigibles a toda resolución judicial. Ello determina, en aplicación de lo dispuesto en los arts. 790 y 792 LECrim, la anulación de la sentencia absolutoria y la devolución de las actuaciones al juzgado para que, con un juzgador distinto, tras la celebración de nuevo juicio oral, dicte la sentencia que proceda.</w:t>
      </w:r>
    </w:p>
    <w:p w14:paraId="27D450A6" w14:textId="77777777" w:rsidR="003754FE" w:rsidRDefault="003754FE" w:rsidP="003754FE">
      <w:pPr>
        <w:pStyle w:val="TextoNormal"/>
      </w:pPr>
    </w:p>
    <w:p w14:paraId="6B9B5C17" w14:textId="56B9DF6B" w:rsidR="003754FE" w:rsidRDefault="003754FE" w:rsidP="003754FE">
      <w:pPr>
        <w:pStyle w:val="TextoNormal"/>
      </w:pPr>
      <w:r>
        <w:t>En lo que atañe a la falta de pronunciamiento sobre la imposición de costas de instancia, en modo alguno puede ser constitutiva de una incongruencia omisiva lesiva del derecho a la tutela judicial efectiva, pues, conforme a la doctrina constitucional, estamos ante una respuesta desestimatoria tácita, toda vez que, habiendo sido anulada la sentencia absolutoria dictada por el juzgado de lo penal, resulta obvio que ello implica que todo pronunciamiento adjetivo en cuanto a su contenido (como son las costas procesales) también desaparezca, resultando innecesario cualquier pronunciamiento expreso al respecto.</w:t>
      </w:r>
    </w:p>
    <w:p w14:paraId="7523767A" w14:textId="77777777" w:rsidR="003754FE" w:rsidRDefault="003754FE" w:rsidP="003754FE">
      <w:pPr>
        <w:pStyle w:val="TextoNormal"/>
      </w:pPr>
    </w:p>
    <w:p w14:paraId="3395A4C1" w14:textId="77777777" w:rsidR="003754FE" w:rsidRDefault="003754FE" w:rsidP="003754FE">
      <w:pPr>
        <w:pStyle w:val="TextoNormal"/>
      </w:pPr>
      <w:r w:rsidRPr="003754FE">
        <w:rPr>
          <w:rStyle w:val="NumeroAFNegritaCaracter"/>
        </w:rPr>
        <w:t>9</w:t>
      </w:r>
      <w:r>
        <w:t>. El Ministerio Fiscal presentó escrito de alegaciones el 2 de noviembre de 2023, en el que interesa la desestimación del recurso de amparo.</w:t>
      </w:r>
    </w:p>
    <w:p w14:paraId="03B1F15E" w14:textId="77777777" w:rsidR="003754FE" w:rsidRDefault="003754FE" w:rsidP="003754FE">
      <w:pPr>
        <w:pStyle w:val="TextoNormal"/>
      </w:pPr>
    </w:p>
    <w:p w14:paraId="2E22CA27" w14:textId="77777777" w:rsidR="003754FE" w:rsidRDefault="003754FE" w:rsidP="003754FE">
      <w:pPr>
        <w:pStyle w:val="TextoNormal"/>
      </w:pPr>
      <w:r>
        <w:t xml:space="preserve">Tras exponer los antecedentes del asunto y hacer una síntesis del desarrollo argumental de los motivos del recurso de amparo, el fiscal comienza por examinar el impacto de la doctrina constitucional sentada a partir de la STC 167/2002, de 18 de septiembre, en el régimen revisor del recurso de apelación en el procedimiento penal abreviado. Esa doctrina constitucional, inspirada en la doctrina del Tribunal Europeo de Derechos Humanos (entre otras, sentencias de 26 de mayo de 1988, asunto </w:t>
      </w:r>
      <w:r w:rsidRPr="003754FE">
        <w:rPr>
          <w:i/>
        </w:rPr>
        <w:t>Ekbatani c. Suecia</w:t>
      </w:r>
      <w:r>
        <w:t xml:space="preserve">, o de 27 de junio de 2000, asunto </w:t>
      </w:r>
      <w:r w:rsidRPr="003754FE">
        <w:rPr>
          <w:i/>
        </w:rPr>
        <w:t>Constantinescu c. Rumania</w:t>
      </w:r>
      <w:r>
        <w:t>), vino a establecer que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 Por ello, resulta contrario a un proceso con todas las garantías que un órgano judicial, conociendo a través del recurso de apelación (o casación, en su caso), condene a quien había sido absuelto en la instancia, o agrave su situación, como consecuencia de una valoración de pruebas personales o de una reconsideración de los hechos probados, sin haber celebrado una vista pública en que se haya desarrollado con todas las garantías la actividad probatoria, dando al acusado la posibilidad de defenderse. En tal sentido, si la controversia reside en la acreditación de los elementos subjetivos del delito, necesarios para establecer o agravar la responsabilidad penal del acusado, es necesaria en la segunda instancia la audiencia de este. Por el contrario, no cabrá efectuar reproche constitucional cuando la condena pronunciada en segunda instancia, a pesar de no haberse celebrado vista pública, tenga origen en una controversia estrictamente jurídica en la que no están implicadas las garantías de publicidad, inmediación y contradicción y para cuya resolución no resulte necesario oír al acusado.</w:t>
      </w:r>
    </w:p>
    <w:p w14:paraId="52410A3B" w14:textId="77777777" w:rsidR="003754FE" w:rsidRDefault="003754FE" w:rsidP="003754FE">
      <w:pPr>
        <w:pStyle w:val="TextoNormal"/>
      </w:pPr>
    </w:p>
    <w:p w14:paraId="68D88FF3" w14:textId="77777777" w:rsidR="003754FE" w:rsidRDefault="003754FE" w:rsidP="003754FE">
      <w:pPr>
        <w:pStyle w:val="TextoNormal"/>
      </w:pPr>
      <w:r>
        <w:lastRenderedPageBreak/>
        <w:t xml:space="preserve">Señala el fiscal que esta consolidada doctrina constitucional ha venido a ser acogida por la Ley 41/2015, de 5 de octubre, en la redacción que da a los arts. 790.2 y 792 LECrim, “de modo que puede afirmarse que a partir de entonces el canon de constitucionalidad se encuentra en la propia LECrim”. Así, cuando el recurso de apelación de la acusación contra la sentencia de instancia se fundamente, como en este caso sucede, conforme al párrafo tercero del art. 790.2 LECrim, en error en la apreciación o valoración de las pruebas, la sentencia de apelación no podrá condenar al acusado absuelto, o agravar la sentencia condenatoria que le hubiera sido impuesta, sino que únicamente cabe que la sentencia de instancia sea anulada, si el tribunal </w:t>
      </w:r>
      <w:r w:rsidRPr="003754FE">
        <w:rPr>
          <w:i/>
        </w:rPr>
        <w:t>ad quem</w:t>
      </w:r>
      <w:r>
        <w:t xml:space="preserve"> aprecia insuficiencia o falta de racionalidad en la motivación fáctica, apartamiento manifiesto de las máximas de experiencia u omisión de todo razonamiento sobre todas o alguna de las pruebas practicadas; con devolución de las actuaciones al órgano judicial que dictó la sentencia recurrida, y concretando si la nulidad ha de extenderse al juicio oral y si el principio de imparcialidad exige una nueva composición de ese órgano judicial para el nuevo enjuiciamiento de la causa (art. 790.2 LECrim).</w:t>
      </w:r>
    </w:p>
    <w:p w14:paraId="33172FA3" w14:textId="77777777" w:rsidR="003754FE" w:rsidRDefault="003754FE" w:rsidP="003754FE">
      <w:pPr>
        <w:pStyle w:val="TextoNormal"/>
      </w:pPr>
    </w:p>
    <w:p w14:paraId="5B199BFF" w14:textId="77777777" w:rsidR="003754FE" w:rsidRDefault="003754FE" w:rsidP="003754FE">
      <w:pPr>
        <w:pStyle w:val="TextoNormal"/>
      </w:pPr>
      <w:r>
        <w:t xml:space="preserve">Afirma asimismo que sobre el alcance de la nulidad que ha de decretar el tribunal </w:t>
      </w:r>
      <w:r w:rsidRPr="003754FE">
        <w:rPr>
          <w:i/>
        </w:rPr>
        <w:t>ad quem</w:t>
      </w:r>
      <w:r>
        <w:t xml:space="preserve"> cuando estime el recurso de apelación por apreciar error en la apreciación de las pruebas en la sentencia apelada se ha pronunciado la Circular 1/2018 de la Fiscalía General del Estado (apartado 5.2.2), y cita también la doctrina constitucional respecto de la incidencia que la anulación de una sentencia penal absolutoria puede tener respecto de la interdicción del </w:t>
      </w:r>
      <w:r w:rsidRPr="003754FE">
        <w:rPr>
          <w:i/>
        </w:rPr>
        <w:t>bis in idem</w:t>
      </w:r>
      <w:r>
        <w:t xml:space="preserve"> procesal (cita las SSTC 1/2019, de 14 de enero, FJ 3, y 4/2004, de 15 de enero, FJ 4), pues, conforme a esa doctrina, la posibilidad de anular una sentencia penal absolutoria, con orden de retroacción de actuaciones, solo sería admisible constitucionalmente en aquellos casos en los que se constate la quiebra de una regla esencial del proceso justo (art. 24.2 CE) en perjuicio de la acusación, ya que en este caso la ausencia de garantías no permite hablar de proceso en sentido propio, ni puede permitir tampoco que la sentencia absolutoria adquiera el carácter de inatacable.</w:t>
      </w:r>
    </w:p>
    <w:p w14:paraId="280AF529" w14:textId="77777777" w:rsidR="003754FE" w:rsidRDefault="003754FE" w:rsidP="003754FE">
      <w:pPr>
        <w:pStyle w:val="TextoNormal"/>
      </w:pPr>
    </w:p>
    <w:p w14:paraId="4C4BC72E" w14:textId="10998CEA" w:rsidR="003754FE" w:rsidRDefault="003754FE" w:rsidP="003754FE">
      <w:pPr>
        <w:pStyle w:val="TextoNormal"/>
      </w:pPr>
      <w:r>
        <w:t xml:space="preserve">Partiendo de lo expuesto, señala el fiscal que en el caso que nos ocupa la sentencia dictada en apelación se ajustó a las prescripciones de los arts. 790.2 y 792 LECrim, por lo que no merece por ello censura constitucional. El único reproche que podría hacérsele, desde la perspectiva del derecho a un proceso con todas las garantías (art. 24.2 CE), sería la posible infracción de la interdicción del </w:t>
      </w:r>
      <w:r w:rsidRPr="003754FE">
        <w:rPr>
          <w:i/>
        </w:rPr>
        <w:t>bis in idem</w:t>
      </w:r>
      <w:r>
        <w:t xml:space="preserve"> procesal, conforme a la citada doctrina constitucional, atendiendo a que en el presente caso no consta que se haya producido la quiebra de alguna garantía esencial del proceso justo en perjuicio de la acusación (que en su recurso de apelación se limita a denunciar un error </w:t>
      </w:r>
      <w:r w:rsidRPr="003754FE">
        <w:rPr>
          <w:i/>
        </w:rPr>
        <w:t>in iudicando</w:t>
      </w:r>
      <w:r>
        <w:t>); pero tal queja no ha sido invocada por el demandante, por lo que no cabe entrar a considerar esa cuestión sin incurrir en una improcedente reconstrucción de la demanda de amparo.</w:t>
      </w:r>
    </w:p>
    <w:p w14:paraId="6DC6EC55" w14:textId="77777777" w:rsidR="003754FE" w:rsidRDefault="003754FE" w:rsidP="003754FE">
      <w:pPr>
        <w:pStyle w:val="TextoNormal"/>
      </w:pPr>
    </w:p>
    <w:p w14:paraId="6755E733" w14:textId="65938ADB" w:rsidR="003754FE" w:rsidRDefault="003754FE" w:rsidP="003754FE">
      <w:pPr>
        <w:pStyle w:val="TextoNormal"/>
      </w:pPr>
      <w:r w:rsidRPr="003754FE">
        <w:rPr>
          <w:rStyle w:val="NumeroAFNegritaCaracter"/>
        </w:rPr>
        <w:t>10</w:t>
      </w:r>
      <w:r>
        <w:t>. Por providencia de 5 de septiembre de 2024 se señaló para votación y fallo del presente recurso el día 9 del mismo mes y año.</w:t>
      </w:r>
    </w:p>
    <w:p w14:paraId="6B7192CD" w14:textId="77777777" w:rsidR="003754FE" w:rsidRDefault="003754FE" w:rsidP="003754FE">
      <w:pPr>
        <w:pStyle w:val="TextoNormal"/>
      </w:pPr>
    </w:p>
    <w:p w14:paraId="5A2F813A" w14:textId="77777777" w:rsidR="003754FE" w:rsidRDefault="003754FE" w:rsidP="003754FE">
      <w:pPr>
        <w:pStyle w:val="TextoNormalNegritaCentrado"/>
        <w:keepNext/>
      </w:pPr>
      <w:r>
        <w:t>II. Fundamentos jurídicos</w:t>
      </w:r>
    </w:p>
    <w:p w14:paraId="1AAA3475" w14:textId="0EAB3C28" w:rsidR="003754FE" w:rsidRDefault="003754FE" w:rsidP="003754FE">
      <w:pPr>
        <w:pStyle w:val="TextoNormalNegritaCentrado"/>
        <w:keepNext/>
      </w:pPr>
    </w:p>
    <w:p w14:paraId="4C5E3D28" w14:textId="77777777" w:rsidR="003754FE" w:rsidRDefault="003754FE" w:rsidP="003754FE">
      <w:pPr>
        <w:pStyle w:val="TextoNormal"/>
      </w:pPr>
      <w:r w:rsidRPr="003754FE">
        <w:rPr>
          <w:rStyle w:val="NumeroAFNegritaCaracter"/>
        </w:rPr>
        <w:t>1</w:t>
      </w:r>
      <w:r>
        <w:t xml:space="preserve">. </w:t>
      </w:r>
      <w:r w:rsidRPr="003754FE">
        <w:rPr>
          <w:i/>
        </w:rPr>
        <w:t>Delimitación del objeto del recurso de amparo</w:t>
      </w:r>
    </w:p>
    <w:p w14:paraId="4ACDB6E1" w14:textId="77777777" w:rsidR="003754FE" w:rsidRDefault="003754FE" w:rsidP="003754FE">
      <w:pPr>
        <w:pStyle w:val="TextoNormal"/>
      </w:pPr>
    </w:p>
    <w:p w14:paraId="121A32C7" w14:textId="77777777" w:rsidR="003754FE" w:rsidRDefault="003754FE" w:rsidP="003754FE">
      <w:pPr>
        <w:pStyle w:val="TextoNormal"/>
      </w:pPr>
      <w:r>
        <w:lastRenderedPageBreak/>
        <w:t>El recurso de amparo se dirige contra la sentencia de 12 de enero de 2023 de la Sección Octava de la Audiencia Provincial de Barcelona, dictada en el recurso de apelación núm. 191-2022, que revoca el pronunciamiento absolutorio del Juzgado de lo Penal núm. 25 de Barcelona y ordena retrotraer las actuaciones para que se celebre de nuevo el juicio oral ante un juez distinto. El demandante de amparo sostiene que la sentencia impugnada ha vulnerado sus derechos fundamentales a la tutela judicial efectiva (art. 24.1 CE) y a la defensa, a un proceso con todas las garantías y a la presunción de inocencia (art. 24.2 CE). También se impugna la providencia de 6 de marzo de 2023, que inadmite el incidente de nulidad promovido frente a dicha sentencia, en cuanto no repara las vulneraciones constitucionales invocadas.</w:t>
      </w:r>
    </w:p>
    <w:p w14:paraId="23B0B76E" w14:textId="77777777" w:rsidR="003754FE" w:rsidRDefault="003754FE" w:rsidP="003754FE">
      <w:pPr>
        <w:pStyle w:val="TextoNormal"/>
      </w:pPr>
    </w:p>
    <w:p w14:paraId="6252B2BA" w14:textId="77777777" w:rsidR="003754FE" w:rsidRDefault="003754FE" w:rsidP="003754FE">
      <w:pPr>
        <w:pStyle w:val="TextoNormal"/>
      </w:pPr>
      <w:r>
        <w:t>El demandante de amparo, que resultó absuelto por el Juzgado de lo Penal núm. 25 de Barcelona del delito de atentado contra la autoridad, en concurso ideal con un delito leve de lesiones del que venía siendo acusado, sostiene como queja principal, en síntesis, que la sentencia impugnada ha revocado el pronunciamiento absolutorio de instancia sin respetar las garantías de oralidad, inmediación y contradicción, pues la Audiencia Provincial de Barcelona no se ha limitado a controlar la razonabilidad del discurso argumental del juzgado de lo penal, sino que ha realizado una nueva valoración de la prueba practicada (en particular, de las declaraciones prestadas por un agente policial y por el denunciante, en cuanto a la identificación del acusado como autor de la agresión), sin celebrar vista oral y dando al acusado la oportunidad de ser oído.</w:t>
      </w:r>
    </w:p>
    <w:p w14:paraId="169AF7F1" w14:textId="77777777" w:rsidR="003754FE" w:rsidRDefault="003754FE" w:rsidP="003754FE">
      <w:pPr>
        <w:pStyle w:val="TextoNormal"/>
      </w:pPr>
    </w:p>
    <w:p w14:paraId="7FE6C9BE" w14:textId="77777777" w:rsidR="003754FE" w:rsidRDefault="003754FE" w:rsidP="003754FE">
      <w:pPr>
        <w:pStyle w:val="TextoNormal"/>
      </w:pPr>
      <w:r>
        <w:t>Sostiene también el demandante de amparo que la sentencia impugnada incurre en incongruencia omisiva al no haberse pronunciado sobre una de las pretensiones deducidas en el proceso, consistente en la revisión de la decisión sobre la imposición de las costas de oficio, que había sido planteada en el escrito de impugnación del recurso de apelación interpuesto por la acusación.</w:t>
      </w:r>
    </w:p>
    <w:p w14:paraId="67702055" w14:textId="77777777" w:rsidR="003754FE" w:rsidRDefault="003754FE" w:rsidP="003754FE">
      <w:pPr>
        <w:pStyle w:val="TextoNormal"/>
      </w:pPr>
    </w:p>
    <w:p w14:paraId="24295FEA" w14:textId="77777777" w:rsidR="003754FE" w:rsidRDefault="003754FE" w:rsidP="003754FE">
      <w:pPr>
        <w:pStyle w:val="TextoNormal"/>
      </w:pPr>
      <w:r>
        <w:t>El Ministerio Fiscal, por las razones que han quedado resumidas en el relato de antecedentes, solicita la desestimación del recurso de amparo.</w:t>
      </w:r>
    </w:p>
    <w:p w14:paraId="6704659E" w14:textId="77777777" w:rsidR="003754FE" w:rsidRDefault="003754FE" w:rsidP="003754FE">
      <w:pPr>
        <w:pStyle w:val="TextoNormal"/>
      </w:pPr>
    </w:p>
    <w:p w14:paraId="35E7B807" w14:textId="77777777" w:rsidR="003754FE" w:rsidRDefault="003754FE" w:rsidP="003754FE">
      <w:pPr>
        <w:pStyle w:val="TextoNormal"/>
      </w:pPr>
      <w:r>
        <w:t>La representación procesal del ciudadano que ejerció la acusación particular interesa, en primer lugar, la inadmisión del recurso de amparo, por entender que el demandante no ha justificado de manera suficiente la especial trascendencia constitucional del recurso y, en todo caso, porque este no reviste especial trascendencia constitucional; subsidiariamente, solicita la desestimación del recurso, por considerar que las resoluciones judiciales impugnadas no han incurrido en vulneración de ningún derecho del demandante. Por otrosí solicita que, de conformidad con lo dispuesto en el art. 95.2 LOTC, le sean impuestas al demandante las costas derivadas de la tramitación del presente proceso constitucional, pretensión simétrica a la que también deduce en su contra el demandante.</w:t>
      </w:r>
    </w:p>
    <w:p w14:paraId="29537278" w14:textId="77777777" w:rsidR="003754FE" w:rsidRDefault="003754FE" w:rsidP="003754FE">
      <w:pPr>
        <w:pStyle w:val="TextoNormal"/>
      </w:pPr>
    </w:p>
    <w:p w14:paraId="786B2D76" w14:textId="77777777" w:rsidR="003754FE" w:rsidRDefault="003754FE" w:rsidP="003754FE">
      <w:pPr>
        <w:pStyle w:val="TextoNormal"/>
      </w:pPr>
      <w:r>
        <w:t>Para la adecuada delimitación del objeto del recurso de amparo, son necesarias algunas precisiones previas, a la vista de las pretensiones deducidas.</w:t>
      </w:r>
    </w:p>
    <w:p w14:paraId="3EB8C86A" w14:textId="77777777" w:rsidR="003754FE" w:rsidRDefault="003754FE" w:rsidP="003754FE">
      <w:pPr>
        <w:pStyle w:val="TextoNormal"/>
      </w:pPr>
    </w:p>
    <w:p w14:paraId="741D3EB5" w14:textId="77777777" w:rsidR="003754FE" w:rsidRDefault="003754FE" w:rsidP="003754FE">
      <w:pPr>
        <w:pStyle w:val="TextoNormal"/>
      </w:pPr>
      <w:r>
        <w:t xml:space="preserve">La primera, que procede descartar el óbice de admisibilidad que aduce la representación procesal del ciudadano que ejerció la acusación particular y ha comparecido en este proceso constitucional. Este tribunal admitió a trámite el presente recurso de amparo (providencia de 22 de junio de 2023) tras constatar que en la demanda de amparo se cumple la carga </w:t>
      </w:r>
      <w:r>
        <w:lastRenderedPageBreak/>
        <w:t xml:space="preserve">formal de justificar la especial trascendencia constitucional del recurso (art. 49.1 </w:t>
      </w:r>
      <w:r w:rsidRPr="003754FE">
        <w:rPr>
          <w:i/>
        </w:rPr>
        <w:t>in fine</w:t>
      </w:r>
      <w:r>
        <w:t xml:space="preserve"> LOTC), conclusión que no resulta desvirtuada por las alegaciones del compareciente, y apreciar que concurre efectivamente una especial trascendencia constitucional [art. 50.1 b) LOTC], porque el recurso puede dar ocasión a este tribunal para aclarar o cambiar su doctrina, como consecuencia de un proceso de reflexión interna [STC 155/2009, de 25 de junio, FJ 2 b)].</w:t>
      </w:r>
    </w:p>
    <w:p w14:paraId="6EF85252" w14:textId="77777777" w:rsidR="003754FE" w:rsidRDefault="003754FE" w:rsidP="003754FE">
      <w:pPr>
        <w:pStyle w:val="TextoNormal"/>
      </w:pPr>
    </w:p>
    <w:p w14:paraId="33BDCE45" w14:textId="77777777" w:rsidR="003754FE" w:rsidRDefault="003754FE" w:rsidP="003754FE">
      <w:pPr>
        <w:pStyle w:val="TextoNormal"/>
      </w:pPr>
      <w:r>
        <w:t xml:space="preserve">En tal sentido, y en orden a explicitar la aplicación de la especial trascendencia constitucional en los asuntos declarados admisibles con el fin de “garantizar una buena administración de justicia” (sentencia de la Sección Tercera del Tribunal Europeo de Derechos Humanos de 20 de enero de 2015, asunto </w:t>
      </w:r>
      <w:r w:rsidRPr="003754FE">
        <w:rPr>
          <w:i/>
        </w:rPr>
        <w:t>Arribas Antón c. España</w:t>
      </w:r>
      <w:r>
        <w:t>, § 37), debe señalarse que en el presente recurso de amparo se plantea un debate de importancia para la determinación y alcance de los derechos fundamentales referidos al proceso justo, en torno al alcance de la facultad de impugnación de las sentencias penales absolutorias basadas en la existencia de duda razonable y también, en consecuencia, sobre la posibilidad de revocarlas, con retroacción de actuaciones, en atención a las posibilidades de impugnación que, en favor de los acusadores, se especifican en la nueva redacción de los arts. 790.2 y 792 LECrim dada por la Ley 41/2015, de 5 de octubre, cuando la eventual revocación viene fundamentada en la discrepancia sobre el juicio fáctico que expresan la sentencia apelada y la de apelación.</w:t>
      </w:r>
    </w:p>
    <w:p w14:paraId="56C1C4FD" w14:textId="77777777" w:rsidR="003754FE" w:rsidRDefault="003754FE" w:rsidP="003754FE">
      <w:pPr>
        <w:pStyle w:val="TextoNormal"/>
      </w:pPr>
    </w:p>
    <w:p w14:paraId="3AE938D0" w14:textId="77777777" w:rsidR="003754FE" w:rsidRDefault="003754FE" w:rsidP="003754FE">
      <w:pPr>
        <w:pStyle w:val="TextoNormal"/>
      </w:pPr>
      <w:r>
        <w:t xml:space="preserve">Por el contrario, debe señalarse que la queja de incongruencia omisiva que el demandante dirige a la sentencia impugnada no puede ser examinada, por haber sido planteada </w:t>
      </w:r>
      <w:r w:rsidRPr="003754FE">
        <w:rPr>
          <w:i/>
        </w:rPr>
        <w:t>per saltum</w:t>
      </w:r>
      <w:r>
        <w:t xml:space="preserve"> en el recurso de amparo, incumpliendo, por tanto, el requisito de la invocación de la vulneración en la vía judicial [art. 44.1 c) LOTC]. En efecto, frente a la sentencia dictada en apelación el demandante promovió un incidente de nulidad de actuaciones (que fue inadmitido mediante providencia de 6 de marzo de 2023), en el que alegó la vulneración de los derechos que invoca en el presente recurso de amparo, pero no hizo referencia a la incongruencia omisiva de la que también se duele en este, por no haberse pronunciado la Audiencia Provincial de Barcelona sobre la pretensión de revisión de la decisión de imposición de las costas de oficio, planteada en el escrito de impugnación del recurso de apelación.</w:t>
      </w:r>
    </w:p>
    <w:p w14:paraId="3BE537BA" w14:textId="77777777" w:rsidR="003754FE" w:rsidRDefault="003754FE" w:rsidP="003754FE">
      <w:pPr>
        <w:pStyle w:val="TextoNormal"/>
      </w:pPr>
    </w:p>
    <w:p w14:paraId="6B112932" w14:textId="1A117730" w:rsidR="003754FE" w:rsidRDefault="003754FE" w:rsidP="003754FE">
      <w:pPr>
        <w:pStyle w:val="TextoNormal"/>
      </w:pPr>
      <w:r>
        <w:t>La última precisión es que debe rechazarse la solicitud de condena en costas al demandante de amparo que, con invocación del art. 95.2 LOTC, deduce el compareciente. La mera admisión a trámite del recurso de amparo, por apreciar el Tribunal que el asunto reviste especial trascendencia constitucional, impide apreciar la temeridad o mala fe que legitimarían la imposición de las costas al demandante conforme a dicho precepto (así, STC 126/2013, de 3 de junio, FJ 8).</w:t>
      </w:r>
    </w:p>
    <w:p w14:paraId="0CF26D3E" w14:textId="77777777" w:rsidR="003754FE" w:rsidRDefault="003754FE" w:rsidP="003754FE">
      <w:pPr>
        <w:pStyle w:val="TextoNormal"/>
      </w:pPr>
    </w:p>
    <w:p w14:paraId="0ED2BDF5" w14:textId="77777777" w:rsidR="003754FE" w:rsidRDefault="003754FE" w:rsidP="003754FE">
      <w:pPr>
        <w:pStyle w:val="TextoNormal"/>
      </w:pPr>
      <w:r w:rsidRPr="003754FE">
        <w:rPr>
          <w:rStyle w:val="NumeroAFNegritaCaracter"/>
        </w:rPr>
        <w:t>2</w:t>
      </w:r>
      <w:r>
        <w:t xml:space="preserve">. </w:t>
      </w:r>
      <w:r w:rsidRPr="003754FE">
        <w:rPr>
          <w:i/>
        </w:rPr>
        <w:t>El fundamento de la posibilidad de revisar las sentencias penales absolutorias basadas en la apreciación de duda razonable: STC 72/2024, de 7 de mayo</w:t>
      </w:r>
    </w:p>
    <w:p w14:paraId="102F8BF1" w14:textId="77777777" w:rsidR="003754FE" w:rsidRDefault="003754FE" w:rsidP="003754FE">
      <w:pPr>
        <w:pStyle w:val="TextoNormal"/>
      </w:pPr>
    </w:p>
    <w:p w14:paraId="397B0D58" w14:textId="77777777" w:rsidR="003754FE" w:rsidRDefault="003754FE" w:rsidP="003754FE">
      <w:pPr>
        <w:pStyle w:val="TextoNormal"/>
      </w:pPr>
      <w:r>
        <w:t>Para la resolución del presente recurso de amparo cobra relevancia la reciente STC 72/2024, de 7 de mayo, dictada por el Pleno de este tribunal, que ha precisado el alcance y los límites de la revocación de sentencias penales absolutorias basadas en la apreciación de duda razonable.</w:t>
      </w:r>
    </w:p>
    <w:p w14:paraId="7CDD0000" w14:textId="77777777" w:rsidR="003754FE" w:rsidRDefault="003754FE" w:rsidP="003754FE">
      <w:pPr>
        <w:pStyle w:val="TextoNormal"/>
      </w:pPr>
    </w:p>
    <w:p w14:paraId="5ACB0162" w14:textId="77777777" w:rsidR="003754FE" w:rsidRDefault="003754FE" w:rsidP="003754FE">
      <w:pPr>
        <w:pStyle w:val="TextoNormal"/>
      </w:pPr>
      <w:r>
        <w:t xml:space="preserve">El fundamento normativo de la posibilidad de revisar en apelación el juicio fáctico de la sentencia penal absolutoria y anular esta, con devolución de actuaciones en ese caso al </w:t>
      </w:r>
      <w:r>
        <w:lastRenderedPageBreak/>
        <w:t>órgano judicial que dictó la sentencia apelada, se halla actualmente en los arts. 790.2 y 792.2 LECrim, tras la modificación introducida por la Ley 41/2015, de 5 de octubre, aplicable a los procedimientos penales incoados con posterioridad a su entrada en vigor, que se produjo el 6 de diciembre de 2015 (disposición transitoria única.1 y disposición final cuarta de la Ley 41/2015), como es el caso del procedimiento en que ha sido dictada la sentencia impugnada en el presente recurso de amparo. Sin perjuicio de lo cual cabe notar que la posibilidad de impugnación y eventual revisión en apelación del juicio fáctico de las sentencias penales absolutorias con los efectos reparatorios que le sean inherentes es “una consecuencia que deriva del derecho a la tutela judicial efectiva de la parte acusadora, y no de la ley citada, que es solo una determinación normativa de aquel derecho” (STC 72/2024, FJ 3).</w:t>
      </w:r>
    </w:p>
    <w:p w14:paraId="732AC7FF" w14:textId="77777777" w:rsidR="003754FE" w:rsidRDefault="003754FE" w:rsidP="003754FE">
      <w:pPr>
        <w:pStyle w:val="TextoNormal"/>
      </w:pPr>
    </w:p>
    <w:p w14:paraId="405DB197" w14:textId="77777777" w:rsidR="003754FE" w:rsidRDefault="003754FE" w:rsidP="003754FE">
      <w:pPr>
        <w:pStyle w:val="TextoNormal"/>
      </w:pPr>
      <w:r>
        <w:t>En la STC 72/2024, FJ 4, partiendo de la asimétrica posición que en el proceso penal ostentan acusados y acusadores, de la exigencia reforzada de motivación para las sentencias condenatorias y de la diferente justificación que tiene la pretensión de revisión de una sentencia penal según sea su sentido absolutorio o condenatorio, este tribunal ha examinado los límites constitucionales y legales de la revisión fáctica de decisiones absolutorias y sistematizado los parámetros de control en el recurso de amparo de las sentencias que revocan sentencias penales absolutorias, en particular aquellas en las que la absolución se basa en la apreciación de duda razonable.</w:t>
      </w:r>
    </w:p>
    <w:p w14:paraId="7FDF63C5" w14:textId="77777777" w:rsidR="003754FE" w:rsidRDefault="003754FE" w:rsidP="003754FE">
      <w:pPr>
        <w:pStyle w:val="TextoNormal"/>
      </w:pPr>
    </w:p>
    <w:p w14:paraId="6261A1EB" w14:textId="77777777" w:rsidR="003754FE" w:rsidRDefault="003754FE" w:rsidP="003754FE">
      <w:pPr>
        <w:pStyle w:val="TextoNormal"/>
      </w:pPr>
      <w:r>
        <w:t>En tal sentido, la STC 72/2024, FJ 4, señala que “es posible distinguir conceptualmente el juicio sobre el hecho y sobre la prueba, que realiza el juzgador de instancia, y la revisión de la racionalidad del juicio probatorio de instancia, que realiza el juez de segundo grado o de apelación, sin que pueda introducir hechos o establecer nuevas conclusiones probatorias”, y concluye que, “para desarrollar la tarea de control de la racionalidad y suficiencia de la decisión absolutoria al amparo de una causa de recurso que permita controvertir el juicio fáctico de la instancia en que se basa la absolución, el juez de segundo grado debe acudir a la sentencia y no a las pruebas: el vicio de justificación que posibilita la anulación de la sentencia absolutoria con fundamento en una eventual vulneración de la interdicción de la arbitrariedad como garantía constitucional esencial de las acusaciones reconocida en el art. 24.1 CE, debe emerger del texto de la decisión, confrontado con el desarrollo del juicio […]. Todo ello sin perjuicio de que las omisiones valorativas probatoriamente relevantes denunciadas por la acusación sean verificadas por el órgano revisor, en todo caso, sin prejuzgar el resultado de un nuevo enjuiciamiento. El control que es posible en apelación para controvertir el juicio fáctico de una sentencia absolutoria no consiente el acceso a las fuentes de prueba para reevaluarlas dado que en nuestro modelo de revisión sería contrario a las garantías del juicio justo, que no permiten en ese contexto impugnatorio de las acusaciones una valoración alternativa de las inferencias fácticas ni una reconstrucción del hecho probado”.</w:t>
      </w:r>
    </w:p>
    <w:p w14:paraId="14864663" w14:textId="77777777" w:rsidR="003754FE" w:rsidRDefault="003754FE" w:rsidP="003754FE">
      <w:pPr>
        <w:pStyle w:val="TextoNormal"/>
      </w:pPr>
    </w:p>
    <w:p w14:paraId="2BBFE17F" w14:textId="414F43D5" w:rsidR="003754FE" w:rsidRDefault="003754FE" w:rsidP="003754FE">
      <w:pPr>
        <w:pStyle w:val="TextoNormal"/>
      </w:pPr>
      <w:r>
        <w:t xml:space="preserve">De acuerdo con esos parámetros, la STC 72/2024 aprecia que el tribunal de apelación incurre en una extralimitación de sus facultades de revisión (lesionando, en consecuencia, el derecho a la tutela judicial de quien resultó absuelto previamente) en el caso de que pretenda imponer su valoración de la prueba sobre la realizada por el juzgador de instancia, en vez de limitar su control a realizar un juicio externo sobre la coherencia, suficiencia y razonabilidad de la decisión absolutoria recurrida, para constatar si esa decisión incurre en arbitrariedad, manifiesta irrazonabilidad, o error fáctico patente. Esa extralimitación puede suponer, de forma añadida, la vulneración del derecho a la presunción de inocencia cuando el </w:t>
      </w:r>
      <w:r>
        <w:lastRenderedPageBreak/>
        <w:t>razonamiento en que funda la revocación de la absolución suponga, de hecho, un cuestionamiento directo de la justificación de la duda razonable sobre los hechos expresada motivadamente en la sentencia absolutoria (STC 72/2024, FJ 6).</w:t>
      </w:r>
    </w:p>
    <w:p w14:paraId="6660B800" w14:textId="77777777" w:rsidR="003754FE" w:rsidRDefault="003754FE" w:rsidP="003754FE">
      <w:pPr>
        <w:pStyle w:val="TextoNormal"/>
      </w:pPr>
    </w:p>
    <w:p w14:paraId="2CF8C6C1" w14:textId="77777777" w:rsidR="003754FE" w:rsidRDefault="003754FE" w:rsidP="003754FE">
      <w:pPr>
        <w:pStyle w:val="TextoNormal"/>
      </w:pPr>
      <w:r w:rsidRPr="003754FE">
        <w:rPr>
          <w:rStyle w:val="NumeroAFNegritaCaracter"/>
        </w:rPr>
        <w:t>3</w:t>
      </w:r>
      <w:r>
        <w:t xml:space="preserve">. </w:t>
      </w:r>
      <w:r w:rsidRPr="003754FE">
        <w:rPr>
          <w:i/>
        </w:rPr>
        <w:t>El fundamento de la inicial decisión absolutoria y de la sentencia de apelación que la revoca</w:t>
      </w:r>
    </w:p>
    <w:p w14:paraId="5F70F112" w14:textId="77777777" w:rsidR="003754FE" w:rsidRDefault="003754FE" w:rsidP="003754FE">
      <w:pPr>
        <w:pStyle w:val="TextoNormal"/>
      </w:pPr>
    </w:p>
    <w:p w14:paraId="2826D1CF" w14:textId="77777777" w:rsidR="003754FE" w:rsidRDefault="003754FE" w:rsidP="003754FE">
      <w:pPr>
        <w:pStyle w:val="TextoNormal"/>
      </w:pPr>
      <w:r>
        <w:t>Expuesta la doctrina sentada en la STC 72/2024 acerca del alcance y los límites de la revocación de sentencias penales absolutorias basadas en la apreciación de duda razonable, procede que entremos a examinar la queja nuclear del demandante de amparo, que afirma que la Audiencia Provincial de Barcelona no se limitó a revisar la sentencia apelada desde el prisma de la coherencia interna, suficiencia y razonabilidad de la motivación probatoria, sino que fue más allá y acordó la anulación de la sentencia recurrida tras efectuar una indebida valoración propia de las pruebas practicadas en el plenario ante el juez de lo penal, cuestionando así la apreciación fáctica que había llevado a este a absolver al acusado, al apreciar la existencia de duda razonable en cuanto a que fuera el autor de los hechos enjuiciados.</w:t>
      </w:r>
    </w:p>
    <w:p w14:paraId="176CF503" w14:textId="77777777" w:rsidR="003754FE" w:rsidRDefault="003754FE" w:rsidP="003754FE">
      <w:pPr>
        <w:pStyle w:val="TextoNormal"/>
      </w:pPr>
    </w:p>
    <w:p w14:paraId="2F2B2E08" w14:textId="77777777" w:rsidR="003754FE" w:rsidRDefault="003754FE" w:rsidP="003754FE">
      <w:pPr>
        <w:pStyle w:val="TextoNormal"/>
      </w:pPr>
      <w:r>
        <w:t>Cabe recordar que el recurso de apelación del acusador particular, al que se adhirió del Ministerio Fiscal, contra el fallo absolutorio de instancia se apoyó en la previsión del párrafo primero del art. 790 LECrim que, antes y después de la reforma por Ley 41/2015, permite fundamentar la apelación en el “error en la apreciación de las pruebas” (así como en el “quebrantamiento de las normas y garantías procesales” o en la “infracción de normas del ordenamiento jurídico en las que se base la impugnación”). El análisis de la sentencia dictada en apelación, que se impugna en amparo, permite constatar que fue la apreciación de un supuesto error en la apreciación de las pruebas lo que justificó la estimación del recurso de apelación, al cuestionar la suficiencia y contenido de la motivación de la decisión absolutoria revocada, con las consecuencias de anulación y retroacción que ya han sido descritas.</w:t>
      </w:r>
    </w:p>
    <w:p w14:paraId="4050A8EB" w14:textId="77777777" w:rsidR="003754FE" w:rsidRDefault="003754FE" w:rsidP="003754FE">
      <w:pPr>
        <w:pStyle w:val="TextoNormal"/>
      </w:pPr>
    </w:p>
    <w:p w14:paraId="736B64B7" w14:textId="77777777" w:rsidR="003754FE" w:rsidRDefault="003754FE" w:rsidP="003754FE">
      <w:pPr>
        <w:pStyle w:val="TextoNormal"/>
      </w:pPr>
      <w:r>
        <w:t>De acuerdo con la doctrina sentada en la STC 72/2024 procede, por tanto, dilucidar si, al discrepar de la decisión absolutoria de instancia, la Audiencia Provincial de Barcelona ha circunscrito en el presente caso su función revisora a supervisar externamente la suficiencia, coherencia y razonabilidad del discurso que une la actividad probatoria con el relato fáctico resultante y la duda expresada sobre la acreditación de los hechos de la acusación, o si, “en vez de ello, ha procedido a reevaluar con plenitud las pruebas practicadas en la instancia hasta el extremo de alcanzar conclusiones propias que difieren de las que se reflejan en la sentencia apelada y pretenden imponerse como fundamento de la revocación” (STC 72/2024, FJ 5).</w:t>
      </w:r>
    </w:p>
    <w:p w14:paraId="78D67B6D" w14:textId="77777777" w:rsidR="003754FE" w:rsidRDefault="003754FE" w:rsidP="003754FE">
      <w:pPr>
        <w:pStyle w:val="TextoNormal"/>
      </w:pPr>
    </w:p>
    <w:p w14:paraId="6527AB44" w14:textId="77777777" w:rsidR="003754FE" w:rsidRDefault="003754FE" w:rsidP="003754FE">
      <w:pPr>
        <w:pStyle w:val="TextoNormal"/>
      </w:pPr>
      <w:r>
        <w:t>La sentencia dictada por el Juzgado de lo Penal núm. 25 de Barcelona asentó la decisión absolutoria, por lo que a la valoración de la prueba se refiere, en la consideración de que cabe tener por acreditada la existencia de la agresión sufrida por don Kalafat Güçlü sobre las 23:33 horas del 10 de octubre de 2019 a la salida de un restaurante de Barcelona, pero no que el acusado don Ibrahim Cetin fuera el autor de esa agresión.</w:t>
      </w:r>
    </w:p>
    <w:p w14:paraId="29D63A5B" w14:textId="77777777" w:rsidR="003754FE" w:rsidRDefault="003754FE" w:rsidP="003754FE">
      <w:pPr>
        <w:pStyle w:val="TextoNormal"/>
      </w:pPr>
    </w:p>
    <w:p w14:paraId="50AC17B3" w14:textId="77777777" w:rsidR="003754FE" w:rsidRDefault="003754FE" w:rsidP="003754FE">
      <w:pPr>
        <w:pStyle w:val="TextoNormal"/>
      </w:pPr>
      <w:r>
        <w:t xml:space="preserve">El análisis de la sentencia absolutoria dictada por el juzgado de lo penal permite apreciar que se trata de una resolución extensa y pormenorizadamente motivada en relación con todas las pruebas practicadas, cuyo sentido no concluyente respecto de la identificación del </w:t>
      </w:r>
      <w:r>
        <w:lastRenderedPageBreak/>
        <w:t>autor de la agresión justificó la absolución del acusado. La juzgadora detalla el resultado de las pruebas practicadas en el juicio oral y los criterios por los que concluye que procede dictar sentencia absolutoria, que se apoya en la existencia de duda razonable en cuanto a que el acusado fuera el autor de la agresión sufrida por don Kalafat Güçlü, cónsul turco en Barcelona. Razona que la persona que le acompañaba en ese momento (el embajador de Turquía) no ha comparecido para prestar declaración y que las imágenes obtenidas de las cámaras de dos restaurantes, así como de un vídeo de una manifestación de protesta contra las acciones del gobierno turco en la zona kurda de Siria, en las que se basó la identificación policial, no son suficientes para demostrar la autoría de los hechos, sin que el testimonio del agente de policía de la brigada provincial de información de Barcelona que depuso en el juicio oral (que manifestó reconocer al acusado por haberle visto previamente varias veces en manifestaciones anteriores de protesta contra el gobierno turco) resulte suficiente para acreditar que el acusado fuera quien cometió la agresión, ya que ese testimonio presenta dudas y lagunas y “resulta totalmente imposible que sin conocer la identidad de una persona, en una manifestación con centenares de personas participantes, se pueda recordar a un determinado participante al que no se conoce y, sin embargo, poder identificarlo con nombre y apellido tras los hechos”. A la misma conclusión de insuficiencia probatoria llega la juzgadora en cuanto al reconocimiento efectuado por el agredido, porque considera que este ofreció una descripción inicial muy genérica del presunto autor en su denuncia, y porque el posterior reconocimiento en rueda está viciado al venir precedido por la muestra de fotografías del acusado en la comisaría de policía.</w:t>
      </w:r>
    </w:p>
    <w:p w14:paraId="6AD68EB2" w14:textId="77777777" w:rsidR="003754FE" w:rsidRDefault="003754FE" w:rsidP="003754FE">
      <w:pPr>
        <w:pStyle w:val="TextoNormal"/>
      </w:pPr>
    </w:p>
    <w:p w14:paraId="6A464639" w14:textId="38880D25" w:rsidR="003754FE" w:rsidRDefault="003754FE" w:rsidP="003754FE">
      <w:pPr>
        <w:pStyle w:val="TextoNormal"/>
      </w:pPr>
      <w:r>
        <w:t>Por su parte, la sentencia de la Audiencia Provincial de Barcelona impugnada en amparo no asume el relato fáctico de la sentencia absolutoria del juzgado de lo penal, y fundamenta la estimación del recurso de apelación en la apreciación de que, a partir del examen de la videograbación del juicio oral y del material audiovisual obrante en las actuaciones (imágenes obtenidas de las cámaras de seguridad de los restaurantes la noche de los hechos y del vídeo de una manifestación), resulta inconsistente o “inescrutable” el razonamiento de la juzgadora que niega credibilidad al testimonio del agente policial que identificó al autor de la agresión a partir de las imágenes tomadas en el lugar de los hechos y su comparación con otras imágenes tomadas en manifestaciones de protesta contra el gobierno turco celebradas con anterioridad en Barcelona, y que en el acto del juicio ratificó la identificación plasmada en el atestado, “sin que se aprecien las dudas expresadas en la sentencia de instancia”, puntualizando que el conocimiento del nombre y apellido del autor de los hechos fue posterior al conocimiento de sus rasgos físicos. Asimismo, en cuanto a la identificación del autor de la agresión realizada por la víctima, la Audiencia Provincial considera que el criterio de la juzgadora resulta contrario a una constante doctrina legal, que admite la validez del reconocimiento en rueda aunque previamente se haya realizado un reconocimiento fotográfico, y que en este caso la víctima ratificó sin ambages en el plenario el pleno reconocimiento en rueda del encausado.</w:t>
      </w:r>
    </w:p>
    <w:p w14:paraId="329FC84C" w14:textId="77777777" w:rsidR="003754FE" w:rsidRDefault="003754FE" w:rsidP="003754FE">
      <w:pPr>
        <w:pStyle w:val="TextoNormal"/>
      </w:pPr>
    </w:p>
    <w:p w14:paraId="3B94CC6A" w14:textId="77777777" w:rsidR="003754FE" w:rsidRDefault="003754FE" w:rsidP="003754FE">
      <w:pPr>
        <w:pStyle w:val="TextoNormal"/>
      </w:pPr>
      <w:r w:rsidRPr="003754FE">
        <w:rPr>
          <w:rStyle w:val="NumeroAFNegritaCaracter"/>
        </w:rPr>
        <w:t>4</w:t>
      </w:r>
      <w:r>
        <w:t xml:space="preserve">. </w:t>
      </w:r>
      <w:r w:rsidRPr="003754FE">
        <w:rPr>
          <w:i/>
        </w:rPr>
        <w:t>Aplicación al caso de la STC 72/2024; estimación del recurso de amparo</w:t>
      </w:r>
    </w:p>
    <w:p w14:paraId="0E7564EC" w14:textId="77777777" w:rsidR="003754FE" w:rsidRDefault="003754FE" w:rsidP="003754FE">
      <w:pPr>
        <w:pStyle w:val="TextoNormal"/>
      </w:pPr>
    </w:p>
    <w:p w14:paraId="22DFACF5" w14:textId="77777777" w:rsidR="003754FE" w:rsidRDefault="003754FE" w:rsidP="003754FE">
      <w:pPr>
        <w:pStyle w:val="TextoNormal"/>
      </w:pPr>
      <w:r>
        <w:t xml:space="preserve">A la vista de los razonamientos expuestos que se contienen en las sentencias de primera y segunda instancia, apreciamos que, al justificar la dictada en apelación la decisión revocatoria, más allá de realizar un juicio externo sobre la coherencia y racionalidad del juicio fáctico que condujo a la absolución previa, su fundamentación implica un posicionamiento propio del tribunal de apelación en relación con el resultado de las pruebas practicadas en </w:t>
      </w:r>
      <w:r>
        <w:lastRenderedPageBreak/>
        <w:t>la instancia. A partir de sus criterios valorativos, la Audiencia Provincial considera ilógicos los opuestos que de forma razonada ha expuesto la juzgadora de instancia.</w:t>
      </w:r>
    </w:p>
    <w:p w14:paraId="2B4BB8A1" w14:textId="77777777" w:rsidR="003754FE" w:rsidRDefault="003754FE" w:rsidP="003754FE">
      <w:pPr>
        <w:pStyle w:val="TextoNormal"/>
      </w:pPr>
    </w:p>
    <w:p w14:paraId="0C3B0B78" w14:textId="77777777" w:rsidR="003754FE" w:rsidRDefault="003754FE" w:rsidP="003754FE">
      <w:pPr>
        <w:pStyle w:val="TextoNormal"/>
      </w:pPr>
      <w:r>
        <w:t>Tanto el acusador particular en su recurso de apelación (al que se adhirió el Ministerio Fiscal) como el tribunal encargado de conocer de ese recurso enmarcaron el ámbito de la impugnación en la alegada existencia de un error en la valoración de la prueba, lo que legal y constitucionalmente delimitaba el alcance del objeto de enjuiciamiento. En su examen, la sentencia de apelación rechaza la valoración de la prueba realizada en la instancia en cuanto a la identificación del autor de los hechos, para calificar luego de “inescrutable” el razonamiento de la juzgadora que niega credibilidad al testimonio del agente policial que reconoció al acusado como el autor de la agresión, a partir de las imágenes captadas en el lugar de los hechos y su comparación con otras imágenes tomadas en anteriores manifestaciones de protesta contra el Gobierno turco en Barcelona.</w:t>
      </w:r>
    </w:p>
    <w:p w14:paraId="69A6DA57" w14:textId="77777777" w:rsidR="003754FE" w:rsidRDefault="003754FE" w:rsidP="003754FE">
      <w:pPr>
        <w:pStyle w:val="TextoNormal"/>
      </w:pPr>
    </w:p>
    <w:p w14:paraId="4A92E7D9" w14:textId="77777777" w:rsidR="003754FE" w:rsidRDefault="003754FE" w:rsidP="003754FE">
      <w:pPr>
        <w:pStyle w:val="TextoNormal"/>
      </w:pPr>
      <w:r>
        <w:t>Así pues, cabe apreciar que la sentencia impugnada en amparo no se limita a efectuar un juicio externo de control de la razonabilidad de la apreciación probatoria que sustenta la absolución del acusado en la sentencia apelada pues, para fundamentar la estimación del recurso de apelación, tras el pormenorizado análisis del acervo probatorio, expresa con rotundidad cuál es, según su criterio, el contenido acreditativo que debe atribuirse a determinadas pruebas y las conclusiones que de ellas deben extraerse. La sentencia de apelación no identifica pruebas que no hayan sido valoradas, sino que difiere del criterio de valoración expresado en la instancia, por lo que cabe concluir que no se ha realizado por la Audiencia Provincial de Barcelona un control externo sobre la fundamentación de la sentencia absolutoria, sino que se cuestionan sus conclusiones a partir de la valoración alternativa de la fiabilidad y capacidad incriminatoria de las pruebas practicadas.</w:t>
      </w:r>
    </w:p>
    <w:p w14:paraId="134F87F3" w14:textId="77777777" w:rsidR="003754FE" w:rsidRDefault="003754FE" w:rsidP="003754FE">
      <w:pPr>
        <w:pStyle w:val="TextoNormal"/>
      </w:pPr>
    </w:p>
    <w:p w14:paraId="2D8F5F72" w14:textId="77777777" w:rsidR="003754FE" w:rsidRDefault="003754FE" w:rsidP="003754FE">
      <w:pPr>
        <w:pStyle w:val="TextoNormal"/>
      </w:pPr>
      <w:r>
        <w:t>Tal nuevo criterio valorativo, que justificó la estimación del recurso de apelación con la correspondiente decisión de nulidad con retroacción de actuaciones, desborda los límites de las facultades de revisión del juicio de hecho que la propia ley atribuye al tribunal de apelación, lo que determina la estimación de la queja del demandante relativa a la vulneración del derecho a recibir una respuesta fundada en Derecho, vertiente de garantía que forma parte del contenido de su derecho a obtener la tutela judicial efectiva (art. 24.1 CE) de su pretensión impugnatoria del recurso de apelación.</w:t>
      </w:r>
    </w:p>
    <w:p w14:paraId="6347FA43" w14:textId="77777777" w:rsidR="003754FE" w:rsidRDefault="003754FE" w:rsidP="003754FE">
      <w:pPr>
        <w:pStyle w:val="TextoNormal"/>
      </w:pPr>
    </w:p>
    <w:p w14:paraId="4D369F8F" w14:textId="77777777" w:rsidR="003754FE" w:rsidRDefault="003754FE" w:rsidP="003754FE">
      <w:pPr>
        <w:pStyle w:val="TextoNormal"/>
      </w:pPr>
      <w:r>
        <w:t>Resta por analizar, en cuanto al fundamento de la decisión de revocación y nulidad adoptado por el tribunal de apelación, la alegada vulneración del derecho a la presunción de inocencia (art. 24.2 CE).</w:t>
      </w:r>
    </w:p>
    <w:p w14:paraId="24F55073" w14:textId="77777777" w:rsidR="003754FE" w:rsidRDefault="003754FE" w:rsidP="003754FE">
      <w:pPr>
        <w:pStyle w:val="TextoNormal"/>
      </w:pPr>
    </w:p>
    <w:p w14:paraId="12161A61" w14:textId="77777777" w:rsidR="003754FE" w:rsidRDefault="003754FE" w:rsidP="003754FE">
      <w:pPr>
        <w:pStyle w:val="TextoNormal"/>
      </w:pPr>
      <w:r>
        <w:t>Resulta evidente que en este caso, como en el resuelto por la STC 72/2024, el tribunal de apelación no ha dictado sentencia condenatoria ni ha agravado un fallo condenatorio precedente. Sin embargo, debemos convenir que el razonamiento que lleva a la revocación de la absolución mediante una valoración alternativa de la prueba practicada en la instancia supone de hecho un cuestionamiento directo de la justificación de la duda razonable sobre los hechos expresada motivadamente por la juzgadora de instancia. En efecto, “[l]a afirmación de duda razonable puede impugnarse, pero solo en la medida en que incurra en irrazonabilidad, arbitrariedad o error patente” (STC 72/2024, FJ 6).</w:t>
      </w:r>
    </w:p>
    <w:p w14:paraId="6B3C203C" w14:textId="77777777" w:rsidR="003754FE" w:rsidRDefault="003754FE" w:rsidP="003754FE">
      <w:pPr>
        <w:pStyle w:val="TextoNormal"/>
      </w:pPr>
    </w:p>
    <w:p w14:paraId="1BC81A26" w14:textId="77777777" w:rsidR="003754FE" w:rsidRDefault="003754FE" w:rsidP="003754FE">
      <w:pPr>
        <w:pStyle w:val="TextoNormal"/>
      </w:pPr>
      <w:r>
        <w:lastRenderedPageBreak/>
        <w:t>En tal medida, apreciamos que, en las circunstancias del caso aquí analizado, la ya reconocida vulneración del derecho a la tutela judicial efectiva mantiene una estrecha relación con el derecho a la presunción de inocencia del demandante de amparo, dado que la fundamentación de la decisión revocatoria no solo constituye una extralimitación de las facultades de apelación, sino que tampoco es respetuosa con el contenido genuino del derecho a la presunción de inocencia, según el cual, para justificar la condena penal, la culpabilidad ha de ser probada de forma suficiente, más allá de toda duda razonable, regla de enjuiciamiento que sí fue tomada en consideración y observada por la juzgadora de instancia.</w:t>
      </w:r>
    </w:p>
    <w:p w14:paraId="1FB63870" w14:textId="77777777" w:rsidR="003754FE" w:rsidRDefault="003754FE" w:rsidP="003754FE">
      <w:pPr>
        <w:pStyle w:val="TextoNormal"/>
      </w:pPr>
    </w:p>
    <w:p w14:paraId="766768DD" w14:textId="2C9FF0B6" w:rsidR="003754FE" w:rsidRDefault="003754FE" w:rsidP="003754FE">
      <w:pPr>
        <w:pStyle w:val="TextoNormal"/>
      </w:pPr>
      <w:r>
        <w:t>Procede, en consecuencia, la estimación del recurso de amparo.</w:t>
      </w:r>
    </w:p>
    <w:p w14:paraId="1B16BC32" w14:textId="77777777" w:rsidR="003754FE" w:rsidRDefault="003754FE" w:rsidP="003754FE">
      <w:pPr>
        <w:pStyle w:val="TextoNormal"/>
      </w:pPr>
    </w:p>
    <w:p w14:paraId="4384DB32" w14:textId="77777777" w:rsidR="003754FE" w:rsidRDefault="003754FE" w:rsidP="003754FE">
      <w:pPr>
        <w:pStyle w:val="TextoNormal"/>
      </w:pPr>
      <w:r w:rsidRPr="003754FE">
        <w:rPr>
          <w:rStyle w:val="NumeroAFNegritaCaracter"/>
        </w:rPr>
        <w:t>5</w:t>
      </w:r>
      <w:r>
        <w:t xml:space="preserve">. </w:t>
      </w:r>
      <w:r w:rsidRPr="003754FE">
        <w:rPr>
          <w:i/>
        </w:rPr>
        <w:t>Efectos del otorgamiento del amparo</w:t>
      </w:r>
    </w:p>
    <w:p w14:paraId="746EA3CF" w14:textId="77777777" w:rsidR="003754FE" w:rsidRDefault="003754FE" w:rsidP="003754FE">
      <w:pPr>
        <w:pStyle w:val="TextoNormal"/>
      </w:pPr>
    </w:p>
    <w:p w14:paraId="7E4A6561" w14:textId="77777777" w:rsidR="003754FE" w:rsidRDefault="003754FE" w:rsidP="003754FE">
      <w:pPr>
        <w:pStyle w:val="TextoNormal"/>
      </w:pPr>
      <w:r>
        <w:t>La vulneración de los derechos del demandante a la tutela judicial efectiva (art. 24.1 CE) y a la presunción de inocencia (art. 24.2 CE) comporta la nulidad sin retroacción de actuaciones de la sentencia de apelación impugnada en amparo, medida que debe también extenderse a la providencia que inadmite el incidente de nulidad promovido frente a dicha sentencia, lo que determina la firmeza de la sentencia absolutoria dictada por el Juzgado de lo Penal núm. 25 de Barcelona.</w:t>
      </w:r>
    </w:p>
    <w:p w14:paraId="79DC3951" w14:textId="77777777" w:rsidR="003754FE" w:rsidRDefault="003754FE" w:rsidP="003754FE">
      <w:pPr>
        <w:pStyle w:val="TextoNormal"/>
      </w:pPr>
    </w:p>
    <w:p w14:paraId="7B188B51" w14:textId="77777777" w:rsidR="003754FE" w:rsidRDefault="003754FE" w:rsidP="003754FE">
      <w:pPr>
        <w:pStyle w:val="TextoNormal"/>
      </w:pPr>
      <w:r>
        <w:t xml:space="preserve">Las vulneraciones de derechos fundamentales que han sido declaradas en este supuesto radican en la propia sentencia de apelación, en su fundamentación y fallo, y no en un momento anterior que tenga que ver con el desarrollo de la causa penal, en la que fueron respetadas las garantías de un juicio justo. Se trata, por tanto, de un vicio </w:t>
      </w:r>
      <w:r w:rsidRPr="003754FE">
        <w:rPr>
          <w:i/>
        </w:rPr>
        <w:t>in iudicando</w:t>
      </w:r>
      <w:r>
        <w:t xml:space="preserve"> cometido por el tribunal de apelación, no de un vicio de forma que pueda subsanarse mediante una retroacción de actuaciones que otorgue una nueva posibilidad de pronunciamiento sobre el recurso de apelación.</w:t>
      </w:r>
    </w:p>
    <w:p w14:paraId="28CCE745" w14:textId="77777777" w:rsidR="003754FE" w:rsidRDefault="003754FE" w:rsidP="003754FE">
      <w:pPr>
        <w:pStyle w:val="TextoNormal"/>
      </w:pPr>
    </w:p>
    <w:p w14:paraId="26FCB4D4" w14:textId="77777777" w:rsidR="003754FE" w:rsidRDefault="003754FE" w:rsidP="003754FE">
      <w:pPr>
        <w:pStyle w:val="TextoNormal"/>
      </w:pPr>
      <w:r>
        <w:t>A lo expuesto cabe añadir que las vulneraciones reconocidas guardan una estrecha relación con una de las garantías que conforman el contenido del derecho a la presunción de inocencia, singularmente en cuanto cuestionan directamente la duda razonable motivadamente expresada por la juzgadora de instancia (</w:t>
      </w:r>
      <w:r w:rsidRPr="003754FE">
        <w:rPr>
          <w:i/>
        </w:rPr>
        <w:t>in dubio pro reo</w:t>
      </w:r>
      <w:r>
        <w:t>).</w:t>
      </w:r>
    </w:p>
    <w:p w14:paraId="105E5D2D" w14:textId="77777777" w:rsidR="003754FE" w:rsidRDefault="003754FE" w:rsidP="003754FE">
      <w:pPr>
        <w:pStyle w:val="TextoNormal"/>
      </w:pPr>
    </w:p>
    <w:p w14:paraId="44CDF293" w14:textId="337EF45A" w:rsidR="003754FE" w:rsidRDefault="003754FE" w:rsidP="003754FE">
      <w:pPr>
        <w:pStyle w:val="TextoNormal"/>
      </w:pPr>
      <w:r>
        <w:t>Por tanto, “[l]a naturaleza del proceso de amparo como última instancia nacional de protección de los derechos fundamentales, en este caso del acusado, impone que, al fijar los efectos del amparo, atendidas las características de las infracciones de derechos fundamentales reconocidas, su reparación efectiva suponga anular la resolución que generó las vulneraciones declarando la firmeza de la sentencia de instancia que, de forma razonada, acordó la absolución del demandante, cerrando así el caso y restableciendo la presunción de inocencia del acusado” (STC 72/2024, FJ 7).</w:t>
      </w:r>
    </w:p>
    <w:p w14:paraId="0D48D97C" w14:textId="77777777" w:rsidR="003754FE" w:rsidRDefault="003754FE" w:rsidP="003754FE">
      <w:pPr>
        <w:pStyle w:val="TextoNormal"/>
      </w:pPr>
    </w:p>
    <w:p w14:paraId="29D97725" w14:textId="77777777" w:rsidR="003754FE" w:rsidRDefault="003754FE" w:rsidP="003754FE">
      <w:pPr>
        <w:pStyle w:val="TextoNormalCentrado"/>
        <w:keepNext/>
      </w:pPr>
      <w:r>
        <w:t>FALLO</w:t>
      </w:r>
    </w:p>
    <w:p w14:paraId="38E8A018" w14:textId="4F52782F" w:rsidR="003754FE" w:rsidRDefault="003754FE" w:rsidP="003754FE">
      <w:pPr>
        <w:pStyle w:val="TextoNormalCentrado"/>
        <w:keepNext/>
      </w:pPr>
    </w:p>
    <w:p w14:paraId="4FE84EF2"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don Ibrahim Cetin y, en su virtud:</w:t>
      </w:r>
    </w:p>
    <w:p w14:paraId="37394590" w14:textId="77777777" w:rsidR="003754FE" w:rsidRDefault="003754FE" w:rsidP="003754FE">
      <w:pPr>
        <w:pStyle w:val="TextoNormal"/>
      </w:pPr>
    </w:p>
    <w:p w14:paraId="36996A0D" w14:textId="77777777" w:rsidR="003754FE" w:rsidRDefault="003754FE" w:rsidP="003754FE">
      <w:pPr>
        <w:pStyle w:val="TextoNormal"/>
      </w:pPr>
      <w:r>
        <w:lastRenderedPageBreak/>
        <w:t>1º Declarar vulnerados sus derechos a la tutela judicial efectiva (art. 24.1 CE) y a la presunción de inocencia (art. 24.2 CE).</w:t>
      </w:r>
    </w:p>
    <w:p w14:paraId="58B4A52A" w14:textId="77777777" w:rsidR="003754FE" w:rsidRDefault="003754FE" w:rsidP="003754FE">
      <w:pPr>
        <w:pStyle w:val="TextoNormal"/>
      </w:pPr>
    </w:p>
    <w:p w14:paraId="5004A853" w14:textId="70FAA70F" w:rsidR="003754FE" w:rsidRDefault="003754FE" w:rsidP="003754FE">
      <w:pPr>
        <w:pStyle w:val="TextoNormal"/>
      </w:pPr>
      <w:r>
        <w:t>2º Restablecerle en sus derechos y, a tal fin, declarar la nulidad de la sentencia de 12 enero de 2023 de la Sección Octava de la Audiencia Provincial de Barcelona, dictada en el recurso de apelación núm. 191-2022, y de la providencia de 6 de marzo de 2023, que inadmitió el incidente de nulidad promovido frente a dicha sentencia, así como la firmeza de la sentencia absolutoria dictada por el Juzgado de lo Penal núm. 25 de Barcelona el 31 de mayo de 2022, en el procedimiento abreviado núm. 551-2021.</w:t>
      </w:r>
    </w:p>
    <w:p w14:paraId="0CD4696C" w14:textId="77777777" w:rsidR="003754FE" w:rsidRDefault="003754FE" w:rsidP="003754FE">
      <w:pPr>
        <w:pStyle w:val="TextoNormal"/>
      </w:pPr>
    </w:p>
    <w:p w14:paraId="732F5BD4" w14:textId="77777777" w:rsidR="003754FE" w:rsidRDefault="003754FE" w:rsidP="003754FE">
      <w:pPr>
        <w:pStyle w:val="TextoNormal"/>
      </w:pPr>
      <w:r>
        <w:t>Publíquese esta sentencia en el “Boletín Oficial del Estado”.</w:t>
      </w:r>
    </w:p>
    <w:p w14:paraId="6ADD3B1F" w14:textId="77777777" w:rsidR="003754FE" w:rsidRDefault="003754FE" w:rsidP="003754FE">
      <w:pPr>
        <w:pStyle w:val="TextoNormal"/>
      </w:pPr>
      <w:r>
        <w:t>Dada en Madrid, a nueve de septiembre de dos mil veinticuatro.</w:t>
      </w:r>
    </w:p>
    <w:p w14:paraId="5075E8E8" w14:textId="5674F76D" w:rsidR="003754FE" w:rsidRDefault="003754FE">
      <w:pPr>
        <w:spacing w:after="160" w:line="278" w:lineRule="auto"/>
        <w:rPr>
          <w:rFonts w:ascii="Times New Roman" w:eastAsia="Times New Roman" w:hAnsi="Times New Roman" w:cs="Times New Roman"/>
          <w:sz w:val="24"/>
          <w:szCs w:val="24"/>
          <w:lang w:eastAsia="es-ES"/>
        </w:rPr>
      </w:pPr>
      <w:r>
        <w:br w:type="page"/>
      </w:r>
    </w:p>
    <w:p w14:paraId="73A7510B" w14:textId="77777777" w:rsidR="003754FE" w:rsidRDefault="003754FE" w:rsidP="003754FE">
      <w:pPr>
        <w:pStyle w:val="TtuloResolucin"/>
      </w:pPr>
      <w:bookmarkStart w:id="18" w:name="SENTENCIA_2024_109"/>
      <w:r>
        <w:lastRenderedPageBreak/>
        <w:t>SENTENCIA 109/2024, de 9 de septiembre de 2024</w:t>
      </w:r>
    </w:p>
    <w:bookmarkEnd w:id="18"/>
    <w:p w14:paraId="22BF5BD7" w14:textId="77777777" w:rsidR="003754FE" w:rsidRDefault="003754FE" w:rsidP="003754FE">
      <w:pPr>
        <w:pStyle w:val="TtuloResolucin"/>
      </w:pPr>
      <w:r>
        <w:t>Sala Primera</w:t>
      </w:r>
    </w:p>
    <w:p w14:paraId="431E5656" w14:textId="77777777" w:rsidR="003754FE" w:rsidRDefault="003754FE" w:rsidP="003754FE">
      <w:pPr>
        <w:pStyle w:val="TtuloBOE"/>
      </w:pPr>
      <w:r>
        <w:t>(BOE núm. 247, de 12 de octubre de 2024)</w:t>
      </w:r>
    </w:p>
    <w:p w14:paraId="4EC95F40" w14:textId="77777777" w:rsidR="003754FE" w:rsidRDefault="003754FE" w:rsidP="003754FE">
      <w:pPr>
        <w:pStyle w:val="TextoNormalCentrado"/>
      </w:pPr>
      <w:r>
        <w:t>ECLI:ES:TC:2024:109</w:t>
      </w:r>
    </w:p>
    <w:p w14:paraId="07206DCE" w14:textId="022133B5" w:rsidR="003754FE" w:rsidRDefault="003754FE" w:rsidP="003754FE">
      <w:pPr>
        <w:pStyle w:val="TextoNormalCentrado"/>
      </w:pPr>
    </w:p>
    <w:p w14:paraId="7B89475E" w14:textId="77777777" w:rsidR="003754FE" w:rsidRDefault="003754FE" w:rsidP="003754FE">
      <w:pPr>
        <w:pStyle w:val="SntesisDescriptiva"/>
      </w:pPr>
      <w:r>
        <w:t>Recurso de amparo 5062-2023. Promovido por don Carlos Carrizosa Torres y otros cinco diputados del grupo parlamentario de Ciutadans en el Parlamento de Cataluña respecto de los acuerdos de la mesa de la Cámara que habilitaron un procedimiento provisional de votación electrónica.</w:t>
      </w:r>
    </w:p>
    <w:p w14:paraId="5D6E1005" w14:textId="04C458A4" w:rsidR="003754FE" w:rsidRDefault="003754FE" w:rsidP="003754FE">
      <w:pPr>
        <w:pStyle w:val="SntesisDescriptiva"/>
      </w:pPr>
    </w:p>
    <w:p w14:paraId="6FD9E8EC" w14:textId="77777777" w:rsidR="003754FE" w:rsidRDefault="003754FE" w:rsidP="003754FE">
      <w:pPr>
        <w:pStyle w:val="SntesisAnaltica"/>
      </w:pPr>
      <w:r>
        <w:t>Vulneración del derecho al ejercicio de las funciones representativas, en conexión con el derecho de los ciudadanos a participar en los asuntos públicos a través de sus representantes: SSTC 65/2022 y 86/2024 (habilitación del voto telemático que excepciona el principio de presencialidad de quien voluntariamente ha decidido eludir la acción de la jurisdicción penal española y está sujeto a una orden judicial de busca y captura).</w:t>
      </w:r>
    </w:p>
    <w:p w14:paraId="3A8336FA" w14:textId="0E5BB921" w:rsidR="003754FE" w:rsidRDefault="003754FE" w:rsidP="003754FE">
      <w:pPr>
        <w:pStyle w:val="SntesisAnaltica"/>
      </w:pPr>
    </w:p>
    <w:p w14:paraId="37FE531C" w14:textId="32C71A10" w:rsidR="003754FE" w:rsidRDefault="003754FE" w:rsidP="003754FE">
      <w:pPr>
        <w:pStyle w:val="Extracto"/>
      </w:pPr>
      <w:r>
        <w:t>1.</w:t>
      </w:r>
      <w:r>
        <w:tab/>
        <w:t>Doctrina constitucional sobre las posibilidades de excepcionar el principio de presencialidad en el ejercicio del derecho de voto de los representantes políticos (SSTC 65/2022 y 86/2024) [FJ 3].</w:t>
      </w:r>
    </w:p>
    <w:p w14:paraId="718A13A3" w14:textId="77777777" w:rsidR="003754FE" w:rsidRDefault="003754FE" w:rsidP="003754FE">
      <w:pPr>
        <w:pStyle w:val="Extracto"/>
      </w:pPr>
    </w:p>
    <w:p w14:paraId="45230359" w14:textId="77777777" w:rsidR="003754FE" w:rsidRDefault="003754FE" w:rsidP="003754FE">
      <w:pPr>
        <w:pStyle w:val="Extracto"/>
      </w:pPr>
    </w:p>
    <w:p w14:paraId="6FD0B7A0" w14:textId="77777777" w:rsidR="003754FE" w:rsidRDefault="003754FE" w:rsidP="003754FE">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3390E9FF" w14:textId="5F342DDF" w:rsidR="003754FE" w:rsidRDefault="003754FE" w:rsidP="003754FE">
      <w:pPr>
        <w:pStyle w:val="TextoNormal"/>
      </w:pPr>
    </w:p>
    <w:p w14:paraId="42D97668" w14:textId="77777777" w:rsidR="003754FE" w:rsidRDefault="003754FE" w:rsidP="003754FE">
      <w:pPr>
        <w:pStyle w:val="TextoNormalCentrado"/>
        <w:keepNext/>
      </w:pPr>
      <w:r>
        <w:t>EN NOMBRE DEL REY</w:t>
      </w:r>
    </w:p>
    <w:p w14:paraId="36161E64" w14:textId="0998B80D" w:rsidR="003754FE" w:rsidRDefault="003754FE" w:rsidP="003754FE">
      <w:pPr>
        <w:pStyle w:val="TextoNormalCentrado"/>
        <w:keepNext/>
      </w:pPr>
    </w:p>
    <w:p w14:paraId="3F36454A" w14:textId="77777777" w:rsidR="003754FE" w:rsidRDefault="003754FE" w:rsidP="003754FE">
      <w:pPr>
        <w:pStyle w:val="TextoNormalCentrado"/>
        <w:keepNext/>
      </w:pPr>
    </w:p>
    <w:p w14:paraId="224BCF87" w14:textId="77777777" w:rsidR="003754FE" w:rsidRDefault="003754FE" w:rsidP="003754FE">
      <w:pPr>
        <w:pStyle w:val="TextoNormal"/>
      </w:pPr>
      <w:r>
        <w:t>la siguiente</w:t>
      </w:r>
    </w:p>
    <w:p w14:paraId="1DAABB2A" w14:textId="39DB0496" w:rsidR="003754FE" w:rsidRDefault="003754FE" w:rsidP="003754FE">
      <w:pPr>
        <w:pStyle w:val="TextoNormal"/>
      </w:pPr>
    </w:p>
    <w:p w14:paraId="0FEFB761" w14:textId="77777777" w:rsidR="003754FE" w:rsidRDefault="003754FE" w:rsidP="003754FE">
      <w:pPr>
        <w:pStyle w:val="TextoNormalCentrado"/>
        <w:keepNext/>
      </w:pPr>
      <w:r>
        <w:t>SENTENCIA</w:t>
      </w:r>
    </w:p>
    <w:p w14:paraId="473DD284" w14:textId="29C1EEB7" w:rsidR="003754FE" w:rsidRDefault="003754FE" w:rsidP="003754FE">
      <w:pPr>
        <w:pStyle w:val="TextoNormalCentrado"/>
        <w:keepNext/>
      </w:pPr>
    </w:p>
    <w:p w14:paraId="21AA6852" w14:textId="77777777" w:rsidR="003754FE" w:rsidRDefault="003754FE" w:rsidP="003754FE">
      <w:pPr>
        <w:pStyle w:val="TextoNormal"/>
      </w:pPr>
      <w:r>
        <w:t>En el recurso de amparo núm. 5062-2023, promovido por don Carlos Carrizosa Torres, doña Marina Bravo Sobrino, don Joan García González, doña Anna Grau Arias, doña Noemí de la Calle Cifré y don Matías Alonso Ruiz, diputados y diputadas del grupo parlamentario de Ciutadans en el Parlamento de Cataluña, contra el acuerdo de la mesa del Parlamento de Cataluña de 19 de abril de 2023, por el que se desestima la reconsideración planteada contra sendos acuerdos de la mesa de 18 y 19 de abril de 2023. Ha comparecido el Parlamento de Cataluña. Ha intervenido el Ministerio Fiscal. Ha sido ponente la magistrada doña María Luisa Segoviano Astaburuaga.</w:t>
      </w:r>
    </w:p>
    <w:p w14:paraId="459D6529" w14:textId="1B4E3094" w:rsidR="003754FE" w:rsidRDefault="003754FE" w:rsidP="003754FE">
      <w:pPr>
        <w:pStyle w:val="TextoNormal"/>
      </w:pPr>
    </w:p>
    <w:p w14:paraId="0D16FF2C" w14:textId="77777777" w:rsidR="003754FE" w:rsidRDefault="003754FE" w:rsidP="003754FE">
      <w:pPr>
        <w:pStyle w:val="TextoNormalNegritaCentrado"/>
        <w:keepNext/>
      </w:pPr>
      <w:r>
        <w:t>I. Antecedentes</w:t>
      </w:r>
    </w:p>
    <w:p w14:paraId="3353B1F8" w14:textId="2CDF4997" w:rsidR="003754FE" w:rsidRDefault="003754FE" w:rsidP="003754FE">
      <w:pPr>
        <w:pStyle w:val="TextoNormalNegritaCentrado"/>
        <w:keepNext/>
      </w:pPr>
    </w:p>
    <w:p w14:paraId="61D5C96F" w14:textId="59977ADC" w:rsidR="003754FE" w:rsidRDefault="003754FE" w:rsidP="003754FE">
      <w:pPr>
        <w:pStyle w:val="TextoNormal"/>
      </w:pPr>
      <w:r w:rsidRPr="003754FE">
        <w:rPr>
          <w:rStyle w:val="NumeroAFNegritaCaracter"/>
        </w:rPr>
        <w:t>1</w:t>
      </w:r>
      <w:r>
        <w:t xml:space="preserve">. Mediante escrito registrado en el Tribunal el 19 de julio de 2023, los diputados y las diputadas del grupo parlamentario de Ciutadans en el Parlamento de Cataluña citados en el </w:t>
      </w:r>
      <w:r>
        <w:lastRenderedPageBreak/>
        <w:t>encabezamiento de esta resolución, representados por el procurador de los tribunales don José Luis García Guardia, bajo la dirección del letrado don Carlos Carrizosa Torres, interpusieron recurso de amparo contra el acuerdo de la mesa del Parlamento de Cataluña de 19 de abril de 2023, por el que se desestima la solicitud de reconsideración formulada por los recurrentes registrada con el núm. 98519 contra los acuerdos de la mesa de 18 de abril de 2023, sobre la regulación transitoria del voto telemático hasta que no se proceda a una reforma del Reglamento del Parlamento de Cataluña, y de 19 de abril de 2023, aceptando la habilitación del procedimiento de votación telemático del diputado don Lluís Puig i Gordi hasta el final de ese periodo de sesiones.</w:t>
      </w:r>
    </w:p>
    <w:p w14:paraId="7B571BB0" w14:textId="77777777" w:rsidR="003754FE" w:rsidRDefault="003754FE" w:rsidP="003754FE">
      <w:pPr>
        <w:pStyle w:val="TextoNormal"/>
      </w:pPr>
    </w:p>
    <w:p w14:paraId="0DCDDB1B" w14:textId="77777777" w:rsidR="003754FE" w:rsidRDefault="003754FE" w:rsidP="003754FE">
      <w:pPr>
        <w:pStyle w:val="TextoNormal"/>
      </w:pPr>
      <w:r w:rsidRPr="003754FE">
        <w:rPr>
          <w:rStyle w:val="NumeroAFNegritaCaracter"/>
        </w:rPr>
        <w:t>2</w:t>
      </w:r>
      <w:r>
        <w:t>. El recurso tiene su origen en los siguientes antecedentes:</w:t>
      </w:r>
    </w:p>
    <w:p w14:paraId="25245DAE" w14:textId="77777777" w:rsidR="003754FE" w:rsidRDefault="003754FE" w:rsidP="003754FE">
      <w:pPr>
        <w:pStyle w:val="TextoNormal"/>
      </w:pPr>
    </w:p>
    <w:p w14:paraId="78CB0E03" w14:textId="77777777" w:rsidR="003754FE" w:rsidRDefault="003754FE" w:rsidP="003754FE">
      <w:pPr>
        <w:pStyle w:val="TextoNormal"/>
      </w:pPr>
      <w:r>
        <w:t>a) La mesa del Parlamento de Cataluña, por acuerdo de 18 de abril de 2023 (acta de la sesión núm. 131), aprobó por mayoría una regulación transitoria del voto telemático hasta que no se procediera a una reforma del Reglamento del Parlamento de Cataluña, en los siguientes términos:</w:t>
      </w:r>
    </w:p>
    <w:p w14:paraId="1F2A46EE" w14:textId="77777777" w:rsidR="003754FE" w:rsidRDefault="003754FE" w:rsidP="003754FE">
      <w:pPr>
        <w:pStyle w:val="TextoNormal"/>
      </w:pPr>
    </w:p>
    <w:p w14:paraId="15EA7443" w14:textId="77777777" w:rsidR="003754FE" w:rsidRDefault="003754FE" w:rsidP="003754FE">
      <w:pPr>
        <w:pStyle w:val="TextoNormal"/>
      </w:pPr>
      <w:r>
        <w:t>“Exposición de motivos:</w:t>
      </w:r>
    </w:p>
    <w:p w14:paraId="2BF0B831" w14:textId="77777777" w:rsidR="003754FE" w:rsidRDefault="003754FE" w:rsidP="003754FE">
      <w:pPr>
        <w:pStyle w:val="TextoNormal"/>
      </w:pPr>
    </w:p>
    <w:p w14:paraId="1CF87050" w14:textId="77777777" w:rsidR="003754FE" w:rsidRDefault="003754FE" w:rsidP="003754FE">
      <w:pPr>
        <w:pStyle w:val="TextoNormal"/>
      </w:pPr>
      <w:r>
        <w:t>El artículo 4.2 del Reglamento del Parlamento de Cataluña establece que los diputados tienen derecho a voto en el Pleno. Este principio básico del parlamentarismo interpela a todos los órganos del Parlamento, que, dentro de sus funciones y la legalidad, deben hacer todo lo posible para garantizar el derecho de voto de todos los diputados y diputadas.</w:t>
      </w:r>
    </w:p>
    <w:p w14:paraId="5B26AFB2" w14:textId="77777777" w:rsidR="003754FE" w:rsidRDefault="003754FE" w:rsidP="003754FE">
      <w:pPr>
        <w:pStyle w:val="TextoNormal"/>
      </w:pPr>
    </w:p>
    <w:p w14:paraId="7E2F12FF" w14:textId="77777777" w:rsidR="003754FE" w:rsidRDefault="003754FE" w:rsidP="003754FE">
      <w:pPr>
        <w:pStyle w:val="TextoNormal"/>
      </w:pPr>
      <w:r>
        <w:t>En cuanto al voto telemático, este se habilitó durante la pandemia atendiendo a la situación de excepcionalidad de forma no controvertida. En ese mismo sentido, el voto telemático se está utilizando en algunas comisiones del Parlamento de Cataluña, también de forma no controvertida.</w:t>
      </w:r>
    </w:p>
    <w:p w14:paraId="58416778" w14:textId="77777777" w:rsidR="003754FE" w:rsidRDefault="003754FE" w:rsidP="003754FE">
      <w:pPr>
        <w:pStyle w:val="TextoNormal"/>
      </w:pPr>
    </w:p>
    <w:p w14:paraId="702F4588" w14:textId="77777777" w:rsidR="003754FE" w:rsidRDefault="003754FE" w:rsidP="003754FE">
      <w:pPr>
        <w:pStyle w:val="TextoNormal"/>
      </w:pPr>
      <w:r>
        <w:t>El acuerdo de la mesa del Parlamento que habilita el voto telemático es transitorio para garantizar los derechos de todos los diputados y diputadas mientras no exista una reforma definitiva del Reglamento del Parlamento de Cataluña.</w:t>
      </w:r>
    </w:p>
    <w:p w14:paraId="5C7A0D4D" w14:textId="77777777" w:rsidR="003754FE" w:rsidRDefault="003754FE" w:rsidP="003754FE">
      <w:pPr>
        <w:pStyle w:val="TextoNormal"/>
      </w:pPr>
    </w:p>
    <w:p w14:paraId="0897F2C9" w14:textId="77777777" w:rsidR="003754FE" w:rsidRDefault="003754FE" w:rsidP="003754FE">
      <w:pPr>
        <w:pStyle w:val="TextoNormal"/>
      </w:pPr>
      <w:r>
        <w:t>Por eso, la Mesa del Parlamento de Cataluña acuerda:</w:t>
      </w:r>
    </w:p>
    <w:p w14:paraId="4D5E8D81" w14:textId="77777777" w:rsidR="003754FE" w:rsidRDefault="003754FE" w:rsidP="003754FE">
      <w:pPr>
        <w:pStyle w:val="TextoNormal"/>
      </w:pPr>
    </w:p>
    <w:p w14:paraId="64E5C71E" w14:textId="77777777" w:rsidR="003754FE" w:rsidRDefault="003754FE" w:rsidP="003754FE">
      <w:pPr>
        <w:pStyle w:val="TextoNormal"/>
      </w:pPr>
      <w:r>
        <w:t>1. Que en situaciones excepcionales de especial gravedad en las que se impida el desarrollo de la función parlamentaria y, dadas las especiales circunstancias, se considere suficientemente justificado, la Mesa podrá autorizar en escrito motivado que los diputados y diputadas emitan su voto por el procedimiento telemático.</w:t>
      </w:r>
    </w:p>
    <w:p w14:paraId="5C7DB16E" w14:textId="77777777" w:rsidR="003754FE" w:rsidRDefault="003754FE" w:rsidP="003754FE">
      <w:pPr>
        <w:pStyle w:val="TextoNormal"/>
      </w:pPr>
    </w:p>
    <w:p w14:paraId="079904AB" w14:textId="77777777" w:rsidR="003754FE" w:rsidRDefault="003754FE" w:rsidP="003754FE">
      <w:pPr>
        <w:pStyle w:val="TextoNormal"/>
      </w:pPr>
      <w:r>
        <w:t>2. Que el diputado o diputada deberá solicitar el procedimiento telemático mediante escrito motivado a la Mesa, que le comunicará su decisión precisando el período de tiempo en que podrá emitir el voto mediante dicho procedimiento. El voto emitido por este procedimiento deberá ser verificado mediante el sistema que, a tal efecto, establezca la Mesa, que deberá tener conocimiento con carácter previo al inicio de la votación correspondiente”.</w:t>
      </w:r>
    </w:p>
    <w:p w14:paraId="137FCA00" w14:textId="77777777" w:rsidR="003754FE" w:rsidRDefault="003754FE" w:rsidP="003754FE">
      <w:pPr>
        <w:pStyle w:val="TextoNormal"/>
      </w:pPr>
    </w:p>
    <w:p w14:paraId="7ABB8058" w14:textId="77777777" w:rsidR="003754FE" w:rsidRDefault="003754FE" w:rsidP="003754FE">
      <w:pPr>
        <w:pStyle w:val="TextoNormal"/>
      </w:pPr>
      <w:r>
        <w:t xml:space="preserve">b) El diputado don Lluís Piug i Gordi, mediante escrito de 18 de abril de 2023 registrado con el núm. 98137, solicitó a la mesa, al amparo del anterior acuerdo, que se le habilitara el </w:t>
      </w:r>
      <w:r>
        <w:lastRenderedPageBreak/>
        <w:t>procedimiento transitorio de votación telemática, dado que las circunstancias actuales le incapacitan para poder ejercer de forma presencial el derecho al voto.</w:t>
      </w:r>
    </w:p>
    <w:p w14:paraId="1EED5680" w14:textId="77777777" w:rsidR="003754FE" w:rsidRDefault="003754FE" w:rsidP="003754FE">
      <w:pPr>
        <w:pStyle w:val="TextoNormal"/>
      </w:pPr>
    </w:p>
    <w:p w14:paraId="5D1E159A" w14:textId="77777777" w:rsidR="003754FE" w:rsidRDefault="003754FE" w:rsidP="003754FE">
      <w:pPr>
        <w:pStyle w:val="TextoNormal"/>
      </w:pPr>
      <w:r>
        <w:t>La mesa del Parlamento de Cataluña, por acuerdo de 19 de abril de 2023 (acta de la sesión núm. 132), aprobó por mayoría autorizar el voto telemático del diputado don Lluís Puig i Gordi hasta el final del periodo de sesiones, que finalizaba el 31 de julio de 2023, al considerar que las circunstancias en las que se encuentra suponen una situación excepcional de especial gravedad que le impide el desarrollo de la función parlamentaria en los términos del acuerdo de 18 de abril de 2023.</w:t>
      </w:r>
    </w:p>
    <w:p w14:paraId="4B37932A" w14:textId="77777777" w:rsidR="003754FE" w:rsidRDefault="003754FE" w:rsidP="003754FE">
      <w:pPr>
        <w:pStyle w:val="TextoNormal"/>
      </w:pPr>
    </w:p>
    <w:p w14:paraId="2E19C884" w14:textId="77777777" w:rsidR="003754FE" w:rsidRDefault="003754FE" w:rsidP="003754FE">
      <w:pPr>
        <w:pStyle w:val="TextoNormal"/>
      </w:pPr>
      <w:r>
        <w:t>c) El grupo parlamentario Ciutadans, mediante escrito de 19 de abril de 2023 registrado con el núm. 98519, solicitó la reconsideración de los acuerdos de 18 y 19 de abril de 2023; al igual que lo hicieron los grupos parlamentarios Socialistes i Units per Avançar y Vox en Cataluña, mediante sendos escritos de esa misma fecha registrados con los núms. 98515, 98517, 98518 y 98520.</w:t>
      </w:r>
    </w:p>
    <w:p w14:paraId="3E25A133" w14:textId="77777777" w:rsidR="003754FE" w:rsidRDefault="003754FE" w:rsidP="003754FE">
      <w:pPr>
        <w:pStyle w:val="TextoNormal"/>
      </w:pPr>
    </w:p>
    <w:p w14:paraId="0C6F1C5D" w14:textId="77777777" w:rsidR="003754FE" w:rsidRDefault="003754FE" w:rsidP="003754FE">
      <w:pPr>
        <w:pStyle w:val="TextoNormal"/>
      </w:pPr>
      <w:r>
        <w:t xml:space="preserve">La solicitud de reconsideración se fundamentó en que los acuerdos constituyen “una suerte de autohabilitación </w:t>
      </w:r>
      <w:r w:rsidRPr="003754FE">
        <w:rPr>
          <w:i/>
        </w:rPr>
        <w:t>contra legem</w:t>
      </w:r>
      <w:r>
        <w:t xml:space="preserve"> que se da la mesa para concederle libremente a un diputado de su predilección la posibilidad de votar de un modo que el RPC reserva a un supuesto muy tasado, puesto que ello sería tanto como darse carta blanca para actuar arbitrariamente, concediéndolo o denegándolo sin arreglo a precepto alguno, algo que la Constitución prohíbe expresamente en su artículo 9.3 (interdicción de la arbitrariedad de los poderes públicos)”; incidiendo en que don Lluís Puig i Gordi está fugado de la justicia desde 2017, ha intentado disimular su incomparecencia obteniendo la delegación de voto de la mesa de una manera también contraria al Reglamento del Parlamento de Cataluña (RPC) y a las sentencias del Tribunal Constitucional, evidenciando que “se trata de un acuerdo </w:t>
      </w:r>
      <w:r w:rsidRPr="003754FE">
        <w:rPr>
          <w:i/>
        </w:rPr>
        <w:t>ad hominem</w:t>
      </w:r>
      <w:r>
        <w:t>, tomado contra todo derecho con la evidente intención de favorecer la acción evasora de la justicia de un fugado”.</w:t>
      </w:r>
    </w:p>
    <w:p w14:paraId="1951B2D2" w14:textId="77777777" w:rsidR="003754FE" w:rsidRDefault="003754FE" w:rsidP="003754FE">
      <w:pPr>
        <w:pStyle w:val="TextoNormal"/>
      </w:pPr>
    </w:p>
    <w:p w14:paraId="1CD65FB0" w14:textId="3028C361" w:rsidR="003754FE" w:rsidRDefault="003754FE" w:rsidP="003754FE">
      <w:pPr>
        <w:pStyle w:val="TextoNormal"/>
      </w:pPr>
      <w:r>
        <w:t>d) La mesa del Parlamento de Cataluña, por un único acuerdo de 19 de abril de 2023, aprobó por mayoría desestimar todas las solicitudes de reconsideración formuladas contra los citados acuerdos de 18 y 19 de abril de 2023, argumentando que (i) la mesa debe garantizar el derecho de los diputados al voto; (ii) las votaciones telemáticas en el Pleno y en las comisiones del Parlamento de Cataluña han sido habilitadas anteriormente por la mesa sin previsión reglamentaria al efecto, tal como se hace en el presente acuerdo, sin que haya sido objeto de controversia; y (iii) las sentencias del Tribunal Constitucional citadas en las reconsideraciones respecto de las delegaciones de voto anuladas al diputado don Lluís Puig i Gordi no tienen el mismo objeto que el acuerdo sometido a reconsideración.</w:t>
      </w:r>
    </w:p>
    <w:p w14:paraId="6773BC8B" w14:textId="77777777" w:rsidR="003754FE" w:rsidRDefault="003754FE" w:rsidP="003754FE">
      <w:pPr>
        <w:pStyle w:val="TextoNormal"/>
      </w:pPr>
    </w:p>
    <w:p w14:paraId="2064AA0C" w14:textId="77777777" w:rsidR="003754FE" w:rsidRDefault="003754FE" w:rsidP="003754FE">
      <w:pPr>
        <w:pStyle w:val="TextoNormal"/>
      </w:pPr>
      <w:r w:rsidRPr="003754FE">
        <w:rPr>
          <w:rStyle w:val="NumeroAFNegritaCaracter"/>
        </w:rPr>
        <w:t>3</w:t>
      </w:r>
      <w:r>
        <w:t>. Los demandantes de amparo solicitan que se estime el recurso declarando que se ha vulnerado su derecho a la representación política (art. 23.2 CE), para cuyo restablecimiento consideran necesario anular los acuerdos impugnados.</w:t>
      </w:r>
    </w:p>
    <w:p w14:paraId="2FCD69C6" w14:textId="77777777" w:rsidR="003754FE" w:rsidRDefault="003754FE" w:rsidP="003754FE">
      <w:pPr>
        <w:pStyle w:val="TextoNormal"/>
      </w:pPr>
    </w:p>
    <w:p w14:paraId="39875832" w14:textId="77777777" w:rsidR="003754FE" w:rsidRDefault="003754FE" w:rsidP="003754FE">
      <w:pPr>
        <w:pStyle w:val="TextoNormal"/>
      </w:pPr>
      <w:r>
        <w:t xml:space="preserve">Los demandantes de amparo, en el apartado de antecedentes de hecho del recurso, relatan las actuaciones de la mesa del Parlamento de Cataluña relativas a las sucesivas ocasiones en las que se autorizó el voto delegado al diputado don Lluís Piug i Gordí en la XIII legislatura —que el Parlamento de Cataluña pasó a denominar XIV legislatura a partir de la resolución 9/XIII aprobada en la sesión plenaria de 2 de junio de 2021—, así como el </w:t>
      </w:r>
      <w:r>
        <w:lastRenderedPageBreak/>
        <w:t>proceso de su impugnación por los demandantes, que culminó con el recurso de amparo resuelto por la STC 92/2022, de 11 de julio. En conexión con ello, relatan la aprobación del acuerdo de 18 de abril de 2023 poniéndolo en relación inmediata con el hecho de que en esa misma fecha fuera solicitada la habilitación del procedimiento de votación telemática por don Lluís Puig i Gordi, que fue aprobado y confirmado en reconsideración mediante sendos acuerdos de 19 de abril de 2023.</w:t>
      </w:r>
    </w:p>
    <w:p w14:paraId="32F707FB" w14:textId="77777777" w:rsidR="003754FE" w:rsidRDefault="003754FE" w:rsidP="003754FE">
      <w:pPr>
        <w:pStyle w:val="TextoNormal"/>
      </w:pPr>
    </w:p>
    <w:p w14:paraId="0F82347C" w14:textId="77777777" w:rsidR="003754FE" w:rsidRDefault="003754FE" w:rsidP="003754FE">
      <w:pPr>
        <w:pStyle w:val="TextoNormal"/>
      </w:pPr>
      <w:r>
        <w:t>Los demandantes de amparo, tras exponer la jurisprudencia constitucional sobre el art. 23.2 CE, argumentan que el acuerdo que regula el voto telemático infringe lo dispuesto en el art. 95 RPC lesionando el citado derecho fundamental por alterar la configuración institucional del Parlamento; al igual que sucede con el acuerdo que habilita a don Lluís Puig i Gordi al uso del voto telemático sin contar con los requisitos específicos que lo permitirían, ya que no se encuentra incapacitado para el ejercicio del voto presencial por el hecho de encontrarse huido de la justicia. En particular, los demandantes entienden que esos acuerdos vulneran el principio de igualdad entre los diputados del Parlamento de Cataluña y permite la constitución de mayorías ilegales e ilegítimas por el voto telemático, irregularmente autorizado, que penaliza a las minorías y lesiona el pluralismo político.</w:t>
      </w:r>
    </w:p>
    <w:p w14:paraId="3511B3BD" w14:textId="77777777" w:rsidR="003754FE" w:rsidRDefault="003754FE" w:rsidP="003754FE">
      <w:pPr>
        <w:pStyle w:val="TextoNormal"/>
      </w:pPr>
    </w:p>
    <w:p w14:paraId="674FF5D7" w14:textId="5DCC3121" w:rsidR="003754FE" w:rsidRDefault="003754FE" w:rsidP="003754FE">
      <w:pPr>
        <w:pStyle w:val="TextoNormal"/>
      </w:pPr>
      <w:r>
        <w:t>Los demandantes de amparo justifican la especial trascendencia constitucional del recurso afirmando que por su naturaleza parlamentaria plantea unas consecuencias políticas generales, promoviéndose sin poder contar con una vía judicial previa en la que defender los derechos fundamentales de los representantes políticos.</w:t>
      </w:r>
    </w:p>
    <w:p w14:paraId="0AC3347E" w14:textId="77777777" w:rsidR="003754FE" w:rsidRDefault="003754FE" w:rsidP="003754FE">
      <w:pPr>
        <w:pStyle w:val="TextoNormal"/>
      </w:pPr>
    </w:p>
    <w:p w14:paraId="05073EE3" w14:textId="7E67C849" w:rsidR="003754FE" w:rsidRDefault="003754FE" w:rsidP="003754FE">
      <w:pPr>
        <w:pStyle w:val="TextoNormal"/>
      </w:pPr>
      <w:r w:rsidRPr="003754FE">
        <w:rPr>
          <w:rStyle w:val="NumeroAFNegritaCaracter"/>
        </w:rPr>
        <w:t>4</w:t>
      </w:r>
      <w:r>
        <w:t>. La Sección Primera del Tribunal, por providencia de 20 de noviembre de 2023, acordó la admisión a trámite de la demanda de amparo, apreciando que concurre una especial trascendencia constitucional ya que el asunto trasciende del caso concreto porque pudiera tener unas consecuencias políticas generales [STC 155/2009, de 25 de junio, FJ 2 g)]; y dirigir atenta comunicación al Parlamento de Cataluña para la remisión de testimonio de las actuaciones y a los efectos de su personación en el presente proceso constitucional.</w:t>
      </w:r>
    </w:p>
    <w:p w14:paraId="18A42BAE" w14:textId="77777777" w:rsidR="003754FE" w:rsidRDefault="003754FE" w:rsidP="003754FE">
      <w:pPr>
        <w:pStyle w:val="TextoNormal"/>
      </w:pPr>
    </w:p>
    <w:p w14:paraId="5A546D79" w14:textId="228826C0" w:rsidR="003754FE" w:rsidRDefault="003754FE" w:rsidP="003754FE">
      <w:pPr>
        <w:pStyle w:val="TextoNormal"/>
      </w:pPr>
      <w:r w:rsidRPr="003754FE">
        <w:rPr>
          <w:rStyle w:val="NumeroAFNegritaCaracter"/>
        </w:rPr>
        <w:t>5</w:t>
      </w:r>
      <w:r>
        <w:t>. La Secretaría de Justicia de la Sala Primera del Tribunal, por diligencia de ordenación de 9 de enero de 2024, tuvo por recibido el testimonio de las actuaciones, por personado y parte al Parlamento de Cataluña y acordó dar vista de las actuaciones a las partes personadas y al Ministerio Fiscal, por plazo común de veinte días, a fin de que, conforme con lo previsto en el art. 52 de la Ley Orgánica del Tribunal Constitucional, pudieran presentar alegaciones.</w:t>
      </w:r>
    </w:p>
    <w:p w14:paraId="1CD3C4F3" w14:textId="77777777" w:rsidR="003754FE" w:rsidRDefault="003754FE" w:rsidP="003754FE">
      <w:pPr>
        <w:pStyle w:val="TextoNormal"/>
      </w:pPr>
    </w:p>
    <w:p w14:paraId="465B6916" w14:textId="77777777" w:rsidR="003754FE" w:rsidRDefault="003754FE" w:rsidP="003754FE">
      <w:pPr>
        <w:pStyle w:val="TextoNormal"/>
      </w:pPr>
      <w:r w:rsidRPr="003754FE">
        <w:rPr>
          <w:rStyle w:val="NumeroAFNegritaCaracter"/>
        </w:rPr>
        <w:t>6</w:t>
      </w:r>
      <w:r>
        <w:t>. El Ministerio Fiscal, mediante escrito registrado el 23 de febrero de 2024, presentó alegaciones interesando la estimación del amparo por vulneración del derecho de los recurrentes a ejercer las funciones representativas con los requisitos que señalan las leyes (art. 23.2 CE), en relación con el derecho de los ciudadanos a participar en los asuntos públicos a través de sus representantes (art. 23.1 CE), para cuyo restablecimiento insta la nulidad de los acuerdos parlamentarios impugnados.</w:t>
      </w:r>
    </w:p>
    <w:p w14:paraId="684B2E1B" w14:textId="77777777" w:rsidR="003754FE" w:rsidRDefault="003754FE" w:rsidP="003754FE">
      <w:pPr>
        <w:pStyle w:val="TextoNormal"/>
      </w:pPr>
    </w:p>
    <w:p w14:paraId="23887FB3" w14:textId="77777777" w:rsidR="003754FE" w:rsidRDefault="003754FE" w:rsidP="003754FE">
      <w:pPr>
        <w:pStyle w:val="TextoNormal"/>
      </w:pPr>
      <w:r>
        <w:t xml:space="preserve">El Ministerio Fiscal, en relación con el acuerdo de la mesa del Parlamento de Cataluña de 18 de abril de 2023, por el que se habilita el voto telemático de manera transitoria mientras no haya una reforma definitiva del Reglamento, argumenta que (i) no existe una regulación específica en el Reglamento del Parlamento de Cataluña sobre el voto telemático al </w:t>
      </w:r>
      <w:r>
        <w:lastRenderedPageBreak/>
        <w:t xml:space="preserve">margen del voto delegado establecido en su art. 95, por lo que existiría un vacío normativo que vendría a cubrir este acuerdo de la mesa; (ii) el art. 37.3 a) RPC establece que la mesa del Parlamento de Cataluña solo tiene atribuida competencia para adoptar las decisiones que requieren las tramitaciones parlamentarias en caso de duda o laguna reglamentaria, que tiene el límite, establecido por la jurisprudencia constitucional, de la modificación del reglamento, ya que implica sustraer esa decisión al Pleno de la Cámara, obviando así el requisito de la mayoría absoluta para su reforma (SSTC 44/1995, de 13 de febrero, FJ 3, y 227/2004, de 29 de noviembre, FJ 2); (iii) el acuerdo impugnado introduce una regulación general sobre el ejercicio del voto telemático, incorporando una modalidad de voto no prevista en el reglamento que va más allá de su aclaración o integración, con quiebra no solo de la doctrina constitucional referida sino también de la que establece que las excepciones al voto presencial solo pueden venir previstas en el reglamento de la Cámara (SSTC 19/2019, de 12 de febrero, y 168/2021, de 5 de octubre) y en los supuestos específicos establecidos en el art. 95 RPC (SSTC 65/2022, 75/2022 y 85/2022); y (iv) con este proceder se ha producido una modificación reglamentaria de facto fuera de los cauces previstos para su reforma con desconocimiento del principio de que para ello es necesaria una aprobación del Pleno por mayoría (art. 58.3 del Estatuto de Autonomía de Cataluña), lo que implica una vulneración del </w:t>
      </w:r>
      <w:r w:rsidRPr="003754FE">
        <w:rPr>
          <w:i/>
        </w:rPr>
        <w:t>ius in officium</w:t>
      </w:r>
      <w:r>
        <w:t xml:space="preserve"> de los recurrentes, quienes se han visto privados de la participación y debate en una reforma reglamentaria.</w:t>
      </w:r>
    </w:p>
    <w:p w14:paraId="473F7E24" w14:textId="77777777" w:rsidR="003754FE" w:rsidRDefault="003754FE" w:rsidP="003754FE">
      <w:pPr>
        <w:pStyle w:val="TextoNormal"/>
      </w:pPr>
    </w:p>
    <w:p w14:paraId="4541E9FF" w14:textId="77777777" w:rsidR="003754FE" w:rsidRDefault="003754FE" w:rsidP="003754FE">
      <w:pPr>
        <w:pStyle w:val="TextoNormal"/>
      </w:pPr>
      <w:r>
        <w:t xml:space="preserve">El Ministerio Fiscal, en relación con el acuerdo de la mesa del Parlamento de Cataluña de 19 de abril de 2023, por el que se habilita el voto telemático al diputado don Lluís Puig i Gordi, argumenta que la nulidad del acuerdo que le da cobertura arrastra también la de este. Añade que, sin perjuicio de ello, su nulidad también derivaría de que, en los términos reiterados en las SSTC 85/2022, de 27 de junio, y 24/2023, de 27 de marzo, la situación alegada por dicho diputado para que se autorizara el voto telemático, que es la de estar declarado en rebeldía en un proceso penal, no cumpliría la condición de ser un supuesto que permita excepcionar el ejercicio del voto presencial; derivando de ello que el proceder de la mesa del Parlamento de Cataluña, al adoptar ese acuerdo, estaría próximo al fraude ley, porque, aunque no desconoció formalmente lo ya resuelto por el Tribunal Constitucional sobre la delegación de voto en aquellas sentencias, se sirvió de la autorización aquí impugnada como un subterfugio tendente a su elusión, adoptando así una habilitación arbitraria, aprobada </w:t>
      </w:r>
      <w:r w:rsidRPr="003754FE">
        <w:rPr>
          <w:i/>
        </w:rPr>
        <w:t>ad hoc</w:t>
      </w:r>
      <w:r>
        <w:t>, para el caso concreto.</w:t>
      </w:r>
    </w:p>
    <w:p w14:paraId="7288D2B6" w14:textId="77777777" w:rsidR="003754FE" w:rsidRDefault="003754FE" w:rsidP="003754FE">
      <w:pPr>
        <w:pStyle w:val="TextoNormal"/>
      </w:pPr>
    </w:p>
    <w:p w14:paraId="00363D86" w14:textId="123C240A" w:rsidR="003754FE" w:rsidRDefault="003754FE" w:rsidP="003754FE">
      <w:pPr>
        <w:pStyle w:val="TextoNormal"/>
      </w:pPr>
      <w:r>
        <w:t>En cuanto al alcance de la estimación del recurso, el Ministerio Fiscal argumenta, con cita de jurisprudencia constitucional previa, que no debe comunicarse la nulidad de los acuerdos impugnados a los actos del Parlamento de Cataluña que hayan podido adoptarse con el voto del diputado habilitado para su emisión de manera telemática, como salvaguarda del principio de seguridad jurídica.</w:t>
      </w:r>
    </w:p>
    <w:p w14:paraId="1E3EB2DB" w14:textId="77777777" w:rsidR="003754FE" w:rsidRDefault="003754FE" w:rsidP="003754FE">
      <w:pPr>
        <w:pStyle w:val="TextoNormal"/>
      </w:pPr>
    </w:p>
    <w:p w14:paraId="44CF3FD4" w14:textId="77777777" w:rsidR="003754FE" w:rsidRDefault="003754FE" w:rsidP="003754FE">
      <w:pPr>
        <w:pStyle w:val="TextoNormal"/>
      </w:pPr>
      <w:r w:rsidRPr="003754FE">
        <w:rPr>
          <w:rStyle w:val="NumeroAFNegritaCaracter"/>
        </w:rPr>
        <w:t>7</w:t>
      </w:r>
      <w:r>
        <w:t>. El Parlamento de Cataluña, por escrito registrado el 25 de enero de 2024, presentó alegaciones solicitando la inadmisión del recurso y, subsidiariamente, su desestimación.</w:t>
      </w:r>
    </w:p>
    <w:p w14:paraId="212CB617" w14:textId="77777777" w:rsidR="003754FE" w:rsidRDefault="003754FE" w:rsidP="003754FE">
      <w:pPr>
        <w:pStyle w:val="TextoNormal"/>
      </w:pPr>
    </w:p>
    <w:p w14:paraId="5CE31877" w14:textId="77777777" w:rsidR="003754FE" w:rsidRDefault="003754FE" w:rsidP="003754FE">
      <w:pPr>
        <w:pStyle w:val="TextoNormal"/>
      </w:pPr>
      <w:r>
        <w:t xml:space="preserve">El Parlamento de Cataluña afirma que concurren las siguientes causas de inadmisión: (i) falta de agotamiento de la vía parlamentaria y de invocación tempestiva del derecho fundamental, ya que los recurrentes formularon la reconsideración solo en relación con la aprobación de la regulación transitoria del voto telemático, pero no de la concreta aplicación del mismo autorizando la votación telemática a don Lluís Puig i Gordi, que es el acuerdo </w:t>
      </w:r>
      <w:r>
        <w:lastRenderedPageBreak/>
        <w:t>concretamente impugnado en el recurso de amparo, respecto del que tampoco se invocó en esa vía previa que había vulnerado el art. 23.2 CE; (ii) el recurso ha perdido su objeto de manera sobrevenida, porque el acuerdo que autoriza el ejercicio del voto telemático a este diputado, que es el único acuerdo impugnado en el presente recurso de amparo, solo estuvo vigente en el periodo de sesiones que concluyó el 31 de julio de 2023; (iii) la manifiesta inexistencia de lesión, ya que no concurre la lesión alegada del art. 23.2 CE que no cabe derivar de una mera infracción reglamentaria; (iv) la falta de legitimación de los demandantes porque el recurso se configura como un contra-amparo, al oponerse al reconocimiento de un derecho fundamental ajeno; y (v) el recurso va contra los actos propios, ya que, a pesar de dirigirse el presente recurso de amparo exclusivamente al acuerdo de habilitación de ese voto telemático a un concreto diputado, se pretende cuestionar en la demanda el acuerdo de la mesa de aprobación del mecanismo transitorio del voto telemático al considerar que ha sido adoptado en fraude de ley.</w:t>
      </w:r>
    </w:p>
    <w:p w14:paraId="068A7D4C" w14:textId="77777777" w:rsidR="003754FE" w:rsidRDefault="003754FE" w:rsidP="003754FE">
      <w:pPr>
        <w:pStyle w:val="TextoNormal"/>
      </w:pPr>
    </w:p>
    <w:p w14:paraId="14CDC8DD" w14:textId="496F7A8E" w:rsidR="003754FE" w:rsidRDefault="003754FE" w:rsidP="003754FE">
      <w:pPr>
        <w:pStyle w:val="TextoNormal"/>
      </w:pPr>
      <w:r>
        <w:t xml:space="preserve">El Parlamento de Cataluña, respecto del acuerdo por el que se aprueba la regulación transitoria del voto telemático, afirma que viene a garantizar los derechos de todos los diputados a poder ejercer el voto parlamentario en las singulares circunstancias excepcionales y de fuerza mayor que puedan producirse sin que vulnere por ello el </w:t>
      </w:r>
      <w:r w:rsidRPr="003754FE">
        <w:rPr>
          <w:i/>
        </w:rPr>
        <w:t>ius in officium</w:t>
      </w:r>
      <w:r>
        <w:t xml:space="preserve"> de los demandantes. Por su parte, respecto de la aplicación de ese mecanismo a un concreto diputado, se argumenta que los diputados recurrentes no han acreditado que se haya llevado a cabo de forma incorrecta o inadecuada, por lo que no queda desvirtuada la presunción de corrección y acierto de las mesas de las cámaras en sus decisiones.</w:t>
      </w:r>
    </w:p>
    <w:p w14:paraId="032FEC34" w14:textId="77777777" w:rsidR="003754FE" w:rsidRDefault="003754FE" w:rsidP="003754FE">
      <w:pPr>
        <w:pStyle w:val="TextoNormal"/>
      </w:pPr>
    </w:p>
    <w:p w14:paraId="73A9A7F9" w14:textId="4E9DF298" w:rsidR="003754FE" w:rsidRDefault="003754FE" w:rsidP="003754FE">
      <w:pPr>
        <w:pStyle w:val="TextoNormal"/>
      </w:pPr>
      <w:r w:rsidRPr="003754FE">
        <w:rPr>
          <w:rStyle w:val="NumeroAFNegritaCaracter"/>
        </w:rPr>
        <w:t>8</w:t>
      </w:r>
      <w:r>
        <w:t>. Los demandantes de amparo, mediante escrito de 24 de enero de 2024, han presentado alegaciones ratificándose en lo expuesto en la demanda de amparo.</w:t>
      </w:r>
    </w:p>
    <w:p w14:paraId="237F9C8A" w14:textId="77777777" w:rsidR="003754FE" w:rsidRDefault="003754FE" w:rsidP="003754FE">
      <w:pPr>
        <w:pStyle w:val="TextoNormal"/>
      </w:pPr>
    </w:p>
    <w:p w14:paraId="65C2976D" w14:textId="75381B84" w:rsidR="003754FE" w:rsidRDefault="003754FE" w:rsidP="003754FE">
      <w:pPr>
        <w:pStyle w:val="TextoNormal"/>
      </w:pPr>
      <w:r w:rsidRPr="003754FE">
        <w:rPr>
          <w:rStyle w:val="NumeroAFNegritaCaracter"/>
        </w:rPr>
        <w:t>9</w:t>
      </w:r>
      <w:r>
        <w:t>. Por providencia de 5 de septiembre de 2024 se señaló para deliberación y votación de la presente sentencia el día 9 del mismo mes y año.</w:t>
      </w:r>
    </w:p>
    <w:p w14:paraId="6ECFBE08" w14:textId="77777777" w:rsidR="003754FE" w:rsidRDefault="003754FE" w:rsidP="003754FE">
      <w:pPr>
        <w:pStyle w:val="TextoNormal"/>
      </w:pPr>
    </w:p>
    <w:p w14:paraId="5B40B2EB" w14:textId="77777777" w:rsidR="003754FE" w:rsidRDefault="003754FE" w:rsidP="003754FE">
      <w:pPr>
        <w:pStyle w:val="TextoNormalNegritaCentrado"/>
        <w:keepNext/>
      </w:pPr>
      <w:r>
        <w:t>II. Fundamentos jurídicos</w:t>
      </w:r>
    </w:p>
    <w:p w14:paraId="29148833" w14:textId="13B9D583" w:rsidR="003754FE" w:rsidRDefault="003754FE" w:rsidP="003754FE">
      <w:pPr>
        <w:pStyle w:val="TextoNormalNegritaCentrado"/>
        <w:keepNext/>
      </w:pPr>
    </w:p>
    <w:p w14:paraId="1A82F95E" w14:textId="77777777" w:rsidR="003754FE" w:rsidRDefault="003754FE" w:rsidP="003754FE">
      <w:pPr>
        <w:pStyle w:val="TextoNormal"/>
      </w:pPr>
      <w:r w:rsidRPr="003754FE">
        <w:rPr>
          <w:rStyle w:val="NumeroAFNegritaCaracter"/>
        </w:rPr>
        <w:t>1</w:t>
      </w:r>
      <w:r>
        <w:t xml:space="preserve">. </w:t>
      </w:r>
      <w:r w:rsidRPr="003754FE">
        <w:rPr>
          <w:i/>
        </w:rPr>
        <w:t>Objeto del recurso</w:t>
      </w:r>
    </w:p>
    <w:p w14:paraId="3899A3B3" w14:textId="77777777" w:rsidR="003754FE" w:rsidRDefault="003754FE" w:rsidP="003754FE">
      <w:pPr>
        <w:pStyle w:val="TextoNormal"/>
      </w:pPr>
    </w:p>
    <w:p w14:paraId="7DA1CBCD" w14:textId="77777777" w:rsidR="003754FE" w:rsidRDefault="003754FE" w:rsidP="003754FE">
      <w:pPr>
        <w:pStyle w:val="TextoNormal"/>
      </w:pPr>
      <w:r>
        <w:t>El objeto de este recurso es determinar si vulnera el derecho a la representación política de los demandantes de amparo la decisión de la mesa del Parlamento de Cataluña, de 19 de abril de 2023, de aceptar la habilitación del procedimiento de votación telemática del diputado don Lluís Puig i Gordi hasta el final de ese periodo de sesiones (31 de julio de 2023), a cuyo fin se estableció por acuerdo de 18 de abril de 2023 una regulación transitoria del voto telemático hasta que no se procediera a una reforma del Reglamento del Parlamento de Cataluña; siendo rechazada la reconsideración de ambos acuerdos por otro acuerdo de 19 de abril de 2023.</w:t>
      </w:r>
    </w:p>
    <w:p w14:paraId="7FCAA16C" w14:textId="77777777" w:rsidR="003754FE" w:rsidRDefault="003754FE" w:rsidP="003754FE">
      <w:pPr>
        <w:pStyle w:val="TextoNormal"/>
      </w:pPr>
    </w:p>
    <w:p w14:paraId="1793680B" w14:textId="77777777" w:rsidR="003754FE" w:rsidRDefault="003754FE" w:rsidP="003754FE">
      <w:pPr>
        <w:pStyle w:val="TextoNormal"/>
      </w:pPr>
      <w:r>
        <w:t xml:space="preserve">El Tribunal, en atención al desarrollo de los argumentos expuestos en la demanda para fundamentar fáctica y jurídicamente la invocación del derecho de representación política y su pretensión de amparo, considera, por un lado, que la demanda de amparo se dirige contra los acuerdos de 18 y 19 de abril de 2023, por los que se establece una regulación transitoria del voto telemático y se acepta la habilitación para dicho voto telemático al diputado don </w:t>
      </w:r>
      <w:r>
        <w:lastRenderedPageBreak/>
        <w:t>Lluís Puig i Gordi, respectivamente; y, por otro, que ambas impugnaciones están íntimamente vinculadas. Igualmente, constata que la voluntad impugnatoria de los demandantes de amparo se dirige como pretensión principal contra la decisión de habilitación del voto telemático al diputado don Lluís Puig i Gordi, por considerar que dicha habilitación se ha concedido en infracción de la jurisprudencia constitucional establecida en las SSTC 85/2022, de 27 de junio, y 24/2023, de 27 de marzo, respecto de previas decisiones aceptando la delegación de voto de este diputado, ya que no concurre en dicho diputado ninguna situación excepcional que permita excepcionar constitucionalmente el ejercicio presencial de su derecho de voto. Ahora bien, se pone de manifiesto que esta pretensión también la fundamentan los demandantes de amparo en que para intentar dar apariencia de cobertura normativa a esa decisión la mesa aprobó una normativa transitoria en fraude de ley, con la única finalidad instrumental de justificar y amparar dicha decisión, sin una real pretensión de generalidad, para eludir el acatamiento de la jurisprudencia constitucional, en relación con la imposibilidad de que dicho diputado pudiera ver excepcionado el principio de presencialidad en su ejercicio del derecho de voto.</w:t>
      </w:r>
    </w:p>
    <w:p w14:paraId="002F63B3" w14:textId="77777777" w:rsidR="003754FE" w:rsidRDefault="003754FE" w:rsidP="003754FE">
      <w:pPr>
        <w:pStyle w:val="TextoNormal"/>
      </w:pPr>
    </w:p>
    <w:p w14:paraId="75A67413" w14:textId="6096D7D6" w:rsidR="003754FE" w:rsidRDefault="003754FE" w:rsidP="003754FE">
      <w:pPr>
        <w:pStyle w:val="TextoNormal"/>
      </w:pPr>
      <w:r>
        <w:t>En coherencia con esta constatación, el Tribunal determina que el análisis a desarrollar en la presente resolución respecto de la pretensión de los demandantes de establecer si la decisión parlamentaria de la habilitación del voto telemático del diputado don Lluís Puig i Gordi resulta contraria al art. 23.2 CE, con fundamento en la alegación principal de que no concurre en la persona de este diputado ninguna circunstancia que permita excepcionar constitucionalmente el ejercicio presencial de su derecho de voto, debe conllevar, en su caso, también la anulación del acuerdo de la aprobación de la normativa transitoria, que solo era instrumental de aquella, y cuya exclusiva causa, carente de una real vocación de generalidad, era intentar darle una cobertura normativa.</w:t>
      </w:r>
    </w:p>
    <w:p w14:paraId="4409F693" w14:textId="77777777" w:rsidR="003754FE" w:rsidRDefault="003754FE" w:rsidP="003754FE">
      <w:pPr>
        <w:pStyle w:val="TextoNormal"/>
      </w:pPr>
    </w:p>
    <w:p w14:paraId="11EB89E1" w14:textId="77777777" w:rsidR="003754FE" w:rsidRDefault="003754FE" w:rsidP="003754FE">
      <w:pPr>
        <w:pStyle w:val="TextoNormal"/>
      </w:pPr>
      <w:r w:rsidRPr="003754FE">
        <w:rPr>
          <w:rStyle w:val="NumeroAFNegritaCaracter"/>
        </w:rPr>
        <w:t>2</w:t>
      </w:r>
      <w:r>
        <w:t xml:space="preserve">. </w:t>
      </w:r>
      <w:r w:rsidRPr="003754FE">
        <w:rPr>
          <w:i/>
        </w:rPr>
        <w:t>Las causas de inadmisión alegadas</w:t>
      </w:r>
    </w:p>
    <w:p w14:paraId="0E34C525" w14:textId="77777777" w:rsidR="003754FE" w:rsidRDefault="003754FE" w:rsidP="003754FE">
      <w:pPr>
        <w:pStyle w:val="TextoNormal"/>
      </w:pPr>
    </w:p>
    <w:p w14:paraId="3DB35E3E" w14:textId="77777777" w:rsidR="003754FE" w:rsidRDefault="003754FE" w:rsidP="003754FE">
      <w:pPr>
        <w:pStyle w:val="TextoNormal"/>
      </w:pPr>
      <w:r>
        <w:t>El Tribunal rechaza todas las causas de inadmisión alegadas por el Parlamento de Cataluña por las siguientes razones:</w:t>
      </w:r>
    </w:p>
    <w:p w14:paraId="3AA78FBE" w14:textId="77777777" w:rsidR="003754FE" w:rsidRDefault="003754FE" w:rsidP="003754FE">
      <w:pPr>
        <w:pStyle w:val="TextoNormal"/>
      </w:pPr>
    </w:p>
    <w:p w14:paraId="0BDE8CA8" w14:textId="77777777" w:rsidR="003754FE" w:rsidRDefault="003754FE" w:rsidP="003754FE">
      <w:pPr>
        <w:pStyle w:val="TextoNormal"/>
      </w:pPr>
      <w:r>
        <w:t>(i) El Parlamento fundamenta la concurrencia de las causas de inadmisión de falta de agotamiento de la vía parlamentaria y de invocación tempestiva del derecho fundamental, en el presupuesto fáctico de que los recurrentes formularon la reconsideración solo en relación con la aprobación del mecanismo transitorio para ejercer el voto telemático por el acuerdo de 18 de abril de 2023, pero no de la concreta aplicación del mismo autorizando la votación telemática a don Lluís Puig i Gordi, que es el acuerdo de 19 de abril de 2023, concretamente impugnado en el recurso de amparo, respecto del que tampoco se invocó en esa vía previa que había vulnerado el art. 23.2 CE.</w:t>
      </w:r>
    </w:p>
    <w:p w14:paraId="2CE6BA1F" w14:textId="77777777" w:rsidR="003754FE" w:rsidRDefault="003754FE" w:rsidP="003754FE">
      <w:pPr>
        <w:pStyle w:val="TextoNormal"/>
      </w:pPr>
    </w:p>
    <w:p w14:paraId="08FC85D9" w14:textId="77777777" w:rsidR="003754FE" w:rsidRDefault="003754FE" w:rsidP="003754FE">
      <w:pPr>
        <w:pStyle w:val="TextoNormal"/>
      </w:pPr>
      <w:r>
        <w:t xml:space="preserve">El Tribunal constata en el expediente remitido por el Parlamento de Cataluña que la solicitud de reconsideración formulada por los demandantes mediante escrito de 19 de abril de 2023, registrado con el núm. 98519, se dirigió a revocar “el acuerdo tomado en fecha 18 de abril de 2023 por el que se autohabilita a conceder arbitrariamente el voto telemático al diputado que se lo solicite y, en consecuencia, retire expresamente la concesión del voto telemático al Sr. Lluís Puig, por ser ambos actos radicalmente contrarios al Reglamento de Parlamento de Cataluña y al derecho”, a cuyos efectos en el apartado 3 de la solicitud se hace mención expresa a que “La mesa del Parlamento, en sesión extraordinaria de 19 de </w:t>
      </w:r>
      <w:r>
        <w:lastRenderedPageBreak/>
        <w:t>abril de 2023, ha concedido dicha solicitud al Sr. Lluís Puig”. Por tanto, no queda acreditado el presupuesto fáctico en el que el Parlamento de Cataluña fundamenta estas causas de inadmisión por lo que deben ser rechazadas sin mayores consideraciones.</w:t>
      </w:r>
    </w:p>
    <w:p w14:paraId="67CA1330" w14:textId="77777777" w:rsidR="003754FE" w:rsidRDefault="003754FE" w:rsidP="003754FE">
      <w:pPr>
        <w:pStyle w:val="TextoNormal"/>
      </w:pPr>
    </w:p>
    <w:p w14:paraId="7C045459" w14:textId="77777777" w:rsidR="003754FE" w:rsidRDefault="003754FE" w:rsidP="003754FE">
      <w:pPr>
        <w:pStyle w:val="TextoNormal"/>
      </w:pPr>
      <w:r>
        <w:t>(ii) No cabe apreciar tampoco las causas de inadmisión alegadas de la carencia sobrevenida del objeto del recurso, en relación con la impugnación del acuerdo de la habilitación del voto telemático al diputado don Lluís Puig i Gordi por su carácter temporal; la manifiesta inexistencia de lesión, por no concurrir la lesión alegada del art. 23.2 CE; y la falta de legitimación de los demandantes porque el recurso se configura como un contra-amparo, al oponerse al reconocimiento de un derecho fundamental ajeno, por las razones ya expuestas en la STC 86/2024, de 3 de junio, FJ 2.</w:t>
      </w:r>
    </w:p>
    <w:p w14:paraId="19CC6C59" w14:textId="77777777" w:rsidR="003754FE" w:rsidRDefault="003754FE" w:rsidP="003754FE">
      <w:pPr>
        <w:pStyle w:val="TextoNormal"/>
      </w:pPr>
    </w:p>
    <w:p w14:paraId="72EE9255" w14:textId="2E91F3F7" w:rsidR="003754FE" w:rsidRDefault="003754FE" w:rsidP="003754FE">
      <w:pPr>
        <w:pStyle w:val="TextoNormal"/>
      </w:pPr>
      <w:r>
        <w:t>(iii) Por último, el Tribunal constata, como se ha expuesto en el fundamento jurídico anterior al determinar el objeto de este recurso, que la demanda de amparo se dirige también a la impugnación del acuerdo de la mesa de 18 de abril de 2024 sobre la aprobación del mecanismo transitorio para el voto telemático, por lo que carece de fundamento la alegación que hace el Parlamento de Cataluña en relación con la doctrina de los actos propios.</w:t>
      </w:r>
    </w:p>
    <w:p w14:paraId="7D976E8A" w14:textId="77777777" w:rsidR="003754FE" w:rsidRDefault="003754FE" w:rsidP="003754FE">
      <w:pPr>
        <w:pStyle w:val="TextoNormal"/>
      </w:pPr>
    </w:p>
    <w:p w14:paraId="16DD5B23" w14:textId="77777777" w:rsidR="003754FE" w:rsidRDefault="003754FE" w:rsidP="003754FE">
      <w:pPr>
        <w:pStyle w:val="TextoNormal"/>
      </w:pPr>
      <w:r w:rsidRPr="003754FE">
        <w:rPr>
          <w:rStyle w:val="NumeroAFNegritaCaracter"/>
        </w:rPr>
        <w:t>3</w:t>
      </w:r>
      <w:r>
        <w:t xml:space="preserve">. </w:t>
      </w:r>
      <w:r w:rsidRPr="003754FE">
        <w:rPr>
          <w:i/>
        </w:rPr>
        <w:t>La jurisprudencia constitucional sobre las posibilidades de excepcionar el principio de presencialidad del ejercicio del derecho de voto de los representantes políticos. Remisión a lo resuelto en las SSTC 65/2022, de 31 de mayo, y 86/2024, de 3 de junio</w:t>
      </w:r>
    </w:p>
    <w:p w14:paraId="6049BD6B" w14:textId="77777777" w:rsidR="003754FE" w:rsidRDefault="003754FE" w:rsidP="003754FE">
      <w:pPr>
        <w:pStyle w:val="TextoNormal"/>
      </w:pPr>
    </w:p>
    <w:p w14:paraId="5CEDAE0B" w14:textId="77777777" w:rsidR="003754FE" w:rsidRDefault="003754FE" w:rsidP="003754FE">
      <w:pPr>
        <w:pStyle w:val="TextoNormal"/>
      </w:pPr>
      <w:r>
        <w:t>Procede la estimación del presente recurso de amparo, ya que los acuerdos impugnados son idénticos a los que ya han sido anulados en la STC 86/2024, de 3 de junio, en aplicación de la jurisprudencia establecida en la STC 65/2022, de 31 de mayo, al considerar (i) que la decisión parlamentaria de habilitar al diputado don Lluís Puig i Gordi el voto telemático en el Pleno del Parlamento de Cataluña, excepcionando con ello el principio de presencialidad en el ejercicio del derecho de voto de este representante político, no se ajusta a la interpretación que conforme a la Constitución permite excepcionar este principio de la presencialidad, ya que no puede ser tenida como circunstancia constitucionalmente válida para ello aquella en la que se encuentra quien voluntariamente ha decidido eludir la acción de la jurisdicción penal española y sobre el que pesa una orden judicial de busca y captura; y (ii) que ello determina la nulidad de la normativa transitoria que le sirve de apoyo por ser su finalidad exclusiva la de darle una apariencia de cobertura normativa, pero sin una real vocación de generalidad.</w:t>
      </w:r>
    </w:p>
    <w:p w14:paraId="57CEEAE1" w14:textId="77777777" w:rsidR="003754FE" w:rsidRDefault="003754FE" w:rsidP="003754FE">
      <w:pPr>
        <w:pStyle w:val="TextoNormal"/>
      </w:pPr>
    </w:p>
    <w:p w14:paraId="70B28412" w14:textId="0DCE5BCF" w:rsidR="003754FE" w:rsidRDefault="003754FE" w:rsidP="003754FE">
      <w:pPr>
        <w:pStyle w:val="TextoNormal"/>
      </w:pPr>
      <w:r>
        <w:t xml:space="preserve">También en este caso el otorgamiento del amparo determina la declaración de la nulidad de los acuerdos impugnados por haberse lesionado el derecho fundamental de los demandantes a ejercer sus funciones representativas en condiciones de igualdad (art. 23.2 CE), en relación con el derecho de los ciudadanos a participar en los asuntos públicos a través de sus representantes (art. 23.1 CE). Esta declaración de nulidad queda limitada a los acuerdos de 19 de abril de 2023, aceptando la habilitación del procedimiento de votación telemático del diputado don Lluís Puig i Gordi hasta el final de ese periodo de sesiones, y desestimando la reconsideración planteada por los recurrentes; no resultando necesaria en relación con el acuerdo de la mesa del Parlamento de Cataluña de 18 de abril de 2023, sobre la regulación transitoria del voto telemático hasta que no se proceda a una reforma del Reglamento del Parlamento de Cataluña, en tanto que, siendo de carácter general y normativo, ya fue anulado por la citada STC 86/2024. En línea con lo expresado en la STC 86/20204, de 3 de </w:t>
      </w:r>
      <w:r>
        <w:lastRenderedPageBreak/>
        <w:t>junio, FJ 3, en virtud del principio de seguridad jurídica (art. 9.3 CE), se limita el alcance del fallo, en el sentido de que la nulidad de estos acuerdos parlamentarios no puede comunicarse a los actos que hayan podido adoptarse con el voto telemático de don Lluís Puig i Gordi durante el tiempo en que estuvo vigente dicha habilitación.</w:t>
      </w:r>
    </w:p>
    <w:p w14:paraId="0D89FE24" w14:textId="77777777" w:rsidR="003754FE" w:rsidRDefault="003754FE" w:rsidP="003754FE">
      <w:pPr>
        <w:pStyle w:val="TextoNormal"/>
      </w:pPr>
    </w:p>
    <w:p w14:paraId="4048F2EF" w14:textId="77777777" w:rsidR="003754FE" w:rsidRDefault="003754FE" w:rsidP="003754FE">
      <w:pPr>
        <w:pStyle w:val="TextoNormalCentrado"/>
        <w:keepNext/>
      </w:pPr>
      <w:r>
        <w:t>FALLO</w:t>
      </w:r>
    </w:p>
    <w:p w14:paraId="2736DBD3" w14:textId="7E9BF668" w:rsidR="003754FE" w:rsidRDefault="003754FE" w:rsidP="003754FE">
      <w:pPr>
        <w:pStyle w:val="TextoNormalCentrado"/>
        <w:keepNext/>
      </w:pPr>
    </w:p>
    <w:p w14:paraId="5D70404F"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don Carlos Carrizosa Torres, doña Marina Bravo Sobrino, don Joan García González, doña Anna Grau Arias, doña Noemí de la Calle Cifré y don Matías Alonso Ruiz y, en su virtud:</w:t>
      </w:r>
    </w:p>
    <w:p w14:paraId="19C6CDDE" w14:textId="77777777" w:rsidR="003754FE" w:rsidRDefault="003754FE" w:rsidP="003754FE">
      <w:pPr>
        <w:pStyle w:val="TextoNormal"/>
      </w:pPr>
    </w:p>
    <w:p w14:paraId="481BD3F9" w14:textId="77777777" w:rsidR="003754FE" w:rsidRDefault="003754FE" w:rsidP="003754FE">
      <w:pPr>
        <w:pStyle w:val="TextoNormal"/>
      </w:pPr>
      <w:r>
        <w:t>1º Declarar que se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14:paraId="02D151EF" w14:textId="77777777" w:rsidR="003754FE" w:rsidRDefault="003754FE" w:rsidP="003754FE">
      <w:pPr>
        <w:pStyle w:val="TextoNormal"/>
      </w:pPr>
    </w:p>
    <w:p w14:paraId="3A0E6C78" w14:textId="79C476FD" w:rsidR="003754FE" w:rsidRDefault="003754FE" w:rsidP="003754FE">
      <w:pPr>
        <w:pStyle w:val="TextoNormal"/>
      </w:pPr>
      <w:r>
        <w:t>2º Restablecer a los recurrentes en su derecho y, a tal fin, declarar la nulidad de sendos acuerdos de la mesa del Parlamento de Cataluña de 19 de abril de 2023, por los que se aceptó la habilitación del procedimiento de votación telemático del diputado don Lluís Puig i Gordi hasta el final de ese periodo de sesiones y se desestimó la reconsideración planteada por el recurrente, con el alcance expresado en el fundamento jurídico 3.</w:t>
      </w:r>
    </w:p>
    <w:p w14:paraId="383B39DB" w14:textId="77777777" w:rsidR="003754FE" w:rsidRDefault="003754FE" w:rsidP="003754FE">
      <w:pPr>
        <w:pStyle w:val="TextoNormal"/>
      </w:pPr>
    </w:p>
    <w:p w14:paraId="22ABAB20" w14:textId="77777777" w:rsidR="003754FE" w:rsidRDefault="003754FE" w:rsidP="003754FE">
      <w:pPr>
        <w:pStyle w:val="TextoNormal"/>
      </w:pPr>
      <w:r>
        <w:t>Publíquese esta sentencia en el “Boletín Oficial del Estado”.</w:t>
      </w:r>
    </w:p>
    <w:p w14:paraId="15734FEE" w14:textId="77777777" w:rsidR="003754FE" w:rsidRDefault="003754FE" w:rsidP="003754FE">
      <w:pPr>
        <w:pStyle w:val="TextoNormal"/>
      </w:pPr>
      <w:r>
        <w:t>Dada en Madrid, a nueve de septiembre de dos mil veinticuatro.</w:t>
      </w:r>
    </w:p>
    <w:p w14:paraId="139A96CB" w14:textId="2C97A790" w:rsidR="003754FE" w:rsidRDefault="003754FE">
      <w:pPr>
        <w:spacing w:after="160" w:line="278" w:lineRule="auto"/>
        <w:rPr>
          <w:rFonts w:ascii="Times New Roman" w:eastAsia="Times New Roman" w:hAnsi="Times New Roman" w:cs="Times New Roman"/>
          <w:sz w:val="24"/>
          <w:szCs w:val="24"/>
          <w:lang w:eastAsia="es-ES"/>
        </w:rPr>
      </w:pPr>
      <w:r>
        <w:br w:type="page"/>
      </w:r>
    </w:p>
    <w:p w14:paraId="311611B2" w14:textId="77777777" w:rsidR="003754FE" w:rsidRDefault="003754FE" w:rsidP="003754FE">
      <w:pPr>
        <w:pStyle w:val="TtuloResolucin"/>
      </w:pPr>
      <w:bookmarkStart w:id="19" w:name="SENTENCIA_2024_110"/>
      <w:r>
        <w:lastRenderedPageBreak/>
        <w:t>SENTENCIA 110/2024, de 9 de septiembre de 2024</w:t>
      </w:r>
    </w:p>
    <w:bookmarkEnd w:id="19"/>
    <w:p w14:paraId="7FD7E177" w14:textId="77777777" w:rsidR="003754FE" w:rsidRDefault="003754FE" w:rsidP="003754FE">
      <w:pPr>
        <w:pStyle w:val="TtuloResolucin"/>
      </w:pPr>
      <w:r>
        <w:t>Sala Primera</w:t>
      </w:r>
    </w:p>
    <w:p w14:paraId="3D94F743" w14:textId="77777777" w:rsidR="003754FE" w:rsidRDefault="003754FE" w:rsidP="003754FE">
      <w:pPr>
        <w:pStyle w:val="TtuloBOE"/>
      </w:pPr>
      <w:r>
        <w:t>(BOE núm. 247, de 12 de octubre de 2024)</w:t>
      </w:r>
    </w:p>
    <w:p w14:paraId="2576D071" w14:textId="77777777" w:rsidR="003754FE" w:rsidRDefault="003754FE" w:rsidP="003754FE">
      <w:pPr>
        <w:pStyle w:val="TextoNormalCentrado"/>
      </w:pPr>
      <w:r>
        <w:t>ECLI:ES:TC:2024:110</w:t>
      </w:r>
    </w:p>
    <w:p w14:paraId="76EF0979" w14:textId="4B4B5E8B" w:rsidR="003754FE" w:rsidRDefault="003754FE" w:rsidP="003754FE">
      <w:pPr>
        <w:pStyle w:val="TextoNormalCentrado"/>
      </w:pPr>
    </w:p>
    <w:p w14:paraId="4A0CC233" w14:textId="77777777" w:rsidR="003754FE" w:rsidRDefault="003754FE" w:rsidP="003754FE">
      <w:pPr>
        <w:pStyle w:val="SntesisDescriptiva"/>
      </w:pPr>
      <w:r>
        <w:t>Recurso de amparo 5084-2023. Promovido por don Juan Garriga Doménech, en su condición de portavoz del Grupo Parlamentario Vox en el Parlamento de Cataluña respecto de los acuerdos de la mesa de la Cámara que habilitaron un procedimiento provisional de votación electrónica.</w:t>
      </w:r>
    </w:p>
    <w:p w14:paraId="72DA83B8" w14:textId="396A9CC3" w:rsidR="003754FE" w:rsidRDefault="003754FE" w:rsidP="003754FE">
      <w:pPr>
        <w:pStyle w:val="SntesisDescriptiva"/>
      </w:pPr>
    </w:p>
    <w:p w14:paraId="58B44310" w14:textId="77777777" w:rsidR="003754FE" w:rsidRDefault="003754FE" w:rsidP="003754FE">
      <w:pPr>
        <w:pStyle w:val="SntesisAnaltica"/>
      </w:pPr>
      <w:r>
        <w:t>Vulneración del derecho al ejercicio de las funciones representativas, en conexión con el derecho de los ciudadanos a participar en los asuntos públicos a través de sus representantes: SSTC 65/2022 y 86/2024 (habilitación del voto telemático que excepciona el principio de presencialidad de quien voluntariamente ha decidido eludir la acción de la jurisdicción penal española y está sujeto a una orden judicial de busca y captura).</w:t>
      </w:r>
    </w:p>
    <w:p w14:paraId="69BB8718" w14:textId="13344E80" w:rsidR="003754FE" w:rsidRDefault="003754FE" w:rsidP="003754FE">
      <w:pPr>
        <w:pStyle w:val="SntesisAnaltica"/>
      </w:pPr>
    </w:p>
    <w:p w14:paraId="4F381A69" w14:textId="365A0D9B" w:rsidR="003754FE" w:rsidRDefault="003754FE" w:rsidP="003754FE">
      <w:pPr>
        <w:pStyle w:val="Extracto"/>
      </w:pPr>
      <w:r>
        <w:t>1.</w:t>
      </w:r>
      <w:r>
        <w:tab/>
        <w:t>Doctrina constitucional sobre las posibilidades de excepcionar el principio de presencialidad, en el ejercicio del derecho de voto de los representantes políticos (SSTC 65/2022 y 86/2024) [FJ 3].</w:t>
      </w:r>
    </w:p>
    <w:p w14:paraId="2A0EE389" w14:textId="77777777" w:rsidR="003754FE" w:rsidRDefault="003754FE" w:rsidP="003754FE">
      <w:pPr>
        <w:pStyle w:val="Extracto"/>
      </w:pPr>
    </w:p>
    <w:p w14:paraId="47AA501B" w14:textId="77777777" w:rsidR="003754FE" w:rsidRDefault="003754FE" w:rsidP="003754FE">
      <w:pPr>
        <w:pStyle w:val="Extracto"/>
      </w:pPr>
    </w:p>
    <w:p w14:paraId="1F0AC288" w14:textId="77777777" w:rsidR="003754FE" w:rsidRDefault="003754FE" w:rsidP="003754FE">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261ADB71" w14:textId="0139BCC0" w:rsidR="003754FE" w:rsidRDefault="003754FE" w:rsidP="003754FE">
      <w:pPr>
        <w:pStyle w:val="TextoNormal"/>
      </w:pPr>
    </w:p>
    <w:p w14:paraId="01006AB0" w14:textId="77777777" w:rsidR="003754FE" w:rsidRDefault="003754FE" w:rsidP="003754FE">
      <w:pPr>
        <w:pStyle w:val="TextoNormalCentrado"/>
        <w:keepNext/>
      </w:pPr>
      <w:r>
        <w:t>EN NOMBRE DEL REY</w:t>
      </w:r>
    </w:p>
    <w:p w14:paraId="32582DDD" w14:textId="7BE450E5" w:rsidR="003754FE" w:rsidRDefault="003754FE" w:rsidP="003754FE">
      <w:pPr>
        <w:pStyle w:val="TextoNormalCentrado"/>
        <w:keepNext/>
      </w:pPr>
    </w:p>
    <w:p w14:paraId="7481C07C" w14:textId="77777777" w:rsidR="003754FE" w:rsidRDefault="003754FE" w:rsidP="003754FE">
      <w:pPr>
        <w:pStyle w:val="TextoNormalCentrado"/>
        <w:keepNext/>
      </w:pPr>
    </w:p>
    <w:p w14:paraId="03E39A25" w14:textId="77777777" w:rsidR="003754FE" w:rsidRDefault="003754FE" w:rsidP="003754FE">
      <w:pPr>
        <w:pStyle w:val="TextoNormal"/>
      </w:pPr>
      <w:r>
        <w:t>la siguiente</w:t>
      </w:r>
    </w:p>
    <w:p w14:paraId="6F96A720" w14:textId="019673C2" w:rsidR="003754FE" w:rsidRDefault="003754FE" w:rsidP="003754FE">
      <w:pPr>
        <w:pStyle w:val="TextoNormal"/>
      </w:pPr>
    </w:p>
    <w:p w14:paraId="0AA91601" w14:textId="77777777" w:rsidR="003754FE" w:rsidRDefault="003754FE" w:rsidP="003754FE">
      <w:pPr>
        <w:pStyle w:val="TextoNormalCentrado"/>
        <w:keepNext/>
      </w:pPr>
      <w:r>
        <w:t>SENTENCIA</w:t>
      </w:r>
    </w:p>
    <w:p w14:paraId="7A399C66" w14:textId="0F31F5A3" w:rsidR="003754FE" w:rsidRDefault="003754FE" w:rsidP="003754FE">
      <w:pPr>
        <w:pStyle w:val="TextoNormalCentrado"/>
        <w:keepNext/>
      </w:pPr>
    </w:p>
    <w:p w14:paraId="00501811" w14:textId="77777777" w:rsidR="003754FE" w:rsidRDefault="003754FE" w:rsidP="003754FE">
      <w:pPr>
        <w:pStyle w:val="TextoNormal"/>
      </w:pPr>
      <w:r>
        <w:t>En el recurso de amparo núm. 5084-2023, promovido por don Juan Garriga Doménech, en su condición de portavoz del Grupo Parlamentario Vox en el Parlamento de Cataluña, contra el acuerdo de la mesa del Parlamento de Cataluña de 19 de abril de 2023, por el que se desestiman las reconsideraciones planteadas contra sendos acuerdos de la mesa de 18 y de 19 de abril de 2023. Ha comparecido el Parlamento de Cataluña. Ha intervenido el Ministerio Fiscal. Ha sido ponente la magistrada doña María Luisa Segoviano Astaburuaga.</w:t>
      </w:r>
    </w:p>
    <w:p w14:paraId="7D93C9A3" w14:textId="5F2DEFA9" w:rsidR="003754FE" w:rsidRDefault="003754FE" w:rsidP="003754FE">
      <w:pPr>
        <w:pStyle w:val="TextoNormal"/>
      </w:pPr>
    </w:p>
    <w:p w14:paraId="5C9259CE" w14:textId="77777777" w:rsidR="003754FE" w:rsidRDefault="003754FE" w:rsidP="003754FE">
      <w:pPr>
        <w:pStyle w:val="TextoNormalNegritaCentrado"/>
        <w:keepNext/>
      </w:pPr>
      <w:r>
        <w:t>I. Antecedentes</w:t>
      </w:r>
    </w:p>
    <w:p w14:paraId="15301258" w14:textId="703C839F" w:rsidR="003754FE" w:rsidRDefault="003754FE" w:rsidP="003754FE">
      <w:pPr>
        <w:pStyle w:val="TextoNormalNegritaCentrado"/>
        <w:keepNext/>
      </w:pPr>
    </w:p>
    <w:p w14:paraId="3804BBFF" w14:textId="2511C1B9" w:rsidR="003754FE" w:rsidRDefault="003754FE" w:rsidP="003754FE">
      <w:pPr>
        <w:pStyle w:val="TextoNormal"/>
      </w:pPr>
      <w:r w:rsidRPr="003754FE">
        <w:rPr>
          <w:rStyle w:val="NumeroAFNegritaCaracter"/>
        </w:rPr>
        <w:t>1</w:t>
      </w:r>
      <w:r>
        <w:t xml:space="preserve">. Mediante escrito registrado en el Tribunal el 20 de julio de 2023, don Juan Garriga Doménech, en su condición de portavoz del grupo parlamentario Vox en el Parlamento de Cataluña, representado por la procuradora de los tribunales doña Pilar Hidalgo López, bajo la dirección del letrado don Juan Cremades Gracia, interpuso recurso de amparo contra el </w:t>
      </w:r>
      <w:r>
        <w:lastRenderedPageBreak/>
        <w:t>acuerdo de la mesa del Parlamento de Cataluña de 19 de abril de 2023, por el que se desestiman las solicitudes de reconsideración formuladas por el grupo parlamentario demandante registradas con los núms. 98518 y 98520 contra los acuerdos de la mesa de 18 de abril de 2023, sobre la regulación transitoria del voto telemático hasta que no se proceda a una reforma del Reglamento del Parlamento de Cataluña, y de 19 de abril de 2023, aceptando la habilitación del procedimiento de votación telemático del diputado don Lluís Puig i Gordi hasta el final de ese periodo de sesiones.</w:t>
      </w:r>
    </w:p>
    <w:p w14:paraId="30C9F389" w14:textId="77777777" w:rsidR="003754FE" w:rsidRDefault="003754FE" w:rsidP="003754FE">
      <w:pPr>
        <w:pStyle w:val="TextoNormal"/>
      </w:pPr>
    </w:p>
    <w:p w14:paraId="18C4F540" w14:textId="77777777" w:rsidR="003754FE" w:rsidRDefault="003754FE" w:rsidP="003754FE">
      <w:pPr>
        <w:pStyle w:val="TextoNormal"/>
      </w:pPr>
      <w:r w:rsidRPr="003754FE">
        <w:rPr>
          <w:rStyle w:val="NumeroAFNegritaCaracter"/>
        </w:rPr>
        <w:t>2</w:t>
      </w:r>
      <w:r>
        <w:t>. El recurso tiene su origen en los siguientes antecedentes:</w:t>
      </w:r>
    </w:p>
    <w:p w14:paraId="67E56EB0" w14:textId="77777777" w:rsidR="003754FE" w:rsidRDefault="003754FE" w:rsidP="003754FE">
      <w:pPr>
        <w:pStyle w:val="TextoNormal"/>
      </w:pPr>
    </w:p>
    <w:p w14:paraId="41A50FFA" w14:textId="77777777" w:rsidR="003754FE" w:rsidRDefault="003754FE" w:rsidP="003754FE">
      <w:pPr>
        <w:pStyle w:val="TextoNormal"/>
      </w:pPr>
      <w:r>
        <w:t>a) La mesa del Parlamento de Cataluña, por acuerdo de 18 de abril de 2023 (acta de la sesión núm. 131), aprobó por mayoría una regulación transitoria del voto telemático hasta que no se procediera a una reforma del Reglamento del Parlamento de Cataluña, en los siguientes términos:</w:t>
      </w:r>
    </w:p>
    <w:p w14:paraId="0D158F44" w14:textId="77777777" w:rsidR="003754FE" w:rsidRDefault="003754FE" w:rsidP="003754FE">
      <w:pPr>
        <w:pStyle w:val="TextoNormal"/>
      </w:pPr>
    </w:p>
    <w:p w14:paraId="3BC7F9D9" w14:textId="77777777" w:rsidR="003754FE" w:rsidRDefault="003754FE" w:rsidP="003754FE">
      <w:pPr>
        <w:pStyle w:val="TextoNormal"/>
      </w:pPr>
      <w:r>
        <w:t>“Exposición de motivos</w:t>
      </w:r>
    </w:p>
    <w:p w14:paraId="0D316468" w14:textId="77777777" w:rsidR="003754FE" w:rsidRDefault="003754FE" w:rsidP="003754FE">
      <w:pPr>
        <w:pStyle w:val="TextoNormal"/>
      </w:pPr>
    </w:p>
    <w:p w14:paraId="5C732422" w14:textId="77777777" w:rsidR="003754FE" w:rsidRDefault="003754FE" w:rsidP="003754FE">
      <w:pPr>
        <w:pStyle w:val="TextoNormal"/>
      </w:pPr>
      <w:r>
        <w:t>El artículo 4.2 del Reglamento del Parlamento de Cataluña establece que los diputados tienen derecho a voto en el Pleno. Este principio básico del parlamentarismo interpela a todos los órganos del Parlamento, que, dentro de sus funciones y la legalidad, deben hacer todo lo posible para garantizar el derecho de voto de todos los diputados y diputadas.</w:t>
      </w:r>
    </w:p>
    <w:p w14:paraId="102F8414" w14:textId="77777777" w:rsidR="003754FE" w:rsidRDefault="003754FE" w:rsidP="003754FE">
      <w:pPr>
        <w:pStyle w:val="TextoNormal"/>
      </w:pPr>
    </w:p>
    <w:p w14:paraId="6853450D" w14:textId="77777777" w:rsidR="003754FE" w:rsidRDefault="003754FE" w:rsidP="003754FE">
      <w:pPr>
        <w:pStyle w:val="TextoNormal"/>
      </w:pPr>
      <w:r>
        <w:t>En cuanto al voto telemático, este se habilitó durante la pandemia atendiendo a la situación de excepcionalidad de forma no controvertida. En ese mismo sentido, el voto telemático se está utilizando en algunas comisiones del Parlamento de Cataluña, también de forma no controvertida.</w:t>
      </w:r>
    </w:p>
    <w:p w14:paraId="00870A34" w14:textId="77777777" w:rsidR="003754FE" w:rsidRDefault="003754FE" w:rsidP="003754FE">
      <w:pPr>
        <w:pStyle w:val="TextoNormal"/>
      </w:pPr>
    </w:p>
    <w:p w14:paraId="1CB94D61" w14:textId="77777777" w:rsidR="003754FE" w:rsidRDefault="003754FE" w:rsidP="003754FE">
      <w:pPr>
        <w:pStyle w:val="TextoNormal"/>
      </w:pPr>
      <w:r>
        <w:t>El acuerdo de la mesa del Parlamento que habilita el voto telemático es transitorio para garantizar los derechos de todos los diputados y diputadas mientras no exista una reforma definitiva del Reglamento del Parlamento de Cataluña.</w:t>
      </w:r>
    </w:p>
    <w:p w14:paraId="507EBA4B" w14:textId="77777777" w:rsidR="003754FE" w:rsidRDefault="003754FE" w:rsidP="003754FE">
      <w:pPr>
        <w:pStyle w:val="TextoNormal"/>
      </w:pPr>
    </w:p>
    <w:p w14:paraId="34868E44" w14:textId="77777777" w:rsidR="003754FE" w:rsidRDefault="003754FE" w:rsidP="003754FE">
      <w:pPr>
        <w:pStyle w:val="TextoNormal"/>
      </w:pPr>
      <w:r>
        <w:t>Por eso, la mesa del Parlamento de Cataluña acuerda:</w:t>
      </w:r>
    </w:p>
    <w:p w14:paraId="61F3E323" w14:textId="77777777" w:rsidR="003754FE" w:rsidRDefault="003754FE" w:rsidP="003754FE">
      <w:pPr>
        <w:pStyle w:val="TextoNormal"/>
      </w:pPr>
    </w:p>
    <w:p w14:paraId="4A5EDA86" w14:textId="77777777" w:rsidR="003754FE" w:rsidRDefault="003754FE" w:rsidP="003754FE">
      <w:pPr>
        <w:pStyle w:val="TextoNormal"/>
      </w:pPr>
      <w:r>
        <w:t>1. Que en situaciones excepcionales de especial gravedad en las que se impida el desarrollo de la función parlamentaria y, dadas las especiales circunstancias, se considere suficientemente justificado, la mesa podrá autorizar en escrito motivado que los diputados y diputadas emitan su voto por el procedimiento telemático.</w:t>
      </w:r>
    </w:p>
    <w:p w14:paraId="6A916317" w14:textId="77777777" w:rsidR="003754FE" w:rsidRDefault="003754FE" w:rsidP="003754FE">
      <w:pPr>
        <w:pStyle w:val="TextoNormal"/>
      </w:pPr>
    </w:p>
    <w:p w14:paraId="5A357661" w14:textId="77777777" w:rsidR="003754FE" w:rsidRDefault="003754FE" w:rsidP="003754FE">
      <w:pPr>
        <w:pStyle w:val="TextoNormal"/>
      </w:pPr>
      <w:r>
        <w:t>2. Que el diputado o diputada deberá solicitar el procedimiento telemático mediante escrito motivado a la mesa, que le comunicará su decisión precisando el período de tiempo en que podrá emitir el voto mediante dicho procedimiento. El voto emitido por este procedimiento deberá ser verificado mediante el sistema que, a tal efecto, establezca la mesa, que deberá tener conocimiento con carácter previo al inicio de la votación correspondiente.”</w:t>
      </w:r>
    </w:p>
    <w:p w14:paraId="5ADDAD29" w14:textId="77777777" w:rsidR="003754FE" w:rsidRDefault="003754FE" w:rsidP="003754FE">
      <w:pPr>
        <w:pStyle w:val="TextoNormal"/>
      </w:pPr>
    </w:p>
    <w:p w14:paraId="34F8883E" w14:textId="77777777" w:rsidR="003754FE" w:rsidRDefault="003754FE" w:rsidP="003754FE">
      <w:pPr>
        <w:pStyle w:val="TextoNormal"/>
      </w:pPr>
      <w:r>
        <w:t>b) El diputado don Lluís Piug i Gordi, mediante escrito de 18 de abril de 2023 registrado con el núm. 98137, solicitó a la mesa, al amparo del anterior acuerdo, que se le habilitara el procedimiento transitorio de votación telemática, dado que las circunstancias actuales le incapacitan para poder ejercer de forma presencial el derecho al voto.</w:t>
      </w:r>
    </w:p>
    <w:p w14:paraId="43AD2420" w14:textId="77777777" w:rsidR="003754FE" w:rsidRDefault="003754FE" w:rsidP="003754FE">
      <w:pPr>
        <w:pStyle w:val="TextoNormal"/>
      </w:pPr>
    </w:p>
    <w:p w14:paraId="17F7DF26" w14:textId="77777777" w:rsidR="003754FE" w:rsidRDefault="003754FE" w:rsidP="003754FE">
      <w:pPr>
        <w:pStyle w:val="TextoNormal"/>
      </w:pPr>
      <w:r>
        <w:t>c) El grupo parlamentario Vox en el Parlamento de Cataluña, mediante escrito de 19 de abril de 2023 registrado con el núm. 98518, solicitó la reconsideración del acuerdo de 18 de abril de 2023; al igual que lo hicieron los grupos parlamentarios Socialistes i Units per Avançar y Ciutadans, mediante sendos escritos de esa misma fecha registrados con los núms. 98515 y 98519, respectivamente. La solicitud de reconsideración se fundamentó en que el acuerdo se había adoptado en fraude de ley con el único objetivo de burlar las sentencias del Tribunal Constitucional que imposibilitan el voto delegado del diputado don Lluís Puig i Gordi; siendo una figura que no aparece recogida en el Reglamento del Parlamento de Cataluña (RPC).</w:t>
      </w:r>
    </w:p>
    <w:p w14:paraId="5E951D5C" w14:textId="77777777" w:rsidR="003754FE" w:rsidRDefault="003754FE" w:rsidP="003754FE">
      <w:pPr>
        <w:pStyle w:val="TextoNormal"/>
      </w:pPr>
    </w:p>
    <w:p w14:paraId="4A1270FC" w14:textId="77777777" w:rsidR="003754FE" w:rsidRDefault="003754FE" w:rsidP="003754FE">
      <w:pPr>
        <w:pStyle w:val="TextoNormal"/>
      </w:pPr>
      <w:r>
        <w:t>d) La mesa del Parlamento de Cataluña, por acuerdo de 19 de abril de 2023 (acta de la sesión núm. 132), aprobó por mayoría autorizar el voto telemático del diputado don Lluís Puig i Gordi hasta el final del periodo de sesiones, que finalizaba el 31 de julio de 2023, al considerar que las circunstancias en las que se encuentra suponen una situación excepcional de especial gravedad que le impide el desarrollo de la función parlamentaria en los términos del acuerdo de 18 de abril de 2023.</w:t>
      </w:r>
    </w:p>
    <w:p w14:paraId="52CEB977" w14:textId="77777777" w:rsidR="003754FE" w:rsidRDefault="003754FE" w:rsidP="003754FE">
      <w:pPr>
        <w:pStyle w:val="TextoNormal"/>
      </w:pPr>
    </w:p>
    <w:p w14:paraId="1096E943" w14:textId="77777777" w:rsidR="003754FE" w:rsidRDefault="003754FE" w:rsidP="003754FE">
      <w:pPr>
        <w:pStyle w:val="TextoNormal"/>
      </w:pPr>
      <w:r>
        <w:t>e) El grupo parlamentario de Vox en el Parlamento de Cataluña, mediante escrito de 19 de abril de 2023, registrado con el núm. 98520, solicitó la reconsideración del anterior acuerdo de 19 de abril de 2023; al igual que lo hicieron los grupos parlamentarios Socialistes i Units per Avançar y Ciutadans, mediante sendos escritos de esa misma fecha, registrados con los núms. 98517 y 98519, respectivamente. La solicitud de reconsideración se fundamentó en que “[l]a situación personal del diputado señor Puig, sobre el que pesa una orden de busca y captura e ingreso en prisión ordenada por la Sala de lo Penal del Tribunal Supremo, no es subsumible en ningún supuesto excepcional que le habilite para votar telemáticamente, dado que reside voluntariamente en Bélgica con el único propósito de no rendir cuentas con la justicia, obviando de forma flagrante sus deberes parlamentarios”.</w:t>
      </w:r>
    </w:p>
    <w:p w14:paraId="19ED7E60" w14:textId="77777777" w:rsidR="003754FE" w:rsidRDefault="003754FE" w:rsidP="003754FE">
      <w:pPr>
        <w:pStyle w:val="TextoNormal"/>
      </w:pPr>
    </w:p>
    <w:p w14:paraId="1F703109" w14:textId="50845B0E" w:rsidR="003754FE" w:rsidRDefault="003754FE" w:rsidP="003754FE">
      <w:pPr>
        <w:pStyle w:val="TextoNormal"/>
      </w:pPr>
      <w:r>
        <w:t>f) La mesa del Parlamento de Cataluña, por un único acuerdo de 19 de abril de 2023, aprobó por mayoría desestimar todas las solicitudes de reconsideración formuladas contra los citados acuerdos de 18 y 19 de abril de 2023, argumentando que (i) la mesa debe garantizar el derecho de los diputados al voto; (ii) las votaciones telemáticas en el Pleno y en las comisiones del Parlamento de Cataluña han sido habilitadas anteriormente por la mesa sin previsión reglamentaria al efecto, tal como se hace en el presente acuerdo, sin que haya sido objeto de controversia; y (iii) las sentencias del Tribunal Constitucional citadas en las reconsideraciones respecto de las delegaciones de voto anuladas al diputado don Lluís Puig i Gordi no tienen el mismo objeto que el acuerdo sometido a reconsideración.</w:t>
      </w:r>
    </w:p>
    <w:p w14:paraId="7B03BA02" w14:textId="77777777" w:rsidR="003754FE" w:rsidRDefault="003754FE" w:rsidP="003754FE">
      <w:pPr>
        <w:pStyle w:val="TextoNormal"/>
      </w:pPr>
    </w:p>
    <w:p w14:paraId="4ACF43B5" w14:textId="77777777" w:rsidR="003754FE" w:rsidRDefault="003754FE" w:rsidP="003754FE">
      <w:pPr>
        <w:pStyle w:val="TextoNormal"/>
      </w:pPr>
      <w:r w:rsidRPr="003754FE">
        <w:rPr>
          <w:rStyle w:val="NumeroAFNegritaCaracter"/>
        </w:rPr>
        <w:t>3</w:t>
      </w:r>
      <w:r>
        <w:t>. El grupo parlamentario demandante de amparo solicita que se estime el recurso declarando que se ha vulnerado su derecho a la representación política (art. 23.2 CE), para cuyo restablecimiento considera necesario anular los acuerdos impugnados.</w:t>
      </w:r>
    </w:p>
    <w:p w14:paraId="259DEB38" w14:textId="77777777" w:rsidR="003754FE" w:rsidRDefault="003754FE" w:rsidP="003754FE">
      <w:pPr>
        <w:pStyle w:val="TextoNormal"/>
      </w:pPr>
    </w:p>
    <w:p w14:paraId="0AB5E450" w14:textId="77777777" w:rsidR="003754FE" w:rsidRDefault="003754FE" w:rsidP="003754FE">
      <w:pPr>
        <w:pStyle w:val="TextoNormal"/>
      </w:pPr>
      <w:r>
        <w:t xml:space="preserve">El demandante, tras exponer la jurisprudencia constitucional sobre la presencialidad del voto de los representantes políticos, aduce, por un lado, que el acuerdo por el que se aprueba la normativa transitoria del voto telemático carece de cobertura reglamentaria y ha sido adoptado en fraude de ley con el único objetivo de burlar las sentencias del Tribunal Constitucional que imposibilitan el voto delegado del diputado don Lluís Puig i Gordi; y, por </w:t>
      </w:r>
      <w:r>
        <w:lastRenderedPageBreak/>
        <w:t xml:space="preserve">otro, que la situación personal de este diputado, que está en rebeldía procesal, no es subsumible en ningún supuesto que le habilite para excepcionar la presencialidad del voto; afectando con ello al núcleo del </w:t>
      </w:r>
      <w:r w:rsidRPr="003754FE">
        <w:rPr>
          <w:i/>
        </w:rPr>
        <w:t>ius in officium</w:t>
      </w:r>
      <w:r>
        <w:t xml:space="preserve"> de los representantes políticos y al propio carácter representativo del mandato.</w:t>
      </w:r>
    </w:p>
    <w:p w14:paraId="6C128BA8" w14:textId="77777777" w:rsidR="003754FE" w:rsidRDefault="003754FE" w:rsidP="003754FE">
      <w:pPr>
        <w:pStyle w:val="TextoNormal"/>
      </w:pPr>
    </w:p>
    <w:p w14:paraId="0491ED7E" w14:textId="286931F7" w:rsidR="003754FE" w:rsidRDefault="003754FE" w:rsidP="003754FE">
      <w:pPr>
        <w:pStyle w:val="TextoNormal"/>
      </w:pPr>
      <w:r>
        <w:t>El grupo parlamentario demandante de amparo justifica la especial trascendencia constitucional del recurso afirmando que plantea, por un lado, una cuestión novedosa dando al Tribunal la posibilidad de “revisar y perfilar su jurisprudencia para garantizar la predeterminación normativa y la seguridad jurídica en la aplicación de una regla tan esencial para salvaguardar el correcto funcionamiento de nuestra democracia representativa como es la delegación del voto de los diputados”; y, por otro, una cuestión jurídica de relevante y general repercusión social, en atención a su carácter parlamentario y a que no existe otra vía de impugnación que la jurisdicción de amparo.</w:t>
      </w:r>
    </w:p>
    <w:p w14:paraId="511B2B07" w14:textId="77777777" w:rsidR="003754FE" w:rsidRDefault="003754FE" w:rsidP="003754FE">
      <w:pPr>
        <w:pStyle w:val="TextoNormal"/>
      </w:pPr>
    </w:p>
    <w:p w14:paraId="51FB0B4A" w14:textId="25470FA2" w:rsidR="003754FE" w:rsidRDefault="003754FE" w:rsidP="003754FE">
      <w:pPr>
        <w:pStyle w:val="TextoNormal"/>
      </w:pPr>
      <w:r w:rsidRPr="003754FE">
        <w:rPr>
          <w:rStyle w:val="NumeroAFNegritaCaracter"/>
        </w:rPr>
        <w:t>4</w:t>
      </w:r>
      <w:r>
        <w:t>. La Sección Primera del Tribunal, por providencia de 23 de octubre de 2023, acordó la admisión a trámite de la demanda de amparo, apreciando que concurre especial trascendencia constitucional ya que el asunto trasciende del caso concreto porque pudiera tener unas consecuencias políticas generales [STC 155/2009, de 25 de junio, FJ 2 g)]; y dirigir atenta comunicación al Parlamento de Cataluña para la remisión de testimonio de las actuaciones y a los efectos de su personación en el presente proceso constitucional.</w:t>
      </w:r>
    </w:p>
    <w:p w14:paraId="642B1706" w14:textId="77777777" w:rsidR="003754FE" w:rsidRDefault="003754FE" w:rsidP="003754FE">
      <w:pPr>
        <w:pStyle w:val="TextoNormal"/>
      </w:pPr>
    </w:p>
    <w:p w14:paraId="1DEE2058" w14:textId="7CDF0F44" w:rsidR="003754FE" w:rsidRDefault="003754FE" w:rsidP="003754FE">
      <w:pPr>
        <w:pStyle w:val="TextoNormal"/>
      </w:pPr>
      <w:r w:rsidRPr="003754FE">
        <w:rPr>
          <w:rStyle w:val="NumeroAFNegritaCaracter"/>
        </w:rPr>
        <w:t>5</w:t>
      </w:r>
      <w:r>
        <w:t>. La Secretaría de Justicia de la Sala Primera del Tribunal, por diligencia de ordenación de 28 de noviembre de 2023, tuvo por recibido el testimonio de las actuaciones y por personado y parte al Parlamento de Cataluña y acordó dar vista de las actuaciones a las partes personadas y al Ministerio Fiscal, por plazo común de veinte días, a fin de que, conforme con lo previsto en el art. 52 de la Ley Orgánica del Tribunal Constitucional, pudieran presentar alegaciones.</w:t>
      </w:r>
    </w:p>
    <w:p w14:paraId="4E87464D" w14:textId="77777777" w:rsidR="003754FE" w:rsidRDefault="003754FE" w:rsidP="003754FE">
      <w:pPr>
        <w:pStyle w:val="TextoNormal"/>
      </w:pPr>
    </w:p>
    <w:p w14:paraId="4DE5D4D7" w14:textId="77777777" w:rsidR="003754FE" w:rsidRDefault="003754FE" w:rsidP="003754FE">
      <w:pPr>
        <w:pStyle w:val="TextoNormal"/>
      </w:pPr>
      <w:r w:rsidRPr="003754FE">
        <w:rPr>
          <w:rStyle w:val="NumeroAFNegritaCaracter"/>
        </w:rPr>
        <w:t>6</w:t>
      </w:r>
      <w:r>
        <w:t>. El Ministerio Fiscal, mediante escrito registrado el 1 de febrero de 2024, presentó alegaciones interesando la estimación del amparo por vulneración del derecho del recurrente a ejercer las funciones representativas con los requisitos que señalan las leyes (art. 23.2 CE), en relación con el derecho de los ciudadanos a participar en los asuntos públicos a través de sus representantes (art. 23.1 CE), para cuyo restablecimiento insta la nulidad de los acuerdos parlamentarios impugnados.</w:t>
      </w:r>
    </w:p>
    <w:p w14:paraId="2E4CF3BE" w14:textId="77777777" w:rsidR="003754FE" w:rsidRDefault="003754FE" w:rsidP="003754FE">
      <w:pPr>
        <w:pStyle w:val="TextoNormal"/>
      </w:pPr>
    </w:p>
    <w:p w14:paraId="3ED372F3" w14:textId="77777777" w:rsidR="003754FE" w:rsidRDefault="003754FE" w:rsidP="003754FE">
      <w:pPr>
        <w:pStyle w:val="TextoNormal"/>
      </w:pPr>
      <w:r>
        <w:t xml:space="preserve">El Ministerio Fiscal, en relación con el acuerdo de la mesa del Parlamento de Cataluña de 18 de abril de 2023, por el que se habilita el voto telemático de manera transitoria mientras no haya una reforma definitiva del Reglamento, argumenta que (i) no existe una regulación específica en el RPC sobre el voto telemático al margen del voto delegado establecido en su art. 95, por lo que existiría un vacío normativo que vendría a cubrir este acuerdo de la mesa; (ii) el art. 37.3 a) RPC establece que la mesa del Parlamento de Cataluña solo tiene atribuida competencia para adoptar las decisiones que requieren las tramitaciones parlamentarias en caso de duda o laguna reglamentaria, que tiene el límite, establecido por la jurisprudencia constitucional, de la modificación del reglamento, ya que implica sustraer esa decisión al Pleno de la Cámara, obviando así el requisito de la mayoría absoluta para su reforma (SSTC 44/1995, de 13 de febrero, FJ 3, y 227/2004, de 29 de noviembre, FJ 2); (iii) el acuerdo impugnado introduce una regulación general sobre el ejercicio del voto </w:t>
      </w:r>
      <w:r>
        <w:lastRenderedPageBreak/>
        <w:t xml:space="preserve">telemático, incorporando una modalidad de voto no prevista en el reglamento que va más allá de su aclaración o integración, con quiebra, no solo de la doctrina constitucional referida, sino también de la que establece que las excepciones al voto presencial solo pueden venir previstas en el reglamento de la Cámara (SSTC 19/2019, de 12 de febrero, y 168/2021, de 5 de octubre) y en los supuestos específicos establecidos en el art. 95 RPC (SSTC 65/2022, de 31 de mayo; 75/2022, de 15 de junio, y 85/2022, de 27 de junio); y (iv) con este proceder se ha producido una modificación reglamentaria </w:t>
      </w:r>
      <w:r w:rsidRPr="003754FE">
        <w:rPr>
          <w:i/>
        </w:rPr>
        <w:t>de facto</w:t>
      </w:r>
      <w:r>
        <w:t xml:space="preserve"> fuera de los cauces previstos para su reforma con desconocimiento del principio de que para ello es necesaria la aprobación del Pleno por mayoría (art. 58.3 del Estatuto de Autonomía de Cataluña), lo que implica una vulneración del </w:t>
      </w:r>
      <w:r w:rsidRPr="003754FE">
        <w:rPr>
          <w:i/>
        </w:rPr>
        <w:t>ius in officium</w:t>
      </w:r>
      <w:r>
        <w:t xml:space="preserve"> de los diputados recurrentes, quienes se han visto privados de la participación y debate en una reforma reglamentaria.</w:t>
      </w:r>
    </w:p>
    <w:p w14:paraId="46DC21FD" w14:textId="77777777" w:rsidR="003754FE" w:rsidRDefault="003754FE" w:rsidP="003754FE">
      <w:pPr>
        <w:pStyle w:val="TextoNormal"/>
      </w:pPr>
    </w:p>
    <w:p w14:paraId="387B1BEF" w14:textId="77777777" w:rsidR="003754FE" w:rsidRDefault="003754FE" w:rsidP="003754FE">
      <w:pPr>
        <w:pStyle w:val="TextoNormal"/>
      </w:pPr>
      <w:r>
        <w:t xml:space="preserve">El Ministerio Fiscal, en relación con el acuerdo de la mesa del Parlamento de Cataluña de 19 de abril de 2023, por el que se habilita el voto telemático al diputado don Lluís Puig i Gordi, argumenta que la nulidad del acuerdo que le da cobertura arrastra también la de este. Añade que, sin perjuicio de ello, su nulidad también derivaría de que, en los términos reiterados en las SSTC 85/2022, de 27 de junio, y 24/2023, de 27 de marzo, la situación alegada por dicho diputado para que se autorizara el voto telemático, que es la de estar declarado en rebeldía en un proceso penal, no cumpliría la condición de ser un supuesto que permita excepcionar el ejercicio del voto presencial; derivando de ello que el proceder de la mesa del Parlamento de Cataluña, al adoptar ese acuerdo, estaría próximo al fraude de ley porque, aunque no desconoció formalmente lo ya resuelto por el Tribunal Constitucional sobre la delegación de voto en aquellas sentencias, se sirvió de la autorización aquí impugnada como un subterfugio tendente a su elusión, adoptando así una habilitación arbitraria, aprobada </w:t>
      </w:r>
      <w:r w:rsidRPr="003754FE">
        <w:rPr>
          <w:i/>
        </w:rPr>
        <w:t>ad hoc</w:t>
      </w:r>
      <w:r>
        <w:t>, para el caso concreto.</w:t>
      </w:r>
    </w:p>
    <w:p w14:paraId="14F22895" w14:textId="77777777" w:rsidR="003754FE" w:rsidRDefault="003754FE" w:rsidP="003754FE">
      <w:pPr>
        <w:pStyle w:val="TextoNormal"/>
      </w:pPr>
    </w:p>
    <w:p w14:paraId="55F96391" w14:textId="3A29AF26" w:rsidR="003754FE" w:rsidRDefault="003754FE" w:rsidP="003754FE">
      <w:pPr>
        <w:pStyle w:val="TextoNormal"/>
      </w:pPr>
      <w:r>
        <w:t>En cuanto al alcance de la estimación del recurso, el Ministerio Fiscal argumenta, con cita de jurisprudencia constitucional previa, que no debe comunicarse la nulidad de los acuerdos impugnados a los actos del Parlamento de Cataluña que hayan podido adoptarse con el voto del diputado habilitado para su emisión de manera telemática, como salvaguarda del principio de seguridad jurídica.</w:t>
      </w:r>
    </w:p>
    <w:p w14:paraId="3015F848" w14:textId="77777777" w:rsidR="003754FE" w:rsidRDefault="003754FE" w:rsidP="003754FE">
      <w:pPr>
        <w:pStyle w:val="TextoNormal"/>
      </w:pPr>
    </w:p>
    <w:p w14:paraId="4658AB03" w14:textId="77777777" w:rsidR="003754FE" w:rsidRDefault="003754FE" w:rsidP="003754FE">
      <w:pPr>
        <w:pStyle w:val="TextoNormal"/>
      </w:pPr>
      <w:r w:rsidRPr="003754FE">
        <w:rPr>
          <w:rStyle w:val="NumeroAFNegritaCaracter"/>
        </w:rPr>
        <w:t>7</w:t>
      </w:r>
      <w:r>
        <w:t>. El Parlamento de Cataluña, por escrito registrado el 23 de enero de 2024, presentó alegaciones solicitando la inadmisión del recurso y, subsidiariamente, su desestimación.</w:t>
      </w:r>
    </w:p>
    <w:p w14:paraId="2D4A50BB" w14:textId="77777777" w:rsidR="003754FE" w:rsidRDefault="003754FE" w:rsidP="003754FE">
      <w:pPr>
        <w:pStyle w:val="TextoNormal"/>
      </w:pPr>
    </w:p>
    <w:p w14:paraId="6E4E4C9B" w14:textId="77777777" w:rsidR="003754FE" w:rsidRDefault="003754FE" w:rsidP="003754FE">
      <w:pPr>
        <w:pStyle w:val="TextoNormal"/>
      </w:pPr>
      <w:r>
        <w:t xml:space="preserve">El Parlamento de Cataluña afirma que concurren las siguientes causas de inadmisión: (i) el recurso ha perdido su objeto de manera sobrevenida, porque el acuerdo que autoriza el ejercicio del voto telemático a este diputado, que es el único acuerdo impugnado en el presente recurso de amparo, solo estuvo vigente en el periodo de sesiones que concluyó el 31 de julio de 2023; (ii) falta de invocación tempestiva del derecho fundamental, ya que el recurrente formuló la reconsideración como una defensa abstracta de la legalidad sin conexión con su derecho de representación política; (iii) la manifiesta inexistencia de lesión, ya que no concurre la lesión alegada del art. 23.2 CE que no cabe derivar de una mera infracción reglamentaria; (iv) la falta de legitimación del grupo parlamentario recurrente porque el recurso se configura como un contra-amparo, al oponerse al reconocimiento de un derecho fundamental ajeno; y (v) el recurso va contra los actos propios ya que, a pesar de dirigirse el presente recurso de amparo exclusivamente al acuerdo de habilitación de ese voto telemático a un concreto diputado, se pretende cuestionar en la demanda el acuerdo de la </w:t>
      </w:r>
      <w:r>
        <w:lastRenderedPageBreak/>
        <w:t>mesa de aprobación del mecanismo transitorio del voto telemático, al considerar que ha sido adoptado en fraude de ley.</w:t>
      </w:r>
    </w:p>
    <w:p w14:paraId="735909E8" w14:textId="77777777" w:rsidR="003754FE" w:rsidRDefault="003754FE" w:rsidP="003754FE">
      <w:pPr>
        <w:pStyle w:val="TextoNormal"/>
      </w:pPr>
    </w:p>
    <w:p w14:paraId="76F3F010" w14:textId="4B08EF6D" w:rsidR="003754FE" w:rsidRDefault="003754FE" w:rsidP="003754FE">
      <w:pPr>
        <w:pStyle w:val="TextoNormal"/>
      </w:pPr>
      <w:r>
        <w:t xml:space="preserve">El Parlamento de Cataluña, respecto del acuerdo por el que se aprueba la regulación transitoria del voto telemático, afirma que viene a garantizar los derechos de todos los diputados a poder ejercer el voto parlamentario en las singulares circunstancias excepcionales y de fuerza mayor que puedan producirse sin que vulnere por ello el </w:t>
      </w:r>
      <w:r w:rsidRPr="003754FE">
        <w:rPr>
          <w:i/>
        </w:rPr>
        <w:t>ius in officium</w:t>
      </w:r>
      <w:r>
        <w:t xml:space="preserve"> de los demandantes. Por su parte, respecto de la aplicación de ese mecanismo a un concreto diputado, se argumenta que el grupo parlamentario recurrente no ha acreditado que se haya llevado a cabo de forma incorrecta o inadecuada, por lo que no queda desvirtuada la presunción de corrección y acierto de las mesas de las cámaras en sus decisiones.</w:t>
      </w:r>
    </w:p>
    <w:p w14:paraId="1F479BEB" w14:textId="77777777" w:rsidR="003754FE" w:rsidRDefault="003754FE" w:rsidP="003754FE">
      <w:pPr>
        <w:pStyle w:val="TextoNormal"/>
      </w:pPr>
    </w:p>
    <w:p w14:paraId="2DE9FE1D" w14:textId="04C65CE1" w:rsidR="003754FE" w:rsidRDefault="003754FE" w:rsidP="003754FE">
      <w:pPr>
        <w:pStyle w:val="TextoNormal"/>
      </w:pPr>
      <w:r w:rsidRPr="003754FE">
        <w:rPr>
          <w:rStyle w:val="NumeroAFNegritaCaracter"/>
        </w:rPr>
        <w:t>8</w:t>
      </w:r>
      <w:r>
        <w:t>. El grupo parlamentario demandante de amparo no ha formulado alegaciones.</w:t>
      </w:r>
    </w:p>
    <w:p w14:paraId="35362260" w14:textId="77777777" w:rsidR="003754FE" w:rsidRDefault="003754FE" w:rsidP="003754FE">
      <w:pPr>
        <w:pStyle w:val="TextoNormal"/>
      </w:pPr>
    </w:p>
    <w:p w14:paraId="1C3674A7" w14:textId="7025FB37" w:rsidR="003754FE" w:rsidRDefault="003754FE" w:rsidP="003754FE">
      <w:pPr>
        <w:pStyle w:val="TextoNormal"/>
      </w:pPr>
      <w:r w:rsidRPr="003754FE">
        <w:rPr>
          <w:rStyle w:val="NumeroAFNegritaCaracter"/>
        </w:rPr>
        <w:t>9</w:t>
      </w:r>
      <w:r>
        <w:t>. Por providencia de 5 de septiembre de 2024 se señaló para deliberación y votación de la presente sentencia el día 9 del mismo mes y año.</w:t>
      </w:r>
    </w:p>
    <w:p w14:paraId="71E4C6A6" w14:textId="77777777" w:rsidR="003754FE" w:rsidRDefault="003754FE" w:rsidP="003754FE">
      <w:pPr>
        <w:pStyle w:val="TextoNormal"/>
      </w:pPr>
    </w:p>
    <w:p w14:paraId="53874E7D" w14:textId="77777777" w:rsidR="003754FE" w:rsidRDefault="003754FE" w:rsidP="003754FE">
      <w:pPr>
        <w:pStyle w:val="TextoNormalNegritaCentrado"/>
        <w:keepNext/>
      </w:pPr>
      <w:r>
        <w:t>II. Fundamentos jurídicos</w:t>
      </w:r>
    </w:p>
    <w:p w14:paraId="2315ACCE" w14:textId="11931B34" w:rsidR="003754FE" w:rsidRDefault="003754FE" w:rsidP="003754FE">
      <w:pPr>
        <w:pStyle w:val="TextoNormalNegritaCentrado"/>
        <w:keepNext/>
      </w:pPr>
    </w:p>
    <w:p w14:paraId="12F338BF" w14:textId="77777777" w:rsidR="003754FE" w:rsidRDefault="003754FE" w:rsidP="003754FE">
      <w:pPr>
        <w:pStyle w:val="TextoNormal"/>
      </w:pPr>
      <w:r w:rsidRPr="003754FE">
        <w:rPr>
          <w:rStyle w:val="NumeroAFNegritaCaracter"/>
        </w:rPr>
        <w:t>1</w:t>
      </w:r>
      <w:r>
        <w:t xml:space="preserve">. </w:t>
      </w:r>
      <w:r w:rsidRPr="003754FE">
        <w:rPr>
          <w:i/>
        </w:rPr>
        <w:t>Objeto del recurso</w:t>
      </w:r>
    </w:p>
    <w:p w14:paraId="54893382" w14:textId="77777777" w:rsidR="003754FE" w:rsidRDefault="003754FE" w:rsidP="003754FE">
      <w:pPr>
        <w:pStyle w:val="TextoNormal"/>
      </w:pPr>
    </w:p>
    <w:p w14:paraId="75234CCC" w14:textId="77777777" w:rsidR="003754FE" w:rsidRDefault="003754FE" w:rsidP="003754FE">
      <w:pPr>
        <w:pStyle w:val="TextoNormal"/>
      </w:pPr>
      <w:r>
        <w:t>El objeto de este recurso es determinar si vulnera el derecho a la representación política de los demandantes de amparo la decisión de la mesa del Parlamento de Cataluña, de 19 de abril de 2023, de aceptar la habilitación del procedimiento de votación telemática del diputado don Lluís Puig i Gordi hasta el final de ese periodo de sesiones (31 de julio de 2023), a cuyo fin se estableció, por acuerdo de 18 de abril de 2023, una regulación transitoria del voto telemático hasta que no se procediera a una reforma del Reglamento del Parlamento de Cataluña; siendo rechazada la reconsideración de ambos acuerdos por otro acuerdo de 19 de abril de 2023.</w:t>
      </w:r>
    </w:p>
    <w:p w14:paraId="2C26B380" w14:textId="77777777" w:rsidR="003754FE" w:rsidRDefault="003754FE" w:rsidP="003754FE">
      <w:pPr>
        <w:pStyle w:val="TextoNormal"/>
      </w:pPr>
    </w:p>
    <w:p w14:paraId="1D882950" w14:textId="77777777" w:rsidR="003754FE" w:rsidRDefault="003754FE" w:rsidP="003754FE">
      <w:pPr>
        <w:pStyle w:val="TextoNormal"/>
      </w:pPr>
      <w:r>
        <w:t xml:space="preserve">El Tribunal, en atención al desarrollo de los argumentos expuestos en la demanda para fundamentar fáctica y jurídicamente la invocación del derecho de representación política y su pretensión de amparo, considera, por un lado, que la demanda de amparo se dirige contra los acuerdos de 18 y de 19 de abril de 2023, por los que se establece una regulación transitoria del voto telemático y se acepta la habilitación para dicho voto telemático al diputado don Lluís Puig i Gordi, respectivamente; y, por otro, que ambas impugnaciones están íntimamente vinculadas. Igualmente, constata que la voluntad impugnatoria del grupo parlamentario demandante de amparo se dirige como pretensión principal contra la decisión de habilitación del voto telemático al diputado don Lluís Puig i Gordi, por considerar que dicha habilitación se ha concedido en infracción de la jurisprudencia constitucional establecida en las SSTC 85/2022, de 27 de junio, y 24/2023, de 27 de marzo, respecto de previas decisiones aceptando la delegación de voto de este diputado, ya que no concurre en dicho diputado ninguna situación que permita excepcionar constitucionalmente el ejercicio presencial de su derecho de voto. Ahora bien, se pone de manifiesto que esta pretensión también la fundamenta el grupo parlamentario demandante de amparo en que para intentar dar apariencia de cobertura normativa a esa decisión la mesa aprobó una normativa transitoria en fraude de ley con la única finalidad instrumental de justificar y amparar dicha decisión, sin una real </w:t>
      </w:r>
      <w:r>
        <w:lastRenderedPageBreak/>
        <w:t>pretensión de generalidad, para eludir el acatamiento de la jurisprudencia constitucional en relación con la imposibilidad de que dicho diputado pudiera ver excepcionado el principio de presencialidad en su ejercicio del derecho de voto.</w:t>
      </w:r>
    </w:p>
    <w:p w14:paraId="6E7CF1BA" w14:textId="77777777" w:rsidR="003754FE" w:rsidRDefault="003754FE" w:rsidP="003754FE">
      <w:pPr>
        <w:pStyle w:val="TextoNormal"/>
      </w:pPr>
    </w:p>
    <w:p w14:paraId="5017E8F9" w14:textId="4CF24999" w:rsidR="003754FE" w:rsidRDefault="003754FE" w:rsidP="003754FE">
      <w:pPr>
        <w:pStyle w:val="TextoNormal"/>
      </w:pPr>
      <w:r>
        <w:t>En coherencia con esta constatación, el Tribunal determina que el análisis a desarrollar en la presente resolución respecto de la pretensión del grupo parlamentario demandante de establecer si la decisión parlamentaria de la habilitación del voto telemático del diputado don Lluís Puig i Gordi resulta contraria al art. 23.2 CE, con fundamento en la alegación principal de que no concurre en la persona de este diputado ninguna circunstancia que permita excepcionar constitucionalmente el ejercicio presencial de su derecho de voto, debe también conllevar, en su caso, la anulación del acuerdo de aprobación de la normativa transitoria, que solo era instrumental de aquella, y cuya exclusiva causa, carente de una real vocación de generalidad, era intentar darle una cobertura normativa.</w:t>
      </w:r>
    </w:p>
    <w:p w14:paraId="0795BF1C" w14:textId="77777777" w:rsidR="003754FE" w:rsidRDefault="003754FE" w:rsidP="003754FE">
      <w:pPr>
        <w:pStyle w:val="TextoNormal"/>
      </w:pPr>
    </w:p>
    <w:p w14:paraId="388593BB" w14:textId="77777777" w:rsidR="003754FE" w:rsidRDefault="003754FE" w:rsidP="003754FE">
      <w:pPr>
        <w:pStyle w:val="TextoNormal"/>
      </w:pPr>
      <w:r w:rsidRPr="003754FE">
        <w:rPr>
          <w:rStyle w:val="NumeroAFNegritaCaracter"/>
        </w:rPr>
        <w:t>2</w:t>
      </w:r>
      <w:r>
        <w:t xml:space="preserve">. </w:t>
      </w:r>
      <w:r w:rsidRPr="003754FE">
        <w:rPr>
          <w:i/>
        </w:rPr>
        <w:t>Las causas de inadmisión alegadas</w:t>
      </w:r>
    </w:p>
    <w:p w14:paraId="33E41E5B" w14:textId="77777777" w:rsidR="003754FE" w:rsidRDefault="003754FE" w:rsidP="003754FE">
      <w:pPr>
        <w:pStyle w:val="TextoNormal"/>
      </w:pPr>
    </w:p>
    <w:p w14:paraId="69F9BFEF" w14:textId="77777777" w:rsidR="003754FE" w:rsidRDefault="003754FE" w:rsidP="003754FE">
      <w:pPr>
        <w:pStyle w:val="TextoNormal"/>
      </w:pPr>
      <w:r>
        <w:t>El Tribunal rechaza todas las causas de inadmisión alegadas por el Parlamento de Cataluña por las siguientes razones:</w:t>
      </w:r>
    </w:p>
    <w:p w14:paraId="51F84D14" w14:textId="77777777" w:rsidR="003754FE" w:rsidRDefault="003754FE" w:rsidP="003754FE">
      <w:pPr>
        <w:pStyle w:val="TextoNormal"/>
      </w:pPr>
    </w:p>
    <w:p w14:paraId="17F9B177" w14:textId="77777777" w:rsidR="003754FE" w:rsidRDefault="003754FE" w:rsidP="003754FE">
      <w:pPr>
        <w:pStyle w:val="TextoNormal"/>
      </w:pPr>
      <w:r>
        <w:t xml:space="preserve">(i) El Parlamento fundamenta la concurrencia de la causa de inadmisión de la falta de invocación tempestiva del derecho fundamental en que el recurrente formuló su reconsideración contra al acuerdo autorizando el voto telemático a don Lluís Puig i Gordi sin conectarlo con el derecho de representación política. Sin embargo, el Tribunal constata en el expediente remitido por el Parlamento de Cataluña que en ambas solicitudes de reconsideración formuladas por el grupo parlamentario demandante mediante sendos escritos de 19 de abril de 2023, registrados con los núms. 98518 y 98520, hay una cita expresa de la jurisprudencia constitucional en materia de presencialidad del voto de los representantes políticos, en la que se incide en la afectación que implica excepcionar este principio fuera de los supuestos reglamentariamente establecidos en el </w:t>
      </w:r>
      <w:r w:rsidRPr="003754FE">
        <w:rPr>
          <w:i/>
        </w:rPr>
        <w:t>ius in officium</w:t>
      </w:r>
      <w:r>
        <w:t>, anunciando ya que se acudiría a la jurisdicción constitucional en protección de sus derechos. Por tanto, se aprecia que el recurrente, a partir de sus solicitudes de reconsideración, ha dado la posibilidad a la mesa de la Cámara, para reparar el derecho fundamental ahora invocado en amparo, lo que es suficiente desde la perspectiva de la subsidiariedad del amparo.</w:t>
      </w:r>
    </w:p>
    <w:p w14:paraId="374AD0E0" w14:textId="77777777" w:rsidR="003754FE" w:rsidRDefault="003754FE" w:rsidP="003754FE">
      <w:pPr>
        <w:pStyle w:val="TextoNormal"/>
      </w:pPr>
    </w:p>
    <w:p w14:paraId="5608DC73" w14:textId="77777777" w:rsidR="003754FE" w:rsidRDefault="003754FE" w:rsidP="003754FE">
      <w:pPr>
        <w:pStyle w:val="TextoNormal"/>
      </w:pPr>
      <w:r>
        <w:t>(ii) No cabe apreciar tampoco las causas de inadmisión alegadas de la carencia sobrevenida del objeto del recurso en relación con la impugnación del acuerdo de habilitación del voto telemático al diputado don Lluís Puig i Gordi por su carácter temporal, la manifiesta inexistencia de lesión, por no concurrir la alegada del art. 23.2 CE, y la falta de legitimación del grupo parlamentario demandante porque el recurso se configura como un contra-amparo al oponerse al reconocimiento de un derecho fundamental ajeno, por las razones ya expuestas en la STC 86/2024, de 3 de junio, FJ 2.</w:t>
      </w:r>
    </w:p>
    <w:p w14:paraId="263DAB55" w14:textId="77777777" w:rsidR="003754FE" w:rsidRDefault="003754FE" w:rsidP="003754FE">
      <w:pPr>
        <w:pStyle w:val="TextoNormal"/>
      </w:pPr>
    </w:p>
    <w:p w14:paraId="74CBC642" w14:textId="52F6ED26" w:rsidR="003754FE" w:rsidRDefault="003754FE" w:rsidP="003754FE">
      <w:pPr>
        <w:pStyle w:val="TextoNormal"/>
      </w:pPr>
      <w:r>
        <w:t>(iii) Por último, el Tribunal constata, como se ha expuesto en el fundamento jurídico anterior al determinar el objeto de este recurso, que la demanda de amparo se dirige también a la impugnación del acuerdo de la mesa de 18 de abril de 2024 sobre la aprobación del mecanismo transitorio para el voto telemático, por lo que carece de fundamento la alegación que hace el Parlamento de Cataluña en relación con la doctrina de los actos propios.</w:t>
      </w:r>
    </w:p>
    <w:p w14:paraId="7576FE72" w14:textId="77777777" w:rsidR="003754FE" w:rsidRDefault="003754FE" w:rsidP="003754FE">
      <w:pPr>
        <w:pStyle w:val="TextoNormal"/>
      </w:pPr>
    </w:p>
    <w:p w14:paraId="34D00F0D" w14:textId="77777777" w:rsidR="003754FE" w:rsidRDefault="003754FE" w:rsidP="003754FE">
      <w:pPr>
        <w:pStyle w:val="TextoNormal"/>
      </w:pPr>
      <w:r w:rsidRPr="003754FE">
        <w:rPr>
          <w:rStyle w:val="NumeroAFNegritaCaracter"/>
        </w:rPr>
        <w:lastRenderedPageBreak/>
        <w:t>3</w:t>
      </w:r>
      <w:r>
        <w:t xml:space="preserve">. </w:t>
      </w:r>
      <w:r w:rsidRPr="003754FE">
        <w:rPr>
          <w:i/>
        </w:rPr>
        <w:t>La jurisprudencia constitucional sobre las posibilidades de excepcionar el principio de presencialidad del ejercicio del derecho de voto de los representantes políticos. Remisión a lo resuelto en las SSTC 65/2022, de 31 de mayo, y 86/2024, de 3 de junio</w:t>
      </w:r>
    </w:p>
    <w:p w14:paraId="6150F5FD" w14:textId="77777777" w:rsidR="003754FE" w:rsidRDefault="003754FE" w:rsidP="003754FE">
      <w:pPr>
        <w:pStyle w:val="TextoNormal"/>
      </w:pPr>
    </w:p>
    <w:p w14:paraId="6EA1AA38" w14:textId="77777777" w:rsidR="003754FE" w:rsidRDefault="003754FE" w:rsidP="003754FE">
      <w:pPr>
        <w:pStyle w:val="TextoNormal"/>
      </w:pPr>
      <w:r>
        <w:t>Procede la estimación del presente recurso de amparo, ya que los acuerdos impugnados son idénticos a los que ya han sido anulados en la STC 86/2024, de 3 de junio, en aplicación de la jurisprudencia establecida en la STC 65/2022, de 31 de mayo, al considerar (i) que la decisión parlamentaria de habilitar al diputado don Lluís Puig i Gordi el voto telemático en el Pleno del Parlamento de Cataluña, excepcionando con ello el principio de presencialidad en el ejercicio del derecho de voto de este representante político, no se ajusta a la interpretación que conforme a la Constitución permite excepcionar este principio de presencialidad, ya que no puede ser tenida como circunstancia constitucionalmente válida para ello aquella en la que se encuentra quien voluntariamente ha decidido eludir la acción de la jurisdicción penal española y sobre el que pesa una orden judicial de busca y captura; y (ii) que ello determina la nulidad de la normativa transitoria que sirve de apoyo a la habilitación del voto telemático, por ser su finalidad exclusiva la de darle una apariencia de cobertura normativa pero sin una real vocación de generalidad.</w:t>
      </w:r>
    </w:p>
    <w:p w14:paraId="2C49795E" w14:textId="77777777" w:rsidR="003754FE" w:rsidRDefault="003754FE" w:rsidP="003754FE">
      <w:pPr>
        <w:pStyle w:val="TextoNormal"/>
      </w:pPr>
    </w:p>
    <w:p w14:paraId="02432CCD" w14:textId="172536A8" w:rsidR="003754FE" w:rsidRDefault="003754FE" w:rsidP="003754FE">
      <w:pPr>
        <w:pStyle w:val="TextoNormal"/>
      </w:pPr>
      <w:r>
        <w:t>También en este caso el otorgamiento del amparo determina la declaración de la nulidad de los acuerdos impugnados por haberse lesionado el derecho fundamental del grupo parlamentario demandante a ejercer sus funciones representativas en condiciones de igualdad (art. 23.2 CE), en relación con el derecho de los ciudadanos a participar en los asuntos públicos a través de sus representantes (art. 23.1 CE). Esta declaración de nulidad queda limitada a los acuerdos de 19 de abril de 2023, aceptando la habilitación del procedimiento de votación telemático del diputado don Lluís Puig i Gordi hasta el final de ese periodo de sesiones y desestimando la reconsideración planteada por el recurrente; no resultando necesaria en relación con el acuerdo de la mesa del Parlamento de Cataluña de 18 de abril de 2023, sobre la regulación transitoria del voto telemático hasta que no se proceda a una reforma del Reglamento del Parlamento de Cataluña, en tanto que, siendo de carácter general y normativo, ya fue anulado por la citada STC 86/2024. En línea con lo expresado en la STC 86/2024, de 3 de junio, FJ 3, en virtud del principio de seguridad jurídica (art. 9.3 CE), se limita el alcance del fallo, en el sentido de que la nulidad de estos acuerdos parlamentarios no puede comunicarse a los actos que hayan podido adoptarse con el voto telemático de don Lluís Puig i Gordi durante el tiempo en que estuvo vigente dicha habilitación.</w:t>
      </w:r>
    </w:p>
    <w:p w14:paraId="05241F51" w14:textId="77777777" w:rsidR="003754FE" w:rsidRDefault="003754FE" w:rsidP="003754FE">
      <w:pPr>
        <w:pStyle w:val="TextoNormal"/>
      </w:pPr>
    </w:p>
    <w:p w14:paraId="50D1746A" w14:textId="77777777" w:rsidR="003754FE" w:rsidRDefault="003754FE" w:rsidP="003754FE">
      <w:pPr>
        <w:pStyle w:val="TextoNormalCentrado"/>
        <w:keepNext/>
      </w:pPr>
      <w:r>
        <w:t>FALLO</w:t>
      </w:r>
    </w:p>
    <w:p w14:paraId="79F330AC" w14:textId="019F2169" w:rsidR="003754FE" w:rsidRDefault="003754FE" w:rsidP="003754FE">
      <w:pPr>
        <w:pStyle w:val="TextoNormalCentrado"/>
        <w:keepNext/>
      </w:pPr>
    </w:p>
    <w:p w14:paraId="259F6424"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don Juan Garriga Doménech, en su condición de portavoz del Grupo Parlamentario Vox en el Parlamento de Cataluña y, en su virtud:</w:t>
      </w:r>
    </w:p>
    <w:p w14:paraId="739D30FD" w14:textId="77777777" w:rsidR="003754FE" w:rsidRDefault="003754FE" w:rsidP="003754FE">
      <w:pPr>
        <w:pStyle w:val="TextoNormal"/>
      </w:pPr>
    </w:p>
    <w:p w14:paraId="4DC01DA4" w14:textId="77777777" w:rsidR="003754FE" w:rsidRDefault="003754FE" w:rsidP="003754FE">
      <w:pPr>
        <w:pStyle w:val="TextoNormal"/>
      </w:pPr>
      <w:r>
        <w:t>1º Declarar que se ha vulnerado el derecho del recurrente a ejercer las funciones representativas con los requisitos que señalan las leyes (art. 23.2 CE), que se encuentra en conexión con el derecho de los ciudadanos a participar en los asuntos públicos a través de sus representantes (art. 23.1 CE).</w:t>
      </w:r>
    </w:p>
    <w:p w14:paraId="0A2058AD" w14:textId="77777777" w:rsidR="003754FE" w:rsidRDefault="003754FE" w:rsidP="003754FE">
      <w:pPr>
        <w:pStyle w:val="TextoNormal"/>
      </w:pPr>
    </w:p>
    <w:p w14:paraId="42CEBD27" w14:textId="034EB1B0" w:rsidR="003754FE" w:rsidRDefault="003754FE" w:rsidP="003754FE">
      <w:pPr>
        <w:pStyle w:val="TextoNormal"/>
      </w:pPr>
      <w:r>
        <w:lastRenderedPageBreak/>
        <w:t>2º Restablecer al recurrente en su derecho y, a tal fin, declarar la nulidad de sendos acuerdos de la mesa del Parlamento de Cataluña de 19 de abril de 2023, por los que se aceptó la habilitación del procedimiento de votación telemático del diputado don Lluís Puig i Gordi hasta el final de ese periodo de sesiones y se desestimó la reconsideración planteada por el recurrente, con el alcance expresado en el fundamento jurídico 3.</w:t>
      </w:r>
    </w:p>
    <w:p w14:paraId="0699488C" w14:textId="77777777" w:rsidR="003754FE" w:rsidRDefault="003754FE" w:rsidP="003754FE">
      <w:pPr>
        <w:pStyle w:val="TextoNormal"/>
      </w:pPr>
    </w:p>
    <w:p w14:paraId="721A132B" w14:textId="77777777" w:rsidR="003754FE" w:rsidRDefault="003754FE" w:rsidP="003754FE">
      <w:pPr>
        <w:pStyle w:val="TextoNormal"/>
      </w:pPr>
      <w:r>
        <w:t>Publíquese esta sentencia en el “Boletín Oficial del Estado”.</w:t>
      </w:r>
    </w:p>
    <w:p w14:paraId="53831670" w14:textId="77777777" w:rsidR="003754FE" w:rsidRDefault="003754FE" w:rsidP="003754FE">
      <w:pPr>
        <w:pStyle w:val="TextoNormal"/>
      </w:pPr>
      <w:r>
        <w:t>Dada en Madrid, a nueve de septiembre de dos mil veinticuatro.</w:t>
      </w:r>
    </w:p>
    <w:p w14:paraId="207C914D" w14:textId="65DEF2B0" w:rsidR="003754FE" w:rsidRDefault="003754FE">
      <w:pPr>
        <w:spacing w:after="160" w:line="278" w:lineRule="auto"/>
        <w:rPr>
          <w:rFonts w:ascii="Times New Roman" w:eastAsia="Times New Roman" w:hAnsi="Times New Roman" w:cs="Times New Roman"/>
          <w:sz w:val="24"/>
          <w:szCs w:val="24"/>
          <w:lang w:eastAsia="es-ES"/>
        </w:rPr>
      </w:pPr>
      <w:r>
        <w:br w:type="page"/>
      </w:r>
    </w:p>
    <w:p w14:paraId="06451E28" w14:textId="77777777" w:rsidR="003754FE" w:rsidRDefault="003754FE" w:rsidP="003754FE">
      <w:pPr>
        <w:pStyle w:val="TtuloResolucin"/>
      </w:pPr>
      <w:bookmarkStart w:id="20" w:name="SENTENCIA_2024_111"/>
      <w:r>
        <w:lastRenderedPageBreak/>
        <w:t>SENTENCIA 111/2024, de 10 de septiembre de 2024</w:t>
      </w:r>
    </w:p>
    <w:bookmarkEnd w:id="20"/>
    <w:p w14:paraId="6B67D3C9" w14:textId="77777777" w:rsidR="003754FE" w:rsidRDefault="003754FE" w:rsidP="003754FE">
      <w:pPr>
        <w:pStyle w:val="TtuloResolucin"/>
      </w:pPr>
      <w:r>
        <w:t>Pleno</w:t>
      </w:r>
    </w:p>
    <w:p w14:paraId="1702439C" w14:textId="77777777" w:rsidR="003754FE" w:rsidRDefault="003754FE" w:rsidP="003754FE">
      <w:pPr>
        <w:pStyle w:val="TtuloBOE"/>
      </w:pPr>
      <w:r>
        <w:t>(BOE núm. 247, de 12 de octubre de 2024)</w:t>
      </w:r>
    </w:p>
    <w:p w14:paraId="1245EB20" w14:textId="77777777" w:rsidR="003754FE" w:rsidRDefault="003754FE" w:rsidP="003754FE">
      <w:pPr>
        <w:pStyle w:val="TextoNormalCentrado"/>
      </w:pPr>
      <w:r>
        <w:t>ECLI:ES:TC:2024:111</w:t>
      </w:r>
    </w:p>
    <w:p w14:paraId="0F5CF4B3" w14:textId="7C242900" w:rsidR="003754FE" w:rsidRDefault="003754FE" w:rsidP="003754FE">
      <w:pPr>
        <w:pStyle w:val="TextoNormalCentrado"/>
      </w:pPr>
    </w:p>
    <w:p w14:paraId="7966E40D" w14:textId="77777777" w:rsidR="003754FE" w:rsidRDefault="003754FE" w:rsidP="003754FE">
      <w:pPr>
        <w:pStyle w:val="SntesisDescriptiva"/>
      </w:pPr>
      <w:r>
        <w:t>Recurso de inconstitucionalidad 8367-2022. Interpuesto por más de cincuenta diputados pertenecientes a los grupos parlamentarios Confederal de Unidas Podemos-En Comú Podem-Galicia en Común, Republicano, Euskal Herria Bildu, Plural y al Grupo Parlamentario Mixto del Congreso de los Diputados, en relación con el Decreto-ley de la Junta de Andalucía 8/2022, de 27 de septiembre, por el que se modifica la Ley 2/2003, de 12 de mayo, de transportes urbanos y metropolitanos de viajeros en Andalucía.</w:t>
      </w:r>
    </w:p>
    <w:p w14:paraId="5D5770B5" w14:textId="4F187C57" w:rsidR="003754FE" w:rsidRDefault="003754FE" w:rsidP="003754FE">
      <w:pPr>
        <w:pStyle w:val="SntesisDescriptiva"/>
      </w:pPr>
    </w:p>
    <w:p w14:paraId="14679081" w14:textId="77777777" w:rsidR="003754FE" w:rsidRDefault="003754FE" w:rsidP="003754FE">
      <w:pPr>
        <w:pStyle w:val="SntesisAnaltica"/>
      </w:pPr>
      <w:r>
        <w:t>Límites materiales de los decretos-leyes, principio de autonomía local y competencias sobre transportes terrestres: justificación suficiente del presupuesto habilitante del dictado de la norma de urgencia, concesión autonómica de autorizaciones de vehículos de transporte con conductor coherente con la concurrencia de un interés supralocal e inexistencia de invasión de competencias estatales.</w:t>
      </w:r>
    </w:p>
    <w:p w14:paraId="6C047C55" w14:textId="63E2F1EA" w:rsidR="003754FE" w:rsidRDefault="003754FE" w:rsidP="003754FE">
      <w:pPr>
        <w:pStyle w:val="SntesisAnaltica"/>
      </w:pPr>
    </w:p>
    <w:p w14:paraId="22DE6C82" w14:textId="6B584708" w:rsidR="003754FE" w:rsidRDefault="003754FE" w:rsidP="003754FE">
      <w:pPr>
        <w:pStyle w:val="Extracto"/>
      </w:pPr>
      <w:r>
        <w:t>1.</w:t>
      </w:r>
      <w:r>
        <w:tab/>
        <w:t>Reiteración de doctrina constitucional elaborada en relación con el presupuesto que habilita al Gobierno para aprobar normas con rango de ley provisionales: la exigencia de explicitar y razonar de forma suficiente la existencia de una situación de “extraordinaria y urgente necesidad” y la conexión de sentido entre esta situación y las medidas adoptadas por el decreto-ley (SSTC 34/2017 o 126/2023) [FJ 4].</w:t>
      </w:r>
    </w:p>
    <w:p w14:paraId="7416DCED" w14:textId="77777777" w:rsidR="003754FE" w:rsidRDefault="003754FE" w:rsidP="003754FE">
      <w:pPr>
        <w:pStyle w:val="Extracto"/>
      </w:pPr>
    </w:p>
    <w:p w14:paraId="56595234" w14:textId="3BB3788C" w:rsidR="003754FE" w:rsidRDefault="003754FE" w:rsidP="003754FE">
      <w:pPr>
        <w:pStyle w:val="Extracto"/>
      </w:pPr>
      <w:r>
        <w:t>2.</w:t>
      </w:r>
      <w:r>
        <w:tab/>
        <w:t>La Constitución no asegura un concreto ámbito competencial a los entes locales, permitiendo la autonomía local configuraciones legales diversas (SSTC 32/1981 y 170/1989) [FJ 5].</w:t>
      </w:r>
    </w:p>
    <w:p w14:paraId="6103BC60" w14:textId="77777777" w:rsidR="003754FE" w:rsidRDefault="003754FE" w:rsidP="003754FE">
      <w:pPr>
        <w:pStyle w:val="Extracto"/>
      </w:pPr>
    </w:p>
    <w:p w14:paraId="308D27B5" w14:textId="51161CBE" w:rsidR="003754FE" w:rsidRDefault="003754FE" w:rsidP="003754FE">
      <w:pPr>
        <w:pStyle w:val="Extracto"/>
      </w:pPr>
      <w:r>
        <w:t>3.</w:t>
      </w:r>
      <w:r>
        <w:tab/>
        <w:t>La comunidad autónoma debe graduar el alcance o intensidad de la intervención local en función de la relación existente entre los intereses locales y supralocales; y no se puede negar que la regulación del transporte urbano de viajeros tiene incidencia en los intereses locales (STC 88/2024) [FJ 5].</w:t>
      </w:r>
    </w:p>
    <w:p w14:paraId="7ADDC78B" w14:textId="77777777" w:rsidR="003754FE" w:rsidRDefault="003754FE" w:rsidP="003754FE">
      <w:pPr>
        <w:pStyle w:val="Extracto"/>
      </w:pPr>
    </w:p>
    <w:p w14:paraId="26A5C26B" w14:textId="28BB3707" w:rsidR="003754FE" w:rsidRDefault="003754FE" w:rsidP="003754FE">
      <w:pPr>
        <w:pStyle w:val="Extracto"/>
      </w:pPr>
      <w:r>
        <w:t>4.</w:t>
      </w:r>
      <w:r>
        <w:tab/>
        <w:t>No se aprecia vulneración de la autonomía local cuando lo que se cuestiona no es tanto el atribuir a la comunidad autónoma la competencia para regular los arrendamientos de VTC -vehículos de transporte con conductor- en el supuesto en que presten sus servicios en el ámbito urbano, sino que se impugna el modelo de regulación en sí mismo, frente al adoptado en otras comunidades autónomas. La discrepancia respecto de un modelo de regulación determinado, adoptado en aras de las diversas opciones que tiene el legislador como expresión del pluralismo político, no se ha de traducir necesariamente en la inconstitucionalidad del mismo (STC 57/2015) [FJ 5].</w:t>
      </w:r>
    </w:p>
    <w:p w14:paraId="363F33D1" w14:textId="77777777" w:rsidR="003754FE" w:rsidRDefault="003754FE" w:rsidP="003754FE">
      <w:pPr>
        <w:pStyle w:val="Extracto"/>
      </w:pPr>
    </w:p>
    <w:p w14:paraId="52C47E91" w14:textId="2B9E6177" w:rsidR="003754FE" w:rsidRDefault="003754FE" w:rsidP="003754FE">
      <w:pPr>
        <w:pStyle w:val="Extracto"/>
      </w:pPr>
      <w:r>
        <w:t>5.</w:t>
      </w:r>
      <w:r>
        <w:tab/>
        <w:t>Reiteración de doctrina en materias de competencia estatal sobre transportes terrestres (art. 149.1.21 CE) y del ejercicio de la libertad de configuración que corresponde al legislador autonómico dentro de los márgenes que le confiere la Constitución y el Estatuto de Autonomía (STC 88/2024) [FJ 6].</w:t>
      </w:r>
    </w:p>
    <w:p w14:paraId="0EF84249" w14:textId="77777777" w:rsidR="003754FE" w:rsidRDefault="003754FE" w:rsidP="003754FE">
      <w:pPr>
        <w:pStyle w:val="Extracto"/>
      </w:pPr>
    </w:p>
    <w:p w14:paraId="3AF7A473" w14:textId="77777777" w:rsidR="003754FE" w:rsidRDefault="003754FE" w:rsidP="003754FE">
      <w:pPr>
        <w:pStyle w:val="Extracto"/>
      </w:pPr>
    </w:p>
    <w:p w14:paraId="1C988F4A"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Enrique Arnaldo Alcubilla, doña Concepción Espejel Jorquera, doña María Luisa Segoviano Astaburuaga, don César Tolosa Tribiño, don Juan Carlos Campo Moreno, doña Laura Díez Bueso y don José María Macías Castaño, ha pronunciado</w:t>
      </w:r>
    </w:p>
    <w:p w14:paraId="680D2B92" w14:textId="1FBFCFEE" w:rsidR="003754FE" w:rsidRDefault="003754FE" w:rsidP="003754FE">
      <w:pPr>
        <w:pStyle w:val="TextoNormal"/>
      </w:pPr>
    </w:p>
    <w:p w14:paraId="6563AC48" w14:textId="77777777" w:rsidR="003754FE" w:rsidRDefault="003754FE" w:rsidP="003754FE">
      <w:pPr>
        <w:pStyle w:val="TextoNormalCentrado"/>
        <w:keepNext/>
      </w:pPr>
      <w:r>
        <w:t>EN NOMBRE DEL REY</w:t>
      </w:r>
    </w:p>
    <w:p w14:paraId="5F60B084" w14:textId="1B60A341" w:rsidR="003754FE" w:rsidRDefault="003754FE" w:rsidP="003754FE">
      <w:pPr>
        <w:pStyle w:val="TextoNormalCentrado"/>
        <w:keepNext/>
      </w:pPr>
    </w:p>
    <w:p w14:paraId="7FBCABCE" w14:textId="77777777" w:rsidR="003754FE" w:rsidRDefault="003754FE" w:rsidP="003754FE">
      <w:pPr>
        <w:pStyle w:val="TextoNormalCentrado"/>
        <w:keepNext/>
      </w:pPr>
    </w:p>
    <w:p w14:paraId="54DC2791" w14:textId="77777777" w:rsidR="003754FE" w:rsidRDefault="003754FE" w:rsidP="003754FE">
      <w:pPr>
        <w:pStyle w:val="TextoNormal"/>
      </w:pPr>
      <w:r>
        <w:t>la siguiente</w:t>
      </w:r>
    </w:p>
    <w:p w14:paraId="1F9E2B25" w14:textId="11E9E3FD" w:rsidR="003754FE" w:rsidRDefault="003754FE" w:rsidP="003754FE">
      <w:pPr>
        <w:pStyle w:val="TextoNormal"/>
      </w:pPr>
    </w:p>
    <w:p w14:paraId="56109D74" w14:textId="77777777" w:rsidR="003754FE" w:rsidRDefault="003754FE" w:rsidP="003754FE">
      <w:pPr>
        <w:pStyle w:val="TextoNormalCentrado"/>
        <w:keepNext/>
      </w:pPr>
      <w:r>
        <w:t>SENTENCIA</w:t>
      </w:r>
    </w:p>
    <w:p w14:paraId="1AEC26FD" w14:textId="70A070B4" w:rsidR="003754FE" w:rsidRDefault="003754FE" w:rsidP="003754FE">
      <w:pPr>
        <w:pStyle w:val="TextoNormalCentrado"/>
        <w:keepNext/>
      </w:pPr>
    </w:p>
    <w:p w14:paraId="625CC60F" w14:textId="77777777" w:rsidR="003754FE" w:rsidRDefault="003754FE" w:rsidP="003754FE">
      <w:pPr>
        <w:pStyle w:val="TextoNormal"/>
      </w:pPr>
      <w:r>
        <w:t>En el recurso de inconstitucionalidad núm. 8367-2022, promovido por más de cincuenta diputados y diputadas pertenecientes al Grupo Parlamentario Confederal de Unidas Podemos-En Comú Podem-Galicia en Común, al Grupo Parlamentario Republicano, al Grupo Parlamentario Euskal Herria Bildu, al Grupo Parlamentario Plural y al Grupo Parlamentario Mixto en el Congreso de los Diputados, contra el Decreto-ley de la Junta de Andalucía 8/2022, de 27 de septiembre, por el que se modifica la Ley 2/2003, de 12 de mayo, de transportes urbanos y metropolitanos de viajeros en Andalucía. Han comparecido y formulado alegaciones la letrada del Parlamento de Andalucía y el letrado de la Junta de Andalucía. Ha sido ponente el presidente, don Cándido Conde-Pumpido Tourón.</w:t>
      </w:r>
    </w:p>
    <w:p w14:paraId="28AEF24B" w14:textId="3019A1B1" w:rsidR="003754FE" w:rsidRDefault="003754FE" w:rsidP="003754FE">
      <w:pPr>
        <w:pStyle w:val="TextoNormal"/>
      </w:pPr>
    </w:p>
    <w:p w14:paraId="394EB130" w14:textId="77777777" w:rsidR="003754FE" w:rsidRDefault="003754FE" w:rsidP="003754FE">
      <w:pPr>
        <w:pStyle w:val="TextoNormalNegritaCentrado"/>
        <w:keepNext/>
      </w:pPr>
      <w:r>
        <w:t>I. Antecedentes</w:t>
      </w:r>
    </w:p>
    <w:p w14:paraId="681B3770" w14:textId="772AA025" w:rsidR="003754FE" w:rsidRDefault="003754FE" w:rsidP="003754FE">
      <w:pPr>
        <w:pStyle w:val="TextoNormalNegritaCentrado"/>
        <w:keepNext/>
      </w:pPr>
    </w:p>
    <w:p w14:paraId="15100598" w14:textId="77777777" w:rsidR="003754FE" w:rsidRDefault="003754FE" w:rsidP="003754FE">
      <w:pPr>
        <w:pStyle w:val="TextoNormal"/>
      </w:pPr>
      <w:r w:rsidRPr="003754FE">
        <w:rPr>
          <w:rStyle w:val="NumeroAFNegritaCaracter"/>
        </w:rPr>
        <w:t>1</w:t>
      </w:r>
      <w:r>
        <w:t>. Mediante escrito registrado en este tribunal el día 19 de diciembre de 2022, el procurador de los tribunales, don José Miguel Martínez-Fresneda Gambra, en nombre y representación de cincuenta y cinco diputados y diputadas pertenecientes a los grupos parlamentarios Confederal de Unidas Podemos-En Comú Podem-Galicia en Común, Republicano, Euskal Herria Bildu, Plural y al Grupo Mixto en el Congreso de los Diputados, interpuso recurso de inconstitucionalidad contra el Decreto-ley de la Junta de Andalucía, 8/2022, de 27 de septiembre, por el que se modifica la Ley 2/2003, de 12 de mayo, de transportes urbanos y metropolitanos de viajeros en Andalucía (en adelante, Decreto-ley 8/2022).</w:t>
      </w:r>
    </w:p>
    <w:p w14:paraId="53631DB9" w14:textId="77777777" w:rsidR="003754FE" w:rsidRDefault="003754FE" w:rsidP="003754FE">
      <w:pPr>
        <w:pStyle w:val="TextoNormal"/>
      </w:pPr>
    </w:p>
    <w:p w14:paraId="038732EA" w14:textId="77777777" w:rsidR="003754FE" w:rsidRDefault="003754FE" w:rsidP="003754FE">
      <w:pPr>
        <w:pStyle w:val="TextoNormal"/>
      </w:pPr>
      <w:r>
        <w:t>Los motivos en los que se fundamenta el recurso de inconstitucionalidad son los que, sucintamente, se exponen a continuación:</w:t>
      </w:r>
    </w:p>
    <w:p w14:paraId="7711CC29" w14:textId="77777777" w:rsidR="003754FE" w:rsidRDefault="003754FE" w:rsidP="003754FE">
      <w:pPr>
        <w:pStyle w:val="TextoNormal"/>
      </w:pPr>
    </w:p>
    <w:p w14:paraId="2DBE48D1" w14:textId="77777777" w:rsidR="003754FE" w:rsidRDefault="003754FE" w:rsidP="003754FE">
      <w:pPr>
        <w:pStyle w:val="TextoNormal"/>
      </w:pPr>
      <w:r>
        <w:t>a) Los recurrentes alegan, en primer lugar, el incumplimiento por el Decreto-ley 8/2022, del presupuesto de hecho habilitante de la legislación de urgencia establecido en los arts. 86.1 CE y 110 de la Ley Orgánica 2/2007, de 19 de marzo, de reforma del Estatuto de Autonomía para Andalucía (en adelante, EAAnd).</w:t>
      </w:r>
    </w:p>
    <w:p w14:paraId="26BA6137" w14:textId="77777777" w:rsidR="003754FE" w:rsidRDefault="003754FE" w:rsidP="003754FE">
      <w:pPr>
        <w:pStyle w:val="TextoNormal"/>
      </w:pPr>
    </w:p>
    <w:p w14:paraId="419D5D5E" w14:textId="77777777" w:rsidR="003754FE" w:rsidRDefault="003754FE" w:rsidP="003754FE">
      <w:pPr>
        <w:pStyle w:val="TextoNormal"/>
      </w:pPr>
      <w:r>
        <w:t xml:space="preserve">Tras sintetizar la doctrina constitucional sobre la materia [con cita de las SSTC 34/2017, de 1 de marzo, FJ 3; 14/2020, de 28 de enero, FFJJ 2 y 5 c), y 40/2021, de 18 de febrero, FJ </w:t>
      </w:r>
      <w:r>
        <w:lastRenderedPageBreak/>
        <w:t>2], la demanda expone que, durante el debate de convalidación del Decreto-ley 8/2022, la consejera de Fomento, Articulación del Territorio y Vivienda, que intervino en nombre del gobierno andaluz, se limitó a expresar su confianza en que el Estado concediera una moratoria ante la proximidad del vencimiento del plazo de cuatro años otorgado a los titulares de autorizaciones de arrendamiento de vehículo de transporte con conductor (en adelante, VTC) de ámbito nacional, y que la ausencia de dicha moratoria es lo que motivó la necesidad de recurrir a la legislación de urgencia. Del mismo modo, la demanda considera insatisfactorias las razones expuestas en la exposición de motivos del decreto-ley: la inminente finalización del régimen transitorio, la paralización, durante casi un año, por la pandemia del covid-19, o la complejidad de los intereses involucrados.</w:t>
      </w:r>
    </w:p>
    <w:p w14:paraId="095BEBB2" w14:textId="77777777" w:rsidR="003754FE" w:rsidRDefault="003754FE" w:rsidP="003754FE">
      <w:pPr>
        <w:pStyle w:val="TextoNormal"/>
      </w:pPr>
    </w:p>
    <w:p w14:paraId="44707260" w14:textId="77777777" w:rsidR="003754FE" w:rsidRDefault="003754FE" w:rsidP="003754FE">
      <w:pPr>
        <w:pStyle w:val="TextoNormal"/>
      </w:pPr>
      <w:r>
        <w:t>Según la demanda no se ha justificado la utilización de la legislación de urgencia y aduce, además, que la situación de necesidad a la que se trata de hacer frente ha sido provocada por la propia inactividad del gobierno autonómico, ya que este ha dispuesto de un plazo de cuatro años, desde que se publicó el Real Decreto-ley 13/2018, de 28 de septiembre, por el que se modifica la Ley 16/1987, de 30 de julio, de ordenación de los transportes terrestres, en materia de arrendamiento de vehículos con conductor (en adelante, Real Decreto-ley 13/2018), para elaborar el correspondiente proyecto de ley y promover una ulterior tramitación del mismo y no lo ha hecho.</w:t>
      </w:r>
    </w:p>
    <w:p w14:paraId="4CA514F2" w14:textId="77777777" w:rsidR="003754FE" w:rsidRDefault="003754FE" w:rsidP="003754FE">
      <w:pPr>
        <w:pStyle w:val="TextoNormal"/>
      </w:pPr>
    </w:p>
    <w:p w14:paraId="7A76D601" w14:textId="77777777" w:rsidR="003754FE" w:rsidRDefault="003754FE" w:rsidP="003754FE">
      <w:pPr>
        <w:pStyle w:val="TextoNormal"/>
      </w:pPr>
      <w:r>
        <w:t>b) En segundo lugar, la regulación impugnada vulnera también, según los recurrentes, la autonomía local (arts. 137, 140 y 141 CE), por no respetar las competencias municipales en materia de transporte urbano, ni haber previsto una participación local en el ejercicio de las competencias autonómicas.</w:t>
      </w:r>
    </w:p>
    <w:p w14:paraId="70C7F5C3" w14:textId="77777777" w:rsidR="003754FE" w:rsidRDefault="003754FE" w:rsidP="003754FE">
      <w:pPr>
        <w:pStyle w:val="TextoNormal"/>
      </w:pPr>
    </w:p>
    <w:p w14:paraId="4BAF9D85" w14:textId="77777777" w:rsidR="003754FE" w:rsidRDefault="003754FE" w:rsidP="003754FE">
      <w:pPr>
        <w:pStyle w:val="TextoNormal"/>
      </w:pPr>
      <w:r>
        <w:t>La garantía de la autonomía local implica, en los términos en que ha sido configurada por la doctrina constitucional (cita, entre otras, SSTC 32/1981, de 28 de julio, FJ 4; 170/1989, 19 de octubre, FJ 9; 51/2004, de 13 de abril, FJ 9, y 95/2014, de 12 de junio, FJ 5), que el legislador autonómico deberá atribuir más o menos poder local (más o menos competencias locales; más o menos participación local; más o menos control autonómico) en función de la intensidad de los intereses locales y supralocales imbricados. En suma, como se pone de manifiesto en la demanda, en ámbitos de fuerte interés municipal, cuando no haya reconocimiento de competencias propias municipales, el establecimiento de mecanismos que aseguren una participación local intensa en el ejercicio de las atribuciones ajenas es un imperativo constitucional inexcusable.</w:t>
      </w:r>
    </w:p>
    <w:p w14:paraId="09AAA664" w14:textId="77777777" w:rsidR="003754FE" w:rsidRDefault="003754FE" w:rsidP="003754FE">
      <w:pPr>
        <w:pStyle w:val="TextoNormal"/>
      </w:pPr>
    </w:p>
    <w:p w14:paraId="15937A82" w14:textId="77777777" w:rsidR="003754FE" w:rsidRDefault="003754FE" w:rsidP="003754FE">
      <w:pPr>
        <w:pStyle w:val="TextoNormal"/>
      </w:pPr>
      <w:r>
        <w:t xml:space="preserve">En consideración a los evidentes intereses locales concernidos en el transporte urbano, los recurrentes destacan las semejanzas —reconocidas por el propio legislador andaluz— con el servicio público de taxi, el cual ha sido tradicionalmente, y sigue siendo, un ámbito de competencia local. Así, la Ley 2/2003, de 12 de mayo, de ordenación de los transportes urbanos y metropolitanos de viajeros en Andalucía (en adelante, Ley 2/2003), dispone que la prestación de servicios de transporte urbano mediante taxi “precisará la previa obtención de la correspondiente licencia otorgada por el ayuntamiento o, en su caso, por el ente que resulte competente en el supuesto de áreas territoriales de prestación conjunta” (art. 14.1). A la vista del indiscutible y preponderante interés municipal concernido en el ámbito del transporte urbano, los ayuntamientos deben tener competencias propias en esta materia o, al menos, una muy intensa participación en el ejercicio de las atribuidas a las comunidades autónomas, y ello es así por imperativo de la garantía constitucional de la autonomía </w:t>
      </w:r>
      <w:r>
        <w:lastRenderedPageBreak/>
        <w:t>municipal (arts. 137 y 140 CE), así como de su desarrollo estatutario [arts. 44, 90 y 92.2, letras d) y f) EAAnd] y básico [arts. 2 y 25.2 g) de la Ley 7/1985, de 2 de abril, reguladora de las bases del régimen local (en adelante, LBRL)].</w:t>
      </w:r>
    </w:p>
    <w:p w14:paraId="18495FDF" w14:textId="77777777" w:rsidR="003754FE" w:rsidRDefault="003754FE" w:rsidP="003754FE">
      <w:pPr>
        <w:pStyle w:val="TextoNormal"/>
      </w:pPr>
    </w:p>
    <w:p w14:paraId="5136B64E" w14:textId="77777777" w:rsidR="003754FE" w:rsidRDefault="003754FE" w:rsidP="003754FE">
      <w:pPr>
        <w:pStyle w:val="TextoNormal"/>
      </w:pPr>
      <w:r>
        <w:t xml:space="preserve">En contraposición con esta exigencia constitucional, la demanda entiende que, a través del impugnado Decreto-ley 8/2022, la regulación del servicio de los VTC ha experimentado una centralización competencial incompatible con la garantía constitucional de la autonomía local. Sostiene que lo atribuido a los ayuntamientos, por ejemplo, las condiciones impuestas a los conductores de VTC o el reconocimiento de la potestad sancionadora municipal (art. 48.1 de la Ley 2/2003, en la redacción dada por el decreto-ley controvertido), aisladamente considerados son contenidos perfectamente compatibles con la garantía de la autonomía municipal, pero insuficientes si se atiende al conjunto del bloque regulatorio. Aduce que no se trata solamente de que la Comunidad Autónoma de Andalucía haya asumido la autorización (art. 18 </w:t>
      </w:r>
      <w:r w:rsidRPr="003754FE">
        <w:rPr>
          <w:i/>
        </w:rPr>
        <w:t>bis</w:t>
      </w:r>
      <w:r>
        <w:t>, apartado segundo) y casi todas las competencias de regulación y ejecución relativas a los servicios de VTC, sino que además faltan mecanismos que, atendiendo a la especial intensidad del interés local en el transporte urbano, aseguren una participación local igualmente intensa.</w:t>
      </w:r>
    </w:p>
    <w:p w14:paraId="0A34135E" w14:textId="77777777" w:rsidR="003754FE" w:rsidRDefault="003754FE" w:rsidP="003754FE">
      <w:pPr>
        <w:pStyle w:val="TextoNormal"/>
      </w:pPr>
    </w:p>
    <w:p w14:paraId="0C8EB152" w14:textId="77777777" w:rsidR="003754FE" w:rsidRDefault="003754FE" w:rsidP="003754FE">
      <w:pPr>
        <w:pStyle w:val="TextoNormal"/>
      </w:pPr>
      <w:r>
        <w:t>c) En estrecha conexión con la garantía constitucional de la autonomía, también se denuncia su vulneración por ausencia de participación local en la elaboración del Decreto-ley 8/2022. Dicha participación es un corolario de la doctrina constitucional sobre la garantía de la autonomía local, de las exigencias derivadas de la Carta Europea de la autonomía local hecha en Estrasburgo el 15 de octubre de 1985, y de la propia norma estatutaria (arts. 92.2 y 95 EAAnd). Expone la demanda que el legislador andaluz ha desarrollado un complejo sistema institucional específicamente destinado a asegurar la participación de los municipios en el ejercicio de las competencias autonómicas —Consejo Andaluz de Gobiernos Locales y Consejo Andaluz de Concertación Local—. Es, por ello, que sostiene que la ausencia de participación municipal en el procedimiento de elaboración de normas autonómicas que conciernen directamente al mundo local o, más precisamente, que se refieren a alguna de las materias identificadas por el legislador básico o estatutario como de fuerte interés local, no entraña una simple irregularidad formal jurídicamente intrascendente [STC 238/2012, de 13 de diciembre, FJ 2 a)]. Conlleva la vulneración directa de la garantía constitucional (arts. 137 y 140 CE), estatutaria (arts. 91, 92 y 95 EAAnd) y básica (arts. 2 y 25 LBRL) de la autonomía local.</w:t>
      </w:r>
    </w:p>
    <w:p w14:paraId="6E23E7B5" w14:textId="77777777" w:rsidR="003754FE" w:rsidRDefault="003754FE" w:rsidP="003754FE">
      <w:pPr>
        <w:pStyle w:val="TextoNormal"/>
      </w:pPr>
    </w:p>
    <w:p w14:paraId="072EBBE3" w14:textId="77777777" w:rsidR="003754FE" w:rsidRDefault="003754FE" w:rsidP="003754FE">
      <w:pPr>
        <w:pStyle w:val="TextoNormal"/>
      </w:pPr>
      <w:r>
        <w:t>La demanda pone de manifiesto que no se ha puesto en marcha el sistema institucional establecido precisamente para garantizar el respeto de la autonomía local; en concreto, no se ha solicitado el informe del Consejo Andaluz de Gobiernos Locales, lo que ha impedido que este diera a conocer sus observaciones o reparos al texto legal, así como la ulterior intervención del Consejo Andaluz de Concertación Local como instancia destinada a encauzar el diálogo interadministrativo si hay oposición del mundo local. Reconocen los recurrentes que el apartamiento del indicado sistema institucional no puede fundar un motivo de inconstitucionalidad, pero eso no impide concluir que la radical ausencia de participación municipal en la elaboración de un texto que regula una materia identificada como típicamente municipal por los arts. 92.2, letras d) y f) EAAnd, y 25.2 g) LBRL, evidencia la inobservancia de la garantía constitucional, básica y estatutaria de la autonomía municipal (arts. 137 y 140 CE; 2 y 25 LBRL, y 91.1 EAAnd).</w:t>
      </w:r>
    </w:p>
    <w:p w14:paraId="128F032D" w14:textId="77777777" w:rsidR="003754FE" w:rsidRDefault="003754FE" w:rsidP="003754FE">
      <w:pPr>
        <w:pStyle w:val="TextoNormal"/>
      </w:pPr>
    </w:p>
    <w:p w14:paraId="3C90CF4B" w14:textId="77777777" w:rsidR="003754FE" w:rsidRDefault="003754FE" w:rsidP="003754FE">
      <w:pPr>
        <w:pStyle w:val="TextoNormal"/>
      </w:pPr>
      <w:r>
        <w:lastRenderedPageBreak/>
        <w:t xml:space="preserve">d) Los recurrentes alegan, también, la vulneración mediata de las competencias del Estado en la materia (art. 149.1.21 y 18 CE). La legislación estatal de transportes somete el desarrollo de servicios VTC al control previo del cumplimiento de las condiciones exigidas mediante la técnica de la autorización; así se desprende tanto del art. 42.1 de la Ley 16/1987, de 30 de julio, de ordenación de los transportes terrestres (en adelante, LOTT), como del art. 180.2 del Real Decreto 1211/1990, de 28 de septiembre, por el que se aprueba el Reglamento de la Ley de ordenación de los transportes terrestres (en adelante, ROTT). El Real Decreto-ley 13/2018, no solo ha confirmado el mantenimiento de la exigencia de autorización administrativa, sino que ha permitido </w:t>
      </w:r>
      <w:r w:rsidRPr="003754FE">
        <w:rPr>
          <w:i/>
        </w:rPr>
        <w:t>ope legis</w:t>
      </w:r>
      <w:r>
        <w:t xml:space="preserve"> que sigan vigentes durante cuatro años las autorizaciones de arrendamiento de VTC ya existentes a fin de que sus titulares pudieran “continuar prestando a su amparo servicios de ámbito urbano”. En conclusión, el Estado ha impuesto a las comunidades autónomas y a los ayuntamientos esta exigencia de control administrativo previo y concreto, caso por caso, mediante el libramiento o denegación de la correspondiente autorización. Exigencia que encuentra su cobertura en la competencia estatal en materia de transporte terrestre (art. 149.1.21 CE).</w:t>
      </w:r>
    </w:p>
    <w:p w14:paraId="6A368866" w14:textId="77777777" w:rsidR="003754FE" w:rsidRDefault="003754FE" w:rsidP="003754FE">
      <w:pPr>
        <w:pStyle w:val="TextoNormal"/>
      </w:pPr>
    </w:p>
    <w:p w14:paraId="737A4494" w14:textId="77777777" w:rsidR="003754FE" w:rsidRDefault="003754FE" w:rsidP="003754FE">
      <w:pPr>
        <w:pStyle w:val="TextoNormal"/>
      </w:pPr>
      <w:r>
        <w:t>La demanda recuerda que, conforme a la doctrina constitucional, la competencia exclusiva del Estado en la materia se despliega en el caso de transporte terrestre intercomunitario, pero que también tiene competencias aunque se trate de transporte urbano discrecional intracomunitario. Con cita de la STC 87/2019, de 20 de junio, FJ 13 c), afirma que el art. 149.1.21 CE atribuye competencia al Estado “también para establecer principios generales o directrices que son aplicables a los transportes intracomunitarios, como los de unidad de mercado y libre gestión empresarial”; en este caso, la exigencia de autorización. Exigencia que la demanda pone en relación con la “necesidad de título habilitante” para el uso del dominio público, conforme al art. 84.1 de la Ley 33/2003, de 3 de noviembre, del patrimonio de las administraciones públicas (en adelante, LPAP); precepto que reviste el carácter básic</w:t>
      </w:r>
      <w:r w:rsidRPr="003754FE">
        <w:rPr>
          <w:i/>
        </w:rPr>
        <w:t xml:space="preserve">o </w:t>
      </w:r>
      <w:r>
        <w:t>ex art. 149.1.18 CE.</w:t>
      </w:r>
    </w:p>
    <w:p w14:paraId="5C02CB98" w14:textId="77777777" w:rsidR="003754FE" w:rsidRDefault="003754FE" w:rsidP="003754FE">
      <w:pPr>
        <w:pStyle w:val="TextoNormal"/>
      </w:pPr>
    </w:p>
    <w:p w14:paraId="3D0BA257" w14:textId="77777777" w:rsidR="003754FE" w:rsidRDefault="003754FE" w:rsidP="003754FE">
      <w:pPr>
        <w:pStyle w:val="TextoNormal"/>
      </w:pPr>
      <w:r>
        <w:t xml:space="preserve">En el caso del cuestionado Decreto-ley 8/2022, la demanda reconoce que se mantiene la exigencia del control previo para prestar los servicios de VTC, pero pone de relieve que ese control desaparece en el caso de los ya autorizados al amparo de la disposición transitoria única del Real Decreto-ley 13/2018, conforme al apartado tercero del art. 18 </w:t>
      </w:r>
      <w:r w:rsidRPr="003754FE">
        <w:rPr>
          <w:i/>
        </w:rPr>
        <w:t>bis</w:t>
      </w:r>
      <w:r>
        <w:t xml:space="preserve">. Según la demanda, la previsión no pretende exonerar del cumplimiento de los requisitos previstos en la normativa legal vigente, sino que los beneficiarios de la moratoria estatal de cuatro años estén automáticamente habilitados para prestar servicios VTC en la Comunidad Autónoma de Andalucía y, en consecuencia, que las administraciones públicas puedan solo </w:t>
      </w:r>
      <w:r w:rsidRPr="003754FE">
        <w:rPr>
          <w:i/>
        </w:rPr>
        <w:t>ex post</w:t>
      </w:r>
      <w:r>
        <w:t xml:space="preserve"> vigilar el cumplimiento de las condiciones del servicio y, en su caso, reaccionar mediante medidas de restablecimiento y sanción. Al contradecir claramente los arts. 42.1 LOTT y 180.2 ROTT, el Real Decreto-ley 13/2018 (disposición transitoria única) y el art. 84.1 LPAP, ha vulnerado los títulos constitucionales que dan cobertura a aquellas disposiciones.</w:t>
      </w:r>
    </w:p>
    <w:p w14:paraId="2F803E3E" w14:textId="77777777" w:rsidR="003754FE" w:rsidRDefault="003754FE" w:rsidP="003754FE">
      <w:pPr>
        <w:pStyle w:val="TextoNormal"/>
      </w:pPr>
    </w:p>
    <w:p w14:paraId="3D8864EA" w14:textId="722651CF" w:rsidR="003754FE" w:rsidRDefault="003754FE" w:rsidP="003754FE">
      <w:pPr>
        <w:pStyle w:val="TextoNormal"/>
      </w:pPr>
      <w:r>
        <w:t>e) Es preciso reseñar, por último, que la demanda al sintetizar, en el fundamento sustantivo II. Primero, los motivos que justifican la procedencia y necesidad de este recurso, invoca también, por dos veces y sin desarrollo argumental, que entiende vulnerado el principio de igualdad consagrado en el art. 14 CE.</w:t>
      </w:r>
    </w:p>
    <w:p w14:paraId="5A2B1D11" w14:textId="77777777" w:rsidR="003754FE" w:rsidRDefault="003754FE" w:rsidP="003754FE">
      <w:pPr>
        <w:pStyle w:val="TextoNormal"/>
      </w:pPr>
    </w:p>
    <w:p w14:paraId="7B96636D" w14:textId="62A5748B" w:rsidR="003754FE" w:rsidRDefault="003754FE" w:rsidP="003754FE">
      <w:pPr>
        <w:pStyle w:val="TextoNormal"/>
      </w:pPr>
      <w:r w:rsidRPr="003754FE">
        <w:rPr>
          <w:rStyle w:val="NumeroAFNegritaCaracter"/>
        </w:rPr>
        <w:t>2</w:t>
      </w:r>
      <w:r>
        <w:t xml:space="preserve">. Por providencia de 24 de enero de 2023, el Pleno, a propuesta de la Sección Primera, acordó admitir a trámite el recurso y dar traslado de la demanda y los documentos </w:t>
      </w:r>
      <w:r>
        <w:lastRenderedPageBreak/>
        <w:t>presentados, conforme establece el art. 34 de la Ley Orgánica del Tribunal Constitucional (en adelante, LOTC), al Congreso de los Diputados y al Senado, por conducto de sus presidentes, y al Gobierno, por conducto de la ministra de Justicia, así como al Parlamento de Andalucía y al Consejo de Gobierno de Andalucía, por conducto de sus presidentes, al objeto de que, en el plazo de quince días, pudieran personarse en el procedimiento y formular las alegaciones que estimaren convenientes. Asimismo, se acordó publicar la incoación del procedimiento en el “Boletín Oficial del Estado”, lo que se verificó en el “BOE” núm. 27, de 1 de febrero de 2023, y en el “Boletín Oficial de la Junta de Andalucía”, lo que tuvo lugar en el “BOJA” núm. 21, de 1 de febrero de 2023.</w:t>
      </w:r>
    </w:p>
    <w:p w14:paraId="1DC152E4" w14:textId="77777777" w:rsidR="003754FE" w:rsidRDefault="003754FE" w:rsidP="003754FE">
      <w:pPr>
        <w:pStyle w:val="TextoNormal"/>
      </w:pPr>
    </w:p>
    <w:p w14:paraId="3463B5A4" w14:textId="4CCCA323" w:rsidR="003754FE" w:rsidRDefault="003754FE" w:rsidP="003754FE">
      <w:pPr>
        <w:pStyle w:val="TextoNormal"/>
      </w:pPr>
      <w:r w:rsidRPr="003754FE">
        <w:rPr>
          <w:rStyle w:val="NumeroAFNegritaCaracter"/>
        </w:rPr>
        <w:t>3</w:t>
      </w:r>
      <w:r>
        <w:t>. Mediante escrito registrado el 2 de febrero de 2023, la presidenta del Congreso de los Diputados comunicó el acuerdo de personación de dicha cámara y dio por ofrecida su colaboración a los efectos del art. 88.1 LOTC, así como remitir la demandad a la Dirección de Estudios, Análisis y Publicaciones y a la asesoría jurídica de la Secretaría General.</w:t>
      </w:r>
    </w:p>
    <w:p w14:paraId="1F953D42" w14:textId="77777777" w:rsidR="003754FE" w:rsidRDefault="003754FE" w:rsidP="003754FE">
      <w:pPr>
        <w:pStyle w:val="TextoNormal"/>
      </w:pPr>
    </w:p>
    <w:p w14:paraId="4CFB10E5" w14:textId="26CE3F08" w:rsidR="003754FE" w:rsidRDefault="003754FE" w:rsidP="003754FE">
      <w:pPr>
        <w:pStyle w:val="TextoNormal"/>
      </w:pPr>
      <w:r w:rsidRPr="003754FE">
        <w:rPr>
          <w:rStyle w:val="NumeroAFNegritaCaracter"/>
        </w:rPr>
        <w:t>4</w:t>
      </w:r>
      <w:r>
        <w:t>. El día 6 de febrero de 2023 tuvo entrada en el registro general de este tribunal escrito del letrado de la Junta de Andalucía por el que, en la representación que legalmente ostenta, solicita se le tenga por personado y se le conceda una ampliación del plazo de ocho días para formular el escrito de alegaciones debido a la complejidad de la demanda y la importante carga de trabajo que tiene. Por diligencia de ordenación del secretario de justicia del Tribunal de 6 de febrero de 2023, se tiene por personado al letrado de la Junta de Andalucía, en nombre del Consejo de Gobierno de Andalucía, y se le prorroga en ocho días más el plazo concedido por providencia de 24 de enero de 2023, a contar desde el siguiente al de expiración del ordinario.</w:t>
      </w:r>
    </w:p>
    <w:p w14:paraId="404DBD47" w14:textId="77777777" w:rsidR="003754FE" w:rsidRDefault="003754FE" w:rsidP="003754FE">
      <w:pPr>
        <w:pStyle w:val="TextoNormal"/>
      </w:pPr>
    </w:p>
    <w:p w14:paraId="536F0ACA" w14:textId="65FDD5AD" w:rsidR="003754FE" w:rsidRDefault="003754FE" w:rsidP="003754FE">
      <w:pPr>
        <w:pStyle w:val="TextoNormal"/>
      </w:pPr>
      <w:r w:rsidRPr="003754FE">
        <w:rPr>
          <w:rStyle w:val="NumeroAFNegritaCaracter"/>
        </w:rPr>
        <w:t>5</w:t>
      </w:r>
      <w:r>
        <w:t>. Mediante escrito registrado el 9 de febrero de 2023, el presidente del Senado comunicó el acuerdo de personación de dicha cámara y dio por ofrecida su colaboración a los efectos del art. 88.1 LOTC.</w:t>
      </w:r>
    </w:p>
    <w:p w14:paraId="230E0FFE" w14:textId="77777777" w:rsidR="003754FE" w:rsidRDefault="003754FE" w:rsidP="003754FE">
      <w:pPr>
        <w:pStyle w:val="TextoNormal"/>
      </w:pPr>
    </w:p>
    <w:p w14:paraId="22FE97FF" w14:textId="4D46479C" w:rsidR="003754FE" w:rsidRDefault="003754FE" w:rsidP="003754FE">
      <w:pPr>
        <w:pStyle w:val="TextoNormal"/>
      </w:pPr>
      <w:r w:rsidRPr="003754FE">
        <w:rPr>
          <w:rStyle w:val="NumeroAFNegritaCaracter"/>
        </w:rPr>
        <w:t>6</w:t>
      </w:r>
      <w:r>
        <w:t>. El día 9 de febrero de 2023 tuvo entrada en el registro general de este tribunal escrito de la letrada del Parlamento de Andalucía por el que, en la representación que legalmente ostenta, solicita se tenga por personado al Parlamento y se le otorgue prórroga del plazo para formular alegaciones, ampliándolo en ocho días hábiles más. Por diligencia de ordenación del secretario de justicia del Tribunal de 9 de febrero de 2023, se tiene por personada a la letrada del Parlamento de Andalucía, en nombre de dicha cámara, y se le prorroga en ocho días más el plazo concedido por providencia de 24 de enero de 2023, a contar desde el siguiente al de expiración del ordinario.</w:t>
      </w:r>
    </w:p>
    <w:p w14:paraId="627DC1BB" w14:textId="77777777" w:rsidR="003754FE" w:rsidRDefault="003754FE" w:rsidP="003754FE">
      <w:pPr>
        <w:pStyle w:val="TextoNormal"/>
      </w:pPr>
    </w:p>
    <w:p w14:paraId="371A554C" w14:textId="2C1D0B4E" w:rsidR="003754FE" w:rsidRDefault="003754FE" w:rsidP="003754FE">
      <w:pPr>
        <w:pStyle w:val="TextoNormal"/>
      </w:pPr>
      <w:r w:rsidRPr="003754FE">
        <w:rPr>
          <w:rStyle w:val="NumeroAFNegritaCaracter"/>
        </w:rPr>
        <w:t>7</w:t>
      </w:r>
      <w:r>
        <w:t>. Por escrito registrado en el Tribunal el día 9 de febrero de 2023, el abogado del Estado manifiesta que no va a formular alegaciones en el presente procedimiento y que se persona a los efectos de que en su día se le notifiquen las resoluciones que en él se dicten.</w:t>
      </w:r>
    </w:p>
    <w:p w14:paraId="5BEB689F" w14:textId="77777777" w:rsidR="003754FE" w:rsidRDefault="003754FE" w:rsidP="003754FE">
      <w:pPr>
        <w:pStyle w:val="TextoNormal"/>
      </w:pPr>
    </w:p>
    <w:p w14:paraId="1AD8C804" w14:textId="77777777" w:rsidR="003754FE" w:rsidRDefault="003754FE" w:rsidP="003754FE">
      <w:pPr>
        <w:pStyle w:val="TextoNormal"/>
      </w:pPr>
      <w:r w:rsidRPr="003754FE">
        <w:rPr>
          <w:rStyle w:val="NumeroAFNegritaCaracter"/>
        </w:rPr>
        <w:t>8</w:t>
      </w:r>
      <w:r>
        <w:t>. El día 7 de marzo de 2023 tuvo entrada en el registro general de este tribunal escrito de la letrada del Parlamento de Andalucía en el que procede a realizar las siguientes alegaciones:</w:t>
      </w:r>
    </w:p>
    <w:p w14:paraId="437CF9DA" w14:textId="77777777" w:rsidR="003754FE" w:rsidRDefault="003754FE" w:rsidP="003754FE">
      <w:pPr>
        <w:pStyle w:val="TextoNormal"/>
      </w:pPr>
    </w:p>
    <w:p w14:paraId="1C6E0C3A" w14:textId="77777777" w:rsidR="003754FE" w:rsidRDefault="003754FE" w:rsidP="003754FE">
      <w:pPr>
        <w:pStyle w:val="TextoNormal"/>
      </w:pPr>
      <w:r>
        <w:lastRenderedPageBreak/>
        <w:t xml:space="preserve">a) </w:t>
      </w:r>
      <w:r w:rsidRPr="003754FE">
        <w:rPr>
          <w:i/>
        </w:rPr>
        <w:t>Relativas a la existencia del presupuesto de hecho habilitante para dictar el Decreto-ley 8/2022</w:t>
      </w:r>
    </w:p>
    <w:p w14:paraId="27C58135" w14:textId="77777777" w:rsidR="003754FE" w:rsidRDefault="003754FE" w:rsidP="003754FE">
      <w:pPr>
        <w:pStyle w:val="TextoNormal"/>
      </w:pPr>
    </w:p>
    <w:p w14:paraId="2D6F0C73" w14:textId="77777777" w:rsidR="003754FE" w:rsidRDefault="003754FE" w:rsidP="003754FE">
      <w:pPr>
        <w:pStyle w:val="TextoNormal"/>
      </w:pPr>
      <w:r>
        <w:t>La letrada del Parlamento andaluz sostiene que en el presente caso existe y ha quedado suficientemente explicitada y justificada la situación de extraordinaria y urgente necesidad en la exposición de motivos del Decreto-ley 8/2022 (reproduce los párrafos quinto, sexto, séptimo, vigésimo séptimo y vigésimo octavo), permitiendo el control externo que corresponde al Tribunal Constitucional. La situación se deriva de la inminente finalización del plazo durante el que las autorizaciones de VTC de ámbito nacional permiten prestar servicios de transporte en el ámbito urbano, lo que, a su vez, requiere una solución normativa inmediata debido al gran número de autorizaciones existentes en la Comunidad Autónoma de Andalucía (18,5 por 100 del total nacional). La finalización del plazo generaría además, la desaparición de miles de puestos de trabajo y produciría una drástica reducción del número de operadores en el segmento del transporte discrecional de viajeros en el ámbito urbano con los consiguientes efectos negativos para la movilidad urbana y el conjunto de la ciudadanía. El decreto-ley trata de evitar estos problemas, permitiendo que la Comunidad Autónoma de Andalucía pueda seguir contando con el servicio de VTC en el ámbito urbano, pero imponiendo a la vez ciertas limitaciones a esta actividad para garantizar la adecuada prestación del servicio y su competencia equilibrada con el sector del taxi con el que compite directamente en el mercado. El escrito de alegaciones recuerda que la imprevisibilidad de la situación de necesidad a la que se trata de dar respuesta con el Decreto-ley 8/2022, no es un requisito exigido por la doctrina del Tribunal Constitucional (STC 183/2014, de 6 de noviembre, FJ 6).</w:t>
      </w:r>
    </w:p>
    <w:p w14:paraId="05C148A8" w14:textId="77777777" w:rsidR="003754FE" w:rsidRDefault="003754FE" w:rsidP="003754FE">
      <w:pPr>
        <w:pStyle w:val="TextoNormal"/>
      </w:pPr>
    </w:p>
    <w:p w14:paraId="244F9E8B" w14:textId="77777777" w:rsidR="003754FE" w:rsidRDefault="003754FE" w:rsidP="003754FE">
      <w:pPr>
        <w:pStyle w:val="TextoNormal"/>
      </w:pPr>
      <w:r>
        <w:t>De las manifestaciones vertidas por la consejera de Fomento, Articulación del Territorio y Vivienda durante el debate parlamentario de convalidación, se infiere que no ha existido una falta de diligencia y que el procedimiento y las negociaciones para abordar la regulación establecida en el Decreto-ley 8/2022, se iniciaron mucho antes de que se acabara la moratoria de cuatro años establecida por el Estado para que las autorizaciones de VTC de ámbito nacional pudieran seguir prestando servicios en Andalucía, en concreto, desde el año 2019.</w:t>
      </w:r>
    </w:p>
    <w:p w14:paraId="1E482779" w14:textId="77777777" w:rsidR="003754FE" w:rsidRDefault="003754FE" w:rsidP="003754FE">
      <w:pPr>
        <w:pStyle w:val="TextoNormal"/>
      </w:pPr>
    </w:p>
    <w:p w14:paraId="0E5DDA4E" w14:textId="77777777" w:rsidR="003754FE" w:rsidRDefault="003754FE" w:rsidP="003754FE">
      <w:pPr>
        <w:pStyle w:val="TextoNormal"/>
      </w:pPr>
      <w:r>
        <w:t>Por último, el hecho de que el Parlamento de Andalucía sea unicameral no impide que el procedimiento legislativo regulado en el mismo sea complejo y requiera un amplio periodo de tiempo para su tramitación. Es más, este procedimiento consta de un trámite singular cual es la comparecencia informativa de los agentes sociales, que se sustancia antes del trámite de presentación de enmiendas al articulado y que alarga notablemente el procedimiento legislativo. En todo caso, de acuerdo con la doctrina del Tribunal Constitucional, la mera posibilidad de utilizar procedimientos legislativos más o menos ágiles no es, por sí sola, una razón convincente para negar la concurrencia del presupuesto habilitante (STC 182/1997, de 28 de octubre, FJ 5).</w:t>
      </w:r>
    </w:p>
    <w:p w14:paraId="4CD741A5" w14:textId="77777777" w:rsidR="003754FE" w:rsidRDefault="003754FE" w:rsidP="003754FE">
      <w:pPr>
        <w:pStyle w:val="TextoNormal"/>
      </w:pPr>
    </w:p>
    <w:p w14:paraId="6044FC27" w14:textId="77777777" w:rsidR="003754FE" w:rsidRDefault="003754FE" w:rsidP="003754FE">
      <w:pPr>
        <w:pStyle w:val="TextoNormal"/>
      </w:pPr>
      <w:r>
        <w:t xml:space="preserve">b) </w:t>
      </w:r>
      <w:r w:rsidRPr="003754FE">
        <w:rPr>
          <w:i/>
        </w:rPr>
        <w:t>Relativas a la alegación de vulneración de la autonomía local garantizada en los arts. 137, 140 y 141 CE por ausencia de atribución a los municipios de competencias propias y de participación en el ejercicio de las ajenas</w:t>
      </w:r>
    </w:p>
    <w:p w14:paraId="40BE75C9" w14:textId="77777777" w:rsidR="003754FE" w:rsidRDefault="003754FE" w:rsidP="003754FE">
      <w:pPr>
        <w:pStyle w:val="TextoNormal"/>
      </w:pPr>
    </w:p>
    <w:p w14:paraId="28553608" w14:textId="77777777" w:rsidR="003754FE" w:rsidRDefault="003754FE" w:rsidP="003754FE">
      <w:pPr>
        <w:pStyle w:val="TextoNormal"/>
      </w:pPr>
      <w:r>
        <w:t xml:space="preserve">Este motivo de impugnación se dirige, en opinión de la letrada del Parlamento andaluz, de forma global contra el conjunto del Decreto-ley 8/2022, y debe ser desestimado porque los recurrentes lo formulan de forma genérica, sin especificar ni argumentar los concretos </w:t>
      </w:r>
      <w:r>
        <w:lastRenderedPageBreak/>
        <w:t>vicios de inconstitucionalidad en los que incurre cada uno de los preceptos y disposiciones que lo integran, con la salvedad de la disposición final primera. La impugnación descansa en la genérica consideración de que la norma cuestionada reserva a la Comunidad Autónoma de Andalucía el otorgamiento de las autorizaciones y casi todas las competencias normativas y ejecutivas relativas a esta modalidad de transporte, lo que, a juicio de la letrada del Parlamento andaluz, debe determinar la desestimación del recurso por incumplimiento de los requisitos exigibles a la demanda en los arts. 33 y 85.1 LOTC (cita la STC 112/2006, de 5 de abril, FJ 19).</w:t>
      </w:r>
    </w:p>
    <w:p w14:paraId="6197E127" w14:textId="77777777" w:rsidR="003754FE" w:rsidRDefault="003754FE" w:rsidP="003754FE">
      <w:pPr>
        <w:pStyle w:val="TextoNormal"/>
      </w:pPr>
    </w:p>
    <w:p w14:paraId="4A33CF07" w14:textId="77777777" w:rsidR="003754FE" w:rsidRDefault="003754FE" w:rsidP="003754FE">
      <w:pPr>
        <w:pStyle w:val="TextoNormal"/>
      </w:pPr>
      <w:r>
        <w:t>En cuanto al fondo de la queja, tras recordar la doctrina constitucional sobre la garantía de la autonomía local (STC 152/2016, de 22 de septiembre, FJ 4), se afirma que el mero reconocimiento de competencias a los municipios en materia de transporte urbano en los arts. 25.2 g) LBRL, y 92.2 d) y f) EAAnd, no implica que los mismos deban asumir la totalidad o la mayoría de las facultades posibles sobre esta materia, puesto que el ámbito competencial concreto habrá de ser fijado por el legislador sectorial.</w:t>
      </w:r>
    </w:p>
    <w:p w14:paraId="72007F74" w14:textId="77777777" w:rsidR="003754FE" w:rsidRDefault="003754FE" w:rsidP="003754FE">
      <w:pPr>
        <w:pStyle w:val="TextoNormal"/>
      </w:pPr>
    </w:p>
    <w:p w14:paraId="147A353A" w14:textId="77777777" w:rsidR="003754FE" w:rsidRDefault="003754FE" w:rsidP="003754FE">
      <w:pPr>
        <w:pStyle w:val="TextoNormal"/>
      </w:pPr>
      <w:r>
        <w:t>A continuación, se señala la doble finalidad perseguida por el Decreto-ley 8/2022: por un lado, garantizar que en el ámbito urbano se siga prestando el servicio de transporte de arrendamiento de vehículos de motor cuando finalice la moratoria estatal de cuatro años; y, por otro lado, fijar un marco normativo homogéneo aplicable a la actividad de arrendamiento de VTC cuyo itinerario se desarrolle en el territorio de Andalucía. Se pone de manifiesto que el decreto-ley se ha dictado al amparo de las competencias exclusivas asumidas por la Comunidad Autónoma de Andalucía en virtud de lo dispuesto en el art. 64.1.3 EAAnd, así como de las competencias delegadas por el Estado (Ley Orgánica 5/1987, de 30 de julio, de delegación de facultades del Estado en las comunidades autónomas en relación con los transportes por carretera y por cable, y disposición adicional primera del Real Decreto-ley 13/2018). En el ejercicio de su libertad configuradora, dentro del marco constitucional y estatutario, el legislador andaluz, a diferencia de otras comunidades autónomas, ha optado por un modelo en el que no existe una licencia municipal de VTC, sino que se establece un único título habilitante que permite prestar servicios en todo el territorio de Andalucía, sin limitación alguna por razón del origen o destino del servicio.</w:t>
      </w:r>
    </w:p>
    <w:p w14:paraId="79016470" w14:textId="77777777" w:rsidR="003754FE" w:rsidRDefault="003754FE" w:rsidP="003754FE">
      <w:pPr>
        <w:pStyle w:val="TextoNormal"/>
      </w:pPr>
    </w:p>
    <w:p w14:paraId="31CDD858" w14:textId="77777777" w:rsidR="003754FE" w:rsidRDefault="003754FE" w:rsidP="003754FE">
      <w:pPr>
        <w:pStyle w:val="TextoNormal"/>
      </w:pPr>
      <w:r>
        <w:t xml:space="preserve">La letrada del Parlamento andaluz considera que dicho modelo no vulnera la autonomía local por las siguientes razones: (i) el ámbito geográfico de las autorizaciones de VTC y de la modalidad de transporte regulada excede con mucho el ámbito estrictamente local; (ii) existe un evidente interés supralocal que no se puede satisfacer a través de una gestión exclusiva o preponderante de los municipios y que consiste en garantizar la no desaparición de esta modalidad de transporte, debido al peso que tiene en Andalucía y a los efectos negativos que se producirían para la economía, la movilidad urbana y la calidad del transporte; y (iii) se instrumenta la participación de los municipios a través de sus órganos propios en dos ámbitos fundamentales: el régimen de descanso anual (apartado segundo del art. 18 </w:t>
      </w:r>
      <w:r w:rsidRPr="003754FE">
        <w:rPr>
          <w:i/>
        </w:rPr>
        <w:t>sexies</w:t>
      </w:r>
      <w:r>
        <w:t>) y la potestad sancionadora (art. 48.1).</w:t>
      </w:r>
    </w:p>
    <w:p w14:paraId="085BFE6C" w14:textId="77777777" w:rsidR="003754FE" w:rsidRDefault="003754FE" w:rsidP="003754FE">
      <w:pPr>
        <w:pStyle w:val="TextoNormal"/>
      </w:pPr>
    </w:p>
    <w:p w14:paraId="168B296D" w14:textId="77777777" w:rsidR="003754FE" w:rsidRDefault="003754FE" w:rsidP="003754FE">
      <w:pPr>
        <w:pStyle w:val="TextoNormal"/>
      </w:pPr>
      <w:r>
        <w:t xml:space="preserve">Por último, se señala que la participación de los ayuntamientos en el procedimiento de autorización de arrendamiento de VTC en el ámbito urbano no forma parte del núcleo esencial de la autonomía local. Es más, dicha actividad ha estado reservada a la competencia estatal y, en su caso, por delegación, a las comunidades autónomas. Autonomía local que tampoco se ve afectada por la habilitación, prevista en la disposición final primera del </w:t>
      </w:r>
      <w:r>
        <w:lastRenderedPageBreak/>
        <w:t>Decreto-ley 8/2022, para el desarrollo reglamentario de la regulación; queja que, por su imprecisión, parece tener un carácter preventivo.</w:t>
      </w:r>
    </w:p>
    <w:p w14:paraId="4C2978AF" w14:textId="77777777" w:rsidR="003754FE" w:rsidRDefault="003754FE" w:rsidP="003754FE">
      <w:pPr>
        <w:pStyle w:val="TextoNormal"/>
      </w:pPr>
    </w:p>
    <w:p w14:paraId="571A0CC2" w14:textId="77777777" w:rsidR="003754FE" w:rsidRDefault="003754FE" w:rsidP="003754FE">
      <w:pPr>
        <w:pStyle w:val="TextoNormal"/>
      </w:pPr>
      <w:r>
        <w:t xml:space="preserve">c) </w:t>
      </w:r>
      <w:r w:rsidRPr="003754FE">
        <w:rPr>
          <w:i/>
        </w:rPr>
        <w:t>Sobre la alegación de la vulneración de la autonomía local por ausencia de participación local en la elaboración del Decreto-ley 8/2022, por no haberse pedido informe al Consejo Andaluz de Gobiernos Locales, lo que, a su vez, ha impedido que este diera a conocer sus observaciones y reparos al Consejo Andaluz de Concertación Local</w:t>
      </w:r>
    </w:p>
    <w:p w14:paraId="46182CAC" w14:textId="77777777" w:rsidR="003754FE" w:rsidRDefault="003754FE" w:rsidP="003754FE">
      <w:pPr>
        <w:pStyle w:val="TextoNormal"/>
      </w:pPr>
    </w:p>
    <w:p w14:paraId="2CA2B811" w14:textId="77777777" w:rsidR="003754FE" w:rsidRDefault="003754FE" w:rsidP="003754FE">
      <w:pPr>
        <w:pStyle w:val="TextoNormal"/>
      </w:pPr>
      <w:r>
        <w:t>Según la letrada del Parlamento andaluz, atendiendo a su régimen jurídico, la intervención del Consejo Andaluz de Gobiernos Locales no es preceptiva en el procedimiento de elaboración y aprobación de la legislación de urgencia. En cualquier caso, de acuerdo con el art. 28 LOTC, como la regulación de la intervención se hace a través de una ley ordinaria de la comunidad autónoma que tiene el mismo rango normativo que el decreto-ley recurrido, en ningún caso puede operar como canon de constitucionalidad. En términos similares se argumenta sobre la ausencia de participación del Consejo Andaluz de Concertación Local: el art. 95 EAAnd solo prevé la consulta a este órgano en la tramitación parlamentaria de las disposiciones legales y planes que afecten de forma específica a las corporaciones locales, lo que no resulta aplicable a la legislación de urgencia (art. 100 EAAnd).</w:t>
      </w:r>
    </w:p>
    <w:p w14:paraId="2D83BB37" w14:textId="77777777" w:rsidR="003754FE" w:rsidRDefault="003754FE" w:rsidP="003754FE">
      <w:pPr>
        <w:pStyle w:val="TextoNormal"/>
      </w:pPr>
    </w:p>
    <w:p w14:paraId="6934ED2E" w14:textId="77777777" w:rsidR="003754FE" w:rsidRDefault="003754FE" w:rsidP="003754FE">
      <w:pPr>
        <w:pStyle w:val="TextoNormal"/>
      </w:pPr>
      <w:r>
        <w:t xml:space="preserve">d) </w:t>
      </w:r>
      <w:r w:rsidRPr="003754FE">
        <w:rPr>
          <w:i/>
        </w:rPr>
        <w:t>Sobre la vulneración de las competencias estatales</w:t>
      </w:r>
      <w:r>
        <w:t xml:space="preserve"> ex </w:t>
      </w:r>
      <w:r w:rsidRPr="003754FE">
        <w:rPr>
          <w:i/>
        </w:rPr>
        <w:t>art. 149.1.21 y 18 CE, por omisión del control previo que conlleva la técnica autorizatoria para los titulares de las autorizaciones de ámbito nacional, beneficiarios de la moratoria estatal de cuatro años</w:t>
      </w:r>
    </w:p>
    <w:p w14:paraId="6319CA96" w14:textId="77777777" w:rsidR="003754FE" w:rsidRDefault="003754FE" w:rsidP="003754FE">
      <w:pPr>
        <w:pStyle w:val="TextoNormal"/>
      </w:pPr>
    </w:p>
    <w:p w14:paraId="77E6F071" w14:textId="5C3447DE" w:rsidR="003754FE" w:rsidRDefault="003754FE" w:rsidP="003754FE">
      <w:pPr>
        <w:pStyle w:val="TextoNormal"/>
      </w:pPr>
      <w:r>
        <w:t xml:space="preserve">La letrada del Parlamento andaluz considera que la queja parte de una interpretación errónea del art. 18 </w:t>
      </w:r>
      <w:r w:rsidRPr="003754FE">
        <w:rPr>
          <w:i/>
        </w:rPr>
        <w:t>bis</w:t>
      </w:r>
      <w:r>
        <w:t xml:space="preserve">.3 de la Ley 2/2003, en la redacción dada por el decreto-ley impugnado. El precepto solo reconoce que las autorizaciones de carácter nacional domiciliadas en Andalucía y expedidas con anterioridad a la entrada en vigor del Decreto-ley 8/2022, habilitarán para realizar transportes urbanos de viajeros dentro de la comunidad autónoma. La necesidad de disponer de autorización en todo caso se ve corroborada si se realiza una interpretación sistemática de los apartados segundo y tercero del art. 18 </w:t>
      </w:r>
      <w:r w:rsidRPr="003754FE">
        <w:rPr>
          <w:i/>
        </w:rPr>
        <w:t>bis</w:t>
      </w:r>
      <w:r>
        <w:t>. Además, del Real Decreto-ley 13/2018 no se deduce, en ningún momento, que a la finalización de la moratoria establecida en su disposición transitoria única caduquen las autorizaciones otorgadas al amparo del art. 91 LOTT.</w:t>
      </w:r>
    </w:p>
    <w:p w14:paraId="4C21172F" w14:textId="77777777" w:rsidR="003754FE" w:rsidRDefault="003754FE" w:rsidP="003754FE">
      <w:pPr>
        <w:pStyle w:val="TextoNormal"/>
      </w:pPr>
    </w:p>
    <w:p w14:paraId="0C494645" w14:textId="77777777" w:rsidR="003754FE" w:rsidRDefault="003754FE" w:rsidP="003754FE">
      <w:pPr>
        <w:pStyle w:val="TextoNormal"/>
      </w:pPr>
      <w:r w:rsidRPr="003754FE">
        <w:rPr>
          <w:rStyle w:val="NumeroAFNegritaCaracter"/>
        </w:rPr>
        <w:t>9</w:t>
      </w:r>
      <w:r>
        <w:t>. Igualmente el día 7 de marzo de 2023, tuvo entrada en el registro general de este tribunal escrito del letrado de la Junta de Andalucía, en representación del Consejo de Gobierno de Andalucía, en el que se formulaban las siguientes alegaciones:</w:t>
      </w:r>
    </w:p>
    <w:p w14:paraId="582667AA" w14:textId="77777777" w:rsidR="003754FE" w:rsidRDefault="003754FE" w:rsidP="003754FE">
      <w:pPr>
        <w:pStyle w:val="TextoNormal"/>
      </w:pPr>
    </w:p>
    <w:p w14:paraId="66D20762" w14:textId="77777777" w:rsidR="003754FE" w:rsidRDefault="003754FE" w:rsidP="003754FE">
      <w:pPr>
        <w:pStyle w:val="TextoNormal"/>
      </w:pPr>
      <w:r>
        <w:t>a) En primer lugar, se realizan algunas consideraciones generales sobre el incumplimiento por los recurrentes de su carga argumentativa y la competencia autonómica en materia de transportes.</w:t>
      </w:r>
    </w:p>
    <w:p w14:paraId="0E9258B3" w14:textId="77777777" w:rsidR="003754FE" w:rsidRDefault="003754FE" w:rsidP="003754FE">
      <w:pPr>
        <w:pStyle w:val="TextoNormal"/>
      </w:pPr>
    </w:p>
    <w:p w14:paraId="6AF02BEA" w14:textId="77777777" w:rsidR="003754FE" w:rsidRDefault="003754FE" w:rsidP="003754FE">
      <w:pPr>
        <w:pStyle w:val="TextoNormal"/>
      </w:pPr>
      <w:r>
        <w:t xml:space="preserve">En relación con la vulneración del art. 14 CE, el letrado de la Junta de Andalucía sostiene que los recurrentes ni en el fundamento primero en el que se limitan a mencionarlo ni en los posteriores realizan el menor esfuerzo para argumentar por qué entienden vulnerado dicho principio (cita las SSTC 156/2021, de 16 de septiembre, y 183/2021, de 27 de octubre). A ello debe añadirse que tratándose de una supuesta vulneración del principio de igualdad, </w:t>
      </w:r>
      <w:r>
        <w:lastRenderedPageBreak/>
        <w:t>resulta inexcusable que por los recurrentes se aporte un término de comparación, lo cual tampoco se hace en este supuesto.</w:t>
      </w:r>
    </w:p>
    <w:p w14:paraId="77CF6B77" w14:textId="77777777" w:rsidR="003754FE" w:rsidRDefault="003754FE" w:rsidP="003754FE">
      <w:pPr>
        <w:pStyle w:val="TextoNormal"/>
      </w:pPr>
    </w:p>
    <w:p w14:paraId="74DBB31D" w14:textId="77777777" w:rsidR="003754FE" w:rsidRDefault="003754FE" w:rsidP="003754FE">
      <w:pPr>
        <w:pStyle w:val="TextoNormal"/>
      </w:pPr>
      <w:r>
        <w:t>Asimismo, considera que los recurrentes realizan una lectura sesgada del Real Decreto-ley 13/2018, al afirmar que los municipios y las comunidades autónomas pasaron a ser los responsables de determinar las condiciones en las que deben ser autorizados y prestados los servicios VTC de carácter urbano. En realidad el preámbulo del Real Decreto-ley 13/2018, señala a las comunidades autónomas como competentes, sin perjuicio, claro está, de las competencias municipales en el ámbito de la movilidad urbana.</w:t>
      </w:r>
    </w:p>
    <w:p w14:paraId="029A3984" w14:textId="77777777" w:rsidR="003754FE" w:rsidRDefault="003754FE" w:rsidP="003754FE">
      <w:pPr>
        <w:pStyle w:val="TextoNormal"/>
      </w:pPr>
    </w:p>
    <w:p w14:paraId="0B7E77D3" w14:textId="77777777" w:rsidR="003754FE" w:rsidRDefault="003754FE" w:rsidP="003754FE">
      <w:pPr>
        <w:pStyle w:val="TextoNormal"/>
      </w:pPr>
      <w:r>
        <w:t>Por último, aduce que el Decreto-ley 8/2022, responde a las competencias que corresponden a la Comunidad Autónoma de Andalucía en materia de transporte de viajeros cuyo itinerario se desarrolle íntegramente en territorio andaluz (STC 33/2014, de 27 de febrero). La referida habilitación competencial y consiguiente constitucionalidad del decreto-ley resulta de la confluencia de un lado de las competencias exclusivas que conforme al art. 64.1.3 EAAnd corresponden como propias a la comunidad autónoma y de otro de las que le corresponden por delegación del Estado, en los términos de la Ley Orgánica 5/1987, de 30 de julio, de delegación de facultades del Estado en las comunidades autónomas en relación con los transportes por carretera y por cable, relacionadas con las atribuidas por el Real Decreto-ley 13/2018.</w:t>
      </w:r>
    </w:p>
    <w:p w14:paraId="3B8F3BE2" w14:textId="77777777" w:rsidR="003754FE" w:rsidRDefault="003754FE" w:rsidP="003754FE">
      <w:pPr>
        <w:pStyle w:val="TextoNormal"/>
      </w:pPr>
    </w:p>
    <w:p w14:paraId="7351A675" w14:textId="77777777" w:rsidR="003754FE" w:rsidRDefault="003754FE" w:rsidP="003754FE">
      <w:pPr>
        <w:pStyle w:val="TextoNormal"/>
      </w:pPr>
      <w:r>
        <w:t>b) En segundo lugar, se alega que el Decreto-ley 8/2022, responde a una situación de extraordinaria y urgente necesidad sin que por tanto exista vulneración del art. 86 CE.</w:t>
      </w:r>
    </w:p>
    <w:p w14:paraId="2A91759C" w14:textId="77777777" w:rsidR="003754FE" w:rsidRDefault="003754FE" w:rsidP="003754FE">
      <w:pPr>
        <w:pStyle w:val="TextoNormal"/>
      </w:pPr>
    </w:p>
    <w:p w14:paraId="4DAD5BF7" w14:textId="77777777" w:rsidR="003754FE" w:rsidRDefault="003754FE" w:rsidP="003754FE">
      <w:pPr>
        <w:pStyle w:val="TextoNormal"/>
      </w:pPr>
      <w:r>
        <w:t>Se pone de manifiesto que los problemas e incertidumbres provocados por la aplicación del Real Decreto-ley 13/2018 superaron incluso las previsiones que razonablemente cupieran hacerse en el momento de su entrada en vigor, incluida la naturaleza indemnizatoria que el legislador estatal atribuyó a la prórroga de cuatro años de la eficacia para trayectos urbanos de la autorización de VTC cuya facturación se presumía que cubriría los daños y perjuicios sufridos por los titulares de aquellas por la expropiación legislativa sufrida. A ello se han de sumar los efectos derivados de la pandemia del covid-19 y el elevado índice de litigiosidad que ha mantenido y mantiene en cuestión buena parte de la regulación en la materia. Se adjuntan los documentos relativos a las reuniones del subgrupo de trabajo sobre los VTC, en el periodo comprendido entre los años 2018 y 2022, en las que se abordaron todas estas cuestiones entre el ministerio competente y las comunidades autónomas.</w:t>
      </w:r>
    </w:p>
    <w:p w14:paraId="42D08DCC" w14:textId="77777777" w:rsidR="003754FE" w:rsidRDefault="003754FE" w:rsidP="003754FE">
      <w:pPr>
        <w:pStyle w:val="TextoNormal"/>
      </w:pPr>
    </w:p>
    <w:p w14:paraId="7B4331FC" w14:textId="77777777" w:rsidR="003754FE" w:rsidRDefault="003754FE" w:rsidP="003754FE">
      <w:pPr>
        <w:pStyle w:val="TextoNormal"/>
      </w:pPr>
      <w:r>
        <w:t xml:space="preserve">Con apoyo en la doctrina constitucional sobre el presupuesto habilitante de la legislación de urgencia (STC 40/2021), el letrado de la Junta de Andalucía considera que la extraordinaria y urgente necesidad cumple sobradamente el canon de constitucionalidad como queda de manifiesto con una simple lectura de la exposición de motivos del decreto-ley autonómico, cuyo contenido expone de forma prolija. Basta imaginar las graves consecuencias que se hubieran producido en Andalucía, con un absoluto vacío regulatorio a partir del 29 de septiembre de 2022 y la gravísima perturbación de la actividad económica y del empleo. En cuanto al requisito de la conexión de sentido, pese a reprochar a los recurrentes que ni siquiera lo mencionan salvo de forma tangencial, afirma el letrado que dicha conexión se da y lo hace con el siguiente razonamiento: “no solo se establece al amparo de sus competencias exclusivas que las autorizaciones VTC de carácter nacional domiciliadas en Andalucía habilitarán para realizar transportes urbanos de viajeros dentro del territorio de la comunidad </w:t>
      </w:r>
      <w:r>
        <w:lastRenderedPageBreak/>
        <w:t>autónoma sino que se establecen otras medidas que pretenden paliar el desequilibrio entre estas autorizaciones VTC y las licencias de taxis estableciendo una moratoria, así como regular las condiciones de prestación del servicio conformando un régimen jurídico que asegure el equilibrio entre los sectores implicados, así como la necesaria seguridad jurídica asegurando que solo cabe acceder a los servicios VTC mediante precontratación, estableciendo los requisitos para conductores o conductoras, el régimen de horarios y descansos así como las especificaciones técnicas de los vehículos”.</w:t>
      </w:r>
    </w:p>
    <w:p w14:paraId="73F4501A" w14:textId="77777777" w:rsidR="003754FE" w:rsidRDefault="003754FE" w:rsidP="003754FE">
      <w:pPr>
        <w:pStyle w:val="TextoNormal"/>
      </w:pPr>
    </w:p>
    <w:p w14:paraId="3EBCE1DC" w14:textId="77777777" w:rsidR="003754FE" w:rsidRDefault="003754FE" w:rsidP="003754FE">
      <w:pPr>
        <w:pStyle w:val="TextoNormal"/>
      </w:pPr>
      <w:r>
        <w:t>c) En tercer lugar, se rechaza que el Decreto-ley 8/2022, vulnere la autonomía local constitucionalmente garantizada. El recurso desconoce, en palabras del letrado de la Junta de Andalucía, el concepto y alcance de la autonomía local en los términos configurados por la doctrina del Tribunal Constitucional (cita las SSTC 161/2019, de 12 de diciembre, y 240/2006, de 20 de julio).</w:t>
      </w:r>
    </w:p>
    <w:p w14:paraId="5D6F274B" w14:textId="77777777" w:rsidR="003754FE" w:rsidRDefault="003754FE" w:rsidP="003754FE">
      <w:pPr>
        <w:pStyle w:val="TextoNormal"/>
      </w:pPr>
    </w:p>
    <w:p w14:paraId="754CDFCA" w14:textId="77777777" w:rsidR="003754FE" w:rsidRDefault="003754FE" w:rsidP="003754FE">
      <w:pPr>
        <w:pStyle w:val="TextoNormal"/>
      </w:pPr>
      <w:r>
        <w:t>En el supuesto concreto del decreto-ley recurrido se atribuyen a los municipios competencias relevantes y reconocibles que en la percepción ciudadana aseguran que se les identifique, según la expresión antes utilizada, como una instancia de toma de decisiones autónoma e individualizada: pueden establecer el régimen de descanso obligatorio; controlar la adecuación al régimen jurídico aplicable de la actividad de los arrendamientos de VTC; y ostentan y ejercitan en exclusiva la potestad sancionadora frente a infracciones que por los titulares de autorizaciones de VTC puedan cometerse en trayectos internos dentro de su municipio. Resulta respetuoso tanto con las competencias genéricamente atribuidas a los municipios por la legislación autonómica en materia de transportes, como con las competencias específicamente municipales que pueden incidir en esta materia, como son la ordenación de la utilización del dominio público viario, gestión del tráfico urbano, protección del medio ambiente y prevención de la contaminación atmosférica, y la posibilidad de imponer restricciones al estacionamiento o a la circulación por razones de contaminación atmosférica.</w:t>
      </w:r>
    </w:p>
    <w:p w14:paraId="1FBBA3F7" w14:textId="77777777" w:rsidR="003754FE" w:rsidRDefault="003754FE" w:rsidP="003754FE">
      <w:pPr>
        <w:pStyle w:val="TextoNormal"/>
      </w:pPr>
    </w:p>
    <w:p w14:paraId="47E8BFFE" w14:textId="77777777" w:rsidR="003754FE" w:rsidRDefault="003754FE" w:rsidP="003754FE">
      <w:pPr>
        <w:pStyle w:val="TextoNormal"/>
      </w:pPr>
      <w:r>
        <w:t>Concluye el letrado de la Junta de Andalucía afirmando que en realidad los recurrentes discrepan del modelo adoptado porque no se ajusta a sus propias premisas ideológicas, lo que resulta contrario al pluralismo político que permite al legislador una diversidad de opciones.</w:t>
      </w:r>
    </w:p>
    <w:p w14:paraId="54EAFBC7" w14:textId="77777777" w:rsidR="003754FE" w:rsidRDefault="003754FE" w:rsidP="003754FE">
      <w:pPr>
        <w:pStyle w:val="TextoNormal"/>
      </w:pPr>
    </w:p>
    <w:p w14:paraId="40941644" w14:textId="77777777" w:rsidR="003754FE" w:rsidRDefault="003754FE" w:rsidP="003754FE">
      <w:pPr>
        <w:pStyle w:val="TextoNormal"/>
      </w:pPr>
      <w:r>
        <w:t>d) Igualmente, en cuarto lugar, se descarta la vulneración de la autonomía municipal por la falta de participación municipal en la elaboración de un decreto-ley, considerando la especial naturaleza de esta figura, al omitir el informe primero del Consejo Andaluz de Gobiernos Locales y después del Consejo Andaluz de Concertación Local.</w:t>
      </w:r>
    </w:p>
    <w:p w14:paraId="4EB682BB" w14:textId="77777777" w:rsidR="003754FE" w:rsidRDefault="003754FE" w:rsidP="003754FE">
      <w:pPr>
        <w:pStyle w:val="TextoNormal"/>
      </w:pPr>
    </w:p>
    <w:p w14:paraId="54E77543" w14:textId="77777777" w:rsidR="003754FE" w:rsidRDefault="003754FE" w:rsidP="003754FE">
      <w:pPr>
        <w:pStyle w:val="TextoNormal"/>
      </w:pPr>
      <w:r>
        <w:t>Señala el letrado de la Junta de Andalucía que la queja revela un desconocimiento profundo por parte de los recurrentes tanto de la naturaleza propia de los decretos-leyes como de la inexistencia en el bloque de la constitucionalidad de aplicación de la exigencia de someter la tramitación de un decreto-ley a los referidos trámites. Y añade que ni siquiera de la legislación ordinaria (que como en este caso bien dicen los recurrentes no forma parte del bloque de la constitucionalidad ni es por tanto canon de constitucionalidad) resulta preceptiva la consulta a estos órganos con carácter previo al dictado de un decreto-ley. Las normas reguladoras de estos órganos hablan de anteproyectos de leyes, categoría evidentemente ajena a la tramitación de un decreto-ley.</w:t>
      </w:r>
    </w:p>
    <w:p w14:paraId="2F247E34" w14:textId="77777777" w:rsidR="003754FE" w:rsidRDefault="003754FE" w:rsidP="003754FE">
      <w:pPr>
        <w:pStyle w:val="TextoNormal"/>
      </w:pPr>
    </w:p>
    <w:p w14:paraId="51622673" w14:textId="77777777" w:rsidR="003754FE" w:rsidRDefault="003754FE" w:rsidP="003754FE">
      <w:pPr>
        <w:pStyle w:val="TextoNormal"/>
      </w:pPr>
      <w:r>
        <w:t xml:space="preserve">e) Por último, se sostiene que el apartado tercero del art. 18 </w:t>
      </w:r>
      <w:r w:rsidRPr="003754FE">
        <w:rPr>
          <w:i/>
        </w:rPr>
        <w:t>bis</w:t>
      </w:r>
      <w:r>
        <w:t xml:space="preserve"> del Decreto-ley 8/2022, no vulnera el art. 149.1.21 y 28 CE, por omisión del previo control autorizatorio.</w:t>
      </w:r>
    </w:p>
    <w:p w14:paraId="25395473" w14:textId="77777777" w:rsidR="003754FE" w:rsidRDefault="003754FE" w:rsidP="003754FE">
      <w:pPr>
        <w:pStyle w:val="TextoNormal"/>
      </w:pPr>
    </w:p>
    <w:p w14:paraId="56CBA9F4" w14:textId="77777777" w:rsidR="003754FE" w:rsidRDefault="003754FE" w:rsidP="003754FE">
      <w:pPr>
        <w:pStyle w:val="TextoNormal"/>
      </w:pPr>
      <w:r>
        <w:t>El letrado de la Junta de Andalucía señala que la aseveración de los recurrentes no se ajusta a la realidad e intenta trasladar algo que sencillamente no es cierto, a saber, que la disposición transitoria única del Real Decreto-ley 13/2018, supuso la revocación de las autorizaciones VTC de carácter nacional y que estas simplemente desaparecieron de la realidad jurídica o pasaron al limbo. Las autorizaciones VTC de carácter nacional conservaron plena vigencia durante el plazo de cuatro años tanto para servicios urbanos como para servicios interurbanos e incluso transcurrido dicho plazo conservaban y conservan virtualidad para estos últimos.</w:t>
      </w:r>
    </w:p>
    <w:p w14:paraId="69C93B5F" w14:textId="77777777" w:rsidR="003754FE" w:rsidRDefault="003754FE" w:rsidP="003754FE">
      <w:pPr>
        <w:pStyle w:val="TextoNormal"/>
      </w:pPr>
    </w:p>
    <w:p w14:paraId="0E036178" w14:textId="77777777" w:rsidR="003754FE" w:rsidRDefault="003754FE" w:rsidP="003754FE">
      <w:pPr>
        <w:pStyle w:val="TextoNormal"/>
      </w:pPr>
      <w:r>
        <w:t>La Comunidad Autónoma de Andalucía optó por reconocer las autorizaciones a los VTC de carácter nacional ya existentes, que nunca habían dejado de estar en vigor, extendiendo su virtualidad a la prestación de servicios de ámbito urbano dentro del territorio autonómico. Por tanto, el Decreto-ley 8/2022, cumple con la exigencia derivada de la normativa estatal asegurando que solo en virtud de una autorización administrativa previa sea posible la prestación del servicio de arrendamiento de VTC. Y en cualquier caso, sostiene el letrado que el precepto cuestionado ha de reputarse constitucionalmente legítimo tanto al amparo de las competencias exclusivas de la Comunidad Autónoma de Andalucía en materia de transporte terrestre intracomunitario, que si le habilitan para exigir una autorización de VTC autonómica con mayor razón le habilitan para atribuir alcance autonómico respecto al ámbito urbano a autorizaciones de VTC nacionales preexistentes, como en virtud de las competencias delegadas por el Estado en virtud de la habilitación contenida en la disposición adicional primera del Real Decreto-ley 13/2018.</w:t>
      </w:r>
    </w:p>
    <w:p w14:paraId="608A6AAF" w14:textId="77777777" w:rsidR="003754FE" w:rsidRDefault="003754FE" w:rsidP="003754FE">
      <w:pPr>
        <w:pStyle w:val="TextoNormal"/>
      </w:pPr>
    </w:p>
    <w:p w14:paraId="402C9D38" w14:textId="018A2282" w:rsidR="003754FE" w:rsidRDefault="003754FE" w:rsidP="003754FE">
      <w:pPr>
        <w:pStyle w:val="TextoNormal"/>
      </w:pPr>
      <w:r>
        <w:t xml:space="preserve">En cuanto a la eventual vulneración del art. 84.1 LPAP, además de incurrir nuevamente en una falta de la carga argumentativa, recuerda el letrado de la Junta de Andalucía que el decreto-ley autonómico se dicta en el ejercicio de las competencias en materia de transporte terrestre que ostenta la comunidad autónoma y por tanto no tiene por qué regular ningún extremo relativo a si el uso que realizan los VTC del dominio público viario requiere un título habilitante </w:t>
      </w:r>
      <w:r w:rsidRPr="003754FE">
        <w:rPr>
          <w:i/>
        </w:rPr>
        <w:t>ad hoc</w:t>
      </w:r>
      <w:r>
        <w:t xml:space="preserve"> o no. La resolución de esta cuestión exige estar a la normativa patrimonial de aplicación y a lo que legítimamente determinen los titulares del referido dominio público viario.</w:t>
      </w:r>
    </w:p>
    <w:p w14:paraId="4C0FE97E" w14:textId="77777777" w:rsidR="003754FE" w:rsidRDefault="003754FE" w:rsidP="003754FE">
      <w:pPr>
        <w:pStyle w:val="TextoNormal"/>
      </w:pPr>
    </w:p>
    <w:p w14:paraId="7BE2F24E" w14:textId="4C76851C" w:rsidR="003754FE" w:rsidRDefault="003754FE" w:rsidP="003754FE">
      <w:pPr>
        <w:pStyle w:val="TextoNormal"/>
      </w:pPr>
      <w:r w:rsidRPr="003754FE">
        <w:rPr>
          <w:rStyle w:val="NumeroAFNegritaCaracter"/>
        </w:rPr>
        <w:t>10</w:t>
      </w:r>
      <w:r>
        <w:t>. Por providencia de 10 de septiembre de 2024 se señaló ese mismo día para la deliberación y votación de la presente sentencia.</w:t>
      </w:r>
    </w:p>
    <w:p w14:paraId="3B5A585E" w14:textId="77777777" w:rsidR="003754FE" w:rsidRDefault="003754FE" w:rsidP="003754FE">
      <w:pPr>
        <w:pStyle w:val="TextoNormal"/>
      </w:pPr>
    </w:p>
    <w:p w14:paraId="09E1D675" w14:textId="77777777" w:rsidR="003754FE" w:rsidRDefault="003754FE" w:rsidP="003754FE">
      <w:pPr>
        <w:pStyle w:val="TextoNormalNegritaCentrado"/>
        <w:keepNext/>
      </w:pPr>
      <w:r>
        <w:t>II. Fundamentos jurídicos</w:t>
      </w:r>
    </w:p>
    <w:p w14:paraId="6731B408" w14:textId="78D476E3" w:rsidR="003754FE" w:rsidRDefault="003754FE" w:rsidP="003754FE">
      <w:pPr>
        <w:pStyle w:val="TextoNormalNegritaCentrado"/>
        <w:keepNext/>
      </w:pPr>
    </w:p>
    <w:p w14:paraId="53ADC1C4" w14:textId="77777777" w:rsidR="003754FE" w:rsidRDefault="003754FE" w:rsidP="003754FE">
      <w:pPr>
        <w:pStyle w:val="TextoNormal"/>
      </w:pPr>
      <w:r w:rsidRPr="003754FE">
        <w:rPr>
          <w:rStyle w:val="NumeroAFNegritaCaracter"/>
        </w:rPr>
        <w:t>1</w:t>
      </w:r>
      <w:r>
        <w:t xml:space="preserve">. </w:t>
      </w:r>
      <w:r w:rsidRPr="003754FE">
        <w:rPr>
          <w:i/>
        </w:rPr>
        <w:t>Objeto del recurso y posiciones de las partes</w:t>
      </w:r>
    </w:p>
    <w:p w14:paraId="3BA748EC" w14:textId="77777777" w:rsidR="003754FE" w:rsidRDefault="003754FE" w:rsidP="003754FE">
      <w:pPr>
        <w:pStyle w:val="TextoNormal"/>
      </w:pPr>
    </w:p>
    <w:p w14:paraId="0DCF1ED2" w14:textId="77777777" w:rsidR="003754FE" w:rsidRDefault="003754FE" w:rsidP="003754FE">
      <w:pPr>
        <w:pStyle w:val="TextoNormal"/>
      </w:pPr>
      <w:r>
        <w:t xml:space="preserve">El recurso de inconstitucionalidad tiene por objeto el Decreto-ley de la Junta de Andalucía 8/2022, de 27 de septiembre, por el que se modifica la Ley 2/2003, de 12 de mayo, de transportes urbanos y metropolitanos de viajeros en Andalucía. La demanda solicita que se declare la inconstitucionalidad y consecuente nulidad de la norma impugnada en su </w:t>
      </w:r>
      <w:r>
        <w:lastRenderedPageBreak/>
        <w:t xml:space="preserve">integridad y con carácter subsidiario, el art. 18 </w:t>
      </w:r>
      <w:r w:rsidRPr="003754FE">
        <w:rPr>
          <w:i/>
        </w:rPr>
        <w:t>bis</w:t>
      </w:r>
      <w:r>
        <w:t>.3 de la Ley 2/2003, de 12 de mayo, de ordenación de los transportes urbanos y metropolitanos de viajeros en Andalucía, en la redacción dada por el artículo único, apartado segundo, del Decreto-ley 8/2022.</w:t>
      </w:r>
    </w:p>
    <w:p w14:paraId="2BCF58B4" w14:textId="77777777" w:rsidR="003754FE" w:rsidRDefault="003754FE" w:rsidP="003754FE">
      <w:pPr>
        <w:pStyle w:val="TextoNormal"/>
      </w:pPr>
    </w:p>
    <w:p w14:paraId="0E680829" w14:textId="6B042191" w:rsidR="003754FE" w:rsidRDefault="003754FE" w:rsidP="003754FE">
      <w:pPr>
        <w:pStyle w:val="TextoNormal"/>
      </w:pPr>
      <w:r>
        <w:t xml:space="preserve">Como se ha dejado constancia de forma pormenorizada en los antecedentes de esta sentencia, los recurrentes reprochan a la norma impugnada, por un lado, el incumplimiento del presupuesto habilitante de la potestad legislativa de urgencia que viene establecido en el art. 86.1 CE y, para la Comunidad Autónoma de Andalucía, en el art. 110 EAAnd, aprobado mediante Ley Orgánica 2/2007, de 19 de marzo, de reforma del Estatuto de Autonomía para Andalucía, y, por otro lado, la vulneración de la autonomía local (arts. 137, 140 y 141 CE), de las competencias estatales </w:t>
      </w:r>
      <w:r w:rsidRPr="003754FE">
        <w:rPr>
          <w:i/>
        </w:rPr>
        <w:t>ex</w:t>
      </w:r>
      <w:r>
        <w:t xml:space="preserve"> art. 149.1.18 y 21 CE, así como del principio de igualdad (art. 14 CE). Por su parte, tanto la representación procesal del Parlamento de Andalucía, como la del Consejo de Gobierno de Andalucía, interesan la desestimación íntegra del recurso por los motivos que han quedado expuestos en los antecedentes de esta sentencia.</w:t>
      </w:r>
    </w:p>
    <w:p w14:paraId="4BCA437F" w14:textId="77777777" w:rsidR="003754FE" w:rsidRDefault="003754FE" w:rsidP="003754FE">
      <w:pPr>
        <w:pStyle w:val="TextoNormal"/>
      </w:pPr>
    </w:p>
    <w:p w14:paraId="3FF585B3" w14:textId="77777777" w:rsidR="003754FE" w:rsidRDefault="003754FE" w:rsidP="003754FE">
      <w:pPr>
        <w:pStyle w:val="TextoNormal"/>
      </w:pPr>
      <w:r w:rsidRPr="003754FE">
        <w:rPr>
          <w:rStyle w:val="NumeroAFNegritaCaracter"/>
        </w:rPr>
        <w:t>2</w:t>
      </w:r>
      <w:r>
        <w:t xml:space="preserve">. </w:t>
      </w:r>
      <w:r w:rsidRPr="003754FE">
        <w:rPr>
          <w:i/>
        </w:rPr>
        <w:t>Objeto y contenido del decreto-ley impugnado</w:t>
      </w:r>
    </w:p>
    <w:p w14:paraId="13077476" w14:textId="77777777" w:rsidR="003754FE" w:rsidRDefault="003754FE" w:rsidP="003754FE">
      <w:pPr>
        <w:pStyle w:val="TextoNormal"/>
      </w:pPr>
    </w:p>
    <w:p w14:paraId="7D95AA0B" w14:textId="77777777" w:rsidR="003754FE" w:rsidRDefault="003754FE" w:rsidP="003754FE">
      <w:pPr>
        <w:pStyle w:val="TextoNormal"/>
      </w:pPr>
      <w:r>
        <w:t xml:space="preserve">El Decreto-ley 8/2022, modifica la Ley 2/2003, con el objeto de dar cumplimiento a la previsión normativa a favor de las comunidades autónomas contenida en el Real Decreto-ley 13/2018, en materia de arrendamiento de VTC, fijando un marco normativo homogéneo aplicable a las autorizaciones de arrendamiento de vehículo de turismo con conductor en Andalucía que garantice dicha modalidad de transporte de viajeros en el ámbito urbano, en condiciones óptimas y de calidad y, sobre todo, en armonía con el servicio del taxi, con el que compite directamente en el mismo mercado. El decreto-ley se estructura en un artículo único y dos disposiciones finales. Mediante el artículo único se modifica el título II de la citada Ley 2/2003, que pasa a rubricarse “Del transporte de viajeros en vehículos de hasta nueve plazas, incluido el conductor” y, además, lo estructura en dos capítulos como consecuencia de introducir </w:t>
      </w:r>
      <w:r w:rsidRPr="003754FE">
        <w:rPr>
          <w:i/>
        </w:rPr>
        <w:t>ex novo</w:t>
      </w:r>
      <w:r>
        <w:t xml:space="preserve"> un capítulo específico con la regulación del transporte de viajeros mediante el arrendamiento de VTC. El capítulo I contiene las disposiciones relativas a la actividad del taxi (arts. 14 a 18) y el capítulo II se refiere al servicio de arrendamiento de VTC (arts. 18 </w:t>
      </w:r>
      <w:r w:rsidRPr="003754FE">
        <w:rPr>
          <w:i/>
        </w:rPr>
        <w:t>bis</w:t>
      </w:r>
      <w:r>
        <w:t xml:space="preserve"> a 18 </w:t>
      </w:r>
      <w:r w:rsidRPr="003754FE">
        <w:rPr>
          <w:i/>
        </w:rPr>
        <w:t>octies</w:t>
      </w:r>
      <w:r>
        <w:t>).</w:t>
      </w:r>
    </w:p>
    <w:p w14:paraId="0CDE0962" w14:textId="77777777" w:rsidR="003754FE" w:rsidRDefault="003754FE" w:rsidP="003754FE">
      <w:pPr>
        <w:pStyle w:val="TextoNormal"/>
      </w:pPr>
    </w:p>
    <w:p w14:paraId="35BF7A1E" w14:textId="77777777" w:rsidR="003754FE" w:rsidRDefault="003754FE" w:rsidP="003754FE">
      <w:pPr>
        <w:pStyle w:val="TextoNormal"/>
      </w:pPr>
      <w:r>
        <w:t xml:space="preserve">En primer lugar, el apartado segundo del artículo único del Decreto-ley 8/2022 añade un art. 18 </w:t>
      </w:r>
      <w:r w:rsidRPr="003754FE">
        <w:rPr>
          <w:i/>
        </w:rPr>
        <w:t>bis</w:t>
      </w:r>
      <w:r>
        <w:t xml:space="preserve"> que regula el título habilitante —autorización administrativa autonómica— para la prestación del servicio de VTC (art. 18 </w:t>
      </w:r>
      <w:r w:rsidRPr="003754FE">
        <w:rPr>
          <w:i/>
        </w:rPr>
        <w:t>bis</w:t>
      </w:r>
      <w:r>
        <w:t xml:space="preserve">.2). En coherencia con la regulación que ha precedido al Real Decreto-ley 13/2018 y para asegurar la protección de los derechos de los consumidores y usuarios, se permite a los vehículos adscritos a autorizaciones de VTC legalmente otorgadas en Andalucía seguir desarrollando su actividad en el ámbito urbano al vencimiento del período establecido en la disposición transitoria única del Real Decreto-ley 13/2018 (art. 18 </w:t>
      </w:r>
      <w:r w:rsidRPr="003754FE">
        <w:rPr>
          <w:i/>
        </w:rPr>
        <w:t>bis</w:t>
      </w:r>
      <w:r>
        <w:t xml:space="preserve">.3). El otorgamiento de nuevas autorizaciones de VTC se limita a los efectos de mantener un equilibrio con las del transporte de viajeros en vehículos taxis en una proporción de uno a 30 (art. 18 </w:t>
      </w:r>
      <w:r w:rsidRPr="003754FE">
        <w:rPr>
          <w:i/>
        </w:rPr>
        <w:t>bis</w:t>
      </w:r>
      <w:r>
        <w:t>.4).</w:t>
      </w:r>
    </w:p>
    <w:p w14:paraId="1770C30C" w14:textId="77777777" w:rsidR="003754FE" w:rsidRDefault="003754FE" w:rsidP="003754FE">
      <w:pPr>
        <w:pStyle w:val="TextoNormal"/>
      </w:pPr>
    </w:p>
    <w:p w14:paraId="48E1996B" w14:textId="77777777" w:rsidR="003754FE" w:rsidRDefault="003754FE" w:rsidP="003754FE">
      <w:pPr>
        <w:pStyle w:val="TextoNormal"/>
      </w:pPr>
      <w:r>
        <w:t xml:space="preserve">En segundo lugar, los apartados tercero a décimo del artículo único del Decreto-ley 8/2022, introducen las reglas que afectan a las condiciones de explotación para la prestación de los servicios de VTC, urbanos e interurbanos, que se desarrollen íntegramente en la Comunidad Autónoma de Andalucía con el objeto de garantizar una competencia equilibrada entre la actividad de VTC y la actividad del taxi y hacer posible con ello el mantenimiento </w:t>
      </w:r>
      <w:r>
        <w:lastRenderedPageBreak/>
        <w:t xml:space="preserve">del servicio del taxi como un servicio de interés general sometido a determinadas exigencias de calidad y seguridad. Así, el art. 18 </w:t>
      </w:r>
      <w:r w:rsidRPr="003754FE">
        <w:rPr>
          <w:i/>
        </w:rPr>
        <w:t>ter</w:t>
      </w:r>
      <w:r>
        <w:t xml:space="preserve"> se refiere a las condiciones de prestación del servicio; el art. 18 </w:t>
      </w:r>
      <w:r w:rsidRPr="003754FE">
        <w:rPr>
          <w:i/>
        </w:rPr>
        <w:t>quater</w:t>
      </w:r>
      <w:r>
        <w:t xml:space="preserve">, al registro de comunicaciones de los servicios de arrendamiento de VTC; el art. 18 </w:t>
      </w:r>
      <w:r w:rsidRPr="003754FE">
        <w:rPr>
          <w:i/>
        </w:rPr>
        <w:t>quinquies</w:t>
      </w:r>
      <w:r>
        <w:t xml:space="preserve"> a los requisitos de los conductores o conductoras; el art. 18 </w:t>
      </w:r>
      <w:r w:rsidRPr="003754FE">
        <w:rPr>
          <w:i/>
        </w:rPr>
        <w:t>sexies</w:t>
      </w:r>
      <w:r>
        <w:t xml:space="preserve"> al régimen de horarios y descansos; el art. 18 </w:t>
      </w:r>
      <w:r w:rsidRPr="003754FE">
        <w:rPr>
          <w:i/>
        </w:rPr>
        <w:t>septies</w:t>
      </w:r>
      <w:r>
        <w:t xml:space="preserve"> se refiere a las especificaciones técnicas de los vehículos; y el art. 18 </w:t>
      </w:r>
      <w:r w:rsidRPr="003754FE">
        <w:rPr>
          <w:i/>
        </w:rPr>
        <w:t>octies</w:t>
      </w:r>
      <w:r>
        <w:t xml:space="preserve"> remite al régimen sancionador previsto en el título V LOTT y sus normas de desarrollo. En relación con el régimen sancionador, se modifica el art. 44.1 de la Ley 2/2003, añadiendo una letra d), para combatir el intrusismo, sancionando el transporte ilegal con multa de 4001 a 6000 €; y se atribuye a los ayuntamientos las funciones de inspección y sanción de los servicios urbanos de trasporte público de viajeros que se lleven a cabo íntegramente dentro de sus respectivos términos municipales (art. 48 de la Ley 2/2003).</w:t>
      </w:r>
    </w:p>
    <w:p w14:paraId="2F05B33C" w14:textId="77777777" w:rsidR="003754FE" w:rsidRDefault="003754FE" w:rsidP="003754FE">
      <w:pPr>
        <w:pStyle w:val="TextoNormal"/>
      </w:pPr>
    </w:p>
    <w:p w14:paraId="02E6BEB6" w14:textId="77777777" w:rsidR="003754FE" w:rsidRDefault="003754FE" w:rsidP="003754FE">
      <w:pPr>
        <w:pStyle w:val="TextoNormal"/>
      </w:pPr>
      <w:r>
        <w:t>Conforme a la normativa de defensa de los consumidores y usuarios, se modifica la disposición adicional séptima relativa a los derechos y obligaciones de los usuarios y se remite a un desarrollo reglamentario posterior la regulación de las obligaciones y responsabilidades que asumen las plataformas intermediarias en materia de trasporte de viajeros (apartado undécimo del artículo único del Decreto-ley 8/2022). Y, por último, se añade una disposición transitoria sexta donde se establece un plazo máximo de dos años para obtener el certificado de capacitación profesional por los conductores de VTC a contar desde la entrada en vigor de la disposición reglamentaria que lo desarrolle (apartado duodécimo del artículo único del Decreto-ley 8/2022).</w:t>
      </w:r>
    </w:p>
    <w:p w14:paraId="4A4FA48F" w14:textId="77777777" w:rsidR="003754FE" w:rsidRDefault="003754FE" w:rsidP="003754FE">
      <w:pPr>
        <w:pStyle w:val="TextoNormal"/>
      </w:pPr>
    </w:p>
    <w:p w14:paraId="05F3A3A8" w14:textId="0C887449" w:rsidR="003754FE" w:rsidRDefault="003754FE" w:rsidP="003754FE">
      <w:pPr>
        <w:pStyle w:val="TextoNormal"/>
      </w:pPr>
      <w:r>
        <w:t>Las disposiciones finales establecen el plazo para el desarrollo reglamentario y habilitan para ello a la persona titular de la consejería competente en materia de transportes (primera), así como el plazo para la entrada en vigor del decreto-ley (segunda).</w:t>
      </w:r>
    </w:p>
    <w:p w14:paraId="14A2E03E" w14:textId="77777777" w:rsidR="003754FE" w:rsidRDefault="003754FE" w:rsidP="003754FE">
      <w:pPr>
        <w:pStyle w:val="TextoNormal"/>
      </w:pPr>
    </w:p>
    <w:p w14:paraId="18A13D70" w14:textId="77777777" w:rsidR="003754FE" w:rsidRDefault="003754FE" w:rsidP="003754FE">
      <w:pPr>
        <w:pStyle w:val="TextoNormal"/>
      </w:pPr>
      <w:r w:rsidRPr="003754FE">
        <w:rPr>
          <w:rStyle w:val="NumeroAFNegritaCaracter"/>
        </w:rPr>
        <w:t>3</w:t>
      </w:r>
      <w:r>
        <w:t xml:space="preserve">. </w:t>
      </w:r>
      <w:r w:rsidRPr="003754FE">
        <w:rPr>
          <w:i/>
        </w:rPr>
        <w:t>Consideraciones previas: delimitación del objeto y sistemática</w:t>
      </w:r>
    </w:p>
    <w:p w14:paraId="3A8DBA04" w14:textId="77777777" w:rsidR="003754FE" w:rsidRDefault="003754FE" w:rsidP="003754FE">
      <w:pPr>
        <w:pStyle w:val="TextoNormal"/>
      </w:pPr>
    </w:p>
    <w:p w14:paraId="11F0E123" w14:textId="77777777" w:rsidR="003754FE" w:rsidRDefault="003754FE" w:rsidP="003754FE">
      <w:pPr>
        <w:pStyle w:val="TextoNormal"/>
      </w:pPr>
      <w:r>
        <w:t>Sintetizadas las posiciones de las partes y expuesto el objeto y contenido de la norma impugnada, es preciso, antes de abordar las cuestiones de fondo, realizar unas consideraciones previas sobre (i) la incidencia en el presente recurso de la STC 88/2024, de 5 de junio, por la que se resuelve el recurso de inconstitucionalidad interpuesto, por los mismos recurrentes, contra la Ley de la Asamblea de Madrid 5/2022, de 9 de junio, por la que se modifica la Ley 20/1998, de 27 de noviembre, de ordenación y coordinación de los transportes urbanos de la Comunidad de Madrid (en adelante, Ley 5/2022); (ii) los óbices procesales planteados por la representación procesal del Parlamento andaluz y del Consejo de Gobierno de Andalucía; y (iii) el orden de examen de los motivos de impugnación alegados por los recurrentes.</w:t>
      </w:r>
    </w:p>
    <w:p w14:paraId="66C850B4" w14:textId="77777777" w:rsidR="003754FE" w:rsidRDefault="003754FE" w:rsidP="003754FE">
      <w:pPr>
        <w:pStyle w:val="TextoNormal"/>
      </w:pPr>
    </w:p>
    <w:p w14:paraId="296F7203" w14:textId="77777777" w:rsidR="003754FE" w:rsidRDefault="003754FE" w:rsidP="003754FE">
      <w:pPr>
        <w:pStyle w:val="TextoNormal"/>
      </w:pPr>
      <w:r>
        <w:t xml:space="preserve">A) </w:t>
      </w:r>
      <w:r w:rsidRPr="003754FE">
        <w:rPr>
          <w:i/>
        </w:rPr>
        <w:t>Incidencia de la STC 88/2024, de 5 de junio, en el presente proceso</w:t>
      </w:r>
    </w:p>
    <w:p w14:paraId="41D2E9DB" w14:textId="77777777" w:rsidR="003754FE" w:rsidRDefault="003754FE" w:rsidP="003754FE">
      <w:pPr>
        <w:pStyle w:val="TextoNormal"/>
      </w:pPr>
    </w:p>
    <w:p w14:paraId="70DB051C" w14:textId="77777777" w:rsidR="003754FE" w:rsidRDefault="003754FE" w:rsidP="003754FE">
      <w:pPr>
        <w:pStyle w:val="TextoNormal"/>
      </w:pPr>
      <w:r>
        <w:t xml:space="preserve">La STC 88/2024 desestimó íntegramente el recurso de inconstitucionalidad, planteado por los mismos recurrentes de este proceso, contra la Ley de la Asamblea de Madrid 5/2022. El recurso se dirigía subsidiariamente contra algunos preceptos; en lo que aquí interesa, los que se refieren al (i) título habilitante para la prestación de esta modalidad de transporte de viajeros por carretera —autorización administrativa autonómica— [art. 14 </w:t>
      </w:r>
      <w:r w:rsidRPr="003754FE">
        <w:rPr>
          <w:i/>
        </w:rPr>
        <w:t>ter</w:t>
      </w:r>
      <w:r>
        <w:t xml:space="preserve">, apartados primero y segundo de la Ley 20/1998, de 27 de noviembre, de ordenación y coordinación </w:t>
      </w:r>
      <w:r>
        <w:lastRenderedPageBreak/>
        <w:t xml:space="preserve">de los transportes urbanos de la Comunidad de Madrid (en adelante, Ley 20/1998), en la redacción dada por el apdo. cuarto del artículo único de la Ley 5/2022]; y (ii) mantenimiento de la habilitación para prestar el servicio por parte de los titulares de autorizaciones de VTC de carácter nacional ya existentes en el momento de entrada en vigor de la nueva regulación (disposición adicional cuarta de la Ley 20/1998, en la redacción dada por el apartado séptimo del artículo único de la Ley 5/2022). El contenido de estos preceptos coincide sustancialmente con el del art. 18 </w:t>
      </w:r>
      <w:r w:rsidRPr="003754FE">
        <w:rPr>
          <w:i/>
        </w:rPr>
        <w:t>bis</w:t>
      </w:r>
      <w:r>
        <w:t>.3 de la Ley 2/2003, en la redacción dada por el apartado segundo del artículo único del Decreto-ley 8/2022, impugnado en el presente proceso.</w:t>
      </w:r>
    </w:p>
    <w:p w14:paraId="03A87714" w14:textId="77777777" w:rsidR="003754FE" w:rsidRDefault="003754FE" w:rsidP="003754FE">
      <w:pPr>
        <w:pStyle w:val="TextoNormal"/>
      </w:pPr>
    </w:p>
    <w:p w14:paraId="3D657B8E" w14:textId="77777777" w:rsidR="003754FE" w:rsidRDefault="003754FE" w:rsidP="003754FE">
      <w:pPr>
        <w:pStyle w:val="TextoNormal"/>
      </w:pPr>
      <w:r>
        <w:t>Los motivos de impugnación del recurso resuelto por la STC 88/2024, en un sentido desestimatorio, son, también, sustancialmente iguales, si bien difieren en la argumentación que sirve de fundamento a los mismos: vulneración de las competencias estatales en materia de transportes terrestres (art. 149.1.21 CE), de la autonomía local (arts. 137 y 140 CE), así como del principio de igualdad (art. 14 CE).</w:t>
      </w:r>
    </w:p>
    <w:p w14:paraId="6DA92E79" w14:textId="77777777" w:rsidR="003754FE" w:rsidRDefault="003754FE" w:rsidP="003754FE">
      <w:pPr>
        <w:pStyle w:val="TextoNormal"/>
      </w:pPr>
    </w:p>
    <w:p w14:paraId="7B78C5D8" w14:textId="77777777" w:rsidR="003754FE" w:rsidRDefault="003754FE" w:rsidP="003754FE">
      <w:pPr>
        <w:pStyle w:val="TextoNormal"/>
      </w:pPr>
      <w:r>
        <w:t>Es, por ello, que la doctrina establecida en la STC 88/2024 será de aplicación a la resolución del presente recurso, en los términos y con el alcance que indicaremos más adelante. Asimismo, para evitar incurrir en reiteraciones innecesarias, nos remitimos directamente a lo dicho en la citada STC 88/2024 en relación con la regulación del arrendamiento de VTC y su evolución en los últimos años (FJ 4) y con el reparto competencial en materia de transportes terrestres [FJ 5 C)].</w:t>
      </w:r>
    </w:p>
    <w:p w14:paraId="4EBF354D" w14:textId="77777777" w:rsidR="003754FE" w:rsidRDefault="003754FE" w:rsidP="003754FE">
      <w:pPr>
        <w:pStyle w:val="TextoNormal"/>
      </w:pPr>
    </w:p>
    <w:p w14:paraId="1A073C3B" w14:textId="77777777" w:rsidR="003754FE" w:rsidRDefault="003754FE" w:rsidP="003754FE">
      <w:pPr>
        <w:pStyle w:val="TextoNormal"/>
      </w:pPr>
      <w:r>
        <w:t xml:space="preserve">B) </w:t>
      </w:r>
      <w:r w:rsidRPr="003754FE">
        <w:rPr>
          <w:i/>
        </w:rPr>
        <w:t>Óbices procesales: estimación parcial</w:t>
      </w:r>
    </w:p>
    <w:p w14:paraId="3028526E" w14:textId="77777777" w:rsidR="003754FE" w:rsidRDefault="003754FE" w:rsidP="003754FE">
      <w:pPr>
        <w:pStyle w:val="TextoNormal"/>
      </w:pPr>
    </w:p>
    <w:p w14:paraId="2D817802" w14:textId="77777777" w:rsidR="003754FE" w:rsidRDefault="003754FE" w:rsidP="003754FE">
      <w:pPr>
        <w:pStyle w:val="TextoNormal"/>
      </w:pPr>
      <w:r>
        <w:t>a) La letrada del Parlamento de Andalucía, tal y como se ha dejado constancia en los antecedentes de esta sentencia, aduce, en relación con la vulneración de la autonomía local garantizada en los arts. 137, 140 y 141 CE, por ausencia de atribución a los municipios de competencias propias y de participación en el ejercicio de las ajenas, que el recurso de inconstitucionalidad debe ser desestimado porque los recurrentes lo formulan de forma genérica, sin especificar ni argumentar los concretos vicios de inconstitucionalidad en los que incurre cada uno de los preceptos que integran el Decreto-ley 8/2022.</w:t>
      </w:r>
    </w:p>
    <w:p w14:paraId="35FB69D4" w14:textId="77777777" w:rsidR="003754FE" w:rsidRDefault="003754FE" w:rsidP="003754FE">
      <w:pPr>
        <w:pStyle w:val="TextoNormal"/>
      </w:pPr>
    </w:p>
    <w:p w14:paraId="73A67EC1" w14:textId="77777777" w:rsidR="003754FE" w:rsidRDefault="003754FE" w:rsidP="003754FE">
      <w:pPr>
        <w:pStyle w:val="TextoNormal"/>
      </w:pPr>
      <w:r>
        <w:t>En relación con las consecuencias que se pueden derivar del incumplimiento de la carga argumental de los recurrentes, conviene traer a colación nuestra consolidada doctrina, recordada recientemente en la STC 68/2024, de 23 de abril, FJ 3, que afirma que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36/1994, de 10 de febrero, FJ 1; 43/1996, de 14 de marzo, FJ 3, y 61/1997, de 20 de marzo, FJ 13)”. Por esta razón, el Tribunal no podrá pronunciarse sobre preceptos respecto de los que “los recurrentes no han hecho, más allá de su mera invocación, ninguna alegación, ni han desarrollado un mínimo razonamiento que cuestione su constitucionalidad” [en el mismo sentido, STC 25/2024, de 13 de febrero, FJ 2 c)].</w:t>
      </w:r>
    </w:p>
    <w:p w14:paraId="690CEDEF" w14:textId="77777777" w:rsidR="003754FE" w:rsidRDefault="003754FE" w:rsidP="003754FE">
      <w:pPr>
        <w:pStyle w:val="TextoNormal"/>
      </w:pPr>
    </w:p>
    <w:p w14:paraId="52364DF0" w14:textId="77777777" w:rsidR="003754FE" w:rsidRDefault="003754FE" w:rsidP="003754FE">
      <w:pPr>
        <w:pStyle w:val="TextoNormal"/>
      </w:pPr>
      <w:r>
        <w:lastRenderedPageBreak/>
        <w:t xml:space="preserve">En este caso, los recurrentes dirigen sus reproches con carácter general al conjunto del Decreto-ley 8/2022. Si bien formalmente impugnan todo el decreto-ley, los argumentos que esgrimen y en los que sustentan la vulneración de la autonomía local, en este caso, se dirigen al modelo centralizado de gestión de la prestación de los servicios en vehículos de arrendamiento con conductor por oposición a los servicios en vehículos taxis; modelo que descansa en atribuir a la comunidad autónoma el otorgamiento del título habilitante, según el art. 18 </w:t>
      </w:r>
      <w:r w:rsidRPr="003754FE">
        <w:rPr>
          <w:i/>
        </w:rPr>
        <w:t>bis</w:t>
      </w:r>
      <w:r>
        <w:t xml:space="preserve"> apartados segundo y tercero de la Ley 2/2003 en la redacción dada por el decreto-ley. Por consiguiente, solo respecto de los referidos apartados es posible estimar que se ha cumplido la debida carga alegatoria en los términos de nuestra doctrina, por lo que debemos convenir que el recurso ha de limitarse a dichos preceptos. Por otra parte, cumple advertir también que, en la medida en que la argumentación de este motivo no es exhaustiva por su formulación genérica, tampoco habrá de serlo nuestra respuesta (en este sentido, STC 105/2019, de 19 de septiembre, FJ 2, por todas).</w:t>
      </w:r>
    </w:p>
    <w:p w14:paraId="50B00733" w14:textId="77777777" w:rsidR="003754FE" w:rsidRDefault="003754FE" w:rsidP="003754FE">
      <w:pPr>
        <w:pStyle w:val="TextoNormal"/>
      </w:pPr>
    </w:p>
    <w:p w14:paraId="308CA17D" w14:textId="77777777" w:rsidR="003754FE" w:rsidRDefault="003754FE" w:rsidP="003754FE">
      <w:pPr>
        <w:pStyle w:val="TextoNormal"/>
      </w:pPr>
      <w:r>
        <w:t xml:space="preserve">b) Por su parte, el letrado de la Junta de Andalucía, como ha quedado reflejado también en los antecedentes, alega el incumplimiento de la carga argumental en relación con el principio de igualdad (art. 14 CE) y con la eventual invasión de las competencias estatales </w:t>
      </w:r>
      <w:r w:rsidRPr="003754FE">
        <w:rPr>
          <w:i/>
        </w:rPr>
        <w:t>ex</w:t>
      </w:r>
      <w:r>
        <w:t xml:space="preserve"> art. 149.1.18 CE.</w:t>
      </w:r>
    </w:p>
    <w:p w14:paraId="33E6EA97" w14:textId="77777777" w:rsidR="003754FE" w:rsidRDefault="003754FE" w:rsidP="003754FE">
      <w:pPr>
        <w:pStyle w:val="TextoNormal"/>
      </w:pPr>
    </w:p>
    <w:p w14:paraId="41260660" w14:textId="77777777" w:rsidR="003754FE" w:rsidRDefault="003754FE" w:rsidP="003754FE">
      <w:pPr>
        <w:pStyle w:val="TextoNormal"/>
      </w:pPr>
      <w:r>
        <w:t>En lo que respecta a la alegada vulneración del principio de igualdad del art. 14 CE, de acuerdo con la doctrina constitucional ya reseñada, debemos convenir con la representación procesal del Consejo de Gobierno andaluz que la tacha de inconstitucionalidad solo es objeto de una mera invocación formal en el escrito de demanda, sin que haya sido realizado el mínimo esfuerzo de desarrollo argumental. Es, por ello, que la queja relativa a la eventual vulneración por el Decreto-ley 8/2022 del principio de igualdad del art. 14 CE debe ser inadmitida por incumplir la carga argumental exigida. No obstante, la misma queja, desarrollada argumentalmente, ha sido desestimada por la STC 88/2024, FJ 7.</w:t>
      </w:r>
    </w:p>
    <w:p w14:paraId="33AACFBB" w14:textId="77777777" w:rsidR="003754FE" w:rsidRDefault="003754FE" w:rsidP="003754FE">
      <w:pPr>
        <w:pStyle w:val="TextoNormal"/>
      </w:pPr>
    </w:p>
    <w:p w14:paraId="7053E9F0" w14:textId="77777777" w:rsidR="003754FE" w:rsidRDefault="003754FE" w:rsidP="003754FE">
      <w:pPr>
        <w:pStyle w:val="TextoNormal"/>
      </w:pPr>
      <w:r>
        <w:t xml:space="preserve">A la misma conclusión se ha de llegar y, por ello, inadmitir la alegada invasión de las competencias estatales para establecer las bases del régimen jurídico de las administraciones públicas </w:t>
      </w:r>
      <w:r w:rsidRPr="003754FE">
        <w:rPr>
          <w:i/>
        </w:rPr>
        <w:t>ex</w:t>
      </w:r>
      <w:r>
        <w:t xml:space="preserve"> art. 149.1.18 CE, por incumplimiento de la carga argumental exigida. En este caso, la demanda se limita a invocar, sin razonamiento alguno, una contradicción entre el art. 18 </w:t>
      </w:r>
      <w:r w:rsidRPr="003754FE">
        <w:rPr>
          <w:i/>
        </w:rPr>
        <w:t>bis</w:t>
      </w:r>
      <w:r>
        <w:t xml:space="preserve">.3 de la Ley 2/2003, en la redacción dada por el Decreto-ley 8/2022, y el art. 84.1 LPAP, de carácter básico. Nadie cuestiona, ni la propia demanda, que el controvertido art. 18 </w:t>
      </w:r>
      <w:r w:rsidRPr="003754FE">
        <w:rPr>
          <w:i/>
        </w:rPr>
        <w:t>bis</w:t>
      </w:r>
      <w:r>
        <w:t>.3 de la Ley 2/2003 haya sido dictado en el ejercicio de las competencias autonómicas para regular los servicios urbanos de la modalidad de transporte de arrendamiento de VTC [STC 88/2024, FJ 5 D)]. Es, por ello, que este tribunal, en ausencia de una argumentación más desarrollada por los recurrentes, no vislumbra en qué medida una norma, como la aquí impugnada, dictada en materia de transporte terrestre de viajeros puede alterar, interferir o contradecir el régimen de uso del dominio público previsto en la legislación patrimonial. El óbice procesal ha de ser, por tanto, estimado.</w:t>
      </w:r>
    </w:p>
    <w:p w14:paraId="38128C91" w14:textId="77777777" w:rsidR="003754FE" w:rsidRDefault="003754FE" w:rsidP="003754FE">
      <w:pPr>
        <w:pStyle w:val="TextoNormal"/>
      </w:pPr>
    </w:p>
    <w:p w14:paraId="4485EA46" w14:textId="77777777" w:rsidR="003754FE" w:rsidRDefault="003754FE" w:rsidP="003754FE">
      <w:pPr>
        <w:pStyle w:val="TextoNormal"/>
      </w:pPr>
      <w:r>
        <w:t>C</w:t>
      </w:r>
      <w:r w:rsidRPr="003754FE">
        <w:rPr>
          <w:i/>
        </w:rPr>
        <w:t>) Orden de exam</w:t>
      </w:r>
      <w:r>
        <w:t>en</w:t>
      </w:r>
    </w:p>
    <w:p w14:paraId="27A7FD2B" w14:textId="77777777" w:rsidR="003754FE" w:rsidRDefault="003754FE" w:rsidP="003754FE">
      <w:pPr>
        <w:pStyle w:val="TextoNormal"/>
      </w:pPr>
    </w:p>
    <w:p w14:paraId="2EC48471" w14:textId="77777777" w:rsidR="003754FE" w:rsidRDefault="003754FE" w:rsidP="003754FE">
      <w:pPr>
        <w:pStyle w:val="TextoNormal"/>
      </w:pPr>
      <w:r>
        <w:t xml:space="preserve">Una vez acotado el objeto del recurso procede entrar en su resolución conforme al orden de examen que a continuación se indica, teniendo en cuenta que corresponde a este tribunal, en función de las circunstancias concurrentes en cada supuesto concreto sometido a su </w:t>
      </w:r>
      <w:r>
        <w:lastRenderedPageBreak/>
        <w:t>consideración, determinar el orden del examen de las quejas planteadas [STC 183/2021, FJ 2 C)].</w:t>
      </w:r>
    </w:p>
    <w:p w14:paraId="26A1D458" w14:textId="77777777" w:rsidR="003754FE" w:rsidRDefault="003754FE" w:rsidP="003754FE">
      <w:pPr>
        <w:pStyle w:val="TextoNormal"/>
      </w:pPr>
    </w:p>
    <w:p w14:paraId="11C94627" w14:textId="77777777" w:rsidR="003754FE" w:rsidRDefault="003754FE" w:rsidP="003754FE">
      <w:pPr>
        <w:pStyle w:val="TextoNormal"/>
      </w:pPr>
      <w:r>
        <w:t>Se examinará, en primer lugar, la pretensión impugnatoria vinculada a la utilización del instrumento normativo de urgencia, ya que, conforme a doctrina reiterada (por todas, SSTC 1/2012, de 13 de enero, FJ 3; 211/2016, de 15 de diciembre, FJ 3, y 105/2018, de 4 de octubre, FJ 3), el examen de las infracciones que se refieren al art. 86 CE y al precepto estatutario homólogo —el art. 110 EAAnd— ha de ser prioritario en el orden de nuestro enjuiciamiento, toda vez que la infracción denunciada incide directamente sobre la validez de los preceptos impugnados, de modo que, si se estimaran las alegaciones relativas a los arts. 86 CE y 110 EAAnd, resultaría innecesario el examen de las restantes alegaciones.</w:t>
      </w:r>
    </w:p>
    <w:p w14:paraId="7DDAA259" w14:textId="77777777" w:rsidR="003754FE" w:rsidRDefault="003754FE" w:rsidP="003754FE">
      <w:pPr>
        <w:pStyle w:val="TextoNormal"/>
      </w:pPr>
    </w:p>
    <w:p w14:paraId="4D33074E" w14:textId="73DF5358" w:rsidR="003754FE" w:rsidRDefault="003754FE" w:rsidP="003754FE">
      <w:pPr>
        <w:pStyle w:val="TextoNormal"/>
      </w:pPr>
      <w:r>
        <w:t>A continuación, se examinarán conjuntamente las dos quejas relativas a la vulneración de la autonomía local garantizada en los arts. 137, 140 y 141 CE, y, por último se enjuiciará la queja relativa a la vulneración de la competencia estatal del art. 149.1.21 CE.</w:t>
      </w:r>
    </w:p>
    <w:p w14:paraId="1A81D0E9" w14:textId="77777777" w:rsidR="003754FE" w:rsidRDefault="003754FE" w:rsidP="003754FE">
      <w:pPr>
        <w:pStyle w:val="TextoNormal"/>
      </w:pPr>
    </w:p>
    <w:p w14:paraId="1A2C93D9" w14:textId="77777777" w:rsidR="003754FE" w:rsidRDefault="003754FE" w:rsidP="003754FE">
      <w:pPr>
        <w:pStyle w:val="TextoNormal"/>
      </w:pPr>
      <w:r w:rsidRPr="003754FE">
        <w:rPr>
          <w:rStyle w:val="NumeroAFNegritaCaracter"/>
        </w:rPr>
        <w:t>4</w:t>
      </w:r>
      <w:r>
        <w:t xml:space="preserve">. </w:t>
      </w:r>
      <w:r w:rsidRPr="003754FE">
        <w:rPr>
          <w:i/>
        </w:rPr>
        <w:t>Primer motivo de impugnación: inobservancia del presupuesto habilitante para dictar el Decreto-ley 8/2022. Desestimación</w:t>
      </w:r>
    </w:p>
    <w:p w14:paraId="54CC5AD1" w14:textId="77777777" w:rsidR="003754FE" w:rsidRDefault="003754FE" w:rsidP="003754FE">
      <w:pPr>
        <w:pStyle w:val="TextoNormal"/>
      </w:pPr>
    </w:p>
    <w:p w14:paraId="6830E92A" w14:textId="77777777" w:rsidR="003754FE" w:rsidRDefault="003754FE" w:rsidP="003754FE">
      <w:pPr>
        <w:pStyle w:val="TextoNormal"/>
      </w:pPr>
      <w:r>
        <w:t>A) Tal y como quedó reflejado en los antecedentes de esta sentencia, el primer motivo de impugnación se refiere a la inobservancia del presupuesto habilitante de la facultad de legislación de urgencia establecido en el art. 110 EAAnd y en el art. 86 CE. Ello implica que, para resolver la impugnación planteada frente al Decreto-ley 8/2022, debamos tomar en consideración la doctrina constitucional relativa al presupuesto habilitante previsto en el art. 86.1 CE y a su control por parte de este tribunal, doctrina que puede sintetizarse en los términos siguientes:</w:t>
      </w:r>
    </w:p>
    <w:p w14:paraId="0C6D160C" w14:textId="77777777" w:rsidR="003754FE" w:rsidRDefault="003754FE" w:rsidP="003754FE">
      <w:pPr>
        <w:pStyle w:val="TextoNormal"/>
      </w:pPr>
    </w:p>
    <w:p w14:paraId="60AFC14E" w14:textId="77777777" w:rsidR="003754FE" w:rsidRDefault="003754FE" w:rsidP="003754FE">
      <w:pPr>
        <w:pStyle w:val="TextoNormal"/>
      </w:pPr>
      <w:r>
        <w:t xml:space="preserve">a) Son numerosas las sentencias de este tribunal en las que se ha resumido la doctrina constitucional elaborada en relación con el presupuesto que habilita al Gobierno para aprobar normas con rango de ley provisionales, lo que nos dispensa de reiterarla una vez más (por todas, SSTC 34/2017, FJ 3; 152/2017, de 21 de diciembre, FJ 3, y 126/2023, de 27 de septiembre, FJ 3, entre otras). Es suficiente recordar ahora que los términos “extraordinaria y urgente necesidad” no constituyen una cláusula o expresión vacía de significado dentro de la cual el margen de apreciación política del Gobierno se mueve libremente sin restricción alguna, sino un verdadero límite jurídico a la actuación mediante decretos-leyes; que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incumbiéndole a este tribunal controlar que ese juicio político no desborde los límites de lo manifiestamente razonable, sin suplantar a los órganos constitucionales que intervienen en la aprobación y convalidación de los decretos-leyes. Dicho control externo y </w:t>
      </w:r>
      <w:r w:rsidRPr="003754FE">
        <w:rPr>
          <w:i/>
        </w:rPr>
        <w:t>ex post</w:t>
      </w:r>
      <w:r>
        <w:t xml:space="preserve"> se concreta en la comprobación de que el Gobierno haya definido, de manera explícita y razonada, una situación de extraordinaria y urgente necesidad que precise de una respuesta normativa con rango de ley, y de que, además, exista una conexión de sentido entre la situación definida y las medidas adoptadas para hacerle frente. En cuanto a la definición de la situación de urgencia, este tribunal ha precisado que cabe deducirla de una pluralidad de elementos y que son, básicamente, los que quedan reflejados en el preámbulo de la norma, a lo largo del debate parlamentario de convalidación y en el </w:t>
      </w:r>
      <w:r>
        <w:lastRenderedPageBreak/>
        <w:t>propio expediente de su elaboración. Este tribunal también ha señalado en diversas ocasiones que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(entre otras, SSTC 11/2002, de 17 de enero, FJ 6; 68/2007, de 28 de marzo, FJ 8; 183/2014, FJ 6; 47/2015, de 5 de marzo, FJ 5, y 38/2016, de 3 de marzo, FJ 3).</w:t>
      </w:r>
    </w:p>
    <w:p w14:paraId="433FCC26" w14:textId="77777777" w:rsidR="003754FE" w:rsidRDefault="003754FE" w:rsidP="003754FE">
      <w:pPr>
        <w:pStyle w:val="TextoNormal"/>
      </w:pPr>
    </w:p>
    <w:p w14:paraId="5DE209C4" w14:textId="77777777" w:rsidR="003754FE" w:rsidRDefault="003754FE" w:rsidP="003754FE">
      <w:pPr>
        <w:pStyle w:val="TextoNormal"/>
      </w:pPr>
      <w:r>
        <w:t>Por último, en lo que atañe a la conexión de sentido entre la situación de necesidad definida y las medidas que en el decreto-ley se adoptan, este tribunal ha afirmado un doble criterio o perspectiva para valorar su existencia: el contenido, por un lado, y la estructura, por otro, de las disposiciones incluidas en el decreto-ley controvertido; teniendo en cuenta que lo que se exige es que las medidas que se incluyan en el decreto-ley sean, en principio, concretas y de eficacia inmediata para hacer frente a la situación de extraordinaria y urgente necesidad que ha determinado el uso de la legislación de urgencia.</w:t>
      </w:r>
    </w:p>
    <w:p w14:paraId="0C01DD49" w14:textId="77777777" w:rsidR="003754FE" w:rsidRDefault="003754FE" w:rsidP="003754FE">
      <w:pPr>
        <w:pStyle w:val="TextoNormal"/>
      </w:pPr>
    </w:p>
    <w:p w14:paraId="296FF014" w14:textId="77777777" w:rsidR="003754FE" w:rsidRDefault="003754FE" w:rsidP="003754FE">
      <w:pPr>
        <w:pStyle w:val="TextoNormal"/>
      </w:pPr>
      <w:r>
        <w:t>b) Este tribunal ha considerado igualmente que, aunque la Constitución no lo prevea, nada impide que el legislador estatutario pueda atribuir al Gobierno de las comunidades autónomas la potestad de dictar normas provisionales con rango de ley que adopten la forma de decreto-ley, siempre que los límites formales y materiales a los que se encuentren sometidos sean, como mínimo, los mismos que la Constitución impone al decreto-ley estatal, pudiendo el estatuto añadir “cautelas o exclusiones adicionales” con el fin de “preservar más intensamente la posición del parlamento autonómico” (STC 93/2015, de 14 de mayo, FFJJ 3 a 6; en similares términos, SSTC 104/2015 de 28 de mayo, FJ 4; 107/2015, de 28 de mayo, FJ 2, y 38/2016, de 3 de marzo, FJ 2, entre otras). Ello implica que, para resolver la impugnación planteada frente al Decreto-ley 8/2022, debamos tomar en consideración la doctrina constitucional relativa al art. 86.1 CE, pues el art. 110.1 EAAnd se refiere también a la “extraordinaria y urgente necesidad” como presupuesto habilitante para que el gobierno pueda dictar “medidas legislativas provisionales en forma de decretos-leyes”.</w:t>
      </w:r>
    </w:p>
    <w:p w14:paraId="062AAD59" w14:textId="77777777" w:rsidR="003754FE" w:rsidRDefault="003754FE" w:rsidP="003754FE">
      <w:pPr>
        <w:pStyle w:val="TextoNormal"/>
      </w:pPr>
    </w:p>
    <w:p w14:paraId="06647366" w14:textId="77777777" w:rsidR="003754FE" w:rsidRDefault="003754FE" w:rsidP="003754FE">
      <w:pPr>
        <w:pStyle w:val="TextoNormal"/>
      </w:pPr>
      <w:r>
        <w:t xml:space="preserve">En el examen de esta cuestión hemos de partir, asimismo, de la doctrina de la STC 93/2015, recogida, entre otras, en las SSTC 105/2018, FJ 3 c), y 126/2023, FJ 3 c). Allí señalamos que “un Estatuto de Autonomía no puede atribuir al Consejo de Gobierno autonómico poderes de legislación de urgencia que no estén sujetos, en lo que corresponda, a los límites consignados en el artículo 86.1 CE como garantía del principio democrático. En todo caso el Tribunal Constitucional podrá, aplicando directamente el parámetro constitucional ínsito en dicho principio, controlar la constitucionalidad de la legislación de urgencia que pueda adoptar el citado consejo de gobierno”; y añadimos que uno de los elementos específicos a ponderar en este sentido es la competencia autonómica ejercida al efecto, pues “la naturaleza y alcance de las competencias autonómicas hacen, en principio, menos necesario el recurso a la aprobación de normas legales de urgencia” (STC 93/2015, FJ 5). Otro factor relevante en este ámbito es el menor tiempo que requiere tramitar un proyecto de ley en una cámara autonómica, debido a su carácter unicameral, así como a su más reducido tamaño y menor actividad parlamentaria en comparación con la de las Cortes Generales. Este elemento que “habrá de ser ponderado por este tribunal caso por caso con la vista puesta principalmente en la previsible duración efectiva del procedimiento legislativo y en el grado de inmediatez en la reacción normativa que, por razón de la materia afectada, requiere la </w:t>
      </w:r>
      <w:r>
        <w:lastRenderedPageBreak/>
        <w:t>situación de necesidad apreciada por el gobierno autonómico”, sin que del mismo se derive la exigencia de una justificación expresa e individualizada de la inadecuación del procedimiento legislativo para atender a tiempo los objetivos gubernamentales (STC 93/2015, FJ 6).</w:t>
      </w:r>
    </w:p>
    <w:p w14:paraId="16F1C4A6" w14:textId="77777777" w:rsidR="003754FE" w:rsidRDefault="003754FE" w:rsidP="003754FE">
      <w:pPr>
        <w:pStyle w:val="TextoNormal"/>
      </w:pPr>
    </w:p>
    <w:p w14:paraId="58872703" w14:textId="77777777" w:rsidR="003754FE" w:rsidRDefault="003754FE" w:rsidP="003754FE">
      <w:pPr>
        <w:pStyle w:val="TextoNormal"/>
      </w:pPr>
      <w:r>
        <w:t>B) Conforme a la doctrina expuesta, debemos realizar el enjuiciamiento del primer motivo de inconstitucionalidad denunciado en el recurso. Exponemos seguidamente las razones que, para acreditar la concurrencia del presupuesto habilitante legitimador de su aprobación, se esgrimen en la exposición de motivos del Decreto-ley 8/2022, así como las que fueron aducidas en el curso del debate parlamentario de convalidación celebrado por el Pleno del Parlamento de Andalucía el día 13 de octubre de 2022 (debate que se transcribe en el “Diario de Sesiones Parlamento de Andalucía”, XII Legislatura, núm. 9, de 13 de octubre de 2022, 12-22/DL-000003, págs. 128-148).</w:t>
      </w:r>
    </w:p>
    <w:p w14:paraId="4E913077" w14:textId="77777777" w:rsidR="003754FE" w:rsidRDefault="003754FE" w:rsidP="003754FE">
      <w:pPr>
        <w:pStyle w:val="TextoNormal"/>
      </w:pPr>
    </w:p>
    <w:p w14:paraId="15B566BC" w14:textId="77777777" w:rsidR="003754FE" w:rsidRDefault="003754FE" w:rsidP="003754FE">
      <w:pPr>
        <w:pStyle w:val="TextoNormal"/>
      </w:pPr>
      <w:r>
        <w:t>a) La exposición de motivos del Decreto-ley 8/2022, comienza haciéndose eco de los antecedentes y el contexto normativo en el que se dicta, que no es otro que la reforma del régimen jurídico de la actividad de arrendamiento de VTC llevada a cabo por el Real Decreto-ley 13/2018. En concreto, modifica el art. 91 LOTT determinando que la autorización de arrendamiento de vehículos con conductor (autorizaciones de VTC) de ámbito nacional habilitará exclusivamente para realizar servicios de carácter interurbano, excluyendo, por tanto, los servicios de carácter urbano. A la vez, en su disposición adicional primera, habilita a las comunidades autónomas para modificar las condiciones de explotación de estas autorizaciones, previstas en el art. 182.1 ROTT, por lo que respecta a los servicios cuyo itinerario se desarrolle íntegramente en su respectivo ámbito territorial. No obstante, ante la nueva delimitación territorial de las autorizaciones de VTC, se prevé un régimen transitorio de cuatro años, ampliable en algunos casos a dos años, para que las ya existentes puedan continuar prestando servicios urbanos, plazo que, para la práctica totalidad de las autorizaciones de VTC, concluirá en septiembre de 2022.</w:t>
      </w:r>
    </w:p>
    <w:p w14:paraId="1AAAC42F" w14:textId="77777777" w:rsidR="003754FE" w:rsidRDefault="003754FE" w:rsidP="003754FE">
      <w:pPr>
        <w:pStyle w:val="TextoNormal"/>
      </w:pPr>
    </w:p>
    <w:p w14:paraId="1FD68B0D" w14:textId="77777777" w:rsidR="003754FE" w:rsidRDefault="003754FE" w:rsidP="003754FE">
      <w:pPr>
        <w:pStyle w:val="TextoNormal"/>
      </w:pPr>
      <w:r>
        <w:t>Ante este contexto de profundo cambio de la regulación de las autorizaciones de VTC, la exposición de motivos del Decreto-ley 8/2022 afirma lo siguiente:</w:t>
      </w:r>
    </w:p>
    <w:p w14:paraId="360E5C56" w14:textId="77777777" w:rsidR="003754FE" w:rsidRDefault="003754FE" w:rsidP="003754FE">
      <w:pPr>
        <w:pStyle w:val="TextoNormal"/>
      </w:pPr>
    </w:p>
    <w:p w14:paraId="7B14CD6F" w14:textId="77777777" w:rsidR="003754FE" w:rsidRDefault="003754FE" w:rsidP="003754FE">
      <w:pPr>
        <w:pStyle w:val="TextoNormal"/>
      </w:pPr>
      <w:r>
        <w:t>“[S]e hace preciso y urgente solventar con la máxima celeridad el vacío legal existente para la prestación del servicio en el ámbito urbano y, por tanto, la incertidumbre y falta de seguridad jurídica generada en los titulares de autorizaciones VTC y en las personas consumidoras y usuarias en Andalucía. Lo contrario tendría un impacto económico y en términos de empleo inasumibles para la sociedad andaluza, condenando además a un sector a la práctica desaparición.</w:t>
      </w:r>
    </w:p>
    <w:p w14:paraId="4990FEF7" w14:textId="77777777" w:rsidR="003754FE" w:rsidRDefault="003754FE" w:rsidP="003754FE">
      <w:pPr>
        <w:pStyle w:val="TextoNormal"/>
      </w:pPr>
    </w:p>
    <w:p w14:paraId="2F40F5AC" w14:textId="77777777" w:rsidR="003754FE" w:rsidRDefault="003754FE" w:rsidP="003754FE">
      <w:pPr>
        <w:pStyle w:val="TextoNormal"/>
      </w:pPr>
      <w:r>
        <w:t xml:space="preserve">En este sentido se ha pronunciado la Comisión Nacional de los Mercados y la Competencia en su informe de 17 de enero de 2019, en el cual señala en relación con el nuevo ámbito territorial de prestación de las autorizaciones nacionales VTC establecido en el citado Real Decreto-ley 13/2018, de 28 de septiembre, que producirá una drástica reducción del número de operadores en el segmento del transporte discrecional de viajeros en el ámbito urbano, lo cual, </w:t>
      </w:r>
      <w:r w:rsidRPr="003754FE">
        <w:rPr>
          <w:i/>
        </w:rPr>
        <w:t>ceteris paribus</w:t>
      </w:r>
      <w:r>
        <w:t xml:space="preserve">, tendrá efectos negativos para la movilidad urbana y para los ciudadanos que reciben el servicio, que la menor competencia tenderá a producir que los precios del transporte se eleven, que los tiempos de espera para los usuarios aumenten, que la disponibilidad de vehículos se reduzca, que la calidad del servicio se resienta y que se </w:t>
      </w:r>
      <w:r>
        <w:lastRenderedPageBreak/>
        <w:t>produzcan menos innovaciones en el servicio, limitación que tendrá más impacto en aquellos territorios donde hay un mayor número de autorizaciones VTC, entre los que señala Andalucía, que en la actualidad representa la segunda comunidad con más autorizaciones VTC, un 18,5 por 100 del total nacional”.</w:t>
      </w:r>
    </w:p>
    <w:p w14:paraId="0AEB7F8C" w14:textId="77777777" w:rsidR="003754FE" w:rsidRDefault="003754FE" w:rsidP="003754FE">
      <w:pPr>
        <w:pStyle w:val="TextoNormal"/>
      </w:pPr>
    </w:p>
    <w:p w14:paraId="27C7F6EC" w14:textId="77777777" w:rsidR="003754FE" w:rsidRDefault="003754FE" w:rsidP="003754FE">
      <w:pPr>
        <w:pStyle w:val="TextoNormal"/>
      </w:pPr>
      <w:r>
        <w:t>En relación con la justificación de la urgente y extraordinaria necesidad, la exposición de motivos afirma:</w:t>
      </w:r>
    </w:p>
    <w:p w14:paraId="099D2385" w14:textId="77777777" w:rsidR="003754FE" w:rsidRDefault="003754FE" w:rsidP="003754FE">
      <w:pPr>
        <w:pStyle w:val="TextoNormal"/>
      </w:pPr>
    </w:p>
    <w:p w14:paraId="0DFA2DE0" w14:textId="77777777" w:rsidR="003754FE" w:rsidRDefault="003754FE" w:rsidP="003754FE">
      <w:pPr>
        <w:pStyle w:val="TextoNormal"/>
      </w:pPr>
      <w:r>
        <w:t>“En las medidas que se adoptan en el presente decreto-ley concurren las circunstancias de extraordinaria y urgente necesidad previstas en el artículo 110.1 del Estatuto de Autonomía para Andalucía, considerando, además, que los objetivos que con su aprobación se pretende alcanzar no pueden conseguirse a través de la tramitación de una ley u otra disposición normativa por el procedimiento de urgencia, y sin que este decreto-ley constituya un supuesto de uso abusivo o arbitrario.</w:t>
      </w:r>
    </w:p>
    <w:p w14:paraId="16F73A2D" w14:textId="77777777" w:rsidR="003754FE" w:rsidRDefault="003754FE" w:rsidP="003754FE">
      <w:pPr>
        <w:pStyle w:val="TextoNormal"/>
      </w:pPr>
    </w:p>
    <w:p w14:paraId="4639BA49" w14:textId="77777777" w:rsidR="003754FE" w:rsidRDefault="003754FE" w:rsidP="003754FE">
      <w:pPr>
        <w:pStyle w:val="TextoNormal"/>
      </w:pPr>
      <w:r>
        <w:t>En el presente caso, la urgente y extraordinaria necesidad se justifica por la inminente finalización del régimen transitorio para que las autorizaciones VTC puedan seguir prestando servicios urbanos, y entre en vigor el nuevo ámbito territorial, que habilitará exclusivamente para realizar transporte interurbano de viajeros. A estos efectos, resulta imprescindible e inaplazable que la comunidad autónoma andaluza diseñe un marco normativo común para el sector del transporte público de viajeros en vehículos de arrendamiento con conductor donde se establezca las condiciones para la prestación de los servicios en el ámbito urbano, y evitar con la máxima celeridad el impacto económico y social que la extinción de los servicios urbanos de VTC pueda provocar en Andalucía de no regularse antes de que finalice el periodo transitorio.</w:t>
      </w:r>
    </w:p>
    <w:p w14:paraId="01ED0C45" w14:textId="77777777" w:rsidR="003754FE" w:rsidRDefault="003754FE" w:rsidP="003754FE">
      <w:pPr>
        <w:pStyle w:val="TextoNormal"/>
      </w:pPr>
    </w:p>
    <w:p w14:paraId="1BF82D61" w14:textId="77777777" w:rsidR="003754FE" w:rsidRDefault="003754FE" w:rsidP="003754FE">
      <w:pPr>
        <w:pStyle w:val="TextoNormal"/>
      </w:pPr>
      <w:r>
        <w:t>En síntesis, se trata de abordar, mediante este decreto-ley, el carácter reglado de la actividad de arrendamiento de vehículo con conductor sujeta a licencia que se desarrolle íntegramente en Andalucía, de conformidad con la habilitación contenida en el Real Decreto-ley 13/2018, de 28 de septiembre, dado el vacío normativo existente en estos momentos en nuestra comunidad para la prestación del servicio en el ámbito urbano y garantizar así la concurrencia competitiva entre dos actividades de transporte urbano sometidas a condiciones de ejercicios diferenciadas (VTC y taxis) tras el desequilibrio producido en los últimos años por la proliferación de licencias VTC en Andalucía, donde la proporción entre taxis y VTC se sitúa en 1/3”.</w:t>
      </w:r>
    </w:p>
    <w:p w14:paraId="4259B005" w14:textId="77777777" w:rsidR="003754FE" w:rsidRDefault="003754FE" w:rsidP="003754FE">
      <w:pPr>
        <w:pStyle w:val="TextoNormal"/>
      </w:pPr>
    </w:p>
    <w:p w14:paraId="493C7F81" w14:textId="77777777" w:rsidR="003754FE" w:rsidRDefault="003754FE" w:rsidP="003754FE">
      <w:pPr>
        <w:pStyle w:val="TextoNormal"/>
      </w:pPr>
      <w:r>
        <w:t xml:space="preserve">b) En el trámite de convalidación del Decreto-ley 8/2022, ante el Parlamento de Andalucía, la consejera de Fomento, Articulación del Territorio y Vivienda, en nombre del Consejo de Gobierno, señala que la norma responde a la necesidad de “resolver un vacío legal”, ante la inacción del Gobierno de España, “que trasladó ese balón a las comunidades autónomas con fecha tope: 1 de octubre”, y al propósito de “ordenar el servicio de las licencias de los VTC en nuestras ciudades, garantizar la convivencia con el sector del taxi, y en beneficio siempre del ciudadano”. Subraya la singularidad de la norma andaluza —“valiente, razonable, equilibrada”— frente a las aprobadas por otras comunidades autónomas. Insiste en el carácter pactado de la norma, afirmando que “las medidas que se contemplan en este decreto han sido debatidas, negociadas y acordadas por las partes implicadas: con los VTC, con la Federación Andaluza de Municipios y Provincias (FAMP), con los sindicatos, con las asociaciones de consumidores y usuarios representativas en Andalucía, por otros agentes </w:t>
      </w:r>
      <w:r>
        <w:lastRenderedPageBreak/>
        <w:t>sociales, pero especialmente lo ha sido con el sector del taxi”, y que se lleva trabajando en la misma desde el año 2019, si bien los contactos y reuniones se intensificaron en las semanas del mes septiembre de 2022 ante el vencimiento del plazo y la negativa del Estado, comunicada a finales de julio, de prorrogar la moratoria. Y finaliza la intervención poniendo de relieve que solamente fueron dos las peticiones del sector del taxi no atendidas por razones de seguridad jurídica: la precontratación del tiempo en quince minutos y la eliminación de las licencias estatales concedidas a los VTC con anterioridad.</w:t>
      </w:r>
    </w:p>
    <w:p w14:paraId="2898D06F" w14:textId="77777777" w:rsidR="003754FE" w:rsidRDefault="003754FE" w:rsidP="003754FE">
      <w:pPr>
        <w:pStyle w:val="TextoNormal"/>
      </w:pPr>
    </w:p>
    <w:p w14:paraId="4751399E" w14:textId="77777777" w:rsidR="003754FE" w:rsidRDefault="003754FE" w:rsidP="003754FE">
      <w:pPr>
        <w:pStyle w:val="TextoNormal"/>
      </w:pPr>
      <w:r>
        <w:t>C) Conforme al control externo que corresponde a este tribunal podemos considerar que el Consejo de Gobierno de Andalucía ha satisfecho la exigencia de explicitar y razonar de forma suficiente la existencia de una situación de “extraordinaria y urgente necesidad” que le llevó a dictar el Decreto-ley 8/2022, de modo que la carga de justificar la concurrencia del presupuesto habilitante exigido por los arts. 86.1 CE y 110 EAAnd puede considerarse cumplida. En la exposición de motivos se alude a la concreta situación creada tras la modificación por el Estado del régimen jurídico de las autorizaciones de VTC de ámbito nacional, pues ya no habilitan para prestar esta modalidad de servicios de transporte en el ámbito urbano. El Estado concedió una moratoria por un plazo de cuatro años, con la finalidad de compensar a los titulares afectados por los perjuicios derivados de la nueva delimitación del ámbito territorial de las autorizaciones de VTC; moratoria que se negó a prorrogar. Es, por ello, que la inminente finalización del plazo —el día 30 de septiembre de 2022—, exigía una respuesta inmediata por parte del Gobierno andaluz, teniendo presente la complejidad regulatoria del asunto —en el que se llevaba trabajando desde el año 2019—, por los intereses y sectores enfrentados, por un lado, y el impacto negativo que la desaparición de los servicios de VTC en el ámbito urbano tendría para la economía andaluza, la movilidad urbana y la calidad de los servicios de transporte prestados a la ciudadanía, por otro lado.</w:t>
      </w:r>
    </w:p>
    <w:p w14:paraId="5DF83C15" w14:textId="77777777" w:rsidR="003754FE" w:rsidRDefault="003754FE" w:rsidP="003754FE">
      <w:pPr>
        <w:pStyle w:val="TextoNormal"/>
      </w:pPr>
    </w:p>
    <w:p w14:paraId="6AE9D204" w14:textId="77777777" w:rsidR="003754FE" w:rsidRDefault="003754FE" w:rsidP="003754FE">
      <w:pPr>
        <w:pStyle w:val="TextoNormal"/>
      </w:pPr>
      <w:r>
        <w:t>En cuanto al segundo elemento de nuestro canon, atendiendo al control que corresponde a este tribunal, el cual debe respetar el margen de discrecionalidad política que en la apreciación de este requisito corresponde al Gobierno, podemos considerar que no se ha vulnerado la conexión de sentido entre las medidas adoptadas en el decreto-ley y la situación de extraordinaria y urgente necesidad definida. Por un lado, la modificación se ajusta al objetivo que la exposición de motivos de la norma cuestionada afirma perseguir: establecer un marco común para la actividad de arrendamiento de VTC en Andalucía, tras las nuevas exigencias introducidas por el Real Decreto-ley 13/2018, y evitar, simultáneamente, la desaparición del servicio de VTC en el ámbito urbano. Desde esta perspectiva, las medidas contenidas en el decreto-ley impugnado son coherentes con la situación de necesidad definida. Por otro lado, las medidas modifican de manera inmediata la regulación existente en relación con el servicio de arrendamiento de VTC y, también desde esta perspectiva, es coherente con la situación de urgencia definida.</w:t>
      </w:r>
    </w:p>
    <w:p w14:paraId="33BFD1F4" w14:textId="77777777" w:rsidR="003754FE" w:rsidRDefault="003754FE" w:rsidP="003754FE">
      <w:pPr>
        <w:pStyle w:val="TextoNormal"/>
      </w:pPr>
    </w:p>
    <w:p w14:paraId="63344E18" w14:textId="2529288F" w:rsidR="003754FE" w:rsidRDefault="003754FE" w:rsidP="003754FE">
      <w:pPr>
        <w:pStyle w:val="TextoNormal"/>
      </w:pPr>
      <w:r>
        <w:t>En suma, el tribunal aprecia que las circunstancias reflejadas en la exposición de motivos del decreto-ley impugnado y puestas de manifiesto durante la fase de convalidación reflejan, más allá de una mera conveniencia política, una situación de hecho que permite concluir, en el ámbito del control externo que compete realizar a este tribunal, que existen razones suficientes para apreciar la existencia de una situación de extraordinaria y urgente necesidad.</w:t>
      </w:r>
    </w:p>
    <w:p w14:paraId="6F9D8821" w14:textId="77777777" w:rsidR="003754FE" w:rsidRDefault="003754FE" w:rsidP="003754FE">
      <w:pPr>
        <w:pStyle w:val="TextoNormal"/>
      </w:pPr>
    </w:p>
    <w:p w14:paraId="462AA1D0" w14:textId="77777777" w:rsidR="003754FE" w:rsidRDefault="003754FE" w:rsidP="003754FE">
      <w:pPr>
        <w:pStyle w:val="TextoNormal"/>
      </w:pPr>
      <w:r w:rsidRPr="003754FE">
        <w:rPr>
          <w:rStyle w:val="NumeroAFNegritaCaracter"/>
        </w:rPr>
        <w:lastRenderedPageBreak/>
        <w:t>5</w:t>
      </w:r>
      <w:r>
        <w:t xml:space="preserve">. </w:t>
      </w:r>
      <w:r w:rsidRPr="003754FE">
        <w:rPr>
          <w:i/>
        </w:rPr>
        <w:t>Segundo motivo de impugnación: vulneración de la autonomía local garantizada en los arts. 137, 140 y 141 CE. Desestimación</w:t>
      </w:r>
    </w:p>
    <w:p w14:paraId="32D153B8" w14:textId="77777777" w:rsidR="003754FE" w:rsidRDefault="003754FE" w:rsidP="003754FE">
      <w:pPr>
        <w:pStyle w:val="TextoNormal"/>
      </w:pPr>
    </w:p>
    <w:p w14:paraId="6D426C73" w14:textId="77777777" w:rsidR="003754FE" w:rsidRDefault="003754FE" w:rsidP="003754FE">
      <w:pPr>
        <w:pStyle w:val="TextoNormal"/>
      </w:pPr>
      <w:r>
        <w:t>A) La demanda, tal y como se ha recogido pormenorizadamente en los antecedentes de esta sentencia, aduce que el Decreto-ley 8/2022 impugnado vulnera la autonomía local y lo hace por dos motivos que aborda en fundamentos diferentes: (i) por una parte, reprocha al decreto-ley centralizar en la comunidad autónoma las competencias sobre el régimen jurídico del servicio de VTC en el ámbito urbano, convirtiendo las competencias locales propias y las de participación en el ejercicio de las autonómicas en algo meramente residual; y (ii) por otra parte, se vulnera igualmente la autonomía local porque en la elaboración del decreto-ley no ha habido participación local, en concreto, se han omitido los pertinentes informes del Consejo Andaluz de Gobiernos Locales y del Consejo Andaluz de Concertación Local. Expondremos a continuación las razones por las que ambas quejas han de ser desestimadas.</w:t>
      </w:r>
    </w:p>
    <w:p w14:paraId="5914C708" w14:textId="77777777" w:rsidR="003754FE" w:rsidRDefault="003754FE" w:rsidP="003754FE">
      <w:pPr>
        <w:pStyle w:val="TextoNormal"/>
      </w:pPr>
    </w:p>
    <w:p w14:paraId="79AE0DF5" w14:textId="77777777" w:rsidR="003754FE" w:rsidRDefault="003754FE" w:rsidP="003754FE">
      <w:pPr>
        <w:pStyle w:val="TextoNormal"/>
      </w:pPr>
      <w:r>
        <w:t>B) La demanda aduce, en primer lugar, que en relación con el servicio urbano de arrendamiento de VTC, el Decreto-ley 8/2022 ha optado por atribuir a la comunidad autónoma la competencia para otorgar la pertinente autorización administrativa —al igual que en el caso de los servicios interurbanos—, así como la práctica totalidad de las competencias normativas y ejecutivas, y ello a pesar de las similitudes que guarda con el servicio urbano de vehículos taxi. Esto supone desconocer, según la demanda, que los ayuntamientos deben tener competencias propias en materia de transporte urbano o, al menos, una muy intensa participación en el ejercicio de las competencias autonómicas.</w:t>
      </w:r>
    </w:p>
    <w:p w14:paraId="1AE583B0" w14:textId="77777777" w:rsidR="003754FE" w:rsidRDefault="003754FE" w:rsidP="003754FE">
      <w:pPr>
        <w:pStyle w:val="TextoNormal"/>
      </w:pPr>
    </w:p>
    <w:p w14:paraId="0A144F82" w14:textId="77777777" w:rsidR="003754FE" w:rsidRDefault="003754FE" w:rsidP="003754FE">
      <w:pPr>
        <w:pStyle w:val="TextoNormal"/>
      </w:pPr>
      <w:r>
        <w:t xml:space="preserve">La demanda no especifica los preceptos objeto de su reproche, más allá de la mera mención crítica de las condiciones de prestación del servicio de arrendamiento de VTC reguladas en los arts. 18 </w:t>
      </w:r>
      <w:r w:rsidRPr="003754FE">
        <w:rPr>
          <w:i/>
        </w:rPr>
        <w:t>bis</w:t>
      </w:r>
      <w:r>
        <w:t xml:space="preserve"> a 18 </w:t>
      </w:r>
      <w:r w:rsidRPr="003754FE">
        <w:rPr>
          <w:i/>
        </w:rPr>
        <w:t>octies</w:t>
      </w:r>
      <w:r>
        <w:t xml:space="preserve"> de la Ley 2/2003, en la redacción dada por el Decreto-ley 8/2022. No obstante, atendiendo a su contenido, hemos de entender que el reproche se dirige a los apartados segundo y tercero del art. 18 </w:t>
      </w:r>
      <w:r w:rsidRPr="003754FE">
        <w:rPr>
          <w:i/>
        </w:rPr>
        <w:t>bis</w:t>
      </w:r>
      <w:r>
        <w:t>, toda vez que contrapone su regulación a la del art. 14.1 de la misma ley, que condiciona la prestación de servicios de transporte urbano de viajeros en vehículos taxi a la previa obtención de la correspondiente licencia municipal.</w:t>
      </w:r>
    </w:p>
    <w:p w14:paraId="17F410EA" w14:textId="77777777" w:rsidR="003754FE" w:rsidRDefault="003754FE" w:rsidP="003754FE">
      <w:pPr>
        <w:pStyle w:val="TextoNormal"/>
      </w:pPr>
    </w:p>
    <w:p w14:paraId="5C2C95B3" w14:textId="77777777" w:rsidR="003754FE" w:rsidRDefault="003754FE" w:rsidP="003754FE">
      <w:pPr>
        <w:pStyle w:val="TextoNormal"/>
      </w:pPr>
      <w:r>
        <w:t xml:space="preserve">a) A los efectos de facilitar la comprensión de la queja, reproduciremos el contenido de los preceptos objeto de cuestionamiento, el art. 18 </w:t>
      </w:r>
      <w:r w:rsidRPr="003754FE">
        <w:rPr>
          <w:i/>
        </w:rPr>
        <w:t>bis</w:t>
      </w:r>
      <w:r>
        <w:t xml:space="preserve"> relativo al título habilitante dispone, en los apartados cuestionados, lo siguiente:</w:t>
      </w:r>
    </w:p>
    <w:p w14:paraId="52FBAE78" w14:textId="77777777" w:rsidR="003754FE" w:rsidRDefault="003754FE" w:rsidP="003754FE">
      <w:pPr>
        <w:pStyle w:val="TextoNormal"/>
      </w:pPr>
    </w:p>
    <w:p w14:paraId="094D62AB" w14:textId="77777777" w:rsidR="003754FE" w:rsidRDefault="003754FE" w:rsidP="003754FE">
      <w:pPr>
        <w:pStyle w:val="TextoNormal"/>
      </w:pPr>
      <w:r>
        <w:t>“2. La prestación del servicio de arrendamiento de vehículos con conductor únicamente podrá realizarse por aquellas personas, físicas o jurídicas, que sean titulares de la correspondiente autorización administrativa que les habilite para ello expedida para cada vehículo por el órgano de la comunidad autónoma andaluza con competencias en materia de transporte por delegación del Estado.</w:t>
      </w:r>
    </w:p>
    <w:p w14:paraId="36B72A29" w14:textId="77777777" w:rsidR="003754FE" w:rsidRDefault="003754FE" w:rsidP="003754FE">
      <w:pPr>
        <w:pStyle w:val="TextoNormal"/>
      </w:pPr>
    </w:p>
    <w:p w14:paraId="64083464" w14:textId="77777777" w:rsidR="003754FE" w:rsidRDefault="003754FE" w:rsidP="003754FE">
      <w:pPr>
        <w:pStyle w:val="TextoNormal"/>
      </w:pPr>
      <w:r>
        <w:t xml:space="preserve">3. Las autorizaciones de arrendamiento de vehículos con conductor de carácter nacional domiciliadas en Andalucía a la entrada en vigor del presente decreto-ley habilitarán para realizar transportes urbanos de viajeros dentro de la comunidad autónoma andaluza tras la finalización del período establecido en la disposición transitoria única del Real Decreto-ley 13/2018, de 28 de septiembre, siempre que el servicio haya sido previamente contratado de </w:t>
      </w:r>
      <w:r>
        <w:lastRenderedPageBreak/>
        <w:t>conformidad con los requisitos previstos tanto en la normativa legal vigente como de desarrollo que se apruebe sobre la materia que resulte de aplicación”.</w:t>
      </w:r>
    </w:p>
    <w:p w14:paraId="7C7AE1C3" w14:textId="77777777" w:rsidR="003754FE" w:rsidRDefault="003754FE" w:rsidP="003754FE">
      <w:pPr>
        <w:pStyle w:val="TextoNormal"/>
      </w:pPr>
    </w:p>
    <w:p w14:paraId="4DDA7DC4" w14:textId="77777777" w:rsidR="003754FE" w:rsidRDefault="003754FE" w:rsidP="003754FE">
      <w:pPr>
        <w:pStyle w:val="TextoNormal"/>
      </w:pPr>
      <w:r>
        <w:t>b) En la medida en que se alega la vulneración de la autonomía local, conviene recordar que este tribunal ha señalado que «la Constitución no asegura un contenido concreto o un ámbito competencial determinado a los entes locales, permitiendo la autonomía local configuraciones legales diversas (SSTC 32/1981, de 28 de julio, FJ 3, y 170/1989, de 19 de octubre, FJ 9). La STC 41/2016, de 3 de marzo, FJ 11 b), lo recuerda cuando afirma que “al distribuir poder local, el Estado y las comunidades autónomas disponen de ‘libertad de configuración’, pero deben graduar ‘el alcance o intensidad de la intervención local en función de la relación existente entre los intereses locales y supralocales dentro de tales asuntos o materias’” [STC 154/2015, de 9 de julio, FJ 6 a), citando las SSTC 32/1981, FJ 4; 170/1989, FJ 9; 51/2004, FJ 9; 95/2014, FJ 5; 57/2015, de 18 de marzo, FJ 6, y 92/2015, de 14 de mayo, FJ 4]”» [STC 25/2024, FJ 5 d)].</w:t>
      </w:r>
    </w:p>
    <w:p w14:paraId="72E0ACF0" w14:textId="77777777" w:rsidR="003754FE" w:rsidRDefault="003754FE" w:rsidP="003754FE">
      <w:pPr>
        <w:pStyle w:val="TextoNormal"/>
      </w:pPr>
    </w:p>
    <w:p w14:paraId="666FB082" w14:textId="77777777" w:rsidR="003754FE" w:rsidRDefault="003754FE" w:rsidP="003754FE">
      <w:pPr>
        <w:pStyle w:val="TextoNormal"/>
      </w:pPr>
      <w:r>
        <w:t>La Comunidad Autónoma de Andalucía tiene, por otra parte, como hemos afirmado en la STC 88/2024, FJ 5 c) (ii) y (iii), en relación, en ese caso, con la Comunidad Autónoma de Madrid, competencia para regular los arrendamientos de VTC en el supuesto en que presten sus servicios en el ámbito urbano y desarrollen íntegramente en su territorio; así lo reconoce expresamente el art. 64.1.3 EAAnd, sin perjuicio, claro está, de las competencias del Estado que puedan incidir en esta modalidad de transporte.</w:t>
      </w:r>
    </w:p>
    <w:p w14:paraId="75668AD6" w14:textId="77777777" w:rsidR="003754FE" w:rsidRDefault="003754FE" w:rsidP="003754FE">
      <w:pPr>
        <w:pStyle w:val="TextoNormal"/>
      </w:pPr>
    </w:p>
    <w:p w14:paraId="7D641AA4" w14:textId="77777777" w:rsidR="003754FE" w:rsidRDefault="003754FE" w:rsidP="003754FE">
      <w:pPr>
        <w:pStyle w:val="TextoNormal"/>
      </w:pPr>
      <w:r>
        <w:t>En el ejercicio de dicha competencia, como declaramos en la STC 88/2024, FJ 6 c), “la comunidad autónoma debe graduar el alcance o intensidad de la intervención local en función de la relación existente entre los intereses locales y supralocales dentro de tales asuntos o materias. No se puede negar que la regulación del transporte urbano de viajeros tiene incidencia en los intereses locales. Conforme al artículo 25 de la Ley 7/1985, de 2 de abril, reguladora de las bases del régimen local, el municipio ejerce competencias propias, en los términos de la legislación del Estado y de las comunidades autónomas, en las materias de urbanismo [artículo 25.2 a)], medio ambiente urbano [artículo 25.2 b)], infraestructura viaria [artículo 25.2 d)] y tráfico, estacionamiento de vehículos y movilidad y transporte colectivo urbano [artículo 25.2 g)]. Y de acuerdo con el artículo 86.2 de dicha ley, se declara la reserva en favor de las entidades locales del servicio de transporte público de viajeros, de conformidad con lo previsto en la legislación sectorial aplicable”. Y añadimos que, de otra parte, “existe un claro interés supralocal en la coordinación de este tipo de transporte consistente en el arrendamiento de vehículos con conductor cuando presta servicios tanto urbanos como interurbanos que por su propia naturaleza exceden de los intereses locales. Todo ello sin perjuicio de la necesidad de que se articulen los cauces necesarios para preservar los intereses locales en presencia, especialmente, pero no solo, en cuanto a la movilidad urbana”.</w:t>
      </w:r>
    </w:p>
    <w:p w14:paraId="4BA74467" w14:textId="77777777" w:rsidR="003754FE" w:rsidRDefault="003754FE" w:rsidP="003754FE">
      <w:pPr>
        <w:pStyle w:val="TextoNormal"/>
      </w:pPr>
    </w:p>
    <w:p w14:paraId="077A1301" w14:textId="77777777" w:rsidR="003754FE" w:rsidRDefault="003754FE" w:rsidP="003754FE">
      <w:pPr>
        <w:pStyle w:val="TextoNormal"/>
      </w:pPr>
      <w:r>
        <w:t>c) De acuerdo con la doctrina expuesta, el examen de los preceptos cuestionados nos conduce a descartar que exista la alegada vulneración de la autonomía local.</w:t>
      </w:r>
    </w:p>
    <w:p w14:paraId="01303DD4" w14:textId="77777777" w:rsidR="003754FE" w:rsidRDefault="003754FE" w:rsidP="003754FE">
      <w:pPr>
        <w:pStyle w:val="TextoNormal"/>
      </w:pPr>
    </w:p>
    <w:p w14:paraId="42AFFF1B" w14:textId="77777777" w:rsidR="003754FE" w:rsidRDefault="003754FE" w:rsidP="003754FE">
      <w:pPr>
        <w:pStyle w:val="TextoNormal"/>
      </w:pPr>
      <w:r>
        <w:t xml:space="preserve">La lectura de los apartados segundo y tercero del art. 18 </w:t>
      </w:r>
      <w:r w:rsidRPr="003754FE">
        <w:rPr>
          <w:i/>
        </w:rPr>
        <w:t>bis</w:t>
      </w:r>
      <w:r>
        <w:t xml:space="preserve"> de la Ley 2/2003, en la redacción dada por el Decreto-ley 8/2022, permite concluir, sin duda alguna, que el otorgamiento de las autorizaciones de VTC en el ámbito urbano se atribuye al órgano de la comunidad autónoma con competencias en materia de transporte, en cuanto existe un claro interés </w:t>
      </w:r>
      <w:r>
        <w:lastRenderedPageBreak/>
        <w:t>supralocal en la coordinación de este tipo de transporte. Esta coordinación es exigida por el art. 4.2 de la Ley 2/2003, cuando “los servicios urbanos afecten a intereses públicos que trasciendan a los puramente municipales o puedan servir a la satisfacción de necesidades de transporte metropolitano”. No obstante, de dicha atribución no se puede derivar, como sugieren los recurrentes, un desconocimiento de las competencias propias de los ayuntamientos en la materia, ni tampoco que se niegue la participación en el ejercicio de las competencias autonómicas.</w:t>
      </w:r>
    </w:p>
    <w:p w14:paraId="7E09C1DD" w14:textId="77777777" w:rsidR="003754FE" w:rsidRDefault="003754FE" w:rsidP="003754FE">
      <w:pPr>
        <w:pStyle w:val="TextoNormal"/>
      </w:pPr>
    </w:p>
    <w:p w14:paraId="206A9E9C" w14:textId="77777777" w:rsidR="003754FE" w:rsidRDefault="003754FE" w:rsidP="003754FE">
      <w:pPr>
        <w:pStyle w:val="TextoNormal"/>
      </w:pPr>
      <w:r>
        <w:t>En relación con las competencias propias, por una parte, en materia de transporte, el art. 4.1 de la Ley 2/2003 —no cuestionado en este recurso— afirma que “los municipios son competentes, con carácter general, para la planificación, ordenación, gestión, inspección y sanción de los servicios urbanos de transporte público de viajeros que se lleven a cabo íntegramente dentro de sus respectivos términos municipales, sin perjuicio de las competencias de la comunidad autónoma de acuerdo con lo previsto en la presente ley”. Por otra parte, en nada se ven afectadas o disminuidas sus competencias propias con incidencia en el transporte urbano, tales como la utilización del dominio público; la gestión del tráfico urbano, el estacionamiento de vehículos y la movilidad en general; o la protección del medio ambiente y la prevención de la contaminación atmosférica, que pueden llevar a la adopción de medidas restrictivas sobre la circulación o estacionamiento de vehículos.</w:t>
      </w:r>
    </w:p>
    <w:p w14:paraId="5FD50637" w14:textId="77777777" w:rsidR="003754FE" w:rsidRDefault="003754FE" w:rsidP="003754FE">
      <w:pPr>
        <w:pStyle w:val="TextoNormal"/>
      </w:pPr>
    </w:p>
    <w:p w14:paraId="32A29278" w14:textId="77777777" w:rsidR="003754FE" w:rsidRDefault="003754FE" w:rsidP="003754FE">
      <w:pPr>
        <w:pStyle w:val="TextoNormal"/>
      </w:pPr>
      <w:r>
        <w:t xml:space="preserve">El Decreto-ley 8/2022 prevé, además, mecanismos para articular la participación de los municipios en la ordenación y gestión de los servicios urbanos de VTC; cosa distinta es que a los recurrentes dichas previsiones les resulten insuficientes. Por un lado, el apartado segundo del art. 18 </w:t>
      </w:r>
      <w:r w:rsidRPr="003754FE">
        <w:rPr>
          <w:i/>
        </w:rPr>
        <w:t>sexies</w:t>
      </w:r>
      <w:r>
        <w:t xml:space="preserve"> de la Ley 2/2003, atribuye a los Ayuntamientos “regular, en su ámbito territorial, el régimen de descanso anual obligatorio para los vehículos adscritos a autorizaciones VTC, durante un máximo de cincuenta y dos días al año, previo acuerdo de las asociaciones representativas del sector, de los consumidores y usuarios y de los sindicatos”. Esta atribución se condiciona a (i) un criterio de oportunidad del propio ayuntamiento —cuando “lo consideren necesario para garantizar el equilibrio entre la oferta y la demanda del transporte urbano de viajeros”—; y (ii) a un límite temporal para establecer los calendarios de descanso —“en ningún caso podrán implantarse durante los periodos de mayor demanda del servicio”—, que resulta razonable al pretender asegurar la calidad en la prestación del servicio.</w:t>
      </w:r>
    </w:p>
    <w:p w14:paraId="3B0D7D26" w14:textId="77777777" w:rsidR="003754FE" w:rsidRDefault="003754FE" w:rsidP="003754FE">
      <w:pPr>
        <w:pStyle w:val="TextoNormal"/>
      </w:pPr>
    </w:p>
    <w:p w14:paraId="56213377" w14:textId="77777777" w:rsidR="003754FE" w:rsidRDefault="003754FE" w:rsidP="003754FE">
      <w:pPr>
        <w:pStyle w:val="TextoNormal"/>
      </w:pPr>
      <w:r>
        <w:t>Por otro lado, el art. 48.2 de la Ley 2/2003 atribuye, igualmente, a los ayuntamientos en relación con los servicios urbanos de arrendamiento de VTC el ejercicio de la potestad sancionadora, lo que se conecta con las competencias atribuidas en el ya citado art. 4.1 de la misma norma.</w:t>
      </w:r>
    </w:p>
    <w:p w14:paraId="33659C86" w14:textId="77777777" w:rsidR="003754FE" w:rsidRDefault="003754FE" w:rsidP="003754FE">
      <w:pPr>
        <w:pStyle w:val="TextoNormal"/>
      </w:pPr>
    </w:p>
    <w:p w14:paraId="50C574D9" w14:textId="77777777" w:rsidR="003754FE" w:rsidRDefault="003754FE" w:rsidP="003754FE">
      <w:pPr>
        <w:pStyle w:val="TextoNormal"/>
      </w:pPr>
      <w:r>
        <w:t xml:space="preserve">En suma, como declaramos, entre otras, en la STC 57/2015, FJ 5, la garantía institucional de la autonomía local es un concepto jurídico de contenido legal, que permite configuraciones legales diversas, válidas en cuanto respeten aquella garantía institucional, por lo que nuestro juicio de constitucionalidad ha de limitarse a comprobar si el legislador ha respetado esa garantía institucional. En este caso, este tribunal no aprecia la vulneración de la autonomía local alegada por los recurrentes, máxime cuando lo que se cuestiona no es tanto el atribuir a la comunidad autónoma la competencia para regular los arrendamientos de VTC en el supuesto en que presten sus servicios en el ámbito urbano, sino el modelo de regulación en sí mismo, frente al adoptado en otras comunidades autónomas (así, en la demanda, se </w:t>
      </w:r>
      <w:r>
        <w:lastRenderedPageBreak/>
        <w:t>cita el caso catalán que atribuye a los municipios la competencia para otorgar las licencias y modificar las condiciones del servicio). La discrepancia respecto de un modelo de regulación determinado, adoptado en aras de las diversas opciones que tiene el legislador como expresión del pluralismo político, no se ha de traducir necesariamente en la inconstitucionalidad del mismo.</w:t>
      </w:r>
    </w:p>
    <w:p w14:paraId="764FDA7D" w14:textId="77777777" w:rsidR="003754FE" w:rsidRDefault="003754FE" w:rsidP="003754FE">
      <w:pPr>
        <w:pStyle w:val="TextoNormal"/>
      </w:pPr>
    </w:p>
    <w:p w14:paraId="26377E11" w14:textId="77777777" w:rsidR="003754FE" w:rsidRDefault="003754FE" w:rsidP="003754FE">
      <w:pPr>
        <w:pStyle w:val="TextoNormal"/>
      </w:pPr>
      <w:r>
        <w:t>Procede, por tanto, desestimar el recurso en este punto.</w:t>
      </w:r>
    </w:p>
    <w:p w14:paraId="336FF1FD" w14:textId="77777777" w:rsidR="003754FE" w:rsidRDefault="003754FE" w:rsidP="003754FE">
      <w:pPr>
        <w:pStyle w:val="TextoNormal"/>
      </w:pPr>
    </w:p>
    <w:p w14:paraId="25932EF8" w14:textId="77777777" w:rsidR="003754FE" w:rsidRDefault="003754FE" w:rsidP="003754FE">
      <w:pPr>
        <w:pStyle w:val="TextoNormal"/>
      </w:pPr>
      <w:r>
        <w:t>C) En segundo lugar, la demanda atribuye la vulneración de la autonomía local a la omisión o no participación local en la elaboración del Decreto-ley 8/2022; en concreto, considera que tendría que haberse dado participación a:</w:t>
      </w:r>
    </w:p>
    <w:p w14:paraId="62EB87A9" w14:textId="77777777" w:rsidR="003754FE" w:rsidRDefault="003754FE" w:rsidP="003754FE">
      <w:pPr>
        <w:pStyle w:val="TextoNormal"/>
      </w:pPr>
    </w:p>
    <w:p w14:paraId="6DCFFB7F" w14:textId="77777777" w:rsidR="003754FE" w:rsidRDefault="003754FE" w:rsidP="003754FE">
      <w:pPr>
        <w:pStyle w:val="TextoNormal"/>
      </w:pPr>
      <w:r>
        <w:t>(i) El Consejo Andaluz de Gobiernos Locales, regulado en el art. 57 de la Ley 5/2010, de 11 de junio, de autonomía local de Andalucía. Dicho consejo es un “órgano de representación de los municipios y las provincias ante las instituciones de la Junta de Andalucía” (apartado primero) y le corresponde conocer e informar con carácter previo “cuantos anteproyectos de leyes, planes y proyectos de disposiciones generales se elaboren por las instituciones y órganos de la Comunidad Autónoma de Andalucía que afecten a las competencias locales propias” (apartado segundo).</w:t>
      </w:r>
    </w:p>
    <w:p w14:paraId="40D572F0" w14:textId="77777777" w:rsidR="003754FE" w:rsidRDefault="003754FE" w:rsidP="003754FE">
      <w:pPr>
        <w:pStyle w:val="TextoNormal"/>
      </w:pPr>
    </w:p>
    <w:p w14:paraId="3E6EE9BA" w14:textId="77777777" w:rsidR="003754FE" w:rsidRDefault="003754FE" w:rsidP="003754FE">
      <w:pPr>
        <w:pStyle w:val="TextoNormal"/>
      </w:pPr>
      <w:r>
        <w:t>(ii) El Consejo Andaluz de Concertación Local, que trae causa del art. 95 EAAnd y se regula por su propia Ley 5/2014, de 30 de diciembre, del Consejo Andaluz de Concertación Local, tiene entre sus funciones “ser consultado en la tramitación parlamentaria de las disposiciones legislativas y planes que afecten de forma específica a las entidades locales, de conformidad con lo dispuesto en el artículo 95 del Estatuto de Autonomía para Andalucía y en los términos que establezca el Reglamento del Parlamento de Andalucía”, así como “informar los anteproyectos de ley, los proyectos de disposiciones generales y las propuestas de planes cuando el órgano proponente rechace observaciones o reparos del Consejo Andaluz de Gobiernos Locales que expresamente se hayan realizado por resultar afectadas las competencias locales propias” [art. 3.1 a) y b) de la Ley 5/2014].</w:t>
      </w:r>
    </w:p>
    <w:p w14:paraId="3FF99087" w14:textId="77777777" w:rsidR="003754FE" w:rsidRDefault="003754FE" w:rsidP="003754FE">
      <w:pPr>
        <w:pStyle w:val="TextoNormal"/>
      </w:pPr>
    </w:p>
    <w:p w14:paraId="130D72FC" w14:textId="77777777" w:rsidR="003754FE" w:rsidRDefault="003754FE" w:rsidP="003754FE">
      <w:pPr>
        <w:pStyle w:val="TextoNormal"/>
      </w:pPr>
      <w:r>
        <w:t>En relación con esta queja, hemos de decir que la demanda parte de una premisa que no se puede aceptar, ya que las normas citadas que regulan ambos consejos no constituyen parámetro alguno de constitucionalidad en los términos establecidos por el art. 28.1 LOTC, cosa que los propios recurrentes reconocen expresamente.</w:t>
      </w:r>
    </w:p>
    <w:p w14:paraId="6CBF5E16" w14:textId="77777777" w:rsidR="003754FE" w:rsidRDefault="003754FE" w:rsidP="003754FE">
      <w:pPr>
        <w:pStyle w:val="TextoNormal"/>
      </w:pPr>
    </w:p>
    <w:p w14:paraId="4A6C4D38" w14:textId="77777777" w:rsidR="003754FE" w:rsidRDefault="003754FE" w:rsidP="003754FE">
      <w:pPr>
        <w:pStyle w:val="TextoNormal"/>
      </w:pPr>
      <w:r>
        <w:t>En todo caso, la intervención de estos órganos, como se desprende de las leyes que los regulan, no es preceptiva en el procedimiento de elaboración de la legislación de urgencia de acuerdo con los arts. 86.1 CE y 110.1 EAAnd, en cuanto el decreto-ley es una disposición emanada del Consejo de Gobierno. Ni siquiera esta pretendida intervención local se puede amparar en el art. 95 EAAnd, puesto que este limita la intervención del Consejo Andaluz de Concertación Local a “la tramitación parlamentaria de las disposiciones legislativas y planes que afecten de forma específica a las corporaciones locales”, lo que evidencia que la misma tendría lugar, en todo caso, si el Parlamento andaluz acuerda “la tramitación de los decretos-leyes como proyectos de ley por el procedimiento de urgencia” (art. 110.2 EAAnd).</w:t>
      </w:r>
    </w:p>
    <w:p w14:paraId="6FCF9885" w14:textId="77777777" w:rsidR="003754FE" w:rsidRDefault="003754FE" w:rsidP="003754FE">
      <w:pPr>
        <w:pStyle w:val="TextoNormal"/>
      </w:pPr>
    </w:p>
    <w:p w14:paraId="0007B94C" w14:textId="0A1B1870" w:rsidR="003754FE" w:rsidRDefault="003754FE" w:rsidP="003754FE">
      <w:pPr>
        <w:pStyle w:val="TextoNormal"/>
      </w:pPr>
      <w:r>
        <w:t>En consecuencia, debemos desestimar esta tacha de inconstitucionalidad.</w:t>
      </w:r>
    </w:p>
    <w:p w14:paraId="2B1E18BA" w14:textId="77777777" w:rsidR="003754FE" w:rsidRDefault="003754FE" w:rsidP="003754FE">
      <w:pPr>
        <w:pStyle w:val="TextoNormal"/>
      </w:pPr>
    </w:p>
    <w:p w14:paraId="1C08012E" w14:textId="77777777" w:rsidR="003754FE" w:rsidRDefault="003754FE" w:rsidP="003754FE">
      <w:pPr>
        <w:pStyle w:val="TextoNormal"/>
      </w:pPr>
      <w:r w:rsidRPr="003754FE">
        <w:rPr>
          <w:rStyle w:val="NumeroAFNegritaCaracter"/>
        </w:rPr>
        <w:t>6</w:t>
      </w:r>
      <w:r>
        <w:t xml:space="preserve">. </w:t>
      </w:r>
      <w:r w:rsidRPr="003754FE">
        <w:rPr>
          <w:i/>
        </w:rPr>
        <w:t>Tercer motivo de impugnación: vulneración de las competencias estatales en materia de transportes terrestres (art. 149.1.21 CE). Desestimación</w:t>
      </w:r>
    </w:p>
    <w:p w14:paraId="05FB6AC4" w14:textId="77777777" w:rsidR="003754FE" w:rsidRDefault="003754FE" w:rsidP="003754FE">
      <w:pPr>
        <w:pStyle w:val="TextoNormal"/>
      </w:pPr>
    </w:p>
    <w:p w14:paraId="2A5F0C83" w14:textId="77777777" w:rsidR="003754FE" w:rsidRDefault="003754FE" w:rsidP="003754FE">
      <w:pPr>
        <w:pStyle w:val="TextoNormal"/>
      </w:pPr>
      <w:r>
        <w:t xml:space="preserve">a) La demanda alega, por último, una tacha de orden competencial referida concretamente al apartado tercero del art. 18 </w:t>
      </w:r>
      <w:r w:rsidRPr="003754FE">
        <w:rPr>
          <w:i/>
        </w:rPr>
        <w:t>bis</w:t>
      </w:r>
      <w:r>
        <w:t xml:space="preserve"> de la Ley 2/2003, en la redacción dada por el Decreto-ley 8/2022; precepto que habilita para realizar transportes urbanos de viajeros dentro de la comunidad autónoma andaluza a los que ya fueran titulares de autorizaciones de VTC de ámbito nacional tras la finalización del período establecido en la disposición transitoria única del Real Decreto-ley 13/2018.</w:t>
      </w:r>
    </w:p>
    <w:p w14:paraId="2A300516" w14:textId="77777777" w:rsidR="003754FE" w:rsidRDefault="003754FE" w:rsidP="003754FE">
      <w:pPr>
        <w:pStyle w:val="TextoNormal"/>
      </w:pPr>
    </w:p>
    <w:p w14:paraId="08FDAE6D" w14:textId="77777777" w:rsidR="003754FE" w:rsidRDefault="003754FE" w:rsidP="003754FE">
      <w:pPr>
        <w:pStyle w:val="TextoNormal"/>
      </w:pPr>
      <w:r>
        <w:t xml:space="preserve">Entienden los recurrentes que, en estos casos, se invaden las competencias estatales en materia de transportes terrestres </w:t>
      </w:r>
      <w:r w:rsidRPr="003754FE">
        <w:rPr>
          <w:i/>
        </w:rPr>
        <w:t>ex</w:t>
      </w:r>
      <w:r>
        <w:t xml:space="preserve"> art. 149.1.21 CE. Sostienen que el precepto impugnado contradice lo dispuesto en el art. 42.1 LOTT y en el art. 180.2 ROTT, que exigen estar en posesión del pertinente título habilitante —autorización administrativa— para la realización de transporte público de viajeros. En este caso, los recurrentes no cuestionan quién debe otorgar el título habilitante —objeto de examen en el fundamento anterior de esta sentencia— sino la omisión, a su juicio, de la exigencia del título habilitante en estos casos.</w:t>
      </w:r>
    </w:p>
    <w:p w14:paraId="711F3058" w14:textId="77777777" w:rsidR="003754FE" w:rsidRDefault="003754FE" w:rsidP="003754FE">
      <w:pPr>
        <w:pStyle w:val="TextoNormal"/>
      </w:pPr>
    </w:p>
    <w:p w14:paraId="2232737A" w14:textId="77777777" w:rsidR="003754FE" w:rsidRDefault="003754FE" w:rsidP="003754FE">
      <w:pPr>
        <w:pStyle w:val="TextoNormal"/>
      </w:pPr>
      <w:r>
        <w:t>b) La queja relativa a la eventual invasión de las competencias estatales en materia de transportes terrestres (art. 149.1.21 CE), ha de ser desestimada por las razones que se expondrán a continuación.</w:t>
      </w:r>
    </w:p>
    <w:p w14:paraId="750C53F3" w14:textId="77777777" w:rsidR="003754FE" w:rsidRDefault="003754FE" w:rsidP="003754FE">
      <w:pPr>
        <w:pStyle w:val="TextoNormal"/>
      </w:pPr>
    </w:p>
    <w:p w14:paraId="416CB9A2" w14:textId="77777777" w:rsidR="003754FE" w:rsidRDefault="003754FE" w:rsidP="003754FE">
      <w:pPr>
        <w:pStyle w:val="TextoNormal"/>
      </w:pPr>
      <w:r>
        <w:t xml:space="preserve">En primer lugar, hemos de tener en cuenta que ya hemos considerado ajustado al régimen de distribución de competencias entre el Estado y las comunidades autónomas un precepto —la disposición adicional cuarta de la Ley 20/1998, en la redacción dada por el apartado séptimo del artículo único de la Ley 5/2022— que es sustancialmente idéntico al ahora enjuiciado. En ambos casos, se determina que las autorizaciones de arrendamiento de VTC domiciliadas en las respectivas comunidades autónomas existentes en el momento de entrada en vigor de la reforma legal seguirán habilitando para la prestación de servicios de carácter urbano en el ámbito autonómico. Es, por ello, que el art. 18 </w:t>
      </w:r>
      <w:r w:rsidRPr="003754FE">
        <w:rPr>
          <w:i/>
        </w:rPr>
        <w:t>bis</w:t>
      </w:r>
      <w:r>
        <w:t>.3 de la Ley 2/2003, en la redacción dada por el Decreto-ley 8/2022, se ha dictado al amparo de la competencia autonómica para regular los servicios urbanos de la modalidad de transporte de arrendamiento de VTC [STC 88/2024, FJ 5 D)], y es expresión del ejercicio de la libertad de configuración que corresponde al legislador autonómico dentro de los márgenes que le confiere la Constitución y el Estatuto de Autonomía.</w:t>
      </w:r>
    </w:p>
    <w:p w14:paraId="2281AE0E" w14:textId="77777777" w:rsidR="003754FE" w:rsidRDefault="003754FE" w:rsidP="003754FE">
      <w:pPr>
        <w:pStyle w:val="TextoNormal"/>
      </w:pPr>
    </w:p>
    <w:p w14:paraId="06480B9B" w14:textId="77777777" w:rsidR="003754FE" w:rsidRDefault="003754FE" w:rsidP="003754FE">
      <w:pPr>
        <w:pStyle w:val="TextoNormal"/>
      </w:pPr>
      <w:r>
        <w:t>En segundo lugar, de los términos literales del precepto impugnado se deduce claramente que el mismo en ningún momento habilita para prestar servicios de arrendamiento de VTC en el ámbito urbano sin autorización previa, toda vez que el apartado segundo del mismo precepto exige la obtención de la autorización sin excepción alguna y con independencia del ámbito territorial. Lo que establece el apartado tercero, al amparo de la ya reseñada libertad de configuración normativa y dentro del marco constitucional y estatutario, es habilitar para la prestación del servicio en el ámbito urbano a quienes ya contaban con una autorización de VTC de ámbito nacional, lo que por otra parte no les exime del cumplimiento de los requisitos previstos en la normativa legal vigente y en la de desarrollo.</w:t>
      </w:r>
    </w:p>
    <w:p w14:paraId="22ECEBF9" w14:textId="77777777" w:rsidR="003754FE" w:rsidRDefault="003754FE" w:rsidP="003754FE">
      <w:pPr>
        <w:pStyle w:val="TextoNormal"/>
      </w:pPr>
    </w:p>
    <w:p w14:paraId="7D4C6B1C" w14:textId="76258206" w:rsidR="003754FE" w:rsidRDefault="003754FE" w:rsidP="003754FE">
      <w:pPr>
        <w:pStyle w:val="TextoNormal"/>
      </w:pPr>
      <w:r>
        <w:lastRenderedPageBreak/>
        <w:t>Es, por ello, que debemos desestimar la tacha de inconstitucionalidad en los términos en que ha sido formulada en este recurso.</w:t>
      </w:r>
    </w:p>
    <w:p w14:paraId="72B05639" w14:textId="77777777" w:rsidR="003754FE" w:rsidRDefault="003754FE" w:rsidP="003754FE">
      <w:pPr>
        <w:pStyle w:val="TextoNormal"/>
      </w:pPr>
    </w:p>
    <w:p w14:paraId="7D4E18EC" w14:textId="77777777" w:rsidR="003754FE" w:rsidRDefault="003754FE" w:rsidP="003754FE">
      <w:pPr>
        <w:pStyle w:val="TextoNormalCentrado"/>
        <w:keepNext/>
      </w:pPr>
      <w:r>
        <w:t>FALLO</w:t>
      </w:r>
    </w:p>
    <w:p w14:paraId="0A0BC8D9" w14:textId="0124D6B9" w:rsidR="003754FE" w:rsidRDefault="003754FE" w:rsidP="003754FE">
      <w:pPr>
        <w:pStyle w:val="TextoNormalCentrado"/>
        <w:keepNext/>
      </w:pPr>
    </w:p>
    <w:p w14:paraId="176C4B2C" w14:textId="776D1A7B" w:rsidR="003754FE" w:rsidRDefault="003754FE" w:rsidP="003754FE">
      <w:pPr>
        <w:pStyle w:val="TextoNormal"/>
      </w:pPr>
      <w:r>
        <w:t>En atención a todo lo expuesto, el Tribunal Constitucional, por la autoridad que le confiere la Constitución de la Nación española, ha decidido desestimar el recurso de inconstitucionalidad interpuesto por cincuenta y cinco diputados y diputadas pertenecientes al Grupo Parlamentario Confederal de Unidas Podemos-En Comú Podem-Galicia en Común, al Grupo Parlamentario Republicano, al Grupo Parlamentario Euskal Herria Bildu, al Grupo Parlamentario Plural y al Grupo Parlamentario Mixto en el Congreso de los Diputados, contra el Decreto-ley de la Junta de Andalucía 8/2022, de 27 de septiembre, por el que se modifica la Ley 2/2003, de 12 de mayo, de transportes urbanos y metropolitanos de viajeros en Andalucía.</w:t>
      </w:r>
    </w:p>
    <w:p w14:paraId="56677A9C" w14:textId="77777777" w:rsidR="003754FE" w:rsidRDefault="003754FE" w:rsidP="003754FE">
      <w:pPr>
        <w:pStyle w:val="TextoNormal"/>
      </w:pPr>
    </w:p>
    <w:p w14:paraId="4A01CFB5" w14:textId="77777777" w:rsidR="003754FE" w:rsidRDefault="003754FE" w:rsidP="003754FE">
      <w:pPr>
        <w:pStyle w:val="TextoNormal"/>
      </w:pPr>
      <w:r>
        <w:t>Publíquese esta sentencia en el “Boletín Oficial del Estado”.</w:t>
      </w:r>
    </w:p>
    <w:p w14:paraId="49CC55AB" w14:textId="77777777" w:rsidR="003754FE" w:rsidRDefault="003754FE" w:rsidP="003754FE">
      <w:pPr>
        <w:pStyle w:val="TextoNormal"/>
      </w:pPr>
      <w:r>
        <w:t>Dada en Madrid, a diez de septiembre de dos mil veinticuatro.</w:t>
      </w:r>
    </w:p>
    <w:p w14:paraId="6334F95A" w14:textId="024ED295" w:rsidR="003754FE" w:rsidRDefault="003754FE">
      <w:pPr>
        <w:spacing w:after="160" w:line="278" w:lineRule="auto"/>
        <w:rPr>
          <w:rFonts w:ascii="Times New Roman" w:eastAsia="Times New Roman" w:hAnsi="Times New Roman" w:cs="Times New Roman"/>
          <w:sz w:val="24"/>
          <w:szCs w:val="24"/>
          <w:lang w:eastAsia="es-ES"/>
        </w:rPr>
      </w:pPr>
      <w:r>
        <w:br w:type="page"/>
      </w:r>
    </w:p>
    <w:p w14:paraId="54AAC757" w14:textId="77777777" w:rsidR="003754FE" w:rsidRDefault="003754FE" w:rsidP="003754FE">
      <w:pPr>
        <w:pStyle w:val="TtuloResolucin"/>
      </w:pPr>
      <w:bookmarkStart w:id="21" w:name="SENTENCIA_2024_112"/>
      <w:r>
        <w:lastRenderedPageBreak/>
        <w:t>SENTENCIA 112/2024, de 10 de septiembre de 2024</w:t>
      </w:r>
    </w:p>
    <w:bookmarkEnd w:id="21"/>
    <w:p w14:paraId="1359EBB3" w14:textId="77777777" w:rsidR="003754FE" w:rsidRDefault="003754FE" w:rsidP="003754FE">
      <w:pPr>
        <w:pStyle w:val="TtuloResolucin"/>
      </w:pPr>
      <w:r>
        <w:t>Pleno</w:t>
      </w:r>
    </w:p>
    <w:p w14:paraId="3092191D" w14:textId="77777777" w:rsidR="003754FE" w:rsidRDefault="003754FE" w:rsidP="003754FE">
      <w:pPr>
        <w:pStyle w:val="TtuloBOE"/>
      </w:pPr>
      <w:r>
        <w:t>(BOE núm. 247, de 12 de octubre de 2024)</w:t>
      </w:r>
    </w:p>
    <w:p w14:paraId="4887FFFF" w14:textId="77777777" w:rsidR="003754FE" w:rsidRDefault="003754FE" w:rsidP="003754FE">
      <w:pPr>
        <w:pStyle w:val="TextoNormalCentrado"/>
      </w:pPr>
      <w:r>
        <w:t>ECLI:ES:TC:2024:112</w:t>
      </w:r>
    </w:p>
    <w:p w14:paraId="205EE8AD" w14:textId="7410EE04" w:rsidR="003754FE" w:rsidRDefault="003754FE" w:rsidP="003754FE">
      <w:pPr>
        <w:pStyle w:val="TextoNormalCentrado"/>
      </w:pPr>
    </w:p>
    <w:p w14:paraId="344BA192" w14:textId="77777777" w:rsidR="003754FE" w:rsidRDefault="003754FE" w:rsidP="003754FE">
      <w:pPr>
        <w:pStyle w:val="SntesisDescriptiva"/>
      </w:pPr>
      <w:r>
        <w:t>Cuestión de inconstitucionalidad 3263-2023. Planteada por la Sección Tercera de la Sala de lo Contencioso-Administrativo del Tribunal Supremo en relación con el artículo 2.2 del Decreto-ley del Gobierno de las Illes Balears 1/2019, de 22 de febrero, de medidas urgentes sobre la explotación y el control de la actividad de alquiler de vehículos con conductor y otras medidas en materia de transportes terrestres.</w:t>
      </w:r>
    </w:p>
    <w:p w14:paraId="3BFE7B24" w14:textId="64F8B52E" w:rsidR="003754FE" w:rsidRDefault="003754FE" w:rsidP="003754FE">
      <w:pPr>
        <w:pStyle w:val="SntesisDescriptiva"/>
      </w:pPr>
    </w:p>
    <w:p w14:paraId="05E5B303" w14:textId="77777777" w:rsidR="003754FE" w:rsidRDefault="003754FE" w:rsidP="003754FE">
      <w:pPr>
        <w:pStyle w:val="SntesisAnaltica"/>
      </w:pPr>
      <w:r>
        <w:t>Libertad de empresa: nulidad del precepto legal que introduce la exigencia de un lapso de treinta minutos de antelación mínima entre la contratación telemática y la prestación del servicio de alquiler de vehículos con conductor.</w:t>
      </w:r>
    </w:p>
    <w:p w14:paraId="63A71D55" w14:textId="1D1D3E24" w:rsidR="003754FE" w:rsidRDefault="003754FE" w:rsidP="003754FE">
      <w:pPr>
        <w:pStyle w:val="SntesisAnaltica"/>
      </w:pPr>
    </w:p>
    <w:p w14:paraId="4DDB8E5D" w14:textId="426B6936" w:rsidR="003754FE" w:rsidRDefault="003754FE" w:rsidP="003754FE">
      <w:pPr>
        <w:pStyle w:val="Extracto"/>
      </w:pPr>
      <w:r>
        <w:t>1.</w:t>
      </w:r>
      <w:r>
        <w:tab/>
        <w:t>Los VTC (vehículos de transporte con conductor)  tienen libertad para establecer los precios y no están sometidos a la obligación de prestar el servicio; además, el servicio de transporte que ofrecen siempre ha de precontratarse por el cliente antes de su prestación. Y el carácter de servicio público de interés general, propio del taxi, no concurre en la modalidad de VTC cuya regulación es diferente, al estar esencialmente sometida a libre iniciativa privada, previa la correspondiente autorización administrativa [FJ 3].</w:t>
      </w:r>
    </w:p>
    <w:p w14:paraId="57ECF194" w14:textId="77777777" w:rsidR="003754FE" w:rsidRDefault="003754FE" w:rsidP="003754FE">
      <w:pPr>
        <w:pStyle w:val="Extracto"/>
      </w:pPr>
    </w:p>
    <w:p w14:paraId="72CC0E39" w14:textId="5EC3FFB3" w:rsidR="003754FE" w:rsidRDefault="003754FE" w:rsidP="003754FE">
      <w:pPr>
        <w:pStyle w:val="Extracto"/>
      </w:pPr>
      <w:r>
        <w:t>2.</w:t>
      </w:r>
      <w:r>
        <w:tab/>
        <w:t>El derecho a la libertad de empresa reconocido en el art. 38 CE supone la exigencia de que las regulaciones públicas que afectan al ejercicio de una actividad empresarial, sean adecuadas para promover un objetivo considerado constitucionalmente legítimo y que las limitaciones que tales regulaciones impongan sobre el libre ejercicio de una actividad económica no conlleven, debido a su intensidad, una privación del referido derecho (STC 89/2017) [FJ 4].</w:t>
      </w:r>
    </w:p>
    <w:p w14:paraId="387C66DD" w14:textId="77777777" w:rsidR="003754FE" w:rsidRDefault="003754FE" w:rsidP="003754FE">
      <w:pPr>
        <w:pStyle w:val="Extracto"/>
      </w:pPr>
    </w:p>
    <w:p w14:paraId="18412ECB" w14:textId="5BD8E4C0" w:rsidR="003754FE" w:rsidRDefault="003754FE" w:rsidP="003754FE">
      <w:pPr>
        <w:pStyle w:val="Extracto"/>
      </w:pPr>
      <w:r>
        <w:t>3.</w:t>
      </w:r>
      <w:r>
        <w:tab/>
        <w:t>A los poderes públicos competentes, en función del tipo de transporte de que se trate, corresponde el establecimiento de medidas que faciliten el control efectivo de la regulación de la precontratación y al mismo tiempo hagan posible el equilibrio entre el mantenimiento de un modelo de transporte regulado y la libertad de empresa y la competencia entre operadores [FJ 5].</w:t>
      </w:r>
    </w:p>
    <w:p w14:paraId="011F1229" w14:textId="77777777" w:rsidR="003754FE" w:rsidRDefault="003754FE" w:rsidP="003754FE">
      <w:pPr>
        <w:pStyle w:val="Extracto"/>
      </w:pPr>
    </w:p>
    <w:p w14:paraId="7BEC511B" w14:textId="77777777" w:rsidR="003754FE" w:rsidRDefault="003754FE" w:rsidP="003754FE">
      <w:pPr>
        <w:pStyle w:val="Extracto"/>
      </w:pPr>
    </w:p>
    <w:p w14:paraId="7A6C541B"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Enrique Arnaldo Alcubilla, doña Concepción Espejel Jorquera, doña María Luisa Segoviano Astaburuaga, don César Tolosa Tribiño, don Juan Carlos Campo Moreno, doña Laura Díez Bueso y don José María Macías Castaño ha pronunciado</w:t>
      </w:r>
    </w:p>
    <w:p w14:paraId="29A5FDA7" w14:textId="16C40E7B" w:rsidR="003754FE" w:rsidRDefault="003754FE" w:rsidP="003754FE">
      <w:pPr>
        <w:pStyle w:val="TextoNormal"/>
      </w:pPr>
    </w:p>
    <w:p w14:paraId="432FA53B" w14:textId="77777777" w:rsidR="003754FE" w:rsidRDefault="003754FE" w:rsidP="003754FE">
      <w:pPr>
        <w:pStyle w:val="TextoNormalCentrado"/>
        <w:keepNext/>
      </w:pPr>
      <w:r>
        <w:t>EN NOMBRE DEL REY</w:t>
      </w:r>
    </w:p>
    <w:p w14:paraId="2586DDB3" w14:textId="41F3DB44" w:rsidR="003754FE" w:rsidRDefault="003754FE" w:rsidP="003754FE">
      <w:pPr>
        <w:pStyle w:val="TextoNormalCentrado"/>
        <w:keepNext/>
      </w:pPr>
    </w:p>
    <w:p w14:paraId="332D40F5" w14:textId="77777777" w:rsidR="003754FE" w:rsidRDefault="003754FE" w:rsidP="003754FE">
      <w:pPr>
        <w:pStyle w:val="TextoNormalCentrado"/>
        <w:keepNext/>
      </w:pPr>
    </w:p>
    <w:p w14:paraId="6776A54D" w14:textId="77777777" w:rsidR="003754FE" w:rsidRDefault="003754FE" w:rsidP="003754FE">
      <w:pPr>
        <w:pStyle w:val="TextoNormal"/>
      </w:pPr>
      <w:r>
        <w:t>la siguiente</w:t>
      </w:r>
    </w:p>
    <w:p w14:paraId="72160EEA" w14:textId="53470AD0" w:rsidR="003754FE" w:rsidRDefault="003754FE" w:rsidP="003754FE">
      <w:pPr>
        <w:pStyle w:val="TextoNormal"/>
      </w:pPr>
    </w:p>
    <w:p w14:paraId="44ADECDA" w14:textId="77777777" w:rsidR="003754FE" w:rsidRDefault="003754FE" w:rsidP="003754FE">
      <w:pPr>
        <w:pStyle w:val="TextoNormalCentrado"/>
        <w:keepNext/>
      </w:pPr>
      <w:r>
        <w:t>SENTENCIA</w:t>
      </w:r>
    </w:p>
    <w:p w14:paraId="6455DC74" w14:textId="4CF7420E" w:rsidR="003754FE" w:rsidRDefault="003754FE" w:rsidP="003754FE">
      <w:pPr>
        <w:pStyle w:val="TextoNormalCentrado"/>
        <w:keepNext/>
      </w:pPr>
    </w:p>
    <w:p w14:paraId="0D58EEDE" w14:textId="77777777" w:rsidR="003754FE" w:rsidRDefault="003754FE" w:rsidP="003754FE">
      <w:pPr>
        <w:pStyle w:val="TextoNormal"/>
      </w:pPr>
      <w:r>
        <w:t>En la cuestión de inconstitucionalidad núm. 3263-2023, promovida por la Sección Tercera de la Sala de lo Contencioso-Administrativo del Tribunal Supremo en relación con el art. 2.2 del Decreto-ley del Gobierno de las Illes Balears 1/2019, de 22 de febrero, de medidas urgentes sobre la explotación y el control de la actividad de alquiler de vehículos con conductor y otras medidas en materia de transportes terrestres, en cuanto que da nueva redacción al art. 74 bis.1 b) de la Ley 4/2014, de 20 de junio, de transportes terrestres y movilidad sostenible de las Illes Balears. Han comparecido y formulado alegaciones el Parlamento y el Gobierno de las Illes Balears, las sociedades mercantiles Ares Capital, S.A., y Aucona Servicios Integrales, S.L., la Federación Independiente del Taxi de las Islas Baleares, la asociación Taxi Project 2.0 y el Ministerio Fiscal. Ha sido ponente el magistrado don Enrique Arnaldo Alcubilla.</w:t>
      </w:r>
    </w:p>
    <w:p w14:paraId="72253FD0" w14:textId="4D3BE1F9" w:rsidR="003754FE" w:rsidRDefault="003754FE" w:rsidP="003754FE">
      <w:pPr>
        <w:pStyle w:val="TextoNormal"/>
      </w:pPr>
    </w:p>
    <w:p w14:paraId="028DA692" w14:textId="77777777" w:rsidR="003754FE" w:rsidRDefault="003754FE" w:rsidP="003754FE">
      <w:pPr>
        <w:pStyle w:val="TextoNormalNegritaCentrado"/>
        <w:keepNext/>
      </w:pPr>
      <w:r>
        <w:t>I. Antecedentes</w:t>
      </w:r>
    </w:p>
    <w:p w14:paraId="17EDB005" w14:textId="148662EC" w:rsidR="003754FE" w:rsidRDefault="003754FE" w:rsidP="003754FE">
      <w:pPr>
        <w:pStyle w:val="TextoNormalNegritaCentrado"/>
        <w:keepNext/>
      </w:pPr>
    </w:p>
    <w:p w14:paraId="3F6BE7FC" w14:textId="77777777" w:rsidR="003754FE" w:rsidRDefault="003754FE" w:rsidP="003754FE">
      <w:pPr>
        <w:pStyle w:val="TextoNormal"/>
      </w:pPr>
      <w:r w:rsidRPr="003754FE">
        <w:rPr>
          <w:rStyle w:val="NumeroAFNegritaCaracter"/>
        </w:rPr>
        <w:t>1</w:t>
      </w:r>
      <w:r>
        <w:t xml:space="preserve">. El 17 de mayo de 2023 tuvo entrada en el registro general del Tribunal Constitucional un oficio de la Sección Tercera de la Sala de lo Contencioso-Administrativo del Tribunal Supremo por el que se remite, junto con el testimonio de las actuaciones, el auto de 21 de marzo de 2023 por el que se acuerda plantear cuestión de inconstitucionalidad en relación con el art. 2.2 del Decreto-ley del Gobierno de las Illes Balears 1/2019, de 22 de febrero, de medidas urgentes sobre la explotación y el control de la actividad de alquiler de vehículos con conductor y otras medidas en materia de transportes terrestres, en cuanto que da nueva redacción al art. 74 </w:t>
      </w:r>
      <w:r w:rsidRPr="003754FE">
        <w:rPr>
          <w:i/>
        </w:rPr>
        <w:t>bis</w:t>
      </w:r>
      <w:r>
        <w:t>.1 b) de la Ley 4/2014, de 20 de junio, de transportes terrestres y movilidad sostenible de las Illes Balears, por posible vulneración del art. 38 CE.</w:t>
      </w:r>
    </w:p>
    <w:p w14:paraId="5040966B" w14:textId="77777777" w:rsidR="003754FE" w:rsidRDefault="003754FE" w:rsidP="003754FE">
      <w:pPr>
        <w:pStyle w:val="TextoNormal"/>
      </w:pPr>
    </w:p>
    <w:p w14:paraId="59E25512" w14:textId="77777777" w:rsidR="003754FE" w:rsidRDefault="003754FE" w:rsidP="003754FE">
      <w:pPr>
        <w:pStyle w:val="TextoNormal"/>
      </w:pPr>
      <w:r>
        <w:t>El citado precepto del Decreto-ley del Gobierno de las Illes Balears 1/2019, de 22 de febrero, dispone:</w:t>
      </w:r>
    </w:p>
    <w:p w14:paraId="5934E369" w14:textId="77777777" w:rsidR="003754FE" w:rsidRDefault="003754FE" w:rsidP="003754FE">
      <w:pPr>
        <w:pStyle w:val="TextoNormal"/>
      </w:pPr>
    </w:p>
    <w:p w14:paraId="36B11D43" w14:textId="77777777" w:rsidR="003754FE" w:rsidRDefault="003754FE" w:rsidP="003754FE">
      <w:pPr>
        <w:pStyle w:val="TextoNormal"/>
      </w:pPr>
      <w:r>
        <w:t>“Artículo 2. Modificaciones de la Ley 4/2014, de 20 de junio, de transportes terrestres y movilidad sostenible de las Illes Balears</w:t>
      </w:r>
    </w:p>
    <w:p w14:paraId="2FFD00A4" w14:textId="77777777" w:rsidR="003754FE" w:rsidRDefault="003754FE" w:rsidP="003754FE">
      <w:pPr>
        <w:pStyle w:val="TextoNormal"/>
      </w:pPr>
    </w:p>
    <w:p w14:paraId="7B0D049C" w14:textId="77777777" w:rsidR="003754FE" w:rsidRDefault="003754FE" w:rsidP="003754FE">
      <w:pPr>
        <w:pStyle w:val="TextoNormal"/>
      </w:pPr>
      <w:r>
        <w:t>[…]</w:t>
      </w:r>
    </w:p>
    <w:p w14:paraId="13C89C01" w14:textId="77777777" w:rsidR="003754FE" w:rsidRDefault="003754FE" w:rsidP="003754FE">
      <w:pPr>
        <w:pStyle w:val="TextoNormal"/>
      </w:pPr>
    </w:p>
    <w:p w14:paraId="5E57BF4D" w14:textId="77777777" w:rsidR="003754FE" w:rsidRDefault="003754FE" w:rsidP="003754FE">
      <w:pPr>
        <w:pStyle w:val="TextoNormal"/>
      </w:pPr>
      <w:r>
        <w:t xml:space="preserve">2. Se modifica el artículo 74 </w:t>
      </w:r>
      <w:r w:rsidRPr="003754FE">
        <w:rPr>
          <w:i/>
        </w:rPr>
        <w:t>bis</w:t>
      </w:r>
      <w:r>
        <w:t>.1, que quedará redactado de la siguiente manera:</w:t>
      </w:r>
    </w:p>
    <w:p w14:paraId="71EED9B3" w14:textId="77777777" w:rsidR="003754FE" w:rsidRDefault="003754FE" w:rsidP="003754FE">
      <w:pPr>
        <w:pStyle w:val="TextoNormal"/>
      </w:pPr>
    </w:p>
    <w:p w14:paraId="115FBC9C" w14:textId="77777777" w:rsidR="003754FE" w:rsidRDefault="003754FE" w:rsidP="003754FE">
      <w:pPr>
        <w:pStyle w:val="TextoNormal"/>
      </w:pPr>
      <w:r>
        <w:t>‘1. A efectos de mejorar la gestión de la movilidad de las personas viajeras y garantizar el control efectivo de las condiciones de prestación de los servicios, respetando los criterios de proporcionalidad establecidos en el Decreto 43/2014, de 3 de octubre, por el que se desarrollan y concretan determinados aspectos de la actividad de alquiler de vehículos con conductor en el ámbito territorial de las Illes Balears, se establecen las siguientes condiciones:</w:t>
      </w:r>
    </w:p>
    <w:p w14:paraId="66DA71F5" w14:textId="77777777" w:rsidR="003754FE" w:rsidRDefault="003754FE" w:rsidP="003754FE">
      <w:pPr>
        <w:pStyle w:val="TextoNormal"/>
      </w:pPr>
    </w:p>
    <w:p w14:paraId="39F6DE65" w14:textId="77777777" w:rsidR="003754FE" w:rsidRDefault="003754FE" w:rsidP="003754FE">
      <w:pPr>
        <w:pStyle w:val="TextoNormal"/>
      </w:pPr>
      <w:r>
        <w:t>a) La actividad de alquiler de vehículos con conductor viene regulada por la normativa estatal, conforme a la cual su ejercicio está acondicionado a la obtención de la correspondiente autorización y su utilización por parte de las personas usuarias está condicionada a la previa contratación del servicio.</w:t>
      </w:r>
    </w:p>
    <w:p w14:paraId="01403AA9" w14:textId="77777777" w:rsidR="003754FE" w:rsidRDefault="003754FE" w:rsidP="003754FE">
      <w:pPr>
        <w:pStyle w:val="TextoNormal"/>
      </w:pPr>
    </w:p>
    <w:p w14:paraId="136C17D9" w14:textId="77777777" w:rsidR="003754FE" w:rsidRDefault="003754FE" w:rsidP="003754FE">
      <w:pPr>
        <w:pStyle w:val="TextoNormal"/>
      </w:pPr>
      <w:r>
        <w:t>b) Se establece la obligación de reservar el servicio con una antelación de treinta minutos a su prestación. En el vehículo obligatoriamente deberá llevarse la documentación acreditativa de esta contratación; si la contratación previa se hubiera efectuado por medios telemáticos, se deberá acreditar, a través de la aplicación, servicio o documento digital correspondiente, la reserva previa de treinta minutos.</w:t>
      </w:r>
    </w:p>
    <w:p w14:paraId="696C6FD0" w14:textId="77777777" w:rsidR="003754FE" w:rsidRDefault="003754FE" w:rsidP="003754FE">
      <w:pPr>
        <w:pStyle w:val="TextoNormal"/>
      </w:pPr>
    </w:p>
    <w:p w14:paraId="6A89A13A" w14:textId="77777777" w:rsidR="003754FE" w:rsidRDefault="003754FE" w:rsidP="003754FE">
      <w:pPr>
        <w:pStyle w:val="TextoNormal"/>
      </w:pPr>
      <w:r>
        <w:t>c) Los vehículos adscritos a las autorizaciones de alquiler de vehículos con conductor no podrán, en ningún caso, circular por las vías públicas para buscar clientes ni propiciar la captación de personas viajeras que no hayan contratado previamente el servicio ni permanecer estacionados a estos efectos.</w:t>
      </w:r>
    </w:p>
    <w:p w14:paraId="0AD1E91D" w14:textId="77777777" w:rsidR="003754FE" w:rsidRDefault="003754FE" w:rsidP="003754FE">
      <w:pPr>
        <w:pStyle w:val="TextoNormal"/>
      </w:pPr>
    </w:p>
    <w:p w14:paraId="301E1F34" w14:textId="48B01CAE" w:rsidR="003754FE" w:rsidRDefault="003754FE" w:rsidP="003754FE">
      <w:pPr>
        <w:pStyle w:val="TextoNormal"/>
      </w:pPr>
      <w:r>
        <w:t>d) Los vehículos adscritos a las autorizaciones de alquiler de vehículos con conductor deberán ir permanentemente identificados tal como se establece en el Decreto 56/2016, de 16 de septiembre, por el que se regula el distintivo de identificación de los vehículos dedicados a la actividad de alquiler con conductor en la comunidad autónoma de las Illes Balears’”.</w:t>
      </w:r>
    </w:p>
    <w:p w14:paraId="3D1319B6" w14:textId="77777777" w:rsidR="003754FE" w:rsidRDefault="003754FE" w:rsidP="003754FE">
      <w:pPr>
        <w:pStyle w:val="TextoNormal"/>
      </w:pPr>
    </w:p>
    <w:p w14:paraId="0821BA1F" w14:textId="77777777" w:rsidR="003754FE" w:rsidRDefault="003754FE" w:rsidP="003754FE">
      <w:pPr>
        <w:pStyle w:val="TextoNormal"/>
      </w:pPr>
      <w:r w:rsidRPr="003754FE">
        <w:rPr>
          <w:rStyle w:val="NumeroAFNegritaCaracter"/>
        </w:rPr>
        <w:t>2</w:t>
      </w:r>
      <w:r>
        <w:t>. Los antecedentes de hecho de la presente cuestión de inconstitucionalidad son, en síntesis, los siguientes:</w:t>
      </w:r>
    </w:p>
    <w:p w14:paraId="132ABCA3" w14:textId="77777777" w:rsidR="003754FE" w:rsidRDefault="003754FE" w:rsidP="003754FE">
      <w:pPr>
        <w:pStyle w:val="TextoNormal"/>
      </w:pPr>
    </w:p>
    <w:p w14:paraId="410DD04A" w14:textId="77777777" w:rsidR="003754FE" w:rsidRDefault="003754FE" w:rsidP="003754FE">
      <w:pPr>
        <w:pStyle w:val="TextoNormal"/>
      </w:pPr>
      <w:r>
        <w:t>a) Las representaciones procesales de Ares Capital, S.A., y Aucona Servicios Integrales, S.L., interpusieron recurso contencioso-administrativo contra la previsión de treinta minutos de precontratación recogida en el art. 11.1 del Decreto del Consejo de Gobierno de las Illes Balears 46/2019, de 7 de junio, por el que se establecen las autorizaciones de alquiler de vehículos con conductor de ámbito insular y carácter temporal en la isla de Mallorca. Los recurrentes reputaban esta previsión contraria (i) a la libertad de empresa prevista en el art. 38 CE; (ii) a lo previsto en el art. 5 de la Ley 20/2013, de 9 de diciembre, de garantía de la unidad de mercado; y (iii) a lo dispuesto en el art. 129 de la Ley 39/2015, de 1 de octubre, del procedimiento administrativo común de las administraciones públicas, en materia de principios de buena regulación.</w:t>
      </w:r>
    </w:p>
    <w:p w14:paraId="73A73B96" w14:textId="77777777" w:rsidR="003754FE" w:rsidRDefault="003754FE" w:rsidP="003754FE">
      <w:pPr>
        <w:pStyle w:val="TextoNormal"/>
      </w:pPr>
    </w:p>
    <w:p w14:paraId="0337E00C" w14:textId="77777777" w:rsidR="003754FE" w:rsidRDefault="003754FE" w:rsidP="003754FE">
      <w:pPr>
        <w:pStyle w:val="TextoNormal"/>
      </w:pPr>
      <w:r>
        <w:t>En el otrosí primero de la demanda solicitaban, al amparo de lo dispuesto en el art. 35 de la Ley Orgánica del Tribunal Constitucional (LOTC), que antes de dictar sentencia se plantease cuestión de inconstitucionalidad sobre el Decreto-ley autonómico 1/2019 y sobre el Real Decreto-ley 13/2018, de 28 de septiembre, por el que se modifica la Ley 16/1987, de 30 de julio, de ordenación de los transportes terrestres, en materia de arrendamiento de vehículos con conductor, “puesto que el tiempo mínimo de precontratación de treinta minutos establecido en el artículo 11.1 del Decreto impugnado viene impuesto por el Decreto-Ley 1/2019 , y este a su vez halla apoyatura jurídica expresa en el Real Decreto-ley 13/2018, se hace por lo tanto necesario, antes de dictar sentencia, decidir sobre la conformidad a la Constitución de dichos Real Decreto-ley 13/2018 y Decreto-ley 1/2019”.</w:t>
      </w:r>
    </w:p>
    <w:p w14:paraId="7BF1B8C7" w14:textId="77777777" w:rsidR="003754FE" w:rsidRDefault="003754FE" w:rsidP="003754FE">
      <w:pPr>
        <w:pStyle w:val="TextoNormal"/>
      </w:pPr>
    </w:p>
    <w:p w14:paraId="435A9054" w14:textId="77777777" w:rsidR="003754FE" w:rsidRDefault="003754FE" w:rsidP="003754FE">
      <w:pPr>
        <w:pStyle w:val="TextoNormal"/>
      </w:pPr>
      <w:r>
        <w:t xml:space="preserve">b) Sin acordar el planteamiento de la cuestión de inconstitucionalidad que solicitaba la parte actora, la Sala de lo Contencioso-Administrativo del Tribunal Superior de Justicia de las Islas Baleares desestimó el recurso por sentencia núm. 148/2021, de 3 de marzo. La sentencia entendió que nada se oponía específicamente en el recurso respecto al art. 11.1 del Decreto 46/2019, centrándose la discrepancia en la posible inconstitucionalidad del Real </w:t>
      </w:r>
      <w:r>
        <w:lastRenderedPageBreak/>
        <w:t>Decreto-ley 3/2018, de 28 de septiembre, por el que se modifica la Ley 16/1987, de 30 de julio, de ordenación de los transportes terrestres, en materia de arrendamiento de vehículos con conductor, y del Decreto-ley autonómico 1/2019, de 22 de febrero, de medidas urgentes sobre la explotación y el control de la actividad de alquiler de vehículos con conductor y otras medidas en materia de transportes terrestres. A este respecto la sentencia aprecia que no concurren los posibles motivos formales de inconstitucionalidad aducidos y que tampoco se vulnera la libertad de empresa, pues entiende que la regulación discutida no presenta una desproporción incompatible con la efectividad del derecho a la libertad de empresa recogido en el art. 38 CE.</w:t>
      </w:r>
    </w:p>
    <w:p w14:paraId="69436AA4" w14:textId="77777777" w:rsidR="003754FE" w:rsidRDefault="003754FE" w:rsidP="003754FE">
      <w:pPr>
        <w:pStyle w:val="TextoNormal"/>
      </w:pPr>
    </w:p>
    <w:p w14:paraId="59104D2E" w14:textId="77777777" w:rsidR="003754FE" w:rsidRDefault="003754FE" w:rsidP="003754FE">
      <w:pPr>
        <w:pStyle w:val="TextoNormal"/>
      </w:pPr>
      <w:r>
        <w:t>c) Preparado recurso de casación por las representaciones procesales de Ares Capital, S.A., y Aucona Servicios Integrales, S.L., se personaron como partes recurridas la Comunidad Autónoma de las Illes Balears, la Federación Independiente de Taxi de las Islas Baleares y la entidad Taxi Project 2.0. En el recurso se alega la infracción del art. 5 de la Ley de garantía de la unidad de mercado, en conexión con el art. 38 CE, así como del propio art. 38 CE se plantea la pertinencia y necesidad de plantear cuestión de inconstitucionalidad sobre el Decreto-ley autonómico 1/2019 y el Real Decreto-ley 13/2018.</w:t>
      </w:r>
    </w:p>
    <w:p w14:paraId="498089E3" w14:textId="77777777" w:rsidR="003754FE" w:rsidRDefault="003754FE" w:rsidP="003754FE">
      <w:pPr>
        <w:pStyle w:val="TextoNormal"/>
      </w:pPr>
    </w:p>
    <w:p w14:paraId="2F1C4F22" w14:textId="77777777" w:rsidR="003754FE" w:rsidRDefault="003754FE" w:rsidP="003754FE">
      <w:pPr>
        <w:pStyle w:val="TextoNormal"/>
      </w:pPr>
      <w:r>
        <w:t>El recurso de casación fue admitido a trámite por auto de 2 de febrero de 2022, de la Sección Primera de la Sala de lo Contencioso-Administrativo del Tribunal Supremo. La cuestión sobre la que se entiende que existe interés casacional objetivo para la formación de jurisprudencia consiste en determinar “si la obligación de comunicación con una antelación, al menos, de treinta minutos al inicio de la prestación del servicio de alquiler de vehículos con conductor, establecida por el artículo 11.1 del Decreto CAIB 46/2019, de 7 de junio, por el que se establecen las autorizaciones de alquiler de vehículos con conductor de ámbito insular y carácter temporal en la isla de Mallorca, es o no contraria a lo establecido por los artículos 38 de la Constitución española y 5 de la Ley 20/2013, de 9 de diciembre, de garantía de la unidad de mercado, y aclarar si resulta pertinente el planteamiento de la cuestión de inconstitucionalidad que solicita la actora”. Señala también el auto: “Las normas que, en principio, serán objeto de interpretación, son el artículo 11.1 del Decreto CAIB 46/2019, de 7 de junio, por el que se establecen las autorizaciones de alquiler de vehículos con conductor de ámbito insular y carácter temporal en la isla de Mallorca; el artículo 38 de la Constitución española; y el artículo 5 de la Ley 20/2013, de 9 de diciembre, de garantía de la unidad de mercado. Todo ello sin perjuicio de que la sentencia haya de extenderse a normas si así lo exigiere el debate finalmente trabado en el recurso”.</w:t>
      </w:r>
    </w:p>
    <w:p w14:paraId="6DA7EAC4" w14:textId="77777777" w:rsidR="003754FE" w:rsidRDefault="003754FE" w:rsidP="003754FE">
      <w:pPr>
        <w:pStyle w:val="TextoNormal"/>
      </w:pPr>
    </w:p>
    <w:p w14:paraId="67764415" w14:textId="77777777" w:rsidR="003754FE" w:rsidRDefault="003754FE" w:rsidP="003754FE">
      <w:pPr>
        <w:pStyle w:val="TextoNormal"/>
      </w:pPr>
      <w:r>
        <w:t>d) Mediante providencia de 5 de octubre de 2022 se acordó la celebración de vista pública, que tuvo lugar el día 24 de enero de 2023.</w:t>
      </w:r>
    </w:p>
    <w:p w14:paraId="1A085B0D" w14:textId="77777777" w:rsidR="003754FE" w:rsidRDefault="003754FE" w:rsidP="003754FE">
      <w:pPr>
        <w:pStyle w:val="TextoNormal"/>
      </w:pPr>
    </w:p>
    <w:p w14:paraId="21CA8634" w14:textId="77777777" w:rsidR="003754FE" w:rsidRDefault="003754FE" w:rsidP="003754FE">
      <w:pPr>
        <w:pStyle w:val="TextoNormal"/>
      </w:pPr>
      <w:r>
        <w:t xml:space="preserve">e) Por providencia de 1 de febrero de 2023 la Sección Tercera de la Sala de lo Contencioso-Administrativo del Tribunal Supremo acordó dejar en suspenso el plazo para dictar sentencia y conferir a las partes y al Ministerio Fiscal un plazo común de diez días para que pudieran formular alegaciones sobre la procedencia de plantear ante el Tribunal Constitucional la posible inconstitucionalidad del Decreto-ley 1/2019, de 22 de febrero, del Gobierno de la Comunidad Autónoma de las Illes Balears, de medidas urgentes sobre la explotación y el control de la actividad de alquiler de vehículos con conductor y otras medidas en materia de transportes terrestres, por ser contraria al principio de libertad de empresa (art. 38 CE), la exigencia establecida en el art. 2.2 del citado Decreto-ley 1/2019 en el que se </w:t>
      </w:r>
      <w:r>
        <w:lastRenderedPageBreak/>
        <w:t>establece la obligación de reservar el servicio de alquiler de vehículo con conductor (VTC) con una antelación mínima de treinta minutos a la prestación del servicio.</w:t>
      </w:r>
    </w:p>
    <w:p w14:paraId="04D2B112" w14:textId="77777777" w:rsidR="003754FE" w:rsidRDefault="003754FE" w:rsidP="003754FE">
      <w:pPr>
        <w:pStyle w:val="TextoNormal"/>
      </w:pPr>
    </w:p>
    <w:p w14:paraId="3AE545AA" w14:textId="77777777" w:rsidR="003754FE" w:rsidRDefault="003754FE" w:rsidP="003754FE">
      <w:pPr>
        <w:pStyle w:val="TextoNormal"/>
      </w:pPr>
      <w:r>
        <w:t>f) La representación procesal de la entidad Taxi Project 2.0 no se opuso al planteamiento de la cuestión de inconstitucionalidad, a la vista de lo decidido por la misma Sección en la sentencia 164/2023, de 13 de febrero, respecto a una previsión similar del Decreto 200/2019, de 17 de diciembre, sobre condiciones de prestación del servicio de arrendamiento de vehículos con conductor y con autorización de ámbito nacional en la Comunidad Autónoma de Euskadi.</w:t>
      </w:r>
    </w:p>
    <w:p w14:paraId="265307E0" w14:textId="77777777" w:rsidR="003754FE" w:rsidRDefault="003754FE" w:rsidP="003754FE">
      <w:pPr>
        <w:pStyle w:val="TextoNormal"/>
      </w:pPr>
    </w:p>
    <w:p w14:paraId="60180714" w14:textId="77777777" w:rsidR="003754FE" w:rsidRDefault="003754FE" w:rsidP="003754FE">
      <w:pPr>
        <w:pStyle w:val="TextoNormal"/>
      </w:pPr>
      <w:r>
        <w:t>El fiscal consideró cumplidos los requisitos y presupuestos procesales para el planteamiento de la cuestión de inconstitucionalidad.</w:t>
      </w:r>
    </w:p>
    <w:p w14:paraId="353918A7" w14:textId="77777777" w:rsidR="003754FE" w:rsidRDefault="003754FE" w:rsidP="003754FE">
      <w:pPr>
        <w:pStyle w:val="TextoNormal"/>
      </w:pPr>
    </w:p>
    <w:p w14:paraId="45267082" w14:textId="77777777" w:rsidR="003754FE" w:rsidRDefault="003754FE" w:rsidP="003754FE">
      <w:pPr>
        <w:pStyle w:val="TextoNormal"/>
      </w:pPr>
      <w:r>
        <w:t xml:space="preserve">Las representaciones procesales de Ares Capital, S.A., y de Aucona Servicios Integrales, S.L., solicitaron que se suspendiera el curso de los autos por prejudicialidad dada la necesidad de esperar al pronunciamiento del Tribunal de Justicia de la Unión Europea en el asunto C-50/21, para comprobar si hace suyas las consideraciones del abogado general en punto a la validez de la razón imperiosa de interés general que da apoyatura al tiempo mínimo de espera, y en todo caso al pronunciamiento del Tribunal de Justicia de la Unión Europea en el asunto C-475/22, </w:t>
      </w:r>
      <w:r w:rsidRPr="003754FE">
        <w:rPr>
          <w:i/>
        </w:rPr>
        <w:t>Maxi Mobility Spain c. Comunidad de Madrid et al</w:t>
      </w:r>
      <w:r>
        <w:t>, incoado como resultado de la cuestión prejudicial elevada por esa Sala y Sección en auto de 20 de mayo de 2022, en relación específicamente con la proporción 1/30 entre autorizaciones de VTC y licencias de taxi. Para el caso de que tal suspensión no fuera admitida o, incluso si se accediese a la misma, el Tribunal de Justicia concluyera que la compatibilidad entre taxi y VTC es una razón imperiosa de interés general que ampara limitaciones proporcionadas al VTC, se solicitó subsidiariamente el planteamiento de una cuestión prejudicial con relación a la proporcionalidad del tiempo mínimo de espera, en cuanto que hace menos atractivo el ejercicio de la actividad. Subsidiariamente a lo anterior estima procedente el planteamiento de una cuestión de inconstitucionalidad por ser la fijación del tiempo mínimo de espera contrario al art. 38 CE, así como por contravenir el art. 5 de la Ley de garantía de la unidad de mercado, por establecer un requisito desproporcionado en contravención de la normativa básica, y por ser contrario al art. 14 CE, desde la perspectiva del derecho a la igualdad de trato y no discriminación.</w:t>
      </w:r>
    </w:p>
    <w:p w14:paraId="7D615952" w14:textId="77777777" w:rsidR="003754FE" w:rsidRDefault="003754FE" w:rsidP="003754FE">
      <w:pPr>
        <w:pStyle w:val="TextoNormal"/>
      </w:pPr>
    </w:p>
    <w:p w14:paraId="2394806B" w14:textId="77777777" w:rsidR="003754FE" w:rsidRDefault="003754FE" w:rsidP="003754FE">
      <w:pPr>
        <w:pStyle w:val="TextoNormal"/>
      </w:pPr>
      <w:r>
        <w:t xml:space="preserve">El abogado de la Comunidad Autónoma de las Illes Balears indicó que la providencia de apertura del trámite de audiencia no se ajustaba al art. 35.2 LOTC, ya que ni se indican las razones de la contravención del art. 38 CE, ni se motiva en qué medida la decisión del pleito depende de la validez de la norma cuestionada. Sostiene que no procede en cualquier caso plantear cuestión de inconstitucionalidad, ya que el precepto reglamentario impugnado en el proceso </w:t>
      </w:r>
      <w:r w:rsidRPr="003754FE">
        <w:rPr>
          <w:i/>
        </w:rPr>
        <w:t>a quo</w:t>
      </w:r>
      <w:r>
        <w:t xml:space="preserve">, aunque tiene un contenido similar, no desarrolla la previsión legal que se cuestiona, el art. 74 </w:t>
      </w:r>
      <w:r w:rsidRPr="003754FE">
        <w:rPr>
          <w:i/>
        </w:rPr>
        <w:t>bis</w:t>
      </w:r>
      <w:r>
        <w:t xml:space="preserve">.1 b) de la Ley 4/2014, de 20 de junio, de transportes terrestres y movilidad sostenible de las Illes Balears, en la redacción dada por el art. 2 del Decreto-ley 1/2019, puesto que el precepto reglamentario se refiere a autorizaciones de VTC de temporada, de ámbito insular y una duración mínima de seis meses, lo que deriva del art. 74 </w:t>
      </w:r>
      <w:r w:rsidRPr="003754FE">
        <w:rPr>
          <w:i/>
        </w:rPr>
        <w:t>bis</w:t>
      </w:r>
      <w:r>
        <w:t xml:space="preserve">.4 de la misma Ley 4/2014 y en modo alguno de la regulación contenida en el art. 74 </w:t>
      </w:r>
      <w:r w:rsidRPr="003754FE">
        <w:rPr>
          <w:i/>
        </w:rPr>
        <w:t>bis</w:t>
      </w:r>
      <w:r>
        <w:t xml:space="preserve">.1 b) de esta, en la redacción que le ha dado el Decreto-ley 1/2019. Resulta entonces que no es desarrollo de la norma legal cuestionada, en tanto que esta se refiere a autorizaciones de ámbito nacional, adoptadas por delegación del Estado. En cuanto al fondo del asunto estima </w:t>
      </w:r>
      <w:r>
        <w:lastRenderedPageBreak/>
        <w:t>que el precepto cuestionado, por su limitado ámbito de aplicación, no vulnera el principio de proporcionalidad, ni es contrario al art. 38 CE.</w:t>
      </w:r>
    </w:p>
    <w:p w14:paraId="4E39C996" w14:textId="77777777" w:rsidR="003754FE" w:rsidRDefault="003754FE" w:rsidP="003754FE">
      <w:pPr>
        <w:pStyle w:val="TextoNormal"/>
      </w:pPr>
    </w:p>
    <w:p w14:paraId="5EC05363" w14:textId="77777777" w:rsidR="003754FE" w:rsidRDefault="003754FE" w:rsidP="003754FE">
      <w:pPr>
        <w:pStyle w:val="TextoNormal"/>
      </w:pPr>
      <w:r>
        <w:t>La Federación Independiente de Taxi de las Islas Baleares manifestó no oponerse al planteamiento de la cuestión de inconstitucionalidad, si bien también consideró que la norma cuestionada no vulneraba el art. 38 CE.</w:t>
      </w:r>
    </w:p>
    <w:p w14:paraId="622B6F99" w14:textId="77777777" w:rsidR="003754FE" w:rsidRDefault="003754FE" w:rsidP="003754FE">
      <w:pPr>
        <w:pStyle w:val="TextoNormal"/>
      </w:pPr>
    </w:p>
    <w:p w14:paraId="51CD905B" w14:textId="77777777" w:rsidR="003754FE" w:rsidRDefault="003754FE" w:rsidP="003754FE">
      <w:pPr>
        <w:pStyle w:val="TextoNormal"/>
      </w:pPr>
      <w:r>
        <w:t>g) Por auto de 21 de marzo de 2023 se denegó el planteamiento de cuestión de inconstitucionalidad sobre el Real Decreto-ley 13/2018, de 28 de septiembre, por el que se modifica la Ley 16/1987, de 30 de julio, de ordenación de los transportes terrestres, en materia de arrendamiento de vehículos con conductor. En dicho auto se considera que el Real Decreto-ley 13/2018 cumple con el presupuesto habilitante de la extraordinaria y urgente necesidad que exige el art. 86.1 CE y no afecta al régimen de las comunidades autónomas.</w:t>
      </w:r>
    </w:p>
    <w:p w14:paraId="4F14CEED" w14:textId="77777777" w:rsidR="003754FE" w:rsidRDefault="003754FE" w:rsidP="003754FE">
      <w:pPr>
        <w:pStyle w:val="TextoNormal"/>
      </w:pPr>
    </w:p>
    <w:p w14:paraId="1FECA289" w14:textId="28E407E0" w:rsidR="003754FE" w:rsidRDefault="003754FE" w:rsidP="003754FE">
      <w:pPr>
        <w:pStyle w:val="TextoNormal"/>
      </w:pPr>
      <w:r>
        <w:t xml:space="preserve">h) No obstante en el auto de la misma fecha, 21 de marzo de 2023, se acordó plantear cuestión de inconstitucionalidad respecto al art. 2.2 del Decreto-ley del Gobierno de las Illes Balears 1/2019, de 22 de febrero, de medidas urgentes sobre la explotación y el control de la actividad de alquiler de vehículos con conductor y otras medidas en materia de transportes terrestres, en cuanto que da nueva redacción al art. 74 </w:t>
      </w:r>
      <w:r w:rsidRPr="003754FE">
        <w:rPr>
          <w:i/>
        </w:rPr>
        <w:t>bis</w:t>
      </w:r>
      <w:r>
        <w:t>.1 b) de la Ley 4/2014, de 20 de junio, de transportes terrestres y movilidad sostenible de las Illes Balears, por posible vulneración del art. 38 CE.</w:t>
      </w:r>
    </w:p>
    <w:p w14:paraId="06E10904" w14:textId="77777777" w:rsidR="003754FE" w:rsidRDefault="003754FE" w:rsidP="003754FE">
      <w:pPr>
        <w:pStyle w:val="TextoNormal"/>
      </w:pPr>
    </w:p>
    <w:p w14:paraId="0C0E6ADF" w14:textId="77777777" w:rsidR="003754FE" w:rsidRDefault="003754FE" w:rsidP="003754FE">
      <w:pPr>
        <w:pStyle w:val="TextoNormal"/>
      </w:pPr>
      <w:r w:rsidRPr="003754FE">
        <w:rPr>
          <w:rStyle w:val="NumeroAFNegritaCaracter"/>
        </w:rPr>
        <w:t>3</w:t>
      </w:r>
      <w:r>
        <w:t>. Del contenido del auto de planteamiento interesa resaltar lo siguiente:</w:t>
      </w:r>
    </w:p>
    <w:p w14:paraId="07FB49A7" w14:textId="77777777" w:rsidR="003754FE" w:rsidRDefault="003754FE" w:rsidP="003754FE">
      <w:pPr>
        <w:pStyle w:val="TextoNormal"/>
      </w:pPr>
    </w:p>
    <w:p w14:paraId="49AA83B8" w14:textId="77777777" w:rsidR="003754FE" w:rsidRDefault="003754FE" w:rsidP="003754FE">
      <w:pPr>
        <w:pStyle w:val="TextoNormal"/>
      </w:pPr>
      <w:r>
        <w:t xml:space="preserve">El auto comienza aludiendo a los antecedentes del caso y a las posiciones de las partes expuestas en el trámite de audiencia. Describe a continuación la controversia entablada en el proceso de instancia y se pronuncia sobre la petición de planteamiento de cuestión de inconstitucionalidad y de que, con carácter previo a ese planteamiento de la cuestión, se acuerde suspender el curso de las actuaciones, por prejudicialidad respecto de los asuntos C-50/21 y C-475/22 ante el Tribunal de Justicia de la Unión Europea y, subsidiariamente, se eleve cuestión prejudicial a este. Estima al respecto que no procede la suspensión de las actuaciones ni el planteamiento de la cuestión prejudicial. Señala que las demandantes suscitan esta cuestión en el trámite de audiencia del art. 35.2 LOTC, sin que en el proceso </w:t>
      </w:r>
      <w:r w:rsidRPr="003754FE">
        <w:rPr>
          <w:i/>
        </w:rPr>
        <w:t>a quo</w:t>
      </w:r>
      <w:r>
        <w:t xml:space="preserve"> (tanto en la instancia como en el recurso de casación) se haya aducido la vulneración del derecho de la Unión Europea ni promovido el planteamiento de cuestión prejudicial. Recuerda también que esta cuestión ya había sido examinada en la sentencia 164/2023, de 13 de febrero, dictada por la misma sección de la Sala de lo Contencioso-Administrativo del Tribunal Supremo. También recuerda que la solicitud de planteamiento de cuestión de inconstitucionalidad sobre el Real Decreto-ley 13/2018, de 28 de septiembre, por el que se modifica la Ley 16/1987, de 30 de julio, de ordenación de los transportes terrestres, en materia de arrendamiento de vehículos con conductor, ha sido examinada y desestimada en otro auto dictado en la misma fecha.</w:t>
      </w:r>
    </w:p>
    <w:p w14:paraId="6D0C1E0C" w14:textId="77777777" w:rsidR="003754FE" w:rsidRDefault="003754FE" w:rsidP="003754FE">
      <w:pPr>
        <w:pStyle w:val="TextoNormal"/>
      </w:pPr>
    </w:p>
    <w:p w14:paraId="4901CF38" w14:textId="77777777" w:rsidR="003754FE" w:rsidRDefault="003754FE" w:rsidP="003754FE">
      <w:pPr>
        <w:pStyle w:val="TextoNormal"/>
      </w:pPr>
      <w:r>
        <w:t xml:space="preserve">Acerca del planteamiento de la cuestión de inconstitucionalidad referida al Decreto-ley autonómico 1/2019 señala que no cabe suscitarla por la supuesta inexistencia de la extraordinaria y urgente necesidad para su aprobación y aborda a continuación la formulación del juicio de relevancia, haciendo alusión expresa a las alegaciones del abogado de la Comunidad Autónoma de las Illes Balears. Al respecto indica que su argumentación no puede ser </w:t>
      </w:r>
      <w:r>
        <w:lastRenderedPageBreak/>
        <w:t xml:space="preserve">acogida porque, si bien es cierto que el Decreto autonómico 46/2019 contiene una regulación específica relativa a un régimen de autorizaciones excepcional, de carácter temporal y de ámbito insular, también lo es que el preámbulo del citado Decreto 46/2019 hace referencia expresa, como norma legal de cobertura, a los arts. 63.4, 74 </w:t>
      </w:r>
      <w:r w:rsidRPr="003754FE">
        <w:rPr>
          <w:i/>
        </w:rPr>
        <w:t>bis</w:t>
      </w:r>
      <w:r>
        <w:t xml:space="preserve">.1 y 96 </w:t>
      </w:r>
      <w:r w:rsidRPr="003754FE">
        <w:rPr>
          <w:i/>
        </w:rPr>
        <w:t>bis</w:t>
      </w:r>
      <w:r>
        <w:t xml:space="preserve"> de la Ley balear 4/2014, de 29 de junio, preceptos legales cuya redacción vino dada por el Decreto-ley 1/2019. Afirma que la relación entre la norma reglamentaria y el precepto legal queda corroborada por la constatación de que la exigencia del preaviso con una antelación de, al menos, treinta minutos, aparece establecida en el art. 11.2 del Decreto 46/2019 con una redacción enteramente coincidente con la del art. 74 </w:t>
      </w:r>
      <w:r w:rsidRPr="003754FE">
        <w:rPr>
          <w:i/>
        </w:rPr>
        <w:t>bis</w:t>
      </w:r>
      <w:r>
        <w:t>.1 de la Ley balear 4/2014, según la redacción dada por el art. 2 del Decreto-ley 1/2019. Por ello el auto considera cumplido el juicio de relevancia en tanto que se trata de la norma de cobertura de la impugnada en el proceso y de que de la constitucionalidad o inconstitucionalidad de dicha norma legal depende el fallo.</w:t>
      </w:r>
    </w:p>
    <w:p w14:paraId="35152907" w14:textId="77777777" w:rsidR="003754FE" w:rsidRDefault="003754FE" w:rsidP="003754FE">
      <w:pPr>
        <w:pStyle w:val="TextoNormal"/>
      </w:pPr>
    </w:p>
    <w:p w14:paraId="55A7DCF5" w14:textId="77777777" w:rsidR="003754FE" w:rsidRDefault="003754FE" w:rsidP="003754FE">
      <w:pPr>
        <w:pStyle w:val="TextoNormal"/>
      </w:pPr>
      <w:r>
        <w:t>En cuanto a las razones que fundamentan la duda de constitucionalidad, el auto recuerda el contenido de la sentencia 164/2023, de 13 de febrero, dictada por la misma Sección Tercera de la Sala de lo Contencioso-Administrativo del Tribunal Supremo, en la que se examinaba una exigencia reglamentaria de contenido sustancialmente coincidente fijada en el Decreto 200/2019, de 17 de diciembre, del departamento de desarrollo económico e infraestructuras del Gobierno Vasco, sobre condiciones de prestación del servicio de arrendamiento de vehículos con conductor y con autorización de ámbito nacional en la Comunidad Autónoma del País Vasco. En dicha sentencia se declara que el art. 2.2 del mencionado Decreto 200/2019 es contrario al derecho a la libertad de empresa del art. 38 CE, así como al art. 5 de la Ley de garantía de la unidad de mercado. Prescindiendo de esto último, por considerarlo una cuestión de legalidad ordinaria, y centrado en la vulneración del art. 38 CE, el auto reproduce el fundamento jurídico 5 de la sentencia 164/2023, y señala:</w:t>
      </w:r>
    </w:p>
    <w:p w14:paraId="28AF68B0" w14:textId="77777777" w:rsidR="003754FE" w:rsidRDefault="003754FE" w:rsidP="003754FE">
      <w:pPr>
        <w:pStyle w:val="TextoNormal"/>
      </w:pPr>
    </w:p>
    <w:p w14:paraId="7340DDC9" w14:textId="77777777" w:rsidR="003754FE" w:rsidRDefault="003754FE" w:rsidP="003754FE">
      <w:pPr>
        <w:pStyle w:val="TextoNormal"/>
      </w:pPr>
      <w:r>
        <w:t>“Por lo que respecta a la exigencia de que exista un lapso de treinta minutos de antelación mínima entre la contratación telemática y la prestación del servicio, no cabe duda de que constituye una limitación muy notable para el ejercicio de esta actividad empresarial, ya que el cliente busca la prestación este tipo de servicios en el plazo más breve y por el precio más ventajoso posible. De modo que dicha exigencia, al anular la inmediatez de la prestación, disuade al usuario de su utilización hasta el punto de existe un serio riesgo de expulsión del mercado de las empresas que operan bajo este tipo de licencias. Y así lo ha afirmado la autoridad vasca de la competencia en el informe al proyecto de decreto (‘La evidencia empírica ha demostrado que en otros mercados, la aprobación de un plazo mínimo de precontratación ha supuesto la salida del mercado de los operadores VTC [...]’) y en la misma línea lo han destacado también la autoridad catalana de la competencia (informe de 14 de enero de 2019) y el Consell de Garanties Estatutaries de Cataluña en su dictamen 2/2019, de 2 de febrero.</w:t>
      </w:r>
    </w:p>
    <w:p w14:paraId="20655303" w14:textId="77777777" w:rsidR="003754FE" w:rsidRDefault="003754FE" w:rsidP="003754FE">
      <w:pPr>
        <w:pStyle w:val="TextoNormal"/>
      </w:pPr>
    </w:p>
    <w:p w14:paraId="402EC799" w14:textId="77777777" w:rsidR="003754FE" w:rsidRDefault="003754FE" w:rsidP="003754FE">
      <w:pPr>
        <w:pStyle w:val="TextoNormal"/>
      </w:pPr>
      <w:r>
        <w:t>Por ello, una limitación, como la analizada, capaz de desanimar al usuario para que utilice este servicio, existiendo por ello un alto riesgo de impedir el ejercicio de esta actividad empresarial ha de reputase por su intensidad contraria al art. 38 de la CE”.</w:t>
      </w:r>
    </w:p>
    <w:p w14:paraId="2CC1911E" w14:textId="77777777" w:rsidR="003754FE" w:rsidRDefault="003754FE" w:rsidP="003754FE">
      <w:pPr>
        <w:pStyle w:val="TextoNormal"/>
      </w:pPr>
    </w:p>
    <w:p w14:paraId="2B54359B" w14:textId="3A906B29" w:rsidR="003754FE" w:rsidRDefault="003754FE" w:rsidP="003754FE">
      <w:pPr>
        <w:pStyle w:val="TextoNormal"/>
      </w:pPr>
      <w:r>
        <w:t xml:space="preserve">El auto entiende que estas consideraciones son enteramente trasladables al precepto legal cuestionado, dado que fija la misma exigencia de preaviso con una antelación mínima de treinta minutos, luego reproducida en el art. 11.2 del Decreto autonómico balear 46/2019. </w:t>
      </w:r>
      <w:r>
        <w:lastRenderedPageBreak/>
        <w:t>Atendiendo a su rango legal no es posible la anulación de la previsión del art. 2.2 del Decreto-ley 1/2019 por sentencia, como sucedió en el caso del Decreto del País Vasco, sino que procede el planteamiento de la cuestión de inconstitucionalidad.</w:t>
      </w:r>
    </w:p>
    <w:p w14:paraId="2ED08D61" w14:textId="77777777" w:rsidR="003754FE" w:rsidRDefault="003754FE" w:rsidP="003754FE">
      <w:pPr>
        <w:pStyle w:val="TextoNormal"/>
      </w:pPr>
    </w:p>
    <w:p w14:paraId="70EE640C" w14:textId="4325DE2F" w:rsidR="003754FE" w:rsidRDefault="003754FE" w:rsidP="003754FE">
      <w:pPr>
        <w:pStyle w:val="TextoNormal"/>
      </w:pPr>
      <w:r w:rsidRPr="003754FE">
        <w:rPr>
          <w:rStyle w:val="NumeroAFNegritaCaracter"/>
        </w:rPr>
        <w:t>4</w:t>
      </w:r>
      <w:r>
        <w:t>. El Pleno del Tribunal Constitucional, por providencia de 6 de junio de 2023, acordó: admitir a trámite la cuestión de inconstitucionalidad; de conformidad con lo dispuesto en el artículo 10.1 c) LOTC, reservar para sí su conocimiento; dar traslado de las actuaciones recibidas, conforme establece el artículo 37.3 LOTC, al Congreso de los Diputados y al Senado, por conducto de sus presidentes, al Gobierno, por conducto de la ministra de Justicia, y al fiscal general del Estado, así como al Parlamento y al Gobierno de las Illes Balears, por conducto de sus presidentes, al objeto de que, en el improrrogable plazo de quince días, puedan personarse en el proceso y formular las alegaciones que estimen convenientes; comunicar la presente resolución a la Sección Tercera de la Sala de lo Contencioso-Administrativo del Tribunal Supremo, a fin de que, de conformidad con lo dispuesto en el art. 35.3 LOTC, permanezca suspendido el proceso hasta que este tribunal resuelva definitivamente la presente cuestión y publicar la incoación de la cuestión en el “Boletín Oficial del Estado” y en el “Butlletí Oficial de les Illes Balears”.</w:t>
      </w:r>
    </w:p>
    <w:p w14:paraId="357B5DD4" w14:textId="77777777" w:rsidR="003754FE" w:rsidRDefault="003754FE" w:rsidP="003754FE">
      <w:pPr>
        <w:pStyle w:val="TextoNormal"/>
      </w:pPr>
    </w:p>
    <w:p w14:paraId="0A4E5CEC" w14:textId="7B4F744A" w:rsidR="003754FE" w:rsidRDefault="003754FE" w:rsidP="003754FE">
      <w:pPr>
        <w:pStyle w:val="TextoNormal"/>
      </w:pPr>
      <w:r w:rsidRPr="003754FE">
        <w:rPr>
          <w:rStyle w:val="NumeroAFNegritaCaracter"/>
        </w:rPr>
        <w:t>5</w:t>
      </w:r>
      <w:r>
        <w:t>. El presidente del Senado comunicó el día 12 de junio de 2023 el acuerdo de la cámara en el sentido de darla por personada y por ofrecida su colaboración a los efectos del art. 88.1 LOTC.</w:t>
      </w:r>
    </w:p>
    <w:p w14:paraId="0D3D815D" w14:textId="77777777" w:rsidR="003754FE" w:rsidRDefault="003754FE" w:rsidP="003754FE">
      <w:pPr>
        <w:pStyle w:val="TextoNormal"/>
      </w:pPr>
    </w:p>
    <w:p w14:paraId="72DC8EC3" w14:textId="125DBE56" w:rsidR="003754FE" w:rsidRDefault="003754FE" w:rsidP="003754FE">
      <w:pPr>
        <w:pStyle w:val="TextoNormal"/>
      </w:pPr>
      <w:r w:rsidRPr="003754FE">
        <w:rPr>
          <w:rStyle w:val="NumeroAFNegritaCaracter"/>
        </w:rPr>
        <w:t>6</w:t>
      </w:r>
      <w:r>
        <w:t>. El abogado del Estado se personó en el proceso mediante escrito registrado el día 23 de junio a los efectos de que en su día se le notifiquen las resoluciones que en él se dicten.</w:t>
      </w:r>
    </w:p>
    <w:p w14:paraId="2435FDE5" w14:textId="77777777" w:rsidR="003754FE" w:rsidRDefault="003754FE" w:rsidP="003754FE">
      <w:pPr>
        <w:pStyle w:val="TextoNormal"/>
      </w:pPr>
    </w:p>
    <w:p w14:paraId="4CD8CDE0" w14:textId="77777777" w:rsidR="003754FE" w:rsidRDefault="003754FE" w:rsidP="003754FE">
      <w:pPr>
        <w:pStyle w:val="TextoNormal"/>
      </w:pPr>
      <w:r w:rsidRPr="003754FE">
        <w:rPr>
          <w:rStyle w:val="NumeroAFNegritaCaracter"/>
        </w:rPr>
        <w:t>7</w:t>
      </w:r>
      <w:r>
        <w:t>. La representación procesal de la asociación Taxi Project 2.0 se personó en el proceso por escrito registrado el día 27 de junio de 2023.</w:t>
      </w:r>
    </w:p>
    <w:p w14:paraId="38A2156D" w14:textId="77777777" w:rsidR="003754FE" w:rsidRDefault="003754FE" w:rsidP="003754FE">
      <w:pPr>
        <w:pStyle w:val="TextoNormal"/>
      </w:pPr>
    </w:p>
    <w:p w14:paraId="665070C6" w14:textId="77777777" w:rsidR="003754FE" w:rsidRDefault="003754FE" w:rsidP="003754FE">
      <w:pPr>
        <w:pStyle w:val="TextoNormal"/>
      </w:pPr>
      <w:r>
        <w:t xml:space="preserve">Sus alegaciones se presentaron en este Tribunal Constitucional el día 28 de julio de 2023. En ellas sostiene, en primer lugar, que la cuestión de inconstitucionalidad ha de limitarse a la obligación que establece el art. 2.2 del Decreto-ley 1/2019 consistente en reservar el servicio de alquiler de vehículo con conductor con una antelación de treinta minutos a su prestación. Indica que el requisito de la precontratación en la prestación de servicios de arrendamiento de vehículos con conductor, definido legalmente como “el establecimiento de un intervalo de tiempo mínimo entre la contratación o la designación del vehículo y la prestación del servicio”, no tiene su origen en el precepto cuya constitucionalidad se pone en duda por parte del Tribunal Supremo, sino que tal exigencia ya aparecía recogida a nivel estatal en el art. 182.1 del Real Decreto 1211/1990, de 28 de septiembre, por el que se aprueba el Reglamento de la Ley de ordenación de los transportes terrestres, y venía estipulado también en la letra a) del art. 74 </w:t>
      </w:r>
      <w:r w:rsidRPr="003754FE">
        <w:rPr>
          <w:i/>
        </w:rPr>
        <w:t>bis</w:t>
      </w:r>
      <w:r>
        <w:t>.1 de la Ley balear 4/2014. De ello deduce que lo cuestionado no es la precontratación en sí, sino la duración mínima de treinta minutos que establece el legislador balear en el supuesto concretamente enjuiciado.</w:t>
      </w:r>
    </w:p>
    <w:p w14:paraId="13E75913" w14:textId="77777777" w:rsidR="003754FE" w:rsidRDefault="003754FE" w:rsidP="003754FE">
      <w:pPr>
        <w:pStyle w:val="TextoNormal"/>
      </w:pPr>
    </w:p>
    <w:p w14:paraId="740D2C08" w14:textId="77777777" w:rsidR="003754FE" w:rsidRDefault="003754FE" w:rsidP="003754FE">
      <w:pPr>
        <w:pStyle w:val="TextoNormal"/>
      </w:pPr>
      <w:r>
        <w:t xml:space="preserve">Afirmado lo anterior, sostiene, con cita en especial de la STC 7/2023, de 21 de febrero, que la precontratación de treinta minutos se ajusta al canon de razonabilidad que debe aplicarse para valorar su adecuación a la libertad de empresa que consagra el art. 38 CE. A tal efecto indica que no afecta al acceso a la actividad, sino únicamente a su ejercicio, sin que </w:t>
      </w:r>
      <w:r>
        <w:lastRenderedPageBreak/>
        <w:t>suponga un impedimento práctico para el libre ejercicio de la actividad económica de las empresas de VTC. Si bien podría llegar a entenderse que resta un cierto atractivo o utilidad al servicio a los ojos de determinados potenciales usuarios, no es menos cierto que en ningún caso imposibilita la prestación del servicio, como lo pone de manifiesto el hecho de que nunca haya sido cuestionado por las empresas que se dedicaban tradicionalmente a esta actividad de alquiler de vehículos con conductor. Advierte también que los razonamientos de Tribunal Supremo acerca de la inmediatez de la prestación difuminan casi por completo el requisito de la contratación previa, que es consustancial a la definición legal del arrendamiento de vehículos con conductor.</w:t>
      </w:r>
    </w:p>
    <w:p w14:paraId="34C1EC63" w14:textId="77777777" w:rsidR="003754FE" w:rsidRDefault="003754FE" w:rsidP="003754FE">
      <w:pPr>
        <w:pStyle w:val="TextoNormal"/>
      </w:pPr>
    </w:p>
    <w:p w14:paraId="296C96D4" w14:textId="77777777" w:rsidR="003754FE" w:rsidRDefault="003754FE" w:rsidP="003754FE">
      <w:pPr>
        <w:pStyle w:val="TextoNormal"/>
      </w:pPr>
      <w:r>
        <w:t>También señala que no se genera ninguna desigualdad entre operadores, ya que se aplica por igual y sin excepción a todas las empresas que son titulares de autorizaciones de arrendamiento de vehículos con conductor en el ámbito territorial al que le resulta aplicable la norma. Se trata de un mercado diferente del que corresponde al taxi, en cuanto que son dos actividades de transporte que se someten a condiciones de ejercicio claramente diferenciadas.</w:t>
      </w:r>
    </w:p>
    <w:p w14:paraId="32334DA0" w14:textId="77777777" w:rsidR="003754FE" w:rsidRDefault="003754FE" w:rsidP="003754FE">
      <w:pPr>
        <w:pStyle w:val="TextoNormal"/>
      </w:pPr>
    </w:p>
    <w:p w14:paraId="05FC2865" w14:textId="2975C28A" w:rsidR="003754FE" w:rsidRDefault="003754FE" w:rsidP="003754FE">
      <w:pPr>
        <w:pStyle w:val="TextoNormal"/>
      </w:pPr>
      <w:r>
        <w:t>El fin perseguido por la norma es constitucionalmente legítimo, en cuanto convierte en real y efectiva la exigencia relativa la contratación previa definitoria de todo servicio VTC, dotando de concreción y de seguridad jurídica a las condiciones en que puede prestarse. Se trata de una medida que se establece “a efectos de mejorar la gestión de la movilidad de las personas viajeras y garantizar el control efectivo de las condiciones de prestación de los servicios”. Citando el dictamen 197/2019, de 3 de diciembre, emitido por la Comisión Jurídica Asesora de Euskadi, que tuvo por objeto el proyecto de decreto que dio lugar finalmente al Decreto vasco 200/2019, de 17 de diciembre, indica que un tiempo mínimo de antelación en la contratación del servicio puede considerarse como una medida adecuada para tratar de evitar el fraude en beneficio de la pervivencia y estabilidad del servicio del taxi; servicio este último que se mantiene en la actualidad como de interés general. Se trata, además, de una medida adecuada para la consecución de ese objetivo, contribuyendo así a que no se produzcan conductas fraudulentas que puedan llegar a perjudicar al mantenimiento de un servicio de interés general como es el del taxi, el cual asegura, en beneficio de los consumidores, la prestación de un servicio que, por razón de la intensa intervención regulatoria a la que está sometido, se presta con niveles elevados de calidad, seguridad y accesibilidad. A lo que se añade que ese período mínimo de treinta minutos se configura como una garantía de transparencia, seguridad jurídica y cabal comprensión de las condiciones en que se le va a prestar un servicio en un ámbito especialmente sensible como es el de la seguridad vial.</w:t>
      </w:r>
    </w:p>
    <w:p w14:paraId="272E77C7" w14:textId="77777777" w:rsidR="003754FE" w:rsidRDefault="003754FE" w:rsidP="003754FE">
      <w:pPr>
        <w:pStyle w:val="TextoNormal"/>
      </w:pPr>
    </w:p>
    <w:p w14:paraId="64A92B80" w14:textId="77777777" w:rsidR="003754FE" w:rsidRDefault="003754FE" w:rsidP="003754FE">
      <w:pPr>
        <w:pStyle w:val="TextoNormal"/>
      </w:pPr>
      <w:r w:rsidRPr="003754FE">
        <w:rPr>
          <w:rStyle w:val="NumeroAFNegritaCaracter"/>
        </w:rPr>
        <w:t>8</w:t>
      </w:r>
      <w:r>
        <w:t>. El 29 de junio de 2023 se personó en el proceso la representación de Ares Capital, S.L. Sus alegaciones se registraron el día 31 de julio de 2023, y en ellas sostiene lo siguiente:</w:t>
      </w:r>
    </w:p>
    <w:p w14:paraId="3E135183" w14:textId="77777777" w:rsidR="003754FE" w:rsidRDefault="003754FE" w:rsidP="003754FE">
      <w:pPr>
        <w:pStyle w:val="TextoNormal"/>
      </w:pPr>
    </w:p>
    <w:p w14:paraId="21254EC3" w14:textId="77777777" w:rsidR="003754FE" w:rsidRDefault="003754FE" w:rsidP="003754FE">
      <w:pPr>
        <w:pStyle w:val="TextoNormal"/>
      </w:pPr>
      <w:r>
        <w:t xml:space="preserve">El tiempo mínimo de espera no responde a un objetivo constitucionalmente legítimo, al vulnerar sus fines (y sus medios) el art. 14 CE. Se trata de una limitación al ejercicio de la libertad de empresa protegida por el art. 38 CE, que no responde a una finalidad constitucionalmente legítima por cuanto tiene como objetivo crear una diferenciación entre los servicios de taxi y de VTC, poniendo a estos en desventaja, a fin de preservar al sector del taxi de la competencia de los VTC. Vulnera por ello el principio de igualdad y no discriminación (art. 14 CE), al establecer un régimen mucho más gravoso para el sector VTC, incluso en el </w:t>
      </w:r>
      <w:r>
        <w:lastRenderedPageBreak/>
        <w:t>mismo segmento de servicios en el que concurre con el taxi cuando en los servicios recontratados realizan idéntica actividad.</w:t>
      </w:r>
    </w:p>
    <w:p w14:paraId="78A8A7A6" w14:textId="77777777" w:rsidR="003754FE" w:rsidRDefault="003754FE" w:rsidP="003754FE">
      <w:pPr>
        <w:pStyle w:val="TextoNormal"/>
      </w:pPr>
    </w:p>
    <w:p w14:paraId="2D2F4030" w14:textId="77777777" w:rsidR="003754FE" w:rsidRDefault="003754FE" w:rsidP="003754FE">
      <w:pPr>
        <w:pStyle w:val="TextoNormal"/>
      </w:pPr>
      <w:r>
        <w:t>En segundo lugar, sostiene que el tiempo mínimo de espera no respeta el contenido esencial del art. 38 CE, al ser de tal entidad que no solo limita, sino que materialmente priva del mismo a los transportistas VTC, en cuanto supone una desventaja competitiva frente al taxi que implica bien la expulsión de los operadores VTC del mercado, bien restringirlos a un nicho de mercado residual (los servicios concertados a días, semanas o meses vista).</w:t>
      </w:r>
    </w:p>
    <w:p w14:paraId="0297EB4E" w14:textId="77777777" w:rsidR="003754FE" w:rsidRDefault="003754FE" w:rsidP="003754FE">
      <w:pPr>
        <w:pStyle w:val="TextoNormal"/>
      </w:pPr>
    </w:p>
    <w:p w14:paraId="3787CD20" w14:textId="77777777" w:rsidR="003754FE" w:rsidRDefault="003754FE" w:rsidP="003754FE">
      <w:pPr>
        <w:pStyle w:val="TextoNormal"/>
      </w:pPr>
      <w:r>
        <w:t>En tercer lugar, sostiene que el tiempo mínimo de espera adolece de inconstitucionalidad indirecta al no respetar la normativa básica estatal y la habilitación competencial en la que se funda, por no resultar necesario ni proporcionado. Argumenta al respecto que se contraviene el art. 5 de la Ley de garantía de la unidad de mercado, cuyas exigencias son, según ha puesto de manifiesto la doctrina constitucional, más elevadas que las que derivan del art. 38 CE. En este caso, el tiempo mínimo de espera, incluso si fuera considerado idóneo, es decir, razonable para la consecución del fin perseguido, ni está sustentado en una razón imperiosa de interés general, ni es necesario, ni es proporcionado.</w:t>
      </w:r>
    </w:p>
    <w:p w14:paraId="5AF0BE77" w14:textId="77777777" w:rsidR="003754FE" w:rsidRDefault="003754FE" w:rsidP="003754FE">
      <w:pPr>
        <w:pStyle w:val="TextoNormal"/>
      </w:pPr>
    </w:p>
    <w:p w14:paraId="23EA94A7" w14:textId="68F8BF85" w:rsidR="003754FE" w:rsidRDefault="003754FE" w:rsidP="003754FE">
      <w:pPr>
        <w:pStyle w:val="TextoNormal"/>
      </w:pPr>
      <w:r>
        <w:t>Finaliza sus alegaciones argumentando que aun si se pretendiera amparar en razones imperiosas de interés general válidas, el tiempo mínimo de espera vulneraría el art. 14 CE, por no imponerse igualmente para los servicios precontratados prestados por el taxi.</w:t>
      </w:r>
    </w:p>
    <w:p w14:paraId="667D9DDF" w14:textId="77777777" w:rsidR="003754FE" w:rsidRDefault="003754FE" w:rsidP="003754FE">
      <w:pPr>
        <w:pStyle w:val="TextoNormal"/>
      </w:pPr>
    </w:p>
    <w:p w14:paraId="3CEA0E3E" w14:textId="77777777" w:rsidR="003754FE" w:rsidRDefault="003754FE" w:rsidP="003754FE">
      <w:pPr>
        <w:pStyle w:val="TextoNormal"/>
      </w:pPr>
      <w:r w:rsidRPr="003754FE">
        <w:rPr>
          <w:rStyle w:val="NumeroAFNegritaCaracter"/>
        </w:rPr>
        <w:t>9</w:t>
      </w:r>
      <w:r>
        <w:t>. La representación de la mercantil Aucona Servicios Integrales, S.L., se personó en el proceso el día 30 de junio de 2023. En su escrito de alegaciones, registrado en este tribunal el día 1 de septiembre de 2023, sostiene, resumidamente, lo siguiente:</w:t>
      </w:r>
    </w:p>
    <w:p w14:paraId="4ACFF388" w14:textId="77777777" w:rsidR="003754FE" w:rsidRDefault="003754FE" w:rsidP="003754FE">
      <w:pPr>
        <w:pStyle w:val="TextoNormal"/>
      </w:pPr>
    </w:p>
    <w:p w14:paraId="35074E8E" w14:textId="5988B3A1" w:rsidR="003754FE" w:rsidRDefault="003754FE" w:rsidP="003754FE">
      <w:pPr>
        <w:pStyle w:val="TextoNormal"/>
      </w:pPr>
      <w:r>
        <w:t xml:space="preserve">En primer lugar, afirma adherirse a todo lo alegado y solicitado por el Ministerio Fiscal y por la otra recurrente en los autos de procedencia y efectúa, además, algunas consideraciones sobre las alegaciones de otras de las partes personadas. Así, estima que, frente a lo afirmado por el Parlamento y el Gobierno de las Illes Balears, se cumple el juicio de relevancia; señala que los objetivos de carácter económico, como pueden ser la protección del sector del taxi o la protección de los consumidores, no pueden justificar la restricción impuesta; estima que, en todo caso, dadas las características de la actividad, la contratación previa va a existir siempre, por lo que no es necesario el establecimiento de un periodo mínimo de espera; también manifiesta su parecer favorable a que se enjuicie el precepto cuestionado desde la perspectiva del art. 14 CE y del art. 5 de la Ley de garantía de la unidad de mercado; resalta, en fin, que la fijación de este tiempo mínimo de espera favorece a los taxis, limita </w:t>
      </w:r>
      <w:r w:rsidRPr="003754FE">
        <w:rPr>
          <w:i/>
        </w:rPr>
        <w:t>de facto</w:t>
      </w:r>
      <w:r>
        <w:t xml:space="preserve"> la actividad de los VTC y vulnera la libertad de empresa (art. 38 CE).</w:t>
      </w:r>
    </w:p>
    <w:p w14:paraId="3D0B2390" w14:textId="77777777" w:rsidR="003754FE" w:rsidRDefault="003754FE" w:rsidP="003754FE">
      <w:pPr>
        <w:pStyle w:val="TextoNormal"/>
      </w:pPr>
    </w:p>
    <w:p w14:paraId="7CC93397" w14:textId="77777777" w:rsidR="003754FE" w:rsidRDefault="003754FE" w:rsidP="003754FE">
      <w:pPr>
        <w:pStyle w:val="TextoNormal"/>
      </w:pPr>
      <w:r w:rsidRPr="003754FE">
        <w:rPr>
          <w:rStyle w:val="NumeroAFNegritaCaracter"/>
        </w:rPr>
        <w:t>10</w:t>
      </w:r>
      <w:r>
        <w:t>. El 3 de julio de 2023 se personó y formuló alegaciones el abogado de las Illes Balears, en la representación que ostenta del gobierno de esa comunidad autónoma.</w:t>
      </w:r>
    </w:p>
    <w:p w14:paraId="4F89FB99" w14:textId="77777777" w:rsidR="003754FE" w:rsidRDefault="003754FE" w:rsidP="003754FE">
      <w:pPr>
        <w:pStyle w:val="TextoNormal"/>
      </w:pPr>
    </w:p>
    <w:p w14:paraId="0C50256D" w14:textId="77777777" w:rsidR="003754FE" w:rsidRDefault="003754FE" w:rsidP="003754FE">
      <w:pPr>
        <w:pStyle w:val="TextoNormal"/>
      </w:pPr>
      <w:r>
        <w:t xml:space="preserve">Expone, en primer lugar, los antecedentes de la presente cuestión de inconstitucionalidad y sostiene que el precepto reglamentario impugnado en el proceso </w:t>
      </w:r>
      <w:r w:rsidRPr="003754FE">
        <w:rPr>
          <w:i/>
        </w:rPr>
        <w:t>a quo</w:t>
      </w:r>
      <w:r>
        <w:t xml:space="preserve"> regula un régimen específico de autorizaciones estacionales de alquiler de vehículos con conductor de carácter temporal, transitorio y excepcional que permite autorizaciones de VTC de temporada turística, de ámbito insular y por una duración máxima de seis meses, sujeta al régimen que se establece en el precepto impugnado. Este precepto habría sido utilizado como punto de </w:t>
      </w:r>
      <w:r>
        <w:lastRenderedPageBreak/>
        <w:t xml:space="preserve">partida para poder plantear la cuestión de inconstitucionalidad, que sería el objetivo perseguido por los actores en el proceso </w:t>
      </w:r>
      <w:r w:rsidRPr="003754FE">
        <w:rPr>
          <w:i/>
        </w:rPr>
        <w:t>a quo</w:t>
      </w:r>
      <w:r>
        <w:t>.</w:t>
      </w:r>
    </w:p>
    <w:p w14:paraId="353E5BEE" w14:textId="77777777" w:rsidR="003754FE" w:rsidRDefault="003754FE" w:rsidP="003754FE">
      <w:pPr>
        <w:pStyle w:val="TextoNormal"/>
      </w:pPr>
    </w:p>
    <w:p w14:paraId="548FCFAB" w14:textId="77777777" w:rsidR="003754FE" w:rsidRDefault="003754FE" w:rsidP="003754FE">
      <w:pPr>
        <w:pStyle w:val="TextoNormal"/>
      </w:pPr>
      <w:r>
        <w:t xml:space="preserve">Seguidamente indica que la providencia por la que se abre el trámite de audiencia no cumple con los requisitos formales exigidos en el art. 35.2 LOTC por cuanto en la citada providencia no se especifica o justifica en qué medida la decisión del proceso </w:t>
      </w:r>
      <w:r w:rsidRPr="003754FE">
        <w:rPr>
          <w:i/>
        </w:rPr>
        <w:t>a quo</w:t>
      </w:r>
      <w:r>
        <w:t xml:space="preserve"> depende de la validez de la norma legal que se cuestiona. Asimismo, argumenta que no es pertinente el planteamiento de la cuestión de inconstitucionalidad, al sostener que el precepto legal que se cuestiona no es el que proporciona cobertura al precepto reglamentario objeto del proceso </w:t>
      </w:r>
      <w:r w:rsidRPr="003754FE">
        <w:rPr>
          <w:i/>
        </w:rPr>
        <w:t>a quo</w:t>
      </w:r>
      <w:r>
        <w:t>. Reitera que este precepto reglamentario regula un régimen de autorizaciones excepcional, de carácter temporal y de ámbito insular, dictado en el ejercicio de la competencia propia autonómica en materia de transportes sobre la base de lo que prevé y permite el art. 6 k) de la Ley 4/2014, de 20 de junio, de transportes terrestres y movilidad sostenible de las Illes Balears, y que, por tanto, en modo alguno deriva de la regulación contenida en el Decreto-ley 1/2019. Aunque las autorizaciones de ámbito insular sigan el mismo régimen de condiciones que las nacionales, para evitar diferencias de régimen de gestión, su regulación no deriva ni es desarrollo de la norma que se cuestiona.</w:t>
      </w:r>
    </w:p>
    <w:p w14:paraId="2E5FDC3E" w14:textId="77777777" w:rsidR="003754FE" w:rsidRDefault="003754FE" w:rsidP="003754FE">
      <w:pPr>
        <w:pStyle w:val="TextoNormal"/>
      </w:pPr>
    </w:p>
    <w:p w14:paraId="3BAB9D90" w14:textId="77777777" w:rsidR="003754FE" w:rsidRDefault="003754FE" w:rsidP="003754FE">
      <w:pPr>
        <w:pStyle w:val="TextoNormal"/>
      </w:pPr>
      <w:r>
        <w:t xml:space="preserve">Hace referencia a la regulación del País Vasco, invocada por el Tribunal Supremo en su auto de planteamiento de la presente cuestión de inconstitucionalidad, señalando que no responde al mismo objetivo y finalidad que la norma cuestionada, dado que lo que se pretende en esta es regular un tipo muy concreto de autorizaciones temporales de ámbito insular de Mallorca y por una duración máxima de seis meses, con la finalidad de resolver los problemas de falta de transporte discrecional de alquiler de vehículos con conductor en las temporadas de verano. Por ello afirma que el precepto cuestionado no vulnera en el caso concreto el principio de proporcionalidad y de necesidad en la prestación de los servicios, ni tampoco resulta discriminatorio respecto del taxi ni es contrario a la libertad de empresa prevista en el art. 38 CE. Destaca que el Decreto impugnado en el proceso </w:t>
      </w:r>
      <w:r w:rsidRPr="003754FE">
        <w:rPr>
          <w:i/>
        </w:rPr>
        <w:t>a quo</w:t>
      </w:r>
      <w:r>
        <w:t xml:space="preserve"> regula un tipo de autorización para el sector de las VTC con el ánimo de evitar la oferta ilegal, resalta las diferencias entre el sector del taxi y el de las VTC y recuerda que el Tribunal Supremo se ha pronunciado ya en diversas ocasiones sobre restricciones al ejercicio de la actividad de las VTC, estimando como una razón imperiosa de interés general la de mantener una prestación equilibrada en los servicios de transporte urbano mediante vehículos con conductor a fin de poder mantener un servicio de interés general como el taxi, por el que han optado las administraciones públicas competentes en la materia.</w:t>
      </w:r>
    </w:p>
    <w:p w14:paraId="43E035B5" w14:textId="77777777" w:rsidR="003754FE" w:rsidRDefault="003754FE" w:rsidP="003754FE">
      <w:pPr>
        <w:pStyle w:val="TextoNormal"/>
      </w:pPr>
    </w:p>
    <w:p w14:paraId="56DA16B3" w14:textId="24D0B4B6" w:rsidR="003754FE" w:rsidRDefault="003754FE" w:rsidP="003754FE">
      <w:pPr>
        <w:pStyle w:val="TextoNormal"/>
      </w:pPr>
      <w:r>
        <w:t>Concluye asegurando que no se contraviene la libertad de empresa con la medida discutida, dado que se trata de una medida proporcional adoptada en el marco de un sistema en el que se exige a las administraciones públicas competentes (autonómicas o locales) requisitos encaminados a asegurar determinados niveles de calidad y seguridad en los taxis, por lo que no puede objetarse que se adopten exigencias análogas a los servicios de transporte que compiten con ellos. Además, la norma impugnada, más que atender al equilibrio con el sector del taxi, pretende evitar la competencia ilegal y el intrusismo con relación al sector de VTC que se produce en la temporada turística en la isla de Mallorca.</w:t>
      </w:r>
    </w:p>
    <w:p w14:paraId="34F52D20" w14:textId="77777777" w:rsidR="003754FE" w:rsidRDefault="003754FE" w:rsidP="003754FE">
      <w:pPr>
        <w:pStyle w:val="TextoNormal"/>
      </w:pPr>
    </w:p>
    <w:p w14:paraId="322E7CF5" w14:textId="77777777" w:rsidR="003754FE" w:rsidRDefault="003754FE" w:rsidP="003754FE">
      <w:pPr>
        <w:pStyle w:val="TextoNormal"/>
      </w:pPr>
      <w:r w:rsidRPr="003754FE">
        <w:rPr>
          <w:rStyle w:val="NumeroAFNegritaCaracter"/>
        </w:rPr>
        <w:t>11</w:t>
      </w:r>
      <w:r>
        <w:t>. Por escrito registrado el día 3 de julio la representación de la Federación Independiente del Taxi de las Islas Baleares se personó en el proceso.</w:t>
      </w:r>
    </w:p>
    <w:p w14:paraId="1326E151" w14:textId="77777777" w:rsidR="003754FE" w:rsidRDefault="003754FE" w:rsidP="003754FE">
      <w:pPr>
        <w:pStyle w:val="TextoNormal"/>
      </w:pPr>
    </w:p>
    <w:p w14:paraId="3467D329" w14:textId="77777777" w:rsidR="003754FE" w:rsidRDefault="003754FE" w:rsidP="003754FE">
      <w:pPr>
        <w:pStyle w:val="TextoNormal"/>
      </w:pPr>
      <w:r>
        <w:lastRenderedPageBreak/>
        <w:t xml:space="preserve">En sus alegaciones, registradas el día 28 de julio de 2023, alude, en primer lugar, al pleito judicial </w:t>
      </w:r>
      <w:r w:rsidRPr="003754FE">
        <w:rPr>
          <w:i/>
        </w:rPr>
        <w:t>a quo</w:t>
      </w:r>
      <w:r>
        <w:t xml:space="preserve"> y a la cuestión formulada por el Tribunal Supremo, así como a la delimitación de su objeto, circunscrito al art. 74 </w:t>
      </w:r>
      <w:r w:rsidRPr="003754FE">
        <w:rPr>
          <w:i/>
        </w:rPr>
        <w:t>bis</w:t>
      </w:r>
      <w:r>
        <w:t>.1 b), primera frase, de la Ley 4/2014, de 20 de junio, en la redacción dada por el art. 2.2 del Decreto-ley balear 1/2019: “establece la obligación de reservar el servicio con una antelación de treinta minutos a su prestación”. Señala también que la posible vulneración en la que incurriría este precepto es la del derecho a la libertad de empresa (art. 38 CE) y que es a ella a la que ha circunscribirse la cuestión de inconstitucionalidad, debiendo quedar extramuros de este proceso cualesquiera otras posibles vulneraciones sugeridas por otras partes, como las del art. 14 CE y el art. 5 de la Ley de garantía de la unidad de mercado.</w:t>
      </w:r>
    </w:p>
    <w:p w14:paraId="7D53D75B" w14:textId="77777777" w:rsidR="003754FE" w:rsidRDefault="003754FE" w:rsidP="003754FE">
      <w:pPr>
        <w:pStyle w:val="TextoNormal"/>
      </w:pPr>
    </w:p>
    <w:p w14:paraId="3CA4E584" w14:textId="77777777" w:rsidR="003754FE" w:rsidRDefault="003754FE" w:rsidP="003754FE">
      <w:pPr>
        <w:pStyle w:val="TextoNormal"/>
      </w:pPr>
      <w:r>
        <w:t>Expone la doctrina constitucional sobre el art. 38 CE, señalando que este precepto constitucional exige que las restricciones a la libertad de empresa obedezcan a una finalidad legítima y que puedan reputarse razonables o idóneas para lograr el fin pretendido. Si la restricción afectase a la entrada en el mercado, el indicado canon de razonabilidad sería más incisivo. No así cuando, sin impedir dicho acceso, el legislador regula el desarrollo de una actividad económica imponiendo límites o condiciones. Se trata de un criterio de razonabilidad o adecuación mucho más laxo que el de proporcionalidad aplicable al enjuiciamiento de las restricciones de otros derechos fundamentales sustantivos. De acuerdo con la doctrina constitucional para valorar si el precepto cuestionado vulnera la libertad de empresa (art. 38 CE) es preciso determinar si responde a una finalidad legítima y si incide sobre el acceso mismo al mercado o solo sobre las condiciones de ejercicio. A tal efecto, hace referencia al marco jurídico dentro del cual se desarrollan el servicio de taxi, por un lado, y la actividad de VTC, por otro. El taxi es un servicio declarado formalmente como servicio público de interés general, dada la naturaleza de la actividad que desempeña, y que exige su prestación en condiciones de calidad muy estrictas, de universalidad, sin posibilidad de elegir por criterios comerciales la prestación de unos servicios y rechazar otros, con garantía de un precio estable en todas las circunstancias y con amplia cobertura en todo el territorio. Los servicios de VTC son una actividad empresarial puramente privada consistente en un servicio de transporte precontratado. En consonancia con esta configuración, los vehículos VTC no tienen una obligación de prestar el servicio, ni de explotar la autorización de manera continuada. Tampoco tienen obligación alguna de tratar a sus clientes de manera igualitaria, pudiendo fijar libremente sus precios.</w:t>
      </w:r>
    </w:p>
    <w:p w14:paraId="0118E295" w14:textId="77777777" w:rsidR="003754FE" w:rsidRDefault="003754FE" w:rsidP="003754FE">
      <w:pPr>
        <w:pStyle w:val="TextoNormal"/>
      </w:pPr>
    </w:p>
    <w:p w14:paraId="7E60934A" w14:textId="77777777" w:rsidR="003754FE" w:rsidRDefault="003754FE" w:rsidP="003754FE">
      <w:pPr>
        <w:pStyle w:val="TextoNormal"/>
      </w:pPr>
      <w:r>
        <w:t xml:space="preserve">Esa exigencia de precontratación impuesta a los VTC responde a una finalidad social y a una finalidad medioambiental que constituyen razones imperiosas de interés general. Si la exigencia de precontratación no respondiera a una finalidad legítima, la legislación estatal que la ha impuesto sería contraria al art. 38 CE y, con ella, las normas autonómicas que la han concretado, entre ellas, la aquí controvertida. De hecho, según el Tribunal Supremo, la concreta exigencia impuesta por el legislador balear de una antelación mínima de treinta minutos es idónea o adecuada para proteger fines legítimos de interés general. A su modo de ver, lo que haría incompatible esta limitación con el art. 38 CE sería el hecho de que, por su intensidad, vendría a impedir el ejercicio mismo de la actividad económica. En cuanto a las finalidades perseguidas por la precontratación, señala una finalidad social como es la necesidad de buscar un equilibrio entre ambas modalidades de transporte, sin que la segunda (actividad privada) impida la realización de las finalidades de interés general inherentes al primero (servicio público) y sin que la primera impida el legítimo desarrollo de la segunda dentro de una economía basada en el libre mercado. Si la actividad de VTC no estuviera </w:t>
      </w:r>
      <w:r>
        <w:lastRenderedPageBreak/>
        <w:t>sujeta a la exigencia de precontratación, se pondría en riesgo aquella función social. Los VTC entrarían en competencia directa con el sector del taxi, pero sin la obligación de asegurar el servicio a todas horas y en todo el municipio, sin la obligación de prestarlo siempre que se le solicite, sin el sometimiento a un régimen de tarifa regulada y, por tanto, con la posibilidad de fijar los precios a voluntad. Alude también a una finalidad ambiental en tanto que el problema consustancial al tráfico rodado se agravaría si los VTC no estuvieran sujetos a la exigencia de precontratación y, por tanto, deambularan por los núcleos urbanos para recoger a cualesquiera clientes. La exposición de motivos del Decreto-ley balear 1/2019, que estableció la exigencia de precontratación que aquí se cuestiona, se refiere específicamente a esta finalidad ambiental. Concluye señalando que no cabe duda de que la buena gestión del transporte urbano y la protección del medio ambiente, objetivos a los que responde la exigencia de precontratación, son finalidades legítimas.</w:t>
      </w:r>
    </w:p>
    <w:p w14:paraId="3681472D" w14:textId="77777777" w:rsidR="003754FE" w:rsidRDefault="003754FE" w:rsidP="003754FE">
      <w:pPr>
        <w:pStyle w:val="TextoNormal"/>
      </w:pPr>
    </w:p>
    <w:p w14:paraId="11136CA8" w14:textId="77777777" w:rsidR="003754FE" w:rsidRDefault="003754FE" w:rsidP="003754FE">
      <w:pPr>
        <w:pStyle w:val="TextoNormal"/>
      </w:pPr>
      <w:r>
        <w:t>Se trata, además, de una restricción que limita el ejercicio, no el acceso a la actividad de VTC, lo que, a su vez, determina que debe reputarse compatible con la libertad de empresa (art. 38 CE) sin entrar a determinar si hay alternativas menos restrictivas (juicio de necesidad) o si los beneficios generales logrados compensan los perjuicios ocasionados al derecho fundamental (juicio de proporcionalidad en sentido estricto). Indica también que la restricción controvertida no equivale por su intensidad a una denegación de acceso a la actividad económica, a lo que se añaden las características del mercado balear de transportes que se caracteriza por su fuerte estacionalidad, por la dependencia del turismo y por la demanda vinculada como viajes previamente organizados con antelación. No cabe afirmar que el preaviso de treinta minutos (que los entes locales pueden reducir hasta la mitad) es, en realidad, una condición que impide acceder a un mercado (el del taxi), si este mercado por imperativo legal está excluido para las VTC por razones de interés general. La imposibilidad de acceso en su caso relevante desde la perspectiva del art. 38 CE es la referida, no al mercado del taxi, sino al mercado del transporte urbano precontratado, y es evidente que el preaviso de treinta minutos (con posibilidad de reducción hasta la mitad) en modo alguno impide el acceso a este segundo mercado. Resalta que el mercado de VTC es mucho más amplio y, por tanto, que en modo alguno puede afirmarse que el preaviso de treinta minutos impide que nadie opere dentro él y que no ha quedado probada la tesis de que la exigencia de precontratación que se cuestiona esté expulsando a las empresas de VTC del mercado.</w:t>
      </w:r>
    </w:p>
    <w:p w14:paraId="6A6EF546" w14:textId="77777777" w:rsidR="003754FE" w:rsidRDefault="003754FE" w:rsidP="003754FE">
      <w:pPr>
        <w:pStyle w:val="TextoNormal"/>
      </w:pPr>
    </w:p>
    <w:p w14:paraId="39B0620A" w14:textId="3CB7712A" w:rsidR="003754FE" w:rsidRDefault="003754FE" w:rsidP="003754FE">
      <w:pPr>
        <w:pStyle w:val="TextoNormal"/>
      </w:pPr>
      <w:r>
        <w:t>La conclusión de todo lo expuesto es que no puede decirse que la restricción controvertida constituya una limitación al acceso a la actividad de VTC que, por su intensidad, sea contraria a la libertad de empresa (art. 38 CE). Es una condición impuesta al ejercicio de la actividad de VTC perfectamente ajustada al canon de razonabilidad que impone la doctrina constitucional (cita las SSTC 89/2017, de 4 de julio; 7/2018, de 25 de enero, y 7/2023, de 21 de febrero).</w:t>
      </w:r>
    </w:p>
    <w:p w14:paraId="2FAA7544" w14:textId="77777777" w:rsidR="003754FE" w:rsidRDefault="003754FE" w:rsidP="003754FE">
      <w:pPr>
        <w:pStyle w:val="TextoNormal"/>
      </w:pPr>
    </w:p>
    <w:p w14:paraId="42281E7B" w14:textId="77777777" w:rsidR="003754FE" w:rsidRDefault="003754FE" w:rsidP="003754FE">
      <w:pPr>
        <w:pStyle w:val="TextoNormal"/>
      </w:pPr>
      <w:r w:rsidRPr="003754FE">
        <w:rPr>
          <w:rStyle w:val="NumeroAFNegritaCaracter"/>
        </w:rPr>
        <w:t>12</w:t>
      </w:r>
      <w:r>
        <w:t>. Las alegaciones del fiscal general del Estado, en las que interesa la estimación de la cuestión de inconstitucionalidad, se registraron el día 6 de julio de 2023.</w:t>
      </w:r>
    </w:p>
    <w:p w14:paraId="092A5B01" w14:textId="77777777" w:rsidR="003754FE" w:rsidRDefault="003754FE" w:rsidP="003754FE">
      <w:pPr>
        <w:pStyle w:val="TextoNormal"/>
      </w:pPr>
    </w:p>
    <w:p w14:paraId="2DE4589D" w14:textId="77777777" w:rsidR="003754FE" w:rsidRDefault="003754FE" w:rsidP="003754FE">
      <w:pPr>
        <w:pStyle w:val="TextoNormal"/>
      </w:pPr>
      <w:r>
        <w:t xml:space="preserve">Tras exponer pormenorizadamente los antecedentes de la presente cuestión de inconstitucionalidad, identifica los preceptos cuestionados, alude al cumplimiento de los presupuestos procesales y hace referencia al posible planteamiento de cuestión prejudicial ante el Tribunal de Justicia de la Unión Europea. Asimismo, se refiere a la doctrina constitucional sobre el art. 38 CE y también cita las sentencias del Tribunal de Justicia de la Unión Europea </w:t>
      </w:r>
      <w:r>
        <w:lastRenderedPageBreak/>
        <w:t xml:space="preserve">de 14 de enero de 2015, asunto C-518/13, </w:t>
      </w:r>
      <w:r w:rsidRPr="003754FE">
        <w:rPr>
          <w:i/>
        </w:rPr>
        <w:t>Eventech Ltd c. The Parking Adjudicator</w:t>
      </w:r>
      <w:r>
        <w:t xml:space="preserve">; de 20 de diciembre de 2017, asunto C-434/15, </w:t>
      </w:r>
      <w:r w:rsidRPr="003754FE">
        <w:rPr>
          <w:i/>
        </w:rPr>
        <w:t>Asociación Profesional Élite Taxi c. Uber Systems Spain, S.L.</w:t>
      </w:r>
      <w:r>
        <w:t xml:space="preserve">, y de 8 junio de 2023, asunto C-50/21, </w:t>
      </w:r>
      <w:r w:rsidRPr="003754FE">
        <w:rPr>
          <w:i/>
        </w:rPr>
        <w:t>Prestige and Limousine, S.L</w:t>
      </w:r>
      <w:r>
        <w:t>. Se refiere a continuación a la sentencia del Tribunal Supremo 164/2023, de 13 de febrero, que se cita en el auto de planteamiento de la cuestión y, asimismo, al auto del Tribunal Supremo de 20 de mayo de 2022, en el que se plantea una cuestión prejudicial al Tribunal de Justicia de la Unión Europea acerca de si es posible imponer limitación a los servicios de VTC y, en caso afirmativo, si la concreta medida limitativa de establecer una proporción máxima de autorizaciones respecto a las licencias de taxi, como puede serlo la establecida por la legislación española de una a treinta es compatible con la libertad de establecimiento.</w:t>
      </w:r>
    </w:p>
    <w:p w14:paraId="217C2B58" w14:textId="77777777" w:rsidR="003754FE" w:rsidRDefault="003754FE" w:rsidP="003754FE">
      <w:pPr>
        <w:pStyle w:val="TextoNormal"/>
      </w:pPr>
    </w:p>
    <w:p w14:paraId="66081626" w14:textId="77777777" w:rsidR="003754FE" w:rsidRDefault="003754FE" w:rsidP="003754FE">
      <w:pPr>
        <w:pStyle w:val="TextoNormal"/>
      </w:pPr>
      <w:r>
        <w:t>Entrando en el fondo del asunto, el fiscal general del Estado señala que el contenido temporal prefijado para la contratación de VTC queda al arbitrio de las comunidades autónomas habilitadas para ello por la legislación estatal. En cuanto a la justificación de la norma cuestionada resalta que se alude a diversos objetivos como son mejorar la gestión de la movilidad de personas viajeras, garantizar las condiciones de prestación del servicio, el equilibrio en la actividad de dos sectores (taxi y VTC) y una regulación con respeto a los criterios de proporcionalidad. El ministerio público destaca que no hay ninguna referencia a la razón por la que la medida cuestionada del tiempo mínimo de reserva afecta a los objetivos explícitos de la normativa que se acaban de mencionar, ni tampoco en cuanto a aquellas otras finalidades que aparecen en el preámbulo del Decreto 46/2019, de 7 de junio, como son proveer la oferta legal y evitar el incremento de la oferta ilegal y el intrusismo. Por tanto, según el fiscal, no existe una razón de por qué guardan vinculación con la medida de limitación temporal en cuestión ni, en particular, en cuanto a su cuantificación concreta. Resalta también que no resulta ajustado al criterio aplicado respecto de disposiciones cuantitativas o restrictivas de análogo sentido ya de dejadas sin efecto, como son las ya examinadas en las citadas sentencias del Tribunal de Justicia de la Unión Europea de 14 de enero de 2015, 20 de diciembre de 2017 y 8 de junio de 2023.</w:t>
      </w:r>
    </w:p>
    <w:p w14:paraId="310CC5C0" w14:textId="77777777" w:rsidR="003754FE" w:rsidRDefault="003754FE" w:rsidP="003754FE">
      <w:pPr>
        <w:pStyle w:val="TextoNormal"/>
      </w:pPr>
    </w:p>
    <w:p w14:paraId="0DEFC7FF" w14:textId="77777777" w:rsidR="003754FE" w:rsidRDefault="003754FE" w:rsidP="003754FE">
      <w:pPr>
        <w:pStyle w:val="TextoNormal"/>
      </w:pPr>
      <w:r>
        <w:t>La conclusión del fiscal general del Estado es que “no aparece determinado que la medida cuestionada resulte adecuada a un fin constitucionalmente legítimo (STC 103/2018, FJ 8), pues no se aclara como se vincula la misma con los objetivos a que debe responder tal limitación de acuerdo con los preceptos y la normativa citada. Se establece así una limitación no justificada, sin que conste la concurrencia de razones imperiosas de interés general acomodadas a aquella”. A su juicio, la limitación temporal controvertida no se adapta a la finalidad normativa ni tiene justificación alguna, pues el tiempo de precontratación establecido no parece que vaya a mejorar la gestión de la movilidad de las personas viajeras y garantizar el control efectivo de las condiciones de prestación de los servicios, ni tampoco está claro en qué medida contribuye a proveer de más oferta al sector, evitando el incremento de la oferta ilegal y del intrusismo. Por el contrario, parece orientarse a lograr un equilibrio entre dos sectores de transporte, como recuerda, aludiendo al Real Decreto-ley 3/2018, la exposición de motivos del preámbulo del Decreto-ley 1/2019, de 22 de febrero, lo que no cabría aceptar como razón de interés general y fin legítimo.</w:t>
      </w:r>
    </w:p>
    <w:p w14:paraId="7C4C41C3" w14:textId="77777777" w:rsidR="003754FE" w:rsidRDefault="003754FE" w:rsidP="003754FE">
      <w:pPr>
        <w:pStyle w:val="TextoNormal"/>
      </w:pPr>
    </w:p>
    <w:p w14:paraId="65A204F1" w14:textId="77777777" w:rsidR="003754FE" w:rsidRDefault="003754FE" w:rsidP="003754FE">
      <w:pPr>
        <w:pStyle w:val="TextoNormal"/>
      </w:pPr>
      <w:r>
        <w:t xml:space="preserve">Para el fiscal general del Estado, se trata de una limitación con un claro efecto disuasorio, pues el viajero de este tipo de transporte reclama la prestación de dicho servicio en el menor tiempo y por el menor precio, siendo así que la medida discutida es de una fuerte intensidad que desplaza unos de dos estos elementos esenciales, como es la rapidez en la prestación </w:t>
      </w:r>
      <w:r>
        <w:lastRenderedPageBreak/>
        <w:t>del servicio, pues a la duración normal de este se añade un espacio de tiempo adicional, lo que incorpora un claro elemento disuasorio, sin que, por otra parte, conste la posible existencia o la inviabilidad o improcedencia de otra medida alternativa menos restrictiva, incluso la mera reducción de la antelación establecida. En definitiva, “no consta en qué medida la limitación cuestionada garantiza la protección del servicio, el efectivo control de las condiciones de prestación de los servicios o la mejora la movilidad de las personas viajeras y, en qué favorece al consumidor. Por lo que la misma carece de suficiente justificación y por su falta de vinculación con los objetivos establecidos explícitamente, resulta desproporcionada, de manera que su elevada intensidad incidiendo en la prestación del servicio comporta un efecto disuasorio en su elección al afectar a uno de los dos elementos del mismo —rapidez—, lo que comporta, en fin, el alto riesgo de impedir/limitar la actividad, por una intensidad contraria al ejercicio del derecho del art. 38 CE”.</w:t>
      </w:r>
    </w:p>
    <w:p w14:paraId="28732D93" w14:textId="77777777" w:rsidR="003754FE" w:rsidRDefault="003754FE" w:rsidP="003754FE">
      <w:pPr>
        <w:pStyle w:val="TextoNormal"/>
      </w:pPr>
    </w:p>
    <w:p w14:paraId="6E418485" w14:textId="65A835D2" w:rsidR="003754FE" w:rsidRDefault="003754FE" w:rsidP="003754FE">
      <w:pPr>
        <w:pStyle w:val="TextoNormal"/>
      </w:pPr>
      <w:r>
        <w:t>Por todo ello, el fiscal general del Estado concluye solicitando la estimación de la cuestión de inconstitucionalidad.</w:t>
      </w:r>
    </w:p>
    <w:p w14:paraId="19F1A602" w14:textId="77777777" w:rsidR="003754FE" w:rsidRDefault="003754FE" w:rsidP="003754FE">
      <w:pPr>
        <w:pStyle w:val="TextoNormal"/>
      </w:pPr>
    </w:p>
    <w:p w14:paraId="3437DD9F" w14:textId="77777777" w:rsidR="003754FE" w:rsidRDefault="003754FE" w:rsidP="003754FE">
      <w:pPr>
        <w:pStyle w:val="TextoNormal"/>
      </w:pPr>
      <w:r w:rsidRPr="003754FE">
        <w:rPr>
          <w:rStyle w:val="NumeroAFNegritaCaracter"/>
        </w:rPr>
        <w:t>13</w:t>
      </w:r>
      <w:r>
        <w:t>. El 12 de julio de 2023 se registraron las alegaciones del Parlamento de las Illes Balears.</w:t>
      </w:r>
    </w:p>
    <w:p w14:paraId="06788E2B" w14:textId="77777777" w:rsidR="003754FE" w:rsidRDefault="003754FE" w:rsidP="003754FE">
      <w:pPr>
        <w:pStyle w:val="TextoNormal"/>
      </w:pPr>
    </w:p>
    <w:p w14:paraId="7DC9360B" w14:textId="0D3B77CB" w:rsidR="003754FE" w:rsidRDefault="003754FE" w:rsidP="003754FE">
      <w:pPr>
        <w:pStyle w:val="TextoNormal"/>
      </w:pPr>
      <w:r>
        <w:t xml:space="preserve">La representación procesal de la cámara autonómica señala, en primer lugar, que la participación del Parlamento en la tramitación del decreto-ley impugnado se limitó a la convalidación en el pleno, por considerar que se trata de una medida positiva que permite el equilibrio entre el sector del taxi y las VTC y así dar respuesta a las necesidades de movilidad en temporada turística. Se adhiere, en segundo lugar, a las alegaciones presentadas por el Gobierno de las llles Balears, resaltando especialmente que no se dan las circunstancias y exigencias formales para el planteamiento de la cuestión de inconstitucionalidad conforme al art. 35 LOTC, reproduciendo los planteamientos de la representación procesal del Gobierno de las Illes Balears acerca de que la norma cuestionada no es la que da cobertura a la previsión reglamentaria objeto del procedimiento </w:t>
      </w:r>
      <w:r w:rsidRPr="003754FE">
        <w:rPr>
          <w:i/>
        </w:rPr>
        <w:t>a quo</w:t>
      </w:r>
      <w:r>
        <w:t>. Indica que se trata de autorizaciones VTC de duración limitada a seis meses, de carácter insular y circunscritas territorialmente a una isla, en atención a la idiosincrasia del territorio insular, de carácter discontinuo. Además, no se aprecia identidad de razón con la regulación del País Vasco. La regulación balear se ajusta a la jurisprudencia del Tribunal Supremo y del Tribunal de Justicia de la Unión Europea para conseguir una prestación de servicio público equilibrada entre el servicio de taxi y los VTC, sin que se vea vulnerada la libertad de empresa prevista en el art. 38 CE.</w:t>
      </w:r>
    </w:p>
    <w:p w14:paraId="75943AFA" w14:textId="77777777" w:rsidR="003754FE" w:rsidRDefault="003754FE" w:rsidP="003754FE">
      <w:pPr>
        <w:pStyle w:val="TextoNormal"/>
      </w:pPr>
    </w:p>
    <w:p w14:paraId="7F888533" w14:textId="29A3F5C8" w:rsidR="003754FE" w:rsidRDefault="003754FE" w:rsidP="003754FE">
      <w:pPr>
        <w:pStyle w:val="TextoNormal"/>
      </w:pPr>
      <w:r w:rsidRPr="003754FE">
        <w:rPr>
          <w:rStyle w:val="NumeroAFNegritaCaracter"/>
        </w:rPr>
        <w:t>14</w:t>
      </w:r>
      <w:r>
        <w:t>. Por escrito registrado en este Tribunal el día 27 de julio de 2023 la mesa de la Diputación Permanente del Congreso de los Diputados comunica el acuerdo de dar por personada a esta cámara en este procedimiento y por ofrecida su colaboración a los efectos del art. 88.l LOTC.</w:t>
      </w:r>
    </w:p>
    <w:p w14:paraId="5CC728B2" w14:textId="77777777" w:rsidR="003754FE" w:rsidRDefault="003754FE" w:rsidP="003754FE">
      <w:pPr>
        <w:pStyle w:val="TextoNormal"/>
      </w:pPr>
    </w:p>
    <w:p w14:paraId="126278B7" w14:textId="66BDC0DF" w:rsidR="003754FE" w:rsidRDefault="003754FE" w:rsidP="003754FE">
      <w:pPr>
        <w:pStyle w:val="TextoNormal"/>
      </w:pPr>
      <w:r w:rsidRPr="003754FE">
        <w:rPr>
          <w:rStyle w:val="NumeroAFNegritaCaracter"/>
        </w:rPr>
        <w:t>15</w:t>
      </w:r>
      <w:r>
        <w:t>. Por providencia de 10 de septiembre de 2024 se señaló esa misma fecha para deliberación y fallo de esta sentencia.</w:t>
      </w:r>
    </w:p>
    <w:p w14:paraId="5D201639" w14:textId="77777777" w:rsidR="003754FE" w:rsidRDefault="003754FE" w:rsidP="003754FE">
      <w:pPr>
        <w:pStyle w:val="TextoNormal"/>
      </w:pPr>
    </w:p>
    <w:p w14:paraId="5EBF618D" w14:textId="77777777" w:rsidR="003754FE" w:rsidRDefault="003754FE" w:rsidP="003754FE">
      <w:pPr>
        <w:pStyle w:val="TextoNormalNegritaCentrado"/>
        <w:keepNext/>
      </w:pPr>
      <w:r>
        <w:lastRenderedPageBreak/>
        <w:t>II. Fundamentos jurídicos</w:t>
      </w:r>
    </w:p>
    <w:p w14:paraId="5C1F2DA0" w14:textId="332648B0" w:rsidR="003754FE" w:rsidRDefault="003754FE" w:rsidP="003754FE">
      <w:pPr>
        <w:pStyle w:val="TextoNormalNegritaCentrado"/>
        <w:keepNext/>
      </w:pPr>
    </w:p>
    <w:p w14:paraId="61B2A49F" w14:textId="77777777" w:rsidR="003754FE" w:rsidRDefault="003754FE" w:rsidP="003754FE">
      <w:pPr>
        <w:pStyle w:val="TextoNormal"/>
      </w:pPr>
      <w:r w:rsidRPr="003754FE">
        <w:rPr>
          <w:rStyle w:val="NumeroAFNegritaCaracter"/>
        </w:rPr>
        <w:t>1</w:t>
      </w:r>
      <w:r>
        <w:t xml:space="preserve">. </w:t>
      </w:r>
      <w:r w:rsidRPr="003754FE">
        <w:rPr>
          <w:i/>
        </w:rPr>
        <w:t>Objeto del proceso y posiciones de las partes</w:t>
      </w:r>
    </w:p>
    <w:p w14:paraId="5DCBFEFF" w14:textId="77777777" w:rsidR="003754FE" w:rsidRDefault="003754FE" w:rsidP="003754FE">
      <w:pPr>
        <w:pStyle w:val="TextoNormal"/>
      </w:pPr>
    </w:p>
    <w:p w14:paraId="555B19F4" w14:textId="77777777" w:rsidR="003754FE" w:rsidRDefault="003754FE" w:rsidP="003754FE">
      <w:pPr>
        <w:pStyle w:val="TextoNormal"/>
      </w:pPr>
      <w:r>
        <w:t xml:space="preserve">La Sección tercera de la Sala de lo Contencioso-Administrativo del Tribunal Supremo plantea cuestión de inconstitucionalidad en relación con el art. 2.2 del Decreto-ley del Gobierno de las Illes Balears 1/2019, de 22 de febrero, de medidas urgentes sobre la explotación y el control de la actividad de alquiler de vehículos con conductor y otras medidas en materia de transportes terrestres, en cuanto que da nueva redacción al art. 74 </w:t>
      </w:r>
      <w:r w:rsidRPr="003754FE">
        <w:rPr>
          <w:i/>
        </w:rPr>
        <w:t>bis</w:t>
      </w:r>
      <w:r>
        <w:t>.1 b) de la Ley 4/2014, de 20 de junio, de transportes terrestres y movilidad sostenible de las Illes Balears, por posible vulneración del art. 38 CE.</w:t>
      </w:r>
    </w:p>
    <w:p w14:paraId="41F4FEE3" w14:textId="77777777" w:rsidR="003754FE" w:rsidRDefault="003754FE" w:rsidP="003754FE">
      <w:pPr>
        <w:pStyle w:val="TextoNormal"/>
      </w:pPr>
    </w:p>
    <w:p w14:paraId="19342A2F" w14:textId="77777777" w:rsidR="003754FE" w:rsidRDefault="003754FE" w:rsidP="003754FE">
      <w:pPr>
        <w:pStyle w:val="TextoNormal"/>
      </w:pPr>
      <w:r>
        <w:t>El precepto cuestionado dispone lo siguiente:</w:t>
      </w:r>
    </w:p>
    <w:p w14:paraId="06C8C13D" w14:textId="77777777" w:rsidR="003754FE" w:rsidRDefault="003754FE" w:rsidP="003754FE">
      <w:pPr>
        <w:pStyle w:val="TextoNormal"/>
      </w:pPr>
    </w:p>
    <w:p w14:paraId="205CC69E" w14:textId="77777777" w:rsidR="003754FE" w:rsidRDefault="003754FE" w:rsidP="003754FE">
      <w:pPr>
        <w:pStyle w:val="TextoNormal"/>
      </w:pPr>
      <w:r>
        <w:t>“Artículo 2. Modificaciones de la Ley 4/2014, de 20 de junio, de transportes terrestres y movilidad sostenible de las Illes Balears:</w:t>
      </w:r>
    </w:p>
    <w:p w14:paraId="0350C383" w14:textId="77777777" w:rsidR="003754FE" w:rsidRDefault="003754FE" w:rsidP="003754FE">
      <w:pPr>
        <w:pStyle w:val="TextoNormal"/>
      </w:pPr>
    </w:p>
    <w:p w14:paraId="770379EB" w14:textId="77777777" w:rsidR="003754FE" w:rsidRDefault="003754FE" w:rsidP="003754FE">
      <w:pPr>
        <w:pStyle w:val="TextoNormal"/>
      </w:pPr>
      <w:r>
        <w:t xml:space="preserve">2. Se modifica el artículo 74 </w:t>
      </w:r>
      <w:r w:rsidRPr="003754FE">
        <w:rPr>
          <w:i/>
        </w:rPr>
        <w:t>bis</w:t>
      </w:r>
      <w:r>
        <w:t>.1, que quedará redactado de la siguiente manera:</w:t>
      </w:r>
    </w:p>
    <w:p w14:paraId="6E3025F1" w14:textId="77777777" w:rsidR="003754FE" w:rsidRDefault="003754FE" w:rsidP="003754FE">
      <w:pPr>
        <w:pStyle w:val="TextoNormal"/>
      </w:pPr>
    </w:p>
    <w:p w14:paraId="6D179A58" w14:textId="77777777" w:rsidR="003754FE" w:rsidRDefault="003754FE" w:rsidP="003754FE">
      <w:pPr>
        <w:pStyle w:val="TextoNormal"/>
      </w:pPr>
      <w:r>
        <w:t>[…]</w:t>
      </w:r>
    </w:p>
    <w:p w14:paraId="4CA99514" w14:textId="77777777" w:rsidR="003754FE" w:rsidRDefault="003754FE" w:rsidP="003754FE">
      <w:pPr>
        <w:pStyle w:val="TextoNormal"/>
      </w:pPr>
    </w:p>
    <w:p w14:paraId="3D610320" w14:textId="77777777" w:rsidR="003754FE" w:rsidRDefault="003754FE" w:rsidP="003754FE">
      <w:pPr>
        <w:pStyle w:val="TextoNormal"/>
      </w:pPr>
      <w:r>
        <w:t>‘1. A efectos de mejorar la gestión de la movilidad de las personas viajeras y garantizar el control efectivo de las condiciones de prestación de los servicios, respetando los criterios de proporcionalidad establecidos en el Decreto 43/2014, de 3 de octubre, por el que se desarrollan y concretan determinados aspectos de la actividad de alquiler de vehículos con conductor en el ámbito territorial de las Illes Balears, se establecen las siguientes condiciones:</w:t>
      </w:r>
    </w:p>
    <w:p w14:paraId="1990B3A0" w14:textId="77777777" w:rsidR="003754FE" w:rsidRDefault="003754FE" w:rsidP="003754FE">
      <w:pPr>
        <w:pStyle w:val="TextoNormal"/>
      </w:pPr>
    </w:p>
    <w:p w14:paraId="73BE347E" w14:textId="77777777" w:rsidR="003754FE" w:rsidRDefault="003754FE" w:rsidP="003754FE">
      <w:pPr>
        <w:pStyle w:val="TextoNormal"/>
      </w:pPr>
      <w:r>
        <w:t>a) La actividad de alquiler de vehículos con conductor viene regulada por la normativa estatal, conforme a la cual su ejercicio está acondicionado a la obtención de la correspondiente autorización y su utilización por parte de las personas usuarias está condicionada a la previa contratación del servicio.</w:t>
      </w:r>
    </w:p>
    <w:p w14:paraId="473038DD" w14:textId="77777777" w:rsidR="003754FE" w:rsidRDefault="003754FE" w:rsidP="003754FE">
      <w:pPr>
        <w:pStyle w:val="TextoNormal"/>
      </w:pPr>
    </w:p>
    <w:p w14:paraId="67886D75" w14:textId="77777777" w:rsidR="003754FE" w:rsidRDefault="003754FE" w:rsidP="003754FE">
      <w:pPr>
        <w:pStyle w:val="TextoNormal"/>
      </w:pPr>
      <w:r>
        <w:t>b) Se establece la obligación de reservar el servicio con una antelación de treinta minutos a su prestación. En el vehículo obligatoriamente deberá llevarse la documentación acreditativa de esta contratación; si la contratación previa se hubiera efectuado por medios telemáticos, se deberá acreditar, a través de la aplicación, servicio o documento digital correspondiente, la reserva previa de treinta minutos.</w:t>
      </w:r>
    </w:p>
    <w:p w14:paraId="520BD9AD" w14:textId="77777777" w:rsidR="003754FE" w:rsidRDefault="003754FE" w:rsidP="003754FE">
      <w:pPr>
        <w:pStyle w:val="TextoNormal"/>
      </w:pPr>
    </w:p>
    <w:p w14:paraId="4358DF41" w14:textId="77777777" w:rsidR="003754FE" w:rsidRDefault="003754FE" w:rsidP="003754FE">
      <w:pPr>
        <w:pStyle w:val="TextoNormal"/>
      </w:pPr>
      <w:r>
        <w:t>c) Los vehículos adscritos a las autorizaciones de alquiler de vehículos con conductor no podrán, en ningún caso, circular por las vías públicas para buscar clientes ni propiciar la captación de personas viajeras que no hayan contratado previamente el servicio ni permanecer estacionados a estos efectos.</w:t>
      </w:r>
    </w:p>
    <w:p w14:paraId="2D51ECDB" w14:textId="77777777" w:rsidR="003754FE" w:rsidRDefault="003754FE" w:rsidP="003754FE">
      <w:pPr>
        <w:pStyle w:val="TextoNormal"/>
      </w:pPr>
    </w:p>
    <w:p w14:paraId="0B82719F" w14:textId="77777777" w:rsidR="003754FE" w:rsidRDefault="003754FE" w:rsidP="003754FE">
      <w:pPr>
        <w:pStyle w:val="TextoNormal"/>
      </w:pPr>
      <w:r>
        <w:t>d) Los vehículos adscritos a las autorizaciones de alquiler de vehículos con conductor deberán ir permanentemente identificados tal como se establece en el Decreto 56/2016, de 16 de septiembre, por el que se regula el distintivo de identificación de los vehículos dedicados a la actividad de alquiler con conductor en la comunidad autónoma de las Illes Balears’”.</w:t>
      </w:r>
    </w:p>
    <w:p w14:paraId="091A3B63" w14:textId="77777777" w:rsidR="003754FE" w:rsidRDefault="003754FE" w:rsidP="003754FE">
      <w:pPr>
        <w:pStyle w:val="TextoNormal"/>
      </w:pPr>
    </w:p>
    <w:p w14:paraId="4DD00E55" w14:textId="77777777" w:rsidR="003754FE" w:rsidRDefault="003754FE" w:rsidP="003754FE">
      <w:pPr>
        <w:pStyle w:val="TextoNormal"/>
      </w:pPr>
      <w:r>
        <w:t>El órgano judicial que plantea la cuestión estima que la exigencia de que exista un lapso de treinta minutos de antelación mínima entre la contratación telemática y la prestación del servicio de alquiler de vehículos con conductor es contrario al art. 38 CE. Las razones son las que ya se expusieron en la sentencia 164/2023, de 13 febrero, de la misma Sección Tercera de la Sala de lo Contencioso-Administrativo del Tribunal Supremo (ECLI:ES:TS:2023:496), en la que se estimó que esta exigencia (contenida en una disposición reglamentaria autonómica) implicaba una “limitación muy notable para el ejercicio de esta actividad empresarial, ya que el cliente busca la prestación este tipo de servicios en el plazo más breve y por el precio más ventajoso posible. De modo que dicha exigencia, al anular la inmediatez de la prestación, disuade al usuario de su utilización hasta el punto de existe un serio riesgo de expulsión del mercado de las empresas que operan bajo este tipo de licencias” y, por su intensidad, se consideró contraria al art. 38 CE.</w:t>
      </w:r>
    </w:p>
    <w:p w14:paraId="651558C1" w14:textId="77777777" w:rsidR="003754FE" w:rsidRDefault="003754FE" w:rsidP="003754FE">
      <w:pPr>
        <w:pStyle w:val="TextoNormal"/>
      </w:pPr>
    </w:p>
    <w:p w14:paraId="2B6D6CCC" w14:textId="4A74A9CF" w:rsidR="003754FE" w:rsidRDefault="003754FE" w:rsidP="003754FE">
      <w:pPr>
        <w:pStyle w:val="TextoNormal"/>
      </w:pPr>
      <w:r>
        <w:t>Como se ha dejado expuesto en los antecedentes de esta resolución, el fiscal general del Estado y dos de las partes comparecidas, Ares Capital, S.L., y Aucona Servicios Integrales, S.L., han solicitado la estimación de la cuestión de inconstitucionalidad. Otras partes comparecidas, como la asociación Taxi Project 2.0 y la Federación Independiente del Taxi de las Islas Baleares, han interesado la desestimación de la cuestión de inconstitucionalidad. Los representantes del Parlamento y del Gobierno de las Illes Balears han considerado que la cuestión de inconstitucionalidad debe ser inadmitida por incumplimiento de los presupuestos procesales que exige el art. 35 LOTC o, subsidiariamente, desestimada.</w:t>
      </w:r>
    </w:p>
    <w:p w14:paraId="2C2811C7" w14:textId="77777777" w:rsidR="003754FE" w:rsidRDefault="003754FE" w:rsidP="003754FE">
      <w:pPr>
        <w:pStyle w:val="TextoNormal"/>
      </w:pPr>
    </w:p>
    <w:p w14:paraId="72E31156" w14:textId="77777777" w:rsidR="003754FE" w:rsidRDefault="003754FE" w:rsidP="003754FE">
      <w:pPr>
        <w:pStyle w:val="TextoNormal"/>
      </w:pPr>
      <w:r w:rsidRPr="003754FE">
        <w:rPr>
          <w:rStyle w:val="NumeroAFNegritaCaracter"/>
        </w:rPr>
        <w:t>2</w:t>
      </w:r>
      <w:r>
        <w:t xml:space="preserve">. </w:t>
      </w:r>
      <w:r w:rsidRPr="003754FE">
        <w:rPr>
          <w:i/>
        </w:rPr>
        <w:t>Cuestiones previas</w:t>
      </w:r>
    </w:p>
    <w:p w14:paraId="4EF91A98" w14:textId="77777777" w:rsidR="003754FE" w:rsidRDefault="003754FE" w:rsidP="003754FE">
      <w:pPr>
        <w:pStyle w:val="TextoNormal"/>
      </w:pPr>
    </w:p>
    <w:p w14:paraId="1501218D" w14:textId="77777777" w:rsidR="003754FE" w:rsidRDefault="003754FE" w:rsidP="003754FE">
      <w:pPr>
        <w:pStyle w:val="TextoNormal"/>
      </w:pPr>
      <w:r>
        <w:t>Antes de abordar el fondo del asunto planteado y a la vista de las alegaciones de algunas de las partes comparecidas, es preciso examinar una serie de cuestiones previas: (a) la modificación sobrevenida de la norma cuestionada durante la pendencia del proceso; (b) el cumplimiento de las condiciones procesales que exige el art. 35 LOTC para el adecuado planteamiento de la cuestión de inconstitucionalidad; (c) la fijación precisa del objeto de la cuestión de inconstitucionalidad; y (d) la delimitación de la duda de constitucionalidad que ha de resolverse.</w:t>
      </w:r>
    </w:p>
    <w:p w14:paraId="6FB35FFB" w14:textId="77777777" w:rsidR="003754FE" w:rsidRDefault="003754FE" w:rsidP="003754FE">
      <w:pPr>
        <w:pStyle w:val="TextoNormal"/>
      </w:pPr>
    </w:p>
    <w:p w14:paraId="7D951806" w14:textId="77777777" w:rsidR="003754FE" w:rsidRDefault="003754FE" w:rsidP="003754FE">
      <w:pPr>
        <w:pStyle w:val="TextoNormal"/>
      </w:pPr>
      <w:r>
        <w:t>Examinaremos estas cuestiones previas por separado:</w:t>
      </w:r>
    </w:p>
    <w:p w14:paraId="10BE2DD6" w14:textId="77777777" w:rsidR="003754FE" w:rsidRDefault="003754FE" w:rsidP="003754FE">
      <w:pPr>
        <w:pStyle w:val="TextoNormal"/>
      </w:pPr>
    </w:p>
    <w:p w14:paraId="4D76AFD5" w14:textId="77777777" w:rsidR="003754FE" w:rsidRDefault="003754FE" w:rsidP="003754FE">
      <w:pPr>
        <w:pStyle w:val="TextoNormal"/>
      </w:pPr>
      <w:r>
        <w:t xml:space="preserve">a) Durante la pendencia del proceso la norma cuestionada ha sido modificada por el art. único.19 de la Ley 1/2024, de 16 de febrero, de mejora de la regulación de los servicios de transporte con vehículos de hasta nueve plazas en las Illes Balears, de suerte que el art. 74 </w:t>
      </w:r>
      <w:r w:rsidRPr="003754FE">
        <w:rPr>
          <w:i/>
        </w:rPr>
        <w:t>bis</w:t>
      </w:r>
      <w:r>
        <w:t xml:space="preserve"> de la Ley 4/2014 no hace ya referencia a la obligación de reservar el servicio con una antelación de treinta minutos a su prestación que es lo aquí cuestionado. Sin embargo, es de advertir que esa obligación de reservar el servicio con una antelación mínima de treinta minutos se mantiene en la Ley 4/2014, en los mismos términos en los que ha sido cuestionada en este proceso, pues el nuevo art. 74 </w:t>
      </w:r>
      <w:r w:rsidRPr="003754FE">
        <w:rPr>
          <w:i/>
        </w:rPr>
        <w:t>ter</w:t>
      </w:r>
      <w:r>
        <w:t xml:space="preserve">.1, introducido por el art. único.20 de la misma Ley 1/2024, así lo dispone, al prescribir que “[p]ara la prestación del servicio de alquiler de vehículos con conductor, es obligatorio reservar el servicio con una antelación mínima de treinta minutos al momento de la prestación. En el vehículo obligatoriamente se dispondrá de la documentación acreditativa de esta contratación previa. En el caso de que la contratación previa se hubiera efectuado por medios telemáticos, habrá que acreditar, a través de la </w:t>
      </w:r>
      <w:r>
        <w:lastRenderedPageBreak/>
        <w:t xml:space="preserve">aplicación, el servicio o el documento digital correspondiente, la reserva previa mínima de treinta minutos”. En suma, la regulación cuestionada permanece con idéntico enunciado tras la reforma introducida por la Ley 1/2024, si bien en un precepto distinto de la Ley 4/2014 [del art. 74 </w:t>
      </w:r>
      <w:r w:rsidRPr="003754FE">
        <w:rPr>
          <w:i/>
        </w:rPr>
        <w:t>bis</w:t>
      </w:r>
      <w:r>
        <w:t xml:space="preserve">.1 b) ha pasado al nuevo art. 74 </w:t>
      </w:r>
      <w:r w:rsidRPr="003754FE">
        <w:rPr>
          <w:i/>
        </w:rPr>
        <w:t>ter</w:t>
      </w:r>
      <w:r>
        <w:t>.1].</w:t>
      </w:r>
    </w:p>
    <w:p w14:paraId="22BCA539" w14:textId="77777777" w:rsidR="003754FE" w:rsidRDefault="003754FE" w:rsidP="003754FE">
      <w:pPr>
        <w:pStyle w:val="TextoNormal"/>
      </w:pPr>
    </w:p>
    <w:p w14:paraId="3FA8F859" w14:textId="77777777" w:rsidR="003754FE" w:rsidRDefault="003754FE" w:rsidP="003754FE">
      <w:pPr>
        <w:pStyle w:val="TextoNormal"/>
      </w:pPr>
      <w:r>
        <w:t xml:space="preserve">Procede señalar que, como indica la STC 87/2012, de 18 de abril, FJ 3, “[e]s reiterada doctrina constitucional, tal y como ha recordado la STC 68/2007, de 28 de marzo, FJ 4, con cita de la STC 134/2004, de 22 de julio, FJ 3,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de modo que, concretamente para las cuestiones de inconstitucionalidad”, como venimos recogiendo en nuestra doctrina de forma constante “[l]a circunstancia de que la norma sobre la que se plantea la cuestión de inconstitucionalidad haya sido derogada no implica sin embargo que la cuestión haya perdido su objeto. Debe tenerse en cuenta la doctrina constitucional reiterada, conforme a la cual en las cuestiones de inconstitucionalidad los efectos extintivos sobre el objeto del proceso, como consecuencia de la modificación o derogación de la norma cuestionada vienen determinados por el hecho de que, tras esa modificación o derogación, resulte o no aplicable en el proceso </w:t>
      </w:r>
      <w:r w:rsidRPr="003754FE">
        <w:rPr>
          <w:i/>
        </w:rPr>
        <w:t>a quo</w:t>
      </w:r>
      <w:r>
        <w:t>, y de que de su validez dependa la decisión a adoptar en este” (por todas, STC 22/2019, de 14 de febrero, FJ 2, y doctrina que cita).</w:t>
      </w:r>
    </w:p>
    <w:p w14:paraId="192ED505" w14:textId="77777777" w:rsidR="003754FE" w:rsidRDefault="003754FE" w:rsidP="003754FE">
      <w:pPr>
        <w:pStyle w:val="TextoNormal"/>
      </w:pPr>
    </w:p>
    <w:p w14:paraId="6ECF0F06" w14:textId="77777777" w:rsidR="003754FE" w:rsidRDefault="003754FE" w:rsidP="003754FE">
      <w:pPr>
        <w:pStyle w:val="TextoNormal"/>
      </w:pPr>
      <w:r>
        <w:t>Por tanto, en atención a la doctrina expuesta, la modificación de la norma legal cuestionada nos obliga a comprobar la subsistencia del objeto de la presente cuestión de inconstitucionalidad, teniendo presentes las concretas circunstancias del caso.</w:t>
      </w:r>
    </w:p>
    <w:p w14:paraId="0CAA5088" w14:textId="77777777" w:rsidR="003754FE" w:rsidRDefault="003754FE" w:rsidP="003754FE">
      <w:pPr>
        <w:pStyle w:val="TextoNormal"/>
      </w:pPr>
    </w:p>
    <w:p w14:paraId="43AD25F1" w14:textId="77777777" w:rsidR="003754FE" w:rsidRDefault="003754FE" w:rsidP="003754FE">
      <w:pPr>
        <w:pStyle w:val="TextoNormal"/>
      </w:pPr>
      <w:r>
        <w:t xml:space="preserve">La duda de constitucionalidad planteada por el órgano judicial no supone sino la aplicación respecto del precepto legal que cuestiona de los argumentos ya vertidos por el mismo frente a un precepto reglamentario de contenido similar en un recurso contencioso-administrativo interpuesto de forma directa contra una disposición de carácter general. Este recurso contencioso-administrativo similar fue resuelto por la sentencia de la Sala de lo Contencioso-Administrativo del Tribunal Supremo 164/2023, de 13 de febrero, dictada por la misma Sección Tercera que ha planteado la presente cuestión de inconstitucionalidad, y en la que se examinaba una exigencia sustancialmente coincidente de precontratación en un tiempo mínimo de treinta minutos, prescrita por el Decreto 200/2019, de 17 de diciembre, del departamento de desarrollo económico e infraestructuras del Gobierno Vasco, sobre condiciones de prestación del servicio de arrendamiento de vehículos con conductor y con autorización de ámbito nacional en la Comunidad Autónoma de Euskadi. El auto de planteamiento de la cuestión entiende que las consideraciones de la mencionada sentencia son enteramente trasladables al precepto legal cuestionado, dado que fija la misma exigencia de preaviso con una antelación mínima de treinta minutos, luego reproducida en el art. 11.2 del Decreto autonómico 46/2019, objeto de la impugnación directa que es el objeto del proceso </w:t>
      </w:r>
      <w:r w:rsidRPr="003754FE">
        <w:rPr>
          <w:i/>
        </w:rPr>
        <w:t>a quo</w:t>
      </w:r>
      <w:r>
        <w:t xml:space="preserve">. Y la cobertura legal de la previsión reglamentaria por parte del precepto cuestionado [el art. 2.2 del Decreto-ley del Gobierno de las Illes Balears 1/2019, que da nueva redacción al art. 74 </w:t>
      </w:r>
      <w:r w:rsidRPr="003754FE">
        <w:rPr>
          <w:i/>
        </w:rPr>
        <w:t>bis</w:t>
      </w:r>
      <w:r>
        <w:t>.1 b) de la Ley 4/2014] resulta determinante, como ha quedado expuesto con detalle en los antecedentes, del planteamiento de la cuestión de inconstitucionalidad.</w:t>
      </w:r>
    </w:p>
    <w:p w14:paraId="501255AF" w14:textId="77777777" w:rsidR="003754FE" w:rsidRDefault="003754FE" w:rsidP="003754FE">
      <w:pPr>
        <w:pStyle w:val="TextoNormal"/>
      </w:pPr>
    </w:p>
    <w:p w14:paraId="3AFEFD07" w14:textId="77777777" w:rsidR="003754FE" w:rsidRDefault="003754FE" w:rsidP="003754FE">
      <w:pPr>
        <w:pStyle w:val="TextoNormal"/>
      </w:pPr>
      <w:r>
        <w:lastRenderedPageBreak/>
        <w:t xml:space="preserve">De hecho, el auto de planteamiento de la cuestión argumenta expresamente que la norma legal cuestionada, en la redacción dada por el Decreto-ley 1/2019, era la que prestaba cobertura a la disposición reglamentaria, pero que, atendiendo a su rango legal, no es posible la anulación de esta previsión por sentencia, como hizo la sentencia 164/2023, de 13 de febrero, de la Sección Tercera de la Sala de lo Contencioso-Administrativo del Tribunal Supremo, respecto del decreto del País Vasco ya mencionado, sino que procede el planteamiento de la cuestión de inconstitucionalidad. En suma, lo que se viene a suscitar es la inconstitucionalidad material de la regla legal de la que sería desarrollo, con reiteración del mismo vicio sustantivo, la norma de rango reglamentario que se impugna en el proceso </w:t>
      </w:r>
      <w:r w:rsidRPr="003754FE">
        <w:rPr>
          <w:i/>
        </w:rPr>
        <w:t>a quo</w:t>
      </w:r>
      <w:r>
        <w:t xml:space="preserve">. De esta suerte el control que corresponde al Tribunal Supremo sobre la disposición reglamentaria de la que está conociendo no podría en principio tener lugar si previamente no se despeja la duda de constitucionalidad sobre la regla legal de cobertura, pues, según razona correctamente el auto de planteamiento, el pleito </w:t>
      </w:r>
      <w:r w:rsidRPr="003754FE">
        <w:rPr>
          <w:i/>
        </w:rPr>
        <w:t>a quo</w:t>
      </w:r>
      <w:r>
        <w:t xml:space="preserve"> no puede ser resuelto sin apreciar antes la conformidad o no a la Constitución de esa norma de cobertura que, en el momento del planteamiento de la cuestión, se encontraba en el art. 74 </w:t>
      </w:r>
      <w:r w:rsidRPr="003754FE">
        <w:rPr>
          <w:i/>
        </w:rPr>
        <w:t>bis</w:t>
      </w:r>
      <w:r>
        <w:t xml:space="preserve">.1 b) de la Ley 4/2014, en la redacción dada por el art. 2.2 del Decreto-ley del Gobierno de las Illes Balears 1/2019, y que ahora aparece en el art. 74 </w:t>
      </w:r>
      <w:r w:rsidRPr="003754FE">
        <w:rPr>
          <w:i/>
        </w:rPr>
        <w:t>ter</w:t>
      </w:r>
      <w:r>
        <w:t>.1 de la Ley 4/2014.</w:t>
      </w:r>
    </w:p>
    <w:p w14:paraId="56C80312" w14:textId="77777777" w:rsidR="003754FE" w:rsidRDefault="003754FE" w:rsidP="003754FE">
      <w:pPr>
        <w:pStyle w:val="TextoNormal"/>
      </w:pPr>
    </w:p>
    <w:p w14:paraId="1E3A442C" w14:textId="77777777" w:rsidR="003754FE" w:rsidRDefault="003754FE" w:rsidP="003754FE">
      <w:pPr>
        <w:pStyle w:val="TextoNormal"/>
      </w:pPr>
      <w:r>
        <w:t>En tales términos, considerar ahora que una modificación que se limita a dar nueva numeración al precepto cuestionado pero manteniéndolo en la Ley 4/2014 con idéntico contenido material conlleva una perdida sobrevenida del juicio de relevancia supondría “incurrir en un formalismo riguroso en detrimento de la imprescindible cooperación entre los órganos judiciales y el Tribunal Constitucional para depurar el ordenamiento jurídico de preceptos presuntamente inconstitucionales” (STC 123/2021, de 3 de junio, FJ 2, y las allí citadas), función que debe considerarse prevalente. En ese sentido la STC 133/2004, de 22 de julio, FJ 1, recuerda “la conveniencia de que las cuestiones promovidas por los órganos judiciales encuentren, siempre que sea posible y sin menoscabo de los presupuestos procesales que son de orden público, una solución por sentencia, al objeto de contribuir a la depuración del ordenamiento jurídico de preceptos presuntamente inconstitucionales, extendiendo así la fuerza vinculante de la Constitución gracias a una imprescindible cooperación entre órganos judiciales y Tribunal Constitucional, pues, a fin de cuentas, solo cuando resulte evidente que la norma legal cuestionada no es, en modo alguno, aplicable al caso, cabe declarar inadmisible una cuestión de inconstitucionalidad (STC 76/1990)”.</w:t>
      </w:r>
    </w:p>
    <w:p w14:paraId="4AB49DD9" w14:textId="77777777" w:rsidR="003754FE" w:rsidRDefault="003754FE" w:rsidP="003754FE">
      <w:pPr>
        <w:pStyle w:val="TextoNormal"/>
      </w:pPr>
    </w:p>
    <w:p w14:paraId="5ACF31D3" w14:textId="77777777" w:rsidR="003754FE" w:rsidRDefault="003754FE" w:rsidP="003754FE">
      <w:pPr>
        <w:pStyle w:val="TextoNormal"/>
      </w:pPr>
      <w:r>
        <w:t>En suma, debemos concluir que la presente cuestión de inconstitucionalidad no ha perdido sobrevenidamente su objeto.</w:t>
      </w:r>
    </w:p>
    <w:p w14:paraId="6A5B9D21" w14:textId="77777777" w:rsidR="003754FE" w:rsidRDefault="003754FE" w:rsidP="003754FE">
      <w:pPr>
        <w:pStyle w:val="TextoNormal"/>
      </w:pPr>
    </w:p>
    <w:p w14:paraId="02496082" w14:textId="77777777" w:rsidR="003754FE" w:rsidRDefault="003754FE" w:rsidP="003754FE">
      <w:pPr>
        <w:pStyle w:val="TextoNormal"/>
      </w:pPr>
      <w:r>
        <w:t xml:space="preserve">b) En cuanto al adecuado cumplimiento de las condiciones procesales para el planteamiento de la cuestión de inconstitucionalidad, el abogado de la Comunidad Autónoma de las Illes Balears, a cuyas alegaciones se ha adherido la representación procesal del Parlamento balear, ha sostenido, en primer lugar, que la inicial providencia de 1 de febrero de 2023 por la que se abría el trámite de audiencia a las partes y al Ministerio Fiscal, no cumple los requisitos formales exigidos en el art. 35.2 LOTC, en cuanto que en la misma no se especificaba o justificaba en qué medida la decisión del proceso </w:t>
      </w:r>
      <w:r w:rsidRPr="003754FE">
        <w:rPr>
          <w:i/>
        </w:rPr>
        <w:t>a quo</w:t>
      </w:r>
      <w:r>
        <w:t xml:space="preserve"> dependía de la validez de la norma legal en cuestión.</w:t>
      </w:r>
    </w:p>
    <w:p w14:paraId="560EAB35" w14:textId="77777777" w:rsidR="003754FE" w:rsidRDefault="003754FE" w:rsidP="003754FE">
      <w:pPr>
        <w:pStyle w:val="TextoNormal"/>
      </w:pPr>
    </w:p>
    <w:p w14:paraId="491E5274" w14:textId="77777777" w:rsidR="003754FE" w:rsidRDefault="003754FE" w:rsidP="003754FE">
      <w:pPr>
        <w:pStyle w:val="TextoNormal"/>
      </w:pPr>
      <w:r>
        <w:t xml:space="preserve">En segundo lugar, argumenta que el juicio de relevancia ha sido deficientemente formulado en el auto de planteamiento, por cuanto el precepto reglamentario impugnado en el </w:t>
      </w:r>
      <w:r>
        <w:lastRenderedPageBreak/>
        <w:t xml:space="preserve">proceso </w:t>
      </w:r>
      <w:r w:rsidRPr="003754FE">
        <w:rPr>
          <w:i/>
        </w:rPr>
        <w:t>a quo</w:t>
      </w:r>
      <w:r>
        <w:t xml:space="preserve">, aunque tiene un contenido similar, no desarrolla la previsión legal que se cuestiona, el art. 74 </w:t>
      </w:r>
      <w:r w:rsidRPr="003754FE">
        <w:rPr>
          <w:i/>
        </w:rPr>
        <w:t>bis</w:t>
      </w:r>
      <w:r>
        <w:t xml:space="preserve">.1 b) de la Ley 4/2014, de 20 de junio, de transportes terrestres y movilidad sostenible de las Illes Balears, en la redacción dada por el art. 2 del Decreto-ley 1/2019. El precepto reglamentario se refiere a autorizaciones de VTC de temporada, de ámbito insular y una duración mínima de seis meses, lo que deriva del art. 74 </w:t>
      </w:r>
      <w:r w:rsidRPr="003754FE">
        <w:rPr>
          <w:i/>
        </w:rPr>
        <w:t>bis</w:t>
      </w:r>
      <w:r>
        <w:t xml:space="preserve">.4 de la misma Ley 4/2014 y en modo alguno de la regulación contenida en el art. 74 </w:t>
      </w:r>
      <w:r w:rsidRPr="003754FE">
        <w:rPr>
          <w:i/>
        </w:rPr>
        <w:t>bis</w:t>
      </w:r>
      <w:r>
        <w:t>.1 b), en la redacción que le ha dado el Decreto-ley 1/2019. Resulta entonces que no es desarrollo de la norma legal cuestionada, en tanto que esta se refiere a las autorizaciones de ámbito nacional, adoptadas por delegación del Estado.</w:t>
      </w:r>
    </w:p>
    <w:p w14:paraId="6B6ABE4D" w14:textId="77777777" w:rsidR="003754FE" w:rsidRDefault="003754FE" w:rsidP="003754FE">
      <w:pPr>
        <w:pStyle w:val="TextoNormal"/>
      </w:pPr>
    </w:p>
    <w:p w14:paraId="7CD43402" w14:textId="77777777" w:rsidR="003754FE" w:rsidRDefault="003754FE" w:rsidP="003754FE">
      <w:pPr>
        <w:pStyle w:val="TextoNormal"/>
      </w:pPr>
      <w:r>
        <w:t>Ninguna de las dos alegaciones puede ser acogida.</w:t>
      </w:r>
    </w:p>
    <w:p w14:paraId="5FAA3F16" w14:textId="77777777" w:rsidR="003754FE" w:rsidRDefault="003754FE" w:rsidP="003754FE">
      <w:pPr>
        <w:pStyle w:val="TextoNormal"/>
      </w:pPr>
    </w:p>
    <w:p w14:paraId="4AB5B8B3" w14:textId="77777777" w:rsidR="003754FE" w:rsidRDefault="003754FE" w:rsidP="003754FE">
      <w:pPr>
        <w:pStyle w:val="TextoNormal"/>
      </w:pPr>
      <w:r>
        <w:t>(i) En lo que respecta a las denunciadas deficiencias en el trámite de audiencia, que ambas representaciones procesales vinculan a la ausencia en la providencia de apertura de dicho trámite de cualquier referencia acerca de la aplicabilidad y relevancia de la norma cuestionada al caso, procede advertir que, como recuerda la STC 166/2012, de 1 de octubre, FJ 3, y reitera la STC 50/2015, de 5 de marzo, FJ 2 b), “[p]ara cumplir adecuadamente con el trámite previsto en el artículo 35.2 LOTC, el juez no está obligado a detallar cada uno de los extremos de la cuestión de inconstitucionalidad sobre cuya conveniencia pueden pronunciarse las partes. Basta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del trámite’ (por todas, STC 166/2007, de 4 de julio, FJ 6)”.</w:t>
      </w:r>
    </w:p>
    <w:p w14:paraId="74A535D4" w14:textId="77777777" w:rsidR="003754FE" w:rsidRDefault="003754FE" w:rsidP="003754FE">
      <w:pPr>
        <w:pStyle w:val="TextoNormal"/>
      </w:pPr>
    </w:p>
    <w:p w14:paraId="1BDF82D8" w14:textId="77777777" w:rsidR="003754FE" w:rsidRDefault="003754FE" w:rsidP="003754FE">
      <w:pPr>
        <w:pStyle w:val="TextoNormal"/>
      </w:pPr>
      <w:r>
        <w:t xml:space="preserve">Conforme a dicha doctrina el óbice no puede ser admitido pues, sin perjuicio de que, pese a lo que parecen entender los representantes del Gobierno y del Parlamento de las Illes Balears, los juicios de aplicabilidad y relevancia no han de exteriorizarse en la providencia sino en el auto de planteamiento de la cuestión, es indiscutible que, en este caso, de la redacción de la providencia cabe deducir sin dificultad los motivos que conducen al órgano judicial a dudar de la constitucionalidad de la norma. En efecto, la providencia por la que se abre el trámite de audiencia identifica con precisión el precepto legal cuestionado, el art. 2.2 del Decreto-ley 1/2019, de 22 de febrero, en cuanto a la redacción del art. 74 </w:t>
      </w:r>
      <w:r w:rsidRPr="003754FE">
        <w:rPr>
          <w:i/>
        </w:rPr>
        <w:t>bis</w:t>
      </w:r>
      <w:r>
        <w:t>.1 b) de la Ley 4/2014, de 20 de junio, y el precepto constitucional que se entiende vulnerado, el principio de libertad de empresa (art. 38 CE). De esta manera, como se ha expuesto en los antecedentes, las partes han podido conocer los términos de la duda de constitucionalidad planteada, así como expresar su criterio sobre ella a fin de poner a disposición del órgano judicial “un medio que le permita conocer, con rigor, la opinión de los sujetos interesados con el fin de facilitar su reflexión sobre la conveniencia o no de proceder a la apertura de dicho proceso” (STC 121/2010, de 29 de noviembre, FJ 4).</w:t>
      </w:r>
    </w:p>
    <w:p w14:paraId="0DC13DC5" w14:textId="77777777" w:rsidR="003754FE" w:rsidRDefault="003754FE" w:rsidP="003754FE">
      <w:pPr>
        <w:pStyle w:val="TextoNormal"/>
      </w:pPr>
    </w:p>
    <w:p w14:paraId="3B2688EE" w14:textId="77777777" w:rsidR="003754FE" w:rsidRDefault="003754FE" w:rsidP="003754FE">
      <w:pPr>
        <w:pStyle w:val="TextoNormal"/>
      </w:pPr>
      <w:r>
        <w:t>(ii) Igualmente, el juicio de relevancia ha de considerarse adecuadamente formulado.</w:t>
      </w:r>
    </w:p>
    <w:p w14:paraId="0BD66DB1" w14:textId="77777777" w:rsidR="003754FE" w:rsidRDefault="003754FE" w:rsidP="003754FE">
      <w:pPr>
        <w:pStyle w:val="TextoNormal"/>
      </w:pPr>
    </w:p>
    <w:p w14:paraId="37757749" w14:textId="77777777" w:rsidR="003754FE" w:rsidRDefault="003754FE" w:rsidP="003754FE">
      <w:pPr>
        <w:pStyle w:val="TextoNormal"/>
      </w:pPr>
      <w:r>
        <w:t xml:space="preserve">El Tribunal Supremo ha considerado que el art. 2.2 del Decreto-ley del Gobierno de las Illes Balears 1/2019, de 22 de febrero, en cuanto modifica el art. 74 </w:t>
      </w:r>
      <w:r w:rsidRPr="003754FE">
        <w:rPr>
          <w:i/>
        </w:rPr>
        <w:t>bis</w:t>
      </w:r>
      <w:r>
        <w:t xml:space="preserve">.1 b) de la Ley 4/2014, de 20 de junio, es la norma legal que presta cobertura a la disposición reglamentaria </w:t>
      </w:r>
      <w:r>
        <w:lastRenderedPageBreak/>
        <w:t xml:space="preserve">cuestionada en el proceso </w:t>
      </w:r>
      <w:r w:rsidRPr="003754FE">
        <w:rPr>
          <w:i/>
        </w:rPr>
        <w:t>a quo</w:t>
      </w:r>
      <w:r>
        <w:t>, el art. 11.1 del Decreto del Consejo de Gobierno de las Illes Balears 46/2019, de 7 de junio. De hecho, la regulación, en el aspecto cuestionado, es materialmente idéntica. Eso, a su vez, justifica la relevancia del precepto legal cuestionado, hasta el punto de que, de no existir este, el Tribunal Supremo argumenta que sería de directa aplicación el precedente de la ya citada sentencia 164/2023, de 13 de febrero, dictada por la misma Sección de la Sala de lo Contencioso-Administrativo del Tribunal Supremo, en la que se examinaba una exigencia reglamentaria de contenido sustancialmente coincidente fijada en el Decreto 200/2019, de 17 de diciembre, del departamento de desarrollo económico e infraestructuras del Gobierno Vasco, sobre condiciones de prestación del servicio de arrendamiento de vehículos con conductor y con autorización de ámbito nacional en la Comunidad Autónoma de Euskadi.</w:t>
      </w:r>
    </w:p>
    <w:p w14:paraId="047212E5" w14:textId="77777777" w:rsidR="003754FE" w:rsidRDefault="003754FE" w:rsidP="003754FE">
      <w:pPr>
        <w:pStyle w:val="TextoNormal"/>
      </w:pPr>
    </w:p>
    <w:p w14:paraId="2BE077F0" w14:textId="77777777" w:rsidR="003754FE" w:rsidRDefault="003754FE" w:rsidP="003754FE">
      <w:pPr>
        <w:pStyle w:val="TextoNormal"/>
      </w:pPr>
      <w:r>
        <w:t xml:space="preserve">El juicio sobre la relevancia de la norma legal cuestionada que ha realizado el Tribunal Supremo no puede verse enervado por lo argumentado por el abogado de la Comunidad Autónoma de las Illes Balears, argumentación a la que se adhiere la representación del Parlamento balear. El Decreto-ley 1/2019, conforme a su preámbulo, persigue regular el arrendamiento de vehículos con conductor que se presten íntegramente dentro del territorio de las Illes Balears en el marco previamente determinado por el Real Decreto-ley 13/2018, de 28 de septiembre. En el preámbulo se afirma que “se remarca la obligatoriedad de una precontratación del servicio, que deberá acreditarse mediante documentación justificativa del contrato y con la prestación del servicio media hora después de la solicitud, tiempo que de acuerdo con la disposición adicional segunda, los entes locales pueden modificar hasta un mínimo de quince minutos de antelación”, obligación que viene fijada en el art. 74 </w:t>
      </w:r>
      <w:r w:rsidRPr="003754FE">
        <w:rPr>
          <w:i/>
        </w:rPr>
        <w:t>bis</w:t>
      </w:r>
      <w:r>
        <w:t xml:space="preserve">.1 b) de la Ley 4/2014, de 20 de junio, en la redacción dada por el art. 2.2 del Decreto-ley 1/2019 (en la actualidad en el art. 74 </w:t>
      </w:r>
      <w:r w:rsidRPr="003754FE">
        <w:rPr>
          <w:i/>
        </w:rPr>
        <w:t>ter</w:t>
      </w:r>
      <w:r>
        <w:t>.1 de la Ley 4/2014, tras la reforma resultante de la Ley 1/2024, de 16 de febrero, como ya hemos señalado).</w:t>
      </w:r>
    </w:p>
    <w:p w14:paraId="2B4D83BB" w14:textId="77777777" w:rsidR="003754FE" w:rsidRDefault="003754FE" w:rsidP="003754FE">
      <w:pPr>
        <w:pStyle w:val="TextoNormal"/>
      </w:pPr>
    </w:p>
    <w:p w14:paraId="4B21C6E4" w14:textId="77777777" w:rsidR="003754FE" w:rsidRDefault="003754FE" w:rsidP="003754FE">
      <w:pPr>
        <w:pStyle w:val="TextoNormal"/>
      </w:pPr>
      <w:r>
        <w:t xml:space="preserve">Es cierto, no obstante, que este art. 74 </w:t>
      </w:r>
      <w:r w:rsidRPr="003754FE">
        <w:rPr>
          <w:i/>
        </w:rPr>
        <w:t>bis</w:t>
      </w:r>
      <w:r>
        <w:t xml:space="preserve"> también hace referencia, en sus apartados 4 y 6, a la posibilidad de que los consejos insulares, conforme a lo previsto en el art. 6 de la misma Ley 4/2014, puedan crear autorizaciones de alquiler de vehículos con conductor de ámbito insular, bien sean de carácter permanente o temporal, para las que establecerán el correspondiente régimen jurídico, así como las condiciones de otorgamiento, modificación, extinción u otras que consideren necesarias. En el caso de Mallorca, la referencia al Consejo Insular se entiende hecha al Gobierno de las Illes Balears mientras no se lleve a cabo la transferencia de la competencia al Consejo Insular de Mallorca. De ahí que el Decreto 46/2019, de 7 de junio, se apruebe por el Gobierno balear, tenga por objeto las autorizaciones de alquiler de vehículos con conductor de ámbito insular y carácter temporal en la isla de Mallorca, y se afirme fundamentado en los artículos 6 k), 74 </w:t>
      </w:r>
      <w:r w:rsidRPr="003754FE">
        <w:rPr>
          <w:i/>
        </w:rPr>
        <w:t>bis</w:t>
      </w:r>
      <w:r>
        <w:t xml:space="preserve">.4 y 74.6 de la Ley 4/2014. Ahora bien, y frente a lo argumentado por el letrado autonómico, el art. 74 </w:t>
      </w:r>
      <w:r w:rsidRPr="003754FE">
        <w:rPr>
          <w:i/>
        </w:rPr>
        <w:t>bis</w:t>
      </w:r>
      <w:r>
        <w:t xml:space="preserve">.1 b), en la redacción dada por el art. 2.2 del Decreto-ley 1/2019, es también aplicable a este segundo tipo de autorizaciones, por más que sean estacionales y de ámbito territorial y temporal limitado. En primer lugar, por la ubicación sistemática de este art. 74 </w:t>
      </w:r>
      <w:r w:rsidRPr="003754FE">
        <w:rPr>
          <w:i/>
        </w:rPr>
        <w:t>bis</w:t>
      </w:r>
      <w:r>
        <w:t xml:space="preserve">.1 b), en la medida en que, dado que el precepto no distingue, ha de entenderse que las condiciones ahí prescritas para el ejercicio de la actividad de alquiler de vehículos con conductor (obligación de reserva con antelación de treinta minutos, prohibición de captación de clientes en la vía pública o de aquellos que no hayan contratado previamente el servicio y obligación de identificación) son de aplicación a todos los tipos de autorizaciones que el propio art. 74 </w:t>
      </w:r>
      <w:r w:rsidRPr="003754FE">
        <w:rPr>
          <w:i/>
        </w:rPr>
        <w:t>bis</w:t>
      </w:r>
      <w:r>
        <w:t xml:space="preserve"> regula seguidamente. A la misma conclusión puede llegarse a la vista de la afirmación que </w:t>
      </w:r>
      <w:r>
        <w:lastRenderedPageBreak/>
        <w:t>contiene el propio preámbulo del Decreto 46/2019, que indica que “[e]n la prestación de los servicios el Decreto sigue el mismo régimen de actuación que impone la Ley 16/1987, de 30 de julio, de Ordenación de los Transportes Terrestres, y la normativa que la desarrolla para las autorizaciones de ámbito nacional, con el fin de evitar diferencias en la gestión de la actividad según cuál sea la autorización de la que se disponga”, y asimismo de lo dispuesto por el art. 3 del Decreto 46/2019, según el cual “[l]as autorizaciones de alquiler de vehículos con conductor de ámbito insular y carácter temporal se regirán por la Ley 4/2014, de 20 de junio, de transportes terrestres y movilidad sostenible de las Illes Balears, y por este decreto”.</w:t>
      </w:r>
    </w:p>
    <w:p w14:paraId="1F96187D" w14:textId="77777777" w:rsidR="003754FE" w:rsidRDefault="003754FE" w:rsidP="003754FE">
      <w:pPr>
        <w:pStyle w:val="TextoNormal"/>
      </w:pPr>
    </w:p>
    <w:p w14:paraId="30A9E50A" w14:textId="77777777" w:rsidR="003754FE" w:rsidRDefault="003754FE" w:rsidP="003754FE">
      <w:pPr>
        <w:pStyle w:val="TextoNormal"/>
      </w:pPr>
      <w:r>
        <w:t>En suma, por lo expuesto, atendiendo al control externo que es el que corresponde realizar a este tribunal, el juicio de relevancia ha de considerarse adecuadamente formulado.</w:t>
      </w:r>
    </w:p>
    <w:p w14:paraId="0F0C951D" w14:textId="77777777" w:rsidR="003754FE" w:rsidRDefault="003754FE" w:rsidP="003754FE">
      <w:pPr>
        <w:pStyle w:val="TextoNormal"/>
      </w:pPr>
    </w:p>
    <w:p w14:paraId="0111FCCE" w14:textId="77777777" w:rsidR="003754FE" w:rsidRDefault="003754FE" w:rsidP="003754FE">
      <w:pPr>
        <w:pStyle w:val="TextoNormal"/>
      </w:pPr>
      <w:r>
        <w:t xml:space="preserve">c) Por lo que se refiere a la delimitación precisa del objeto de la cuestión de inconstitucionalidad, teniendo en cuenta lo discutido en el proceso </w:t>
      </w:r>
      <w:r w:rsidRPr="003754FE">
        <w:rPr>
          <w:i/>
        </w:rPr>
        <w:t>a quo</w:t>
      </w:r>
      <w:r>
        <w:t xml:space="preserve"> y los términos de la providencia por la que se abre el trámite de audiencia, debe entenderse que se cuestiona el art. 2.2 del Decreto-ley 1/2019 únicamente, como ya se ha adelantado, en cuanto a la redacción de la letra b) del art. 74 </w:t>
      </w:r>
      <w:r w:rsidRPr="003754FE">
        <w:rPr>
          <w:i/>
        </w:rPr>
        <w:t>bis</w:t>
      </w:r>
      <w:r>
        <w:t>.1 de la Ley 4/2014, de 20 de junio, pues es allí donde se establece la obligación de reservar el servicio de VTC con una antelación mínima de treinta minutos.</w:t>
      </w:r>
    </w:p>
    <w:p w14:paraId="15A0DF45" w14:textId="77777777" w:rsidR="003754FE" w:rsidRDefault="003754FE" w:rsidP="003754FE">
      <w:pPr>
        <w:pStyle w:val="TextoNormal"/>
      </w:pPr>
    </w:p>
    <w:p w14:paraId="32859165" w14:textId="77777777" w:rsidR="003754FE" w:rsidRDefault="003754FE" w:rsidP="003754FE">
      <w:pPr>
        <w:pStyle w:val="TextoNormal"/>
      </w:pPr>
      <w:r>
        <w:t>d) En cuanto a la delimitación de la duda de constitucionalidad que ha de resolverse, procede recordar ahora que algunas de las partes comparecidas en la presente cuestión de inconstitucionalidad han planteado la necesidad de que este tribunal se pronuncie acerca de si la disposición cuestionada es también contraria al art. 14 CE, así como al art. 5 de la Ley 20/2013, de 9 de diciembre, de garantía de la unidad de mercado, de suerte que, a su través, vulneraría el art. 149.1.13 CE. Es decir, pretenden que se amplíen los términos en que la cuestión ha sido planteada por el órgano judicial, que la ha circunscrito a la vulneración del art. 38 CE, que garantiza la libertad de empresa.</w:t>
      </w:r>
    </w:p>
    <w:p w14:paraId="1233A16C" w14:textId="77777777" w:rsidR="003754FE" w:rsidRDefault="003754FE" w:rsidP="003754FE">
      <w:pPr>
        <w:pStyle w:val="TextoNormal"/>
      </w:pPr>
    </w:p>
    <w:p w14:paraId="3CC98E49" w14:textId="58F635A6" w:rsidR="003754FE" w:rsidRDefault="003754FE" w:rsidP="003754FE">
      <w:pPr>
        <w:pStyle w:val="TextoNormal"/>
      </w:pPr>
      <w:r>
        <w:t xml:space="preserve">Tales pretensiones han de quedar, en este momento, extramuros de nuestro enjuiciamiento. La STC 113/1989, de 22 de junio, FJ 2, ya descartó que las partes que intervienen en las cuestiones de inconstitucionalidad puedan válidamente, por el cauce del art. 39.2 LOTC, extenderlas a aspectos no contemplados por el órgano judicial que las plantea, en tanto que la cuestión de inconstitucionalidad es un instrumento procesal puesto a disposición de los jueces y tribunales de justicia con la finalidad de obtener respuesta de esta jurisdicción constitucional que resuelva las dudas de inconstitucionalidad que le susciten los preceptos legales que vienen obligados a aplicar en los procesos sometidos a su conocimiento y, en tal sentido, los términos en que expresen los órganos judiciales esas dudas son, en principio, los que delimitan el objeto de las cuestiones de inconstitucionalidad. Así pues, la duda de constitucionalidad ya fue acotada por el órgano judicial, tanto en la inicial providencia como en el auto de planteamiento, en los términos que han quedado expuestos en los antecedentes, en relación con la infracción del art. 38 CE (en un sentido similar, STC 11/2024, de 18 de enero, FJ 3 </w:t>
      </w:r>
      <w:r w:rsidRPr="003754FE">
        <w:rPr>
          <w:i/>
        </w:rPr>
        <w:t>bis</w:t>
      </w:r>
      <w:r>
        <w:t>).</w:t>
      </w:r>
    </w:p>
    <w:p w14:paraId="3B2CA81B" w14:textId="77777777" w:rsidR="003754FE" w:rsidRDefault="003754FE" w:rsidP="003754FE">
      <w:pPr>
        <w:pStyle w:val="TextoNormal"/>
      </w:pPr>
    </w:p>
    <w:p w14:paraId="29EC0C90" w14:textId="77777777" w:rsidR="003754FE" w:rsidRDefault="003754FE" w:rsidP="003754FE">
      <w:pPr>
        <w:pStyle w:val="TextoNormal"/>
      </w:pPr>
      <w:r w:rsidRPr="003754FE">
        <w:rPr>
          <w:rStyle w:val="NumeroAFNegritaCaracter"/>
        </w:rPr>
        <w:t>3</w:t>
      </w:r>
      <w:r>
        <w:t xml:space="preserve">. </w:t>
      </w:r>
      <w:r w:rsidRPr="003754FE">
        <w:rPr>
          <w:i/>
        </w:rPr>
        <w:t>Transporte discrecional de pasajeros en vehículos de turismo</w:t>
      </w:r>
    </w:p>
    <w:p w14:paraId="33D565F7" w14:textId="77777777" w:rsidR="003754FE" w:rsidRDefault="003754FE" w:rsidP="003754FE">
      <w:pPr>
        <w:pStyle w:val="TextoNormal"/>
      </w:pPr>
    </w:p>
    <w:p w14:paraId="378F1900" w14:textId="77777777" w:rsidR="003754FE" w:rsidRDefault="003754FE" w:rsidP="003754FE">
      <w:pPr>
        <w:pStyle w:val="TextoNormal"/>
      </w:pPr>
      <w:r>
        <w:t xml:space="preserve">Despejados los óbices de procedibilidad, podemos ya comenzar a resolver la duda de constitucionalidad que se nos plantea, para lo que es conveniente exponer, siquiera </w:t>
      </w:r>
      <w:r>
        <w:lastRenderedPageBreak/>
        <w:t>brevemente, el régimen del transporte discrecional de pasajeros en vehículos de turismo, en la medida en que constituye el contexto que enmarca la presente duda de constitucionalidad.</w:t>
      </w:r>
    </w:p>
    <w:p w14:paraId="43A6B6B9" w14:textId="77777777" w:rsidR="003754FE" w:rsidRDefault="003754FE" w:rsidP="003754FE">
      <w:pPr>
        <w:pStyle w:val="TextoNormal"/>
      </w:pPr>
    </w:p>
    <w:p w14:paraId="7D7649B4" w14:textId="77777777" w:rsidR="003754FE" w:rsidRDefault="003754FE" w:rsidP="003754FE">
      <w:pPr>
        <w:pStyle w:val="TextoNormal"/>
      </w:pPr>
      <w:r>
        <w:t>En el ordenamiento jurídico español coexisten dos modalidades de transporte discrecional de pasajeros en vehículos de turismo: los taxis y los vehículos de turismo con conductor (en adelante, VTC). Aunque ambas modalidades realizan el mismo servicio, el transporte personalizado de pasajeros en el momento y con el origen y destino decididos por estos, cada una de ellas está sometida a un régimen jurídico diferenciado. En ambos casos los aspectos esenciales de su regulación están contenidos en la Ley 16/1987, de 30 de julio, de ordenación de los transportes terrestres, y en el Real Decreto 1211/1990, de 28 de septiembre, por el que se aprueba el Reglamento de la Ley de ordenación de los transportes terrestres.</w:t>
      </w:r>
    </w:p>
    <w:p w14:paraId="325DF63F" w14:textId="77777777" w:rsidR="003754FE" w:rsidRDefault="003754FE" w:rsidP="003754FE">
      <w:pPr>
        <w:pStyle w:val="TextoNormal"/>
      </w:pPr>
    </w:p>
    <w:p w14:paraId="68B6C13A" w14:textId="77777777" w:rsidR="003754FE" w:rsidRDefault="003754FE" w:rsidP="003754FE">
      <w:pPr>
        <w:pStyle w:val="TextoNormal"/>
      </w:pPr>
      <w:r>
        <w:t>Así lo ha señalado la STC 88/2024, de 5 de junio, FJ 7, al resaltar que “el arrendamiento de vehículos con conductor y el taxi son dos medios de transporte que coinciden en el mismo segmento de transporte urbano discrecional de viajeros pero que en el ordenamiento jurídico español son modalidades diferentes. El diferente régimen jurídico entre ambas modalidades de transporte se establece en la Ley de ordenación de los transportes terrestres, que diferencia entre el transporte de viajeros en vehículos de turismo y el arrendamiento de vehículos con conductor (artículos 91 y 99). Entre estas diferencias se encuentra la consideración del transporte de viajeros como servicio de interés público. Conforme a lo dispuesto en el artículo 151 del Real Decreto-ley 5/2023, de 28 de junio, anteriormente citado, ‘el transporte de viajeros en taxi, sin perjuicio de las competencias de las comunidades autónomas para establecer otra regulación, tiene la consideración de servicio de interés público’, lo que comporta, como establece el citado precepto, que ‘los instrumentos de planificación y ejecución de políticas públicas que se lleven a cabo por las administraciones competentes deberán garantizar la prestación de un servicio de calidad para todos los usuarios, no discriminatorio y con una cobertura de prestación suficiente en todo el territorio, mediante la adopción de las medidas que determinen y delimiten la naturaleza, duración y alcance de las obligaciones correspondientes’. Dicho carácter de servicio de interés público, propio del taxi, no concurre en la modalidad de transporte de arrendamiento de vehículos con conductor”.</w:t>
      </w:r>
    </w:p>
    <w:p w14:paraId="4BD4B523" w14:textId="77777777" w:rsidR="003754FE" w:rsidRDefault="003754FE" w:rsidP="003754FE">
      <w:pPr>
        <w:pStyle w:val="TextoNormal"/>
      </w:pPr>
    </w:p>
    <w:p w14:paraId="1DFA134D" w14:textId="77777777" w:rsidR="003754FE" w:rsidRDefault="003754FE" w:rsidP="003754FE">
      <w:pPr>
        <w:pStyle w:val="TextoNormal"/>
      </w:pPr>
      <w:r>
        <w:t xml:space="preserve">Esa naturaleza de “servicio público de interés general” que se predica del taxi exige su prestación en determinadas condiciones de calidad y universalidad, sin posibilidad de elegir por criterios comerciales la prestación de unos servicios y rechazar otros, con garantía de un determinado precio que se refleja en la fijación de sus tarifas. También se manifiesta en la contingentación de licencias de modo que hay un </w:t>
      </w:r>
      <w:r w:rsidRPr="003754FE">
        <w:rPr>
          <w:i/>
        </w:rPr>
        <w:t>numerus clausus</w:t>
      </w:r>
      <w:r>
        <w:t xml:space="preserve"> de ellas, en la determinación del equipamiento y la homologación de sus vehículos y en la exigencia de una particular capacitación profesional de sus conductores, entre otros aspectos. El carácter de servicio público de interés general, propio del taxi, no concurre en la modalidad de VTC, cuya regulación es diferente, al estar esencialmente sometida a libre iniciativa privada, previa la correspondiente autorización administrativa (art. 91 de la Ley de ordenación de los transportes terrestres: LOTT). Además, los VTC tienen libertad para establecer los precios y no están sometidos a la obligación de prestar el servicio, si bien el servicio de transporte que ofrecen debe precontratarse por el cliente antes de su prestación.</w:t>
      </w:r>
    </w:p>
    <w:p w14:paraId="646DE986" w14:textId="77777777" w:rsidR="003754FE" w:rsidRDefault="003754FE" w:rsidP="003754FE">
      <w:pPr>
        <w:pStyle w:val="TextoNormal"/>
      </w:pPr>
    </w:p>
    <w:p w14:paraId="66059E9D" w14:textId="77777777" w:rsidR="003754FE" w:rsidRDefault="003754FE" w:rsidP="003754FE">
      <w:pPr>
        <w:pStyle w:val="TextoNormal"/>
      </w:pPr>
      <w:r>
        <w:t xml:space="preserve">La conclusión de lo anterior es que en nuestro país coexisten dos regulaciones diferentes para sendas actividades empresariales que prestan el servicio de transporte mediante </w:t>
      </w:r>
      <w:r>
        <w:lastRenderedPageBreak/>
        <w:t xml:space="preserve">vehículos de turismo, lo que, a su vez, comporta la posibilidad de establecer diferentes condiciones de ejercicio de la actividad. Así, a los efectos que aquí interesa, taxis y VTC son dos modalidades de transporte que interactúan en un mismo segmento del mercado y, en cuanto tales, están sujetos a regulación, si bien hay algunas diferencias significativas, como, por ejemplo: (i) solo los taxis pueden tomar pasajeros directamente en la calle o en paradas, por lo que los VTC únicamente pueden operar en el segmento de la precontratación, prohibiendo además que puedan circular por las vías públicas en busca de clientes o la captación de viajeros que no hubiesen contratado previamente (art. 182.1 del Reglamento de la LOTT y; en el mismo sentido, art. 74 </w:t>
      </w:r>
      <w:r w:rsidRPr="003754FE">
        <w:rPr>
          <w:i/>
        </w:rPr>
        <w:t>ter</w:t>
      </w:r>
      <w:r>
        <w:t>.2 de la Ley balear 4/2014) y (ii) las tarifas de los VTC no están reguladas, ni tampoco sus condiciones de servicio, tales como los horarios o los calendarios durante los cuales pueden desarrollar su actividad.</w:t>
      </w:r>
    </w:p>
    <w:p w14:paraId="00132CC9" w14:textId="77777777" w:rsidR="003754FE" w:rsidRDefault="003754FE" w:rsidP="003754FE">
      <w:pPr>
        <w:pStyle w:val="TextoNormal"/>
      </w:pPr>
    </w:p>
    <w:p w14:paraId="4C8FF193" w14:textId="77777777" w:rsidR="003754FE" w:rsidRDefault="003754FE" w:rsidP="003754FE">
      <w:pPr>
        <w:pStyle w:val="TextoNormal"/>
      </w:pPr>
      <w:r>
        <w:t>De ello resulta que la actividad de los VTC se restringe a uno solo de los tres segmentos en los que se puede subdividir el mercado del transporte urbano mediante vehículos con conductor como es de la previa contratación, excluyendo la parada en la vía pública y la contratación del vehículo en circulación. A tales efectos, el art. 140.39.5 LOTT define la “precontratación” en este ámbito de la realización de servicios de arrendamiento de vehículos con conductor, con el fin de tipificar como infracción muy grave que se inicie el servicio sin haber respetado la misma, como “el establecimiento de un intervalo de tiempo mínimo entre la contratación o la designación del vehículo y la prestación del servicio”.</w:t>
      </w:r>
    </w:p>
    <w:p w14:paraId="54ABD71C" w14:textId="77777777" w:rsidR="003754FE" w:rsidRDefault="003754FE" w:rsidP="003754FE">
      <w:pPr>
        <w:pStyle w:val="TextoNormal"/>
      </w:pPr>
    </w:p>
    <w:p w14:paraId="366AA17B" w14:textId="048CA66F" w:rsidR="003754FE" w:rsidRDefault="003754FE" w:rsidP="003754FE">
      <w:pPr>
        <w:pStyle w:val="TextoNormal"/>
      </w:pPr>
      <w:r>
        <w:t>En suma, la precontratación significa que el cliente debe acordar el servicio con carácter previo a su recepción efectiva, de manera que una vez se inicia el transporte, el usuario ya ha concretado el contrato de servicio y tiene conocimiento de las condiciones básicas de ejecución, en particular, el precio, el tipo de vehículo y el conductor. A juicio del Tribunal Supremo, el requisito de la “precontratación”, entendido como ese establecimiento de un intervalo de tiempo mínimo entre la contratación del vehículo y la prestación del servicio, no merece ser tildado de contrario a la libertad de empresa; sin embargo, sí lo sería la duración mínima de treinta minutos que fija el decreto-ley cuestionado para esa precontratación, extremo al que hemos de ceñir nuestro enjuiciamiento para determinar si es conforme o no con el art. 38 CE.</w:t>
      </w:r>
    </w:p>
    <w:p w14:paraId="142B4D1A" w14:textId="77777777" w:rsidR="003754FE" w:rsidRDefault="003754FE" w:rsidP="003754FE">
      <w:pPr>
        <w:pStyle w:val="TextoNormal"/>
      </w:pPr>
    </w:p>
    <w:p w14:paraId="2D63A84A" w14:textId="77777777" w:rsidR="003754FE" w:rsidRDefault="003754FE" w:rsidP="003754FE">
      <w:pPr>
        <w:pStyle w:val="TextoNormal"/>
      </w:pPr>
      <w:r w:rsidRPr="003754FE">
        <w:rPr>
          <w:rStyle w:val="NumeroAFNegritaCaracter"/>
        </w:rPr>
        <w:t>4</w:t>
      </w:r>
      <w:r>
        <w:t xml:space="preserve">. </w:t>
      </w:r>
      <w:r w:rsidRPr="003754FE">
        <w:rPr>
          <w:i/>
        </w:rPr>
        <w:t>Doctrina constitucional sobre la libertad de empresa garantizada por el art. 38 CE</w:t>
      </w:r>
    </w:p>
    <w:p w14:paraId="0D54934F" w14:textId="77777777" w:rsidR="003754FE" w:rsidRDefault="003754FE" w:rsidP="003754FE">
      <w:pPr>
        <w:pStyle w:val="TextoNormal"/>
      </w:pPr>
    </w:p>
    <w:p w14:paraId="2A48D577" w14:textId="77777777" w:rsidR="003754FE" w:rsidRDefault="003754FE" w:rsidP="003754FE">
      <w:pPr>
        <w:pStyle w:val="TextoNormal"/>
      </w:pPr>
      <w:r>
        <w:t>La doctrina constitucional sobre el art. 38 CE ha sido compendiada en la STC 7/2023, de 21 de febrero, FJ 6, al que ahora procede remitirse.</w:t>
      </w:r>
    </w:p>
    <w:p w14:paraId="628BEEA8" w14:textId="77777777" w:rsidR="003754FE" w:rsidRDefault="003754FE" w:rsidP="003754FE">
      <w:pPr>
        <w:pStyle w:val="TextoNormal"/>
      </w:pPr>
    </w:p>
    <w:p w14:paraId="64544BC2" w14:textId="77777777" w:rsidR="003754FE" w:rsidRDefault="003754FE" w:rsidP="003754FE">
      <w:pPr>
        <w:pStyle w:val="TextoNormal"/>
      </w:pPr>
      <w:r>
        <w:t>A los efectos que aquí interesan basta con señalar que el derecho a la libertad de empresa que reconoce el art. 38 CE incluye como una de sus vertientes fundamentales no solo la libertad para crear una empresa y actuar en el mercado, sino también, la libertad para fijar los objetivos y planificar la actividad de esa empresa en atención a los recursos y a las condiciones del mercado (STC 35/2016, de 3 de marzo, FJ 3); en suma, ampara “el iniciar y sostener en libertad la actividad empresarial” (STC 83/1984, de 24 de julio, FJ 3, reiterada entre otras en SSTC 135/2012, de 19 de junio, FJ 5; 35/2016, de 3 de marzo, FJ 3, y 112/2006, de 5 de abril, FJ 8).</w:t>
      </w:r>
    </w:p>
    <w:p w14:paraId="2A0EC6E8" w14:textId="77777777" w:rsidR="003754FE" w:rsidRDefault="003754FE" w:rsidP="003754FE">
      <w:pPr>
        <w:pStyle w:val="TextoNormal"/>
      </w:pPr>
    </w:p>
    <w:p w14:paraId="7D55A2E8" w14:textId="77777777" w:rsidR="003754FE" w:rsidRDefault="003754FE" w:rsidP="003754FE">
      <w:pPr>
        <w:pStyle w:val="TextoNormal"/>
      </w:pPr>
      <w:r>
        <w:t xml:space="preserve">Igualmente la doctrina constitucional ha señalado que la libertad de empresa, como los restantes derechos, no es absoluta y puede someterse a medidas restrictivas o limitativas, </w:t>
      </w:r>
      <w:r>
        <w:lastRenderedPageBreak/>
        <w:t>por lo tanto “su vigencia no resulta comprometida por el hecho de que existan limitaciones a su ejercicio derivadas de las ‘reglas que disciplinen, proporcionada y razonablemente, el mercado’ […] [p]orque del art. 38 CE no puede derivarse sin más ‘el derecho a acometer cualquier empresa’ o a ejercerla sin traba ni limitación de ningún tipo, ‘sino solo el derecho de iniciar y sostener en libertad la actividad empresarial, cuyo ejercicio está disciplinado por normas de muy distinto orden’ […] o lo que es lo mismo, a ejercer esa actividad ‘con plena sujeción a la normativa sobre ordenación del mercado y de la actividad económica general’” (STC 35/2016, FJ 3).</w:t>
      </w:r>
    </w:p>
    <w:p w14:paraId="11A9E9E6" w14:textId="77777777" w:rsidR="003754FE" w:rsidRDefault="003754FE" w:rsidP="003754FE">
      <w:pPr>
        <w:pStyle w:val="TextoNormal"/>
      </w:pPr>
    </w:p>
    <w:p w14:paraId="1E2C8FD4" w14:textId="77777777" w:rsidR="003754FE" w:rsidRDefault="003754FE" w:rsidP="003754FE">
      <w:pPr>
        <w:pStyle w:val="TextoNormal"/>
      </w:pPr>
      <w:r>
        <w:t>El derecho a la libertad de empresa se ejerce, por tanto, dentro de un marco general configurado por las reglas establecidas por el legislador, pero ha de distinguirse entre aquellas reglas o restricciones que limitan el acceso a la actividad y aquellas que limitan su desarrollo o ejercicio.</w:t>
      </w:r>
    </w:p>
    <w:p w14:paraId="5C3C0BB8" w14:textId="77777777" w:rsidR="003754FE" w:rsidRDefault="003754FE" w:rsidP="003754FE">
      <w:pPr>
        <w:pStyle w:val="TextoNormal"/>
      </w:pPr>
    </w:p>
    <w:p w14:paraId="37F797DD" w14:textId="77777777" w:rsidR="003754FE" w:rsidRDefault="003754FE" w:rsidP="003754FE">
      <w:pPr>
        <w:pStyle w:val="TextoNormal"/>
      </w:pPr>
      <w:r>
        <w:t>Cuando se trate de regulaciones que pueden afectar al acceso al mercado, al comienzo en el ejercicio de la actividad, es preciso efectuar “un juicio de proporcionalidad, en el que, además del objetivo que al establecerla se persigue y comprobando la legitimidad constitucional del mismo, se verifique también la relación de causalidad y necesidad que con él debe guardar la prohibición en cuanto medio ordenado para hacerlo posible.” (STC 66/1991, de 22 de marzo, FJ 2, por todas).</w:t>
      </w:r>
    </w:p>
    <w:p w14:paraId="31E86AA3" w14:textId="77777777" w:rsidR="003754FE" w:rsidRDefault="003754FE" w:rsidP="003754FE">
      <w:pPr>
        <w:pStyle w:val="TextoNormal"/>
      </w:pPr>
    </w:p>
    <w:p w14:paraId="64134801" w14:textId="77777777" w:rsidR="003754FE" w:rsidRDefault="003754FE" w:rsidP="003754FE">
      <w:pPr>
        <w:pStyle w:val="TextoNormal"/>
      </w:pPr>
      <w:r>
        <w:t>Sin embargo, en el caso de regulaciones que afectan al ejercicio de una actividad empresarial, sin afectar al propio acceso a la misma, como ocurre en este caso, el canon de constitucionalidad empleado por la doctrina de este tribunal es en parte diferente, en cuanto a que las condiciones que se establezcan deben ajustarse a un canon de razonabilidad en el sentido de que respondan a un objetivo constitucionalmente legítimo y sean idóneas o adecuadas para conseguirlo, sin que su intensidad llegue al punto de suponer un impedimento práctico del libre ejercicio de la actividad económica. Así, el derecho a la libertad de empresa reconocido en el art. 38 CE “supone la exigencia de que las regulaciones públicas que afectan, como el caso del precepto impugnado, al ejercicio de una actividad empresarial, sean adecuadas para promover un objetivo considerado constitucionalmente legítimo y que las limitaciones que tales regulaciones impongan sobre el libre ejercicio de una actividad económica no conlleven, debido a su intensidad, una privación del referido derecho” (STC 89/2017, de 4 de julio, FJ 14). En relación con esta última exigencia, el control que puede ejercer el Tribunal es meramente negativo y se reduce a constatar que la medida restrictiva no comporta una limitación del derecho a la libertad de empresa que pueda determinar o tener como consecuencia un impedimento práctico de su ejercicio.</w:t>
      </w:r>
    </w:p>
    <w:p w14:paraId="66B6E66D" w14:textId="77777777" w:rsidR="003754FE" w:rsidRDefault="003754FE" w:rsidP="003754FE">
      <w:pPr>
        <w:pStyle w:val="TextoNormal"/>
      </w:pPr>
    </w:p>
    <w:p w14:paraId="29912609" w14:textId="38A41221" w:rsidR="003754FE" w:rsidRDefault="003754FE" w:rsidP="003754FE">
      <w:pPr>
        <w:pStyle w:val="TextoNormal"/>
      </w:pPr>
      <w:r>
        <w:t>Son estos extremos los que corresponde examinar al Tribunal cuando tiene que analizar si la limitación que impone el legislador al derecho a la libertad de empresa es acorde con su contenido esencial. Como decimos el Tribunal no puede trasvasar los parámetros de control señalados, pues ello supondría fiscalizar la oportunidad de una concreta elección del legislador, que representa la plasmación de una legítima opción política (STC 103/2018, de 4 de octubre, FJ 8, y las que cita).</w:t>
      </w:r>
    </w:p>
    <w:p w14:paraId="19F61951" w14:textId="77777777" w:rsidR="003754FE" w:rsidRDefault="003754FE" w:rsidP="003754FE">
      <w:pPr>
        <w:pStyle w:val="TextoNormal"/>
      </w:pPr>
    </w:p>
    <w:p w14:paraId="05672699" w14:textId="77777777" w:rsidR="003754FE" w:rsidRDefault="003754FE" w:rsidP="003754FE">
      <w:pPr>
        <w:pStyle w:val="TextoNormal"/>
      </w:pPr>
      <w:r w:rsidRPr="003754FE">
        <w:rPr>
          <w:rStyle w:val="NumeroAFNegritaCaracter"/>
        </w:rPr>
        <w:t>5</w:t>
      </w:r>
      <w:r>
        <w:t xml:space="preserve">. </w:t>
      </w:r>
      <w:r w:rsidRPr="003754FE">
        <w:rPr>
          <w:i/>
        </w:rPr>
        <w:t>Proyección de la doctrina constitucional al caso. Estimación de la cuestión de inconstitucionalidad</w:t>
      </w:r>
    </w:p>
    <w:p w14:paraId="02C003CB" w14:textId="77777777" w:rsidR="003754FE" w:rsidRDefault="003754FE" w:rsidP="003754FE">
      <w:pPr>
        <w:pStyle w:val="TextoNormal"/>
      </w:pPr>
    </w:p>
    <w:p w14:paraId="3A1398CD" w14:textId="77777777" w:rsidR="003754FE" w:rsidRDefault="003754FE" w:rsidP="003754FE">
      <w:pPr>
        <w:pStyle w:val="TextoNormal"/>
      </w:pPr>
      <w:r>
        <w:lastRenderedPageBreak/>
        <w:t>Así pues, de acuerdo con la doctrina constitucional expuesta, la norma aquí cuestionada, que no afecta al acceso a la actividad sino a su ejercicio, debe someterse a un doble escrutinio: en primer lugar, debe comprobarse si el fin perseguido por ella es constitucionalmente legítimo; y, en segundo lugar, si la medida es adecuada para la consecución de ese objetivo, correspondiendo al legislador, en todo caso, exponer los datos y argumentos suficientes para explicar por qué motivos las restricciones son necesarias para alcanzar los objetivos perseguidos.</w:t>
      </w:r>
    </w:p>
    <w:p w14:paraId="66D1F7A9" w14:textId="77777777" w:rsidR="003754FE" w:rsidRDefault="003754FE" w:rsidP="003754FE">
      <w:pPr>
        <w:pStyle w:val="TextoNormal"/>
      </w:pPr>
    </w:p>
    <w:p w14:paraId="5BD66752" w14:textId="77777777" w:rsidR="003754FE" w:rsidRDefault="003754FE" w:rsidP="003754FE">
      <w:pPr>
        <w:pStyle w:val="TextoNormal"/>
      </w:pPr>
      <w:r>
        <w:t>A este respecto, la exposición de motivos del Decreto-ley 1/2019 alude a la habilitación que el Real Decreto-ley 13/2018, de 28 de septiembre, otorga a las comunidades autónomas para modificar las condiciones de explotación previstas en el artículo 182.1 del Reglamento de la Ley de ordenación de los transportes terrestres, pudiendo afectar, entre otras, a las condiciones de precontratación en un contexto en el que se busca “garantizar un equilibrio adecuado entre la oferta de la actividad de alquiler de vehículos con conductor (VTC) y los servicios que ofrece el sector del taxi (VT)”. En su caso, dicha modificación “deberá estar orientada a mejorar la gestión de la movilidad interior de viajeros o a garantizar el efectivo control de las condiciones de prestación de los servicios”. Se menciona también la necesidad de “regular las condiciones en las que se tiene que prestar esta actividad, con el fin de evitar enfrentamientos indeseables con el sector del taxi, y aclarar que los servicios que se presten dentro del ámbito urbano pueden quedar sujetos a todas las determinaciones y limitaciones que establezca el órgano competente en materia de transporte urbano en el ejercicio de sus competencias sobre la utilización del dominio público viario, la gestión del tráfico urbano, la protección del medio ambiente y la prevención de la contaminación atmosférica”. Posteriormente, se reitera que las condiciones que la norma establece (entre ellas, el tiempo mínimo de precontratación) “ayudará a equilibrar la actividad de los dos sectores”. En ese contexto se destaca la obligatoriedad de una precontratación del servicio, que deberá acreditarse mediante documentación justificativa del contrato y con la prestación del servicio media hora después de la solicitud, tiempo que, de acuerdo con la disposición adicional segunda del Decreto-ley del Gobierno de las Illes Balears 1/2019, los entes locales pueden modificar hasta un mínimo de quince minutos de antelación.</w:t>
      </w:r>
    </w:p>
    <w:p w14:paraId="6F196E4B" w14:textId="77777777" w:rsidR="003754FE" w:rsidRDefault="003754FE" w:rsidP="003754FE">
      <w:pPr>
        <w:pStyle w:val="TextoNormal"/>
      </w:pPr>
    </w:p>
    <w:p w14:paraId="6AC1350F" w14:textId="77777777" w:rsidR="003754FE" w:rsidRDefault="003754FE" w:rsidP="003754FE">
      <w:pPr>
        <w:pStyle w:val="TextoNormal"/>
      </w:pPr>
      <w:r>
        <w:t>En suma, justifica el propio legislador de urgencia balear, la fijación de un lapso de treinta minutos entre la contratación y la prestación efectiva del servicio de VTC obedece a la necesidad de buscar un equilibrio entre el sector del taxi y el de VTC, así como a la mejora de la gestión de la movilidad de personas viajeras y, por último, pretende garantizar las condiciones de prestación del servicio. Finalidades todas ellas que, relacionadas con la ordenación de este tipo de transporte y la protección de sus usuarios, pueden considerarse constitucionalmente legítimas desde la perspectiva del art. 38 CE y que responden también a las perseguidas por las normas estatales que regulan esta cuestión.</w:t>
      </w:r>
    </w:p>
    <w:p w14:paraId="33B51A27" w14:textId="77777777" w:rsidR="003754FE" w:rsidRDefault="003754FE" w:rsidP="003754FE">
      <w:pPr>
        <w:pStyle w:val="TextoNormal"/>
      </w:pPr>
    </w:p>
    <w:p w14:paraId="2BC1C0E0" w14:textId="77777777" w:rsidR="003754FE" w:rsidRDefault="003754FE" w:rsidP="003754FE">
      <w:pPr>
        <w:pStyle w:val="TextoNormal"/>
      </w:pPr>
      <w:r>
        <w:t>Superada esta exigencia, procede examinar si la medida limitativa adoptada es adecuada para satisfacer las finalidades pretendidas; esto es, si es útil para salvaguardar los intereses invocados como fundamento para dictarla, de suerte que existe una relación de conexión entre los objetivos que se persiguen y la concreta restricción del art. 38 CE como vía escogida para llevarlo a cabo.</w:t>
      </w:r>
    </w:p>
    <w:p w14:paraId="7FDCC663" w14:textId="77777777" w:rsidR="003754FE" w:rsidRDefault="003754FE" w:rsidP="003754FE">
      <w:pPr>
        <w:pStyle w:val="TextoNormal"/>
      </w:pPr>
    </w:p>
    <w:p w14:paraId="5EC18A07" w14:textId="77777777" w:rsidR="003754FE" w:rsidRDefault="003754FE" w:rsidP="003754FE">
      <w:pPr>
        <w:pStyle w:val="TextoNormal"/>
      </w:pPr>
      <w:r>
        <w:t xml:space="preserve">En ese sentido, es de advertir que el legislador de urgencia balear guarda silencio en cuanto a la relación de la medida con las finalidades declaradas de la norma. No hay ninguna </w:t>
      </w:r>
      <w:r>
        <w:lastRenderedPageBreak/>
        <w:t>referencia a la razón por la que la medida cuestionada del tiempo mínimo de reserva afecta a los objetivos explícitos perseguidos por la normativa autonómica, de suerte que la decisión adoptada carece de suficiente justificación por parte del legislador respecto a su adecuación.</w:t>
      </w:r>
    </w:p>
    <w:p w14:paraId="3F0C3ECC" w14:textId="77777777" w:rsidR="003754FE" w:rsidRDefault="003754FE" w:rsidP="003754FE">
      <w:pPr>
        <w:pStyle w:val="TextoNormal"/>
      </w:pPr>
    </w:p>
    <w:p w14:paraId="3267DB27" w14:textId="77777777" w:rsidR="003754FE" w:rsidRDefault="003754FE" w:rsidP="003754FE">
      <w:pPr>
        <w:pStyle w:val="TextoNormal"/>
      </w:pPr>
      <w:r>
        <w:t>Y, si pese al silencio del legislador autonómico se desciende a la necesaria puesta en relación de las finalidades perseguidas y su adecuación o razonabilidad, este tribunal considera que tal medida no puede ser considerada adecuada ni razonable, por cuanto, como también ha destacado el fiscal general del Estado, supone un serio obstáculo para el desarrollo de la actividad de VTC en el mercado del alquiler de los vehículos con conductor.</w:t>
      </w:r>
    </w:p>
    <w:p w14:paraId="5D49D237" w14:textId="77777777" w:rsidR="003754FE" w:rsidRDefault="003754FE" w:rsidP="003754FE">
      <w:pPr>
        <w:pStyle w:val="TextoNormal"/>
      </w:pPr>
    </w:p>
    <w:p w14:paraId="5243E621" w14:textId="77777777" w:rsidR="003754FE" w:rsidRDefault="003754FE" w:rsidP="003754FE">
      <w:pPr>
        <w:pStyle w:val="TextoNormal"/>
      </w:pPr>
      <w:r>
        <w:t>Así, en cuanto a la alegada necesidad de garantizar la convivencia ordenada entre el sector del taxi y las VTC, no hay una motivación sobre el tiempo mínimo de espera como necesario para garantizar el equilibrio entre los servicios de taxi y los servicios de VTC. Por el contrario, resulta que la aplicación de la norma cuestionada sitúa a los VTC en una evidente desventaja competitiva en el único segmento en el que operan, el de la precontratación, en el que también pueden operar los taxis. Nuestro ordenamiento jurídico impide que los VTC puedan obtener clientes directamente en la calle sin haber contratado previamente el servicio y no pueden contar con paradas dispuestas para la recogida de tales clientes, de forma que solo pueden ser contratados con antelación, mientras que los taxis, que también pueden operar en dicho segmento de la precontratación del servicio, no están sometidos a tal restricción temporal en la contratación. Así, ese supuesto equilibrio entre los sectores competentes (taxi y VTC), se busca en un aspecto que afecta directamente a la viabilidad económica de uno de ellos, los VTC, en cuanto que se trata de una limitación con un claro efecto disuasorio, pues el viajero de este tipo de transporte reclama la prestación de dicho servicio en el menor tiempo y por el menor precio.</w:t>
      </w:r>
    </w:p>
    <w:p w14:paraId="69445045" w14:textId="77777777" w:rsidR="003754FE" w:rsidRDefault="003754FE" w:rsidP="003754FE">
      <w:pPr>
        <w:pStyle w:val="TextoNormal"/>
      </w:pPr>
    </w:p>
    <w:p w14:paraId="3C0B2ED8" w14:textId="77777777" w:rsidR="003754FE" w:rsidRDefault="003754FE" w:rsidP="003754FE">
      <w:pPr>
        <w:pStyle w:val="TextoNormal"/>
      </w:pPr>
      <w:r>
        <w:t>No es impertinente recordar, a estos efectos, la definición del servicio de alquiler de vehículos con conductor ofrecida por la Comisión Europea: El alquiler de vehículos con conductor consiste en solicitar un viaje personalizado en línea, generalmente a través de una aplicación para teléfonos inteligentes y para un inicio inmediato del servicio [Comunicación de la Comisión sobre un transporte local de pasajeros bajo demanda que funcione correctamente y sea sostenible (taxis y VTC) (2022/C 62/01), apdo. I]. La medida discutida es de una fuerte intensidad pues desplaza unos de dos estos elementos esenciales, como es la relativa rapidez en la prestación del servicio, ya que, a la duración normal del mismo, se añade un espacio de tiempo adicional de treinta minutos, lo que, por su duración, incorpora un claro efecto desincentivador en la utilización de este tipo de transporte.</w:t>
      </w:r>
    </w:p>
    <w:p w14:paraId="681D5AAD" w14:textId="77777777" w:rsidR="003754FE" w:rsidRDefault="003754FE" w:rsidP="003754FE">
      <w:pPr>
        <w:pStyle w:val="TextoNormal"/>
      </w:pPr>
    </w:p>
    <w:p w14:paraId="433E2742" w14:textId="77777777" w:rsidR="003754FE" w:rsidRDefault="003754FE" w:rsidP="003754FE">
      <w:pPr>
        <w:pStyle w:val="TextoNormal"/>
      </w:pPr>
      <w:r>
        <w:t>En segundo lugar, no es una medida que ofrezca una tutela del consumidor. No protege ni favorece el interés general de los ciudadanos como potenciales usuarios de un servicio una medida consistente en la restricción excesiva de la capacidad de respuesta de uno de los sujetos que prestan dicho servicio de transporte de viajeros, reduciendo así en la práctica la oferta en el concreto ámbito de la precontratación del mencionado servicio, que es precisamente el único susceptible de ser prestado por VTC.</w:t>
      </w:r>
    </w:p>
    <w:p w14:paraId="1BBDD876" w14:textId="77777777" w:rsidR="003754FE" w:rsidRDefault="003754FE" w:rsidP="003754FE">
      <w:pPr>
        <w:pStyle w:val="TextoNormal"/>
      </w:pPr>
    </w:p>
    <w:p w14:paraId="5084EF96" w14:textId="77777777" w:rsidR="003754FE" w:rsidRDefault="003754FE" w:rsidP="003754FE">
      <w:pPr>
        <w:pStyle w:val="TextoNormal"/>
      </w:pPr>
      <w:r>
        <w:t xml:space="preserve">Finalmente, por lo que respecta a la necesaria garantía de prestación del servicio en relación con la consecución, de otro, de los fines de interés general que se dice perseguir, preservar el régimen de precontratación y evitar el fraude, la medida no puede considerarse adecuada en relación con el sacrificio o la restricción que supone al ejercicio de una </w:t>
      </w:r>
      <w:r>
        <w:lastRenderedPageBreak/>
        <w:t>actividad protegida por el art. 38 CE. De hecho, las propias condiciones en las que el servicio ha de prestarse (cumplimentación de contrato de arrendamiento, hoja de ruta y las ya aludidas prohibiciones de circular por las vías públicas en busca de clientes y de captar viajeros que no hubieran contratado previamente el servicio estando estacionados a tal efecto) hace que la previa contratación ya venga determinada por la propia operativa del servicio. Siempre y necesariamente es exigible la contratación previa y de modo exclusivo a través de una aplicación para teléfonos inteligentes. Como ha señalado la Sala de lo Contencioso-Administrativo del Tribunal Supremo en la ya citada sentencia 164/2023, de 13 de febrero, el usuario no puede contratar el servicio inmediata y directamente con el conductor del vehículo, sino que ha de hacerlo telemáticamente con la empresa titular de la licencia a través de una aplicación digital y mediante un mecanismo de prepago en el que el precio se calcula antes de contratarse. Este contrato ha de comunicarse a la administración aportando los datos referidos al lugar, fecha y hora de la celebración del contrato y de la iniciación de la prestación del servicio, así como la matrícula del vehículo, tal y como dispone el art. 1 del Real Decreto 785/2021, de 7 de septiembre, sobre el control de la explotación de las autorizaciones de arrendamiento de vehículos con conductor, lo cual permite comprobar que el servicio ha sido contratado previamente y con qué antelación se ha hecho, facilitando ejercer un control real para evitar contrataciones fraudulentas.</w:t>
      </w:r>
    </w:p>
    <w:p w14:paraId="66C8F08D" w14:textId="77777777" w:rsidR="003754FE" w:rsidRDefault="003754FE" w:rsidP="003754FE">
      <w:pPr>
        <w:pStyle w:val="TextoNormal"/>
      </w:pPr>
    </w:p>
    <w:p w14:paraId="190AA2E0" w14:textId="77777777" w:rsidR="003754FE" w:rsidRDefault="003754FE" w:rsidP="003754FE">
      <w:pPr>
        <w:pStyle w:val="TextoNormal"/>
      </w:pPr>
      <w:r>
        <w:t>En suma, la medida cuestionada obstaculiza de modo excesivo y, por consiguiente, de forma no razonable y contraria al derecho constitucional a la libertad de empresa protegido por el art. 38 CE, la actividad de los VTC hasta el punto de que resulta un impedimento práctico para su ejercicio. Las finalidades perseguidas por la norma (mejorar la gestión de la movilidad de las personas viajeras, garantizar el control efectivo de las condiciones de prestación de los servicios e, incluso, la convivencia ordenada entre el sector del taxi y la VTC), pueden ser alcanzadas mediante otros mecanismos que sean razonables y menos gravosos en cuanto al sacrificio de la libertad de empresa (art. 38 CE) que son susceptibles de generar. En particular teniendo en cuenta el contexto fáctico en el que tales medidas se inserten para garantizar un mercado de transporte de pasajeros bajo demanda que funcione correctamente y sea accesible, sin que competa a este tribunal sugerir cuáles puedan ser tales medidas, pues no le corresponde el papel de legislador positivo.</w:t>
      </w:r>
    </w:p>
    <w:p w14:paraId="3CB38417" w14:textId="77777777" w:rsidR="003754FE" w:rsidRDefault="003754FE" w:rsidP="003754FE">
      <w:pPr>
        <w:pStyle w:val="TextoNormal"/>
      </w:pPr>
    </w:p>
    <w:p w14:paraId="2BB2D04C" w14:textId="77777777" w:rsidR="003754FE" w:rsidRDefault="003754FE" w:rsidP="003754FE">
      <w:pPr>
        <w:pStyle w:val="TextoNormal"/>
      </w:pPr>
      <w:r>
        <w:t xml:space="preserve">A los poderes públicos competentes en función del tipo de transporte de que se trate corresponde el establecimiento de medidas que faciliten el control efectivo de la regulación de la precontratación y al mismo tiempo hagan posible el equilibrio entre el mantenimiento de un modelo de transporte regulado y la libertad de empresa y la competencia entre operadores. Al respecto, cabe señalar que el Tribunal de Justicia de la Unión Europea sugiere la utilización de medidas menos restrictivas, y, entre ellas, las referidas a la organización de los servicios de VTC, limitaciones de estos servicios durante determinadas franjas horarias o incluso restricciones de circulación en determinados espacios (STJUE de 8 junio de 2023, asunto </w:t>
      </w:r>
      <w:r w:rsidRPr="003754FE">
        <w:rPr>
          <w:i/>
        </w:rPr>
        <w:t>Prestige and Limousine, S. L.</w:t>
      </w:r>
      <w:r>
        <w:t>, § 99).</w:t>
      </w:r>
    </w:p>
    <w:p w14:paraId="0CC4BF6A" w14:textId="77777777" w:rsidR="003754FE" w:rsidRDefault="003754FE" w:rsidP="003754FE">
      <w:pPr>
        <w:pStyle w:val="TextoNormal"/>
      </w:pPr>
    </w:p>
    <w:p w14:paraId="5C2F1405" w14:textId="7B5CF46D" w:rsidR="003754FE" w:rsidRDefault="003754FE" w:rsidP="003754FE">
      <w:pPr>
        <w:pStyle w:val="TextoNormal"/>
      </w:pPr>
      <w:r>
        <w:t xml:space="preserve">Por todo lo expuesto, el art. 2.2 del Decreto-ley 1/2019, en cuanto da redacción al art. 74 </w:t>
      </w:r>
      <w:r w:rsidRPr="003754FE">
        <w:rPr>
          <w:i/>
        </w:rPr>
        <w:t>bis</w:t>
      </w:r>
      <w:r>
        <w:t xml:space="preserve">.1 b) de la Ley 4/2014, de 20 de junio (cuyo enunciado se contiene actualmente en el art. 74 </w:t>
      </w:r>
      <w:r w:rsidRPr="003754FE">
        <w:rPr>
          <w:i/>
        </w:rPr>
        <w:t>ter</w:t>
      </w:r>
      <w:r>
        <w:t xml:space="preserve">.1, tras la renumeración resultante de la Ley 1/2024, de 16 de febrero), es contrario al art. 38 CE y, por tanto, inconstitucional y nulo. Declaración de inconstitucionalidad y nulidad que, para garantizar la eficacia inmediata, directa y plena del art. 38 CE, resulta pertinente extender, por conexión o consecuencia </w:t>
      </w:r>
      <w:r w:rsidRPr="003754FE">
        <w:rPr>
          <w:i/>
        </w:rPr>
        <w:t>ex</w:t>
      </w:r>
      <w:r>
        <w:t xml:space="preserve"> art. 39.1 LOTC, a la disposición adicional </w:t>
      </w:r>
      <w:r>
        <w:lastRenderedPageBreak/>
        <w:t>segunda del Decreto-ley 1/2019. Esta disposición, en cuanto que habilita a los consejos insulares y a los ayuntamientos con competencia en materia de transporte a modificar el tiempo de precontratación hasta un mínimo de quince minutos entre la contratación y la prestación efectiva del servicio, solo tiene eficacia normativa cuando se pone en conexión con el precepto ya anulado, por lo que ha de correr idéntica suerte que este.</w:t>
      </w:r>
    </w:p>
    <w:p w14:paraId="53D0EA6A" w14:textId="77777777" w:rsidR="003754FE" w:rsidRDefault="003754FE" w:rsidP="003754FE">
      <w:pPr>
        <w:pStyle w:val="TextoNormal"/>
      </w:pPr>
    </w:p>
    <w:p w14:paraId="48665068" w14:textId="77777777" w:rsidR="003754FE" w:rsidRDefault="003754FE" w:rsidP="003754FE">
      <w:pPr>
        <w:pStyle w:val="TextoNormalCentrado"/>
        <w:keepNext/>
      </w:pPr>
      <w:r>
        <w:t>FALLO</w:t>
      </w:r>
    </w:p>
    <w:p w14:paraId="5A840AC5" w14:textId="169E0D06" w:rsidR="003754FE" w:rsidRDefault="003754FE" w:rsidP="003754FE">
      <w:pPr>
        <w:pStyle w:val="TextoNormalCentrado"/>
        <w:keepNext/>
      </w:pPr>
    </w:p>
    <w:p w14:paraId="094624CA" w14:textId="4E00897E" w:rsidR="003754FE" w:rsidRDefault="003754FE" w:rsidP="003754FE">
      <w:pPr>
        <w:pStyle w:val="TextoNormal"/>
      </w:pPr>
      <w:r>
        <w:t xml:space="preserve">En atención a todo lo expuesto, el Tribunal Constitucional, por la autoridad que le confiere la Constitución de la Nación española, ha decidido estimar la presente cuestión de inconstitucionalidad y, en su virtud, declarar que el art. 2.2 del Decreto-ley del Gobierno de las Illes Balears 1/2019, de 22 de febrero, de medidas urgentes sobre la explotación y el control de la actividad de alquiler de vehículos con conductor y otras medidas en materia de transportes terrestres, en cuanto da nueva redacción al art. 74 </w:t>
      </w:r>
      <w:r w:rsidRPr="003754FE">
        <w:rPr>
          <w:i/>
        </w:rPr>
        <w:t>bis</w:t>
      </w:r>
      <w:r>
        <w:t>.1 b) de la Ley 4/2014, de 20 de junio, y la disposición adicional segunda del mismo decreto-ley, son inconstitucionales y nulos.</w:t>
      </w:r>
    </w:p>
    <w:p w14:paraId="089E7A73" w14:textId="77777777" w:rsidR="003754FE" w:rsidRDefault="003754FE" w:rsidP="003754FE">
      <w:pPr>
        <w:pStyle w:val="TextoNormal"/>
      </w:pPr>
    </w:p>
    <w:p w14:paraId="11107A76" w14:textId="77777777" w:rsidR="003754FE" w:rsidRDefault="003754FE" w:rsidP="003754FE">
      <w:pPr>
        <w:pStyle w:val="TextoNormal"/>
      </w:pPr>
      <w:r>
        <w:t>Publíquese esta sentencia en el “Boletín Oficial del Estado”.</w:t>
      </w:r>
    </w:p>
    <w:p w14:paraId="11323D4B" w14:textId="77777777" w:rsidR="003754FE" w:rsidRDefault="003754FE" w:rsidP="003754FE">
      <w:pPr>
        <w:pStyle w:val="TextoNormal"/>
      </w:pPr>
      <w:r>
        <w:t>Dada en Madrid, a diez de septiembre de dos mil veinticuatro.</w:t>
      </w:r>
    </w:p>
    <w:p w14:paraId="1DAD4096" w14:textId="1A936DAC" w:rsidR="003754FE" w:rsidRDefault="003754FE">
      <w:pPr>
        <w:spacing w:after="160" w:line="278" w:lineRule="auto"/>
        <w:rPr>
          <w:rFonts w:ascii="Times New Roman" w:eastAsia="Times New Roman" w:hAnsi="Times New Roman" w:cs="Times New Roman"/>
          <w:sz w:val="24"/>
          <w:szCs w:val="24"/>
          <w:lang w:eastAsia="es-ES"/>
        </w:rPr>
      </w:pPr>
      <w:r>
        <w:br w:type="page"/>
      </w:r>
    </w:p>
    <w:p w14:paraId="3F2EE0A2" w14:textId="77777777" w:rsidR="003754FE" w:rsidRDefault="003754FE" w:rsidP="003754FE">
      <w:pPr>
        <w:pStyle w:val="TtuloResolucin"/>
      </w:pPr>
      <w:bookmarkStart w:id="22" w:name="SENTENCIA_2024_113"/>
      <w:r>
        <w:lastRenderedPageBreak/>
        <w:t>SENTENCIA 113/2024, de 10 de septiembre de 2024</w:t>
      </w:r>
    </w:p>
    <w:bookmarkEnd w:id="22"/>
    <w:p w14:paraId="0EB9070F" w14:textId="77777777" w:rsidR="003754FE" w:rsidRDefault="003754FE" w:rsidP="003754FE">
      <w:pPr>
        <w:pStyle w:val="TtuloResolucin"/>
      </w:pPr>
      <w:r>
        <w:t>Pleno</w:t>
      </w:r>
    </w:p>
    <w:p w14:paraId="64131AAA" w14:textId="77777777" w:rsidR="003754FE" w:rsidRDefault="003754FE" w:rsidP="003754FE">
      <w:pPr>
        <w:pStyle w:val="TtuloBOE"/>
      </w:pPr>
      <w:r>
        <w:t>(BOE núm. 247, de 12 de octubre de 2024)</w:t>
      </w:r>
    </w:p>
    <w:p w14:paraId="7A8A05BE" w14:textId="77777777" w:rsidR="003754FE" w:rsidRDefault="003754FE" w:rsidP="003754FE">
      <w:pPr>
        <w:pStyle w:val="TextoNormalCentrado"/>
      </w:pPr>
      <w:r>
        <w:t>ECLI:ES:TC:2024:113</w:t>
      </w:r>
    </w:p>
    <w:p w14:paraId="3F75E382" w14:textId="28A5C52D" w:rsidR="003754FE" w:rsidRDefault="003754FE" w:rsidP="003754FE">
      <w:pPr>
        <w:pStyle w:val="TextoNormalCentrado"/>
      </w:pPr>
    </w:p>
    <w:p w14:paraId="6A6B209F" w14:textId="77777777" w:rsidR="003754FE" w:rsidRDefault="003754FE" w:rsidP="003754FE">
      <w:pPr>
        <w:pStyle w:val="SntesisDescriptiva"/>
      </w:pPr>
      <w:r>
        <w:t>Recurso de inconstitucionalidad 8042-2023. Interpuesto por el presidente del Gobierno en relación con el Decreto-ley del Gobierno de Aragón 1/2023, de 20 de marzo, de medidas urgentes para el impulso de la transición energética y el consumo de cercanía en Aragón.</w:t>
      </w:r>
    </w:p>
    <w:p w14:paraId="2ECABB3E" w14:textId="2801DC3F" w:rsidR="003754FE" w:rsidRDefault="003754FE" w:rsidP="003754FE">
      <w:pPr>
        <w:pStyle w:val="SntesisDescriptiva"/>
      </w:pPr>
    </w:p>
    <w:p w14:paraId="6CC17CBC" w14:textId="77777777" w:rsidR="003754FE" w:rsidRDefault="003754FE" w:rsidP="003754FE">
      <w:pPr>
        <w:pStyle w:val="SntesisAnaltica"/>
      </w:pPr>
      <w:r>
        <w:t>Límites de los decretos-leyes: nulidad de la norma de urgencia que carece de justificación de la concurrencia del presupuesto habilitante de la extraordinaria y urgente necesidad.</w:t>
      </w:r>
    </w:p>
    <w:p w14:paraId="25C8A4C6" w14:textId="1D65FDAC" w:rsidR="003754FE" w:rsidRDefault="003754FE" w:rsidP="003754FE">
      <w:pPr>
        <w:pStyle w:val="SntesisAnaltica"/>
      </w:pPr>
    </w:p>
    <w:p w14:paraId="67754E3F" w14:textId="4E0F7624" w:rsidR="003754FE" w:rsidRDefault="003754FE" w:rsidP="003754FE">
      <w:pPr>
        <w:pStyle w:val="Extracto"/>
      </w:pPr>
      <w:r>
        <w:t>1.</w:t>
      </w:r>
      <w:r>
        <w:tab/>
        <w:t>A propósito del presupuesto habilitante del decreto-ley, la justificación de la “extraordinaria y urgente necesidad” no constituye una cláusula o expresión vacía de significado dentro de la cual el margen de apreciación política del Gobierno se mueve libremente sin restricción alguna, sino un verdadero límite jurídico a su actuación mediante decretos-leyes (STC 166/2023) [FJ 2].</w:t>
      </w:r>
    </w:p>
    <w:p w14:paraId="63ADDBE5" w14:textId="77777777" w:rsidR="003754FE" w:rsidRDefault="003754FE" w:rsidP="003754FE">
      <w:pPr>
        <w:pStyle w:val="Extracto"/>
      </w:pPr>
    </w:p>
    <w:p w14:paraId="02ADC973" w14:textId="49341A03" w:rsidR="003754FE" w:rsidRDefault="003754FE" w:rsidP="003754FE">
      <w:pPr>
        <w:pStyle w:val="Extracto"/>
      </w:pPr>
      <w:r>
        <w:t>2.</w:t>
      </w:r>
      <w:r>
        <w:tab/>
        <w:t>El mero deseo o interés del Gobierno en la inmediata entrada en vigor de la reforma no constituye una justificación de su “extraordinaria y urgente necesidad” (STC 68/2007). El art. 86.1 CE condiciona al Gobierno a la satisfacción de una necesidad extraordinaria y urgente; y no, por muy legítimos que sean los objetivos que se tratan de alcanzar, al designio de abreviar el proceso, o de utilizar la vía más rápida o el mecanismo más directo, que no es el fundamento de la potestad legislativa extraordinaria del Gobierno (STC 125/2016) [FJ 4].</w:t>
      </w:r>
    </w:p>
    <w:p w14:paraId="3F1FA55E" w14:textId="77777777" w:rsidR="003754FE" w:rsidRDefault="003754FE" w:rsidP="003754FE">
      <w:pPr>
        <w:pStyle w:val="Extracto"/>
      </w:pPr>
    </w:p>
    <w:p w14:paraId="7941F10C" w14:textId="77777777" w:rsidR="003754FE" w:rsidRDefault="003754FE" w:rsidP="003754FE">
      <w:pPr>
        <w:pStyle w:val="Extracto"/>
      </w:pPr>
    </w:p>
    <w:p w14:paraId="1284B169"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Enrique Arnaldo Alcubilla, doña Concepción Espejel Jorquera, doña María Luisa Segoviano Astaburuaga, don César Tolosa Tribiño, don Juan Carlos Campo Moreno, doña Laura Díez Bueso y don José María Macías Castaño, ha pronunciado</w:t>
      </w:r>
    </w:p>
    <w:p w14:paraId="537546F5" w14:textId="2DA0F285" w:rsidR="003754FE" w:rsidRDefault="003754FE" w:rsidP="003754FE">
      <w:pPr>
        <w:pStyle w:val="TextoNormal"/>
      </w:pPr>
    </w:p>
    <w:p w14:paraId="6B844C8D" w14:textId="77777777" w:rsidR="003754FE" w:rsidRDefault="003754FE" w:rsidP="003754FE">
      <w:pPr>
        <w:pStyle w:val="TextoNormalCentrado"/>
        <w:keepNext/>
      </w:pPr>
      <w:r>
        <w:t>EN NOMBRE DEL REY</w:t>
      </w:r>
    </w:p>
    <w:p w14:paraId="790F6FA9" w14:textId="603BA70B" w:rsidR="003754FE" w:rsidRDefault="003754FE" w:rsidP="003754FE">
      <w:pPr>
        <w:pStyle w:val="TextoNormalCentrado"/>
        <w:keepNext/>
      </w:pPr>
    </w:p>
    <w:p w14:paraId="4FAA4FB2" w14:textId="77777777" w:rsidR="003754FE" w:rsidRDefault="003754FE" w:rsidP="003754FE">
      <w:pPr>
        <w:pStyle w:val="TextoNormalCentrado"/>
        <w:keepNext/>
      </w:pPr>
    </w:p>
    <w:p w14:paraId="32003609" w14:textId="77777777" w:rsidR="003754FE" w:rsidRDefault="003754FE" w:rsidP="003754FE">
      <w:pPr>
        <w:pStyle w:val="TextoNormal"/>
      </w:pPr>
      <w:r>
        <w:t>la siguiente</w:t>
      </w:r>
    </w:p>
    <w:p w14:paraId="3230DCA7" w14:textId="178DB25C" w:rsidR="003754FE" w:rsidRDefault="003754FE" w:rsidP="003754FE">
      <w:pPr>
        <w:pStyle w:val="TextoNormal"/>
      </w:pPr>
    </w:p>
    <w:p w14:paraId="494F53E8" w14:textId="77777777" w:rsidR="003754FE" w:rsidRDefault="003754FE" w:rsidP="003754FE">
      <w:pPr>
        <w:pStyle w:val="TextoNormalCentrado"/>
        <w:keepNext/>
      </w:pPr>
      <w:r>
        <w:t>SENTENCIA</w:t>
      </w:r>
    </w:p>
    <w:p w14:paraId="1CC48B03" w14:textId="3B15AB09" w:rsidR="003754FE" w:rsidRDefault="003754FE" w:rsidP="003754FE">
      <w:pPr>
        <w:pStyle w:val="TextoNormalCentrado"/>
        <w:keepNext/>
      </w:pPr>
    </w:p>
    <w:p w14:paraId="1D57C43D" w14:textId="77777777" w:rsidR="003754FE" w:rsidRDefault="003754FE" w:rsidP="003754FE">
      <w:pPr>
        <w:pStyle w:val="TextoNormal"/>
      </w:pPr>
      <w:r>
        <w:t xml:space="preserve">En el recurso de inconstitucionalidad núm. 8042-2023, interpuesto por el presidente del Gobierno contra los artículos 4; 5, apartados 1, 2 y 4; 6; 7, apartados 1, 2 y letras a), b) y c) del apartado 3; 12, apartado 2 en cuanto al inciso “Las redes interiores podrán establecerse en cualquier nivel de tensión a efectos de autoconsumo” y 3, en cuanto al inciso “y a establecer y operar redes interiores de cualquier nivel de tensión para establecer sistemas de autoconsumo”; 13, apartados 2, 3 y 4; 19; 22, apartado 2; 33; 38; 39; 40, apartados 2 y 3; y </w:t>
      </w:r>
      <w:r>
        <w:lastRenderedPageBreak/>
        <w:t>59; la disposición adicional cuarta; la disposición adicional quinta; y la disposición transitoria tercera del Decreto-ley 1/2023, de 20 de marzo, del Gobierno de Aragón, de medidas urgentes para el impulso de la transición energética y el consumo de cercanía en Aragón. Han comparecido el Congreso de los Diputados y el Senado. Han formulado alegaciones el Gobierno de Aragón y las Cortes de Aragón. Ha sido ponente el magistrado don César Tolosa Tribiño.</w:t>
      </w:r>
    </w:p>
    <w:p w14:paraId="74B3E36A" w14:textId="0FCF435B" w:rsidR="003754FE" w:rsidRDefault="003754FE" w:rsidP="003754FE">
      <w:pPr>
        <w:pStyle w:val="TextoNormal"/>
      </w:pPr>
    </w:p>
    <w:p w14:paraId="481EB96D" w14:textId="77777777" w:rsidR="003754FE" w:rsidRDefault="003754FE" w:rsidP="003754FE">
      <w:pPr>
        <w:pStyle w:val="TextoNormalNegritaCentrado"/>
        <w:keepNext/>
      </w:pPr>
      <w:r>
        <w:t>I. Antecedentes</w:t>
      </w:r>
    </w:p>
    <w:p w14:paraId="01BA035B" w14:textId="581F697D" w:rsidR="003754FE" w:rsidRDefault="003754FE" w:rsidP="003754FE">
      <w:pPr>
        <w:pStyle w:val="TextoNormalNegritaCentrado"/>
        <w:keepNext/>
      </w:pPr>
    </w:p>
    <w:p w14:paraId="480970C7" w14:textId="77777777" w:rsidR="003754FE" w:rsidRDefault="003754FE" w:rsidP="003754FE">
      <w:pPr>
        <w:pStyle w:val="TextoNormal"/>
      </w:pPr>
      <w:r w:rsidRPr="003754FE">
        <w:rPr>
          <w:rStyle w:val="NumeroAFNegritaCaracter"/>
        </w:rPr>
        <w:t>1</w:t>
      </w:r>
      <w:r>
        <w:t>. Mediante escrito registrado en este tribunal el día 21 de diciembre de 2023, el abogado del Estado interpuso, en nombre del presidente del Gobierno, recurso de inconstitucionalidad contra los artículos 4; 5, apartados 1, 2 y 4; 6; 7, apartados 1, 2 y letras a), b) y c) del apartado 3; 12, apartado 2 en cuanto al inciso “Las redes interiores podrán establecerse en cualquier nivel de tensión a efectos de autoconsumo” y 3, en cuanto al inciso “y a establecer y operar redes interiores de cualquier nivel de tensión para establecer sistemas de autoconsumo”; 13, apartados 2, 3 y 4; 19; 22, apartado 2; 33; 38; 39; 40, apartados 2 y 3; y 59; la disposición adicional cuarta; la disposición adicional quinta; y la disposición transitoria tercera del Decreto-ley 1/2023, de 20 de marzo, del Gobierno de Aragón, de medidas urgentes para el impulso de la transición energética y el consumo de cercanía en Aragón.</w:t>
      </w:r>
    </w:p>
    <w:p w14:paraId="6735AE5F" w14:textId="77777777" w:rsidR="003754FE" w:rsidRDefault="003754FE" w:rsidP="003754FE">
      <w:pPr>
        <w:pStyle w:val="TextoNormal"/>
      </w:pPr>
    </w:p>
    <w:p w14:paraId="002432AC" w14:textId="77777777" w:rsidR="003754FE" w:rsidRDefault="003754FE" w:rsidP="003754FE">
      <w:pPr>
        <w:pStyle w:val="TextoNormal"/>
      </w:pPr>
      <w:r>
        <w:t>El abogado del Estado invocó el art. 161.2 CE en relación con el art. 30 de la Ley Orgánica del Tribunal Constitucional (LOTC), a los efectos de que se produjera la suspensión de la aplicación de los preceptos impugnados.</w:t>
      </w:r>
    </w:p>
    <w:p w14:paraId="519F243B" w14:textId="77777777" w:rsidR="003754FE" w:rsidRDefault="003754FE" w:rsidP="003754FE">
      <w:pPr>
        <w:pStyle w:val="TextoNormal"/>
      </w:pPr>
    </w:p>
    <w:p w14:paraId="18F68D67" w14:textId="77777777" w:rsidR="003754FE" w:rsidRDefault="003754FE" w:rsidP="003754FE">
      <w:pPr>
        <w:pStyle w:val="TextoNormal"/>
      </w:pPr>
      <w:r>
        <w:t>El recurso se fundamenta, en síntesis, en las siguientes alegaciones:</w:t>
      </w:r>
    </w:p>
    <w:p w14:paraId="77F845A1" w14:textId="77777777" w:rsidR="003754FE" w:rsidRDefault="003754FE" w:rsidP="003754FE">
      <w:pPr>
        <w:pStyle w:val="TextoNormal"/>
      </w:pPr>
    </w:p>
    <w:p w14:paraId="5DACD660" w14:textId="77777777" w:rsidR="003754FE" w:rsidRDefault="003754FE" w:rsidP="003754FE">
      <w:pPr>
        <w:pStyle w:val="TextoNormal"/>
      </w:pPr>
      <w:r>
        <w:t>A) Tras exponer los antecedentes del caso, el primer motivo de impugnación radica en la falta de presupuesto habilitante (art. 86.1 CE) para ser aprobada la norma mediante un decreto-ley, por no haberse justificado adecuadamente la concurrencia del presupuesto habilitante, la extraordinaria y urgente necesidad que el art. 86 CE exige, máxime hallándonos ante un decreto-ley autonómico, aviniéndose las competencias de las comunidades autónomas menos a una eventualidad de urgente necesidad, y siendo además una norma autonómica de desarrollo de una norma estatal básica, la Ley 24/2013, de 26 de noviembre, del sector eléctrico.</w:t>
      </w:r>
    </w:p>
    <w:p w14:paraId="52FFA99D" w14:textId="77777777" w:rsidR="003754FE" w:rsidRDefault="003754FE" w:rsidP="003754FE">
      <w:pPr>
        <w:pStyle w:val="TextoNormal"/>
      </w:pPr>
    </w:p>
    <w:p w14:paraId="1D42E226" w14:textId="77777777" w:rsidR="003754FE" w:rsidRDefault="003754FE" w:rsidP="003754FE">
      <w:pPr>
        <w:pStyle w:val="TextoNormal"/>
      </w:pPr>
      <w:r>
        <w:t xml:space="preserve">Sostiene el abogado del Estado que no se justifica la eventual concurrencia del presupuesto habilitante en relación con cada uno de los preceptos de la norma, ni tan siquiera en relación con al menos algunos de sus preceptos concretos, siendo así que el preámbulo se limita a exponer las “bondades” de la regulación, pero no a concretar su extraordinaria y urgente necesidad. Únicamente se expone en el apartado VII una “explicación meramente formularia”, al hacer referencia a la coyuntura de crisis sanitaria y económica que exige una rápida respuesta, siendo el decreto-ley un instrumento constitucionalmente lícito, no constituyendo más que generalidades relativas al decreto-ley como figura jurídica, pero sin aplicarlas al caso </w:t>
      </w:r>
      <w:r w:rsidRPr="003754FE">
        <w:rPr>
          <w:i/>
        </w:rPr>
        <w:t>ad hoc</w:t>
      </w:r>
      <w:r>
        <w:t xml:space="preserve"> de manera específica y concreta.</w:t>
      </w:r>
    </w:p>
    <w:p w14:paraId="249D5945" w14:textId="77777777" w:rsidR="003754FE" w:rsidRDefault="003754FE" w:rsidP="003754FE">
      <w:pPr>
        <w:pStyle w:val="TextoNormal"/>
      </w:pPr>
    </w:p>
    <w:p w14:paraId="5509E7A3" w14:textId="77777777" w:rsidR="003754FE" w:rsidRDefault="003754FE" w:rsidP="003754FE">
      <w:pPr>
        <w:pStyle w:val="TextoNormal"/>
      </w:pPr>
      <w:r>
        <w:t xml:space="preserve">B) El recurso de inconstitucionalidad también argumenta que el Decreto-ley vulnera la legislación básica sobre bases y coordinación de la planificación general de la actividad </w:t>
      </w:r>
      <w:r>
        <w:lastRenderedPageBreak/>
        <w:t>económica (art. 149.1.13 CE) y bases de régimen minero y energético (art. 149.1.25 CE), concretamente de determinados preceptos de la Ley 24/2013, de 26 de diciembre, del sector eléctrico (en adelante, LSE). Con carácter previo al examen de esta vulneración hace una exposición de estos títulos competenciales.</w:t>
      </w:r>
    </w:p>
    <w:p w14:paraId="6F15E201" w14:textId="77777777" w:rsidR="003754FE" w:rsidRDefault="003754FE" w:rsidP="003754FE">
      <w:pPr>
        <w:pStyle w:val="TextoNormal"/>
      </w:pPr>
    </w:p>
    <w:p w14:paraId="1F9B833C" w14:textId="77777777" w:rsidR="003754FE" w:rsidRDefault="003754FE" w:rsidP="003754FE">
      <w:pPr>
        <w:pStyle w:val="TextoNormal"/>
      </w:pPr>
      <w:r>
        <w:t>a) Respecto del Estado comienza exponiendo la doctrina constitucional con arreglo a la cual las competencias específicas no prevalecen necesariamente y en todo caso sobre las relativas a la planificación económica, lo que ocurre en particular con el sector eléctrico, con cita de las SSTC 18/2011, de 3 de marzo, FJ 6 c), y 4/2013, de 17 de enero, FJ 2, con arreglo a las cuales la importancia del sector eléctrico justifica que el Estado “pueda intervenir en la ordenación del sector eléctrico tanto a través del título general relativo a la planificación general de la economía (art. 149.1.13 CE) como mediante el más específico relativo al sector energético (art. 149.1.25 CE)”. Más concretamente, recuerda que la STC 148/2011, de 28 de septiembre, FJ 6, precisó que “[e]n cuanto a la dimensión material consustancial a la noción constitucional de bases, hemos de tener en cuenta la necesidad de que la actividad de distribución eléctrica esté sometida a un régimen normativo básico por tratarse de un mercado único y un sistema que opera de forma única para todo el territorio nacional. El sistema eléctrico ha de responder así a unas características homogéneas en todo el territorio nacional no solamente para garantizar la articulación de un mercado de producción único sino también por las características técnicas, económicas y de funcionamiento del propio sistema. Este régimen jurídico básico está directamente vinculado a la garantía del suministro y a la indiscutida competencia estatal para retribuir los costes de las actividades del sistema, entre las que destaca la de distribución”. Y el desarrollo de las bases estatales del régimen energético se ha realizado con especial atención a la normativa europea en la materia, estando presidido por la Ley 24/2013, de 26 de diciembre, del sector eléctrico, entre otras muchas.</w:t>
      </w:r>
    </w:p>
    <w:p w14:paraId="08689319" w14:textId="77777777" w:rsidR="003754FE" w:rsidRDefault="003754FE" w:rsidP="003754FE">
      <w:pPr>
        <w:pStyle w:val="TextoNormal"/>
      </w:pPr>
    </w:p>
    <w:p w14:paraId="21C38E4A" w14:textId="77777777" w:rsidR="003754FE" w:rsidRDefault="003754FE" w:rsidP="003754FE">
      <w:pPr>
        <w:pStyle w:val="TextoNormal"/>
      </w:pPr>
      <w:r>
        <w:t>b) En lo que se refiere a la Comunidad Autónoma de Aragón, esta ostenta competencias en el marco de la normativa básica estatal, pudiendo ejecutarla y desarrollarla, pero siempre que no se produzca su desbordamiento, como recoge el art. 75.4 del Estatuto de Autonomía de Aragón, con arreglo al cual:</w:t>
      </w:r>
    </w:p>
    <w:p w14:paraId="4F0A3BDE" w14:textId="77777777" w:rsidR="003754FE" w:rsidRDefault="003754FE" w:rsidP="003754FE">
      <w:pPr>
        <w:pStyle w:val="TextoNormal"/>
      </w:pPr>
    </w:p>
    <w:p w14:paraId="149928D1" w14:textId="77777777" w:rsidR="003754FE" w:rsidRDefault="003754FE" w:rsidP="003754FE">
      <w:pPr>
        <w:pStyle w:val="TextoNormal"/>
      </w:pPr>
      <w:r>
        <w:t>“En el ámbito de las competencias compartidas, la Comunidad Autónoma de Aragón ejercerá el desarrollo legislativo y la ejecución de la legislación básica que establezca el Estado en normas con rango de ley, excepto en los casos que se determinen de acuerdo con la Constitución, desarrollando políticas propias. Corresponde a la Comunidad Autónoma la competencia compartida en las siguientes materias:</w:t>
      </w:r>
    </w:p>
    <w:p w14:paraId="1A0AD54F" w14:textId="77777777" w:rsidR="003754FE" w:rsidRDefault="003754FE" w:rsidP="003754FE">
      <w:pPr>
        <w:pStyle w:val="TextoNormal"/>
      </w:pPr>
    </w:p>
    <w:p w14:paraId="74500E1D" w14:textId="77777777" w:rsidR="003754FE" w:rsidRDefault="003754FE" w:rsidP="003754FE">
      <w:pPr>
        <w:pStyle w:val="TextoNormal"/>
      </w:pPr>
      <w:r>
        <w:t>[…]</w:t>
      </w:r>
    </w:p>
    <w:p w14:paraId="5E532CE6" w14:textId="77777777" w:rsidR="003754FE" w:rsidRDefault="003754FE" w:rsidP="003754FE">
      <w:pPr>
        <w:pStyle w:val="TextoNormal"/>
      </w:pPr>
    </w:p>
    <w:p w14:paraId="6100EC4F" w14:textId="77777777" w:rsidR="003754FE" w:rsidRDefault="003754FE" w:rsidP="003754FE">
      <w:pPr>
        <w:pStyle w:val="TextoNormal"/>
      </w:pPr>
      <w:r>
        <w:t xml:space="preserve">4. Energía, que comprende, en todo caso: la regulación de las actividades de producción, almacenamiento, distribución y transporte de cualesquiera energías, incluidos los recursos y aprovechamientos hidroeléctricos, de gas natural y de gases licuados; el otorgamiento de las autorizaciones de las instalaciones correspondientes existentes, cuando se circunscriban al territorio de la Comunidad y su aprovechamiento no afecte a otra comunidad autónoma; la calidad del suministro y la eficiencia energética, así como la participación en los organismos estatales reguladores del sector energético y en la planificación estatal que afecte al territorio de la Comunidad Autónoma, y en los procedimientos de autorización de </w:t>
      </w:r>
      <w:r>
        <w:lastRenderedPageBreak/>
        <w:t>instalaciones de producción y transporte de energía que afecten al territorio de Aragón o cuando la energía sea objeto de aprovechamiento fuera de este territorio”.</w:t>
      </w:r>
    </w:p>
    <w:p w14:paraId="0B0BE657" w14:textId="77777777" w:rsidR="003754FE" w:rsidRDefault="003754FE" w:rsidP="003754FE">
      <w:pPr>
        <w:pStyle w:val="TextoNormal"/>
      </w:pPr>
    </w:p>
    <w:p w14:paraId="114FCBF7" w14:textId="77777777" w:rsidR="003754FE" w:rsidRDefault="003754FE" w:rsidP="003754FE">
      <w:pPr>
        <w:pStyle w:val="TextoNormal"/>
      </w:pPr>
      <w:r>
        <w:t>Explica el abogado del Estado que, sobre la base de lo anterior, el Estado puede reservarse alguna de esas funciones ejecutivas para garantizar la efectividad de su normativa básica en el territorio nacional, correspondiéndole además la facultad de coordinación, así como la ejecución cuando ello resulte, con arreglo a la STC 102/2013, de 23 de abril, FJ 8, “complemento necesario para preservar lo básico por su incidencia en el correcto funcionamiento del entero sistema eléctrico (art. 149.1.25 CE) y, con ello, en el régimen económico de este importante sector para la economía nacional (art. 149.1.13 CE)”; carácter que, según argumenta, este tribunal ha apreciado respecto de funciones ejecutivas en relación con la garantía del suministro eléctrico (STC 18/2011, FJ 6) o con la determinación del régimen económico [SSTC 18/2011, FJ 21 a), y 21/2017, de 2 de febrero, FJ 3].</w:t>
      </w:r>
    </w:p>
    <w:p w14:paraId="5357DAFA" w14:textId="77777777" w:rsidR="003754FE" w:rsidRDefault="003754FE" w:rsidP="003754FE">
      <w:pPr>
        <w:pStyle w:val="TextoNormal"/>
      </w:pPr>
    </w:p>
    <w:p w14:paraId="52C1CD32" w14:textId="77777777" w:rsidR="003754FE" w:rsidRDefault="003754FE" w:rsidP="003754FE">
      <w:pPr>
        <w:pStyle w:val="TextoNormal"/>
      </w:pPr>
      <w:r>
        <w:t>c) Con carácter adicional expone que este acervo normativo está fuertemente influido por el Derecho de la Unión Europea, con lo que la quiebra de la normativa básica provoca también la vulneración del Derecho europeo. Y si en principio el Derecho europeo no forma parte del canon de control de constitucionalidad, recuerda su carácter interpretativo y orientador en los conflictos competenciales [SSTC 13/1998, de 22 de enero, FJ 3; 33/2005, de 17 de febrero, FJ 3, y 123/2021, de 3 de junio, FJ 4]. En este contexto examina el concepto europeo de línea directa establecido en el art. 7 de la Directiva 2019/944 del Parlamento Europeo y del Consejo, de 5 de junio de 2019, sobre normas comunes para el mercado interior de la electricidad y por la que se modifica la Directiva 2012/27/UE, anticipando que la norma impugnada modifica el contenido del concepto europeo de línea directa. Y la trasposición del concepto de línea directa es competencia exclusiva del Estado por tratarse del régimen económico del sector eléctrico, impactando claramente el régimen de líneas directas en la sostenibilidad técnica y económica de la red única monopolística, garantía de la seguridad y estabilidad del suministro eléctrico en todo el territorio nacional en condiciones de igualdad.</w:t>
      </w:r>
    </w:p>
    <w:p w14:paraId="76B3942A" w14:textId="77777777" w:rsidR="003754FE" w:rsidRDefault="003754FE" w:rsidP="003754FE">
      <w:pPr>
        <w:pStyle w:val="TextoNormal"/>
      </w:pPr>
    </w:p>
    <w:p w14:paraId="3E6F96D8" w14:textId="77777777" w:rsidR="003754FE" w:rsidRDefault="003754FE" w:rsidP="003754FE">
      <w:pPr>
        <w:pStyle w:val="TextoNormal"/>
      </w:pPr>
      <w:r>
        <w:t>Argumenta que los preceptos cuya inconstitucionalidad se denuncia no solo invaden competencias estatales, sino que también en algunos casos violan el Derecho de la Unión Europea, al establecer un subsector eléctrico diferenciado que en algunos casos se rige por sus propias normas especiales y categorías no previstas ni en la normativa básica estatal ni en las directivas. Un sistema paralelo que vulnera la normativa básica estatal y las atribuciones constitucionales previstas en el art. 149.1.13 y 25 CE, y también el art. 139.1 y 2 CE, que establece: “1. Todos los españoles tienen los mismos derechos y obligaciones en cualquier parte del territorio del Estado. 2. Ninguna autoridad podrá adoptar medidas que directa o indirectamente obstaculicen la libertad de circulación y establecimiento de las personas y la libre circulación de bienes en todo el territorio español”.</w:t>
      </w:r>
    </w:p>
    <w:p w14:paraId="01CF0AC6" w14:textId="77777777" w:rsidR="003754FE" w:rsidRDefault="003754FE" w:rsidP="003754FE">
      <w:pPr>
        <w:pStyle w:val="TextoNormal"/>
      </w:pPr>
    </w:p>
    <w:p w14:paraId="6D606AB9" w14:textId="77777777" w:rsidR="003754FE" w:rsidRDefault="003754FE" w:rsidP="003754FE">
      <w:pPr>
        <w:pStyle w:val="TextoNormal"/>
      </w:pPr>
      <w:r>
        <w:t>Y ello a la postre quiebra también el art. 14 CE en lo que concierne a la igualdad de trato a todos los españoles reconocida por la ley, de modo que las personas físicas y jurídicas de la Comunidad Autónoma de Aragón van a gozar de una posición privilegiada de acceso al sistema eléctrico, tanto en lo que concierne a la distribución como a la generación de energía.</w:t>
      </w:r>
    </w:p>
    <w:p w14:paraId="2872C6FB" w14:textId="77777777" w:rsidR="003754FE" w:rsidRDefault="003754FE" w:rsidP="003754FE">
      <w:pPr>
        <w:pStyle w:val="TextoNormal"/>
      </w:pPr>
    </w:p>
    <w:p w14:paraId="6AB1DC5C" w14:textId="77777777" w:rsidR="003754FE" w:rsidRDefault="003754FE" w:rsidP="003754FE">
      <w:pPr>
        <w:pStyle w:val="TextoNormal"/>
      </w:pPr>
      <w:r>
        <w:lastRenderedPageBreak/>
        <w:t>C) A los efectos de ilustrar lo expuesto anteriormente, considera necesario atender a la normativa básica presidida por la Ley del sector eléctrico, con un marcado carácter básico conforme a su disposición final segunda, desarrollando, en un primer momento, los arts. 3 (que enumera las competencias del Estado en lo que se refiere al sector eléctrico), 6 (que enumera los sujetos que han de desarrollar las actividades destinadas al suministro de energía eléctrica) y 9 (que regula el autoconsumo, tanto sin excedentes como con excedentes).</w:t>
      </w:r>
    </w:p>
    <w:p w14:paraId="22D0DA73" w14:textId="77777777" w:rsidR="003754FE" w:rsidRDefault="003754FE" w:rsidP="003754FE">
      <w:pPr>
        <w:pStyle w:val="TextoNormal"/>
      </w:pPr>
    </w:p>
    <w:p w14:paraId="31165828" w14:textId="77777777" w:rsidR="003754FE" w:rsidRDefault="003754FE" w:rsidP="003754FE">
      <w:pPr>
        <w:pStyle w:val="TextoNormal"/>
      </w:pPr>
      <w:r>
        <w:t>Respecto del autoconsumo, recuerda que en la STC 68/2017, de 25 de mayo, FJ 4 a), el Tribunal determinó que la definición de los elementos básicos de las instalaciones de autoconsumo, en tanto sujetos del sistema eléctrico, compete al Estado. No obstante, la norma autonómica desborda el ámbito propio de la estatal al establecer un sistema propio que gira en torno a la noción de consumo eléctrico de cercanía y de su propia concepción de autoconsumo, alterando del mismo modo las reglas que se establecen en la normativa básica. Y, a continuación, desarrolla el contenido del art. 39 (autorización de instalaciones de distribución) y del art. 42 (líneas directas).</w:t>
      </w:r>
    </w:p>
    <w:p w14:paraId="6E3901AC" w14:textId="77777777" w:rsidR="003754FE" w:rsidRDefault="003754FE" w:rsidP="003754FE">
      <w:pPr>
        <w:pStyle w:val="TextoNormal"/>
      </w:pPr>
    </w:p>
    <w:p w14:paraId="6A83AE08" w14:textId="77777777" w:rsidR="003754FE" w:rsidRDefault="003754FE" w:rsidP="003754FE">
      <w:pPr>
        <w:pStyle w:val="TextoNormal"/>
      </w:pPr>
      <w:r>
        <w:t>D) Tras el examen de los preceptos pertinentes de la Ley del sector eléctrico, dedica un último epígrafe a desarrollar las concretas tachas de inconstitucionalidad que se anudan a cada precepto impugnado, que cabe sintetizar de la siguiente forma:</w:t>
      </w:r>
    </w:p>
    <w:p w14:paraId="3537EDC2" w14:textId="77777777" w:rsidR="003754FE" w:rsidRDefault="003754FE" w:rsidP="003754FE">
      <w:pPr>
        <w:pStyle w:val="TextoNormal"/>
      </w:pPr>
    </w:p>
    <w:p w14:paraId="18A54172" w14:textId="77777777" w:rsidR="003754FE" w:rsidRDefault="003754FE" w:rsidP="003754FE">
      <w:pPr>
        <w:pStyle w:val="TextoNormal"/>
      </w:pPr>
      <w:r>
        <w:t xml:space="preserve">a) </w:t>
      </w:r>
      <w:r w:rsidRPr="003754FE">
        <w:rPr>
          <w:i/>
        </w:rPr>
        <w:t>Artículo 4. Consumo eléctrico de cercanía</w:t>
      </w:r>
    </w:p>
    <w:p w14:paraId="3B1FE57B" w14:textId="77777777" w:rsidR="003754FE" w:rsidRDefault="003754FE" w:rsidP="003754FE">
      <w:pPr>
        <w:pStyle w:val="TextoNormal"/>
      </w:pPr>
    </w:p>
    <w:p w14:paraId="5E38303B" w14:textId="77777777" w:rsidR="003754FE" w:rsidRDefault="003754FE" w:rsidP="003754FE">
      <w:pPr>
        <w:pStyle w:val="TextoNormal"/>
      </w:pPr>
      <w:r>
        <w:t>De entre todas las previsiones que el precepto recoge para llevar a cabo el consumo eléctrico de cercanía, el abogado del Estado considera que solo la alternativa de que el consumo eléctrico de cercanía se realice a “través de cualquier modalidad de autoconsumo de las reguladas en la normativa básica estatal” es la ajustada a la legislación estatal. Por el contrario, la previsión de que se pueda llevar a cabo mediante “líneas directas” o “mediante contratos de compra de energía u otras fórmulas que permitan articular el suministro de electricidad” resulta contrario a la norma estatal. También contraviene la norma estatal la exigencia de que el consumo eléctrico de cercanía deba cumplir las condiciones de que produzca una reducción de los costes energéticos (reduciendo sus costes energéticos) y de que cumpla el criterio de territorialidad (todos ellos dentro del territorio de Aragón):</w:t>
      </w:r>
    </w:p>
    <w:p w14:paraId="7213D1D8" w14:textId="77777777" w:rsidR="003754FE" w:rsidRDefault="003754FE" w:rsidP="003754FE">
      <w:pPr>
        <w:pStyle w:val="TextoNormal"/>
      </w:pPr>
    </w:p>
    <w:p w14:paraId="55CB18B0" w14:textId="77777777" w:rsidR="003754FE" w:rsidRDefault="003754FE" w:rsidP="003754FE">
      <w:pPr>
        <w:pStyle w:val="TextoNormal"/>
      </w:pPr>
      <w:r>
        <w:t>(i) Respecto a la consideración como consumo eléctrico de cercanía a aquel que se realice mediante líneas directas, explica el abogado del Estado que resulta contrario, por un lado, al art. 42 LSE, precepto que exige que una línea directa conecte a un productor con un único consumidor, no admitiéndose la pluralidad de consumidores. Y, por otro lado, contraviene el art. 39.3 LSE, que exige que cualquier instalación que conecte a más de un consumidor tendrá la consideración de red de distribución y deberá ser cedida a la empresa distribuidora de la zona, quedando abierta al uso de terceros.</w:t>
      </w:r>
    </w:p>
    <w:p w14:paraId="7FFCF1BD" w14:textId="77777777" w:rsidR="003754FE" w:rsidRDefault="003754FE" w:rsidP="003754FE">
      <w:pPr>
        <w:pStyle w:val="TextoNormal"/>
      </w:pPr>
    </w:p>
    <w:p w14:paraId="20DD23F5" w14:textId="77777777" w:rsidR="003754FE" w:rsidRDefault="003754FE" w:rsidP="003754FE">
      <w:pPr>
        <w:pStyle w:val="TextoNormal"/>
      </w:pPr>
      <w:r>
        <w:t xml:space="preserve">(ii) En cuanto a la consideración como consumo eléctrico de cercanía a aquel que se realice mediante contratos de compra de energía u otras fórmulas que permitan articular el suministro de electricidad, entiende el abogado del Estado que, al no limitarse de manera expresa a las comunidades de energía renovables [previstas en el apartado j) del art. 6.1 LSE], admite otras fórmulas que permiten articular el suministro de electricidad, no ajustándose a la definición de las figuras que participan en el suministro eléctrico definido por </w:t>
      </w:r>
      <w:r>
        <w:lastRenderedPageBreak/>
        <w:t>la Ley del sector eléctrico y quiebra el principio de seguridad jurídica consagrado en el art. 9.3 CE.</w:t>
      </w:r>
    </w:p>
    <w:p w14:paraId="02489AB3" w14:textId="77777777" w:rsidR="003754FE" w:rsidRDefault="003754FE" w:rsidP="003754FE">
      <w:pPr>
        <w:pStyle w:val="TextoNormal"/>
      </w:pPr>
    </w:p>
    <w:p w14:paraId="5732AF02" w14:textId="77777777" w:rsidR="003754FE" w:rsidRDefault="003754FE" w:rsidP="003754FE">
      <w:pPr>
        <w:pStyle w:val="TextoNormal"/>
      </w:pPr>
      <w:r>
        <w:t>(iii) En lo que concierne a la exigencia de la norma aragonesa de que la realización produzca una reducción de los costes energéticos, entiende el abogado del Estado que esta previsión invade las competencias estatales, dado que no forma parte de la definición de autoconsumo establecido en la legislación estatal y atañe al régimen económico del sector eléctrico, competencia exclusiva del Estad</w:t>
      </w:r>
      <w:r w:rsidRPr="003754FE">
        <w:rPr>
          <w:i/>
        </w:rPr>
        <w:t xml:space="preserve">o </w:t>
      </w:r>
      <w:r>
        <w:t>ex art. 149.1.13 y 25 CE.</w:t>
      </w:r>
    </w:p>
    <w:p w14:paraId="582C6316" w14:textId="77777777" w:rsidR="003754FE" w:rsidRDefault="003754FE" w:rsidP="003754FE">
      <w:pPr>
        <w:pStyle w:val="TextoNormal"/>
      </w:pPr>
    </w:p>
    <w:p w14:paraId="63056459" w14:textId="77777777" w:rsidR="003754FE" w:rsidRDefault="003754FE" w:rsidP="003754FE">
      <w:pPr>
        <w:pStyle w:val="TextoNormal"/>
      </w:pPr>
      <w:r>
        <w:t>(iv) Finalmente, respecto a la exigencia de que el consumo de cercanía cumpla el criterio de territorialidad, denuncia que vulnera la legislación estatal al quebrantar el principio de red única dado que, si el autoconsumo es con excedentes, estos serán vertidos a la red única estatal y no puede establecerse su restricción a su aprovechamiento dentro del territorio autonómico.</w:t>
      </w:r>
    </w:p>
    <w:p w14:paraId="3047354F" w14:textId="77777777" w:rsidR="003754FE" w:rsidRDefault="003754FE" w:rsidP="003754FE">
      <w:pPr>
        <w:pStyle w:val="TextoNormal"/>
      </w:pPr>
    </w:p>
    <w:p w14:paraId="1F3AEFBA" w14:textId="77777777" w:rsidR="003754FE" w:rsidRDefault="003754FE" w:rsidP="003754FE">
      <w:pPr>
        <w:pStyle w:val="TextoNormal"/>
      </w:pPr>
      <w:r>
        <w:t xml:space="preserve">b) </w:t>
      </w:r>
      <w:r w:rsidRPr="003754FE">
        <w:rPr>
          <w:i/>
        </w:rPr>
        <w:t>Artículo 5, apartados 1, 2 y 4. Líneas directas</w:t>
      </w:r>
    </w:p>
    <w:p w14:paraId="574B2C8C" w14:textId="77777777" w:rsidR="003754FE" w:rsidRDefault="003754FE" w:rsidP="003754FE">
      <w:pPr>
        <w:pStyle w:val="TextoNormal"/>
      </w:pPr>
    </w:p>
    <w:p w14:paraId="4469327D" w14:textId="77777777" w:rsidR="003754FE" w:rsidRDefault="003754FE" w:rsidP="003754FE">
      <w:pPr>
        <w:pStyle w:val="TextoNormal"/>
      </w:pPr>
      <w:r>
        <w:t>Denuncia el abogado del Estado que el art. 5 define las “líneas directas”, de forma distinta y más amplia que el concepto de línea directa estatal fijado por la Ley del sector eléctrico, permitiendo un suministro eléctrico a empresas comercializadoras y sus clientes, sin límite alguno, en contra de lo que establece la Ley del sector eléctrico y en detrimento de la red única estatal.</w:t>
      </w:r>
    </w:p>
    <w:p w14:paraId="541E8CB2" w14:textId="77777777" w:rsidR="003754FE" w:rsidRDefault="003754FE" w:rsidP="003754FE">
      <w:pPr>
        <w:pStyle w:val="TextoNormal"/>
      </w:pPr>
    </w:p>
    <w:p w14:paraId="675B16A2" w14:textId="77777777" w:rsidR="003754FE" w:rsidRDefault="003754FE" w:rsidP="003754FE">
      <w:pPr>
        <w:pStyle w:val="TextoNormal"/>
      </w:pPr>
      <w:r>
        <w:t>(i) En particular, y respecto a los apartados 1 y 2 del art. 5, explica lo siguiente:</w:t>
      </w:r>
    </w:p>
    <w:p w14:paraId="4B3471D1" w14:textId="77777777" w:rsidR="003754FE" w:rsidRDefault="003754FE" w:rsidP="003754FE">
      <w:pPr>
        <w:pStyle w:val="TextoNormal"/>
      </w:pPr>
    </w:p>
    <w:p w14:paraId="36F5A8E3" w14:textId="77777777" w:rsidR="003754FE" w:rsidRDefault="003754FE" w:rsidP="003754FE">
      <w:pPr>
        <w:pStyle w:val="TextoNormal"/>
      </w:pPr>
      <w:r>
        <w:t>- De acuerdo con el art. 42 LSE las líneas directas deben unir a un productor con un único consumidor, por lo que no puede admitirse la posibilidad de que una línea directa suministre electricidad a varios consumidores [lo que permiten las letras b) y c) del apartado 1 y letras a) y b) del apartado 2 del art. 5].</w:t>
      </w:r>
    </w:p>
    <w:p w14:paraId="4CD9660D" w14:textId="77777777" w:rsidR="003754FE" w:rsidRDefault="003754FE" w:rsidP="003754FE">
      <w:pPr>
        <w:pStyle w:val="TextoNormal"/>
      </w:pPr>
    </w:p>
    <w:p w14:paraId="64F67DCA" w14:textId="77777777" w:rsidR="003754FE" w:rsidRDefault="003754FE" w:rsidP="003754FE">
      <w:pPr>
        <w:pStyle w:val="TextoNormal"/>
      </w:pPr>
      <w:r>
        <w:t>- No toman en consideración los apartados mencionados que productor y consumidor deben pertenecer a la misma empresa o grupo de empresas, salvo que se trate de electricidad generada a partir de fuentes renovables.</w:t>
      </w:r>
    </w:p>
    <w:p w14:paraId="64C8B1C1" w14:textId="77777777" w:rsidR="003754FE" w:rsidRDefault="003754FE" w:rsidP="003754FE">
      <w:pPr>
        <w:pStyle w:val="TextoNormal"/>
      </w:pPr>
    </w:p>
    <w:p w14:paraId="302F995F" w14:textId="77777777" w:rsidR="003754FE" w:rsidRDefault="003754FE" w:rsidP="003754FE">
      <w:pPr>
        <w:pStyle w:val="TextoNormal"/>
      </w:pPr>
      <w:r>
        <w:t>- Vulneran el art. 39.3 LSE en tanto toda instalación que suministre electricidad a más de un consumidor tendrá la consideración de red de distribución y debe cederse a la empresa distribuidora de la zona quedando abierta al uso de terceros [letras b) y c) del apartado 1 y letras a) y b) del apartado 2 del art. 5].</w:t>
      </w:r>
    </w:p>
    <w:p w14:paraId="18EDD861" w14:textId="77777777" w:rsidR="003754FE" w:rsidRDefault="003754FE" w:rsidP="003754FE">
      <w:pPr>
        <w:pStyle w:val="TextoNormal"/>
      </w:pPr>
    </w:p>
    <w:p w14:paraId="55352ADF" w14:textId="77777777" w:rsidR="003754FE" w:rsidRDefault="003754FE" w:rsidP="003754FE">
      <w:pPr>
        <w:pStyle w:val="TextoNormal"/>
      </w:pPr>
      <w:r>
        <w:t>- Se incluye cualquier tipo de destinatario de las líneas directas al hablar de “clientes”, “empresas comercializadoras” o “clientes de las empresas comercializadoras”, lo que es contrario al art. 42 LSE porque este último precepto restringe el uso de líneas directas a los titulares de la autorización administrativa, no pudiendo conceder acceso a terceros. La apertura a terceros del uso de la red exigirá su venta, cesión o aportación a la empresa transportista o a la empresa distribuidora de la zona de forma que dicha red quede integrada en la red de transporte o distribución según proceda [letras a) y b) del apartado 1 y letras a) y b) del apartado 2 del art. 5].</w:t>
      </w:r>
    </w:p>
    <w:p w14:paraId="59FE9AE3" w14:textId="77777777" w:rsidR="003754FE" w:rsidRDefault="003754FE" w:rsidP="003754FE">
      <w:pPr>
        <w:pStyle w:val="TextoNormal"/>
      </w:pPr>
    </w:p>
    <w:p w14:paraId="697CA476" w14:textId="77777777" w:rsidR="003754FE" w:rsidRDefault="003754FE" w:rsidP="003754FE">
      <w:pPr>
        <w:pStyle w:val="TextoNormal"/>
      </w:pPr>
      <w:r>
        <w:lastRenderedPageBreak/>
        <w:t>(ii) Respecto al apartado 4, señala que resulta inconstitucional en la medida en que somete las líneas directas a la normativa técnica y de seguridad “que les resulte de aplicación” y al propio Decreto-ley aragonés.</w:t>
      </w:r>
    </w:p>
    <w:p w14:paraId="33938414" w14:textId="77777777" w:rsidR="003754FE" w:rsidRDefault="003754FE" w:rsidP="003754FE">
      <w:pPr>
        <w:pStyle w:val="TextoNormal"/>
      </w:pPr>
    </w:p>
    <w:p w14:paraId="0EE84993" w14:textId="77777777" w:rsidR="003754FE" w:rsidRDefault="003754FE" w:rsidP="003754FE">
      <w:pPr>
        <w:pStyle w:val="TextoNormal"/>
      </w:pPr>
      <w:r>
        <w:t>Entiende el abogado del estado que con esta previsión se orilla la legislación básica del Estado, en lo que se refiere a las normas técnicas y de seguridad, negando así el régimen de las líneas directas en virtud de los títulos competenciales del art. 149.1.13 y 25 CE.</w:t>
      </w:r>
    </w:p>
    <w:p w14:paraId="49E4B2EF" w14:textId="77777777" w:rsidR="003754FE" w:rsidRDefault="003754FE" w:rsidP="003754FE">
      <w:pPr>
        <w:pStyle w:val="TextoNormal"/>
      </w:pPr>
    </w:p>
    <w:p w14:paraId="42149F40" w14:textId="77777777" w:rsidR="003754FE" w:rsidRDefault="003754FE" w:rsidP="003754FE">
      <w:pPr>
        <w:pStyle w:val="TextoNormal"/>
      </w:pPr>
      <w:r>
        <w:t>(iii) Por último, respecto a este precepto, combate la explicación que da la exposición de motivos de que la regulación de las líneas directas se justifica en un supuesto efecto directo, conforme al art. 7.4 de la Directiva 2019/944.</w:t>
      </w:r>
    </w:p>
    <w:p w14:paraId="04BC1A95" w14:textId="77777777" w:rsidR="003754FE" w:rsidRDefault="003754FE" w:rsidP="003754FE">
      <w:pPr>
        <w:pStyle w:val="TextoNormal"/>
      </w:pPr>
    </w:p>
    <w:p w14:paraId="25BBCD24" w14:textId="77777777" w:rsidR="003754FE" w:rsidRDefault="003754FE" w:rsidP="003754FE">
      <w:pPr>
        <w:pStyle w:val="TextoNormal"/>
      </w:pPr>
      <w:r>
        <w:t>c</w:t>
      </w:r>
      <w:r w:rsidRPr="003754FE">
        <w:rPr>
          <w:i/>
        </w:rPr>
        <w:t>) Artículo 6. Tipolog</w:t>
      </w:r>
      <w:r>
        <w:t>ía</w:t>
      </w:r>
    </w:p>
    <w:p w14:paraId="5A904091" w14:textId="77777777" w:rsidR="003754FE" w:rsidRDefault="003754FE" w:rsidP="003754FE">
      <w:pPr>
        <w:pStyle w:val="TextoNormal"/>
      </w:pPr>
    </w:p>
    <w:p w14:paraId="7DC949DC" w14:textId="77777777" w:rsidR="003754FE" w:rsidRDefault="003754FE" w:rsidP="003754FE">
      <w:pPr>
        <w:pStyle w:val="TextoNormal"/>
      </w:pPr>
      <w:r>
        <w:t>El abogado del Estado denuncia que el precepto establece nuevamente una tipología de líneas directas que resulta contraria al propio concepto básico de línea directa y, por tanto, toda la tipología que regula excede de la competencia autonómica de desarrollo de las bases estatales. En concreto:</w:t>
      </w:r>
    </w:p>
    <w:p w14:paraId="228F85DB" w14:textId="77777777" w:rsidR="003754FE" w:rsidRDefault="003754FE" w:rsidP="003754FE">
      <w:pPr>
        <w:pStyle w:val="TextoNormal"/>
      </w:pPr>
    </w:p>
    <w:p w14:paraId="64750393" w14:textId="77777777" w:rsidR="003754FE" w:rsidRDefault="003754FE" w:rsidP="003754FE">
      <w:pPr>
        <w:pStyle w:val="TextoNormal"/>
      </w:pPr>
      <w:r>
        <w:t>(i) La letra a) prevé que se puedan realizar conexiones directas con varios consumidores, y no solo con uno como exige la normativa básica, y no establece tampoco ninguna otra limitación para evitar la conexión simultánea del consumidor, basándose la regulación en la mera presunción de aislamiento.</w:t>
      </w:r>
    </w:p>
    <w:p w14:paraId="2793EDCA" w14:textId="77777777" w:rsidR="003754FE" w:rsidRDefault="003754FE" w:rsidP="003754FE">
      <w:pPr>
        <w:pStyle w:val="TextoNormal"/>
      </w:pPr>
    </w:p>
    <w:p w14:paraId="6306FDA2" w14:textId="77777777" w:rsidR="003754FE" w:rsidRDefault="003754FE" w:rsidP="003754FE">
      <w:pPr>
        <w:pStyle w:val="TextoNormal"/>
      </w:pPr>
      <w:r>
        <w:t>(ii) La letra b), al referirse a plantas de autoconsumo sin excedentes, sin permiso de acceso y conexión, resulta contraria a la normativa porque se prevé que se puedan realizar conexiones directas entre las instalaciones de producción de energía eléctrica con “varios consumidores” y no solo con uno como exige la legislación básica.</w:t>
      </w:r>
    </w:p>
    <w:p w14:paraId="29E577BA" w14:textId="77777777" w:rsidR="003754FE" w:rsidRDefault="003754FE" w:rsidP="003754FE">
      <w:pPr>
        <w:pStyle w:val="TextoNormal"/>
      </w:pPr>
    </w:p>
    <w:p w14:paraId="7AA1B978" w14:textId="77777777" w:rsidR="003754FE" w:rsidRDefault="003754FE" w:rsidP="003754FE">
      <w:pPr>
        <w:pStyle w:val="TextoNormal"/>
      </w:pPr>
      <w:r>
        <w:t>(iii) La letra c) se refiere a las plantas con potencia instalada superior a la que puedan evacuar conforme a sus permisos de acceso y conexión, hibridadas o no, lo que resulta contrario a la normativa porque se prevé que se pueda suministrar electricidad a consumidores fuera de la red única, y únicamente hace referencia a varios consumidores.</w:t>
      </w:r>
    </w:p>
    <w:p w14:paraId="43F5F72A" w14:textId="77777777" w:rsidR="003754FE" w:rsidRDefault="003754FE" w:rsidP="003754FE">
      <w:pPr>
        <w:pStyle w:val="TextoNormal"/>
      </w:pPr>
    </w:p>
    <w:p w14:paraId="22FD17F1" w14:textId="77777777" w:rsidR="003754FE" w:rsidRDefault="003754FE" w:rsidP="003754FE">
      <w:pPr>
        <w:pStyle w:val="TextoNormal"/>
      </w:pPr>
      <w:r>
        <w:t>También es contrario al art. 9 LSE y al art. 4.1 del Real Decreto 244/2019, de 5 de abril, por el que se regulan las condiciones administrativas, técnicas y económicas del autoconsumo de energía eléctrica, porque si el autoconsumo es sin excedentes no se puede verter en ningún momento; en concreto, estos artículos exigen que para que una instalación sea considerada sin excedentes debe incorporar un mecanismo antivertido, es decir, un dispositivo que físicamente impide en todo momento verter energía en la red, por tanto, no requiere ningún tipo de permiso de acceso.</w:t>
      </w:r>
    </w:p>
    <w:p w14:paraId="3B9DBF5F" w14:textId="77777777" w:rsidR="003754FE" w:rsidRDefault="003754FE" w:rsidP="003754FE">
      <w:pPr>
        <w:pStyle w:val="TextoNormal"/>
      </w:pPr>
    </w:p>
    <w:p w14:paraId="6EB9DA4E" w14:textId="77777777" w:rsidR="003754FE" w:rsidRDefault="003754FE" w:rsidP="003754FE">
      <w:pPr>
        <w:pStyle w:val="TextoNormal"/>
      </w:pPr>
      <w:r>
        <w:t xml:space="preserve">d) </w:t>
      </w:r>
      <w:r w:rsidRPr="003754FE">
        <w:rPr>
          <w:i/>
        </w:rPr>
        <w:t>Artículo 7, apartados 1, 2 y letras a), b) y c) del apartado 3. Criterios determinantes para la autorización de líneas directas</w:t>
      </w:r>
    </w:p>
    <w:p w14:paraId="64CD8B48" w14:textId="77777777" w:rsidR="003754FE" w:rsidRDefault="003754FE" w:rsidP="003754FE">
      <w:pPr>
        <w:pStyle w:val="TextoNormal"/>
      </w:pPr>
    </w:p>
    <w:p w14:paraId="31445813" w14:textId="77777777" w:rsidR="003754FE" w:rsidRDefault="003754FE" w:rsidP="003754FE">
      <w:pPr>
        <w:pStyle w:val="TextoNormal"/>
      </w:pPr>
      <w:r>
        <w:t xml:space="preserve">Se denuncia que esta regulación es incompatible con la regulación estatal porque sustrae el suministro eléctrico a través de estas líneas directas autonómicas que son infraestructuras calificadas como líneas directas pero que no lo son, e inciden en el correcto funcionamiento </w:t>
      </w:r>
      <w:r>
        <w:lastRenderedPageBreak/>
        <w:t>del sistema eléctrico en su conjunto, dado el principio de red única del sistema eléctrico. Así, destaca que un cliente alimentado a través de una línea directa como la propuesta por el Gobierno de Aragón no pagaría peajes ni cargos para sufragar los costes del sistema eléctrico.</w:t>
      </w:r>
    </w:p>
    <w:p w14:paraId="0F5A532A" w14:textId="77777777" w:rsidR="003754FE" w:rsidRDefault="003754FE" w:rsidP="003754FE">
      <w:pPr>
        <w:pStyle w:val="TextoNormal"/>
      </w:pPr>
    </w:p>
    <w:p w14:paraId="614B155D" w14:textId="77777777" w:rsidR="003754FE" w:rsidRDefault="003754FE" w:rsidP="003754FE">
      <w:pPr>
        <w:pStyle w:val="TextoNormal"/>
      </w:pPr>
      <w:r>
        <w:t>La afectación de esta medida a la red de transporte o, en su caso, a la de distribución queda patente en relación con las previsiones que se efectúan en esta disposición de dar audiencia al gestor de la red.</w:t>
      </w:r>
    </w:p>
    <w:p w14:paraId="6E046CF2" w14:textId="77777777" w:rsidR="003754FE" w:rsidRDefault="003754FE" w:rsidP="003754FE">
      <w:pPr>
        <w:pStyle w:val="TextoNormal"/>
      </w:pPr>
    </w:p>
    <w:p w14:paraId="1BD94AEC" w14:textId="77777777" w:rsidR="003754FE" w:rsidRDefault="003754FE" w:rsidP="003754FE">
      <w:pPr>
        <w:pStyle w:val="TextoNormal"/>
      </w:pPr>
      <w:r>
        <w:t>A lo que se añade que la existencia de dos figuras diferentes, pero con idéntica denominación (las líneas directas reguladas en la Ley del sector eléctrico y las líneas directas reguladas por Aragón), vulnera el principio de seguridad jurídica.</w:t>
      </w:r>
    </w:p>
    <w:p w14:paraId="1DE9694F" w14:textId="77777777" w:rsidR="003754FE" w:rsidRDefault="003754FE" w:rsidP="003754FE">
      <w:pPr>
        <w:pStyle w:val="TextoNormal"/>
      </w:pPr>
    </w:p>
    <w:p w14:paraId="3A1DE2F2" w14:textId="77777777" w:rsidR="003754FE" w:rsidRDefault="003754FE" w:rsidP="003754FE">
      <w:pPr>
        <w:pStyle w:val="TextoNormal"/>
      </w:pPr>
      <w:r>
        <w:t>En este apartado añade que existe una unidad de sentido e identidad de razón con el art. 4 de los arts. 5, 6 y 7, apartados 1, 2 y 3 letras a), b) y c), lo que es un motivo adicional de inconstitucionalidad [STC 111/2019, de 2 de octubre, FJ 2 B)] porque constituyen un bloque normativo mediante el que se pretende apuntalar un modelo de consumo eléctrico de cercanía alternativo al modelo de suministro a través de la red única estatal que establece la normativa básica y sobre el que se fundamenta el sistema eléctrico nacional.</w:t>
      </w:r>
    </w:p>
    <w:p w14:paraId="149744B0" w14:textId="77777777" w:rsidR="003754FE" w:rsidRDefault="003754FE" w:rsidP="003754FE">
      <w:pPr>
        <w:pStyle w:val="TextoNormal"/>
      </w:pPr>
    </w:p>
    <w:p w14:paraId="40DB1451" w14:textId="77777777" w:rsidR="003754FE" w:rsidRDefault="003754FE" w:rsidP="003754FE">
      <w:pPr>
        <w:pStyle w:val="TextoNormal"/>
      </w:pPr>
      <w:r>
        <w:t xml:space="preserve">e) </w:t>
      </w:r>
      <w:r w:rsidRPr="003754FE">
        <w:rPr>
          <w:i/>
        </w:rPr>
        <w:t>Artículo 12. Instalaciones próximas de producción a efectos de autoconsumo, apartados 2, en cuanto al inciso “Las redes interiores podrán establecerse en cualquier nivel de tensión a efectos de autoconsumo”, y 3, en cuanto al inciso “y a establecer y operar redes interiores de cualquier nivel de tensión para establecer sistemas de autoconsumo”</w:t>
      </w:r>
    </w:p>
    <w:p w14:paraId="3ECD3BE2" w14:textId="77777777" w:rsidR="003754FE" w:rsidRDefault="003754FE" w:rsidP="003754FE">
      <w:pPr>
        <w:pStyle w:val="TextoNormal"/>
      </w:pPr>
    </w:p>
    <w:p w14:paraId="12225F6F" w14:textId="77777777" w:rsidR="003754FE" w:rsidRDefault="003754FE" w:rsidP="003754FE">
      <w:pPr>
        <w:pStyle w:val="TextoNormal"/>
      </w:pPr>
      <w:r>
        <w:t>Explica que estos incisos resultan manifiestamente contrarios a la normativa básica estatal (arts. 9 y 42 LSE) por establecer un régimen con diversas previsiones de aplicación en cuanto a niveles de tensión delimitados. El Decreto-ley ha ampliado otra vez la definición y alcance del concepto empleado en lo relativo a qué se considera instalación de producción próxima a las de consumo.</w:t>
      </w:r>
    </w:p>
    <w:p w14:paraId="5073C0E8" w14:textId="77777777" w:rsidR="003754FE" w:rsidRDefault="003754FE" w:rsidP="003754FE">
      <w:pPr>
        <w:pStyle w:val="TextoNormal"/>
      </w:pPr>
    </w:p>
    <w:p w14:paraId="29FAFEE5" w14:textId="77777777" w:rsidR="003754FE" w:rsidRDefault="003754FE" w:rsidP="003754FE">
      <w:pPr>
        <w:pStyle w:val="TextoNormal"/>
      </w:pPr>
      <w:r>
        <w:t>El concepto debe circunscribirse a los regulado en el art. 9 LSE y 3.1 g) del Real Decreto 244/2019, de 5 de abril, por el que se regulan las condiciones administrativas, técnicas y económicas del autoconsumo de energía eléctrica.</w:t>
      </w:r>
    </w:p>
    <w:p w14:paraId="3EDFABF6" w14:textId="77777777" w:rsidR="003754FE" w:rsidRDefault="003754FE" w:rsidP="003754FE">
      <w:pPr>
        <w:pStyle w:val="TextoNormal"/>
      </w:pPr>
    </w:p>
    <w:p w14:paraId="709AC764" w14:textId="77777777" w:rsidR="003754FE" w:rsidRDefault="003754FE" w:rsidP="003754FE">
      <w:pPr>
        <w:pStyle w:val="TextoNormal"/>
      </w:pPr>
      <w:r>
        <w:t>f</w:t>
      </w:r>
      <w:r w:rsidRPr="003754FE">
        <w:rPr>
          <w:i/>
        </w:rPr>
        <w:t>) Artículo 13, apartados 2, 3 y 4. Medidas sobre autoconsumo sin excedent</w:t>
      </w:r>
      <w:r>
        <w:t>es</w:t>
      </w:r>
    </w:p>
    <w:p w14:paraId="3F762893" w14:textId="77777777" w:rsidR="003754FE" w:rsidRDefault="003754FE" w:rsidP="003754FE">
      <w:pPr>
        <w:pStyle w:val="TextoNormal"/>
      </w:pPr>
    </w:p>
    <w:p w14:paraId="3DF16C24" w14:textId="77777777" w:rsidR="003754FE" w:rsidRDefault="003754FE" w:rsidP="003754FE">
      <w:pPr>
        <w:pStyle w:val="TextoNormal"/>
      </w:pPr>
      <w:r>
        <w:t>(i) En cuanto al apartado 2, el abogado del Estado señala que, si los consumidores a que se refiere están conectados como consumidores a las redes de transporte y distribución y a su vez están conectados entre sí mediante una línea directa, lo que en realidad existe es una red de distribución que conecta varios consumidores y un productor. Y esto contradice varias normas de carácter básico: por un lado, el art. 39.3 LSE, que reproduce; más aún si la tensión es igual o superior a 220 kW, en cuyo caso estas instalaciones tienen consideración de red de transporte y no podrían ser asumidas por el sistema porque de acuerdo con el art. 4 LSE la red de transporte es planificada y esta planificación debe ser aprobada por el Gobierno; y la definición de línea directa no es compatible con el art. 42 LSE.</w:t>
      </w:r>
    </w:p>
    <w:p w14:paraId="18D88059" w14:textId="77777777" w:rsidR="003754FE" w:rsidRDefault="003754FE" w:rsidP="003754FE">
      <w:pPr>
        <w:pStyle w:val="TextoNormal"/>
      </w:pPr>
    </w:p>
    <w:p w14:paraId="7D6DED99" w14:textId="77777777" w:rsidR="003754FE" w:rsidRDefault="003754FE" w:rsidP="003754FE">
      <w:pPr>
        <w:pStyle w:val="TextoNormal"/>
      </w:pPr>
      <w:r>
        <w:lastRenderedPageBreak/>
        <w:t>(ii) Respecto al apartado 3, considera que la previsión de que cada consumidor pueda establecer en la red interior sistemas de medidas “privados” es contraria a la regulación estatal porque diseña un sistema de medidas distinto al previsto en la normativa básica estatal y permite lo que denomina “sistemas de medida privados”, es decir, sistemas de medida no homologados, que no cumplen con la normativa básica acerca de equipos de medidas que permitan una medición y un control conformes.</w:t>
      </w:r>
    </w:p>
    <w:p w14:paraId="433258D1" w14:textId="77777777" w:rsidR="003754FE" w:rsidRDefault="003754FE" w:rsidP="003754FE">
      <w:pPr>
        <w:pStyle w:val="TextoNormal"/>
      </w:pPr>
    </w:p>
    <w:p w14:paraId="5BDEA341" w14:textId="77777777" w:rsidR="003754FE" w:rsidRDefault="003754FE" w:rsidP="003754FE">
      <w:pPr>
        <w:pStyle w:val="TextoNormal"/>
      </w:pPr>
      <w:r>
        <w:t>En concreto, el art. 10 del Real Decreto 244/2019, de 5 de abril, por el que se regulan las condiciones administrativas, técnicas y económicas del autoconsumo de energía eléctrica, de carácter básico, regula los equipos de medida de las instalaciones acogidas a las distintas modalidades de consumo y el Real Decreto 1110/2007, de 24 de agosto, por el que se aprueba el Reglamento unificado de puntos de medida del sistema eléctrico, “establece el sistema de medidas como un elemento básico necesario para el funcionamiento de un mercado abierto y para efectuar la liquidación de la energía, dado que es necesaria la existencia de un sistema que permita la medición de los consumos y de los tránsitos de energía entre los diferentes sujetos y actividades eléctricas”.</w:t>
      </w:r>
    </w:p>
    <w:p w14:paraId="6B60589C" w14:textId="77777777" w:rsidR="003754FE" w:rsidRDefault="003754FE" w:rsidP="003754FE">
      <w:pPr>
        <w:pStyle w:val="TextoNormal"/>
      </w:pPr>
    </w:p>
    <w:p w14:paraId="738A8EFB" w14:textId="77777777" w:rsidR="003754FE" w:rsidRDefault="003754FE" w:rsidP="003754FE">
      <w:pPr>
        <w:pStyle w:val="TextoNormal"/>
      </w:pPr>
      <w:r>
        <w:t>g</w:t>
      </w:r>
      <w:r w:rsidRPr="003754FE">
        <w:rPr>
          <w:i/>
        </w:rPr>
        <w:t>) Artículo 19. Mancomunidades de energ</w:t>
      </w:r>
      <w:r>
        <w:t>ía</w:t>
      </w:r>
    </w:p>
    <w:p w14:paraId="7332DCE1" w14:textId="77777777" w:rsidR="003754FE" w:rsidRDefault="003754FE" w:rsidP="003754FE">
      <w:pPr>
        <w:pStyle w:val="TextoNormal"/>
      </w:pPr>
    </w:p>
    <w:p w14:paraId="5D146E1B" w14:textId="77777777" w:rsidR="003754FE" w:rsidRDefault="003754FE" w:rsidP="003754FE">
      <w:pPr>
        <w:pStyle w:val="TextoNormal"/>
      </w:pPr>
      <w:r>
        <w:t>En relación con este precepto la demanda señala que las mancomunidades de energía son una figura que no está prevista ni en el ordenamiento jurídico nacional ni en el europeo, pero que se prevé que desarrollen las mismas actividades que las comunidades de energía que las integren sin hacer mención al cumplimiento de requisitos, siendo así que el art. 6 LSE impone a los socios de las comunidades de energías renovables el requisito de estar ubicados en las proximidades de los proyectos de energías renovables que estas hayan desarrollado. Se anula dicho requisito de proximidad exigido por la legislación básica, que deriva de la normativa comunitaria, y también se infringe el bloque normativo básico (art. 39 LSE) al permitir conectar los sistemas de autoconsumo que gestionen sus miembros entre sí o con plantas de generación que puedan suministrarles energía para sus sistemas de autoconsumo.</w:t>
      </w:r>
    </w:p>
    <w:p w14:paraId="31CBBB58" w14:textId="77777777" w:rsidR="003754FE" w:rsidRDefault="003754FE" w:rsidP="003754FE">
      <w:pPr>
        <w:pStyle w:val="TextoNormal"/>
      </w:pPr>
    </w:p>
    <w:p w14:paraId="566F40B8" w14:textId="77777777" w:rsidR="003754FE" w:rsidRDefault="003754FE" w:rsidP="003754FE">
      <w:pPr>
        <w:pStyle w:val="TextoNormal"/>
      </w:pPr>
      <w:r>
        <w:t>h</w:t>
      </w:r>
      <w:r w:rsidRPr="003754FE">
        <w:rPr>
          <w:i/>
        </w:rPr>
        <w:t>) Artículo 22, apartado 2. Actividad propia de las comunidades de energ</w:t>
      </w:r>
      <w:r>
        <w:t>ía</w:t>
      </w:r>
    </w:p>
    <w:p w14:paraId="376393AA" w14:textId="77777777" w:rsidR="003754FE" w:rsidRDefault="003754FE" w:rsidP="003754FE">
      <w:pPr>
        <w:pStyle w:val="TextoNormal"/>
      </w:pPr>
    </w:p>
    <w:p w14:paraId="6E0F5700" w14:textId="77777777" w:rsidR="003754FE" w:rsidRDefault="003754FE" w:rsidP="003754FE">
      <w:pPr>
        <w:pStyle w:val="TextoNormal"/>
      </w:pPr>
      <w:r>
        <w:t>Se denuncia que la atribución que este artículo lleva a cabo resulta contraria a la propia definición de comunidad ciudadana de energía que establece el art. 2.11 de la Directiva (UE) 2019/944 del Parlamento Europeo y del Consejo, de 5 de junio, sobre normas comunes para el mercado interior de la electricidad y por la que se modifica la Directiva 2012/27/UE, limitando la norma europea su actividad al ámbito eléctrico.</w:t>
      </w:r>
    </w:p>
    <w:p w14:paraId="7ED27C93" w14:textId="77777777" w:rsidR="003754FE" w:rsidRDefault="003754FE" w:rsidP="003754FE">
      <w:pPr>
        <w:pStyle w:val="TextoNormal"/>
      </w:pPr>
    </w:p>
    <w:p w14:paraId="24FF26EB" w14:textId="77777777" w:rsidR="003754FE" w:rsidRDefault="003754FE" w:rsidP="003754FE">
      <w:pPr>
        <w:pStyle w:val="TextoNormal"/>
      </w:pPr>
      <w:r>
        <w:t>i</w:t>
      </w:r>
      <w:r w:rsidRPr="003754FE">
        <w:rPr>
          <w:i/>
        </w:rPr>
        <w:t>) Artículo 33. Definici</w:t>
      </w:r>
      <w:r>
        <w:t>ón</w:t>
      </w:r>
    </w:p>
    <w:p w14:paraId="623D7A41" w14:textId="77777777" w:rsidR="003754FE" w:rsidRDefault="003754FE" w:rsidP="003754FE">
      <w:pPr>
        <w:pStyle w:val="TextoNormal"/>
      </w:pPr>
    </w:p>
    <w:p w14:paraId="6378683F" w14:textId="77777777" w:rsidR="003754FE" w:rsidRDefault="003754FE" w:rsidP="003754FE">
      <w:pPr>
        <w:pStyle w:val="TextoNormal"/>
      </w:pPr>
      <w:r>
        <w:t>Denuncia el abogado del Estado que este precepto también modifica el concepto de redes cerradas contenido en el art. 3 del Real Decreto 314/2023, de 25 de abril, en lo que se refiere a su ámbito subjetivo, dado que lo circunscribe a suministros industriales, mientras que el Decreto-ley aragonés lo extiende abarcando a zonas comerciales o de servicios compartidos. Igualmente, el art. 37.1 del Decreto-ley aragonés impide que ningún cliente doméstico esté conectado a la red, siendo esta restricción contraria a lo regulado en el art. 5 del Real Decreto 314/2023.</w:t>
      </w:r>
    </w:p>
    <w:p w14:paraId="5A8066FF" w14:textId="77777777" w:rsidR="003754FE" w:rsidRDefault="003754FE" w:rsidP="003754FE">
      <w:pPr>
        <w:pStyle w:val="TextoNormal"/>
      </w:pPr>
    </w:p>
    <w:p w14:paraId="2D8DDE22" w14:textId="77777777" w:rsidR="003754FE" w:rsidRDefault="003754FE" w:rsidP="003754FE">
      <w:pPr>
        <w:pStyle w:val="TextoNormal"/>
      </w:pPr>
      <w:r>
        <w:t>Explica el abogado del Estado que la modificación de este concepto de redes cerradas tiene como consecuencia servir a desviar parte del suministro eléctrico de la red de transporte y distribución a los usos y destinos que enmarca en lo que la norma aragonesa define como consumo de cercanía en su art. 4.</w:t>
      </w:r>
    </w:p>
    <w:p w14:paraId="394235DA" w14:textId="77777777" w:rsidR="003754FE" w:rsidRDefault="003754FE" w:rsidP="003754FE">
      <w:pPr>
        <w:pStyle w:val="TextoNormal"/>
      </w:pPr>
    </w:p>
    <w:p w14:paraId="2BF68D43" w14:textId="77777777" w:rsidR="003754FE" w:rsidRDefault="003754FE" w:rsidP="003754FE">
      <w:pPr>
        <w:pStyle w:val="TextoNormal"/>
      </w:pPr>
      <w:r>
        <w:t>j</w:t>
      </w:r>
      <w:r w:rsidRPr="003754FE">
        <w:rPr>
          <w:i/>
        </w:rPr>
        <w:t>) Artículo 38. Optimización del uso de plantas con capacidad instalada superior a la capacidad de acce</w:t>
      </w:r>
      <w:r>
        <w:t>so</w:t>
      </w:r>
    </w:p>
    <w:p w14:paraId="1121B67B" w14:textId="77777777" w:rsidR="003754FE" w:rsidRDefault="003754FE" w:rsidP="003754FE">
      <w:pPr>
        <w:pStyle w:val="TextoNormal"/>
      </w:pPr>
    </w:p>
    <w:p w14:paraId="6ADB6A72" w14:textId="77777777" w:rsidR="003754FE" w:rsidRDefault="003754FE" w:rsidP="003754FE">
      <w:pPr>
        <w:pStyle w:val="TextoNormal"/>
      </w:pPr>
      <w:r>
        <w:t>Denuncia el abogado del Estado que este artículo vulnera también la regulación del autoconsumo establecida en el art. 9 LSE que señala que la energía producida por las instalaciones de producción conectadas a las redes de distribución y transporte solo pueden tener dos únicos usos: el autoconsumo y la venta de excedentes no autoconsumidos en el mercado a través de los cauces establecidos. Por lo que el precepto solo resultaría conforme a la legislación estatal en la medida en que la interpretación de consumo de cercanía estuviera asimilada al autoconsumo tal y como se regula en la legislación estatal, en conexión con la impugnación del art. 4.</w:t>
      </w:r>
    </w:p>
    <w:p w14:paraId="622C0303" w14:textId="77777777" w:rsidR="003754FE" w:rsidRDefault="003754FE" w:rsidP="003754FE">
      <w:pPr>
        <w:pStyle w:val="TextoNormal"/>
      </w:pPr>
    </w:p>
    <w:p w14:paraId="52B9EB6A" w14:textId="77777777" w:rsidR="003754FE" w:rsidRDefault="003754FE" w:rsidP="003754FE">
      <w:pPr>
        <w:pStyle w:val="TextoNormal"/>
      </w:pPr>
      <w:r>
        <w:t xml:space="preserve">Incluso señala que si se asimilara el concepto de “consumo eléctrico de cercanía” del Decreto-ley aragonés, al de autoconsumo regulado en la legislación del Estado, estaríamos ante un supuesto de </w:t>
      </w:r>
      <w:r w:rsidRPr="003754FE">
        <w:rPr>
          <w:i/>
        </w:rPr>
        <w:t>lex repetita</w:t>
      </w:r>
      <w:r>
        <w:t>, estando vedado a la Comunidad Autónoma reproducir, aun de manera exacta, la regulación dictada por el Estado en ejercicio de sus competencias exclusivas.</w:t>
      </w:r>
    </w:p>
    <w:p w14:paraId="44A2EEBA" w14:textId="77777777" w:rsidR="003754FE" w:rsidRDefault="003754FE" w:rsidP="003754FE">
      <w:pPr>
        <w:pStyle w:val="TextoNormal"/>
      </w:pPr>
    </w:p>
    <w:p w14:paraId="44A75951" w14:textId="77777777" w:rsidR="003754FE" w:rsidRDefault="003754FE" w:rsidP="003754FE">
      <w:pPr>
        <w:pStyle w:val="TextoNormal"/>
      </w:pPr>
      <w:r>
        <w:t>k</w:t>
      </w:r>
      <w:r w:rsidRPr="003754FE">
        <w:rPr>
          <w:i/>
        </w:rPr>
        <w:t>) Artículo 39. Autoconsumo sin excedentes desde plantas con capacidad superior a la capacidad de acce</w:t>
      </w:r>
      <w:r>
        <w:t>so</w:t>
      </w:r>
    </w:p>
    <w:p w14:paraId="026E5C6A" w14:textId="77777777" w:rsidR="003754FE" w:rsidRDefault="003754FE" w:rsidP="003754FE">
      <w:pPr>
        <w:pStyle w:val="TextoNormal"/>
      </w:pPr>
    </w:p>
    <w:p w14:paraId="49F43A2B" w14:textId="77777777" w:rsidR="003754FE" w:rsidRDefault="003754FE" w:rsidP="003754FE">
      <w:pPr>
        <w:pStyle w:val="TextoNormal"/>
      </w:pPr>
      <w:r>
        <w:t>En relación con el art. 39, que regula el autoconsumo sin excedentes desde plantas con capacidad superior a la capacidad de acceso, explica el abogado del Estado que este precepto, al disponer que se podrá suministrar mediante línea directa electricidad a varios consumidores, resulta contrario a los arts. 42 y 39.3 LSE, como ya se expuso en relación con el art. 5 también impugnado. Los arts. 42 y 39.3 LSE prevén que las líneas directas solo pueden conectar a un productor con un consumidor y que toda instalación que suministre electricidad a más de un consumidor tiene la consideración de red de distribución y debe ser cedida a la empresa distribuidora de la zona, quedando abierta a su uso por terceros.</w:t>
      </w:r>
    </w:p>
    <w:p w14:paraId="7288D88A" w14:textId="77777777" w:rsidR="003754FE" w:rsidRDefault="003754FE" w:rsidP="003754FE">
      <w:pPr>
        <w:pStyle w:val="TextoNormal"/>
      </w:pPr>
    </w:p>
    <w:p w14:paraId="43C13BFE" w14:textId="77777777" w:rsidR="003754FE" w:rsidRDefault="003754FE" w:rsidP="003754FE">
      <w:pPr>
        <w:pStyle w:val="TextoNormal"/>
      </w:pPr>
      <w:r>
        <w:t>Igualmente señala que, de acuerdo con la normativa básica estatal [art. 4.1 a) del Real Decreto 244/2019, de 5 de abril, por el que se regulan las condiciones administrativas, técnicas y económicas del autoconsumo de energía eléctrica], el autoconsumo sin excedentes nunca vierte a la red por ninguna de las centrales que haya en el interior por lo que no cabe hablar de evacuación a través del punto de conexión, afirmando que se trata de un aspecto crítico desde el punto de vista de la seguridad de los operarios de las redes de transporte y distribución.</w:t>
      </w:r>
    </w:p>
    <w:p w14:paraId="68E09E3E" w14:textId="77777777" w:rsidR="003754FE" w:rsidRDefault="003754FE" w:rsidP="003754FE">
      <w:pPr>
        <w:pStyle w:val="TextoNormal"/>
      </w:pPr>
    </w:p>
    <w:p w14:paraId="5112074E" w14:textId="77777777" w:rsidR="003754FE" w:rsidRDefault="003754FE" w:rsidP="003754FE">
      <w:pPr>
        <w:pStyle w:val="TextoNormal"/>
      </w:pPr>
      <w:r>
        <w:t xml:space="preserve">También contraviene los arts. 7.1 b) del Real Decreto 244/2019, de 5 de abril, por el que se regulan las condiciones administrativas, técnicas y económicas del autoconsumo de energía eléctrica, y 17.1 a) del Real Decreto 1183/2020, de 29 de diciembre, de acceso y conexión a las redes de transporte y distribución de energía eléctrica, y la disposición adicional </w:t>
      </w:r>
      <w:r>
        <w:lastRenderedPageBreak/>
        <w:t>segunda del Real Decreto-ley 15/2018, de 5 de octubre, de medidas urgentes para la transición energética y la protección de los consumidores, que establece la exención de permisos de accesos y conexión para el autoconsumo sin excedentes.</w:t>
      </w:r>
    </w:p>
    <w:p w14:paraId="4978523D" w14:textId="77777777" w:rsidR="003754FE" w:rsidRDefault="003754FE" w:rsidP="003754FE">
      <w:pPr>
        <w:pStyle w:val="TextoNormal"/>
      </w:pPr>
    </w:p>
    <w:p w14:paraId="6971ED41" w14:textId="77777777" w:rsidR="003754FE" w:rsidRDefault="003754FE" w:rsidP="003754FE">
      <w:pPr>
        <w:pStyle w:val="TextoNormal"/>
      </w:pPr>
      <w:r>
        <w:t>l</w:t>
      </w:r>
      <w:r w:rsidRPr="003754FE">
        <w:rPr>
          <w:i/>
        </w:rPr>
        <w:t>) Artículo 40, apartados 2 y 3. Autorización de infraestructuras complementari</w:t>
      </w:r>
      <w:r>
        <w:t>as</w:t>
      </w:r>
    </w:p>
    <w:p w14:paraId="0ACC4E68" w14:textId="77777777" w:rsidR="003754FE" w:rsidRDefault="003754FE" w:rsidP="003754FE">
      <w:pPr>
        <w:pStyle w:val="TextoNormal"/>
      </w:pPr>
    </w:p>
    <w:p w14:paraId="6D357CCB" w14:textId="77777777" w:rsidR="003754FE" w:rsidRDefault="003754FE" w:rsidP="003754FE">
      <w:pPr>
        <w:pStyle w:val="TextoNormal"/>
      </w:pPr>
      <w:r>
        <w:t>Respecto al art. 40, apartados 2 y 3, señala el abogado del Estado que infraestructuras complementarias es un concepto que no tiene cabida en la Ley del sector eléctrico, que no las contempla, y tampoco identifica el sujeto titular de los previstos en el art. 6 LSE, ni el régimen de autorización que le aplica.</w:t>
      </w:r>
    </w:p>
    <w:p w14:paraId="2A4F8371" w14:textId="77777777" w:rsidR="003754FE" w:rsidRDefault="003754FE" w:rsidP="003754FE">
      <w:pPr>
        <w:pStyle w:val="TextoNormal"/>
      </w:pPr>
    </w:p>
    <w:p w14:paraId="37A58DDD" w14:textId="77777777" w:rsidR="003754FE" w:rsidRDefault="003754FE" w:rsidP="003754FE">
      <w:pPr>
        <w:pStyle w:val="TextoNormal"/>
      </w:pPr>
      <w:r>
        <w:t>También se vulnera el régimen de las líneas directas establecido en el art. 42 LSE que exige que productor y consumidor sean de la misma empresa o grupo de empresas, siempre que no se trate de energías renovables.</w:t>
      </w:r>
    </w:p>
    <w:p w14:paraId="6B4A630D" w14:textId="77777777" w:rsidR="003754FE" w:rsidRDefault="003754FE" w:rsidP="003754FE">
      <w:pPr>
        <w:pStyle w:val="TextoNormal"/>
      </w:pPr>
    </w:p>
    <w:p w14:paraId="44B2465B" w14:textId="77777777" w:rsidR="003754FE" w:rsidRDefault="003754FE" w:rsidP="003754FE">
      <w:pPr>
        <w:pStyle w:val="TextoNormal"/>
      </w:pPr>
      <w:r>
        <w:t>Finalmente, aduce que el precepto también induce a confusión porque si el autoconsumo es sin excedentes [arts. 9 LSE y 7.1 b) del Real Decreto 244/2019] no puede existir vertido instantáneo y no pueden darse permisos de acceso.</w:t>
      </w:r>
    </w:p>
    <w:p w14:paraId="2C782D39" w14:textId="77777777" w:rsidR="003754FE" w:rsidRDefault="003754FE" w:rsidP="003754FE">
      <w:pPr>
        <w:pStyle w:val="TextoNormal"/>
      </w:pPr>
    </w:p>
    <w:p w14:paraId="55B53122" w14:textId="77777777" w:rsidR="003754FE" w:rsidRDefault="003754FE" w:rsidP="003754FE">
      <w:pPr>
        <w:pStyle w:val="TextoNormal"/>
      </w:pPr>
      <w:r>
        <w:t>m</w:t>
      </w:r>
      <w:r w:rsidRPr="003754FE">
        <w:rPr>
          <w:i/>
        </w:rPr>
        <w:t>) Artículo 59. Gestión y agregación de deman</w:t>
      </w:r>
      <w:r>
        <w:t>da</w:t>
      </w:r>
    </w:p>
    <w:p w14:paraId="3BE3F63B" w14:textId="77777777" w:rsidR="003754FE" w:rsidRDefault="003754FE" w:rsidP="003754FE">
      <w:pPr>
        <w:pStyle w:val="TextoNormal"/>
      </w:pPr>
    </w:p>
    <w:p w14:paraId="13D7D02C" w14:textId="77777777" w:rsidR="003754FE" w:rsidRDefault="003754FE" w:rsidP="003754FE">
      <w:pPr>
        <w:pStyle w:val="TextoNormal"/>
      </w:pPr>
      <w:r>
        <w:t>En relación con el art. 59, que regula la gestión y agregación de la demanda, explica que el art. 17 de la Directiva 2019/944 determina que es potestad de los Estados miembros definir el modelo de agregación a implantar en cada país, en función de los criterios y orientaciones de política energética que se establezcan en cada momento.</w:t>
      </w:r>
    </w:p>
    <w:p w14:paraId="68BD9E98" w14:textId="77777777" w:rsidR="003754FE" w:rsidRDefault="003754FE" w:rsidP="003754FE">
      <w:pPr>
        <w:pStyle w:val="TextoNormal"/>
      </w:pPr>
    </w:p>
    <w:p w14:paraId="3F3F05FE" w14:textId="77777777" w:rsidR="003754FE" w:rsidRDefault="003754FE" w:rsidP="003754FE">
      <w:pPr>
        <w:pStyle w:val="TextoNormal"/>
      </w:pPr>
      <w:r>
        <w:t>En este sentido las comunidades autónomas no ostentan competencias para decidir el modelo de agregación de forma territorial, dado que la definición de los aspectos básicos correspondientes al sistema de agregación de la demanda, en tanto que se sitúa en el ámbito de la ordenación básica de los sujetos participantes en las actividades de suministro de electricidad y de la regulación del régimen económico del sector eléctrico, es competencia exclusiva del Estado (art. 149.1.13 y 25 CE).</w:t>
      </w:r>
    </w:p>
    <w:p w14:paraId="730E1502" w14:textId="77777777" w:rsidR="003754FE" w:rsidRDefault="003754FE" w:rsidP="003754FE">
      <w:pPr>
        <w:pStyle w:val="TextoNormal"/>
      </w:pPr>
    </w:p>
    <w:p w14:paraId="736F25DF" w14:textId="77777777" w:rsidR="003754FE" w:rsidRDefault="003754FE" w:rsidP="003754FE">
      <w:pPr>
        <w:pStyle w:val="TextoNormal"/>
      </w:pPr>
      <w:r>
        <w:t>Apuntan también que este art. 59 presenta una unidad de sentido e identidad de razón con el art. 4, también impugnado, siendo por las mismas razones inconstitucional, por atender al fin de sustraer el suministro de electricidad de la red única.</w:t>
      </w:r>
    </w:p>
    <w:p w14:paraId="2B910E7C" w14:textId="77777777" w:rsidR="003754FE" w:rsidRDefault="003754FE" w:rsidP="003754FE">
      <w:pPr>
        <w:pStyle w:val="TextoNormal"/>
      </w:pPr>
    </w:p>
    <w:p w14:paraId="5A0E9957" w14:textId="77777777" w:rsidR="003754FE" w:rsidRDefault="003754FE" w:rsidP="003754FE">
      <w:pPr>
        <w:pStyle w:val="TextoNormal"/>
      </w:pPr>
      <w:r>
        <w:t>n</w:t>
      </w:r>
      <w:r w:rsidRPr="003754FE">
        <w:rPr>
          <w:i/>
        </w:rPr>
        <w:t>) Disposición adicional cuarta. Autorización de aumentos de potencia instalada o de hibridaci</w:t>
      </w:r>
      <w:r>
        <w:t>ón</w:t>
      </w:r>
    </w:p>
    <w:p w14:paraId="6FC7B1E4" w14:textId="77777777" w:rsidR="003754FE" w:rsidRDefault="003754FE" w:rsidP="003754FE">
      <w:pPr>
        <w:pStyle w:val="TextoNormal"/>
      </w:pPr>
    </w:p>
    <w:p w14:paraId="6C9940E4" w14:textId="77777777" w:rsidR="003754FE" w:rsidRDefault="003754FE" w:rsidP="003754FE">
      <w:pPr>
        <w:pStyle w:val="TextoNormal"/>
      </w:pPr>
      <w:r>
        <w:t>Entiende el abogado del Estado que esta regulación es incompatible con la regulación estatal al modificar el reparto competencial establecido en la Ley del sector eléctrico relativo al régimen de autorizaciones entre la Administración General del Estado y las comunidades autónomas que se realiza a través del término potencia.</w:t>
      </w:r>
    </w:p>
    <w:p w14:paraId="1F65FA49" w14:textId="77777777" w:rsidR="003754FE" w:rsidRDefault="003754FE" w:rsidP="003754FE">
      <w:pPr>
        <w:pStyle w:val="TextoNormal"/>
      </w:pPr>
    </w:p>
    <w:p w14:paraId="310F5DFD" w14:textId="77777777" w:rsidR="003754FE" w:rsidRDefault="003754FE" w:rsidP="003754FE">
      <w:pPr>
        <w:pStyle w:val="TextoNormal"/>
      </w:pPr>
      <w:r>
        <w:t xml:space="preserve">(i) Por un lado, y con arreglo a los arts. 3.13 a) LSE y 35.1 a) (i) del Real Decreto 413/2014, de 6 de junio, por el que se regula la actividad de producción de energía eléctrica a partir de fuentes de energía renovables, cogeneración y residuos, corresponde a la </w:t>
      </w:r>
      <w:r>
        <w:lastRenderedPageBreak/>
        <w:t>Administración General del Estado la autorización administrativa para la puesta en funcionamiento de determinadas instalaciones eléctricas atendiendo a criterios técnicos respecto de instalaciones de potencia eléctrica instalada superior a 50 MW eléctricos.</w:t>
      </w:r>
    </w:p>
    <w:p w14:paraId="4290B297" w14:textId="77777777" w:rsidR="003754FE" w:rsidRDefault="003754FE" w:rsidP="003754FE">
      <w:pPr>
        <w:pStyle w:val="TextoNormal"/>
      </w:pPr>
    </w:p>
    <w:p w14:paraId="45A2B785" w14:textId="77777777" w:rsidR="003754FE" w:rsidRDefault="003754FE" w:rsidP="003754FE">
      <w:pPr>
        <w:pStyle w:val="TextoNormal"/>
      </w:pPr>
      <w:r>
        <w:t>Explica que son razones de índole técnico las que fundamentan que el criterio potencia superior a 50 MW permite un aprovechamiento extracomunitario, optimizando la red y minimizando el coste para los consumidores. Estas instalaciones son aptas para el transporte de energía eléctrica a grandes distancias y, por tanto, entre comunidades autónomas.</w:t>
      </w:r>
    </w:p>
    <w:p w14:paraId="2B00E1C6" w14:textId="77777777" w:rsidR="003754FE" w:rsidRDefault="003754FE" w:rsidP="003754FE">
      <w:pPr>
        <w:pStyle w:val="TextoNormal"/>
      </w:pPr>
    </w:p>
    <w:p w14:paraId="363D7B1B" w14:textId="77777777" w:rsidR="003754FE" w:rsidRDefault="003754FE" w:rsidP="003754FE">
      <w:pPr>
        <w:pStyle w:val="TextoNormal"/>
      </w:pPr>
      <w:r>
        <w:t>(ii) Por otro lado, en cuanto a la hibridación, señala que el Real Decreto-ley 23/2020, de 23 de junio, por el que se aprueban medidas en materia de energía y en otros ámbitos para la reactivación económica, ha establecido la posibilidad de realizar proyectos de hibridación de las instalaciones de generación existentes utilizando el mismo punto de conexión y la capacidad de acceso ya concedida. Y también de acuerdo con lo previsto en el art. 33.12 de la Ley 24/2013, de 26 de diciembre, del sector eléctrico, siempre que la nueva instalación cumpla los requisitos técnicos que le sean de aplicación.</w:t>
      </w:r>
    </w:p>
    <w:p w14:paraId="32B46675" w14:textId="77777777" w:rsidR="003754FE" w:rsidRDefault="003754FE" w:rsidP="003754FE">
      <w:pPr>
        <w:pStyle w:val="TextoNormal"/>
      </w:pPr>
    </w:p>
    <w:p w14:paraId="2EF377DD" w14:textId="77777777" w:rsidR="003754FE" w:rsidRDefault="003754FE" w:rsidP="003754FE">
      <w:pPr>
        <w:pStyle w:val="TextoNormal"/>
      </w:pPr>
      <w:r>
        <w:t>En este caso, los titulares de dichos permisos ya concedidos deberán solicitar al gestor de la red pertinente la actualización de los permisos de acceso y de conexión. Y, de acuerdo con la normativa estatal, para determinar la competencia para autorizar la instalación que hibridará la instalación ya autorizada deben sumarse las potencias instaladas de todos los módulos de generación de electricidad y/o instalaciones de almacenamiento que componen la instalación hibridada.</w:t>
      </w:r>
    </w:p>
    <w:p w14:paraId="31C92D9C" w14:textId="77777777" w:rsidR="003754FE" w:rsidRDefault="003754FE" w:rsidP="003754FE">
      <w:pPr>
        <w:pStyle w:val="TextoNormal"/>
      </w:pPr>
    </w:p>
    <w:p w14:paraId="6B95F85D" w14:textId="77777777" w:rsidR="003754FE" w:rsidRDefault="003754FE" w:rsidP="003754FE">
      <w:pPr>
        <w:pStyle w:val="TextoNormal"/>
      </w:pPr>
      <w:r>
        <w:t>(iii) Es decir, para determinar el órgano competente deben sumarse las potencias instaladas de todos los módulos de generación de electricidad y/o instalaciones de almacenamiento que componen la instalación hibridada. Y no será en todo caso el mismo órgano que otorgó la autorización de la instalación en funcionamiento, que es lo que regula el Decreto-ley impugnado.</w:t>
      </w:r>
    </w:p>
    <w:p w14:paraId="2A649CA5" w14:textId="77777777" w:rsidR="003754FE" w:rsidRDefault="003754FE" w:rsidP="003754FE">
      <w:pPr>
        <w:pStyle w:val="TextoNormal"/>
      </w:pPr>
    </w:p>
    <w:p w14:paraId="7C8C12D4" w14:textId="77777777" w:rsidR="003754FE" w:rsidRDefault="003754FE" w:rsidP="003754FE">
      <w:pPr>
        <w:pStyle w:val="TextoNormal"/>
      </w:pPr>
      <w:r>
        <w:t>ñ</w:t>
      </w:r>
      <w:r w:rsidRPr="003754FE">
        <w:rPr>
          <w:i/>
        </w:rPr>
        <w:t>) Disposición adicional quinta. Modificación de líneas de evacuaci</w:t>
      </w:r>
      <w:r>
        <w:t>ón</w:t>
      </w:r>
    </w:p>
    <w:p w14:paraId="41A9DFC7" w14:textId="77777777" w:rsidR="003754FE" w:rsidRDefault="003754FE" w:rsidP="003754FE">
      <w:pPr>
        <w:pStyle w:val="TextoNormal"/>
      </w:pPr>
    </w:p>
    <w:p w14:paraId="6065147B" w14:textId="77777777" w:rsidR="003754FE" w:rsidRDefault="003754FE" w:rsidP="003754FE">
      <w:pPr>
        <w:pStyle w:val="TextoNormal"/>
      </w:pPr>
      <w:r>
        <w:t xml:space="preserve">En lo que concierne a la disposición adicional quinta, modificación de líneas de evacuación, el abogado del Estado sostiene que esta disposición entra en conflicto con la normativa estatal porque al prever la posibilidad de que varios consumidores finales se conecten a la “línea de evacuación” lo convierte </w:t>
      </w:r>
      <w:r w:rsidRPr="003754FE">
        <w:rPr>
          <w:i/>
        </w:rPr>
        <w:t>ope legis</w:t>
      </w:r>
      <w:r>
        <w:t xml:space="preserve"> en “red de distribución” sin seguir los procedimientos establecidos en la legislación estatal y sin que, por tanto, se asegure los requisitos de seguridad y calidad de suministro que para estas se prevé en la legislación estatal.</w:t>
      </w:r>
    </w:p>
    <w:p w14:paraId="563D579E" w14:textId="77777777" w:rsidR="003754FE" w:rsidRDefault="003754FE" w:rsidP="003754FE">
      <w:pPr>
        <w:pStyle w:val="TextoNormal"/>
      </w:pPr>
    </w:p>
    <w:p w14:paraId="7535C5B8" w14:textId="77777777" w:rsidR="003754FE" w:rsidRDefault="003754FE" w:rsidP="003754FE">
      <w:pPr>
        <w:pStyle w:val="TextoNormal"/>
      </w:pPr>
      <w:r>
        <w:t>Así, de acuerdo con el art. 39.2 LSE todas las instalaciones destinadas a más de un consumidor tendrán la consideración de red de distribución.</w:t>
      </w:r>
    </w:p>
    <w:p w14:paraId="339CEE3A" w14:textId="77777777" w:rsidR="003754FE" w:rsidRDefault="003754FE" w:rsidP="003754FE">
      <w:pPr>
        <w:pStyle w:val="TextoNormal"/>
      </w:pPr>
    </w:p>
    <w:p w14:paraId="6498DA3C" w14:textId="77777777" w:rsidR="003754FE" w:rsidRDefault="003754FE" w:rsidP="003754FE">
      <w:pPr>
        <w:pStyle w:val="TextoNormal"/>
      </w:pPr>
      <w:r>
        <w:t xml:space="preserve">El abogado del Estado discrepa del informe del Consejo de Estado que se refiere a la norma aragonesa, porque el Real Decreto 1183/2020 en el que se apoya el dictamen del Consejo de Estado se refiere a la “posibilidad del uso compartido de líneas de evacuación” para el “vertido de energía a la red de transporte procedente de distintas instalaciones de generación”, pero no para la “conexión de consumos y por lo tanto su conversión en redes de distribución”. El carácter compartido, afirma, está prohibido en la legislación estatal </w:t>
      </w:r>
      <w:r>
        <w:lastRenderedPageBreak/>
        <w:t>básica: el art. 39.2 LSE obliga a que cuando hay varios consumidores conectados a una línea tengan la calificación jurídica de red de distribución y sean obligatoriamente cedidas al distribuidor de la zona, pero no como opción del generador o los consumidores que comparten esa red, ni como petición de los mismos como prevé la norma aragonesa, sino como una forma de garantizar las condiciones de seguridad y calidad del suministro ante una situación irregular y no deseada ni deseable por el legislador estatal.</w:t>
      </w:r>
    </w:p>
    <w:p w14:paraId="2FECEA99" w14:textId="77777777" w:rsidR="003754FE" w:rsidRDefault="003754FE" w:rsidP="003754FE">
      <w:pPr>
        <w:pStyle w:val="TextoNormal"/>
      </w:pPr>
    </w:p>
    <w:p w14:paraId="7DBD5C75" w14:textId="77777777" w:rsidR="003754FE" w:rsidRDefault="003754FE" w:rsidP="003754FE">
      <w:pPr>
        <w:pStyle w:val="TextoNormal"/>
      </w:pPr>
      <w:r>
        <w:t>Este cambio en la calificación jurídica de la infraestructura eléctrica tiene repercusiones en el cambio de financiación de la línea, que pasa de corresponder al titular de la infraestructura de generación a atribuirse al sistema de peajes que financia las redes de distribución. Ello supone primar los intereses de unos consumidores, los interesados en conectarse a dicha línea de evacuación (en lugar de solicitar un permiso de acceso y conexión a la red) por encima del resto de consumidores que deberán sufragar con sus peajes los costes de la línea de evacuación, que pasará a ser de distribución a partir de ese momento.</w:t>
      </w:r>
    </w:p>
    <w:p w14:paraId="26F781B7" w14:textId="77777777" w:rsidR="003754FE" w:rsidRDefault="003754FE" w:rsidP="003754FE">
      <w:pPr>
        <w:pStyle w:val="TextoNormal"/>
      </w:pPr>
    </w:p>
    <w:p w14:paraId="0090FD6B" w14:textId="77777777" w:rsidR="003754FE" w:rsidRDefault="003754FE" w:rsidP="003754FE">
      <w:pPr>
        <w:pStyle w:val="TextoNormal"/>
      </w:pPr>
      <w:r>
        <w:t xml:space="preserve">o) </w:t>
      </w:r>
      <w:r w:rsidRPr="003754FE">
        <w:rPr>
          <w:i/>
        </w:rPr>
        <w:t>Disposición transitoria tercera. Aplicación de hitos previstos en el Real Decreto-ley 23/2020, de 23 de junio, por el que se aprueban medidas en materia de energía y en otros ámbitos para la reactivación económica</w:t>
      </w:r>
    </w:p>
    <w:p w14:paraId="784B1CF8" w14:textId="77777777" w:rsidR="003754FE" w:rsidRDefault="003754FE" w:rsidP="003754FE">
      <w:pPr>
        <w:pStyle w:val="TextoNormal"/>
      </w:pPr>
    </w:p>
    <w:p w14:paraId="71F50A23" w14:textId="10B5E362" w:rsidR="003754FE" w:rsidRDefault="003754FE" w:rsidP="003754FE">
      <w:pPr>
        <w:pStyle w:val="TextoNormal"/>
      </w:pPr>
      <w:r>
        <w:t>El abogado del Estado considera la regulación de la disposición transitoria tercera incompatible con la regulación estatal, dado que el art.1 del Real Decreto-ley 23/2020 ha establecido una serie de criterios, incluyendo el cumplimiento de hitos, para el acceso y conexión a las redes de transporte y distribución de electricidad, que han de ser acreditados por los titulares de permisos de acceso para instalaciones de generación de energía eléctrica. Conforme a la disposición final quinta, este real decreto-ley es de carácter básico para todas las administraciones públicas. Y la omisión de los hitos temporales previstos en la normativa básica estatal implica una vulneración mediata de las competencias estatales, con independencia de que el cumplimiento material pueda llegar a producirse. Esta vulneración termina por afectar también a la unidad del mercado eléctrico y a la igualdad de todos los españoles en el acceso al mismo (arts. 139 y 14 CE).</w:t>
      </w:r>
    </w:p>
    <w:p w14:paraId="4C25FFE4" w14:textId="77777777" w:rsidR="003754FE" w:rsidRDefault="003754FE" w:rsidP="003754FE">
      <w:pPr>
        <w:pStyle w:val="TextoNormal"/>
      </w:pPr>
    </w:p>
    <w:p w14:paraId="0D3604F2" w14:textId="550957F9" w:rsidR="003754FE" w:rsidRDefault="003754FE" w:rsidP="003754FE">
      <w:pPr>
        <w:pStyle w:val="TextoNormal"/>
      </w:pPr>
      <w:r w:rsidRPr="003754FE">
        <w:rPr>
          <w:rStyle w:val="NumeroAFNegritaCaracter"/>
        </w:rPr>
        <w:t>2</w:t>
      </w:r>
      <w:r>
        <w:t>. Por providencia de 30 de enero de 2024 el Pleno del Tribunal Constitucional, a propuesta de la Sección Tercera,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 las Cortes de Aragón y al Gobierno de Aragón, por conducto de sus presidentes, al objeto de que, en el plazo de quince días, pudieran personarse en el proceso y formular las alegaciones que estimaren convenientes; tener por invocado por el presidente del Gobierno el art. 161.2 de la Constitución, lo que, a su tenor y conforme dispone el art. 30 LOTC, produce la suspensión de la vigencia y aplicación de los preceptos impugnados, desde la fecha de interposición del recurso —21 de diciembre de 2023— para las partes del proceso y desde el día en que aparezca publicada la suspensión en el “Boletín Oficial del Estado” para los terceros, lo que se comunicará a los presidentes de los citados órganos autonómicos, así como publicar la incoación del recurso en el “Boletín Oficial del Estado” y en el “Boletín Oficial de Aragón”.</w:t>
      </w:r>
    </w:p>
    <w:p w14:paraId="05061948" w14:textId="77777777" w:rsidR="003754FE" w:rsidRDefault="003754FE" w:rsidP="003754FE">
      <w:pPr>
        <w:pStyle w:val="TextoNormal"/>
      </w:pPr>
    </w:p>
    <w:p w14:paraId="06357CA7" w14:textId="70215FCE" w:rsidR="003754FE" w:rsidRDefault="003754FE" w:rsidP="003754FE">
      <w:pPr>
        <w:pStyle w:val="TextoNormal"/>
      </w:pPr>
      <w:r w:rsidRPr="003754FE">
        <w:rPr>
          <w:rStyle w:val="NumeroAFNegritaCaracter"/>
        </w:rPr>
        <w:t>3</w:t>
      </w:r>
      <w:r>
        <w:t xml:space="preserve">. Mediante escrito registrado en este tribunal el 8 de febrero de 2024, la representación procesal del Gobierno de Aragón comparece en el proceso y solicita se le conceda prórroga </w:t>
      </w:r>
      <w:r>
        <w:lastRenderedPageBreak/>
        <w:t>del plazo para formular alegaciones. Por diligencia de ordenación de la secretaría de justicia del Pleno de 8 de febrero de 2024 se le prorrogó en ocho días el plazo de alegaciones inicialmente conferido, a contar desde el día siguiente al de expiración del ordinario.</w:t>
      </w:r>
    </w:p>
    <w:p w14:paraId="06B1E1F5" w14:textId="77777777" w:rsidR="003754FE" w:rsidRDefault="003754FE" w:rsidP="003754FE">
      <w:pPr>
        <w:pStyle w:val="TextoNormal"/>
      </w:pPr>
    </w:p>
    <w:p w14:paraId="48782A1E" w14:textId="79147CFB" w:rsidR="003754FE" w:rsidRDefault="003754FE" w:rsidP="003754FE">
      <w:pPr>
        <w:pStyle w:val="TextoNormal"/>
      </w:pPr>
      <w:r w:rsidRPr="003754FE">
        <w:rPr>
          <w:rStyle w:val="NumeroAFNegritaCaracter"/>
        </w:rPr>
        <w:t>4</w:t>
      </w:r>
      <w:r>
        <w:t>. Por escrito registrado en este tribunal el 9 de febrero de 2024, la presidenta del Congreso de los Diputados comunica el acuerdo de la mesa de la Cámara en el sentido de personarse en el proceso, ofreciendo su colaboración a los efectos del art. 88.1 LOTC.</w:t>
      </w:r>
    </w:p>
    <w:p w14:paraId="340C511C" w14:textId="77777777" w:rsidR="003754FE" w:rsidRDefault="003754FE" w:rsidP="003754FE">
      <w:pPr>
        <w:pStyle w:val="TextoNormal"/>
      </w:pPr>
    </w:p>
    <w:p w14:paraId="5B79A587" w14:textId="64D0232D" w:rsidR="003754FE" w:rsidRDefault="003754FE" w:rsidP="003754FE">
      <w:pPr>
        <w:pStyle w:val="TextoNormal"/>
      </w:pPr>
      <w:r w:rsidRPr="003754FE">
        <w:rPr>
          <w:rStyle w:val="NumeroAFNegritaCaracter"/>
        </w:rPr>
        <w:t>5</w:t>
      </w:r>
      <w:r>
        <w:t>. El presidente del Senado, por escrito registrado en este tribunal el 15 de febrero de 2024, comunica el acuerdo de la mesa de la Cámara en el sentido de personarse en el proceso, ofreciendo su colaboración a los efectos del art. 88.1 LOTC.</w:t>
      </w:r>
    </w:p>
    <w:p w14:paraId="4CAAC091" w14:textId="77777777" w:rsidR="003754FE" w:rsidRDefault="003754FE" w:rsidP="003754FE">
      <w:pPr>
        <w:pStyle w:val="TextoNormal"/>
      </w:pPr>
    </w:p>
    <w:p w14:paraId="1D6FFB7C" w14:textId="2C06B7B6" w:rsidR="003754FE" w:rsidRDefault="003754FE" w:rsidP="003754FE">
      <w:pPr>
        <w:pStyle w:val="TextoNormal"/>
      </w:pPr>
      <w:r w:rsidRPr="003754FE">
        <w:rPr>
          <w:rStyle w:val="NumeroAFNegritaCaracter"/>
        </w:rPr>
        <w:t>6</w:t>
      </w:r>
      <w:r>
        <w:t>. Mediante escrito registrado el día 21 de febrero de 2024, la letrada de las Cortes de Aragón comparece en el proceso y solicita se le conceda prórroga del plazo para formular alegaciones. Por diligencia de ordenación de la secretaría de justicia del Pleno de 22 de febrero de 2024 se le prorrogó en ocho días el plazo de alegaciones inicialmente conferido, a contar desde el día siguiente al de expiración del ordinario.</w:t>
      </w:r>
    </w:p>
    <w:p w14:paraId="794A2281" w14:textId="77777777" w:rsidR="003754FE" w:rsidRDefault="003754FE" w:rsidP="003754FE">
      <w:pPr>
        <w:pStyle w:val="TextoNormal"/>
      </w:pPr>
    </w:p>
    <w:p w14:paraId="5F00296D" w14:textId="77777777" w:rsidR="003754FE" w:rsidRDefault="003754FE" w:rsidP="003754FE">
      <w:pPr>
        <w:pStyle w:val="TextoNormal"/>
      </w:pPr>
      <w:r w:rsidRPr="003754FE">
        <w:rPr>
          <w:rStyle w:val="NumeroAFNegritaCaracter"/>
        </w:rPr>
        <w:t>7</w:t>
      </w:r>
      <w:r>
        <w:t>. La letrada de las Cortes de Aragón formuló sus alegaciones mediante escrito que tuvo entrada en el registro de este tribunal el día 8 de marzo de 2024, en las que interesa la desestimación del recurso. Asimismo, solicita mediante otrosí que, al haberse decretado la suspensión de la vigencia y aplicación de los preceptos impugnados, sin necesidad de agotar el plazo de cinco meses al que hace referencia el art. 161.2 CE, se dé audiencia para formular sus alegaciones sobre la pertinencia de ratificar o levantar la suspensión de los preceptos impugnados.</w:t>
      </w:r>
    </w:p>
    <w:p w14:paraId="185B843D" w14:textId="77777777" w:rsidR="003754FE" w:rsidRDefault="003754FE" w:rsidP="003754FE">
      <w:pPr>
        <w:pStyle w:val="TextoNormal"/>
      </w:pPr>
    </w:p>
    <w:p w14:paraId="5169FEAC" w14:textId="77777777" w:rsidR="003754FE" w:rsidRDefault="003754FE" w:rsidP="003754FE">
      <w:pPr>
        <w:pStyle w:val="TextoNormal"/>
      </w:pPr>
      <w:r>
        <w:t>A) Comienza defendiendo la existencia de presupuesto habilitante del Decreto-ley 1/2023, considerando que el abogado del Estado se basa en la extracción de dos párrafos de la exposición de motivos para defender que hay una justificación meramente rituaria de urgente necesidad, cuando lo que deben analizarse son todas las circunstancias expuestas en el Decreto-ley 1/2023.</w:t>
      </w:r>
    </w:p>
    <w:p w14:paraId="6371A662" w14:textId="77777777" w:rsidR="003754FE" w:rsidRDefault="003754FE" w:rsidP="003754FE">
      <w:pPr>
        <w:pStyle w:val="TextoNormal"/>
      </w:pPr>
    </w:p>
    <w:p w14:paraId="1FF9C1A1" w14:textId="77777777" w:rsidR="003754FE" w:rsidRDefault="003754FE" w:rsidP="003754FE">
      <w:pPr>
        <w:pStyle w:val="TextoNormal"/>
      </w:pPr>
      <w:r>
        <w:t>Este tiene como base la condición de Aragón como comunidad autónoma generadora de energías renovables a un nivel muy superior al de otras comunidades de nuestro entorno, lo que requiere de modo imprescindible e inaplazable el establecimiento de un sistema normativo que dé seguridad jurídica a los operadores y se alinee con los objetivos de transición energética. A ellos se une la necesidad de combatir los problemas generados, muy especialmente, por el incremento del precio de la electricidad, señalando como causantes la pandemia mundial generada por la covid-19 y la reciente invasión de Ucrania por Rusia.</w:t>
      </w:r>
    </w:p>
    <w:p w14:paraId="6E852DDD" w14:textId="77777777" w:rsidR="003754FE" w:rsidRDefault="003754FE" w:rsidP="003754FE">
      <w:pPr>
        <w:pStyle w:val="TextoNormal"/>
      </w:pPr>
    </w:p>
    <w:p w14:paraId="0B2D68B0" w14:textId="77777777" w:rsidR="003754FE" w:rsidRDefault="003754FE" w:rsidP="003754FE">
      <w:pPr>
        <w:pStyle w:val="TextoNormal"/>
      </w:pPr>
      <w:r>
        <w:t xml:space="preserve">La exposición de motivos también hace referencia en su apartado III a la volatilidad del mercado de renovables, en el que un retraso en el establecimiento de una normativa clara para productores y consumidores puede traducirse en una pérdida irreparable de posición en un mercado de ritmo acelerado y cambiante. Y la posición de la Comunidad Autónoma como territorio adecuado para la implantación de empresas que requieren altos consumos debido a su enorme potencial en materia de energías renovables requiere medidas que no </w:t>
      </w:r>
      <w:r>
        <w:lastRenderedPageBreak/>
        <w:t>pueden esperar a momentos ulteriores, tal y como lo señala también la exposición de motivos.</w:t>
      </w:r>
    </w:p>
    <w:p w14:paraId="2C1BC5D3" w14:textId="77777777" w:rsidR="003754FE" w:rsidRDefault="003754FE" w:rsidP="003754FE">
      <w:pPr>
        <w:pStyle w:val="TextoNormal"/>
      </w:pPr>
    </w:p>
    <w:p w14:paraId="057341E7" w14:textId="77777777" w:rsidR="003754FE" w:rsidRDefault="003754FE" w:rsidP="003754FE">
      <w:pPr>
        <w:pStyle w:val="TextoNormal"/>
      </w:pPr>
      <w:r>
        <w:t>Y finalmente, como elementos justificativos de las medidas, se recogen en el apartado VII la crisis económica derivada de la emergencia sanitaria que asoló el mundo de finales de 2019 a 2022, primero, y la agresión rusa a Ucrania iniciada en febrero de 2022, después, que justifican la extraordinaria y urgente necesidad de adoptar medidas que permitan acelerar la implantación de plantas de producción de energías renovables, primero, y el consumo eléctrico de cercanía, después.</w:t>
      </w:r>
    </w:p>
    <w:p w14:paraId="605738A5" w14:textId="77777777" w:rsidR="003754FE" w:rsidRDefault="003754FE" w:rsidP="003754FE">
      <w:pPr>
        <w:pStyle w:val="TextoNormal"/>
      </w:pPr>
    </w:p>
    <w:p w14:paraId="7061A2B0" w14:textId="77777777" w:rsidR="003754FE" w:rsidRDefault="003754FE" w:rsidP="003754FE">
      <w:pPr>
        <w:pStyle w:val="TextoNormal"/>
      </w:pPr>
      <w:r>
        <w:t>A la vista de ello concluye que es clara la imprevisibilidad y relevancia de las muy diversas circunstancias expuestas, y que las previsiones del Decreto-ley no desbordan los límites de lo manifiestamente razonable ni suponen un uso abusivo o arbitrario de la potestad normativa. Se han presentado explícita y razonadamente los motivos tenidos en cuenta por el Gobierno en la aprobación del Decreto-ley y su contenido tiene conexión con las situaciones expuestas en su estructura y contenido y son medidas concretas y de eficacia inmediata.</w:t>
      </w:r>
    </w:p>
    <w:p w14:paraId="7F27714D" w14:textId="77777777" w:rsidR="003754FE" w:rsidRDefault="003754FE" w:rsidP="003754FE">
      <w:pPr>
        <w:pStyle w:val="TextoNormal"/>
      </w:pPr>
    </w:p>
    <w:p w14:paraId="7B50B91C" w14:textId="77777777" w:rsidR="003754FE" w:rsidRDefault="003754FE" w:rsidP="003754FE">
      <w:pPr>
        <w:pStyle w:val="TextoNormal"/>
      </w:pPr>
      <w:r>
        <w:t>B) A continuación expone la doctrina general de la relación entre la legislación básica y su desarrollo (tal y como resulta de las SSTC 197/1996, de 28 de noviembre, FJ 5; 132/2019, de 13 de noviembre, FJ 4, y 68/2021, de 18 de marzo, FJ 5) y más específicamente en la distribución competencial en materia energética recogida, por una parte, en los arts. 149.1.25 CE (competencia exclusiva del Estado para dictar las bases de régimen minero y energético), 149.1.13 CE (bases y coordinación de la planificación general de la actividad económica) y 149.1.22 CE (competencia estatal para la autorización de las instalaciones eléctricas cuando su aprovechamiento afecte a otra comunidad o el transporte de energía salga de su ámbito territorial) y, por otra parte, en los arts. 71.22 (competencia exclusiva en materia de normas adicionales de la legislación básica sobre protección del medio ambiente y del paisaje, que incluye la planificación de la prevención y eliminación de las distintas fuentes de contaminación, así como el desarrollo de políticas que contribuyan a mitigar el cambio climático), 75.3 (competencia compartida en protección del medio ambiente), 75.4 (competencia compartida en materia de energía) y 99.2 (competencias de naturaleza económica)del Estatuto de Autonomía de Aragón.</w:t>
      </w:r>
    </w:p>
    <w:p w14:paraId="6F88E1F2" w14:textId="77777777" w:rsidR="003754FE" w:rsidRDefault="003754FE" w:rsidP="003754FE">
      <w:pPr>
        <w:pStyle w:val="TextoNormal"/>
      </w:pPr>
    </w:p>
    <w:p w14:paraId="23083006" w14:textId="77777777" w:rsidR="003754FE" w:rsidRDefault="003754FE" w:rsidP="003754FE">
      <w:pPr>
        <w:pStyle w:val="TextoNormal"/>
      </w:pPr>
      <w:r>
        <w:t>Y tras recordar la doctrina recogida en las sentencias dictadas por este tribunal, señala también la especial relevancia que en esta materia tiene la incidencia de la normativa comunitaria, recordando que conforme a la STC 74/2021, de 18 de marzo, FJ 3, la regulación de una materia por normativa comunitaria no ampara la alteración del reparto competencial que establece la Constitución o la extensión de las bases con este argumento, aunque tenga un valor interpretativo de tales competencias (SSTC 102/1995, de 26 de junio, y 33/2005, de 17 de febrero). Por lo tanto, el Estado no puede pretender alegar una competencia “adicional” para ejecutar íntegramente una directiva con un título competencial que le habilita únicamente para establecer las bases de una materia, añadiendo que el Estatuto de Autonomía de Aragón (EAAr) recoge en su art. 93.2 la competencia de la Comunidad Autónoma de Aragón en la aplicación y desarrollo del Derecho de la Unión Europa en el ámbito de sus competencias.</w:t>
      </w:r>
    </w:p>
    <w:p w14:paraId="549296B2" w14:textId="77777777" w:rsidR="003754FE" w:rsidRDefault="003754FE" w:rsidP="003754FE">
      <w:pPr>
        <w:pStyle w:val="TextoNormal"/>
      </w:pPr>
    </w:p>
    <w:p w14:paraId="6BCA38FA" w14:textId="77777777" w:rsidR="003754FE" w:rsidRDefault="003754FE" w:rsidP="003754FE">
      <w:pPr>
        <w:pStyle w:val="TextoNormal"/>
      </w:pPr>
      <w:r>
        <w:lastRenderedPageBreak/>
        <w:t>Finalmente, hace referencia a las alegaciones del recurso en materia de inconstitucionalidad mediata, con fundamento en la STC 99/2022, de 13 de julio, que exige determinar, en primer lugar, si la norma estatal que se reputa infringida ha sido legítimamente dictada por el Estado al amparo del correspondiente título competencial básico y si la norma es de carácter básico en el doble sentido material y formal y, en ese caso, habrá que determinar el concreto sentido de la normativa básica, con la finalidad de verificar si los preceptos autonómicos la contradicen de modo efectivo e insalvable por vía interpretativa.</w:t>
      </w:r>
    </w:p>
    <w:p w14:paraId="2A6DE181" w14:textId="77777777" w:rsidR="003754FE" w:rsidRDefault="003754FE" w:rsidP="003754FE">
      <w:pPr>
        <w:pStyle w:val="TextoNormal"/>
      </w:pPr>
    </w:p>
    <w:p w14:paraId="07AA0716" w14:textId="77777777" w:rsidR="003754FE" w:rsidRDefault="003754FE" w:rsidP="003754FE">
      <w:pPr>
        <w:pStyle w:val="TextoNormal"/>
      </w:pPr>
      <w:r>
        <w:t>C) Tras estas consideraciones explica las razones que le llevan a sostener la constitucionalidad de los preceptos impugnados del Decreto-ley 1/2023 en los términos que se exponen a continuación.</w:t>
      </w:r>
    </w:p>
    <w:p w14:paraId="15A3A18F" w14:textId="77777777" w:rsidR="003754FE" w:rsidRDefault="003754FE" w:rsidP="003754FE">
      <w:pPr>
        <w:pStyle w:val="TextoNormal"/>
      </w:pPr>
    </w:p>
    <w:p w14:paraId="7534E56F" w14:textId="77777777" w:rsidR="003754FE" w:rsidRDefault="003754FE" w:rsidP="003754FE">
      <w:pPr>
        <w:pStyle w:val="TextoNormal"/>
      </w:pPr>
      <w:r>
        <w:t xml:space="preserve">a) </w:t>
      </w:r>
      <w:r w:rsidRPr="003754FE">
        <w:rPr>
          <w:i/>
        </w:rPr>
        <w:t>Artículo 4. Consumo eléctrico de cercanía</w:t>
      </w:r>
    </w:p>
    <w:p w14:paraId="48F9FA41" w14:textId="77777777" w:rsidR="003754FE" w:rsidRDefault="003754FE" w:rsidP="003754FE">
      <w:pPr>
        <w:pStyle w:val="TextoNormal"/>
      </w:pPr>
    </w:p>
    <w:p w14:paraId="41CAB308" w14:textId="77777777" w:rsidR="003754FE" w:rsidRDefault="003754FE" w:rsidP="003754FE">
      <w:pPr>
        <w:pStyle w:val="TextoNormal"/>
      </w:pPr>
      <w:r>
        <w:t>La letrada de las Cortes de Aragón explica que el legislador aragonés ha agrupado en un epígrafe novedoso denominado “consumo eléctrico de cercanía” distintos elementos genéricos que no son novedosos, por lo que debe analizarse si la regulación de cada uno de estos elementos es constitucional, lo que exige atender a la regulación que se hace y que también impugna el abogado del Estado de forma autónoma.</w:t>
      </w:r>
    </w:p>
    <w:p w14:paraId="61872A7A" w14:textId="77777777" w:rsidR="003754FE" w:rsidRDefault="003754FE" w:rsidP="003754FE">
      <w:pPr>
        <w:pStyle w:val="TextoNormal"/>
      </w:pPr>
    </w:p>
    <w:p w14:paraId="63619C60" w14:textId="77777777" w:rsidR="003754FE" w:rsidRDefault="003754FE" w:rsidP="003754FE">
      <w:pPr>
        <w:pStyle w:val="TextoNormal"/>
      </w:pPr>
      <w:r>
        <w:t>Tras esta explicación analiza únicamente los requisitos adicionales de reducción de costes energéticos y de territorialidad, cuya constitucionalidad también se denuncia en el presente recurso.</w:t>
      </w:r>
    </w:p>
    <w:p w14:paraId="7C28F61D" w14:textId="77777777" w:rsidR="003754FE" w:rsidRDefault="003754FE" w:rsidP="003754FE">
      <w:pPr>
        <w:pStyle w:val="TextoNormal"/>
      </w:pPr>
    </w:p>
    <w:p w14:paraId="3F371EBA" w14:textId="77777777" w:rsidR="003754FE" w:rsidRDefault="003754FE" w:rsidP="003754FE">
      <w:pPr>
        <w:pStyle w:val="TextoNormal"/>
      </w:pPr>
      <w:r>
        <w:t>(i) Respecto a la reducción de los costes energéticos, explica la letrada que no es una innovación normativa sino una “consecuencia necesaria” del propio concepto de autoconsumo a través de líneas directas, no es más que un elemento “dialéctico y no […] un elemento con trascendencia jurídica, ni por supuesto competencial” por lo que no puede vulnerar competencias estatales.</w:t>
      </w:r>
    </w:p>
    <w:p w14:paraId="3962D579" w14:textId="77777777" w:rsidR="003754FE" w:rsidRDefault="003754FE" w:rsidP="003754FE">
      <w:pPr>
        <w:pStyle w:val="TextoNormal"/>
      </w:pPr>
    </w:p>
    <w:p w14:paraId="5E3D6923" w14:textId="77777777" w:rsidR="003754FE" w:rsidRDefault="003754FE" w:rsidP="003754FE">
      <w:pPr>
        <w:pStyle w:val="TextoNormal"/>
      </w:pPr>
      <w:r>
        <w:t>(ii) En lo que hace al criterio de territorialidad, explica de forma similar que esta referencia del Decreto-ley refleja una “obviedad”: que las soluciones recogidas en el Decreto-ley deben situarse dentro del territorio aragonés para estar amparadas en la norma.</w:t>
      </w:r>
    </w:p>
    <w:p w14:paraId="4BDEC3CF" w14:textId="77777777" w:rsidR="003754FE" w:rsidRDefault="003754FE" w:rsidP="003754FE">
      <w:pPr>
        <w:pStyle w:val="TextoNormal"/>
      </w:pPr>
    </w:p>
    <w:p w14:paraId="03945CB0" w14:textId="77777777" w:rsidR="003754FE" w:rsidRDefault="003754FE" w:rsidP="003754FE">
      <w:pPr>
        <w:pStyle w:val="TextoNormal"/>
      </w:pPr>
      <w:r>
        <w:t xml:space="preserve">b) </w:t>
      </w:r>
      <w:r w:rsidRPr="003754FE">
        <w:rPr>
          <w:i/>
        </w:rPr>
        <w:t>Artículo 5, apartados 1, 2 y 4. Líneas directas</w:t>
      </w:r>
    </w:p>
    <w:p w14:paraId="3DC5B6FF" w14:textId="77777777" w:rsidR="003754FE" w:rsidRDefault="003754FE" w:rsidP="003754FE">
      <w:pPr>
        <w:pStyle w:val="TextoNormal"/>
      </w:pPr>
    </w:p>
    <w:p w14:paraId="6CCF7727" w14:textId="77777777" w:rsidR="003754FE" w:rsidRDefault="003754FE" w:rsidP="003754FE">
      <w:pPr>
        <w:pStyle w:val="TextoNormal"/>
      </w:pPr>
      <w:r>
        <w:t>(i) Explica que el art. 5 “reproduce” el art. 7 de la Directiva 2019/944, y se integra de forma clara con el art. 42 LSE, porque la norma aragonesa restringe su ámbito a la energía renovable y porque la Ley del sector eléctrico cuando habla de consumidor se refiere no a una persona individual sino a una persona jurídica, de modo que hablar de un destinatario único no es incompatible con que la empresa consumidora suministre a una pluralidad de clientes.</w:t>
      </w:r>
    </w:p>
    <w:p w14:paraId="1B002C18" w14:textId="77777777" w:rsidR="003754FE" w:rsidRDefault="003754FE" w:rsidP="003754FE">
      <w:pPr>
        <w:pStyle w:val="TextoNormal"/>
      </w:pPr>
    </w:p>
    <w:p w14:paraId="01C5C918" w14:textId="77777777" w:rsidR="003754FE" w:rsidRDefault="003754FE" w:rsidP="003754FE">
      <w:pPr>
        <w:pStyle w:val="TextoNormal"/>
      </w:pPr>
      <w:r>
        <w:t xml:space="preserve">Entiende que el art. 67 del Real Decreto 1955/2000, de 1 de diciembre, por el que se regulan las actividades de transporte, distribución, comercialización, suministro y procedimientos de autorización de instalaciones de energía eléctrica, refuerza este argumento porque define la línea directa como la que tiene por objeto el enlace directo de un centro de producción con un centro de consumo del mismo titular o de un consumidor cualificado, </w:t>
      </w:r>
      <w:r>
        <w:lastRenderedPageBreak/>
        <w:t>esto es, el que es suministrado en alta tensión o con un consumo anual superior a 1 GWh, lo que no es aplicable al consumidor individual.</w:t>
      </w:r>
    </w:p>
    <w:p w14:paraId="3BFA9CB6" w14:textId="77777777" w:rsidR="003754FE" w:rsidRDefault="003754FE" w:rsidP="003754FE">
      <w:pPr>
        <w:pStyle w:val="TextoNormal"/>
      </w:pPr>
    </w:p>
    <w:p w14:paraId="68EE4986" w14:textId="77777777" w:rsidR="003754FE" w:rsidRDefault="003754FE" w:rsidP="003754FE">
      <w:pPr>
        <w:pStyle w:val="TextoNormal"/>
      </w:pPr>
      <w:r>
        <w:t>(ii) Respecto al apartado cuarto del art. 5, explica que respeta estrictamente la competencia estatal dado que excluye de su ámbito de aplicación las redes que discurran por más de una comunidad autónoma o que estén conectadas a instalaciones de generación de competencia estatal, lo que salvaguarda la competencia estatal del art. 3.13 b) LSE de autorizar líneas directas que excedan del ámbito territorial de una comunidad autónoma o estén conectadas a instalaciones de generación de competencia estatal.</w:t>
      </w:r>
    </w:p>
    <w:p w14:paraId="20BD979A" w14:textId="77777777" w:rsidR="003754FE" w:rsidRDefault="003754FE" w:rsidP="003754FE">
      <w:pPr>
        <w:pStyle w:val="TextoNormal"/>
      </w:pPr>
    </w:p>
    <w:p w14:paraId="1E2AAD54" w14:textId="77777777" w:rsidR="003754FE" w:rsidRDefault="003754FE" w:rsidP="003754FE">
      <w:pPr>
        <w:pStyle w:val="TextoNormal"/>
      </w:pPr>
      <w:r>
        <w:t>c</w:t>
      </w:r>
      <w:r w:rsidRPr="003754FE">
        <w:rPr>
          <w:i/>
        </w:rPr>
        <w:t>) Artículo 6. Tipolog</w:t>
      </w:r>
      <w:r>
        <w:t>ía</w:t>
      </w:r>
    </w:p>
    <w:p w14:paraId="7C86ACFF" w14:textId="77777777" w:rsidR="003754FE" w:rsidRDefault="003754FE" w:rsidP="003754FE">
      <w:pPr>
        <w:pStyle w:val="TextoNormal"/>
      </w:pPr>
    </w:p>
    <w:p w14:paraId="61AF4B1E" w14:textId="77777777" w:rsidR="003754FE" w:rsidRDefault="003754FE" w:rsidP="003754FE">
      <w:pPr>
        <w:pStyle w:val="TextoNormal"/>
      </w:pPr>
      <w:r>
        <w:t>(i) Opone que no se afecta a las redes de transporte y distribución, porque en ese caso la línea directa pierde su condición de tal, pasándose a regir por otros preceptos de la normativa vigente. Cita así el art. 69 del Real Decreto 1955/2000, de 1 de diciembre, por el que se regulan las actividades de transporte, distribución, comercialización, suministro y procedimientos de autorización de instalaciones de energía eléctrica, que dispone que la conexión de una de estas líneas directas a las redes de transporte o distribución supondrá la pérdida de su calificación como línea directa, integrándose en el sistema general y quedando sometida a las condiciones de acceso de terceros a las redes. También los arts. 38 y 34.1 LSE disponen que las líneas directas no forman parte ni de las redes de distribución ni de las redes de transporte.</w:t>
      </w:r>
    </w:p>
    <w:p w14:paraId="16F6EEC8" w14:textId="77777777" w:rsidR="003754FE" w:rsidRDefault="003754FE" w:rsidP="003754FE">
      <w:pPr>
        <w:pStyle w:val="TextoNormal"/>
      </w:pPr>
    </w:p>
    <w:p w14:paraId="5719EA3B" w14:textId="77777777" w:rsidR="003754FE" w:rsidRDefault="003754FE" w:rsidP="003754FE">
      <w:pPr>
        <w:pStyle w:val="TextoNormal"/>
      </w:pPr>
      <w:r>
        <w:t>(ii) También argumenta que no hay tacha de inconstitucionalidad en relación con la no incorporación de un mecanismo antivertido, porque las letras b) y c) del art. 6 disponen que se deben establecer las condiciones técnicas para garantizar que la planta no pueda verter energía a la red.</w:t>
      </w:r>
    </w:p>
    <w:p w14:paraId="44B57D79" w14:textId="77777777" w:rsidR="003754FE" w:rsidRDefault="003754FE" w:rsidP="003754FE">
      <w:pPr>
        <w:pStyle w:val="TextoNormal"/>
      </w:pPr>
    </w:p>
    <w:p w14:paraId="25177A9C" w14:textId="77777777" w:rsidR="003754FE" w:rsidRDefault="003754FE" w:rsidP="003754FE">
      <w:pPr>
        <w:pStyle w:val="TextoNormal"/>
      </w:pPr>
      <w:r>
        <w:t>(iii) Respecto a la letra d) del art. 6, explica que el abogado del Estado no desarrolla la tacha de que esta regulación resulta contraria a la normativa básica porque no prevé el cumplimiento de los requisitos establecidos con carácter básico en la Ley del sector eléctrico y sus normas de desarrollo. No obstante, señala que está sujeto a la obtención de los títulos habilitantes que procedan, por lo que no se elimina, sino que se garantiza de forma expresa, el cumplimiento de los requisitos establecidos en la normativa aplicable en función del tipo de planta de que se trate.</w:t>
      </w:r>
    </w:p>
    <w:p w14:paraId="4DC044CD" w14:textId="77777777" w:rsidR="003754FE" w:rsidRDefault="003754FE" w:rsidP="003754FE">
      <w:pPr>
        <w:pStyle w:val="TextoNormal"/>
      </w:pPr>
    </w:p>
    <w:p w14:paraId="7E8A6FE1" w14:textId="77777777" w:rsidR="003754FE" w:rsidRDefault="003754FE" w:rsidP="003754FE">
      <w:pPr>
        <w:pStyle w:val="TextoNormal"/>
      </w:pPr>
      <w:r>
        <w:t xml:space="preserve">d) </w:t>
      </w:r>
      <w:r w:rsidRPr="003754FE">
        <w:rPr>
          <w:i/>
        </w:rPr>
        <w:t>Artículo 7, apartados 1, 2 y letras a), b) y c) del apartado 3. Criterios determinantes para la autorización de líneas directas</w:t>
      </w:r>
    </w:p>
    <w:p w14:paraId="49FA7118" w14:textId="77777777" w:rsidR="003754FE" w:rsidRDefault="003754FE" w:rsidP="003754FE">
      <w:pPr>
        <w:pStyle w:val="TextoNormal"/>
      </w:pPr>
    </w:p>
    <w:p w14:paraId="2A680A83" w14:textId="77777777" w:rsidR="003754FE" w:rsidRDefault="003754FE" w:rsidP="003754FE">
      <w:pPr>
        <w:pStyle w:val="TextoNormal"/>
      </w:pPr>
      <w:r>
        <w:t>Distingue según el apartado impugnado:</w:t>
      </w:r>
    </w:p>
    <w:p w14:paraId="569A5506" w14:textId="77777777" w:rsidR="003754FE" w:rsidRDefault="003754FE" w:rsidP="003754FE">
      <w:pPr>
        <w:pStyle w:val="TextoNormal"/>
      </w:pPr>
    </w:p>
    <w:p w14:paraId="1A8C4DD5" w14:textId="77777777" w:rsidR="003754FE" w:rsidRDefault="003754FE" w:rsidP="003754FE">
      <w:pPr>
        <w:pStyle w:val="TextoNormal"/>
      </w:pPr>
      <w:r>
        <w:t>(i) En relación con el apartado primero del art. 7, señala que respeta la competencia estatal del art. 3.13 b) LSE de forma obvia y expresa.</w:t>
      </w:r>
    </w:p>
    <w:p w14:paraId="7B2E8ED6" w14:textId="77777777" w:rsidR="003754FE" w:rsidRDefault="003754FE" w:rsidP="003754FE">
      <w:pPr>
        <w:pStyle w:val="TextoNormal"/>
      </w:pPr>
    </w:p>
    <w:p w14:paraId="1BBF8267" w14:textId="77777777" w:rsidR="003754FE" w:rsidRDefault="003754FE" w:rsidP="003754FE">
      <w:pPr>
        <w:pStyle w:val="TextoNormal"/>
      </w:pPr>
      <w:r>
        <w:t>(ii) En lo que se refiere al apartado segundo de este art. 7, explica que recoge los objetivos generales de las líneas directas de energía renovable, que entiende compatibles con toda la regulación de este tipo de energía y con los objetivos que persigue, especialmente con los marcados por la Unión Europea con el objetivo de neutralidad climática de la Unión.</w:t>
      </w:r>
    </w:p>
    <w:p w14:paraId="4FF21F03" w14:textId="77777777" w:rsidR="003754FE" w:rsidRDefault="003754FE" w:rsidP="003754FE">
      <w:pPr>
        <w:pStyle w:val="TextoNormal"/>
      </w:pPr>
    </w:p>
    <w:p w14:paraId="79CED463" w14:textId="77777777" w:rsidR="003754FE" w:rsidRDefault="003754FE" w:rsidP="003754FE">
      <w:pPr>
        <w:pStyle w:val="TextoNormal"/>
      </w:pPr>
      <w:r>
        <w:t>(iii) En cuanto al apartado tercero del art. 7, explica que tampoco contradice la normativa estatal. Señala que el art. 7.4 de la Directiva 2019/944 señala que los Estados miembros podrán supeditar la autorización de construir una línea directa, bien a una denegación de acceso a la red, bien al inicio de un procedimiento de resolución de litigios, pero esta supeditación no se ha recogido en la legislación estatal: no se introdujo en la regulación del año 2012 (cuando ya lo permitía la Directiva 2009/72) y por lo tanto ha entendido que es una posibilidad descartada.</w:t>
      </w:r>
    </w:p>
    <w:p w14:paraId="194C64D1" w14:textId="77777777" w:rsidR="003754FE" w:rsidRDefault="003754FE" w:rsidP="003754FE">
      <w:pPr>
        <w:pStyle w:val="TextoNormal"/>
      </w:pPr>
    </w:p>
    <w:p w14:paraId="6BFBB83C" w14:textId="77777777" w:rsidR="003754FE" w:rsidRDefault="003754FE" w:rsidP="003754FE">
      <w:pPr>
        <w:pStyle w:val="TextoNormal"/>
      </w:pPr>
      <w:r>
        <w:t>Además, también sería compatible con el art. 53.7 LSE porque determina que únicamente se podrá denegar la autorización cuando no se cumplan los requisitos previstos en la normativa aplicable o cuando tenga una incidencia negativa en el funcionamiento del sistema.</w:t>
      </w:r>
    </w:p>
    <w:p w14:paraId="1C0E9D33" w14:textId="77777777" w:rsidR="003754FE" w:rsidRDefault="003754FE" w:rsidP="003754FE">
      <w:pPr>
        <w:pStyle w:val="TextoNormal"/>
      </w:pPr>
    </w:p>
    <w:p w14:paraId="65086AD9" w14:textId="77777777" w:rsidR="003754FE" w:rsidRDefault="003754FE" w:rsidP="003754FE">
      <w:pPr>
        <w:pStyle w:val="TextoNormal"/>
      </w:pPr>
      <w:r>
        <w:t>(iv) Vuelve a insistir en que las líneas directas que regula el Decreto-ley no se integran en las redes de transporte y distribución, a pesar de la previsión de audiencia al gestor de la red, porque resulta contradictorio con el propio concepto de línea directa. La previsión de audiencia es una cautela lógica porque la petición de establecimiento de una línea directa puede efectivamente provenir de una denegación previa de acceso a la red por falta de capacidad o de un procedimiento conflictivo, de acuerdo con la obligación de coordinación de los diferentes gestores que corresponde a las comunidades autónomas en virtud del art. 38 LSE.</w:t>
      </w:r>
    </w:p>
    <w:p w14:paraId="5997DF68" w14:textId="77777777" w:rsidR="003754FE" w:rsidRDefault="003754FE" w:rsidP="003754FE">
      <w:pPr>
        <w:pStyle w:val="TextoNormal"/>
      </w:pPr>
    </w:p>
    <w:p w14:paraId="581F6D76" w14:textId="77777777" w:rsidR="003754FE" w:rsidRDefault="003754FE" w:rsidP="003754FE">
      <w:pPr>
        <w:pStyle w:val="TextoNormal"/>
      </w:pPr>
      <w:r>
        <w:t xml:space="preserve">e) </w:t>
      </w:r>
      <w:r w:rsidRPr="003754FE">
        <w:rPr>
          <w:i/>
        </w:rPr>
        <w:t>Artículo 12. Instalaciones próximas de producción a efectos de autoconsumo, apartados 2, en cuanto al inciso “Las redes interiores podrán establecerse en cualquier nivel de tensión a efectos de autoconsumo”, y 3, en cuanto al inciso “y a establecer y operar redes interiores de cualquier nivel de tensión para establecer sistemas de autoconsumo”</w:t>
      </w:r>
    </w:p>
    <w:p w14:paraId="35BFE0FA" w14:textId="77777777" w:rsidR="003754FE" w:rsidRDefault="003754FE" w:rsidP="003754FE">
      <w:pPr>
        <w:pStyle w:val="TextoNormal"/>
      </w:pPr>
    </w:p>
    <w:p w14:paraId="509252DB" w14:textId="77777777" w:rsidR="003754FE" w:rsidRDefault="003754FE" w:rsidP="003754FE">
      <w:pPr>
        <w:pStyle w:val="TextoNormal"/>
      </w:pPr>
      <w:r>
        <w:t>La letrada de las Cortes de Aragón explica que el Real Decreto 244/2019, de 5 de abril, por el que se regulan las condiciones administrativas, técnicas y económicas del autoconsumo de energía eléctrica, prescinde completamente de la característica del nivel de tensión al definir las instalaciones de producción próximas a las de consumo cuando se trata de instalaciones conectadas a través de líneas directas o redes interiores. Indica que existen otras modalidades de instalación próxima definidas por el nivel de tensión o por elementos de proximidad física y esas tienen la consideración de “instalación próxima a través de red” pero no es a este tipo de instalación a la que se refiere la norma aragonesa.</w:t>
      </w:r>
    </w:p>
    <w:p w14:paraId="39A41A2D" w14:textId="77777777" w:rsidR="003754FE" w:rsidRDefault="003754FE" w:rsidP="003754FE">
      <w:pPr>
        <w:pStyle w:val="TextoNormal"/>
      </w:pPr>
    </w:p>
    <w:p w14:paraId="778B4965" w14:textId="77777777" w:rsidR="003754FE" w:rsidRDefault="003754FE" w:rsidP="003754FE">
      <w:pPr>
        <w:pStyle w:val="TextoNormal"/>
      </w:pPr>
      <w:r>
        <w:t>Defiende que la Ley del sector eléctrico recoge alternativas y no son requisitos acumulativos de una instalación, por lo que dejar abierto el nivel de tensión al que se pueden establecer líneas directas o redes interiores no contradice la configuración de instalación próxima a efectos de autoconsumo establecida por la normativa básica estatal.</w:t>
      </w:r>
    </w:p>
    <w:p w14:paraId="4AD16136" w14:textId="77777777" w:rsidR="003754FE" w:rsidRDefault="003754FE" w:rsidP="003754FE">
      <w:pPr>
        <w:pStyle w:val="TextoNormal"/>
      </w:pPr>
    </w:p>
    <w:p w14:paraId="05D16D98" w14:textId="77777777" w:rsidR="003754FE" w:rsidRDefault="003754FE" w:rsidP="003754FE">
      <w:pPr>
        <w:pStyle w:val="TextoNormal"/>
      </w:pPr>
      <w:r>
        <w:t xml:space="preserve">f) </w:t>
      </w:r>
      <w:r w:rsidRPr="003754FE">
        <w:rPr>
          <w:i/>
        </w:rPr>
        <w:t>Artículo 13, apartados 2, 3 y 4. Medidas sobre autoconsumo sin excedentes</w:t>
      </w:r>
    </w:p>
    <w:p w14:paraId="3EAC52B7" w14:textId="77777777" w:rsidR="003754FE" w:rsidRDefault="003754FE" w:rsidP="003754FE">
      <w:pPr>
        <w:pStyle w:val="TextoNormal"/>
      </w:pPr>
    </w:p>
    <w:p w14:paraId="5C3ABDAD" w14:textId="77777777" w:rsidR="003754FE" w:rsidRDefault="003754FE" w:rsidP="003754FE">
      <w:pPr>
        <w:pStyle w:val="TextoNormal"/>
      </w:pPr>
      <w:r>
        <w:t xml:space="preserve">En relación con la regulación contenida en el art. 13, relativa a las medidas sobre autoconsumo sin excedentes, la letrada de Cortes de Aragón: (i) se remite, en lo que se refiere al apartado segundo, a lo ya explicado respecto del nivel de tensión de las líneas directas; (ii) explica, en relación al apartado tercero, relativo a los sistemas de medida privados, que el Decreto-ley 1/2023 no altera en modo alguno las previsiones estatales ni pone en riesgo </w:t>
      </w:r>
      <w:r>
        <w:lastRenderedPageBreak/>
        <w:t>su adecuada aplicación sino que sencillamente establece la posibilidad de “añadir” mecanismos privados de medición de consumo, sin incidencia en los mecanismos de medida establecidos para la facturación en los puntos determinados en la normativa estatal. Es una garantía adicional de control que entra dentro de las capacidades normativas de la Comunidad Autónoma; (iii) e indica, respecto al apartado cuarto, que se analizará conjuntamente con los artículos referentes a las comunidades y mancomunidades de energía, por versar sobre esta cuestión.</w:t>
      </w:r>
    </w:p>
    <w:p w14:paraId="04094775" w14:textId="77777777" w:rsidR="003754FE" w:rsidRDefault="003754FE" w:rsidP="003754FE">
      <w:pPr>
        <w:pStyle w:val="TextoNormal"/>
      </w:pPr>
    </w:p>
    <w:p w14:paraId="71A90593" w14:textId="77777777" w:rsidR="003754FE" w:rsidRDefault="003754FE" w:rsidP="003754FE">
      <w:pPr>
        <w:pStyle w:val="TextoNormal"/>
      </w:pPr>
      <w:r>
        <w:t>g</w:t>
      </w:r>
      <w:r w:rsidRPr="003754FE">
        <w:rPr>
          <w:i/>
        </w:rPr>
        <w:t>) Artículo 19. Mancomunidades de energ</w:t>
      </w:r>
      <w:r>
        <w:t>ía</w:t>
      </w:r>
    </w:p>
    <w:p w14:paraId="69539AD1" w14:textId="77777777" w:rsidR="003754FE" w:rsidRDefault="003754FE" w:rsidP="003754FE">
      <w:pPr>
        <w:pStyle w:val="TextoNormal"/>
      </w:pPr>
    </w:p>
    <w:p w14:paraId="06EA788B" w14:textId="77777777" w:rsidR="003754FE" w:rsidRDefault="003754FE" w:rsidP="003754FE">
      <w:pPr>
        <w:pStyle w:val="TextoNormal"/>
      </w:pPr>
      <w:r>
        <w:t>Considera la letrada de las Cortes de Aragón que esta previsión no puede incumplir la regulación estatal porque las comunidades de energía que se integren en la mancomunidad necesariamente tienen que reunir en cada una de ellas, los requisitos de tales comunidades. Es más, considera que la mancomunidad es la forma jurídica escogida para regular una comunidad de energía, conforme a la libertad regulatoria que establece el art. 20 del Decreto-ley 1/2013, no impugnado. También justifica la creación de esta figura jurídica al hecho de que se trata de un concepto jurídico de amplia e histórica raigambre en la Comunidad Autónoma de Aragón.</w:t>
      </w:r>
    </w:p>
    <w:p w14:paraId="00E0E7B8" w14:textId="77777777" w:rsidR="003754FE" w:rsidRDefault="003754FE" w:rsidP="003754FE">
      <w:pPr>
        <w:pStyle w:val="TextoNormal"/>
      </w:pPr>
    </w:p>
    <w:p w14:paraId="1736A3DA" w14:textId="77777777" w:rsidR="003754FE" w:rsidRDefault="003754FE" w:rsidP="003754FE">
      <w:pPr>
        <w:pStyle w:val="TextoNormal"/>
      </w:pPr>
      <w:r>
        <w:t>h</w:t>
      </w:r>
      <w:r w:rsidRPr="003754FE">
        <w:rPr>
          <w:i/>
        </w:rPr>
        <w:t>) Artículo 22, apartado 2. Actividad propia de las comunidades de energ</w:t>
      </w:r>
      <w:r>
        <w:t>ía</w:t>
      </w:r>
    </w:p>
    <w:p w14:paraId="64EC6C7B" w14:textId="77777777" w:rsidR="003754FE" w:rsidRDefault="003754FE" w:rsidP="003754FE">
      <w:pPr>
        <w:pStyle w:val="TextoNormal"/>
      </w:pPr>
    </w:p>
    <w:p w14:paraId="5145D50D" w14:textId="77777777" w:rsidR="003754FE" w:rsidRDefault="003754FE" w:rsidP="003754FE">
      <w:pPr>
        <w:pStyle w:val="TextoNormal"/>
      </w:pPr>
      <w:r>
        <w:t>Comienza partiendo de la definición de comunidad ciudadana de energía contenida en el art. 2.11 de la Directiva 2019/944, a cuya luz explica que el art. 22.2 recurrido respeta la definición de la Directiva. También hace referencia al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 que incorpora al ordenamiento jurídico español los principios reguladores de las comunidades energéticas.</w:t>
      </w:r>
    </w:p>
    <w:p w14:paraId="69924DFC" w14:textId="77777777" w:rsidR="003754FE" w:rsidRDefault="003754FE" w:rsidP="003754FE">
      <w:pPr>
        <w:pStyle w:val="TextoNormal"/>
      </w:pPr>
    </w:p>
    <w:p w14:paraId="5C1F07A2" w14:textId="77777777" w:rsidR="003754FE" w:rsidRDefault="003754FE" w:rsidP="003754FE">
      <w:pPr>
        <w:pStyle w:val="TextoNormal"/>
      </w:pPr>
      <w:r>
        <w:t>i</w:t>
      </w:r>
      <w:r w:rsidRPr="003754FE">
        <w:rPr>
          <w:i/>
        </w:rPr>
        <w:t>) Artículo 33. Definici</w:t>
      </w:r>
      <w:r>
        <w:t>ón</w:t>
      </w:r>
    </w:p>
    <w:p w14:paraId="704D3293" w14:textId="77777777" w:rsidR="003754FE" w:rsidRDefault="003754FE" w:rsidP="003754FE">
      <w:pPr>
        <w:pStyle w:val="TextoNormal"/>
      </w:pPr>
    </w:p>
    <w:p w14:paraId="4F9E3094" w14:textId="77777777" w:rsidR="003754FE" w:rsidRDefault="003754FE" w:rsidP="003754FE">
      <w:pPr>
        <w:pStyle w:val="TextoNormal"/>
      </w:pPr>
      <w:r>
        <w:t>La letrada de las Cortes de Aragón explica que la falla de inconstitucionalidad que el abogado del Estado plantea, al referirse el artículo impugnado a la red de distribución cerrada como red que distribuye electricidad en una zona industrial, comercial o de servicios compartidos, se salva al referirse a “salvo en los términos más favorables que pudiera prever la normativa básica estatal”. Explica que el cliente doméstico no es el destinatario natural de una red de distribución cerrada, pero la norma aragonesa no impide que pueda serlo.</w:t>
      </w:r>
    </w:p>
    <w:p w14:paraId="45B6908D" w14:textId="77777777" w:rsidR="003754FE" w:rsidRDefault="003754FE" w:rsidP="003754FE">
      <w:pPr>
        <w:pStyle w:val="TextoNormal"/>
      </w:pPr>
    </w:p>
    <w:p w14:paraId="79424933" w14:textId="77777777" w:rsidR="003754FE" w:rsidRDefault="003754FE" w:rsidP="003754FE">
      <w:pPr>
        <w:pStyle w:val="TextoNormal"/>
      </w:pPr>
      <w:r>
        <w:t xml:space="preserve">En relación a la contravención con el art. 5 del Real Decreto 314/2023, de 25 de abril, por el que se desarrolla el procedimiento y los requisitos para el otorgamiento de la autorización administrativa de las redes de distribución de energía eléctrica cerradas, del art. 37.1 del Decreto-ley 1/2023, señala que siempre que se cumplan los criterios del art. 5 del Real Decreto 314/2023, cabe que a una red de distribución cerrada puedan incorporarse consumidores de otro tipo, ya sin ningún tipo de limitación respecto a la zona, siempre que existan </w:t>
      </w:r>
      <w:r>
        <w:lastRenderedPageBreak/>
        <w:t>los vínculos de proximidad territorial y de relaciones preexistentes con los socios de la red o con otros consumidores industriales.</w:t>
      </w:r>
    </w:p>
    <w:p w14:paraId="1BE59438" w14:textId="77777777" w:rsidR="003754FE" w:rsidRDefault="003754FE" w:rsidP="003754FE">
      <w:pPr>
        <w:pStyle w:val="TextoNormal"/>
      </w:pPr>
    </w:p>
    <w:p w14:paraId="68EC691C" w14:textId="77777777" w:rsidR="003754FE" w:rsidRDefault="003754FE" w:rsidP="003754FE">
      <w:pPr>
        <w:pStyle w:val="TextoNormal"/>
      </w:pPr>
      <w:r>
        <w:t xml:space="preserve">j) </w:t>
      </w:r>
      <w:r w:rsidRPr="003754FE">
        <w:rPr>
          <w:i/>
        </w:rPr>
        <w:t>Artículo 38. Optimización del uso de plantas con capacidad instalada superior a la capacidad de acceso</w:t>
      </w:r>
    </w:p>
    <w:p w14:paraId="3B8E81BA" w14:textId="77777777" w:rsidR="003754FE" w:rsidRDefault="003754FE" w:rsidP="003754FE">
      <w:pPr>
        <w:pStyle w:val="TextoNormal"/>
      </w:pPr>
    </w:p>
    <w:p w14:paraId="32D5D8E7" w14:textId="77777777" w:rsidR="003754FE" w:rsidRDefault="003754FE" w:rsidP="003754FE">
      <w:pPr>
        <w:pStyle w:val="TextoNormal"/>
      </w:pPr>
      <w:r>
        <w:t>En relación con este precepto la letrada de las Cortes de Aragón se limita a indicar que resulta constitucional por las razones antes expuestas.</w:t>
      </w:r>
    </w:p>
    <w:p w14:paraId="79A754B0" w14:textId="77777777" w:rsidR="003754FE" w:rsidRDefault="003754FE" w:rsidP="003754FE">
      <w:pPr>
        <w:pStyle w:val="TextoNormal"/>
      </w:pPr>
    </w:p>
    <w:p w14:paraId="09B76E3F" w14:textId="77777777" w:rsidR="003754FE" w:rsidRDefault="003754FE" w:rsidP="003754FE">
      <w:pPr>
        <w:pStyle w:val="TextoNormal"/>
      </w:pPr>
      <w:r>
        <w:t xml:space="preserve">k) </w:t>
      </w:r>
      <w:r w:rsidRPr="003754FE">
        <w:rPr>
          <w:i/>
        </w:rPr>
        <w:t>Artículo 39. Autoconsumo sin excedentes desde plantas con capacidad superior a la capacidad de acceso</w:t>
      </w:r>
    </w:p>
    <w:p w14:paraId="5A155AD4" w14:textId="77777777" w:rsidR="003754FE" w:rsidRDefault="003754FE" w:rsidP="003754FE">
      <w:pPr>
        <w:pStyle w:val="TextoNormal"/>
      </w:pPr>
    </w:p>
    <w:p w14:paraId="506049B1" w14:textId="77777777" w:rsidR="003754FE" w:rsidRDefault="003754FE" w:rsidP="003754FE">
      <w:pPr>
        <w:pStyle w:val="TextoNormal"/>
      </w:pPr>
      <w:r>
        <w:t>La letrada de las Cortes de Aragón opone que el art. 7.1 b) del Real Decreto 244/2019, de 5 de abril, por el que se regulan las condiciones administrativas, técnicas y económicas del autoconsumo de energía eléctrica, no es aplicable a los arts. 39 y 40 del Decreto-ley impugnado porque se refiere a la exención de los permisos de acceso y conexión para las instalaciones de generación acogidas al autoconsumo sin excedentes. Y los arts. 39 y 40 impugnados se refieren a aprovechar instalaciones que ya han obtenido permisos de acceso y conexión y que producen energía por encima de la capacidad concedida.</w:t>
      </w:r>
    </w:p>
    <w:p w14:paraId="7B68CD5D" w14:textId="77777777" w:rsidR="003754FE" w:rsidRDefault="003754FE" w:rsidP="003754FE">
      <w:pPr>
        <w:pStyle w:val="TextoNormal"/>
      </w:pPr>
    </w:p>
    <w:p w14:paraId="2B84BEBE" w14:textId="77777777" w:rsidR="003754FE" w:rsidRDefault="003754FE" w:rsidP="003754FE">
      <w:pPr>
        <w:pStyle w:val="TextoNormal"/>
      </w:pPr>
      <w:r>
        <w:t>l</w:t>
      </w:r>
      <w:r w:rsidRPr="003754FE">
        <w:rPr>
          <w:i/>
        </w:rPr>
        <w:t>) Artículo 40, apartados 2 y 3. Autorización de infraestructuras complementari</w:t>
      </w:r>
      <w:r>
        <w:t>as</w:t>
      </w:r>
    </w:p>
    <w:p w14:paraId="09602203" w14:textId="77777777" w:rsidR="003754FE" w:rsidRDefault="003754FE" w:rsidP="003754FE">
      <w:pPr>
        <w:pStyle w:val="TextoNormal"/>
      </w:pPr>
    </w:p>
    <w:p w14:paraId="09DA791A" w14:textId="77777777" w:rsidR="003754FE" w:rsidRDefault="003754FE" w:rsidP="003754FE">
      <w:pPr>
        <w:pStyle w:val="TextoNormal"/>
      </w:pPr>
      <w:r>
        <w:t>(i) Señala que el abogado del Estado no impugna el apartado primero, que define las infraestructuras complementarias, por lo que se trata de una cuestión de mera nomenclatura que el Estado ha asumido como correcta al no impugnar el apartado primero.</w:t>
      </w:r>
    </w:p>
    <w:p w14:paraId="3540CCEF" w14:textId="77777777" w:rsidR="003754FE" w:rsidRDefault="003754FE" w:rsidP="003754FE">
      <w:pPr>
        <w:pStyle w:val="TextoNormal"/>
      </w:pPr>
    </w:p>
    <w:p w14:paraId="35BA5EE4" w14:textId="77777777" w:rsidR="003754FE" w:rsidRDefault="003754FE" w:rsidP="003754FE">
      <w:pPr>
        <w:pStyle w:val="TextoNormal"/>
      </w:pPr>
      <w:r>
        <w:t>(ii) Respecto al apartado segundo señala que el precepto remite al art. 32.1 del Real Decreto 1955/2000, de 1 de diciembre, por el que se regulan las actividades de transporte, distribución, comercialización, suministro y procedimientos de autorización de instalaciones de energía eléctrica, respecto al desarrollo de las instalaciones de conexión, por lo que es claro que este apartado se refiere exclusivamente a la “conexión de una instalación de producción a un consumidor que ya está conectado a red”; ello implica necesariamente una conexión adicional complementaria con el único y exclusivo objeto, como aclara el apartado tercero del art. 40, de hacer posible el autoconsumo sin excedentes. Por ello, en este caso se requiere autorización expresa de este segundo punto de conexión y así lo contempla expresamente la norma aragonesa.</w:t>
      </w:r>
    </w:p>
    <w:p w14:paraId="5A6AE362" w14:textId="77777777" w:rsidR="003754FE" w:rsidRDefault="003754FE" w:rsidP="003754FE">
      <w:pPr>
        <w:pStyle w:val="TextoNormal"/>
      </w:pPr>
    </w:p>
    <w:p w14:paraId="26D35984" w14:textId="77777777" w:rsidR="003754FE" w:rsidRDefault="003754FE" w:rsidP="003754FE">
      <w:pPr>
        <w:pStyle w:val="TextoNormal"/>
      </w:pPr>
      <w:r>
        <w:t>m</w:t>
      </w:r>
      <w:r w:rsidRPr="003754FE">
        <w:rPr>
          <w:i/>
        </w:rPr>
        <w:t>) Artículo 59. Gestión y agregación de deman</w:t>
      </w:r>
      <w:r>
        <w:t>da</w:t>
      </w:r>
    </w:p>
    <w:p w14:paraId="3583EA1B" w14:textId="77777777" w:rsidR="003754FE" w:rsidRDefault="003754FE" w:rsidP="003754FE">
      <w:pPr>
        <w:pStyle w:val="TextoNormal"/>
      </w:pPr>
    </w:p>
    <w:p w14:paraId="5A26C338" w14:textId="77777777" w:rsidR="003754FE" w:rsidRDefault="003754FE" w:rsidP="003754FE">
      <w:pPr>
        <w:pStyle w:val="TextoNormal"/>
      </w:pPr>
      <w:r>
        <w:t>Explica que la trasposición de esta figura se ha realizado por vía del Real Decreto-ley 23/2020, de 23 de junio, por el que se aprueban medidas en materia de energía y en otros ámbitos para la reactivación económica, siendo la regulación aragonesa plenamente respetuosa con la configuración estatal:</w:t>
      </w:r>
    </w:p>
    <w:p w14:paraId="7F7EDA0C" w14:textId="77777777" w:rsidR="003754FE" w:rsidRDefault="003754FE" w:rsidP="003754FE">
      <w:pPr>
        <w:pStyle w:val="TextoNormal"/>
      </w:pPr>
    </w:p>
    <w:p w14:paraId="0B49D58F" w14:textId="77777777" w:rsidR="003754FE" w:rsidRDefault="003754FE" w:rsidP="003754FE">
      <w:pPr>
        <w:pStyle w:val="TextoNormal"/>
      </w:pPr>
      <w:r>
        <w:t>(i) El apartado primero reproduce la definición de agregación del art. 6.1 i) LSE.</w:t>
      </w:r>
    </w:p>
    <w:p w14:paraId="5462A195" w14:textId="77777777" w:rsidR="003754FE" w:rsidRDefault="003754FE" w:rsidP="003754FE">
      <w:pPr>
        <w:pStyle w:val="TextoNormal"/>
      </w:pPr>
    </w:p>
    <w:p w14:paraId="6878C217" w14:textId="77777777" w:rsidR="003754FE" w:rsidRDefault="003754FE" w:rsidP="003754FE">
      <w:pPr>
        <w:pStyle w:val="TextoNormal"/>
      </w:pPr>
      <w:r>
        <w:t xml:space="preserve">(ii) El apartado segundo difícilmente puede ser inconstitucional cuando su aplicación requiere literalmente la conformidad con la normativa básica y la coordinación con el </w:t>
      </w:r>
      <w:r>
        <w:lastRenderedPageBreak/>
        <w:t>operador del sistema eléctrico, por lo que nunca puede producir lo que el abogado del Estado denomina “asimetrías regulatorias”.</w:t>
      </w:r>
    </w:p>
    <w:p w14:paraId="47973ABB" w14:textId="77777777" w:rsidR="003754FE" w:rsidRDefault="003754FE" w:rsidP="003754FE">
      <w:pPr>
        <w:pStyle w:val="TextoNormal"/>
      </w:pPr>
    </w:p>
    <w:p w14:paraId="546F4028" w14:textId="77777777" w:rsidR="003754FE" w:rsidRDefault="003754FE" w:rsidP="003754FE">
      <w:pPr>
        <w:pStyle w:val="TextoNormal"/>
      </w:pPr>
      <w:r>
        <w:t>(iii) El apartado tercero es mínimamente instrumental, refiriéndose a obligaciones mínimas de gestión para garantizar la coherencia del sistema que en sí mismo no tiene la capacidad de contravenir la normativa básica a cuyo cumplimiento llama el apartado segundo del mismo precepto.</w:t>
      </w:r>
    </w:p>
    <w:p w14:paraId="6946B592" w14:textId="77777777" w:rsidR="003754FE" w:rsidRDefault="003754FE" w:rsidP="003754FE">
      <w:pPr>
        <w:pStyle w:val="TextoNormal"/>
      </w:pPr>
    </w:p>
    <w:p w14:paraId="3C5F5059" w14:textId="77777777" w:rsidR="003754FE" w:rsidRDefault="003754FE" w:rsidP="003754FE">
      <w:pPr>
        <w:pStyle w:val="TextoNormal"/>
      </w:pPr>
      <w:r>
        <w:t>(iv) El apartado cuarto resulta plenamente coherente con el art. 49.1 LSE.</w:t>
      </w:r>
    </w:p>
    <w:p w14:paraId="490D4724" w14:textId="77777777" w:rsidR="003754FE" w:rsidRDefault="003754FE" w:rsidP="003754FE">
      <w:pPr>
        <w:pStyle w:val="TextoNormal"/>
      </w:pPr>
    </w:p>
    <w:p w14:paraId="6154967D" w14:textId="77777777" w:rsidR="003754FE" w:rsidRDefault="003754FE" w:rsidP="003754FE">
      <w:pPr>
        <w:pStyle w:val="TextoNormal"/>
      </w:pPr>
      <w:r>
        <w:t>(v) El apartado quinto resulta plenamente coherente con la regulación ya vigente en la Ley del sector eléctrico sobre la participación como agregadores de demanda de las comunidades de energía (arts. 1</w:t>
      </w:r>
      <w:r w:rsidRPr="003754FE">
        <w:rPr>
          <w:i/>
        </w:rPr>
        <w:t>2 b</w:t>
      </w:r>
      <w:r>
        <w:t>is y</w:t>
      </w:r>
      <w:r w:rsidRPr="003754FE">
        <w:rPr>
          <w:i/>
        </w:rPr>
        <w:t xml:space="preserve"> 12</w:t>
      </w:r>
      <w:r>
        <w:t xml:space="preserve"> ter LSE).</w:t>
      </w:r>
    </w:p>
    <w:p w14:paraId="6E67E953" w14:textId="77777777" w:rsidR="003754FE" w:rsidRDefault="003754FE" w:rsidP="003754FE">
      <w:pPr>
        <w:pStyle w:val="TextoNormal"/>
      </w:pPr>
    </w:p>
    <w:p w14:paraId="74C19630" w14:textId="77777777" w:rsidR="003754FE" w:rsidRDefault="003754FE" w:rsidP="003754FE">
      <w:pPr>
        <w:pStyle w:val="TextoNormal"/>
      </w:pPr>
      <w:r>
        <w:t>n</w:t>
      </w:r>
      <w:r w:rsidRPr="003754FE">
        <w:rPr>
          <w:i/>
        </w:rPr>
        <w:t>) Disposición adicional cuarta. Autorización de aumentos de potencia instalada o de hibridaci</w:t>
      </w:r>
      <w:r>
        <w:t>ón</w:t>
      </w:r>
    </w:p>
    <w:p w14:paraId="72361BA1" w14:textId="77777777" w:rsidR="003754FE" w:rsidRDefault="003754FE" w:rsidP="003754FE">
      <w:pPr>
        <w:pStyle w:val="TextoNormal"/>
      </w:pPr>
    </w:p>
    <w:p w14:paraId="1B93F9B2" w14:textId="77777777" w:rsidR="003754FE" w:rsidRDefault="003754FE" w:rsidP="003754FE">
      <w:pPr>
        <w:pStyle w:val="TextoNormal"/>
      </w:pPr>
      <w:r>
        <w:t>Tras reproducir la STC 32/2016, de 18 de febrero, FJ 5, que a su vez cita las SSTC 18/2011, de 3 de marzo, y 181/2013, de 23 de octubre, explica que aplicando a contrario la STC 32/2016 la norma aragonesa es plenamente constitucional. Los criterios de potencia y tensión no pueden separarse, como señala la STC 18/2011, del criterio de territorialidad que marca el art. 149.1.22 CE. Y el aumento de potencia instalada sin aumento de la capacidad de acceso y conexión no puede producir en ningún caso esta extraterritorialidad del art. 149.1.22 CE si la planta inicialmente autorizada no tenía esta característica.</w:t>
      </w:r>
    </w:p>
    <w:p w14:paraId="7D1C7DD3" w14:textId="77777777" w:rsidR="003754FE" w:rsidRDefault="003754FE" w:rsidP="003754FE">
      <w:pPr>
        <w:pStyle w:val="TextoNormal"/>
      </w:pPr>
    </w:p>
    <w:p w14:paraId="4E4071E8" w14:textId="77777777" w:rsidR="003754FE" w:rsidRDefault="003754FE" w:rsidP="003754FE">
      <w:pPr>
        <w:pStyle w:val="TextoNormal"/>
      </w:pPr>
      <w:r>
        <w:t>(i) Recuerda que la capacidad de acceso es la potencia activa máxima que podrá inyectarse a la red por una instalación de generación de electricidad o ser absorbida de la red por una instalación de demanda, por lo que la potencia inyectada en la red nunca podrá sobrepasar el valor de la capacidad de acceso, independientemente de que la instalación tenga capacidad técnica para ello. Por ello señala el art. 53.1 LSE que las autorizaciones administrativas de instalaciones de generación se podrán otorgar por una potencia instalada superior a la capacidad de acceso que figure en el permiso de acceso.</w:t>
      </w:r>
    </w:p>
    <w:p w14:paraId="61478561" w14:textId="77777777" w:rsidR="003754FE" w:rsidRDefault="003754FE" w:rsidP="003754FE">
      <w:pPr>
        <w:pStyle w:val="TextoNormal"/>
      </w:pPr>
    </w:p>
    <w:p w14:paraId="40DE98CE" w14:textId="77777777" w:rsidR="003754FE" w:rsidRDefault="003754FE" w:rsidP="003754FE">
      <w:pPr>
        <w:pStyle w:val="TextoNormal"/>
      </w:pPr>
      <w:r>
        <w:t>(ii) Y cita la exposición de motivos del Real Decreto-ley 23/2020, de 23 de junio, por el que se aprueban medidas en materia de energía y en otros ámbitos para la reactivación económica, en la que se explica que se habilita la hibridación “para permitir la autorización de instalaciones con una potencia instalada superior a la potencia de acceso y conexión otorgada, siempre que se respeten estos límites de evacuación en la operación de la planta”. Todo ello con la finalidad de optimizar y aprovechar las instalaciones y redes existentes y una mejor utilización del recurso renovable.</w:t>
      </w:r>
    </w:p>
    <w:p w14:paraId="221FA800" w14:textId="77777777" w:rsidR="003754FE" w:rsidRDefault="003754FE" w:rsidP="003754FE">
      <w:pPr>
        <w:pStyle w:val="TextoNormal"/>
      </w:pPr>
    </w:p>
    <w:p w14:paraId="540E5F08" w14:textId="77777777" w:rsidR="003754FE" w:rsidRDefault="003754FE" w:rsidP="003754FE">
      <w:pPr>
        <w:pStyle w:val="TextoNormal"/>
      </w:pPr>
      <w:r>
        <w:t>ñ</w:t>
      </w:r>
      <w:r w:rsidRPr="003754FE">
        <w:rPr>
          <w:i/>
        </w:rPr>
        <w:t>) Disposición adicional quinta. Modificación de líneas de evacuaci</w:t>
      </w:r>
      <w:r>
        <w:t>ón</w:t>
      </w:r>
    </w:p>
    <w:p w14:paraId="0596549A" w14:textId="77777777" w:rsidR="003754FE" w:rsidRDefault="003754FE" w:rsidP="003754FE">
      <w:pPr>
        <w:pStyle w:val="TextoNormal"/>
      </w:pPr>
    </w:p>
    <w:p w14:paraId="2EF44321" w14:textId="77777777" w:rsidR="003754FE" w:rsidRDefault="003754FE" w:rsidP="003754FE">
      <w:pPr>
        <w:pStyle w:val="TextoNormal"/>
      </w:pPr>
      <w:r>
        <w:t>La letrada de las Cortes de Aragón afirma que no es cierto que no se puedan conectar consumos a las líneas de evacuación por parte de los consumidores, siempre que se cumplan una serie de requerimientos que la regulación del Decreto-ley 1/2023 garantiza.</w:t>
      </w:r>
    </w:p>
    <w:p w14:paraId="434D2479" w14:textId="77777777" w:rsidR="003754FE" w:rsidRDefault="003754FE" w:rsidP="003754FE">
      <w:pPr>
        <w:pStyle w:val="TextoNormal"/>
      </w:pPr>
    </w:p>
    <w:p w14:paraId="2D8FBED2" w14:textId="77777777" w:rsidR="003754FE" w:rsidRDefault="003754FE" w:rsidP="003754FE">
      <w:pPr>
        <w:pStyle w:val="TextoNormal"/>
      </w:pPr>
      <w:r>
        <w:lastRenderedPageBreak/>
        <w:t>Dicha posibilidad estaría permitida en los arts. 60, 61 y 62 del Real Decreto 1955/2000, de 1 de diciembre, por el que se regulan las actividades de transporte, distribución, comercialización, suministro y procedimientos de autorización de instalaciones de energía eléctrica, que la sujeta a los requisitos de solicitud al gestor de la red de distribución de la zona, que determinará si es posible la conexión en un determinado punto de su red a la línea de evacuación que forma parte de la red, previendo también que a estas instalaciones de conexión de consumidores a las redes de transporte o distribución les será de aplicación el régimen de autorización común y las condiciones generales de acceso y conexión. Todos estos requisitos, defiende, están contemplados sin excepción en la regulación de la disposición adicional quinta.</w:t>
      </w:r>
    </w:p>
    <w:p w14:paraId="3143CC29" w14:textId="77777777" w:rsidR="003754FE" w:rsidRDefault="003754FE" w:rsidP="003754FE">
      <w:pPr>
        <w:pStyle w:val="TextoNormal"/>
      </w:pPr>
    </w:p>
    <w:p w14:paraId="2B747728" w14:textId="77777777" w:rsidR="003754FE" w:rsidRDefault="003754FE" w:rsidP="003754FE">
      <w:pPr>
        <w:pStyle w:val="TextoNormal"/>
      </w:pPr>
      <w:r>
        <w:t xml:space="preserve">o) </w:t>
      </w:r>
      <w:r w:rsidRPr="003754FE">
        <w:rPr>
          <w:i/>
        </w:rPr>
        <w:t>Disposición transitoria tercera. Aplicación de hitos previstos en el Real Decreto-ley 23/2020, de 23 de junio, por el que se aprueban medidas en materia de energía y en otros ámbitos para la reactivación económica</w:t>
      </w:r>
    </w:p>
    <w:p w14:paraId="20AED0EB" w14:textId="77777777" w:rsidR="003754FE" w:rsidRDefault="003754FE" w:rsidP="003754FE">
      <w:pPr>
        <w:pStyle w:val="TextoNormal"/>
      </w:pPr>
    </w:p>
    <w:p w14:paraId="72171B81" w14:textId="77777777" w:rsidR="003754FE" w:rsidRDefault="003754FE" w:rsidP="003754FE">
      <w:pPr>
        <w:pStyle w:val="TextoNormal"/>
      </w:pPr>
      <w:r>
        <w:t>Explica que, si bien la disposición recurrida habla de exención, de lo que se trata realmente es de permitir la acreditación conjunta de dos autorizaciones, la previa con la de construcción, al ser tramitadas de forma conjunta en la Comunidad Autónoma.</w:t>
      </w:r>
    </w:p>
    <w:p w14:paraId="0B0C4B84" w14:textId="77777777" w:rsidR="003754FE" w:rsidRDefault="003754FE" w:rsidP="003754FE">
      <w:pPr>
        <w:pStyle w:val="TextoNormal"/>
      </w:pPr>
    </w:p>
    <w:p w14:paraId="4451B07F" w14:textId="77777777" w:rsidR="003754FE" w:rsidRDefault="003754FE" w:rsidP="003754FE">
      <w:pPr>
        <w:pStyle w:val="TextoNormal"/>
      </w:pPr>
      <w:r>
        <w:t>Se trata además de una normativa ya vigente desde hace años en la Comunidad Autónoma, que no fue recurrida, habiéndose establecido para la energía eólica en el art. 7 del Decreto-ley 2/2016, de 30 de agosto, de medidas urgentes para la ejecución de las sentencias dictadas en relación con los concursos convocados en el marco del Decreto 124/2010, de 22 de junio, y el impulso de la producción de energía eléctrica a partir de la energía eólica en Aragón, y se estableció con carácter general en el art. 61.2 de la Ley de las Cortes de Aragón 1/2021, de 11 de febrero, de simplificación administrativa. Considera que ello responde a una elemental lógica procedimental que no incide en el cumplimiento de los hitos regulados en la Ley del sector eléctrico, la cual establece la posibilidad de tramitar conjuntamente estas autorizaciones de modo literal en el art. 53.1 y así lo ha establecido el legislador autonómico.</w:t>
      </w:r>
    </w:p>
    <w:p w14:paraId="72CA864D" w14:textId="77777777" w:rsidR="003754FE" w:rsidRDefault="003754FE" w:rsidP="003754FE">
      <w:pPr>
        <w:pStyle w:val="TextoNormal"/>
      </w:pPr>
    </w:p>
    <w:p w14:paraId="17282C03" w14:textId="44BCD3B3" w:rsidR="003754FE" w:rsidRDefault="003754FE" w:rsidP="003754FE">
      <w:pPr>
        <w:pStyle w:val="TextoNormal"/>
      </w:pPr>
      <w:r>
        <w:t>Añade que el Estado ha regulado estas fórmulas de simplificación administrativa para energías renovables en el art. 23 del Real Decreto-ley 20/2022, de 27 de diciembre, y además ha establecido una medida equivalente a la aragonesa a los efectos de la acreditación de hitos en el procedimiento de determinación de afección ambiental para proyectos de energías renovables, en el art. 22 del Real Decreto-ley 20/2022.</w:t>
      </w:r>
    </w:p>
    <w:p w14:paraId="2B3365C9" w14:textId="77777777" w:rsidR="003754FE" w:rsidRDefault="003754FE" w:rsidP="003754FE">
      <w:pPr>
        <w:pStyle w:val="TextoNormal"/>
      </w:pPr>
    </w:p>
    <w:p w14:paraId="3A87F23E" w14:textId="77777777" w:rsidR="003754FE" w:rsidRDefault="003754FE" w:rsidP="003754FE">
      <w:pPr>
        <w:pStyle w:val="TextoNormal"/>
      </w:pPr>
      <w:r w:rsidRPr="003754FE">
        <w:rPr>
          <w:rStyle w:val="NumeroAFNegritaCaracter"/>
        </w:rPr>
        <w:t>8</w:t>
      </w:r>
      <w:r>
        <w:t>. El 8 de marzo de 2024 también tuvo entrada en el registro de este tribunal escrito de la representación procesal del Gobierno de Aragón formulando sus alegaciones, en las que interesa la desestimación del recurso.</w:t>
      </w:r>
    </w:p>
    <w:p w14:paraId="1B102108" w14:textId="77777777" w:rsidR="003754FE" w:rsidRDefault="003754FE" w:rsidP="003754FE">
      <w:pPr>
        <w:pStyle w:val="TextoNormal"/>
      </w:pPr>
    </w:p>
    <w:p w14:paraId="2F3E3252" w14:textId="77777777" w:rsidR="003754FE" w:rsidRDefault="003754FE" w:rsidP="003754FE">
      <w:pPr>
        <w:pStyle w:val="TextoNormal"/>
      </w:pPr>
      <w:r>
        <w:t>A) El Gobierno de Aragón da contestación, en primer lugar, a las alegaciones relativas a la falta de extraordinaria y urgente necesidad como habilitación para dictar un decreto-ley, circunstancia también recogida en el art. 44.1 EAAr.</w:t>
      </w:r>
    </w:p>
    <w:p w14:paraId="7BAE73E5" w14:textId="77777777" w:rsidR="003754FE" w:rsidRDefault="003754FE" w:rsidP="003754FE">
      <w:pPr>
        <w:pStyle w:val="TextoNormal"/>
      </w:pPr>
    </w:p>
    <w:p w14:paraId="13618D24" w14:textId="77777777" w:rsidR="003754FE" w:rsidRDefault="003754FE" w:rsidP="003754FE">
      <w:pPr>
        <w:pStyle w:val="TextoNormal"/>
      </w:pPr>
      <w:r>
        <w:t xml:space="preserve">A tal efecto comienza analizando la exposición de motivos de la norma impugnada en relación a los impactos sociales y económicos derivados de la pandemia mundial generada por la covid-19 y la invasión de Ucrania, y el incremento del precio de la electricidad, y </w:t>
      </w:r>
      <w:r>
        <w:lastRenderedPageBreak/>
        <w:t>como la disponibilidad de recursos permite generar masivamente energía renovable en Aragón, la coyuntura actual de grave crisis internacional de la energía, y la necesidad de que Aragón se sitúe en una posición con la máxima urgencia dada la volátil coyuntura internacional y la rapidez de las decisiones empresariales, junto con la relevancia de que haya disponible energía renovable y sistemas de suministro eléctrico que permitan a las empresas disminuir sus costes energéticos y las emisiones de CO2 asociadas a sus procesos productivos.</w:t>
      </w:r>
    </w:p>
    <w:p w14:paraId="0EF5B1C5" w14:textId="77777777" w:rsidR="003754FE" w:rsidRDefault="003754FE" w:rsidP="003754FE">
      <w:pPr>
        <w:pStyle w:val="TextoNormal"/>
      </w:pPr>
    </w:p>
    <w:p w14:paraId="47AC25CA" w14:textId="77777777" w:rsidR="003754FE" w:rsidRDefault="003754FE" w:rsidP="003754FE">
      <w:pPr>
        <w:pStyle w:val="TextoNormal"/>
      </w:pPr>
      <w:r>
        <w:t>B) A continuación examina los preceptos impugnados.</w:t>
      </w:r>
    </w:p>
    <w:p w14:paraId="5912E988" w14:textId="77777777" w:rsidR="003754FE" w:rsidRDefault="003754FE" w:rsidP="003754FE">
      <w:pPr>
        <w:pStyle w:val="TextoNormal"/>
      </w:pPr>
    </w:p>
    <w:p w14:paraId="2560792D" w14:textId="77777777" w:rsidR="003754FE" w:rsidRDefault="003754FE" w:rsidP="003754FE">
      <w:pPr>
        <w:pStyle w:val="TextoNormal"/>
      </w:pPr>
      <w:r>
        <w:t xml:space="preserve">a) </w:t>
      </w:r>
      <w:r w:rsidRPr="003754FE">
        <w:rPr>
          <w:i/>
        </w:rPr>
        <w:t>Artículo 4. Consumo eléctrico de cercanía</w:t>
      </w:r>
    </w:p>
    <w:p w14:paraId="309D15B8" w14:textId="77777777" w:rsidR="003754FE" w:rsidRDefault="003754FE" w:rsidP="003754FE">
      <w:pPr>
        <w:pStyle w:val="TextoNormal"/>
      </w:pPr>
    </w:p>
    <w:p w14:paraId="78BFA938" w14:textId="77777777" w:rsidR="003754FE" w:rsidRDefault="003754FE" w:rsidP="003754FE">
      <w:pPr>
        <w:pStyle w:val="TextoNormal"/>
      </w:pPr>
      <w:r>
        <w:t>El Gobierno de Aragón defiende que el legislador aragonés ha construido un “concepto propio a efectos del Decreto-ley” sin alterar la definición de los términos que hace la legislación básica. En este sentido argumenta, con base en el art. 9 LSE, que la propia normativa básica prevé el autoconsumo con varios consumidores y no exige la conexión, en caso de varios consumidores, a la red de distribución estatal, permitiendo también el desarrollo de instalaciones próximas a efectos de autoconsumo.</w:t>
      </w:r>
    </w:p>
    <w:p w14:paraId="01BB2BBC" w14:textId="77777777" w:rsidR="003754FE" w:rsidRDefault="003754FE" w:rsidP="003754FE">
      <w:pPr>
        <w:pStyle w:val="TextoNormal"/>
      </w:pPr>
    </w:p>
    <w:p w14:paraId="29138C24" w14:textId="77777777" w:rsidR="003754FE" w:rsidRDefault="003754FE" w:rsidP="003754FE">
      <w:pPr>
        <w:pStyle w:val="TextoNormal"/>
      </w:pPr>
      <w:r>
        <w:t xml:space="preserve">b) </w:t>
      </w:r>
      <w:r w:rsidRPr="003754FE">
        <w:rPr>
          <w:i/>
        </w:rPr>
        <w:t>Artículo 5, apartados 1, 2 y 4. Líneas directas</w:t>
      </w:r>
    </w:p>
    <w:p w14:paraId="46DED468" w14:textId="77777777" w:rsidR="003754FE" w:rsidRDefault="003754FE" w:rsidP="003754FE">
      <w:pPr>
        <w:pStyle w:val="TextoNormal"/>
      </w:pPr>
    </w:p>
    <w:p w14:paraId="01DB5BE2" w14:textId="77777777" w:rsidR="003754FE" w:rsidRDefault="003754FE" w:rsidP="003754FE">
      <w:pPr>
        <w:pStyle w:val="TextoNormal"/>
      </w:pPr>
      <w:r>
        <w:t>Respecto al art. 5, apartados primero y segundo, responde a los argumentos del abogado del Estado señalando:</w:t>
      </w:r>
    </w:p>
    <w:p w14:paraId="32618F68" w14:textId="77777777" w:rsidR="003754FE" w:rsidRDefault="003754FE" w:rsidP="003754FE">
      <w:pPr>
        <w:pStyle w:val="TextoNormal"/>
      </w:pPr>
    </w:p>
    <w:p w14:paraId="07AC41B8" w14:textId="77777777" w:rsidR="003754FE" w:rsidRDefault="003754FE" w:rsidP="003754FE">
      <w:pPr>
        <w:pStyle w:val="TextoNormal"/>
      </w:pPr>
      <w:r>
        <w:t>(i) Que a través de la línea directa se puede unir a varios consumidores de cercanía, como está previsto en la normativa básica a efectos de autoconsumo en virtud del art. 9.2 LSE.</w:t>
      </w:r>
    </w:p>
    <w:p w14:paraId="24940FE0" w14:textId="77777777" w:rsidR="003754FE" w:rsidRDefault="003754FE" w:rsidP="003754FE">
      <w:pPr>
        <w:pStyle w:val="TextoNormal"/>
      </w:pPr>
    </w:p>
    <w:p w14:paraId="4D1289CE" w14:textId="77777777" w:rsidR="003754FE" w:rsidRDefault="003754FE" w:rsidP="003754FE">
      <w:pPr>
        <w:pStyle w:val="TextoNormal"/>
      </w:pPr>
      <w:r>
        <w:t>(ii) En cuanto a que productor y consumidor deben pertenecer a la misma empresa o grupo de empresas, salvo que se trate de electricidad generada a partir de fuentes renovables, señala que el Decreto-ley tiene precisamente por objeto impulsar la transición energética a partir de fuentes renovables.</w:t>
      </w:r>
    </w:p>
    <w:p w14:paraId="608F8D14" w14:textId="77777777" w:rsidR="003754FE" w:rsidRDefault="003754FE" w:rsidP="003754FE">
      <w:pPr>
        <w:pStyle w:val="TextoNormal"/>
      </w:pPr>
    </w:p>
    <w:p w14:paraId="02345726" w14:textId="77777777" w:rsidR="003754FE" w:rsidRDefault="003754FE" w:rsidP="003754FE">
      <w:pPr>
        <w:pStyle w:val="TextoNormal"/>
      </w:pPr>
      <w:r>
        <w:t>(iii) Y respecto a las menciones a “clientes”, “empresas comercializadoras” o “clientes de las empresas comercializadoras” se limita a indicar que “son conceptos básicos de la normativa europea no traspuesta en el ordenamiento interno”, reproduciendo el art. 7 de la Directiva 2019/944.</w:t>
      </w:r>
    </w:p>
    <w:p w14:paraId="739C0163" w14:textId="77777777" w:rsidR="003754FE" w:rsidRDefault="003754FE" w:rsidP="003754FE">
      <w:pPr>
        <w:pStyle w:val="TextoNormal"/>
      </w:pPr>
    </w:p>
    <w:p w14:paraId="6BE130EA" w14:textId="77777777" w:rsidR="003754FE" w:rsidRDefault="003754FE" w:rsidP="003754FE">
      <w:pPr>
        <w:pStyle w:val="TextoNormal"/>
      </w:pPr>
      <w:r>
        <w:t xml:space="preserve">c) </w:t>
      </w:r>
      <w:r w:rsidRPr="003754FE">
        <w:rPr>
          <w:i/>
        </w:rPr>
        <w:t>Artículo 6. Tipología</w:t>
      </w:r>
    </w:p>
    <w:p w14:paraId="6027DF31" w14:textId="77777777" w:rsidR="003754FE" w:rsidRDefault="003754FE" w:rsidP="003754FE">
      <w:pPr>
        <w:pStyle w:val="TextoNormal"/>
      </w:pPr>
    </w:p>
    <w:p w14:paraId="64A34F36" w14:textId="77777777" w:rsidR="003754FE" w:rsidRDefault="003754FE" w:rsidP="003754FE">
      <w:pPr>
        <w:pStyle w:val="TextoNormal"/>
      </w:pPr>
      <w:r>
        <w:t>Considera que el art. 6 no contiene ninguna innovación más allá de una enumeración de las líneas directas subsumible en la definición general que de ellas hace la normativa básica. Y vuelve a explicar que la normativa básica permite establecer una línea directa entre varios consumidores y que el art. 42 LSE excepciona el requisito de la misma empresa en el supuesto de energías renovables que es la materia sobre la que se proyecta la norma aragonesa.</w:t>
      </w:r>
    </w:p>
    <w:p w14:paraId="18F415AA" w14:textId="77777777" w:rsidR="003754FE" w:rsidRDefault="003754FE" w:rsidP="003754FE">
      <w:pPr>
        <w:pStyle w:val="TextoNormal"/>
      </w:pPr>
    </w:p>
    <w:p w14:paraId="26774978" w14:textId="77777777" w:rsidR="003754FE" w:rsidRDefault="003754FE" w:rsidP="003754FE">
      <w:pPr>
        <w:pStyle w:val="TextoNormal"/>
      </w:pPr>
      <w:r>
        <w:t xml:space="preserve">d) </w:t>
      </w:r>
      <w:r w:rsidRPr="003754FE">
        <w:rPr>
          <w:i/>
        </w:rPr>
        <w:t>Artículo 7, apartados 1, 2 y letras a), b) y c) del apartado 3. Criterios determinantes para la autorización de líneas directas</w:t>
      </w:r>
    </w:p>
    <w:p w14:paraId="44092B2B" w14:textId="77777777" w:rsidR="003754FE" w:rsidRDefault="003754FE" w:rsidP="003754FE">
      <w:pPr>
        <w:pStyle w:val="TextoNormal"/>
      </w:pPr>
    </w:p>
    <w:p w14:paraId="2812BD83" w14:textId="77777777" w:rsidR="003754FE" w:rsidRDefault="003754FE" w:rsidP="003754FE">
      <w:pPr>
        <w:pStyle w:val="TextoNormal"/>
      </w:pPr>
      <w:r>
        <w:lastRenderedPageBreak/>
        <w:t>Indica que el precepto solo establece las normas de funcionamiento y requisitos para la autorización de líneas directas, competencia de la Comunidad Autónoma, sin incidir en las competencias estatales, no siendo posible alegar la imputación de costes al resto de territorios cuando el propio art. 9.5 LSE indica que la energía autoconsumida de origen renovable, cogeneración o residuos estará exenta de todo tipo de cargos y peajes.</w:t>
      </w:r>
    </w:p>
    <w:p w14:paraId="12FED497" w14:textId="77777777" w:rsidR="003754FE" w:rsidRDefault="003754FE" w:rsidP="003754FE">
      <w:pPr>
        <w:pStyle w:val="TextoNormal"/>
      </w:pPr>
    </w:p>
    <w:p w14:paraId="6ADBD71E" w14:textId="77777777" w:rsidR="003754FE" w:rsidRDefault="003754FE" w:rsidP="003754FE">
      <w:pPr>
        <w:pStyle w:val="TextoNormal"/>
      </w:pPr>
      <w:r>
        <w:t xml:space="preserve">e) </w:t>
      </w:r>
      <w:r w:rsidRPr="003754FE">
        <w:rPr>
          <w:i/>
        </w:rPr>
        <w:t>Artículo 12. Instalaciones próximas de producción a efectos de autoconsumo, apartados 2, en cuanto al inciso “Las redes interiores podrán establecerse en cualquier nivel de tensión a efectos de autoconsumo”, y 3, en cuanto al inciso “y a establecer y operar redes interiores de cualquier nivel de tensión para establecer sistemas de autoconsumo”</w:t>
      </w:r>
    </w:p>
    <w:p w14:paraId="225E1A14" w14:textId="77777777" w:rsidR="003754FE" w:rsidRDefault="003754FE" w:rsidP="003754FE">
      <w:pPr>
        <w:pStyle w:val="TextoNormal"/>
      </w:pPr>
    </w:p>
    <w:p w14:paraId="23D28B5B" w14:textId="77777777" w:rsidR="003754FE" w:rsidRDefault="003754FE" w:rsidP="003754FE">
      <w:pPr>
        <w:pStyle w:val="TextoNormal"/>
      </w:pPr>
      <w:r>
        <w:t>Respecto a este artículo el letrado del Gobierno de Aragón indica que solo hace referencia a los conceptos de la normativa básica que complementa.</w:t>
      </w:r>
    </w:p>
    <w:p w14:paraId="245BC3D0" w14:textId="77777777" w:rsidR="003754FE" w:rsidRDefault="003754FE" w:rsidP="003754FE">
      <w:pPr>
        <w:pStyle w:val="TextoNormal"/>
      </w:pPr>
    </w:p>
    <w:p w14:paraId="463242C3" w14:textId="77777777" w:rsidR="003754FE" w:rsidRDefault="003754FE" w:rsidP="003754FE">
      <w:pPr>
        <w:pStyle w:val="TextoNormal"/>
      </w:pPr>
      <w:r>
        <w:t xml:space="preserve">f) </w:t>
      </w:r>
      <w:r w:rsidRPr="003754FE">
        <w:rPr>
          <w:i/>
        </w:rPr>
        <w:t>Artículo 13, apartados 2, 3 y 4. Medidas sobre autoconsumo sin excedentes</w:t>
      </w:r>
    </w:p>
    <w:p w14:paraId="2BD2DD56" w14:textId="77777777" w:rsidR="003754FE" w:rsidRDefault="003754FE" w:rsidP="003754FE">
      <w:pPr>
        <w:pStyle w:val="TextoNormal"/>
      </w:pPr>
    </w:p>
    <w:p w14:paraId="0BF1FAAD" w14:textId="77777777" w:rsidR="003754FE" w:rsidRDefault="003754FE" w:rsidP="003754FE">
      <w:pPr>
        <w:pStyle w:val="TextoNormal"/>
      </w:pPr>
      <w:r>
        <w:t>El letrado del Gobierno de Aragón, al examinar el apartado segundo del art. 13 insiste en la posibilidad de que una modalidad de autoconsumo sin excedentes asocie a varios consumidores según el art. 9 LSE. Y, en relación con el apartado 3 y las tachas de infracción de la competencia exclusiva en materia de pesas y medidas, responde también que la existencia de estos medidores no excluye la existencia de los medidores convencionales regulados en la norma estatal, dado que el art. 13 del Decreto-ley los reconoce “a los exclusivos efectos” de determinar la energía consumida por cada consumidor de la instalación de producción próxima asociada.</w:t>
      </w:r>
    </w:p>
    <w:p w14:paraId="42FA4E99" w14:textId="77777777" w:rsidR="003754FE" w:rsidRDefault="003754FE" w:rsidP="003754FE">
      <w:pPr>
        <w:pStyle w:val="TextoNormal"/>
      </w:pPr>
    </w:p>
    <w:p w14:paraId="59D92ADA" w14:textId="77777777" w:rsidR="003754FE" w:rsidRDefault="003754FE" w:rsidP="003754FE">
      <w:pPr>
        <w:pStyle w:val="TextoNormal"/>
      </w:pPr>
      <w:r>
        <w:t xml:space="preserve">g) </w:t>
      </w:r>
      <w:r w:rsidRPr="003754FE">
        <w:rPr>
          <w:i/>
        </w:rPr>
        <w:t>Artículo 19. Mancomunidades de energía</w:t>
      </w:r>
    </w:p>
    <w:p w14:paraId="734C4541" w14:textId="77777777" w:rsidR="003754FE" w:rsidRDefault="003754FE" w:rsidP="003754FE">
      <w:pPr>
        <w:pStyle w:val="TextoNormal"/>
      </w:pPr>
    </w:p>
    <w:p w14:paraId="241370E1" w14:textId="77777777" w:rsidR="003754FE" w:rsidRDefault="003754FE" w:rsidP="003754FE">
      <w:pPr>
        <w:pStyle w:val="TextoNormal"/>
      </w:pPr>
      <w:r>
        <w:t>Explica el letrado del Gobierno de Aragón que las mancomunidades siempre han de estar formadas por comunidades de energía y estas, para tener esa condición, habrán de cumplir los requisitos establecidos en la legislación básica.</w:t>
      </w:r>
    </w:p>
    <w:p w14:paraId="20C0455D" w14:textId="77777777" w:rsidR="003754FE" w:rsidRDefault="003754FE" w:rsidP="003754FE">
      <w:pPr>
        <w:pStyle w:val="TextoNormal"/>
      </w:pPr>
    </w:p>
    <w:p w14:paraId="6D505810" w14:textId="77777777" w:rsidR="003754FE" w:rsidRDefault="003754FE" w:rsidP="003754FE">
      <w:pPr>
        <w:pStyle w:val="TextoNormal"/>
      </w:pPr>
      <w:r>
        <w:t xml:space="preserve">h) </w:t>
      </w:r>
      <w:r w:rsidRPr="003754FE">
        <w:rPr>
          <w:i/>
        </w:rPr>
        <w:t>Artículo 22, apartado 2. Actividad propia de las comunidades de energía</w:t>
      </w:r>
    </w:p>
    <w:p w14:paraId="041BE51F" w14:textId="77777777" w:rsidR="003754FE" w:rsidRDefault="003754FE" w:rsidP="003754FE">
      <w:pPr>
        <w:pStyle w:val="TextoNormal"/>
      </w:pPr>
    </w:p>
    <w:p w14:paraId="16FE6D58" w14:textId="77777777" w:rsidR="003754FE" w:rsidRDefault="003754FE" w:rsidP="003754FE">
      <w:pPr>
        <w:pStyle w:val="TextoNormal"/>
      </w:pPr>
      <w:r>
        <w:t>Con carácter previo denuncia que sobre este precepto no consta el preceptivo dictamen del Consejo de Estado y que, en caso de estimación, la declaración de inconstitucionalidad solo afectaría a la expresión “térmica” y no a todo el apartado.</w:t>
      </w:r>
    </w:p>
    <w:p w14:paraId="03F521C3" w14:textId="77777777" w:rsidR="003754FE" w:rsidRDefault="003754FE" w:rsidP="003754FE">
      <w:pPr>
        <w:pStyle w:val="TextoNormal"/>
      </w:pPr>
    </w:p>
    <w:p w14:paraId="3201815D" w14:textId="77777777" w:rsidR="003754FE" w:rsidRDefault="003754FE" w:rsidP="003754FE">
      <w:pPr>
        <w:pStyle w:val="TextoNormal"/>
      </w:pPr>
      <w:r>
        <w:t>Señala también que la generación térmica está incluida en el ámbito de la Directiva 2019/944, dado que entre las definiciones que recoge el art. 2, en el punto 11, se define una comunidad ciudadana de energía como aquella entidad jurídica que participa en la generación de energía procedente de fuentes renovables y, como energía procedente de fuentes renovables, el punto 31 de este mismo precepto recoge la generación térmica.</w:t>
      </w:r>
    </w:p>
    <w:p w14:paraId="0C4C37DC" w14:textId="77777777" w:rsidR="003754FE" w:rsidRDefault="003754FE" w:rsidP="003754FE">
      <w:pPr>
        <w:pStyle w:val="TextoNormal"/>
      </w:pPr>
    </w:p>
    <w:p w14:paraId="39B50FA3" w14:textId="77777777" w:rsidR="003754FE" w:rsidRDefault="003754FE" w:rsidP="003754FE">
      <w:pPr>
        <w:pStyle w:val="TextoNormal"/>
      </w:pPr>
      <w:r>
        <w:t>i</w:t>
      </w:r>
      <w:r w:rsidRPr="003754FE">
        <w:rPr>
          <w:i/>
        </w:rPr>
        <w:t>) Artículo 33. Definici</w:t>
      </w:r>
      <w:r>
        <w:t>ón</w:t>
      </w:r>
    </w:p>
    <w:p w14:paraId="2D39F2EE" w14:textId="77777777" w:rsidR="003754FE" w:rsidRDefault="003754FE" w:rsidP="003754FE">
      <w:pPr>
        <w:pStyle w:val="TextoNormal"/>
      </w:pPr>
    </w:p>
    <w:p w14:paraId="615E4E16" w14:textId="77777777" w:rsidR="003754FE" w:rsidRDefault="003754FE" w:rsidP="003754FE">
      <w:pPr>
        <w:pStyle w:val="TextoNormal"/>
      </w:pPr>
      <w:r>
        <w:t xml:space="preserve">El letrado del Gobierno de Aragón sostiene en primer término que la normativa aragonesa está plenamente alineada con la Directiva 2019/944, transcribiendo el contenido del considerando 66 y del art. 38 de la misma. En cualquier caso, señala que el art. 5 del Real </w:t>
      </w:r>
      <w:r>
        <w:lastRenderedPageBreak/>
        <w:t>Decreto 314/2023, de 25 de abril, prevé la posibilidad de que las redes de distribución de energía eléctrica cerrada alimenten hasta un máximo de cien consumidores no industriales, cuestión que podría dar lugar a una interpretación conforme a la normativa básica que señale que los consumidores no industriales deben respetar dicho número máximo.</w:t>
      </w:r>
    </w:p>
    <w:p w14:paraId="1F5C502D" w14:textId="77777777" w:rsidR="003754FE" w:rsidRDefault="003754FE" w:rsidP="003754FE">
      <w:pPr>
        <w:pStyle w:val="TextoNormal"/>
      </w:pPr>
    </w:p>
    <w:p w14:paraId="299E0854" w14:textId="77777777" w:rsidR="003754FE" w:rsidRDefault="003754FE" w:rsidP="003754FE">
      <w:pPr>
        <w:pStyle w:val="TextoNormal"/>
      </w:pPr>
      <w:r>
        <w:t>Y llega a sostener que “quizá la normativa estatal esté en contradicción con la normativa europea por cuanto restringe los usos de las redes de distribución de energía eléctrica cerrada con limitación de la libertad comercial”, cuestión que entiende debería valorarse antes de resolverse sobre la constitucionalidad del precepto impugnado.</w:t>
      </w:r>
    </w:p>
    <w:p w14:paraId="0AC38EEF" w14:textId="77777777" w:rsidR="003754FE" w:rsidRDefault="003754FE" w:rsidP="003754FE">
      <w:pPr>
        <w:pStyle w:val="TextoNormal"/>
      </w:pPr>
    </w:p>
    <w:p w14:paraId="51ACC0B8" w14:textId="77777777" w:rsidR="003754FE" w:rsidRDefault="003754FE" w:rsidP="003754FE">
      <w:pPr>
        <w:pStyle w:val="TextoNormal"/>
      </w:pPr>
      <w:r>
        <w:t xml:space="preserve">j) </w:t>
      </w:r>
      <w:r w:rsidRPr="003754FE">
        <w:rPr>
          <w:i/>
        </w:rPr>
        <w:t>Artículo 38. Optimización del uso de plantas con capacidad instalada superior a la capacidad de acceso</w:t>
      </w:r>
    </w:p>
    <w:p w14:paraId="61F3963F" w14:textId="77777777" w:rsidR="003754FE" w:rsidRDefault="003754FE" w:rsidP="003754FE">
      <w:pPr>
        <w:pStyle w:val="TextoNormal"/>
      </w:pPr>
    </w:p>
    <w:p w14:paraId="6BD73B3C" w14:textId="77777777" w:rsidR="003754FE" w:rsidRDefault="003754FE" w:rsidP="003754FE">
      <w:pPr>
        <w:pStyle w:val="TextoNormal"/>
      </w:pPr>
      <w:r>
        <w:t>Indica que el precepto es un desarrollo, en el ejercicio de sus competencias, de la normativa básica, como se ha ido reiterando a lo largo del escrito de alegaciones.</w:t>
      </w:r>
    </w:p>
    <w:p w14:paraId="4DAC2659" w14:textId="77777777" w:rsidR="003754FE" w:rsidRDefault="003754FE" w:rsidP="003754FE">
      <w:pPr>
        <w:pStyle w:val="TextoNormal"/>
      </w:pPr>
    </w:p>
    <w:p w14:paraId="3AB93672" w14:textId="77777777" w:rsidR="003754FE" w:rsidRDefault="003754FE" w:rsidP="003754FE">
      <w:pPr>
        <w:pStyle w:val="TextoNormal"/>
      </w:pPr>
      <w:r>
        <w:t xml:space="preserve">k) </w:t>
      </w:r>
      <w:r w:rsidRPr="003754FE">
        <w:rPr>
          <w:i/>
        </w:rPr>
        <w:t>Artículo 39. Autoconsumo sin excedentes desde plantas con capacidad superior a la capacidad de acceso</w:t>
      </w:r>
    </w:p>
    <w:p w14:paraId="0A5D7568" w14:textId="77777777" w:rsidR="003754FE" w:rsidRDefault="003754FE" w:rsidP="003754FE">
      <w:pPr>
        <w:pStyle w:val="TextoNormal"/>
      </w:pPr>
    </w:p>
    <w:p w14:paraId="4C819BA3" w14:textId="77777777" w:rsidR="003754FE" w:rsidRDefault="003754FE" w:rsidP="003754FE">
      <w:pPr>
        <w:pStyle w:val="TextoNormal"/>
      </w:pPr>
      <w:r>
        <w:t>Explica que la finalidad de la norma es optimizar los excedentes con el fin de reducir los costes de la energía a la ciudadanía y que la normativa básica contempla la posibilidad del autoconsumo colectivo.</w:t>
      </w:r>
    </w:p>
    <w:p w14:paraId="679A3A24" w14:textId="77777777" w:rsidR="003754FE" w:rsidRDefault="003754FE" w:rsidP="003754FE">
      <w:pPr>
        <w:pStyle w:val="TextoNormal"/>
      </w:pPr>
    </w:p>
    <w:p w14:paraId="25D080CA" w14:textId="77777777" w:rsidR="003754FE" w:rsidRDefault="003754FE" w:rsidP="003754FE">
      <w:pPr>
        <w:pStyle w:val="TextoNormal"/>
      </w:pPr>
      <w:r>
        <w:t xml:space="preserve">l) </w:t>
      </w:r>
      <w:r w:rsidRPr="003754FE">
        <w:rPr>
          <w:i/>
        </w:rPr>
        <w:t>Artículo 40, apartados 2 y 3. Autorización de infraestructuras complementarias</w:t>
      </w:r>
    </w:p>
    <w:p w14:paraId="7B4CB064" w14:textId="77777777" w:rsidR="003754FE" w:rsidRDefault="003754FE" w:rsidP="003754FE">
      <w:pPr>
        <w:pStyle w:val="TextoNormal"/>
      </w:pPr>
    </w:p>
    <w:p w14:paraId="57222304" w14:textId="77777777" w:rsidR="003754FE" w:rsidRDefault="003754FE" w:rsidP="003754FE">
      <w:pPr>
        <w:pStyle w:val="TextoNormal"/>
      </w:pPr>
      <w:r>
        <w:t>Señala el letrado que se trata de la capacidad de desarrollo de políticas propias en el marco de la normativa básica.</w:t>
      </w:r>
    </w:p>
    <w:p w14:paraId="2777FF04" w14:textId="77777777" w:rsidR="003754FE" w:rsidRDefault="003754FE" w:rsidP="003754FE">
      <w:pPr>
        <w:pStyle w:val="TextoNormal"/>
      </w:pPr>
    </w:p>
    <w:p w14:paraId="41C980F7" w14:textId="77777777" w:rsidR="003754FE" w:rsidRDefault="003754FE" w:rsidP="003754FE">
      <w:pPr>
        <w:pStyle w:val="TextoNormal"/>
      </w:pPr>
      <w:r>
        <w:t>m</w:t>
      </w:r>
      <w:r w:rsidRPr="003754FE">
        <w:rPr>
          <w:i/>
        </w:rPr>
        <w:t>) Artículo 59. Gestión y agregación de deman</w:t>
      </w:r>
      <w:r>
        <w:t>da</w:t>
      </w:r>
    </w:p>
    <w:p w14:paraId="4BAFB3A3" w14:textId="77777777" w:rsidR="003754FE" w:rsidRDefault="003754FE" w:rsidP="003754FE">
      <w:pPr>
        <w:pStyle w:val="TextoNormal"/>
      </w:pPr>
    </w:p>
    <w:p w14:paraId="2740737B" w14:textId="77777777" w:rsidR="003754FE" w:rsidRDefault="003754FE" w:rsidP="003754FE">
      <w:pPr>
        <w:pStyle w:val="TextoNormal"/>
      </w:pPr>
      <w:r>
        <w:t>Opone que no existe normativa básica dado que el Estado español no ha traspuesto el art. 17 de la Directiva 2019/944, por lo que es una impugnación de carácter preventivo que no es admisible. En cualquier caso, el apartado segundo del art. 59 indica que se regulará de acuerdo con la normativa básica y en coordinación con el operador del sistema eléctrico, por lo que el legislador aragonés prevé y acata la futura regulación normativa que pueda dictarse con carácter nacional.</w:t>
      </w:r>
    </w:p>
    <w:p w14:paraId="48CCF19C" w14:textId="77777777" w:rsidR="003754FE" w:rsidRDefault="003754FE" w:rsidP="003754FE">
      <w:pPr>
        <w:pStyle w:val="TextoNormal"/>
      </w:pPr>
    </w:p>
    <w:p w14:paraId="3EE359A0" w14:textId="77777777" w:rsidR="003754FE" w:rsidRDefault="003754FE" w:rsidP="003754FE">
      <w:pPr>
        <w:pStyle w:val="TextoNormal"/>
      </w:pPr>
      <w:r>
        <w:t xml:space="preserve">n) </w:t>
      </w:r>
      <w:r w:rsidRPr="003754FE">
        <w:rPr>
          <w:i/>
        </w:rPr>
        <w:t>Disposición adicional cuarta. Autorización de aumentos de potencia instalada o de hibridación</w:t>
      </w:r>
    </w:p>
    <w:p w14:paraId="0D1D944C" w14:textId="77777777" w:rsidR="003754FE" w:rsidRDefault="003754FE" w:rsidP="003754FE">
      <w:pPr>
        <w:pStyle w:val="TextoNormal"/>
      </w:pPr>
    </w:p>
    <w:p w14:paraId="69BBDD07" w14:textId="77777777" w:rsidR="003754FE" w:rsidRDefault="003754FE" w:rsidP="003754FE">
      <w:pPr>
        <w:pStyle w:val="TextoNormal"/>
      </w:pPr>
      <w:r>
        <w:t xml:space="preserve">Explica que la norma no regula una nueva instalación, sino la competencia para la autorización de los aumentos de potencia o hibridación cuando no supongan modificación alguna de las condiciones de acceso y conexión. Y siendo autonómica la autorización inicial, y no pudiendo afectar a otros territorios la modificación al no alterarse las condiciones de acceso y conexión, debe concluirse que la mera modificación de la potencia, modificando la autorización inicial debe residir en la administración que otorgó la autorización en primer lugar. Es decir, la competencia autonómica de una puesta en funcionamiento de una </w:t>
      </w:r>
      <w:r>
        <w:lastRenderedPageBreak/>
        <w:t>instalación de producción de energía eléctrica se extiende a su modificación si no supone afectación superior al ámbito territorial.</w:t>
      </w:r>
    </w:p>
    <w:p w14:paraId="198B0D8D" w14:textId="77777777" w:rsidR="003754FE" w:rsidRDefault="003754FE" w:rsidP="003754FE">
      <w:pPr>
        <w:pStyle w:val="TextoNormal"/>
      </w:pPr>
    </w:p>
    <w:p w14:paraId="6800030E" w14:textId="77777777" w:rsidR="003754FE" w:rsidRDefault="003754FE" w:rsidP="003754FE">
      <w:pPr>
        <w:pStyle w:val="TextoNormal"/>
      </w:pPr>
      <w:r>
        <w:t>ñ</w:t>
      </w:r>
      <w:r w:rsidRPr="003754FE">
        <w:rPr>
          <w:i/>
        </w:rPr>
        <w:t>) Disposición adicional quinta. Modificación de líneas de evacuaci</w:t>
      </w:r>
      <w:r>
        <w:t>ón</w:t>
      </w:r>
    </w:p>
    <w:p w14:paraId="13B461DF" w14:textId="77777777" w:rsidR="003754FE" w:rsidRDefault="003754FE" w:rsidP="003754FE">
      <w:pPr>
        <w:pStyle w:val="TextoNormal"/>
      </w:pPr>
    </w:p>
    <w:p w14:paraId="57E2303F" w14:textId="77777777" w:rsidR="003754FE" w:rsidRDefault="003754FE" w:rsidP="003754FE">
      <w:pPr>
        <w:pStyle w:val="TextoNormal"/>
      </w:pPr>
      <w:r>
        <w:t>Señala que el hecho de que en la letra a) del apartado segundo de la disposición recurrida se indique expresamente que la conexión se someterá al régimen establecido en la normativa estatal y que las infraestructuras necesarias para dicha conexión se integrarán en la red de distribución junto al tramo de la línea de evacuación que una el punto de conexión con la red de distribución original, evidencia la falta del vicio imputado.</w:t>
      </w:r>
    </w:p>
    <w:p w14:paraId="131C64A7" w14:textId="77777777" w:rsidR="003754FE" w:rsidRDefault="003754FE" w:rsidP="003754FE">
      <w:pPr>
        <w:pStyle w:val="TextoNormal"/>
      </w:pPr>
    </w:p>
    <w:p w14:paraId="249F53A7" w14:textId="77777777" w:rsidR="003754FE" w:rsidRDefault="003754FE" w:rsidP="003754FE">
      <w:pPr>
        <w:pStyle w:val="TextoNormal"/>
      </w:pPr>
      <w:r>
        <w:t xml:space="preserve">o) </w:t>
      </w:r>
      <w:r w:rsidRPr="003754FE">
        <w:rPr>
          <w:i/>
        </w:rPr>
        <w:t>Disposición transitoria tercera. Aplicación de hitos previstos en el Real Decreto-ley 23/2020, de 23 de junio, por el que se aprueban medidas en materia de energía y en otros ámbitos para la reactivación económica</w:t>
      </w:r>
    </w:p>
    <w:p w14:paraId="6123AA34" w14:textId="77777777" w:rsidR="003754FE" w:rsidRDefault="003754FE" w:rsidP="003754FE">
      <w:pPr>
        <w:pStyle w:val="TextoNormal"/>
      </w:pPr>
    </w:p>
    <w:p w14:paraId="0F4953D8" w14:textId="75F81243" w:rsidR="003754FE" w:rsidRDefault="003754FE" w:rsidP="003754FE">
      <w:pPr>
        <w:pStyle w:val="TextoNormal"/>
      </w:pPr>
      <w:r>
        <w:t>Explica que este precepto se basa en la singularidad de los procedimientos administrativos propios sobre los que incide, no solo la competencia compartida en materia de energía, sino también competencias sobre procedimiento administrativo derivado de sus peculiaridades, ordenación del territorio y urbanismo, con fundamento en el art. 71 EAAr.</w:t>
      </w:r>
    </w:p>
    <w:p w14:paraId="0D43B5E7" w14:textId="77777777" w:rsidR="003754FE" w:rsidRDefault="003754FE" w:rsidP="003754FE">
      <w:pPr>
        <w:pStyle w:val="TextoNormal"/>
      </w:pPr>
    </w:p>
    <w:p w14:paraId="7649F9C3" w14:textId="7F6908E6" w:rsidR="003754FE" w:rsidRDefault="003754FE" w:rsidP="003754FE">
      <w:pPr>
        <w:pStyle w:val="TextoNormal"/>
      </w:pPr>
      <w:r w:rsidRPr="003754FE">
        <w:rPr>
          <w:rStyle w:val="NumeroAFNegritaCaracter"/>
        </w:rPr>
        <w:t>9</w:t>
      </w:r>
      <w:r>
        <w:t>. Por diligencia de ordenación del secretario de justicia del Pleno de 11 de marzo de 2024, se acordó que, próximo a finalizar el plazo de los cinco meses que señala el art. 161.2 CE desde que se produjo la suspensión de los preceptos impugnados, se oiga a las partes personadas para que, en el plazo de cinco días, expongan lo que consideren conveniente acerca del mantenimiento o levantamiento de dicha suspensión, siendo presentadas dichas alegaciones los días 18, 19 y 27 de marzo de 2024.</w:t>
      </w:r>
    </w:p>
    <w:p w14:paraId="11E1D921" w14:textId="77777777" w:rsidR="003754FE" w:rsidRDefault="003754FE" w:rsidP="003754FE">
      <w:pPr>
        <w:pStyle w:val="TextoNormal"/>
      </w:pPr>
    </w:p>
    <w:p w14:paraId="3D1AFE13" w14:textId="3C7B44EA" w:rsidR="003754FE" w:rsidRDefault="003754FE" w:rsidP="003754FE">
      <w:pPr>
        <w:pStyle w:val="TextoNormal"/>
      </w:pPr>
      <w:r w:rsidRPr="003754FE">
        <w:rPr>
          <w:rStyle w:val="NumeroAFNegritaCaracter"/>
        </w:rPr>
        <w:t>10</w:t>
      </w:r>
      <w:r>
        <w:t>. Por ATC 37/2024, de 23 de abril, se acordó “[l]evantar la suspensión de los artículos 4; 5, apartados 1, 2 y 4; 6; 7, apartados 1, 2, y letras a), b) y c) del apartado 3; 12, apartado 2 en cuanto al inciso “Las redes interiores podrán establecerse en cualquier nivel de tensión a efectos de autoconsumo” y 3, en cuanto al inciso “y a establecer y operar redes interiores de cualquier nivel de tensión para establecer sistemas de autoconsumo”; 13, apartados 2, 3 y 4; 19; 22.2; 33; 38; 39; 40, apartados 2 y 3; 59; la disposición adicional cuarta; la disposición adicional quinta, y la disposición transitoria tercera del Decreto-ley del Gobierno de Aragón 1/2023, de 20 de marzo, de medidas urgentes para el impulso de la transición energética y el consumo de cercanía en Aragón”.</w:t>
      </w:r>
    </w:p>
    <w:p w14:paraId="53A0ED3E" w14:textId="77777777" w:rsidR="003754FE" w:rsidRDefault="003754FE" w:rsidP="003754FE">
      <w:pPr>
        <w:pStyle w:val="TextoNormal"/>
      </w:pPr>
    </w:p>
    <w:p w14:paraId="089CD5C5" w14:textId="03C19267" w:rsidR="003754FE" w:rsidRDefault="003754FE" w:rsidP="003754FE">
      <w:pPr>
        <w:pStyle w:val="TextoNormal"/>
      </w:pPr>
      <w:r w:rsidRPr="003754FE">
        <w:rPr>
          <w:rStyle w:val="NumeroAFNegritaCaracter"/>
        </w:rPr>
        <w:t>11</w:t>
      </w:r>
      <w:r>
        <w:t>. Mediante providencia de 10 de septiembre de 2024, se señaló ese mismo día para deliberación y votación de la presente sentencia.</w:t>
      </w:r>
    </w:p>
    <w:p w14:paraId="6CB76DA9" w14:textId="77777777" w:rsidR="003754FE" w:rsidRDefault="003754FE" w:rsidP="003754FE">
      <w:pPr>
        <w:pStyle w:val="TextoNormal"/>
      </w:pPr>
    </w:p>
    <w:p w14:paraId="74E34758" w14:textId="77777777" w:rsidR="003754FE" w:rsidRDefault="003754FE" w:rsidP="003754FE">
      <w:pPr>
        <w:pStyle w:val="TextoNormalNegritaCentrado"/>
        <w:keepNext/>
      </w:pPr>
      <w:r>
        <w:t>II. Fundamentos jurídicos</w:t>
      </w:r>
    </w:p>
    <w:p w14:paraId="4127AF31" w14:textId="2A78BC79" w:rsidR="003754FE" w:rsidRDefault="003754FE" w:rsidP="003754FE">
      <w:pPr>
        <w:pStyle w:val="TextoNormalNegritaCentrado"/>
        <w:keepNext/>
      </w:pPr>
    </w:p>
    <w:p w14:paraId="3ADA4A3E" w14:textId="77777777" w:rsidR="003754FE" w:rsidRDefault="003754FE" w:rsidP="003754FE">
      <w:pPr>
        <w:pStyle w:val="TextoNormal"/>
      </w:pPr>
      <w:r w:rsidRPr="003754FE">
        <w:rPr>
          <w:rStyle w:val="NumeroAFNegritaCaracter"/>
        </w:rPr>
        <w:t>1</w:t>
      </w:r>
      <w:r>
        <w:t xml:space="preserve">. </w:t>
      </w:r>
      <w:r w:rsidRPr="003754FE">
        <w:rPr>
          <w:i/>
        </w:rPr>
        <w:t>Objeto del recurso y posiciones de las partes</w:t>
      </w:r>
    </w:p>
    <w:p w14:paraId="4D4DA8EF" w14:textId="77777777" w:rsidR="003754FE" w:rsidRDefault="003754FE" w:rsidP="003754FE">
      <w:pPr>
        <w:pStyle w:val="TextoNormal"/>
      </w:pPr>
    </w:p>
    <w:p w14:paraId="489F58E6" w14:textId="77777777" w:rsidR="003754FE" w:rsidRDefault="003754FE" w:rsidP="003754FE">
      <w:pPr>
        <w:pStyle w:val="TextoNormal"/>
      </w:pPr>
      <w:r>
        <w:t xml:space="preserve">a) El recurso de inconstitucionalidad núm. 8042-2023, promovido por el presidente del Gobierno, tiene por objeto los artículos 4; 5, apartados 1, 2 y 4; 6; 7, apartados 1, 2 y letras </w:t>
      </w:r>
      <w:r>
        <w:lastRenderedPageBreak/>
        <w:t>a), b) y c) del apartado 3; 12, apartado 2 en cuanto al inciso “Las redes interiores podrán establecerse en cualquier nivel de tensión a efectos de autoconsumo” y 3, en cuanto al inciso “y a establecer y operar redes interiores de cualquier nivel de tensión para establecer sistemas de autoconsumo”; 13, apartados 2, 3 y 4; 19; 22, apartado 2; 33; 38; 39; 40, apartados 2 y 3; y 59; la disposición adicional cuarta; la disposición adicional quinta; y la disposición transitoria tercera del Decreto-ley 1/2023, de 20 de marzo, del Gobierno de Aragón, de medidas urgentes para el impulso de la transición energética y el consumo de cercanía en Aragón.</w:t>
      </w:r>
    </w:p>
    <w:p w14:paraId="540466BD" w14:textId="77777777" w:rsidR="003754FE" w:rsidRDefault="003754FE" w:rsidP="003754FE">
      <w:pPr>
        <w:pStyle w:val="TextoNormal"/>
      </w:pPr>
    </w:p>
    <w:p w14:paraId="402BB609" w14:textId="77777777" w:rsidR="003754FE" w:rsidRDefault="003754FE" w:rsidP="003754FE">
      <w:pPr>
        <w:pStyle w:val="TextoNormal"/>
      </w:pPr>
      <w:r>
        <w:t>Como se ha expuesto de forma más detallada en los antecedentes, los recurrentes consideran que la totalidad del Decreto-ley incurre en una vulneración del art. 86.1 CE por carecer del presupuesto habilitante de la extraordinaria y urgente necesidad. En segundo lugar, se denuncia que vulnera la legislación básica sobre bases y coordinación de la planificación general de la actividad económica (art. 149.1.13 CE) y bases de régimen minero y energético (art. 149.1.25 CE), concretamente de determinados preceptos de la Ley del sector eléctrico.</w:t>
      </w:r>
    </w:p>
    <w:p w14:paraId="7DBD625B" w14:textId="77777777" w:rsidR="003754FE" w:rsidRDefault="003754FE" w:rsidP="003754FE">
      <w:pPr>
        <w:pStyle w:val="TextoNormal"/>
      </w:pPr>
    </w:p>
    <w:p w14:paraId="1B7CE3C2" w14:textId="77777777" w:rsidR="003754FE" w:rsidRDefault="003754FE" w:rsidP="003754FE">
      <w:pPr>
        <w:pStyle w:val="TextoNormal"/>
      </w:pPr>
      <w:r>
        <w:t>La letrada de las Cortes de Aragón y el letrado del Gobierno de Aragón niegan por su parte las vulneraciones constitucionales alegadas interesando, por ello, la íntegra desestimación del recurso.</w:t>
      </w:r>
    </w:p>
    <w:p w14:paraId="5469157B" w14:textId="77777777" w:rsidR="003754FE" w:rsidRDefault="003754FE" w:rsidP="003754FE">
      <w:pPr>
        <w:pStyle w:val="TextoNormal"/>
      </w:pPr>
    </w:p>
    <w:p w14:paraId="577FF408" w14:textId="1393C0EF" w:rsidR="003754FE" w:rsidRDefault="003754FE" w:rsidP="003754FE">
      <w:pPr>
        <w:pStyle w:val="TextoNormal"/>
      </w:pPr>
      <w:r>
        <w:t>b) A la hora de dar respuesta a las tachas de inconstitucionalidad que se han expuesto, debemos comenzar por la pretensión impugnatoria vinculada a la utilización del instrumento normativo de urgencia ya que, conforme a doctrina reiterada (por todas, STC 105/2018, de 4 de octubre, FJ 3, y las que allí se citan), el examen de las infracciones que se refieren al art. 86 CE ha de ser prioritario en el orden de nuestro enjuiciamiento, toda vez que la infracción denunciada incide directamente sobre la validez de los preceptos impugnados, ya que se cuestiona la legitimidad constitucional de su inclusión en una norma de urgencia. Por tanto, si se estimaran las alegaciones relativas al art. 86 CE resultaría innecesario el examen de las restantes alegaciones.</w:t>
      </w:r>
    </w:p>
    <w:p w14:paraId="66482AA8" w14:textId="77777777" w:rsidR="003754FE" w:rsidRDefault="003754FE" w:rsidP="003754FE">
      <w:pPr>
        <w:pStyle w:val="TextoNormal"/>
      </w:pPr>
    </w:p>
    <w:p w14:paraId="3B773B46" w14:textId="77777777" w:rsidR="003754FE" w:rsidRDefault="003754FE" w:rsidP="003754FE">
      <w:pPr>
        <w:pStyle w:val="TextoNormal"/>
      </w:pPr>
      <w:r w:rsidRPr="003754FE">
        <w:rPr>
          <w:rStyle w:val="NumeroAFNegritaCaracter"/>
        </w:rPr>
        <w:t>2</w:t>
      </w:r>
      <w:r>
        <w:t xml:space="preserve">. </w:t>
      </w:r>
      <w:r w:rsidRPr="003754FE">
        <w:rPr>
          <w:i/>
        </w:rPr>
        <w:t>Doctrina constitucional en relación con el presupuesto habilitante de la extraordinaria y urgente necesidad</w:t>
      </w:r>
    </w:p>
    <w:p w14:paraId="25465B23" w14:textId="77777777" w:rsidR="003754FE" w:rsidRDefault="003754FE" w:rsidP="003754FE">
      <w:pPr>
        <w:pStyle w:val="TextoNormal"/>
      </w:pPr>
    </w:p>
    <w:p w14:paraId="23F44C11" w14:textId="77777777" w:rsidR="003754FE" w:rsidRDefault="003754FE" w:rsidP="003754FE">
      <w:pPr>
        <w:pStyle w:val="TextoNormal"/>
      </w:pPr>
      <w:r>
        <w:t>a) El examen del primer motivo de impugnación del recurso exige que recordemos, en primer lugar, la doctrina constitucional elaborada en relación con el presupuesto que habilita al Gobierno para aprobar normas provisionales con rango de ley, con especial referencia a la potestad que corresponde a las comunidades autónomas. En segundo lugar, analizaremos las razones invocadas por el Gobierno de Aragón para justificar la aprobación de la norma recurrida, así como la existencia o no de la “conexión de sentido” entre las medidas adoptadas y el presupuesto habilitante.</w:t>
      </w:r>
    </w:p>
    <w:p w14:paraId="00F7C4AF" w14:textId="77777777" w:rsidR="003754FE" w:rsidRDefault="003754FE" w:rsidP="003754FE">
      <w:pPr>
        <w:pStyle w:val="TextoNormal"/>
      </w:pPr>
    </w:p>
    <w:p w14:paraId="1FED1735" w14:textId="77777777" w:rsidR="003754FE" w:rsidRDefault="003754FE" w:rsidP="003754FE">
      <w:pPr>
        <w:pStyle w:val="TextoNormal"/>
      </w:pPr>
      <w:r>
        <w:t xml:space="preserve">En este caso nos encontramos ante el ejercicio de la potestad legislativa por parte de un gobierno autonómico. A propósito de este tipo de supuestos ya hemos indicado, entre otras, en las SSTC 40/2021, de 18 de febrero, FJ 2, y 8/2023, de 22 de febrero, FJ 5, que “[e]ste tribunal ha considerado, asimismo, que, aunque la Constitución no lo prevea, nada impide que el legislador estatutario pueda atribuir a los gobiernos autonómicos la potestad de dictar normas provisionales con rango de ley, siempre que los límites formales y materiales a los </w:t>
      </w:r>
      <w:r>
        <w:lastRenderedPageBreak/>
        <w:t>que se encuentren sometidas sean, como mínimo, los mismos que la Constitución impone al decreto-ley estatal (SSTC 93/2015, de 14 de mayo, FFJJ 3 a 6; 104/2015, de 28 de mayo, FJ 4; 38/2016, de 3 de marzo, FJ 2, y 105/2018, de 4 de octubre, FJ 3, entre otras)”, “pudiendo el estatuto añadir ‘cautelas o exclusiones adicionales’ con el fin de ‘preservar más intensamente la posición del parlamento autonómico’ (SSTC 93/2015, de 14 de mayo, FJ 5, y 107/2015, de 28 de mayo, FJ 2)” (STC 126/2023, de 27 de septiembre, FJ 3).</w:t>
      </w:r>
    </w:p>
    <w:p w14:paraId="46C3735D" w14:textId="77777777" w:rsidR="003754FE" w:rsidRDefault="003754FE" w:rsidP="003754FE">
      <w:pPr>
        <w:pStyle w:val="TextoNormal"/>
      </w:pPr>
    </w:p>
    <w:p w14:paraId="14C1ABE4" w14:textId="77777777" w:rsidR="003754FE" w:rsidRDefault="003754FE" w:rsidP="003754FE">
      <w:pPr>
        <w:pStyle w:val="TextoNormal"/>
      </w:pPr>
      <w:r>
        <w:t>En consecuencia, para resolver la impugnación planteada frente al Decreto-ley 1/2023 debemos tomar en consideración la doctrina constitucional relativa al art. 86.1 CE, pues el art. 44 del Estatuto de Autonomía de Aragón exige también un caso de necesidad urgente y extraordinaria como presupuesto habilitante para que el Gobierno pueda “dictar disposiciones legislativas provisionales bajo la forma de decreto-ley”.</w:t>
      </w:r>
    </w:p>
    <w:p w14:paraId="4BE8B070" w14:textId="77777777" w:rsidR="003754FE" w:rsidRDefault="003754FE" w:rsidP="003754FE">
      <w:pPr>
        <w:pStyle w:val="TextoNormal"/>
      </w:pPr>
    </w:p>
    <w:p w14:paraId="024527E2" w14:textId="77777777" w:rsidR="003754FE" w:rsidRDefault="003754FE" w:rsidP="003754FE">
      <w:pPr>
        <w:pStyle w:val="TextoNormal"/>
      </w:pPr>
      <w:r>
        <w:t>b) De acuerdo con lo anterior, debemos partir de la jurisprudencia constitucional a propósito del presupuesto habilitante del decreto-ley.</w:t>
      </w:r>
    </w:p>
    <w:p w14:paraId="54CC9E60" w14:textId="77777777" w:rsidR="003754FE" w:rsidRDefault="003754FE" w:rsidP="003754FE">
      <w:pPr>
        <w:pStyle w:val="TextoNormal"/>
      </w:pPr>
    </w:p>
    <w:p w14:paraId="2AFAC43B" w14:textId="77777777" w:rsidR="003754FE" w:rsidRDefault="003754FE" w:rsidP="003754FE">
      <w:pPr>
        <w:pStyle w:val="TextoNormal"/>
      </w:pPr>
      <w:r>
        <w:t>Sobre los términos “extraordinaria y urgente necesidad” bastará recordar que “no constituyen una cláusula o expresión vacía de significado dentro de la cual el margen de apreciación política del Gobierno se mueve libremente sin restricción alguna, sino un verdadero límite jurídico a la actuación mediante decretos-leyes” (por todas, la reciente STC 166/2023, de 22 de noviembre, FJ 3).</w:t>
      </w:r>
    </w:p>
    <w:p w14:paraId="4452C895" w14:textId="77777777" w:rsidR="003754FE" w:rsidRDefault="003754FE" w:rsidP="003754FE">
      <w:pPr>
        <w:pStyle w:val="TextoNormal"/>
      </w:pPr>
    </w:p>
    <w:p w14:paraId="45A8331B" w14:textId="77777777" w:rsidR="003754FE" w:rsidRDefault="003754FE" w:rsidP="003754FE">
      <w:pPr>
        <w:pStyle w:val="TextoNormal"/>
      </w:pPr>
      <w:r>
        <w:t>La apreciación de la concurrencia de la extraordinaria y urgente necesidad constituye un juicio político que corresponde efectuar tanto al Ejecutivo para dictar el decreto-ley como al Congreso de los Diputados, o a la cámara autonómica, para, llegado el caso, convalidarlo en votación de totalidad (arts. 86.1 y 2 CE y 44 del Estatuto de Autonomía de Aragón), incumbiéndole a este tribunal “controlar que ese juicio político no desborde los límites de lo manifiestamente razonable, sin suplantar a los órganos constitucionales que intervienen en la aprobación y convalidación de los decretos-leyes” (STC 134/2021, de 24 de junio, FJ 3).</w:t>
      </w:r>
    </w:p>
    <w:p w14:paraId="5DE9CEE1" w14:textId="77777777" w:rsidR="003754FE" w:rsidRDefault="003754FE" w:rsidP="003754FE">
      <w:pPr>
        <w:pStyle w:val="TextoNormal"/>
      </w:pPr>
    </w:p>
    <w:p w14:paraId="518F8D23" w14:textId="77777777" w:rsidR="003754FE" w:rsidRDefault="003754FE" w:rsidP="003754FE">
      <w:pPr>
        <w:pStyle w:val="TextoNormal"/>
      </w:pPr>
      <w:r>
        <w:t>Este control externo se concreta en la comprobación de que el Ejecutivo haya definido, de manera explícita y razonada, una situación de extraordinaria y urgente necesidad que precise de una respuesta normativa con rango de ley y de que, además, exista una conexión de sentido entre la situación definida y las medidas adoptadas para hacerle frente (en este sentido, STC 40/2021, de 18 de febrero, FJ 2). Aunque ambos aspectos están íntimamente ligados, su examen por separado facilita desde un punto de vista metodológico el análisis de las consideraciones de las partes y, en última instancia, el control que le corresponde efectuar a este tribunal (SSTC 332/2005, de 15 de diciembre, FJ 6; 126/2023, de 27 de septiembre, y 166/2023, de 22 de noviembre, FJ 3).</w:t>
      </w:r>
    </w:p>
    <w:p w14:paraId="57F107CF" w14:textId="77777777" w:rsidR="003754FE" w:rsidRDefault="003754FE" w:rsidP="003754FE">
      <w:pPr>
        <w:pStyle w:val="TextoNormal"/>
      </w:pPr>
    </w:p>
    <w:p w14:paraId="26A15D43" w14:textId="77777777" w:rsidR="003754FE" w:rsidRDefault="003754FE" w:rsidP="003754FE">
      <w:pPr>
        <w:pStyle w:val="TextoNormal"/>
      </w:pPr>
      <w:r>
        <w:t xml:space="preserve">En cuanto a la definición de la situación de urgencia, nuestra doctrina ha precisado que no es necesario que la misma se contenga siempre en el propio decreto-ley, sino que tal presupuesto cabe deducirlo igualmente de una pluralidad de elementos que son, básicamente, los que quedan reflejados en la exposición de motivos de la norma, a lo largo del debate parlamentario de convalidación y en el propio expediente de elaboración de la misma (STC 152/2017, de 21 de diciembre, FJ 3, y las que allí se citan). Respecto de la conexión de sentido entre la situación de urgencia definida y las medidas adoptadas, deben valorarse </w:t>
      </w:r>
      <w:r>
        <w:lastRenderedPageBreak/>
        <w:t>el contenido y la estructura de las disposiciones incluidas en el decreto-ley controvertido [por todas, STC 61/2018, de 7 de junio, FJ 4 e)].</w:t>
      </w:r>
    </w:p>
    <w:p w14:paraId="2DF9F907" w14:textId="77777777" w:rsidR="003754FE" w:rsidRDefault="003754FE" w:rsidP="003754FE">
      <w:pPr>
        <w:pStyle w:val="TextoNormal"/>
      </w:pPr>
    </w:p>
    <w:p w14:paraId="0A145319" w14:textId="4530A001" w:rsidR="003754FE" w:rsidRDefault="003754FE" w:rsidP="003754FE">
      <w:pPr>
        <w:pStyle w:val="TextoNormal"/>
      </w:pPr>
      <w:r>
        <w:t>c) Hay que añadir a lo anterior, y como particularidad aplicable al supuesto que nos ocupa, en el que se ha hecho ejercicio de la potestad legislativa por un gobierno autonómico, tal y como ya dijimos en la STC 40/2021, FJ 2, que “[l]a doctrina de este tribunal ha sostenido, también, que, al efectuar ‘la valoración conjunta de factores que implica el control externo del presupuesto que habilita a acudir al decreto-ley, un factor importante a tomar en cuenta es el menor tiempo que requiere tramitar un proyecto de ley en una cámara autonómica (dado su carácter unicameral, así como su más reducido tamaño y menor actividad parlamentaria, en comparación con la que se lleva a cabo en las Cortes Generales), pues puede hacer posible que las situaciones de necesidad sean atendidas tempestivamente mediante la aprobación de leyes, decayendo así la necesidad de intervención extraordinaria del Ejecutivo, con lo que dejaría de concurrir el presupuesto habilitante’ (STC 93/2015, de 14 de mayo, FJ 6, reiterada, entre otras, por la STC 157/2016, de 22 de septiembre, FJ 5)”.</w:t>
      </w:r>
    </w:p>
    <w:p w14:paraId="741E7373" w14:textId="77777777" w:rsidR="003754FE" w:rsidRDefault="003754FE" w:rsidP="003754FE">
      <w:pPr>
        <w:pStyle w:val="TextoNormal"/>
      </w:pPr>
    </w:p>
    <w:p w14:paraId="12816CCD" w14:textId="77777777" w:rsidR="003754FE" w:rsidRDefault="003754FE" w:rsidP="003754FE">
      <w:pPr>
        <w:pStyle w:val="TextoNormal"/>
      </w:pPr>
      <w:r w:rsidRPr="003754FE">
        <w:rPr>
          <w:rStyle w:val="NumeroAFNegritaCaracter"/>
        </w:rPr>
        <w:t>3</w:t>
      </w:r>
      <w:r>
        <w:t xml:space="preserve">. </w:t>
      </w:r>
      <w:r w:rsidRPr="003754FE">
        <w:rPr>
          <w:i/>
        </w:rPr>
        <w:t>Explicitación por el Gobierno de Aragón de la concurrencia del presupuesto habilitante de “extraordinaria y urgente necesidad”</w:t>
      </w:r>
    </w:p>
    <w:p w14:paraId="16D6688F" w14:textId="77777777" w:rsidR="003754FE" w:rsidRDefault="003754FE" w:rsidP="003754FE">
      <w:pPr>
        <w:pStyle w:val="TextoNormal"/>
      </w:pPr>
    </w:p>
    <w:p w14:paraId="45034346" w14:textId="77777777" w:rsidR="003754FE" w:rsidRDefault="003754FE" w:rsidP="003754FE">
      <w:pPr>
        <w:pStyle w:val="TextoNormal"/>
      </w:pPr>
      <w:r>
        <w:t>Conforme al canon que se acaba de exponer procede examinar ahora la concurrencia del presupuesto habilitante de la norma, consistente en la concurrencia de una situación de extraordinaria y urgente necesidad. Este examen ha de llevarse a cabo mediante la valoración conjunta del preámbulo de la norma y del debate parlamentario de convalidación, pues el expediente de elaboración del Decreto-ley 1/2023 (posible tercera fuente de justificación al efecto como ya se ha dicho) ni se ha aportado por la representación del Gobierno de Aragón, a la que hubiera correspondido hacerlo, ni hay referencia alguna al mismo en las alegaciones de la representación procesal del propio Gobierno o de las Cortes de Aragón (en sentido análogo, STC 29/2015, de 19 de febrero, FJ 4).</w:t>
      </w:r>
    </w:p>
    <w:p w14:paraId="7E8275BD" w14:textId="77777777" w:rsidR="003754FE" w:rsidRDefault="003754FE" w:rsidP="003754FE">
      <w:pPr>
        <w:pStyle w:val="TextoNormal"/>
      </w:pPr>
    </w:p>
    <w:p w14:paraId="119B1D0A" w14:textId="77777777" w:rsidR="003754FE" w:rsidRDefault="003754FE" w:rsidP="003754FE">
      <w:pPr>
        <w:pStyle w:val="TextoNormal"/>
      </w:pPr>
      <w:r>
        <w:t>a) El único apartado de la exposición de motivos en el que se hace una mención concreta a las razones que justificarían la adopción de las medidas mediante este instrumento normativa es el apartado VII, dedicado precisamente a justificar que concurren los requisitos necesarios para adoptar las medidas mediante un decreto-ley, si bien tanto la letrada de las Cortes de Aragón, como el letrado del Gobierno autonómico, hacen también referencia al apartado III de la exposición de motivos, que se refiere por su parte al papel estratégico de las energías renovables.</w:t>
      </w:r>
    </w:p>
    <w:p w14:paraId="0612436F" w14:textId="77777777" w:rsidR="003754FE" w:rsidRDefault="003754FE" w:rsidP="003754FE">
      <w:pPr>
        <w:pStyle w:val="TextoNormal"/>
      </w:pPr>
    </w:p>
    <w:p w14:paraId="699FDE9F" w14:textId="77777777" w:rsidR="003754FE" w:rsidRDefault="003754FE" w:rsidP="003754FE">
      <w:pPr>
        <w:pStyle w:val="TextoNormal"/>
      </w:pPr>
      <w:r>
        <w:t xml:space="preserve">(i) El apartado III de la exposición de motivos se centra en el examen de la “nueva política energética aragonesa” haciendo mención a que “[l]a disponibilidad de recursos que permiten generar masivamente energía renovable en Aragón justifica y exige, a un tiempo, la adopción de medidas inaplazables que, en un escenario tan volátil como el actual, permitan favorecer la implantación de grandes proyectos inversores generadores de riqueza y empleo en Aragón cuando estén vinculados a proyectos de producción de energía eléctrica a partir de fuentes renovables que puedan favorecer de forma significativa, incluso decisiva, su competitividad. En su ámbito de actuación se incluyen aquellas propuestas estratégicas que, por su importancia o naturaleza, contribuyen a la consecución de empleo estable y de calidad; al aprovechamiento y la potenciación de los recursos naturales y económicos bajo el principio de sostenibilidad; y al desarrollo industrial y tecnológico basado en la innovación. </w:t>
      </w:r>
      <w:r>
        <w:lastRenderedPageBreak/>
        <w:t>El objeto y finalidad es que estas instalaciones industriales y de generación renovable puedan tramitarse ante la administración con la mayor agilidad y eficacia”.</w:t>
      </w:r>
    </w:p>
    <w:p w14:paraId="069D66EA" w14:textId="77777777" w:rsidR="003754FE" w:rsidRDefault="003754FE" w:rsidP="003754FE">
      <w:pPr>
        <w:pStyle w:val="TextoNormal"/>
      </w:pPr>
    </w:p>
    <w:p w14:paraId="00C55127" w14:textId="77777777" w:rsidR="003754FE" w:rsidRDefault="003754FE" w:rsidP="003754FE">
      <w:pPr>
        <w:pStyle w:val="TextoNormal"/>
      </w:pPr>
      <w:r>
        <w:t>Hay también una referencia a la “coyuntura actual de grave crisis internacional de la energía”, en la que “resultan estratégicas las actuaciones destinadas a reducir el consumo de energía procedente de fuentes fósiles en los procesos productivos gracias al uso de vías alternativas para lograr la autosuficiencia energética de la industria”, con especial mención al desarrollo de los proyectos estratégicos (automóvil eléctrico) que necesitan instalaciones de producción con gran consumo energético.</w:t>
      </w:r>
    </w:p>
    <w:p w14:paraId="6560A497" w14:textId="77777777" w:rsidR="003754FE" w:rsidRDefault="003754FE" w:rsidP="003754FE">
      <w:pPr>
        <w:pStyle w:val="TextoNormal"/>
      </w:pPr>
    </w:p>
    <w:p w14:paraId="4DE0F101" w14:textId="77777777" w:rsidR="003754FE" w:rsidRDefault="003754FE" w:rsidP="003754FE">
      <w:pPr>
        <w:pStyle w:val="TextoNormal"/>
      </w:pPr>
      <w:r>
        <w:t>También el apartado I de la exposición de motivos al referirse a la trasposición de las directivas europeas explica que “[l]os grandes impactos sociales y económicos derivados de la pandemia mundial generada por la covid-19 se han visto aumentados en la actualidad por la reciente invasión de Ucrania por parte de Rusia; una intervención militar que está generando importantes consecuencias en todos los órdenes: humanitario, social y económico. Con la finalidad de combatir los problemas generados, muy especialmente, por el incremento del precio de la electricidad, resulta a todas luces prioritario y perentorio establecer medidas adecuadas para impulsar el desarrollo y la innovación en tecnologías de generación renovable, de menor coste que las energías convencionales y más sostenibles económica y ambientalmente, el autoconsumo energético, las comunidades de energía y, sobre todo, la integración de dicha generación en los procesos productivos industriales, generadores de riqueza y empleo”.</w:t>
      </w:r>
    </w:p>
    <w:p w14:paraId="6329D7A1" w14:textId="77777777" w:rsidR="003754FE" w:rsidRDefault="003754FE" w:rsidP="003754FE">
      <w:pPr>
        <w:pStyle w:val="TextoNormal"/>
      </w:pPr>
    </w:p>
    <w:p w14:paraId="291B5F76" w14:textId="77777777" w:rsidR="003754FE" w:rsidRDefault="003754FE" w:rsidP="003754FE">
      <w:pPr>
        <w:pStyle w:val="TextoNormal"/>
      </w:pPr>
      <w:r>
        <w:t>(ii) Como señala el abogado del Estado, es más concretamente el apartado VII de la exposición de motivos del Decreto-ley el que explicita las razones por las que se ha acudido al decreto-ley. Tras hacer referencia a la justificación del decreto-ley en aquellos supuestos de coyuntura de crisis sanitaria y económica que exijan una rápida respuesta explica que: “[l]a crisis económica derivada de la emergencia sanitaria que asoló el mundo de finales de 2019 a finales de 2022, primero, y la agresión rusa a Ucrania iniciada en febrero de 2022, después, justifican la extraordinaria y urgente necesidad de adoptar medidas que permitan acelerar la implantación de plantas de producción de energías renovables, primero, y el consumo eléctrico de cercanía, después. El autoconsumo, en el marco de lo establecido en la normativa básica estatal, las comunidades de energía y la integración de diversas acciones generadoras de demanda con las energías obtenidas de fuentes renovables, constituyen palancas fundamentales para que la actual situación, crítica para muchos ciudadanos y empresas, pueda revertirse hacia la normalidad. Pero esa normalidad ha de ser diferente a la anterior, ha de estar comprometida con la lucha contra el cambio climático y la reducción de emisiones, con la democratización de la energía, con su puesta en valor en el ámbito empresarial para incrementar la competitividad de nuestra industria. Son muchos, en fin, los objetivos y poco el tiempo que la sucesión de crisis desde el inicio del presente siglo concede para alcanzarlos con éxito”.</w:t>
      </w:r>
    </w:p>
    <w:p w14:paraId="587D8288" w14:textId="77777777" w:rsidR="003754FE" w:rsidRDefault="003754FE" w:rsidP="003754FE">
      <w:pPr>
        <w:pStyle w:val="TextoNormal"/>
      </w:pPr>
    </w:p>
    <w:p w14:paraId="1087E8D0" w14:textId="77777777" w:rsidR="003754FE" w:rsidRDefault="003754FE" w:rsidP="003754FE">
      <w:pPr>
        <w:pStyle w:val="TextoNormal"/>
      </w:pPr>
      <w:r>
        <w:t>Tras esta explicación hace también referencia al juicio político o de oportunidad que corresponde al Gobierno, señalando que “esta decisión, sin duda, supone una ordenación de prioridades políticas de actuación (STC 14/2020, de 28 de enero, FJ 4), centradas en el cumplimiento de la seguridad jurídica y la salud pública”.</w:t>
      </w:r>
    </w:p>
    <w:p w14:paraId="6521274C" w14:textId="77777777" w:rsidR="003754FE" w:rsidRDefault="003754FE" w:rsidP="003754FE">
      <w:pPr>
        <w:pStyle w:val="TextoNormal"/>
      </w:pPr>
    </w:p>
    <w:p w14:paraId="67623A37" w14:textId="77777777" w:rsidR="003754FE" w:rsidRDefault="003754FE" w:rsidP="003754FE">
      <w:pPr>
        <w:pStyle w:val="TextoNormal"/>
      </w:pPr>
      <w:r>
        <w:lastRenderedPageBreak/>
        <w:t>Por último, apunta que “este Decreto-ley […] responde a los principios de necesidad, eficacia, proporcionalidad, seguridad jurídica, transparencia, y eficiencia, tal y como exigen la normativa básica estatal y aragonesa de procedimiento administrativo y régimen jurídico. A estos efectos se pone de manifiesto el cumplimiento de los principios de necesidad y eficacia dado el interés general en el que se fundamentan las medidas que se establecen, siendo el decreto-ley el instrumento más adecuado para garantizar su consecución”.</w:t>
      </w:r>
    </w:p>
    <w:p w14:paraId="0A620CC4" w14:textId="77777777" w:rsidR="003754FE" w:rsidRDefault="003754FE" w:rsidP="003754FE">
      <w:pPr>
        <w:pStyle w:val="TextoNormal"/>
      </w:pPr>
    </w:p>
    <w:p w14:paraId="01983E7F" w14:textId="77777777" w:rsidR="003754FE" w:rsidRDefault="003754FE" w:rsidP="003754FE">
      <w:pPr>
        <w:pStyle w:val="TextoNormal"/>
      </w:pPr>
      <w:r>
        <w:t>b) La sesión parlamentaria para decidir sobre la convalidación del Decreto-ley se celebró el 30 de marzo de 2023 (“Diario de Sesiones de las Cortes de Aragón”, núm. 85, pp. 9328-9340).</w:t>
      </w:r>
    </w:p>
    <w:p w14:paraId="11F2EA46" w14:textId="77777777" w:rsidR="003754FE" w:rsidRDefault="003754FE" w:rsidP="003754FE">
      <w:pPr>
        <w:pStyle w:val="TextoNormal"/>
      </w:pPr>
    </w:p>
    <w:p w14:paraId="3A906041" w14:textId="77777777" w:rsidR="003754FE" w:rsidRDefault="003754FE" w:rsidP="003754FE">
      <w:pPr>
        <w:pStyle w:val="TextoNormal"/>
      </w:pPr>
      <w:r>
        <w:t>(i) En la defensa del texto ofrecida por el señor vicepresidente del Gobierno de Aragón y consejero de Industria, Competitividad y Desarrollo Empresarial se explicó la posición preeminente de la Comunidad Autónoma de Aragón en la generación de energía en el sistema eléctrico nacional y, cómo el 75 por 100 de la energía que se produce es renovable (frente al 42 por 100 en España). Señala que el Decreto-ley tiene como objetivos:</w:t>
      </w:r>
    </w:p>
    <w:p w14:paraId="7B609832" w14:textId="77777777" w:rsidR="003754FE" w:rsidRDefault="003754FE" w:rsidP="003754FE">
      <w:pPr>
        <w:pStyle w:val="TextoNormal"/>
      </w:pPr>
    </w:p>
    <w:p w14:paraId="12542A32" w14:textId="77777777" w:rsidR="003754FE" w:rsidRDefault="003754FE" w:rsidP="003754FE">
      <w:pPr>
        <w:pStyle w:val="TextoNormal"/>
      </w:pPr>
      <w:r>
        <w:t>“[U]no, transición justa. Si hay que hacer una transición en la economía española, esa transición, para Aragón, no la circunscribo a la transición de la central térmica, cuya generación la hemos sustituido ya por la renovable, sino a la transición justa como comunidad. Hay comunidades que son deficitarias y serán deficitarias en energía, pero que tienen que contribuir a la transición justa en esta exigencia que marcan Europa y España en su conjunto.</w:t>
      </w:r>
    </w:p>
    <w:p w14:paraId="502E1159" w14:textId="77777777" w:rsidR="003754FE" w:rsidRDefault="003754FE" w:rsidP="003754FE">
      <w:pPr>
        <w:pStyle w:val="TextoNormal"/>
      </w:pPr>
    </w:p>
    <w:p w14:paraId="7668D05F" w14:textId="77777777" w:rsidR="003754FE" w:rsidRDefault="003754FE" w:rsidP="003754FE">
      <w:pPr>
        <w:pStyle w:val="TextoNormal"/>
      </w:pPr>
      <w:r>
        <w:t xml:space="preserve">En segundo lugar, democratizar el acceso a la energía. Esto tiene un recorrido serio, porque, claro, con los costes de la energía y estas cuestiones, para ciudadanos y para empresas, la energía se ha convertido en un elemento clave: uno, de supervivencia, y les recuerdo que con los bonos eléctricos y el bono térmico se están invirtiendo grandes cantidades, unas, en este caso, con transferencias de fondos </w:t>
      </w:r>
      <w:r w:rsidRPr="003754FE">
        <w:rPr>
          <w:i/>
        </w:rPr>
        <w:t>Next Generation</w:t>
      </w:r>
      <w:r>
        <w:t>, y en segundo lugar, como palanca de competitividad de las empresas.</w:t>
      </w:r>
    </w:p>
    <w:p w14:paraId="072CAD1D" w14:textId="77777777" w:rsidR="003754FE" w:rsidRDefault="003754FE" w:rsidP="003754FE">
      <w:pPr>
        <w:pStyle w:val="TextoNormal"/>
      </w:pPr>
    </w:p>
    <w:p w14:paraId="27FBDF77" w14:textId="77777777" w:rsidR="003754FE" w:rsidRDefault="003754FE" w:rsidP="003754FE">
      <w:pPr>
        <w:pStyle w:val="TextoNormal"/>
      </w:pPr>
      <w:r>
        <w:t>[…]</w:t>
      </w:r>
    </w:p>
    <w:p w14:paraId="37168D74" w14:textId="77777777" w:rsidR="003754FE" w:rsidRDefault="003754FE" w:rsidP="003754FE">
      <w:pPr>
        <w:pStyle w:val="TextoNormal"/>
      </w:pPr>
    </w:p>
    <w:p w14:paraId="1CC78A08" w14:textId="77777777" w:rsidR="003754FE" w:rsidRDefault="003754FE" w:rsidP="003754FE">
      <w:pPr>
        <w:pStyle w:val="TextoNormal"/>
      </w:pPr>
      <w:r>
        <w:t>Otra cuestión fundamental: la palanca de competitividad para las empresas. Ayer mismo, yo hablaba con un empresario que tiene la autorización y que el 40 por 100 de su energía va a ser con fuentes renovables, o la propia empresa Stellantis u otras empresas de la Comunidad Autónoma”.</w:t>
      </w:r>
    </w:p>
    <w:p w14:paraId="61886A5D" w14:textId="77777777" w:rsidR="003754FE" w:rsidRDefault="003754FE" w:rsidP="003754FE">
      <w:pPr>
        <w:pStyle w:val="TextoNormal"/>
      </w:pPr>
    </w:p>
    <w:p w14:paraId="42BC8C11" w14:textId="77777777" w:rsidR="003754FE" w:rsidRDefault="003754FE" w:rsidP="003754FE">
      <w:pPr>
        <w:pStyle w:val="TextoNormal"/>
      </w:pPr>
      <w:r>
        <w:t>Tras exponer los mencionados objetivos se explica la regulación de las líneas directas, el autoconsumo, las comunidades energéticas, o la creación de un registro. También se hace una mención especial a las cuestiones urbanísticas apuntando que “[e]stamos hablando también de una nueva modalidad para dar más fuerza a la competitividad como región y atraer inversiones productivas, y tenemos la declaración de interés autonómico, una declaración de interés general, reforzada cuando hay una vinculación de los proyectos industriales o de consumos energéticos con la creación de empleo, y vinculada a la producción de energías renovables. Como exportamos —les decía— el 42 por 100, en la medida que seamos capaces de consumir en Aragón esa energía, estaremos, como digo, reforzando nuestra competitividad”.</w:t>
      </w:r>
    </w:p>
    <w:p w14:paraId="46718227" w14:textId="77777777" w:rsidR="003754FE" w:rsidRDefault="003754FE" w:rsidP="003754FE">
      <w:pPr>
        <w:pStyle w:val="TextoNormal"/>
      </w:pPr>
    </w:p>
    <w:p w14:paraId="0C432974" w14:textId="77777777" w:rsidR="003754FE" w:rsidRDefault="003754FE" w:rsidP="003754FE">
      <w:pPr>
        <w:pStyle w:val="TextoNormal"/>
      </w:pPr>
      <w:r>
        <w:lastRenderedPageBreak/>
        <w:t>Finalmente se menciona la creación de una comisión especial para estudiar los impactos, y la creación de un fondo de transición energética en Aragón. Y se concluye señalando que el Decreto-ley “es novedoso” y que “Aragón tiene una oportunidad de trazar el camino, como lo hicimos antes en los planes energéticos, y de ser una referencia.</w:t>
      </w:r>
    </w:p>
    <w:p w14:paraId="3AD3FE30" w14:textId="77777777" w:rsidR="003754FE" w:rsidRDefault="003754FE" w:rsidP="003754FE">
      <w:pPr>
        <w:pStyle w:val="TextoNormal"/>
      </w:pPr>
    </w:p>
    <w:p w14:paraId="035A4FB8" w14:textId="77777777" w:rsidR="003754FE" w:rsidRDefault="003754FE" w:rsidP="003754FE">
      <w:pPr>
        <w:pStyle w:val="TextoNormal"/>
      </w:pPr>
      <w:r>
        <w:t>España es la segunda potencia europea en renovables, Aragón es la segunda potencia en renovables de España, y ustedes tienen la oportunidad de sentar las bases de esa política energética seria y, además, que tiene muy en cuenta las peculiaridades de Aragón con ese recurso, porque, al final, no se pueden transvasar el viento y el sol”.</w:t>
      </w:r>
    </w:p>
    <w:p w14:paraId="2FF54C02" w14:textId="77777777" w:rsidR="003754FE" w:rsidRDefault="003754FE" w:rsidP="003754FE">
      <w:pPr>
        <w:pStyle w:val="TextoNormal"/>
      </w:pPr>
    </w:p>
    <w:p w14:paraId="21A65EB7" w14:textId="77777777" w:rsidR="003754FE" w:rsidRDefault="003754FE" w:rsidP="003754FE">
      <w:pPr>
        <w:pStyle w:val="TextoNormal"/>
      </w:pPr>
      <w:r>
        <w:t>(ii) En las intervenciones ulteriores los portavoces de los grupos parlamentarios debatieron entre otros aspectos del Decreto-ley: el cambio de modelo que este implanta y si verdaderamente va a ser palanca de competitividad industrial y empresarial, atrayendo inversiones a Aragón; el concepto de autoconsumo del que parte la norma y la definición de las líneas directas; el abaratamiento de los costes de la factura final de la electricidad; la planificación y la trasposición de directivas de la Unión Europea no traspuestas aún por España; la posible invasión de competencias estatales; así como la necesidad de que este decreto-ley se tenía que haber tramitado como proyecto de ley ante la magnitud del mismo y la necesidad de abordar el debate con serenidad y con tiempo suficiente y participación para llegar a un consenso, coincidiendo en la creación de un sistema propio.</w:t>
      </w:r>
    </w:p>
    <w:p w14:paraId="531BE35C" w14:textId="77777777" w:rsidR="003754FE" w:rsidRDefault="003754FE" w:rsidP="003754FE">
      <w:pPr>
        <w:pStyle w:val="TextoNormal"/>
      </w:pPr>
    </w:p>
    <w:p w14:paraId="4AB12E31" w14:textId="77777777" w:rsidR="003754FE" w:rsidRDefault="003754FE" w:rsidP="003754FE">
      <w:pPr>
        <w:pStyle w:val="TextoNormal"/>
      </w:pPr>
      <w:r>
        <w:t>(iii) Solo un portavoz de un grupo parlamentario hizo alusión a la pandemia y a la invasión de Ucrania, señalando que “[e]sto significa que se van a favorecer diferentes formas de consumo y de autoconsumo plenamente compatibles con el suministro a través de la red y, por tanto, además, se va a hacer una red globalmente eficiente. Vamos a tener en cuenta esos grandes impactos sociales y económicos derivados de la pandemia, que se han visto aumentados en la actualidad con la invasión de Ucrania por parte de Rusia, y eso está teniendo consecuencias a todos los niveles: humanitarios, sociales, económicos. Y yo creo que esto, más que nunca, está justificando este supuesto de extraordinaria y urgente necesidad que aboga la utilización del decreto-ley. […]. Porque, que yo sepa, la invasión de Ucrania por parte de Rusia se ha producido hace un año, no se ha producido en el año 2019, cuando empezó esta legislatura”.</w:t>
      </w:r>
    </w:p>
    <w:p w14:paraId="396F323F" w14:textId="77777777" w:rsidR="003754FE" w:rsidRDefault="003754FE" w:rsidP="003754FE">
      <w:pPr>
        <w:pStyle w:val="TextoNormal"/>
      </w:pPr>
    </w:p>
    <w:p w14:paraId="65C4E8AB" w14:textId="4BDC9532" w:rsidR="003754FE" w:rsidRDefault="003754FE" w:rsidP="003754FE">
      <w:pPr>
        <w:pStyle w:val="TextoNormal"/>
      </w:pPr>
      <w:r>
        <w:t>(iv) En la misma sesión parlamentaria se aprobó una proposición de ley en la que se insta al Gobierno de España a que se modifique la legislación estatal en materia de energía: “Toma en consideración de la proposición de ley para la reforma de la Ley 24/2013, de 26 de diciembre, del sector eléctrico, y el Real Decreto-ley 20/2018, de 7 de diciembre, de medidas para el impulso de la competitividad económica en el sector de la industria y el comercio en España, para impulsar el consumo energético de cercanía”.</w:t>
      </w:r>
    </w:p>
    <w:p w14:paraId="0BDE0B19" w14:textId="77777777" w:rsidR="003754FE" w:rsidRDefault="003754FE" w:rsidP="003754FE">
      <w:pPr>
        <w:pStyle w:val="TextoNormal"/>
      </w:pPr>
    </w:p>
    <w:p w14:paraId="3A18A287" w14:textId="77777777" w:rsidR="003754FE" w:rsidRDefault="003754FE" w:rsidP="003754FE">
      <w:pPr>
        <w:pStyle w:val="TextoNormal"/>
      </w:pPr>
      <w:r w:rsidRPr="003754FE">
        <w:rPr>
          <w:rStyle w:val="NumeroAFNegritaCaracter"/>
        </w:rPr>
        <w:t>4</w:t>
      </w:r>
      <w:r>
        <w:t xml:space="preserve">. </w:t>
      </w:r>
      <w:r w:rsidRPr="003754FE">
        <w:rPr>
          <w:i/>
        </w:rPr>
        <w:t>Examen de la motivación aducida por el Gobierno de Aragón</w:t>
      </w:r>
    </w:p>
    <w:p w14:paraId="09A08B57" w14:textId="77777777" w:rsidR="003754FE" w:rsidRDefault="003754FE" w:rsidP="003754FE">
      <w:pPr>
        <w:pStyle w:val="TextoNormal"/>
      </w:pPr>
    </w:p>
    <w:p w14:paraId="31BF166A" w14:textId="77777777" w:rsidR="003754FE" w:rsidRDefault="003754FE" w:rsidP="003754FE">
      <w:pPr>
        <w:pStyle w:val="TextoNormal"/>
      </w:pPr>
      <w:r>
        <w:t>El Tribunal estima que la situación descrita por el Gobierno de Aragón, y recogida en el fundamento jurídico anterior, no cumple con las exigencias que el art. 86.1 CE impone para hacer uso de la potestad legislativa excepcional del decreto-ley.</w:t>
      </w:r>
    </w:p>
    <w:p w14:paraId="443D1F91" w14:textId="77777777" w:rsidR="003754FE" w:rsidRDefault="003754FE" w:rsidP="003754FE">
      <w:pPr>
        <w:pStyle w:val="TextoNormal"/>
      </w:pPr>
    </w:p>
    <w:p w14:paraId="1B3D1392" w14:textId="77777777" w:rsidR="003754FE" w:rsidRDefault="003754FE" w:rsidP="003754FE">
      <w:pPr>
        <w:pStyle w:val="TextoNormal"/>
      </w:pPr>
      <w:r>
        <w:t xml:space="preserve">a) Las razones que aduce el Gobierno de Aragón para dictar los preceptos del Decreto-ley 1/2023 tienen que ver con la necesidad de hacer frente a la crisis económica que derivó </w:t>
      </w:r>
      <w:r>
        <w:lastRenderedPageBreak/>
        <w:t>tanto de la pandemia del coronavirus como de la agresión rusa a Ucrania iniciada en febrero de 2022, con la finalidad de acelerar la implantación de plantas de producción de energías renovables, primero, y el consumo eléctrico de cercanía, después.</w:t>
      </w:r>
    </w:p>
    <w:p w14:paraId="3F2A8E0F" w14:textId="77777777" w:rsidR="003754FE" w:rsidRDefault="003754FE" w:rsidP="003754FE">
      <w:pPr>
        <w:pStyle w:val="TextoNormal"/>
      </w:pPr>
    </w:p>
    <w:p w14:paraId="49CBA5B8" w14:textId="77777777" w:rsidR="003754FE" w:rsidRDefault="003754FE" w:rsidP="003754FE">
      <w:pPr>
        <w:pStyle w:val="TextoNormal"/>
      </w:pPr>
      <w:r>
        <w:t>Es cierto que, en ocasiones recientes en las que se han evocado las graves repercusiones de la crisis social y económica causada por el covid-19 o el conflicto armado en Ucrania, hemos reconocido que el decreto-ley representa un instrumento constitucionalmente lícito para afrontar lo que cabe calificar como una “coyuntura económica problemática”, en los términos expresamente aceptados por la doctrina constitucional (entre otras, SSTC 215/2015, de 22 de octubre, FJ 4, y 18/2016, de 4 de febrero, FJ 5). Así lo hemos apreciado en la STC 15/2023, de 7 de marzo, en relación con la necesidad de dar cobertura a las situaciones en las que los procedimientos de desahucio y lanzamiento afecten a personas económicamente vulnerables sin alternativa habitacional, como consecuencia de la crisis social y económica causada por la pandemia de la covid-19. Y en la STC 20/2024, de 31 de enero, apreciamos como justificada la aprobación del Real Decreto-ley 14/2022, de 1 de agosto, de medidas de ahorro, eficiencia energética y de reducción de la dependencia energética del gas natural, considerado una justificación explícita y razonada de esta opción normativa la necesidad de dar respuesta al impacto energético que ha provocado el conflicto armado en Ucrania, “que obliga a la adopción de un plan de choque de ahorro y gestión energética en climatización, de modo urgente y necesario para lograr reducir el consumo energético, y con ello, la dependencia del exterior, lo que situaría a España en disposición de afrontar mejor las derivas de la guerra y de alinearse con el Plan REPowerEU. Este prevé, efectivamente, que el ahorro de energía es la forma más rápida y barata de hacer frente a la crisis energética y de reducir las facturas”.</w:t>
      </w:r>
    </w:p>
    <w:p w14:paraId="5E3D6C9D" w14:textId="77777777" w:rsidR="003754FE" w:rsidRDefault="003754FE" w:rsidP="003754FE">
      <w:pPr>
        <w:pStyle w:val="TextoNormal"/>
      </w:pPr>
    </w:p>
    <w:p w14:paraId="4C5843FB" w14:textId="77777777" w:rsidR="003754FE" w:rsidRDefault="003754FE" w:rsidP="003754FE">
      <w:pPr>
        <w:pStyle w:val="TextoNormal"/>
      </w:pPr>
      <w:r>
        <w:t>No obstante, la situación es distinta en el supuesto que nos ocupa.</w:t>
      </w:r>
    </w:p>
    <w:p w14:paraId="13127F5F" w14:textId="77777777" w:rsidR="003754FE" w:rsidRDefault="003754FE" w:rsidP="003754FE">
      <w:pPr>
        <w:pStyle w:val="TextoNormal"/>
      </w:pPr>
    </w:p>
    <w:p w14:paraId="58D3C6DE" w14:textId="77777777" w:rsidR="003754FE" w:rsidRDefault="003754FE" w:rsidP="003754FE">
      <w:pPr>
        <w:pStyle w:val="TextoNormal"/>
      </w:pPr>
      <w:r>
        <w:t>b) La exposición de motivos contiene algunas menciones (en los apartados I y III) a la “coyuntura actual de grave crisis internacional de la energía”, o a los “grandes impactos sociales y económicos derivados de la pandemia mundial generada por la covid-19”, si bien estas expresiones no se relacionan con la concurrencia de la extraordinaria y urgente necesidad, sino más particularmente con el papel de la energía renovable en el desarrollo de sectores estratégicos. Es cierto que se indica que las medidas a adoptar son “inaplazables”, pero no en el sentido de que sean de extraordinaria y urgente necesidad, sino simplemente indispensables para que la Comunidad Autónoma de Aragón desempeñe dicho papel relevante en determinados sectores estratégicos.</w:t>
      </w:r>
    </w:p>
    <w:p w14:paraId="26F96FDE" w14:textId="77777777" w:rsidR="003754FE" w:rsidRDefault="003754FE" w:rsidP="003754FE">
      <w:pPr>
        <w:pStyle w:val="TextoNormal"/>
      </w:pPr>
    </w:p>
    <w:p w14:paraId="23522E93" w14:textId="77777777" w:rsidR="003754FE" w:rsidRDefault="003754FE" w:rsidP="003754FE">
      <w:pPr>
        <w:pStyle w:val="TextoNormal"/>
      </w:pPr>
      <w:r>
        <w:t>Y, en lo que se refiere al apartado VII, el único que intenta justificar la adopción de las medidas mediante decreto-ley, no se recoge más que una referencia genérica a la pandemia de la covid-19 y al conflicto armado en Ucrania, que, a diferencia de las situaciones descritas en las citadas SSTC 15/2023, y 20/2024, carece de cualquier explicación o concreción de la incidencia que dichos eventos han tenido. En este sentido, no se explica cuáles son los problemas concretos derivados de dichos eventos que exijan hacer uso de la potestad normativa excepcional del art. 86.1 CE por concurrir una situación excepcional de “extraordinaria y urgente necesidad”.</w:t>
      </w:r>
    </w:p>
    <w:p w14:paraId="59F5219D" w14:textId="77777777" w:rsidR="003754FE" w:rsidRDefault="003754FE" w:rsidP="003754FE">
      <w:pPr>
        <w:pStyle w:val="TextoNormal"/>
      </w:pPr>
    </w:p>
    <w:p w14:paraId="43B828B7" w14:textId="77777777" w:rsidR="003754FE" w:rsidRDefault="003754FE" w:rsidP="003754FE">
      <w:pPr>
        <w:pStyle w:val="TextoNormal"/>
      </w:pPr>
      <w:r>
        <w:t xml:space="preserve">Cabe apreciar que estas referencias a la pandemia de la covid-19 o al conflicto armado en Ucrania se hacen de forma abstracta y genérica, lo que no permite cumplir las exigencias </w:t>
      </w:r>
      <w:r>
        <w:lastRenderedPageBreak/>
        <w:t>de una definición explícita y razonada del presupuesto habilitante, conforme a nuestra doctrina constitucional. Así, como hemos recordado recientemente en la STC 18/2023, de 21 de marzo, FJ 5: “[N]uestra jurisprudencia rechaza efectivamente la definición del presupuesto habilitante ‘mediante fórmulas rituales o genéricas aplicables a todo tipo de realidades de un modo intercambiable’ (STC 142/2014, de 11 de septiembre, FJ 5; en el mismo sentido, STC 105/2018, de 4 de octubre, FJ 4), ‘la utilización de fórmulas rituales de una marcada abstracción y, por ello, de prácticamente imposible control constitucional’ (STC 68/2007, de 28 de marzo, FJ 10) o la utilización de fórmulas estereotipadas que parafrasean la definición del presupuesto habilitante que realiza el art. 86.1 CE (SSTC 332/2005, de 15 de diciembre, FJ 6, y 137/2011, de 14 de septiembre, FJ 7)”.</w:t>
      </w:r>
    </w:p>
    <w:p w14:paraId="6ACE0203" w14:textId="77777777" w:rsidR="003754FE" w:rsidRDefault="003754FE" w:rsidP="003754FE">
      <w:pPr>
        <w:pStyle w:val="TextoNormal"/>
      </w:pPr>
    </w:p>
    <w:p w14:paraId="36247494" w14:textId="77777777" w:rsidR="003754FE" w:rsidRDefault="003754FE" w:rsidP="003754FE">
      <w:pPr>
        <w:pStyle w:val="TextoNormal"/>
      </w:pPr>
      <w:r>
        <w:t>c) Por el contrario, las medidas que implementa el decreto-ley impugnado, como explicó el Gobierno de Aragón en el debate de convalidación en las Cortes de Aragón, van dirigidas a permitir acelerar la implantación de plantas de producción de energías renovables, primero, y el consumo eléctrico de cercanía, después, en una región que ya es puntera en el uso de energías renovables: en dicho debate el representante del Gobierno puntualizó que el 75 por 100 de la energía en Aragón es renovable, frente al 42 por 100 en España, y en su intervención no hizo referencia alguna, ni directa o indirecta, a la pandemia de la covid-19 o al conflicto de Ucrania, y tampoco hubo ninguna mención a dichas circunstancias en las intervenciones del resto de los portavoces parlamentarios, con la excepción de una mera alusión genérica por parte de un solo portavoz.</w:t>
      </w:r>
    </w:p>
    <w:p w14:paraId="1F78CA05" w14:textId="77777777" w:rsidR="003754FE" w:rsidRDefault="003754FE" w:rsidP="003754FE">
      <w:pPr>
        <w:pStyle w:val="TextoNormal"/>
      </w:pPr>
    </w:p>
    <w:p w14:paraId="30F5896D" w14:textId="77777777" w:rsidR="003754FE" w:rsidRDefault="003754FE" w:rsidP="003754FE">
      <w:pPr>
        <w:pStyle w:val="TextoNormal"/>
      </w:pPr>
      <w:r>
        <w:t>Estamos así ante una norma cuya única finalidad es reformar el modelo del uso de las energías renovables en la Comunidad Autónoma de Aragón, para lograr una mayor competitividad. Entre otras cuestiones, se ha dado una nueva definición al concepto de línea directa, se han definido los elementos básicos de las instalaciones de autoconsumo, se han creado como figura jurídica novedosa las mancomunidades de energía, se ha afectado al concepto de red cerrada y se ha introducido el término consumo eléctrico de cercanía. El nuevo sistema da un protagonismo esencial al autoconsumo, como palanca fundamental para el impulso de una política propia en el marco de la estatal; la propia exposición de motivos reconoce que se ha creado una nueva modalidad de autoconsumo no prevista en la legislación básica estatal que hace necesario una “relectura” de la doctrina de este tribunal sobre las competencias estatales “habida cuenta los relevantes cambios regulatorios posteriores a la misma en el Derecho de la Unión y en la normativa básica estatal”.</w:t>
      </w:r>
    </w:p>
    <w:p w14:paraId="37BEDCF0" w14:textId="77777777" w:rsidR="003754FE" w:rsidRDefault="003754FE" w:rsidP="003754FE">
      <w:pPr>
        <w:pStyle w:val="TextoNormal"/>
      </w:pPr>
    </w:p>
    <w:p w14:paraId="250660AA" w14:textId="77777777" w:rsidR="003754FE" w:rsidRDefault="003754FE" w:rsidP="003754FE">
      <w:pPr>
        <w:pStyle w:val="TextoNormal"/>
      </w:pPr>
      <w:r>
        <w:t>Pues bien, no existe ninguna explicación de por qué todas estas reformas tan trascendentales deben ser aprobadas con una urgencia extraordinaria, sustrayéndolas del procedimiento legislativo en detrimento de las minorías parlamentarias, en especial cuando se trata de una reforma de gran envergadura con repercusión directa en todo el sistema eléctrico y en los costes energéticos y cuya finalidad es cambiar el modelo de energía en la Comunidad Autónoma de Aragón, y todo ello tomando además como punto de partida la circunstancia de que estamos ante un decreto-ley aprobado en una comunidad autónoma, que requiere un menor tiempo en su tramitación en la cámara autonómica.</w:t>
      </w:r>
    </w:p>
    <w:p w14:paraId="0DA838C0" w14:textId="77777777" w:rsidR="003754FE" w:rsidRDefault="003754FE" w:rsidP="003754FE">
      <w:pPr>
        <w:pStyle w:val="TextoNormal"/>
      </w:pPr>
    </w:p>
    <w:p w14:paraId="13EFF627" w14:textId="77777777" w:rsidR="003754FE" w:rsidRDefault="003754FE" w:rsidP="003754FE">
      <w:pPr>
        <w:pStyle w:val="TextoNormal"/>
      </w:pPr>
      <w:r>
        <w:t xml:space="preserve">El impacto de la reforma aprobada por el Decreto-ley 1/2023 se confirma con el hecho de que en el mismo Pleno en el que se convalidó la norma se aprobó por parte de las Cortes de Aragón la toma en consideración de la proposición de ley para la reforma de la Ley 24/2013, de 26 de diciembre, del sector eléctrico, y el Real Decreto-ley 20/2018, de 7 de </w:t>
      </w:r>
      <w:r>
        <w:lastRenderedPageBreak/>
        <w:t>diciembre, de medidas para el impulso de la competitividad económica en el sector de la industria y el comercio en España, para impulsar el consumo energético de cercanía. Esta proposición de ley se justificó en el debate parlamentario por la importancia de aclarar cuestiones relacionadas con el autoconsumo, las redes de distribución y las comunidades energéticas, entre otros aspectos; y también se hizo una alusión directa al Decreto-ley 1/2023 impugnado en la medida en que la iniciativa “pretende complementar el decreto presentado y aprobado esta misma mañana”, especialmente en lo relativo al autoconsumo y las comunidades energéticas.</w:t>
      </w:r>
    </w:p>
    <w:p w14:paraId="0B61F26D" w14:textId="77777777" w:rsidR="003754FE" w:rsidRDefault="003754FE" w:rsidP="003754FE">
      <w:pPr>
        <w:pStyle w:val="TextoNormal"/>
      </w:pPr>
    </w:p>
    <w:p w14:paraId="5F486732" w14:textId="77777777" w:rsidR="003754FE" w:rsidRDefault="003754FE" w:rsidP="003754FE">
      <w:pPr>
        <w:pStyle w:val="TextoNormal"/>
      </w:pPr>
      <w:r>
        <w:t>Por lo tanto, la única justificación que se ha dado para aprobar la norma es la oportunidad de transformar el sistema eléctrico en la Comunidad Autónoma de Aragón, de modo que le permita competir mediante propuestas que resulten atractivas y favorecer la implantación de compañías regionales, nacionales e internacionales, es decir, la norma canaliza el deseo de esta Comunidad Autónoma de seguir siendo una comunidad puntera en el uso de energías renovables, y con fundamento en su competencia de ejercer el desarrollo legislativo y la ejecución de la legislación básica que establezca el Estado mediante normas con rango de ley en materia de energía (art. 75.4 del Estatuto de Autonomía de Aragón).</w:t>
      </w:r>
    </w:p>
    <w:p w14:paraId="150B5C07" w14:textId="77777777" w:rsidR="003754FE" w:rsidRDefault="003754FE" w:rsidP="003754FE">
      <w:pPr>
        <w:pStyle w:val="TextoNormal"/>
      </w:pPr>
    </w:p>
    <w:p w14:paraId="381B0A17" w14:textId="77777777" w:rsidR="003754FE" w:rsidRDefault="003754FE" w:rsidP="003754FE">
      <w:pPr>
        <w:pStyle w:val="TextoNormal"/>
      </w:pPr>
      <w:r>
        <w:t>No corresponde a este tribunal enjuiciar la necesidad o conveniencia de dichas modificaciones, sino el hecho de que se haya llevado a cabo mediante el uso del decreto-ley, porque, como dijimos en la STC 111/2021, de 13 de mayo, FJ 7 “[e]l mero deseo o interés del Gobierno en la inmediata entrada en vigor de la reforma no constituye una justificación de su extraordinaria y urgente necesidad (STC 68/2007, FJ 9), lo mismo que la opción por el empleo de una concreta técnica o formulación normativa, existiendo otras que no obstaculizan el cumplimiento de los objetivos de la medida, no permite sacrificar la posición institucional del Poder Legislativo. Tal sacrificio el art. 86.1 CE lo condiciona a la satisfacción de una necesidad extraordinaria y urgente, pero no, por muy legítimos que sean los objetivos que se tratan de alcanzar, al designio de ‘abreviar el proceso’ o de ‘utilizar la vía más rápida’ o ‘el mecanismo más directo’, que no es el fundamento de la potestad legislativa extraordinaria del Gobierno (STC 125/2016, de 7 de julio, FJ 4)”.</w:t>
      </w:r>
    </w:p>
    <w:p w14:paraId="55D63AF9" w14:textId="77777777" w:rsidR="003754FE" w:rsidRDefault="003754FE" w:rsidP="003754FE">
      <w:pPr>
        <w:pStyle w:val="TextoNormal"/>
      </w:pPr>
    </w:p>
    <w:p w14:paraId="57A813A9" w14:textId="425F51FF" w:rsidR="003754FE" w:rsidRDefault="003754FE" w:rsidP="003754FE">
      <w:pPr>
        <w:pStyle w:val="TextoNormal"/>
      </w:pPr>
      <w:r>
        <w:t>Y en el presente supuesto, conforme a todo lo expuesto, cabe concluir que no se ha justificado que estemos ante casos objetivos de urgente y extraordinaria necesidad, esto es, ante coyunturas en las que se haga presente la exigencia de una intervención normativa inmediata, solo atendible mediante esa disposición legislativa provisional.</w:t>
      </w:r>
    </w:p>
    <w:p w14:paraId="7A849070" w14:textId="77777777" w:rsidR="003754FE" w:rsidRDefault="003754FE" w:rsidP="003754FE">
      <w:pPr>
        <w:pStyle w:val="TextoNormal"/>
      </w:pPr>
    </w:p>
    <w:p w14:paraId="3F81F292" w14:textId="77777777" w:rsidR="003754FE" w:rsidRDefault="003754FE" w:rsidP="003754FE">
      <w:pPr>
        <w:pStyle w:val="TextoNormal"/>
      </w:pPr>
      <w:r w:rsidRPr="003754FE">
        <w:rPr>
          <w:rStyle w:val="NumeroAFNegritaCaracter"/>
        </w:rPr>
        <w:t>5</w:t>
      </w:r>
      <w:r>
        <w:t xml:space="preserve">. </w:t>
      </w:r>
      <w:r w:rsidRPr="003754FE">
        <w:rPr>
          <w:i/>
        </w:rPr>
        <w:t>Estimación del recurso de inconstitucionalidad</w:t>
      </w:r>
    </w:p>
    <w:p w14:paraId="79C595A6" w14:textId="77777777" w:rsidR="003754FE" w:rsidRDefault="003754FE" w:rsidP="003754FE">
      <w:pPr>
        <w:pStyle w:val="TextoNormal"/>
      </w:pPr>
    </w:p>
    <w:p w14:paraId="620169F8" w14:textId="44C69F2E" w:rsidR="003754FE" w:rsidRDefault="003754FE" w:rsidP="003754FE">
      <w:pPr>
        <w:pStyle w:val="TextoNormal"/>
      </w:pPr>
      <w:r>
        <w:t>Por las razones expuestas, el Decreto-ley del Gobierno de Aragón 1/2023, de 20 de marzo, de medidas urgentes para el impulso de la transición energética y el consumo de cercanía en Aragón, es contrario al art. 86 CE y, por tanto, inconstitucional y nulo. La declaración de inconstitucionalidad debe alcanzar a todo el Decreto-ley, como el abogado del Estado argumentó en su primer motivo de impugnación, y no solo a los preceptos formalmente impugnados, dado que la falta de presupuesto habilitante afecta a toda la norma en su conjunto.</w:t>
      </w:r>
    </w:p>
    <w:p w14:paraId="25B4FA6E" w14:textId="77777777" w:rsidR="003754FE" w:rsidRDefault="003754FE" w:rsidP="003754FE">
      <w:pPr>
        <w:pStyle w:val="TextoNormal"/>
      </w:pPr>
    </w:p>
    <w:p w14:paraId="654DD302" w14:textId="77777777" w:rsidR="003754FE" w:rsidRDefault="003754FE" w:rsidP="003754FE">
      <w:pPr>
        <w:pStyle w:val="TextoNormalCentrado"/>
        <w:keepNext/>
      </w:pPr>
      <w:r>
        <w:lastRenderedPageBreak/>
        <w:t>FALLO</w:t>
      </w:r>
    </w:p>
    <w:p w14:paraId="0841ED04" w14:textId="642E7510" w:rsidR="003754FE" w:rsidRDefault="003754FE" w:rsidP="003754FE">
      <w:pPr>
        <w:pStyle w:val="TextoNormalCentrado"/>
        <w:keepNext/>
      </w:pPr>
    </w:p>
    <w:p w14:paraId="05A5A530" w14:textId="392A0ECD" w:rsidR="003754FE" w:rsidRDefault="003754FE" w:rsidP="003754FE">
      <w:pPr>
        <w:pStyle w:val="TextoNormal"/>
      </w:pPr>
      <w:r>
        <w:t>En atención a todo lo expuesto, el Tribunal Constitucional, por la autoridad que le confiere la Constitución de la Nación española, ha decidido estimar el presente recurso de inconstitucionalidad y, en su virtud, declarar inconstitucional y nulo el Decreto-ley del Gobierno de Aragón 1/2023, de 20 de marzo, de medidas urgentes para el impulso de la transición energética y el consumo de cercanía en Aragón.</w:t>
      </w:r>
    </w:p>
    <w:p w14:paraId="534147BB" w14:textId="77777777" w:rsidR="003754FE" w:rsidRDefault="003754FE" w:rsidP="003754FE">
      <w:pPr>
        <w:pStyle w:val="TextoNormal"/>
      </w:pPr>
    </w:p>
    <w:p w14:paraId="1B56D838" w14:textId="77777777" w:rsidR="003754FE" w:rsidRDefault="003754FE" w:rsidP="003754FE">
      <w:pPr>
        <w:pStyle w:val="TextoNormal"/>
      </w:pPr>
      <w:r>
        <w:t>Publíquese esta sentencia en el “Boletín Oficial del Estado”.</w:t>
      </w:r>
    </w:p>
    <w:p w14:paraId="4F07070C" w14:textId="77777777" w:rsidR="003754FE" w:rsidRDefault="003754FE" w:rsidP="003754FE">
      <w:pPr>
        <w:pStyle w:val="TextoNormal"/>
      </w:pPr>
      <w:r>
        <w:t>Dada en Madrid, a diez de septiembre de dos mil veinticuatro.</w:t>
      </w:r>
    </w:p>
    <w:p w14:paraId="13D6AAE4" w14:textId="2D66985D" w:rsidR="003754FE" w:rsidRDefault="003754FE">
      <w:pPr>
        <w:spacing w:after="160" w:line="278" w:lineRule="auto"/>
        <w:rPr>
          <w:rFonts w:ascii="Times New Roman" w:eastAsia="Times New Roman" w:hAnsi="Times New Roman" w:cs="Times New Roman"/>
          <w:sz w:val="24"/>
          <w:szCs w:val="24"/>
          <w:lang w:eastAsia="es-ES"/>
        </w:rPr>
      </w:pPr>
      <w:r>
        <w:br w:type="page"/>
      </w:r>
    </w:p>
    <w:p w14:paraId="511C17A1" w14:textId="77777777" w:rsidR="003754FE" w:rsidRDefault="003754FE" w:rsidP="003754FE">
      <w:pPr>
        <w:pStyle w:val="TtuloResolucin"/>
      </w:pPr>
      <w:bookmarkStart w:id="23" w:name="SENTENCIA_2024_114"/>
      <w:r>
        <w:lastRenderedPageBreak/>
        <w:t>SENTENCIA 114/2024, de 11 de septiembre de 2024</w:t>
      </w:r>
    </w:p>
    <w:bookmarkEnd w:id="23"/>
    <w:p w14:paraId="4F55CBF4" w14:textId="77777777" w:rsidR="003754FE" w:rsidRDefault="003754FE" w:rsidP="003754FE">
      <w:pPr>
        <w:pStyle w:val="TtuloResolucin"/>
      </w:pPr>
      <w:r>
        <w:t>Pleno</w:t>
      </w:r>
    </w:p>
    <w:p w14:paraId="60475D79" w14:textId="77777777" w:rsidR="003754FE" w:rsidRDefault="003754FE" w:rsidP="003754FE">
      <w:pPr>
        <w:pStyle w:val="TtuloBOE"/>
      </w:pPr>
      <w:r>
        <w:t>(BOE núm. 247, de 12 de octubre de 2024)</w:t>
      </w:r>
    </w:p>
    <w:p w14:paraId="1C263AEC" w14:textId="77777777" w:rsidR="003754FE" w:rsidRDefault="003754FE" w:rsidP="003754FE">
      <w:pPr>
        <w:pStyle w:val="TextoNormalCentrado"/>
      </w:pPr>
      <w:r>
        <w:t>ECLI:ES:TC:2024:114</w:t>
      </w:r>
    </w:p>
    <w:p w14:paraId="3B8D3EB1" w14:textId="34AAEBD6" w:rsidR="003754FE" w:rsidRDefault="003754FE" w:rsidP="003754FE">
      <w:pPr>
        <w:pStyle w:val="TextoNormalCentrado"/>
      </w:pPr>
    </w:p>
    <w:p w14:paraId="4E504806" w14:textId="77777777" w:rsidR="003754FE" w:rsidRDefault="003754FE" w:rsidP="003754FE">
      <w:pPr>
        <w:pStyle w:val="SntesisDescriptiva"/>
      </w:pPr>
      <w:r>
        <w:t>Recurso de amparo 916-2022. Promovido por don Alberto Casero Ávila respecto de las resoluciones dictadas por la presidenta del Congreso de los Diputados sobre la votación de convalidación del Real Decreto-ley 32/2021, de 28 de diciembre, de medidas urgentes para la reforma laboral, la garantía de estabilidad en el empleo y la transformación del mercado de trabajo.</w:t>
      </w:r>
    </w:p>
    <w:p w14:paraId="2F69683A" w14:textId="46127CF3" w:rsidR="003754FE" w:rsidRDefault="003754FE" w:rsidP="003754FE">
      <w:pPr>
        <w:pStyle w:val="SntesisDescriptiva"/>
      </w:pPr>
    </w:p>
    <w:p w14:paraId="4B9035BE" w14:textId="77777777" w:rsidR="003754FE" w:rsidRDefault="003754FE" w:rsidP="003754FE">
      <w:pPr>
        <w:pStyle w:val="SntesisAnaltica"/>
      </w:pPr>
      <w:r>
        <w:t>Supuesta vulneración del derecho al ejercicio del cargo representativo: ejercicio del voto telemático al que no sucede una solicitud o actuación personal tempestiva del propio diputado que acredite su expresa voluntad de optar por el ejercicio presencial de su voto y por la anulación del voto telemático autorizado y emitido. Voto particular.</w:t>
      </w:r>
    </w:p>
    <w:p w14:paraId="7709CD48" w14:textId="1F2AE497" w:rsidR="003754FE" w:rsidRDefault="003754FE" w:rsidP="003754FE">
      <w:pPr>
        <w:pStyle w:val="SntesisAnaltica"/>
      </w:pPr>
    </w:p>
    <w:p w14:paraId="20D60638" w14:textId="5BA0ADF4" w:rsidR="003754FE" w:rsidRDefault="003754FE" w:rsidP="003754FE">
      <w:pPr>
        <w:pStyle w:val="Extracto"/>
      </w:pPr>
      <w:r>
        <w:t>1.</w:t>
      </w:r>
      <w:r>
        <w:tab/>
        <w:t xml:space="preserve">El derecho de voto es uno de los que integran el derecho al ejercicio del cargo representativo en condiciones de igualdad y sin perturbaciones ilegítimas (STC 361/2006). Por lo tanto, el </w:t>
      </w:r>
      <w:r w:rsidRPr="003754FE">
        <w:rPr>
          <w:i/>
        </w:rPr>
        <w:t xml:space="preserve">ius in officium </w:t>
      </w:r>
      <w:r>
        <w:t>de los parlamentarios puede verse afectado si se impide o dificulta la emisión del propio voto, y también si se permite votar a otro parlamentario sin respetar las condiciones y los requisitos para hacerlo (STC 65/2022) [FJ 3].</w:t>
      </w:r>
    </w:p>
    <w:p w14:paraId="792AAF43" w14:textId="77777777" w:rsidR="003754FE" w:rsidRDefault="003754FE" w:rsidP="003754FE">
      <w:pPr>
        <w:pStyle w:val="Extracto"/>
      </w:pPr>
    </w:p>
    <w:p w14:paraId="12E6C3F0" w14:textId="39F78F73" w:rsidR="003754FE" w:rsidRDefault="003754FE" w:rsidP="003754FE">
      <w:pPr>
        <w:pStyle w:val="Extracto"/>
      </w:pPr>
      <w:r>
        <w:t>2.</w:t>
      </w:r>
      <w:r>
        <w:tab/>
        <w:t>Las particularidades procedimentales y materiales -propias de una pandemia- vigentes en el momento de los hechos son relevantes y han de tomarse en consideración también en materia de derechos fundamentales [FJ 4].</w:t>
      </w:r>
    </w:p>
    <w:p w14:paraId="6655F93B" w14:textId="77777777" w:rsidR="003754FE" w:rsidRDefault="003754FE" w:rsidP="003754FE">
      <w:pPr>
        <w:pStyle w:val="Extracto"/>
      </w:pPr>
    </w:p>
    <w:p w14:paraId="466B5C62" w14:textId="7E859033" w:rsidR="003754FE" w:rsidRDefault="003754FE" w:rsidP="003754FE">
      <w:pPr>
        <w:pStyle w:val="Extracto"/>
      </w:pPr>
      <w:r>
        <w:t>3.</w:t>
      </w:r>
      <w:r>
        <w:tab/>
        <w:t>Incumplir con la comprobación telefónica de oficio de la efectiva emisión del voto parlamentario telemático y del sentido de éste no puede ser tildado de “práctica antirreglamentaria”, por cuanto el Reglamento del Congreso de los Diputados no regula cuál ha de ser el sistema específico que se ha de seguir para la verificación del voto, sino que dispone que el voto emitido por este procedimiento telemático deberá ser verificado personalmente mediante el sistema que, a tal efecto, establezca la mesa [FJ 4].</w:t>
      </w:r>
    </w:p>
    <w:p w14:paraId="62BE8C3B" w14:textId="77777777" w:rsidR="003754FE" w:rsidRDefault="003754FE" w:rsidP="003754FE">
      <w:pPr>
        <w:pStyle w:val="Extracto"/>
      </w:pPr>
    </w:p>
    <w:p w14:paraId="58806B30" w14:textId="0E163D79" w:rsidR="003754FE" w:rsidRDefault="003754FE" w:rsidP="003754FE">
      <w:pPr>
        <w:pStyle w:val="Extracto"/>
      </w:pPr>
      <w:r>
        <w:t>4.</w:t>
      </w:r>
      <w:r>
        <w:tab/>
        <w:t>A los miembros de alguna de las cámaras legislativas de las Cortes Generales que representan al pueblo español, por la responsabilidad que ostentan, les compete extremar su diligencia si consideran procedente participar presencialmente en las sesiones plenarias, teniendo en cuenta que la asistencia a las sesiones plenarias no es solo un derecho, sino también una obligación de los diputados [FJ 5].</w:t>
      </w:r>
    </w:p>
    <w:p w14:paraId="08B53FBF" w14:textId="77777777" w:rsidR="003754FE" w:rsidRDefault="003754FE" w:rsidP="003754FE">
      <w:pPr>
        <w:pStyle w:val="Extracto"/>
      </w:pPr>
    </w:p>
    <w:p w14:paraId="433984EE" w14:textId="54057070" w:rsidR="003754FE" w:rsidRDefault="003754FE" w:rsidP="003754FE">
      <w:pPr>
        <w:pStyle w:val="Extracto"/>
      </w:pPr>
      <w:r>
        <w:t>5.</w:t>
      </w:r>
      <w:r>
        <w:tab/>
        <w:t>Para que pueda operar el procedimiento de autorización del voto presencial al diputado que ha votado previamente de modo telemático ha de mediar una solicitud o actuación personal tempestiva del propio diputado que acredite su expresa voluntad de optar por el ejercicio presencial de su voto y por la anulación del voto telemático autorizado y emitido. Ello es consecuencia del carácter personal e indelegable del voto; y solo constando la iniciativa expresa de su titular requiriéndolo pueden descartarse injerencias externas [FJ 5].</w:t>
      </w:r>
    </w:p>
    <w:p w14:paraId="6AD9A931" w14:textId="77777777" w:rsidR="003754FE" w:rsidRDefault="003754FE" w:rsidP="003754FE">
      <w:pPr>
        <w:pStyle w:val="Extracto"/>
      </w:pPr>
    </w:p>
    <w:p w14:paraId="1F74576E" w14:textId="77777777" w:rsidR="003754FE" w:rsidRDefault="003754FE" w:rsidP="003754FE">
      <w:pPr>
        <w:pStyle w:val="Extracto"/>
      </w:pPr>
    </w:p>
    <w:p w14:paraId="26324F61"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ha pronunciado</w:t>
      </w:r>
    </w:p>
    <w:p w14:paraId="4AEB8959" w14:textId="45ECBD98" w:rsidR="003754FE" w:rsidRDefault="003754FE" w:rsidP="003754FE">
      <w:pPr>
        <w:pStyle w:val="TextoNormal"/>
      </w:pPr>
    </w:p>
    <w:p w14:paraId="5374BEAD" w14:textId="77777777" w:rsidR="003754FE" w:rsidRDefault="003754FE" w:rsidP="003754FE">
      <w:pPr>
        <w:pStyle w:val="TextoNormalCentrado"/>
        <w:keepNext/>
      </w:pPr>
      <w:r>
        <w:t>EN NOMBRE DEL REY</w:t>
      </w:r>
    </w:p>
    <w:p w14:paraId="132A8925" w14:textId="61DC173F" w:rsidR="003754FE" w:rsidRDefault="003754FE" w:rsidP="003754FE">
      <w:pPr>
        <w:pStyle w:val="TextoNormalCentrado"/>
        <w:keepNext/>
      </w:pPr>
    </w:p>
    <w:p w14:paraId="3422BB81" w14:textId="77777777" w:rsidR="003754FE" w:rsidRDefault="003754FE" w:rsidP="003754FE">
      <w:pPr>
        <w:pStyle w:val="TextoNormalCentrado"/>
        <w:keepNext/>
      </w:pPr>
    </w:p>
    <w:p w14:paraId="2ABCD914" w14:textId="77777777" w:rsidR="003754FE" w:rsidRDefault="003754FE" w:rsidP="003754FE">
      <w:pPr>
        <w:pStyle w:val="TextoNormal"/>
      </w:pPr>
      <w:r>
        <w:t>la siguiente</w:t>
      </w:r>
    </w:p>
    <w:p w14:paraId="047E4AD9" w14:textId="7C0A1B0E" w:rsidR="003754FE" w:rsidRDefault="003754FE" w:rsidP="003754FE">
      <w:pPr>
        <w:pStyle w:val="TextoNormal"/>
      </w:pPr>
    </w:p>
    <w:p w14:paraId="61FF781E" w14:textId="77777777" w:rsidR="003754FE" w:rsidRDefault="003754FE" w:rsidP="003754FE">
      <w:pPr>
        <w:pStyle w:val="TextoNormalCentrado"/>
        <w:keepNext/>
      </w:pPr>
      <w:r>
        <w:t>SENTENCIA</w:t>
      </w:r>
    </w:p>
    <w:p w14:paraId="62B8F134" w14:textId="6C0A4B81" w:rsidR="003754FE" w:rsidRDefault="003754FE" w:rsidP="003754FE">
      <w:pPr>
        <w:pStyle w:val="TextoNormalCentrado"/>
        <w:keepNext/>
      </w:pPr>
    </w:p>
    <w:p w14:paraId="69A2E9D6" w14:textId="77777777" w:rsidR="003754FE" w:rsidRDefault="003754FE" w:rsidP="003754FE">
      <w:pPr>
        <w:pStyle w:val="TextoNormal"/>
      </w:pPr>
      <w:r>
        <w:t>En el recurso de amparo núm. 916-2022, promovido por don Alberto Casero Ávila, diputado del Grupo Parlamentario Popular del Congreso de los Diputados en la XIV Legislatura, contra la decisión de la señora presidenta del Congreso, adoptada en la sesión plenaria del Congreso de los Diputados de 3 de febrero de 2022, por medio de la cual se considera verificado su voto telemático en relación con la convalidación del Real Decreto-ley 32/2021, de 28 de diciembre, de medidas urgentes para la reforma laboral, la garantía de estabilidad en el empleo y la transformación del mercado de trabajo; así como contra la posterior decisión de la señora presidenta del Congreso de la misma fecha, de no proceder a la convocatoria de la mesa del Congreso de los Diputados de forma previa a la votación de la convalidación del mencionado Real Decreto-ley 32/2021, para que dicho órgano se pronunciase en relación con la solicitud del diputado señor Casero Ávila para ejercer su voto presencialmente. Ha comparecido el Congreso de los Diputados. Ha intervenido el Ministerio Fiscal. Ha sido ponente el magistrado don Ramón Sáez Valcárcel.</w:t>
      </w:r>
    </w:p>
    <w:p w14:paraId="776DDB58" w14:textId="6F13E772" w:rsidR="003754FE" w:rsidRDefault="003754FE" w:rsidP="003754FE">
      <w:pPr>
        <w:pStyle w:val="TextoNormal"/>
      </w:pPr>
    </w:p>
    <w:p w14:paraId="47168BA0" w14:textId="77777777" w:rsidR="003754FE" w:rsidRDefault="003754FE" w:rsidP="003754FE">
      <w:pPr>
        <w:pStyle w:val="TextoNormalNegritaCentrado"/>
        <w:keepNext/>
      </w:pPr>
      <w:r>
        <w:t>I. Antecedentes</w:t>
      </w:r>
    </w:p>
    <w:p w14:paraId="4AB3F1B8" w14:textId="744CF316" w:rsidR="003754FE" w:rsidRDefault="003754FE" w:rsidP="003754FE">
      <w:pPr>
        <w:pStyle w:val="TextoNormalNegritaCentrado"/>
        <w:keepNext/>
      </w:pPr>
    </w:p>
    <w:p w14:paraId="575F40A7" w14:textId="1A30F5BC" w:rsidR="003754FE" w:rsidRDefault="003754FE" w:rsidP="003754FE">
      <w:pPr>
        <w:pStyle w:val="TextoNormal"/>
      </w:pPr>
      <w:r w:rsidRPr="003754FE">
        <w:rPr>
          <w:rStyle w:val="NumeroAFNegritaCaracter"/>
        </w:rPr>
        <w:t>1</w:t>
      </w:r>
      <w:r>
        <w:t>. Mediante escrito que tuvo entrada en este tribunal el día 11 de febrero de 2022, don Alberto Casero Ávila, diputado del Grupo Parlamentario Popular en la XIV Legislatura del Congreso de los Diputados, representado por el procurador de los tribunales don Manuel Sánchez-Puelles González Carvajal y bajo la dirección letrada de don Jaime Eduardo de Olano Vela, interpuso recurso de amparo contra las decisiones de la Presidencia del Congreso de los Diputados mencionadas en el encabezamiento de esta sentencia.</w:t>
      </w:r>
    </w:p>
    <w:p w14:paraId="0DBED774" w14:textId="77777777" w:rsidR="003754FE" w:rsidRDefault="003754FE" w:rsidP="003754FE">
      <w:pPr>
        <w:pStyle w:val="TextoNormal"/>
      </w:pPr>
    </w:p>
    <w:p w14:paraId="71CE6D94" w14:textId="77777777" w:rsidR="003754FE" w:rsidRDefault="003754FE" w:rsidP="003754FE">
      <w:pPr>
        <w:pStyle w:val="TextoNormal"/>
      </w:pPr>
      <w:r w:rsidRPr="003754FE">
        <w:rPr>
          <w:rStyle w:val="NumeroAFNegritaCaracter"/>
        </w:rPr>
        <w:t>2</w:t>
      </w:r>
      <w:r>
        <w:t>. El recurso trae causa de los siguientes antecedentes:</w:t>
      </w:r>
    </w:p>
    <w:p w14:paraId="41374C3E" w14:textId="77777777" w:rsidR="003754FE" w:rsidRDefault="003754FE" w:rsidP="003754FE">
      <w:pPr>
        <w:pStyle w:val="TextoNormal"/>
      </w:pPr>
    </w:p>
    <w:p w14:paraId="19F3CD86" w14:textId="77777777" w:rsidR="003754FE" w:rsidRDefault="003754FE" w:rsidP="003754FE">
      <w:pPr>
        <w:pStyle w:val="TextoNormal"/>
      </w:pPr>
      <w:r>
        <w:t xml:space="preserve">a) La mesa del Congreso de los Diputados, en su reunión de 26 de octubre de 2021, acordó (i) derogar su anterior acuerdo de 16 de junio de 2020, que prorrogaba el acuerdo de 19 de marzo de 2020, relativo a la emisión del voto por el procedimiento telemático en las sesiones plenarias; (ii) que, hasta la finalización de la crisis sanitaria ocasionada por la covid-19, la mesa de la Cámara pudiera “establecer que, atendiendo a su duración u otras </w:t>
      </w:r>
      <w:r>
        <w:lastRenderedPageBreak/>
        <w:t>circunstancias […], en determinadas votaciones la totalidad de los diputados emitan su voto por el procedimiento telemático”; y (iii) que “[e]n todos los supuestos en los que proceda el voto telemático, y sin perjuicio de lo previsto en la resolución de la mesa de la Cámara para el desarrollo de procedimiento de votación telemática, de 21 de mayo de 2012, la emisión del voto se hará a través de la intranet de la Cámara, con introducción de usuario y contraseña, como método de verificación de la emisión personal del voto”.</w:t>
      </w:r>
    </w:p>
    <w:p w14:paraId="271CB9EF" w14:textId="77777777" w:rsidR="003754FE" w:rsidRDefault="003754FE" w:rsidP="003754FE">
      <w:pPr>
        <w:pStyle w:val="TextoNormal"/>
      </w:pPr>
    </w:p>
    <w:p w14:paraId="04C69819" w14:textId="77777777" w:rsidR="003754FE" w:rsidRDefault="003754FE" w:rsidP="003754FE">
      <w:pPr>
        <w:pStyle w:val="TextoNormal"/>
      </w:pPr>
      <w:r>
        <w:t>b) La mesa del Congreso de los Diputados, en su reunión de 1 de febrero de 2022, con carácter complementario al anterior acuerdo, acordó permitir que los diputados autorizados para emitir su voto telemáticamente pudieran hacerlo respecto de todos los asuntos incluidos en el orden del día del Pleno, organizándose los debates y las votaciones para que los términos en que fueran a producirse estas últimas fuera conocido en la emisión del voto telemático, conforme a lo establecido en el artículo 82.2 del Reglamento del Congreso de los Diputados (RCD).</w:t>
      </w:r>
    </w:p>
    <w:p w14:paraId="29D0833B" w14:textId="77777777" w:rsidR="003754FE" w:rsidRDefault="003754FE" w:rsidP="003754FE">
      <w:pPr>
        <w:pStyle w:val="TextoNormal"/>
      </w:pPr>
    </w:p>
    <w:p w14:paraId="24AD149B" w14:textId="77777777" w:rsidR="003754FE" w:rsidRDefault="003754FE" w:rsidP="003754FE">
      <w:pPr>
        <w:pStyle w:val="TextoNormal"/>
      </w:pPr>
      <w:r>
        <w:t>c) Con fecha de 1 de febrero de 2022, el diputado señor Casero Ávila solicitó la emisión del voto por el procedimiento telemático para las sesiones plenarias ordinarias que tendrían lugar entre el 1 y el 3 de febrero de 2022, “al amparo de lo dispuesto en el artículo 82.2 del Reglamento de la Cámara, de la resolución de la mesa del Congreso de los Diputados de 21 de mayo de 2012 y de la comunicación cursada por el secretario general del Congreso de los Diputados de 26 de octubre de 2021” a cuyo objeto acompañó certificado médico de enfermedad impeditiva del desempeño de la función parlamentaria. Con esa misma fecha, la mesa de la Cámara acordó autorizar al diputado la emisión del voto telemático en la sesión plenaria que comenzaría ese mismo día, delegando en la Presidencia de la Cámara “la concreción de los puntos del orden del día y los momentos de inicio y de finalización del tiempo para la emisión del voto en cada sesión plenaria comprendida en el periodo por el que se concede la presente autorización”.</w:t>
      </w:r>
    </w:p>
    <w:p w14:paraId="506CEB62" w14:textId="77777777" w:rsidR="003754FE" w:rsidRDefault="003754FE" w:rsidP="003754FE">
      <w:pPr>
        <w:pStyle w:val="TextoNormal"/>
      </w:pPr>
    </w:p>
    <w:p w14:paraId="19257ACC" w14:textId="77777777" w:rsidR="003754FE" w:rsidRDefault="003754FE" w:rsidP="003754FE">
      <w:pPr>
        <w:pStyle w:val="TextoNormal"/>
      </w:pPr>
      <w:r>
        <w:t>d) El 3 de febrero de 2022 se celebró la sesión plenaria del Congreso de los Diputados en la que, entre otros puntos del orden del día, se incluía la votación de la convalidación o derogación del Real Decreto-ley 32/2021, de 28 de diciembre, de medidas urgentes para la reforma laboral, la garantía de estabilidad en el empleo y la transformación del mercado de trabajo. Según consta en el “Diario de Sesiones del Congreso de los Diputados”, Pleno y Diputación Permanente, XIV Legislatura, núm. 156, de 3 de febrero de 2022, pág. 94, el resultado de la votación fue de 175 votos a favor (166 más 9 votos telemáticos) y 174 en contra (169 más 5 votos telemáticos), por lo que el Real Decreto-ley 32/2021 quedó convalidado.</w:t>
      </w:r>
    </w:p>
    <w:p w14:paraId="57E56CA7" w14:textId="77777777" w:rsidR="003754FE" w:rsidRDefault="003754FE" w:rsidP="003754FE">
      <w:pPr>
        <w:pStyle w:val="TextoNormal"/>
      </w:pPr>
    </w:p>
    <w:p w14:paraId="4D7DE0CD" w14:textId="77777777" w:rsidR="003754FE" w:rsidRDefault="003754FE" w:rsidP="003754FE">
      <w:pPr>
        <w:pStyle w:val="TextoNormal"/>
      </w:pPr>
      <w:r>
        <w:t xml:space="preserve">e) Una vez finalizadas las votaciones y antes de que la presidenta del Congreso de los Diputados levantara la sesión, pidió la palabra la diputada del Grupo Parlamentario Popular, señora Gamarra Ruiz-Clavijo, constando en el “Diario de Sesiones” núm. 156, de 3 de febrero de 2022, págs. 96 y 97, los siguientes extremos: </w:t>
      </w:r>
    </w:p>
    <w:p w14:paraId="5ADB958E" w14:textId="77777777" w:rsidR="003754FE" w:rsidRDefault="003754FE" w:rsidP="003754FE">
      <w:pPr>
        <w:pStyle w:val="TextoNormal"/>
      </w:pPr>
    </w:p>
    <w:p w14:paraId="2A446E0F" w14:textId="77777777" w:rsidR="003754FE" w:rsidRDefault="003754FE" w:rsidP="003754FE">
      <w:pPr>
        <w:pStyle w:val="TextoNormal"/>
      </w:pPr>
      <w:r>
        <w:t xml:space="preserve">“La señora Gamarra Ruiz-Clavijo: Señora presidenta, con carácter previo a la votación se ha puesto de manifiesto a la mesa un error informático. </w:t>
      </w:r>
    </w:p>
    <w:p w14:paraId="04468AD0" w14:textId="77777777" w:rsidR="003754FE" w:rsidRDefault="003754FE" w:rsidP="003754FE">
      <w:pPr>
        <w:pStyle w:val="TextoNormal"/>
      </w:pPr>
      <w:r>
        <w:t xml:space="preserve">La señora presidenta: Señora Gamarra, ¿en función de qué artículo me está usted pidiendo la palabra? </w:t>
      </w:r>
    </w:p>
    <w:p w14:paraId="620C31ED" w14:textId="77777777" w:rsidR="003754FE" w:rsidRDefault="003754FE" w:rsidP="003754FE">
      <w:pPr>
        <w:pStyle w:val="TextoNormal"/>
      </w:pPr>
    </w:p>
    <w:p w14:paraId="344A4B1E" w14:textId="77777777" w:rsidR="003754FE" w:rsidRDefault="003754FE" w:rsidP="003754FE">
      <w:pPr>
        <w:pStyle w:val="TextoNormal"/>
      </w:pPr>
      <w:r>
        <w:lastRenderedPageBreak/>
        <w:t xml:space="preserve">La señora Gamarra Ruiz-Clavijo: Artículo 72. (Rumores). </w:t>
      </w:r>
    </w:p>
    <w:p w14:paraId="6164F1E1" w14:textId="77777777" w:rsidR="003754FE" w:rsidRDefault="003754FE" w:rsidP="003754FE">
      <w:pPr>
        <w:pStyle w:val="TextoNormal"/>
      </w:pPr>
    </w:p>
    <w:p w14:paraId="0584B961" w14:textId="77777777" w:rsidR="003754FE" w:rsidRDefault="003754FE" w:rsidP="003754FE">
      <w:pPr>
        <w:pStyle w:val="TextoNormal"/>
      </w:pPr>
      <w:r>
        <w:t>La señora presidenta: Señora Gamarra, precisamente porque la mesa es conocedora y ha podido analizar lo que usted me va a plantear, y es una cuestión técnica de la mesa, de decisión de la mesa, y no de tratamiento de Pleno, no le voy a dar la palabra.</w:t>
      </w:r>
    </w:p>
    <w:p w14:paraId="567A79C4" w14:textId="77777777" w:rsidR="003754FE" w:rsidRDefault="003754FE" w:rsidP="003754FE">
      <w:pPr>
        <w:pStyle w:val="TextoNormal"/>
      </w:pPr>
    </w:p>
    <w:p w14:paraId="361AB568" w14:textId="77777777" w:rsidR="003754FE" w:rsidRDefault="003754FE" w:rsidP="003754FE">
      <w:pPr>
        <w:pStyle w:val="TextoNormal"/>
      </w:pPr>
      <w:r>
        <w:t xml:space="preserve">La señora Gamarra Ruiz-Clavijo: Señora presidenta… (Protestas. Varios señores diputados: ¡Tongo, tongo! ¡Qué vergüenza!). </w:t>
      </w:r>
    </w:p>
    <w:p w14:paraId="66B501A9" w14:textId="77777777" w:rsidR="003754FE" w:rsidRDefault="003754FE" w:rsidP="003754FE">
      <w:pPr>
        <w:pStyle w:val="TextoNormal"/>
      </w:pPr>
    </w:p>
    <w:p w14:paraId="2BAA415C" w14:textId="77777777" w:rsidR="003754FE" w:rsidRDefault="003754FE" w:rsidP="003754FE">
      <w:pPr>
        <w:pStyle w:val="TextoNormal"/>
      </w:pPr>
      <w:r>
        <w:t xml:space="preserve">La señora presidenta: Muchas gracias. Se levanta la sesión. (Aplausos). </w:t>
      </w:r>
    </w:p>
    <w:p w14:paraId="61C85A33" w14:textId="77777777" w:rsidR="003754FE" w:rsidRDefault="003754FE" w:rsidP="003754FE">
      <w:pPr>
        <w:pStyle w:val="TextoNormal"/>
      </w:pPr>
    </w:p>
    <w:p w14:paraId="55CA37BF" w14:textId="77777777" w:rsidR="003754FE" w:rsidRDefault="003754FE" w:rsidP="003754FE">
      <w:pPr>
        <w:pStyle w:val="TextoNormal"/>
      </w:pPr>
      <w:r>
        <w:t>Eran las seis y cuarenta minutos de la tarde”.</w:t>
      </w:r>
    </w:p>
    <w:p w14:paraId="527C4FB9" w14:textId="77777777" w:rsidR="003754FE" w:rsidRDefault="003754FE" w:rsidP="003754FE">
      <w:pPr>
        <w:pStyle w:val="TextoNormal"/>
      </w:pPr>
    </w:p>
    <w:p w14:paraId="31DBE51E" w14:textId="77777777" w:rsidR="003754FE" w:rsidRDefault="003754FE" w:rsidP="003754FE">
      <w:pPr>
        <w:pStyle w:val="TextoNormal"/>
      </w:pPr>
      <w:r>
        <w:t>f) Según afirma en su demanda el diputado recurrente, después de ejercer el voto de manera telemática para los asuntos contenidos en el orden del día de esa sesión plenaria, se percató de que el resguardo emitido en relación con su voto telemático en la convalidación o derogación del Real Decreto-ley 32/2021 reflejaba un “Sí”, lo cual no se correspondía con su voluntad de votar “No” en ese asunto, achacando ese error manifiesto a un origen informático o humano. En esa tesitura, ante la imposibilidad de comunicar la anterior circunstancia a la presidenta del Congreso, informó a su grupo parlamentario para que trasladasen la circunstancia a la presidenta antes de la votación presencial. Asimismo, el recurrente expresa en su demanda que la cuestión fue trasladada a la presidenta del Congreso de los Diputados antes de la votación plenaria de ese asunto, tanto por la vicepresidenta segunda y el secretario cuarto del Congreso, señora Pastor Julián y señor Suárez Illana, como por la portavoz de su grupo parlamentario, señora Gamarra Ruíz-Clavijo; siendo estos hechos los que habrían dado lugar a la intervención de la portavoz al finalizar las votaciones, como se recoge en la parte del “Diario de Sesiones” reproducida.</w:t>
      </w:r>
    </w:p>
    <w:p w14:paraId="5C212AA0" w14:textId="77777777" w:rsidR="003754FE" w:rsidRDefault="003754FE" w:rsidP="003754FE">
      <w:pPr>
        <w:pStyle w:val="TextoNormal"/>
      </w:pPr>
    </w:p>
    <w:p w14:paraId="7B84F76C" w14:textId="77777777" w:rsidR="003754FE" w:rsidRDefault="003754FE" w:rsidP="003754FE">
      <w:pPr>
        <w:pStyle w:val="TextoNormal"/>
      </w:pPr>
      <w:r>
        <w:t>g) El mismo 3 de febrero de 2022, después de levantada la sesión plenaria, tuvo entrada en el registro del Congreso de los Diputados escrito de la portavoz del Grupo Parlamentario Popular en el que manifestaba que antes de iniciarse la votación plenaria de la convalidación o derogación del Real Decreto-ley 32/2021 se puso de manifiesto a la Presidencia de la Cámara, por miembros de la mesa y de la dirección de su grupo parlamentario, que no se estaba respetando lo dispuesto en los apartados cuarto y sexto de la resolución de la mesa del Congreso de los Diputados de 21 de mayo de 2012 para el desarrollo de los procedimientos de votación telemática (en adelante, de forma general, resolución de 2012), por dos motivos: (i) porque no se había verificado telefónicamente con el diputado señor Casero Ávila la emisión de su voto telemático y el sentido de este, según lo previsto en el apartado cuarto de la citada resolución; y (ii) porque no se había convocado a la mesa de la Cámara para dar trámite a la petición del diputado de emitir su voto presencialmente, según lo previsto en el apartado sexto de la resolución. Por todo lo anterior, en el escrito se solicitaba que no se publicase la votación plenaria efectuada sobre la convalidación o derogación del Real Decreto-ley 32/2021, así como que no se emitiese la resolución de la Presidencia de la Cámara ordenando la publicación en el “Boletín Oficial del Estado” (“BOE”) del acuerdo de convalidación.</w:t>
      </w:r>
    </w:p>
    <w:p w14:paraId="37AF253B" w14:textId="77777777" w:rsidR="003754FE" w:rsidRDefault="003754FE" w:rsidP="003754FE">
      <w:pPr>
        <w:pStyle w:val="TextoNormal"/>
      </w:pPr>
    </w:p>
    <w:p w14:paraId="494DDF3F" w14:textId="77777777" w:rsidR="003754FE" w:rsidRDefault="003754FE" w:rsidP="003754FE">
      <w:pPr>
        <w:pStyle w:val="TextoNormal"/>
      </w:pPr>
      <w:r>
        <w:t xml:space="preserve">Ese escrito venía acompañado por otro del diputado recurrente de la misma fecha, en el que manifestaba que se había visto vulnerado su “derecho fundamental al ejercicio del voto </w:t>
      </w:r>
      <w:r>
        <w:lastRenderedPageBreak/>
        <w:t>establecido por la Constitución Española”, y que, por ello, el resultado correspondiente a la convalidación del Real Decreto-ley 32/2021 no expresaba la voluntad popular, “puesto que uno de los votos emitidos es contrario al sentido expresado por mí mediante el sistema telemático”.</w:t>
      </w:r>
    </w:p>
    <w:p w14:paraId="2E6C2596" w14:textId="77777777" w:rsidR="003754FE" w:rsidRDefault="003754FE" w:rsidP="003754FE">
      <w:pPr>
        <w:pStyle w:val="TextoNormal"/>
      </w:pPr>
    </w:p>
    <w:p w14:paraId="5278C4F8" w14:textId="77777777" w:rsidR="003754FE" w:rsidRDefault="003754FE" w:rsidP="003754FE">
      <w:pPr>
        <w:pStyle w:val="TextoNormal"/>
      </w:pPr>
      <w:r>
        <w:t>h) También el 3 de febrero de 2022 tuvo entrada en el registro del Congreso de los Diputados escrito de la vicepresidenta segunda, señora Pastor Julián, y del secretario cuarto, señor Suárez Illana, en el que solicitaban la convocatoria urgente de la mesa para “tratar el que no se convocase por parte de la presidenta una reunión de la mesa incumpliendo el apartado sexto de la resolución de la mesa del Congreso de los Diputados, de 21 de mayo de 2012 tras la solicitud de miembros de la dirección del Grupo Parlamentario Popular y miembros de la mesa, para abordar la petición del diputado don Alberto Casero de anular el voto telemático realizado por él y recibir la consiguiente autorización para votar presencialmente la derogación o convalidación del Real Decreto-ley 32/2021”.</w:t>
      </w:r>
    </w:p>
    <w:p w14:paraId="1044E720" w14:textId="77777777" w:rsidR="003754FE" w:rsidRDefault="003754FE" w:rsidP="003754FE">
      <w:pPr>
        <w:pStyle w:val="TextoNormal"/>
      </w:pPr>
    </w:p>
    <w:p w14:paraId="321D60AD" w14:textId="77777777" w:rsidR="003754FE" w:rsidRDefault="003754FE" w:rsidP="003754FE">
      <w:pPr>
        <w:pStyle w:val="TextoNormal"/>
      </w:pPr>
      <w:r>
        <w:t>i) Posteriormente, en fecha de 4 de febrero de 2022, mediante un nuevo escrito la diputada portavoz del Grupo Parlamentario Popular viene a recordar a la presidenta del Congreso que está pendiente la convocatoria urgente de la mesa de la Cámara, solicitada por dos de sus miembros en el escrito anteriormente referenciado, al tiempo que reitera su solicitud para que por la Presidencia de la Cámara se “ordene la inmediata suspensión y paralización de cualesquiera trámites dirigidos a la publicación y efectividad de la votación […] respecto de la convalidación o derogación del Real Decreto-ley 32/2021, de 28 de diciembre a todos los efectos”.</w:t>
      </w:r>
    </w:p>
    <w:p w14:paraId="621BA4E9" w14:textId="77777777" w:rsidR="003754FE" w:rsidRDefault="003754FE" w:rsidP="003754FE">
      <w:pPr>
        <w:pStyle w:val="TextoNormal"/>
      </w:pPr>
    </w:p>
    <w:p w14:paraId="3ADCB642" w14:textId="77777777" w:rsidR="003754FE" w:rsidRDefault="003754FE" w:rsidP="003754FE">
      <w:pPr>
        <w:pStyle w:val="TextoNormal"/>
      </w:pPr>
      <w:r>
        <w:t>También con fecha de 4 de febrero presentaron escrito en el mismo sentido, solicitando convocatoria de la mesa, la señora vicepresidenta segunda y el señor secretario cuarto del Congreso.</w:t>
      </w:r>
    </w:p>
    <w:p w14:paraId="4431891A" w14:textId="77777777" w:rsidR="003754FE" w:rsidRDefault="003754FE" w:rsidP="003754FE">
      <w:pPr>
        <w:pStyle w:val="TextoNormal"/>
      </w:pPr>
    </w:p>
    <w:p w14:paraId="658E791F" w14:textId="77777777" w:rsidR="003754FE" w:rsidRDefault="003754FE" w:rsidP="003754FE">
      <w:pPr>
        <w:pStyle w:val="TextoNormal"/>
      </w:pPr>
      <w:r>
        <w:t>Asimismo, ese día presentó un nuevo escrito el diputado señor Casero Ávila, planteando igual solicitud de suspensión y paralización de trámites, después de manifestar que se le había vulnerado su derecho de voto y que se le había impedido formular presencialmente su voto en la sesión plenaria.</w:t>
      </w:r>
    </w:p>
    <w:p w14:paraId="3D04B4C8" w14:textId="77777777" w:rsidR="003754FE" w:rsidRDefault="003754FE" w:rsidP="003754FE">
      <w:pPr>
        <w:pStyle w:val="TextoNormal"/>
      </w:pPr>
    </w:p>
    <w:p w14:paraId="2961375D" w14:textId="77777777" w:rsidR="003754FE" w:rsidRDefault="003754FE" w:rsidP="003754FE">
      <w:pPr>
        <w:pStyle w:val="TextoNormal"/>
      </w:pPr>
      <w:r>
        <w:t>j) Con fecha de 7 de febrero de 2022, ochenta y cuatro diputados pertenecientes al Grupo Parlamentario Popular, que representaban más de un quinto de los miembros del Congreso, solicitaron, al amparo del art. 39.1 del Reglamento del Congreso de los Diputados, la convocatoria urgente de la junta de portavoces “para adoptar las decisiones que procedan en relación con los hechos acaecidos”, en relación con la solicitud del diputado señor Casero Ávila y la convocatoria de la mesa.</w:t>
      </w:r>
    </w:p>
    <w:p w14:paraId="384EEF30" w14:textId="77777777" w:rsidR="003754FE" w:rsidRDefault="003754FE" w:rsidP="003754FE">
      <w:pPr>
        <w:pStyle w:val="TextoNormal"/>
      </w:pPr>
    </w:p>
    <w:p w14:paraId="0CF2186A" w14:textId="77777777" w:rsidR="003754FE" w:rsidRDefault="003754FE" w:rsidP="003754FE">
      <w:pPr>
        <w:pStyle w:val="TextoNormal"/>
      </w:pPr>
      <w:r>
        <w:t>También el 7 de febrero de 2022 presentó un nuevo escrito el diputado recurrente en el que, como en el anterior de 3 de febrero de 2022, solicitaba “la inmediata suspensión y paralización de cualesquiera trámites dirigidos a la publicación y efectividad de la votación […] respecto de la convalidación o derogación del Real Decreto-ley 32/2021[…], hasta que se vea restablecido mi derecho”.</w:t>
      </w:r>
    </w:p>
    <w:p w14:paraId="03AFE97F" w14:textId="77777777" w:rsidR="003754FE" w:rsidRDefault="003754FE" w:rsidP="003754FE">
      <w:pPr>
        <w:pStyle w:val="TextoNormal"/>
      </w:pPr>
    </w:p>
    <w:p w14:paraId="45762D3D" w14:textId="77777777" w:rsidR="003754FE" w:rsidRDefault="003754FE" w:rsidP="003754FE">
      <w:pPr>
        <w:pStyle w:val="TextoNormal"/>
      </w:pPr>
      <w:r>
        <w:t xml:space="preserve">k) En esa misma fecha de 7 de febrero de 2022, la presidenta del Congreso de los Diputados dirigió sendos escritos a la vicepresidenta segunda y al secretario cuarto de la mesa </w:t>
      </w:r>
      <w:r>
        <w:lastRenderedPageBreak/>
        <w:t>de la Cámara en los que expone: “En contestación a sus solicitudes de convocatoria de la mesa de la Cámara para tratar el por qué la misma no fue convocada para resolver en relación con la petición de anulación […] del voto emitido telemáticamente por el señor Casero Ávila […], le comunico que el examen de los asuntos referidos en sus solicitudes, así como las cuestiones a las que se refieren el resto de escritos que, relativos a este tema, han tenido entrada en el registro de la Cámara, se producirá en la próxima reunión de la mesa, que se celebrará, en todo caso, con carácter previo a la sesión plenaria que comenzará el 15 de febrero de 2022”.</w:t>
      </w:r>
    </w:p>
    <w:p w14:paraId="12DFDFBE" w14:textId="77777777" w:rsidR="003754FE" w:rsidRDefault="003754FE" w:rsidP="003754FE">
      <w:pPr>
        <w:pStyle w:val="TextoNormal"/>
      </w:pPr>
    </w:p>
    <w:p w14:paraId="1AC2769A" w14:textId="77777777" w:rsidR="003754FE" w:rsidRDefault="003754FE" w:rsidP="003754FE">
      <w:pPr>
        <w:pStyle w:val="TextoNormal"/>
      </w:pPr>
      <w:r>
        <w:t>l) También el 7 de febrero de 2022, a la vista del anterior escrito, la vicepresidenta segunda y el secretario cuarto del Congreso de los Diputados reiteraron mediante un nuevo escrito su petición de convocatoria urgente de la mesa de la Cámara, manifestando que lo comunicado por la presidenta del Congreso no daba respuesta a sus solicitudes.</w:t>
      </w:r>
    </w:p>
    <w:p w14:paraId="640896B0" w14:textId="77777777" w:rsidR="003754FE" w:rsidRDefault="003754FE" w:rsidP="003754FE">
      <w:pPr>
        <w:pStyle w:val="TextoNormal"/>
      </w:pPr>
    </w:p>
    <w:p w14:paraId="44B6AF38" w14:textId="77777777" w:rsidR="003754FE" w:rsidRDefault="003754FE" w:rsidP="003754FE">
      <w:pPr>
        <w:pStyle w:val="TextoNormal"/>
      </w:pPr>
      <w:r>
        <w:t>m) En el “BOE” de 8 de febrero de 2022 se publicó la resolución de 3 de febrero de 2022, del Congreso de los Diputados, por la que se ordena la publicación del acuerdo de convalidación del Real Decreto-ley 32/2021, de 28 de diciembre.</w:t>
      </w:r>
    </w:p>
    <w:p w14:paraId="79D32A13" w14:textId="77777777" w:rsidR="003754FE" w:rsidRDefault="003754FE" w:rsidP="003754FE">
      <w:pPr>
        <w:pStyle w:val="TextoNormal"/>
      </w:pPr>
    </w:p>
    <w:p w14:paraId="4CA58CB1" w14:textId="77777777" w:rsidR="003754FE" w:rsidRDefault="003754FE" w:rsidP="003754FE">
      <w:pPr>
        <w:pStyle w:val="TextoNormal"/>
      </w:pPr>
      <w:r>
        <w:t>n) Ese mismo día 8 de febrero de 2022 la vicepresidenta segunda y el secretario cuarto del Congreso presentaron un nuevo escrito solicitando que los escritos presentados por ellos y por el Grupo Parlamentario Popular se incluyeran en el orden del día de la mesa de esa misma fecha.</w:t>
      </w:r>
    </w:p>
    <w:p w14:paraId="29DD4F6D" w14:textId="77777777" w:rsidR="003754FE" w:rsidRDefault="003754FE" w:rsidP="003754FE">
      <w:pPr>
        <w:pStyle w:val="TextoNormal"/>
      </w:pPr>
    </w:p>
    <w:p w14:paraId="51596FC9" w14:textId="77777777" w:rsidR="003754FE" w:rsidRDefault="003754FE" w:rsidP="003754FE">
      <w:pPr>
        <w:pStyle w:val="TextoNormal"/>
      </w:pPr>
      <w:r>
        <w:t>ñ) El 11 de febrero de 2022 la presidenta del Congreso de los Diputados dirigió un escrito a la portavoz del Grupo Parlamentario Popular, en el que, en relación con los escritos presentados por ella y por los diputados de su grupo parlamentario, le significaba que en aplicación del art. 151.6 RCD y conforme al proceder habitual, correspondía la ejecución del acuerdo plenario de convalidación del Real Decreto-ley 32/2021 dando publicidad en la página web de la Cámara al resultado de las votaciones y ordenando la publicación en el “Boletín Oficial de las Cortes Generales” y en el “Boletín Oficial del Estado”. En el escrito se indicaba que “cuando la Cámara se pronuncia, se entiende válidamente expresada su voluntad, sin que sea posible disponer de la misma”, así como que en la fecha que era conocida por la destinataria del escrito se celebraría reunión de la junta de portavoces “para la ordenación, en el marco de sus competencias, de las cuestiones relativas al Pleno”.</w:t>
      </w:r>
    </w:p>
    <w:p w14:paraId="1240A309" w14:textId="77777777" w:rsidR="003754FE" w:rsidRDefault="003754FE" w:rsidP="003754FE">
      <w:pPr>
        <w:pStyle w:val="TextoNormal"/>
      </w:pPr>
    </w:p>
    <w:p w14:paraId="50384EBD" w14:textId="77777777" w:rsidR="003754FE" w:rsidRDefault="003754FE" w:rsidP="003754FE">
      <w:pPr>
        <w:pStyle w:val="TextoNormal"/>
      </w:pPr>
      <w:r>
        <w:t>Ese mismo día, la presidenta del Congreso dirigió escrito al diputado señor Casero Ávila, con un contenido igual al anterior en cuanto a la obligada publicación del acuerdo plenario de convalidación, y en el que se indicaba, además, que “las votaciones telemáticas que tuvieron lugar en el marco de la sesión plenaria de 3 de febrero se desarrollaron sin que se produjera ninguna incidencia técnica, no pudiéndose imputar a un fallo del sistema la circunstancia puesta de manifiesto por V.E. de que su voto no se correspondiera con la que era su voluntad. Por ello, su voto, que se emitió conforme al procedimiento establecido, es válido, sin que quepa entender que se ha producido una vulneración de su derecho”.</w:t>
      </w:r>
    </w:p>
    <w:p w14:paraId="58C9733E" w14:textId="77777777" w:rsidR="003754FE" w:rsidRDefault="003754FE" w:rsidP="003754FE">
      <w:pPr>
        <w:pStyle w:val="TextoNormal"/>
      </w:pPr>
    </w:p>
    <w:p w14:paraId="7C531521" w14:textId="77777777" w:rsidR="003754FE" w:rsidRDefault="003754FE" w:rsidP="003754FE">
      <w:pPr>
        <w:pStyle w:val="TextoNormal"/>
      </w:pPr>
      <w:r>
        <w:t xml:space="preserve">o) En su reunión de 15 de febrero de 2022, la mesa del Congreso adoptó el siguiente acuerdo: </w:t>
      </w:r>
    </w:p>
    <w:p w14:paraId="39447058" w14:textId="77777777" w:rsidR="003754FE" w:rsidRDefault="003754FE" w:rsidP="003754FE">
      <w:pPr>
        <w:pStyle w:val="TextoNormal"/>
      </w:pPr>
    </w:p>
    <w:p w14:paraId="7FB67845" w14:textId="77777777" w:rsidR="003754FE" w:rsidRDefault="003754FE" w:rsidP="003754FE">
      <w:pPr>
        <w:pStyle w:val="TextoNormal"/>
      </w:pPr>
      <w:r>
        <w:lastRenderedPageBreak/>
        <w:t>“Teniendo en cuenta las posiciones manifestadas en el debate, y con el voto en contra de la señora Pastor y de los señores Gil y Suárez, la mesa acuerda respaldar las decisiones de la Presidencia adoptadas el pasado día 3 de febrero, de acuerdo con el informe de la Secretaría General; constatar, ante el informe técnico, la inexistencia de fallo telemático y, en consecuencia, la falta del supuesto de aplicación del apartado sexto de la resolución de la mesa del Congreso de los Diputados, de 21 de mayo de 2012 […] y reafirmar que los errores humanos no dan lugar a corrección ni a repetición del voto”.</w:t>
      </w:r>
    </w:p>
    <w:p w14:paraId="6FAE0C7F" w14:textId="77777777" w:rsidR="003754FE" w:rsidRDefault="003754FE" w:rsidP="003754FE">
      <w:pPr>
        <w:pStyle w:val="TextoNormal"/>
      </w:pPr>
    </w:p>
    <w:p w14:paraId="0D0EE618" w14:textId="77777777" w:rsidR="003754FE" w:rsidRDefault="003754FE" w:rsidP="003754FE">
      <w:pPr>
        <w:pStyle w:val="TextoNormal"/>
      </w:pPr>
      <w:r>
        <w:t xml:space="preserve">p) El informe de la Secretaría General del Congreso de los Diputados al que se hace mención en el acuerdo recién citado contiene, en extracto, las siguientes conclusiones: </w:t>
      </w:r>
    </w:p>
    <w:p w14:paraId="355866E1" w14:textId="77777777" w:rsidR="003754FE" w:rsidRDefault="003754FE" w:rsidP="003754FE">
      <w:pPr>
        <w:pStyle w:val="TextoNormal"/>
      </w:pPr>
    </w:p>
    <w:p w14:paraId="37237BF2" w14:textId="77777777" w:rsidR="003754FE" w:rsidRDefault="003754FE" w:rsidP="003754FE">
      <w:pPr>
        <w:pStyle w:val="TextoNormal"/>
      </w:pPr>
      <w:r>
        <w:t xml:space="preserve">“1. El procedimiento de votación, única forma válida de expresión de la voluntad de la Cámara, no es disponible para el diputado […] el procedimiento de votación telemática es de carácter excepcional, de modo que solo cabe de forma limitada, no pudiendo comportar ninguna ventaja frente a los votantes presenciales y debiendo articularse de manera que garantice la personalidad del voto. </w:t>
      </w:r>
    </w:p>
    <w:p w14:paraId="03D80962" w14:textId="77777777" w:rsidR="003754FE" w:rsidRDefault="003754FE" w:rsidP="003754FE">
      <w:pPr>
        <w:pStyle w:val="TextoNormal"/>
      </w:pPr>
    </w:p>
    <w:p w14:paraId="6043121C" w14:textId="77777777" w:rsidR="003754FE" w:rsidRDefault="003754FE" w:rsidP="003754FE">
      <w:pPr>
        <w:pStyle w:val="TextoNormal"/>
      </w:pPr>
      <w:r>
        <w:t>2. El voto del señor Casero fue válidamente emitido y produce plenos efectos. Tal y como ha quedado acreditado, no se produjo un fallo en el sistema de votación […] tampoco resultó violentado el procedimiento de votación telemática, el cual se desarrolló de conformidad con el régimen jurídico vigente, […] la comprobación personal a que se refiere el artículo 82.2 del Reglamento se realiza, no en los términos del apartado cuarto de la resolución de la mesa de 21 de mayo de 2012, sino mediante la introducción de usuario y contraseña en la intranet de la Cámara.</w:t>
      </w:r>
    </w:p>
    <w:p w14:paraId="003BB448" w14:textId="77777777" w:rsidR="003754FE" w:rsidRDefault="003754FE" w:rsidP="003754FE">
      <w:pPr>
        <w:pStyle w:val="TextoNormal"/>
      </w:pPr>
    </w:p>
    <w:p w14:paraId="60A243D7" w14:textId="77777777" w:rsidR="003754FE" w:rsidRDefault="003754FE" w:rsidP="003754FE">
      <w:pPr>
        <w:pStyle w:val="TextoNormal"/>
      </w:pPr>
      <w:r>
        <w:t>3. Esta comprobación personal […] no está concebida como una vía para subsanar eventuales errores, sino como una garantía de la emisión personal del voto por quien es titular del mandato parlamentario.</w:t>
      </w:r>
    </w:p>
    <w:p w14:paraId="562FB857" w14:textId="77777777" w:rsidR="003754FE" w:rsidRDefault="003754FE" w:rsidP="003754FE">
      <w:pPr>
        <w:pStyle w:val="TextoNormal"/>
      </w:pPr>
    </w:p>
    <w:p w14:paraId="77F6A489" w14:textId="77777777" w:rsidR="003754FE" w:rsidRDefault="003754FE" w:rsidP="003754FE">
      <w:pPr>
        <w:pStyle w:val="TextoNormal"/>
      </w:pPr>
      <w:r>
        <w:t>4. El voto válidamente emitido, sea presencial o telemáticamente, es irrevocable, de lo que se deriva necesariamente que las votaciones, salvo error técnico […] y en los casos expresamente previstos en el Reglamento […] no se repiten.</w:t>
      </w:r>
    </w:p>
    <w:p w14:paraId="13DFF450" w14:textId="77777777" w:rsidR="003754FE" w:rsidRDefault="003754FE" w:rsidP="003754FE">
      <w:pPr>
        <w:pStyle w:val="TextoNormal"/>
      </w:pPr>
    </w:p>
    <w:p w14:paraId="24077355" w14:textId="77777777" w:rsidR="003754FE" w:rsidRDefault="003754FE" w:rsidP="003754FE">
      <w:pPr>
        <w:pStyle w:val="TextoNormal"/>
      </w:pPr>
      <w:r>
        <w:t>5. El apartado sexto de la resolución de la mesa de 21 de mayo de 2012 […] no se concibe como una segunda oportunidad para el diputado que vota telemáticamente, sino como un mecanismo excepcional previsto para que, si fuese pertinente para mejor garantizar el derecho de voto, […] el diputado que en principio estaba autorizado para votar telemáticamente, pueda hacerlo de manera presencial.</w:t>
      </w:r>
    </w:p>
    <w:p w14:paraId="533C52C3" w14:textId="77777777" w:rsidR="003754FE" w:rsidRDefault="003754FE" w:rsidP="003754FE">
      <w:pPr>
        <w:pStyle w:val="TextoNormal"/>
      </w:pPr>
    </w:p>
    <w:p w14:paraId="07438FA6" w14:textId="77777777" w:rsidR="003754FE" w:rsidRDefault="003754FE" w:rsidP="003754FE">
      <w:pPr>
        <w:pStyle w:val="TextoNormal"/>
      </w:pPr>
      <w:r>
        <w:t xml:space="preserve">6. De acuerdo con numerosos precedentes, en el caso del señor Casero no sería de aplicación el referido apartado sexto de la resolución, toda vez que no se dan las circunstancias que hubieran justificado la anulación de su voto. En este contexto, no resultaba ni jurídicamente exigible y tampoco necesario reunir a la mesa. </w:t>
      </w:r>
    </w:p>
    <w:p w14:paraId="532182BB" w14:textId="77777777" w:rsidR="003754FE" w:rsidRDefault="003754FE" w:rsidP="003754FE">
      <w:pPr>
        <w:pStyle w:val="TextoNormal"/>
      </w:pPr>
    </w:p>
    <w:p w14:paraId="0679BB4A" w14:textId="60F34E9A" w:rsidR="003754FE" w:rsidRDefault="003754FE" w:rsidP="003754FE">
      <w:pPr>
        <w:pStyle w:val="TextoNormal"/>
      </w:pPr>
      <w:r>
        <w:t xml:space="preserve">7. Finalmente, en cuanto a la petición de que se paralicen los trámites conducentes a dar efectividad al acuerdo de convalidación del Real Decreto-ley 32/2021, […] el Pleno de la Cámara se pronunció […] expresando su voluntad de manera definitiva. No siendo posible </w:t>
      </w:r>
      <w:r>
        <w:lastRenderedPageBreak/>
        <w:t>disponer de tal voluntad, […] lo que procede es su inmediata ejecución, en cumplimiento de lo establecido en el artículo 151.6 del Reglamento”.</w:t>
      </w:r>
    </w:p>
    <w:p w14:paraId="3DAE0B92" w14:textId="77777777" w:rsidR="003754FE" w:rsidRDefault="003754FE" w:rsidP="003754FE">
      <w:pPr>
        <w:pStyle w:val="TextoNormal"/>
      </w:pPr>
    </w:p>
    <w:p w14:paraId="39037AE5" w14:textId="77777777" w:rsidR="003754FE" w:rsidRDefault="003754FE" w:rsidP="003754FE">
      <w:pPr>
        <w:pStyle w:val="TextoNormal"/>
      </w:pPr>
      <w:r w:rsidRPr="003754FE">
        <w:rPr>
          <w:rStyle w:val="NumeroAFNegritaCaracter"/>
        </w:rPr>
        <w:t>3</w:t>
      </w:r>
      <w:r>
        <w:t>. El diputado recurrente alega en su demanda que las resoluciones recurridas han vulnerado su derecho fundamental al ejercicio del cargo representativo conforme a la ley y en condiciones de igualdad. A este respecto razona lo siguiente:</w:t>
      </w:r>
    </w:p>
    <w:p w14:paraId="54C18033" w14:textId="77777777" w:rsidR="003754FE" w:rsidRDefault="003754FE" w:rsidP="003754FE">
      <w:pPr>
        <w:pStyle w:val="TextoNormal"/>
      </w:pPr>
    </w:p>
    <w:p w14:paraId="0001F2E3" w14:textId="77777777" w:rsidR="003754FE" w:rsidRDefault="003754FE" w:rsidP="003754FE">
      <w:pPr>
        <w:pStyle w:val="TextoNormal"/>
      </w:pPr>
      <w:r>
        <w:t>a) El derecho de los parlamentarios a desempeñar su labor representativa no puede resultar ilegítimamente constreñido o ignorado por los actos de los órganos parlamentarios, que están obligados a interpretar restrictivamente todas aquellas normas que puedan suponer una limitación al ejercicio de sus derechos y atribuciones, y a motivar suficiente y adecuadamente las decisiones restrictivas de ese derecho.</w:t>
      </w:r>
    </w:p>
    <w:p w14:paraId="6A6A61E0" w14:textId="77777777" w:rsidR="003754FE" w:rsidRDefault="003754FE" w:rsidP="003754FE">
      <w:pPr>
        <w:pStyle w:val="TextoNormal"/>
      </w:pPr>
    </w:p>
    <w:p w14:paraId="5E6ABB25" w14:textId="77777777" w:rsidR="003754FE" w:rsidRDefault="003754FE" w:rsidP="003754FE">
      <w:pPr>
        <w:pStyle w:val="TextoNormal"/>
      </w:pPr>
      <w:r>
        <w:t xml:space="preserve">b) El derecho de voto de los parlamentarios se encuentra incluido entre las funciones que integran el llamado </w:t>
      </w:r>
      <w:r w:rsidRPr="003754FE">
        <w:rPr>
          <w:i/>
        </w:rPr>
        <w:t>ius in officium</w:t>
      </w:r>
      <w:r>
        <w:t xml:space="preserve"> (STC 361/2006, de 18 de diciembre, FJ 3). En el presente caso, ese derecho se ha visto vulnerado porque la Presidencia de la Cámara, cuando le fue comunicado el error en la emisión del voto telemático por el diputado recurrente, se negó a activar las garantías que hubiesen permitido corregir dicho error, previstas en la resolución de 2012, con la agravante de influir en el resultado final de la votación.</w:t>
      </w:r>
    </w:p>
    <w:p w14:paraId="1F3E38B8" w14:textId="77777777" w:rsidR="003754FE" w:rsidRDefault="003754FE" w:rsidP="003754FE">
      <w:pPr>
        <w:pStyle w:val="TextoNormal"/>
      </w:pPr>
    </w:p>
    <w:p w14:paraId="665C0AF1" w14:textId="77777777" w:rsidR="003754FE" w:rsidRDefault="003754FE" w:rsidP="003754FE">
      <w:pPr>
        <w:pStyle w:val="TextoNormal"/>
      </w:pPr>
      <w:r>
        <w:t>c) Las decisiones impugnadas han vulnerado el derecho al ejercicio del cargo representativo de conformidad con lo previsto en las leyes. La primera de esas decisiones, por la que se considera verificado el voto telemático del diputado en la votación del Real Decreto-ley 32/2021, ha infringido la imperativa comprobación de oficio, por la presidenta o persona delegada, de la efectiva emisión del voto y del sentido de este, como prescribe el apartado cuarto de la resolución de 2012 (“[t]ras ejercer el voto mediante el procedimiento telemático, la Presidencia u órgano en quien delegue, comprobará telefónicamente con el diputado autorizado, antes del inicio de la votación presencial en el Pleno, la emisión efectiva del voto y el sentido de este”). Según el demandante de amparo, se trata de un procedimiento vigente a partir del acuerdo de la mesa del Congreso de 26 de octubre de 2021, que no deroga dicho régimen al prever la votación telemática a través de la intranet de la Cámara “con la introducción de usuario y contraseña, como método de verificación de la emisión personal del voto”, siendo irrelevante la práctica “antirreglamentaria” reciente que no sigue los requisitos de la resolución de 2012. Añade el recurrente que, aunque ese procedimiento no se hubiera activado de oficio, en todo caso debería haberse procedido a la comprobación del sentido del voto al haberlo solicitado el diputado y haberse puesto en conocimiento de la presidenta del Congreso de forma previa a la votación presencial. Según la demanda, la decisión de no realizar dicha comprobación telefónica constituyó una actuación consciente y parcial para contabilizar un voto contrario a la voluntad del representante y permitir la aprobación de la iniciativa sometida a votación.</w:t>
      </w:r>
    </w:p>
    <w:p w14:paraId="0DDE21D3" w14:textId="77777777" w:rsidR="003754FE" w:rsidRDefault="003754FE" w:rsidP="003754FE">
      <w:pPr>
        <w:pStyle w:val="TextoNormal"/>
      </w:pPr>
    </w:p>
    <w:p w14:paraId="7E4F3F98" w14:textId="77777777" w:rsidR="003754FE" w:rsidRDefault="003754FE" w:rsidP="003754FE">
      <w:pPr>
        <w:pStyle w:val="TextoNormal"/>
      </w:pPr>
      <w:r>
        <w:t xml:space="preserve">Por su parte, la segunda decisión impugnada, consistente en no convocar la mesa del Congreso de los Diputados de forma previa a la controvertida votación del Real Decreto-ley 32/2021, impidió que ese órgano de gobierno se pronunciase sobre la solicitud del diputado de votar presencialmente y sobre la consiguiente anulación de su voto telemático, infringiendo así lo dispuesto en el apartado sexto de la resolución de 2012 (“[e]l diputado que hubiera emitido su voto mediante el procedimiento telemático no podrá emitir su voto </w:t>
      </w:r>
      <w:r>
        <w:lastRenderedPageBreak/>
        <w:t>presencial sin autorización expresa de la mesa de la Cámara que, en el supuesto que decida autorizar el voto presencial, declarará el voto telemático nulo y no emitido”).</w:t>
      </w:r>
    </w:p>
    <w:p w14:paraId="724586E0" w14:textId="77777777" w:rsidR="003754FE" w:rsidRDefault="003754FE" w:rsidP="003754FE">
      <w:pPr>
        <w:pStyle w:val="TextoNormal"/>
      </w:pPr>
    </w:p>
    <w:p w14:paraId="38A0F1FD" w14:textId="77777777" w:rsidR="003754FE" w:rsidRDefault="003754FE" w:rsidP="003754FE">
      <w:pPr>
        <w:pStyle w:val="TextoNormal"/>
      </w:pPr>
      <w:r>
        <w:t xml:space="preserve">d) Se ha vulnerado el derecho al ejercicio del cargo representativo del diputado recurrente porque las decisiones impugnadas han llevado a cabo una interpretación en exceso restrictiva y limitadora de las normas parlamentarias de aplicación, con menoscabo del principio de la interpretación más favorable a la plena eficacia de los derechos fundamentales implicados. Según la demanda, y a diferencia de lo que ocurre con el voto presencial, en el caso del voto telemático no se produce ningún perjuicio al interés general si se permite al diputado su corrección, cuando exista un error involuntario en su emisión y ello se comunique con anterioridad a la votación presencial. A su vez, esas decisiones limitativas del derecho carecen de motivación alguna, por lo que infringen también el </w:t>
      </w:r>
      <w:r w:rsidRPr="003754FE">
        <w:rPr>
          <w:i/>
        </w:rPr>
        <w:t>ius in officium</w:t>
      </w:r>
      <w:r>
        <w:t xml:space="preserve"> del diputado recurrente.</w:t>
      </w:r>
    </w:p>
    <w:p w14:paraId="1BC87395" w14:textId="77777777" w:rsidR="003754FE" w:rsidRDefault="003754FE" w:rsidP="003754FE">
      <w:pPr>
        <w:pStyle w:val="TextoNormal"/>
      </w:pPr>
    </w:p>
    <w:p w14:paraId="40643071" w14:textId="40153042" w:rsidR="003754FE" w:rsidRDefault="003754FE" w:rsidP="003754FE">
      <w:pPr>
        <w:pStyle w:val="TextoNormal"/>
      </w:pPr>
      <w:r>
        <w:t>e) Finalmente, la demanda indica que, si se diera el caso de que, en el momento de dictarse sentencia por el Tribunal Constitucional, no existiese la norma aprobada o hubiera concluido la legislatura en curso, procedería cuando menos el restablecimiento parcial mediante una sentencia declarativa de la vulneración del derecho. Al mismo tiempo, en el suplico de la demanda se solicita que se dicte sentencia por la que se otorgue el amparo solicitado, se declaren vulnerados el derecho del diputado recurrente al ejercicio del cargo representativo conforme a la ley y en condiciones de igualdad, así como, indirectamente, el de los ciudadanos a la representación política, con el restablecimiento en ese derecho fundamental y revocando los referidos acuerdos tras declarar su nulidad, “así como declarando la nulidad de todos aquellos actos y normas que deriven de la tramitación legislativa en cuestión”.</w:t>
      </w:r>
    </w:p>
    <w:p w14:paraId="17B4DAEB" w14:textId="77777777" w:rsidR="003754FE" w:rsidRDefault="003754FE" w:rsidP="003754FE">
      <w:pPr>
        <w:pStyle w:val="TextoNormal"/>
      </w:pPr>
    </w:p>
    <w:p w14:paraId="63A97B51" w14:textId="0E000222" w:rsidR="003754FE" w:rsidRDefault="003754FE" w:rsidP="003754FE">
      <w:pPr>
        <w:pStyle w:val="TextoNormal"/>
      </w:pPr>
      <w:r w:rsidRPr="003754FE">
        <w:rPr>
          <w:rStyle w:val="NumeroAFNegritaCaracter"/>
        </w:rPr>
        <w:t>4</w:t>
      </w:r>
      <w:r>
        <w:t>. Mediante providencia de 11 de julio de 2022, la Sección Cuarta del Tribunal Constitucional acordó la admisión a trámite del recurso de amparo apreciando que concurre en él una especial trascendencia constitucional [art. 50.1 de la Ley Orgánica del Tribunal Constitucional (LOTC)] porque plantea un problema o afecta a una faceta de un derecho fundamental sobre el que no hay doctrina de este tribunal [STC 155/2009, de 25 de junio, FJ 2 a)], y porque el asunto trasciende del caso concreto porque pudiera tener unas consecuencias políticas generales [STC 155/2009, FJ 2 g)]. En la misma providencia, en aplicación de lo dispuesto en el art. 51 LOTC, se acordó también dirigir comunicación a la mesa del Congreso de los Diputados para la remisión de certificación o fotocopia adverada de las actuaciones correspondientes a las decisiones de la Presidencia del Congreso de los Diputados de 3 de febrero de 2022, y para que, en plazo que no excediera de diez días, procediera a emplazar a quienes hubieran sido parte en el procedimiento, excepto la parte recurrente en amparo.</w:t>
      </w:r>
    </w:p>
    <w:p w14:paraId="12D21129" w14:textId="77777777" w:rsidR="003754FE" w:rsidRDefault="003754FE" w:rsidP="003754FE">
      <w:pPr>
        <w:pStyle w:val="TextoNormal"/>
      </w:pPr>
    </w:p>
    <w:p w14:paraId="49DD4AFB" w14:textId="0E69BD03" w:rsidR="003754FE" w:rsidRDefault="003754FE" w:rsidP="003754FE">
      <w:pPr>
        <w:pStyle w:val="TextoNormal"/>
      </w:pPr>
      <w:r w:rsidRPr="003754FE">
        <w:rPr>
          <w:rStyle w:val="NumeroAFNegritaCaracter"/>
        </w:rPr>
        <w:t>5</w:t>
      </w:r>
      <w:r>
        <w:t>. La Sala Segunda del Tribunal, por providencia de 12 de septiembre de 2022, acordó proponer la avocación al Pleno del presente recurso de amparo de conformidad con lo previsto en el art. 10.1 n) LOTC. Con base en la citada norma y mediante providencia de 14 de septiembre de 2022, el Pleno acordó recabar para sí el conocimiento del recurso de amparo.</w:t>
      </w:r>
    </w:p>
    <w:p w14:paraId="4771FB78" w14:textId="77777777" w:rsidR="003754FE" w:rsidRDefault="003754FE" w:rsidP="003754FE">
      <w:pPr>
        <w:pStyle w:val="TextoNormal"/>
      </w:pPr>
    </w:p>
    <w:p w14:paraId="0B62F785" w14:textId="174E312E" w:rsidR="003754FE" w:rsidRDefault="003754FE" w:rsidP="003754FE">
      <w:pPr>
        <w:pStyle w:val="TextoNormal"/>
      </w:pPr>
      <w:r w:rsidRPr="003754FE">
        <w:rPr>
          <w:rStyle w:val="NumeroAFNegritaCaracter"/>
        </w:rPr>
        <w:t>6</w:t>
      </w:r>
      <w:r>
        <w:t xml:space="preserve">. Mediante diligencia de ordenación de 19 de septiembre de 2022, la Secretaría de Justicia del Pleno del Tribunal tuvo por personado y parte al Congreso de los Diputados, </w:t>
      </w:r>
      <w:r>
        <w:lastRenderedPageBreak/>
        <w:t>representado por la letrada de las Cortes Generales directora de la asesoría jurídica de la Secretaría General de la Cámara, y acordó dar vista de las actuaciones al Ministerio Fiscal y a las partes personadas para que por plazo común de veinte días pudieran presentar alegaciones, conforme a lo previsto en el art. 52 LOTC.</w:t>
      </w:r>
    </w:p>
    <w:p w14:paraId="71D79723" w14:textId="77777777" w:rsidR="003754FE" w:rsidRDefault="003754FE" w:rsidP="003754FE">
      <w:pPr>
        <w:pStyle w:val="TextoNormal"/>
      </w:pPr>
    </w:p>
    <w:p w14:paraId="5B57E308" w14:textId="55AD8D7C" w:rsidR="003754FE" w:rsidRDefault="003754FE" w:rsidP="003754FE">
      <w:pPr>
        <w:pStyle w:val="TextoNormal"/>
      </w:pPr>
      <w:r w:rsidRPr="003754FE">
        <w:rPr>
          <w:rStyle w:val="NumeroAFNegritaCaracter"/>
        </w:rPr>
        <w:t>7</w:t>
      </w:r>
      <w:r>
        <w:t>. El diputado recurrente presentó sus alegaciones mediante escrito registrado el 20 de octubre de 2022, en el que se ratifica y remite a lo manifestado en su escrito de demanda.</w:t>
      </w:r>
    </w:p>
    <w:p w14:paraId="3B97C6A0" w14:textId="77777777" w:rsidR="003754FE" w:rsidRDefault="003754FE" w:rsidP="003754FE">
      <w:pPr>
        <w:pStyle w:val="TextoNormal"/>
      </w:pPr>
    </w:p>
    <w:p w14:paraId="2EE0FA2F" w14:textId="77777777" w:rsidR="003754FE" w:rsidRDefault="003754FE" w:rsidP="003754FE">
      <w:pPr>
        <w:pStyle w:val="TextoNormal"/>
      </w:pPr>
      <w:r w:rsidRPr="003754FE">
        <w:rPr>
          <w:rStyle w:val="NumeroAFNegritaCaracter"/>
        </w:rPr>
        <w:t>8</w:t>
      </w:r>
      <w:r>
        <w:t>. Con fecha 24 de octubre de 2022 se registró el escrito de alegaciones del Congreso de los Diputados, en el que se da cuenta de los hechos sintetizados en los antecedentes anteriores, y se interesa la desestimación del recurso, aduciendo lo siguiente:</w:t>
      </w:r>
    </w:p>
    <w:p w14:paraId="4F58E4A2" w14:textId="77777777" w:rsidR="003754FE" w:rsidRDefault="003754FE" w:rsidP="003754FE">
      <w:pPr>
        <w:pStyle w:val="TextoNormal"/>
      </w:pPr>
    </w:p>
    <w:p w14:paraId="7D667128" w14:textId="77777777" w:rsidR="003754FE" w:rsidRDefault="003754FE" w:rsidP="003754FE">
      <w:pPr>
        <w:pStyle w:val="TextoNormal"/>
      </w:pPr>
      <w:r>
        <w:t>a) En la sesión plenaria de 3 de febrero de 2022, el régimen jurídico consolidado sobre el voto telemático era el constituido por el art. 82.2 RCD, la resolución de 2012 y los acuerdos de 26 de octubre de 2021 y de 1 de febrero de 2022. El hecho de que el acuerdo de autorización del voto telemático al señor Casero Ávila no citara el acuerdo de 26 de octubre de 2021 no impide entender que el art. 82.2 RCD y la resolución de 2012 se aplicaban en los términos derivados del régimen especial previsto en los mencionados acuerdos; si no fuera así no se habrían podido votar telemáticamente los asuntos susceptibles de modificación o de fraccionamiento en el debate, al tiempo que la propia solicitud de autorización del voto telemático formulada por el diputado recurrente hacía referencia al acuerdo de 26 de octubre de 2021.</w:t>
      </w:r>
    </w:p>
    <w:p w14:paraId="29E6AE4D" w14:textId="77777777" w:rsidR="003754FE" w:rsidRDefault="003754FE" w:rsidP="003754FE">
      <w:pPr>
        <w:pStyle w:val="TextoNormal"/>
      </w:pPr>
    </w:p>
    <w:p w14:paraId="653CC21E" w14:textId="77777777" w:rsidR="003754FE" w:rsidRDefault="003754FE" w:rsidP="003754FE">
      <w:pPr>
        <w:pStyle w:val="TextoNormal"/>
      </w:pPr>
      <w:r>
        <w:t>Por esta razón, en las votaciones telemáticas de la sesión plenaria no se exigía el método de comprobación personal previsto en el apartado cuarto de la resolución de 2012 (consistente en la verificación a través de llamada telefónica), sino el método alternativo contenido en el acuerdo de 26 octubre de 2021 (consistente en la introducción de usuario y contraseña a través de la intranet de la Cámara), justificado porque la situación extraordinaria provocada por la pandemia de covid-19 podía seguir provocando votaciones telemáticas masivas y en plazos breves. Cualquiera de esos métodos de comprobación, además, no tienen como finalidad subsanar o corregir posibles errores materiales en la emisión del voto telemático, sino la garantía de la emisión personal del voto por el diputado.</w:t>
      </w:r>
    </w:p>
    <w:p w14:paraId="1CD2C789" w14:textId="77777777" w:rsidR="003754FE" w:rsidRDefault="003754FE" w:rsidP="003754FE">
      <w:pPr>
        <w:pStyle w:val="TextoNormal"/>
      </w:pPr>
    </w:p>
    <w:p w14:paraId="384010A3" w14:textId="77777777" w:rsidR="003754FE" w:rsidRDefault="003754FE" w:rsidP="003754FE">
      <w:pPr>
        <w:pStyle w:val="TextoNormal"/>
      </w:pPr>
      <w:r>
        <w:t xml:space="preserve">b) El voto del señor Casero Ávila sobre la convalidación o derogación del Real Decreto-ley 32/2021 se desarrolló conforme al procedimiento reglado para la emisión del voto telemático. Durante todo el proceso de votación ni el diputado ni su grupo parlamentario registraron comunicación de incidencia técnica alguna; y, según el informe elaborado por la Dirección de Tecnologías de la Información y de las Comunicaciones, en los servidores que registran la actividad de la sesión plenaria no se observa ni error informático ni fallo en el sistema, al tiempo que la votación del señor Casero quedó registrada en los dos pasos que contempla la aplicación, tanto en el momento en que el diputado selecciona el sentido de su voto, como en el momento de su confirmación, sin haberse registrado ninguna cancelación por parte del usuario. En consecuencia, tanto en el momento de comunicarse la incidencia por el Grupo Parlamentario Popular, como posteriormente, quedó demostrado que no hubo un error informático o un fallo electrónico sino, en su caso, una negligencia del diputado recurrente, por lo que no es de aplicación la doctrina contenida en la STC 361/2006 alegada por el demandante, de manera que la Presidencia de la Cámara se ajustó en todo momento a lo previsto en la normativa, previa comprobación de que no se había registrado error </w:t>
      </w:r>
      <w:r>
        <w:lastRenderedPageBreak/>
        <w:t>informático alguno. En consecuencia, el voto fue válidamente emitido y produce plenos efectos.</w:t>
      </w:r>
    </w:p>
    <w:p w14:paraId="656E6F32" w14:textId="77777777" w:rsidR="003754FE" w:rsidRDefault="003754FE" w:rsidP="003754FE">
      <w:pPr>
        <w:pStyle w:val="TextoNormal"/>
      </w:pPr>
    </w:p>
    <w:p w14:paraId="1F36ED36" w14:textId="77777777" w:rsidR="003754FE" w:rsidRDefault="003754FE" w:rsidP="003754FE">
      <w:pPr>
        <w:pStyle w:val="TextoNormal"/>
      </w:pPr>
      <w:r>
        <w:t>c) El procedimiento de votación no es disponible por el diputado, por lo que, una vez emitido válidamente el voto, sea presencial o telemáticamente, no cabe su revocación mediante su retirada o su modificación, con la consecuencia fundamental de que las votaciones no se repiten. Solo cabe la repetición de una votación cuando el reglamento así lo prevea expresamente (arts. 37 y 88 RCD), o cuando el voto emitido no pueda imputarse a la acción del diputado, como ocurre cuando se ha producido un error técnico, en el sentido de la doctrina constitucional contenida en la STC 361/2006. En anteriores ocasiones, en atención al principio de seguridad jurídica, la Presidencia del Congreso no ha tenido en cuenta los posibles errores materiales ocurridos en una votación y no se procedió a una nueva votación, ni a título individual por parte del diputado que alegaba el error ni por parte de la Cámara en su conjunto, aun cuando fuesen varios los diputados implicados en esa situación y con independencia de la trascendencia de esa discrepancia.</w:t>
      </w:r>
    </w:p>
    <w:p w14:paraId="6D29383D" w14:textId="77777777" w:rsidR="003754FE" w:rsidRDefault="003754FE" w:rsidP="003754FE">
      <w:pPr>
        <w:pStyle w:val="TextoNormal"/>
      </w:pPr>
    </w:p>
    <w:p w14:paraId="616945E0" w14:textId="77777777" w:rsidR="003754FE" w:rsidRDefault="003754FE" w:rsidP="003754FE">
      <w:pPr>
        <w:pStyle w:val="TextoNormal"/>
      </w:pPr>
      <w:r>
        <w:t>En este sentido, de lo previsto en el apartado sexto de la resolución de 2012 no cabe deducir que se esté estableciendo una segunda oportunidad para el voto telemático, o un medio de subsanación del voto telemático emitido, porque esa interpretación incurriría en vulneración del principio de igualdad y del derecho de participación política, al no estar permitida la rectificación del voto al votante presencial. Lo allí dispuesto, en cuanto a que “el diputado que hubiera emitido su voto mediante el procedimiento telemático no podrá emitir su voto presencial sin autorización expresa de la mesa de la Cámara que, en el supuesto de que decida autorizar el voto presencial, declarará el voto telemático nulo y no emitido”, no es un derecho inmutable del diputado, sino un procedimiento excepcional que procederá solo en la medida en que resulte preciso para garantizar el correcto ejercicio del voto. Por ello, los casos previos en los que se ha aplicado ese precepto se han caracterizado por la concurrencia de un incorrecto ejercicio del voto por haber votado telemáticamente el diputado implicado y, a la vez, haberlo hecho presencialmente por encontrarse en la sesión plenaria; no haber seguido las advertencias de la Presidencia en cuanto a que aquellos que habilitados para votar telemáticamente no podían hacerlo desde su escaño; y haber votado presencialmente en todos los asuntos del orden del día, incluyendo aquellos para los que se había emitido voto telemático.</w:t>
      </w:r>
    </w:p>
    <w:p w14:paraId="1115317F" w14:textId="77777777" w:rsidR="003754FE" w:rsidRDefault="003754FE" w:rsidP="003754FE">
      <w:pPr>
        <w:pStyle w:val="TextoNormal"/>
      </w:pPr>
    </w:p>
    <w:p w14:paraId="0155EC00" w14:textId="77777777" w:rsidR="003754FE" w:rsidRDefault="003754FE" w:rsidP="003754FE">
      <w:pPr>
        <w:pStyle w:val="TextoNormal"/>
      </w:pPr>
      <w:r>
        <w:t>En el caso del señor Casero Ávila no concurrían las circunstancias que hubieran justificado la anulación de su voto, y por lo tanto la Presidencia no estaba obligada a convocar la mesa de la Cámara en relación con lo dispuesto en el mencionado apartado sexto, y tampoco parecía que fuera necesario hacerlo considerando la forma y el momento en que se planteó esa posibilidad —una vez producida la llamada a votación—, teniendo en cuenta que no se había registrado ninguna incidencia técnica durante la votación telemática. Además, aunque en hipótesis hubiera existido un deber de convocar la mesa, su no convocatoria no podría llevar aparejada la lesión del derecho fundamental invocado, toda vez que aquella no hubiera podido declarar la nulidad del voto emitido telemáticamente por el recurrente.</w:t>
      </w:r>
    </w:p>
    <w:p w14:paraId="61062CBC" w14:textId="77777777" w:rsidR="003754FE" w:rsidRDefault="003754FE" w:rsidP="003754FE">
      <w:pPr>
        <w:pStyle w:val="TextoNormal"/>
      </w:pPr>
    </w:p>
    <w:p w14:paraId="496435C9" w14:textId="77777777" w:rsidR="003754FE" w:rsidRDefault="003754FE" w:rsidP="003754FE">
      <w:pPr>
        <w:pStyle w:val="TextoNormal"/>
      </w:pPr>
      <w:r>
        <w:t xml:space="preserve">No puede entenderse que la Presidencia haya realizado una interpretación restrictiva de las normas parlamentarias que limite el ejercicio de las funciones representativas y que haya obrado sin motivación, porque la interpretación del diputado recurrente, que postula que el voto telemático emitido por error involuntario pueda subsanarse, es contraria a los </w:t>
      </w:r>
      <w:r>
        <w:lastRenderedPageBreak/>
        <w:t>principios de irrevocabilidad del voto y de no repetición de las votaciones. La subsanación solo procede cuando concurra una excepción que lo justifique (por ejemplo, un error informático), y los principios que rigen el derecho de voto han de aplicarse por igual para el voto presencial y para el voto telemático.</w:t>
      </w:r>
    </w:p>
    <w:p w14:paraId="01C44EF3" w14:textId="77777777" w:rsidR="003754FE" w:rsidRDefault="003754FE" w:rsidP="003754FE">
      <w:pPr>
        <w:pStyle w:val="TextoNormal"/>
      </w:pPr>
    </w:p>
    <w:p w14:paraId="34573E01" w14:textId="77777777" w:rsidR="003754FE" w:rsidRDefault="003754FE" w:rsidP="003754FE">
      <w:pPr>
        <w:pStyle w:val="TextoNormal"/>
      </w:pPr>
      <w:r>
        <w:t>En definitiva, la decisión adoptada por la Presidencia de la Cámara de considerar como válido el voto telemático del diputado recurrente era la procedente, del mismo modo que lo era la decisión de no convocar la mesa, al no concurrir el presupuesto para hacerlo ni estar la mesa vinculada a la petición del diputado, según la doctrina de la STC 110/2019, de 2 de octubre. Y las decisiones fueron motivadas, porque se basaron en la comprobación realizada por la Secretaría General de la Cámara, una vez conocida la incidencia, de que no se había detectado error técnico alguno en la emisión del voto telemático, como se comunicó a los miembros de la mesa presentes.</w:t>
      </w:r>
    </w:p>
    <w:p w14:paraId="1E475F42" w14:textId="77777777" w:rsidR="003754FE" w:rsidRDefault="003754FE" w:rsidP="003754FE">
      <w:pPr>
        <w:pStyle w:val="TextoNormal"/>
      </w:pPr>
    </w:p>
    <w:p w14:paraId="2E78E7B8" w14:textId="77777777" w:rsidR="003754FE" w:rsidRDefault="003754FE" w:rsidP="003754FE">
      <w:pPr>
        <w:pStyle w:val="TextoNormal"/>
      </w:pPr>
      <w:r>
        <w:t>d) La presencialidad de los diputados es un elemento esencial en los debates y votaciones de la Cámara (STC 19/2019, de 12 de febrero, FJ 4) que hace de la modalidad del voto telemático una excepción que ha de utilizarse de forma restrictiva, ajustándose lo más posible en su configuración y efecto al voto presencial y sin otorgarle ventaja alguna respecto de este. Por esa razón, el apartado sexto de la resolución de 2012 no está previsto para dar una segunda oportunidad que ponga en mejor situación al votante telemático frente al presencial. Atribuir a los diputados la posibilidad de disponer de su voto, una vez emitido válidamente, les otorgaría la posibilidad de modificar la voluntad de la Cámara, que resulta de una suma de voluntades que se manifiestan de una sola vez. La votación es un acto único que se produce y se agota en un único momento; a ese respecto, aunque el voto telemático se emita antes que el presencial, eso no le quita firmeza ni le otorga el carácter de provisional, pues en virtud del propio procedimiento telemático, cuya aplicación se acepta, se recurre a la ficción de que está siendo emitido válidamente como si el diputado estuviera presente en el hemiciclo.</w:t>
      </w:r>
    </w:p>
    <w:p w14:paraId="0DAD9069" w14:textId="77777777" w:rsidR="003754FE" w:rsidRDefault="003754FE" w:rsidP="003754FE">
      <w:pPr>
        <w:pStyle w:val="TextoNormal"/>
      </w:pPr>
    </w:p>
    <w:p w14:paraId="3C323FAB" w14:textId="77777777" w:rsidR="003754FE" w:rsidRDefault="003754FE" w:rsidP="003754FE">
      <w:pPr>
        <w:pStyle w:val="TextoNormal"/>
      </w:pPr>
      <w:r>
        <w:t>Argumenta la letrada del Congreso que la posibilidad de permitir la modificación de un voto a un diputado porque alegue un error en su voluntad no parece adecuada por varias razones. En primer lugar, porque tal posibilidad no se prevé en la Constitución ni en el Reglamento, ni existe tampoco un uso o precedente parlamentario a ese respecto. En segundo lugar, por la inseguridad jurídica y la incerteza acerca de la firmeza de las votaciones que se provocaría, ya que la posibilidad de corrección haría que la expresión de voluntad de la Cámara fuese siempre provisional, con menoscabo de lo previsto en los artículos 78 y 79 RCD en cuanto a la validez de los acuerdos adoptados cuando la Cámara esté reunida reglamentariamente, con la asistencia de la mayoría de sus miembros, y sean aprobados por la mayoría simple de estos. Y, en tercer lugar, por la dificultad de probar si ha habido o no un error de voluntad en el diputado, lo que hace que esta vía pudiera ser utilizada con la finalidad de modificar fraudulentamente la voluntad de la Cámara.</w:t>
      </w:r>
    </w:p>
    <w:p w14:paraId="0BC1B36A" w14:textId="77777777" w:rsidR="003754FE" w:rsidRDefault="003754FE" w:rsidP="003754FE">
      <w:pPr>
        <w:pStyle w:val="TextoNormal"/>
      </w:pPr>
    </w:p>
    <w:p w14:paraId="000EF47A" w14:textId="3EB56881" w:rsidR="003754FE" w:rsidRDefault="003754FE" w:rsidP="003754FE">
      <w:pPr>
        <w:pStyle w:val="TextoNormal"/>
      </w:pPr>
      <w:r>
        <w:t xml:space="preserve">Sobre esta última cuestión, y a partir de la doctrina jurisprudencial sobre el error invalidante del consentimiento, las alegaciones del Congreso de los Diputados concluyen que el error del diputado era inexcusable, pues el voto es un acto de responsabilidad que exige verificar lo que efectivamente se vota, el sistema de votación telemática está configurado de modo que se minimicen los errores, y no se aporta ningún elemento de prueba por parte del diputado recurrente ni de su grupo parlamentario que acredite fehacientemente que no </w:t>
      </w:r>
      <w:r>
        <w:lastRenderedPageBreak/>
        <w:t>formó adecuadamente su voluntad por un motivo que no dependía de él, ni de que se hubiera producido un error sobre la materia que se votaba. Además, se denuncia que la apelación al error resulta interesada, porque la cuestión y la solicitud de repetición de la votación solo se planteó respecto del Real Decreto-ley 32/2021, cuando el señor Casero Ávila había votado telemáticamente en otros asuntos para los que no se reclama ni se cuestiona nada.</w:t>
      </w:r>
    </w:p>
    <w:p w14:paraId="7FC91EB6" w14:textId="77777777" w:rsidR="003754FE" w:rsidRDefault="003754FE" w:rsidP="003754FE">
      <w:pPr>
        <w:pStyle w:val="TextoNormal"/>
      </w:pPr>
    </w:p>
    <w:p w14:paraId="535AD763" w14:textId="77777777" w:rsidR="003754FE" w:rsidRDefault="003754FE" w:rsidP="003754FE">
      <w:pPr>
        <w:pStyle w:val="TextoNormal"/>
      </w:pPr>
      <w:r w:rsidRPr="003754FE">
        <w:rPr>
          <w:rStyle w:val="NumeroAFNegritaCaracter"/>
        </w:rPr>
        <w:t>9</w:t>
      </w:r>
      <w:r>
        <w:t>. Mediante escrito registrado el 7 de noviembre de 2022, el Ministerio Fiscal presentó sus alegaciones interesando la inadmisión del recurso con arreglo al art. 50.1 a) LOTC, en relación con el art. 42 LOTC, y subsidiariamente la desestimación íntegra del recurso de amparo. El escrito se inicia dando cuenta de los antecedentes del recurso y poniendo de manifiesto que las alegaciones que se formulan, atendiendo al principio de unidad de actuación del Ministerio Fiscal, coinciden de forma sustancial con las expresadas en los recursos de amparo 917-2022 y 1303-2022, dada la identidad sustancial de su contenido.</w:t>
      </w:r>
    </w:p>
    <w:p w14:paraId="7F3050C0" w14:textId="77777777" w:rsidR="003754FE" w:rsidRDefault="003754FE" w:rsidP="003754FE">
      <w:pPr>
        <w:pStyle w:val="TextoNormal"/>
      </w:pPr>
    </w:p>
    <w:p w14:paraId="6B88AE2C" w14:textId="77777777" w:rsidR="003754FE" w:rsidRDefault="003754FE" w:rsidP="003754FE">
      <w:pPr>
        <w:pStyle w:val="TextoNormal"/>
      </w:pPr>
      <w:r>
        <w:t>a) En cuanto a las cuestiones procesales, razona el Ministerio Fiscal que el recurso debe ser inadmitido por tener carácter prematuro, ya que en el momento de su interposición estaba pendiente la reunión de la mesa del Congreso instada por el Grupo Parlamentario Popular, que era un procedimiento objetivamente apto para reparar la lesión del derecho fundamental denunciada en amparo. Recuerda el Ministerio Fiscal que, en respuesta a esa petición, la presidenta de la Cámara había indicado a los solicitantes que el examen de las cuestiones suscitadas en relación con el voto telemático del señor Casero Ávila se produciría en la reunión de la mesa a celebrar con carácter previo a la sesión plenaria de 15 de febrero de 2022; y que en esa reunión la propia presidenta afirmó, según consta en acta, que “la decisión tomada podía ser objeto de discusión en esta mesa, cuyas capacidades alcanzan, si así se considera adecuado, a la declaración de invalidez y la corrección de sus consecuencias”, si bien se concluyó, tras un amplio debate, con un acuerdo de ratificación de la actuación de la presidenta.</w:t>
      </w:r>
    </w:p>
    <w:p w14:paraId="015DE6A3" w14:textId="77777777" w:rsidR="003754FE" w:rsidRDefault="003754FE" w:rsidP="003754FE">
      <w:pPr>
        <w:pStyle w:val="TextoNormal"/>
      </w:pPr>
    </w:p>
    <w:p w14:paraId="7D10605C" w14:textId="77777777" w:rsidR="003754FE" w:rsidRDefault="003754FE" w:rsidP="003754FE">
      <w:pPr>
        <w:pStyle w:val="TextoNormal"/>
      </w:pPr>
      <w:r>
        <w:t>El Ministerio Fiscal señala que, aunque el art. 31 RCD no contempla un mecanismo de reconsideración de las decisiones de la Presidencia de la Cámara, desde el momento en que el Grupo Parlamentario Popular requirió la convocatoria de la mesa y la propia mesa puso de manifiesto que su intervención no resultaba manifiestamente improcedente para la reparación de la vulneración denunciada, ha de considerarse que el recurso de amparo interpuesto sin esperar a la reunión de la mesa es de carácter prematuro. Y sostiene que, una vez que la decisión de la presidenta de no convocar la mesa antes de la votación presencial devino materialmente irreversible, después de consumada la votación y proclamados sus resultados, la prematura interposición del amparo no puede justificarse por la necesidad de adelantar la tutela del derecho invocado para poner fin a una lesión actual, como excepcionalmente ha admitido el Tribunal Constitucional en otros contextos.</w:t>
      </w:r>
    </w:p>
    <w:p w14:paraId="54BC4487" w14:textId="77777777" w:rsidR="003754FE" w:rsidRDefault="003754FE" w:rsidP="003754FE">
      <w:pPr>
        <w:pStyle w:val="TextoNormal"/>
      </w:pPr>
    </w:p>
    <w:p w14:paraId="3DC8EBEC" w14:textId="77777777" w:rsidR="003754FE" w:rsidRDefault="003754FE" w:rsidP="003754FE">
      <w:pPr>
        <w:pStyle w:val="TextoNormal"/>
      </w:pPr>
      <w:r>
        <w:t>Según el Ministerio Fiscal, en nada afecta al carácter prematuro del recurso que la reunión de la mesa no fuese solicitada a título individual por el propio señor Casero Ávila, ya que (i) este apoyó reiteradamente la solicitud de suspensión de la ejecución de los efectos de la votación; (ii) la actuación de su grupo parlamentario se efectuó en representación de la integridad de sus miembros: y (iii) la demanda afirma textualmente que la solicitud de convocatoria de la mesa se formuló por su grupo parlamentario “en nombre del diputado y conforme a su voluntad expresa”.</w:t>
      </w:r>
    </w:p>
    <w:p w14:paraId="51D3CE47" w14:textId="77777777" w:rsidR="003754FE" w:rsidRDefault="003754FE" w:rsidP="003754FE">
      <w:pPr>
        <w:pStyle w:val="TextoNormal"/>
      </w:pPr>
    </w:p>
    <w:p w14:paraId="47923741" w14:textId="77777777" w:rsidR="003754FE" w:rsidRDefault="003754FE" w:rsidP="003754FE">
      <w:pPr>
        <w:pStyle w:val="TextoNormal"/>
      </w:pPr>
      <w:r>
        <w:lastRenderedPageBreak/>
        <w:t>b) En cuanto a la vulneración denunciada, el Ministerio Fiscal inicia sus alegaciones aduciendo que la doctrina contenida en la STC 361/2006 es aplicable en general a este caso, pero discrepa de la demanda en cuanto a que haya un paralelismo entre las circunstancias actuales y las que concurrían en aquel amparo. En aquella ocasión no se planteaba discordancia alguna entre el sentido del voto deseado y el realmente emitido, ni tampoco la posible anulación de un voto telemático, sino que se trataba de que el sistema de votación electrónica presencial no funcionó bien y como consecuencia no se pudo computar el voto de una diputada.</w:t>
      </w:r>
    </w:p>
    <w:p w14:paraId="7A395CE7" w14:textId="77777777" w:rsidR="003754FE" w:rsidRDefault="003754FE" w:rsidP="003754FE">
      <w:pPr>
        <w:pStyle w:val="TextoNormal"/>
      </w:pPr>
    </w:p>
    <w:p w14:paraId="26E2EDA9" w14:textId="77777777" w:rsidR="003754FE" w:rsidRDefault="003754FE" w:rsidP="003754FE">
      <w:pPr>
        <w:pStyle w:val="TextoNormal"/>
      </w:pPr>
      <w:r>
        <w:t>A su vez, aduce la Fiscalía que en este caso no nos hallamos ante una discordancia entre el voto emitido por el diputado y el voto registrado por el sistema informático, por más que así lo afirmase el señor Casero Ávila en su escrito de 3 de febrero de 2022. Señala también que no consta que el diputado instara directamente la revocación de su voto telemático, careciendo de prueba su afirmación de que intentó ponerse en contacto con la Cámara antes de que la Presidencia anunciara el inicio de la votación presencial. Lo único que consta es que fueron los miembros de la dirección del Grupo Parlamentario Popular los que se dirigieron a la presidenta del Congreso, efectuado ya el llamamiento para la votación, con el fin de que convocase la mesa para decidir sobre la aplicación de la resolución de 2012.</w:t>
      </w:r>
    </w:p>
    <w:p w14:paraId="03660466" w14:textId="77777777" w:rsidR="003754FE" w:rsidRDefault="003754FE" w:rsidP="003754FE">
      <w:pPr>
        <w:pStyle w:val="TextoNormal"/>
      </w:pPr>
    </w:p>
    <w:p w14:paraId="6EB4251E" w14:textId="77777777" w:rsidR="003754FE" w:rsidRDefault="003754FE" w:rsidP="003754FE">
      <w:pPr>
        <w:pStyle w:val="TextoNormal"/>
      </w:pPr>
      <w:r>
        <w:t>c) Sobre la supuesta infracción de la normativa reguladora del voto telemático en el Congreso de los Diputados, razona el Ministerio Fiscal que en el momento de los hechos no estaba vigente la norma de comprobación del voto telemático prevista en la resolución de 2012 (comprobación telefónica), sino la prevista en el acuerdo de la mesa de 26 de octubre de 2021 (emisión del voto a través de la intranet del Congreso con la introducción de usuario y contraseña). El Ministerio Fiscal señala que, aunque en la autorización del voto al señor Casero Ávila para la sesión plenaria de 3 de febrero de 2022 solo se hiciera referencia al art. 82 RCD y a la resolución de 2012, lo cierto es que el acuerdo de 26 de octubre de 2021 había sido comunicado a todos los grupos parlamentarios y, lo más significativo, el diputado recurrente mencionó expresamente este último acuerdo en su solicitud de voto telemático para la mencionada sesión plenaria.</w:t>
      </w:r>
    </w:p>
    <w:p w14:paraId="0F752248" w14:textId="77777777" w:rsidR="003754FE" w:rsidRDefault="003754FE" w:rsidP="003754FE">
      <w:pPr>
        <w:pStyle w:val="TextoNormal"/>
      </w:pPr>
    </w:p>
    <w:p w14:paraId="108CDAC3" w14:textId="77777777" w:rsidR="003754FE" w:rsidRDefault="003754FE" w:rsidP="003754FE">
      <w:pPr>
        <w:pStyle w:val="TextoNormal"/>
      </w:pPr>
      <w:r>
        <w:t xml:space="preserve">Además, considera la Fiscalía que ni en la resolución de 2012 ni en ninguna otra norma se establece un sistema de comprobación del sentido del voto dirigido a verificar si se corresponde con la intención o voluntad del diputado, sino que la comprobación del “sentido del voto” tiene como finalidad asegurarse de que el sentido del voto que se registra y computa coincide con el que ha formulado el diputado votante siguiendo el procedimiento establecido. El Ministerio Fiscal cita las SSTC 19/2019, de 12 de febrero, y 45/2019, de 27 de marzo, para sostener que en el voto en ausencia, autorizado en circunstancias excepcionales, lo que es preciso garantizar es que el voto así realizado expresa la voluntad del parlamentario ausente y no la de un tercero que pueda actuar en su nombre. Por todo ello, tanto los sistemas de comprobación previstos tanto en la resolución de 2012, como en el acuerdo de 26 de octubre de 2021, no se dirigen a cotejar el voto emitido con la intención no coherentemente exteriorizada del votante, ni a habilitar por tanto una posibilidad de cambiar el voto válidamente emitido, sino a preservar que se ha votado de forma personal por el parlamentario, sin que se hayan producido errores en el sistema ni injerencias deliberadas o maliciosas de terceros. De este modo, la comprobación telefónica del sentido del voto emitido por el señor Casero Ávila nada hubiese aportado, pues hubiera debido referirse exclusivamente a comprobar que la opción por la que efectivamente se había decantado con su </w:t>
      </w:r>
      <w:r>
        <w:lastRenderedPageBreak/>
        <w:t>actuación fue la que reflejó el sistema (voto afirmativo), y eso ya había quedado verificado en el procedimiento utilizado de votación telemática en dos fases a través de la intranet del Congreso.</w:t>
      </w:r>
    </w:p>
    <w:p w14:paraId="5274EBA7" w14:textId="77777777" w:rsidR="003754FE" w:rsidRDefault="003754FE" w:rsidP="003754FE">
      <w:pPr>
        <w:pStyle w:val="TextoNormal"/>
      </w:pPr>
    </w:p>
    <w:p w14:paraId="7D789A41" w14:textId="77777777" w:rsidR="003754FE" w:rsidRDefault="003754FE" w:rsidP="003754FE">
      <w:pPr>
        <w:pStyle w:val="TextoNormal"/>
      </w:pPr>
      <w:r>
        <w:t>Finalmente, entiende el Ministerio Fiscal que no existe ninguna norma que obligue a la Presidencia del Congreso a comprobar, a instancia del interesado, la concordancia entre su intención de voto y el voto telemático realmente emitido; y que la controversia relativa al procedimiento de verificación del “sentido del voto”, con independencia del significado que se atribuya a esa expresión, es irrelevante a los efectos de este recurso de amparo, porque la Presidencia de la Cámara conoció de la noticia de la supuesta irregularidad en el voto telemático del señor Casero después de efectuado el llamamiento para la votación presencial y antes de que se llevara a cabo esta.</w:t>
      </w:r>
    </w:p>
    <w:p w14:paraId="43059785" w14:textId="77777777" w:rsidR="003754FE" w:rsidRDefault="003754FE" w:rsidP="003754FE">
      <w:pPr>
        <w:pStyle w:val="TextoNormal"/>
      </w:pPr>
    </w:p>
    <w:p w14:paraId="2AEEAAA1" w14:textId="77777777" w:rsidR="003754FE" w:rsidRDefault="003754FE" w:rsidP="003754FE">
      <w:pPr>
        <w:pStyle w:val="TextoNormal"/>
      </w:pPr>
      <w:r>
        <w:t>d) A continuación, sobre la segunda cuestión de fondo planteada en la demanda —la supuesta infracción del apartado sexto de la resolución de 2012, por no haber convocado la Presidencia a la mesa de la Cámara a efectos de autorizar la emisión del voto presencial y anular el telemático—, entiende el Ministerio Fiscal que del citado precepto no deriva un derecho del diputado a la convocatoria de la mesa, ni tampoco un correlativo deber de la Presidencia de convocar la mesa en este concreto supuesto.</w:t>
      </w:r>
    </w:p>
    <w:p w14:paraId="2F34261C" w14:textId="77777777" w:rsidR="003754FE" w:rsidRDefault="003754FE" w:rsidP="003754FE">
      <w:pPr>
        <w:pStyle w:val="TextoNormal"/>
      </w:pPr>
    </w:p>
    <w:p w14:paraId="6DB77062" w14:textId="77777777" w:rsidR="003754FE" w:rsidRDefault="003754FE" w:rsidP="003754FE">
      <w:pPr>
        <w:pStyle w:val="TextoNormal"/>
      </w:pPr>
      <w:r>
        <w:t>La Fiscalía pone de manifiesto que la demanda no asume el esfuerzo de categorizar cuáles son los supuestos en que, de acuerdo con la mencionada norma, la mesa ha de autorizar el voto presencial, ya que se limita a afirmar que así ha de ser para el caso de que se produzca un error —informático o humano— en la emisión del voto telemático. Razona el Ministerio Fiscal, a continuación, que del informe de la Secretaría General del Congreso evacuado para la reunión de la mesa de 15 de febrero de 2022, y de los supuestos de aplicación del mencionado precepto allí recogidos, cabe concluir (i) que el apartado sexto de la resolución de 2012 permite la anulación de los votos telemáticos no solo en caso de fallo técnico, sino también cuando han sido válidamente emitidos, como de hecho ocurrió en los dos supuestos previos de aplicación del precepto identificados en el informe; y (ii) que no consta ningún precedente en que el apartado sexto se haya empleado para autorizar la votación presencial con el fin de rectificar un error humano en la selección del sentido del voto.</w:t>
      </w:r>
    </w:p>
    <w:p w14:paraId="2F0E6012" w14:textId="77777777" w:rsidR="003754FE" w:rsidRDefault="003754FE" w:rsidP="003754FE">
      <w:pPr>
        <w:pStyle w:val="TextoNormal"/>
      </w:pPr>
    </w:p>
    <w:p w14:paraId="463DDE45" w14:textId="77777777" w:rsidR="003754FE" w:rsidRDefault="003754FE" w:rsidP="003754FE">
      <w:pPr>
        <w:pStyle w:val="TextoNormal"/>
      </w:pPr>
      <w:r>
        <w:t>Las alegaciones el Ministerio Fiscal se refieren, a continuación, a los principios de igualdad y de seguridad jurídica, mencionados por el informe de la Secretaría General y por la Presidencia del Congreso en la reunión de la mesa de 15 de febrero de 2022 para descartar la autorización del voto presencial del señor Casero Ávila y la anulación de su voto telemático.</w:t>
      </w:r>
    </w:p>
    <w:p w14:paraId="5857FDE9" w14:textId="77777777" w:rsidR="003754FE" w:rsidRDefault="003754FE" w:rsidP="003754FE">
      <w:pPr>
        <w:pStyle w:val="TextoNormal"/>
      </w:pPr>
    </w:p>
    <w:p w14:paraId="55DDE574" w14:textId="77777777" w:rsidR="003754FE" w:rsidRDefault="003754FE" w:rsidP="003754FE">
      <w:pPr>
        <w:pStyle w:val="TextoNormal"/>
      </w:pPr>
      <w:r>
        <w:t xml:space="preserve">En primer lugar, entiende la Fiscalía que no es conclusivo el argumento de la demanda según el cual la votación presencial es distinta a la telemática en cuanto a la posibilidad de rectificar el voto, porque en el caso de la primera habría un interés general en que el error se asuma con todas las consecuencias por el representante para evitar que las iniciativas pendan “eternamente” en la Cámara, primando así la necesidad de obtener votaciones finales y vinculantes sobre el interés del representante en corregir su voto, mientras que eso no ocurre en el voto telemático que se pretende rectificar antes de que se inicie la votación presencial; argumento en el que incidió la vicepresidenta segunda en la reunión de la mesa de 15 de febrero, al afirmar que “el que vota anticipadamente lo hace por una razón </w:t>
      </w:r>
      <w:r>
        <w:lastRenderedPageBreak/>
        <w:t>justificada, pues el voto a distancia y anticipado es excepcional, que pueda votar presencialmente lo equipara a los otros diputados que pueden sopesar el sentido de su voto hasta el instante mismo de la votación”. Frente a ello, razona la Fiscalía que no es sostenible la distinción entre ambas modalidades de voto desde la perspectiva de la igualdad y de la seguridad jurídica. La razón jurídica que justifica que no pueda bloquearse la proclamación de los resultados de una votación presencial es la misma que sirve para justificar la denegación de la pretensión de corregir un voto telemático, a saber, la preceptiva ejecución del resultado de la votación. Además, una utilización libre del derecho a rectificar el voto telemático arrojaría un resultado de inestabilidad idéntico al que se trata de prevenir con la regla de que el voto presencial es invariable una vez formalizado. Además, el Ministerio Fiscal resalta que el postulado derecho a rectificar el voto telemático entra en contradicción con el supuesto que justifica su autorización (la imposibilidad de hallarse presente físicamente en la sesión plenaria) y conlleva, también, una desigualdad entre el que no puede acudir al Pleno por encontrarse realmente imposibilitado, que no podría cambiar su voto, y el que no estaba realmente imposibilitado o ha dejado de estarlo y pretende votar presencialmente, como el diputado recurrente.</w:t>
      </w:r>
    </w:p>
    <w:p w14:paraId="08F4D979" w14:textId="77777777" w:rsidR="003754FE" w:rsidRDefault="003754FE" w:rsidP="003754FE">
      <w:pPr>
        <w:pStyle w:val="TextoNormal"/>
      </w:pPr>
    </w:p>
    <w:p w14:paraId="3A225FC7" w14:textId="77777777" w:rsidR="003754FE" w:rsidRDefault="003754FE" w:rsidP="003754FE">
      <w:pPr>
        <w:pStyle w:val="TextoNormal"/>
      </w:pPr>
      <w:r>
        <w:t>A partir de todo lo anterior, concluye la Fiscalía que ninguna de las posibilidades interpretativas en que se apoya la pretensión del recurrente en amparo encuentra un apoyo claro en el texto, en la lógica o en los precedentes de aplicación del apartado sexto de la resolución de 2012. Eso es lo que explica, según el Ministerio Fiscal, que la demanda apele a la doctrina constitucional de la interpretación más favorable a la plena eficacia de los derechos fundamentales, para concluir que la presidenta del Congreso debió convocar a la mesa para que se pronunciase sobre la autorización del voto presencial al diputado recurrente. Sin embargo, en la misma STC 159/2015, de 14 de julio, FJ 6, citada en la demanda, encuentra la Fiscalía el criterio para excluir esa conclusión, porque el citado principio hermenéutico es de aplicación siempre y cuando haya sido establecida “la existencia del derecho infructuosamente reclamado […] y su anclaje constitucional”; mientras que, en el supuesto aquí enjuiciado, el reiterado apartado sexto no reconoce ningún derecho subjetivo a favor de los diputados, porque la decisión de la mesa exige una previa convocatoria de la presidenta a la que no se impone reglamentariamente ninguna obligación en ese sentido, más allá de la de motivar su decisión a partir de una petición, y porque la norma no tipifica los supuestos en que la mesa vendría obligada a autorizar el voto presencial y a anular el voto emitido telemáticamente. Para el Ministerio Fiscal, la mera negativa a convocar la mesa a petición del grupo parlamentario del diputado no lesiona el derecho fundamental invocado, sino que habrá de valorarse el carácter motivado o no de esa decisión, queja de amparo aducida también en la demanda. Insiste a estos efectos el Ministerio Fiscal en que el apartado sexto de la resolución de 2012 prevé una potestad reguladora de ordenación de las votaciones, no un derecho subjetivo de los diputados, e invoca la autonomía constitucionalmente garantizada de la Cámara en la interpretación de ese precepto.</w:t>
      </w:r>
    </w:p>
    <w:p w14:paraId="3445A804" w14:textId="77777777" w:rsidR="003754FE" w:rsidRDefault="003754FE" w:rsidP="003754FE">
      <w:pPr>
        <w:pStyle w:val="TextoNormal"/>
      </w:pPr>
    </w:p>
    <w:p w14:paraId="0AE8A35D" w14:textId="77777777" w:rsidR="003754FE" w:rsidRDefault="003754FE" w:rsidP="003754FE">
      <w:pPr>
        <w:pStyle w:val="TextoNormal"/>
      </w:pPr>
      <w:r>
        <w:t xml:space="preserve">e) Señala también la Fiscalía que la demanda de amparo imputa a las decisiones recurridas falta de motivación y arbitrariedad haciendo referencia únicamente al momento temporal en que fueron adoptadas, pero considera que nada impide tener en cuenta la motivación ulterior que la presidenta del Congreso expuso en la reunión de la mesa de 15 de febrero de 2022, y a la que la demanda no pudo hacer referencia porque se interpuso con anterioridad a que se celebrase esa reunión. Entiende la Fiscalía que la valoración de esa motivación </w:t>
      </w:r>
      <w:r w:rsidRPr="003754FE">
        <w:rPr>
          <w:i/>
        </w:rPr>
        <w:t>ex post</w:t>
      </w:r>
      <w:r>
        <w:t xml:space="preserve"> permitiría descartar la lesión del derecho fundamental denunciada, o incluso reparar </w:t>
      </w:r>
      <w:r>
        <w:lastRenderedPageBreak/>
        <w:t>dicha lesión, en su caso. Las alegaciones del Ministerio Fiscal recuerdan en este punto el estándar de motivación constitucional exigible a las decisiones adoptadas por los órganos de gobierno de las cámaras legislativas en materia de calificación y admisión de iniciativas (motivación expresa, suficiente y adecuada), y subraya que la finalidad de esta exigencia es permitir el control por parte del Tribunal Constitucional de la validez o de conformidad a Derecho de la decisión en cada caso impugnada.</w:t>
      </w:r>
    </w:p>
    <w:p w14:paraId="57D7F849" w14:textId="77777777" w:rsidR="003754FE" w:rsidRDefault="003754FE" w:rsidP="003754FE">
      <w:pPr>
        <w:pStyle w:val="TextoNormal"/>
      </w:pPr>
    </w:p>
    <w:p w14:paraId="0879AECD" w14:textId="77777777" w:rsidR="003754FE" w:rsidRDefault="003754FE" w:rsidP="003754FE">
      <w:pPr>
        <w:pStyle w:val="TextoNormal"/>
      </w:pPr>
      <w:r>
        <w:t>Concluye la Fiscalía que la decisión de computar el voto telemático del señor Casero Ávila contó con una motivación suficiente e idónea al basarse en que no se había producido ninguna incidencia técnica en su emisión, por lo que la petición era infundada; al tener en cuenta, además, que un error humano en el sentido del voto no es ni ha sido nunca causa de anulación de un voto ni de repetición de votaciones, y que esa doctrina constante se basa en las exigencias de igualdad entre diputados, seguridad jurídica en la expresión de la voluntad de la Cámara y adecuada ordenación de sus trabajos; y al constatar que el procedimiento especial de emisión del voto telemático a través de la intranet de la Cámara con comprobación informática de doble clave, modalidad aprobada por unanimidad en la mesa, suponía la falta de vigencia de la comprobación telefónica del voto. En conclusión, entiende la Fiscalía que, aunque quepa una interpretación alternativa como la postulada por el recurrente, a partir de la indefinición del apartado sexto de la resolución de 2012, los mencionados argumentos de la Presidencia del Congreso son razonables y no han sido desvirtuados por las alegaciones de la demanda.</w:t>
      </w:r>
    </w:p>
    <w:p w14:paraId="3DF21541" w14:textId="77777777" w:rsidR="003754FE" w:rsidRDefault="003754FE" w:rsidP="003754FE">
      <w:pPr>
        <w:pStyle w:val="TextoNormal"/>
      </w:pPr>
    </w:p>
    <w:p w14:paraId="498CE21E" w14:textId="77777777" w:rsidR="003754FE" w:rsidRDefault="003754FE" w:rsidP="003754FE">
      <w:pPr>
        <w:pStyle w:val="TextoNormal"/>
      </w:pPr>
      <w:r>
        <w:t>El Ministerio Fiscal llega a la misma conclusión en lo que se refiere a la decisión de la Presidencia de no convocar con urgencia la mesa de la Cámara con arreglo al mencionado apartado sexto, y de no suspender el procedimiento de proclamación de la votación y la publicación de su resultado. Razona que las explicaciones de la presidenta del Congreso evidencian que los miembros de la mesa habían tomado conocimiento de lo sucedido, que no había indicio alguno de que se hubiera producido una incidencia técnica en la emisión del voto telemático, y que en esas circunstancias no se consideró pertinente convocar a la mesa porque no procedía acceder a la pretensión de fondo que hubiera justificado la pretendida urgencia —el cambio del sentido del voto—, sin que en el momento inicial se hubiera invocado tan siquiera el apartado sexto de la resolución de 2012. Y en cuanto a la proclamación y publicación de la votación y de su resultado, también considera la Fiscalía suficiente y adecuada la motivación expresada por la presidenta del Congreso según la cual, partiendo de una votación válidamente celebrada, no había alternativa legal a la ejecución debida del acuerdo de convalidación del Real Decreto-ley.</w:t>
      </w:r>
    </w:p>
    <w:p w14:paraId="6226238A" w14:textId="77777777" w:rsidR="003754FE" w:rsidRDefault="003754FE" w:rsidP="003754FE">
      <w:pPr>
        <w:pStyle w:val="TextoNormal"/>
      </w:pPr>
    </w:p>
    <w:p w14:paraId="2771BD6A" w14:textId="47D0B35F" w:rsidR="003754FE" w:rsidRDefault="003754FE" w:rsidP="003754FE">
      <w:pPr>
        <w:pStyle w:val="TextoNormal"/>
      </w:pPr>
      <w:r>
        <w:t xml:space="preserve">f) Finalmente, el Ministerio Fiscal considera necesario formular una observación sobre el alcance indeterminado con que se configura el </w:t>
      </w:r>
      <w:r w:rsidRPr="003754FE">
        <w:rPr>
          <w:i/>
        </w:rPr>
        <w:t>petitum</w:t>
      </w:r>
      <w:r>
        <w:t xml:space="preserve"> de la demanda, al instarse, entre otras peticiones, “la nulidad de todos aquellos actos y normas que deriven de la tramitación legislativa en cuestión”; puesto que, en la medida en que lo anterior pueda entenderse referido a la pretensión de nulidad y consiguiente pérdida de vigencia del Real Decreto-ley 32/2021, considera preciso citar el ATC 131/2022, de 11 de octubre, dictado en el recurso de amparo núm. 1303-2022, en el que se reitera la doctrina constitucional según la cual “la vigencia de una norma con rango y fuerza de ley (art. 86 CE) […] en cuanto tal, no puede constituir en ningún caso el objeto directo de una pretensión de amparo”; por lo que, en consecuencia, la posible estimación del presente recurso no podrá comportar la pérdida de vigencia del decreto-ley.</w:t>
      </w:r>
    </w:p>
    <w:p w14:paraId="7DFF2E71" w14:textId="77777777" w:rsidR="003754FE" w:rsidRDefault="003754FE" w:rsidP="003754FE">
      <w:pPr>
        <w:pStyle w:val="TextoNormal"/>
      </w:pPr>
    </w:p>
    <w:p w14:paraId="0851BC81" w14:textId="58F415A6" w:rsidR="003754FE" w:rsidRDefault="003754FE" w:rsidP="003754FE">
      <w:pPr>
        <w:pStyle w:val="TextoNormal"/>
      </w:pPr>
      <w:r w:rsidRPr="003754FE">
        <w:rPr>
          <w:rStyle w:val="NumeroAFNegritaCaracter"/>
        </w:rPr>
        <w:t>10</w:t>
      </w:r>
      <w:r>
        <w:t>. El Pleno del Tribunal Constitucional, mediante ATC 7/2023, de 24 de enero, estimó justificada la abstención formulada por el magistrado don Juan Carlos Campo Moreno en este proceso constitucional, apartándole definitivamente de su conocimiento y de todas sus incidencias.</w:t>
      </w:r>
    </w:p>
    <w:p w14:paraId="4AD2A638" w14:textId="77777777" w:rsidR="003754FE" w:rsidRDefault="003754FE" w:rsidP="003754FE">
      <w:pPr>
        <w:pStyle w:val="TextoNormal"/>
      </w:pPr>
    </w:p>
    <w:p w14:paraId="39E5B6BC" w14:textId="5D03D509" w:rsidR="003754FE" w:rsidRDefault="003754FE" w:rsidP="003754FE">
      <w:pPr>
        <w:pStyle w:val="TextoNormal"/>
      </w:pPr>
      <w:r w:rsidRPr="003754FE">
        <w:rPr>
          <w:rStyle w:val="NumeroAFNegritaCaracter"/>
        </w:rPr>
        <w:t>11</w:t>
      </w:r>
      <w:r>
        <w:t>. Mediante providencia de 24 de enero de 2023, el Pleno del Tribunal Constitucional, al amparo de lo previsto en el art. 88 LOTC, acordó recabar de la presidenta del Congreso de los Diputados, en el plazo de diez días, la siguiente documentación: (i) Copia de las resoluciones de la mesa del Congreso de los Diputados que regulan el voto telemático; (ii) copia, si los hubiera, de los acuerdos de la mesa del Congreso de los Diputados que no hayan sido objeto de publicación en el “Boletín Oficial de las Cortes Generales” y que hubieran sido dictados desde el 19 de marzo de 2020; (iii) certificación de los votos emitidos por el señor Casero Ávila de forma telemática en la sesión plenaria del 3 de febrero de 2022, haciendo constar la forma en que se efectuó la verificación o comprobación de la identidad antes del inicio de la votación, así como de la emisión efectiva del voto y de su sentido y (iv) certificación del momento en que fue instada por el diputado señor Casero o por el Grupo Parlamentario Popular la autorización de la mesa del Congreso de los Diputados a efectos de que se anulase el voto telemático emitido por el referido diputado, en relación con la convalidación del Real Decreto-ley 32/2021, de 28 de diciembre, en la sesión plenaria de 3 de febrero de 2022.</w:t>
      </w:r>
    </w:p>
    <w:p w14:paraId="5578A087" w14:textId="77777777" w:rsidR="003754FE" w:rsidRDefault="003754FE" w:rsidP="003754FE">
      <w:pPr>
        <w:pStyle w:val="TextoNormal"/>
      </w:pPr>
    </w:p>
    <w:p w14:paraId="7061360E" w14:textId="77777777" w:rsidR="003754FE" w:rsidRDefault="003754FE" w:rsidP="003754FE">
      <w:pPr>
        <w:pStyle w:val="TextoNormal"/>
      </w:pPr>
      <w:r w:rsidRPr="003754FE">
        <w:rPr>
          <w:rStyle w:val="NumeroAFNegritaCaracter"/>
        </w:rPr>
        <w:t>12</w:t>
      </w:r>
      <w:r>
        <w:t>. Mediante escrito registrado en este tribunal el día 8 de febrero de 2023, el Congreso de los Diputados dio cumplimiento a la solicitado en la mencionada providencia remitiendo la documentación que se relaciona a continuación: (i) Copia de las resoluciones de la mesa del Congreso de los Diputados que regulan el voto telemático; (ii) copia de la comunicación a los grupos parlamentarios de los acuerdos de la mesa del Congreso de los Diputados, desde el 19 de marzo de 2020, en materia de voto telemático, que no hayan sido objeto de publicación en el “Boletín Oficial de las Cortes Generales”; (iii) certificado del secretario general del Congreso de los Diputados de los votos emitidos por el señor Casero de forma telemática en la sesión plenaria de 3 de febrero de 2022, haciendo constar la forma en que se efectuó la verificación o comprobación de la identidad antes del inicio de la votación, así como de la emisión efectiva del voto y de su sentido y (iv) certificado del secretario general del Congreso de los Diputados del momento en que fue instada por el diputado señor Casero o por el Grupo Parlamentario Popular en el Congreso la autorización de la mesa del Congreso de los Diputados a efectos de que se anulase el voto telemático emitido por el referido diputado.</w:t>
      </w:r>
    </w:p>
    <w:p w14:paraId="792ABBAA" w14:textId="77777777" w:rsidR="003754FE" w:rsidRDefault="003754FE" w:rsidP="003754FE">
      <w:pPr>
        <w:pStyle w:val="TextoNormal"/>
      </w:pPr>
    </w:p>
    <w:p w14:paraId="1B404007" w14:textId="77777777" w:rsidR="003754FE" w:rsidRDefault="003754FE" w:rsidP="003754FE">
      <w:pPr>
        <w:pStyle w:val="TextoNormal"/>
      </w:pPr>
      <w:r>
        <w:t xml:space="preserve">En particular, respecto de este último documento, por la Secretaría General del Congreso de los Diputados se certificó que, en los antecedentes de su informe relativo a las votaciones de la sesión plenaria de 3 de octubre de 2022, donde se relatan los hechos, consta que “[e]n los momentos previos a la reanudación de la sesión plenaria, cuando ya se había producido la llamada a votación, diversos miembros de la dirección del Grupo Parlamentario Popular en el Congreso se acercaron a la mesa, manifestando a la Presidencia que un voto emitido telemáticamente por el señor Casero Ávila no se correspondía con su voluntad y que, tratándose de un error técnico, y encontrándose el diputado en la Cámara, debía permitírsele votar de manera presencial. […] La sesión se reanudó para la votación presencial de los asuntos pendientes. Entre otras cuestiones, se votaba la convalidación o derogación del Real </w:t>
      </w:r>
      <w:r>
        <w:lastRenderedPageBreak/>
        <w:t>Decreto-ley 32/2021, de 28 de octubre, de medidas urgentes para la reforma laboral, la garantía de la estabilidad en el empleo y la transformación del mercado de trabajo, que resultó convalidado con 175 votos a favor (166 más 9 voto telemáticos), 174 en contra (169 más 5 votos telemáticos) y ninguna abstención. El señor Casero había votado en relación con ese punto del orden del día en un sentido diferente al que habían votado el resto de los diputados de su grupo parlamentario. De igual modo ocurrió en relación con otras tres votaciones […] Al final de las votaciones el señor Casero accedió al hemiciclo y ocupó su escaño, si bien no votó desde el mismo. El señor Casero no cursó en ningún momento solicitud de revocación de la autorización del voto telemático”.</w:t>
      </w:r>
    </w:p>
    <w:p w14:paraId="0F1347EC" w14:textId="77777777" w:rsidR="003754FE" w:rsidRDefault="003754FE" w:rsidP="003754FE">
      <w:pPr>
        <w:pStyle w:val="TextoNormal"/>
      </w:pPr>
    </w:p>
    <w:p w14:paraId="6AEEFD87" w14:textId="0DE9973D" w:rsidR="003754FE" w:rsidRDefault="003754FE" w:rsidP="003754FE">
      <w:pPr>
        <w:pStyle w:val="TextoNormal"/>
      </w:pPr>
      <w:r>
        <w:t>Asimismo, en la certificación del secretario general del Congreso de los Diputados de los votos emitidos por el señor Casero de forma telemática en la sesión plenaria de 3 de febrero de 2022, consta que su voto en las mociones consecuencia de interpelación urgente se emitió respecto de iniciativas que habían sido objeto de modificación durante su debate en el Pleno (las mociones 173-116, 173-117 y 173-118) o de fragmentación para su votación (la moción 173-119).</w:t>
      </w:r>
    </w:p>
    <w:p w14:paraId="3B5977F2" w14:textId="77777777" w:rsidR="003754FE" w:rsidRDefault="003754FE" w:rsidP="003754FE">
      <w:pPr>
        <w:pStyle w:val="TextoNormal"/>
      </w:pPr>
    </w:p>
    <w:p w14:paraId="34ED1B59" w14:textId="14912686" w:rsidR="003754FE" w:rsidRDefault="003754FE" w:rsidP="003754FE">
      <w:pPr>
        <w:pStyle w:val="TextoNormal"/>
      </w:pPr>
      <w:r w:rsidRPr="003754FE">
        <w:rPr>
          <w:rStyle w:val="NumeroAFNegritaCaracter"/>
        </w:rPr>
        <w:t>13</w:t>
      </w:r>
      <w:r>
        <w:t>. Mediante diligencia de ordenación de 14 de febrero de 2023 se acordó dar traslado de la documentación recibida por el Congreso de los Diputados a las partes personadas con el fin de que, en el plazo común de diez días, alegaran lo que a su derecho conviniera.</w:t>
      </w:r>
    </w:p>
    <w:p w14:paraId="7F67EEE7" w14:textId="77777777" w:rsidR="003754FE" w:rsidRDefault="003754FE" w:rsidP="003754FE">
      <w:pPr>
        <w:pStyle w:val="TextoNormal"/>
      </w:pPr>
    </w:p>
    <w:p w14:paraId="7CD9A9A6" w14:textId="77777777" w:rsidR="003754FE" w:rsidRDefault="003754FE" w:rsidP="003754FE">
      <w:pPr>
        <w:pStyle w:val="TextoNormal"/>
      </w:pPr>
      <w:r w:rsidRPr="003754FE">
        <w:rPr>
          <w:rStyle w:val="NumeroAFNegritaCaracter"/>
        </w:rPr>
        <w:t>14</w:t>
      </w:r>
      <w:r>
        <w:t>. El diputado recurrente presentó sus alegaciones mediante escrito registrado el 28 de febrero de 2023, señalando que la documentación remitida confirmaba lo expuesto en su demanda. En particular, en cuanto a las resoluciones reguladoras del voto telemático, reitera que el acuerdo de 26 de octubre de 2021 derogó la regulación vigente durante la pandemia y retornó a la vigencia de la resolución de 2012. Por lo que se refiere a la certificación sobre los votos telemáticos que emitió y la forma en que se efectuó la verificación o comprobación de su identidad, aduce que el certificado remitido se refiere a la comprobación de la identidad del votante (que no se ha cuestionado que se llevó correctamente a cabo a través de la intranet de la Cámara con el sistema de usuario y contraseña), pero guarda silencio en cuanto a la verificación de la emisión efectiva del voto y su sentido (que —insiste el recurrente— no se produjo y debió llevarse a cabo a través de los términos requeridos en la resolución de 2012). En cuanto al momento en que fue instada por el diputado la autorización del voto presencial a efectos de que se anulase el voto telemático, señala que de la certificación remitida se desprende que se solicitó por diversos miembros de la dirección del Grupo Parlamentario Popular antes de la reanudación de la sesión plenaria y de la votación.</w:t>
      </w:r>
    </w:p>
    <w:p w14:paraId="66886113" w14:textId="77777777" w:rsidR="003754FE" w:rsidRDefault="003754FE" w:rsidP="003754FE">
      <w:pPr>
        <w:pStyle w:val="TextoNormal"/>
      </w:pPr>
    </w:p>
    <w:p w14:paraId="62163B86" w14:textId="797C0CC5" w:rsidR="003754FE" w:rsidRDefault="003754FE" w:rsidP="003754FE">
      <w:pPr>
        <w:pStyle w:val="TextoNormal"/>
      </w:pPr>
      <w:r>
        <w:t xml:space="preserve">Para concluir, el diputado se refiere a los errores en los que considera que incurre el informe de la Secretaría General del Congreso sobre las controvertidas votaciones de la sesión plenaria de 3 de febrero de 2022, poniendo de manifiesto que en él se defiende sin fundamento inteligible que la Presidencia del Congreso no tenía un deber de convocar a la mesa; que es igualmente insostenible que el apartado sexto de la resolución de 2012 haga depender la posibilidad en él dispuesta de alguna de las circunstancias específicas aducidas en el informe, al tiempo que cuestiona los precedentes alegados en el mismo sobre la no repetición del voto en el Congreso, bien porque se refieren a votaciones presenciales, bien porque en ninguno de ellos el resultado final dependía del voto afectado por el error, bien porque en ellos pudo la mesa pronunciarse como era su deber, o bien, en fin, porque dos de los precedentes identificables con el caso de autos, en modo alguno justifican la </w:t>
      </w:r>
      <w:r>
        <w:lastRenderedPageBreak/>
        <w:t>perpetuación de prácticas contrarias a los derechos fundamentales por el hecho de no haberse recurrido en aquellas ocasiones la imposibilidad de corregir el voto telemático erróneamente emitido. Por último, el señor Casero Ávila cuestiona que sean términos comparables, a los efectos de un juicio de igualdad, el voto presencial y el voto telemático, y considera que no puede hablarse de un doble voto o de ventaja en el caso de que se permita que el voto telemático se anule y se permita votar presencialmente al diputado que lo emitió.</w:t>
      </w:r>
    </w:p>
    <w:p w14:paraId="34D2B1EF" w14:textId="77777777" w:rsidR="003754FE" w:rsidRDefault="003754FE" w:rsidP="003754FE">
      <w:pPr>
        <w:pStyle w:val="TextoNormal"/>
      </w:pPr>
    </w:p>
    <w:p w14:paraId="3037B81D" w14:textId="77777777" w:rsidR="003754FE" w:rsidRDefault="003754FE" w:rsidP="003754FE">
      <w:pPr>
        <w:pStyle w:val="TextoNormal"/>
      </w:pPr>
      <w:r w:rsidRPr="003754FE">
        <w:rPr>
          <w:rStyle w:val="NumeroAFNegritaCaracter"/>
        </w:rPr>
        <w:t>15</w:t>
      </w:r>
      <w:r>
        <w:t>. El Congreso de los Diputados, mediante escrito de 1 de marzo de 2023, formuló también nuevas alegaciones a partir de la remisión de la documentación. Reitera que el marco normativo vigente sobre el voto telemático en la sesión plenaria de 3 de febrero de 2022 venía constituido, además de por el art. 82.2 del Reglamento y por la resolución de 2012, por los acuerdos de 26 de octubre de 2021 y de 1 de febrero de 2022, el primero previendo la forma de emisión del voto telemático a través de la intranet del Congreso, mediante la introducción de usuario y contraseña como método de verificación de la emisión personal del voto (con derogación, así, de la práctica de la llamada telefónica), y el segundo permitiendo el voto telemático para todos los asuntos del orden del día del Pleno. Señala el Congreso que los mencionados acuerdos establecieron un régimen especial respecto del previsto en la resolución de 2012, norma esta que no había recuperado su plena vigencia en el momento de la sesión plenaria de 3 de febrero de 2022; y señala que esos acuerdos fueron adoptados por unanimidad de la mesa, que no fueron cuestionados por grupo parlamentario alguno en la junta de portavoces, y que no debían ser objeto de publicación en el “Boletín Oficial de las Cortes Generales” conforme a lo dispuesto en el art. 97.1 RCD, sin que ello fuese obstáculo para su general conocimiento por los grupos parlamentarios de la Cámara, a los que se había dado traslado de los referidos acuerdos.</w:t>
      </w:r>
    </w:p>
    <w:p w14:paraId="400E0835" w14:textId="77777777" w:rsidR="003754FE" w:rsidRDefault="003754FE" w:rsidP="003754FE">
      <w:pPr>
        <w:pStyle w:val="TextoNormal"/>
      </w:pPr>
    </w:p>
    <w:p w14:paraId="2412B3CF" w14:textId="77777777" w:rsidR="003754FE" w:rsidRDefault="003754FE" w:rsidP="003754FE">
      <w:pPr>
        <w:pStyle w:val="TextoNormal"/>
      </w:pPr>
      <w:r>
        <w:t>Continúa el Congreso afirmando que en la documentación aportada se acredita (i) que la identidad del señor Casero se verificó antes de su votación telemática a través de la intranet de la Cámara mediante la introducción de usuario y contraseña; (ii) que en la votación no se produjo ninguna incidencia técnica y el voto se emitió de forma efectiva con todas las garantías; y (iii) que solo cabe imputar a un error material del diputado que el voto emitido no coincidiera con la que era su voluntad.</w:t>
      </w:r>
    </w:p>
    <w:p w14:paraId="27AC44D0" w14:textId="77777777" w:rsidR="003754FE" w:rsidRDefault="003754FE" w:rsidP="003754FE">
      <w:pPr>
        <w:pStyle w:val="TextoNormal"/>
      </w:pPr>
    </w:p>
    <w:p w14:paraId="46335415" w14:textId="4A7CF5B0" w:rsidR="003754FE" w:rsidRDefault="003754FE" w:rsidP="003754FE">
      <w:pPr>
        <w:pStyle w:val="TextoNormal"/>
      </w:pPr>
      <w:r>
        <w:t xml:space="preserve">En cuanto al momento en que fue instada la autorización de la mesa del Congreso para que el señor Casero Ávila votara presencialmente y se anulara su voto telemático, alega el Congreso de los Diputados que ni este diputado ni su grupo parlamentario registraron ninguna incidencia técnica ni comunicación relativa a la emisión de su voto telemático, y que solo en los momentos previos a la reanudación de la sesión plenaria, cuando ya se había producido la llamada a la votación, determinados miembros del Grupo Parlamentario Popular se dirigieron a la mesa poniendo de manifiesto que uno de los votos telemáticos del diputado no se correspondía con su voluntad, momento en el cual no se había presentado ninguna petición formal o por escrito a este respecto. Señala el Congreso que la mesa era conocedora de lo sucedido, aunque no hubiera sido convocada, porque sus miembros estaban presentes cuando la incidencia fue comunicada por diputados del grupo parlamentario del recurrente; mientras que las peticiones formales de convocatoria de la mesa, que pretendían que no se ejecutara el acuerdo adoptado por el Pleno, se formularon después de la sesión plenaria, cuando ya no se podía autorizar el voto presencial. Además, la única manifestación de la discordancia entre el voto telemático emitido y la verdadera intención del diputado, formulada momentos antes de comenzar la votación presencial, hacía referencia </w:t>
      </w:r>
      <w:r>
        <w:lastRenderedPageBreak/>
        <w:t>solo a una de las votaciones, pero no a las otras tres en que el diputado votó en sentido diferente a su grupo parlamentario, lo que hace imposible entender que el grupo considerara que solo una de las votaciones estaba viciada por un error técnico.</w:t>
      </w:r>
    </w:p>
    <w:p w14:paraId="55EB92CA" w14:textId="77777777" w:rsidR="003754FE" w:rsidRDefault="003754FE" w:rsidP="003754FE">
      <w:pPr>
        <w:pStyle w:val="TextoNormal"/>
      </w:pPr>
    </w:p>
    <w:p w14:paraId="2DC610A4" w14:textId="1E4799CA" w:rsidR="003754FE" w:rsidRDefault="003754FE" w:rsidP="003754FE">
      <w:pPr>
        <w:pStyle w:val="TextoNormal"/>
      </w:pPr>
      <w:r w:rsidRPr="003754FE">
        <w:rPr>
          <w:rStyle w:val="NumeroAFNegritaCaracter"/>
        </w:rPr>
        <w:t>16</w:t>
      </w:r>
      <w:r>
        <w:t>. Mediante escrito con fecha de registro de 3 de marzo de 2023, el Ministerio Fiscal interesó que, teniéndole por debidamente informado, se le tuviera igualmente por ratificado en su integridad en sus alegaciones, a la vista de los nuevos documentos traídos a la causa.</w:t>
      </w:r>
    </w:p>
    <w:p w14:paraId="267223D1" w14:textId="77777777" w:rsidR="003754FE" w:rsidRDefault="003754FE" w:rsidP="003754FE">
      <w:pPr>
        <w:pStyle w:val="TextoNormal"/>
      </w:pPr>
    </w:p>
    <w:p w14:paraId="15B97129" w14:textId="0636DD22" w:rsidR="003754FE" w:rsidRDefault="003754FE" w:rsidP="003754FE">
      <w:pPr>
        <w:pStyle w:val="TextoNormal"/>
      </w:pPr>
      <w:r w:rsidRPr="003754FE">
        <w:rPr>
          <w:rStyle w:val="NumeroAFNegritaCaracter"/>
        </w:rPr>
        <w:t>17</w:t>
      </w:r>
      <w:r>
        <w:t>. Por providencia de 10 de septiembre de 2024, se señaló para deliberación y fallo de la presente sentencia el día 11 del mismo mes y año.</w:t>
      </w:r>
    </w:p>
    <w:p w14:paraId="58E5477D" w14:textId="77777777" w:rsidR="003754FE" w:rsidRDefault="003754FE" w:rsidP="003754FE">
      <w:pPr>
        <w:pStyle w:val="TextoNormal"/>
      </w:pPr>
    </w:p>
    <w:p w14:paraId="1B6E09F8" w14:textId="77777777" w:rsidR="003754FE" w:rsidRDefault="003754FE" w:rsidP="003754FE">
      <w:pPr>
        <w:pStyle w:val="TextoNormalNegritaCentrado"/>
        <w:keepNext/>
      </w:pPr>
      <w:r>
        <w:t>II. Fundamentos jurídicos</w:t>
      </w:r>
    </w:p>
    <w:p w14:paraId="33B256AC" w14:textId="5BB3CA8A" w:rsidR="003754FE" w:rsidRDefault="003754FE" w:rsidP="003754FE">
      <w:pPr>
        <w:pStyle w:val="TextoNormalNegritaCentrado"/>
        <w:keepNext/>
      </w:pPr>
    </w:p>
    <w:p w14:paraId="6DA2B383" w14:textId="77777777" w:rsidR="003754FE" w:rsidRDefault="003754FE" w:rsidP="003754FE">
      <w:pPr>
        <w:pStyle w:val="TextoNormal"/>
      </w:pPr>
      <w:r w:rsidRPr="003754FE">
        <w:rPr>
          <w:rStyle w:val="NumeroAFNegritaCaracter"/>
        </w:rPr>
        <w:t>1</w:t>
      </w:r>
      <w:r>
        <w:t xml:space="preserve">. </w:t>
      </w:r>
      <w:r w:rsidRPr="003754FE">
        <w:rPr>
          <w:i/>
        </w:rPr>
        <w:t>Objeto del recurso y posiciones de las partes</w:t>
      </w:r>
    </w:p>
    <w:p w14:paraId="0D194DC6" w14:textId="77777777" w:rsidR="003754FE" w:rsidRDefault="003754FE" w:rsidP="003754FE">
      <w:pPr>
        <w:pStyle w:val="TextoNormal"/>
      </w:pPr>
    </w:p>
    <w:p w14:paraId="5EBAAD17" w14:textId="77777777" w:rsidR="003754FE" w:rsidRDefault="003754FE" w:rsidP="003754FE">
      <w:pPr>
        <w:pStyle w:val="TextoNormal"/>
      </w:pPr>
      <w:r>
        <w:t>Don Alberto Casero Ávila, diputado del Congreso en la XIV Legislatura, formula recurso de amparo contra dos decisiones de la presidenta del Congreso de los Diputados adoptadas en la sesión plenaria de 3 de febrero de 2022, por las que, respectivamente, (i) se consideró verificado el voto telemático del ahora recurrente en la convalidación del Real Decreto-ley 32/2021, de 28 de diciembre, de medidas urgentes para la reforma laboral, la garantía de estabilidad en el empleo y la transformación del mercado de trabajo y (ii) se resolvió no convocar la mesa de la Cámara para que se pronunciase en relación con la solicitud de que el diputado señor Casero Ávila ejerciera su voto presencialmente, con anulación de su voto telemático, en esa concreta votación.</w:t>
      </w:r>
    </w:p>
    <w:p w14:paraId="22366DF5" w14:textId="77777777" w:rsidR="003754FE" w:rsidRDefault="003754FE" w:rsidP="003754FE">
      <w:pPr>
        <w:pStyle w:val="TextoNormal"/>
      </w:pPr>
    </w:p>
    <w:p w14:paraId="601ABC8B" w14:textId="0ED5E0AF" w:rsidR="003754FE" w:rsidRDefault="003754FE" w:rsidP="003754FE">
      <w:pPr>
        <w:pStyle w:val="TextoNormal"/>
      </w:pPr>
      <w:r>
        <w:t xml:space="preserve">Como con mayor detalle se ha expuesto en los antecedentes de esta sentencia, la demanda de amparo denuncia la vulneración del derecho fundamental al ejercicio del cargo representativo conforme a la ley y en condiciones de igualdad, o </w:t>
      </w:r>
      <w:r w:rsidRPr="003754FE">
        <w:rPr>
          <w:i/>
        </w:rPr>
        <w:t>ius in officium</w:t>
      </w:r>
      <w:r>
        <w:t>, en su vertiente de derecho al voto de los parlamentarios (art. 23.2 CE). Alega que tal vulneración se produce porque (i) la primera decisión de la Presidencia infringe el apartado cuarto de la Resolución de la mesa del Congreso de 21 de mayo de 2012; (ii) la segunda decisión impugnada es contraria al apartado sexto de dicha resolución; (iii) ambas decisiones suponen una aplicación restrictiva de los límites al pleno ejercicio de las funciones representativas; y (iv) ambas decisiones carecen de motivación. Por su parte, el Congreso de los Diputados y el Ministerio Fiscal se oponen a la estimación del recurso de amparo al considerar que las decisiones recurridas no lesionaron derecho fundamental ni norma parlamentaria alguna. Adicionalmente, la Fiscalía insta la inadmisión del recurso por considerar que tiene carácter prematuro; cuestión previa de orden procesal que, por lo tanto, hemos de examinar en primer lugar.</w:t>
      </w:r>
    </w:p>
    <w:p w14:paraId="6AD34739" w14:textId="77777777" w:rsidR="003754FE" w:rsidRDefault="003754FE" w:rsidP="003754FE">
      <w:pPr>
        <w:pStyle w:val="TextoNormal"/>
      </w:pPr>
    </w:p>
    <w:p w14:paraId="0B1E630B" w14:textId="77777777" w:rsidR="003754FE" w:rsidRDefault="003754FE" w:rsidP="003754FE">
      <w:pPr>
        <w:pStyle w:val="TextoNormal"/>
      </w:pPr>
      <w:r w:rsidRPr="003754FE">
        <w:rPr>
          <w:rStyle w:val="NumeroAFNegritaCaracter"/>
        </w:rPr>
        <w:t>2</w:t>
      </w:r>
      <w:r>
        <w:t xml:space="preserve">. </w:t>
      </w:r>
      <w:r w:rsidRPr="003754FE">
        <w:rPr>
          <w:i/>
        </w:rPr>
        <w:t>Óbices procesales</w:t>
      </w:r>
    </w:p>
    <w:p w14:paraId="1A4403B0" w14:textId="77777777" w:rsidR="003754FE" w:rsidRDefault="003754FE" w:rsidP="003754FE">
      <w:pPr>
        <w:pStyle w:val="TextoNormal"/>
      </w:pPr>
    </w:p>
    <w:p w14:paraId="4AE030A9" w14:textId="77777777" w:rsidR="003754FE" w:rsidRDefault="003754FE" w:rsidP="003754FE">
      <w:pPr>
        <w:pStyle w:val="TextoNormal"/>
      </w:pPr>
      <w:r>
        <w:t xml:space="preserve">Según el Ministerio Fiscal, el recurso de amparo incurre en prematuridad porque en el momento de su presentación estaba pendiente una reunión de la mesa del Congreso de los Diputados instada por el Grupo Parlamentario Popular, al que pertenecía el diputado recurrente, en la que se iban a examinar las distintas cuestiones suscitadas por el grupo y por el diputado en relación con las decisiones presidenciales impugnadas, como había comunicado </w:t>
      </w:r>
      <w:r>
        <w:lastRenderedPageBreak/>
        <w:t>la presidenta a la portavoz del grupo parlamentario antes de la reunión; y, además, porque una vez iniciada dicha reunión de la mesa, el 15 de febrero de 2022, la presidenta afirmó que “la decisión tomada podía ser objeto de discusión en esta mesa, cuyas capacidades alcanzan, si así se considera adecuado, a la declaración de invalidez y la corrección de sus consecuencias”. A juicio de la Fiscalía, aunque el Reglamento de la Cámara no contempla un mecanismo de reconsideración de las decisiones de la Presidencia, una vez que el Grupo Parlamentario Popular (diciendo actuar “en nombre del diputado y conforme a su voluntad expresa”) requirió la reunión de la mesa para tratar las cuestiones relativas al voto telemático del diputado recurrente, y la mesa puso de manifiesto que su petición no resultaba manifiestamente improcedente para la reparación de la vulneración denunciada, cabe entender que las decisiones impugnadas no eran firmes en el sentido del art. 42 LOTC en el momento en que se interpuso la demanda de amparo.</w:t>
      </w:r>
    </w:p>
    <w:p w14:paraId="40AA71E0" w14:textId="77777777" w:rsidR="003754FE" w:rsidRDefault="003754FE" w:rsidP="003754FE">
      <w:pPr>
        <w:pStyle w:val="TextoNormal"/>
      </w:pPr>
    </w:p>
    <w:p w14:paraId="39D378BD" w14:textId="77777777" w:rsidR="003754FE" w:rsidRDefault="003754FE" w:rsidP="003754FE">
      <w:pPr>
        <w:pStyle w:val="TextoNormal"/>
      </w:pPr>
      <w:r>
        <w:t>En relación con esta cuestión el Tribunal observa que el art. 42 LOTC refiere el requisito de la firmeza de los actos impugnados en amparo a lo que establezcan las normas internas de las Cámaras. A efectos de la admisibilidad del recurso, debe entenderse que las decisiones presidenciales impugnadas eran firmes desde su adopción, pues ninguna norma interna del Congreso prevé que las decisiones adoptadas por la Presidencia de la Cámara puedan ser sometidas a la reconsideración de su mesa (art. 31.2 RCD) ni a cualquier otra forma de revisión interna. Esta constatación no se ve afectada por el hecho de que, en la reunión de la mesa de 15 de febrero de 2022, la presidenta de la Cámara afirmase que las cuestiones controvertidas podían ser objeto de “examen” por la mesa. El examen de cualquier escrito de índole parlamentaria es función que la mesa ha de realizar en todo caso, con arreglo al art. 31.1 RCD, que le atribuye la calificación y admisión a trámite de esos escritos, y la decisión sobre su tramitación, sin que ese examen pueda identificarse, ni deba dar lugar necesariamente, a una decisión de la mesa equivalente a las que adopta respecto de las solicitudes de reconsideración formuladas según lo dispuesto en el art. 31.2 RCD.</w:t>
      </w:r>
    </w:p>
    <w:p w14:paraId="24B12F00" w14:textId="77777777" w:rsidR="003754FE" w:rsidRDefault="003754FE" w:rsidP="003754FE">
      <w:pPr>
        <w:pStyle w:val="TextoNormal"/>
      </w:pPr>
    </w:p>
    <w:p w14:paraId="73ED1584" w14:textId="0518A5B7" w:rsidR="003754FE" w:rsidRDefault="003754FE" w:rsidP="003754FE">
      <w:pPr>
        <w:pStyle w:val="TextoNormal"/>
      </w:pPr>
      <w:r>
        <w:t>Por lo tanto, debe concluirse que las decisiones impugnadas habían devenido firmes, para el diputado recurrente y para su grupo parlamentario, en el mismo momento en que fueron adoptadas, por lo que debemos descartar el óbice procesal de prematuridad planteado por el Ministerio Fiscal.</w:t>
      </w:r>
    </w:p>
    <w:p w14:paraId="3C80620B" w14:textId="77777777" w:rsidR="003754FE" w:rsidRDefault="003754FE" w:rsidP="003754FE">
      <w:pPr>
        <w:pStyle w:val="TextoNormal"/>
      </w:pPr>
    </w:p>
    <w:p w14:paraId="22DF509A" w14:textId="77777777" w:rsidR="003754FE" w:rsidRDefault="003754FE" w:rsidP="003754FE">
      <w:pPr>
        <w:pStyle w:val="TextoNormal"/>
      </w:pPr>
      <w:r w:rsidRPr="003754FE">
        <w:rPr>
          <w:rStyle w:val="NumeroAFNegritaCaracter"/>
        </w:rPr>
        <w:t>3</w:t>
      </w:r>
      <w:r>
        <w:t xml:space="preserve">. </w:t>
      </w:r>
      <w:r w:rsidRPr="003754FE">
        <w:rPr>
          <w:i/>
        </w:rPr>
        <w:t>Marco jurídico aplicable a las decisiones impugnadas</w:t>
      </w:r>
    </w:p>
    <w:p w14:paraId="369335D4" w14:textId="77777777" w:rsidR="003754FE" w:rsidRDefault="003754FE" w:rsidP="003754FE">
      <w:pPr>
        <w:pStyle w:val="TextoNormal"/>
      </w:pPr>
    </w:p>
    <w:p w14:paraId="3E91961B" w14:textId="77777777" w:rsidR="003754FE" w:rsidRDefault="003754FE" w:rsidP="003754FE">
      <w:pPr>
        <w:pStyle w:val="TextoNormal"/>
      </w:pPr>
      <w:r>
        <w:t>Antes de entrar a examinar las concretas quejas formuladas en la demanda de amparo es preciso hacer referencia a la doctrina constitucional sobre el derecho de voto de los parlamentarios, así como a la normativa reguladora del voto telemático en el Congreso de los Diputados.</w:t>
      </w:r>
    </w:p>
    <w:p w14:paraId="74E6F06B" w14:textId="77777777" w:rsidR="003754FE" w:rsidRDefault="003754FE" w:rsidP="003754FE">
      <w:pPr>
        <w:pStyle w:val="TextoNormal"/>
      </w:pPr>
    </w:p>
    <w:p w14:paraId="154F2151" w14:textId="77777777" w:rsidR="003754FE" w:rsidRDefault="003754FE" w:rsidP="003754FE">
      <w:pPr>
        <w:pStyle w:val="TextoNormal"/>
      </w:pPr>
      <w:r>
        <w:t xml:space="preserve">a) La doctrina constitucional ha determinado que el derecho de voto ha de ser considerado como uno de los que integran el derecho al ejercicio del cargo representativo en condiciones de igualdad y sin perturbaciones ilegítimas (STC 361/2006, de 18 de diciembre, FJ 3). El </w:t>
      </w:r>
      <w:r w:rsidRPr="003754FE">
        <w:rPr>
          <w:i/>
        </w:rPr>
        <w:t>ius in officium</w:t>
      </w:r>
      <w:r>
        <w:t xml:space="preserve"> de los parlamentarios puede verse afectado, por lo tanto, si se impide o dificulta la emisión del propio voto, y también si se permite votar a otro parlamentario sin respetar las condiciones y los requisitos para hacerlo (STC 65/2022, de 31 de mayo, FJ 5, y las que siguen la doctrina allí fijada sobre los requisitos de la delegación del voto).</w:t>
      </w:r>
    </w:p>
    <w:p w14:paraId="69AD889F" w14:textId="77777777" w:rsidR="003754FE" w:rsidRDefault="003754FE" w:rsidP="003754FE">
      <w:pPr>
        <w:pStyle w:val="TextoNormal"/>
      </w:pPr>
    </w:p>
    <w:p w14:paraId="6C4A3617" w14:textId="77777777" w:rsidR="003754FE" w:rsidRDefault="003754FE" w:rsidP="003754FE">
      <w:pPr>
        <w:pStyle w:val="TextoNormal"/>
      </w:pPr>
      <w:r>
        <w:lastRenderedPageBreak/>
        <w:t>El derecho de voto está dotado de unas garantías que le son inescindibles, entre las que se encuentra su carácter personal e indelegable “por formar parte del núcleo esencial de las reglas de ordenación de la función parlamentaria” (STC 129/2006, de 24 de abril, FJ 6); carácter personal e indelegable que, para los diputados y senadores, viene expresamente reconocido en el art. 79.3 CE (por todas, STC 65/2022, FJ 5). El principio de personalidad del voto, del que deriva su carácter indelegable, “es consecuencia de la prohibición de mandato imperativo, pues solo de este modo se garantiza que es el representante el que decide el sentido de su voto”, y es también una exigencia que deriva de la propia naturaleza de la representación política, pues el vínculo entre representante y representados exige que solo aquel, y no un tercero, pueda determinar el sentido de su voto [STC 19/2019, FJ 4 A) a)].</w:t>
      </w:r>
    </w:p>
    <w:p w14:paraId="76B4E31C" w14:textId="77777777" w:rsidR="003754FE" w:rsidRDefault="003754FE" w:rsidP="003754FE">
      <w:pPr>
        <w:pStyle w:val="TextoNormal"/>
      </w:pPr>
    </w:p>
    <w:p w14:paraId="2A19865A" w14:textId="77777777" w:rsidR="003754FE" w:rsidRDefault="003754FE" w:rsidP="003754FE">
      <w:pPr>
        <w:pStyle w:val="TextoNormal"/>
      </w:pPr>
      <w:r>
        <w:t>En estrecha conexión con lo recién expuesto, la doctrina constitucional ha determinado que el de voto es un derecho que, de ordinario, ha de ejercerse presencialmente en las sesiones de los distintos órganos deliberativos de las cámaras legislativas, en tanto que la presencia de los parlamentarios en las cámaras y en sus órganos internos es un requisito necesario para que puedan deliberar y adoptar acuerdos [STC 19/2019, FJ 4 A)]. Esta exigencia no admite otra excepción que la que pueda venir establecida en los reglamentos parlamentarios respecto a la posibilidad de votar en ausencia cuando concurran circunstancias excepcionales o de fuerza mayor, y para ello será necesario que el voto realizado sin estar presente en la Cámara se emita de tal modo que se garantice que expresa la voluntad del parlamentario ausente y no la de un tercero que pueda actuar en su nombre [STC 19/2019, de 12 de febrero, FJ 4 A)].</w:t>
      </w:r>
    </w:p>
    <w:p w14:paraId="3ADF3F6B" w14:textId="77777777" w:rsidR="003754FE" w:rsidRDefault="003754FE" w:rsidP="003754FE">
      <w:pPr>
        <w:pStyle w:val="TextoNormal"/>
      </w:pPr>
    </w:p>
    <w:p w14:paraId="40EACF34" w14:textId="77777777" w:rsidR="003754FE" w:rsidRDefault="003754FE" w:rsidP="003754FE">
      <w:pPr>
        <w:pStyle w:val="TextoNormal"/>
      </w:pPr>
      <w:r>
        <w:t>Por otra parte, en el caso de que el voto se formule a través de mecanismos electrónicos corresponde a los órganos rectores de las cámaras la tarea de verificar si los posibles errores que hayan podido producirse en la votación parlamentaria han sido debidos a una incidencia técnica ajena a la voluntad del diputado que vota, o si, por el contrario, esa incidencia debe descartarse recayendo sobre el representante la responsabilidad sobre el sentido del voto efectivamente manifestado y emitido (STC 361/2006, FJ 4, relativa a una votación parlamentaria presencial en la que un problema técnico del sistema de voto electrónico instalado en el escaño de la diputada recurrente le impidió votar, a pesar de que se encontraba en su escaño e intentó accionar el mecanismo electrónico).</w:t>
      </w:r>
    </w:p>
    <w:p w14:paraId="469D2DB1" w14:textId="77777777" w:rsidR="003754FE" w:rsidRDefault="003754FE" w:rsidP="003754FE">
      <w:pPr>
        <w:pStyle w:val="TextoNormal"/>
      </w:pPr>
    </w:p>
    <w:p w14:paraId="3E9BA363" w14:textId="77777777" w:rsidR="003754FE" w:rsidRDefault="003754FE" w:rsidP="003754FE">
      <w:pPr>
        <w:pStyle w:val="TextoNormal"/>
      </w:pPr>
      <w:r>
        <w:t>b) Por lo que respecta a la regulación del voto telemático en el Congreso de los Diputados, esta posibilidad se incorporó como excepción a la regla del voto presencial mediante la reforma de los arts. 79 y 82 RCD acordada el 21 de julio de 2011, para supuestos tasados y con exigencia de la debida autorización. Esta reforma se puso en práctica, en virtud de lo dispuesto en su disposición final primera, a través de la resolución de la mesa del Congreso de 21 de mayo de 2012.</w:t>
      </w:r>
    </w:p>
    <w:p w14:paraId="3E0E8F61" w14:textId="77777777" w:rsidR="003754FE" w:rsidRDefault="003754FE" w:rsidP="003754FE">
      <w:pPr>
        <w:pStyle w:val="TextoNormal"/>
      </w:pPr>
    </w:p>
    <w:p w14:paraId="40BB625A" w14:textId="77777777" w:rsidR="003754FE" w:rsidRDefault="003754FE" w:rsidP="003754FE">
      <w:pPr>
        <w:pStyle w:val="TextoNormal"/>
      </w:pPr>
      <w:r>
        <w:t xml:space="preserve">En lo que aquí interesa, esa regulación preveía que la autorización del voto telemático al diputado que lo solicitara debía especificar “[l]os puntos concretos del orden del día del Pleno, para los que se autoriza la votación mediante procedimiento telemático, por no ser susceptibles de fragmentación o modificación durante el debate en Pleno” (apartado segundo de la resolución de 2012); a su vez, establecía que “la Presidencia u órgano en quien delegue, comprobará telefónicamente con el diputado autorizado, antes del inicio de la votación presencial en el Pleno, la emisión efectiva del voto y el sentido de este” (apartado cuarto de la resolución de 2012); disponía también que “[e]l diputado que hubiera emitido </w:t>
      </w:r>
      <w:r>
        <w:lastRenderedPageBreak/>
        <w:t>su voto mediante el procedimiento telemático no podrá emitir su voto presencial sin autorización expresa de la mesa de la Cámara que, en el supuesto en que decida autorizar el voto presencial, declarará el voto telemático nulo y no emitido” (apartado sexto de la resolución de 2012); y limitaba la posibilidad de autorizar el voto telemático a “los casos de embarazo, maternidad, paternidad o enfermedad grave” (art. 82.2 RCD).</w:t>
      </w:r>
    </w:p>
    <w:p w14:paraId="22BD22CB" w14:textId="77777777" w:rsidR="003754FE" w:rsidRDefault="003754FE" w:rsidP="003754FE">
      <w:pPr>
        <w:pStyle w:val="TextoNormal"/>
      </w:pPr>
    </w:p>
    <w:p w14:paraId="41FB1264" w14:textId="77777777" w:rsidR="003754FE" w:rsidRDefault="003754FE" w:rsidP="003754FE">
      <w:pPr>
        <w:pStyle w:val="TextoNormal"/>
      </w:pPr>
      <w:r>
        <w:t>Sin modificar o derogar formalmente la resolución de 2012, por acuerdo de 19 de marzo de 2020 la mesa del Congreso estableció un régimen especial para el voto telemático mientras durase el estado de alarma declarado por el Real Decreto 463/2020, de 14 de marzo, en atención a las especiales circunstancias concurrentes que dificultaban el normal desempeño de la función parlamentaria. Este acuerdo autorizaba de modo general que los “diputados puedan emitir su voto por procedimiento telemático en las sesiones plenarias que se celebren durante este periodo”, con la simple comunicación de su grupo parlamentario respectivo a la Secretaría General y sin necesidad de previa autorización individualizada; se establecía que “la emisión del voto se hará a través de la intranet de la Cámara, con la introducción de usuario y contraseña, como método de verificación de la emisión personal del voto”; y se delegaba en la Presidencia de la Cámara “la concreción de los puntos del orden del día” en los que se podría votar telemáticamente. Mediante el posterior acuerdo de la mesa del Congreso de 16 de junio de 2020 se prorrogó la aplicación de ese régimen especial, en sus mismos términos, “hasta la finalización de la situación de crisis sanitaria ocasionada por el covid-19, según lo previsto en el artículo 2.3 del Real Decreto-ley 21/2020, de 9 de junio”.</w:t>
      </w:r>
    </w:p>
    <w:p w14:paraId="2CDDF4A0" w14:textId="77777777" w:rsidR="003754FE" w:rsidRDefault="003754FE" w:rsidP="003754FE">
      <w:pPr>
        <w:pStyle w:val="TextoNormal"/>
      </w:pPr>
    </w:p>
    <w:p w14:paraId="70DB3EB5" w14:textId="77777777" w:rsidR="003754FE" w:rsidRDefault="003754FE" w:rsidP="003754FE">
      <w:pPr>
        <w:pStyle w:val="TextoNormal"/>
      </w:pPr>
      <w:r>
        <w:t>Por acuerdo de 26 de octubre de 2021, la mesa del Congreso derogó su acuerdo de 16 de junio de 2020 y, por extensión, el régimen especial previsto en el anterior acuerdo de 19 de marzo de 2020 al que prorrogaba; pero, al mismo tiempo, este nuevo acuerdo seguía manteniendo una regulación especial del voto telemático respecto de la contenida en el art. 82.2 RCD y en la resolución de 2012, hasta la finalización de la situación de crisis sanitaria ocasionada por la covid-19 según lo previsto en el art. 2.3 de la Ley 2/2021, de 29 de marzo, de medidas urgentes de prevención, contención y coordinación para hacer frente a la crisis sanitaria ocasionada por el covid-19. Tal regulación especial consistía en (i) habilitar a la mesa de la Cámara para establecer que “en determinadas votaciones la totalidad de los diputados emitan su voto por el procedimiento telemático”; (ii) incluir entre los casos habilitadores del voto telemático la enfermedad por covid-19 y los confinamientos como consecuencia de este; y (iii) dar continuidad al procedimiento de emisión de ese voto “a través de la intranet de la Cámara, con la introducción de usuario y contraseña, como método de verificación de la emisión personal del voto”.</w:t>
      </w:r>
    </w:p>
    <w:p w14:paraId="240FAA61" w14:textId="77777777" w:rsidR="003754FE" w:rsidRDefault="003754FE" w:rsidP="003754FE">
      <w:pPr>
        <w:pStyle w:val="TextoNormal"/>
      </w:pPr>
    </w:p>
    <w:p w14:paraId="2F085601" w14:textId="77777777" w:rsidR="003754FE" w:rsidRDefault="003754FE" w:rsidP="003754FE">
      <w:pPr>
        <w:pStyle w:val="TextoNormal"/>
      </w:pPr>
      <w:r>
        <w:t>Finalmente, tras una serie de acuerdos singulares con efectos en concretas sesiones plenarias, en los que la mesa del Congreso autorizaba la emisión del voto telemático a todos los diputados y en relación con todos los puntos del orden del día de las sesiones, el acuerdo de 1 de febrero de 2022, adoptado por la mesa con carácter complementario al acuerdo de 26 de octubre de 2021, autorizaba de modo general “hasta la finalización de la crisis sanitaria […] permitir que los diputados autorizados para emitir su voto telemáticamente puedan hacerlo respecto de todos los asuntos incluidos en el orden del día del Pleno”. Estos acuerdos, a diferencia de la resolución de 2012, solo fueron objeto de publicidad interna mediante comunicación a los grupos parlamentarios.</w:t>
      </w:r>
    </w:p>
    <w:p w14:paraId="18EBC431" w14:textId="77777777" w:rsidR="003754FE" w:rsidRDefault="003754FE" w:rsidP="003754FE">
      <w:pPr>
        <w:pStyle w:val="TextoNormal"/>
      </w:pPr>
    </w:p>
    <w:p w14:paraId="7E88CBDE" w14:textId="475F5DA3" w:rsidR="003754FE" w:rsidRDefault="003754FE" w:rsidP="003754FE">
      <w:pPr>
        <w:pStyle w:val="TextoNormal"/>
      </w:pPr>
      <w:r>
        <w:lastRenderedPageBreak/>
        <w:t>Tras la interposición del recurso de amparo que ahora examinamos, la resolución de la mesa del Congreso de 21 de junio de 2022 para el desarrollo del procedimiento de votación telemática derogó tanto la resolución de 2012 como los acuerdos de 26 de octubre de 2021 y de 1 de febrero de 2022.</w:t>
      </w:r>
    </w:p>
    <w:p w14:paraId="565067E0" w14:textId="77777777" w:rsidR="003754FE" w:rsidRDefault="003754FE" w:rsidP="003754FE">
      <w:pPr>
        <w:pStyle w:val="TextoNormal"/>
      </w:pPr>
    </w:p>
    <w:p w14:paraId="47C3424E" w14:textId="77777777" w:rsidR="003754FE" w:rsidRDefault="003754FE" w:rsidP="003754FE">
      <w:pPr>
        <w:pStyle w:val="TextoNormal"/>
      </w:pPr>
      <w:r w:rsidRPr="003754FE">
        <w:rPr>
          <w:rStyle w:val="NumeroAFNegritaCaracter"/>
        </w:rPr>
        <w:t>4</w:t>
      </w:r>
      <w:r>
        <w:t xml:space="preserve">. </w:t>
      </w:r>
      <w:r w:rsidRPr="003754FE">
        <w:rPr>
          <w:i/>
        </w:rPr>
        <w:t>Sobre el modo de verificación de la emisión personal del voto telemático</w:t>
      </w:r>
    </w:p>
    <w:p w14:paraId="574E6F54" w14:textId="77777777" w:rsidR="003754FE" w:rsidRDefault="003754FE" w:rsidP="003754FE">
      <w:pPr>
        <w:pStyle w:val="TextoNormal"/>
      </w:pPr>
    </w:p>
    <w:p w14:paraId="783B7939" w14:textId="77777777" w:rsidR="003754FE" w:rsidRDefault="003754FE" w:rsidP="003754FE">
      <w:pPr>
        <w:pStyle w:val="TextoNormal"/>
      </w:pPr>
      <w:r>
        <w:t>a) El diputado señor Casero Ávila alega que se ha vulnerado su derecho al ejercicio del cargo representativo porque la decisión de la presidenta del Congreso por la que se considera verificado su voto telemático se adoptó sin cumplir con la imperativa comprobación telefónica de oficio, por la Presidencia o por persona delegada, de la efectiva emisión del voto y del sentido de este; omisión que le habría privado de la posibilidad de rectificar su voto. Sostiene, en este sentido, que resultaba aplicable en el momento de los hechos el régimen ordinario de verificación por vía telefónica del voto telemático previsto en el apartado cuarto de la resolución de la mesa del Congreso de 21 de mayo de 2012.</w:t>
      </w:r>
    </w:p>
    <w:p w14:paraId="3697E396" w14:textId="77777777" w:rsidR="003754FE" w:rsidRDefault="003754FE" w:rsidP="003754FE">
      <w:pPr>
        <w:pStyle w:val="TextoNormal"/>
      </w:pPr>
    </w:p>
    <w:p w14:paraId="39E3289C" w14:textId="77777777" w:rsidR="003754FE" w:rsidRDefault="003754FE" w:rsidP="003754FE">
      <w:pPr>
        <w:pStyle w:val="TextoNormal"/>
      </w:pPr>
      <w:r>
        <w:t>Niegan la vulneración denunciada tanto el Congreso de los Diputados como el Ministerio Fiscal, que argumentan que el citado régimen ordinario había quedado temporalmente desplazado por los acuerdos de 26 de octubre de 2021 y de 1 de febrero de 2022, los cuales (al igual que antes los acuerdos de 19 de marzo y de 16 de junio de 2020), establecían que “la emisión del voto se hará a través de la intranet de la Cámara, con la introducción de usuario y contraseña, como método de verificación de la emisión personal del voto”, sin más requisitos para su comprobación.</w:t>
      </w:r>
    </w:p>
    <w:p w14:paraId="5851E70E" w14:textId="77777777" w:rsidR="003754FE" w:rsidRDefault="003754FE" w:rsidP="003754FE">
      <w:pPr>
        <w:pStyle w:val="TextoNormal"/>
      </w:pPr>
    </w:p>
    <w:p w14:paraId="32D2B71C" w14:textId="77777777" w:rsidR="003754FE" w:rsidRDefault="003754FE" w:rsidP="003754FE">
      <w:pPr>
        <w:pStyle w:val="TextoNormal"/>
      </w:pPr>
      <w:r>
        <w:t>La queja del recurrente no puede ser acogida. Como sostienen el Congreso y el Ministerio Fiscal, la pervivencia de la crisis sanitaria causada por la pandemia de covid-19 determinó que los acuerdos de la mesa del Congreso de 26 de octubre de 2021 y de 1 de febrero de 2022 mantuviesen vigentes ciertas especialidades en el procedimiento de voto telemático respecto de la resolución de 2012. Así lo hicieron, en particular, respecto del método de verificación de la emisión personal de ese tipo de voto, que siguió siendo el previsto al inicio de la crisis en el acuerdo de 19 de marzo de 2020, a través de la intranet de la Cámara con la introducción de usuario y contraseña, y con el sistema de doble paso con la elección del sentido del voto y su posterior confirmación. Durante la situación de crisis sanitaria, ese régimen especial no se añadió, sino que sustituyó al método ordinario de la comprobación telefónica previsto en la resolución de 2012; método que, por lo tanto, no resultaba aplicable a la sesión plenaria de 3 de febrero de 2022. Por esa razón, la Presidencia del Congreso no estaba obligada a realizar, de oficio, esa comprobación telefónica, personalmente o delegando en un tercero, como se aduce en la demanda.</w:t>
      </w:r>
    </w:p>
    <w:p w14:paraId="75BF1BDC" w14:textId="77777777" w:rsidR="003754FE" w:rsidRDefault="003754FE" w:rsidP="003754FE">
      <w:pPr>
        <w:pStyle w:val="TextoNormal"/>
      </w:pPr>
    </w:p>
    <w:p w14:paraId="0AF2729D" w14:textId="77777777" w:rsidR="003754FE" w:rsidRDefault="003754FE" w:rsidP="003754FE">
      <w:pPr>
        <w:pStyle w:val="TextoNormal"/>
      </w:pPr>
      <w:r>
        <w:t xml:space="preserve">No puede dejar de observarse, a mayor abundamiento, que las especialidades procedimentales y materiales vigentes en el momento de los hechos conforme al acuerdo de 26 de octubre de 2021 y a su complementario de 1 de febrero de 2022 debían resultar conocidas para el recurrente en amparo, pues emitió su voto con arreglo a lo allí dispuesto, como atestigua el informe de la Dirección de Tecnologías de la Información y de las Comunicaciones del Congreso en cuanto a su emisión personal en los dos pasos que contempla la aplicación (selección del sentido del voto y posterior confirmación), y como queda acreditado en la certificación requerida por este tribunal de los votos emitidos por el señor Casero de forma telemática en esa sesión plenaria, donde consta su voto en asuntos que fueron objeto de </w:t>
      </w:r>
      <w:r>
        <w:lastRenderedPageBreak/>
        <w:t>modificación o de fragmentación durante la sesión (voto telemático de esos asuntos que no tenía cabida bajo el régimen previsto en la resolución de 2012, según su apartado segundo).</w:t>
      </w:r>
    </w:p>
    <w:p w14:paraId="7D56BCA7" w14:textId="77777777" w:rsidR="003754FE" w:rsidRDefault="003754FE" w:rsidP="003754FE">
      <w:pPr>
        <w:pStyle w:val="TextoNormal"/>
      </w:pPr>
    </w:p>
    <w:p w14:paraId="1002818E" w14:textId="77777777" w:rsidR="003754FE" w:rsidRDefault="003754FE" w:rsidP="003754FE">
      <w:pPr>
        <w:pStyle w:val="TextoNormal"/>
      </w:pPr>
      <w:r>
        <w:t>Debe concordarse con lo alegado por el Congreso de los Diputados en cuanto a que el citado régimen especial de verificación de la emisión personal del voto se justificaba porque, durante la crisis sanitaria, este tipo de voto podía producirse de manera masiva, tanto por el número de diputados que hicieran uso de él, como por el número de las votaciones en las que se podía aplicar. Así se deriva, con toda evidencia, de la regulación aún vigente tras el acuerdo de 26 de octubre de 2021 y aplicable en la sesión plenaria de 3 de febrero de 2022, donde constaba que la mesa podía establecer que en determinadas votaciones la totalidad de los diputados emitieran su voto por el procedimiento telemático, al margen de la concurrencia de alguno de los casos previstos en el art. 82.2 del Reglamento que habilitaran para ello (embarazo, maternidad, paternidad o enfermedad grave), y donde se permitía el voto telemático respecto de todos los asuntos incluidos en el orden del día del Pleno, y no únicamente de aquellos que no fueran susceptibles de modificación o de fraccionamiento, como preveía también el mencionado precepto del Reglamento.</w:t>
      </w:r>
    </w:p>
    <w:p w14:paraId="2C36CB7A" w14:textId="77777777" w:rsidR="003754FE" w:rsidRDefault="003754FE" w:rsidP="003754FE">
      <w:pPr>
        <w:pStyle w:val="TextoNormal"/>
      </w:pPr>
    </w:p>
    <w:p w14:paraId="019D3834" w14:textId="77777777" w:rsidR="003754FE" w:rsidRDefault="003754FE" w:rsidP="003754FE">
      <w:pPr>
        <w:pStyle w:val="TextoNormal"/>
      </w:pPr>
      <w:r>
        <w:t>En definitiva, debe descartarse que la presidenta del Congreso vulnerara el derecho al ejercicio del cargo representativo del recurrente por no comprobar de oficio su voto telemático mediante el procedimiento de verificación telefónica previsto en la resolución de 2012.</w:t>
      </w:r>
    </w:p>
    <w:p w14:paraId="1AF8669A" w14:textId="77777777" w:rsidR="003754FE" w:rsidRDefault="003754FE" w:rsidP="003754FE">
      <w:pPr>
        <w:pStyle w:val="TextoNormal"/>
      </w:pPr>
    </w:p>
    <w:p w14:paraId="07978167" w14:textId="77777777" w:rsidR="003754FE" w:rsidRDefault="003754FE" w:rsidP="003754FE">
      <w:pPr>
        <w:pStyle w:val="TextoNormal"/>
      </w:pPr>
      <w:r>
        <w:t>b) En segundo lugar, la falta de verificación telefónica del voto telemático del señor Casero Ávila tampoco puede ser tildada de “práctica antirreglamentaria”, como hace el diputado recurrente. El art. 82.2 RCD no regula directamente cuál ha de ser el sistema que se ha de seguir para esa verificación, sino que habilita a la mesa para que establezca tal sistema, al disponer que “el voto emitido por este procedimiento deberá ser verificado personalmente mediante el sistema que, a tal efecto, establezca la mesa”. También la habilita en ese sentido la disposición final primera de la reforma del Reglamento de 2011 que introduce el voto telemático e incorpora la antedicha regulación del art. 82.2, cuando atribuye a la mesa la adopción de “las disposiciones y medidas necesarias para la puesta en práctica del procedimiento telemático con verificación personal de votación” (disposición final primera de la reforma).</w:t>
      </w:r>
    </w:p>
    <w:p w14:paraId="2E23C2B4" w14:textId="77777777" w:rsidR="003754FE" w:rsidRDefault="003754FE" w:rsidP="003754FE">
      <w:pPr>
        <w:pStyle w:val="TextoNormal"/>
      </w:pPr>
    </w:p>
    <w:p w14:paraId="72FC3456" w14:textId="77777777" w:rsidR="003754FE" w:rsidRDefault="003754FE" w:rsidP="003754FE">
      <w:pPr>
        <w:pStyle w:val="TextoNormal"/>
      </w:pPr>
      <w:r>
        <w:t>El mecanismo de verificación de la emisión personal del voto telemático se establece en la resolución de 2012, que opta por un sistema de comprobación telefónica; pero también en el acuerdo de 26 de octubre de 2021, al definir un régimen especial motivado por la situación de crisis sanitaria, que sustituye temporalmente el mecanismo ordinario por un sistema de verificación mediante la introducción del usuario y contraseña en la intranet del Congreso. Así, ambos sistemas se establecen en desarrollo de las citadas previsiones del Reglamento, mediante normas dictadas por el mismo órgano de la Cámara y con el mismo rango normativo, como alega el Ministerio Fiscal. Por tanto, cuando el voto telemático se verificó mediante la introducción de usuario y contraseña en la intranet del Congreso, y no telefónicamente, no se estaba contraviniendo el Reglamento, que no regula esa materia, sino, simplemente, aplicando una regulación especial sobre la comprobación del voto telemático explícitamente habilitada por la mesa de la Cámara en el ejercicio de sus competencias.</w:t>
      </w:r>
    </w:p>
    <w:p w14:paraId="104D016D" w14:textId="77777777" w:rsidR="003754FE" w:rsidRDefault="003754FE" w:rsidP="003754FE">
      <w:pPr>
        <w:pStyle w:val="TextoNormal"/>
      </w:pPr>
    </w:p>
    <w:p w14:paraId="513931D3" w14:textId="77777777" w:rsidR="003754FE" w:rsidRDefault="003754FE" w:rsidP="003754FE">
      <w:pPr>
        <w:pStyle w:val="TextoNormal"/>
      </w:pPr>
      <w:r>
        <w:lastRenderedPageBreak/>
        <w:t>c) En tercer lugar, tampoco cabe acoger la alegación subsidiaria de la demanda conforme a la cual, aunque no fuera de oficio, la presidenta del Congreso venía obligada a activar el procedimiento de verificación del voto telemático previsto en la resolución de 2012, a través de la comprobación telefónica, desde el momento en que esa comprobación se solicitó expresamente por iniciativa del propio diputado antes de la votación presencial, al detectarse una falta de correspondencia entre el sentido del voto emitido y su voluntad de voto.</w:t>
      </w:r>
    </w:p>
    <w:p w14:paraId="20E9D2EF" w14:textId="77777777" w:rsidR="003754FE" w:rsidRDefault="003754FE" w:rsidP="003754FE">
      <w:pPr>
        <w:pStyle w:val="TextoNormal"/>
      </w:pPr>
    </w:p>
    <w:p w14:paraId="5AC0397A" w14:textId="40508D22" w:rsidR="003754FE" w:rsidRDefault="003754FE" w:rsidP="003754FE">
      <w:pPr>
        <w:pStyle w:val="TextoNormal"/>
      </w:pPr>
      <w:r>
        <w:t>Esta alegación no puede prosperar porque, además de la ya señalada falta de aplicabilidad al caso del procedimiento de verificación telefónica de la resolución de 2012, se sustenta en una premisa fáctica que debe ser descartada, a saber, que la comprobación telefónica fue solicitada antes de la reanudación de la sesión plenaria de 3 de febrero de 2022. Este extremo no ha sido probado por el demandante, sino que, por el contrario, y como con mayor detalle consta en los antecedentes de esta sentencia, lo que se ha certificado por la Secretaría General del Congreso es que la solicitud se produjo cuando ya se había llamado a votación. Además, esta solicitud no fue realizada por el propio diputado, sino por su grupo parlamentario. Por todo ello, esta queja subsidiaria se desestima.</w:t>
      </w:r>
    </w:p>
    <w:p w14:paraId="433EDB18" w14:textId="77777777" w:rsidR="003754FE" w:rsidRDefault="003754FE" w:rsidP="003754FE">
      <w:pPr>
        <w:pStyle w:val="TextoNormal"/>
      </w:pPr>
    </w:p>
    <w:p w14:paraId="71A3EB51" w14:textId="77777777" w:rsidR="003754FE" w:rsidRDefault="003754FE" w:rsidP="003754FE">
      <w:pPr>
        <w:pStyle w:val="TextoNormal"/>
      </w:pPr>
      <w:r w:rsidRPr="003754FE">
        <w:rPr>
          <w:rStyle w:val="NumeroAFNegritaCaracter"/>
        </w:rPr>
        <w:t>5</w:t>
      </w:r>
      <w:r>
        <w:t xml:space="preserve">. </w:t>
      </w:r>
      <w:r w:rsidRPr="003754FE">
        <w:rPr>
          <w:i/>
        </w:rPr>
        <w:t>Sobre la solicitud de convocatoria de la mesa de la Cámara para decidir sobre la autorización del voto presencial y la anulación del telemático</w:t>
      </w:r>
    </w:p>
    <w:p w14:paraId="42888234" w14:textId="77777777" w:rsidR="003754FE" w:rsidRDefault="003754FE" w:rsidP="003754FE">
      <w:pPr>
        <w:pStyle w:val="TextoNormal"/>
      </w:pPr>
    </w:p>
    <w:p w14:paraId="27EE3FDA" w14:textId="77777777" w:rsidR="003754FE" w:rsidRDefault="003754FE" w:rsidP="003754FE">
      <w:pPr>
        <w:pStyle w:val="TextoNormal"/>
      </w:pPr>
      <w:r>
        <w:t>Denuncia también el diputado recurrente la lesión de su derecho al ejercicio del cargo representativo que, a su juicio, habría causado la decisión de la presidenta del Congreso de no convocar la mesa de la Cámara para decidir sobre la solicitud para que le fuera autorizado el voto presencial y se declarara nulo y no emitido su voto telemático, de conformidad con lo dispuesto en el apartado sexto de la resolución de 2012.</w:t>
      </w:r>
    </w:p>
    <w:p w14:paraId="7B9496B0" w14:textId="77777777" w:rsidR="003754FE" w:rsidRDefault="003754FE" w:rsidP="003754FE">
      <w:pPr>
        <w:pStyle w:val="TextoNormal"/>
      </w:pPr>
    </w:p>
    <w:p w14:paraId="7D98E437" w14:textId="77777777" w:rsidR="003754FE" w:rsidRDefault="003754FE" w:rsidP="003754FE">
      <w:pPr>
        <w:pStyle w:val="TextoNormal"/>
      </w:pPr>
      <w:r>
        <w:t>De inicio, debemos poner de manifiesto que ese apartado sexto debía considerarse vigente y de aplicación en la sesión plenaria de 3 de febrero de 2022, porque, a diferencia de lo dispuesto en el apartado cuarto de la resolución de 2012 sobre la comprobación telefónica del voto emitido, el acuerdo de 26 de octubre de 2021 y su complementario de 1 de febrero de 2022 no establecían ninguna regulación especial sobre ese objeto. Ahora bien, a la luz de las circunstancias del presente caso, tal y como han sido detalladas en los antecedentes de esta sentencia, el Tribunal considera que no se dieron las condiciones para que la presidenta del Congreso estuviera obligada a aplicar lo dispuesto en el mencionado apartado sexto, por lo que no cabe apreciar la existencia de lesión del derecho fundamental del recurrente por esta causa.</w:t>
      </w:r>
    </w:p>
    <w:p w14:paraId="2FBDC516" w14:textId="77777777" w:rsidR="003754FE" w:rsidRDefault="003754FE" w:rsidP="003754FE">
      <w:pPr>
        <w:pStyle w:val="TextoNormal"/>
      </w:pPr>
    </w:p>
    <w:p w14:paraId="77041026" w14:textId="77777777" w:rsidR="003754FE" w:rsidRDefault="003754FE" w:rsidP="003754FE">
      <w:pPr>
        <w:pStyle w:val="TextoNormal"/>
      </w:pPr>
      <w:r>
        <w:t xml:space="preserve">Para que pueda operar el procedimiento de autorización del voto presencial al diputado que ha votado previamente de modo telemático ha de mediar una solicitud o actuación personal tempestiva del propio diputado que acredite su expresa voluntad de optar por el ejercicio presencial de su voto y por la anulación del voto telemático autorizado y emitido. Ello es consecuencia del carácter personal e indelegable del voto, que exige que sea el propio titular del derecho el que comunique su intención de ejercerlo presencialmente, puesto que la autorización del voto presencial tiene como consecuencia que se anule su voto ya emitido telemáticamente, y solo constando la iniciativa expresa de su titular requiriéndolo, igual que constó previamente la solicitud de autorización de su emisión telemática, pueden descartarse injerencias externas. Tal iniciativa puede plasmarse a través de una solicitud realizada personalmente por el parlamentario en cuestión, pero también —como muestran los </w:t>
      </w:r>
      <w:r>
        <w:lastRenderedPageBreak/>
        <w:t>antecedentes parlamentarios citados en las alegaciones del Congreso de los Diputados y en el informe de la Secretaría General de la Cámara elevado a su mesa—, mediante la personación del diputado o diputada en la sesión plenaria en el momento de la votación para, una vez allí, pretender ejercer, o ejercer, el voto presencialmente.</w:t>
      </w:r>
    </w:p>
    <w:p w14:paraId="159862B1" w14:textId="77777777" w:rsidR="003754FE" w:rsidRDefault="003754FE" w:rsidP="003754FE">
      <w:pPr>
        <w:pStyle w:val="TextoNormal"/>
      </w:pPr>
    </w:p>
    <w:p w14:paraId="67B6BF4D" w14:textId="77777777" w:rsidR="003754FE" w:rsidRDefault="003754FE" w:rsidP="003754FE">
      <w:pPr>
        <w:pStyle w:val="TextoNormal"/>
      </w:pPr>
      <w:r>
        <w:t>Sin embargo, como pone de manifiesto el Ministerio Fiscal, en el caso no consta que el interesado instara por sí mismo la revocación de su voto telemático, sino únicamente que lo hicieron los miembros de la dirección de su grupo parlamentario (que, una vez efectuado el llamamiento a votación, se dirigieron a la Presidencia para que convocara la mesa para decidir sobre la aplicación de la resolución de 2012 con objeto de que se le autorizara a votar presencialmente previa anulación del voto telemático). Y, como certificó el secretario general del Congreso de los Diputados a instancia de este tribunal, tampoco se encontraba el diputado recurrente en la sesión plenaria al inicio de las votaciones, sino que accedió al hemiciclo al final de las mismas, y tampoco emitió presencialmente su voto.</w:t>
      </w:r>
    </w:p>
    <w:p w14:paraId="6E9A4FD1" w14:textId="77777777" w:rsidR="003754FE" w:rsidRDefault="003754FE" w:rsidP="003754FE">
      <w:pPr>
        <w:pStyle w:val="TextoNormal"/>
      </w:pPr>
    </w:p>
    <w:p w14:paraId="53729768" w14:textId="77777777" w:rsidR="003754FE" w:rsidRDefault="003754FE" w:rsidP="003754FE">
      <w:pPr>
        <w:pStyle w:val="TextoNormal"/>
      </w:pPr>
      <w:r>
        <w:t>Estas circunstancias determinan que no concurriese la condición necesaria para que la Presidencia de la Cámara quedase obligada a la convocatoria de la mesa a los efectos de lo dispuesto en el apartado sexto de la resolución de 2012, que atribuía a este órgano la competencia para anular el voto telemático y autorizar su emisión presencial. La actuación personal del diputado en este sentido era imprescindible, no pudiendo ser reemplazada por la intervención de su grupo parlamentario. Al recurrente le competía, por la responsabilidad que ostentaba como miembro de una de las cámaras legislativas de las Cortes Generales que representan al pueblo español, extremar su diligencia si consideraba procedente participar presencialmente en la sesión plenaria por haber decaído la situación que le había habilitado a no hacerlo (enfermedad grave), teniendo en cuenta, en este sentido, que la asistencia a las sesiones plenarias no es solo un derecho, sino también una obligación de los diputados (arts. 6.1 y 15 RCD).</w:t>
      </w:r>
    </w:p>
    <w:p w14:paraId="73E24D61" w14:textId="77777777" w:rsidR="003754FE" w:rsidRDefault="003754FE" w:rsidP="003754FE">
      <w:pPr>
        <w:pStyle w:val="TextoNormal"/>
      </w:pPr>
    </w:p>
    <w:p w14:paraId="7CB6FE19" w14:textId="0C947F75" w:rsidR="003754FE" w:rsidRDefault="003754FE" w:rsidP="003754FE">
      <w:pPr>
        <w:pStyle w:val="TextoNormal"/>
      </w:pPr>
      <w:r>
        <w:t>Lo que se acaba de razonar nos lleva a excluir que la decisión de no convocar a la mesa de la Cámara, para pronunciarse sobre la autorización para votar presencialmente en la sesión plenaria, vulnerara el derecho del recurrente al ejercicio del cargo representativo.</w:t>
      </w:r>
    </w:p>
    <w:p w14:paraId="35813266" w14:textId="77777777" w:rsidR="003754FE" w:rsidRDefault="003754FE" w:rsidP="003754FE">
      <w:pPr>
        <w:pStyle w:val="TextoNormal"/>
      </w:pPr>
    </w:p>
    <w:p w14:paraId="68472E99" w14:textId="77777777" w:rsidR="003754FE" w:rsidRDefault="003754FE" w:rsidP="003754FE">
      <w:pPr>
        <w:pStyle w:val="TextoNormal"/>
      </w:pPr>
      <w:r w:rsidRPr="003754FE">
        <w:rPr>
          <w:rStyle w:val="NumeroAFNegritaCaracter"/>
        </w:rPr>
        <w:t>6</w:t>
      </w:r>
      <w:r>
        <w:t xml:space="preserve">. </w:t>
      </w:r>
      <w:r w:rsidRPr="003754FE">
        <w:rPr>
          <w:i/>
        </w:rPr>
        <w:t>Sobre la alegada interpretación restrictiva e inmotivada de las normas parlamentarias reguladoras del derecho de voto</w:t>
      </w:r>
    </w:p>
    <w:p w14:paraId="06262269" w14:textId="77777777" w:rsidR="003754FE" w:rsidRDefault="003754FE" w:rsidP="003754FE">
      <w:pPr>
        <w:pStyle w:val="TextoNormal"/>
      </w:pPr>
    </w:p>
    <w:p w14:paraId="0564F347" w14:textId="77777777" w:rsidR="003754FE" w:rsidRDefault="003754FE" w:rsidP="003754FE">
      <w:pPr>
        <w:pStyle w:val="TextoNormal"/>
      </w:pPr>
      <w:r>
        <w:t xml:space="preserve">Como consecuencia de lo anterior, debemos descartar también que las decisiones de la Presidencia de la Cámara recurridas hayan supuesto una interpretación restrictiva de las normas parlamentarias que limiten el ejercicio de las funciones representativas del diputado recurrente, así como que hayan lesionado su </w:t>
      </w:r>
      <w:r w:rsidRPr="003754FE">
        <w:rPr>
          <w:i/>
        </w:rPr>
        <w:t>ius in officium</w:t>
      </w:r>
      <w:r>
        <w:t xml:space="preserve"> por carecer de motivación.</w:t>
      </w:r>
    </w:p>
    <w:p w14:paraId="794444DF" w14:textId="77777777" w:rsidR="003754FE" w:rsidRDefault="003754FE" w:rsidP="003754FE">
      <w:pPr>
        <w:pStyle w:val="TextoNormal"/>
      </w:pPr>
    </w:p>
    <w:p w14:paraId="5380225B" w14:textId="68D32608" w:rsidR="003754FE" w:rsidRDefault="003754FE" w:rsidP="003754FE">
      <w:pPr>
        <w:pStyle w:val="TextoNormal"/>
      </w:pPr>
      <w:r>
        <w:t xml:space="preserve">Tanto la necesidad de realizar la interpretación más favorable a la eficacia de los derechos como la exigencia de motivación tendrían virtualidad si, como postula la demanda, se hubieran dado las condiciones para la aplicación del procedimiento de verificación telefónica de la emisión personal del voto previsto en el apartado cuarto de la resolución de 2012, o bien para la aplicación del procedimiento de autorización del voto presencial regulado en el apartado sexto de dicho texto. Sin embargo, y de conformidad con lo expuesto en los fundamentos jurídicos anteriores de esta sentencia, en las específicas circunstancias de este caso los mencionados procedimientos no resultaban de aplicación y, por lo tanto, las </w:t>
      </w:r>
      <w:r>
        <w:lastRenderedPageBreak/>
        <w:t xml:space="preserve">decisiones de los órganos de gobierno de la Cámara que los omitieron no podían tener incidencia sobre el </w:t>
      </w:r>
      <w:r w:rsidRPr="003754FE">
        <w:rPr>
          <w:i/>
        </w:rPr>
        <w:t>ius in officium</w:t>
      </w:r>
      <w:r>
        <w:t xml:space="preserve"> del diputado recurrente; posibilidad de incidencia que, cuando existe, es la que justifica las exigencias de interpretación favorable y de motivación invocadas en la demanda (en cuanto a esta última, SSTC 208/2003, de 1 de diciembre, FFJJ 4 y 5, y 90/2005, de 18 de abril, FJ 3). En este caso, lo recurrido en amparo son actuaciones o inacciones que eran una directa exigencia de las normas parlamentarias de aplicación y que, como tales, no suponían una limitación del estatuto constitucionalmente relevante del diputado. Esta última queja debe, por ello, ser desestimada.</w:t>
      </w:r>
    </w:p>
    <w:p w14:paraId="1110757C" w14:textId="77777777" w:rsidR="003754FE" w:rsidRDefault="003754FE" w:rsidP="003754FE">
      <w:pPr>
        <w:pStyle w:val="TextoNormal"/>
      </w:pPr>
    </w:p>
    <w:p w14:paraId="1EFC2D02" w14:textId="77777777" w:rsidR="003754FE" w:rsidRDefault="003754FE" w:rsidP="003754FE">
      <w:pPr>
        <w:pStyle w:val="TextoNormalCentrado"/>
        <w:keepNext/>
      </w:pPr>
      <w:r>
        <w:t>FALLO</w:t>
      </w:r>
    </w:p>
    <w:p w14:paraId="6FCE9E9E" w14:textId="64A81360" w:rsidR="003754FE" w:rsidRDefault="003754FE" w:rsidP="003754FE">
      <w:pPr>
        <w:pStyle w:val="TextoNormalCentrado"/>
        <w:keepNext/>
      </w:pPr>
    </w:p>
    <w:p w14:paraId="0ED469DC" w14:textId="0F974846" w:rsidR="003754FE" w:rsidRDefault="003754FE" w:rsidP="003754FE">
      <w:pPr>
        <w:pStyle w:val="TextoNormal"/>
      </w:pPr>
      <w:r>
        <w:t>En atención a todo lo expuesto, el Tribunal Constitucional, por la autoridad que le confiere la Constitución de la Nación española, ha decidido desestimar el recurso de amparo interpuesto por el diputado don Alberto Casero Ávila contra las decisiones de la presidenta del Congreso de los Diputados adoptadas en el curso de la sesión plenaria de 3 de febrero de 2022.</w:t>
      </w:r>
    </w:p>
    <w:p w14:paraId="095DF173" w14:textId="77777777" w:rsidR="003754FE" w:rsidRDefault="003754FE" w:rsidP="003754FE">
      <w:pPr>
        <w:pStyle w:val="TextoNormal"/>
      </w:pPr>
    </w:p>
    <w:p w14:paraId="54EE752F" w14:textId="77777777" w:rsidR="003754FE" w:rsidRDefault="003754FE" w:rsidP="003754FE">
      <w:pPr>
        <w:pStyle w:val="TextoNormal"/>
      </w:pPr>
      <w:r>
        <w:t>Publíquese esta sentencia en el “Boletín Oficial del Estado”.</w:t>
      </w:r>
    </w:p>
    <w:p w14:paraId="6A7823B7" w14:textId="77777777" w:rsidR="003754FE" w:rsidRDefault="003754FE" w:rsidP="003754FE">
      <w:pPr>
        <w:pStyle w:val="TextoNormal"/>
      </w:pPr>
      <w:r>
        <w:t>Dada en Madrid, a once de septiembre de dos mil veinticuatro.</w:t>
      </w:r>
    </w:p>
    <w:p w14:paraId="6A7BC2A8" w14:textId="5B125C9F" w:rsidR="003754FE" w:rsidRDefault="003754FE" w:rsidP="003754FE">
      <w:pPr>
        <w:pStyle w:val="ParrafoNormal"/>
      </w:pPr>
    </w:p>
    <w:p w14:paraId="134DFD24" w14:textId="77777777" w:rsidR="003754FE" w:rsidRDefault="003754FE" w:rsidP="003754FE">
      <w:pPr>
        <w:pStyle w:val="TextoNormalNegritaCentrado"/>
        <w:keepNext/>
      </w:pPr>
      <w:r>
        <w:t>Voto particular concurrente que formulan el magistrado don Enrique Arnaldo Alcubilla y la magistrada doña Concepción Espejel Jorquera a la sentencia dictada por el Pleno en el recurso de amparo avocado núm. 916-2022</w:t>
      </w:r>
    </w:p>
    <w:p w14:paraId="4DBFBE3D" w14:textId="4FF208F2" w:rsidR="003754FE" w:rsidRDefault="003754FE" w:rsidP="003754FE">
      <w:pPr>
        <w:pStyle w:val="TextoNormalNegritaCentrado"/>
        <w:keepNext/>
      </w:pPr>
    </w:p>
    <w:p w14:paraId="14956708" w14:textId="77777777" w:rsidR="003754FE" w:rsidRDefault="003754FE" w:rsidP="003754FE">
      <w:pPr>
        <w:pStyle w:val="TextoNormal"/>
      </w:pPr>
      <w:r>
        <w:t>En el ejercicio de la facultad conferida por el artículo 90.2 LOTC y con respeto a la opinión de nuestros compañeros, formulamos el presente voto concurrente por cuanto, pese a que compartimos plenamente el fallo aprobado también con nuestro voto por este tribunal, nos sentimos en la obligación de exponer nuestra discrepancia con parte de la argumentación de la sentencia, a fin de ser coherentes con la posición mantenida durante su deliberación en el Pleno.</w:t>
      </w:r>
    </w:p>
    <w:p w14:paraId="4D857B35" w14:textId="77777777" w:rsidR="003754FE" w:rsidRDefault="003754FE" w:rsidP="003754FE">
      <w:pPr>
        <w:pStyle w:val="TextoNormal"/>
      </w:pPr>
    </w:p>
    <w:p w14:paraId="3CEA8C23" w14:textId="77777777" w:rsidR="003754FE" w:rsidRDefault="003754FE" w:rsidP="003754FE">
      <w:pPr>
        <w:pStyle w:val="TextoNormal"/>
      </w:pPr>
      <w:r>
        <w:t>La sentencia resuelve el recurso de un diputado del Congreso en la XIV Legislatura contra dos decisiones de la presidenta del Congreso de los Diputados adoptadas en la sesión plenaria de 3 de febrero de 2022, por las que, respectivamente, (i) se consideró verificado el voto telemático del recurrente en la convalidación del Real Decreto-ley 32/2021, de 28 de diciembre, de medidas urgentes para la reforma laboral, la garantía de estabilidad en el empleo y la transformación del mercado de trabajo, y (ii) se resolvió no convocar la mesa de la Cámara para que se pronunciase en relación con la solicitud de que el diputado ejerciera su voto presencialmente, con anulación de su voto telemático, en esa concreta votación. La denunciada vulneración del derecho garantizado por el art. 23.2 CE se sustenta en que dichas decisiones serían contrarias, respectivamente, a los apartados cuarto y sexto de la resolución de la mesa del Congreso de 21 de mayo de 2012. Se alega que dichas decisiones son restrictivas del derecho del diputado y carecen de motivación.</w:t>
      </w:r>
    </w:p>
    <w:p w14:paraId="0E9861FD" w14:textId="77777777" w:rsidR="003754FE" w:rsidRDefault="003754FE" w:rsidP="003754FE">
      <w:pPr>
        <w:pStyle w:val="TextoNormal"/>
      </w:pPr>
    </w:p>
    <w:p w14:paraId="1C402BD6" w14:textId="77777777" w:rsidR="003754FE" w:rsidRDefault="003754FE" w:rsidP="003754FE">
      <w:pPr>
        <w:pStyle w:val="TextoNormal"/>
      </w:pPr>
      <w:r>
        <w:t xml:space="preserve">1. </w:t>
      </w:r>
      <w:r w:rsidRPr="003754FE">
        <w:rPr>
          <w:i/>
        </w:rPr>
        <w:t>Principio de presencialidad del voto de los parlamentarios y excepcionalidad del voto telemático</w:t>
      </w:r>
    </w:p>
    <w:p w14:paraId="43BD1E3F" w14:textId="77777777" w:rsidR="003754FE" w:rsidRDefault="003754FE" w:rsidP="003754FE">
      <w:pPr>
        <w:pStyle w:val="TextoNormal"/>
      </w:pPr>
    </w:p>
    <w:p w14:paraId="603AF9C8" w14:textId="77777777" w:rsidR="003754FE" w:rsidRDefault="003754FE" w:rsidP="003754FE">
      <w:pPr>
        <w:pStyle w:val="TextoNormal"/>
      </w:pPr>
      <w:r>
        <w:lastRenderedPageBreak/>
        <w:t>La sentencia desestima la primera queja, que se refiere al modo de verificación de la emisión personal del voto telemático. El recurrente alegaba, en el primero de los aspectos discutidos en el recurso de amparo, que no se comprobó por vía telefónica la emisión del voto y su sentido, tal como exigía el apartado sexto de la resolución de la mesa del Congreso de 21 de mayo de 2012. La sentencia señala que esta resolución debe entenderse desplazada por los posteriores acuerdos de la mesa de la Cámara de 26 de octubre de 2021 y de 1 de febrero de 2022, conforme a los cuales la verificación no era telefónica, sino a través de la intranet del Congreso de los Diputados mediante la introducción de usuario y contraseña y con el sistema de doble paso con la elección del sentido del voto y su posterior confirmación, es decir, al modo de otras aplicaciones de uso habitual por los ciudadanos. De este procedimiento era conocedor el propio diputado recurrente, pues invocó tales acuerdos en su solicitud de voto telemático y emitió su voto conforme a dicho procedimiento.</w:t>
      </w:r>
    </w:p>
    <w:p w14:paraId="3701E205" w14:textId="77777777" w:rsidR="003754FE" w:rsidRDefault="003754FE" w:rsidP="003754FE">
      <w:pPr>
        <w:pStyle w:val="TextoNormal"/>
      </w:pPr>
    </w:p>
    <w:p w14:paraId="1A7F1D33" w14:textId="77777777" w:rsidR="003754FE" w:rsidRDefault="003754FE" w:rsidP="003754FE">
      <w:pPr>
        <w:pStyle w:val="TextoNormal"/>
      </w:pPr>
      <w:r>
        <w:t>Sin embargo, estimamos que el presente caso daba asimismo ocasión al Tribunal para reflexionar acerca de la distinta naturaleza del voto telemático y el presencial y sobre la excepcionalidad del voto telemático y, con ello, la posibilidad de dejar este sin efecto en favor del voto presencial posterior. Es sabido que de la doctrina constitucional se deriva una preferencia muy cualificada por el voto presencial, en tanto que este tribunal ha declarado que la regla general de la función representativa es la presencialidad (SSTC 19/2019, de 12 de febrero; 45/2019, de 27 de marzo; 65/2022, de 31 de mayo, y 86/2024, de 3 de junio, por todas).</w:t>
      </w:r>
    </w:p>
    <w:p w14:paraId="41FC5AE9" w14:textId="77777777" w:rsidR="003754FE" w:rsidRDefault="003754FE" w:rsidP="003754FE">
      <w:pPr>
        <w:pStyle w:val="TextoNormal"/>
      </w:pPr>
    </w:p>
    <w:p w14:paraId="6195708B" w14:textId="77777777" w:rsidR="003754FE" w:rsidRDefault="003754FE" w:rsidP="003754FE">
      <w:pPr>
        <w:pStyle w:val="TextoNormal"/>
      </w:pPr>
      <w:r>
        <w:t>Los representantes de la soberanía popular ejercen su función representativa de modo personal y directo, siendo el voto también personal y directo, por la propia naturaleza de la función que ejercen en nombre del pueblo al que representan. De hecho, y no solo en el Reglamento del Congreso de los Diputados, sino también en otros reglamentos de asambleas legislativas autonómicas, el voto telemático se estableció como una posibilidad abierta exclusivamente para los casos de “embarazo, maternidad, paternidad y enfermedad grave”. Sucede ciertamente que en el marco de la crisis sanitaria provocada por la pandemia de la covid-19 esa posibilidad se amplió de tal forma que vino a generalizarse por las propias exigencias que derivaban de las limitaciones convivenciales establecidas, ante la necesidad de evitar riesgos de contagio.</w:t>
      </w:r>
    </w:p>
    <w:p w14:paraId="79067CAD" w14:textId="77777777" w:rsidR="003754FE" w:rsidRDefault="003754FE" w:rsidP="003754FE">
      <w:pPr>
        <w:pStyle w:val="TextoNormal"/>
      </w:pPr>
    </w:p>
    <w:p w14:paraId="55F20161" w14:textId="77777777" w:rsidR="003754FE" w:rsidRDefault="003754FE" w:rsidP="003754FE">
      <w:pPr>
        <w:pStyle w:val="TextoNormal"/>
      </w:pPr>
      <w:r>
        <w:t>El presente recurso de amparo se plantea más de dos años después del primer decreto de estado de alarma dictado para afrontar esa excepcional crisis sanitaria, pero aún seguía siendo elevado el número de peticionarios del voto telemático, pese a que ya no regían las referidas limitaciones convivenciales. Se suscita la duda acerca de si podía seguirse aplicando el procedimiento notablemente más flexible de voto telemático establecido en los acuerdos de la mesa del Congreso de 26 de octubre de 2021 y de 1 de febrero de 2022 (verificación a través de la intranet del Congreso mediante la introducción de usuario y contraseña, y con el sistema de doble paso) o volvía a resultar aplicable lo dispuesto en el apartado sexto de la resolución de la mesa del Congreso de 21 de mayo de 2012 (verificación por vía telefónica), pues lo que nos parece obvio, de acuerdo con el sistema de fuentes parlamentarias, es que la referida resolución no fue derogada por los citados acuerdos. Una resolución de carácter general del Congreso de los Diputados no puede ser derogada ni reformada por acuerdos de la mesa, que, a diferencia de aquella, no gozan de la misma publicidad (los acuerdos no se publican en el “Boletín Oficial de las Cortes Generales”), ni precisan del parecen favorable de la junta de portavoces.</w:t>
      </w:r>
    </w:p>
    <w:p w14:paraId="6A016A99" w14:textId="77777777" w:rsidR="003754FE" w:rsidRDefault="003754FE" w:rsidP="003754FE">
      <w:pPr>
        <w:pStyle w:val="TextoNormal"/>
      </w:pPr>
    </w:p>
    <w:p w14:paraId="4585D1C4" w14:textId="77777777" w:rsidR="003754FE" w:rsidRDefault="003754FE" w:rsidP="003754FE">
      <w:pPr>
        <w:pStyle w:val="TextoNormal"/>
      </w:pPr>
      <w:r>
        <w:t>En todo caso, tiene todo el sentido que, siendo el voto telemático excepcional y necesitado de justificación, prevalezca sobre él la regla general, esto es, el voto presencial. La práctica totalidad de los parlamentos en nuestro país permiten a sus miembros que, una vez han emitido su voto telemático, puedan dejarlo sin efecto y votar presencialmente, con lo que es posible cambiar el voto telemático desde el momento en el que fue emitido. Este era el caso del Congreso de los Diputados: el diputado que hubiera emitido su voto telemático podía hacerlo presencialmente, modificando el sentido de su voto si la mesa de la Cámara lo autorizaba expresamente.</w:t>
      </w:r>
    </w:p>
    <w:p w14:paraId="105B6D19" w14:textId="77777777" w:rsidR="003754FE" w:rsidRDefault="003754FE" w:rsidP="003754FE">
      <w:pPr>
        <w:pStyle w:val="TextoNormal"/>
      </w:pPr>
    </w:p>
    <w:p w14:paraId="6A97E969" w14:textId="77777777" w:rsidR="003754FE" w:rsidRDefault="003754FE" w:rsidP="003754FE">
      <w:pPr>
        <w:pStyle w:val="TextoNormal"/>
      </w:pPr>
      <w:r>
        <w:t>Por eso, creemos que el presente caso permitía al Tribunal plantearse con más profundidad la relación entre el voto presencial y el telemático, en particular para determinar, siquiera principalmente, en qué supuestos y condiciones es posible la revocación del voto telemático previamente emitido o, más bien, en que supuestos no sería posible dicha revocación, fijando así doctrina general respecto al voto telemático y no limitándose, como ha hecho la sentencia, a la resolución del supuesto concreto planteado.</w:t>
      </w:r>
    </w:p>
    <w:p w14:paraId="64A408B2" w14:textId="77777777" w:rsidR="003754FE" w:rsidRDefault="003754FE" w:rsidP="003754FE">
      <w:pPr>
        <w:pStyle w:val="TextoNormal"/>
      </w:pPr>
    </w:p>
    <w:p w14:paraId="5DE78F2D" w14:textId="77777777" w:rsidR="003754FE" w:rsidRDefault="003754FE" w:rsidP="003754FE">
      <w:pPr>
        <w:pStyle w:val="TextoNormal"/>
      </w:pPr>
      <w:r>
        <w:t>En ese sentido advertimos que el derecho garantizado por el art. 23.2 CE, en tanto que derecho de configuración legal, permite sostener que el parlamentario que manifestase que el sentido del voto es diferente del que ha emitido telemáticamente debe poder votar de manera presencial, anulando su voto anterior, en atención a las garantías de identidad y sentido de su voto, cuando el voto telemático está viciado por un error no atribuible al diputado, o cuando este no ha podido votar por causas ajenas a su voluntad. En estos casos, el previo voto telemático ha de poder ser revocado. Revocación que, por el contrario, no es posible (como tampoco lo sería en el caso del voto presencial) en aquellos casos en los que la discrepancia entre la voluntad del diputado y el voto efectivamente emitido deriva de un error del diputado, como ocurre en el caso que aquí se resuelve.</w:t>
      </w:r>
    </w:p>
    <w:p w14:paraId="3CA2A566" w14:textId="77777777" w:rsidR="003754FE" w:rsidRDefault="003754FE" w:rsidP="003754FE">
      <w:pPr>
        <w:pStyle w:val="TextoNormal"/>
      </w:pPr>
    </w:p>
    <w:p w14:paraId="296D04CE" w14:textId="77777777" w:rsidR="003754FE" w:rsidRDefault="003754FE" w:rsidP="003754FE">
      <w:pPr>
        <w:pStyle w:val="TextoNormal"/>
      </w:pPr>
      <w:r>
        <w:t xml:space="preserve">2. </w:t>
      </w:r>
      <w:r w:rsidRPr="003754FE">
        <w:rPr>
          <w:i/>
        </w:rPr>
        <w:t>La exigencia de interpretación más favorable al ejercicio de los derechos que integran el</w:t>
      </w:r>
      <w:r>
        <w:t xml:space="preserve"> ius in officium </w:t>
      </w:r>
      <w:r w:rsidRPr="003754FE">
        <w:rPr>
          <w:i/>
        </w:rPr>
        <w:t>de los parlamentarios y su incidencia en el presente caso</w:t>
      </w:r>
    </w:p>
    <w:p w14:paraId="72752217" w14:textId="77777777" w:rsidR="003754FE" w:rsidRDefault="003754FE" w:rsidP="003754FE">
      <w:pPr>
        <w:pStyle w:val="TextoNormal"/>
      </w:pPr>
    </w:p>
    <w:p w14:paraId="15B19615" w14:textId="77777777" w:rsidR="003754FE" w:rsidRDefault="003754FE" w:rsidP="003754FE">
      <w:pPr>
        <w:pStyle w:val="TextoNormal"/>
      </w:pPr>
      <w:r>
        <w:t>En cuanto a la segunda queja que plantea el diputado demandante de amparo, relativa a la necesidad de convocar la mesa de la Cámara para que decidiera sobre la revocación del voto telemático previamente emitido, la sentencia lo descarta con un argumento que es, en nuestra opinión, en extremo formalista. Se afirma que no consta que el diputado solicitara la revocación (lo solicitaron los miembros de la dirección del grupo parlamentario), y que tampoco se encontraba en la sesión plenaria al inicio de las votaciones, sino que accedió al hemiciclo al final de estas, y no emitió presencialmente su voto. Como no concurrían estas circunstancias, la decisión de no convocar la mesa no vulneró ni afectó al derecho del recurrente, según la sentencia.</w:t>
      </w:r>
    </w:p>
    <w:p w14:paraId="597769FF" w14:textId="77777777" w:rsidR="003754FE" w:rsidRDefault="003754FE" w:rsidP="003754FE">
      <w:pPr>
        <w:pStyle w:val="TextoNormal"/>
      </w:pPr>
    </w:p>
    <w:p w14:paraId="4F131DD6" w14:textId="77777777" w:rsidR="003754FE" w:rsidRDefault="003754FE" w:rsidP="003754FE">
      <w:pPr>
        <w:pStyle w:val="TextoNormal"/>
      </w:pPr>
      <w:r>
        <w:t>No compartimos ninguno de los dos argumentos.</w:t>
      </w:r>
    </w:p>
    <w:p w14:paraId="7CC6B285" w14:textId="77777777" w:rsidR="003754FE" w:rsidRDefault="003754FE" w:rsidP="003754FE">
      <w:pPr>
        <w:pStyle w:val="TextoNormal"/>
      </w:pPr>
    </w:p>
    <w:p w14:paraId="51B650B1" w14:textId="77777777" w:rsidR="003754FE" w:rsidRDefault="003754FE" w:rsidP="003754FE">
      <w:pPr>
        <w:pStyle w:val="TextoNormal"/>
      </w:pPr>
      <w:r>
        <w:t xml:space="preserve">El primero, la necesidad de solicitud personal de la revocación del voto telemático no tiene un ajuste claro con la doctrina de este tribunal que, como es sabido, otorga a los miembros de la dirección del grupo parlamentario la capacidad de representar a sus integrantes (SSTC 81/1991, de 22 de abril, y 361/2006, de 18 de diciembre). La sentencia que ahora se dicta alude al carácter personal del voto y se limita a afirmar, sin más explicación, que “la </w:t>
      </w:r>
      <w:r>
        <w:lastRenderedPageBreak/>
        <w:t>actuación personal del diputado en este sentido era imprescindible, no pudiendo ser reemplazada por la intervención de su grupo parlamentario”. Sin embargo, los miembros de la dirección del grupo parlamentario no pretendían modificar ese carácter personal del voto, sino transmitir la solicitud del diputado, pidiendo su revocación por el procedimiento oportuno, que es cosa bien distinta.</w:t>
      </w:r>
    </w:p>
    <w:p w14:paraId="42C37C04" w14:textId="77777777" w:rsidR="003754FE" w:rsidRDefault="003754FE" w:rsidP="003754FE">
      <w:pPr>
        <w:pStyle w:val="TextoNormal"/>
      </w:pPr>
    </w:p>
    <w:p w14:paraId="51DB8895" w14:textId="77777777" w:rsidR="003754FE" w:rsidRDefault="003754FE" w:rsidP="003754FE">
      <w:pPr>
        <w:pStyle w:val="TextoNormal"/>
      </w:pPr>
      <w:r>
        <w:t>Y la afirmación de que el diputado no estuviera presente al inicio de las votaciones obvia que, cuando los miembros de la dirección del grupo parlamentario transmiten la solicitud de revocación, la votación no se había iniciado, como la propia sentencia reconoce. Según consta en los antecedentes, cuando el problema de la discrepancia entre el voto telemático y la decisión del diputado se plantea ya se había producido la llamada a la votación, pero la sesión plenaria no se había reanudado todavía. Así lo ponen de manifiesto las alegaciones del Congreso de los Diputados (antecedente 15) y lo asume nuestra sentencia en su fundamento jurídico 5, lo que hace todavía más patente que debió tenerse en cuenta tanto la necesidad de una interpretación más favorable a la eficacia de los derechos como la exigencia de motivación.</w:t>
      </w:r>
    </w:p>
    <w:p w14:paraId="7F142C48" w14:textId="77777777" w:rsidR="003754FE" w:rsidRDefault="003754FE" w:rsidP="003754FE">
      <w:pPr>
        <w:pStyle w:val="TextoNormal"/>
      </w:pPr>
    </w:p>
    <w:p w14:paraId="3E47D99D" w14:textId="77777777" w:rsidR="003754FE" w:rsidRDefault="003754FE" w:rsidP="003754FE">
      <w:pPr>
        <w:pStyle w:val="TextoNormal"/>
      </w:pPr>
      <w:r>
        <w:t xml:space="preserve">A nuestro juicio, los órganos parlamentarios deben realizar una interpretación restrictiva de todas aquellas normas que puedan suponer una limitación al ejercicio de aquellos derechos que integran el </w:t>
      </w:r>
      <w:r w:rsidRPr="003754FE">
        <w:rPr>
          <w:i/>
        </w:rPr>
        <w:t>ius in officium</w:t>
      </w:r>
      <w:r>
        <w:t xml:space="preserve"> del representante público, así como motivar las razones de su aplicación. En ese sentido, la intervención de la mesa del Congreso no es un asunto baladí ya que, conforme a la ya mencionada resolución de 21 de mayo de 2012, la mesa de la Cámara es el único órgano autorizado para declarar nulo y no emitido el voto telemático y permitir el voto presencial a aquellos diputados que hubieran votado a distancia (apartado sexto).</w:t>
      </w:r>
    </w:p>
    <w:p w14:paraId="33BA0147" w14:textId="77777777" w:rsidR="003754FE" w:rsidRDefault="003754FE" w:rsidP="003754FE">
      <w:pPr>
        <w:pStyle w:val="TextoNormal"/>
      </w:pPr>
    </w:p>
    <w:p w14:paraId="357B5B87" w14:textId="77777777" w:rsidR="003754FE" w:rsidRDefault="003754FE" w:rsidP="003754FE">
      <w:pPr>
        <w:pStyle w:val="TextoNormal"/>
      </w:pPr>
      <w:r>
        <w:t xml:space="preserve">Dado lo anterior es claro que, aunque se llegue a la conclusión de que las decisiones de la presidenta del Congreso no vulneraron el art. 23.2 CE, esta conclusión no exime del examen de la posible afectación del </w:t>
      </w:r>
      <w:r w:rsidRPr="003754FE">
        <w:rPr>
          <w:i/>
        </w:rPr>
        <w:t>ius in officium</w:t>
      </w:r>
      <w:r>
        <w:t xml:space="preserve"> del diputado recurrente. En este recurso de amparo se plantea que un diputado ha sido privado de la posibilidad de ejercicio del derecho al voto presencial, posibilidad expresamente prevista en la resolución de 21 de mayo de 2012, en los casos en que la mesa autorizara a quien había ejercido ya el voto telemático (apartado sexto).</w:t>
      </w:r>
    </w:p>
    <w:p w14:paraId="53B30C98" w14:textId="77777777" w:rsidR="003754FE" w:rsidRDefault="003754FE" w:rsidP="003754FE">
      <w:pPr>
        <w:pStyle w:val="TextoNormal"/>
      </w:pPr>
    </w:p>
    <w:p w14:paraId="75FD625D" w14:textId="77777777" w:rsidR="003754FE" w:rsidRDefault="003754FE" w:rsidP="003754FE">
      <w:pPr>
        <w:pStyle w:val="TextoNormal"/>
      </w:pPr>
      <w:r>
        <w:t>Por ello, la entidad de la afectación al derecho del diputado y la necesidad de mantener una interpretación favorable al ejercicio de ese derecho, teniendo en cuenta, además, la excepcionalidad del voto telemático a la que antes se ha hecho referencia, habría debido llevar a la decisión de convocar la reunión de la mesa del Congreso. Sin embargo, el hecho es que la presidenta de la Cámara tomó la decisión cuestionada sin reunir previamente al órgano que, conforme a la resolución de 21 de mayo de 2012, es el encargado de autorizar el voto presencial de un diputado que ha emitido su voto de manera telemática, declarando este último nulo.</w:t>
      </w:r>
    </w:p>
    <w:p w14:paraId="43F8A0BB" w14:textId="77777777" w:rsidR="003754FE" w:rsidRDefault="003754FE" w:rsidP="003754FE">
      <w:pPr>
        <w:pStyle w:val="TextoNormal"/>
      </w:pPr>
    </w:p>
    <w:p w14:paraId="4B6E86CC" w14:textId="77777777" w:rsidR="003754FE" w:rsidRDefault="003754FE" w:rsidP="003754FE">
      <w:pPr>
        <w:pStyle w:val="TextoNormal"/>
      </w:pPr>
      <w:r>
        <w:t xml:space="preserve">Como consta en la sentencia, la presidenta pidió información a la Dirección de Tecnologías de la Información y de las Comunicaciones del Congreso acerca de si había habido algún problema técnico en la votación telemática, a lo que dicha unidad contestó negativamente. En consecuencia, la presidenta informó a los representantes del Grupo Parlamentario Popular y a los miembros de la mesa del Congreso en ese momento presentes que, al no </w:t>
      </w:r>
      <w:r>
        <w:lastRenderedPageBreak/>
        <w:t>haber existido error técnico alguno, no cabía la anulación del voto telemático y la posibilidad de que el diputado votase presencialmente.</w:t>
      </w:r>
    </w:p>
    <w:p w14:paraId="3BA4CD63" w14:textId="77777777" w:rsidR="003754FE" w:rsidRDefault="003754FE" w:rsidP="003754FE">
      <w:pPr>
        <w:pStyle w:val="TextoNormal"/>
      </w:pPr>
    </w:p>
    <w:p w14:paraId="2545E0FA" w14:textId="77777777" w:rsidR="003754FE" w:rsidRDefault="003754FE" w:rsidP="003754FE">
      <w:pPr>
        <w:pStyle w:val="TextoNormal"/>
      </w:pPr>
      <w:r>
        <w:t>No cabe tildar de irrazonable o inmotivada esa respuesta en cuanto al fondo del asunto debatido, pero el problema es otro. La entidad de la cuestión y la propia regulación interna de la Cámara reclamaban que la presidenta del Congreso, además de cumplir con la debida diligencia la comprobación del sentido del voto del diputado, convocara a la mesa para que esta dirimiera si se podía o no permitir al diputado votar presencialmente. La presidenta del Congreso de los Diputados no tiene la función de decidir si un diputado puede o no puede votar presencialmente, pues eso, conforme al propio ordenamiento parlamentario, corresponde decidirlo a la mesa de la Cámara. Y ello con independencia de que, atendiendo a las circunstancias del caso, la decisión de no permitir al diputado recurrente votar presencialmente, pueda ser considerada razonable y motivada. Es decir, aunque en ningún caso la decisión de la mesa del Congreso hubiera podido ser otra, es la propia mesa la que hubiera debido acordarlo así.</w:t>
      </w:r>
    </w:p>
    <w:p w14:paraId="6B009DCD" w14:textId="77777777" w:rsidR="003754FE" w:rsidRDefault="003754FE" w:rsidP="003754FE">
      <w:pPr>
        <w:pStyle w:val="TextoNormal"/>
      </w:pPr>
    </w:p>
    <w:p w14:paraId="4A961DB7" w14:textId="77777777" w:rsidR="003754FE" w:rsidRDefault="003754FE" w:rsidP="003754FE">
      <w:pPr>
        <w:pStyle w:val="TextoNormal"/>
      </w:pPr>
      <w:r>
        <w:t xml:space="preserve">Son precisamente las concretas circunstancias del caso, expuestas pormenorizadamente en la sentencia, y en particular la evidencia de que no existió incidencia técnica alguna o errores no imputables al diputado que afectasen al voto telemáticamente emitido, las que, en nuestra opinión, hacen que, en este supuesto, pese a la incorrección que supone la decisión de la presidenta de no convocar la mesa del Congreso, pueda concluirse, si bien de manera diferente a la de la sentencia, que no se ha vulnerado el </w:t>
      </w:r>
      <w:r w:rsidRPr="003754FE">
        <w:rPr>
          <w:i/>
        </w:rPr>
        <w:t>ius in officium</w:t>
      </w:r>
      <w:r>
        <w:t xml:space="preserve"> del diputado recurrente en amparo.</w:t>
      </w:r>
    </w:p>
    <w:p w14:paraId="785EBA3A" w14:textId="77777777" w:rsidR="003754FE" w:rsidRDefault="003754FE" w:rsidP="003754FE">
      <w:pPr>
        <w:pStyle w:val="TextoNormal"/>
      </w:pPr>
    </w:p>
    <w:p w14:paraId="7DB6E8D4" w14:textId="651B3A47" w:rsidR="003754FE" w:rsidRDefault="003754FE" w:rsidP="003754FE">
      <w:pPr>
        <w:pStyle w:val="TextoNormal"/>
      </w:pPr>
      <w:r>
        <w:t>Madrid, a once de septiembre de dos mil veinticuatro.</w:t>
      </w:r>
    </w:p>
    <w:p w14:paraId="372249D4" w14:textId="39770D87" w:rsidR="003754FE" w:rsidRDefault="003754FE">
      <w:pPr>
        <w:spacing w:after="160" w:line="278" w:lineRule="auto"/>
        <w:rPr>
          <w:rFonts w:ascii="Times New Roman" w:eastAsia="Times New Roman" w:hAnsi="Times New Roman" w:cs="Times New Roman"/>
          <w:sz w:val="24"/>
          <w:szCs w:val="24"/>
          <w:lang w:eastAsia="es-ES"/>
        </w:rPr>
      </w:pPr>
      <w:r>
        <w:br w:type="page"/>
      </w:r>
    </w:p>
    <w:p w14:paraId="042FAA75" w14:textId="77777777" w:rsidR="003754FE" w:rsidRDefault="003754FE" w:rsidP="003754FE">
      <w:pPr>
        <w:pStyle w:val="TtuloResolucin"/>
      </w:pPr>
      <w:bookmarkStart w:id="24" w:name="SENTENCIA_2024_115"/>
      <w:r>
        <w:lastRenderedPageBreak/>
        <w:t>SENTENCIA 115/2024, de 23 de septiembre de 2024</w:t>
      </w:r>
    </w:p>
    <w:bookmarkEnd w:id="24"/>
    <w:p w14:paraId="75076848" w14:textId="77777777" w:rsidR="003754FE" w:rsidRDefault="003754FE" w:rsidP="003754FE">
      <w:pPr>
        <w:pStyle w:val="TtuloResolucin"/>
      </w:pPr>
      <w:r>
        <w:t>Sala Segunda</w:t>
      </w:r>
    </w:p>
    <w:p w14:paraId="3E5874E7" w14:textId="77777777" w:rsidR="003754FE" w:rsidRDefault="003754FE" w:rsidP="003754FE">
      <w:pPr>
        <w:pStyle w:val="TtuloBOE"/>
      </w:pPr>
      <w:r>
        <w:t>(BOE núm. 264, de 1 de noviembre de 2024)</w:t>
      </w:r>
    </w:p>
    <w:p w14:paraId="03F5DA78" w14:textId="77777777" w:rsidR="003754FE" w:rsidRDefault="003754FE" w:rsidP="003754FE">
      <w:pPr>
        <w:pStyle w:val="TextoNormalCentrado"/>
      </w:pPr>
      <w:r>
        <w:t>ECLI:ES:TC:2024:115</w:t>
      </w:r>
    </w:p>
    <w:p w14:paraId="5545C658" w14:textId="70D7055E" w:rsidR="003754FE" w:rsidRDefault="003754FE" w:rsidP="003754FE">
      <w:pPr>
        <w:pStyle w:val="TextoNormalCentrado"/>
      </w:pPr>
    </w:p>
    <w:p w14:paraId="5B06E860" w14:textId="77777777" w:rsidR="003754FE" w:rsidRDefault="003754FE" w:rsidP="003754FE">
      <w:pPr>
        <w:pStyle w:val="SntesisDescriptiva"/>
      </w:pPr>
      <w:r>
        <w:t>Recurso de amparo 3901-2021. Promovido por doña V.F.C., en relación con los autos dictados por la Audiencia Provincial de Gipuzkoa y un juzgado de violencia sobre la mujer de San Sebastián en proceso de ejecución de sentencia.</w:t>
      </w:r>
    </w:p>
    <w:p w14:paraId="63A701E8" w14:textId="19011ECA" w:rsidR="003754FE" w:rsidRDefault="003754FE" w:rsidP="003754FE">
      <w:pPr>
        <w:pStyle w:val="SntesisDescriptiva"/>
      </w:pPr>
    </w:p>
    <w:p w14:paraId="4C28DF58" w14:textId="77777777" w:rsidR="003754FE" w:rsidRDefault="003754FE" w:rsidP="003754FE">
      <w:pPr>
        <w:pStyle w:val="SntesisAnaltica"/>
      </w:pPr>
      <w:r>
        <w:t>Vulneración del derecho a la tutela judicial efectiva (motivación): resoluciones judiciales que no satisfacen la obligación de motivación reforzada al pronunciarse sobre el régimen de visitas en un contexto de violencia de género. Votos particulares.</w:t>
      </w:r>
    </w:p>
    <w:p w14:paraId="67E59C2B" w14:textId="6EA507CB" w:rsidR="003754FE" w:rsidRDefault="003754FE" w:rsidP="003754FE">
      <w:pPr>
        <w:pStyle w:val="SntesisAnaltica"/>
      </w:pPr>
    </w:p>
    <w:p w14:paraId="4118AEDA" w14:textId="45B7A5B6" w:rsidR="003754FE" w:rsidRDefault="003754FE" w:rsidP="003754FE">
      <w:pPr>
        <w:pStyle w:val="Extracto"/>
      </w:pPr>
      <w:r>
        <w:t>1.</w:t>
      </w:r>
      <w:r>
        <w:tab/>
        <w:t>Existe un deber legal de interpretación y aplicación de las normas jurídicas que busque la igualdad real entre mujeres y hombres y la ruptura con la perpetuación de los roles de género. Un deber para cuya delimitación habrá de acudirse a los tratados y convenios internacionales y que no es ajeno a nuestro texto constitucional, en virtud de cuyo art. 10.2 estamos obligados a interpretar que los delitos de violencia de género han de reputarse como la forma más grave de discriminación contra la mujer [FJ 3].</w:t>
      </w:r>
    </w:p>
    <w:p w14:paraId="5B886B5B" w14:textId="77777777" w:rsidR="003754FE" w:rsidRDefault="003754FE" w:rsidP="003754FE">
      <w:pPr>
        <w:pStyle w:val="Extracto"/>
      </w:pPr>
    </w:p>
    <w:p w14:paraId="4BE13D45" w14:textId="2C531015" w:rsidR="003754FE" w:rsidRDefault="003754FE" w:rsidP="003754FE">
      <w:pPr>
        <w:pStyle w:val="Extracto"/>
      </w:pPr>
      <w:r>
        <w:t>2.</w:t>
      </w:r>
      <w:r>
        <w:tab/>
        <w:t>En atención al deber legal de aplicación por nuestros poderes públicos del principio transversal de la igualdad de género y en virtud del art. 10.2 CE, parámetro interpretativo insoslayable de nuestro sistema de derechos y libertades (SSTC 19/2023 o 61/2024), en el ejercicio de sus funciones los jueces deben ser muy conscientes de las dinámicas de sometimiento inherentes a la violencia de género que impactan negativamente en las mujeres que han sido víctimas, no pudiendo asumir que el interés superior del menor es equivalente siempre a mantener relaciones con ambos progenitores [FJ 3].</w:t>
      </w:r>
    </w:p>
    <w:p w14:paraId="5D6E9BAE" w14:textId="77777777" w:rsidR="003754FE" w:rsidRDefault="003754FE" w:rsidP="003754FE">
      <w:pPr>
        <w:pStyle w:val="Extracto"/>
      </w:pPr>
    </w:p>
    <w:p w14:paraId="6D089DF4" w14:textId="00E08A2B" w:rsidR="003754FE" w:rsidRDefault="003754FE" w:rsidP="003754FE">
      <w:pPr>
        <w:pStyle w:val="Extracto"/>
      </w:pPr>
      <w:r>
        <w:t>3.</w:t>
      </w:r>
      <w:r>
        <w:tab/>
        <w:t>Requerir judicialmente a la progenitora custodia una actitud favorecedora de la realización del régimen de visitas y/o estancias establecido en un proceso de divorcio contencioso, o presumir en sede judicial que el interés superior del menor solo quedará preservado en un contexto en el que se favorezcan las relaciones con el padre no custodio, contraviene el canon de motivación exigido por el art. 24.1 CE que es reforzado cuando afecta a derechos fundamentales o valores superiores de nuestro ordenamiento [FJ 4].</w:t>
      </w:r>
    </w:p>
    <w:p w14:paraId="3615CBB8" w14:textId="77777777" w:rsidR="003754FE" w:rsidRDefault="003754FE" w:rsidP="003754FE">
      <w:pPr>
        <w:pStyle w:val="Extracto"/>
      </w:pPr>
    </w:p>
    <w:p w14:paraId="7BA8CC71" w14:textId="4F865A84" w:rsidR="003754FE" w:rsidRDefault="003754FE" w:rsidP="003754FE">
      <w:pPr>
        <w:pStyle w:val="Extracto"/>
      </w:pPr>
      <w:r>
        <w:t>4.</w:t>
      </w:r>
      <w:r>
        <w:tab/>
        <w:t>La exigencia judicial de una actitud proactiva a una de las partes, en relación con el cumplimiento del régimen de visitas y estancias en favor de su presunto agresor, desconociendo con ello las vulneraciones de derechos -empezando por la igualdad- que lleva aparejado todo incidente de violencia de género, incurre en una conculcación del deber de motivación reforzada que para estos casos impone el art. 24.1 CE [FJ 4].</w:t>
      </w:r>
    </w:p>
    <w:p w14:paraId="166432B4" w14:textId="77777777" w:rsidR="003754FE" w:rsidRDefault="003754FE" w:rsidP="003754FE">
      <w:pPr>
        <w:pStyle w:val="Extracto"/>
      </w:pPr>
    </w:p>
    <w:p w14:paraId="39474237" w14:textId="77777777" w:rsidR="003754FE" w:rsidRDefault="003754FE" w:rsidP="003754FE">
      <w:pPr>
        <w:pStyle w:val="Extracto"/>
      </w:pPr>
    </w:p>
    <w:p w14:paraId="577C798C" w14:textId="77777777" w:rsidR="003754FE" w:rsidRDefault="003754FE" w:rsidP="003754FE">
      <w:pPr>
        <w:pStyle w:val="TextoNormal"/>
      </w:pPr>
      <w:r>
        <w:t xml:space="preserve">La Sala Segunda del Tribunal Constitucional, compuesta por la magistrada doña Inmaculada Montalbán Huertas, presidenta, y las magistradas y magistrados doña María Luisa </w:t>
      </w:r>
      <w:r>
        <w:lastRenderedPageBreak/>
        <w:t>Balaguer Callejón, don Ramón Sáez Valcárcel, don Enrique Arnaldo Alcubilla, don César Tolosa Tribiño y doña Laura Díez Bueso, ha pronunciado</w:t>
      </w:r>
    </w:p>
    <w:p w14:paraId="65A1BA52" w14:textId="2B437F6E" w:rsidR="003754FE" w:rsidRDefault="003754FE" w:rsidP="003754FE">
      <w:pPr>
        <w:pStyle w:val="TextoNormal"/>
      </w:pPr>
    </w:p>
    <w:p w14:paraId="4671E5CF" w14:textId="77777777" w:rsidR="003754FE" w:rsidRDefault="003754FE" w:rsidP="003754FE">
      <w:pPr>
        <w:pStyle w:val="TextoNormalCentrado"/>
        <w:keepNext/>
      </w:pPr>
      <w:r>
        <w:t>EN NOMBRE DEL REY</w:t>
      </w:r>
    </w:p>
    <w:p w14:paraId="1BF5D2C1" w14:textId="40A2F3DB" w:rsidR="003754FE" w:rsidRDefault="003754FE" w:rsidP="003754FE">
      <w:pPr>
        <w:pStyle w:val="TextoNormalCentrado"/>
        <w:keepNext/>
      </w:pPr>
    </w:p>
    <w:p w14:paraId="3F25AF54" w14:textId="77777777" w:rsidR="003754FE" w:rsidRDefault="003754FE" w:rsidP="003754FE">
      <w:pPr>
        <w:pStyle w:val="TextoNormalCentrado"/>
        <w:keepNext/>
      </w:pPr>
    </w:p>
    <w:p w14:paraId="02B9788B" w14:textId="77777777" w:rsidR="003754FE" w:rsidRDefault="003754FE" w:rsidP="003754FE">
      <w:pPr>
        <w:pStyle w:val="TextoNormal"/>
      </w:pPr>
      <w:r>
        <w:t>la siguiente</w:t>
      </w:r>
    </w:p>
    <w:p w14:paraId="13467A43" w14:textId="11CD0EB2" w:rsidR="003754FE" w:rsidRDefault="003754FE" w:rsidP="003754FE">
      <w:pPr>
        <w:pStyle w:val="TextoNormal"/>
      </w:pPr>
    </w:p>
    <w:p w14:paraId="07BD04F5" w14:textId="77777777" w:rsidR="003754FE" w:rsidRDefault="003754FE" w:rsidP="003754FE">
      <w:pPr>
        <w:pStyle w:val="TextoNormalCentrado"/>
        <w:keepNext/>
      </w:pPr>
      <w:r>
        <w:t>SENTENCIA</w:t>
      </w:r>
    </w:p>
    <w:p w14:paraId="0653A232" w14:textId="51821DC6" w:rsidR="003754FE" w:rsidRDefault="003754FE" w:rsidP="003754FE">
      <w:pPr>
        <w:pStyle w:val="TextoNormalCentrado"/>
        <w:keepNext/>
      </w:pPr>
    </w:p>
    <w:p w14:paraId="181BC6C8" w14:textId="77777777" w:rsidR="003754FE" w:rsidRDefault="003754FE" w:rsidP="003754FE">
      <w:pPr>
        <w:pStyle w:val="TextoNormal"/>
      </w:pPr>
      <w:r>
        <w:t>En el recurso de amparo núm. 3901-2021, promovido por doña V.F.C., representada por la procuradora de los tribunales doña Estrella Moyano Cabrera y bajo la asistencia letrada de doña María del Rosario Cañete Aguado, contra el auto núm. 56/2021, de 26 de abril, dictado por la Sección Segunda de la Audiencia Provincial de Guipúzcoa en el recurso de apelación núm. 2071-2021; contra el auto núm. 28/2020, de 26 de agosto, dictado por el Juzgado de Violencia sobre la Mujer de San Sebastián en recurso de oposición núm. 70-2020; y contra el auto de 3 de marzo de 2020, dictado por el mismo Juzgado de Violencia sobre la Mujer en proceso de ejecución núm. 331-2020, para el cumplimiento del régimen de visitas establecido en sentencia de 22 de diciembre de 2017 dictada en el proceso de divorcio contencioso núm. 53-2017. Ha comparecido don F.L.D.B., representado por el procurador don Manuel Díaz Alfonso y asistido por el abogado don Felipe Fernando Mateo Bueno. Ha intervenido el Ministerio Fiscal. Ha sido ponente la magistrada doña María Luisa Balaguer Callejón.</w:t>
      </w:r>
    </w:p>
    <w:p w14:paraId="51762B02" w14:textId="2E80A3E1" w:rsidR="003754FE" w:rsidRDefault="003754FE" w:rsidP="003754FE">
      <w:pPr>
        <w:pStyle w:val="TextoNormal"/>
      </w:pPr>
    </w:p>
    <w:p w14:paraId="260974F5" w14:textId="77777777" w:rsidR="003754FE" w:rsidRDefault="003754FE" w:rsidP="003754FE">
      <w:pPr>
        <w:pStyle w:val="TextoNormalNegritaCentrado"/>
        <w:keepNext/>
      </w:pPr>
      <w:r>
        <w:t>I. Antecedentes</w:t>
      </w:r>
    </w:p>
    <w:p w14:paraId="1A254A9E" w14:textId="23AC5A1B" w:rsidR="003754FE" w:rsidRDefault="003754FE" w:rsidP="003754FE">
      <w:pPr>
        <w:pStyle w:val="TextoNormalNegritaCentrado"/>
        <w:keepNext/>
      </w:pPr>
    </w:p>
    <w:p w14:paraId="65076360" w14:textId="24B02FF2" w:rsidR="003754FE" w:rsidRDefault="003754FE" w:rsidP="003754FE">
      <w:pPr>
        <w:pStyle w:val="TextoNormal"/>
      </w:pPr>
      <w:r w:rsidRPr="003754FE">
        <w:rPr>
          <w:rStyle w:val="NumeroAFNegritaCaracter"/>
        </w:rPr>
        <w:t>1</w:t>
      </w:r>
      <w:r>
        <w:t>. Mediante escrito registrado en este tribunal el 10 de junio de 2021, la procuradora de los tribunales doña Estrella Moyano Cabrera, en nombre y representación de doña V.F.C., bajo la asistencia letrada de doña María del Rosario Cañete Aguado, interpuso recurso de amparo contra las resoluciones judiciales citadas en el encabezamiento de esta sentencia.</w:t>
      </w:r>
    </w:p>
    <w:p w14:paraId="34B9976E" w14:textId="77777777" w:rsidR="003754FE" w:rsidRDefault="003754FE" w:rsidP="003754FE">
      <w:pPr>
        <w:pStyle w:val="TextoNormal"/>
      </w:pPr>
    </w:p>
    <w:p w14:paraId="6BA0ABCE" w14:textId="77777777" w:rsidR="003754FE" w:rsidRDefault="003754FE" w:rsidP="003754FE">
      <w:pPr>
        <w:pStyle w:val="TextoNormal"/>
      </w:pPr>
      <w:r w:rsidRPr="003754FE">
        <w:rPr>
          <w:rStyle w:val="NumeroAFNegritaCaracter"/>
        </w:rPr>
        <w:t>2</w:t>
      </w:r>
      <w:r>
        <w:t>. Los antecedentes procesales relevantes para resolver las pretensiones planteadas son los siguientes:</w:t>
      </w:r>
    </w:p>
    <w:p w14:paraId="2E643B13" w14:textId="77777777" w:rsidR="003754FE" w:rsidRDefault="003754FE" w:rsidP="003754FE">
      <w:pPr>
        <w:pStyle w:val="TextoNormal"/>
      </w:pPr>
    </w:p>
    <w:p w14:paraId="4F800F7F" w14:textId="77777777" w:rsidR="003754FE" w:rsidRDefault="003754FE" w:rsidP="003754FE">
      <w:pPr>
        <w:pStyle w:val="TextoNormal"/>
      </w:pPr>
      <w:r>
        <w:t>a) La demandante de amparo contrajo matrimonio con don F.L.D.B., con quien tuvo una hija el 20 de febrero de 2017. El padre abandonó el domicilio familiar el día 27 de febrero del mismo año, bloqueando el teléfono móvil e impidiendo cualquier contacto con él. El 8 de marzo, doña V.F.C., presentó demanda de divorcio, de la que conoció el Juzgado de Primera Instancia núm. 6 de San Sebastián. En el escrito se solicitaba la atribución a la madre de la guarda y custodia de la hija común, la atribución a la madre de modo exclusivo del ejercicio de la patria potestad sobre la menor y el establecimiento de un régimen de visitas del padre con la hija consistente en dos sábados al mes entre las 17:00 y las 19:00 horas, siempre bajo la supervisión de un familiar de la madre.</w:t>
      </w:r>
    </w:p>
    <w:p w14:paraId="5C2FE56F" w14:textId="77777777" w:rsidR="003754FE" w:rsidRDefault="003754FE" w:rsidP="003754FE">
      <w:pPr>
        <w:pStyle w:val="TextoNormal"/>
      </w:pPr>
    </w:p>
    <w:p w14:paraId="150D0341" w14:textId="77777777" w:rsidR="003754FE" w:rsidRDefault="003754FE" w:rsidP="003754FE">
      <w:pPr>
        <w:pStyle w:val="TextoNormal"/>
      </w:pPr>
      <w:r>
        <w:t xml:space="preserve">b) En el curso de dicho procedimiento, y al tener conocimiento en el acto de la vista de la existencia de unos posibles malos tratos por parte del demandado contra doña V.F.C., el </w:t>
      </w:r>
      <w:r>
        <w:lastRenderedPageBreak/>
        <w:t>Ministerio Fiscal formuló denuncia por tres delitos de violencia de género ante el Juzgado de Violencia sobre la Mujer de San Sebastián, que procedió a incoar diligencias previas para investigar las presuntas infracciones penales y asumió la competencia para conocer del procedimiento de divorcio, identificado con el núm. 53-2017. El 31 de marzo de 2017, el Juzgado de Primera Instancia núm. 6 de San Sebastián dictó medidas provisionalísimas hasta que el Juzgado de Violencia sobre la Mujer se hiciera cargo del asunto, otorgando la guarda y custodia de la niña a la recurrente.</w:t>
      </w:r>
    </w:p>
    <w:p w14:paraId="2848D690" w14:textId="77777777" w:rsidR="003754FE" w:rsidRDefault="003754FE" w:rsidP="003754FE">
      <w:pPr>
        <w:pStyle w:val="TextoNormal"/>
      </w:pPr>
    </w:p>
    <w:p w14:paraId="7D1251BA" w14:textId="77777777" w:rsidR="003754FE" w:rsidRDefault="003754FE" w:rsidP="003754FE">
      <w:pPr>
        <w:pStyle w:val="TextoNormal"/>
      </w:pPr>
      <w:r>
        <w:t>c) El procedimiento de divorcio fue resuelto por el Juzgado de Violencia sobre la Mujer de San Sebastián en sentencia núm. 71/2017, de 22 de diciembre, que acordó la disolución del matrimonio y la adopción de medidas reguladoras del divorcio en relación con la hija menor de edad.</w:t>
      </w:r>
    </w:p>
    <w:p w14:paraId="2F4C9C22" w14:textId="77777777" w:rsidR="003754FE" w:rsidRDefault="003754FE" w:rsidP="003754FE">
      <w:pPr>
        <w:pStyle w:val="TextoNormal"/>
      </w:pPr>
    </w:p>
    <w:p w14:paraId="46DC392E" w14:textId="77777777" w:rsidR="003754FE" w:rsidRDefault="003754FE" w:rsidP="003754FE">
      <w:pPr>
        <w:pStyle w:val="TextoNormal"/>
      </w:pPr>
      <w:r>
        <w:t>Dado que la recurrente y don F.L.D.B., ostentaban la vecindad civil vasca —o en su defecto, hallándose en territorio del País Vasco el domicilio del matrimonio antes del cese de la convivencia, así como el de ambas partes en el momento del proceso de divorcio—, el proceso de disolución del matrimonio fue resuelto en aplicación, junto a los correspondientes preceptos del Código civil en relación a la pretensión del divorcio, de los artículos de la Ley del Parlamento Vasco 7/2015, de 30 de junio, de relaciones familiares en supuestos de separación o ruptura de los progenitores, en relación con las medidas derivadas del divorcio. Con este marco normativo, el Juzgado de Violencia sobre la Mujer acordó el establecimiento de la atribución de la guarda y custodia de la hija a la madre, el ejercicio conjunto de la patria potestad por ambos progenitores, un régimen progresivo de visitas, comunicaciones y estancias con el progenitor no custodio, la fijación de una cuantía en concepto de pensión de alimentos y el régimen de contribución a los gastos extraordinarios a cargo del padre.</w:t>
      </w:r>
    </w:p>
    <w:p w14:paraId="1F1B1E6C" w14:textId="77777777" w:rsidR="003754FE" w:rsidRDefault="003754FE" w:rsidP="003754FE">
      <w:pPr>
        <w:pStyle w:val="TextoNormal"/>
      </w:pPr>
    </w:p>
    <w:p w14:paraId="61C90403" w14:textId="77777777" w:rsidR="003754FE" w:rsidRDefault="003754FE" w:rsidP="003754FE">
      <w:pPr>
        <w:pStyle w:val="TextoNormal"/>
      </w:pPr>
      <w:r>
        <w:t xml:space="preserve">En atención a la edad de la menor y al resto de circunstancias concurrentes, relativas a la escasa relación del padre con su hija, sus carencias en habilidades parentales y la intensa conflictividad entre las familias, se estableció un régimen de visitas y estancias del padre con la menor de modo supervisado, con la previsión de una progresión hacia un régimen abierto en la medida en que las circunstancias lo aconsejaran. Así, se ordenaba que: (i) durante un periodo de seis meses —hasta el mes de junio de 2018, este incluido—, el padre y la menor estuvieran juntos los sábados alternos en el punto de encuentro de San Sebastián, desde las 17:00 hasta las 19:00 horas, de modo supervisado por los profesionales del centro, pudiendo acudir a la estancia, durante la primera media hora de esta, familiares del padre hasta un máximo de dos personas en cada ocasión; (ii) a partir del mes de julio de 2018 y durante los seis meses siguientes —hasta el mes de diciembre de 2018, incluido—, si los informes del punto de encuentro familiar eran favorables, las estancias se realizarían los sábados alternos desde las 16:30 hasta las 19:30 horas, con entregas y recogidas en el citado punto de encuentro, pero siendo la estancia libre; (iii) a partir del mes de enero de 2019 hasta el mes de agosto de 2019, este incluido, si los informes del punto de encuentro familiar eran nuevamente favorables, las estancias de los sábados alternos se realizarían en jornada entera, desde las 11:00 hasta las 19:30 horas, llevándose a cabo los intercambios en el punto de encuentro, siendo las estancias de carácter libre; (iv) finalmente, en el mes de septiembre de 2019, en que la menor contaría con dos años y medio de edad, se recabaría informe del equipo psicosocial para que, a la vista de los informes del punto de encuentro familiar y una nueva valoración integral de la situación concurrente, se informara sobre la conveniencia de </w:t>
      </w:r>
      <w:r>
        <w:lastRenderedPageBreak/>
        <w:t>introducir las pernoctas en el régimen de estancias del padre con la menor o, en general, acerca del régimen de estancias paternofilial que se considerara más conveniente para la menor en función de las circunstancias que entonces existieran. Se añadía que, tras el citado informe del equipo psicosocial, previo traslado a las partes y al Ministerio Fiscal, se dictaría nueva resolución judicial en la que se concretaría el régimen de estancias, ordinario y vacacional, de carácter ya definitivo a establecer entre el padre y la hija.</w:t>
      </w:r>
    </w:p>
    <w:p w14:paraId="15C9FCF8" w14:textId="77777777" w:rsidR="003754FE" w:rsidRDefault="003754FE" w:rsidP="003754FE">
      <w:pPr>
        <w:pStyle w:val="TextoNormal"/>
      </w:pPr>
    </w:p>
    <w:p w14:paraId="0461B180" w14:textId="77777777" w:rsidR="003754FE" w:rsidRDefault="003754FE" w:rsidP="003754FE">
      <w:pPr>
        <w:pStyle w:val="TextoNormal"/>
      </w:pPr>
      <w:r>
        <w:t>d) Por las representaciones de ambas partes se plantearon contra dicha sentencia sendos recursos de apelación que fueron resueltos por la sentencia núm. 539/2018, de 18 de octubre, dictada por la Sección Segunda de la Audiencia Provincial de Guipúzcoa, que acordó desestimar ambos recursos y confirmar la sentencia dictada por el Juzgado de Violencia sobre la Mujer en todos sus extremos.</w:t>
      </w:r>
    </w:p>
    <w:p w14:paraId="51F26E74" w14:textId="77777777" w:rsidR="003754FE" w:rsidRDefault="003754FE" w:rsidP="003754FE">
      <w:pPr>
        <w:pStyle w:val="TextoNormal"/>
      </w:pPr>
    </w:p>
    <w:p w14:paraId="06778E96" w14:textId="77777777" w:rsidR="003754FE" w:rsidRDefault="003754FE" w:rsidP="003754FE">
      <w:pPr>
        <w:pStyle w:val="TextoNormal"/>
      </w:pPr>
      <w:r>
        <w:t>e) Mediante escrito de 28 de junio de 2018, la representación procesal de doña V.F.C., solicitó como medida cautelar urgente, al amparo del artículo 158.6 del Código civil (CC) y en interés de la menor, el mantenimiento de visitas del padre con la hija supervisadas antes de pasar a la segunda fase del régimen progresivo de visitas, esto es, tres horas de estancia no supervisada en el punto de encuentro familiar, en sábados alternos. El motivo aducido fue que, en el curso de la última visita, la menor se cayó de una silla y se hizo daño en la boca. La coordinadora del punto de encuentro manifestó ante la llamada de la madre que ni el padre ni el educador consideraron que la caída fuera importante y no llamaron al médico. En todo caso, desde el punto de encuentro se informa a la madre que las sillas del centro no están preparadas para bebés y que, por tanto, se requiere que el adulto que le acompañe sujete la silla. La recurrente atribuye este hecho a la falta de habilidades parentales de su exmarido necesarias para encargarse de su hija solo. Además, alega que han tenido que suspenderse cuatro visitas y, en una de ellas, el padre solo ha estado veinte minutos con la menor, no habiendo respetado, por tanto, el calendario establecido ni la estancia de dos horas.</w:t>
      </w:r>
    </w:p>
    <w:p w14:paraId="78B7FA22" w14:textId="77777777" w:rsidR="003754FE" w:rsidRDefault="003754FE" w:rsidP="003754FE">
      <w:pPr>
        <w:pStyle w:val="TextoNormal"/>
      </w:pPr>
    </w:p>
    <w:p w14:paraId="3DB22022" w14:textId="77777777" w:rsidR="003754FE" w:rsidRDefault="003754FE" w:rsidP="003754FE">
      <w:pPr>
        <w:pStyle w:val="TextoNormal"/>
      </w:pPr>
      <w:r>
        <w:t>Por auto —núm. 43/2018, de 13 de julio— el Juzgado de Violencia sobre la Mujer de San Sebastián desestimó la medida cautelar y ordenó que a partir de aquel mismo mes se iniciaran las visitas de tres horas no supervisadas en el punto de encuentro familiar, en sábados alternos.</w:t>
      </w:r>
    </w:p>
    <w:p w14:paraId="6E75E2A8" w14:textId="77777777" w:rsidR="003754FE" w:rsidRDefault="003754FE" w:rsidP="003754FE">
      <w:pPr>
        <w:pStyle w:val="TextoNormal"/>
      </w:pPr>
    </w:p>
    <w:p w14:paraId="3BBCAC19" w14:textId="77777777" w:rsidR="003754FE" w:rsidRDefault="003754FE" w:rsidP="003754FE">
      <w:pPr>
        <w:pStyle w:val="TextoNormal"/>
      </w:pPr>
      <w:r>
        <w:t>Contra dicho auto, doña V.F.C., interpuso recurso de apelación. Por auto núm. 66/2019, de 10 de junio, la Audiencia Provincial de Guipúzcoa desestimó el recurso por considerar que no se había objetivado una situación de peligro grave ni la necesidad de la adopción urgente de la medida cautelar instada al amparo del artículo 158.6 CC, y ello como resultado de las consideraciones de los informes del punto de encuentro familiar, en los que se explica que la menor no ha manifestado malestar emocional ni signos de ningún tipo de violencia.</w:t>
      </w:r>
    </w:p>
    <w:p w14:paraId="6DB56A18" w14:textId="77777777" w:rsidR="003754FE" w:rsidRDefault="003754FE" w:rsidP="003754FE">
      <w:pPr>
        <w:pStyle w:val="TextoNormal"/>
      </w:pPr>
    </w:p>
    <w:p w14:paraId="40A4DEA5" w14:textId="77777777" w:rsidR="003754FE" w:rsidRDefault="003754FE" w:rsidP="003754FE">
      <w:pPr>
        <w:pStyle w:val="TextoNormal"/>
      </w:pPr>
      <w:r>
        <w:t xml:space="preserve">f) Superadas las dos primeras fases del régimen progresivo de visitas incluido en la sentencia de divorcio de 22 de diciembre de 2017, el Juzgado de Violencia sobre la Mujer de San Sebastián, vistos los informes emitidos por el punto de encuentro y por el Ministerio Fiscal, dictó providencia de 16 de septiembre de 2019 por la que se ordenaba, a partir de la fecha de la resolución, el cumplimiento de la tercera fase del régimen de estancias del padre con la hija, consistente en pasar juntos los sábados alternos, en jornada entera de 11:00 a </w:t>
      </w:r>
      <w:r>
        <w:lastRenderedPageBreak/>
        <w:t>19:30 horas, realizándose los intercambios en el punto de encuentro familiar, siendo las estancias de carácter libre.</w:t>
      </w:r>
    </w:p>
    <w:p w14:paraId="254F3299" w14:textId="77777777" w:rsidR="003754FE" w:rsidRDefault="003754FE" w:rsidP="003754FE">
      <w:pPr>
        <w:pStyle w:val="TextoNormal"/>
      </w:pPr>
    </w:p>
    <w:p w14:paraId="0C6D55D7" w14:textId="77777777" w:rsidR="003754FE" w:rsidRDefault="003754FE" w:rsidP="003754FE">
      <w:pPr>
        <w:pStyle w:val="TextoNormal"/>
      </w:pPr>
      <w:r>
        <w:t>Esta providencia fue recurrida por la demandante, siendo dicho recurso desestimado por auto de 5 de diciembre de 2019 dictado por el Juzgado de Violencia sobre la Mujer de San Sebastián en el procedimiento de ejecución forzosa núm. 28-2018. Se admite en el auto, como alega la recurrente y consta en el informe del punto de encuentro familiar, que en el periodo comprendido entre el 21 de septiembre y el 16 de noviembre de 2019, de las cinco visitas programadas de la menor con el padre, solo se llevaron a cabo dos de ellas, habiéndose suspendido las otras tres por el equipo educativo ante la negativa de la niña a acceder al encuentro. En el informe no se hace constar cuáles son o pueden ser las causas de la negativa de la niña.</w:t>
      </w:r>
    </w:p>
    <w:p w14:paraId="0C6A8539" w14:textId="77777777" w:rsidR="003754FE" w:rsidRDefault="003754FE" w:rsidP="003754FE">
      <w:pPr>
        <w:pStyle w:val="TextoNormal"/>
      </w:pPr>
    </w:p>
    <w:p w14:paraId="646B5ED2" w14:textId="77777777" w:rsidR="003754FE" w:rsidRDefault="003754FE" w:rsidP="003754FE">
      <w:pPr>
        <w:pStyle w:val="TextoNormal"/>
      </w:pPr>
      <w:r>
        <w:t>g) El calendario de visitas prosiguió hasta que la menor, tras realizar dos visitas en el domicilio del padre de ocho horas de carácter libre, en dos sábados alternos, se niega a entrar en el punto de encuentro familiar. Como consecuencia de ello, el 17 de febrero de 2020, por la representación procesal de don F.L.D.B., se presentó demanda ejecutiva en reclamación del cumplimiento de la sentencia de divorcio, en los extremos relativos al cumplimiento del régimen de visitas respecto de la hija menor, y en la providencia de 16 de diciembre de 2019 en el seno de proceso de ejecución forzosa núm. 28-2018.</w:t>
      </w:r>
    </w:p>
    <w:p w14:paraId="4F8B5ED2" w14:textId="77777777" w:rsidR="003754FE" w:rsidRDefault="003754FE" w:rsidP="003754FE">
      <w:pPr>
        <w:pStyle w:val="TextoNormal"/>
      </w:pPr>
    </w:p>
    <w:p w14:paraId="636BB2F4" w14:textId="77777777" w:rsidR="003754FE" w:rsidRDefault="003754FE" w:rsidP="003754FE">
      <w:pPr>
        <w:pStyle w:val="TextoNormal"/>
      </w:pPr>
      <w:r>
        <w:t>Por auto de 3 de marzo de 2020, el Juzgado de Violencia sobre la Mujer de San Sebastián acuerda despachar la ejecución solicitada por don F.L.D.B. Para ello, el juzgado recuerda cuáles son los preceptos aplicables, a saber, el art. 699 de la Ley de enjuiciamiento civil (LEC) que, en relación con la ejecución no dineraria, dispone que se iniciará en todos los supuestos requiriendo a la parte ejecutada a que cumpla en sus propios términos lo que establezca el título ejecutivo, añadiendo que, en el requerimiento, el tribunal podrá apercibir al ejecutado con el empleo de apremios personales o multas pecuniarias. Además, el artículo 776 LEC, relativo a la ejecución forzosa de los pronunciamientos sobre medidas acordadas en procesos matrimoniales y de menores, contempla las especialidades que han de aplicarse en los supuestos de incumplimiento de obligaciones no pecuniarias de carácter personalísimo, como son la posibilidad de imponer multas coercitivas mensuales durante todo el tiempo que sea necesario más allá del plazo de un año establecido en el apartado tercero del artículo 709 LEC, y la de modificar el régimen de guarda y visitas en caso de incumplimiento reiterado de las obligaciones derivadas del régimen de visitas por cualquiera de los progenitores. Con esta base normativa, el juzgado requiere a doña V.F.C., para que cumpla en sus propios términos el régimen de visitas establecido en las citadas resoluciones, “apercibiéndole que, en caso de incumplimiento, podría incurrir en delito de desobediencia grave a la autoridad judicial y se le podrán imponer multas coercitivas mensuales todo el tiempo que sea necesario pudiendo, incluso, determinar la modificación del régimen de guarda y visitas establecido”.</w:t>
      </w:r>
    </w:p>
    <w:p w14:paraId="353A13A8" w14:textId="77777777" w:rsidR="003754FE" w:rsidRDefault="003754FE" w:rsidP="003754FE">
      <w:pPr>
        <w:pStyle w:val="TextoNormal"/>
      </w:pPr>
    </w:p>
    <w:p w14:paraId="4339A807" w14:textId="77777777" w:rsidR="003754FE" w:rsidRDefault="003754FE" w:rsidP="003754FE">
      <w:pPr>
        <w:pStyle w:val="TextoNormal"/>
      </w:pPr>
      <w:r>
        <w:t xml:space="preserve">Contra dicha resolución la demandante en amparo formuló oposición, solicitando su nulidad. Como motivos de la oposición alegaba, en primer lugar, que las visitas fueron suspendidas a criterio de los educadores del punto de encuentro familiar, como consta en el informe de 3 de febrero de 2020, ante la negativa de la menor a acceder al centro, después de ser acompañada por su abuela. A continuación, señalaba que en el fallo de la sentencia de divorcio no se establecía una obligación de hacer personalísima que determinara que </w:t>
      </w:r>
      <w:r>
        <w:lastRenderedPageBreak/>
        <w:t>fuera la madre quien tuviera que llevar a la menor al punto de encuentro familiar, y que si no lo hacía era por recomendación facultativa, al estar en tratamiento psicológico por razón del maltrato recibido por su exmarido. Por último, se aducía el empeoramiento en la conducta experimentado por la menor desde que se había establecido el régimen de visitas de ocho horas en las que se desplazaba a Vitoria, lugar de residencia del padre. A este respecto, la representación de doña V.F.C., presenta dos informes: en el primero, emitido por la pediatra doña Marcela Pérez, constaba que tras la visita de ocho horas la menor experimentó un cambio en su conducta: se despertaba en mitad de la noche gritando y llorando, diciendo que quería estar con su mama; además, comenzó a tener bruxismo, mordiéndose incluso las uñas de los pies. El segundo informe era de la psicóloga infantil doña Teresa Díaz Bada, en el que se indicaba que, al ser tan pequeña la niña, no aconsejaban las visitas de ocho horas y fuera de su núcleo, en alusión a su ciudad. En conclusión, la parte considera que está cumplido el fallo de la sentencia al estar llevando a la menor a las visitas y ser el punto de encuentro familiar quien opta por la suspensión. Así, no procede despachar la ejecución.</w:t>
      </w:r>
    </w:p>
    <w:p w14:paraId="3292E083" w14:textId="77777777" w:rsidR="003754FE" w:rsidRDefault="003754FE" w:rsidP="003754FE">
      <w:pPr>
        <w:pStyle w:val="TextoNormal"/>
      </w:pPr>
    </w:p>
    <w:p w14:paraId="29025C7A" w14:textId="77777777" w:rsidR="003754FE" w:rsidRDefault="003754FE" w:rsidP="003754FE">
      <w:pPr>
        <w:pStyle w:val="TextoNormal"/>
      </w:pPr>
      <w:r>
        <w:t>El Juzgado de Violencia sobre la Mujer de San Sebastián resolvió la oposición planteada mediante auto —núm. 28/2020, de 26 de agosto— en sentido desestimatorio, manteniendo el requerimiento a la ejecutada en los términos expresados en el auto de 3 de marzo de 2020. En dicha resolución se hacía constar que el fallo de la sentencia de divorcio no imponía a la madre un deber de llevar personalmente a la hija menor al punto de encuentro familiar, pero sí una actitud de cooperación que la madre no ejerce. Según consta en los fundamentos de Derecho del auto, la persona elegida para llevar a la menor al punto de encuentro familiar —la abuela de la niña—, según se desprende de los informes del punto de encuentro, mantenía una actitud pasiva, no motivadora a la realización de las visitas ante las negativas de la menor, que el juzgado atribuye a “su propia implicación en el conflicto parental/familiar”. Por ende, se concluye que se detecta “una cierta actitud de incumplimiento o contraria al cumplimiento judicial en la madre ejecutada y en la medida en que, obviamente, lo que procede […] es la ejecución efectiva y real de las estancias padre-hija judicialmente establecidas, pues este es el régimen que, previos los pertinentes informes, se ha considerado como más adecuado y beneficioso para la menor y para su desarrollo emocional […] debe mantenerse el requerimiento de cumplimiento a la ejecutada”.</w:t>
      </w:r>
    </w:p>
    <w:p w14:paraId="26D0481D" w14:textId="77777777" w:rsidR="003754FE" w:rsidRDefault="003754FE" w:rsidP="003754FE">
      <w:pPr>
        <w:pStyle w:val="TextoNormal"/>
      </w:pPr>
    </w:p>
    <w:p w14:paraId="38431918" w14:textId="77777777" w:rsidR="003754FE" w:rsidRDefault="003754FE" w:rsidP="003754FE">
      <w:pPr>
        <w:pStyle w:val="TextoNormal"/>
      </w:pPr>
      <w:r>
        <w:t>El auto núm. 28/2020, de 26 de agosto, del Juzgado de Violencia sobre la Mujer de San Sebastián fue recurrido en apelación por la hoy recurrente en amparo, alegando como motivos los ya manifestados en la oposición a la ejecución, relativos al efectivo cumplimiento del fallo de la sentencia, puesto que la niña acude con su abuela al punto de encuentro familiar y las visitas han sido suspendidas “a criterio educativo”, considerando que la resolución deja a la madre en situación de indefensión, con vulneración del derecho a la tutela judicial efectiva del art. 24 CE y victimizándola, al ser apercibida de incurrir en delito de desobediencia y con la imposición de multas coercitivas. Se ha producido, en cambio, una extensión del fallo, lo que vulnera el principio de legalidad. Por todo ello considera que el auto es nulo.</w:t>
      </w:r>
    </w:p>
    <w:p w14:paraId="3ACCF16B" w14:textId="77777777" w:rsidR="003754FE" w:rsidRDefault="003754FE" w:rsidP="003754FE">
      <w:pPr>
        <w:pStyle w:val="TextoNormal"/>
      </w:pPr>
    </w:p>
    <w:p w14:paraId="5D5666D0" w14:textId="77777777" w:rsidR="003754FE" w:rsidRDefault="003754FE" w:rsidP="003754FE">
      <w:pPr>
        <w:pStyle w:val="TextoNormal"/>
      </w:pPr>
      <w:r>
        <w:t xml:space="preserve">El recurso fue resuelto por la Sección Segunda de la Audiencia Provincial de Guipúzcoa, mediante el auto núm. 56/2021, de 26 de abril, en el que se desestima el recurso y se confirma íntegramente el auto dictado por el Juzgado de Violencia sobre la Mujer de 26 de agosto de 2020. La Sala de la Audiencia Provincial considera que la cuestión no es tanto si el fallo de la sentencia impone o no a la madre un deber personalísimo de llevar a la menor </w:t>
      </w:r>
      <w:r>
        <w:lastRenderedPageBreak/>
        <w:t>al centro, sino que lo esencial es que debe cumplirse el mandato judicial que establece el régimen de estancias de la menor con el padre, que debe desarrollarse de manera progresiva. Cita la doctrina del Tribunal Constitucional sobre la ejecución de las sentencias como dimensión integrante del derecho a la tutela judicial efectiva, y la configuración del derecho de visitas del progenitor no custodio como de titularidad tanto del progenitor como del hijo, para propiciar la continuación de sus relaciones, y su importancia para fortalecer el vínculo filial y el desarrollo de la personalidad afectiva de ambos. En cuanto a que la suspensión de las visitas se decide por los responsables del punto de encuentro familiar ante la negativa de la menor a encontrarse con su padre en su domicilio, en el auto se considera inadecuado que la realización del régimen se deje a la voluntad de la menor, que cuenta únicamente con cuatro años. En cambio, se argumenta que no existe una imposibilidad física o jurídica de llevar a cabo el pronunciamiento judicial, sino una actitud escasamente colaboradora y motivadora para el normal desarrollo de las visitas de la menor con su padre por parte de la abuela materna, que es quien se encarga de llevar a la menor al punto de encuentro familiar, cuestión que ya fue puesta de manifiesto en el auto recurrido. Por ello, desestima la apelación y mantiene el requerimiento de ejecución forzosa.</w:t>
      </w:r>
    </w:p>
    <w:p w14:paraId="3081A69B" w14:textId="77777777" w:rsidR="003754FE" w:rsidRDefault="003754FE" w:rsidP="003754FE">
      <w:pPr>
        <w:pStyle w:val="TextoNormal"/>
      </w:pPr>
    </w:p>
    <w:p w14:paraId="4FDD24AF" w14:textId="77777777" w:rsidR="003754FE" w:rsidRDefault="003754FE" w:rsidP="003754FE">
      <w:pPr>
        <w:pStyle w:val="TextoNormal"/>
      </w:pPr>
      <w:r>
        <w:t>h) Paralelamente al proceso de ejecución forzosa del régimen de visitas en la jurisdicción civil, avanzaban las actuaciones en el proceso penal seguido contra el exmarido de la recurrente por delitos de violencia de género. El 2 de septiembre de 2019, el Ministerio Fiscal presentó escrito de acusación por la supuesta comisión de seis delitos de violencia de género por el ya exmarido de la recurrente contra esta. El 7 de octubre de ese mismo año se dictó auto de apertura de juicio oral frente al ahora demandado en amparo como autor de cinco delitos de maltrato físico no habitual del art. 153.1 y 3 del Código penal (CP) y un delito leve continuado de vejaciones injustas del art. 173.4 CP.</w:t>
      </w:r>
    </w:p>
    <w:p w14:paraId="19530AC7" w14:textId="77777777" w:rsidR="003754FE" w:rsidRDefault="003754FE" w:rsidP="003754FE">
      <w:pPr>
        <w:pStyle w:val="TextoNormal"/>
      </w:pPr>
    </w:p>
    <w:p w14:paraId="60371614" w14:textId="6A003983" w:rsidR="003754FE" w:rsidRDefault="003754FE" w:rsidP="003754FE">
      <w:pPr>
        <w:pStyle w:val="TextoNormal"/>
      </w:pPr>
      <w:r>
        <w:t>En el momento de la presentación del recurso de amparo ante el Tribunal Constitucional, estaba pendiente la celebración del juicio oral. Sin embargo, de los datos que obran en el expediente, conocemos que el exmarido de la recurrente fue condenado por sentencia —núm. 28/2022, de 21 de enero— del Juzgado de lo Penal núm. 2 de San Sebastián, como autor responsable de un delito de maltrato no habitual del art. 153.1 CP, dos delitos de maltrato no habitual del art. 153.1 y 3 CP, un delito leve continuado de vejaciones injustas del art. 173.4 CP, y se le absolvió de dos delitos de maltrato no habitual del art. 153.1 y 3 CP y de un delito de maltrato habitual del art. 173.2 CP. La sentencia fue recurrida en apelación por la acusación particular ejercida por doña V.F.C., por entender que el delito leve de vejaciones por el que fue condenado el encausado integraba el delito de maltrato psíquico habitual del art. 173.2 CP. El recurso fue resuelto por la Sección Tercera de la Audiencia Provincial de Guipúzcoa en sentido desestimatorio por sentencia núm. 245/2022, de 8 de noviembre. Contra dicha resolución cabe recurso de casación en los supuestos expresamente previstos en el apartado b) del art. 847, en relación con el art. 849.1, de la Ley de enjuiciamiento criminal.</w:t>
      </w:r>
    </w:p>
    <w:p w14:paraId="36113F3E" w14:textId="77777777" w:rsidR="003754FE" w:rsidRDefault="003754FE" w:rsidP="003754FE">
      <w:pPr>
        <w:pStyle w:val="TextoNormal"/>
      </w:pPr>
    </w:p>
    <w:p w14:paraId="0153B53C" w14:textId="77777777" w:rsidR="003754FE" w:rsidRDefault="003754FE" w:rsidP="003754FE">
      <w:pPr>
        <w:pStyle w:val="TextoNormal"/>
      </w:pPr>
      <w:r w:rsidRPr="003754FE">
        <w:rPr>
          <w:rStyle w:val="NumeroAFNegritaCaracter"/>
        </w:rPr>
        <w:t>3</w:t>
      </w:r>
      <w:r>
        <w:t xml:space="preserve">. La recurrente considera que las resoluciones dictadas en el procedimiento de ejecución forzosa del cumplimiento del régimen de visitas establecido en la sentencia de divorcio de 22 de diciembre de 2017 vulneraron, de una parte, su derecho fundamental a la tutela judicial efectiva del art. 24 CE, en sus vertientes de prohibición de la arbitrariedad y de obtener una resolución fundada en Derecho y congruente y que no lesione el principio </w:t>
      </w:r>
      <w:r w:rsidRPr="003754FE">
        <w:rPr>
          <w:i/>
        </w:rPr>
        <w:t>iura novit curia</w:t>
      </w:r>
      <w:r>
        <w:t>; y de otra, el principio de legalidad del art. 25 CE.</w:t>
      </w:r>
    </w:p>
    <w:p w14:paraId="0AC14E51" w14:textId="77777777" w:rsidR="003754FE" w:rsidRDefault="003754FE" w:rsidP="003754FE">
      <w:pPr>
        <w:pStyle w:val="TextoNormal"/>
      </w:pPr>
    </w:p>
    <w:p w14:paraId="46E0BC00" w14:textId="77777777" w:rsidR="003754FE" w:rsidRDefault="003754FE" w:rsidP="003754FE">
      <w:pPr>
        <w:pStyle w:val="TextoNormal"/>
      </w:pPr>
      <w:r>
        <w:t xml:space="preserve">Respecto de las vulneraciones del art. 24 CE, la recurrente, como se acaba de exponer, reclama que el Tribunal Constitucional determine si las resoluciones judiciales impugnadas han vulnerado su derecho a obtener una resolución fundada en Derecho no arbitraria, congruente y que no lesionen el principio </w:t>
      </w:r>
      <w:r w:rsidRPr="003754FE">
        <w:rPr>
          <w:i/>
        </w:rPr>
        <w:t>iura novit curia</w:t>
      </w:r>
      <w:r>
        <w:t xml:space="preserve">. La representación procesal de doña V.F.C., arguye que el auto núm. 56/2021 de la Audiencia Provincial y el resto de las resoluciones de las que trae causa el presente recurso de amparo vulneran la tutela judicial efectiva </w:t>
      </w:r>
      <w:r w:rsidRPr="003754FE">
        <w:rPr>
          <w:i/>
        </w:rPr>
        <w:t>ex</w:t>
      </w:r>
      <w:r>
        <w:t xml:space="preserve"> art. 24.1 CE, porque incurren en arbitrariedad e irrazonabilidad.</w:t>
      </w:r>
    </w:p>
    <w:p w14:paraId="2D530F03" w14:textId="77777777" w:rsidR="003754FE" w:rsidRDefault="003754FE" w:rsidP="003754FE">
      <w:pPr>
        <w:pStyle w:val="TextoNormal"/>
      </w:pPr>
    </w:p>
    <w:p w14:paraId="7CCFCCC5" w14:textId="77777777" w:rsidR="003754FE" w:rsidRDefault="003754FE" w:rsidP="003754FE">
      <w:pPr>
        <w:pStyle w:val="TextoNormal"/>
      </w:pPr>
      <w:r>
        <w:t>En una primera línea argumentativa, se aduce que el fallo de la sentencia de divorcio no incluía una obligación positiva de llevar personalmente a la menor al punto de encuentro familiar. En esta línea se señala que, en su auto, la Audiencia Provincial pasó por alto que la recurrente había sido víctima de violencia de género a manos de su exmarido, antes de quedarse embarazada y durante el embarazo, maltrato que continuó tras el nacimiento de la niña y que culminó en el abandono de ambas cuando el bebé contaba siete días de vida. Estando en tratamiento psicológico durante el embarazo por derivación del ginecólogo, es la propia psicóloga que atiende a la recurrente la que aconseja que no acuda personalmente al punto de encuentro familiar, precisamente por el estado de ansiedad y depresión dictaminado y que todavía padece. Por estos motivos es la abuela materna la que lleva a la menor a las visitas con su padre, sin haber faltado ni un solo día, hasta que se suspendieron por decisión de los educadores del punto de encuentro.</w:t>
      </w:r>
    </w:p>
    <w:p w14:paraId="63D08EE6" w14:textId="77777777" w:rsidR="003754FE" w:rsidRDefault="003754FE" w:rsidP="003754FE">
      <w:pPr>
        <w:pStyle w:val="TextoNormal"/>
      </w:pPr>
    </w:p>
    <w:p w14:paraId="6A12BD65" w14:textId="3CA05BA4" w:rsidR="003754FE" w:rsidRDefault="003754FE" w:rsidP="003754FE">
      <w:pPr>
        <w:pStyle w:val="TextoNormal"/>
      </w:pPr>
      <w:r>
        <w:t xml:space="preserve">La segunda línea argumentativa sostiene que quien decide suspender las visitas de la menor con su padre es uno de los profesionales del servicio del punto de encuentro familiar tras observar que, en la implantación de la nueva fase del calendario de visitas, después de pasar ocho horas seguidas con su progenitor, la niña no quiere volver a entrar a dicho centro. Por tanto, no cabe achacar el incumplimiento de la orden de ejecución ni a la madre ni a la abuela, que no convive con la niña, que la ve esporádicamente, y que ha acompañado a la niña a todas las visitas marcadas por la sentencia de divorcio, ratificadas por las posteriores resoluciones judiciales. Argumentar lo contrario supone realizar una interpretación extensiva del fallo y situar en este caso a la recurrente en una situación de indefensión, ya que cada vez que el educador del punto de encuentro familiar decida suspender la visita </w:t>
      </w:r>
      <w:r w:rsidRPr="003754FE">
        <w:rPr>
          <w:i/>
        </w:rPr>
        <w:t>motu proprio</w:t>
      </w:r>
      <w:r>
        <w:t>, se le imputará un incumplimiento a la recurrente con posibles efectos sobre la guarda y custodia. Por este motivo, se concluye, las resoluciones impugnadas, además de resultar arbitrarias e irrazonables, vulneran el principio de legalidad (art. 25 CE) y la tutela judicial efectiva (art. 24.1 CE).</w:t>
      </w:r>
    </w:p>
    <w:p w14:paraId="698C546F" w14:textId="77777777" w:rsidR="003754FE" w:rsidRDefault="003754FE" w:rsidP="003754FE">
      <w:pPr>
        <w:pStyle w:val="TextoNormal"/>
      </w:pPr>
    </w:p>
    <w:p w14:paraId="29D2C301" w14:textId="77777777" w:rsidR="003754FE" w:rsidRDefault="003754FE" w:rsidP="003754FE">
      <w:pPr>
        <w:pStyle w:val="TextoNormal"/>
      </w:pPr>
      <w:r w:rsidRPr="003754FE">
        <w:rPr>
          <w:rStyle w:val="NumeroAFNegritaCaracter"/>
        </w:rPr>
        <w:t>4</w:t>
      </w:r>
      <w:r>
        <w:t>. Mediante providencia de 10 de octubre de 2022, la Sección Primera del Tribunal Constitucional acordó admitir a trámite el recurso de amparo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14:paraId="47F831D1" w14:textId="77777777" w:rsidR="003754FE" w:rsidRDefault="003754FE" w:rsidP="003754FE">
      <w:pPr>
        <w:pStyle w:val="TextoNormal"/>
      </w:pPr>
    </w:p>
    <w:p w14:paraId="7FDDDDD1" w14:textId="05D15224" w:rsidR="003754FE" w:rsidRDefault="003754FE" w:rsidP="003754FE">
      <w:pPr>
        <w:pStyle w:val="TextoNormal"/>
      </w:pPr>
      <w:r>
        <w:t xml:space="preserve">En aplicación de lo dispuesto en el art. 51 LOTC, constando ya recibidas las actuaciones correspondientes al recurso de apelación núm. 2071-2021 de la Sección Segunda de la Audiencia Provincial de Guipúzcoa, al procedimiento de ejecución forzosa en procesos de familia núm. 331-2020 y al procedimiento de oposición a la misma núm. 70-2020 del Juzgado </w:t>
      </w:r>
      <w:r>
        <w:lastRenderedPageBreak/>
        <w:t>de Violencia sobre la Mujer de San Sebastián, se acordó remitir atento oficio a este último órgano jurisdiccional a fin de que procediera a emplazar a quienes hubieran sido parte en el citado procedimiento de oposición a la ejecución, excepto a la parte recurrente en amparo, para que en el plazo de diez días pudieran comparecer, si lo deseaban, en el presente recurso de amparo.</w:t>
      </w:r>
    </w:p>
    <w:p w14:paraId="6AB7C147" w14:textId="77777777" w:rsidR="003754FE" w:rsidRDefault="003754FE" w:rsidP="003754FE">
      <w:pPr>
        <w:pStyle w:val="TextoNormal"/>
      </w:pPr>
    </w:p>
    <w:p w14:paraId="6812248E" w14:textId="550EDD95" w:rsidR="003754FE" w:rsidRDefault="003754FE" w:rsidP="003754FE">
      <w:pPr>
        <w:pStyle w:val="TextoNormal"/>
      </w:pPr>
      <w:r w:rsidRPr="003754FE">
        <w:rPr>
          <w:rStyle w:val="NumeroAFNegritaCaracter"/>
        </w:rPr>
        <w:t>5</w:t>
      </w:r>
      <w:r>
        <w:t>. Mediante diligencia de ordenación del secretario de la Sala Segunda del Tribunal Constitucional de 20 de enero de 2023, y en virtud de lo acordado por el Pleno del Tribunal Constitucional el día 17 de enero de 2023, publicado en el “Boletín Oficial del Estado” de 19 de enero, el presente recurso de amparo fue turnado a la Sala Segunda del Tribunal Constitucional, lo que se puso en conocimiento de las partes y del Ministerio Fiscal a los efectos oportunos. Asimismo, no habiéndose recibido contestación al oficio remitido el 10 de octubre de 2022 al Juzgado de Violencia Sobre la Mujer de San Sebastián, se ordenó librar nueva comunicación reiterando lo interesado.</w:t>
      </w:r>
    </w:p>
    <w:p w14:paraId="54D7ECA1" w14:textId="77777777" w:rsidR="003754FE" w:rsidRDefault="003754FE" w:rsidP="003754FE">
      <w:pPr>
        <w:pStyle w:val="TextoNormal"/>
      </w:pPr>
    </w:p>
    <w:p w14:paraId="1137515F" w14:textId="3BF0BBC2" w:rsidR="003754FE" w:rsidRDefault="003754FE" w:rsidP="003754FE">
      <w:pPr>
        <w:pStyle w:val="TextoNormal"/>
      </w:pPr>
      <w:r w:rsidRPr="003754FE">
        <w:rPr>
          <w:rStyle w:val="NumeroAFNegritaCaracter"/>
        </w:rPr>
        <w:t>6</w:t>
      </w:r>
      <w:r>
        <w:t>. Mediante diligencia de ordenación del secretario de la Sala Segunda del Tribunal Constitucional de 21 de marzo de 2023, se acordó tener por personado y parte en el procedimiento al procurador don Manuel Díaz Alfonso, en nombre y representación de don F.L.D.B., y dar vista de las actuaciones recibidas a las partes personadas y al Ministerio Fiscal por plazo común de veinte días, dentro de los cuales podrían presentar las alegaciones que estimaran pertinentes, conforme determina el art. 52.1 LOTC.</w:t>
      </w:r>
    </w:p>
    <w:p w14:paraId="7FF7D4E8" w14:textId="77777777" w:rsidR="003754FE" w:rsidRDefault="003754FE" w:rsidP="003754FE">
      <w:pPr>
        <w:pStyle w:val="TextoNormal"/>
      </w:pPr>
    </w:p>
    <w:p w14:paraId="2F6611E6" w14:textId="61A91149" w:rsidR="003754FE" w:rsidRDefault="003754FE" w:rsidP="003754FE">
      <w:pPr>
        <w:pStyle w:val="TextoNormal"/>
      </w:pPr>
      <w:r w:rsidRPr="003754FE">
        <w:rPr>
          <w:rStyle w:val="NumeroAFNegritaCaracter"/>
        </w:rPr>
        <w:t>7</w:t>
      </w:r>
      <w:r>
        <w:t>. Por escrito presentado en el registro de este Tribunal el 20 de abril de 2023, la procuradora de los tribunales de la recurrente en amparo aportó para su unión a autos la sentencia testimoniada dictada por el Juzgado de lo Penal núm. 2 de San Sebastián por la que se condenaba a don F.L.D.B. por tres delitos de maltrato no habitual y un delito leve de vejaciones injustas. Igualmente, se aportaba la sentencia núm. 245/2022, de 8 de noviembre, dictada por la Sección Tercera de la Audiencia Provincial de Guipúzcoa, que desestima el recurso de apelación interpuesto por la demandante contra la sentencia dictada por el Juzgado de lo Penal núm. 2 de San Sebastián. Respecto del resto, se daban por reproducidos íntegramente los hechos y fundamentos consignados en la demanda de amparo.</w:t>
      </w:r>
    </w:p>
    <w:p w14:paraId="2B22BDC8" w14:textId="77777777" w:rsidR="003754FE" w:rsidRDefault="003754FE" w:rsidP="003754FE">
      <w:pPr>
        <w:pStyle w:val="TextoNormal"/>
      </w:pPr>
    </w:p>
    <w:p w14:paraId="5A78D684" w14:textId="7998B746" w:rsidR="003754FE" w:rsidRDefault="003754FE" w:rsidP="003754FE">
      <w:pPr>
        <w:pStyle w:val="TextoNormal"/>
      </w:pPr>
      <w:r w:rsidRPr="003754FE">
        <w:rPr>
          <w:rStyle w:val="NumeroAFNegritaCaracter"/>
        </w:rPr>
        <w:t>8</w:t>
      </w:r>
      <w:r>
        <w:t>. Por escrito de 21 de abril de 2023, don Manuel Diaz Alfonso, procurador de los tribunales, actuando en nombre y representación de don F.L.D.B., advertía de que la letrada de la recurrente es su madre y que, a su juicio, estaba haciendo un ejercicio totalmente abusivo del derecho a la tutela judicial efectiva agotando todas las instancias existentes en todos los procedimientos seguidos contra don F.L.D.B. Prueba de lo expuesto es que, a instancias de la recurrente, se ha promovido también recurso de amparo respecto del procedimiento penal seguido contra don F.L.D.B., en que ha sido condenado por diferentes delitos de violencia de género. Por último, don Manuel Díaz Alfonso pone en conocimiento de la Sala que la recurrente no ha cumplido ni un solo día el régimen de visitas acordado por el Juzgado de Violencia sobre la Mujer de San Sebastián desde el día 17 de febrero de 2020, fecha en que don F.L.D.B., vio a su hija por última vez con motivo de las entrevistas llevadas a cabo por el equipo psicosocial judicial adscrito al juzgado. Se concluye que no se han vulnerado ni el art. 24.1 y 2 CE ni el art. 25 CE; más bien, se añade, cabría entender que la recurrente está haciendo un uso abusivo del derecho a la tutela judicial efectiva.</w:t>
      </w:r>
    </w:p>
    <w:p w14:paraId="2D7550AC" w14:textId="77777777" w:rsidR="003754FE" w:rsidRDefault="003754FE" w:rsidP="003754FE">
      <w:pPr>
        <w:pStyle w:val="TextoNormal"/>
      </w:pPr>
    </w:p>
    <w:p w14:paraId="1036A7F9" w14:textId="77777777" w:rsidR="003754FE" w:rsidRDefault="003754FE" w:rsidP="003754FE">
      <w:pPr>
        <w:pStyle w:val="TextoNormal"/>
      </w:pPr>
      <w:r w:rsidRPr="003754FE">
        <w:rPr>
          <w:rStyle w:val="NumeroAFNegritaCaracter"/>
        </w:rPr>
        <w:lastRenderedPageBreak/>
        <w:t>9</w:t>
      </w:r>
      <w:r>
        <w:t>. Por escrito registrado ante el Tribunal Constitucional el 17 de mayo de 2023, la fiscal ante el Tribunal Constitucional interesó la denegación del amparo solicitado por considerar que no consta que las resoluciones recurridas hayan causado la vulneración del derecho fundamental a la tutela judicial efectiva de doña V.F.C. Tras exponer los antecedentes del caso y haciendo un repaso a la doctrina del Tribunal Constitucional relativa a los derechos afectados, la Fiscalía, en relación con la supuesta lesión del art. 24.1 CE, ofrece las razones para concluir que la motivación de las resoluciones impugnadas fue conforme al canon constitucionalmente exigido. Se mantiene que la motivación ofrecida en las resoluciones es suficiente tanto en el sentido de dar a conocer las razones por las que se ha tomado la decisión, de manera que la parte tiene la posibilidad de conocerlas y cuestionarlas, como en atención al canon reforzado de motivación. Este canon debe presidir cualquier resolución en la que se decidan cuestiones relacionadas con el superior interés del menor que, con los elementos que obran en las actuaciones, ha determinado que lo más beneficioso es el mantenimiento de las relaciones paternofiliales. Señala que las resoluciones no han puesto el acento en si la madre ha acompañado personalmente a la menor al punto de encuentro familiar, sino en su pasividad a la hora de facilitar los encuentros. Este es el factor, según la fiscal ante el Tribunal Constitucional, que ha motivado la decisión de la suspensión de las visitas, puesto que difícilmente cabría otra opción a los educadores del punto de encuentro familiar dado que una imposición del cumplimiento del régimen pese a la actitud negativa de una niña de cuatro años no puede comportar ningún beneficio.</w:t>
      </w:r>
    </w:p>
    <w:p w14:paraId="16C54FB4" w14:textId="77777777" w:rsidR="003754FE" w:rsidRDefault="003754FE" w:rsidP="003754FE">
      <w:pPr>
        <w:pStyle w:val="TextoNormal"/>
      </w:pPr>
    </w:p>
    <w:p w14:paraId="1C2F31E8" w14:textId="77777777" w:rsidR="003754FE" w:rsidRDefault="003754FE" w:rsidP="003754FE">
      <w:pPr>
        <w:pStyle w:val="TextoNormal"/>
      </w:pPr>
      <w:r>
        <w:t>En este contexto, dentro de los márgenes del control externo que corresponde efectuar al Tribunal Constitucional, no cabe tildar a las resoluciones judiciales de incongruentes, irrazonables, erróneas o ilógicas, sino que, superando una concepción meramente formal del cumplimiento del fallo, deciden de acuerdo con lo que consideran más adecuado al interés superior de la menor. No existe una extensión del fallo, porque no se añaden nuevas obligaciones para cumplimiento del régimen de visitas determinado.</w:t>
      </w:r>
    </w:p>
    <w:p w14:paraId="113236C9" w14:textId="77777777" w:rsidR="003754FE" w:rsidRDefault="003754FE" w:rsidP="003754FE">
      <w:pPr>
        <w:pStyle w:val="TextoNormal"/>
      </w:pPr>
    </w:p>
    <w:p w14:paraId="65254A45" w14:textId="77777777" w:rsidR="003754FE" w:rsidRDefault="003754FE" w:rsidP="003754FE">
      <w:pPr>
        <w:pStyle w:val="TextoNormal"/>
      </w:pPr>
      <w:r>
        <w:t>Señala la Fiscalía en su escrito que el auto de la Audiencia Provincial no apreció la presencia de nuevos elementos relativos a la situación de la niña y la conflictividad entre sus progenitores que hicieran imposible física o jurídicamente la ejecución por lo que no hay razón para no cumplir el régimen de visitas, comunicaciones y estancias con el progenitor no custodio. Se menciona expresamente que los efectos que una potencial sentencia condenatoria en el proceso penal en que está incurso el padre puedan tener en la situación declarada en la sentencia deberán, en su caso, ser objeto de una nueva valoración judicial en un procedimiento de modificación de medidas definitivas por cambio sustancial de las circunstancias tenidas en cuenta, conforme a lo previsto en el art. 775 LEC. Esta cuestión, en todo caso, no constituye objeto del presente recurso de amparo. En el momento en que se dictaron las resoluciones recurridas la pendencia del proceso penal ya era conocida y la normativa aplicable no imponía una supresión o restricción del régimen de visitas.</w:t>
      </w:r>
    </w:p>
    <w:p w14:paraId="0F1D57FF" w14:textId="77777777" w:rsidR="003754FE" w:rsidRDefault="003754FE" w:rsidP="003754FE">
      <w:pPr>
        <w:pStyle w:val="TextoNormal"/>
      </w:pPr>
    </w:p>
    <w:p w14:paraId="2FF93E3E" w14:textId="7A62A8C8" w:rsidR="003754FE" w:rsidRDefault="003754FE" w:rsidP="003754FE">
      <w:pPr>
        <w:pStyle w:val="TextoNormal"/>
      </w:pPr>
      <w:r>
        <w:t>Por último, se descarta hacer un análisis de las alegadas lesiones del art. 24.2 CE, relativa al derecho a la prueba, y del art. 25 CE, en tanto que la recurrente en amparo en su escrito apenas las concreta, y concluye que deben ser desestimadas.</w:t>
      </w:r>
    </w:p>
    <w:p w14:paraId="21A477D3" w14:textId="77777777" w:rsidR="003754FE" w:rsidRDefault="003754FE" w:rsidP="003754FE">
      <w:pPr>
        <w:pStyle w:val="TextoNormal"/>
      </w:pPr>
    </w:p>
    <w:p w14:paraId="2F50C5C5" w14:textId="48BFEF6E" w:rsidR="003754FE" w:rsidRDefault="003754FE" w:rsidP="003754FE">
      <w:pPr>
        <w:pStyle w:val="TextoNormal"/>
      </w:pPr>
      <w:r w:rsidRPr="003754FE">
        <w:rPr>
          <w:rStyle w:val="NumeroAFNegritaCaracter"/>
        </w:rPr>
        <w:t>10</w:t>
      </w:r>
      <w:r>
        <w:t>. Por providencia de 19 de septiembre de 2024, se señaló para deliberación y votación de la presente sentencia el día 23 del mismo mes y año.</w:t>
      </w:r>
    </w:p>
    <w:p w14:paraId="7509B5F3" w14:textId="77777777" w:rsidR="003754FE" w:rsidRDefault="003754FE" w:rsidP="003754FE">
      <w:pPr>
        <w:pStyle w:val="TextoNormal"/>
      </w:pPr>
    </w:p>
    <w:p w14:paraId="2E26AA49" w14:textId="77777777" w:rsidR="003754FE" w:rsidRDefault="003754FE" w:rsidP="003754FE">
      <w:pPr>
        <w:pStyle w:val="TextoNormalNegritaCentrado"/>
        <w:keepNext/>
      </w:pPr>
      <w:r>
        <w:lastRenderedPageBreak/>
        <w:t>II. Fundamentos jurídicos</w:t>
      </w:r>
    </w:p>
    <w:p w14:paraId="69967BE1" w14:textId="4D1B5F5F" w:rsidR="003754FE" w:rsidRDefault="003754FE" w:rsidP="003754FE">
      <w:pPr>
        <w:pStyle w:val="TextoNormalNegritaCentrado"/>
        <w:keepNext/>
      </w:pPr>
    </w:p>
    <w:p w14:paraId="1647A4E4" w14:textId="77777777" w:rsidR="003754FE" w:rsidRDefault="003754FE" w:rsidP="003754FE">
      <w:pPr>
        <w:pStyle w:val="TextoNormal"/>
      </w:pPr>
      <w:r w:rsidRPr="003754FE">
        <w:rPr>
          <w:rStyle w:val="NumeroAFNegritaCaracter"/>
        </w:rPr>
        <w:t>1</w:t>
      </w:r>
      <w:r>
        <w:t xml:space="preserve">. </w:t>
      </w:r>
      <w:r w:rsidRPr="003754FE">
        <w:rPr>
          <w:i/>
        </w:rPr>
        <w:t>Objeto del recurso de amparo y pretensiones de las partes</w:t>
      </w:r>
    </w:p>
    <w:p w14:paraId="2F979E4D" w14:textId="77777777" w:rsidR="003754FE" w:rsidRDefault="003754FE" w:rsidP="003754FE">
      <w:pPr>
        <w:pStyle w:val="TextoNormal"/>
      </w:pPr>
    </w:p>
    <w:p w14:paraId="74A0223B" w14:textId="77777777" w:rsidR="003754FE" w:rsidRDefault="003754FE" w:rsidP="003754FE">
      <w:pPr>
        <w:pStyle w:val="TextoNormal"/>
      </w:pPr>
      <w:r>
        <w:t xml:space="preserve">El presente recurso se interpone contra el auto núm. 56/2021, de 26 de abril, dictado por la Sección Segunda de la Audiencia Provincial de Guipúzcoa en el recurso de apelación núm. 2071-2021; contra el auto núm. 28/2020, de 26 de agosto, dictado por el Juzgado de Violencia sobre la Mujer de San Sebastián en recurso de oposición núm. 70-2020; y contra el auto de 3 de marzo de 2020, dictado por el mismo Juzgado de Violencia sobre la Mujer en proceso de ejecución núm. 331-2020, para el cumplimiento del régimen de visitas establecido en sentencia de 22 de diciembre de 2017 dictada en el proceso de divorcio contencioso núm. 53-2017. La recurrente considera que dichas resoluciones vulneran su derecho a la tutela judicial efectiva en la faceta de derecho a obtener una resolución fundada en Derecho no arbitraria, congruente y que no lesione el principio </w:t>
      </w:r>
      <w:r w:rsidRPr="003754FE">
        <w:rPr>
          <w:i/>
        </w:rPr>
        <w:t>iura novit curia</w:t>
      </w:r>
      <w:r>
        <w:t xml:space="preserve"> (art. 24 CE) y el principio de legalidad (art. 25 CE).</w:t>
      </w:r>
    </w:p>
    <w:p w14:paraId="5A069E33" w14:textId="77777777" w:rsidR="003754FE" w:rsidRDefault="003754FE" w:rsidP="003754FE">
      <w:pPr>
        <w:pStyle w:val="TextoNormal"/>
      </w:pPr>
    </w:p>
    <w:p w14:paraId="59E253DB" w14:textId="77777777" w:rsidR="003754FE" w:rsidRDefault="003754FE" w:rsidP="003754FE">
      <w:pPr>
        <w:pStyle w:val="TextoNormal"/>
      </w:pPr>
      <w:r>
        <w:t>Como se ha expuesto con detalle en los antecedentes de esta sentencia, la recurrente en amparo defiende que las resoluciones impugnadas en el proceso de ejecución forzosa de la sentencia de divorcio han vulnerado los arts. 24.1 y 25 CE. Entiende la demandante que la imputación a su persona de un incumplimiento de la sentencia de divorcio con motivo de la suspensión de las visitas por parte del punto de encuentro familiar es arbitraria e irrazonable, vulnerándose de este modo el principio de legalidad y el derecho a la tutela judicial efectiva. Para la recurrente en amparo los órganos judiciales implicados en el proceso de ejecución de la decisión sobre las visitas no han tenido en cuenta que el divorcio se enmarca en un contexto de violencia de género ejercida por su expareja, que estaba siendo resuelto en un procedimiento penal, y que le había generado secuelas psicológicas.</w:t>
      </w:r>
    </w:p>
    <w:p w14:paraId="5CA17B99" w14:textId="77777777" w:rsidR="003754FE" w:rsidRDefault="003754FE" w:rsidP="003754FE">
      <w:pPr>
        <w:pStyle w:val="TextoNormal"/>
      </w:pPr>
    </w:p>
    <w:p w14:paraId="7199A54F" w14:textId="77777777" w:rsidR="003754FE" w:rsidRDefault="003754FE" w:rsidP="003754FE">
      <w:pPr>
        <w:pStyle w:val="TextoNormal"/>
      </w:pPr>
      <w:r>
        <w:t>En sus alegaciones, la representación procesal del exmarido de la recurrente aduce que no se ha vulnerado ninguno de los derechos invocados. Arguye que la demandante de amparo está haciendo un uso abusivo del derecho a la tutela judicial efectiva recurriendo de forma temeraria e injustificada todas las resoluciones que se han dictado en las distintas instancias.</w:t>
      </w:r>
    </w:p>
    <w:p w14:paraId="5D7E3C66" w14:textId="77777777" w:rsidR="003754FE" w:rsidRDefault="003754FE" w:rsidP="003754FE">
      <w:pPr>
        <w:pStyle w:val="TextoNormal"/>
      </w:pPr>
    </w:p>
    <w:p w14:paraId="109B1648" w14:textId="77777777" w:rsidR="003754FE" w:rsidRDefault="003754FE" w:rsidP="003754FE">
      <w:pPr>
        <w:pStyle w:val="TextoNormal"/>
      </w:pPr>
      <w:r>
        <w:t>Para la fiscal el asunto debe ser desestimado puesto que no cabe achacar a las resoluciones judiciales impugnadas ningún atisbo de arbitrariedad, irrazonabilidad o error patente en las razones sobre las que construyen su negativa a las peticiones de la recurrente. Los órganos judiciales eran conscientes de la situación de conflictividad entre las partes, de la poca relación que había mantenido el padre con la niña y de que estaba abierto el proceso penal por delitos de violencia de género.</w:t>
      </w:r>
    </w:p>
    <w:p w14:paraId="6085FB4F" w14:textId="77777777" w:rsidR="003754FE" w:rsidRDefault="003754FE" w:rsidP="003754FE">
      <w:pPr>
        <w:pStyle w:val="TextoNormal"/>
      </w:pPr>
    </w:p>
    <w:p w14:paraId="2B5CF677" w14:textId="77777777" w:rsidR="003754FE" w:rsidRDefault="003754FE" w:rsidP="003754FE">
      <w:pPr>
        <w:pStyle w:val="TextoNormal"/>
      </w:pPr>
      <w:r>
        <w:t xml:space="preserve">Antes de proseguir, debemos comenzar por excluir de nuestro análisis de fondo la invocación que la recurrente realiza sobre la vulneración del principio de legalidad (art. 25 CE), por cuanto dicha invocación aparece en la demanda carente de una argumentación propia en la que pudiera sostenerse dialécticamente la denuncia de su eventual vulneración, no habiendo cumplido la recurrente, por tanto, la carga que sobre ella pesa de fundamentar, siquiera sea mínimamente, las vulneraciones constitucionales denunciadas. Como hemos señalado reiteradamente, no le corresponde a este tribunal reconstruir de oficio la demanda de amparo, ni suplir las razones de las partes —sobre las que recae la carga de la </w:t>
      </w:r>
      <w:r>
        <w:lastRenderedPageBreak/>
        <w:t>argumentación— cuando aquellas no se aportan al recurso (por todas, STC 33/2021, de 15 de febrero, FJ 2). Por este motivo, el objeto del proceso queda limitado al estudio de los argumentos vertidos respecto de la lesión del art. 24.1 CE, en su vertiente de motivación reforzada y razonable.</w:t>
      </w:r>
    </w:p>
    <w:p w14:paraId="37382656" w14:textId="77777777" w:rsidR="003754FE" w:rsidRDefault="003754FE" w:rsidP="003754FE">
      <w:pPr>
        <w:pStyle w:val="TextoNormal"/>
      </w:pPr>
    </w:p>
    <w:p w14:paraId="77C8D890" w14:textId="347E38E2" w:rsidR="003754FE" w:rsidRDefault="003754FE" w:rsidP="003754FE">
      <w:pPr>
        <w:pStyle w:val="TextoNormal"/>
      </w:pPr>
      <w:r>
        <w:t>Ya que los hechos que conforman los antecedentes del recurso de amparo al que da respuesta esta sentencia hacen referencia a una persona menor de edad, y con ánimo de preservar su intimidad, la presente sentencia no incluye la identificación completa de esta ni la de sus parientes inmediatos que aparecen mencionados en las actuaciones, por aplicación de las potestades atribuidas a este tribunal por el art. 86.3 LOTC y el acuerdo del Pleno de 23 de julio de 2015, por el que se regula la exclusión de los datos de identidad personal en la publicación de las resoluciones jurisdiccionales (BOE núm. 178, de 27 de julio de 2015).</w:t>
      </w:r>
    </w:p>
    <w:p w14:paraId="171ED53D" w14:textId="77777777" w:rsidR="003754FE" w:rsidRDefault="003754FE" w:rsidP="003754FE">
      <w:pPr>
        <w:pStyle w:val="TextoNormal"/>
      </w:pPr>
    </w:p>
    <w:p w14:paraId="409A47DF" w14:textId="77777777" w:rsidR="003754FE" w:rsidRDefault="003754FE" w:rsidP="003754FE">
      <w:pPr>
        <w:pStyle w:val="TextoNormal"/>
      </w:pPr>
      <w:r w:rsidRPr="003754FE">
        <w:rPr>
          <w:rStyle w:val="NumeroAFNegritaCaracter"/>
        </w:rPr>
        <w:t>2</w:t>
      </w:r>
      <w:r>
        <w:t xml:space="preserve">. </w:t>
      </w:r>
      <w:r w:rsidRPr="003754FE">
        <w:rPr>
          <w:i/>
        </w:rPr>
        <w:t>El derecho a una resolución judicial motivada y fundada en Derecho: el canon reforzado de motivación (art. 24.1 CE)</w:t>
      </w:r>
    </w:p>
    <w:p w14:paraId="71A98F7A" w14:textId="77777777" w:rsidR="003754FE" w:rsidRDefault="003754FE" w:rsidP="003754FE">
      <w:pPr>
        <w:pStyle w:val="TextoNormal"/>
      </w:pPr>
    </w:p>
    <w:p w14:paraId="4C471C92" w14:textId="77777777" w:rsidR="003754FE" w:rsidRDefault="003754FE" w:rsidP="003754FE">
      <w:pPr>
        <w:pStyle w:val="TextoNormal"/>
      </w:pPr>
      <w:r>
        <w:t>Una vez determinado el objeto de este amparo, debemos delimitar el canon de enjuiciamiento para proceder, posteriormente, a su aplicación al caso concreto que se nos plantea en este recurso. Así, debe recordarse que este tribunal ha reiterado en innumerables ocasiones que el derecho a la tutela judicial efectiva comprende, entre otros, el derecho a obtener una resolución que, salvo que concurra causa legal que prevea la inadmisión, resolverá el fondo del asunto mediante el dictado de una resolución congruente con los pedimentos de las partes, motivada y fundada en Derecho, no incursa en arbitrariedad, irrazonabilidad o error patente (entre las más recientes, STC 28/2024, de 27 de febrero, FJ 4).</w:t>
      </w:r>
    </w:p>
    <w:p w14:paraId="651A20B8" w14:textId="77777777" w:rsidR="003754FE" w:rsidRDefault="003754FE" w:rsidP="003754FE">
      <w:pPr>
        <w:pStyle w:val="TextoNormal"/>
      </w:pPr>
    </w:p>
    <w:p w14:paraId="0296591A" w14:textId="77777777" w:rsidR="003754FE" w:rsidRDefault="003754FE" w:rsidP="003754FE">
      <w:pPr>
        <w:pStyle w:val="TextoNormal"/>
      </w:pPr>
      <w:r>
        <w:t>Esta obligación, aparte de venir impuesta en el art. 120.3 CE, es una exigencia derivada del art. 24.1 CE con el fin de que se puedan conocer las razones de la decisión, posibilitando su control mediante el sistema de recursos, y como garantía frente a la arbitrariedad y a la irrazonabilidad. Esto implica que la resolución ha de contener los elementos y razones de juicio que permitan conocer cuáles han sido los criterios jurídicos que fundamentan la decisión y que la motivación ha de estar fundada en Derecho, lo que determina que no baste una mera declaración de voluntad en un sentido u otro, sino que debe ser consecuencia de una exégesis racional del ordenamiento y no fruto de la arbitrariedad o de un error patente (así, por ejemplo, STC 24/2021, de 15 de febrero, FJ 2, o la ya citada STC 28/2024, FJ 4).</w:t>
      </w:r>
    </w:p>
    <w:p w14:paraId="55012E7C" w14:textId="77777777" w:rsidR="003754FE" w:rsidRDefault="003754FE" w:rsidP="003754FE">
      <w:pPr>
        <w:pStyle w:val="TextoNormal"/>
      </w:pPr>
    </w:p>
    <w:p w14:paraId="6AEAC265" w14:textId="77777777" w:rsidR="003754FE" w:rsidRDefault="003754FE" w:rsidP="003754FE">
      <w:pPr>
        <w:pStyle w:val="TextoNormal"/>
      </w:pPr>
      <w:r>
        <w:t>Como ha sostenido, entre otras, la STC 132/2007, de 4 de junio, FJ 4,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(SSTC 214/1999, de 29 de noviembre, FJ 4; 164/2002, de 17 de septiembre, FJ 4; 228/2005, de 12 de septiembre, FJ 3; 59/2006, de 27 de febrero, FJ 3; 109/2006, de 3 de abril, FJ 5; y 215/2006, de 3 de julio, FJ 3, entre otras)”. Este tribunal ha advertido así que “tanto si la aplicación de la legalidad es fruto de error patente, como si fuere arbitraria, manifiestamente irrazonada o irrazonable no podría considerarse fundada en Derecho, dado que la aplicación de la legalidad sería tan solo una mera apariencia” (por todas, STC 55/2003, FJ 6).</w:t>
      </w:r>
    </w:p>
    <w:p w14:paraId="22591671" w14:textId="77777777" w:rsidR="003754FE" w:rsidRDefault="003754FE" w:rsidP="003754FE">
      <w:pPr>
        <w:pStyle w:val="TextoNormal"/>
      </w:pPr>
    </w:p>
    <w:p w14:paraId="08E4CF31" w14:textId="77777777" w:rsidR="003754FE" w:rsidRDefault="003754FE" w:rsidP="003754FE">
      <w:pPr>
        <w:pStyle w:val="TextoNormal"/>
      </w:pPr>
      <w:r>
        <w:lastRenderedPageBreak/>
        <w:t xml:space="preserve">En el juicio de razonabilidad de las resoluciones ahora impugnadas el canon de motivación </w:t>
      </w:r>
      <w:r w:rsidRPr="003754FE">
        <w:rPr>
          <w:i/>
        </w:rPr>
        <w:t>ex</w:t>
      </w:r>
      <w:r>
        <w:t xml:space="preserve"> art. 24.1 CE, único aplicable para el caso de autos, se encuentra además reforzado. Cuando lo que está en juego son los valores superiores del ordenamiento constitucional o los derechos fundamentales sustantivos el canon de motivación de las resoluciones judiciales que se deriva del art. 24.1 CE no se reduce a la mera expresión de las razones que permitan conocer cuáles han sido los criterios jurídicos esenciales fundamentadores de la decisión sin incurrir en arbitrariedad, irrazonabilidad o error patente. El estándar de las exigencias derivadas del deber de motivación es más riguroso en estos casos, de modo que nuestra jurisprudencia exige motivaciones concordantes con los supuestos en los que la Constitución permite la afectación del valor o derecho en liza (entre muchas otras, SSTC 81/2018, de 16 de julio, FJ 3; 9/2020, de 28 de enero, FJ 6; 113/2021, de 31 de mayo, y 28/2024, de 27 de febrero, FJ 4). Este tribunal ha exigido el cumplimiento del canon reforzado de motivación, en general, a toda limitación de un derecho fundamental (STC 163/2006, de 22 de mayo, FJ 5) y, en particular, cuando se trata de limitar el derecho de reunión (STC 88/2023, de 18 de julio, FJ 4), de manifestación (STC 163/2006, de 22 de mayo, FJ 5) o el derecho al secreto de las comunicaciones (STC 99/2021, de 10 de mayo, FJ 5); también cuando se alega la afectación del derecho fundamental a la no discriminación por razón de sexo del art. 14 CE (STC 173/2013, de 10 de octubre, FJ 3), el derecho a la integridad física y moral del art. 15 CE (STC 40/2010, de 19 de julio), el derecho a la libertad personal del art. 17.1 CE y el derecho a la libertad de residencia del art. 19 CE (STC 50/2014, de 7 de abril, FJ 2), entre otras. El canon de motivación reforzado también se exige, como se ha dicho, en asuntos relacionados con otros bienes, principios y valores constitucionales como el valor superior de la libertad (STC 2/1997, de 13 de enero, FJ 3) o el interés superior del menor por cuanto tiene su proyección constitucional en el art. 39 CE y que se define como rector e inspirador de todas las actuaciones de los poderes públicos, tanto administrativas como judiciales (STC 53/2024, de 8 de abril, FJ 3). Como recordamos en nuestra STC 113/2021, de 31 de mayo, FJ 2 a) (ii), la obligación de motivación que impone el art. 24.1 CE “[a]parece reforzada en el caso en que la pretensión objeto de respuesta esté vinculada a derechos fundamentales sustantivos o intereses de relevancia constitucional, lo que implica la obligación de que se exteriorice el nexo de coherencia entre la decisión adoptada, la norma que le sirve de fundamento y los fines que justifican la institución. No cabe una motivación estereotipada ni la mera constatación apodíctica de que ‘no se cumplen las circunstancias’ que la ley exige ni la justificación en el carácter discrecional de la potestad que se ejerce, pues las potestades discrecionales deben también ejercerse motivadamente (STC 81/2018, de 16 de julio, FJ 3)”.</w:t>
      </w:r>
    </w:p>
    <w:p w14:paraId="4413801F" w14:textId="77777777" w:rsidR="003754FE" w:rsidRDefault="003754FE" w:rsidP="003754FE">
      <w:pPr>
        <w:pStyle w:val="TextoNormal"/>
      </w:pPr>
    </w:p>
    <w:p w14:paraId="2F9A8E1F" w14:textId="77777777" w:rsidR="003754FE" w:rsidRDefault="003754FE" w:rsidP="003754FE">
      <w:pPr>
        <w:pStyle w:val="TextoNormal"/>
      </w:pPr>
      <w:r>
        <w:t xml:space="preserve">Respecto del derecho a la ejecución de resoluciones judiciales como parte integrante del derecho a la tutela judicial efectiva (art. 24.1 CE), es doctrina consolidada de este tribunal que el alcance de las posibilidades de control que puede ejercer sobre el cumplimiento de la potestad jurisdiccional de hacer ejecutar lo juzgado es limitado, porque la interpretación del sentido del fallo de las resoluciones judiciales es una función estrictamente jurisdiccional que, como tal, corresponde en exclusiva a los órganos judiciales (por todas, STC 211/2013, de 16 de diciembre, FJ 3). Por esta razón el control que este tribunal puede realizar sobre el modo en que los jueces y tribunales ejercen esta potestad se limita a comprobar si esas decisiones se adoptan de forma razonablemente coherente con el contenido de la resolución que se ejecuta. De ahí que solo en los casos en los que estas resoluciones sean incongruentes, arbitrarias, irrazonables o incurran en error patente podrán considerarse lesivas del derecho a la tutela judicial efectiva. En efecto, el derecho a la ejecución de las sentencias en sus </w:t>
      </w:r>
      <w:r>
        <w:lastRenderedPageBreak/>
        <w:t>propios términos impide que en fase de ejecución los órganos judiciales lleven a cabo interpretaciones de los fallos que, por alterarlos o apartarse de ellos, incurran en arbitrariedad, incongruencia, irrazonabilidad o error (STC 115/2005, de 9 de mayo, y más recientemente, STC 11/2008, de 21 de enero, FJ 5, entre otras).</w:t>
      </w:r>
    </w:p>
    <w:p w14:paraId="7456108F" w14:textId="77777777" w:rsidR="003754FE" w:rsidRDefault="003754FE" w:rsidP="003754FE">
      <w:pPr>
        <w:pStyle w:val="TextoNormal"/>
      </w:pPr>
    </w:p>
    <w:p w14:paraId="042FC581" w14:textId="6037BEC9" w:rsidR="003754FE" w:rsidRDefault="003754FE" w:rsidP="003754FE">
      <w:pPr>
        <w:pStyle w:val="TextoNormal"/>
      </w:pPr>
      <w:r>
        <w:t>Ese será, pues, el alcance de nuestro control: la razonabilidad de la motivación, incluido el canon reforzado, de las decisiones dictadas en fase de ejecución de la sentencia de divorcio de la recurrente y su exmarido.</w:t>
      </w:r>
    </w:p>
    <w:p w14:paraId="4F8A30C2" w14:textId="77777777" w:rsidR="003754FE" w:rsidRDefault="003754FE" w:rsidP="003754FE">
      <w:pPr>
        <w:pStyle w:val="TextoNormal"/>
      </w:pPr>
    </w:p>
    <w:p w14:paraId="6EA71CAA" w14:textId="77777777" w:rsidR="003754FE" w:rsidRDefault="003754FE" w:rsidP="003754FE">
      <w:pPr>
        <w:pStyle w:val="TextoNormal"/>
      </w:pPr>
      <w:r w:rsidRPr="003754FE">
        <w:rPr>
          <w:rStyle w:val="NumeroAFNegritaCaracter"/>
        </w:rPr>
        <w:t>3</w:t>
      </w:r>
      <w:r>
        <w:t xml:space="preserve">. </w:t>
      </w:r>
      <w:r w:rsidRPr="003754FE">
        <w:rPr>
          <w:i/>
        </w:rPr>
        <w:t>Motivación reforzada en contextos de violencia de género</w:t>
      </w:r>
    </w:p>
    <w:p w14:paraId="53A0B913" w14:textId="77777777" w:rsidR="003754FE" w:rsidRDefault="003754FE" w:rsidP="003754FE">
      <w:pPr>
        <w:pStyle w:val="TextoNormal"/>
      </w:pPr>
    </w:p>
    <w:p w14:paraId="2215EB94" w14:textId="77777777" w:rsidR="003754FE" w:rsidRDefault="003754FE" w:rsidP="003754FE">
      <w:pPr>
        <w:pStyle w:val="TextoNormal"/>
      </w:pPr>
      <w:r>
        <w:t>En la STC 106/2011, de 20 de junio, FJ 2, declaramos que “constituye doctrina consolidada de este tribunal que las exigencias del derecho a la tutela judicial efectiva serán distintas y más estrictas, ‘reforzadas’ (SSTC 63/2005, de 14 de marzo, FJ 3, y 224/2007, de 22 de octubre, FJ 3), cuando, a pesar de que la decisión judicial no se refiera directamente a la preservación o a los límites de un derecho fundamental, uno de estos derechos, distinto al de la propia tutela judicial, esté implicado (STC 11/2004, de 9 de febrero, FJ 2), esté vinculado (STC 180/2005, de 4 de julio, FJ 7), conectado (SSTC 11/2004, de 9 de febrero, FJ 2, y 71/2004, de 19 de abril, FJ 4), en juego (STC 115/2003, de 16 de junio, FJ 3) o quede afectado (SSTC 186/2003, de 27 de octubre, FJ 5, y 192/2003, de 27 de octubre, FJ 3) por tal decisión”.</w:t>
      </w:r>
    </w:p>
    <w:p w14:paraId="6EF86CDC" w14:textId="77777777" w:rsidR="003754FE" w:rsidRDefault="003754FE" w:rsidP="003754FE">
      <w:pPr>
        <w:pStyle w:val="TextoNormal"/>
      </w:pPr>
    </w:p>
    <w:p w14:paraId="5C69A5B7" w14:textId="77777777" w:rsidR="003754FE" w:rsidRDefault="003754FE" w:rsidP="003754FE">
      <w:pPr>
        <w:pStyle w:val="TextoNormal"/>
      </w:pPr>
      <w:r>
        <w:t>Todas las resoluciones impugnadas, objeto de este recurso, están conectadas o afectan al derecho a la igualdad y a la prohibición de discriminación por razón de sexo, porque todo el proceso judicial se desarrolla en un contexto de violencia de género, y los delitos relacionados con la violencia de género constituyen la forma más grave de discriminación contra la mujer (STC 48/2024, de 8 de abril, FJ 5). Se requería por ello en este caso, por parte de nuestros órganos jurisdiccionales, una motivación reforzada que, en el ejercicio de su función aplicativa de la legalidad vigente, evidenciara, sin ningún tipo de duda, que las decisiones adoptadas, que imputaron a la ahora demandante de amparo una suerte de falta de colaboración en la ejecución del régimen de visitas, tuvieron en cuenta el contexto de violencia en el que se dictaban y su conexión con el derecho a la igualdad y la no discriminación. En caso contrario este tribunal, en el ejercicio legítimo de su competencia, estimará la alegada vulneración del art. 24.1 CE.</w:t>
      </w:r>
    </w:p>
    <w:p w14:paraId="1E6E991B" w14:textId="77777777" w:rsidR="003754FE" w:rsidRDefault="003754FE" w:rsidP="003754FE">
      <w:pPr>
        <w:pStyle w:val="TextoNormal"/>
      </w:pPr>
    </w:p>
    <w:p w14:paraId="2923831A" w14:textId="77777777" w:rsidR="003754FE" w:rsidRDefault="003754FE" w:rsidP="003754FE">
      <w:pPr>
        <w:pStyle w:val="TextoNormal"/>
      </w:pPr>
      <w:r>
        <w:t xml:space="preserve">La Ley Orgánica 1/2004, de 28 de diciembre, de medidas de protección integral contra la violencia de género, reguló la garantía del principio de transversalidad de la igualdad de género. Con posterioridad, la Ley Orgánica 3/2007, de 22 de marzo, para la igualdad efectiva de mujeres y hombres, con fundamento tanto en los arts. 14 y 9.2 CE como en el Derecho internacional de los derechos humanos, reconoció la igualdad de trato y de oportunidades como un principio informador de nuestro ordenamiento, debiendo por ello integrarse y observarse en la interpretación y aplicación de nuestras normas jurídicas. Deber en el que redunda su artículo 15 al consagrar la transversalidad del principio de igualdad de trato entre mujeres y hombres, que proyecta sobre todos los poderes públicos, y mandatos que serán reproducidos con posterioridad por la Ley 15/2022, de 12 de julio, integral para la igualdad de trato y la no discriminación (artículo 4.3), cuyo artículo 7.1 impone el deber de adecuación de la actuación de los poderes públicos a los instrumentos internacionales en materia de derechos humanos en los que sea parte España y a la jurisprudencia emitida por los </w:t>
      </w:r>
      <w:r>
        <w:lastRenderedPageBreak/>
        <w:t>órganos jurisdiccionales internacionales, debiendo además tenerse en cuenta las “recomendaciones y resoluciones adoptadas por los organismos internacionales multilaterales y regionales”.</w:t>
      </w:r>
    </w:p>
    <w:p w14:paraId="2E597D9B" w14:textId="77777777" w:rsidR="003754FE" w:rsidRDefault="003754FE" w:rsidP="003754FE">
      <w:pPr>
        <w:pStyle w:val="TextoNormal"/>
      </w:pPr>
    </w:p>
    <w:p w14:paraId="5AD9ACB7" w14:textId="77777777" w:rsidR="003754FE" w:rsidRDefault="003754FE" w:rsidP="003754FE">
      <w:pPr>
        <w:pStyle w:val="TextoNormal"/>
      </w:pPr>
      <w:r>
        <w:t>Existe, en definitiva, un deber legal de interpretación y aplicación de las normas jurídicas que busque la igualdad real entre mujeres y hombres y la ruptura con la perpetuación de los roles de género. Un deber para cuya delimitación habrá de acudirse a los tratados y convenios internacionales y que no es ajeno a nuestro texto constitucional, en virtud de cuyo art. 10.2 estamos obligados a interpretar que los delitos de violencia de género han de reputarse como la forma más grave de discriminación contra la mujer.</w:t>
      </w:r>
    </w:p>
    <w:p w14:paraId="50EE4ADB" w14:textId="77777777" w:rsidR="003754FE" w:rsidRDefault="003754FE" w:rsidP="003754FE">
      <w:pPr>
        <w:pStyle w:val="TextoNormal"/>
      </w:pPr>
    </w:p>
    <w:p w14:paraId="253103C6" w14:textId="77777777" w:rsidR="003754FE" w:rsidRDefault="003754FE" w:rsidP="003754FE">
      <w:pPr>
        <w:pStyle w:val="TextoNormal"/>
      </w:pPr>
      <w:r>
        <w:t>El 20 de enero de 1992, el Comité de la Convención sobre la eliminación de todas las formas de discriminación contra la mujer, aprobado en el seno de las Naciones Unidas en 1979 y ratificado por España en 1983 (CEDAW, por sus siglas en inglés), en su recomendación general núm. 19, reconoció en sus antecedentes que “[l]a violencia contra la mujer es una forma de discriminación que inhibe gravemente la capacidad de la mujer de gozar de derechos y libertades en pie de igualdad con el hombre”. Por este motivo, en sus observaciones generales incorporó “la violencia basada en el sexo, es decir, la violencia dirigida contra la mujer porque es mujer o que la afecta en forma desproporcionada”, en la definición que de la discriminación contra la mujer hace el art. 1 del Convenio. Discriminación en la que incurren aquellos poderes públicos que perpetúan la atribución de funciones estereotipadas de las mujeres. En este sentido, el Comité de la CEDAW, en su dictamen de 16 de julio de 2014 concluyó que en contextos de violencia de género no cabe que el personal implicado en la ejecución del régimen de visitas adopte como principal objetivo la normalización de las relaciones entre los y las menores y sus padres. Deben valorarse, en todos sus aspectos, los beneficios o perjuicios para el menor del régimen impuesto. En este caso, sobre la base de la consideración de la violencia de género como una discriminación, el Comité declaró que los elementos de valoración y decisión de las autoridades implicadas “reflejan un patrón de actuación que obedece a una concepción estereotipada del derecho de visita basado en la igualdad formal”, colocando a madre e hija, víctimas de violencia de género, en una situación de vulnerabilidad.</w:t>
      </w:r>
    </w:p>
    <w:p w14:paraId="64139C87" w14:textId="77777777" w:rsidR="003754FE" w:rsidRDefault="003754FE" w:rsidP="003754FE">
      <w:pPr>
        <w:pStyle w:val="TextoNormal"/>
      </w:pPr>
    </w:p>
    <w:p w14:paraId="2A5F55C6" w14:textId="77777777" w:rsidR="003754FE" w:rsidRDefault="003754FE" w:rsidP="003754FE">
      <w:pPr>
        <w:pStyle w:val="TextoNormal"/>
      </w:pPr>
      <w:r>
        <w:t>También el Convenio del Consejo de Europa sobre prevención y lucha contra la violencia contra las mujeres y la violencia doméstica, firmado en 2011 y en vigor en España desde 2014 (Convenio de Estambul) entiende la violencia contra las mujeres como una violación de los derechos humanos y una forma de discriminación obligando, de conformidad con su art. 31, a que en la regulación y aplicación del régimen de custodia y visitas se tengan en cuenta los incidentes de violencia, debiéndose abordar los mismos desde la perspectiva de la prevalente desigualdad entre hombres y mujeres. Un enfoque que, tal y como advirtió el Grupo de expertos en la lucha contra la violencia contra las mujeres y la violencia doméstica (GREVIO), órgano de supervisión del mencionado Convenio, en su Tercer informe general de actividades (2021), sería contrario a la práctica de aquellos Estados que tienden a dar prioridad a un interés superior del niño que se equipara con mantener el contacto con ambos progenitores, independientemente de que su padre sea un maltratador —o presunto maltratador— y de la exposición del niño a la violencia (puntos 76 y 82 del informe), pues así no se estaría sino minimizando las lesiones de derechos, empezando por la igualdad, que concurren en los contextos de violencia de género (puntos 79, 80 y 82).</w:t>
      </w:r>
    </w:p>
    <w:p w14:paraId="57EA6849" w14:textId="77777777" w:rsidR="003754FE" w:rsidRDefault="003754FE" w:rsidP="003754FE">
      <w:pPr>
        <w:pStyle w:val="TextoNormal"/>
      </w:pPr>
    </w:p>
    <w:p w14:paraId="3F7C0B28" w14:textId="77777777" w:rsidR="003754FE" w:rsidRDefault="003754FE" w:rsidP="003754FE">
      <w:pPr>
        <w:pStyle w:val="TextoNormal"/>
      </w:pPr>
      <w:r>
        <w:lastRenderedPageBreak/>
        <w:t>Esta comprensión de la violencia de género y de sus implicaciones sobre el régimen de comunicación y visitas ha sido acogida, de hecho, por la Ley 8/2021, de 2 de junio, por la que se reforma la legislación civil y procesal para el apoyo a las personas con discapacidad en el ejercicio de su capacidad jurídica, que ha modificado el art. 94 del Código civil prohibiendo el establecimiento de un régimen de visita o estancia (y obligando a su suspensión en caso de que ya se hubiera establecido) respecto del progenitor incurso en un proceso penal iniciado por atentar contra la vida, la integridad física, la libertad, la integridad moral o la libertad e indemnidad sexual del otro cónyuge o sus hijos. Y aunque es cierto que la Ley 8/2021 no estaba vigente en el momento de autos en el País Vasco, el art. 11 de la ya mencionada Ley del Parlamento Vasco 7/2015, de 30 de junio, de relaciones familiares en supuestos de separación o ruptura de los progenitores, proscribe la atribución de la guarda y custodia de los hijos e hijas, y el establecimiento de un régimen de estancia, relación y comunicación respecto de ellos y ellas, en favor del progenitor “condenado penalmente por sentencia firme por un delito de violencia doméstica o de género”, previendo a continuación que “los indicios fundados de la comisión de dichos delitos serán tenidos en cuenta por el juez como circunstancias relevantes a los efectos del establecimiento o modificación de las medidas previstas en esta ley en relación con dicho régimen”. Finalmente, y de conformidad con el art. 2.2 c) de la Ley Orgánica 1/1996, de 15 de enero, de protección jurídica del menor, a efectos de la interpretación y aplicación del interés superior del menor, en cada caso habrá de tenerse en cuenta la “conveniencia de que su vida y desarrollo tenga lugar en un entorno familiar adecuado y libre de violencia”.</w:t>
      </w:r>
    </w:p>
    <w:p w14:paraId="5D8A3490" w14:textId="77777777" w:rsidR="003754FE" w:rsidRDefault="003754FE" w:rsidP="003754FE">
      <w:pPr>
        <w:pStyle w:val="TextoNormal"/>
      </w:pPr>
    </w:p>
    <w:p w14:paraId="7B094412" w14:textId="03C553CA" w:rsidR="003754FE" w:rsidRDefault="003754FE" w:rsidP="003754FE">
      <w:pPr>
        <w:pStyle w:val="TextoNormal"/>
      </w:pPr>
      <w:r>
        <w:t>Concluyendo, en atención al deber legal de aplicación por nuestros poderes públicos del principio transversal de la igualdad de género y en virtud del art. 10.2 CE, parámetro interpretativo insoslayable de nuestro sistema de derechos y libertades (SSTC 19/2023, de 22 de marzo, FJ 3; 22/2023, de 27 de marzo, FJ 3, o 61/2024, de 9 de abril, FJ 4), en el ejercicio de sus funciones los jueces deben ser muy conscientes de las dinámicas de sometimiento inherentes a la violencia de género que impactan negativamente en las mujeres que han sido víctimas, no pudiendo asumir que el interés superior del menor es equivalente siempre a mantener relaciones con ambos progenitores.</w:t>
      </w:r>
    </w:p>
    <w:p w14:paraId="6B4232EE" w14:textId="77777777" w:rsidR="003754FE" w:rsidRDefault="003754FE" w:rsidP="003754FE">
      <w:pPr>
        <w:pStyle w:val="TextoNormal"/>
      </w:pPr>
    </w:p>
    <w:p w14:paraId="09903544" w14:textId="77777777" w:rsidR="003754FE" w:rsidRDefault="003754FE" w:rsidP="003754FE">
      <w:pPr>
        <w:pStyle w:val="TextoNormal"/>
      </w:pPr>
      <w:r w:rsidRPr="003754FE">
        <w:rPr>
          <w:rStyle w:val="NumeroAFNegritaCaracter"/>
        </w:rPr>
        <w:t>4</w:t>
      </w:r>
      <w:r>
        <w:t xml:space="preserve">. </w:t>
      </w:r>
      <w:r w:rsidRPr="003754FE">
        <w:rPr>
          <w:i/>
        </w:rPr>
        <w:t>Aplicación al caso de la jurisprudencia constitucional sobre el deber de motivación de las resoluciones de ejecución de regímenes de visita (art. 24.1 CE) en contextos de violencia de género</w:t>
      </w:r>
    </w:p>
    <w:p w14:paraId="5B639538" w14:textId="77777777" w:rsidR="003754FE" w:rsidRDefault="003754FE" w:rsidP="003754FE">
      <w:pPr>
        <w:pStyle w:val="TextoNormal"/>
      </w:pPr>
    </w:p>
    <w:p w14:paraId="4C17AA4A" w14:textId="77777777" w:rsidR="003754FE" w:rsidRDefault="003754FE" w:rsidP="003754FE">
      <w:pPr>
        <w:pStyle w:val="TextoNormal"/>
      </w:pPr>
      <w:r>
        <w:t>Debemos ahora analizar las decisiones impugnadas bajo el parámetro constitucional sentado en los anteriores fundamentos jurídicos y recordar que son objeto de este recurso de amparo tres decisiones judiciales: el auto núm. 56/2021, de 26 de abril, dictado por la Sección Segunda de la Audiencia Provincial de Guipúzcoa en el recurso de apelación núm. 2071-2021; el auto núm. 28/2020, de 26 de agosto, dictado por el Juzgado de Violencia sobre la Mujer de San Sebastián, en recurso de oposición núm. 70-2020; y el auto 3 de marzo de 2020, dictado por el Juzgado de Violencia sobre la Mujer de San Sebastián en el procedimiento de ejecución núm. 331-2020. Los argumentos jurídicos utilizados por estas instancias judiciales para rechazar la oposición de la recurrente a la ejecución forzosa del régimen de visitas impuesto por la sentencia de 22 de diciembre de 2017 dictada en el proceso de divorcio entre la recurrente y su exmarido, se encuentran expuestos en los antecedentes de esta sentencia, a los que, más allá de las explicaciones que se hagan a continuación, nos remitimos.</w:t>
      </w:r>
    </w:p>
    <w:p w14:paraId="0FD8BAA1" w14:textId="77777777" w:rsidR="003754FE" w:rsidRDefault="003754FE" w:rsidP="003754FE">
      <w:pPr>
        <w:pStyle w:val="TextoNormal"/>
      </w:pPr>
    </w:p>
    <w:p w14:paraId="01925449" w14:textId="77777777" w:rsidR="003754FE" w:rsidRDefault="003754FE" w:rsidP="003754FE">
      <w:pPr>
        <w:pStyle w:val="TextoNormal"/>
      </w:pPr>
      <w:r>
        <w:t>En el auto de 3 de marzo de 2020, se despachó ejecución frente a la hoy recurrente en base al título sentencia de divorcio de 22 de diciembre de 2017, para la ejecución efectiva del régimen de visitas del padre a la hija común. La magistrada titular del juzgado comprueba que el escrito solicitando la ejecución cumple los requisitos fijados legalmente y se ordena a la madre que cumpla con las visitas, apercibiéndola de las posibles sanciones como son multas coercitivas y la de modificar el régimen de guarda y visitas en caso de incumplimiento reiterado. Se dicta orden general de ejecución a favor del padre. Nada se dice de que existe un proceso de violencia de género abierto contra él.</w:t>
      </w:r>
    </w:p>
    <w:p w14:paraId="65700CF9" w14:textId="77777777" w:rsidR="003754FE" w:rsidRDefault="003754FE" w:rsidP="003754FE">
      <w:pPr>
        <w:pStyle w:val="TextoNormal"/>
      </w:pPr>
    </w:p>
    <w:p w14:paraId="0D22D6C5" w14:textId="77777777" w:rsidR="003754FE" w:rsidRDefault="003754FE" w:rsidP="003754FE">
      <w:pPr>
        <w:pStyle w:val="TextoNormal"/>
      </w:pPr>
      <w:r>
        <w:t>En el auto núm. 28/2020, se contesta al escrito de oposición presentado por la recurrente en amparo en el que se alegaba el cumplimiento por su parte del régimen de estancias establecido en la sentencia de divorcio y al que se acompñaban informes médicos tanto respecto de su estado psicológico como del de la niña. La magistrada titular del Juzgado de Violencia sobre la Mujer de San Sebastián, señala en el fundamento de Derecho primero que la situación refleja “la falta de cooperación en la motivación de la menor para el cumplimiento efectivo del régimen de visitas judicialmente establecido”. A este respecto, reconoce que la sentencia de divorcio no impone a la madre la obligación personalísima de acompañar a su hija al punto de encuentro familiar, pero “sí exige a la misma, como progenitora custodia, el despliegue de la colaboración necesaria para que, atendiendo a las circunstancias de edad y madurez de la menor, el régimen de estancias establecido judicialmente con el progenitor no custodio pueda llevarse, efectiva y materialmente, a cabo”. Sobre esta base, según se defiende en el auto, el problema radica en que la abuela materna, que es quien acompaña a la niña, y según el punto de encuentro familiar hace constar en los informes del centro, “se abstiene de motivar a la menor para que acceda a la visita, mostrándose pasiva o cuasi pasiva en esta labor”. En definitiva, si bien la sentencia no exige que sea la madre quien de modo personal se desplace al punto de encuentro familiar y haga entrega de su hija en el mismo, “sí le exige el despliegue de una actitud y actividad colaboradora para que el régimen de estancias de la menor con el padre se lleve efectivamente a cabo pues, dada la corta edad de la misma, la menor es fácilmente influenciable y susceptible de ser motivada y estimulada (o por el contrario, desanimada) a la realización de cualquier acto o conducta. Y, dentro de esta actitud de cooperación, se encuentra la obligación para la madre […] de delegar esta labor en una persona que tenga la capacidad y la voluntad suficientes para realizar la labor de motivación requerida por la situación para la ejecución efectiva de las estancias judicialmente estipuladas”. La magistrada indica que “parece existir un incumplimiento por parte de la madre dado que la persona elegida por ella para la realización de esta función, pudiera ser como consecuencia de su propia implicación en el conflicto parental/familiar, no parece querer realizar actuación alguna dirigida a estimular, animar o motivar a la menor al cumplimiento del régimen de estancias, siendo esta actitud pasiva la que se recoge en los informes”. Se concluye en el primer fundamento de Derecho que “sí puede apreciarse una actitud de incumplimiento en la madre al no realizar, ni directa ni indirectamente, una suficiente actividad de refuerzo y motivación en la menor para la ejecución efectiva de las estancias paternofiliales judicialmente establecidas, aceptando, de este modo, la pasividad que, en esta labor, despliega la persona designada por ella para sustituirla en el ejercicio de la misma”.</w:t>
      </w:r>
    </w:p>
    <w:p w14:paraId="6E110B3D" w14:textId="77777777" w:rsidR="003754FE" w:rsidRDefault="003754FE" w:rsidP="003754FE">
      <w:pPr>
        <w:pStyle w:val="TextoNormal"/>
      </w:pPr>
    </w:p>
    <w:p w14:paraId="05D38AEC" w14:textId="77777777" w:rsidR="003754FE" w:rsidRDefault="003754FE" w:rsidP="003754FE">
      <w:pPr>
        <w:pStyle w:val="TextoNormal"/>
      </w:pPr>
      <w:r>
        <w:t xml:space="preserve">En definitiva, la recurrente en amparo incumple el régimen de visitas establecido en la sentencia de divorcio porque ni ha motivado a su hija para encontrarse con su padre ni ha </w:t>
      </w:r>
      <w:r>
        <w:lastRenderedPageBreak/>
        <w:t>elegido a la persona adecuada para que lo haga por ella, porque la abuela está demasiado afectada por el conflicto familiar. De nuevo, no aparece en todo el auto ninguna referencia al contexto de violencia de género concurrente en el asunto. Tampoco se menciona nada sobre los informes médicos presentados por la recurrente sobre su salud y los de su hija.</w:t>
      </w:r>
    </w:p>
    <w:p w14:paraId="52ABC011" w14:textId="77777777" w:rsidR="003754FE" w:rsidRDefault="003754FE" w:rsidP="003754FE">
      <w:pPr>
        <w:pStyle w:val="TextoNormal"/>
      </w:pPr>
    </w:p>
    <w:p w14:paraId="61402369" w14:textId="77777777" w:rsidR="003754FE" w:rsidRDefault="003754FE" w:rsidP="003754FE">
      <w:pPr>
        <w:pStyle w:val="TextoNormal"/>
      </w:pPr>
      <w:r>
        <w:t>Por último, la Audiencia Provincial de Guipúzcoa, en su auto núm. 56/2021, desestimatorio de la apelación de la hoy recurrente en amparo, hace un recorrido por todo el proceso, desde la sentencia de divorcio, que fija las medidas reguladoras del mismo y el régimen de visitas, hasta los recursos interpuestos por el padre no custodio por supuesto incumplimiento del auto de ejecución por parte de la madre. Como se señaló en los antecedentes de esta sentencia, la Audiencia Provincial en su auto repasa los argumentos seguidos por los órganos judiciales que le han precedido en el sistema de recursos y finalmente expone los suyos que son, esencialmente, cuatro.</w:t>
      </w:r>
    </w:p>
    <w:p w14:paraId="0632A239" w14:textId="77777777" w:rsidR="003754FE" w:rsidRDefault="003754FE" w:rsidP="003754FE">
      <w:pPr>
        <w:pStyle w:val="TextoNormal"/>
      </w:pPr>
    </w:p>
    <w:p w14:paraId="26782EF1" w14:textId="77777777" w:rsidR="003754FE" w:rsidRDefault="003754FE" w:rsidP="003754FE">
      <w:pPr>
        <w:pStyle w:val="TextoNormal"/>
      </w:pPr>
      <w:r>
        <w:t>Es relevante para nuestra propia fundamentación fijarnos en la trascripción que la Audiencia Provincial lleva a cabo en su auto de los informes del punto de encuentro familiar respecto de la actitud de la abuela materna y la madre ante las negativas de la niña a encontrarse con su padre. En el octavo antecedente básico, plasmado en el fundamento de Derecho primero se destaca el informe del punto de encuentro familiar de 20 de octubre de 2019, focalizado especialmente en tres visitas (las correspondientes a los días 7 y 21 de septiembre y 20 de octubre de 2019) que se suspendieron a criterio educativo tras la negativa de la niña a acceder al encuentro. En concreto, respecto al intercambio suspendido el día 20 de octubre, en el informe se dice que “[a] la recepción se observa a [la niña] agarrada a la mano de su abuela y con semblante serio. Al invitarle a acceder al centro, la niña no emite respuesta y tira de la abuela hacia las escaleras, mostrando reticencias para acceder al encuentro, motivo por el cual se le deja unos minutos a la abuela materna para motivar a la niña. Tras unos minutos al preguntarle a la niña si quiere entrar, esta verbaliza ‘no’ por lo que se suspende el encuentro. Señalar que no existe motivación alguna por parte de la abuela materna”. En el informe se hace hincapié en la falta de cooperación de la madre y de la abuela “[a]tendiendo a la positiva dinámica observada en los intercambios previos […] así como a la intermitencia en el adecuado desarrollo de los intercambios, el punto de encuentro familiar informa de la preocupación que suscita la situación respecto a las posibles dificultades de la parte custodia, conscientes o inconscientes, en el adecuado manejo de la situación de conflicto”.</w:t>
      </w:r>
    </w:p>
    <w:p w14:paraId="7B3EA7EB" w14:textId="77777777" w:rsidR="003754FE" w:rsidRDefault="003754FE" w:rsidP="003754FE">
      <w:pPr>
        <w:pStyle w:val="TextoNormal"/>
      </w:pPr>
    </w:p>
    <w:p w14:paraId="3A39B9AD" w14:textId="77777777" w:rsidR="003754FE" w:rsidRDefault="003754FE" w:rsidP="003754FE">
      <w:pPr>
        <w:pStyle w:val="TextoNormal"/>
      </w:pPr>
      <w:r>
        <w:t>Más adelante en el mismo fundamento de Derecho primero, se transcribe parte del informe emitido por el punto de encuentro familiar el 23 de enero de 2020, relativo a las visitas programadas para los días 16, 17 y 30 de noviembre de 2019 y 14, 28 y 29 de diciembre de 2019. En el apartado “observaciones de interés” se relata que “únicamente se lleva a cabo el último intercambio programado, siendo el resto suspendido a criterio educativo atendiendo a la negativa de [la niña] a acceder al encuentro. [La niña] se muestra firme en su negación, seria y triste, llorando en un par de ocasiones. Acostumbra a tirar a su abuela de la mano para subir las escaleras de salida del centro. [La abuela] permanece en silencio e inmóvil cuando su nieta se niega. Cuando se le pide su apoyo para facilitar que entre, esta se limita a decir ‘venga cariño ¿qué pasa?’”.</w:t>
      </w:r>
    </w:p>
    <w:p w14:paraId="1690D4B7" w14:textId="77777777" w:rsidR="003754FE" w:rsidRDefault="003754FE" w:rsidP="003754FE">
      <w:pPr>
        <w:pStyle w:val="TextoNormal"/>
      </w:pPr>
    </w:p>
    <w:p w14:paraId="6FC1F049" w14:textId="77777777" w:rsidR="003754FE" w:rsidRDefault="003754FE" w:rsidP="003754FE">
      <w:pPr>
        <w:pStyle w:val="TextoNormal"/>
      </w:pPr>
      <w:r>
        <w:t xml:space="preserve">Con esta valoración de la situación por los equipos socioeducativos, la Audiencia Provincial desarrolla su motivación para desestimar el recurso de apelación de doña V.F.C. En </w:t>
      </w:r>
      <w:r>
        <w:lastRenderedPageBreak/>
        <w:t>primer lugar, se descarta que exista una obligación personalísima de la madre de llevar en persona a su hija a las visitas con su padre, por lo que nada se opone a que sean los abuelos maternos los que la acompañen. En segundo lugar, se hace una síntesis de la doctrina del Tribunal Constitucional en relación con el derecho a la ejecución de las decisiones judiciales firmes como una manifestación del derecho a la tutela judicial efectiva, ejecución que implica que lo juzgado se lleve a cabo en sus propios términos. Por ello, los jueces y tribunales no pueden revisar las sentencias y demás resoluciones al margen de los supuestos taxativamente previstos en la ley. Así, desde la perspectiva del art. 24.1 CE, no puede aceptarse que, sin haberse alterado los términos en los cuales la disputa procesal fue planteada y resuelta ante la Sala sentenciadora, se pretenda privar de efectos por la vía de discutir de nuevo, en trámite de ejecución, lo que ya en su día fue definitivamente resuelto por el órgano judicial. En tercer lugar, la Audiencia Provincial recuerda que la finalidad del régimen de visitas y comunicación de los hijos con sus progenitores no custodios es el mantenimiento de las relaciones entre padres o madres y sus hijos. En el establecimiento de dicho régimen debe prevalecer, según el artículo 94 del Código civil, el interés superior del menor. Además, se recuerda la jurisprudencia del Tribunal Constitucional en la que se manifiesta que las visitas del progenitor no custodio son un derecho tanto del progenitor como del hijo al ser manifestación del vínculo filial entre ambos. En esta línea, la Audiencia Provincial recuerda que con el derecho de visitas se pretende “propiciar la continuación de las relaciones paterno o materno filiales, evitando la ruptura, por falta de convivencia, de los lazos de afecto que deben mediar entre ellos y por estimar que el adecuado desarrollo de la personalidad del menor se garantiza de mejor manera manteniendo relaciones lo más normalizadas posibles con ambos progenitores y las familias extensas de los mismos”. Y continua exponiendo que “[d]ejar a la pura voluntad del menor el régimen de ejecución de las visitas/estancias no es ni razonable ni acorde a Derecho. El desarrollo del régimen de visitas no puede estar condicionado a la voluntad unilateral de la menor que en estos momentos cuenta con cuatro años de edad ya que dejar al exclusivo criterio de la menor y a una edad tan temprana tal decisión haría inviable o altamente improbable la persistencia de la relación paternofilial pudiendo llegar incluso a la posible anulación de la figura paterna”. La Audiencia Provincial no ofrece la razón que le lleva a realizar tal afirmación. Por todo lo anterior, la Audiencia Provincial concluye que no existe una imposibilidad física o jurídica para llevar a efecto el pronunciamiento judicial sobre visitas y estancias en este supuesto. En cambio, lo que sí se ha apreciado “es la escasa disposición motivadora de la abuela materna, […], para el normal desarrollo de las visitas de [la menor]-progenitor no custodio”.</w:t>
      </w:r>
    </w:p>
    <w:p w14:paraId="7ADF6E55" w14:textId="77777777" w:rsidR="003754FE" w:rsidRDefault="003754FE" w:rsidP="003754FE">
      <w:pPr>
        <w:pStyle w:val="TextoNormal"/>
      </w:pPr>
    </w:p>
    <w:p w14:paraId="08A1262A" w14:textId="77777777" w:rsidR="003754FE" w:rsidRDefault="003754FE" w:rsidP="003754FE">
      <w:pPr>
        <w:pStyle w:val="TextoNormal"/>
      </w:pPr>
      <w:r>
        <w:t>Así, siguiendo el razonamiento expresado en los tres autos impugnados, se llega a la absurda situación de que, para poder continuar con el régimen de visitas supuestamente incumplido, solo queda obligar a la recurrente a que obligue a su madre, abuela de la niña y encargada de llevarla al punto de encuentro familiar, a sostener una actitud favorable y de empatía con el padre. Las instancias competentes reconocen que, en efecto, el cumplimiento del régimen de visitas no pasa por una obligación personalísima de la madre custodia de llevar personalmente a su hija a los encuentros con su padre, admitiendo que sea la abuela materna quien se encargue de este cometido. Sin embargo, apenas se menciona que la falta de acompañamiento de la madre se debe a que está en tratamiento psicológico por las secuelas generadas por la violencia ejercida por su exmarido sobre ella durante su relación de pareja.</w:t>
      </w:r>
    </w:p>
    <w:p w14:paraId="5A4451E5" w14:textId="77777777" w:rsidR="003754FE" w:rsidRDefault="003754FE" w:rsidP="003754FE">
      <w:pPr>
        <w:pStyle w:val="TextoNormal"/>
      </w:pPr>
    </w:p>
    <w:p w14:paraId="4630060E" w14:textId="77777777" w:rsidR="003754FE" w:rsidRDefault="003754FE" w:rsidP="003754FE">
      <w:pPr>
        <w:pStyle w:val="TextoNormal"/>
      </w:pPr>
      <w:r>
        <w:lastRenderedPageBreak/>
        <w:t>En efecto, las decisiones impugnadas se adoptan paralelamente a que, por auto de 3 de abril de 2017, se iniciaran diligencias previas en procedimiento tramitado en el mismo Juzgado de Violencia sobre la Mujer de San Sebastián, bajo el número 200-2017, tras la recepción de escrito de 31 de marzo de 2017, presentado por la Fiscalía Provincial de Guipúzcoa que, a su vez, dictó el correspondiente decreto de 30 de marzo de 2017 en las diligencias de investigación núm. 86-2017. El 2 de septiembre de 2019, el Ministerio Fiscal formuló acusación contra el exmarido de la recurrente por diversos delitos de violencia de género. El 7 de octubre de 2019 se dictó auto de apertura de juicio oral contra el exmarido por varios delitos de violencia de género por el Juzgado de lo Penal núm. 3 de San Sebastián. Pues bien, ninguna de las tres resoluciones impugnadas —recuérdese que dos de los tres autos proceden del juzgado especializado en violencia contra la mujer—, tiene en cuenta en su ponderación de los intereses y derechos en juego la vía penal abierta contra el padre de la niña como indicio fundado de que aquel pudo cometer conductas constitutivas de violencia machista contra la madre de su hija.</w:t>
      </w:r>
    </w:p>
    <w:p w14:paraId="300C2886" w14:textId="77777777" w:rsidR="003754FE" w:rsidRDefault="003754FE" w:rsidP="003754FE">
      <w:pPr>
        <w:pStyle w:val="TextoNormal"/>
      </w:pPr>
    </w:p>
    <w:p w14:paraId="7DC8ED78" w14:textId="77777777" w:rsidR="003754FE" w:rsidRDefault="003754FE" w:rsidP="003754FE">
      <w:pPr>
        <w:pStyle w:val="TextoNormal"/>
      </w:pPr>
      <w:r>
        <w:t>En cambio, tanto el Juzgado de Violencia sobre la Mujer de San Sebastián como la Audiencia Provincial coinciden en exigir de la madre una obligación positiva respecto de la realización de las visitas entre su hija y el padre de esta, requiriéndole una actitud favorecedora y proactiva respecto de la relación entre ellos. Como se ha mencionado ya, se acepta que la madre puede delegar el acompañamiento de la niña al punto de encuentro familiar en una tercera persona, en este caso la abuela materna. Ahora bien, aquella obligación positiva de favorecimiento de que se mantenga la buena relación paternofilial se extiende a procurar que la abuela favorezca el encuentro, o convenza a la niña para estar con su padre. De ahí que tanto el Juzgado de Violencia sobre la Mujer de San Sebastián como la Audiencia Provincial, en su valoración del incumplimiento del régimen de visitas establecido en la sentencia de divorcio, insistan en la actitud poco colaboradora de la abuela materna, quien parece adoptar una actitud pasiva ante las negativas de su nieta a estar con su padre en periodos de ocho horas en su domicilio, sin supervisión. A este respecto debe señalarse, por un lado, que una actitud neutra no equivale a una actitud obstruccionista de la abuela —no consta en autos que la abuela activamente desanime a la nieta a visitar a su padre—; por otro lado, la abuela es la madre de la hoy recurrente que, como se ha dicho, según los indicios fundados de los que se disponía, podía haber sido víctima de violencia de género a manos de su exmarido y padre de su hija. Desde esta perspectiva, puede entenderse que la abuela, sin oponerse a las visitas —es ella misma la que acompaña a la niña—, no muestre una actitud proactiva ante la celebración de los encuentros paternofiliales, más cuando, como se ha dicho, es la propia niña la que se niega a ver su padre una vez que las visitas son en su piso y de duración más larga.</w:t>
      </w:r>
    </w:p>
    <w:p w14:paraId="797B3E19" w14:textId="77777777" w:rsidR="003754FE" w:rsidRDefault="003754FE" w:rsidP="003754FE">
      <w:pPr>
        <w:pStyle w:val="TextoNormal"/>
      </w:pPr>
    </w:p>
    <w:p w14:paraId="57521642" w14:textId="77777777" w:rsidR="003754FE" w:rsidRDefault="003754FE" w:rsidP="003754FE">
      <w:pPr>
        <w:pStyle w:val="TextoNormal"/>
      </w:pPr>
      <w:r>
        <w:t xml:space="preserve">Ante este escenario, debemos concluir que las resoluciones judiciales impugnadas no ofrecen la motivación reforzada exigida por el art. 24.1 CE en un contexto de violencia de género. No reflejan la existencia de indicios fundados de que el divorcio contencioso y el posterior desarrollo del régimen de visitas entre el padre y su hija se produce en un contexto de violencia en que la madre de la niña es la víctima, desconociendo con ello las dinámicas de sometimiento inherentes a la violencia de género. Ignorando los informes de la pediatra y de la psicóloga infantil, los órganos judiciales cuyas resoluciones son objeto de este recurso equiparan el interés superior de la niña con el mantenimiento y favorecimiento de relaciones con su padre, contraviniendo de este modo su deber de aplicación de la legalidad vigente de conformidad con el principio de igualdad de género y su obligación de </w:t>
      </w:r>
      <w:r>
        <w:lastRenderedPageBreak/>
        <w:t>interpretación de nuestros derechos de conformidad con el Derecho internacional de los derechos humanos.</w:t>
      </w:r>
    </w:p>
    <w:p w14:paraId="67BDA09F" w14:textId="77777777" w:rsidR="003754FE" w:rsidRDefault="003754FE" w:rsidP="003754FE">
      <w:pPr>
        <w:pStyle w:val="TextoNormal"/>
      </w:pPr>
    </w:p>
    <w:p w14:paraId="18B58729" w14:textId="77777777" w:rsidR="003754FE" w:rsidRDefault="003754FE" w:rsidP="003754FE">
      <w:pPr>
        <w:pStyle w:val="TextoNormal"/>
      </w:pPr>
      <w:r>
        <w:t>En las tres resoluciones impugnadas se exige de la mujer una actitud decidida que fomente la relación de la menor con su padre, exigencia que, con independencia de la concurrencia o no de incidentes de violencia de género, desborda las obligaciones de la madre en el cumplimiento del régimen de parentalidad. Siendo así, con mayor razón debemos afirmar que en un supuesto como el actual, en que existen indicios de violencia de género, la madre —o la persona que ella designe— dará efectivo cumplimiento al régimen de visitas establecido en la decisión judicial llevando a su hijo o hija al punto de encuentro familiar designado en cada ocasión para que se produzcan los encuentros con el padre.</w:t>
      </w:r>
    </w:p>
    <w:p w14:paraId="60A5CBA6" w14:textId="77777777" w:rsidR="003754FE" w:rsidRDefault="003754FE" w:rsidP="003754FE">
      <w:pPr>
        <w:pStyle w:val="TextoNormal"/>
      </w:pPr>
    </w:p>
    <w:p w14:paraId="14A660F7" w14:textId="3F51E4CD" w:rsidR="003754FE" w:rsidRDefault="003754FE" w:rsidP="003754FE">
      <w:pPr>
        <w:pStyle w:val="TextoNormal"/>
      </w:pPr>
      <w:r>
        <w:t>Requerir judicialmente a la progenitora custodia una actitud favorecedora de la realización del régimen de visitas y/o estancias establecido en un proceso de divorcio contencioso, o presumir en sede judicial que el interés superior del menor solo quedará preservado en un contexto en el que se favorezcan las relaciones con el padre no custodio, contraviene el canon de motivación exigido por el art. 24.1 CE que, como se ha dicho, es reforzado cuando quedan afectados derechos fundamentales o valores superiores de nuestro ordenamiento. Así, en el caso que da origen a esta sentencia, al exigirse judicialmente de la ahora demandante de amparo una actitud proactiva en relación con el cumplimiento del régimen de visitas y estancias en favor de su presunto agresor, desconociendo con ello las vulneraciones de derechos, empezando por la igualdad, que lleva aparejado todo incidente de violencia de género, se ha incurrido en una conculcación del deber de motivación reforzada que para estos casos impone el art. 24.1 de nuestra Constitución.</w:t>
      </w:r>
    </w:p>
    <w:p w14:paraId="39220948" w14:textId="77777777" w:rsidR="003754FE" w:rsidRDefault="003754FE" w:rsidP="003754FE">
      <w:pPr>
        <w:pStyle w:val="TextoNormal"/>
      </w:pPr>
    </w:p>
    <w:p w14:paraId="04051325" w14:textId="77777777" w:rsidR="003754FE" w:rsidRDefault="003754FE" w:rsidP="003754FE">
      <w:pPr>
        <w:pStyle w:val="TextoNormal"/>
      </w:pPr>
      <w:r w:rsidRPr="003754FE">
        <w:rPr>
          <w:rStyle w:val="NumeroAFNegritaCaracter"/>
        </w:rPr>
        <w:t>5</w:t>
      </w:r>
      <w:r>
        <w:t xml:space="preserve">. </w:t>
      </w:r>
      <w:r w:rsidRPr="003754FE">
        <w:rPr>
          <w:i/>
        </w:rPr>
        <w:t>Efectos de la estimación del recurso</w:t>
      </w:r>
    </w:p>
    <w:p w14:paraId="3C99CA15" w14:textId="77777777" w:rsidR="003754FE" w:rsidRDefault="003754FE" w:rsidP="003754FE">
      <w:pPr>
        <w:pStyle w:val="TextoNormal"/>
      </w:pPr>
    </w:p>
    <w:p w14:paraId="7C5A4F33" w14:textId="77777777" w:rsidR="003754FE" w:rsidRDefault="003754FE" w:rsidP="003754FE">
      <w:pPr>
        <w:pStyle w:val="TextoNormal"/>
      </w:pPr>
      <w:r>
        <w:t>Como efectos derivados de la estimación de la queja de la demanda y con ella del recurso interpuesto, procede, en primer lugar, declarar vulnerado el derecho a la tutela judicial efectiva de la recurrente en su vertiente de obtener una resolución judicial motivada y fundada en Derecho (art. 24.1 CE). Esta lesión se ha producido porque ninguna de las resoluciones judiciales impugnadas, el auto núm. 56/2021 dictado por la Sección Segunda de la Audiencia Provincial de Guipúzcoa el 26 de abril de 2021, el auto núm. 28/2020 dictado por el Juzgado de Violencia sobre la Mujer de San Sebastián, y el auto de 3 de marzo de 2020 dictado por ese mismo juzgado por el que se despacha la ejecución, ha tenido en cuenta en su argumentación que el conflicto respecto de las visitas de la hija común menor de edad se produjo en un contexto de violencia de género sobre la recurrente por parte su exmarido.</w:t>
      </w:r>
    </w:p>
    <w:p w14:paraId="428ECEDB" w14:textId="77777777" w:rsidR="003754FE" w:rsidRDefault="003754FE" w:rsidP="003754FE">
      <w:pPr>
        <w:pStyle w:val="TextoNormal"/>
      </w:pPr>
    </w:p>
    <w:p w14:paraId="24F2577F" w14:textId="4E25F548" w:rsidR="003754FE" w:rsidRDefault="003754FE" w:rsidP="003754FE">
      <w:pPr>
        <w:pStyle w:val="TextoNormal"/>
      </w:pPr>
      <w:r>
        <w:t>El restablecimiento en el derecho vulnerado conlleva la declaración de nulidad de las resoluciones cuestionadas. Sin embargo, visto el tiempo transcurrido desde que se dictaron los autos impugnados, es obvio que las circunstancias relevantes para resolver sobre el régimen de visitas ha cambiado —edad de la niña y condena del padre—, por lo que, en aras de preservar la seguridad jurídica y los derechos de las personas afectadas, debemos limitar el alcance de la estimación del recurso de amparo a la declaración de lesión del derecho fundamental a la tutela judicial efectiva (art. 24.1 CE) y nulidad de las decisiones impugnadas, sin ordenar, en cambio, la retroacción de las actuaciones.</w:t>
      </w:r>
    </w:p>
    <w:p w14:paraId="247DFBB8" w14:textId="77777777" w:rsidR="003754FE" w:rsidRDefault="003754FE" w:rsidP="003754FE">
      <w:pPr>
        <w:pStyle w:val="TextoNormal"/>
      </w:pPr>
    </w:p>
    <w:p w14:paraId="0B6ED581" w14:textId="77777777" w:rsidR="003754FE" w:rsidRDefault="003754FE" w:rsidP="003754FE">
      <w:pPr>
        <w:pStyle w:val="TextoNormalCentrado"/>
        <w:keepNext/>
      </w:pPr>
      <w:r>
        <w:lastRenderedPageBreak/>
        <w:t>FALLO</w:t>
      </w:r>
    </w:p>
    <w:p w14:paraId="669E9FAD" w14:textId="6E609CDE" w:rsidR="003754FE" w:rsidRDefault="003754FE" w:rsidP="003754FE">
      <w:pPr>
        <w:pStyle w:val="TextoNormalCentrado"/>
        <w:keepNext/>
      </w:pPr>
    </w:p>
    <w:p w14:paraId="4918A4DC"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doña V.F.C., y, en consecuencia:</w:t>
      </w:r>
    </w:p>
    <w:p w14:paraId="3C1EBA89" w14:textId="77777777" w:rsidR="003754FE" w:rsidRDefault="003754FE" w:rsidP="003754FE">
      <w:pPr>
        <w:pStyle w:val="TextoNormal"/>
      </w:pPr>
    </w:p>
    <w:p w14:paraId="78785EFD" w14:textId="77777777" w:rsidR="003754FE" w:rsidRDefault="003754FE" w:rsidP="003754FE">
      <w:pPr>
        <w:pStyle w:val="TextoNormal"/>
      </w:pPr>
      <w:r>
        <w:t>1º Declarar que ha sido vulnerado el derecho fundamental de la demandante de amparo a la tutela judicial efectiva (art. 24.1 CE).</w:t>
      </w:r>
    </w:p>
    <w:p w14:paraId="22C947F9" w14:textId="77777777" w:rsidR="003754FE" w:rsidRDefault="003754FE" w:rsidP="003754FE">
      <w:pPr>
        <w:pStyle w:val="TextoNormal"/>
      </w:pPr>
    </w:p>
    <w:p w14:paraId="24543579" w14:textId="5244C067" w:rsidR="003754FE" w:rsidRDefault="003754FE" w:rsidP="003754FE">
      <w:pPr>
        <w:pStyle w:val="TextoNormal"/>
      </w:pPr>
      <w:r>
        <w:t>2º Restablecerle en su derecho y, a tal fin, declarar la nulidad del auto núm. 56/2021, de 26 de abril, dictado por la Sección Segunda de la Audiencia Provincial de Guipúzcoa en el recurso de apelación núm. 2071-2021; el auto núm. 28/2020, de 26 de agosto, dictado por el Juzgado de Violencia sobre la Mujer de San Sebastián, en el procedimiento de oposición núm. 70-2020; y el auto de 3 de marzo de 2020 acordado por el mismo Juzgado de Violencia sobre la Mujer.</w:t>
      </w:r>
    </w:p>
    <w:p w14:paraId="406400DB" w14:textId="77777777" w:rsidR="003754FE" w:rsidRDefault="003754FE" w:rsidP="003754FE">
      <w:pPr>
        <w:pStyle w:val="TextoNormal"/>
      </w:pPr>
    </w:p>
    <w:p w14:paraId="5ABE7399" w14:textId="77777777" w:rsidR="003754FE" w:rsidRDefault="003754FE" w:rsidP="003754FE">
      <w:pPr>
        <w:pStyle w:val="TextoNormal"/>
      </w:pPr>
      <w:r>
        <w:t>Publíquese esta sentencia en el “Boletín Oficial del Estado”.</w:t>
      </w:r>
    </w:p>
    <w:p w14:paraId="6D29E182" w14:textId="77777777" w:rsidR="003754FE" w:rsidRDefault="003754FE" w:rsidP="003754FE">
      <w:pPr>
        <w:pStyle w:val="TextoNormal"/>
      </w:pPr>
      <w:r>
        <w:t>Dada en Madrid, a veintitrés de septiembre de dos mil veinticuatro.</w:t>
      </w:r>
    </w:p>
    <w:p w14:paraId="256DF029" w14:textId="57658847" w:rsidR="003754FE" w:rsidRDefault="003754FE" w:rsidP="003754FE">
      <w:pPr>
        <w:pStyle w:val="ParrafoNormal"/>
      </w:pPr>
    </w:p>
    <w:p w14:paraId="5D1FF424" w14:textId="77777777" w:rsidR="003754FE" w:rsidRDefault="003754FE" w:rsidP="003754FE">
      <w:pPr>
        <w:pStyle w:val="TextoNormalNegritaCentrado"/>
        <w:keepNext/>
      </w:pPr>
      <w:r>
        <w:t>Voto particular que formula el magistrado don Enrique Arnaldo Alcubilla a la sentencia dictada por la Sala Segunda en el recurso de amparo 3901-2021</w:t>
      </w:r>
    </w:p>
    <w:p w14:paraId="51E7FA6C" w14:textId="4B7EDE38" w:rsidR="003754FE" w:rsidRDefault="003754FE" w:rsidP="003754FE">
      <w:pPr>
        <w:pStyle w:val="TextoNormalNegritaCentrado"/>
        <w:keepNext/>
      </w:pPr>
    </w:p>
    <w:p w14:paraId="160561BD" w14:textId="77777777" w:rsidR="003754FE" w:rsidRDefault="003754FE" w:rsidP="003754FE">
      <w:pPr>
        <w:pStyle w:val="TextoNormal"/>
      </w:pPr>
      <w:r>
        <w:t>En el ejercicio de la facultad conferida por el artículo 90.2 LOTC y con respeto a la opinión de mis compañeros, formulo el presente voto particular por las razones que defendí durante la deliberación en la Sala y que expongo a continuación.</w:t>
      </w:r>
    </w:p>
    <w:p w14:paraId="324320EC" w14:textId="77777777" w:rsidR="003754FE" w:rsidRDefault="003754FE" w:rsidP="003754FE">
      <w:pPr>
        <w:pStyle w:val="TextoNormal"/>
      </w:pPr>
    </w:p>
    <w:p w14:paraId="3D6D8E63" w14:textId="77777777" w:rsidR="003754FE" w:rsidRDefault="003754FE" w:rsidP="003754FE">
      <w:pPr>
        <w:pStyle w:val="TextoNormal"/>
      </w:pPr>
      <w:r>
        <w:t xml:space="preserve">El recurso de amparo se interpone porque la recurrente considera, esencialmente, que las resoluciones judiciales que impugna, dictadas en un proceso de ejecución de una sentencia de divorcio en la que se establecía un régimen de visitas progresivas de la hija común en favor del padre, en cuanto imponen una actitud proactiva respecto del cumplimiento del régimen de visitas, vulneran su derecho a la tutela judicial efectiva en la faceta de derecho a obtener una resolución en Derecho no arbitraria, congruente y que no lesione el principio </w:t>
      </w:r>
      <w:r w:rsidRPr="003754FE">
        <w:rPr>
          <w:i/>
        </w:rPr>
        <w:t>iura novit curia</w:t>
      </w:r>
      <w:r>
        <w:t xml:space="preserve"> (art. 24.1 CE).</w:t>
      </w:r>
    </w:p>
    <w:p w14:paraId="1E8D6754" w14:textId="77777777" w:rsidR="003754FE" w:rsidRDefault="003754FE" w:rsidP="003754FE">
      <w:pPr>
        <w:pStyle w:val="TextoNormal"/>
      </w:pPr>
    </w:p>
    <w:p w14:paraId="26361A14" w14:textId="77777777" w:rsidR="003754FE" w:rsidRDefault="003754FE" w:rsidP="003754FE">
      <w:pPr>
        <w:pStyle w:val="TextoNormal"/>
      </w:pPr>
      <w:r>
        <w:t>La sentencia estima el recurso de amparo ya que considera vulnerado el derecho a la tutela judicial efectiva de la recurrente en su vertiente de obtener una resolución judicial motivada y fundada en Derecho (art. 24.1 CE), en cuanto que ninguna de las resoluciones judiciales impugnadas habría tenido en cuenta que el conflicto respecto de las visitas de la hija común menor de edad se produce en un contexto de violencia de género sobre la recurrente ejercida por su exmarido.</w:t>
      </w:r>
    </w:p>
    <w:p w14:paraId="1DF7E78C" w14:textId="77777777" w:rsidR="003754FE" w:rsidRDefault="003754FE" w:rsidP="003754FE">
      <w:pPr>
        <w:pStyle w:val="TextoNormal"/>
      </w:pPr>
    </w:p>
    <w:p w14:paraId="60B7779B" w14:textId="77777777" w:rsidR="003754FE" w:rsidRDefault="003754FE" w:rsidP="003754FE">
      <w:pPr>
        <w:pStyle w:val="TextoNormal"/>
      </w:pPr>
      <w:r>
        <w:t>Las razones de mi discrepancia con la sentencia aprobada son las siguientes:</w:t>
      </w:r>
    </w:p>
    <w:p w14:paraId="7F354927" w14:textId="77777777" w:rsidR="003754FE" w:rsidRDefault="003754FE" w:rsidP="003754FE">
      <w:pPr>
        <w:pStyle w:val="TextoNormal"/>
      </w:pPr>
    </w:p>
    <w:p w14:paraId="6B519C2C" w14:textId="77777777" w:rsidR="003754FE" w:rsidRDefault="003754FE" w:rsidP="003754FE">
      <w:pPr>
        <w:pStyle w:val="TextoNormal"/>
      </w:pPr>
      <w:r>
        <w:t>1. La sentencia modifica el problema constitucional que se plantea en la demanda de amparo</w:t>
      </w:r>
    </w:p>
    <w:p w14:paraId="3CB4C8A4" w14:textId="77777777" w:rsidR="003754FE" w:rsidRDefault="003754FE" w:rsidP="003754FE">
      <w:pPr>
        <w:pStyle w:val="TextoNormal"/>
      </w:pPr>
    </w:p>
    <w:p w14:paraId="334E3013" w14:textId="77777777" w:rsidR="003754FE" w:rsidRDefault="003754FE" w:rsidP="003754FE">
      <w:pPr>
        <w:pStyle w:val="TextoNormal"/>
      </w:pPr>
      <w:r>
        <w:t xml:space="preserve">El objeto principal del proceso de amparo debería haberse centrado en determinar si las resoluciones judiciales recurridas han vulnerado el derecho a la tutela judicial efectiva de la </w:t>
      </w:r>
      <w:r>
        <w:lastRenderedPageBreak/>
        <w:t>demandante de amparo, en su vertiente de obtención de una resolución debidamente motivada, a partir de la denuncia de que, en ejecución de la sentencia de divorcio, se han dictado resoluciones judiciales arbitrarias e incoherentes. Esa es la queja que se formula por la demanda de amparo y así se recoge en el fundamento jurídico 1 de la sentencia. No cabe apreciar, como se hace a renglón seguido, en ese fundamento jurídico 1 que “[p]ara la recurrente en amparo los órganos judiciales implicados en el proceso de ejecución de la decisión sobre las visitas no han tenido en cuenta que el divorcio se enmarca en un contexto de violencia de género ejercida por su expareja, que estaba siendo resuelto en un procedimiento penal, y que le había generado secuelas psicológicas”, pues esa no es la queja que se formula en la demanda y a la que hubiera debido atenerse este tribunal.</w:t>
      </w:r>
    </w:p>
    <w:p w14:paraId="137EE2D5" w14:textId="77777777" w:rsidR="003754FE" w:rsidRDefault="003754FE" w:rsidP="003754FE">
      <w:pPr>
        <w:pStyle w:val="TextoNormal"/>
      </w:pPr>
    </w:p>
    <w:p w14:paraId="612800AD" w14:textId="77777777" w:rsidR="003754FE" w:rsidRDefault="003754FE" w:rsidP="003754FE">
      <w:pPr>
        <w:pStyle w:val="TextoNormal"/>
      </w:pPr>
      <w:r>
        <w:t>Sin embargo, a partir de la anterior afirmación, la sentencia cambia radicalmente el objeto del proceso de amparo en el fundamento jurídico 3 cuando señala que “[t]odas las resoluciones impugnadas, objeto de este recurso, están conectadas o afectan al derecho a la igualdad y a la prohibición de discriminación por razón de sexo, porque todo el proceso judicial se desarrolla en un contexto de violencia de género, y los delitos relacionados con la violencia de género constituyen la forma más grave de discriminación contra la mujer (STC 48/2024, FJ 5). Se requería por ello en este caso, por parte de nuestros órganos jurisdiccionales, una motivación reforzada que, en el ejercicio de su función aplicativa de la legalidad vigente, evidenciara, sin ningún tipo de duda, que las decisiones adoptadas, que imputaron a la ahora demandante de amparo una suerte de falta de colaboración en la ejecución del régimen de visitas, tuvieron en cuenta el contexto de violencia en el que se dictaban y su conexión con el derecho a la igualdad y la no discriminación. En caso contrario este tribunal, en el ejercicio legítimo de su competencia, estimará la alegada vulneración del art. 24.1 CE, pues como hemos declarado ya, la discriminación entraña siempre una arbitrariedad [SSTC 102/2012, de 8 de mayo, FJ 4; 136/2011, de 13 de septiembre, FJ 12 b)]”.</w:t>
      </w:r>
    </w:p>
    <w:p w14:paraId="0E2DCFE4" w14:textId="77777777" w:rsidR="003754FE" w:rsidRDefault="003754FE" w:rsidP="003754FE">
      <w:pPr>
        <w:pStyle w:val="TextoNormal"/>
      </w:pPr>
    </w:p>
    <w:p w14:paraId="0E19966C" w14:textId="77777777" w:rsidR="003754FE" w:rsidRDefault="003754FE" w:rsidP="003754FE">
      <w:pPr>
        <w:pStyle w:val="TextoNormal"/>
      </w:pPr>
      <w:r>
        <w:t>Eso hace que la sentencia resuelva en realidad una cuestión que no se ha suscitado ni en el proceso de amparo ni en el proceso judicial previo, en el que no se ha planteado un problema de discriminación relacionado con el art. 14 CE sino, exclusivamente uno relacionado con el derecho a la adecuada motivación de las decisiones judiciales. Cuestión distinta es que ceñirse a lo denunciado en la demanda de amparo impediría a la sentencia argumentar como lo hace y extraer las conclusiones que extrae.</w:t>
      </w:r>
    </w:p>
    <w:p w14:paraId="1F31EA57" w14:textId="77777777" w:rsidR="003754FE" w:rsidRDefault="003754FE" w:rsidP="003754FE">
      <w:pPr>
        <w:pStyle w:val="TextoNormal"/>
      </w:pPr>
    </w:p>
    <w:p w14:paraId="381BE43E" w14:textId="77777777" w:rsidR="003754FE" w:rsidRDefault="003754FE" w:rsidP="003754FE">
      <w:pPr>
        <w:pStyle w:val="TextoNormal"/>
      </w:pPr>
      <w:r>
        <w:t xml:space="preserve">2 La sentencia construye un canon </w:t>
      </w:r>
      <w:r w:rsidRPr="003754FE">
        <w:rPr>
          <w:i/>
        </w:rPr>
        <w:t>ad hoc</w:t>
      </w:r>
      <w:r>
        <w:t xml:space="preserve"> para aplicar en el proceso</w:t>
      </w:r>
    </w:p>
    <w:p w14:paraId="7D3653C3" w14:textId="77777777" w:rsidR="003754FE" w:rsidRDefault="003754FE" w:rsidP="003754FE">
      <w:pPr>
        <w:pStyle w:val="TextoNormal"/>
      </w:pPr>
    </w:p>
    <w:p w14:paraId="211361BB" w14:textId="77777777" w:rsidR="003754FE" w:rsidRDefault="003754FE" w:rsidP="003754FE">
      <w:pPr>
        <w:pStyle w:val="TextoNormal"/>
      </w:pPr>
      <w:r>
        <w:t>La sentencia, tras exponer la legislación aplicable y los tratados internacionales suscritos por España construye un canon de enjuiciamient</w:t>
      </w:r>
      <w:r w:rsidRPr="003754FE">
        <w:rPr>
          <w:i/>
        </w:rPr>
        <w:t>o ad cas</w:t>
      </w:r>
      <w:r>
        <w:t>um.</w:t>
      </w:r>
    </w:p>
    <w:p w14:paraId="2F5C3054" w14:textId="77777777" w:rsidR="003754FE" w:rsidRDefault="003754FE" w:rsidP="003754FE">
      <w:pPr>
        <w:pStyle w:val="TextoNormal"/>
      </w:pPr>
    </w:p>
    <w:p w14:paraId="15A9C953" w14:textId="77777777" w:rsidR="003754FE" w:rsidRDefault="003754FE" w:rsidP="003754FE">
      <w:pPr>
        <w:pStyle w:val="TextoNormal"/>
      </w:pPr>
      <w:r>
        <w:t>Dicho canon es el siguiente, tal como se formula en el fundamento jurídico 3, “en atención al deber legal de aplicación por nuestros poderes públicos del principio transversal de la igualdad de género y en virtud del art. 10.2 CE, parámetro interpretativo insoslayable de nuestro sistema de derechos y libertades (SSTC 19/2023, de 22 de marzo, FJ 3; 22/2023, de 27 de marzo, FJ 3, o 61/2024, de 9 de abril, FJ 4), en el ejercicio de sus funciones los jueces deben ser muy conscientes de las dinámicas de sometimiento inherentes a la violencia de género que impactan negativamente en las mujeres que han sido víctimas, no pudiendo asumir que el interés superior del menor es equivalente siempre a mantener relaciones con ambos progenitores”.</w:t>
      </w:r>
    </w:p>
    <w:p w14:paraId="029C699C" w14:textId="77777777" w:rsidR="003754FE" w:rsidRDefault="003754FE" w:rsidP="003754FE">
      <w:pPr>
        <w:pStyle w:val="TextoNormal"/>
      </w:pPr>
    </w:p>
    <w:p w14:paraId="36B2BA61" w14:textId="77777777" w:rsidR="003754FE" w:rsidRDefault="003754FE" w:rsidP="003754FE">
      <w:pPr>
        <w:pStyle w:val="TextoNormal"/>
      </w:pPr>
      <w:r>
        <w:t>La conclusión de la aplicación de dicho canon aparece en el fundamento jurídico 4: “En un supuesto como el actual, en que existen indicios de violencia de género, la madre —o la persona que ella designe— dará efectivo cumplimiento al régimen de visitas establecido en la decisión judicial llevando a su hijo o hija al punto de encuentro familiar designado en cada ocasión para que se produzcan los encuentros con el padre.</w:t>
      </w:r>
    </w:p>
    <w:p w14:paraId="2D38D605" w14:textId="77777777" w:rsidR="003754FE" w:rsidRDefault="003754FE" w:rsidP="003754FE">
      <w:pPr>
        <w:pStyle w:val="TextoNormal"/>
      </w:pPr>
    </w:p>
    <w:p w14:paraId="126799F3" w14:textId="77777777" w:rsidR="003754FE" w:rsidRDefault="003754FE" w:rsidP="003754FE">
      <w:pPr>
        <w:pStyle w:val="TextoNormal"/>
      </w:pPr>
      <w:r>
        <w:t>Requerir judicialmente a la progenitora custodia una actitud favorecedora de la realización del régimen de visitas y/o estancias establecido en un proceso de divorcio contencioso, o presumir en sede judicial que el interés superior del menor solo quedará preservado en un contexto en el que se favorezcan las relaciones con el padre no custodio, contraviene el canon de motivación exigido por el art. 24.1 CE que, como se ha dicho, es reforzado cuando quedan afectados derechos fundamentales o valores superiores de nuestro ordenamiento. Así, en el caso que da origen a esta sentencia, al exigirse judicialmente de la ahora demandante de amparo una actitud proactiva en relación con el cumplimiento del régimen de visitas y estancias en favor de su presunto agresor, desconociendo con ello las vulneraciones de derechos, empezando por la igualdad, que lleva aparejado todo incidente de violencia de género, se ha incurrido en una conculcación del deber de motivación reforzada que para estos casos impone el art. 24.1 de nuestra Constitución”.</w:t>
      </w:r>
    </w:p>
    <w:p w14:paraId="5D08A2DF" w14:textId="77777777" w:rsidR="003754FE" w:rsidRDefault="003754FE" w:rsidP="003754FE">
      <w:pPr>
        <w:pStyle w:val="TextoNormal"/>
      </w:pPr>
    </w:p>
    <w:p w14:paraId="58391151" w14:textId="77777777" w:rsidR="003754FE" w:rsidRDefault="003754FE" w:rsidP="003754FE">
      <w:pPr>
        <w:pStyle w:val="TextoNormal"/>
      </w:pPr>
      <w:r>
        <w:t>El problema de ese canon es el ya señalado antes: se construye atendiendo a las circunstancias del caso concreto, para no tener que aplicar el consolidado canon relativo a las exigencias derivadas del dictado de una resolución fundada en Derecho. Y eso pese a que la propia sentencia había afirmado en el fundamento jurídico 2, remitiéndose entre otras a la STC 55/2003, FJ 6, que iba a aplicarlo. Con ello, la sentencia cae en una clara incoherencia al afirmar que va a proyectar al caso el mencionado canon constitucional cuando luego, en realidad, no va a usarlo, por cuanto es desplazado por el construido a partir de la ya señalada reformulación de la queja que se plantea en el recurso de amparo. El canon se vincula a la exigencia de una motivación reforzada en relación con el contexto de violencia y su conexión con el derecho a la igualdad y la no discriminación.</w:t>
      </w:r>
    </w:p>
    <w:p w14:paraId="3D288EFB" w14:textId="77777777" w:rsidR="003754FE" w:rsidRDefault="003754FE" w:rsidP="003754FE">
      <w:pPr>
        <w:pStyle w:val="TextoNormal"/>
      </w:pPr>
    </w:p>
    <w:p w14:paraId="4FA6DC38" w14:textId="77777777" w:rsidR="003754FE" w:rsidRDefault="003754FE" w:rsidP="003754FE">
      <w:pPr>
        <w:pStyle w:val="TextoNormal"/>
      </w:pPr>
      <w:r>
        <w:t>Ese énfasis en la motivación reforzada también es, a mi parecer, innecesario. A los efectos del presente proceso de amparo, en el que hay evidentes intereses de un menor concernidos, lo único que debería tenerse en cuenta, si se hubiera sido coherente con la queja planteada y no se hubiera reformulado, es el deber de motivación reforzada en relación con el interés superior del menor, tal como recuerda, por ejemplo, la STC 53/2024, de 8 de abril, FJ 3 a), citada por la propia sentencia. Lo que ocurre es, simplemente, que ese deber de motivación de las resoluciones judiciales requiere un canon reforzado cuando lo que está en juego son cuestiones relacionadas con el interés superior del menor, que debe presidir la toma de decisiones en aquellas que le atañen. Interés de la menor que, como expongo seguidamente, no puede entenderse desconocido por las resoluciones judiciales anuladas por la sentencia.</w:t>
      </w:r>
    </w:p>
    <w:p w14:paraId="7A4B1DC4" w14:textId="77777777" w:rsidR="003754FE" w:rsidRDefault="003754FE" w:rsidP="003754FE">
      <w:pPr>
        <w:pStyle w:val="TextoNormal"/>
      </w:pPr>
    </w:p>
    <w:p w14:paraId="77512F29" w14:textId="77777777" w:rsidR="003754FE" w:rsidRDefault="003754FE" w:rsidP="003754FE">
      <w:pPr>
        <w:pStyle w:val="TextoNormal"/>
      </w:pPr>
      <w:r>
        <w:t>3. La resolución del caso concreto no se ajusta a los cánones constitucionales aplicables y además no tiene en cuenta la totalidad de los elementos que constituyen el contexto del caso ni tampoco todos los argumentos de las resoluciones judiciales</w:t>
      </w:r>
    </w:p>
    <w:p w14:paraId="7616BE4B" w14:textId="77777777" w:rsidR="003754FE" w:rsidRDefault="003754FE" w:rsidP="003754FE">
      <w:pPr>
        <w:pStyle w:val="TextoNormal"/>
      </w:pPr>
    </w:p>
    <w:p w14:paraId="35EA7F24" w14:textId="77777777" w:rsidR="003754FE" w:rsidRDefault="003754FE" w:rsidP="003754FE">
      <w:pPr>
        <w:pStyle w:val="TextoNormal"/>
      </w:pPr>
      <w:r>
        <w:lastRenderedPageBreak/>
        <w:t>La sentencia dedica el fundamento jurídico 4 a lo que denomina aplicación al caso de la doctrina constitucional sobre el deber de motivación de las resoluciones de ejecución de regímenes de visita (art. 24.1 CE) en contextos de violencia de género.</w:t>
      </w:r>
    </w:p>
    <w:p w14:paraId="5CD6BB2E" w14:textId="77777777" w:rsidR="003754FE" w:rsidRDefault="003754FE" w:rsidP="003754FE">
      <w:pPr>
        <w:pStyle w:val="TextoNormal"/>
      </w:pPr>
    </w:p>
    <w:p w14:paraId="3D49BC1A" w14:textId="77777777" w:rsidR="003754FE" w:rsidRDefault="003754FE" w:rsidP="003754FE">
      <w:pPr>
        <w:pStyle w:val="TextoNormal"/>
      </w:pPr>
      <w:r>
        <w:t>Aplicación que, tras un aparente examen detallado de las resoluciones impugnadas, le lleva a concluir que las resoluciones judiciales son carentes de motivación e irrazonables (o conducentes a resultados absurdos, como los califica la sentencia) básicamente por dos razones. La primera es que se omite la existencia de un proceso penal contra el padre por delitos relacionados con la violencia de género. La segunda es que exigen una obligación positiva respecto de la realización de las visitas entre su hija y el padre de esta, requiriéndole una actitud favorecedora y proactiva respecto de la relación entre ellos, aceptándose que la madre puede delegar el acompañamiento de la niña al punto de encuentro familiar en una tercera persona, en este caso la abuela materna, sobre la que se extiende aquella obligación.</w:t>
      </w:r>
    </w:p>
    <w:p w14:paraId="3D661625" w14:textId="77777777" w:rsidR="003754FE" w:rsidRDefault="003754FE" w:rsidP="003754FE">
      <w:pPr>
        <w:pStyle w:val="TextoNormal"/>
      </w:pPr>
    </w:p>
    <w:p w14:paraId="0531ACBF" w14:textId="77777777" w:rsidR="003754FE" w:rsidRDefault="003754FE" w:rsidP="003754FE">
      <w:pPr>
        <w:pStyle w:val="TextoNormal"/>
      </w:pPr>
      <w:r>
        <w:t>No me parece que esas dos razones conviertan a las resoluciones impugnadas en irrazonables en los términos de la consolidada doctrina constitucional, sino que, por el contrario, coincido con la fiscal en que la motivación de las resoluciones impugnadas fue conforme al canon constitucionalmente aplicable, el relativo a la exigencia de que se dicte una resolución judicial motivada y fundada en Derecho (por todas, STC 28/2024, de 27 de febrero, FJ 4, citada por la propia sentencia).</w:t>
      </w:r>
    </w:p>
    <w:p w14:paraId="30EB33DA" w14:textId="77777777" w:rsidR="003754FE" w:rsidRDefault="003754FE" w:rsidP="003754FE">
      <w:pPr>
        <w:pStyle w:val="TextoNormal"/>
      </w:pPr>
    </w:p>
    <w:p w14:paraId="1C345A82" w14:textId="77777777" w:rsidR="003754FE" w:rsidRDefault="003754FE" w:rsidP="003754FE">
      <w:pPr>
        <w:pStyle w:val="TextoNormal"/>
      </w:pPr>
      <w:r>
        <w:t>(i) La primera razón, el contexto de violencia de género, podría dar lugar en su caso a una modificación del régimen de visitas, pero lo aquí discutido es una cosa diferente, la correcta ejecución del régimen diseñado judicialmente en interés de la menor y fijado en una resolución firme. O, en otros términos, la intangibilidad de las resoluciones judiciales firmes y de las situaciones jurídicas que en ellas se declaran.</w:t>
      </w:r>
    </w:p>
    <w:p w14:paraId="2E55E9C5" w14:textId="77777777" w:rsidR="003754FE" w:rsidRDefault="003754FE" w:rsidP="003754FE">
      <w:pPr>
        <w:pStyle w:val="TextoNormal"/>
      </w:pPr>
    </w:p>
    <w:p w14:paraId="5176E97A" w14:textId="77777777" w:rsidR="003754FE" w:rsidRDefault="003754FE" w:rsidP="003754FE">
      <w:pPr>
        <w:pStyle w:val="TextoNormal"/>
      </w:pPr>
      <w:r>
        <w:t>(ii) En cuanto a la segunda razón, la actitud positiva respecto al régimen de visitas, es cierto que las resoluciones judiciales destacan la pasividad de la madre que ha delegado la función de acompañamiento de la menor en la abuela materna, pero ello se debe también al planteamiento argumental del incidente de ejecución interpuesto por el padre, el cual hace especial énfasis en la falta de una actitud proactiva de la madre en punto al cumplimiento del régimen de visitas judicialmente establecidas, planteamiento al que las resoluciones judiciales dan debida respuesta. Por otra parte, también se da cumplida respuesta a las alegaciones de la madre de la menor y no se impone nada que no sea el efectivo cumplimiento del régimen de visitas previamente determinado y que se ha establecido para salvaguardar el interés de la menor en el mantenimiento de las relaciones con su padre. El régimen de visitas es, en todo caso, modificable por los cauces procesales oportunos, tal como ya señalé.</w:t>
      </w:r>
    </w:p>
    <w:p w14:paraId="2D123315" w14:textId="77777777" w:rsidR="003754FE" w:rsidRDefault="003754FE" w:rsidP="003754FE">
      <w:pPr>
        <w:pStyle w:val="TextoNormal"/>
      </w:pPr>
    </w:p>
    <w:p w14:paraId="7FAD9F7F" w14:textId="77777777" w:rsidR="003754FE" w:rsidRDefault="003754FE" w:rsidP="003754FE">
      <w:pPr>
        <w:pStyle w:val="TextoNormal"/>
      </w:pPr>
      <w:r>
        <w:t>(iii) También me parece relevante destacar que, pese a la apariencia de exhaustividad, la sentencia no hace una lectura completa de los argumentos contenidos en las resoluciones judiciales.</w:t>
      </w:r>
    </w:p>
    <w:p w14:paraId="42A7DCB3" w14:textId="77777777" w:rsidR="003754FE" w:rsidRDefault="003754FE" w:rsidP="003754FE">
      <w:pPr>
        <w:pStyle w:val="TextoNormal"/>
      </w:pPr>
    </w:p>
    <w:p w14:paraId="01D08515" w14:textId="77777777" w:rsidR="003754FE" w:rsidRDefault="003754FE" w:rsidP="003754FE">
      <w:pPr>
        <w:pStyle w:val="TextoNormal"/>
      </w:pPr>
      <w:r>
        <w:t xml:space="preserve">Al respecto, junto al argumento del que podríamos denominar comportamiento proactivo, que puede compartirse o no, pero que atendiendo al contexto del proceso de que se trata no creo que pueda calificarse de irracional, las resoluciones judiciales añaden otro. Que el régimen de visitas se ha establecido en decisiones judiciales que han de cumplirse en sus </w:t>
      </w:r>
      <w:r>
        <w:lastRenderedPageBreak/>
        <w:t>términos en la medida en que en ellas se expresa el interés superior de la menor, previa la correspondiente ponderación judicial de las circunstancias del caso.</w:t>
      </w:r>
    </w:p>
    <w:p w14:paraId="64EF141A" w14:textId="77777777" w:rsidR="003754FE" w:rsidRDefault="003754FE" w:rsidP="003754FE">
      <w:pPr>
        <w:pStyle w:val="TextoNormal"/>
      </w:pPr>
    </w:p>
    <w:p w14:paraId="40F668C2" w14:textId="77777777" w:rsidR="003754FE" w:rsidRDefault="003754FE" w:rsidP="003754FE">
      <w:pPr>
        <w:pStyle w:val="TextoNormal"/>
      </w:pPr>
      <w:r>
        <w:t>Así, en el auto 28/2020, de 26 de agosto, dictado por el Juzgado de Violencia sobre la Mujer de San Sebastián, se afirma: “Es por ello por lo que entendemos que el auto por el que se despacha la ejecución debe mantenerse en la medida en que sí puede detectarse una cierta actitud de incumplimiento o contraria al cumplimiento judicial en la madre ejecutada y en la medida en que, obviamente, lo que procede, en este caso, es la ejecución efectiva y real de las estancias padre-hija judicialmente establecidas pues este es el régimen que, previos los pertinentes informes, se ha considerado como más adecuado y beneficioso para la menor y para su desarrollo emocional y en compañía de sus dos progenitores. Por ello, entendemos debe mantenerse el requerimiento de cumplimiento a la ejecutada que se realiza en el auto por el que se despacha la ejecución, debiendo, por tanto, desestimarse la oposición esgrimida frente al mismo”.</w:t>
      </w:r>
    </w:p>
    <w:p w14:paraId="342E7508" w14:textId="77777777" w:rsidR="003754FE" w:rsidRDefault="003754FE" w:rsidP="003754FE">
      <w:pPr>
        <w:pStyle w:val="TextoNormal"/>
      </w:pPr>
    </w:p>
    <w:p w14:paraId="3B4B0FBC" w14:textId="77777777" w:rsidR="003754FE" w:rsidRDefault="003754FE" w:rsidP="003754FE">
      <w:pPr>
        <w:pStyle w:val="TextoNormal"/>
      </w:pPr>
      <w:r>
        <w:t>Por su parte, el auto 56/2021, de 26 de abril, de la Sección Segunda de la Audiencia Provincial de Guipúzcoa, resolutorio del recurso de apelación interpuesto contra el anterior, afirma, tras recordar la importancia del cumplimiento de las resoluciones judiciales en sus propios términos: “El derecho de visitas no constituye por lo tanto un capricho del juzgador en su sentencia, una imposición del progenitor no custodio al progenitor custodio y/o al menor o una victimización o un castigo para el progenitor custodio sino que tiene otra dimensión cual es la de propiciar la continuación de las relaciones paterno o materno filiales, evitando la ruptura, por falta de convivencia, de los lazos de afecto que deben mediar entre ellos y por estimar que el adecuado desarrollo de la personalidad del menor se garantiza de mejor manera manteniendo relaciones lo más normalizadas posibles con ambos progenitores y las familias extensas de los mismos”.</w:t>
      </w:r>
    </w:p>
    <w:p w14:paraId="39BC5B6E" w14:textId="77777777" w:rsidR="003754FE" w:rsidRDefault="003754FE" w:rsidP="003754FE">
      <w:pPr>
        <w:pStyle w:val="TextoNormal"/>
      </w:pPr>
    </w:p>
    <w:p w14:paraId="4807188E" w14:textId="77777777" w:rsidR="003754FE" w:rsidRDefault="003754FE" w:rsidP="003754FE">
      <w:pPr>
        <w:pStyle w:val="TextoNormal"/>
      </w:pPr>
      <w:r>
        <w:t>En suma, como con acierto ha señalado la fiscal en sus alegaciones, las resoluciones judiciales pueden compartirse o no, pero son respetuosas con el derecho a la tutela judicial efectiva de la recurrente en amparo por cuanto, atendiendo a las circunstancias del caso, esta obtiene en instancia y en apelación una respuesta motivada basada en lo que se considera el interés superior de la menor en el caso concreto. Teniendo en cuenta, además, que lo discutido no era el derecho del padre a relacionarse con su hija sino, atendiendo al proceso del que este recurso de amparo trae causa, algo mucho más concreto y, a la vez, diferente, como es la correcta ejecución de un determinado régimen de visitas fijado judicialmente, ejecución reclamada por el padre de la menor.</w:t>
      </w:r>
    </w:p>
    <w:p w14:paraId="3CAF99DF" w14:textId="77777777" w:rsidR="003754FE" w:rsidRDefault="003754FE" w:rsidP="003754FE">
      <w:pPr>
        <w:pStyle w:val="TextoNormal"/>
      </w:pPr>
    </w:p>
    <w:p w14:paraId="361573D7" w14:textId="77777777" w:rsidR="003754FE" w:rsidRDefault="003754FE" w:rsidP="003754FE">
      <w:pPr>
        <w:pStyle w:val="TextoNormal"/>
      </w:pPr>
      <w:r>
        <w:t>No me parece por ello que, teniendo en cuenta su objeto, las decisiones judiciales cuestionadas en este proceso puedan ser tildadas de inmotivadas, no fundadas en Derecho o incongruentes con las peticiones de las partes. La sentencia aprobada por la Sala llega a la conclusión contraria, a mi parecer errónea, lo que comporta realizar un nuevo enjuiciamiento del caso.</w:t>
      </w:r>
    </w:p>
    <w:p w14:paraId="437E7CFA" w14:textId="77777777" w:rsidR="003754FE" w:rsidRDefault="003754FE" w:rsidP="003754FE">
      <w:pPr>
        <w:pStyle w:val="TextoNormal"/>
      </w:pPr>
    </w:p>
    <w:p w14:paraId="2F6A1740" w14:textId="77777777" w:rsidR="003754FE" w:rsidRDefault="003754FE" w:rsidP="003754FE">
      <w:pPr>
        <w:pStyle w:val="TextoNormal"/>
      </w:pPr>
      <w:r>
        <w:t>En conclusión, atendiendo a cuanto se lleva expuesto, considero que el recurso de amparo debió ser desestimado.</w:t>
      </w:r>
    </w:p>
    <w:p w14:paraId="7AC35CDD" w14:textId="77777777" w:rsidR="003754FE" w:rsidRDefault="003754FE" w:rsidP="003754FE">
      <w:pPr>
        <w:pStyle w:val="TextoNormal"/>
      </w:pPr>
    </w:p>
    <w:p w14:paraId="055FB3AB" w14:textId="33CE8851" w:rsidR="003754FE" w:rsidRDefault="003754FE" w:rsidP="003754FE">
      <w:pPr>
        <w:pStyle w:val="TextoNormal"/>
      </w:pPr>
      <w:r>
        <w:t>Madrid, a veintitrés de septiembre de dos mil veinticuatro.</w:t>
      </w:r>
    </w:p>
    <w:p w14:paraId="458C52EE" w14:textId="77777777" w:rsidR="003754FE" w:rsidRDefault="003754FE" w:rsidP="003754FE">
      <w:pPr>
        <w:pStyle w:val="TextoNormal"/>
      </w:pPr>
    </w:p>
    <w:p w14:paraId="39E7DFC9" w14:textId="77777777" w:rsidR="003754FE" w:rsidRDefault="003754FE" w:rsidP="003754FE">
      <w:pPr>
        <w:pStyle w:val="TextoNormalNegritaCentrado"/>
        <w:keepNext/>
      </w:pPr>
      <w:r>
        <w:lastRenderedPageBreak/>
        <w:t>Voto particular concurrente que formula la magistrada doña Laura Díez Bueso a la sentencia dictada en el recurso de amparo núm. 3901-2021</w:t>
      </w:r>
    </w:p>
    <w:p w14:paraId="122BE475" w14:textId="38E8112E" w:rsidR="003754FE" w:rsidRDefault="003754FE" w:rsidP="003754FE">
      <w:pPr>
        <w:pStyle w:val="TextoNormalNegritaCentrado"/>
        <w:keepNext/>
      </w:pPr>
    </w:p>
    <w:p w14:paraId="0362C0C5" w14:textId="77777777" w:rsidR="003754FE" w:rsidRDefault="003754FE" w:rsidP="003754FE">
      <w:pPr>
        <w:pStyle w:val="TextoNormal"/>
      </w:pPr>
      <w:r>
        <w:t>En ejercicio de la facultad que me confiere el art. 90.2 de la Ley Orgánica del Tribunal Constitucional, y con el máximo respeto a la opinión expresada por la mayoría de la Sala, formulo el presente voto particular concurrente.</w:t>
      </w:r>
    </w:p>
    <w:p w14:paraId="0DB0F1D8" w14:textId="77777777" w:rsidR="003754FE" w:rsidRDefault="003754FE" w:rsidP="003754FE">
      <w:pPr>
        <w:pStyle w:val="TextoNormal"/>
      </w:pPr>
    </w:p>
    <w:p w14:paraId="7E6A44BC" w14:textId="77777777" w:rsidR="003754FE" w:rsidRDefault="003754FE" w:rsidP="003754FE">
      <w:pPr>
        <w:pStyle w:val="TextoNormal"/>
      </w:pPr>
      <w:r>
        <w:t>1. Comparto plenamente el fallo de la sentencia en cuanto a la estimación del recurso de amparo y a la limitación de sus efectos a la nulidad de las resoluciones judiciales impugnadas, sin retroacción de actuaciones, por las razones expuestas en el fundamento jurídico 5. Comparto, por tanto, la apreciación de una vulneración del derecho a la tutela judicial efectiva (art. 24.1 CE), en su vertiente del derecho a una resolución motivada y fundada en Derecho, por parte de los órganos judiciales implicados en la ejecución del régimen de visitas de la hija común menor de edad de la recurrente de amparo y su exmarido. Y ello por cuanto la argumentación de sus resoluciones no ha tenido en cuenta el contexto de violencia de género subyacente en este conflicto familiar, habiendo basado la apreciación del incumplimiento del régimen de visitas establecido en la sentencia de divorcio por parte de la madre recurrente (i) en la carencia, tanto de ella como de la persona en la que delega la entrega y recogida de su hija en el punto de encuentro familiar, de una actitud proactiva y motivadora de la menor, que incentive las visitas con el progenitor no custodio, y (ii) en que el interés superior de la menor queda preservado en este caso favoreciendo las relaciones con ambos progenitores.</w:t>
      </w:r>
    </w:p>
    <w:p w14:paraId="06DEA4A6" w14:textId="77777777" w:rsidR="003754FE" w:rsidRDefault="003754FE" w:rsidP="003754FE">
      <w:pPr>
        <w:pStyle w:val="TextoNormal"/>
      </w:pPr>
    </w:p>
    <w:p w14:paraId="7ED8B266" w14:textId="77777777" w:rsidR="003754FE" w:rsidRDefault="003754FE" w:rsidP="003754FE">
      <w:pPr>
        <w:pStyle w:val="TextoNormal"/>
      </w:pPr>
      <w:r>
        <w:t xml:space="preserve">2. Sin embargo, aceptando la irrazonabilidad de los dos motivos esgrimidos por los órganos judiciales, y la consiguiente vulneración del art. 24.1 CE, discrepo de las afirmaciones vertidas en el fundamento jurídico 3 para sustentar dicha irrazonabilidad. Y ello porque la misma se basa, primero, en un incumplimiento de los dictámenes del Comité de la CEDAW y de los informes del GREVIO que, </w:t>
      </w:r>
      <w:r w:rsidRPr="003754FE">
        <w:rPr>
          <w:i/>
        </w:rPr>
        <w:t>ex</w:t>
      </w:r>
      <w:r>
        <w:t xml:space="preserve"> art. 10.2 CE se convierten en el parámetro de constitucionalidad; y, segundo, en un incumplimiento de la ley aplicable a este caso que, según la mayoría, ha asumido lo establecido por dichos comités de expertos.</w:t>
      </w:r>
    </w:p>
    <w:p w14:paraId="05F81CCD" w14:textId="77777777" w:rsidR="003754FE" w:rsidRDefault="003754FE" w:rsidP="003754FE">
      <w:pPr>
        <w:pStyle w:val="TextoNormal"/>
      </w:pPr>
    </w:p>
    <w:p w14:paraId="4766864B" w14:textId="77777777" w:rsidR="003754FE" w:rsidRDefault="003754FE" w:rsidP="003754FE">
      <w:pPr>
        <w:pStyle w:val="TextoNormal"/>
      </w:pPr>
      <w:r>
        <w:t xml:space="preserve">En efecto, en dicho fundamento jurídico se asevera que, “en virtud del art. 10.2 CE, parámetro interpretativo insoslayable de nuestro sistema de derechos y libertades (SSTC 19/2023, de 22 de marzo, FJ 3; 22/2023, de 27 de marzo, FJ 3, o 61/2024, de 9 de abril, FJ 4) […] los jueces deben ser muy conscientes de las dinámicas de sometimiento inherentes a la violencia de género […] no pudiendo asumir que el interés superior del menor es equivalente siempre a mantener relaciones con ambos progenitores”. Pero dicha conclusión (razonable en términos del art. 24.1 CE) no se extrae </w:t>
      </w:r>
      <w:r w:rsidRPr="003754FE">
        <w:rPr>
          <w:i/>
        </w:rPr>
        <w:t>ex</w:t>
      </w:r>
      <w:r>
        <w:t xml:space="preserve"> art. 10.2 CE únicamente del art. 31 del Convenio de Estambul, sino también </w:t>
      </w:r>
      <w:r w:rsidRPr="003754FE">
        <w:rPr>
          <w:i/>
        </w:rPr>
        <w:t>ex</w:t>
      </w:r>
      <w:r>
        <w:t xml:space="preserve"> art. 10.2 CE de la literalidad del dictamen de 16 de julio de 2014 del Comité de la CEDAW y del informe del GREVIO de 2021.</w:t>
      </w:r>
    </w:p>
    <w:p w14:paraId="3F267FFE" w14:textId="77777777" w:rsidR="003754FE" w:rsidRDefault="003754FE" w:rsidP="003754FE">
      <w:pPr>
        <w:pStyle w:val="TextoNormal"/>
      </w:pPr>
    </w:p>
    <w:p w14:paraId="475F9E84" w14:textId="77777777" w:rsidR="003754FE" w:rsidRDefault="003754FE" w:rsidP="003754FE">
      <w:pPr>
        <w:pStyle w:val="TextoNormal"/>
      </w:pPr>
      <w:r>
        <w:t xml:space="preserve">Pues bien, es aquí extrapolable lo que ya expuse en el voto particular a la STC 61/2024, de 9 de abril, sobre los dictámenes del Comité de Derechos Humanos de Naciones Unidas, al que me remito. Baste señalar ahora que, con base en la doctrina de las SSTC 116/2006, de 24 de abril, FJ 4; 23/2020, de 13 de febrero, FJ 6, y 46/2022, de 24 de marzo, FJ 6, los dictámenes del Comité de la CEDAW y los informes del Grupo de Expertos del Convenio de Estambul (GREVIO) carecen de fuerza ejecutiva directa, puesto que (i) no son resoluciones judiciales al no tener dichos Comités funciones jurisdiccionales (como claramente se </w:t>
      </w:r>
      <w:r>
        <w:lastRenderedPageBreak/>
        <w:t>deduce de la lectura de los arts. 17 a 21 de la CEDAW y de los arts. 66 y 68 del Convenio de Estambul, respectivamente), y (ii) no pueden constituir interpretación auténtica de los convenios internacionales cuyo cumplimiento supervisan estos comités de expertos, al no otorgarles dichos tratados tal competencia.</w:t>
      </w:r>
    </w:p>
    <w:p w14:paraId="50405874" w14:textId="77777777" w:rsidR="003754FE" w:rsidRDefault="003754FE" w:rsidP="003754FE">
      <w:pPr>
        <w:pStyle w:val="TextoNormal"/>
      </w:pPr>
    </w:p>
    <w:p w14:paraId="218AD78B" w14:textId="77777777" w:rsidR="003754FE" w:rsidRDefault="003754FE" w:rsidP="003754FE">
      <w:pPr>
        <w:pStyle w:val="TextoNormal"/>
      </w:pPr>
      <w:r>
        <w:t>Es más, en esta sentencia, la mayoría parece ir más allá de lo declarado en la STC 61/2024, FJ 4, convirtiendo estos dictámenes e informes, por la vía del art. 10.2 CE, en el único y determinante parámetro interpretativo (y no uno de tantos) de un derecho fundamental. En este caso, el derecho fundamental es la prohibición de la discriminación contra las mujeres que, por otra parte, no ha sido invocado en la demanda de amparo, asistiéndose así a una cierta reconstrucción de los motivos de impugnación del presente proceso constitucional, si bien atenuada acudiendo a la vía de la motivación reforzada.</w:t>
      </w:r>
    </w:p>
    <w:p w14:paraId="30E5B398" w14:textId="77777777" w:rsidR="003754FE" w:rsidRDefault="003754FE" w:rsidP="003754FE">
      <w:pPr>
        <w:pStyle w:val="TextoNormal"/>
      </w:pPr>
    </w:p>
    <w:p w14:paraId="278857E8" w14:textId="77777777" w:rsidR="003754FE" w:rsidRDefault="003754FE" w:rsidP="003754FE">
      <w:pPr>
        <w:pStyle w:val="TextoNormal"/>
      </w:pPr>
      <w:r>
        <w:t>Adicionalmente, en dicho fundamento jurídico 3 se alega que la comprensión de la violencia de género y sus implicaciones sobre el régimen de visitas, derivado de estos dictámenes e informes, ha sido acogida en el ordenamiento jurídico interno. En primer lugar, en la redacción del art. 94 del Código civil dada por la Ley 8/2021, de 2 de junio, que prohíbe el establecimiento de un régimen de visitas y obliga a su suspensión si ha sido ya establecido respecto del progenitor incurso en un proceso penal, entre otros, por delitos de violencia de género respecto del otro cónyuge. Y, en segundo lugar, por el art. 11 de la Ley del Parlamento Vasco 7/2015, de 30 de junio, que (i) prohíbe el establecimiento de un régimen de visitas al progenitor que haya sido condenado penalmente por sentencia firme por un delito de violencia de género respecto del otro miembro de la pareja, y (ii) establece que los indicios fundados de la comisión de dichos delitos serán tenidos en cuenta por el juez como circunstancias relevantes a los efectos del establecimiento o modificación de dicho régimen de visitas.</w:t>
      </w:r>
    </w:p>
    <w:p w14:paraId="23C39DDB" w14:textId="77777777" w:rsidR="003754FE" w:rsidRDefault="003754FE" w:rsidP="003754FE">
      <w:pPr>
        <w:pStyle w:val="TextoNormal"/>
      </w:pPr>
    </w:p>
    <w:p w14:paraId="44A7B1A2" w14:textId="77777777" w:rsidR="003754FE" w:rsidRDefault="003754FE" w:rsidP="003754FE">
      <w:pPr>
        <w:pStyle w:val="TextoNormal"/>
      </w:pPr>
      <w:r>
        <w:t>A la vista del contenido de estas normas debe descartarse esa suerte de incumplimiento de dichos preceptos legales, que esta sentencia parece utilizar para fundamentar la irrazonabilidad de la motivación de las resoluciones judiciales impugnadas, por cuanto ninguna de estas leyes resulta aplicable al supuesto de hecho aquí analizado. Por lo que respecta al nuevo art. 94 CC, como bien expone la mayoría, no estaba vigente en el momento de autos, por lo que cabe deducir que nada aporta al enjuiciamiento del presente recurso. Y por lo que se refiere al art. 11 de la Ley del Parlamento Vasco, porque este amparo no tiene como objeto las resoluciones judiciales que determinan el establecimiento, modificación o suspensión del régimen de visitas, sino las resoluciones judiciales que resuelven la oposición a la ejecución de un régimen de visitas ya establecido, sobre lo que el referido art. 11 (ni ningún otro de dicha ley) nada establece.</w:t>
      </w:r>
    </w:p>
    <w:p w14:paraId="3BEC514E" w14:textId="77777777" w:rsidR="003754FE" w:rsidRDefault="003754FE" w:rsidP="003754FE">
      <w:pPr>
        <w:pStyle w:val="TextoNormal"/>
      </w:pPr>
    </w:p>
    <w:p w14:paraId="4A93C11A" w14:textId="77777777" w:rsidR="003754FE" w:rsidRDefault="003754FE" w:rsidP="003754FE">
      <w:pPr>
        <w:pStyle w:val="TextoNormal"/>
      </w:pPr>
      <w:r>
        <w:t xml:space="preserve">Por tanto, atendiendo a lo anteriormente expuesto, considero que hubiera debido estimarse el recurso de amparo atendiendo exclusivamente a la irrazonabilidad de la motivación ofrecida en las resoluciones judiciales impugnadas, sin necesidad de acudir, bien a instrumentos que carecen de fuerza ejecutoria </w:t>
      </w:r>
      <w:r w:rsidRPr="003754FE">
        <w:rPr>
          <w:i/>
        </w:rPr>
        <w:t>ex</w:t>
      </w:r>
      <w:r>
        <w:t xml:space="preserve"> art. 10.2 CE, bien a leyes que no resultan aplicables al caso concreto.</w:t>
      </w:r>
    </w:p>
    <w:p w14:paraId="10A1BBB3" w14:textId="77777777" w:rsidR="003754FE" w:rsidRDefault="003754FE" w:rsidP="003754FE">
      <w:pPr>
        <w:pStyle w:val="TextoNormal"/>
      </w:pPr>
    </w:p>
    <w:p w14:paraId="49F4D310" w14:textId="77777777" w:rsidR="003754FE" w:rsidRDefault="003754FE" w:rsidP="003754FE">
      <w:pPr>
        <w:pStyle w:val="TextoNormal"/>
      </w:pPr>
      <w:r>
        <w:t>Y en tal sentido emito este voto particular concurrente.</w:t>
      </w:r>
    </w:p>
    <w:p w14:paraId="70133176" w14:textId="77777777" w:rsidR="003754FE" w:rsidRDefault="003754FE" w:rsidP="003754FE">
      <w:pPr>
        <w:pStyle w:val="TextoNormal"/>
      </w:pPr>
    </w:p>
    <w:p w14:paraId="15ED42E2" w14:textId="2B5D5E66" w:rsidR="003754FE" w:rsidRDefault="003754FE" w:rsidP="003754FE">
      <w:pPr>
        <w:pStyle w:val="TextoNormal"/>
      </w:pPr>
      <w:r>
        <w:t>Madrid, a veintitrés de septiembre de dos mil veinticuatro.</w:t>
      </w:r>
    </w:p>
    <w:p w14:paraId="3D59542D" w14:textId="26FF118C" w:rsidR="003754FE" w:rsidRDefault="003754FE">
      <w:pPr>
        <w:spacing w:after="160" w:line="278" w:lineRule="auto"/>
        <w:rPr>
          <w:rFonts w:ascii="Times New Roman" w:eastAsia="Times New Roman" w:hAnsi="Times New Roman" w:cs="Times New Roman"/>
          <w:sz w:val="24"/>
          <w:szCs w:val="24"/>
          <w:lang w:eastAsia="es-ES"/>
        </w:rPr>
      </w:pPr>
      <w:r>
        <w:lastRenderedPageBreak/>
        <w:br w:type="page"/>
      </w:r>
    </w:p>
    <w:p w14:paraId="0E69CBC0" w14:textId="77777777" w:rsidR="003754FE" w:rsidRDefault="003754FE" w:rsidP="003754FE">
      <w:pPr>
        <w:pStyle w:val="TtuloResolucin"/>
      </w:pPr>
      <w:bookmarkStart w:id="25" w:name="SENTENCIA_2024_116"/>
      <w:r>
        <w:lastRenderedPageBreak/>
        <w:t>SENTENCIA 116/2024, de 23 de septiembre de 2024</w:t>
      </w:r>
    </w:p>
    <w:bookmarkEnd w:id="25"/>
    <w:p w14:paraId="6BDE6243" w14:textId="77777777" w:rsidR="003754FE" w:rsidRDefault="003754FE" w:rsidP="003754FE">
      <w:pPr>
        <w:pStyle w:val="TtuloResolucin"/>
      </w:pPr>
      <w:r>
        <w:t>Sala Segunda</w:t>
      </w:r>
    </w:p>
    <w:p w14:paraId="3DAA6C0F" w14:textId="77777777" w:rsidR="003754FE" w:rsidRDefault="003754FE" w:rsidP="003754FE">
      <w:pPr>
        <w:pStyle w:val="TtuloBOE"/>
      </w:pPr>
      <w:r>
        <w:t>(BOE núm. 264, de 1 de noviembre de 2024)</w:t>
      </w:r>
    </w:p>
    <w:p w14:paraId="30159331" w14:textId="77777777" w:rsidR="003754FE" w:rsidRDefault="003754FE" w:rsidP="003754FE">
      <w:pPr>
        <w:pStyle w:val="TextoNormalCentrado"/>
      </w:pPr>
      <w:r>
        <w:t>ECLI:ES:TC:2024:116</w:t>
      </w:r>
    </w:p>
    <w:p w14:paraId="7CC97594" w14:textId="57B0AE25" w:rsidR="003754FE" w:rsidRDefault="003754FE" w:rsidP="003754FE">
      <w:pPr>
        <w:pStyle w:val="TextoNormalCentrado"/>
      </w:pPr>
    </w:p>
    <w:p w14:paraId="78042E9D" w14:textId="77777777" w:rsidR="003754FE" w:rsidRDefault="003754FE" w:rsidP="003754FE">
      <w:pPr>
        <w:pStyle w:val="SntesisDescriptiva"/>
      </w:pPr>
      <w:r>
        <w:t>Recurso de amparo 6144-2021. Promovido por la Asociación Agreal Luchadoras de España respecto de las resoluciones dictadas por las salas de lo contencioso-administrativo del Tribunal Supremo y de la Audiencia Nacional en proceso especial de derechos fundamentales.</w:t>
      </w:r>
    </w:p>
    <w:p w14:paraId="149730A1" w14:textId="0BC0A199" w:rsidR="003754FE" w:rsidRDefault="003754FE" w:rsidP="003754FE">
      <w:pPr>
        <w:pStyle w:val="SntesisDescriptiva"/>
      </w:pPr>
    </w:p>
    <w:p w14:paraId="7AFBD08C" w14:textId="77777777" w:rsidR="003754FE" w:rsidRDefault="003754FE" w:rsidP="003754FE">
      <w:pPr>
        <w:pStyle w:val="SntesisAnaltica"/>
      </w:pPr>
      <w:r>
        <w:t>Supuesta vulneración del derecho a la tutela judicial efectiva (acceso a la jurisdicción y acceso al recurso): resoluciones judiciales que inadmitieron, motivadamente y con fundamento en Derecho, la demanda y el posterior recurso de casación frente a la pretendida inactividad de la administración sanitaria en relación con el denominado “síndrome por Agreal” y los daños ocasionados por este fármaco.</w:t>
      </w:r>
    </w:p>
    <w:p w14:paraId="1C493863" w14:textId="15FBE138" w:rsidR="003754FE" w:rsidRDefault="003754FE" w:rsidP="003754FE">
      <w:pPr>
        <w:pStyle w:val="SntesisAnaltica"/>
      </w:pPr>
    </w:p>
    <w:p w14:paraId="02440201" w14:textId="53718AD1" w:rsidR="003754FE" w:rsidRDefault="003754FE" w:rsidP="003754FE">
      <w:pPr>
        <w:pStyle w:val="Extracto"/>
      </w:pPr>
      <w:r>
        <w:t>1.</w:t>
      </w:r>
      <w:r>
        <w:tab/>
        <w:t>Una resolución judicial resulta suficientemente motivada si contiene los elementos y razones de juicio que permiten conocer cuáles han sido los criterios jurídicos que la fundamentan, y en tanto que dicha motivación jurídica garantiza que la decisión no es consecuencia de una aplicación arbitraria de la legalidad, ni resulta manifiestamente irrazonable, incursa en un error patente o en una evidente contradicción entre los fundamentos jurídicos, o entre estos y el fallo (SSTC 147/1999 o 64/2010) [FJ 3].</w:t>
      </w:r>
    </w:p>
    <w:p w14:paraId="572AC411" w14:textId="77777777" w:rsidR="003754FE" w:rsidRDefault="003754FE" w:rsidP="003754FE">
      <w:pPr>
        <w:pStyle w:val="Extracto"/>
      </w:pPr>
    </w:p>
    <w:p w14:paraId="791CB118" w14:textId="5CC2E5D8" w:rsidR="003754FE" w:rsidRDefault="003754FE" w:rsidP="003754FE">
      <w:pPr>
        <w:pStyle w:val="Extracto"/>
      </w:pPr>
      <w:r>
        <w:t>2.</w:t>
      </w:r>
      <w:r>
        <w:tab/>
        <w:t>La garantía del derecho a la tutela judicial efectiva se extiende al canon de motivación reforzado cuando en el proceso de instancia se haya denunciado la lesión de derechos fundamentales sustantivos [FJ 3].</w:t>
      </w:r>
    </w:p>
    <w:p w14:paraId="476DA505" w14:textId="77777777" w:rsidR="003754FE" w:rsidRDefault="003754FE" w:rsidP="003754FE">
      <w:pPr>
        <w:pStyle w:val="Extracto"/>
      </w:pPr>
    </w:p>
    <w:p w14:paraId="196BC169" w14:textId="07FAB128" w:rsidR="003754FE" w:rsidRDefault="003754FE" w:rsidP="003754FE">
      <w:pPr>
        <w:pStyle w:val="Extracto"/>
      </w:pPr>
      <w:r>
        <w:t>3.</w:t>
      </w:r>
      <w:r>
        <w:tab/>
        <w:t xml:space="preserve">El deber de motivación reforzada no encuentra su fundamento constitucional en la genérica obligación de motivación de todas las resoluciones </w:t>
      </w:r>
      <w:r w:rsidRPr="003754FE">
        <w:rPr>
          <w:i/>
        </w:rPr>
        <w:t>ex</w:t>
      </w:r>
      <w:r>
        <w:t xml:space="preserve"> art. 24.1, en relación con el art. 120.3 CE; sino en la protección del derecho sustantivo, lo que implica que la ausencia de motivación ocasiona, por sí sola, la vulneración del propio derecho fundamental sustantivo (SSTC 128/1995 o 54/1996). Sin perjuicio de que se produzca o no, además, la lesión del derecho a la tutela judicial efectiva (SSTC 158/1996 o 96/2012) [FJ 3].</w:t>
      </w:r>
    </w:p>
    <w:p w14:paraId="1CCEB808" w14:textId="77777777" w:rsidR="003754FE" w:rsidRDefault="003754FE" w:rsidP="003754FE">
      <w:pPr>
        <w:pStyle w:val="Extracto"/>
      </w:pPr>
    </w:p>
    <w:p w14:paraId="07F8F329" w14:textId="1623C53B" w:rsidR="003754FE" w:rsidRDefault="003754FE" w:rsidP="003754FE">
      <w:pPr>
        <w:pStyle w:val="Extracto"/>
      </w:pPr>
      <w:r>
        <w:t>4.</w:t>
      </w:r>
      <w:r>
        <w:tab/>
        <w:t xml:space="preserve">No vulnera el Convenio Europeo de Derechos Humanos una resolución judicial que rechace un recurso limitándose a citar las disposiciones legales previstas en la regulación de su procedimiento, cuando los problemas planteados por el recurso no revistan una trascendencia especial o si el recurso no tuviera suficientes visos de prosperar (STEDH de 20 de enero de 2015, asunto </w:t>
      </w:r>
      <w:r w:rsidRPr="003754FE">
        <w:rPr>
          <w:i/>
        </w:rPr>
        <w:t>Arribas Antón c. España</w:t>
      </w:r>
      <w:r>
        <w:t>, § 47) [FJ 3].</w:t>
      </w:r>
    </w:p>
    <w:p w14:paraId="6DB460E5" w14:textId="77777777" w:rsidR="003754FE" w:rsidRDefault="003754FE" w:rsidP="003754FE">
      <w:pPr>
        <w:pStyle w:val="Extracto"/>
      </w:pPr>
    </w:p>
    <w:p w14:paraId="6D6D5179" w14:textId="2021AB79" w:rsidR="003754FE" w:rsidRDefault="003754FE" w:rsidP="003754FE">
      <w:pPr>
        <w:pStyle w:val="Extracto"/>
      </w:pPr>
      <w:r>
        <w:t>5.</w:t>
      </w:r>
      <w:r>
        <w:tab/>
        <w:t>No infringe la normativa procesal sobre imposición de las costas y, por ende, el derecho a la tutela judicial efectiva sin indefensión, la resolución judicial que se limita a aplicar lo previsto en la correspondiente normativa y que, por consiguiente, prescinda de valorar el modo de proceder de la parte a la que se imponen las referidas costas procesales [FJ 3].</w:t>
      </w:r>
    </w:p>
    <w:p w14:paraId="35D91E43" w14:textId="77777777" w:rsidR="003754FE" w:rsidRDefault="003754FE" w:rsidP="003754FE">
      <w:pPr>
        <w:pStyle w:val="Extracto"/>
      </w:pPr>
    </w:p>
    <w:p w14:paraId="4A9F121E" w14:textId="77777777" w:rsidR="003754FE" w:rsidRDefault="003754FE" w:rsidP="003754FE">
      <w:pPr>
        <w:pStyle w:val="Extracto"/>
      </w:pPr>
    </w:p>
    <w:p w14:paraId="5C4AC800"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14:paraId="7ACEC625" w14:textId="7F78E735" w:rsidR="003754FE" w:rsidRDefault="003754FE" w:rsidP="003754FE">
      <w:pPr>
        <w:pStyle w:val="TextoNormal"/>
      </w:pPr>
    </w:p>
    <w:p w14:paraId="16B63B52" w14:textId="77777777" w:rsidR="003754FE" w:rsidRDefault="003754FE" w:rsidP="003754FE">
      <w:pPr>
        <w:pStyle w:val="TextoNormalCentrado"/>
        <w:keepNext/>
      </w:pPr>
      <w:r>
        <w:t>EN NOMBRE DEL REY</w:t>
      </w:r>
    </w:p>
    <w:p w14:paraId="4E5851E3" w14:textId="2D4A4E9A" w:rsidR="003754FE" w:rsidRDefault="003754FE" w:rsidP="003754FE">
      <w:pPr>
        <w:pStyle w:val="TextoNormalCentrado"/>
        <w:keepNext/>
      </w:pPr>
    </w:p>
    <w:p w14:paraId="0DDD6D0C" w14:textId="77777777" w:rsidR="003754FE" w:rsidRDefault="003754FE" w:rsidP="003754FE">
      <w:pPr>
        <w:pStyle w:val="TextoNormalCentrado"/>
        <w:keepNext/>
      </w:pPr>
    </w:p>
    <w:p w14:paraId="652D8B1D" w14:textId="77777777" w:rsidR="003754FE" w:rsidRDefault="003754FE" w:rsidP="003754FE">
      <w:pPr>
        <w:pStyle w:val="TextoNormal"/>
      </w:pPr>
      <w:r>
        <w:t>la siguiente</w:t>
      </w:r>
    </w:p>
    <w:p w14:paraId="09F73C6D" w14:textId="6CD5E7E1" w:rsidR="003754FE" w:rsidRDefault="003754FE" w:rsidP="003754FE">
      <w:pPr>
        <w:pStyle w:val="TextoNormal"/>
      </w:pPr>
    </w:p>
    <w:p w14:paraId="39805392" w14:textId="77777777" w:rsidR="003754FE" w:rsidRDefault="003754FE" w:rsidP="003754FE">
      <w:pPr>
        <w:pStyle w:val="TextoNormalCentrado"/>
        <w:keepNext/>
      </w:pPr>
      <w:r>
        <w:t>SENTENCIA</w:t>
      </w:r>
    </w:p>
    <w:p w14:paraId="4D461550" w14:textId="14AC853E" w:rsidR="003754FE" w:rsidRDefault="003754FE" w:rsidP="003754FE">
      <w:pPr>
        <w:pStyle w:val="TextoNormalCentrado"/>
        <w:keepNext/>
      </w:pPr>
    </w:p>
    <w:p w14:paraId="6972E395" w14:textId="77777777" w:rsidR="003754FE" w:rsidRDefault="003754FE" w:rsidP="003754FE">
      <w:pPr>
        <w:pStyle w:val="TextoNormal"/>
      </w:pPr>
      <w:r>
        <w:t>En el recurso de amparo núm. 6144-2021, interpuesto por la procuradora de los tribunales doña Alicia Álvarez Plaza, en nombre y representación de la Asociación Agreal Luchadoras de España, bajo la dirección técnica del letrado don Francisco Almodóvar Navalón, contra la providencia de 15 de julio de 2021 de la Sección Primera de la Sala de lo Contencioso-Administrativo del Tribunal Supremo (recurso de casación núm. 852-2021) de inadmisión a trámite, y contra la sentencia desestimatoria de 14 de septiembre de 2020, de la Sección Octava de la Sala de lo Contencioso-Administrativo de la Audiencia Nacional, dictada en relación con los autos del procedimiento especial de derechos fundamentales núm. 1-2018. Ha sido parte la Abogacía del Estado. Ha intervenido el Ministerio Fiscal. Ha sido ponente la magistrada doña María Luisa Balaguer Callejón.</w:t>
      </w:r>
    </w:p>
    <w:p w14:paraId="26311F49" w14:textId="26280C76" w:rsidR="003754FE" w:rsidRDefault="003754FE" w:rsidP="003754FE">
      <w:pPr>
        <w:pStyle w:val="TextoNormal"/>
      </w:pPr>
    </w:p>
    <w:p w14:paraId="304E8BD4" w14:textId="77777777" w:rsidR="003754FE" w:rsidRDefault="003754FE" w:rsidP="003754FE">
      <w:pPr>
        <w:pStyle w:val="TextoNormalNegritaCentrado"/>
        <w:keepNext/>
      </w:pPr>
      <w:r>
        <w:t>I. Antecedentes</w:t>
      </w:r>
    </w:p>
    <w:p w14:paraId="76DEFAAC" w14:textId="634384E7" w:rsidR="003754FE" w:rsidRDefault="003754FE" w:rsidP="003754FE">
      <w:pPr>
        <w:pStyle w:val="TextoNormalNegritaCentrado"/>
        <w:keepNext/>
      </w:pPr>
    </w:p>
    <w:p w14:paraId="3BDD6803" w14:textId="7587502B" w:rsidR="003754FE" w:rsidRDefault="003754FE" w:rsidP="003754FE">
      <w:pPr>
        <w:pStyle w:val="TextoNormal"/>
      </w:pPr>
      <w:r w:rsidRPr="003754FE">
        <w:rPr>
          <w:rStyle w:val="NumeroAFNegritaCaracter"/>
        </w:rPr>
        <w:t>1</w:t>
      </w:r>
      <w:r>
        <w:t>. La Asociación Agreal Luchadoras de España, representada por la procuradora de los tribunales doña Alicia Álvarez Plaza, ha interpuesto recurso de amparo contra las resoluciones judiciales indicadas en el encabezamiento de esta sentencia mediante escrito presentado en el registro de este tribunal con fecha 29 de septiembre de 2021.</w:t>
      </w:r>
    </w:p>
    <w:p w14:paraId="2D56BB2F" w14:textId="77777777" w:rsidR="003754FE" w:rsidRDefault="003754FE" w:rsidP="003754FE">
      <w:pPr>
        <w:pStyle w:val="TextoNormal"/>
      </w:pPr>
    </w:p>
    <w:p w14:paraId="0ACF4BB5" w14:textId="77777777" w:rsidR="003754FE" w:rsidRDefault="003754FE" w:rsidP="003754FE">
      <w:pPr>
        <w:pStyle w:val="TextoNormal"/>
      </w:pPr>
      <w:r w:rsidRPr="003754FE">
        <w:rPr>
          <w:rStyle w:val="NumeroAFNegritaCaracter"/>
        </w:rPr>
        <w:t>2</w:t>
      </w:r>
      <w:r>
        <w:t>. Los hechos de los que trae causa la presente demanda de amparo, y las resoluciones judiciales previas, son, en síntesis, los siguientes:</w:t>
      </w:r>
    </w:p>
    <w:p w14:paraId="5F75E24B" w14:textId="77777777" w:rsidR="003754FE" w:rsidRDefault="003754FE" w:rsidP="003754FE">
      <w:pPr>
        <w:pStyle w:val="TextoNormal"/>
      </w:pPr>
    </w:p>
    <w:p w14:paraId="03902378" w14:textId="77777777" w:rsidR="003754FE" w:rsidRDefault="003754FE" w:rsidP="003754FE">
      <w:pPr>
        <w:pStyle w:val="TextoNormal"/>
      </w:pPr>
      <w:r>
        <w:t>a) El grupo empresarial francés Sanofi-Aventis (desde 2011, unicamente Sanofi) tiene su sede en París y desarrolla su actividad en el ámbito de la salud. Desde 1979 comercializa en diversos países europeos (Francia, Italia, Portugal, Bélgica, España y Luxemburgo) el producto “veraliprida”, un fármaco destinado a paliar “las manifestaciones psicofuncionales de la menopausia”. En España, bajo la marca Agreal, desde el año 1983.</w:t>
      </w:r>
    </w:p>
    <w:p w14:paraId="537FB140" w14:textId="77777777" w:rsidR="003754FE" w:rsidRDefault="003754FE" w:rsidP="003754FE">
      <w:pPr>
        <w:pStyle w:val="TextoNormal"/>
      </w:pPr>
    </w:p>
    <w:p w14:paraId="2999194A" w14:textId="77777777" w:rsidR="003754FE" w:rsidRDefault="003754FE" w:rsidP="003754FE">
      <w:pPr>
        <w:pStyle w:val="TextoNormal"/>
      </w:pPr>
      <w:r>
        <w:t>b) En 2005, la Agencia Española del Medicamento y Productos Sanitarios (AEMPS) decide retirar este producto del mercado español por no superar la relación beneficio/riesgo.</w:t>
      </w:r>
    </w:p>
    <w:p w14:paraId="5635F21F" w14:textId="77777777" w:rsidR="003754FE" w:rsidRDefault="003754FE" w:rsidP="003754FE">
      <w:pPr>
        <w:pStyle w:val="TextoNormal"/>
      </w:pPr>
    </w:p>
    <w:p w14:paraId="21004F44" w14:textId="77777777" w:rsidR="003754FE" w:rsidRDefault="003754FE" w:rsidP="003754FE">
      <w:pPr>
        <w:pStyle w:val="TextoNormal"/>
      </w:pPr>
      <w:r>
        <w:t xml:space="preserve">c) A la luz de las reclamaciones presentadas en el Ministerio de Sanidad y Consumo por un grupo de mujeres que tomaron el medicamento Agreal, en las que se solicitaba una atención sanitaria especial para los diversos problemas que referían, la AEMPS convocó una </w:t>
      </w:r>
      <w:r>
        <w:lastRenderedPageBreak/>
        <w:t>comisión de expertos, integrada por cinco miembros de cinco sociedades médicas españolas (sociedades españolas de psiquiatría; neurología; medicina familiar y comunitaria; para el estudio de la menopausia, y de farmacología clínica) para evaluar la necesidad de dicha atención sanitaria, que, tras sendas reuniones de 22 de septiembre y 22 de octubre de 2006, emitió un informe en el que concluyó:</w:t>
      </w:r>
    </w:p>
    <w:p w14:paraId="71231F76" w14:textId="77777777" w:rsidR="003754FE" w:rsidRDefault="003754FE" w:rsidP="003754FE">
      <w:pPr>
        <w:pStyle w:val="TextoNormal"/>
      </w:pPr>
    </w:p>
    <w:p w14:paraId="5867D9A1" w14:textId="77777777" w:rsidR="003754FE" w:rsidRDefault="003754FE" w:rsidP="003754FE">
      <w:pPr>
        <w:pStyle w:val="TextoNormal"/>
      </w:pPr>
      <w:r>
        <w:t>“- La sintomatología referida por las pacientes es muy diversa, aunque destacan los problemas de tipo psiquiátrico y neurológico.</w:t>
      </w:r>
    </w:p>
    <w:p w14:paraId="729EA173" w14:textId="77777777" w:rsidR="003754FE" w:rsidRDefault="003754FE" w:rsidP="003754FE">
      <w:pPr>
        <w:pStyle w:val="TextoNormal"/>
      </w:pPr>
    </w:p>
    <w:p w14:paraId="3F43C8B5" w14:textId="77777777" w:rsidR="003754FE" w:rsidRDefault="003754FE" w:rsidP="003754FE">
      <w:pPr>
        <w:pStyle w:val="TextoNormal"/>
      </w:pPr>
      <w:r>
        <w:t>- En general, se trata de cuadros inespecíficos, con la posible excepción de algunos de tipo neurológico, muy similares a los que se encuentran habitualmente en la práctica clínica diaria, especialmente en las mujeres del rango de edad comprendido entre los cuarenta y sesenta años.</w:t>
      </w:r>
    </w:p>
    <w:p w14:paraId="5514E62F" w14:textId="77777777" w:rsidR="003754FE" w:rsidRDefault="003754FE" w:rsidP="003754FE">
      <w:pPr>
        <w:pStyle w:val="TextoNormal"/>
      </w:pPr>
    </w:p>
    <w:p w14:paraId="3D7AAA05" w14:textId="77777777" w:rsidR="003754FE" w:rsidRDefault="003754FE" w:rsidP="003754FE">
      <w:pPr>
        <w:pStyle w:val="TextoNormal"/>
      </w:pPr>
      <w:r>
        <w:t>- Un buen número de pacientes refieren cuadros de evolución prolongada o permanente, aún después de retirar el medicamento, lo cual no tiene explicación biológica atendiendo a los datos farmacológicos del producto.</w:t>
      </w:r>
    </w:p>
    <w:p w14:paraId="1FC34084" w14:textId="77777777" w:rsidR="003754FE" w:rsidRDefault="003754FE" w:rsidP="003754FE">
      <w:pPr>
        <w:pStyle w:val="TextoNormal"/>
      </w:pPr>
    </w:p>
    <w:p w14:paraId="27BE8A7E" w14:textId="77777777" w:rsidR="003754FE" w:rsidRDefault="003754FE" w:rsidP="003754FE">
      <w:pPr>
        <w:pStyle w:val="TextoNormal"/>
      </w:pPr>
      <w:r>
        <w:t>- Los problemas referidos por las pacientes son comunes y pueden ser abordados por los cauces habituales del Sistema Nacional de Salud”.</w:t>
      </w:r>
    </w:p>
    <w:p w14:paraId="01120B69" w14:textId="77777777" w:rsidR="003754FE" w:rsidRDefault="003754FE" w:rsidP="003754FE">
      <w:pPr>
        <w:pStyle w:val="TextoNormal"/>
      </w:pPr>
    </w:p>
    <w:p w14:paraId="177759B4" w14:textId="77777777" w:rsidR="003754FE" w:rsidRDefault="003754FE" w:rsidP="003754FE">
      <w:pPr>
        <w:pStyle w:val="TextoNormal"/>
      </w:pPr>
      <w:r>
        <w:t>El 9 de febrero de 2007 la directora de la AEMPS firma una nota informativa en la que se dan por buenas estas conclusiones sobre Agreal.</w:t>
      </w:r>
    </w:p>
    <w:p w14:paraId="4E486F36" w14:textId="77777777" w:rsidR="003754FE" w:rsidRDefault="003754FE" w:rsidP="003754FE">
      <w:pPr>
        <w:pStyle w:val="TextoNormal"/>
      </w:pPr>
    </w:p>
    <w:p w14:paraId="496EC3E0" w14:textId="77777777" w:rsidR="003754FE" w:rsidRDefault="003754FE" w:rsidP="003754FE">
      <w:pPr>
        <w:pStyle w:val="TextoNormal"/>
      </w:pPr>
      <w:r>
        <w:t xml:space="preserve">d) A principios del año 2007 la </w:t>
      </w:r>
      <w:r w:rsidRPr="003754FE">
        <w:rPr>
          <w:i/>
        </w:rPr>
        <w:t>European Medicine Agency</w:t>
      </w:r>
      <w:r>
        <w:t xml:space="preserve"> [Agencia Europea de Medicamentos (EMA)] se cuestiona la seguridad de Agreal y formula al grupo Sanofi-Aventis una serie de cuestiones científicas (“Veraliprida. Procedimiento de revisión conforme al artículo 31 EMEA/H/A-31/788. Contestación a la lista de cuestiones relevantes. Referencia EMEA/CHMP/71873/2007”).</w:t>
      </w:r>
    </w:p>
    <w:p w14:paraId="4788E342" w14:textId="77777777" w:rsidR="003754FE" w:rsidRDefault="003754FE" w:rsidP="003754FE">
      <w:pPr>
        <w:pStyle w:val="TextoNormal"/>
      </w:pPr>
    </w:p>
    <w:p w14:paraId="6514EB89" w14:textId="77777777" w:rsidR="003754FE" w:rsidRDefault="003754FE" w:rsidP="003754FE">
      <w:pPr>
        <w:pStyle w:val="TextoNormal"/>
      </w:pPr>
      <w:r>
        <w:t>e) El 23 de julio de 2007 la Organización Mundial de la Salud lanza una alerta indicando que el producto Agreal tiene más riesgos que beneficios.</w:t>
      </w:r>
    </w:p>
    <w:p w14:paraId="144470E8" w14:textId="77777777" w:rsidR="003754FE" w:rsidRDefault="003754FE" w:rsidP="003754FE">
      <w:pPr>
        <w:pStyle w:val="TextoNormal"/>
      </w:pPr>
    </w:p>
    <w:p w14:paraId="1B3602C6" w14:textId="77777777" w:rsidR="003754FE" w:rsidRDefault="003754FE" w:rsidP="003754FE">
      <w:pPr>
        <w:pStyle w:val="TextoNormal"/>
      </w:pPr>
      <w:r>
        <w:t>f) A raíz de las respuestas dadas por el laboratorio a las preguntas formuladas por la EMA, el 1 de octubre de 2007, esta acuerda suspender la comercialización del producto por no superar el beneficio/riesgo debido a sus reacciones adversas graves, principalmente, de tipo psiquiátrico y neurológico.</w:t>
      </w:r>
    </w:p>
    <w:p w14:paraId="7DB065A2" w14:textId="77777777" w:rsidR="003754FE" w:rsidRDefault="003754FE" w:rsidP="003754FE">
      <w:pPr>
        <w:pStyle w:val="TextoNormal"/>
      </w:pPr>
    </w:p>
    <w:p w14:paraId="7261392E" w14:textId="77777777" w:rsidR="003754FE" w:rsidRDefault="003754FE" w:rsidP="003754FE">
      <w:pPr>
        <w:pStyle w:val="TextoNormal"/>
      </w:pPr>
      <w:r>
        <w:t>g) El 16 de junio de 2014, el abogado don Francisco Almodóvar Navalón, en representación de dos Asociaciones de mujeres afectadas por Agreal (Asociación Agreal Luchadoras de España y Asociación Enfermas del Agreal de España), solicita formalmente a la EMA (“</w:t>
      </w:r>
      <w:r w:rsidRPr="003754FE">
        <w:rPr>
          <w:i/>
        </w:rPr>
        <w:t>Request</w:t>
      </w:r>
      <w:r>
        <w:t xml:space="preserve">”) tener acceso a las respuestas que el grupo empresarial francés le había enviado y que motivaron la suspensión de comercialización en toda la Unión Europea del producto Agreal. Le son entregadas el 11 de agosto de 2014. Dada su extensión —aproximadamente 400 páginas— y el carácter eminentemente técnico de su contenido, el letrado, en nombre de un grupo de ocho mujeres que consumieron el medicamento durante largos periodos de tiempo, encarga en septiembre de 2014 una investigación científico-médica de dichos documentos al área de Medicina Legal y Forense de la Universidad de Alcalá (Madrid), que </w:t>
      </w:r>
      <w:r>
        <w:lastRenderedPageBreak/>
        <w:t>en junio de 2015 presenta un análisis de medicina legal, denominado “Los daños por Agreal desvelados”. Según la asociación recurrente en amparo (Asociación Agreal Luchadoras de España), en este análisis queda patente, entre otras cosas, que Sanofi ocultó información de seguridad del fármaco de forma intencionada, ya que no puso ninguna advertencia en el prospecto (ni en la ficha técnica, si bien es cierto que hasta el año 2002 esta no era obligatoria), lo que motivó que muchas mujeres lo consumieran durante periodos prolongados de más de tres meses con las consiguientes lesiones crónicas que ello les provocó.</w:t>
      </w:r>
    </w:p>
    <w:p w14:paraId="7F849095" w14:textId="77777777" w:rsidR="003754FE" w:rsidRDefault="003754FE" w:rsidP="003754FE">
      <w:pPr>
        <w:pStyle w:val="TextoNormal"/>
      </w:pPr>
    </w:p>
    <w:p w14:paraId="4253F5C1" w14:textId="77777777" w:rsidR="003754FE" w:rsidRDefault="003754FE" w:rsidP="003754FE">
      <w:pPr>
        <w:pStyle w:val="TextoNormal"/>
      </w:pPr>
      <w:r>
        <w:t xml:space="preserve">h) Socias de la Asociación Agreal Luchadoras de España encargan al Departamento de Medicina Legal y Forense de la Universidad de Alcalá de Henares el estudio de sus casos a la luz de la nueva evidencia científica. Entre julio y septiembre de 2016, los profesores don Antonio Piga Rivero y doña MaríaTeresa Alfonso Galán, miembros de esta universidad, publican en tres entregas en la revista </w:t>
      </w:r>
      <w:r w:rsidRPr="003754FE">
        <w:rPr>
          <w:i/>
        </w:rPr>
        <w:t>Actualidad del Derecho Sanitario</w:t>
      </w:r>
      <w:r>
        <w:t xml:space="preserve"> un artículo de investigación médico-legal titulado “Enfermedad por las reacciones adversas por tratamientos de muy larga duración con Veraliprida-Agreal”, que, a juicio de la asociación demandante, tiene una conclusión clara: Sanofi ocultó de forma intencionada información sobre la seguridad de su fármaco, provocando lesiones a las mujeres sometidas al estudio (socias de la asociación demandante) catalogables de muy graves, crónicas y de imposible curación, debido al consumo prolongado de dicho medicamento.</w:t>
      </w:r>
    </w:p>
    <w:p w14:paraId="068DDA25" w14:textId="77777777" w:rsidR="003754FE" w:rsidRDefault="003754FE" w:rsidP="003754FE">
      <w:pPr>
        <w:pStyle w:val="TextoNormal"/>
      </w:pPr>
    </w:p>
    <w:p w14:paraId="680C8B3E" w14:textId="77777777" w:rsidR="003754FE" w:rsidRDefault="003754FE" w:rsidP="003754FE">
      <w:pPr>
        <w:pStyle w:val="TextoNormal"/>
      </w:pPr>
      <w:r>
        <w:t>i) Lo relevante —según la asociación demandante— es que Sanofi-Aventis ha reconocido en sus respuestas a la EMA en 2007 que el producto no debía tomarse más allá de tres meses, si no había periodos de descanso, dada su potencial peligrosidad, en tanto que podía provocar reacciones adversas graves de tipo psiquiátrico, neurológico y reumatológico, entre otras. Sin embargo, Sanofi-Aventis ocultó —según la parte recurrente— esta información y mantuvo diferentes prospectos del fármaco en los distintos países en los que lo comercializaba. Y cuando en 2007 entrega la información a la EMA, la protege como “confidencial”, impidiendo a esta publicarla o difundirla. Ello tuvo como consecuencia que en España hubiera mujeres que siguieron tomando este fármaco, sin que se les hayan reconocido por sus médicos las enfermedades crónicas e irreversibles que padecen, ligadas a un consumo prolongado de Agreal (intoxicación medicamentosa), tal y como —en su opinión— ha quedado en evidencia tanto en los ensayos clínicos del propio laboratorio, como en la práctica clínica, los datos de farmacovigilancia, la literatura científica, etc.</w:t>
      </w:r>
    </w:p>
    <w:p w14:paraId="6551F451" w14:textId="77777777" w:rsidR="003754FE" w:rsidRDefault="003754FE" w:rsidP="003754FE">
      <w:pPr>
        <w:pStyle w:val="TextoNormal"/>
      </w:pPr>
    </w:p>
    <w:p w14:paraId="25B7DB1C" w14:textId="77777777" w:rsidR="003754FE" w:rsidRDefault="003754FE" w:rsidP="003754FE">
      <w:pPr>
        <w:pStyle w:val="TextoNormal"/>
      </w:pPr>
      <w:r>
        <w:t>j) Por lo que se refiere a la actuación de la administración española, si bien es cierto que Sanofi-Aventis no presentó la información mencionada a las autoridades españolas, sí lo hizo a la EMA en 2007, lo que indica que la AEMPS tenía conocimiento de dichas respuestas confidenciales, habida cuenta de que esta ocupa un puesto en el Comité Científico de la EMA. Sin embargo, las autoridades españolas actuaron —según la demandante— como si no supieran nada de esta “información confidencial”.</w:t>
      </w:r>
    </w:p>
    <w:p w14:paraId="35A0A451" w14:textId="77777777" w:rsidR="003754FE" w:rsidRDefault="003754FE" w:rsidP="003754FE">
      <w:pPr>
        <w:pStyle w:val="TextoNormal"/>
      </w:pPr>
    </w:p>
    <w:p w14:paraId="589261EA" w14:textId="77777777" w:rsidR="003754FE" w:rsidRDefault="003754FE" w:rsidP="003754FE">
      <w:pPr>
        <w:pStyle w:val="TextoNormal"/>
      </w:pPr>
      <w:r>
        <w:t>k) En 2017, por primera vez, se reconocen judicialmente en España los daños psiquiátricos ocasionados por Agreal. En la sentencia de la Audiencia Provincial de Barcelona núm. 88/2017, de 17 de febrero (procedimiento ordinario 1625-2012):</w:t>
      </w:r>
    </w:p>
    <w:p w14:paraId="161887C5" w14:textId="77777777" w:rsidR="003754FE" w:rsidRDefault="003754FE" w:rsidP="003754FE">
      <w:pPr>
        <w:pStyle w:val="TextoNormal"/>
      </w:pPr>
    </w:p>
    <w:p w14:paraId="6F4BFA30" w14:textId="77777777" w:rsidR="003754FE" w:rsidRDefault="003754FE" w:rsidP="003754FE">
      <w:pPr>
        <w:pStyle w:val="TextoNormal"/>
      </w:pPr>
      <w:r>
        <w:t>“(1) Se declara que el medicamento Agreal produce efectos secundarios no previstos por el laboratorio demandado en la información facilitada a los pacientes en el prospecto.</w:t>
      </w:r>
    </w:p>
    <w:p w14:paraId="71B833C9" w14:textId="77777777" w:rsidR="003754FE" w:rsidRDefault="003754FE" w:rsidP="003754FE">
      <w:pPr>
        <w:pStyle w:val="TextoNormal"/>
      </w:pPr>
    </w:p>
    <w:p w14:paraId="3BFC1A25" w14:textId="77777777" w:rsidR="003754FE" w:rsidRDefault="003754FE" w:rsidP="003754FE">
      <w:pPr>
        <w:pStyle w:val="TextoNormal"/>
      </w:pPr>
      <w:r>
        <w:lastRenderedPageBreak/>
        <w:t>(2) Se declara que la parte actora sufrió daños en su salud por el proceso de depresión acaecido como consecuencia de la ingesta del Agreal.</w:t>
      </w:r>
    </w:p>
    <w:p w14:paraId="4A76705D" w14:textId="77777777" w:rsidR="003754FE" w:rsidRDefault="003754FE" w:rsidP="003754FE">
      <w:pPr>
        <w:pStyle w:val="TextoNormal"/>
      </w:pPr>
    </w:p>
    <w:p w14:paraId="50FF18EE" w14:textId="77777777" w:rsidR="003754FE" w:rsidRDefault="003754FE" w:rsidP="003754FE">
      <w:pPr>
        <w:pStyle w:val="TextoNormal"/>
      </w:pPr>
      <w:r>
        <w:t>(3) Se condena a la entidad demandada al pago de la suma de diez mil ciento sesenta y ocho euros (10 168 €), así como los intereses legales devengados desde la interpelación judicial”.</w:t>
      </w:r>
    </w:p>
    <w:p w14:paraId="03131601" w14:textId="77777777" w:rsidR="003754FE" w:rsidRDefault="003754FE" w:rsidP="003754FE">
      <w:pPr>
        <w:pStyle w:val="TextoNormal"/>
      </w:pPr>
    </w:p>
    <w:p w14:paraId="41C6CA99" w14:textId="77777777" w:rsidR="003754FE" w:rsidRDefault="003754FE" w:rsidP="003754FE">
      <w:pPr>
        <w:pStyle w:val="TextoNormal"/>
      </w:pPr>
      <w:r>
        <w:t>l) La reclamación efectuada en vía administrativa por la Asociación Agreal Luchadoras de España se presenta el 10 de enero de 2018, instando:</w:t>
      </w:r>
    </w:p>
    <w:p w14:paraId="6749C9F8" w14:textId="77777777" w:rsidR="003754FE" w:rsidRDefault="003754FE" w:rsidP="003754FE">
      <w:pPr>
        <w:pStyle w:val="TextoNormal"/>
      </w:pPr>
    </w:p>
    <w:p w14:paraId="729A0E5C" w14:textId="77777777" w:rsidR="003754FE" w:rsidRDefault="003754FE" w:rsidP="003754FE">
      <w:pPr>
        <w:pStyle w:val="TextoNormal"/>
      </w:pPr>
      <w:r>
        <w:t>- Reconocimiento científico por parte de la AEMPS de la enfermedad por efectos adversos de veraliprida (Agreal, Aclimafel, etc.) en prescripciones de muy larga duración (más de tres meses) para tratamiento de los sofocos y las manifestaciones psicofuncionales de la menopausia, confirmada en base al trabajo de investigación aportado en el escrito.</w:t>
      </w:r>
    </w:p>
    <w:p w14:paraId="1787E8DF" w14:textId="77777777" w:rsidR="003754FE" w:rsidRDefault="003754FE" w:rsidP="003754FE">
      <w:pPr>
        <w:pStyle w:val="TextoNormal"/>
      </w:pPr>
    </w:p>
    <w:p w14:paraId="3D0F2709" w14:textId="77777777" w:rsidR="003754FE" w:rsidRDefault="003754FE" w:rsidP="003754FE">
      <w:pPr>
        <w:pStyle w:val="TextoNormal"/>
      </w:pPr>
      <w:r>
        <w:t>- Informe científico de la AEMPS mediante el cual se analice la información aportada en el trabajo de investigación científica realizado por los profesores don Antonio Piga y doña María Teresa Alfonso-Galán, de la Universidad de Alcalá de Henares.</w:t>
      </w:r>
    </w:p>
    <w:p w14:paraId="466D7378" w14:textId="77777777" w:rsidR="003754FE" w:rsidRDefault="003754FE" w:rsidP="003754FE">
      <w:pPr>
        <w:pStyle w:val="TextoNormal"/>
      </w:pPr>
    </w:p>
    <w:p w14:paraId="72182539" w14:textId="77777777" w:rsidR="003754FE" w:rsidRDefault="003754FE" w:rsidP="003754FE">
      <w:pPr>
        <w:pStyle w:val="TextoNormal"/>
      </w:pPr>
      <w:r>
        <w:t>- Rectificación pública, a la luz de la evidencia científica de la nota informativa sobre Agreal, emitida por la AEMPS, con fecha 9 de febrero de 2007.</w:t>
      </w:r>
    </w:p>
    <w:p w14:paraId="265ABBB0" w14:textId="77777777" w:rsidR="003754FE" w:rsidRDefault="003754FE" w:rsidP="003754FE">
      <w:pPr>
        <w:pStyle w:val="TextoNormal"/>
      </w:pPr>
    </w:p>
    <w:p w14:paraId="356647E0" w14:textId="77777777" w:rsidR="003754FE" w:rsidRDefault="003754FE" w:rsidP="003754FE">
      <w:pPr>
        <w:pStyle w:val="TextoNormal"/>
      </w:pPr>
      <w:r>
        <w:t>- Creación de un equipo de trabajo multidisciplinar dependiente del Ministerio de Sanidad, Servicios Sociales e Igualdad, que analice la información científica y coordine con las asociaciones de afectadas un plan de trabajo neutral y rigurosamente transparente para determinar el estatus de víctima por Agreal, así como para el establecimiento de medidas sanitarias tendentes al cuidado sanitario y atención de las víctimas en todas las comunidades autónomas del Estado español.</w:t>
      </w:r>
    </w:p>
    <w:p w14:paraId="43485ECC" w14:textId="77777777" w:rsidR="003754FE" w:rsidRDefault="003754FE" w:rsidP="003754FE">
      <w:pPr>
        <w:pStyle w:val="TextoNormal"/>
      </w:pPr>
    </w:p>
    <w:p w14:paraId="1FD10262" w14:textId="77777777" w:rsidR="003754FE" w:rsidRDefault="003754FE" w:rsidP="003754FE">
      <w:pPr>
        <w:pStyle w:val="TextoNormal"/>
      </w:pPr>
      <w:r>
        <w:t>- Comunicado a los países donde se haya comercializado veraliprida, incluidos los del entorno iberoamericano, sobre los nuevos datos científicos y sus conclusiones para que se tomen medidas racionales en el uso de este medicamento.</w:t>
      </w:r>
    </w:p>
    <w:p w14:paraId="508AC8EC" w14:textId="77777777" w:rsidR="003754FE" w:rsidRDefault="003754FE" w:rsidP="003754FE">
      <w:pPr>
        <w:pStyle w:val="TextoNormal"/>
      </w:pPr>
    </w:p>
    <w:p w14:paraId="3122F0F4" w14:textId="77777777" w:rsidR="003754FE" w:rsidRDefault="003754FE" w:rsidP="003754FE">
      <w:pPr>
        <w:pStyle w:val="TextoNormal"/>
      </w:pPr>
      <w:r>
        <w:t>m) El Ministerio de Sanidad remite contestación en fecha 7 de marzo de 2018 en la que manifiesta las distintas actuaciones que se han llevado a cabo por la administración, concluyendo que no procede actuación administrativa en los términos que se instan por la parte.</w:t>
      </w:r>
    </w:p>
    <w:p w14:paraId="3D2603A1" w14:textId="77777777" w:rsidR="003754FE" w:rsidRDefault="003754FE" w:rsidP="003754FE">
      <w:pPr>
        <w:pStyle w:val="TextoNormal"/>
      </w:pPr>
    </w:p>
    <w:p w14:paraId="63CAC2FF" w14:textId="77777777" w:rsidR="003754FE" w:rsidRDefault="003754FE" w:rsidP="003754FE">
      <w:pPr>
        <w:pStyle w:val="TextoNormal"/>
      </w:pPr>
      <w:r>
        <w:t xml:space="preserve">n) La representación procesal de la asociación recurrente en amparo (Asociación Agreal Luchadoras de España), así como la de la Asociación Enfermas del Agreal de España, interponen recurso contencioso-administrativo núm. 1-2018 ante la Sección Octava de la Sala de lo Contencioso-Administrativo de la Audiencia Nacional, por el procedimiento para la protección de derechos fundamentales de la persona, contra la inactividad del Ministerio de Sanidad, Servicios Sociales e Igualdad, al no reconocer el llamado “síndrome por Agreal” y los daños ocasionados por este fármaco, y no permitir que los médicos puedan conocer la etiología de estos. Posteriormente, la segunda de las asociaciones (Asociación Enfermas del Agreal de España) desiste del procedimiento, manteniéndose este únicamente por parte de la primera (Asociación Agreal Luchadoras de España), que reclama que se reconozca la situación en que se encuentran sus asociadas, por lo que se refiere a la vulneración del </w:t>
      </w:r>
      <w:r>
        <w:lastRenderedPageBreak/>
        <w:t>contenido esencial de los derechos fundamentales a la integridad física y moral, a la libertad, la igualdad, el honor y la tutela judicial efectiva.</w:t>
      </w:r>
    </w:p>
    <w:p w14:paraId="5A6CBC82" w14:textId="77777777" w:rsidR="003754FE" w:rsidRDefault="003754FE" w:rsidP="003754FE">
      <w:pPr>
        <w:pStyle w:val="TextoNormal"/>
      </w:pPr>
    </w:p>
    <w:p w14:paraId="7B035C47" w14:textId="77777777" w:rsidR="003754FE" w:rsidRDefault="003754FE" w:rsidP="003754FE">
      <w:pPr>
        <w:pStyle w:val="TextoNormal"/>
      </w:pPr>
      <w:r>
        <w:t>ñ) El recurso es inadmitido por la Audiencia Nacional mediante sentencia de 14 de septiembre de 2020, en la que se sostiene que no ha existido actividad administrativa impugnable, en tanto que no cabe entender que la administración haya permanecido inactiva, por lo que no resulta de aplicación el artículo 29 de la Ley reguladora de la jurisdicción contencioso-administrativa (LJCA). En concreto, se da cuenta de las siguientes actuaciones desarrollada por la AEMPS y el Sistema Español de Farmacovigilancia, tras proceder este último a revisar un nuevo caso de trastornos psiquiátricos (síndrome de retirada) como consecuencia de una notificación que recibió en 2004:</w:t>
      </w:r>
    </w:p>
    <w:p w14:paraId="275FB46C" w14:textId="77777777" w:rsidR="003754FE" w:rsidRDefault="003754FE" w:rsidP="003754FE">
      <w:pPr>
        <w:pStyle w:val="TextoNormal"/>
      </w:pPr>
    </w:p>
    <w:p w14:paraId="43115079" w14:textId="77777777" w:rsidR="003754FE" w:rsidRDefault="003754FE" w:rsidP="003754FE">
      <w:pPr>
        <w:pStyle w:val="TextoNormal"/>
      </w:pPr>
      <w:r>
        <w:t>- En su reunión de 21 de septiembre de 2004, el Comité Técnico del Servicio Español de Farmacovigilancia (constituido por técnicos de farmacovigilancia de los diecisiete centros autonómicos de farmacovigilancia y el centro coordinador del servicio, perteneciente a la AEMPS), procedió a analizar los casos recibidos y su valoración como una posible señal de farmacovigilancia, indicativa del riesgo potencial de trastornos psiquiátricos asociados al uso de veraliprida. La conclusión de este comité fue que la señal podría ser consistente y que se debería remitir este asunto al Comité de Medicamentos de Uso Humano para disponer de información más exhaustiva y una evaluación más detallada, dando cumplimiento a lo establecido en el artículo 4.2 del Real Decreto 711/2002, de 19 de julio, por el que se regula la farmacovigilancia de medicamentos de uso humano,sobre las funciones de este comité.</w:t>
      </w:r>
    </w:p>
    <w:p w14:paraId="30F73008" w14:textId="77777777" w:rsidR="003754FE" w:rsidRDefault="003754FE" w:rsidP="003754FE">
      <w:pPr>
        <w:pStyle w:val="TextoNormal"/>
      </w:pPr>
    </w:p>
    <w:p w14:paraId="2A5000C0" w14:textId="77777777" w:rsidR="003754FE" w:rsidRDefault="003754FE" w:rsidP="003754FE">
      <w:pPr>
        <w:pStyle w:val="TextoNormal"/>
      </w:pPr>
      <w:r>
        <w:t>- El 24 de septiembre de 2004, la AEMPS solicitó el correspondiente informe de evaluación del balance beneficio/riesgo al laboratorio titular de Agreal. En este informe se debían aportar datos de la situación de Agreal en otros países, datos de consumo y toda la información disponible sobre la eficacia y seguridad de la veraliprida en sus indicaciones autorizadas.</w:t>
      </w:r>
    </w:p>
    <w:p w14:paraId="6E47C590" w14:textId="77777777" w:rsidR="003754FE" w:rsidRDefault="003754FE" w:rsidP="003754FE">
      <w:pPr>
        <w:pStyle w:val="TextoNormal"/>
      </w:pPr>
    </w:p>
    <w:p w14:paraId="290FE818" w14:textId="77777777" w:rsidR="003754FE" w:rsidRDefault="003754FE" w:rsidP="003754FE">
      <w:pPr>
        <w:pStyle w:val="TextoNormal"/>
      </w:pPr>
      <w:r>
        <w:t>- Una vez recibida la información del laboratorio titular, se encargó un informe experto a un ponente del Comité de Medicamentos de Uso Humano para la pertinente evaluación por este comité, tal y como se establece en el artículo 14.1 del Real Decreto 711/2002.</w:t>
      </w:r>
    </w:p>
    <w:p w14:paraId="6FD08B0A" w14:textId="77777777" w:rsidR="003754FE" w:rsidRDefault="003754FE" w:rsidP="003754FE">
      <w:pPr>
        <w:pStyle w:val="TextoNormal"/>
      </w:pPr>
    </w:p>
    <w:p w14:paraId="78027BD5" w14:textId="77777777" w:rsidR="003754FE" w:rsidRDefault="003754FE" w:rsidP="003754FE">
      <w:pPr>
        <w:pStyle w:val="TextoNormal"/>
      </w:pPr>
      <w:r>
        <w:t>- En su reunión plenaria celebrada el 9 de marzo de 2005, el Comité de Medicamentos de Uso Humano procedió a la evaluación del balance beneficio/riesgo de veraliprida. Para dicha reunión se aportaron todos los datos de eficacia y seguridad de este medicamento y otros relevantes. En dicha reunión se dio audiencia al laboratorio titular de la autorización de Agreal, y asistieron expertos externos. La conclusión del Comité fue que el balance beneficio/riesgo de veraliprida era desfavorable en sus indicaciones autorizadas, recomendando a la AEMPS la suspensión de comercialización y la elaboración de una nota informativa para los profesionales sanitarios informando a este respecto.</w:t>
      </w:r>
    </w:p>
    <w:p w14:paraId="769434D7" w14:textId="77777777" w:rsidR="003754FE" w:rsidRDefault="003754FE" w:rsidP="003754FE">
      <w:pPr>
        <w:pStyle w:val="TextoNormal"/>
      </w:pPr>
    </w:p>
    <w:p w14:paraId="241A9D0F" w14:textId="77777777" w:rsidR="003754FE" w:rsidRDefault="003754FE" w:rsidP="003754FE">
      <w:pPr>
        <w:pStyle w:val="TextoNormal"/>
      </w:pPr>
      <w:r>
        <w:t>- El 11 de marzo de 2005 la AEMPS informó al resto de los Estados miembros de la Unión Europea, a la EMEA (posteriormente, EMA) y a la Comisión Europea sobre los motivos de la reevaluación del balance beneficio/riesgo de veraliprida, así como de las conclusiones y recomendaciones del Comité de Medicamentos de Uso Humano, mediante el procedimiento establecido para ello en Europa (</w:t>
      </w:r>
      <w:r w:rsidRPr="003754FE">
        <w:rPr>
          <w:i/>
        </w:rPr>
        <w:t>rapid alert</w:t>
      </w:r>
      <w:r>
        <w:t xml:space="preserve">). Además, este asunto fue </w:t>
      </w:r>
      <w:r>
        <w:lastRenderedPageBreak/>
        <w:t>presentado por el representante español en el grupo de trabajo de farmacovigilancia de la EMEA en su reunión celebrada los días 14 y 15 de marzo de 2005.</w:t>
      </w:r>
    </w:p>
    <w:p w14:paraId="4B3B6F0B" w14:textId="77777777" w:rsidR="003754FE" w:rsidRDefault="003754FE" w:rsidP="003754FE">
      <w:pPr>
        <w:pStyle w:val="TextoNormal"/>
      </w:pPr>
    </w:p>
    <w:p w14:paraId="68F423B2" w14:textId="77777777" w:rsidR="003754FE" w:rsidRDefault="003754FE" w:rsidP="003754FE">
      <w:pPr>
        <w:pStyle w:val="TextoNormal"/>
      </w:pPr>
      <w:r>
        <w:t>- Tomando como base las recomendaciones del Comité de Medicamentos de Uso Humano, la AEMPS llevó a cabo el trámite administrativo necesario para proceder a la anulación de esta especialidad del registro farmacéutico. A tal efecto, el 20 de mayo de 2005 se dicta por la directora de la AEMPS resolución por la que se revoca la autorización de comercialización de la especialidad farmacéutica Agreal (veraliprida), con número de registro 56 250.</w:t>
      </w:r>
    </w:p>
    <w:p w14:paraId="1B1F75EE" w14:textId="77777777" w:rsidR="003754FE" w:rsidRDefault="003754FE" w:rsidP="003754FE">
      <w:pPr>
        <w:pStyle w:val="TextoNormal"/>
      </w:pPr>
    </w:p>
    <w:p w14:paraId="41E0584C" w14:textId="77777777" w:rsidR="003754FE" w:rsidRDefault="003754FE" w:rsidP="003754FE">
      <w:pPr>
        <w:pStyle w:val="TextoNormal"/>
      </w:pPr>
      <w:r>
        <w:t>- En esa misma fecha, la AEMPS informa a los profesionales sanitarios, mediante un procedimiento establecido en colaboración con las comunidades autónomas, sociedades científicas y consejos generales de colegios de médicos y de farmacéuticos y también a través de su página web, sobre la suspensión de comercialización de veraliprida. A la vez, establece algunas recomendaciones en cuanto a la retirada paulatina del tratamiento. En septiembre de 2005, convoca una reunión con expertos en las áreas médicas implicadas en el tratamiento con veraliprida (ginecólogos y psiquiatras) y elabora una nueva nota informativa (7 de septiembre de 2005) dirigida a los profesionales sanitarios en la que se establecen recomendaciones sobre pautas de actuación para la suspensión del tratamiento con veraliprida y el abordaje de los posibles síntomas psiquiátricos en caso de que se presenten.</w:t>
      </w:r>
    </w:p>
    <w:p w14:paraId="0D5F56BB" w14:textId="77777777" w:rsidR="003754FE" w:rsidRDefault="003754FE" w:rsidP="003754FE">
      <w:pPr>
        <w:pStyle w:val="TextoNormal"/>
      </w:pPr>
    </w:p>
    <w:p w14:paraId="14D35EF9" w14:textId="77777777" w:rsidR="003754FE" w:rsidRDefault="003754FE" w:rsidP="003754FE">
      <w:pPr>
        <w:pStyle w:val="TextoNormal"/>
      </w:pPr>
      <w:r>
        <w:t>- El 15 de septiembre de 2005 Agreal es retirado definitivamente de las oficinas de farmacia.</w:t>
      </w:r>
    </w:p>
    <w:p w14:paraId="713CA697" w14:textId="77777777" w:rsidR="003754FE" w:rsidRDefault="003754FE" w:rsidP="003754FE">
      <w:pPr>
        <w:pStyle w:val="TextoNormal"/>
      </w:pPr>
    </w:p>
    <w:p w14:paraId="36CF1F9D" w14:textId="77777777" w:rsidR="003754FE" w:rsidRDefault="003754FE" w:rsidP="003754FE">
      <w:pPr>
        <w:pStyle w:val="TextoNormal"/>
      </w:pPr>
      <w:r>
        <w:t>En su sentencia, la Audiencia Nacional recuerda, asimismo, que Agreal también se comercializaba en otros países europeos como Francia, Luxemburgo, Bélgica, Italia y Portugal, que si bien decidieron no suspender dicha comercialización, sí optaron por una mayor especificación de los posibles efectos adversos en los prospectos, hasta que el 1 de octubre de 2007, la Comisión Europea, con base en el dictamen del Comité de Medicamentos de Uso Humano de la EMEA, de 19 de julio de 2007, adopta la decisión de revocar en todos los Estados Miembros tales autorizaciones de comercialización.</w:t>
      </w:r>
    </w:p>
    <w:p w14:paraId="6E6D1978" w14:textId="77777777" w:rsidR="003754FE" w:rsidRDefault="003754FE" w:rsidP="003754FE">
      <w:pPr>
        <w:pStyle w:val="TextoNormal"/>
      </w:pPr>
    </w:p>
    <w:p w14:paraId="4F537D0C" w14:textId="77777777" w:rsidR="003754FE" w:rsidRDefault="003754FE" w:rsidP="003754FE">
      <w:pPr>
        <w:pStyle w:val="TextoNormal"/>
      </w:pPr>
      <w:r>
        <w:t>Por otro lado, recuerda también la Audiencia que ya ha dictado múltiples sentencias sobre el asunto (por ejemplo, la sentencia de 2 de octubre de 2013, recurso núm. 50-2011), confirmadas por el Tribunal Supremo (SSTS de 17 de septiembre y 13 de noviembre de 2012, recursos núm. 1216-2010 y 3515-2010), que desestiman la pretendida responsabilidad patrimonial de la administración tras la retirada del medicamento Agreal del mercado y el conocimiento de la problemática suscitada, tanto por las autoridades españolas como por las comunitarias.</w:t>
      </w:r>
    </w:p>
    <w:p w14:paraId="49291CFC" w14:textId="77777777" w:rsidR="003754FE" w:rsidRDefault="003754FE" w:rsidP="003754FE">
      <w:pPr>
        <w:pStyle w:val="TextoNormal"/>
      </w:pPr>
    </w:p>
    <w:p w14:paraId="4EECD3D7" w14:textId="77777777" w:rsidR="003754FE" w:rsidRDefault="003754FE" w:rsidP="003754FE">
      <w:pPr>
        <w:pStyle w:val="TextoNormal"/>
      </w:pPr>
      <w:r>
        <w:t xml:space="preserve">En conclusión, coincidiendo con el planteamiento de la Abogacía del Estado y el Ministerio Fiscal, la Audiencia Nacional falla que concurre la causa de inadmisibilidad de los arts. 51.1 c), 58.1 y 69 c) LJCA, dado que no había actuación que estuviera obligada a llevar a cabo la administración, después de que el medicamento se hubiera retirado del mercado y se hubiera dado traslado de las circunstancias concurrentes a los organismos europeos competentes. Por el contrario, considera que la reclamación de la asociación demandante insta una serie de actuaciones por parte de la administración cuando es claro que la respuesta ofrecida por esta no finaliza el procedimiento y tampoco impide su continuación. A tal </w:t>
      </w:r>
      <w:r>
        <w:lastRenderedPageBreak/>
        <w:t>efecto, concluye: “Por una parte, no se trata de una resolución que sirva de colofón al trámite realizado hasta ese momento en un procedimiento concreto, pues se limita a señalar cuáles han sido las actuaciones desarrolladas en relación con la problemática que se cita en la reclamación. Tampoco puede afirmarse que dicha contestación impida la continuidad de actuaciones. Ello nos permite señalar que, si fuera un acto de trámite, no sería susceptible de impugnación independiente y también nos permite afirmar que no podemos apreciar inactividad de la administración, pues las actuaciones desarrolladas son múltiples y dilatadas en el tiempo. No resulta de aplicación, en definitiva, el art. 29 LJCA”.</w:t>
      </w:r>
    </w:p>
    <w:p w14:paraId="6889C52D" w14:textId="77777777" w:rsidR="003754FE" w:rsidRDefault="003754FE" w:rsidP="003754FE">
      <w:pPr>
        <w:pStyle w:val="TextoNormal"/>
      </w:pPr>
    </w:p>
    <w:p w14:paraId="71F85949" w14:textId="77777777" w:rsidR="003754FE" w:rsidRDefault="003754FE" w:rsidP="003754FE">
      <w:pPr>
        <w:pStyle w:val="TextoNormal"/>
      </w:pPr>
      <w:r>
        <w:t>Por su parte, en relación con las posibles lesiones de los derechos fundamentales a la integridad física, moral, libertad, igualdad, honor y tutela judicial efectiva planteadas por la recurrente, la Audiencia Nacional sostiene que las mismas son enumeradas de forma instrumental, sin argumentar debidamente el verdadero alcance lesivo que se pretende sustentar al acudir al procedimiento especial. Y concluye: “En el caso examinado, podemos afirmar que el único derecho que puede verse afectado es el referido a la salud, contemplado en el artículo 43 CE, […] [que] es, precisamente, el que se encuentra fuera de los catalogados como fundamentales”. Por todo ello, falla que “[p]rocede la inadmisión del recurso también por este motivo, pues no existe posible afección de los derechos alegados, lo que hace innecesario examinar el resto de las cuestiones planteadas”.</w:t>
      </w:r>
    </w:p>
    <w:p w14:paraId="3A3F5DC9" w14:textId="77777777" w:rsidR="003754FE" w:rsidRDefault="003754FE" w:rsidP="003754FE">
      <w:pPr>
        <w:pStyle w:val="TextoNormal"/>
      </w:pPr>
    </w:p>
    <w:p w14:paraId="019BD56F" w14:textId="77777777" w:rsidR="003754FE" w:rsidRDefault="003754FE" w:rsidP="003754FE">
      <w:pPr>
        <w:pStyle w:val="TextoNormal"/>
      </w:pPr>
      <w:r>
        <w:t>o) No conforme, el 21 de noviembre de 2020 la representación procesal de la Asociación Agreal Luchadoras de España acuerda presentar escrito de preparación del recurso de casación ante la Sala de lo Contencioso-Administrativo del Tribunal Supremo (Sección Primera) contra esta sentencia de 14 de septiembre de 2020 de la Audiencia Nacional, dictada en relación con los autos del procedimiento especial de derechos fundamentales núm. 948-2018. Mediante auto de 27 de enero de 2021, la Sección Octava de la Sala de lo Contencioso-Administrativo de la Audiencia Nacional acuerda tener por preparado el recurso.</w:t>
      </w:r>
    </w:p>
    <w:p w14:paraId="0C262FF7" w14:textId="77777777" w:rsidR="003754FE" w:rsidRDefault="003754FE" w:rsidP="003754FE">
      <w:pPr>
        <w:pStyle w:val="TextoNormal"/>
      </w:pPr>
    </w:p>
    <w:p w14:paraId="019CBC88" w14:textId="77777777" w:rsidR="003754FE" w:rsidRDefault="003754FE" w:rsidP="003754FE">
      <w:pPr>
        <w:pStyle w:val="TextoNormal"/>
      </w:pPr>
      <w:r>
        <w:t>El recurso es inadmitido a trámite por providencia de 15 de julio de 2021, por incumplimiento de lo establecido en el artículo 89.2 LJCA, en aplicación de lo dispuesto en el artículo 90.4 b) del mismo texto legal, al encontrarse el escrito de preparación redactado con deficiente técnica procesal, carecer de la estructura propia de un escrito de tal naturaleza, sin tener en cuenta las formalidades y requisitos que ese artículo 89.2 detalla. A mayor abundamiento, añade el Tribunal Supremo, que, entre otros defectos formales, se incumplen las exigencias del artículo 89.2 apartado f), por falta de fundamentación suficiente, con singular referencia al caso, de la concurrencia de los supuestos que permiten apreciar el interés casacional objetivo y la conveniencia de un pronunciamiento de la Sala de lo Contencioso-Administrativo del Tribunal Supremo, supuestos que, en el presente asunto, no solo no quedan justificados, sino que ni siquiera son citados.</w:t>
      </w:r>
    </w:p>
    <w:p w14:paraId="1EF804EA" w14:textId="77777777" w:rsidR="003754FE" w:rsidRDefault="003754FE" w:rsidP="003754FE">
      <w:pPr>
        <w:pStyle w:val="TextoNormal"/>
      </w:pPr>
    </w:p>
    <w:p w14:paraId="4472D1AC" w14:textId="77777777" w:rsidR="003754FE" w:rsidRDefault="003754FE" w:rsidP="003754FE">
      <w:pPr>
        <w:pStyle w:val="TextoNormal"/>
      </w:pPr>
      <w:r>
        <w:t>p) Contra dicha providencia, la representación procesal de la Asociación Agreal Luchadoras de España, el 22 de julio de 2021, presenta “escrito de aclaración a providencia de inadmisión”, en el que sostiene que la Sala de lo Contencioso-Administrativo del Tribunal Supremo ha incurrido en un error subsanable, ya que el escrito de preparación del recurso de casación cumple todos y cada uno de los requisitos que marca el artículo 89.2 LJCA, por lo que su inadmisión a trámite supone una lesión del derecho a la tutela judicial efectiva (art. 24 CE).</w:t>
      </w:r>
    </w:p>
    <w:p w14:paraId="273A44F8" w14:textId="77777777" w:rsidR="003754FE" w:rsidRDefault="003754FE" w:rsidP="003754FE">
      <w:pPr>
        <w:pStyle w:val="TextoNormal"/>
      </w:pPr>
    </w:p>
    <w:p w14:paraId="06CC1ED6" w14:textId="1C046C8D" w:rsidR="003754FE" w:rsidRDefault="003754FE" w:rsidP="003754FE">
      <w:pPr>
        <w:pStyle w:val="TextoNormal"/>
      </w:pPr>
      <w:r>
        <w:lastRenderedPageBreak/>
        <w:t>Mediante auto de 27 de septiembre de 2021, la Sección Primera de la Sala de lo Contencioso-Administrativo del Tribunal Supremo acuerda no haber lugar a la solicitud de aclaración referida, al entender que en la providencia de inadmisión cuestionada “no existe error material que rectificar a la luz de los artículos 267.1 de la Ley Orgánica 6/1985, de 1 de julio, del Poder Judicial (LOPJ) y 214.1 de la Ley de enjuiciamiento civil (LEC)”. Asimismo, considera que “no existe omisión que sea necesario completar ni concepto necesitado de aclaración, de modo que la aclaración que se pide no cumple los requisitos del artículo 267.4 LOPJ”. A tal efecto, recuerda el Tribunal Supremo que el derecho a la tutela judicial efectiva “constituye un derecho de configuración legal, cuyo ejercicio queda supeditado al cumplimiento de los presupuestos procesales legalmente establecidos y que también se ve colmado por una decisión de inadmisión, siempre que esta se funde en causa legal interpretada de forma no rigorista o arbitraria, como es el caso, en aplicación de lo dispuesto en el artículo 90 LJCA en relación con el artículo 89 de la misma ley (en la redacción dada por la Ley Orgánica 7/2015, de 21 de julio)”. Según el Tribunal Supremo, “el derecho a la tutela judicial efectiva no supone el derecho a la obtención de una resolución favorable a la tesis de la parte recurrente (STS de 3 de noviembre de 2009), que es lo realmente pretendido por la parte en el presente caso”. A lo que añade que aunque por imperativo del artículo 90.4 LJCA, “las providencias de inadmisión únicamente indicarán si en el recurso de casación concurren alguna de estas circunstancias: […]”, en el presente caso, “la providencia [de inadmisión] contiene las razones por las que, dados los defectos del escrito de preparación, considera inadmisible el recurso de casación”. Y concluye que es doctrina asentada del Tribunal Supremo que las formalidades y requisitos previstos en el artículo 89.2 LJCA no representan un mero formalismo irrelevante, sino que, por el contrario, se trata de “un mandato legal que la parte recurrente debe observar en los precisos términos en que la ley lo establece”.</w:t>
      </w:r>
    </w:p>
    <w:p w14:paraId="55B0B715" w14:textId="77777777" w:rsidR="003754FE" w:rsidRDefault="003754FE" w:rsidP="003754FE">
      <w:pPr>
        <w:pStyle w:val="TextoNormal"/>
      </w:pPr>
    </w:p>
    <w:p w14:paraId="0F85C83E" w14:textId="77777777" w:rsidR="003754FE" w:rsidRDefault="003754FE" w:rsidP="003754FE">
      <w:pPr>
        <w:pStyle w:val="TextoNormal"/>
      </w:pPr>
      <w:r w:rsidRPr="003754FE">
        <w:rPr>
          <w:rStyle w:val="NumeroAFNegritaCaracter"/>
        </w:rPr>
        <w:t>3</w:t>
      </w:r>
      <w:r>
        <w:t>. En el recurso de amparo presentado, la asociación recurrente denuncia la vulneración de los siguientes derechos fundamentales:</w:t>
      </w:r>
    </w:p>
    <w:p w14:paraId="62C65BCA" w14:textId="77777777" w:rsidR="003754FE" w:rsidRDefault="003754FE" w:rsidP="003754FE">
      <w:pPr>
        <w:pStyle w:val="TextoNormal"/>
      </w:pPr>
    </w:p>
    <w:p w14:paraId="5A71AF81" w14:textId="77777777" w:rsidR="003754FE" w:rsidRDefault="003754FE" w:rsidP="003754FE">
      <w:pPr>
        <w:pStyle w:val="TextoNormal"/>
      </w:pPr>
      <w:r>
        <w:t>a) El derecho a la tutela judicial efectiva por falta de motivación suficiente de la providencia de inadmisión del Tribunal Supremo (artículo 24.1 CE), al entender la recurrente que la redacción del recurso de casación sigue fielmente lo estipulado en el artículo 89.2 LJCA, y sin que dicha providencia indique cuáles han sido los defectos encontrados. A tal efecto, alega igualmente el “principio general favorable al examen de fondo de la pretensión” (STC 55/1997, de 17 de marzo), así como el hecho de que la referida resolución es “fruto de un innecesario y excesivo formalismo”, sin que resulte “justificada o proporcionada en relación con la finalidad que justifica el establecimiento de la causa de inadmisión” (SSTC 86/1998, de 21 de abril, y 122/1999, de 28 de junio). Considera, asimismo, que la providencia incurre en error patente y que la inadmisión podría estar basada en un motivo manifiestamente inexistente o irrazonable e, incluso, arbitrario (SSTC 68/1983, de 26 de julio; 69/1984, de 11 de junio, y 53/1992, de 8 de abril).</w:t>
      </w:r>
    </w:p>
    <w:p w14:paraId="3FF0DEC0" w14:textId="77777777" w:rsidR="003754FE" w:rsidRDefault="003754FE" w:rsidP="003754FE">
      <w:pPr>
        <w:pStyle w:val="TextoNormal"/>
      </w:pPr>
    </w:p>
    <w:p w14:paraId="708D3FA2" w14:textId="77777777" w:rsidR="003754FE" w:rsidRDefault="003754FE" w:rsidP="003754FE">
      <w:pPr>
        <w:pStyle w:val="TextoNormal"/>
      </w:pPr>
      <w:r>
        <w:t xml:space="preserve">Por otro lado, alega la recurrente que el incumplimiento de requisitos formales subsanables no debe dar lugar, dentro de una recta interpretación del artículo 24.1 CE, a consecuencias sancionatorias conducentes a la pérdida de acceso al proceso. El derecho a la tutela judicial efectiva, reforzado a nivel legislativo por el art. 11 LOPJ, solo permite desestimar o rechazar por motivos formales las pretensiones de las partes cuando el defecto fuere insubsanable o no se subsanase (STC 174/1988, de 3 de octubre). Sostiene, a este respecto, </w:t>
      </w:r>
      <w:r>
        <w:lastRenderedPageBreak/>
        <w:t>que no entrar en el fondo del asunto por un requisito formal que no se especifica, motiva o detalla, va en contra del contenido esencial del derecho fundamental regulado en el artículo 24.1 CE. En consecuencia, es en la posibilidad, o imposibilidad, de subsanar los defectos y omisiones padecidos donde —sostiene— ha de centrarse la cuestión debatida en amparo, para determinar si hay proporcionalidad entre la sanción que supone la inadmisión y el defecto padecido (SSTC 117/1986, de 13 de octubre; y 175/1988, de 3 de octubre).</w:t>
      </w:r>
    </w:p>
    <w:p w14:paraId="24DB4BDF" w14:textId="77777777" w:rsidR="003754FE" w:rsidRDefault="003754FE" w:rsidP="003754FE">
      <w:pPr>
        <w:pStyle w:val="TextoNormal"/>
      </w:pPr>
    </w:p>
    <w:p w14:paraId="6C1278D1" w14:textId="77777777" w:rsidR="003754FE" w:rsidRDefault="003754FE" w:rsidP="003754FE">
      <w:pPr>
        <w:pStyle w:val="TextoNormal"/>
      </w:pPr>
      <w:r>
        <w:t>Por lo que se refiere a la sentencia de la Sala de lo Contencioso-Administrativo de la Audiencia Nacional (Sección Octava) de 14 de septiembre de 2020, considera la asociación recurrente que la misma es incongruente, no motiva adecuadamente, se ha dictado con dilación indebida y es arbitraria en exceso, pues no menciona las reacciones adversas que ha provocado el fármaco Agreal a sus asociadas, que han quedado demostradas, estando algunas de ellas descritas en la ficha técnica y el prospecto. De igual modo, en su opinión, la Audiencia ha incurrido en error patente, en tanto que hace caso omiso del que, en su opinión, es el documento probatorio principal y base del proceso, el llamado “Dosier Agreal”.</w:t>
      </w:r>
    </w:p>
    <w:p w14:paraId="10BB04FB" w14:textId="77777777" w:rsidR="003754FE" w:rsidRDefault="003754FE" w:rsidP="003754FE">
      <w:pPr>
        <w:pStyle w:val="TextoNormal"/>
      </w:pPr>
    </w:p>
    <w:p w14:paraId="116F83B7" w14:textId="77777777" w:rsidR="003754FE" w:rsidRDefault="003754FE" w:rsidP="003754FE">
      <w:pPr>
        <w:pStyle w:val="TextoNormal"/>
      </w:pPr>
      <w:r>
        <w:t>En definitiva, considera la asociación recurrente que se ha visto vulnerado el derecho a la tutela judicial efectiva en su vertiente de derecho a la obtención de una resolución de fondo, razonada y razonable (SSTC 163/1989, de 16 de octubre, y 2/1990, de 15 de enero), porque si un proceso se inicia aportando una prueba clave (el llamado “Dosier Agreal”) y la sentencia ni siquiera lo menciona, esta solo se puede calificar de incongruente, no motivada y arbitraria.</w:t>
      </w:r>
    </w:p>
    <w:p w14:paraId="2FFC9728" w14:textId="77777777" w:rsidR="003754FE" w:rsidRDefault="003754FE" w:rsidP="003754FE">
      <w:pPr>
        <w:pStyle w:val="TextoNormal"/>
      </w:pPr>
    </w:p>
    <w:p w14:paraId="205AC48F" w14:textId="77777777" w:rsidR="003754FE" w:rsidRDefault="003754FE" w:rsidP="003754FE">
      <w:pPr>
        <w:pStyle w:val="TextoNormal"/>
      </w:pPr>
      <w:r>
        <w:t>b) El derecho a la integridad física y moral (artículo 15 CE), que se habría visto vulnerado como consecuencia de un tratamiento de larga duración con el medicamento Agreal. A juicio de la asociación demandante, la sentencia de la Audiencia Nacional, en su argumentación sobre el derecho a la salud, va en contra de lo estipulado por reiterada doctrina de este tribunal (STC 119/2001, de 24 de mayo, FJ 6). Específicamente, por lo que se refiere al daño moral, mantiene la demandante que las mujeres que han sufrido las consecuencias psiquiátricas y neurológicas crónicas del consumo de Agreal durante más de tres meses, al no ser reconocidas por la administración, siguen padeciendo daño moral grave. En su opinión, estas mujeres tienen derecho a que en su historia clínica conste el consumo prolongado de Agreal y el diagnóstico etiológico de “Síndrome por consumo prolongado de neuroléptico”, ampliamente reconocido en la literatura científica. En último término, según la demandante, la lesión del derecho a la integridad física y moral provendría de la ocultación de la prueba científica elaborada por el propio laboratorio desde el año 2007, el “Dosier Agreal”, prueba fundamental que dio origen a este proceso y que fue ignorada por la Audiencia Nacional en la sentencia recurrida.</w:t>
      </w:r>
    </w:p>
    <w:p w14:paraId="2D5868A9" w14:textId="77777777" w:rsidR="003754FE" w:rsidRDefault="003754FE" w:rsidP="003754FE">
      <w:pPr>
        <w:pStyle w:val="TextoNormal"/>
      </w:pPr>
    </w:p>
    <w:p w14:paraId="19E20567" w14:textId="15DD1E20" w:rsidR="003754FE" w:rsidRDefault="003754FE" w:rsidP="003754FE">
      <w:pPr>
        <w:pStyle w:val="TextoNormal"/>
      </w:pPr>
      <w:r>
        <w:t>c) Finalmente, también considera la demandante que la imposición de costas acordada en la sentencia de la Audiencia Nacional lesiona el derecho a la tutela judicial efectiva, puesto que niega haber actuado con mala fe o temeridad.</w:t>
      </w:r>
    </w:p>
    <w:p w14:paraId="54814E32" w14:textId="77777777" w:rsidR="003754FE" w:rsidRDefault="003754FE" w:rsidP="003754FE">
      <w:pPr>
        <w:pStyle w:val="TextoNormal"/>
      </w:pPr>
    </w:p>
    <w:p w14:paraId="4D40AABD" w14:textId="77777777" w:rsidR="003754FE" w:rsidRDefault="003754FE" w:rsidP="003754FE">
      <w:pPr>
        <w:pStyle w:val="TextoNormal"/>
      </w:pPr>
      <w:r w:rsidRPr="003754FE">
        <w:rPr>
          <w:rStyle w:val="NumeroAFNegritaCaracter"/>
        </w:rPr>
        <w:t>4</w:t>
      </w:r>
      <w:r>
        <w:t xml:space="preserve">. La Sección Primera de este tribunal, por providencia de 14 de noviembre de 2022, acordó la admisión a trámite del presente recurso de amparo, apreciando que concurre en el mismo especial trascendencia constitucional [artículo 50.1 de la Ley Orgánica del Tribunal Constitucional (LOTC)] porque el recurso plantea un problema o afecta a una faceta de un derecho fundamental sobre el que no hay doctrina de este tribunal [STC 155/2009, de 25 de </w:t>
      </w:r>
      <w:r>
        <w:lastRenderedPageBreak/>
        <w:t>junio, FJ 2 a)]; puede dar ocasión al Tribunal para aclarar o cambiar su doctrina como consecuencia de un proceso de reflexión interna [STC 155/2009, FJ 2 b)]; y el asunto suscitado trasciende del caso concreto porque plantea una cuestión jurídica de relevante y general repercusión social o económica [STC 155/2009, FJ 2 g)].</w:t>
      </w:r>
    </w:p>
    <w:p w14:paraId="53E3F3A4" w14:textId="77777777" w:rsidR="003754FE" w:rsidRDefault="003754FE" w:rsidP="003754FE">
      <w:pPr>
        <w:pStyle w:val="TextoNormal"/>
      </w:pPr>
    </w:p>
    <w:p w14:paraId="78D3CB93" w14:textId="68436978" w:rsidR="003754FE" w:rsidRDefault="003754FE" w:rsidP="003754FE">
      <w:pPr>
        <w:pStyle w:val="TextoNormal"/>
      </w:pPr>
      <w:r>
        <w:t>Acordó igualmente dirigir atenta comunicación al Tribunal Supremo y a la Audiencia Nacional, a fin de que remitiesen certificación o fotocopia adverada de las actuaciones correspondientes al recurso de casación núm. 852-2021 y de protección de derechos fundamentales núm. 1-2018, respectivamente. En la misma resolución se emplazó a quienes hubieran sido parte en el procedimiento, a excepción de la recurrente, para que pudiesen comparecer en el plazo de diez días en el presente proceso de amparo. Y al ser el abogado del Estado en representación de la administración parte interesada, se le notificó esta resolución, sirviéndole de emplazamiento, para que en el plazo de diez días pueda comparecer, si lo estima pertinente, en este proceso constitucional, con traslado asimismo y a dichos efectos de copia de la demanda presentada.</w:t>
      </w:r>
    </w:p>
    <w:p w14:paraId="03135279" w14:textId="77777777" w:rsidR="003754FE" w:rsidRDefault="003754FE" w:rsidP="003754FE">
      <w:pPr>
        <w:pStyle w:val="TextoNormal"/>
      </w:pPr>
    </w:p>
    <w:p w14:paraId="63510642" w14:textId="3669F5EF" w:rsidR="003754FE" w:rsidRDefault="003754FE" w:rsidP="003754FE">
      <w:pPr>
        <w:pStyle w:val="TextoNormal"/>
      </w:pPr>
      <w:r w:rsidRPr="003754FE">
        <w:rPr>
          <w:rStyle w:val="NumeroAFNegritaCaracter"/>
        </w:rPr>
        <w:t>5</w:t>
      </w:r>
      <w:r>
        <w:t>. El Pleno del Tribunal Constitucional acordó el 17 de enero de 2023 (“Boletín Oficial del Estado” de 19 de enero de 2023) que el presente recurso de amparo fuera turnado a la Sala Segunda.</w:t>
      </w:r>
    </w:p>
    <w:p w14:paraId="6F28D835" w14:textId="77777777" w:rsidR="003754FE" w:rsidRDefault="003754FE" w:rsidP="003754FE">
      <w:pPr>
        <w:pStyle w:val="TextoNormal"/>
      </w:pPr>
    </w:p>
    <w:p w14:paraId="24207E38" w14:textId="71919E65" w:rsidR="003754FE" w:rsidRDefault="003754FE" w:rsidP="003754FE">
      <w:pPr>
        <w:pStyle w:val="TextoNormal"/>
      </w:pPr>
      <w:r w:rsidRPr="003754FE">
        <w:rPr>
          <w:rStyle w:val="NumeroAFNegritaCaracter"/>
        </w:rPr>
        <w:t>6</w:t>
      </w:r>
      <w:r>
        <w:t>. Mediante auto de 17 de abril de 2023, la Sala Segunda del Tribunal Constitucional estima justificada la abstención formulada por el magistrado don César Tolosa Tribiño en el presente recurso de amparo y acuerda apartarle definitivamente de su conocimiento y de todas sus incidencias.</w:t>
      </w:r>
    </w:p>
    <w:p w14:paraId="2FE770F1" w14:textId="77777777" w:rsidR="003754FE" w:rsidRDefault="003754FE" w:rsidP="003754FE">
      <w:pPr>
        <w:pStyle w:val="TextoNormal"/>
      </w:pPr>
    </w:p>
    <w:p w14:paraId="4B2FF66A" w14:textId="4ABBA440" w:rsidR="003754FE" w:rsidRDefault="003754FE" w:rsidP="003754FE">
      <w:pPr>
        <w:pStyle w:val="TextoNormal"/>
      </w:pPr>
      <w:r w:rsidRPr="003754FE">
        <w:rPr>
          <w:rStyle w:val="NumeroAFNegritaCaracter"/>
        </w:rPr>
        <w:t>7</w:t>
      </w:r>
      <w:r>
        <w:t>. La representación procesal de la mercantil Sanofi presentó sus alegaciones en el registro de este tribunal el 25 de enero de 2023. Resumidamente, considera que la impugnación de la providencia de la Sala de lo Contencioso-Administrativo del Tribunal Supremo (Sección Primera) de 15 de julio de 2021, que inadmitió a trámite el recurso de casación, carece de fundamento, pues la misma estuvo suficiente y claramente motivada, sin que pueda imputársele el reproche de que fue arbitraria, manifiestamente irrazonable, o incursa en un error de hecho en los términos de la doctrina constitucional aplicable. Por lo que se refiere a la alegación relativa a la supuesta vulneración del derecho fundamental a la integridad física del artículo 15 CE, vía derecho de protección de la salud del artículo 43 CE, sostiene que la asociación recurrente realiza esta construcción combinada obviando la falta de prueba de la premisa fáctica necesaria. En su opinión, se ha de rechazar la pretensión de la demandante, pues a través de un recurso de amparo no se puede cuestionar la base fáctica que sustentó la sentencia desestimatoria.</w:t>
      </w:r>
    </w:p>
    <w:p w14:paraId="58A7320D" w14:textId="77777777" w:rsidR="003754FE" w:rsidRDefault="003754FE" w:rsidP="003754FE">
      <w:pPr>
        <w:pStyle w:val="TextoNormal"/>
      </w:pPr>
    </w:p>
    <w:p w14:paraId="7DF481B6" w14:textId="71198693" w:rsidR="003754FE" w:rsidRDefault="003754FE" w:rsidP="003754FE">
      <w:pPr>
        <w:pStyle w:val="TextoNormal"/>
      </w:pPr>
      <w:r w:rsidRPr="003754FE">
        <w:rPr>
          <w:rStyle w:val="NumeroAFNegritaCaracter"/>
        </w:rPr>
        <w:t>8</w:t>
      </w:r>
      <w:r>
        <w:t xml:space="preserve">. El abogado del Estado presentó sus alegaciones en el registro de este tribunal el 3 de febrero de 2023. Niega que la sentencia de la Audiencia Nacional haya vulnerado el derecho a la tutela judicial efectiva por falta de motivación suficiente. En relación con la presunta vulneración del artículo 24.1 CE, en su vertiente de acceso al recurso, por parte de la providencia de inadmisión del Tribunal Supremo, considera que concurre una causa de inadmisibilidad, en tanto que no se dio posibilidad al órgano jurisdiccional de reparar la supuesta vulneración mediante la presentación del incidente de nulidad de actuaciones. Y, por lo que se refiere a la supuesta vulneración del derecho a la integridad física y moral (artículo 15 </w:t>
      </w:r>
      <w:r>
        <w:lastRenderedPageBreak/>
        <w:t>CE), derivada de la inactividad de la administración sanitaria, y que parte del presupuesto del daño causado por el medicamento y la ocultación de un denominado “Dosier Agreal”, el abogado del Estado da por buenos los argumentos empleados por la Audiencia Nacional y la administración en su contestación a las alegaciones de la asociación recurrente, que ponen de relieve que la actuación de esta última fue diligente. En atención a todo ello, el abogado del Estado suplica que se dicte sentencia por la que se inadmita parcialmente el recurso de amparo, y, subsidiariamente, se desestime en su totalidad.</w:t>
      </w:r>
    </w:p>
    <w:p w14:paraId="49B7636E" w14:textId="77777777" w:rsidR="003754FE" w:rsidRDefault="003754FE" w:rsidP="003754FE">
      <w:pPr>
        <w:pStyle w:val="TextoNormal"/>
      </w:pPr>
    </w:p>
    <w:p w14:paraId="771F410D" w14:textId="77777777" w:rsidR="003754FE" w:rsidRDefault="003754FE" w:rsidP="003754FE">
      <w:pPr>
        <w:pStyle w:val="TextoNormal"/>
      </w:pPr>
      <w:r w:rsidRPr="003754FE">
        <w:rPr>
          <w:rStyle w:val="NumeroAFNegritaCaracter"/>
        </w:rPr>
        <w:t>9</w:t>
      </w:r>
      <w:r>
        <w:t>. Mediante escrito registrado en este tribunal el 7 de febrero de 2023 el Ministerio Fiscal formula sus alegaciones. En primer lugar, al igual que hizo el abogado del Estado, interesa la inadmisión parcial del recurso de amparo en cuanto a la impugnación de la providencia del Tribunal Supremo, por concurrir el óbice procesal de no haber agotado los medios de impugnación conforme el artículo 50.1 a) en relación con el artículo 44.1 a) LOTC, dado que la recurrente no interpuso incidente de nulidad de actuaciones. Por otro lado, estima que la argumentación que emplea la sentencia de la Audiencia Nacional para sustentar que no existía un acto administrativo impugnable no cumple con el deber de motivación reforzada que resulta exigible de un pronunciamiento de inadmisión que tiene como consecuencia impedir el acceso a la jurisdicción en reclamación de la tutela judicial (art. 24.1 CE) por vulneración de derechos fundamentales sustantivos (en este caso, del derecho reconocido en el art. 15 CE), invocados por la vía del procedimiento especial.</w:t>
      </w:r>
    </w:p>
    <w:p w14:paraId="3E45891F" w14:textId="77777777" w:rsidR="003754FE" w:rsidRDefault="003754FE" w:rsidP="003754FE">
      <w:pPr>
        <w:pStyle w:val="TextoNormal"/>
      </w:pPr>
    </w:p>
    <w:p w14:paraId="733A127C" w14:textId="5E6D16A9" w:rsidR="003754FE" w:rsidRDefault="003754FE" w:rsidP="003754FE">
      <w:pPr>
        <w:pStyle w:val="TextoNormal"/>
      </w:pPr>
      <w:r>
        <w:t>En relación con el segundo motivo de inadmisión del recurso que acoge la sentencia de la Audiencia Nacional, el Ministerio Fiscal considera que, dado que dicha jurisdicción no apreció en la fase inicial la inadecuación del procedimiento de derechos fundamentales al que acudió la recurrente, queda de manifiesto que aquella no resultaba evidente. Para el Ministerio Fiscal la sentencia de la Audiencia Nacional no responde al canon de motivación reforzada exigible en la justificación de la inadmisión del recurso de protección de derechos fundamentales por inadecuación del procedimiento. Tan solo se ofrece una exposición genérica sobre la no acreditación de la afectación o alcance lesivo de la inactividad de la administración, en la que, además, en relación con la posible incidencia lesiva en el derecho a la protección de la salud, se prescinde de toda consideración de la doctrina de este tribunal, que ha establecido la integración de este derecho en el contenido de la integridad física y moral del art. 15 CE. Estas razones llevan al Ministerio Fiscal a interesar la estimación del recurso de amparo respecto de la pretensión dirigida contra la sentencia de la Audiencia Nacional, y a que se declare la vulneración del derecho fundamental a la integridad física y moral del art. 15 CE en relación con el derecho fundamental a la tutela judicial efectiva sin indefensión del art. 24.1 CE. Para el restablecimiento de estos derechos procede —en su opinión— declarar la nulidad de la sentencia impugnada con retroacción al momento anterior a ser dictada, para que el órgano judicial de instancia dicte otra decisión respetuosa con los derechos fundamentales vulnerados.</w:t>
      </w:r>
    </w:p>
    <w:p w14:paraId="3C215077" w14:textId="77777777" w:rsidR="003754FE" w:rsidRDefault="003754FE" w:rsidP="003754FE">
      <w:pPr>
        <w:pStyle w:val="TextoNormal"/>
      </w:pPr>
    </w:p>
    <w:p w14:paraId="01C8A2D1" w14:textId="091AEC4B" w:rsidR="003754FE" w:rsidRDefault="003754FE" w:rsidP="003754FE">
      <w:pPr>
        <w:pStyle w:val="TextoNormal"/>
      </w:pPr>
      <w:r w:rsidRPr="003754FE">
        <w:rPr>
          <w:rStyle w:val="NumeroAFNegritaCaracter"/>
        </w:rPr>
        <w:t>10</w:t>
      </w:r>
      <w:r>
        <w:t>. Por providencia de 19 de septiembre de 2024, se señaló para deliberación y votación de la presente sentencia el día 23 del mismo mes y año.</w:t>
      </w:r>
    </w:p>
    <w:p w14:paraId="1B053BEF" w14:textId="77777777" w:rsidR="003754FE" w:rsidRDefault="003754FE" w:rsidP="003754FE">
      <w:pPr>
        <w:pStyle w:val="TextoNormal"/>
      </w:pPr>
    </w:p>
    <w:p w14:paraId="5C3C3127" w14:textId="77777777" w:rsidR="003754FE" w:rsidRDefault="003754FE" w:rsidP="003754FE">
      <w:pPr>
        <w:pStyle w:val="TextoNormalNegritaCentrado"/>
        <w:keepNext/>
      </w:pPr>
      <w:r>
        <w:t>II. Fundamentos jurídicos</w:t>
      </w:r>
    </w:p>
    <w:p w14:paraId="4C3EF180" w14:textId="25C39BC9" w:rsidR="003754FE" w:rsidRDefault="003754FE" w:rsidP="003754FE">
      <w:pPr>
        <w:pStyle w:val="TextoNormalNegritaCentrado"/>
        <w:keepNext/>
      </w:pPr>
    </w:p>
    <w:p w14:paraId="1FD55DEF" w14:textId="77777777" w:rsidR="003754FE" w:rsidRDefault="003754FE" w:rsidP="003754FE">
      <w:pPr>
        <w:pStyle w:val="TextoNormal"/>
      </w:pPr>
      <w:r w:rsidRPr="003754FE">
        <w:rPr>
          <w:rStyle w:val="NumeroAFNegritaCaracter"/>
        </w:rPr>
        <w:t>1</w:t>
      </w:r>
      <w:r>
        <w:t xml:space="preserve">. </w:t>
      </w:r>
      <w:r w:rsidRPr="003754FE">
        <w:rPr>
          <w:i/>
        </w:rPr>
        <w:t>Objeto del recurso de amparo</w:t>
      </w:r>
    </w:p>
    <w:p w14:paraId="161D990B" w14:textId="77777777" w:rsidR="003754FE" w:rsidRDefault="003754FE" w:rsidP="003754FE">
      <w:pPr>
        <w:pStyle w:val="TextoNormal"/>
      </w:pPr>
    </w:p>
    <w:p w14:paraId="4E962E8C" w14:textId="77777777" w:rsidR="003754FE" w:rsidRDefault="003754FE" w:rsidP="003754FE">
      <w:pPr>
        <w:pStyle w:val="TextoNormal"/>
      </w:pPr>
      <w:r>
        <w:t>La representación procesal de la recurrente dirige el presente recurso de amparo contra la providencia de 15 de julio de 2021 de la Sección Primera de la Sala de lo Contencioso-Administrativo del Tribunal Supremo, que inadmitió a trámite del recurso de casación núm. 852-2021, y contra la sentencia desestimatoria de 14 de septiembre de 2020, de la Sección Octava de la Sala de lo Contencioso-Administrativo de la Audiencia Nacional, dictada en relación con los autos del procedimiento especial de derechos fundamentales núm. 1-2018.</w:t>
      </w:r>
    </w:p>
    <w:p w14:paraId="6017BA3A" w14:textId="77777777" w:rsidR="003754FE" w:rsidRDefault="003754FE" w:rsidP="003754FE">
      <w:pPr>
        <w:pStyle w:val="TextoNormal"/>
      </w:pPr>
    </w:p>
    <w:p w14:paraId="49F13BAE" w14:textId="77777777" w:rsidR="003754FE" w:rsidRDefault="003754FE" w:rsidP="003754FE">
      <w:pPr>
        <w:pStyle w:val="TextoNormal"/>
      </w:pPr>
      <w:r>
        <w:t>La asociación recurrente sostiene, en síntesis, que la providencia de inadmisión del Tribunal Supremo ha vulnerado su derecho a la tutela judicial efectiva por falta de motivación suficiente (art. 24.1 CE), y que la sentencia de la Audiencia Nacional también ha infringido su derecho a la tutela judicial efectiva, en su vertiente de derecho a la obtención de una resolución de fondo razonada (art. 24.1 CE), en relación con el derecho a la integridad física y moral [dada su conexión con el derecho a la salud (arts. 15 y 43 CE)]. Asimismo, considera que la imposición de costas acordada en esta sentencia lesiona el derecho a la tutela judicial efectiva. La mercantil Sanofi, personada en el procedimiento de amparo, y la Abogacía del Estado interesan la desestimación del recurso, por las razones apuntadas en los antecedentes, mientras que la Fiscalía ante el Tribunal Constitucional interesa la inadmisión de la impugnación de la providencia de inadmisión del Tribunal Supremo, y la estimación del recurso de amparo respecto de la pretensión dirigida contra la sentencia de la Audiencia Nacional, de modo que se declare la vulneración del derecho fundamental a la integridad física y moral del art. 15 CE en relación con el derecho fundamental a la tutela judicial efectiva sin indefensión del art. 24.1 CE.</w:t>
      </w:r>
    </w:p>
    <w:p w14:paraId="6D037D1F" w14:textId="77777777" w:rsidR="003754FE" w:rsidRDefault="003754FE" w:rsidP="003754FE">
      <w:pPr>
        <w:pStyle w:val="TextoNormal"/>
      </w:pPr>
    </w:p>
    <w:p w14:paraId="5F959480" w14:textId="61E17E07" w:rsidR="003754FE" w:rsidRDefault="003754FE" w:rsidP="003754FE">
      <w:pPr>
        <w:pStyle w:val="TextoNormal"/>
      </w:pPr>
      <w:r>
        <w:t>De conformidad con el modo en que ha sido formulada la demanda, nos encontramos ante un recurso de amparo articulado por la vía del art. 44 LOTC, en tanto que no se dirige directamente contra la actuación (o inactividad) administrativa, sino contra las resoluciones judiciales del Tribunal Supremo y de la Audiencia Nacional, a las que imputa la vulneración del derecho a la tutela judicial efectiva por falta de motivación suficiente, razonada y razonable. En ambos casos la lesión del derecho a la tutela judicial efectiva (art. 24 CE) va vinculada a la posible lesión de derechos sustantivos (integridad física y moral, en conexión con el derecho a la salud, libertad, igualdad y honor).</w:t>
      </w:r>
    </w:p>
    <w:p w14:paraId="5A34E588" w14:textId="77777777" w:rsidR="003754FE" w:rsidRDefault="003754FE" w:rsidP="003754FE">
      <w:pPr>
        <w:pStyle w:val="TextoNormal"/>
      </w:pPr>
    </w:p>
    <w:p w14:paraId="36962868" w14:textId="77777777" w:rsidR="003754FE" w:rsidRDefault="003754FE" w:rsidP="003754FE">
      <w:pPr>
        <w:pStyle w:val="TextoNormal"/>
      </w:pPr>
      <w:r w:rsidRPr="003754FE">
        <w:rPr>
          <w:rStyle w:val="NumeroAFNegritaCaracter"/>
        </w:rPr>
        <w:t>2</w:t>
      </w:r>
      <w:r>
        <w:t xml:space="preserve">. </w:t>
      </w:r>
      <w:r w:rsidRPr="003754FE">
        <w:rPr>
          <w:i/>
        </w:rPr>
        <w:t>Óbices procesales</w:t>
      </w:r>
    </w:p>
    <w:p w14:paraId="3DB3912C" w14:textId="77777777" w:rsidR="003754FE" w:rsidRDefault="003754FE" w:rsidP="003754FE">
      <w:pPr>
        <w:pStyle w:val="TextoNormal"/>
      </w:pPr>
    </w:p>
    <w:p w14:paraId="08D841A3" w14:textId="77777777" w:rsidR="003754FE" w:rsidRDefault="003754FE" w:rsidP="003754FE">
      <w:pPr>
        <w:pStyle w:val="TextoNormal"/>
      </w:pPr>
      <w:r>
        <w:t>Antes de entrar a valorar si ha habido, o no, lesión de alguno de los derechos fundamentales mencionados, es preciso resolver las cuestiones procesales que han sido planteadas por las partes.</w:t>
      </w:r>
    </w:p>
    <w:p w14:paraId="1206CE2B" w14:textId="77777777" w:rsidR="003754FE" w:rsidRDefault="003754FE" w:rsidP="003754FE">
      <w:pPr>
        <w:pStyle w:val="TextoNormal"/>
      </w:pPr>
    </w:p>
    <w:p w14:paraId="27A04360" w14:textId="77777777" w:rsidR="003754FE" w:rsidRDefault="003754FE" w:rsidP="003754FE">
      <w:pPr>
        <w:pStyle w:val="TextoNormal"/>
      </w:pPr>
      <w:r>
        <w:t>a) Legitimación para recurrir</w:t>
      </w:r>
    </w:p>
    <w:p w14:paraId="6A3AE569" w14:textId="77777777" w:rsidR="003754FE" w:rsidRDefault="003754FE" w:rsidP="003754FE">
      <w:pPr>
        <w:pStyle w:val="TextoNormal"/>
      </w:pPr>
    </w:p>
    <w:p w14:paraId="737A74DD" w14:textId="77777777" w:rsidR="003754FE" w:rsidRDefault="003754FE" w:rsidP="003754FE">
      <w:pPr>
        <w:pStyle w:val="TextoNormal"/>
      </w:pPr>
      <w:r>
        <w:t xml:space="preserve">Sobre la falta de legitimación activa de la Asociación Agreal Luchadoras de España por falta de interés legítimo, alegada por el grupo empresarial Sanofi, visto el concreto contenido del perjuicio denunciado, se ha de tener en cuenta, en primer lugar, que el artículo 46.1 LOTC establece que en el caso de los artículos 43 y 44 LOTC están legitimados para interponer el recurso de amparo “quienes hayan sido parte en el proceso judicial”. No obstante, como hemos tenido oportunidad de señalar en distintas ocasiones, de ahí no cabe deducir que dicho requisito constituya en todo caso un elemento indispensable o necesario para </w:t>
      </w:r>
      <w:r>
        <w:lastRenderedPageBreak/>
        <w:t>poder acudir en amparo ante este tribunal, ya que tal exigencia legal debe ser interpretada de acuerdo con lo previsto en el artículo 162.1 b) CE, que establece la legitimación para interponer un recurso de amparo de quienes invoquen un interés legítimo.</w:t>
      </w:r>
    </w:p>
    <w:p w14:paraId="72A1C135" w14:textId="77777777" w:rsidR="003754FE" w:rsidRDefault="003754FE" w:rsidP="003754FE">
      <w:pPr>
        <w:pStyle w:val="TextoNormal"/>
      </w:pPr>
    </w:p>
    <w:p w14:paraId="2DF6DB36" w14:textId="77777777" w:rsidR="003754FE" w:rsidRDefault="003754FE" w:rsidP="003754FE">
      <w:pPr>
        <w:pStyle w:val="TextoNormal"/>
      </w:pPr>
      <w:r>
        <w:t>En coherencia con lo anterior, este tribunal ha interpretado los citados artículos de la Ley Orgánica del Tribunal Constitucional a la luz del precepto constitucional, y ha sostenido que el requisito de haber sido parte en el proceso judicial previo ni es siempre inexcusable, ni tampoco es siempre suficiente (por todas, SSTC 84/2000, de 27 de marzo, FJ 1; 221/2002, de 25 de noviembre, FJ 2, y 154/2016, de 22 de septiembre, FJ 2); antes bien, para estar legitimado a efectos de interponer un recurso de amparo lo que resulta indispensable es la invocación de un interés legítimo. Así, la concurrencia de la legitimación para recurrir derivada de haber sido parte en el proceso judicial previo supone una exigencia general que, sin embargo, decae en aquellos supuestos en los que, o bien el recurrente no pudo ser parte en ese proceso judicial, o bien su personación en el mismo no hubiera sido precisa para la salvaguarda de sus derechos o intereses.</w:t>
      </w:r>
    </w:p>
    <w:p w14:paraId="44DC29E6" w14:textId="77777777" w:rsidR="003754FE" w:rsidRDefault="003754FE" w:rsidP="003754FE">
      <w:pPr>
        <w:pStyle w:val="TextoNormal"/>
      </w:pPr>
    </w:p>
    <w:p w14:paraId="1B803BF3" w14:textId="77777777" w:rsidR="003754FE" w:rsidRDefault="003754FE" w:rsidP="003754FE">
      <w:pPr>
        <w:pStyle w:val="TextoNormal"/>
      </w:pPr>
      <w:r>
        <w:t>En síntesis, este tribunal ha declarado que tienen interés legítimo para recurrir en amparo los titulares del derecho fundamental que se considera vulnerado, y también aquellos sujetos a quienes la supuesta lesión del derecho fundamental invocado les haya podido ocasionar un perjuicio (SSTC 214/1991, de 11 de noviembre, FJ 2; 12/1994, de 17 de enero; 174/2002, de 9 de octubre, FJ 4, y 221/2002, de 25 de noviembre, FJ 2).</w:t>
      </w:r>
    </w:p>
    <w:p w14:paraId="1363820C" w14:textId="77777777" w:rsidR="003754FE" w:rsidRDefault="003754FE" w:rsidP="003754FE">
      <w:pPr>
        <w:pStyle w:val="TextoNormal"/>
      </w:pPr>
    </w:p>
    <w:p w14:paraId="69C3BA4C" w14:textId="77777777" w:rsidR="003754FE" w:rsidRDefault="003754FE" w:rsidP="003754FE">
      <w:pPr>
        <w:pStyle w:val="TextoNormal"/>
      </w:pPr>
      <w:r>
        <w:t>En el caso presente, resulta evidente que la entidad asociativa recurrente en amparo no solo ha sido parte en el proceso judicial previo, sino que, además, tiene como objetivo precisamente defender los intereses de las mujeres que se han visto supuestamente afectadas por el consumo del fármaco Agreal. De ahí se deriva que la vulneración de los derechos fundamentales alegada afecta al ámbito de sus intereses propios, ya que los mismos se encuentran indisolublemente vinculados con los de las mujeres asociadas a las que representan. En consecuencia, concurre el interés legítimo a que se refiere el artículo 162.1 b) CE, en el sentido de interés propio, cualificado o específico, tal y como hemos venido exigiendo de manera reiterada (entre otras, SSTC 169/2014, de 22 de octubre, FJ 2, y 131/2017, de 13 de noviembre, FJ 2).</w:t>
      </w:r>
    </w:p>
    <w:p w14:paraId="5EDC2AB9" w14:textId="77777777" w:rsidR="003754FE" w:rsidRDefault="003754FE" w:rsidP="003754FE">
      <w:pPr>
        <w:pStyle w:val="TextoNormal"/>
      </w:pPr>
    </w:p>
    <w:p w14:paraId="5A26C2E9" w14:textId="77777777" w:rsidR="003754FE" w:rsidRDefault="003754FE" w:rsidP="003754FE">
      <w:pPr>
        <w:pStyle w:val="TextoNormal"/>
      </w:pPr>
      <w:r>
        <w:t>b) Agotamiento de la vía judicial previa</w:t>
      </w:r>
    </w:p>
    <w:p w14:paraId="37705EC1" w14:textId="77777777" w:rsidR="003754FE" w:rsidRDefault="003754FE" w:rsidP="003754FE">
      <w:pPr>
        <w:pStyle w:val="TextoNormal"/>
      </w:pPr>
    </w:p>
    <w:p w14:paraId="4F5AF309" w14:textId="77777777" w:rsidR="003754FE" w:rsidRDefault="003754FE" w:rsidP="003754FE">
      <w:pPr>
        <w:pStyle w:val="TextoNormal"/>
      </w:pPr>
      <w:r>
        <w:t>Tanto el abogado del Estado como el Ministerio Fiscal han puesto de manifiesto la concurrencia de un óbice procesal que afecta a la viabilidad de la pretensión de vulneración del derecho fundamental a la tutela judicial efectiva sin indefensión en su vertiente de acceso al recurso que se atribuye a la providencia del Tribunal Supremo, que acordó la inadmisión del recurso de casación interpuesto contra la sentencia dictada por la Audiencia Nacional. Alegan que la asociación recurrente no agotó debidamente la vía judicial previa antes de acudir en amparo a este tribunal, puesto que no interpuso el preceptivo incidente de nulidad de actuaciones, previsto en el artículo 241 LOPJ, contra la providencia impugnada, lo que supone causa de inadmisión en virtud del artículo 50.1 a) en relación con el artículo 44.1 a) LOTC (por todas, STC 151/2022, de 30 de noviembre).</w:t>
      </w:r>
    </w:p>
    <w:p w14:paraId="4D47A293" w14:textId="77777777" w:rsidR="003754FE" w:rsidRDefault="003754FE" w:rsidP="003754FE">
      <w:pPr>
        <w:pStyle w:val="TextoNormal"/>
      </w:pPr>
    </w:p>
    <w:p w14:paraId="7470635C" w14:textId="77777777" w:rsidR="003754FE" w:rsidRDefault="003754FE" w:rsidP="003754FE">
      <w:pPr>
        <w:pStyle w:val="TextoNormal"/>
      </w:pPr>
      <w:r>
        <w:t xml:space="preserve">Sin embargo, no se puede acoger esta pretensión, pues, si bien es cierto que la asociación recurrente no planteó incidente de nulidad de actuaciones contra la providencia de </w:t>
      </w:r>
      <w:r>
        <w:lastRenderedPageBreak/>
        <w:t>inadmisión, sin embargo, como consta en los antecedentes, sí presentó “escrito de aclaración”, el 22 de julio de 2021, en el que concluye suplicando a la Sala que “proceda a justificar o motivar o corregir el error manifiesto en la providencia de 15 de julio de 2021, procediendo a dictar nueva providencia de admisión a trámite. De lo contrario, se estará vulnerando el contenido esencial del art. 24 CE”. Solicitud de aclaración que fue resuelta mediante auto de 27 de septiembre de 2021, en el que el Tribunal Supremo descarta la vulneración del derecho fundamental antedicho.</w:t>
      </w:r>
    </w:p>
    <w:p w14:paraId="2FABB037" w14:textId="77777777" w:rsidR="003754FE" w:rsidRDefault="003754FE" w:rsidP="003754FE">
      <w:pPr>
        <w:pStyle w:val="TextoNormal"/>
      </w:pPr>
    </w:p>
    <w:p w14:paraId="247A30E9" w14:textId="09B59062" w:rsidR="003754FE" w:rsidRDefault="003754FE" w:rsidP="003754FE">
      <w:pPr>
        <w:pStyle w:val="TextoNormal"/>
      </w:pPr>
      <w:r>
        <w:t>Así las cosas, no es posible admitir la concurrencia del óbice procesal alegado por el abogado del Estado y el Ministerio Fiscal (falta de agotamiento de la vía judicial previa antes de acudir en amparo), pues es doctrina de este tribunal (entre otras, STC 32/2009, de 9 de febrero) que, cuando se interpone contra una resolución judicial un recurso de aclaración, en lugar del más idóneo incidente de nulidad de actuaciones, y se obtiene una respuesta del órgano judicial “muy similar (por no decir idéntica) a la que habría recibido de haber promovido el incidente de nulidad de actuaciones […] no se puede cuestionar que el actor haya agotado la vía judicial previa, pues, en definitiva, se ha conseguido lo pretendido a través de la exigencia del art. 44.1 a) LOTC, dirigida a salvaguardar el carácter subsidiario del recurso de amparo (por todas, STC 174/2004, de 18 de octubre, FJ 2 )” (FJ 2). Pues bien, en el caso presente, se puede constatar, en efecto, que la respuesta ofrecida por el Tribunal Supremo en el auto de aclaración arriba mencionado es perfectamente equiparable a la que el mismo podría haber ofrecido en el caso de que se hubiera interpuesto incidente de nulidad, por lo que resulta de aplicación la doctrina precitada, en cuya virtud cabe descartar, como se ha señalado ya, la concurrencia del óbice procesal alegado.</w:t>
      </w:r>
    </w:p>
    <w:p w14:paraId="1D3FD2B6" w14:textId="77777777" w:rsidR="003754FE" w:rsidRDefault="003754FE" w:rsidP="003754FE">
      <w:pPr>
        <w:pStyle w:val="TextoNormal"/>
      </w:pPr>
    </w:p>
    <w:p w14:paraId="3B1C54E3" w14:textId="77777777" w:rsidR="003754FE" w:rsidRDefault="003754FE" w:rsidP="003754FE">
      <w:pPr>
        <w:pStyle w:val="TextoNormal"/>
      </w:pPr>
      <w:r w:rsidRPr="003754FE">
        <w:rPr>
          <w:rStyle w:val="NumeroAFNegritaCaracter"/>
        </w:rPr>
        <w:t>3</w:t>
      </w:r>
      <w:r>
        <w:t xml:space="preserve">. </w:t>
      </w:r>
      <w:r w:rsidRPr="003754FE">
        <w:rPr>
          <w:i/>
        </w:rPr>
        <w:t>Delimitación de los derechos fundamentales concernidos y análisis de las vulneraciones denunciadas</w:t>
      </w:r>
    </w:p>
    <w:p w14:paraId="6FC536F6" w14:textId="77777777" w:rsidR="003754FE" w:rsidRDefault="003754FE" w:rsidP="003754FE">
      <w:pPr>
        <w:pStyle w:val="TextoNormal"/>
      </w:pPr>
    </w:p>
    <w:p w14:paraId="069B4F09" w14:textId="77777777" w:rsidR="003754FE" w:rsidRDefault="003754FE" w:rsidP="003754FE">
      <w:pPr>
        <w:pStyle w:val="TextoNormal"/>
      </w:pPr>
      <w:r>
        <w:t>a) Vulneración del derecho fundamental a la tutela judicial efectiva del art. 24.1 CE, atribuida a la providencia de inadmisión del recurso de casación</w:t>
      </w:r>
    </w:p>
    <w:p w14:paraId="4FA05070" w14:textId="77777777" w:rsidR="003754FE" w:rsidRDefault="003754FE" w:rsidP="003754FE">
      <w:pPr>
        <w:pStyle w:val="TextoNormal"/>
      </w:pPr>
    </w:p>
    <w:p w14:paraId="2F160E36" w14:textId="77777777" w:rsidR="003754FE" w:rsidRDefault="003754FE" w:rsidP="003754FE">
      <w:pPr>
        <w:pStyle w:val="TextoNormal"/>
      </w:pPr>
      <w:r>
        <w:t>En el escrito de demanda se atribuye a la providencia del Tribunal Supremo la vulneración del derecho fundamental a la tutela judicial efectiva del artículo 24.1 CE por: (i) insuficiente motivación de la inadmisión a trámite del recurso de casación; (ii) un exceso de formalismo contradictorio con el principio general favorable a la admisión y al examen de fondo de las pretensiones; y (iii) estar incursa en error patente porque la inadmisión está basada en un motivo manifiestamente inexistente o irrazonable, e, incluso, arbitrario.</w:t>
      </w:r>
    </w:p>
    <w:p w14:paraId="3D91C2EC" w14:textId="77777777" w:rsidR="003754FE" w:rsidRDefault="003754FE" w:rsidP="003754FE">
      <w:pPr>
        <w:pStyle w:val="TextoNormal"/>
      </w:pPr>
    </w:p>
    <w:p w14:paraId="274488B1" w14:textId="77777777" w:rsidR="003754FE" w:rsidRDefault="003754FE" w:rsidP="003754FE">
      <w:pPr>
        <w:pStyle w:val="TextoNormal"/>
      </w:pPr>
      <w:r>
        <w:t xml:space="preserve">Este tribunal ya se ha pronunciado en numerosas ocasiones sobre el derecho de acceso a los recursos y el canon constitucional aplicable a las decisiones de inadmisión de los mismos, calificándolo como un derecho de configuración legal que puede satisfacerse con una decisión de inadmisión del recurso, por razones formales o materiales, siempre que esta sea motivada y se funde en la existencia de una causa legal que resulte aplicada razonablemente (por todas, SSTC 182/2006, de 19 de junio, FJ 1, y 35/2011, de 28 de marzo, FJ 3). En virtud de esta jurisprudencia, el control ejercido sobre las decisiones de inadmisión de los recursos por parte de este tribunal “es meramente externo” y debe limitarse a comprobar si, más allá de estar motivadas, “han incurrido en error material patente, en arbitrariedad o en manifiesta irrazonabilidad lógica, evitando toda ponderación acerca de la corrección jurídica de las </w:t>
      </w:r>
      <w:r>
        <w:lastRenderedPageBreak/>
        <w:t>mismas” (por todas, SSTC 173/2016, de 17 de octubre, FJ 3; 147/2019, de 25 de noviembre, FJ 1, y 166/2020, de 16 de noviembre, FJ 3, y ATC 65/2018, de 18 de junio, FJ 4).</w:t>
      </w:r>
    </w:p>
    <w:p w14:paraId="3358BB76" w14:textId="77777777" w:rsidR="003754FE" w:rsidRDefault="003754FE" w:rsidP="003754FE">
      <w:pPr>
        <w:pStyle w:val="TextoNormal"/>
      </w:pPr>
    </w:p>
    <w:p w14:paraId="72A20566" w14:textId="77777777" w:rsidR="003754FE" w:rsidRDefault="003754FE" w:rsidP="003754FE">
      <w:pPr>
        <w:pStyle w:val="TextoNormal"/>
      </w:pPr>
      <w:r>
        <w:t>Adicionalmente, hemos establecido que ese control es más limitado en relación con las decisiones de inadmisión de los recursos de casación, dadas las funciones que se atribuyen al Tribunal Supremo en nuestro ordenamiento —“le está conferida la función de interpretar la ley —también, evidentemente, la procesal—, con el valor complementario que atribuye a su jurisprudencia el Código civil.” [STC 7/2015, de 22 de enero, FJ 2 d)])— y por la naturaleza de recurso especial o extraordinario del propio recurso de casación “lo que determina que debe fundarse en motivos tasados —</w:t>
      </w:r>
      <w:r w:rsidRPr="003754FE">
        <w:rPr>
          <w:i/>
        </w:rPr>
        <w:t>numerus clausus</w:t>
      </w:r>
      <w:r>
        <w:t>— y que está sometido no solo a requisitos extrínsecos de tiempo y forma y a los presupuestos comunes exigibles para los recursos ordinarios, sino a otros intrínsecos, sustantivos, relacionados con el contenido y la viabilidad de la pretensión” (por todas, STC 7/2015, FJ 2, y ATC 40/2018, de 13 de abril, FJ 4).</w:t>
      </w:r>
    </w:p>
    <w:p w14:paraId="01E63E9F" w14:textId="77777777" w:rsidR="003754FE" w:rsidRDefault="003754FE" w:rsidP="003754FE">
      <w:pPr>
        <w:pStyle w:val="TextoNormal"/>
      </w:pPr>
    </w:p>
    <w:p w14:paraId="5D27717F" w14:textId="77777777" w:rsidR="003754FE" w:rsidRDefault="003754FE" w:rsidP="003754FE">
      <w:pPr>
        <w:pStyle w:val="TextoNormal"/>
      </w:pPr>
      <w:r>
        <w:t>De conformidad con esta línea jurisprudencial, este tribunal ha reiterado que la interpretación de la ley sobre los requisitos de acceso a la casación compete al Tribunal Supremo, extendiendo ese pronunciamiento también al control contenido del escrito de preparación de la casación y a las consecuencias que cabe derivar del incumplimiento de los requisitos que la ley marca a ese escrito (por todas, STC 7/2015, de 22 de enero, FJ 2).</w:t>
      </w:r>
    </w:p>
    <w:p w14:paraId="460716A9" w14:textId="77777777" w:rsidR="003754FE" w:rsidRDefault="003754FE" w:rsidP="003754FE">
      <w:pPr>
        <w:pStyle w:val="TextoNormal"/>
      </w:pPr>
    </w:p>
    <w:p w14:paraId="4B74B344" w14:textId="77777777" w:rsidR="003754FE" w:rsidRDefault="003754FE" w:rsidP="003754FE">
      <w:pPr>
        <w:pStyle w:val="TextoNormal"/>
      </w:pPr>
      <w:r>
        <w:t xml:space="preserve">De igual modo, la jurisprudencia de este tribunal sobre motivación de las resoluciones judiciales es extensa, deduciéndose de ella que esas resoluciones han de contener los elementos de juicio suficientes para que el destinatario y, eventualmente, los órganos encargados de revisar la decisión puedan conocer cuáles han sido los criterios jurídicos que la fundamentan [por todas, SSTC 87/2022, de 28 de junio, FJ 4 B), y 39/2023, de 8 de mayo, FJ 3]. En este sentido, hay que destacar que la providencia de inadmisión del recurso de casación dictada en el caso presente identifica la causa legal por la que procedía la inadmisión, y está motivada de conformidad con lo previsto por el art. 90.4 LJCA. Ese precepto prevé, como régimen general, que la inadmisión del recurso de casación se acordará por providencia, que “únicamente indicará” si en el recurso de casación concurre una de las siguientes cuatro circunstancias: (i) ausencia de los requisitos reglados de plazo, legitimación o recurribilidad de la resolución impugnada; (ii) incumplimiento de cualquiera de las exigencias que el artículo 89.2 LJCA impone al escrito de preparación; (iii) no ser relevante y determinante del fallo ninguna de las infracciones denunciadas; o (iv) carencia de interés casacional objetivo para la formación de jurisprudencia. Esa motivación, aunque sucinta, cumple las exigencias marcadas por la jurisprudencia del Tribunal Europeo de Derechos Humanos, que ha señalado que: “no puede ir contra el Convenio, el que una jurisdicción superior rechace un recurso limitándose a citar las disposiciones legales previstas en tal procedimiento, en tanto los problemas planteados por el recurso no revistan una trascendencia especial o si el recurso no tuviera suficientes visos de prosperar” (STEDH de 20 de enero de 2015, asunto </w:t>
      </w:r>
      <w:r w:rsidRPr="003754FE">
        <w:rPr>
          <w:i/>
        </w:rPr>
        <w:t>Arribas Antón c. España</w:t>
      </w:r>
      <w:r>
        <w:t>, § 47).</w:t>
      </w:r>
    </w:p>
    <w:p w14:paraId="541C9823" w14:textId="77777777" w:rsidR="003754FE" w:rsidRDefault="003754FE" w:rsidP="003754FE">
      <w:pPr>
        <w:pStyle w:val="TextoNormal"/>
      </w:pPr>
    </w:p>
    <w:p w14:paraId="2D153CC8" w14:textId="77777777" w:rsidR="003754FE" w:rsidRDefault="003754FE" w:rsidP="003754FE">
      <w:pPr>
        <w:pStyle w:val="TextoNormal"/>
      </w:pPr>
      <w:r>
        <w:t xml:space="preserve">Pues bien, a la luz de esta jurisprudencia, cabe entender que, en el caso presente, la inadmisión a trámite del recurso de casación por parte del Tribunal Supremo se encuentra suficientemente motivada, sin que quepa apreciar que este incurre en error patente, irrazonabilidad o, menos aún, arbitrariedad. Por el contrario, en su providencia de inadmisión el Tribunal Supremo no se limita a identificar los preceptos de la ley jurisdiccional que considera </w:t>
      </w:r>
      <w:r>
        <w:lastRenderedPageBreak/>
        <w:t>incumplidos [artículo 89.2 en aplicación de lo dispuesto en el artículo 90.4 b) LJCA], sino que, además, aunque sea de manera muy sucinta, añade a su argumentación que el escrito de preparación del recurso se encuentra “redactado con deficiente técnica procesal, carece de la estructura propia de un escrito de tal naturaleza sin tener en cuenta las formalidades y requisitos que ese artículo 89.2 LJCA detalla”. A ello se ha de agregar, que, según la mencionada providencia, también se incumplen las exigencias del apartado f) de este precepto, “por falta de fundamentación suficiente, con singular referencia al caso, de la concurrencia de los supuestos que, con arreglo a los apartados 2 y 3 del artículo anterior, permiten apreciar el interés casacional objetivo y la conveniencia de un pronunciamiento de la Sala de lo Contencioso-Administrativo del Tribunal Supremo, supuestos que, en el presente asunto, no solo no quedan justificados, sino que ni siquiera son citados”.</w:t>
      </w:r>
    </w:p>
    <w:p w14:paraId="278DF0F4" w14:textId="77777777" w:rsidR="003754FE" w:rsidRDefault="003754FE" w:rsidP="003754FE">
      <w:pPr>
        <w:pStyle w:val="TextoNormal"/>
      </w:pPr>
    </w:p>
    <w:p w14:paraId="179EB00C" w14:textId="77777777" w:rsidR="003754FE" w:rsidRDefault="003754FE" w:rsidP="003754FE">
      <w:pPr>
        <w:pStyle w:val="TextoNormal"/>
      </w:pPr>
      <w:r>
        <w:t>Pues bien, a la luz de los hechos de los que se ha dado cuenta, se ha de desestimar la pretensión de declarar contraria al artículo 24 CE la susodicha providencia de inadmisión del recurso de casación dictada por el Tribunal Supremo, en tanto que la misma se encuentra, de conformidad con nuestra doctrina, suficientemente motivada al contener los elementos y razones de juicio que permiten conocer cuáles han sido los criterios jurídicos que la fundamentan, y en tanto que dicha motivación jurídica garantiza que la decisión no es consecuencia de una aplicación arbitraria de la legalidad, ni resulta manifiestamente irrazonable, incursa en un error patente o en una evidente contradicción entre los fundamentos jurídicos, o entre estos y el fallo (SSTC 147/1999, de 4 de agosto, FJ 3; 25/2000, de 31 de enero, FJ 2; 87/2000, de 27 de marzo, FJ 3; 82/2001, de 26 de marzo, FJ 2; 221/2001, de 31 de octubre, FJ 6; 55/2003, de 24 de marzo, FJ 6; 223/2005, de 12 de septiembre, FJ 3; 276/2006, de 25 de septiembre, FJ 2, y 64/2010, de 18 de octubre, FJ 3, entre otras muchas).</w:t>
      </w:r>
    </w:p>
    <w:p w14:paraId="1C1D9C09" w14:textId="77777777" w:rsidR="003754FE" w:rsidRDefault="003754FE" w:rsidP="003754FE">
      <w:pPr>
        <w:pStyle w:val="TextoNormal"/>
      </w:pPr>
    </w:p>
    <w:p w14:paraId="51AE55AF" w14:textId="77777777" w:rsidR="003754FE" w:rsidRDefault="003754FE" w:rsidP="003754FE">
      <w:pPr>
        <w:pStyle w:val="TextoNormal"/>
      </w:pPr>
      <w:r>
        <w:t>b) Vulneración del derecho a la tutela judicial efectiva sin indefensión (art. 24.1 CE) por parte de la sentencia de inadmisión de la Audiencia Nacional</w:t>
      </w:r>
    </w:p>
    <w:p w14:paraId="0726F3A8" w14:textId="77777777" w:rsidR="003754FE" w:rsidRDefault="003754FE" w:rsidP="003754FE">
      <w:pPr>
        <w:pStyle w:val="TextoNormal"/>
      </w:pPr>
    </w:p>
    <w:p w14:paraId="6220B5E4" w14:textId="77777777" w:rsidR="003754FE" w:rsidRDefault="003754FE" w:rsidP="003754FE">
      <w:pPr>
        <w:pStyle w:val="TextoNormal"/>
      </w:pPr>
      <w:r>
        <w:t>Se atribuye a la sentencia de la Audiencia Nacional, que inadmitió el recurso de protección de derechos fundamentales núm. 1-2018, la vulneración del derecho a la tutela judicial efectiva sin indefensión del art. 24.1 CE, en relación con el derecho a la integridad física y moral del art. 15 CE (derivado de su conexión con el derecho a la protección de la salud del art. 43 CE). Lo que se cuestiona, en realidad, es si la sentencia de la Audiencia Nacional presenta un déficit de fundamentación a la hora de justificar la inadmisión del recurso planteado, toda vez que dicha motivación debería haber sido reforzada, dado que lo que se alegó ante la misma, por parte de la asociación demandante, fue la vulneración de derechos sustantivos [integridad física y moral (art. 15 CE), libertad (art. 17 CE), igualdad (art. 14 CE) y honor (art. 18 CE)].</w:t>
      </w:r>
    </w:p>
    <w:p w14:paraId="36C80D41" w14:textId="77777777" w:rsidR="003754FE" w:rsidRDefault="003754FE" w:rsidP="003754FE">
      <w:pPr>
        <w:pStyle w:val="TextoNormal"/>
      </w:pPr>
    </w:p>
    <w:p w14:paraId="7A17AF75" w14:textId="77777777" w:rsidR="003754FE" w:rsidRDefault="003754FE" w:rsidP="003754FE">
      <w:pPr>
        <w:pStyle w:val="TextoNormal"/>
      </w:pPr>
      <w:r>
        <w:t xml:space="preserve">Por tanto, el marco interpretativo que debe utilizar el Tribunal para resolver el recurso de amparo viene dado por el derecho a la tutela judicial efectiva (art. 24.1 CE) en su vertiente del derecho a obtener de los órganos judiciales una respuesta congruente, motivada y fundada en Derecho sobre el fondo de las pretensiones oportunamente deducidas en el proceso, y en su particular dimensión del derecho a obtener una motivación reforzada, en la medida en que el derecho a la tutela judicial efectiva se activa y se alega en defensa de uno o más derechos fundamentales sustantivos (en este sentido véase la STC 50/2014, de 7 de abril, FJ 2, y jurisprudencia allí citada en extenso). Establece nuestra doctrina consolidada que “‘son arbitrarias o irrazonables las resoluciones carentes de razón, dictadas por puro capricho, </w:t>
      </w:r>
      <w:r>
        <w:lastRenderedPageBreak/>
        <w:t>huérfanas de razones formales o materiales y que, por tanto, resultan mera expresión de voluntad (STC 215/2006, de 3 de julio), o, cuando, aun constatada la existencia formal de la argumentación, el resultado resulte fruto del mero voluntarismo judicial, o exponente de un proceso deductivo irracional o absurdo’ (STC 101/2015, de 25 de mayo, FJ 4). Asimismo, ha señalado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164/2002, de 17 de septiembre, FJ 4)” (STC 30/2017, de 27 de febrero, FJ 5).</w:t>
      </w:r>
    </w:p>
    <w:p w14:paraId="65DC1047" w14:textId="77777777" w:rsidR="003754FE" w:rsidRDefault="003754FE" w:rsidP="003754FE">
      <w:pPr>
        <w:pStyle w:val="TextoNormal"/>
      </w:pPr>
    </w:p>
    <w:p w14:paraId="5A7C975B" w14:textId="77777777" w:rsidR="003754FE" w:rsidRDefault="003754FE" w:rsidP="003754FE">
      <w:pPr>
        <w:pStyle w:val="TextoNormal"/>
      </w:pPr>
      <w:r>
        <w:t>El canon expuesto exige valorar (i) si la resolución judicial impugnada, en este caso la sentencia de inadmisión de la Audiencia Nacional, está motivada, es decir, si contiene los elementos y razones de juicio que permitan conocer cuáles han sido los criterios jurídicos que fundamentan la decisión (SSTC 58/1997, de 18 de marzo, FJ 2, y 25/2000, de 31 de enero, FJ 2); (ii) si la motivación está fundada en Derecho, esto es, si es consecuencia de una exégesis racional del ordenamiento y no fruto de un error patente o de la arbitrariedad (STC 50/2014, de 7 de abril, FJ 2, y jurisprudencia allí citada), porque, “tanto si la aplicación de la legalidad es fruto de un error patente, como si fuere ‘arbitraria, manifiestamente irrazonada o irrazonable’ no podría considerarse fundada en Derecho, dado que la aplicación de la legalidad sería tan solo una mera apariencia” (STC 31/2013, de 11 de febrero, FJ 3, y jurisprudencia allí citada). En la STC 108/2022, de 26 de septiembre, FJ 6 c), concluimos que una resolución judicial no puede considerarse fundada en Derecho cuando es “manifiestamente errónea y carente de justificación, habiendo producido efectos negativos sobre la parte recurrente, lesionando su derecho a la tutela judicial efectiva (art. 24.2 CE)”; y (iii) si la garantía del derecho a la tutela judicial efectiva del recurrente ha atendido al canon de motivación reforzado que se exige en supuestos en que en el proceso de instancia se haya denunciado la lesión de derechos fundamentales sustantivos, porque “el deber de motivación de las resoluciones judiciales limitativas de los derechos fundamentales ‘no encuentra su fundamento constitucional en la genérica obligación de motivación de todas las resoluciones judiciales que resulta del derecho a la tutela judicial efectiva (art. 24.1, en relación con el art. 120.3 CE)’, sino en la protección del derecho sustantivo, lo que implica que ‘la ausencia de motivación ocasiona, por sí sola, en estos casos la vulneración del propio derecho fundamental sustantivo (SSTC 128/1995 y 158/1996, 181/1995 y 54/1996), todo ello sin perjuicio de que se produzca o no, además, la lesión del derecho a la tutela judicial efectiva (STC 158/1996)’” (STC 96/2012, de 7 de mayo, FJ 9).</w:t>
      </w:r>
    </w:p>
    <w:p w14:paraId="145B4F05" w14:textId="77777777" w:rsidR="003754FE" w:rsidRDefault="003754FE" w:rsidP="003754FE">
      <w:pPr>
        <w:pStyle w:val="TextoNormal"/>
      </w:pPr>
    </w:p>
    <w:p w14:paraId="47C045C6" w14:textId="77777777" w:rsidR="003754FE" w:rsidRDefault="003754FE" w:rsidP="003754FE">
      <w:pPr>
        <w:pStyle w:val="TextoNormal"/>
      </w:pPr>
      <w:r>
        <w:t>A la vista de los antecedentes referidos con anterioridad, y del parámetro interpretativo expuesto, entendemos que no cabe apreciar déficit de motivación reforzada por parte de la sentencia de la Audiencia Nacional, en la medida en que la misma no se limita a negar apodícticamente la existencia de la alegada inactividad administrativa. En cambio, la motivación de la inadmisión da cumplida cuenta de las variadas circunstancias y vicisitudes que han rodeado al medicamento Agreal desde su puesta en circulación en España en 1983 hasta su retirada en 2005, haciendo expresa mención de las decisiones y actuaciones que, al respecto, ha ido adoptando y desarrollando la autoridad administrativa sanitaria, así como de las múltiples resoluciones judiciales que han sido dictadas por los distintos tribunales sobre este asunto.</w:t>
      </w:r>
    </w:p>
    <w:p w14:paraId="1035D33B" w14:textId="77777777" w:rsidR="003754FE" w:rsidRDefault="003754FE" w:rsidP="003754FE">
      <w:pPr>
        <w:pStyle w:val="TextoNormal"/>
      </w:pPr>
    </w:p>
    <w:p w14:paraId="1ABF4D8C" w14:textId="77777777" w:rsidR="003754FE" w:rsidRDefault="003754FE" w:rsidP="003754FE">
      <w:pPr>
        <w:pStyle w:val="TextoNormal"/>
      </w:pPr>
      <w:r>
        <w:lastRenderedPageBreak/>
        <w:t>Como se puede constatar en los antecedentes, la reclamación efectuada por la asociación demandante el 10 de enero de 2018, en la que insta una serie de actuaciones a llevar a cabo por la administración, obtuvo una respuesta por parte de esta, en la que expuso con detalle cuáles fueron las actuaciones desarrolladas en relación con la problemática expuesta en dicha reclamación, sin que, en consecuencia, pueda entenderse que esa respuesta impide la continuidad de las actuaciones. Por el contrario, como señaló la Audiencia Nacional, esta respuesta, por no ser un acto definitivo que pusiera fin al procedimiento instado por las interesadas, ni tampoco un acto de trámite que resolviera definitivamente sobre lo planteado, no supuso la finalización del procedimiento ni impidió tampoco su continuación; de modo que, de tratarse de un acto de trámite, no sería susceptible de impugnación independiente, según la propia Audiencia.</w:t>
      </w:r>
    </w:p>
    <w:p w14:paraId="28163ECF" w14:textId="77777777" w:rsidR="003754FE" w:rsidRDefault="003754FE" w:rsidP="003754FE">
      <w:pPr>
        <w:pStyle w:val="TextoNormal"/>
      </w:pPr>
    </w:p>
    <w:p w14:paraId="00413DA1" w14:textId="77777777" w:rsidR="003754FE" w:rsidRDefault="003754FE" w:rsidP="003754FE">
      <w:pPr>
        <w:pStyle w:val="TextoNormal"/>
      </w:pPr>
      <w:r>
        <w:t>Por otro lado, en relación con las posibles lesiones de los derechos fundamentales sustantivos a la integridad física y moral, la libertad, la igualdad y el honor, planteada por la recurrente, la Audiencia Nacional, de manera acertada, sostuvo que las mismas fueron enumeradas de forma meramente instrumental, sin argumentar debidamente el verdadero alcance lesivo que se pretende sustentar al acudir al procedimiento especial de protección de derechos fundamentales. Es especialmente significativo el énfasis que pone la asociación recurrente en la supuesta lesión del derecho a la salud, dada su vinculación con el derecho a la integridad física y moral, reconocida por este tribunal; sin embargo, tampoco en este caso cabe entender que la respuesta ofrecida por la Audiencia Nacional, descartando la lesión de este derecho como consecuencia de la actuación (o falta de ella) de la administración, resulte insuficientemente motivada, toda vez que, como se ha indicado, la Audiencia da cumplida cuenta de las decisiones y actuaciones desplegadas por la administración sanitaria, llegando acertadamente a la conclusión de que, una vez que esta decidió retirar del mercado el fármaco Agreal, por no superar el balance riesgo/beneficio, no cabía esperar ni demandar ninguna otra actuación administrativa al respecto.</w:t>
      </w:r>
    </w:p>
    <w:p w14:paraId="4F31E0E3" w14:textId="77777777" w:rsidR="003754FE" w:rsidRDefault="003754FE" w:rsidP="003754FE">
      <w:pPr>
        <w:pStyle w:val="TextoNormal"/>
      </w:pPr>
    </w:p>
    <w:p w14:paraId="3E18F3D5" w14:textId="77777777" w:rsidR="003754FE" w:rsidRDefault="003754FE" w:rsidP="003754FE">
      <w:pPr>
        <w:pStyle w:val="TextoNormal"/>
      </w:pPr>
      <w:r>
        <w:t>En definitiva, tal y como ha motivado suficientemente la Audiencia Nacional, las actuaciones desarrolladas por la administración sanitaria desde el comienzo de la comercialización de Agreal en España en 1983 hasta su retirada en 2005, y, muy singularmente, las decisiones adoptadas por la AEMPS y el Servicio Español de Farmacovigilancia a partir de 2004, según se ha puesto de manifiesto en los antecedentes [apartado 2 ñ)], son no solo numerosas, sino también adecuadas al fin que les era propio: evitar la comercialización de este producto farmacéutico, una vez que se constató que el mismo no superaba el balance beneficio/riesgo, informando de ello, además, a las autoridades europeas y de otros países. A partir de ese momento no cabe apreciar la existencia de actuación alguna que estuviera obligada a realizar la administración, y de cuya omisión cupiera derivar responsabilidad de esta.</w:t>
      </w:r>
    </w:p>
    <w:p w14:paraId="1901F89D" w14:textId="77777777" w:rsidR="003754FE" w:rsidRDefault="003754FE" w:rsidP="003754FE">
      <w:pPr>
        <w:pStyle w:val="TextoNormal"/>
      </w:pPr>
    </w:p>
    <w:p w14:paraId="6B62FC52" w14:textId="77777777" w:rsidR="003754FE" w:rsidRDefault="003754FE" w:rsidP="003754FE">
      <w:pPr>
        <w:pStyle w:val="TextoNormal"/>
      </w:pPr>
      <w:r>
        <w:t xml:space="preserve">Partiendo de estas consideraciones previas, y retomando nuestra jurisprudencia consolidada al respecto, interesa recordar que la apreciación de una causa de inadmisibilidad, o un defecto procesal, no trasciende, en principio, el ámbito de la legalidad ordinaria, de forma que, si bien la obtención de una resolución fundada en Derecho sobre el fondo de las pretensiones deducidas es el modo normal de finalización de un proceso y de cumplimiento de la tutela judicial, ello no excluye que sea constitucionalmente lícita una resolución de inadmisión, que no entre en el fondo de la cuestión planteada, cuando tal decisión se funde en la existencia de una causa legal que así lo justifica y que resulte aplicada razonablemente </w:t>
      </w:r>
      <w:r>
        <w:lastRenderedPageBreak/>
        <w:t>por el órgano judicial (por todas, SSTC 37/1982, de 16 de junio, FJ 2; 182/2004, de 2 de noviembre, y 228/2006, de 17 de julio). Lo que se ha de evitar, en todo caso, es la arbitrariedad o irrazonabilidad de la inadmisión. Así lo hemos señalado, entre otras, en la STC 279/2005, de 7 de noviembre, donde se establece que “[h]emos fijado el criterio de que la aplicación razonada de la causa legal de inadmisión debe responder a una interpretación de las normas conforme a la Constitución que respete el derecho fundamental (SSTC 19/1983, de 14 de marzo, FJ 4, y 259/2000, de 30 de abril, FJ 2). Aun cuando no es nuestra función revisar, con carácter general, la legalidad aplicada, pues el recurso de amparo no es una tercera instancia, sin embargo, la inadmisión arbitraria o irrazonable, o basada en un error patente, afecta al contenido normal del derecho fundamental y debe dar lugar a la estimación del amparo. De ahí que la inadmisión basada en un motivo inexistente constituye, no solo una ilegalidad, sino también una lesión que afecta al derecho reconocido en el art. 24.1 CE, y por ello este tribunal puede y debe comprobar la razonabilidad de la aplicación efectuada de la causa de inadmisión que haya sido tenida en cuenta”.</w:t>
      </w:r>
    </w:p>
    <w:p w14:paraId="1AB4BD33" w14:textId="77777777" w:rsidR="003754FE" w:rsidRDefault="003754FE" w:rsidP="003754FE">
      <w:pPr>
        <w:pStyle w:val="TextoNormal"/>
      </w:pPr>
    </w:p>
    <w:p w14:paraId="01F97049" w14:textId="77777777" w:rsidR="003754FE" w:rsidRDefault="003754FE" w:rsidP="003754FE">
      <w:pPr>
        <w:pStyle w:val="TextoNormal"/>
      </w:pPr>
      <w:r>
        <w:t>Como se puede apreciar en los antecedentes de hecho, la sentencia de la Audiencia Nacional objeto de impugnación en absoluto incurre en esa arbitrariedad o irrazonabilidad argumentativa. Por el contrario, como se ha señalado, este órgano judicial ofrece una motivación detallada de cuáles son las razones que le llevan a concluir que la administración sanitaria ha hecho lo que le incumbía para dar respuesta a la situación que se había generado como consecuencia de las dudas que surgieron en torno a los efectos del medicamento Agreal, hasta el punto de que decidió retirar su comercialización, tras haber considerado que el mismo no superaba el balance riesgo/beneficio, poniéndolo, además, en conocimiento de las autoridades europeas, que, asimismo, acordaron retirarlo en 2007. Más allá de estas decisivas actuaciones, no resulta exigible de la administración la adopción de ninguna otra decisión o medida; en consecuencia, no se puede considerar que la Audiencia Nacional, que confirma la adecuación y suficiencia de las medidas y decisiones adoptadas, incurre en vulneración alguna del derecho reconocido en el artículo 24 CE. Más bien parece que la asociación recurrente lo que hace con su impugnación es confundir la (inexistente) falta de motivación con el hecho de que la sentencia no acoja favorablemente sus pretensiones.</w:t>
      </w:r>
    </w:p>
    <w:p w14:paraId="3ADFFFAA" w14:textId="77777777" w:rsidR="003754FE" w:rsidRDefault="003754FE" w:rsidP="003754FE">
      <w:pPr>
        <w:pStyle w:val="TextoNormal"/>
      </w:pPr>
    </w:p>
    <w:p w14:paraId="2C0F8105" w14:textId="02D537C3" w:rsidR="003754FE" w:rsidRDefault="003754FE" w:rsidP="003754FE">
      <w:pPr>
        <w:pStyle w:val="TextoNormal"/>
      </w:pPr>
      <w:r>
        <w:t>Por último, la impugnación de la imposición de las costas a la asociación demandante, recurrida por esta por entender que la Audiencia Nacional infringe el derecho a la tutela judicial efectiva sin indefensión, en tanto que parte de la presunción de que aquella actuó de mala fe o con temeridad, no puede ser apreciada, dado que la Audiencia se limitó a aplicar lo previsto en el párrafo primero del artículo 139.1 LJCA, sin llevar a cabo, por consiguiente, valoración alguna sobre el modo de proceder de la recurrente. Además, como se recuerda en la STC 102/2020, de 21 de septiembre, FJ 3, se ha de tener en cuenta que es doctrina consolidada de este tribunal (por todas ahora, SSTC 131/1986, de 29 de octubre; 206/1987, de 21 de diciembre; 147/1989, de 21 de septiembre; 170/2002, de 30 de septiembre, y 107/2006, de 3 de abril), que “la condena en costas no se incluye dentro del derecho a la tutela judicial efectiva, lo que implica que el legislador es libre para, en el marco de la Constitución, definir su contenido y los requisitos que han de guiar la imposición judicial de las costas procesales, sin más límite […] que el de impedir que, al hacerlo, pueda el legislador imponer condiciones u obstáculos innecesarios o disuasorios del ejercicio de las acciones y recursos legalmente previstos para la defensa jurisdiccional de los derechos e intereses legítimos”.</w:t>
      </w:r>
    </w:p>
    <w:p w14:paraId="5F13F7F3" w14:textId="77777777" w:rsidR="003754FE" w:rsidRDefault="003754FE" w:rsidP="003754FE">
      <w:pPr>
        <w:pStyle w:val="TextoNormal"/>
      </w:pPr>
    </w:p>
    <w:p w14:paraId="58F63C6C" w14:textId="77777777" w:rsidR="003754FE" w:rsidRDefault="003754FE" w:rsidP="003754FE">
      <w:pPr>
        <w:pStyle w:val="TextoNormalCentrado"/>
        <w:keepNext/>
      </w:pPr>
      <w:r>
        <w:lastRenderedPageBreak/>
        <w:t>FALLO</w:t>
      </w:r>
    </w:p>
    <w:p w14:paraId="7DCE3D40" w14:textId="6C10BB81" w:rsidR="003754FE" w:rsidRDefault="003754FE" w:rsidP="003754FE">
      <w:pPr>
        <w:pStyle w:val="TextoNormalCentrado"/>
        <w:keepNext/>
      </w:pPr>
    </w:p>
    <w:p w14:paraId="589B3824" w14:textId="55C5A3CE" w:rsidR="003754FE" w:rsidRDefault="003754FE" w:rsidP="003754FE">
      <w:pPr>
        <w:pStyle w:val="TextoNormal"/>
      </w:pPr>
      <w:r>
        <w:t>En atención a todo lo expuesto, el Tribunal Constitucional, por la autoridad que le confiere la Constitución de la Nación española, ha decidido desestimar el recurso de amparo interpuesto por la Asociación Agreal Luchadoras de España.</w:t>
      </w:r>
    </w:p>
    <w:p w14:paraId="5607AF94" w14:textId="77777777" w:rsidR="003754FE" w:rsidRDefault="003754FE" w:rsidP="003754FE">
      <w:pPr>
        <w:pStyle w:val="TextoNormal"/>
      </w:pPr>
    </w:p>
    <w:p w14:paraId="74C8AFB4" w14:textId="77777777" w:rsidR="003754FE" w:rsidRDefault="003754FE" w:rsidP="003754FE">
      <w:pPr>
        <w:pStyle w:val="TextoNormal"/>
      </w:pPr>
      <w:r>
        <w:t>Publíquese esta sentencia en el “Boletín Oficial del Estado”.</w:t>
      </w:r>
    </w:p>
    <w:p w14:paraId="535515B0" w14:textId="77777777" w:rsidR="003754FE" w:rsidRDefault="003754FE" w:rsidP="003754FE">
      <w:pPr>
        <w:pStyle w:val="TextoNormal"/>
      </w:pPr>
      <w:r>
        <w:t>Dada en Madrid, a veintitrés de septiembre de dos mil veinticuatro.</w:t>
      </w:r>
    </w:p>
    <w:p w14:paraId="338AFD56" w14:textId="7625AA5A" w:rsidR="003754FE" w:rsidRDefault="003754FE">
      <w:pPr>
        <w:spacing w:after="160" w:line="278" w:lineRule="auto"/>
        <w:rPr>
          <w:rFonts w:ascii="Times New Roman" w:eastAsia="Times New Roman" w:hAnsi="Times New Roman" w:cs="Times New Roman"/>
          <w:sz w:val="24"/>
          <w:szCs w:val="24"/>
          <w:lang w:eastAsia="es-ES"/>
        </w:rPr>
      </w:pPr>
      <w:r>
        <w:br w:type="page"/>
      </w:r>
    </w:p>
    <w:p w14:paraId="686D79BE" w14:textId="77777777" w:rsidR="003754FE" w:rsidRDefault="003754FE" w:rsidP="003754FE">
      <w:pPr>
        <w:pStyle w:val="TtuloResolucin"/>
      </w:pPr>
      <w:bookmarkStart w:id="26" w:name="SENTENCIA_2024_117"/>
      <w:r>
        <w:lastRenderedPageBreak/>
        <w:t>SENTENCIA 117/2024, de 23 de septiembre de 2024</w:t>
      </w:r>
    </w:p>
    <w:bookmarkEnd w:id="26"/>
    <w:p w14:paraId="71F3BDF9" w14:textId="77777777" w:rsidR="003754FE" w:rsidRDefault="003754FE" w:rsidP="003754FE">
      <w:pPr>
        <w:pStyle w:val="TtuloResolucin"/>
      </w:pPr>
      <w:r>
        <w:t>Sala Segunda</w:t>
      </w:r>
    </w:p>
    <w:p w14:paraId="425F2E33" w14:textId="77777777" w:rsidR="003754FE" w:rsidRDefault="003754FE" w:rsidP="003754FE">
      <w:pPr>
        <w:pStyle w:val="TtuloBOE"/>
      </w:pPr>
      <w:r>
        <w:t>(BOE núm. 264, de 1 de noviembre de 2024)</w:t>
      </w:r>
    </w:p>
    <w:p w14:paraId="196AE946" w14:textId="77777777" w:rsidR="003754FE" w:rsidRDefault="003754FE" w:rsidP="003754FE">
      <w:pPr>
        <w:pStyle w:val="TextoNormalCentrado"/>
      </w:pPr>
      <w:r>
        <w:t>ECLI:ES:TC:2024:117</w:t>
      </w:r>
    </w:p>
    <w:p w14:paraId="2CD58FA5" w14:textId="17F47CF8" w:rsidR="003754FE" w:rsidRDefault="003754FE" w:rsidP="003754FE">
      <w:pPr>
        <w:pStyle w:val="TextoNormalCentrado"/>
      </w:pPr>
    </w:p>
    <w:p w14:paraId="6C90706E" w14:textId="77777777" w:rsidR="003754FE" w:rsidRDefault="003754FE" w:rsidP="003754FE">
      <w:pPr>
        <w:pStyle w:val="SntesisDescriptiva"/>
      </w:pPr>
      <w:r>
        <w:t>Recurso de amparo 6381-2022. Promovido por Obratunalia, S.L., en relación con la sentencia de un juzgado de lo contencioso-administrativo de Granada que desestimó su demanda de rectificación de la autoliquidación del impuesto sobre el incremento de valor de los terrenos de naturaleza urbana.</w:t>
      </w:r>
    </w:p>
    <w:p w14:paraId="75535F6A" w14:textId="49917709" w:rsidR="003754FE" w:rsidRDefault="003754FE" w:rsidP="003754FE">
      <w:pPr>
        <w:pStyle w:val="SntesisDescriptiva"/>
      </w:pPr>
    </w:p>
    <w:p w14:paraId="43B0E498" w14:textId="77777777" w:rsidR="003754FE" w:rsidRDefault="003754FE" w:rsidP="003754FE">
      <w:pPr>
        <w:pStyle w:val="SntesisAnaltica"/>
      </w:pPr>
      <w:r>
        <w:t>Vulneración del derecho a la tutela judicial efectiva (resolución fundada en Derecho): sentencia que aplicó al caso los preceptos legales declarados inconstitucionales y nulos por la STC 182/2021, dictada durante la pendencia del proceso contencioso-administrativo.</w:t>
      </w:r>
    </w:p>
    <w:p w14:paraId="0BCED5C3" w14:textId="1560F558" w:rsidR="003754FE" w:rsidRDefault="003754FE" w:rsidP="003754FE">
      <w:pPr>
        <w:pStyle w:val="SntesisAnaltica"/>
      </w:pPr>
    </w:p>
    <w:p w14:paraId="142D3C61" w14:textId="0265C7E5" w:rsidR="003754FE" w:rsidRDefault="003754FE" w:rsidP="003754FE">
      <w:pPr>
        <w:pStyle w:val="Extracto"/>
      </w:pPr>
      <w:r>
        <w:t>1.</w:t>
      </w:r>
      <w:r>
        <w:tab/>
        <w:t>El derecho de tutela judicial efectiva exige que las resoluciones judiciales al decidir los litigios sean fundadas en Derecho, y ese fundamento desaparece cuando con total evidencia se omite la consideración de la norma aplicable, y se decide mediante la aplicación de normas que han perdido su vigencia (STC 99/2000) [FJ 3].</w:t>
      </w:r>
    </w:p>
    <w:p w14:paraId="73CCAE9F" w14:textId="77777777" w:rsidR="003754FE" w:rsidRDefault="003754FE" w:rsidP="003754FE">
      <w:pPr>
        <w:pStyle w:val="Extracto"/>
      </w:pPr>
    </w:p>
    <w:p w14:paraId="47A20AD4" w14:textId="6D539BAC" w:rsidR="003754FE" w:rsidRDefault="003754FE" w:rsidP="003754FE">
      <w:pPr>
        <w:pStyle w:val="Extracto"/>
      </w:pPr>
      <w:r>
        <w:t>2.</w:t>
      </w:r>
      <w:r>
        <w:tab/>
        <w:t>Supuestos de aplicación de la doctrina constitucional sobre la irrazonabilidad de la selección de la norma aplicable al caso con la consiguiente vulneración del derecho a una resolución fundada en derecho: (i) normas expresamente derogadas (SSTC 203/1994 o 82/2009);  (ii) normas declaradas contrarias al Derecho de la Unión Europea por el TJUE (STC 145/2012); o (iii) normas declaradas inconstitucionales por este tribunal (STC 119/2012) [FJ 3].</w:t>
      </w:r>
    </w:p>
    <w:p w14:paraId="6AA1618D" w14:textId="77777777" w:rsidR="003754FE" w:rsidRDefault="003754FE" w:rsidP="003754FE">
      <w:pPr>
        <w:pStyle w:val="Extracto"/>
      </w:pPr>
    </w:p>
    <w:p w14:paraId="43A16E6F" w14:textId="2EE469E8" w:rsidR="003754FE" w:rsidRDefault="003754FE" w:rsidP="003754FE">
      <w:pPr>
        <w:pStyle w:val="Extracto"/>
      </w:pPr>
      <w:r>
        <w:t>3.</w:t>
      </w:r>
      <w:r>
        <w:tab/>
        <w:t>Toda vez que la STC 182/2021 anuló y expulsó del ordenamiento jurídico los preceptos reguladores del sistema objetivo e imperativo de estimación de la base imponible del Impuesto sobre el incremento de valor de los terrenos e naturaleza urbana, tal regulación no debe servir de fundamento a las posteriores resoluciones judiciales adoptadas; resultando ya irrelevante la existencia o no de incremento de valor del suelo urbano transmitido [FJ 4].</w:t>
      </w:r>
    </w:p>
    <w:p w14:paraId="539111C2" w14:textId="77777777" w:rsidR="003754FE" w:rsidRDefault="003754FE" w:rsidP="003754FE">
      <w:pPr>
        <w:pStyle w:val="Extracto"/>
      </w:pPr>
    </w:p>
    <w:p w14:paraId="16567B0B" w14:textId="389CD77E" w:rsidR="003754FE" w:rsidRDefault="003754FE" w:rsidP="003754FE">
      <w:pPr>
        <w:pStyle w:val="Extracto"/>
      </w:pPr>
      <w:r>
        <w:t>4.</w:t>
      </w:r>
      <w:r>
        <w:tab/>
        <w:t>La labor de selección de la normativa aplicable hecha por el órgano judicial, aplicando normas declaradas inconstitucionales, y desconociendo con ello la autoridad de cosa juzgada de las sentencias de este Tribunal Constitucional (arts. 164 CE y 40 LOTC), implica la vulneración del derecho a la tutela judicial efectiva (art. 24.1 CE), en su vertiente del derecho a obtener una resolución jurídicamente fundada [FJ 4].</w:t>
      </w:r>
    </w:p>
    <w:p w14:paraId="4FB7F474" w14:textId="77777777" w:rsidR="003754FE" w:rsidRDefault="003754FE" w:rsidP="003754FE">
      <w:pPr>
        <w:pStyle w:val="Extracto"/>
      </w:pPr>
    </w:p>
    <w:p w14:paraId="62C20607" w14:textId="77777777" w:rsidR="003754FE" w:rsidRDefault="003754FE" w:rsidP="003754FE">
      <w:pPr>
        <w:pStyle w:val="Extracto"/>
      </w:pPr>
    </w:p>
    <w:p w14:paraId="5DA7BFA9"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65AD3DF" w14:textId="10E5DEF9" w:rsidR="003754FE" w:rsidRDefault="003754FE" w:rsidP="003754FE">
      <w:pPr>
        <w:pStyle w:val="TextoNormal"/>
      </w:pPr>
    </w:p>
    <w:p w14:paraId="35F17D61" w14:textId="77777777" w:rsidR="003754FE" w:rsidRDefault="003754FE" w:rsidP="003754FE">
      <w:pPr>
        <w:pStyle w:val="TextoNormalCentrado"/>
        <w:keepNext/>
      </w:pPr>
      <w:r>
        <w:lastRenderedPageBreak/>
        <w:t>EN NOMBRE DEL REY</w:t>
      </w:r>
    </w:p>
    <w:p w14:paraId="2B292CD4" w14:textId="65A99622" w:rsidR="003754FE" w:rsidRDefault="003754FE" w:rsidP="003754FE">
      <w:pPr>
        <w:pStyle w:val="TextoNormalCentrado"/>
        <w:keepNext/>
      </w:pPr>
    </w:p>
    <w:p w14:paraId="6A319D1A" w14:textId="77777777" w:rsidR="003754FE" w:rsidRDefault="003754FE" w:rsidP="003754FE">
      <w:pPr>
        <w:pStyle w:val="TextoNormalCentrado"/>
        <w:keepNext/>
      </w:pPr>
    </w:p>
    <w:p w14:paraId="4172A7A9" w14:textId="77777777" w:rsidR="003754FE" w:rsidRDefault="003754FE" w:rsidP="003754FE">
      <w:pPr>
        <w:pStyle w:val="TextoNormal"/>
      </w:pPr>
      <w:r>
        <w:t>la siguiente</w:t>
      </w:r>
    </w:p>
    <w:p w14:paraId="0F47E838" w14:textId="54A462E4" w:rsidR="003754FE" w:rsidRDefault="003754FE" w:rsidP="003754FE">
      <w:pPr>
        <w:pStyle w:val="TextoNormal"/>
      </w:pPr>
    </w:p>
    <w:p w14:paraId="15809745" w14:textId="77777777" w:rsidR="003754FE" w:rsidRDefault="003754FE" w:rsidP="003754FE">
      <w:pPr>
        <w:pStyle w:val="TextoNormalCentrado"/>
        <w:keepNext/>
      </w:pPr>
      <w:r>
        <w:t>SENTENCIA</w:t>
      </w:r>
    </w:p>
    <w:p w14:paraId="7B039994" w14:textId="5427CA16" w:rsidR="003754FE" w:rsidRDefault="003754FE" w:rsidP="003754FE">
      <w:pPr>
        <w:pStyle w:val="TextoNormalCentrado"/>
        <w:keepNext/>
      </w:pPr>
    </w:p>
    <w:p w14:paraId="21C11124" w14:textId="77777777" w:rsidR="003754FE" w:rsidRDefault="003754FE" w:rsidP="003754FE">
      <w:pPr>
        <w:pStyle w:val="TextoNormal"/>
      </w:pPr>
      <w:r>
        <w:t>En el recurso de amparo núm. 6381-2022, promovido por Obratunalia, S.L., representado por el procurador de los tribunales don Leovigildo Rubio Sánchez, contra la sentencia núm. 180/2022 del Juzgado de lo Contencioso-Administrativo núm. 4 de Granada, de 6 de julio de 2022 (procedimiento abreviado núm. 502-2021), que desestima el recurso contencioso-administrativo interpuesto contra la resolución del Tribunal Económico-Administrativo del Ayuntamiento de Granada de 11 de junio de 2021, que desestima la reclamación económico-administrativa interpuesta por dicha sociedad mercantil frente a la desestimación presunta de la solicitud de rectificación de la autoliquidación del impuesto sobre el incremento de valor de los terrenos de naturaleza urbana; y contra el auto del mismo juzgado, de 1 de septiembre de 2022, que desestima el incidente de nulidad de actuaciones promovido contra la anterior sentencia. Han comparecido el Ayuntamiento de Granada y el tribunal económico-administrativo de dicha localidad, representados por la letrada de los servicios jurídicos del Ayuntamiento de Granada. Ha intervenido el Ministerio Fiscal. Ha sido ponente el magistrado don Enrique Arnaldo Alcubilla.</w:t>
      </w:r>
    </w:p>
    <w:p w14:paraId="17774013" w14:textId="416D862C" w:rsidR="003754FE" w:rsidRDefault="003754FE" w:rsidP="003754FE">
      <w:pPr>
        <w:pStyle w:val="TextoNormal"/>
      </w:pPr>
    </w:p>
    <w:p w14:paraId="52495586" w14:textId="77777777" w:rsidR="003754FE" w:rsidRDefault="003754FE" w:rsidP="003754FE">
      <w:pPr>
        <w:pStyle w:val="TextoNormalNegritaCentrado"/>
        <w:keepNext/>
      </w:pPr>
      <w:r>
        <w:t>I. Antecedentes</w:t>
      </w:r>
    </w:p>
    <w:p w14:paraId="7B884AA2" w14:textId="36A425C2" w:rsidR="003754FE" w:rsidRDefault="003754FE" w:rsidP="003754FE">
      <w:pPr>
        <w:pStyle w:val="TextoNormalNegritaCentrado"/>
        <w:keepNext/>
      </w:pPr>
    </w:p>
    <w:p w14:paraId="0C0D9675" w14:textId="5AE85D63" w:rsidR="003754FE" w:rsidRDefault="003754FE" w:rsidP="003754FE">
      <w:pPr>
        <w:pStyle w:val="TextoNormal"/>
      </w:pPr>
      <w:r w:rsidRPr="003754FE">
        <w:rPr>
          <w:rStyle w:val="NumeroAFNegritaCaracter"/>
        </w:rPr>
        <w:t>1</w:t>
      </w:r>
      <w:r>
        <w:t>. Mediante escrito registrado en este tribunal el 28 de septiembre de 2022, el procurador de los tribunales don Leovigildo Rubio Sánchez, en nombre y representación de la entidad Obratunalia, S.L., interpuso recurso de amparo contra las resoluciones judiciales que se citan en el encabezamiento.</w:t>
      </w:r>
    </w:p>
    <w:p w14:paraId="63DAAE06" w14:textId="77777777" w:rsidR="003754FE" w:rsidRDefault="003754FE" w:rsidP="003754FE">
      <w:pPr>
        <w:pStyle w:val="TextoNormal"/>
      </w:pPr>
    </w:p>
    <w:p w14:paraId="6B3A30FF" w14:textId="77777777" w:rsidR="003754FE" w:rsidRDefault="003754FE" w:rsidP="003754FE">
      <w:pPr>
        <w:pStyle w:val="TextoNormal"/>
      </w:pPr>
      <w:r w:rsidRPr="003754FE">
        <w:rPr>
          <w:rStyle w:val="NumeroAFNegritaCaracter"/>
        </w:rPr>
        <w:t>2</w:t>
      </w:r>
      <w:r>
        <w:t>. Los hechos de los que trae causa la demanda de amparo son, en síntesis, los siguientes:</w:t>
      </w:r>
    </w:p>
    <w:p w14:paraId="09FA39BD" w14:textId="77777777" w:rsidR="003754FE" w:rsidRDefault="003754FE" w:rsidP="003754FE">
      <w:pPr>
        <w:pStyle w:val="TextoNormal"/>
      </w:pPr>
    </w:p>
    <w:p w14:paraId="3962EAC0" w14:textId="77777777" w:rsidR="003754FE" w:rsidRDefault="003754FE" w:rsidP="003754FE">
      <w:pPr>
        <w:pStyle w:val="TextoNormal"/>
      </w:pPr>
      <w:r>
        <w:t>a) Obratunalia, S.L., adquirió el 23 de octubre de 2007 un inmueble en el término municipal de Granada por 136 532,90 €, transmitiéndolo el 31 de octubre de 2018 por 135 023,64 €, según consta en las escrituras públicas.</w:t>
      </w:r>
    </w:p>
    <w:p w14:paraId="53D49DAE" w14:textId="77777777" w:rsidR="003754FE" w:rsidRDefault="003754FE" w:rsidP="003754FE">
      <w:pPr>
        <w:pStyle w:val="TextoNormal"/>
      </w:pPr>
    </w:p>
    <w:p w14:paraId="560414E5" w14:textId="77777777" w:rsidR="003754FE" w:rsidRDefault="003754FE" w:rsidP="003754FE">
      <w:pPr>
        <w:pStyle w:val="TextoNormal"/>
      </w:pPr>
      <w:r>
        <w:t>b) Con ocasión de la anterior transmisión, esta entidad presentó el 12 de noviembre de 2018 la correspondiente autoliquidación del impuesto sobre el incremento de valor de los terrenos e naturaleza urbana (en adelante, IIVTNU) por un importe de 1608,72 €.</w:t>
      </w:r>
    </w:p>
    <w:p w14:paraId="7684154E" w14:textId="77777777" w:rsidR="003754FE" w:rsidRDefault="003754FE" w:rsidP="003754FE">
      <w:pPr>
        <w:pStyle w:val="TextoNormal"/>
      </w:pPr>
    </w:p>
    <w:p w14:paraId="71249BB5" w14:textId="77777777" w:rsidR="003754FE" w:rsidRDefault="003754FE" w:rsidP="003754FE">
      <w:pPr>
        <w:pStyle w:val="TextoNormal"/>
      </w:pPr>
      <w:r>
        <w:t>c) Basándose en la STC 59/2017, de 11 de mayo, que declara inconstitucionales y nulos los preceptos legales reguladores de la base imponible del IIVTNU únicamente en los supuestos en los que no exista un aumento de valor del terreno urbano en el momento de la transmisión, esta sociedad solicitó la rectificación de su autoliquidación el 13 de noviembre de 2018 (con la consiguiente devolución de la cantidad ingresada), alegando que de las escrituras públicas se desprende una disminución de valor del suelo transmitido.</w:t>
      </w:r>
    </w:p>
    <w:p w14:paraId="6ECABBE7" w14:textId="77777777" w:rsidR="003754FE" w:rsidRDefault="003754FE" w:rsidP="003754FE">
      <w:pPr>
        <w:pStyle w:val="TextoNormal"/>
      </w:pPr>
    </w:p>
    <w:p w14:paraId="0D248EFD" w14:textId="77777777" w:rsidR="003754FE" w:rsidRDefault="003754FE" w:rsidP="003754FE">
      <w:pPr>
        <w:pStyle w:val="TextoNormal"/>
      </w:pPr>
      <w:r>
        <w:lastRenderedPageBreak/>
        <w:t xml:space="preserve">d) Contra la desestimación administrativa presunta de dicha solicitud de rectificación, la entidad promovió reclamación económico-administrativa, que es desestimada por el Tribunal Económico-Administrativo del Ayuntamiento de Granada en la resolución de 11 de junio de 2021. En ella, con base en la STC 59/2017 y en la jurisprudencia del Tribunal Supremo que la interpreta, se argumenta que no queda acreditada la minusvaloración del terreno enajenado. Y ello porque el Tribunal Económico-Administrativo del Ayuntamiento de Granada considera que el informe técnico presentado por el ayuntamiento enerva la </w:t>
      </w:r>
      <w:r w:rsidRPr="003754FE">
        <w:rPr>
          <w:i/>
        </w:rPr>
        <w:t>vis probationis</w:t>
      </w:r>
      <w:r>
        <w:t xml:space="preserve"> proyectada en los documentos públicos exhibidos por la parte actora, y en él se constata que “con independencia de la cifra de venta señalada para el inmueble, y del estado de la edificación existente; se puede concluir que el valor del suelo en marzo en el año 2018 en esta zona de la ciudad y para el uso residencial de las características señaladas, ha sufrido una apreciación del 197,77 por 100 en relación con su valor en el año 2004”. Con lo que la autoliquidación es conforme a derecho.</w:t>
      </w:r>
    </w:p>
    <w:p w14:paraId="41A0BFC4" w14:textId="77777777" w:rsidR="003754FE" w:rsidRDefault="003754FE" w:rsidP="003754FE">
      <w:pPr>
        <w:pStyle w:val="TextoNormal"/>
      </w:pPr>
    </w:p>
    <w:p w14:paraId="4E8D7377" w14:textId="77777777" w:rsidR="003754FE" w:rsidRDefault="003754FE" w:rsidP="003754FE">
      <w:pPr>
        <w:pStyle w:val="TextoNormal"/>
      </w:pPr>
      <w:r>
        <w:t>e) Interpuesto el 27 de julio de 2021 el correspondiente recurso contencioso-administrativo contra dicha desestimación económico-administrativa por la sociedad contribuyente, aduciendo de nuevo la minusvalía en el suelo urbano transmitido constatado en las escrituras públicas que aporta como prueba, la sentencia de 6 de julio de 2022 del Juzgado de lo Contencioso-Administrativo núm. 4 de Granada (procedimiento abreviado núm. 502-2021) lo desestima apoyándose en la STC 59/2017, en la jurisprudencia del Tribunal Supremo que la interpreta y en pronunciamientos de ese mismo juzgado que, o bien aplican la doctrina anteriormente expuesta, o bien al ser anteriores a la STC 59/2017 se acogían a la tesis mantenida por ciertos tribunales superiores de justicia según la cual la realización del hecho imponible del IIVTNU se supeditaba a la prueba de la inexistencia de plusvalía.</w:t>
      </w:r>
    </w:p>
    <w:p w14:paraId="6B8FBD6C" w14:textId="77777777" w:rsidR="003754FE" w:rsidRDefault="003754FE" w:rsidP="003754FE">
      <w:pPr>
        <w:pStyle w:val="TextoNormal"/>
      </w:pPr>
    </w:p>
    <w:p w14:paraId="751A9632" w14:textId="77777777" w:rsidR="003754FE" w:rsidRDefault="003754FE" w:rsidP="003754FE">
      <w:pPr>
        <w:pStyle w:val="TextoNormal"/>
      </w:pPr>
      <w:r>
        <w:t>Este órgano judicial considera que ha habido incremento de valor en la transmisión del inmueble objeto de tributación, al no haberse desvirtuado las valoraciones efectuadas por la administración que se presumen válidas por ministerio de la ley: “En ese sentido, el informe de 21 de diciembre de 2020, que se incorpora al expediente, es fundamentado y motiva el acto administrativo, como sostiene el TEAM [Tribunal Económico-Administrativo del Ayuntamiento de Granada] en la página 14 de su resolución al referir que ‘reúne los requisitos subjetivos y objetivos necesarios para estimarlo suficiente y motivado; subjetivos pues está emitido por facultativo competente y objetivos, ya que se detalla el bien a valorar, su ubicación, su superficie y se especifica el método de valoración utilizado’”.</w:t>
      </w:r>
    </w:p>
    <w:p w14:paraId="78295BF7" w14:textId="77777777" w:rsidR="003754FE" w:rsidRDefault="003754FE" w:rsidP="003754FE">
      <w:pPr>
        <w:pStyle w:val="TextoNormal"/>
      </w:pPr>
    </w:p>
    <w:p w14:paraId="714C03B2" w14:textId="77777777" w:rsidR="003754FE" w:rsidRDefault="003754FE" w:rsidP="003754FE">
      <w:pPr>
        <w:pStyle w:val="TextoNormal"/>
      </w:pPr>
      <w:r>
        <w:t xml:space="preserve">f) El 13 de julio de 2022 se promueve incidente de nulidad de actuaciones contra la referida sentencia alegando una vulneración del derecho a la tutela judicial efectiva, produciendo indefensión. Se argumenta que el día de la vista oral (5 de julio de 2022) la empresa recurrente invocó expresamente la STC 182/2021, de 26 de octubre, que declara inconstitucional y nulo el sistema objetivo de determinación de la base imponible del IIVTNU (“impidiendo la liquidación, comprobación, recaudación y revisión de este impuesto, así como su exigibilidad”, independientemente de la existencia o no de plusvalía); pronunciamiento plenamente aplicable al caso, tratándose de una situación susceptible de ser revisada conforme a su fundamento jurídico 6 b), al haberse recurrido con anterioridad a la publicación de la citada sentencia constitucional. En consecuencia, a juicio de la entidad actora, la sentencia cuya nulidad se insta no está fundada en derecho en tanto que aplica preceptos anulados y expulsados del ordenamiento jurídico por la STC 182/2021, de 26 de octubre; y, por </w:t>
      </w:r>
      <w:r>
        <w:lastRenderedPageBreak/>
        <w:t>ende, no resuelve conforme a las normas aplicables ni al sistema de fuentes y carece de fundamentación jurídica (motivación).</w:t>
      </w:r>
    </w:p>
    <w:p w14:paraId="2C0D8D15" w14:textId="77777777" w:rsidR="003754FE" w:rsidRDefault="003754FE" w:rsidP="003754FE">
      <w:pPr>
        <w:pStyle w:val="TextoNormal"/>
      </w:pPr>
    </w:p>
    <w:p w14:paraId="29FBF2B5" w14:textId="07CB494D" w:rsidR="003754FE" w:rsidRDefault="003754FE" w:rsidP="003754FE">
      <w:pPr>
        <w:pStyle w:val="TextoNormal"/>
      </w:pPr>
      <w:r>
        <w:t>g) El auto del Juzgado de lo Contencioso-Administrativo núm. 4 de Granada desestimó este incidente. Comienza declarando que: “Aduce la parte recurrente que la sentencia no está fundamentada jurídicamente y que se aplican preceptos excluidos del ordenamiento jurídico, pero lo cierto es que se recoge en el fundamento de derecho cuarto el alcance de la STC 59/2017, de 11 de mayo de 2017, que declaró que los arts. 107.1, 107.2 y 110.4 del Real Decreto Legislativo 2/2004, de 5 de marzo, por el que se aprueba el texto refundido de la Ley reguladora de las haciendas locales, son inconstitucionales y nulos en la medida que someten a tributación situaciones de inexistencia de incrementos de valor, así como la sentencia de la Sala de lo Contencioso-Administrativo (Sección Segunda) del Tribunal Supremo núm. 1163/2018, de 9 de julio de 2018 (procedimiento: 6226-2017)”. Y que precisamente en el fundamento jurídico 4 de la sentencia impugnada (cuyo tenor reproduce), y de acuerdo con dichos pronunciamientos, “la sentencia motiva por qué se desestima el recurso y por qué considera el juzgador que ha habido incremento de valor en la transmisión del inmueble objeto de tributación, al no haberse desvirtuado en modo alguno las valoraciones efectuadas por la administración que se presumen válidas por ministerio de la ley”. Así, acaba concluyendo que “la parte actora muestra una mera discrepancia jurídica respecto al hecho de que el juzgador se haya hecho eco del informe del funcionario municipal de 21 de diciembre de 2020 sobre la existencia de incremento de valor del terreno, considerando que se desvirtúan las declaraciones efectuadas en la escritura de venta”.</w:t>
      </w:r>
    </w:p>
    <w:p w14:paraId="3972654F" w14:textId="77777777" w:rsidR="003754FE" w:rsidRDefault="003754FE" w:rsidP="003754FE">
      <w:pPr>
        <w:pStyle w:val="TextoNormal"/>
      </w:pPr>
    </w:p>
    <w:p w14:paraId="05799561" w14:textId="5E60FEA0" w:rsidR="003754FE" w:rsidRDefault="003754FE" w:rsidP="003754FE">
      <w:pPr>
        <w:pStyle w:val="TextoNormal"/>
      </w:pPr>
      <w:r w:rsidRPr="003754FE">
        <w:rPr>
          <w:rStyle w:val="NumeroAFNegritaCaracter"/>
        </w:rPr>
        <w:t>3</w:t>
      </w:r>
      <w:r>
        <w:t xml:space="preserve">. Notificada la anterior resolución judicial, se interpone el presente recurso de amparo contra la sentencia y el auto dictados por el Juzgado de lo Contencioso-Administrativo núm. 4 de Granada, en el procedimiento abreviado núm. 502-2021, de fechas 6 de julio y 1 de septiembre de 2022, respectivamente. Se imputa a la sentencia una vulneración del derecho a la tutela judicial efectiva (art. 24.1 CE), produciendo indefensión. Se argumenta que la </w:t>
      </w:r>
      <w:r w:rsidRPr="003754FE">
        <w:rPr>
          <w:i/>
        </w:rPr>
        <w:t>ratio decidendi</w:t>
      </w:r>
      <w:r>
        <w:t xml:space="preserve"> es una legislación anulada y expulsada del ordenamiento jurídico por la STC 182/2021. Tras reproducir la doctrina de dicho pronunciamiento constitucional y afirmar no quedar afectada la empresa contribuyente por la cláusula de limitación de efectos de la declaración de inconstitucionalidad y nulidad de los preceptos reguladores de la base imponible del IIVTNU [FJ 6 b)], se arguye que la sentencia impugnada no está fundada en derecho, que carece de fundamentación jurídica (motivación), que no resuelve conforme a las normas aplicables ni conforme al sistema de fuentes y que realiza una selección arbitraria e irrazonable de la norma aplicable al caso. Asimismo, se estima violado el derecho a la inmutabilidad de las resoluciones judiciales firmes, en este caso la STC 182/2021. Por ello, interesa que se declare la nulidad de las resoluciones judiciales recurridas, restituyéndoles en su derecho a la tutela judicial efectiva, y se ordene la retroacción de actuaciones al momento anterior al de la sentencia impugnada, para que se dicte otra aplicando la doctrina contenida en la STC 182/2021.</w:t>
      </w:r>
    </w:p>
    <w:p w14:paraId="27E23B46" w14:textId="77777777" w:rsidR="003754FE" w:rsidRDefault="003754FE" w:rsidP="003754FE">
      <w:pPr>
        <w:pStyle w:val="TextoNormal"/>
      </w:pPr>
    </w:p>
    <w:p w14:paraId="41555D26" w14:textId="4958A6AC" w:rsidR="003754FE" w:rsidRDefault="003754FE" w:rsidP="003754FE">
      <w:pPr>
        <w:pStyle w:val="TextoNormal"/>
      </w:pPr>
      <w:r w:rsidRPr="003754FE">
        <w:rPr>
          <w:rStyle w:val="NumeroAFNegritaCaracter"/>
        </w:rPr>
        <w:t>4</w:t>
      </w:r>
      <w:r>
        <w:t>. Por providencia de 5 de junio de 2023, la Sala Segunda de este tribunal acordó la admisión a trámite del recurso de amparo, apreciando que concurre una especial trascendencia constitucional (art. 50.1 LOTC) porque el órgano judicial pudiera haber incurrido en una negativa manifiesta del deber de acatamiento de su doctrina [STC 155/2009, FJ 2 f)]. Asimismo, en aplicación de lo dispuesto en el art. 51 de la Ley Orgánica del Tribunal Constitucional (en adelante, LOTC), acordó dirigir comunicación al Juzgado de lo Contencioso-</w:t>
      </w:r>
      <w:r>
        <w:lastRenderedPageBreak/>
        <w:t>Administrativo núm. 4 de Granada a fin de que, en el plazo de diez días, remitiese testimonio de las actuaciones correspondientes al procedimiento abreviado núm. 502-2021, interesándose al mismo tiempo que se emplazara a quienes hubiesen sido parte en el procedimiento, excepto a la parte recurrente en amparo, para que en el plazo de diez días pudieran comparecer ante este tribunal si así lo desearan.</w:t>
      </w:r>
    </w:p>
    <w:p w14:paraId="19991A57" w14:textId="77777777" w:rsidR="003754FE" w:rsidRDefault="003754FE" w:rsidP="003754FE">
      <w:pPr>
        <w:pStyle w:val="TextoNormal"/>
      </w:pPr>
    </w:p>
    <w:p w14:paraId="4FB92974" w14:textId="21F5E192" w:rsidR="003754FE" w:rsidRDefault="003754FE" w:rsidP="003754FE">
      <w:pPr>
        <w:pStyle w:val="TextoNormal"/>
      </w:pPr>
      <w:r w:rsidRPr="003754FE">
        <w:rPr>
          <w:rStyle w:val="NumeroAFNegritaCaracter"/>
        </w:rPr>
        <w:t>5</w:t>
      </w:r>
      <w:r>
        <w:t>. Por escrito presentado en el registro general de este tribunal el 6 de julio de 2023, la letrada de los servicios jurídicos del Ayuntamiento de Granada, en nombre y representación de esta entidad y del Tribunal Económico-Administrativo Municipal, solicitó que se le tuviese por comparecida en el presente proceso constitucional en la representación citada. También mostró su oposición al recurso de amparo afirmando que la sentencia recurrida en modo alguno vulnera el derecho a la tutela judicial efectiva de la actora ni le causa indefensión.</w:t>
      </w:r>
    </w:p>
    <w:p w14:paraId="2A0C5888" w14:textId="77777777" w:rsidR="003754FE" w:rsidRDefault="003754FE" w:rsidP="003754FE">
      <w:pPr>
        <w:pStyle w:val="TextoNormal"/>
      </w:pPr>
    </w:p>
    <w:p w14:paraId="2971F927" w14:textId="5B83E657" w:rsidR="003754FE" w:rsidRDefault="003754FE" w:rsidP="003754FE">
      <w:pPr>
        <w:pStyle w:val="TextoNormal"/>
      </w:pPr>
      <w:r w:rsidRPr="003754FE">
        <w:rPr>
          <w:rStyle w:val="NumeroAFNegritaCaracter"/>
        </w:rPr>
        <w:t>6</w:t>
      </w:r>
      <w:r>
        <w:t>. Mediante diligencia de ordenación de fecha 12 de julio de 2023, la Sala Segunda de este tribunal acordó tener por personada y parte en el procedimiento a la letrada de los servicios jurídicos del Ayuntamiento de Granada, en nombre y representación de esta entidad y del Tribunal Económico-Administrativo Municipal, así como dar vista de las actuaciones recibidas a las partes personadas y al Ministerio Fiscal por plazo común de viente días para presentar las alegaciones que estimasen pertinentes, de conformidad con el art. 52 LOTC.</w:t>
      </w:r>
    </w:p>
    <w:p w14:paraId="2247008F" w14:textId="77777777" w:rsidR="003754FE" w:rsidRDefault="003754FE" w:rsidP="003754FE">
      <w:pPr>
        <w:pStyle w:val="TextoNormal"/>
      </w:pPr>
    </w:p>
    <w:p w14:paraId="51367A9E" w14:textId="77777777" w:rsidR="003754FE" w:rsidRDefault="003754FE" w:rsidP="003754FE">
      <w:pPr>
        <w:pStyle w:val="TextoNormal"/>
      </w:pPr>
      <w:r w:rsidRPr="003754FE">
        <w:rPr>
          <w:rStyle w:val="NumeroAFNegritaCaracter"/>
        </w:rPr>
        <w:t>7</w:t>
      </w:r>
      <w:r>
        <w:t>. La letrada de los servicios jurídicos del Ayuntamiento de Granada presentó su escrito de alegaciones el día 24 de julio de 2022 suplicando la desestimación del recurso de amparo.</w:t>
      </w:r>
    </w:p>
    <w:p w14:paraId="67E8EC0D" w14:textId="77777777" w:rsidR="003754FE" w:rsidRDefault="003754FE" w:rsidP="003754FE">
      <w:pPr>
        <w:pStyle w:val="TextoNormal"/>
      </w:pPr>
    </w:p>
    <w:p w14:paraId="6094B150" w14:textId="21EC47C0" w:rsidR="003754FE" w:rsidRDefault="003754FE" w:rsidP="003754FE">
      <w:pPr>
        <w:pStyle w:val="TextoNormal"/>
      </w:pPr>
      <w:r>
        <w:t>Tras afirmar, sin desarrollo argumental, que el recurso carece de especial trascendencia constitucional, sostiene que la sentencia impugnada no produce indefensión al estar debidamente motivada. Y ello porque, a la vista de la documentación obrante en el expediente administrativo y de las alegaciones de las partes, el juzgado justifica adecuadamente la conformidad a Derecho del acto administrativo impugnado, y las condiciones y circunstancias de dicho acto que llevan al órgano judicial a la no aplicación de la STC 182/2021. A continuación, reproduce el auto de 1 de septiembre de 2022, también impugnado, y mantiene que es una cuestión diferida a la jurisdicción ordinaria el que el juez determine si el acto administrativo impugnado reúne las condiciones para la no aplicación de la STC 182/2021; esto es, si la situación enjuiciada se puede entender como “consolidada” y, por tanto, no susceptible de la aplicación de la citada sentencia a tenor de lo establecido en su fundamento jurídico sexto.</w:t>
      </w:r>
    </w:p>
    <w:p w14:paraId="2D251594" w14:textId="77777777" w:rsidR="003754FE" w:rsidRDefault="003754FE" w:rsidP="003754FE">
      <w:pPr>
        <w:pStyle w:val="TextoNormal"/>
      </w:pPr>
    </w:p>
    <w:p w14:paraId="7C3B22B8" w14:textId="77777777" w:rsidR="003754FE" w:rsidRDefault="003754FE" w:rsidP="003754FE">
      <w:pPr>
        <w:pStyle w:val="TextoNormal"/>
      </w:pPr>
      <w:r w:rsidRPr="003754FE">
        <w:rPr>
          <w:rStyle w:val="NumeroAFNegritaCaracter"/>
        </w:rPr>
        <w:t>8</w:t>
      </w:r>
      <w:r>
        <w:t>. Mediante escrito registrado en este tribunal el día 28 de julio de 2022, don Leovigildo Rubio Sánchez, en nombre y representación de la empresa recurrente, evacuó el trámite de alegaciones conferido, suplicando que se dictase sentencia estimatoria del amparo pretendido.</w:t>
      </w:r>
    </w:p>
    <w:p w14:paraId="0D374D5B" w14:textId="77777777" w:rsidR="003754FE" w:rsidRDefault="003754FE" w:rsidP="003754FE">
      <w:pPr>
        <w:pStyle w:val="TextoNormal"/>
      </w:pPr>
    </w:p>
    <w:p w14:paraId="05631C95" w14:textId="77777777" w:rsidR="003754FE" w:rsidRDefault="003754FE" w:rsidP="003754FE">
      <w:pPr>
        <w:pStyle w:val="TextoNormal"/>
      </w:pPr>
      <w:r>
        <w:t xml:space="preserve">De un lado, considera que la sentencia impugnada habría menoscabado el derecho a la tutela judicial efectiva en su vertiente de inmutabilidad de las resoluciones judiciales firmes (la propia del Tribunal Constitucional) y a que estas alcancen la eficacia propia que el ordenamiento les reconoce. También arguye que no puede decirse que la sentencia dictada por el juzgado esté argumentada en derecho, en tanto que aplica los citados preceptos anulados </w:t>
      </w:r>
      <w:r>
        <w:lastRenderedPageBreak/>
        <w:t>y expulsados del ordenamiento jurídico por la STC 182/2021, de 26 de octubre, por lo que no ha resuelto conforme a las normas aplicables al caso, ni ha respetado el sistema de fuentes.</w:t>
      </w:r>
    </w:p>
    <w:p w14:paraId="73845D11" w14:textId="77777777" w:rsidR="003754FE" w:rsidRDefault="003754FE" w:rsidP="003754FE">
      <w:pPr>
        <w:pStyle w:val="TextoNormal"/>
      </w:pPr>
    </w:p>
    <w:p w14:paraId="27A5BE10" w14:textId="712F0E54" w:rsidR="003754FE" w:rsidRDefault="003754FE" w:rsidP="003754FE">
      <w:pPr>
        <w:pStyle w:val="TextoNormal"/>
      </w:pPr>
      <w:r>
        <w:t>De otro lado, argumenta que la inaplicación de la STC 182/2021 por parte del Juzgado de lo Contencioso-Administrativo núm. 4 de Granada supone un trato desigual y discriminatorio para la entidad recurrente contrario al art. 14 CE, por cuanto que, bajo las mismas circunstancias y supuestos de hecho, esta doctrina constitucional sí es aplicada por todos los órganos judiciales a los demás contribuyentes.</w:t>
      </w:r>
    </w:p>
    <w:p w14:paraId="49B2C69D" w14:textId="77777777" w:rsidR="003754FE" w:rsidRDefault="003754FE" w:rsidP="003754FE">
      <w:pPr>
        <w:pStyle w:val="TextoNormal"/>
      </w:pPr>
    </w:p>
    <w:p w14:paraId="4625BB74" w14:textId="77777777" w:rsidR="003754FE" w:rsidRDefault="003754FE" w:rsidP="003754FE">
      <w:pPr>
        <w:pStyle w:val="TextoNormal"/>
      </w:pPr>
      <w:r w:rsidRPr="003754FE">
        <w:rPr>
          <w:rStyle w:val="NumeroAFNegritaCaracter"/>
        </w:rPr>
        <w:t>9</w:t>
      </w:r>
      <w:r>
        <w:t>. El día 25 de septiembre de 2023 presentó su escrito de alegaciones el Ministerio Fiscal solicitando la estimación del recurso al considerar que se ha lesionado el derecho fundamental de la actora a la tutela judicial efectiva sin indefensión (art. 24.1 CE), en su vertiente del derecho a una resolución fundada en derecho, con retroacción de actuaciones al momento anterior a la sentencia de 6 de julio de 2022, con el fin de que se dicte nueva resolución respetuosa con el derecho fundamental vulnerado.</w:t>
      </w:r>
    </w:p>
    <w:p w14:paraId="638808E8" w14:textId="77777777" w:rsidR="003754FE" w:rsidRDefault="003754FE" w:rsidP="003754FE">
      <w:pPr>
        <w:pStyle w:val="TextoNormal"/>
      </w:pPr>
    </w:p>
    <w:p w14:paraId="4E8101F4" w14:textId="77777777" w:rsidR="003754FE" w:rsidRDefault="003754FE" w:rsidP="003754FE">
      <w:pPr>
        <w:pStyle w:val="TextoNormal"/>
      </w:pPr>
      <w:r>
        <w:t>Tras extractar los antecedentes de hecho y las alegaciones de la empresa recurrente para sustentar la vulneración del derecho a la tutela judicial efectiva sin indefensión en su vertiente del derecho a una resolución fundada en derecho, el Ministerio Fiscal recuerda la doctrina constitucional al respecto (por todas, reproduce la STC 46/2020, de 15 de junio, FJ 3) y analiza el contenido de la STC 182/2021, de 26 de octubre, y en concreto, de la cláusula de limitación de efectos del FJ 6 b). Así, afirma que, en el caso de autos, al no haber sido resuelta la impugnación de la obligación tributaria en sentencia firme a la fecha del dictado de la referida STC 182/2021, la declaración de inconstitucionalidad y nulidad de los arts. 107.1, segundo párrafo; 107.2 a) y 107.4 del texto refundido de la Ley reguladora de las haciendas locales (en adelante, TRLHL) le es aplicable, no siendo por tanto exigible el impuesto autoliquidado, al producirse un vacío normativo en cuanto a la determinación de su base imponible. En este sentido, asevera que la sentencia impugnada no contiene referencia alguna a la STC 182/2021 pese a que era aplicable de oficio por el órgano judicial y la entidad recurrente la invocó en el acto de la vista. Con esa omisión la sentencia carece de una verdadera fundamentación jurídica y su argumentación jurídica resulta arbitraria, puesto que para desestimar la impugnación (y confirmar la validez de la desestimación presunta de la solicitud de rectificación de la autoliquidación) se basa en una doctrina constitucional anterior a la STC 182/2021 y aplica preceptos legales que esta había expulsado del ordenamiento jurídico, vulnerando con ello el derecho garantizado por el art. 24.1 CE.</w:t>
      </w:r>
    </w:p>
    <w:p w14:paraId="70A4D910" w14:textId="77777777" w:rsidR="003754FE" w:rsidRDefault="003754FE" w:rsidP="003754FE">
      <w:pPr>
        <w:pStyle w:val="TextoNormal"/>
      </w:pPr>
    </w:p>
    <w:p w14:paraId="6FC3A978" w14:textId="23F759F3" w:rsidR="003754FE" w:rsidRDefault="003754FE" w:rsidP="003754FE">
      <w:pPr>
        <w:pStyle w:val="TextoNormal"/>
      </w:pPr>
      <w:r>
        <w:t>Por último, si bien reconoce que la demanda de amparo no imputa lesión autónoma al auto desestimatorio del incidente de nulidad de actuaciones, el Ministerio Fiscal considera que el órgano judicial incurre en incongruencia omisiva al no dar respuesta a la alegación fundamental formulada en el incidente referido a que la sentencia eludió la aplicación de la STC 182/2021.</w:t>
      </w:r>
    </w:p>
    <w:p w14:paraId="0AF09CFB" w14:textId="77777777" w:rsidR="003754FE" w:rsidRDefault="003754FE" w:rsidP="003754FE">
      <w:pPr>
        <w:pStyle w:val="TextoNormal"/>
      </w:pPr>
    </w:p>
    <w:p w14:paraId="14DEF47D" w14:textId="48561C67" w:rsidR="003754FE" w:rsidRDefault="003754FE" w:rsidP="003754FE">
      <w:pPr>
        <w:pStyle w:val="TextoNormal"/>
      </w:pPr>
      <w:r w:rsidRPr="003754FE">
        <w:rPr>
          <w:rStyle w:val="NumeroAFNegritaCaracter"/>
        </w:rPr>
        <w:t>10</w:t>
      </w:r>
      <w:r>
        <w:t>. Por providencia de 19 de septiembre de 2024 se señaló para deliberación y votación de la presente sentencia el día 23 del mismo mes y año.</w:t>
      </w:r>
    </w:p>
    <w:p w14:paraId="68A68037" w14:textId="77777777" w:rsidR="003754FE" w:rsidRDefault="003754FE" w:rsidP="003754FE">
      <w:pPr>
        <w:pStyle w:val="TextoNormal"/>
      </w:pPr>
    </w:p>
    <w:p w14:paraId="6ECDA407" w14:textId="77777777" w:rsidR="003754FE" w:rsidRDefault="003754FE" w:rsidP="003754FE">
      <w:pPr>
        <w:pStyle w:val="TextoNormalNegritaCentrado"/>
        <w:keepNext/>
      </w:pPr>
      <w:r>
        <w:lastRenderedPageBreak/>
        <w:t>II. Fundamentos jurídicos</w:t>
      </w:r>
    </w:p>
    <w:p w14:paraId="2FDDE6E3" w14:textId="6EEF5646" w:rsidR="003754FE" w:rsidRDefault="003754FE" w:rsidP="003754FE">
      <w:pPr>
        <w:pStyle w:val="TextoNormalNegritaCentrado"/>
        <w:keepNext/>
      </w:pPr>
    </w:p>
    <w:p w14:paraId="4DA061C8" w14:textId="77777777" w:rsidR="003754FE" w:rsidRDefault="003754FE" w:rsidP="003754FE">
      <w:pPr>
        <w:pStyle w:val="TextoNormal"/>
      </w:pPr>
      <w:r w:rsidRPr="003754FE">
        <w:rPr>
          <w:rStyle w:val="NumeroAFNegritaCaracter"/>
        </w:rPr>
        <w:t>1</w:t>
      </w:r>
      <w:r>
        <w:t xml:space="preserve">. </w:t>
      </w:r>
      <w:r w:rsidRPr="003754FE">
        <w:rPr>
          <w:i/>
        </w:rPr>
        <w:t>Objeto del recurso y pretensiones de las partes</w:t>
      </w:r>
    </w:p>
    <w:p w14:paraId="0DD67326" w14:textId="77777777" w:rsidR="003754FE" w:rsidRDefault="003754FE" w:rsidP="003754FE">
      <w:pPr>
        <w:pStyle w:val="TextoNormal"/>
      </w:pPr>
    </w:p>
    <w:p w14:paraId="1D7B8693" w14:textId="77777777" w:rsidR="003754FE" w:rsidRDefault="003754FE" w:rsidP="003754FE">
      <w:pPr>
        <w:pStyle w:val="TextoNormal"/>
      </w:pPr>
      <w:r>
        <w:t>El presente recurso de amparo se interpone contra la sentencia de 6 de julio de 2022 del Juzgado de lo Contencioso-Administrativo núm. 4 de Granada, dictada en el procedimiento abreviado núm. 502-2021, que desestima el recurso contencioso-administrativo interpuesto por Obratunalia, S.L., contra la resolución del Tribunal Económico-Administrativo del Ayuntamiento de Granada, de 11 de junio de 2021, que desestima a su vez la reclamación económico-administrativa interpuesta por dicha sociedad mercantil frente a la desestimación presunta de la solicitud de rectificación de la autoliquidación del IIVTNU; y contra el auto del mismo juzgado, de 1 de septiembre de 2022, que desestima el incidente de nulidad de actuaciones promovido contra la sentencia. En estas resoluciones el órgano judicial, aplicando la STC 59/2017, de 11 de mayo, que declaró inconstitucionales y nulos los preceptos legales reguladores de la base imponible del IIVTNU únicamente en los supuestos de inexistencia de incrementos de valor del terreno urbano al momento de la transmisión, confirma la validez de la desestimación administrativa presunta de la solicitud de rectificación de la autoliquidación (y la consiguiente no devolución del impuesto) por considerar acreditada la plusvalía del suelo urbano transmitido, al no haberse desvirtuado las valoraciones efectuadas por la administración municipal.</w:t>
      </w:r>
    </w:p>
    <w:p w14:paraId="70FBE9C7" w14:textId="77777777" w:rsidR="003754FE" w:rsidRDefault="003754FE" w:rsidP="003754FE">
      <w:pPr>
        <w:pStyle w:val="TextoNormal"/>
      </w:pPr>
    </w:p>
    <w:p w14:paraId="01F842BE" w14:textId="77777777" w:rsidR="003754FE" w:rsidRDefault="003754FE" w:rsidP="003754FE">
      <w:pPr>
        <w:pStyle w:val="TextoNormal"/>
      </w:pPr>
      <w:r>
        <w:t xml:space="preserve">La entidad contribuyente recurrente en amparo entiende que la sentencia impugnada vulneró su derecho a la tutela judicial efectiva produciendo indefensión (art. 24.1 CE), al no haber tenido en consideración la STC 182/2021, de 26 de octubre, que declaró la inconstitucionalidad y nulidad total de los preceptos reguladores de la base imponible del IIVTNU, dictada estando </w:t>
      </w:r>
      <w:r w:rsidRPr="003754FE">
        <w:rPr>
          <w:i/>
        </w:rPr>
        <w:t>sub iudice</w:t>
      </w:r>
      <w:r>
        <w:t xml:space="preserve"> el recurso contencioso-administrativo cuya resolución judicial es objeto de este amparo y, por tanto, aplicable a la obligación tributaria impugnada en el proceso </w:t>
      </w:r>
      <w:r w:rsidRPr="003754FE">
        <w:rPr>
          <w:i/>
        </w:rPr>
        <w:t>a quo</w:t>
      </w:r>
      <w:r>
        <w:t xml:space="preserve"> de acuerdo con la cláusula de limitación de efectos de dicha STC 182/2021, [FJ 6 b)]. Y ello pese a que la empresa demandante así se lo puso expresamente de manifiesto en el acto de la vista oral y lo reiteró en el escrito de promoción del incidente de nulidad de actuaciones. Por consiguiente, a su juicio, se ha infringido el derecho a obtener una resolución fundada en derecho, en tanto que la sentencia impugnada aplica preceptos anulados y expulsados del ordenamiento jurídico por la citada STC 182/2021, realizando una selección arbitraria e irrazonable de la norma aplicable, sin respeto al sistema de fuentes y, por tanto, careciendo de fundamentación jurídica (motivación). Asimismo, denuncia una violación del derecho a la inmutabilidad de las sentencias, al no haberse respetado lo dispuesto en la STC 182/2021.</w:t>
      </w:r>
    </w:p>
    <w:p w14:paraId="2811F060" w14:textId="77777777" w:rsidR="003754FE" w:rsidRDefault="003754FE" w:rsidP="003754FE">
      <w:pPr>
        <w:pStyle w:val="TextoNormal"/>
      </w:pPr>
    </w:p>
    <w:p w14:paraId="1866149E" w14:textId="3FDC20F3" w:rsidR="003754FE" w:rsidRDefault="003754FE" w:rsidP="003754FE">
      <w:pPr>
        <w:pStyle w:val="TextoNormal"/>
      </w:pPr>
      <w:r>
        <w:t>Por su parte, y en los términos sintetizados en los antecedentes, la representación del Ayuntamiento de Granada solicita la desestimación del recurso por carecer de especial trascendencia constitucional y por la inexistencia de las lesiones invocadas, mientras el Ministerio Fiscal interesa el otorgamiento del amparo.</w:t>
      </w:r>
    </w:p>
    <w:p w14:paraId="54C05658" w14:textId="77777777" w:rsidR="003754FE" w:rsidRDefault="003754FE" w:rsidP="003754FE">
      <w:pPr>
        <w:pStyle w:val="TextoNormal"/>
      </w:pPr>
    </w:p>
    <w:p w14:paraId="74D7AC3A" w14:textId="77777777" w:rsidR="003754FE" w:rsidRDefault="003754FE" w:rsidP="003754FE">
      <w:pPr>
        <w:pStyle w:val="TextoNormal"/>
      </w:pPr>
      <w:r w:rsidRPr="003754FE">
        <w:rPr>
          <w:rStyle w:val="NumeroAFNegritaCaracter"/>
        </w:rPr>
        <w:t>2</w:t>
      </w:r>
      <w:r>
        <w:t xml:space="preserve">. </w:t>
      </w:r>
      <w:r w:rsidRPr="003754FE">
        <w:rPr>
          <w:i/>
        </w:rPr>
        <w:t>Consideraciones previas: Delimitación del objeto y especial trascendencia constitucional</w:t>
      </w:r>
    </w:p>
    <w:p w14:paraId="71C513E3" w14:textId="77777777" w:rsidR="003754FE" w:rsidRDefault="003754FE" w:rsidP="003754FE">
      <w:pPr>
        <w:pStyle w:val="TextoNormal"/>
      </w:pPr>
    </w:p>
    <w:p w14:paraId="72965352" w14:textId="77777777" w:rsidR="003754FE" w:rsidRDefault="003754FE" w:rsidP="003754FE">
      <w:pPr>
        <w:pStyle w:val="TextoNormal"/>
      </w:pPr>
      <w:r>
        <w:lastRenderedPageBreak/>
        <w:t>Antes de abordar el examen de la lesión constitucional denunciada es preciso realizar unas consideraciones previas.</w:t>
      </w:r>
    </w:p>
    <w:p w14:paraId="12A0C7F4" w14:textId="77777777" w:rsidR="003754FE" w:rsidRDefault="003754FE" w:rsidP="003754FE">
      <w:pPr>
        <w:pStyle w:val="TextoNormal"/>
      </w:pPr>
    </w:p>
    <w:p w14:paraId="383B2C8C" w14:textId="77777777" w:rsidR="003754FE" w:rsidRDefault="003754FE" w:rsidP="003754FE">
      <w:pPr>
        <w:pStyle w:val="TextoNormal"/>
      </w:pPr>
      <w:r>
        <w:t xml:space="preserve">a) Por lo que respecta a los términos en que ha de desenvolverse el debate de la cuestión planteada, debe recordarse que este tribunal ha declarado que “el objeto procesal queda fijado en la demanda de amparo, definiendo y delimitando la pretensión (SSTC 235/1994, de 20 de julio, FJ 1; 26/1995, de 6 de febrero, FJ 3; 124/1999, de 28 de junio, FJ 1, y 205/1999, de 8 de noviembre, FJ 4), pues en ella ha de individualizarse el acto o la disposición cuya nulidad se pretenda, con indicación de la razón para pedirla o </w:t>
      </w:r>
      <w:r w:rsidRPr="003754FE">
        <w:rPr>
          <w:i/>
        </w:rPr>
        <w:t>causa petendi</w:t>
      </w:r>
      <w:r>
        <w:t xml:space="preserve"> (STC 185/1996, de 25 de noviembre, FJ 1), sin que sean viables las alteraciones introducidas con posteriores alegaciones (SSTC 109/1997, de 2 de junio, FJ 1, y 39/1999, de 22 de marzo, FJ 2), cuya razón de ser es completar y, en su caso, reforzar la fundamentación del recurso, mas no ampliarlo o variarlo sustancialmente (STC 85/1999, de 10 de mayo, FJ 2)” [por todas, SSTC 13/2005, de 31 de enero, FJ 3, y 52/2021, de 15 de marzo, FJ 2 c)].</w:t>
      </w:r>
    </w:p>
    <w:p w14:paraId="24E11FF4" w14:textId="77777777" w:rsidR="003754FE" w:rsidRDefault="003754FE" w:rsidP="003754FE">
      <w:pPr>
        <w:pStyle w:val="TextoNormal"/>
      </w:pPr>
    </w:p>
    <w:p w14:paraId="2B54C1BB" w14:textId="77777777" w:rsidR="003754FE" w:rsidRDefault="003754FE" w:rsidP="003754FE">
      <w:pPr>
        <w:pStyle w:val="TextoNormal"/>
      </w:pPr>
      <w:r>
        <w:t>Pues bien, en el trámite de alegaciones del art. 52.1 LOTC, la entidad solicitante de amparo añade a su queja inicial del escrito de demanda la invocación de un tratamiento desigual y discriminatorio contrario al art. 14 CE por parte de la sentencia impugnada, por cuanto que, bajo las mismas circunstancias y supuestos de hecho, la doctrina constitucional establecida en la STC 182/2021 habría sido aplicada por todos los órganos judiciales a los demás contribuyentes.</w:t>
      </w:r>
    </w:p>
    <w:p w14:paraId="202914FC" w14:textId="77777777" w:rsidR="003754FE" w:rsidRDefault="003754FE" w:rsidP="003754FE">
      <w:pPr>
        <w:pStyle w:val="TextoNormal"/>
      </w:pPr>
    </w:p>
    <w:p w14:paraId="582D821E" w14:textId="77777777" w:rsidR="003754FE" w:rsidRDefault="003754FE" w:rsidP="003754FE">
      <w:pPr>
        <w:pStyle w:val="TextoNormal"/>
      </w:pPr>
      <w:r>
        <w:t>No se trata en este caso de que la recurrente haya podido incurrir en un erróneo encuadramiento de su queja o en una cita equivocada del derecho o de los derechos constitucionales supuestamente concernidos, circunstancias que, de acuerdo con la doctrina de este tribunal, en modo alguno constituyen obstáculos para su enjuiciamiento bajo el marco constitucional adecuado (por todas, SSTC 163/2008, de 15 de diciembre, FJ 2, con cita en la 42/2008, de 10 de marzo, FJ 2). Lo que aquí acontece es que la demandante amplía extemporáneamente —en concreto, en el trámite de alegaciones del art. 52.1 LOTC— los derechos fundamentales supuestamente menoscabados. Es conocida la doctrina constitucional que advierte que en dicho trámite no cabe invocar como infringidos derechos distintos a los que llevaron a la interposición del recurso (por todas, STC 82/2023, de 3 de julio, FJ 2) en virtud de la indefensión que podría generar en otros comparecientes en el proceso de amparo. Por estas razones, la pretendida violación del art. 14 CE no será objeto de enjuiciamiento.</w:t>
      </w:r>
    </w:p>
    <w:p w14:paraId="581B38BC" w14:textId="77777777" w:rsidR="003754FE" w:rsidRDefault="003754FE" w:rsidP="003754FE">
      <w:pPr>
        <w:pStyle w:val="TextoNormal"/>
      </w:pPr>
    </w:p>
    <w:p w14:paraId="30324680" w14:textId="77777777" w:rsidR="003754FE" w:rsidRDefault="003754FE" w:rsidP="003754FE">
      <w:pPr>
        <w:pStyle w:val="TextoNormal"/>
      </w:pPr>
      <w:r>
        <w:t>b) Como como bien apunta el Ministerio fiscal, no correspondiendo a este tribunal reconstruir de oficio la demanda de amparo (por todas, SSTC 106/2008, de 15 de septiembre, FJ 5; 163/2008, de 15 de diciembre, FJ 2, y 143/2003, de 14 de julio, FJ 2) y siendo que la empresa contribuyente se limita a imputar la vulneración del derecho a la tutela judicial efectiva exclusivamente a la sentencia impugnada, queda extramuros de este amparo la eventual lesión que de este derecho fundamental pudiera atribuirse de forma autónoma e independiente al auto desestimatorio del incidente de nulidad de actuaciones.</w:t>
      </w:r>
    </w:p>
    <w:p w14:paraId="618A6D86" w14:textId="77777777" w:rsidR="003754FE" w:rsidRDefault="003754FE" w:rsidP="003754FE">
      <w:pPr>
        <w:pStyle w:val="TextoNormal"/>
      </w:pPr>
    </w:p>
    <w:p w14:paraId="3CEAE836" w14:textId="77777777" w:rsidR="003754FE" w:rsidRDefault="003754FE" w:rsidP="003754FE">
      <w:pPr>
        <w:pStyle w:val="TextoNormal"/>
      </w:pPr>
      <w:r>
        <w:t xml:space="preserve">c) En cuanto a la ausencia de especial trascendencia constitucional del presente recurso de amparo alegada por el Ayuntamiento de Granada, y abstracción hecha de que esta afirmación se vierte sin soporte argumental (incumpliendo la carga alegatoria que le es exigible a toda parte en un proceso constitucional), conviene insistir en que “la especial </w:t>
      </w:r>
      <w:r>
        <w:lastRenderedPageBreak/>
        <w:t>trascendencia constitucional del recurso de amparo constituye un requisito sustantivo que es objeto de valoración por este tribunal en el trámite de admisión del recurso. En consecuencia, corresponde únicamente al Tribunal Constitucional apreciar en cada caso, al decidir sobre la admisión a trámite de la demanda de amparo, si concurre o no ese requisito material, esto es, si el contenido del recurso justifica una decisión sobre el fondo, atendiendo a los criterios establecidos en el art. 50.1 b) LOTC” (por todas, SSTC 21/2024, de 12 de febrero, FJ 2, y 81/2024, de 3 de junio, FJ 2).</w:t>
      </w:r>
    </w:p>
    <w:p w14:paraId="684C02C2" w14:textId="77777777" w:rsidR="003754FE" w:rsidRDefault="003754FE" w:rsidP="003754FE">
      <w:pPr>
        <w:pStyle w:val="TextoNormal"/>
      </w:pPr>
    </w:p>
    <w:p w14:paraId="21612957" w14:textId="77777777" w:rsidR="003754FE" w:rsidRDefault="003754FE" w:rsidP="003754FE">
      <w:pPr>
        <w:pStyle w:val="TextoNormal"/>
      </w:pPr>
      <w:r>
        <w:t>En el presente supuesto, el tribunal acordó la admisión a trámite del recurso de amparo apreciando que concurría la causa de especial trascendencia constitucional prevista en el fundamento jurídico 2 f) de la STC 155/2009, de 25 de junio, esto es, que el órgano judicial podría haber incurrido en una negativa manifiesta del deber de acatamiento de la doctrina constitucional contenida en la STC 182/2021, de 26 de octubre. No se advierten razones para revisar ahora esa consideración.</w:t>
      </w:r>
    </w:p>
    <w:p w14:paraId="5207D79F" w14:textId="77777777" w:rsidR="003754FE" w:rsidRDefault="003754FE" w:rsidP="003754FE">
      <w:pPr>
        <w:pStyle w:val="TextoNormal"/>
      </w:pPr>
    </w:p>
    <w:p w14:paraId="0675967F" w14:textId="6BD14B69" w:rsidR="003754FE" w:rsidRDefault="003754FE" w:rsidP="003754FE">
      <w:pPr>
        <w:pStyle w:val="TextoNormal"/>
      </w:pPr>
      <w:r>
        <w:t>d) En fin, carece de sustantividad la pretendida lesión del derecho a la tutela judicial efectiva, en la vertiente de intangibilidad de las sentencias firmes, por referencia a la STC 182/2021. El derecho a la intangibilidad de las resoluciones judiciales firmes solo podría haber sido vulnerado por el Juzgado de lo Contencioso-Administrativo núm. 4 de Granada en el caso de haber variado, fuera de los cauces procesales oportunos, una resolución judicial firme del propio juzgado, lo que obviamente no ha sucedido en el presente caso.</w:t>
      </w:r>
    </w:p>
    <w:p w14:paraId="59A6B12F" w14:textId="77777777" w:rsidR="003754FE" w:rsidRDefault="003754FE" w:rsidP="003754FE">
      <w:pPr>
        <w:pStyle w:val="TextoNormal"/>
      </w:pPr>
    </w:p>
    <w:p w14:paraId="7422A50F" w14:textId="77777777" w:rsidR="003754FE" w:rsidRDefault="003754FE" w:rsidP="003754FE">
      <w:pPr>
        <w:pStyle w:val="TextoNormal"/>
      </w:pPr>
      <w:r w:rsidRPr="003754FE">
        <w:rPr>
          <w:rStyle w:val="NumeroAFNegritaCaracter"/>
        </w:rPr>
        <w:t>3</w:t>
      </w:r>
      <w:r>
        <w:t xml:space="preserve">. </w:t>
      </w:r>
      <w:r w:rsidRPr="003754FE">
        <w:rPr>
          <w:i/>
        </w:rPr>
        <w:t xml:space="preserve">Doctrina constitucional sobre el derecho a la tutela judicial efectiva en su vertiente de derecho a obtener una resolución fundada en derecho (art. 24.1 CE) </w:t>
      </w:r>
    </w:p>
    <w:p w14:paraId="0CE0F887" w14:textId="77777777" w:rsidR="003754FE" w:rsidRDefault="003754FE" w:rsidP="003754FE">
      <w:pPr>
        <w:pStyle w:val="TextoNormal"/>
      </w:pPr>
    </w:p>
    <w:p w14:paraId="35DBFCDE" w14:textId="77777777" w:rsidR="003754FE" w:rsidRDefault="003754FE" w:rsidP="003754FE">
      <w:pPr>
        <w:pStyle w:val="TextoNormal"/>
      </w:pPr>
      <w:r>
        <w:t>La queja de fondo de la entidad recurrente se centra en la lesión de su derecho a la tutela judicial efectiva (art. 24.1 CE), en la vertiente del derecho a obtener una resolución fundada en Derecho sobre la pretensión deducida, toda vez que la sentencia impugnada ha aplicado una norma declarada inconstitucional por este tribunal.</w:t>
      </w:r>
    </w:p>
    <w:p w14:paraId="066D5960" w14:textId="77777777" w:rsidR="003754FE" w:rsidRDefault="003754FE" w:rsidP="003754FE">
      <w:pPr>
        <w:pStyle w:val="TextoNormal"/>
      </w:pPr>
    </w:p>
    <w:p w14:paraId="11889C41" w14:textId="77777777" w:rsidR="003754FE" w:rsidRDefault="003754FE" w:rsidP="003754FE">
      <w:pPr>
        <w:pStyle w:val="TextoNormal"/>
      </w:pPr>
      <w:r>
        <w:t>a) El derecho a la tutela judicial efectiva que reconoce el art. 24.1 CE conlleva el derecho a obtener una resolución fundada en Derecho, favorable o adversa, que es garantía frente a la arbitrariedad e irrazonabilidad de los poderes públicos. Ello implica que la motivación debe contener una fundamentación en Derecho, lo que no incluye un pretendido derecho al acierto judicial en la selección, interpretación y aplicación de las disposiciones legales, salvo que con ellas se afecte al contenido de otros derechos fundamentales distintos al de la tutela judicial efectiva. Pero la fundamentación en Derecho sí conlleva la garantía de que la decisión no sea consecuencia de una aplicación arbitraria de la legalidad, no resulte manifiestamente irrazonada o irrazonable ni incurra en un error patente, ya que, en tal caso, la aplicación de la legalidad sería tan sólo una mera apariencia (SSTC 147/1999, de 4 de agosto, FJ 3; 25/2000, de 31 de enero, FJ 2; 87/2000 ,de 27 de marzo, FJ 3; 82/2001, de 26 de marzo, FJ 2; 221/2001, de 31 de octubre, FJ 6; 55/2003, de 24 de marzo, FJ 6; 223/2005, de 12 de septiembre, FJ 3; 276/2006, de 25 de septiembre, FJ 2; 61/2008, de 26 de mayo, FJ 4; 89/2008, de 21 de julio; 105/2008, de 15 de septiembre, FJ 3, y 82/2009, de 23 de marzo, FJ 6, entre otras muchas).</w:t>
      </w:r>
    </w:p>
    <w:p w14:paraId="4CF84FAB" w14:textId="77777777" w:rsidR="003754FE" w:rsidRDefault="003754FE" w:rsidP="003754FE">
      <w:pPr>
        <w:pStyle w:val="TextoNormal"/>
      </w:pPr>
    </w:p>
    <w:p w14:paraId="52EA4F0A" w14:textId="77777777" w:rsidR="003754FE" w:rsidRDefault="003754FE" w:rsidP="003754FE">
      <w:pPr>
        <w:pStyle w:val="TextoNormal"/>
      </w:pPr>
      <w:r>
        <w:t xml:space="preserve">b) Con carácter general, “este tribunal ha declarado que la selección de las normas aplicables, así como el análisis de su vigencia y derogación, corresponde en exclusiva a la </w:t>
      </w:r>
      <w:r>
        <w:lastRenderedPageBreak/>
        <w:t>jurisdicción ordinaria de acuerdo con el art. 117.3 CE, de suerte que el control por parte de este Tribunal de la selección de la norma aplicable sólo podrá producirse, en términos generales, si se ha tratado de una decisión arbitraria, manifiestamente irrazonable o si ha sido fruto de un error patente. Tal acontece cuando se aplica una norma derogada que resulta decisiva para el fallo, lo que convierte en irrazonable la elección de la norma aplicable, de tal manera que no puede afirmarse que estemos ante una decisión fundada capaz de satisfacer el derecho a la tutela judicial efectiva consagrado en el art. 24.1 CE (STC 203/1994, de 11 de julio, FJ 3). Y es que, como recuerda la STC 99/2000, de 10 de abril, FJ 6, ‘el derecho de tutela judicial efectiva exige que las resoluciones judiciales al decidir los litigios sean fundadas en Derecho, y ese fundamento desaparece cuando con total evidencia se omite la consideración de la norma aplicable, y se decide mediante la aplicación de normas que han perdido su vigencia’”.</w:t>
      </w:r>
    </w:p>
    <w:p w14:paraId="18DEC3BC" w14:textId="77777777" w:rsidR="003754FE" w:rsidRDefault="003754FE" w:rsidP="003754FE">
      <w:pPr>
        <w:pStyle w:val="TextoNormal"/>
      </w:pPr>
    </w:p>
    <w:p w14:paraId="69B2C576" w14:textId="2C5BCC86" w:rsidR="003754FE" w:rsidRDefault="003754FE" w:rsidP="003754FE">
      <w:pPr>
        <w:pStyle w:val="TextoNormal"/>
      </w:pPr>
      <w:r>
        <w:t>Esta doctrina constitucional sobre la irrazonabilidad de la selección de la norma aplicable al caso con la consiguiente vulneración del derecho a una resolución fundada en derecho se ha proyectado, entre otros, en supuestos en los que los órganos judiciales han aplicado (i) normas expresamente derogadas (SSTC 203/1994, FJ 3; 99/2000, FJ 6; 144/2003, de 14 de julio, FJ 2; 290/2006, de 9 de octubre, FJ 3; 308/2006, de 23 de octubre, FJ 7; 43/2008, de 10 de marzo, FJ 4, y 82/2009, de 23 de marzo, FJ 6), (ii) normas declaradas contrarias al Derecho de la Unión Europea por el Tribunal de Justicia de la Unión Europea (STC 145/2012, de 2 de julio), o (iii) normas declaradas inconstitucionales por este tribunal (STC 119/2012, de 4 de junio, FJ 5), cualquiera que sean los motivos en los que la decisión judicial se fundamente.</w:t>
      </w:r>
    </w:p>
    <w:p w14:paraId="23F58634" w14:textId="77777777" w:rsidR="003754FE" w:rsidRDefault="003754FE" w:rsidP="003754FE">
      <w:pPr>
        <w:pStyle w:val="TextoNormal"/>
      </w:pPr>
    </w:p>
    <w:p w14:paraId="44463068" w14:textId="77777777" w:rsidR="003754FE" w:rsidRDefault="003754FE" w:rsidP="003754FE">
      <w:pPr>
        <w:pStyle w:val="TextoNormal"/>
      </w:pPr>
      <w:r w:rsidRPr="003754FE">
        <w:rPr>
          <w:rStyle w:val="NumeroAFNegritaCaracter"/>
        </w:rPr>
        <w:t>4</w:t>
      </w:r>
      <w:r>
        <w:t xml:space="preserve">. </w:t>
      </w:r>
      <w:r w:rsidRPr="003754FE">
        <w:rPr>
          <w:i/>
        </w:rPr>
        <w:t>Aplicación de la doctrina constitucional expuesta al caso concreto</w:t>
      </w:r>
    </w:p>
    <w:p w14:paraId="67BE3C9B" w14:textId="77777777" w:rsidR="003754FE" w:rsidRDefault="003754FE" w:rsidP="003754FE">
      <w:pPr>
        <w:pStyle w:val="TextoNormal"/>
      </w:pPr>
    </w:p>
    <w:p w14:paraId="1943F9CE" w14:textId="77777777" w:rsidR="003754FE" w:rsidRDefault="003754FE" w:rsidP="003754FE">
      <w:pPr>
        <w:pStyle w:val="TextoNormal"/>
      </w:pPr>
      <w:r>
        <w:t>a) Debe precisarse que la STC 182/2021, de 26 de octubre, estima una cuestión de inconstitucionalidad contra los arts. 107.1, segundo párrafo; 107.2 a) y 107.4 TRLHL, tras las SSTC 59/2017, de 11 de mayo, y 126/2019, de 31 de octubre, que ya habían declarado la inconstitucionalidad y nulidad parcial de los citados preceptos en los supuestos “que no presentan un aumento de valor del terreno al momento de la transmisión”, y “en aquellos supuestos en los que la cuota a pagar es superior al incremento patrimonial obtenido por el contribuyente”, respectivamente.</w:t>
      </w:r>
    </w:p>
    <w:p w14:paraId="3D077298" w14:textId="77777777" w:rsidR="003754FE" w:rsidRDefault="003754FE" w:rsidP="003754FE">
      <w:pPr>
        <w:pStyle w:val="TextoNormal"/>
      </w:pPr>
    </w:p>
    <w:p w14:paraId="38580082" w14:textId="77777777" w:rsidR="003754FE" w:rsidRDefault="003754FE" w:rsidP="003754FE">
      <w:pPr>
        <w:pStyle w:val="TextoNormal"/>
      </w:pPr>
      <w:r>
        <w:t xml:space="preserve">La declaración de inconstitucionalidad y nulidad total de estos preceptos legales reguladores de la base imponible del IIVTNU en la STC 182/2021 supone, según dicho pronunciamiento, “su expulsión del ordenamiento jurídico, dejando un vacío normativo sobre la determinación de la base imponible que impide la liquidación, comprobación, recaudación y revisión de este tributo local y, por tanto, su exigibilidad” [FJ 6 a)]. No obstante, de acuerdo con la cláusula de limitación de efectos contenida en su fundamento jurídico 6 b), “no pueden considerarse situaciones susceptibles de ser revisadas con fundamento en la presente sentencia aquellas obligaciones tributarias devengadas por este impuesto que, a la fecha de dictarse la misma, hayan sido decididas definitivamente mediante sentencia con fuerza de cosa juzgada o mediante resolución administrativa firme. A estos exclusivos efectos, tendrán también la consideración de situaciones consolidadas (i) las liquidaciones provisionales o definitivas que no hayan sido impugnadas a la fecha de dictarse esta sentencia y (ii) las autoliquidaciones cuya rectificación no haya sido solicitada </w:t>
      </w:r>
      <w:r w:rsidRPr="003754FE">
        <w:rPr>
          <w:i/>
        </w:rPr>
        <w:t>ex</w:t>
      </w:r>
      <w:r>
        <w:t xml:space="preserve"> art. 120.3 LGT [Ley general tributaria] a dicha fecha”.</w:t>
      </w:r>
    </w:p>
    <w:p w14:paraId="783676D4" w14:textId="77777777" w:rsidR="003754FE" w:rsidRDefault="003754FE" w:rsidP="003754FE">
      <w:pPr>
        <w:pStyle w:val="TextoNormal"/>
      </w:pPr>
    </w:p>
    <w:p w14:paraId="4733F061" w14:textId="77777777" w:rsidR="003754FE" w:rsidRDefault="003754FE" w:rsidP="003754FE">
      <w:pPr>
        <w:pStyle w:val="TextoNormal"/>
      </w:pPr>
      <w:r>
        <w:t xml:space="preserve">b) El objeto del proceso </w:t>
      </w:r>
      <w:r w:rsidRPr="003754FE">
        <w:rPr>
          <w:i/>
        </w:rPr>
        <w:t>a quo</w:t>
      </w:r>
      <w:r>
        <w:t>, como se ha expuesto en los antecedentes, era una resolución desestimatoria de una reclamación económico-administrativa que confirmaba la denegación administrativa presunta de la solicitud de rectificación de la autoliquidación del IIVTNU de la entidad contribuyente (y, por ende, la validez de la propia autoliquidación) que, a la fecha del dictado de la STC 182/2021, de 26 de octubre, no había adquirido firmeza al estar sustanciándose el recurso contencioso-administrativo interpuesto contra ella. A través de este recurso se denunciaba, precisamente, la inexigibilidad de la obligación tributaria autoliquidada, al considerar que los terrenos gravados no habían experimentado incremento de valor, por lo que los preceptos que resultaban de aplicación, los arts. 107.1, segundo párrafo; 107.2 a) y 107.4 TRLHL, ya habían sido declarados inconstitucionales en la STC 59/2017, de 11 de mayo, en tales supuestos. El órgano judicial dictó sentencia, desestimando el recurso contencioso-administrativo interpuesto y confirmando la resolución administrativa impugnada, apreciando que la entidad contribuyente no había conseguido acreditar la minusvalía alegada, por lo que, de acuerdo con lo establecido en la STC 59/2017, la autoliquidación efectuada y las resoluciones que desestimaron su solicitud de rectificación eran correctas.</w:t>
      </w:r>
    </w:p>
    <w:p w14:paraId="5395647B" w14:textId="77777777" w:rsidR="003754FE" w:rsidRDefault="003754FE" w:rsidP="003754FE">
      <w:pPr>
        <w:pStyle w:val="TextoNormal"/>
      </w:pPr>
    </w:p>
    <w:p w14:paraId="36D9D638" w14:textId="77777777" w:rsidR="003754FE" w:rsidRDefault="003754FE" w:rsidP="003754FE">
      <w:pPr>
        <w:pStyle w:val="TextoNormal"/>
      </w:pPr>
      <w:r>
        <w:t xml:space="preserve">Tal conclusión no es acorde con las exigencias que se derivan del art. 24.1 CE. La sentencia no toma en consideración que, mientras se estaba tramitando el proceso contencioso-administrativo, el Tribunal Constitucional dictó una nueva sentencia en materia del IIVTNU, la 182/2021, que conllevó la expulsión del ordenamiento jurídico de los preceptos en los que el órgano judicial fundamentó la conformidad a Derecho de la resolución administrativa impugnada en el proceso </w:t>
      </w:r>
      <w:r w:rsidRPr="003754FE">
        <w:rPr>
          <w:i/>
        </w:rPr>
        <w:t>a quo</w:t>
      </w:r>
      <w:r>
        <w:t xml:space="preserve"> y, con ella, la validez de la autoliquidación. Como se ha indicado, el art. 24.1 CE no permite considerar una resolución fundada en Derecho aquella que aplica leyes declaradas inconstitucionales y nulas.</w:t>
      </w:r>
    </w:p>
    <w:p w14:paraId="237A119D" w14:textId="77777777" w:rsidR="003754FE" w:rsidRDefault="003754FE" w:rsidP="003754FE">
      <w:pPr>
        <w:pStyle w:val="TextoNormal"/>
      </w:pPr>
    </w:p>
    <w:p w14:paraId="658E5A14" w14:textId="77777777" w:rsidR="003754FE" w:rsidRDefault="003754FE" w:rsidP="003754FE">
      <w:pPr>
        <w:pStyle w:val="TextoNormal"/>
      </w:pPr>
      <w:r>
        <w:t xml:space="preserve">En este asunto concurre esta circunstancia con toda evidencia, pues la nulidad declarada en la STC 182/2021 incide sobre la resolución administrativa confirmada en la sentencia ahora impugnada, dado que las limitaciones de efectos de la nulidad declarada en el fundamento jurídico 6 b) de la referida sentencia constitucional no afectan al presente caso. Ha de insistirse en que la resolución administrativa que aplicaba los arts. 107.1, segundo párrafo; 107.2 a) y 107.4 TRLHL se encontraba </w:t>
      </w:r>
      <w:r w:rsidRPr="003754FE">
        <w:rPr>
          <w:i/>
        </w:rPr>
        <w:t>sub iudice</w:t>
      </w:r>
      <w:r>
        <w:t>, al ser el objeto de un recurso contencioso que al tiempo de dictarse la STC 182/2021 no se había resuelto.</w:t>
      </w:r>
    </w:p>
    <w:p w14:paraId="4994EA8F" w14:textId="77777777" w:rsidR="003754FE" w:rsidRDefault="003754FE" w:rsidP="003754FE">
      <w:pPr>
        <w:pStyle w:val="TextoNormal"/>
      </w:pPr>
    </w:p>
    <w:p w14:paraId="34161D49" w14:textId="77777777" w:rsidR="003754FE" w:rsidRDefault="003754FE" w:rsidP="003754FE">
      <w:pPr>
        <w:pStyle w:val="TextoNormal"/>
      </w:pPr>
      <w:r>
        <w:t>En consecuencia, el juzgado que ha dictado la sentencia ahora impugnada debió resolver la cuestión planteada partiendo de la premisa de que los preceptos aplicados por la resolución administrativa impugnada habían sido declarados inconstitucionales y nulos por el Tribunal Constitucional. La anulación de dichos preceptos, reguladores del sistema objetivo e imperativo de estimación de la base imponible del IIVTNU, determinaba que la resolución administrativa impugnada carezca de norma que le sirva de fundamento, resultando ya irrelevante la existencia o no de incremento de valor del suelo urbano transmitido, puesto que la obligación tributaria autoliquidada era ya inexigible.</w:t>
      </w:r>
    </w:p>
    <w:p w14:paraId="54DD14F9" w14:textId="77777777" w:rsidR="003754FE" w:rsidRDefault="003754FE" w:rsidP="003754FE">
      <w:pPr>
        <w:pStyle w:val="TextoNormal"/>
      </w:pPr>
    </w:p>
    <w:p w14:paraId="04C5C92F" w14:textId="77777777" w:rsidR="003754FE" w:rsidRDefault="003754FE" w:rsidP="003754FE">
      <w:pPr>
        <w:pStyle w:val="TextoNormal"/>
      </w:pPr>
      <w:r>
        <w:t xml:space="preserve">Como afirmó el tribunal en la STC 119/2012 , “[a]sí las cosas, no es posible sostener la razonabilidad de una decisión judicial que se funde en la aplicación de un precepto que ya ha sido declarado contrario a la Constitución, toda vez que a partir de ese instante la norma en cuestión queda despojada de validez y sin posibilidad de ser revivida, debiendo estarse a </w:t>
      </w:r>
      <w:r>
        <w:lastRenderedPageBreak/>
        <w:t xml:space="preserve">la autoridad de cosa juzgada </w:t>
      </w:r>
      <w:r w:rsidRPr="003754FE">
        <w:rPr>
          <w:i/>
        </w:rPr>
        <w:t>erga omnes</w:t>
      </w:r>
      <w:r>
        <w:t xml:space="preserve"> que tales sentencias recaídas en procesos de constitucionalidad tienen atribuida por el art. 164.1 CE, en relación con el art. 40.2 LOTC. Además, hemos precisado que ‘las sentencias de este tribunal, de las que deriva una doctrina —la doctrina constitucional—, como señala el art. 40.2 LOTC, tienen el valor de cosa juzgada (art. 164.1 CE), de suerte que todos los poderes públicos, tal como prescribe el art. 87.1 LOTC, están obligados a dar cumplimiento a lo que el Tribunal Constitucional resuelva cualquiera que sea el procedimiento en que lo haya sido’ (STC 230/2003, de 18 de diciembre, FJ 6; en el mismo sentido, STC 158/2004, de 21 de septiembre, FJ 4)” (FJ 5).</w:t>
      </w:r>
    </w:p>
    <w:p w14:paraId="1B1ACAEF" w14:textId="77777777" w:rsidR="003754FE" w:rsidRDefault="003754FE" w:rsidP="003754FE">
      <w:pPr>
        <w:pStyle w:val="TextoNormal"/>
      </w:pPr>
    </w:p>
    <w:p w14:paraId="13D7735E" w14:textId="77777777" w:rsidR="003754FE" w:rsidRDefault="003754FE" w:rsidP="003754FE">
      <w:pPr>
        <w:pStyle w:val="TextoNormal"/>
      </w:pPr>
      <w:r>
        <w:t>A mayor abundamiento, debe señalarse que, aunque corresponde al órgano judicial asegurarse de la vigencia de la norma aplicada —</w:t>
      </w:r>
      <w:r w:rsidRPr="003754FE">
        <w:rPr>
          <w:i/>
        </w:rPr>
        <w:t>iuris novit curia</w:t>
      </w:r>
      <w:r>
        <w:t>—, la entidad recurrente actúo con la diligencia debida, al alegar en el acto de la vista oral que los artículos aplicados por la resolución administrativa impugnada habían sido declarados inconstitucionales y nulos por la STC 182/2021. A pesar de ello, el órgano judicial no efectúo consideración alguna sobre tal alegato, y tampoco reparó la vulneración alegada al resolver el incidente de nulidad de actuaciones promovido por la sociedad recurrente.</w:t>
      </w:r>
    </w:p>
    <w:p w14:paraId="5EA0BD7A" w14:textId="77777777" w:rsidR="003754FE" w:rsidRDefault="003754FE" w:rsidP="003754FE">
      <w:pPr>
        <w:pStyle w:val="TextoNormal"/>
      </w:pPr>
    </w:p>
    <w:p w14:paraId="5B42F358" w14:textId="77777777" w:rsidR="003754FE" w:rsidRDefault="003754FE" w:rsidP="003754FE">
      <w:pPr>
        <w:pStyle w:val="TextoNormal"/>
      </w:pPr>
      <w:r>
        <w:t>c) La consecuencia que deriva de todo lo expuesto es que la labor de selección de la normativa aplicable hecha por el órgano jurisdiccional, aplicando normas declaradas inconstitucionales y desconociendo con ello la autoridad de cosa juzgada de las sentencias de este tribunal (arts. 164 CE y 40 LOTC), implica la vulneración del derecho a la tutela judicial efectiva (art. 24.1 CE) de la sociedad recurrente en amparo, en su vertiente del derecho a obtener una resolución jurídicamente fundada.</w:t>
      </w:r>
    </w:p>
    <w:p w14:paraId="36198267" w14:textId="77777777" w:rsidR="003754FE" w:rsidRDefault="003754FE" w:rsidP="003754FE">
      <w:pPr>
        <w:pStyle w:val="TextoNormal"/>
      </w:pPr>
    </w:p>
    <w:p w14:paraId="76569F6C" w14:textId="1BFC7C56" w:rsidR="003754FE" w:rsidRDefault="003754FE" w:rsidP="003754FE">
      <w:pPr>
        <w:pStyle w:val="TextoNormal"/>
      </w:pPr>
      <w:r>
        <w:t xml:space="preserve">Procede, por tanto, acordar la nulidad de la sentencia recurrida y del auto que desestima el incidente de nulidad, con retroacción de las actuaciones al momento inmediatamente anterior al de dictarse la sentencia por el Juzgado de lo Contencioso-Administrativo núm. 4 de Granada, a fin de que se dicte una nueva sentencia que resulte respetuosa con el derecho fundamental lesionado, lo que supone la resolución del objeto controvertido en el pleito </w:t>
      </w:r>
      <w:r w:rsidRPr="003754FE">
        <w:rPr>
          <w:i/>
        </w:rPr>
        <w:t>a quo</w:t>
      </w:r>
      <w:r>
        <w:t xml:space="preserve"> sin hacer aplicación de los preceptos legales declarados inconstitucionales por la STC 182/2021, de 26 de octubre.</w:t>
      </w:r>
    </w:p>
    <w:p w14:paraId="25479598" w14:textId="77777777" w:rsidR="003754FE" w:rsidRDefault="003754FE" w:rsidP="003754FE">
      <w:pPr>
        <w:pStyle w:val="TextoNormal"/>
      </w:pPr>
    </w:p>
    <w:p w14:paraId="37C3C1E5" w14:textId="77777777" w:rsidR="003754FE" w:rsidRDefault="003754FE" w:rsidP="003754FE">
      <w:pPr>
        <w:pStyle w:val="TextoNormalCentrado"/>
        <w:keepNext/>
      </w:pPr>
      <w:r>
        <w:t>FALLO</w:t>
      </w:r>
    </w:p>
    <w:p w14:paraId="07ABC730" w14:textId="64053B60" w:rsidR="003754FE" w:rsidRDefault="003754FE" w:rsidP="003754FE">
      <w:pPr>
        <w:pStyle w:val="TextoNormalCentrado"/>
        <w:keepNext/>
      </w:pPr>
    </w:p>
    <w:p w14:paraId="76D0FB09" w14:textId="77777777" w:rsidR="003754FE" w:rsidRDefault="003754FE" w:rsidP="003754FE">
      <w:pPr>
        <w:pStyle w:val="TextoNormal"/>
      </w:pPr>
      <w:r>
        <w:t>En atención a todo lo expuesto, el Tribunal Constitucional, por la autoridad que le confiere la Constitución de la Nación española, ha decidido otorgar el amparo solicitado por Obratunalia, S.L., y, en su virtud:</w:t>
      </w:r>
    </w:p>
    <w:p w14:paraId="686B2D31" w14:textId="77777777" w:rsidR="003754FE" w:rsidRDefault="003754FE" w:rsidP="003754FE">
      <w:pPr>
        <w:pStyle w:val="TextoNormal"/>
      </w:pPr>
    </w:p>
    <w:p w14:paraId="20C54504" w14:textId="77777777" w:rsidR="003754FE" w:rsidRDefault="003754FE" w:rsidP="003754FE">
      <w:pPr>
        <w:pStyle w:val="TextoNormal"/>
      </w:pPr>
      <w:r>
        <w:t>1º Reconocer que se ha vulnerado el derecho de la entidad recurrente a la tutela judicial efectiva, en su vertiente del derecho a una resolución fundada en derecho (art. 24.1 CE).</w:t>
      </w:r>
    </w:p>
    <w:p w14:paraId="43D91159" w14:textId="77777777" w:rsidR="003754FE" w:rsidRDefault="003754FE" w:rsidP="003754FE">
      <w:pPr>
        <w:pStyle w:val="TextoNormal"/>
      </w:pPr>
    </w:p>
    <w:p w14:paraId="0651778A" w14:textId="77777777" w:rsidR="003754FE" w:rsidRDefault="003754FE" w:rsidP="003754FE">
      <w:pPr>
        <w:pStyle w:val="TextoNormal"/>
      </w:pPr>
      <w:r>
        <w:t>2º Restablecerla en su derecho y, a tal fin, declarar la nulidad de la sentencia de 6 de julio de 2022 y el auto de 1 de septiembre de 2022, dictadas ambas por el Juzgado de lo Contencioso-Administrativo núm. 4 de Granada, en el procedimiento abreviado núm. 502-2021.</w:t>
      </w:r>
    </w:p>
    <w:p w14:paraId="4C6DD603" w14:textId="77777777" w:rsidR="003754FE" w:rsidRDefault="003754FE" w:rsidP="003754FE">
      <w:pPr>
        <w:pStyle w:val="TextoNormal"/>
      </w:pPr>
    </w:p>
    <w:p w14:paraId="05860533" w14:textId="2982B56A" w:rsidR="003754FE" w:rsidRDefault="003754FE" w:rsidP="003754FE">
      <w:pPr>
        <w:pStyle w:val="TextoNormal"/>
      </w:pPr>
      <w:r>
        <w:t xml:space="preserve">3º Retrotraer las actuaciones al momento anterior al pronunciamiento de la sentencia del Juzgado de lo Contencioso-Administrativo núm. 4 de Granada de 6 de julio de 2022, para </w:t>
      </w:r>
      <w:r>
        <w:lastRenderedPageBreak/>
        <w:t>que se dicte una nueva resolución conforme con el contenido del derecho fundamental vulnerado.</w:t>
      </w:r>
    </w:p>
    <w:p w14:paraId="56D0FDC0" w14:textId="77777777" w:rsidR="003754FE" w:rsidRDefault="003754FE" w:rsidP="003754FE">
      <w:pPr>
        <w:pStyle w:val="TextoNormal"/>
      </w:pPr>
    </w:p>
    <w:p w14:paraId="1E62EEC6" w14:textId="77777777" w:rsidR="003754FE" w:rsidRDefault="003754FE" w:rsidP="003754FE">
      <w:pPr>
        <w:pStyle w:val="TextoNormal"/>
      </w:pPr>
      <w:r>
        <w:t>Publíquese esta sentencia en el “Boletín Oficial del Estado”.</w:t>
      </w:r>
    </w:p>
    <w:p w14:paraId="3CA73550" w14:textId="77777777" w:rsidR="003754FE" w:rsidRDefault="003754FE" w:rsidP="003754FE">
      <w:pPr>
        <w:pStyle w:val="TextoNormal"/>
      </w:pPr>
      <w:r>
        <w:t>Dada en Madrid, a veintitrés de septiembre de dos mil veinticuatro.</w:t>
      </w:r>
    </w:p>
    <w:p w14:paraId="3FE704A4" w14:textId="1CA9E338" w:rsidR="003754FE" w:rsidRDefault="003754FE">
      <w:pPr>
        <w:spacing w:after="160" w:line="278" w:lineRule="auto"/>
        <w:rPr>
          <w:rFonts w:ascii="Times New Roman" w:eastAsia="Times New Roman" w:hAnsi="Times New Roman" w:cs="Times New Roman"/>
          <w:sz w:val="24"/>
          <w:szCs w:val="24"/>
          <w:lang w:eastAsia="es-ES"/>
        </w:rPr>
      </w:pPr>
      <w:r>
        <w:br w:type="page"/>
      </w:r>
    </w:p>
    <w:p w14:paraId="3BF2BF8F" w14:textId="77777777" w:rsidR="003754FE" w:rsidRDefault="003754FE" w:rsidP="003754FE">
      <w:pPr>
        <w:pStyle w:val="TtuloResolucin"/>
      </w:pPr>
      <w:bookmarkStart w:id="27" w:name="SENTENCIA_2024_118"/>
      <w:r>
        <w:lastRenderedPageBreak/>
        <w:t>SENTENCIA 118/2024, de 25 de septiembre de 2024</w:t>
      </w:r>
    </w:p>
    <w:bookmarkEnd w:id="27"/>
    <w:p w14:paraId="0267E657" w14:textId="77777777" w:rsidR="003754FE" w:rsidRDefault="003754FE" w:rsidP="003754FE">
      <w:pPr>
        <w:pStyle w:val="TtuloResolucin"/>
      </w:pPr>
      <w:r>
        <w:t>Pleno</w:t>
      </w:r>
    </w:p>
    <w:p w14:paraId="384AC0BA" w14:textId="77777777" w:rsidR="003754FE" w:rsidRDefault="003754FE" w:rsidP="003754FE">
      <w:pPr>
        <w:pStyle w:val="TtuloBOE"/>
      </w:pPr>
      <w:r>
        <w:t>(BOE núm. 264, de 1 de noviembre de 2024)</w:t>
      </w:r>
    </w:p>
    <w:p w14:paraId="0FA75C2F" w14:textId="77777777" w:rsidR="003754FE" w:rsidRDefault="003754FE" w:rsidP="003754FE">
      <w:pPr>
        <w:pStyle w:val="TextoNormalCentrado"/>
      </w:pPr>
      <w:r>
        <w:t>ECLI:ES:TC:2024:118</w:t>
      </w:r>
    </w:p>
    <w:p w14:paraId="27559CBD" w14:textId="1A6AD62E" w:rsidR="003754FE" w:rsidRDefault="003754FE" w:rsidP="003754FE">
      <w:pPr>
        <w:pStyle w:val="TextoNormalCentrado"/>
      </w:pPr>
    </w:p>
    <w:p w14:paraId="269D7F4B" w14:textId="77777777" w:rsidR="003754FE" w:rsidRDefault="003754FE" w:rsidP="003754FE">
      <w:pPr>
        <w:pStyle w:val="SntesisDescriptiva"/>
      </w:pPr>
      <w:r>
        <w:t>Recurso de amparo 3835-2020. Promovido por doña Laura Hernández Morata respecto del auto de la Sala de lo Penal del Tribunal Supremo que inadmitió su demanda de error judicial.</w:t>
      </w:r>
    </w:p>
    <w:p w14:paraId="2BE24968" w14:textId="2326E7F6" w:rsidR="003754FE" w:rsidRDefault="003754FE" w:rsidP="003754FE">
      <w:pPr>
        <w:pStyle w:val="SntesisDescriptiva"/>
      </w:pPr>
    </w:p>
    <w:p w14:paraId="393723E1" w14:textId="77777777" w:rsidR="003754FE" w:rsidRDefault="003754FE" w:rsidP="003754FE">
      <w:pPr>
        <w:pStyle w:val="SntesisAnaltica"/>
      </w:pPr>
      <w:r>
        <w:t>Vulneración del derecho a la tutela judicial efectiva (acceso a la jurisdicción): interpretación en exceso formalista del plazo de caducidad de la acción que no toma en consideración las excepcionales circunstancias del caso. Votos particulares.</w:t>
      </w:r>
    </w:p>
    <w:p w14:paraId="5BA11C04" w14:textId="4EBCB9F7" w:rsidR="003754FE" w:rsidRDefault="003754FE" w:rsidP="003754FE">
      <w:pPr>
        <w:pStyle w:val="SntesisAnaltica"/>
      </w:pPr>
    </w:p>
    <w:p w14:paraId="45258C22" w14:textId="7054CA9E" w:rsidR="003754FE" w:rsidRDefault="003754FE" w:rsidP="003754FE">
      <w:pPr>
        <w:pStyle w:val="Extracto"/>
      </w:pPr>
      <w:r>
        <w:t>1.</w:t>
      </w:r>
      <w:r>
        <w:tab/>
        <w:t xml:space="preserve">El principio </w:t>
      </w:r>
      <w:r w:rsidRPr="003754FE">
        <w:rPr>
          <w:i/>
        </w:rPr>
        <w:t>pro actione</w:t>
      </w:r>
      <w:r>
        <w:t>, en los supuestos de acceso a la jurisdicción, obliga a los órganos judiciales a aplicar las normas que regulan los requisitos y presupuestos procesales, evitando cualquier exceso formalista que los convierta en obstáculos procesales impeditivos del acceso a la jurisdicción que garantiza el art. 24 CE. Y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 (SSTC 83/2016 o 82/2022) [FJ 4].</w:t>
      </w:r>
    </w:p>
    <w:p w14:paraId="682497EF" w14:textId="77777777" w:rsidR="003754FE" w:rsidRDefault="003754FE" w:rsidP="003754FE">
      <w:pPr>
        <w:pStyle w:val="Extracto"/>
      </w:pPr>
    </w:p>
    <w:p w14:paraId="27AA0C65" w14:textId="22A6263F" w:rsidR="003754FE" w:rsidRDefault="003754FE" w:rsidP="003754FE">
      <w:pPr>
        <w:pStyle w:val="Extracto"/>
      </w:pPr>
      <w:r>
        <w:t>2.</w:t>
      </w:r>
      <w:r>
        <w:tab/>
        <w:t xml:space="preserve">Adquieren relevancia constitucional la decisión judicial de inadmisión que es consecuencia de un error patente en el cómputo del plazo, o de una interpretación arbitraria o manifiestamente irrazonable de la legalidad, o de la utilización de un criterio interpretativo rigorista, excesivamente formalista o desproporcionado en relación con los fines que trata de proteger y los intereses que sacrifica, habida cuenta de la intensidad con la que se proyecta el principio </w:t>
      </w:r>
      <w:r w:rsidRPr="003754FE">
        <w:rPr>
          <w:i/>
        </w:rPr>
        <w:t xml:space="preserve">pro actione </w:t>
      </w:r>
      <w:r>
        <w:t>cuando se arriesga el derecho de acceso a la jurisdicción y, por tanto, la obtención de una primera respuesta judicial sobre la pretensión formulada (SSTC 76/2012 y 209/2013) [FJ 4].</w:t>
      </w:r>
    </w:p>
    <w:p w14:paraId="743648FF" w14:textId="77777777" w:rsidR="003754FE" w:rsidRDefault="003754FE" w:rsidP="003754FE">
      <w:pPr>
        <w:pStyle w:val="Extracto"/>
      </w:pPr>
    </w:p>
    <w:p w14:paraId="20449345" w14:textId="06769854" w:rsidR="003754FE" w:rsidRDefault="003754FE" w:rsidP="003754FE">
      <w:pPr>
        <w:pStyle w:val="Extracto"/>
      </w:pPr>
      <w:r>
        <w:t>3.</w:t>
      </w:r>
      <w:r>
        <w:tab/>
        <w:t xml:space="preserve">La determinación del </w:t>
      </w:r>
      <w:r w:rsidRPr="003754FE">
        <w:rPr>
          <w:i/>
        </w:rPr>
        <w:t xml:space="preserve">dies a quo </w:t>
      </w:r>
      <w:r>
        <w:t xml:space="preserve">para el cómputo del plazo de caducidad incurre en interpretación excesivamente formalista si se desvincula de las excepcionales circunstancias del caso concreto, de la eventual afectación a un derecho fundamental o de la finalidad de la acción ejercitada, dado que no satisface el canon de control constitucional reforzado que impone el principio </w:t>
      </w:r>
      <w:r w:rsidRPr="003754FE">
        <w:rPr>
          <w:i/>
        </w:rPr>
        <w:t>pro actione</w:t>
      </w:r>
      <w:r>
        <w:t>, lesionando con ello el derecho a la tutela judicial efectiva (art. 24.1 CE) [FJ 5].</w:t>
      </w:r>
    </w:p>
    <w:p w14:paraId="3E31AE91" w14:textId="77777777" w:rsidR="003754FE" w:rsidRDefault="003754FE" w:rsidP="003754FE">
      <w:pPr>
        <w:pStyle w:val="Extracto"/>
      </w:pPr>
    </w:p>
    <w:p w14:paraId="6E749C43" w14:textId="77777777" w:rsidR="003754FE" w:rsidRDefault="003754FE" w:rsidP="003754FE">
      <w:pPr>
        <w:pStyle w:val="Extracto"/>
      </w:pPr>
    </w:p>
    <w:p w14:paraId="0A6C3031"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0DEE3B57" w14:textId="1BAE57D4" w:rsidR="003754FE" w:rsidRDefault="003754FE" w:rsidP="003754FE">
      <w:pPr>
        <w:pStyle w:val="TextoNormal"/>
      </w:pPr>
    </w:p>
    <w:p w14:paraId="2CB8CAB5" w14:textId="77777777" w:rsidR="003754FE" w:rsidRDefault="003754FE" w:rsidP="003754FE">
      <w:pPr>
        <w:pStyle w:val="TextoNormalCentrado"/>
        <w:keepNext/>
      </w:pPr>
      <w:r>
        <w:lastRenderedPageBreak/>
        <w:t>EN NOMBRE DEL REY</w:t>
      </w:r>
    </w:p>
    <w:p w14:paraId="07CA20E5" w14:textId="705CA1D1" w:rsidR="003754FE" w:rsidRDefault="003754FE" w:rsidP="003754FE">
      <w:pPr>
        <w:pStyle w:val="TextoNormalCentrado"/>
        <w:keepNext/>
      </w:pPr>
    </w:p>
    <w:p w14:paraId="283F233D" w14:textId="77777777" w:rsidR="003754FE" w:rsidRDefault="003754FE" w:rsidP="003754FE">
      <w:pPr>
        <w:pStyle w:val="TextoNormalCentrado"/>
        <w:keepNext/>
      </w:pPr>
    </w:p>
    <w:p w14:paraId="611EA9D9" w14:textId="77777777" w:rsidR="003754FE" w:rsidRDefault="003754FE" w:rsidP="003754FE">
      <w:pPr>
        <w:pStyle w:val="TextoNormal"/>
      </w:pPr>
      <w:r>
        <w:t>la siguiente</w:t>
      </w:r>
    </w:p>
    <w:p w14:paraId="3C86C95B" w14:textId="19E77FCD" w:rsidR="003754FE" w:rsidRDefault="003754FE" w:rsidP="003754FE">
      <w:pPr>
        <w:pStyle w:val="TextoNormal"/>
      </w:pPr>
    </w:p>
    <w:p w14:paraId="7E52A52A" w14:textId="77777777" w:rsidR="003754FE" w:rsidRDefault="003754FE" w:rsidP="003754FE">
      <w:pPr>
        <w:pStyle w:val="TextoNormalCentrado"/>
        <w:keepNext/>
      </w:pPr>
      <w:r>
        <w:t>SENTENCIA</w:t>
      </w:r>
    </w:p>
    <w:p w14:paraId="2138CD8E" w14:textId="1B329389" w:rsidR="003754FE" w:rsidRDefault="003754FE" w:rsidP="003754FE">
      <w:pPr>
        <w:pStyle w:val="TextoNormalCentrado"/>
        <w:keepNext/>
      </w:pPr>
    </w:p>
    <w:p w14:paraId="2512887C" w14:textId="77777777" w:rsidR="003754FE" w:rsidRDefault="003754FE" w:rsidP="003754FE">
      <w:pPr>
        <w:pStyle w:val="TextoNormal"/>
      </w:pPr>
      <w:r>
        <w:t>En el recurso de amparo avocado núm. 3835-2020, promovido por doña Laura Hernández Morata contra el auto de 25 de junio de 2020, dictado por la Sala de lo Penal del Tribunal Supremo y recaído en el procedimiento sobre error judicial núm. 20870-2019. Ha comparecido y formulado alegaciones el abogado del Estado y ha intervenido el Ministerio Fiscal. Ha sido ponente la magistrada doña Laura Díez Bueso.</w:t>
      </w:r>
    </w:p>
    <w:p w14:paraId="4139566A" w14:textId="6B3D2DCA" w:rsidR="003754FE" w:rsidRDefault="003754FE" w:rsidP="003754FE">
      <w:pPr>
        <w:pStyle w:val="TextoNormal"/>
      </w:pPr>
    </w:p>
    <w:p w14:paraId="0282F768" w14:textId="77777777" w:rsidR="003754FE" w:rsidRDefault="003754FE" w:rsidP="003754FE">
      <w:pPr>
        <w:pStyle w:val="TextoNormalNegritaCentrado"/>
        <w:keepNext/>
      </w:pPr>
      <w:r>
        <w:t>I. Antecedentes</w:t>
      </w:r>
    </w:p>
    <w:p w14:paraId="6CBDF34D" w14:textId="4E2BD479" w:rsidR="003754FE" w:rsidRDefault="003754FE" w:rsidP="003754FE">
      <w:pPr>
        <w:pStyle w:val="TextoNormalNegritaCentrado"/>
        <w:keepNext/>
      </w:pPr>
    </w:p>
    <w:p w14:paraId="7EC67736" w14:textId="6ADFE031" w:rsidR="003754FE" w:rsidRDefault="003754FE" w:rsidP="003754FE">
      <w:pPr>
        <w:pStyle w:val="TextoNormal"/>
      </w:pPr>
      <w:r w:rsidRPr="003754FE">
        <w:rPr>
          <w:rStyle w:val="NumeroAFNegritaCaracter"/>
        </w:rPr>
        <w:t>1</w:t>
      </w:r>
      <w:r>
        <w:t>. Mediante escrito presentado en el registro general de este tribunal el día 31 de julio de 2020, la procuradora de los tribunales doña Francisca Orts Mogica, en representación de doña Laura Hernández Morata, bajo la dirección del letrado don Alfredo Martínez Lidón, ha interpuesto recurso de amparo contra la resolución ya reseñada, por la que se acordó inadmitir por extemporánea la demanda de error judicial que la ahora recurrente había presentado.</w:t>
      </w:r>
    </w:p>
    <w:p w14:paraId="4471E088" w14:textId="77777777" w:rsidR="003754FE" w:rsidRDefault="003754FE" w:rsidP="003754FE">
      <w:pPr>
        <w:pStyle w:val="TextoNormal"/>
      </w:pPr>
    </w:p>
    <w:p w14:paraId="19910805" w14:textId="77777777" w:rsidR="003754FE" w:rsidRDefault="003754FE" w:rsidP="003754FE">
      <w:pPr>
        <w:pStyle w:val="TextoNormal"/>
      </w:pPr>
      <w:r w:rsidRPr="003754FE">
        <w:rPr>
          <w:rStyle w:val="NumeroAFNegritaCaracter"/>
        </w:rPr>
        <w:t>2</w:t>
      </w:r>
      <w:r>
        <w:t>. Los hechos con relevancia para la resolución del presente recurso de amparo y a los que se refiere la demanda presentada, son los siguientes:</w:t>
      </w:r>
    </w:p>
    <w:p w14:paraId="0B194654" w14:textId="77777777" w:rsidR="003754FE" w:rsidRDefault="003754FE" w:rsidP="003754FE">
      <w:pPr>
        <w:pStyle w:val="TextoNormal"/>
      </w:pPr>
    </w:p>
    <w:p w14:paraId="5073E0B9" w14:textId="77777777" w:rsidR="003754FE" w:rsidRDefault="003754FE" w:rsidP="003754FE">
      <w:pPr>
        <w:pStyle w:val="TextoNormal"/>
      </w:pPr>
      <w:r>
        <w:t>a) En fecha 23 de octubre de 2019, la representación de doña Laura Hernández Morata, de conformidad con lo dispuesto en el art. 293 de la Ley Orgánica del Poder Judicial (en adelante, LOPJ), presentó demanda de reconocimiento de error judicial contra lo resuelto en el auto de 19 de junio de 2019, dictado por el Juzgado de Violencia sobre la Mujer núm. 2 de Murcia, recaído en el procedimiento penal de diligencias urgentes/juicio rápido núm. 272-2019, de aquel órgano judicial. En la demanda se describían los siguientes hechos:</w:t>
      </w:r>
    </w:p>
    <w:p w14:paraId="55802A76" w14:textId="77777777" w:rsidR="003754FE" w:rsidRDefault="003754FE" w:rsidP="003754FE">
      <w:pPr>
        <w:pStyle w:val="TextoNormal"/>
      </w:pPr>
    </w:p>
    <w:p w14:paraId="08240B77" w14:textId="77777777" w:rsidR="003754FE" w:rsidRDefault="003754FE" w:rsidP="003754FE">
      <w:pPr>
        <w:pStyle w:val="TextoNormal"/>
      </w:pPr>
      <w:r>
        <w:t>(i) En el transcurso de la tramitación del proceso judicial de divorcio del matrimonio contraído entre la ahora demandante de amparo y don David Sánchez Ondoño, el Juzgado de Violencia sobre la Mujer núm. 2 de Murcia, en fecha 5 de junio de 2019, dictó sentencia condenatoria contra este último, como autor responsable de un delito de coacciones en el ámbito familiar del art. 172.2 del Código penal (en adelante, CP), y le impuso la pena de seis meses de prisión, además de otras accesorias privativas de derechos, así como la prohibición de aproximarse a doña Laura Hernández Morata a “una distancia inferior a 100 metros, a su domicilio, lugar de trabajo o cualquier otro frecuentado por la misma, así como a comunicarse con ella por cualquier medio por tiempo de dieciséis meses”, de acuerdo con lo dispuesto en los arts. 48 y 57 CP. El juzgado, firme la sentencia por conformidad del condenado, acordó, por medio de auto de 5 de junio de 2019, la suspensión de la ejecución de la pena privativa de libertad impuesta, quedando supeditada dicha suspensión a que el penado no delinquiera en el plazo de dos años y cumpliera con las prohibiciones de aproximación y de comunicación establecidas en la sentencia.</w:t>
      </w:r>
    </w:p>
    <w:p w14:paraId="34F1A45F" w14:textId="77777777" w:rsidR="003754FE" w:rsidRDefault="003754FE" w:rsidP="003754FE">
      <w:pPr>
        <w:pStyle w:val="TextoNormal"/>
      </w:pPr>
    </w:p>
    <w:p w14:paraId="7E24CBA6" w14:textId="77777777" w:rsidR="003754FE" w:rsidRDefault="003754FE" w:rsidP="003754FE">
      <w:pPr>
        <w:pStyle w:val="TextoNormal"/>
      </w:pPr>
      <w:r>
        <w:t>(ii) Días más tarde, concretamente en fecha 19 de junio de 2019, el precitado Juzgado de Violencia sobre la Mujer núm. 2 de Murcia dictó una nueva sentencia, en este caso por delito de quebrantamiento de condena del art. 468.2 CP, contra don David Sánchez Ondoño, al que le impuso la pena de cuatro meses de prisión y accesoria de privación de derechos por el mismo tiempo. En los hechos probados de la sentencia se relataba que el acusado, a las 13:30 horas del anterior día 18 de junio, “se personó en el domicilio [de doña] Laura y desde la calle comenzó a gritar llamando a uno de los hijos de ambos”. El acusado, por la condena anteriormente impuesta, tenía en vigor la orden de prohibición de aproximarse a la denunciante, lo que determinó la comisión del delito de quebrantamiento de condena por el que había sido acusado por el Ministerio Fiscal. La sentencia adquirió firmeza en el mismo momento de su pronunciamiento, toda vez que el acusado había expresado su conformidad a la misma. Además, la ahora demandante de amparo, que se había personado en las actuaciones como acusación particular, con letrado y procurador, dio también su conformidad a la condena impuesta, sin celebración de juicio.</w:t>
      </w:r>
    </w:p>
    <w:p w14:paraId="410A6E38" w14:textId="77777777" w:rsidR="003754FE" w:rsidRDefault="003754FE" w:rsidP="003754FE">
      <w:pPr>
        <w:pStyle w:val="TextoNormal"/>
      </w:pPr>
    </w:p>
    <w:p w14:paraId="67B3708D" w14:textId="77777777" w:rsidR="003754FE" w:rsidRDefault="003754FE" w:rsidP="003754FE">
      <w:pPr>
        <w:pStyle w:val="TextoNormal"/>
      </w:pPr>
      <w:r>
        <w:t>Por medio de auto de la misma fecha que la anterior sentencia, esto es, de 19 de junio de 2019, el juzgado, acordó “por expresa conformidad de las partes, la suspensión de la pena impuesta de cuatro meses de prisión”, por tiempo de dos años, al señor Sánchez Ondoño y quedaba supeditada, nuevamente, aquella suspensión al cumplimiento de una serie de obligaciones y deberes que, en lo que ahora es de interés, eran las siguientes: No delinquir en el plazo de dos años; no acudir al domicilio o lugar de trabajo de la víctima, ni aproximarse o comunicarse con ella durante dos años. Este auto le fue notificado al señor Sánchez Ondoño en la misma fecha. Según destaca el antecedente único de esta resolución, con carácter previo a la decisión judicial de suspender condicionalmente la ejecución de la pena impuesta al señor Sánchez Ondoño, tuvo lugar una comparecencia a la que asistieron las partes y el Ministerio Fiscal y se destaca que “se ha concedido un turno de alegaciones al Ministerio Fiscal y demás partes para que se pronunciaran sobre la suspensión de la pena impuesta, con el resultado que obra en autos”. Se señala en el fundamento jurídico tercero del auto de referencia que “[e]n el supuesto existe conformidad entre las partes a la suspensión”.</w:t>
      </w:r>
    </w:p>
    <w:p w14:paraId="7BC5A23C" w14:textId="77777777" w:rsidR="003754FE" w:rsidRDefault="003754FE" w:rsidP="003754FE">
      <w:pPr>
        <w:pStyle w:val="TextoNormal"/>
      </w:pPr>
    </w:p>
    <w:p w14:paraId="703F12E8" w14:textId="77777777" w:rsidR="003754FE" w:rsidRDefault="003754FE" w:rsidP="003754FE">
      <w:pPr>
        <w:pStyle w:val="TextoNormal"/>
      </w:pPr>
      <w:r>
        <w:t>(iii) El día 25 de julio de 2019, el señor Sánchez Ondoño, llevó a su hijo de once años a la vivienda que, en su día, había sido el hogar familiar y allí le propinó, presuntamente, varias puñaladas hasta causarle la muerte. Posteriormente, se suicidó, presuntamente también, en el mismo domicilio. Estos hechos no llegaron a ser enjuiciados, aunque fueron tramitadas las diligencias previas núms. 1865/2019 del Juzgado de Instrucción núm. 1 de Murcia y 1747/2019 del Juzgado de Instrucción núm. 8 de Murcia por tales hechos.</w:t>
      </w:r>
    </w:p>
    <w:p w14:paraId="31EAE22C" w14:textId="77777777" w:rsidR="003754FE" w:rsidRDefault="003754FE" w:rsidP="003754FE">
      <w:pPr>
        <w:pStyle w:val="TextoNormal"/>
      </w:pPr>
    </w:p>
    <w:p w14:paraId="0AE09F7E" w14:textId="77777777" w:rsidR="003754FE" w:rsidRDefault="003754FE" w:rsidP="003754FE">
      <w:pPr>
        <w:pStyle w:val="TextoNormal"/>
      </w:pPr>
      <w:r>
        <w:t>b) Asimismo y, en lo que es de interés para este recurso de amparo, la demanda destaca los siguientes aspectos:</w:t>
      </w:r>
    </w:p>
    <w:p w14:paraId="28D1A561" w14:textId="77777777" w:rsidR="003754FE" w:rsidRDefault="003754FE" w:rsidP="003754FE">
      <w:pPr>
        <w:pStyle w:val="TextoNormal"/>
      </w:pPr>
    </w:p>
    <w:p w14:paraId="232E8766" w14:textId="77777777" w:rsidR="003754FE" w:rsidRDefault="003754FE" w:rsidP="003754FE">
      <w:pPr>
        <w:pStyle w:val="TextoNormal"/>
      </w:pPr>
      <w:r>
        <w:t xml:space="preserve">(i) La demandante identifica el auto de 19 de junio de 2019 del Juzgado de Violencia sobre la Mujer núm. 2 de Murcia como la resolución judicial de la que provenía el error judicial denunciado, pues esta resolución le había concedido al acusado, señor Sánchez Ondoño, la suspensión condicional de la ejecución de la pena privativa de libertad por delito de quebrantamiento de condena, cuando, en fechas inmediatamente anteriores, le había sido suspendida también la ejecución de otra pena de la misma naturaleza por el mismo juzgado, </w:t>
      </w:r>
      <w:r>
        <w:lastRenderedPageBreak/>
        <w:t>y el quebrantamiento provenía de no haber respetado el acusado la orden de prohibición de aproximarse a la ahora demandante, que le había sido impuesta en la anterior sentencia.</w:t>
      </w:r>
    </w:p>
    <w:p w14:paraId="4E76779C" w14:textId="77777777" w:rsidR="003754FE" w:rsidRDefault="003754FE" w:rsidP="003754FE">
      <w:pPr>
        <w:pStyle w:val="TextoNormal"/>
      </w:pPr>
    </w:p>
    <w:p w14:paraId="345CDF3C" w14:textId="77777777" w:rsidR="003754FE" w:rsidRDefault="003754FE" w:rsidP="003754FE">
      <w:pPr>
        <w:pStyle w:val="TextoNormal"/>
      </w:pPr>
      <w:r>
        <w:t xml:space="preserve">(ii) No obstante, la actora, en el apartado noveno de los antecedentes de su demanda, conceptúa la fecha en que tuvieron lugar “las lamentables consecuencias, de lo que por esta parte se consideran (sic) un grave error judicial”, esto es la del día 25 de julio de 2019, en que tuvieron lugar los luctuosos hechos anteriormente descritos, como la del </w:t>
      </w:r>
      <w:r w:rsidRPr="003754FE">
        <w:rPr>
          <w:i/>
        </w:rPr>
        <w:t>dies a quo</w:t>
      </w:r>
      <w:r>
        <w:t xml:space="preserve"> del cómputo del plazo para el ejercicio de la acción, de tal manera que la demanda fue presentada telemáticamente el día 23 de octubre siguiente, en el registro general del Tribunal Supremo.</w:t>
      </w:r>
    </w:p>
    <w:p w14:paraId="3C6489B8" w14:textId="77777777" w:rsidR="003754FE" w:rsidRDefault="003754FE" w:rsidP="003754FE">
      <w:pPr>
        <w:pStyle w:val="TextoNormal"/>
      </w:pPr>
    </w:p>
    <w:p w14:paraId="0F49E3E0" w14:textId="77777777" w:rsidR="003754FE" w:rsidRDefault="003754FE" w:rsidP="003754FE">
      <w:pPr>
        <w:pStyle w:val="TextoNormal"/>
      </w:pPr>
      <w:r>
        <w:t>c) La Sala de lo Penal del Tribunal Supremo registró la demanda presentada e inició la tramitación del correspondiente rollo de sala con el núm. 20870/2019 de los de su clase, interesó del Ministerio Fiscal que emitiera informe sobre “la competencia y, en su caso, sobre la admisión o inadmisión a trámite del presente recurso” y acordó que se notificara al abogado del Estado la incoación del procedimiento, a los efectos oportunos.</w:t>
      </w:r>
    </w:p>
    <w:p w14:paraId="4294B88B" w14:textId="77777777" w:rsidR="003754FE" w:rsidRDefault="003754FE" w:rsidP="003754FE">
      <w:pPr>
        <w:pStyle w:val="TextoNormal"/>
      </w:pPr>
    </w:p>
    <w:p w14:paraId="666F58FE" w14:textId="77777777" w:rsidR="003754FE" w:rsidRDefault="003754FE" w:rsidP="003754FE">
      <w:pPr>
        <w:pStyle w:val="TextoNormal"/>
      </w:pPr>
      <w:r>
        <w:t>El Ministerio Fiscal, en fecha 3 de junio de 2020, emitió el informe interesado en el que solicitó la inadmisión a trámite de la demanda por entender que no podía afirmarse que “la jueza que acordó la medida lo hiciera con plena conciencia de que el afectado por la suspensión otorgada era la misma persona condenada quince días antes”. Y que no podía “establecerse una relación causal entre la suspensión concedida y los luctuosos acontecimientos que ocurrieron posteriormente (siempre hubiera podido ocurrir en cualquier otro momento, o aprovechando un permiso o visita carcelaria)”.</w:t>
      </w:r>
    </w:p>
    <w:p w14:paraId="56FAA9D3" w14:textId="77777777" w:rsidR="003754FE" w:rsidRDefault="003754FE" w:rsidP="003754FE">
      <w:pPr>
        <w:pStyle w:val="TextoNormal"/>
      </w:pPr>
    </w:p>
    <w:p w14:paraId="05183789" w14:textId="77777777" w:rsidR="003754FE" w:rsidRDefault="003754FE" w:rsidP="003754FE">
      <w:pPr>
        <w:pStyle w:val="TextoNormal"/>
      </w:pPr>
      <w:r>
        <w:t>El abogado del Estado compareció en el procedimiento, pero no formuló alegaciones.</w:t>
      </w:r>
    </w:p>
    <w:p w14:paraId="4DFEE6C4" w14:textId="77777777" w:rsidR="003754FE" w:rsidRDefault="003754FE" w:rsidP="003754FE">
      <w:pPr>
        <w:pStyle w:val="TextoNormal"/>
      </w:pPr>
    </w:p>
    <w:p w14:paraId="38528F6C" w14:textId="77777777" w:rsidR="003754FE" w:rsidRDefault="003754FE" w:rsidP="003754FE">
      <w:pPr>
        <w:pStyle w:val="TextoNormal"/>
      </w:pPr>
      <w:r>
        <w:t>d) Finalmente, por medio de auto de 25 de junio de 2020, la Sala de lo Penal del Tribunal Supremo acordó la inadmisión a trámite de la demanda por extemporánea, con fundamento en los siguientes argumentos:</w:t>
      </w:r>
    </w:p>
    <w:p w14:paraId="1E017CFD" w14:textId="77777777" w:rsidR="003754FE" w:rsidRDefault="003754FE" w:rsidP="003754FE">
      <w:pPr>
        <w:pStyle w:val="TextoNormal"/>
      </w:pPr>
    </w:p>
    <w:p w14:paraId="286DA762" w14:textId="77777777" w:rsidR="003754FE" w:rsidRDefault="003754FE" w:rsidP="003754FE">
      <w:pPr>
        <w:pStyle w:val="TextoNormal"/>
      </w:pPr>
      <w:r>
        <w:t>(i) Después de dejar constancia de que el art. 293.1 a) LOPJ dispone que “la acción judicial para el reconocimiento del error deberá instarse inexcusablemente en el plazo de tres meses a partir del día en que pudo ejercitarse”, el auto señala que el carácter autónomo de la demanda de error judicial “lleva consigo que el plazo para su interposición no [tiene] la naturaleza de plazo procesal, sino de plazo sustantivo de caducidad del derecho que se rige por las normas establecidas en el artículo 5.2 del Código civil”.</w:t>
      </w:r>
    </w:p>
    <w:p w14:paraId="540319CD" w14:textId="77777777" w:rsidR="003754FE" w:rsidRDefault="003754FE" w:rsidP="003754FE">
      <w:pPr>
        <w:pStyle w:val="TextoNormal"/>
      </w:pPr>
    </w:p>
    <w:p w14:paraId="702E8642" w14:textId="77777777" w:rsidR="003754FE" w:rsidRDefault="003754FE" w:rsidP="003754FE">
      <w:pPr>
        <w:pStyle w:val="TextoNormal"/>
      </w:pPr>
      <w:r>
        <w:t xml:space="preserve">(ii) Añade que, en convergencia con lo anterior y, de conformidad con la jurisprudencia de las salas del art. 61 LOPJ y Primera del Tribunal Supremo que cita, llega a la conclusión de que la demanda “se ha interpuesto cuando ya se había sobrepasado el plazo de tres meses establecido en la Ley Orgánica del Poder Judicial, plazo que comienza su cómputo con el ejercicio de la acción ‘a partir del día en que pudo ejercitarse’ art. 293.1 apartado a) LOPJ”. Subraya que el momento en que pudo ejercitarse, “es la fecha en que se dictó el auto 19/06/19 acordando la suspensión de la sentencia de la misma fecha. Es en ese momento cuando se inició el plazo de tres meses de caducidad para el ejercicio de la acción, por lo que presentada la demanda el pasado 13 de octubre (en realidad, fue el 23) en el Registro General de este Tribunal Supremo, el plazo había precluido en exceso (art. 5 Código civil)”. </w:t>
      </w:r>
      <w:r>
        <w:lastRenderedPageBreak/>
        <w:t>En el mismo sentido, la resolución cita otras del propio tribunal (auto de 5 de junio de 2015, proceso sobre error judicial núm. 20130-15; auto de 25 de noviembre de 2015, proceso núm. 20731-2015; o auto de 22 de enero de 2016, proceso núm. 20841-2015).</w:t>
      </w:r>
    </w:p>
    <w:p w14:paraId="3E786EA1" w14:textId="77777777" w:rsidR="003754FE" w:rsidRDefault="003754FE" w:rsidP="003754FE">
      <w:pPr>
        <w:pStyle w:val="TextoNormal"/>
      </w:pPr>
    </w:p>
    <w:p w14:paraId="56431F95" w14:textId="2D38F2A7" w:rsidR="003754FE" w:rsidRDefault="003754FE" w:rsidP="003754FE">
      <w:pPr>
        <w:pStyle w:val="TextoNormal"/>
      </w:pPr>
      <w:r>
        <w:t>Esta resolución le fue notificada a la parte demandante el día 3 de julio de 2020.</w:t>
      </w:r>
    </w:p>
    <w:p w14:paraId="2E2A1570" w14:textId="77777777" w:rsidR="003754FE" w:rsidRDefault="003754FE" w:rsidP="003754FE">
      <w:pPr>
        <w:pStyle w:val="TextoNormal"/>
      </w:pPr>
    </w:p>
    <w:p w14:paraId="04C32455" w14:textId="77777777" w:rsidR="003754FE" w:rsidRDefault="003754FE" w:rsidP="003754FE">
      <w:pPr>
        <w:pStyle w:val="TextoNormal"/>
      </w:pPr>
      <w:r w:rsidRPr="003754FE">
        <w:rPr>
          <w:rStyle w:val="NumeroAFNegritaCaracter"/>
        </w:rPr>
        <w:t>3</w:t>
      </w:r>
      <w:r>
        <w:t xml:space="preserve">. La demanda de amparo, con cita de la STC 6/2018, de 22 de enero, invoca la vulneración del derecho a la tutela judicial efectiva sin indefensión (art. 24.1 CE), en su manifestación del derecho de acceso al proceso porque entiende que el Tribunal Supremo, al haber inadmitido a trámite su demanda sobre error judicial, ha hecho una interpretación “totalmente errónea” del art. 293 LOPJ, en lo que se refiere a la determinación del </w:t>
      </w:r>
      <w:r w:rsidRPr="003754FE">
        <w:rPr>
          <w:i/>
        </w:rPr>
        <w:t>dies a quo</w:t>
      </w:r>
      <w:r>
        <w:t xml:space="preserve"> para el cómputo del plazo de caducidad de los tres meses, contados “a partir del día en que pudo ejercitarse” la acción de declaración de error judicial. Señala que, si bien la resolución que incurrió en error judicial era el auto de 19 de junio de 2019 del Juzgado de Violencia sobre la Mujer núm. 2 de Murcia, el reconocimiento del derecho a ser resarcido exige, no solo la constatación de aquel error, sino también la de que, de dicho error, se haya derivado un daño efectivo y este solo tuvo lugar cuando el señor Sánchez Ondoño, excónyuge de la demandante de amparo, “asesina a su propio hijo, quitándose él mismo la vida a continuación”. Por ello, entiende que es a partir de aquel día 25 de julio de 2019, “cuando se debe iniciar el cómputo del plazo de tres meses para instar el auxilio judicial, pues hasta tal momento, no se había producido daño alguno en las personas interesadas en este asunto”.</w:t>
      </w:r>
    </w:p>
    <w:p w14:paraId="62900214" w14:textId="77777777" w:rsidR="003754FE" w:rsidRDefault="003754FE" w:rsidP="003754FE">
      <w:pPr>
        <w:pStyle w:val="TextoNormal"/>
      </w:pPr>
    </w:p>
    <w:p w14:paraId="592115AB" w14:textId="77777777" w:rsidR="003754FE" w:rsidRDefault="003754FE" w:rsidP="003754FE">
      <w:pPr>
        <w:pStyle w:val="TextoNormal"/>
      </w:pPr>
      <w:r>
        <w:t>La demanda justifica la especial trascendencia constitucional del recurso afirmando que el mismo la tiene “cuando la vulneración del derecho fundamental que se denuncia provenga de la ley o de otra disposición de carácter general” con cita del supuesto c) del fundamento jurídico 2 de la STC 155/2009, de 25 de junio.</w:t>
      </w:r>
    </w:p>
    <w:p w14:paraId="401DA6BB" w14:textId="77777777" w:rsidR="003754FE" w:rsidRDefault="003754FE" w:rsidP="003754FE">
      <w:pPr>
        <w:pStyle w:val="TextoNormal"/>
      </w:pPr>
    </w:p>
    <w:p w14:paraId="567C63B7" w14:textId="297712DD" w:rsidR="003754FE" w:rsidRDefault="003754FE" w:rsidP="003754FE">
      <w:pPr>
        <w:pStyle w:val="TextoNormal"/>
      </w:pPr>
      <w:r>
        <w:t>Señala, en este sentido, que “frente a los demás órdenes jurisdiccionales (civil, penal y contencioso-administrativo) en el que la decisión de inadmisión inicial por parte del Tribunal en cuanto decisión esencial ya que está en juego el acceso o no a la justicia debe ser revisable por un tribunal superior” y cita, a tal efecto, los arts. 454 y siguientes, en relación con el art. 202, todos de la Ley de enjuiciamiento civil (en adelante, LEC); o el art. 51, en relación con el art. 81.2 de la Ley reguladora de la jurisdicción contencioso-administrativa o “con los autos de archivo en materia criminal”, en el presente caso la ley (en referencia a la Ley Orgánica del Poder Judicial) no ha establecido ningún recurso efectivo en concreto contra el auto de inadmisión a trámite de la demanda de error judicial.</w:t>
      </w:r>
    </w:p>
    <w:p w14:paraId="328FA079" w14:textId="77777777" w:rsidR="003754FE" w:rsidRDefault="003754FE" w:rsidP="003754FE">
      <w:pPr>
        <w:pStyle w:val="TextoNormal"/>
      </w:pPr>
    </w:p>
    <w:p w14:paraId="031E9BFD" w14:textId="77777777" w:rsidR="003754FE" w:rsidRDefault="003754FE" w:rsidP="003754FE">
      <w:pPr>
        <w:pStyle w:val="TextoNormal"/>
      </w:pPr>
      <w:r w:rsidRPr="003754FE">
        <w:rPr>
          <w:rStyle w:val="NumeroAFNegritaCaracter"/>
        </w:rPr>
        <w:t>4</w:t>
      </w:r>
      <w:r>
        <w:t>. La Sala Segunda, Sección Cuarta, de este Tribunal Constitucional dictó providencia el día 9 de mayo de 2022, del siguiente tenor:</w:t>
      </w:r>
    </w:p>
    <w:p w14:paraId="3134D8C7" w14:textId="77777777" w:rsidR="003754FE" w:rsidRDefault="003754FE" w:rsidP="003754FE">
      <w:pPr>
        <w:pStyle w:val="TextoNormal"/>
      </w:pPr>
    </w:p>
    <w:p w14:paraId="7A3AC7F3" w14:textId="77777777" w:rsidR="003754FE" w:rsidRDefault="003754FE" w:rsidP="003754FE">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w:t>
      </w:r>
    </w:p>
    <w:p w14:paraId="251CE13F" w14:textId="77777777" w:rsidR="003754FE" w:rsidRDefault="003754FE" w:rsidP="003754FE">
      <w:pPr>
        <w:pStyle w:val="TextoNormal"/>
      </w:pPr>
    </w:p>
    <w:p w14:paraId="27547829" w14:textId="03AF508D" w:rsidR="003754FE" w:rsidRDefault="003754FE" w:rsidP="003754FE">
      <w:pPr>
        <w:pStyle w:val="TextoNormal"/>
      </w:pPr>
      <w:r>
        <w:t xml:space="preserve">Por ello, en aplicación de lo dispuesto en el art. 51 LOTC, obrando en esta Sala testimonio de las correspondientes actuaciones jurisdiccionales Error Judicial 20870-19, diríjase atenta comunicación a la Sala de lo Penal del Tribunal Supremo, a fin de que, en plazo que </w:t>
      </w:r>
      <w:r>
        <w:lastRenderedPageBreak/>
        <w:t>no exceda de diez días, se proceda a emplazar, si lo desean, para que en el plazo de diez días puedan comparecer en el recurso de amparo a quienes hubieran sido parte en el procedimiento, excepto la parte recurrente en amparo”.</w:t>
      </w:r>
    </w:p>
    <w:p w14:paraId="7CC24E2A" w14:textId="77777777" w:rsidR="003754FE" w:rsidRDefault="003754FE" w:rsidP="003754FE">
      <w:pPr>
        <w:pStyle w:val="TextoNormal"/>
      </w:pPr>
    </w:p>
    <w:p w14:paraId="675F8983" w14:textId="31A12A24" w:rsidR="003754FE" w:rsidRDefault="003754FE" w:rsidP="003754FE">
      <w:pPr>
        <w:pStyle w:val="TextoNormal"/>
      </w:pPr>
      <w:r w:rsidRPr="003754FE">
        <w:rPr>
          <w:rStyle w:val="NumeroAFNegritaCaracter"/>
        </w:rPr>
        <w:t>5</w:t>
      </w:r>
      <w:r>
        <w:t>. Por diligencia de ordenación de 31 de mayo de 2022, se tuvo por personado y parte en el procedimiento al abogado del Estado, previa presentación de escrito a tal efecto. Igualmente, se acordó dar vista de las actuaciones a las partes personadas y al Ministerio Fiscal, por plazo común de veinte días, a fin de que pudieran presentar las alegaciones que estimasen pertinentes, conforme con lo previsto en el art. 52.1 de la Ley Orgánica del Tribunal Constitucional (en adelante, LOTC).</w:t>
      </w:r>
    </w:p>
    <w:p w14:paraId="7011E338" w14:textId="77777777" w:rsidR="003754FE" w:rsidRDefault="003754FE" w:rsidP="003754FE">
      <w:pPr>
        <w:pStyle w:val="TextoNormal"/>
      </w:pPr>
    </w:p>
    <w:p w14:paraId="75955901" w14:textId="77777777" w:rsidR="003754FE" w:rsidRDefault="003754FE" w:rsidP="003754FE">
      <w:pPr>
        <w:pStyle w:val="TextoNormal"/>
      </w:pPr>
      <w:r w:rsidRPr="003754FE">
        <w:rPr>
          <w:rStyle w:val="NumeroAFNegritaCaracter"/>
        </w:rPr>
        <w:t>6</w:t>
      </w:r>
      <w:r>
        <w:t>. El abogado del Estado presentó su escrito de alegaciones el 30 de junio de 2022, interesando la inadmisión de la demanda de amparo y, de modo subsidiario, su desestimación.</w:t>
      </w:r>
    </w:p>
    <w:p w14:paraId="5A7A69FB" w14:textId="77777777" w:rsidR="003754FE" w:rsidRDefault="003754FE" w:rsidP="003754FE">
      <w:pPr>
        <w:pStyle w:val="TextoNormal"/>
      </w:pPr>
    </w:p>
    <w:p w14:paraId="59386455" w14:textId="77777777" w:rsidR="003754FE" w:rsidRDefault="003754FE" w:rsidP="003754FE">
      <w:pPr>
        <w:pStyle w:val="TextoNormal"/>
      </w:pPr>
      <w:r>
        <w:t>a) En primer lugar, interesa la inadmisión a trámite de la demanda por cuanto aprecia la concurrencia de dos óbices procesales:</w:t>
      </w:r>
    </w:p>
    <w:p w14:paraId="0A56CC15" w14:textId="77777777" w:rsidR="003754FE" w:rsidRDefault="003754FE" w:rsidP="003754FE">
      <w:pPr>
        <w:pStyle w:val="TextoNormal"/>
      </w:pPr>
    </w:p>
    <w:p w14:paraId="3A60245F" w14:textId="77777777" w:rsidR="003754FE" w:rsidRDefault="003754FE" w:rsidP="003754FE">
      <w:pPr>
        <w:pStyle w:val="TextoNormal"/>
      </w:pPr>
      <w:r>
        <w:t>(i) En primer lugar, entiende que concurre la falta de agotamiento de la vía judicial previa por cuanto la actora no ha promovido el incidente extraordinario de nulidad de actuaciones del art. 241 LOPJ contra el auto de 25 de junio de 2020 de la Sala Segunda del Tribunal Supremo que acordó la inadmisión a trámite de la demanda sobre error judicial, toda vez que si imputa la lesión del derecho fundamental a la precitada resolución, debería haber formalizado aquel incidente. Cita, en apoyo de su argumentación, el ATC 64/2022, de 4 de abril.</w:t>
      </w:r>
    </w:p>
    <w:p w14:paraId="25C12ACF" w14:textId="77777777" w:rsidR="003754FE" w:rsidRDefault="003754FE" w:rsidP="003754FE">
      <w:pPr>
        <w:pStyle w:val="TextoNormal"/>
      </w:pPr>
    </w:p>
    <w:p w14:paraId="7DD3C8AE" w14:textId="77777777" w:rsidR="003754FE" w:rsidRDefault="003754FE" w:rsidP="003754FE">
      <w:pPr>
        <w:pStyle w:val="TextoNormal"/>
      </w:pPr>
      <w:r>
        <w:t xml:space="preserve">(ii) Y, en segundo término, considera que concurre, también, la falta de especial trascendencia constitucional del recurso, pues, frente a la apreciada por este tribunal en la providencia de admisión, esto es la inexistencia de doctrina constitucional sobre un problema o faceta del derecho a la tutela judicial efectiva no examinado anteriormente, objeta que “existe jurisprudencia del Tribunal sobre el deber de diligencia del demandante en amparo en caso de error judicial y la necesidad de no haberse aquietado frente a la resolución a la que se imputa el error”, dado que “[a] pesar de la carencia argumentativa de la demanda de amparo parece claro que la cuestión a debatir es el </w:t>
      </w:r>
      <w:r w:rsidRPr="003754FE">
        <w:rPr>
          <w:i/>
        </w:rPr>
        <w:t>dies a quo</w:t>
      </w:r>
      <w:r>
        <w:t xml:space="preserve"> para el ejercicio de la acción de caducidad por error judicial y que la demandante de amparo parece poner en el momento de la realización del daño derivado del error judicial”. Cita, al respecto, las SSTC 114/1990, de 21 de junio, FJ 4, y 28/1993, de 25 de enero, FJ 4 y recoge pasajes de los fundamentos jurídicos  de ambas resoluciones.</w:t>
      </w:r>
    </w:p>
    <w:p w14:paraId="24E80E0C" w14:textId="77777777" w:rsidR="003754FE" w:rsidRDefault="003754FE" w:rsidP="003754FE">
      <w:pPr>
        <w:pStyle w:val="TextoNormal"/>
      </w:pPr>
    </w:p>
    <w:p w14:paraId="4C913F08" w14:textId="77777777" w:rsidR="003754FE" w:rsidRDefault="003754FE" w:rsidP="003754FE">
      <w:pPr>
        <w:pStyle w:val="TextoNormal"/>
      </w:pPr>
      <w:r>
        <w:t>b) En segundo término, de modo subsidiario, el abogado del Estado interesa la desestimación de la demanda de amparo por inexistencia de vulneración del derecho a la tutela judicial efectiva, en su vertiente del derecho de acceso a la jurisdicción.</w:t>
      </w:r>
    </w:p>
    <w:p w14:paraId="5D8B3BB9" w14:textId="77777777" w:rsidR="003754FE" w:rsidRDefault="003754FE" w:rsidP="003754FE">
      <w:pPr>
        <w:pStyle w:val="TextoNormal"/>
      </w:pPr>
    </w:p>
    <w:p w14:paraId="5E1DA927" w14:textId="77777777" w:rsidR="003754FE" w:rsidRDefault="003754FE" w:rsidP="003754FE">
      <w:pPr>
        <w:pStyle w:val="TextoNormal"/>
      </w:pPr>
      <w:r>
        <w:t>Comienza el análisis de fondo de la queja afirmando que el cómputo del plazo de la acción sobre error judicial del art. 293 LOPJ es una cuestión de legalidad ordinaria, toda vez que la doctrina de este tribunal (cita la STC 11/2011, de 28 de febrero) así lo ha corroborado y “solo en el caso de que la interpretación incurriera en defecto de motivación, esto es fuera irracional, arbitraria o manifiestamente carente de fundamento, podría apreciarse la vulneración del art. 24.1 CE”.</w:t>
      </w:r>
    </w:p>
    <w:p w14:paraId="1A386F0E" w14:textId="77777777" w:rsidR="003754FE" w:rsidRDefault="003754FE" w:rsidP="003754FE">
      <w:pPr>
        <w:pStyle w:val="TextoNormal"/>
      </w:pPr>
    </w:p>
    <w:p w14:paraId="6DD66C18" w14:textId="77777777" w:rsidR="003754FE" w:rsidRDefault="003754FE" w:rsidP="003754FE">
      <w:pPr>
        <w:pStyle w:val="TextoNormal"/>
      </w:pPr>
      <w:r>
        <w:t>Seguidamente, señala que la responsabilidad por error judicial o por funcionamiento anormal de la administración de justicia y la obtención de una indemnización por alguno de los dos institutos anteriores “no es un derecho fundamental”. Destaca que el procedimiento para exigir responsabilidad por error judicial y para obtener la indemnización correspondiente pasa por dos fases: La primera culmina con la declaración judicial de la existencia del error, que puede articularse a través del recurso de revisión o de la acción por error judicial, a ejercitar en el plazo de tres meses. Y la segunda, que es la de la reclamación de responsabilidad patrimonial por error, a ejercitar en el plazo de un año desde la declaración de aquel error.</w:t>
      </w:r>
    </w:p>
    <w:p w14:paraId="010FEAD6" w14:textId="77777777" w:rsidR="003754FE" w:rsidRDefault="003754FE" w:rsidP="003754FE">
      <w:pPr>
        <w:pStyle w:val="TextoNormal"/>
      </w:pPr>
    </w:p>
    <w:p w14:paraId="171E611C" w14:textId="77777777" w:rsidR="003754FE" w:rsidRDefault="003754FE" w:rsidP="003754FE">
      <w:pPr>
        <w:pStyle w:val="TextoNormal"/>
      </w:pPr>
      <w:r>
        <w:t>Se trata, pues, de “dos fases y dos plazos claramente [de revisión y/o acción por error], sin que al momento del recurso de revisión y/o acción por error se exija, como requisito, haber sufrido un daño efectivo, sino acreditar el carácter palmario del error cometido en la resolución judicial”.</w:t>
      </w:r>
    </w:p>
    <w:p w14:paraId="6702DD5C" w14:textId="77777777" w:rsidR="003754FE" w:rsidRDefault="003754FE" w:rsidP="003754FE">
      <w:pPr>
        <w:pStyle w:val="TextoNormal"/>
      </w:pPr>
    </w:p>
    <w:p w14:paraId="2A2A85CD" w14:textId="77777777" w:rsidR="003754FE" w:rsidRDefault="003754FE" w:rsidP="003754FE">
      <w:pPr>
        <w:pStyle w:val="TextoNormal"/>
      </w:pPr>
      <w:r>
        <w:t xml:space="preserve">Sobre el requisito del cómputo del plazo de caducidad de la acción por error judicial afirma que la jurisprudencia reiterada del Tribunal Supremo (cita a tal efecto la STS 398/2022, de 17 de mayo) sitúa el </w:t>
      </w:r>
      <w:r w:rsidRPr="003754FE">
        <w:rPr>
          <w:i/>
        </w:rPr>
        <w:t>dies a quo</w:t>
      </w:r>
      <w:r>
        <w:t xml:space="preserve"> “en el momento de la firmeza de la resolución judicial a la que se achaca el error” que, en este caso, “es el auto de 19 de junio de 2019”. Más adelante, subraya que reviste “una especial importancia la diligencia de la parte que demanda el error judicial, esto es que no se [haya] aquietado a la resolución a la que posteriormente achaca el error y que [haya] presentado los recursos pertinentes contra la misma”. En este sentido, hace referencia a un párrafo de la STC 334/1994, de 19 de diciembre, FJ 3.</w:t>
      </w:r>
    </w:p>
    <w:p w14:paraId="2C34E559" w14:textId="77777777" w:rsidR="003754FE" w:rsidRDefault="003754FE" w:rsidP="003754FE">
      <w:pPr>
        <w:pStyle w:val="TextoNormal"/>
      </w:pPr>
    </w:p>
    <w:p w14:paraId="2F447177" w14:textId="62EEEEEF" w:rsidR="003754FE" w:rsidRDefault="003754FE" w:rsidP="003754FE">
      <w:pPr>
        <w:pStyle w:val="TextoNormal"/>
      </w:pPr>
      <w:r>
        <w:t xml:space="preserve">Después de volver a recoger una amplia referencia del contenido de la STS 398/2022, concluye su escrito el abogado del Estado exponiendo que “dada la naturaleza de la acción por error judicial, que no requiere la existencia de daño para su ejercicio, considerándose como un presupuesto necesario para la posterior reclamación de responsabilidad patrimonial en la que sí se exigirá la constatación del daño, no es arbitraria ni irracional la jurisprudencia asentada por el Tribunal Supremo en relación con el </w:t>
      </w:r>
      <w:r w:rsidRPr="003754FE">
        <w:rPr>
          <w:i/>
        </w:rPr>
        <w:t>dies a quo</w:t>
      </w:r>
      <w:r>
        <w:t xml:space="preserve"> para el cómputo del plazo situado en el momento de la firmeza de la resolución a la que se imputa el error siempre que se haya realizado una actuación diligente por el que demanda el error con posterioridad, en este caso además había prestado su conformidad a la resolución que ahora considera causante del error”.</w:t>
      </w:r>
    </w:p>
    <w:p w14:paraId="5E5B5D84" w14:textId="77777777" w:rsidR="003754FE" w:rsidRDefault="003754FE" w:rsidP="003754FE">
      <w:pPr>
        <w:pStyle w:val="TextoNormal"/>
      </w:pPr>
    </w:p>
    <w:p w14:paraId="11705496" w14:textId="77777777" w:rsidR="003754FE" w:rsidRDefault="003754FE" w:rsidP="003754FE">
      <w:pPr>
        <w:pStyle w:val="TextoNormal"/>
      </w:pPr>
      <w:r w:rsidRPr="003754FE">
        <w:rPr>
          <w:rStyle w:val="NumeroAFNegritaCaracter"/>
        </w:rPr>
        <w:t>7</w:t>
      </w:r>
      <w:r>
        <w:t>. La fiscal ante el Tribunal Constitucional presentó su escrito de alegaciones el día 11 de julio de 2022. Interesa la inadmisión del recurso por falta de agotamiento de la vía judicial al no haber promovido la actora el incidente extraordinario de nulidad de actuaciones contra el auto de 25 de junio de 2020, ahora impugnado. Sin embargo, de modo subsidiario y para el caso en que este tribunal no apreciara el óbice procesal advertido, solicita la estimación del recurso, el reconocimiento del derecho a la tutela judicial efectiva de la demandante de amparo, por vulneración del derecho de acceso a la jurisdicción, la nulidad del auto impugnado y la retroacción de las actuaciones al momento anterior al dictado del mismo para que el Tribunal Supremo dicte nueva resolución que sea respetuosa con el derecho fundamental invocado.</w:t>
      </w:r>
    </w:p>
    <w:p w14:paraId="7C055B71" w14:textId="77777777" w:rsidR="003754FE" w:rsidRDefault="003754FE" w:rsidP="003754FE">
      <w:pPr>
        <w:pStyle w:val="TextoNormal"/>
      </w:pPr>
    </w:p>
    <w:p w14:paraId="469FA2D5" w14:textId="77777777" w:rsidR="003754FE" w:rsidRDefault="003754FE" w:rsidP="003754FE">
      <w:pPr>
        <w:pStyle w:val="TextoNormal"/>
      </w:pPr>
      <w:r>
        <w:lastRenderedPageBreak/>
        <w:t>a) Tras detallar los antecedentes fácticos que consideró más relevantes, la fiscal, con carácter previo al análisis de la cuestión de fondo suscitada por el recurso, plantea la eventual concurrencia de un óbice procesal. Alega que concurre falta de agotamiento de la vía judicial por no haber promovido un incidente extraordinario de nulidad de actuaciones contra el auto de 25 de junio de 2020 de la Sala Segunda del Tribunal Supremo, que no admitió a trámite la demanda por error judicial presentado por la actora, al reputarla extemporánea.</w:t>
      </w:r>
    </w:p>
    <w:p w14:paraId="4C223208" w14:textId="77777777" w:rsidR="003754FE" w:rsidRDefault="003754FE" w:rsidP="003754FE">
      <w:pPr>
        <w:pStyle w:val="TextoNormal"/>
      </w:pPr>
    </w:p>
    <w:p w14:paraId="337C98CC" w14:textId="77777777" w:rsidR="003754FE" w:rsidRDefault="003754FE" w:rsidP="003754FE">
      <w:pPr>
        <w:pStyle w:val="TextoNormal"/>
      </w:pPr>
      <w:r>
        <w:t xml:space="preserve">Considera la fiscal que, si la demandante denuncia la vulneración de su derecho a la tutela judicial efectiva por no habérsele permitido el acceso a la jurisdicción de su pretensión de que fuera declarado el error judicial que entendía cometido por otro auto del Juzgado de Violencia sobre la Mujer núm. 2 de Murcia, debería haberlo puesto en conocimiento del Tribunal Supremo para darle la oportunidad de poder enjuiciar su queja y, en su caso, restablecerla en su derecho. Al no haberlo hecho así, ha acudido </w:t>
      </w:r>
      <w:r w:rsidRPr="003754FE">
        <w:rPr>
          <w:i/>
        </w:rPr>
        <w:t>per saltum</w:t>
      </w:r>
      <w:r>
        <w:t xml:space="preserve"> a este tribunal y planteado la vulneración de su derecho fundamental sin haberlo hecho antes en la vía judicial.</w:t>
      </w:r>
    </w:p>
    <w:p w14:paraId="3BDBFED9" w14:textId="77777777" w:rsidR="003754FE" w:rsidRDefault="003754FE" w:rsidP="003754FE">
      <w:pPr>
        <w:pStyle w:val="TextoNormal"/>
      </w:pPr>
    </w:p>
    <w:p w14:paraId="7DBA74D8" w14:textId="77777777" w:rsidR="003754FE" w:rsidRDefault="003754FE" w:rsidP="003754FE">
      <w:pPr>
        <w:pStyle w:val="TextoNormal"/>
      </w:pPr>
      <w:r>
        <w:t>b) Subsidiariamente, para el supuesto de que este tribunal no apreciara el óbice de falta de agotamiento que ha sugerido, la fiscal propugna la estimación de la demanda de amparo por entender que ha sido vulnerado el derecho a la tutela judicial efectiva de la recurrente, en su vertiente del derecho de acceso a la jurisdicción. Le habría sido causada por el auto de 25 de junio de 2020 de la Sala de lo Penal del Tribunal Supremo que acordó la inadmisión, por extemporánea, de la demanda por error judicial presentada. Entiende que la doctrina constitucional (cita las SSTC 167/2014, de 22 de octubre; 186/2015, de 21 de septiembre; 83/2016, de 28 de abril, y la ya mencionada 6/2018) sobre este derecho exige un canon reforzado “respecto del control externo de la racionalidad de la resolución judicial que se pronuncia sobre la admisión, en cuanto está en juego el derecho de acceso a la jurisdicción”.</w:t>
      </w:r>
    </w:p>
    <w:p w14:paraId="21627506" w14:textId="77777777" w:rsidR="003754FE" w:rsidRDefault="003754FE" w:rsidP="003754FE">
      <w:pPr>
        <w:pStyle w:val="TextoNormal"/>
      </w:pPr>
    </w:p>
    <w:p w14:paraId="485A24FB" w14:textId="77777777" w:rsidR="003754FE" w:rsidRDefault="003754FE" w:rsidP="003754FE">
      <w:pPr>
        <w:pStyle w:val="TextoNormal"/>
      </w:pPr>
      <w:r>
        <w:t>Apunta el escrito del Ministerio Fiscal que la demandante no impugna que el plazo de tres meses establecido por el art. 293 LOPJ sea un plazo de caducidad, sino que lo que objeta es la interpretación que hace el Tribunal Supremo del día de inicio del cómputo del plazo, que lo sitúa en la fecha del auto de 19 de junio de 2019, que es en la que se concedió la suspensión condicional de la condena privativa de libertad, impuesta en la sentencia de igual fecha del juzgado de violencia. Para la actora, el inicio del cómputo debería ser la fecha en que se produjo el daño susceptible de la responsabilidad patrimonial por error que denuncia, es decir, la fecha del 25 de julio de 2019, por lo que, a su juicio, la demanda fue presentada dentro del plazo del art. 293 LOPJ.</w:t>
      </w:r>
    </w:p>
    <w:p w14:paraId="31C052D8" w14:textId="77777777" w:rsidR="003754FE" w:rsidRDefault="003754FE" w:rsidP="003754FE">
      <w:pPr>
        <w:pStyle w:val="TextoNormal"/>
      </w:pPr>
    </w:p>
    <w:p w14:paraId="1A97C09F" w14:textId="77777777" w:rsidR="003754FE" w:rsidRDefault="003754FE" w:rsidP="003754FE">
      <w:pPr>
        <w:pStyle w:val="TextoNormal"/>
      </w:pPr>
      <w:r>
        <w:t>A partir de esta consideración inicial, la fiscal destaca que, a la decisión judicial de inadmisión de la demanda, debe aplicársele el canon reforzado establecido por la doctrina de este tribunal sobre el derecho de acceso a la jurisdicción, que abarcará, no solo a los supuestos en que la resolución judicial de inadmisión “realice una interpretación irracional o manifiestamente errónea de los requisitos procesales establecidos en la ley, sino también en aquellos casos en los que una interpretación [de aquellos] requisitos se base en criterios excesivamente formalistas o rigurosos, que ponen de manifiesto una excesiva desproporción entre los fines a los que responde el requisito legal aplicado y el interés sacrificado con la inadmisión”.</w:t>
      </w:r>
    </w:p>
    <w:p w14:paraId="10EE16EF" w14:textId="77777777" w:rsidR="003754FE" w:rsidRDefault="003754FE" w:rsidP="003754FE">
      <w:pPr>
        <w:pStyle w:val="TextoNormal"/>
      </w:pPr>
    </w:p>
    <w:p w14:paraId="4071B37F" w14:textId="77777777" w:rsidR="003754FE" w:rsidRDefault="003754FE" w:rsidP="003754FE">
      <w:pPr>
        <w:pStyle w:val="TextoNormal"/>
      </w:pPr>
      <w:r>
        <w:lastRenderedPageBreak/>
        <w:t>La fiscal entiende que la interpretación realizada por la Sala de lo Penal del Tribunal Supremo es “formalista que atiende, exclusivamente, al momento en que se dicta la resolución judicial incursa en el error que la demandante pretende sea reconocido, pero que prescinde de la propia naturaleza del procedimiento de la acción judicial de declaración del error y de su finalidad”. Agrega que, en el auto, el Tribunal Supremo “no hace ninguna consideración sobre la materialización del daño por el que la demandante reclama ser indemnizada, que es la muerte del hijo producida el 25 de julio de 2019, que permita conocer los motivos por los que se descarta su relevancia en el cómputo del plazo”. Destaca más adelante que “el ejercicio de la acción judicial de reconocimiento del error no puede desvincularse de la existencia de un daño real y efectivo cuya reparación por vía de indemnización se pretende”. Por tanto, entiende la fiscal que “[n]o cabe exigir instar la acción de reconocimiento de error judicial, como presupuesto para acudir a la reclamación de responsabilidad patrimonial por daños, sin que estos se hayan producido o materializado”.</w:t>
      </w:r>
    </w:p>
    <w:p w14:paraId="497406AA" w14:textId="77777777" w:rsidR="003754FE" w:rsidRDefault="003754FE" w:rsidP="003754FE">
      <w:pPr>
        <w:pStyle w:val="TextoNormal"/>
      </w:pPr>
    </w:p>
    <w:p w14:paraId="45996CB2" w14:textId="77777777" w:rsidR="003754FE" w:rsidRDefault="003754FE" w:rsidP="003754FE">
      <w:pPr>
        <w:pStyle w:val="TextoNormal"/>
      </w:pPr>
      <w:r>
        <w:t xml:space="preserve">Destaca la fiscal que, en el presente caso, habiéndose producido el daño por la muerte del hijo el precitado día 25 de julio de 2019, “no cabe entender que antes de esa fecha pudo ejercerse la acción judicial para el reconocimiento del error judicial al que se atribuye el daño, debiendo considerar esa fecha el </w:t>
      </w:r>
      <w:r w:rsidRPr="003754FE">
        <w:rPr>
          <w:i/>
        </w:rPr>
        <w:t>dies a quo</w:t>
      </w:r>
      <w:r>
        <w:t xml:space="preserve"> del plazo de los tres meses para instar la acción de reconocimiento del error judicial”. Por tanto, habiéndose presentado la demanda para el reconocimiento del error judicial el día 23 de octubre de 2019 (la fiscal, por error inducido por el propio auto, alude al día 13 de octubre) “no había precluido el plazo de los tres meses que establece el art. 293.1 a) de la LOPJ”.</w:t>
      </w:r>
    </w:p>
    <w:p w14:paraId="5491A089" w14:textId="77777777" w:rsidR="003754FE" w:rsidRDefault="003754FE" w:rsidP="003754FE">
      <w:pPr>
        <w:pStyle w:val="TextoNormal"/>
      </w:pPr>
    </w:p>
    <w:p w14:paraId="3F38FDE8" w14:textId="4423C26E" w:rsidR="003754FE" w:rsidRDefault="003754FE" w:rsidP="003754FE">
      <w:pPr>
        <w:pStyle w:val="TextoNormal"/>
      </w:pPr>
      <w:r>
        <w:t>En consecuencia, considera el Ministerio Fiscal que la interpretación realizada por el Tribunal Supremo sobre la determinación de la fecha de inicio del cómputo del plazo para el ejercicio de la acción por error judicial “vulnera” el derecho de acceso a la jurisdicción de la actora, “pues establece el inicio del cómputo del plazo en el momento en que se dicta la resolución judicial a la que se atribuye el error, prescindiendo esta resolución de la efectiva materialización del daño, sin cuya producción no surge el derecho de reclamación de indemnización, ni cabe instar el presupuesto habilitante del reconocimiento del error judicial”.</w:t>
      </w:r>
    </w:p>
    <w:p w14:paraId="74CCF0FC" w14:textId="77777777" w:rsidR="003754FE" w:rsidRDefault="003754FE" w:rsidP="003754FE">
      <w:pPr>
        <w:pStyle w:val="TextoNormal"/>
      </w:pPr>
    </w:p>
    <w:p w14:paraId="1703E5BE" w14:textId="63D0BCC1" w:rsidR="003754FE" w:rsidRDefault="003754FE" w:rsidP="003754FE">
      <w:pPr>
        <w:pStyle w:val="TextoNormal"/>
      </w:pPr>
      <w:r w:rsidRPr="003754FE">
        <w:rPr>
          <w:rStyle w:val="NumeroAFNegritaCaracter"/>
        </w:rPr>
        <w:t>8</w:t>
      </w:r>
      <w:r>
        <w:t>. Por medio de diligencia de 13 de julio de 2022, el letrado de la administración de justicia hace constar que se han recibido escritos de alegaciones del abogado del Estado y del Ministerio Fiscal, sin que la representación de la demandante de amparo lo haya presentado.</w:t>
      </w:r>
    </w:p>
    <w:p w14:paraId="6E2E2290" w14:textId="77777777" w:rsidR="003754FE" w:rsidRDefault="003754FE" w:rsidP="003754FE">
      <w:pPr>
        <w:pStyle w:val="TextoNormal"/>
      </w:pPr>
    </w:p>
    <w:p w14:paraId="06F29B9A" w14:textId="7CE17B48" w:rsidR="003754FE" w:rsidRDefault="003754FE" w:rsidP="003754FE">
      <w:pPr>
        <w:pStyle w:val="TextoNormal"/>
      </w:pPr>
      <w:r w:rsidRPr="003754FE">
        <w:rPr>
          <w:rStyle w:val="NumeroAFNegritaCaracter"/>
        </w:rPr>
        <w:t>9</w:t>
      </w:r>
      <w:r>
        <w:t>. Por providencia de 12 de septiembre de 2022, la Sala Segunda acordó proponer la avocación al Pleno del presente recurso de amparo, de conformidad con lo dispuesto en el art. 10.1 n) LOTC. La avocación propuesta fue aceptada por el Pleno, que recabó para sí el conocimiento del recurso mediante providencia de 29 de septiembre de 2022.</w:t>
      </w:r>
    </w:p>
    <w:p w14:paraId="4476D176" w14:textId="77777777" w:rsidR="003754FE" w:rsidRDefault="003754FE" w:rsidP="003754FE">
      <w:pPr>
        <w:pStyle w:val="TextoNormal"/>
      </w:pPr>
    </w:p>
    <w:p w14:paraId="6770A221" w14:textId="6708B735" w:rsidR="003754FE" w:rsidRDefault="003754FE" w:rsidP="003754FE">
      <w:pPr>
        <w:pStyle w:val="TextoNormal"/>
      </w:pPr>
      <w:r w:rsidRPr="003754FE">
        <w:rPr>
          <w:rStyle w:val="NumeroAFNegritaCaracter"/>
        </w:rPr>
        <w:t>10</w:t>
      </w:r>
      <w:r>
        <w:t>. Mediante providencia de 24 de septiembre de 2024 se señaló para deliberación y votación de la presente sentencia el día 25 del mismo mes y año.</w:t>
      </w:r>
    </w:p>
    <w:p w14:paraId="6B083AF5" w14:textId="77777777" w:rsidR="003754FE" w:rsidRDefault="003754FE" w:rsidP="003754FE">
      <w:pPr>
        <w:pStyle w:val="TextoNormal"/>
      </w:pPr>
    </w:p>
    <w:p w14:paraId="64599DC8" w14:textId="77777777" w:rsidR="003754FE" w:rsidRDefault="003754FE" w:rsidP="003754FE">
      <w:pPr>
        <w:pStyle w:val="TextoNormalNegritaCentrado"/>
        <w:keepNext/>
      </w:pPr>
      <w:r>
        <w:lastRenderedPageBreak/>
        <w:t>II. Fundamentos jurídicos</w:t>
      </w:r>
    </w:p>
    <w:p w14:paraId="3F5F2A62" w14:textId="40E9CC91" w:rsidR="003754FE" w:rsidRDefault="003754FE" w:rsidP="003754FE">
      <w:pPr>
        <w:pStyle w:val="TextoNormalNegritaCentrado"/>
        <w:keepNext/>
      </w:pPr>
    </w:p>
    <w:p w14:paraId="66DDB24D" w14:textId="77777777" w:rsidR="003754FE" w:rsidRDefault="003754FE" w:rsidP="003754FE">
      <w:pPr>
        <w:pStyle w:val="TextoNormal"/>
      </w:pPr>
      <w:r w:rsidRPr="003754FE">
        <w:rPr>
          <w:rStyle w:val="NumeroAFNegritaCaracter"/>
        </w:rPr>
        <w:t>1</w:t>
      </w:r>
      <w:r>
        <w:t xml:space="preserve">. </w:t>
      </w:r>
      <w:r w:rsidRPr="003754FE">
        <w:rPr>
          <w:i/>
        </w:rPr>
        <w:t>Delimitación del objeto del recurso de amparo y pretensiones de las partes</w:t>
      </w:r>
    </w:p>
    <w:p w14:paraId="53D24C97" w14:textId="77777777" w:rsidR="003754FE" w:rsidRDefault="003754FE" w:rsidP="003754FE">
      <w:pPr>
        <w:pStyle w:val="TextoNormal"/>
      </w:pPr>
    </w:p>
    <w:p w14:paraId="4DAB2A54" w14:textId="77777777" w:rsidR="003754FE" w:rsidRDefault="003754FE" w:rsidP="003754FE">
      <w:pPr>
        <w:pStyle w:val="TextoNormal"/>
      </w:pPr>
      <w:r>
        <w:t>La demanda de amparo impugna el auto de 25 de junio de 2020, dictado por la Sala de lo Penal del Tribunal Supremo, que inadmitió a trámite, por extemporánea, la demanda de error judicial presentada por la ahora recurrente de amparo.</w:t>
      </w:r>
    </w:p>
    <w:p w14:paraId="6795134B" w14:textId="77777777" w:rsidR="003754FE" w:rsidRDefault="003754FE" w:rsidP="003754FE">
      <w:pPr>
        <w:pStyle w:val="TextoNormal"/>
      </w:pPr>
    </w:p>
    <w:p w14:paraId="3E4AFDCD" w14:textId="77777777" w:rsidR="003754FE" w:rsidRDefault="003754FE" w:rsidP="003754FE">
      <w:pPr>
        <w:pStyle w:val="TextoNormal"/>
      </w:pPr>
      <w:r>
        <w:t>La demandante denuncia que la resolución impugnada ha vulnerado su derecho a la tutela judicial efectiva (art. 24.1 CE), en su vertiente de derecho de acceso a la jurisdicción porque entiende que el órgano judicial ha hecho una interpretación “totalmente errónea” del cómputo del plazo para el ejercicio de la acción para el reconocimiento del error judicial establecido en el art. 293.1 a) LOPJ. Señala, al respecto, que la Sala ha computado, equivocadamente, como fecha de inicio del cómputo del plazo de caducidad de tres meses “a partir del día en que pudo ejercitarse” la del día 19 de junio de 2019, fecha del dictado y de la notificación del auto del Juzgado de Violencia sobre la Mujer núm. 2 de Murcia, por el que se acordó la suspensión condicional de la pena de privación de libertad que le había sido impuesta a su exmarido por la comisión de un delito de quebrantamiento de una condena anterior que, igualmente, le había sido impuesta por otro delito de malos tratos en el ámbito familiar. En la sentencia anterior el mismo órgano judicial había acordado, además de la suspensión condicional de la ejecución de una pena privativa de libertad, otras medidas como eran, la de la prohibición de aproximarse a la recurrente a menos de cien metros, y la de comunicarse con ella durante un período de dieciséis meses, que el exmarido incumplió.</w:t>
      </w:r>
    </w:p>
    <w:p w14:paraId="79178B2E" w14:textId="77777777" w:rsidR="003754FE" w:rsidRDefault="003754FE" w:rsidP="003754FE">
      <w:pPr>
        <w:pStyle w:val="TextoNormal"/>
      </w:pPr>
    </w:p>
    <w:p w14:paraId="6E8D9255" w14:textId="77777777" w:rsidR="003754FE" w:rsidRDefault="003754FE" w:rsidP="003754FE">
      <w:pPr>
        <w:pStyle w:val="TextoNormal"/>
      </w:pPr>
      <w:r>
        <w:t xml:space="preserve">La demanda entiende que el precitado plazo debería haber empezado a correr el día 25 de julio de 2019, fecha en la que el condenado, durante el período de suspensión condicional de la ejecución de la pena privativa de libertad, mató al hijo de ambos, que tenía once años, y posteriormente se suicidó. Según refiere, el plazo de los tres meses debería haberse computado desde esa última fecha, pues es cuando el daño susceptible de resarcimiento patrimonial por error judicial se había producido y no el de la fecha del dictado de la resolución judicial. De haber entendido el Tribunal Supremo que la fecha de la muerte violenta del hijo, en cuanto fecha del daño resarcible, era la del </w:t>
      </w:r>
      <w:r w:rsidRPr="003754FE">
        <w:rPr>
          <w:i/>
        </w:rPr>
        <w:t>dies a quo</w:t>
      </w:r>
      <w:r>
        <w:t xml:space="preserve"> del inicio del cómputo, la demanda sobre error judicial, presentada el día 23 de octubre de 2019, no habría devenido en extemporánea porque habría ingresado en el registro del Tribunal Supremo dentro de los tres meses del plazo legal.</w:t>
      </w:r>
    </w:p>
    <w:p w14:paraId="0366B974" w14:textId="77777777" w:rsidR="003754FE" w:rsidRDefault="003754FE" w:rsidP="003754FE">
      <w:pPr>
        <w:pStyle w:val="TextoNormal"/>
      </w:pPr>
    </w:p>
    <w:p w14:paraId="2A5CB2CB" w14:textId="77777777" w:rsidR="003754FE" w:rsidRDefault="003754FE" w:rsidP="003754FE">
      <w:pPr>
        <w:pStyle w:val="TextoNormal"/>
      </w:pPr>
      <w:r>
        <w:t xml:space="preserve">En definitiva, considera que la interpretación realizada por el auto impugnado vulnera su derecho a la tutela judicial efectiva, en su vertiente del derecho de acceso a la jurisdicción, que exige un canon reforzado de motivación para preservar el principio </w:t>
      </w:r>
      <w:r w:rsidRPr="003754FE">
        <w:rPr>
          <w:i/>
        </w:rPr>
        <w:t>pro actione</w:t>
      </w:r>
      <w:r>
        <w:t>, lo que no ha respetado la resolución del Alto Tribunal.</w:t>
      </w:r>
    </w:p>
    <w:p w14:paraId="65092DA6" w14:textId="77777777" w:rsidR="003754FE" w:rsidRDefault="003754FE" w:rsidP="003754FE">
      <w:pPr>
        <w:pStyle w:val="TextoNormal"/>
      </w:pPr>
    </w:p>
    <w:p w14:paraId="029A5591" w14:textId="77777777" w:rsidR="003754FE" w:rsidRDefault="003754FE" w:rsidP="003754FE">
      <w:pPr>
        <w:pStyle w:val="TextoNormal"/>
      </w:pPr>
      <w:r>
        <w:t xml:space="preserve">Por su parte, el abogado del Estado interesa la inadmisión de la demanda por la concurrencia de un doble óbice procesal. De una parte, considera que la demandante ha acudido </w:t>
      </w:r>
      <w:r w:rsidRPr="003754FE">
        <w:rPr>
          <w:i/>
        </w:rPr>
        <w:t>per saltum</w:t>
      </w:r>
      <w:r>
        <w:t xml:space="preserve"> a este tribunal presentando la demanda de amparo sin haber agotado la vía judicial, toda vez que no ha promovido incidente extraordinario de nulidad de actuaciones contra el auto del Tribunal Supremo, invocando la vulneración del derecho fundamental que ahora denuncia. De otro lado, entiende que el asunto no tiene especial trascendencia constitucional, pues, a diferencia de lo que ha resuelto este tribunal en la providencia de </w:t>
      </w:r>
      <w:r>
        <w:lastRenderedPageBreak/>
        <w:t xml:space="preserve">admisión, hay doctrina constitucional (cita las SSTC 114/1990, de 21 de junio, y 28/1993, de 25 de enero) sobre el deber de diligencia que pesa sobre el recurrente en caso de error judicial y “la necesidad de no haberse aquietado frente a la resolución a la que se imputa el error”. De modo subsidiario, solicita la desestimación del recurso porque la cuestión que suscita la queja, cómputo del plazo de la acción judicial para exigir la declaración de error judicial, es de legalidad ordinaria y el Tribunal Supremo ha dictado una resolución motivada en la que explica, de acuerdo con la jurisprudencia, que el </w:t>
      </w:r>
      <w:r w:rsidRPr="003754FE">
        <w:rPr>
          <w:i/>
        </w:rPr>
        <w:t>dies a quo</w:t>
      </w:r>
      <w:r>
        <w:t xml:space="preserve"> a partir del cual debe iniciarse el cómputo del plazo para el ejercicio de la acción de declaración del error judicial es el de la fecha de notificación de la resolución que haya incurrido en aquel error y no desde la fecha en que haya tenido lugar el posible daño resarcible.</w:t>
      </w:r>
    </w:p>
    <w:p w14:paraId="7A1879DD" w14:textId="77777777" w:rsidR="003754FE" w:rsidRDefault="003754FE" w:rsidP="003754FE">
      <w:pPr>
        <w:pStyle w:val="TextoNormal"/>
      </w:pPr>
    </w:p>
    <w:p w14:paraId="5D00345D" w14:textId="75E24D2A" w:rsidR="003754FE" w:rsidRDefault="003754FE" w:rsidP="003754FE">
      <w:pPr>
        <w:pStyle w:val="TextoNormal"/>
      </w:pPr>
      <w:r>
        <w:t>Finalmente, el Ministerio Fiscal propugna inicialmente la inadmisión del recurso porque, al igual que el abogado del Estado y por la misma razón que argumenta este, aprecia el óbice de falta de agotamiento de la vía judicial previa. De modo subsidiario, interesa la estimación del recurso porque entiende que el auto del Tribunal Supremo impugnado ha vulnerado el derecho de la recurrente a la tutela judicial efectiva, en su vertiente del derecho de acceso a la jurisdicción. Según señala, aquella resolución habría adoptado un planteamiento estrictamente formalista y excesivamente rigorista sobre el criterio de determinación de la fecha inicial del cómputo para el ejercicio de la acción de reclamación de error judicial, al haber tenido en cuenta únicamente la fecha de la resolución judicial que, eventualmente, habría incurrido en el error judicial y, sin embargo, no ha tomado en consideración la del posible daño resarcible, que era la del día de la muerte del hijo menor de edad causada por el exmarido de la recurrente.</w:t>
      </w:r>
    </w:p>
    <w:p w14:paraId="5FED3584" w14:textId="77777777" w:rsidR="003754FE" w:rsidRDefault="003754FE" w:rsidP="003754FE">
      <w:pPr>
        <w:pStyle w:val="TextoNormal"/>
      </w:pPr>
    </w:p>
    <w:p w14:paraId="1EA4591B" w14:textId="77777777" w:rsidR="003754FE" w:rsidRDefault="003754FE" w:rsidP="003754FE">
      <w:pPr>
        <w:pStyle w:val="TextoNormal"/>
      </w:pPr>
      <w:r w:rsidRPr="003754FE">
        <w:rPr>
          <w:rStyle w:val="NumeroAFNegritaCaracter"/>
        </w:rPr>
        <w:t>2</w:t>
      </w:r>
      <w:r>
        <w:t xml:space="preserve">. </w:t>
      </w:r>
      <w:r w:rsidRPr="003754FE">
        <w:rPr>
          <w:i/>
        </w:rPr>
        <w:t>Óbices procesales y especial trascendencia constitucional del recurso</w:t>
      </w:r>
    </w:p>
    <w:p w14:paraId="3C7BF5B2" w14:textId="77777777" w:rsidR="003754FE" w:rsidRDefault="003754FE" w:rsidP="003754FE">
      <w:pPr>
        <w:pStyle w:val="TextoNormal"/>
      </w:pPr>
    </w:p>
    <w:p w14:paraId="6D6C372F" w14:textId="77777777" w:rsidR="003754FE" w:rsidRDefault="003754FE" w:rsidP="003754FE">
      <w:pPr>
        <w:pStyle w:val="TextoNormal"/>
      </w:pPr>
      <w:r>
        <w:t>a) Como, de modo reiterado, ha declarado este tribunal, la admisión a trámite de la demanda de amparo no es obstáculo “para que este tribunal pueda abordar de nuevo o reconsiderar, incluso de oficio, el análisis de los presupuestos de viabilidad del amparo en fase de sentencia y, en caso de comprobar su inobservancia, dictar un pronunciamiento de inadmisión del recurso o, en su caso, del motivo del recurso afectado por tal incumplimiento, tal como hemos destacado en la doctrina de este tribunal (por todas, SSTC 73/2008, de 23 de junio, FJ 2; 99/2009, de 27 de abril, FJ 2, y 105/2011, de 20 de junio, FJ 2)” (SSTC 10/2022, de 7 de febrero, FJ 2, que cita, también, la 140/2013, de 8 de julio, FJ 2).</w:t>
      </w:r>
    </w:p>
    <w:p w14:paraId="412693E4" w14:textId="77777777" w:rsidR="003754FE" w:rsidRDefault="003754FE" w:rsidP="003754FE">
      <w:pPr>
        <w:pStyle w:val="TextoNormal"/>
      </w:pPr>
    </w:p>
    <w:p w14:paraId="6217A101" w14:textId="77777777" w:rsidR="003754FE" w:rsidRDefault="003754FE" w:rsidP="003754FE">
      <w:pPr>
        <w:pStyle w:val="TextoNormal"/>
      </w:pPr>
      <w:r>
        <w:t>Así, como se ha anticipado, el abogado del Estado y el Ministerio Fiscal coinciden en sostener la concurrencia del óbice de falta de agotamiento de la vía judicial previa, conforme al art. 50.1 a) en relación con el art. 44.1 a) LOTC, por no haber formalizado el incidente extraordinario de nulidad de actuaciones contra el auto de 25 de junio de 2020 de la Sala de lo Penal del Tribunal Supremo. Ambos afirman que la actora debería haber denunciado la vulneración del derecho a la tutela judicial efectiva, en su vertiente del derecho de acceso a la jurisdicción, como paso previo a la interposición del recurso de amparo, por lo que interesan la inadmisión de la demanda, aunque lo sea ya en este trámite de sentencia. Por su parte, el abogado del Estado también pretende la inadmisión del recurso de amparo por su falta de especial trascendencia constitucional.</w:t>
      </w:r>
    </w:p>
    <w:p w14:paraId="767C546A" w14:textId="77777777" w:rsidR="003754FE" w:rsidRDefault="003754FE" w:rsidP="003754FE">
      <w:pPr>
        <w:pStyle w:val="TextoNormal"/>
      </w:pPr>
    </w:p>
    <w:p w14:paraId="0EAB04D3" w14:textId="77777777" w:rsidR="003754FE" w:rsidRDefault="003754FE" w:rsidP="003754FE">
      <w:pPr>
        <w:pStyle w:val="TextoNormal"/>
      </w:pPr>
      <w:r>
        <w:t xml:space="preserve">b) Conviene indicar, como precisión previa, que este tribunal ha declarado reiteradamente que “el incidente de nulidad de actuaciones cumple una “función institucional […] </w:t>
      </w:r>
      <w:r>
        <w:lastRenderedPageBreak/>
        <w:t xml:space="preserve">como instrumento de tutela de derechos fundamentales ante la jurisdicción ordinaria” (STC 9/2014, de 27 de enero, FJ 3, por todas). Además, ha precisado que constituye “la última vía que permit[e] la reparación de la vulneración denunciada” (SSTC 153/2012, de 16 de julio, FJ 3; 2/2013, de 14 de enero, FJ 5, y 9/2014, de 27 de enero, FJ 3). Igualmente, ha sostenido de forma unánime y constante que el requisito del art. 44.1 a) LOTC responde “a la finalidad de preservar el carácter subsidiario del recurso de amparo, evitando que el acceso a esta jurisdicción constitucional se produzca </w:t>
      </w:r>
      <w:r w:rsidRPr="003754FE">
        <w:rPr>
          <w:i/>
        </w:rPr>
        <w:t>per saltum</w:t>
      </w:r>
      <w:r>
        <w:t>, es decir, sin brindar a los órganos judiciales la oportunidad de pronunciarse y, en su caso, remediar la lesión invocada como fundamento del recurso de amparo” (STC 59/2022, de 9 de mayo, FJ 2, por todas).</w:t>
      </w:r>
    </w:p>
    <w:p w14:paraId="4FB17BBF" w14:textId="77777777" w:rsidR="003754FE" w:rsidRDefault="003754FE" w:rsidP="003754FE">
      <w:pPr>
        <w:pStyle w:val="TextoNormal"/>
      </w:pPr>
    </w:p>
    <w:p w14:paraId="46F7BC80" w14:textId="77777777" w:rsidR="003754FE" w:rsidRDefault="003754FE" w:rsidP="003754FE">
      <w:pPr>
        <w:pStyle w:val="TextoNormal"/>
      </w:pPr>
      <w:r>
        <w:t>Sin embargo, también “nuestra jurisprudencia ha subrayado que ‘a efectos del agotamiento de la vía judicial solo son exigibles los cauces procesales cuya viabilidad no ofrezca dudas interpretativas’ (STC 106/2005, de 9 de mayo, FJ 2) y que ‘el art. 44.1 a) LOTC únicamente impone la utilización de los recursos o instrumentos de impugnación cuya procedencia se desprenda de modo claro, terminante e inequívoco del tenor de las previsiones legales, sin dudas que hayan de resolverse con criterios interpretativos de alguna dificultad’[…], máxime, cuando, además, ‘el recurrente obra en la creencia de que hace lo correcto’ (STC 241/2006, de 20 de julio, FJ 3), absteniéndose de emplear un recurso cuya procedencia podría ser razonablemente dudosa” (STC 31/2019, de 28 de febrero, FJ 3).</w:t>
      </w:r>
    </w:p>
    <w:p w14:paraId="16F99946" w14:textId="77777777" w:rsidR="003754FE" w:rsidRDefault="003754FE" w:rsidP="003754FE">
      <w:pPr>
        <w:pStyle w:val="TextoNormal"/>
      </w:pPr>
    </w:p>
    <w:p w14:paraId="25B0E1E9" w14:textId="77777777" w:rsidR="003754FE" w:rsidRDefault="003754FE" w:rsidP="003754FE">
      <w:pPr>
        <w:pStyle w:val="TextoNormal"/>
      </w:pPr>
      <w:r>
        <w:t>A partir de la doctrina constitucional expuesta habría que comenzar diciendo que, desde una perspectiva estrictamente formal, la recurrente no ha invocado expresamente la vulneración de su derecho de acceso a la jurisdicción en la vía judicial cuando el auto del Tribunal Supremo impugnado acordó la inadmisión a trámite, por extemporánea, de la demanda sobre error judicial que aquella había presentado. Bastaría, pues, con la apreciación en esta sentencia de que la actora no ha denunciado formalmente la vulneración del derecho ante el órgano judicial, por omisión del incidente de nulidad de actuaciones, para acordar la inadmisión de la demanda de amparo ante la falta de agotamiento de aquella vía judicial.</w:t>
      </w:r>
    </w:p>
    <w:p w14:paraId="1DBAB8CD" w14:textId="77777777" w:rsidR="003754FE" w:rsidRDefault="003754FE" w:rsidP="003754FE">
      <w:pPr>
        <w:pStyle w:val="TextoNormal"/>
      </w:pPr>
    </w:p>
    <w:p w14:paraId="56491441" w14:textId="77777777" w:rsidR="003754FE" w:rsidRDefault="003754FE" w:rsidP="003754FE">
      <w:pPr>
        <w:pStyle w:val="TextoNormal"/>
      </w:pPr>
      <w:r>
        <w:t>Sin embargo, en el presente caso y desde un plano material, este tribunal no considera que la promoción del incidente de nulidad de actuaciones fuera claramente exigible, teniendo en cuenta la causa que determinó la inadmisión de la demanda sobre error judicial que apreció el Tribunal Supremo y las circunstancias que concurrieron en el mismo. En este sentido, este tribunal ha venido reiterando que el requisito de agotar la vía judicial antes de interponer el recurso de amparo “ha de ser interpretado de manera flexible y finalista” (entre otras muchas, SSTC 133/2001, de 13 de junio, FJ 3; 190/2001, de 1 de octubre, FJ 2; 164/2003, de 29 de septiembre, FJ 2; 144/2007, de 18 de junio, FJ 2, y 18/2009, de 26 de enero), así como que en el análisis del cumplimiento de este requisito “deben ser objeto de adecuada ponderación las peculiares circunstancias que inciden sobre el supuesto enjuiciado” (STC 18/2009, de 26 de enero, FJ 2).</w:t>
      </w:r>
    </w:p>
    <w:p w14:paraId="6B0FEC40" w14:textId="77777777" w:rsidR="003754FE" w:rsidRDefault="003754FE" w:rsidP="003754FE">
      <w:pPr>
        <w:pStyle w:val="TextoNormal"/>
      </w:pPr>
    </w:p>
    <w:p w14:paraId="296F2123" w14:textId="77777777" w:rsidR="003754FE" w:rsidRDefault="003754FE" w:rsidP="003754FE">
      <w:pPr>
        <w:pStyle w:val="TextoNormal"/>
      </w:pPr>
      <w:r>
        <w:t xml:space="preserve">Como se ha anticipado, el Alto Tribunal declaró la extemporaneidad de la demanda con el argumento de que el cómputo del plazo de caducidad de la acción para instar la declaración de error judicial debía iniciarse a partir del día 19 de junio de 2019, fecha en la que fue dictado y notificado el auto del Juzgado de Violencia sobre la Mujer núm. 2 de Murcia, que, a juicio de la actora, era la resolución judicial incursa en error. Sin embargo, la demandante había planteado previamente que el hecho que, a su juicio, era el que le había generado el daño susceptible de resarcimiento por responsabilidad patrimonial del Estado era el de la </w:t>
      </w:r>
      <w:r>
        <w:lastRenderedPageBreak/>
        <w:t>muerte violenta del hijo menor de edad presuntamente causada por su padre, que posteriormente se suicidó, y, en consecuencia, era a partir de la fecha en que sucedió este hecho luctuoso, la del 25 de julio de 2019, en que debería iniciarse el cómputo del plazo de caducidad de los tres meses establecido por el art. 293.1 a) LOPJ. A su entender, fue en ese día en el que el error judicial apreciado se materializó en el daño causado a la actora, susceptible del resarcimiento.</w:t>
      </w:r>
    </w:p>
    <w:p w14:paraId="51B207F7" w14:textId="77777777" w:rsidR="003754FE" w:rsidRDefault="003754FE" w:rsidP="003754FE">
      <w:pPr>
        <w:pStyle w:val="TextoNormal"/>
      </w:pPr>
    </w:p>
    <w:p w14:paraId="3FE8DC08" w14:textId="77777777" w:rsidR="003754FE" w:rsidRDefault="003754FE" w:rsidP="003754FE">
      <w:pPr>
        <w:pStyle w:val="TextoNormal"/>
      </w:pPr>
      <w:r>
        <w:t xml:space="preserve">Pues bien, es esa, precisamente, la cuestión que ha sido objeto de valoración por la Sala Segunda del Tribunal Supremo y por la que, con desestimación de aquella tesis de la parte, ha llegado a la conclusión de que el </w:t>
      </w:r>
      <w:r w:rsidRPr="003754FE">
        <w:rPr>
          <w:i/>
        </w:rPr>
        <w:t>dies a quo</w:t>
      </w:r>
      <w:r>
        <w:t xml:space="preserve"> no era el que indicaba la demandante sino el de notificación del auto de 19 de junio de 2019. Por tanto, la cuestión sobre la que ahora se suscita la controversia, que en la demanda de amparo se vincula al derecho de la parte a la tutela judicial efectiva, es la misma que ya fue introducida en el proceso judicial por aquella y valorada por el órgano judicial, por lo que, de conformidad con nuestra doctrina, no era exigencia inexcusable la presentación del incidente extraordinario de nulidad de actuaciones para denunciar formalmente la vulneración del precitado derecho, toda vez que la causa de inadmisión apreciada por el auto impugnado deriva de la tesis desestimatoria del Tribunal Supremo sobre la fecha de inicio del cómputo del plazo del art. 293.1 a) LOPJ, propuesta por la parte en la demanda sobre error judicial. Esta cuestión fue valorada por la Sala de lo Penal del Tribunal Supremo, que la rechazó en su auto y no exigiría la promoción del incidente de nulidad de actuaciones, que, necesariamente, tendría que haberse referido a la misma cuestión.</w:t>
      </w:r>
    </w:p>
    <w:p w14:paraId="3F2A61A1" w14:textId="77777777" w:rsidR="003754FE" w:rsidRDefault="003754FE" w:rsidP="003754FE">
      <w:pPr>
        <w:pStyle w:val="TextoNormal"/>
      </w:pPr>
    </w:p>
    <w:p w14:paraId="37D1C8CE" w14:textId="77777777" w:rsidR="003754FE" w:rsidRDefault="003754FE" w:rsidP="003754FE">
      <w:pPr>
        <w:pStyle w:val="TextoNormal"/>
      </w:pPr>
      <w:r>
        <w:t>En consecuencia, debemos desestimar el óbice procesal invocado por el abogado del Estado y por el Ministerio Fiscal.</w:t>
      </w:r>
    </w:p>
    <w:p w14:paraId="6423D99A" w14:textId="77777777" w:rsidR="003754FE" w:rsidRDefault="003754FE" w:rsidP="003754FE">
      <w:pPr>
        <w:pStyle w:val="TextoNormal"/>
      </w:pPr>
    </w:p>
    <w:p w14:paraId="3D078F03" w14:textId="77777777" w:rsidR="003754FE" w:rsidRDefault="003754FE" w:rsidP="003754FE">
      <w:pPr>
        <w:pStyle w:val="TextoNormal"/>
      </w:pPr>
      <w:r>
        <w:t>c) Por lo que se refiere a la alegación del abogado del Estado de que el recurso de amparo carece de especial trascendencia constitucional y, en consecuencia, procedería su inadmisión, este tribunal debe recordar que, conforme a una jurisprudencia constitucional reiterada, esta exigencia de admisibilidad, que no es de carácter procesal, sino referida al fondo del asunto, es apreciada por el tribunal en cada caso en el momento de admitir a trámite el recurso de amparo, de acuerdo con lo exigido por el art. 50.1 LOTC, sin que sea susceptible de reconsideración en el momento de la sentencia [SSTC 80/2020, de 15 de julio, FJ 2; 155/2020, de 4 de noviembre, FJ 2; 2/2022, de 24 de enero, FJ 2, y 65/2023, de 6 de junio, FJ 2 (iii)].</w:t>
      </w:r>
    </w:p>
    <w:p w14:paraId="1579A58C" w14:textId="77777777" w:rsidR="003754FE" w:rsidRDefault="003754FE" w:rsidP="003754FE">
      <w:pPr>
        <w:pStyle w:val="TextoNormal"/>
      </w:pPr>
    </w:p>
    <w:p w14:paraId="4B3B2CFF" w14:textId="77777777" w:rsidR="003754FE" w:rsidRDefault="003754FE" w:rsidP="003754FE">
      <w:pPr>
        <w:pStyle w:val="TextoNormal"/>
      </w:pPr>
      <w:r>
        <w:t xml:space="preserve">En cualquier caso, con el fin de exponer las razones por las que se consideró que concurre la especial trascendencia constitucional del recurso (STEDH de 20 de enero de 2015, asunto </w:t>
      </w:r>
      <w:r w:rsidRPr="003754FE">
        <w:rPr>
          <w:i/>
        </w:rPr>
        <w:t>Arribas Antón c. España</w:t>
      </w:r>
      <w:r>
        <w:t>, § 46), con el objeto de hacer así recognoscibles los criterios de aplicación empleados al respecto (STC 9/2015, de 2 de febrero, FJ 3), debemos ahora reiterar que el recurso plantea un problema o afecta a una faceta de un derecho fundamental sobre el que no hay doctrina de este tribunal [STC 155/2009, FJ 2 a)].</w:t>
      </w:r>
    </w:p>
    <w:p w14:paraId="294AA6FA" w14:textId="77777777" w:rsidR="003754FE" w:rsidRDefault="003754FE" w:rsidP="003754FE">
      <w:pPr>
        <w:pStyle w:val="TextoNormal"/>
      </w:pPr>
    </w:p>
    <w:p w14:paraId="337A49D9" w14:textId="77777777" w:rsidR="003754FE" w:rsidRDefault="003754FE" w:rsidP="003754FE">
      <w:pPr>
        <w:pStyle w:val="TextoNormal"/>
      </w:pPr>
      <w:r>
        <w:t xml:space="preserve">Ciertamente, este tribunal ha tenido ocasión de pronunciarse sobre el régimen de la responsabilidad patrimonial fundado en error judicial (por todas, STC 8/2017, de 19 de enero, FJ 4) y también sobre aspectos específicos relacionados con la actuación procesal de quiénes demandan la declaración de aquel error. Así ocurre con las SSTC 114/1990, de 21 de junio, y 28/1993, de 25 de enero, a las que alude en sus alegaciones el abogado del Estado, en las </w:t>
      </w:r>
      <w:r>
        <w:lastRenderedPageBreak/>
        <w:t>que este tribunal se pronunció sobre la específica cuestión de si el demandante de amparo en caso de error judicial había hecho uso previo de todos los recursos previstos en la ley para exigir el reconocimiento de aquel error o, por el contrario, no los había llegado a agotar, de conformidad con lo dispuesto en el art. 293.1 f) LOPJ.</w:t>
      </w:r>
    </w:p>
    <w:p w14:paraId="5FF9D51B" w14:textId="77777777" w:rsidR="003754FE" w:rsidRDefault="003754FE" w:rsidP="003754FE">
      <w:pPr>
        <w:pStyle w:val="TextoNormal"/>
      </w:pPr>
    </w:p>
    <w:p w14:paraId="4B9CC8E5" w14:textId="77777777" w:rsidR="003754FE" w:rsidRDefault="003754FE" w:rsidP="003754FE">
      <w:pPr>
        <w:pStyle w:val="TextoNormal"/>
      </w:pPr>
      <w:r>
        <w:t>La cuestión aquí suscitada no se refiere al sistema de reconocimiento de responsabilidad patrimonial del Estado por error judicial en su visión de conjunto, ni tampoco al deber de diligencia de la solicitante de la declaración de error judicial, en relación con el requisito de haber agotado previamente todos los recursos previstos en el ordenamiento. El auto de 25 de junio de 2020 de la Sala de lo Penal del Tribunal Supremo no inadmitió la demanda de error judicial por ese motivo, sino por apreciar extemporaneidad, de manera que la doctrina constitucional que resulta de las SSTC 114/1990 y 28/1993 no resulta aplicable al presente caso. Lo que se ventila en este recurso de amparo es otro aspecto distinto relativo al régimen jurídico del procedimiento para la declaración del error judicial, como es la relevancia que pueda tener la fecha de producción del eventual daño resarcible a la hora de efectuar el cómputo del plazo previsto en el art. 293.1 a) LOPJ, en relación con el derecho a la tutela judicial efectiva (art. 24.1 CE), en su vertiente del derecho de acceso a la jurisdicción; cuestión sobre la que no existe doctrina de este tribunal.</w:t>
      </w:r>
    </w:p>
    <w:p w14:paraId="5389F21A" w14:textId="77777777" w:rsidR="003754FE" w:rsidRDefault="003754FE" w:rsidP="003754FE">
      <w:pPr>
        <w:pStyle w:val="TextoNormal"/>
      </w:pPr>
    </w:p>
    <w:p w14:paraId="4C7BDE33" w14:textId="688052B3" w:rsidR="003754FE" w:rsidRDefault="003754FE" w:rsidP="003754FE">
      <w:pPr>
        <w:pStyle w:val="TextoNormal"/>
      </w:pPr>
      <w:r>
        <w:t>Por las razones expuestas, debemos, pues, ratificar la especial trascendencia constitucional del recurso y, por ende, desestimar el óbice alegado por el abogado del Estado.</w:t>
      </w:r>
    </w:p>
    <w:p w14:paraId="56948FD9" w14:textId="77777777" w:rsidR="003754FE" w:rsidRDefault="003754FE" w:rsidP="003754FE">
      <w:pPr>
        <w:pStyle w:val="TextoNormal"/>
      </w:pPr>
    </w:p>
    <w:p w14:paraId="52BBBC25" w14:textId="77777777" w:rsidR="003754FE" w:rsidRDefault="003754FE" w:rsidP="003754FE">
      <w:pPr>
        <w:pStyle w:val="TextoNormal"/>
      </w:pPr>
      <w:r w:rsidRPr="003754FE">
        <w:rPr>
          <w:rStyle w:val="NumeroAFNegritaCaracter"/>
        </w:rPr>
        <w:t>3</w:t>
      </w:r>
      <w:r>
        <w:t xml:space="preserve">. </w:t>
      </w:r>
      <w:r w:rsidRPr="003754FE">
        <w:rPr>
          <w:i/>
        </w:rPr>
        <w:t>La responsabilidad patrimonial del Estado por error judicial</w:t>
      </w:r>
    </w:p>
    <w:p w14:paraId="7EB1EBEE" w14:textId="77777777" w:rsidR="003754FE" w:rsidRDefault="003754FE" w:rsidP="003754FE">
      <w:pPr>
        <w:pStyle w:val="TextoNormal"/>
      </w:pPr>
    </w:p>
    <w:p w14:paraId="7C7A18CB" w14:textId="77777777" w:rsidR="003754FE" w:rsidRDefault="003754FE" w:rsidP="003754FE">
      <w:pPr>
        <w:pStyle w:val="TextoNormal"/>
      </w:pPr>
      <w:r>
        <w:t>a) De manera separada al régimen de responsabilidad patrimonial de las administraciones públicas en general (art. 106.2 CE), el art. 121 CE reconoce el derecho de los ciudadanos a ser indemnizados en los casos de error judicial y en los de funcionamiento anormal de la administración de justicia, cuando dispone que “(l)os daños causados por error judicial, así como los que sean consecuencia del funcionamiento anormal de la administración de justicia, darán derecho a una indemnización a cargo del Estado, conforme a la ley”.</w:t>
      </w:r>
    </w:p>
    <w:p w14:paraId="338D91AD" w14:textId="77777777" w:rsidR="003754FE" w:rsidRDefault="003754FE" w:rsidP="003754FE">
      <w:pPr>
        <w:pStyle w:val="TextoNormal"/>
      </w:pPr>
    </w:p>
    <w:p w14:paraId="7C954EC8" w14:textId="77777777" w:rsidR="003754FE" w:rsidRDefault="003754FE" w:rsidP="003754FE">
      <w:pPr>
        <w:pStyle w:val="TextoNormal"/>
      </w:pPr>
      <w:r>
        <w:t>En relación con este derecho a ser indemnizado por los daños causados por error judicial y por funcionamiento anormal de la administración de justicia, este tribunal tiene declarado que no tiene el carácter de derecho fundamental, susceptible de ser invocado en la vía de amparo constitucional, ni supone sin más una concreción del derecho a la tutela judicial efectiva [SSTC 128/1989, de 17 de julio, FJ 3; 85/1990, de 5 de mayo, FJ 4; 114/1990, FJ 1 b), y 132/1994, de 9 de mayo, FJ 2]. También tiene dicho este tribunal que tanto el régimen de responsabilidad patrimonial de las administraciones públicas en general (art. 106.2 CE) como el específico régimen de la responsabilidad del Estado por error judicial y por funcionamiento anormal de la administración de justicia son “emanación del principio general de responsabilidad de todos los poderes públicos (art. 9.3 CE)” y “han de ser calificadas como derechos de configuración legal, por deferir a la ley su regulación” (SSTC 325/1994, de 12 de diciembre, FJ 4, y 8/2017, de 19 de enero, FJ 4).</w:t>
      </w:r>
    </w:p>
    <w:p w14:paraId="1678D61F" w14:textId="77777777" w:rsidR="003754FE" w:rsidRDefault="003754FE" w:rsidP="003754FE">
      <w:pPr>
        <w:pStyle w:val="TextoNormal"/>
      </w:pPr>
    </w:p>
    <w:p w14:paraId="3488FE9A" w14:textId="77777777" w:rsidR="003754FE" w:rsidRDefault="003754FE" w:rsidP="003754FE">
      <w:pPr>
        <w:pStyle w:val="TextoNormal"/>
      </w:pPr>
      <w:r>
        <w:t xml:space="preserve">Asimismo, ha declarado este tribunal que “importa y muy mucho subrayar que la Ley Orgánica del Poder Judicial, a la cual remite la Constitución, no contiene una definición de lo que sea el error judicial, convirtiéndolo así en un concepto jurídico indeterminado, cuya </w:t>
      </w:r>
      <w:r>
        <w:lastRenderedPageBreak/>
        <w:t>concreción ha de hacerse casuísticamente, en el plano de la legalidad, por los jueces y tribunales” (SSTC 325/1994, de 12 de diciembre, FJ 4, y 8/2017, de 19 de enero, FJ 4).</w:t>
      </w:r>
    </w:p>
    <w:p w14:paraId="2F8A2E11" w14:textId="77777777" w:rsidR="003754FE" w:rsidRDefault="003754FE" w:rsidP="003754FE">
      <w:pPr>
        <w:pStyle w:val="TextoNormal"/>
      </w:pPr>
    </w:p>
    <w:p w14:paraId="4312AE50" w14:textId="77777777" w:rsidR="003754FE" w:rsidRDefault="003754FE" w:rsidP="003754FE">
      <w:pPr>
        <w:pStyle w:val="TextoNormal"/>
      </w:pPr>
      <w:r>
        <w:t>El derecho a ser indemnizado en los supuestos de error judicial constituye, pues, un instrumento frente a los posibles errores de los tribunales ordinarios en el ejercicio de su función jurisdiccional, cuando no exista un recurso susceptible de modificar la resolución dictada, a la que se imputa el error. Es por ello que la STC 114/1990, de 21 de junio, FJ 5, dejó sentado que “no resulta asumible que quien consiente un pronunciamiento eventualmente erróneo se ampare luego en tal circunstancia para deducir ulteriormente una pretensión indemnizatoria frente al Estado, por [la] naturaleza subsidiaria de la propia reparación en la vía jurisdiccional”, si bien debe advertirse que dicha sentencia estimó el recurso de amparo por considerar que este presupuesto procesal había sido aplicado, en el caso concreto examinado, de manera excesivamente formalista, dando lugar a una consecuencia desproporcionada y lesiva por ello derecho a la tutela judicial efectiva del entonces recurrente (FJ 6). Por su parte, la STC 28/1993, de 25 de enero, FJ 4, profundizó en este razonamiento al señalar que “[e]l error que contempla el art. 121 CE y los arts. 292 y siguientes de la LOPJ es el infligido de manera irreparable y con consecuencias inevitables para el perjudicado y, por consiguiente, debe este agotar todas las posibilidades que el ordenamiento jurídico le ofrece para combatirlo”.</w:t>
      </w:r>
    </w:p>
    <w:p w14:paraId="67BB1B5E" w14:textId="77777777" w:rsidR="003754FE" w:rsidRDefault="003754FE" w:rsidP="003754FE">
      <w:pPr>
        <w:pStyle w:val="TextoNormal"/>
      </w:pPr>
    </w:p>
    <w:p w14:paraId="5275465E" w14:textId="77777777" w:rsidR="003754FE" w:rsidRDefault="003754FE" w:rsidP="003754FE">
      <w:pPr>
        <w:pStyle w:val="TextoNormal"/>
      </w:pPr>
      <w:r>
        <w:t>b) Por lo que se refiere a su régimen legal, la responsabilidad patrimonial del Estado por el funcionamiento de la administración de justicia, de la cual el error judicial es una especie dentro del género [STC 56/1990, de 29 de marzo, FJ 7 B)], se regula en los arts. 292 y siguientes LOPJ. La reclamación de indemnización por los daños causados por error judicial se ha de ejercitar conforme a lo establecido en el art. 293 LOPJ, que articula un régimen jurídico complejo que se estructura en dos fases sucesivas: (a) la primera de ellas, de carácter estrictamente jurisdiccional, que tiene por objeto obtener del Tribunal Supremo (la Sala correspondiente del orden jurisdiccional de que se trate o la Sala Especial del art. 61 LOPJ, cuando el error se atribuyese a una Sala o Sección del Tribunal Supremo) la declaración de la existencia de aquel error judicial; y (b) la segunda fase, de naturaleza administrativa aunque eventualmente sujeta a control jurisdiccional, en la que el interesado dirige su petición indemnizatoria al Ministerio de Justicia, una vez obtenida la previa declaración del error judicial.</w:t>
      </w:r>
    </w:p>
    <w:p w14:paraId="7F3D6FD4" w14:textId="77777777" w:rsidR="003754FE" w:rsidRDefault="003754FE" w:rsidP="003754FE">
      <w:pPr>
        <w:pStyle w:val="TextoNormal"/>
      </w:pPr>
    </w:p>
    <w:p w14:paraId="23A8A155" w14:textId="77777777" w:rsidR="003754FE" w:rsidRDefault="003754FE" w:rsidP="003754FE">
      <w:pPr>
        <w:pStyle w:val="TextoNormal"/>
      </w:pPr>
      <w:r>
        <w:t>En este sentido, también la doctrina constitucional ha recordado que “el procedimiento regulado en los arts. 292 y ss. de la LOPJ tiene por objeto obtener un reconocimiento formal del error judicial, que servirá de título para reclamar frente al Estado la indemnización procedente y no pretende una modificación del tenor de la resolución en que se haya cometido el supuesto error”, puesto que, “de lo contrario, este procedimiento se convertiría en una nueva instancia y ya no tendría sentido reclamar una indemnización del Estado” (STC 39/1995, de 13 de febrero, FJ 4).</w:t>
      </w:r>
    </w:p>
    <w:p w14:paraId="5B859C54" w14:textId="77777777" w:rsidR="003754FE" w:rsidRDefault="003754FE" w:rsidP="003754FE">
      <w:pPr>
        <w:pStyle w:val="TextoNormal"/>
      </w:pPr>
    </w:p>
    <w:p w14:paraId="5C7BC37F" w14:textId="77777777" w:rsidR="003754FE" w:rsidRDefault="003754FE" w:rsidP="003754FE">
      <w:pPr>
        <w:pStyle w:val="TextoNormal"/>
      </w:pPr>
      <w:r>
        <w:t xml:space="preserve">Así lo ha expresado también la jurisprudencia del Tribunal Supremo. Como declaró la sentencia de 9 de marzo de 2012 de la Sala Especial del art. 61 LOPJ del Tribunal Supremo (error judicial núm. 11-2011, ECLI:ES:TS:2012:1832), “el proceso por error judicial no es una nueva instancia o casación encubierta, ni a través suyo puede revisarse el pronunciamiento judicial que incorpora la sentencia o auto definitivo que se examina. Es, por el contrario, un procedimiento excepcional, en el que la declaración del error constituye un </w:t>
      </w:r>
      <w:r>
        <w:lastRenderedPageBreak/>
        <w:t>requisito previo al ejercicio de una acción de responsabilidad patrimonial del ‘Estado-juez’, en los términos que resultan de los artículos 121 de la Constitución y 292 y 293 de la Ley Orgánica del Poder Judicial. Esto es, la pretensión de declaración de error judicial se contrae a la exclusiva finalidad de constituir presupuesto inexcusable para una ulterior acción resarcitoria, por responsabilidad patrimonial de Estado-juez, sin que, por tanto, la situación jurídica declarada o reconocida por la sentencia a la que se imputa dicho error judicial se pueda ver alterada o modificada por una declaración que reconozca la existencia de aquel”.</w:t>
      </w:r>
    </w:p>
    <w:p w14:paraId="2A671F76" w14:textId="77777777" w:rsidR="003754FE" w:rsidRDefault="003754FE" w:rsidP="003754FE">
      <w:pPr>
        <w:pStyle w:val="TextoNormal"/>
      </w:pPr>
    </w:p>
    <w:p w14:paraId="786739E4" w14:textId="77777777" w:rsidR="003754FE" w:rsidRDefault="003754FE" w:rsidP="003754FE">
      <w:pPr>
        <w:pStyle w:val="TextoNormal"/>
      </w:pPr>
      <w:r>
        <w:t>En todo caso, por lo que a la resolución de este recurso de amparo interesa, de este régimen legal cabe destacar que, dentro de los requisitos procesales para obtener la declaración del error judicial, el art. 293.1 a) LOPJ dispone que “la acción judicial para el reconocimiento del error deberá instarse inexcusablemente en el plazo de tres meses, a partir del día en que pudo ejercitarse”. De acuerdo con la jurisprudencia del Tribunal Supremo, este plazo de tres meses lo es de caducidad y se ha de computar “a partir del día en que pudo ejercitarse”, cómputo que ha de efectuarse de fecha a fecha, sin descontar los días inhábiles y considerándose como hábil, a estos efectos, el mes de agosto, por tratarse de un plazo sustantivo y no procesal.</w:t>
      </w:r>
    </w:p>
    <w:p w14:paraId="41CA3809" w14:textId="77777777" w:rsidR="003754FE" w:rsidRDefault="003754FE" w:rsidP="003754FE">
      <w:pPr>
        <w:pStyle w:val="TextoNormal"/>
      </w:pPr>
    </w:p>
    <w:p w14:paraId="13CC571F" w14:textId="77840805" w:rsidR="003754FE" w:rsidRDefault="003754FE" w:rsidP="003754FE">
      <w:pPr>
        <w:pStyle w:val="TextoNormal"/>
      </w:pPr>
      <w:r>
        <w:t>Como ha quedado expuesto al delimitar el objeto del recurso de amparo (</w:t>
      </w:r>
      <w:r w:rsidRPr="003754FE">
        <w:rPr>
          <w:i/>
        </w:rPr>
        <w:t>supra</w:t>
      </w:r>
      <w:r>
        <w:t xml:space="preserve">, fundamento jurídico 1), la cuestión que aquí nos ocupa consiste en dilucidar si la determinación del </w:t>
      </w:r>
      <w:r w:rsidRPr="003754FE">
        <w:rPr>
          <w:i/>
        </w:rPr>
        <w:t>dies a quo</w:t>
      </w:r>
      <w:r>
        <w:t xml:space="preserve"> para el ejercicio de la acción de error judicial efectuada por la resolución recurrida en este caso concreto incurrió en una vulneración del derecho a la tutela judicial efectiva (art. 24.1 CE).</w:t>
      </w:r>
    </w:p>
    <w:p w14:paraId="3F783816" w14:textId="77777777" w:rsidR="003754FE" w:rsidRDefault="003754FE" w:rsidP="003754FE">
      <w:pPr>
        <w:pStyle w:val="TextoNormal"/>
      </w:pPr>
    </w:p>
    <w:p w14:paraId="2D406E16" w14:textId="77777777" w:rsidR="003754FE" w:rsidRDefault="003754FE" w:rsidP="003754FE">
      <w:pPr>
        <w:pStyle w:val="TextoNormal"/>
      </w:pPr>
      <w:r w:rsidRPr="003754FE">
        <w:rPr>
          <w:rStyle w:val="NumeroAFNegritaCaracter"/>
        </w:rPr>
        <w:t>4</w:t>
      </w:r>
      <w:r>
        <w:t xml:space="preserve">. </w:t>
      </w:r>
      <w:r w:rsidRPr="003754FE">
        <w:rPr>
          <w:i/>
        </w:rPr>
        <w:t>El derecho a la tutela judicial efectiva en su vertiente del derecho de acceso a la jurisdicción</w:t>
      </w:r>
    </w:p>
    <w:p w14:paraId="7FADD38C" w14:textId="77777777" w:rsidR="003754FE" w:rsidRDefault="003754FE" w:rsidP="003754FE">
      <w:pPr>
        <w:pStyle w:val="TextoNormal"/>
      </w:pPr>
    </w:p>
    <w:p w14:paraId="4DDBCF10" w14:textId="77777777" w:rsidR="003754FE" w:rsidRDefault="003754FE" w:rsidP="003754FE">
      <w:pPr>
        <w:pStyle w:val="TextoNormal"/>
      </w:pPr>
      <w:r>
        <w:t>El procedimiento previsto en el art. 293.1 LOPJ constituye un procedimiento especial autónomo establecido legalmente para el ejercicio de una acción ante los órganos judiciales en orden a obtener la declaración de error judicial. No es una instancia más en la que replantear el debate fáctico y jurídico, sino un nuevo proceso derivado de una novedad extrínseca al procedimiento que constituye su objeto.</w:t>
      </w:r>
    </w:p>
    <w:p w14:paraId="0BA0974B" w14:textId="77777777" w:rsidR="003754FE" w:rsidRDefault="003754FE" w:rsidP="003754FE">
      <w:pPr>
        <w:pStyle w:val="TextoNormal"/>
      </w:pPr>
    </w:p>
    <w:p w14:paraId="2E925189" w14:textId="77777777" w:rsidR="003754FE" w:rsidRDefault="003754FE" w:rsidP="003754FE">
      <w:pPr>
        <w:pStyle w:val="TextoNormal"/>
      </w:pPr>
      <w:r>
        <w:t>Por esta razón, desde nuestra perspectiva constitucional, al dirigirse el recurso de amparo contra una resolución judicial que acuerda la inadmisión de una demanda de error judicial por extemporaneidad, el derecho fundamental concernido es el derecho a la tutela judicial efectiva (art. 24.1 CE), en su vertiente del derecho de acceso a la jurisdicción que, por lo demás, es la que reputa vulnerada la demanda de amparo y la que ha sido identificada como objeto del recurso tanto por el abogado del Estado como por el Ministerio Fiscal. Por lo tanto, es la que debemos tomar en consideración para nuestro enjuiciamiento.</w:t>
      </w:r>
    </w:p>
    <w:p w14:paraId="6BD85C33" w14:textId="77777777" w:rsidR="003754FE" w:rsidRDefault="003754FE" w:rsidP="003754FE">
      <w:pPr>
        <w:pStyle w:val="TextoNormal"/>
      </w:pPr>
    </w:p>
    <w:p w14:paraId="0DE4FDF2" w14:textId="77777777" w:rsidR="003754FE" w:rsidRDefault="003754FE" w:rsidP="003754FE">
      <w:pPr>
        <w:pStyle w:val="TextoNormal"/>
      </w:pPr>
      <w:r>
        <w:t xml:space="preserve">En consecuencia, la decisión constitucional del presente caso no debe limitarse a controlar la existencia de motivación en la resolución judicial de inadmisión y la razonabilidad de la misma, sino que opera aquí el principio </w:t>
      </w:r>
      <w:r w:rsidRPr="003754FE">
        <w:rPr>
          <w:i/>
        </w:rPr>
        <w:t>pro actione</w:t>
      </w:r>
      <w:r>
        <w:t>, entendido como la interdicción de aquellas decisiones de inadmisión que, por su rigorismo, por su formalismo o por cualquier otra razón, revelen una clara desproporción entre los fines que aquellas causas preservan y los intereses que sacrifican.</w:t>
      </w:r>
    </w:p>
    <w:p w14:paraId="7E9B6609" w14:textId="77777777" w:rsidR="003754FE" w:rsidRDefault="003754FE" w:rsidP="003754FE">
      <w:pPr>
        <w:pStyle w:val="TextoNormal"/>
      </w:pPr>
    </w:p>
    <w:p w14:paraId="024B711B" w14:textId="77777777" w:rsidR="003754FE" w:rsidRDefault="003754FE" w:rsidP="003754FE">
      <w:pPr>
        <w:pStyle w:val="TextoNormal"/>
      </w:pPr>
      <w:r>
        <w:lastRenderedPageBreak/>
        <w:t xml:space="preserve">En relación con el acceso a la jurisdicción y el principio </w:t>
      </w:r>
      <w:r w:rsidRPr="003754FE">
        <w:rPr>
          <w:i/>
        </w:rPr>
        <w:t>pro actione</w:t>
      </w:r>
      <w:r>
        <w:t>, existe una doctrina consolidada de este tribunal que, de modo resumido, podemos concretar en los siguientes aspectos:</w:t>
      </w:r>
    </w:p>
    <w:p w14:paraId="3810C226" w14:textId="77777777" w:rsidR="003754FE" w:rsidRDefault="003754FE" w:rsidP="003754FE">
      <w:pPr>
        <w:pStyle w:val="TextoNormal"/>
      </w:pPr>
    </w:p>
    <w:p w14:paraId="3C319139" w14:textId="77777777" w:rsidR="003754FE" w:rsidRDefault="003754FE" w:rsidP="003754FE">
      <w:pPr>
        <w:pStyle w:val="TextoNormal"/>
      </w:pPr>
      <w:r>
        <w:t>(i) El primer contenido del derecho a obtener la tutela judicial efectiva, “se concreta en el derecho a ser parte en el proceso para poder promover la actividad jurisdiccional que desemboque en una decisión judicial sobre las pretensiones deducidas”.</w:t>
      </w:r>
    </w:p>
    <w:p w14:paraId="297D509C" w14:textId="77777777" w:rsidR="003754FE" w:rsidRDefault="003754FE" w:rsidP="003754FE">
      <w:pPr>
        <w:pStyle w:val="TextoNormal"/>
      </w:pPr>
    </w:p>
    <w:p w14:paraId="08600C2A" w14:textId="77777777" w:rsidR="003754FE" w:rsidRDefault="003754FE" w:rsidP="003754FE">
      <w:pPr>
        <w:pStyle w:val="TextoNormal"/>
      </w:pPr>
      <w:r>
        <w:t>(ii) Es un derecho prestacional de configuración legal, de tal manera que “su ejercicio y dispensación están supeditados a la concurrencia de los presupuestos y requisitos que haya establecido el legislador para cada sector del ordenamiento procesal”. No es, pues, un derecho de libertad, ejercitable sin más y directamente a partir de la Constitución, ni tampoco un derecho absoluto e incondicionado a la prestación jurisdiccional, sino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w:t>
      </w:r>
    </w:p>
    <w:p w14:paraId="30766D96" w14:textId="77777777" w:rsidR="003754FE" w:rsidRDefault="003754FE" w:rsidP="003754FE">
      <w:pPr>
        <w:pStyle w:val="TextoNormal"/>
      </w:pPr>
    </w:p>
    <w:p w14:paraId="14732B7B" w14:textId="77777777" w:rsidR="003754FE" w:rsidRDefault="003754FE" w:rsidP="003754FE">
      <w:pPr>
        <w:pStyle w:val="TextoNormal"/>
      </w:pPr>
      <w:r>
        <w:t>(iii) Este derecho fundamental queda, también, “satisfecho cuando los órganos judiciales pronuncian una decisión de inadmisión o meramente procesal, apreciando razonadamente la concurrencia en el caso de un óbice fundado en un precepto expreso de la ley, si este es, a su vez, respetuoso con el contenido esencial del derecho fundamental”.</w:t>
      </w:r>
    </w:p>
    <w:p w14:paraId="4054BFA7" w14:textId="77777777" w:rsidR="003754FE" w:rsidRDefault="003754FE" w:rsidP="003754FE">
      <w:pPr>
        <w:pStyle w:val="TextoNormal"/>
      </w:pPr>
    </w:p>
    <w:p w14:paraId="6DD6238D" w14:textId="77777777" w:rsidR="003754FE" w:rsidRDefault="003754FE" w:rsidP="003754FE">
      <w:pPr>
        <w:pStyle w:val="TextoNormal"/>
      </w:pPr>
      <w:r>
        <w:t xml:space="preserve">(iv) Por tratarse del derecho de acceso a la jurisdicción, en el que opera con toda su intensidad el principio </w:t>
      </w:r>
      <w:r w:rsidRPr="003754FE">
        <w:rPr>
          <w:i/>
        </w:rPr>
        <w:t>pro actione</w:t>
      </w:r>
      <w:r>
        <w:t>, “no solo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w:t>
      </w:r>
    </w:p>
    <w:p w14:paraId="77ACB300" w14:textId="77777777" w:rsidR="003754FE" w:rsidRDefault="003754FE" w:rsidP="003754FE">
      <w:pPr>
        <w:pStyle w:val="TextoNormal"/>
      </w:pPr>
    </w:p>
    <w:p w14:paraId="18FC86CD" w14:textId="77777777" w:rsidR="003754FE" w:rsidRDefault="003754FE" w:rsidP="003754FE">
      <w:pPr>
        <w:pStyle w:val="TextoNormal"/>
      </w:pPr>
      <w:r>
        <w:t xml:space="preserve">(v) Aunque la verificación de la concurrencia de los presupuestos y requisitos materiales y procesales a que el acceso a la jurisdicción está sujeto constituye, en principio, una cuestión de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w:t>
      </w:r>
      <w:r w:rsidRPr="003754FE">
        <w:rPr>
          <w:i/>
        </w:rPr>
        <w:t>pro actione</w:t>
      </w:r>
      <w:r>
        <w:t>,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w:t>
      </w:r>
    </w:p>
    <w:p w14:paraId="76EC0454" w14:textId="77777777" w:rsidR="003754FE" w:rsidRDefault="003754FE" w:rsidP="003754FE">
      <w:pPr>
        <w:pStyle w:val="TextoNormal"/>
      </w:pPr>
    </w:p>
    <w:p w14:paraId="33A596AC" w14:textId="77777777" w:rsidR="003754FE" w:rsidRDefault="003754FE" w:rsidP="003754FE">
      <w:pPr>
        <w:pStyle w:val="TextoNormal"/>
      </w:pPr>
      <w:r>
        <w:t xml:space="preserve">(vi) En definitiva, el principio </w:t>
      </w:r>
      <w:r w:rsidRPr="003754FE">
        <w:rPr>
          <w:i/>
        </w:rPr>
        <w:t>pro actione</w:t>
      </w:r>
      <w:r>
        <w:t xml:space="preserve">, en los supuestos de acceso a la jurisdicción, obliga, pues,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w:t>
      </w:r>
      <w:r>
        <w:lastRenderedPageBreak/>
        <w:t>establecidos por las leyes que ordenan el proceso en garantía de los derechos de todas las partes”.</w:t>
      </w:r>
    </w:p>
    <w:p w14:paraId="66C5544F" w14:textId="77777777" w:rsidR="003754FE" w:rsidRDefault="003754FE" w:rsidP="003754FE">
      <w:pPr>
        <w:pStyle w:val="TextoNormal"/>
      </w:pPr>
    </w:p>
    <w:p w14:paraId="241DE24F" w14:textId="77777777" w:rsidR="003754FE" w:rsidRDefault="003754FE" w:rsidP="003754FE">
      <w:pPr>
        <w:pStyle w:val="TextoNormal"/>
      </w:pPr>
      <w:r>
        <w:t>Esta doctrina se recoge con profusión en la STC 82/2022, de 27 de junio, FJ 3 b), por todas, aunque con cita, a su vez, de las SSTC 83/2016, de 28 de abril, FJ 5; 12/2017, de 30 de enero, FJ 3, y 140/2021, de 12 de julio, FJ 4.</w:t>
      </w:r>
    </w:p>
    <w:p w14:paraId="2339E7F5" w14:textId="77777777" w:rsidR="003754FE" w:rsidRDefault="003754FE" w:rsidP="003754FE">
      <w:pPr>
        <w:pStyle w:val="TextoNormal"/>
      </w:pPr>
    </w:p>
    <w:p w14:paraId="3183E5BD" w14:textId="14286C9E" w:rsidR="003754FE" w:rsidRDefault="003754FE" w:rsidP="003754FE">
      <w:pPr>
        <w:pStyle w:val="TextoNormal"/>
      </w:pPr>
      <w:r>
        <w:t xml:space="preserve">Por último, dado que la cuestión sobre la que versa este recurso de amparo viene referida a la determinación del cómputo del plazo para el ejercicio de la acción de error judicial [art. 293.1 a) LOPJ], cabe recordar que es doctrina reiterada de este tribunal la que viene considerando que el cómputo de los plazos es, en principio, una cuestión de legalidad ordinaria que corresponde resolver a los órganos judiciales en el ejercicio de su propia y exclusiva potestad jurisdiccional (art. 117.3 CE), si bien el problema “adquiere relevancia constitucional no solo cuando la decisión judicial de inadmisión sea fruto de un error patente en el cómputo del plazo o de una interpretación arbitraria o manifiestamente irrazonable de la legalidad, sino también cuando sea consecuencia de la utilización de un criterio interpretativo rigorista, excesivamente formalista o desproporcionado en relación con los fines que trata de proteger y los intereses que sacrifica, habida cuenta de la mayor intensidad con la que se proyecta el principio </w:t>
      </w:r>
      <w:r w:rsidRPr="003754FE">
        <w:rPr>
          <w:i/>
        </w:rPr>
        <w:t>pro actione</w:t>
      </w:r>
      <w:r>
        <w:t xml:space="preserve"> cuando, como aquí sucede, se arriesga el derecho de acceso a la jurisdicción y, por tanto, la obtención de una primera respuesta judicial sobre la pretensión formulada” (SSTC 76/2012, de 16 de abril, FJ 3, y 209/2013, de 16 de diciembre, FFJJ 3 y 4).</w:t>
      </w:r>
    </w:p>
    <w:p w14:paraId="1D51CCB9" w14:textId="77777777" w:rsidR="003754FE" w:rsidRDefault="003754FE" w:rsidP="003754FE">
      <w:pPr>
        <w:pStyle w:val="TextoNormal"/>
      </w:pPr>
    </w:p>
    <w:p w14:paraId="705164B1" w14:textId="77777777" w:rsidR="003754FE" w:rsidRDefault="003754FE" w:rsidP="003754FE">
      <w:pPr>
        <w:pStyle w:val="TextoNormal"/>
      </w:pPr>
      <w:r w:rsidRPr="003754FE">
        <w:rPr>
          <w:rStyle w:val="NumeroAFNegritaCaracter"/>
        </w:rPr>
        <w:t>5</w:t>
      </w:r>
      <w:r>
        <w:t xml:space="preserve">. </w:t>
      </w:r>
      <w:r w:rsidRPr="003754FE">
        <w:rPr>
          <w:i/>
        </w:rPr>
        <w:t>Aplicación al caso. Estimación de la demanda de amparo</w:t>
      </w:r>
    </w:p>
    <w:p w14:paraId="39775479" w14:textId="77777777" w:rsidR="003754FE" w:rsidRDefault="003754FE" w:rsidP="003754FE">
      <w:pPr>
        <w:pStyle w:val="TextoNormal"/>
      </w:pPr>
    </w:p>
    <w:p w14:paraId="59CE3EEA" w14:textId="77777777" w:rsidR="003754FE" w:rsidRDefault="003754FE" w:rsidP="003754FE">
      <w:pPr>
        <w:pStyle w:val="TextoNormal"/>
      </w:pPr>
      <w:r>
        <w:t>Con base en las consideraciones precedentes, estamos ya en disposición de examinar si, en el caso enjuiciado, la forma de efectuar el cómputo del plazo de tres meses previsto para el ejercicio de la acción para la declaración del error judicial previsto en el art. 293.1 a) LOPJ vulneró o no el derecho a la tutela judicial efectiva (art. 24.1 CE) de la demandante de amparo.</w:t>
      </w:r>
    </w:p>
    <w:p w14:paraId="23282DEF" w14:textId="77777777" w:rsidR="003754FE" w:rsidRDefault="003754FE" w:rsidP="003754FE">
      <w:pPr>
        <w:pStyle w:val="TextoNormal"/>
      </w:pPr>
    </w:p>
    <w:p w14:paraId="3B177220" w14:textId="77777777" w:rsidR="003754FE" w:rsidRDefault="003754FE" w:rsidP="003754FE">
      <w:pPr>
        <w:pStyle w:val="TextoNormal"/>
      </w:pPr>
      <w:r>
        <w:t xml:space="preserve">A) Como ha quedado expuesto en los antecedentes, el auto impugnado declaró la inadmisión de la demanda de error judicial por extemporaneidad. La Sala de lo Penal del Tribunal Supremo estimó que el plazo debía computarse desde el momento en que la acción pudo ejercitarse, identificando como </w:t>
      </w:r>
      <w:r w:rsidRPr="003754FE">
        <w:rPr>
          <w:i/>
        </w:rPr>
        <w:t>dies a quo</w:t>
      </w:r>
      <w:r>
        <w:t xml:space="preserve"> la fecha en que se dictó el auto de 19 de junio de 2019 acordando la suspensión de la ejecución de la pena de prisión impuesta en la sentencia de la misma fecha al exmarido de la recurrente.</w:t>
      </w:r>
    </w:p>
    <w:p w14:paraId="4E7EBD98" w14:textId="77777777" w:rsidR="003754FE" w:rsidRDefault="003754FE" w:rsidP="003754FE">
      <w:pPr>
        <w:pStyle w:val="TextoNormal"/>
      </w:pPr>
    </w:p>
    <w:p w14:paraId="548DF01B" w14:textId="77777777" w:rsidR="003754FE" w:rsidRDefault="003754FE" w:rsidP="003754FE">
      <w:pPr>
        <w:pStyle w:val="TextoNormal"/>
      </w:pPr>
      <w:r>
        <w:t xml:space="preserve">Por el contrario, la demandante de amparo y el Ministerio Fiscal postulan la estimación de la demanda de amparo. A tal efecto, sostienen que la interpretación del requisito temporal establecido en el art. 293.1 a) LOPJ realizada por el auto impugnado resulta excesivamente formalista y que, en su lugar, el plazo debió computarse desde la fecha en que se produjo la muerte del hijo de la demandante de amparo, presuntamente causada por su padre, esto es, el 25 de julio de 2019. De haberse tomado como </w:t>
      </w:r>
      <w:r w:rsidRPr="003754FE">
        <w:rPr>
          <w:i/>
        </w:rPr>
        <w:t>dies a quo</w:t>
      </w:r>
      <w:r>
        <w:t xml:space="preserve"> esta segunda fecha, la demanda de error judicial, registrada el 23 de octubre de 2019, habría sido tempestivamente presentada y no habría dado lugar a su inadmisión.</w:t>
      </w:r>
    </w:p>
    <w:p w14:paraId="32667644" w14:textId="77777777" w:rsidR="003754FE" w:rsidRDefault="003754FE" w:rsidP="003754FE">
      <w:pPr>
        <w:pStyle w:val="TextoNormal"/>
      </w:pPr>
    </w:p>
    <w:p w14:paraId="1F04ECEB" w14:textId="77777777" w:rsidR="003754FE" w:rsidRDefault="003754FE" w:rsidP="003754FE">
      <w:pPr>
        <w:pStyle w:val="TextoNormal"/>
      </w:pPr>
      <w:r>
        <w:lastRenderedPageBreak/>
        <w:t>En este sentido, afirma el Ministerio Fiscal que el control constitucional de las resoluciones judiciales que se pronuncian sobre la inadmisión de demandas responde a un canon reforzado respecto del control externo de la racionalidad de la resolución judicial de inadmisión, en cuanto que está en juego el derecho de acceso a la jurisdicción. Por ello, a juicio del Ministerio Fiscal, atendiendo a la finalidad de la acción judicial para el reconocimiento del error, su ejercicio no puede quedar desvinculado de la existencia del daño cuya reparación se pretende.</w:t>
      </w:r>
    </w:p>
    <w:p w14:paraId="298D3157" w14:textId="77777777" w:rsidR="003754FE" w:rsidRDefault="003754FE" w:rsidP="003754FE">
      <w:pPr>
        <w:pStyle w:val="TextoNormal"/>
      </w:pPr>
    </w:p>
    <w:p w14:paraId="3F351438" w14:textId="77777777" w:rsidR="003754FE" w:rsidRDefault="003754FE" w:rsidP="003754FE">
      <w:pPr>
        <w:pStyle w:val="TextoNormal"/>
      </w:pPr>
      <w:r>
        <w:t>B) Antes de abordar el enjuiciamiento de la cuestión de fondo suscitada por este recurso es necesario hacer las siguientes precisiones:</w:t>
      </w:r>
    </w:p>
    <w:p w14:paraId="52F4D354" w14:textId="77777777" w:rsidR="003754FE" w:rsidRDefault="003754FE" w:rsidP="003754FE">
      <w:pPr>
        <w:pStyle w:val="TextoNormal"/>
      </w:pPr>
    </w:p>
    <w:p w14:paraId="3E065F60" w14:textId="77777777" w:rsidR="003754FE" w:rsidRDefault="003754FE" w:rsidP="003754FE">
      <w:pPr>
        <w:pStyle w:val="TextoNormal"/>
      </w:pPr>
      <w:r>
        <w:t>a) En primer lugar, como se ha expuesto [</w:t>
      </w:r>
      <w:r w:rsidRPr="003754FE">
        <w:rPr>
          <w:i/>
        </w:rPr>
        <w:t>supra</w:t>
      </w:r>
      <w:r>
        <w:t xml:space="preserve">, fundamento jurídico 3 b)], es cierto que la reclamación de responsabilidad patrimonial derivada de error judicial se estructura en dos fases sucesivas y separadas: una primera fase dirigida a obtener una resolución judicial que reconozca la existencia del error judicial; y una segunda fase en la que se presenta la petición indemnizatoria al Ministerio de Justicia. Como afirma el abogado del Estado, en esta primera fase en la que se ubica la demanda inadmitida por el auto impugnado en amparo, al efecto de determinar si se produjo o no el supuesto error judicial denunciado, el Tribunal Supremo no ha de valorar si de dicho supuesto error se siguió un daño real, efectivo e individualizado, susceptible de indemnización; esta es una cuestión que ha de decidirse en la fase inmediatamente posterior y solo en el caso de haberse obtenido previamente una sentencia declarando la existencia de dicho error judicial. Por otra parte, tanto la doctrina constitucional como la propia jurisprudencia del Tribunal Supremo [por todas, STC 39/1995, FJ 4, y STS de 9 de marzo de 2012, citadas </w:t>
      </w:r>
      <w:r w:rsidRPr="003754FE">
        <w:rPr>
          <w:i/>
        </w:rPr>
        <w:t>supra</w:t>
      </w:r>
      <w:r>
        <w:t>, FJ 3 b)] han afirmado que la acción para el reconocimiento del error judicial tiene por finalidad primordial la de obtener la declaración judicial que ha de servir de presupuesto previo e inexcusable para la posterior reclamación de responsabilidad patrimonial al Estado, por lo que la situación jurídica declarada o reconocida por la resolución a la que se imputa dicho error judicial no se puede ver revisada, alterada o modificada por una eventual sentencia que reconozca la existencia de dicho error.</w:t>
      </w:r>
    </w:p>
    <w:p w14:paraId="444161DF" w14:textId="77777777" w:rsidR="003754FE" w:rsidRDefault="003754FE" w:rsidP="003754FE">
      <w:pPr>
        <w:pStyle w:val="TextoNormal"/>
      </w:pPr>
    </w:p>
    <w:p w14:paraId="3B4AB618" w14:textId="77777777" w:rsidR="003754FE" w:rsidRDefault="003754FE" w:rsidP="003754FE">
      <w:pPr>
        <w:pStyle w:val="TextoNormal"/>
      </w:pPr>
      <w:r>
        <w:t>En este sentido, conviene recordar que la eventual concurrencia o no del error judicial que denunció la demandante en el proceso judicial está imprejuzgada, por cuanto la Sala de lo Penal del Tribunal Supremo, que es el órgano judicial competente para su enjuiciamiento y resolución, no ha llegado a valorar si incurrió o no en error el auto de 19 de junio de 2019 del Juzgado de Violencia sobre la Mujer núm. 2 de Murcia, que le imputa la actora. No hay, pues, una resolución del Alto Tribunal que haya acordado la existencia o inexistencia de error judicial.</w:t>
      </w:r>
    </w:p>
    <w:p w14:paraId="60175ABE" w14:textId="77777777" w:rsidR="003754FE" w:rsidRDefault="003754FE" w:rsidP="003754FE">
      <w:pPr>
        <w:pStyle w:val="TextoNormal"/>
      </w:pPr>
    </w:p>
    <w:p w14:paraId="14AF7C95" w14:textId="77777777" w:rsidR="003754FE" w:rsidRDefault="003754FE" w:rsidP="003754FE">
      <w:pPr>
        <w:pStyle w:val="TextoNormal"/>
      </w:pPr>
      <w:r>
        <w:t>b) En segundo lugar, como apunta el abogado del Estado en sus alegaciones, la interpretación de lo que dispone el art. 293.1 a) LOPJ, en lo relativo al cómputo del plazo previsto en el mismo y a la determinación de la fecha de inicio de dicho cómputo y su aplicación al caso concreto es una cuestión de legalidad ordinaria, que incumbe en exclusiva al órgano judicial competente, sin que este tribunal deba, en principio, pronunciarse sobre la corrección de dicho cómputo, si aquella no incurre en vulneración alguna de derechos fundamentales (STC 11/2011, de 28 de febrero, FJ 7).</w:t>
      </w:r>
    </w:p>
    <w:p w14:paraId="7BA622AF" w14:textId="77777777" w:rsidR="003754FE" w:rsidRDefault="003754FE" w:rsidP="003754FE">
      <w:pPr>
        <w:pStyle w:val="TextoNormal"/>
      </w:pPr>
    </w:p>
    <w:p w14:paraId="5338479A" w14:textId="77777777" w:rsidR="003754FE" w:rsidRDefault="003754FE" w:rsidP="003754FE">
      <w:pPr>
        <w:pStyle w:val="TextoNormal"/>
      </w:pPr>
      <w:r>
        <w:t>c) Por último y enlazando con la consideración anterior, es necesario reiterar lo ya dicho (</w:t>
      </w:r>
      <w:r w:rsidRPr="003754FE">
        <w:rPr>
          <w:i/>
        </w:rPr>
        <w:t>supra</w:t>
      </w:r>
      <w:r>
        <w:t xml:space="preserve">, fundamento jurídico 4). Desde la perspectiva del derecho de acceso a la jurisdicción, </w:t>
      </w:r>
      <w:r>
        <w:lastRenderedPageBreak/>
        <w:t>este tribunal puede enjuiciar tanto la racionalidad de la argumentación sobre la que el auto del Tribunal Supremo ha fundamentado la decisión de inadmitir la demanda como si aquella se ha apoyado en criterios que, por su rigorismo, formalismo excesivo o cualquier otra razón, revelan una clara desproporción entre los fines que la causa legal preserva y los intereses que se sacrifican, vulnerando el principi</w:t>
      </w:r>
      <w:r w:rsidRPr="003754FE">
        <w:rPr>
          <w:i/>
        </w:rPr>
        <w:t>o pro actio</w:t>
      </w:r>
      <w:r>
        <w:t>ne.</w:t>
      </w:r>
    </w:p>
    <w:p w14:paraId="2AFD91CD" w14:textId="77777777" w:rsidR="003754FE" w:rsidRDefault="003754FE" w:rsidP="003754FE">
      <w:pPr>
        <w:pStyle w:val="TextoNormal"/>
      </w:pPr>
    </w:p>
    <w:p w14:paraId="53BFE587" w14:textId="77777777" w:rsidR="003754FE" w:rsidRDefault="003754FE" w:rsidP="003754FE">
      <w:pPr>
        <w:pStyle w:val="TextoNormal"/>
      </w:pPr>
      <w:r>
        <w:t xml:space="preserve">C) Dicho esto, nuestro enjuiciamiento ha de partir de la dicción literal del art. 293.1 a) LOPJ, que establece que el plazo trimestral de caducidad para el ejercicio de la acción para el reconocimiento del error judicial comienza a correr “a partir del día en que pudo ejercitarse”. El precepto legal no fija como </w:t>
      </w:r>
      <w:r w:rsidRPr="003754FE">
        <w:rPr>
          <w:i/>
        </w:rPr>
        <w:t>dies a quo</w:t>
      </w:r>
      <w:r>
        <w:t xml:space="preserve"> la fecha de notificación de la resolución judicial a la que se imputa el supuesto error, sino que esta identificación entre “el día en que pudo ejercitarse” y la fecha en que se notificó la resolución judicial pretendidamente errónea es resultado de la interpretación del precepto legal efectuada por el auto impugnado.</w:t>
      </w:r>
    </w:p>
    <w:p w14:paraId="26E6EC49" w14:textId="77777777" w:rsidR="003754FE" w:rsidRDefault="003754FE" w:rsidP="003754FE">
      <w:pPr>
        <w:pStyle w:val="TextoNormal"/>
      </w:pPr>
    </w:p>
    <w:p w14:paraId="70A1AD91" w14:textId="77777777" w:rsidR="003754FE" w:rsidRDefault="003754FE" w:rsidP="003754FE">
      <w:pPr>
        <w:pStyle w:val="TextoNormal"/>
      </w:pPr>
      <w:r>
        <w:t xml:space="preserve">Este tribunal considera que, con carácter general, el criterio interpretativo seguido por el auto recurrido es conforme a las exigencias del derecho a la tutela judicial efectiva, en su vertiente del derecho de acceso a la jurisdicción, interpretado a la luz del principio </w:t>
      </w:r>
      <w:r w:rsidRPr="003754FE">
        <w:rPr>
          <w:i/>
        </w:rPr>
        <w:t>pro actione</w:t>
      </w:r>
      <w:r>
        <w:t>, pues cabe afirmar que, también como regla general, en la inmensa mayoría de los casos de error judicial, todos los presupuestos fácticos y jurídicos para el ejercicio de la acción conducente a obtener su declaración están determinados o resultan fácilmente determinables desde el momento de la notificación de la resolución judicial a la que se imputa el error causante de los daños sufridos.</w:t>
      </w:r>
    </w:p>
    <w:p w14:paraId="7B68839F" w14:textId="77777777" w:rsidR="003754FE" w:rsidRDefault="003754FE" w:rsidP="003754FE">
      <w:pPr>
        <w:pStyle w:val="TextoNormal"/>
      </w:pPr>
    </w:p>
    <w:p w14:paraId="23DF7F90" w14:textId="77777777" w:rsidR="003754FE" w:rsidRDefault="003754FE" w:rsidP="003754FE">
      <w:pPr>
        <w:pStyle w:val="TextoNormal"/>
      </w:pPr>
      <w:r>
        <w:t>Ahora bien, en un caso como el presente, este tribunal aprecia que concurren circunstancias particulares que hacen que el criterio hermenéutico seguido por el auto impugnado, que, por lo demás, como ya se ha dicho, constituye una interpretación constitucionalmente válida de la legalidad ordinaria como regla general, resulte, al aplicarse directamente a este caso concreto, excesivamente riguroso y formalista y termine por ocasionar la desproporcionada consecuencia de impedir materialmente el ejercicio del derecho, previsto en el art. 121 CE, de reclamar una indemnización al Estado por los daños sufridos como consecuencia de un supuesto error judicial.</w:t>
      </w:r>
    </w:p>
    <w:p w14:paraId="7D3ACCF3" w14:textId="77777777" w:rsidR="003754FE" w:rsidRDefault="003754FE" w:rsidP="003754FE">
      <w:pPr>
        <w:pStyle w:val="TextoNormal"/>
      </w:pPr>
    </w:p>
    <w:p w14:paraId="53352B0C" w14:textId="77777777" w:rsidR="003754FE" w:rsidRDefault="003754FE" w:rsidP="003754FE">
      <w:pPr>
        <w:pStyle w:val="TextoNormal"/>
      </w:pPr>
      <w:r>
        <w:t>En este punto, no puede este tribunal dejar de tomar en consideración que, si bien en principio y con carácter general las partes en el proceso pueden conocer o, al menos, prever los eventuales daños que pueden seguirse para ellas de una resolución que quepa calificar como palmariamente errónea desde el momento de su notificación, en el caso sometido a nuestro examen no puede afirmarse que así fuera. En un supuesto como el que nos ocupa, al tiempo de dictarse el auto de 19 de junio de 2019, la demandante de amparo no podía razonablemente prever que, más de un mes después, su exmarido fuera a acabar con la vida del hijo de ambos. Al tiempo de dictarse y notificarse la resolución judicial supuestamente errónea no era previsible que del supuesto error judicial pudiera seguirse el resultado trágicamente dañoso que finalmente tuvo lugar.</w:t>
      </w:r>
    </w:p>
    <w:p w14:paraId="4779FC56" w14:textId="77777777" w:rsidR="003754FE" w:rsidRDefault="003754FE" w:rsidP="003754FE">
      <w:pPr>
        <w:pStyle w:val="TextoNormal"/>
      </w:pPr>
    </w:p>
    <w:p w14:paraId="107D1430" w14:textId="77777777" w:rsidR="003754FE" w:rsidRDefault="003754FE" w:rsidP="003754FE">
      <w:pPr>
        <w:pStyle w:val="TextoNormal"/>
      </w:pPr>
      <w:r>
        <w:t xml:space="preserve">En el caso enjuiciado, este tribunal estima que no cabía razonablemente esperar, ni tampoco puede por ello el ordenamiento razonablemente exigir, que la demandante de amparo hubiera de plantearse la posibilidad legal de promover la declaración del error judicial, al tiempo de dictarse y notificarse el auto de 19 de junio de 2019, pues en dicha fecha no conocía ni tampoco podía prever el resultado de muerte que finalmente aconteció, y que </w:t>
      </w:r>
      <w:r>
        <w:lastRenderedPageBreak/>
        <w:t>constituye el daño que eventualmente habría justificado el ejercicio por su parte de las acciones conducentes a su reparación. El rigor en el cómputo de los plazos para el ejercicio de acciones no puede llevarse hasta el extremo de imponer al justiciable un estándar de diligencia procesal que le obligue a interponer la demanda de error judicial con carácter preventivo, antes incluso de que pudieran preverse los hechos que, en su caso, podrían motivar una eventual petición indemnizatoria, esto es, antes de que dicha acción de error judicial se revelara como útil para el cumplimiento de su finalidad última, que no es otra que la de reclamar responsabilidad patrimonial al Estado, con arreglo a lo previsto en el art. 121 CE.</w:t>
      </w:r>
    </w:p>
    <w:p w14:paraId="1A34D673" w14:textId="77777777" w:rsidR="003754FE" w:rsidRDefault="003754FE" w:rsidP="003754FE">
      <w:pPr>
        <w:pStyle w:val="TextoNormal"/>
      </w:pPr>
    </w:p>
    <w:p w14:paraId="700EC505" w14:textId="77777777" w:rsidR="003754FE" w:rsidRDefault="003754FE" w:rsidP="003754FE">
      <w:pPr>
        <w:pStyle w:val="TextoNormal"/>
      </w:pPr>
      <w:r>
        <w:t>En supuestos tan excepcionales como el que aquí se analiza, una interpretación excesivamente rigurosa y formalista del cómputo del plazo previsto en el art. 293.1 a) LOPJ, desvinculado de la finalidad última de dicha acción, de carácter indemnizatorio, comporta, como expone el Ministerio Fiscal al defender la estimación del recurso de amparo, un obstáculo desproporcionado para impetrar la tutela de los tribunales en los casos de error judicial, impidiendo de manera irrazonable el acceso al cauce procedimental establecido para reclamar la indemnización prevista para estos casos en el art. 121 CE.</w:t>
      </w:r>
    </w:p>
    <w:p w14:paraId="557996E0" w14:textId="77777777" w:rsidR="003754FE" w:rsidRDefault="003754FE" w:rsidP="003754FE">
      <w:pPr>
        <w:pStyle w:val="TextoNormal"/>
      </w:pPr>
    </w:p>
    <w:p w14:paraId="277A0D72" w14:textId="77777777" w:rsidR="003754FE" w:rsidRDefault="003754FE" w:rsidP="003754FE">
      <w:pPr>
        <w:pStyle w:val="TextoNormal"/>
      </w:pPr>
      <w:r>
        <w:t xml:space="preserve">Además, y en conexión con el razonamiento anterior, a la hora de determinar el </w:t>
      </w:r>
      <w:r w:rsidRPr="003754FE">
        <w:rPr>
          <w:i/>
        </w:rPr>
        <w:t>dies a quo</w:t>
      </w:r>
      <w:r>
        <w:t xml:space="preserve"> para efectuar el cómputo del plazo establecido en el art. 293.1 a) LOPJ, el auto impugnado no solo obvió la finalidad última a la que sirve el ejercicio de la acción para el reconocimiento del error judicial, ya mencionada, sino que tampoco valoró en su justa medida las consecuencias desproporcionadas que se derivaban de su decisión de inadmisión. Dada la enorme gravedad de los perjuicios que llevaron a la demandante de amparo a ejercitar la acción de error judicial, consistentes en la muerte de su hijo presuntamente a manos de su exmarido, mediante la descripción de un relato fáctico que hacía alusión a un posible supuesto de violencia vicaria con afectación de sus derechos fundamentales, el órgano judicial debió haber tomado en consideración que la aplicación estrictamente formalista del criterio interpretativo seleccionado para efectuar el cómputo del plazo de caducidad de la acción dejaba a la actora en una situación material de imposibilidad, no ya solo de obtener, sino simplemente de instar el resarcimiento por los gravísimos daños sufridos. En otras palabras, al decidir sobre la inadmisión a trámite de la demanda de error judicial, el órgano judicial debió tener en cuenta que, en el caso examinado, la interpretación rigorista de la norma procesal conducía a un resultado desproporcionado y no justificado por la finalidad a que responde la causa legal de inadmisión por extemporaneidad aplicada. Al no haberlo hecho, la decisión de inadmisión no satisface el canon reforzado de control constitucional que deriva de las exigencias del principi</w:t>
      </w:r>
      <w:r w:rsidRPr="003754FE">
        <w:rPr>
          <w:i/>
        </w:rPr>
        <w:t>o pro actio</w:t>
      </w:r>
      <w:r>
        <w:t>ne.</w:t>
      </w:r>
    </w:p>
    <w:p w14:paraId="304E6048" w14:textId="77777777" w:rsidR="003754FE" w:rsidRDefault="003754FE" w:rsidP="003754FE">
      <w:pPr>
        <w:pStyle w:val="TextoNormal"/>
      </w:pPr>
    </w:p>
    <w:p w14:paraId="0DD2C98E" w14:textId="77777777" w:rsidR="003754FE" w:rsidRDefault="003754FE" w:rsidP="003754FE">
      <w:pPr>
        <w:pStyle w:val="TextoNormal"/>
      </w:pPr>
      <w:r>
        <w:t xml:space="preserve">Por otra parte, debe también ponerse de relieve que, como se viene argumentando, existía y existe una interpretación constitucional de la regla de cómputo del plazo prevista en el art. 293.1 a) LOPJ que satisface las exigencias del derecho a la tutela judicial efectiva (art. 24.1 CE) y del principio de proporcionalidad, sin sacrificar las notas de certeza y claridad que derivan del principio de seguridad jurídica (art. 9.3 CE), a las que responde la fijación de plazos legales para el ejercicio de acciones y que tienden a evitar, en la medida de lo razonable, que los mismos puedan permanecer abiertos por tiempo indefinido o que su cómputo dependa de la mera voluntad del actor. Como ya se ha señalado, el criterio hermenéutico seguido por el auto impugnado es perfectamente lícito como regla general, si bien en supuestos excepcionales como el aquí enjuiciado, en los que al tiempo de la notificación de la resolución judicial supuestamente errónea no se conociera ni pudiera racionalmente </w:t>
      </w:r>
      <w:r>
        <w:lastRenderedPageBreak/>
        <w:t xml:space="preserve">preverse el daño real, efectivo, individualizado e indemnizable, el principio </w:t>
      </w:r>
      <w:r w:rsidRPr="003754FE">
        <w:rPr>
          <w:i/>
        </w:rPr>
        <w:t>pro actione</w:t>
      </w:r>
      <w:r>
        <w:t xml:space="preserve"> impone que el plazo no deba comenzar a correr sino desde el momento en que se produce el hecho lesivo. Esta interpretación, aunque inevitablemente introduce una variable de incertidumbre en la determinación del momento a partir del cual puede ejercitarse la acción para la declaración del error judicial, no va más allá de lo estrictamente imprescindible para asegurar la efectividad del derecho de acceso a la jurisdicción y, desde luego, no deja la determinación del </w:t>
      </w:r>
      <w:r w:rsidRPr="003754FE">
        <w:rPr>
          <w:i/>
        </w:rPr>
        <w:t>dies a quo</w:t>
      </w:r>
      <w:r>
        <w:t xml:space="preserve"> a la elección del interesado, puesto que el momento en que se produce el daño, que el demandante considera una consecuencia del pretendido error judicial cuya declaración postula, es una cuestión fáctica que corresponde determinar al órgano judicial. Además, no dista tanto de otras formas de computar los plazos para el ejercicio de acciones en nuestro ordenamiento jurídico-procesal.</w:t>
      </w:r>
    </w:p>
    <w:p w14:paraId="7012C88E" w14:textId="77777777" w:rsidR="003754FE" w:rsidRDefault="003754FE" w:rsidP="003754FE">
      <w:pPr>
        <w:pStyle w:val="TextoNormal"/>
      </w:pPr>
    </w:p>
    <w:p w14:paraId="0ECB4984" w14:textId="77777777" w:rsidR="003754FE" w:rsidRDefault="003754FE" w:rsidP="003754FE">
      <w:pPr>
        <w:pStyle w:val="TextoNormal"/>
      </w:pPr>
      <w:r>
        <w:t xml:space="preserve">En efecto, no puede este tribunal dejar de recordar que existen otros supuestos legales en los que el plazo para el ejercicio de acciones se hace depender de circunstancias respecto de las que existe una incertidumbre acerca de cuándo ocurrirán o, incluso, de si ocurrirán. Sin ánimo de exhaustividad, así ocurre, por ejemplo, con el ejercicio de la acción para solicitar la revisión de sentencias firmes, íntimamente relacionada con la acción para obtener el reconocimiento del error judicial [art. 293.1 c) LOPJ], en la que el plazo de tres meses comienza a contarse a partir de que se produzca alguna de las causas que pueden motivar su ejercicio (art. 512.2 en relación con el art. 510 LEC), si bien con el límite máximo de los cinco años desde la fecha de la publicación de la sentencia (art. 512.1 LEC). Y así ocurre también, singularmente, con el derecho a reclamar responsabilidad patrimonial de la administración pública, que está sujeto al plazo de prescripción de un año “de producido el hecho o acto que motive la indemnización o se manifieste su efecto lesivo” con carácter general, si bien la ley contempla también la regla especial, de génesis jurisprudencial, en virtud de la cual “en caso de daños de carácter físico o psíquico a las personas, el plazo empezará a computarse desde la curación o la determinación del alcance de las secuelas” (art. 67.1 de la Ley 39/2015, de 1 de octubre, de procedimiento administrativo común de las administraciones públicas), introduciendo con ello un cierto margen de indeterminación en la fijación del </w:t>
      </w:r>
      <w:r w:rsidRPr="003754FE">
        <w:rPr>
          <w:i/>
        </w:rPr>
        <w:t>dies a quo</w:t>
      </w:r>
      <w:r>
        <w:t xml:space="preserve"> del plazo de prescripción con la evidente finalidad de no cerrar de manera desproporcionada el acceso al procedimiento para solicitar la responsabilidad patrimonial de la administración.</w:t>
      </w:r>
    </w:p>
    <w:p w14:paraId="7140128B" w14:textId="77777777" w:rsidR="003754FE" w:rsidRDefault="003754FE" w:rsidP="003754FE">
      <w:pPr>
        <w:pStyle w:val="TextoNormal"/>
      </w:pPr>
    </w:p>
    <w:p w14:paraId="1C9E407A" w14:textId="77777777" w:rsidR="003754FE" w:rsidRDefault="003754FE" w:rsidP="003754FE">
      <w:pPr>
        <w:pStyle w:val="TextoNormal"/>
      </w:pPr>
      <w:r>
        <w:t>Finalmente, el razonamiento que antecede no queda desvirtuado por las alegaciones del abogado del Estado relativas a si la demandante de amparo se aquietó inicialmente a la resolución a la que posteriormente achaca el error o si presentó o dejó de presentar los recursos pertinentes contra la misma. Estas alegaciones resultan irrelevantes para la resolución de este recurso de amparo porque el objeto del mismo, la resolución judicial contra la que se dirige, esto es, el auto de 25 de junio de 2020 de la Sala de lo Penal del Tribunal Supremo, es una decisión de inadmisión de la demanda de error judicial por extemporaneidad, en aplicación del art. 293.1 a) LOPJ, y no por el motivo de inadmisión previsto en el art. 293.1 f) LOPJ, que es al que se han de entender referidas estas alegaciones de la representación procesal del Estado. Como ya se ha indicado al exponer las razones por las que este recurso de amparo presenta especial trascendencia constitucional [</w:t>
      </w:r>
      <w:r w:rsidRPr="003754FE">
        <w:rPr>
          <w:i/>
        </w:rPr>
        <w:t>supra</w:t>
      </w:r>
      <w:r>
        <w:t xml:space="preserve">, fundamento jurídico 2 c)], el órgano judicial no se ha pronunciado sobre esta cuestión ni ha acordado la inadmisión con fundamento en ese motivo y, por lo tanto, cabe ahora añadir que tampoco corresponde a este tribunal efectuar pronunciamiento alguno acerca de si pudieran concurrir otras </w:t>
      </w:r>
      <w:r>
        <w:lastRenderedPageBreak/>
        <w:t>posibles causas de inadmisión no apreciadas en el auto recurrido, so pena de incurrir no solo en incongruencia, sino en un claro exceso en el ejercicio de nuestra jurisdicción constitucional.</w:t>
      </w:r>
    </w:p>
    <w:p w14:paraId="208180FE" w14:textId="77777777" w:rsidR="003754FE" w:rsidRDefault="003754FE" w:rsidP="003754FE">
      <w:pPr>
        <w:pStyle w:val="TextoNormal"/>
      </w:pPr>
    </w:p>
    <w:p w14:paraId="1603EFA1" w14:textId="2F28100C" w:rsidR="003754FE" w:rsidRDefault="003754FE" w:rsidP="003754FE">
      <w:pPr>
        <w:pStyle w:val="TextoNormal"/>
      </w:pPr>
      <w:r>
        <w:t xml:space="preserve">Por todo cuanto antecede, este tribunal concluye que, a la hora de proceder a determinar el </w:t>
      </w:r>
      <w:r w:rsidRPr="003754FE">
        <w:rPr>
          <w:i/>
        </w:rPr>
        <w:t>dies a quo</w:t>
      </w:r>
      <w:r>
        <w:t xml:space="preserve"> para el cómputo del plazo de caducidad de tres meses previsto en el art. 293.1 a) LOPJ, el auto impugnado incurrió en una interpretación excesivamente formalista del referido presupuesto procesal, desvinculado de las excepcionales circunstancias del caso concreto, de la afectación a un derecho fundamental en el daño supuestamente causado por el error judicial y de la finalidad de la acción ejercitada, que no satisface el canon de control constitucional reforzado que impone el principio </w:t>
      </w:r>
      <w:r w:rsidRPr="003754FE">
        <w:rPr>
          <w:i/>
        </w:rPr>
        <w:t>pro actione</w:t>
      </w:r>
      <w:r>
        <w:t>, lesionando con ello el derecho a la tutela judicial efectiva (art. 24.1 CE) de la recurrente en amparo.</w:t>
      </w:r>
    </w:p>
    <w:p w14:paraId="25AE5B72" w14:textId="77777777" w:rsidR="003754FE" w:rsidRDefault="003754FE" w:rsidP="003754FE">
      <w:pPr>
        <w:pStyle w:val="TextoNormal"/>
      </w:pPr>
    </w:p>
    <w:p w14:paraId="372E3376" w14:textId="77777777" w:rsidR="003754FE" w:rsidRDefault="003754FE" w:rsidP="003754FE">
      <w:pPr>
        <w:pStyle w:val="TextoNormal"/>
      </w:pPr>
      <w:r w:rsidRPr="003754FE">
        <w:rPr>
          <w:rStyle w:val="NumeroAFNegritaCaracter"/>
        </w:rPr>
        <w:t>6</w:t>
      </w:r>
      <w:r>
        <w:t xml:space="preserve">. </w:t>
      </w:r>
      <w:r w:rsidRPr="003754FE">
        <w:rPr>
          <w:i/>
        </w:rPr>
        <w:t>Alcance del amparo otorgado</w:t>
      </w:r>
    </w:p>
    <w:p w14:paraId="7631C8E5" w14:textId="77777777" w:rsidR="003754FE" w:rsidRDefault="003754FE" w:rsidP="003754FE">
      <w:pPr>
        <w:pStyle w:val="TextoNormal"/>
      </w:pPr>
    </w:p>
    <w:p w14:paraId="42EEAFF5" w14:textId="77777777" w:rsidR="003754FE" w:rsidRDefault="003754FE" w:rsidP="003754FE">
      <w:pPr>
        <w:pStyle w:val="TextoNormal"/>
      </w:pPr>
      <w:r>
        <w:t>En virtud de lo expuesto, procede la estimación del recurso de amparo interpuesto y la declaración de la vulneración del derecho a la tutela judicial efectiva, en su vertiente del derecho de acceso a la jurisdicción.</w:t>
      </w:r>
    </w:p>
    <w:p w14:paraId="2ECC9443" w14:textId="77777777" w:rsidR="003754FE" w:rsidRDefault="003754FE" w:rsidP="003754FE">
      <w:pPr>
        <w:pStyle w:val="TextoNormal"/>
      </w:pPr>
    </w:p>
    <w:p w14:paraId="14CAD73F" w14:textId="05494E12" w:rsidR="003754FE" w:rsidRDefault="003754FE" w:rsidP="003754FE">
      <w:pPr>
        <w:pStyle w:val="TextoNormal"/>
      </w:pPr>
      <w:r>
        <w:t>La estimación del recurso de amparo comporta un fallo limitado a la declaración de nulidad del auto de 25 de junio de 2020 de la Sala de lo Penal del Tribunal Supremo y la reposición de las actuaciones al momento inmediatamente anterior a su dictado para que, una vez descartada la extemporaneidad de la demanda de error judicial, decida sobre la admisión a trámite de la misma con pleno respeto al derecho fundamental vulnerado.</w:t>
      </w:r>
    </w:p>
    <w:p w14:paraId="2D8972AC" w14:textId="77777777" w:rsidR="003754FE" w:rsidRDefault="003754FE" w:rsidP="003754FE">
      <w:pPr>
        <w:pStyle w:val="TextoNormal"/>
      </w:pPr>
    </w:p>
    <w:p w14:paraId="70B349C8" w14:textId="77777777" w:rsidR="003754FE" w:rsidRDefault="003754FE" w:rsidP="003754FE">
      <w:pPr>
        <w:pStyle w:val="TextoNormalCentrado"/>
        <w:keepNext/>
      </w:pPr>
      <w:r>
        <w:t>FALLO</w:t>
      </w:r>
    </w:p>
    <w:p w14:paraId="7B354C7C" w14:textId="46C4385E" w:rsidR="003754FE" w:rsidRDefault="003754FE" w:rsidP="003754FE">
      <w:pPr>
        <w:pStyle w:val="TextoNormalCentrado"/>
        <w:keepNext/>
      </w:pPr>
    </w:p>
    <w:p w14:paraId="71775265"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doña Laura Hernández Morata y, en su virtud:</w:t>
      </w:r>
    </w:p>
    <w:p w14:paraId="7C5C8E24" w14:textId="77777777" w:rsidR="003754FE" w:rsidRDefault="003754FE" w:rsidP="003754FE">
      <w:pPr>
        <w:pStyle w:val="TextoNormal"/>
      </w:pPr>
    </w:p>
    <w:p w14:paraId="4241CAA1" w14:textId="77777777" w:rsidR="003754FE" w:rsidRDefault="003754FE" w:rsidP="003754FE">
      <w:pPr>
        <w:pStyle w:val="TextoNormal"/>
      </w:pPr>
      <w:r>
        <w:t>1º Declarar que ha sido vulnerado su derecho a la tutela judicial efectiva (art. 24.1 CE), en su vertiente del derecho de acceso a la jurisdicción.</w:t>
      </w:r>
    </w:p>
    <w:p w14:paraId="42E68EC2" w14:textId="77777777" w:rsidR="003754FE" w:rsidRDefault="003754FE" w:rsidP="003754FE">
      <w:pPr>
        <w:pStyle w:val="TextoNormal"/>
      </w:pPr>
    </w:p>
    <w:p w14:paraId="7669E3E2" w14:textId="085FD0C7" w:rsidR="003754FE" w:rsidRDefault="003754FE" w:rsidP="003754FE">
      <w:pPr>
        <w:pStyle w:val="TextoNormal"/>
      </w:pPr>
      <w:r>
        <w:t>2º Restablecerla en su derecho y, a tal fin, declarar la nulidad del auto de 25 de junio de 2020 de la Sala de lo Penal del Tribunal Supremo (error judicial núm. 20870-2019), con retroacción de actuaciones al momento inmediatamente anterior a su dictado, para que el órgano judicial decida sobre la admisión a trámite de la demanda de error judicial con pleno respeto al derecho fundamental vulnerado.</w:t>
      </w:r>
    </w:p>
    <w:p w14:paraId="499AD2F0" w14:textId="77777777" w:rsidR="003754FE" w:rsidRDefault="003754FE" w:rsidP="003754FE">
      <w:pPr>
        <w:pStyle w:val="TextoNormal"/>
      </w:pPr>
    </w:p>
    <w:p w14:paraId="01987F8D" w14:textId="77777777" w:rsidR="003754FE" w:rsidRDefault="003754FE" w:rsidP="003754FE">
      <w:pPr>
        <w:pStyle w:val="TextoNormal"/>
      </w:pPr>
      <w:r>
        <w:t>Publíquese esta sentencia en el “Boletín Oficial del Estado”.</w:t>
      </w:r>
    </w:p>
    <w:p w14:paraId="1479736B" w14:textId="77777777" w:rsidR="003754FE" w:rsidRDefault="003754FE" w:rsidP="003754FE">
      <w:pPr>
        <w:pStyle w:val="TextoNormal"/>
      </w:pPr>
      <w:r>
        <w:t>Dada en Madrid, a veinticinco de septiembre de dos mil veinticuatro.</w:t>
      </w:r>
    </w:p>
    <w:p w14:paraId="7E0468C2" w14:textId="5261FED1" w:rsidR="003754FE" w:rsidRDefault="003754FE" w:rsidP="003754FE">
      <w:pPr>
        <w:pStyle w:val="ParrafoNormal"/>
      </w:pPr>
    </w:p>
    <w:p w14:paraId="7BD8E477" w14:textId="77777777" w:rsidR="003754FE" w:rsidRDefault="003754FE" w:rsidP="003754FE">
      <w:pPr>
        <w:pStyle w:val="TextoNormalNegritaCentrado"/>
        <w:keepNext/>
      </w:pPr>
      <w:r>
        <w:lastRenderedPageBreak/>
        <w:t>Voto particular que formula el magistrado don Ricardo Enríquez Sancho a la sentencia dictada en el recurso de amparo avocado núm. 3835-2020</w:t>
      </w:r>
    </w:p>
    <w:p w14:paraId="392E7CDB" w14:textId="4778AEDB" w:rsidR="003754FE" w:rsidRDefault="003754FE" w:rsidP="003754FE">
      <w:pPr>
        <w:pStyle w:val="TextoNormalNegritaCentrado"/>
        <w:keepNext/>
      </w:pPr>
    </w:p>
    <w:p w14:paraId="4732199A" w14:textId="77777777" w:rsidR="003754FE" w:rsidRDefault="003754FE" w:rsidP="003754FE">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avocado por el Pleno núm. 3835-2020, que ha conducido a la estimación de la demanda.</w:t>
      </w:r>
    </w:p>
    <w:p w14:paraId="5644C9C9" w14:textId="77777777" w:rsidR="003754FE" w:rsidRDefault="003754FE" w:rsidP="003754FE">
      <w:pPr>
        <w:pStyle w:val="TextoNormal"/>
      </w:pPr>
    </w:p>
    <w:p w14:paraId="6359DEF4" w14:textId="77777777" w:rsidR="003754FE" w:rsidRDefault="003754FE" w:rsidP="003754FE">
      <w:pPr>
        <w:pStyle w:val="TextoNormal"/>
      </w:pPr>
      <w:r>
        <w:t>A mi juicio, y tal y como defendí en la deliberación del Pleno, la sentencia tenía que haber acogido el óbice de inadmisibilidad del recurso por incumplimiento del requisito inexcusable del previo agotamiento de la vía judicial legalmente procedente [art. 44.1 a) LOTC], invocado en sus escritos de alegaciones por el ministerio fiscal y por el abogado del Estado, al no haber promovido la recurrente un incidente de nulidad de actuaciones ante la Sala Segunda del Tribunal Supremo contra el auto de esta de 25 de junio de 2020, que impugnó de manera exclusiva en su recurso de amparo. En consecuencia, la sentencia debió limitarse a inadmitir la demanda, sin haber entrado en el fondo de la queja planteada. Las razones para sustentar este criterio son las siguientes:</w:t>
      </w:r>
    </w:p>
    <w:p w14:paraId="51FE656B" w14:textId="77777777" w:rsidR="003754FE" w:rsidRDefault="003754FE" w:rsidP="003754FE">
      <w:pPr>
        <w:pStyle w:val="TextoNormal"/>
      </w:pPr>
    </w:p>
    <w:p w14:paraId="7DA49691" w14:textId="77777777" w:rsidR="003754FE" w:rsidRDefault="003754FE" w:rsidP="003754FE">
      <w:pPr>
        <w:pStyle w:val="TextoNormal"/>
      </w:pPr>
      <w:r>
        <w:t xml:space="preserve">1. La sentencia apoyada por la mayoría del Pleno resuelve el citado óbice en el fundamento jurídico 2. Para ello empieza por sistematizar la doctrina constitucional aplicable, haciendo cita correcta de las siguientes: (i) la que contempla la posibilidad de efectuar un control de los presupuestos procesales del recurso en fase de sentencia, aunque aquel ya estuviera admitido a trámite (doctrina que sin embargo luego no aplica); (ii) la que destaca la importancia del incidente de nulidad de actuaciones como cauce reparador de la vulneración de derechos fundamentales en la jurisdicción ordinaria (siempre que, se entiende, concurran los requisitos para su procedencia en el caso concreto), (iii) la que proclama que el citado requisito del art. 44.1 a) LOTC cumple la función de preservar la subsidiariedad de esta jurisdicción constitucional, a fin de evitar que los asuntos lleguen a este tribunal </w:t>
      </w:r>
      <w:r w:rsidRPr="003754FE">
        <w:rPr>
          <w:i/>
        </w:rPr>
        <w:t>per saltum</w:t>
      </w:r>
      <w:r>
        <w:t xml:space="preserve"> sin dar la oportunidad a los órganos judiciales de reparar la lesión por ellos causada; y (iv) la que precisa que la exigencia de agotamiento previo se refiere a aquellas acciones, recursos o en general medios impugnatorios que no ofrezcan dudas interpretativas en cuanto a la aplicación de la norma procesal al caso concreto. Nada que objetar hasta aquí. El problema es que entonces la sentencia pasa a resolver el óbice mediante una argumentación que resulta insostenible, precisamente por resultar contraria a tales doctrinas.</w:t>
      </w:r>
    </w:p>
    <w:p w14:paraId="31E41B8A" w14:textId="77777777" w:rsidR="003754FE" w:rsidRDefault="003754FE" w:rsidP="003754FE">
      <w:pPr>
        <w:pStyle w:val="TextoNormal"/>
      </w:pPr>
    </w:p>
    <w:p w14:paraId="6BDE304D" w14:textId="77777777" w:rsidR="003754FE" w:rsidRDefault="003754FE" w:rsidP="003754FE">
      <w:pPr>
        <w:pStyle w:val="TextoNormal"/>
      </w:pPr>
      <w:r>
        <w:t>2. Para este propósito, la sentencia acuña una distinción artificial e inédita en nuestra doctrina, distinguiendo en el requisito de procedibilidad del art. 44.1 a) LOTC, entre una supuesta perspectiva o plano “formal”, y otro “material”. Conforme a la vertiente “formal”, la sentencia reconoce que la recurrente no invocó “expresamente la vulneración del derecho de acceso a la jurisdicción” contra el auto del Tribunal Supremo que inadmitió por extemporánea su demanda de error judicial, antes de venir en amparo, por lo que “[b]astaría” con apreciar este hecho procesal para “acordar la inadmisión de la demanda de amparo”. Sin embargo, la sentencia prosigue diciendo que, en cambio, si se mira la cuestión desde un “plano material”, no considera que la promoción del incidente de nulidad fuera “claramente exigible”, teniendo en cuenta unos datos a los que de seguidas hace referencia la sentencia y en los que luego nos detendremos.</w:t>
      </w:r>
    </w:p>
    <w:p w14:paraId="223DC372" w14:textId="77777777" w:rsidR="003754FE" w:rsidRDefault="003754FE" w:rsidP="003754FE">
      <w:pPr>
        <w:pStyle w:val="TextoNormal"/>
      </w:pPr>
    </w:p>
    <w:p w14:paraId="3370BCB2" w14:textId="77777777" w:rsidR="003754FE" w:rsidRDefault="003754FE" w:rsidP="003754FE">
      <w:pPr>
        <w:pStyle w:val="TextoNormal"/>
      </w:pPr>
      <w:r>
        <w:lastRenderedPageBreak/>
        <w:t xml:space="preserve">Procede en todo caso salir al paso de esta extraña premisa, sobre el supuesto carácter bifronte del requisito procesal en examen. No es cierto que existan dos caras o perspectivas, sea para conceptuar o sea para verificar su concurrencia </w:t>
      </w:r>
      <w:r w:rsidRPr="003754FE">
        <w:rPr>
          <w:i/>
        </w:rPr>
        <w:t>ad casum</w:t>
      </w:r>
      <w:r>
        <w:t>, de cualesquiera de los requisitos procesales derivados del art. 44 LOTC. Simplemente, o el requisito de que se trate se ha cumplido en el supuesto concreto, o no lo ha sido. Y en función de ello la queja resulta de inadmisión o no, pero no según una determinada perspectiva o plano.</w:t>
      </w:r>
    </w:p>
    <w:p w14:paraId="36A727F2" w14:textId="77777777" w:rsidR="003754FE" w:rsidRDefault="003754FE" w:rsidP="003754FE">
      <w:pPr>
        <w:pStyle w:val="TextoNormal"/>
      </w:pPr>
    </w:p>
    <w:p w14:paraId="5D0CCB39" w14:textId="77777777" w:rsidR="003754FE" w:rsidRDefault="003754FE" w:rsidP="003754FE">
      <w:pPr>
        <w:pStyle w:val="TextoNormal"/>
      </w:pPr>
      <w:r>
        <w:t>No se puede decir una cosa (se incumplió el requisito del previo agotamiento de la vía judicial procedente) y la contraria (no es exigible el incidente, luego no se incumplió), como sostiene la sentencia.</w:t>
      </w:r>
    </w:p>
    <w:p w14:paraId="19948AE4" w14:textId="77777777" w:rsidR="003754FE" w:rsidRDefault="003754FE" w:rsidP="003754FE">
      <w:pPr>
        <w:pStyle w:val="TextoNormal"/>
      </w:pPr>
    </w:p>
    <w:p w14:paraId="44142E14" w14:textId="77777777" w:rsidR="003754FE" w:rsidRDefault="003754FE" w:rsidP="003754FE">
      <w:pPr>
        <w:pStyle w:val="TextoNormal"/>
      </w:pPr>
      <w:r>
        <w:t>En lo que aquí importa, la doctrina de este tribunal es reiterada —aunque no la cite la sentencia de la que discrepo—, al declarar que cuando la vulneración del derecho fundamental esgrimida en la demanda de amparo ha sido causada por una resolución dictada por alguna de las Salas del Tribunal Supremo, y contra esa resolución no cabía recurso ante dicho Alto Tribunal, la parte debe interponer un incidente de nulidad de actuaciones contra ella a fin de permitir la reparación del derecho fundamental por la propia Sala, cuya estimación evite acudir al proceso de amparo. Si no lo hace, se debe acordar la inadmisión de la demanda (salvo que se hayan deducido otras quejas no afectadas por el óbice, lo que no es este caso) incluso en sentencia, por incumplimiento del art. 44.1 a) LOTC, dejando con ello imprejuzgada la queja de fondo. Así, entre otras, las SSTC 41/2014, de 24 de marzo, FJ 4; 57/2014, de 5 de mayo, FJ 4; 186/2014, de 17 de noviembre, FJ 2 b); 189/2016, de 14 de noviembre, FJ 3, y 95/2018, de 17 de septiembre, FJ 2 a); y las que en ellas se citan; así como el ATC 182/2002, de 14 de octubre, FJ 3, a propósito justamente de la no interposición de un incidente de nulidad de actuaciones contra el auto de inadmisión de una demanda de error judicial ante el Tribunal Supremo, alegándose en la demanda de amparo —como aquí— la lesión del derecho de acceso a la jurisdicción (art. 24.1 CE).</w:t>
      </w:r>
    </w:p>
    <w:p w14:paraId="75699564" w14:textId="77777777" w:rsidR="003754FE" w:rsidRDefault="003754FE" w:rsidP="003754FE">
      <w:pPr>
        <w:pStyle w:val="TextoNormal"/>
      </w:pPr>
    </w:p>
    <w:p w14:paraId="1A45A052" w14:textId="77777777" w:rsidR="003754FE" w:rsidRDefault="003754FE" w:rsidP="003754FE">
      <w:pPr>
        <w:pStyle w:val="TextoNormal"/>
      </w:pPr>
      <w:r>
        <w:t>Puede consultarse cualquiera de estas resoluciones de nuestra doctrina, que de manera clara evidencian que deviene insoslayable acordar la inadmisión del recurso de amparo si no se ha promovido el incidente de nulidad, como de hecho así lo venimos acordando frecuentemente mediante providencia cuando se invoca en la demanda de amparo la lesión del derecho al recurso (art. 24.1 CE) contra autos de inadmisión de recursos de casación.</w:t>
      </w:r>
    </w:p>
    <w:p w14:paraId="11DC7BDC" w14:textId="77777777" w:rsidR="003754FE" w:rsidRDefault="003754FE" w:rsidP="003754FE">
      <w:pPr>
        <w:pStyle w:val="TextoNormal"/>
      </w:pPr>
    </w:p>
    <w:p w14:paraId="4670E529" w14:textId="77777777" w:rsidR="003754FE" w:rsidRDefault="003754FE" w:rsidP="003754FE">
      <w:pPr>
        <w:pStyle w:val="TextoNormal"/>
      </w:pPr>
      <w:r>
        <w:t>Cuestión distinta a lo expuesto es que este tribunal haya apreciado, de manera específica, que aun cuando la lesión de un derecho fundamental sustantivo (no los derechos del art. 24 CE) la haya causado la resolución del Tribunal Supremo, si el debate constitucional de fondo ya se había planteado en grados anteriores de la jurisdicción, como sucede en los supuestos de conflicto entre los derechos fundamentales sustantivos del art. 18.1 CE (honor, intimidad e imagen) y los del art. 20.1 a) y d) CE (libertad de expresión y libertad de información), se puede dispensar a la parte de tener que interponer el incidente de nulidad antes de venir en amparo [STC 216/2013, de 19 de diciembre, FJ 2 d)]. Sin embargo aquí, como ahora se verá, en modo alguno ha sucedido algo parecido, por lo que resultaba necesario promover el incidente de nulidad, lo que no se hizo.</w:t>
      </w:r>
    </w:p>
    <w:p w14:paraId="43CEA41C" w14:textId="77777777" w:rsidR="003754FE" w:rsidRDefault="003754FE" w:rsidP="003754FE">
      <w:pPr>
        <w:pStyle w:val="TextoNormal"/>
      </w:pPr>
    </w:p>
    <w:p w14:paraId="005C284F" w14:textId="77777777" w:rsidR="003754FE" w:rsidRDefault="003754FE" w:rsidP="003754FE">
      <w:pPr>
        <w:pStyle w:val="TextoNormal"/>
      </w:pPr>
      <w:r>
        <w:t xml:space="preserve">3. La sentencia de la que se discrepa afirma que no era necesario interponer el incidente contra el auto de la Sala Segunda del Tribunal Supremo que declaró la inadmisión, por extemporánea, de la demanda de error judicial interpuesta por la recurrente, porque según </w:t>
      </w:r>
      <w:r>
        <w:lastRenderedPageBreak/>
        <w:t>se dice en el fundamento jurídico  2, “la fecha de inicio del cómputo del plazo del art. 293.1 a) LOPJ” ya había sido propuesta en dicho escrito, por lo que la cuestión “fue valorada por la Sala […] que la rechazó en su auto”. Frente a esta argumentación ha de indicarse lo siguiente:</w:t>
      </w:r>
    </w:p>
    <w:p w14:paraId="400FB485" w14:textId="77777777" w:rsidR="003754FE" w:rsidRDefault="003754FE" w:rsidP="003754FE">
      <w:pPr>
        <w:pStyle w:val="TextoNormal"/>
      </w:pPr>
    </w:p>
    <w:p w14:paraId="0EFD885D" w14:textId="77777777" w:rsidR="003754FE" w:rsidRDefault="003754FE" w:rsidP="003754FE">
      <w:pPr>
        <w:pStyle w:val="TextoNormal"/>
      </w:pPr>
      <w:r>
        <w:t>a) La única valoración que tendría que haber tenido la ocasión de realizar la Sala Segunda, para dispensar de la promoción del incidente de nulidad a la parte antes de venir en amparo, sería la valoración constitucional de haberse producido la lesión del derecho de acceso a la jurisdicción (art. 24.1 CE) de la recurrente. Y esto, desde un parámetro de simple lógica, no es posible que hubiera podido proponerse en la demanda de error judicial, porque la lesión mencionada solo podría ocasionarla una resolución no dictada aún, precisamente la que determinó inadmitir su pretensión. Ni era posible ni desde luego se formuló en la demanda de error judicial tal cosa.</w:t>
      </w:r>
    </w:p>
    <w:p w14:paraId="5547FA29" w14:textId="77777777" w:rsidR="003754FE" w:rsidRDefault="003754FE" w:rsidP="003754FE">
      <w:pPr>
        <w:pStyle w:val="TextoNormal"/>
      </w:pPr>
    </w:p>
    <w:p w14:paraId="31914215" w14:textId="77777777" w:rsidR="003754FE" w:rsidRDefault="003754FE" w:rsidP="003754FE">
      <w:pPr>
        <w:pStyle w:val="TextoNormal"/>
      </w:pPr>
      <w:r>
        <w:t>b) Pero incluso si la demanda de error judicial, sin aducir (lo que era todavía imposible) la lesión consumada de su derecho de acceso a la jurisdicción, hubiera dedicado algún párrafo de su escrito a advertir que si la solicitud llegaba a ser inadmitida se produciría dicha vulneración constitucional, tampoco así podría considerarse que tal admonición, con o sin cita de doctrina constitucional de apoyo, relevaba de tener que interponer el incidente de nulidad tras serle notificado el auto de inadmisión. Como es doctrina constitucional en el ámbito del trámite de alegaciones abierto por las Salas del Tribunal Supremo para que las partes aleguen sobre la posible inadmisión de un recurso de casación, doctrina esta que resulta trasladable sin esfuerzo al presente caso, lo que la parte recurrente alegue en su escrito acerca de una futura lesión del derecho al recurso (art. 24.1 CE) si se acordara tal inadmisión, no supone agotar la vía judicial previa al amparo por cuanto la lesión del derecho fundamental solo la produce, si es que se llega a dictarse con ese tenor, el auto de inadmisión del recurso, contra el que por tanto sí hay que promover el incidente de nulidad (o en su caso, si se ofrece, el recurso de reposición u otro): por todos, AATC 10/2010, de 25 de enero, FJ único, y 41/2010, de 9 de abril, FJ único.</w:t>
      </w:r>
    </w:p>
    <w:p w14:paraId="33CC2215" w14:textId="77777777" w:rsidR="003754FE" w:rsidRDefault="003754FE" w:rsidP="003754FE">
      <w:pPr>
        <w:pStyle w:val="TextoNormal"/>
      </w:pPr>
    </w:p>
    <w:p w14:paraId="5AE2BE1D" w14:textId="77777777" w:rsidR="003754FE" w:rsidRDefault="003754FE" w:rsidP="003754FE">
      <w:pPr>
        <w:pStyle w:val="TextoNormal"/>
      </w:pPr>
      <w:r>
        <w:t>c) Si la demanda de error judicial hubiera dedicado un párrafo a hablar solamente del cumplimiento del plazo de tres meses del art. 293.1 a) LOPJ y de cuál era el día inicial de su cómputo, a fin de entender cumplido lo dicho en la norma, estaríamos ante una afirmación de legalidad ordinaria que desde luego no puede reconvertirse de oficio por este tribunal en un debate constitucional acerca de los efectos de la extemporaneidad posteriormente declarada por el auto del Tribunal Supremo.</w:t>
      </w:r>
    </w:p>
    <w:p w14:paraId="0310812C" w14:textId="77777777" w:rsidR="003754FE" w:rsidRDefault="003754FE" w:rsidP="003754FE">
      <w:pPr>
        <w:pStyle w:val="TextoNormal"/>
      </w:pPr>
    </w:p>
    <w:p w14:paraId="39B60CC4" w14:textId="77777777" w:rsidR="003754FE" w:rsidRDefault="003754FE" w:rsidP="003754FE">
      <w:pPr>
        <w:pStyle w:val="TextoNormal"/>
      </w:pPr>
      <w:r>
        <w:t>Lo que hace la sentencia de la que ahora se discrepa es todavía peor que esa reconversión de oficio: en realidad, la “demanda de reconocimiento de error judicial” presentada por la recurrente no dedica ni una sola línea a explicar el cumplimiento del plazo de caducidad de la acción, como sí se argumenta con otros requisitos procesales (competencia de la Sala, legitimación e idoneidad de la vía procedimental utilizada). De este modo, la sentencia construye un inexistente discurso sobre el cumplimiento del plazo de caducidad, al unir dos datos del apartado de hechos de la demanda de error judicial: por un lado donde se achaca el error al auto de 19 de junio del juzgado de violencia sobre la mujer (hecho octavo), y de otro al afirmarse de las “lamentables consecuencias de lo que por esta parte se consideran un grave error judicial” (hecho noveno), aludiendo al trágico asesinato de su hijo menor a manos de su exmarido, el 25 de julio de 2019.</w:t>
      </w:r>
    </w:p>
    <w:p w14:paraId="651A4188" w14:textId="77777777" w:rsidR="003754FE" w:rsidRDefault="003754FE" w:rsidP="003754FE">
      <w:pPr>
        <w:pStyle w:val="TextoNormal"/>
      </w:pPr>
    </w:p>
    <w:p w14:paraId="001D6DC2" w14:textId="77777777" w:rsidR="003754FE" w:rsidRDefault="003754FE" w:rsidP="003754FE">
      <w:pPr>
        <w:pStyle w:val="TextoNormal"/>
      </w:pPr>
      <w:r>
        <w:t>En definitiva, la sentencia de la que se discrepa no es que reconvierta una alegación de legalidad ordinaria en otra constitucional (lo que evidentemente nos está vedado), sino que hilvana una argumentación sobre el cumplimiento del plazo de caducidad del art. 293.1 a) LOPJ, que la demanda de error judicial ni siquiera trae en ningún aspecto (tampoco en el de legalidad ordinaria). Con estos mimbres es que se fundamenta, desde un además inexistente “plano material” del requisito del agotamiento de la vía judicial previa [art. 44.1 a) LOTC], que el óbice por su incumplimiento no concurría.</w:t>
      </w:r>
    </w:p>
    <w:p w14:paraId="4EC5589C" w14:textId="77777777" w:rsidR="003754FE" w:rsidRDefault="003754FE" w:rsidP="003754FE">
      <w:pPr>
        <w:pStyle w:val="TextoNormal"/>
      </w:pPr>
    </w:p>
    <w:p w14:paraId="5ED77881" w14:textId="77777777" w:rsidR="003754FE" w:rsidRDefault="003754FE" w:rsidP="003754FE">
      <w:pPr>
        <w:pStyle w:val="TextoNormal"/>
      </w:pPr>
      <w:r>
        <w:t>La insostenibilidad de todo este discurso es patente, y debieron ser atendidas las observaciones de los magistrados del Pleno que así lo pusimos de relieve, en vez de desatenderlas sin razón.</w:t>
      </w:r>
    </w:p>
    <w:p w14:paraId="4F2CBC2A" w14:textId="77777777" w:rsidR="003754FE" w:rsidRDefault="003754FE" w:rsidP="003754FE">
      <w:pPr>
        <w:pStyle w:val="TextoNormal"/>
      </w:pPr>
    </w:p>
    <w:p w14:paraId="68DB5570" w14:textId="77777777" w:rsidR="003754FE" w:rsidRDefault="003754FE" w:rsidP="003754FE">
      <w:pPr>
        <w:pStyle w:val="TextoNormal"/>
      </w:pPr>
      <w:r>
        <w:t>4. El auto por el que la Sala Segunda del Tribunal Supremo inadmitió a trámite la demanda de declaración de error judicial presentada por la aquí recurrente, ofrece la fundamentación típica que suele emplear en este tipo de resoluciones, enunciando en el fundamento de derecho primero la naturaleza de esta acción y los tres requisitos para que “prospere” (existencia de un daño probado, efectivo y evaluable; el agotamiento en la impugnación de la resolución causante del error; y que se trate de un error calificable como tal por ser manifiesto y palmario “en la fijación de los hechos o en la aplicación de la ley”), y en el fundamento segundo explica por qué el plazo de tres meses del art. 293.1 a) LOPJ es sustantivo de caducidad e improrrogable, y no puede por ello ser interrumpido. No refiere esa motivación general cuál ha de ser considerado el día inicial (</w:t>
      </w:r>
      <w:r w:rsidRPr="003754FE">
        <w:rPr>
          <w:i/>
        </w:rPr>
        <w:t>dies a quo</w:t>
      </w:r>
      <w:r>
        <w:t xml:space="preserve">) de cómputo del plazo, lo que ya deja para la argumentación particular de cada resolución. El criterio general al respecto —examinados diversos autos de este tipo— es considerar como </w:t>
      </w:r>
      <w:r w:rsidRPr="003754FE">
        <w:rPr>
          <w:i/>
        </w:rPr>
        <w:t>dies a quo</w:t>
      </w:r>
      <w:r>
        <w:t xml:space="preserve"> la fecha de notificación de la resolución de la que se impetra la declaración de error, por la sencilla razón de que el daño que causa en términos patrimoniales (véase STS, Sala Segunda, de 5 de octubre de 2023, ECLI:ES:TS:2023:4214 —recurso 20461-2022—) o personales como una privación de libertad (véase ATS, Sala Segunda, de admisión a trámite, de 21 de diciembre de 2022, ECLI:ES:TS:2022:18568A —recurso 20670-2022—), se evidencian por los efectos de la propia decisión adoptada y, por ende, desde la fecha de su notificación —y consiguiente lectura— se inicia el cómputo del plazo.</w:t>
      </w:r>
    </w:p>
    <w:p w14:paraId="08FE772D" w14:textId="77777777" w:rsidR="003754FE" w:rsidRDefault="003754FE" w:rsidP="003754FE">
      <w:pPr>
        <w:pStyle w:val="TextoNormal"/>
      </w:pPr>
    </w:p>
    <w:p w14:paraId="1A9F2606" w14:textId="77777777" w:rsidR="003754FE" w:rsidRDefault="003754FE" w:rsidP="003754FE">
      <w:pPr>
        <w:pStyle w:val="TextoNormal"/>
      </w:pPr>
      <w:r>
        <w:t xml:space="preserve">5. La decisión de extemporaneidad se adopta en el auto recurrido en este amparo en apenas un párrafo, ya al final, donde la Sala se limita a decir que la demanda se interpuso pasados los tres meses previstos en el art. 293.1 a) LOPJ, siendo el </w:t>
      </w:r>
      <w:r w:rsidRPr="003754FE">
        <w:rPr>
          <w:i/>
        </w:rPr>
        <w:t>dies a quo</w:t>
      </w:r>
      <w:r>
        <w:t xml:space="preserve"> de dicho plazo, esto es y según la norma, “a partir del día en que pudo ejercitarse” la acción, el día 19 de junio de 2019, fecha del auto del juzgado de violencia sobre la mujer que suspendió la pena de cuatro meses de prisión al exmarido de la recurrente (acordada en la sentencia de la misma fecha por haber cometido el delito de quebrantamiento de condena), siendo que la demanda —dice la Sala— se formalizó el 13 de octubre de 2019 (en realidad lo fue el 23 de octubre de 2019, como quedó estampado en el registro de Sala, y lo aclara la sentencia de la que ahora se discrepa); añadiendo en apoyo de lo que resuelve (“ver en igual sentido”) la cita de tres autos de la misma Sala Segunda que inadmiten otras tantas demandas de error judicial. Pues bien:</w:t>
      </w:r>
    </w:p>
    <w:p w14:paraId="36112FB6" w14:textId="77777777" w:rsidR="003754FE" w:rsidRDefault="003754FE" w:rsidP="003754FE">
      <w:pPr>
        <w:pStyle w:val="TextoNormal"/>
      </w:pPr>
    </w:p>
    <w:p w14:paraId="7CAFD3BA" w14:textId="77777777" w:rsidR="003754FE" w:rsidRDefault="003754FE" w:rsidP="003754FE">
      <w:pPr>
        <w:pStyle w:val="TextoNormal"/>
      </w:pPr>
      <w:r>
        <w:t xml:space="preserve">a) De los tres requisitos que según la jurisprudencia de la Sala condicionan el que “prospere” (en este caso, se admita a trámite) la demanda de error judicial, uno de ellos, la </w:t>
      </w:r>
      <w:r>
        <w:lastRenderedPageBreak/>
        <w:t>existencia de un daño cierto e indemnizable se produjo, según este escrito de la recurrente, en la fecha en la que su exmarido asesinó al hijo menor de la pareja, el 25 de julio de 2019. Daño que según reconoce la sentencia de la que ahora se discrepa, al tiempo “de dictarse y notificarse la resolución judicial supuestamente errónea no era previsible”.</w:t>
      </w:r>
    </w:p>
    <w:p w14:paraId="2BEE4BE2" w14:textId="77777777" w:rsidR="003754FE" w:rsidRDefault="003754FE" w:rsidP="003754FE">
      <w:pPr>
        <w:pStyle w:val="TextoNormal"/>
      </w:pPr>
    </w:p>
    <w:p w14:paraId="2E9C1067" w14:textId="77777777" w:rsidR="003754FE" w:rsidRDefault="003754FE" w:rsidP="003754FE">
      <w:pPr>
        <w:pStyle w:val="TextoNormal"/>
      </w:pPr>
      <w:r>
        <w:t>Otro de los requisitos, la existencia del error en sí, la demanda no lo vincula al auto de 19 de junio por no haber ponderado este, al resolver la suspensión de la pena de prisión del exmarido, una eventual peligrosidad de este acreditada en las actuaciones, cuestión sobre lo que nada se dice, sino que en el hecho octavo del escrito se alega que: (i) el auto de 19 de junio de 2019 entró en contradicción con otro anterior del 5 de junio del mismo juzgado, donde ya se supeditaba la suspensión de la pena de prisión por una anterior condena al exmarido por un delito de coacciones en el ámbito familiar (art. 172.2 CP), a la condición de que no delinquiera en el plazo de dos años, lo que sin embargo incumplió pocos días después; y (ii) el juzgado en el auto de 19 de junio vulneró el art. 80.2.1 CP porque les preguntó si estaban conformes con la suspensión, cuando se trataba de un delito público y no a instancia de parte, que es donde se prevé que sean oídas las partes. Asimismo, la demanda reprochó un error a la sentencia del 19 de junio de 2019 por decir que el reo carecía de antecedentes penales cuando en realidad había sido condenado por sentencia firme el 5 de junio, aunque el escrito no conecta dicha sentencia con los hechos del 25 de julio siguiente (el daño).</w:t>
      </w:r>
    </w:p>
    <w:p w14:paraId="669D3561" w14:textId="77777777" w:rsidR="003754FE" w:rsidRDefault="003754FE" w:rsidP="003754FE">
      <w:pPr>
        <w:pStyle w:val="TextoNormal"/>
      </w:pPr>
    </w:p>
    <w:p w14:paraId="04319575" w14:textId="77777777" w:rsidR="003754FE" w:rsidRDefault="003754FE" w:rsidP="003754FE">
      <w:pPr>
        <w:pStyle w:val="TextoNormal"/>
      </w:pPr>
      <w:r>
        <w:t>b) Siendo todo ello así, si la Sala del Alto Tribunal entendía que el día inicial del cómputo del plazo de los tres meses seguía siendo, conforme a la solución particular que viene aplicando en este tipo de demandas, la de la fecha de notificación del auto de 19 de junio de 2019, debió en todo caso explicar también, no solo para ser congruente con lo planteado en la demanda presentada sino porque su decisión iba a cercenar el derecho de la aquí recurrente a una decisión de fondo en ese proceso autónomo, por qué no cabía situar el daño indemnizable en los hechos acaecidos el 25 de julio de 2019, como se sostenía en el escrito; por qué no se aceptaba que el daño pudiera ser posterior a los estrictos efectos derivados de la resolución que se tacha de errónea (la suspensión de la pena de prisión), y si en esa consideración final tenía alguna relevancia el carácter imprevisible (a fecha 19 de junio de 2019), de aquellos hechos posteriores. Nada de esto se explica, sino que el auto responde de manera casi apodíctica aplicando su criterio general de que el plazo de los tres meses se inicia con la notificación del auto del juzgado, sin más.</w:t>
      </w:r>
    </w:p>
    <w:p w14:paraId="03A811CE" w14:textId="77777777" w:rsidR="003754FE" w:rsidRDefault="003754FE" w:rsidP="003754FE">
      <w:pPr>
        <w:pStyle w:val="TextoNormal"/>
      </w:pPr>
    </w:p>
    <w:p w14:paraId="5CA29791" w14:textId="77777777" w:rsidR="003754FE" w:rsidRDefault="003754FE" w:rsidP="003754FE">
      <w:pPr>
        <w:pStyle w:val="TextoNormal"/>
      </w:pPr>
      <w:r>
        <w:t>c) La cita en el mismo auto en refuerzo de lo decidido, de otros autos de inadmisión de la Sala Segunda por extemporaneidad de demandas de error judicial, no resulta útil a ese fin porque no se refieren a una situación similar a la aquí planteada: (i) el de 5 de junio de 2015 (recurso 20130-2015) desestima una alegación de interrupción del cómputo de caducidad; (ii) el de 25 de noviembre de 2015 (recurso 20731-2015) incide en que la propia parte ha reconocido la superación del plazo legal contado desde el día de la notificación de la resolución; y, en fin, (iii) el de 22 de enero de 2016 (recurso 20841-2015), versa sobre un auto confirmatorio de un sobreseimiento libre, en el que la parte no cuestiona tampoco que los tres meses se computasen desde la notificación de dicha resolución.</w:t>
      </w:r>
    </w:p>
    <w:p w14:paraId="0B01DC22" w14:textId="77777777" w:rsidR="003754FE" w:rsidRDefault="003754FE" w:rsidP="003754FE">
      <w:pPr>
        <w:pStyle w:val="TextoNormal"/>
      </w:pPr>
    </w:p>
    <w:p w14:paraId="7E85241F" w14:textId="77777777" w:rsidR="003754FE" w:rsidRDefault="003754FE" w:rsidP="003754FE">
      <w:pPr>
        <w:pStyle w:val="TextoNormal"/>
      </w:pPr>
      <w:r>
        <w:t xml:space="preserve">6. Todo esto es lo que, con la debida invocación como vulnerado del derecho a la tutela judicial efectiva (art. 24.1 CE), en su vertiente de acceso a la jurisdicción, debió alegar la recurrente ante la Sala Segunda del Tribunal Supremo en ese incidente de nulidad de </w:t>
      </w:r>
      <w:r>
        <w:lastRenderedPageBreak/>
        <w:t>actuaciones contra el auto de 25 de junio de 2020 nunca por ella intentado, con el fin de que reparara la lesión que, de ser así, habría evitado venir en amparo.</w:t>
      </w:r>
    </w:p>
    <w:p w14:paraId="0A3A5D67" w14:textId="77777777" w:rsidR="003754FE" w:rsidRDefault="003754FE" w:rsidP="003754FE">
      <w:pPr>
        <w:pStyle w:val="TextoNormal"/>
      </w:pPr>
    </w:p>
    <w:p w14:paraId="511FD6C1" w14:textId="77777777" w:rsidR="003754FE" w:rsidRDefault="003754FE" w:rsidP="003754FE">
      <w:pPr>
        <w:pStyle w:val="TextoNormal"/>
      </w:pPr>
      <w:r>
        <w:t>Al no haberlo hecho, incurrió en el óbice de orden público procesal e insubsanable consistente en incumplir el requisito del art. 44.1 a) LOTC. Óbice que la sentencia de la que se discrepa pasa por alto del modo como hemos explicado, sin razón alguna que lo justifique, ni en términos de necesidad de fijación de doctrina (porque no es más que un caso concreto de lesión del derecho de acceso a la jurisdicción), ni desde luego tampoco en razones humanitarias vinculadas a la situación personal de la recurrente, comprensibles por todos sin duda, pero que no pueden significar la ruptura de la seguridad jurídica y la igualdad de los recurrentes en amparo que derivan de una consolidada doctrina constitucional sobre la exigencia del requisito del necesario agotamiento de la vía judicial procedente, previa a la interposición de la demanda de amparo, y sobre las consecuencias anudadas a su inobservancia.</w:t>
      </w:r>
    </w:p>
    <w:p w14:paraId="08262A00" w14:textId="77777777" w:rsidR="003754FE" w:rsidRDefault="003754FE" w:rsidP="003754FE">
      <w:pPr>
        <w:pStyle w:val="TextoNormal"/>
      </w:pPr>
    </w:p>
    <w:p w14:paraId="39640536" w14:textId="77777777" w:rsidR="003754FE" w:rsidRDefault="003754FE" w:rsidP="003754FE">
      <w:pPr>
        <w:pStyle w:val="TextoNormal"/>
      </w:pPr>
      <w:r>
        <w:t>Y en tal sentido emito mi voto particular.</w:t>
      </w:r>
    </w:p>
    <w:p w14:paraId="2CB396F7" w14:textId="77777777" w:rsidR="003754FE" w:rsidRDefault="003754FE" w:rsidP="003754FE">
      <w:pPr>
        <w:pStyle w:val="TextoNormal"/>
      </w:pPr>
    </w:p>
    <w:p w14:paraId="6CDD44FD" w14:textId="7B232956" w:rsidR="003754FE" w:rsidRDefault="003754FE" w:rsidP="003754FE">
      <w:pPr>
        <w:pStyle w:val="TextoNormal"/>
      </w:pPr>
      <w:r>
        <w:t>Madrid, a veinticinco de septiembre de dos mil veinticuatro.</w:t>
      </w:r>
    </w:p>
    <w:p w14:paraId="07F7A508" w14:textId="77777777" w:rsidR="003754FE" w:rsidRDefault="003754FE" w:rsidP="003754FE">
      <w:pPr>
        <w:pStyle w:val="TextoNormal"/>
      </w:pPr>
    </w:p>
    <w:p w14:paraId="1D0D72BF" w14:textId="77777777" w:rsidR="003754FE" w:rsidRDefault="003754FE" w:rsidP="003754FE">
      <w:pPr>
        <w:pStyle w:val="TextoNormalNegritaCentrado"/>
        <w:keepNext/>
      </w:pPr>
      <w:r>
        <w:t>Voto particular que formulan los magistrados don Enrique Arnaldo Alcubilla, doña Concepción Espejel Jorquera y don José María Macías Castaño a la sentencia dictada por el Pleno en el recurso de amparo avocado núm. 3835-2020</w:t>
      </w:r>
    </w:p>
    <w:p w14:paraId="30AD3ADA" w14:textId="00B78F9F" w:rsidR="003754FE" w:rsidRDefault="003754FE" w:rsidP="003754FE">
      <w:pPr>
        <w:pStyle w:val="TextoNormalNegritaCentrado"/>
        <w:keepNext/>
      </w:pPr>
    </w:p>
    <w:p w14:paraId="00C9BB5F" w14:textId="77777777" w:rsidR="003754FE" w:rsidRDefault="003754FE" w:rsidP="003754FE">
      <w:pPr>
        <w:pStyle w:val="TextoNormal"/>
      </w:pPr>
      <w:r>
        <w:t>En el ejercicio de la facultad conferida por el art. 90.2 LOTC y con respeto a la opinión de nuestros compañeros, formulamos el presente voto particular, por las razones que defendimos durante la deliberación en el Pleno del Tribunal y que exponemos a continuación. A nuestro parecer, el presente recurso de amparo incurre en un óbice procesal que debió determinar, en su momento, su inadmisión y, en el actual estado procesal, su desestimación. Sin perjuicio de ello, aunque pudiera salvarse ese óbice, como finalmente se establece en la sentencia, el recurso debería haber sido desestimado, pues no cabe apreciar la pretendida vulneración del derecho a la tutela judicial efectiva que se imputa al auto de la Sala de lo Penal del Tribunal Supremo impugnado en amparo.</w:t>
      </w:r>
    </w:p>
    <w:p w14:paraId="03E2F8DE" w14:textId="77777777" w:rsidR="003754FE" w:rsidRDefault="003754FE" w:rsidP="003754FE">
      <w:pPr>
        <w:pStyle w:val="TextoNormal"/>
      </w:pPr>
    </w:p>
    <w:p w14:paraId="71B6A641" w14:textId="77777777" w:rsidR="003754FE" w:rsidRDefault="003754FE" w:rsidP="003754FE">
      <w:pPr>
        <w:pStyle w:val="TextoNormal"/>
      </w:pPr>
      <w:r>
        <w:t xml:space="preserve">I. </w:t>
      </w:r>
      <w:r w:rsidRPr="003754FE">
        <w:rPr>
          <w:i/>
        </w:rPr>
        <w:t>Los antecedentes relevantes para la resolución del asunto</w:t>
      </w:r>
    </w:p>
    <w:p w14:paraId="4BD81517" w14:textId="77777777" w:rsidR="003754FE" w:rsidRDefault="003754FE" w:rsidP="003754FE">
      <w:pPr>
        <w:pStyle w:val="TextoNormal"/>
      </w:pPr>
    </w:p>
    <w:p w14:paraId="1C73F1B0" w14:textId="77777777" w:rsidR="003754FE" w:rsidRDefault="003754FE" w:rsidP="003754FE">
      <w:pPr>
        <w:pStyle w:val="TextoNormal"/>
      </w:pPr>
      <w:r>
        <w:t>Los términos de la controversia planteada en el recurso pueden expresarse de manera sintética del modo que sigue.</w:t>
      </w:r>
    </w:p>
    <w:p w14:paraId="087401E0" w14:textId="77777777" w:rsidR="003754FE" w:rsidRDefault="003754FE" w:rsidP="003754FE">
      <w:pPr>
        <w:pStyle w:val="TextoNormal"/>
      </w:pPr>
    </w:p>
    <w:p w14:paraId="43E5CEC2" w14:textId="77777777" w:rsidR="003754FE" w:rsidRDefault="003754FE" w:rsidP="003754FE">
      <w:pPr>
        <w:pStyle w:val="TextoNormal"/>
      </w:pPr>
      <w:r>
        <w:t>1. El 5 de junio de 2019, el Juzgado de Violencia sobre la Mujer núm. 2 de Murcia dictó sentencia que, entre otros pronunciamientos, condenó a don DSO, como autor de un delito de coacciones contra doña LHM (la recurrente), de la que se estaba divorciando, a la pena de seis meses de prisión y le impuso la prohibición de aproximarse a la recurrente a una distancia inferior a 100 metros durante dieciséis meses. Firme la sentencia por conformidad del condenado, el mismo día se dictó auto de suspensión de la pena de prisión condicionada a la no comisión de otros delitos ni a incumplir la prohibición de aproximación durante dos años.</w:t>
      </w:r>
    </w:p>
    <w:p w14:paraId="59FDC756" w14:textId="77777777" w:rsidR="003754FE" w:rsidRDefault="003754FE" w:rsidP="003754FE">
      <w:pPr>
        <w:pStyle w:val="TextoNormal"/>
      </w:pPr>
    </w:p>
    <w:p w14:paraId="1FD53110" w14:textId="77777777" w:rsidR="003754FE" w:rsidRDefault="003754FE" w:rsidP="003754FE">
      <w:pPr>
        <w:pStyle w:val="TextoNormal"/>
      </w:pPr>
      <w:r>
        <w:t>2. El 18 de junio de 2019, don DSO incumplió la prohibición de aproximación. El 19 de junio de 2019, el mismo Juzgado de Violencia sobre la Mujer volvió a condenarlo, esta vez por la comisión de un delito de quebrantamiento de condena, a la pena de cuatro meses de prisión. La sentencia devino firme el mismo día de su dictado por la conformidad del acusado. También el mismo día, con la conformidad de la recurrente, se dictó auto de suspensión de la condena, que se sometió a las mismas condiciones que el auto de 5 de junio de 2019.</w:t>
      </w:r>
    </w:p>
    <w:p w14:paraId="22E293A4" w14:textId="77777777" w:rsidR="003754FE" w:rsidRDefault="003754FE" w:rsidP="003754FE">
      <w:pPr>
        <w:pStyle w:val="TextoNormal"/>
      </w:pPr>
    </w:p>
    <w:p w14:paraId="5D123CBD" w14:textId="77777777" w:rsidR="003754FE" w:rsidRDefault="003754FE" w:rsidP="003754FE">
      <w:pPr>
        <w:pStyle w:val="TextoNormal"/>
      </w:pPr>
      <w:r>
        <w:t>3. El 25 de julio de 2019, don DSO llevó a su hijo de once años al que había sido el domicilio familiar y, presuntamente, lo mató a puñaladas para, seguidamente, suicidarse.</w:t>
      </w:r>
    </w:p>
    <w:p w14:paraId="66C94F2C" w14:textId="77777777" w:rsidR="003754FE" w:rsidRDefault="003754FE" w:rsidP="003754FE">
      <w:pPr>
        <w:pStyle w:val="TextoNormal"/>
      </w:pPr>
    </w:p>
    <w:p w14:paraId="38F55F2C" w14:textId="77777777" w:rsidR="003754FE" w:rsidRDefault="003754FE" w:rsidP="003754FE">
      <w:pPr>
        <w:pStyle w:val="TextoNormal"/>
      </w:pPr>
      <w:r>
        <w:t>4. El 23 de octubre de 2019, la recurrente planteó demanda para la declaración de error judicial imputable a la resolución de suspensión de la condena de 19 de junio de 2019 del juzgado de violencia citado. En la demanda, la recurrente consideró que el plazo de tres meses para la solicitud de declaración de error judicial previsto en el art. 293 LOPJ debía empezar a correr desde el 25 de julio de 2019, esto es, desde la muerte de su hijo.</w:t>
      </w:r>
    </w:p>
    <w:p w14:paraId="11353DB6" w14:textId="77777777" w:rsidR="003754FE" w:rsidRDefault="003754FE" w:rsidP="003754FE">
      <w:pPr>
        <w:pStyle w:val="TextoNormal"/>
      </w:pPr>
    </w:p>
    <w:p w14:paraId="6EAFEE48" w14:textId="77777777" w:rsidR="003754FE" w:rsidRDefault="003754FE" w:rsidP="003754FE">
      <w:pPr>
        <w:pStyle w:val="TextoNormal"/>
      </w:pPr>
      <w:r>
        <w:t>5. El 25 de junio de 2020, la Sala Segunda del Tribunal Supremo dictó auto que inadmitió la demanda de error judicial por extemporánea al considerar, en aplicación del mismo precepto de la Ley Orgánica del Poder Judicial, que el plazo debía computarse desde el dictado de la resolución de 19 de junio de 2019 que se reputa errónea.</w:t>
      </w:r>
    </w:p>
    <w:p w14:paraId="55093865" w14:textId="77777777" w:rsidR="003754FE" w:rsidRDefault="003754FE" w:rsidP="003754FE">
      <w:pPr>
        <w:pStyle w:val="TextoNormal"/>
      </w:pPr>
    </w:p>
    <w:p w14:paraId="78DDD954" w14:textId="77777777" w:rsidR="003754FE" w:rsidRDefault="003754FE" w:rsidP="003754FE">
      <w:pPr>
        <w:pStyle w:val="TextoNormal"/>
      </w:pPr>
      <w:r>
        <w:t>6. Frente al auto de 25 de junio de 2020 se ha presentado recurso de amparo sin plantear previo incidente de nulidad de actuaciones del art. 241 LOPJ.</w:t>
      </w:r>
    </w:p>
    <w:p w14:paraId="57BA30F7" w14:textId="77777777" w:rsidR="003754FE" w:rsidRDefault="003754FE" w:rsidP="003754FE">
      <w:pPr>
        <w:pStyle w:val="TextoNormal"/>
      </w:pPr>
    </w:p>
    <w:p w14:paraId="0DB87D28" w14:textId="77777777" w:rsidR="003754FE" w:rsidRDefault="003754FE" w:rsidP="003754FE">
      <w:pPr>
        <w:pStyle w:val="TextoNormal"/>
      </w:pPr>
      <w:r>
        <w:t xml:space="preserve">II. </w:t>
      </w:r>
      <w:r w:rsidRPr="003754FE">
        <w:rPr>
          <w:i/>
        </w:rPr>
        <w:t>La exigencia de interposición del incidente de nulidad para agotar la vía judicial</w:t>
      </w:r>
    </w:p>
    <w:p w14:paraId="76389872" w14:textId="77777777" w:rsidR="003754FE" w:rsidRDefault="003754FE" w:rsidP="003754FE">
      <w:pPr>
        <w:pStyle w:val="TextoNormal"/>
      </w:pPr>
    </w:p>
    <w:p w14:paraId="77BE7E6D" w14:textId="77777777" w:rsidR="003754FE" w:rsidRDefault="003754FE" w:rsidP="003754FE">
      <w:pPr>
        <w:pStyle w:val="TextoNormal"/>
      </w:pPr>
      <w:r>
        <w:t>Entendemos, como lo entienden también el abogado del Estado y el Ministerio Fiscal, que el recurso de amparo era inadmisible y que lo era de manera evidente, por incumplimiento del requisito de agotar todos los medios de impugnación previstos por las normas procesales para el caso concreto dentro de la vía judicial [art. 44.1 a) LOTC]. En este caso, el incidente de nulidad de actuaciones previsto y regulado en el art. 241 LOPJ, que ha cobrado especial relevancia, como es sabido, tras la reforma introducida por la Ley Orgánica 6/2007, de 24 de mayo. Debió, en consecuencia, acogerse este óbice, alegado, repetimos, por la Fiscalía y la Abogacía del Estado.</w:t>
      </w:r>
    </w:p>
    <w:p w14:paraId="751A467B" w14:textId="77777777" w:rsidR="003754FE" w:rsidRDefault="003754FE" w:rsidP="003754FE">
      <w:pPr>
        <w:pStyle w:val="TextoNormal"/>
      </w:pPr>
    </w:p>
    <w:p w14:paraId="3471DC1D" w14:textId="77777777" w:rsidR="003754FE" w:rsidRDefault="003754FE" w:rsidP="003754FE">
      <w:pPr>
        <w:pStyle w:val="TextoNormal"/>
      </w:pPr>
      <w:r>
        <w:t>No está en cuestión que el recurso de amparo es un remedio estrictamente subsidiario y que ello exige agotar los recursos (y remedios) judiciales ordinarios (y extraordinarios) disponibles según las normas procesales antes de acudir al amparo. No está tampoco en cuestión que cuando la infracción de un derecho fundamental se imputa de manera precisa a una resolución frente la que no cabe recurso, como sucedía precisamente en el presente caso, el cumplimiento del principio de subsidiariedad aplicable al amparo exige que la vía judicial se agote mediante el planteamiento de un incidente extraordinario de nulidad de actuaciones del art. 241 LOPJ. Esta es nuestra doctrina constante, cuyo incumplimiento determina la inadmisión cotidiana de numerosos recursos de amparo.</w:t>
      </w:r>
    </w:p>
    <w:p w14:paraId="5C08B808" w14:textId="77777777" w:rsidR="003754FE" w:rsidRDefault="003754FE" w:rsidP="003754FE">
      <w:pPr>
        <w:pStyle w:val="TextoNormal"/>
      </w:pPr>
    </w:p>
    <w:p w14:paraId="1D50FD37" w14:textId="77777777" w:rsidR="003754FE" w:rsidRDefault="003754FE" w:rsidP="003754FE">
      <w:pPr>
        <w:pStyle w:val="TextoNormal"/>
      </w:pPr>
      <w:r>
        <w:lastRenderedPageBreak/>
        <w:t>No estando en cuestión nada de lo anterior, la sentencia de la que discrepamos ha considerado, sin embargo, que el cumplimiento del requisito del agotamiento de los recursos o remedios disponibles en la vía judicial era dispensable en el presente caso porque podía ser “dudoso” que fuese exigible la interposición del incidente de nulidad de actuaciones del art. 241 LOPJ. Entendemos que el supuesto en modo alguno es “dudoso”, por las razones que pasamos a exponer.</w:t>
      </w:r>
    </w:p>
    <w:p w14:paraId="239FA0FC" w14:textId="77777777" w:rsidR="003754FE" w:rsidRDefault="003754FE" w:rsidP="003754FE">
      <w:pPr>
        <w:pStyle w:val="TextoNormal"/>
      </w:pPr>
    </w:p>
    <w:p w14:paraId="347B6A13" w14:textId="77777777" w:rsidR="003754FE" w:rsidRDefault="003754FE" w:rsidP="003754FE">
      <w:pPr>
        <w:pStyle w:val="TextoNormal"/>
      </w:pPr>
      <w:r>
        <w:t>Según el argumento de la sentencia, la “duda” radicaría en que la argumentación de la recurrente relativa al objeto del recurso en sí mismo ya incluía que el daño se correspondía con el momento de la muerte de su hijo. Al ser rechazado ese argumento que, al parecer, y por haber sido ya cuestión discutida, podría ser considerado una suerte de “denuncia previa”, ello excluiría la necesidad de plantear el incidente de nulidad.</w:t>
      </w:r>
    </w:p>
    <w:p w14:paraId="2985D052" w14:textId="77777777" w:rsidR="003754FE" w:rsidRDefault="003754FE" w:rsidP="003754FE">
      <w:pPr>
        <w:pStyle w:val="TextoNormal"/>
      </w:pPr>
    </w:p>
    <w:p w14:paraId="751AE7A8" w14:textId="77777777" w:rsidR="003754FE" w:rsidRDefault="003754FE" w:rsidP="003754FE">
      <w:pPr>
        <w:pStyle w:val="TextoNormal"/>
      </w:pPr>
      <w:r>
        <w:t>Insistimos en que, a nuestro juicio, ese argumento no es aceptable. El objeto y objetivo del recurso o del incidente de nulidad contra la resolución que se reputa lesiva de un derecho fundamental es dar la oportunidad de que la lesión se repare en la propia vía judicial, incluso por el propio juez o tribunal que se considera infractor cuando es él precisamente el autor de la supuesta infracción (así sucede con el incidente de nulidad).</w:t>
      </w:r>
    </w:p>
    <w:p w14:paraId="46501561" w14:textId="77777777" w:rsidR="003754FE" w:rsidRDefault="003754FE" w:rsidP="003754FE">
      <w:pPr>
        <w:pStyle w:val="TextoNormal"/>
      </w:pPr>
    </w:p>
    <w:p w14:paraId="4091B7AC" w14:textId="77777777" w:rsidR="003754FE" w:rsidRDefault="003754FE" w:rsidP="003754FE">
      <w:pPr>
        <w:pStyle w:val="TextoNormal"/>
      </w:pPr>
      <w:r>
        <w:t>Tan gráfico es en este punto el art. 241.1 LOPJ, que allí se alude literalmente como objeto de incidente de nulidad a infracciones “que no haya[n] podido denunciarse antes de recaer resolución que ponga fin al proceso”. Es secuencial o estructuralmente ilógico pretender que la denuncia de la infracción se ha producido antes que la propia infracción y por ello no puede admitirse que hubiese espacio alguno para la duda: la infracción se imputa a una única resolución dictada por el Tribunal Supremo, por lo que ante el Tribunal Supremo no se remediaban infracciones procesales producidas con anterioridad; la resolución no era recurrible; y no siéndolo, e imputándose la infracción a esa precisa resolución, el incidente de nulidad era ineludible para acudir al amparo. Como se razonó en los AATC 10/2010, de 25 de enero, y 41/2010, de 9 de abril, “la eventual vulneración del derecho de acceso al recurso tiene su origen inmediato y directo en dicho auto y no en otra resolución anterior, por lo que es indubitada la necesidad de interposición del incidente de nulidad de actuaciones para un correcto agotamiento de la vía judicial previa al recurso de amparo”.</w:t>
      </w:r>
    </w:p>
    <w:p w14:paraId="01D862AD" w14:textId="77777777" w:rsidR="003754FE" w:rsidRDefault="003754FE" w:rsidP="003754FE">
      <w:pPr>
        <w:pStyle w:val="TextoNormal"/>
      </w:pPr>
    </w:p>
    <w:p w14:paraId="4CA98A78" w14:textId="77777777" w:rsidR="003754FE" w:rsidRDefault="003754FE" w:rsidP="003754FE">
      <w:pPr>
        <w:pStyle w:val="TextoNormal"/>
      </w:pPr>
      <w:r>
        <w:t xml:space="preserve">En realidad, el argumento para eludir el debido incidente de nulidad ni tan siquiera se corresponde con el contenido de la demanda sobre la cuestión del </w:t>
      </w:r>
      <w:r w:rsidRPr="003754FE">
        <w:rPr>
          <w:i/>
        </w:rPr>
        <w:t>dies a quo</w:t>
      </w:r>
      <w:r>
        <w:t>. La demandante se limita a indicar que: “conceptúa la fecha en que tuvieron lugar ‘las lamentables consecuencias, de lo que por esta parte se consideran [</w:t>
      </w:r>
      <w:r w:rsidRPr="003754FE">
        <w:rPr>
          <w:i/>
        </w:rPr>
        <w:t>sic</w:t>
      </w:r>
      <w:r>
        <w:t xml:space="preserve">] un grave error judicial’, esto es la del día 25 de julio de 2019, en que tuvieron lugar los luctuosos hechos anteriormente descritos, como la del </w:t>
      </w:r>
      <w:r w:rsidRPr="003754FE">
        <w:rPr>
          <w:i/>
        </w:rPr>
        <w:t>dies a quo</w:t>
      </w:r>
      <w:r>
        <w:t xml:space="preserve"> del cómputo del plazo para el ejercicio de la acción”. Nada dijo ni razonó en su demanda de error judicial ante el Tribunal Supremo acerca de que la inadmisión de su demanda le vulneraría el derecho fundamental a la tutela judicial efectiva ni se hizo ninguna invocación anticipada relativa a la vulneración de un derecho fundamental.</w:t>
      </w:r>
    </w:p>
    <w:p w14:paraId="5C1361CE" w14:textId="77777777" w:rsidR="003754FE" w:rsidRDefault="003754FE" w:rsidP="003754FE">
      <w:pPr>
        <w:pStyle w:val="TextoNormal"/>
      </w:pPr>
    </w:p>
    <w:p w14:paraId="2589F30B" w14:textId="77777777" w:rsidR="003754FE" w:rsidRDefault="003754FE" w:rsidP="003754FE">
      <w:pPr>
        <w:pStyle w:val="TextoNormal"/>
      </w:pPr>
      <w:r>
        <w:t>En definitiva, el argumento de la sentencia de la que discrepamos confunde de manera clara e insalvable el objeto y objetivo de la demanda de error (examinar y declarar si ha habido error, qué error y desde cuándo puedo accionarse para que fuese declarado) con el del incidente de nulidad (dar la oportunidad al órgano judicial para reparar una supuesta infracción constitucional que es obvio que no podía existir cuando se formuló la demanda).</w:t>
      </w:r>
    </w:p>
    <w:p w14:paraId="3002AAF7" w14:textId="77777777" w:rsidR="003754FE" w:rsidRDefault="003754FE" w:rsidP="003754FE">
      <w:pPr>
        <w:pStyle w:val="TextoNormal"/>
      </w:pPr>
    </w:p>
    <w:p w14:paraId="6E46C3A0" w14:textId="77777777" w:rsidR="003754FE" w:rsidRDefault="003754FE" w:rsidP="003754FE">
      <w:pPr>
        <w:pStyle w:val="TextoNormal"/>
      </w:pPr>
      <w:r>
        <w:t>Cabe señalar también que, al margen de que el criterio aplicado en el presente caso en la sentencia para descartar el óbice de falta de agotamiento de la vía judicial se aparte de la doctrina que se dice aplicar y de que consideremos que su justificación no resulta aceptable, entendemos que es igualmente inconveniente por contraproducente. Ello es algo que, a nuestro juicio, hace no solo posible, sino necesario, este voto particular.</w:t>
      </w:r>
    </w:p>
    <w:p w14:paraId="416A4075" w14:textId="77777777" w:rsidR="003754FE" w:rsidRDefault="003754FE" w:rsidP="003754FE">
      <w:pPr>
        <w:pStyle w:val="TextoNormal"/>
      </w:pPr>
    </w:p>
    <w:p w14:paraId="01E54902" w14:textId="77777777" w:rsidR="003754FE" w:rsidRDefault="003754FE" w:rsidP="003754FE">
      <w:pPr>
        <w:pStyle w:val="TextoNormal"/>
      </w:pPr>
      <w:r>
        <w:t>Ciertamente, el caso es especialmente doloroso, de un dramatismo innegable, y sin duda ello puede explicar la singularidad de la decisión adoptada, obviando la exigencia de agotamiento de la vía previa. Consideramos que ello puede comportar la confusión de los operadores jurídicos. Entendemos que es preferible que se tome nota de que la sentencia de la que discrepamos constituye un caso singular que no genera una nueva doctrina en relación con la exigencia de formular incidente de nulidad, en su caso, para agotar la vía judicial antes de acudir al amparo constitucional. Dicho de una manera más sintética, no cabe esperar que este tribunal, en situaciones en las que el recurrente “anticipe la denuncia” ante infracciones no producidas (una suerte de “denuncia preventiva”), vuelva a considerar que la situación es “dudosa” y exima a los recurrentes de la carga de agotar los recursos y remedios procesales una vez que la supuesta infracción del derecho fundamental sí se haya producido realmente.</w:t>
      </w:r>
    </w:p>
    <w:p w14:paraId="196DD9E9" w14:textId="77777777" w:rsidR="003754FE" w:rsidRDefault="003754FE" w:rsidP="003754FE">
      <w:pPr>
        <w:pStyle w:val="TextoNormal"/>
      </w:pPr>
    </w:p>
    <w:p w14:paraId="05C48CBD" w14:textId="77777777" w:rsidR="003754FE" w:rsidRDefault="003754FE" w:rsidP="003754FE">
      <w:pPr>
        <w:pStyle w:val="TextoNormal"/>
      </w:pPr>
      <w:r>
        <w:t xml:space="preserve">III. </w:t>
      </w:r>
      <w:r w:rsidRPr="003754FE">
        <w:rPr>
          <w:i/>
        </w:rPr>
        <w:t>Inexistencia de vulneración del derecho a la tutela judicial efectiva en el auto impugnado en amparo</w:t>
      </w:r>
    </w:p>
    <w:p w14:paraId="24D35E2D" w14:textId="77777777" w:rsidR="003754FE" w:rsidRDefault="003754FE" w:rsidP="003754FE">
      <w:pPr>
        <w:pStyle w:val="TextoNormal"/>
      </w:pPr>
    </w:p>
    <w:p w14:paraId="4CF275C6" w14:textId="77777777" w:rsidR="003754FE" w:rsidRDefault="003754FE" w:rsidP="003754FE">
      <w:pPr>
        <w:pStyle w:val="TextoNormal"/>
      </w:pPr>
      <w:r>
        <w:t>Nuestra discrepancia con el indicado punto de la sentencia, que debió conducir a su inadmisión en un inicio, y ahora a su desestimación, sería suficiente para relevarnos de la necesidad de expresar igualmente nuestro reparo respecto de la respuesta que se da al fondo de la cuestión planteada en el recurso de amparo. Quede indicado, ello no obstante, que aún en la hipótesis de que, en atención a las singulares circunstancias del caso, hubiera sido posible salvar la exigencia de interposición del incidente de nulidad para entender correctamente agotada la vía judicial, la conclusión no podría haber sido otra, a nuestro parecer, que la desestimación del recurso de amparo, pues no cabe apreciar que exista la pretendida lesión del derecho fundamental a la tutela judicial efectiva (art. 24.1 CE), en la vertiente de acceso a la jurisdicción, que se imputa al auto impugnado.</w:t>
      </w:r>
    </w:p>
    <w:p w14:paraId="7E5BCDC5" w14:textId="77777777" w:rsidR="003754FE" w:rsidRDefault="003754FE" w:rsidP="003754FE">
      <w:pPr>
        <w:pStyle w:val="TextoNormal"/>
      </w:pPr>
    </w:p>
    <w:p w14:paraId="44F4877E" w14:textId="77777777" w:rsidR="003754FE" w:rsidRDefault="003754FE" w:rsidP="003754FE">
      <w:pPr>
        <w:pStyle w:val="TextoNormal"/>
      </w:pPr>
      <w:r>
        <w:t>La sentencia de la que discrepamos, apelando insistentemente a las ciertamente tristes circunstancias del caso, afirma, para estimar la queja de la recurrente y otorgarle el amparo, que el auto de la Sala de lo Penal del Tribunal Supremo impugnado “incurrió en una interpretación excesivamente formalista” de lo dispuesto en el art. 293.1 a) LOPJ sobre el inicio del cómputo del plazo de caducidad de tres meses para la presentación de la demanda por error judicial, vulnerando con ello el derecho de la recurrente a la tutela judicial efectiva, en la vertiente de acceso a la jurisdicción.</w:t>
      </w:r>
    </w:p>
    <w:p w14:paraId="10724292" w14:textId="77777777" w:rsidR="003754FE" w:rsidRDefault="003754FE" w:rsidP="003754FE">
      <w:pPr>
        <w:pStyle w:val="TextoNormal"/>
      </w:pPr>
    </w:p>
    <w:p w14:paraId="1E488AE6" w14:textId="77777777" w:rsidR="003754FE" w:rsidRDefault="003754FE" w:rsidP="003754FE">
      <w:pPr>
        <w:pStyle w:val="TextoNormal"/>
      </w:pPr>
      <w:r>
        <w:t>No podemos compartir esta conclusión, que no se acomoda al canon de control constitucional que impone nuestra consolidada doctrina, de la que la sentencia se aparta.</w:t>
      </w:r>
    </w:p>
    <w:p w14:paraId="492C1DC4" w14:textId="77777777" w:rsidR="003754FE" w:rsidRDefault="003754FE" w:rsidP="003754FE">
      <w:pPr>
        <w:pStyle w:val="TextoNormal"/>
      </w:pPr>
    </w:p>
    <w:p w14:paraId="736BC8B8" w14:textId="77777777" w:rsidR="003754FE" w:rsidRDefault="003754FE" w:rsidP="003754FE">
      <w:pPr>
        <w:pStyle w:val="TextoNormal"/>
      </w:pPr>
      <w:r>
        <w:t xml:space="preserve">Como es sobradamente sabido, el núcleo principal del derecho fundamental a la tutela judicial proclamado por el art. 24.1 CE consiste en el acceso a la jurisdicción, vale decir a la obtención de una primera respuesta de los órganos judiciales, siendo precisamente en este </w:t>
      </w:r>
      <w:r>
        <w:lastRenderedPageBreak/>
        <w:t xml:space="preserve">supuesto donde el principio hermenéutico </w:t>
      </w:r>
      <w:r w:rsidRPr="003754FE">
        <w:rPr>
          <w:i/>
        </w:rPr>
        <w:t>pro actione</w:t>
      </w:r>
      <w:r>
        <w:t xml:space="preserve"> (interpretación en el sentido más favorable de las normas procesales que rigen el acceso a la justicia) presenta relevancia constitucional (entre otras muchas, SSTC 207/1998, de 26 de octubre, FJ 3; 205/1999, de 8 de noviembre, FJ 7; SSTC 61/2000, de 13 de marzo, FJ 3; 260/2000, de 30 de octubre, FJ 2, y 3/2001, de 15 de enero, FJ 5). De esta forma, cuando del acceso a la jurisdicción se trata, el art. 24.1 CE no solo excluye resoluciones judiciales arbitrarias, irrazonables o viciadas de error patente, sino que también excluye la interpretación judicial de las causas legales de inadmisión de las demandas de forma rigorista, excesivamente formalista o desproporcionada en relación con los fines que esas causas legales preservan y los intereses que se sacrifican (por todas, SSTC 158/2000, de 12 de junio, FJ 5; 160/2000, de 12 de junio, FJ 2, y 224/2001, de 26 de noviembre, FJ 3).</w:t>
      </w:r>
    </w:p>
    <w:p w14:paraId="670602A0" w14:textId="77777777" w:rsidR="003754FE" w:rsidRDefault="003754FE" w:rsidP="003754FE">
      <w:pPr>
        <w:pStyle w:val="TextoNormal"/>
      </w:pPr>
    </w:p>
    <w:p w14:paraId="5164A99C" w14:textId="77777777" w:rsidR="003754FE" w:rsidRDefault="003754FE" w:rsidP="003754FE">
      <w:pPr>
        <w:pStyle w:val="TextoNormal"/>
      </w:pPr>
      <w:r>
        <w:t xml:space="preserve">Pues bien, ninguno de esos vicios puede ser imputado al auto del Tribunal Supremo recurrido en amparo. El derecho a la tutela judicial efectiva, en la vertiente de acceso a la jurisdicción, no excluye una respuesta judicial de inadmisión, como ha advertido la misma jurisprudencia constitucional citada. Este derecho exige una interpretación </w:t>
      </w:r>
      <w:r w:rsidRPr="003754FE">
        <w:rPr>
          <w:i/>
        </w:rPr>
        <w:t>pro actione</w:t>
      </w:r>
      <w:r>
        <w:t xml:space="preserve"> de los requisitos procesales, pero no que estos se interpreten necesariamente en favor de la tesis del justiciable, forzando la literalidad y el sentido propio del precepto legal.</w:t>
      </w:r>
    </w:p>
    <w:p w14:paraId="27403B70" w14:textId="77777777" w:rsidR="003754FE" w:rsidRDefault="003754FE" w:rsidP="003754FE">
      <w:pPr>
        <w:pStyle w:val="TextoNormal"/>
      </w:pPr>
    </w:p>
    <w:p w14:paraId="7CB7B5E5" w14:textId="77777777" w:rsidR="003754FE" w:rsidRDefault="003754FE" w:rsidP="003754FE">
      <w:pPr>
        <w:pStyle w:val="TextoNormal"/>
      </w:pPr>
      <w:r>
        <w:t xml:space="preserve">La determinación del </w:t>
      </w:r>
      <w:r w:rsidRPr="003754FE">
        <w:rPr>
          <w:i/>
        </w:rPr>
        <w:t>dies a quo</w:t>
      </w:r>
      <w:r>
        <w:t xml:space="preserve"> del cómputo del plazo de caducidad para el ejercicio de una acción es una cuestión de estricta legalidad ordinaria y así lo ha expresado la doctrina de este tribunal cuando ha afirmado que “constituye reiterada doctrina de este tribunal que el cómputo de los plazos procesales es cuestión de mera legalidad ordinaria, atribuida, en principio, a los órganos judiciales en el ejercicio de la exclusiva potestad jurisdiccional que les atribuye el art. 117.3 CE. No obstante el tema adquiere dimensión constitucional cuando la decisión judicial sobre los plazos y su prescripción suponga la inadmisión, como en este caso, de un recurso, siempre que tal decisión haya sido adoptada partiendo de un cómputo del plazo procesal en el que sea apreciable error patente, fundamentación insuficiente, irrazonable o arbitraria” (ATC 260/2000, de 13 de noviembre, con cita de las SSTC 1/1989, de 16 de enero; 32/1989, de 13 de febrero; 65/1989, de 7 de abril; 201/1992, de 19 de noviembre; 220/1993, de 30 de junio; 322/1993, de 8 de noviembre; 191/1997, de 10 de noviembre; 215/1997, de 27 de noviembre; 89/1999, de 26 de mayo, y 133/2000, de 16 de mayo, entre otras muchas).</w:t>
      </w:r>
    </w:p>
    <w:p w14:paraId="18532879" w14:textId="77777777" w:rsidR="003754FE" w:rsidRDefault="003754FE" w:rsidP="003754FE">
      <w:pPr>
        <w:pStyle w:val="TextoNormal"/>
      </w:pPr>
    </w:p>
    <w:p w14:paraId="200BCF26" w14:textId="77777777" w:rsidR="003754FE" w:rsidRDefault="003754FE" w:rsidP="003754FE">
      <w:pPr>
        <w:pStyle w:val="TextoNormal"/>
      </w:pPr>
      <w:r>
        <w:t>Esa misma doctrina es la que este tribunal considera de manera específica en relación con los requisitos procesales de la acción de declaración de error judicial, incluidos los aspectos relativos a los plazos de caducidad (por todos, ATC 240/2001, de 26 de julio).</w:t>
      </w:r>
    </w:p>
    <w:p w14:paraId="02889E08" w14:textId="77777777" w:rsidR="003754FE" w:rsidRDefault="003754FE" w:rsidP="003754FE">
      <w:pPr>
        <w:pStyle w:val="TextoNormal"/>
      </w:pPr>
    </w:p>
    <w:p w14:paraId="70D4AB1E" w14:textId="77777777" w:rsidR="003754FE" w:rsidRDefault="003754FE" w:rsidP="003754FE">
      <w:pPr>
        <w:pStyle w:val="TextoNormal"/>
      </w:pPr>
      <w:r>
        <w:t xml:space="preserve">Siendo esto así, el auto impugnado en amparo interpreta el precepto legal aplicable (“la acción judicial […] deberá instarse inexcusablemente en el plazo de tres meses a partir del día en que pudo ejercitarse”), en el sentido que viene haciéndolo la jurisprudencia del propio Tribunal Supremo (Sala del art. 61 LOPJ y Sala Primera), que en este caso sería el auto de 19 de junio de 2019 del juzgado de violencia sobre la mujer que suspendió la sentencia de la misma fecha, de conformidad con las partes, quedando así suspendida la pena de prisión de cuatro meses impuesta a quien fuera cónyuge de la recurrente. No estamos ante una interpretación “excesivamente formalista” o rigorista de lo dispuesto en el art. 293.1 a) LOPJ sobre el inicio del cómputo del plazo de caducidad de tres meses para la presentación de la demanda por error judicial, como afirma la sentencia de la que discrepamos (tampoco es </w:t>
      </w:r>
      <w:r>
        <w:lastRenderedPageBreak/>
        <w:t>una interpretación arbitraria, irrazonable o viciada de error patente), sino acomodada al entendimiento que de ese precepto viene haciendo la jurisprudencia del Tribunal Supremo. El auto impugnado en amparo se ha limitado a aplicar un criterio constante (que se evidencia con la cita de precedentes que en él se contiene) en interpretación del art. 293.1 a) LOPJ, y lo que hace la sentencia de la que discrepamos es arrogarse una función casacional que no le corresponde a este tribunal, y que los arts. 117.3 y 123.1 CE han reservado al Tribunal Supremo.</w:t>
      </w:r>
    </w:p>
    <w:p w14:paraId="35099971" w14:textId="77777777" w:rsidR="003754FE" w:rsidRDefault="003754FE" w:rsidP="003754FE">
      <w:pPr>
        <w:pStyle w:val="TextoNormal"/>
      </w:pPr>
    </w:p>
    <w:p w14:paraId="52373D87" w14:textId="77777777" w:rsidR="003754FE" w:rsidRDefault="003754FE" w:rsidP="003754FE">
      <w:pPr>
        <w:pStyle w:val="TextoNormal"/>
      </w:pPr>
      <w:r>
        <w:t>Esta conclusión se hace tanto más evidente cuando se considera que la sentencia de la que discrepamos confunde la causa del error con su posibles efectos o contingencias futuras. La causa del error judicial se manifiesta en la resolución que lo comete y no cabe identificarla con sus eventuales consecuencias dañosas. Si la parte considera que la decisión judicial es intrínsecamente errónea, debe plantearlo tras conocerla en el plazo legal. El error no puede sobrevenir por circunstancias posteriores extrínsecas a la decisión judicial, que no tienen como causa eficiente directa la resolución a la que se atribuye el error y, derivadamente, el daño producido. Más allá, sin embargo, de que consideremos que efectivamente se produce esta confusión, lo cierto es que se trata de una confusión en interpretación de la legislación ordinaria que ninguna relación guarda con las previsiones constitucionales, lo que vuelve a confirmar que la sentencia se adentra y posesiona del terreno propio de la jurisdicción ordinaria.</w:t>
      </w:r>
    </w:p>
    <w:p w14:paraId="39CEDF0A" w14:textId="77777777" w:rsidR="003754FE" w:rsidRDefault="003754FE" w:rsidP="003754FE">
      <w:pPr>
        <w:pStyle w:val="TextoNormal"/>
      </w:pPr>
    </w:p>
    <w:p w14:paraId="1BEC120E" w14:textId="77777777" w:rsidR="003754FE" w:rsidRDefault="003754FE" w:rsidP="003754FE">
      <w:pPr>
        <w:pStyle w:val="TextoNormal"/>
      </w:pPr>
      <w:r>
        <w:t>A nuestro juicio, el criterio de fondo que se ha aplicado en la sentencia corre parejo al que se ha utilizado para dar respuesta al óbice procesal que se ha descartado en primer lugar: de la misma forma que, para desechar el óbice procesal, se ha incurrido en un tratamiento singular que ha dispensado a la recurrente del cumplimiento de los requisitos procesales de acceso al recurso de amparo comúnmente exigidos, ese mismo tratamiento singular se ha trasladado a la admisión de la demanda de error judicial, para la que la recurrente se verá también singularmente dispensada de cumplir con los requisitos procesales que, de manera general, resultan de la jurisprudencia del Tribunal Supremo para el común de los reclamantes.</w:t>
      </w:r>
    </w:p>
    <w:p w14:paraId="48710153" w14:textId="77777777" w:rsidR="003754FE" w:rsidRDefault="003754FE" w:rsidP="003754FE">
      <w:pPr>
        <w:pStyle w:val="TextoNormal"/>
      </w:pPr>
    </w:p>
    <w:p w14:paraId="6B0802C7" w14:textId="324CAEA3" w:rsidR="003754FE" w:rsidRDefault="003754FE" w:rsidP="003754FE">
      <w:pPr>
        <w:pStyle w:val="TextoNormal"/>
      </w:pPr>
      <w:r>
        <w:t>Madrid, a veinticinco de septiembre de dos mil veinticuatro.</w:t>
      </w:r>
    </w:p>
    <w:p w14:paraId="68DD6126" w14:textId="77777777" w:rsidR="003754FE" w:rsidRDefault="003754FE" w:rsidP="003754FE">
      <w:pPr>
        <w:pStyle w:val="TextoNormal"/>
      </w:pPr>
    </w:p>
    <w:p w14:paraId="113846CF" w14:textId="77777777" w:rsidR="003754FE" w:rsidRDefault="003754FE" w:rsidP="003754FE">
      <w:pPr>
        <w:pStyle w:val="TextoNormalNegritaCentrado"/>
        <w:keepNext/>
      </w:pPr>
      <w:r>
        <w:t>Voto particular que formula el magistrado don César Tolosa Tribiño a la sentencia dictada en el recurso de amparo núm. 3835-2020 interpuesto por doña Laura Hernández Morata</w:t>
      </w:r>
    </w:p>
    <w:p w14:paraId="5AEEA5B4" w14:textId="1057BE9D" w:rsidR="003754FE" w:rsidRDefault="003754FE" w:rsidP="003754FE">
      <w:pPr>
        <w:pStyle w:val="TextoNormalNegritaCentrado"/>
        <w:keepNext/>
      </w:pPr>
    </w:p>
    <w:p w14:paraId="7D1AA2C4" w14:textId="77777777" w:rsidR="003754FE" w:rsidRDefault="003754FE" w:rsidP="003754FE">
      <w:pPr>
        <w:pStyle w:val="TextoNormal"/>
      </w:pPr>
      <w:r>
        <w:t>Con el máximo respeto a la opinión de la mayoría, formulo el presente voto particular para exponer las razones de mi discrepancia con la fundamentación y el fallo de la sentencia recaída en el recurso de amparo núm. 3835-2020, el cual a mi juicio debió ser inadmitido por falta de agotamiento de la vía judicial al no haber promovido la actora el preceptivo incidente extraordinario de nulidad de actuaciones contra el auto de 25 de junio de 2020 [arts. 44.1 a) LOTC y 241.1 LOPJ].</w:t>
      </w:r>
    </w:p>
    <w:p w14:paraId="022A1E78" w14:textId="77777777" w:rsidR="003754FE" w:rsidRDefault="003754FE" w:rsidP="003754FE">
      <w:pPr>
        <w:pStyle w:val="TextoNormal"/>
      </w:pPr>
    </w:p>
    <w:p w14:paraId="6C240CD9" w14:textId="77777777" w:rsidR="003754FE" w:rsidRDefault="003754FE" w:rsidP="003754FE">
      <w:pPr>
        <w:pStyle w:val="TextoNormal"/>
      </w:pPr>
      <w:r w:rsidRPr="003754FE">
        <w:rPr>
          <w:i/>
        </w:rPr>
        <w:t>Sobre la exigencia del incidente de nulidad de actuaciones</w:t>
      </w:r>
    </w:p>
    <w:p w14:paraId="3200F02A" w14:textId="77777777" w:rsidR="003754FE" w:rsidRDefault="003754FE" w:rsidP="003754FE">
      <w:pPr>
        <w:pStyle w:val="TextoNormal"/>
      </w:pPr>
    </w:p>
    <w:p w14:paraId="4F6E024A" w14:textId="77777777" w:rsidR="003754FE" w:rsidRDefault="003754FE" w:rsidP="003754FE">
      <w:pPr>
        <w:pStyle w:val="TextoNormal"/>
      </w:pPr>
      <w:r>
        <w:lastRenderedPageBreak/>
        <w:t>1. La sentencia sostiene que en tanto la demanda de error judicial consideró que el momento inicial del plazo de caducidad de tres meses que prevé el art. 293.1 a) LOPJ era la fecha en que se produjo el hecho luctuoso que describe y, como dicha tesis fue desestimada por la Sala Segunda del Tribunal Supremo, no era exigencia inexcusable la presentación del incidente de nulidad.</w:t>
      </w:r>
    </w:p>
    <w:p w14:paraId="117CE217" w14:textId="77777777" w:rsidR="003754FE" w:rsidRDefault="003754FE" w:rsidP="003754FE">
      <w:pPr>
        <w:pStyle w:val="TextoNormal"/>
      </w:pPr>
    </w:p>
    <w:p w14:paraId="69E7019E" w14:textId="77777777" w:rsidR="003754FE" w:rsidRDefault="003754FE" w:rsidP="003754FE">
      <w:pPr>
        <w:pStyle w:val="TextoNormal"/>
      </w:pPr>
      <w:r>
        <w:t xml:space="preserve">2. De la lectura de los antecedentes del caso debe extraerse la conclusión que no existió un debate —anticipado— que cuestionara la consolidada interpretación del </w:t>
      </w:r>
      <w:r w:rsidRPr="003754FE">
        <w:rPr>
          <w:i/>
        </w:rPr>
        <w:t>dies a quo</w:t>
      </w:r>
      <w:r>
        <w:t xml:space="preserve"> para la interposición de la demanda de error judicial que venían efectuando las diferentes salas del Tribunal Supremo, menos aún si dicha interpretación vulneraba el derecho de acceso a la jurisdicción de la recurrente. Ninguna referencia existe en los fundamentos de derecho de la demanda al plazo de interposición de la misma. Tampoco el Ministerio Fiscal o la Abogacía del Estado argumentaron sobre ello.</w:t>
      </w:r>
    </w:p>
    <w:p w14:paraId="55847E31" w14:textId="77777777" w:rsidR="003754FE" w:rsidRDefault="003754FE" w:rsidP="003754FE">
      <w:pPr>
        <w:pStyle w:val="TextoNormal"/>
      </w:pPr>
    </w:p>
    <w:p w14:paraId="1D84701B" w14:textId="77777777" w:rsidR="003754FE" w:rsidRDefault="003754FE" w:rsidP="003754FE">
      <w:pPr>
        <w:pStyle w:val="TextoNormal"/>
      </w:pPr>
      <w:r>
        <w:t>3. Por otra parte, aunque ese debate sí hubiera existido —que no existió—, conforme a la finalidad de la reforma operada por la Ley Orgánica 6/2007 del art. 241.1 LOPJ y nuestra aquilatada doctrina —que debe preservarse por evidentes razones de seguridad jurídica pese a la realidad trágica que subyace a la interposición de la demanda de error judicial— hubiera seguido siendo exigible el incidente de nulidad de actuaciones, salvo que se incurra en una confusión conceptual entre el objeto de la demanda de error judicial y el objeto de cognición propio y autónomo del incidente de nulidad de actuaciones.</w:t>
      </w:r>
    </w:p>
    <w:p w14:paraId="73609097" w14:textId="77777777" w:rsidR="003754FE" w:rsidRDefault="003754FE" w:rsidP="003754FE">
      <w:pPr>
        <w:pStyle w:val="TextoNormal"/>
      </w:pPr>
    </w:p>
    <w:p w14:paraId="5389E77B" w14:textId="77777777" w:rsidR="003754FE" w:rsidRDefault="003754FE" w:rsidP="003754FE">
      <w:pPr>
        <w:pStyle w:val="TextoNormal"/>
      </w:pPr>
      <w:r>
        <w:t>4. Tras la reforma de la Ley Orgánica 6/2007 del art. 241 LOPJ, la doctrina constitucional estableció que debía interponerse el citado incidente frente a las resoluciones que causan la vulneración del derecho fundamental por primera vez, con independencia de que se hubiera podido alegar y debatir previamente la existencia de la vulneración del derecho (AATC 10/2010, 41/2010 y 200/2010).</w:t>
      </w:r>
    </w:p>
    <w:p w14:paraId="5D18C9A8" w14:textId="77777777" w:rsidR="003754FE" w:rsidRDefault="003754FE" w:rsidP="003754FE">
      <w:pPr>
        <w:pStyle w:val="TextoNormal"/>
      </w:pPr>
    </w:p>
    <w:p w14:paraId="5AA8A992" w14:textId="77777777" w:rsidR="003754FE" w:rsidRDefault="003754FE" w:rsidP="003754FE">
      <w:pPr>
        <w:pStyle w:val="TextoNormal"/>
      </w:pPr>
      <w:r>
        <w:t>5. La reforma citada articula el incidente de nulidad de actuaciones como un mecanismo impugnatorio especial, dotado de un objeto de cognición propio, autónomo y limitado: “Lo que se le pide en estos casos al órgano judicial autor de la resolución cuestionada, es que examine y resuelva sobre la vulneración del derecho fundamental que se achaca a esta última (no a ninguna otra resolución), a la luz de los concretos razonamientos contenidos en sostén de la decisión adoptada, y para dar así respuesta en el auto resolutorio a los motivos de impugnación específicos que haya vertido el afectado en su escrito de solicitud de nulidad.” (ATC 200/2010, de 21 de diciembre, FJ 2).</w:t>
      </w:r>
    </w:p>
    <w:p w14:paraId="6899CC68" w14:textId="77777777" w:rsidR="003754FE" w:rsidRDefault="003754FE" w:rsidP="003754FE">
      <w:pPr>
        <w:pStyle w:val="TextoNormal"/>
      </w:pPr>
    </w:p>
    <w:p w14:paraId="68EFF537" w14:textId="77777777" w:rsidR="003754FE" w:rsidRDefault="003754FE" w:rsidP="003754FE">
      <w:pPr>
        <w:pStyle w:val="TextoNormal"/>
      </w:pPr>
      <w:r>
        <w:t>6. La finalidad del legislador orgánico fue reforzar el carácter subsidiario del proceso constitucional de amparo, así lo indicó en la exposición de motivos al señalar: “De este modo se introduce una configuración del incidente de nulidad de actuaciones mucho más amplia, porque se permite su solicitud con base en cualquier vulneración de alguno de los derechos fundamentales referidos en el artículo 53.2 de la Constitución en lugar de la alegación de indefensión o incongruencia prevista hasta el momento. Esta ampliación del incidente de nulidad de actuaciones previo al amparo busca otorgar a los Tribunales ordinarios el papel de primeros garantes de los derechos fundamentales en nuestro ordenamiento jurídico”.</w:t>
      </w:r>
    </w:p>
    <w:p w14:paraId="6F7BA8ED" w14:textId="77777777" w:rsidR="003754FE" w:rsidRDefault="003754FE" w:rsidP="003754FE">
      <w:pPr>
        <w:pStyle w:val="TextoNormal"/>
      </w:pPr>
    </w:p>
    <w:p w14:paraId="04551CD1" w14:textId="77777777" w:rsidR="003754FE" w:rsidRDefault="003754FE" w:rsidP="003754FE">
      <w:pPr>
        <w:pStyle w:val="TextoNormal"/>
      </w:pPr>
      <w:r>
        <w:lastRenderedPageBreak/>
        <w:t>7. Es por ello que tras el art. 241 LOPJ este tribunal indicó que, a efectos de la adecuada formalización de la demanda de amparo, “es necesario para un correcto agotamiento de la vía judicial previa la interposición del incidente de nulidad para denunciar cualquier derecho fundamental que se considere vulnerado siempre que no haya podido denunciarse antes de recaer la resolución que ponga fin al proceso y que dicha resolución no sea susceptible de recurso” (ATC 41/2010, de 9 de abril, FJ único), y ciertamente, en este caso, la supuesta vulneración no pudo ser denunciada hasta que se dictó el auto de 25 de junio de 2020 por la Sala Segunda del Tribunal Supremo.</w:t>
      </w:r>
    </w:p>
    <w:p w14:paraId="2134E6AA" w14:textId="77777777" w:rsidR="003754FE" w:rsidRDefault="003754FE" w:rsidP="003754FE">
      <w:pPr>
        <w:pStyle w:val="TextoNormal"/>
      </w:pPr>
    </w:p>
    <w:p w14:paraId="3F3EEDF5" w14:textId="77777777" w:rsidR="003754FE" w:rsidRDefault="003754FE" w:rsidP="003754FE">
      <w:pPr>
        <w:pStyle w:val="TextoNormal"/>
      </w:pPr>
      <w:r>
        <w:t>8. La sentencia de la que discrepo se aparta de la doctrina del Tribunal e introduce una situación de incertidumbre sobre la propia exigencia del incidente de nulidad de actuaciones, pues de interpretarse del modo en que lo hace la sentencia nunca se cumpliría con el presupuesto legal para la procedencia del incidente, esto es, que la lesión “no haya podido denunciarse antes de recaer resolución que ponga fin al proceso”, por lo que devendría inaplicable el art. 241 LOPJ e inalcanzable el propósito introducido por la Ley Orgánica 6/2007.</w:t>
      </w:r>
    </w:p>
    <w:p w14:paraId="4854309D" w14:textId="77777777" w:rsidR="003754FE" w:rsidRDefault="003754FE" w:rsidP="003754FE">
      <w:pPr>
        <w:pStyle w:val="TextoNormal"/>
      </w:pPr>
    </w:p>
    <w:p w14:paraId="208223CA" w14:textId="77777777" w:rsidR="003754FE" w:rsidRDefault="003754FE" w:rsidP="003754FE">
      <w:pPr>
        <w:pStyle w:val="TextoNormal"/>
      </w:pPr>
      <w:r>
        <w:t>Por lo expuesto, debió inadmitirse el presente recurso.</w:t>
      </w:r>
    </w:p>
    <w:p w14:paraId="136A47E8" w14:textId="77777777" w:rsidR="003754FE" w:rsidRDefault="003754FE" w:rsidP="003754FE">
      <w:pPr>
        <w:pStyle w:val="TextoNormal"/>
      </w:pPr>
    </w:p>
    <w:p w14:paraId="33C9AB57" w14:textId="77777777" w:rsidR="003754FE" w:rsidRDefault="003754FE" w:rsidP="003754FE">
      <w:pPr>
        <w:pStyle w:val="TextoNormal"/>
      </w:pPr>
      <w:r>
        <w:t>Y en este sentido emito el presente voto particular.</w:t>
      </w:r>
    </w:p>
    <w:p w14:paraId="6C7D24B4" w14:textId="77777777" w:rsidR="003754FE" w:rsidRDefault="003754FE" w:rsidP="003754FE">
      <w:pPr>
        <w:pStyle w:val="TextoNormal"/>
      </w:pPr>
    </w:p>
    <w:p w14:paraId="17DC59A5" w14:textId="17F60D72" w:rsidR="003754FE" w:rsidRDefault="003754FE" w:rsidP="003754FE">
      <w:pPr>
        <w:pStyle w:val="TextoNormal"/>
      </w:pPr>
      <w:r>
        <w:t>Madrid, a veinticinco de septiembre de dos mil veinticuatro.</w:t>
      </w:r>
    </w:p>
    <w:p w14:paraId="0DEC7D4F" w14:textId="4490090E" w:rsidR="003754FE" w:rsidRDefault="003754FE">
      <w:pPr>
        <w:spacing w:after="160" w:line="278" w:lineRule="auto"/>
        <w:rPr>
          <w:rFonts w:ascii="Times New Roman" w:eastAsia="Times New Roman" w:hAnsi="Times New Roman" w:cs="Times New Roman"/>
          <w:sz w:val="24"/>
          <w:szCs w:val="24"/>
          <w:lang w:eastAsia="es-ES"/>
        </w:rPr>
      </w:pPr>
      <w:r>
        <w:br w:type="page"/>
      </w:r>
    </w:p>
    <w:p w14:paraId="701A9EAF" w14:textId="77777777" w:rsidR="003754FE" w:rsidRDefault="003754FE" w:rsidP="003754FE">
      <w:pPr>
        <w:pStyle w:val="TtuloResolucin"/>
      </w:pPr>
      <w:bookmarkStart w:id="28" w:name="SENTENCIA_2024_119"/>
      <w:r>
        <w:lastRenderedPageBreak/>
        <w:t>SENTENCIA 119/2024, de 25 de septiembre de 2024</w:t>
      </w:r>
    </w:p>
    <w:bookmarkEnd w:id="28"/>
    <w:p w14:paraId="3D71AA89" w14:textId="77777777" w:rsidR="003754FE" w:rsidRDefault="003754FE" w:rsidP="003754FE">
      <w:pPr>
        <w:pStyle w:val="TtuloResolucin"/>
      </w:pPr>
      <w:r>
        <w:t>Pleno</w:t>
      </w:r>
    </w:p>
    <w:p w14:paraId="033B00A8" w14:textId="77777777" w:rsidR="003754FE" w:rsidRDefault="003754FE" w:rsidP="003754FE">
      <w:pPr>
        <w:pStyle w:val="TtuloBOE"/>
      </w:pPr>
      <w:r>
        <w:t>(BOE núm. 264, de 1 de noviembre de 2024)</w:t>
      </w:r>
    </w:p>
    <w:p w14:paraId="6668C185" w14:textId="77777777" w:rsidR="003754FE" w:rsidRDefault="003754FE" w:rsidP="003754FE">
      <w:pPr>
        <w:pStyle w:val="TextoNormalCentrado"/>
      </w:pPr>
      <w:r>
        <w:t>ECLI:ES:TC:2024:119</w:t>
      </w:r>
    </w:p>
    <w:p w14:paraId="2E141CCF" w14:textId="54A20363" w:rsidR="003754FE" w:rsidRDefault="003754FE" w:rsidP="003754FE">
      <w:pPr>
        <w:pStyle w:val="TextoNormalCentrado"/>
      </w:pPr>
    </w:p>
    <w:p w14:paraId="4C9B4F4D" w14:textId="77777777" w:rsidR="003754FE" w:rsidRDefault="003754FE" w:rsidP="003754FE">
      <w:pPr>
        <w:pStyle w:val="SntesisDescriptiva"/>
      </w:pPr>
      <w:r>
        <w:t>Conflicto positivo de competencia 3870-2024. Planteado por el Gobierno de Canarias respecto de la resolución de 27 de febrero de 2024 de la ministra para la Transición Ecológica y el Reto Demográfico, que declara la caducidad de la concesión otorgada, por orden ministerial de 8 de julio de 2003, a la entidad mercantil Geafond Número Uno Lanzarote, S.A., para la ocupación y aprovechamiento del dominio público.</w:t>
      </w:r>
    </w:p>
    <w:p w14:paraId="62F65776" w14:textId="7D9808EC" w:rsidR="003754FE" w:rsidRDefault="003754FE" w:rsidP="003754FE">
      <w:pPr>
        <w:pStyle w:val="SntesisDescriptiva"/>
      </w:pPr>
    </w:p>
    <w:p w14:paraId="053A5066" w14:textId="77777777" w:rsidR="003754FE" w:rsidRDefault="003754FE" w:rsidP="003754FE">
      <w:pPr>
        <w:pStyle w:val="SntesisAnaltica"/>
      </w:pPr>
      <w:r>
        <w:t>Competencias sobre el litoral: competencia de la administración del Estado para la declaración de caducidad de una concesión de uso y aprovechamiento del dominio público marítimo-terrestre.</w:t>
      </w:r>
    </w:p>
    <w:p w14:paraId="16CAE081" w14:textId="00137348" w:rsidR="003754FE" w:rsidRDefault="003754FE" w:rsidP="003754FE">
      <w:pPr>
        <w:pStyle w:val="SntesisAnaltica"/>
      </w:pPr>
    </w:p>
    <w:p w14:paraId="7E07C4A4" w14:textId="0B0FBD85" w:rsidR="003754FE" w:rsidRDefault="003754FE" w:rsidP="003754FE">
      <w:pPr>
        <w:pStyle w:val="Extracto"/>
      </w:pPr>
      <w:r>
        <w:t>1.</w:t>
      </w:r>
      <w:r>
        <w:tab/>
        <w:t>Es competencia propia del Estado la determinación de aquellas categorías de bienes que integran el dominio público natural (STC 149/1991) [FJ 4].</w:t>
      </w:r>
    </w:p>
    <w:p w14:paraId="1E4625A1" w14:textId="77777777" w:rsidR="003754FE" w:rsidRDefault="003754FE" w:rsidP="003754FE">
      <w:pPr>
        <w:pStyle w:val="Extracto"/>
      </w:pPr>
    </w:p>
    <w:p w14:paraId="1922FF94" w14:textId="64E9ED64" w:rsidR="003754FE" w:rsidRDefault="003754FE" w:rsidP="003754FE">
      <w:pPr>
        <w:pStyle w:val="Extracto"/>
      </w:pPr>
      <w:r>
        <w:t>2.</w:t>
      </w:r>
      <w:r>
        <w:tab/>
        <w:t xml:space="preserve">La facultad legislativa que compete en exclusiva al Estado de establecer el régimen jurídico del dominio público marítimo-terrestre </w:t>
      </w:r>
      <w:r w:rsidRPr="003754FE">
        <w:rPr>
          <w:i/>
        </w:rPr>
        <w:t>ex</w:t>
      </w:r>
      <w:r>
        <w:t xml:space="preserve"> art. 132.2 CE, al estar acotada a prever las medidas que garanticen su integridad física y jurídica y aseguren su libre utilización, no excluye la competencia legislativa autonómica de ordenación del litoral, que recayendo sobre ese mismo espacio físico le habilita para establecer en cada tramo de costa qué usos son posibles en el dominio público marítimo-terrestre, siempre que al hacerlo no contraríe o desvirtúe las medidas que corresponde definir al Estado en exclusiva (STC 149/1991) [FJ 4].</w:t>
      </w:r>
    </w:p>
    <w:p w14:paraId="5D4F5FFA" w14:textId="77777777" w:rsidR="003754FE" w:rsidRDefault="003754FE" w:rsidP="003754FE">
      <w:pPr>
        <w:pStyle w:val="Extracto"/>
      </w:pPr>
    </w:p>
    <w:p w14:paraId="3109D458" w14:textId="3E6958ED" w:rsidR="003754FE" w:rsidRDefault="003754FE" w:rsidP="003754FE">
      <w:pPr>
        <w:pStyle w:val="Extracto"/>
      </w:pPr>
      <w:r>
        <w:t>3.</w:t>
      </w:r>
      <w:r>
        <w:tab/>
        <w:t>De la titularidad del dominio público marítimo-terrestre resulta únicamente la facultad del Estado de adoptar medidas de protección que aseguren que la naturaleza y las características del mismo no sean destruidas y alteradas; y que garanticen el uso libre. Sin perjuicio de las posibilidades de actuación del Estado sobre la zona marítimo-terrestre a través de otros títulos (STC 149/1991) [FJ 4].</w:t>
      </w:r>
    </w:p>
    <w:p w14:paraId="156A4A74" w14:textId="77777777" w:rsidR="003754FE" w:rsidRDefault="003754FE" w:rsidP="003754FE">
      <w:pPr>
        <w:pStyle w:val="Extracto"/>
      </w:pPr>
    </w:p>
    <w:p w14:paraId="6B9C7630" w14:textId="7A5EE7D7" w:rsidR="003754FE" w:rsidRDefault="003754FE" w:rsidP="003754FE">
      <w:pPr>
        <w:pStyle w:val="Extracto"/>
      </w:pPr>
      <w:r>
        <w:t>4.</w:t>
      </w:r>
      <w:r>
        <w:tab/>
        <w:t xml:space="preserve">La decisión de caducidad de la concesión no se encuadra en la ordenación del litoral, sino que se enmarca en la competencia exclusiva del Estado de definir y establecer el régimen jurídico del dominio público marítimo-terrestre </w:t>
      </w:r>
      <w:r w:rsidRPr="003754FE">
        <w:rPr>
          <w:i/>
        </w:rPr>
        <w:t>ex</w:t>
      </w:r>
      <w:r>
        <w:t xml:space="preserve"> art. 132.2 CE, orientada a preservar sus características propias y a evitar que la naturaleza de los bienes que lo integran sea destruida o alterada [FJ 5].</w:t>
      </w:r>
    </w:p>
    <w:p w14:paraId="2F405B4F" w14:textId="77777777" w:rsidR="003754FE" w:rsidRDefault="003754FE" w:rsidP="003754FE">
      <w:pPr>
        <w:pStyle w:val="Extracto"/>
      </w:pPr>
    </w:p>
    <w:p w14:paraId="1D661486" w14:textId="35A2DD84" w:rsidR="003754FE" w:rsidRDefault="003754FE" w:rsidP="003754FE">
      <w:pPr>
        <w:pStyle w:val="Extracto"/>
      </w:pPr>
      <w:r>
        <w:t>5.</w:t>
      </w:r>
      <w:r>
        <w:tab/>
        <w:t>La declaración de caducidad no es un acto de ejecución de la normativa sobre la ordenación del litoral competencia exclusiva autonómica y ajena a las constitucionalmente reservadas al Estado, sino complemento normativo e integrador de los preceptos que determinan el régimen jurídico del dominio público marítimo-terrestre ex art. 132.2 CE en la Ley de costas, al poner fin a la excepcionalidad que suponen tales concesiones en relación con la protección del dominio público marítimo-terrestre [FJ 5].</w:t>
      </w:r>
    </w:p>
    <w:p w14:paraId="0C2AB174" w14:textId="77777777" w:rsidR="003754FE" w:rsidRDefault="003754FE" w:rsidP="003754FE">
      <w:pPr>
        <w:pStyle w:val="Extracto"/>
      </w:pPr>
    </w:p>
    <w:p w14:paraId="0F9B3F78" w14:textId="77777777" w:rsidR="003754FE" w:rsidRDefault="003754FE" w:rsidP="003754FE">
      <w:pPr>
        <w:pStyle w:val="Extracto"/>
      </w:pPr>
    </w:p>
    <w:p w14:paraId="4495A842" w14:textId="77777777" w:rsidR="003754FE" w:rsidRDefault="003754FE" w:rsidP="003754FE">
      <w:pPr>
        <w:pStyle w:val="TextoNormal"/>
      </w:pPr>
      <w:r>
        <w:lastRenderedPageBreak/>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60F8A0D5" w14:textId="338D08C1" w:rsidR="003754FE" w:rsidRDefault="003754FE" w:rsidP="003754FE">
      <w:pPr>
        <w:pStyle w:val="TextoNormal"/>
      </w:pPr>
    </w:p>
    <w:p w14:paraId="431FC55D" w14:textId="77777777" w:rsidR="003754FE" w:rsidRDefault="003754FE" w:rsidP="003754FE">
      <w:pPr>
        <w:pStyle w:val="TextoNormalCentrado"/>
        <w:keepNext/>
      </w:pPr>
      <w:r>
        <w:t>EN NOMBRE DEL REY</w:t>
      </w:r>
    </w:p>
    <w:p w14:paraId="78448EDB" w14:textId="79295E9E" w:rsidR="003754FE" w:rsidRDefault="003754FE" w:rsidP="003754FE">
      <w:pPr>
        <w:pStyle w:val="TextoNormalCentrado"/>
        <w:keepNext/>
      </w:pPr>
    </w:p>
    <w:p w14:paraId="12B0AB70" w14:textId="77777777" w:rsidR="003754FE" w:rsidRDefault="003754FE" w:rsidP="003754FE">
      <w:pPr>
        <w:pStyle w:val="TextoNormalCentrado"/>
        <w:keepNext/>
      </w:pPr>
    </w:p>
    <w:p w14:paraId="6C3FE79C" w14:textId="77777777" w:rsidR="003754FE" w:rsidRDefault="003754FE" w:rsidP="003754FE">
      <w:pPr>
        <w:pStyle w:val="TextoNormal"/>
      </w:pPr>
      <w:r>
        <w:t>la siguiente</w:t>
      </w:r>
    </w:p>
    <w:p w14:paraId="2BDD77D9" w14:textId="6A4B77CD" w:rsidR="003754FE" w:rsidRDefault="003754FE" w:rsidP="003754FE">
      <w:pPr>
        <w:pStyle w:val="TextoNormal"/>
      </w:pPr>
    </w:p>
    <w:p w14:paraId="478362A5" w14:textId="77777777" w:rsidR="003754FE" w:rsidRDefault="003754FE" w:rsidP="003754FE">
      <w:pPr>
        <w:pStyle w:val="TextoNormalCentrado"/>
        <w:keepNext/>
      </w:pPr>
      <w:r>
        <w:t>SENTENCIA</w:t>
      </w:r>
    </w:p>
    <w:p w14:paraId="02D3D16C" w14:textId="1315D46F" w:rsidR="003754FE" w:rsidRDefault="003754FE" w:rsidP="003754FE">
      <w:pPr>
        <w:pStyle w:val="TextoNormalCentrado"/>
        <w:keepNext/>
      </w:pPr>
    </w:p>
    <w:p w14:paraId="055441B5" w14:textId="77777777" w:rsidR="003754FE" w:rsidRDefault="003754FE" w:rsidP="003754FE">
      <w:pPr>
        <w:pStyle w:val="TextoNormal"/>
      </w:pPr>
      <w:r>
        <w:t>En el conflicto positivo de competencia núm. 3870-2024 interpuesto por el Gobierno de Canarias contra la resolución de 27 de febrero de 2024 de la ministra para la Transición Ecológica y el Reto Demográfico que declara la caducidad de la concesión otorgada, por orden ministerial de 8 de julio de 2003, a la entidad mercantil Geafond Número Uno Lanzarote, S.A., para la ocupación y aprovechamiento del dominio público. Ha comparecido y formulado alegaciones el abogado del Estado. Ha sido ponente el magistrado don César Tolosa Tribiño.</w:t>
      </w:r>
    </w:p>
    <w:p w14:paraId="36798DDA" w14:textId="2F08F2B8" w:rsidR="003754FE" w:rsidRDefault="003754FE" w:rsidP="003754FE">
      <w:pPr>
        <w:pStyle w:val="TextoNormal"/>
      </w:pPr>
    </w:p>
    <w:p w14:paraId="15B68417" w14:textId="77777777" w:rsidR="003754FE" w:rsidRDefault="003754FE" w:rsidP="003754FE">
      <w:pPr>
        <w:pStyle w:val="TextoNormalNegritaCentrado"/>
        <w:keepNext/>
      </w:pPr>
      <w:r>
        <w:t>I. Antecedentes</w:t>
      </w:r>
    </w:p>
    <w:p w14:paraId="3E83ED40" w14:textId="66318B36" w:rsidR="003754FE" w:rsidRDefault="003754FE" w:rsidP="003754FE">
      <w:pPr>
        <w:pStyle w:val="TextoNormalNegritaCentrado"/>
        <w:keepNext/>
      </w:pPr>
    </w:p>
    <w:p w14:paraId="07B2FA5E" w14:textId="77777777" w:rsidR="003754FE" w:rsidRDefault="003754FE" w:rsidP="003754FE">
      <w:pPr>
        <w:pStyle w:val="TextoNormal"/>
      </w:pPr>
      <w:r w:rsidRPr="003754FE">
        <w:rPr>
          <w:rStyle w:val="NumeroAFNegritaCaracter"/>
        </w:rPr>
        <w:t>1</w:t>
      </w:r>
      <w:r>
        <w:t>. Mediante escrito registrado en este tribunal el 27 de mayo de 2024, el Gobierno de la Comunidad Autónoma de Canarias, promueve conflicto positivo de competencia frente a la resolución de 27 de febrero de 2024, de la ministra para la Transición Ecológica y el Reto Demográfico que, entre otros extremos, declara la caducidad de la concesión otorgada por orden ministerial de 8 de julio de 2003 a la entidad mercantil Geafond Número Uno Lanzarote, S.A., para la ocupación y aprovechamiento del dominio público al amparo de lo establecido en la disposición transitoria primera de la Ley 22/1988, de 28 de julio, de costas (LC), en relación con los terrenos sobre los que se ubican los establecimientos hoteleros “Hotel Oliva Beach” y “Apartamentos Oliva Beach”, incluidos en el dominio público marítimo-terrestre en virtud del deslinde aprobado por la Orden Ministerial de 22 de mayo de 1992, en el término municipal de La Oliva (Fuerteventura).</w:t>
      </w:r>
    </w:p>
    <w:p w14:paraId="20472C63" w14:textId="77777777" w:rsidR="003754FE" w:rsidRDefault="003754FE" w:rsidP="003754FE">
      <w:pPr>
        <w:pStyle w:val="TextoNormal"/>
      </w:pPr>
    </w:p>
    <w:p w14:paraId="69D99D42" w14:textId="77777777" w:rsidR="003754FE" w:rsidRDefault="003754FE" w:rsidP="003754FE">
      <w:pPr>
        <w:pStyle w:val="TextoNormal"/>
      </w:pPr>
      <w:r>
        <w:t>Inicia su demanda haciendo una referencia a las órdenes ministeriales de 12 de abril de 2007 y de 30 de septiembre de 2016 que respectivamente modificaron y acordaron la prórroga extraordinaria de la concesión inicial otorgada por orden ministerial de 8 de julio de 2003. Asimismo, da cuenta del acuerdo adoptado por el Gobierno de Canarias en defensa de las competencias exclusivas de dicha comunidad autónoma, de 27 de diciembre de 2023, en el que advertía al Gobierno del Estado de su incompetencia en la tramitación del referido procedimiento de caducidad.</w:t>
      </w:r>
    </w:p>
    <w:p w14:paraId="3C52F9CD" w14:textId="77777777" w:rsidR="003754FE" w:rsidRDefault="003754FE" w:rsidP="003754FE">
      <w:pPr>
        <w:pStyle w:val="TextoNormal"/>
      </w:pPr>
    </w:p>
    <w:p w14:paraId="42115F13" w14:textId="77777777" w:rsidR="003754FE" w:rsidRDefault="003754FE" w:rsidP="003754FE">
      <w:pPr>
        <w:pStyle w:val="TextoNormal"/>
      </w:pPr>
      <w:r>
        <w:t xml:space="preserve">A continuación la demanda justifica el cumplimiento de los requisitos temporales y formales exigidos en la Ley Orgánica del Tribunal Constitucional (LOTC), e identifica: el </w:t>
      </w:r>
      <w:r>
        <w:lastRenderedPageBreak/>
        <w:t>acuerdo del Consejo de Gobierno de Canarias de 1 de abril de 2024 por el que se requiere de incompetencia al Gobierno del Estado en relación con la resolución de 27 de febrero de 2024 del Ministerio para la Transición Ecológica y el Reto Demográfico; el acuerdo del Consejo de Ministros de fecha 30 de abril de 2024 en el que se rechaza el requerimiento previo de incompetencia promovido por la comunidad autónoma; y el dictamen del Consejo Consultivo de Canarias 172/2024, de 5 de abril.</w:t>
      </w:r>
    </w:p>
    <w:p w14:paraId="5A6B3089" w14:textId="77777777" w:rsidR="003754FE" w:rsidRDefault="003754FE" w:rsidP="003754FE">
      <w:pPr>
        <w:pStyle w:val="TextoNormal"/>
      </w:pPr>
    </w:p>
    <w:p w14:paraId="7D112041" w14:textId="77777777" w:rsidR="003754FE" w:rsidRDefault="003754FE" w:rsidP="003754FE">
      <w:pPr>
        <w:pStyle w:val="TextoNormal"/>
      </w:pPr>
      <w:r>
        <w:t>El Gobierno demandante afirma su competencia general exclusiva —respetando el régimen general del dominio público— en materia de ordenación y gestión del litoral y específicamente para la función ejecutiva de otorgamiento de autorizaciones y concesiones sobre el dominio público marítimo-terrestre —conforme al art. 157 b) en relación con los arts. 95 y 97 del Estatuto de Autonomía de Canarias (EACan)— que comprende el otorgamiento de todas las concesiones y la declaración de caducidad de las otorgadas.</w:t>
      </w:r>
    </w:p>
    <w:p w14:paraId="065311EC" w14:textId="77777777" w:rsidR="003754FE" w:rsidRDefault="003754FE" w:rsidP="003754FE">
      <w:pPr>
        <w:pStyle w:val="TextoNormal"/>
      </w:pPr>
    </w:p>
    <w:p w14:paraId="3D1894DA" w14:textId="77777777" w:rsidR="003754FE" w:rsidRDefault="003754FE" w:rsidP="003754FE">
      <w:pPr>
        <w:pStyle w:val="TextoNormal"/>
      </w:pPr>
      <w:r>
        <w:t>Niega que pueda efectuarse una distinción entre las concesiones del art. 64 LC y las concesiones —que el Estado denomina “compensatorias”— previstas en la disposición transitoria primera de la Ley de costas, en relación con las que se suscita el conflicto. Considera además que es discutible afirmar, dada la heterogeneidad de supuestos de la disposición transitoria, que todas las concesiones previstas en ella sean compensatorias. Entiende que el art. 64 LC ampara todo tipo de concesiones para la ocupación y uso del demanio incluidas las referidas a los supuestos de la disposición transitoria primera y que conforme a la STC 68/2024, de 23 de abril, que resuelve el recurso de inconstitucionalidad núm. 6521-2023, las funciones ejecutivas relativas a la gestión de títulos de utilización y ocupación del dominio público marítimo-terrestre no forman parte de las competencias estatales al tener encaje en la competencia de ordenación del litoral. Por el contrario, el Estado sostiene su competencia con fundamento en el dictamen del Consejo de Estado núm. 1426/2023, de 15 de febrero de 2024.</w:t>
      </w:r>
    </w:p>
    <w:p w14:paraId="4525189B" w14:textId="77777777" w:rsidR="003754FE" w:rsidRDefault="003754FE" w:rsidP="003754FE">
      <w:pPr>
        <w:pStyle w:val="TextoNormal"/>
      </w:pPr>
    </w:p>
    <w:p w14:paraId="56DAF334" w14:textId="77777777" w:rsidR="003754FE" w:rsidRDefault="003754FE" w:rsidP="003754FE">
      <w:pPr>
        <w:pStyle w:val="TextoNormal"/>
      </w:pPr>
      <w:r>
        <w:t>El demandante reproduce los arts. 110, 31, 64 y la disposición transitoria primera LC y cuestiona el razonamiento del acuerdo del Consejo de Ministros de fecha 30 de abril de 2024 por el que se desatiende el requerimiento y que se fundamenta (i) en la naturaleza compensatoria de la concesión por la privación de la propiedad vinculada a la potestad de deslinde del Estado, que la distingue de las concesiones ordinarias; y (ii) en la interpretación del Real Decreto 713/2022, de 30 de agosto, de traspaso de funciones y servicios de la administración general del Estado a la Comunidad Autónoma de Canarias en materia de ordenación y gestión del litoral, que en su apartado B) 3 del anexo solo se refiere a las concesiones del art. 64 LC, por lo que quedan excluidas las concesiones amparadas en la disposición transitoria primera LC.</w:t>
      </w:r>
    </w:p>
    <w:p w14:paraId="25929625" w14:textId="77777777" w:rsidR="003754FE" w:rsidRDefault="003754FE" w:rsidP="003754FE">
      <w:pPr>
        <w:pStyle w:val="TextoNormal"/>
      </w:pPr>
    </w:p>
    <w:p w14:paraId="7E0E0730" w14:textId="77777777" w:rsidR="003754FE" w:rsidRDefault="003754FE" w:rsidP="003754FE">
      <w:pPr>
        <w:pStyle w:val="TextoNormal"/>
      </w:pPr>
      <w:r>
        <w:t xml:space="preserve">La demandante examina el razonamiento del Gobierno de la Nación por el que se rechaza el requerimiento previo y lo somete a cuestionamiento. De este modo afirma que el Estatuto de Autonomía de Canarias niega la dualidad entre las concesiones ordinarias y las concesiones “compensatorias”, y no excluye estas últimas de la competencia autonómica [art. 157 b) EACan]. La competencia para el otorgamiento de títulos habilitantes es una competencia ejecutiva que ejercía el Estado en virtud del art.110 b) LC, pero que ha sido asumida por la comunidad autónoma en virtud del art. 157 b) EACan. No puede confundirse el título habilitante que permite el uso común especial o el uso privativo con la situación temporal existente a la entrada en vigor de la Ley de costas. Las concesiones de la disposición transitoria </w:t>
      </w:r>
      <w:r>
        <w:lastRenderedPageBreak/>
        <w:t>primera LC no tienen una entidad distinta a las contenidas en el art. 64 LC, su heterogeneidad impide considerarlas concesiones compensatorias. La literalidad del art. 64 LC comprende a “toda ocupación”, es omnicomprensiva de todos los supuestos de concesión, incluidos los que se cobijan bajo la disposición transitoria primera LC. La transitoriedad de estas últimas no las convierte en otra categoría de concesión que las sustraiga de la competencia autonómica. La concesión de cualquier ocupación de bienes del dominio público marítimo-terrestre y su caducidad forman un bloque material y orgánico completo, y como tal, debe ser transferido a la Comunidad Autónoma de Canarias, como dispone la disposición adicional cuarta EACan, al no ser admisible la fragmentación o escisión de la competencia material.</w:t>
      </w:r>
    </w:p>
    <w:p w14:paraId="7FD85B56" w14:textId="77777777" w:rsidR="003754FE" w:rsidRDefault="003754FE" w:rsidP="003754FE">
      <w:pPr>
        <w:pStyle w:val="TextoNormal"/>
      </w:pPr>
    </w:p>
    <w:p w14:paraId="1228F238" w14:textId="77777777" w:rsidR="003754FE" w:rsidRDefault="003754FE" w:rsidP="003754FE">
      <w:pPr>
        <w:pStyle w:val="TextoNormal"/>
      </w:pPr>
      <w:r>
        <w:t>Añade que el Estado confunde el origen de las concesiones con su objeto y régimen jurídico, que es el propio de este título habilitante y que se otorga conforme a lo previsto en la Ley de costas, sin distinción de su naturaleza ordinaria y accesoria. Por otra parte, son los estatutos de autonomía y no los reales decretos de transferencias o traspasos, sin perjuicio de su valor interpretativo, los que delimitan y atribuyen las competencias a la Comunidad Autónoma de Canarias. El Real Decreto 713/2022 no puede desvirtuar la delimitación competencial del art. 157 b) EACan. Ahora bien, la reserva de competencias a favor del Estado debe estar contemplada expresamente en los reales decretos (art. 18.1 de la Ley 12/1983, de 14 de octubre, del proceso autonómico). En el Real Decreto 713/2022, no se reserva el Estado la gestión de las concesiones de la disposición transitoria primera LC, y, atendido a su valor interpretativo, la gestión de tales concesiones compete también a la Comunidad Autónoma de Canarias.</w:t>
      </w:r>
    </w:p>
    <w:p w14:paraId="205FCC52" w14:textId="77777777" w:rsidR="003754FE" w:rsidRDefault="003754FE" w:rsidP="003754FE">
      <w:pPr>
        <w:pStyle w:val="TextoNormal"/>
      </w:pPr>
    </w:p>
    <w:p w14:paraId="57137592" w14:textId="77777777" w:rsidR="003754FE" w:rsidRDefault="003754FE" w:rsidP="003754FE">
      <w:pPr>
        <w:pStyle w:val="TextoNormal"/>
      </w:pPr>
      <w:r>
        <w:t>Afirma que lo que se reserva el Estado en la letra C) del anexo del Real Decreto es la emisión de un informe previo al otorgamiento de la concesión “en relación a la garantía, tanto de su integridad física, como de uso público del dominio público marítimo-terrestre, previo al acto de otorgamiento”, tanto cuando se trate de obras o instalaciones desmontables —apartado B) 3.b)— y no desmontables —apartado B) 3.d)— También el Estado se reserva expresamente la competencia en supuestos de extinción de la concesión (art. 78 LC), en caso de rescate de la concesión cuando así lo exija el interés general vinculado a su ámbito de competencia. Dicha previsión no se contempla en supuestos de extinción de la concesión por caducidad.</w:t>
      </w:r>
    </w:p>
    <w:p w14:paraId="26DBE3B8" w14:textId="77777777" w:rsidR="003754FE" w:rsidRDefault="003754FE" w:rsidP="003754FE">
      <w:pPr>
        <w:pStyle w:val="TextoNormal"/>
      </w:pPr>
    </w:p>
    <w:p w14:paraId="7C8E7155" w14:textId="77777777" w:rsidR="003754FE" w:rsidRDefault="003754FE" w:rsidP="003754FE">
      <w:pPr>
        <w:pStyle w:val="TextoNormal"/>
      </w:pPr>
      <w:r>
        <w:t>El Gobierno de Canarias tras referirse a los estatutos de autonomía de segunda generación considera que desde el Estatuto de Autonomía de Cataluña de 2006 (EAC) la competencia estatal derivada del art. 149.1.23 CE ha de entenderse limitada a establecer el régimen jurídico de la “utilización del dominio público”, sin incluir las competencias para el otorgamiento de autorizaciones (STC 31/2010, de 28 de junio, FJ 92). La gestión de títulos de utilización y ocupación del dominio público marítimo-terrestre no forma parte de las competencias estatales al tener su encaje en la competencia de ordenación del litoral.</w:t>
      </w:r>
    </w:p>
    <w:p w14:paraId="09B599A3" w14:textId="77777777" w:rsidR="003754FE" w:rsidRDefault="003754FE" w:rsidP="003754FE">
      <w:pPr>
        <w:pStyle w:val="TextoNormal"/>
      </w:pPr>
    </w:p>
    <w:p w14:paraId="4B419BE5" w14:textId="482B1834" w:rsidR="003754FE" w:rsidRDefault="003754FE" w:rsidP="003754FE">
      <w:pPr>
        <w:pStyle w:val="TextoNormal"/>
      </w:pPr>
      <w:r>
        <w:t xml:space="preserve">La potestad de deslinde no afecta a la resolución del conflicto, pues la titularidad del dominio público marítimo-terrestre no es criterio de delimitación competencial. La delimitación del demanio no sustrae a este de las competencias de otras administraciones. El Estado deslinda y la comunidad autónoma ejerce competencias sobre lo deslindado. Indica que una vez prorrogada la concesión al amparo del art. 172 del Reglamento general de costas, </w:t>
      </w:r>
      <w:r>
        <w:lastRenderedPageBreak/>
        <w:t>la misma supone el fin del régimen transitorio especial de la disposición transitoria primera LC al regirse por normas del régimen general.</w:t>
      </w:r>
    </w:p>
    <w:p w14:paraId="672EE557" w14:textId="77777777" w:rsidR="003754FE" w:rsidRDefault="003754FE" w:rsidP="003754FE">
      <w:pPr>
        <w:pStyle w:val="TextoNormal"/>
      </w:pPr>
    </w:p>
    <w:p w14:paraId="4DFF72B3" w14:textId="6B3BEAB8" w:rsidR="003754FE" w:rsidRDefault="003754FE" w:rsidP="003754FE">
      <w:pPr>
        <w:pStyle w:val="TextoNormal"/>
      </w:pPr>
      <w:r w:rsidRPr="003754FE">
        <w:rPr>
          <w:rStyle w:val="NumeroAFNegritaCaracter"/>
        </w:rPr>
        <w:t>2</w:t>
      </w:r>
      <w:r>
        <w:t>. Por providencia de 2 de julio de 2024, el Pleno, a propuesta de la Sección Tercera, acordó admitir a trámite el conflicto positivo de competencia promovido por el Gobierno de Canarias y, en su representación y defensa, por el letrado de su servicio jurídico, frente al Gobierno de la Nación, en relación con la resolución de la ministra para la Transición Ecológica y el Reto Demográfico de fecha 27 de febrero de 2024. Se acordó también dar traslado de la demanda y documentos presentados al Gobierno de la Nación, por conducto de su presidente, al objeto de que en el plazo de veinte días y, por medio de la representación procesal que determina el artículo 82.2 LOTC, aporte cuantos documentos y alegaciones considere convenientes. Así mismo, comunicar la incoación del conflicto a la Sala de lo Contencioso-Administrativo de la Audiencia Nacional, por si ante la misma estuviera impugnada o se impugnare la citada resolución, en cuyo caso se suspenderá el curso del proceso hasta la decisión del conflicto, según dispone el artículo 61.2 LOTC; y publicar la incoación del conflicto en el “Boletín Oficial del Estado” y en el “Boletín Oficial de Canarias”.</w:t>
      </w:r>
    </w:p>
    <w:p w14:paraId="00F50FEC" w14:textId="77777777" w:rsidR="003754FE" w:rsidRDefault="003754FE" w:rsidP="003754FE">
      <w:pPr>
        <w:pStyle w:val="TextoNormal"/>
      </w:pPr>
    </w:p>
    <w:p w14:paraId="4CC1BB10" w14:textId="77777777" w:rsidR="003754FE" w:rsidRDefault="003754FE" w:rsidP="003754FE">
      <w:pPr>
        <w:pStyle w:val="TextoNormal"/>
      </w:pPr>
      <w:r w:rsidRPr="003754FE">
        <w:rPr>
          <w:rStyle w:val="NumeroAFNegritaCaracter"/>
        </w:rPr>
        <w:t>3</w:t>
      </w:r>
      <w:r>
        <w:t>. Por escrito registrado en este tribunal el día 3 de septiembre de 2024, el abogado del Estado, en la representación que legalmente ostenta, presentó sus alegaciones oponiéndose a la demanda con fundamento en las razones que se resumen a continuación.</w:t>
      </w:r>
    </w:p>
    <w:p w14:paraId="01E43D7A" w14:textId="77777777" w:rsidR="003754FE" w:rsidRDefault="003754FE" w:rsidP="003754FE">
      <w:pPr>
        <w:pStyle w:val="TextoNormal"/>
      </w:pPr>
    </w:p>
    <w:p w14:paraId="424BADDB" w14:textId="77777777" w:rsidR="003754FE" w:rsidRDefault="003754FE" w:rsidP="003754FE">
      <w:pPr>
        <w:pStyle w:val="TextoNormal"/>
      </w:pPr>
      <w:r>
        <w:t>El abogado del Estado, tras exponer los argumentos de la Comunidad Autónoma de Canarias en los que sustenta el planteamiento del conflicto de competencias, examina la jurisprudencia constitucional que define la ordenación del litoral como manifestación de la ordenación del territorio para, a continuación, analizar la naturaleza jurídica de las concesiones compensatorias de la disposición transitoria primera de la Ley de costas conforme a dicha jurisprudencia constitucional y concluir que estas últimas son ajenas a la ordenación del territorio dado su carácter compensatorio derivado de un acto materialmente expropiatorio, extramuros de la competencia de ordenación del litoral.</w:t>
      </w:r>
    </w:p>
    <w:p w14:paraId="3E4DB05A" w14:textId="77777777" w:rsidR="003754FE" w:rsidRDefault="003754FE" w:rsidP="003754FE">
      <w:pPr>
        <w:pStyle w:val="TextoNormal"/>
      </w:pPr>
    </w:p>
    <w:p w14:paraId="369F85A6" w14:textId="77777777" w:rsidR="003754FE" w:rsidRDefault="003754FE" w:rsidP="003754FE">
      <w:pPr>
        <w:pStyle w:val="TextoNormal"/>
      </w:pPr>
      <w:r>
        <w:t>a) Apunta que las SSTC 68/2024, de 23 de abril; 18/2022, de 8 de febrero, y 6/2010, de 14 de abril, se remiten a la STC 149/1991, de 4 de julio, y en concreto a su fundamento jurídico 1 A), que estableció la gestión del litoral como una manifestación de la ordenación del territorio. Se refiere al alcance de tal competencia mediante la cita de las SSTC 65/2018, de 7 de junio; 149/1991, y 68/2024, FJ 10, y señala la especial naturaleza de las concesiones establecidas en el régimen transitorio de la Ley de costas al tratarse de la compensación —o justiprecio compensatorio del acto de expropiación— de la pérdida de derechos inherentes a la condición de propietario existente con anterioridad a la entrada en vigor de la Ley de costas de 1988 y que emana directamente del mandato constitucional del artículo 132.2 CE. Refiere que las concesiones compensatorias son ajenas a la ordenación del litoral al derivar de un acto concreto y determinado de deslinde del dominio público marítimo-terrestre que exclusivamente corresponde al Estado como titular del mismo y respecto del cual la comunidad autónoma no tiene ni control ni competencia alguna.</w:t>
      </w:r>
    </w:p>
    <w:p w14:paraId="75911393" w14:textId="77777777" w:rsidR="003754FE" w:rsidRDefault="003754FE" w:rsidP="003754FE">
      <w:pPr>
        <w:pStyle w:val="TextoNormal"/>
      </w:pPr>
    </w:p>
    <w:p w14:paraId="1EC00942" w14:textId="77777777" w:rsidR="003754FE" w:rsidRDefault="003754FE" w:rsidP="003754FE">
      <w:pPr>
        <w:pStyle w:val="TextoNormal"/>
      </w:pPr>
      <w:r>
        <w:t xml:space="preserve">Alude en apoyo de la competencia estatal a las SSTC 46/2007, de 1 de marzo, y 5/2015, de 22 de enero, que atribuyen al Estado la competencia para “definir legislativamente el dominio público estatal y establecer el régimen jurídico de los bienes que lo integran, así </w:t>
      </w:r>
      <w:r>
        <w:lastRenderedPageBreak/>
        <w:t>como adoptar las medidas precisas para proteger la integridad del demanio, preservar sus características naturales y su libre utilización. […] Basta con establecer que la operación de deslinde es una actividad vinculada estrecha e indefectiblemente a la definición de los elementos que integran el dominio público marítimo-terrestre, competencia que nuestra jurisprudencia ya ha atribuido de forma incontrovertida al Estado, y que dentro de tal operación de deslinde está la demarcación de la zona de servidumbre de protección del dominio público marítimo-terrestre”.</w:t>
      </w:r>
    </w:p>
    <w:p w14:paraId="71E68041" w14:textId="77777777" w:rsidR="003754FE" w:rsidRDefault="003754FE" w:rsidP="003754FE">
      <w:pPr>
        <w:pStyle w:val="TextoNormal"/>
      </w:pPr>
    </w:p>
    <w:p w14:paraId="676B92F4" w14:textId="77777777" w:rsidR="003754FE" w:rsidRDefault="003754FE" w:rsidP="003754FE">
      <w:pPr>
        <w:pStyle w:val="TextoNormal"/>
      </w:pPr>
      <w:r>
        <w:t xml:space="preserve">b) Examina la naturaleza jurídica de las concesiones compensatorias de la disposición transitoria primera LC, y con reproducción de parte del fundamento jurídico 8 de la STC 149/1991, considera que son actuaciones expropiatorias derivadas de un deslinde del dominio público marítimo-terrestre, esto es, la concesión es la compensación económica establecida en la ley derivada de la singular forma de expropiación de derechos dominicales sobre terrenos que, antes de la Ley de costas, eran de propiedad privada. Afirma que son actuaciones ajenas por completo a la competencia autonómica de ordenación del litoral, no ejecutan ni aplican política alguna autonómica sobre dicha ordenación, ni tienen por objeto autorizar usos y aprovechamientos </w:t>
      </w:r>
      <w:r w:rsidRPr="003754FE">
        <w:rPr>
          <w:i/>
        </w:rPr>
        <w:t>ex novo</w:t>
      </w:r>
      <w:r>
        <w:t>, sino que, dado su carácter expropiatorio, son imperativas en cuanto a su contenido (los usos y destinos que existían al momento de la materialización de la expropiación), y por un tiempo determinado fijado legalmente, también sustraído a cualquier decisión discrecional de la administración “concedente”. En este sentido, se debe recalcar que el lapso temporal que supone la vigencia de la concesión que compensa la pérdida de una propiedad preexistente constituye un paréntesis rigurosamente excepcional en la aplicación del régimen general del dominio público marítimo-terrestre que se justifica en la necesidad de compensar ese derecho de propiedad.</w:t>
      </w:r>
    </w:p>
    <w:p w14:paraId="5F6754D6" w14:textId="77777777" w:rsidR="003754FE" w:rsidRDefault="003754FE" w:rsidP="003754FE">
      <w:pPr>
        <w:pStyle w:val="TextoNormal"/>
      </w:pPr>
    </w:p>
    <w:p w14:paraId="19424409" w14:textId="77777777" w:rsidR="003754FE" w:rsidRDefault="003754FE" w:rsidP="003754FE">
      <w:pPr>
        <w:pStyle w:val="TextoNormal"/>
      </w:pPr>
      <w:r>
        <w:t>No obstante, esa inaplicación del régimen general del dominio público marítimo-terrestre debe cesar al extinguirse la concesión expropiatoria, con devolución de la porción demanial sobre la que aquella se proyectaba al régimen general, incorporándose ya plenamente a este, proceso que debe custodiarse por el titular del dominio público marítimo-terrestre al vincularse a su obligación de velar por la integridad física y jurídica del demanio del que es titular. Afirma que por ello, el origen expropiatorio de las compensaciones de la disposición transitoria primera LC, inherentes a la potestad de deslinde, vinculado este a la titularidad estatal del dominio público marítimo-terrestre, lleva a encuadrar la competencia relativa a las mismas, desde su otorgamiento hasta su extinción, en el ámbito de las potestades estatales que no han resultado afectadas por la asunción de competencias autonómicas para la ordenación del litoral, en la que se subsume la gestión de los títulos de ocupación del dominio público marítimo-terrestre. Entiende que dicha jurisprudencia ha sido aplicada en la STC 88/2021, de 19 de abril, en que se estimó un recurso de amparo por no tomar en consideración la sentencia judicial firme que declaraba la titularidad privada de un terreno enclavado en el dominio público marítimo-terrestre.</w:t>
      </w:r>
    </w:p>
    <w:p w14:paraId="04C5545A" w14:textId="77777777" w:rsidR="003754FE" w:rsidRDefault="003754FE" w:rsidP="003754FE">
      <w:pPr>
        <w:pStyle w:val="TextoNormal"/>
      </w:pPr>
    </w:p>
    <w:p w14:paraId="4F358D0F" w14:textId="77777777" w:rsidR="003754FE" w:rsidRDefault="003754FE" w:rsidP="003754FE">
      <w:pPr>
        <w:pStyle w:val="TextoNormal"/>
      </w:pPr>
      <w:r>
        <w:t xml:space="preserve">c) Sostiene que la propia regulación de las concesiones expropiatorias sustenta su carácter ajeno a la ejecución de una política de ordenación territorial. Su carácter imperativo, en cuanto a su contenido, impide cualquier planificación territorial. Son derechos inherentes a la condición de propietario antes de la Ley de costas que emanan directamente del acto de deslinde, de competencia estatal que surge del mandato del art. 132.2 CE. Estos derechos compensatorios suponen el mantenimiento de los usos y aprovechamientos existentes, sin sujeción al régimen general en cuanto a la compatibilidad de los usos permitidos y en cuanto </w:t>
      </w:r>
      <w:r>
        <w:lastRenderedPageBreak/>
        <w:t>a intensidad y condiciones de los mismos, siendo este uno de los aspectos que deben denotar la diferente naturaleza de las concesiones otorgadas en aplicación de la disposición transitoria primera y del régimen general.</w:t>
      </w:r>
    </w:p>
    <w:p w14:paraId="199FBBDE" w14:textId="77777777" w:rsidR="003754FE" w:rsidRDefault="003754FE" w:rsidP="003754FE">
      <w:pPr>
        <w:pStyle w:val="TextoNormal"/>
      </w:pPr>
    </w:p>
    <w:p w14:paraId="185C265B" w14:textId="77777777" w:rsidR="003754FE" w:rsidRDefault="003754FE" w:rsidP="003754FE">
      <w:pPr>
        <w:pStyle w:val="TextoNormal"/>
      </w:pPr>
      <w:r>
        <w:t>La potestad de la administración en relación con las concesiones compensatorias reguladas en el régimen transitorio de la Ley de costas como justiprecio de la expropiación que supone la sustitución de una propiedad privada incompatible con el carácter público del dominio público marítimo-terrestre por una concesión de la disposición transitoria primera LC, no es subsumible, como se ha señalado, en el concepto de gestión de los títulos de ocupación y uso del dominio público marítimo-terrestre, especialmente el otorgamiento de autorizaciones y concesiones que el art. 157 EAC identifica como función ejecutiva derivada de la competencia autonómica de ordenación del litoral. Y esto es así porque esta ordenación no puede incidir ni condicionar ese justiprecio: la concesión compensatoria.</w:t>
      </w:r>
    </w:p>
    <w:p w14:paraId="5E575385" w14:textId="77777777" w:rsidR="003754FE" w:rsidRDefault="003754FE" w:rsidP="003754FE">
      <w:pPr>
        <w:pStyle w:val="TextoNormal"/>
      </w:pPr>
    </w:p>
    <w:p w14:paraId="19821B3D" w14:textId="77777777" w:rsidR="003754FE" w:rsidRDefault="003754FE" w:rsidP="003754FE">
      <w:pPr>
        <w:pStyle w:val="TextoNormal"/>
      </w:pPr>
      <w:r>
        <w:t>Añade que el Derecho de la Unión Europea exige la concurrencia competitiva para el otorgamiento de concesiones en el dominio público marítimo-terrestre, que no es posible en las concesiones compensatorias de la disposición transitoria primera (SSTJUE de 14 de julio de 2016, dictada en los asuntos acumulados C- 458/14 y C-67/15, y más recientemente de 20 de abril de 2023, dictada en el asunto C-348/22).</w:t>
      </w:r>
    </w:p>
    <w:p w14:paraId="6970B442" w14:textId="77777777" w:rsidR="003754FE" w:rsidRDefault="003754FE" w:rsidP="003754FE">
      <w:pPr>
        <w:pStyle w:val="TextoNormal"/>
      </w:pPr>
    </w:p>
    <w:p w14:paraId="2B1FF32B" w14:textId="77777777" w:rsidR="003754FE" w:rsidRDefault="003754FE" w:rsidP="003754FE">
      <w:pPr>
        <w:pStyle w:val="TextoNormal"/>
      </w:pPr>
      <w:r>
        <w:t>El carácter diferenciado de las concesiones derivadas de la ordenación del litoral se manifiesta en la regulación de las propias concesiones compensatorias de la disposición transitoria primera realizada por el Estado a través de la Orden APM/241/2018, de 23 de febrero, por la que se aprueba el pliego de condiciones generales para el otorgamiento de concesiones demaniales con arreglo a lo establecido en la disposición transitoria primera de la Ley 22/1988, de 28 de julio, de Costas (“Boletín Oficial del Estado” núm. 60, de 9 de marzo de 2018), en ejecución del art. 73 LC (“La administración competente aprobará pliegos de condiciones generales para el otorgamiento de concesiones y autorizaciones”). Así mismo los plazos de duración de estas concesiones compensatorias difieren de los establecidos para los títulos de ocupación otorgados conforme al régimen general, estableciéndose un plazo mínimo de vigencia de treinta años, que, en determinados supuestos (disposición transitoria primera, apartado primero, determinados supuestos del apartado tercero desarrollados en el Reglamento general de costas, y apartado cuarto) podrían ampliarse a sesenta años a través de una prórroga ordinaria del título concesional. Otro rasgo diferencial fundamental es la exención del abono del correspondiente canon de ocupación del dominio público marítimo-terrestre que prevé la norma en determinados supuestos de concesiones compensatorias otorgadas en aplicación de la disposición transitoria primera, y que, en ningún supuesto, está prevista tratándose de títulos de ocupación otorgados en aplicación del régimen general previsto en el título III de la Ley de costas, estos sí competencia autonómica.</w:t>
      </w:r>
    </w:p>
    <w:p w14:paraId="0CAE76D4" w14:textId="77777777" w:rsidR="003754FE" w:rsidRDefault="003754FE" w:rsidP="003754FE">
      <w:pPr>
        <w:pStyle w:val="TextoNormal"/>
      </w:pPr>
    </w:p>
    <w:p w14:paraId="704729EA" w14:textId="77777777" w:rsidR="003754FE" w:rsidRDefault="003754FE" w:rsidP="003754FE">
      <w:pPr>
        <w:pStyle w:val="TextoNormal"/>
      </w:pPr>
      <w:r>
        <w:t xml:space="preserve">Sostiene que, como indica el Ejecutivo autonómico promotor de este conflicto, las comunidades autónomas de Cataluña, Andalucía e Illes Balears nunca han reclamado ni ejercido función alguna (ni de otorgamiento ni de modificación, prórroga o extinción) en relación con las concesiones de la disposición transitoria primera. En estas comunidades las funciones derivadas tanto del otorgamiento de las concesiones compensatorias, como del seguimiento de las vicisitudes que a lo largo de la vida de esas concesiones puedan surgir, con las consiguientes resoluciones o pronunciamientos de la administración que puedan requerir, no han sido objeto de traspaso y se ejercen por la administración general del Estado. </w:t>
      </w:r>
      <w:r>
        <w:lastRenderedPageBreak/>
        <w:t>A modo ilustrativo expone el número de expedientes de concesiones transitorias otorgadas y denegadas por provincias en Cataluña y Andalucía, así como los expedientes de autorizaciones y declaraciones responsables referentes a obras de mantenimiento en este tipo de concesiones, sobre las que no es posible la modificación sustancial, posteriores a los traspasos y que se han resuelto por la administración general del Estado. Incluso hasta la resolución de caducidad objeto del presente conflicto tampoco la administración canaria había puesto en duda la competencia estatal.</w:t>
      </w:r>
    </w:p>
    <w:p w14:paraId="63EDC18A" w14:textId="77777777" w:rsidR="003754FE" w:rsidRDefault="003754FE" w:rsidP="003754FE">
      <w:pPr>
        <w:pStyle w:val="TextoNormal"/>
      </w:pPr>
    </w:p>
    <w:p w14:paraId="733B4B67" w14:textId="77777777" w:rsidR="003754FE" w:rsidRDefault="003754FE" w:rsidP="003754FE">
      <w:pPr>
        <w:pStyle w:val="TextoNormal"/>
      </w:pPr>
      <w:r>
        <w:t>No comparte que la ampliación del plazo de dichas concesiones compensatorias por la Ley 2/2013, de 29 de mayo, de protección y uso sostenible del litoral y de modificación de la Ley 22/1988, de 28 de julio, de costas, que no ha sido cuestionada constitucionalmente, haga perder a las mismas su carácter original. Refiere que el propio artículo segundo de la Ley 2/2013, distingue en su apartado 1 entre las concesiones ordinarias y la compensatorias, pues de lo contrario hubiera optado por unificar ambos supuestos. La prórroga extraordinaria es una extensión temporal de un título concesional; en nada altera la naturaleza del título el hecho de que haya sido prorrogado.</w:t>
      </w:r>
    </w:p>
    <w:p w14:paraId="5E5F03DB" w14:textId="77777777" w:rsidR="003754FE" w:rsidRDefault="003754FE" w:rsidP="003754FE">
      <w:pPr>
        <w:pStyle w:val="TextoNormal"/>
      </w:pPr>
    </w:p>
    <w:p w14:paraId="7C56143C" w14:textId="134AC262" w:rsidR="003754FE" w:rsidRDefault="003754FE" w:rsidP="003754FE">
      <w:pPr>
        <w:pStyle w:val="TextoNormal"/>
      </w:pPr>
      <w:r>
        <w:t>d) Finalmente el abogado del Estado dedica la última parte de sus alegaciones a sostener que las concesiones compensatorias no se integran en la competencia ejecutiva de la Comunidad Autónoma de Canarias derivada de la competencia exclusiva de la ordenación del litoral, al tratarse de actuaciones de naturaleza expropiatoria insertas en las facultades del Estado como titular del dominio público marítimo-terrestre, en particular de su facultad de deslinde para dar efectividad al mandato constitucional que impone al Estado el art. 132 CE, por el que se declara la titularidad dominical a favor del Estado. Insiste en que la resolución aprobatoria del deslinde constituye la materialización formal de la expropiación que da lugar al justiprecio consistente en un tipo especial de concesión y en tal sentido se remite a la orden ministerial de 22 de mayo de 1992 (que acompaña como anexo I) en virtud de la cual se aprobó el deslinde del tramo de costa donde se sitúan el Hotel y Apartamentos Oliva Beach, objeto de la resolución de caducidad.</w:t>
      </w:r>
    </w:p>
    <w:p w14:paraId="1C0DFE01" w14:textId="77777777" w:rsidR="003754FE" w:rsidRDefault="003754FE" w:rsidP="003754FE">
      <w:pPr>
        <w:pStyle w:val="TextoNormal"/>
      </w:pPr>
    </w:p>
    <w:p w14:paraId="3913D8CA" w14:textId="49708FBB" w:rsidR="003754FE" w:rsidRDefault="003754FE" w:rsidP="003754FE">
      <w:pPr>
        <w:pStyle w:val="TextoNormal"/>
      </w:pPr>
      <w:r w:rsidRPr="003754FE">
        <w:rPr>
          <w:rStyle w:val="NumeroAFNegritaCaracter"/>
        </w:rPr>
        <w:t>4</w:t>
      </w:r>
      <w:r>
        <w:t>. Por providencia de 24 de septiembre de 2024 se señaló para deliberación y votación de la presente sentencia el día 25 del mismo mes y año.</w:t>
      </w:r>
    </w:p>
    <w:p w14:paraId="7BE6008F" w14:textId="77777777" w:rsidR="003754FE" w:rsidRDefault="003754FE" w:rsidP="003754FE">
      <w:pPr>
        <w:pStyle w:val="TextoNormal"/>
      </w:pPr>
    </w:p>
    <w:p w14:paraId="2CC4C776" w14:textId="77777777" w:rsidR="003754FE" w:rsidRDefault="003754FE" w:rsidP="003754FE">
      <w:pPr>
        <w:pStyle w:val="TextoNormalNegritaCentrado"/>
        <w:keepNext/>
      </w:pPr>
      <w:r>
        <w:t>II. Fundamentos jurídicos</w:t>
      </w:r>
    </w:p>
    <w:p w14:paraId="26E67248" w14:textId="71BAF7E4" w:rsidR="003754FE" w:rsidRDefault="003754FE" w:rsidP="003754FE">
      <w:pPr>
        <w:pStyle w:val="TextoNormalNegritaCentrado"/>
        <w:keepNext/>
      </w:pPr>
    </w:p>
    <w:p w14:paraId="077002EB" w14:textId="77777777" w:rsidR="003754FE" w:rsidRDefault="003754FE" w:rsidP="003754FE">
      <w:pPr>
        <w:pStyle w:val="TextoNormal"/>
      </w:pPr>
      <w:r w:rsidRPr="003754FE">
        <w:rPr>
          <w:rStyle w:val="NumeroAFNegritaCaracter"/>
        </w:rPr>
        <w:t>1</w:t>
      </w:r>
      <w:r>
        <w:t xml:space="preserve">. </w:t>
      </w:r>
      <w:r w:rsidRPr="003754FE">
        <w:rPr>
          <w:i/>
        </w:rPr>
        <w:t>Objeto del conflicto de competencias</w:t>
      </w:r>
    </w:p>
    <w:p w14:paraId="1FC55E9C" w14:textId="77777777" w:rsidR="003754FE" w:rsidRDefault="003754FE" w:rsidP="003754FE">
      <w:pPr>
        <w:pStyle w:val="TextoNormal"/>
      </w:pPr>
    </w:p>
    <w:p w14:paraId="429C5970" w14:textId="77777777" w:rsidR="003754FE" w:rsidRDefault="003754FE" w:rsidP="003754FE">
      <w:pPr>
        <w:pStyle w:val="TextoNormal"/>
      </w:pPr>
      <w:r>
        <w:t>El presente proceso constitucional tiene por objeto resolver el conflicto positivo de competencia planteado por el Gobierno de Canarias contra la resolución de la ministra para la Transición Ecológica y el Reto Demográfico de 27 de febrero de 2024 en cuanto que la administración general del Estado asume la competencia para declarar la caducidad de una concesión de uso y aprovechamiento del dominio público marítimo-terrestre sujeta al régimen jurídico de la disposición transitoria primera de la Ley 22/1988, de 28 de julio, de costas.</w:t>
      </w:r>
    </w:p>
    <w:p w14:paraId="7E05B517" w14:textId="77777777" w:rsidR="003754FE" w:rsidRDefault="003754FE" w:rsidP="003754FE">
      <w:pPr>
        <w:pStyle w:val="TextoNormal"/>
      </w:pPr>
    </w:p>
    <w:p w14:paraId="4BD1D77E" w14:textId="77777777" w:rsidR="003754FE" w:rsidRDefault="003754FE" w:rsidP="003754FE">
      <w:pPr>
        <w:pStyle w:val="TextoNormal"/>
      </w:pPr>
      <w:r>
        <w:t xml:space="preserve">El Gobierno de Canarias considera, como ha quedado expuesto en los antecedentes, que el precepto controvertido no respeta el reparto competencial que resulta del bloque de </w:t>
      </w:r>
      <w:r>
        <w:lastRenderedPageBreak/>
        <w:t>constitucionalidad, al obviar la competencias en la “ordenación y gestión del litoral” prevista en el art. 157 b) del Estatuto de Autonomía de Canarias (EACan), que abarca la función ejecutiva de la gestión de los títulos habilitantes de la ocupación del demanio marítimo-terrestre, siempre dentro del obligado respeto al régimen general del dominio público. Destaca a tal fin que las concesiones otorgadas conforme a la disposición transitoria primera LC no son un tipo de concesiones diferentes a las previstas en el art. 64 LC, e integran un bloque material y orgánico no fragmentable, encontrándose ambos tipos de concesiones sujetas al mismo régimen jurídico. Descarta que pueda apelarse a los decretos de transferencias como normas atributivas de competencias y al propio tiempo, para afirmar su competencia, refiere que el Real Decreto 713/2022, de 30 de agosto, de traspaso de funciones y servicios de la administración general del Estado a la Comunidad Autónoma de Canarias en materia de ordenación y gestión del litoral, no reserva expresamente al Estado la competencia en disputa.</w:t>
      </w:r>
    </w:p>
    <w:p w14:paraId="068B667D" w14:textId="77777777" w:rsidR="003754FE" w:rsidRDefault="003754FE" w:rsidP="003754FE">
      <w:pPr>
        <w:pStyle w:val="TextoNormal"/>
      </w:pPr>
    </w:p>
    <w:p w14:paraId="5D9664E1" w14:textId="0098FABD" w:rsidR="003754FE" w:rsidRDefault="003754FE" w:rsidP="003754FE">
      <w:pPr>
        <w:pStyle w:val="TextoNormal"/>
      </w:pPr>
      <w:r>
        <w:t>A este planteamiento se opone el abogado del Estado en sus alegaciones. Fundamenta la defensa de la competencia para dictar la resolución impugnada en que las concesiones compensatorias de la disposición transitoria primera LC son ajenas a la competencia relativa a la ordenación del territorio en tanto que no ejecutan ni aplican política de ordenación. Tales concesiones son el justiprecio compensatorio del acto de expropiación de los derechos inherentes a la condición de propietario existentes con anterioridad a la entrada en vigor de la Ley de costas y emanan directamente del mandato del art. 132.2 CE por el que le corresponde al Estado definir legislativamente el dominio público marítimo-terrestre. Finalmente distingue con diversos argumentos —frente a la posición sostenida por el Gobierno de Canarias— las concesiones derivadas de la ordenación del litoral de las concesiones compensatorias, atendida no solo su regulación autónoma, sino también los diversos plazos a los que se sujetan, la exención de estas últimas del abono del canon correspondiente por la ocupación y la distinta regulación de estas que resulta del art. 2 de la Ley 2/2013.</w:t>
      </w:r>
    </w:p>
    <w:p w14:paraId="7DB9B1D3" w14:textId="77777777" w:rsidR="003754FE" w:rsidRDefault="003754FE" w:rsidP="003754FE">
      <w:pPr>
        <w:pStyle w:val="TextoNormal"/>
      </w:pPr>
    </w:p>
    <w:p w14:paraId="39EEF975" w14:textId="77777777" w:rsidR="003754FE" w:rsidRDefault="003754FE" w:rsidP="003754FE">
      <w:pPr>
        <w:pStyle w:val="TextoNormal"/>
      </w:pPr>
      <w:r w:rsidRPr="003754FE">
        <w:rPr>
          <w:rStyle w:val="NumeroAFNegritaCaracter"/>
        </w:rPr>
        <w:t>2</w:t>
      </w:r>
      <w:r>
        <w:t xml:space="preserve">. </w:t>
      </w:r>
      <w:r w:rsidRPr="003754FE">
        <w:rPr>
          <w:i/>
        </w:rPr>
        <w:t>Contenido de la resolución de la ministra para la Transición Ecológica y el Reto Demográfico de fecha 27 de febrero de2024</w:t>
      </w:r>
    </w:p>
    <w:p w14:paraId="2890A35E" w14:textId="77777777" w:rsidR="003754FE" w:rsidRDefault="003754FE" w:rsidP="003754FE">
      <w:pPr>
        <w:pStyle w:val="TextoNormal"/>
      </w:pPr>
    </w:p>
    <w:p w14:paraId="3B20C65B" w14:textId="77777777" w:rsidR="003754FE" w:rsidRDefault="003754FE" w:rsidP="003754FE">
      <w:pPr>
        <w:pStyle w:val="TextoNormal"/>
      </w:pPr>
      <w:r>
        <w:t>Para conocer el alcance de lo resuelto por la ministra de Transición Ecológica es preciso transcribir el tenor literal de la resolución que ha suscitado el conflicto positivo de competencias, lo que se efectúa a continuación:</w:t>
      </w:r>
    </w:p>
    <w:p w14:paraId="38A487CF" w14:textId="77777777" w:rsidR="003754FE" w:rsidRDefault="003754FE" w:rsidP="003754FE">
      <w:pPr>
        <w:pStyle w:val="TextoNormal"/>
      </w:pPr>
    </w:p>
    <w:p w14:paraId="3EE34DF1" w14:textId="77777777" w:rsidR="003754FE" w:rsidRDefault="003754FE" w:rsidP="003754FE">
      <w:pPr>
        <w:pStyle w:val="TextoNormal"/>
      </w:pPr>
      <w:r>
        <w:t>“I) Declarar la caducidad de la concesión otorgada por Orden Ministerial de 8 de julio de 2003,modificada por Orden Ministerial de 12 de abril de 2007, y prorrogada por Orden Ministerial de 30 de septiembre de 2016, a la entidad mercantil Geafond Número Uno Lanzarote, S.A., para ocupación y aprovechamiento del dominio público, al amparo de lo establecido en la disposición transitoria primera de la Ley 22/1988, de 28 de julio, de costas, y concordantes del Reglamento, en relación con los terrenos sobre los que se ubican los establecimientos hoteleros “Hotel Oliva Beach” y “Apartamentos Oliva Beach”, incluidos en el dominio público marítimo terrestre en virtud del deslinde operado por Orden Ministerial de 22 de mayo de 1992, en el término municipal de La Oliva (Fuerteventura).</w:t>
      </w:r>
    </w:p>
    <w:p w14:paraId="62814DC7" w14:textId="77777777" w:rsidR="003754FE" w:rsidRDefault="003754FE" w:rsidP="003754FE">
      <w:pPr>
        <w:pStyle w:val="TextoNormal"/>
      </w:pPr>
    </w:p>
    <w:p w14:paraId="57AB2952" w14:textId="77777777" w:rsidR="003754FE" w:rsidRDefault="003754FE" w:rsidP="003754FE">
      <w:pPr>
        <w:pStyle w:val="TextoNormal"/>
      </w:pPr>
      <w:r>
        <w:t xml:space="preserve">II) Ordenar a Geafond Número Uno Lanzarote, S.A., el levantamiento y retirada del dominio público marítimo-terrestre de las instalaciones existentes a sus expensas. </w:t>
      </w:r>
    </w:p>
    <w:p w14:paraId="79152F2A" w14:textId="77777777" w:rsidR="003754FE" w:rsidRDefault="003754FE" w:rsidP="003754FE">
      <w:pPr>
        <w:pStyle w:val="TextoNormal"/>
      </w:pPr>
    </w:p>
    <w:p w14:paraId="26CE633F" w14:textId="77777777" w:rsidR="003754FE" w:rsidRDefault="003754FE" w:rsidP="003754FE">
      <w:pPr>
        <w:pStyle w:val="TextoNormal"/>
      </w:pPr>
      <w:r>
        <w:lastRenderedPageBreak/>
        <w:t>La demolición de la parte del complejo ocupada por los apartamentos queda suspendida hasta que se instruyan los expedientes que resuelvan la situación en la que se hallan los titulares registrales no amparados por el título concesional.</w:t>
      </w:r>
    </w:p>
    <w:p w14:paraId="740D1D80" w14:textId="77777777" w:rsidR="003754FE" w:rsidRDefault="003754FE" w:rsidP="003754FE">
      <w:pPr>
        <w:pStyle w:val="TextoNormal"/>
      </w:pPr>
    </w:p>
    <w:p w14:paraId="2A72DC62" w14:textId="77777777" w:rsidR="003754FE" w:rsidRDefault="003754FE" w:rsidP="003754FE">
      <w:pPr>
        <w:pStyle w:val="TextoNormal"/>
      </w:pPr>
      <w:r>
        <w:t>III) Ordenar a la demarcación de costas de Canarias que, previos los trámites a que se ha hecho referencia en el punto anterior, lleve a cabo el acto de reversión.</w:t>
      </w:r>
    </w:p>
    <w:p w14:paraId="4D06F921" w14:textId="77777777" w:rsidR="003754FE" w:rsidRDefault="003754FE" w:rsidP="003754FE">
      <w:pPr>
        <w:pStyle w:val="TextoNormal"/>
      </w:pPr>
    </w:p>
    <w:p w14:paraId="780F29AA" w14:textId="52E9612A" w:rsidR="003754FE" w:rsidRDefault="003754FE" w:rsidP="003754FE">
      <w:pPr>
        <w:pStyle w:val="TextoNormal"/>
      </w:pPr>
      <w:r>
        <w:t>IV) El presente procedimiento se resuelve por la ministra para la Transición Ecológica y el Reto Demográfico, por delegación, por la directora general de la Costa y el Mar en virtud de la Orden TED/533/2021, de 20 de mayo, y por suplencia, por el secretario de Estado de Medio Ambiente en virtud de la Resolución de 6 de marzo de 2023”.</w:t>
      </w:r>
    </w:p>
    <w:p w14:paraId="0C8E3412" w14:textId="77777777" w:rsidR="003754FE" w:rsidRDefault="003754FE" w:rsidP="003754FE">
      <w:pPr>
        <w:pStyle w:val="TextoNormal"/>
      </w:pPr>
    </w:p>
    <w:p w14:paraId="4D2950E3" w14:textId="77777777" w:rsidR="003754FE" w:rsidRDefault="003754FE" w:rsidP="003754FE">
      <w:pPr>
        <w:pStyle w:val="TextoNormal"/>
      </w:pPr>
      <w:r w:rsidRPr="003754FE">
        <w:rPr>
          <w:rStyle w:val="NumeroAFNegritaCaracter"/>
        </w:rPr>
        <w:t>3</w:t>
      </w:r>
      <w:r>
        <w:t xml:space="preserve">. </w:t>
      </w:r>
      <w:r w:rsidRPr="003754FE">
        <w:rPr>
          <w:i/>
        </w:rPr>
        <w:t>Origen y regulación de las concesiones compensatorias en la legislación de costas</w:t>
      </w:r>
    </w:p>
    <w:p w14:paraId="33AA4DFF" w14:textId="77777777" w:rsidR="003754FE" w:rsidRDefault="003754FE" w:rsidP="003754FE">
      <w:pPr>
        <w:pStyle w:val="TextoNormal"/>
      </w:pPr>
    </w:p>
    <w:p w14:paraId="66D8139A" w14:textId="77777777" w:rsidR="003754FE" w:rsidRDefault="003754FE" w:rsidP="003754FE">
      <w:pPr>
        <w:pStyle w:val="TextoNormal"/>
      </w:pPr>
      <w:r>
        <w:t>La inicial regulación de las denominadas concesiones compensatorias por la Ley 22/1988, de 28 de julio, de costas, ha sido modificada inicialmente por la Ley 2/2013, de 29 de mayo, de protección y uso sostenible del litoral (Ley 2/2013) y más recientemente por la Ley 7/2021, de 20 de mayo, de cambio climático y transición energética (Ley 7/2021). Atendido el debate suscitado entre las partes sobre el dispar entendimiento de la naturaleza jurídica de las concesiones compensatorias y la relevancia que estas atribuyen a dicha naturaleza en orden a determinar la titularidad competencial, es preciso que examinemos la regulación inicial de tales concesiones y las ulteriores modificaciones producidas.</w:t>
      </w:r>
    </w:p>
    <w:p w14:paraId="4432B9B8" w14:textId="77777777" w:rsidR="003754FE" w:rsidRDefault="003754FE" w:rsidP="003754FE">
      <w:pPr>
        <w:pStyle w:val="TextoNormal"/>
      </w:pPr>
    </w:p>
    <w:p w14:paraId="7E4C47FC" w14:textId="77777777" w:rsidR="003754FE" w:rsidRDefault="003754FE" w:rsidP="003754FE">
      <w:pPr>
        <w:pStyle w:val="TextoNormal"/>
      </w:pPr>
      <w:r>
        <w:t>a) Ley 22/1988, de 28 de julio, de costas</w:t>
      </w:r>
    </w:p>
    <w:p w14:paraId="778DBC7F" w14:textId="77777777" w:rsidR="003754FE" w:rsidRDefault="003754FE" w:rsidP="003754FE">
      <w:pPr>
        <w:pStyle w:val="TextoNormal"/>
      </w:pPr>
    </w:p>
    <w:p w14:paraId="669676E8" w14:textId="77777777" w:rsidR="003754FE" w:rsidRDefault="003754FE" w:rsidP="003754FE">
      <w:pPr>
        <w:pStyle w:val="TextoNormal"/>
      </w:pPr>
      <w:r>
        <w:t>Debemos comenzar recordando que la Ley de costas refiere, en su exposición de motivos, su preocupación por la desnaturalización —producida con demasiada frecuencia— de porciones del dominio público litoral, no solo porque se había reconocido la propiedad particular, sino también por la privatización de hecho que había supuesto el otorgamiento de determinadas concesiones y la carencia de accesos públicos, con el resultado de que ciertas extensiones de la ribera del mar habían quedado injustificadamente sustraídas al disfrute de la colectividad.</w:t>
      </w:r>
    </w:p>
    <w:p w14:paraId="3A2C0AC0" w14:textId="77777777" w:rsidR="003754FE" w:rsidRDefault="003754FE" w:rsidP="003754FE">
      <w:pPr>
        <w:pStyle w:val="TextoNormal"/>
      </w:pPr>
    </w:p>
    <w:p w14:paraId="1EF7B429" w14:textId="77777777" w:rsidR="003754FE" w:rsidRDefault="003754FE" w:rsidP="003754FE">
      <w:pPr>
        <w:pStyle w:val="TextoNormal"/>
      </w:pPr>
      <w:r>
        <w:t>Asimismo, la Ley de costas apunta, entre otros fallos graves de la legislación —entonces vigente—, a la escasa definición de la zona marítimo-terrestre y de playa, que no alcanzaba a cubrir la realidad natural; a la prevalencia de la posesión particular amparada en el registro de la propiedad, con reivindicación a cargo del Estado; a la adquisición privada del dominio público; a la usucapión veintenal como título legitimador del uso; a la actitud meramente pasiva de la administración en el otorgamiento de títulos de ocupación o uso; al tratamiento indiferenciado de autorizaciones y concesiones, y, a la generalización de estas, con lo que ello suponía de ampliación de los derechos de sus titulares sobre el dominio público.</w:t>
      </w:r>
    </w:p>
    <w:p w14:paraId="3991D81D" w14:textId="77777777" w:rsidR="003754FE" w:rsidRDefault="003754FE" w:rsidP="003754FE">
      <w:pPr>
        <w:pStyle w:val="TextoNormal"/>
      </w:pPr>
    </w:p>
    <w:p w14:paraId="69FC1FFE" w14:textId="77777777" w:rsidR="003754FE" w:rsidRDefault="003754FE" w:rsidP="003754FE">
      <w:pPr>
        <w:pStyle w:val="TextoNormal"/>
      </w:pPr>
      <w:r>
        <w:t xml:space="preserve">La Ley de costas pasa a utilizar la denominación dominio público marítimo-terrestre, como más adecuada al ser útil para poner de manifiesto la existencia de un espacio terrestre complementario al dominio público marítimo, para cuya denominación genérica recupera la expresión tradicional de “ribera del mar”. Y, se propone establecer mecanismos que favorezcan la incorporación de terrenos al dominio público, ampliando la estrecha franja costera que entonces tenía la calificación de demanial. De este modo, configura la servidumbre </w:t>
      </w:r>
      <w:r>
        <w:lastRenderedPageBreak/>
        <w:t>de protección con una profundidad de cien metros si bien en las zonas ya urbanizadas se mantiene la anchura de veinte metros que tenía la antigua servidumbre de salvamento.</w:t>
      </w:r>
    </w:p>
    <w:p w14:paraId="091D40F0" w14:textId="77777777" w:rsidR="003754FE" w:rsidRDefault="003754FE" w:rsidP="003754FE">
      <w:pPr>
        <w:pStyle w:val="TextoNormal"/>
      </w:pPr>
    </w:p>
    <w:p w14:paraId="0EE2BF29" w14:textId="77777777" w:rsidR="003754FE" w:rsidRDefault="003754FE" w:rsidP="003754FE">
      <w:pPr>
        <w:pStyle w:val="TextoNormal"/>
      </w:pPr>
      <w:r>
        <w:t>La Ley de costas faculta a la administración para convocar concursos para el otorgamiento de las autorizaciones y concesiones que considere de especial interés; y, reduce el plazo máximo de otorgamiento desde noventa y nueve a treinta años, que se considera suficiente para la amortización de cualquier instalación.</w:t>
      </w:r>
    </w:p>
    <w:p w14:paraId="56CEE902" w14:textId="77777777" w:rsidR="003754FE" w:rsidRDefault="003754FE" w:rsidP="003754FE">
      <w:pPr>
        <w:pStyle w:val="TextoNormal"/>
      </w:pPr>
    </w:p>
    <w:p w14:paraId="70021C9E" w14:textId="77777777" w:rsidR="003754FE" w:rsidRDefault="003754FE" w:rsidP="003754FE">
      <w:pPr>
        <w:pStyle w:val="TextoNormal"/>
      </w:pPr>
      <w:r>
        <w:t>Por otra parte, la Ley de costas, en sus disposiciones transitorias primera y segunda, contempla un complejo régimen transitorio que permite la adaptación de las situaciones existentes con anterioridad a la entrada en vigor de la Ley a la nueva regulación contenida en la misma. De este modo, en la disposición transitoria primera LC se “abordó la problemática de los denominados enclaves privados en el dominio público marítimo-terrestre, como consecuencia de la existencia de títulos de propiedad sobre terrenos que, o bien eran ya demaniales antes de la promulgación de la Ley de costas de 1988, o bien pasaron a serlo como consecuencia de los nuevos criterios que en esa fecha incorporó el legislador para la delimitación de los bienes de dominio público” (STC 233/2015, de 5 de noviembre, FJ 7).</w:t>
      </w:r>
    </w:p>
    <w:p w14:paraId="493A2B94" w14:textId="77777777" w:rsidR="003754FE" w:rsidRDefault="003754FE" w:rsidP="003754FE">
      <w:pPr>
        <w:pStyle w:val="TextoNormal"/>
      </w:pPr>
    </w:p>
    <w:p w14:paraId="59108D4F" w14:textId="77777777" w:rsidR="003754FE" w:rsidRDefault="003754FE" w:rsidP="003754FE">
      <w:pPr>
        <w:pStyle w:val="TextoNormal"/>
      </w:pPr>
      <w:r>
        <w:t>Como tuvimos ocasión de indicar en la STC 149/1991, de 4 de julio, FJ 8 B), la disposición transitoria primera trata de dar solución a estos dos problemas, esto es, al de la existencia de enclaves privados sobre terrenos que ya antes de la promulgación de la Ley se situaban en el dominio público y, al derivado de la extensión de la zona demanial sobre terrenos que, de acuerdo con la legislación anterior, eran de propiedad privada.</w:t>
      </w:r>
    </w:p>
    <w:p w14:paraId="776AD821" w14:textId="77777777" w:rsidR="003754FE" w:rsidRDefault="003754FE" w:rsidP="003754FE">
      <w:pPr>
        <w:pStyle w:val="TextoNormal"/>
      </w:pPr>
    </w:p>
    <w:p w14:paraId="2842887C" w14:textId="77777777" w:rsidR="003754FE" w:rsidRDefault="003754FE" w:rsidP="003754FE">
      <w:pPr>
        <w:pStyle w:val="TextoNormal"/>
      </w:pPr>
      <w:r>
        <w:t>El primero de estos problemas es el que se aborda en sus tres primeros apartados, cuyo aspecto común es que la subsistencia de tales títulos privados resulta incompatible con el mandato del art. 132.2 CE, al recaer sobre unos bienes —zona marítimo-terrestre y playas— que por sus propias características físicas y naturales eran y son de dominio público y, por tanto, “por imperativo constitucional deben cesar”, por lo que su transformación en la concesión del derecho a ocupar y a aprovecharse del demanio durante sesenta años y sin pago de canon alguno “implica una muy singular forma de expropiación”.</w:t>
      </w:r>
    </w:p>
    <w:p w14:paraId="5275D56E" w14:textId="77777777" w:rsidR="003754FE" w:rsidRDefault="003754FE" w:rsidP="003754FE">
      <w:pPr>
        <w:pStyle w:val="TextoNormal"/>
      </w:pPr>
    </w:p>
    <w:p w14:paraId="612EFC2A" w14:textId="77777777" w:rsidR="003754FE" w:rsidRDefault="003754FE" w:rsidP="003754FE">
      <w:pPr>
        <w:pStyle w:val="TextoNormal"/>
      </w:pPr>
      <w:r>
        <w:t>El segundo problema, se regula en el apartado cuarto de la misma disposición transitoria primera, por el que la pérdida de la propiedad implica sin duda una expropiación cuyo presupuesto es la decisión del legislador de precisar que haya de entenderse por ribera del mar y de compensar la pérdida de una efectiva titularidad dominical sobre unos bienes que pasan a integrar el dominio público con el otorgamiento de una concesión que permite el mantenimiento de los usos y aprovechamientos existentes por un plazo máximo de sesenta años.</w:t>
      </w:r>
    </w:p>
    <w:p w14:paraId="4F7D83B0" w14:textId="77777777" w:rsidR="003754FE" w:rsidRDefault="003754FE" w:rsidP="003754FE">
      <w:pPr>
        <w:pStyle w:val="TextoNormal"/>
      </w:pPr>
    </w:p>
    <w:p w14:paraId="582BAFC9" w14:textId="77777777" w:rsidR="003754FE" w:rsidRDefault="003754FE" w:rsidP="003754FE">
      <w:pPr>
        <w:pStyle w:val="TextoNormal"/>
      </w:pPr>
      <w:r>
        <w:t>b) Ley 2/2013, de 29 de mayo, de protección y uso sostenible del litoral y de modificación de la Ley 22/1988, de 28 de julio, de costas (Ley 2/2013)</w:t>
      </w:r>
    </w:p>
    <w:p w14:paraId="68D6A909" w14:textId="77777777" w:rsidR="003754FE" w:rsidRDefault="003754FE" w:rsidP="003754FE">
      <w:pPr>
        <w:pStyle w:val="TextoNormal"/>
      </w:pPr>
    </w:p>
    <w:p w14:paraId="5DE47649" w14:textId="77777777" w:rsidR="003754FE" w:rsidRDefault="003754FE" w:rsidP="003754FE">
      <w:pPr>
        <w:pStyle w:val="TextoNormal"/>
      </w:pPr>
      <w:r>
        <w:t xml:space="preserve">La Ley 2/2013, indica en su exposición de motivos en relación con los problemas derivados de los enclaves privados, que pretende dar “respuesta, entre otras situaciones, a la extinción de las concesiones que comenzarían a expirar en 2018, buscando la estabilización de derechos y su adaptación a un horizonte temporal semejante al nuevo plazo máximo de duración de las concesiones demaniales, que pasa de treinta a setenta y cinco años art. 66.2 LC , en la redacción dada por el art. 1.21 de la Ley 2/2013” [STC 233/2015, FJ 10, apartado </w:t>
      </w:r>
      <w:r>
        <w:lastRenderedPageBreak/>
        <w:t>b)], por lo que modifica el régimen de los titulares registrales y dispone en su art. 2 una prórroga extraordinaria con una duración máxima de setenta y cinco años para las concesiones existentes y otorgadas al amparo de la disposición transitoria primera de la Ley de costas, siempre que previamente dicha prorroga sea solicitada por el titular de la concesión.</w:t>
      </w:r>
    </w:p>
    <w:p w14:paraId="6C9AB0A7" w14:textId="77777777" w:rsidR="003754FE" w:rsidRDefault="003754FE" w:rsidP="003754FE">
      <w:pPr>
        <w:pStyle w:val="TextoNormal"/>
      </w:pPr>
    </w:p>
    <w:p w14:paraId="0B198835" w14:textId="77777777" w:rsidR="003754FE" w:rsidRDefault="003754FE" w:rsidP="003754FE">
      <w:pPr>
        <w:pStyle w:val="TextoNormal"/>
      </w:pPr>
      <w:r>
        <w:t>Esta nueva regulación —como afirma el Gobierno de Canarias en sus alegaciones— aproxima la concesión compensatoria al régimen general de las concesiones. En efecto, tal acercamiento, se observa —por una parte— en la exigencia de la previa solicitud para que la concesión sea concedida, imperativo que se proyecta sobre las concesiones ordinarias y que aparta a las llamadas concesiones compensatorias de su inicial configuración contenida en el apartado segundo de la disposición transitoria primera del Real Decreto 1471/1989, de 1 de diciembre, por el que se aprueba el reglamento general para desarrollo y ejecución de la Ley 22/1988, de 28 de julio, de costas, en virtud del cual, salvo renuncia expresa del interesado, transcurrido el plazo de un año sin que se hubiera solicitado la concesión compensatoria, la misma se otorgaría de oficio por el Ministerio de Obras Públicas y Urbanismo.</w:t>
      </w:r>
    </w:p>
    <w:p w14:paraId="09C7BB5E" w14:textId="77777777" w:rsidR="003754FE" w:rsidRDefault="003754FE" w:rsidP="003754FE">
      <w:pPr>
        <w:pStyle w:val="TextoNormal"/>
      </w:pPr>
    </w:p>
    <w:p w14:paraId="4CB34A02" w14:textId="77777777" w:rsidR="003754FE" w:rsidRDefault="003754FE" w:rsidP="003754FE">
      <w:pPr>
        <w:pStyle w:val="TextoNormal"/>
      </w:pPr>
      <w:r>
        <w:t>Y, por otra parte, también se aprecia la regulación común de ambos tipos de concesiones —en línea con lo defendido por el Gobierno de Canarias— en el establecimiento de una eventual prorroga de setenta y cinco años contados desde la fecha de la solicitud (art. 2 de la Ley 2/2013).</w:t>
      </w:r>
    </w:p>
    <w:p w14:paraId="2E4ADBFB" w14:textId="77777777" w:rsidR="003754FE" w:rsidRDefault="003754FE" w:rsidP="003754FE">
      <w:pPr>
        <w:pStyle w:val="TextoNormal"/>
      </w:pPr>
    </w:p>
    <w:p w14:paraId="2477014F" w14:textId="77777777" w:rsidR="003754FE" w:rsidRDefault="003754FE" w:rsidP="003754FE">
      <w:pPr>
        <w:pStyle w:val="TextoNormal"/>
      </w:pPr>
      <w:r>
        <w:t>Asimismo, dicha cercanía al régimen general de las concesiones —aun cuando se mantiene la inexistencia de canon propio de la naturaleza compensatoria de la concesión— se deja entrever también en el preámbulo de la norma, al establecer condicionamientos comunes —aunque como se verá, no idénticos— para la concesión de la prórroga en ambos tipos de concesiones. De este modo se indica:</w:t>
      </w:r>
    </w:p>
    <w:p w14:paraId="5589654B" w14:textId="77777777" w:rsidR="003754FE" w:rsidRDefault="003754FE" w:rsidP="003754FE">
      <w:pPr>
        <w:pStyle w:val="TextoNormal"/>
      </w:pPr>
    </w:p>
    <w:p w14:paraId="5256EC12" w14:textId="77777777" w:rsidR="003754FE" w:rsidRDefault="003754FE" w:rsidP="003754FE">
      <w:pPr>
        <w:pStyle w:val="TextoNormal"/>
      </w:pPr>
      <w:r>
        <w:t>“Debe subrayarse que no se trata de una prórroga indiscriminada, sino que su otorgamiento requiere un informe del órgano ambiental autonómico, en los casos en que se trate de ocupaciones para usos destinados a instalaciones e industrias incluidas en el ámbito de aplicación de la Ley 16/2002, de 1 de julio, de prevención y control integrados de la contaminación. Este es un ejemplo donde la seguridad jurídica que supone la continuidad de la ocupación se conjuga con la protección del litoral que podrá conllevar la expulsión efectiva de todas aquellas concesiones que no sean ambientalmente sostenibles. Con carácter general, el plazo máximo de esta prórroga extraordinaria se fija en setenta y cinco años para hacerla coincidir con el nuevo plazo máximo por el que se podrán otorgar las concesiones. Con ello se busca estabilizar los derechos y adaptarlos a un horizonte temporal que sea semejante”.</w:t>
      </w:r>
    </w:p>
    <w:p w14:paraId="2374F4E3" w14:textId="77777777" w:rsidR="003754FE" w:rsidRDefault="003754FE" w:rsidP="003754FE">
      <w:pPr>
        <w:pStyle w:val="TextoNormal"/>
      </w:pPr>
    </w:p>
    <w:p w14:paraId="5AC92F03" w14:textId="77777777" w:rsidR="003754FE" w:rsidRDefault="003754FE" w:rsidP="003754FE">
      <w:pPr>
        <w:pStyle w:val="TextoNormal"/>
      </w:pPr>
      <w:r>
        <w:t xml:space="preserve">En fin, esa aproximación al régimen jurídico común al que se sujetan las concesiones de la disposición transitoria primera LC, también se evidencia en la nueva redacción del art. 70.2 de la Ley de costas de 1988, cuando dispone la transmisibilidad </w:t>
      </w:r>
      <w:r w:rsidRPr="003754FE">
        <w:rPr>
          <w:i/>
        </w:rPr>
        <w:t>inter vivos</w:t>
      </w:r>
      <w:r>
        <w:t xml:space="preserve"> de todas las concesiones, así como en la taxatividad de la regla contenida en el párrafo quinto del art. 2 de la Ley 2/2013 cuando indica que “[l]as concesiones así prorrogadas se regirán en todo lo demás, por lo dispuesto en la Ley 22/1988, de 28 de julio, de costas”.</w:t>
      </w:r>
    </w:p>
    <w:p w14:paraId="4AB66AF5" w14:textId="77777777" w:rsidR="003754FE" w:rsidRDefault="003754FE" w:rsidP="003754FE">
      <w:pPr>
        <w:pStyle w:val="TextoNormal"/>
      </w:pPr>
    </w:p>
    <w:p w14:paraId="54356FE5" w14:textId="77777777" w:rsidR="003754FE" w:rsidRDefault="003754FE" w:rsidP="003754FE">
      <w:pPr>
        <w:pStyle w:val="TextoNormal"/>
      </w:pPr>
      <w:r>
        <w:t xml:space="preserve">Ahora bien, la similitud regulatoria de ambos tipos de concesiones, como bien afirma el abogado del Estado, no desnaturaliza el originario carácter compensatorio de las </w:t>
      </w:r>
      <w:r>
        <w:lastRenderedPageBreak/>
        <w:t>concesiones previstas en el régimen transitorio de la Ley de costas ni supone la unificación de su régimen jurídico. Dicha conclusión es la que se plasma en la STS 796/2023, de 6 de marzo, de la Sala de lo Contencioso-Administrativo del Tribunal Supremo (ECLI:ES:TS:2023:796), que —en su condición de máximo intérprete de la legalidad ordinaria—, considera que las limitaciones del art. 32 LC no son de aplicación a las concesiones de la disposición transitoria primera, al razonar que “[l]a prórroga de un derecho, incluso en su interpretación literal, comporta su continuidad durante un mayor plazo; se modifica el tiempo del derecho, no el derecho mismo, que permanece, en principio, inalterable porque en otro caso se trataría de un supuesto diferente (novación). Si a las concesiones que traían causa del régimen transitorio, que el legislador simplemente ha querido prorrogar, se les impone las limitaciones del artículo 32 —limitaciones que no tenían con anterioridad a la prórroga— quedarían desvirtuadas y se trataría de una renovación con un nuevo contenido. Para que la prórroga fuera tal, a estas concesiones se les debía respetar los ‘usos y aprovechamientos existentes՚, como declaraba la redacción original de la disposición transitoria primera LC”.</w:t>
      </w:r>
    </w:p>
    <w:p w14:paraId="6111A131" w14:textId="77777777" w:rsidR="003754FE" w:rsidRDefault="003754FE" w:rsidP="003754FE">
      <w:pPr>
        <w:pStyle w:val="TextoNormal"/>
      </w:pPr>
    </w:p>
    <w:p w14:paraId="4DFC32A4" w14:textId="77777777" w:rsidR="003754FE" w:rsidRDefault="003754FE" w:rsidP="003754FE">
      <w:pPr>
        <w:pStyle w:val="TextoNormal"/>
      </w:pPr>
      <w:r>
        <w:t>c) Ley 7/2021, de 20 de mayo, de cambio climático y transición energética (Ley 7/2021)</w:t>
      </w:r>
    </w:p>
    <w:p w14:paraId="414C2479" w14:textId="77777777" w:rsidR="003754FE" w:rsidRDefault="003754FE" w:rsidP="003754FE">
      <w:pPr>
        <w:pStyle w:val="TextoNormal"/>
      </w:pPr>
    </w:p>
    <w:p w14:paraId="07C9D616" w14:textId="77777777" w:rsidR="003754FE" w:rsidRDefault="003754FE" w:rsidP="003754FE">
      <w:pPr>
        <w:pStyle w:val="TextoNormal"/>
      </w:pPr>
      <w:r>
        <w:t>Finalmente debemos referirnos a la última modificación que se ha producido en el régimen jurídico de las concesiones por el art. 20 de la Ley 7/2021, con el que se ha pretendido dar la seguridad jurídica que reclamaban los aplicadores de la norma sobre el modo de computar el plazo de prórroga de setenta y cinco años. Se aclara en dicho precepto que los plazos de duración de los títulos de ocupación del dominio público marítimo-terrestre se computarán desde su otorgamiento e incluirán todas sus prórrogas, de ser estas posibles, sin superar los plazos máximos establecidos en la Ley de costas y en la Ley 33/2003, de 3 de noviembre, de patrimonio de las administraciones públicas. Sobre dicho apartado se pronunció la STC 90/2022, de 30 de junio, FJ 3 b), al considerar:</w:t>
      </w:r>
    </w:p>
    <w:p w14:paraId="1BD4C408" w14:textId="77777777" w:rsidR="003754FE" w:rsidRDefault="003754FE" w:rsidP="003754FE">
      <w:pPr>
        <w:pStyle w:val="TextoNormal"/>
      </w:pPr>
    </w:p>
    <w:p w14:paraId="6052DEBE" w14:textId="77777777" w:rsidR="003754FE" w:rsidRDefault="003754FE" w:rsidP="003754FE">
      <w:pPr>
        <w:pStyle w:val="TextoNormal"/>
      </w:pPr>
      <w:r>
        <w:t>“También el tenor del art. 20.4 de la Ley 7/2021, resulta respetuoso con el principio de seguridad jurídica cuando indica que (i) los plazos de duración de los títulos de ocupación del dominio público marítimo-terrestre se computarán desde su otorgamiento e incluirán todas sus prórrogas, de ser estas posibles; (ii) no podrán superar los plazos máximos establecidos en la Ley de costas y en la Ley 33/2003, de 3 de noviembre, de patrimonio de las administraciones públicas (en adelante, Ley 33/2003); y (iii) serán nulos de pleno derecho los actos administrativos que se dicten tras la entrada en vigor de la Ley 7/2021 en caso de incumplimiento de lo previsto en su art. 20.</w:t>
      </w:r>
    </w:p>
    <w:p w14:paraId="0D27BE64" w14:textId="77777777" w:rsidR="003754FE" w:rsidRDefault="003754FE" w:rsidP="003754FE">
      <w:pPr>
        <w:pStyle w:val="TextoNormal"/>
      </w:pPr>
    </w:p>
    <w:p w14:paraId="76A230BB" w14:textId="77777777" w:rsidR="003754FE" w:rsidRDefault="003754FE" w:rsidP="003754FE">
      <w:pPr>
        <w:pStyle w:val="TextoNormal"/>
      </w:pPr>
      <w:r>
        <w:t xml:space="preserve">De ello se deduce que el plazo máximo de duración de las concesiones de ocupación del dominio público marítimo-terrestre, o de cualquier prórroga del mismo, sería a partir de la entrada en vigor de la Ley 7/2021 de setenta y cinco años (desde su concesión o desde su prórroga —según su diverso régimen originario—); conservando los titulares de concesiones (o prórrogas) anteriores a la entrada en vigor de la Ley 7/2021, sus derechos adquiridos conforme a la Ley de costas (incluido el término de prórroga extraordinaria de setenta y cinco años del art. 2 de la Ley 2/2013); no pudiéndose —sin embargo— otorgar ni prorrogar —desde la entrada en vigor de la Ley 7/2021— ninguna ocupación del dominio público marítimo-terrestre por más de esos setenta y cinco años de límite, y resultando nulas las concesiones o prórrogas de más de setenta y cinco años otorgadas tras la entrada en vigor de la Ley 7/2021. Por otra parte, el </w:t>
      </w:r>
      <w:r w:rsidRPr="003754FE">
        <w:rPr>
          <w:i/>
        </w:rPr>
        <w:t>dies a quo</w:t>
      </w:r>
      <w:r>
        <w:t xml:space="preserve"> del cómputo del plazo de duración de la </w:t>
      </w:r>
      <w:r>
        <w:lastRenderedPageBreak/>
        <w:t>concesión y su prórroga es una cuestión casuística, que les corresponderá enjuiciar a los tribunales ordinarios según la heterogeneidad de regímenes”.</w:t>
      </w:r>
    </w:p>
    <w:p w14:paraId="439F0349" w14:textId="77777777" w:rsidR="003754FE" w:rsidRDefault="003754FE" w:rsidP="003754FE">
      <w:pPr>
        <w:pStyle w:val="TextoNormal"/>
      </w:pPr>
    </w:p>
    <w:p w14:paraId="06AFEFE6" w14:textId="77777777" w:rsidR="003754FE" w:rsidRDefault="003754FE" w:rsidP="003754FE">
      <w:pPr>
        <w:pStyle w:val="TextoNormal"/>
      </w:pPr>
      <w:r>
        <w:t xml:space="preserve">Asimismo, en el apartado 3 del art. 20 de la Ley 7/2021, se establece que “[c]on el fin de garantizar una adecuada adaptación de la costa a los efectos del cambio climático, la gestión de los títulos de ocupación del dominio público marítimo-terrestre y sus prórrogas se llevará a cabo de acuerdo con lo establecido en el título III de la Ley 22/1988, de 28 de julio, de costas y teniendo en cuenta lo dispuesto en el artículo 13 </w:t>
      </w:r>
      <w:r w:rsidRPr="003754FE">
        <w:rPr>
          <w:i/>
        </w:rPr>
        <w:t>ter</w:t>
      </w:r>
      <w:r>
        <w:t xml:space="preserve"> de dicha ley.”. Y añade, en su párrafo segundo, que “también se estará a lo previsto en otra normativa aplicable, así como en convenios internacionales que contengan regulación relativa a la costa y al mar y a la conservación y uso sostenible del dominio público marítimo-terrestre, teniéndose en cuenta factores como el estado y evolución de los ecosistemas, las condiciones hidromorfológicas, climáticas y de dinámica costera; así como la presión acumulada de los diferentes usos que soporta cada tramo de costa”.</w:t>
      </w:r>
    </w:p>
    <w:p w14:paraId="720E14B8" w14:textId="77777777" w:rsidR="003754FE" w:rsidRDefault="003754FE" w:rsidP="003754FE">
      <w:pPr>
        <w:pStyle w:val="TextoNormal"/>
      </w:pPr>
    </w:p>
    <w:p w14:paraId="5F7E0161" w14:textId="77777777" w:rsidR="003754FE" w:rsidRDefault="003754FE" w:rsidP="003754FE">
      <w:pPr>
        <w:pStyle w:val="TextoNormal"/>
      </w:pPr>
      <w:r>
        <w:t>Por tanto, frente a la regulación anterior se opta por una discrecionalidad técnica en el ejercicio de la potestad de otorgamiento de la prórroga, que se proyecta —con la salvedad indicada por la citada STS 796/2023— de modo indistinto respecto de las concesiones ordinarias y las denominadas “compensatorias”, contribuyendo a su tratamiento uniforme. De este modo el art. 20.3 de la Ley 7/2021 remite para la concesión de los títulos de ocupación y de sus prórrogas a lo dispuesto en el título III de la Ley de costas que se intitula “Utilización del dominio público marítimo-terrestre” y al art. 13</w:t>
      </w:r>
      <w:r w:rsidRPr="003754FE">
        <w:rPr>
          <w:i/>
        </w:rPr>
        <w:t xml:space="preserve"> te</w:t>
      </w:r>
      <w:r>
        <w:t>r, añadido por el art. 1.9 de la Ley 2/2013.</w:t>
      </w:r>
    </w:p>
    <w:p w14:paraId="46FE52CE" w14:textId="77777777" w:rsidR="003754FE" w:rsidRDefault="003754FE" w:rsidP="003754FE">
      <w:pPr>
        <w:pStyle w:val="TextoNormal"/>
      </w:pPr>
    </w:p>
    <w:p w14:paraId="5B3C1F7D" w14:textId="3BDF5877" w:rsidR="003754FE" w:rsidRDefault="003754FE" w:rsidP="003754FE">
      <w:pPr>
        <w:pStyle w:val="TextoNormal"/>
      </w:pPr>
      <w:r>
        <w:t>Dicho art. 20.3 de la Ley 2/2021 se desarrolló por los arts. 135 y 172 del Real Decreto 668/2022, de 1 de agosto, por el que se modifica el Reglamento general de costas, aprobado por Real Decreto 876/2014, de 10 de octubre, si bien el mismo ha sido anulado por la sentencia 150/2024, de 31 de enero de la Sala de lo Contencioso-Administrativo del Tribunal Supremo (ECLI:ES:TS:2024:481).</w:t>
      </w:r>
    </w:p>
    <w:p w14:paraId="112CF318" w14:textId="77777777" w:rsidR="003754FE" w:rsidRDefault="003754FE" w:rsidP="003754FE">
      <w:pPr>
        <w:pStyle w:val="TextoNormal"/>
      </w:pPr>
    </w:p>
    <w:p w14:paraId="5C55FDE8" w14:textId="77777777" w:rsidR="003754FE" w:rsidRDefault="003754FE" w:rsidP="003754FE">
      <w:pPr>
        <w:pStyle w:val="TextoNormal"/>
      </w:pPr>
      <w:r w:rsidRPr="003754FE">
        <w:rPr>
          <w:rStyle w:val="NumeroAFNegritaCaracter"/>
        </w:rPr>
        <w:t>4</w:t>
      </w:r>
      <w:r>
        <w:t xml:space="preserve">. </w:t>
      </w:r>
      <w:r w:rsidRPr="003754FE">
        <w:rPr>
          <w:i/>
        </w:rPr>
        <w:t>Contenido y alcance de la ordenación del litoral como título competencial especifico: en particular la competencia para la gestión de los títulos de ocupación y competencia del Estado sobre el dominio público marítimo-terrestre</w:t>
      </w:r>
    </w:p>
    <w:p w14:paraId="4F3D7278" w14:textId="77777777" w:rsidR="003754FE" w:rsidRDefault="003754FE" w:rsidP="003754FE">
      <w:pPr>
        <w:pStyle w:val="TextoNormal"/>
      </w:pPr>
    </w:p>
    <w:p w14:paraId="7D28BAB9" w14:textId="77777777" w:rsidR="003754FE" w:rsidRDefault="003754FE" w:rsidP="003754FE">
      <w:pPr>
        <w:pStyle w:val="TextoNormal"/>
      </w:pPr>
      <w:r>
        <w:t>Efectuado el examen del origen y de la evolución normativa de las concesiones compensatorias, y, atendida la controversia dialéctica en que se desenvuelven las respectivas pretensiones de nulidad y defensa de la resolución ministerial, es preciso adentrarnos en: a) la doctrina constitucional acerca del contenido de la competencia exclusiva asumida por la Comunidad Autónoma de Canarias en el art. 157 b) de su estatuto de autonomía relativa a la ordenación y gestión de litoral “que incluye en todo caso: […] b) La gestión de los títulos de ocupación y uso del dominio público marítimo-terrestre, especialmente el otorgamiento de autorizaciones y concesiones”; b) Las competencias que ostenta el Estado sobre el demanio conforme a la doctrina constitucional; y c) El reconocimiento de la naturaleza normativa a actos que aun siendo singulares, concretos y específicos complementan la normativa sobre la determinación del régimen jurídico del dominio público marítimo-terrestre.</w:t>
      </w:r>
    </w:p>
    <w:p w14:paraId="225EB93C" w14:textId="77777777" w:rsidR="003754FE" w:rsidRDefault="003754FE" w:rsidP="003754FE">
      <w:pPr>
        <w:pStyle w:val="TextoNormal"/>
      </w:pPr>
    </w:p>
    <w:p w14:paraId="1723E7A8" w14:textId="77777777" w:rsidR="003754FE" w:rsidRDefault="003754FE" w:rsidP="003754FE">
      <w:pPr>
        <w:pStyle w:val="TextoNormal"/>
      </w:pPr>
      <w:r>
        <w:t xml:space="preserve">a) En relación con el contenido de la competencia exclusiva asumida por la Comunidad Autónoma de Canarias en el art. 157 b) de su estatuto de autonomía, debemos remitirnos al </w:t>
      </w:r>
      <w:r>
        <w:lastRenderedPageBreak/>
        <w:t>razonamiento contenido en la reciente STC 68/2024, FJ 5 C) —a la que se refiere el Gobierno de Canarias en apoyo de su pretensión— en la que con cita de pronunciamientos precedentes, hemos modulado “nuestra doctrina, al entender que las funciones ejecutivas relativas a la gestión de títulos de utilización y ocupación del dominio público marítimo-terrestre no forman parte de competencias estatales al tener su encaje en la competencia sobre ordenación del litoral. Por tanto, la competencia estatal debe entenderse limitada a establecer el régimen jurídico del dominio […] quedando sustraídas del mismo la facultad de otorgar las autorizaciones para la utilización y ocupación del demanio, al pertenecer dichas facultades de ejecución a la competencia exclusiva de ordenación del litoral, posicionamiento constitucional que es proyectable a las comunidades autónomas que tengan reconocida dicha competencia en sus estatutos de autonomía”.</w:t>
      </w:r>
    </w:p>
    <w:p w14:paraId="1D178950" w14:textId="77777777" w:rsidR="003754FE" w:rsidRDefault="003754FE" w:rsidP="003754FE">
      <w:pPr>
        <w:pStyle w:val="TextoNormal"/>
      </w:pPr>
    </w:p>
    <w:p w14:paraId="10AD0933" w14:textId="77777777" w:rsidR="003754FE" w:rsidRDefault="003754FE" w:rsidP="003754FE">
      <w:pPr>
        <w:pStyle w:val="TextoNormal"/>
      </w:pPr>
      <w:r>
        <w:t>b) Por otra parte, en cuanto a las competencias estatales sobre el demanio, también recordamos en la mencionada STC 68/2024, FJ 5 B), con cita de la STC 149/1991, FJ 1 C):</w:t>
      </w:r>
    </w:p>
    <w:p w14:paraId="03D70E7D" w14:textId="77777777" w:rsidR="003754FE" w:rsidRDefault="003754FE" w:rsidP="003754FE">
      <w:pPr>
        <w:pStyle w:val="TextoNormal"/>
      </w:pPr>
    </w:p>
    <w:p w14:paraId="2255DD4E" w14:textId="77777777" w:rsidR="003754FE" w:rsidRDefault="003754FE" w:rsidP="003754FE">
      <w:pPr>
        <w:pStyle w:val="TextoNormal"/>
      </w:pPr>
      <w:r>
        <w:t>“[E]s competencia propia del Estado la determinación de aquellas categorías de bienes que integran el dominio público natural […] Esta facultad del legislador estatal para definir el dominio público estatal (art. 132.2 CE) y para establecer el régimen jurídico de todos los bienes que lo integran […] no solo ha de inspirarse en los principios de inalienabilidad, imprescriptibilidad e inembargabilidad, sino que además ha de adoptar todas las medidas que crea necesarias para preservar sus características propias […]. En el caso del dominio público marítimo-terrestre se trata, además, sin embargo, de una expresa necesidad jurídico-positiva, constitucional, pues como es obvio, el mandato del constituyente quedaría burlado si el legislador obrase de modo tal que, aun reteniendo físicamente en el dominio público del Estado la zona marítimo-terrestre, tolerase que su naturaleza y sus características fueran destruidas o alteradas.</w:t>
      </w:r>
    </w:p>
    <w:p w14:paraId="4F308F04" w14:textId="77777777" w:rsidR="003754FE" w:rsidRDefault="003754FE" w:rsidP="003754FE">
      <w:pPr>
        <w:pStyle w:val="TextoNormal"/>
      </w:pPr>
    </w:p>
    <w:p w14:paraId="28A2DBAF" w14:textId="77777777" w:rsidR="003754FE" w:rsidRDefault="003754FE" w:rsidP="003754FE">
      <w:pPr>
        <w:pStyle w:val="TextoNormal"/>
      </w:pPr>
      <w:r>
        <w:t>[…]</w:t>
      </w:r>
    </w:p>
    <w:p w14:paraId="4A1E572D" w14:textId="77777777" w:rsidR="003754FE" w:rsidRDefault="003754FE" w:rsidP="003754FE">
      <w:pPr>
        <w:pStyle w:val="TextoNormal"/>
      </w:pPr>
    </w:p>
    <w:p w14:paraId="4EBB13B5" w14:textId="77777777" w:rsidR="003754FE" w:rsidRDefault="003754FE" w:rsidP="003754FE">
      <w:pPr>
        <w:pStyle w:val="TextoNormal"/>
      </w:pPr>
      <w:r>
        <w:t xml:space="preserve">Esta facultad legislativa que compete en exclusiva al Estado de establecer el régimen jurídico del dominio público marítimo-terrestre </w:t>
      </w:r>
      <w:r w:rsidRPr="003754FE">
        <w:rPr>
          <w:i/>
        </w:rPr>
        <w:t>ex</w:t>
      </w:r>
      <w:r>
        <w:t xml:space="preserve"> art. 132.2 CE, al estar acotada a prever las medidas que garanticen su integridad física y jurídica y aseguren su libre utilización, no excluye la competencia legislativa autonómica de ordenación del litoral, que recayendo sobre ese mismo espacio físico le habilita para establecer en cada tramo de costa qué usos son posibles en el dominio público marítimo-terrestre, siempre claro está que al hacerlo no contraríe o desvirtúe las antedichas medidas que corresponde definir al Estado en exclusiva y que en la actualidad se encuentran en la ley y reglamento que regulan las costas.</w:t>
      </w:r>
    </w:p>
    <w:p w14:paraId="05A43512" w14:textId="77777777" w:rsidR="003754FE" w:rsidRDefault="003754FE" w:rsidP="003754FE">
      <w:pPr>
        <w:pStyle w:val="TextoNormal"/>
      </w:pPr>
    </w:p>
    <w:p w14:paraId="6E31069A" w14:textId="77777777" w:rsidR="003754FE" w:rsidRDefault="003754FE" w:rsidP="003754FE">
      <w:pPr>
        <w:pStyle w:val="TextoNormal"/>
      </w:pPr>
      <w:r>
        <w:t>[…]</w:t>
      </w:r>
    </w:p>
    <w:p w14:paraId="02A13717" w14:textId="77777777" w:rsidR="003754FE" w:rsidRDefault="003754FE" w:rsidP="003754FE">
      <w:pPr>
        <w:pStyle w:val="TextoNormal"/>
      </w:pPr>
    </w:p>
    <w:p w14:paraId="38187B40" w14:textId="77777777" w:rsidR="003754FE" w:rsidRDefault="003754FE" w:rsidP="003754FE">
      <w:pPr>
        <w:pStyle w:val="TextoNormal"/>
      </w:pPr>
      <w:r>
        <w:t>A modo de síntesis puede afirmarse que de la titularidad del dominio público marítimo-terrestre resulta únicamente la facultad del Estado de adoptar medidas de protección que aseguren que la naturaleza y las características del mismo no sean destruidas y alteradas, así como para garantizar el uso libre, sin perjuicio de las posibilidades de actuación del Estado sobre la zona marítimo-terrestre a través de otros títulos”.</w:t>
      </w:r>
    </w:p>
    <w:p w14:paraId="25F172F9" w14:textId="77777777" w:rsidR="003754FE" w:rsidRDefault="003754FE" w:rsidP="003754FE">
      <w:pPr>
        <w:pStyle w:val="TextoNormal"/>
      </w:pPr>
    </w:p>
    <w:p w14:paraId="38735F88" w14:textId="77777777" w:rsidR="003754FE" w:rsidRDefault="003754FE" w:rsidP="003754FE">
      <w:pPr>
        <w:pStyle w:val="TextoNormal"/>
      </w:pPr>
      <w:r>
        <w:t xml:space="preserve">c) Por último, debemos recordar que este tribunal ha atribuido a determinados actos singulares y específicos, pese a su carácter concreto, naturaleza normativa al servir de </w:t>
      </w:r>
      <w:r>
        <w:lastRenderedPageBreak/>
        <w:t>complemento y formar parte integrante del contenido de las normas que establecen el régimen jurídico del dominio público marítimo-terrestre.</w:t>
      </w:r>
    </w:p>
    <w:p w14:paraId="4364626D" w14:textId="77777777" w:rsidR="003754FE" w:rsidRDefault="003754FE" w:rsidP="003754FE">
      <w:pPr>
        <w:pStyle w:val="TextoNormal"/>
      </w:pPr>
    </w:p>
    <w:p w14:paraId="7596B754" w14:textId="77777777" w:rsidR="003754FE" w:rsidRDefault="003754FE" w:rsidP="003754FE">
      <w:pPr>
        <w:pStyle w:val="TextoNormal"/>
      </w:pPr>
      <w:r>
        <w:t>En este sentido, la STC 149/1991, FJ 3 D) c), examina el vicio de inconstitucionalidad que los recurrentes atribuían al art. 25.3 LC al considerar —de modo similar al planteamiento defendido por el Gobierno de Canarias— que la autorización que se atribuía al Consejo de ministros era un acto de ejecución, cuya competencia debía corresponder a las comunidades autónomas.</w:t>
      </w:r>
    </w:p>
    <w:p w14:paraId="61848D73" w14:textId="77777777" w:rsidR="003754FE" w:rsidRDefault="003754FE" w:rsidP="003754FE">
      <w:pPr>
        <w:pStyle w:val="TextoNormal"/>
      </w:pPr>
    </w:p>
    <w:p w14:paraId="5C348B10" w14:textId="77777777" w:rsidR="003754FE" w:rsidRDefault="003754FE" w:rsidP="003754FE">
      <w:pPr>
        <w:pStyle w:val="TextoNormal"/>
      </w:pPr>
      <w:r>
        <w:t>En efecto, dicho apartado tercero, cuya redacción no ha sido modificada, prevé, la posibilidad de que, por razones de utilidad pública el Consejo de ministros mediante una resolución singular elimine, para obras o instalaciones determinadas, las prohibiciones referidas en las letras b) y d) del art. 25.1 LC o bien exceptúe la prohibición de autorización de las instalaciones industriales referidas en la letra a) del art. 25.1 LC o en las que no concurran los requisitos del art. 25.2 LC. La STC 149/1991, desestima la impugnación de las comunidades autónomas al descartar la naturaleza ejecutiva de dichas autorizaciones singulares y correlativamente afirma la competencia estatal sobre las mismas, al atribuirles naturaleza normativa. En tal sentido indica:</w:t>
      </w:r>
    </w:p>
    <w:p w14:paraId="19374F57" w14:textId="77777777" w:rsidR="003754FE" w:rsidRDefault="003754FE" w:rsidP="003754FE">
      <w:pPr>
        <w:pStyle w:val="TextoNormal"/>
      </w:pPr>
    </w:p>
    <w:p w14:paraId="55303FDF" w14:textId="7F226AC1" w:rsidR="003754FE" w:rsidRDefault="003754FE" w:rsidP="003754FE">
      <w:pPr>
        <w:pStyle w:val="TextoNormal"/>
      </w:pPr>
      <w:r>
        <w:t>“El tercero y último de los apartados prevé, por último, la posibilidad de que, por razones de utilidad pública, el Consejo de Ministros levante, para obras o instalaciones determinadas, algunas de las prohibiciones contenidas en el apartado primero o excepcione, para alguna instalación industrial concreta, la regla general del apartado segundo, de manera tal que mediante este precepto se completan las normas que en aquellos otros apartados quedan solo parcialmente enunciadas. La atribución concedida al Consejo de Ministros no es, en consecuencia, un acto de ejecución de aquellas otras normas fragmentarias, sino parte integrante del contenido de la norma total” [FJ 3 D) c)].</w:t>
      </w:r>
    </w:p>
    <w:p w14:paraId="01C2B544" w14:textId="77777777" w:rsidR="003754FE" w:rsidRDefault="003754FE" w:rsidP="003754FE">
      <w:pPr>
        <w:pStyle w:val="TextoNormal"/>
      </w:pPr>
    </w:p>
    <w:p w14:paraId="6A2C7EF5" w14:textId="77777777" w:rsidR="003754FE" w:rsidRDefault="003754FE" w:rsidP="003754FE">
      <w:pPr>
        <w:pStyle w:val="TextoNormal"/>
      </w:pPr>
      <w:r w:rsidRPr="003754FE">
        <w:rPr>
          <w:rStyle w:val="NumeroAFNegritaCaracter"/>
        </w:rPr>
        <w:t>5</w:t>
      </w:r>
      <w:r>
        <w:t xml:space="preserve">. </w:t>
      </w:r>
      <w:r w:rsidRPr="003754FE">
        <w:rPr>
          <w:i/>
        </w:rPr>
        <w:t>Aplicación de la doctrina al caso: desestimación del conflicto positivo de competencias</w:t>
      </w:r>
    </w:p>
    <w:p w14:paraId="1229CF9F" w14:textId="77777777" w:rsidR="003754FE" w:rsidRDefault="003754FE" w:rsidP="003754FE">
      <w:pPr>
        <w:pStyle w:val="TextoNormal"/>
      </w:pPr>
    </w:p>
    <w:p w14:paraId="613E07A9" w14:textId="77777777" w:rsidR="003754FE" w:rsidRDefault="003754FE" w:rsidP="003754FE">
      <w:pPr>
        <w:pStyle w:val="TextoNormal"/>
      </w:pPr>
      <w:r>
        <w:t>Una vez examinada la finalidad de las concesiones reguladas en la disposición transitoria primera de la Ley de costas y expuesta la doctrina constitucional relativa al alcance de la competencia autonómica de ordenación del litoral y la estatal sobre el dominio público marítimo-terrestre, estamos en condiciones de dar una respuesta al conflicto positivo de competencias planteado, esto es, si le corresponde a la administración general del Estado la competencia para declarar la caducidad de una concesión de uso y aprovechamiento del dominio público marítimo-terrestre sujeta al régimen jurídico de la disposición transitoria primera LC o por el contrario si dicha potestad forma parte de la competencia relativa a la ordenación del litoral asumida por la Comunidad Autónoma de Canarias en el art. 157 b) EACan.</w:t>
      </w:r>
    </w:p>
    <w:p w14:paraId="03048A81" w14:textId="77777777" w:rsidR="003754FE" w:rsidRDefault="003754FE" w:rsidP="003754FE">
      <w:pPr>
        <w:pStyle w:val="TextoNormal"/>
      </w:pPr>
    </w:p>
    <w:p w14:paraId="55B09B27" w14:textId="77777777" w:rsidR="003754FE" w:rsidRDefault="003754FE" w:rsidP="003754FE">
      <w:pPr>
        <w:pStyle w:val="TextoNormal"/>
      </w:pPr>
      <w:r>
        <w:t xml:space="preserve">A tal efecto, nuestra decisión, pese al intenso debate suscitado entre las partes acerca de la interpretación de las previsiones —y omisiones— contenidas en el Real Decreto 713/2022, de 30 de agosto, de traspaso de funciones y servicios de la administración general del Estado a la Comunidad Autónoma de Canarias en materia de ordenación y gestión del litoral, no puede sostenerse en dicha norma. Y ello porque es doctrina constitucional consolidada que los decretos de transferencias “no atribuyen ni reconocen competencias, sino </w:t>
      </w:r>
      <w:r>
        <w:lastRenderedPageBreak/>
        <w:t>que traspasan servicios, funciones e instituciones; no son en consecuencia normas determinantes del sistema constitucional de distribución de competencias, compuesto exclusivamente por la Constitución, los estatutos y, en su caso, las demás disposiciones atributivas de competencias, cuyas prescripciones no pueden ser alteradas ni constreñidas por las disposiciones de los decretos de traspasos” (STC 147/1998, de 2 de julio, FJ 10; reiterada, entre otras, en las SSTC 9/2001, de 18 de enero, FJ 6; 44/2007, de 1 de marzo, FJ 6; 28/2016, de 18 de febrero, FJ 6, y 194/2016, de 16 de noviembre, FJ 2)” [STC 65/2020, de 18 de junio, FJ 20 e)].</w:t>
      </w:r>
    </w:p>
    <w:p w14:paraId="08B8203E" w14:textId="77777777" w:rsidR="003754FE" w:rsidRDefault="003754FE" w:rsidP="003754FE">
      <w:pPr>
        <w:pStyle w:val="TextoNormal"/>
      </w:pPr>
    </w:p>
    <w:p w14:paraId="6ED23E35" w14:textId="77777777" w:rsidR="003754FE" w:rsidRDefault="003754FE" w:rsidP="003754FE">
      <w:pPr>
        <w:pStyle w:val="TextoNormal"/>
      </w:pPr>
      <w:r>
        <w:t>Por otra parte, carece de virtualidad alguna desde el punto de vista de la delimitación competencial —contrariamente a lo afirmado por el abogado del Estado— que otras comunidades autónomas como Cataluña, Andalucía e Islas Baleares nunca hayan reclamado ni ejercido función alguna (ni de otorgamiento ni de modificación, prórroga o extinción) en relación con las concesiones de la disposición transitoria primera, pues tal actuación no puede vincular a este Tribunal Constitucional, como supremo intérprete de la Constitución (art. 1 LOTC), en la determinación del orden competencial.</w:t>
      </w:r>
    </w:p>
    <w:p w14:paraId="071CD16E" w14:textId="77777777" w:rsidR="003754FE" w:rsidRDefault="003754FE" w:rsidP="003754FE">
      <w:pPr>
        <w:pStyle w:val="TextoNormal"/>
      </w:pPr>
    </w:p>
    <w:p w14:paraId="44C83C5B" w14:textId="77777777" w:rsidR="003754FE" w:rsidRDefault="003754FE" w:rsidP="003754FE">
      <w:pPr>
        <w:pStyle w:val="TextoNormal"/>
      </w:pPr>
      <w:r>
        <w:t>Asimismo, no es sostenible la posición del Gobierno de Canarias cuando equipara las concesiones reguladas en el capítulo V del título III relativo a la “utilización del dominio público marítimo-terrestre” con las concesiones compensatorias reguladas en la disposición transitoria primera LC. En efecto, pese a la apuntada aproximación que se ha producido en la regulación legal de ambos tipos de concesiones, puesta de manifiesto por el Gobierno de Canarias a los efectos de encuadrar las concesiones compensatorias de la disposición transitoria primera en la competencia relativa a la ordenación del litoral, su régimen jurídico es distinto y alejado de dicho título competencial.</w:t>
      </w:r>
    </w:p>
    <w:p w14:paraId="7C042DDC" w14:textId="77777777" w:rsidR="003754FE" w:rsidRDefault="003754FE" w:rsidP="003754FE">
      <w:pPr>
        <w:pStyle w:val="TextoNormal"/>
      </w:pPr>
    </w:p>
    <w:p w14:paraId="74BADAEC" w14:textId="77777777" w:rsidR="003754FE" w:rsidRDefault="003754FE" w:rsidP="003754FE">
      <w:pPr>
        <w:pStyle w:val="TextoNormal"/>
      </w:pPr>
      <w:r>
        <w:t>En efecto, el originario carácter compensatorio de las concesiones de la disposición transitoria primera no se desnaturaliza como consecuencia del posible alargamiento del plazo de vigencia hasta setenta y cinco años: en primer lugar porque la regulación mantiene la exención en el pago del canon incompatible con la regulación de la concesiones de los arts. 64 y ss. LC; y, además, porque la prórroga de las concesiones de la disposición transitoria primera no altera su esencia, que se encuentra vinculada a las facultades de delimitación por el Estado del dominio público marítimo-terrestre, y por tanto, es ajena a “la actividad consistente en la delimitación de los diversos usos a que puede destinarse el suelo o espacio físico territorial” [STC 18/2022, de 8 de febrero, FJ 2 c), con cita de otras] que integra el objeto de la competencia de ordenación del litoral.</w:t>
      </w:r>
    </w:p>
    <w:p w14:paraId="684646CC" w14:textId="77777777" w:rsidR="003754FE" w:rsidRDefault="003754FE" w:rsidP="003754FE">
      <w:pPr>
        <w:pStyle w:val="TextoNormal"/>
      </w:pPr>
    </w:p>
    <w:p w14:paraId="3E06B682" w14:textId="77777777" w:rsidR="003754FE" w:rsidRDefault="003754FE" w:rsidP="003754FE">
      <w:pPr>
        <w:pStyle w:val="TextoNormal"/>
      </w:pPr>
      <w:r>
        <w:t xml:space="preserve">Como se ha expuesto, el otorgamiento y la regulación de las concesiones de la disposición transitoria primera LC aparecen estrechamente vinculados a la facultad legislativa que compete en exclusiva al Estado de determinar el régimen jurídico del dominio público marítimo-terrestre </w:t>
      </w:r>
      <w:r w:rsidRPr="003754FE">
        <w:rPr>
          <w:i/>
        </w:rPr>
        <w:t>ex</w:t>
      </w:r>
      <w:r>
        <w:t xml:space="preserve"> art. 132.2 CE. Esto es, a la finalidad de establecer las medidas que garanticen su integridad física y jurídica y aseguren su libre utilización. Dicha competencia exclusiva se materializó en la aprobación de la Ley de costas mediante la cual el Estado amplió el dominio público marítimo-terrestre en relación con las previsiones de la precedente Ley 28/1969, de 26 de abril, sobre costas y en la que dispuso que “[n]o podrán existir terrenos de propiedad distinta de la demanial del Estado en ninguna de las pertenencias del dominio público marítimo-terrestre” (art. 9.1 LC).</w:t>
      </w:r>
    </w:p>
    <w:p w14:paraId="3109E7A3" w14:textId="77777777" w:rsidR="003754FE" w:rsidRDefault="003754FE" w:rsidP="003754FE">
      <w:pPr>
        <w:pStyle w:val="TextoNormal"/>
      </w:pPr>
    </w:p>
    <w:p w14:paraId="28D72B5C" w14:textId="77777777" w:rsidR="003754FE" w:rsidRDefault="003754FE" w:rsidP="003754FE">
      <w:pPr>
        <w:pStyle w:val="TextoNormal"/>
      </w:pPr>
      <w:r>
        <w:lastRenderedPageBreak/>
        <w:t>De modo que el Estado, en cumplimiento de su obligación constitucional de adoptar todas las medidas que crea necesarias para preservar las características propias del demanio, impidió la pervivencia de enclaves de propiedad privada en la zona marítimo-terrestre y compensó por la privación de los mismos a sus titulares con la concesión temporal de un derecho de ocupación y aprovechamiento, sujeto a los usos y aprovechamientos existentes y llamado a extinguirse como garantía última del deslinde producido una vez transcurrido el plazo de treinta años y en su caso de la inicial y posterior prórroga prevista.</w:t>
      </w:r>
    </w:p>
    <w:p w14:paraId="64C9027F" w14:textId="77777777" w:rsidR="003754FE" w:rsidRDefault="003754FE" w:rsidP="003754FE">
      <w:pPr>
        <w:pStyle w:val="TextoNormal"/>
      </w:pPr>
    </w:p>
    <w:p w14:paraId="7990AC18" w14:textId="77777777" w:rsidR="003754FE" w:rsidRDefault="003754FE" w:rsidP="003754FE">
      <w:pPr>
        <w:pStyle w:val="TextoNormal"/>
      </w:pPr>
      <w:r>
        <w:t xml:space="preserve">Es por ello por lo que debemos afirmar que la vigencia de la concesión compensatoria se enmarca por una parte en la competencia exclusiva del Estado de establecer el régimen jurídico del dominio público marítimo-terrestre </w:t>
      </w:r>
      <w:r w:rsidRPr="003754FE">
        <w:rPr>
          <w:i/>
        </w:rPr>
        <w:t>ex</w:t>
      </w:r>
      <w:r>
        <w:t xml:space="preserve"> art. 132.2 CE, que comprende la posibilidad de “adoptar todas las medidas que crea necesarias para preservar sus características propias”, en especial aquellas encaminadas a evitar que la naturaleza de dichos bienes fuera destruida o alterada [STC 149/1991, FJ 1 C)]. Y, por otra parte, la misma se desvincula de la concesión </w:t>
      </w:r>
      <w:r w:rsidRPr="003754FE">
        <w:rPr>
          <w:i/>
        </w:rPr>
        <w:t>ex novo</w:t>
      </w:r>
      <w:r>
        <w:t xml:space="preserve"> de nuevos usos y aprovechamientos asociados a la ordenación del litoral, al no quedar afectada la concesión por las limitaciones y condicionamientos del art. 32 LC, sino que su pervivencia se sujeta únicamente al respeto de los usos y aprovechamientos existentes con anterioridad a la entrada en vigor de la Ley de costas y actualmente a las previsiones el apartado 3 del art. 20 de la Ley 7/2021.</w:t>
      </w:r>
    </w:p>
    <w:p w14:paraId="79805454" w14:textId="77777777" w:rsidR="003754FE" w:rsidRDefault="003754FE" w:rsidP="003754FE">
      <w:pPr>
        <w:pStyle w:val="TextoNormal"/>
      </w:pPr>
    </w:p>
    <w:p w14:paraId="170F6EF8" w14:textId="77777777" w:rsidR="003754FE" w:rsidRDefault="003754FE" w:rsidP="003754FE">
      <w:pPr>
        <w:pStyle w:val="TextoNormal"/>
      </w:pPr>
      <w:r>
        <w:t xml:space="preserve">De este modo, como hemos adelantado, la decisión de caducidad de la concesión no se encuadra en la ordenación del litoral, sino que se enmarca en la competencia exclusiva del Estado de definir y establecer el régimen jurídico del dominio público marítimo-terrestre </w:t>
      </w:r>
      <w:r w:rsidRPr="003754FE">
        <w:rPr>
          <w:i/>
        </w:rPr>
        <w:t>ex</w:t>
      </w:r>
      <w:r>
        <w:t xml:space="preserve"> art. 132.2 CE, orientada a preservar sus características propias y a evitar que la naturaleza de los bienes que lo integran sea destruida o alterada. La declaración de caducidad no es, en consecuencia, un acto de ejecución de la normativa sobre la ordenación del litoral competencia exclusiva de la Comunidad Autónoma de Canarias y ajena a las constitucionalmente reservadas al Estado, sino complemento normativo e integrador de los preceptos que determinan el régimen jurídico del dominio público marítimo-terrestre </w:t>
      </w:r>
      <w:r w:rsidRPr="003754FE">
        <w:rPr>
          <w:i/>
        </w:rPr>
        <w:t>ex</w:t>
      </w:r>
      <w:r>
        <w:t xml:space="preserve"> art. 132.2 CE en la Ley de costas al poner fin a la excepcionalidad que suponen tales concesiones en relación con la protección del dominio público marítimo-terrestre.</w:t>
      </w:r>
    </w:p>
    <w:p w14:paraId="7735B91E" w14:textId="77777777" w:rsidR="003754FE" w:rsidRDefault="003754FE" w:rsidP="003754FE">
      <w:pPr>
        <w:pStyle w:val="TextoNormal"/>
      </w:pPr>
    </w:p>
    <w:p w14:paraId="1F81C8A2" w14:textId="77777777" w:rsidR="003754FE" w:rsidRDefault="003754FE" w:rsidP="003754FE">
      <w:pPr>
        <w:pStyle w:val="TextoNormal"/>
      </w:pPr>
      <w:r>
        <w:t>De modo similar nos pronunciamos —como hemos recordado en el fundamento anterior— al sostener que se integraba en la competencia del Estado la autorización excepcional de actividades e instalaciones prohibidas que los arts. 25.3 y 32 LC —por razones de utilidad pública— atribuyen al Consejo de Ministros, al actuar dicha autorización como complemento indispensable de la normativa protectora [SSTC 149/1991, FFJJ 3 D) c) y 4 B) b), y 34/2014, de 27 de febrero, FJ 3] y en consecuencia no poderse considerar dicha atribución un acto de ejecución de las normas protectoras, sino parte integrante del contenido de la norma total.</w:t>
      </w:r>
    </w:p>
    <w:p w14:paraId="3AD33AF2" w14:textId="77777777" w:rsidR="003754FE" w:rsidRDefault="003754FE" w:rsidP="003754FE">
      <w:pPr>
        <w:pStyle w:val="TextoNormal"/>
      </w:pPr>
    </w:p>
    <w:p w14:paraId="0225A543" w14:textId="64108F87" w:rsidR="003754FE" w:rsidRDefault="003754FE" w:rsidP="003754FE">
      <w:pPr>
        <w:pStyle w:val="TextoNormal"/>
      </w:pPr>
      <w:r>
        <w:t xml:space="preserve">Expuesto lo anterior, debemos desestimar el conflicto positivo de competencia promovido por el Gobierno de Canarias contra la resolución de 27 de febrero de 2024 de la ministra para la Transición Ecológica y el Reto Demográfico por la que se declara la caducidad de la concesión otorgada por la Orden Ministerial de 8 de julio de 2003, a la entidad mercantil Geafond Número Uno Lanzarote, S.A., para la ocupación y aprovechamiento del dominio público y declarar que le corresponde a la administración general del Estado la competencia para resolver la caducidad de una concesión de uso y aprovechamiento del dominio público </w:t>
      </w:r>
      <w:r>
        <w:lastRenderedPageBreak/>
        <w:t>marítimo-terrestre sujeta al régimen jurídico de la disposición transitoria primera de la Ley de costas.</w:t>
      </w:r>
    </w:p>
    <w:p w14:paraId="60053DFD" w14:textId="77777777" w:rsidR="003754FE" w:rsidRDefault="003754FE" w:rsidP="003754FE">
      <w:pPr>
        <w:pStyle w:val="TextoNormal"/>
      </w:pPr>
    </w:p>
    <w:p w14:paraId="4A7B0F42" w14:textId="77777777" w:rsidR="003754FE" w:rsidRDefault="003754FE" w:rsidP="003754FE">
      <w:pPr>
        <w:pStyle w:val="TextoNormalCentrado"/>
        <w:keepNext/>
      </w:pPr>
      <w:r>
        <w:t>FALLO</w:t>
      </w:r>
    </w:p>
    <w:p w14:paraId="4D923250" w14:textId="7CA113A1" w:rsidR="003754FE" w:rsidRDefault="003754FE" w:rsidP="003754FE">
      <w:pPr>
        <w:pStyle w:val="TextoNormalCentrado"/>
        <w:keepNext/>
      </w:pPr>
    </w:p>
    <w:p w14:paraId="4B2A8C06" w14:textId="77777777" w:rsidR="003754FE" w:rsidRDefault="003754FE" w:rsidP="003754FE">
      <w:pPr>
        <w:pStyle w:val="TextoNormal"/>
      </w:pPr>
      <w:r>
        <w:t>En atención a todo lo expuesto, el Tribunal Constitucional, por la autoridad que le confiere la Constitución de la Nación española, ha decidido desestimar el conflicto positivo de competencia núm. 3870-2024 planteado por el Gobierno de la Comunidad Autónoma de Canarias contra la resolución de 27 de febrero de 2024, de la ministra para la Transición Ecológica y el Reto Demográfico por la que se declara la caducidad de la concesión otorgada, por la Orden Ministerial de 8 de julio de 2003, a la entidad mercantil Geafond Número Uno Lanzarote, S.A., para la ocupación y aprovechamiento del dominio público.</w:t>
      </w:r>
    </w:p>
    <w:p w14:paraId="5D80C445" w14:textId="77777777" w:rsidR="003754FE" w:rsidRDefault="003754FE" w:rsidP="003754FE">
      <w:pPr>
        <w:pStyle w:val="TextoNormal"/>
      </w:pPr>
    </w:p>
    <w:p w14:paraId="72F88535" w14:textId="2FF6667B" w:rsidR="003754FE" w:rsidRDefault="003754FE" w:rsidP="003754FE">
      <w:pPr>
        <w:pStyle w:val="TextoNormal"/>
      </w:pPr>
      <w:r>
        <w:t>Asimismo, procede declarar la titularidad de la competencia para resolver la caducidad de la referida concesión al Gobierno de la Nación.</w:t>
      </w:r>
    </w:p>
    <w:p w14:paraId="43A7BEBC" w14:textId="77777777" w:rsidR="003754FE" w:rsidRDefault="003754FE" w:rsidP="003754FE">
      <w:pPr>
        <w:pStyle w:val="TextoNormal"/>
      </w:pPr>
    </w:p>
    <w:p w14:paraId="721B2625" w14:textId="77777777" w:rsidR="003754FE" w:rsidRDefault="003754FE" w:rsidP="003754FE">
      <w:pPr>
        <w:pStyle w:val="TextoNormal"/>
      </w:pPr>
      <w:r>
        <w:t>Publíquese esta sentencia en el “Boletín Oficial del Estado”.</w:t>
      </w:r>
    </w:p>
    <w:p w14:paraId="296AD429" w14:textId="77777777" w:rsidR="003754FE" w:rsidRDefault="003754FE" w:rsidP="003754FE">
      <w:pPr>
        <w:pStyle w:val="TextoNormal"/>
      </w:pPr>
      <w:r>
        <w:t>Dada en Madrid, a veinticinco de septiembre de dos mil veinticuatro.</w:t>
      </w:r>
    </w:p>
    <w:p w14:paraId="51B79D03" w14:textId="0C0F5CC1" w:rsidR="003754FE" w:rsidRDefault="003754FE">
      <w:pPr>
        <w:spacing w:after="160" w:line="278" w:lineRule="auto"/>
        <w:rPr>
          <w:rFonts w:ascii="Times New Roman" w:eastAsia="Times New Roman" w:hAnsi="Times New Roman" w:cs="Times New Roman"/>
          <w:sz w:val="24"/>
          <w:szCs w:val="24"/>
          <w:lang w:eastAsia="es-ES"/>
        </w:rPr>
      </w:pPr>
      <w:r>
        <w:br w:type="page"/>
      </w:r>
    </w:p>
    <w:p w14:paraId="73575822" w14:textId="77777777" w:rsidR="003754FE" w:rsidRDefault="003754FE" w:rsidP="003754FE">
      <w:pPr>
        <w:pStyle w:val="TtuloResolucin"/>
      </w:pPr>
      <w:bookmarkStart w:id="29" w:name="SENTENCIA_2024_120"/>
      <w:r>
        <w:lastRenderedPageBreak/>
        <w:t>SENTENCIA 120/2024, de 8 de octubre de 2024</w:t>
      </w:r>
    </w:p>
    <w:bookmarkEnd w:id="29"/>
    <w:p w14:paraId="5E74DD1C" w14:textId="77777777" w:rsidR="003754FE" w:rsidRDefault="003754FE" w:rsidP="003754FE">
      <w:pPr>
        <w:pStyle w:val="TtuloResolucin"/>
      </w:pPr>
      <w:r>
        <w:t>Pleno</w:t>
      </w:r>
    </w:p>
    <w:p w14:paraId="48017091" w14:textId="77777777" w:rsidR="003754FE" w:rsidRDefault="003754FE" w:rsidP="003754FE">
      <w:pPr>
        <w:pStyle w:val="TtuloBOE"/>
      </w:pPr>
      <w:r>
        <w:t>(BOE núm. 277, de 16 de noviembre de 2024)</w:t>
      </w:r>
    </w:p>
    <w:p w14:paraId="3834BFB5" w14:textId="77777777" w:rsidR="003754FE" w:rsidRDefault="003754FE" w:rsidP="003754FE">
      <w:pPr>
        <w:pStyle w:val="TextoNormalCentrado"/>
      </w:pPr>
      <w:r>
        <w:t>ECLI:ES:TC:2024:120</w:t>
      </w:r>
    </w:p>
    <w:p w14:paraId="423CC4D5" w14:textId="3057ED3B" w:rsidR="003754FE" w:rsidRDefault="003754FE" w:rsidP="003754FE">
      <w:pPr>
        <w:pStyle w:val="TextoNormalCentrado"/>
      </w:pPr>
    </w:p>
    <w:p w14:paraId="455A7131" w14:textId="77777777" w:rsidR="003754FE" w:rsidRDefault="003754FE" w:rsidP="003754FE">
      <w:pPr>
        <w:pStyle w:val="SntesisDescriptiva"/>
      </w:pPr>
      <w:r>
        <w:t>Recurso de inconstitucionalidad 3955-2022. Interpuesto por más de cincuenta diputados del Grupo Parlamentario Popular en el Congreso en relación con la Ley del Parlamento de Cataluña 1/2022, de 3 de marzo, de modificación de la Ley 18/2007, la Ley 24/2015 y la Ley 4/2016, para afrontar la emergencia en el ámbito de la vivienda.</w:t>
      </w:r>
    </w:p>
    <w:p w14:paraId="15F8FCE5" w14:textId="0F8A3D32" w:rsidR="003754FE" w:rsidRDefault="003754FE" w:rsidP="003754FE">
      <w:pPr>
        <w:pStyle w:val="SntesisDescriptiva"/>
      </w:pPr>
    </w:p>
    <w:p w14:paraId="53372E14" w14:textId="77777777" w:rsidR="003754FE" w:rsidRDefault="003754FE" w:rsidP="003754FE">
      <w:pPr>
        <w:pStyle w:val="SntesisAnaltica"/>
      </w:pPr>
      <w:r>
        <w:t>Competencias sobre condiciones básicas de igualdad en el ejercicio del derecho de propiedad, legislación procesal y bases de las obligaciones contractuales: nulidad de los preceptos legales autonómicos que imponen la obligación de ofrecer una propuesta de alquiler social antes de interponer una demanda judicial, así como la renovación de los contratos de alquiler social obligatorio y establecen la subrogación de las personas jurídicas adquirentes de vivienda en las consecuencias del incumplimiento de la función social de la propiedad; nulidad parcial de la regulación del ofrecimiento de propuesta de alquiler social. Votos particulares.</w:t>
      </w:r>
    </w:p>
    <w:p w14:paraId="6B2D84BB" w14:textId="470CDAEA" w:rsidR="003754FE" w:rsidRDefault="003754FE" w:rsidP="003754FE">
      <w:pPr>
        <w:pStyle w:val="SntesisAnaltica"/>
      </w:pPr>
    </w:p>
    <w:p w14:paraId="110FA9BB" w14:textId="3B384869" w:rsidR="003754FE" w:rsidRDefault="003754FE" w:rsidP="003754FE">
      <w:pPr>
        <w:pStyle w:val="Extracto"/>
      </w:pPr>
      <w:r>
        <w:t>1.</w:t>
      </w:r>
      <w:r>
        <w:tab/>
        <w:t>El derecho a la propiedad privada que la Constitución reconoce y protege tiene una vertiente institucional, derivada de la función social que cada categoría de bienes sobre los que se ejerce el señorío dominical está llamado a cumplir; lo que supone la definitiva incorporación del interés general junto al puro interés individual del titular de cada derecho de propiedad. Esta delimitación opera en la legislación civil, y en aquellas otras leyes que cuidan de los intereses públicos a los que se vincula la propiedad privada (STC 16/2018) [FJ 4].</w:t>
      </w:r>
    </w:p>
    <w:p w14:paraId="7855CF58" w14:textId="77777777" w:rsidR="003754FE" w:rsidRDefault="003754FE" w:rsidP="003754FE">
      <w:pPr>
        <w:pStyle w:val="Extracto"/>
      </w:pPr>
    </w:p>
    <w:p w14:paraId="1AD2B8CA" w14:textId="44C1AFA3" w:rsidR="003754FE" w:rsidRDefault="003754FE" w:rsidP="003754FE">
      <w:pPr>
        <w:pStyle w:val="Extracto"/>
      </w:pPr>
      <w:r>
        <w:t>2.</w:t>
      </w:r>
      <w:r>
        <w:tab/>
        <w:t>La delimitación del contenido del derecho de propiedad no se opera solo en la legislación civil, sino también en aquellas otras leyes que cuidan principalmente de los intereses públicos a los que se vincula la propiedad privada. Así sucede, entre otras materias, en el caso de la legislación en materia de vivienda, cuyos objetivos conducen a una regulación de su propiedad que se superpone a la legislación civil propiamente dicha (STC 37/1987) [FJ 4].</w:t>
      </w:r>
    </w:p>
    <w:p w14:paraId="09C84F83" w14:textId="77777777" w:rsidR="003754FE" w:rsidRDefault="003754FE" w:rsidP="003754FE">
      <w:pPr>
        <w:pStyle w:val="Extracto"/>
      </w:pPr>
    </w:p>
    <w:p w14:paraId="47440079" w14:textId="36BF3688" w:rsidR="003754FE" w:rsidRDefault="003754FE" w:rsidP="003754FE">
      <w:pPr>
        <w:pStyle w:val="Extracto"/>
      </w:pPr>
      <w:r>
        <w:t>3.</w:t>
      </w:r>
      <w:r>
        <w:tab/>
        <w:t>De acuerdo con el art. 149.1.6 CE, la legislación procesal constituye una competencia exclusiva del Estado; y la competencia atribuida a las comunidades autónomas por este precepto constitucional tiene un carácter limitado, pues está circunscrita a las necesarias especialidades que en ese orden se deriven de las particularidades de derecho sustantivo de las comunidades autónomas (SSTC 28/2022 y 57/2022) [FJ 5].</w:t>
      </w:r>
    </w:p>
    <w:p w14:paraId="568270B4" w14:textId="77777777" w:rsidR="003754FE" w:rsidRDefault="003754FE" w:rsidP="003754FE">
      <w:pPr>
        <w:pStyle w:val="Extracto"/>
      </w:pPr>
    </w:p>
    <w:p w14:paraId="2CAB4C94" w14:textId="662C325E" w:rsidR="003754FE" w:rsidRDefault="003754FE" w:rsidP="003754FE">
      <w:pPr>
        <w:pStyle w:val="Extracto"/>
      </w:pPr>
      <w:r>
        <w:t>4.</w:t>
      </w:r>
      <w:r>
        <w:tab/>
        <w:t>La competencia autonómica en materia de vivienda permite a la comunidad autónoma desarrollar la actividad a que se refiere su Estatuto pero no establecer un requisito de acceso al proceso no previsto por el legislador estatal (SSTC 28/2022 o 57/2022) [FJ 5].</w:t>
      </w:r>
    </w:p>
    <w:p w14:paraId="1F823D80" w14:textId="77777777" w:rsidR="003754FE" w:rsidRDefault="003754FE" w:rsidP="003754FE">
      <w:pPr>
        <w:pStyle w:val="Extracto"/>
      </w:pPr>
    </w:p>
    <w:p w14:paraId="1BAB25A3" w14:textId="6CF59EF6" w:rsidR="003754FE" w:rsidRDefault="003754FE" w:rsidP="003754FE">
      <w:pPr>
        <w:pStyle w:val="Extracto"/>
      </w:pPr>
      <w:r>
        <w:t>5.</w:t>
      </w:r>
      <w:r>
        <w:tab/>
        <w:t xml:space="preserve">La vivienda, cuya protección se configura como un principio rector de la política social y económica en el art. 47 CE, constituye, especialmente en el caso de la </w:t>
      </w:r>
      <w:r>
        <w:lastRenderedPageBreak/>
        <w:t>vivienda habitacional, el soporte y marco imprescindible para el ejercicio de varios derechos fundamentales estrechamente vinculados con la dignidad de la persona y el libre desarrollo de la personalidad (art. 10.1 CE). Entre ellos se encuentran señaladamente los derechos a la intimidad personal y familiar -art. 18.1 CE- y a la inviolabilidad del domicilio -art. 18.2 CE- (STC 37/2022) [FJ 5].</w:t>
      </w:r>
    </w:p>
    <w:p w14:paraId="250926C2" w14:textId="77777777" w:rsidR="003754FE" w:rsidRDefault="003754FE" w:rsidP="003754FE">
      <w:pPr>
        <w:pStyle w:val="Extracto"/>
      </w:pPr>
    </w:p>
    <w:p w14:paraId="5D2ED9EC" w14:textId="4BFEE75E" w:rsidR="003754FE" w:rsidRDefault="003754FE" w:rsidP="003754FE">
      <w:pPr>
        <w:pStyle w:val="Extracto"/>
      </w:pPr>
      <w:r>
        <w:t>6.</w:t>
      </w:r>
      <w:r>
        <w:tab/>
        <w:t>La vivienda constituye un importante activo patrimonial y, por ende, el objeto de un sector del mercado -el mercado inmobiliario-, lo cual le otorga una innegable relevancia desde la perspectiva de la actividad económica, el mercado único y la regulación del tráfico patrimonial privado (STC 37/2022) [FJ 5].</w:t>
      </w:r>
    </w:p>
    <w:p w14:paraId="25D987F7" w14:textId="77777777" w:rsidR="003754FE" w:rsidRDefault="003754FE" w:rsidP="003754FE">
      <w:pPr>
        <w:pStyle w:val="Extracto"/>
      </w:pPr>
    </w:p>
    <w:p w14:paraId="6BF4412D" w14:textId="71972C63" w:rsidR="003754FE" w:rsidRDefault="003754FE" w:rsidP="003754FE">
      <w:pPr>
        <w:pStyle w:val="Extracto"/>
      </w:pPr>
      <w:r>
        <w:t>7.</w:t>
      </w:r>
      <w:r>
        <w:tab/>
        <w:t>La Constitución atribuye al Estado en el art. 149.1.8 toda la competencia en materia de legislación civil, dejando a salvo la posibilidad de que las comunidades autónomas puedan conservar, modificar y desarrollar su Derecho civil especial o foral, allí donde los haya, con la excepción de las materias que el art. 149.1.8 CE atribuye en todo caso al Estado. Entre esas materias que se reservan en exclusiva al legislador estatal se encuentran las bases de las obligaciones contractuales [FJ 5].</w:t>
      </w:r>
    </w:p>
    <w:p w14:paraId="31B4D4E3" w14:textId="77777777" w:rsidR="003754FE" w:rsidRDefault="003754FE" w:rsidP="003754FE">
      <w:pPr>
        <w:pStyle w:val="Extracto"/>
      </w:pPr>
    </w:p>
    <w:p w14:paraId="243B3461" w14:textId="76921E96" w:rsidR="003754FE" w:rsidRDefault="003754FE" w:rsidP="003754FE">
      <w:pPr>
        <w:pStyle w:val="Extracto"/>
      </w:pPr>
      <w:r>
        <w:t>8.</w:t>
      </w:r>
      <w:r>
        <w:tab/>
        <w:t>El art. 149.1.8 CE atribuye al Estado la competencia para establecer los criterios de ordenación general del sector de la contratación privada en aquellos territorios autonómicos que cuenten con legislación propia, pero no le permite regular pormenorizadamente aspectos materiales concretos de estas obligaciones, pues tal regulación menoscabaría las competencias de las comunidades autónomas que tengan un Derecho civil foral o especial propio (SSTC 223/2000 y 34/2013) [FJ 5].</w:t>
      </w:r>
    </w:p>
    <w:p w14:paraId="13B7A8F4" w14:textId="77777777" w:rsidR="003754FE" w:rsidRDefault="003754FE" w:rsidP="003754FE">
      <w:pPr>
        <w:pStyle w:val="Extracto"/>
      </w:pPr>
    </w:p>
    <w:p w14:paraId="372D025B" w14:textId="6A29E834" w:rsidR="003754FE" w:rsidRDefault="003754FE" w:rsidP="003754FE">
      <w:pPr>
        <w:pStyle w:val="Extracto"/>
      </w:pPr>
      <w:r>
        <w:t>9.</w:t>
      </w:r>
      <w:r>
        <w:tab/>
        <w:t>Partiendo de la idea de que existe una situación de concurrencia de competencias estatal y autonómica sobre la legislación civil contractual, el carácter básico de la normativa estatal determinará que la norma autonómica haya de ajustarse a los límites establecidos por esta regulación, pues si no la respeta se vulnerará de modo mediato el art. 149.1.8 CE [FJ 5].</w:t>
      </w:r>
    </w:p>
    <w:p w14:paraId="67601A63" w14:textId="77777777" w:rsidR="003754FE" w:rsidRDefault="003754FE" w:rsidP="003754FE">
      <w:pPr>
        <w:pStyle w:val="Extracto"/>
      </w:pPr>
    </w:p>
    <w:p w14:paraId="14170ACC" w14:textId="230B48C1" w:rsidR="003754FE" w:rsidRDefault="003754FE" w:rsidP="003754FE">
      <w:pPr>
        <w:pStyle w:val="Extracto"/>
      </w:pPr>
      <w:r>
        <w:t>10.</w:t>
      </w:r>
      <w:r>
        <w:tab/>
        <w:t>Cuando el art. 149.1.8 CE hace referencia a la competencia exclusiva del Estado para dictar las bases de las obligaciones contractuales está aludiendo al núcleo esencial de la estructura de los contratos y a los principios que deben informar su regulación, pero no puede considerarse que el libro IV del Código civil -Obligaciones y Contratos- contenga una regulación que impida a las comunidades autónomas con competencias en esta materia que puedan dictar regulación alguna [FJ 5].</w:t>
      </w:r>
    </w:p>
    <w:p w14:paraId="3A4F55F4" w14:textId="77777777" w:rsidR="003754FE" w:rsidRDefault="003754FE" w:rsidP="003754FE">
      <w:pPr>
        <w:pStyle w:val="Extracto"/>
      </w:pPr>
    </w:p>
    <w:p w14:paraId="17860E9A" w14:textId="50781381" w:rsidR="003754FE" w:rsidRDefault="003754FE" w:rsidP="003754FE">
      <w:pPr>
        <w:pStyle w:val="Extracto"/>
      </w:pPr>
      <w:r>
        <w:t>11.</w:t>
      </w:r>
      <w:r>
        <w:tab/>
        <w:t>Las ‘bases de las obligaciones contractuales’ a las que se refiere el art. 149.1.8 CE no constituyen el punto de partida abierto al desarrollo de las comunidades autónomas sino que, por el contrario, son exclusivamente un límite a la actividad legislativa de estas. La finalidad de la reserva estatal en materia de Derecho de contratos estriba en la necesidad de garantizar un común denominador en los principios que deben regir las obligaciones contractuales, lo que se logra cuando las categorías generales son las mismas en todo el territorio nacional [FJ 5].</w:t>
      </w:r>
    </w:p>
    <w:p w14:paraId="3F4D9CCD" w14:textId="77777777" w:rsidR="003754FE" w:rsidRDefault="003754FE" w:rsidP="003754FE">
      <w:pPr>
        <w:pStyle w:val="Extracto"/>
      </w:pPr>
    </w:p>
    <w:p w14:paraId="5780400B" w14:textId="3818139B" w:rsidR="003754FE" w:rsidRDefault="003754FE" w:rsidP="003754FE">
      <w:pPr>
        <w:pStyle w:val="Extracto"/>
      </w:pPr>
      <w:r>
        <w:lastRenderedPageBreak/>
        <w:t>12.</w:t>
      </w:r>
      <w:r>
        <w:tab/>
        <w:t>Aunque el legislador civil estatal no haya concretado lo que ha de entenderse por legislación básica en materia de contratos, puede considerarse como tal la comprendida en los principios desarrollados en los títulos I y II del libro IV del Código Civil (arts. 1088 a 1314), especialmente las normas relativas a las fuentes de las obligaciones (art. 1089 y ss. CC), a la fuerza vinculante del contrato (art. 1091 CC) y las que regulan sus elementos esenciales y efectos (arts. 1254 a 1280 CC) [FJ 5].</w:t>
      </w:r>
    </w:p>
    <w:p w14:paraId="4FC33619" w14:textId="77777777" w:rsidR="003754FE" w:rsidRDefault="003754FE" w:rsidP="003754FE">
      <w:pPr>
        <w:pStyle w:val="Extracto"/>
      </w:pPr>
    </w:p>
    <w:p w14:paraId="6FE50DAA" w14:textId="740A4A80" w:rsidR="003754FE" w:rsidRDefault="003754FE" w:rsidP="003754FE">
      <w:pPr>
        <w:pStyle w:val="Extracto"/>
      </w:pPr>
      <w:r>
        <w:t>13.</w:t>
      </w:r>
      <w:r>
        <w:tab/>
        <w:t>Con “carácter básico” deben tomarse los principios materiales que se extraen de estas normas tales como la autonomía de la voluntad, la prevalencia del principio espiritualista en la perfección del contrato, la eficacia obligacional del contrato en relación con los modos de traslación del dominio; la obligatoriedad del contrato, la buena fe contractual, el sistema de responsabilidad por incumplimiento, la responsabilidad universal del deudor, los requisitos de la validez y eficacia del contrato o la defensa de los consumidores [FJ 5].</w:t>
      </w:r>
    </w:p>
    <w:p w14:paraId="251DF543" w14:textId="77777777" w:rsidR="003754FE" w:rsidRDefault="003754FE" w:rsidP="003754FE">
      <w:pPr>
        <w:pStyle w:val="Extracto"/>
      </w:pPr>
    </w:p>
    <w:p w14:paraId="64E2500C" w14:textId="17DCA7EA" w:rsidR="003754FE" w:rsidRDefault="003754FE" w:rsidP="003754FE">
      <w:pPr>
        <w:pStyle w:val="Extracto"/>
      </w:pPr>
      <w:r>
        <w:t>14.</w:t>
      </w:r>
      <w:r>
        <w:tab/>
        <w:t>Cuando el art. 149.1.8 CE reserva al Estado la fijación de las bases de las obligaciones contractuales no se la otorga para regular concreta y detalladamente un determinado tipo contractual, sino para dictar aquellas normas que sean esenciales para preservar una estructura de relaciones contractuales con idéntica lógica interna, auspiciada por los mismos principios materiales e igual para todos los agentes económicos en todo el territorio nacional [FJ 5].</w:t>
      </w:r>
    </w:p>
    <w:p w14:paraId="539C65DC" w14:textId="77777777" w:rsidR="003754FE" w:rsidRDefault="003754FE" w:rsidP="003754FE">
      <w:pPr>
        <w:pStyle w:val="Extracto"/>
      </w:pPr>
    </w:p>
    <w:p w14:paraId="3EAFEA55" w14:textId="6C930848" w:rsidR="003754FE" w:rsidRDefault="003754FE" w:rsidP="003754FE">
      <w:pPr>
        <w:pStyle w:val="Extracto"/>
      </w:pPr>
      <w:r>
        <w:t>15.</w:t>
      </w:r>
      <w:r>
        <w:tab/>
        <w:t>Las bases deben referirse con carácter general y común a todos los contratos o categorías amplias de los mismos y no pueden comprender la regulación de cada tipo contractual, salvo en la parte y medida que esta suponga una concreción complementaria de las reglas generales o generalizables a la clase a que por su naturaleza jurídica pertenece y, en todo caso, deben quedar opciones diversas para que el legislador autonómico pueda ejercitar su competencia (STC 71/1982) [FJ 5].</w:t>
      </w:r>
    </w:p>
    <w:p w14:paraId="3DBB54B0" w14:textId="77777777" w:rsidR="003754FE" w:rsidRDefault="003754FE" w:rsidP="003754FE">
      <w:pPr>
        <w:pStyle w:val="Extracto"/>
      </w:pPr>
    </w:p>
    <w:p w14:paraId="3C5268F5" w14:textId="21131EC6" w:rsidR="003754FE" w:rsidRDefault="003754FE" w:rsidP="003754FE">
      <w:pPr>
        <w:pStyle w:val="Extracto"/>
      </w:pPr>
      <w:r>
        <w:t>16.</w:t>
      </w:r>
      <w:r>
        <w:tab/>
        <w:t>El art. 25 CE se relaciona con el incumplimiento del principio de culpabilidad, principio que, como este tribunal ha declarado de manera reiterada, alcanza en la Constitución la consideración de principio estructural básico tanto del Derecho penal como del Derecho administrativo sancionador, y en virtud del cual queda proscrita la imposición de sanciones sin atender a la conducta del sancionado (SSTC 76/1990 o 86/2017) [FJ 7].</w:t>
      </w:r>
    </w:p>
    <w:p w14:paraId="3F49E456" w14:textId="77777777" w:rsidR="003754FE" w:rsidRDefault="003754FE" w:rsidP="003754FE">
      <w:pPr>
        <w:pStyle w:val="Extracto"/>
      </w:pPr>
    </w:p>
    <w:p w14:paraId="1E14F838" w14:textId="37DC39C9" w:rsidR="003754FE" w:rsidRDefault="003754FE" w:rsidP="003754FE">
      <w:pPr>
        <w:pStyle w:val="Extracto"/>
      </w:pPr>
      <w:r>
        <w:t>17.</w:t>
      </w:r>
      <w:r>
        <w:tab/>
        <w:t>El principio de culpabilidad proscribe la responsabilidad objetiva o sin culpa, exigiendo no solo la autoría de la acción o de la omisión sancionables, sino también la necesidad de determinar la presencia de dolo o imprudencia (STC 76/2022); ello implica el principio de la responsabilidad personal por hechos propios y no ajenos -principio de la personalidad de la pena o sanción- (STC 185/2014) [FJ 7].</w:t>
      </w:r>
    </w:p>
    <w:p w14:paraId="524471DA" w14:textId="77777777" w:rsidR="003754FE" w:rsidRDefault="003754FE" w:rsidP="003754FE">
      <w:pPr>
        <w:pStyle w:val="Extracto"/>
      </w:pPr>
    </w:p>
    <w:p w14:paraId="2E5088F9" w14:textId="351CA2B8" w:rsidR="003754FE" w:rsidRDefault="003754FE" w:rsidP="003754FE">
      <w:pPr>
        <w:pStyle w:val="Extracto"/>
      </w:pPr>
      <w:r>
        <w:t>18.</w:t>
      </w:r>
      <w:r>
        <w:tab/>
        <w:t>La imposición, a la persona jurídica adquirente de la propiedad de una vivienda, de una especie de responsabilidad objetiva aneja a la vivienda que adquiere, que le lleva a tener que responder incluso por hechos ajenos, resulta contrario al principio de culpabilidad y, en definitiva, infringe el art. 25 CE [FJ 7].</w:t>
      </w:r>
    </w:p>
    <w:p w14:paraId="2AA09F87" w14:textId="77777777" w:rsidR="003754FE" w:rsidRDefault="003754FE" w:rsidP="003754FE">
      <w:pPr>
        <w:pStyle w:val="Extracto"/>
      </w:pPr>
    </w:p>
    <w:p w14:paraId="0C6E9901" w14:textId="7757F19D" w:rsidR="003754FE" w:rsidRDefault="003754FE" w:rsidP="003754FE">
      <w:pPr>
        <w:pStyle w:val="Extracto"/>
      </w:pPr>
      <w:r>
        <w:lastRenderedPageBreak/>
        <w:t>19.</w:t>
      </w:r>
      <w:r>
        <w:tab/>
        <w:t>No puede hablarse con carácter absoluto de la irreversibilidad de ninguna previsión legal, ni siquiera del desarrollo legal atribuido a ningún derecho, porque tal tesis implicaría el sacrificio de otros valores constitucionales como el pluralismo político, que permite al legislador, allí donde la Constitución le atribuye el desarrollo de una previsión constitucional, adoptar una u otra opción legislativa atendiendo a diversas prioridades políticas. Y este tribunal no está llamado a valorar la oportunidad de dichas decisiones políticas, puesto que no nos compete la formulación de juicio político alguno (STC 140/2018) [FJ 8].</w:t>
      </w:r>
    </w:p>
    <w:p w14:paraId="51C32C53" w14:textId="77777777" w:rsidR="003754FE" w:rsidRDefault="003754FE" w:rsidP="003754FE">
      <w:pPr>
        <w:pStyle w:val="Extracto"/>
      </w:pPr>
    </w:p>
    <w:p w14:paraId="53F47BCC" w14:textId="0BF53C1E" w:rsidR="003754FE" w:rsidRDefault="003754FE" w:rsidP="003754FE">
      <w:pPr>
        <w:pStyle w:val="Extracto"/>
      </w:pPr>
      <w:r>
        <w:t>20.</w:t>
      </w:r>
      <w:r>
        <w:tab/>
        <w:t>Dos son las condiciones para que prospere la objeción de inconstitucionalidad sobre la eventual arbitrariedad del legislador: por un lado, que quien formule esa censura la razone en detalle, ofreciendo una justificación para destruir la presunción de constitucionalidad de la ley impugnada (SSTC 108/1988 y 120/2000). Y, desde un punto de vista material, que la arbitrariedad denunciada sea el resultado, bien de una discriminación normativa, bien de la carencia absoluta de explicación racional de la medida adoptada, sin que sea pertinente realizar un análisis a fondo de todas las motivaciones posibles de la norma y de todas sus eventuales consecuencias (SSTC 118/2016 o 51/2018) [FJ 8].</w:t>
      </w:r>
    </w:p>
    <w:p w14:paraId="357899B3" w14:textId="77777777" w:rsidR="003754FE" w:rsidRDefault="003754FE" w:rsidP="003754FE">
      <w:pPr>
        <w:pStyle w:val="Extracto"/>
      </w:pPr>
    </w:p>
    <w:p w14:paraId="060FC6FB" w14:textId="77777777" w:rsidR="003754FE" w:rsidRDefault="003754FE" w:rsidP="003754FE">
      <w:pPr>
        <w:pStyle w:val="Extracto"/>
      </w:pPr>
    </w:p>
    <w:p w14:paraId="59886E2F"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17B515DC" w14:textId="3CE5DE28" w:rsidR="003754FE" w:rsidRDefault="003754FE" w:rsidP="003754FE">
      <w:pPr>
        <w:pStyle w:val="TextoNormal"/>
      </w:pPr>
    </w:p>
    <w:p w14:paraId="52AD6E4F" w14:textId="77777777" w:rsidR="003754FE" w:rsidRDefault="003754FE" w:rsidP="003754FE">
      <w:pPr>
        <w:pStyle w:val="TextoNormalCentrado"/>
        <w:keepNext/>
      </w:pPr>
      <w:r>
        <w:t>EN NOMBRE DEL REY</w:t>
      </w:r>
    </w:p>
    <w:p w14:paraId="6F45FB8D" w14:textId="6AD04329" w:rsidR="003754FE" w:rsidRDefault="003754FE" w:rsidP="003754FE">
      <w:pPr>
        <w:pStyle w:val="TextoNormalCentrado"/>
        <w:keepNext/>
      </w:pPr>
    </w:p>
    <w:p w14:paraId="25B7357E" w14:textId="77777777" w:rsidR="003754FE" w:rsidRDefault="003754FE" w:rsidP="003754FE">
      <w:pPr>
        <w:pStyle w:val="TextoNormalCentrado"/>
        <w:keepNext/>
      </w:pPr>
    </w:p>
    <w:p w14:paraId="6110586C" w14:textId="77777777" w:rsidR="003754FE" w:rsidRDefault="003754FE" w:rsidP="003754FE">
      <w:pPr>
        <w:pStyle w:val="TextoNormal"/>
      </w:pPr>
      <w:r>
        <w:t>la siguiente</w:t>
      </w:r>
    </w:p>
    <w:p w14:paraId="6A11A8AC" w14:textId="4280C4F2" w:rsidR="003754FE" w:rsidRDefault="003754FE" w:rsidP="003754FE">
      <w:pPr>
        <w:pStyle w:val="TextoNormal"/>
      </w:pPr>
    </w:p>
    <w:p w14:paraId="7853A1E9" w14:textId="77777777" w:rsidR="003754FE" w:rsidRDefault="003754FE" w:rsidP="003754FE">
      <w:pPr>
        <w:pStyle w:val="TextoNormalCentrado"/>
        <w:keepNext/>
      </w:pPr>
      <w:r>
        <w:t>SENTENCIA</w:t>
      </w:r>
    </w:p>
    <w:p w14:paraId="6E16941A" w14:textId="733CA35A" w:rsidR="003754FE" w:rsidRDefault="003754FE" w:rsidP="003754FE">
      <w:pPr>
        <w:pStyle w:val="TextoNormalCentrado"/>
        <w:keepNext/>
      </w:pPr>
    </w:p>
    <w:p w14:paraId="1F09F4B0" w14:textId="77777777" w:rsidR="003754FE" w:rsidRDefault="003754FE" w:rsidP="003754FE">
      <w:pPr>
        <w:pStyle w:val="TextoNormal"/>
      </w:pPr>
      <w:r>
        <w:t>En el recurso de inconstitucionalidad núm. 3955-2022, interpuesto por más de cincuenta diputados del Grupo Parlamentario Popular en el Congreso de los Diputados, contra la Ley del Parlamento de Cataluña 1/2022, de 3 de marzo, de modificación de la Ley 18/2007, la Ley 24/2015 y la Ley 4/2016, para afrontar la emergencia en el ámbito de la vivienda, y, subsidiariamente, contra los arts. 1.1, 1.3, 7, 8, 9.2, 10, 11 y 12 y la disposición transitoria de dicha ley. Han sido parte la Generalitat de Cataluña y el Parlamento de Cataluña. Ha sido ponente la magistrada doña María Luisa Segoviano Astaburuaga.</w:t>
      </w:r>
    </w:p>
    <w:p w14:paraId="44948928" w14:textId="2FF9D916" w:rsidR="003754FE" w:rsidRDefault="003754FE" w:rsidP="003754FE">
      <w:pPr>
        <w:pStyle w:val="TextoNormal"/>
      </w:pPr>
    </w:p>
    <w:p w14:paraId="6F9D0A61" w14:textId="77777777" w:rsidR="003754FE" w:rsidRDefault="003754FE" w:rsidP="003754FE">
      <w:pPr>
        <w:pStyle w:val="TextoNormalNegritaCentrado"/>
        <w:keepNext/>
      </w:pPr>
      <w:r>
        <w:t>I. Antecedentes</w:t>
      </w:r>
    </w:p>
    <w:p w14:paraId="1900CD56" w14:textId="4ED229DE" w:rsidR="003754FE" w:rsidRDefault="003754FE" w:rsidP="003754FE">
      <w:pPr>
        <w:pStyle w:val="TextoNormalNegritaCentrado"/>
        <w:keepNext/>
      </w:pPr>
    </w:p>
    <w:p w14:paraId="7422C6A6" w14:textId="77777777" w:rsidR="003754FE" w:rsidRDefault="003754FE" w:rsidP="003754FE">
      <w:pPr>
        <w:pStyle w:val="TextoNormal"/>
      </w:pPr>
      <w:r w:rsidRPr="003754FE">
        <w:rPr>
          <w:rStyle w:val="NumeroAFNegritaCaracter"/>
        </w:rPr>
        <w:t>1</w:t>
      </w:r>
      <w:r>
        <w:t xml:space="preserve">. Mediante escrito presentado en el registro de este tribunal el 3 de junio de 2022, el procurador de los tribunales don Manuel Sánchez-Puelles y González-Carvajal y don Jaime </w:t>
      </w:r>
      <w:r>
        <w:lastRenderedPageBreak/>
        <w:t>Eduardo de Olano Vela, comisionado por más de cincuenta diputados y diputadas del Grupo Parlamentario Popular en el Congreso de los Diputados, interpusieron recurso de inconstitucionalidad frente a la Ley del Parlamento de Cataluña 1/2022, de 3 de marzo, de modificación de la Ley 18/2007, la Ley 24/2015 y la Ley 4/2016, para afrontar la emergencia en el ámbito de la vivienda, y, subsidiariamente, contra los arts. 1.1, 1.3, 7, 8, 9.2, 10, 11 y 12 y la disposición transitoria.</w:t>
      </w:r>
    </w:p>
    <w:p w14:paraId="2DCED544" w14:textId="77777777" w:rsidR="003754FE" w:rsidRDefault="003754FE" w:rsidP="003754FE">
      <w:pPr>
        <w:pStyle w:val="TextoNormal"/>
      </w:pPr>
    </w:p>
    <w:p w14:paraId="65327715" w14:textId="77777777" w:rsidR="003754FE" w:rsidRDefault="003754FE" w:rsidP="003754FE">
      <w:pPr>
        <w:pStyle w:val="TextoNormal"/>
      </w:pPr>
      <w:r>
        <w:t>El recurso comienza con la referencia a la STC 16/2021, de 28 de enero, que declaró inconstitucionales diversos preceptos del Decreto-ley del Gobierno de la Generalitat de Cataluña 17/2019, de 23 de diciembre, de medidas urgentes para mejorar el acceso a la vivienda, indicando que el contenido de la Ley 1/2022 es prácticamente el mismo que fue anulado por dicha sentencia. Asimismo, se resumen las vulneraciones que se imputan a la ley en su conjunto, y las que se dirigen contra preceptos concretos, relacionando igualmente los preceptos constitucionales que se consideran infringidos.</w:t>
      </w:r>
    </w:p>
    <w:p w14:paraId="548142DF" w14:textId="77777777" w:rsidR="003754FE" w:rsidRDefault="003754FE" w:rsidP="003754FE">
      <w:pPr>
        <w:pStyle w:val="TextoNormal"/>
      </w:pPr>
    </w:p>
    <w:p w14:paraId="4BB23410" w14:textId="77777777" w:rsidR="003754FE" w:rsidRDefault="003754FE" w:rsidP="003754FE">
      <w:pPr>
        <w:pStyle w:val="TextoNormal"/>
      </w:pPr>
      <w:r>
        <w:t>La impugnación de la Ley 1/2022 se fundamenta, en síntesis, en las siguientes alegaciones:</w:t>
      </w:r>
    </w:p>
    <w:p w14:paraId="7E4A2FFC" w14:textId="77777777" w:rsidR="003754FE" w:rsidRDefault="003754FE" w:rsidP="003754FE">
      <w:pPr>
        <w:pStyle w:val="TextoNormal"/>
      </w:pPr>
    </w:p>
    <w:p w14:paraId="1453E837" w14:textId="77777777" w:rsidR="003754FE" w:rsidRDefault="003754FE" w:rsidP="003754FE">
      <w:pPr>
        <w:pStyle w:val="TextoNormal"/>
      </w:pPr>
      <w:r>
        <w:t>A) En primer lugar, se desarrolla la tacha dirigida contra el conjunto de la Ley 1/2022. Los recurrentes consideran que esta regula las condiciones básicas del derecho de propiedad en Cataluña, y restringe desproporcionadamente la facultad de los propietarios para reivindicar su dominio, lo que supone una vulneración del art. 149.1.1 CE, en relación con los arts. 14, 33 y 139 CE. A tal efecto, indican que resulta de aplicación aquí la jurisprudencia del Tribunal Constitucional, declarando la inconstitucionalidad de múltiples disposiciones autonómicas en materia de vivienda a partir de argumentos competenciales, citando, en particular, las SSTC 93/2015, de 14 de mayo; 32/2018, de 12 de abril; 43/2018, de 26 de abril; 97/2018, de 19 de septiembre; 8/2019, de 17 de enero; 16/2021, de 28 de enero; 28/2022, de 24 de febrero; 37/2022, de 10 de marzo, y 57/2022, de 7 de abril.</w:t>
      </w:r>
    </w:p>
    <w:p w14:paraId="0E7525FF" w14:textId="77777777" w:rsidR="003754FE" w:rsidRDefault="003754FE" w:rsidP="003754FE">
      <w:pPr>
        <w:pStyle w:val="TextoNormal"/>
      </w:pPr>
    </w:p>
    <w:p w14:paraId="5FAAEA89" w14:textId="77777777" w:rsidR="003754FE" w:rsidRDefault="003754FE" w:rsidP="003754FE">
      <w:pPr>
        <w:pStyle w:val="TextoNormal"/>
      </w:pPr>
      <w:r>
        <w:t xml:space="preserve">Para los diputados recurrentes son varias las competencias exclusivas que se invaden por la Ley 1/2022. En tal sentido, afirman que la competencia exclusiva en materia de vivienda reconocida en el art. 137 del Estatuto de Autonomía de Cataluña (en adelante, EAC) se circunscribe a la actividad administrativa de ordenación y fomento en dicha materia, y aunque permita incidir en el régimen de la propiedad privada, ha de dejarse a salvo el contenido esencial del derecho a la propiedad (art. 33 CE), cuya regulación le corresponde al Estado al amparo del art. 149.1.1 CE. Sostienen que el conjunto de la regulación contenida en la Ley 1/2022 infringe el principio de igualdad y, particularmente, el art. 139.1 CE en relación con el art. 149.1.1 CE, pues supondrá que ciertos dueños de la Comunidad Autónoma de Cataluña ostenten un derecho de propiedad más débil que en otros puntos del territorio español y deban cumplir obligaciones adicionales que el resto de ciudadanos españoles que se encuentren en sus mismas circunstancias (con cita de las SSTC 16/2021, de 28 de enero; 173/1998, de 23 de julio; 96/2002, de 25 de abril, y 247/2007, de 12 de diciembre). Invocando la STC 37/1987, de 26 de marzo, afirman que la función social forma parte del contenido esencial del derecho de propiedad, y que su determinación corresponde al Estado, por lo que el legislador autonómico carece de la habilitación necesaria para introducir medidas que, afectando a dicho contenido esencial, no se encuentren contempladas o prefiguradas en sus aspectos básicos por la normativa estatal. En suma, la regulación que introduce </w:t>
      </w:r>
      <w:r>
        <w:lastRenderedPageBreak/>
        <w:t xml:space="preserve">la Ley 1/2022 contraviene los arts. 14 y 139.1 CE, e invade la competencia exclusiva del Estado </w:t>
      </w:r>
      <w:r w:rsidRPr="003754FE">
        <w:rPr>
          <w:i/>
        </w:rPr>
        <w:t>ex</w:t>
      </w:r>
      <w:r>
        <w:t xml:space="preserve"> art. 149.1.1 CE.</w:t>
      </w:r>
    </w:p>
    <w:p w14:paraId="4F2D8BDB" w14:textId="77777777" w:rsidR="003754FE" w:rsidRDefault="003754FE" w:rsidP="003754FE">
      <w:pPr>
        <w:pStyle w:val="TextoNormal"/>
      </w:pPr>
    </w:p>
    <w:p w14:paraId="44507BE1" w14:textId="77777777" w:rsidR="003754FE" w:rsidRDefault="003754FE" w:rsidP="003754FE">
      <w:pPr>
        <w:pStyle w:val="TextoNormal"/>
      </w:pPr>
      <w:r>
        <w:t>B) A continuación, expone el recurso la argumentación dirigida a impugnar distintos preceptos de la Ley 1/2022.</w:t>
      </w:r>
    </w:p>
    <w:p w14:paraId="35DE5319" w14:textId="77777777" w:rsidR="003754FE" w:rsidRDefault="003754FE" w:rsidP="003754FE">
      <w:pPr>
        <w:pStyle w:val="TextoNormal"/>
      </w:pPr>
    </w:p>
    <w:p w14:paraId="4F8364D3" w14:textId="77777777" w:rsidR="003754FE" w:rsidRDefault="003754FE" w:rsidP="003754FE">
      <w:pPr>
        <w:pStyle w:val="TextoNormal"/>
      </w:pPr>
      <w:r>
        <w:t>a) El examen comienza por los arts. 1.1 y 10 de la Ley 1/2022. Entienden que, al definir un supuesto de incumplimiento de la función social de la propiedad de una vivienda o un edificio de viviendas, por encontrarse desocupadas durante más de dos años injustificadamente [art.1.1, que modifica el art. 5.2 b) de la Ley del Parlamento de Cataluña 18/2007, de 28 de diciembre, del derecho a la vivienda] y al establecer la facultad de la administración de resolver la cesión obligatoria de viviendas, sin compensación adecuada, para incorporarlas al fondo de viviendas de alquiler para políticas sociales cuando concurran determinadas condiciones (art. 10, que modifica el art. 7.1 de la Ley del Parlamento de Cataluña 24/2015, de 29 de julio, de medidas urgentes para afrontar la emergencia en el ámbito de la vivienda y la pobreza energética), incumplen con la regla del art. 149.1.1 CE, y rompen el principio de igualdad porque el contenido del derecho de propiedad de la vivienda pasa a ser diferente en Cataluña que en el resto del Estado. Le corresponde al Estado establecer las condiciones básicas del régimen de propiedad del suelo urbano consolidado (STC 54/2002, de 27 de febrero, FJ 5) de modo que se garantice un disfrute uniforme de la propiedad urbana en todo el territorio español; uniformidad que se rompería si alguna legislación urbanística autonómica añadiera nuevos deberes a los propietarios de suelo urbano consolidado. Se añade la afirmación de que la Ley 1/2022 incide materialmente en el Derecho privado, pues regula el contenido de un derecho patrimonial y entra en conflicto con la competencia exclusiva del Estado en materia de legislación civil (art. 149.1.8 CE), al establecer condiciones divergentes en el ejercicio del contenido del derecho a la propiedad de la vivienda. Termina este apartado con referencia a la STC 16/2021, de 28 de enero, FJ 5, según la cual el destino de la vivienda de forma efectiva al uso habitacional “forma parte del contenido esencial de propiedad de la vivienda”, y que el contenido allí impugnado no puede considerarse simplemente instrumental para la política de vivienda de la comunidad autónoma, porque su incumplimiento da lugar a reacciones como requerimientos, multas coercitivas, sanciones, etc., que es lo que establece el art. 41  de la Ley del derecho a la vivienda. En suma, las consecuencias derivadas del incumplimiento de la función social de la propiedad privada, y otros aspectos, tal como se han delimitado en los arts. 1.1 y 10 de la Ley 1/2022, suponen una infracción del art. 149.1.1, en conexión con los arts. 149.1.8 y 33 CE.</w:t>
      </w:r>
    </w:p>
    <w:p w14:paraId="1E70F6D2" w14:textId="77777777" w:rsidR="003754FE" w:rsidRDefault="003754FE" w:rsidP="003754FE">
      <w:pPr>
        <w:pStyle w:val="TextoNormal"/>
      </w:pPr>
    </w:p>
    <w:p w14:paraId="667F8DEA" w14:textId="77777777" w:rsidR="003754FE" w:rsidRDefault="003754FE" w:rsidP="003754FE">
      <w:pPr>
        <w:pStyle w:val="TextoNormal"/>
      </w:pPr>
      <w:r>
        <w:t xml:space="preserve">b) En segundo lugar, los diputados recurrentes consideran que la regulación del contrato de alquiler social que se efectúa en los arts. 1.3, 11 y 12 y en la disposición transitoria de la Ley 1/2022, vulnera las competencias exclusivas del Estado en materia de legislación procesal (art. 149.1.6 CE) y sobre bases de las obligaciones contractuales (art. 149.1.8 CE), así como los arts. 9.3, 10, 24 y 33 CE. Alegan que la obligación de ofrecer un alquiler social como requisito procesal previo para ejercitar acciones ejecutivas y demandas de desahucio afecta de modo claro y directo al ámbito de la legislación procesal, careciendo la comunidad autónoma de competencia, pues no existe ningún anclaje con el derecho sustantivo propio catalán, de manera que se invade la competencia reservada al Estado sobre la legislación procesal por el art. 149.1.6 CE (invocan las SSTC 47/2004, de 25 de marzo; 21/2012, de 16 de febrero; 28/2022, de 24 de febrero, FJ 4, y 57/2022, de 7 de abril, FJ 5). Con referencia a los tres preceptos (art. 1.3, 11 y 12) entienden que dicha obligación limita la libertad de </w:t>
      </w:r>
      <w:r>
        <w:lastRenderedPageBreak/>
        <w:t>contratación, la disponibilidad y la autonomía de la voluntad, y por ello, su fundamento constitucional (art. 10 CE), condicionando el acceso a la justicia del propietario por las posibles sanciones administrativas que dicho incumplimiento comporta (art. 24 CE), y, al establecer un requisito de admisibilidad irrazonable y desproporcionado, también vulneraría el principio de seguridad jurídica (art. 9.3 CE).</w:t>
      </w:r>
    </w:p>
    <w:p w14:paraId="715C2452" w14:textId="77777777" w:rsidR="003754FE" w:rsidRDefault="003754FE" w:rsidP="003754FE">
      <w:pPr>
        <w:pStyle w:val="TextoNormal"/>
      </w:pPr>
    </w:p>
    <w:p w14:paraId="45C04A2B" w14:textId="77777777" w:rsidR="003754FE" w:rsidRDefault="003754FE" w:rsidP="003754FE">
      <w:pPr>
        <w:pStyle w:val="TextoNormal"/>
      </w:pPr>
      <w:r>
        <w:t>Continúa este apartado sosteniendo que los arts. 1.3, 11 y 12 y la disposición transitoria de la Ley 1/2022, en cuanto amplían los supuestos en que los propietarios de viviendas están obligados a celebrar un contrato de alquiler forzoso, extienden su plazo de duración y agravan las consecuencias del incumplimiento de dicha obligación, infringen el art. 149.1.8 CE. Los aspectos que se imponen en relación con el contrato de alquiler social integran los elementos esenciales que forman parte de las bases de las obligaciones contractuales sobre las que el Estado tiene competencia exclusiva. Dichas bases son identificables con los contenidos que se dirigen a garantizar una unidad de regulación que evite disfunciones en el funcionamiento de la actividad económica, encontrándose, en el caso de los arrendamientos de vivienda, en la Ley 29/1994, de 24 de noviembre, de arrendamientos urbanos (en adelante, LAU). Así, la Ley 1/2022 se inserta de forma clara en la materia de Derecho civil, en el ámbito de la competencia legislativa en materia contractual, al regular los sujetos obligados, las causas que llevan al alquiler social forzoso, la renta del alquiler, su duración y prorroga, que constituyen el núcleo esencial de las obligaciones contractuales, cuya regulación es competencia exclusiva del Estado. La regulación se proyecta sobre el ámbito civil del contrato de arrendamiento y no puede encajarse en el ámbito de la competencia autonómica sobre vivienda, entrando en clara contradicción con la LAU y el Código civil, e invadiendo competencias del Estado en materia de legislación civil, al quedar fuera del alcance del legislador autonómico la regulación de las obligaciones contractuales que constituyen el núcleo normativo esencial del instituto jurídico del alquiler. Cita en su apoyo la STC 37/2022, de 10 de marzo, FJ 4, a partir de cuya exposición concluye indicando el recurso que el establecimiento de una prórroga temporal, con los requisitos de renta previstos (art. 11), así como la obligación impuesta en el art. 12, impactan directamente sobre la vertiente subjetiva del derecho de propiedad, resultando la configuración de los nuevos supuestos de alquiler forzoso arbitrarios, “y por tanto vulneran el art. 9.3 CE, y además conllevan una pérdida económica que hace irreconocible el derecho a la propiedad que protege el art. 33 CE que también resultaría vulnerado”.</w:t>
      </w:r>
    </w:p>
    <w:p w14:paraId="3EDED98A" w14:textId="77777777" w:rsidR="003754FE" w:rsidRDefault="003754FE" w:rsidP="003754FE">
      <w:pPr>
        <w:pStyle w:val="TextoNormal"/>
      </w:pPr>
    </w:p>
    <w:p w14:paraId="044063F2" w14:textId="77777777" w:rsidR="003754FE" w:rsidRDefault="003754FE" w:rsidP="003754FE">
      <w:pPr>
        <w:pStyle w:val="TextoNormal"/>
      </w:pPr>
      <w:r>
        <w:t xml:space="preserve">c) Abordan también los recurrentes la inconstitucionalidad de los arts. 1.1 y 7 de la Ley 1/2022, que infringirían el art. 25 CE al prever la subrogación del nuevo adquirente de un inmueble en la posición del anterior titular, en cuanto al cómputo del plazo de dos años para considerar una vivienda como vacía, lo que habilita a la administración para requerir que se proceda a la ocupación de la vivienda. Consideran que incumple el principio de responsabilidad o culpabilidad, al tener que asumir el adquirente las consecuencias del tiempo durante el cual su transmitente ha mantenido vacía la vivienda objeto de la transacción. Tras los oportunos requerimientos, podrían imponerse multas coercitivas de hasta el 50 por 100 del precio estimado de la vivienda, e incluso dar lugar a su expropiación, aparte de que la infracción puede ser castigada con multa de 90 001 a 900 000 €, y otras accesorias. Se refiere el recurso a la doctrina constitucional sobre los principios de culpabilidad y proporcionalidad (con cita, entre otras, de las SSTC 18/1981, de 8 de junio; 246/1991, de 19 de diciembre; 181/2014, de 6 de noviembre, y 86/2017, de 4 de julio), así como a su expresa inclusión, entre otras normas, en el art. 102.2 de la Ley del Parlamento de Cataluña 26/2010, de 3 de </w:t>
      </w:r>
      <w:r>
        <w:lastRenderedPageBreak/>
        <w:t>agosto, de régimen jurídico y de procedimiento de las administraciones públicas de Cataluña, y en el art. 126.1 de la Ley del derecho a la vivienda, de todo lo cual se deduce que quedan descartadas la responsabilidad objetiva y la responsabilidad por hecho ajeno. Aunque formalmente se sancione la desobediencia a un requerimiento administrativo, en el fondo se está instaurando un sistema de responsabilidad por hecho ajeno que habilita a la administración pública para sancionar a determinados propietarios por las conductas mantenidas por sus causahabientes, sin respetar las exigencias dimanantes del principio de responsabilidad o culpabilidad. Si, como se presenta formalmente, la sanción que prevé la Ley 1/2022 es únicamente por la desobediencia al requerimiento formulado por la administración, se debe entonces poner en cuestión la compatibilidad de la sanción con el art. 25 CE, teniendo en cuenta la notoria desproporción entre el hecho típico (ignorar el requerimiento) y la sanción posible (hasta 900 000 €).</w:t>
      </w:r>
    </w:p>
    <w:p w14:paraId="7C682D2E" w14:textId="77777777" w:rsidR="003754FE" w:rsidRDefault="003754FE" w:rsidP="003754FE">
      <w:pPr>
        <w:pStyle w:val="TextoNormal"/>
      </w:pPr>
    </w:p>
    <w:p w14:paraId="13A14214" w14:textId="77777777" w:rsidR="003754FE" w:rsidRDefault="003754FE" w:rsidP="003754FE">
      <w:pPr>
        <w:pStyle w:val="TextoNormal"/>
      </w:pPr>
      <w:r>
        <w:t>d) En relación nuevamente con los arts. 1.3, 11 y 12 y con la disposición transitoria, sustentan la solicitud de inconstitucionalidad, igualmente, en que la obligación de ofrecer un contrato de alquiler social a determinados inquilinos vulnera los arts. 10, 24, 38 y 118 CE. Así, en la medida en que precisan y amplían los supuestos en que un propietario está obligado a ofrecer un contrato de alquiler social a su arrendatario antes de interponer una demanda judicial, contravienen el principio de autonomía de la voluntad que dimana del libre desarrollo de la personalidad, que implica la iniciativa privada en la actividad económica, y que en el plano constitucional entronca con el derecho a la libertad individual, con la libertad como valor superior del ordenamiento jurídico y con el derecho a la libertad de empresa [arts. 10.1, 1.1 y 38 CE, y SSTC 93/2013, de 23 de abril, FJ 8; 82/2016, de 28 de abril, FJ 8 133/2017, de 16 de noviembre, FJ 7; así como particularmente las SSTC 37/1981, de 16 de noviembre, FJ 2, y 225/1993, de 8 de julio, FJ 3 b)]. Los reseñados preceptos de la Ley 1/2022 son inconstitucionales porque obligan a ciertos propietarios de viviendas a ofrecer un alquiler social en determinados supuestos, imponiéndoles unas duras condiciones, alargando notablemente su duración y agravando las consecuencias del incumplimiento de dicha obligación, por lo que restringen aún más la autonomía privada de los propietarios afectados. Adicionalmente la extensión temporal del alquiler social supone una grave afectación del derecho de propiedad privada (art. 33 CE), la imposición de una suerte de prestación social a su inquilino sin recibir verdadera compensación, ni un precio justo, desplazando los poderes públicos de Cataluña las responsabilidades que les incumben, conforme al art. 47 CE, a los propietarios, a quienes se les obliga a asumir unas cargas económicas y unos deberes y obligaciones que no les corresponden en absoluto.</w:t>
      </w:r>
    </w:p>
    <w:p w14:paraId="7C7FA596" w14:textId="77777777" w:rsidR="003754FE" w:rsidRDefault="003754FE" w:rsidP="003754FE">
      <w:pPr>
        <w:pStyle w:val="TextoNormal"/>
      </w:pPr>
    </w:p>
    <w:p w14:paraId="673EB74F" w14:textId="77777777" w:rsidR="003754FE" w:rsidRDefault="003754FE" w:rsidP="003754FE">
      <w:pPr>
        <w:pStyle w:val="TextoNormal"/>
      </w:pPr>
      <w:r>
        <w:t xml:space="preserve">Por otra parte, la imposición de la obligación de ofertar un alquiler social como requisito procesal para la interposición de determinadas acciones ejecutivas o de desahucio ante los tribunales de justicia infringe el derecho fundamental a la tutela judicial efectiva y el principio de plenitud jurisdiccional (art. 24 y 118 CE), al no ser razonable ni proporcionada [STC 140/2016, de 21 de julio, FJ 5 a)], pues condiciona la interposición de una demanda judicial a la doble exigencia de que el actor ofrezca un alquiler social y el demandado lo rechace, pudiendo constituir un freno al acceso a la jurisdicción (cita el recurso en su apoyo el dictamen 2/2020 del Consejo de garantías estatutarias). Y, en cuanto a la infracción del art. 118 CE, se señala que los preceptos impugnados impiden que los propietarios que cumplan sus obligaciones legales puedan lograr ante los tribunales de justicia la efectividad real de una pretensión absolutamente legítima, como es la plena recuperación posesoria de un bien inmueble de su propiedad. De este modo si el propietario que se propone recuperar </w:t>
      </w:r>
      <w:r>
        <w:lastRenderedPageBreak/>
        <w:t>judicialmente la posesión cumple con la obligación de realizar una oferta de alquiler social, y esta es aceptada por el ocupante, la pretensión de recuperar la plena posesión de la vivienda se vería frustrada. Y, de igual manera, es posible que el propietario afectado por la disposición transitoria se vea en la disyuntiva absurda de obtener un pronunciamiento favorable a su pretensión de desahucio y que sea inejecutable porque el inquilino de su vivienda haya devenido legal ocupante en virtud de un contrato forzoso de alquiler social.</w:t>
      </w:r>
    </w:p>
    <w:p w14:paraId="03D43BD6" w14:textId="77777777" w:rsidR="003754FE" w:rsidRDefault="003754FE" w:rsidP="003754FE">
      <w:pPr>
        <w:pStyle w:val="TextoNormal"/>
      </w:pPr>
    </w:p>
    <w:p w14:paraId="450ED322" w14:textId="77777777" w:rsidR="003754FE" w:rsidRDefault="003754FE" w:rsidP="003754FE">
      <w:pPr>
        <w:pStyle w:val="TextoNormal"/>
      </w:pPr>
      <w:r>
        <w:t>Asimismo, sostienen los recurrentes que la obligación impuesta a los propietarios está provocando una grave situación de inseguridad jurídica desde antes de la Ley 1/2022, citando como demostrativo de ello el acuerdo de la comisión permanente de la Sala de Gobierno del Tribunal Superior de Justicia de Cataluña, de 19 de noviembre de 2019, instando al ayuntamiento de Barcelona al estricto cumplimiento del protocolo de 4 de marzo de 2013, y a dar instrucciones precisas a los servicios sociales municipales, y, en especial, al Servicio de intervención en procesos de pérdida de la vivienda y ocupaciones (SIPHO), para que se abstuvieran de actuaciones que impidieran la ejecución de las resoluciones judiciales. También se menciona el acuerdo adoptado el 21 de febrero de 2020 durante la reunión de presidentes de las secciones civiles de la Audiencia Provincial de Barcelona, por el que resolvían que el incumplimiento del ofrecimiento de un alquiler social no podía considerarse presupuesto de procedibilidad o de admisibilidad de una demanda judicial, sino que dará lugar en su caso, a las sanciones administrativas que la Ley 18/2007, de 28 de diciembre prevé. Si bien se añade que este último acuerdo no afecta al principio de imperio de la ley al que se hallan sometidos los jueces y magistrados, y aunque las demandas no deberían ser inadmitidas a pesar de que el actor no hubiese ofrecido un alquiler social, sin embargo aquel podría ser severamente castigado por la administración en aplicación de la Ley del derecho a la vivienda, con lo que se estaría sancionando el ejercicio legítimo del derecho fundamental a la tutela judicial efectiva.</w:t>
      </w:r>
    </w:p>
    <w:p w14:paraId="33B02A4D" w14:textId="77777777" w:rsidR="003754FE" w:rsidRDefault="003754FE" w:rsidP="003754FE">
      <w:pPr>
        <w:pStyle w:val="TextoNormal"/>
      </w:pPr>
    </w:p>
    <w:p w14:paraId="02C9E621" w14:textId="77777777" w:rsidR="003754FE" w:rsidRDefault="003754FE" w:rsidP="003754FE">
      <w:pPr>
        <w:pStyle w:val="TextoNormal"/>
      </w:pPr>
      <w:r>
        <w:t>e) Finalmente, razona el recurso que el art. 9.2 de la Ley 1/2022, que modifica por cuarta vez el concepto de gran tenedor, genera incertidumbre e inseguridad jurídica e infringe el art. 9.3 CE. Es arbitrario considerar gran tenedor a cualquier persona jurídica que tenga más de diez viviendas situadas en territorio del Estado, sin valorar objetivamente la ubicación, rentabilidad, existencia de préstamos pendientes vinculados a los inmuebles, a fin de que se le considere con capacidad económica suficiente para obligarle a tener que ofrecer alquileres forzosos con rentas totalmente antieconómicas, trasladando a los titulares privados buena parte de las políticas asistenciales que corresponden a la administración. Se afirma, además, que no puede considerarse en Cataluña gran tenedor a cualquier persona que no tenga ninguna vivienda en Cataluña.</w:t>
      </w:r>
    </w:p>
    <w:p w14:paraId="69D77CB4" w14:textId="77777777" w:rsidR="003754FE" w:rsidRDefault="003754FE" w:rsidP="003754FE">
      <w:pPr>
        <w:pStyle w:val="TextoNormal"/>
      </w:pPr>
    </w:p>
    <w:p w14:paraId="10688C5A" w14:textId="18565831" w:rsidR="003754FE" w:rsidRDefault="003754FE" w:rsidP="003754FE">
      <w:pPr>
        <w:pStyle w:val="TextoNormal"/>
      </w:pPr>
      <w:r>
        <w:t>Concluye el recurso solicitando su estimación y la declaración de inconstitucionalidad y nulidad de la Ley 1/2022, y, subsidiariamente, de sus arts. 1.1, 1.3, 7, 8, 9.2, 10, 11 y 12, y de su disposición transitoria.</w:t>
      </w:r>
    </w:p>
    <w:p w14:paraId="7053EEFA" w14:textId="77777777" w:rsidR="003754FE" w:rsidRDefault="003754FE" w:rsidP="003754FE">
      <w:pPr>
        <w:pStyle w:val="TextoNormal"/>
      </w:pPr>
    </w:p>
    <w:p w14:paraId="65B43511" w14:textId="77777777" w:rsidR="003754FE" w:rsidRDefault="003754FE" w:rsidP="003754FE">
      <w:pPr>
        <w:pStyle w:val="TextoNormal"/>
      </w:pPr>
      <w:r w:rsidRPr="003754FE">
        <w:rPr>
          <w:rStyle w:val="NumeroAFNegritaCaracter"/>
        </w:rPr>
        <w:t>2</w:t>
      </w:r>
      <w:r>
        <w:t xml:space="preserve">. Por providencia de 30 de junio de 2022, el Pleno del Tribunal acordó la admisión a trámite del recurso, dando traslado al Congreso de los Diputados y al Senado, por conducto de sus presidentes, al Gobierno, a través de la ministra de Justicia, así como al Parlamento de Cataluña y al Gobierno de la Generalitat de Cataluña, por conducto de sus presidentes, al objeto de que, en el plazo de quince días, pudieran personarse y formular las alegaciones </w:t>
      </w:r>
      <w:r>
        <w:lastRenderedPageBreak/>
        <w:t>que estimaran convenientes; y publicar la incoación del recurso en el “Boletín Oficial del Estado” y en el “Diari Oficial de la Generalitat de Catalunya”.</w:t>
      </w:r>
    </w:p>
    <w:p w14:paraId="2D226B31" w14:textId="77777777" w:rsidR="003754FE" w:rsidRDefault="003754FE" w:rsidP="003754FE">
      <w:pPr>
        <w:pStyle w:val="TextoNormal"/>
      </w:pPr>
    </w:p>
    <w:p w14:paraId="31C3324B" w14:textId="1AE3A200" w:rsidR="003754FE" w:rsidRDefault="003754FE" w:rsidP="003754FE">
      <w:pPr>
        <w:pStyle w:val="TextoNormal"/>
      </w:pPr>
      <w:r>
        <w:t>En cumplimiento de lo ordenado, la incoación del proceso se publicó en el “Boletín Oficial del Estado” núm. 163, de 8 de julio de 2022, y en el “Diari Oficial de la Generalitat de Catalunya” núm. 8705, de 8 de julio de 2022.</w:t>
      </w:r>
    </w:p>
    <w:p w14:paraId="5B8848A5" w14:textId="77777777" w:rsidR="003754FE" w:rsidRDefault="003754FE" w:rsidP="003754FE">
      <w:pPr>
        <w:pStyle w:val="TextoNormal"/>
      </w:pPr>
    </w:p>
    <w:p w14:paraId="41105F34" w14:textId="10A76F78" w:rsidR="003754FE" w:rsidRDefault="003754FE" w:rsidP="003754FE">
      <w:pPr>
        <w:pStyle w:val="TextoNormal"/>
      </w:pPr>
      <w:r w:rsidRPr="003754FE">
        <w:rPr>
          <w:rStyle w:val="NumeroAFNegritaCaracter"/>
        </w:rPr>
        <w:t>3</w:t>
      </w:r>
      <w:r>
        <w:t>. Mediante escrito presentado el 14 de julio de 2022 la letrada del Parlamento de Cataluña se personó en nombre de la Cámara y solicitó una prórroga del plazo conferido para formular alegaciones. Por diligencia de ordenación del secretario de justicia del Pleno del Tribunal de 15 de julio de 2022 se accedió a lo solicitado, prorrogándose en ocho días más el plazo inicialmente concedido.</w:t>
      </w:r>
    </w:p>
    <w:p w14:paraId="051C7844" w14:textId="77777777" w:rsidR="003754FE" w:rsidRDefault="003754FE" w:rsidP="003754FE">
      <w:pPr>
        <w:pStyle w:val="TextoNormal"/>
      </w:pPr>
    </w:p>
    <w:p w14:paraId="6873D645" w14:textId="1A23A896" w:rsidR="003754FE" w:rsidRDefault="003754FE" w:rsidP="003754FE">
      <w:pPr>
        <w:pStyle w:val="TextoNormal"/>
      </w:pPr>
      <w:r w:rsidRPr="003754FE">
        <w:rPr>
          <w:rStyle w:val="NumeroAFNegritaCaracter"/>
        </w:rPr>
        <w:t>4</w:t>
      </w:r>
      <w:r>
        <w:t>. El 19 de julio de 2022 tuvo entrada en este tribunal escrito del abogado del Estado, en la representación que ostenta, manifestando que no va a formular alegaciones y que se persona exclusivamente a los efectos de que se le notifiquen las resoluciones que se dicten, ya que se abrió el procedimiento previsto en el art. 33.2 de la Ley Orgánica del Tribunal Constitucional (en adelante, LOTC) y se está intentando llegar a un acuerdo sobre la norma impugnada.</w:t>
      </w:r>
    </w:p>
    <w:p w14:paraId="62DBE3AD" w14:textId="77777777" w:rsidR="003754FE" w:rsidRDefault="003754FE" w:rsidP="003754FE">
      <w:pPr>
        <w:pStyle w:val="TextoNormal"/>
      </w:pPr>
    </w:p>
    <w:p w14:paraId="0CB7D0C9" w14:textId="02D15BC1" w:rsidR="003754FE" w:rsidRDefault="003754FE" w:rsidP="003754FE">
      <w:pPr>
        <w:pStyle w:val="TextoNormal"/>
      </w:pPr>
      <w:r w:rsidRPr="003754FE">
        <w:rPr>
          <w:rStyle w:val="NumeroAFNegritaCaracter"/>
        </w:rPr>
        <w:t>5</w:t>
      </w:r>
      <w:r>
        <w:t>. A través de escrito registrado el 22 de julio de 2022, el presidente del Senado dio por personada a esta cámara y por ofrecida su colaboración a los efectos del art. 88.1 LOTC.</w:t>
      </w:r>
    </w:p>
    <w:p w14:paraId="54F26B6E" w14:textId="77777777" w:rsidR="003754FE" w:rsidRDefault="003754FE" w:rsidP="003754FE">
      <w:pPr>
        <w:pStyle w:val="TextoNormal"/>
      </w:pPr>
    </w:p>
    <w:p w14:paraId="522D9278" w14:textId="21807700" w:rsidR="003754FE" w:rsidRDefault="003754FE" w:rsidP="003754FE">
      <w:pPr>
        <w:pStyle w:val="TextoNormal"/>
      </w:pPr>
      <w:r w:rsidRPr="003754FE">
        <w:rPr>
          <w:rStyle w:val="NumeroAFNegritaCaracter"/>
        </w:rPr>
        <w:t>6</w:t>
      </w:r>
      <w:r>
        <w:t>. El 22 de julio de 2022 se personó en el recurso de inconstitucionalidad la abogada de la Generalitat de Cataluña, en representación de su Gobierno, y solicitó prórroga del plazo otorgado para formular alegaciones. Por diligencia de ordenación de la secretaría de justicia del Pleno del Tribunal de 26 de julio de 2022, se accedió a lo solicitado, prorrogándose en ocho días más el plazo inicialmente concedido.</w:t>
      </w:r>
    </w:p>
    <w:p w14:paraId="3FF550C5" w14:textId="77777777" w:rsidR="003754FE" w:rsidRDefault="003754FE" w:rsidP="003754FE">
      <w:pPr>
        <w:pStyle w:val="TextoNormal"/>
      </w:pPr>
    </w:p>
    <w:p w14:paraId="1A0BF13C" w14:textId="77777777" w:rsidR="003754FE" w:rsidRDefault="003754FE" w:rsidP="003754FE">
      <w:pPr>
        <w:pStyle w:val="TextoNormal"/>
      </w:pPr>
      <w:r w:rsidRPr="003754FE">
        <w:rPr>
          <w:rStyle w:val="NumeroAFNegritaCaracter"/>
        </w:rPr>
        <w:t>7</w:t>
      </w:r>
      <w:r>
        <w:t>. En escrito presentado el 9 de septiembre de 2022 formuló sus alegaciones la abogada de la Generalitat de Cataluña, interesando la íntegra desestimación del recurso. Tras reseñar los términos de la impugnación de los preceptos legales autonómicos controvertidos, expone las razones sobre las que funda su pretensión desestimatoria del recurso y que ahora se sintetizan.</w:t>
      </w:r>
    </w:p>
    <w:p w14:paraId="41182C3C" w14:textId="77777777" w:rsidR="003754FE" w:rsidRDefault="003754FE" w:rsidP="003754FE">
      <w:pPr>
        <w:pStyle w:val="TextoNormal"/>
      </w:pPr>
    </w:p>
    <w:p w14:paraId="70E6C0E3" w14:textId="77777777" w:rsidR="003754FE" w:rsidRDefault="003754FE" w:rsidP="003754FE">
      <w:pPr>
        <w:pStyle w:val="TextoNormal"/>
      </w:pPr>
      <w:r>
        <w:t xml:space="preserve">Comienza exponiendo los datos estadísticos y legislativos del contexto en el que se tramita la Ley 1/2022, con un escenario de inexistencia de viviendas asequibles de alquiler en el mercado, lo que ha empujado a muchas familias a la exclusión social y a la ocupación de viviendas sin título, dando lugar a una situación de emergencia habitacional, en la que la problemática del número de ocupaciones de viviendas sin título habilitante iba en aumento (situación agravada por la pandemia del covid-19). Todo ello motivó que el Parlamento de Cataluña, en la moción 106/XI, instara al Gobierno de la Generalitat a hacer frente a esta situación, lo que dio lugar a la aprobación del Decreto-ley 17/2019, de 23 de diciembre, que fue objeto de recurso de inconstitucionalidad, estimado parcialmente por la STC 16/2021, que consideró inadecuada la figura del Decreto-ley para afectar al contenido esencial del derecho de propiedad. Ante la persistencia de la crisis, se ha optado por recuperar los </w:t>
      </w:r>
      <w:r>
        <w:lastRenderedPageBreak/>
        <w:t>artículos anulados por dicha sentencia con introducción de algunas mejoras técnicas, en ejercicio de la competencia del art. 137 EAC.</w:t>
      </w:r>
    </w:p>
    <w:p w14:paraId="34A05E63" w14:textId="77777777" w:rsidR="003754FE" w:rsidRDefault="003754FE" w:rsidP="003754FE">
      <w:pPr>
        <w:pStyle w:val="TextoNormal"/>
      </w:pPr>
    </w:p>
    <w:p w14:paraId="4E71EA47" w14:textId="77777777" w:rsidR="003754FE" w:rsidRDefault="003754FE" w:rsidP="003754FE">
      <w:pPr>
        <w:pStyle w:val="TextoNormal"/>
      </w:pPr>
      <w:r>
        <w:t>A continuación, menciona el derecho de los ciudadanos de Cataluña a disfrutar de una vivienda digna (arts. 47 CE y 26 y 47 EAC) con pleno respeto al art. 33 CE, invocando la doctrina constitucional (SSTC 19/1982, de 5 de mayo, FJ 6; 45/1989, de 20 de febrero, FJ 4, y 152/1988, de 20 de julio, FJ 2), conforme a la cual, la política de vivienda, junto a su dimensión estrictamente económica, debe tener un señalado acento social, y que la garantía del art. 47 CE ha de materializarse “a través de” y “no a pesar de” los sistemas de reparto de competencias articulados en la Constitución. Menciona también la función social del derecho de propiedad como delimitadora de su contenido (art. 33.2 CE), destacando la doctrina establecida en la STC 37/1987, reiterada en la STC 154/2016, de 22 de septiembre, de las que deduce que el Tribunal no acoge un concepto exclusivamente civilista del derecho de propiedad, que no solo es susceptible de ser limitado, sino que los límites se incorporan a su contenido objetivo como elementos esenciales.</w:t>
      </w:r>
    </w:p>
    <w:p w14:paraId="373D3236" w14:textId="77777777" w:rsidR="003754FE" w:rsidRDefault="003754FE" w:rsidP="003754FE">
      <w:pPr>
        <w:pStyle w:val="TextoNormal"/>
      </w:pPr>
    </w:p>
    <w:p w14:paraId="1CEDE3AE" w14:textId="77777777" w:rsidR="003754FE" w:rsidRDefault="003754FE" w:rsidP="003754FE">
      <w:pPr>
        <w:pStyle w:val="TextoNormal"/>
      </w:pPr>
      <w:r>
        <w:t>En cuanto al encuadramiento competencial de la regulación, se afirma que no hay duda de que, por su objeto y finalidad, y por las leyes que modifica, la Ley 1/2022 se encuadra en la materia de vivienda, y ha sido aprobada al amparo del art. 137 EAC, respondiendo al objetivo de preservar la garantía del acceso a una vivienda digna, y de manera respetuosa con los títulos competenciales del Estado.</w:t>
      </w:r>
    </w:p>
    <w:p w14:paraId="72018C70" w14:textId="77777777" w:rsidR="003754FE" w:rsidRDefault="003754FE" w:rsidP="003754FE">
      <w:pPr>
        <w:pStyle w:val="TextoNormal"/>
      </w:pPr>
    </w:p>
    <w:p w14:paraId="68E14548" w14:textId="77777777" w:rsidR="003754FE" w:rsidRDefault="003754FE" w:rsidP="003754FE">
      <w:pPr>
        <w:pStyle w:val="TextoNormal"/>
      </w:pPr>
      <w:r>
        <w:t>Seguidamente, efectúa la abogada de la Generalitat unas precisiones preliminares sobre las alegaciones del recurso, indicando que el legislador autonómico es competente para delimitar la función social de la propiedad de la vivienda, pues, además de la vertiente individual del derecho de propiedad privada que se incardina en el título competencial de legislación civil (art. 149.1.8 CE), tiene una vertiente institucional, derivada de la función social de cada bien, ligada a los intereses generales y cuya tutela corresponde a quien ostente la competencia en cada materia, en este caso las comunidades autónomas que han asumido competencias en materia de vivienda. Y, en cuanto al alcance del título competencial reservado al Estado por el art. 149.1.1 CE (en relación con los arts. 14, 33 y 139 CE), advierte que los recurrentes no explicitan qué preceptos de la Ley 1/2022 y por qué razones infringen dicha norma constitucional, a pesar de la carga argumental que pesa sobre ellos [STC 22/2012, de 16 de febrero, FJ 2 b)]. En todo caso, sus afirmaciones no se ajustan a la delimitación negativa y positiva que la doctrina constitucional realiza de dicho título competencial (STC 61/1997, FFJJ 7 a 10), ya que las condiciones básicas se predican de los derechos y deberes constitucionales y no de sectores materiales, no supone una prohibición de divergencia autonómica ni puede consistir en un régimen jurídico acabado y completo de los derechos y deberes constitucionales, sino solo del contenido primario para garantizar la igualdad de los titulares del derecho. Más en concreto, en cuanto al derecho de propiedad, no habilita para establecer una regulación uniforme de la propiedad privada y de su función social, ni puede utilizarse para regular la política autonómica sectorial correspondiente en relación con las manifestaciones de dominio sobre las que las comunidades autónomas ostentan competencias. Y la STC 16/2018, FJ 8, destaca que, en tanto que esa legislación estatal no se haya dictado, resultará sumamente difícil atribuir a la legislación autonómica una invasión competencial, lo que convierte el enjuiciamiento de una ley autonómica a la luz del art. 149.1.1 CE en un análisis de constitucionalidad mediata.</w:t>
      </w:r>
    </w:p>
    <w:p w14:paraId="1E62EBE8" w14:textId="77777777" w:rsidR="003754FE" w:rsidRDefault="003754FE" w:rsidP="003754FE">
      <w:pPr>
        <w:pStyle w:val="TextoNormal"/>
      </w:pPr>
    </w:p>
    <w:p w14:paraId="4210018F" w14:textId="77777777" w:rsidR="003754FE" w:rsidRDefault="003754FE" w:rsidP="003754FE">
      <w:pPr>
        <w:pStyle w:val="TextoNormal"/>
      </w:pPr>
      <w:r>
        <w:lastRenderedPageBreak/>
        <w:t>Una vez expuestas las anteriores consideraciones generales, el escrito de alegaciones procede a analizar las tachas que dirigen los recurrentes contra el articulado.</w:t>
      </w:r>
    </w:p>
    <w:p w14:paraId="7AFDF07C" w14:textId="77777777" w:rsidR="003754FE" w:rsidRDefault="003754FE" w:rsidP="003754FE">
      <w:pPr>
        <w:pStyle w:val="TextoNormal"/>
      </w:pPr>
    </w:p>
    <w:p w14:paraId="33983E3B" w14:textId="77777777" w:rsidR="003754FE" w:rsidRDefault="003754FE" w:rsidP="003754FE">
      <w:pPr>
        <w:pStyle w:val="TextoNormal"/>
      </w:pPr>
      <w:r>
        <w:t>a) En relación con el art. 1.1 de la Ley 1/2022, que modifica el art. 5.2 b) de la Ley del derecho a la vivienda, al que se opone la vulneración del art. 149.1.1 CE, reitera que debería haberse identificado la ley estatal vulnerada por el precepto, que operaría como parámetro de constitucionalidad de la ley autonómica (SSTC 94/2014, de 12 de junio, y 16/2018, de 22 de febrero), y añade que aunque el mismo precepto, en la redacción dada por el art. 2.2 del Decreto-ley 17/2019, fue declarado inconstitucional por la STC 16/2021, tal declaración obedeció a que sobrepasaba los límites del art. 86.1 CE para las normas de urgencia. Además, indica que la STC 16/2018, FJ 8, ha declarado la constitucionalidad de una regulación semejante de la Ley Foral 24/2013, de 2 de julio, reconociendo la competencia del legislador navarro para determinar el deber del uso efectivo como parte del derecho de propiedad sobre la vivienda, lo que no supone sino la delimitación de la función social del derecho de propiedad, incorporando la preservación de los intereses generales. Y también se declaró la constitucionalidad de las medidas asociadas a este incumplimiento de la función social de la vivienda.</w:t>
      </w:r>
    </w:p>
    <w:p w14:paraId="53D27282" w14:textId="77777777" w:rsidR="003754FE" w:rsidRDefault="003754FE" w:rsidP="003754FE">
      <w:pPr>
        <w:pStyle w:val="TextoNormal"/>
      </w:pPr>
    </w:p>
    <w:p w14:paraId="3A2D14F2" w14:textId="77777777" w:rsidR="003754FE" w:rsidRDefault="003754FE" w:rsidP="003754FE">
      <w:pPr>
        <w:pStyle w:val="TextoNormal"/>
      </w:pPr>
      <w:r>
        <w:t>b) Por lo que se refiere al art. 7, que introduce un nuevo apartado 5 en el art. 126 de la Ley del derecho a la vivienda, se alega que tiene por objeto evitar que, mediante transmisiones de la propiedad entre personas jurídicas, se eluda el objetivo de la ley (los hechos han demostrado que se producen innumerables transacciones con el objetivo de evitar la declaración de este incumplimiento de la función social), y, en todo caso, no afecta a las personas físicas. No se trata de una regulación arbitraria, pues la actuación sancionadora de la administración se desencadena tras el incumplimiento de un requerimiento para la ocupación legal y efectiva de la vivienda [art. 123.1 h) de la Ley del derecho a la vivienda], pudiendo el nuevo adquirente justificar su disposición a destinar la vivienda a uso habitacional o las razones que motiven el retraso en cumplir dicho objetivo. Solo tras el incumplimiento del requerimiento quedará demostrado que la transmisión solo tiene por objetivo eludir la ley.</w:t>
      </w:r>
    </w:p>
    <w:p w14:paraId="24A67B3F" w14:textId="77777777" w:rsidR="003754FE" w:rsidRDefault="003754FE" w:rsidP="003754FE">
      <w:pPr>
        <w:pStyle w:val="TextoNormal"/>
      </w:pPr>
    </w:p>
    <w:p w14:paraId="44050489" w14:textId="77777777" w:rsidR="003754FE" w:rsidRDefault="003754FE" w:rsidP="003754FE">
      <w:pPr>
        <w:pStyle w:val="TextoNormal"/>
      </w:pPr>
      <w:r>
        <w:t>c) En cuanto al art. 8, que añade la disposición adicional vigésima séptima a la Ley del derecho a la vivienda, procedería sin más la desestimación de la pretensión de nulidad, ya que no se ha formulado argumentación alguna.</w:t>
      </w:r>
    </w:p>
    <w:p w14:paraId="0537D4B3" w14:textId="77777777" w:rsidR="003754FE" w:rsidRDefault="003754FE" w:rsidP="003754FE">
      <w:pPr>
        <w:pStyle w:val="TextoNormal"/>
      </w:pPr>
    </w:p>
    <w:p w14:paraId="0A4B8917" w14:textId="77777777" w:rsidR="003754FE" w:rsidRDefault="003754FE" w:rsidP="003754FE">
      <w:pPr>
        <w:pStyle w:val="TextoNormal"/>
      </w:pPr>
      <w:r>
        <w:t>d) El art. 9.2 —que modifica el art. 5.9 b) de la Ley del Parlamento de Cataluña 24/2015, de medidas urgentes para afrontar la emergencia en el ámbito de la vivienda y la pobreza energética—, define el concepto de grandes tenedores de viviendas, con unas excepciones que la parte recurrente no cuestiona. La modificación obedece al objetivo de adaptar la redacción del precepto a la definición de la norma estatal, indicando que los recurrentes impugnaron la redacción del art. 5.9 b) de la ley 24/2015, otorgada por el art. 5.7 del Decreto-ley 17/2019, por entender que invadía las competencias del Estado al no adecuar el concepto de gran tenedor al definido en el Real Decreto-ley 11/2020, de 31 de marzo, por el que se adoptan medidas urgentes complementarias en el ámbito social y económico para hacer frente al covid-19.</w:t>
      </w:r>
    </w:p>
    <w:p w14:paraId="6674799E" w14:textId="77777777" w:rsidR="003754FE" w:rsidRDefault="003754FE" w:rsidP="003754FE">
      <w:pPr>
        <w:pStyle w:val="TextoNormal"/>
      </w:pPr>
    </w:p>
    <w:p w14:paraId="787E4798" w14:textId="77777777" w:rsidR="003754FE" w:rsidRDefault="003754FE" w:rsidP="003754FE">
      <w:pPr>
        <w:pStyle w:val="TextoNormal"/>
      </w:pPr>
      <w:r>
        <w:t xml:space="preserve">e) El art. 10 añade una letra c) al art. 7.1 de la ley 24/2015, relativo a la cesión obligatoria de viviendas para incorporarlas al fondo social de viviendas de alquiler para políticas sociales. Este precepto fue declarado inconstitucional y nulo por razones formales por la STC </w:t>
      </w:r>
      <w:r>
        <w:lastRenderedPageBreak/>
        <w:t>16/2021, y la ley 1/2022 lo añade de nuevo, incorporando una garantía procedimental en la cesión de viviendas. En puridad, la parte recurrente no cuestiona este nuevo apartado, sino toda la regulación de la cesión de viviendas, oponiendo la abogada de la Generalitat (con apoyo en la STC 83/2020, FJ 2) que debe quedar al margen del proceso cualquier consideración sobre la ley que es objeto de modificación en aquellos aspectos que no se han visto afectados por la nueva ley, y tampoco cabe acoger una supuesta pretensión de inconstitucionalidad por conexión o consecuencia, que, cuando proceda, es únicamente prerrogativa del Tribunal (SSTC 49/2018, de 10 de mayo, FJ 2, y 102/2017, de 20 de julio, FJ 3). En todo caso, la regulación de la cesión obligatoria de viviendas está directamente relacionada con la de la Ley del Parlamento de Cataluña 14/2015, de 21 de julio, del impuesto sobre las viviendas vacías, y de modificación de normas tributarias y de la Ley 3/2012, pues ambas normas se dirigen a estimular a los sujetos a destinar al uso habitacional la vivienda vacía de su propiedad. En este supuesto, dicho objetivo se articula a través de un procedimiento de ejecución forzosa, que se realiza por medio de la ejecución subsidiaria (arts. 100 y 102 de la Ley 39/2015, de procedimiento administrativo común de las administraciones públicas), y las condiciones económicas, establecidas en función de la hipotética calificación de vivienda de protección oficial, son proporcionales y adecuadas con el objetivo de establecer un alquiler moderado por un periodo de tres años, moderación necesaria atendiendo a la grave crisis de exclusión residencial que afecta a una importante parte de la población, y el titular de la vivienda cedida podrá beneficiarse de bonificaciones de la cuota del impuesto sobre viviendas vacías. Se trata de una medida análoga a la que establece el art. 49 del texto refundido de la Ley de suelo y rehabilitación urbana (aprobado por el Real Decreto Legislativo 7/2015, de 30 de octubre).</w:t>
      </w:r>
    </w:p>
    <w:p w14:paraId="140658B1" w14:textId="77777777" w:rsidR="003754FE" w:rsidRDefault="003754FE" w:rsidP="003754FE">
      <w:pPr>
        <w:pStyle w:val="TextoNormal"/>
      </w:pPr>
    </w:p>
    <w:p w14:paraId="16D6B136" w14:textId="77777777" w:rsidR="003754FE" w:rsidRDefault="003754FE" w:rsidP="003754FE">
      <w:pPr>
        <w:pStyle w:val="TextoNormal"/>
      </w:pPr>
      <w:r>
        <w:t>f) En cuanto a los arts. 1.3, 11 y 12 y la disposición transitoria de la Ley 1/2022, sobre la obligación de ofrecer un alquiler social a determinados inquilinos, alega que el recurso, en realidad, cuestiona la regulación completa de la propuesta de alquiler social del art. 5 de la Ley 24/2015, por lo que se remite a las alegaciones realizadas en relación con el art. 10, que invoca la doctrina constitucional sobre el particular, según la cual, la ley anterior, en la parte que permanece con la redacción inicialmente aprobada, resulta inatacable [SSTC 83/2020, de 15 de julio, FJ 2 b), y 131/2020, de 22 de septiembre, FJ 3]. Añade que las modificaciones aprobadas han ampliado el espectro de casos a los que será de aplicación la propuesta de alquiler social, pero no han cambiado la naturaleza jurídica de esta figura, cuya regulación fue objeto del recurso de inconstitucionalidad 2501-2016 por parte del Estado. Hace referencia a las alegaciones realizadas en aquel procedimiento e indica que, a raíz de la STC 80/2018, que avaló la constitucionalidad de un precepto de la Ley de la Comunidad Valenciana 2/2017, de 3 de febrero, en materia de vivienda, que establecía la obligación de suscribir un contrato de alquiler en determinados supuestos, se suscribió un acuerdo interpretativo entre el Gobierno y la Generalitat de Cataluña sobre el alcance de la obligación de realizar una propuesta de alquiler social, que dio lugar al desistimiento del abogado del Estado, entre otros preceptos, respecto de la impugnación del art. 5, desistimiento aceptado por el Tribunal en la STC 13/2019. Afirma la abogada de la Generalitat que, de acuerdo con la doctrina de la STC 80/2018, es indudable que la propuesta de alquiler social no constituye un contrato de arrendamiento regido por la Ley de arrendamientos urbanos, sino que se trata de un contrato que deriva de una obligación que impone la normativa administrativa de la vivienda y cuyos beneficiarios son personas que se encuentran en idéntica situación de emergencia social que la persona que va a ser expulsada de su vivienda como consecuencia de una ejecución hipotecaria.</w:t>
      </w:r>
    </w:p>
    <w:p w14:paraId="07685219" w14:textId="77777777" w:rsidR="003754FE" w:rsidRDefault="003754FE" w:rsidP="003754FE">
      <w:pPr>
        <w:pStyle w:val="TextoNormal"/>
      </w:pPr>
    </w:p>
    <w:p w14:paraId="0A23FC4D" w14:textId="77777777" w:rsidR="003754FE" w:rsidRDefault="003754FE" w:rsidP="003754FE">
      <w:pPr>
        <w:pStyle w:val="TextoNormal"/>
      </w:pPr>
      <w:r>
        <w:t>Por lo que se refiere a los arts. 11 y 12 y a la disposición transitoria, tras exponer su objeto, se señala que la ampliación de los supuestos susceptibles de aplicar la propuesta de alquiler social encaja en la materia de vivienda, en ejercicio de la competencia exclusiva de la Generalitat (art. 137 EAC), y se insiste en que el art. 47 CE superpone a la consideración meramente jurídico-patrimonial de la vivienda una valoración de la finalidad social, que es la de satisfacer que todos los ciudadanos tengan acceso a ella, y en que, de acuerdo con la doctrina de la STC 37/1987, reiterada en la STC 154/2016, la Generalitat de Cataluña está regulando la vertiente institucional del derecho de propiedad, con la que pretende proteger los intereses de colectivos vulnerables. Se remite al informe del director de la Agencia de la Vivienda de Cataluña, que acompaña al escrito de alegaciones, de acuerdo con el cual, la figura del alquiler social y el derecho al realojo han dado unos resultados positivos que demuestran la aceptación de los propios obligados, ya que regularizar la ocupación redunda también en beneficio del propietario, e indica que, de hecho, el alquiler social ha contribuido notablemente a reducir los casos de ocupaciones ilegítimas. Y, además, esta regulación se adecua a la doctrina de la STC 32/2019, FJ 5, que enjuició la Ley 5/2018, de 11 de junio, de modificación de la Ley 1/2000, de 7 de enero, de enjuiciamiento civil, en relación a la ocupación ilegal de viviendas, estableciendo reglas dirigidas a que se diera respuesta inmediata a los casos de vulnerabilidad detectados en los lanzamientos.</w:t>
      </w:r>
    </w:p>
    <w:p w14:paraId="16611CCC" w14:textId="77777777" w:rsidR="003754FE" w:rsidRDefault="003754FE" w:rsidP="003754FE">
      <w:pPr>
        <w:pStyle w:val="TextoNormal"/>
      </w:pPr>
    </w:p>
    <w:p w14:paraId="3D65FFF4" w14:textId="77777777" w:rsidR="003754FE" w:rsidRDefault="003754FE" w:rsidP="003754FE">
      <w:pPr>
        <w:pStyle w:val="TextoNormal"/>
      </w:pPr>
      <w:r>
        <w:t>Se afirma, asimismo, que la ampliación del plazo de vigencia de la propuesta de alquiler social, prevista en la norma añadida por el art. 12 de la Ley 1/2022, es un ajuste equivalente y coherente con la reforma de la Ley de arrendamientos urbanos operada por el Real Decreto-ley 7/2019, de 1 de marzo, de medidas urgentes en materia de vivienda y alquiler. Por su parte, la disposición transitoria debe correr la misma suerte que los arts. 10 y 11, porque se limita a extender la obligación de hacer la propuesta de alquiler social a los procedimientos judiciales ya iniciados.</w:t>
      </w:r>
    </w:p>
    <w:p w14:paraId="16BF26FE" w14:textId="77777777" w:rsidR="003754FE" w:rsidRDefault="003754FE" w:rsidP="003754FE">
      <w:pPr>
        <w:pStyle w:val="TextoNormal"/>
      </w:pPr>
    </w:p>
    <w:p w14:paraId="5915C722" w14:textId="77777777" w:rsidR="003754FE" w:rsidRDefault="003754FE" w:rsidP="003754FE">
      <w:pPr>
        <w:pStyle w:val="TextoNormal"/>
      </w:pPr>
      <w:r>
        <w:t xml:space="preserve">En cuanto a la alegada invasión de la competencia estatal </w:t>
      </w:r>
      <w:r w:rsidRPr="003754FE">
        <w:rPr>
          <w:i/>
        </w:rPr>
        <w:t>ex</w:t>
      </w:r>
      <w:r>
        <w:t xml:space="preserve"> art. 149.1.6 CE por parte del art. 12 y la disposición transitoria, reconoce la abogada de la Generalitat que las SSTC 28/2022 y 57/2022 han declarado inconstitucional la obligación de acreditar que se ha formulado la propuesta de alquiler social al presentar las demandas de ejecución hipotecaria y de desahucio. No obstante, considera que la doctrina de dichas sentencias debe ser completada con la de la STC 21/2019, FJ 6, que admite la suspensión de los lanzamientos en procesos judiciales o extrajudiciales de desahucio por impago de alquiler pendientes de resolución, una vez que se haya pedido el informe sobre la situación de vulnerabilidad. En base a ello, el contenido de las normas impugnadas debería comportar la admisión de la suspensión de lanzamientos y desahucios hasta que el demandante manifieste si ha formulado la propuesta de alquiler social, ya que se trata de una medida protectora dictada por la Generalitat de Cataluña en ejercicio de sus competencias en materia de vivienda. Y, una vez despejada la duda, proseguirá el procedimiento judicial iniciado o que se vaya a iniciar, pudiendo la administración instar el correspondiente procedimiento por incumplimiento de la función social de la propiedad, sin que suponga ningún obstáculo para que el demandante acceda a los tribunales.</w:t>
      </w:r>
    </w:p>
    <w:p w14:paraId="1A4FA98D" w14:textId="77777777" w:rsidR="003754FE" w:rsidRDefault="003754FE" w:rsidP="003754FE">
      <w:pPr>
        <w:pStyle w:val="TextoNormal"/>
      </w:pPr>
    </w:p>
    <w:p w14:paraId="452A52C4" w14:textId="66E10694" w:rsidR="003754FE" w:rsidRDefault="003754FE" w:rsidP="003754FE">
      <w:pPr>
        <w:pStyle w:val="TextoNormal"/>
      </w:pPr>
      <w:r>
        <w:t xml:space="preserve">Por último, respecto al art. 1.3, que modifica la letra f) del art. 5 de la Ley del derecho a la vivienda, se expone la evolución legislativa desde la ley 24/2015, indicando que aquel reproduce de forma idéntica la versión otorgada por el Decreto-ley 17/2019, declarado </w:t>
      </w:r>
      <w:r>
        <w:lastRenderedPageBreak/>
        <w:t>inconstitucional por motivos formales por la STC 16/2021. Sostiene la abogada de la Generalitat que el precepto no tiene incidencia en materia de derecho procesal o de Derecho civil, ya que las causas de incumplimiento de la función social se incardinan en la legislación sobre la vivienda, y se deben interpretar en el marco de los arts. 47 y 33 CE y a la luz de la doctrina constitucional, valorando la vertiente privada y la vertiente institucional del derecho de propiedad. Y aunque el incumplimiento de la norma está tipificado como infracción grave, cabe señalar que la STC 80/2018 ya ha validado la constitucionalidad de la norma valenciana que prevé la imposición de sanciones por la negativa a suscribir el contrato de alquiler forzoso, incardinándola en la materia de ordenación de la vivienda.</w:t>
      </w:r>
    </w:p>
    <w:p w14:paraId="0D2E3F89" w14:textId="77777777" w:rsidR="003754FE" w:rsidRDefault="003754FE" w:rsidP="003754FE">
      <w:pPr>
        <w:pStyle w:val="TextoNormal"/>
      </w:pPr>
    </w:p>
    <w:p w14:paraId="62AEF4B7" w14:textId="251E97C6" w:rsidR="003754FE" w:rsidRDefault="003754FE" w:rsidP="003754FE">
      <w:pPr>
        <w:pStyle w:val="TextoNormal"/>
      </w:pPr>
      <w:r w:rsidRPr="003754FE">
        <w:rPr>
          <w:rStyle w:val="NumeroAFNegritaCaracter"/>
        </w:rPr>
        <w:t>8</w:t>
      </w:r>
      <w:r>
        <w:t>. El 13 de septiembre de 2022 se recibió en este tribunal el escrito de la presidenta del Congreso de los Diputados por el que ponía en conocimiento de este tribunal el acuerdo adoptado por la mesa de la Cámara, en reunión celebrada el anterior día 8, dando por personada a la Cámara en el procedimiento y por ofrecida su colaboración a los efectos del art. 88.1 LOTC.</w:t>
      </w:r>
    </w:p>
    <w:p w14:paraId="28A167DE" w14:textId="77777777" w:rsidR="003754FE" w:rsidRDefault="003754FE" w:rsidP="003754FE">
      <w:pPr>
        <w:pStyle w:val="TextoNormal"/>
      </w:pPr>
    </w:p>
    <w:p w14:paraId="4656F290" w14:textId="77777777" w:rsidR="003754FE" w:rsidRDefault="003754FE" w:rsidP="003754FE">
      <w:pPr>
        <w:pStyle w:val="TextoNormal"/>
      </w:pPr>
      <w:r w:rsidRPr="003754FE">
        <w:rPr>
          <w:rStyle w:val="NumeroAFNegritaCaracter"/>
        </w:rPr>
        <w:t>9</w:t>
      </w:r>
      <w:r>
        <w:t>. La letrada del Parlamento de Cataluña presentó escrito de alegaciones el 14 de septiembre de 2022 solicitando la integra desestimación del recurso de inconstitucionalidad.</w:t>
      </w:r>
    </w:p>
    <w:p w14:paraId="0AD3ED7C" w14:textId="77777777" w:rsidR="003754FE" w:rsidRDefault="003754FE" w:rsidP="003754FE">
      <w:pPr>
        <w:pStyle w:val="TextoNormal"/>
      </w:pPr>
    </w:p>
    <w:p w14:paraId="4B0399EF" w14:textId="77777777" w:rsidR="003754FE" w:rsidRDefault="003754FE" w:rsidP="003754FE">
      <w:pPr>
        <w:pStyle w:val="TextoNormal"/>
      </w:pPr>
      <w:r>
        <w:t>a) Comienza refiriéndose a la tacha de inconstitucionalidad global que dirige el recurso contra la Ley 1/2022, que reproduce la dirigida en su día contra el Decreto-ley 17/2019, y que, al igual que en aquel caso, contiene afirmaciones genéricas pero ninguna argumentación que vaya más allá de expresar una contradicción entre la ley impugnada y el principio de igualdad en el ejercicio de los derechos y deberes constitucionales. Carece del necesario razonamiento concreto por lo que se ha omitido la carga de argumentar a la que está sometida según la doctrina constitucional, de modo que debe rechazarse de la misma manera que se hizo en la STC 16/2021 sobre idéntica alegación global.</w:t>
      </w:r>
    </w:p>
    <w:p w14:paraId="6AEF01E2" w14:textId="77777777" w:rsidR="003754FE" w:rsidRDefault="003754FE" w:rsidP="003754FE">
      <w:pPr>
        <w:pStyle w:val="TextoNormal"/>
      </w:pPr>
    </w:p>
    <w:p w14:paraId="732BFD04" w14:textId="77777777" w:rsidR="003754FE" w:rsidRDefault="003754FE" w:rsidP="003754FE">
      <w:pPr>
        <w:pStyle w:val="TextoNormal"/>
      </w:pPr>
      <w:r>
        <w:t xml:space="preserve">b) Más específicamente, afirma que los arts. 1.1 y 10 de la Ley 1/2022 no invaden el título competencial estatal del art. 149.1.1 CE. El argumento empleado de contrario es simple y genérico, basado en la infracción del principio de igualdad por el mero hecho de la definición de un nuevo supuesto de ejercicio antisocial del derecho a la vivienda, basado en el erróneo entendimiento de que corresponde al Estado la regulación del contenido esencial del derecho de propiedad y de su función social, pero sin alegar cuál sería la legislación estatal básica, extremo determinante para apreciar la infracción, según la doctrina constitucional, ya que implica realizar un análisis de constitucionalidad mediata. Ese precepto y el art. 139.1 CE no pueden entenderse como una rigurosa y monolítica uniformidad del ordenamiento (SSTC 173/1988, de 3 de octubre, y 337/1994, de 23 de diciembre), y, en todo caso, el alcance de esa competencia básica no se establece sobre materias o sectores concretos, sino respecto de los derechos y obligaciones constitucionales, en la medida imprescindible para garantizar la igualdad, que no puede ser absoluta, pero sin operar como un título horizontal que pueda introducirse en cualquier materia o sector del ordenamiento (SSTC 61/1997 y 173/1998). El alcance del art. 149.1.1 CE debe ponerse igualmente en relación con la capacidad de incidir en la definición del contenido de los derechos y las obligaciones cuando están directamente relacionados con ámbitos materiales de competencia autonómica, como ocurre en este caso en el que la naturaleza de la competencia en materia de vivienda viene intrínsecamente vinculada a la disciplina del derecho de propiedad. Es cierto que la determinación de la función social de la vivienda limita el derecho de </w:t>
      </w:r>
      <w:r>
        <w:lastRenderedPageBreak/>
        <w:t>propiedad sobre ella, pero de ello no se sigue necesariamente una vulneración del derecho de propiedad privada, que no es absoluto o ilimitado, actuando la función social de cada bien como un principio o criterio de configuración del propio derecho. Y aunque la capacidad de modulación y configuración no es ilimitada, sí resulta especialmente intensa cuando el interés colectivo concurrente es relevante por razones sociales y económicas. En todo caso, indica que el legislador que determina la función social del derecho de propiedad no es solo el estatal, sino también el autonómico (SSTC 37/1987 y 16/2018).</w:t>
      </w:r>
    </w:p>
    <w:p w14:paraId="1AA140ED" w14:textId="77777777" w:rsidR="003754FE" w:rsidRDefault="003754FE" w:rsidP="003754FE">
      <w:pPr>
        <w:pStyle w:val="TextoNormal"/>
      </w:pPr>
    </w:p>
    <w:p w14:paraId="416C6ED5" w14:textId="77777777" w:rsidR="003754FE" w:rsidRDefault="003754FE" w:rsidP="003754FE">
      <w:pPr>
        <w:pStyle w:val="TextoNormal"/>
      </w:pPr>
      <w:r>
        <w:t>c) Defiende la letrada del Parlamento de Cataluña que el art. 12 y la disposición transitoria de la Ley 1/2022 no invaden el título competencial estatal previsto en el art. 149.1.6 CE. Afirma que el establecimiento de la obligación de formular una oferta de alquiler social antes de interponer determinadas demandas no es una novedad, pues ya estaba recogida en el art. 5.2 de la Ley 24/2015, y el art. 12 de la Ley 1/2022 la extiende a otros dos supuestos de desahucio. Aduce que la demanda no argumenta mínimamente la vulneración alegada, ya que se limita a afirmar la extralimitación competencial, prescindiendo del análisis concreto de la regulación impugnada. La obligación establecida en la Ley 24/2015 no es un requisito procesal, ni una excepción que faculte al demandado a oponerse a la demanda, sino que se establece, en virtud de la competencia autonómica sobre vivienda, como una carga que recae sobre determinados propietarios, y cuyo incumplimiento se tipifica como infracción administrativa en el art. 124.2 i) y j) de la Ley 18/2007. Por lo que se refiere a la previsión del apartado 2 de la disposición adicional que introduce el art. 12 en la Ley 24/2015, sostiene que completa el art. 5.2 de la misma ley, insertando una necesidad procesal sin la cual la obligación que este establece podría ser sistemáticamente incumplida, quedando plenamente justificada la existencia de una conexión entre la normativa sustantiva y la singularidad de la norma procesal. Por consiguiente, es una especialidad procesal que deriva de las particularidades del régimen especial de medidas urgentes para afrontar la emergencia en el ámbito de la vivienda, en el marco de lo que establece el art. 149.1.6 CE y al amparo de la competencia del art. 130 EAC.</w:t>
      </w:r>
    </w:p>
    <w:p w14:paraId="1ED20F4B" w14:textId="77777777" w:rsidR="003754FE" w:rsidRDefault="003754FE" w:rsidP="003754FE">
      <w:pPr>
        <w:pStyle w:val="TextoNormal"/>
      </w:pPr>
    </w:p>
    <w:p w14:paraId="3BE0E0FB" w14:textId="77777777" w:rsidR="003754FE" w:rsidRDefault="003754FE" w:rsidP="003754FE">
      <w:pPr>
        <w:pStyle w:val="TextoNormal"/>
      </w:pPr>
      <w:r>
        <w:t xml:space="preserve">d) El escrito de alegaciones niega, igualmente, que los arts. 1.1, 11 y 12 y la disposición transitoria vulneren la competencia exclusiva del Estado </w:t>
      </w:r>
      <w:r w:rsidRPr="003754FE">
        <w:rPr>
          <w:i/>
        </w:rPr>
        <w:t>ex</w:t>
      </w:r>
      <w:r>
        <w:t xml:space="preserve"> art. 149.1.8 CE. Aclara que lo que se establece es una ampliación de supuestos, por lo que cabe entender que no se discute la obligación de ofrecer un alquiler social, pues se trata de una carga ya prevista en la ley 24/2015, para destinatarios determinados y que no se aplica todos los propietarios, ni de forma indiscriminada sino proporcionalmente, de manera que no alcanza a vaciar de contenido o hacer irreconocible el derecho de propiedad en lo que concierne a su utilidad económica, sino que únicamente se establece un límite a la libertad de pactos. Los preceptos indicados no regulan la renta de los alquileres sociales ni la causa de los contratos, sino las circunstancias o hechos que hacen nacer aquella obligación en relación con determinados propietarios. Atendiendo a su objeto, sentido y finalidad (STC 153/1989, de 5 de octubre), sitúa las medidas contenidas en los preceptos impugnados, de contenido administrativo, en el ámbito de la competencia de vivienda del art. 137.1 EAC, que ha de considerarse la prevalente, aunque las normas dadas en esta materia regulan aspectos de la propiedad urbana por lo que inciden en facultades propias de las relaciones entre privados, como demuestran un buen número de previsiones de la Ley 18/2007, limitativas de las facultades dominicales en la transmisión de las viviendas. Del mismo modo, los contratos de alquiler pueden quedar afectados por las normas sectoriales, que pueden incidir en facultades propias del Derecho civil, limitando la percepción de una utilidad del bien por parte de su propietario, lo que es </w:t>
      </w:r>
      <w:r>
        <w:lastRenderedPageBreak/>
        <w:t>distinto de una regulación de los contratos de arrendamientos urbanos (STC 16/2018, FJ 8), a la que no se afecta de modo general, por lo que no puede entenderse que la normativa discutida regule el derecho básico contractual.</w:t>
      </w:r>
    </w:p>
    <w:p w14:paraId="20567160" w14:textId="77777777" w:rsidR="003754FE" w:rsidRDefault="003754FE" w:rsidP="003754FE">
      <w:pPr>
        <w:pStyle w:val="TextoNormal"/>
      </w:pPr>
    </w:p>
    <w:p w14:paraId="062CC280" w14:textId="77777777" w:rsidR="003754FE" w:rsidRDefault="003754FE" w:rsidP="003754FE">
      <w:pPr>
        <w:pStyle w:val="TextoNormal"/>
      </w:pPr>
      <w:r>
        <w:t>Para el caso de que el Tribunal acogiese la tesis de la recurrente, también debe entenderse que los preceptos impugnados son constitucionales porque la Generalitat puede adoptar medidas en materia contractual, de acuerdo con el alcance que la jurisprudencia constitucional ha dado a la competencia que el art. 149.1.8 CE reserva a las comunidades autónomas con derechos civiles, forales o especiales (con cita de la STC 132/2019), afirmando la letrada del Parlamento de Cataluña que la intención del constituyente es la de permitir el crecimiento de los derechos civiles autonómicos, y que la competencia prevista en la Constitución les permite regular instituciones conexas con las ya existentes en su ordenamiento, conexión que deberá valorarse atendiendo al conjunto de normas existentes cuando entró en vigor la Constitución. En este punto, se remite al fundamento jurídico 3 del dictamen del Consejo de Garantías Estatutarias 4/2019, de 17 de junio, en el que se destacan algunos hitos históricos en la regulación de materias conexas con los arrendamientos urbanos, a partir de la Ley 40/1960, de 21 de julio, sobre compilación del Derecho civil especial de Cataluña, interpretada en consonancia con la tradición jurídica catalana reflejada en otra serie de proyectos y normas. De ese repaso histórico se extrae la conclusión de que en Cataluña se han regulado, como parte del Derecho civil histórico, formas contractuales con una clara conexión con los contratos de arrendamientos urbanos, lo que supone, en coherencia con la jurisprudencia constitucional, que la Generalitat puede, al amparo del art. 129 EAC, adoptar normas que incidan en el derecho de arrendamientos urbanos; título competencial que debe siempre evaluarse dentro del marco general de las competencias de vivienda. Añade que la doctrina constitucional ha señalado que los arrendamientos urbanos son uno de los supuestos claros donde la incorporación de las exigencias sociales al contenido del derecho de propiedad es necesaria e incuestionable (STC 89/1994).</w:t>
      </w:r>
    </w:p>
    <w:p w14:paraId="54DBA85C" w14:textId="77777777" w:rsidR="003754FE" w:rsidRDefault="003754FE" w:rsidP="003754FE">
      <w:pPr>
        <w:pStyle w:val="TextoNormal"/>
      </w:pPr>
    </w:p>
    <w:p w14:paraId="19258E09" w14:textId="77777777" w:rsidR="003754FE" w:rsidRDefault="003754FE" w:rsidP="003754FE">
      <w:pPr>
        <w:pStyle w:val="TextoNormal"/>
      </w:pPr>
      <w:r>
        <w:t>e) En el siguiente apartado del escrito de alegaciones se afirma que los arts. 11 y 12 de la Ley 1/2022 no vulneran las bases generales de los contratos en materia de arrendamientos urbanos, indicando que el legislador civil estatal no ha identificado lo que deba entenderse por legislación básica en materia de contratos y que la STC 132/2019 ha configurado algunos de los elementos que deben tener la consideración de básicos en la materia. De la lectura de ambos preceptos se deduce con claridad que la complementación del régimen de alquiler social obligatorio que en ellos se regula no afecta ni a la configuración de los elementos esenciales de la relación arrendaticia ni al régimen general en materia de contrato de arrendamiento, sino únicamente a las situaciones de acciones ejecutivas derivadas de la reclamación de una deuda hipotecaria y las demandas de desahucio. Las partes seguirán estableciendo el precio de la renta, aunque sujeto a unas condiciones justificadas para garantizar el derecho de acceso a una vivienda digna, lo que no afecta a la recognoscibilidad del contrato. En suma, se trata de un régimen acorde con la Constitución, que no afecta a las bases de las obligaciones contractuales y que se enmarca en la dimensión institucional del derecho a la propiedad privada, estrechamente vinculada con la función social establecida en el art. 33 CE, cuyo contenido corresponde concretar a la Generalitat en virtud del art. 137.1 EAC.</w:t>
      </w:r>
    </w:p>
    <w:p w14:paraId="72CDE37B" w14:textId="77777777" w:rsidR="003754FE" w:rsidRDefault="003754FE" w:rsidP="003754FE">
      <w:pPr>
        <w:pStyle w:val="TextoNormal"/>
      </w:pPr>
    </w:p>
    <w:p w14:paraId="71203796" w14:textId="77777777" w:rsidR="003754FE" w:rsidRDefault="003754FE" w:rsidP="003754FE">
      <w:pPr>
        <w:pStyle w:val="TextoNormal"/>
      </w:pPr>
      <w:r>
        <w:t xml:space="preserve">Como último aspecto de esta alegación, se refiere la letrada del Parlamento a la contradicción de las normas impugnadas con la Ley de arrendamientos urbanos. Hay que partir de la naturaleza de dicha ley, para lo que es de utilidad acudir a la exposición de motivos del </w:t>
      </w:r>
      <w:r>
        <w:lastRenderedPageBreak/>
        <w:t>Real Decreto-ley 7/2019, de 1 de marzo, que expresa con claridad la relación entre las políticas públicas de vivienda y la regulación de los arrendamientos urbanos. Esto es, la finalidad de la Ley de arrendamientos urbanos no es únicamente regular materia de Derecho civil, sino que, en gran medida, pretende determinar la dirección de las políticas públicas en materia de vivienda en el ámbito del mercado de alquiler, constituyéndose así en pieza central de dichas políticas. No existe contradicción de los preceptos impugnados con la Ley de arrendamientos urbanos, pues esta sigue siendo la norma de aplicación en todo el territorio, aunque permitiendo, en el marco de las competencias atribuidas a las comunidades autónomas en materia de vivienda, su coexistencia con normas que introducen elementos de corrección del mercado del alquiler en aquellos puntos geográficos donde dicha medida resulta imprescindible, produciéndose un supuesto de cooperación entre la norma estatal y la autonómica, con incidencia tangencial de esta última en los arrendamientos urbanos para poder desarrollar sus políticas públicas de vivienda.</w:t>
      </w:r>
    </w:p>
    <w:p w14:paraId="5B7528CB" w14:textId="77777777" w:rsidR="003754FE" w:rsidRDefault="003754FE" w:rsidP="003754FE">
      <w:pPr>
        <w:pStyle w:val="TextoNormal"/>
      </w:pPr>
    </w:p>
    <w:p w14:paraId="712E0703" w14:textId="77777777" w:rsidR="003754FE" w:rsidRDefault="003754FE" w:rsidP="003754FE">
      <w:pPr>
        <w:pStyle w:val="TextoNormal"/>
      </w:pPr>
      <w:r>
        <w:t>f) Sostiene el escrito de alegaciones que los arts. 1.1 y 7 de la Ley 1/2022 no tienen la naturaleza de normas sancionadoras en el sentido del art. 25 CE. Dichos preceptos modifican la Ley 18/2007 en relación con los supuestos de incumplimiento de la función social de la propiedad, proyectándose sobre los deberes inherentes al cumplimiento de la función social del derecho de propiedad, que se precisan, evitando una posible interpretación de la ley que pueda enervar una situación de incumplimiento por el hecho de que la vivienda se transmita a un tercero. La ley define los deberes y obligaciones con claridad, en los que se subroga, en su caso, el nuevo adquirente que no puede alegar desconocimiento ni pretender verse exonerado de cumplirlos amparándose en la transmisión de la propiedad. El recurso reconduce la cuestión al ámbito exclusivo del derecho sancionador, a pesar de que el incumplimiento de la función social se proyecta sobre diversos aspectos. La modificación legal no trata de trasladar indebidamente una responsabilidad personal a una persona ajena, pues lo que se persigue es evitar que por una pretendida “personalización” del cumplimiento de una obligación, que la ley asocia objetivamente a un estado o situación de la vivienda, esa obligación pueda quedar sin efecto.</w:t>
      </w:r>
    </w:p>
    <w:p w14:paraId="7AFA476D" w14:textId="77777777" w:rsidR="003754FE" w:rsidRDefault="003754FE" w:rsidP="003754FE">
      <w:pPr>
        <w:pStyle w:val="TextoNormal"/>
      </w:pPr>
    </w:p>
    <w:p w14:paraId="72DD7B82" w14:textId="77777777" w:rsidR="003754FE" w:rsidRDefault="003754FE" w:rsidP="003754FE">
      <w:pPr>
        <w:pStyle w:val="TextoNormal"/>
      </w:pPr>
      <w:r>
        <w:t xml:space="preserve">g) Asimismo, aduce que la obligación de ofrecer un contrato de alquiler social a determinados inquilinos no vulnera los arts. 10, 24, 38 y 118 CE. Los preceptos impugnados son necesarios para completar y dar coherencia a la institución del contrato de alquiler social obligatorio. En este sentido, las modificaciones que se introducen son muy restrictivas, pues se exigen el cumplimiento simultáneo de una serie de requisitos. En cuanto a la duración mínima de los contratos de alquiler social obligatorio, se utiliza como parámetro la legislación de arrendamientos urbanos a la que se equipara. Por otro lado, la regulación discutida responde a un contexto de grave situación de escasez habitacional (endurecimiento de las condiciones del crédito, falta de capacidad de ahorro de la ciudadanía, etcétera). Además, debe enjuiciarse no aisladamente sino en conjunción con el resto de las medidas establecidas con el objetivo de favorecer una política pública de fomento de la vivienda de uso social lo más inclusiva posible. Niega que la limitación que supone esa obligación afecte al libre desarrollo de la personalidad, que el Tribunal Constitucional ha interpretado, no como autonomía de la voluntad en el sentido del art. 1255 del Código civil, sino como principio de autodeterminación en relación con la autotutela (STC 133/2017). Afectaría, en realidad, a la libertad de empresa (art. 38 CE), que puede ser modulada para la protección de otros bienes y derechos constitucionales, tales como el derecho a la vivienda (art. 47 CE) o la propia dignidad de la persona (art. 10.1 CE), y, en este caso, la modulación que realiza el </w:t>
      </w:r>
      <w:r>
        <w:lastRenderedPageBreak/>
        <w:t>legislador autonómico es proporcionada. En cuanto a la vulneración de los arts. 24 y 118 CE, se señala que la obligación de ofrecer una propuesta de alquiler social antes de interponer una demanda no es un requisito procesal de acceso a la jurisdicción, sino que tiene carácter administrativo, y los propios recurrentes aportan la prueba de que no se trata de un obstáculo al acceso a la jurisdicción, con el acuerdo de los presidentes de las secciones civiles de la Audiencia Provincial de Barcelona, que le niega la condición de requisito de procedibilidad. Por lo demás, la parte recurrente no alega qué contenido del art. 118 CE se estaría infringiendo, pudiendo señalarse que la norma solo opera respecto a un sector de población muy reducido.</w:t>
      </w:r>
    </w:p>
    <w:p w14:paraId="3DD2B2E3" w14:textId="77777777" w:rsidR="003754FE" w:rsidRDefault="003754FE" w:rsidP="003754FE">
      <w:pPr>
        <w:pStyle w:val="TextoNormal"/>
      </w:pPr>
    </w:p>
    <w:p w14:paraId="38873B35" w14:textId="5C08B056" w:rsidR="003754FE" w:rsidRDefault="003754FE" w:rsidP="003754FE">
      <w:pPr>
        <w:pStyle w:val="TextoNormal"/>
      </w:pPr>
      <w:r>
        <w:t>h) Finalmente, se afirma que la modificación de la definición de gran tenedor del art. 9.2 no es arbitraria ni discriminatoria. Reitera la aplicación deferente de la prohibición de arbitrariedad del art. 9.3 al legislador, respetando sus opciones políticas (SSTC 108/1986, FJ 18, y 96/2002, FJ 6), y destaca que se trata de una modificación técnica que simplifica y da claridad al concepto de “gran tenedor”, delimitando grandes patrimonios inmobiliarios, sin que se observe indicio alguno de irracionalidad o arbitrariedad.</w:t>
      </w:r>
    </w:p>
    <w:p w14:paraId="45E8A5E2" w14:textId="77777777" w:rsidR="003754FE" w:rsidRDefault="003754FE" w:rsidP="003754FE">
      <w:pPr>
        <w:pStyle w:val="TextoNormal"/>
      </w:pPr>
    </w:p>
    <w:p w14:paraId="2963C785" w14:textId="73EA00DF" w:rsidR="003754FE" w:rsidRDefault="003754FE" w:rsidP="003754FE">
      <w:pPr>
        <w:pStyle w:val="TextoNormal"/>
      </w:pPr>
      <w:r w:rsidRPr="003754FE">
        <w:rPr>
          <w:rStyle w:val="NumeroAFNegritaCaracter"/>
        </w:rPr>
        <w:t>10</w:t>
      </w:r>
      <w:r>
        <w:t>. Mediante providencia de 8 de octubre de 2024 se señaló ese mismo día para deliberación y fallo de la presente sentencia.</w:t>
      </w:r>
    </w:p>
    <w:p w14:paraId="207D321C" w14:textId="77777777" w:rsidR="003754FE" w:rsidRDefault="003754FE" w:rsidP="003754FE">
      <w:pPr>
        <w:pStyle w:val="TextoNormal"/>
      </w:pPr>
    </w:p>
    <w:p w14:paraId="41D40026" w14:textId="77777777" w:rsidR="003754FE" w:rsidRDefault="003754FE" w:rsidP="003754FE">
      <w:pPr>
        <w:pStyle w:val="TextoNormalNegritaCentrado"/>
        <w:keepNext/>
      </w:pPr>
      <w:r>
        <w:t>II. Fundamentos jurídicos</w:t>
      </w:r>
    </w:p>
    <w:p w14:paraId="346577F9" w14:textId="33B85650" w:rsidR="003754FE" w:rsidRDefault="003754FE" w:rsidP="003754FE">
      <w:pPr>
        <w:pStyle w:val="TextoNormalNegritaCentrado"/>
        <w:keepNext/>
      </w:pPr>
    </w:p>
    <w:p w14:paraId="2D13D805" w14:textId="77777777" w:rsidR="003754FE" w:rsidRDefault="003754FE" w:rsidP="003754FE">
      <w:pPr>
        <w:pStyle w:val="TextoNormal"/>
      </w:pPr>
      <w:r w:rsidRPr="003754FE">
        <w:rPr>
          <w:rStyle w:val="NumeroAFNegritaCaracter"/>
        </w:rPr>
        <w:t>1</w:t>
      </w:r>
      <w:r>
        <w:t xml:space="preserve">. </w:t>
      </w:r>
      <w:r w:rsidRPr="003754FE">
        <w:rPr>
          <w:i/>
        </w:rPr>
        <w:t>Objeto del recurso y posiciones de las partes</w:t>
      </w:r>
    </w:p>
    <w:p w14:paraId="26D92BB4" w14:textId="77777777" w:rsidR="003754FE" w:rsidRDefault="003754FE" w:rsidP="003754FE">
      <w:pPr>
        <w:pStyle w:val="TextoNormal"/>
      </w:pPr>
    </w:p>
    <w:p w14:paraId="72CD24C8" w14:textId="77777777" w:rsidR="003754FE" w:rsidRDefault="003754FE" w:rsidP="003754FE">
      <w:pPr>
        <w:pStyle w:val="TextoNormal"/>
      </w:pPr>
      <w:r>
        <w:t>En el presente recurso de inconstitucionalidad, promovido por más de cincuenta diputados del Grupo Parlamentario Popular en el Congreso de los Diputados, se impugna en su totalidad la Ley del Parlamento de Cataluña 1/2022, de 3 de marzo, de modificación de la Ley 18/2007, la Ley 24/2015 y la Ley 4/2016, para afrontar la emergencia en el ámbito de la vivienda, y, subsidiariamente, sus arts. 1.1, 1.3, 7, 8, 9.2, 10, 11, 12, y su disposición transitoria.</w:t>
      </w:r>
    </w:p>
    <w:p w14:paraId="4D5EC452" w14:textId="77777777" w:rsidR="003754FE" w:rsidRDefault="003754FE" w:rsidP="003754FE">
      <w:pPr>
        <w:pStyle w:val="TextoNormal"/>
      </w:pPr>
    </w:p>
    <w:p w14:paraId="66751E72" w14:textId="77777777" w:rsidR="003754FE" w:rsidRDefault="003754FE" w:rsidP="003754FE">
      <w:pPr>
        <w:pStyle w:val="TextoNormal"/>
      </w:pPr>
      <w:r>
        <w:t>Con carácter general imputan a la Ley 1/2022 en su conjunto la vulneración del art. 149.1.1 CE, en relación con los arts. 14, 33 y 139 CE, por regular las condiciones básicas del derecho de propiedad sobre las viviendas en Cataluña. Y, de manera específica, a los preceptos impugnados subsidiariamente les achacan vicios de índole tanto competencial como sustantiva, que se refieren a la definición de supuestos de incumplimiento de la función social de la propiedad de las viviendas y a las consecuencias que se anudan al mismo, a la ampliación de los supuestos en los que se obliga a los propietarios a ofrecer un alquiler social como requisito previo al ejercicio de acciones judiciales, con agravamiento de las consecuencias del incumplimiento de esa obligación y grave afección del derecho de propiedad. Asimismo, discuten la subrogación del adquirente de un inmueble en la posición del anterior titular a los efectos de la aplicación del régimen de incumplimiento de la función social, y la nueva modificación del concepto de gran tenedor.</w:t>
      </w:r>
    </w:p>
    <w:p w14:paraId="334B5C1D" w14:textId="77777777" w:rsidR="003754FE" w:rsidRDefault="003754FE" w:rsidP="003754FE">
      <w:pPr>
        <w:pStyle w:val="TextoNormal"/>
      </w:pPr>
    </w:p>
    <w:p w14:paraId="3F394714" w14:textId="7114E395" w:rsidR="003754FE" w:rsidRDefault="003754FE" w:rsidP="003754FE">
      <w:pPr>
        <w:pStyle w:val="TextoNormal"/>
      </w:pPr>
      <w:r>
        <w:t xml:space="preserve">Por su parte, las representaciones de la Generalitat y del Parlamento de Cataluña se oponen al recurso por los motivos que han quedados expuestos detalladamente en los antecedentes, en los que, en síntesis, además de objetar la ausencia de argumentación respecto de </w:t>
      </w:r>
      <w:r>
        <w:lastRenderedPageBreak/>
        <w:t>la inconstitucionalidad del art. 8, y la insuficiencia de la que se dirige contra la ley de forma general, señalan que la regulación impugnada trata de dar respuesta a una situación de emergencia habitacional, enmarcándose dentro de las competencias de la Comunidad Autónoma de Cataluña, especialmente en las relativas a vivienda, sin vulnerar las competencias estatales invocadas de contrario ni los derechos de los propietarios afectados por la normativa que introduce la Ley 1/2022.</w:t>
      </w:r>
    </w:p>
    <w:p w14:paraId="463F1AD1" w14:textId="77777777" w:rsidR="003754FE" w:rsidRDefault="003754FE" w:rsidP="003754FE">
      <w:pPr>
        <w:pStyle w:val="TextoNormal"/>
      </w:pPr>
    </w:p>
    <w:p w14:paraId="7624AD7A" w14:textId="77777777" w:rsidR="003754FE" w:rsidRDefault="003754FE" w:rsidP="003754FE">
      <w:pPr>
        <w:pStyle w:val="TextoNormal"/>
      </w:pPr>
      <w:r w:rsidRPr="003754FE">
        <w:rPr>
          <w:rStyle w:val="NumeroAFNegritaCaracter"/>
        </w:rPr>
        <w:t>2</w:t>
      </w:r>
      <w:r>
        <w:t xml:space="preserve">. </w:t>
      </w:r>
      <w:r w:rsidRPr="003754FE">
        <w:rPr>
          <w:i/>
        </w:rPr>
        <w:t>Consideraciones previas</w:t>
      </w:r>
    </w:p>
    <w:p w14:paraId="012940A9" w14:textId="77777777" w:rsidR="003754FE" w:rsidRDefault="003754FE" w:rsidP="003754FE">
      <w:pPr>
        <w:pStyle w:val="TextoNormal"/>
      </w:pPr>
    </w:p>
    <w:p w14:paraId="375B0F28" w14:textId="77777777" w:rsidR="003754FE" w:rsidRDefault="003754FE" w:rsidP="003754FE">
      <w:pPr>
        <w:pStyle w:val="TextoNormal"/>
      </w:pPr>
      <w:r>
        <w:t>Antes de proceder al análisis de las quejas formuladas por los diputados recurrentes, es preciso realizar unas consideraciones previas.</w:t>
      </w:r>
    </w:p>
    <w:p w14:paraId="1C2CB8F7" w14:textId="77777777" w:rsidR="003754FE" w:rsidRDefault="003754FE" w:rsidP="003754FE">
      <w:pPr>
        <w:pStyle w:val="TextoNormal"/>
      </w:pPr>
    </w:p>
    <w:p w14:paraId="134B1211" w14:textId="77777777" w:rsidR="003754FE" w:rsidRDefault="003754FE" w:rsidP="003754FE">
      <w:pPr>
        <w:pStyle w:val="TextoNormal"/>
      </w:pPr>
      <w:r>
        <w:t>a) Durante la pendencia de este proceso se ha aprobado por el Estado la Ley 12/2023, de 24 de mayo, por el derecho a la vivienda, que, de acuerdo con su disposición final séptima, se dicta, con carácter general, al amparo de los títulos competenciales del art. 149.1.1 y 13 CE, que atribuyen al Estado las competencias para regular las condiciones básicas que garanticen la igualdad de todos los españoles en el ejercicio de los derechos y en el cumplimiento de los deberes constitucionales y sobre bases y coordinación de la planificación general de la actividad económica, respectivamente, aunque determinadas previsiones quedan amparadas en las competencias estatales sobre legislación civil (art. 149.1.8 CE), en materia de legislación procesal (art. 149.1.6 CE) y en materia de hacienda general (art. 149.1.14 CE). Aun reconociendo lo limitado de las competencias del Estado, que “solo puede incidir, con distinto alcance y sobre la base de títulos competenciales diversos, en la política de vivienda”, a diferencia de los legisladores autonómicos, que “pueden formular completos programas normativos de la acción pública en la materia”, lo que aboca a “articular sus respectivas actuaciones de modo que puedan desplegarse en un marco normativo coherente, estable y seguro que haga posible la realidad el derecho reconocido en el artículo 47 de la Constitución” (punto II del preámbulo), la Ley de vivienda “busca el establecimiento de una regulación homogénea de los aspectos más esenciales de las políticas de vivienda que tanto afectan […] no solo a la satisfacción del propio derecho de acceso a la vivienda, sino también a la de otros derechos constitucionales y a la actividad económica del país” (punto III del preámbulo). Su art. 1.1 establece que la ley tiene por objeto “regular, en el ámbito de competencias del Estado, las condiciones básicas que garantizan la igualdad en el ejercicio de los derechos y en el cumplimiento de los deberes constitucionales relacionados con la vivienda y, en particular, el derecho a acceder a una vivienda digna y adecuada y al disfrute de la misma en condiciones asequibles, atendiendo al cumplimiento de lo dispuesto en los instrumentos internacionales ratificados por España y respetando en todo caso las competencias de las comunidades autónomas y, específicamente, las que tienen atribuidas en materia de vivienda”.</w:t>
      </w:r>
    </w:p>
    <w:p w14:paraId="31F48C79" w14:textId="77777777" w:rsidR="003754FE" w:rsidRDefault="003754FE" w:rsidP="003754FE">
      <w:pPr>
        <w:pStyle w:val="TextoNormal"/>
      </w:pPr>
    </w:p>
    <w:p w14:paraId="04C739B1" w14:textId="77777777" w:rsidR="003754FE" w:rsidRDefault="003754FE" w:rsidP="003754FE">
      <w:pPr>
        <w:pStyle w:val="TextoNormal"/>
      </w:pPr>
      <w:r>
        <w:t xml:space="preserve">Es preciso recordar que, de acuerdo con nuestra doctrina del </w:t>
      </w:r>
      <w:r w:rsidRPr="003754FE">
        <w:rPr>
          <w:i/>
        </w:rPr>
        <w:t>ius superveniens</w:t>
      </w:r>
      <w:r>
        <w:t xml:space="preserve"> (por todas, SSTC 86/2019, de 20 de junio, FJ 3; y 16/2020, de 28 de enero, FJ 2, que siguen otros pronunciamientos anteriores), cuando se plantean controversias de naturaleza competencial, como ocurre con buena parte de las quejas que se formulan en el presente recurso de inconstitucionalidad, su resolución debe efectuarse teniendo en cuenta el marco jurídico vigente en el momento de dictar sentencia. Por consiguiente, habrán de tomarse en consideración, en su caso, las normas contenidas en la Ley 12/2023 que sean precisas para el enjuiciamiento de la Ley 1/2022, así como la doctrina establecida en la STC 79/2024, de 21 de mayo, al </w:t>
      </w:r>
      <w:r>
        <w:lastRenderedPageBreak/>
        <w:t>resolver el recurso de inconstitucionalidad núm. 5491-2023 (promovido por el Consejo de Gobierno de la Comunidad Autónoma de Andalucía), primero de los interpuestos contra la Ley 12/2023 (al que han seguido los recursos núm. 5514-2023 —promovido por más de cincuenta diputados del Grupo Parlamentario Popular en el Congreso—, 5516-2023 —interpuesto por el Consejo de Gobierno de las Illes Balears—, 5518-2023 —promovido por el Consejo de Gobierno de la Comunidad de Madrid— y 5580-2023 —interpuesto por el Parlamento de Cataluña—, 1278-2024 —promovido por la Generalitat de Cataluña—, 1301-2024 —interpuesto por el Gobierno Vasco— y 1306-2024 —promovido por la Xunta de Galicia—).</w:t>
      </w:r>
    </w:p>
    <w:p w14:paraId="29D69DA5" w14:textId="77777777" w:rsidR="003754FE" w:rsidRDefault="003754FE" w:rsidP="003754FE">
      <w:pPr>
        <w:pStyle w:val="TextoNormal"/>
      </w:pPr>
    </w:p>
    <w:p w14:paraId="4082506C" w14:textId="77777777" w:rsidR="003754FE" w:rsidRDefault="003754FE" w:rsidP="003754FE">
      <w:pPr>
        <w:pStyle w:val="TextoNormal"/>
      </w:pPr>
      <w:r>
        <w:t>b) La Ley 1/2022, de 3 de marzo, tiene por objeto introducir diversas modificaciones en la Ley 18/2007, de 28 de diciembre, del derecho a la vivienda, en la Ley 24/2015, de 29 de julio, de medidas urgentes para afrontar la emergencia en el ámbito de la vivienda y la pobreza energética, y en la Ley 4/2016, de 23 de diciembre, de medidas de protección del derecho a la vivienda de las personas en riesgo de exclusión residencial. Su contenido es, en gran medida, reproducción de parte del capítulo 1 del Decreto-ley del Gobierno de la Generalitat de Cataluña 17/2019, de 23 de diciembre, de medidas urgentes para mejorar el acceso a la vivienda. Dicha norma fue objeto del recurso de inconstitucionalidad núm. 2577-2020, resuelto por este tribunal en la STC 16/2021, de 28 de enero, que declaró inconstitucionales buena parte de los preceptos impugnados en aquel procedimiento por exceder del marco normativo permitido a los decretos-leyes, según la doctrina establecida en la STC 93/2015, de 14 de mayo (respecto de un decreto-ley de Andalucía en materia de vivienda), ya que se dirigían a establecer “el único uso posible de un determinado tipo de bienes”, mediante una “regulación directa y con vocación de generalidad de las vertientes individual e institucional del derecho de propiedad sobre la vivienda”, que “se dirige a precisar el haz de facultades que integra este tipo de derecho de propiedad privada y, al mismo tiempo, a definir la función social del mismo”, yendo más allá de la regulación de las “medidas de fomento”, puesto que establecían medidas coactivas, no voluntarias, limitativas del derecho de propiedad (FJ 13). En atención al objeto de aquella regulación, se declaró la inconstitucionalidad de los preceptos que establecían medidas especialmente intensas, limitativas de los derechos de los propietarios de viviendas concernidos por la norma, que, por consiguiente, afectaban al derecho de propiedad, por lo que excedían de los límites materiales a que queda sujeto el decreto-ley, en contra de lo preceptuado por los arts. 86.1 CE y 64.1 EAC.</w:t>
      </w:r>
    </w:p>
    <w:p w14:paraId="4F38E0BD" w14:textId="77777777" w:rsidR="003754FE" w:rsidRDefault="003754FE" w:rsidP="003754FE">
      <w:pPr>
        <w:pStyle w:val="TextoNormal"/>
      </w:pPr>
    </w:p>
    <w:p w14:paraId="51B6C707" w14:textId="77777777" w:rsidR="003754FE" w:rsidRDefault="003754FE" w:rsidP="003754FE">
      <w:pPr>
        <w:pStyle w:val="TextoNormal"/>
      </w:pPr>
      <w:r>
        <w:t>El propio preámbulo de la Ley 1/2022 reconoce esa identidad de su regulación respecto de la contenida en el Decreto-ley 17/2019, al afirmar que, en relación con la ampliación de los supuestos de acceso al alquiler social, “recupera los artículos anulados por la sentencia del Tribunal Constitucional 16/2021 e introduce algunas mejoras técnicas orientadas a agilizar la solicitud y la gestión de los alquileres sociales obligatorios”. Ahora bien, ello no predetermina en modo alguno cuál deba ser la respuesta que se dé al presente recurso de inconstitucionalidad, pues el examen que se realizó en la STC 16/2021 se circunscribió a dilucidar la concurrencia de una limitación que recae en exclusiva sobre la legislación de urgencia, sin entrar a contestar las quejas de índole competencial o sustantivo que se formularon, que habían perdido objeto y no precisaban ya de un pronunciamiento específico del Tribunal (FJ 6). Y aquel vicio de inconstitucionalidad queda ahora excluido, ya que el instrumento normativo que se enjuicia es una ley aprobada legítimamente por el Parlamento de Cataluña, no constreñida, por tanto, por las previsiones de los arts. 86.1 CE y 64.1 EAC.</w:t>
      </w:r>
    </w:p>
    <w:p w14:paraId="149C0D0A" w14:textId="77777777" w:rsidR="003754FE" w:rsidRDefault="003754FE" w:rsidP="003754FE">
      <w:pPr>
        <w:pStyle w:val="TextoNormal"/>
      </w:pPr>
    </w:p>
    <w:p w14:paraId="4BFBF541" w14:textId="77777777" w:rsidR="003754FE" w:rsidRDefault="003754FE" w:rsidP="003754FE">
      <w:pPr>
        <w:pStyle w:val="TextoNormal"/>
      </w:pPr>
      <w:r>
        <w:t xml:space="preserve">c) Con posterioridad a la interposición del presente recurso, se han aprobado por el Parlamento de Cataluña la Ley 1/2023, de 15 de febrero, de modificación de la Ley 18/2007, del derecho a la vivienda, y del libro quinto del Código civil de Cataluña, relativo a los derechos reales, en relación con la adopción de medidas urgentes para afrontar la inactividad de los propietarios en los casos de ocupación ilegal de viviendas con alteración de la convivencia vecinal, que introduce algunas modificaciones en la indicada Ley del derecho a la vivienda, y la Ley del Parlamento de Cataluña 3/2023, de 16 de marzo, de medidas fiscales, financieras, administrativas y del sector público para el 2023, que ha modificado el art. 15.3 de la Ley 4/2016 en la redacción dada por el art. 15 de la Ley 1/2022. Sin embargo, estas nuevas normas no afectan a ninguno de los preceptos que son objeto del recurso de inconstitucionalidad, por lo que no tiene ninguna incidencia sobre su íntegra subsistencia en los precisos términos en los que fue planteado. También se aprobó el Decreto-ley del Gobierno de la Generalitat de Cataluña 6/2024, de 24 de abril, de medidas urgentes en materia de vivienda, que modificó los arts. 15.2, 59 g), 61.2, 66.2, 123, 124 y 125 y añadió el 66 </w:t>
      </w:r>
      <w:r w:rsidRPr="003754FE">
        <w:rPr>
          <w:i/>
        </w:rPr>
        <w:t>bis</w:t>
      </w:r>
      <w:r>
        <w:t xml:space="preserve"> a la Ley 18/2007, si bien quedó derogado por la resolución de 23 de mayo de 2024 (DOGC-f-2024-90105), por lo que tampoco ha de ser aquí considerado.</w:t>
      </w:r>
    </w:p>
    <w:p w14:paraId="43DED268" w14:textId="77777777" w:rsidR="003754FE" w:rsidRDefault="003754FE" w:rsidP="003754FE">
      <w:pPr>
        <w:pStyle w:val="TextoNormal"/>
      </w:pPr>
    </w:p>
    <w:p w14:paraId="48A40773" w14:textId="77777777" w:rsidR="003754FE" w:rsidRDefault="003754FE" w:rsidP="003754FE">
      <w:pPr>
        <w:pStyle w:val="TextoNormal"/>
      </w:pPr>
      <w:r>
        <w:t>d) Como se ha expuesto anteriormente, las representaciones autonómicas han denunciado la ausencia de toda argumentación en el recurso de inconstitucionalidad respecto del art. 8 de la Ley impugnada. Es doctrina reiterada de este tribunal que,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Y, para levantar esa carga, no basta con la mera invocación formal de los preceptos en la demanda, ni la existencia en ella de una solicitud expresa de su declaración de inconstitucionalidad, sino que es necesario que el escrito del recurso contenga la argumentación específica o razonamientos que fundamenten la presunta contradicción de estos con la norma fundamental. Solo así será posible el ejercicio del “derecho de defensa” por quien sostenga la constitucionalidad de la norma legal impugnada y permitirá a este tribunal conocer las razones por las que los recurrentes entienden que las disposiciones impugnadas transgreden el orden constitucional [por todas, SSTC 96/2013, de 23 de abril, FJ 3, y 90/2022, de 30 de junio, FJ 1 b)].</w:t>
      </w:r>
    </w:p>
    <w:p w14:paraId="478C1A6A" w14:textId="77777777" w:rsidR="003754FE" w:rsidRDefault="003754FE" w:rsidP="003754FE">
      <w:pPr>
        <w:pStyle w:val="TextoNormal"/>
      </w:pPr>
    </w:p>
    <w:p w14:paraId="5A716883" w14:textId="77777777" w:rsidR="003754FE" w:rsidRDefault="003754FE" w:rsidP="003754FE">
      <w:pPr>
        <w:pStyle w:val="TextoNormal"/>
      </w:pPr>
      <w:r>
        <w:t>Pues bien, en el presente caso puede observarse cómo, a pesar de que el art. 8 de la Ley 1/2022 se menciona expresamente en el encabezamiento del recurso entre los preceptos impugnados de manera subsidiaria, y se solicita en el suplico la declaración de su inconstitucionalidad y nulidad, sin embargo, no se encuentra a lo largo de toda la demanda epígrafe ni argumento alguno a partir del cual se pueda vislumbrar algún motivo de inconstitucionalidad suficientemente fundado que permita entender levantada la carga respecto de dicho precepto (que añade a la Ley 18/2007 la disposición adicional vigésima séptima, relativa a la creación del Registro de grandes tenedores de vivienda). Por consiguiente, los recurrentes no han cumplido con la carga alegatoria que les resultaba exigible tanto para que la contraparte pudiera defenderse adecuadamente como para que este tribunal contara con los debidos elementos para pronunciarse, a fin de reexaminar la presunción de constitucionalidad que ostenta esa previsión legal, de modo que debemos excluir de nuestro enjuiciamiento el referido art. 8.</w:t>
      </w:r>
    </w:p>
    <w:p w14:paraId="1F51A9DD" w14:textId="77777777" w:rsidR="003754FE" w:rsidRDefault="003754FE" w:rsidP="003754FE">
      <w:pPr>
        <w:pStyle w:val="TextoNormal"/>
      </w:pPr>
    </w:p>
    <w:p w14:paraId="5BADC2E2" w14:textId="77777777" w:rsidR="003754FE" w:rsidRDefault="003754FE" w:rsidP="003754FE">
      <w:pPr>
        <w:pStyle w:val="TextoNormal"/>
      </w:pPr>
      <w:r>
        <w:lastRenderedPageBreak/>
        <w:t>e) Por último, es preciso concretar el orden en el que se procederá al enjuiciamiento de las diferentes tachas de inconstitucionalidad que se formulan en la demanda, pues, como tiene establecido este tribunal, le corresponde determinar el orden del examen de las quejas planteadas, en función de las circunstancias concurrentes en cada supuesto sometido a su consideración [STC 183/2021, de 27 de octubre, FJ 2 C)].</w:t>
      </w:r>
    </w:p>
    <w:p w14:paraId="6E9B5DF5" w14:textId="77777777" w:rsidR="003754FE" w:rsidRDefault="003754FE" w:rsidP="003754FE">
      <w:pPr>
        <w:pStyle w:val="TextoNormal"/>
      </w:pPr>
    </w:p>
    <w:p w14:paraId="2D101178" w14:textId="0D6EAD21" w:rsidR="003754FE" w:rsidRDefault="003754FE" w:rsidP="003754FE">
      <w:pPr>
        <w:pStyle w:val="TextoNormal"/>
      </w:pPr>
      <w:r>
        <w:t>Nuestro enjuiciamiento comenzará con el análisis de la impugnación dirigida contra el conjunto de la Ley 1/2022, por vulneración del art. 149.1.1 CE, pues, si se produjera su estimación, no habría que examinar el resto de las quejas, que se plantean en relación con preceptos concretos. En caso contrario, procederíamos a estudiar, en primer lugar, las impugnaciones de carácter competencial, ya que, de estimarse el recurso por los motivos de esa naturaleza, no sería necesario abordar los de carácter sustantivo [en el mismo sentido, SSTC 132/2017, de 14 de noviembre, FJ 3, y 37/2022, de 10 de marzo, FJ 3 b)]. Además, parte de las quejas materiales relativas a la obligación de ofertar un alquiler social que se imputan a los arts. 1.3, 11 y 12 y a la disposición transitoria se formulan de manera vinculada a las tachas competenciales que denuncian la infracción del art. 149.1.6 y 8 CE.</w:t>
      </w:r>
    </w:p>
    <w:p w14:paraId="65C0D496" w14:textId="77777777" w:rsidR="003754FE" w:rsidRDefault="003754FE" w:rsidP="003754FE">
      <w:pPr>
        <w:pStyle w:val="TextoNormal"/>
      </w:pPr>
    </w:p>
    <w:p w14:paraId="588F8F95" w14:textId="77777777" w:rsidR="003754FE" w:rsidRDefault="003754FE" w:rsidP="003754FE">
      <w:pPr>
        <w:pStyle w:val="TextoNormal"/>
      </w:pPr>
      <w:r w:rsidRPr="003754FE">
        <w:rPr>
          <w:rStyle w:val="NumeroAFNegritaCaracter"/>
        </w:rPr>
        <w:t>3</w:t>
      </w:r>
      <w:r>
        <w:t xml:space="preserve">. </w:t>
      </w:r>
      <w:r w:rsidRPr="003754FE">
        <w:rPr>
          <w:i/>
        </w:rPr>
        <w:t>Queja general dirigida contra la Ley 1/2022 en su conjunto: desestimación</w:t>
      </w:r>
    </w:p>
    <w:p w14:paraId="680843B5" w14:textId="77777777" w:rsidR="003754FE" w:rsidRDefault="003754FE" w:rsidP="003754FE">
      <w:pPr>
        <w:pStyle w:val="TextoNormal"/>
      </w:pPr>
    </w:p>
    <w:p w14:paraId="676F5D31" w14:textId="77777777" w:rsidR="003754FE" w:rsidRDefault="003754FE" w:rsidP="003754FE">
      <w:pPr>
        <w:pStyle w:val="TextoNormal"/>
      </w:pPr>
      <w:r>
        <w:t>La primera tacha la formulan los recurrentes respecto a la totalidad de la Ley 1/2022, con invocación del art. 149.1.1 CE, en relación con los arts. 14, 33 y 139 CE, que consideran vulnerado porque entienden que la ley impugnada regula las condiciones básicas del derecho de propiedad en Cataluña, restringiendo desproporcionadamente la facultad de los propietarios para reivindicar su dominio, pues entienden que la función social forma parte del contenido esencial del derecho de propiedad, cuya determinación corresponde al Estado, careciendo el legislador autonómico de la habilitación necesaria para introducir medidas que incidan en aquel que no estén contempladas en sus aspectos básicos por la normativa estatal.</w:t>
      </w:r>
    </w:p>
    <w:p w14:paraId="44ABB6CA" w14:textId="77777777" w:rsidR="003754FE" w:rsidRDefault="003754FE" w:rsidP="003754FE">
      <w:pPr>
        <w:pStyle w:val="TextoNormal"/>
      </w:pPr>
    </w:p>
    <w:p w14:paraId="07AE085A" w14:textId="77777777" w:rsidR="003754FE" w:rsidRDefault="003754FE" w:rsidP="003754FE">
      <w:pPr>
        <w:pStyle w:val="TextoNormal"/>
      </w:pPr>
      <w:r>
        <w:t>Tanto la abogada de la Generalitat como la letrada del Parlamento de Cataluña se oponen a esa queja, alegando que el legislador autonómico es competente para delimitar la función social de la propiedad de la vivienda y que los argumentos de los recurrentes, además de contener afirmaciones genéricas, no se ajustan a la doctrina constitucional sobre el alcance del título competencial reservado al Estado por el art. 149.1.1 CE, aparte de advertir que el recurso no explicita qué preceptos de la Ley 1/2022 y por qué razones infringen la norma constitucional, por lo que debería rechazarse de la misma manera que se hizo en la STC 16/2021 sobre idéntica alegación global.</w:t>
      </w:r>
    </w:p>
    <w:p w14:paraId="54C9FB8D" w14:textId="77777777" w:rsidR="003754FE" w:rsidRDefault="003754FE" w:rsidP="003754FE">
      <w:pPr>
        <w:pStyle w:val="TextoNormal"/>
      </w:pPr>
    </w:p>
    <w:p w14:paraId="1B630288" w14:textId="77777777" w:rsidR="003754FE" w:rsidRDefault="003754FE" w:rsidP="003754FE">
      <w:pPr>
        <w:pStyle w:val="TextoNormal"/>
      </w:pPr>
      <w:r>
        <w:t xml:space="preserve">Ante todo, se ha de precisar, en relación con esta última afirmación, que no es cierto que en la STC 16/2021 se rechazara una impugnación idéntica del conjunto del Decreto-ley 17/2019 por las razones que aducen las representaciones autonómicas. En aquel caso dijimos que, dados los términos en los que se había formulado la tacha, refiriéndose a las “obligaciones adicionales” impuestas por el Decreto-ley impugnado a los propietarios de viviendas en Cataluña, había que concluir que dichas obligaciones no podían ser otras que “las de destinar la vivienda a la residencia efectiva de personas y ofrecer un alquiler social, reguladas en los preceptos anulados. Desaparecidos estos, el motivo de inconstitucionalidad, aunque formalmente dirigido contra todo el decreto-ley, pierde su sustento” [FJ 6 a)]. Así pues, fue la previa declaración de inconstitucionalidad de buena parte de la regulación por </w:t>
      </w:r>
      <w:r>
        <w:lastRenderedPageBreak/>
        <w:t>desconocer los límites materiales impuestos a los decretos-leyes la que dio lugar a la pérdida de objeto de la queja global planteada en aquel caso en los mismos términos que en el presente recurso respecto a la vulneración del art. 149.1.1 CE, que, por consiguiente, no fue examinada.</w:t>
      </w:r>
    </w:p>
    <w:p w14:paraId="79F95C63" w14:textId="77777777" w:rsidR="003754FE" w:rsidRDefault="003754FE" w:rsidP="003754FE">
      <w:pPr>
        <w:pStyle w:val="TextoNormal"/>
      </w:pPr>
    </w:p>
    <w:p w14:paraId="3E9232FC" w14:textId="77777777" w:rsidR="003754FE" w:rsidRDefault="003754FE" w:rsidP="003754FE">
      <w:pPr>
        <w:pStyle w:val="TextoNormal"/>
      </w:pPr>
      <w:r>
        <w:t>En relación con el carácter genérico de las afirmaciones del recurso y la falta de explicitación de las razones y los preceptos en que se basaría la vulneración del art. 149.1.1 CE por parte del conjunto de la Ley 1/2022, es necesario también realizar ciertas consideraciones. Es cierto que hemos dicho que “no puede invocarse en abstracto, como motivo de inconstitucionalidad, la vulneración del art. 149.1.1 CE, sino que ha de aducirse en cada caso, como parámetro, la ‘condición básica’ del ejercicio del derecho constitucional que se considere infringida (STC 152/2003, de 17 de julio, FJ 5, con cita de las SSTC 61/1997, de 20 de marzo, FJ 7, y 109/2003, de 5 de junio, FJ 17)”, pero también que, en este caso, en el momento de formularse el recurso, el Estado no había ejercido la habilitación que el artículo 149.1.1 CE le otorga para incidir en materia de vivienda, cosa que sí sucede en el momento de resolverse el recurso pues está vigente la Ley 12/2023, por lo que el óbice no puede aceptarse.</w:t>
      </w:r>
    </w:p>
    <w:p w14:paraId="5DE48E1C" w14:textId="77777777" w:rsidR="003754FE" w:rsidRDefault="003754FE" w:rsidP="003754FE">
      <w:pPr>
        <w:pStyle w:val="TextoNormal"/>
      </w:pPr>
    </w:p>
    <w:p w14:paraId="05E75D71" w14:textId="77777777" w:rsidR="003754FE" w:rsidRDefault="003754FE" w:rsidP="003754FE">
      <w:pPr>
        <w:pStyle w:val="TextoNormal"/>
      </w:pPr>
      <w:r>
        <w:t>Una vez precisados estos extremos, podemos ya adentrarnos en el análisis de la queja global, a cuyo efecto, debemos comenzar por exponer la doctrina respecto del art. 149.1.1 CE.</w:t>
      </w:r>
    </w:p>
    <w:p w14:paraId="2F563652" w14:textId="77777777" w:rsidR="003754FE" w:rsidRDefault="003754FE" w:rsidP="003754FE">
      <w:pPr>
        <w:pStyle w:val="TextoNormal"/>
      </w:pPr>
    </w:p>
    <w:p w14:paraId="51FA44C9" w14:textId="77777777" w:rsidR="003754FE" w:rsidRDefault="003754FE" w:rsidP="003754FE">
      <w:pPr>
        <w:pStyle w:val="TextoNormal"/>
      </w:pPr>
      <w:r>
        <w:t>Como ha señalado este tribunal, el art. 149.1.1 CE “constituye un título competencial autónomo, positivo o habilitante”, que en el ámbito normativo permite al Estado una “regulación”, aunque limitada al establecimiento de las “condiciones básicas”, que garanticen la igualdad en el ejercicio de los derechos y deberes constitucionales, y que no es equiparable a la competencia que ostenta el Estado en otras materias para dictar la correspondiente normativa básica. Dicha regulación no puede suponer una normación completa y acabada del derecho o deber de que se trate, y en consecuencia, es claro que las comunidades autónomas, en la medida en que tengan competencias sobre la materia, podrán siempre aprobar normas atinentes al régimen jurídico de ese derecho o deber. En suma, el art. 149.1.1 CE no debe ser entendido como una prohibición de divergencia autonómica [por todas, SSTC 61/1997, de 20 de marzo, FFJJ 7 y 8; 207/2013, de 5 de diciembre, FJ 5; 18/2016, de 4 de febrero, FJ 7; 95/2016, de 12 de mayo, FJ 5, y 27/2017, de 16 de febrero, FJ 3 b)].</w:t>
      </w:r>
    </w:p>
    <w:p w14:paraId="38E87E9C" w14:textId="77777777" w:rsidR="003754FE" w:rsidRDefault="003754FE" w:rsidP="003754FE">
      <w:pPr>
        <w:pStyle w:val="TextoNormal"/>
      </w:pPr>
    </w:p>
    <w:p w14:paraId="1DB293DE" w14:textId="77777777" w:rsidR="003754FE" w:rsidRDefault="003754FE" w:rsidP="003754FE">
      <w:pPr>
        <w:pStyle w:val="TextoNormal"/>
      </w:pPr>
      <w:r>
        <w:t xml:space="preserve">Por otra parte, hemos dicho que el título competencial del art. 149.1.1 CE no se puede identificar con el contenido derivado de otros preceptos constitucionales, tales como los arts. 138.2 y 139.1 CE, que son presupuestos o límites, pero no títulos competenciales; o el art. 139.2 CE, en cuanto expresión de la unidad de mercado y del derecho a la libre circulación; y tampoco viene a ser un trasunto, en el plano competencial, del art. 14 CE, que, por lo demás, vincula a todos los poderes públicos. Asimismo, este tribunal ha afirmado que las condiciones básicas no equivalen ni se identifican tampoco con el contenido esencial de los derechos (art. 53.1 CE), técnica cuyo objeto, como hemos reiterado desde la STC 11/1981, de 8 de abril, consiste en garantizar el derecho frente a los eventuales abusos o extralimitaciones de los poderes públicos, en particular y, en primer término, del legislador, cualquiera que este sea, en su tarea reguladora. El contenido esencial constituye, pues, una garantía constitucional en favor del individuo, algo a respetar por el legislador en cada caso competente, no para regular; no es, en definitiva, una técnica que permita determinar lo que al </w:t>
      </w:r>
      <w:r>
        <w:lastRenderedPageBreak/>
        <w:t>Estado o a las comunidades autónomas les corresponde. En términos positivos, pues, tanto el legislador estatal de las condiciones básicas, como el autonómico deben respetar el contenido esencial del derecho de propiedad [art. 53.1 CE; STC 61/1997, de 20 de marzo, FJ 7 a)].</w:t>
      </w:r>
    </w:p>
    <w:p w14:paraId="26E8CB68" w14:textId="77777777" w:rsidR="003754FE" w:rsidRDefault="003754FE" w:rsidP="003754FE">
      <w:pPr>
        <w:pStyle w:val="TextoNormal"/>
      </w:pPr>
    </w:p>
    <w:p w14:paraId="54A92094" w14:textId="77777777" w:rsidR="003754FE" w:rsidRDefault="003754FE" w:rsidP="003754FE">
      <w:pPr>
        <w:pStyle w:val="TextoNormal"/>
      </w:pPr>
      <w:r>
        <w:t>Igualmente, y como nos recuerda la STC 247/2007, de 12 de diciembre, FJ 17, “el art. 149.1.1 CE no habilita propiamente al Estado para regular el contenido normativo sustantivo de los derechos constitucionales, sino un aspecto diferente, cual es el de ‘las condiciones básicas que garanticen la igualdad en el ejercicio de los derechos y en el cumplimiento de los deberes constitucionales’. Por tanto, no cabe identificar el contenido normativo de los derechos constitucionales y las condiciones básicas con arreglo a las cuales dichos derechos han de ser ejercidos, de manera que las señaladas condiciones básicas solo permiten al Estado establecer una cierta homogeneidad en el ejercicio de tales derechos cuando ello fuere aconsejable para evitar una excesiva diversidad que pudiera menoscabar la entidad sustancial del derecho de que se trate”.</w:t>
      </w:r>
    </w:p>
    <w:p w14:paraId="623475BE" w14:textId="77777777" w:rsidR="003754FE" w:rsidRDefault="003754FE" w:rsidP="003754FE">
      <w:pPr>
        <w:pStyle w:val="TextoNormal"/>
      </w:pPr>
    </w:p>
    <w:p w14:paraId="6A322D2B" w14:textId="77777777" w:rsidR="003754FE" w:rsidRDefault="003754FE" w:rsidP="003754FE">
      <w:pPr>
        <w:pStyle w:val="TextoNormal"/>
      </w:pPr>
      <w:r>
        <w:t>En particular, en cuanto a la función social de la propiedad, este tribunal ha afirmado que su definición “no es algo que derive sustancialmente de una regulación unitaria del derecho de propiedad ni es tampoco aceptable que, al socaire de una ordenación uniforme de la propiedad privada, puedan anularse las competencias legislativas que las Comunidades Autónomas tienen sobre todas aquellas materias en las que entren en juego la propiedad y otros derechos de contenido patrimonial”. Y, a tal efecto, indicamos que “la incorporación de una vertiente institucional al derecho de propiedad privada hace que la función social que este derecho debe satisfacer no es ni puede ser igual en relación con todo tipo de bienes. Carece por lo mismo de sentido la exigencia de una regulación, necesariamente abstracta, de la función social —las funciones sociales, mejor— del dominio, realizada con carácter general y uniforme, pues sin duda resultaría altamente artificiosa. Por el contrario, esa dimensión institucional del derecho de propiedad privada no puede desligarse de la regulación de los concretos intereses generales que imponen una delimitación específica de su contenido. En consecuencia, corresponde a quien tiene atribuida la tutela de tales intereses —o, lo que es lo mismo, la competencia en relación con cada materia que pueda incidir sobre el contenido de la propiedad— establecer, en el marco de la Constitución, las limitaciones y deberes inherentes a la función social de cada tipo de propiedad”. Por tanto, con amparo en el art. 149.1.1 CE, el Estado podría regular las condiciones básicas que garanticen una igualdad de trato, básica o esencial, de todos los españoles en el ejercicio y el contenido de sus derechos de propiedad, pero sin que esa competencia pueda interpretarse de tal manera que vacíe el contenido de las numerosas competencias legislativas atribuidas a las comunidades autónomas cuyo ejercicio incida, directa o indirectamente, sobre los derechos y deberes garantizados por la misma (STC 37/1987, de 26 de marzo, FJ 9).</w:t>
      </w:r>
    </w:p>
    <w:p w14:paraId="53B7D14A" w14:textId="77777777" w:rsidR="003754FE" w:rsidRDefault="003754FE" w:rsidP="003754FE">
      <w:pPr>
        <w:pStyle w:val="TextoNormal"/>
      </w:pPr>
    </w:p>
    <w:p w14:paraId="6E05C598" w14:textId="77777777" w:rsidR="003754FE" w:rsidRDefault="003754FE" w:rsidP="003754FE">
      <w:pPr>
        <w:pStyle w:val="TextoNormal"/>
      </w:pPr>
      <w:r>
        <w:t>A partir de la doctrina expuesta, debemos rechazar la queja que el recurso de inconstitucionalidad dirige contra el conjunto de la Ley 1/2022, pues la competencia del art. 149.1.1 CE no implica que corresponda al legislador estatal en exclusiva la regulación de la función social o del contenido esencial del derecho de propiedad. Tampoco es posible apreciar, en una valoración que necesariamente ha de ser, como la queja, global, que exista una contradicción entre los objetivos perseguidos por la legislación estatal en materia de vivienda y el modelo que configura, y la regulación de la Ley 1/2022.</w:t>
      </w:r>
    </w:p>
    <w:p w14:paraId="643214EA" w14:textId="77777777" w:rsidR="003754FE" w:rsidRDefault="003754FE" w:rsidP="003754FE">
      <w:pPr>
        <w:pStyle w:val="TextoNormal"/>
      </w:pPr>
    </w:p>
    <w:p w14:paraId="221C7E6B" w14:textId="77777777" w:rsidR="003754FE" w:rsidRDefault="003754FE" w:rsidP="003754FE">
      <w:pPr>
        <w:pStyle w:val="TextoNormal"/>
      </w:pPr>
      <w:r>
        <w:lastRenderedPageBreak/>
        <w:t>En relación con esto último, huelga recordar que la Ley 12/2023 tiene, como dijimos en la STC 79/2024, un carácter pionero y, desde la perspectiva del art. 149.1.1 CE, regula las condiciones básicas que garanticen la igualdad de todos los españoles en el ejercicio de los derechos y en el cumplimiento de los deberes constitucionales, en relación con diferentes derechos constitucionales, como el derecho de propiedad de la vivienda y el ejercicio del derecho constitucional a disfrutar de una vivienda digna y adecuada [FJ 3 B) a)]. Según su preámbulo, ello se acomete desde una doble vertiente, una jurídico-pública y otra jurídico-privada. Se trata de un modelo perfectamente compatible con el que establece la Ley 1/2022, que dispone medidas de refuerzo urgentes para evitar la inminente pérdida de la vivienda habitual de miles de familias en Cataluña, fundamentalmente, mediante alquileres sociales.</w:t>
      </w:r>
    </w:p>
    <w:p w14:paraId="0F0A9D26" w14:textId="77777777" w:rsidR="003754FE" w:rsidRDefault="003754FE" w:rsidP="003754FE">
      <w:pPr>
        <w:pStyle w:val="TextoNormal"/>
      </w:pPr>
    </w:p>
    <w:p w14:paraId="3B99D8CB" w14:textId="77777777" w:rsidR="003754FE" w:rsidRDefault="003754FE" w:rsidP="003754FE">
      <w:pPr>
        <w:pStyle w:val="TextoNormal"/>
      </w:pPr>
      <w:r>
        <w:t>Respecto a los objetivos, según la exposición de motivos de la Ley 12/2023, esta persigue fijar aquellas condiciones básicas y de igualdad que garanticen un tratamiento uniforme del derecho a la vivienda y el establecimiento de una regulación homogénea de los aspectos más esenciales de las políticas de vivienda. Dichas finalidades, sin perjuicio de lo que resulte del examen de los concretos preceptos impugnados, no se ven contradichas por la Ley 1/2022, dictada en el ejercicio de las competencias autonómicas en materia de vivienda y con la finalidad de regular la política pública autonómica en dicha materia. Como recuerda la STC 79/2024, FJ 3 A), “según doctrina constitucional consolidada (por todas, STC 59/1995, de 17 de marzo, FJ 3), la vivienda ‘puede recaer bajo distintos títulos competenciales estatales o autonómicos dependiendo de cuál sea el enfoque y cuáles los instrumentos regulatorios utilizados en cada caso por el legislador’”, lo que determina que el hecho de que exista legislación estatal y autonómica sobre la misma materia no implica que, por esa sola razón, la norma autonómica incurra en extralimitación competencial.</w:t>
      </w:r>
    </w:p>
    <w:p w14:paraId="6B8A759F" w14:textId="77777777" w:rsidR="003754FE" w:rsidRDefault="003754FE" w:rsidP="003754FE">
      <w:pPr>
        <w:pStyle w:val="TextoNormal"/>
      </w:pPr>
    </w:p>
    <w:p w14:paraId="11ED4CFF" w14:textId="77777777" w:rsidR="003754FE" w:rsidRDefault="003754FE" w:rsidP="003754FE">
      <w:pPr>
        <w:pStyle w:val="TextoNormal"/>
      </w:pPr>
      <w:r>
        <w:t>Por lo demás, basta reiterar que el título estatal invocado no representa una prohibición para el legislador autonómico de un trato divergente respecto de la legislación estatal [STC 61/1997, de 20 de marzo, FJ 7 a)], pues el propio tenor literal del precepto deja claro que la igualdad que se persigue no es la identidad de las situaciones jurídicas de todos los ciudadanos en cualquier zona del territorio nacional, por lo que, como ya se ha dicho, las comunidades autónomas, en la medida en que tengan competencias sobre la materia, podrán siempre aprobar normas atinentes al régimen jurídico de ese derecho —como en el caso de la propiedad de la vivienda—. Y, por otro lado, debemos recordar que el principio de igualdad que enuncia el art. 139.1 CE “no puede ser entendido en modo alguno como una rigurosa y monolítica uniformidad del ordenamiento de la que resulte que, en igualdad de circunstancias, en cualquier parte del territorio nacional, se tienen los mismos derechos y obligaciones” (STC 37/1981, de 16 de noviembre, FJ 2), ni impone a todas las comunidades autónomas la obligación de ejercer sus competencias “de una manera o con un contenido y unos resultados idénticos o semejantes.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139.1 y 149.1.1 de la Constitución, ya que estos preceptos no exigen un tratamiento jurídico uniforme de los derechos y deberes de los ciudadanos en todo tipo de materias y en todo el territorio del Estado, lo que sería frontalmente incompatible con la autonomía” (STC 37/1987, de 26 de marzo, FJ 10).</w:t>
      </w:r>
    </w:p>
    <w:p w14:paraId="02F28122" w14:textId="77777777" w:rsidR="003754FE" w:rsidRDefault="003754FE" w:rsidP="003754FE">
      <w:pPr>
        <w:pStyle w:val="TextoNormal"/>
      </w:pPr>
    </w:p>
    <w:p w14:paraId="26E0920C" w14:textId="2FB6E42E" w:rsidR="003754FE" w:rsidRDefault="003754FE" w:rsidP="003754FE">
      <w:pPr>
        <w:pStyle w:val="TextoNormal"/>
      </w:pPr>
      <w:r>
        <w:lastRenderedPageBreak/>
        <w:t>Por consiguiente, el motivo general de inconstitucionalidad, dirigido contra la totalidad de la Ley 1/2022, debe ser desestimado, por lo que debemos proceder al análisis de las quejas que el recurso dirige subsidiariamente contra determinados preceptos.</w:t>
      </w:r>
    </w:p>
    <w:p w14:paraId="75F0D99A" w14:textId="77777777" w:rsidR="003754FE" w:rsidRDefault="003754FE" w:rsidP="003754FE">
      <w:pPr>
        <w:pStyle w:val="TextoNormal"/>
      </w:pPr>
    </w:p>
    <w:p w14:paraId="1B1D9234" w14:textId="77777777" w:rsidR="003754FE" w:rsidRDefault="003754FE" w:rsidP="003754FE">
      <w:pPr>
        <w:pStyle w:val="TextoNormal"/>
      </w:pPr>
      <w:r w:rsidRPr="003754FE">
        <w:rPr>
          <w:rStyle w:val="NumeroAFNegritaCaracter"/>
        </w:rPr>
        <w:t>4</w:t>
      </w:r>
      <w:r>
        <w:t xml:space="preserve">. </w:t>
      </w:r>
      <w:r w:rsidRPr="003754FE">
        <w:rPr>
          <w:i/>
        </w:rPr>
        <w:t>Vulneración de competencias estatales por los arts. 1.1 y 10 de la Ley 1/2022: desestimación</w:t>
      </w:r>
    </w:p>
    <w:p w14:paraId="0B4A986A" w14:textId="77777777" w:rsidR="003754FE" w:rsidRDefault="003754FE" w:rsidP="003754FE">
      <w:pPr>
        <w:pStyle w:val="TextoNormal"/>
      </w:pPr>
    </w:p>
    <w:p w14:paraId="607FA91D" w14:textId="77777777" w:rsidR="003754FE" w:rsidRDefault="003754FE" w:rsidP="003754FE">
      <w:pPr>
        <w:pStyle w:val="TextoNormal"/>
      </w:pPr>
      <w:r>
        <w:t>Como primera queja específica dirigida contra el articulado, los recurrentes impugnan los arts. 1.1 y 10 de la Ley 1/2022, por considerar que infringen el art. 149.1.1 CE, en conexión con los arts. 149.1.8 y 33 CE. Entienden que tal infracción se produce por definir un supuesto de incumplimiento de la función social de la propiedad de una vivienda o edificio de viviendas, que puede dar lugar a reacciones negativas sobre el propietario, y por el establecimiento de la facultad de la administración de resolver la cesión obligatoria de viviendas para su incorporación al fondo de viviendas de alquiler para políticas sociales sin una compensación adecuada, ya que ello supone romper con el principio de igualdad en cuanto al contenido del derecho de propiedad de las viviendas, incumpliendo con lo dispuesto en el art. 149.1.1 CE, conforme al cual corresponde al Estado establecer las condiciones básicas del régimen de propiedad del suelo urbano consolidado. Además, afirman que los preceptos inciden materialmente en el derecho privado, al regular un derecho patrimonial, por lo que entran en conflicto con la competencia exclusiva del Estado en materia de legislación civil (art. 149.1.8 CE).</w:t>
      </w:r>
    </w:p>
    <w:p w14:paraId="1CE8DFF5" w14:textId="77777777" w:rsidR="003754FE" w:rsidRDefault="003754FE" w:rsidP="003754FE">
      <w:pPr>
        <w:pStyle w:val="TextoNormal"/>
      </w:pPr>
    </w:p>
    <w:p w14:paraId="32C30976" w14:textId="77777777" w:rsidR="003754FE" w:rsidRDefault="003754FE" w:rsidP="003754FE">
      <w:pPr>
        <w:pStyle w:val="TextoNormal"/>
      </w:pPr>
      <w:r>
        <w:t>La abogada de la Generalitat y la letrada del Parlamento de Cataluña se oponen a las anteriores quejas, alegando, respecto a la vulneración del art. 149.1.1 CE, al igual que sostuvieron en cuanto a la tacha dirigida contra el conjunto de la Ley 1/2022, que no se ha identificado la ley estatal que operaría como parámetro de constitucionalidad de las normas autonómicas. Asimismo, denuncian que, en realidad, se pretende impugnar la totalidad de la regulación de la cesión de viviendas, y no solo aquello que ha sido objeto de modificación, y, por otro lado, que, aunque la determinación de la función social de la vivienda limita el derecho de propiedad, ello no supone una vulneración del derecho de propiedad privada. En todo caso, señalan que el legislador que determina esa función social no es solo el estatal, sino también el autonómico.</w:t>
      </w:r>
    </w:p>
    <w:p w14:paraId="0CF44D67" w14:textId="77777777" w:rsidR="003754FE" w:rsidRDefault="003754FE" w:rsidP="003754FE">
      <w:pPr>
        <w:pStyle w:val="TextoNormal"/>
      </w:pPr>
    </w:p>
    <w:p w14:paraId="35D3F610" w14:textId="77777777" w:rsidR="003754FE" w:rsidRDefault="003754FE" w:rsidP="003754FE">
      <w:pPr>
        <w:pStyle w:val="TextoNormal"/>
      </w:pPr>
      <w:r>
        <w:t>El art. 1.1 de la Ley 1/2022 modifica la letra b) del art. 5.2 de la Ley 18/2007, de 28 de diciembre, del derecho a la vivienda, según el cual se produce un incumplimiento de la función social de la propiedad de una vivienda o un edificio de viviendas cuando estos “estén desocupados de forma permanente e injustificada durante un período de más de dos años. Ni la ocupación de estas viviendas sin título habilitante ni la transmisión de su titularidad a favor de una persona jurídica alteran la situación de incumplimiento de la función social de la propiedad”. En realidad, la nueva redacción que se da al precepto no difiere sustancialmente de la resultante del Decreto-ley 5/2019, de 5 de marzo, de medidas urgentes para mejorar el acceso a la vivienda, que quedó derogado en fecha 18 de abril de 2019, al no haber sido convalidado por el Parlamento de Cataluña en el plazo establecido por el artículo 64.2 EAC. Tampoco se aparta de la que le dio el art. 2.2 del Decreto-ley 17/2019, de 23 de diciembre, de medidas urgentes para mejorar el acceso a la vivienda, precepto que fue declarado inconstitucional por la STC 16/2021, de 28 de enero, por infracción de los límites materiales impuestos al Decreto-ley por el art. 86.1 CE.</w:t>
      </w:r>
    </w:p>
    <w:p w14:paraId="7A733F99" w14:textId="77777777" w:rsidR="003754FE" w:rsidRDefault="003754FE" w:rsidP="003754FE">
      <w:pPr>
        <w:pStyle w:val="TextoNormal"/>
      </w:pPr>
    </w:p>
    <w:p w14:paraId="6DA43890" w14:textId="77777777" w:rsidR="003754FE" w:rsidRDefault="003754FE" w:rsidP="003754FE">
      <w:pPr>
        <w:pStyle w:val="TextoNormal"/>
      </w:pPr>
      <w:r>
        <w:lastRenderedPageBreak/>
        <w:t>Por su parte, el art. 10 modifica el apartado 1 del art. 7 de la Ley 24/2015, de 29 de julio, de medidas urgentes para afrontar la emergencia en el ámbito de la vivienda y la pobreza energética, referido a las “Medidas para garantizar la función social de la propiedad y aumentar el parque de viviendas asequibles en alquiler”, y que queda redactado en los siguientes términos:</w:t>
      </w:r>
    </w:p>
    <w:p w14:paraId="2F6CC9B1" w14:textId="77777777" w:rsidR="003754FE" w:rsidRDefault="003754FE" w:rsidP="003754FE">
      <w:pPr>
        <w:pStyle w:val="TextoNormal"/>
      </w:pPr>
    </w:p>
    <w:p w14:paraId="28B2A068" w14:textId="77777777" w:rsidR="003754FE" w:rsidRDefault="003754FE" w:rsidP="003754FE">
      <w:pPr>
        <w:pStyle w:val="TextoNormal"/>
      </w:pPr>
      <w:r>
        <w:t>“1. La Administración puede resolver la cesión obligatoria de viviendas, por un período de siete años, para incorporarlas al Fondo de viviendas de alquiler para políticas sociales, en el caso de viviendas vacías que sean propiedad de personas jurídicas y siempre que se cumplan las siguientes condiciones:</w:t>
      </w:r>
    </w:p>
    <w:p w14:paraId="5F4A4FD7" w14:textId="77777777" w:rsidR="003754FE" w:rsidRDefault="003754FE" w:rsidP="003754FE">
      <w:pPr>
        <w:pStyle w:val="TextoNormal"/>
      </w:pPr>
    </w:p>
    <w:p w14:paraId="49FA42B8" w14:textId="77777777" w:rsidR="003754FE" w:rsidRDefault="003754FE" w:rsidP="003754FE">
      <w:pPr>
        <w:pStyle w:val="TextoNormal"/>
      </w:pPr>
      <w:r>
        <w:t>a) Que el propietario de la vivienda sea sujeto pasivo, no exento, obligado al pago del impuesto sobre las viviendas vacías, de acuerdo con lo que establece la ley que regula este impuesto.</w:t>
      </w:r>
    </w:p>
    <w:p w14:paraId="0E4162D2" w14:textId="77777777" w:rsidR="003754FE" w:rsidRDefault="003754FE" w:rsidP="003754FE">
      <w:pPr>
        <w:pStyle w:val="TextoNormal"/>
      </w:pPr>
    </w:p>
    <w:p w14:paraId="1C184B6A" w14:textId="77777777" w:rsidR="003754FE" w:rsidRDefault="003754FE" w:rsidP="003754FE">
      <w:pPr>
        <w:pStyle w:val="TextoNormal"/>
      </w:pPr>
      <w:r>
        <w:t>b) Que este sujeto pasivo disponga de viviendas vacías en un municipio en el que exista, como mínimo, una unidad familiar en una de las situaciones de riesgo de exclusión residencial definidas por esta ley sin solución en lo que respecta a la vivienda.</w:t>
      </w:r>
    </w:p>
    <w:p w14:paraId="2A7187B0" w14:textId="77777777" w:rsidR="003754FE" w:rsidRDefault="003754FE" w:rsidP="003754FE">
      <w:pPr>
        <w:pStyle w:val="TextoNormal"/>
      </w:pPr>
    </w:p>
    <w:p w14:paraId="28D99BAC" w14:textId="77777777" w:rsidR="003754FE" w:rsidRDefault="003754FE" w:rsidP="003754FE">
      <w:pPr>
        <w:pStyle w:val="TextoNormal"/>
      </w:pPr>
      <w:r>
        <w:t>c) Que el propietario haya incumplido el requerimiento relativo a la obligación de que la vivienda sea ocupada legalmente para constituir la residencia de las personas, el cual advierte de que, si el propietario no acredita la ocupación de la vivienda en el plazo de un mes, puede declararse el incumplimiento de la función social de la vivienda a efectos de iniciar el procedimiento para la cesión obligatoria en los términos establecidos por este artículo”.</w:t>
      </w:r>
    </w:p>
    <w:p w14:paraId="11FA6289" w14:textId="77777777" w:rsidR="003754FE" w:rsidRDefault="003754FE" w:rsidP="003754FE">
      <w:pPr>
        <w:pStyle w:val="TextoNormal"/>
      </w:pPr>
    </w:p>
    <w:p w14:paraId="0BEDE959" w14:textId="77777777" w:rsidR="003754FE" w:rsidRDefault="003754FE" w:rsidP="003754FE">
      <w:pPr>
        <w:pStyle w:val="TextoNormal"/>
      </w:pPr>
      <w:r>
        <w:t xml:space="preserve">En este caso, la modificación que se introduce en el texto original de la Ley 24/2015 tan solo afecta al plazo de cesión obligatoria, que pasa de tres a siete años, y a la letra c), que se introduce </w:t>
      </w:r>
      <w:r w:rsidRPr="003754FE">
        <w:rPr>
          <w:i/>
        </w:rPr>
        <w:t>ex novo</w:t>
      </w:r>
      <w:r>
        <w:t>, aunque con el mismo contenido que le dio el art. 5.5 del Decreto-ley 17/2019, declarado igualmente inconstitucional por la STC 16/2021, por el mismo motivo formal antes señalado.</w:t>
      </w:r>
    </w:p>
    <w:p w14:paraId="2E1526DA" w14:textId="77777777" w:rsidR="003754FE" w:rsidRDefault="003754FE" w:rsidP="003754FE">
      <w:pPr>
        <w:pStyle w:val="TextoNormal"/>
      </w:pPr>
    </w:p>
    <w:p w14:paraId="775F64E0" w14:textId="77777777" w:rsidR="003754FE" w:rsidRDefault="003754FE" w:rsidP="003754FE">
      <w:pPr>
        <w:pStyle w:val="TextoNormal"/>
      </w:pPr>
      <w:r>
        <w:t>Una vez expuestas las posiciones de las partes y el contenido de los preceptos impugnados, conviene delimitar de manera precisa el objeto de nuestro enjuiciamiento, pues, con independencia de las referencias que aquellas realizan a la posible afección sobre el derecho de propiedad, lo cierto es que el sentido de las quejas que plantean los recurrentes es de estricta índole competencial, sirviendo las referencias a tal derecho únicamente como argumento añadido para justificar que se está incidiendo en extremos que corresponden a la exclusiva competencia del Estado. Por lo tanto, nuestro examen se ha de ceñir, exactamente, a las precisas tachas de naturaleza competencial que se articulan en la demanda contra los arts. 1.1 y 10 de la Ley 1/2022.</w:t>
      </w:r>
    </w:p>
    <w:p w14:paraId="236AA8CD" w14:textId="77777777" w:rsidR="003754FE" w:rsidRDefault="003754FE" w:rsidP="003754FE">
      <w:pPr>
        <w:pStyle w:val="TextoNormal"/>
      </w:pPr>
    </w:p>
    <w:p w14:paraId="07B62797" w14:textId="77777777" w:rsidR="003754FE" w:rsidRDefault="003754FE" w:rsidP="003754FE">
      <w:pPr>
        <w:pStyle w:val="TextoNormal"/>
      </w:pPr>
      <w:r>
        <w:t>a) Partiendo de esta consideración, podemos comenzar por desestimar la queja relativa a la vulneración del art. 149.1.1 CE, por los mismos argumentos que se han desarrollado en el fundamento anterior respecto de la impugnación general de la Ley por vulneración del citado precepto constitucional, y que se dan aquí por reproducidos, sin que exista en la Ley estatal 12/2023 una regulación que pueda entenderse infringida por el precepto que ahora se impugna.</w:t>
      </w:r>
    </w:p>
    <w:p w14:paraId="57702EF7" w14:textId="77777777" w:rsidR="003754FE" w:rsidRDefault="003754FE" w:rsidP="003754FE">
      <w:pPr>
        <w:pStyle w:val="TextoNormal"/>
      </w:pPr>
    </w:p>
    <w:p w14:paraId="07D51D3C" w14:textId="77777777" w:rsidR="003754FE" w:rsidRDefault="003754FE" w:rsidP="003754FE">
      <w:pPr>
        <w:pStyle w:val="TextoNormal"/>
      </w:pPr>
      <w:r>
        <w:lastRenderedPageBreak/>
        <w:t>b) Por lo que se refiere a la posible infracción del art. 149.1.8 CE, la argumentación del recurso parte de la tesis de que, en la medida en que los dos preceptos discutidos regulan una cuestión que afecta a un derecho de naturaleza patrimonial, colisionan con la competencia exclusiva estatal sobre legislación civil que reconoce el precepto constitucional alegado, e invocan a tal efecto la STC 16/2021, FJ 5.</w:t>
      </w:r>
    </w:p>
    <w:p w14:paraId="49D8E2A7" w14:textId="77777777" w:rsidR="003754FE" w:rsidRDefault="003754FE" w:rsidP="003754FE">
      <w:pPr>
        <w:pStyle w:val="TextoNormal"/>
      </w:pPr>
    </w:p>
    <w:p w14:paraId="6B3533CF" w14:textId="77777777" w:rsidR="003754FE" w:rsidRDefault="003754FE" w:rsidP="003754FE">
      <w:pPr>
        <w:pStyle w:val="TextoNormal"/>
      </w:pPr>
      <w:r>
        <w:t>La primera precisión que ha de efectuarse ante tales alegaciones es que el canon de la STC 16/2021 no resulta aplicable en este caso, ya que allí se trataba de determinar si la regulación contenida en el Decreto-ley 17/2019 se ajustaba o no a los límites materiales impuestos por los arts. 86.1 CE y 64.1 EAC a la legislación de urgencia, llegando a la conclusión de que, en gran parte de los preceptos de aquel, se producía una afección del derecho de propiedad, por lo que se incumplía dicho límite. Es decir, no se trataba de determinar si la Generalitat podía o no regular esos extremos, sino si podía hacerlo a través de ese instrumento normativo, por lo que los argumentos allí desarrollados no resultan extrapolables en su totalidad al supuesto que nos ocupa, en el que lo que se ha de dilucidar es si, a través de una ley, la Comunidad Autónoma de Cataluña tiene o no competencia para regular los extremos que. en este punto concreto, son objeto de impugnación.</w:t>
      </w:r>
    </w:p>
    <w:p w14:paraId="02BA2360" w14:textId="77777777" w:rsidR="003754FE" w:rsidRDefault="003754FE" w:rsidP="003754FE">
      <w:pPr>
        <w:pStyle w:val="TextoNormal"/>
      </w:pPr>
    </w:p>
    <w:p w14:paraId="3889229D" w14:textId="77777777" w:rsidR="003754FE" w:rsidRDefault="003754FE" w:rsidP="003754FE">
      <w:pPr>
        <w:pStyle w:val="TextoNormal"/>
      </w:pPr>
      <w:r>
        <w:t xml:space="preserve">Las dos normas aquí impugnadas se encuentran dirigidas, </w:t>
      </w:r>
      <w:r w:rsidRPr="003754FE">
        <w:rPr>
          <w:i/>
        </w:rPr>
        <w:t>prima facie</w:t>
      </w:r>
      <w:r>
        <w:t>, a garantizar el cumplimiento de la función social de la propiedad de la vivienda, por lo cual, al igual que en el supuesto resuelto por la STC 16/2018, de 22 de febrero, FJ 7, el punto de partida debe ser la doctrina establecida en la STC 37/1987, de 26 de marzo, FJ 9, conforme a la cual, “la incorporación de una vertiente institucional al derecho de propiedad privada hace que la función social que este derecho debe satisfacer no es ni puede ser igual en relación con todo tipo de bienes […] esa dimensión institucional del derecho de propiedad privada no puede desligarse de la regulación de los concretos intereses generales que imponen una delimitación específica de su contenido. En consecuencia, corresponde a quien tiene atribuida la tutela de tales intereses —o, lo que es lo mismo, la competencia en relación con cada materia que pueda incidir sobre el contenido de la propiedad— establecer, en el marco de la Constitución, las limitaciones y deberes inherentes a la función social de cada tipo de propiedad”. En este caso, tratándose de la materia relativa a la vivienda, sobre la que la Generalitat de Cataluña ostenta competencia exclusiva, de acuerdo con el art. 137.1 EAC, según la STC 16/2018, FJ 7, “es competente para incidir, mediante regulaciones orientadas a atender los intereses generales relacionados con la garantía a los ciudadanos del disfrute de una vivienda digna, en la delimitación del derecho de propiedad, concretamente en la definición de su función social”. Asimismo, precisó esta última sentencia en su fundamento jurídico 8 b) que “el derecho a la propiedad privada que la Constitución reconoce y protege tiene una vertiente institucional, precisamente derivada de la función social que cada categoría o tipo de bienes sobre los que se ejerce el señorío dominical está llamado a cumplir, lo que supone […] la definitiva incorporación del interés general o colectivo junto al puro interés individual del titular en la propia definición de cada derecho de propiedad […] Como es lógico, esta delimitación no opera ya solo en la legislación civil, sino también en aquellas otras leyes que cuidan principalmente de los intereses públicos a los que se vincula la propiedad privada”. En otras palabras, añade la STC 16/2018, “según el criterio expuesto en la STC 37/1987, la regulación de la dimensión institucional del derecho de propiedad privada, dado que no puede desligarse de la regulación de los concretos intereses generales que la justifican, incumbe al titular de la competencia sectorial para tutelar tales intereses y no al que lo es en materia de legislación civi</w:t>
      </w:r>
      <w:r w:rsidRPr="003754FE">
        <w:rPr>
          <w:i/>
        </w:rPr>
        <w:t xml:space="preserve">l </w:t>
      </w:r>
      <w:r>
        <w:t>ex artículo 149.1.8 CE”.</w:t>
      </w:r>
    </w:p>
    <w:p w14:paraId="597442B3" w14:textId="77777777" w:rsidR="003754FE" w:rsidRDefault="003754FE" w:rsidP="003754FE">
      <w:pPr>
        <w:pStyle w:val="TextoNormal"/>
      </w:pPr>
    </w:p>
    <w:p w14:paraId="54BD4742" w14:textId="77777777" w:rsidR="003754FE" w:rsidRDefault="003754FE" w:rsidP="003754FE">
      <w:pPr>
        <w:pStyle w:val="TextoNormal"/>
      </w:pPr>
      <w:r>
        <w:t>Por consiguiente, ha de considerarse incardinada dentro de esa vertiente institucional del derecho de propiedad sobre la vivienda la definición del supuesto de incumplimiento de su función social que efectúa el art. 5.2 b) de la Ley 18/2007, en la redacción dada por el art. 1.1 de la Ley 1/2022, en cuanto parte de un deber u obligación concreta del propietario de la vivienda prevista en función del logro de un fin de interés público, por lo que encuentra amparo en la competencia de la Comunidad Autónoma de Cataluña sobre vivienda del art. 137 EAC y no supone una invasión de la competencia estatal sobre legislación civil del art. 149.1.8 CE.</w:t>
      </w:r>
    </w:p>
    <w:p w14:paraId="13089A24" w14:textId="77777777" w:rsidR="003754FE" w:rsidRDefault="003754FE" w:rsidP="003754FE">
      <w:pPr>
        <w:pStyle w:val="TextoNormal"/>
      </w:pPr>
    </w:p>
    <w:p w14:paraId="54865AED" w14:textId="77777777" w:rsidR="003754FE" w:rsidRDefault="003754FE" w:rsidP="003754FE">
      <w:pPr>
        <w:pStyle w:val="TextoNormal"/>
      </w:pPr>
      <w:r>
        <w:t>En suma, el art. 1.1 de la Ley 1/2022 no vulnera la competencia estatal sobre legislación civil (art. 149.1.8 CE), por lo que esta impugnación debe ser desestimada.</w:t>
      </w:r>
    </w:p>
    <w:p w14:paraId="5E42B310" w14:textId="77777777" w:rsidR="003754FE" w:rsidRDefault="003754FE" w:rsidP="003754FE">
      <w:pPr>
        <w:pStyle w:val="TextoNormal"/>
      </w:pPr>
    </w:p>
    <w:p w14:paraId="0B4148D8" w14:textId="77777777" w:rsidR="003754FE" w:rsidRDefault="003754FE" w:rsidP="003754FE">
      <w:pPr>
        <w:pStyle w:val="TextoNormal"/>
      </w:pPr>
      <w:r>
        <w:t>Por lo que se refiere al art. 10 de la Ley 1/2022 que, como ya se ha señalado anteriormente, modifica el art. 7.1 de la Ley 24/2015, ha de entenderse que responde al establecimiento de una medida dirigida a garantizar la satisfacción de la función social de la propiedad sobre la vivienda, puesto que lo que se contempla es la posibilidad de que la administración acuerde la cesión temporal obligatoria de viviendas vacías, para incorporarlas al fondo de viviendas de alquiler para políticas sociales durante un plazo de siete años, cuando se cumplan determinadas condiciones que se establecen en el apartado modificado por el art. 10 de la Ley 1/2022, entre ellas, la desatención por el propietario del requerimiento previo que le hubiese dirigido la administración para que la vivienda fuera ocupada legalmente en el plazo de un mes, que es lo que origina la declaración del incumplimiento de la función social de la vivienda a efectos de iniciar el procedimiento para la cesión obligatoria. Por lo demás, la cesión se llevará a cabo, según el art. 7.3 de la Ley 24/2015, a través de un procedimiento administrativo contradictorio, en el que ha de acreditarse la concurrencia de todos los requisitos necesarios, así como las condiciones en las que se realizará la cesión, entre ellas, las económicas, en cuanto a las cuales se acomodará a las establecidas en el art. 5 de la misma ley [en concreto, su apartado 7 a)]. Es importante destacar aquí que estos últimos preceptos no han sido objeto de modificación por la Ley 1/2022, por lo que su enjuiciamiento se encuentra vedado en el presente recurso de inconstitucionalidad (entre otras, STC 131/2020, de 22 de septiembre, FJ 3), por más que en la demanda se afirme que la cesión se realiza “sin una compensación adecuada”, extremo que, sin embargo, no es objeto del contenido del art. 7.1 (en la redacción dada por el art. 10 de la Ley 1/2022), al que únicamente se puede circunscribir nuestro análisis en la resolución del presente recurso.</w:t>
      </w:r>
    </w:p>
    <w:p w14:paraId="6DF54E43" w14:textId="77777777" w:rsidR="003754FE" w:rsidRDefault="003754FE" w:rsidP="003754FE">
      <w:pPr>
        <w:pStyle w:val="TextoNormal"/>
      </w:pPr>
    </w:p>
    <w:p w14:paraId="6988C6E2" w14:textId="77777777" w:rsidR="003754FE" w:rsidRDefault="003754FE" w:rsidP="003754FE">
      <w:pPr>
        <w:pStyle w:val="TextoNormal"/>
      </w:pPr>
      <w:r>
        <w:t xml:space="preserve">Se trata de una previsión similar a la expropiación de las facultades de uso y disfrute que se examinó en el fundamento jurídico 4 de la STC 37/1987, para supuestos de incumplimiento de la función social de la tierra, y que este tribunal consideró que no suponía una infracción del contenido esencial de la propiedad privada. Siguiendo el mismo criterio expuesto en el fundamento jurídico 8 de dicha sentencia al analizar la queja dirigida contra el conjunto de la Ley de reforma agraria de Andalucía por vulneración del art. 149.1.8 CE, podemos afirmar una vez más que la delimitación del contenido del derecho de propiedad “no se opera ya solo en la legislación civil, sino también en aquellas otras leyes que cuidan principalmente de los intereses públicos a los que se vincula la propiedad privada. Así ocurre en el caso de la propiedad urbana, cuyas Leyes de ordenación están muy lejos de establecer solo, como los recurrentes pretenden, ‘medidas de policía concretas’, respetando, como regulación ajena, ‘la imposición de obligaciones y limitaciones al ejercicio de los </w:t>
      </w:r>
      <w:r>
        <w:lastRenderedPageBreak/>
        <w:t>derechos dominicales’, sino que, muy al contrario, establecen por sí mismas, o por remisión a los instrumentos normativos del planeamiento, los deberes y límites intrínsecos que configuran la función social de la propiedad del suelo, desde el punto de vista de la ordenación del territorio”. Y así sucede también, de manera evidente, en el caso de la legislación en materia de vivienda, cuyos objetivos conducen a una regulación de su propiedad que se superpone a la legislación civil propiamente dicha. Así las cosas, resulta incontestable que, si la Comunidad Autónoma de Cataluña es titular de una competencia específica para legislar en materia de “vivienda”, tal y como se dispone en el art. 137 EAC, dicha competencia incluye la posibilidad de legislar asimismo sobre la propiedad de la vivienda y su función social, en el territorio de Cataluña, incluyendo previsiones como la que establece el art. 7.1 de la Ley 24/2015, en la redacción dada por el art. 10 de la Ley 1/2022.</w:t>
      </w:r>
    </w:p>
    <w:p w14:paraId="006E0078" w14:textId="77777777" w:rsidR="003754FE" w:rsidRDefault="003754FE" w:rsidP="003754FE">
      <w:pPr>
        <w:pStyle w:val="TextoNormal"/>
      </w:pPr>
    </w:p>
    <w:p w14:paraId="2283B36B" w14:textId="0FB83547" w:rsidR="003754FE" w:rsidRDefault="003754FE" w:rsidP="003754FE">
      <w:pPr>
        <w:pStyle w:val="TextoNormal"/>
      </w:pPr>
      <w:r>
        <w:t>Como lógico corolario de lo expuesto, el citado art. 10 tampoco vulnera el art. 149.1.8 CE.</w:t>
      </w:r>
    </w:p>
    <w:p w14:paraId="4962A624" w14:textId="77777777" w:rsidR="003754FE" w:rsidRDefault="003754FE" w:rsidP="003754FE">
      <w:pPr>
        <w:pStyle w:val="TextoNormal"/>
      </w:pPr>
    </w:p>
    <w:p w14:paraId="23C22300" w14:textId="77777777" w:rsidR="003754FE" w:rsidRDefault="003754FE" w:rsidP="003754FE">
      <w:pPr>
        <w:pStyle w:val="TextoNormal"/>
      </w:pPr>
      <w:r w:rsidRPr="003754FE">
        <w:rPr>
          <w:rStyle w:val="NumeroAFNegritaCaracter"/>
        </w:rPr>
        <w:t>5</w:t>
      </w:r>
      <w:r>
        <w:t xml:space="preserve">. </w:t>
      </w:r>
      <w:r w:rsidRPr="003754FE">
        <w:rPr>
          <w:i/>
        </w:rPr>
        <w:t>Vulneración por los artículos 1.3, 11 y 12, y por la disposición transitoria de las competencias estatales del art.149.1.6 y 8 CE</w:t>
      </w:r>
    </w:p>
    <w:p w14:paraId="572DA97F" w14:textId="77777777" w:rsidR="003754FE" w:rsidRDefault="003754FE" w:rsidP="003754FE">
      <w:pPr>
        <w:pStyle w:val="TextoNormal"/>
      </w:pPr>
    </w:p>
    <w:p w14:paraId="309CA3FD" w14:textId="77777777" w:rsidR="003754FE" w:rsidRDefault="003754FE" w:rsidP="003754FE">
      <w:pPr>
        <w:pStyle w:val="TextoNormal"/>
      </w:pPr>
      <w:r>
        <w:t>En relación con los arts. 1.3, 11 y 12, y con la disposición transitoria de la Ley 1/2022, los recurrentes formulan dos grupos de quejas: en el primero, denuncian que la regulación del contrato de alquiler social que se efectúa en tales preceptos vulnera las competencias exclusivas del Estado en materia de legislación procesal y sobre bases de las obligaciones contractuales (art. 149.1.6 y 8 CE) y los arts. 9.3, 10, 24 y 33 CE. En el segundo, aducen que la obligación de ofrecer un contrato de alquiler social a determinados inquilinos infringe los arts. 10, 24, 38 y 118 CE. Como hemos señalado anteriormente, procederemos a abordar en primer lugar el análisis de las quejas de índole competencial.</w:t>
      </w:r>
    </w:p>
    <w:p w14:paraId="71F0A8A5" w14:textId="77777777" w:rsidR="003754FE" w:rsidRDefault="003754FE" w:rsidP="003754FE">
      <w:pPr>
        <w:pStyle w:val="TextoNormal"/>
      </w:pPr>
    </w:p>
    <w:p w14:paraId="079902A5" w14:textId="77777777" w:rsidR="003754FE" w:rsidRDefault="003754FE" w:rsidP="003754FE">
      <w:pPr>
        <w:pStyle w:val="TextoNormal"/>
      </w:pPr>
      <w:r>
        <w:t>A) Para un más adecuado examen de las impugnaciones resulta primordial, ante todo, reproducir aquí los preceptos impugnados.</w:t>
      </w:r>
    </w:p>
    <w:p w14:paraId="73041415" w14:textId="77777777" w:rsidR="003754FE" w:rsidRDefault="003754FE" w:rsidP="003754FE">
      <w:pPr>
        <w:pStyle w:val="TextoNormal"/>
      </w:pPr>
    </w:p>
    <w:p w14:paraId="4C982F4E" w14:textId="77777777" w:rsidR="003754FE" w:rsidRDefault="003754FE" w:rsidP="003754FE">
      <w:pPr>
        <w:pStyle w:val="TextoNormal"/>
      </w:pPr>
      <w:r>
        <w:t>El art. 1.3 de la Ley 1/2022 introduce una modificación en el art. 5 de la Ley 18/2007, de 28 de diciembre, del derecho a la vivienda, que afecta a la letra f) de su apartado 2, de conformidad con la cual, se produce incumplimiento de la función social de la propiedad de una vivienda o un edificio de viviendas en el supuesto de que:</w:t>
      </w:r>
    </w:p>
    <w:p w14:paraId="24C0EF02" w14:textId="77777777" w:rsidR="003754FE" w:rsidRDefault="003754FE" w:rsidP="003754FE">
      <w:pPr>
        <w:pStyle w:val="TextoNormal"/>
      </w:pPr>
    </w:p>
    <w:p w14:paraId="69ADB6B4" w14:textId="77777777" w:rsidR="003754FE" w:rsidRDefault="003754FE" w:rsidP="003754FE">
      <w:pPr>
        <w:pStyle w:val="TextoNormal"/>
      </w:pPr>
      <w:r>
        <w:t>“f) Se incumpla la obligación de ofrecer una propuesta de alquiler social antes de interponer una demanda judicial en los términos que establece la Ley 24/2015, de 29 de julio, de medidas urgentes para afrontar la emergencia en el ámbito de la vivienda y la pobreza energética”.</w:t>
      </w:r>
    </w:p>
    <w:p w14:paraId="6A163740" w14:textId="77777777" w:rsidR="003754FE" w:rsidRDefault="003754FE" w:rsidP="003754FE">
      <w:pPr>
        <w:pStyle w:val="TextoNormal"/>
      </w:pPr>
    </w:p>
    <w:p w14:paraId="06874C4D" w14:textId="77777777" w:rsidR="003754FE" w:rsidRDefault="003754FE" w:rsidP="003754FE">
      <w:pPr>
        <w:pStyle w:val="TextoNormal"/>
      </w:pPr>
      <w:r>
        <w:t>Por su parte, el art. 11 añade el art. 10 a la Ley 24/2015, de 29 de julio, de medidas urgentes para afrontar la emergencia en el ámbito de la vivienda y la pobreza energética, con el siguiente texto:</w:t>
      </w:r>
    </w:p>
    <w:p w14:paraId="437360E6" w14:textId="77777777" w:rsidR="003754FE" w:rsidRDefault="003754FE" w:rsidP="003754FE">
      <w:pPr>
        <w:pStyle w:val="TextoNormal"/>
      </w:pPr>
    </w:p>
    <w:p w14:paraId="0E533304" w14:textId="77777777" w:rsidR="003754FE" w:rsidRDefault="003754FE" w:rsidP="003754FE">
      <w:pPr>
        <w:pStyle w:val="TextoNormal"/>
      </w:pPr>
      <w:r>
        <w:t>“Artículo 10. Renovación de los contratos de alquiler social obligatorio</w:t>
      </w:r>
    </w:p>
    <w:p w14:paraId="2263B655" w14:textId="77777777" w:rsidR="003754FE" w:rsidRDefault="003754FE" w:rsidP="003754FE">
      <w:pPr>
        <w:pStyle w:val="TextoNormal"/>
      </w:pPr>
    </w:p>
    <w:p w14:paraId="630AD014" w14:textId="77777777" w:rsidR="003754FE" w:rsidRDefault="003754FE" w:rsidP="003754FE">
      <w:pPr>
        <w:pStyle w:val="TextoNormal"/>
      </w:pPr>
      <w:r>
        <w:t xml:space="preserve">Las personas o unidades familiares afectadas por contratos de alquiler social que llegan al final del plazo fijado tienen derecho a formalizar un nuevo contrato, por una única vez y </w:t>
      </w:r>
      <w:r>
        <w:lastRenderedPageBreak/>
        <w:t>de acuerdo con las condiciones que determina la presente ley, siempre que acrediten que siguen cumpliendo los requisitos de exclusión residencial establecidos por el artículo 5.7. A tal efecto, el titular de la vivienda debe requerir a los afectados, al menos cuatro meses antes de la fecha de expiración del contrato, para que presenten la documentación acreditativa”.</w:t>
      </w:r>
    </w:p>
    <w:p w14:paraId="392FE151" w14:textId="77777777" w:rsidR="003754FE" w:rsidRDefault="003754FE" w:rsidP="003754FE">
      <w:pPr>
        <w:pStyle w:val="TextoNormal"/>
      </w:pPr>
    </w:p>
    <w:p w14:paraId="478D32F4" w14:textId="77777777" w:rsidR="003754FE" w:rsidRDefault="003754FE" w:rsidP="003754FE">
      <w:pPr>
        <w:pStyle w:val="TextoNormal"/>
      </w:pPr>
      <w:r>
        <w:t>El art. 12 añade la disposición adicional primera a la misma Ley 24/2015, del siguiente tenor:</w:t>
      </w:r>
    </w:p>
    <w:p w14:paraId="0A7B5108" w14:textId="77777777" w:rsidR="003754FE" w:rsidRDefault="003754FE" w:rsidP="003754FE">
      <w:pPr>
        <w:pStyle w:val="TextoNormal"/>
      </w:pPr>
    </w:p>
    <w:p w14:paraId="2B4091F5" w14:textId="77777777" w:rsidR="003754FE" w:rsidRDefault="003754FE" w:rsidP="003754FE">
      <w:pPr>
        <w:pStyle w:val="TextoNormal"/>
      </w:pPr>
      <w:r>
        <w:t>“‘Primera. Ofrecimiento de propuesta de alquiler social</w:t>
      </w:r>
    </w:p>
    <w:p w14:paraId="2322E91F" w14:textId="77777777" w:rsidR="003754FE" w:rsidRDefault="003754FE" w:rsidP="003754FE">
      <w:pPr>
        <w:pStyle w:val="TextoNormal"/>
      </w:pPr>
    </w:p>
    <w:p w14:paraId="743C9624" w14:textId="77777777" w:rsidR="003754FE" w:rsidRDefault="003754FE" w:rsidP="003754FE">
      <w:pPr>
        <w:pStyle w:val="TextoNormal"/>
      </w:pPr>
      <w:r>
        <w:t>1. La obligación establecida por el artículo 5.2 de ofrecer una propuesta de alquiler social antes de interponer determinadas demandas judiciales se hace extensiva, en los mismos términos, a cualquier acción ejecutiva derivada de la reclamación de una deuda hipotecaria y a las demandas de desahucio siguientes:</w:t>
      </w:r>
    </w:p>
    <w:p w14:paraId="138A191D" w14:textId="77777777" w:rsidR="003754FE" w:rsidRDefault="003754FE" w:rsidP="003754FE">
      <w:pPr>
        <w:pStyle w:val="TextoNormal"/>
      </w:pPr>
    </w:p>
    <w:p w14:paraId="03F38A86" w14:textId="77777777" w:rsidR="003754FE" w:rsidRDefault="003754FE" w:rsidP="003754FE">
      <w:pPr>
        <w:pStyle w:val="TextoNormal"/>
      </w:pPr>
      <w:r>
        <w:t>a) Por vencimiento de la duración del título jurídico que habilita la ocupación de la vivienda. La propuesta de alquiler social es exigible durante un período de cinco años en caso de que el gran tenedor sea una persona física; de siete años en caso de que el gran tenedor sea una persona jurídica de acuerdo con el artículo 5.9 b) y d), y de doce años en caso de que el gran tenedor sea una persona jurídica de acuerdo con el artículo 5.9 a) y c). En todos los casos, estos períodos son contados a partir de la entrada en vigor de la Ley de modificación de la Ley 18/2007, la Ley 24/2015 y la Ley 4/2016 para afrontar la emergencia en el ámbito de la vivienda.</w:t>
      </w:r>
    </w:p>
    <w:p w14:paraId="328269A8" w14:textId="77777777" w:rsidR="003754FE" w:rsidRDefault="003754FE" w:rsidP="003754FE">
      <w:pPr>
        <w:pStyle w:val="TextoNormal"/>
      </w:pPr>
    </w:p>
    <w:p w14:paraId="1C1FD51D" w14:textId="77777777" w:rsidR="003754FE" w:rsidRDefault="003754FE" w:rsidP="003754FE">
      <w:pPr>
        <w:pStyle w:val="TextoNormal"/>
      </w:pPr>
      <w:r>
        <w:t>b) Por falta de título jurídico que habilite la ocupación de la vivienda, si la falta de título proviene de un proceso instado por un gran tenedor, ya sea de ejecución hipotecaria o de cualquier acción ejecutiva derivada de la reclamación de una deuda hipotecaria contra el actual ocupante de la vivienda.</w:t>
      </w:r>
    </w:p>
    <w:p w14:paraId="7BCF5505" w14:textId="77777777" w:rsidR="003754FE" w:rsidRDefault="003754FE" w:rsidP="003754FE">
      <w:pPr>
        <w:pStyle w:val="TextoNormal"/>
      </w:pPr>
    </w:p>
    <w:p w14:paraId="2CF46488" w14:textId="77777777" w:rsidR="003754FE" w:rsidRDefault="003754FE" w:rsidP="003754FE">
      <w:pPr>
        <w:pStyle w:val="TextoNormal"/>
      </w:pPr>
      <w:r>
        <w:t>c) Por falta de título jurídico que habilite la ocupación de la vivienda, si el demandante tiene la condición de gran tenedor de acuerdo con el artículo 5.9 a) y c), siempre que concurran las siguientes circunstancias:</w:t>
      </w:r>
    </w:p>
    <w:p w14:paraId="39006850" w14:textId="77777777" w:rsidR="003754FE" w:rsidRDefault="003754FE" w:rsidP="003754FE">
      <w:pPr>
        <w:pStyle w:val="TextoNormal"/>
      </w:pPr>
    </w:p>
    <w:p w14:paraId="63429DA0" w14:textId="77777777" w:rsidR="003754FE" w:rsidRDefault="003754FE" w:rsidP="003754FE">
      <w:pPr>
        <w:pStyle w:val="TextoNormal"/>
      </w:pPr>
      <w:r>
        <w:t>1.º Que la vivienda esté inscrita en el registro de viviendas vacías y de viviendas ocupadas sin título habilitante o sea susceptible de estar inscrita en él’.</w:t>
      </w:r>
    </w:p>
    <w:p w14:paraId="32175F01" w14:textId="77777777" w:rsidR="003754FE" w:rsidRDefault="003754FE" w:rsidP="003754FE">
      <w:pPr>
        <w:pStyle w:val="TextoNormal"/>
      </w:pPr>
    </w:p>
    <w:p w14:paraId="2624DD81" w14:textId="77777777" w:rsidR="003754FE" w:rsidRDefault="003754FE" w:rsidP="003754FE">
      <w:pPr>
        <w:pStyle w:val="TextoNormal"/>
      </w:pPr>
      <w:r>
        <w:t>2.º Que los ocupantes acrediten, por cualquier medio admitido en derecho, que la ocupación sin título se inició antes del 1 de junio de 2021.</w:t>
      </w:r>
    </w:p>
    <w:p w14:paraId="4870F574" w14:textId="77777777" w:rsidR="003754FE" w:rsidRDefault="003754FE" w:rsidP="003754FE">
      <w:pPr>
        <w:pStyle w:val="TextoNormal"/>
      </w:pPr>
    </w:p>
    <w:p w14:paraId="0133C9DD" w14:textId="77777777" w:rsidR="003754FE" w:rsidRDefault="003754FE" w:rsidP="003754FE">
      <w:pPr>
        <w:pStyle w:val="TextoNormal"/>
      </w:pPr>
      <w:r>
        <w:t>3.º Que en los últimos dos años los ocupantes no hayan rechazado ninguna opción de realojamiento social adecuado que les haya ofrecido cualquier administración pública o de acuerdo con el artículo 5.2.</w:t>
      </w:r>
    </w:p>
    <w:p w14:paraId="68B82CFB" w14:textId="77777777" w:rsidR="003754FE" w:rsidRDefault="003754FE" w:rsidP="003754FE">
      <w:pPr>
        <w:pStyle w:val="TextoNormal"/>
      </w:pPr>
    </w:p>
    <w:p w14:paraId="7F77242F" w14:textId="77777777" w:rsidR="003754FE" w:rsidRDefault="003754FE" w:rsidP="003754FE">
      <w:pPr>
        <w:pStyle w:val="TextoNormal"/>
      </w:pPr>
      <w:r>
        <w:t>4.º Que los servicios municipales emitan informe favorable sobre el cumplimiento de los parámetros de riesgo de exclusión residencial por parte de los ocupantes y sobre su arraigo y convivencia en el entorno vecinal.</w:t>
      </w:r>
    </w:p>
    <w:p w14:paraId="4FDBFE28" w14:textId="77777777" w:rsidR="003754FE" w:rsidRDefault="003754FE" w:rsidP="003754FE">
      <w:pPr>
        <w:pStyle w:val="TextoNormal"/>
      </w:pPr>
    </w:p>
    <w:p w14:paraId="6BE9997E" w14:textId="77777777" w:rsidR="003754FE" w:rsidRDefault="003754FE" w:rsidP="003754FE">
      <w:pPr>
        <w:pStyle w:val="TextoNormal"/>
      </w:pPr>
      <w:r>
        <w:lastRenderedPageBreak/>
        <w:t>2. Los procedimientos iniciados en los que no se haya acreditado la formulación de la oferta de alquiler social deben interrumpirse para que la oferta pueda formularse y acreditarse. Una vez se hayan efectuado alegaciones o haya transcurrido el plazo concedido, si no se ha acreditado el ofrecimiento del alquiler social obligatorio o si existe discusión entre las partes sobre si la oferta cumple, o no, los requisitos legales, el juzgado debe dar traslado de la situación a la administración competente en materia de alquiler social obligatorio, y el procedimiento debe continuar de acuerdo con los trámites correspondientes. La información que debe remitirse es toda la relevante en caso de que el juzgado tenga el consentimiento de la parte demandada; en caso de que no la tenga, debe limitarse a la identidad del gran tenedor, la identificación del inmueble y si la situación es de falta de acreditación del ofrecimiento o de discusión sobre si se cumplen o no los requisitos legales.</w:t>
      </w:r>
    </w:p>
    <w:p w14:paraId="0720F6DE" w14:textId="77777777" w:rsidR="003754FE" w:rsidRDefault="003754FE" w:rsidP="003754FE">
      <w:pPr>
        <w:pStyle w:val="TextoNormal"/>
      </w:pPr>
    </w:p>
    <w:p w14:paraId="3077EBD0" w14:textId="77777777" w:rsidR="003754FE" w:rsidRDefault="003754FE" w:rsidP="003754FE">
      <w:pPr>
        <w:pStyle w:val="TextoNormal"/>
      </w:pPr>
      <w:r>
        <w:t>3. Los contratos de alquiler social obligatorio que se suscriban de acuerdo con lo establecido por la presente ley deben tener una duración mínima igual que la fijada por la normativa vigente en materia de arrendamientos urbanos y, en cualquier caso, no inferior a cinco años si el titular de la vivienda es una persona física y no inferior a siete años si es una persona jurídica”.</w:t>
      </w:r>
    </w:p>
    <w:p w14:paraId="6B0EFCA9" w14:textId="77777777" w:rsidR="003754FE" w:rsidRDefault="003754FE" w:rsidP="003754FE">
      <w:pPr>
        <w:pStyle w:val="TextoNormal"/>
      </w:pPr>
    </w:p>
    <w:p w14:paraId="4A62CBA4" w14:textId="77777777" w:rsidR="003754FE" w:rsidRDefault="003754FE" w:rsidP="003754FE">
      <w:pPr>
        <w:pStyle w:val="TextoNormal"/>
      </w:pPr>
      <w:r>
        <w:t>Finalmente, los términos de la disposición transitoria de la Ley 1/2022, que también es objeto de impugnación en este bloque de quejas, son los siguientes:</w:t>
      </w:r>
    </w:p>
    <w:p w14:paraId="51C6FCE1" w14:textId="77777777" w:rsidR="003754FE" w:rsidRDefault="003754FE" w:rsidP="003754FE">
      <w:pPr>
        <w:pStyle w:val="TextoNormal"/>
      </w:pPr>
    </w:p>
    <w:p w14:paraId="638965F8" w14:textId="77777777" w:rsidR="003754FE" w:rsidRDefault="003754FE" w:rsidP="003754FE">
      <w:pPr>
        <w:pStyle w:val="TextoNormal"/>
      </w:pPr>
      <w:r>
        <w:t>“Disposición transitoria. Obligaciones de ofrecer y de renovar un alquiler social</w:t>
      </w:r>
    </w:p>
    <w:p w14:paraId="5FBF8720" w14:textId="77777777" w:rsidR="003754FE" w:rsidRDefault="003754FE" w:rsidP="003754FE">
      <w:pPr>
        <w:pStyle w:val="TextoNormal"/>
      </w:pPr>
    </w:p>
    <w:p w14:paraId="335969A1" w14:textId="77777777" w:rsidR="003754FE" w:rsidRDefault="003754FE" w:rsidP="003754FE">
      <w:pPr>
        <w:pStyle w:val="TextoNormal"/>
      </w:pPr>
      <w:r>
        <w:t>Las obligaciones de ofrecer y renovar un alquiler social al que se refieren la disposición adicional primera y el artículo 10 de la Ley 24/2015, de 29 de julio, de medidas urgentes para afrontar la emergencia en el ámbito de la vivienda y la pobreza energética, son aplicables también en caso de que los correspondientes procedimientos judiciales se hayan iniciado antes de la entrada en vigor de la presente ley y todavía estén en tramitación”.</w:t>
      </w:r>
    </w:p>
    <w:p w14:paraId="1C3AAF46" w14:textId="77777777" w:rsidR="003754FE" w:rsidRDefault="003754FE" w:rsidP="003754FE">
      <w:pPr>
        <w:pStyle w:val="TextoNormal"/>
      </w:pPr>
    </w:p>
    <w:p w14:paraId="0596EC5C" w14:textId="77777777" w:rsidR="003754FE" w:rsidRDefault="003754FE" w:rsidP="003754FE">
      <w:pPr>
        <w:pStyle w:val="TextoNormal"/>
      </w:pPr>
      <w:r>
        <w:t>B) La primera queja de naturaleza competencial imputa a los preceptos impugnados que la obligación de que se ofrezca un alquiler social, como requisito procesal previo para ejercitar acciones ejecutivas y demandas de desahucio, afecta al ámbito de la legislación procesal, con invasión de la competencia estatal del art. 149.1.6 CE, ya que la comunidad autónoma no ostenta competencia en la materia, pues la extensión al ámbito procesal de la obligación administrativa de ofrecer el alquiler social que se establece en la normativa carece de anclaje con el derecho sustantivo catalán.</w:t>
      </w:r>
    </w:p>
    <w:p w14:paraId="457EA666" w14:textId="77777777" w:rsidR="003754FE" w:rsidRDefault="003754FE" w:rsidP="003754FE">
      <w:pPr>
        <w:pStyle w:val="TextoNormal"/>
      </w:pPr>
    </w:p>
    <w:p w14:paraId="5F0FB675" w14:textId="77777777" w:rsidR="003754FE" w:rsidRDefault="003754FE" w:rsidP="003754FE">
      <w:pPr>
        <w:pStyle w:val="TextoNormal"/>
      </w:pPr>
      <w:r>
        <w:t xml:space="preserve">La abogada de la Generalitat alega que, a través de la impugnación de los preceptos transcritos se cuestiona, en realidad, la regulación completa de la propuesta de alquiler social del art. 5 de la ley 24/2015, que resulta inatacable en este procedimiento, señalando que las modificaciones aprobadas se han limitado a ampliar los supuestos en que será de aplicación la propuesta de alquiler social, sin cambiar su naturaleza jurídica, y que en su día fue objeto de impugnación en el recurso de inconstitucionalidad 2501-2016, de la que desistió el abogado del Estado (desistimiento aceptado en la STC 13/2019), tras el acuerdo al que llegaron las partes a raíz de la STC 80/2018, que avaló la constitucionalidad de un precepto similar de la Ley valenciana 2/2017, en materia de vivienda. En relación con el art. 12 y la disposición transitoria, aunque reconoce que las SSTC 28/2022 y 57/2022 han declarado inconstitucional la obligación de acreditar que se ha formulado la propuesta de alquiler </w:t>
      </w:r>
      <w:r>
        <w:lastRenderedPageBreak/>
        <w:t>social al presentar las demandas de ejecución hipotecaria y de desahucio, esa doctrina debe ser completada con la establecida en la STC 21/2019, FJ 6, en la que se admite la suspensión de los lanzamientos en procesos judiciales o extrajudiciales de desahucio por impago de alquiler que se encuentren pendientes de resolución, una vez que se haya pedido el informe sobre la situación de vulnerabilidad. Y, por lo que se refiere al art. 1.3, el precepto no tiene incidencia en materia de Derecho procesal, pues las causas de incumplimiento de la función social se sitúan en la legislación sobre vivienda. La letrada del Parlamento de Cataluña, además de denunciar la insuficiencia argumental de la vulneración alegada en la demanda, niega también la vulneración de la competencia estatal del art. 149.1.6 CE, afirmando que la obligación de formular una oferta de alquiler social antes de la interposición de ciertas demandas no constituye una novedad, puesto que se encontraba recogida ya en el art. 5.2 de la Ley 24/2015, extendiéndose ahora a otros dos supuestos de desahucio. No se trata de un requisito procesal ni de una excepción, sino que se establece, en virtud de la competencia de la Generalitat en materia de vivienda, como una carga impuesta a determinados propietarios y cuyo incumplimiento se tipifica como infracción administrativa en la Ley 18/2007. En particular, en el caso de la previsión del apartado 2 de la disposición adicional introducida por el art. 12 en la Ley 24/2015, manifiesta que se trata de un complemento del art. 5.2 de la misma ley, insertando una necesidad procesal sin la cual la obligación que dicho precepto establece podría ser sistemáticamente incumplida, con lo que se justifica de este modo la existencia de una conexión entre la normativa sustantiva y la singularidad de la norma procesal.</w:t>
      </w:r>
    </w:p>
    <w:p w14:paraId="004C42AA" w14:textId="77777777" w:rsidR="003754FE" w:rsidRDefault="003754FE" w:rsidP="003754FE">
      <w:pPr>
        <w:pStyle w:val="TextoNormal"/>
      </w:pPr>
    </w:p>
    <w:p w14:paraId="17DFA815" w14:textId="77777777" w:rsidR="003754FE" w:rsidRDefault="003754FE" w:rsidP="003754FE">
      <w:pPr>
        <w:pStyle w:val="TextoNormal"/>
      </w:pPr>
      <w:r>
        <w:t xml:space="preserve">Para resolver la cuestión que aquí se nos plantea es preciso ceñirse a lo que disponen el art. 149.1.6 CE y, correlativamente, el art. 130 EAC, así como nuestra jurisprudencia sobre la materia, recogida, entre otras muchas, en las SSTC 28/2022, de 14 de febrero, FJ 3, y 57/2022, de 7 de abril, FJ 5 a), a cuya exposición hemos de remitirnos, y de la que, en esencia, se puede extraer que, de acuerdo con el art. 149.1.6 CE, la legislación procesal constituye una competencia exclusiva del Estado, en tanto que la competencia atribuida a las comunidades autónomas por este precepto constitucional tiene un carácter limitado, pues está circunscrita a “las necesarias especialidades que en ese orden se deriven de las particularidades de derecho sustantivo de las comunidades autónomas”. De este modo, la competencia asumida por las comunidades autónomas al amparo de la salvedad recogida en el artículo 149.1.6 CE no les permite introducir en su ordenamiento normas procesales por el mero hecho de haber promulgado regulaciones de derecho sustantivo en el ejercicio de sus competencias, sino que las singularidades procesales que las comunidades autónomas pueden adoptar han de limitarse a aquellas que, por la conexión directa con las particularidades del derecho sustantivo autonómico, vengan requeridas por estas. Conforme a dicha doctrina constitucional, corresponde al legislador autonómico o, en su defecto, a quienes asuman la defensa de la ley en su caso impugnada, ofrecer la suficiente justificación sobre la necesidad de alterar las reglas procesales comúnmente aplicables, siempre que del propio examen de la ley no se puedan desprender o inferir esas necesarias especialidades. A tal efecto, para considerar cumplidamente justificada la aplicación de la salvedad competencial contenida en el art. 149.1.6 CE deben completarse tres operaciones, que permitan dilucidar si una norma procesal autonómica constituye o no una “necesaria especialidad” procesal. En primer lugar, ha de determinarse cuál es el Derecho sustantivo autonómico que presenta particularidades. En segundo lugar, es preciso señalar respecto de qué legislación procesal estatal y, por tanto, general o común, se predican las eventuales especialidades de orden procesal incorporadas por el legislador autonómico. Por último, ha de indagarse si, entre las </w:t>
      </w:r>
      <w:r>
        <w:lastRenderedPageBreak/>
        <w:t>peculiaridades del ordenamiento sustantivo autonómico y las singularidades procesales incorporadas por el legislador autonómico en la norma impugnada, existe una conexión directa tal que justifique las especialidades procesales.</w:t>
      </w:r>
    </w:p>
    <w:p w14:paraId="019A043E" w14:textId="77777777" w:rsidR="003754FE" w:rsidRDefault="003754FE" w:rsidP="003754FE">
      <w:pPr>
        <w:pStyle w:val="TextoNormal"/>
      </w:pPr>
    </w:p>
    <w:p w14:paraId="7C2FFF76" w14:textId="77777777" w:rsidR="003754FE" w:rsidRDefault="003754FE" w:rsidP="003754FE">
      <w:pPr>
        <w:pStyle w:val="TextoNormal"/>
      </w:pPr>
      <w:r>
        <w:t>a) En primer lugar, se ha de rechazar la impugnación competencial dirigida contra el art. 11 de la Ley 1/2022, que, según ha quedado reflejado anteriormente, añade un art. 10 a la Ley 24/2015, precepto que se refiere a la “renovación de los contratos de alquiler social obligatorio”. Su lectura permite descartar, sin género de duda alguno, la tacha en examen, puesto que se limita a regular el derecho de los afectados por contratos de alquiler social que llegan al final del plazo fijado a formalizar uno nuevo por una única vez, sin que se incluya en el precepto ninguna regla procesal.</w:t>
      </w:r>
    </w:p>
    <w:p w14:paraId="31BBC572" w14:textId="77777777" w:rsidR="003754FE" w:rsidRDefault="003754FE" w:rsidP="003754FE">
      <w:pPr>
        <w:pStyle w:val="TextoNormal"/>
      </w:pPr>
    </w:p>
    <w:p w14:paraId="7D6BC1DF" w14:textId="77777777" w:rsidR="003754FE" w:rsidRDefault="003754FE" w:rsidP="003754FE">
      <w:pPr>
        <w:pStyle w:val="TextoNormal"/>
      </w:pPr>
      <w:r>
        <w:t>b) En cambio, sí contienen referencias procesales los arts. 1.3 y 12 y la disposición transitoria de la Ley 1/2022. Respecto del primero de ellos, que modifica la letra f) del art. 5.2 de la Ley 18/2007, la abogada de la Generalitat niega su incidencia en materia procesal, ya que afirma que las causas de incumplimiento de la función social se incardinan en la legislación sobre la vivienda, y deben interpretarse en el marco de los arts. 33 y 47 CE. En cuanto a la disposición adicional primera de la Ley 24/2015, introducida por el art. 12 de la Ley 1/2022, y a la disposición transitoria de esta última, las representaciones autonómicas han negado, en todo o en parte, su carácter procesal, defendiendo que se trata de una carga que se impone a ciertos propietarios en virtud de la competencia autonómica en materia de vivienda. Tan solo se reconoce tal carácter, por parte de la letrada del Parlamento, en relación con el apartado 2 de la disposición adicional primera de la Ley 24/2015, pero como especialidad procesal necesaria, derivada del Derecho sustantivo autonómico.</w:t>
      </w:r>
    </w:p>
    <w:p w14:paraId="65615259" w14:textId="77777777" w:rsidR="003754FE" w:rsidRDefault="003754FE" w:rsidP="003754FE">
      <w:pPr>
        <w:pStyle w:val="TextoNormal"/>
      </w:pPr>
    </w:p>
    <w:p w14:paraId="49E7A4BA" w14:textId="77777777" w:rsidR="003754FE" w:rsidRDefault="003754FE" w:rsidP="003754FE">
      <w:pPr>
        <w:pStyle w:val="TextoNormal"/>
      </w:pPr>
      <w:r>
        <w:t>Antes de abordar el enjuiciamiento de los tres preceptos, es preciso comenzar descartando el argumento de la abogada de la Generalitat de Cataluña, que defiende la constitucionalidad de la regulación con fundamento en el acuerdo interpretativo alcanzado sobre el art. 5 de la Ley 24/2015 entre las partes en el recurso de inconstitucionalidad 2501-2016, lo que dio lugar al desistimiento parcial por la recurrente (aceptado por este tribunal en la STC 13/2019, de 31 de enero). A tal efecto, basta remitirse a lo argumentado para refutar la misma alegación en el fundamento jurídico 5 a) de la STC 57/2022, de 7 de abril, en el que afirmamos que “la existencia de un acuerdo interpretativo sobre el alcance y significado de un concreto precepto de una ley no puede impedir el pronunciamiento de este tribunal acerca de la vulneración competencial que se denuncia en el proceso (SSTC 106/2009, de 4 de mayo, FJ 3; 22/2015, de 16 de febrero, FJ 3, y 83/2020, de 15 de julio, FJ 6)”, ya que “al Tribunal Constitucional, como intérprete supremo de la Constitución, corresponde decir la última palabra sobre la interpretación de la misma (STC 126/1997, de 3 de julio, FJ 5)”.</w:t>
      </w:r>
    </w:p>
    <w:p w14:paraId="69299FA5" w14:textId="77777777" w:rsidR="003754FE" w:rsidRDefault="003754FE" w:rsidP="003754FE">
      <w:pPr>
        <w:pStyle w:val="TextoNormal"/>
      </w:pPr>
    </w:p>
    <w:p w14:paraId="700E3992" w14:textId="77777777" w:rsidR="003754FE" w:rsidRDefault="003754FE" w:rsidP="003754FE">
      <w:pPr>
        <w:pStyle w:val="TextoNormal"/>
      </w:pPr>
      <w:r>
        <w:t>c) Una vez aclarado este extremo, debemos dilucidar si las tres normas impugnadas se incardinan o no en el ámbito procesal, para, a continuación, determinar, en su caso, si incurren en vulneración de la competencia estatal del art. 149.1.6 CE.</w:t>
      </w:r>
    </w:p>
    <w:p w14:paraId="250EA9CB" w14:textId="77777777" w:rsidR="003754FE" w:rsidRDefault="003754FE" w:rsidP="003754FE">
      <w:pPr>
        <w:pStyle w:val="TextoNormal"/>
      </w:pPr>
    </w:p>
    <w:p w14:paraId="70D14BCB" w14:textId="77777777" w:rsidR="003754FE" w:rsidRDefault="003754FE" w:rsidP="003754FE">
      <w:pPr>
        <w:pStyle w:val="TextoNormal"/>
      </w:pPr>
      <w:r>
        <w:t xml:space="preserve">(i) El primero de los preceptos impugnados, el art. 1.3, modifica la letra f) del art. 5.2 de la Ley 18/2007, que determina que incumple la función social de la propiedad sobre la vivienda el propietario que no haya ofrecido un alquiler social antes de presentar una demanda judicial, en los términos de la Ley 24/2015. Ya nos hemos referido anteriormente, con cita de la STC 37/1987, de 26 de marzo, FJ 9, a la existencia de una vertiente institucional del </w:t>
      </w:r>
      <w:r>
        <w:lastRenderedPageBreak/>
        <w:t>derecho de propiedad privada, que no puede desligarse de la regulación de los concretos intereses generales que imponen una delimitación específica de su contenido, correspondiendo a quien tiene atribuida la tutela de tales intereses —en este caso, la regulación del acceso a la vivienda de determinados colectivos en situación de riesgo habitacional— establecer, en el marco de la Constitución, las limitaciones y deberes inherentes a la función social de cada tipo de propiedad. Ahora bien, en este caso, esa definición de la función social va más allá de esa vertiente institucional, en la medida en que la norma aquí enjuiciada, bajo la apariencia de un supuesto de incumplimiento de la función social de la vivienda, está imponiendo a los propietarios de viviendas a que se refiere el art. 5.2 de la Ley 24/2015 una carga que han de satisfacer previamente al acceso a la jurisdicción: para cumplir con la función social de la propiedad, antes de instar un procedimiento judicial contra quien ocupe su vivienda, con o sin título, han de ofrecerle un alquiler social, en las condiciones determinadas en aquella ley. Es decir, se establece, en orden al debido cumplimiento de la función social de la propiedad de la vivienda, una condición previa para el acceso a la jurisdicción, cuyo incumplimiento por el propietario puede dar lugar a la imposición de una multa de 9001 a 90 000 € (art. 118.2 de la Ley 18/2007) como consecuencia de incurrir en la infracción grave del art. 124.2 i) de la Ley 18/2007, al no haber formulado la propuesta de alquiler social en los términos de la Ley 24/2015 (posibilidad que no está condicionada al previo requerimiento de la administración).</w:t>
      </w:r>
    </w:p>
    <w:p w14:paraId="78192EC7" w14:textId="77777777" w:rsidR="003754FE" w:rsidRDefault="003754FE" w:rsidP="003754FE">
      <w:pPr>
        <w:pStyle w:val="TextoNormal"/>
      </w:pPr>
    </w:p>
    <w:p w14:paraId="09AB3ADF" w14:textId="77777777" w:rsidR="003754FE" w:rsidRDefault="003754FE" w:rsidP="003754FE">
      <w:pPr>
        <w:pStyle w:val="TextoNormal"/>
      </w:pPr>
      <w:r>
        <w:t>Cabría plantearse que, con la remisión a la Ley 24/2015 que efectúa el precepto, al enjuiciar su contenido desde la perspectiva del art. 149.1.6 CE podríamos estar enjuiciando, en realidad, la obligación que establece su art. 5.2 de ofrecer un alquiler social, bajo ciertas circunstancias, “[a]ntes de interponer cualquier demanda judicial de ejecución hipotecaria o de desahucio por impago de alquiler”, labor que nos estaría vedada, dado que este último precepto no es, ni puede ser, objeto de este procedimiento, ni ha sido objeto de una previa declaración de inconstitucionalidad, ya que, aunque fue inicialmente impugnado en el recurso de inconstitucionalidad núm. 2501-2016, promovido por el presidente del Gobierno, el abogado del Estado desistió parcialmente de dicho recurso, en particular en relación con los apartados 1 a 4 y 9 del art. 5 de la Ley 24/2015, desistimiento parcial que fue aceptado en la sentencia 13/2019, de 31 de enero. Sería aplicable aquí la doctrina recogida, entre otras, en las SSTC 83/2020, de 15 de julio, FJ 2 b), y 131/2020, de 22 de septiembre, FJ 3), según la cual, “[l]a circunstancia de que una ley sea parcialmente modificada por otra ley posterior aprobada precisamente para su reforma, abre, naturalmente, el plazo para que esos preceptos así reformados puedan ser recurridos en la redacción que les ha dado la ley modificadora. Sin embargo, de otro lado, esos preceptos legales modificados van a integrarse en una norma que, en la parte que permanece con la redacción inicialmente aprobada, resulta inatacable directamente por la vía del recurso de inconstitucionalidad, cuando, como es el caso, ya han transcurrido más que sobradamente los plazos en los que el art. 33 LOTC permite su interposición”.</w:t>
      </w:r>
    </w:p>
    <w:p w14:paraId="1988C93E" w14:textId="77777777" w:rsidR="003754FE" w:rsidRDefault="003754FE" w:rsidP="003754FE">
      <w:pPr>
        <w:pStyle w:val="TextoNormal"/>
      </w:pPr>
    </w:p>
    <w:p w14:paraId="1B2C39EA" w14:textId="77777777" w:rsidR="003754FE" w:rsidRDefault="003754FE" w:rsidP="003754FE">
      <w:pPr>
        <w:pStyle w:val="TextoNormal"/>
      </w:pPr>
      <w:r>
        <w:t xml:space="preserve">Sin embargo, no se produce ese pernicioso efecto, porque, por una parte, la remisión no se efectúa exclusivamente al citado art. 5.2, sino al conjunto de preceptos de la Ley 24/2015 que regulan el ofrecimiento del alquiler social obligatorio con carácter previo al inicio de la vía judicial, incluyendo también, por consiguiente, aquellos otros preceptos de aquella ley que son modificados por la Ley 1/2022 en extremos relacionados con la obligación de ofrecer un alquiler social, como ocurre con el art. 12, que introduce la disposición adicional primera, referida a la obligación de ofrecer un alquiler social antes de promover </w:t>
      </w:r>
      <w:r>
        <w:lastRenderedPageBreak/>
        <w:t>determinadas acciones judiciales no contempladas en el art. 5, y que también es objeto del presente recurso de inconstitucionalidad. Por otra parte, porque la norma aquí enjuiciada, en sí misma considerada, está incidiendo sobre el derecho de propiedad de la vivienda al identificar el cumplimiento de su función social con la satisfacción por parte del propietario de un requisito con carácter previo al ejercicio de acciones judiciales. Y, en todo caso, la doctrina que acabamos de citar, y que ha sido invocada por las representaciones autonómicas, nos permite examinar la constitucionalidad de las normas modificadas por la Ley 1/2022 que han impugnado los recurrentes.</w:t>
      </w:r>
    </w:p>
    <w:p w14:paraId="189576BC" w14:textId="77777777" w:rsidR="003754FE" w:rsidRDefault="003754FE" w:rsidP="003754FE">
      <w:pPr>
        <w:pStyle w:val="TextoNormal"/>
      </w:pPr>
    </w:p>
    <w:p w14:paraId="3F5EFC77" w14:textId="77777777" w:rsidR="003754FE" w:rsidRDefault="003754FE" w:rsidP="003754FE">
      <w:pPr>
        <w:pStyle w:val="TextoNormal"/>
      </w:pPr>
      <w:r>
        <w:t>Por consiguiente, no podemos sino concluir que el art. 5.2 f) de la Ley 18/2007, en la redacción dada por el art. 1.3 de la Ley 1/2022 ha de quedar sujeto a las previsiones del art. 149.1.6 CE.</w:t>
      </w:r>
    </w:p>
    <w:p w14:paraId="68F45187" w14:textId="77777777" w:rsidR="003754FE" w:rsidRDefault="003754FE" w:rsidP="003754FE">
      <w:pPr>
        <w:pStyle w:val="TextoNormal"/>
      </w:pPr>
    </w:p>
    <w:p w14:paraId="1EDA0AA0" w14:textId="77777777" w:rsidR="003754FE" w:rsidRDefault="003754FE" w:rsidP="003754FE">
      <w:pPr>
        <w:pStyle w:val="TextoNormal"/>
      </w:pPr>
      <w:r>
        <w:t>(ii) También en relación con la disposición adicional primera de la Ley 24/2015, introducida por el art. 12 de la Ley 1/2022, es preciso dilucidar si se incardina o no en el ámbito procesal, carácter que ha sido negado parcialmente por las representaciones autonómicas, que defienden que se trata de una carga que se impone a ciertos propietarios en virtud de la competencia autonómica en materia de vivienda, invocando el pronunciamiento de la STC 80/2018, de 5 de julio, sobre un precepto de una ley de la Comunidad Valenciana que establecía, cuando concurrieran determinadas circunstancias, la obligación de suscribir un contrato de arrendamiento con opción de compra, una vez iniciado el procedimiento de ejecución de las garantías hipotecarias que comportara la extinción del contrato de compraventa por incumplimiento del propietario comprador, así como el de la STC 21/2019, de 14 de febrero, en cuyo fundamento jurídico 6 se declaró la constitucionalidad de una norma legal de la Comunidad Autónoma de Aragón en la que se preveía la suspensión de los lanzamientos en procedimientos de ejecución hipotecaria o de desahucio, en supuestos de especial vulnerabilidad, hasta que la administración ofreciera una alternativa habitacional digna. Si ese fuera el caso, la disposición carecería de naturaleza procesal, pues, como dijimos en el fundamento jurídico 5 b) de la STC 80/2018, el precepto de la Ley de la Comunidad Valenciana 2/2017 que allí se enjuiciaba no introducía innovación o especialidad procesal alguna en el procedimiento judicial de ejecución hipotecaria, “toda vez que limita su objeto al establecimiento de mecanismos de protección de determinadas situaciones de necesidad, sin alterar la normativa procesal”, y “no introduce ningún mandato dirigido al juez de la ejecución, ni altera tampoco la secuencia o la tramitación propia del proceso ejecutivo, que puede seguir su curso sin verse afectada por lo preceptuado en la norma”. Y, en el supuesto analizado en la STC 21/2019, consideramos que no infringía el art. 149.1.6 CE, “puesto que configura un mecanismo sustantivo de protección de determinadas situaciones de especial necesidad [SSTC 80/2018, FJ 5 b) y 5/2019, FJ 4], vinculado a las actuaciones que debe desplegar la administración para ofrecer una alternativa habitacional, a través de alguno de los instrumentos previstos en la Ley 10/2016, todo ello con base en las competencias autonómicas en materia de vivienda”.</w:t>
      </w:r>
    </w:p>
    <w:p w14:paraId="13BE0157" w14:textId="77777777" w:rsidR="003754FE" w:rsidRDefault="003754FE" w:rsidP="003754FE">
      <w:pPr>
        <w:pStyle w:val="TextoNormal"/>
      </w:pPr>
    </w:p>
    <w:p w14:paraId="7D1AD132" w14:textId="77777777" w:rsidR="003754FE" w:rsidRDefault="003754FE" w:rsidP="003754FE">
      <w:pPr>
        <w:pStyle w:val="TextoNormal"/>
      </w:pPr>
      <w:r>
        <w:t xml:space="preserve">El carácter procesal del apartado 2 de la disposición resulta innegable —y así lo reconoce la letrada del Parlamento de Cataluña—, tal y como se desprende del tenor de su primer inciso, según el cual, “[l]os procedimientos iniciados en los que no se haya acreditado la formulación de la oferta de alquiler social deben interrumpirse para que la oferta pueda formularse y acreditarse”. De la misma forma, no ofrece ningún género de duda que el contenido del apartado 3 de la disposición adicional primera carece por completo de naturaleza </w:t>
      </w:r>
      <w:r>
        <w:lastRenderedPageBreak/>
        <w:t>procesal, ya que se refiere a la duración que deben tener, en general, los contratos de alquiler social obligatorio, que se suscriban de acuerdo con la Ley 24/2015, y no solo los previstos en la propia disposición adicional primera; duración que se remite a la legislación de arrendamientos urbanos, y que, en último término, se hace depender de si el titular de la vivienda es una persona física o una persona jurídica. Por tanto, este último apartado queda excluido de la queja relativa a la vulneración del art. 149.1.6 CE.</w:t>
      </w:r>
    </w:p>
    <w:p w14:paraId="6EB06884" w14:textId="77777777" w:rsidR="003754FE" w:rsidRDefault="003754FE" w:rsidP="003754FE">
      <w:pPr>
        <w:pStyle w:val="TextoNormal"/>
      </w:pPr>
    </w:p>
    <w:p w14:paraId="26308102" w14:textId="77777777" w:rsidR="003754FE" w:rsidRDefault="003754FE" w:rsidP="003754FE">
      <w:pPr>
        <w:pStyle w:val="TextoNormal"/>
      </w:pPr>
      <w:r>
        <w:t>La duda se plantea en cuanto al apartado primero de la disposición adicional. Para dar respuesta a este interrogante, hemos de remitirnos a las consideraciones efectuadas en la misma línea en el fundamento jurídico 4 a) de la STC 28/2022, de 24 de febrero, en la que examinamos la constitucionalidad de una redacción prácticamente igual del primer párrafo del apartado 1 de esta disposición adicional primera de la Ley 24/2015, introducida por el artículo único del Decreto-ley del Gobierno de la Generalitat de Cataluña 37/2020, de 3 de noviembre, de refuerzo de la protección del derecho a la vivienda ante los efectos de la pandemia de la covid-19. Conectando el precepto con el conjunto del art. 5, al que hacía explícita referencia, afirmamos que “no se limita a establecer una obligación verificable por la administración, sino que atribuye al cumplimiento o incumplimiento de lo ordenado unos efectos que trascienden al plano procesal, ya que un precepto concreto, el apartado 3 de ese artículo 5 recién transcrito, dispone que solo ‘una vez’ cumplida esa obligación ‘el demandante podrá iniciar el procedimiento judicial’”, de donde dedujimos que se trataba de una norma procesal dirigida a los jueces.</w:t>
      </w:r>
    </w:p>
    <w:p w14:paraId="676AA233" w14:textId="77777777" w:rsidR="003754FE" w:rsidRDefault="003754FE" w:rsidP="003754FE">
      <w:pPr>
        <w:pStyle w:val="TextoNormal"/>
      </w:pPr>
    </w:p>
    <w:p w14:paraId="1FE46816" w14:textId="77777777" w:rsidR="003754FE" w:rsidRDefault="003754FE" w:rsidP="003754FE">
      <w:pPr>
        <w:pStyle w:val="TextoNormal"/>
      </w:pPr>
      <w:r>
        <w:t>Bien es cierto que, en este caso, el apartado 1 de la disposición adicional primera (en la redacción dada por el art. 12 de la Ley 1/2022) restringe su referencia al art. 5.2, y que el apartado 3 del mismo art. 5 fue declarado inconstitucional en el fundamento jurídico 5 a) de la STC 57/2022, de 7 de abril, por establecer un requisito que condicionaba el acceso al proceso. Pero no lo es menos que el citado art. 5.2 impone la obligación de ofrecer una propuesta de alquiler social “antes de interponer cualquier demanda judicial de ejecución hipotecaria o de desahucio por impago de alquiler”, y que el apartado 2 de la misma disposición adicional, cuyo carácter procesal no ha sido puesto en duda por la letrada del Parlamento de Cataluña, obliga a interrumpir los procedimientos judiciales en los que no se haya acreditado la formulación de la oferta de alquiler social, estableciendo, incluso, un trámite, a sustanciar dentro del proceso judicial, para que se formule la propuesta de alquiler social, de suerte que, si no se acredita su formulación o existe discrepancia entre las partes “[u]na vez se hayan efectuado alegaciones o haya transcurrido el plazo concedido”, el juzgado debe dar traslado de la situación a la administración competente, con la información que indica la norma. La consideración conjunta de ambos apartados conduce a la conclusión de que la regla del apartado 1 exige satisfacer una obligación previa que condiciona el acceso a la vía procesal, cuyo cumplimiento ha de constatar el órgano judicial, y que puede supeditar el desarrollo del procedimiento. Por tanto, queda sujeto —al igual que el apartado 2— a las determinaciones del art. 149.1.6 CE, y a la doctrina de este tribunal sobre dicho precepto que se ha expuesto anteriormente.</w:t>
      </w:r>
    </w:p>
    <w:p w14:paraId="16D14B22" w14:textId="77777777" w:rsidR="003754FE" w:rsidRDefault="003754FE" w:rsidP="003754FE">
      <w:pPr>
        <w:pStyle w:val="TextoNormal"/>
      </w:pPr>
    </w:p>
    <w:p w14:paraId="7CB442A1" w14:textId="77777777" w:rsidR="003754FE" w:rsidRDefault="003754FE" w:rsidP="003754FE">
      <w:pPr>
        <w:pStyle w:val="TextoNormal"/>
      </w:pPr>
      <w:r>
        <w:t xml:space="preserve">(iii) El último precepto al que se achaca la vulneración del art. 149.1.6 CE es la disposición transitoria de la Ley 1/2022, que extiende las obligaciones de ofrecer y renovar un alquiler social a que se refieren la disposición adicional primera y el art. 10 de la Ley 24/2015 en caso de que los correspondientes procedimientos judiciales se hayan iniciado antes de la entrada en vigor de la ley y todavía estén en tramitación. En la medida en que </w:t>
      </w:r>
      <w:r>
        <w:lastRenderedPageBreak/>
        <w:t>hemos considerado que la obligación regulada en los apartados 1 y 2 de la disposición adicional primera pertenece al ámbito procesal y queda sujeta a los límites del art. 149.1.6 CE, su extensión a procedimientos judiciales que estén en tramitación antes de la entrada en vigor de la Ley 1/2022 debe recibir la misma consideración.</w:t>
      </w:r>
    </w:p>
    <w:p w14:paraId="3438E5FC" w14:textId="77777777" w:rsidR="003754FE" w:rsidRDefault="003754FE" w:rsidP="003754FE">
      <w:pPr>
        <w:pStyle w:val="TextoNormal"/>
      </w:pPr>
    </w:p>
    <w:p w14:paraId="577AD5B0" w14:textId="77777777" w:rsidR="003754FE" w:rsidRDefault="003754FE" w:rsidP="003754FE">
      <w:pPr>
        <w:pStyle w:val="TextoNormal"/>
      </w:pPr>
      <w:r>
        <w:t>En el caso de la obligación de renovar el contrato a que se refiere el art. 10, lo cierto es que este precepto no contiene regla procesal alguna, como ya se ha observado anteriormente, y la disposición transitoria en examen tampoco determina que esa obligación tenga incidencia directa sobre el procedimiento judicial que se encuentre en trámite, alterando su normal desarrollo, ni se refiere a la forma en que habría de introducirse esa exigencia en su curso, a diferencia de lo que ocurre en el supuesto del apartado 2 de la disposición adicional primera de la Ley 24/2015. No hay, en suma, regla alguna dirigida al juez que esté conociendo del procedimiento de que se trate para que introduzca ese extremo en el debate o adopte las decisiones oportunas dirigidas a que esa obligación pueda hacerse efectiva. No cabe apreciar, por tanto, que la regla de la disposición transitoria quede sometida a las previsiones del art. 149.1.6 CE en lo que se refiere a la renovación prevista en el art. 10 de la Ley 24/2015.</w:t>
      </w:r>
    </w:p>
    <w:p w14:paraId="1780D437" w14:textId="77777777" w:rsidR="003754FE" w:rsidRDefault="003754FE" w:rsidP="003754FE">
      <w:pPr>
        <w:pStyle w:val="TextoNormal"/>
      </w:pPr>
    </w:p>
    <w:p w14:paraId="49E27E69" w14:textId="77777777" w:rsidR="003754FE" w:rsidRDefault="003754FE" w:rsidP="003754FE">
      <w:pPr>
        <w:pStyle w:val="TextoNormal"/>
      </w:pPr>
      <w:r>
        <w:t>d) Una vez que se ha precisado qué concretas normas quedan sujetas a los límites del art. 149.1.6 CE, podemos proceder ya a discernir si los respetan o no.</w:t>
      </w:r>
    </w:p>
    <w:p w14:paraId="6CAD99D0" w14:textId="77777777" w:rsidR="003754FE" w:rsidRDefault="003754FE" w:rsidP="003754FE">
      <w:pPr>
        <w:pStyle w:val="TextoNormal"/>
      </w:pPr>
    </w:p>
    <w:p w14:paraId="355A5DA9" w14:textId="77777777" w:rsidR="003754FE" w:rsidRDefault="003754FE" w:rsidP="003754FE">
      <w:pPr>
        <w:pStyle w:val="TextoNormal"/>
      </w:pPr>
      <w:r>
        <w:t>En primer lugar, hemos de indicar que, en este caso, el legislador autonómico guarda silencio sobre las modificaciones que introducen los arts. 1.3 [en el art. 5.2 f) de la Ley 18/2007] y 12 (que añade la disposición adicional primera a la Ley 24/2015), y sobre la regla de la disposición transitoria de la Ley 1/2022. La abogada de la Generalitat niega que se trate de normas procesales, y la representación del Parlamento de Cataluña sostiene igual postura, salvo en lo que se refiere al apartado 2 de la disposición adicional primera de la Ley 24/2015 que, según afirma, introduce una necesidad procesal dirigida a garantizar que no se incumpla la obligación establecida en el art. 5.2 de dicha ley, por lo que se justifica la conexión directa requerida por nuestra doctrina entre la normativa sustantiva y la especialidad procesal introducida y el objeto de la norma.</w:t>
      </w:r>
    </w:p>
    <w:p w14:paraId="1C3EDB83" w14:textId="77777777" w:rsidR="003754FE" w:rsidRDefault="003754FE" w:rsidP="003754FE">
      <w:pPr>
        <w:pStyle w:val="TextoNormal"/>
      </w:pPr>
    </w:p>
    <w:p w14:paraId="41BB9D1E" w14:textId="77777777" w:rsidR="003754FE" w:rsidRDefault="003754FE" w:rsidP="003754FE">
      <w:pPr>
        <w:pStyle w:val="TextoNormal"/>
      </w:pPr>
      <w:r>
        <w:t>De acuerdo con la doctrina antes recogida sobre la previsión del inciso final del art. 149.1.6 CE, el alcance de la competencia autonómica en materia procesal es de orden limitado y tiene un carácter restrictivo, estando circunscrita a las “necesarias especialidades” que en este orden se deriven de las particularidades del derecho sustantivo de las comunidades autónomas, entendida dicha expresión en el sentido de que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De este modo, “[n]o cabe interpretar esta salvedad competencial de modo tal que quede vacía de contenido la competencia general en materia de legislación procesal atribuida al Estado” [STC 13/2019, FJ 2 b)].</w:t>
      </w:r>
    </w:p>
    <w:p w14:paraId="473BB022" w14:textId="77777777" w:rsidR="003754FE" w:rsidRDefault="003754FE" w:rsidP="003754FE">
      <w:pPr>
        <w:pStyle w:val="TextoNormal"/>
      </w:pPr>
    </w:p>
    <w:p w14:paraId="4CFB8EA3" w14:textId="77777777" w:rsidR="003754FE" w:rsidRDefault="003754FE" w:rsidP="003754FE">
      <w:pPr>
        <w:pStyle w:val="TextoNormal"/>
      </w:pPr>
      <w:r>
        <w:t xml:space="preserve">En este caso, se puede advertir que lo que configuran las reglas que son aquí objeto de impugnación es una norma que condiciona el acceso al proceso, pues se impone a los propietarios de viviendas que pretendan ejercer determinadas acciones judiciales el cumplimiento de una obligación con carácter previo a ese ejercicio, al igual que en los supuestos enjuiciados en la STC 28/2022, de 24 de febrero, FJ 5, y en la STC 57/2022, de 7 de abril, </w:t>
      </w:r>
      <w:r>
        <w:lastRenderedPageBreak/>
        <w:t xml:space="preserve">FJ 5 a). En la primera de ellas se examinaba la impugnación del apartado 1 </w:t>
      </w:r>
      <w:r w:rsidRPr="003754FE">
        <w:rPr>
          <w:i/>
        </w:rPr>
        <w:t>bis</w:t>
      </w:r>
      <w:r>
        <w:t xml:space="preserve"> de la disposición adicional primera de la Ley 24/2015, en la redacción dada por el apartado segundo del artículo único del Decreto-ley del Gobierno de la Generalitat de Cataluña 37/2020, de 3 de noviembre, de refuerzo de la protección del derecho a la vivienda ante los efectos de la pandemia de la covid-19, que disponía la interrupción de los procedimientos iniciados en los que no se hubiese acreditado la formulación de una propuesta de alquiler social, regla de igual tenor a la del apartado 2 de la disposición adicional primera de la Ley 24/2015 (añadida por el art. 12 de la Ley 1/2022). Y en la STC 57/2022 se abordaba la cuestión relativa a la constitucionalidad del art. 5.3 de la Ley 24/2015, según la redacción que le dio el art. 17 de la Ley del Parlamento de Cataluña 11/2020, de 18 de septiembre, de medidas urgentes en materia de contención de rentas en los contratos de arrendamiento de vivienda y de modificación de la Ley 18/2007, de la Ley 24/2015 y de la Ley 4/2016, relativas a la protección del derecho a la vivienda, que autorizaba al demandante a iniciar el procedimiento judicial una vez que se hubiese formulado la oferta de alquiler social, si los afectados la rechazaran, y a través de una demanda acompañada necesariamente de la documentación que acreditara que se había formulado la oferta de alquiler social.</w:t>
      </w:r>
    </w:p>
    <w:p w14:paraId="1D481F11" w14:textId="77777777" w:rsidR="003754FE" w:rsidRDefault="003754FE" w:rsidP="003754FE">
      <w:pPr>
        <w:pStyle w:val="TextoNormal"/>
      </w:pPr>
    </w:p>
    <w:p w14:paraId="057DF2DB" w14:textId="77777777" w:rsidR="003754FE" w:rsidRDefault="003754FE" w:rsidP="003754FE">
      <w:pPr>
        <w:pStyle w:val="TextoNormal"/>
      </w:pPr>
      <w:r>
        <w:t>En relación con ambos supuestos indicamos que, atendiendo al canon de “conexión directa” o vínculo “necesario” o “inevitable”, hemos admitido, “la regulación de motivos de casación distintos de los previstos en la Ley de enjuiciamiento civil atendidas las características singulares de las instituciones de Derecho civil foral o especial de la comunidad autónoma, su escasa cuantía y carácter consuetudinario que impedirían en otro caso su acceso a la casación conforme a las normas generales (STC 47/2004, de 25 de marzo), pero no el empleo instrumental del Derecho procesal para la protección de derechos reconocidos por las comunidades autónomas, por ejemplo mediante el reconocimiento de una acción pública en materia de vivienda [STC 80/2018, FJ 5 a)], declarando inembargables determinadas ayudas concedidas por ellas (STC 2/2018, de 11 de enero) o erigiendo el cumplimiento de obligaciones impuestas por leyes autonómicas en requisito o presupuesto para el acceso al proceso (SSTC 54/2018, de 24 de mayo, FJ 7, y 5/2019, de 17 de enero, FJ 5, ambas en materia de vivienda). Tal y como se desprende de nuestra doctrina antes aludida, si así no se entendiera, resultaría subvertido por entero el sistema de distribución de competencias en materia procesal, pues bastaría a las comunidades autónomas con aprobar una norma cualquiera dentro de su acervo competencial para trasladar esta obligación a las leyes procesales que el art. 149.1.6 CE quiere comunes y ‘uniformes’ (STC 92/2013, de 22 de abril, FJ 4, citando sentencias anteriores) con las únicas excepciones que puedan considerarse ‘necesarias’, no simplemente convenientes. Como hemos dicho (véase supra fundamento jurídico 3), el art. 149.1.6 no permite a las comunidades autónomas ‘innovar el ordenamiento procesal en relación con la defensa jurídica de aquellos derechos e intereses que materialmente regulen’ [STC 13/2019, FJ 2 b), recopilando jurisprudencia anterior]. En fin, la competencia autonómica en materia de vivienda permite a la comunidad autónoma desarrollar la actividad a que se refiere el art. 137.1 de su Estatuto (establecer condiciones sobre su calidad y habitabilidad, planificarla e inspeccionarla, fomentarla o promoverla) pero no establecer un requisito de acceso al proceso no previsto por el legislador estatal” [SSTC 28/2022, FJ 5, y 57/2022, FJ 5 a)].</w:t>
      </w:r>
    </w:p>
    <w:p w14:paraId="149DAC8F" w14:textId="77777777" w:rsidR="003754FE" w:rsidRDefault="003754FE" w:rsidP="003754FE">
      <w:pPr>
        <w:pStyle w:val="TextoNormal"/>
      </w:pPr>
    </w:p>
    <w:p w14:paraId="73EC07DC" w14:textId="77777777" w:rsidR="003754FE" w:rsidRDefault="003754FE" w:rsidP="003754FE">
      <w:pPr>
        <w:pStyle w:val="TextoNormal"/>
      </w:pPr>
      <w:r>
        <w:t>Las anteriores consideraciones son trasladables a este supuesto.</w:t>
      </w:r>
    </w:p>
    <w:p w14:paraId="4C1CB3DB" w14:textId="77777777" w:rsidR="003754FE" w:rsidRDefault="003754FE" w:rsidP="003754FE">
      <w:pPr>
        <w:pStyle w:val="TextoNormal"/>
      </w:pPr>
    </w:p>
    <w:p w14:paraId="17F34308" w14:textId="77777777" w:rsidR="003754FE" w:rsidRDefault="003754FE" w:rsidP="003754FE">
      <w:pPr>
        <w:pStyle w:val="TextoNormal"/>
      </w:pPr>
      <w:r>
        <w:lastRenderedPageBreak/>
        <w:t>Por consiguiente, en atención a la doctrina antes expuesta sobre la previsión del inciso final del art. 149.1.6 CE, que limita el alcance de la competencia autonómica en materia procesal, asignándole un carácter restrictivo, en cuanto podría vaciar de contenido o privar de todo significado a la especificidad con que la materia procesal se contempla en el artículo 149.1.6 CE, debemos estimar la queja articulada en el recurso de inconstitucionalidad, por lo que procede concluir que el art. 1.3 de la Ley 1/2022, que da nueva redacción a la letra f) del art. 5.2 de la Ley 18/2007, los apartados 1 y 2 de la disposición adicional primera de la Ley 24/2015, en la redacción dada por el art. 12 de la Ley 1/2022, y la disposición transitoria de esta última, en lo que se refiere a la extensión de la obligación de ofrecer un alquiler social de la disposición adicional primera de la Ley 24/2015 a los procedimientos iniciados antes de la entrada en vigor de la Ley 1/2022 y que se encuentren en tramitación, infringen el art. 149.1.6 CE, y deben, por ello, ser declarados inconstitucionales y nulos.</w:t>
      </w:r>
    </w:p>
    <w:p w14:paraId="631046C8" w14:textId="77777777" w:rsidR="003754FE" w:rsidRDefault="003754FE" w:rsidP="003754FE">
      <w:pPr>
        <w:pStyle w:val="TextoNormal"/>
      </w:pPr>
    </w:p>
    <w:p w14:paraId="6B8C6348" w14:textId="77777777" w:rsidR="003754FE" w:rsidRDefault="003754FE" w:rsidP="003754FE">
      <w:pPr>
        <w:pStyle w:val="TextoNormal"/>
      </w:pPr>
      <w:r>
        <w:t>Podría suscitarse la duda de si, en el caso del apartado 1 de la disposición adicional primera de la Ley 24/2015, el restablecimiento del orden constitucional de competencias quedaría satisfecho limitando aquella declaración de inconstitucionalidad a su párrafo primero. Sin embargo, por su estrecha conexión, ha de considerarse el conjunto del apartado como un todo, de suerte que el resto de sus determinaciones carecen de autonomía al margen de aquel párrafo, ya que identifican en las letras a), b) y c) las acciones antes de cuyo ejercicio resulta exigible la formulación de la propuesta de alquiler social, así como los requisitos que han de concurrir en cada una de ellas como determinantes del nacimiento de esa obligación.</w:t>
      </w:r>
    </w:p>
    <w:p w14:paraId="6B1D79FF" w14:textId="77777777" w:rsidR="003754FE" w:rsidRDefault="003754FE" w:rsidP="003754FE">
      <w:pPr>
        <w:pStyle w:val="TextoNormal"/>
      </w:pPr>
    </w:p>
    <w:p w14:paraId="22F9FBA6" w14:textId="77777777" w:rsidR="003754FE" w:rsidRDefault="003754FE" w:rsidP="003754FE">
      <w:pPr>
        <w:pStyle w:val="TextoNormal"/>
      </w:pPr>
      <w:r>
        <w:t>Con esta declaración de inconstitucionalidad, que supone la expulsión del ordenamiento jurídico de los preceptos referidos, pierde objeto el resto de las quejas articuladas contra ellos.</w:t>
      </w:r>
    </w:p>
    <w:p w14:paraId="57AAE822" w14:textId="77777777" w:rsidR="003754FE" w:rsidRDefault="003754FE" w:rsidP="003754FE">
      <w:pPr>
        <w:pStyle w:val="TextoNormal"/>
      </w:pPr>
    </w:p>
    <w:p w14:paraId="31F8210D" w14:textId="77777777" w:rsidR="003754FE" w:rsidRDefault="003754FE" w:rsidP="003754FE">
      <w:pPr>
        <w:pStyle w:val="TextoNormal"/>
      </w:pPr>
      <w:r>
        <w:t>C) La otra queja de índole competencial que se formula contra los arts. 1.3, 11 y 12 y la disposición transitoria de la Ley 1/2022 denuncia la vulneración de la competencia estatal exclusiva sobre bases de las obligaciones contractuales (art. 149.1.8 CE), puesto que integrarían elementos esenciales que forman parte de esas bases los aspectos regulados en tales preceptos, referidos a la ampliación de los supuestos en los que los propietarios de viviendas están obligados a celebrar un contrato de alquiler social, y a la extensión de su plazo de duración, agravando las consecuencias de su incumplimiento. En definitiva, las normas impugnadas regularían cuestiones que pertenecen al núcleo esencial de las obligaciones contractuales, incardinándose en el ámbito del Derecho civil referido al contrato de arrendamiento, sin que encuentren encaje en la competencia autonómica sobre vivienda.</w:t>
      </w:r>
    </w:p>
    <w:p w14:paraId="29C34FF9" w14:textId="77777777" w:rsidR="003754FE" w:rsidRDefault="003754FE" w:rsidP="003754FE">
      <w:pPr>
        <w:pStyle w:val="TextoNormal"/>
      </w:pPr>
    </w:p>
    <w:p w14:paraId="0287D006" w14:textId="77777777" w:rsidR="003754FE" w:rsidRDefault="003754FE" w:rsidP="003754FE">
      <w:pPr>
        <w:pStyle w:val="TextoNormal"/>
      </w:pPr>
      <w:r>
        <w:t xml:space="preserve">La abogada de la Generalitat opone que la regulación discutida encaja en la materia de vivienda y no en el Derecho civil. Defiende que la propuesta de alquiler social no constituye un contrato de arrendamiento regido por la Ley de arrendamientos urbanos, sino un contrato derivado de una obligación que impone la normativa administrativa sobre vivienda, en beneficio de personas que se encuentran en situación de emergencia social. Se regula la vertiente institucional del derecho de propiedad para proteger los intereses de colectivos vulnerables, y, en todo caso, la ampliación del plazo de vigencia de la propuesta de alquiler social es coherente con la reforma introducida en la Ley de arrendamientos urbanos por el Real Decreto-ley 7/2019, de 1 de marzo, de medidas urgentes en materia de vivienda y alquiler. También niega la vulneración de la competencia del art. 149.1.8 CE la letrada del Parlamento de Cataluña, que sitúa las medidas contenidas en los preceptos impugnados en </w:t>
      </w:r>
      <w:r>
        <w:lastRenderedPageBreak/>
        <w:t>el ámbito de la competencia de vivienda del art. 137 EAC, a pesar de que las normas regulen aspectos de la propiedad urbana que incidan en facultades propias de las relaciones entre privados. Señala que, en cualquier caso, se establece una ampliación de supuestos, por lo que no se discute la obligación de ofrecer un alquiler social, que ya se encontraba prevista en la Ley 24/2015, y, además, tiene unos destinatarios determinados y se aplica proporcionalmente, por lo que no alcanza a vaciar de contenido el derecho de propiedad en cuanto a su utilidad económica.</w:t>
      </w:r>
    </w:p>
    <w:p w14:paraId="67044C6D" w14:textId="77777777" w:rsidR="003754FE" w:rsidRDefault="003754FE" w:rsidP="003754FE">
      <w:pPr>
        <w:pStyle w:val="TextoNormal"/>
      </w:pPr>
    </w:p>
    <w:p w14:paraId="2D14FBBD" w14:textId="77777777" w:rsidR="003754FE" w:rsidRDefault="003754FE" w:rsidP="003754FE">
      <w:pPr>
        <w:pStyle w:val="TextoNormal"/>
      </w:pPr>
      <w:r>
        <w:t>Antes de entrar a examinar esta queja, hemos de precisar el alcance de nuestro enjuiciamiento. Dado que en el apartado anterior se declararon inconstitucionales y nulos el art. 1.3 [que da nueva redacción a la letra f) del art. 5.2 de la Ley 18/2007], los apartados 1 y 2 de la disposición adicional primera de la Ley 24/2015, en la redacción dada por el art. 12, así como la disposición transitoria de la Ley 1/2022, en la parte en que extiende lo previsto en aquellos dos apartados de la disposición adicional primera a procedimientos judiciales en tramitación a la entrada en vigor de la ley, hemos de limitarnos a verificar si los arts. 11 y 12 (en la parte que permanece vigente), así como la disposición transitoria, en cuanto se relaciona con el art. 11, respetan o no la competencia estatal sobre bases de las obligaciones contractuales.</w:t>
      </w:r>
    </w:p>
    <w:p w14:paraId="39AAD11D" w14:textId="77777777" w:rsidR="003754FE" w:rsidRDefault="003754FE" w:rsidP="003754FE">
      <w:pPr>
        <w:pStyle w:val="TextoNormal"/>
      </w:pPr>
    </w:p>
    <w:p w14:paraId="1B945BDB" w14:textId="77777777" w:rsidR="003754FE" w:rsidRDefault="003754FE" w:rsidP="003754FE">
      <w:pPr>
        <w:pStyle w:val="TextoNormal"/>
      </w:pPr>
      <w:r>
        <w:t>a) En la medida en que lo que se plantea es una impugnación de índole competencial, la primera operación que debemos realizar es determinar la materia objeto de la regulación contenida en las normas discutidas, para poder examinar, a continuación, la distribución competencial existente en esa materia. A tal efecto, hemos de partir de lo dispuesto en los preceptos impugnados que, aunque se vinculan por los recurrentes a la obligación de celebrar un contrato de alquiler social, tienen contenidos diversos. La Ley 1/2022 no incluye ninguna previsión en su articulado en cuanto al título competencial que la ampara, si bien en su preámbulo se mencionan las competencias exclusivas del art. 137 EAC, en materia de vivienda, y del art. 123 EAC, en materia de consumo. De la misma forma, las representaciones autonómicas han defendido que los preceptos impugnados se han dictado al amparo del art. 137 EAC, por el que se atribuye a la Generalitat la competencia exclusiva en materia de vivienda.</w:t>
      </w:r>
    </w:p>
    <w:p w14:paraId="535B6846" w14:textId="77777777" w:rsidR="003754FE" w:rsidRDefault="003754FE" w:rsidP="003754FE">
      <w:pPr>
        <w:pStyle w:val="TextoNormal"/>
      </w:pPr>
    </w:p>
    <w:p w14:paraId="3B30A24F" w14:textId="77777777" w:rsidR="003754FE" w:rsidRDefault="003754FE" w:rsidP="003754FE">
      <w:pPr>
        <w:pStyle w:val="TextoNormal"/>
      </w:pPr>
      <w:r>
        <w:t>Para efectuar tal encuadre competencial, debemos atender al carácter, sentido y finalidad de las disposiciones traídas al conflicto, es decir, del contenido del precepto controvertido, delimitando así la regla competencial aplicable al caso [por todas, STC 65/2020, de 18 de junio, FJ 6 e)], tarea en la que este tribunal no se encuentra vinculado por las incardinaciones competenciales contenidas en las normas sometidas a su enjuiciamiento (STC 132/2019, de 13 de noviembre, FJ 4), ni tampoco por “el encuadramiento competencial que realicen las partes en el proceso” (por todas, STC 18/2016, de 4 de febrero, FJ 10).</w:t>
      </w:r>
    </w:p>
    <w:p w14:paraId="5B30CB3E" w14:textId="77777777" w:rsidR="003754FE" w:rsidRDefault="003754FE" w:rsidP="003754FE">
      <w:pPr>
        <w:pStyle w:val="TextoNormal"/>
      </w:pPr>
    </w:p>
    <w:p w14:paraId="75F0CA58" w14:textId="77777777" w:rsidR="003754FE" w:rsidRDefault="003754FE" w:rsidP="003754FE">
      <w:pPr>
        <w:pStyle w:val="TextoNormal"/>
      </w:pPr>
      <w:r>
        <w:t xml:space="preserve">Al igual que en el supuesto examinado en la STC 37/2022, de 10 de marzo, FJ 4, es innegable que la regulación aquí discutida se proyecta sobre el ámbito de la vivienda, más concretamente sobre su destino habitacional y sobre el régimen del alquiler o arrendamiento de que ha de ser objeto la misma bajo ciertos presupuestos en situaciones de vulnerabilidad habitacional. Como allí dijimos, “la vivienda ‘no constituye un título competencial autónomo’ (por todas, STC 59/1995, de 17 de marzo, FJ 3), sino que puede recaer bajo distintos títulos competenciales estatales o autonómicos dependiendo de cuál sea el enfoque y cuáles los instrumentos regulatorios utilizados en cada caso por el legislador. Dicha complejidad </w:t>
      </w:r>
      <w:r>
        <w:lastRenderedPageBreak/>
        <w:t>competencial es consecuencia de las distintas dimensiones constitucionales que presenta la vivienda (‘económica’ y ‘social’, STC 152/1988, de 20 de julio, FJ 2)”. Por una parte, “la vivienda, cuya protección se configura como un principio rector de la política social y económica en el art. 47 CE, constituye, especialmente en el caso de la vivienda habitacional, el soporte y marco imprescindible para el ejercicio de varios derechos fundamentales estrechamente vinculados con la dignidad de la persona y el libre desarrollo de la personalidad (art. 10.1 CE). Entre ellos se encuentran señaladamente los derechos a la intimidad personal y familiar (art. 18.1 CE) y a la inviolabilidad del domicilio (art. 18.2 CE)”. Por otra, “la vivienda constituye un importante activo patrimonial y, por ende, el objeto de un sector del mercado —el mercado inmobiliario—, lo cual le otorga una innegable relevancia desde la perspectiva de la actividad económica, el mercado único y la regulación del tráfico patrimonial privado” [STC 37/2022, FJ 4 a)].</w:t>
      </w:r>
    </w:p>
    <w:p w14:paraId="6AE4BF5E" w14:textId="77777777" w:rsidR="003754FE" w:rsidRDefault="003754FE" w:rsidP="003754FE">
      <w:pPr>
        <w:pStyle w:val="TextoNormal"/>
      </w:pPr>
    </w:p>
    <w:p w14:paraId="0CA643A6" w14:textId="77777777" w:rsidR="003754FE" w:rsidRDefault="003754FE" w:rsidP="003754FE">
      <w:pPr>
        <w:pStyle w:val="TextoNormal"/>
      </w:pPr>
      <w:r>
        <w:t xml:space="preserve">Dicho esto, si analizamos el contenido de los preceptos a los que se achaca la vulneración del art. 149.1.8 CE, comprobamos, en primer lugar, que, pese a las innegables conexiones con el derecho a la vivienda, su contenido no se puede encuadrar de manera primordial en esta materia a efectos competenciales. De un lado, porque la competencia exclusiva a la que alude el art. 137 EAC tiene por objeto fundamental, tal como pone de manifiesto el tenor del propio precepto estatutario, el desarrollo de políticas públicas en materia de vivienda, centradas en la actividad administrativa de ordenación y fomento del sector [STC 37/2022, FJ 4 a)]. Y, de otro, porque se aprecia que la finalidad que el legislador autonómico persigue a la hora de incidir sobre la propiedad inmobiliaria se lleva a cabo a través de la regulación de dos elementos que afectan de manera esencial a la relación contractual civil de carácter arrendaticio (“alquiler social”): por una parte, su duración, y, por otra, su renovación, una vez cumplido el plazo inicialmente dispuesto. En efecto, el apartado 3 de la disposición adicional primera de la Ley 24/2015, en la redacción dada por el art. 12 de la Ley 1/2022, prevé que la duración mínima del contrato de alquiler social obligatorio será la establecida en la legislación de arrendamientos urbanos y, en todo caso, de cinco años si se trata de personas físicas y de siete si son personas jurídicas. Y el art. 10 de la Ley 24/2015, introducido </w:t>
      </w:r>
      <w:r w:rsidRPr="003754FE">
        <w:rPr>
          <w:i/>
        </w:rPr>
        <w:t>ex novo</w:t>
      </w:r>
      <w:r>
        <w:t xml:space="preserve"> por la Ley 1/2022, reconoce el derecho de las personas o unidades familiares que disfrutan de contratos de alquiler social a formalizar un nuevo contrato, llegada la finalización de su plazo, por una única vez, siempre que acrediten que siguen cumpliendo los requisitos de exclusión residencial del art. 5.7, a cuyo efecto, el titular de la vivienda debe requerirles, con una antelación de al menos cuatro meses antes de la expiración del contrato, para que presenten la documentación acreditativa. Por consiguiente, se trata de normas que afectan a sendos aspectos de la relación contractual arrendaticia, por lo que tienen una naturaleza eminentemente civil, de manera que su contenido ha de analizarse atendiendo a la doctrina constitucional relativa a la distribución de competencias en este ámbito.</w:t>
      </w:r>
    </w:p>
    <w:p w14:paraId="3956AD4A" w14:textId="77777777" w:rsidR="003754FE" w:rsidRDefault="003754FE" w:rsidP="003754FE">
      <w:pPr>
        <w:pStyle w:val="TextoNormal"/>
      </w:pPr>
    </w:p>
    <w:p w14:paraId="5EA86A81" w14:textId="77777777" w:rsidR="003754FE" w:rsidRDefault="003754FE" w:rsidP="003754FE">
      <w:pPr>
        <w:pStyle w:val="TextoNormal"/>
      </w:pPr>
      <w:r>
        <w:t xml:space="preserve">b) La Constitución atribuye al Estado en el art. 149.1.8 toda la competencia en materia de legislación civil, si bien dejando a salvo la posibilidad de que las comunidades autónomas puedan conservar, modificar y desarrollar su Derecho civil especial o foral, allí donde lo haya, como ocurre con Cataluña, que cuenta con competencia en materia de Derecho civil, con la excepción de las materias que el art. 149.1.8 CE atribuye en todo caso al Estado (art. 129 EAC). Estas últimas materias son aquellas que, según ha entendido el constituyente, reclaman una legislación uniforme, y, por esa razón, queda reservada al Estado de manera exclusiva su regulación. “El sentido de esta segunda reserva competencial en favor del legislador estatal no es otro, pues, que el de delimitar un ámbito dentro del cual nunca podrá </w:t>
      </w:r>
      <w:r>
        <w:lastRenderedPageBreak/>
        <w:t>estimarse subsistente ni susceptible, por tanto, de conservación, modificación o desarrollo, Derecho civil especial o foral alguno” [STC 156/1993, de 6 de mayo, FJ 1 a)]. Entre esas materias que se reservan en exclusiva al legislador estatal se encuentran las bases de las obligaciones contractuales, que es el título que se considera vulnerado en el recurso por la regulación en examen. Así pues, para resolver esta queja hemos de proceder a la exposición de los aspectos principales de nuestra doctrina en cuanto al alcance de la competencia estatal sobre las bases de las obligaciones contractuales, cuya síntesis puede ser determinada a partir de las SSTC 132/2019, de 13 de noviembre, FJ 6, y 157/2021, de 16 de septiembre, FJ 9 c).</w:t>
      </w:r>
    </w:p>
    <w:p w14:paraId="7D7CC04A" w14:textId="77777777" w:rsidR="003754FE" w:rsidRDefault="003754FE" w:rsidP="003754FE">
      <w:pPr>
        <w:pStyle w:val="TextoNormal"/>
      </w:pPr>
    </w:p>
    <w:p w14:paraId="77A91171" w14:textId="77777777" w:rsidR="003754FE" w:rsidRDefault="003754FE" w:rsidP="003754FE">
      <w:pPr>
        <w:pStyle w:val="TextoNormal"/>
      </w:pPr>
      <w:r>
        <w:t>(i) Se trata de una competencia material compartida entre el Estado y las comunidades autónomas que cuenten con Derecho civil foral o especial propio, que les permita el desarrollo de su legislación contractual, siempre que lo efectúen dentro de los límites marcados como bases por la legislación estatal. Por tanto, la cuestión se sitúa, en lo que debe entenderse por básico en materia civil contractual, pues no lo es todo el Derecho contractual, “sino que solo lo serán aquellas reglas que contengan los elementos esenciales que garanticen un régimen contractual común para todos los ciudadanos”.</w:t>
      </w:r>
    </w:p>
    <w:p w14:paraId="574F02E1" w14:textId="77777777" w:rsidR="003754FE" w:rsidRDefault="003754FE" w:rsidP="003754FE">
      <w:pPr>
        <w:pStyle w:val="TextoNormal"/>
      </w:pPr>
    </w:p>
    <w:p w14:paraId="02ABE703" w14:textId="77777777" w:rsidR="003754FE" w:rsidRDefault="003754FE" w:rsidP="003754FE">
      <w:pPr>
        <w:pStyle w:val="TextoNormal"/>
      </w:pPr>
      <w:r>
        <w:t>(ii) Con fundamento en la consolidada doctrina acerca del carácter formal y material de las bases [por todas, SSTC 223/2000, de 21 de septiembre, FJ 6, y 34/2013, de 14 de febrero, FJ 4 b)], este tribunal ha considerado que “dentro de la competencia estatal sobre la contratación entre privados, tienen cobijo las normas estatales que fijen las líneas directrices y los criterios globales de ordenación de los contratos, así como las previsiones de acciones o medidas singulares que sean necesarias para alcanzar los fines propuestos dentro de la ordenación de este sector (</w:t>
      </w:r>
      <w:r w:rsidRPr="003754FE">
        <w:rPr>
          <w:i/>
        </w:rPr>
        <w:t>mutatis mutandis</w:t>
      </w:r>
      <w:r>
        <w:t>, STC 95/1986, de 10 de julio, FJ 4) y por este motivo, la competencia estatal de las ‘bases de las obligaciones contractuales’ del art. 149.1.8 CE debe ser entendida como una garantía estructural del mercado único y supone un límite en sí —un límite directo desde la Constitución— a la diversidad regulatoria que pueden introducir los legisladores autonómicos”. Ahora bien, hay que atender rigurosamente al sentido que de la noción “bases de las obligaciones contractuales” se infiere del art. 149.1.8 CE, pues este “atribuye al Estado la competencia para establecer los criterios de ordenación general del sector de la contratación privada en aquellos territorios autonómicos que cuenten con legislación propia, pero no le permite regular pormenorizadamente aspectos materiales concretos de estas obligaciones, pues tal regulación menoscabaría las competencias de las comunidades autónomas que tengan un Derecho civil foral o especial propio”.</w:t>
      </w:r>
    </w:p>
    <w:p w14:paraId="409D3BFE" w14:textId="77777777" w:rsidR="003754FE" w:rsidRDefault="003754FE" w:rsidP="003754FE">
      <w:pPr>
        <w:pStyle w:val="TextoNormal"/>
      </w:pPr>
    </w:p>
    <w:p w14:paraId="3119F5FF" w14:textId="77777777" w:rsidR="003754FE" w:rsidRDefault="003754FE" w:rsidP="003754FE">
      <w:pPr>
        <w:pStyle w:val="TextoNormal"/>
      </w:pPr>
      <w:r>
        <w:t>(iii) Partiendo de la idea de que existe una situación de concurrencia de competencias estatal y autonómica sobre la legislación civil contractual, “el carácter básico de la normativa estatal determinará que la norma autonómica haya de ajustarse a los límites establecidos por esta regulación, pues si no la respeta se vulnerará de modo mediato el art. 149.1.8 CE. Por ello, para enjuiciar si los preceptos autonómicos impugnados resultan contrarios al orden constitucional de distribución de competencias es preciso contrastar si la normativa autonómica es acorde con la legislación básica estatal”.</w:t>
      </w:r>
    </w:p>
    <w:p w14:paraId="12908F88" w14:textId="77777777" w:rsidR="003754FE" w:rsidRDefault="003754FE" w:rsidP="003754FE">
      <w:pPr>
        <w:pStyle w:val="TextoNormal"/>
      </w:pPr>
    </w:p>
    <w:p w14:paraId="726222F1" w14:textId="77777777" w:rsidR="003754FE" w:rsidRDefault="003754FE" w:rsidP="003754FE">
      <w:pPr>
        <w:pStyle w:val="TextoNormal"/>
      </w:pPr>
      <w:r>
        <w:t xml:space="preserve">Por otra parte, ha de tenerse en cuenta que, de acuerdo con la doctrina de este tribunal, la definición de lo básico ha de permitir a las comunidades autónomas su desarrollo a través de la consecución de opciones legislativas propias, de forma que la legislación básica no </w:t>
      </w:r>
      <w:r>
        <w:lastRenderedPageBreak/>
        <w:t>agote completamente la materia (SSTC 32/1981, de 28 de julio; 1/1982, de 28 de enero, y 5/1982, de 8 de febrero).</w:t>
      </w:r>
    </w:p>
    <w:p w14:paraId="66F752F7" w14:textId="77777777" w:rsidR="003754FE" w:rsidRDefault="003754FE" w:rsidP="003754FE">
      <w:pPr>
        <w:pStyle w:val="TextoNormal"/>
      </w:pPr>
    </w:p>
    <w:p w14:paraId="4A41680B" w14:textId="77777777" w:rsidR="003754FE" w:rsidRDefault="003754FE" w:rsidP="003754FE">
      <w:pPr>
        <w:pStyle w:val="TextoNormal"/>
      </w:pPr>
      <w:r>
        <w:t>(iv) No obstante, el legislador estatal no ha llevado a cabo una concreción formal de lo que han de considerarse “bases de las obligaciones contractuales”, por lo que, “mientras esto sucede, las comunidades autónomas no pueden quedar obligadas a esperar el pronunciamiento específico del legislador estatal y pueden ejercer su competencia respetando los principios que se deriven de la Constitución Española y de la legislación existente”. En tanto se produce tal declaración formal de las bases de las obligaciones contractuales, estas obligaciones se encuentran reguladas en el Código civil estatal que es una norma preconstitucional, lo que obliga a inferir de la regulación que efectúa aquellas obligaciones que materialmente tienen esta naturaleza.</w:t>
      </w:r>
    </w:p>
    <w:p w14:paraId="441D5D8C" w14:textId="77777777" w:rsidR="003754FE" w:rsidRDefault="003754FE" w:rsidP="003754FE">
      <w:pPr>
        <w:pStyle w:val="TextoNormal"/>
      </w:pPr>
    </w:p>
    <w:p w14:paraId="64ECE58E" w14:textId="77777777" w:rsidR="003754FE" w:rsidRDefault="003754FE" w:rsidP="003754FE">
      <w:pPr>
        <w:pStyle w:val="TextoNormal"/>
      </w:pPr>
      <w:r>
        <w:t xml:space="preserve">Para llevar a cabo esa inferencia ha de partirse de la idea de que la necesidad de una mínima regulación uniforme en materia de contratos, al ser el contrato un instrumento jurídico al servicio de la economía, “ha de orientarse al cumplimiento de los principios de unidad de mercado y libre circulación de personas y bienes (art. 139 CE), solidaridad y equilibrio económico (arts. 2 y 138 CE) y planificación general de la actividad económica (art. 131 CE). Todas estas normas constitucionales persiguen la ordenación general del orden público económico y son reglas esenciales en el orden jurídico global al ser las normas que determinan la estructura y el sistema económico de la sociedad”. De ahí que “en materia contractual solo deba considerase normativa básica aquellas reglas que incidan directamente en la organización económica, en las relaciones </w:t>
      </w:r>
      <w:r w:rsidRPr="003754FE">
        <w:rPr>
          <w:i/>
        </w:rPr>
        <w:t>inter partes</w:t>
      </w:r>
      <w:r>
        <w:t xml:space="preserve"> y en la economía interna de los contratos, comprobando, por ejemplo, si se respetan directrices básicas tales como el principio de la iniciativa privada y la libertad de contratación, la conmutatividad del comercio jurídico, la buena fe en las relaciones económicas, la seguridad del tráfico jurídico o si el tipo contractual se ajusta al esquema establecido en la norma estatal”.</w:t>
      </w:r>
    </w:p>
    <w:p w14:paraId="05D5ED23" w14:textId="77777777" w:rsidR="003754FE" w:rsidRDefault="003754FE" w:rsidP="003754FE">
      <w:pPr>
        <w:pStyle w:val="TextoNormal"/>
      </w:pPr>
    </w:p>
    <w:p w14:paraId="01FCA972" w14:textId="77777777" w:rsidR="003754FE" w:rsidRDefault="003754FE" w:rsidP="003754FE">
      <w:pPr>
        <w:pStyle w:val="TextoNormal"/>
      </w:pPr>
      <w:r>
        <w:t>(v) Hasta tanto el legislador estatal no se pronuncie sobre lo que debe entenderse como normativa contractual básica, la operación de inferencia de las bases de las obligaciones contractuales se ha de realizar mediante un examen de las normas recogidas en el Código civil de 1889, lo que no significa considerar que todas las normas contractuales contenidas en el libro IV del Código civil (CC) lo sean, pues en él se insertan tanto reglas optativas dirigidas a la resolución de problemas concretos, como otras que fijan los perfiles, esquemas o estructuras de cada uno de los tipos contractuales y de los principios generales en los que se inspiran. Por consiguiente, “‘hay que entender que cuando el art. 149.1.8 CE hace referencia a la competencia exclusiva del Estado para dictar las bases de las obligaciones contractuales está aludiendo al núcleo esencial de la estructura de los contratos y a los principios que deben informar su regulación, pero no puede considerarse que el libro IV [del Código civil] contenga una regulación que impida a las comunidades autónomas con competencias en esta materia que puedan dictar regulación alguna’. Las ‘bases de las obligaciones contractuales’ a las que se refiere el art. 149.1.8 CE no constituyen el punto de partida abierto al desarrollo de las comunidades autónomas, sino que, por el contrario, son exclusivamente un límite a la actividad legislativa de estas. La razón de tal afirmación es clara: la finalidad de la reserva estatal en materia de Derecho de contratos estriba en la necesidad de garantizar un común denominador en los principios que deben regir las obligaciones contractuales, lo que se logra cuando las categorías generales son las mismas en todo el territorio nacional’”.</w:t>
      </w:r>
    </w:p>
    <w:p w14:paraId="105D6F6D" w14:textId="77777777" w:rsidR="003754FE" w:rsidRDefault="003754FE" w:rsidP="003754FE">
      <w:pPr>
        <w:pStyle w:val="TextoNormal"/>
      </w:pPr>
    </w:p>
    <w:p w14:paraId="1E9C1F2B" w14:textId="77777777" w:rsidR="003754FE" w:rsidRDefault="003754FE" w:rsidP="003754FE">
      <w:pPr>
        <w:pStyle w:val="TextoNormal"/>
      </w:pPr>
      <w:r>
        <w:lastRenderedPageBreak/>
        <w:t>(vi) Aunque el legislador civil estatal no haya concretado lo que ha de entenderse por legislación básica en materia de contratos, “puede considerarse como tal la comprendida en los principios desarrollados en los títulos I y II del libro IV CC (arts. 1088 a 1314), especialmente las normas relativas a las fuentes de las obligaciones (art. 1089 y ss. CC), a la fuerza vinculante del contrato (art. 1091 CC) y las que regulan sus elementos esenciales y efectos (arts. 1254 a 1280 CC). Con el mismo carácter básico deben tomarse los principios materiales que se extraen de estas normas tales como la autonomía de la voluntad, la prevalencia del principio espiritualista en la perfección del contrato, la eficacia obligacional del contrato en relación con los modos de traslación del dominio; la obligatoriedad del contrato, la buena fe contractual, el sistema de responsabilidad por incumplimiento, la responsabilidad universal del deudor, los requisitos de la validez y eficacia del contrato o la defensa de los consumidores”. En definitiva, “cuando el art. 149.1.8 CE reserva al Estado la fijación de las bases de las obligaciones contractuales no se la otorga para regular concreta y detalladamente un determinado tipo contractual, sino para dictar aquellas normas que sean esenciales para preservar una estructura de relaciones contractuales con idéntica lógica interna, auspiciada por los mismos principios materiales e igual para todos los agentes económicos en todo el territorio nacional”. La consecuencia es que las bases “deben referirse con carácter general y común a todos los contratos o categorías amplias de los mismos (STC 71/1982, de 30 de noviembre) y no pueden comprender la regulación de cada tipo contractual, salvo en la parte y medida que esta suponga una concreción complementaria de las reglas generales o generalizables a la clase a que por su naturaleza jurídica pertenece y, en todo caso, deben quedar opciones diversas para que el legislador autonómico pueda ejercitar su competencia”.</w:t>
      </w:r>
    </w:p>
    <w:p w14:paraId="39726548" w14:textId="77777777" w:rsidR="003754FE" w:rsidRDefault="003754FE" w:rsidP="003754FE">
      <w:pPr>
        <w:pStyle w:val="TextoNormal"/>
      </w:pPr>
    </w:p>
    <w:p w14:paraId="0DC274A8" w14:textId="77777777" w:rsidR="003754FE" w:rsidRDefault="003754FE" w:rsidP="003754FE">
      <w:pPr>
        <w:pStyle w:val="TextoNormal"/>
      </w:pPr>
      <w:r>
        <w:t>c) Una vez expuesta la doctrina constitucional sobre la competencia estatal en relación con las bases de las obligaciones contractuales, hemos de determinar si la regulación de la Ley del Parlamento de Cataluña 1/2022 que aquí ha sido puesta en tela de juicio se atiene a los límites fijados en la reserva del art. 149.1.8 CE, que ordena, en todo caso, su adecuación a la legislación estatal.</w:t>
      </w:r>
    </w:p>
    <w:p w14:paraId="02C3E643" w14:textId="77777777" w:rsidR="003754FE" w:rsidRDefault="003754FE" w:rsidP="003754FE">
      <w:pPr>
        <w:pStyle w:val="TextoNormal"/>
      </w:pPr>
    </w:p>
    <w:p w14:paraId="2C5E7E5E" w14:textId="77777777" w:rsidR="003754FE" w:rsidRDefault="003754FE" w:rsidP="003754FE">
      <w:pPr>
        <w:pStyle w:val="TextoNormal"/>
      </w:pPr>
      <w:r>
        <w:t xml:space="preserve">En el enjuiciamiento de los tres preceptos que se examinan debemos partir de una consideración básica: todos ellos se refieren a un contrato denominado “alquiler social”, que determinados propietarios de viviendas especificados en el art. 5.2 de la Ley 24/2015 (personas jurídicas que sean grandes tenedores o que hayan adquirido posteriormente al 30 de abril de 2008 viviendas que sean, en primera o en ulteriores transmisiones, provenientes de ejecuciones hipotecarias, provenientes de acuerdos de compensación de deudas o de dación en pago o provenientes de compraventas que tengan como causa la imposibilidad de devolver el préstamo hipotecario), deben ofrecer antes de promover acciones judiciales de ejecución hipotecaria o de desahucio por impago del alquiler. Es decir, nos encontramos ante un contrato peculiar, que viene impuesto a aquellos propietarios de manera forzosa, prescindiendo de su voluntad e, incluso, bajo apercibimiento de importantes sanciones pecuniarias, en virtud de una decisión del legislador, y como consecuencia de la cual resultan vinculados a personas o unidades familiares en situación de exclusión residencial a través de una relación jurídica asimilable a la nacida de un contrato, en la que todo el contenido contractual viene predeterminado por disposición legal. Falta, por tanto, el elemento esencial del consentimiento de los contratantes para que pueda hablarse de la existencia de un contrato (art. 1261.1 CC), hallándonos, más bien, ante un supuesto de unas relaciones jurídicas privadas </w:t>
      </w:r>
      <w:r>
        <w:lastRenderedPageBreak/>
        <w:t>(ya que ambas partes en la relación son sujetos privados) constituidas de manera forzosa y heterónoma.</w:t>
      </w:r>
    </w:p>
    <w:p w14:paraId="0A512EC4" w14:textId="77777777" w:rsidR="003754FE" w:rsidRDefault="003754FE" w:rsidP="003754FE">
      <w:pPr>
        <w:pStyle w:val="TextoNormal"/>
      </w:pPr>
    </w:p>
    <w:p w14:paraId="4B5BB030" w14:textId="77777777" w:rsidR="003754FE" w:rsidRDefault="003754FE" w:rsidP="003754FE">
      <w:pPr>
        <w:pStyle w:val="TextoNormal"/>
      </w:pPr>
      <w:r>
        <w:t>No podemos ignorar que el Derecho contractual se encuentra presidido por el principio dispositivo, como así se desprende de nuestro ordenamiento jurídico, en el que la regulación de los contratos se asienta en la libertad de las partes, a cuyos acuerdos se dispensa la debida tutela jurídica, evitando, en línea de principio, las intromisiones que vayan más allá de las que se encuentren estrictamente justificadas para la salvaguarda de derechos, libertades, intereses o políticas que exijan la protección del legislador. Como se señaló en el fundamento jurídico 6 de la STC 132/2019, ya mencionada, “[e]l fundamento mismo de la institución del contrato se encuentra ante todo en el principio general de libertad que se deduce del art. 10 CE, al consagrar el principio de la dignidad de la persona y del libre desarrollo de la personalidad, y del art. 1.1 CE, que encuentra necesariamente su reflejo en el ámbito económico. Por ello, esta institución encuentra también fundamento constitucional en el art. 38 CE, por el que se reconoce la libertad de empresa en el marco de la economía de mercado, lo que supone innegablemente la libertad de iniciativa privada en el campo económico y la libertad de los particulares de constituirse en agentes económicos mediante la contratación”. Y añadimos que la regulación de las relaciones contractuales entre privados contenida en el Código civil “contempla como regla básica la autonomía de la voluntad y la libertad de pactos (art. 1255 CC), no impone un régimen jurídico cerrado para cada tipo contractual, y, si bien reconoce margen al legislador para adoptar medidas que puedan proscribir determinados comportamientos, vetar concretos tipos contractuales o establecer regímenes imperativos en otros, siempre está sujeto a la posibilidad de un enjuiciamiento constitucional de tales normas imperativas, en garantía de la libertad individual y de empresa a las que nos hemos referido”. Ello implica que el legislador autonómico, en ejercicio de sus competencias, ha de respetar el principio dispositivo que rige las relaciones contractuales entre particulares.</w:t>
      </w:r>
    </w:p>
    <w:p w14:paraId="14A71EB9" w14:textId="77777777" w:rsidR="003754FE" w:rsidRDefault="003754FE" w:rsidP="003754FE">
      <w:pPr>
        <w:pStyle w:val="TextoNormal"/>
      </w:pPr>
    </w:p>
    <w:p w14:paraId="4035E641" w14:textId="77777777" w:rsidR="003754FE" w:rsidRDefault="003754FE" w:rsidP="003754FE">
      <w:pPr>
        <w:pStyle w:val="TextoNormal"/>
      </w:pPr>
      <w:r>
        <w:t xml:space="preserve">Bien es cierto que uno de los ámbitos en los que se ha manifestado en mayor medida la intervención del legislador ha sido el de los arrendamientos urbanos, con el fin de acomodar su régimen a las coyunturas económicas, a las necesidades del mercado y a las exigencias sociales, incidiendo en aspectos tales como su duración (imponiéndose desde el Real Decreto de 21 de junio de 1920 la prórroga forzosa de los arrendamientos, que fue mantenida hasta su supresión en el Real Decreto-ley 2/1985, de 30 de abril, e incluyéndose de nuevo, con modulaciones, a partir de la Ley 29/1994, de 24 de noviembre, con objeto de alcanzar un plazo mínimo en la duración de los arrendamientos), o como el precio, mediante el establecimiento de limitaciones al incremento de la renta. La normativa sobre arrendamientos urbanos llegó incluso a autorizar al Gobierno, en el apartado 23 de la base transitoria de la Ley de arrendamientos urbanos de 31 de diciembre de 1946, para que, atendidas las circunstancias, pudiera disponer por decreto la adopción en todo o en parte del territorio nacional del alquiler social obligatorio de viviendas deshabitadas, por decisión del gobernador civil, y del desahucio por necesidad social de viviendas ocupadas que se encontraran habitualmente deshabitadas, en virtud de resolución judicial adoptada a instancia del Ministerio Fiscal; autorización que fue mantenida en la disposición adicional segunda de la Ley de arrendamientos urbanos de 1956 (texto articulado aprobado por Decreto de 13 de abril de 1956), y, por última vez, en la disposición adicional segunda del texto refundido de la Ley de arrendamientos urbanos aprobado por Decreto 4104/1964, de 24 de diciembre. Se trataba, como ya hemos dicho, de contratos impuestos y no, por tanto, de verdaderos contratos, porque no </w:t>
      </w:r>
      <w:r>
        <w:lastRenderedPageBreak/>
        <w:t>existía un acuerdo de voluntades entre las partes. Pero esa posibilidad desaparece en la regulación de los arrendamientos urbanos posterior a la Constitución de 1978, en la que se respeta, ante todo, la libertad de contratación, y se reconoce la libertad de pactos (en el marco del título II de la Ley), si bien condicionada por ciertas normas imperativas establecidas en los títulos I y IV LAU en garantía, por una parte, de los elementos identificadores de la esencia del contrato, y, por otra, del equilibrio entre las posiciones de las partes arrendadora y arrendataria.</w:t>
      </w:r>
    </w:p>
    <w:p w14:paraId="1B5E2A81" w14:textId="77777777" w:rsidR="003754FE" w:rsidRDefault="003754FE" w:rsidP="003754FE">
      <w:pPr>
        <w:pStyle w:val="TextoNormal"/>
      </w:pPr>
    </w:p>
    <w:p w14:paraId="0CED42BE" w14:textId="77777777" w:rsidR="003754FE" w:rsidRDefault="003754FE" w:rsidP="003754FE">
      <w:pPr>
        <w:pStyle w:val="TextoNormal"/>
      </w:pPr>
      <w:r>
        <w:t>Ya hemos indicado anteriormente, al exponer la doctrina jurisprudencial sobre la competencia del art. 149.1.8 CE, que la normativa básica dictada a su amparo se dirige, entre otros aspectos, a comprobar el respeto del principio de iniciativa privada y de libertad de contratación, y que recae, en suma, sobre el núcleo esencial de la estructura de los contratos y de los principios que deben informar su regulación. De manera que la introducción de limitaciones sobre estos extremos, que incidan sobre elementos tan nucleares como los principios de autonomía de la voluntad o la libertad de pactos, queda incluida dentro del ámbito de la competencia exclusiva del legislador estatal, y ha de estar plenamente justificada en intereses superiores. En particular, como se dijo en la STC 37/2022, de 10 de marzo, FJ 4 c), corresponde en exclusiva al Estado, al amparo del art. 149.1.8 CE, la determinación y, en su caso, la modificación de las bases de las obligaciones contractuales al definir el régimen de la relación arrendaticia urbana, y, asimismo, “en uso del amplio margen de apreciación del que dispone para adoptar disposiciones en materia social y económica (STC 32/2019, de 28 de febrero, FJ 6), le corresponde pronunciarse sobre la adecuación de las bases del derecho contractual a los principios rectores de la política económica y social y, en particular, al derecho de todos los españoles a disfrutar de una vivienda digna y adecuada consagrado por el art. 47 CE, en conexión con la función social de la propiedad privada reconocida por el art. 33.2 CE, introduciendo, en su caso, las modificaciones oportunas. Todo ello, sin perjuicio de las competencias autonómicas en la materia para desarrollar políticas de protección del derecho a la vivienda”.</w:t>
      </w:r>
    </w:p>
    <w:p w14:paraId="26434FC8" w14:textId="77777777" w:rsidR="003754FE" w:rsidRDefault="003754FE" w:rsidP="003754FE">
      <w:pPr>
        <w:pStyle w:val="TextoNormal"/>
      </w:pPr>
    </w:p>
    <w:p w14:paraId="16A7A467" w14:textId="77777777" w:rsidR="003754FE" w:rsidRDefault="003754FE" w:rsidP="003754FE">
      <w:pPr>
        <w:pStyle w:val="TextoNormal"/>
      </w:pPr>
      <w:r>
        <w:t>(i) Pues bien, partiendo de las anteriores consideraciones, se puede afirmar que, desde el momento en que el art. 10 de la Ley 24/2015 (añadido por el art. 11 de la Ley 1/2022), está imponiendo al propietario de la vivienda la formalización de un nuevo contrato, una vez llegada su extinción por cumplimiento del plazo —si se siguen cumpliendo los requisitos de exclusión residencial establecidos en el art. 5.7—, está excluyendo todo atisbo de libertad de contratación y desvirtuando el principio de autonomía privada, ya que se despoja al propietario de la iniciativa o decisión libre para concertar ese nuevo contrato, que le viene impuesto por una previsión legal que dará origen a la nueva relación contractual, sujeta, además, a unas condiciones predeterminadas legalmente. Eso provoca la alteración de la naturaleza del contrato de arrendamiento urbano, cuya esencia desaparece en virtud de la previsión autonómica, al privar al propietario de toda capacidad de disposición.</w:t>
      </w:r>
    </w:p>
    <w:p w14:paraId="0A020E0F" w14:textId="77777777" w:rsidR="003754FE" w:rsidRDefault="003754FE" w:rsidP="003754FE">
      <w:pPr>
        <w:pStyle w:val="TextoNormal"/>
      </w:pPr>
    </w:p>
    <w:p w14:paraId="1D595CED" w14:textId="77777777" w:rsidR="003754FE" w:rsidRDefault="003754FE" w:rsidP="003754FE">
      <w:pPr>
        <w:pStyle w:val="TextoNormal"/>
      </w:pPr>
      <w:r>
        <w:t xml:space="preserve">Ciertamente, la Comunidad Autónoma de Cataluña cuenta con competencias en materia de Derecho civil (art. 129 EAC), lo que le permitiría, en principio, el establecimiento de normas sobre el contrato de arrendamiento, siempre y cuando no altere su naturaleza ni sus elementos identificadores y nucleares, cuya determinación corresponde a la exclusiva competencia estatal </w:t>
      </w:r>
      <w:r w:rsidRPr="003754FE">
        <w:rPr>
          <w:i/>
        </w:rPr>
        <w:t>ex</w:t>
      </w:r>
      <w:r>
        <w:t xml:space="preserve"> 149.1.8 CE, como una garantía estructural del mercado único, y que suponen un límite —derivado directamente de la Constitución— a la diversidad regulatoria que pueden introducir los legisladores autonómicos [STC 157/2021, de 16 de septiembre, </w:t>
      </w:r>
      <w:r>
        <w:lastRenderedPageBreak/>
        <w:t>FJ 9 c)], que han de quedar sujetos a las normas básicas estatales que sean esenciales para preservar una estructura de relaciones contractuales con idéntica lógica interna, auspiciada por los mismos principios materiales e igual para todos los agentes económicos en todo el territorio nacional (STC 132/2019, FJ 6).</w:t>
      </w:r>
    </w:p>
    <w:p w14:paraId="50A5F95E" w14:textId="77777777" w:rsidR="003754FE" w:rsidRDefault="003754FE" w:rsidP="003754FE">
      <w:pPr>
        <w:pStyle w:val="TextoNormal"/>
      </w:pPr>
    </w:p>
    <w:p w14:paraId="5032B4A7" w14:textId="77777777" w:rsidR="003754FE" w:rsidRDefault="003754FE" w:rsidP="003754FE">
      <w:pPr>
        <w:pStyle w:val="TextoNormal"/>
      </w:pPr>
      <w:r>
        <w:t>Y, en este caso, es preciso contrastar la previsión autonómica con las normas que ha fijado el Estado, en ejercicio de la competencia que le asigna el art. 149.1.8 CE, en cuanto a la configuración del núcleo esencial de la estructura de los contratos y de los principios que deben informar su regulación, que ha de incluir, necesariamente, aquellas reglas que incidan en un aspecto tan principal de la ordenación de los contratos arrendaticios como es el de su duración, para cohonestarlo con el derecho de todos los españoles a disfrutar de una vivienda digna y adecuada (art. 47 CE), así como el derecho a la propiedad privada reconocido por el art. 33 CE y la función social que está llamada a cumplir. En este sentido, el art. 10.1 LAU, en la redacción dada por el art. 1.5 del Real Decreto-ley 7/2019, de 1 de marzo, de medidas urgentes en materia de vivienda y alquiler, ya preveía una prórroga tácita, para el caso de que, a la finalización del plazo de prórroga obligatoria del art. 9.1 LAU, las partes no hubiesen manifestado su voluntad de no renovarlo, prórroga que se extendía obligatoriamente por plazos anuales hasta un máximo de tres. Pero a esta prórroga se anteponía de manera decisiva la voluntad de ambas partes. La disposición final primera de la Ley 12/2023, que ha modificado el art. 10 LAU en su apartado 1, ha mantenido esta regla y ha añadido dos nuevas previsiones. Por una parte, su apartado 2 contempla la posibilidad de aplicar, a solicitud del arrendatario, y una vez finalizado el período de prórroga obligatoria del art. 9.1 o de prórroga tácita del art. 10.1, una prórroga extraordinaria del plazo del contrato de arrendamiento por un período máximo de un año, bajo los mismos términos y condiciones en vigor. La solicitud de prórroga requerirá que el arrendatario acredite una situación de vulnerabilidad social y económica sobre la base de un informe o certificado emitido en el último año por los servicios sociales de ámbito municipal o autonómico, y deberá ser aceptada obligatoriamente por el arrendador cuando sea un gran tenedor de vivienda, salvo que se hubiese suscrito entre las partes un nuevo contrato de arrendamiento. Por otra parte, respecto de los contratos de arrendamiento de vivienda habitual en los que el inmueble se ubique en una zona de mercado residencial tensionado y dentro del periodo de vigencia de la declaración de la referida zona conforme a la legislación estatal finalice el período de prórroga obligatoria del art. 9.1 o el de prorroga tácita del art. 10.1, puede prorrogarse de manera extraordinaria el contrato de arrendamiento por plazos anuales, por un periodo máximo de tres años, aplicándose los mismos términos y condiciones establecidos para el contrato en vigor. La solicitud de prórroga extraordinaria es obligatoria para el arrendador, salvo que las partes hayan fijado otros términos o condiciones o suscrito un nuevo contrato, o bien cuando el arrendador haya comunicado la necesidad de ocupar la vivienda arrendada cumpliendo las previsiones del art. 9.3 LAU.</w:t>
      </w:r>
    </w:p>
    <w:p w14:paraId="4CE3DDB9" w14:textId="77777777" w:rsidR="003754FE" w:rsidRDefault="003754FE" w:rsidP="003754FE">
      <w:pPr>
        <w:pStyle w:val="TextoNormal"/>
      </w:pPr>
    </w:p>
    <w:p w14:paraId="74DC9EBB" w14:textId="77777777" w:rsidR="003754FE" w:rsidRDefault="003754FE" w:rsidP="003754FE">
      <w:pPr>
        <w:pStyle w:val="TextoNormal"/>
      </w:pPr>
      <w:r>
        <w:t xml:space="preserve">Las anteriores previsiones introducidas en la Ley de arrendamientos urbanos por la disposición final primera de la Ley 12/2023 fueron declaradas conformes a la Constitución en la STC 79/2024, FJ 9 B), en la que no apreciamos que se invadieran las competencias autonómicas en materia de vivienda, pues no solo corresponde al Estado la competencia </w:t>
      </w:r>
      <w:r w:rsidRPr="003754FE">
        <w:rPr>
          <w:i/>
        </w:rPr>
        <w:t>ex</w:t>
      </w:r>
      <w:r>
        <w:t xml:space="preserve"> art. 149.1.8 CE para fijar legalmente el principio de libertad de pactos en el establecimiento de la renta del contrato de alquiler de vivienda, o para, en su caso, determinar sus eventuales modificaciones o modulaciones en atención al designio del legislador estatal respecto a la necesidad de ajustar o no el funcionamiento del mercado inmobiliario en atención a lo </w:t>
      </w:r>
      <w:r>
        <w:lastRenderedPageBreak/>
        <w:t xml:space="preserve">dispuesto en el art. 47 CE o en otros preceptos constitucionales. Esta conclusión se extendió también al “elemento de la duración y prórrogas del contrato, que es tan nuclear en el arrendamiento de vivienda como la renta, y al que nuestra legislación histórica ha aplicado de diferentes formas la misma técnica de establecer modulaciones tuitivas sobre la libertad de pactos. Hasta ahora, en la doctrina constitucional, estas medidas han sido analizadas en clave de contenido sustantivo y no competencial (STC 89/1994, de 17 de marzo), pero este tribunal no alberga dudas de que su determinación es cuestión que compete al legislador estatal </w:t>
      </w:r>
      <w:r w:rsidRPr="003754FE">
        <w:rPr>
          <w:i/>
        </w:rPr>
        <w:t>ex</w:t>
      </w:r>
      <w:r>
        <w:t xml:space="preserve"> art. 149.1.8 CE por ser, como la regulación de las reglas para la determinación de la renta, aspectos esenciales del régimen obligacional de los contratos de arrendamiento de viviendas que, en su condición de bases de las obligaciones contractuales, deben ser comunes y, por tanto, establecidas por el Estado”.</w:t>
      </w:r>
    </w:p>
    <w:p w14:paraId="12EC55C7" w14:textId="77777777" w:rsidR="003754FE" w:rsidRDefault="003754FE" w:rsidP="003754FE">
      <w:pPr>
        <w:pStyle w:val="TextoNormal"/>
      </w:pPr>
    </w:p>
    <w:p w14:paraId="54115792" w14:textId="77777777" w:rsidR="003754FE" w:rsidRDefault="003754FE" w:rsidP="003754FE">
      <w:pPr>
        <w:pStyle w:val="TextoNormal"/>
      </w:pPr>
      <w:r>
        <w:t>Y, en cuanto a los límites constitucionales de alcance material a que queda sujeto el legislador estatal al ejercer esa competencia, pusimos de manifiesto que “los preceptos de la disposición impugnada se limitan a establecer, en el régimen contractual del arrendamiento de viviendas, una modulación de la libertad de rentas (nuevos arts. 17.6 y 17.7 LAU) y de la duración del contrato (nueva redacción del art. 10 LAU) que se vinculan a la concurrencia de figuras que la Ley 12/2023 establece como claves en materia de vivienda (grandes tenedores y zonas tensionadas), así como las reglas para la aplicación temporal de estas medidas, que se hace depender a su vez de la aprobación del sistema de índices previsto en la disposición adicional segunda del Real Decreto-ley 7/2019, de 1 de marzo, de medidas urgentes en materia de vivienda y alquiler (primer apartado de la nueva disposición transitoria séptima LAU) […] El hecho de que la aplicación de esas innovaciones a un contrato concreto se relacione con figuras propias de la función social del derecho de propiedad o del derecho a la vivienda, donde por cierto el Estado también tiene competencias para la determinación de las condiciones básicas que garanticen su ejercicio, no hace perder a estas medidas su naturaleza de legislación civil. Las autorreferencias exclusivas que esta normativa prevé, a la hora de remitirse a las circunstancias que determinarán la aplicación de las modulaciones, tampoco pueden considerarse invasivas de las competencias autonómicas, pues corresponde a las facultades del legislador determinar a qué desea vincular la aplicación del régimen que diseña. Que este dependa de que el arrendatario sea un gran tenedor o que la vivienda se encuentre en una zona declarada como de mercado residencial tensionado, en los exclusivos términos de la Ley 12/2023 y sin considerar eventuales figuras similares creadas por la legislación autonómica, en nada afecta a las competencias de las comunidades autónomas, que podrán seguir creando figuras análogas, a las que no les serán aplicables esas modulaciones por designio expreso del legislador estatal, que no impone por ello las suyas a las comunidades autónomas”.</w:t>
      </w:r>
    </w:p>
    <w:p w14:paraId="58DE2C47" w14:textId="77777777" w:rsidR="003754FE" w:rsidRDefault="003754FE" w:rsidP="003754FE">
      <w:pPr>
        <w:pStyle w:val="TextoNormal"/>
      </w:pPr>
    </w:p>
    <w:p w14:paraId="321B1F35" w14:textId="77777777" w:rsidR="003754FE" w:rsidRDefault="003754FE" w:rsidP="003754FE">
      <w:pPr>
        <w:pStyle w:val="TextoNormal"/>
      </w:pPr>
      <w:r>
        <w:t>Pues bien, en la medida en que el art. 10 de la Ley 24/2015 (introducido por el art. 11 de la Ley 1/2022) no respeta los límites propios del contrato de arrendamiento urbano, que resultan de la configuración que se le da en la normativa estatal, imponiendo a su finalización la celebración de un nuevo contrato, en las condiciones que determina la propia ley, hay que concluir que excede de los límites que impone el art. 149.1.8 CE, por lo que incurre en vulneración de este último y debe ser declarado inconstitucional y nulo. Esta declaración ha de extenderse, igualmente, a la disposición transitoria de la Ley 1/2022, en la parte en que se refiere a la obligación de renovar un alquiler social en los términos del indicado art. 10.</w:t>
      </w:r>
    </w:p>
    <w:p w14:paraId="0575C5D4" w14:textId="77777777" w:rsidR="003754FE" w:rsidRDefault="003754FE" w:rsidP="003754FE">
      <w:pPr>
        <w:pStyle w:val="TextoNormal"/>
      </w:pPr>
    </w:p>
    <w:p w14:paraId="0F720ADB" w14:textId="77777777" w:rsidR="003754FE" w:rsidRDefault="003754FE" w:rsidP="003754FE">
      <w:pPr>
        <w:pStyle w:val="TextoNormal"/>
      </w:pPr>
      <w:r>
        <w:lastRenderedPageBreak/>
        <w:t>(ii) En el caso del apartado 3 de la disposición adicional primera de la Ley 24/2015 (añadida por el art. 12 de la Ley 1/2022), nos encontramos con una regla sobre la duración de los contratos de alquiler social obligatorio que se suscriban de acuerdo con lo previsto en aquella ley (no solamente los contemplados en el apartado 1 de la misma disposición adicional), que se remite, en cuanto a su duración mínima, a la normativa vigente en materia de arrendamientos urbanos, sin que, en todo caso, pueda ser inferior a cinco años si el titular de la vivienda es una persona física, o a siete años si es una persona jurídica. Con la remisión a la normativa de arrendamientos urbanos podría quedar resuelta la tacha, si no fuera porque, a continuación, se condiciona esa remisión al determinar, “en cualquier caso” una duración mínima, lo que supone que, si la normativa sobre arrendamientos urbanos estableciera un período menor de duración, se aplicarán de manera preferente los plazos de duración del último inciso del apartado 3. Aunque, actualmente, tales plazos coinciden con los que establece el art. 9.1 LAU, en la redacción dada al mismo por el Real Decreto-ley 7/2019, de 1 de marzo, de medidas urgentes en materia de vivienda y alquiler, lo cierto es que el precepto enjuiciado opera un desplazamiento de la normativa aprobada por el Estado en ejercicio de la competencia del art. 149.1.8 CE sobre bases de las obligaciones contractuales, que solo resultará de aplicación a estos contratos si los plazos que establezca son iguales o superiores a los del apartado 3 de la disposición adicional primera de la Ley 24/2015, como ocurre en la actualidad. Pero la voluntad del legislador autonómico es la de otorgar carácter prevalente a la norma autonómica sobre la estatal, que resulta así relegada, lo que da lugar a un exceso competencial que determina la inconstitucionalidad y nulidad del precepto examinado, declaración que se limita al inciso “y, en cualquier caso, no inferior a cinco años si el titular de la vivienda es una persona física y no inferior a siete años si es una persona jurídica”, que es el que produce el desplazamiento de la normativa estatal.</w:t>
      </w:r>
    </w:p>
    <w:p w14:paraId="0286A9DD" w14:textId="77777777" w:rsidR="003754FE" w:rsidRDefault="003754FE" w:rsidP="003754FE">
      <w:pPr>
        <w:pStyle w:val="TextoNormal"/>
      </w:pPr>
    </w:p>
    <w:p w14:paraId="748F4359" w14:textId="032F24C8" w:rsidR="003754FE" w:rsidRDefault="003754FE" w:rsidP="003754FE">
      <w:pPr>
        <w:pStyle w:val="TextoNormal"/>
      </w:pPr>
      <w:r>
        <w:t>En consecuencia, se estima la queja relativa a la vulneración del art. 149.1.8 CE en cuanto al apartado 3 de la disposición adicional primera de la Ley 24/2015, añadida por el art. 12 de la Ley 1/2022, en los términos indicados.</w:t>
      </w:r>
    </w:p>
    <w:p w14:paraId="79CE5437" w14:textId="77777777" w:rsidR="003754FE" w:rsidRDefault="003754FE" w:rsidP="003754FE">
      <w:pPr>
        <w:pStyle w:val="TextoNormal"/>
      </w:pPr>
    </w:p>
    <w:p w14:paraId="43EBDFC3" w14:textId="77777777" w:rsidR="003754FE" w:rsidRDefault="003754FE" w:rsidP="003754FE">
      <w:pPr>
        <w:pStyle w:val="TextoNormal"/>
      </w:pPr>
      <w:r w:rsidRPr="003754FE">
        <w:rPr>
          <w:rStyle w:val="NumeroAFNegritaCaracter"/>
        </w:rPr>
        <w:t>6</w:t>
      </w:r>
      <w:r>
        <w:t xml:space="preserve">. </w:t>
      </w:r>
      <w:r w:rsidRPr="003754FE">
        <w:rPr>
          <w:i/>
        </w:rPr>
        <w:t>Quejas sustantivas dirigidas contra los arts. 1.3, 11 y 12 y la disposición transitoria de la Ley 1/2022: desestimación</w:t>
      </w:r>
    </w:p>
    <w:p w14:paraId="132F6C05" w14:textId="77777777" w:rsidR="003754FE" w:rsidRDefault="003754FE" w:rsidP="003754FE">
      <w:pPr>
        <w:pStyle w:val="TextoNormal"/>
      </w:pPr>
    </w:p>
    <w:p w14:paraId="2BE5BF60" w14:textId="77777777" w:rsidR="003754FE" w:rsidRDefault="003754FE" w:rsidP="003754FE">
      <w:pPr>
        <w:pStyle w:val="TextoNormal"/>
      </w:pPr>
      <w:r>
        <w:t>Como se expuso anteriormente, al margen de las tachas de índole competencial, la demanda también articula dos grupos de quejas de naturaleza sustantiva dirigidas contra los arts. 1.3, 11 y 12 y frente a la disposición transitoria de la Ley 1/2022. Una vez que han sido ya resueltas y estimadas en el fundamento anterior las impugnaciones competenciales que afectaban a los mismos preceptos, han perdido objeto las quejas de naturaleza sustantiva dirigidas contra ellos, subsistiendo únicamente en cuanto al primer inciso del apartado 3 de la disposición adicional primera de la Ley 24/2015, introducida por el art. 12 de la Ley 1/2022. Por consiguiente, hemos de limitar el análisis de esas impugnaciones al mencionado inciso que, como ya se ha observado, establece la duración de los contratos de alquiler social regulados en la Ley 24/2015, por remisión a las determinaciones de la normativa vigente en materia de arrendamientos urbanos.</w:t>
      </w:r>
    </w:p>
    <w:p w14:paraId="1524639D" w14:textId="77777777" w:rsidR="003754FE" w:rsidRDefault="003754FE" w:rsidP="003754FE">
      <w:pPr>
        <w:pStyle w:val="TextoNormal"/>
      </w:pPr>
    </w:p>
    <w:p w14:paraId="3A6FB580" w14:textId="77777777" w:rsidR="003754FE" w:rsidRDefault="003754FE" w:rsidP="003754FE">
      <w:pPr>
        <w:pStyle w:val="TextoNormal"/>
      </w:pPr>
      <w:r>
        <w:t xml:space="preserve">a) La primera de las impugnaciones sustantivas aparece formulada no de manera independiente, sino conectada con las quejas competenciales que denunciaban la vulneración de las competencias estatales del art. 149.1.6 y 8 CE, y se refiere a la infracción de los arts. 9.3, 10, 24 y 33 CE. Se afirma en el recurso que la obligación de ofrecer un alquiler social como </w:t>
      </w:r>
      <w:r>
        <w:lastRenderedPageBreak/>
        <w:t>requisito procesal previo para el ejercicio de determinadas acciones limita la libertad de contratación, la disponibilidad y la autonomía de la voluntad y su fundamento constitucional (art. 10 CE), condicionando además el acceso a la justicia del propietario, por las sanciones que el incumplimiento de esa obligación puede conllevar (art. 24 CE). Consideran los recurrentes que se trata de un requisito irrazonable, desproporcionado y generador de inseguridad jurídica y arbitrariedad (art. 9.3 CE), y que tanto la obligación impuesta en el art. 12 como el establecimiento de la prórroga temporal del art. 11 impactan directamente sobre la vertiente subjetiva del derecho de propiedad (art. 33 CE), conllevando una pérdida económica que lo hace irreconocible. Sostienen que se trata de una expropiación sin indemnización en la medida que no se ofrece al propietario un precio justo, dado que el dueño recibe una renta injusta por “exigüísima”.</w:t>
      </w:r>
    </w:p>
    <w:p w14:paraId="1D905147" w14:textId="77777777" w:rsidR="003754FE" w:rsidRDefault="003754FE" w:rsidP="003754FE">
      <w:pPr>
        <w:pStyle w:val="TextoNormal"/>
      </w:pPr>
    </w:p>
    <w:p w14:paraId="11948FB3" w14:textId="77777777" w:rsidR="003754FE" w:rsidRDefault="003754FE" w:rsidP="003754FE">
      <w:pPr>
        <w:pStyle w:val="TextoNormal"/>
      </w:pPr>
      <w:r>
        <w:t>En relación con este último argumento general deben recordarse las limitaciones del presente enjuiciamiento de acuerdo con nuestra doctrina, ya expuesta en el fundamento jurídico 4 b) de la presente sentencia. La contrapartida económica que recibe la cesión que nos ocupa no es determinación de la Ley 1/2022, sino de la regulación previa de la Ley 24/2015, en concreto en su art. 5.7 a), que no ha sido modificado desde su aprobación, por lo que no puede entrarse ahora en ello, debiendo circunscribirse nuestro análisis al contenido de los preceptos impugnados de la Ley 1/2022 y las modificaciones que introducen directamente en las normas afectadas.</w:t>
      </w:r>
    </w:p>
    <w:p w14:paraId="01B6E5A0" w14:textId="77777777" w:rsidR="003754FE" w:rsidRDefault="003754FE" w:rsidP="003754FE">
      <w:pPr>
        <w:pStyle w:val="TextoNormal"/>
      </w:pPr>
    </w:p>
    <w:p w14:paraId="6403723C" w14:textId="77777777" w:rsidR="003754FE" w:rsidRDefault="003754FE" w:rsidP="003754FE">
      <w:pPr>
        <w:pStyle w:val="TextoNormal"/>
      </w:pPr>
      <w:r>
        <w:t>Respecto a ellos, como puede comprobarse, la queja sustantiva, que se encuentra subordinada en gran medida a las competenciales antes enjuiciadas, se centra en la ampliación de los supuestos en los que es obligatorio ofrecer un alquiler social (art. 12) y en el establecimiento de una prórroga temporal al finalizar ese alquiler social (art. 11), extremos que han sido ya declarados inconstitucionales en esta sentencia. Sin embargo, al margen de su inclusión en esa regulación del alquiler social, no se formula ninguna objeción en cuanto al concreto contenido del apartado 3 de la disposición adicional primera de la Ley 24/2015 (añadida por el art. 12 de la Ley 1/2022), que, por lo demás, y, una vez depurado el apartado con la declaración de inconstitucionalidad y nulidad del último inciso efectuada en el fundamento anterior, se limita a remitirse a las previsiones de la normativa vigente en materia de arrendamientos urbanos. En consecuencia, la queja debe ser desestimada.</w:t>
      </w:r>
    </w:p>
    <w:p w14:paraId="50E82FDC" w14:textId="77777777" w:rsidR="003754FE" w:rsidRDefault="003754FE" w:rsidP="003754FE">
      <w:pPr>
        <w:pStyle w:val="TextoNormal"/>
      </w:pPr>
    </w:p>
    <w:p w14:paraId="0667A438" w14:textId="77777777" w:rsidR="003754FE" w:rsidRDefault="003754FE" w:rsidP="003754FE">
      <w:pPr>
        <w:pStyle w:val="TextoNormal"/>
      </w:pPr>
      <w:r>
        <w:t xml:space="preserve">b) La otra queja de carácter sustantivo denuncia que la obligación de ofrecer un contrato de alquiler social a determinados inquilinos vulnera los arts. 10, 24, 38 y 118 CE porque: (i) se amplían los supuestos en que un propietario está obligado a ofrecer un contrato de alquiler social a su arrendatario, contraviniendo el principio de autonomía de la voluntad y la libertad de empresa, y con imposición de unas duras condiciones; (ii) la extensión temporal del alquiler social supone una grave afectación del derecho de propiedad privada (art. 33 CE), pues durante ese tiempo la utilidad económica del dominio sobre la vivienda queda cercenada, ya que se le impone una suerte de prestación social al inquilino sin recibir una verdadera compensación ni un precio justo, con desplazamiento a los propietarios de la responsabilidades de los poderes públicos de Cataluña; (iii) la imposición de la obligación de ofertar un alquiler social como requisito procesal para la interposición de determinadas acciones ejecutivas o de desahucio infringe el derecho fundamental a la tutela judicial efectiva y el principio de plenitud jurisdiccional, al impedir que los propietarios puedan lograr ante los Tribunales la efectividad de una pretensión totalmente legítima; (iv) la obligación </w:t>
      </w:r>
      <w:r>
        <w:lastRenderedPageBreak/>
        <w:t>impuesta a los propietarios en el art. 12 y la disposición transitoria de la Ley 1/2022 está provocando una grave situación de inseguridad jurídica.</w:t>
      </w:r>
    </w:p>
    <w:p w14:paraId="7AA229BC" w14:textId="77777777" w:rsidR="003754FE" w:rsidRDefault="003754FE" w:rsidP="003754FE">
      <w:pPr>
        <w:pStyle w:val="TextoNormal"/>
      </w:pPr>
    </w:p>
    <w:p w14:paraId="355D16DF" w14:textId="77777777" w:rsidR="003754FE" w:rsidRDefault="003754FE" w:rsidP="003754FE">
      <w:pPr>
        <w:pStyle w:val="TextoNormal"/>
      </w:pPr>
      <w:r>
        <w:t>Al igual que en el supuesto precedente, las tachas se vinculan de manera esencial a la obligación de ofrecer un contrato de alquiler social y su renovación, una vez llegada su extinción, extremos que se contienen fundamentalmente en el art. 10 de la Ley 24/2015 (añadido por el art. 11 de la Ley 1/2022), en los apartados 1 y 2 de la disposición adicional primera de la misma ley (introducida por el art. 12 de la Ley 1/2022), y en la disposición transitoria de la Ley 1/2022, normas que ya han sido declaradas inconstitucionales en el fundamento jurídico anterior, por lo que las quejas habrían perdido su objeto.</w:t>
      </w:r>
    </w:p>
    <w:p w14:paraId="61D5DD76" w14:textId="77777777" w:rsidR="003754FE" w:rsidRDefault="003754FE" w:rsidP="003754FE">
      <w:pPr>
        <w:pStyle w:val="TextoNormal"/>
      </w:pPr>
    </w:p>
    <w:p w14:paraId="3C353EF0" w14:textId="77777777" w:rsidR="003754FE" w:rsidRDefault="003754FE" w:rsidP="003754FE">
      <w:pPr>
        <w:pStyle w:val="TextoNormal"/>
      </w:pPr>
      <w:r>
        <w:t>Bien es cierto que los recurrentes se refieren en su fundamentación a la extensión temporal del alquiler social, pero sus argumentos se circunscriben, sustancialmente, a los lapsos de tiempo que fija el apartado 1 de la disposición adicional primera de la Ley 24/2015 y a la renovación obligatoria que se contempla en su art. 10, que ya han sido declarados inconstitucionales y nulos. En todo caso, la tacha se plantea fundamentalmente por la obligación en sí que se impone a ciertos propietarios de ofrecer un alquiler social, y, además, la referencia al tiempo de duración se vincula a lo antieconómico que resulta para el propietario el mantenimiento de ese alquiler debido a que las condiciones económicas que se establecen en el art. 5.7 de la Ley 24/2015 no son justas, ya que se tienen en cuenta únicamente las circunstancias personales del arrendatario, sin tomar en consideración los factores atinentes a la vivienda. Es decir, una vez que se han declarado inconstitucionales el art. 10 y los apartados 1 y 2, y el último inciso del apartado 3 de la disposición adicional primera de la Ley 24/2015 (introducidos, respectivamente, por los arts. 11 y 12 de la Ley 1/2022), el juicio de constitucionalidad del primer inciso del apartado 3 de dicha disposición adicional a que conduce el recurso pasaría por enjuiciar la constitucionalidad de las determinaciones de los apartados 2 y 7 a) del art. 5 de la Ley 24/2015, que se refieren, respectivamente, a la obligación de ofrecer un alquiler social antes de interponer determinadas demandas y a la fijación de la renta, preceptos que no son objeto de este procedimiento. Y, como ya se ha señalado anteriormente, la modificación de una ley no permite atacar por vía del recurso de inconstitucionalidad la parte que permanece con la redacción inicialmente aprobada cuando, como es el caso, ya han transcurrido más que sobradamente los plazos en los que el art. 33 LOTC permite su interposición [STC 83/2020, de 15 de julio, FJ 2 b)], lo que nos impide realizar la operación a la que obligaría el planteamiento de la demanda. En último término, no podemos dejar de constatar que, despojado el debate de esos aspectos que no cabe examinar aquí, el inciso inicial del apartado 3 de la disposición adicional primera de la Ley 24/2015 no es —como ya se expuso anteriormente— sino una remisión a las previsiones de la normativa vigente en materia de arrendamientos urbanos sobre la duración del arrendamiento, aprobadas por el Estado en ejercicio de la competencia del art. 149.1.8 CE, y cuya constitucionalidad tampoco es objeto de discusión en este procedimiento.</w:t>
      </w:r>
    </w:p>
    <w:p w14:paraId="11215C31" w14:textId="77777777" w:rsidR="003754FE" w:rsidRDefault="003754FE" w:rsidP="003754FE">
      <w:pPr>
        <w:pStyle w:val="TextoNormal"/>
      </w:pPr>
    </w:p>
    <w:p w14:paraId="3B8A9C41" w14:textId="47DA88E2" w:rsidR="003754FE" w:rsidRDefault="003754FE" w:rsidP="003754FE">
      <w:pPr>
        <w:pStyle w:val="TextoNormal"/>
      </w:pPr>
      <w:r>
        <w:t>En consecuencia, debemos desestimar también esta queja sustantiva, en cuanto se refiere, estrictamente, al inciso inicial del apartado 3 de la disposición adicional primera de la Ley 24/2015, añadida por el art. 12 de la Ley 1/2022.</w:t>
      </w:r>
    </w:p>
    <w:p w14:paraId="2607D2ED" w14:textId="77777777" w:rsidR="003754FE" w:rsidRDefault="003754FE" w:rsidP="003754FE">
      <w:pPr>
        <w:pStyle w:val="TextoNormal"/>
      </w:pPr>
    </w:p>
    <w:p w14:paraId="3901C28D" w14:textId="77777777" w:rsidR="003754FE" w:rsidRDefault="003754FE" w:rsidP="003754FE">
      <w:pPr>
        <w:pStyle w:val="TextoNormal"/>
      </w:pPr>
      <w:r w:rsidRPr="003754FE">
        <w:rPr>
          <w:rStyle w:val="NumeroAFNegritaCaracter"/>
        </w:rPr>
        <w:t>7</w:t>
      </w:r>
      <w:r>
        <w:t xml:space="preserve">. </w:t>
      </w:r>
      <w:r w:rsidRPr="003754FE">
        <w:rPr>
          <w:i/>
        </w:rPr>
        <w:t>Impugnación de los arts. 1.1 y 7 por vulneración del art. 25 CE: estimación parcial</w:t>
      </w:r>
    </w:p>
    <w:p w14:paraId="4F500C75" w14:textId="77777777" w:rsidR="003754FE" w:rsidRDefault="003754FE" w:rsidP="003754FE">
      <w:pPr>
        <w:pStyle w:val="TextoNormal"/>
      </w:pPr>
    </w:p>
    <w:p w14:paraId="0BFE452D" w14:textId="77777777" w:rsidR="003754FE" w:rsidRDefault="003754FE" w:rsidP="003754FE">
      <w:pPr>
        <w:pStyle w:val="TextoNormal"/>
      </w:pPr>
      <w:r>
        <w:lastRenderedPageBreak/>
        <w:t>A los arts. 1.1 y 7 de la Ley 1/2022 les imputa la demanda la vulneración del art. 25 CE por considerar que establecen un sistema de responsabilidad por hecho ajeno, ya que disponen que el nuevo adquirente de un inmueble se subrogará en la posición del anterior titular en cuanto al cómputo del plazo de dos años para que se considere que una vivienda se encuentra vacía y la administración pueda requerir que se proceda a ocuparla, así como desplegar las consiguientes facultades coercitivas y sancionadoras si se incumple el requerimiento. Afirman los recurrentes que se incumple el principio de responsabilidad o culpabilidad, al asumir el adquirente las consecuencias del tiempo que el transmitente ha mantenido vacía la vivienda transmitida.</w:t>
      </w:r>
    </w:p>
    <w:p w14:paraId="739A5EAF" w14:textId="77777777" w:rsidR="003754FE" w:rsidRDefault="003754FE" w:rsidP="003754FE">
      <w:pPr>
        <w:pStyle w:val="TextoNormal"/>
      </w:pPr>
    </w:p>
    <w:p w14:paraId="1F921CF5" w14:textId="77777777" w:rsidR="003754FE" w:rsidRDefault="003754FE" w:rsidP="003754FE">
      <w:pPr>
        <w:pStyle w:val="TextoNormal"/>
      </w:pPr>
      <w:r>
        <w:t>La abogada de la Generalitat alega que la regulación discutida tiene por objeto evitar la elusión de los objetivos de la ley a través de transmisiones de la propiedad entre personas jurídicas, y que no afecta a personas físicas. En todo caso, la actuación sancionadora solo se produciría tras el incumplimiento del previo requerimiento para la ocupación legal y efectiva de la vivienda, efectuado por la administración, ante el cual, puede justificar el adquirente los motivos del retraso en cumplir aquel objetivo. En la misma línea argumental, la letrada del Parlamento de Cataluña niega que los preceptos impugnados tengan naturaleza sancionadora, pues tratan de evitar que, por una pretendida personalización del cumplimiento de una obligación, se enerve una situación de incumplimiento asociada objetivamente al estado de la vivienda por la transmisión de esta a un tercero.</w:t>
      </w:r>
    </w:p>
    <w:p w14:paraId="60D91FD5" w14:textId="77777777" w:rsidR="003754FE" w:rsidRDefault="003754FE" w:rsidP="003754FE">
      <w:pPr>
        <w:pStyle w:val="TextoNormal"/>
      </w:pPr>
    </w:p>
    <w:p w14:paraId="74D2CEDB" w14:textId="77777777" w:rsidR="003754FE" w:rsidRDefault="003754FE" w:rsidP="003754FE">
      <w:pPr>
        <w:pStyle w:val="TextoNormal"/>
      </w:pPr>
      <w:r>
        <w:t>El art. 1.1 ya ha sido reproducido anteriormente, como consecuencia de las quejas competenciales dirigidas contra el mismo, que han sido descartadas. En lo que aquí interesa, basta recordar que el precepto dispone que la situación de incumplimiento de la función social de la propiedad de una vivienda o un edificio de viviendas, por estar desocupados de forma permanente e injustificada durante un período de más de dos años, no se ve alterada por la transmisión de su titularidad a favor de una persona jurídica. Por su parte, el art. 7 añade el apartado 5 al art. 126 de la Ley 18/2007, del derecho a la vivienda, con el siguiente texto:</w:t>
      </w:r>
    </w:p>
    <w:p w14:paraId="54E1DBFF" w14:textId="77777777" w:rsidR="003754FE" w:rsidRDefault="003754FE" w:rsidP="003754FE">
      <w:pPr>
        <w:pStyle w:val="TextoNormal"/>
      </w:pPr>
    </w:p>
    <w:p w14:paraId="5E42214C" w14:textId="77777777" w:rsidR="003754FE" w:rsidRDefault="003754FE" w:rsidP="003754FE">
      <w:pPr>
        <w:pStyle w:val="TextoNormal"/>
      </w:pPr>
      <w:r>
        <w:t>“5. En caso de transmisión de la vivienda, si el nuevo propietario es una persona jurídica, este se subroga en la posición del anterior al efecto de asumir las consecuencias del incumplimiento de la función social de la propiedad, con independencia de cuándo se inició la desocupación”.</w:t>
      </w:r>
    </w:p>
    <w:p w14:paraId="7F01026C" w14:textId="77777777" w:rsidR="003754FE" w:rsidRDefault="003754FE" w:rsidP="003754FE">
      <w:pPr>
        <w:pStyle w:val="TextoNormal"/>
      </w:pPr>
    </w:p>
    <w:p w14:paraId="667E4833" w14:textId="77777777" w:rsidR="003754FE" w:rsidRDefault="003754FE" w:rsidP="003754FE">
      <w:pPr>
        <w:pStyle w:val="TextoNormal"/>
      </w:pPr>
      <w:r>
        <w:t xml:space="preserve">La tacha de inconstitucionalidad, que se anuda al desconocimiento del art. 25 CE, se relaciona, según ha quedado expuesto, con el incumplimiento del principio de culpabilidad, principio que, como este tribunal ha declarado de manera reiterada, alcanza en la Constitución la consideración de principio estructural básico tanto del Derecho penal como del Derecho administrativo sancionador, y en virtud del cual queda proscrita la imposición de sanciones sin atender a la conducta del sancionado [por todas, SSTC 76/1990, de 26 de abril, FFJJ 4 y 5; 246/1991, de 19 de diciembre, FJ 2, y 86/2017, de 4 de julio, FJ 5 e)]. El principio de culpabilidad, tal y como se entiende en la jurisprudencia constitucional, proscribe la responsabilidad objetiva o sin culpa, exigiendo no solo la autoría de la acción o de la omisión sancionables, sino también la necesidad de determinar la presencia de dolo o imprudencia [STC 76/2022, de 14 de junio, FJ 3 C)], lo que implica, igualmente, el principio de la responsabilidad personal por hechos propios y no ajenos —principio de la personalidad de la pena o sanción— (por todas, STC 185/2014, de 6 de noviembre, FJ 3, y las que en ella se </w:t>
      </w:r>
      <w:r>
        <w:lastRenderedPageBreak/>
        <w:t xml:space="preserve">mencionan). El ámbito propio del principio invocado por los recurrentes es, por tanto, el sancionador, ya que las garantías materiales recogidas en el art. 25 CE solo resultan aplicables a actos que responden al ejercicio del </w:t>
      </w:r>
      <w:r w:rsidRPr="003754FE">
        <w:rPr>
          <w:i/>
        </w:rPr>
        <w:t>ius puniendi</w:t>
      </w:r>
      <w:r>
        <w:t xml:space="preserve"> del Estado (STC 39/2011, de 31 de marzo, FJ 2).</w:t>
      </w:r>
    </w:p>
    <w:p w14:paraId="6D8E5C45" w14:textId="77777777" w:rsidR="003754FE" w:rsidRDefault="003754FE" w:rsidP="003754FE">
      <w:pPr>
        <w:pStyle w:val="TextoNormal"/>
      </w:pPr>
    </w:p>
    <w:p w14:paraId="4D755EB7" w14:textId="77777777" w:rsidR="003754FE" w:rsidRDefault="003754FE" w:rsidP="003754FE">
      <w:pPr>
        <w:pStyle w:val="TextoNormal"/>
      </w:pPr>
      <w:r>
        <w:t xml:space="preserve">a) En el caso del art. 1.1 [que modifica el art. 5.2 b) de la Ley 18/2007], se aprecia sin dificultad que es una norma que no pertenece a la esfera sancionadora, ni de ella derivan directamente consecuencias de esa naturaleza, pues, encontrándose incardinada en el seno de un precepto más amplio destinado a la definición de los supuestos de incumplimiento de la función social de la propiedad de una vivienda o un edificio de viviendas, determina que existe tal incumplimiento cuando aquellos estén desocupados permanente e injustificadamente durante un período de más de dos años, sin que, a tales efectos, altere esa situación su transmisión a una persona jurídica. La norma persigue un fin constitucionalmente lícito, como es el de asegurar la observancia de las previsiones de la ley, evitando que puedan ser eludidas mediante el recurso a la transmisión o transmisiones sucesivas de la titularidad de la vivienda o del edificio, que podrían impedir que llegue a agotarse el plazo que daría lugar al incumplimiento de la función social de la propiedad de aquellos y que pudieran entrar en funcionamiento los mecanismos dirigidos a garantizar el cumplimiento de esa función social. En todo caso, la transmisión no conlleva automáticamente el traslado de la responsabilidad de un sujeto a otro, pues, según se desprende del art. 5.3 </w:t>
      </w:r>
      <w:r w:rsidRPr="003754FE">
        <w:rPr>
          <w:i/>
        </w:rPr>
        <w:t>bis</w:t>
      </w:r>
      <w:r>
        <w:t xml:space="preserve"> (introducido por el art. 1.5 de la Ley 1/2022), para que tenga lugar ese incumplimiento, debe mediar un requerimiento previo de las administraciones competentes en materia de vivienda para la adopción de las medidas necesarias para el cumplimiento de la función social, que, si no es atendido en el plazo que se haya fijado al requerido, puede dar lugar a que se declare el incumplimiento de la función social de la propiedad de las viviendas, lo que, entre otras consecuencias, daría lugar —ahora sí— a la infracción tipificada como muy grave en el art. 123.1 h) de la Ley 18/2007: “Incumplir un requerimiento para que se ocupe legal y efectivamente una vivienda para que constituya la residencia de personas”.</w:t>
      </w:r>
    </w:p>
    <w:p w14:paraId="0F65D80A" w14:textId="77777777" w:rsidR="003754FE" w:rsidRDefault="003754FE" w:rsidP="003754FE">
      <w:pPr>
        <w:pStyle w:val="TextoNormal"/>
      </w:pPr>
    </w:p>
    <w:p w14:paraId="557F563A" w14:textId="77777777" w:rsidR="003754FE" w:rsidRDefault="003754FE" w:rsidP="003754FE">
      <w:pPr>
        <w:pStyle w:val="TextoNormal"/>
      </w:pPr>
      <w:r>
        <w:t>Los recurrentes aducen frente a ese argumento que, si la reacción es únicamente frente al incumplimiento del requerimiento, se debe cuestionar la compatibilidad de la sanción con el art. 25 CE, ante la desproporción entre el hecho típico y la sanción posible (de hasta 900 000 €). Sin embargo, se ha de objetar que el principio de culpabilidad no incluye una exigencia de adecuación de la intensidad de las sanciones administrativas al grado de intencionalidad o negligencia del infractor; exigencia que, en la medida en que pueda afectar al equilibrio entre infracción y sanción, se enmarcaría en un principio constitucional distinto, a saber, el de proporcionalidad sancionadora [STC 74/2022, de 14 de junio, FJ 6 b)]. En todo caso, este último principio habría de invocarse en relación con los arts. 118.1 y 123.1 h) de la Ley 18/2007, ninguno de los cuales es objeto de impugnación en este procedimiento, a pesar de que el segundo de ellos ha sido objeto de modificación por el art. 5 de la propia Ley 1/2022.</w:t>
      </w:r>
    </w:p>
    <w:p w14:paraId="73D1AEFA" w14:textId="77777777" w:rsidR="003754FE" w:rsidRDefault="003754FE" w:rsidP="003754FE">
      <w:pPr>
        <w:pStyle w:val="TextoNormal"/>
      </w:pPr>
    </w:p>
    <w:p w14:paraId="04E8E1C3" w14:textId="77777777" w:rsidR="003754FE" w:rsidRDefault="003754FE" w:rsidP="003754FE">
      <w:pPr>
        <w:pStyle w:val="TextoNormal"/>
      </w:pPr>
      <w:r>
        <w:t>Por consiguiente, el art. 1.1 no vulnera el art. 25 CE y el recurso debe desestimarse en este punto.</w:t>
      </w:r>
    </w:p>
    <w:p w14:paraId="5974040E" w14:textId="77777777" w:rsidR="003754FE" w:rsidRDefault="003754FE" w:rsidP="003754FE">
      <w:pPr>
        <w:pStyle w:val="TextoNormal"/>
      </w:pPr>
    </w:p>
    <w:p w14:paraId="2105562E" w14:textId="77777777" w:rsidR="003754FE" w:rsidRDefault="003754FE" w:rsidP="003754FE">
      <w:pPr>
        <w:pStyle w:val="TextoNormal"/>
      </w:pPr>
      <w:r>
        <w:t xml:space="preserve">b) Distinta consideración merece el art. 7. Como se ha señalado más arriba, añade un nuevo apartado (el 5) al art. 126 de la Ley 18/2007, incluido en el capítulo II (“Tipificación de las infracciones”) del título VII de la ley, artículo que, bajo el epígrafe “Responsabilidad </w:t>
      </w:r>
      <w:r>
        <w:lastRenderedPageBreak/>
        <w:t>de las infracciones”, establece las reglas conducentes a la determinación de las responsabilidades por las infracciones tipificadas en la propia ley, como se deriva claramente de su apartado 1, cuando establece que “son responsables de las infracciones tipificadas por la presente ley y por las normas que la desarrollan las personas físicas o jurídicas que, por acción u omisión, hayan cometido los hechos constitutivos de la infracción”, previsión a través de la cual queda plasmado el principio de culpabilidad que se extrae del art. 25.1 CE. Sin embargo, el nuevo apartado establece una regla especial que va más allá, puesto que, para el caso de transmisión de una vivienda a una persona jurídica, se impone a esta la subrogación en la posición del transmitente y la asunción de “las consecuencias del incumplimiento de la función social de la propiedad”, con independencia del momento en que se iniciara la desocupación. Dada la ubicación del precepto, su interpretación sistemática conduce a concluir que la adquirente ha de asumir las responsabilidades en las que hubiera incurrido el transmitente debido al incumplimiento de las previsiones de la Ley 18/2007; es decir, que a la persona jurídica adquirente de la propiedad de una vivienda se le impone, como consecuencia de ese negocio jurídico, una especie de responsabilidad objetiva aneja a la vivienda que adquiere, que le lleva a tener que responder incluso por hechos ajenos, lo que resulta contrario al principio de culpabilidad, tal y como ha sido entendido por este tribunal —según ha quedado expuesto más arriba—, y, en definitiva, infringe el art. 25 CE.</w:t>
      </w:r>
    </w:p>
    <w:p w14:paraId="6544F502" w14:textId="77777777" w:rsidR="003754FE" w:rsidRDefault="003754FE" w:rsidP="003754FE">
      <w:pPr>
        <w:pStyle w:val="TextoNormal"/>
      </w:pPr>
    </w:p>
    <w:p w14:paraId="79B2F460" w14:textId="21783548" w:rsidR="003754FE" w:rsidRDefault="003754FE" w:rsidP="003754FE">
      <w:pPr>
        <w:pStyle w:val="TextoNormal"/>
      </w:pPr>
      <w:r>
        <w:t>Así pues, el art. 7 de la Ley del Parlamento de Cataluña 1/2022, que añade un apartado 5 al art. 126 de la Ley 18/2007, debe ser declarado inconstitucional y nulo.</w:t>
      </w:r>
    </w:p>
    <w:p w14:paraId="00E65CB8" w14:textId="77777777" w:rsidR="003754FE" w:rsidRDefault="003754FE" w:rsidP="003754FE">
      <w:pPr>
        <w:pStyle w:val="TextoNormal"/>
      </w:pPr>
    </w:p>
    <w:p w14:paraId="28984DDC" w14:textId="77777777" w:rsidR="003754FE" w:rsidRDefault="003754FE" w:rsidP="003754FE">
      <w:pPr>
        <w:pStyle w:val="TextoNormal"/>
      </w:pPr>
      <w:r w:rsidRPr="003754FE">
        <w:rPr>
          <w:rStyle w:val="NumeroAFNegritaCaracter"/>
        </w:rPr>
        <w:t>8</w:t>
      </w:r>
      <w:r>
        <w:t xml:space="preserve">. </w:t>
      </w:r>
      <w:r w:rsidRPr="003754FE">
        <w:rPr>
          <w:i/>
        </w:rPr>
        <w:t>Impugnación del art. 9.2 por vulneración del art. 9.3 CE: desestimación</w:t>
      </w:r>
    </w:p>
    <w:p w14:paraId="08348FB1" w14:textId="77777777" w:rsidR="003754FE" w:rsidRDefault="003754FE" w:rsidP="003754FE">
      <w:pPr>
        <w:pStyle w:val="TextoNormal"/>
      </w:pPr>
    </w:p>
    <w:p w14:paraId="0780CA05" w14:textId="77777777" w:rsidR="003754FE" w:rsidRDefault="003754FE" w:rsidP="003754FE">
      <w:pPr>
        <w:pStyle w:val="TextoNormal"/>
      </w:pPr>
      <w:r>
        <w:t>La última queja del recurso se plantea contra el art. 9.2 de la Ley 1/2022 [que modifica el art. 5.9 b) de la Ley 24/2015], al que se imputa la infracción del art. 9.3 CE por generar incertidumbre e inseguridad jurídica y por desconocer el principio de interdicción de la arbitrariedad de los poderes públicos. Se basa la queja en que se modifica por cuarta vez el concepto de gran tenedor, considerando como tal a cualquier persona jurídica que tenga más de diez viviendas situadas en territorio del Estado, sin tener en cuenta las circunstancias objetivas de los inmuebles, y que, además, se imponen unos alquileres forzosos con rentas antieconómicas, trasladando así a los titulares gran parte de las políticas asistenciales que incumben a la administración, sin que, por lo demás, pueda considerarse en Cataluña gran tenedor cualquiera de esas personas jurídicas que no tenga ninguna vivienda en esa comunidad autónoma.</w:t>
      </w:r>
    </w:p>
    <w:p w14:paraId="1B2E285D" w14:textId="77777777" w:rsidR="003754FE" w:rsidRDefault="003754FE" w:rsidP="003754FE">
      <w:pPr>
        <w:pStyle w:val="TextoNormal"/>
      </w:pPr>
    </w:p>
    <w:p w14:paraId="6BFCC6BE" w14:textId="77777777" w:rsidR="003754FE" w:rsidRDefault="003754FE" w:rsidP="003754FE">
      <w:pPr>
        <w:pStyle w:val="TextoNormal"/>
      </w:pPr>
      <w:r>
        <w:t>La abogada de la Generalitat aduce que la modificación tiene por objeto adaptar la redacción del precepto a la definición que realiza la norma estatal, Y que la redacción anterior, otorgada por el art. 5.7 del Decreto-ley 17/2019, fue impugnada por los recurrentes por considerar que invadía las competencias del Estado al no adecuar el concepto de gran tenedor al definido en el Real Decreto-ley 11/2020, de 31 de marzo. La letrada del Parlamento de Cataluña rechaza que la modificación introducida en la definición de gran tenedor sea arbitraria o discriminatoria, pues se trata de una modificación técnica dirigida a simplificar y dar claridad a aquel concepto, e invoca la aplicación deferente al legislador de la prohibición de arbitrariedad.</w:t>
      </w:r>
    </w:p>
    <w:p w14:paraId="432C48F5" w14:textId="77777777" w:rsidR="003754FE" w:rsidRDefault="003754FE" w:rsidP="003754FE">
      <w:pPr>
        <w:pStyle w:val="TextoNormal"/>
      </w:pPr>
    </w:p>
    <w:p w14:paraId="54E10BB4" w14:textId="77777777" w:rsidR="003754FE" w:rsidRDefault="003754FE" w:rsidP="003754FE">
      <w:pPr>
        <w:pStyle w:val="TextoNormal"/>
      </w:pPr>
      <w:r>
        <w:lastRenderedPageBreak/>
        <w:t>El artículo aquí cuestionado modifica, como se ha dicho, la letra b) del apartado 5 del art. 9 de la Ley 24/2015, relativo a la definición de gran tenedor a los efectos de dicha ley, siendo la redacción que el art. 9.2 de la Ley 1/2022 da al precepto la siguiente:</w:t>
      </w:r>
    </w:p>
    <w:p w14:paraId="5F57029F" w14:textId="77777777" w:rsidR="003754FE" w:rsidRDefault="003754FE" w:rsidP="003754FE">
      <w:pPr>
        <w:pStyle w:val="TextoNormal"/>
      </w:pPr>
    </w:p>
    <w:p w14:paraId="15BAB997" w14:textId="77777777" w:rsidR="003754FE" w:rsidRDefault="003754FE" w:rsidP="003754FE">
      <w:pPr>
        <w:pStyle w:val="TextoNormal"/>
      </w:pPr>
      <w:r>
        <w:t>“b) Las personas jurídicas que, por sí solas o a través de un grupo de empresas, sean titulares de más de diez viviendas ubicadas en territorio del Estado, con las siguientes excepciones:</w:t>
      </w:r>
    </w:p>
    <w:p w14:paraId="271E6D79" w14:textId="77777777" w:rsidR="003754FE" w:rsidRDefault="003754FE" w:rsidP="003754FE">
      <w:pPr>
        <w:pStyle w:val="TextoNormal"/>
      </w:pPr>
    </w:p>
    <w:p w14:paraId="5F7B2A6F" w14:textId="77777777" w:rsidR="003754FE" w:rsidRDefault="003754FE" w:rsidP="003754FE">
      <w:pPr>
        <w:pStyle w:val="TextoNormal"/>
      </w:pPr>
      <w:r>
        <w:t>1.º Los promotores sociales a los que se refieren las letras a y b del artículo 51.2 de la Ley 18/2007, de 28 de diciembre, del derecho a la vivienda.</w:t>
      </w:r>
    </w:p>
    <w:p w14:paraId="132BC8CF" w14:textId="77777777" w:rsidR="003754FE" w:rsidRDefault="003754FE" w:rsidP="003754FE">
      <w:pPr>
        <w:pStyle w:val="TextoNormal"/>
      </w:pPr>
    </w:p>
    <w:p w14:paraId="110A0B62" w14:textId="77777777" w:rsidR="003754FE" w:rsidRDefault="003754FE" w:rsidP="003754FE">
      <w:pPr>
        <w:pStyle w:val="TextoNormal"/>
      </w:pPr>
      <w:r>
        <w:t>2.º Las personas jurídicas que tengan más de un 15 por 100 de la superficie habitable de la propiedad calificado como viviendas de protección oficial destinadas a alquiler.</w:t>
      </w:r>
    </w:p>
    <w:p w14:paraId="053AA4FE" w14:textId="77777777" w:rsidR="003754FE" w:rsidRDefault="003754FE" w:rsidP="003754FE">
      <w:pPr>
        <w:pStyle w:val="TextoNormal"/>
      </w:pPr>
    </w:p>
    <w:p w14:paraId="64541FFF" w14:textId="77777777" w:rsidR="003754FE" w:rsidRDefault="003754FE" w:rsidP="003754FE">
      <w:pPr>
        <w:pStyle w:val="TextoNormal"/>
      </w:pPr>
      <w:r>
        <w:t>3.º Las entidades privadas sin ánimo de lucro que proveen de vivienda a personas y familias en situación de vulnerabilidad residencial.</w:t>
      </w:r>
    </w:p>
    <w:p w14:paraId="1856634E" w14:textId="77777777" w:rsidR="003754FE" w:rsidRDefault="003754FE" w:rsidP="003754FE">
      <w:pPr>
        <w:pStyle w:val="TextoNormal"/>
      </w:pPr>
    </w:p>
    <w:p w14:paraId="313BD650" w14:textId="77777777" w:rsidR="003754FE" w:rsidRDefault="003754FE" w:rsidP="003754FE">
      <w:pPr>
        <w:pStyle w:val="TextoNormal"/>
      </w:pPr>
      <w:r>
        <w:t xml:space="preserve">9 </w:t>
      </w:r>
      <w:r w:rsidRPr="003754FE">
        <w:rPr>
          <w:i/>
        </w:rPr>
        <w:t>bis</w:t>
      </w:r>
      <w:r>
        <w:t>. A los efectos de la presente ley, se entiende por grupo de empresas lo que determina el artículo 42.1 del Código de comercio, aprobado por el Real decreto de 22 de agosto de 1885”.</w:t>
      </w:r>
    </w:p>
    <w:p w14:paraId="1EB658D7" w14:textId="77777777" w:rsidR="003754FE" w:rsidRDefault="003754FE" w:rsidP="003754FE">
      <w:pPr>
        <w:pStyle w:val="TextoNormal"/>
      </w:pPr>
    </w:p>
    <w:p w14:paraId="10DB2DCF" w14:textId="77777777" w:rsidR="003754FE" w:rsidRDefault="003754FE" w:rsidP="003754FE">
      <w:pPr>
        <w:pStyle w:val="TextoNormal"/>
      </w:pPr>
      <w:r>
        <w:t xml:space="preserve">La primera aclaración que ha de efectuarse es que la modificación del art. 9.2 de la Ley 1/2022 incluye también un apartado 9 </w:t>
      </w:r>
      <w:r w:rsidRPr="003754FE">
        <w:rPr>
          <w:i/>
        </w:rPr>
        <w:t>bis</w:t>
      </w:r>
      <w:r>
        <w:t xml:space="preserve"> en el art. 5 de la Ley 24/2015, sin que en su encabezamiento se haga referencia expresa al mismo. En todo caso, es indiferente a los efectos del examen de la queja, pues los recurrentes la centran exclusivamente en la letra b) del art. 5.9, y, más específicamente, en su inciso inicial, sin referencia alguna a las excepciones que el precepto enuncia a continuación o al contenido del apartado </w:t>
      </w:r>
      <w:r w:rsidRPr="003754FE">
        <w:rPr>
          <w:i/>
        </w:rPr>
        <w:t>9 b</w:t>
      </w:r>
      <w:r>
        <w:t>is.</w:t>
      </w:r>
    </w:p>
    <w:p w14:paraId="175A2381" w14:textId="77777777" w:rsidR="003754FE" w:rsidRDefault="003754FE" w:rsidP="003754FE">
      <w:pPr>
        <w:pStyle w:val="TextoNormal"/>
      </w:pPr>
    </w:p>
    <w:p w14:paraId="7F37853B" w14:textId="77777777" w:rsidR="003754FE" w:rsidRDefault="003754FE" w:rsidP="003754FE">
      <w:pPr>
        <w:pStyle w:val="TextoNormal"/>
      </w:pPr>
      <w:r>
        <w:t>De acuerdo con la doctrina de este tribunal [recogida, entre otras, en las SSTC 81/2020, de 15 de julio, FJ 14 b), y 14/2021, de 28 de enero, FJ 2], la seguridad jurídica ha de entenderse como la “certeza sobre el ordenamiento jurídico aplicable y los intereses jurídicamente tutelados” (STC 156/1986, de 31 de enero, FJ 1), procurando “la claridad y no la confusión normativa” (STC 46/1990, de 15 de marzo, FJ 4), así como “la expectativa razonablemente fundada del ciudadano en cuál ha de ser la actuación del poder en la aplicación del Derecho” (STC 36/1991, de 14 de febrero, FJ 5). En definitiva,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96/2002, de 25 de abril, FJ 5; 93/2013, de 23 de abril, FJ 10, y 161/2019, de 12 de diciembre, FJ 4, por todas).</w:t>
      </w:r>
    </w:p>
    <w:p w14:paraId="4BF1B983" w14:textId="77777777" w:rsidR="003754FE" w:rsidRDefault="003754FE" w:rsidP="003754FE">
      <w:pPr>
        <w:pStyle w:val="TextoNormal"/>
      </w:pPr>
    </w:p>
    <w:p w14:paraId="5644F138" w14:textId="77777777" w:rsidR="003754FE" w:rsidRDefault="003754FE" w:rsidP="003754FE">
      <w:pPr>
        <w:pStyle w:val="TextoNormal"/>
      </w:pPr>
      <w:r>
        <w:t xml:space="preserve">Los recurrentes se quejan de las constantes modificaciones de que ha sido objeto el concepto de “gran tenedor” como origen de la inseguridad jurídica. Puede observarse que, inicialmente, la Ley 24/2015 consideró grandes tenedores a las personas jurídicas que, por si solas o mediante un grupo de empresas, fueran titulares de una superficie habitable de más de 1250 m2. Esta previsión fue modificada por el Decreto-ley 17/2019, de 23 de diciembre, de medidas urgentes para mejorar el acceso a la vivienda, sustituyendo la referencia a la </w:t>
      </w:r>
      <w:r>
        <w:lastRenderedPageBreak/>
        <w:t>superficie habitable por la titularidad de más de quince viviendas; modificación a la que la Ley 5/2020, de 29 de abril, de medidas fiscales, financieras, administrativas y del sector público y de creación del impuesto sobre las instalaciones que inciden en el medio ambiente, añadió la precisión de que las viviendas estén “situadas en territorio del Estado”. Finalmente, la Ley 1/2022, que aquí se impugna, ha reducido la cifra de viviendas necesarias para que las personas jurídicas que sean sus titulares tengan la consideración de grandes tenedores, situándola en “más de diez viviendas ubicadas en territorio del Estado”.</w:t>
      </w:r>
    </w:p>
    <w:p w14:paraId="0B2D0ED1" w14:textId="77777777" w:rsidR="003754FE" w:rsidRDefault="003754FE" w:rsidP="003754FE">
      <w:pPr>
        <w:pStyle w:val="TextoNormal"/>
      </w:pPr>
    </w:p>
    <w:p w14:paraId="1F281D01" w14:textId="77777777" w:rsidR="003754FE" w:rsidRDefault="003754FE" w:rsidP="003754FE">
      <w:pPr>
        <w:pStyle w:val="TextoNormal"/>
      </w:pPr>
      <w:r>
        <w:t>Pues bien, en atención a la doctrina constitucional expuesta, no cabe apreciar la infracción del principio de seguridad jurídica, entendido en su sentido más básico como “claridad y certeza del Derecho”, en el precepto impugnado de la Ley 1/2022, puesto que su sentido es claro y cierto, sin que de las modificaciones introducidas por el legislador en la Ley 24/2015 a lo largo de siete años en cuanto a este extremo quepa apreciar un riesgo de falta de certeza, ya que entra dentro del margen de apreciación del legislador autonómico adoptar, en atención a las circunstancias de cada momento, las medidas que considere convenientes para llevar a cabo las políticas públicas en materia de vivienda, y subvenir a las situaciones de riesgo de exclusión residencial, al amparo de las competencias del art. 137 EAC. Además, cumple señalar una premisa básica respecto del alcance del precepto constitucional invocado: el artículo 9.3 CE, al tiempo que garantiza la seguridad jurídica, no veda el cambio normativo. Más allá de la prohibición de irretroactividad que contiene, “no puede hablarse con carácter absoluto de la irreversibilidad de ninguna previsión legal, ni siquiera del desarrollo legal atribuido a ningún derecho, porque tal tesis implicaría el sacrificio de otros valores constitucionales como el pluralismo político, que permite al legislador, allí donde la Constitución le atribuye el desarrollo de una previsión constitucional, adoptar una u otra opción legislativa atendiendo a diversas prioridades políticas. Y este tribunal no está llamado a valorar la oportunidad de dichas decisiones políticas, puesto que no nos compete la formulación de juicio político alguno” (STC 140/2018, de 20 de diciembre, FJ 7).</w:t>
      </w:r>
    </w:p>
    <w:p w14:paraId="131188F0" w14:textId="77777777" w:rsidR="003754FE" w:rsidRDefault="003754FE" w:rsidP="003754FE">
      <w:pPr>
        <w:pStyle w:val="TextoNormal"/>
      </w:pPr>
    </w:p>
    <w:p w14:paraId="7328FC2B" w14:textId="77777777" w:rsidR="003754FE" w:rsidRDefault="003754FE" w:rsidP="003754FE">
      <w:pPr>
        <w:pStyle w:val="TextoNormal"/>
      </w:pPr>
      <w:r>
        <w:t>La otra vertiente de la queja dirigida contra el art. 9.2 de la Ley 1/2022 se refiere a la infracción del principio de interdicción de la arbitrariedad. Para responder a esta cuestión debemos recordar que la denuncia de arbitrariedad de las normas ha de ser analizada con prudencia para evitar que la aplicación del artículo 9.3 CE como parámetro de control imponga constricciones indebidas al legislador (STC 38/2016, de 3 de marzo, FJ 8). Este tribunal ha manifestado en reiteradas ocasiones que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(STC 20/2013, de 31 de enero, FJ 8). Por ello, el recurso al artículo 9.3 como parámetro de constitucionalidad se realiza con arreglo a un canon estricto.</w:t>
      </w:r>
    </w:p>
    <w:p w14:paraId="03A42BC4" w14:textId="77777777" w:rsidR="003754FE" w:rsidRDefault="003754FE" w:rsidP="003754FE">
      <w:pPr>
        <w:pStyle w:val="TextoNormal"/>
      </w:pPr>
    </w:p>
    <w:p w14:paraId="3CF1F1CA" w14:textId="77777777" w:rsidR="003754FE" w:rsidRDefault="003754FE" w:rsidP="003754FE">
      <w:pPr>
        <w:pStyle w:val="TextoNormal"/>
      </w:pPr>
      <w:r>
        <w:t xml:space="preserve">Así, cuando se formula un reproche de arbitrariedad al legislador, hemos exigido, generalmente, dos condiciones para que, en estos casos, prospere la objeción de </w:t>
      </w:r>
      <w:r>
        <w:lastRenderedPageBreak/>
        <w:t>inconstitucionalidad: por un lado, que quien formule esa censura la razone en detalle, ofreciendo una justificación para destruir la presunción de constitucionalidad de la ley impugnada, pues “si en un sistema democrático la ley es ‘expresión de la voluntad popular’, como se declara en el preámbulo de nuestra Constitución (STC 108/1988, de 26 de julio), quien alega la arbitrariedad de una determinada ley o precepto legal se halla obligado a razonarla con detalle y ofrecer una demostración que en principio sea convincente” (STC 120/2000, de 10 de mayo, FJ 3). Y, por otro, desde un punto de vista material, que la arbitrariedad denunciada sea el resultado bien de una discriminación normativa, bien de la carencia absoluta de explicación racional de la medida adoptada, sin que sea pertinente realizar un análisis a fondo de todas las motivaciones posibles de la norma y de todas sus eventuales consecuencias [entre otras, SSTC 118/2016, de 23 de junio, FJ 4 d), y 51/2018, de 10 de mayo, FJ 7].</w:t>
      </w:r>
    </w:p>
    <w:p w14:paraId="26FAE6DD" w14:textId="77777777" w:rsidR="003754FE" w:rsidRDefault="003754FE" w:rsidP="003754FE">
      <w:pPr>
        <w:pStyle w:val="TextoNormal"/>
      </w:pPr>
    </w:p>
    <w:p w14:paraId="549A90CF" w14:textId="77777777" w:rsidR="003754FE" w:rsidRDefault="003754FE" w:rsidP="003754FE">
      <w:pPr>
        <w:pStyle w:val="TextoNormal"/>
      </w:pPr>
      <w:r>
        <w:t>(i) Por lo que se refiere a la primera parte de nuestro canon, en el caso examinado los recurrentes aducen que la ley no toma en consideración circunstancias tales como la ubicación, la rentabilidad o la existencia de préstamos pendientes vinculados a los inmuebles de los que sea titular, y se le considera con la capacidad económica suficiente para obligarle a tener que ofrecer alquileres forzosos con rentas totalmente antieconómicas, y que no puede considerarse en Cataluña gran tenedor cualquiera de esas personas jurídicas sin tener ninguna vivienda en Cataluña, además de insistir en la necesidad de que este tribunal verifique la existencia de una discriminación que la demanda no concreta en qué consiste.</w:t>
      </w:r>
    </w:p>
    <w:p w14:paraId="786CD129" w14:textId="77777777" w:rsidR="003754FE" w:rsidRDefault="003754FE" w:rsidP="003754FE">
      <w:pPr>
        <w:pStyle w:val="TextoNormal"/>
      </w:pPr>
    </w:p>
    <w:p w14:paraId="71397E50" w14:textId="77777777" w:rsidR="003754FE" w:rsidRDefault="003754FE" w:rsidP="003754FE">
      <w:pPr>
        <w:pStyle w:val="TextoNormal"/>
      </w:pPr>
      <w:r>
        <w:t>Descartando esta última alegación sobre discriminación por ausencia de todo argumento que la respalde, cabe señalar, en cuanto al primer extremo, que el legislador autonómico se ha limitado a establecer uno de los criterios objetivos que sirven para delimitar el concepto de gran tenedor a los efectos de la aplicación del resto de previsiones de la Ley 24/2015, precisando, incluso, una serie de excepciones, sin que le sea exigible la consideración o valoración de todas las posibles variables que puedan presentarse, como reclaman los recurrentes. Se trata de cuestiones que habrán de determinarse en el desarrollo y la aplicación de la ley, y el análisis preventivo de sus posibles consecuencias no puede realizarse aquí, pues, como afirma la STC 215/2014, de 18 de diciembre, FJ 4, el control de constitucionalidad de las normas que corresponde efectuar a este tribunal no puede fundarse en presunciones sobre eventuales conductas arbitrarias de quienes están llamados por el ordenamiento jurídico a su aplicación, ni puede efectuar un enjuiciamiento abstracto sobre el pretendido resultado que necesariamente traerá consigo la aplicación del precepto. El argumento de los recurrentes debe rechazarse por resultar meramente preventivo, y, además, porque, en último término, se dirige contra el conjunto de la regulación de la Ley 24/2015 relativa al alquiler social que, al margen de sus preceptos modificados por la Ley 1/2022 y que han sido expresamente impugnados en la demanda, no puede ser objeto aquí de enjuiciamiento, como ya se ha advertido de manera reiterada anteriormente.</w:t>
      </w:r>
    </w:p>
    <w:p w14:paraId="0255FFDE" w14:textId="77777777" w:rsidR="003754FE" w:rsidRDefault="003754FE" w:rsidP="003754FE">
      <w:pPr>
        <w:pStyle w:val="TextoNormal"/>
      </w:pPr>
    </w:p>
    <w:p w14:paraId="0C33963A" w14:textId="77777777" w:rsidR="003754FE" w:rsidRDefault="003754FE" w:rsidP="003754FE">
      <w:pPr>
        <w:pStyle w:val="TextoNormal"/>
      </w:pPr>
      <w:r>
        <w:t xml:space="preserve">En cuanto a la otra alegación, queda fuera de toda duda que la persona jurídica que no tenga ninguna vivienda en la Comunidad Autónoma de Cataluña no va a estar sometida a las previsiones de la Ley 24/2015, por mucho que pudiera ostentar la condición de gran tenedor de acuerdo con la definición del art. 5.2 b) de aquella. Esta conclusión deriva necesariamente del principio de territorialidad de las competencias, que es algo implícito al propio sistema de autonomías territoriales, y que significa que las competencias autonómicas deben tener por objeto fenómenos, situaciones o relaciones radicadas en el territorio de la </w:t>
      </w:r>
      <w:r>
        <w:lastRenderedPageBreak/>
        <w:t>propia comunidad autónoma [STC 36/2022, de 10 de marzo, FJ 4 a)]. De esta forma, las competencias de las comunidades autónomas se circunscriben a su ámbito territorial, y el territorio autonómico “se configura como un elemento definidor de las competencias de cada comunidad autónoma en su relación con las demás comunidades autónomas y con el Estado, y permite localizar la titularidad de la correspondiente competencia, en atención al ámbito en que se desarrollan las oportunas actividades materiales” [STC 79/2017, de 22 de junio, FJ 13 a)]. En consecuencia, la hipótesis que aventuran los recurrentes no puede tener lugar en la actual configuración constitucional del Estado autonómico.</w:t>
      </w:r>
    </w:p>
    <w:p w14:paraId="3539ECCC" w14:textId="77777777" w:rsidR="003754FE" w:rsidRDefault="003754FE" w:rsidP="003754FE">
      <w:pPr>
        <w:pStyle w:val="TextoNormal"/>
      </w:pPr>
    </w:p>
    <w:p w14:paraId="7F052BB8" w14:textId="77777777" w:rsidR="003754FE" w:rsidRDefault="003754FE" w:rsidP="003754FE">
      <w:pPr>
        <w:pStyle w:val="TextoNormal"/>
      </w:pPr>
      <w:r>
        <w:t>(ii) Con respecto a la vertiente material de nuestro enjuiciamiento, basta señalar que el preámbulo de la Ley 1/2022 ofrece una motivación racional acerca de la modificación del concepto de “gran tenedor” que introduce. En efecto, en el párrafo tercero de su apartado IV se afirma que “[e]l capítulo II, mediante la modificación de la Ley 24/2015, de 29 de julio, de medidas urgentes para afrontar la emergencia en el ámbito de la vivienda y la pobreza energética, pasa a considerar grandes tenedores de vivienda a las personas jurídicas que tienen la titularidad de más de diez viviendas, a diferencia de las más de quince viviendas establecidas hasta ahora; de este modo, la norma se adapta a las medidas aprobadas en el ámbito estatal”. En concreto, como apunta la representación de la Generalitat de Cataluña, la norma autonómica se ajustaba a lo dispuesto en el Real Decreto-ley 11/2020, de 31 de marzo, por el que se adoptan medidas urgentes complementarias en el ámbito social y económico para hacer frente al covid-19, cuyo art. 4.1 (en la redacción dada por el art. 2.4 del Real Decreto-ley 21/2021, de 26 de octubre, por el que se prorrogan las medidas de protección social para hacer frente a situaciones de vulnerabilidad social y económica), para la aplicación de la moratoria de la deuda arrendaticia en supuestos de vulnerabilidad económica, considera como gran tenedor a la persona física o jurídica “que sea titular de más de diez inmuebles urbanos, excluyendo garajes y trasteros, o una superficie construida de más de 1500 m2”; definición que reproduce en similares términos el art. 3 k) de la Ley 12/2023, de 24 de mayo, por el derecho a la vivienda, y que permite particularizarla en la declaración de entornos de mercado residencial tensionado hasta aquellos titulares de cinco o más inmuebles urbanos de uso residencial ubicados en dicho ámbito, cuando así sea motivado por la comunidad autónoma en la correspondiente memoria justificativa.</w:t>
      </w:r>
    </w:p>
    <w:p w14:paraId="1DA87C7D" w14:textId="77777777" w:rsidR="003754FE" w:rsidRDefault="003754FE" w:rsidP="003754FE">
      <w:pPr>
        <w:pStyle w:val="TextoNormal"/>
      </w:pPr>
    </w:p>
    <w:p w14:paraId="4714213F" w14:textId="77777777" w:rsidR="003754FE" w:rsidRDefault="003754FE" w:rsidP="003754FE">
      <w:pPr>
        <w:pStyle w:val="TextoNormal"/>
      </w:pPr>
      <w:r>
        <w:t xml:space="preserve">Como hemos afirmado en la STC 79/2024, FJ 6 B) a), este último precepto, por una parte, se enmarca en el ejercicio de la competencia estatal del art. 149.1.1 CE, y, por otra, no impide que las comunidades autónomas establezcan otras definiciones al desarrollar sus políticas propias en materia de vivienda: “La definición de gran tenedor es vital para la aplicación de la ley en cuanto constituye una categoría sobre la que se fundamentan otros preceptos legales, no todos impugnados en la demanda (así, las disposiciones finales quinta y sexta, que modifican la Ley de enjuiciamiento civil y el Real Decreto-ley 6/2022, de 29 de marzo, por el que se adoptan medidas urgentes en el marco del Plan Nacional de respuesta a las consecuencias económicas y sociales de la guerra en Ucrania, respectivamente). Este tribunal entiende que, en los términos del art. 3 y teniendo en cuenta el conjunto de la Ley, la definición de gran tenedor de la letra k) resulta imprescindible para asegurar las condiciones básicas del ejercicio del derecho a la vivienda y de propiedad sobre ella, enmarcándose en el ejercicio de la competencia que corresponde al Estado </w:t>
      </w:r>
      <w:r w:rsidRPr="003754FE">
        <w:rPr>
          <w:i/>
        </w:rPr>
        <w:t>ex</w:t>
      </w:r>
      <w:r>
        <w:t xml:space="preserve"> art. 149.1.1 CE. Sin ella no pueden comprenderse determinadas obligaciones que se imponen en razón de la función social a ciertos propietarios de viviendas, ni las medidas que se establecen en relación con las notificaciones de lanzamiento, la admisibilidad de acciones de recuperación posesoria, </w:t>
      </w:r>
      <w:r>
        <w:lastRenderedPageBreak/>
        <w:t>la subasta de bienes o las limitaciones extraordinarias de actualización de la renta de ciertos contratos de arrendamiento”. Por otro lado, la existencia de esa definición de gran tenedor de vivienda en la Ley 12/2023 “en nada obsta que las comunidades autónomas puedan establecer definiciones similares o divergentes en su ámbito, para el desarrollo de sus políticas propias en materia de vivienda. Es muestra de ello lo dispuesto en el art. 19.2 de la Ley, tampoco impugnado en el recurso, que reconoce expresamente que, en las zonas de mercado tensionado, la consideración de gran tenedor tendrá que ser definida en la memoria que acompañe la propuesta de declaración de la zona y podrá incorporar criterios adicionales a los del art. 3 k) acordes a las características de esta o a la normativa autonómica. La regulación impugnada está, pues, muy lejos de cercenar el desarrollo de una política autonómica propia en materia de vivienda, que es lo que les corresponde a las comunidades autónomas al asumir las competencias a que se refiere el art. 148.1.3 CE (STC 152/1988, de 20 de julio, FJ 2)”.</w:t>
      </w:r>
    </w:p>
    <w:p w14:paraId="0C59F162" w14:textId="77777777" w:rsidR="003754FE" w:rsidRDefault="003754FE" w:rsidP="003754FE">
      <w:pPr>
        <w:pStyle w:val="TextoNormal"/>
      </w:pPr>
    </w:p>
    <w:p w14:paraId="52BF9D18" w14:textId="77777777" w:rsidR="003754FE" w:rsidRDefault="003754FE" w:rsidP="003754FE">
      <w:pPr>
        <w:pStyle w:val="TextoNormal"/>
      </w:pPr>
      <w:r>
        <w:t xml:space="preserve">En definitiva, la modificación legal, que se produce en el legítimo ejercicio de las competencias autonómicas en materia de vivienda, obedece a una justificación razonable, debiendo recordarse, a mayor abundamiento, que, en el recurso de inconstitucionalidad núm. 2577-2020, los diputados aquí recurrentes denunciaban que el art. 5, apartados 4 y 7, del Decreto-ley de la Generalitat de Cataluña 17/2019 vulneraba las competencias estatales </w:t>
      </w:r>
      <w:r w:rsidRPr="003754FE">
        <w:rPr>
          <w:i/>
        </w:rPr>
        <w:t>ex</w:t>
      </w:r>
      <w:r>
        <w:t xml:space="preserve"> art. 149.1.1 y 13 CE porque la definición de gran tenedor de esos apartados no se ajustaba a la contenida en el art. 4.1 del Real Decreto-ley 11/2020, reiterada por el art. 1.1 del Real Decreto-ley 15/2020, de 21 de abril, de medidas urgentes complementarias para apoyar la economía y el empleo. Por lo demás, no corresponde a este tribunal entrar en otras consideraciones acerca de la oportunidad, conveniencia o acierto de la medida, que escapan por completo al ámbito de su enjuiciamiento, ceñido exclusivamente a determinar si la norma legal discutida se ajusta o no a las previsiones constitucionales.</w:t>
      </w:r>
    </w:p>
    <w:p w14:paraId="7531B9CC" w14:textId="77777777" w:rsidR="003754FE" w:rsidRDefault="003754FE" w:rsidP="003754FE">
      <w:pPr>
        <w:pStyle w:val="TextoNormal"/>
      </w:pPr>
    </w:p>
    <w:p w14:paraId="5AF1E79A" w14:textId="3074CE31" w:rsidR="003754FE" w:rsidRDefault="003754FE" w:rsidP="003754FE">
      <w:pPr>
        <w:pStyle w:val="TextoNormal"/>
      </w:pPr>
      <w:r>
        <w:t>Por consiguiente, se desestima la tacha de inconstitucionalidad dirigida contra el art. 9.2 de la Ley 1/2022, por el que se modifica el art. 5.9 b) de la Ley 24/2015.</w:t>
      </w:r>
    </w:p>
    <w:p w14:paraId="660C441C" w14:textId="77777777" w:rsidR="003754FE" w:rsidRDefault="003754FE" w:rsidP="003754FE">
      <w:pPr>
        <w:pStyle w:val="TextoNormal"/>
      </w:pPr>
    </w:p>
    <w:p w14:paraId="65968A38" w14:textId="77777777" w:rsidR="003754FE" w:rsidRDefault="003754FE" w:rsidP="003754FE">
      <w:pPr>
        <w:pStyle w:val="TextoNormal"/>
      </w:pPr>
      <w:r w:rsidRPr="003754FE">
        <w:rPr>
          <w:rStyle w:val="NumeroAFNegritaCaracter"/>
        </w:rPr>
        <w:t>9</w:t>
      </w:r>
      <w:r>
        <w:t xml:space="preserve">. </w:t>
      </w:r>
      <w:r w:rsidRPr="003754FE">
        <w:rPr>
          <w:i/>
        </w:rPr>
        <w:t>Efectos del fallo</w:t>
      </w:r>
    </w:p>
    <w:p w14:paraId="78EDDBE5" w14:textId="77777777" w:rsidR="003754FE" w:rsidRDefault="003754FE" w:rsidP="003754FE">
      <w:pPr>
        <w:pStyle w:val="TextoNormal"/>
      </w:pPr>
    </w:p>
    <w:p w14:paraId="720D6818" w14:textId="77777777" w:rsidR="003754FE" w:rsidRDefault="003754FE" w:rsidP="003754FE">
      <w:pPr>
        <w:pStyle w:val="TextoNormal"/>
      </w:pPr>
      <w:r>
        <w:t>Debemos determinar, por último, el alcance de nuestro pronunciamiento.</w:t>
      </w:r>
    </w:p>
    <w:p w14:paraId="6E3350CA" w14:textId="77777777" w:rsidR="003754FE" w:rsidRDefault="003754FE" w:rsidP="003754FE">
      <w:pPr>
        <w:pStyle w:val="TextoNormal"/>
      </w:pPr>
    </w:p>
    <w:p w14:paraId="55153D8E" w14:textId="77777777" w:rsidR="003754FE" w:rsidRDefault="003754FE" w:rsidP="003754FE">
      <w:pPr>
        <w:pStyle w:val="TextoNormal"/>
      </w:pPr>
      <w:r>
        <w:t>En la presente resolución se declara la inconstitucionalidad y nulidad de los arts. 1.3, 7, 11 y 12 (en parte), así como de la disposición transitoria de la Ley 1/2022. En su mayor parte se refieren al cumplimiento de la función social de la vivienda y a la obligación de ofrecer un alquiler social antes de promover determinadas acciones judiciales, o de renovar ese alquiler social a su vencimiento, lo que puede haber determinado que, a partir de su entrada en vigor, que se produjo al día siguiente de su publicación en el “Diari Oficial de la Generalitat de Catalunya” de 7 de marzo de 2022, se hayan celebrado contratos de alquiler social al amparo de las previsiones declaradas inconstitucionales y nulas.</w:t>
      </w:r>
    </w:p>
    <w:p w14:paraId="091BA6DF" w14:textId="77777777" w:rsidR="003754FE" w:rsidRDefault="003754FE" w:rsidP="003754FE">
      <w:pPr>
        <w:pStyle w:val="TextoNormal"/>
      </w:pPr>
    </w:p>
    <w:p w14:paraId="331285FA" w14:textId="77777777" w:rsidR="003754FE" w:rsidRDefault="003754FE" w:rsidP="003754FE">
      <w:pPr>
        <w:pStyle w:val="TextoNormal"/>
      </w:pPr>
      <w:r>
        <w:t xml:space="preserve">Por esa razón, debe determinarse el alcance temporal de los efectos de la declaración de inconstitucionalidad. A este respecto, ha de precisarse que no afectará a las situaciones jurídicas consolidadas, pues el principio de seguridad jurídica consagrado en el art. 9.3 CE y la necesidad de atender al fin legítimo de procurar la estabilidad en las relaciones contractuales preexistentes aconseja limitar los efectos de esta sentencia, de manera que la </w:t>
      </w:r>
      <w:r>
        <w:lastRenderedPageBreak/>
        <w:t>inconstitucionalidad y nulidad de los preceptos mencionados tendrá solo efectos pro futuro, manteniéndose en sus términos los contratos de alquiler social celebrados con anterioridad al momento de la presente resolución, a los que resultasen de aplicación las mencionadas normas.</w:t>
      </w:r>
    </w:p>
    <w:p w14:paraId="73BB3111" w14:textId="77777777" w:rsidR="003754FE" w:rsidRDefault="003754FE" w:rsidP="003754FE">
      <w:pPr>
        <w:pStyle w:val="TextoNormal"/>
      </w:pPr>
    </w:p>
    <w:p w14:paraId="623AE07E" w14:textId="042563D7" w:rsidR="003754FE" w:rsidRDefault="003754FE" w:rsidP="003754FE">
      <w:pPr>
        <w:pStyle w:val="TextoNormal"/>
      </w:pPr>
      <w:r>
        <w:t xml:space="preserve">Sin embargo, por lo que se refiere al art. 7, que añadía un apartado 5 al art. 126 de la Ley 18/2007, de naturaleza sancionadora como ya se ha señalado, y que ha resultado ser contrario al art. 25.1 CE, habrá de estarse a lo dispuesto en el último inciso del art. 40.1 LOTC; determinación que deberá extenderse, igualmente, a las posibles consecuencias sancionadoras derivadas del incumplimiento de los preceptos ahora declarados inconstitucionales y nulos, pues, como indicó la STC 30/2017, de 27 de febrero, FJ 5, «cuando […] está en juego la exclusión de una pena o de una sanción administrativa, la sentencia de este tribunal tiene efectos incluso sobre las situaciones jurídicas declaradas por sentencia con fuerza de cosa juzgada. Así lo declaró, respecto del ámbito penal, la STC 150/1997, de 29 de septiembre, afirmando en su fundamento jurídico 5 que “[l]a retroactividad establecida en el art. 40.1, </w:t>
      </w:r>
      <w:r w:rsidRPr="003754FE">
        <w:rPr>
          <w:i/>
        </w:rPr>
        <w:t>in fine</w:t>
      </w:r>
      <w:r>
        <w:t xml:space="preserve">, de la LOTC supone una excepción </w:t>
      </w:r>
      <w:r w:rsidRPr="003754FE">
        <w:rPr>
          <w:i/>
        </w:rPr>
        <w:t>in bonum</w:t>
      </w:r>
      <w:r>
        <w:t xml:space="preserve"> a lo prevenido, en términos aparentemente absolutos, por el art. 161.1 a) CE (‘la sentencia o sentencias recaídas no perderán el valor de cosa juzgada’). Sin embargo, semejante excepción tiene su fundamento inequívoco, como no podía ser de otro modo, en la misma Constitución y, precisamente, en el art. 25.1 que impide, entre otras determinaciones, que nadie pueda sufrir condena penal o sanción administrativa en aplicación de normas legales cuya inconstitucionalidad se haya proclamado por este Tribunal Constitucional”».</w:t>
      </w:r>
    </w:p>
    <w:p w14:paraId="5D9761FF" w14:textId="77777777" w:rsidR="003754FE" w:rsidRDefault="003754FE" w:rsidP="003754FE">
      <w:pPr>
        <w:pStyle w:val="TextoNormal"/>
      </w:pPr>
    </w:p>
    <w:p w14:paraId="5F85B389" w14:textId="77777777" w:rsidR="003754FE" w:rsidRDefault="003754FE" w:rsidP="003754FE">
      <w:pPr>
        <w:pStyle w:val="TextoNormalCentrado"/>
        <w:keepNext/>
      </w:pPr>
      <w:r>
        <w:t>FALLO</w:t>
      </w:r>
    </w:p>
    <w:p w14:paraId="3332BD10" w14:textId="3C8BF012" w:rsidR="003754FE" w:rsidRDefault="003754FE" w:rsidP="003754FE">
      <w:pPr>
        <w:pStyle w:val="TextoNormalCentrado"/>
        <w:keepNext/>
      </w:pPr>
    </w:p>
    <w:p w14:paraId="5D4B797C" w14:textId="77777777" w:rsidR="003754FE" w:rsidRDefault="003754FE" w:rsidP="003754FE">
      <w:pPr>
        <w:pStyle w:val="TextoNormal"/>
      </w:pPr>
      <w:r>
        <w:t>En atención a todo lo expuesto, el Tribunal Constitucional, por la autoridad que le confiere la Constitución de la Nación española, ha decidido estimar parcialmente el recurso de inconstitucionalidad interpuesto por más de cincuenta diputados del Grupo Parlamentario Popular del Congreso de los Diputados contra la Ley del Parlamento de Cataluña 1/2022, de 3 de marzo, de modificación de la Ley 18/2007, la Ley 24/2015 y la Ley 4/2016, para afrontar la emergencia en el ámbito de la vivienda y, en consecuencia:</w:t>
      </w:r>
    </w:p>
    <w:p w14:paraId="63A0DDCD" w14:textId="77777777" w:rsidR="003754FE" w:rsidRDefault="003754FE" w:rsidP="003754FE">
      <w:pPr>
        <w:pStyle w:val="TextoNormal"/>
      </w:pPr>
    </w:p>
    <w:p w14:paraId="451EF1F2" w14:textId="77777777" w:rsidR="003754FE" w:rsidRDefault="003754FE" w:rsidP="003754FE">
      <w:pPr>
        <w:pStyle w:val="TextoNormal"/>
      </w:pPr>
      <w:r>
        <w:t>1º Declarar que son inconstitucionales y nulos, con los efectos previstos en el fundamento jurídico 9, los siguientes preceptos de la Ley del Parlamento de Cataluña 1/2022, de 3 de marzo: arts. 1.3, que modifica la letra f) del art. 5.2 de la Ley 18/2007, de 28 de diciembre, del derecho a la vivienda; 7, que añade el apartado 5 al artículo 126 de la Ley 18/2007; 11, que añade el art. 10, a la Ley 24/2015, de 29 de julio, de medidas urgentes para afrontar la emergencia en el ámbito de la vivienda y la pobreza energética; y 12, que añade la disposición adicional primera a la Ley 24/2015, afectando la declaración de inconstitucionalidad y nulidad a los apartados 1, 2 e inciso “y, en cualquier caso, no inferior a cinco años si el titular de la vivienda es una persona física y no inferior a siete años si es una persona jurídica” del apartado 3, y disposición transitoria.</w:t>
      </w:r>
    </w:p>
    <w:p w14:paraId="31CCA831" w14:textId="77777777" w:rsidR="003754FE" w:rsidRDefault="003754FE" w:rsidP="003754FE">
      <w:pPr>
        <w:pStyle w:val="TextoNormal"/>
      </w:pPr>
    </w:p>
    <w:p w14:paraId="31CADB59" w14:textId="135D3885" w:rsidR="003754FE" w:rsidRDefault="003754FE" w:rsidP="003754FE">
      <w:pPr>
        <w:pStyle w:val="TextoNormal"/>
      </w:pPr>
      <w:r>
        <w:t>2º Desestimar el recurso en todo lo demás.</w:t>
      </w:r>
    </w:p>
    <w:p w14:paraId="1CD0AE48" w14:textId="77777777" w:rsidR="003754FE" w:rsidRDefault="003754FE" w:rsidP="003754FE">
      <w:pPr>
        <w:pStyle w:val="TextoNormal"/>
      </w:pPr>
    </w:p>
    <w:p w14:paraId="4158476D" w14:textId="77777777" w:rsidR="003754FE" w:rsidRDefault="003754FE" w:rsidP="003754FE">
      <w:pPr>
        <w:pStyle w:val="TextoNormal"/>
      </w:pPr>
      <w:r>
        <w:t>Publíquese esta sentencia en el “Boletín Oficial del Estado”.</w:t>
      </w:r>
    </w:p>
    <w:p w14:paraId="3BF3DD4D" w14:textId="77777777" w:rsidR="003754FE" w:rsidRDefault="003754FE" w:rsidP="003754FE">
      <w:pPr>
        <w:pStyle w:val="TextoNormal"/>
      </w:pPr>
      <w:r>
        <w:t>Dada en Madrid, a ocho de octubre de dos mil veinticuatro.</w:t>
      </w:r>
    </w:p>
    <w:p w14:paraId="74BA7ACB" w14:textId="72B8F09E" w:rsidR="003754FE" w:rsidRDefault="003754FE" w:rsidP="003754FE">
      <w:pPr>
        <w:pStyle w:val="ParrafoNormal"/>
      </w:pPr>
    </w:p>
    <w:p w14:paraId="5FC60E92" w14:textId="77777777" w:rsidR="003754FE" w:rsidRDefault="003754FE" w:rsidP="003754FE">
      <w:pPr>
        <w:pStyle w:val="TextoNormalNegritaCentrado"/>
        <w:keepNext/>
      </w:pPr>
      <w:r>
        <w:t>Voto particular que formulan los magistrados don Ricardo Enríquez Sancho y don Enrique Arnaldo Alcubilla a la sentencia dictada en el recurso de inconstitucionalidad núm. 3955-2022</w:t>
      </w:r>
    </w:p>
    <w:p w14:paraId="099E2228" w14:textId="12910052" w:rsidR="003754FE" w:rsidRDefault="003754FE" w:rsidP="003754FE">
      <w:pPr>
        <w:pStyle w:val="TextoNormalNegritaCentrado"/>
        <w:keepNext/>
      </w:pPr>
    </w:p>
    <w:p w14:paraId="12C7496D" w14:textId="77777777" w:rsidR="003754FE" w:rsidRDefault="003754FE" w:rsidP="003754FE">
      <w:pPr>
        <w:pStyle w:val="TextoNormal"/>
      </w:pPr>
      <w:r>
        <w:t>Con el máximo respeto y consideración al parecer mayoritario del Pleno, formulamos el presente voto particular para exponer las razones por las que consideramos que el recurso de inconstitucionalidad debió ser estimado en relación con el art. 10 de la Ley 1/2022 recurrida, que da nueva redacción al art. 7.1 de la Ley 24/2015 (cesión obligatoria de viviendas), por vulneración del art. 33.3 de la Constitución.</w:t>
      </w:r>
    </w:p>
    <w:p w14:paraId="1CD3239C" w14:textId="77777777" w:rsidR="003754FE" w:rsidRDefault="003754FE" w:rsidP="003754FE">
      <w:pPr>
        <w:pStyle w:val="TextoNormal"/>
      </w:pPr>
    </w:p>
    <w:p w14:paraId="71561E64" w14:textId="77777777" w:rsidR="003754FE" w:rsidRDefault="003754FE" w:rsidP="003754FE">
      <w:pPr>
        <w:pStyle w:val="TextoNormal"/>
      </w:pPr>
      <w:r>
        <w:t xml:space="preserve">1. </w:t>
      </w:r>
      <w:r w:rsidRPr="003754FE">
        <w:rPr>
          <w:i/>
        </w:rPr>
        <w:t>Correcta delimitación del objeto del proceso</w:t>
      </w:r>
    </w:p>
    <w:p w14:paraId="0D85D805" w14:textId="77777777" w:rsidR="003754FE" w:rsidRDefault="003754FE" w:rsidP="003754FE">
      <w:pPr>
        <w:pStyle w:val="TextoNormal"/>
      </w:pPr>
    </w:p>
    <w:p w14:paraId="15047024" w14:textId="77777777" w:rsidR="003754FE" w:rsidRDefault="003754FE" w:rsidP="003754FE">
      <w:pPr>
        <w:pStyle w:val="TextoNormal"/>
      </w:pPr>
      <w:r>
        <w:t>En el fundamento jurídico 4, la mayoría delimita artificialmente el objeto del proceso en este punto aludiendo, por una parte, a las “tachas de naturaleza competencial” que habría formulado exclusivamente el recurso, y, por otra, a la imposibilidad de extender el enjuiciamiento de constitucionalidad a preceptos de la Ley 24/2015 no modificados por la Ley 1/2022 impugnada. Con estos argumentos, elude un pronunciamiento que era en realidad obligado para dar respuesta a un motivo de impugnación válidamente introducido por los recurrentes.</w:t>
      </w:r>
    </w:p>
    <w:p w14:paraId="7A959D0B" w14:textId="77777777" w:rsidR="003754FE" w:rsidRDefault="003754FE" w:rsidP="003754FE">
      <w:pPr>
        <w:pStyle w:val="TextoNormal"/>
      </w:pPr>
    </w:p>
    <w:p w14:paraId="33106D0B" w14:textId="77777777" w:rsidR="003754FE" w:rsidRDefault="003754FE" w:rsidP="003754FE">
      <w:pPr>
        <w:pStyle w:val="TextoNormal"/>
      </w:pPr>
      <w:r>
        <w:t xml:space="preserve">En contra de lo que dice la sentencia, el recurso de inconstitucionalidad no denuncia solamente vulneraciones competenciales (que también). Denuncia igualmente la vulneración del art. 33.3 CE por el art. 10 de la ley impugnada. En el motivo primero del recurso, dedicado al conjunto de la Ley 1/2022, el escrito afirma que “[l]as comunidades autónomas, en el ámbito de sus competencias en materia de vivienda y similares, pueden incidir en el régimen de propiedad privada, </w:t>
      </w:r>
      <w:r w:rsidRPr="003754FE">
        <w:rPr>
          <w:i/>
        </w:rPr>
        <w:t>siempre y cuando se deje a salvo el contenido esencial del derecho de propiedad, tal y como viene reconocido en el artículo 33 de la Constitución</w:t>
      </w:r>
      <w:r>
        <w:t xml:space="preserve"> y como se desarrollará en más profundidad en los siguientes fundamentos del presente escrito de demanda” (la cursiva es nuestra). Y en el motivo segundo, dedicado especialmente al art. 10, el recurso denuncia que este precepto “instaura una habilitación para la cesión obligatoria de viviendas </w:t>
      </w:r>
      <w:r w:rsidRPr="003754FE">
        <w:rPr>
          <w:i/>
        </w:rPr>
        <w:t>sin compensación adecuada</w:t>
      </w:r>
      <w:r>
        <w:t>” (la cursiva es igualmente nuestra).</w:t>
      </w:r>
    </w:p>
    <w:p w14:paraId="204DCB11" w14:textId="77777777" w:rsidR="003754FE" w:rsidRDefault="003754FE" w:rsidP="003754FE">
      <w:pPr>
        <w:pStyle w:val="TextoNormal"/>
      </w:pPr>
    </w:p>
    <w:p w14:paraId="06F27B99" w14:textId="77777777" w:rsidR="003754FE" w:rsidRDefault="003754FE" w:rsidP="003754FE">
      <w:pPr>
        <w:pStyle w:val="TextoNormal"/>
      </w:pPr>
      <w:r>
        <w:t>La mayoría, contradiciéndose a sí misma, reconoce más adelante que esta denuncia no competencial existe, y transcribe expresamente este mismo pasaje del recurso sobre la ausencia de una compensación adecuada en la cesión obligatoria de viviendas del art. 10. Sin embargo, argumenta entonces que como la regulación de esa compensación inadecuada “no es objeto” de ese art. 10 (art. 7.1 de la Ley 24/2015), el enjuiciamiento de este reproche le está “vedado”.</w:t>
      </w:r>
    </w:p>
    <w:p w14:paraId="7D04590B" w14:textId="77777777" w:rsidR="003754FE" w:rsidRDefault="003754FE" w:rsidP="003754FE">
      <w:pPr>
        <w:pStyle w:val="TextoNormal"/>
      </w:pPr>
    </w:p>
    <w:p w14:paraId="59CF2D23" w14:textId="77777777" w:rsidR="003754FE" w:rsidRDefault="003754FE" w:rsidP="003754FE">
      <w:pPr>
        <w:pStyle w:val="TextoNormal"/>
      </w:pPr>
      <w:r>
        <w:t xml:space="preserve">Este argumento parte de una confusión notable. Es axiomático que el recurso de inconstitucionalidad interpuesto contra una ley no permite enjuiciar y declarar la inconstitucionalidad de un precepto contenido en </w:t>
      </w:r>
      <w:r w:rsidRPr="003754FE">
        <w:rPr>
          <w:i/>
        </w:rPr>
        <w:t>otra ley</w:t>
      </w:r>
      <w:r>
        <w:t xml:space="preserve"> no recurrida (así se desprende del art. 39.1 LOTC). Pero una cosa es que el tribunal no pueda anular preceptos contenidos en leyes no impugnadas y otra muy distinta que, al enjuiciar los preceptos efectivamente impugnados, no pueda tomar en consideración lo que dicen otras leyes, aunque no estén impugnadas. “Las normas se interpretarán […] en relación con el contexto”, dice con su sencillez </w:t>
      </w:r>
      <w:r>
        <w:lastRenderedPageBreak/>
        <w:t>característica el art. 3.1 del Código civil, y sostener lo contrario, como hace la mayoría, es un sofisma.</w:t>
      </w:r>
    </w:p>
    <w:p w14:paraId="2C029C6E" w14:textId="77777777" w:rsidR="003754FE" w:rsidRDefault="003754FE" w:rsidP="003754FE">
      <w:pPr>
        <w:pStyle w:val="TextoNormal"/>
      </w:pPr>
    </w:p>
    <w:p w14:paraId="2DACF287" w14:textId="77777777" w:rsidR="003754FE" w:rsidRDefault="003754FE" w:rsidP="003754FE">
      <w:pPr>
        <w:pStyle w:val="TextoNormal"/>
      </w:pPr>
      <w:r>
        <w:t xml:space="preserve">2. </w:t>
      </w:r>
      <w:r w:rsidRPr="003754FE">
        <w:rPr>
          <w:i/>
        </w:rPr>
        <w:t>Vulneración del art. 33.3 CE por el art. 10 de la Ley 1/2022 (art. 7.1 de la Ley 24/2015) que debería haber sido declarado inconstitucional</w:t>
      </w:r>
    </w:p>
    <w:p w14:paraId="756E9A80" w14:textId="77777777" w:rsidR="003754FE" w:rsidRDefault="003754FE" w:rsidP="003754FE">
      <w:pPr>
        <w:pStyle w:val="TextoNormal"/>
      </w:pPr>
    </w:p>
    <w:p w14:paraId="3A94B0A7" w14:textId="77777777" w:rsidR="003754FE" w:rsidRDefault="003754FE" w:rsidP="003754FE">
      <w:pPr>
        <w:pStyle w:val="TextoNormal"/>
      </w:pPr>
      <w:r>
        <w:t>El art. 10 impugnado, que da nueva redacción al art. 7.1 de la Ley 24/2015, atribuye a la administración la potestad de imponer al propietario la “cesión obligatoria de viviendas, por un período de siete años” si se cumplen determinadas condiciones, entre otras, la previa declaración administrativa del “incumplimiento de la función social de la vivienda” por su falta de ocupación. Como la mayoría reconoce, este art. 10 contiene “una previsión similar a la expropiación de las facultades de uso y disfrute que se examinó en el fundamento jurídico 4 de la STC 37/1987” por “incumplimiento de la función social” de la propiedad.</w:t>
      </w:r>
    </w:p>
    <w:p w14:paraId="2C8314E2" w14:textId="77777777" w:rsidR="003754FE" w:rsidRDefault="003754FE" w:rsidP="003754FE">
      <w:pPr>
        <w:pStyle w:val="TextoNormal"/>
      </w:pPr>
    </w:p>
    <w:p w14:paraId="6AF1A98E" w14:textId="77777777" w:rsidR="003754FE" w:rsidRDefault="003754FE" w:rsidP="003754FE">
      <w:pPr>
        <w:pStyle w:val="TextoNormal"/>
      </w:pPr>
      <w:r>
        <w:t>Efectivamente, la cesión obligatoria de una vivienda impuesta coactivamente por la administración a su propietario mediante procedimiento contradictorio es una privación de un bien por causa de interés social prevista en el art. 33.3 CE, o una “expropiación” según la definición legal del instituto vigente en España desde 1954, que incluye expresamente las “ocupaciones temporales” (art. 1.1 de la Ley de expropiación forzosa). Y si existe “expropiación”, entonces el art. 33.3 CE impone una “indemnización” al propietario (o una “compensación adecuada”, en los términos del recurso).</w:t>
      </w:r>
    </w:p>
    <w:p w14:paraId="01224762" w14:textId="77777777" w:rsidR="003754FE" w:rsidRDefault="003754FE" w:rsidP="003754FE">
      <w:pPr>
        <w:pStyle w:val="TextoNormal"/>
      </w:pPr>
    </w:p>
    <w:p w14:paraId="11161243" w14:textId="77777777" w:rsidR="003754FE" w:rsidRDefault="003754FE" w:rsidP="003754FE">
      <w:pPr>
        <w:pStyle w:val="TextoNormal"/>
      </w:pPr>
      <w:r>
        <w:t>La ley andaluza enjuiciada en la STC 37/1987, FJ 4, citada en la sentencia para desestimar la impugnación contra este art. 10, preveía esa indemnización. Esa ley se estructuraba de la manera tradicional en nuestro derecho desde, al menos, la Ley de reforma y desarrollo agrario de 1953, luego texto refundido de 1973, y finalmente Ley de fincas manifiestamente mejorables (LFMM) de 1979. Primero la administración, normalmente a través de una entidad pública como el IRYDA (Instituto Nacional de Reforma y Desarrollo Agrario) o el IARA (Instituto Andaluz de Reforma Agraria) en el caso andaluz, expropiaba el derecho de uso de una finca y pagaba el justiprecio al propietario que no la explotaba. Y luego esa entidad pública cedía ese derecho adquirido por expropiación a un tercero mediante arrendamiento o cualquier otra fórmula jurídica, conviniendo con ese usuario el precio y demás condiciones de la cesión (arts. 10 a 12 de la LFMM de 1979).</w:t>
      </w:r>
    </w:p>
    <w:p w14:paraId="74AAFF26" w14:textId="77777777" w:rsidR="003754FE" w:rsidRDefault="003754FE" w:rsidP="003754FE">
      <w:pPr>
        <w:pStyle w:val="TextoNormal"/>
      </w:pPr>
    </w:p>
    <w:p w14:paraId="68C9E35B" w14:textId="77777777" w:rsidR="003754FE" w:rsidRDefault="003754FE" w:rsidP="003754FE">
      <w:pPr>
        <w:pStyle w:val="TextoNormal"/>
      </w:pPr>
      <w:r>
        <w:t>La legislación vigente en Cataluña, a la que da respuesta la sentencia de la que discrepamos no sigue este esquema. La potestad de expropiación temporal que el precepto impugnado concede a la administración no lleva aparejada la “indemnización” para el propietario que exige el art 33.3 CE, sino que, tal como reconoce la sentencia, de acuerdo con lo establecido en los arts. 7.3 y 5 de la Ley 24/2015 (no impugnados, pero que conforman el “contexto” de la potestad atribuida a la administración en el precepto objeto de recurso), el propietario debe resarcirse con la renta (limitada) que está obligado a pagarle el beneficiario de la cesión.</w:t>
      </w:r>
    </w:p>
    <w:p w14:paraId="17BCF1C4" w14:textId="77777777" w:rsidR="003754FE" w:rsidRDefault="003754FE" w:rsidP="003754FE">
      <w:pPr>
        <w:pStyle w:val="TextoNormal"/>
      </w:pPr>
    </w:p>
    <w:p w14:paraId="1A064EB3" w14:textId="77777777" w:rsidR="003754FE" w:rsidRDefault="003754FE" w:rsidP="003754FE">
      <w:pPr>
        <w:pStyle w:val="TextoNormal"/>
      </w:pPr>
      <w:r>
        <w:t>Esta renta limitada que debe pagar el cesionario de la vivienda no puede equipararse a la “indemnización” exigida por el art. 33.3 CE por dos razones:</w:t>
      </w:r>
    </w:p>
    <w:p w14:paraId="20254450" w14:textId="77777777" w:rsidR="003754FE" w:rsidRDefault="003754FE" w:rsidP="003754FE">
      <w:pPr>
        <w:pStyle w:val="TextoNormal"/>
      </w:pPr>
    </w:p>
    <w:p w14:paraId="00569425" w14:textId="77777777" w:rsidR="003754FE" w:rsidRDefault="003754FE" w:rsidP="003754FE">
      <w:pPr>
        <w:pStyle w:val="TextoNormal"/>
      </w:pPr>
      <w:r>
        <w:t xml:space="preserve">En primer lugar, porque la cuantía de esta renta no se calcula por el valor del derecho sacrificado, como impone el instituto de la expropiación, sino por el nivel de renta de los </w:t>
      </w:r>
      <w:r>
        <w:lastRenderedPageBreak/>
        <w:t>beneficiarios. De este modo, la “indemnización” depende de factores completamente ajenos al valor del bien y por una misma vivienda el propietario puede recibir una compensación u otra en función del inquilino que le haya tocado en suerte.</w:t>
      </w:r>
    </w:p>
    <w:p w14:paraId="3EB36088" w14:textId="77777777" w:rsidR="003754FE" w:rsidRDefault="003754FE" w:rsidP="003754FE">
      <w:pPr>
        <w:pStyle w:val="TextoNormal"/>
      </w:pPr>
    </w:p>
    <w:p w14:paraId="7FCA6A3F" w14:textId="77777777" w:rsidR="003754FE" w:rsidRDefault="003754FE" w:rsidP="003754FE">
      <w:pPr>
        <w:pStyle w:val="TextoNormal"/>
      </w:pPr>
      <w:r>
        <w:t>Y, en segundo lugar, porque la administración y la jurisdicción contencioso-administrativa ofrecen al propietario expropiado una garantía de pago que nunca pueden ofrecer un particular y la jurisdicción civil a este asociada, debido a la facilidad de localizar al demandado, que es la administración y no un particular, y a la seguridad en la ejecución de una eventual sentencia de condena, pues no hay riesgo de insolvencia cuando se trata de la administración.</w:t>
      </w:r>
    </w:p>
    <w:p w14:paraId="2468BCE1" w14:textId="77777777" w:rsidR="003754FE" w:rsidRDefault="003754FE" w:rsidP="003754FE">
      <w:pPr>
        <w:pStyle w:val="TextoNormal"/>
      </w:pPr>
    </w:p>
    <w:p w14:paraId="5498E277" w14:textId="77777777" w:rsidR="003754FE" w:rsidRDefault="003754FE" w:rsidP="003754FE">
      <w:pPr>
        <w:pStyle w:val="TextoNormal"/>
      </w:pPr>
      <w:r>
        <w:t>En el sistema de la ley catalana, si el propietario no recibe el pago de la renta debe entablar un proceso civil contra el inquilino no escogido ni querido. Y lo mismo sucederá si el inquilino subarrienda la vivienda, causa daños en ella o no la abandona cuando debe, por citar algunas posibles incidencias del contrato impuesto por la administración. En cambio, en las estructuras triangulares del tipo de las leyes de reforma agraria esas eventuales complicaciones son problemas internos entre la administración, que ha seleccionado al ocupante o inquilino, y este último. El propietario permanece completamente ajeno a ellos. Simplemente recibe un justiprecio de la administración por la expropiación temporal de su derecho, justiprecio que es calculado por referencia al valor de su bien y espera pacientemente la devolución del bien expropiado cuando venza el plazo de la expropiación temporal, en las mismas condiciones en que lo entregó o con la indemnización de los perjuicios adicionales causados. La resolución de esos avatares está además garantizada por el privilegio de la ejecutividad que acompaña a la actuación administrativa, del que evidentemente carece el propietario. Este, en el sistema de la ley catalana, se ve forzado a gestionar privadamente un arrendamiento impuesto con un arrendatario seleccionado por la administración y es esta la que, después de ordenar coactivamente el arrendamiento, se desentiende completamente de los avatares de la ejecución de ese contrato.</w:t>
      </w:r>
    </w:p>
    <w:p w14:paraId="6AE796A9" w14:textId="77777777" w:rsidR="003754FE" w:rsidRDefault="003754FE" w:rsidP="003754FE">
      <w:pPr>
        <w:pStyle w:val="TextoNormal"/>
      </w:pPr>
    </w:p>
    <w:p w14:paraId="2D918B25" w14:textId="77777777" w:rsidR="003754FE" w:rsidRDefault="003754FE" w:rsidP="003754FE">
      <w:pPr>
        <w:pStyle w:val="TextoNormal"/>
      </w:pPr>
      <w:r>
        <w:t>En estas condiciones, consideramos que la potestad atribuida a la administración por el art. 10 objeto de recurso (la imposición al propietario de una cesión obligatoria de su vivienda a cambio de la renta limitada que debe pagarle el cesionario) incumple la garantía de indemnización ante la privación singular de bienes por causa de interés social prevista en el art. 33.3 CE. Que la compensación “no adecuada” que denuncia el recurso esté regulada en un precepto distinto y no impugnado no impedía como ha entendido la mayoría efectuar esta declaración pues de lo que se trata es de verificar si la potestad expropiatoria atribuida a la administración en el precepto impugnado respeta o no las condiciones del art. 33.3 CE, y no de anular la regulación de esa compensación.</w:t>
      </w:r>
    </w:p>
    <w:p w14:paraId="18D5106C" w14:textId="77777777" w:rsidR="003754FE" w:rsidRDefault="003754FE" w:rsidP="003754FE">
      <w:pPr>
        <w:pStyle w:val="TextoNormal"/>
      </w:pPr>
    </w:p>
    <w:p w14:paraId="3396A47E" w14:textId="77777777" w:rsidR="003754FE" w:rsidRDefault="003754FE" w:rsidP="003754FE">
      <w:pPr>
        <w:pStyle w:val="TextoNormal"/>
      </w:pPr>
      <w:r>
        <w:t>Y en este sentido emitimos nuestro voto particular.</w:t>
      </w:r>
    </w:p>
    <w:p w14:paraId="3FBC8C3A" w14:textId="77777777" w:rsidR="003754FE" w:rsidRDefault="003754FE" w:rsidP="003754FE">
      <w:pPr>
        <w:pStyle w:val="TextoNormal"/>
      </w:pPr>
    </w:p>
    <w:p w14:paraId="1F80C587" w14:textId="3F5C5095" w:rsidR="003754FE" w:rsidRDefault="003754FE" w:rsidP="003754FE">
      <w:pPr>
        <w:pStyle w:val="TextoNormal"/>
      </w:pPr>
      <w:r>
        <w:t>Madrid, a ocho de octubre de dos mil veinticuatro.</w:t>
      </w:r>
    </w:p>
    <w:p w14:paraId="443B1B66" w14:textId="77777777" w:rsidR="003754FE" w:rsidRDefault="003754FE" w:rsidP="003754FE">
      <w:pPr>
        <w:pStyle w:val="TextoNormal"/>
      </w:pPr>
    </w:p>
    <w:p w14:paraId="4C5BB6F9" w14:textId="77777777" w:rsidR="003754FE" w:rsidRDefault="003754FE" w:rsidP="003754FE">
      <w:pPr>
        <w:pStyle w:val="TextoNormalNegritaCentrado"/>
        <w:keepNext/>
      </w:pPr>
      <w:r>
        <w:lastRenderedPageBreak/>
        <w:t>Voto particular que formula la magistrada doña Concepción Espejel Jorquera a la sentencia dictada en el recurso de inconstitucionalidad núm. 3955-2022</w:t>
      </w:r>
    </w:p>
    <w:p w14:paraId="7A915DF5" w14:textId="35CE7498" w:rsidR="003754FE" w:rsidRDefault="003754FE" w:rsidP="003754FE">
      <w:pPr>
        <w:pStyle w:val="TextoNormalNegritaCentrado"/>
        <w:keepNext/>
      </w:pPr>
    </w:p>
    <w:p w14:paraId="19709B84" w14:textId="77777777" w:rsidR="003754FE" w:rsidRDefault="003754FE" w:rsidP="003754FE">
      <w:pPr>
        <w:pStyle w:val="TextoNormal"/>
      </w:pPr>
      <w:r>
        <w:t>En el ejercicio de la facultad conferida en el art. 90.2 de la Ley Orgánica del Tribunal Constitucional, y con el respeto debido a la opinión de los magistrados que han conformado la mayoría del Pleno, formulo el presente voto particular por discrepar de la fundamentación y del fallo de la sentencia recaída en el recurso de inconstitucionalidad interpuesto por más de cincuenta diputados del Grupo Parlamentario Popular en el Congreso de los Diputados, contra la Ley del Parlamento de Cataluña 1/2022, de 3 de marzo, que modifica la Ley 18/2007, la Ley 24/2015 y la Ley 4/2016, para afrontar la emergencia en el ámbito de la vivienda, y, subsidiariamente, contra los arts. 1.1, 1.3, 7, 8, 9.2, 10, 11, 12, y la disposición transitoria de dicha ley.</w:t>
      </w:r>
    </w:p>
    <w:p w14:paraId="0C2F4B2B" w14:textId="77777777" w:rsidR="003754FE" w:rsidRDefault="003754FE" w:rsidP="003754FE">
      <w:pPr>
        <w:pStyle w:val="TextoNormal"/>
      </w:pPr>
    </w:p>
    <w:p w14:paraId="28340698" w14:textId="77777777" w:rsidR="003754FE" w:rsidRDefault="003754FE" w:rsidP="003754FE">
      <w:pPr>
        <w:pStyle w:val="TextoNormal"/>
      </w:pPr>
      <w:r>
        <w:t xml:space="preserve">a) Mi primera discrepancia radica en el momento en que se ha dictado esta sentencia. En efecto, en su fundamento jurídico 2 a), la sentencia hace referencia al hecho de que, durante la pendencia de este proceso, se ha aprobado por el Estado la Ley 12/2023, de 24 de mayo, por el derecho a la vivienda y expone la doctrina del </w:t>
      </w:r>
      <w:r w:rsidRPr="003754FE">
        <w:rPr>
          <w:i/>
        </w:rPr>
        <w:t>ius superveniens</w:t>
      </w:r>
      <w:r>
        <w:t>, conforme a la cual, en el caso de los recursos de inconstitucionalidad, la sentencia de este tribunal debe dictarse ajustándose al parámetro de control de constitucionalidad que deriva del marco jurídico vigente en el momento en el que se resuelve el proceso. Como consecuencia de su aplicación, la sentencia afirma que “habrán de tomarse en consideración, en su caso, las normas contenidas en la Ley 12/2023 que sean precisas para el enjuiciamiento de la Ley 1/2022, así como la doctrina establecida en la STC 79/2024, de 21 de mayo, al resolver el recurso de inconstitucionalidad núm. 5491-2023 (promovido por el Consejo de Gobierno de la Comunidad Autónoma de Andalucía), primero de los interpuestos contra la Ley 12/2023”.</w:t>
      </w:r>
    </w:p>
    <w:p w14:paraId="3116C7B0" w14:textId="77777777" w:rsidR="003754FE" w:rsidRDefault="003754FE" w:rsidP="003754FE">
      <w:pPr>
        <w:pStyle w:val="TextoNormal"/>
      </w:pPr>
    </w:p>
    <w:p w14:paraId="7C381AD2" w14:textId="77777777" w:rsidR="003754FE" w:rsidRDefault="003754FE" w:rsidP="003754FE">
      <w:pPr>
        <w:pStyle w:val="TextoNormal"/>
      </w:pPr>
      <w:r>
        <w:t>Es inusual, en mi opinión, que, estando pendientes los recursos núms. 5514-2023 —promovido por más de cincuenta diputados del Grupo Parlamentario Popular en el Congreso—, 5516-2023 —interpuesto por el Consejo de Gobierno de las Illes Balears—, 5518-2023 —promovido por el Consejo de Gobierno de la Comunidad de Madrid— y 5580-2023 —interpuesto por el Parlamento de Cataluña—, 1278-2024 —promovido por la Generalitat de Cataluña—, 1301-2024 —interpuesto por el Gobierno Vasco— y 1306-2024 —promovido por la Xunta de Galicia— (que la propia sentencia relaciona), se haya resuelto previamente este recurso de inconstitucionalidad.</w:t>
      </w:r>
    </w:p>
    <w:p w14:paraId="6B674BC3" w14:textId="77777777" w:rsidR="003754FE" w:rsidRDefault="003754FE" w:rsidP="003754FE">
      <w:pPr>
        <w:pStyle w:val="TextoNormal"/>
      </w:pPr>
    </w:p>
    <w:p w14:paraId="08BE2AC5" w14:textId="77777777" w:rsidR="003754FE" w:rsidRDefault="003754FE" w:rsidP="003754FE">
      <w:pPr>
        <w:pStyle w:val="TextoNormal"/>
      </w:pPr>
      <w:r>
        <w:t>La pendencia de dichos procesos determina que hay motivos de inconstitucionalidad de la Ley 12/2023 que es parámetro de constitucionalidad en esta sentencia que todavía no están resueltos. Es un hecho que “el marco jurídico vigente en el momento de dictar sentencia”, al que se alude en la sentencia, se vio alterado como consecuencia de la STC 79/2024 al declarar esta inconstitucionales y nulos varios preceptos de la Ley 12/2023 (en concreto, los arts. 16, 27.1 párrafo tercero, 27.3, la disposición transitoria primera, y un inciso del art. 19.3).</w:t>
      </w:r>
    </w:p>
    <w:p w14:paraId="5717DC10" w14:textId="77777777" w:rsidR="003754FE" w:rsidRDefault="003754FE" w:rsidP="003754FE">
      <w:pPr>
        <w:pStyle w:val="TextoNormal"/>
      </w:pPr>
    </w:p>
    <w:p w14:paraId="33B55CF3" w14:textId="77777777" w:rsidR="003754FE" w:rsidRDefault="003754FE" w:rsidP="003754FE">
      <w:pPr>
        <w:pStyle w:val="TextoNormal"/>
      </w:pPr>
      <w:r>
        <w:t xml:space="preserve">Ese mismo “marco jurídico” podría igualmente verse alterado de estimarse alguna o algunas de las impugnaciones que contra otros preceptos de Ley 12/2023 se articulan, no solo en el recurso de inconstitucionalidad núm. 5514-2023, sino en los restantes recursos de </w:t>
      </w:r>
      <w:r>
        <w:lastRenderedPageBreak/>
        <w:t>inconstitucionalidad promovidos contra aquella (núm. 5516-2023, 5518-2023, 5580-2023, 1278-2024, 1301-2024 y 1306-2024).</w:t>
      </w:r>
    </w:p>
    <w:p w14:paraId="6F715448" w14:textId="77777777" w:rsidR="003754FE" w:rsidRDefault="003754FE" w:rsidP="003754FE">
      <w:pPr>
        <w:pStyle w:val="TextoNormal"/>
      </w:pPr>
    </w:p>
    <w:p w14:paraId="07800D91" w14:textId="77777777" w:rsidR="003754FE" w:rsidRDefault="003754FE" w:rsidP="003754FE">
      <w:pPr>
        <w:pStyle w:val="TextoNormal"/>
      </w:pPr>
      <w:r>
        <w:t xml:space="preserve">b) Esta decisión no solo es poco frecuente en el modo de proceder del Tribunal Constitucional, sino que tiene efectos concretos en el análisis de la constitucionalidad de la Ley del Parlamento de Cataluña 1/2022. El primer motivo de inconstitucionalidad aducido en el recurso que la sentencia analiza es la impugnación dirigida contra el conjunto de la Ley 1/2022, por vulneración del art. 149.1.1 CE. Atendiendo a la doctrina del </w:t>
      </w:r>
      <w:r w:rsidRPr="003754FE">
        <w:rPr>
          <w:i/>
        </w:rPr>
        <w:t>ius superveniens</w:t>
      </w:r>
      <w:r>
        <w:t xml:space="preserve"> la sentencia realiza una comparación entre la ley impugnada y la Ley 12/2023. Ahora bien, esta comparación adolece de una primera deficiencia dado que, como he señalado, el Tribunal todavía no ha resuelto todos los recursos de inconstitucionalidad contra la citada Ley 12/2023 y difícilmente una ley puede ser parámetro de constitucionalidad cuando no se sabe, tan solo se adivina, si es constitucional. O, en otros términos, resulta que la sentencia ahora aprobada por la mayoría del pleno ya presupone, implícitamente, que los restantes recursos de inconstitucionalidad pendientes contra la citada Ley estatal 12/2023, van a ser desestimados en su totalidad.</w:t>
      </w:r>
    </w:p>
    <w:p w14:paraId="31B0047D" w14:textId="77777777" w:rsidR="003754FE" w:rsidRDefault="003754FE" w:rsidP="003754FE">
      <w:pPr>
        <w:pStyle w:val="TextoNormal"/>
      </w:pPr>
    </w:p>
    <w:p w14:paraId="0EA7B85E" w14:textId="77777777" w:rsidR="003754FE" w:rsidRDefault="003754FE" w:rsidP="003754FE">
      <w:pPr>
        <w:pStyle w:val="TextoNormal"/>
      </w:pPr>
      <w:r>
        <w:t xml:space="preserve">Pero es que, además, dicha comparación entre los modelos de la Ley 1/2022 y la Ley 12/2023 se realiza de modo tan genérico y con conclusiones tan apodícticas que dista mucho de ser una comparación en términos constitucionalmente aceptables. Comparación que, desde un punto de vista metodológico, resulta muy significativa si se pone en relación con el minucioso análisis que la sentencia hace posteriormente a la hora de resolver las impugnaciones de la ley catalana por contraste con la ley estatal de arrendamientos urbanos, en el que el análisis alcanza un grado de exhaustividad que colma sobradamente las exigencias de la doctrina constitucional a la hora de aplicar la doctrina del </w:t>
      </w:r>
      <w:r w:rsidRPr="003754FE">
        <w:rPr>
          <w:i/>
        </w:rPr>
        <w:t>ius superveniens</w:t>
      </w:r>
      <w:r>
        <w:t>.</w:t>
      </w:r>
    </w:p>
    <w:p w14:paraId="0C87AE6B" w14:textId="77777777" w:rsidR="003754FE" w:rsidRDefault="003754FE" w:rsidP="003754FE">
      <w:pPr>
        <w:pStyle w:val="TextoNormal"/>
      </w:pPr>
    </w:p>
    <w:p w14:paraId="0CDD4D18" w14:textId="77777777" w:rsidR="003754FE" w:rsidRDefault="003754FE" w:rsidP="003754FE">
      <w:pPr>
        <w:pStyle w:val="TextoNormal"/>
      </w:pPr>
      <w:r>
        <w:t>c) En tercer lugar, mi discrepancia con la sentencia reside en el modo en el que se ha resuelto la impugnación del art. 10 de la Ley 1/2022.</w:t>
      </w:r>
    </w:p>
    <w:p w14:paraId="4958670B" w14:textId="77777777" w:rsidR="003754FE" w:rsidRDefault="003754FE" w:rsidP="003754FE">
      <w:pPr>
        <w:pStyle w:val="TextoNormal"/>
      </w:pPr>
    </w:p>
    <w:p w14:paraId="1BCE88CF" w14:textId="77777777" w:rsidR="003754FE" w:rsidRDefault="003754FE" w:rsidP="003754FE">
      <w:pPr>
        <w:pStyle w:val="TextoNormal"/>
      </w:pPr>
      <w:r>
        <w:t>En ese sentido, comparto íntegramente el voto particular formulado por los magistrados don Ricardo Enríquez Sancho y don Enrique Arnaldo Alcubilla, al que, sin perjuicio de lo que sigue a continuación, me remito en su totalidad.</w:t>
      </w:r>
    </w:p>
    <w:p w14:paraId="415362B7" w14:textId="77777777" w:rsidR="003754FE" w:rsidRDefault="003754FE" w:rsidP="003754FE">
      <w:pPr>
        <w:pStyle w:val="TextoNormal"/>
      </w:pPr>
    </w:p>
    <w:p w14:paraId="0E98720E" w14:textId="77777777" w:rsidR="003754FE" w:rsidRDefault="003754FE" w:rsidP="003754FE">
      <w:pPr>
        <w:pStyle w:val="TextoNormal"/>
      </w:pPr>
      <w:r>
        <w:t>El art. 10 modifica el apartado 1 del art. 7 de la Ley 24/2015, de 29 de julio, de medidas urgentes para afrontar la emergencia en el ámbito de la vivienda y la pobreza energética, referido a las “Medidas para garantizar la función social de la propiedad y aumentar el parque de viviendas asequibles en alquiler”, y que queda redactado en los siguientes términos:</w:t>
      </w:r>
    </w:p>
    <w:p w14:paraId="2FD458F0" w14:textId="77777777" w:rsidR="003754FE" w:rsidRDefault="003754FE" w:rsidP="003754FE">
      <w:pPr>
        <w:pStyle w:val="TextoNormal"/>
      </w:pPr>
    </w:p>
    <w:p w14:paraId="46C8807C" w14:textId="77777777" w:rsidR="003754FE" w:rsidRDefault="003754FE" w:rsidP="003754FE">
      <w:pPr>
        <w:pStyle w:val="TextoNormal"/>
      </w:pPr>
      <w:r>
        <w:t>“1. La administración puede resolver la cesión obligatoria de viviendas, por un período de siete años, para incorporarlas al fondo de viviendas de alquiler para políticas sociales, en el caso de viviendas vacías que sean propiedad de personas jurídicas y siempre que se cumplan las siguientes condiciones:</w:t>
      </w:r>
    </w:p>
    <w:p w14:paraId="39FFAA75" w14:textId="77777777" w:rsidR="003754FE" w:rsidRDefault="003754FE" w:rsidP="003754FE">
      <w:pPr>
        <w:pStyle w:val="TextoNormal"/>
      </w:pPr>
    </w:p>
    <w:p w14:paraId="1C449AD2" w14:textId="77777777" w:rsidR="003754FE" w:rsidRDefault="003754FE" w:rsidP="003754FE">
      <w:pPr>
        <w:pStyle w:val="TextoNormal"/>
      </w:pPr>
      <w:r>
        <w:t>a) Que el propietario de la vivienda sea sujeto pasivo, no exento, obligado al pago del impuesto sobre las viviendas vacías, de acuerdo con lo que establece la ley que regula este impuesto.</w:t>
      </w:r>
    </w:p>
    <w:p w14:paraId="49EC8E6C" w14:textId="77777777" w:rsidR="003754FE" w:rsidRDefault="003754FE" w:rsidP="003754FE">
      <w:pPr>
        <w:pStyle w:val="TextoNormal"/>
      </w:pPr>
    </w:p>
    <w:p w14:paraId="3B3523B2" w14:textId="77777777" w:rsidR="003754FE" w:rsidRDefault="003754FE" w:rsidP="003754FE">
      <w:pPr>
        <w:pStyle w:val="TextoNormal"/>
      </w:pPr>
      <w:r>
        <w:lastRenderedPageBreak/>
        <w:t>b) Que este sujeto pasivo disponga de viviendas vacías en un municipio en el que exista, como mínimo, una unidad familiar en una de las situaciones de riesgo de exclusión residencial definidas por esta ley sin solución en lo que respecta a la vivienda.</w:t>
      </w:r>
    </w:p>
    <w:p w14:paraId="2BE96449" w14:textId="77777777" w:rsidR="003754FE" w:rsidRDefault="003754FE" w:rsidP="003754FE">
      <w:pPr>
        <w:pStyle w:val="TextoNormal"/>
      </w:pPr>
    </w:p>
    <w:p w14:paraId="1201DC79" w14:textId="77777777" w:rsidR="003754FE" w:rsidRDefault="003754FE" w:rsidP="003754FE">
      <w:pPr>
        <w:pStyle w:val="TextoNormal"/>
      </w:pPr>
      <w:r>
        <w:t>c) Que el propietario haya incumplido el requerimiento relativo a la obligación de que la vivienda sea ocupada legalmente para constituir la residencia de las personas, el cual advierte de que, si el propietario no acredita la ocupación de la vivienda en el plazo de un mes, puede declararse el incumplimiento de la función social de la vivienda a efectos de iniciar el procedimiento para la cesión obligatoria en los términos establecidos por este artículo”.</w:t>
      </w:r>
    </w:p>
    <w:p w14:paraId="31C4BA7F" w14:textId="77777777" w:rsidR="003754FE" w:rsidRDefault="003754FE" w:rsidP="003754FE">
      <w:pPr>
        <w:pStyle w:val="TextoNormal"/>
      </w:pPr>
    </w:p>
    <w:p w14:paraId="0C5B4587" w14:textId="77777777" w:rsidR="003754FE" w:rsidRDefault="003754FE" w:rsidP="003754FE">
      <w:pPr>
        <w:pStyle w:val="TextoNormal"/>
      </w:pPr>
      <w:r>
        <w:t xml:space="preserve">La sentencia, para desestimar la inconstitucionalidad de este precepto incide en el hecho de que la modificación que se introduce en el texto original de la Ley 24/2015 tan solo afecta al plazo de cesión obligatoria, que pasa de tres a siete años, y a la letra c), que se introduce </w:t>
      </w:r>
      <w:r w:rsidRPr="003754FE">
        <w:rPr>
          <w:i/>
        </w:rPr>
        <w:t>ex novo</w:t>
      </w:r>
      <w:r>
        <w:t>, y en la afirmación de que en la impugnación del art. 10 (y del art. 1.1), estamos ante quejas “de estricta índole competencial”, a las que ciñe su respuesta.</w:t>
      </w:r>
    </w:p>
    <w:p w14:paraId="6B10B6F5" w14:textId="77777777" w:rsidR="003754FE" w:rsidRDefault="003754FE" w:rsidP="003754FE">
      <w:pPr>
        <w:pStyle w:val="TextoNormal"/>
      </w:pPr>
    </w:p>
    <w:p w14:paraId="0DC84435" w14:textId="77777777" w:rsidR="003754FE" w:rsidRDefault="003754FE" w:rsidP="003754FE">
      <w:pPr>
        <w:pStyle w:val="TextoNormal"/>
      </w:pPr>
      <w:r>
        <w:t>No puedo compartir este planteamiento.</w:t>
      </w:r>
    </w:p>
    <w:p w14:paraId="6D183115" w14:textId="77777777" w:rsidR="003754FE" w:rsidRDefault="003754FE" w:rsidP="003754FE">
      <w:pPr>
        <w:pStyle w:val="TextoNormal"/>
      </w:pPr>
    </w:p>
    <w:p w14:paraId="15AFF057" w14:textId="77777777" w:rsidR="003754FE" w:rsidRDefault="003754FE" w:rsidP="003754FE">
      <w:pPr>
        <w:pStyle w:val="TextoNormal"/>
      </w:pPr>
      <w:r>
        <w:t>De una parte, como se ha señalado, resulta erróneo afirmar que los recurrentes hayan aducido tan solo motivos competenciales y no la vulneración del art. 33 CE. En la demanda, tal y como se recoge en el antecedente 1 A) de la sentencia, en relación con el conjunto de la Ley 1/2022, considera que “restringe desproporcionadamente la facultad de los propietarios para reivindicar su dominio” lo que vulnera, entre otros preceptos, el art. 33 CE. A continuación, en el antecedente 1 B) a) de la sentencia se exponen las quejas de los recurrentes en relación con los arts. 1 y 10 de la Ley 1/2022 entre las que se encuentran las referencias a la “facultad de la administración de resolver la cesión obligatoria de viviendas, sin compensación adecuada”, respecto a la cual se recoge la afirmación de que “la Ley 1/2022 incide materialmente en el derecho privado, pues regula el contenido de un derecho patrimonial”. Termina este apartado, dice la sentencia, con referencia a “la STC 16/2021, de 28 de enero, FJ 5, según la cual el destino de la vivienda de forma efectiva al uso habitacional ‘forma parte del contenido esencial de propiedad de la vivienda’”. En suma, “las consecuencias derivadas del incumplimiento de la función social de la propiedad privada, y otros aspectos, tal como se han delimitado en los arts. 1.1 y 10 de la Ley 1/2022, suponen una infracción del art. 149.1.1, en conexión con los arts. 149.1.8 y 33 CE”.</w:t>
      </w:r>
    </w:p>
    <w:p w14:paraId="4077B40D" w14:textId="77777777" w:rsidR="003754FE" w:rsidRDefault="003754FE" w:rsidP="003754FE">
      <w:pPr>
        <w:pStyle w:val="TextoNormal"/>
      </w:pPr>
    </w:p>
    <w:p w14:paraId="41EA494F" w14:textId="77777777" w:rsidR="003754FE" w:rsidRDefault="003754FE" w:rsidP="003754FE">
      <w:pPr>
        <w:pStyle w:val="TextoNormal"/>
      </w:pPr>
      <w:r>
        <w:t>De las alegaciones formuladas en la demanda, y que recoge la sentencia, se puede colegir que, aunque la mayor parte de las vulneraciones aducidas en este recurso sean motivos competenciales, también se ha alegado la vulneración del art. 33 CE a la que, como he señalado, la sentencia tenía que haber dado respuesta. Y la respuesta era la declaración de inconstitucionalidad del precepto, por lo que expondré a continuación.</w:t>
      </w:r>
    </w:p>
    <w:p w14:paraId="4DD25824" w14:textId="77777777" w:rsidR="003754FE" w:rsidRDefault="003754FE" w:rsidP="003754FE">
      <w:pPr>
        <w:pStyle w:val="TextoNormal"/>
      </w:pPr>
    </w:p>
    <w:p w14:paraId="479D607E" w14:textId="77777777" w:rsidR="003754FE" w:rsidRDefault="003754FE" w:rsidP="003754FE">
      <w:pPr>
        <w:pStyle w:val="TextoNormal"/>
      </w:pPr>
      <w:r>
        <w:t xml:space="preserve">La cesión obligatoria no es sino una expropiación temporal al propietario de su derecho de uso y disposición sobre la vivienda, o, como dice la sentencia, una previsión similar a la expropiación de las facultades de uso y disfrute, por lo que habría que haber tenido en cuenta que “[l]a segunda garantía que establece el art. 33.3 de la Constitución es la mediación de la ‘correspondiente indemnización’” y que “lo que garantiza la Constitución es el razonable equilibrio entre el daño expropiatorio y su reparación” [STC 166/1986, de 19 de diciembre, </w:t>
      </w:r>
      <w:r>
        <w:lastRenderedPageBreak/>
        <w:t>FJ 13 B)]. La sentencia, sin embargo, no analiza si la cesión tiene una compensación adecuada.</w:t>
      </w:r>
    </w:p>
    <w:p w14:paraId="387B6993" w14:textId="77777777" w:rsidR="003754FE" w:rsidRDefault="003754FE" w:rsidP="003754FE">
      <w:pPr>
        <w:pStyle w:val="TextoNormal"/>
      </w:pPr>
    </w:p>
    <w:p w14:paraId="13731493" w14:textId="77777777" w:rsidR="003754FE" w:rsidRDefault="003754FE" w:rsidP="003754FE">
      <w:pPr>
        <w:pStyle w:val="TextoNormal"/>
      </w:pPr>
      <w:r>
        <w:t>Como explica la sentencia, las condiciones en las que se realizará la cesión, entre ellas las económicas, se establecen en preceptos que no han sido objeto de modificación por la Ley 1/2022, por lo que “por lo que su enjuiciamiento se encuentra vedado en el presente recurso de inconstitucionalidad”. Pero ello no significa que, a la hora de enjuiciar la regulación de la cesión obligatoria prevista en el art. 7.1 de la Ley 24/2015, en la redacción dada por el art. 10 de la Ley 1/2022, objeto del recurso de inconstitucionalidad, el Tribunal Constitucional tenga que limitarse al análisis del contenido de este precepto. Al contrario, en dicho análisis ha de tener en cuenta lo que establece la Ley 24/2015, en la que se inserta la modificación para poder determinar su alcance. Y no se puede entender que las medidas económicas que están previstas en la Ley 24/2015 garanticen ese razonable equilibrio.</w:t>
      </w:r>
    </w:p>
    <w:p w14:paraId="45B7AD36" w14:textId="77777777" w:rsidR="003754FE" w:rsidRDefault="003754FE" w:rsidP="003754FE">
      <w:pPr>
        <w:pStyle w:val="TextoNormal"/>
      </w:pPr>
    </w:p>
    <w:p w14:paraId="326738AA" w14:textId="77777777" w:rsidR="003754FE" w:rsidRDefault="003754FE" w:rsidP="003754FE">
      <w:pPr>
        <w:pStyle w:val="TextoNormal"/>
      </w:pPr>
      <w:r>
        <w:t>Consecuentemente, se puede entender que, dado que la regulación de la cesión obligatoria solo es constitucional si se prevé una compensación adecuada en los términos a los que se ha hecho referencia y esta no está prevista en la ley, la introducción de la cesión obligatoria por el plazo de siete años sería contraria al art. 33 CE.</w:t>
      </w:r>
    </w:p>
    <w:p w14:paraId="34F07ED8" w14:textId="77777777" w:rsidR="003754FE" w:rsidRDefault="003754FE" w:rsidP="003754FE">
      <w:pPr>
        <w:pStyle w:val="TextoNormal"/>
      </w:pPr>
    </w:p>
    <w:p w14:paraId="51052A7E" w14:textId="77777777" w:rsidR="003754FE" w:rsidRDefault="003754FE" w:rsidP="003754FE">
      <w:pPr>
        <w:pStyle w:val="TextoNormal"/>
      </w:pPr>
      <w:r>
        <w:t>Por lo expuesto, formulo el presente voto particular.</w:t>
      </w:r>
    </w:p>
    <w:p w14:paraId="6D245139" w14:textId="77777777" w:rsidR="003754FE" w:rsidRDefault="003754FE" w:rsidP="003754FE">
      <w:pPr>
        <w:pStyle w:val="TextoNormal"/>
      </w:pPr>
    </w:p>
    <w:p w14:paraId="16CDEF72" w14:textId="141D3F6A" w:rsidR="003754FE" w:rsidRDefault="003754FE" w:rsidP="003754FE">
      <w:pPr>
        <w:pStyle w:val="TextoNormal"/>
      </w:pPr>
      <w:r>
        <w:t>Madrid, a ocho de octubre de dos mil veinticuatro.</w:t>
      </w:r>
    </w:p>
    <w:p w14:paraId="15321879" w14:textId="77777777" w:rsidR="003754FE" w:rsidRDefault="003754FE" w:rsidP="003754FE">
      <w:pPr>
        <w:pStyle w:val="TextoNormal"/>
      </w:pPr>
    </w:p>
    <w:p w14:paraId="20304B6B" w14:textId="77777777" w:rsidR="003754FE" w:rsidRDefault="003754FE" w:rsidP="003754FE">
      <w:pPr>
        <w:pStyle w:val="TextoNormalNegritaCentrado"/>
        <w:keepNext/>
      </w:pPr>
      <w:r>
        <w:t>Voto particular que formula el magistrado don César Tolosa Tribiño a la sentencia dictada por el Pleno en el recurso de inconstitucionalidad núm. 3955-2022, interpuesto por más de cincuenta diputados del Grupo Parlamentario Popular en el Congreso de los Diputados contra la Ley 1/2022, de 3 de marzo, del Parlamento de Cataluña, que modifica las Leyes 18/2007, 24/2015 y 4/2016, para afrontar la emergencia en el ámbito de la vivienda</w:t>
      </w:r>
    </w:p>
    <w:p w14:paraId="12E736E2" w14:textId="3C8A4971" w:rsidR="003754FE" w:rsidRDefault="003754FE" w:rsidP="003754FE">
      <w:pPr>
        <w:pStyle w:val="TextoNormalNegritaCentrado"/>
        <w:keepNext/>
      </w:pPr>
    </w:p>
    <w:p w14:paraId="2EEAA2A6" w14:textId="77777777" w:rsidR="003754FE" w:rsidRDefault="003754FE" w:rsidP="003754FE">
      <w:pPr>
        <w:pStyle w:val="TextoNormal"/>
      </w:pPr>
      <w:r>
        <w:t>En el ejercicio de la facultad conferida por el artículo 90.2 LOTC y con respeto a la opinión del resto de magistrados que han mostrado su conformidad con la sentencia, formuló el presente voto particular al considerar necesario exponer mi discrepancia con la parte de la argumentación de la sentencia y el fallo de esta que descarta la infracción del art. 149.1.1 CE.</w:t>
      </w:r>
    </w:p>
    <w:p w14:paraId="7C6A6150" w14:textId="77777777" w:rsidR="003754FE" w:rsidRDefault="003754FE" w:rsidP="003754FE">
      <w:pPr>
        <w:pStyle w:val="TextoNormal"/>
      </w:pPr>
    </w:p>
    <w:p w14:paraId="3F5AE5C8" w14:textId="77777777" w:rsidR="003754FE" w:rsidRDefault="003754FE" w:rsidP="003754FE">
      <w:pPr>
        <w:pStyle w:val="TextoNormal"/>
      </w:pPr>
      <w:r>
        <w:t xml:space="preserve">Previo. </w:t>
      </w:r>
      <w:r w:rsidRPr="003754FE">
        <w:rPr>
          <w:i/>
        </w:rPr>
        <w:t>Síntesis de las razones de la discrepancia</w:t>
      </w:r>
    </w:p>
    <w:p w14:paraId="06C7EDA7" w14:textId="77777777" w:rsidR="003754FE" w:rsidRDefault="003754FE" w:rsidP="003754FE">
      <w:pPr>
        <w:pStyle w:val="TextoNormal"/>
      </w:pPr>
    </w:p>
    <w:p w14:paraId="39C42D71" w14:textId="77777777" w:rsidR="003754FE" w:rsidRDefault="003754FE" w:rsidP="003754FE">
      <w:pPr>
        <w:pStyle w:val="TextoNormal"/>
      </w:pPr>
      <w:r>
        <w:t>Advierto que el fundamento jurídico 3 de la sentencia que resuelve el recurso de inconstitucionalidad núm. 3955-2022, interpuesto por más de cincuenta diputados del Grupo Parlamentario Popular en el Congreso de los Diputados, al resolver la impugnación basada en el art. 149.1.1 CE, no efectúa un verdadero análisis de la compatibilidad entre la Ley estatal 12/2023, de 24 de mayo, por el derecho a la vivienda y la norma autonómica impugnada.</w:t>
      </w:r>
    </w:p>
    <w:p w14:paraId="25A305F9" w14:textId="77777777" w:rsidR="003754FE" w:rsidRDefault="003754FE" w:rsidP="003754FE">
      <w:pPr>
        <w:pStyle w:val="TextoNormal"/>
      </w:pPr>
    </w:p>
    <w:p w14:paraId="3881BEA2" w14:textId="77777777" w:rsidR="003754FE" w:rsidRDefault="003754FE" w:rsidP="003754FE">
      <w:pPr>
        <w:pStyle w:val="TextoNormal"/>
      </w:pPr>
      <w:r>
        <w:t xml:space="preserve">Realizado ese contraste debo concluir que la distancia e incompatibilidad entre el modelo adoptado por la Ley 1/2022 y el modelo estatal previsto en la Ley 12/2023 es la misma que </w:t>
      </w:r>
      <w:r>
        <w:lastRenderedPageBreak/>
        <w:t>la que existe entre la actuación administrativa de limitación y sancionadora con la actividad administrativa de fomento y en conclusión se infringe el art. 149.1.1 CE.</w:t>
      </w:r>
    </w:p>
    <w:p w14:paraId="61E758B9" w14:textId="77777777" w:rsidR="003754FE" w:rsidRDefault="003754FE" w:rsidP="003754FE">
      <w:pPr>
        <w:pStyle w:val="TextoNormal"/>
      </w:pPr>
    </w:p>
    <w:p w14:paraId="17FD8631" w14:textId="77777777" w:rsidR="003754FE" w:rsidRDefault="003754FE" w:rsidP="003754FE">
      <w:pPr>
        <w:pStyle w:val="TextoNormal"/>
      </w:pPr>
      <w:r>
        <w:t>En efecto, la ley estatal establece —y esa es su pretensión— un marco de referencia básico y homogéneo, frente a la heterogénea y dispar normativa autonómica. Dicha regulación, con las salvedades que afectan a las modificaciones de la Ley de enjuiciamiento civil y de la Ley de arrendamientos urbanos, residencia en los poderes públicos el deber y la responsabilidad de asegurar el derecho de acceso a la vivienda en condiciones de igualdad en todo el territorio nacional (arts. 149.1.1 y 139.1 CE). La ley estatal hace compatible el logro de dicho deber y finalidad con el respeto al haz de facultades que integran el derecho de propiedad, su función social y la planificación económica del subsector de vivienda. De este modo —al optar por la actuación administrativa de fomento— logra mantener inversiones fundamentales desde el punto de vista de la actividad económica general (art. 149.1.13 CE). A tal fin la Ley 12/2023 se sustenta a largo plazo en la presupuestación de fondos para incrementar el parque de viviendas sociales a precio inferior al de mercado y, a corto plazo, en la previsión de ayudas directas que permitan alcanzar el objetivo de acceso a la vivienda. La ley estatal instrumentaliza de este modo acciones de fomento, de incentivo y desincentivo fiscal, con el objetivo de incrementar el parque de vivienda público y privado, preservando la seguridad de los propietarios a decidir el destino de su propiedad y evitando la intervención en el mercado con medidas que pueden desincentivar la inversión en vivienda.</w:t>
      </w:r>
    </w:p>
    <w:p w14:paraId="6AC93EC0" w14:textId="77777777" w:rsidR="003754FE" w:rsidRDefault="003754FE" w:rsidP="003754FE">
      <w:pPr>
        <w:pStyle w:val="TextoNormal"/>
      </w:pPr>
    </w:p>
    <w:p w14:paraId="6E5DAD56" w14:textId="77777777" w:rsidR="003754FE" w:rsidRDefault="003754FE" w:rsidP="003754FE">
      <w:pPr>
        <w:pStyle w:val="TextoNormal"/>
      </w:pPr>
      <w:r>
        <w:t>Sin embargo, las modificaciones introducidas por la Ley 1/2022 desplazan el deber y la responsabilidad de los poderes públicos de facilitar el acceso a la vivienda y lo trasladan a los propietarios de las viviendas. La ley catalana introduce como deber principal de los propietarios de viviendas el de su ocupación con título lo que supone una interferencia y a la postre la inoperancia del diseño estatal. Esto es, el diseño autonómico necesariamente incide en el normal funcionamiento del mercado, en un subsector muy sensible a los cambios normativos. La ley 1/2022 ocasiona necesariamente un retraimiento de la inversión y por tanto de la construcción de nuevas viviendas a largo plazo, contraviniendo de este modo uno de los objetivos de la ley estatal. La ley impugnada interfiere en el diseño estatal con el que se pretende garantizar la igualdad en todo el territorio nacional del derecho de acceso a la vivienda y del derecho de propiedad de la misma, a través de medidas que pretenden aumentar el parque público y privado de vivienda. La legislación estatal no faculta la cesión y/o expropiación forzosa de las viviendas desocupadas, ni vertebra, a diferencia de la legislación catalana, un deber de ocupación de la vivienda como la piedra angular con la que garantizar el derecho de acceso a la vivienda (art. 47 CE) asegurado por la actividad sancionadora de la administración pública.</w:t>
      </w:r>
    </w:p>
    <w:p w14:paraId="2A080694" w14:textId="77777777" w:rsidR="003754FE" w:rsidRDefault="003754FE" w:rsidP="003754FE">
      <w:pPr>
        <w:pStyle w:val="TextoNormal"/>
      </w:pPr>
    </w:p>
    <w:p w14:paraId="109F6D1D" w14:textId="77777777" w:rsidR="003754FE" w:rsidRDefault="003754FE" w:rsidP="003754FE">
      <w:pPr>
        <w:pStyle w:val="TextoNormal"/>
      </w:pPr>
      <w:r>
        <w:t>Procederé a desarrollar a continuación el motivo de dicha discrepancia con la sentencia a la que formulo el presente voto particular.</w:t>
      </w:r>
    </w:p>
    <w:p w14:paraId="0C390F6E" w14:textId="77777777" w:rsidR="003754FE" w:rsidRDefault="003754FE" w:rsidP="003754FE">
      <w:pPr>
        <w:pStyle w:val="TextoNormal"/>
      </w:pPr>
    </w:p>
    <w:p w14:paraId="3161743B" w14:textId="77777777" w:rsidR="003754FE" w:rsidRDefault="003754FE" w:rsidP="003754FE">
      <w:pPr>
        <w:pStyle w:val="TextoNormal"/>
      </w:pPr>
      <w:r>
        <w:t xml:space="preserve">1. </w:t>
      </w:r>
      <w:r w:rsidRPr="003754FE">
        <w:rPr>
          <w:i/>
        </w:rPr>
        <w:t>Sobre la necesidad de contrastar el modelo estatal y el autonómico establecidos respectivamente en la Ley estatal 12/2023 y en la ley autonómica 1/2022</w:t>
      </w:r>
    </w:p>
    <w:p w14:paraId="6A7E5D1B" w14:textId="77777777" w:rsidR="003754FE" w:rsidRDefault="003754FE" w:rsidP="003754FE">
      <w:pPr>
        <w:pStyle w:val="TextoNormal"/>
      </w:pPr>
    </w:p>
    <w:p w14:paraId="3A66D7CD" w14:textId="77777777" w:rsidR="003754FE" w:rsidRDefault="003754FE" w:rsidP="003754FE">
      <w:pPr>
        <w:pStyle w:val="TextoNormal"/>
      </w:pPr>
      <w:r>
        <w:t xml:space="preserve">Este tribunal ha venido afirmando que en tanto el Estado no haya dictado una legislación reguladora del derecho a la vivienda “resultará sumamente difícil atribuir a la legislación autonómica una invasión competencial” [STC 16/2018, de 22 de febrero, FJ 8 a); doctrina </w:t>
      </w:r>
      <w:r>
        <w:lastRenderedPageBreak/>
        <w:t>reiterada por las SSTC 32/2018, de 12 de abril, FJ 8; 43/2018, de 26 de abril, FJ 5, u 80/2018, de 5 de julio, FJ 4]. Afirmación que ha servido para desestimar la infracción del art. 149.1.1 CE por determinadas normas autonómicas de acceso a la vivienda.</w:t>
      </w:r>
    </w:p>
    <w:p w14:paraId="232C5B10" w14:textId="77777777" w:rsidR="003754FE" w:rsidRDefault="003754FE" w:rsidP="003754FE">
      <w:pPr>
        <w:pStyle w:val="TextoNormal"/>
      </w:pPr>
    </w:p>
    <w:p w14:paraId="0B706F53" w14:textId="77777777" w:rsidR="003754FE" w:rsidRDefault="003754FE" w:rsidP="003754FE">
      <w:pPr>
        <w:pStyle w:val="TextoNormal"/>
      </w:pPr>
      <w:r>
        <w:t>Esta situación “finalizó con la aprobación de la Ley 12/2023”, de 24 de mayo —así lo indica la STC 79/2024, de 21 de mayo por el derecho a la vivienda— sin embargo, atendida la argumentación de la sentencia de la que discrepo, no parece que esa situación haya cambiado.</w:t>
      </w:r>
    </w:p>
    <w:p w14:paraId="7ECF37D8" w14:textId="77777777" w:rsidR="003754FE" w:rsidRDefault="003754FE" w:rsidP="003754FE">
      <w:pPr>
        <w:pStyle w:val="TextoNormal"/>
      </w:pPr>
    </w:p>
    <w:p w14:paraId="0F18CC3E" w14:textId="77777777" w:rsidR="003754FE" w:rsidRDefault="003754FE" w:rsidP="003754FE">
      <w:pPr>
        <w:pStyle w:val="TextoNormal"/>
      </w:pPr>
      <w:r>
        <w:t>Esto es, pese a los objetivos que la Ley 12/2023 pretende alcanzar —de la que nos hemos hecho eco en la STC 79/2024—: establecer las condiciones básicas del derecho a la vivienda y una regulación básica de los derechos y deberes de los ciudadanos en relación con la vivienda, su existencia en nada parece afectar a la legislación autonómica enjuiciada.</w:t>
      </w:r>
    </w:p>
    <w:p w14:paraId="116AF3D7" w14:textId="77777777" w:rsidR="003754FE" w:rsidRDefault="003754FE" w:rsidP="003754FE">
      <w:pPr>
        <w:pStyle w:val="TextoNormal"/>
      </w:pPr>
    </w:p>
    <w:p w14:paraId="7033BF03" w14:textId="77777777" w:rsidR="003754FE" w:rsidRDefault="003754FE" w:rsidP="003754FE">
      <w:pPr>
        <w:pStyle w:val="TextoNormal"/>
      </w:pPr>
      <w:r>
        <w:t>En efecto, la sentencia —frente a la que expreso mi discrepancia— se hace eco de la aprobación de la referida ley estatal y de su enjuiciamiento constitucional por la reciente STC 79/2024, sin embargo, al efectuar el obligado contraste entre la norma estatal y la autonómica se limita a afirmar que “se trata de un modelo perfectamente compatible con el que establece la Ley 1/2022, que dispone medidas de refuerzo urgentes para evitar la inminente pérdida de la vivienda habitual de miles de familias en Cataluña, fundamentalmente, mediante alquileres sociales”.</w:t>
      </w:r>
    </w:p>
    <w:p w14:paraId="38583388" w14:textId="77777777" w:rsidR="003754FE" w:rsidRDefault="003754FE" w:rsidP="003754FE">
      <w:pPr>
        <w:pStyle w:val="TextoNormal"/>
      </w:pPr>
    </w:p>
    <w:p w14:paraId="4DDD1088" w14:textId="77777777" w:rsidR="003754FE" w:rsidRDefault="003754FE" w:rsidP="003754FE">
      <w:pPr>
        <w:pStyle w:val="TextoNormal"/>
      </w:pPr>
      <w:r>
        <w:t>Considero que dicho juicio es insuficiente al no venir precedido de un examen del modelo estatal y del modelo autonómico, así como de su compatibilidad.</w:t>
      </w:r>
    </w:p>
    <w:p w14:paraId="2C4961B0" w14:textId="77777777" w:rsidR="003754FE" w:rsidRDefault="003754FE" w:rsidP="003754FE">
      <w:pPr>
        <w:pStyle w:val="TextoNormal"/>
      </w:pPr>
    </w:p>
    <w:p w14:paraId="6DED913E" w14:textId="77777777" w:rsidR="003754FE" w:rsidRDefault="003754FE" w:rsidP="003754FE">
      <w:pPr>
        <w:pStyle w:val="TextoNormal"/>
      </w:pPr>
      <w:r>
        <w:t>Es por ello obligado examinar cual ha sido el objetivo del Estado al aprobar la ley y cuáles son los elementos vertebradores del marco normativo estatal a través de los cuales se ha pretendió proteger los derechos concernidos, esto es, cuáles son las “posiciones jurídicas fundamentales” que el Estado establece al regular el derecho de acceso a la vivienda (art. 47 CE) y el derecho a la propiedad de la misma (art. 33 CE). Solo así podremos estar en disposición de poder enjuiciar, previo análisis del diseño autonómico, la compatibilidad o no de ambas regulaciones, lo que obliga a un esfuerzo argumental que permitirá suplir la ausencia de razonamiento que advierto en la sentencia.</w:t>
      </w:r>
    </w:p>
    <w:p w14:paraId="1FE91953" w14:textId="77777777" w:rsidR="003754FE" w:rsidRDefault="003754FE" w:rsidP="003754FE">
      <w:pPr>
        <w:pStyle w:val="TextoNormal"/>
      </w:pPr>
    </w:p>
    <w:p w14:paraId="7E1FC58F" w14:textId="77777777" w:rsidR="003754FE" w:rsidRDefault="003754FE" w:rsidP="003754FE">
      <w:pPr>
        <w:pStyle w:val="TextoNormal"/>
      </w:pPr>
      <w:r>
        <w:t xml:space="preserve">2. </w:t>
      </w:r>
      <w:r w:rsidRPr="003754FE">
        <w:rPr>
          <w:i/>
        </w:rPr>
        <w:t>Acerca de los objetivos del modelo estatal del derecho a la vivienda</w:t>
      </w:r>
    </w:p>
    <w:p w14:paraId="06ECC822" w14:textId="77777777" w:rsidR="003754FE" w:rsidRDefault="003754FE" w:rsidP="003754FE">
      <w:pPr>
        <w:pStyle w:val="TextoNormal"/>
      </w:pPr>
    </w:p>
    <w:p w14:paraId="5883AADA" w14:textId="77777777" w:rsidR="003754FE" w:rsidRDefault="003754FE" w:rsidP="003754FE">
      <w:pPr>
        <w:pStyle w:val="TextoNormal"/>
      </w:pPr>
      <w:r>
        <w:t>La inexistencia de norma estatal en materia de vivienda, por la que el Estado regulase —en virtud de títulos competenciales propios— las condiciones básicas y de igualdad que garantizaran un tratamiento uniforme del derecho a la vivienda digna y adecuada, fue advertida también por la Ley estatal 12/2023 haciéndose a tal efecto eco de los pronunciamientos de este tribunal.</w:t>
      </w:r>
    </w:p>
    <w:p w14:paraId="45889DD5" w14:textId="77777777" w:rsidR="003754FE" w:rsidRDefault="003754FE" w:rsidP="003754FE">
      <w:pPr>
        <w:pStyle w:val="TextoNormal"/>
      </w:pPr>
    </w:p>
    <w:p w14:paraId="390D9A8A" w14:textId="77777777" w:rsidR="003754FE" w:rsidRDefault="003754FE" w:rsidP="003754FE">
      <w:pPr>
        <w:pStyle w:val="TextoNormal"/>
      </w:pPr>
      <w:r>
        <w:t xml:space="preserve">En su exposición de motivos considera imprescindible —y una de las misiones que dicha ley pretende— establecer “un marco </w:t>
      </w:r>
      <w:r w:rsidRPr="003754FE">
        <w:rPr>
          <w:i/>
        </w:rPr>
        <w:t>normativo coherente, estable y seguro</w:t>
      </w:r>
      <w:r>
        <w:t xml:space="preserve"> que haga posible la realidad del derecho reconocido en el artículo 47 CE en ejecución de las medidas, acciones, planes y programas correspondientes y la igualdad básica de todos los españoles en relación con dicho derecho”.</w:t>
      </w:r>
    </w:p>
    <w:p w14:paraId="295A7EB4" w14:textId="77777777" w:rsidR="003754FE" w:rsidRDefault="003754FE" w:rsidP="003754FE">
      <w:pPr>
        <w:pStyle w:val="TextoNormal"/>
      </w:pPr>
    </w:p>
    <w:p w14:paraId="76E7535C" w14:textId="77777777" w:rsidR="003754FE" w:rsidRDefault="003754FE" w:rsidP="003754FE">
      <w:pPr>
        <w:pStyle w:val="TextoNormal"/>
      </w:pPr>
      <w:r>
        <w:lastRenderedPageBreak/>
        <w:t>La Ley 12/2023 se ampara por una parte —además de en otros títulos (arts. 149.1.6, 8, 11, 14, 23 y 25 CE)—: (i) en la competencia estatal relativa a la planificación general de la actividad económica, en concreto el establecimiento de bases y coordinación de esta planificación (art. 149.1.13 CE), atendida la importancia del sector de construcción de viviendas en la economía española y la disfuncionalidad que podría ocasionarse en dicho ámbito a la vista de la interdependencia de las actuaciones en materia de vivienda en las distintas partes del territorio; y, (ii) en la competencia prevista en el art. 149.1.1 CE para regular las condiciones básicas que garanticen la igualdad de todos los españoles en el ejercicio de los derechos y en el cumplimiento de los deberes constitucionales, en relación con el derecho de propiedad de la vivienda.</w:t>
      </w:r>
    </w:p>
    <w:p w14:paraId="7CB451DB" w14:textId="77777777" w:rsidR="003754FE" w:rsidRDefault="003754FE" w:rsidP="003754FE">
      <w:pPr>
        <w:pStyle w:val="TextoNormal"/>
      </w:pPr>
    </w:p>
    <w:p w14:paraId="6DB9A267" w14:textId="77777777" w:rsidR="003754FE" w:rsidRDefault="003754FE" w:rsidP="003754FE">
      <w:pPr>
        <w:pStyle w:val="TextoNormal"/>
      </w:pPr>
      <w:r>
        <w:t xml:space="preserve">La Ley 12/2023, sobre la base de tales competencias, “busca el establecimiento de una </w:t>
      </w:r>
      <w:r w:rsidRPr="003754FE">
        <w:rPr>
          <w:i/>
        </w:rPr>
        <w:t>regulación homogénea de los aspectos más esenciales de las políticas de vivienda</w:t>
      </w:r>
      <w:r>
        <w:t xml:space="preserve"> que tanto afectan, como se ha señalado, no solo a la satisfacción del propio derecho de acceso a la vivienda, sino también a la de otros derechos constitucionales y a la actividad económica del país.”. Y, a tal fin, diseña el marco mediante el cual pretende proteger el derecho de acceso a una vivienda digna y adecuada y el derecho a la propiedad privada y preservar la actividad económica general, dada la importancia que tiene la construcción de viviendas como motor de nuestra economía.</w:t>
      </w:r>
    </w:p>
    <w:p w14:paraId="3A8A35C2" w14:textId="77777777" w:rsidR="003754FE" w:rsidRDefault="003754FE" w:rsidP="003754FE">
      <w:pPr>
        <w:pStyle w:val="TextoNormal"/>
      </w:pPr>
    </w:p>
    <w:p w14:paraId="0CA9538D" w14:textId="77777777" w:rsidR="003754FE" w:rsidRDefault="003754FE" w:rsidP="003754FE">
      <w:pPr>
        <w:pStyle w:val="TextoNormal"/>
      </w:pPr>
      <w:r>
        <w:t>La norma pretende: (i) “[e]stablecer una regulación básica de los derechos y deberes de los ciudadanos en relación con la vivienda, así como de los asociados a la propiedad de vivienda, aplicable a todo el territorio nacional”; y (ii) “[f]acilitar el acceso a una vivienda digna y adecuada a las personas que tienen dificultades para acceder a una vivienda en condiciones de mercado, prestando especial atención a jóvenes y colectivos vulnerables y favoreciendo la existencia de una oferta a precios asequibles y adaptada a las realidades de los ámbitos urbanos y rurales”.</w:t>
      </w:r>
    </w:p>
    <w:p w14:paraId="5B22FF35" w14:textId="77777777" w:rsidR="003754FE" w:rsidRDefault="003754FE" w:rsidP="003754FE">
      <w:pPr>
        <w:pStyle w:val="TextoNormal"/>
      </w:pPr>
    </w:p>
    <w:p w14:paraId="1FEBF1EF" w14:textId="77777777" w:rsidR="003754FE" w:rsidRDefault="003754FE" w:rsidP="003754FE">
      <w:pPr>
        <w:pStyle w:val="TextoNormal"/>
      </w:pPr>
      <w:r>
        <w:t xml:space="preserve">La exposición de motivos apunta que, en el título I, se regulan “aspectos esenciales del derecho constitucional a una vivienda digna y adecuada”, y “el régimen jurídico básico del derecho de propiedad de la vivienda”, definiendo las facultades y deberes que comporta. La norma enfatiza la necesidad de determinar por el Estado, “la </w:t>
      </w:r>
      <w:r w:rsidRPr="003754FE">
        <w:rPr>
          <w:i/>
        </w:rPr>
        <w:t>definición de los derechos y deberes básicos del propietario de vivienda</w:t>
      </w:r>
      <w:r>
        <w:t>, como el de uso y disfrute de la misma, de manera efectiva”. De este modo “la ley establece un estatuto de derechos y deberes de los propietarios de vivienda que atiende a las características de la propia vivienda y el edificio en que se enclava, del entorno urbano o rural y a las particularidades del titular del inmueble, aspectos todos ellos que inciden en la salvaguarda de la función social que debe ser inherente a la vivienda”.</w:t>
      </w:r>
    </w:p>
    <w:p w14:paraId="44B34CA3" w14:textId="77777777" w:rsidR="003754FE" w:rsidRDefault="003754FE" w:rsidP="003754FE">
      <w:pPr>
        <w:pStyle w:val="TextoNormal"/>
      </w:pPr>
    </w:p>
    <w:p w14:paraId="643BC4C6" w14:textId="77777777" w:rsidR="003754FE" w:rsidRDefault="003754FE" w:rsidP="003754FE">
      <w:pPr>
        <w:pStyle w:val="TextoNormal"/>
      </w:pPr>
      <w:r>
        <w:t>En fin, el modelo estatal, en aras salvaguardar la función social que la vivienda debe satisfacer, pretende establecer las posiciones jurídicas fundamentales que permitan compatibilizar las medidas tendentes a facilitar el derecho de acceso a la vivienda digna y adecuada, con la protección del derecho de los propietarios de las viviendas —definiendo su estatuto básico—, preservando la actividad económica.</w:t>
      </w:r>
    </w:p>
    <w:p w14:paraId="5A65906F" w14:textId="77777777" w:rsidR="003754FE" w:rsidRDefault="003754FE" w:rsidP="003754FE">
      <w:pPr>
        <w:pStyle w:val="TextoNormal"/>
      </w:pPr>
    </w:p>
    <w:p w14:paraId="75571BDC" w14:textId="77777777" w:rsidR="003754FE" w:rsidRDefault="003754FE" w:rsidP="003754FE">
      <w:pPr>
        <w:pStyle w:val="TextoNormal"/>
      </w:pPr>
      <w:r>
        <w:t xml:space="preserve">3. </w:t>
      </w:r>
      <w:r w:rsidRPr="003754FE">
        <w:rPr>
          <w:i/>
        </w:rPr>
        <w:t>Medidas definitorias del modelo estatal de acceso a la vivienda</w:t>
      </w:r>
    </w:p>
    <w:p w14:paraId="63D39DC4" w14:textId="77777777" w:rsidR="003754FE" w:rsidRDefault="003754FE" w:rsidP="003754FE">
      <w:pPr>
        <w:pStyle w:val="TextoNormal"/>
      </w:pPr>
    </w:p>
    <w:p w14:paraId="79FA0C48" w14:textId="77777777" w:rsidR="003754FE" w:rsidRDefault="003754FE" w:rsidP="003754FE">
      <w:pPr>
        <w:pStyle w:val="TextoNormal"/>
      </w:pPr>
      <w:r>
        <w:lastRenderedPageBreak/>
        <w:t>Precisados los objetivos de la norma debemos ahora detenernos en las medidas de acción pública disciplinadas en la Ley 12/2023 a través de las cuales el Estado pretende modular el estatuto básico del propietario de viviendas con el fin de alcanzar el objetivo de garantizar —en condiciones de igualdad en todo el territorio nacional— el derecho de acceso a una vivienda, favoreciendo la existencia de una oferta a precios asequibles y sin menoscabo de la actividad económica.</w:t>
      </w:r>
    </w:p>
    <w:p w14:paraId="4C1609C2" w14:textId="77777777" w:rsidR="003754FE" w:rsidRDefault="003754FE" w:rsidP="003754FE">
      <w:pPr>
        <w:pStyle w:val="TextoNormal"/>
      </w:pPr>
    </w:p>
    <w:p w14:paraId="628CA336" w14:textId="77777777" w:rsidR="003754FE" w:rsidRDefault="003754FE" w:rsidP="003754FE">
      <w:pPr>
        <w:pStyle w:val="TextoNormal"/>
      </w:pPr>
      <w:r>
        <w:t>Es irrelevante, a estos efectos, afirmar la coincidencia de objetivos entre la ley estatal y autonómica, a los que se refiere la sentencia de la que discrepo. Lo determinante es identificar, a través de las medidas adoptadas, los criterios que permiten definir el modelo estatal —sus condiciones básicas— mediante el cual se pretende conciliar la protección del derecho de acceso a la vivienda con el derecho de los propietarios de viviendas y la preservación de la actividad económica general de las medidas adoptadas (arts. 149.1.1 y 13 CE).</w:t>
      </w:r>
    </w:p>
    <w:p w14:paraId="628FFC27" w14:textId="77777777" w:rsidR="003754FE" w:rsidRDefault="003754FE" w:rsidP="003754FE">
      <w:pPr>
        <w:pStyle w:val="TextoNormal"/>
      </w:pPr>
    </w:p>
    <w:p w14:paraId="5C342BE3" w14:textId="77777777" w:rsidR="003754FE" w:rsidRDefault="003754FE" w:rsidP="003754FE">
      <w:pPr>
        <w:pStyle w:val="TextoNormal"/>
      </w:pPr>
      <w:r>
        <w:t>Solo entonces estaremos en condiciones de indicar si la regulación autonómica de acceso a la vivienda introduce modificaciones de índole social o correcciones meramente técnicas en el ejercicio de sus competencias en materia de vivienda, o, por el contrario, las variaciones efectuadas ocasionan interferencias o lastran y suponen un obstáculo para el desarrollo del modelo estatal, al desconocer los condicionamientos normativos previstos para asegurar la igualdad sustancial de derechos y deberes de todos los españoles.</w:t>
      </w:r>
    </w:p>
    <w:p w14:paraId="71EF7B28" w14:textId="77777777" w:rsidR="003754FE" w:rsidRDefault="003754FE" w:rsidP="003754FE">
      <w:pPr>
        <w:pStyle w:val="TextoNormal"/>
      </w:pPr>
    </w:p>
    <w:p w14:paraId="27205B7E" w14:textId="77777777" w:rsidR="003754FE" w:rsidRDefault="003754FE" w:rsidP="003754FE">
      <w:pPr>
        <w:pStyle w:val="TextoNormal"/>
      </w:pPr>
      <w:r>
        <w:t>No se trata de una comparación de preceptos aislados, como pudiera desprenderse de la sentencia, sino del modo en el que se afronta por el Estado, en el marco de sus competencias (art. 149.1.1 y 13 CE), el objetivo de proteger el acceso a la vivienda con los derechos de los propietarios y la preservación de la actividad económica general en la que la construcción de viviendas tiene un peso importante. Procederé a continuación a examinar los instrumentos y medidas a través de los cuales se configura el marco estatal:</w:t>
      </w:r>
    </w:p>
    <w:p w14:paraId="27C24BB9" w14:textId="77777777" w:rsidR="003754FE" w:rsidRDefault="003754FE" w:rsidP="003754FE">
      <w:pPr>
        <w:pStyle w:val="TextoNormal"/>
      </w:pPr>
    </w:p>
    <w:p w14:paraId="5CEDC6CF" w14:textId="77777777" w:rsidR="003754FE" w:rsidRDefault="003754FE" w:rsidP="003754FE">
      <w:pPr>
        <w:pStyle w:val="TextoNormal"/>
      </w:pPr>
      <w:r>
        <w:t>a) La Ley 12/2023 define los servicios de interés general —a los que orienta la financiación pública y que comprenden entre otros la creación, ampliación del parque público de vivienda, la construcción o rehabilitación de viviendas sometidas a algún régimen de protección pública, o las actividades de mejora de las condiciones de habitabilidad, accesibilidad o eficiencia energética de los edificios de viviendas— que deberán ser ejecutados de manera directa por la administración o a través d</w:t>
      </w:r>
      <w:r w:rsidRPr="003754FE">
        <w:rPr>
          <w:i/>
        </w:rPr>
        <w:t>e acuerdos con los propietari</w:t>
      </w:r>
      <w:r>
        <w:t>os (art. 4).</w:t>
      </w:r>
    </w:p>
    <w:p w14:paraId="3CDC3D6E" w14:textId="77777777" w:rsidR="003754FE" w:rsidRDefault="003754FE" w:rsidP="003754FE">
      <w:pPr>
        <w:pStyle w:val="TextoNormal"/>
      </w:pPr>
    </w:p>
    <w:p w14:paraId="2445CFCD" w14:textId="77777777" w:rsidR="003754FE" w:rsidRDefault="003754FE" w:rsidP="003754FE">
      <w:pPr>
        <w:pStyle w:val="TextoNormal"/>
      </w:pPr>
      <w:r>
        <w:t>b) Señala como principio rector de la garantía de la función social, que le corresponde a las administraciones públicas, promover las condiciones para garantizar el ejercicio efectivo del derecho (art. 7) e indica como deberes de los ciudadanos respetar el parque de vivienda, conservar, reparar y mejorar la vivienda que habitan, respetar la pacifica tenencia de la vivienda ajena, cumplir con los deberes legales en las operaciones de compra o de alquiler y en relación con el parque público de vivienda y velar por su adecuado mantenimiento y conservación (art. 9).</w:t>
      </w:r>
    </w:p>
    <w:p w14:paraId="6236908B" w14:textId="77777777" w:rsidR="003754FE" w:rsidRDefault="003754FE" w:rsidP="003754FE">
      <w:pPr>
        <w:pStyle w:val="TextoNormal"/>
      </w:pPr>
    </w:p>
    <w:p w14:paraId="6B87044A" w14:textId="77777777" w:rsidR="003754FE" w:rsidRDefault="003754FE" w:rsidP="003754FE">
      <w:pPr>
        <w:pStyle w:val="TextoNormal"/>
      </w:pPr>
      <w:r>
        <w:t xml:space="preserve">c) Prevé la facultad de uso, disfrute y disposición de la vivienda como integrante del derecho de la propiedad [art. 10.1 a)]. Establece, como medidas que las administraciones competentes podrán adoptar y ejecutar para velar por el pleno ejercicio de la propiedad de la vivienda, —además del otorgamiento de ayudas, subvenciones, incentivos fiscales, gestión de parques públicos de viviendas— el fomento de la iniciativa privada mediante </w:t>
      </w:r>
      <w:r w:rsidRPr="003754FE">
        <w:rPr>
          <w:i/>
        </w:rPr>
        <w:lastRenderedPageBreak/>
        <w:t>convenios con los titulares de viviendas para su cesión</w:t>
      </w:r>
      <w:r>
        <w:t xml:space="preserve"> a las administraciones publicas competentes u otras fórmulas para favorecer el incremento de la oferta de alquiler social. Identifica como medidas las “</w:t>
      </w:r>
      <w:r w:rsidRPr="003754FE">
        <w:rPr>
          <w:i/>
        </w:rPr>
        <w:t>[a]cciones de fomento de la intermediación</w:t>
      </w:r>
      <w:r>
        <w:t xml:space="preserve"> en el mercado del arrendamiento de viviendas para propiciar su efectiva ocupación” [art. 10.2 f)].</w:t>
      </w:r>
    </w:p>
    <w:p w14:paraId="1D4A7B81" w14:textId="77777777" w:rsidR="003754FE" w:rsidRDefault="003754FE" w:rsidP="003754FE">
      <w:pPr>
        <w:pStyle w:val="TextoNormal"/>
      </w:pPr>
    </w:p>
    <w:p w14:paraId="3A673EC9" w14:textId="77777777" w:rsidR="003754FE" w:rsidRDefault="003754FE" w:rsidP="003754FE">
      <w:pPr>
        <w:pStyle w:val="TextoNormal"/>
      </w:pPr>
      <w:r>
        <w:t>d) Destaca, como deber derivado del derecho de propiedad de la vivienda delimitado por su función social, el uso y disfrute propios y efectivos de la vivienda, correspondiendo a las administraciones competentes la declaración del incumplimiento de los deberes asociados a la propiedad de la vivienda, que habilitan a adoptar, de oficio o a instancia de parte y previa audiencia, en todo caso, del obligado, cuantas medidas prevea la legislación de ordenación territorial y urbanística y la de vivienda [art. 11.1 a) y 2], entiéndase la remisión en el marco de las condiciones básicas estatalmente establecidas, pues lo contrario contravendría el principio de vigencia en la interpretación de las normas.</w:t>
      </w:r>
    </w:p>
    <w:p w14:paraId="2EE2E171" w14:textId="77777777" w:rsidR="003754FE" w:rsidRDefault="003754FE" w:rsidP="003754FE">
      <w:pPr>
        <w:pStyle w:val="TextoNormal"/>
      </w:pPr>
    </w:p>
    <w:p w14:paraId="59C2E596" w14:textId="77777777" w:rsidR="003754FE" w:rsidRDefault="003754FE" w:rsidP="003754FE">
      <w:pPr>
        <w:pStyle w:val="TextoNormal"/>
      </w:pPr>
      <w:r>
        <w:t>e) Contempla la acción de los poderes públicos en materia de vivienda, destacando los principios generales de su actuación, a través de la planificación con su correspondiente financiación, la colaboración en la financiación de los planes autonómicos en materia de vivienda, el compromiso por la accesibilidad universal en el parque de vivienda, la atención a las situaciones de especial vulnerabilidad, así como el establecimiento de criterios básicos en el ámbito de la ordenación territorial y urbanística.</w:t>
      </w:r>
    </w:p>
    <w:p w14:paraId="700D4210" w14:textId="77777777" w:rsidR="003754FE" w:rsidRDefault="003754FE" w:rsidP="003754FE">
      <w:pPr>
        <w:pStyle w:val="TextoNormal"/>
      </w:pPr>
    </w:p>
    <w:p w14:paraId="3663910B" w14:textId="77777777" w:rsidR="003754FE" w:rsidRDefault="003754FE" w:rsidP="003754FE">
      <w:pPr>
        <w:pStyle w:val="TextoNormal"/>
      </w:pPr>
      <w:r>
        <w:t>f) Fija las reglas por las que se podrán declarar las zonas de mercado residencial tensionado, las obligaciones de información que recaen sobre los grandes tenedores y de colaboración entre administraciones (arts. 18 a 22). Destacan las medidas de planificación y programación estatal en materia de vivienda para asegurar la existencia de una oferta suficiente de vivienda en condiciones asequibles, promoviendo y apoyando actuaciones “que fomente[n] la ocupación racional del patrimonio residencial”, “la ampliación” de los parques públicos de vivienda, la construcción y rehabilitación de viviendas de protección pública, la promoción de nuevas modalidades de vivienda, mediante mecanismos de colaboración público-privada, (arts. 23 a 25).</w:t>
      </w:r>
    </w:p>
    <w:p w14:paraId="7782AD95" w14:textId="77777777" w:rsidR="003754FE" w:rsidRDefault="003754FE" w:rsidP="003754FE">
      <w:pPr>
        <w:pStyle w:val="TextoNormal"/>
      </w:pPr>
    </w:p>
    <w:p w14:paraId="5D0E3164" w14:textId="77777777" w:rsidR="003754FE" w:rsidRDefault="003754FE" w:rsidP="003754FE">
      <w:pPr>
        <w:pStyle w:val="TextoNormal"/>
      </w:pPr>
      <w:r>
        <w:t>g) La ley 12/2023 establece criterios orientadores para la gestión y destino de los parques públicos de vivienda. A tal fin, se prevén actuaciones sobre el suelo disponible, el otorgamiento de derechos de superficie o concesiones administrativas a terceros para que edifiquen, la asignación de recursos públicos para hacer más eficiente la gestión de los parques públicos, o enajenar los bienes patrimoniales de los parques públicos de vivienda (arts. 28 y 29).</w:t>
      </w:r>
    </w:p>
    <w:p w14:paraId="32FA0F9E" w14:textId="77777777" w:rsidR="003754FE" w:rsidRDefault="003754FE" w:rsidP="003754FE">
      <w:pPr>
        <w:pStyle w:val="TextoNormal"/>
      </w:pPr>
    </w:p>
    <w:p w14:paraId="4AA7D6F0" w14:textId="77777777" w:rsidR="003754FE" w:rsidRDefault="003754FE" w:rsidP="003754FE">
      <w:pPr>
        <w:pStyle w:val="TextoNormal"/>
      </w:pPr>
      <w:r>
        <w:t>h) Precisa las medidas de protección y transparencia en las operaciones de compra y arrendamiento de vivienda y los derechos de información básica que deben recibir los adquirentes o arrendatarios de vivienda (arts. 30 a 31) y también las medidas de información y transparencia en materia de vivienda y suelo, que comprenden, entre otras, la elaboración de un inventario del parque público de vivienda, detallar el presupuesto invertido anualmente en los diferentes programas de política de vivienda.</w:t>
      </w:r>
    </w:p>
    <w:p w14:paraId="6D49BD8E" w14:textId="77777777" w:rsidR="003754FE" w:rsidRDefault="003754FE" w:rsidP="003754FE">
      <w:pPr>
        <w:pStyle w:val="TextoNormal"/>
      </w:pPr>
    </w:p>
    <w:p w14:paraId="05B4A460" w14:textId="77777777" w:rsidR="003754FE" w:rsidRDefault="003754FE" w:rsidP="003754FE">
      <w:pPr>
        <w:pStyle w:val="TextoNormal"/>
      </w:pPr>
      <w:r>
        <w:t xml:space="preserve">i) Es destacable que se prevea la prioridad de la política de vivienda en la gestión patrimonial del Estado de modo que, en las zonas de mercado residencial tensionado, se deban identificar las posibles oportunidades de suelo u inmuebles susceptible de reutilización para </w:t>
      </w:r>
      <w:r>
        <w:lastRenderedPageBreak/>
        <w:t>uso residencial y promover acuerdos con organismos públicos en la gestión patrimonial al objeto de impulsar actuaciones de fomento de la oferta de vivienda asequible (disposición adicional primera).</w:t>
      </w:r>
    </w:p>
    <w:p w14:paraId="2C7D179C" w14:textId="77777777" w:rsidR="003754FE" w:rsidRDefault="003754FE" w:rsidP="003754FE">
      <w:pPr>
        <w:pStyle w:val="TextoNormal"/>
      </w:pPr>
    </w:p>
    <w:p w14:paraId="30689EE9" w14:textId="77777777" w:rsidR="003754FE" w:rsidRDefault="003754FE" w:rsidP="003754FE">
      <w:pPr>
        <w:pStyle w:val="TextoNormal"/>
      </w:pPr>
      <w:r>
        <w:t>j) Es en relación con el contrato de arrendamiento de vivienda y con el ejercicio de acciones judiciales, donde la ley 12/2023 sí establece medidas limitativas —que no sancionadoras— intensificando los derechos de los arrendatarios y ocupantes de viviendas. Esto es, limita a actualización anual de la renta, atribuye los gastos de gestión inmobiliaria y de formalización al arrendador, prevé la prórroga extraordinaria del contrato de arrendamiento en situaciones de vulnerabilidad social y económica, limita la renta de los nuevos contratos en zonas de mercado residencial tensionado (disposición final primera). Medidas limitativas que también se materializan en el ejercicio de las acciones contractuales de recuperación de la posesión en relación con las situaciones de vulnerabilidad o en el caso de los grandes tenedores.</w:t>
      </w:r>
    </w:p>
    <w:p w14:paraId="2FCF5196" w14:textId="77777777" w:rsidR="003754FE" w:rsidRDefault="003754FE" w:rsidP="003754FE">
      <w:pPr>
        <w:pStyle w:val="TextoNormal"/>
      </w:pPr>
    </w:p>
    <w:p w14:paraId="6A3F79E0" w14:textId="77777777" w:rsidR="003754FE" w:rsidRDefault="003754FE" w:rsidP="003754FE">
      <w:pPr>
        <w:pStyle w:val="TextoNormal"/>
      </w:pPr>
      <w:r>
        <w:t>k) Asimismo desde el punto de vista fiscal adopta medidas de fomento en materia del impuesto sobre la renta de las personas físicas, mejora la reducción del rendimiento neto del arrendamiento de bienes inmuebles destinados a vivienda, que puede llegar hasta un 90 por 100 y modula el recargo a los inmuebles de uso residencial desocupados con carácter permanente en el impuesto sobre bienes inmuebles, que podrá aplicarse a aquellas viviendas vacías durante más de dos años, con un mínimo de cuatro viviendas por propietario, salvo causas justificadas de desocupación temporal, tasadas por la Ley. También establece el incremento del recargo actualmente situado en el 50 por 100 de la cuota líquida del impuesto sobre bienes inmuebles hasta un máximo del 150 por 100, en función de la duración de la desocupación y del número de viviendas también desocupadas que sean del mismo titular en el término municipal, con el objetivo de que tenga un mayor efecto en la optimización del uso del parque edificatorio residencial y refuerce el instrumento de los ayuntamientos para hacer frente a situaciones de vivienda desocupada a través de la fiscalidad.</w:t>
      </w:r>
    </w:p>
    <w:p w14:paraId="71014CFE" w14:textId="77777777" w:rsidR="003754FE" w:rsidRDefault="003754FE" w:rsidP="003754FE">
      <w:pPr>
        <w:pStyle w:val="TextoNormal"/>
      </w:pPr>
    </w:p>
    <w:p w14:paraId="6D54437A" w14:textId="77777777" w:rsidR="003754FE" w:rsidRDefault="003754FE" w:rsidP="003754FE">
      <w:pPr>
        <w:pStyle w:val="TextoNormal"/>
      </w:pPr>
      <w:r>
        <w:t>De lo expuesto resulta que el modelo establecido por el legislador estatal, en el ejercicio de sus competencias —fundamentalmente previstas en el art. 149.1.1 y 13 CE— para proteger el derecho de acceso a la vivienda descansa en la intervención de las administraciones publicas competentes mediante actuaciones de fomento, consistentes en el incremento del parque público y privado de viviendas. De este modo se modifica el texto refundido de la Ley de suelo y rehabilitación urbana, aprobado por Real Decreto Legislativo 7/2015, de 30 de octubre, incrementando el porcentaje de reserva de suelo destinado a vivienda protegida (disposición final cuarta). Y en relación con las modificaciones de la Ley de enjuiciamiento civil y la Ley de arrendamientos urbanos se introducen importantes reformas en la regulación del procedimiento de desahucio en situaciones de vulnerabilidad (disposición final quinta) y un procedimiento de conciliación o intermediación en los supuestos en los que la parte actora tenga la condición de gran tenedor de vivienda (disposición final quinta); se extiende la limitación extraordinaria de la actualización anual de la renta (disposición final sexta).</w:t>
      </w:r>
    </w:p>
    <w:p w14:paraId="231B7172" w14:textId="77777777" w:rsidR="003754FE" w:rsidRDefault="003754FE" w:rsidP="003754FE">
      <w:pPr>
        <w:pStyle w:val="TextoNormal"/>
      </w:pPr>
    </w:p>
    <w:p w14:paraId="12A89F8E" w14:textId="77777777" w:rsidR="003754FE" w:rsidRDefault="003754FE" w:rsidP="003754FE">
      <w:pPr>
        <w:pStyle w:val="TextoNormal"/>
      </w:pPr>
      <w:r>
        <w:t xml:space="preserve">Debe destacarse que en lo que se refiere a los propietarios de viviendas la acción pública para evitar la existencia de viviendas desocupadas se concreta en medidas de impulso de la rehabilitación y mejora de las viviendas existentes [art. 2 g)], de fomento sea de convenios con los titulares de viviendas para su cesión a las administraciones públicas o para favorecer </w:t>
      </w:r>
      <w:r>
        <w:lastRenderedPageBreak/>
        <w:t>y estimular la oferta de alquiler social a precio asequible [art. 10.2 e) y 18.5 a)], sea de intermediación en el mercado de arrendamiento de viviendas para propiciar su efectiva ocupación [art. 10.2 f)], o de incentivos fiscales aplicables en el impuesto sobre la renta de las personas físicas, a los arrendamientos de inmuebles destinados a vivienda (disposición final segunda) o de gravamen fiscal mediante el recargo a los inmuebles de uso residencial desocupados con carácter permanente en el impuesto sobre bienes inmuebles (disposición final tercera).</w:t>
      </w:r>
    </w:p>
    <w:p w14:paraId="489C0486" w14:textId="77777777" w:rsidR="003754FE" w:rsidRDefault="003754FE" w:rsidP="003754FE">
      <w:pPr>
        <w:pStyle w:val="TextoNormal"/>
      </w:pPr>
    </w:p>
    <w:p w14:paraId="093747FB" w14:textId="77777777" w:rsidR="003754FE" w:rsidRDefault="003754FE" w:rsidP="003754FE">
      <w:pPr>
        <w:pStyle w:val="TextoNormal"/>
      </w:pPr>
      <w:r>
        <w:t xml:space="preserve">4. </w:t>
      </w:r>
      <w:r w:rsidRPr="003754FE">
        <w:rPr>
          <w:i/>
        </w:rPr>
        <w:t>Incompatibilidad del modelo estatal con el modelo autonómico de acceso a la vivienda. Estimación del recurso</w:t>
      </w:r>
    </w:p>
    <w:p w14:paraId="78FC759D" w14:textId="77777777" w:rsidR="003754FE" w:rsidRDefault="003754FE" w:rsidP="003754FE">
      <w:pPr>
        <w:pStyle w:val="TextoNormal"/>
      </w:pPr>
    </w:p>
    <w:p w14:paraId="6745AA1C" w14:textId="77777777" w:rsidR="003754FE" w:rsidRDefault="003754FE" w:rsidP="003754FE">
      <w:pPr>
        <w:pStyle w:val="TextoNormal"/>
      </w:pPr>
      <w:r>
        <w:t>El primer motivo de impugnación los recurrentes lo dirigen contra la totalidad de la Ley 1/2022, al entender que infringe el art. 149.1.1 CE, al efectuar una regulación de las condiciones básicas del derecho de propiedad en Cataluña que restringe desproporcionadamente la facultad de los propietarios.</w:t>
      </w:r>
    </w:p>
    <w:p w14:paraId="57D85A19" w14:textId="77777777" w:rsidR="003754FE" w:rsidRDefault="003754FE" w:rsidP="003754FE">
      <w:pPr>
        <w:pStyle w:val="TextoNormal"/>
      </w:pPr>
    </w:p>
    <w:p w14:paraId="35C49282" w14:textId="77777777" w:rsidR="003754FE" w:rsidRDefault="003754FE" w:rsidP="003754FE">
      <w:pPr>
        <w:pStyle w:val="TextoNormal"/>
      </w:pPr>
      <w:r>
        <w:t>Ciertamente los recurrentes, en el momento de la interposición del recurso, no pudieron efectuar el contraste entre el modo en que el Estado regula las condiciones básicas para garantizar la igualdad de los derechos de los propietarios en todo el territorio nacional y al mismo tiempo pretende lograr la efectividad del derecho de acceso a una vivienda digna y adecuada. Sin embargo, como se ha indicado, tras la entrada en vigor de la ley estatal, ese análisis deviene obligado para resolver la controversia constitucional atendidos los títulos competenciales ejercitados y el pronunciamiento de la STC 79/2024. Esto es, el enjuiciamiento no puede despejarse mediante una mera afirmación por la que se niegue la contradicción entre el modelo estatal y el autonómico (ver en tal sentido el fundamento jurídico 8 de la sentencia).</w:t>
      </w:r>
    </w:p>
    <w:p w14:paraId="037F2F8A" w14:textId="77777777" w:rsidR="003754FE" w:rsidRDefault="003754FE" w:rsidP="003754FE">
      <w:pPr>
        <w:pStyle w:val="TextoNormal"/>
      </w:pPr>
    </w:p>
    <w:p w14:paraId="640C5F8F" w14:textId="77777777" w:rsidR="003754FE" w:rsidRDefault="003754FE" w:rsidP="003754FE">
      <w:pPr>
        <w:pStyle w:val="TextoNormal"/>
      </w:pPr>
      <w:r>
        <w:t>Del examen de la Ley 1/2022, resulta que esta, con la finalidad de incorporar al mercado las viviendas desocupadas, modifica los arts. 5, 41, 42, 113, 124 y 126 de la Ley 18/2007 y se aparta de las medidas de fomento dirigidas a estimular la actividad privada, que se preveían en los apartados 4 a 5 del art. 42 de la Ley 18/2007 y que eran compatibles con la actual legislación estatal. En tal sentido, traslada la carga del derecho de acceso a la vivienda de las administraciones públicas a los propietarios, residenciando en los mismos el deber de ocupación con título habilitante, que se garantiza mediante medidas administrativas de limitación y sanción. De tal modo que el incumplimiento de dicho deber de ocupación, una vez declarado, comporta medidas de ejecución forzosa, así como la imposición de multas coercitivas, llegando a la expropiación forzosa del derecho de propiedad de la vivienda.</w:t>
      </w:r>
    </w:p>
    <w:p w14:paraId="2027805B" w14:textId="77777777" w:rsidR="003754FE" w:rsidRDefault="003754FE" w:rsidP="003754FE">
      <w:pPr>
        <w:pStyle w:val="TextoNormal"/>
      </w:pPr>
    </w:p>
    <w:p w14:paraId="19ABD318" w14:textId="77777777" w:rsidR="003754FE" w:rsidRDefault="003754FE" w:rsidP="003754FE">
      <w:pPr>
        <w:pStyle w:val="TextoNormal"/>
      </w:pPr>
      <w:r>
        <w:t>Asimismo, modifica la redacción el apartado primero del art. 7 de la Ley 24/2015 y transforma el principio de concertación y colaboración con los agentes que actúan sobre el mercado de vivienda libre, por la imposición de la cesión obligatoria de viviendas por un periodo de siete años para incorporarlas al fondo de viviendas de alquiler para políticas sociales.</w:t>
      </w:r>
    </w:p>
    <w:p w14:paraId="4B425379" w14:textId="77777777" w:rsidR="003754FE" w:rsidRDefault="003754FE" w:rsidP="003754FE">
      <w:pPr>
        <w:pStyle w:val="TextoNormal"/>
      </w:pPr>
    </w:p>
    <w:p w14:paraId="1D9DEC26" w14:textId="77777777" w:rsidR="003754FE" w:rsidRDefault="003754FE" w:rsidP="003754FE">
      <w:pPr>
        <w:pStyle w:val="TextoNormal"/>
      </w:pPr>
      <w:r>
        <w:t xml:space="preserve">Dichas previsiones normativas suponen una regulación directa del derecho de propiedad sobre un tipo de bienes —las viviendas— que tiene como objeto aspectos esenciales de los mismos y que no solo le aleja de la competencia sectorial autonómica (art. 137 EAC): de planificación, ordenación, gestión, inspección y control de la vivienda [art. 137.1 a) EAC], </w:t>
      </w:r>
      <w:r>
        <w:lastRenderedPageBreak/>
        <w:t>de establecimiento de prioridades y objetivos de la actividad de fomento en materia de vivienda [art. 137.1 b) EAC], o de promoción pública de viviendas [art. 137.1 c) EAC], sino que, por las razones expuestas, interfiere en el diseño estatal de las condiciones básicas que garantizan la igualdad tanto en el derecho de acceso a la vivienda como del derecho a la propiedad.</w:t>
      </w:r>
    </w:p>
    <w:p w14:paraId="17971D7D" w14:textId="77777777" w:rsidR="003754FE" w:rsidRDefault="003754FE" w:rsidP="003754FE">
      <w:pPr>
        <w:pStyle w:val="TextoNormal"/>
      </w:pPr>
    </w:p>
    <w:p w14:paraId="307F3C08" w14:textId="77777777" w:rsidR="003754FE" w:rsidRDefault="003754FE" w:rsidP="003754FE">
      <w:pPr>
        <w:pStyle w:val="TextoNormal"/>
      </w:pPr>
      <w:r>
        <w:t>En efecto, el diseño autonómico desplaza hacia los propietarios de viviendas la responsabilidad y el deber de los poderes públicos de hacer efectivo el derecho de disfrutar de una vivienda digna y sustituye las medidas de fomento previstas en la legislación del Estado por las de limitación y sanción. Con ello interfiere en las condiciones básicas que caracterizan el modelo estatal, con el que se pretende armonizar el derecho de acceso a la vivienda y la tutela del derecho a la propiedad privada a través de actuaciones públicas de estímulo y de gravamen fiscal.</w:t>
      </w:r>
    </w:p>
    <w:p w14:paraId="48F0CF15" w14:textId="77777777" w:rsidR="003754FE" w:rsidRDefault="003754FE" w:rsidP="003754FE">
      <w:pPr>
        <w:pStyle w:val="TextoNormal"/>
      </w:pPr>
    </w:p>
    <w:p w14:paraId="71E7B57C" w14:textId="77777777" w:rsidR="003754FE" w:rsidRDefault="003754FE" w:rsidP="003754FE">
      <w:pPr>
        <w:pStyle w:val="TextoNormal"/>
      </w:pPr>
      <w:r>
        <w:t>La reforma operada por la Ley 1/2022 se desvincula del modelo estatal que residencia en las administraciones públicas el deber y la responsabilidad de llevar a cabo actuaciones públicas con las que facilitar el acceso a la vivienda, generar suelo, promover vivienda pública y vivienda protegida, impulsar, fomentar y estimular la incorporación de viviendas desocupadas al mercado y se desliza por la solución fácil de descargar la efectividad del derecho de acceso a la vivienda —y de la política social— en los propietarios, al introducir como deber prioritario del propietario de una vivienda el de su ocupación efectiva.</w:t>
      </w:r>
    </w:p>
    <w:p w14:paraId="2F195423" w14:textId="77777777" w:rsidR="003754FE" w:rsidRDefault="003754FE" w:rsidP="003754FE">
      <w:pPr>
        <w:pStyle w:val="TextoNormal"/>
      </w:pPr>
    </w:p>
    <w:p w14:paraId="4E2F7478" w14:textId="77777777" w:rsidR="003754FE" w:rsidRDefault="003754FE" w:rsidP="003754FE">
      <w:pPr>
        <w:pStyle w:val="TextoNormal"/>
      </w:pPr>
      <w:r>
        <w:t>Podemos constatar por ello, que la reforma autonómica interfiere en la normativa del Estado, en un ámbito de fuerte influencia en la economía nacional, pues desplaza las medidas de inversión en materia de vivienda por la imposición sobre los propietarios de vivienda de la carga de ocupación con título, que en caso de incumplimiento declarado determina la imposición de sanciones, la cesión forzosa o su expropiación. Con ello se desvirtúa el modelo previsto en la regulación estatal que establece las condiciones básicas con las que pretende garantizar en condiciones de igualdad en todo el territorio nacional tanto el derecho de acceso a la vivienda como el derecho de los propietarios de viviendas mediante medidas que respetan la libre disposición de los propietarios de las viviendas.</w:t>
      </w:r>
    </w:p>
    <w:p w14:paraId="0216DA84" w14:textId="77777777" w:rsidR="003754FE" w:rsidRDefault="003754FE" w:rsidP="003754FE">
      <w:pPr>
        <w:pStyle w:val="TextoNormal"/>
      </w:pPr>
    </w:p>
    <w:p w14:paraId="70CFE97A" w14:textId="77777777" w:rsidR="003754FE" w:rsidRDefault="003754FE" w:rsidP="003754FE">
      <w:pPr>
        <w:pStyle w:val="TextoNormal"/>
      </w:pPr>
      <w:r>
        <w:t>Y en este sentido emito el presente voto particular.</w:t>
      </w:r>
    </w:p>
    <w:p w14:paraId="032922BD" w14:textId="77777777" w:rsidR="003754FE" w:rsidRDefault="003754FE" w:rsidP="003754FE">
      <w:pPr>
        <w:pStyle w:val="TextoNormal"/>
      </w:pPr>
    </w:p>
    <w:p w14:paraId="0ADEDEAA" w14:textId="5C2661A2" w:rsidR="003754FE" w:rsidRDefault="003754FE" w:rsidP="003754FE">
      <w:pPr>
        <w:pStyle w:val="TextoNormal"/>
      </w:pPr>
      <w:r>
        <w:t>Madrid, a ocho de octubre de dos mil veinticuatro.</w:t>
      </w:r>
    </w:p>
    <w:p w14:paraId="0B8D3C2D" w14:textId="77777777" w:rsidR="003754FE" w:rsidRDefault="003754FE" w:rsidP="003754FE">
      <w:pPr>
        <w:pStyle w:val="TextoNormal"/>
      </w:pPr>
    </w:p>
    <w:p w14:paraId="405F251C" w14:textId="77777777" w:rsidR="003754FE" w:rsidRDefault="003754FE" w:rsidP="003754FE">
      <w:pPr>
        <w:pStyle w:val="TextoNormalNegritaCentrado"/>
        <w:keepNext/>
      </w:pPr>
      <w:r>
        <w:t>Voto particular que formula el magistrado don José María Macías Castaño a la sentencia dictada en el recurso de inconstitucionalidad núm. 3955-2022</w:t>
      </w:r>
    </w:p>
    <w:p w14:paraId="6D38B015" w14:textId="32C811C9" w:rsidR="003754FE" w:rsidRDefault="003754FE" w:rsidP="003754FE">
      <w:pPr>
        <w:pStyle w:val="TextoNormalNegritaCentrado"/>
        <w:keepNext/>
      </w:pPr>
    </w:p>
    <w:p w14:paraId="39D06B39" w14:textId="77777777" w:rsidR="003754FE" w:rsidRDefault="003754FE" w:rsidP="003754FE">
      <w:pPr>
        <w:pStyle w:val="TextoNormal"/>
      </w:pPr>
      <w:r>
        <w:t>1. Respetuosamente disiento del parecer de la mayoría por las razones que seguidamente expongo, que debieron determinar que el fallo de la sentencia tuviese una declaración de inconstitucionalidad de alcance mayor y también que se hubiese realizado un análisis completo de las objeciones planteadas por el recurrente, lo que igualmente, y de haberse llevado a cabo, hubiera podido determinar que el fallo tuviese mayor entidad.</w:t>
      </w:r>
    </w:p>
    <w:p w14:paraId="35F23416" w14:textId="77777777" w:rsidR="003754FE" w:rsidRDefault="003754FE" w:rsidP="003754FE">
      <w:pPr>
        <w:pStyle w:val="TextoNormal"/>
      </w:pPr>
    </w:p>
    <w:p w14:paraId="4B95D361" w14:textId="77777777" w:rsidR="003754FE" w:rsidRDefault="003754FE" w:rsidP="003754FE">
      <w:pPr>
        <w:pStyle w:val="TextoNormal"/>
      </w:pPr>
      <w:r>
        <w:t>I</w:t>
      </w:r>
    </w:p>
    <w:p w14:paraId="6951D996" w14:textId="77777777" w:rsidR="003754FE" w:rsidRDefault="003754FE" w:rsidP="003754FE">
      <w:pPr>
        <w:pStyle w:val="TextoNormal"/>
      </w:pPr>
    </w:p>
    <w:p w14:paraId="286E332F" w14:textId="77777777" w:rsidR="003754FE" w:rsidRDefault="003754FE" w:rsidP="003754FE">
      <w:pPr>
        <w:pStyle w:val="TextoNormal"/>
      </w:pPr>
      <w:r>
        <w:lastRenderedPageBreak/>
        <w:t>2. Comparto las razones que han dado lugar a la declaración de inconstitucionalidad de los arts. 1.3, 11, 12 y disposición transitoria de la Ley 1/2022 del Parlamento de Cataluña, de 3 de marzo, por contravención del art. 149.1.6 CE, que atribuye al Estado competencia exclusiva en materia de legislación procesal, y del art. 149.1.8 CE relativo a la competencia exclusiva del Estado para establecer las bases de las obligaciones contractuales.</w:t>
      </w:r>
    </w:p>
    <w:p w14:paraId="0B0491FA" w14:textId="77777777" w:rsidR="003754FE" w:rsidRDefault="003754FE" w:rsidP="003754FE">
      <w:pPr>
        <w:pStyle w:val="TextoNormal"/>
      </w:pPr>
    </w:p>
    <w:p w14:paraId="013B8E3F" w14:textId="77777777" w:rsidR="003754FE" w:rsidRDefault="003754FE" w:rsidP="003754FE">
      <w:pPr>
        <w:pStyle w:val="TextoNormal"/>
      </w:pPr>
      <w:r>
        <w:t>3. Comparto también las razones por las que se declara inconstitucional el art. 7 Ley 1/2022, que claramente incurre en infracción del art. 25 CE, al prever una suerte de extensión objetiva a los adquirentes de la responsabilidad en la que hubieran podido incurrir anteriormente los transmitentes de viviendas desocupadas.</w:t>
      </w:r>
    </w:p>
    <w:p w14:paraId="1EE51EA4" w14:textId="77777777" w:rsidR="003754FE" w:rsidRDefault="003754FE" w:rsidP="003754FE">
      <w:pPr>
        <w:pStyle w:val="TextoNormal"/>
      </w:pPr>
    </w:p>
    <w:p w14:paraId="4B22C446" w14:textId="77777777" w:rsidR="003754FE" w:rsidRDefault="003754FE" w:rsidP="003754FE">
      <w:pPr>
        <w:pStyle w:val="TextoNormal"/>
      </w:pPr>
      <w:r>
        <w:t>II</w:t>
      </w:r>
    </w:p>
    <w:p w14:paraId="50E2CC10" w14:textId="77777777" w:rsidR="003754FE" w:rsidRDefault="003754FE" w:rsidP="003754FE">
      <w:pPr>
        <w:pStyle w:val="TextoNormal"/>
      </w:pPr>
    </w:p>
    <w:p w14:paraId="00173B2F" w14:textId="77777777" w:rsidR="003754FE" w:rsidRDefault="003754FE" w:rsidP="003754FE">
      <w:pPr>
        <w:pStyle w:val="TextoNormal"/>
      </w:pPr>
      <w:r>
        <w:t>4. Compartiendo lo anterior, sin embargo, considero que la declaración de inconstitucionalidad debió extenderse también al art. 9.2 Ley 1/2022, que establece un concepto propio de “gran tenedor”, a los efectos de delimitar el ámbito de aplicación de la ley y de las obligaciones resultantes de la función social que ha de cumplir el derecho de propiedad sobre las viviendas, por más que el concepto de “</w:t>
      </w:r>
      <w:r w:rsidRPr="003754FE">
        <w:rPr>
          <w:i/>
        </w:rPr>
        <w:t>gran tenedor</w:t>
      </w:r>
      <w:r>
        <w:t>” coincida con el establecido en la legislación estatal actual que establece las condiciones básicas del derecho de propiedad sobre ellas. A mi entender, —y sin perjuicio de lo que expondré más adelante— el precepto contribuye a la inseguridad jurídica (proscrita en el art. 9.3 CE) en cuanto que, primero, las competencias estatales y autonómicas concurren de forma imprecisa sobre una misma realidad material; segundo, el número mínimo de viviendas en la definición de gran tenedor en Cataluña, podrá ser rebajado por la Generalitat “en el ámbito de sus competencias”, con la consecuencia de que la norma catalana será de aplicación preferente [</w:t>
      </w:r>
      <w:r w:rsidRPr="003754FE">
        <w:rPr>
          <w:i/>
        </w:rPr>
        <w:t>ex</w:t>
      </w:r>
      <w:r>
        <w:t xml:space="preserve"> art. 148.1.3 CE en relación con el art. 3 k) de la Ley 12/2023 y el art. 149.3 CE] en perjuicio de los propietarios catalanes; y tercero, la normativa autonómica ha tomado para la definición de gran tenedor un elemento extraterritorial (“viviendas ubicadas en territorio del Estado”) en contra de nuestra jurisprudencia [SSTC 80/2012 de 18 abril, FJ 7 b), o 102/2017 de 20 de julio, FJ 4] habiendo podido emplear elementos de conexión exclusivamente autonómicos.</w:t>
      </w:r>
    </w:p>
    <w:p w14:paraId="1DBB86FC" w14:textId="77777777" w:rsidR="003754FE" w:rsidRDefault="003754FE" w:rsidP="003754FE">
      <w:pPr>
        <w:pStyle w:val="TextoNormal"/>
      </w:pPr>
    </w:p>
    <w:p w14:paraId="6C869B91" w14:textId="77777777" w:rsidR="003754FE" w:rsidRDefault="003754FE" w:rsidP="003754FE">
      <w:pPr>
        <w:pStyle w:val="TextoNormal"/>
      </w:pPr>
      <w:r>
        <w:t xml:space="preserve">5. La sentencia ha declarado la inconstitucionalidad del art. 12 Ley 1/2022 en relación con el plazo mínimo de duración de los contratos de alquiler social porque, tras constatar que el establecimiento de un plazo mínimo de duración de esos contratos es contenido propio de la competencia exclusiva del Estado para establecer las bases de las relaciones contractuales, el precepto no se limita a remitirse al plazo establecido en la legislación estatal, sino que lo reitera, indicando la misma duración y añadiendo que ese plazo será mínimo “en cualquier caso”. Frente a ello, la sentencia argumenta que “aunque, actualmente, tales plazos coinciden con los que establece el art. 9.1 LAU, en la redacción dada al mismo por el Real Decreto-ley 7/2019, de 1 de marzo, de medidas urgentes en materia de vivienda y alquiler, lo cierto es que el precepto enjuiciado opera un desplazamiento de la normativa aprobada por el Estado en ejercicio de la competencia del art. 149.1.8 CE sobre bases de las obligaciones contractuales, que solo resultará de aplicación a estos contratos si los plazos que establezca son iguales o superiores a los del apartado 3 de la disposición adicional primera de la Ley 24/2015, como ocurre en la actualidad”. Esta situación lleva a la sentencia a considerar que se produce un “exceso competencial que determina la inconstitucionalidad y nulidad del precepto examinado, declaración que se limita al inciso ‘y, en cualquier caso, no inferior a cinco años si el titular de la vivienda es una persona física y no inferior a siete </w:t>
      </w:r>
      <w:r>
        <w:lastRenderedPageBreak/>
        <w:t>años si es una persona jurídica’, que es el que produce el desplazamiento de la normativa estatal”.</w:t>
      </w:r>
    </w:p>
    <w:p w14:paraId="58C63713" w14:textId="77777777" w:rsidR="003754FE" w:rsidRDefault="003754FE" w:rsidP="003754FE">
      <w:pPr>
        <w:pStyle w:val="TextoNormal"/>
      </w:pPr>
    </w:p>
    <w:p w14:paraId="194B00F7" w14:textId="77777777" w:rsidR="003754FE" w:rsidRDefault="003754FE" w:rsidP="003754FE">
      <w:pPr>
        <w:pStyle w:val="TextoNormal"/>
      </w:pPr>
      <w:r>
        <w:t>6. Como he señalado, la Ley 1/2022 ha reiterado no solo el plazo mínimo de duración de los contratos de arrendamiento previsto en la legislación estatal, sino también otro aspecto como es el concepto de “gran tenedor”, igualmente contenido en la legislación estatal [art. 3 k) de la Ley 12/2023, de 24 de mayo] y cuyo carácter de condición básica ha sido confirmado por la sentencia de este tribunal núm. 79/2024, de 21 de mayo.</w:t>
      </w:r>
    </w:p>
    <w:p w14:paraId="1BE8B31F" w14:textId="77777777" w:rsidR="003754FE" w:rsidRDefault="003754FE" w:rsidP="003754FE">
      <w:pPr>
        <w:pStyle w:val="TextoNormal"/>
      </w:pPr>
    </w:p>
    <w:p w14:paraId="05AE46EB" w14:textId="77777777" w:rsidR="003754FE" w:rsidRDefault="003754FE" w:rsidP="003754FE">
      <w:pPr>
        <w:pStyle w:val="TextoNormal"/>
      </w:pPr>
      <w:r>
        <w:t xml:space="preserve">7. Es cierto que la reiteración no plantea una problemática idéntica en uno y otro caso habida cuenta de la distinta naturaleza de las competencias atribuidas en el art. 149.1.8 CE (establecer las bases de las obligaciones contractuales) y el art. 149.1.1 CE (la regulación de las condiciones básicas de un derecho para asegurar la igualdad de todos los españoles), y que no son directamente trasladables al segundo consideraciones propias de la relación bases-desarrollo propias del primero, pero entiendo que la aplicación de la doctrina sobre las </w:t>
      </w:r>
      <w:r w:rsidRPr="003754FE">
        <w:rPr>
          <w:i/>
        </w:rPr>
        <w:t>leges repetitae</w:t>
      </w:r>
      <w:r>
        <w:t xml:space="preserve"> de este tribunal a la que antes aludía conduciría a la misma conclusión </w:t>
      </w:r>
      <w:r w:rsidRPr="003754FE">
        <w:rPr>
          <w:i/>
        </w:rPr>
        <w:t>en las concretas circunstancias del caso</w:t>
      </w:r>
      <w:r>
        <w:t>.</w:t>
      </w:r>
    </w:p>
    <w:p w14:paraId="742193FD" w14:textId="77777777" w:rsidR="003754FE" w:rsidRDefault="003754FE" w:rsidP="003754FE">
      <w:pPr>
        <w:pStyle w:val="TextoNormal"/>
      </w:pPr>
    </w:p>
    <w:p w14:paraId="369E4744" w14:textId="77777777" w:rsidR="003754FE" w:rsidRDefault="003754FE" w:rsidP="003754FE">
      <w:pPr>
        <w:pStyle w:val="TextoNormal"/>
      </w:pPr>
      <w:r>
        <w:t>8. La reiteración del contenido de la legislación estatal en la legislación autonómica se ha calificado por este tribunal como una “técnica peligrosamente abierta a potenciales inconstitucionalidades”, pero más allá del reproche técnico, la doctrina de este tribunal ha considerado que “cabe distinguir dos supuestos de reproducción de normas estatales por las autonómicas, de los que se derivan consecuencias distintas. El primer supuesto se produce cuando la norma reproducida y la que reproduce se encuadran en una materia sobre la que ostentan competencias tanto el Estado como la comunidad autónoma. El segundo tiene lugar cuando la reproducción se concreta en normas relativas a materias en las que la comunidad autónoma carece de competencias. Pues bien, de acuerdo con la doctrina antes expuesta, mientras que en el segundo la falta de habilitación autonómica debe conducirnos a declarar la inconstitucionalidad de la norma que transcribe la norma estatal (salvo supuestos excepcionales como el aludido en la STC 47/2004, de 25 de marzo), en el primero, al margen de reproches de técnica legislativa, la consecuencia no será siempre la inconstitucionalidad, sino que habrá que estar a los efectos que tal reproducción pueda producir en el caso concreto” (STC 341/2005, de 21 de diciembre).</w:t>
      </w:r>
    </w:p>
    <w:p w14:paraId="124E56F3" w14:textId="77777777" w:rsidR="003754FE" w:rsidRDefault="003754FE" w:rsidP="003754FE">
      <w:pPr>
        <w:pStyle w:val="TextoNormal"/>
      </w:pPr>
    </w:p>
    <w:p w14:paraId="068F2E32" w14:textId="77777777" w:rsidR="003754FE" w:rsidRDefault="003754FE" w:rsidP="003754FE">
      <w:pPr>
        <w:pStyle w:val="TextoNormal"/>
      </w:pPr>
      <w:r>
        <w:t>9. El supuesto analizado se corresponde con el primero de los indicados en el párrafo citado por lo que un eventual reproche de inconstitucionalidad no sería automático, sino que exigiría el análisis de las circunstancias relativas a los efectos que la reproducción puede producir en el caso concreto. Y, en mi opinión, esas circunstancias abonan la conclusión de inconstitucionalidad. En primer lugar, porque la reiteración de la norma estatal es absolutamente innecesaria para la coherencia de la regulación contenida en la Ley 1/2022: se puede decir y regular exactamente lo mismo sin necesidad de incorporar el concepto de gran tenedor y meramente aludiendo a la figura, cuyo contenido será el que en cada momento establezca la legislación estatal. Y, en segundo lugar, no cabe desconocer que el concepto de gran tenedor es relativamente novedoso o reciente en nuestra legislación y, por eso, cambiante. Más allá de la inconveniencia técnica, una situación como la descrita facilita o anticipa antinomias sobrevenidas cuya evitación está al alcance de la sentencia.</w:t>
      </w:r>
    </w:p>
    <w:p w14:paraId="1B706F4A" w14:textId="77777777" w:rsidR="003754FE" w:rsidRDefault="003754FE" w:rsidP="003754FE">
      <w:pPr>
        <w:pStyle w:val="TextoNormal"/>
      </w:pPr>
    </w:p>
    <w:p w14:paraId="7CE347AB" w14:textId="77777777" w:rsidR="003754FE" w:rsidRDefault="003754FE" w:rsidP="003754FE">
      <w:pPr>
        <w:pStyle w:val="TextoNormal"/>
      </w:pPr>
      <w:r>
        <w:lastRenderedPageBreak/>
        <w:t>10. Por último, considero conveniente precisar que el carácter indebido de la reiteración del concepto de “gran tenedor” que se ha llevado a cabo en la Ley 1/2022 no se justifica por las afirmaciones contenidas en la sentencia de este tribunal núm. 79/2024, de 21 de mayo, en las que se razona que “la existencia de esa definición de gran tenedor de vivienda en la Ley 12/2023 ‘en nada obsta que las comunidades autónomas puedan establecer definiciones similares o divergentes en su ámbito, para el desarrollo de sus políticas propias en materia de vivienda. Es muestra de ello lo dispuesto en el art. 19.2 de la Ley, tampoco impugnado en el recurso, que reconoce expresamente que, en las zonas de mercado tensionado, la consideración de gran tenedor tendrá que ser definida en la memoria que acompañe la propuesta de declaración de la zona y podrá incorporar criterios adicionales a los del art. 3 k) acordes a las características de esta o a la normativa autonómica’”. La posibilidad de “establecer definiciones similares o divergentes” debe necesariamente considerarse ligada a la existencia de “políticas propias en materia de vivienda” y, añado, concretas y que guarden la debida conexión de sentido con esas políticas propias. De otra manera, esto es, si la posibilidad de establecer una “definición divergente” se refiriera a un concepto general diferente del llevado a cabo por el Estado como condición básica y aplicable en cualquier supuesto, la calificación de condición básica de la definición contenida en la legislación estatal no tendría ninguna entidad real. Como ya he indicado antes, Cataluña no puede en virtud de su competencia del art. 148.1.3 CE (“vivienda”) alterar la condición básica de la norma del estado sobre el número mínimo y común de viviendas para ser considerado “gran tenedor” (</w:t>
      </w:r>
      <w:r w:rsidRPr="003754FE">
        <w:rPr>
          <w:i/>
        </w:rPr>
        <w:t>ex</w:t>
      </w:r>
      <w:r>
        <w:t xml:space="preserve"> art. 149.1.1 CE, en relación con art. 149.1.8 CE), porque ello desplazaría la norma básica estatal y defraudaría el principio de prevalencia del art. 149.3 CE —máxime si el art. 3. primera frase, de la Ley 12/2023 fue respetuoso con la competencia autonómica—.</w:t>
      </w:r>
    </w:p>
    <w:p w14:paraId="050FF44D" w14:textId="77777777" w:rsidR="003754FE" w:rsidRDefault="003754FE" w:rsidP="003754FE">
      <w:pPr>
        <w:pStyle w:val="TextoNormal"/>
      </w:pPr>
    </w:p>
    <w:p w14:paraId="5A4597B2" w14:textId="77777777" w:rsidR="003754FE" w:rsidRDefault="003754FE" w:rsidP="003754FE">
      <w:pPr>
        <w:pStyle w:val="TextoNormal"/>
      </w:pPr>
      <w:r>
        <w:t>III</w:t>
      </w:r>
    </w:p>
    <w:p w14:paraId="42DCE83F" w14:textId="77777777" w:rsidR="003754FE" w:rsidRDefault="003754FE" w:rsidP="003754FE">
      <w:pPr>
        <w:pStyle w:val="TextoNormal"/>
      </w:pPr>
    </w:p>
    <w:p w14:paraId="213952E0" w14:textId="77777777" w:rsidR="003754FE" w:rsidRDefault="003754FE" w:rsidP="003754FE">
      <w:pPr>
        <w:pStyle w:val="TextoNormal"/>
      </w:pPr>
      <w:r>
        <w:t>11. Debo expresar, por último, mi disconformidad con la sentencia por lo que considero un insuficiente desarrollo y argumentación en relación con cuestiones planteadas por el recurrente, y cuyo tratamiento efectivo pudiera haber determinado que el fallo fuese otro y de mayor alcance.</w:t>
      </w:r>
    </w:p>
    <w:p w14:paraId="706B7E2C" w14:textId="77777777" w:rsidR="003754FE" w:rsidRDefault="003754FE" w:rsidP="003754FE">
      <w:pPr>
        <w:pStyle w:val="TextoNormal"/>
      </w:pPr>
    </w:p>
    <w:p w14:paraId="21E09F96" w14:textId="77777777" w:rsidR="003754FE" w:rsidRDefault="003754FE" w:rsidP="003754FE">
      <w:pPr>
        <w:pStyle w:val="TextoNormal"/>
      </w:pPr>
      <w:r>
        <w:t xml:space="preserve">12. En primer lugar, el análisis de la constitucionalidad/inconstitucionalidad de la Ley 1/2022 desde la perspectiva de lo que la sentencia llama “motivo general de inconstitucionalidad” en relación con el art. 149.1.1 CE, me parece insuficiente — a tenor de la propia metodología empleada por la </w:t>
      </w:r>
      <w:r w:rsidRPr="003754FE">
        <w:rPr>
          <w:i/>
        </w:rPr>
        <w:t>ratio decidendi</w:t>
      </w:r>
      <w:r>
        <w:t xml:space="preserve"> de la sentencia—.</w:t>
      </w:r>
    </w:p>
    <w:p w14:paraId="42D10473" w14:textId="77777777" w:rsidR="003754FE" w:rsidRDefault="003754FE" w:rsidP="003754FE">
      <w:pPr>
        <w:pStyle w:val="TextoNormal"/>
      </w:pPr>
    </w:p>
    <w:p w14:paraId="04967830" w14:textId="77777777" w:rsidR="003754FE" w:rsidRDefault="003754FE" w:rsidP="003754FE">
      <w:pPr>
        <w:pStyle w:val="TextoNormal"/>
      </w:pPr>
      <w:r>
        <w:t xml:space="preserve">13. En relación con esa cuestión, la sentencia ha rechazado los óbices planteados por la representación del legislador autonómico sobre el carácter genérico de la queja del recurrente. El rechazo se ha justificado advirtiendo que la normativa básica estatal que debe servir de parámetro para apreciar la infracción del art. 149.1.1 CE, conforme al principio </w:t>
      </w:r>
      <w:r w:rsidRPr="003754FE">
        <w:rPr>
          <w:i/>
        </w:rPr>
        <w:t>lex superveniens</w:t>
      </w:r>
      <w:r>
        <w:t>, es la Ley 12/2023, de 24 de mayo, que es de fecha posterior al recurso, circunstancia que lógicamente impedía al recurrente llevar a cabo la tarea de contraste que en otro caso le hubiese resultado exigible. En esas circunstancias, estimo que esa tarea le corresponde al tribunal que, sin embargo, no la ha llevado a cabo, sustituyéndose el análisis debido por un párrafo en el que se afirma que no “es posible apreciar, en una valoración global, que exista una contradicción entre los objetivos perseguidos por la legislación estatal en materia de vivienda y la regulación de la Ley 1/2022”. Las escasas líneas que siguen a continuación añaden poco más a esa “</w:t>
      </w:r>
      <w:r w:rsidRPr="003754FE">
        <w:rPr>
          <w:i/>
        </w:rPr>
        <w:t>valoración global</w:t>
      </w:r>
      <w:r>
        <w:t xml:space="preserve">”, y ningún análisis de contraste real </w:t>
      </w:r>
      <w:r>
        <w:lastRenderedPageBreak/>
        <w:t>se lleva a cabo en la sentencia en relación con los distintos contenidos de la legislación básica (art. 6 “Principio de igualdad y no discriminación en la vivienda”; art. 7 “Principios de la función social de la vivienda”; art. 10 “Derechos y facultades de la propiedad de la vivienda”; art. 11 “Deberes y cargas”; art 14 “Situaciones de especial vulnerabilidad”). Tendrá que ser, me temo, en futuras cuestiones de inconstitucionalidad donde se acabe llevando a cabo el análisis que ahora se ha omitido.</w:t>
      </w:r>
    </w:p>
    <w:p w14:paraId="200BF704" w14:textId="77777777" w:rsidR="003754FE" w:rsidRDefault="003754FE" w:rsidP="003754FE">
      <w:pPr>
        <w:pStyle w:val="TextoNormal"/>
      </w:pPr>
    </w:p>
    <w:p w14:paraId="1C7B803C" w14:textId="77777777" w:rsidR="003754FE" w:rsidRDefault="003754FE" w:rsidP="003754FE">
      <w:pPr>
        <w:pStyle w:val="TextoNormal"/>
      </w:pPr>
      <w:r>
        <w:t>14. En segundo lugar, en relación con el alegato de la recurrente sobre “la falta de compensación económica, en supuestos en los que restrinjan las facultades dominicales del propietario de la vivienda (por incumplimiento de la función social) sin contraprestación”, la sentencia afirma por una parte, que se ha incurrido en un “incumplimiento de la carga alegatoria” por parte del recurrente, y por otra, que se trata de un régimen proveniente de la anterior Ley 24/2015, que el recurrente no impugnó en su momento. Con fundamento en esas tachas, se ha omitido el análisis de aquella objeción principal. Sin embargo, solo ya teniendo en cuenta el texto de la propia sentencia que recoge las alegaciones de la recurrente (“conlleva una pérdida económica que hace irreconocible el derecho a la propiedad”; “e incluso dar lugar a la expropiación”; “la cesión se realiza ‘sin una compensación adecuada’”; u “obligarle a ofrecer alquileres forzosos con rentas totalmente antieconómicas”) puede apreciarse una argumentación explícita acerca de la pretensión de “ser indemnizado por las limitaciones dominicales”. El planteamiento del recurrente, que no puede tacharse de intrascendente ni expuesto de manera insuficiente, no obtiene respuesta, lo que juzgo imprescindible en tanto que —como alega él mismo— el régimen de las Leyes autonómicas 18/2007, 24/2015 y 4/2016 modificado por la Ley 1/2022 introduce gravámenes privativos de facultades dominicales sin indemnización, que pudieran ser lesivos del contenido esencial del derecho de propiedad que protege el art. 33. 3 CE. En este mismo sentido, la ampliación por la Ley 1/2022 del plazo de cesión obligatoria de la vivienda al fondo autonómico (por incumplimiento de la obligación de ocupación) de 3 a 7 años, no me parece una limitación del dominio accidental, como para no haber recibido una respuesta constitucional sobre la ausencia de compensación. Tendrá que ser otra vez en el futuro, en el seno de las más que probables cuestiones de inconstitucionalidad, donde se tenga que llevar a cabo el análisis que ahora se omite indebidamente.</w:t>
      </w:r>
    </w:p>
    <w:p w14:paraId="35A7913D" w14:textId="77777777" w:rsidR="003754FE" w:rsidRDefault="003754FE" w:rsidP="003754FE">
      <w:pPr>
        <w:pStyle w:val="TextoNormal"/>
      </w:pPr>
    </w:p>
    <w:p w14:paraId="10395DD8" w14:textId="77777777" w:rsidR="003754FE" w:rsidRDefault="003754FE" w:rsidP="003754FE">
      <w:pPr>
        <w:pStyle w:val="TextoNormal"/>
      </w:pPr>
      <w:r>
        <w:t>15. Por último, entiendo que la tacha que el recurrente dirige contra el art. 9.2 de la Ley 1/2022, en relación con el art. 9.3 CE era tributaria de un análisis más detenido.</w:t>
      </w:r>
    </w:p>
    <w:p w14:paraId="27C8C50F" w14:textId="77777777" w:rsidR="003754FE" w:rsidRDefault="003754FE" w:rsidP="003754FE">
      <w:pPr>
        <w:pStyle w:val="TextoNormal"/>
      </w:pPr>
    </w:p>
    <w:p w14:paraId="71112BB9" w14:textId="77777777" w:rsidR="003754FE" w:rsidRDefault="003754FE" w:rsidP="003754FE">
      <w:pPr>
        <w:pStyle w:val="TextoNormal"/>
      </w:pPr>
      <w:r>
        <w:t>16. Como consta en el punto II (párrafo cuarto) de este voto, la advertencia de que, ateniéndonos al redactado de la norma impugnada, cabría la posibilidad de que se considerase “gran tenedor” en Cataluña, a un propietario sin tener ninguna vivienda en ese territorio, se ha despachado con la afirmación de que “queda fuera de toda duda que la persona jurídica que no tenga ninguna vivienda en la Comunidad Autónoma de Cataluña no va a estar sometida a las previsiones de la Ley 24/2015, por mucho que pudiera ostentar la condición de gran tenedor de acuerdo con la definición del art. 9.2 b) de aquella. Esta conclusión deriva necesariamente del principio de territorialidad de las competencias, que es algo implícito al propio sistema de autonomías territoriales, y que significa que las competencias autonómicas deben tener por objeto fenómenos, situaciones o relaciones radicadas en el territorio de la propia comunidad autónoma”.</w:t>
      </w:r>
    </w:p>
    <w:p w14:paraId="0BBA2FEE" w14:textId="77777777" w:rsidR="003754FE" w:rsidRDefault="003754FE" w:rsidP="003754FE">
      <w:pPr>
        <w:pStyle w:val="TextoNormal"/>
      </w:pPr>
    </w:p>
    <w:p w14:paraId="009A9B86" w14:textId="77777777" w:rsidR="003754FE" w:rsidRDefault="003754FE" w:rsidP="003754FE">
      <w:pPr>
        <w:pStyle w:val="TextoNormal"/>
      </w:pPr>
      <w:r>
        <w:lastRenderedPageBreak/>
        <w:t>17. Convengo en aceptar con la sentencia que nuestro marco jurídico de distribución de competencias, y el papel que en él juega el principio de territorialidad, es precisamente el que se indica en el párrafo transcrito; pero otra cosa totalmente diferente es que “quede fuera de toda duda” que esa sea la aplicación que se vaya a hacer de la literalidad de la Ley. A mi juicio, hubiera sido conveniente un análisis más acabado de ese principio aplicado al caso concreto, es decir, a la materia concreta y a las previsiones también concretas de la Ley, sobre todo para distinguir los supuestos de aplicación extraterritorial, proscritos por nuestra Constitución, de los supuestos de aplicación territorial con efectos o consecuencias extraterritoriales, que sí serían admisibles. Ese análisis se ha omitido con fundamento en una presunción de cómo será aplicada la ley, excluyendo con ello la posibilidad de un fallo interpretativo en relación con el art. 9.2 de la Ley 1/2022, que hubiera resultado de todo punto conveniente.</w:t>
      </w:r>
    </w:p>
    <w:p w14:paraId="17F3DA65" w14:textId="77777777" w:rsidR="003754FE" w:rsidRDefault="003754FE" w:rsidP="003754FE">
      <w:pPr>
        <w:pStyle w:val="TextoNormal"/>
      </w:pPr>
    </w:p>
    <w:p w14:paraId="7D75519D" w14:textId="010E1489" w:rsidR="003754FE" w:rsidRDefault="003754FE" w:rsidP="003754FE">
      <w:pPr>
        <w:pStyle w:val="TextoNormal"/>
      </w:pPr>
      <w:r>
        <w:t>Madrid, a ocho de octubre de dos mil veinticuatro.</w:t>
      </w:r>
    </w:p>
    <w:p w14:paraId="0857F59A" w14:textId="3175B966" w:rsidR="003754FE" w:rsidRDefault="003754FE">
      <w:pPr>
        <w:spacing w:after="160" w:line="278" w:lineRule="auto"/>
        <w:rPr>
          <w:rFonts w:ascii="Times New Roman" w:eastAsia="Times New Roman" w:hAnsi="Times New Roman" w:cs="Times New Roman"/>
          <w:sz w:val="24"/>
          <w:szCs w:val="24"/>
          <w:lang w:eastAsia="es-ES"/>
        </w:rPr>
      </w:pPr>
      <w:r>
        <w:br w:type="page"/>
      </w:r>
    </w:p>
    <w:p w14:paraId="3DCDB50E" w14:textId="77777777" w:rsidR="003754FE" w:rsidRDefault="003754FE" w:rsidP="003754FE">
      <w:pPr>
        <w:pStyle w:val="TtuloResolucin"/>
      </w:pPr>
      <w:bookmarkStart w:id="30" w:name="SENTENCIA_2024_121"/>
      <w:r>
        <w:lastRenderedPageBreak/>
        <w:t>SENTENCIA 121/2024, de 9 de octubre de 2024</w:t>
      </w:r>
    </w:p>
    <w:bookmarkEnd w:id="30"/>
    <w:p w14:paraId="7805DB14" w14:textId="77777777" w:rsidR="003754FE" w:rsidRDefault="003754FE" w:rsidP="003754FE">
      <w:pPr>
        <w:pStyle w:val="TtuloResolucin"/>
      </w:pPr>
      <w:r>
        <w:t>Pleno</w:t>
      </w:r>
    </w:p>
    <w:p w14:paraId="656EBC2A" w14:textId="77777777" w:rsidR="003754FE" w:rsidRDefault="003754FE" w:rsidP="003754FE">
      <w:pPr>
        <w:pStyle w:val="TtuloBOE"/>
      </w:pPr>
      <w:r>
        <w:t>(BOE núm. 277, de 16 de noviembre de 2024)</w:t>
      </w:r>
    </w:p>
    <w:p w14:paraId="4538E517" w14:textId="77777777" w:rsidR="003754FE" w:rsidRDefault="003754FE" w:rsidP="003754FE">
      <w:pPr>
        <w:pStyle w:val="TextoNormalCentrado"/>
      </w:pPr>
      <w:r>
        <w:t>ECLI:ES:TC:2024:121</w:t>
      </w:r>
    </w:p>
    <w:p w14:paraId="7656C32B" w14:textId="798A2EF8" w:rsidR="003754FE" w:rsidRDefault="003754FE" w:rsidP="003754FE">
      <w:pPr>
        <w:pStyle w:val="TextoNormalCentrado"/>
      </w:pPr>
    </w:p>
    <w:p w14:paraId="49B0FC76" w14:textId="77777777" w:rsidR="003754FE" w:rsidRDefault="003754FE" w:rsidP="003754FE">
      <w:pPr>
        <w:pStyle w:val="SntesisDescriptiva"/>
      </w:pPr>
      <w:r>
        <w:t>Recurso de inconstitucionalidad 5542-2021. Interpuesto por más de cincuenta diputados del Grupo Parlamentario Vox en el Congreso contra el Decreto-ley 15/2021, de 6 de julio, de creación del fondo complementario de riesgos de la Generalitat de Cataluña.</w:t>
      </w:r>
    </w:p>
    <w:p w14:paraId="01042891" w14:textId="1794FCBF" w:rsidR="003754FE" w:rsidRDefault="003754FE" w:rsidP="003754FE">
      <w:pPr>
        <w:pStyle w:val="SntesisDescriptiva"/>
      </w:pPr>
    </w:p>
    <w:p w14:paraId="4DA362A9" w14:textId="77777777" w:rsidR="003754FE" w:rsidRDefault="003754FE" w:rsidP="003754FE">
      <w:pPr>
        <w:pStyle w:val="SntesisAnaltica"/>
      </w:pPr>
      <w:r>
        <w:t>Límites de los decretos leyes: nulidad de la norma autonómica al no levantarse la carga de justificación de la concurrencia del presupuesto habilitante de la extraordinaria y urgente necesidad. Votos particulares.</w:t>
      </w:r>
    </w:p>
    <w:p w14:paraId="2116C6F3" w14:textId="01DB1AE5" w:rsidR="003754FE" w:rsidRDefault="003754FE" w:rsidP="003754FE">
      <w:pPr>
        <w:pStyle w:val="SntesisAnaltica"/>
      </w:pPr>
    </w:p>
    <w:p w14:paraId="4F175A37" w14:textId="104C4BDC" w:rsidR="003754FE" w:rsidRDefault="003754FE" w:rsidP="003754FE">
      <w:pPr>
        <w:pStyle w:val="Extracto"/>
      </w:pPr>
      <w:r>
        <w:t>1.</w:t>
      </w:r>
      <w:r>
        <w:tab/>
        <w:t>Se reitera doctrina constitucional relativa a que la apreciación y debida justificación de la concurrencia de la extraordinaria y urgente necesidad constituye una exigencia constitucional y un juicio político que corresponde efectuar tanto al Ejecutivo para dictar un decreto-ley como al Congreso de los Diputados, o a la Cámara autonómica, para, llegado el caso, convalidarlo en votación de totalidad -arts. 86.1 y 2 CE y 64.1 y 2 EAC- (SSTC 332/2005, 107/2015, 125/2016 o 166/2023) [FJ 4].</w:t>
      </w:r>
    </w:p>
    <w:p w14:paraId="58B6C191" w14:textId="77777777" w:rsidR="003754FE" w:rsidRDefault="003754FE" w:rsidP="003754FE">
      <w:pPr>
        <w:pStyle w:val="Extracto"/>
      </w:pPr>
    </w:p>
    <w:p w14:paraId="2E1B4A2D" w14:textId="77777777" w:rsidR="003754FE" w:rsidRDefault="003754FE" w:rsidP="003754FE">
      <w:pPr>
        <w:pStyle w:val="Extracto"/>
      </w:pPr>
    </w:p>
    <w:p w14:paraId="43166EDB"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65227F87" w14:textId="014B5C09" w:rsidR="003754FE" w:rsidRDefault="003754FE" w:rsidP="003754FE">
      <w:pPr>
        <w:pStyle w:val="TextoNormal"/>
      </w:pPr>
    </w:p>
    <w:p w14:paraId="69C8A5F7" w14:textId="77777777" w:rsidR="003754FE" w:rsidRDefault="003754FE" w:rsidP="003754FE">
      <w:pPr>
        <w:pStyle w:val="TextoNormalCentrado"/>
        <w:keepNext/>
      </w:pPr>
      <w:r>
        <w:t>EN NOMBRE DEL REY</w:t>
      </w:r>
    </w:p>
    <w:p w14:paraId="4CC7F832" w14:textId="2E897134" w:rsidR="003754FE" w:rsidRDefault="003754FE" w:rsidP="003754FE">
      <w:pPr>
        <w:pStyle w:val="TextoNormalCentrado"/>
        <w:keepNext/>
      </w:pPr>
    </w:p>
    <w:p w14:paraId="2FF536DE" w14:textId="77777777" w:rsidR="003754FE" w:rsidRDefault="003754FE" w:rsidP="003754FE">
      <w:pPr>
        <w:pStyle w:val="TextoNormalCentrado"/>
        <w:keepNext/>
      </w:pPr>
    </w:p>
    <w:p w14:paraId="4FDB0540" w14:textId="77777777" w:rsidR="003754FE" w:rsidRDefault="003754FE" w:rsidP="003754FE">
      <w:pPr>
        <w:pStyle w:val="TextoNormal"/>
      </w:pPr>
      <w:r>
        <w:t>la siguiente</w:t>
      </w:r>
    </w:p>
    <w:p w14:paraId="6F473AFF" w14:textId="1AAF3D9A" w:rsidR="003754FE" w:rsidRDefault="003754FE" w:rsidP="003754FE">
      <w:pPr>
        <w:pStyle w:val="TextoNormal"/>
      </w:pPr>
    </w:p>
    <w:p w14:paraId="7C30EDBA" w14:textId="77777777" w:rsidR="003754FE" w:rsidRDefault="003754FE" w:rsidP="003754FE">
      <w:pPr>
        <w:pStyle w:val="TextoNormalCentrado"/>
        <w:keepNext/>
      </w:pPr>
      <w:r>
        <w:t>SENTENCIA</w:t>
      </w:r>
    </w:p>
    <w:p w14:paraId="7EF7EB72" w14:textId="081080FC" w:rsidR="003754FE" w:rsidRDefault="003754FE" w:rsidP="003754FE">
      <w:pPr>
        <w:pStyle w:val="TextoNormalCentrado"/>
        <w:keepNext/>
      </w:pPr>
    </w:p>
    <w:p w14:paraId="0BE76B64" w14:textId="77777777" w:rsidR="003754FE" w:rsidRDefault="003754FE" w:rsidP="003754FE">
      <w:pPr>
        <w:pStyle w:val="TextoNormal"/>
      </w:pPr>
      <w:r>
        <w:t>En el recurso de inconstitucionalidad 5542-2021, interpuesto por más de cincuenta diputados del Grupo Parlamentario Vox en el Congreso de los Diputados contra el Decreto-ley 15/2021, de 6 de julio, de creación del fondo complementario de riesgos de la Generalitat de Cataluña. Han formulado alegaciones el Parlamento de Cataluña y el Gobierno de la Generalitat. Ha sido ponente el magistrado don César Tolosa Tribiño.</w:t>
      </w:r>
    </w:p>
    <w:p w14:paraId="5218C67E" w14:textId="2802BBB2" w:rsidR="003754FE" w:rsidRDefault="003754FE" w:rsidP="003754FE">
      <w:pPr>
        <w:pStyle w:val="TextoNormal"/>
      </w:pPr>
    </w:p>
    <w:p w14:paraId="54F9FCFE" w14:textId="77777777" w:rsidR="003754FE" w:rsidRDefault="003754FE" w:rsidP="003754FE">
      <w:pPr>
        <w:pStyle w:val="TextoNormalNegritaCentrado"/>
        <w:keepNext/>
      </w:pPr>
      <w:r>
        <w:t>I. Antecedentes</w:t>
      </w:r>
    </w:p>
    <w:p w14:paraId="02609134" w14:textId="4DAF310F" w:rsidR="003754FE" w:rsidRDefault="003754FE" w:rsidP="003754FE">
      <w:pPr>
        <w:pStyle w:val="TextoNormalNegritaCentrado"/>
        <w:keepNext/>
      </w:pPr>
    </w:p>
    <w:p w14:paraId="4F8EC716" w14:textId="77777777" w:rsidR="003754FE" w:rsidRDefault="003754FE" w:rsidP="003754FE">
      <w:pPr>
        <w:pStyle w:val="TextoNormal"/>
      </w:pPr>
      <w:r w:rsidRPr="003754FE">
        <w:rPr>
          <w:rStyle w:val="NumeroAFNegritaCaracter"/>
        </w:rPr>
        <w:t>1</w:t>
      </w:r>
      <w:r>
        <w:t xml:space="preserve">. Mediante escrito de 1 de septiembre de 2021, que tuvo entrada en el Tribunal Constitucional el día inmediato siguiente, el procurador de los tribunales don Antonio Ortega </w:t>
      </w:r>
      <w:r>
        <w:lastRenderedPageBreak/>
        <w:t>Fuentes presentó, con la firma como comisionado de don Juan José Aizcorbe Torra, recurso de inconstitucionalidad en nombre de más de cincuenta diputados del Grupo Parlamentario Vox en el Congreso de los Diputados contra la totalidad del Decreto-ley 15/2021, de 6 de julio, de creación del fondo complementario de riesgos de la Generalitat de Cataluña, publicado en el “Diari Oficial de la Generalitat de Catalunya” núm. 8452, de 7 de julio de 2021 (con corrección de erratas en el núm. 8453Anexo, del día inmediato siguiente) y en el “Boletín Oficial del Estado” núm. 198, de 19 de agosto de 2021 (con corrección de errores en el núm. 225, de 20 de septiembre del mismo año).</w:t>
      </w:r>
    </w:p>
    <w:p w14:paraId="3216E450" w14:textId="77777777" w:rsidR="003754FE" w:rsidRDefault="003754FE" w:rsidP="003754FE">
      <w:pPr>
        <w:pStyle w:val="TextoNormal"/>
      </w:pPr>
    </w:p>
    <w:p w14:paraId="7A2387A1" w14:textId="77777777" w:rsidR="003754FE" w:rsidRDefault="003754FE" w:rsidP="003754FE">
      <w:pPr>
        <w:pStyle w:val="TextoNormal"/>
      </w:pPr>
      <w:r>
        <w:t>La fundamentación jurídica de la demanda es, en síntesis, la siguiente.</w:t>
      </w:r>
    </w:p>
    <w:p w14:paraId="525329E0" w14:textId="77777777" w:rsidR="003754FE" w:rsidRDefault="003754FE" w:rsidP="003754FE">
      <w:pPr>
        <w:pStyle w:val="TextoNormal"/>
      </w:pPr>
    </w:p>
    <w:p w14:paraId="661DD041" w14:textId="77777777" w:rsidR="003754FE" w:rsidRDefault="003754FE" w:rsidP="003754FE">
      <w:pPr>
        <w:pStyle w:val="TextoNormal"/>
      </w:pPr>
      <w:r>
        <w:t>A) Se exponen, ante todo, unas consideraciones previas sobre el Decreto-ley 15/2021, poniendo de manifiesto los recurrentes que la disposición impugnada se enmarcaría en la continua, abierta y explícita rebeldía de la Generalitat frente a la Constitución y al Poder Judicial que se proclamó solemnemente en la resolución 1/XI, de 9 de noviembre de 2015, del Parlamento de Cataluña, declarada inconstitucional por la STC 259/2015, de 2 de diciembre, siendo incontables las resoluciones de este tribunal que, tras aquella sentencia, han exigido a la comunidad autónoma su cumplimiento y el fin del “proceso de desconexión”. Sin embargo, el legislador autonómico (de urgencia, en este caso) sigue —se añade— en la senda de la desobediencia a través ahora de la creación de un negocio jurídico anómalo que tiene por única finalidad evitar la realización de las resoluciones judiciales que cautelar o definitivamente exijan responsabilidad pecuniaria a los cargos públicos de la comunidad autónoma por delitos o alcances contra los caudales de la administración autonómica.</w:t>
      </w:r>
    </w:p>
    <w:p w14:paraId="2E420CF8" w14:textId="77777777" w:rsidR="003754FE" w:rsidRDefault="003754FE" w:rsidP="003754FE">
      <w:pPr>
        <w:pStyle w:val="TextoNormal"/>
      </w:pPr>
    </w:p>
    <w:p w14:paraId="3660BC8F" w14:textId="77777777" w:rsidR="003754FE" w:rsidRDefault="003754FE" w:rsidP="003754FE">
      <w:pPr>
        <w:pStyle w:val="TextoNormal"/>
      </w:pPr>
      <w:r>
        <w:t>En este apartado preliminar se hace referencia a tres cuestiones previas relativas al Decreto-ley impugnado que se proyectan, según explican los recurrentes, sobre los motivos de inconstitucionalidad y que atañen a la estructura y objeto del Decreto-ley, a la inaplicación del principio de indemnidad en que pretende justificarse la norma de urgencia y al negocio jurídico simulado que introduce el Decreto-ley.</w:t>
      </w:r>
    </w:p>
    <w:p w14:paraId="6E80D733" w14:textId="77777777" w:rsidR="003754FE" w:rsidRDefault="003754FE" w:rsidP="003754FE">
      <w:pPr>
        <w:pStyle w:val="TextoNormal"/>
      </w:pPr>
    </w:p>
    <w:p w14:paraId="2C07CCD6" w14:textId="77777777" w:rsidR="003754FE" w:rsidRDefault="003754FE" w:rsidP="003754FE">
      <w:pPr>
        <w:pStyle w:val="TextoNormal"/>
      </w:pPr>
      <w:r>
        <w:t>a) En relación con la estructura y objeto del Decreto-ley, resalta la demanda que este parece regular, con carácter general, un fondo compensatorio que dé cobertura a riesgos no incluidos en las pólizas de responsabilidad civil y patrimonial suscritas por la Generalitat en favor del personal al servicio de la administración autonómica y de los altos cargos y miembros del Gobierno de la Generalitat por actuaciones realizadas en el ejercicio del cargo.</w:t>
      </w:r>
    </w:p>
    <w:p w14:paraId="2BDE1EA4" w14:textId="77777777" w:rsidR="003754FE" w:rsidRDefault="003754FE" w:rsidP="003754FE">
      <w:pPr>
        <w:pStyle w:val="TextoNormal"/>
      </w:pPr>
    </w:p>
    <w:p w14:paraId="52FE85F6" w14:textId="77777777" w:rsidR="003754FE" w:rsidRDefault="003754FE" w:rsidP="003754FE">
      <w:pPr>
        <w:pStyle w:val="TextoNormal"/>
      </w:pPr>
      <w:r>
        <w:t>Su objeto real, sin embargo, es más limitado, atendiendo a un caso único bien concreto: regular la prestación de garantía en forma de contraaval o aval por la administración catalana cuando en un proceso penal o contable se considere, en fase de instrucción, la existencia de indicios de criminalidad o, en al ámbito contable, indicios de responsabilidad contable; y se exija garantía de los perjuicios económicos que la actuación de los cargos o el personal público, incursa en dolo, culpa o negligencia grave, haya podido ocasionar a la propia administración que avala o contra avala.</w:t>
      </w:r>
    </w:p>
    <w:p w14:paraId="28C33D08" w14:textId="77777777" w:rsidR="003754FE" w:rsidRDefault="003754FE" w:rsidP="003754FE">
      <w:pPr>
        <w:pStyle w:val="TextoNormal"/>
      </w:pPr>
    </w:p>
    <w:p w14:paraId="2DA4CFCC" w14:textId="77777777" w:rsidR="003754FE" w:rsidRDefault="003754FE" w:rsidP="003754FE">
      <w:pPr>
        <w:pStyle w:val="TextoNormal"/>
      </w:pPr>
      <w:r>
        <w:t xml:space="preserve">Además, el artículo 3 del Decreto-ley (“Riesgos objeto de cobertura”) se refiere, en primer lugar, a “los daños corporales y materiales y las consecuencias directas de estos daños, así como los perjuicios económicos puros, no consecuencia de daños materiales y/o corporales previos, causados por acción u omisión a terceras personas en ejercicio de su </w:t>
      </w:r>
      <w:r>
        <w:lastRenderedPageBreak/>
        <w:t>actividad”, que son el supuesto determinante de la responsabilidad patrimonial de las administraciones públicas (arts. 32.1 y 36.1 de la Ley 40/2015, de régimen jurídico del sector público), procedimiento que no se suspende por la exigencia de responsabilidad penal al personal al servicio de las administraciones públicas (art. 37 de la misma Ley), siendo la administración responsable civil subsidiaria (art. 121 del Código penal). Y a continuación a la “responsabilidad civil profesional, incluida la responsabilidad contable”.</w:t>
      </w:r>
    </w:p>
    <w:p w14:paraId="60C4D9EE" w14:textId="77777777" w:rsidR="003754FE" w:rsidRDefault="003754FE" w:rsidP="003754FE">
      <w:pPr>
        <w:pStyle w:val="TextoNormal"/>
      </w:pPr>
    </w:p>
    <w:p w14:paraId="19FE5B56" w14:textId="77777777" w:rsidR="003754FE" w:rsidRDefault="003754FE" w:rsidP="003754FE">
      <w:pPr>
        <w:pStyle w:val="TextoNormal"/>
      </w:pPr>
      <w:r>
        <w:t>Por tanto, solo restaría en el ámbito de cobertura del artículo 3 del Decreto-ley la responsabilidad civil derivada de los delitos, cuando el perjudicado es la propia administración, y la responsabilidad contable, donde es la misma administración la única potencial perjudicada (art. 15 de la Ley Orgánica 2/1982, de 12 de mayo, del Tribunal de Cuentas). Es decir, el riesgo que el Decreto-ley avala o contraavala es el perjuicio económico presuntamente causado a la administración para la que trabaja el personal al que la jurisdicción penal o contable exige la garantía por haber causado presunta o definitivamente perjuicios a los caudales públicos con dolo, culpa o negligencia grave [arts. 4 del Código penal y 49.1 de la Ley 7/1988, de 5 de abril, de funcionamiento del Tribunal de Cuentas (LFTCu)].</w:t>
      </w:r>
    </w:p>
    <w:p w14:paraId="590EF952" w14:textId="77777777" w:rsidR="003754FE" w:rsidRDefault="003754FE" w:rsidP="003754FE">
      <w:pPr>
        <w:pStyle w:val="TextoNormal"/>
      </w:pPr>
    </w:p>
    <w:p w14:paraId="790138C1" w14:textId="77777777" w:rsidR="003754FE" w:rsidRDefault="003754FE" w:rsidP="003754FE">
      <w:pPr>
        <w:pStyle w:val="TextoNormal"/>
      </w:pPr>
      <w:r>
        <w:t xml:space="preserve">b) En segundo lugar, afirman los recurrentes que es inaplicable el principio de indemnidad en el que pretende justificarse la disposición impugnada en su exposición de motivos, principio que, tal y como está definido en la legislación, regula un derecho resarcitorio por los daños y perjuicios que sufra el funcionario, por parte de terceros, en el ejercicio de su función pública, siempre que el empleado público no haya incurrido en dolo, culpa o negligencia grave [arts. 14 y 79 de la Ley Orgánica 9/2015, de 28 de julio, de régimen de personal de la Policía Nacional, y 48 </w:t>
      </w:r>
      <w:r w:rsidRPr="003754FE">
        <w:rPr>
          <w:i/>
        </w:rPr>
        <w:t>ter</w:t>
      </w:r>
      <w:r>
        <w:t xml:space="preserve"> de la Ley del Parlamento de Cataluña 10/1994, de 11 de julio, de la Policía de la Generalidad–Mossos d’Esquadra, y sentencias 956/2020, de 8 de julio (ECLI:ES:TS:2020:2345), y 1003/2020, de 15 de julio (ECLI:ES:TS:2020:2406), de la Sección Cuarta de la Sala de lo Contencioso-Administrativo del Tribunal Supremo].</w:t>
      </w:r>
    </w:p>
    <w:p w14:paraId="60E83D58" w14:textId="77777777" w:rsidR="003754FE" w:rsidRDefault="003754FE" w:rsidP="003754FE">
      <w:pPr>
        <w:pStyle w:val="TextoNormal"/>
      </w:pPr>
    </w:p>
    <w:p w14:paraId="4A24AF0B" w14:textId="77777777" w:rsidR="003754FE" w:rsidRDefault="003754FE" w:rsidP="003754FE">
      <w:pPr>
        <w:pStyle w:val="TextoNormal"/>
      </w:pPr>
      <w:r>
        <w:t>(i) El decreto-ley impugnado sería tan arbitrario que invierte el contenido del principio invocado dado que aquí se pretendería que dicho principio diera cobertura a los daños y perjuicios que el propio personal al servicio de la administración cause a la misma y a los caudales públicos cuando, además, dicho personal haya incurrido en dolo, culpa o negligencia grave. No existe, obviamente, un derecho prestacional de los empleados públicos a ser garantizados por la administración, en procesos penales o contables, por perjuicios causados a los caudales públicos de la propia administración.</w:t>
      </w:r>
    </w:p>
    <w:p w14:paraId="718821B7" w14:textId="77777777" w:rsidR="003754FE" w:rsidRDefault="003754FE" w:rsidP="003754FE">
      <w:pPr>
        <w:pStyle w:val="TextoNormal"/>
      </w:pPr>
    </w:p>
    <w:p w14:paraId="6678FE3C" w14:textId="77777777" w:rsidR="003754FE" w:rsidRDefault="003754FE" w:rsidP="003754FE">
      <w:pPr>
        <w:pStyle w:val="TextoNormal"/>
      </w:pPr>
      <w:r>
        <w:t>(ii) El propio Consejo de Garantías Estatutarias en su dictamen 2/2021, de 29 de julio, sobre el decreto-ley impugnado, habría reconocido que esta disposición no se puede incardinar en el principio de indemnidad, por más que, a continuación, haya tratado de justificarlo en el derecho a la protección que consagra el artículo 14 f) de la Ley 7/2007, de 12 de abril, del estatuto básico del empleado público (EBEP).</w:t>
      </w:r>
    </w:p>
    <w:p w14:paraId="7F800E76" w14:textId="77777777" w:rsidR="003754FE" w:rsidRDefault="003754FE" w:rsidP="003754FE">
      <w:pPr>
        <w:pStyle w:val="TextoNormal"/>
      </w:pPr>
    </w:p>
    <w:p w14:paraId="736D9872" w14:textId="77777777" w:rsidR="003754FE" w:rsidRDefault="003754FE" w:rsidP="003754FE">
      <w:pPr>
        <w:pStyle w:val="TextoNormal"/>
      </w:pPr>
      <w:r>
        <w:t xml:space="preserve">En este precepto se reconoce a los empleados públicos el derecho a la defensa jurídica y protección de la administración en los procedimientos que se sigan ante cualquier orden jurisdiccional como consecuencia del ejercicio legítimo de sus funciones o cargos públicos, lo que, para el Decreto-ley, implicaría que la administración deba cubrir las garantías por responsabilidad civil y contable del personal a su servicio mientras dure el proceso penal o contable y hasta que no sea firme la resolución que declare dicha responsabilidad por dolo, </w:t>
      </w:r>
      <w:r>
        <w:lastRenderedPageBreak/>
        <w:t>culpa o negligencia grave. El citado artículo 14 f) trae causa de la Ley de funcionarios civiles del Estado (Decreto 315/1964, de 7 de febrero), cuyo artículo 63.1 establecía que el Estado dispensará a los funcionarios la protección que requiera el ejercicio de sus cargos y les otorgará los tratamientos y consideraciones debidos a su jerarquía y a la dignidad de la función pública. También la normativa catalana sobre función pública recoge similar redacción en el artículo 93 del Decreto Legislativo 1/1997, de 31 de octubre, en el que se dispone que la Generalitat protegerá a su personal en el ejercicio de sus funciones y le otorgará la consideración debida a su jerarquía y a la dignidad del servicio público.</w:t>
      </w:r>
    </w:p>
    <w:p w14:paraId="5BB9F77F" w14:textId="77777777" w:rsidR="003754FE" w:rsidRDefault="003754FE" w:rsidP="003754FE">
      <w:pPr>
        <w:pStyle w:val="TextoNormal"/>
      </w:pPr>
    </w:p>
    <w:p w14:paraId="5ABC83A9" w14:textId="77777777" w:rsidR="003754FE" w:rsidRDefault="003754FE" w:rsidP="003754FE">
      <w:pPr>
        <w:pStyle w:val="TextoNormal"/>
      </w:pPr>
      <w:r>
        <w:t>No obstante, la jurisprudencia ha caracterizado este derecho como de asistencia jurídica y resarcimiento de los gastos judiciales en el supuesto —se subraya— de resolución firme que declare la inexistencia de responsabilidad del empleado público [sentencias 23/2021, de 27 de enero, de la Sala de lo Contencioso-Administrativo, Sección Segunda, del Tribunal Superior de Justicia de Madrid (ECLI:ES:TSJM:2021:541), y de 4 de febrero de 2002, de la Sala de lo Contencioso-Administrativo, Sección Cuarta, del Tribunal Supremo (ECLI:ES:TS:2002:656)]. Tal derecho de representación y protección se regula, en el caso de Cataluña, en el artículo 9.2 de la Ley 7/1996, de 5 de julio, de organización de los servicios jurídicos de la administración de la Generalitat, “salvo que los intereses del representado y los de la Generalidad sean opuestos o contradictorios”. Lo que no se prevé en el estatuto básico del empleado público ni en la jurisprudencia es que esta protección genere un derecho a que la administración preste aval o contraaval en garantía de la responsabilidad derivada del delito o de la responsabilidad contable, máxime cuando esas responsabilidades deriven de infracciones contra la propia administración que avala y contra los caudales públicos que gestiona.</w:t>
      </w:r>
    </w:p>
    <w:p w14:paraId="4AC93E8E" w14:textId="77777777" w:rsidR="003754FE" w:rsidRDefault="003754FE" w:rsidP="003754FE">
      <w:pPr>
        <w:pStyle w:val="TextoNormal"/>
      </w:pPr>
    </w:p>
    <w:p w14:paraId="2AC72001" w14:textId="77777777" w:rsidR="003754FE" w:rsidRDefault="003754FE" w:rsidP="003754FE">
      <w:pPr>
        <w:pStyle w:val="TextoNormal"/>
      </w:pPr>
      <w:r>
        <w:t>(iii) Pero es que, además, la exposición de motivos del Decreto-ley, después de considerar como fundamento del fondo el artículo 14 f) EBEP, extiende de forma apodíctica esta garantía a “los altos cargos y miembros del Gobierno” (apartado II) y así se recoge en el artículo 2, señalando los recurrentes que, a los efectos del estatuto básico del empleado público, no se consideran empleados públicos al personal directivo profesional (arts. 2, 8 y 13 EBEP), que tiene su regulación específica, para Cataluña, en la disposición adicional vigésima primera de la Ley del Parlamento de Cataluña 2/2014 (2004, se dice con error material), de 27 de enero, de medidas fiscales, administrativas, financieras y del sector público (“personal directivo del sector público de la Generalidad de Cataluña”) y menos aún se incluyen en ese ámbito los altos cargos (secretarios generales y directores generales), regulados por el artículo 5.3 de la Ley del Parlamento de Cataluña 13/1989, de 14 de diciembre, de organización, procedimiento y régimen jurídico de la administración de la Generalitat y los miembros de su Gobierno (presidente y consejeros), regulados por los artículos 13 y siguientes de la Ley del Parlamento de Cataluña 13/2008, de 5 de noviembre, de la Presidencia de la Generalitat y del Gobierno. Los miembros del Gobierno tienen su propio estatuto en esta última Ley, de tal manera que cualquier regulación deberá estar prevista en tal norma específica, a la que el artículo 68.3 del Estatuto de Autonomía de Cataluña (EAC) reserva la organización, el funcionamiento y las atribuciones del Gobierno, norma que es una de las leyes de desarrollo básico del estatuto, cuya aprobación requiere el voto favorable de la mayoría absoluta del pleno del Parlamento y queda excluida del decreto-ley (arts. 62.2 y 64.1 EAC).</w:t>
      </w:r>
    </w:p>
    <w:p w14:paraId="552D636A" w14:textId="77777777" w:rsidR="003754FE" w:rsidRDefault="003754FE" w:rsidP="003754FE">
      <w:pPr>
        <w:pStyle w:val="TextoNormal"/>
      </w:pPr>
    </w:p>
    <w:p w14:paraId="28126E99" w14:textId="77777777" w:rsidR="003754FE" w:rsidRDefault="003754FE" w:rsidP="003754FE">
      <w:pPr>
        <w:pStyle w:val="TextoNormal"/>
      </w:pPr>
      <w:r>
        <w:lastRenderedPageBreak/>
        <w:t>El derecho de protección del artículo 14 f) EBEP solo sería predicable, por lo expuesto, de los empleados públicos, no automáticamente del personal directivo ni de los altos cargos y miembros del Gobierno.</w:t>
      </w:r>
    </w:p>
    <w:p w14:paraId="6535E4E0" w14:textId="77777777" w:rsidR="003754FE" w:rsidRDefault="003754FE" w:rsidP="003754FE">
      <w:pPr>
        <w:pStyle w:val="TextoNormal"/>
      </w:pPr>
    </w:p>
    <w:p w14:paraId="410F7240" w14:textId="77777777" w:rsidR="003754FE" w:rsidRDefault="003754FE" w:rsidP="003754FE">
      <w:pPr>
        <w:pStyle w:val="TextoNormal"/>
      </w:pPr>
      <w:r>
        <w:t>c) Finalmente, señalan los recurrentes que el Decreto-ley introduciría un verdadero negocio jurídico simulado.</w:t>
      </w:r>
    </w:p>
    <w:p w14:paraId="4E5C74A7" w14:textId="77777777" w:rsidR="003754FE" w:rsidRDefault="003754FE" w:rsidP="003754FE">
      <w:pPr>
        <w:pStyle w:val="TextoNormal"/>
      </w:pPr>
    </w:p>
    <w:p w14:paraId="3A17B9B3" w14:textId="77777777" w:rsidR="003754FE" w:rsidRDefault="003754FE" w:rsidP="003754FE">
      <w:pPr>
        <w:pStyle w:val="TextoNormal"/>
      </w:pPr>
      <w:r>
        <w:t>(i) Regula la prestación de la garantía por parte de la administración perjudicada y, como es notorio, la fianza exige la presencia de un tercero que garantice en nombre del deudor la deuda ante el acreedor; y, por ello, la confusión de la persona del acreedor con el tercero que afianza determina la inexistencia de la garantía (arts. 1192 y 1193 del Código civil), citándose en este punto la sentencia 44/2021, de 2 de febrero, de la Sala de lo Civil del Tribunal Supremo.</w:t>
      </w:r>
    </w:p>
    <w:p w14:paraId="0171E90D" w14:textId="77777777" w:rsidR="003754FE" w:rsidRDefault="003754FE" w:rsidP="003754FE">
      <w:pPr>
        <w:pStyle w:val="TextoNormal"/>
      </w:pPr>
    </w:p>
    <w:p w14:paraId="3620DB32" w14:textId="77777777" w:rsidR="003754FE" w:rsidRDefault="003754FE" w:rsidP="003754FE">
      <w:pPr>
        <w:pStyle w:val="TextoNormal"/>
      </w:pPr>
      <w:r>
        <w:t>En el supuesto de contraaval regulado en el artículo 4.7 del Decreto-ley, si concluyera el proceso penal o contable declarando la responsabilidad por dolo, culpa o negligencia grave del alto cargo o empleado público, el perjudicado (la administración) habría de exigir la ejecución del aval y la entidad dirigirse contra el depósito constituido por la propia administración perjudicada. Y en el caso del aval directo (disposición transitoria) sería aún más arbitrario si cabe, ya que la propia administración debería autoejecutarse el aval para indemnizarse a sí misma.</w:t>
      </w:r>
    </w:p>
    <w:p w14:paraId="19EF761D" w14:textId="77777777" w:rsidR="003754FE" w:rsidRDefault="003754FE" w:rsidP="003754FE">
      <w:pPr>
        <w:pStyle w:val="TextoNormal"/>
      </w:pPr>
    </w:p>
    <w:p w14:paraId="67E12C25" w14:textId="77777777" w:rsidR="003754FE" w:rsidRDefault="003754FE" w:rsidP="003754FE">
      <w:pPr>
        <w:pStyle w:val="TextoNormal"/>
      </w:pPr>
      <w:r>
        <w:t>Todo esto —se añade— puede parecer kafkiano, pero es lo que hace la norma de urgencia, una verdadera estafa sin precedentes a los caudales públicos y a los principios constitucionales que presiden la actuación de los poderes públicos. En ambos supuestos (aval o contraaval) no existe garantía alguna en favor del perjudicado y los condenados, penal o contablemente, quedarían exentos de la responsabilidad civil judicialmente declarada, siendo el perjudicado por la infracción el que asumiría el daño y la propia ciudadanía quien finalmente sufragaría los perjuicios producidos con dolo, culpa o negligencia grave contra los caudales públicos.</w:t>
      </w:r>
    </w:p>
    <w:p w14:paraId="510B2ACA" w14:textId="77777777" w:rsidR="003754FE" w:rsidRDefault="003754FE" w:rsidP="003754FE">
      <w:pPr>
        <w:pStyle w:val="TextoNormal"/>
      </w:pPr>
    </w:p>
    <w:p w14:paraId="6B3CD8EF" w14:textId="77777777" w:rsidR="003754FE" w:rsidRDefault="003754FE" w:rsidP="003754FE">
      <w:pPr>
        <w:pStyle w:val="TextoNormal"/>
      </w:pPr>
      <w:r>
        <w:t>(ii) Adicionalmente, la “obligación de retorno” que regula el artículo 5 del Decreto-ley tampoco sería real, pues no es sino la exigencia por el perjudicado (la administración) de la responsabilidad civil derivada del delito o de la responsabilidad contable y la administración ha de acudir al procedimiento de recaudación, dado que no existe garantía alguna de la deuda, aunque esta se haya impuesto judicialmente, ya que la norma impugnada tiene por único objeto permitir al alto cargo o empleado la elusión de tal garantía. La inexistencia de garantía se constataría al analizar el anexo I del Decreto-ley, que regula el modelo de solicitud al Instituto Catalán de Finanzas, en el que el solicitante no se compromete a devolver la cantidad avalada, sino los “gastos e intereses correspondientes” a dicha cantidad, caso de condena firme (apartado cuarto del modelo).</w:t>
      </w:r>
    </w:p>
    <w:p w14:paraId="001BEE28" w14:textId="77777777" w:rsidR="003754FE" w:rsidRDefault="003754FE" w:rsidP="003754FE">
      <w:pPr>
        <w:pStyle w:val="TextoNormal"/>
      </w:pPr>
    </w:p>
    <w:p w14:paraId="17D15E87" w14:textId="77777777" w:rsidR="003754FE" w:rsidRDefault="003754FE" w:rsidP="003754FE">
      <w:pPr>
        <w:pStyle w:val="TextoNormal"/>
      </w:pPr>
      <w:r>
        <w:t xml:space="preserve">(iii) Pero la cuestión sería mucho más grave si se ve cómo opera, paso a paso, el Decreto-ley impugnado: (a) una vez exigida judicialmente la prestación de fianza, es la administración la que presta una garantía absolutamente simulada, que consistiría en que el propio perjudicado se ejecutaría a sí mismo para resarcirse de los daños causados; (b) condenado en firme el alto cargo o empleado público, la responsabilidad civil que el Decreto-ley denomina eufemísticamente “obligación de retorno” (art. 5) no se exigiría al causante del daño </w:t>
      </w:r>
      <w:r>
        <w:lastRenderedPageBreak/>
        <w:t>hasta que no se hubieran “agotado todas las vías de impugnación judiciales y jurisdiccionales, estatales e internacionales”, señalando en este punto los recurrentes que tanto la responsabilidad civil derivada del delito [art. 794 de la Ley de enjuiciamiento criminal (LECrim)] como la contable (art. 85 LFTCu) es exigible desde la firmeza de la sentencia de condena, siendo sentencias firmes aquellas contra las que no quepa recurso alguno, salvo el de revisión u otros extraordinarios que establezca la ley [art. 245.3 de la Ley Orgánica 6/1985, de 1 de julio, del Poder Judicial (LOPJ)], o aquellas contra las que no cabe recurso alguno, bien por no preverlo la ley, bien porque, estando previsto, ha transcurrido el plazo legalmente fijado sin que ninguna de las partes lo haya presentado [art. 207.2 de la Ley de enjuiciamiento civil (LEC)]. Pues bien, el Decreto-ley no solo privaría a los caudales públicos de la protección judicialmente exigida de la prestación de fianza, sino que, de manera absolutamente insólita, incidiría en la propia ejecución de la sentencia firme condenatoria, retrasando la exigencia de responsabilidad civil o contable hasta el agotamiento de todas las vías de impugnación “estatales e internacionales”, es decir, durante la tramitación y hasta la terminación del eventual recurso de amparo ante el Tribunal Constitucional, de la acción ante el Tribunal Europeo de Derechos Humanos o incluso de las quejas ante los distintos comités de Naciones Unidas, la administración que de manera insólita se garantiza a sí misma se obliga a no repercutir el daño causado a los caudales públicos sobre el causante de tales daños más allá de la firmeza de la resolución condenatoria y hasta la conclusión de toda la posible cadena de reclamaciones internacionales.</w:t>
      </w:r>
    </w:p>
    <w:p w14:paraId="4067ED2C" w14:textId="77777777" w:rsidR="003754FE" w:rsidRDefault="003754FE" w:rsidP="003754FE">
      <w:pPr>
        <w:pStyle w:val="TextoNormal"/>
      </w:pPr>
    </w:p>
    <w:p w14:paraId="705E4BCC" w14:textId="77777777" w:rsidR="003754FE" w:rsidRDefault="003754FE" w:rsidP="003754FE">
      <w:pPr>
        <w:pStyle w:val="TextoNormal"/>
      </w:pPr>
      <w:r>
        <w:t>Difícilmente se encontrará —concluye en este punto la demanda— un arquetipo más exacto de legislación rigurosamente arbitraria.</w:t>
      </w:r>
    </w:p>
    <w:p w14:paraId="3EE0F1B9" w14:textId="77777777" w:rsidR="003754FE" w:rsidRDefault="003754FE" w:rsidP="003754FE">
      <w:pPr>
        <w:pStyle w:val="TextoNormal"/>
      </w:pPr>
    </w:p>
    <w:p w14:paraId="6CC00657" w14:textId="77777777" w:rsidR="003754FE" w:rsidRDefault="003754FE" w:rsidP="003754FE">
      <w:pPr>
        <w:pStyle w:val="TextoNormal"/>
      </w:pPr>
      <w:r>
        <w:t>d) Tras estas cuestiones previas relativas al Decreto-ley 15/2021, la demanda desarrolla los motivos concretos de inconstitucionalidad, explicando que dada la absoluta excepcionalidad del caso y la evidencia de las vulneraciones sustantivas que se invocarán, el Tribunal Constitucional debiera pronunciarse en primer lugar sobre estas vulneraciones, para solo subsidiariamente entrar a analizar el último motivo, referido a la falta de concurrencia de los presupuestos para el dictado de esta norma de urgencia.</w:t>
      </w:r>
    </w:p>
    <w:p w14:paraId="6E867BD8" w14:textId="77777777" w:rsidR="003754FE" w:rsidRDefault="003754FE" w:rsidP="003754FE">
      <w:pPr>
        <w:pStyle w:val="TextoNormal"/>
      </w:pPr>
    </w:p>
    <w:p w14:paraId="29D7A416" w14:textId="77777777" w:rsidR="003754FE" w:rsidRDefault="003754FE" w:rsidP="003754FE">
      <w:pPr>
        <w:pStyle w:val="TextoNormal"/>
      </w:pPr>
      <w:r>
        <w:t>B) En primer lugar, denuncian los recurrentes que el Decreto-ley incurriría en manifiesta arbitrariedad, con vulneración del artículo 9.3, en relación con los artículos 31.2 y 103.1, todos de la Constitución.</w:t>
      </w:r>
    </w:p>
    <w:p w14:paraId="3C375CBB" w14:textId="77777777" w:rsidR="003754FE" w:rsidRDefault="003754FE" w:rsidP="003754FE">
      <w:pPr>
        <w:pStyle w:val="TextoNormal"/>
      </w:pPr>
    </w:p>
    <w:p w14:paraId="5A9918D3" w14:textId="77777777" w:rsidR="003754FE" w:rsidRDefault="003754FE" w:rsidP="003754FE">
      <w:pPr>
        <w:pStyle w:val="TextoNormal"/>
      </w:pPr>
      <w:r>
        <w:t>a) Tras invocar la jurisprudencia constitucional sobre la interdicción de la arbitrariedad del legislador (SSTC 49/2008, 9 de abril, FJ 5, y 93/2017, 6 de julio, FJ 3), se reitera que el Decreto-ley es el arquetipo o paradigma de ley arbitraria.</w:t>
      </w:r>
    </w:p>
    <w:p w14:paraId="24598B14" w14:textId="77777777" w:rsidR="003754FE" w:rsidRDefault="003754FE" w:rsidP="003754FE">
      <w:pPr>
        <w:pStyle w:val="TextoNormal"/>
      </w:pPr>
    </w:p>
    <w:p w14:paraId="45B5DB70" w14:textId="77777777" w:rsidR="003754FE" w:rsidRDefault="003754FE" w:rsidP="003754FE">
      <w:pPr>
        <w:pStyle w:val="TextoNormal"/>
      </w:pPr>
      <w:r>
        <w:t xml:space="preserve">La única finalidad real del Decreto-ley (negocio jurídico oculto, en la terminología de la simulación) sería procurar la máxima impunidad de los altos cargos y empleados públicos que malversaron caudales públicos en actuaciones del llamado proceso de desconexión de Cataluña del orden constitucional, finalidad real y ocultada que se procura a través de la creación de un negocio jurídico simulado (aparente): un supuesto aval o contraaval mediante el cual la Generalitat, perjudicada por la acción dolosa o gravemente culposa de los servidores públicos, es la que se afianza a sí misma por los daños que se hubieran causado. Este no es un objetivo constitucionalmente legítimo, careciendo de toda explicación racional que </w:t>
      </w:r>
      <w:r>
        <w:lastRenderedPageBreak/>
        <w:t>la propia Generalitat perjudicada no solo no ejercite acciones para obtener la reparación, sino que articule artificios para lograr aquella impunidad.</w:t>
      </w:r>
    </w:p>
    <w:p w14:paraId="3E129D98" w14:textId="77777777" w:rsidR="003754FE" w:rsidRDefault="003754FE" w:rsidP="003754FE">
      <w:pPr>
        <w:pStyle w:val="TextoNormal"/>
      </w:pPr>
    </w:p>
    <w:p w14:paraId="40EF4331" w14:textId="77777777" w:rsidR="003754FE" w:rsidRDefault="003754FE" w:rsidP="003754FE">
      <w:pPr>
        <w:pStyle w:val="TextoNormal"/>
      </w:pPr>
      <w:r>
        <w:t>b) No acabaría aquí la arbitrariedad del legislador. Al articular lo que llama “obligación de retorno” (art. 5 del Decreto-ley) lo que hace es apuntalar la total irresponsabilidad de los altos cargos y empleados públicos condenados en firme, penal o contablemente, pues —como se ha dicho— lo que se lleva a cabo es el aplazamiento de aquella obligación hasta el agotamiento de “todas las vías de impugnación judiciales y jurisdiccionales, estatales e internacionales”. Dado que los cauces de impugnación internacionales pueden extenderse de manera indefinida, el resultado sería que la administración perjudicada se mantiene durante todo ese tiempo con una autogarantía completamente simulada e inútil y, en la práctica, nunca llega a dirigirse contra los servidores públicos causantes del daño, a pesar de que estos ya hayan sido condenados en firme por resoluciones judiciales de los tribunales españoles.</w:t>
      </w:r>
    </w:p>
    <w:p w14:paraId="0FA63B26" w14:textId="77777777" w:rsidR="003754FE" w:rsidRDefault="003754FE" w:rsidP="003754FE">
      <w:pPr>
        <w:pStyle w:val="TextoNormal"/>
      </w:pPr>
    </w:p>
    <w:p w14:paraId="686F3F62" w14:textId="77777777" w:rsidR="003754FE" w:rsidRDefault="003754FE" w:rsidP="003754FE">
      <w:pPr>
        <w:pStyle w:val="TextoNormal"/>
      </w:pPr>
      <w:r>
        <w:t>c) La inconstitucional finalidad de favorecer la elusión de la acción de la justicia por quienes sean responsables de defraudación de caudales públicos constituye un verdadero quebranto de tales fondos, cuya titularidad corresponde al pueblo español, en el que reside la soberanía nacional y del que emanan los poderes del Estado (art. 1.2 CE), incluidas las comunidades autónomas. El artículo 31.2 CE proclama que la programación y ejecución del gasto público “responderán a los criterios de eficiencia y economía” y si este principio impone, según la jurisprudencia constitucional que se cita, evitar duplicidades en la organización administrativa, es imposible sostener que no prohíba el favorecimiento de la elusión por los causantes de un daño a los caudales públicos de la responsabilidad cautelar o definitivamente declarada por los tribunales de justicia. El principio de eficacia (art. 103.1 CE), que se proyecta sobre toda la actuación administrativa, es contrario a la inactividad de la administración en su relación con los ciudadanos, pero también en la tutela de los caudales públicos, e impone adoptar una actuación activa para obtener la plena reparación de los daños causados al dinero público de acuerdo con resoluciones judiciales cautelares o definitivas y no tolera que el propio poder público depositario de los fondos articule, mediante simulación, obstáculos para evitar la eficacia de las resoluciones judiciales dictadas para la tutela de aquellos fondos.</w:t>
      </w:r>
    </w:p>
    <w:p w14:paraId="3177615D" w14:textId="77777777" w:rsidR="003754FE" w:rsidRDefault="003754FE" w:rsidP="003754FE">
      <w:pPr>
        <w:pStyle w:val="TextoNormal"/>
      </w:pPr>
    </w:p>
    <w:p w14:paraId="44396EE1" w14:textId="77777777" w:rsidR="003754FE" w:rsidRDefault="003754FE" w:rsidP="003754FE">
      <w:pPr>
        <w:pStyle w:val="TextoNormal"/>
      </w:pPr>
      <w:r>
        <w:t>C) Como segundo motivo de inconstitucionalidad, los recurrentes afirman que el Decreto-ley es también una ley singular contraria al artículo 9.3 CE.</w:t>
      </w:r>
    </w:p>
    <w:p w14:paraId="6AFE4BAC" w14:textId="77777777" w:rsidR="003754FE" w:rsidRDefault="003754FE" w:rsidP="003754FE">
      <w:pPr>
        <w:pStyle w:val="TextoNormal"/>
      </w:pPr>
    </w:p>
    <w:p w14:paraId="7D645DBE" w14:textId="77777777" w:rsidR="003754FE" w:rsidRDefault="003754FE" w:rsidP="003754FE">
      <w:pPr>
        <w:pStyle w:val="TextoNormal"/>
      </w:pPr>
      <w:r>
        <w:t>a) Tras reseñar la jurisprudencia constitucional que en este punto se considera relevante (SSTC 203/2013, de 5 de diciembre, FFJJ 4 a 7, y 148/2020, de 22 de octubre, FJ 5), se señala que el principio de interdicción de la arbitrariedad opera de manera mucho más incisiva respecto de las leyes singulares, como anormal producto normativo. Verificada la existencia de una ley de tal carácter, se impone el test de razonabilidad, proporcionalidad y adecuación, debiendo responder la ley singular a una justificación objetiva y razonable. Dicho esto, si el Decreto-ley no supera el canon más amplio de la interdicción de la arbitrariedad aplicable a la ley general, es obvio que, con mayor razón, será inconstitucional por la aplicación de ese escrutinio más estricto.</w:t>
      </w:r>
    </w:p>
    <w:p w14:paraId="0E4DD6F2" w14:textId="77777777" w:rsidR="003754FE" w:rsidRDefault="003754FE" w:rsidP="003754FE">
      <w:pPr>
        <w:pStyle w:val="TextoNormal"/>
      </w:pPr>
    </w:p>
    <w:p w14:paraId="3CD51E8E" w14:textId="77777777" w:rsidR="003754FE" w:rsidRDefault="003754FE" w:rsidP="003754FE">
      <w:pPr>
        <w:pStyle w:val="TextoNormal"/>
      </w:pPr>
      <w:r>
        <w:t xml:space="preserve">b) Afirman los recurrentes que es obvio que el Decreto-ley 15/2021 es una ley singular, citándose en este punto la exposición de motivos y en concreto su apartado III. Si bien esa </w:t>
      </w:r>
      <w:r>
        <w:lastRenderedPageBreak/>
        <w:t>exposición no lo hace explícito, en los antecedentes del dictamen, ya mentado, del Consejo de Garantías Estatutarias se señala que la Generalitat tiene suscrita una póliza de responsabilidad civil y patrimonial. Analizando el expediente de dicho seguro (en vigor desde el 1 de marzo de 2021, con retroacción de efectos al 1 de marzo de 2016) y que, sin perjuicio de su legalidad, abarca como mejoras las fianzas en fase de instrucción por dolo y la responsabilidad contable hasta 300 000 €, se concluye en la demanda que, a pesar de su aparente vocación general, el Decreto-ley es una ley singular, ya que el único supuesto al que sería aplicable (no cubierto por la póliza de seguro de responsabilidad civil y patrimonial) es el derivado de la obligación de prestar garantía provisional ante el Tribunal de Cuentas en las actuaciones previas 80-2019, como consecuencia de la liquidación provisional de 30 de junio de 2021 por importe de 5 422 411,10 € impuesta a los cargos de la Generalitat de Cataluña por la acción exterior de promoción del referéndum ilegal del 1 de octubre.</w:t>
      </w:r>
    </w:p>
    <w:p w14:paraId="01B8EB3C" w14:textId="77777777" w:rsidR="003754FE" w:rsidRDefault="003754FE" w:rsidP="003754FE">
      <w:pPr>
        <w:pStyle w:val="TextoNormal"/>
      </w:pPr>
    </w:p>
    <w:p w14:paraId="7C7B7083" w14:textId="77777777" w:rsidR="003754FE" w:rsidRDefault="003754FE" w:rsidP="003754FE">
      <w:pPr>
        <w:pStyle w:val="TextoNormal"/>
      </w:pPr>
      <w:r>
        <w:t>Nos encontramos, por tanto, ante una ley singular que contiene una regulación material distinta para un supuesto de hecho determinado, como es la prestación de garantías en el seno de las actuaciones previas al enjuiciamiento contable, y aplicable a unos sujetos determinados, el personal al servicio de la administración catalana objeto de dicha liquidación, y que agota su aplicación en este supuesto. Se trata de un régimen distinto y diferenciado, ya que exime de la prestación de garantía a los presuntos responsables y trata, burdamente, de ocultar esa exención mediante el artificio de una imposible autogarantía que se otorgaría a sí misma la propia administración perjudicada.</w:t>
      </w:r>
    </w:p>
    <w:p w14:paraId="39536F6D" w14:textId="77777777" w:rsidR="003754FE" w:rsidRDefault="003754FE" w:rsidP="003754FE">
      <w:pPr>
        <w:pStyle w:val="TextoNormal"/>
      </w:pPr>
    </w:p>
    <w:p w14:paraId="38009EAC" w14:textId="77777777" w:rsidR="003754FE" w:rsidRDefault="003754FE" w:rsidP="003754FE">
      <w:pPr>
        <w:pStyle w:val="TextoNormal"/>
      </w:pPr>
      <w:r>
        <w:t>c) Esta regulación diferenciada no tiene, obviamente, una justificación razonable, sino que cae en arbitrariedad al excluir las garantías que cubran la responsabilidad contable, atentando contra la división de poderes y la exclusividad de la jurisdicción penal y la contable del Tribunal de Cuentas (art. 136 CE), según se justifica a continuación.</w:t>
      </w:r>
    </w:p>
    <w:p w14:paraId="00518EDE" w14:textId="77777777" w:rsidR="003754FE" w:rsidRDefault="003754FE" w:rsidP="003754FE">
      <w:pPr>
        <w:pStyle w:val="TextoNormal"/>
      </w:pPr>
    </w:p>
    <w:p w14:paraId="19FDF179" w14:textId="77777777" w:rsidR="003754FE" w:rsidRDefault="003754FE" w:rsidP="003754FE">
      <w:pPr>
        <w:pStyle w:val="TextoNormal"/>
      </w:pPr>
      <w:r>
        <w:t>D) A continuación se denuncia, en relación con lo dicho, la vulneración del principio de división de poderes (art. 1.1 CE), de la exclusividad de la función jurisdiccional tanto del Poder Judicial como del Tribunal de Cuentas (arts. 117 y 136 CE) y de la obligación de cumplir las resoluciones judiciales (art. 118 CE).</w:t>
      </w:r>
    </w:p>
    <w:p w14:paraId="3A52589A" w14:textId="77777777" w:rsidR="003754FE" w:rsidRDefault="003754FE" w:rsidP="003754FE">
      <w:pPr>
        <w:pStyle w:val="TextoNormal"/>
      </w:pPr>
    </w:p>
    <w:p w14:paraId="4879486B" w14:textId="77777777" w:rsidR="003754FE" w:rsidRDefault="003754FE" w:rsidP="003754FE">
      <w:pPr>
        <w:pStyle w:val="TextoNormal"/>
      </w:pPr>
      <w:r>
        <w:t>a) Luego de referirse a la jurisprudencia constitucional que se estima de relieve sobre la división de poderes y los principios relativos al ejercicio de la jurisdicción (STC 124/2018, de 14 de noviembre, FJ 4), aplicables al Tribunal de Cuentas cuando actúa en su función de enjuiciamiento, se recuerda que la exposición de motivos del Decreto-ley trata de justificar la urgencia de su dictado en la liquidación provisional de 30 de junio de 2021, del Tribunal de Cuentas (actuaciones previas 80-2019), inmediatamente tras de la cual, el 6 de julio, se dictó la disposición impugnada, publicada oficialmente el día siguiente. En consecuencia, el Decreto-ley se articula como verdadera contramedida frente a dicha liquidación provisional dictada, en el ejercicio de su jurisdicción contable, por el Tribunal de Cuentas.</w:t>
      </w:r>
    </w:p>
    <w:p w14:paraId="6A70B8CF" w14:textId="77777777" w:rsidR="003754FE" w:rsidRDefault="003754FE" w:rsidP="003754FE">
      <w:pPr>
        <w:pStyle w:val="TextoNormal"/>
      </w:pPr>
    </w:p>
    <w:p w14:paraId="45853845" w14:textId="77777777" w:rsidR="003754FE" w:rsidRDefault="003754FE" w:rsidP="003754FE">
      <w:pPr>
        <w:pStyle w:val="TextoNormal"/>
      </w:pPr>
      <w:r>
        <w:t>b) Por otro lado, la demanda hace también referencia a las llamadas convalidaciones legislativas y a la STC 231/2015, de 5 de noviembre, FJ 5, que las define como “aquellas intervenciones del legislador o del Gobierno que, mediante la aprobación de una norma con rango de ley, pretenden eliminar los efectos prácticos, en todo o en parte, de una declaración judicial de ilegalidad ya recaída”.</w:t>
      </w:r>
    </w:p>
    <w:p w14:paraId="1B976EE3" w14:textId="77777777" w:rsidR="003754FE" w:rsidRDefault="003754FE" w:rsidP="003754FE">
      <w:pPr>
        <w:pStyle w:val="TextoNormal"/>
      </w:pPr>
    </w:p>
    <w:p w14:paraId="0245042A" w14:textId="77777777" w:rsidR="003754FE" w:rsidRDefault="003754FE" w:rsidP="003754FE">
      <w:pPr>
        <w:pStyle w:val="TextoNormal"/>
      </w:pPr>
      <w:r>
        <w:lastRenderedPageBreak/>
        <w:t>Advierten los recurrentes que, en tales casos, la jurisprudencia constitucional ha señalado que el Ejecutivo puede actuar, sin vulnerar la reserva de jurisdicción, dentro de los límites de dicha convalidación. Pero el caso actual sería mucho más grave, ya que pretende una convalidación legislativa de la actuación de altos cargos o empleados públicos incursa en dolo o culpa grave y con grave perjuicio para los caudales públicos que debían custodiar y tal convalidación se efectúa privando de total eficacia a decisiones jurisdiccionales fuera de los cauces de impugnación de las mismas previstos en las leyes procesales.</w:t>
      </w:r>
    </w:p>
    <w:p w14:paraId="7BE45C96" w14:textId="77777777" w:rsidR="003754FE" w:rsidRDefault="003754FE" w:rsidP="003754FE">
      <w:pPr>
        <w:pStyle w:val="TextoNormal"/>
      </w:pPr>
    </w:p>
    <w:p w14:paraId="545944D9" w14:textId="77777777" w:rsidR="003754FE" w:rsidRDefault="003754FE" w:rsidP="003754FE">
      <w:pPr>
        <w:pStyle w:val="TextoNormal"/>
      </w:pPr>
      <w:r>
        <w:t>(i) No puede haber invasión más grave por parte del Legislativo de la jurisdicción que corresponde al Poder Judicial. El Legislativo puede regular, con carácter general y dentro de la Constitución, la eficacia y los mecanismos de impugnación de las resoluciones judiciales, pero no se puede interponer en el camino de una resolución judicial con la exclusiva finalidad de lograr su completa desarticulación. Este es exactamente el caso: dictada liquidación provisional por el Tribunal de Cuentas, que impone una garantía cautelar a los investigados, el legislador interfiere en el proceso judicial, colocándose en el camino de la justicia con la finalidad de privar de eficacia al ejercicio de la jurisdicción, se inventa un negocio jurídico simulado en el que la propia administración perjudicada se garantiza a sí misma el perjuicio sufrido e invade el espacio de la jurisdicción para invalidar esa garantía mediante una fianza inexistente, dada la confusión entre el acreedor perjudicado y el fiador.</w:t>
      </w:r>
    </w:p>
    <w:p w14:paraId="125653E1" w14:textId="77777777" w:rsidR="003754FE" w:rsidRDefault="003754FE" w:rsidP="003754FE">
      <w:pPr>
        <w:pStyle w:val="TextoNormal"/>
      </w:pPr>
    </w:p>
    <w:p w14:paraId="1BBCE976" w14:textId="77777777" w:rsidR="003754FE" w:rsidRDefault="003754FE" w:rsidP="003754FE">
      <w:pPr>
        <w:pStyle w:val="TextoNormal"/>
      </w:pPr>
      <w:r>
        <w:t xml:space="preserve">(ii) Pero, además, el legislador acuerda </w:t>
      </w:r>
      <w:r w:rsidRPr="003754FE">
        <w:rPr>
          <w:i/>
        </w:rPr>
        <w:t>sine die</w:t>
      </w:r>
      <w:r>
        <w:t xml:space="preserve"> esa invalidación de la jurisdicción, ya que se obliga a la administración a no dirigirse en retorno contra los altos cargos y empleados causantes del quebranto hasta el agotamiento de todas las vías de impugnación “estatales e internacionales” (art. 5 del Decreto-ley).</w:t>
      </w:r>
    </w:p>
    <w:p w14:paraId="0F607D20" w14:textId="77777777" w:rsidR="003754FE" w:rsidRDefault="003754FE" w:rsidP="003754FE">
      <w:pPr>
        <w:pStyle w:val="TextoNormal"/>
      </w:pPr>
    </w:p>
    <w:p w14:paraId="2837BE40" w14:textId="77777777" w:rsidR="003754FE" w:rsidRDefault="003754FE" w:rsidP="003754FE">
      <w:pPr>
        <w:pStyle w:val="TextoNormal"/>
      </w:pPr>
      <w:r>
        <w:t>c) Y dado que el Decreto-ley sería potencialmente aplicable también a los procesos penales en los que se exigiera responsabilidad civil a los altos cargos o empleados públicos, la norma de urgencia produciría la misma intromisión en la reserva de la jurisdicción penal, al interponer injustificables obstáculos en la vigencia y ejecución de resoluciones de esa jurisdicción.</w:t>
      </w:r>
    </w:p>
    <w:p w14:paraId="3E86FE66" w14:textId="77777777" w:rsidR="003754FE" w:rsidRDefault="003754FE" w:rsidP="003754FE">
      <w:pPr>
        <w:pStyle w:val="TextoNormal"/>
      </w:pPr>
    </w:p>
    <w:p w14:paraId="3ACD8EAB" w14:textId="77777777" w:rsidR="003754FE" w:rsidRDefault="003754FE" w:rsidP="003754FE">
      <w:pPr>
        <w:pStyle w:val="TextoNormal"/>
      </w:pPr>
      <w:r>
        <w:t xml:space="preserve">E) Se habría infringido también el artículo 149.1.18 CE (148.1.18, se dice con error material) al establecer </w:t>
      </w:r>
      <w:r w:rsidRPr="003754FE">
        <w:rPr>
          <w:i/>
        </w:rPr>
        <w:t>ex novo</w:t>
      </w:r>
      <w:r>
        <w:t xml:space="preserve"> un derecho prestacional de garantía en favor de los empleados públicos de la administración de Cataluña no previsto en la legislación básica estatal.</w:t>
      </w:r>
    </w:p>
    <w:p w14:paraId="0C568DD0" w14:textId="77777777" w:rsidR="003754FE" w:rsidRDefault="003754FE" w:rsidP="003754FE">
      <w:pPr>
        <w:pStyle w:val="TextoNormal"/>
      </w:pPr>
    </w:p>
    <w:p w14:paraId="5EF6D45D" w14:textId="77777777" w:rsidR="003754FE" w:rsidRDefault="003754FE" w:rsidP="003754FE">
      <w:pPr>
        <w:pStyle w:val="TextoNormal"/>
      </w:pPr>
      <w:r>
        <w:t>a) Tras señalar que la exposición de motivos de la disposición impugnada invoca la competencia prevista en el artículo 136 EAC, cita la demanda la jurisprudencia constitucional que estima de pertinente consideración (SSTC 31/2010, de 28 de junio, FJ 3, y 156/2015, de 9 de julio) y añade que el legislador de urgencia, consciente de que no puede crear nuevos derechos, sino desarrollar los previstos en la legislación básica estatal, pretende que el nuevo derecho prestacional sea un desarrollo del principio de indemnidad o del derecho a la asistencia jurídica del art. 14 EBEP, pero ya se ha dicho que esto son simples artificios que pretenden ocultar la finalidad última de la norma. Nada tiene que ver la regulación del Decreto-ley ni con el principio de indemnidad ni con el artículo 14 EBEP.</w:t>
      </w:r>
    </w:p>
    <w:p w14:paraId="64ACFD4B" w14:textId="77777777" w:rsidR="003754FE" w:rsidRDefault="003754FE" w:rsidP="003754FE">
      <w:pPr>
        <w:pStyle w:val="TextoNormal"/>
      </w:pPr>
    </w:p>
    <w:p w14:paraId="297FFAB4" w14:textId="77777777" w:rsidR="003754FE" w:rsidRDefault="003754FE" w:rsidP="003754FE">
      <w:pPr>
        <w:pStyle w:val="TextoNormal"/>
      </w:pPr>
      <w:r>
        <w:t xml:space="preserve">b) Es obvio decir que la legislación básica estatal no contempla ni remotamente ese derecho en el elenco de los reconocidos en el estatuto básico del empleado público, de modo que su creación por la norma de urgencia no se puede entender como desarrollo legislativo </w:t>
      </w:r>
      <w:r>
        <w:lastRenderedPageBreak/>
        <w:t>y ejecución del principio de indemnidad o del derecho regulado en el citado artículo 14 f) EBEP. La exención de prestación de garantías a los empleados públicos de la administración de Cataluña es de tal intensidad que rompe el mínimo común que recoge la normativa básica del Estado sobre la función pública y establece una diferenciación manifiestamente inconstitucional respecto del resto de España.</w:t>
      </w:r>
    </w:p>
    <w:p w14:paraId="79039911" w14:textId="77777777" w:rsidR="003754FE" w:rsidRDefault="003754FE" w:rsidP="003754FE">
      <w:pPr>
        <w:pStyle w:val="TextoNormal"/>
      </w:pPr>
    </w:p>
    <w:p w14:paraId="66D08BB0" w14:textId="77777777" w:rsidR="003754FE" w:rsidRDefault="003754FE" w:rsidP="003754FE">
      <w:pPr>
        <w:pStyle w:val="TextoNormal"/>
      </w:pPr>
      <w:r>
        <w:t>F) Se habría vulnerado también el artículo 149.1.6 CE, al establecer una especialidad procesal no amparada en las particularidades del Derecho sustantivo de la comunidad autónoma.</w:t>
      </w:r>
    </w:p>
    <w:p w14:paraId="31956C72" w14:textId="77777777" w:rsidR="003754FE" w:rsidRDefault="003754FE" w:rsidP="003754FE">
      <w:pPr>
        <w:pStyle w:val="TextoNormal"/>
      </w:pPr>
    </w:p>
    <w:p w14:paraId="3D998602" w14:textId="77777777" w:rsidR="003754FE" w:rsidRDefault="003754FE" w:rsidP="003754FE">
      <w:pPr>
        <w:pStyle w:val="TextoNormal"/>
      </w:pPr>
      <w:r>
        <w:t>a) Se invoca también, a estos efectos, la jurisprudencia constitucional que se considera de relieve (STC 72/2021, de 18 de marzo, FJ 5), tras de lo cual se señala que la exigencia de garantía que cubra la eventual responsabilidad civil derivada del delito está prevista en el Código penal (arts. 109 y siguientes) y su regulación procesal en los artículos 589 y siguientes LECrim y que, en el ámbito de la jurisdicción contable, son aplicables los artículos 45.2 y 47.1, letras e), f) y g) LFTCu.</w:t>
      </w:r>
    </w:p>
    <w:p w14:paraId="1244CD81" w14:textId="77777777" w:rsidR="003754FE" w:rsidRDefault="003754FE" w:rsidP="003754FE">
      <w:pPr>
        <w:pStyle w:val="TextoNormal"/>
      </w:pPr>
    </w:p>
    <w:p w14:paraId="1E90B259" w14:textId="77777777" w:rsidR="003754FE" w:rsidRDefault="003754FE" w:rsidP="003754FE">
      <w:pPr>
        <w:pStyle w:val="TextoNormal"/>
      </w:pPr>
      <w:r>
        <w:t>b) La norma autonómica aparenta crear un nuevo tipo de garantía no prevista en la regulación procesal penal o contable, dado que lo que se introduce es un negocio jurídico anómalo, absolutamente simulado, que solo pretende la inejecución de resoluciones judiciales.</w:t>
      </w:r>
    </w:p>
    <w:p w14:paraId="730DF195" w14:textId="77777777" w:rsidR="003754FE" w:rsidRDefault="003754FE" w:rsidP="003754FE">
      <w:pPr>
        <w:pStyle w:val="TextoNormal"/>
      </w:pPr>
    </w:p>
    <w:p w14:paraId="79199FC4" w14:textId="77777777" w:rsidR="003754FE" w:rsidRDefault="003754FE" w:rsidP="003754FE">
      <w:pPr>
        <w:pStyle w:val="TextoNormal"/>
      </w:pPr>
      <w:r>
        <w:t>c) Además, el Decreto-ley afectaría a la definición procesal de la firmeza de las resoluciones judiciales y del tiempo en que las mismas son ejecutables, pues en virtud de su artículo 5 la responsabilidad civil o contable no se exigiría al personal causante del daño hasta que se hubieran agotado “todas las vías de impugnación judiciales y jurisdiccionales, estatales e internacionales”, pese a que la exigencia de responsabilidad civil derivada de los delitos (art. 794 LECrim) y la contable (art. 85 LFTCu) son exigibles desde la firmeza de la sentencia condenatoria, definiendo la legislación procesal las “sentencias firmes” como aquellas contra las que no quepa recurso alguno, salvo el de revisión u otros extraordinarios que establezca la ley (art. 245.3 LOPJ y en sentido análogo art. 207.2 LEC). No cabe duda de que al imposibilitar el retorno contra el alto cargo o empleado público causante del daño hasta el agotamiento de las vías de impugnación internacionales se vulnera frontalmente el concepto procesal de firmeza y la ejecutoriedad de las resoluciones judiciales dictadas en procesos penales o contables y resulta manifiesto que, de este modo, el Decreto-ley 15/2021 introduce especialidades procesales no amparadas en legislación sustantiva alguna y con clara vulneración del artículo 149.1.6 CE.</w:t>
      </w:r>
    </w:p>
    <w:p w14:paraId="65AB4FA0" w14:textId="77777777" w:rsidR="003754FE" w:rsidRDefault="003754FE" w:rsidP="003754FE">
      <w:pPr>
        <w:pStyle w:val="TextoNormal"/>
      </w:pPr>
    </w:p>
    <w:p w14:paraId="5AB8CE60" w14:textId="77777777" w:rsidR="003754FE" w:rsidRDefault="003754FE" w:rsidP="003754FE">
      <w:pPr>
        <w:pStyle w:val="TextoNormal"/>
      </w:pPr>
      <w:r>
        <w:t>G) Se aduce también la infracción de los artículos 86 CE y 64 EAC, en cuanto que manifiestamente faltaría el presupuesto habilitante para el dictado de una norma de urgencia y porque el Decreto-ley vulnera sus límites materiales.</w:t>
      </w:r>
    </w:p>
    <w:p w14:paraId="5C052993" w14:textId="77777777" w:rsidR="003754FE" w:rsidRDefault="003754FE" w:rsidP="003754FE">
      <w:pPr>
        <w:pStyle w:val="TextoNormal"/>
      </w:pPr>
    </w:p>
    <w:p w14:paraId="4B76FED0" w14:textId="77777777" w:rsidR="003754FE" w:rsidRDefault="003754FE" w:rsidP="003754FE">
      <w:pPr>
        <w:pStyle w:val="TextoNormal"/>
      </w:pPr>
      <w:r>
        <w:t>a) Se argumenta, en primer lugar, la inexistencia del presupuesto habilitante:</w:t>
      </w:r>
    </w:p>
    <w:p w14:paraId="21DF1CA8" w14:textId="77777777" w:rsidR="003754FE" w:rsidRDefault="003754FE" w:rsidP="003754FE">
      <w:pPr>
        <w:pStyle w:val="TextoNormal"/>
      </w:pPr>
    </w:p>
    <w:p w14:paraId="00700CD0" w14:textId="77777777" w:rsidR="003754FE" w:rsidRDefault="003754FE" w:rsidP="003754FE">
      <w:pPr>
        <w:pStyle w:val="TextoNormal"/>
      </w:pPr>
      <w:r>
        <w:t xml:space="preserve">(i) Tras citar la jurisprudencia constitucional que en este extremo se estima de relieve (SSTC 61/2018, de 7 de junio, FJ 4, y 16/2021, de 28 de enero), se señala que la justificación del Decreto-ley se pretende recoger en el apartado III de su preámbulo, cuyo primer párrafo señala que la Generalitat tiene suscritas pólizas para garantizar la responsabilidad del personal a su servicio, si bien “esta situación se ha alterado y actualmente se produce una </w:t>
      </w:r>
      <w:r>
        <w:lastRenderedPageBreak/>
        <w:t>exclusión de determinados riesgos de las pólizas suscritas, exclusión que, eventualmente, puede tener efectos retroactivos”, añadiéndose que “[e]ste cambio afecta a situaciones muy diversas en que se pueden encontrar los servidores públicos y que se han ido incrementando en los últimos años”. Observan los recurrentes, después de transcribir este pasaje, que el preámbulo no explica cuál es el motivo de esta alteración ni en qué consiste ese cambio, ni en qué medida afecta a las coberturas aseguradas, ni por qué ha de acudirse a la norma de urgencia para sobrellevar un cambio de circunstancias que no explica.</w:t>
      </w:r>
    </w:p>
    <w:p w14:paraId="7F1C40C3" w14:textId="77777777" w:rsidR="003754FE" w:rsidRDefault="003754FE" w:rsidP="003754FE">
      <w:pPr>
        <w:pStyle w:val="TextoNormal"/>
      </w:pPr>
    </w:p>
    <w:p w14:paraId="1AE39488" w14:textId="77777777" w:rsidR="003754FE" w:rsidRDefault="003754FE" w:rsidP="003754FE">
      <w:pPr>
        <w:pStyle w:val="TextoNormal"/>
      </w:pPr>
      <w:r>
        <w:t>Se transcriben en la demanda a continuación las líneas del preámbulo que —se dice— supuestamente contendrían la “definición explícita y razonada” de la situación que determinaría la adopción de medidas complementarias que garanticen el principio de indemnidad, según las cuales “es necesario y urgente que la Generalitat adopte las medidas complementarias en los mecanismos existentes dirigidas a garantizar y proteger el derecho a la indemnidad de las personas afectadas en el ejercicio de sus funciones, al menos hasta que no haya un pronunciamiento judicial que declare con carácter firme su responsabilidad disciplinaria, contable o penal”.</w:t>
      </w:r>
    </w:p>
    <w:p w14:paraId="70A1B3C8" w14:textId="77777777" w:rsidR="003754FE" w:rsidRDefault="003754FE" w:rsidP="003754FE">
      <w:pPr>
        <w:pStyle w:val="TextoNormal"/>
      </w:pPr>
    </w:p>
    <w:p w14:paraId="29F1424C" w14:textId="77777777" w:rsidR="003754FE" w:rsidRDefault="003754FE" w:rsidP="003754FE">
      <w:pPr>
        <w:pStyle w:val="TextoNormal"/>
      </w:pPr>
      <w:r>
        <w:t>Otro tanto se hace con el “supuesto de extraordinaria y urgente necesidad” que recoge el apartado III del preámbulo: “[u]no de los supuestos que hacen necesaria y urgente esta actuación por la situación de vulnerabilidad en que se encuentran las personas afectadas ante una decisión administrativa no firme, son las actuaciones previas 80-2019 del Tribunal de Cuentas, sector público autonómico (inf. fisco. destino recursos asignados a la ejecución de políticas de acción exterior por parte de la Generalitat de Catalunya, en los ejercicios 2011 a 2017), objeto de la notificación de la liquidación provisional de fecha 30 de junio de este año, que afecta a varios altos cargos, responsables políticos y funcionarios y funcionarias de la Generalitat”. Transcriben también los recurrentes el siguiente pasaje del mismo apartado III del preámbulo: “[l]a brevedad de los plazos en muchos de estos supuestos y la falta de mecanismos para dar cobertura a la situación producida obligan a la Generalitat de Catalunya a adoptar, con carácter urgente y general, las medidas necesarias con el fin de garantizar tanto el principio de indemnidad como la protección de los derechos fundamentales de todos los servidores públicos afectados por siniestros no cubiertos por las pólizas de responsabilidad civil y patrimonial actuales de la Generalitat de Catalunya, mediante la creación de un fondo específico complementario de las pólizas suscritas”.</w:t>
      </w:r>
    </w:p>
    <w:p w14:paraId="560CE95A" w14:textId="77777777" w:rsidR="003754FE" w:rsidRDefault="003754FE" w:rsidP="003754FE">
      <w:pPr>
        <w:pStyle w:val="TextoNormal"/>
      </w:pPr>
    </w:p>
    <w:p w14:paraId="1A74A166" w14:textId="77777777" w:rsidR="003754FE" w:rsidRDefault="003754FE" w:rsidP="003754FE">
      <w:pPr>
        <w:pStyle w:val="TextoNormal"/>
      </w:pPr>
      <w:r>
        <w:t>(ii) Se señala en la demanda que el supuesto de hecho que recoge la exposición de motivos no era imprevisible ni excepcional, pues en las actuaciones previas 80-2019 se habían emitido ya liquidaciones provisionales en el año 2019, como también se hizo en expedientes de 2018, de modo que pudo atenderse a la situación con la normativa ordinaria. Sería evidente, además, que el simple deseo de la Generalitat de facilitar a determinados altos cargos y empleados la elusión de la prestación de garantías exigidas por el Tribunal de Cuentas no puede constituir el presupuesto excepcional para acudir a la norma de urgencia, máxime teniendo en cuenta que el pretexto al que habría acudido el Decreto-ley resultaría absolutamente arbitrario, en cuanto el principio de indemnidad nada tiene que ver con el derecho que pretende instaurar la norma impugnada.</w:t>
      </w:r>
    </w:p>
    <w:p w14:paraId="1B90632B" w14:textId="77777777" w:rsidR="003754FE" w:rsidRDefault="003754FE" w:rsidP="003754FE">
      <w:pPr>
        <w:pStyle w:val="TextoNormal"/>
      </w:pPr>
    </w:p>
    <w:p w14:paraId="27DD36C1" w14:textId="77777777" w:rsidR="003754FE" w:rsidRDefault="003754FE" w:rsidP="003754FE">
      <w:pPr>
        <w:pStyle w:val="TextoNormal"/>
      </w:pPr>
      <w:r>
        <w:t>La norma —se concluye en este punto— no cumple con el presupuesto habilitante (art. 64 EAC) y acude a pretextos formales y aparentes que no permiten sostener su validez constitucional.</w:t>
      </w:r>
    </w:p>
    <w:p w14:paraId="0FB9EC66" w14:textId="77777777" w:rsidR="003754FE" w:rsidRDefault="003754FE" w:rsidP="003754FE">
      <w:pPr>
        <w:pStyle w:val="TextoNormal"/>
      </w:pPr>
    </w:p>
    <w:p w14:paraId="31ED656F" w14:textId="77777777" w:rsidR="003754FE" w:rsidRDefault="003754FE" w:rsidP="003754FE">
      <w:pPr>
        <w:pStyle w:val="TextoNormal"/>
      </w:pPr>
      <w:r>
        <w:t>b) También se habrían vulnerado los límites materiales impuestos al decreto-ley al consagrar un derecho que afecta al estatuto de los miembros del Gobierno (art. 2 del impugnado) cuyo reconocimiento se halla reservado a la ley de desarrollo básico del Estatuto de Autonomía de Cataluña por su artículo 68.3, referido, a efectos de esta reserva, a la organización y el funcionamiento de las atribuciones del Gobierno, siendo así que —según se argumentó— el Decreto-ley establece el derecho de los miembros del Gobierno a obtener una garantía en forma de aval o contraaval en los procesos penales o contables en que sean investigados. De este modo, resultaría inconstitucional el reconocimiento del derecho prestacional (art. 2 del Decreto-ley) a los “altos cargos y miembros del Gobierno de la Generalitat”.</w:t>
      </w:r>
    </w:p>
    <w:p w14:paraId="24FBAEE4" w14:textId="77777777" w:rsidR="003754FE" w:rsidRDefault="003754FE" w:rsidP="003754FE">
      <w:pPr>
        <w:pStyle w:val="TextoNormal"/>
      </w:pPr>
    </w:p>
    <w:p w14:paraId="37242E2B" w14:textId="1F4C5629" w:rsidR="003754FE" w:rsidRDefault="003754FE" w:rsidP="003754FE">
      <w:pPr>
        <w:pStyle w:val="TextoNormal"/>
      </w:pPr>
      <w:r>
        <w:t>Se concluyó con la súplica de que se dictara sentencia por la que se declarara la inconstitucionalidad y nulidad del Decreto-ley impugnado.</w:t>
      </w:r>
    </w:p>
    <w:p w14:paraId="56D57C25" w14:textId="77777777" w:rsidR="003754FE" w:rsidRDefault="003754FE" w:rsidP="003754FE">
      <w:pPr>
        <w:pStyle w:val="TextoNormal"/>
      </w:pPr>
    </w:p>
    <w:p w14:paraId="7DC5BC98" w14:textId="1131808F" w:rsidR="003754FE" w:rsidRDefault="003754FE" w:rsidP="003754FE">
      <w:pPr>
        <w:pStyle w:val="TextoNormal"/>
      </w:pPr>
      <w:r w:rsidRPr="003754FE">
        <w:rPr>
          <w:rStyle w:val="NumeroAFNegritaCaracter"/>
        </w:rPr>
        <w:t>2</w:t>
      </w:r>
      <w:r>
        <w:t>. Por providencia de 28 de octubre de 2021, y a propuesta de la Sección Tercera, acordó el Pleno del Tribunal admitir a trámite el recurso de inconstitucionalidad y dar traslado de la demanda y documentos presentados [art. 34 de la Ley Orgánica del Tribunal Constitucional (LOTC)] al Congreso de los Diputados y al Senado, por conducto de sus presidentes; al Gobierno, a través de la ministra de Justicia; al Parlamento de Cataluña y al Gobierno de la Generalitat, por conducto de sus presidentes, al objeto de que, en el plazo de quince días, pudieran personarse en el proceso y formular las alegaciones que estimaren convenientes. Se acordó, asimismo, publicar la incoación del recurso en el “Boletín Oficial del Estado” y en el “Diari Oficial de la Generalitat de Catalunya”.</w:t>
      </w:r>
    </w:p>
    <w:p w14:paraId="122B6B42" w14:textId="77777777" w:rsidR="003754FE" w:rsidRDefault="003754FE" w:rsidP="003754FE">
      <w:pPr>
        <w:pStyle w:val="TextoNormal"/>
      </w:pPr>
    </w:p>
    <w:p w14:paraId="0023B380" w14:textId="77777777" w:rsidR="003754FE" w:rsidRDefault="003754FE" w:rsidP="003754FE">
      <w:pPr>
        <w:pStyle w:val="TextoNormal"/>
      </w:pPr>
      <w:r w:rsidRPr="003754FE">
        <w:rPr>
          <w:rStyle w:val="NumeroAFNegritaCaracter"/>
        </w:rPr>
        <w:t>3</w:t>
      </w:r>
      <w:r>
        <w:t>. Mediante escrito de 10 de noviembre de 2021, que tuvo entrada en el Tribunal en la misma fecha, el abogado de la Generalitat de Cataluña, en representación y defensa de su Gobierno, se personó en el procedimiento y solicitó se le concediera prórroga del plazo para alegaciones hasta el máximo posible, habida cuenta de la complejidad del asunto y del volumen de trabajo acumulado.</w:t>
      </w:r>
    </w:p>
    <w:p w14:paraId="33C082FD" w14:textId="77777777" w:rsidR="003754FE" w:rsidRDefault="003754FE" w:rsidP="003754FE">
      <w:pPr>
        <w:pStyle w:val="TextoNormal"/>
      </w:pPr>
    </w:p>
    <w:p w14:paraId="729C9FC7" w14:textId="441A1287" w:rsidR="003754FE" w:rsidRDefault="003754FE" w:rsidP="003754FE">
      <w:pPr>
        <w:pStyle w:val="TextoNormal"/>
      </w:pPr>
      <w:r>
        <w:t>Por diligencia de ordenación del mismo día se tuvo por personado al abogado de la Generalitat de Cataluña y se le prorrogó en ocho días más el plazo concedido para alegaciones, a contar desde el siguiente al de expiración del ordinario.</w:t>
      </w:r>
    </w:p>
    <w:p w14:paraId="051B13B5" w14:textId="77777777" w:rsidR="003754FE" w:rsidRDefault="003754FE" w:rsidP="003754FE">
      <w:pPr>
        <w:pStyle w:val="TextoNormal"/>
      </w:pPr>
    </w:p>
    <w:p w14:paraId="0FB4E943" w14:textId="0F7E32BD" w:rsidR="003754FE" w:rsidRDefault="003754FE" w:rsidP="003754FE">
      <w:pPr>
        <w:pStyle w:val="TextoNormal"/>
      </w:pPr>
      <w:r w:rsidRPr="003754FE">
        <w:rPr>
          <w:rStyle w:val="NumeroAFNegritaCaracter"/>
        </w:rPr>
        <w:t>4</w:t>
      </w:r>
      <w:r>
        <w:t>. Mediante escrito de 12 de noviembre de 2021, registrado en el Tribunal en igual fecha, el abogado del Estado dijo que no presentaría alegaciones y que su personación lo era exclusivamente a los efectos de que en su día se le notificaran las resoluciones que se dictaran.</w:t>
      </w:r>
    </w:p>
    <w:p w14:paraId="32A8C2B7" w14:textId="77777777" w:rsidR="003754FE" w:rsidRDefault="003754FE" w:rsidP="003754FE">
      <w:pPr>
        <w:pStyle w:val="TextoNormal"/>
      </w:pPr>
    </w:p>
    <w:p w14:paraId="0E65E0A3" w14:textId="20648518" w:rsidR="003754FE" w:rsidRDefault="003754FE" w:rsidP="003754FE">
      <w:pPr>
        <w:pStyle w:val="TextoNormal"/>
      </w:pPr>
      <w:r w:rsidRPr="003754FE">
        <w:rPr>
          <w:rStyle w:val="NumeroAFNegritaCaracter"/>
        </w:rPr>
        <w:t>5</w:t>
      </w:r>
      <w:r>
        <w:t>. Mediante escrito de 10 de noviembre de 2021, que tuvo entrada en el Tribunal el día 12 del mismo mes, el presidente del Senado comunicó el acuerdo de la mesa de la Cámara de aquella fecha en orden a que se le diera por personada en el procedimiento y por ofrecida su colaboración (art. 88.1 LOTC).</w:t>
      </w:r>
    </w:p>
    <w:p w14:paraId="3D25C4A9" w14:textId="77777777" w:rsidR="003754FE" w:rsidRDefault="003754FE" w:rsidP="003754FE">
      <w:pPr>
        <w:pStyle w:val="TextoNormal"/>
      </w:pPr>
    </w:p>
    <w:p w14:paraId="2A3C1A3A" w14:textId="77777777" w:rsidR="003754FE" w:rsidRDefault="003754FE" w:rsidP="003754FE">
      <w:pPr>
        <w:pStyle w:val="TextoNormal"/>
      </w:pPr>
      <w:r w:rsidRPr="003754FE">
        <w:rPr>
          <w:rStyle w:val="NumeroAFNegritaCaracter"/>
        </w:rPr>
        <w:t>6</w:t>
      </w:r>
      <w:r>
        <w:t xml:space="preserve">. Mediante escrito de 15 de noviembre de 2021, registrado en el Tribunal en igual fecha, el letrado del Parlamento de Cataluña se personó en el procedimiento en representación de </w:t>
      </w:r>
      <w:r>
        <w:lastRenderedPageBreak/>
        <w:t>la Cámara y solicitó se le concediera prórroga para formular alegaciones, dada la complejidad del asunto y el volumen de trabajo acumulado por esa representación.</w:t>
      </w:r>
    </w:p>
    <w:p w14:paraId="0EA2B934" w14:textId="77777777" w:rsidR="003754FE" w:rsidRDefault="003754FE" w:rsidP="003754FE">
      <w:pPr>
        <w:pStyle w:val="TextoNormal"/>
      </w:pPr>
    </w:p>
    <w:p w14:paraId="44503D35" w14:textId="2702C782" w:rsidR="003754FE" w:rsidRDefault="003754FE" w:rsidP="003754FE">
      <w:pPr>
        <w:pStyle w:val="TextoNormal"/>
      </w:pPr>
      <w:r>
        <w:t>Por diligencia de ordenación del mismo día se tuvo por personado al letrado del Parlamento de Cataluña y se le prorrogó en ocho días más el plazo concedido para alegaciones, a contar desde el siguiente al de expiración del ordinario.</w:t>
      </w:r>
    </w:p>
    <w:p w14:paraId="65AE6A13" w14:textId="77777777" w:rsidR="003754FE" w:rsidRDefault="003754FE" w:rsidP="003754FE">
      <w:pPr>
        <w:pStyle w:val="TextoNormal"/>
      </w:pPr>
    </w:p>
    <w:p w14:paraId="78A97E95" w14:textId="16AEFE8F" w:rsidR="003754FE" w:rsidRDefault="003754FE" w:rsidP="003754FE">
      <w:pPr>
        <w:pStyle w:val="TextoNormal"/>
      </w:pPr>
      <w:r w:rsidRPr="003754FE">
        <w:rPr>
          <w:rStyle w:val="NumeroAFNegritaCaracter"/>
        </w:rPr>
        <w:t>7</w:t>
      </w:r>
      <w:r>
        <w:t>. Mediante escrito de 16 de noviembre de 2021, que tuvo entrada en el Tribunal el siguiente día 18, la presidenta del Congreso de los Diputados comunicó el acuerdo de la mesa de la Cámara de aquella fecha en orden a que se le diera por personada en el procedimiento y por ofrecida su colaboración (art. 88.1 LOTC).</w:t>
      </w:r>
    </w:p>
    <w:p w14:paraId="0CEC9466" w14:textId="77777777" w:rsidR="003754FE" w:rsidRDefault="003754FE" w:rsidP="003754FE">
      <w:pPr>
        <w:pStyle w:val="TextoNormal"/>
      </w:pPr>
    </w:p>
    <w:p w14:paraId="2157002D" w14:textId="77777777" w:rsidR="003754FE" w:rsidRDefault="003754FE" w:rsidP="003754FE">
      <w:pPr>
        <w:pStyle w:val="TextoNormal"/>
      </w:pPr>
      <w:r w:rsidRPr="003754FE">
        <w:rPr>
          <w:rStyle w:val="NumeroAFNegritaCaracter"/>
        </w:rPr>
        <w:t>8</w:t>
      </w:r>
      <w:r>
        <w:t>. Mediante escrito de 7 de diciembre de 2021, que tuvo entrada en el Tribunal el día 9 del mismo mes, presentaron sus alegaciones los abogados de la Generalitat de Cataluña en representación de su Gobierno. Pueden resumirse como sigue:</w:t>
      </w:r>
    </w:p>
    <w:p w14:paraId="3E5CA5CA" w14:textId="77777777" w:rsidR="003754FE" w:rsidRDefault="003754FE" w:rsidP="003754FE">
      <w:pPr>
        <w:pStyle w:val="TextoNormal"/>
      </w:pPr>
    </w:p>
    <w:p w14:paraId="20FB599F" w14:textId="77777777" w:rsidR="003754FE" w:rsidRDefault="003754FE" w:rsidP="003754FE">
      <w:pPr>
        <w:pStyle w:val="TextoNormal"/>
      </w:pPr>
      <w:r>
        <w:t>A) Se comienza por señalar que el Decreto-ley 15/2021 fue validado por resolución 71/XIV del Parlamento de Cataluña el 29 de julio de 2021 [arts. 64.2 EAC y 158.1, 2 y 3 del Reglamento del Parlamento de Cataluña (RPC)] por una mayoría de setenta y cuatro votos a favor, diecinueve en contra y cuarenta y una abstenciones, aprobándose entonces su tramitación como proyecto de ley por mayoría de 127 votos y solo siete abstenciones, encontrándose el proyecto en fase de enmiendas al articulado. Se añade, con cita de jurisprudencia constitucional, que por aquella convalidación el Decreto-ley ha cedido su carácter provisional, integrándose plenamente en el ordenamiento jurídico, aunque conserve su misma denominación por no haberse alterado su naturaleza, ya que sigue siendo una norma o acto con fuerza de ley, no una ley, lo que se destaca porque la parte actora confunde el Decreto-ley con una ley, al repetir que es manifestación del legislador y vincular esta norma con actuaciones anteriores del mismo legislador, cuando se trata, obviamente, de una norma que emana del Ejecutivo.</w:t>
      </w:r>
    </w:p>
    <w:p w14:paraId="41D471ED" w14:textId="77777777" w:rsidR="003754FE" w:rsidRDefault="003754FE" w:rsidP="003754FE">
      <w:pPr>
        <w:pStyle w:val="TextoNormal"/>
      </w:pPr>
    </w:p>
    <w:p w14:paraId="7E7FB9BA" w14:textId="77777777" w:rsidR="003754FE" w:rsidRDefault="003754FE" w:rsidP="003754FE">
      <w:pPr>
        <w:pStyle w:val="TextoNormal"/>
      </w:pPr>
      <w:r>
        <w:t>Por otro lado, ni el acuerdo de convalidación ni el acuerdo de la tramitación como ley han sido objeto de impugnación en este recurso.</w:t>
      </w:r>
    </w:p>
    <w:p w14:paraId="30F1CB1F" w14:textId="77777777" w:rsidR="003754FE" w:rsidRDefault="003754FE" w:rsidP="003754FE">
      <w:pPr>
        <w:pStyle w:val="TextoNormal"/>
      </w:pPr>
    </w:p>
    <w:p w14:paraId="5F21C853" w14:textId="77777777" w:rsidR="003754FE" w:rsidRDefault="003754FE" w:rsidP="003754FE">
      <w:pPr>
        <w:pStyle w:val="TextoNormal"/>
      </w:pPr>
      <w:r>
        <w:t>B) Se exponen a continuación el objeto y la finalidad del Decreto-ley, señalando entre otros extremos lo siguiente:</w:t>
      </w:r>
    </w:p>
    <w:p w14:paraId="110CD06D" w14:textId="77777777" w:rsidR="003754FE" w:rsidRDefault="003754FE" w:rsidP="003754FE">
      <w:pPr>
        <w:pStyle w:val="TextoNormal"/>
      </w:pPr>
    </w:p>
    <w:p w14:paraId="68EB9C25" w14:textId="77777777" w:rsidR="003754FE" w:rsidRDefault="003754FE" w:rsidP="003754FE">
      <w:pPr>
        <w:pStyle w:val="TextoNormal"/>
      </w:pPr>
      <w:r>
        <w:t>a) El artículo 2 del Decreto-ley configura el ámbito subjetivo del fondo complementario de riesgos de la Generalitat de Cataluña de conformidad con el principio de universalidad, sin establecer ningún tipo de discriminación y por lo tanto en idénticos términos a los establecidos en las pólizas de seguros vigentes suscritas por la Generalitat.</w:t>
      </w:r>
    </w:p>
    <w:p w14:paraId="67FE2E80" w14:textId="77777777" w:rsidR="003754FE" w:rsidRDefault="003754FE" w:rsidP="003754FE">
      <w:pPr>
        <w:pStyle w:val="TextoNormal"/>
      </w:pPr>
    </w:p>
    <w:p w14:paraId="0C23CDE6" w14:textId="77777777" w:rsidR="003754FE" w:rsidRDefault="003754FE" w:rsidP="003754FE">
      <w:pPr>
        <w:pStyle w:val="TextoNormal"/>
      </w:pPr>
      <w:r>
        <w:t>b) En cuanto a los riesgos (art. 3 del Decreto-ley), los mismos quedan configurados por dos elementos: que queden excluidos de otras pólizas suscritas por la Generalitat y el carácter no firme de la responsabilidad civil, patrimonial y contable exigida a las personas afectadas.</w:t>
      </w:r>
    </w:p>
    <w:p w14:paraId="6757BDEF" w14:textId="77777777" w:rsidR="003754FE" w:rsidRDefault="003754FE" w:rsidP="003754FE">
      <w:pPr>
        <w:pStyle w:val="TextoNormal"/>
      </w:pPr>
    </w:p>
    <w:p w14:paraId="2444BF3F" w14:textId="77777777" w:rsidR="003754FE" w:rsidRDefault="003754FE" w:rsidP="003754FE">
      <w:pPr>
        <w:pStyle w:val="TextoNormal"/>
      </w:pPr>
      <w:r>
        <w:lastRenderedPageBreak/>
        <w:t>c) Quedan también fuera del ámbito de la norma los supuestos en los que, aun no habiendo sentencia firme, la Generalitat hubiera iniciado acción contra la persona afectada (art. 4.1 del Decreto-ley).</w:t>
      </w:r>
    </w:p>
    <w:p w14:paraId="77722CD8" w14:textId="77777777" w:rsidR="003754FE" w:rsidRDefault="003754FE" w:rsidP="003754FE">
      <w:pPr>
        <w:pStyle w:val="TextoNormal"/>
      </w:pPr>
    </w:p>
    <w:p w14:paraId="06632155" w14:textId="77777777" w:rsidR="003754FE" w:rsidRDefault="003754FE" w:rsidP="003754FE">
      <w:pPr>
        <w:pStyle w:val="TextoNormal"/>
      </w:pPr>
      <w:r>
        <w:t>d) Como reverso del derecho a obtener la cobertura del fondo, el artículo 5 del Decreto-ley prevé la obligación de retorno, lo que conlleva la devolución por los beneficiarios de los importes garantizados, así como de los intereses y gastos. Se refuta lo dicho en la demanda respecto de que el solicitante no se comprometería a devolver la cantidad avalada, sino solo los intereses y gastos, puesto que el texto vigente del Decreto-ley sí que prevé expresamente el compromiso de devolver los importes garantizados, según resulta de la corrección de errores del Decreto-ley 15/2021 (publicada en el “Diari Oficial de la Generalitat de Catalunya” de 8 de julio de 2021, y en el “Boletín Oficial del Estado” núm. 225, de 20 septiembre de 2021), corrección que afectó, en este punto, al “modelo de solicitud a presentar a la entidad gestora del fondo” incorporado como anexo al Decreto-ley.</w:t>
      </w:r>
    </w:p>
    <w:p w14:paraId="09F986F4" w14:textId="77777777" w:rsidR="003754FE" w:rsidRDefault="003754FE" w:rsidP="003754FE">
      <w:pPr>
        <w:pStyle w:val="TextoNormal"/>
      </w:pPr>
    </w:p>
    <w:p w14:paraId="54AB2609" w14:textId="77777777" w:rsidR="003754FE" w:rsidRDefault="003754FE" w:rsidP="003754FE">
      <w:pPr>
        <w:pStyle w:val="TextoNormal"/>
      </w:pPr>
      <w:r>
        <w:t>C) La norma impugnada cuenta —se añade— con varios antecedentes que avalan su constitucionalidad y legitimidad.</w:t>
      </w:r>
    </w:p>
    <w:p w14:paraId="3C624804" w14:textId="77777777" w:rsidR="003754FE" w:rsidRDefault="003754FE" w:rsidP="003754FE">
      <w:pPr>
        <w:pStyle w:val="TextoNormal"/>
      </w:pPr>
    </w:p>
    <w:p w14:paraId="5DF80167" w14:textId="77777777" w:rsidR="003754FE" w:rsidRDefault="003754FE" w:rsidP="003754FE">
      <w:pPr>
        <w:pStyle w:val="TextoNormal"/>
      </w:pPr>
      <w:r>
        <w:t>a) Se hace referencia, en primer lugar, al dictamen 2/2021, de 29 de julio, del Consejo de Garantías Estatutarias, emitido, antes de la convalidación del Decreto-ley, a solicitud de más de una decena de diputados del Parlamento de Cataluña. Se transcriben las conclusiones de dicho dictamen, alcanzadas —se destaca— por unanimidad de sus miembros.</w:t>
      </w:r>
    </w:p>
    <w:p w14:paraId="499D01A3" w14:textId="77777777" w:rsidR="003754FE" w:rsidRDefault="003754FE" w:rsidP="003754FE">
      <w:pPr>
        <w:pStyle w:val="TextoNormal"/>
      </w:pPr>
    </w:p>
    <w:p w14:paraId="24640D0E" w14:textId="77777777" w:rsidR="003754FE" w:rsidRDefault="003754FE" w:rsidP="003754FE">
      <w:pPr>
        <w:pStyle w:val="TextoNormal"/>
      </w:pPr>
      <w:r>
        <w:t>b) Se menciona, a continuación, el informe de la Abogacía del Estado en las actuaciones previas 80-2019 ante el Tribunal de Cuentas, que se adjunta a estas alegaciones, destacándose de dicho informe tanto el criterio de aquella representación en orden a la naturaleza administrativa, no jurisdiccional, de las referidas actuaciones previas como la conclusión de que, al no haberse declarado inconstitucional el Decreto-ley 15/2021 ni haberse suspendido su eficacia, la determinación de la legalidad de los actos dictados a su amparo habría de hacerse utilizando como canon las previsiones del propio Decreto-ley.</w:t>
      </w:r>
    </w:p>
    <w:p w14:paraId="4A4FB92B" w14:textId="77777777" w:rsidR="003754FE" w:rsidRDefault="003754FE" w:rsidP="003754FE">
      <w:pPr>
        <w:pStyle w:val="TextoNormal"/>
      </w:pPr>
    </w:p>
    <w:p w14:paraId="2A750857" w14:textId="77777777" w:rsidR="003754FE" w:rsidRDefault="003754FE" w:rsidP="003754FE">
      <w:pPr>
        <w:pStyle w:val="TextoNormal"/>
      </w:pPr>
      <w:r>
        <w:t>c) Se considera asimismo el informe de la Fiscalía Superior de Cataluña de 25 de octubre de 2021, en las diligencias indeterminadas 63-2021 seguidas ante la Sala de lo Civil y Penal del Tribunal Superior de Justicia de Cataluña, informe, también incorporado a las alegaciones, en el que se interesó la inadmisión a trámite tanto de la querella como de las denuncias presentadas en su día contra el presidente de la Generalitat y otros miembros de su Gobierno y del que se transcriben pasajes referidos al Decreto-ley 15/2021.</w:t>
      </w:r>
    </w:p>
    <w:p w14:paraId="7C0913DD" w14:textId="77777777" w:rsidR="003754FE" w:rsidRDefault="003754FE" w:rsidP="003754FE">
      <w:pPr>
        <w:pStyle w:val="TextoNormal"/>
      </w:pPr>
    </w:p>
    <w:p w14:paraId="080B5405" w14:textId="77777777" w:rsidR="003754FE" w:rsidRDefault="003754FE" w:rsidP="003754FE">
      <w:pPr>
        <w:pStyle w:val="TextoNormal"/>
      </w:pPr>
      <w:r>
        <w:t>d) Se hace mención, por último, del auto de inadmisión de la querella y las denuncias dictado el 17 de noviembre de 2021 en las antes citadas diligencias indeterminadas 63-2021, resolución, incorporada también a estas alegaciones, de la que se destacan referencias al mismo Decreto-ley 15/2021.</w:t>
      </w:r>
    </w:p>
    <w:p w14:paraId="497F9833" w14:textId="77777777" w:rsidR="003754FE" w:rsidRDefault="003754FE" w:rsidP="003754FE">
      <w:pPr>
        <w:pStyle w:val="TextoNormal"/>
      </w:pPr>
    </w:p>
    <w:p w14:paraId="4E3693D8" w14:textId="77777777" w:rsidR="003754FE" w:rsidRDefault="003754FE" w:rsidP="003754FE">
      <w:pPr>
        <w:pStyle w:val="TextoNormal"/>
      </w:pPr>
      <w:r>
        <w:t>D) Considera el escrito de alegaciones, tras lo anterior, los principios en los que se sustenta el Decreto-ley impugnado.</w:t>
      </w:r>
    </w:p>
    <w:p w14:paraId="1189C7A0" w14:textId="77777777" w:rsidR="003754FE" w:rsidRDefault="003754FE" w:rsidP="003754FE">
      <w:pPr>
        <w:pStyle w:val="TextoNormal"/>
      </w:pPr>
    </w:p>
    <w:p w14:paraId="677FF554" w14:textId="77777777" w:rsidR="003754FE" w:rsidRDefault="003754FE" w:rsidP="003754FE">
      <w:pPr>
        <w:pStyle w:val="TextoNormal"/>
      </w:pPr>
      <w:r>
        <w:t xml:space="preserve">a) El principio de protección de los servidores públicos se encuentra regulado en la legislación básica estatal [art. 14 f) EBEP] en su doble vertiente de derecho a la protección y </w:t>
      </w:r>
      <w:r>
        <w:lastRenderedPageBreak/>
        <w:t>derecho a la defensa jurídica y cuenta con reflejo en la legislación autonómica catalana (arts. 93 del Decreto Legislativo 1/1997, de conformidad con el cual la Generalitat “protegerá a su personal en el ejercicio de sus funciones”, y 9 de la Ley del Parlamento de Cataluña7/1996, que regula el derecho a la asistencia jurídica y a la defensa). Este principio y el de indemnidad constituyen el fundamento último del Decreto-ley impugnado.</w:t>
      </w:r>
    </w:p>
    <w:p w14:paraId="43897C9D" w14:textId="77777777" w:rsidR="003754FE" w:rsidRDefault="003754FE" w:rsidP="003754FE">
      <w:pPr>
        <w:pStyle w:val="TextoNormal"/>
      </w:pPr>
    </w:p>
    <w:p w14:paraId="2B4FCA4B" w14:textId="77777777" w:rsidR="003754FE" w:rsidRDefault="003754FE" w:rsidP="003754FE">
      <w:pPr>
        <w:pStyle w:val="TextoNormal"/>
      </w:pPr>
      <w:r>
        <w:t>El principio de indemnidad comporta que ningún servidor público se pueda ver perjudicado como consecuencia del ejercicio legítimo del cargo público que ocupa y aparece consolidado en la jurisprudencia del Tribunal Supremo [sentencias de la Sala de lo Contencioso-Administrativo 956/2020, de 8 de julio; 1003/2020, de 15 de julio; 1207/2020, de 28 de septiembre (ECLI:ES:TS:2020:3022); 18/2021, de 18 de enero (ECLI:ES:TS:2021:98), y 910/2021, de 24 de junio, (ECLI:ES:TS:2021:2524)], citándose asimismo el dictamen del Consejo de Estado 522/1991, de 23 de mayo, y la disposición adicional sexta del Real Decreto 462/2002, de 24 de mayo, sobre indemnizaciones por razón del servicio. En el ámbito de la Generalitat de Cataluña, y con la misma finalidad, el artículo 9 de la Ley 7/1996 dispone que el abogado de la Generalitat puede asumir la representación y defensa de los miembros del Gobierno, altos cargos y funcionarios y empleados públicos de su administración y organismos, sea cual sea su posición procesal, cuando los procedimientos se sigan por actos u omisiones relacionados con el ejercicio del cargo, a menos que los intereses del representado y los de la Generalitat sean opuestos o contradictorios. Tras citar la disposición adicional quinta del Decreto del Gobierno de la Generalitat 138/2008, de indemnizaciones por razón del servicio, se observa que la protección de estos derechos no sería completa si no comportara, igualmente, el derecho a ser beneficiario de las garantías necesarias para hacer frente a las reclamaciones que contra los empleados públicos se puedan presentar con el fin de evitar que estas reclamaciones puedan suponer un perjuicio en el patrimonio de las personas involucradas y por ello la Generalitat tiene suscritas pólizas de seguros para garantizar la protección de sus funcionarios y empleados en el ejercicio de las funciones encomendadas.</w:t>
      </w:r>
    </w:p>
    <w:p w14:paraId="252D5C3C" w14:textId="77777777" w:rsidR="003754FE" w:rsidRDefault="003754FE" w:rsidP="003754FE">
      <w:pPr>
        <w:pStyle w:val="TextoNormal"/>
      </w:pPr>
    </w:p>
    <w:p w14:paraId="53B7D407" w14:textId="77777777" w:rsidR="003754FE" w:rsidRDefault="003754FE" w:rsidP="003754FE">
      <w:pPr>
        <w:pStyle w:val="TextoNormal"/>
      </w:pPr>
      <w:r>
        <w:t xml:space="preserve">b) Nada impediría extender dicha garantía y protección a los directivos, altos cargos y miembros del Gobierno en el ejercicio de sus cargos y funciones, puesto que también sirven al interés general y porque, por otro lado, están asimilados por su condición de “autoridad” a los funcionarios públicos tanto por la legislación de responsabilidad contable como por el Código penal en lo referente a los “delitos de los funcionarios públicos en el ejercicio de sus cargos”. De acuerdo con el artículo 68.1 EAC, además, el Gobierno dirige la acción política y la administración de la Generalitat y, en consecuencia, sus actuaciones y decisiones tienen una doble condición, pues el Gobierno y sus miembros culminan, por un lado, la organización administrativa autonómica y son, por otro, órganos de naturaleza política. Por ello, sus actuaciones se rigen por el principio de discrecionalidad, lo que les otorga un amplio margen de decisión para la definición de sus políticas públicas en mérito de la autonomía política y de la capacidad de autogobierno de las comunidades autónomas. En consecuencia, el control jurisdiccional de los actos políticos del Gobierno reside, por una parte, en la jurisdicción contencioso-administrativa mediante un control debilitado y limitado a los aspectos formales, procedimentales y competenciales (elementos reglados) y, de la otra, en la jurisdicción constitucional. Los actos políticos del Gobierno y el ejercicio de sus potestades discrecionales solo están sometidos a la Constitución y al bloque de la constitucionalidad, en el que se inserta el Estatuto de Autonomía de Cataluña, y su control tiene que respetar la división de poderes y la posición institucional del Gobierno, con un núcleo de </w:t>
      </w:r>
      <w:r>
        <w:lastRenderedPageBreak/>
        <w:t>discrecionalidad indisponible. El ejercicio por el Gobierno de la dirección política incluye tanto el establecimiento de directrices como de políticas públicas con sujeción a la responsabilidad política y al control del Poder Legislativo, pero también a la responsabilidad civil, penal, patrimonial o contable, en función de sus actuaciones.</w:t>
      </w:r>
    </w:p>
    <w:p w14:paraId="1E7BBF65" w14:textId="77777777" w:rsidR="003754FE" w:rsidRDefault="003754FE" w:rsidP="003754FE">
      <w:pPr>
        <w:pStyle w:val="TextoNormal"/>
      </w:pPr>
    </w:p>
    <w:p w14:paraId="69371073" w14:textId="77777777" w:rsidR="003754FE" w:rsidRDefault="003754FE" w:rsidP="003754FE">
      <w:pPr>
        <w:pStyle w:val="TextoNormal"/>
      </w:pPr>
      <w:r>
        <w:t>Los miembros del Gobierno, a mayor abundamiento, disfrutan en el ejercicio de sus funciones de todos los derechos fundamentales, libertad de expresión, derecho de reunión o libertad de información con carácter reforzado, según reiterado reconocimiento del Tribunal Europeo de Derechos Humanos, de forma que el ejercicio lícito de estos derechos en ningún caso puede comportar un perjuicio económico a la Generalitat de Cataluña. Tampoco se puede hacer responsable de estas actuaciones a los empleados públicos que hayan intervenido en las actuaciones administrativas correspondientes dando cumplimiento a los trámites legalmente preceptivos, ya que el control de oportunidad está especialmente prohibido a los órganos de control o de intervención.</w:t>
      </w:r>
    </w:p>
    <w:p w14:paraId="1FC2C9FF" w14:textId="77777777" w:rsidR="003754FE" w:rsidRDefault="003754FE" w:rsidP="003754FE">
      <w:pPr>
        <w:pStyle w:val="TextoNormal"/>
      </w:pPr>
    </w:p>
    <w:p w14:paraId="58EDC31F" w14:textId="77777777" w:rsidR="003754FE" w:rsidRDefault="003754FE" w:rsidP="003754FE">
      <w:pPr>
        <w:pStyle w:val="TextoNormal"/>
      </w:pPr>
      <w:r>
        <w:t>Entre las políticas públicas que corresponde, en el ámbito de sus competencias, definir y dirigir al Gobierno de la Generalitat se incluye la acción exterior (art. 193 EAC), que se configura como un mandato a la Generalitat al amparo del que el Gobierno puede llevar a cabo cualquier actividad para impulsar la proyección de Cataluña en el exterior y promover en ese ámbito sus intereses, con el único límite constitucional de las relaciones internacionales que son competencia del Estado, así como de otras competencias estatales con proyección exterior. El reconocimiento de esa acción exterior es incluso anterior al vigente Estatuto de Autonomía, pues encuentra su fundamento constitucional en el principio de autonomía (arts. 2 y 147 CE).</w:t>
      </w:r>
    </w:p>
    <w:p w14:paraId="663DA353" w14:textId="77777777" w:rsidR="003754FE" w:rsidRDefault="003754FE" w:rsidP="003754FE">
      <w:pPr>
        <w:pStyle w:val="TextoNormal"/>
      </w:pPr>
    </w:p>
    <w:p w14:paraId="673B52EE" w14:textId="77777777" w:rsidR="003754FE" w:rsidRDefault="003754FE" w:rsidP="003754FE">
      <w:pPr>
        <w:pStyle w:val="TextoNormal"/>
      </w:pPr>
      <w:r>
        <w:t>Por todo ello, no existiría ningún impedimento constitucional, estatutario o legal a extender el principio de protección de los servidores públicos a los directivos, altos cargos y miembros del Gobierno de la Generalitat, sin que de ello se pueda desprender que estemos ante una actuación arbitraria o con relevancia penal. Por el contrario, como señala el auto de inadmisión de querella, del Tribunal Superior de Justicia de Cataluña, recaído en las diligencias indeterminadas 63-2021, tal decisión se enmarca en el carácter de “genuino acto político” del Decreto-ley 15/2021. Esta extensión, además, se fundamentaría también en la necesidad de preservar el principio de presunción de inocencia y el derecho a la tutela judicial efectiva de los afectados por procesos de responsabilidad penal o contable hasta que no se dicte la correspondiente resolución judicial firme y en este sentido el Decreto-ley es norma con vocación cautelar, quedando sujetos los beneficiados a una obligación de retorno en el momento en que recaiga resolución judicial firme declaratoria de su responsabilidad.</w:t>
      </w:r>
    </w:p>
    <w:p w14:paraId="3BEB5268" w14:textId="77777777" w:rsidR="003754FE" w:rsidRDefault="003754FE" w:rsidP="003754FE">
      <w:pPr>
        <w:pStyle w:val="TextoNormal"/>
      </w:pPr>
    </w:p>
    <w:p w14:paraId="266FDCC0" w14:textId="77777777" w:rsidR="003754FE" w:rsidRDefault="003754FE" w:rsidP="003754FE">
      <w:pPr>
        <w:pStyle w:val="TextoNormal"/>
      </w:pPr>
      <w:r>
        <w:t xml:space="preserve">c) El legislador catalán, consciente de los mayores riesgos que asumen determinados directivos y altos cargos de la Generalitat, ya reguló en 2015 la necesidad de establecer un sistema de cobertura de responsabilidades mediante un seguro de responsabilidad civil circunscrito a los directivos, altos cargos y empleados públicos que formen parte de órganos de gobierno, consejos de administración o cualquier otro órgano colegiado (art. 63 de la Ley del Parlamento Catalán 3/2015, de 11 de marzo, de medidas fiscales, financieras y administrativas, que modificó el apartado 2 de la disposición adicional vigésima primera de la ya citada Ley 2/2014, de medidas fiscales, administrativas, financieras y del sector público). Posteriormente, el artículo 103 de la Ley del Parlamento de Cataluña 5/2020, de 29 de abril, de medidas fiscales, financieras, administrativas y del sector público y de creación del </w:t>
      </w:r>
      <w:r>
        <w:lastRenderedPageBreak/>
        <w:t xml:space="preserve">impuesto sobre las instalaciones que inciden en el medio ambiente añadió el artículo 109 </w:t>
      </w:r>
      <w:r w:rsidRPr="003754FE">
        <w:rPr>
          <w:i/>
        </w:rPr>
        <w:t>bis</w:t>
      </w:r>
      <w:r>
        <w:t xml:space="preserve"> al texto refundido de los preceptos de determinados textos legales vigentes en Cataluña en materia de función pública, aprobado por el antes citado Decreto Legislativo del Gobierno de la Generalitat 1/1997, también en orden a asegurar la responsabilidad civil de los miembros de órganos de gobierno y liquidación y empleados de la Generalitat con determinadas funciones.</w:t>
      </w:r>
    </w:p>
    <w:p w14:paraId="0CE57F7F" w14:textId="77777777" w:rsidR="003754FE" w:rsidRDefault="003754FE" w:rsidP="003754FE">
      <w:pPr>
        <w:pStyle w:val="TextoNormal"/>
      </w:pPr>
    </w:p>
    <w:p w14:paraId="6A292A1F" w14:textId="77777777" w:rsidR="003754FE" w:rsidRDefault="003754FE" w:rsidP="003754FE">
      <w:pPr>
        <w:pStyle w:val="TextoNormal"/>
      </w:pPr>
      <w:r>
        <w:t>d) Se refieren después las alegaciones a las características de la póliza de seguro de responsabilidad civil y patrimonial contratada por la Generalitat desde el 1 de marzo de 2021 hasta el 28 de febrero de 2022 mediante procedimiento de licitación pública:</w:t>
      </w:r>
    </w:p>
    <w:p w14:paraId="2154292F" w14:textId="77777777" w:rsidR="003754FE" w:rsidRDefault="003754FE" w:rsidP="003754FE">
      <w:pPr>
        <w:pStyle w:val="TextoNormal"/>
      </w:pPr>
    </w:p>
    <w:p w14:paraId="508F3710" w14:textId="77777777" w:rsidR="003754FE" w:rsidRDefault="003754FE" w:rsidP="003754FE">
      <w:pPr>
        <w:pStyle w:val="TextoNormal"/>
      </w:pPr>
      <w:r>
        <w:t>(i) El objeto de dicho contrato privado es garantizar las consecuencias económicas derivadas de la responsabilidad patrimonial y civil que corresponda directamente (de forma mancomunada, solidaria o subsidiaria) a los diferentes departamentos de la Generalitat y al Consorcio de Educación de Barcelona por daños corporales y materiales y sus consecuencias directas, así como los perjuicios económicos puros, no consecuencia de daños materiales y/o corporales previos, causados por acción u omisión a terceras personas durante el ejercicio de su actividad y la responsabilidad civil profesional, incluida la contable, de acuerdo con la descripción del pliego de prescripciones técnicas.</w:t>
      </w:r>
    </w:p>
    <w:p w14:paraId="3AD72AA8" w14:textId="77777777" w:rsidR="003754FE" w:rsidRDefault="003754FE" w:rsidP="003754FE">
      <w:pPr>
        <w:pStyle w:val="TextoNormal"/>
      </w:pPr>
    </w:p>
    <w:p w14:paraId="60A8A228" w14:textId="77777777" w:rsidR="003754FE" w:rsidRDefault="003754FE" w:rsidP="003754FE">
      <w:pPr>
        <w:pStyle w:val="TextoNormal"/>
      </w:pPr>
      <w:r>
        <w:t>(ii) Tienen la consideración de asegurados todos los departamentos de la Generalitat, sus empleados y dependientes en el ejercicio de sus funciones o actividad profesional por cuenta y/o representación de aquellos, desarrollada tanto en sede departamental como fuera de ella, con determinadas excepciones, así como todo el personal que, sin vinculación laboral, actúe por cuenta de la Generalitat y los funcionarios de los cuerpos nacionales transferidos a la Generalitat. Se introduce como mejora la cobertura de la responsabilidad civil de consejeros, administradores y directivos por la pertenencia a órganos de gobierno, consejos de administración o cualquier órgano colegiado de entidades instrumentales designados por la Generalitat para actuar en su representación, con exclusión expresa de la responsabilidad derivada de las decisiones políticas de los indicados cargos, incluida su responsabilidad contable.</w:t>
      </w:r>
    </w:p>
    <w:p w14:paraId="00D0A37F" w14:textId="77777777" w:rsidR="003754FE" w:rsidRDefault="003754FE" w:rsidP="003754FE">
      <w:pPr>
        <w:pStyle w:val="TextoNormal"/>
      </w:pPr>
    </w:p>
    <w:p w14:paraId="668D9DD0" w14:textId="77777777" w:rsidR="003754FE" w:rsidRDefault="003754FE" w:rsidP="003754FE">
      <w:pPr>
        <w:pStyle w:val="TextoNormal"/>
      </w:pPr>
      <w:r>
        <w:t>(iii) Entre los riesgos cubiertos se incluyen las responsabilidades derivadas de los actos administrativos, de cualquiera de sus agentes y funcionarios, órganos y servicios, como también la responsabilidad profesional, incluida la contable, de los empleados y técnicos, exclusivamente por daños a terceros, mientras ejerciten su función. Se consideran riesgos excluidos los de la responsabilidad derivada de decisiones políticas de las autoridades y el personal al servicio de la administración pública en el ejercicio de cargos políticos que puedan ocupar en la administración, incluida la responsabilidad contable y los siniestros causados por dolo del asegurado de acuerdo con lo establecido en el artículo 19 de la Ley 50/1980, de 8 de octubre, de contrato de seguro. En materia de cobertura de fianza y defensa se prevé que, sin perjuicio de las previsiones de la póliza en relación con la cobertura de conductas dolosas, el asegurador asumirá a su cargo la defensa y fianza del asegurado incluso cuando se impute la comisión de un hecho tipificado como doloso, sin perjuicio de que si hubiere condena por sentencia firme en esta última hipótesis, el asegurado estará obligado a reembolsar al asegurador los gastos satisfechos en concepto de garantías de defensa y fianza. Se oferta un incremento del límite de indemnización por responsabilidad civil contable por un importe de 1 500 001 €.</w:t>
      </w:r>
    </w:p>
    <w:p w14:paraId="3997E414" w14:textId="77777777" w:rsidR="003754FE" w:rsidRDefault="003754FE" w:rsidP="003754FE">
      <w:pPr>
        <w:pStyle w:val="TextoNormal"/>
      </w:pPr>
    </w:p>
    <w:p w14:paraId="42C1096B" w14:textId="77777777" w:rsidR="003754FE" w:rsidRDefault="003754FE" w:rsidP="003754FE">
      <w:pPr>
        <w:pStyle w:val="TextoNormal"/>
      </w:pPr>
      <w:r>
        <w:t>(iv) Con anterioridad a febrero de 2021 la situación —se añade— era distinta.</w:t>
      </w:r>
    </w:p>
    <w:p w14:paraId="6333599B" w14:textId="77777777" w:rsidR="003754FE" w:rsidRDefault="003754FE" w:rsidP="003754FE">
      <w:pPr>
        <w:pStyle w:val="TextoNormal"/>
      </w:pPr>
    </w:p>
    <w:p w14:paraId="3D49423C" w14:textId="77777777" w:rsidR="003754FE" w:rsidRDefault="003754FE" w:rsidP="003754FE">
      <w:pPr>
        <w:pStyle w:val="TextoNormal"/>
      </w:pPr>
      <w:r>
        <w:t>En cumplimiento de la Ley del Parlamento de Cataluña 2/2014, modificada por el artículo 63 de la Ley 3/2015, la Generalitat adjudicó el 7 de abril de 2017 un contrato de servicios de seguro de responsabilidad civil para el personal directivo y los trabajadores públicos en el ejercicio de sus cargos y funciones, en el que a título enunciativo, no limitativo, se incluyen el personal funcionario, laboral, interino, eventual, alto cargo y cargo electo y político al servicio de la Generalitat, póliza que comprendía la responsabilidad contable, por la que el asegurador asumía cualquier pérdida que tenga que satisfacer el asegurado por un acto derivado de responsabilidad contable que resulte de un procedimiento seguido ante el Tribunal de Cuentas, la Sindicatura de Cuentas o cualquier órgano de control externo.</w:t>
      </w:r>
    </w:p>
    <w:p w14:paraId="22C445CF" w14:textId="77777777" w:rsidR="003754FE" w:rsidRDefault="003754FE" w:rsidP="003754FE">
      <w:pPr>
        <w:pStyle w:val="TextoNormal"/>
      </w:pPr>
    </w:p>
    <w:p w14:paraId="3708386D" w14:textId="77777777" w:rsidR="003754FE" w:rsidRDefault="003754FE" w:rsidP="003754FE">
      <w:pPr>
        <w:pStyle w:val="TextoNormal"/>
      </w:pPr>
      <w:r>
        <w:t>(v) El Decreto-ley 15/2021 constituye un complemento tanto de la póliza vigente adjudicada en marzo de 2021 como de las anteriores pólizas suscritas por la Generalitat y así lo habría reconocido el ya citado auto del Tribunal Superior de Justicia de Cataluña de 17 de noviembre de 2021 que, partiendo del principio de indemnidad en el ejercicio legítimo de un cargo público, establece que la norma legal estatuye un mecanismo complementario de protección del derecho a la indemnidad de los servidores públicos, al menos hasta que no haya un pronunciamiento judicial firme que declare la responsabilidad disciplinaria, contable o penal.</w:t>
      </w:r>
    </w:p>
    <w:p w14:paraId="5467546F" w14:textId="77777777" w:rsidR="003754FE" w:rsidRDefault="003754FE" w:rsidP="003754FE">
      <w:pPr>
        <w:pStyle w:val="TextoNormal"/>
      </w:pPr>
    </w:p>
    <w:p w14:paraId="483D75BF" w14:textId="77777777" w:rsidR="003754FE" w:rsidRDefault="003754FE" w:rsidP="003754FE">
      <w:pPr>
        <w:pStyle w:val="TextoNormal"/>
      </w:pPr>
      <w:r>
        <w:t>e) Se concluye en este punto mencionando otros ejemplos de contratos de seguro suscritos por varias administraciones públicas españolas en los que se incluyen —se alega— tanto la responsabilidad contable como la responsabilidad de sus directivos y altos cargos. De ello se desprendería que la suscripción de pólizas de seguros para empleados y cargos públicos en cobertura de los riesgos derivados del ejercicio de sus cargos, comprendiendo tanto fianzas e indemnizaciones como la defensa jurídica, es una realidad generalizada y que obedece tanto a la necesidad de garantizar el normal ejercicio de las potestades administrativas como el obligado respeto del principio de indemnidad.</w:t>
      </w:r>
    </w:p>
    <w:p w14:paraId="0619F996" w14:textId="77777777" w:rsidR="003754FE" w:rsidRDefault="003754FE" w:rsidP="003754FE">
      <w:pPr>
        <w:pStyle w:val="TextoNormal"/>
      </w:pPr>
    </w:p>
    <w:p w14:paraId="41271721" w14:textId="77777777" w:rsidR="003754FE" w:rsidRDefault="003754FE" w:rsidP="003754FE">
      <w:pPr>
        <w:pStyle w:val="TextoNormal"/>
      </w:pPr>
      <w:r>
        <w:t>E) Alega la Generalitat acerca de la existencia de una situación de extraordinaria y urgente necesidad que justificaría la aprobación del Decreto-ley 15/2021; acerca, también, de la conexión de sentido de las medidas adoptadas y en punto, asimismo, a la adecuación de las materias reguladas a la figura del decreto-ley.</w:t>
      </w:r>
    </w:p>
    <w:p w14:paraId="3F40DDE8" w14:textId="77777777" w:rsidR="003754FE" w:rsidRDefault="003754FE" w:rsidP="003754FE">
      <w:pPr>
        <w:pStyle w:val="TextoNormal"/>
      </w:pPr>
    </w:p>
    <w:p w14:paraId="4939A084" w14:textId="77777777" w:rsidR="003754FE" w:rsidRDefault="003754FE" w:rsidP="003754FE">
      <w:pPr>
        <w:pStyle w:val="TextoNormal"/>
      </w:pPr>
      <w:r>
        <w:t>a) Se considera, como cuestión prioritaria conforme a la jurisprudencia constitucional, si ha sido infringido el artículo 86.1 CE. Tras hacer mención de la doctrina constitucional que se estima relevante, se aduce con carácter preliminar que el mayor rigor exigible a los decretos-leyes autonómicos (por el menor tiempo requerido para tramitar una ley en una sola cámara) sería, dentro de la valoración conjunta del presupuesto habilitante, un factor a ponderar, pero sin que proceda exigir al Gobierno autonómico, en punto a la motivación, una justificación expresa e individualizada de la inadecuación del procedimiento legislativo para atender a tiempo los objetivos gubernamentales.</w:t>
      </w:r>
    </w:p>
    <w:p w14:paraId="355910CB" w14:textId="77777777" w:rsidR="003754FE" w:rsidRDefault="003754FE" w:rsidP="003754FE">
      <w:pPr>
        <w:pStyle w:val="TextoNormal"/>
      </w:pPr>
    </w:p>
    <w:p w14:paraId="1FE23B47" w14:textId="77777777" w:rsidR="003754FE" w:rsidRDefault="003754FE" w:rsidP="003754FE">
      <w:pPr>
        <w:pStyle w:val="TextoNormal"/>
      </w:pPr>
      <w:r>
        <w:t xml:space="preserve">El artículo 64.1 EAC, en concordancia con el artículo 38.1 de la Ley del Parlamento de Cataluña 13/2008, de la presidencia de la Generalitat y del Gobierno, atribuye al Gobierno, caso de extraordinaria y urgente necesidad, la facultad de dictar disposiciones legislativas </w:t>
      </w:r>
      <w:r>
        <w:lastRenderedPageBreak/>
        <w:t>provisionales en forma de decreto-ley. En punto a la concurrencia en el caso de dicha situación se aduce lo siguiente:</w:t>
      </w:r>
    </w:p>
    <w:p w14:paraId="7D409003" w14:textId="77777777" w:rsidR="003754FE" w:rsidRDefault="003754FE" w:rsidP="003754FE">
      <w:pPr>
        <w:pStyle w:val="TextoNormal"/>
      </w:pPr>
    </w:p>
    <w:p w14:paraId="0C22CD39" w14:textId="77777777" w:rsidR="003754FE" w:rsidRDefault="003754FE" w:rsidP="003754FE">
      <w:pPr>
        <w:pStyle w:val="TextoNormal"/>
      </w:pPr>
      <w:r>
        <w:t>(i) El preámbulo del Decreto-ley 15/2021 contiene una exposición razonada y diáfana del cumplimiento de este requisito. De una parte, por la exclusión de determinados riesgos en las pólizas de responsabilidad civil contratadas por la Generalitat y, de otro lado, por la notificación de la liquidación de 30 de junio de 2021 emitida por el Tribunal de Cuentas en ejercicio de su función de jurisdicción contable a propósito de la ejecución de políticas de acción exterior que afectaba a una cincuentena de funcionarios, altos cargos y miembros del Gobierno y que, por importe de 5 422 411,10 €, debía hacerse efectiva en el plazo máximo de veintiún días, que finalizaba el 21 de julio de 2021 y constituía un riesgo excluido en las vigentes pólizas de responsabilidad civil de la Generalitat.</w:t>
      </w:r>
    </w:p>
    <w:p w14:paraId="441B9E36" w14:textId="77777777" w:rsidR="003754FE" w:rsidRDefault="003754FE" w:rsidP="003754FE">
      <w:pPr>
        <w:pStyle w:val="TextoNormal"/>
      </w:pPr>
    </w:p>
    <w:p w14:paraId="0FA5BDF0" w14:textId="77777777" w:rsidR="003754FE" w:rsidRDefault="003754FE" w:rsidP="003754FE">
      <w:pPr>
        <w:pStyle w:val="TextoNormal"/>
      </w:pPr>
      <w:r>
        <w:t>(ii) Dicha argumentación ha sido asimismo exteriorizada de forma clara y consistente en sede parlamentaria con ocasión de la convalidación del Decreto-ley (“Diari de Sessions del Parlament de Catalunya”, sesión 11, de 29 de julio de 2021, p. 46) como acreditarían las intervenciones del consejero de Economía y Hacienda y de los portavoces de los grupos parlamentarios Socialista y Unidos para Avanzar (p. 48) y Esquerra (p. 62), de las que se transcriben pasajes en las alegaciones.</w:t>
      </w:r>
    </w:p>
    <w:p w14:paraId="60C28F83" w14:textId="77777777" w:rsidR="003754FE" w:rsidRDefault="003754FE" w:rsidP="003754FE">
      <w:pPr>
        <w:pStyle w:val="TextoNormal"/>
      </w:pPr>
    </w:p>
    <w:p w14:paraId="2DE4D221" w14:textId="77777777" w:rsidR="003754FE" w:rsidRDefault="003754FE" w:rsidP="003754FE">
      <w:pPr>
        <w:pStyle w:val="TextoNormal"/>
      </w:pPr>
      <w:r>
        <w:t>(iii) En lo que se refiere a la imprevisibilidad, a la necesidad de una intervención normativa inmediata con una norma con rango de ley y a la excepcionalidad, se hace referencia al apartado III del preámbulo y se añade que resulta excepcional la notificación de la mentada liquidación provisional, que afecta a una multiplicidad de funcionarios, altos cargos y miembros del Gobierno, con exigencia de un importe millonario y en la que se otorga un breve plazo para su consignación, a lo que se ha de añadir la reciente exclusión del aseguramiento de la responsabilidad contable por las compañías aseguradoras.</w:t>
      </w:r>
    </w:p>
    <w:p w14:paraId="36D4E197" w14:textId="77777777" w:rsidR="003754FE" w:rsidRDefault="003754FE" w:rsidP="003754FE">
      <w:pPr>
        <w:pStyle w:val="TextoNormal"/>
      </w:pPr>
    </w:p>
    <w:p w14:paraId="5E8D88B6" w14:textId="77777777" w:rsidR="003754FE" w:rsidRDefault="003754FE" w:rsidP="003754FE">
      <w:pPr>
        <w:pStyle w:val="TextoNormal"/>
      </w:pPr>
      <w:r>
        <w:t>(iv) En cuanto a la imposibilidad de implementar la regulación mediante el procedimiento parlamentario por el trámite de urgencia o, en su caso, mediante una norma reglamentaria, se hace también referencia al preámbulo y a las referidas intervenciones parlamentarias. En el escasísimo plazo de veintiún días resultaría material y jurídicamente imposible tramitar y aprobar una ley por el procedimiento ordinario, el de urgencia o el de lectura única, este último no adecuado por razón de la materia (arts. 114 y ss., 107 y 138 RPC). Lo mismo cabe decir respecto de la hipotética posibilidad de haber tramitado un reglamento en un plazo tan extremadamente breve, tanto por la complejidad de las materias reguladas como por la concatenación de trámites exigidos (arts. 59 y ss. de la Ley del Parlamento de Cataluña 26/2010, de 3 de agosto, de régimen jurídico y de procedimiento de las administraciones públicas de Cataluña, y art. 69 de la Ley del Parlamento de Cataluña 19/2014, de 29 de diciembre, de transparencia, acceso a la información pública y buen gobierno).</w:t>
      </w:r>
    </w:p>
    <w:p w14:paraId="1FF21329" w14:textId="77777777" w:rsidR="003754FE" w:rsidRDefault="003754FE" w:rsidP="003754FE">
      <w:pPr>
        <w:pStyle w:val="TextoNormal"/>
      </w:pPr>
    </w:p>
    <w:p w14:paraId="07E5F4E2" w14:textId="77777777" w:rsidR="003754FE" w:rsidRDefault="003754FE" w:rsidP="003754FE">
      <w:pPr>
        <w:pStyle w:val="TextoNormal"/>
      </w:pPr>
      <w:r>
        <w:t xml:space="preserve">b) Del examen conjunto del preámbulo y del articulado se inferiría la conexión de sentido entre la necesidad excepcional identificada en el primero y las concretas medidas contenidas en la norma. Se recuerda que, conforme a la jurisprudencia constitucional, el examen de la concurrencia del presupuesto habilitante se ha de llevar a cabo mediante la valoración conjunta de todos los factores que determinaron al Gobierno a dictar la disposición excepcional y que el decreto-ley es un instrumento idóneo para resolver problemas coyunturales no necesariamente circunscrito a situaciones de fuerza mayor o emergencia. La aplicación de esta </w:t>
      </w:r>
      <w:r>
        <w:lastRenderedPageBreak/>
        <w:t>doctrina lleva a concluir que la regulación del Decreto-ley 15/2021 es conforme al artículo 86 CE y que resulta acreditada en su preámbulo y confirmada en el debate parlamentario de convalidación la concurrencia de las notas de excepcionalidad, gravedad, relevancia e imprevisibilidad que justifican esta acción normativa inmediata en un plazo más breve que el requerido para la tramitación parlamentaria de las leyes.</w:t>
      </w:r>
    </w:p>
    <w:p w14:paraId="66C61D25" w14:textId="77777777" w:rsidR="003754FE" w:rsidRDefault="003754FE" w:rsidP="003754FE">
      <w:pPr>
        <w:pStyle w:val="TextoNormal"/>
      </w:pPr>
    </w:p>
    <w:p w14:paraId="3203D49C" w14:textId="77777777" w:rsidR="003754FE" w:rsidRDefault="003754FE" w:rsidP="003754FE">
      <w:pPr>
        <w:pStyle w:val="TextoNormal"/>
      </w:pPr>
      <w:r>
        <w:t>F) Se argumenta después sobre el cumplimiento del requisito establecido en el artículo 64.1 EAC y acerca de la inexistencia de ley singular, esto último tras citar y glosar la jurisprudencia constitucional que se estima de relieve. Se aduce, en particular, lo siguiente:</w:t>
      </w:r>
    </w:p>
    <w:p w14:paraId="1BB5E169" w14:textId="77777777" w:rsidR="003754FE" w:rsidRDefault="003754FE" w:rsidP="003754FE">
      <w:pPr>
        <w:pStyle w:val="TextoNormal"/>
      </w:pPr>
    </w:p>
    <w:p w14:paraId="725D912C" w14:textId="77777777" w:rsidR="003754FE" w:rsidRDefault="003754FE" w:rsidP="003754FE">
      <w:pPr>
        <w:pStyle w:val="TextoNormal"/>
      </w:pPr>
      <w:r>
        <w:t>a) El decreto-ley impugnado no sería una norma de destinatario único, a la vista tanto de su preámbulo (que se refiere a “situaciones muy diversas en que pueden encontrarse los servidores públicos”, tan solo una de las cuales es la de las personas afectadas por las actuaciones previas 80-2019 del Tribunal de Cuentas) como de su regulación, que tiene vocación de generalidad en cuanto a su ámbito subjetivo (art. 2) y que configura el derecho de acceso al fondo en un sentido amplio. El Decreto-ley, en definitiva, supone la implementación del principio de indemnidad, por lo que su objeto, destinatarios y finalidad tienen necesariamente un carácter general y difuso, con vocación de generalidad y permanencia.</w:t>
      </w:r>
    </w:p>
    <w:p w14:paraId="68E42D25" w14:textId="77777777" w:rsidR="003754FE" w:rsidRDefault="003754FE" w:rsidP="003754FE">
      <w:pPr>
        <w:pStyle w:val="TextoNormal"/>
      </w:pPr>
    </w:p>
    <w:p w14:paraId="4A884DC0" w14:textId="77777777" w:rsidR="003754FE" w:rsidRDefault="003754FE" w:rsidP="003754FE">
      <w:pPr>
        <w:pStyle w:val="TextoNormal"/>
      </w:pPr>
      <w:r>
        <w:t>b) Tampoco sería la impugnada una norma autoaplicativa, puesto que no lleva a cabo actividad materialmente administrativa o típicamente ejecutiva aplicable a un supuesto concreto, sino que tiene una dimensión de generalidad y permanencia cuya regulación, además, requiere de un procedimiento administrativo y de una resolución final que puede ser no estimatoria. Muestra de la complejidad de las actuaciones administrativas para llevar a cabo la aplicación del Decreto-ley es su artículo 4.5, que contempla un límite en cuanto a la cobertura individual con la finalidad de garantizar el acceso de cualquier persona incluida en su ámbito subjetivo. Se debe dejar constancia de que el artículo 6.1 prevé que el departamento competente en materia de finanzas ha de realizar las actuaciones correspondientes para la dotación de recursos necesarios y que en la disposición transitoria se prevé que mientras no se constituya la entidad gestora o se encargue a una entidad ya constituida, se encarga su gestión provisional al Instituto Catalán de Finanzas, a lo que se ha de añadir que el artículo 6.2 establece como modalidad de control para las operaciones necesarias el control posterior con las finalidades y el procedimiento establecido por el Decreto-ley de la Generalitat de Cataluña 46/2020, de 24 de noviembre, de medidas urgentes de carácter administrativo, tributario y de control financiero. Se hace referencia asimismo a los controles, exigencias y trámites establecidos en los decretos legislativos de la Generalitat de Cataluña 4/2002, de 24 de diciembre, por el que se aprueba el texto refundido de la Ley del Instituto Catalán de Finanzas; 3/2002, de 24 de diciembre, por el que se aprueba el texto refundido de la Ley de finanzas públicas de Cataluña, o 1/2002, de 24 de diciembre, por el que se aprueba el texto refundido de la Ley del patrimonio de la Generalitat de Cataluña.</w:t>
      </w:r>
    </w:p>
    <w:p w14:paraId="400D06C7" w14:textId="77777777" w:rsidR="003754FE" w:rsidRDefault="003754FE" w:rsidP="003754FE">
      <w:pPr>
        <w:pStyle w:val="TextoNormal"/>
      </w:pPr>
    </w:p>
    <w:p w14:paraId="1E2EB116" w14:textId="77777777" w:rsidR="003754FE" w:rsidRDefault="003754FE" w:rsidP="003754FE">
      <w:pPr>
        <w:pStyle w:val="TextoNormal"/>
      </w:pPr>
      <w:r>
        <w:t xml:space="preserve">c) Se niega que el Decreto-ley responda a la singularidad del supuesto de hecho que regula, puesto que su vocación de generalidad y permanencia comporta que no pueda agotar su contenido. Muestra de ello serían el fondo de diez millones de euros (con las aportaciones anuales que prevé el artículo 1.2) y el ámbito subjetivo previsto en el artículo 2. Que en la exposición de motivos se explicite uno de los supuestos que ha justificado el presupuesto habilitante (el acta de liquidación provisional del Tribunal de Cuentas) no puede llevar en </w:t>
      </w:r>
      <w:r>
        <w:lastRenderedPageBreak/>
        <w:t>absoluto a confundir dicho supuesto con un presunto carácter singular de la regulación contenida en el Decreto-ley.</w:t>
      </w:r>
    </w:p>
    <w:p w14:paraId="0D90E191" w14:textId="77777777" w:rsidR="003754FE" w:rsidRDefault="003754FE" w:rsidP="003754FE">
      <w:pPr>
        <w:pStyle w:val="TextoNormal"/>
      </w:pPr>
    </w:p>
    <w:p w14:paraId="7E0B8242" w14:textId="77777777" w:rsidR="003754FE" w:rsidRDefault="003754FE" w:rsidP="003754FE">
      <w:pPr>
        <w:pStyle w:val="TextoNormal"/>
      </w:pPr>
      <w:r>
        <w:t>d) La demanda considera que el pretexto al que acude el Decreto-ley es arbitrario, en cuanto el principio de indemnidad nada tiene que ver con el derecho que pretende instaurar, de modo que no se cumpliría con el presupuesto habilitante exigido por el artículo 64 EAC. La arbitrariedad que alega la demanda queda desvirtuada por la presentación explícita y razonada del preámbulo en la que se alude a las dos situaciones —ya referidas— que justifican la necesidad extraordinaria y urgente de esta norma. Esta pretensión descansa en una mera aseveración genérica, huérfana de toda argumentación, de una supuesta afectación de títulos competenciales, en contra de la carga que, según doctrina constitucional, incumbe a quien recurre.</w:t>
      </w:r>
    </w:p>
    <w:p w14:paraId="4E444D28" w14:textId="77777777" w:rsidR="003754FE" w:rsidRDefault="003754FE" w:rsidP="003754FE">
      <w:pPr>
        <w:pStyle w:val="TextoNormal"/>
      </w:pPr>
    </w:p>
    <w:p w14:paraId="68F4C0E1" w14:textId="77777777" w:rsidR="003754FE" w:rsidRDefault="003754FE" w:rsidP="003754FE">
      <w:pPr>
        <w:pStyle w:val="TextoNormal"/>
      </w:pPr>
      <w:r>
        <w:t>G) No se ha incurrido en arbitrariedad ni vulnerado el artículo 9.3 CE en relación con los artículos 31.2 y 103.1 de la misma norma fundamental.</w:t>
      </w:r>
    </w:p>
    <w:p w14:paraId="4055D73A" w14:textId="77777777" w:rsidR="003754FE" w:rsidRDefault="003754FE" w:rsidP="003754FE">
      <w:pPr>
        <w:pStyle w:val="TextoNormal"/>
      </w:pPr>
    </w:p>
    <w:p w14:paraId="110B6D0B" w14:textId="77777777" w:rsidR="003754FE" w:rsidRDefault="003754FE" w:rsidP="003754FE">
      <w:pPr>
        <w:pStyle w:val="TextoNormal"/>
      </w:pPr>
      <w:r>
        <w:t>a) En cuanto a la censura por arbitrariedad, llama la atención que tanto el informe de la Fiscalía como el auto de 17 de noviembre de 2021 del Tribunal Superior de Justicia de Cataluña a los que ya se ha hecho referencia, refuten de forma abierta, clara y terminante dicha tesis.</w:t>
      </w:r>
    </w:p>
    <w:p w14:paraId="382D38E7" w14:textId="77777777" w:rsidR="003754FE" w:rsidRDefault="003754FE" w:rsidP="003754FE">
      <w:pPr>
        <w:pStyle w:val="TextoNormal"/>
      </w:pPr>
    </w:p>
    <w:p w14:paraId="3946B30F" w14:textId="77777777" w:rsidR="003754FE" w:rsidRDefault="003754FE" w:rsidP="003754FE">
      <w:pPr>
        <w:pStyle w:val="TextoNormal"/>
      </w:pPr>
      <w:r>
        <w:t>b) Con la creación del fondo la Generalitat no haría otra cosa que garantizar a sus servidores la cobertura que, para el resto de los supuestos, están cubriendo las pólizas de seguros que tiene suscritas:</w:t>
      </w:r>
    </w:p>
    <w:p w14:paraId="65A2E0AA" w14:textId="77777777" w:rsidR="003754FE" w:rsidRDefault="003754FE" w:rsidP="003754FE">
      <w:pPr>
        <w:pStyle w:val="TextoNormal"/>
      </w:pPr>
    </w:p>
    <w:p w14:paraId="394FC29F" w14:textId="77777777" w:rsidR="003754FE" w:rsidRDefault="003754FE" w:rsidP="003754FE">
      <w:pPr>
        <w:pStyle w:val="TextoNormal"/>
      </w:pPr>
      <w:r>
        <w:t>(i) El servidor público continúa siendo responsable y suscribe una declaración responsable por la que se obliga, caso de ser condenado por sentencia firme, a devolver el importe garantizado, más gastos e intereses. Una vez se dicte tal sentencia firme, la misma deberá ser ejecutada en sus propios términos, correspondiendo al tribunal que la haya dictado el control de la ejecución.</w:t>
      </w:r>
    </w:p>
    <w:p w14:paraId="084618E6" w14:textId="77777777" w:rsidR="003754FE" w:rsidRDefault="003754FE" w:rsidP="003754FE">
      <w:pPr>
        <w:pStyle w:val="TextoNormal"/>
      </w:pPr>
    </w:p>
    <w:p w14:paraId="6172B7F5" w14:textId="77777777" w:rsidR="003754FE" w:rsidRDefault="003754FE" w:rsidP="003754FE">
      <w:pPr>
        <w:pStyle w:val="TextoNormal"/>
      </w:pPr>
      <w:r>
        <w:t>(ii) A su vez, declarada la firmeza de la sentencia que determine la responsabilidad del beneficiario del fondo, la Generalitat viene obligada a activar el procedimiento de reintegro, incluyendo la posibilidad de utilizar el procedimiento ejecutivo de recaudación. Debería ser el beneficiario, en su caso, quien formalizase una solicitud de aplazamiento, tal y como se prevé en el artículo 46 (en relación con los artículos 44 y 52) del Real Decreto 939/2005, de 29 de julio, por el que se aprueba el Reglamento general de recaudación, actuaciones que respetan lo dispuesto en los artículos 31.2 y 103.1 CE. El artículo 5.1 del Decreto-ley no dilata de forma indefinida la obligación de reintegro, pues esta obligación ya la ha asumido el beneficiario, porque la ejecución de sentencia es tutelada por el tribunal y porque tanto el recurso de amparo constitucional como la demanda ante el Tribunal Europeo de Derechos Humanos son vías legalmente tasadas y vigentes en nuestro ordenamiento.</w:t>
      </w:r>
    </w:p>
    <w:p w14:paraId="1921FC73" w14:textId="77777777" w:rsidR="003754FE" w:rsidRDefault="003754FE" w:rsidP="003754FE">
      <w:pPr>
        <w:pStyle w:val="TextoNormal"/>
      </w:pPr>
    </w:p>
    <w:p w14:paraId="2B0E78FD" w14:textId="77777777" w:rsidR="003754FE" w:rsidRDefault="003754FE" w:rsidP="003754FE">
      <w:pPr>
        <w:pStyle w:val="TextoNormal"/>
      </w:pPr>
      <w:r>
        <w:t xml:space="preserve">(iii) Se ha de precisar que el artículo 5.1 del Decreto-ley no equipara la situación previa a la sentencia firme con la situación posterior a la misma hasta la finalización de todas las vías de impugnación judiciales y jurisdiccionales, estatales e internacionales, que son solo el recurso de amparo constitucional y la demanda ante el Tribunal Europeo de Derechos Humanos, puesto que, en este segundo caso, de solicitarse un aplazamiento por el </w:t>
      </w:r>
      <w:r>
        <w:lastRenderedPageBreak/>
        <w:t>interesado, se impone un deber de valoración y ponderación a la administración en función de las vicisitudes procesales de estas dos posibilidades de recurso contra la sentencia firme (habrá que tener en cuenta, por ejemplo, si se han otorgado medidas cautelares de suspensión previstas en el artículo 56 LOTC). En consecuencia, la administración acreedora deberá valorar la sentencia firme y si, a pesar de haberse interpuesto los citados recursos, se siguen manteniendo las condiciones exigidas por el Decreto-ley para acreditar el derecho de cobertura (art. 4) y, en particular, que la Generalitat no haya iniciado ninguna acción contra la persona afectada ni, en particular, ningún procedimiento disciplinario o sancionador ni ningún procedimiento judicial de reclamación de responsabilidad civil. La misma técnica normativa es utilizada por el legislador en el ámbito de la acción de regreso respecto de la responsabilidad patrimonial de la administración (art. 36.2 de la Ley 40/2015, de régimen jurídico del sector público, y, por lo que hace a las responsabilidades por incumplimiento del Derecho de la Unión Europea, art. 5.1 del Real Decreto 515/2013, de 5 de julio).</w:t>
      </w:r>
    </w:p>
    <w:p w14:paraId="0997D0E7" w14:textId="77777777" w:rsidR="003754FE" w:rsidRDefault="003754FE" w:rsidP="003754FE">
      <w:pPr>
        <w:pStyle w:val="TextoNormal"/>
      </w:pPr>
    </w:p>
    <w:p w14:paraId="0D295190" w14:textId="77777777" w:rsidR="003754FE" w:rsidRDefault="003754FE" w:rsidP="003754FE">
      <w:pPr>
        <w:pStyle w:val="TextoNormal"/>
      </w:pPr>
      <w:r>
        <w:t>c) En última instancia, y como sostienen la Fiscalía y el Tribunal Superior de Justicia de Cataluña, el Decreto-ley no evidencia ninguna finalidad irracional o arbitraria, sino que aplica el principio de indemnidad y protección, partiendo del pleno respeto a la presunción de inocencia y haciendo compatible la protección de los servidores públicos y el libre y legítimo ejercicio de la fiscalización y control del Tribunal de Cuentas, así como de cualquier instancia jurisdiccional.</w:t>
      </w:r>
    </w:p>
    <w:p w14:paraId="533B317C" w14:textId="77777777" w:rsidR="003754FE" w:rsidRDefault="003754FE" w:rsidP="003754FE">
      <w:pPr>
        <w:pStyle w:val="TextoNormal"/>
      </w:pPr>
    </w:p>
    <w:p w14:paraId="5FAD6EEA" w14:textId="77777777" w:rsidR="003754FE" w:rsidRDefault="003754FE" w:rsidP="003754FE">
      <w:pPr>
        <w:pStyle w:val="TextoNormal"/>
      </w:pPr>
      <w:r>
        <w:t>H) No se vulneran los artículos 1.1 (división de poderes), 117 y 136 (exclusividad de la función jurisdiccional) y 118 (obligación de cumplir las resoluciones judiciales), todos de la Constitución.</w:t>
      </w:r>
    </w:p>
    <w:p w14:paraId="58D45B67" w14:textId="77777777" w:rsidR="003754FE" w:rsidRDefault="003754FE" w:rsidP="003754FE">
      <w:pPr>
        <w:pStyle w:val="TextoNormal"/>
      </w:pPr>
    </w:p>
    <w:p w14:paraId="4307A67D" w14:textId="77777777" w:rsidR="003754FE" w:rsidRDefault="003754FE" w:rsidP="003754FE">
      <w:pPr>
        <w:pStyle w:val="TextoNormal"/>
      </w:pPr>
      <w:r>
        <w:t>a) El Decreto-ley en ningún caso vulnera las competencias del Poder Judicial ni interfiere en su ejercicio, ya que solo opera mientras no haya recaído resolución judicial firme siendo, por tanto, una norma de carácter estrictamente cautelar:</w:t>
      </w:r>
    </w:p>
    <w:p w14:paraId="47455406" w14:textId="77777777" w:rsidR="003754FE" w:rsidRDefault="003754FE" w:rsidP="003754FE">
      <w:pPr>
        <w:pStyle w:val="TextoNormal"/>
      </w:pPr>
    </w:p>
    <w:p w14:paraId="6EC44512" w14:textId="77777777" w:rsidR="003754FE" w:rsidRDefault="003754FE" w:rsidP="003754FE">
      <w:pPr>
        <w:pStyle w:val="TextoNormal"/>
      </w:pPr>
      <w:r>
        <w:t>(i) Su artículo 5 no establece ninguna condición a la obligación de retorno, de forma que hasta que no se confirmara la responsabilidad derivada de la comisión de un delito no nacería dicha obligación, como erróneamente se podría interpretar, sino que, como señala el dictamen del Consejo de Garantías Estatutarias, regula dos supuestos distintos de generación de un crédito de derecho público que se vinculan a la cobertura, a cargo del fondo, de las garantías que se pueden haber prestado, uno referido al ámbito jurisdiccional penal y otro al de la responsabilidad contable, exigiendo esta última la existencia de dolo, culpa o negligencia graves (art. 49 LFTCu) y aquella el haber cometido una actuación dolosa o culposa (art. 121 del Código penal). Pero ello no excluye ni impide que la Generalitat pueda ejercer la acción de regreso por los daños y perjuicios causados en otro tipo de siniestros diferentes a la cobertura de garantías prevista en ese artículo 5, que también estén cubiertos (arts. 2 y 3) y que se rigen por la normativa general aplicable, como el artículo 36 de la Ley 40/2015, por lo que no existe contradicción alguna con esta norma.</w:t>
      </w:r>
    </w:p>
    <w:p w14:paraId="1EC71C99" w14:textId="77777777" w:rsidR="003754FE" w:rsidRDefault="003754FE" w:rsidP="003754FE">
      <w:pPr>
        <w:pStyle w:val="TextoNormal"/>
      </w:pPr>
    </w:p>
    <w:p w14:paraId="75F7E5F9" w14:textId="77777777" w:rsidR="003754FE" w:rsidRDefault="003754FE" w:rsidP="003754FE">
      <w:pPr>
        <w:pStyle w:val="TextoNormal"/>
      </w:pPr>
      <w:r>
        <w:t xml:space="preserve">(ii) El término “pronunciamiento judicial firme” no constituye en absoluto un supuesto indeterminado. En primer lugar, porque es claro que la obligación de retorno nace coincidiendo con la firmeza, siendo incuestionable que la sentencia firme que declare la responsabilidad civil o contable debe ser ejecutada en sus propios términos y dentro del plazo que establece la Ley Orgánica del Poder Judicial si bien, según prevén los artículos 44 y </w:t>
      </w:r>
      <w:r>
        <w:lastRenderedPageBreak/>
        <w:t>siguientes del Real Decreto 939/2005, que aprueba el Reglamento general de recaudación, la administración puede aplazar el pago de las deudas de derecho público, de forma que el artículo 5.1 lo que introduce es la posibilidad de que la administración de la Generalitat demore la ejecutividad del cobro de su crédito hasta que, interpuesto un recurso de amparo constitucional o una demanda ante el Tribunal Europeo de Derechos Humanos, los mismos hayan sido inadmitidos o desestimados o bien se haya dictado una resolución que no pueda ser revisada por los tribunales estatales.</w:t>
      </w:r>
    </w:p>
    <w:p w14:paraId="73573E42" w14:textId="77777777" w:rsidR="003754FE" w:rsidRDefault="003754FE" w:rsidP="003754FE">
      <w:pPr>
        <w:pStyle w:val="TextoNormal"/>
      </w:pPr>
    </w:p>
    <w:p w14:paraId="192F332F" w14:textId="77777777" w:rsidR="003754FE" w:rsidRDefault="003754FE" w:rsidP="003754FE">
      <w:pPr>
        <w:pStyle w:val="TextoNormal"/>
      </w:pPr>
      <w:r>
        <w:t>(iii) En cuanto a las vicisitudes de la obligación de retorno alegadas en el recurso, se recuerda que no existe en nuestro Derecho ninguna presunción de insolvencia ni mucho menos de culpabilidad. Al contrario, el artículo 1911 del Código civil instituye el principio de responsabilidad patrimonial universal y el artículo 24.2 CE proclama el principio de presunción de inocencia. En idénticos términos se habría pronunciado la Sala de lo Civil y Penal del Tribunal Superior de Justicia de Cataluña en su ya citado auto de 17 de noviembre de 2021. No se puede plantear un juicio de constitucionalidad del mecanismo complementario de garantía del principio de indemnidad y su obligación de retorno partiendo de la presunción de culpabilidad e insolvencia futura.</w:t>
      </w:r>
    </w:p>
    <w:p w14:paraId="0C1559F1" w14:textId="77777777" w:rsidR="003754FE" w:rsidRDefault="003754FE" w:rsidP="003754FE">
      <w:pPr>
        <w:pStyle w:val="TextoNormal"/>
      </w:pPr>
    </w:p>
    <w:p w14:paraId="5FA6DEF7" w14:textId="77777777" w:rsidR="003754FE" w:rsidRDefault="003754FE" w:rsidP="003754FE">
      <w:pPr>
        <w:pStyle w:val="TextoNormal"/>
      </w:pPr>
      <w:r>
        <w:t>b) No existe vulneración de los artículos 117 y 136 CE:</w:t>
      </w:r>
    </w:p>
    <w:p w14:paraId="54370456" w14:textId="77777777" w:rsidR="003754FE" w:rsidRDefault="003754FE" w:rsidP="003754FE">
      <w:pPr>
        <w:pStyle w:val="TextoNormal"/>
      </w:pPr>
    </w:p>
    <w:p w14:paraId="16316E25" w14:textId="77777777" w:rsidR="003754FE" w:rsidRDefault="003754FE" w:rsidP="003754FE">
      <w:pPr>
        <w:pStyle w:val="TextoNormal"/>
      </w:pPr>
      <w:r>
        <w:t>(i) La liquidación provisional que fue objeto de garantía mediante el aval garantizado al amparo del Decreto-ley 15/2021 lo fue en una fase administrativa previa a la jurisdiccional (arts. 26 de la Ley Orgánica del Tribunal de Cuentas y 47.1 LFTCu), tal y como se fundamenta en el dictamen 2/2021 del Consejo de Garantías Estatutarias. La finalidad de esta primera fase es reunir información que fije los hechos que han ocasionado el perjuicio, fijar la partida del déficit contable y determinar las personas presuntamente responsables y de su conclusión puede derivarse un requerimiento para que el afectado deposite o afiance el importe provisional del déficit contable bajo advertencia de embargo [art. 47.1 e) y f) LFTCu], medidas cautelares que no suponen en ningún momento la atribución de responsabilidad contable, reservada a la fase de enjuiciamiento.</w:t>
      </w:r>
    </w:p>
    <w:p w14:paraId="24461ED2" w14:textId="77777777" w:rsidR="003754FE" w:rsidRDefault="003754FE" w:rsidP="003754FE">
      <w:pPr>
        <w:pStyle w:val="TextoNormal"/>
      </w:pPr>
    </w:p>
    <w:p w14:paraId="6E6C0A94" w14:textId="77777777" w:rsidR="003754FE" w:rsidRDefault="003754FE" w:rsidP="003754FE">
      <w:pPr>
        <w:pStyle w:val="TextoNormal"/>
      </w:pPr>
      <w:r>
        <w:t>(ii) La regulación del Decreto-ley no incide, expuesto lo anterior, en las funciones del Tribunal de Cuentas y se ha dictado al amparo de competencias estatutarias (arts. 71, 136, 150, 159 y 211 EAC) para crear un instrumento de garantía complementario al servicio del funcionamiento normal de la administración de la Generalitat. Tanto la apertura como el desarrollo y la conclusión por sentencia de los procedimientos de responsabilidad contable se pueden llevar a cabo con total normalidad sin que las disposiciones del Decreto-ley causen distorsión o interferencia alguna ni, por consiguiente, vulneración del artículo 136 CE. Idéntica conclusión se ha de alcanzar, por lo mismo, respecto de la pretendida interferencia respecto de los procesos penales que sin mayor detalle alega la demanda. Otro tanto cabe decir de la pretendida vulneración del artículo 118, en cuanto a la obligación de cumplir las resoluciones judiciales.</w:t>
      </w:r>
    </w:p>
    <w:p w14:paraId="18B57342" w14:textId="77777777" w:rsidR="003754FE" w:rsidRDefault="003754FE" w:rsidP="003754FE">
      <w:pPr>
        <w:pStyle w:val="TextoNormal"/>
      </w:pPr>
    </w:p>
    <w:p w14:paraId="07F519E3" w14:textId="77777777" w:rsidR="003754FE" w:rsidRDefault="003754FE" w:rsidP="003754FE">
      <w:pPr>
        <w:pStyle w:val="TextoNormal"/>
      </w:pPr>
      <w:r>
        <w:t xml:space="preserve">I) No se vulnera el artículo 149.1.18 CE. No se crea </w:t>
      </w:r>
      <w:r w:rsidRPr="003754FE">
        <w:rPr>
          <w:i/>
        </w:rPr>
        <w:t>ex novo</w:t>
      </w:r>
      <w:r>
        <w:t xml:space="preserve"> ningún derecho prestacional de garantía no previsto en la legislación básica estatal. Tampoco se crea ninguna especialidad procesal.</w:t>
      </w:r>
    </w:p>
    <w:p w14:paraId="466C71E0" w14:textId="77777777" w:rsidR="003754FE" w:rsidRDefault="003754FE" w:rsidP="003754FE">
      <w:pPr>
        <w:pStyle w:val="TextoNormal"/>
      </w:pPr>
    </w:p>
    <w:p w14:paraId="6DA0472E" w14:textId="77777777" w:rsidR="003754FE" w:rsidRDefault="003754FE" w:rsidP="003754FE">
      <w:pPr>
        <w:pStyle w:val="TextoNormal"/>
      </w:pPr>
      <w:r>
        <w:lastRenderedPageBreak/>
        <w:t>Tal y como se expone en el apartado IV de su preámbulo, el Decreto-ley se dicta al amparo de la potestad de autoorganización y de las competencias que los artículos 159, apartados 1 y 5, y 136 EAC atribuyen a la Generalitat en materias de régimen jurídico, procedimiento y responsabilidad patrimonial de las administraciones públicas catalanas y de función pública, respectivamente, citándose también en las alegaciones los artículos 71, 150 y 211 del mismo EAC. En lo relativo a los derechos y deberes del personal al servicio de la administración, la competencia es compartida, de forma que la Generalitat debe respetar las bases estatales y tal como señala el repetido dictamen del Consejo de Garantías Estatutarias el Decreto-ley cita en su preámbulo el artículo 14 f) EBEP, precepto que menciona, entre los derechos de los funcionarios públicos, el de “defensa jurídica y protección de la administración pública en los procedimientos que se sigan ante cualquier orden jurisdiccional como consecuencia del ejercicio legítimo de sus funciones o cargos públicos”, derecho recogido en la legislación catalana (art. 9 de la Ley 7/1996, de organización de los servicios jurídicos de la Generalitat, y art. 93 del Decreto Legislativo 1/1997, por el que se aprueba la refundición de los preceptos de determinados textos legales en materia de función pública, donde se establece que la Generalitat “protegerá a su personal en el ejercicio de sus funciones”, además de en la ya mencionada disposición adicional vigésima primera, apartado 2.7, de la Ley 2/2014, en la nueva redacción que da a la misma el artículo 63 de la Ley 3/2015, que también estipula la obligación de la Generalitat de establecer un sistema de protección mediante un seguro de responsabilidad). Este derecho constituye la finalidad última del Decreto-ley impugnado, para lo que la Generalitat tiene competencias, según se ha dicho, como también la tiene para extender dicha protección, de acuerdo con el principio de discrecionalidad, a los altos cargos y cargos electos, en tanto que también participan de la condición de servidores públicos al servicio del interés general.</w:t>
      </w:r>
    </w:p>
    <w:p w14:paraId="458195F5" w14:textId="77777777" w:rsidR="003754FE" w:rsidRDefault="003754FE" w:rsidP="003754FE">
      <w:pPr>
        <w:pStyle w:val="TextoNormal"/>
      </w:pPr>
    </w:p>
    <w:p w14:paraId="57B7C791" w14:textId="42F0FEC0" w:rsidR="003754FE" w:rsidRDefault="003754FE" w:rsidP="003754FE">
      <w:pPr>
        <w:pStyle w:val="TextoNormal"/>
      </w:pPr>
      <w:r>
        <w:t>Se concluyó con la solicitud de que se dictara sentencia desestimatoria, en su integridad, del recurso de inconstitucionalidad.</w:t>
      </w:r>
    </w:p>
    <w:p w14:paraId="22211479" w14:textId="77777777" w:rsidR="003754FE" w:rsidRDefault="003754FE" w:rsidP="003754FE">
      <w:pPr>
        <w:pStyle w:val="TextoNormal"/>
      </w:pPr>
    </w:p>
    <w:p w14:paraId="254E290E" w14:textId="77777777" w:rsidR="003754FE" w:rsidRDefault="003754FE" w:rsidP="003754FE">
      <w:pPr>
        <w:pStyle w:val="TextoNormal"/>
      </w:pPr>
      <w:r w:rsidRPr="003754FE">
        <w:rPr>
          <w:rStyle w:val="NumeroAFNegritaCaracter"/>
        </w:rPr>
        <w:t>9</w:t>
      </w:r>
      <w:r>
        <w:t>. Mediante escrito de 13 de diciembre de 2021, registrado en el Tribunal en la misma fecha, presentó sus alegaciones el letrado del Parlamento de Cataluña. Pueden resumirse como sigue:</w:t>
      </w:r>
    </w:p>
    <w:p w14:paraId="3BF41EDE" w14:textId="77777777" w:rsidR="003754FE" w:rsidRDefault="003754FE" w:rsidP="003754FE">
      <w:pPr>
        <w:pStyle w:val="TextoNormal"/>
      </w:pPr>
    </w:p>
    <w:p w14:paraId="00687522" w14:textId="77777777" w:rsidR="003754FE" w:rsidRDefault="003754FE" w:rsidP="003754FE">
      <w:pPr>
        <w:pStyle w:val="TextoNormal"/>
      </w:pPr>
      <w:r>
        <w:t>A) Se comienza por hacer determinadas precisiones.</w:t>
      </w:r>
    </w:p>
    <w:p w14:paraId="4E166A9D" w14:textId="77777777" w:rsidR="003754FE" w:rsidRDefault="003754FE" w:rsidP="003754FE">
      <w:pPr>
        <w:pStyle w:val="TextoNormal"/>
      </w:pPr>
    </w:p>
    <w:p w14:paraId="36369283" w14:textId="77777777" w:rsidR="003754FE" w:rsidRDefault="003754FE" w:rsidP="003754FE">
      <w:pPr>
        <w:pStyle w:val="TextoNormal"/>
      </w:pPr>
      <w:r>
        <w:t>a) Quienes recurren insisten en el supuesto propósito fraudulento de la norma y en el caso de simulación ante el que nos hallaríamos, alegatos que han de ser desestimados en mérito del control abstracto que aquí procede, para el que, conforme a la jurisprudencia constitucional que se cita, son ajenas las intenciones, estrategia política o propósito último del autor de la norma.</w:t>
      </w:r>
    </w:p>
    <w:p w14:paraId="0E141E10" w14:textId="77777777" w:rsidR="003754FE" w:rsidRDefault="003754FE" w:rsidP="003754FE">
      <w:pPr>
        <w:pStyle w:val="TextoNormal"/>
      </w:pPr>
    </w:p>
    <w:p w14:paraId="015310D7" w14:textId="77777777" w:rsidR="003754FE" w:rsidRDefault="003754FE" w:rsidP="003754FE">
      <w:pPr>
        <w:pStyle w:val="TextoNormal"/>
      </w:pPr>
      <w:r>
        <w:t>b) También es de rechazar que el Decreto-ley cree, como se alega, un nuevo tipo de fianza. El Decreto-ley no crea negocio jurídico alguno ni invoca la competencia de la Generalitat en materia de Derecho civil (art. 129 EAC), sino que se remite a las garantías admitidas en Derecho.</w:t>
      </w:r>
    </w:p>
    <w:p w14:paraId="73440A74" w14:textId="77777777" w:rsidR="003754FE" w:rsidRDefault="003754FE" w:rsidP="003754FE">
      <w:pPr>
        <w:pStyle w:val="TextoNormal"/>
      </w:pPr>
    </w:p>
    <w:p w14:paraId="5A73B544" w14:textId="77777777" w:rsidR="003754FE" w:rsidRDefault="003754FE" w:rsidP="003754FE">
      <w:pPr>
        <w:pStyle w:val="TextoNormal"/>
      </w:pPr>
      <w:r>
        <w:t xml:space="preserve">c) Es relevante aclarar que la validez o no de la norma impugnada es cuestión por completo independiente de la validez o no de las garantías que puedan llegar a emitir las entidades financieras o la entidad gestora del fondo (art. 4.7 o, en su caso, disposición transitoria, </w:t>
      </w:r>
      <w:r>
        <w:lastRenderedPageBreak/>
        <w:t>apartado segundo). Aquella primera cuestión es independiente, además, no solo de la validez de los avales o contraavales emitidos a su amparo, sino también de la suficiencia de estos para cubrir las obligaciones legales que en cada caso se puedan llegar a imponer a las personas incluidas en el ámbito subjetivo del Decreto-ley.</w:t>
      </w:r>
    </w:p>
    <w:p w14:paraId="5AD540E6" w14:textId="77777777" w:rsidR="003754FE" w:rsidRDefault="003754FE" w:rsidP="003754FE">
      <w:pPr>
        <w:pStyle w:val="TextoNormal"/>
      </w:pPr>
    </w:p>
    <w:p w14:paraId="0974189B" w14:textId="77777777" w:rsidR="003754FE" w:rsidRDefault="003754FE" w:rsidP="003754FE">
      <w:pPr>
        <w:pStyle w:val="TextoNormal"/>
      </w:pPr>
      <w:r>
        <w:t>d) En cuanto al orden en el que han de ser analizados los motivos de inconstitucionalidad, se señala, con cita de doctrina del Tribunal Constitucional, que se han de considerar ante todo las infracciones denunciadas del artículo 64.1 EAC en relación con el artículo 86.1 CE; después las de tipo competencial y finalmente los motivos de inconstitucionalidad sustantiva.</w:t>
      </w:r>
    </w:p>
    <w:p w14:paraId="55170F45" w14:textId="77777777" w:rsidR="003754FE" w:rsidRDefault="003754FE" w:rsidP="003754FE">
      <w:pPr>
        <w:pStyle w:val="TextoNormal"/>
      </w:pPr>
    </w:p>
    <w:p w14:paraId="6B739B3C" w14:textId="77777777" w:rsidR="003754FE" w:rsidRDefault="003754FE" w:rsidP="003754FE">
      <w:pPr>
        <w:pStyle w:val="TextoNormal"/>
      </w:pPr>
      <w:r>
        <w:t>B) Sobre la alegada vulneración del artículo 64.1 EAC en relación con el artículo 86.1 CE.</w:t>
      </w:r>
    </w:p>
    <w:p w14:paraId="0DC47ADC" w14:textId="77777777" w:rsidR="003754FE" w:rsidRDefault="003754FE" w:rsidP="003754FE">
      <w:pPr>
        <w:pStyle w:val="TextoNormal"/>
      </w:pPr>
    </w:p>
    <w:p w14:paraId="71E886A2" w14:textId="77777777" w:rsidR="003754FE" w:rsidRDefault="003754FE" w:rsidP="003754FE">
      <w:pPr>
        <w:pStyle w:val="TextoNormal"/>
      </w:pPr>
      <w:r>
        <w:t>a) Por lo que se refiere a la concurrencia del presupuesto habilitante para el dictado del Decreto-ley, se alega, tras la mención de la jurisprudencia constitucional que se estima de relieve, lo siguiente:</w:t>
      </w:r>
    </w:p>
    <w:p w14:paraId="10E896C6" w14:textId="77777777" w:rsidR="003754FE" w:rsidRDefault="003754FE" w:rsidP="003754FE">
      <w:pPr>
        <w:pStyle w:val="TextoNormal"/>
      </w:pPr>
    </w:p>
    <w:p w14:paraId="39343F03" w14:textId="77777777" w:rsidR="003754FE" w:rsidRDefault="003754FE" w:rsidP="003754FE">
      <w:pPr>
        <w:pStyle w:val="TextoNormal"/>
      </w:pPr>
      <w:r>
        <w:t>(i) En cuanto a los motivos tenidos en cuenta por el Gobierno para la adopción de esta disposición, se transcriben determinados pasajes de su preámbulo, así como palabras del consejero de Economía y Hacienda en el debate parlamentario de convalidación.</w:t>
      </w:r>
    </w:p>
    <w:p w14:paraId="62C7B24F" w14:textId="77777777" w:rsidR="003754FE" w:rsidRDefault="003754FE" w:rsidP="003754FE">
      <w:pPr>
        <w:pStyle w:val="TextoNormal"/>
      </w:pPr>
    </w:p>
    <w:p w14:paraId="52938E58" w14:textId="77777777" w:rsidR="003754FE" w:rsidRDefault="003754FE" w:rsidP="003754FE">
      <w:pPr>
        <w:pStyle w:val="TextoNormal"/>
      </w:pPr>
      <w:r>
        <w:t>Se añade, frente a lo sugerido en el recurso, que es irrelevante a este respecto el motivo por el que las últimas pólizas de seguro contratadas por la Generalitat no cubren determinados riesgos. Sí que son relevantes las razones por las que ha de acudirse a la norma de urgencia, que fueron explicitadas tanto en la exposición de motivos como durante el mentado debate parlamentario. Más en concreto, la exposición de motivos alude a la brevedad de los plazos en relación con las actuaciones previas núm. 80-2019 seguidas ante el Tribunal de Cuentas, cuya delegada instructora, como es notorio, había dictado providencia el 30 de junio de 2021 requiriendo a distintas personas incluidas en el ámbito subjetivo del Decreto-ley para que reintegraran, depositaran o afianzaran en el plazo de quince días hábiles el importe que a cada una se le reclamaba a título de responsable contable, bajo apercibimiento de embargo (de ello —se indica— da cuenta el auto 29/2021, de 14 de octubre, de la Sala de Justicia del Tribunal de Cuentas, resolutorio de un recurso interpuesto al amparo del artículo 48.1 LFTCu en el marco de dichas actuaciones previas y que se adjunta a estas alegaciones). A partir de la lectura del debate parlamentario de convalidación resulta claro que las razones por las que se decidió acudir a la norma de urgencia no solo estaban explicitadas en su exposición de motivos, sino que fueron uno de los principales elementos en torno a los que giró tal debate. La propia recurrente, para discutir que las circunstancias fueran imprevisibles o excepcionales, alega que dos años antes de la aprobación del Decreto-ley se había llevado ya a cabo una primera liquidación en el marco de las actuaciones previas núm. 80-2019, lo que da perfecta cuenta de su conocimiento de las razones aducidas por el Gobierno para acudir a la norma de urgencia. Es claro, pues, que esas razones se encuentran suficientemente explicitadas y que se refieren a la totalidad de los preceptos impugnados.</w:t>
      </w:r>
    </w:p>
    <w:p w14:paraId="073D6A2B" w14:textId="77777777" w:rsidR="003754FE" w:rsidRDefault="003754FE" w:rsidP="003754FE">
      <w:pPr>
        <w:pStyle w:val="TextoNormal"/>
      </w:pPr>
    </w:p>
    <w:p w14:paraId="57132B7C" w14:textId="77777777" w:rsidR="003754FE" w:rsidRDefault="003754FE" w:rsidP="003754FE">
      <w:pPr>
        <w:pStyle w:val="TextoNormal"/>
      </w:pPr>
      <w:r>
        <w:t xml:space="preserve">(ii) Los motivos invocados por el Gobierno son susceptibles de ser considerados como una situación de extraordinaria y urgente necesidad, habida cuenta del control externo que </w:t>
      </w:r>
      <w:r>
        <w:lastRenderedPageBreak/>
        <w:t>aquí procede y del necesario respeto al margen de discrecionalidad política que corresponde al autor de la norma.</w:t>
      </w:r>
    </w:p>
    <w:p w14:paraId="3B577C84" w14:textId="77777777" w:rsidR="003754FE" w:rsidRDefault="003754FE" w:rsidP="003754FE">
      <w:pPr>
        <w:pStyle w:val="TextoNormal"/>
      </w:pPr>
    </w:p>
    <w:p w14:paraId="0FC97450" w14:textId="77777777" w:rsidR="003754FE" w:rsidRDefault="003754FE" w:rsidP="003754FE">
      <w:pPr>
        <w:pStyle w:val="TextoNormal"/>
      </w:pPr>
      <w:r>
        <w:t xml:space="preserve">En el recurso se arguye, como se acaba de recordar, que las circunstancias a las que se refiere el preámbulo no serían ni imprevisibles ni excepcionales, pues en las actuaciones previas 80-2019 se habían emitido liquidaciones provisionales ya en el año 2019. Se alega ahora, con cita de diferentes sentencias constitucionales, que, una vez aceptada la providencia de la delegada instructora de 30 de junio de 2021, la acción normativa inmediata que, a juicio del Gobierno y posteriormente del Parlamento, requería dicha situación no habría podido ser solventada mediante el procedimiento legislativo común (arts. 114 a 126 RPC) y ni siquiera mediante el de urgencia (art. 107 RPC). Se añade que la tramitación de estas medidas como proyecto de ley habría impedido su adopción antes del transcurso del plazo de quince días hábiles concedido por la delegada instructora, pues en tal caso hubiera cabido que se hubiera requerido, como se hizo con el Decreto-ley de la Generalitat de Cataluña 2/2021, dictamen del Consejo de Garantías Estatutarias, con suspensión durante un mes del procedimiento legislativo [arts. 16.1 b), 23 b) y 26.3 de la Ley del Parlamento de Cataluña 2/2009, de 12 de febrero]. Ni siquiera la tramitación por el procedimiento de lectura única (art. 138 RPC) de un eventual proyecto de ley hubiera posibilitado que el Parlamento pudiera aprobarlo antes del plazo de quince días concedido por la delegada instructora, pues si bien el plazo para el dictamen del Consejo de Garantías Estatutarias es de siete días hábiles, a ellos se habrían de sumar los dos días hábiles para solicitarlo, así como el plazo para presentar enmiendas (art. 26 </w:t>
      </w:r>
      <w:r w:rsidRPr="003754FE">
        <w:rPr>
          <w:i/>
        </w:rPr>
        <w:t>bis</w:t>
      </w:r>
      <w:r>
        <w:t>.1 y 4 de la Ley recién citada). Antes de todo ello —se añade— el artículo 36 de la Ley 13/2008, de la presidencia de la Generalitat y del Gobierno somete la iniciativa legislativa del Gobierno a una serie de trámites que hace todavía más difícilmente imaginable que una iniciativa legislativa gubernamental hubiera podido entrar en vigor antes del transcurso del referido plazo de quince días, siendo de recordar que la delegada instructora rechazó ampliar el plazo para el depósito o afianzamiento, según resolución que se adjunta a las alegaciones. A la vista de lo anterior resulta difícilmente imaginable la posibilidad de aprobar una iniciativa legislativa del Gobierno en tan corto período de tiempo y ello sin contar el necesario para el otorgamiento, en su caso, de las garantías correspondientes por la entidad financiera y la entidad gestora del fondo.</w:t>
      </w:r>
    </w:p>
    <w:p w14:paraId="4C95DAF0" w14:textId="77777777" w:rsidR="003754FE" w:rsidRDefault="003754FE" w:rsidP="003754FE">
      <w:pPr>
        <w:pStyle w:val="TextoNormal"/>
      </w:pPr>
    </w:p>
    <w:p w14:paraId="09FE31F8" w14:textId="77777777" w:rsidR="003754FE" w:rsidRDefault="003754FE" w:rsidP="003754FE">
      <w:pPr>
        <w:pStyle w:val="TextoNormal"/>
      </w:pPr>
      <w:r>
        <w:t>(iii) Parece claro que existe una verdadera conexión de sentido (que la parte recurrente no cuestiona) entre, por un lado, la situación de extraordinaria y urgente necesidad apreciada por el Gobierno, en un juicio político asumido por el Parlamento y, por otro, las medidas concretamente adoptadas, independientemente del juicio político o técnico que las mismas puedan merecer.</w:t>
      </w:r>
    </w:p>
    <w:p w14:paraId="744E1A87" w14:textId="77777777" w:rsidR="003754FE" w:rsidRDefault="003754FE" w:rsidP="003754FE">
      <w:pPr>
        <w:pStyle w:val="TextoNormal"/>
      </w:pPr>
    </w:p>
    <w:p w14:paraId="65191B03" w14:textId="77777777" w:rsidR="003754FE" w:rsidRDefault="003754FE" w:rsidP="003754FE">
      <w:pPr>
        <w:pStyle w:val="TextoNormal"/>
      </w:pPr>
      <w:r>
        <w:t>b) La extensión del ámbito subjetivo de la norma (art. 2) a quienes en cada momento tengan la condición de miembros del Gobierno no excedería del límite material de los decretos-leyes establecido por el artículo 64.1 EAC, con arreglo al cual no pueden ser objeto de decreto-ley, en lo que haría al caso, las materias objeto de leyes de desarrollo básico, límite que se habría traspasado, según la demanda, en la medida en que el artículo 62.2 EAC define como ley de desarrollo básico del Estatuto la prevista en su artículo 68.3 para regular la organización, el funcionamiento y las atribuciones del Gobierno:</w:t>
      </w:r>
    </w:p>
    <w:p w14:paraId="7C19C6C6" w14:textId="77777777" w:rsidR="003754FE" w:rsidRDefault="003754FE" w:rsidP="003754FE">
      <w:pPr>
        <w:pStyle w:val="TextoNormal"/>
      </w:pPr>
    </w:p>
    <w:p w14:paraId="61D53EB8" w14:textId="77777777" w:rsidR="003754FE" w:rsidRDefault="003754FE" w:rsidP="003754FE">
      <w:pPr>
        <w:pStyle w:val="TextoNormal"/>
      </w:pPr>
      <w:r>
        <w:t xml:space="preserve">(i) Nada razona el recurso, en primer lugar, sobre por qué la inclusión en el ámbito subjetivo del Decreto-ley de quienes tengan o hayan tenido la condición de altos cargos, </w:t>
      </w:r>
      <w:r>
        <w:lastRenderedPageBreak/>
        <w:t xml:space="preserve">distintos de los miembros del Gobierno, podría vulnerar el artículo 64.1 EAC, extremo sobre el que procedería desestimar </w:t>
      </w:r>
      <w:r w:rsidRPr="003754FE">
        <w:rPr>
          <w:i/>
        </w:rPr>
        <w:t>a limine</w:t>
      </w:r>
      <w:r>
        <w:t xml:space="preserve"> esta alegación. Tampoco se razona nada sobre por qué la extensión del ámbito subjetivo a quienes, habiendo sido miembros del Gobierno, no lo fueran en la actualidad, vulneraría aquel precepto estatutario.</w:t>
      </w:r>
    </w:p>
    <w:p w14:paraId="7A821033" w14:textId="77777777" w:rsidR="003754FE" w:rsidRDefault="003754FE" w:rsidP="003754FE">
      <w:pPr>
        <w:pStyle w:val="TextoNormal"/>
      </w:pPr>
    </w:p>
    <w:p w14:paraId="2AC8315C" w14:textId="77777777" w:rsidR="003754FE" w:rsidRDefault="003754FE" w:rsidP="003754FE">
      <w:pPr>
        <w:pStyle w:val="TextoNormal"/>
      </w:pPr>
      <w:r>
        <w:t>(ii) Ya en lo que se refiere a los miembros del Gobierno, la extensión que el recurso da a lo establecido en el artículo 62.2 EAC es exorbitante, pues no parece que pueda decirse que el Decreto-ley regule ni la organización, ni el funcionamiento ni las atribuciones del Gobierno (art. 68.3 EAC) y en todo caso esa afectación sería tangencial, no nuclear, ante lo que ha de traerse a colación la jurisprudencia constitucional sobre el artículo 81.1 CE, visto que el artículo 62.2 EAC exige mayoría absoluta para la aprobación de estas leyes de desarrollo básico. El mismo principio de interpretación restrictiva aplicado a la reserva de ley orgánica debería valer para estas últimas leyes y en este sentido se habría pronunciado el Consejo de Garantías Estatutarias en su dictamen 1/2018, de 26 de abril.</w:t>
      </w:r>
    </w:p>
    <w:p w14:paraId="5A180E99" w14:textId="77777777" w:rsidR="003754FE" w:rsidRDefault="003754FE" w:rsidP="003754FE">
      <w:pPr>
        <w:pStyle w:val="TextoNormal"/>
      </w:pPr>
    </w:p>
    <w:p w14:paraId="33641705" w14:textId="77777777" w:rsidR="003754FE" w:rsidRDefault="003754FE" w:rsidP="003754FE">
      <w:pPr>
        <w:pStyle w:val="TextoNormal"/>
      </w:pPr>
      <w:r>
        <w:t>C) Sobre la alegada vulneración del artículo 149.1.18 CE, en lo relativo a la competencia estatal sobre las bases del régimen estatutario de los funcionarios.</w:t>
      </w:r>
    </w:p>
    <w:p w14:paraId="57CE6BB3" w14:textId="77777777" w:rsidR="003754FE" w:rsidRDefault="003754FE" w:rsidP="003754FE">
      <w:pPr>
        <w:pStyle w:val="TextoNormal"/>
      </w:pPr>
    </w:p>
    <w:p w14:paraId="526CD66F" w14:textId="77777777" w:rsidR="003754FE" w:rsidRDefault="003754FE" w:rsidP="003754FE">
      <w:pPr>
        <w:pStyle w:val="TextoNormal"/>
      </w:pPr>
      <w:r>
        <w:t>a) Los recurrentes parten de un entendimiento completamente erróneo de la distribución de competencias que deriva de este precepto constitucional y del artículo 136 EAC, en particular en lo relativo al régimen estatutario del personal al servicio de las administraciones públicas. La interpretación de la que parte el recurso sería que, siendo el Estado competente para regular los derechos y deberes de ese personal, la Generalitat no podría ampliar, sin contradecir lo dispuesto en la normativa básica, el elenco de tales derechos, de modo que sería inconstitucional cualquier derecho reconocido al personal al servicio de la Generalitat que no fuera reconducible a alguno de los expresamente reconocidos por la normativa básica, interpretación —en palabras del Tribunal Constitucional— extensiva y excesiva de lo básico y que rompería una ruptura del equilibrio competencial que la Constitución ha querido establecer en la materia. El propio artículo 14 q) EBEP concluye la enumeración de los derechos individuales de los empleados públicos con una mención a los demás derechos reconocidos por el ordenamiento jurídico.</w:t>
      </w:r>
    </w:p>
    <w:p w14:paraId="1138A835" w14:textId="77777777" w:rsidR="003754FE" w:rsidRDefault="003754FE" w:rsidP="003754FE">
      <w:pPr>
        <w:pStyle w:val="TextoNormal"/>
      </w:pPr>
    </w:p>
    <w:p w14:paraId="20067654" w14:textId="77777777" w:rsidR="003754FE" w:rsidRDefault="003754FE" w:rsidP="003754FE">
      <w:pPr>
        <w:pStyle w:val="TextoNormal"/>
      </w:pPr>
      <w:r>
        <w:t>b) Alcanzada esta conclusión, los argumentos acerca de si el Decreto-ley se puede inscribir o no en el derecho a la defensa jurídica y a la protección [art. 14 f) EBEP] resultaría inoperante. La parte recurrente no invoca disposición básica estatal alguna que prohíba a la Generalitat crear una cobertura de este tipo para sus empleados públicos o con la que dicha creación incurra en contradicción. Tampoco se opone ninguna norma básica estatal que permitiera decir que la extensión del ámbito subjetivo a los altos cargos al servicio de la Generalitat sea contraria al artículo 149.1.18 CE, extensión que, como recuerda en su dictamen 2/2021 el Consejo de Garantías Estatutarias, se produjo ya parcialmente, en lo que respecta a seguros de responsabilidad civil, mediante el artículo 63 de la Ley 3/2015, de 11 de marzo, de medidas fiscales, financieras y administrativas. En cualquier caso, y como se señala en el repetido dictamen, el fondo se inscribe normalmente en el derecho a la defensa jurídica y a la protección de la administración pública [art. 14 f) EBEP], así como en el artículo 93 del Decreto Legislativo de la Generalitat de Cataluña 1/1997, por el que se aprueba la refundición en un texto único de los preceptos de determinados textos legales en materia de función pública.</w:t>
      </w:r>
    </w:p>
    <w:p w14:paraId="2A321862" w14:textId="77777777" w:rsidR="003754FE" w:rsidRDefault="003754FE" w:rsidP="003754FE">
      <w:pPr>
        <w:pStyle w:val="TextoNormal"/>
      </w:pPr>
    </w:p>
    <w:p w14:paraId="3207EABD" w14:textId="77777777" w:rsidR="003754FE" w:rsidRDefault="003754FE" w:rsidP="003754FE">
      <w:pPr>
        <w:pStyle w:val="TextoNormal"/>
      </w:pPr>
      <w:r>
        <w:lastRenderedPageBreak/>
        <w:t>D) Sobre la alegada vulneración del artículo 149.1.6 CE, en lo que respecta a la competencia del Estado sobre la legislación procesal, sin perjuicio de las necesarias especialidades que se deriven de las particularidades del Derecho sustantivo de las comunidades autónomas.</w:t>
      </w:r>
    </w:p>
    <w:p w14:paraId="4734A89C" w14:textId="77777777" w:rsidR="003754FE" w:rsidRDefault="003754FE" w:rsidP="003754FE">
      <w:pPr>
        <w:pStyle w:val="TextoNormal"/>
      </w:pPr>
    </w:p>
    <w:p w14:paraId="095BBA7A" w14:textId="77777777" w:rsidR="003754FE" w:rsidRDefault="003754FE" w:rsidP="003754FE">
      <w:pPr>
        <w:pStyle w:val="TextoNormal"/>
      </w:pPr>
      <w:r>
        <w:t xml:space="preserve">a) El establecimiento del fondo no constituye legislación procesal. En la medida en que lo alegado en el recurso se circunscriba al artículo 5.1, se trata de un error de concepto (que se repite en relación con la aducida vulneración del artículo 117 CE), basado en la errónea interpretación de que aquel precepto del Decreto-ley regularía, de algún modo, la ejecución de las sentencias judiciales firmes que hubieran podido declarar la responsabilidad contable o la civil derivada de delito. Nada más lejos de la realidad, pues la obligación de retorno a la que se refiere el artículo 5.1 del Decreto-ley es una norma sobre la cobranza de las cantidades debidas a la hacienda de la Generalitat como consecuencia tanto del otorgamiento de un aval como del resarcimiento por su ejecución, que se inscribe naturalmente en el ámbito de las competencias de la Generalitat (arts. 150, 159 y 211 EAC), ejercidas hasta el momento sin objeción. Así lo hizo mediante el artículo 97.3 de la Ley 5/2020, de 29 de abril, de medidas fiscales, financieras, administrativas y del sector público y de creación del impuesto sobre las instalaciones que inciden en el medio ambiente, que añadió un nuevo apartado, el quinto, al artículo 60 del Decreto Legislativo 3/2002, de 24 de diciembre, por el que se aprueba el texto refundido de la Ley de finanzas públicas de Cataluña, del que el artículo 5.1 del Decreto-ley impugnado es reiteración parcial. Es de recordar, asimismo, que la Ley 47/2003, de 26 de noviembre, general presupuestaria, no ha regulado el régimen jurídico de los derechos de naturaleza pública ni, en concreto, del otorgamiento y ejecución de avales (art. 116 </w:t>
      </w:r>
      <w:r w:rsidRPr="003754FE">
        <w:rPr>
          <w:i/>
        </w:rPr>
        <w:t>bis</w:t>
      </w:r>
      <w:r>
        <w:t>) de todas las administraciones públicas, sino solo los de la hacienda pública estatal, de modo que las reglas que pueda establecer la Generalitat en esta materia no están sujetas a las disposiciones de dicha Ley 47/2003.</w:t>
      </w:r>
    </w:p>
    <w:p w14:paraId="66E012F3" w14:textId="77777777" w:rsidR="003754FE" w:rsidRDefault="003754FE" w:rsidP="003754FE">
      <w:pPr>
        <w:pStyle w:val="TextoNormal"/>
      </w:pPr>
    </w:p>
    <w:p w14:paraId="3C0DE7D4" w14:textId="77777777" w:rsidR="003754FE" w:rsidRDefault="003754FE" w:rsidP="003754FE">
      <w:pPr>
        <w:pStyle w:val="TextoNormal"/>
      </w:pPr>
      <w:r>
        <w:t>b) El hecho de que el artículo 5.1 haga depender el nacimiento de la obligación de retorno de la existencia de un pronunciamiento judicial firme no significa que este precepto constituya una norma sobre la ejecución de sentencias judiciales, ejecución que solo puede tener lugar por los cauces previstos en la legislación procesal en cada caso aplicable. El Decreto-ley hace depender la generación del crédito de derecho público de la existencia de una sentencia judicial firme, pues la inexistencia de la misma es presupuesto de la cobertura de riesgos que establece el fondo, lo que no quiere decir que la generación de este crédito sea legislación procesal.</w:t>
      </w:r>
    </w:p>
    <w:p w14:paraId="5DBC832F" w14:textId="77777777" w:rsidR="003754FE" w:rsidRDefault="003754FE" w:rsidP="003754FE">
      <w:pPr>
        <w:pStyle w:val="TextoNormal"/>
      </w:pPr>
    </w:p>
    <w:p w14:paraId="1519EA62" w14:textId="77777777" w:rsidR="003754FE" w:rsidRDefault="003754FE" w:rsidP="003754FE">
      <w:pPr>
        <w:pStyle w:val="TextoNormal"/>
      </w:pPr>
      <w:r>
        <w:t>c) Lo anterior habría de ser suficiente para desestimar esta alegación, aunque se añade que el Decreto-ley no opera modificación alguna de lo dispuesto en los artículos 589 y 591 LECrim ni de lo establecido en el artículo 47.1 f) LFTCu, ni interfiere en modo alguno en la competencia exclusiva del Estado (art. 149.1.6 CE), reiterándose lo ya expuesto acerca del objeto y sentido de la disposición impugnada.</w:t>
      </w:r>
    </w:p>
    <w:p w14:paraId="4ED5162B" w14:textId="77777777" w:rsidR="003754FE" w:rsidRDefault="003754FE" w:rsidP="003754FE">
      <w:pPr>
        <w:pStyle w:val="TextoNormal"/>
      </w:pPr>
    </w:p>
    <w:p w14:paraId="2F52CD50" w14:textId="77777777" w:rsidR="003754FE" w:rsidRDefault="003754FE" w:rsidP="003754FE">
      <w:pPr>
        <w:pStyle w:val="TextoNormal"/>
      </w:pPr>
      <w:r>
        <w:t xml:space="preserve">d) Frente a lo que sostiene la recurrente, el artículo 5.1 del Decreto-ley no afecta a la definición procesal de “firmeza”, que no es otra que la establecida en los artículos 245.3 LOPJ, 207.2 LEC y 141 LECrim. Tampoco afecta el Decreto-ley al tiempo en el que las resoluciones judiciales son ejecutables. La ejecución provisional y definitiva de las sentencias penales, en lo relativo a la responsabilidad civil derivada del delito, se encuentra regulada por el libro VII LECrim, mientras que la ejecución del Tribunal de Cuentas se rige por </w:t>
      </w:r>
      <w:r>
        <w:lastRenderedPageBreak/>
        <w:t>el capítulo V del título II LFTCu y, por remisión de su artículo 85.1, en la Ley de enjuiciamiento civil. En lo que respecta al Tribunal de Cuentas parece claro que al mismo le corresponderá, conforme al artículo 85.2 LFTCu, determinar si se ha podido obtener el reintegro total de las responsabilidades decretadas. Conviene aclarar que el inciso “si procede, se hayan agotado todas las vías de impugnación judiciales y jurisdiccionales, estatales e internacionales” del art. 5.1 del Decreto-ley debe ser interpretado también en el mismo sentido de no regular el tiempo en el que deben ser ejecutadas las sentencias firmes. Dicho precepto se refiere exclusivamente a la cobranza de cantidades como consecuencia tanto del otorgamiento de un aval por la entidad gestora del fondo, como de la ejecución de dicho aval, cuestión, se reitera, ajena a la legislación procesal y para la que la Generalitat cuenta con competencias (arts. 150, 159 y 211 EAC).</w:t>
      </w:r>
    </w:p>
    <w:p w14:paraId="5F3E239F" w14:textId="77777777" w:rsidR="003754FE" w:rsidRDefault="003754FE" w:rsidP="003754FE">
      <w:pPr>
        <w:pStyle w:val="TextoNormal"/>
      </w:pPr>
    </w:p>
    <w:p w14:paraId="32A4C17E" w14:textId="77777777" w:rsidR="003754FE" w:rsidRDefault="003754FE" w:rsidP="003754FE">
      <w:pPr>
        <w:pStyle w:val="TextoNormal"/>
      </w:pPr>
      <w:r>
        <w:t>E) Sobre la alegada vulneración de los artículos 117.3, 118 y 136 CE.</w:t>
      </w:r>
    </w:p>
    <w:p w14:paraId="0CA27A9D" w14:textId="77777777" w:rsidR="003754FE" w:rsidRDefault="003754FE" w:rsidP="003754FE">
      <w:pPr>
        <w:pStyle w:val="TextoNormal"/>
      </w:pPr>
    </w:p>
    <w:p w14:paraId="74FE3C45" w14:textId="77777777" w:rsidR="003754FE" w:rsidRDefault="003754FE" w:rsidP="003754FE">
      <w:pPr>
        <w:pStyle w:val="TextoNormal"/>
      </w:pPr>
      <w:r>
        <w:t>a) Por las mismas razones recién expuestas, es claro que ni la emisión de un contraaval por la Generalitat (art. 4.7 del Decreto-ley) ni el otorgamiento de una garantía mediante cualquier medio admitido en Derecho (disposición transitoria, apartado segundo) pueden vulnerar, en el plano sustantivo, ni el principio de separación de poderes ni la exclusividad de la potestad jurisdiccional (art. 117 CE), sin que tampoco pueda compartirse que ello afecta, ni siquiera indirectamente, a la jurisdicción del Tribunal de Cuentas (art. 136 CE). Parece claro, en este sentido, que el otorgamiento de la garantía lo es sin perjuicio de las competencias que competen a las autoridades judiciales para determinar su suficiencia.</w:t>
      </w:r>
    </w:p>
    <w:p w14:paraId="38822120" w14:textId="77777777" w:rsidR="003754FE" w:rsidRDefault="003754FE" w:rsidP="003754FE">
      <w:pPr>
        <w:pStyle w:val="TextoNormal"/>
      </w:pPr>
    </w:p>
    <w:p w14:paraId="502D47AE" w14:textId="77777777" w:rsidR="003754FE" w:rsidRDefault="003754FE" w:rsidP="003754FE">
      <w:pPr>
        <w:pStyle w:val="TextoNormal"/>
      </w:pPr>
      <w:r>
        <w:t>b) Por las mismas razones, tampoco se produce vulneración del artículo 118 CE, siendo continuas las referencias del Decreto-ley al obligado cumplimiento de las resoluciones judiciales firmes [arts. 1.3, 4.1 a) y 5.1, así como anexo]. Se reitera que la ejecución de las resoluciones judiciales, firmes o no, se rige por lo establecido por la legislación procesal en cada caso aplicable y no por lo previsto en este Decreto-ley.</w:t>
      </w:r>
    </w:p>
    <w:p w14:paraId="177891FF" w14:textId="77777777" w:rsidR="003754FE" w:rsidRDefault="003754FE" w:rsidP="003754FE">
      <w:pPr>
        <w:pStyle w:val="TextoNormal"/>
      </w:pPr>
    </w:p>
    <w:p w14:paraId="2C04B795" w14:textId="77777777" w:rsidR="003754FE" w:rsidRDefault="003754FE" w:rsidP="003754FE">
      <w:pPr>
        <w:pStyle w:val="TextoNormal"/>
      </w:pPr>
      <w:r>
        <w:t>F) Sobre la alegada vulneración del artículo 9.3, en relación con los artículos 31.2 y 103.1, todos de la Constitución.</w:t>
      </w:r>
    </w:p>
    <w:p w14:paraId="3FB30F17" w14:textId="77777777" w:rsidR="003754FE" w:rsidRDefault="003754FE" w:rsidP="003754FE">
      <w:pPr>
        <w:pStyle w:val="TextoNormal"/>
      </w:pPr>
    </w:p>
    <w:p w14:paraId="41CC5484" w14:textId="77777777" w:rsidR="003754FE" w:rsidRDefault="003754FE" w:rsidP="003754FE">
      <w:pPr>
        <w:pStyle w:val="TextoNormal"/>
      </w:pPr>
      <w:r>
        <w:t>a) El Decreto-ley no tiene naturaleza de ley singular:</w:t>
      </w:r>
    </w:p>
    <w:p w14:paraId="7F93F4F0" w14:textId="77777777" w:rsidR="003754FE" w:rsidRDefault="003754FE" w:rsidP="003754FE">
      <w:pPr>
        <w:pStyle w:val="TextoNormal"/>
      </w:pPr>
    </w:p>
    <w:p w14:paraId="39952D14" w14:textId="77777777" w:rsidR="003754FE" w:rsidRDefault="003754FE" w:rsidP="003754FE">
      <w:pPr>
        <w:pStyle w:val="TextoNormal"/>
      </w:pPr>
      <w:r>
        <w:t>(i) Tras relacionar la jurisprudencia constitucional que se estima de relieve y afirmar que parece claro que no nos hallamos ante una norma autoaplicativa (ni siquiera así lo afirma la recurrente), se alega que parece igualmente claro que no es una ley de destinatario único, a cuyo efecto se vuelve a hacer referencia al dictamen 2/2021 del Consejo de Garantías Estatutarias. Quedaría por determinar —se añade— si se trata de una norma dictada en atención a un supuesto de hecho concreto y singular que agote su contenido y eficacia en la adopción y ejecución de la medida tomada por el legislador, punto este en el que la demanda incurre en contradicción pues, por un lado, sostiene que el Decreto-ley es una ley singular (solo aplicable al supuesto derivado de la obligación de prestar garantía provisional en las actuaciones previas 80-2019 del Tribunal de Cuentas) y, por otro, afirma que sería también aplicable a los procesos penales en los que se exigiera responsabilidad civil, razón por la cual cabría concluir aquí las alegaciones sobre este motivo de inconstitucionalidad. En cualquier caso, tampoco desde este punto de vista se puede decir que el Decreto-ley sea ley singular y ello en atención a lo apreciado al respecto en el dictamen 2/2021, tantas veces citado.</w:t>
      </w:r>
    </w:p>
    <w:p w14:paraId="34485428" w14:textId="77777777" w:rsidR="003754FE" w:rsidRDefault="003754FE" w:rsidP="003754FE">
      <w:pPr>
        <w:pStyle w:val="TextoNormal"/>
      </w:pPr>
    </w:p>
    <w:p w14:paraId="54856C3B" w14:textId="77777777" w:rsidR="003754FE" w:rsidRDefault="003754FE" w:rsidP="003754FE">
      <w:pPr>
        <w:pStyle w:val="TextoNormal"/>
      </w:pPr>
      <w:r>
        <w:t>(ii) Las alegaciones del recurso a la vista de la póliza de seguro de responsabilidad patrimonial y civil contratada por la Generalitat no desvirtúan esta conclusión, ya que esa póliza tiene una vigencia temporal a diferencia del Decreto-ley, con vigencia indefinida tras su convalidación, y porque ese ámbito temporal es limitado. Además, la póliza puede ser rescindida por el asegurador en determinados supuestos conforme a la Ley 50/1980, de contrato de seguro, como de hecho ha sucedido en el pasado con las pólizas suscritas por la Generalitat. Los riesgos cubiertos por la póliza vigente, finalmente, no son estrictamente coincidentes con los del fondo, cuya finalidad es la que proclama el artículo 1.1 del Decreto-ley. En contra de lo aducido por los recurrentes, la norma impugnada no agota su contenido y eficacia en el supuesto que da lugar a la justificación del presupuesto habilitante del decreto-ley, de modo que tampoco desde este punto de vista puede ser calificada de ley singular.</w:t>
      </w:r>
    </w:p>
    <w:p w14:paraId="1D34F72A" w14:textId="77777777" w:rsidR="003754FE" w:rsidRDefault="003754FE" w:rsidP="003754FE">
      <w:pPr>
        <w:pStyle w:val="TextoNormal"/>
      </w:pPr>
    </w:p>
    <w:p w14:paraId="693C6850" w14:textId="77777777" w:rsidR="003754FE" w:rsidRDefault="003754FE" w:rsidP="003754FE">
      <w:pPr>
        <w:pStyle w:val="TextoNormal"/>
      </w:pPr>
      <w:r>
        <w:t>b) En cuanto a la aducida vulneración de la interdicción de la arbitrariedad de los poderes públicos (art. 9.3 CE), se menciona la jurisprudencia constitucional que se considera significativa y se señala, tras ello, que no parece que se pueda concluir que la norma impugnada carezca de explicación racional o que responda a un objetivo ilegítimo. Esa explicación no sería otra que la indicada en el dictamen 2/2021 del Consejo de Garantías Estatutarias y parece claro que la garantía del funcionamiento normal de la administración de la Generalitat, finalidad a la que responde el fondo, es un objetivo constitucionalmente legítimo y que, por ello, aunque se pueda discrepar en clave técnica o política, no se puede decir que no tenga una explicación racional. Este alegato debe ser por tanto desestimado.</w:t>
      </w:r>
    </w:p>
    <w:p w14:paraId="7867A4F6" w14:textId="77777777" w:rsidR="003754FE" w:rsidRDefault="003754FE" w:rsidP="003754FE">
      <w:pPr>
        <w:pStyle w:val="TextoNormal"/>
      </w:pPr>
    </w:p>
    <w:p w14:paraId="49B1C728" w14:textId="77777777" w:rsidR="003754FE" w:rsidRDefault="003754FE" w:rsidP="003754FE">
      <w:pPr>
        <w:pStyle w:val="TextoNormal"/>
      </w:pPr>
      <w:r>
        <w:t>c) No parece que tengan sustantividad propia las alegaciones del recurso relativas a los principios de eficacia y economía que han de regir el gasto público (art. 31.1 CE) y a la exigencia de eficacia de la actuación administrativa (art. 103.1 CE), en la medida en que la parte recurrente las vincula a la aducida arbitrariedad, ya descartada, del Decreto-ley. Tampoco parece que con esas alegaciones se haya cumplido la carga de justificar las razones por las que se entienden vulnerados tales preceptos constitucionales. Sea como fuere, la norma impugnada no favorece, como se dice, la elusión por los causantes del daño a los caudales públicos de la responsabilidad cautelar o definitivamente declarada por los tribunales de justicia:</w:t>
      </w:r>
    </w:p>
    <w:p w14:paraId="54A8CC7B" w14:textId="77777777" w:rsidR="003754FE" w:rsidRDefault="003754FE" w:rsidP="003754FE">
      <w:pPr>
        <w:pStyle w:val="TextoNormal"/>
      </w:pPr>
    </w:p>
    <w:p w14:paraId="6EDF17BB" w14:textId="77777777" w:rsidR="003754FE" w:rsidRDefault="003754FE" w:rsidP="003754FE">
      <w:pPr>
        <w:pStyle w:val="TextoNormal"/>
      </w:pPr>
      <w:r>
        <w:t>(i) En primer lugar, por no existir lo que se denomina “responsabilidad cautelar”. No parece existir impedimento legal alguno para que la Generalitat, del mismo modo que suscribe pólizas de seguro que cubren determinados riesgos de sus funcionarios, pueda decidir asegurar ella misma a sus funcionarios determinados riesgos no cubiertos por dichas pólizas.</w:t>
      </w:r>
    </w:p>
    <w:p w14:paraId="7A4C0A19" w14:textId="77777777" w:rsidR="003754FE" w:rsidRDefault="003754FE" w:rsidP="003754FE">
      <w:pPr>
        <w:pStyle w:val="TextoNormal"/>
      </w:pPr>
    </w:p>
    <w:p w14:paraId="481B5CB5" w14:textId="77777777" w:rsidR="003754FE" w:rsidRDefault="003754FE" w:rsidP="003754FE">
      <w:pPr>
        <w:pStyle w:val="TextoNormal"/>
      </w:pPr>
      <w:r>
        <w:t>(ii) Parece evidente que el fondo no permite en modo alguno a la persona responsable eludir ni la responsabilidad contable ni la civil derivada del delito que haya sido declarada por sentencia firme, siendo relevante recordar que a tales responsabilidades les resultan aplicables las reglas contenidas en los artículos 984.3 LECrim y 85.1 LFTCu). De conformidad con esas reglas, el artículo 548 LEC establece un plazo de veinte días para el cumplimiento voluntario por el condenado antes de proceder al despacho de la ejecución, ejecución que se lleva a cabo de oficio y a la que en nada empece el Decreto-ley. Corresponde en todo caso a los tribunales velar por la ejecución de sus sentencias firmes. Se reitera que el artículo 5.1 del Decreto-ley no es norma procesal, por lo que nada tiene que ver con la ejecución de las sentencias firmes.</w:t>
      </w:r>
    </w:p>
    <w:p w14:paraId="5CB881DF" w14:textId="77777777" w:rsidR="003754FE" w:rsidRDefault="003754FE" w:rsidP="003754FE">
      <w:pPr>
        <w:pStyle w:val="TextoNormal"/>
      </w:pPr>
    </w:p>
    <w:p w14:paraId="26DE4C1C" w14:textId="77777777" w:rsidR="003754FE" w:rsidRDefault="003754FE" w:rsidP="003754FE">
      <w:pPr>
        <w:pStyle w:val="TextoNormal"/>
      </w:pPr>
      <w:r>
        <w:t>(iii) Si bien dicho artículo 5.1 establece la obligación de retorno desde que se dicte la sentencia firme, cuando como consecuencia del cumplimiento voluntario, previo a la ejecución del aval, en el plazo de veinte días (art. 548 LEC), el aval no haya llegado a ser ejecutado por los tribunales, la obligación de retorno habrá de entenderse circunscrita a los gastos generados en razón de las garantías efectuadas y en su caso a los intereses, ya que de otro modo se produciría un enriquecimiento injusto de la administración de la Generalitat. Ahora bien, cuando el contraaval o, en su caso, la garantía prestada por la Generalitat se haya llegado a ejecutar, y desde ese momento, el deudor estará obligado al retorno, también, de la cantidad garantizada. De este modo sería evidente que el otorgamiento del aval en modo alguno supone un obstáculo a la eficacia de las resoluciones judiciales, ni la elusión de la responsabilidad declarada por los tribunales y que tampoco se produce daño alguno a las finanzas de la Generalitat, pues el avalado está obligado al retorno de las cantidades avaladas.</w:t>
      </w:r>
    </w:p>
    <w:p w14:paraId="4B25B55F" w14:textId="77777777" w:rsidR="003754FE" w:rsidRDefault="003754FE" w:rsidP="003754FE">
      <w:pPr>
        <w:pStyle w:val="TextoNormal"/>
      </w:pPr>
    </w:p>
    <w:p w14:paraId="7607AE9F" w14:textId="77777777" w:rsidR="003754FE" w:rsidRDefault="003754FE" w:rsidP="003754FE">
      <w:pPr>
        <w:pStyle w:val="TextoNormal"/>
      </w:pPr>
      <w:r>
        <w:t>(iv) Se reitera que la referencia a que “si procede, se hayan agotado todas las vías de impugnación judiciales y jurisdiccionales, estatales e internacionales” en ningún caso interfiere sobre el momento en que deben ser ejecutadas las sentencias. Esta referencia del Decreto-ley tampoco supone menoscabo alguno para las finanzas de la Generalitat, pues puede ser interpretada en tres sentidos distintos, ninguno de los cuales resultaría contrario a la Constitución.</w:t>
      </w:r>
    </w:p>
    <w:p w14:paraId="16541212" w14:textId="77777777" w:rsidR="003754FE" w:rsidRDefault="003754FE" w:rsidP="003754FE">
      <w:pPr>
        <w:pStyle w:val="TextoNormal"/>
      </w:pPr>
    </w:p>
    <w:p w14:paraId="6D932BC2" w14:textId="77777777" w:rsidR="003754FE" w:rsidRDefault="003754FE" w:rsidP="003754FE">
      <w:pPr>
        <w:pStyle w:val="TextoNormal"/>
      </w:pPr>
      <w:r>
        <w:t>En primer lugar, puede ser interpretada como una referencia a la facultad del Tribunal Constitucional (art. 56 LOTC) para la suspensión del pronunciamiento judicial firme o la adopción de cualquier otra medida cautelar que determine la imposibilidad de que la Generalitat proceda a la liquidación de la deuda, quedando también suspendida la obligación de retorno que configura el artículo 5.1 del Decreto-ley. Aunque en el estado actual de la jurisprudencia del Tribunal Europeo de Derechos Humanos parece improbable que este tribunal llegara a dictar medidas cautelares que pudieran afectar a sentencias firmes susceptibles de tener repercusión sobre la obligación de retorno, lo mismo sucedería en el supuesto de que, excepcionalmente, el Tribunal de Estrasburgo ordenara al Estado la suspensión de la ejecución de tal sentencia, de conformidad con el principio general según el cual la Generalitat es Estado (art. 3.1 EAC). Como ha declarado reiteradamente el Tribunal Europeo de Derechos Humanos, el incumplimiento por cualquier órgano del Estado de las medidas cautelares dictadas de conformidad con el artículo 39 de su Reglamento de procedimiento supondría violar el artículo 34 del Convenio europeo para la protección de los derechos humanos y las libertades fundamentales. Así entendido, el inciso “si procede” nada tiene de inconstitucional.</w:t>
      </w:r>
    </w:p>
    <w:p w14:paraId="7C0B3618" w14:textId="77777777" w:rsidR="003754FE" w:rsidRDefault="003754FE" w:rsidP="003754FE">
      <w:pPr>
        <w:pStyle w:val="TextoNormal"/>
      </w:pPr>
    </w:p>
    <w:p w14:paraId="59FA2CC1" w14:textId="77777777" w:rsidR="003754FE" w:rsidRDefault="003754FE" w:rsidP="003754FE">
      <w:pPr>
        <w:pStyle w:val="TextoNormal"/>
      </w:pPr>
      <w:r>
        <w:t xml:space="preserve">Más allá de lo expuesto, esta misma referencia del artículo 5.1 del Decreto-ley debe ser entendida, con independencia de la mejorable técnica legislativa, como relativa a la interrupción del plazo de prescripción del derecho al cobro por parte de la Generalitat, caso de que se interpongan recursos que puedan afectar a la existencia del derecho de crédito con posterioridad al dictado de la sentencia firme, y concretamente el recurso de amparo. Así interpretada, esta disposición, lejos de favorecer la elusión de la responsabilidad por los causantes del daño, trataría de asegurar que en ningún caso se pueda producir menoscabo alguno para la hacienda de la Generalitat. El derecho de la Generalitat a exigir el cobro prescribe a los cuatro años (art. 15.1 del Decreto Legislativo 3/2002, ya citado) y el artículo </w:t>
      </w:r>
      <w:r>
        <w:lastRenderedPageBreak/>
        <w:t>15.2 de la Ley 47/2003, general presupuestaria, supletoriamente aplicable, se remite en cuanto a los plazos de prescripción a la Ley general tributaria, cuyo artículo 68.1 establece que el derecho a exigir el pago se interrumpe por la interposición de reclamaciones o recursos de cualquier clase, habiendo destacado la Sala de lo Contencioso-Administrativo del Tribunal Supremo la diferencia, en lo que se refiere a la interrupción de la prescripción, entre el artículo 68 de la Ley general tributaria y el artículo 1973 del Código civil. De no producirse esa interrupción del plazo de prescripción que establece el artículo 5.1 del Decreto-ley, la Generalitat, ante una eventual sentencia desestimatoria del recurso de amparo constitucional que tuviera lugar transcurridos cuatro años, podría verse definitivamente imposibilitada de exigir el pago de deudas, lo que sí podría producir un menoscabo a la hacienda de la Generalitat, potencialmente vulnerador del artículo 31.2 CE. Al establecer el artículo 5.1 que la interposición de recursos de cualquier clase (incluidos el de amparo constitucional y la demanda ante el Tribunal Europeo de Derechos Humanos) interrumpe el plazo de prescripción de cuatro años no solo no se está produciendo menoscabo alguno para la hacienda de la Generalitat, sino, antes bien, se está garantizando mediante una norma específica (que por lo demás reitera lo que establece el artículo 15.2 de la Ley 47/2003, general presupuestaria) que tal menoscabo no se puede producir en ningún caso.</w:t>
      </w:r>
    </w:p>
    <w:p w14:paraId="5A89E808" w14:textId="77777777" w:rsidR="003754FE" w:rsidRDefault="003754FE" w:rsidP="003754FE">
      <w:pPr>
        <w:pStyle w:val="TextoNormal"/>
      </w:pPr>
    </w:p>
    <w:p w14:paraId="5B3654EC" w14:textId="77777777" w:rsidR="003754FE" w:rsidRDefault="003754FE" w:rsidP="003754FE">
      <w:pPr>
        <w:pStyle w:val="TextoNormal"/>
      </w:pPr>
      <w:r>
        <w:t>La norma, finalmente, debe ser entendida también como una habilitación a la Generalitat a tener en cuenta la interposición del recurso de amparo constitucional, o una eventual demanda ante el Tribunal Europeo de Derechos Humanos, a la hora de resolver sobre las solicitudes de aplazamiento del pago de los avalados por el fondo, citándose en este punto el dictamen 2/2021 del Consejo de Garantías Estatutarias, pues en modo alguno resulta irrazonable que la Generalitat pueda valorar, para resolver una solicitud de aplazamiento, el hecho de que subsista una controversia jurídica sobre la propia existencia del crédito de derecho público que pudiera dar lugar, caso de que las pretensiones fueran estimadas, a que la Generalitat tuviera que devolver las cantidades cobradas. Resulta imprescindible recordar, en este punto, que el artículo 13.1 de la Ley 47/2003, general presupuestaria, que regula el aplazamiento de las cantidades adeudadas a la hacienda pública estatal, no tiene la condición de normativa básica, de modo que la Generalitat, en ejercicio legítimo de su competencia (art. 211 EAC), puede prever que la subsistencia de tal controversia jurídica pueda ser tenida en cuenta para resolver sobre una solicitud de aplazamiento de pago, en tanto no se resuelva el recurso de amparo. Tal aplazamiento no produciría menoscabo alguno a la hacienda pública de la Generalitat, pues el artículo 13.1 de la Ley 47/2003, general presupuestaria, aplicable supletoriamente (art. 149.3 CE), determina que el aplazamiento devengará el correspondiente interés de demora.</w:t>
      </w:r>
    </w:p>
    <w:p w14:paraId="0DACF7D7" w14:textId="77777777" w:rsidR="003754FE" w:rsidRDefault="003754FE" w:rsidP="003754FE">
      <w:pPr>
        <w:pStyle w:val="TextoNormal"/>
      </w:pPr>
    </w:p>
    <w:p w14:paraId="5D09991A" w14:textId="77777777" w:rsidR="003754FE" w:rsidRDefault="003754FE" w:rsidP="003754FE">
      <w:pPr>
        <w:pStyle w:val="TextoNormal"/>
      </w:pPr>
      <w:r>
        <w:t>Las alegaciones de la parte, en estas circunstancias, deben ser íntegramente desestimadas.</w:t>
      </w:r>
    </w:p>
    <w:p w14:paraId="38470C33" w14:textId="77777777" w:rsidR="003754FE" w:rsidRDefault="003754FE" w:rsidP="003754FE">
      <w:pPr>
        <w:pStyle w:val="TextoNormal"/>
      </w:pPr>
    </w:p>
    <w:p w14:paraId="2D04A4FD" w14:textId="18ABC337" w:rsidR="003754FE" w:rsidRDefault="003754FE" w:rsidP="003754FE">
      <w:pPr>
        <w:pStyle w:val="TextoNormal"/>
      </w:pPr>
      <w:r>
        <w:t>Se concluyó con la solicitud de que se dictara sentencia que desestimara íntegramente el recurso de inconstitucionalidad.</w:t>
      </w:r>
    </w:p>
    <w:p w14:paraId="3C1E9677" w14:textId="77777777" w:rsidR="003754FE" w:rsidRDefault="003754FE" w:rsidP="003754FE">
      <w:pPr>
        <w:pStyle w:val="TextoNormal"/>
      </w:pPr>
    </w:p>
    <w:p w14:paraId="3419726C" w14:textId="4F476416" w:rsidR="003754FE" w:rsidRDefault="003754FE" w:rsidP="003754FE">
      <w:pPr>
        <w:pStyle w:val="TextoNormal"/>
      </w:pPr>
      <w:r w:rsidRPr="003754FE">
        <w:rPr>
          <w:rStyle w:val="NumeroAFNegritaCaracter"/>
        </w:rPr>
        <w:t>10</w:t>
      </w:r>
      <w:r>
        <w:t>. Por providencia de 8 de octubre de 2024 se señaló para deliberación y votación de la presente sentencia el día 9 del mismo mes y año.</w:t>
      </w:r>
    </w:p>
    <w:p w14:paraId="680D33A8" w14:textId="77777777" w:rsidR="003754FE" w:rsidRDefault="003754FE" w:rsidP="003754FE">
      <w:pPr>
        <w:pStyle w:val="TextoNormal"/>
      </w:pPr>
    </w:p>
    <w:p w14:paraId="240ADF7C" w14:textId="77777777" w:rsidR="003754FE" w:rsidRDefault="003754FE" w:rsidP="003754FE">
      <w:pPr>
        <w:pStyle w:val="TextoNormalNegritaCentrado"/>
        <w:keepNext/>
      </w:pPr>
      <w:r>
        <w:lastRenderedPageBreak/>
        <w:t>II. Fundamentos jurídicos</w:t>
      </w:r>
    </w:p>
    <w:p w14:paraId="1F2DAFE0" w14:textId="36C0F885" w:rsidR="003754FE" w:rsidRDefault="003754FE" w:rsidP="003754FE">
      <w:pPr>
        <w:pStyle w:val="TextoNormalNegritaCentrado"/>
        <w:keepNext/>
      </w:pPr>
    </w:p>
    <w:p w14:paraId="0810AAC4" w14:textId="77777777" w:rsidR="003754FE" w:rsidRDefault="003754FE" w:rsidP="003754FE">
      <w:pPr>
        <w:pStyle w:val="TextoNormal"/>
      </w:pPr>
      <w:r w:rsidRPr="003754FE">
        <w:rPr>
          <w:rStyle w:val="NumeroAFNegritaCaracter"/>
        </w:rPr>
        <w:t>1</w:t>
      </w:r>
      <w:r>
        <w:t xml:space="preserve">. </w:t>
      </w:r>
      <w:r w:rsidRPr="003754FE">
        <w:rPr>
          <w:i/>
        </w:rPr>
        <w:t>Objeto de la impugnación y posiciones de las partes</w:t>
      </w:r>
    </w:p>
    <w:p w14:paraId="30A76967" w14:textId="77777777" w:rsidR="003754FE" w:rsidRDefault="003754FE" w:rsidP="003754FE">
      <w:pPr>
        <w:pStyle w:val="TextoNormal"/>
      </w:pPr>
    </w:p>
    <w:p w14:paraId="47B5E445" w14:textId="77777777" w:rsidR="003754FE" w:rsidRDefault="003754FE" w:rsidP="003754FE">
      <w:pPr>
        <w:pStyle w:val="TextoNormal"/>
      </w:pPr>
      <w:r>
        <w:t>a) Los diputados del Congreso que han interpuesto este recurso de inconstitucionalidad impugnan en su totalidad el Decreto-ley 15/2021, de 6 de julio, de creación del fondo complementario de riesgos de la Generalitat de Cataluña, dictado por el Gobierno de la Comunidad Autónoma. A este Decreto-ley, que entró en vigor, conforme a su disposición final, en la misma fecha de su publicación en el “Diari Oficial de la Generalitat de Catalunya” (verificada el inmediato día 7), le imputan los recurrentes, en los términos reseñados en lo que antecede y que a continuación se recordarán, diferentes contravenciones de la Constitución y del Estatuto de Autonomía de Cataluña, todas ellas contradichas, como también se ha expuesto, por las representaciones del Parlamento y del Gobierno de la Comunidad Autónoma, a cuyas alegaciones se hará igualmente sucinta referencia en este mismo fundamento jurídico. Antes de ello, sin embargo, y para una mejor inteligencia de lo que seguirá, importa tener presentes las determinaciones sustantivas establecidas en este Decreto-ley.</w:t>
      </w:r>
    </w:p>
    <w:p w14:paraId="1561BB28" w14:textId="77777777" w:rsidR="003754FE" w:rsidRDefault="003754FE" w:rsidP="003754FE">
      <w:pPr>
        <w:pStyle w:val="TextoNormal"/>
      </w:pPr>
    </w:p>
    <w:p w14:paraId="6134C407" w14:textId="77777777" w:rsidR="003754FE" w:rsidRDefault="003754FE" w:rsidP="003754FE">
      <w:pPr>
        <w:pStyle w:val="TextoNormal"/>
      </w:pPr>
      <w:r>
        <w:t>Precedido de una “exposición de motivos”, sobre la que las partes asimismo han polemizado, y complementado, en anexo, por un “[m]odelo de solicitud a presentar a la entidad gestora del fondo”, el cuerpo normativo del Decreto-ley, una vez corregidas oficialmente las erratas de su publicación inicial (antecedente 1 de esta sentencia), es el que sigue.</w:t>
      </w:r>
    </w:p>
    <w:p w14:paraId="02DB2E5D" w14:textId="77777777" w:rsidR="003754FE" w:rsidRDefault="003754FE" w:rsidP="003754FE">
      <w:pPr>
        <w:pStyle w:val="TextoNormal"/>
      </w:pPr>
    </w:p>
    <w:p w14:paraId="48793739" w14:textId="77777777" w:rsidR="003754FE" w:rsidRDefault="003754FE" w:rsidP="003754FE">
      <w:pPr>
        <w:pStyle w:val="TextoNormal"/>
      </w:pPr>
      <w:r>
        <w:t>“Artículo 1. Objeto</w:t>
      </w:r>
    </w:p>
    <w:p w14:paraId="0B0DC07A" w14:textId="77777777" w:rsidR="003754FE" w:rsidRDefault="003754FE" w:rsidP="003754FE">
      <w:pPr>
        <w:pStyle w:val="TextoNormal"/>
      </w:pPr>
    </w:p>
    <w:p w14:paraId="6444A00D" w14:textId="77777777" w:rsidR="003754FE" w:rsidRDefault="003754FE" w:rsidP="003754FE">
      <w:pPr>
        <w:pStyle w:val="TextoNormal"/>
      </w:pPr>
      <w:r>
        <w:t>1.1 Es objeto de este Decreto-ley la creación del fondo complementario de riesgos de la Generalitat de Catalunya (FCRCAT) para hacer frente a las obligaciones legales que le corresponden con relación a los riesgos no cubiertos por las pólizas de seguros de responsabilidad civil, patrimoniales y contables suscritas por la Generalitat de Catalunya por siniestros que puedan afectar a las personas comprendidas en el ámbito subjetivo de este Decreto-ley en el ejercicio de su cargo o funciones que se puedan ver afectadas en su patrimonio por resoluciones o actos administrativos o judiciales en procedimientos administrativos o judiciales que no hayan concluido con resolución firme.</w:t>
      </w:r>
    </w:p>
    <w:p w14:paraId="6864241C" w14:textId="77777777" w:rsidR="003754FE" w:rsidRDefault="003754FE" w:rsidP="003754FE">
      <w:pPr>
        <w:pStyle w:val="TextoNormal"/>
      </w:pPr>
    </w:p>
    <w:p w14:paraId="79E1B67F" w14:textId="77777777" w:rsidR="003754FE" w:rsidRDefault="003754FE" w:rsidP="003754FE">
      <w:pPr>
        <w:pStyle w:val="TextoNormal"/>
      </w:pPr>
      <w:r>
        <w:t>1.2 La dotación mínima de este fondo se fija inicialmente en la cantidad de diez millones de euros. Anualmente se hará una aportación por una cuantía al menos igual a las liquidaciones que se hayan llevado a cabo el año anterior con cargo en este fondo, con la actualización correspondiente.</w:t>
      </w:r>
    </w:p>
    <w:p w14:paraId="54048610" w14:textId="77777777" w:rsidR="003754FE" w:rsidRDefault="003754FE" w:rsidP="003754FE">
      <w:pPr>
        <w:pStyle w:val="TextoNormal"/>
      </w:pPr>
    </w:p>
    <w:p w14:paraId="16A52904" w14:textId="77777777" w:rsidR="003754FE" w:rsidRDefault="003754FE" w:rsidP="003754FE">
      <w:pPr>
        <w:pStyle w:val="TextoNormal"/>
      </w:pPr>
      <w:r>
        <w:t>1.3 La gestión del fondo se puede encargar a la entidad gestora que se constituya o bien a una entidad gestora ya existente.</w:t>
      </w:r>
    </w:p>
    <w:p w14:paraId="3508D71A" w14:textId="77777777" w:rsidR="003754FE" w:rsidRDefault="003754FE" w:rsidP="003754FE">
      <w:pPr>
        <w:pStyle w:val="TextoNormal"/>
      </w:pPr>
    </w:p>
    <w:p w14:paraId="7DD74F59" w14:textId="77777777" w:rsidR="003754FE" w:rsidRDefault="003754FE" w:rsidP="003754FE">
      <w:pPr>
        <w:pStyle w:val="TextoNormal"/>
      </w:pPr>
      <w:r>
        <w:t>Artículo 2. Ámbito subjetivo</w:t>
      </w:r>
    </w:p>
    <w:p w14:paraId="0E3BBC86" w14:textId="77777777" w:rsidR="003754FE" w:rsidRDefault="003754FE" w:rsidP="003754FE">
      <w:pPr>
        <w:pStyle w:val="TextoNormal"/>
      </w:pPr>
    </w:p>
    <w:p w14:paraId="19275925" w14:textId="77777777" w:rsidR="003754FE" w:rsidRDefault="003754FE" w:rsidP="003754FE">
      <w:pPr>
        <w:pStyle w:val="TextoNormal"/>
      </w:pPr>
      <w:r>
        <w:t>Quedan incluidas en el ámbito subjetivo de este Decreto-ley las personas que tengan o hayan tenido la condición de personal al servicio de la administración de la Generalitat y de los entes y organismos de su sector público, de altos cargos y de miembros del Gobierno de la Generalitat por actuaciones realizadas en el ejercicio de su cargo.</w:t>
      </w:r>
    </w:p>
    <w:p w14:paraId="5A8465B2" w14:textId="77777777" w:rsidR="003754FE" w:rsidRDefault="003754FE" w:rsidP="003754FE">
      <w:pPr>
        <w:pStyle w:val="TextoNormal"/>
      </w:pPr>
    </w:p>
    <w:p w14:paraId="0428C76A" w14:textId="77777777" w:rsidR="003754FE" w:rsidRDefault="003754FE" w:rsidP="003754FE">
      <w:pPr>
        <w:pStyle w:val="TextoNormal"/>
      </w:pPr>
      <w:r>
        <w:lastRenderedPageBreak/>
        <w:t>Artículo 3. Riesgos objeto de cobertura</w:t>
      </w:r>
    </w:p>
    <w:p w14:paraId="0C4B6215" w14:textId="77777777" w:rsidR="003754FE" w:rsidRDefault="003754FE" w:rsidP="003754FE">
      <w:pPr>
        <w:pStyle w:val="TextoNormal"/>
      </w:pPr>
    </w:p>
    <w:p w14:paraId="592E5EB2" w14:textId="77777777" w:rsidR="003754FE" w:rsidRDefault="003754FE" w:rsidP="003754FE">
      <w:pPr>
        <w:pStyle w:val="TextoNormal"/>
      </w:pPr>
      <w:r>
        <w:t>Los riesgos objeto de cobertura por el fondo complementario de riesgos de la Generalitat de Catalunya serán los que sufran las personas incluidas en el ámbito subjetivo de este Decreto-ley y que queden excluidos de cobertura a cargo de las pólizas de seguros de responsabilidad civil, patrimonial y contable suscritas por la Generalitat de Catalunya con el fin de cubrir las obligaciones que, de acuerdo con la normativa vigente, le corresponda directamente asumir por los daños corporales y materiales y las consecuencias directas de estos daños, así como los perjuicios económicos puros, no consecuencia de daños materiales y/o corporales previos, causados por acción u omisión a terceras personas en ejercicio de su actividad, así como la responsabilidad civil profesional, incluida la responsabilidad contable, mientras no recaiga sentencia firme.</w:t>
      </w:r>
    </w:p>
    <w:p w14:paraId="3BA60616" w14:textId="77777777" w:rsidR="003754FE" w:rsidRDefault="003754FE" w:rsidP="003754FE">
      <w:pPr>
        <w:pStyle w:val="TextoNormal"/>
      </w:pPr>
    </w:p>
    <w:p w14:paraId="339C4EBB" w14:textId="77777777" w:rsidR="003754FE" w:rsidRDefault="003754FE" w:rsidP="003754FE">
      <w:pPr>
        <w:pStyle w:val="TextoNormal"/>
      </w:pPr>
      <w:r>
        <w:t>Artículo 4. Condiciones para solicitar la cobertura</w:t>
      </w:r>
    </w:p>
    <w:p w14:paraId="2430E3D9" w14:textId="77777777" w:rsidR="003754FE" w:rsidRDefault="003754FE" w:rsidP="003754FE">
      <w:pPr>
        <w:pStyle w:val="TextoNormal"/>
      </w:pPr>
    </w:p>
    <w:p w14:paraId="01B4F743" w14:textId="77777777" w:rsidR="003754FE" w:rsidRDefault="003754FE" w:rsidP="003754FE">
      <w:pPr>
        <w:pStyle w:val="TextoNormal"/>
      </w:pPr>
      <w:r>
        <w:t>4.1 La cobertura del siniestro con cargo en el fondo complementario de riesgos de la Generalitat de Catalunya se llevará a cabo con la presentación previa de una solicitud de acuerdo con el modelo incluido en el anexo de este Decreto-ley ante la entidad gestora del fondo, la cual tiene que ir acompañada de una declaración responsable en la que la persona solicitante manifieste que cumple las siguientes condiciones:</w:t>
      </w:r>
    </w:p>
    <w:p w14:paraId="0C44233C" w14:textId="77777777" w:rsidR="003754FE" w:rsidRDefault="003754FE" w:rsidP="003754FE">
      <w:pPr>
        <w:pStyle w:val="TextoNormal"/>
      </w:pPr>
    </w:p>
    <w:p w14:paraId="3627DC04" w14:textId="77777777" w:rsidR="003754FE" w:rsidRDefault="003754FE" w:rsidP="003754FE">
      <w:pPr>
        <w:pStyle w:val="TextoNormal"/>
      </w:pPr>
      <w:r>
        <w:t>a) Que no existe una resolución judicial firme que declare ilícitas las actuaciones realizadas.</w:t>
      </w:r>
    </w:p>
    <w:p w14:paraId="052C0D44" w14:textId="77777777" w:rsidR="003754FE" w:rsidRDefault="003754FE" w:rsidP="003754FE">
      <w:pPr>
        <w:pStyle w:val="TextoNormal"/>
      </w:pPr>
    </w:p>
    <w:p w14:paraId="15A79137" w14:textId="77777777" w:rsidR="003754FE" w:rsidRDefault="003754FE" w:rsidP="003754FE">
      <w:pPr>
        <w:pStyle w:val="TextoNormal"/>
      </w:pPr>
      <w:r>
        <w:t>b) Que el riesgo no se encuentra cubierto por ninguna póliza de seguro suscrito por la administración de la Generalitat de Catalunya o por alguna entidad de su sector público.</w:t>
      </w:r>
    </w:p>
    <w:p w14:paraId="74DB4C21" w14:textId="77777777" w:rsidR="003754FE" w:rsidRDefault="003754FE" w:rsidP="003754FE">
      <w:pPr>
        <w:pStyle w:val="TextoNormal"/>
      </w:pPr>
    </w:p>
    <w:p w14:paraId="36B3256A" w14:textId="77777777" w:rsidR="003754FE" w:rsidRDefault="003754FE" w:rsidP="003754FE">
      <w:pPr>
        <w:pStyle w:val="TextoNormal"/>
      </w:pPr>
      <w:r>
        <w:t>c) Que la Generalitat de Catalunya no ha iniciado ninguna acción contra la persona afectada y, en particular, ningún procedimiento disciplinario o sancionador ni ningún procedimiento judicial de reclamación de responsabilidad civil.</w:t>
      </w:r>
    </w:p>
    <w:p w14:paraId="04EAA95C" w14:textId="77777777" w:rsidR="003754FE" w:rsidRDefault="003754FE" w:rsidP="003754FE">
      <w:pPr>
        <w:pStyle w:val="TextoNormal"/>
      </w:pPr>
    </w:p>
    <w:p w14:paraId="10B2C198" w14:textId="77777777" w:rsidR="003754FE" w:rsidRDefault="003754FE" w:rsidP="003754FE">
      <w:pPr>
        <w:pStyle w:val="TextoNormal"/>
      </w:pPr>
      <w:r>
        <w:t>4.2 Sin perjuicio de los efectos de la declaración responsable desde la presentación de la solicitud, la entidad gestora la comunicará, para su verificación, a los órganos siguientes: con respecto a la letra a), a los órganos competentes en materia de representación y defensa jurídica de la Generalitat; con respecto a la letra b), a los órganos competentes en materia de seguros de la Generalitat de Catalunya, y con respecto a la letra c), se comunicará de forma simultánea a todos los departamentos de la administración de la Generalitat para que verifiquen el cumplimiento en relación con ellos y sus entidades adscritas o que dependan de ellos.</w:t>
      </w:r>
    </w:p>
    <w:p w14:paraId="4EB29CB3" w14:textId="77777777" w:rsidR="003754FE" w:rsidRDefault="003754FE" w:rsidP="003754FE">
      <w:pPr>
        <w:pStyle w:val="TextoNormal"/>
      </w:pPr>
    </w:p>
    <w:p w14:paraId="2ACBE56D" w14:textId="77777777" w:rsidR="003754FE" w:rsidRDefault="003754FE" w:rsidP="003754FE">
      <w:pPr>
        <w:pStyle w:val="TextoNormal"/>
      </w:pPr>
      <w:r>
        <w:t>4.3 En todo caso la inexactitud, falsedad u omisión de carácter esencial de cualquier dato o documento que acompañe la solicitud o conste en la declaración responsable comporta la imposibilidad de disfrutar de la cobertura y genera una obligación de retorno, sin perjuicio de las responsabilidades penales, civiles o administrativas a las cuales pueda dar lugar.</w:t>
      </w:r>
    </w:p>
    <w:p w14:paraId="4491F49D" w14:textId="77777777" w:rsidR="003754FE" w:rsidRDefault="003754FE" w:rsidP="003754FE">
      <w:pPr>
        <w:pStyle w:val="TextoNormal"/>
      </w:pPr>
    </w:p>
    <w:p w14:paraId="0036E480" w14:textId="77777777" w:rsidR="003754FE" w:rsidRDefault="003754FE" w:rsidP="003754FE">
      <w:pPr>
        <w:pStyle w:val="TextoNormal"/>
      </w:pPr>
      <w:r>
        <w:t>4.4 El perjuicio patrimonial se debe acreditar mediante la aportación de la resolución o acto relativo al procedimiento administrativo o judicial que lo afecte, el cual no puede haber concluido por resolución judicial firme.</w:t>
      </w:r>
    </w:p>
    <w:p w14:paraId="7F85BEE3" w14:textId="77777777" w:rsidR="003754FE" w:rsidRDefault="003754FE" w:rsidP="003754FE">
      <w:pPr>
        <w:pStyle w:val="TextoNormal"/>
      </w:pPr>
    </w:p>
    <w:p w14:paraId="20A0049A" w14:textId="77777777" w:rsidR="003754FE" w:rsidRDefault="003754FE" w:rsidP="003754FE">
      <w:pPr>
        <w:pStyle w:val="TextoNormal"/>
      </w:pPr>
      <w:r>
        <w:t>4.5 En caso de que los afectados por el perjuicio patrimonial lo sean en concepto de responsabilidad solidaria, la emisión de la garantía no puede superar el total de la cantidad reclamada y, si no hay acuerdo entre las personas afectadas, se distribuirá de forma proporcional entre ellas. En todo caso, la garantía no puede superar de forma individual el 50 por 100 del total a distribuir, a no ser que la cantidad reclamada no supere el 5 por 100 del fondo.</w:t>
      </w:r>
    </w:p>
    <w:p w14:paraId="0687AA04" w14:textId="77777777" w:rsidR="003754FE" w:rsidRDefault="003754FE" w:rsidP="003754FE">
      <w:pPr>
        <w:pStyle w:val="TextoNormal"/>
      </w:pPr>
    </w:p>
    <w:p w14:paraId="7670C4FC" w14:textId="77777777" w:rsidR="003754FE" w:rsidRDefault="003754FE" w:rsidP="003754FE">
      <w:pPr>
        <w:pStyle w:val="TextoNormal"/>
      </w:pPr>
      <w:r>
        <w:t>4.6 Los órganos competentes disponen de diez días para llevar a cabo la verificación prevista en este artículo a partir del día siguiente al de recibir la comunicación.</w:t>
      </w:r>
    </w:p>
    <w:p w14:paraId="7C91831F" w14:textId="77777777" w:rsidR="003754FE" w:rsidRDefault="003754FE" w:rsidP="003754FE">
      <w:pPr>
        <w:pStyle w:val="TextoNormal"/>
      </w:pPr>
    </w:p>
    <w:p w14:paraId="0EF38FBA" w14:textId="77777777" w:rsidR="003754FE" w:rsidRDefault="003754FE" w:rsidP="003754FE">
      <w:pPr>
        <w:pStyle w:val="TextoNormal"/>
      </w:pPr>
      <w:r>
        <w:t>4.7 La entidad gestora, una vez presentada la solicitud con la declaración responsable, garantizará a la entidad financiera la emisión del aval con un depósito a cargo del fondo complementario de riesgos de la Generalitat de Catalunya. Este contraaval tendrá carácter reglado.</w:t>
      </w:r>
    </w:p>
    <w:p w14:paraId="401B4D1F" w14:textId="77777777" w:rsidR="003754FE" w:rsidRDefault="003754FE" w:rsidP="003754FE">
      <w:pPr>
        <w:pStyle w:val="TextoNormal"/>
      </w:pPr>
    </w:p>
    <w:p w14:paraId="7B5D1A4B" w14:textId="77777777" w:rsidR="003754FE" w:rsidRDefault="003754FE" w:rsidP="003754FE">
      <w:pPr>
        <w:pStyle w:val="TextoNormal"/>
      </w:pPr>
      <w:r>
        <w:t>Artículo 5. Obligación de retorno</w:t>
      </w:r>
    </w:p>
    <w:p w14:paraId="088534B4" w14:textId="77777777" w:rsidR="003754FE" w:rsidRDefault="003754FE" w:rsidP="003754FE">
      <w:pPr>
        <w:pStyle w:val="TextoNormal"/>
      </w:pPr>
    </w:p>
    <w:p w14:paraId="52A1C84E" w14:textId="77777777" w:rsidR="003754FE" w:rsidRDefault="003754FE" w:rsidP="003754FE">
      <w:pPr>
        <w:pStyle w:val="TextoNormal"/>
      </w:pPr>
      <w:r>
        <w:t>5.1 En caso de que llegara a existir pronunciamiento judicial firme y, si procede, se hayan agotado todas las vías de impugnación judiciales y jurisdiccionales, estatales e internacionales, y si se confirmara la existencia de responsabilidad contable o civil derivada de falta o delito por parte de las personas beneficiarias, se generará un crédito de derecho público de devolución por parte de los beneficiarios de los importes garantizados, así como de los intereses y de los gastos que se hayan generado en razón de las garantías efectuadas con cargo en el fondo.</w:t>
      </w:r>
    </w:p>
    <w:p w14:paraId="20B4BF32" w14:textId="77777777" w:rsidR="003754FE" w:rsidRDefault="003754FE" w:rsidP="003754FE">
      <w:pPr>
        <w:pStyle w:val="TextoNormal"/>
      </w:pPr>
    </w:p>
    <w:p w14:paraId="6899B9AD" w14:textId="77777777" w:rsidR="003754FE" w:rsidRDefault="003754FE" w:rsidP="003754FE">
      <w:pPr>
        <w:pStyle w:val="TextoNormal"/>
      </w:pPr>
      <w:r>
        <w:t>5.2 La obligación de retorno tiene la naturaleza de derecho público por parte de la Generalitat y esta tiene que realizar todas las actuaciones necesarias para su recaudación, incluso el procedimiento ejecutivo de recaudación de acuerdo con lo que establece la normativa vigente.</w:t>
      </w:r>
    </w:p>
    <w:p w14:paraId="5F9D7876" w14:textId="77777777" w:rsidR="003754FE" w:rsidRDefault="003754FE" w:rsidP="003754FE">
      <w:pPr>
        <w:pStyle w:val="TextoNormal"/>
      </w:pPr>
    </w:p>
    <w:p w14:paraId="1AF50386" w14:textId="77777777" w:rsidR="003754FE" w:rsidRDefault="003754FE" w:rsidP="003754FE">
      <w:pPr>
        <w:pStyle w:val="TextoNormal"/>
      </w:pPr>
      <w:r>
        <w:t>Artículo 6. Actuaciones para la dotación en el fondo complementario de riesgos</w:t>
      </w:r>
    </w:p>
    <w:p w14:paraId="22EABD89" w14:textId="77777777" w:rsidR="003754FE" w:rsidRDefault="003754FE" w:rsidP="003754FE">
      <w:pPr>
        <w:pStyle w:val="TextoNormal"/>
      </w:pPr>
    </w:p>
    <w:p w14:paraId="7B64B87C" w14:textId="77777777" w:rsidR="003754FE" w:rsidRDefault="003754FE" w:rsidP="003754FE">
      <w:pPr>
        <w:pStyle w:val="TextoNormal"/>
      </w:pPr>
      <w:r>
        <w:t>6.1 El departamento competente en materia de finanzas debe realizar las actuaciones correspondientes para la dotación de los recursos económicos necesarios para el FCRGC. Con esta finalidad, a la entrada en vigor de este Decreto-ley, se entenderá dotado el fondo por el importe establecido en el artículo 1 y se deben efectuar las actuaciones necesarias para esta dotación.</w:t>
      </w:r>
    </w:p>
    <w:p w14:paraId="2A18D354" w14:textId="77777777" w:rsidR="003754FE" w:rsidRDefault="003754FE" w:rsidP="003754FE">
      <w:pPr>
        <w:pStyle w:val="TextoNormal"/>
      </w:pPr>
    </w:p>
    <w:p w14:paraId="10A3D4B5" w14:textId="77777777" w:rsidR="003754FE" w:rsidRDefault="003754FE" w:rsidP="003754FE">
      <w:pPr>
        <w:pStyle w:val="TextoNormal"/>
      </w:pPr>
      <w:r>
        <w:t>6.2 Se establece como modalidad de control para las operaciones necesarias para la dotación del FCRCAT el control posterior, con las finalidades y el procedimiento establecido por el Decreto-ley 46/2020, de 24 de noviembre, de medidas urgentes de carácter administrativo, tributario y de control financiero.</w:t>
      </w:r>
    </w:p>
    <w:p w14:paraId="150161B5" w14:textId="77777777" w:rsidR="003754FE" w:rsidRDefault="003754FE" w:rsidP="003754FE">
      <w:pPr>
        <w:pStyle w:val="TextoNormal"/>
      </w:pPr>
    </w:p>
    <w:p w14:paraId="112F8B2C" w14:textId="77777777" w:rsidR="003754FE" w:rsidRDefault="003754FE" w:rsidP="003754FE">
      <w:pPr>
        <w:pStyle w:val="TextoNormal"/>
      </w:pPr>
      <w:r>
        <w:t>Disposición transitoria</w:t>
      </w:r>
    </w:p>
    <w:p w14:paraId="1BF679E0" w14:textId="77777777" w:rsidR="003754FE" w:rsidRDefault="003754FE" w:rsidP="003754FE">
      <w:pPr>
        <w:pStyle w:val="TextoNormal"/>
      </w:pPr>
    </w:p>
    <w:p w14:paraId="107A5D7E" w14:textId="77777777" w:rsidR="003754FE" w:rsidRDefault="003754FE" w:rsidP="003754FE">
      <w:pPr>
        <w:pStyle w:val="TextoNormal"/>
      </w:pPr>
      <w:r>
        <w:t>1. Mientras no se constituya la entidad gestora del FCRCAT o bien se encargue su gestión a una entidad ya constituida, y de forma excepcional, se encarga su gestión provisionalmente al Instituto Catalán de Finanzas.</w:t>
      </w:r>
    </w:p>
    <w:p w14:paraId="522F8EFA" w14:textId="77777777" w:rsidR="003754FE" w:rsidRDefault="003754FE" w:rsidP="003754FE">
      <w:pPr>
        <w:pStyle w:val="TextoNormal"/>
      </w:pPr>
    </w:p>
    <w:p w14:paraId="0FE1C426" w14:textId="77777777" w:rsidR="003754FE" w:rsidRDefault="003754FE" w:rsidP="003754FE">
      <w:pPr>
        <w:pStyle w:val="TextoNormal"/>
      </w:pPr>
      <w:r>
        <w:t>2. Para el caso de que no sea posible cuando entre en vigor este Decreto-ley aplicar lo que prevé el punto 7 del artículo 4 y con carácter excepcional, la entidad gestora puede otorgar la garantía mediante cualquier medio admitido en derecho, sin perjuicio de que sea sustituida posteriormente por lo que dispone el precepto mencionado”.</w:t>
      </w:r>
    </w:p>
    <w:p w14:paraId="0F256089" w14:textId="77777777" w:rsidR="003754FE" w:rsidRDefault="003754FE" w:rsidP="003754FE">
      <w:pPr>
        <w:pStyle w:val="TextoNormal"/>
      </w:pPr>
    </w:p>
    <w:p w14:paraId="3AAF86AF" w14:textId="77777777" w:rsidR="003754FE" w:rsidRDefault="003754FE" w:rsidP="003754FE">
      <w:pPr>
        <w:pStyle w:val="TextoNormal"/>
      </w:pPr>
      <w:r>
        <w:t>b) Conforme al orden de exposición de la demanda (que no ha de ser, como se fundamentará, el del enjuiciamiento), el Decreto-ley habría incurrido en inconstitucionalidad a causa de vicios de distinta naturaleza, por más que algunos de ellos estarían, según también se dirá, estrechamente vinculados: (i) se aduce, en primer lugar, que esta disposición gubernamental —toda ella— resultaría contraria al principio de interdicción de la arbitrariedad de los poderes públicos (art. 9.3 CE), pues su “única finalidad real” sería “procurar la máxima impunidad” de quienes habrían malversado caudales públicos en el “llamado proceso de desconexión de Cataluña”, algo que —se añade— infringiría asimismo tanto los criterios de eficiencia y economía en la programación y ejecución del gasto público (art. 31.2 CE) como el principio de “eficacia” en la actuación de la administración pública (art. 103.1 CE); (ii) íntimamente relacionado con la anterior vulneración, se denuncia que el Decreto-ley tendría la condición de “ley singular”, por cuanto, pese a su aparente “vocación general”, solo sería aplicable, sin justificación objetiva y razonable alguna, y cayendo en arbitrariedad, a la obligación de prestar garantía provisional en las actuaciones previas 80-2019 seguidas ante el Tribunal de Cuentas y a las que, junto a otras consideraciones, la exposición de motivos efectivamente se refiere; (iii) se argumenta también, ya en otro orden de cosas, que la disposición impugnada sería contraria al principio de división de poderes (a cuyo efecto se cita el artículo 1.1 CE) y, en relación con ello, a los artículos 117.3 (exclusividad de la potestad jurisdiccional) y 136.2 (jurisdicción propia del Tribunal de Cuentas) de la misma norma fundamental, así como a su artículo 118 (obligado cumplimiento de las resoluciones firmes de jueces y tribunales), pues se presenta como una “contramedida” frente a la liquidación provisional practicada en las mentadas actuaciones previas 80-2019; (iv) sostiene asimismo la demanda, con invocación de la regla 18 del artículo 149.1 CE, que el Decreto-ley estaría viciado de incompetencia al establecer un derecho prestacional de garantía de los empleados públicos no previsto en la legislación básica estatal; (v) también estaría la norma recurrida viciada de incompetencia, con invocación la regla 16 del artículo 149.1 CE, por establecer una especialidad procesal sin amparo en el Derecho sustantivo de la comunidad autónoma, al prever un nuevo tipo de garantía no prevista en la regulación procesal o contable, y afectar a la descripción procesal de firmeza de las resoluciones judiciales, y al tiempo en que son ejecutables, y (vi) argumenta la demanda, en fin, que el Decreto-ley se habría dictado en contravención de lo dispuesto en los artículos 86.1 CE y 64 EAC y ello tanto porque no sería de ver la extraordinaria y urgente necesidad que pudiera justificarlo como porque habría venido a disciplinar (en censura dirigida contra determinado inciso de su artículo 2) el estatuto de los miembros del Gobierno de la Generalitat, materia propia de las leyes de desarrollo básico estatutario que queda, en cuanto tal, sustraída a esta fuente gubernamental (arts. 62.2, 64.1 y 68.3 EAC).</w:t>
      </w:r>
    </w:p>
    <w:p w14:paraId="6A883E0A" w14:textId="77777777" w:rsidR="003754FE" w:rsidRDefault="003754FE" w:rsidP="003754FE">
      <w:pPr>
        <w:pStyle w:val="TextoNormal"/>
      </w:pPr>
    </w:p>
    <w:p w14:paraId="74617DD1" w14:textId="77777777" w:rsidR="003754FE" w:rsidRDefault="003754FE" w:rsidP="003754FE">
      <w:pPr>
        <w:pStyle w:val="TextoNormal"/>
      </w:pPr>
      <w:r>
        <w:t xml:space="preserve">Todas estas tachas de inconstitucionalidad han sido refutadas, como en los antecedentes se expuso, por las representaciones procesales del Parlamento de Cataluña y del Gobierno de la Generalitat. Sobre lo aducido —sin variaciones sustanciales— en unas y otras alegaciones se volverá después con el necesario detalle, de modo que basta ahora con recordar, muy en síntesis, que se argumenta en ellas, frente al reproche de arbitrariedad, el carácter </w:t>
      </w:r>
      <w:r>
        <w:lastRenderedPageBreak/>
        <w:t>general y abstracto de las reglas adoptadas mediante el Decreto-ley, que estarían al servicio del “principio de indemnidad” de los servidores públicos (también invocado en la exposición de motivos), y que se sale igualmente al paso de las demás contravenciones que la demanda aduce —tanto materiales como competenciales— con la invocación de las propias competencias estatutarias (arts. 136, 150, 159 y 211 EAC) y de lo dispuesto en el artículo 71 del mismo EAC, así como mediante la negación de que el Decreto-ley interfiera en potestades jurisdiccionales o soslaye el debido cumplimiento de resoluciones firmes adoptadas en su virtud. Ni la disposición gubernamental, en fin, carecería del necesario presupuesto habilitante, pues se habría dictado (conforme a su preámbulo y a lo argumentado en el debate de convalidación parlamentaria) ante circunstancias de extraordinaria y urgente necesidad, ni la mención, ya en particular, a los miembros del Gobierno de la Generalitat en su artículo 2 infringiría —alega en este punto la representación del Parlamento de Cataluña— los límites materiales que pesan sobre el Ejecutivo a la hora de adoptar decretos-leyes.</w:t>
      </w:r>
    </w:p>
    <w:p w14:paraId="27577EE9" w14:textId="77777777" w:rsidR="003754FE" w:rsidRDefault="003754FE" w:rsidP="003754FE">
      <w:pPr>
        <w:pStyle w:val="TextoNormal"/>
      </w:pPr>
    </w:p>
    <w:p w14:paraId="0ABDD509" w14:textId="102FA9E3" w:rsidR="003754FE" w:rsidRDefault="003754FE" w:rsidP="003754FE">
      <w:pPr>
        <w:pStyle w:val="TextoNormal"/>
      </w:pPr>
      <w:r>
        <w:t>c) Tales son, en resumen, los términos del debate procesal entre las partes. Su examen y resolución requiere, muy en primer lugar, la previa determinación de si pudiera tener alguna incidencia sobre el objeto de este recurso la pérdida de vigencia, sobrevenida a su interposición, de la disposición gubernamental impugnada.</w:t>
      </w:r>
    </w:p>
    <w:p w14:paraId="6641FE32" w14:textId="77777777" w:rsidR="003754FE" w:rsidRDefault="003754FE" w:rsidP="003754FE">
      <w:pPr>
        <w:pStyle w:val="TextoNormal"/>
      </w:pPr>
    </w:p>
    <w:p w14:paraId="2746B946" w14:textId="77777777" w:rsidR="003754FE" w:rsidRDefault="003754FE" w:rsidP="003754FE">
      <w:pPr>
        <w:pStyle w:val="TextoNormal"/>
      </w:pPr>
      <w:r w:rsidRPr="003754FE">
        <w:rPr>
          <w:rStyle w:val="NumeroAFNegritaCaracter"/>
        </w:rPr>
        <w:t>2</w:t>
      </w:r>
      <w:r>
        <w:t xml:space="preserve">. </w:t>
      </w:r>
      <w:r w:rsidRPr="003754FE">
        <w:rPr>
          <w:i/>
        </w:rPr>
        <w:t>Pervivencia del objeto del recurso</w:t>
      </w:r>
    </w:p>
    <w:p w14:paraId="783442D0" w14:textId="77777777" w:rsidR="003754FE" w:rsidRDefault="003754FE" w:rsidP="003754FE">
      <w:pPr>
        <w:pStyle w:val="TextoNormal"/>
      </w:pPr>
    </w:p>
    <w:p w14:paraId="70179658" w14:textId="77777777" w:rsidR="003754FE" w:rsidRDefault="003754FE" w:rsidP="003754FE">
      <w:pPr>
        <w:pStyle w:val="TextoNormal"/>
      </w:pPr>
      <w:r>
        <w:t>A) El recurso de inconstitucionalidad contra el Decreto-ley 15/2021 fue presentado, vale recordar, el 1 de septiembre de 2021, cuando ya se había verificado su convalidación por el Parlamento de Cataluña (resolución 71/XIV, de 29 de julio de 2021) y adoptado por la Cámara, acto seguido, la decisión de tramitarlo como proyecto de ley por el procedimiento de urgencia, todo ello con arreglo a lo previsto, respectivamente, en los apartados 2 y 3 del artículo 64 EAC (“Diari de Sessions del Parlament de Catalunya”, XIV legislatura, núm. 17, p. 65). El procedimiento legislativo al que así se dio lugar culminó —una vez incoado y en curso el actual proceso constitucional— con la aprobación de la vigente Ley del Parlamento de Cataluña 2/2022, de 3 de marzo, del fondo complementario de riesgos de la Generalitat de Cataluña, texto legal que vino a asumir, con determinadas modificaciones, el contenido dispositivo del impugnado Decreto-ley, expresamente derogado, por lo demás, mediante esta Ley de conversión.</w:t>
      </w:r>
    </w:p>
    <w:p w14:paraId="299E2654" w14:textId="77777777" w:rsidR="003754FE" w:rsidRDefault="003754FE" w:rsidP="003754FE">
      <w:pPr>
        <w:pStyle w:val="TextoNormal"/>
      </w:pPr>
    </w:p>
    <w:p w14:paraId="14A05EB7" w14:textId="77777777" w:rsidR="003754FE" w:rsidRDefault="003754FE" w:rsidP="003754FE">
      <w:pPr>
        <w:pStyle w:val="TextoNormal"/>
      </w:pPr>
      <w:r>
        <w:t>B) Es preciso, constatado lo anterior, recordar que la pérdida de vigencia, posterior a la impugnación del acto o disposición con fuerza de ley que haya sido recurrido determina de principio, la desaparición sobrevenida del objeto del recurso de inconstitucionalidad, a salvo que concurriese alguna de las excepciones que este tribunal ha reconocido ante determinadas hipótesis en las que la extinción de la vigencia del precepto impugnado no impedirá el enjuiciamiento y resolución de las pretensiones de inconstitucionalidad dirigidas contra el mismo.</w:t>
      </w:r>
    </w:p>
    <w:p w14:paraId="2A0A1302" w14:textId="77777777" w:rsidR="003754FE" w:rsidRDefault="003754FE" w:rsidP="003754FE">
      <w:pPr>
        <w:pStyle w:val="TextoNormal"/>
      </w:pPr>
    </w:p>
    <w:p w14:paraId="1BF8C9DA" w14:textId="77777777" w:rsidR="003754FE" w:rsidRDefault="003754FE" w:rsidP="003754FE">
      <w:pPr>
        <w:pStyle w:val="TextoNormal"/>
      </w:pPr>
      <w:r>
        <w:t>a) Por un lado, debe tenerse en cuenta la consolidada doctrina constitucional en relación con la pervivencia del recurso en los casos en los que se pretende que el Tribunal vele “por el recto ejercicio de la potestad de dictar decretos-leyes, dentro del marco constitucional, decidiendo la validez o invalidez de las normas impugnadas, sin atender a su vigencia o derogación en el momento en que se pronuncia el fallo” (por todas, SSTC 166/2023, de 22 de noviembre, FJ 2, y 34/2017, de 1 de marzo, FJ 2).</w:t>
      </w:r>
    </w:p>
    <w:p w14:paraId="50C949B9" w14:textId="77777777" w:rsidR="003754FE" w:rsidRDefault="003754FE" w:rsidP="003754FE">
      <w:pPr>
        <w:pStyle w:val="TextoNormal"/>
      </w:pPr>
    </w:p>
    <w:p w14:paraId="2B3A0970" w14:textId="77777777" w:rsidR="003754FE" w:rsidRDefault="003754FE" w:rsidP="003754FE">
      <w:pPr>
        <w:pStyle w:val="TextoNormal"/>
      </w:pPr>
      <w:r>
        <w:t>Supuesto ante el que nos encontramos en lo que hace a las pretensiones de inconstitucionalidad que aquí se dirigen contra la disposición gubernamental de urgencia por haberse dictado al margen de sus presupuestos habilitantes o con afectación, en algún punto, de materias que le están vedadas (arts. 86.1 CE y 64.1 y 2 EAC). A lo que cabe añadir que el enjuiciamiento de si el Decreto-ley ya derogado incurrió en estos vicios específicos no siempre podrá desligarse de la consideración de los de carácter sustantivo que —en términos, a veces, apenas disociables— también se imputaran a la misma disposición impugnada, siquiera sea porque el principio de unidad de la Constitución impide verla como la mera “suma y […] agregado de una multiplicidad de mandatos inconexos” (STC 12/2008, de 29 de enero, FJ 4). No faltan muestras de este entendimiento flexible o abierto —cuando así se ha estimado preciso— en la casuística del recurso de inconstitucionalidad (entre otras, SSTC 111/1983, de 2 de diciembre, FFJJ 11 y 12; 237/2012, de 13 de diciembre, FFJJ 9 a 12; 51/2013, de 28 de febrero, FJ 2, y 38/2016, de 3 de marzo, FJ 7).</w:t>
      </w:r>
    </w:p>
    <w:p w14:paraId="5606C2C0" w14:textId="77777777" w:rsidR="003754FE" w:rsidRDefault="003754FE" w:rsidP="003754FE">
      <w:pPr>
        <w:pStyle w:val="TextoNormal"/>
      </w:pPr>
    </w:p>
    <w:p w14:paraId="599C31E6" w14:textId="77777777" w:rsidR="003754FE" w:rsidRDefault="003754FE" w:rsidP="003754FE">
      <w:pPr>
        <w:pStyle w:val="TextoNormal"/>
      </w:pPr>
      <w:r>
        <w:t>b) Por otro lado, también hemos reconocido la pervivencia del recurso de inconstitucionalidad cuando las pretensiones deducidas tengan, en todo o en parte, un contenido competencial (en un sentido amplio: STC 137/2003, de 3 de julio, FJ 2) por lo que hace a la articulación de nuestro Estado compuesto, hipótesis en la cual “la función de preservar los ámbitos respectivos de competencias [estatales y autonómicas] no puede quedar enervada por la sola derogación o modificación de las disposiciones cuya adopción dio lugar al litigio” (entre otras, SSTC 27/2015, de 19 de febrero, FJ 2, y 40/2016, de 3 de marzo, FJ 3). Será entonces necesario, más bien, “ponderar hasta qué punto dicha extinción [de la regla impugnada] conlleva la desaparición de la controversia competencial traída al proceso,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[STC 29/2022, de 24 de febrero, FJ 2 b), por todas].</w:t>
      </w:r>
    </w:p>
    <w:p w14:paraId="3B3BE4B6" w14:textId="77777777" w:rsidR="003754FE" w:rsidRDefault="003754FE" w:rsidP="003754FE">
      <w:pPr>
        <w:pStyle w:val="TextoNormal"/>
      </w:pPr>
    </w:p>
    <w:p w14:paraId="218003C1" w14:textId="77777777" w:rsidR="003754FE" w:rsidRDefault="003754FE" w:rsidP="003754FE">
      <w:pPr>
        <w:pStyle w:val="TextoNormal"/>
      </w:pPr>
      <w:r>
        <w:t>En el supuesto que nos ocupa se discute la infracción o no del artículo 149.1.6 CE (competencias sobre legislación procesal) y los argumentos al respecto aparecen, tanto en la demanda como en las alegaciones, inseparablemente unidos al entendimiento, en un sentido u otro, de lo que exigirían, para el caso, los artículos 117, 118 y 136 CE. Esta trabazón, en el debate procesal, entre unas y otras razones jurídico-constitucionales no es en absoluto impropia o caprichosa y muestra muy a las claras, de nuevo, la unidad misma de la Constitución y la consiguiente improcedencia —también desde este enfoque— de dejar sin más de lado el enjuiciamiento de, cuando menos, los mentados vicios sustantivos también aducidos en el recurso y refutados de contrario [al respecto, ante planteamientos análogos, SSTC 137/2015, de 11 de junio, FJ 2 a), y 37/2022, de 10 de marzo, FJ 3 b)].</w:t>
      </w:r>
    </w:p>
    <w:p w14:paraId="36EB4A1E" w14:textId="77777777" w:rsidR="003754FE" w:rsidRDefault="003754FE" w:rsidP="003754FE">
      <w:pPr>
        <w:pStyle w:val="TextoNormal"/>
      </w:pPr>
    </w:p>
    <w:p w14:paraId="7D7ADFA4" w14:textId="0E60D0C6" w:rsidR="003754FE" w:rsidRDefault="003754FE" w:rsidP="003754FE">
      <w:pPr>
        <w:pStyle w:val="TextoNormal"/>
      </w:pPr>
      <w:r>
        <w:t>C) Conforme a las consideraciones expuestas procede confirmar la pervivencia del objeto litigioso y encaminarse ya a su resolución.</w:t>
      </w:r>
    </w:p>
    <w:p w14:paraId="395061E2" w14:textId="77777777" w:rsidR="003754FE" w:rsidRDefault="003754FE" w:rsidP="003754FE">
      <w:pPr>
        <w:pStyle w:val="TextoNormal"/>
      </w:pPr>
    </w:p>
    <w:p w14:paraId="3EB0A083" w14:textId="77777777" w:rsidR="003754FE" w:rsidRDefault="003754FE" w:rsidP="003754FE">
      <w:pPr>
        <w:pStyle w:val="TextoNormal"/>
      </w:pPr>
      <w:r w:rsidRPr="003754FE">
        <w:rPr>
          <w:rStyle w:val="NumeroAFNegritaCaracter"/>
        </w:rPr>
        <w:t>3</w:t>
      </w:r>
      <w:r>
        <w:t xml:space="preserve">. </w:t>
      </w:r>
      <w:r w:rsidRPr="003754FE">
        <w:rPr>
          <w:i/>
        </w:rPr>
        <w:t>Orden que se seguirá en el enjuiciamiento</w:t>
      </w:r>
    </w:p>
    <w:p w14:paraId="43E04054" w14:textId="77777777" w:rsidR="003754FE" w:rsidRDefault="003754FE" w:rsidP="003754FE">
      <w:pPr>
        <w:pStyle w:val="TextoNormal"/>
      </w:pPr>
    </w:p>
    <w:p w14:paraId="1E9FAF29" w14:textId="71EC6B5B" w:rsidR="003754FE" w:rsidRDefault="003754FE" w:rsidP="003754FE">
      <w:pPr>
        <w:pStyle w:val="TextoNormal"/>
      </w:pPr>
      <w:r>
        <w:t xml:space="preserve">Corresponde siempre a este tribunal fijar, con arreglo a su mejor criterio, el orden en el que han de ser enjuiciadas las pretensiones deducidas en un recurso de inconstitucionalidad, </w:t>
      </w:r>
      <w:r>
        <w:lastRenderedPageBreak/>
        <w:t>se coincida o no, al hacerlo, con la sistemática de la demanda [SSTC 183/2021, de 27 de octubre, FJ 2, y 37/2022, FJ 3 b), entre otras]. Cuando, como en este caso, se tacha de inconstitucional un decreto-ley, entre otras censuras, por conculcación de sus específicos presupuestos y límites este examen ha de comenzar, según recuerdan con acierto las representaciones del Parlamento y del Gobierno de la Comunidad Autónoma, precisamente por tal reproche, cuyo tratamiento es, de ordinario, preferente o prioritario (SSTC 111/1983, de 2 de diciembre, FJ 1; 137/2011, de 14 de septiembre, FJ 2, y 157/2016, de 22 de septiembre, FJ 4, por todas). Así se hará a continuación, sin que en este punto sea atendible, en consecuencia, lo sugerido por los recurrentes en pro de un examen inicial de las infracciones sustantivas que aducen, lo que se justificaría —dicen— en su carácter manifiesto o evidente, calificaciones que, a estos efectos tan preliminares, bien pueden aplicarse, por el contrario, a la petición de principio que tal tesis encierra.</w:t>
      </w:r>
    </w:p>
    <w:p w14:paraId="37F19467" w14:textId="77777777" w:rsidR="003754FE" w:rsidRDefault="003754FE" w:rsidP="003754FE">
      <w:pPr>
        <w:pStyle w:val="TextoNormal"/>
      </w:pPr>
    </w:p>
    <w:p w14:paraId="579B5604" w14:textId="77777777" w:rsidR="003754FE" w:rsidRDefault="003754FE" w:rsidP="003754FE">
      <w:pPr>
        <w:pStyle w:val="TextoNormal"/>
      </w:pPr>
      <w:r w:rsidRPr="003754FE">
        <w:rPr>
          <w:rStyle w:val="NumeroAFNegritaCaracter"/>
        </w:rPr>
        <w:t>4</w:t>
      </w:r>
      <w:r>
        <w:t xml:space="preserve">. </w:t>
      </w:r>
      <w:r w:rsidRPr="003754FE">
        <w:rPr>
          <w:i/>
        </w:rPr>
        <w:t>Sobre la denunciada infracción del presupuesto y los límites para el dictado de decretos-leyes</w:t>
      </w:r>
    </w:p>
    <w:p w14:paraId="1394CCFA" w14:textId="77777777" w:rsidR="003754FE" w:rsidRDefault="003754FE" w:rsidP="003754FE">
      <w:pPr>
        <w:pStyle w:val="TextoNormal"/>
      </w:pPr>
    </w:p>
    <w:p w14:paraId="141C9802" w14:textId="77777777" w:rsidR="003754FE" w:rsidRDefault="003754FE" w:rsidP="003754FE">
      <w:pPr>
        <w:pStyle w:val="TextoNormal"/>
      </w:pPr>
      <w:r>
        <w:t>A) Sostiene la demanda que el Decreto-ley 15/2021 vulneraría los artículos 86 CE y 64 EAC tanto por falta del presupuesto habilitante constitucionalmente exigido (situación de “extraordinaria y urgente necesidad”) como por la extralimitación de su contenido. Este segundo reproche va específicamente dirigido contra el inciso “miembros del Gobierno de la Generalitat” con el que el artículo 2 cierra el elenco de las personas que quedan, por las funciones o cargos desempeñados, “incluidas en el ámbito subjetivo” de la disposición de urgencia, al entender los recurrentes que con tal mención se introduce un derecho que afecta al estatuto de los miembros del Gobierno, cuyo reconocimiento se halla reservado a la ley de desarrollo básico del EAC por su artículo 68.3 y sustraído, por ende, a la ordenación por decreto-ley.</w:t>
      </w:r>
    </w:p>
    <w:p w14:paraId="2F92255C" w14:textId="77777777" w:rsidR="003754FE" w:rsidRDefault="003754FE" w:rsidP="003754FE">
      <w:pPr>
        <w:pStyle w:val="TextoNormal"/>
      </w:pPr>
    </w:p>
    <w:p w14:paraId="2FFB91FF" w14:textId="77777777" w:rsidR="003754FE" w:rsidRDefault="003754FE" w:rsidP="003754FE">
      <w:pPr>
        <w:pStyle w:val="TextoNormal"/>
      </w:pPr>
      <w:r>
        <w:t>El examen de estos reproches ha de partir, con carácter general, de la advertencia de que el artículo 86.1 CE y, por tanto, la jurisprudencia constitucional que lo interpreta son referencia obligada ante este tipo de controversias sobre decretos-leyes autonómicos, sin perjuicio de la atención que requieran, además, los límites que al respecto hubiera podido concretar o añadir el respectivo estatuto de autonomía [SSTC 107/2015, de 28 de mayo, FJ 2; 157/2016, de 22 de septiembre, FFJJ 4 y 5; 105/2018, de 4 de octubre, FJ 3 c), y, entre otras, 16/2021, de 28 de enero, FJ 3 a)].</w:t>
      </w:r>
    </w:p>
    <w:p w14:paraId="26A6629B" w14:textId="77777777" w:rsidR="003754FE" w:rsidRDefault="003754FE" w:rsidP="003754FE">
      <w:pPr>
        <w:pStyle w:val="TextoNormal"/>
      </w:pPr>
    </w:p>
    <w:p w14:paraId="1B34E9A0" w14:textId="77777777" w:rsidR="003754FE" w:rsidRDefault="003754FE" w:rsidP="003754FE">
      <w:pPr>
        <w:pStyle w:val="TextoNormal"/>
      </w:pPr>
      <w:r>
        <w:t>Así, como hemos recordado recientemente en la STC 126/2023, de 27 de septiembre, FJ 3, “[e]ste tribunal ha señalado que la Constitución no impide que los estatutos de autonomía atribuyan a los Gobiernos autonómicos la potestad normativa excepcional de aprobar decretos-leyes. Ahora bien, junto con ello ha señalado que del principio democrático (art. 1.1 CE) se deriva que los límites formales y materiales que afectan al decreto-ley autonómico son, como mínimo, los que la Constitución impone al decreto-ley estatal (art. 86.1 CE), pudiendo el estatuto añadir ‘cautelas o exclusiones adicionales’ con el fin de ‘preservar más intensamente la posición del parlamento autonómico’ (SSTC 93/2015, de 14 de mayo, FJ 5, y 107/2015, de 28 de mayo, FJ 2)”.</w:t>
      </w:r>
    </w:p>
    <w:p w14:paraId="2F7D8F8C" w14:textId="77777777" w:rsidR="003754FE" w:rsidRDefault="003754FE" w:rsidP="003754FE">
      <w:pPr>
        <w:pStyle w:val="TextoNormal"/>
      </w:pPr>
    </w:p>
    <w:p w14:paraId="53CF5F97" w14:textId="77777777" w:rsidR="003754FE" w:rsidRDefault="003754FE" w:rsidP="003754FE">
      <w:pPr>
        <w:pStyle w:val="TextoNormal"/>
      </w:pPr>
      <w:r>
        <w:t xml:space="preserve">B) Por lo que hace a la primera de estas censuras, de alcance general, el art. 64.1 del Estatuto de Autonomía de Cataluña tiene, por lo que ahora importa, una redacción idéntica a la del art. 86.1 CE, en tanto que ambos preceptos limitan expresamente la posibilidad de </w:t>
      </w:r>
      <w:r>
        <w:lastRenderedPageBreak/>
        <w:t>aprobar decretos-leyes a casos de extraordinaria y urgente necesidad (“[e]n caso de una necesidad extraordinaria y urgente”). Ello implica que, para resolver la impugnación planteada frente al Decreto-ley 15/2021, debamos tomar en consideración la doctrina constitucional relativa al presupuesto habilitante previsto en el art. 86.1 CE y a su control por parte de este tribunal y aplicarla, después, a las circunstancias que fueron tenidas en cuenta para dictar el decreto-ley impugnado.</w:t>
      </w:r>
    </w:p>
    <w:p w14:paraId="034C4524" w14:textId="77777777" w:rsidR="003754FE" w:rsidRDefault="003754FE" w:rsidP="003754FE">
      <w:pPr>
        <w:pStyle w:val="TextoNormal"/>
      </w:pPr>
    </w:p>
    <w:p w14:paraId="7BF87480" w14:textId="77777777" w:rsidR="003754FE" w:rsidRDefault="003754FE" w:rsidP="003754FE">
      <w:pPr>
        <w:pStyle w:val="TextoNormal"/>
      </w:pPr>
      <w:r>
        <w:t>a) Sobre los términos “extraordinaria y urgente necesidad” bastará recordar, que “no constituyen una cláusula o expresión vacía de significado dentro de la cual el margen de apreciación política del Gobierno se mueve libremente sin restricción alguna, sino un verdadero límite jurídico a la actuación mediante decretos-leyes” (por todas, la reciente STC 166/2023, de 22 de noviembre, FJ 3).</w:t>
      </w:r>
    </w:p>
    <w:p w14:paraId="0A4A0D40" w14:textId="77777777" w:rsidR="003754FE" w:rsidRDefault="003754FE" w:rsidP="003754FE">
      <w:pPr>
        <w:pStyle w:val="TextoNormal"/>
      </w:pPr>
    </w:p>
    <w:p w14:paraId="699BD623" w14:textId="77777777" w:rsidR="003754FE" w:rsidRDefault="003754FE" w:rsidP="003754FE">
      <w:pPr>
        <w:pStyle w:val="TextoNormal"/>
      </w:pPr>
      <w:r>
        <w:t>La apreciación de la concurrencia de la extraordinaria y urgente necesidad constituye un juicio político que corresponde efectuar tanto al Ejecutivo para dictar el decreto-ley como al Congreso de los Diputados, o a la Cámara autonómica, para, llegado el caso, convalidarlo en votación de totalidad (arts. 86.1 y 2 CE y 64.1 y 2 EAC), incumbiéndole a este tribunal “controlar que ese juicio político no desborde los límites de lo manifiestamente razonable, sin suplantar a los órganos constitucionales que intervienen en la aprobación y convalidación de los decretos-leyes” (STC 134/2021, de 24 de junio, FJ 3).</w:t>
      </w:r>
    </w:p>
    <w:p w14:paraId="48AB318D" w14:textId="77777777" w:rsidR="003754FE" w:rsidRDefault="003754FE" w:rsidP="003754FE">
      <w:pPr>
        <w:pStyle w:val="TextoNormal"/>
      </w:pPr>
    </w:p>
    <w:p w14:paraId="53D4065E" w14:textId="77777777" w:rsidR="003754FE" w:rsidRDefault="003754FE" w:rsidP="003754FE">
      <w:pPr>
        <w:pStyle w:val="TextoNormal"/>
      </w:pPr>
      <w:r>
        <w:t>Este control externo se concreta en la comprobación de que el Ejecutivo haya definido, de manera explícita y razonada, una situación de extraordinaria y urgente necesidad que precise de una respuesta normativa con rango de ley y de que, además, exista una conexión de sentido entre la situación definida y las medidas adoptadas para hacerle frente (en este sentido, STC 40/2021, de 18 de febrero, FJ 2). Aunque ambos aspectos están íntimamente ligados, su examen por separado facilita desde un punto de vista metodológico el análisis de las consideraciones de las partes y, en última instancia, el control que le corresponde efectuar a este tribunal (SSTC 332/2005, de 15 de diciembre, FJ 6, y 166/2023, de 22 de noviembre, FJ 3).</w:t>
      </w:r>
    </w:p>
    <w:p w14:paraId="48B260A8" w14:textId="77777777" w:rsidR="003754FE" w:rsidRDefault="003754FE" w:rsidP="003754FE">
      <w:pPr>
        <w:pStyle w:val="TextoNormal"/>
      </w:pPr>
    </w:p>
    <w:p w14:paraId="48E4EC05" w14:textId="77777777" w:rsidR="003754FE" w:rsidRDefault="003754FE" w:rsidP="003754FE">
      <w:pPr>
        <w:pStyle w:val="TextoNormal"/>
      </w:pPr>
      <w:r>
        <w:t>En cuanto a la definición de la situación de urgencia, nuestra doctrina ha precisado que no es necesario que la misma se contenga siempre en el propio decreto-ley, sino que tal presupuesto cabe deducirlo igualmente de una pluralidad de elementos que son, básicamente, los que quedan reflejados en la exposición de motivos de la norma, a lo largo del debate parlamentario de convalidación y en el propio expediente de elaboración de la misma (STC 152/2017, de 21 de diciembre, FJ 3, y las que allí se citan). Respecto de la conexión de sentido entre la situación de urgencia definida y las medidas adoptadas, deben valorarse el contenido y la estructura de las disposiciones incluidas en el decreto-ley controvertido [por todas, STC 61/2018, de 7 de junio, FJ 4 e)].</w:t>
      </w:r>
    </w:p>
    <w:p w14:paraId="48834026" w14:textId="77777777" w:rsidR="003754FE" w:rsidRDefault="003754FE" w:rsidP="003754FE">
      <w:pPr>
        <w:pStyle w:val="TextoNormal"/>
      </w:pPr>
    </w:p>
    <w:p w14:paraId="00AA0B58" w14:textId="77777777" w:rsidR="003754FE" w:rsidRDefault="003754FE" w:rsidP="003754FE">
      <w:pPr>
        <w:pStyle w:val="TextoNormal"/>
      </w:pPr>
      <w:r>
        <w:t xml:space="preserve">b) Conforme al canon que se acaba de exponer procede examinar ahora la concurrencia del presupuesto habilitante de la norma, consistente en la concurrencia de una situación de extraordinaria y urgente necesidad. Este examen ha de llevarse a cabo mediante la valoración conjunta del preámbulo de la norma y del debate parlamentario de convalidación, pues el expediente de elaboración del Decreto-ley 15/2021 (posible tercera fuente de justificación al efecto, como ya se ha dicho) ni se ha aportado por la representación del Gobierno de la Generalitat, a la que hubiera correspondido hacerlo, ni hay referencia alguna al mismo en </w:t>
      </w:r>
      <w:r>
        <w:lastRenderedPageBreak/>
        <w:t>las alegaciones de la representación procesal del propio Gobierno o del Parlamento de Cataluña (en sentido análogo, STC 29/2015, de 19 de febrero, FJ 4).</w:t>
      </w:r>
    </w:p>
    <w:p w14:paraId="0F1869C1" w14:textId="77777777" w:rsidR="003754FE" w:rsidRDefault="003754FE" w:rsidP="003754FE">
      <w:pPr>
        <w:pStyle w:val="TextoNormal"/>
      </w:pPr>
    </w:p>
    <w:p w14:paraId="3FF663A3" w14:textId="77777777" w:rsidR="003754FE" w:rsidRDefault="003754FE" w:rsidP="003754FE">
      <w:pPr>
        <w:pStyle w:val="TextoNormal"/>
      </w:pPr>
      <w:r>
        <w:t>(i) Cabe constatar en este punto que el apartado III de la exposición de motivos del Decreto-ley se limita a hacer referencia a las circunstancias generales que justificarían su adopción. Se lee allí que “[p]ara hacer frente a sus responsabilidades y obligaciones legales de protección de los servidores públicos, la Generalitat de Catalunya tiene suscritas pólizas de responsabilidad civil para la cobertura de los riesgos en que puedan incurrir”, aunque “esta situación se ha alterado y actualmente se produce una exclusión de determinados riesgos de las pólizas suscritas, exclusión que, eventualmente, puede tener efectos retroactivos”; un cambio —se señala— que “afecta a situaciones muy diversas en que se pueden encontrar los servidores públicos y que se han ido incrementando en los últimos años”, afectación “negativa a los derechos de los funcionarios y funcionarias, altos cargos, directivos e, incluso[,] a los miembros del Gobierno que se han visto involucrados” que haría “necesario y urgente que la Generalitat adopte las medidas complementarias en los mecanismos existentes dirigidas a garantizar y proteger el derecho a la indemnidad de las personas afectadas en el ejercicio de sus funciones, al menos hasta que no haya un pronunciamiento judicial que declare con carácter firme su responsabilidad disciplinaria, contable o penal”.</w:t>
      </w:r>
    </w:p>
    <w:p w14:paraId="7D01CD01" w14:textId="77777777" w:rsidR="003754FE" w:rsidRDefault="003754FE" w:rsidP="003754FE">
      <w:pPr>
        <w:pStyle w:val="TextoNormal"/>
      </w:pPr>
    </w:p>
    <w:p w14:paraId="27331809" w14:textId="77777777" w:rsidR="003754FE" w:rsidRDefault="003754FE" w:rsidP="003754FE">
      <w:pPr>
        <w:pStyle w:val="TextoNormal"/>
      </w:pPr>
      <w:r>
        <w:t>Añade a título de ejemplo el preámbulo, a continuación, que “[u]no de los supuestos que hacen necesaria y urgente esta actuación por la situación de vulnerabilidad en que se encuentran las personas afectadas ante una decisión administrativa no firme, son las actuaciones previas 80-2019 del Tribunal de Cuentas, sector público autonómico (inf. fisco. destino recursos asignados a la ejecución de políticas de acción exterior por parte de la Generalitat de Catalunya, en los ejercicios 2011 a 2017), objeto de la notificación de la liquidación provisional de fecha 30 de junio de este año, que afecta a varios altos cargos, responsables políticos y funcionarios y funcionarias de la Generalitat”.</w:t>
      </w:r>
    </w:p>
    <w:p w14:paraId="7070DC0F" w14:textId="77777777" w:rsidR="003754FE" w:rsidRDefault="003754FE" w:rsidP="003754FE">
      <w:pPr>
        <w:pStyle w:val="TextoNormal"/>
      </w:pPr>
    </w:p>
    <w:p w14:paraId="7C06472C" w14:textId="77777777" w:rsidR="003754FE" w:rsidRDefault="003754FE" w:rsidP="003754FE">
      <w:pPr>
        <w:pStyle w:val="TextoNormal"/>
      </w:pPr>
      <w:r>
        <w:t>Concluye tras todo ello este apartado de la exposición de motivos con el siguiente párrafo: “[l]a brevedad de los plazos en muchos de estos supuestos y la falta de mecanismos para dar cobertura a la situación producida obligan a la Generalitat de Catalunya a adoptar, con carácter urgente y general, las medidas necesarias con el fin de garantizar tanto el principio de indemnidad como la protección de los derechos fundamentales de todos los servidores públicos afectados por siniestros no cubiertos por las pólizas de responsabilidad civil y patrimonial actuales de la Generalitat de Catalunya, mediante la creación de un fondo específico complementario de las pólizas suscritas”.</w:t>
      </w:r>
    </w:p>
    <w:p w14:paraId="550FA649" w14:textId="77777777" w:rsidR="003754FE" w:rsidRDefault="003754FE" w:rsidP="003754FE">
      <w:pPr>
        <w:pStyle w:val="TextoNormal"/>
      </w:pPr>
    </w:p>
    <w:p w14:paraId="12D4CECF" w14:textId="77777777" w:rsidR="003754FE" w:rsidRDefault="003754FE" w:rsidP="003754FE">
      <w:pPr>
        <w:pStyle w:val="TextoNormal"/>
      </w:pPr>
      <w:r>
        <w:t xml:space="preserve">(ii) La sesión parlamentaria para decidir sobre la convalidación del Decreto-ley se celebró —ya se ha dicho— el 29 de julio de 2021 (“Diari de Sessions del Parlament de Catalunya”, XIV legislatura, núm. 17, pp. 46 a 65). El consejero de Economía y Hacienda invocó, en su presentación inicial al efecto, la necesidad de dar cobertura a los servidores públicos ante los riesgos excluidos de las pólizas de seguro suscritas por la Generalitat, pero sin mención expresa alguna a las circunstancias extraordinarias y urgentes (art. 64.1 EAC) que habrían justificado la exclusión de la presentación de un proyecto de ley y el dictado, más bien, de esta disposición gubernamental (pp. 46 y 47). En las intervenciones ulteriores de los portavoces de los grupos parlamentarios, con todo y cualquiera que fuese el sentido del voto que anunciaron, únicamente hubo referencias a las actuaciones previas 80-2019 seguidas ante el Tribunal de Cuentas que se citaron en el preámbulo del Decreto-ley, así </w:t>
      </w:r>
      <w:r>
        <w:lastRenderedPageBreak/>
        <w:t>como a la urgencia, en relación con lo practicado en ellas, que habría justificado su adopción (pp. 51 a 55 y 61 a 65).</w:t>
      </w:r>
    </w:p>
    <w:p w14:paraId="0CF4C680" w14:textId="77777777" w:rsidR="003754FE" w:rsidRDefault="003754FE" w:rsidP="003754FE">
      <w:pPr>
        <w:pStyle w:val="TextoNormal"/>
      </w:pPr>
    </w:p>
    <w:p w14:paraId="2B6974A6" w14:textId="77777777" w:rsidR="003754FE" w:rsidRDefault="003754FE" w:rsidP="003754FE">
      <w:pPr>
        <w:pStyle w:val="TextoNormal"/>
      </w:pPr>
      <w:r>
        <w:t>c) De lo expuesto precedentemente se colige que la carga primordial de dar razón de los motivos de extraordinaria y urgente necesidad que pudieran haber justificado el dictado de este decreto-ley no ha sido satisfecha.</w:t>
      </w:r>
    </w:p>
    <w:p w14:paraId="09C831AD" w14:textId="77777777" w:rsidR="003754FE" w:rsidRDefault="003754FE" w:rsidP="003754FE">
      <w:pPr>
        <w:pStyle w:val="TextoNormal"/>
      </w:pPr>
    </w:p>
    <w:p w14:paraId="452664F1" w14:textId="77777777" w:rsidR="003754FE" w:rsidRDefault="003754FE" w:rsidP="003754FE">
      <w:pPr>
        <w:pStyle w:val="TextoNormal"/>
      </w:pPr>
      <w:r>
        <w:t>Las consideraciones de orden general, antes transcritas, mediante las que se dio cuenta, en el apartado III de la exposición de motivos, de la necesidad o exigencia de introducir esta disciplina legislativa ilustran, tan solo, sobre la oportunidad y conveniencia o, incluso, sobre el postulado imperativo jurídico (en aras del “principio de indemnidad”) de contar con esta normativa, no acerca de la imposibilidad de proponerla al Parlamento mediante un proyecto de ley, de modo tal que la invocación general que allí se hace a su carácter “necesario y urgente” resulta ser, en este contexto, una simple afirmación apodíctica, referida como está, sin precisión alguna, a la “exclusión de determinados riesgos [de las pólizas de seguros] que, eventualmente, puede tener efectos retroactivos”, a “situaciones muy diversas en que se pueden encontrar los servidores públicos y que se han ido incrementando en los últimos años” o, en fin, a la “brevedad de los plazos en muchos de estos supuestos”.</w:t>
      </w:r>
    </w:p>
    <w:p w14:paraId="7D8B43E3" w14:textId="77777777" w:rsidR="003754FE" w:rsidRDefault="003754FE" w:rsidP="003754FE">
      <w:pPr>
        <w:pStyle w:val="TextoNormal"/>
      </w:pPr>
    </w:p>
    <w:p w14:paraId="3CB5AF29" w14:textId="77777777" w:rsidR="003754FE" w:rsidRDefault="003754FE" w:rsidP="003754FE">
      <w:pPr>
        <w:pStyle w:val="TextoNormal"/>
      </w:pPr>
      <w:r>
        <w:t>Es de reiterar que esta carga argumental no se satisface, en modo alguno, con la mera apelación a enunciados tan extremadamente genéricos y vagos como los transcritos, ni mediante fórmulas estereotipadas o rituales, y, en relación con ello, que la justificación de la extraordinaria y urgente necesidad, en este punto obligada, es algo distinto, en cualidad, de la motivación de la conveniencia política o, incluso, de la supuesta necesidad jurídica de dotarse de determinada normativa, menciones estas —reiteradas, con unas palabras u otras, en la intervención ante la Cámara del consejero de Economía y Hacienda— que nada dicen, por sí solas, acerca de si se ha apreciado y por qué la insoslayable exigencia de sustraer tal ordenación al procedimiento parlamentario, sede ordinaria, con carácter general, de la legislación. Entender lo contrario supondría que se podría excluir del procedimiento legislativo parlamentario toda decisión que comportara un beneficio para sus destinatarios, lo que no se corresponde con nuestro modelo constitucional (SSTC 125/2016, de 7 de julio, FJ 3; 61/2018, de 7 de junio, FJ 9, y 111/2021, de 13 de mayo, FJ 7).</w:t>
      </w:r>
    </w:p>
    <w:p w14:paraId="20912B7D" w14:textId="77777777" w:rsidR="003754FE" w:rsidRDefault="003754FE" w:rsidP="003754FE">
      <w:pPr>
        <w:pStyle w:val="TextoNormal"/>
      </w:pPr>
    </w:p>
    <w:p w14:paraId="1620E481" w14:textId="77777777" w:rsidR="003754FE" w:rsidRDefault="003754FE" w:rsidP="003754FE">
      <w:pPr>
        <w:pStyle w:val="TextoNormal"/>
      </w:pPr>
      <w:r>
        <w:t>Como este tribunal ya advirtió en la STC 125/2016, FJ 4, la opción por el empleo de una concreta técnica normativa, existiendo otras que no obstaculicen el cumplimiento de los objetivos de la medida, no permite sacrificar la posición institucional del Legislativo, sacrificio que el artículo 86.1 CE condiciona a la satisfacción de una necesidad extraordinaria y urgente, pero no al designio de “abreviar el proceso” o de “utilizar la vía más rápida” o “el mecanismo más directo”, que no es, ciertamente, el fundamento de la potestad legislativa extraordinaria del Gobierno.</w:t>
      </w:r>
    </w:p>
    <w:p w14:paraId="7C0DDC06" w14:textId="77777777" w:rsidR="003754FE" w:rsidRDefault="003754FE" w:rsidP="003754FE">
      <w:pPr>
        <w:pStyle w:val="TextoNormal"/>
      </w:pPr>
    </w:p>
    <w:p w14:paraId="63C263D3" w14:textId="77777777" w:rsidR="003754FE" w:rsidRDefault="003754FE" w:rsidP="003754FE">
      <w:pPr>
        <w:pStyle w:val="TextoNormal"/>
      </w:pPr>
      <w:r>
        <w:t>d) En consecuencia, no cabe sino concluir, conforme a lo dicho, que esta carga de justificación de la concurrencia de un supuesto de extraordinaria y urgente necesidad no se ha cumplido, sin que tal carencia pueda ser colmada, claro es, por las muy vagas alusiones contenidas al respecto en el apartado III de la exposición de motivos del decreto-ley impugnado.</w:t>
      </w:r>
    </w:p>
    <w:p w14:paraId="4D098A2E" w14:textId="77777777" w:rsidR="003754FE" w:rsidRDefault="003754FE" w:rsidP="003754FE">
      <w:pPr>
        <w:pStyle w:val="TextoNormal"/>
      </w:pPr>
    </w:p>
    <w:p w14:paraId="5B7A7F42" w14:textId="494F1085" w:rsidR="003754FE" w:rsidRDefault="003754FE" w:rsidP="003754FE">
      <w:pPr>
        <w:pStyle w:val="TextoNormal"/>
      </w:pPr>
      <w:r>
        <w:lastRenderedPageBreak/>
        <w:t>Apreciada así la falta de concurrencia del presupuesto habilitante para disponer por decreto-ley la cobertura, mediante el fondo, de las responsabilidades en que puedan incurrir el personal y los cargos públicos al servicio de la Generalitat, procede declarar la inconstitucionalidad del Decreto-ley 15/2021, de 6 de julio, por infracción del art. 86.1 CE, sin que resulte necesario examinar el resto de las vulneraciones denunciadas en el presente recurso de inconstitucionalidad.</w:t>
      </w:r>
    </w:p>
    <w:p w14:paraId="313E8BD3" w14:textId="77777777" w:rsidR="003754FE" w:rsidRDefault="003754FE" w:rsidP="003754FE">
      <w:pPr>
        <w:pStyle w:val="TextoNormal"/>
      </w:pPr>
    </w:p>
    <w:p w14:paraId="12048110" w14:textId="77777777" w:rsidR="003754FE" w:rsidRDefault="003754FE" w:rsidP="003754FE">
      <w:pPr>
        <w:pStyle w:val="TextoNormalCentrado"/>
        <w:keepNext/>
      </w:pPr>
      <w:r>
        <w:t>FALLO</w:t>
      </w:r>
    </w:p>
    <w:p w14:paraId="1FD16E73" w14:textId="4086E4CE" w:rsidR="003754FE" w:rsidRDefault="003754FE" w:rsidP="003754FE">
      <w:pPr>
        <w:pStyle w:val="TextoNormalCentrado"/>
        <w:keepNext/>
      </w:pPr>
    </w:p>
    <w:p w14:paraId="4B625CBE" w14:textId="0CE1FD34" w:rsidR="003754FE" w:rsidRDefault="003754FE" w:rsidP="003754FE">
      <w:pPr>
        <w:pStyle w:val="TextoNormal"/>
      </w:pPr>
      <w:r>
        <w:t>En atención a todo lo expuesto, el Tribunal Constitucional, por la autoridad que le confiere la Constitución de la Nación española, ha decidido decidido estimar el presente recurso y declarar la inconstitucionalidad y consiguiente nulidad del Decreto-ley 15/2021, de 6 de julio, de la Generalitat de Cataluña, de creación del fondo complementario de riesgos de la Generalitat de Cataluña.</w:t>
      </w:r>
    </w:p>
    <w:p w14:paraId="347F1290" w14:textId="77777777" w:rsidR="003754FE" w:rsidRDefault="003754FE" w:rsidP="003754FE">
      <w:pPr>
        <w:pStyle w:val="TextoNormal"/>
      </w:pPr>
    </w:p>
    <w:p w14:paraId="1F7434D8" w14:textId="77777777" w:rsidR="003754FE" w:rsidRDefault="003754FE" w:rsidP="003754FE">
      <w:pPr>
        <w:pStyle w:val="TextoNormal"/>
      </w:pPr>
      <w:r>
        <w:t>Publíquese esta sentencia en el “Boletín Oficial del Estado”.</w:t>
      </w:r>
    </w:p>
    <w:p w14:paraId="755503F6" w14:textId="77777777" w:rsidR="003754FE" w:rsidRDefault="003754FE" w:rsidP="003754FE">
      <w:pPr>
        <w:pStyle w:val="TextoNormal"/>
      </w:pPr>
      <w:r>
        <w:t>Dada en Madrid, a nueve de octubre de dos mil veinticuatro.</w:t>
      </w:r>
    </w:p>
    <w:p w14:paraId="07AA50D8" w14:textId="481C00BC" w:rsidR="003754FE" w:rsidRDefault="003754FE" w:rsidP="003754FE">
      <w:pPr>
        <w:pStyle w:val="ParrafoNormal"/>
      </w:pPr>
    </w:p>
    <w:p w14:paraId="61BB0BDF" w14:textId="77777777" w:rsidR="003754FE" w:rsidRDefault="003754FE" w:rsidP="003754FE">
      <w:pPr>
        <w:pStyle w:val="TextoNormalNegritaCentrado"/>
        <w:keepNext/>
      </w:pPr>
      <w:r>
        <w:t>Voto concurrente que formulan los magistrados don Ricardo Enríquez Sancho y don César Tolosa Tribiño a la sentencia del Pleno del Tribunal que resuelve el recurso de inconstitucionalidad núm. 5542-2021</w:t>
      </w:r>
    </w:p>
    <w:p w14:paraId="6C246A76" w14:textId="4C1521B5" w:rsidR="003754FE" w:rsidRDefault="003754FE" w:rsidP="003754FE">
      <w:pPr>
        <w:pStyle w:val="TextoNormalNegritaCentrado"/>
        <w:keepNext/>
      </w:pPr>
    </w:p>
    <w:p w14:paraId="799E54CB" w14:textId="77777777" w:rsidR="003754FE" w:rsidRDefault="003754FE" w:rsidP="003754FE">
      <w:pPr>
        <w:pStyle w:val="TextoNormal"/>
      </w:pPr>
      <w:r>
        <w:t>En el ejercicio de la facultad que nos confiere el artículo 90.2 de la Ley Orgánica del Tribunal Constitucional, y con respeto a la opinión de los magistrados y las magistradas que han conformado la mayoría del Pleno, formulamos el presente voto concurrente, porque si bien entendemos que el recurso de inconstitucionalidad núm. 5542-2021 debió ser estimado por vulnerar el Decreto-ley 15/2021, de 6 de julio, del Gobierno de la Generalitat de Cataluña el art. 86.1 CE, al no concurrir el requisito del presupuesto habilitante para dictar decretos-leyes, consideramos que la sentencia debía haber examinado el resto de vulneraciones constitucionales alegadas y, tras este examen, concluir que el Decreto-ley incurre también en inconstitucionalidad, por un lado, por vulnerar la competencia exclusiva del Estado en materia de legislación procesal (art. 149.1.6 CE), al introducir unas especialidades procesales que están desligadas de cualquier particularidad de Derecho sustantivo de la Comunidad Autónoma de Cataluña y, por otro lado, por infringir los arts. 117, 118 y 136 CE, garantías constitucionales relativas a la obligación de hacer ejecutar lo juzgado y de cumplir las sentencias, que son propias de un Estado de Derecho.</w:t>
      </w:r>
    </w:p>
    <w:p w14:paraId="76AEEBBB" w14:textId="77777777" w:rsidR="003754FE" w:rsidRDefault="003754FE" w:rsidP="003754FE">
      <w:pPr>
        <w:pStyle w:val="TextoNormal"/>
      </w:pPr>
    </w:p>
    <w:p w14:paraId="402B855F" w14:textId="77777777" w:rsidR="003754FE" w:rsidRDefault="003754FE" w:rsidP="003754FE">
      <w:pPr>
        <w:pStyle w:val="TextoNormal"/>
      </w:pPr>
      <w:r>
        <w:t xml:space="preserve">1. </w:t>
      </w:r>
      <w:r w:rsidRPr="003754FE">
        <w:rPr>
          <w:i/>
        </w:rPr>
        <w:t>El alcance del Decreto-ley y los avales del procés</w:t>
      </w:r>
    </w:p>
    <w:p w14:paraId="36558798" w14:textId="77777777" w:rsidR="003754FE" w:rsidRDefault="003754FE" w:rsidP="003754FE">
      <w:pPr>
        <w:pStyle w:val="TextoNormal"/>
      </w:pPr>
    </w:p>
    <w:p w14:paraId="7715AF0B" w14:textId="77777777" w:rsidR="003754FE" w:rsidRDefault="003754FE" w:rsidP="003754FE">
      <w:pPr>
        <w:pStyle w:val="TextoNormal"/>
      </w:pPr>
      <w:r>
        <w:t xml:space="preserve">Lo primero que debe comenzar por aclararse es que el objeto del Decreto-ley ahora declarado inconstitucional fue la creación de un fondo complementario de riesgos de la Generalitat de Catalunya, con una dotación inicial de diez millones de euros, cuya finalidad, como se explicita en el articulado de la norma, era la de prestar una garantía en forma aval (o contraaval) por la administración catalana cuando en un proceso penal o contable se considerase, en fase de instrucción, la existencia de indicios de criminalidad o, en el ámbito contable, indicios de responsabilidad contable, respecto a las actuaciones realizadas por funcionarios públicos, altos cargos y miembros del Gobierno de la Generalitat “en el ejercicio de </w:t>
      </w:r>
      <w:r>
        <w:lastRenderedPageBreak/>
        <w:t>su cargo”, y se exigiese una garantía de los perjuicios económicos que dicha actuación hubiera podido ocasionar a la propia administración que avala.</w:t>
      </w:r>
    </w:p>
    <w:p w14:paraId="2B870D58" w14:textId="77777777" w:rsidR="003754FE" w:rsidRDefault="003754FE" w:rsidP="003754FE">
      <w:pPr>
        <w:pStyle w:val="TextoNormal"/>
      </w:pPr>
    </w:p>
    <w:p w14:paraId="0C7252E6" w14:textId="77777777" w:rsidR="003754FE" w:rsidRDefault="003754FE" w:rsidP="003754FE">
      <w:pPr>
        <w:pStyle w:val="TextoNormal"/>
      </w:pPr>
      <w:r>
        <w:t>Con arreglo a este esquema lo que sucede en la práctica es que la Generalitat se garantiza a sí misma el resarcimiento de dichos perjuicios económicos, y en el supuesto de que el proceso penal o contable concluya declarando la responsabilidad de dichos funcionarios públicos, altos cargos y miembros del Gobierno de la Generalitat, la administración debe autoejecutarse el aval para indemnizarse a sí misma.</w:t>
      </w:r>
    </w:p>
    <w:p w14:paraId="58182BF8" w14:textId="77777777" w:rsidR="003754FE" w:rsidRDefault="003754FE" w:rsidP="003754FE">
      <w:pPr>
        <w:pStyle w:val="TextoNormal"/>
      </w:pPr>
    </w:p>
    <w:p w14:paraId="484B7DD6" w14:textId="77777777" w:rsidR="003754FE" w:rsidRDefault="003754FE" w:rsidP="003754FE">
      <w:pPr>
        <w:pStyle w:val="TextoNormal"/>
      </w:pPr>
      <w:r>
        <w:t>No es necesario hacer hipótesis alguna sobre qué personas eran las destinatarias de esta ficción jurídica en la que el perjudicado, la Generalitat, se avala a sí misma el resarcimiento de la responsabilidad civil, patrimonial y contable que en su caso corresponda satisfacer a dichos empleados públicos, pues el propio preámbulo de la exposición de motivos del Decreto-ley se encarga de explicar, y también lo ha ilustrado así el abogado de la Generalitat en este procedimiento constitucional, que la norma se aprobó con la finalidad de aplicarse con carácter inmediato para afianzar el importe que resultaba de la liquidación provisional de 30 de junio de 2021 emitida por el Tribunal de Cuentas en el ejercicio de su jurisdicción contable (actuaciones previas 80-2019), por importe de 5 422 411,10 € e impuesta a funcionarios, altos cargos y miembros del Gobierno de la Generalitat de Cataluña a propósito de la acción exterior de promoción del referéndum ilegal del 1 de octubre, riesgo que no quedaba cubierto por las pólizas de seguro de responsabilidad civil y patrimonial suscritas por la Generalitat en ese momento.</w:t>
      </w:r>
    </w:p>
    <w:p w14:paraId="67C4DFB6" w14:textId="77777777" w:rsidR="003754FE" w:rsidRDefault="003754FE" w:rsidP="003754FE">
      <w:pPr>
        <w:pStyle w:val="TextoNormal"/>
      </w:pPr>
    </w:p>
    <w:p w14:paraId="2415BA54" w14:textId="77777777" w:rsidR="003754FE" w:rsidRDefault="003754FE" w:rsidP="003754FE">
      <w:pPr>
        <w:pStyle w:val="TextoNormal"/>
      </w:pPr>
      <w:r>
        <w:t xml:space="preserve">2. </w:t>
      </w:r>
      <w:r w:rsidRPr="003754FE">
        <w:rPr>
          <w:i/>
        </w:rPr>
        <w:t>El Decreto-ley infringe la competencia exclusiva del Estado en materia de legislación procesal (art. 149.1.6 CE)</w:t>
      </w:r>
    </w:p>
    <w:p w14:paraId="5C5111A6" w14:textId="77777777" w:rsidR="003754FE" w:rsidRDefault="003754FE" w:rsidP="003754FE">
      <w:pPr>
        <w:pStyle w:val="TextoNormal"/>
      </w:pPr>
    </w:p>
    <w:p w14:paraId="0EAA6684" w14:textId="77777777" w:rsidR="003754FE" w:rsidRDefault="003754FE" w:rsidP="003754FE">
      <w:pPr>
        <w:pStyle w:val="TextoNormal"/>
      </w:pPr>
      <w:r>
        <w:t>La sentencia debió también declarar la inconstitucionalidad del Decreto-ley por vulnerar el artículo 149.1.6 CE, que otorga al Estado competencia exclusiva, entre otras materias allí relacionadas, sobre la “legislación procesal, sin perjuicio de las necesarias especialidades que en este orden se deriven de las particularidades del derecho sustantivo de las Comunidades Autónomas”.</w:t>
      </w:r>
    </w:p>
    <w:p w14:paraId="334412A2" w14:textId="77777777" w:rsidR="003754FE" w:rsidRDefault="003754FE" w:rsidP="003754FE">
      <w:pPr>
        <w:pStyle w:val="TextoNormal"/>
      </w:pPr>
    </w:p>
    <w:p w14:paraId="589F029A" w14:textId="77777777" w:rsidR="003754FE" w:rsidRDefault="003754FE" w:rsidP="003754FE">
      <w:pPr>
        <w:pStyle w:val="TextoNormal"/>
      </w:pPr>
      <w:r>
        <w:t>a) Debe recordarse que, al margen y con independencia de su función fiscalizadora (art. 136.1 CE), el Tribunal de Cuentas tiene atribuida por la Constitución una “propia jurisdicción” (párrafo segundo del número 2 del mismo precepto) para el “enjuiciamiento de la responsabilidad contable en que incurran quienes tengan a su cargo el manejo de caudales o efectos públicos” [art. 2 b) de la Ley Orgánica del Tribunal de Cuentas], jurisdicción que se ejerce a través de unos “procedimientos judiciales” (rúbrica del capítulo III del título V de la misma Ley Orgánica) que, a partir de determinadas “actuaciones previas” (arts. 45 a 48 LFTCu), se regulan en detalle por esta última Ley (arts. 49 a 87). Y, desde la STC 187/1988, de 17 de octubre, este Tribunal Constitucional no ha dejado de confirmar, en consecuencia, la naturaleza jurisdiccional del enjuiciamiento contable mediante el que el Tribunal de Cuentas aprecia la existencia o no de esta variante de la responsabilidad civil y ejecuta, llegado el caso, “coactivamente su decisión”, todo ello “a través de un procedimiento judicial” (FJ 2; en sentido análogo, ATC 312/1996, de 29 de octubre, FJ 2, y SSTC 215/2000, de 18 de septiembre, FJ 7, y 126/2011, de 18 de julio, FJ 10).</w:t>
      </w:r>
    </w:p>
    <w:p w14:paraId="474212F4" w14:textId="77777777" w:rsidR="003754FE" w:rsidRDefault="003754FE" w:rsidP="003754FE">
      <w:pPr>
        <w:pStyle w:val="TextoNormal"/>
      </w:pPr>
    </w:p>
    <w:p w14:paraId="17E1500F" w14:textId="77777777" w:rsidR="003754FE" w:rsidRDefault="003754FE" w:rsidP="003754FE">
      <w:pPr>
        <w:pStyle w:val="TextoNormal"/>
      </w:pPr>
      <w:r>
        <w:lastRenderedPageBreak/>
        <w:t>Las reglas que incorpora el Decreto-ley 15/2021 tienen carácter “procesal” a los efectos competenciales en la medida en que afectan inequívocamente, (a) en primer lugar, a las medidas cautelares que hubieran podido dictarse para asegurar la efectividad de la eventual sentencia firme de condena en un procedimiento contable contencioso (de juicio de cuentas o de reintegro por alcance); (b) a la eficacia y firmeza mismas, además, de tal hipotética resolución de condena y a las potestades de ejecución, por último, que ostenta el Tribunal de Cuentas para, llegado el caso, hacer ejecutar lo juzgado, consecuencias todas que solo se verificarían —es de recordar— cuando la administración de la Generalitat no hubiera ejercido, como posible perjudicada (art. 55.1 LFTCu), pretensión de responsabilidad contable ante el Tribunal Cuentas, ya que el Decreto-ley condiciona la solicitud de cobertura a que la propia Generalitat “no ha[ya] iniciado ninguna acción contra la persona afectada y, en particular, […] ningún procedimiento judicial de reclamación de responsabilidad civil” [art. 4.1 c)]. Estos efectos están, unos y otros, estrechamente relacionados, aunque es pertinente examinarlos por separado.</w:t>
      </w:r>
    </w:p>
    <w:p w14:paraId="702FF7F1" w14:textId="77777777" w:rsidR="003754FE" w:rsidRDefault="003754FE" w:rsidP="003754FE">
      <w:pPr>
        <w:pStyle w:val="TextoNormal"/>
      </w:pPr>
    </w:p>
    <w:p w14:paraId="128CC0B9" w14:textId="77777777" w:rsidR="003754FE" w:rsidRDefault="003754FE" w:rsidP="003754FE">
      <w:pPr>
        <w:pStyle w:val="TextoNormal"/>
      </w:pPr>
      <w:r>
        <w:t>(i) Respecto a las citadas medidas cautelares, cabe advertir que la “emisión de la garantía” (art. 4.5) por la entidad gestora del fondo (art. 1.3) en términos de contragarantía (“contraaval”) en favor de la entidad financiera que avalare (art. 4.7) o, de manera directa, “mediante cualquier medio admitido en derecho” (apartado segundo de la disposición transitoria) se realiza aquí con cargo a fondos públicos (arts. 1.2 y 6.1) de la propia administración que pudo resultar perjudicada por quien, al cabo, apareciera definitivamente incurso en responsabilidad contable, administración en tal caso acreedora, con título en la sentencia de condena, a un resarcimiento para cuyo aseguramiento, como queda dicho, se dispusieron, por mandato legal o por resolución jurisdiccional, las correspondientes medidas cautelares.</w:t>
      </w:r>
    </w:p>
    <w:p w14:paraId="31B117CD" w14:textId="77777777" w:rsidR="003754FE" w:rsidRDefault="003754FE" w:rsidP="003754FE">
      <w:pPr>
        <w:pStyle w:val="TextoNormal"/>
      </w:pPr>
    </w:p>
    <w:p w14:paraId="1E518357" w14:textId="77777777" w:rsidR="003754FE" w:rsidRDefault="003754FE" w:rsidP="003754FE">
      <w:pPr>
        <w:pStyle w:val="TextoNormal"/>
      </w:pPr>
      <w:r>
        <w:t>Lo relevante ahora —esto constatado— no es tanto que con ello haya dado lugar el Decreto-ley a una confusión (en el sentido de los artículos 1192, párrafo primero, y 1193 del Código civil) entre las posiciones respectivas de acreedor y fiador, confusión a la que también alude la demanda y que pudiera tal vez abocar, desde esta perspectiva jurídico-privada, a la extinción, pura y simplemente, de la garantía en su momento prestada.</w:t>
      </w:r>
    </w:p>
    <w:p w14:paraId="006A8192" w14:textId="77777777" w:rsidR="003754FE" w:rsidRDefault="003754FE" w:rsidP="003754FE">
      <w:pPr>
        <w:pStyle w:val="TextoNormal"/>
      </w:pPr>
    </w:p>
    <w:p w14:paraId="34A7FA71" w14:textId="77777777" w:rsidR="003754FE" w:rsidRDefault="003754FE" w:rsidP="003754FE">
      <w:pPr>
        <w:pStyle w:val="TextoNormal"/>
      </w:pPr>
      <w:r>
        <w:t>Lo que estrictamente importa en este proceso constitucional es más bien que, así las cosas, la garantía concedida por el fondo ante una “cantidad reclamada” (art. 4.5) por mandato legal o por decisión jurisdiccional en el procedimiento ante el Tribunal de Cuentas queda, como es obvio, privada de toda efectividad resarcitoria, en vía de ejecución, una vez recaído “pronunciamiento judicial firme” a favor de la administración que aparece como perjudicada y, a la vez, como garante para el resarcimiento del perjuicio sufrido, de tal modo que los “importes garantizados” (por la misma cuantía que se llegara a fijar en una eventual sentencia de condena o por la que, en más o en menos, allí se determinara) pierden, con plena evidencia, la condición que, en virtud de la exigencia cautelar impuesta, les sería consustancial y se transmutan en un mero “crédito de derecho público” (aunque fundamentado, inequívocamente, en la sentencia firme) a satisfacer por el condenado mediante una llamada “obligación de retorno”, todo ello con arreglo a los números 1 y 2 del artículo 5. Quedan de este modo alterados, como es patente, el sentido y finalidad que son propios a la medida cautelar dictada en el procedimiento de responsabilidad contable.</w:t>
      </w:r>
    </w:p>
    <w:p w14:paraId="3E1DFCEE" w14:textId="77777777" w:rsidR="003754FE" w:rsidRDefault="003754FE" w:rsidP="003754FE">
      <w:pPr>
        <w:pStyle w:val="TextoNormal"/>
      </w:pPr>
    </w:p>
    <w:p w14:paraId="408DF6AC" w14:textId="77777777" w:rsidR="003754FE" w:rsidRDefault="003754FE" w:rsidP="003754FE">
      <w:pPr>
        <w:pStyle w:val="TextoNormal"/>
      </w:pPr>
      <w:r>
        <w:t xml:space="preserve">Lo dicho basta para apreciar que las reglas consideradas tienen repercusión o incidencia directas [SSTC 44/2019, de 27 de marzo, FJ 3, y 57/2022, de 7 de abril, FJ 5 a)] en la </w:t>
      </w:r>
      <w:r>
        <w:lastRenderedPageBreak/>
        <w:t>efectividad de las medidas cautelares adoptadas en los procedimientos para la exigencia de responsabilidades contables y, en definitiva, en la ejecutividad de la sentencia que a su término se dicte.</w:t>
      </w:r>
    </w:p>
    <w:p w14:paraId="39F8BEB7" w14:textId="77777777" w:rsidR="003754FE" w:rsidRDefault="003754FE" w:rsidP="003754FE">
      <w:pPr>
        <w:pStyle w:val="TextoNormal"/>
      </w:pPr>
    </w:p>
    <w:p w14:paraId="25317317" w14:textId="77777777" w:rsidR="003754FE" w:rsidRDefault="003754FE" w:rsidP="003754FE">
      <w:pPr>
        <w:pStyle w:val="TextoNormal"/>
      </w:pPr>
      <w:r>
        <w:t>(ii) Resulta también evidente que el artículo 5 del Decreto-ley incide directamente en el régimen de ejecución de las sentencias firmes de condena dictadas por el Tribunal de Cuenta, que declaren la “existencia de responsabilidad contable” en que hubieran incurrido las “personas beneficiarias” de la cobertura con cargo al fondo, al disponer en su apartado primero (art. 5.1) que tras el “pronunciamiento judicial firme” que declare la “existencia de responsabilidad contable”, y una vez que “si procede, se hayan agotado todas las vías de impugnación judiciales y jurisdiccionales, estatales e internacionales […], se generará un crédito de derecho público de devolución por parte de los beneficiarios de los importes garantizados, así como de los intereses y de los gastos que se hayan generado en razón de las garantías efectuadas con cargo en</w:t>
      </w:r>
      <w:r w:rsidRPr="003754FE">
        <w:rPr>
          <w:i/>
        </w:rPr>
        <w:t xml:space="preserve"> [s</w:t>
      </w:r>
      <w:r>
        <w:t>ic] el fondo”.</w:t>
      </w:r>
    </w:p>
    <w:p w14:paraId="59E3464C" w14:textId="77777777" w:rsidR="003754FE" w:rsidRDefault="003754FE" w:rsidP="003754FE">
      <w:pPr>
        <w:pStyle w:val="TextoNormal"/>
      </w:pPr>
    </w:p>
    <w:p w14:paraId="3C46BABE" w14:textId="77777777" w:rsidR="003754FE" w:rsidRDefault="003754FE" w:rsidP="003754FE">
      <w:pPr>
        <w:pStyle w:val="TextoNormal"/>
      </w:pPr>
      <w:r>
        <w:t>La hipótesis que contempla este precepto, en cuanto ahora importa, es la de un “pronunciamiento judicial firme” del Tribunal de Cuentas del que surge, con los demás condicionamientos allí aludidos, un crédito de “devolución” en favor de la Generalitat que ha de ser satisfecho por el beneficiario de una garantía. Es decir, la llamada “obligación de retorno” (art. 5.2) de los “importes garantizados” (art. 5.1) no es, por lo tanto, sino el deber que pesa sobre el condenado en orden a cumplir la sentencia de condena y proceder al “pago de la suma en que se cifre la responsabilidad contable”, con sus correspondientes intereses [arts. 71.4, apartados d) y e), y 74.3 LFTCu].</w:t>
      </w:r>
    </w:p>
    <w:p w14:paraId="6D19D9BD" w14:textId="77777777" w:rsidR="003754FE" w:rsidRDefault="003754FE" w:rsidP="003754FE">
      <w:pPr>
        <w:pStyle w:val="TextoNormal"/>
      </w:pPr>
    </w:p>
    <w:p w14:paraId="0E691270" w14:textId="77777777" w:rsidR="003754FE" w:rsidRDefault="003754FE" w:rsidP="003754FE">
      <w:pPr>
        <w:pStyle w:val="TextoNormal"/>
      </w:pPr>
      <w:r>
        <w:t>Pues bien, así las cosas, las sentencias firmes (arts. 245.2 LOPJ y 207.2 LEC) del Tribunal de Cuentas reclaman ejecución, de oficio o a instancia de parte (art. 85.1 LFTCu), ejecución pospuesta aquí por el Decreto-ley, sin embargo, hasta que se “hayan agotado”, conforme al propio artículo 5.1, unas innominadas “vías de impugnación judiciales y jurisdiccionales, estatales e internacionales”, vías que, a decir de los defensores de la disposición de urgencia, serían la del recurso de amparo constitucional y, en su caso, la que pudiera quedar abierta a raíz de una eventual demanda ante el Tribunal Europeo de Derechos Humanos. El Tribunal Constitucional, obvio es, no ha de aventurar conjeturas para descifrar el significado que pudiera estar latente en este último enunciado, pues en orden a apreciar su naturaleza “procesal” (art. 149.1.6 CE) basta con constatar que mediante él se condiciona y posterga la ejecución de sentencias firmes, ejecución que sin embargo exige, con fundamento último en el artículo 118 CE, el ya citado artículo 85.1 LFTCu.</w:t>
      </w:r>
    </w:p>
    <w:p w14:paraId="282AD1B7" w14:textId="77777777" w:rsidR="003754FE" w:rsidRDefault="003754FE" w:rsidP="003754FE">
      <w:pPr>
        <w:pStyle w:val="TextoNormal"/>
      </w:pPr>
    </w:p>
    <w:p w14:paraId="7776C8D8" w14:textId="77777777" w:rsidR="003754FE" w:rsidRDefault="003754FE" w:rsidP="003754FE">
      <w:pPr>
        <w:pStyle w:val="TextoNormal"/>
      </w:pPr>
      <w:r>
        <w:t>El Decreto-ley, en definitiva, ha venido a alterar en este punto el régimen legal de una “categoría jurídica relevante en el ámbito procesal” [SSTC 2/2018, de 11 de enero, FJ 4 C); 80/2018, de 5 de julio, FJ 5 a); 5/2019, de 17 de enero, FJ 3, y 15/2021, de 28 de enero, FJ 4 A) a)], como es la de la firmeza de resoluciones jurisdiccionales, con sus consiguientes efectos, y es suficiente con advertirlo así para concluir en la naturaleza procesal, también por este motivo, de las disposiciones consideradas.</w:t>
      </w:r>
    </w:p>
    <w:p w14:paraId="6DBA180F" w14:textId="77777777" w:rsidR="003754FE" w:rsidRDefault="003754FE" w:rsidP="003754FE">
      <w:pPr>
        <w:pStyle w:val="TextoNormal"/>
      </w:pPr>
    </w:p>
    <w:p w14:paraId="5C44FCBE" w14:textId="77777777" w:rsidR="003754FE" w:rsidRDefault="003754FE" w:rsidP="003754FE">
      <w:pPr>
        <w:pStyle w:val="TextoNormal"/>
      </w:pPr>
      <w:r>
        <w:t xml:space="preserve">b) Determinado su carácter procesal, cabe constatar también el desbordamiento de las competencias propias (art. 130 EAC), principalmente porque las mentadas alteraciones de las reglas procesales comunes aparezcan, en el Decreto-ley, por entero desligadas —en contra de lo que exige el artículo 149.1.6 CE— de cualesquiera particularidades del Derecho </w:t>
      </w:r>
      <w:r>
        <w:lastRenderedPageBreak/>
        <w:t>sustantivo de la comunidad autónoma, esto es, sin derivación alguna de normas o preceptos materiales en los que pudieran acaso justificarse, pues claro está que nada aporta a estos efectos un postulado (por el preámbulo y las defensas) “principio de indemnidad”, que mal podría presentarse, por la misma generalidad de su enunciado, como particularidad del Derecho sustantivo autonómico y al que se apela en términos que son, en rigor, autorreferentes. Ello con independencia de que tal “principio”, según hubo ya ocasión de observar, resultaría en todo caso ajeno a cuanto tenga que ver con actuaciones dirigidas a enjuiciar posibles ilícitos de los servidores públicos.</w:t>
      </w:r>
    </w:p>
    <w:p w14:paraId="7F7B96FD" w14:textId="77777777" w:rsidR="003754FE" w:rsidRDefault="003754FE" w:rsidP="003754FE">
      <w:pPr>
        <w:pStyle w:val="TextoNormal"/>
      </w:pPr>
    </w:p>
    <w:p w14:paraId="5D6FFFC2" w14:textId="77777777" w:rsidR="003754FE" w:rsidRDefault="003754FE" w:rsidP="003754FE">
      <w:pPr>
        <w:pStyle w:val="TextoNormal"/>
      </w:pPr>
      <w:r>
        <w:t>Pero hay, incluso al margen de lo dicho, una primera razón jurídico-constitucional, y de mayor calado, para apreciar el vicio de incompetencia en que se ha incurrido al dictar, en los términos examinados, este Decreto-ley. Las competencias autonómicas tienen siempre su límite —al margen matices ahora irrelevantes— en un principio de territorialidad que ha sido enunciado con reiteración en la jurisprudencia constitucional [entre otras muchas, STC 36/2022, de 10 de marzo, FJ 4 A) a)] y al que no quedan sustraídas, desde luego, las muy acotadas competencias que, en orden a la legislación procesal, los estatutos hayan podido atribuir a las respectivas comunidades autónomas al amparo de la salvedad contenida en el artículo 149.1.6 CE. Este principio de territorialidad supone, para el sector del ordenamiento que aquí importa, que las “necesarias especialidades” procesales que pudieran llegar a introducir los legisladores autonómicos solo podrían incidir, estrictamente, en procedimientos de los que conocieran órganos jurisdiccionales cuya competencia territorial no superara la del propio territorio de la comunidad autónoma, sin afectación alguna, por tanto, a los procesos de los que conocen órganos cuya jurisdicción se extiende a todo el territorio nacional, interdicción esta de carácter absoluto, pues ninguna invocada particularidad del Derecho sustantivo autonómico —inexistente aquí, como se ha dicho— podría justificar la alteración de tales procedimientos, o la excepción singular a la aplicación de algunas de sus reglas, supuestos que abocarían, como bien se comprende, a la quiebra del desarrollo uniforme de unos u otros procesos en el ámbito nacional y, en definitiva, a la misma integridad de la potestad jurisdiccional de los órganos que extienden su competencia a todo el territorio español.</w:t>
      </w:r>
    </w:p>
    <w:p w14:paraId="0398B98B" w14:textId="77777777" w:rsidR="003754FE" w:rsidRDefault="003754FE" w:rsidP="003754FE">
      <w:pPr>
        <w:pStyle w:val="TextoNormal"/>
      </w:pPr>
    </w:p>
    <w:p w14:paraId="66B3354F" w14:textId="77777777" w:rsidR="003754FE" w:rsidRDefault="003754FE" w:rsidP="003754FE">
      <w:pPr>
        <w:pStyle w:val="TextoNormal"/>
      </w:pPr>
      <w:r>
        <w:t>En ello se ha incurrido, sin embargo, mediante el dictado de un decreto-ley que afecta de modo directo, según se ha visto, a la efectividad de medidas cautelares y a la eficacia y ejecución de sentencias en los procedimientos de exigencia de responsabilidades contables, procesos para cuyo conocimiento y resolución extiende su jurisdicción el Tribunal de Cuentas a todo el territorio nacional con la condición, a estos efectos, de único en su orden (art. 1.2 de la Ley Orgánica del Tribunal de Cuentas y SSTC 187/1988, FJ 2, y 31/2010, de 28 de junio, FJ 34).</w:t>
      </w:r>
    </w:p>
    <w:p w14:paraId="1D701A5F" w14:textId="77777777" w:rsidR="003754FE" w:rsidRDefault="003754FE" w:rsidP="003754FE">
      <w:pPr>
        <w:pStyle w:val="TextoNormal"/>
      </w:pPr>
    </w:p>
    <w:p w14:paraId="14089705" w14:textId="77777777" w:rsidR="003754FE" w:rsidRDefault="003754FE" w:rsidP="003754FE">
      <w:pPr>
        <w:pStyle w:val="TextoNormal"/>
      </w:pPr>
      <w:r>
        <w:t>Esta inconstitucionalidad que tenía que haber declarado la sentencia, afecta a todos los preceptos del Decreto-ley en su conjunto, pues o bien de manera directa, o bien por conexión (art. 39.1 LOTC), todos ellos, y no solo el artículo 5, quedan afectados por el vicio de incompetencia constatado.</w:t>
      </w:r>
    </w:p>
    <w:p w14:paraId="2957A425" w14:textId="77777777" w:rsidR="003754FE" w:rsidRDefault="003754FE" w:rsidP="003754FE">
      <w:pPr>
        <w:pStyle w:val="TextoNormal"/>
      </w:pPr>
    </w:p>
    <w:p w14:paraId="2DE23C48" w14:textId="77777777" w:rsidR="003754FE" w:rsidRDefault="003754FE" w:rsidP="003754FE">
      <w:pPr>
        <w:pStyle w:val="TextoNormal"/>
      </w:pPr>
      <w:r>
        <w:t xml:space="preserve">3. </w:t>
      </w:r>
      <w:r w:rsidRPr="003754FE">
        <w:rPr>
          <w:i/>
        </w:rPr>
        <w:t>La regulación contenida en el Decreto-ley vulnera las exigencias consustanciales a un Estado de Derecho (artículos 117, 118 y 136 CE)</w:t>
      </w:r>
    </w:p>
    <w:p w14:paraId="466115E0" w14:textId="77777777" w:rsidR="003754FE" w:rsidRDefault="003754FE" w:rsidP="003754FE">
      <w:pPr>
        <w:pStyle w:val="TextoNormal"/>
      </w:pPr>
    </w:p>
    <w:p w14:paraId="5D9EE239" w14:textId="77777777" w:rsidR="003754FE" w:rsidRDefault="003754FE" w:rsidP="003754FE">
      <w:pPr>
        <w:pStyle w:val="TextoNormal"/>
      </w:pPr>
      <w:r>
        <w:lastRenderedPageBreak/>
        <w:t>La inconstitucionalidad por incompetencia que acabamos de examinar no hubiera tampoco eximido al Tribunal de entrar a resolver la denunciada infracción por el Decreto-ley de lo dispuesto en los artículos 117, 118 y 136 CE, preceptos sustantivos que exigen el respeto de la exclusividad de la función jurisdiccional para juzgar y hacer ejecutar lo juzgado, manifestación del principio de división de poderes y de la vertiente ejecutiva de la tutela judicial efectiva del artículo 24.1 CE.</w:t>
      </w:r>
    </w:p>
    <w:p w14:paraId="0DBCD6FD" w14:textId="77777777" w:rsidR="003754FE" w:rsidRDefault="003754FE" w:rsidP="003754FE">
      <w:pPr>
        <w:pStyle w:val="TextoNormal"/>
      </w:pPr>
    </w:p>
    <w:p w14:paraId="545FA3A9" w14:textId="77777777" w:rsidR="003754FE" w:rsidRDefault="003754FE" w:rsidP="003754FE">
      <w:pPr>
        <w:pStyle w:val="TextoNormal"/>
      </w:pPr>
      <w:r>
        <w:t>El examen de la infracción de estos preceptos sustantivos era necesaria en la medida en que, en los procesos constitucionales en que se llegue a constatar un vicio de incompetencia que aquejare a disposiciones autonómicas no siempre cabrá, en efecto, presumir o declarar la correlativa competencia estatal para haberlas adoptado, conclusiones improcedentes, claro está, si aquel vicio resultase inseparable de otros de carácter material determinantes de una “inconstitucionalidad adicional” [STC 65/2020, de 18 de junio, FJ 16 B)] que afectaría también, en tal caso, a los preceptos adoptados al margen o con abuso de las competencias propias. No faltan en la jurisprudencia constitucional, en consecuencia, advertencias sobre cómo la regla autonómica incursa en incompetencia “tampoco podría haber sido nunca adoptada por el Estado” [STC 52/2017, de 10 de mayo, FJ 5, y, antes aún, en similares términos, SSTC 31/2015, de 25 de febrero, FJ 6 a), y 138/2015, de 11 de junio, FFJJ 3 a) y b); otro tanto, implícita pero inequívocamente, en la STC 114/2017, de 17 de octubre, FJ 3].</w:t>
      </w:r>
    </w:p>
    <w:p w14:paraId="1B663415" w14:textId="77777777" w:rsidR="003754FE" w:rsidRDefault="003754FE" w:rsidP="003754FE">
      <w:pPr>
        <w:pStyle w:val="TextoNormal"/>
      </w:pPr>
    </w:p>
    <w:p w14:paraId="317ACE7C" w14:textId="77777777" w:rsidR="003754FE" w:rsidRDefault="003754FE" w:rsidP="003754FE">
      <w:pPr>
        <w:pStyle w:val="TextoNormal"/>
      </w:pPr>
      <w:r>
        <w:t>Un examen del Decreto-ley 15/2021 permite también concluir que el artículo 136.2 CE (integrado, a estos efectos, por lo prevenido en los artículos 117.3 y 118 de la misma norma fundamental) ha sido conculcado, como también lo ha sido, en relación con esta infracción, el artículo 24.1 CE.</w:t>
      </w:r>
    </w:p>
    <w:p w14:paraId="53E5BBDA" w14:textId="77777777" w:rsidR="003754FE" w:rsidRDefault="003754FE" w:rsidP="003754FE">
      <w:pPr>
        <w:pStyle w:val="TextoNormal"/>
      </w:pPr>
    </w:p>
    <w:p w14:paraId="3F73F490" w14:textId="77777777" w:rsidR="003754FE" w:rsidRDefault="003754FE" w:rsidP="003754FE">
      <w:pPr>
        <w:pStyle w:val="TextoNormal"/>
      </w:pPr>
      <w:r>
        <w:t>a) Se ha de reiterar, ante todo, que “con la expresa mención a la ‘jurisdicción’ del Tribunal de Cuentas en el art. 136.2 CE[,] el constituyente ha querido que dicha institución, cuando actúe en el ejercicio de su tradicional función jurisdiccional de enjuiciamiento contable […], quede sometida a las garantías que la Constitución anuda a todo proceso. Esto es, las derivadas del art. 24 CE[,] así como de otros preceptos constitucionales, entre ellas las de independencia e inamovilidad de quienes ejercen la función jurisdiccional, como expresamente establece el art. 136.3” (STC 215/2000, FJ 6). Se sigue de ello, en particular, tanto que la potestad jurisdiccional que la Constitución ha conferido al Tribunal de Cuentas lo es no solo para juzgar, sino también para hacer ejecutar lo juzgado (art. 117.3 CE), como que resulta obligado cumplir sus sentencias y demás resoluciones jurisdiccionales firmes y prestarle la colaboración requerida en el curso del proceso y en la ejecución de lo resuelto (art. 118 CE), prescripciones, unas y otras, inherentes a la función de administrar justicia (STC 185/2016, de 3 de noviembre, FJ 9, por lo que hace, en general, a la potestad de ejecutar las propias resoluciones), así como, en definitiva, a la propia idea de Estado de Derecho (STC 67/1984, de 7 de junio, FJ 2), y que se han de entender integradas, por tanto, en la atribución constitucional a esta institución de una jurisdicción propia (art. 136.2), jurisdicción que no merecería tal nombre, claro está, en defecto de esas garantías y principios ordenadores.</w:t>
      </w:r>
    </w:p>
    <w:p w14:paraId="0CDAAB0D" w14:textId="77777777" w:rsidR="003754FE" w:rsidRDefault="003754FE" w:rsidP="003754FE">
      <w:pPr>
        <w:pStyle w:val="TextoNormal"/>
      </w:pPr>
    </w:p>
    <w:p w14:paraId="37285C27" w14:textId="77777777" w:rsidR="003754FE" w:rsidRDefault="003754FE" w:rsidP="003754FE">
      <w:pPr>
        <w:pStyle w:val="TextoNormal"/>
      </w:pPr>
      <w:r>
        <w:t>b) Estos principios y garantías constitucionales al ejercicio de la jurisdicción contable han sido, sin embargo, conculcados por el Decreto-ley 15/2021.</w:t>
      </w:r>
    </w:p>
    <w:p w14:paraId="725F2CBF" w14:textId="77777777" w:rsidR="003754FE" w:rsidRDefault="003754FE" w:rsidP="003754FE">
      <w:pPr>
        <w:pStyle w:val="TextoNormal"/>
      </w:pPr>
    </w:p>
    <w:p w14:paraId="6FEF58EE" w14:textId="77777777" w:rsidR="003754FE" w:rsidRDefault="003754FE" w:rsidP="003754FE">
      <w:pPr>
        <w:pStyle w:val="TextoNormal"/>
      </w:pPr>
      <w:r>
        <w:lastRenderedPageBreak/>
        <w:t>(i) Esto es lo que ha ocurrido, en primer lugar, por lo que se refiere a las garantías que tienden a dar seguro soporte, por ministerio de la ley, a esa ejecución jurisdiccional, pues se ha privado de toda efectividad a las medidas cautelares dictadas en el curso del procedimiento contable (no importa si en la fase de actuaciones previas o ya en la de enjuiciamiento) para preservar, mediante fianzas o avales, la ulterior ejecución de la posible sentencia firme de condena y la consiguiente recuperación por la administración perjudicada de la suma en que se cifrara la responsabilidad contable, recuperación impracticable con cargo a unas garantías cuyo valor resarcitorio no pasó de lo aparente, al ser respaldadas o emitidas, precisamente, por la misma administración que sufrió daños y perjuicios en los bienes, caudales o efectos públicos cuya debida custodia, gestión y defensa le estaban encomendadas.</w:t>
      </w:r>
    </w:p>
    <w:p w14:paraId="6F9BB77A" w14:textId="77777777" w:rsidR="003754FE" w:rsidRDefault="003754FE" w:rsidP="003754FE">
      <w:pPr>
        <w:pStyle w:val="TextoNormal"/>
      </w:pPr>
    </w:p>
    <w:p w14:paraId="78201360" w14:textId="77777777" w:rsidR="003754FE" w:rsidRDefault="003754FE" w:rsidP="003754FE">
      <w:pPr>
        <w:pStyle w:val="TextoNormal"/>
      </w:pPr>
      <w:r>
        <w:t>Impuestas por la ley —o previstas en ella— determinadas medidas cautelares, no está al alcance de ningún legislador vaciar de contenido, sorteando su efectividad, a las ordenadas en resoluciones jurisdiccionales o preparatorias de las mismas, algo que menoscaba, a la vez, la potestad de la jurisdicción para hacer ejecutar en su día lo juzgado (arts. 117.3 y 136.2 CE) y una tutela judicial (art. 24.1 CE) que no es tal sin medidas cautelares que aseguren el efectivo cumplimiento de la resolución definitiva que recaiga en el proceso (SSTC 14/1992, de 10 de febrero, FJ 7, y 238/1992, de 17 de diciembre, FJ 3).</w:t>
      </w:r>
    </w:p>
    <w:p w14:paraId="2CEE40DA" w14:textId="77777777" w:rsidR="003754FE" w:rsidRDefault="003754FE" w:rsidP="003754FE">
      <w:pPr>
        <w:pStyle w:val="TextoNormal"/>
      </w:pPr>
    </w:p>
    <w:p w14:paraId="11616939" w14:textId="77777777" w:rsidR="003754FE" w:rsidRDefault="003754FE" w:rsidP="003754FE">
      <w:pPr>
        <w:pStyle w:val="TextoNormal"/>
      </w:pPr>
      <w:r>
        <w:t>(ii) Ha quedado afectada en segundo lugar la exclusiva potestad de la jurisdicción contable para, dictada sentencia firme de condena, despachar la ejecución, incluso de oficio (art. 85.1 LFTCu), y controlar en todo momento su curso y desenlace.</w:t>
      </w:r>
    </w:p>
    <w:p w14:paraId="7F81596F" w14:textId="77777777" w:rsidR="003754FE" w:rsidRDefault="003754FE" w:rsidP="003754FE">
      <w:pPr>
        <w:pStyle w:val="TextoNormal"/>
      </w:pPr>
    </w:p>
    <w:p w14:paraId="7F28F003" w14:textId="77777777" w:rsidR="003754FE" w:rsidRDefault="003754FE" w:rsidP="003754FE">
      <w:pPr>
        <w:pStyle w:val="TextoNormal"/>
      </w:pPr>
      <w:r>
        <w:t>El artículo 5.2 del Decreto-ley ha dispuesto, en cuanto a la denominada “obligación de retorno”, que la Generalitat “tiene que realizar todas las actuaciones necesarias para su recaudación, incluso [</w:t>
      </w:r>
      <w:r w:rsidRPr="003754FE">
        <w:rPr>
          <w:i/>
        </w:rPr>
        <w:t>sic</w:t>
      </w:r>
      <w:r>
        <w:t>] el procedimiento ejecutivo de recaudación de acuerdo con lo que establece la normativa vigente”, remisión, esta última, que se ha de entender objetivamente dirigida —en ello vienen a coincidir, por lo demás, las alegaciones formuladas frente a la demanda— al Real Decreto 939/2005, de 29 de julio, por el que se aprueba el Reglamento general de recaudación, y, sobre la base del mismo, al artículo 13 del Decreto Legislativo de la Generalitat de Cataluña 3/2002, en cuyo apartado 1 se prescribe que “[p]ara efectuar la recaudación de los […] ingresos de derecho público, la administración financiera de la Generalidad disfrutará de las prerrogativas legalmente establecidas y actuará de acuerdo con los procedimientos administrativos correspondientes”.</w:t>
      </w:r>
    </w:p>
    <w:p w14:paraId="0B9B45DD" w14:textId="77777777" w:rsidR="003754FE" w:rsidRDefault="003754FE" w:rsidP="003754FE">
      <w:pPr>
        <w:pStyle w:val="TextoNormal"/>
      </w:pPr>
    </w:p>
    <w:p w14:paraId="28B60688" w14:textId="77777777" w:rsidR="003754FE" w:rsidRDefault="003754FE" w:rsidP="003754FE">
      <w:pPr>
        <w:pStyle w:val="TextoNormal"/>
      </w:pPr>
      <w:r>
        <w:t xml:space="preserve">Estas genéricas previsiones del Decreto-ley (a comenzar, muy inequívocamente, por la que alude a “todas las actuaciones necesarias para [la] recaudación”) equivalen a dejar la ejecución del “pronunciamiento judicial firme” (art. 5.1) de condena en manos de la administración perjudicada, con desviación manifiesta de lo prescrito en la Constitución (art. 117.3) y en las leyes (arts. 46.1 de la Ley Orgánica del Tribunal de Cuentas y 85.1 LFTCu, por lo que aquí interesa) en orden a la exclusiva potestad jurisdiccional para hacer ejecutar lo juzgado, potestad que no ha de ser interferida ni hecha suya por nadie —tampoco, claro es, por la administración—, sin perjuicio de la colaboración que pueda recabar a estos efectos el órgano jurisdiccional llamado a despachar la ejecución (arts. 118 CE y, de nuevo en lo que hace al caso, 7.1 de la Ley Orgánica del Tribunal de Cuentas) o que se prevea con carácter general en las leyes (según se hace —a título de mero ejemplo— tanto en la disposición adicional décima de la Ley 58/2003, de 17 de diciembre, general tributaria, como en el artículo 128 del recién citado Real Decreto 939/2005 para la exacción de la </w:t>
      </w:r>
      <w:r>
        <w:lastRenderedPageBreak/>
        <w:t>responsabilidad civil y multa por delito contra la hacienda pública, normas, una y otra, que sujetan estrictamente la actuación administrativa, como es obligado, a la autoridad del juez o tribunal al que corresponda la ejecución).</w:t>
      </w:r>
    </w:p>
    <w:p w14:paraId="344F9515" w14:textId="77777777" w:rsidR="003754FE" w:rsidRDefault="003754FE" w:rsidP="003754FE">
      <w:pPr>
        <w:pStyle w:val="TextoNormal"/>
      </w:pPr>
    </w:p>
    <w:p w14:paraId="167EA944" w14:textId="77777777" w:rsidR="003754FE" w:rsidRDefault="003754FE" w:rsidP="003754FE">
      <w:pPr>
        <w:pStyle w:val="TextoNormal"/>
      </w:pPr>
      <w:r>
        <w:t>(iii) Finalmente, la disposición impugnada ha incumplido también el art. 118 CE en el que se establece que “[e]s obligado cumplir las sentencias y demás resoluciones firmes” de jueces y tribunales, obligación que dimana asimismo de lo resuelto con firmeza por el Tribunal de Cuentas (art. 136.2 CE) y el derecho a la efectividad de la tutela judicial recibida (art. 24.1 CE) por quienes fueran parte actora en tales procedimientos.</w:t>
      </w:r>
    </w:p>
    <w:p w14:paraId="1B6E7BA5" w14:textId="77777777" w:rsidR="003754FE" w:rsidRDefault="003754FE" w:rsidP="003754FE">
      <w:pPr>
        <w:pStyle w:val="TextoNormal"/>
      </w:pPr>
    </w:p>
    <w:p w14:paraId="4DF4A6BD" w14:textId="77777777" w:rsidR="003754FE" w:rsidRDefault="003754FE" w:rsidP="003754FE">
      <w:pPr>
        <w:pStyle w:val="TextoNormal"/>
      </w:pPr>
      <w:r>
        <w:t>Esto es así porque el llamado “crédito público de devolución” (</w:t>
      </w:r>
      <w:r w:rsidRPr="003754FE">
        <w:rPr>
          <w:i/>
        </w:rPr>
        <w:t>rectius</w:t>
      </w:r>
      <w:r>
        <w:t>: el crédito que nace de la sentencia de condena en favor de la administración perjudicada) solo sería exigible según el Decreto-ley, de otra parte, cuando frente al “pronunciamiento judicial firme” (y “si procede”) “se hayan agotado todas las vías de impugnación judiciales y jurisdiccionales, estatales e internacionales” (art. 5.1), lo que supone, muy a las claras, un atípico condicionamiento al cumplimiento de la resolución jurisdiccional firme del Tribunal de Cuentas, supeditación inequívoca ante la que son desde luego del todo inconducentes las conjeturas que la representación del Parlamento de Cataluña formula en sus alegaciones a propósito de eventuales medidas jurisdiccionales de suspensión que pudieran ser acordadas con ocasión de un hipotético recurso de amparo constitucional o de un proceso ante el Tribunal Europeo de Derechos Humanos, pues es aquí la propia disposición con fuerza de ley —no resolución jurisdiccional alguna— la que directamente paraliza, con carácter general, los efectos propios de sentencias firmes de condena.</w:t>
      </w:r>
    </w:p>
    <w:p w14:paraId="43B44D00" w14:textId="77777777" w:rsidR="003754FE" w:rsidRDefault="003754FE" w:rsidP="003754FE">
      <w:pPr>
        <w:pStyle w:val="TextoNormal"/>
      </w:pPr>
    </w:p>
    <w:p w14:paraId="606077F5" w14:textId="77777777" w:rsidR="003754FE" w:rsidRDefault="003754FE" w:rsidP="003754FE">
      <w:pPr>
        <w:pStyle w:val="TextoNormal"/>
      </w:pPr>
      <w:r>
        <w:t>Y en este sentido emitimos el presente voto particular.</w:t>
      </w:r>
    </w:p>
    <w:p w14:paraId="050A04EE" w14:textId="77777777" w:rsidR="003754FE" w:rsidRDefault="003754FE" w:rsidP="003754FE">
      <w:pPr>
        <w:pStyle w:val="TextoNormal"/>
      </w:pPr>
    </w:p>
    <w:p w14:paraId="5C9DB596" w14:textId="6C6BBEE7" w:rsidR="003754FE" w:rsidRDefault="003754FE" w:rsidP="003754FE">
      <w:pPr>
        <w:pStyle w:val="TextoNormal"/>
      </w:pPr>
      <w:r>
        <w:t>Madrid, a nueve de octubre de dos mil veinticuatro.</w:t>
      </w:r>
    </w:p>
    <w:p w14:paraId="78AD8214" w14:textId="77777777" w:rsidR="003754FE" w:rsidRDefault="003754FE" w:rsidP="003754FE">
      <w:pPr>
        <w:pStyle w:val="TextoNormal"/>
      </w:pPr>
    </w:p>
    <w:p w14:paraId="01999B8C" w14:textId="77777777" w:rsidR="003754FE" w:rsidRDefault="003754FE" w:rsidP="003754FE">
      <w:pPr>
        <w:pStyle w:val="TextoNormalNegritaCentrado"/>
        <w:keepNext/>
      </w:pPr>
      <w:r>
        <w:t>Voto particular concurrente que formulan los magistrados don Enrique Arnaldo Alcubilla, doña Concepción Espejel Jorquera y don José María Macías Castaño a la sentencia dictada por el Pleno en el recurso de inconstitucionalidad núm. 5542-2021</w:t>
      </w:r>
    </w:p>
    <w:p w14:paraId="283F73DC" w14:textId="254C77B8" w:rsidR="003754FE" w:rsidRDefault="003754FE" w:rsidP="003754FE">
      <w:pPr>
        <w:pStyle w:val="TextoNormalNegritaCentrado"/>
        <w:keepNext/>
      </w:pPr>
    </w:p>
    <w:p w14:paraId="74F3100C" w14:textId="77777777" w:rsidR="003754FE" w:rsidRDefault="003754FE" w:rsidP="003754FE">
      <w:pPr>
        <w:pStyle w:val="TextoNormal"/>
      </w:pPr>
      <w:r>
        <w:t>En el ejercicio de la facultad conferida por el art. 90.2 LOTC y con respeto a la opinión de nuestros compañeros, formulamos el presente voto particular concurrente por las razones que defendimos durante la deliberación en el Pleno del Tribunal que exponemos a continuación, y conforme a las cuales la sentencia que ha declarado la inconstitucionalidad del Decreto-ley del Gobierno de la Generalitat de Catalunya 15/2021, de 6 de julio, de creación del fondo complementario de riesgos de la Generalitat de Catalunya, debió extender su examen a la totalidad de las objeciones planteadas por el recurrente y, en concreto, a los aspectos relativos a la falta de competencia del Gobierno catalán para aprobar la norma y a las infracciones materiales —arts. 117, 118 y 136 CE y, adicionalmente, art. 9.3 CE— en las que también incurre.</w:t>
      </w:r>
    </w:p>
    <w:p w14:paraId="556129DB" w14:textId="77777777" w:rsidR="003754FE" w:rsidRDefault="003754FE" w:rsidP="003754FE">
      <w:pPr>
        <w:pStyle w:val="TextoNormal"/>
      </w:pPr>
    </w:p>
    <w:p w14:paraId="1D448EFF" w14:textId="77777777" w:rsidR="003754FE" w:rsidRDefault="003754FE" w:rsidP="003754FE">
      <w:pPr>
        <w:pStyle w:val="TextoNormal"/>
      </w:pPr>
      <w:r>
        <w:t xml:space="preserve">I. </w:t>
      </w:r>
      <w:r w:rsidRPr="003754FE">
        <w:rPr>
          <w:i/>
        </w:rPr>
        <w:t>Sobre el ejercicio pleno de la función institucional que la Constitución española encomienda al Tribunal Constitucional</w:t>
      </w:r>
    </w:p>
    <w:p w14:paraId="180666E7" w14:textId="77777777" w:rsidR="003754FE" w:rsidRDefault="003754FE" w:rsidP="003754FE">
      <w:pPr>
        <w:pStyle w:val="TextoNormal"/>
      </w:pPr>
    </w:p>
    <w:p w14:paraId="7641354F" w14:textId="77777777" w:rsidR="003754FE" w:rsidRDefault="003754FE" w:rsidP="003754FE">
      <w:pPr>
        <w:pStyle w:val="TextoNormal"/>
      </w:pPr>
      <w:r>
        <w:lastRenderedPageBreak/>
        <w:t xml:space="preserve">1. El sistema de justicia constitucional se conecta con una determinada noción de constitución entendida como norma jurídica y fuente del Derecho inmediatamente aplicable, como </w:t>
      </w:r>
      <w:r w:rsidRPr="003754FE">
        <w:rPr>
          <w:i/>
        </w:rPr>
        <w:t>lex superior</w:t>
      </w:r>
      <w:r>
        <w:t>, a cualquier norma con rango de ley aprobada por el Parlamento nacional o por los Parlamentos regionales en los Estados conjuntos.</w:t>
      </w:r>
    </w:p>
    <w:p w14:paraId="28810AF2" w14:textId="77777777" w:rsidR="003754FE" w:rsidRDefault="003754FE" w:rsidP="003754FE">
      <w:pPr>
        <w:pStyle w:val="TextoNormal"/>
      </w:pPr>
    </w:p>
    <w:p w14:paraId="2DE3E8E4" w14:textId="77777777" w:rsidR="003754FE" w:rsidRDefault="003754FE" w:rsidP="003754FE">
      <w:pPr>
        <w:pStyle w:val="TextoNormal"/>
      </w:pPr>
      <w:r>
        <w:t>2. El sistema de justicia constitucional garantiza que un órgano neutral externo a los órganos políticos, y a sus agentes, vele —como se ha escrito— “por conseguir la estabilidad constitucional y la paz social imponiendo el respeto de los principios constitucionales”.</w:t>
      </w:r>
    </w:p>
    <w:p w14:paraId="5477170C" w14:textId="77777777" w:rsidR="003754FE" w:rsidRDefault="003754FE" w:rsidP="003754FE">
      <w:pPr>
        <w:pStyle w:val="TextoNormal"/>
      </w:pPr>
    </w:p>
    <w:p w14:paraId="5FC16D90" w14:textId="77777777" w:rsidR="003754FE" w:rsidRDefault="003754FE" w:rsidP="003754FE">
      <w:pPr>
        <w:pStyle w:val="TextoNormal"/>
      </w:pPr>
      <w:r>
        <w:t>3. Esta conclusión, que entendemos que nadie podría discutir, debe llevarnos de modo necesario a otra. La función depuradora del ordenamiento jurídico que cumple el Tribunal Constitucional queda mutilada si se limita, si se refugia en el ámbito de lo formal y superficial. El Tribunal Constitucional no puede dejar de lado la función institucional que el constituyente le ha confiado y que no es otra que resolver los conflictos políticos con arreglo al método y al discurso jurídico. A tal efecto, y para tal fin —por lo demás, coesencial e irrenunciable— el órgano de garantías constitucionales ni puede ni debe restringirse a la hora de cumplir la función pacificadora que a la justicia constitucional corresponde y que comporta necesariamente llevar a cabo sin ambages no solo la tarea hermenéutica sino también la pedagógica, porque hacer pedagogía constitucional sirve precisamente a la consolidación del Estado constitucional.</w:t>
      </w:r>
    </w:p>
    <w:p w14:paraId="63E6C1D4" w14:textId="77777777" w:rsidR="003754FE" w:rsidRDefault="003754FE" w:rsidP="003754FE">
      <w:pPr>
        <w:pStyle w:val="TextoNormal"/>
      </w:pPr>
    </w:p>
    <w:p w14:paraId="16B4203C" w14:textId="77777777" w:rsidR="003754FE" w:rsidRDefault="003754FE" w:rsidP="003754FE">
      <w:pPr>
        <w:pStyle w:val="TextoNormal"/>
      </w:pPr>
      <w:r>
        <w:t>4. Traducido en el asunto concreto que da lugar a este voto particular, significa que la visión limitada de la mayoría de la que discrepamos, que se queda en la palmaria falta de presupuesto habilitante del Decreto-ley autonómico, si bien resuelve su expulsión del ordenamiento jurídico, omite dos consideraciones que el soberano, que instituyó el órgano de garantías constitucionales, ha también de conocer, consideraciones que no son negadas por la mayoría sino que son simplemente, como decimos, omitidas, obviadas, al entender bastante —que no lo es— el argumento citado. Nos referimos a la falta de competencia de la comunidad autónoma y a la vulneración de tres preceptos sustantivos de nuestro Estado Constitucional: el ejercicio exclusivo de la potestad jurisdiccional por jueces y magistrados —art. 117—, la ejecución de las sentencias en sus propios términos —art. 118— y la jurisdicción contable del Tribunal de Cuentas —art. 136— a los que puede sumarse la vulneración de la interdicción de la arbitrariedad y de la responsabilidad de los poderes públicos —art. 9.3—. Y estimamos que este análisis se hace tanto más necesario cuanto que el contenido material de la norma hoy expulsada del ordenamiento jurídico pervive en una ley posterior no impugnada.</w:t>
      </w:r>
    </w:p>
    <w:p w14:paraId="5C371A7A" w14:textId="77777777" w:rsidR="003754FE" w:rsidRDefault="003754FE" w:rsidP="003754FE">
      <w:pPr>
        <w:pStyle w:val="TextoNormal"/>
      </w:pPr>
    </w:p>
    <w:p w14:paraId="1AB98ECA" w14:textId="77777777" w:rsidR="003754FE" w:rsidRDefault="003754FE" w:rsidP="003754FE">
      <w:pPr>
        <w:pStyle w:val="TextoNormal"/>
      </w:pPr>
      <w:r>
        <w:t xml:space="preserve">II. </w:t>
      </w:r>
      <w:r w:rsidRPr="003754FE">
        <w:rPr>
          <w:i/>
        </w:rPr>
        <w:t>Sobre la falta de competencia del Gobierno de la Generalitat Catalunya para aprobar el Decreto-ley 15/2021. Infracción del art. 149.1.6 CE que otorga competencia exclusiva al Estado en materia de legislación procesal</w:t>
      </w:r>
    </w:p>
    <w:p w14:paraId="4612003E" w14:textId="77777777" w:rsidR="003754FE" w:rsidRDefault="003754FE" w:rsidP="003754FE">
      <w:pPr>
        <w:pStyle w:val="TextoNormal"/>
      </w:pPr>
    </w:p>
    <w:p w14:paraId="47A0BFCB" w14:textId="77777777" w:rsidR="003754FE" w:rsidRDefault="003754FE" w:rsidP="003754FE">
      <w:pPr>
        <w:pStyle w:val="TextoNormal"/>
      </w:pPr>
      <w:r>
        <w:t xml:space="preserve">5. Para contextualizar el presente voto, y en lo que interesa para su comprensión, se debe indicar que el Decreto-ley 15/2021 previó la dotación de un fondo destinado a dar cobertura a las fianzas que, como medida cautelar, fuesen impuestas por el Tribunal de Cuentas en los procedimientos de responsabilidad por alcance contable derivado del indebido manejo de fondos públicos dirigidos contra los empleados, altos cargos y miembros del Gobierno de la Generalitat de Catalunya, y ello no obstante ser la propia Generalitat de Catalunya la perjudicada por los eventuales alcances. Prestada la fianza, y en caso de que se dictase </w:t>
      </w:r>
      <w:r>
        <w:lastRenderedPageBreak/>
        <w:t>sentencia condenatoria, una vez que la sentencia deviniese firme se generaría “un crédito de derecho público de devolución” por parte de los condenados, que incluiría adicionalmente al importe garantizado los intereses y gastos de las garantías generadas con cargo al fondo. De la ejecución o recaudación del “crédito de derecho público de devolución” se encargaría la Generalitat. Dicho de otra forma, y como consecuencia de la —insólita— confusión de la posición de perjudicado y avalista, la sentencia condenatoria se vería ejecutada con la incautación de la fianza, cuyo importe se transformaría en un “crédito de derecho público” de cuya recaudación se encargaría el perjudicado.</w:t>
      </w:r>
    </w:p>
    <w:p w14:paraId="5396FA0A" w14:textId="77777777" w:rsidR="003754FE" w:rsidRDefault="003754FE" w:rsidP="003754FE">
      <w:pPr>
        <w:pStyle w:val="TextoNormal"/>
      </w:pPr>
    </w:p>
    <w:p w14:paraId="0E94BE2E" w14:textId="77777777" w:rsidR="003754FE" w:rsidRDefault="003754FE" w:rsidP="003754FE">
      <w:pPr>
        <w:pStyle w:val="TextoNormal"/>
      </w:pPr>
      <w:r>
        <w:t>6. Al margen de las consideraciones materiales que se realizarán en el siguiente apartado de este voto, la regulación examinada incide de manera clara y directa en la efectividad de las medidas cautelares e igualmente en la efectividad de las sentencias que dicte el Tribunal de Cuentas. Ambos aspectos son de naturaleza netamente procesal y propios de la competencia exclusiva en materia de legislación procesal que el art. 149.1.6 CE atribuye al Estado, sin que esta invasión competencial se justifique en las especialidades del Derecho propio de la Comunidad Autónoma catalana. Se debe concluir, por ello, que el Decreto-ley impugnado era igualmente inconstitucional por infracción de ese precepto y no solo por la falta de presupuesto habilitante exigido por la Constitución y el Estatuto de Autonomía para esa tipología de normas.</w:t>
      </w:r>
    </w:p>
    <w:p w14:paraId="612D0DF3" w14:textId="77777777" w:rsidR="003754FE" w:rsidRDefault="003754FE" w:rsidP="003754FE">
      <w:pPr>
        <w:pStyle w:val="TextoNormal"/>
      </w:pPr>
    </w:p>
    <w:p w14:paraId="107F9D1F" w14:textId="77777777" w:rsidR="003754FE" w:rsidRDefault="003754FE" w:rsidP="003754FE">
      <w:pPr>
        <w:pStyle w:val="TextoNormal"/>
      </w:pPr>
      <w:r>
        <w:t xml:space="preserve">III. </w:t>
      </w:r>
      <w:r w:rsidRPr="003754FE">
        <w:rPr>
          <w:i/>
        </w:rPr>
        <w:t>Sobre la evidente infracción de los arts. 9.3, 117, 118 y 136 CE en la que incurre el Decreto-ley 15/2021</w:t>
      </w:r>
    </w:p>
    <w:p w14:paraId="53AC89CB" w14:textId="77777777" w:rsidR="003754FE" w:rsidRDefault="003754FE" w:rsidP="003754FE">
      <w:pPr>
        <w:pStyle w:val="TextoNormal"/>
      </w:pPr>
    </w:p>
    <w:p w14:paraId="5B7ABFD0" w14:textId="77777777" w:rsidR="003754FE" w:rsidRDefault="003754FE" w:rsidP="003754FE">
      <w:pPr>
        <w:pStyle w:val="TextoNormal"/>
      </w:pPr>
      <w:r>
        <w:t>7. El agotamiento del análisis para que este tribunal cumpla adecuadamente con su función no solo se justifica en la conveniencia de depurar los criterios de interpretación del título VIII de nuestra Constitución, sino que también se justifica por otra razón de no menor importancia: como hemos indicado, el contenido del Decreto-ley que ahora hemos considerado inconstitucional por falta de presupuesto habilitante se ha reiterado en una ley posterior vigente y no impugnada. No solo no es, por lo tanto, irrelevante valorar si el Gobierno catalán tenía competencia para aprobar una concreta norma, sino que tampoco es irrelevante determinar si el contenido de la norma era constitucionalmente lícito en caso de haber disfrutado de esa competencia.</w:t>
      </w:r>
    </w:p>
    <w:p w14:paraId="781B137D" w14:textId="77777777" w:rsidR="003754FE" w:rsidRDefault="003754FE" w:rsidP="003754FE">
      <w:pPr>
        <w:pStyle w:val="TextoNormal"/>
      </w:pPr>
    </w:p>
    <w:p w14:paraId="2692441A" w14:textId="77777777" w:rsidR="003754FE" w:rsidRDefault="003754FE" w:rsidP="003754FE">
      <w:pPr>
        <w:pStyle w:val="TextoNormal"/>
      </w:pPr>
      <w:r>
        <w:t>8. Al margen de la evidente infracción competencial que ya hemos examinado, la concreta regulación que hoy día permanece vigente a través de otra ley no impugnada supone una infracción de los arts. 117, 118 y 136 CE que se inmiscuye en la potestad jurisdiccional del Tribunal de Cuentas para hacer ejecutar sus sentencias: la “transformación” del crédito derivado de la ejecución de la fianza y su posterior recuperación, en caso de una condena a un empleado o autoridad perteneciente a la Generalitat de Catalunya, incluidos los miembros de su Gobierno, en un “crédito de derecho público” de cuya ejecución se encargaría la propia Generalitat y no el Tribunal de Cuentas supone, como decíamos, un tortuoso camino para privar a ese Tribunal de un contenido esencial de la potestad jurisdiccional: hacer ejecutar las sentencias impuestas a los condenados.</w:t>
      </w:r>
    </w:p>
    <w:p w14:paraId="69093D70" w14:textId="77777777" w:rsidR="003754FE" w:rsidRDefault="003754FE" w:rsidP="003754FE">
      <w:pPr>
        <w:pStyle w:val="TextoNormal"/>
      </w:pPr>
    </w:p>
    <w:p w14:paraId="731BB562" w14:textId="77777777" w:rsidR="003754FE" w:rsidRDefault="003754FE" w:rsidP="003754FE">
      <w:pPr>
        <w:pStyle w:val="TextoNormal"/>
      </w:pPr>
      <w:r>
        <w:t xml:space="preserve">9. Semejante injerencia no estaría en ningún caso justificada porque en ningún caso está justificado que ni el Poder Legislativo ni el Ejecutivo, ya sea estatal o autonómico, puedan privar a un órgano jurisdiccional de una parte esencial de la potestad jurisdiccional, pero no está de más señalar dos aspectos que apuntalan nuestra opinión relativa a la más que </w:t>
      </w:r>
      <w:r>
        <w:lastRenderedPageBreak/>
        <w:t>evidente conveniencia de que la sentencia se hubiera extendido y expresado sobre la infracción de los arts. 117, 118 y 136 CE que acabamos de describir.</w:t>
      </w:r>
    </w:p>
    <w:p w14:paraId="6D774488" w14:textId="77777777" w:rsidR="003754FE" w:rsidRDefault="003754FE" w:rsidP="003754FE">
      <w:pPr>
        <w:pStyle w:val="TextoNormal"/>
      </w:pPr>
    </w:p>
    <w:p w14:paraId="2DA9F7D6" w14:textId="77777777" w:rsidR="003754FE" w:rsidRDefault="003754FE" w:rsidP="003754FE">
      <w:pPr>
        <w:pStyle w:val="TextoNormal"/>
      </w:pPr>
      <w:r>
        <w:t>10. El primer aspecto es que, no estando en ningún caso justificada la usurpación de parte de la potestad jurisdiccional, menos lo puede estar con supuesto fundamento en el principio de indemnidad al que se alude en el preámbulo del Decreto-ley impugnado. Con fundamento en ese principio se podría entender que la Generalitat de Catalunya afiance a sus funcionarios y autoridades frente a las reclamaciones de terceros por daños causados en el ejercicio del cargo, pero ese principio no puede jugar cuando el perjudicado no es un tercero, sino la propia Generalitat. Lo contrario supone la situación insólita —y hasta absurda— de que sea el perjudicado el que tenga que avalar precisamente al que le ha perjudicado. No solo esa circunstancia es insólita, sino que lo es aún más cuando se tiene en cuenta que con ello se incrementa el perjuicio económico padecido por el perjudicado, al que se impone la asunción de los costes financieros de la garantía prestada con cargo al fondo y que quizás, como el propio importe de la garantía, jamás se recupere.</w:t>
      </w:r>
    </w:p>
    <w:p w14:paraId="443B72C4" w14:textId="77777777" w:rsidR="003754FE" w:rsidRDefault="003754FE" w:rsidP="003754FE">
      <w:pPr>
        <w:pStyle w:val="TextoNormal"/>
      </w:pPr>
    </w:p>
    <w:p w14:paraId="224D509B" w14:textId="77777777" w:rsidR="003754FE" w:rsidRDefault="003754FE" w:rsidP="003754FE">
      <w:pPr>
        <w:pStyle w:val="TextoNormal"/>
      </w:pPr>
      <w:r>
        <w:t>11. Y el segundo aspecto a destacar es que se deja en manos del Gobierno de la Generalitat la efectividad de las condenas que imponga el Tribunal de Cuentas cuando esas condenas pueden llegar a afectar a personas pertenecientes al propio Gobierno encargado de ejecutar lo que, bajo la apariencia de un “crédito de derecho público”, es realmente una sentencia condenatoria del Tribunal de Cuentas.</w:t>
      </w:r>
    </w:p>
    <w:p w14:paraId="0168BFD5" w14:textId="77777777" w:rsidR="003754FE" w:rsidRDefault="003754FE" w:rsidP="003754FE">
      <w:pPr>
        <w:pStyle w:val="TextoNormal"/>
      </w:pPr>
    </w:p>
    <w:p w14:paraId="54070586" w14:textId="77777777" w:rsidR="003754FE" w:rsidRDefault="003754FE" w:rsidP="003754FE">
      <w:pPr>
        <w:pStyle w:val="TextoNormal"/>
      </w:pPr>
      <w:r>
        <w:t>12. La conjunción de ambas circunstancias revela que la regulación contenida en el Decreto-ley impugnado, y en la posterior ley que lo ha relevado, supone un ejercicio de aparente ingeniería legal en fraude constitucional que pone en riesgo la efectividad de los principios de prohibición de la arbitrariedad y de responsabilidad de los poderes públicos que garantiza el art. 9.3 CE, ya que bastaría una simple “pasividad burocrática” durante el período de prescripción para que las condenas del Tribunal de Cuentas a los empleados, altos cargos y miembros del Gobierno de la Generalitat de Catalunya no fuesen efectivas.</w:t>
      </w:r>
    </w:p>
    <w:p w14:paraId="3C62C5B4" w14:textId="77777777" w:rsidR="003754FE" w:rsidRDefault="003754FE" w:rsidP="003754FE">
      <w:pPr>
        <w:pStyle w:val="TextoNormal"/>
      </w:pPr>
    </w:p>
    <w:p w14:paraId="4692DFBF" w14:textId="33444CF1" w:rsidR="003754FE" w:rsidRDefault="003754FE" w:rsidP="003754FE">
      <w:pPr>
        <w:pStyle w:val="TextoNormal"/>
      </w:pPr>
      <w:r>
        <w:t>Madrid, a once de octubre de dos mil veinticuatro.</w:t>
      </w:r>
    </w:p>
    <w:p w14:paraId="1EC4721A" w14:textId="715A08FD" w:rsidR="003754FE" w:rsidRDefault="003754FE">
      <w:pPr>
        <w:spacing w:after="160" w:line="278" w:lineRule="auto"/>
        <w:rPr>
          <w:rFonts w:ascii="Times New Roman" w:eastAsia="Times New Roman" w:hAnsi="Times New Roman" w:cs="Times New Roman"/>
          <w:sz w:val="24"/>
          <w:szCs w:val="24"/>
          <w:lang w:eastAsia="es-ES"/>
        </w:rPr>
      </w:pPr>
      <w:r>
        <w:br w:type="page"/>
      </w:r>
    </w:p>
    <w:p w14:paraId="62E3EA81" w14:textId="77777777" w:rsidR="003754FE" w:rsidRDefault="003754FE" w:rsidP="003754FE">
      <w:pPr>
        <w:pStyle w:val="TtuloResolucin"/>
      </w:pPr>
      <w:bookmarkStart w:id="31" w:name="SENTENCIA_2024_122"/>
      <w:r>
        <w:lastRenderedPageBreak/>
        <w:t>SENTENCIA 122/2024, de 21 de octubre de 2024</w:t>
      </w:r>
    </w:p>
    <w:bookmarkEnd w:id="31"/>
    <w:p w14:paraId="3E2DD8D9" w14:textId="77777777" w:rsidR="003754FE" w:rsidRDefault="003754FE" w:rsidP="003754FE">
      <w:pPr>
        <w:pStyle w:val="TtuloResolucin"/>
      </w:pPr>
      <w:r>
        <w:t>Sala Segunda</w:t>
      </w:r>
    </w:p>
    <w:p w14:paraId="1BB9E439" w14:textId="77777777" w:rsidR="003754FE" w:rsidRDefault="003754FE" w:rsidP="003754FE">
      <w:pPr>
        <w:pStyle w:val="TtuloBOE"/>
      </w:pPr>
      <w:r>
        <w:t>(BOE núm. 286, de 27 de noviembre de 2024)</w:t>
      </w:r>
    </w:p>
    <w:p w14:paraId="6BDBBE68" w14:textId="77777777" w:rsidR="003754FE" w:rsidRDefault="003754FE" w:rsidP="003754FE">
      <w:pPr>
        <w:pStyle w:val="TextoNormalCentrado"/>
      </w:pPr>
      <w:r>
        <w:t>ECLI:ES:TC:2024:122</w:t>
      </w:r>
    </w:p>
    <w:p w14:paraId="3BB3F3CB" w14:textId="019C7FB4" w:rsidR="003754FE" w:rsidRDefault="003754FE" w:rsidP="003754FE">
      <w:pPr>
        <w:pStyle w:val="TextoNormalCentrado"/>
      </w:pPr>
    </w:p>
    <w:p w14:paraId="31043722" w14:textId="77777777" w:rsidR="003754FE" w:rsidRDefault="003754FE" w:rsidP="003754FE">
      <w:pPr>
        <w:pStyle w:val="SntesisDescriptiva"/>
      </w:pPr>
      <w:r>
        <w:t>Recurso de amparo 3898-2022. Promovido por don Borja Partida Lobo respecto de las resoluciones dictadas por la Audiencia Provincial de Sevilla y un juzgado de su capital en ejecución de sentencia penal.</w:t>
      </w:r>
    </w:p>
    <w:p w14:paraId="16696D05" w14:textId="658817C1" w:rsidR="003754FE" w:rsidRDefault="003754FE" w:rsidP="003754FE">
      <w:pPr>
        <w:pStyle w:val="SntesisDescriptiva"/>
      </w:pPr>
    </w:p>
    <w:p w14:paraId="6BDB686B" w14:textId="77777777" w:rsidR="003754FE" w:rsidRDefault="003754FE" w:rsidP="003754FE">
      <w:pPr>
        <w:pStyle w:val="SntesisAnaltica"/>
      </w:pPr>
      <w:r>
        <w:t>Vulneración del derecho a la tutela judicial efectiva (motivación) en relación con el derecho a la libertad personal: revocación de la suspensión de la pena de prisión, al no haberse satisfecho la responsabilidad civil, que no cumple las exigencias constitucionales de motivación reforzada (STC 32/2022).</w:t>
      </w:r>
    </w:p>
    <w:p w14:paraId="706E671F" w14:textId="2EC58DBD" w:rsidR="003754FE" w:rsidRDefault="003754FE" w:rsidP="003754FE">
      <w:pPr>
        <w:pStyle w:val="SntesisAnaltica"/>
      </w:pPr>
    </w:p>
    <w:p w14:paraId="550FE57A" w14:textId="79022623" w:rsidR="003754FE" w:rsidRDefault="003754FE" w:rsidP="003754FE">
      <w:pPr>
        <w:pStyle w:val="Extracto"/>
      </w:pPr>
      <w:r>
        <w:t>1.</w:t>
      </w:r>
      <w:r>
        <w:tab/>
        <w:t>Las resoluciones judiciales de revocación de la suspensión de la pena vulneran el derecho a la tutela judicial efectiva en relación con el derecho a la libertad personal si no cumplen con las exigencias de motivación específica o reforzada y de análisis de la capacidad económica del penado en el momento de acordar la revocación (STC 32/2022) [FJ 3].</w:t>
      </w:r>
    </w:p>
    <w:p w14:paraId="19D658B5" w14:textId="77777777" w:rsidR="003754FE" w:rsidRDefault="003754FE" w:rsidP="003754FE">
      <w:pPr>
        <w:pStyle w:val="Extracto"/>
      </w:pPr>
    </w:p>
    <w:p w14:paraId="1150918D" w14:textId="77777777" w:rsidR="003754FE" w:rsidRDefault="003754FE" w:rsidP="003754FE">
      <w:pPr>
        <w:pStyle w:val="Extracto"/>
      </w:pPr>
    </w:p>
    <w:p w14:paraId="1AD005BC"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3D3E6CF3" w14:textId="0DB95A75" w:rsidR="003754FE" w:rsidRDefault="003754FE" w:rsidP="003754FE">
      <w:pPr>
        <w:pStyle w:val="TextoNormal"/>
      </w:pPr>
    </w:p>
    <w:p w14:paraId="4B9626B8" w14:textId="77777777" w:rsidR="003754FE" w:rsidRDefault="003754FE" w:rsidP="003754FE">
      <w:pPr>
        <w:pStyle w:val="TextoNormalCentrado"/>
        <w:keepNext/>
      </w:pPr>
      <w:r>
        <w:t>EN NOMBRE DEL REY</w:t>
      </w:r>
    </w:p>
    <w:p w14:paraId="26E04597" w14:textId="04DA73B9" w:rsidR="003754FE" w:rsidRDefault="003754FE" w:rsidP="003754FE">
      <w:pPr>
        <w:pStyle w:val="TextoNormalCentrado"/>
        <w:keepNext/>
      </w:pPr>
    </w:p>
    <w:p w14:paraId="07E6C532" w14:textId="77777777" w:rsidR="003754FE" w:rsidRDefault="003754FE" w:rsidP="003754FE">
      <w:pPr>
        <w:pStyle w:val="TextoNormalCentrado"/>
        <w:keepNext/>
      </w:pPr>
    </w:p>
    <w:p w14:paraId="53730C59" w14:textId="77777777" w:rsidR="003754FE" w:rsidRDefault="003754FE" w:rsidP="003754FE">
      <w:pPr>
        <w:pStyle w:val="TextoNormal"/>
      </w:pPr>
      <w:r>
        <w:t>la siguiente</w:t>
      </w:r>
    </w:p>
    <w:p w14:paraId="386169B1" w14:textId="0C206FF0" w:rsidR="003754FE" w:rsidRDefault="003754FE" w:rsidP="003754FE">
      <w:pPr>
        <w:pStyle w:val="TextoNormal"/>
      </w:pPr>
    </w:p>
    <w:p w14:paraId="40A95C53" w14:textId="77777777" w:rsidR="003754FE" w:rsidRDefault="003754FE" w:rsidP="003754FE">
      <w:pPr>
        <w:pStyle w:val="TextoNormalCentrado"/>
        <w:keepNext/>
      </w:pPr>
      <w:r>
        <w:t>SENTENCIA</w:t>
      </w:r>
    </w:p>
    <w:p w14:paraId="12AC90AF" w14:textId="013746F2" w:rsidR="003754FE" w:rsidRDefault="003754FE" w:rsidP="003754FE">
      <w:pPr>
        <w:pStyle w:val="TextoNormalCentrado"/>
        <w:keepNext/>
      </w:pPr>
    </w:p>
    <w:p w14:paraId="68CEEA49" w14:textId="77777777" w:rsidR="003754FE" w:rsidRDefault="003754FE" w:rsidP="003754FE">
      <w:pPr>
        <w:pStyle w:val="TextoNormal"/>
      </w:pPr>
      <w:r>
        <w:t>En el recurso de amparo núm. 3898-2022, promovido por don Borja Partida Lobo, representado por el procurador de los tribunales don Juan Manuel Gómez Rubio, bajo la dirección letrada de don Rafael Javier Guillén-Brando Berraquero, contra (i) el auto de 30 de junio de 2021 del Juzgado de lo Penal núm. 4 de Sevilla, dictado en el procedimiento de ejecutoria núm. 51-2017, que acordó la revocación de la suspensión de la ejecución de la pena privativa de libertad impuesta al recurrente por un delito de lesiones (art. 147.1 del Código penal), y (ii) el auto de 14 de marzo de 2022, de la Sección Séptima de la Audiencia Provincial de Sevilla, dictado en el rollo núm. 2206-2022, que desestimó el recurso de apelación interpuesto contra el anterior auto. Ha sido ponente la magistrada doña Laura Díez Bueso.</w:t>
      </w:r>
    </w:p>
    <w:p w14:paraId="16FACEF7" w14:textId="6D622268" w:rsidR="003754FE" w:rsidRDefault="003754FE" w:rsidP="003754FE">
      <w:pPr>
        <w:pStyle w:val="TextoNormal"/>
      </w:pPr>
    </w:p>
    <w:p w14:paraId="472E6F06" w14:textId="77777777" w:rsidR="003754FE" w:rsidRDefault="003754FE" w:rsidP="003754FE">
      <w:pPr>
        <w:pStyle w:val="TextoNormalNegritaCentrado"/>
        <w:keepNext/>
      </w:pPr>
      <w:r>
        <w:lastRenderedPageBreak/>
        <w:t>I. Antecedentes</w:t>
      </w:r>
    </w:p>
    <w:p w14:paraId="1CE0FF98" w14:textId="7EBA2BC7" w:rsidR="003754FE" w:rsidRDefault="003754FE" w:rsidP="003754FE">
      <w:pPr>
        <w:pStyle w:val="TextoNormalNegritaCentrado"/>
        <w:keepNext/>
      </w:pPr>
    </w:p>
    <w:p w14:paraId="7025EDAF" w14:textId="27F75834" w:rsidR="003754FE" w:rsidRDefault="003754FE" w:rsidP="003754FE">
      <w:pPr>
        <w:pStyle w:val="TextoNormal"/>
      </w:pPr>
      <w:r w:rsidRPr="003754FE">
        <w:rPr>
          <w:rStyle w:val="NumeroAFNegritaCaracter"/>
        </w:rPr>
        <w:t>1</w:t>
      </w:r>
      <w:r>
        <w:t>. Mediante escrito presentado en el registro general de este tribunal el 1 de junio de 2022, el procurador de los tribunales, don Juan Manuel Gómez Rubio, en nombre y representación de don Borja Partida Lobo, asistido del letrado don Rafael Javier Guillén-Brando Berraquero, interpuso recurso de amparo contra las resoluciones que se mencionan en el encabezamiento.</w:t>
      </w:r>
    </w:p>
    <w:p w14:paraId="22867926" w14:textId="77777777" w:rsidR="003754FE" w:rsidRDefault="003754FE" w:rsidP="003754FE">
      <w:pPr>
        <w:pStyle w:val="TextoNormal"/>
      </w:pPr>
    </w:p>
    <w:p w14:paraId="0BD32EDD" w14:textId="77777777" w:rsidR="003754FE" w:rsidRDefault="003754FE" w:rsidP="003754FE">
      <w:pPr>
        <w:pStyle w:val="TextoNormal"/>
      </w:pPr>
      <w:r w:rsidRPr="003754FE">
        <w:rPr>
          <w:rStyle w:val="NumeroAFNegritaCaracter"/>
        </w:rPr>
        <w:t>2</w:t>
      </w:r>
      <w:r>
        <w:t>. Los hechos con relevancia para la resolución del presente recurso de amparo son los siguientes:</w:t>
      </w:r>
    </w:p>
    <w:p w14:paraId="4B6C1795" w14:textId="77777777" w:rsidR="003754FE" w:rsidRDefault="003754FE" w:rsidP="003754FE">
      <w:pPr>
        <w:pStyle w:val="TextoNormal"/>
      </w:pPr>
    </w:p>
    <w:p w14:paraId="5E42B7D1" w14:textId="77777777" w:rsidR="003754FE" w:rsidRDefault="003754FE" w:rsidP="003754FE">
      <w:pPr>
        <w:pStyle w:val="TextoNormal"/>
      </w:pPr>
      <w:r>
        <w:t>a) Por sentencia número 150/2016 del Juzgado de lo Penal núm. 4 de Sevilla, de 5 de abril de 2016, dictada en el procedimiento abreviado 381-2013, el recurrente en amparo fue condenado como autor responsable de un delito de lesiones [art. 147.1 del Código penal (CP)], sin la concurrencia de circunstancias modificativas de la responsabilidad penal, a la pena de catorce meses de prisión, con la accesoria de inhabilitación especial para el derecho de sufragio pasivo durante el tiempo de la condena; así como a indemnizar a don Fernando Rodríguez Valderrama en la cantidad de 5250 € como resarcimiento por las lesiones y secuelas inferidas y al pago de las costas.</w:t>
      </w:r>
    </w:p>
    <w:p w14:paraId="5642514B" w14:textId="77777777" w:rsidR="003754FE" w:rsidRDefault="003754FE" w:rsidP="003754FE">
      <w:pPr>
        <w:pStyle w:val="TextoNormal"/>
      </w:pPr>
    </w:p>
    <w:p w14:paraId="292C82B8" w14:textId="77777777" w:rsidR="003754FE" w:rsidRDefault="003754FE" w:rsidP="003754FE">
      <w:pPr>
        <w:pStyle w:val="TextoNormal"/>
      </w:pPr>
      <w:r>
        <w:t>b) Contra la sentencia de instancia el condenado interpuso recurso de apelación, que fue desestimado por sentencia número 513/2016, de la Sección Séptima de la Audiencia Provincial de Sevilla, de 22 de diciembre de 2016.</w:t>
      </w:r>
    </w:p>
    <w:p w14:paraId="26C1B9A3" w14:textId="77777777" w:rsidR="003754FE" w:rsidRDefault="003754FE" w:rsidP="003754FE">
      <w:pPr>
        <w:pStyle w:val="TextoNormal"/>
      </w:pPr>
    </w:p>
    <w:p w14:paraId="7B394689" w14:textId="77777777" w:rsidR="003754FE" w:rsidRDefault="003754FE" w:rsidP="003754FE">
      <w:pPr>
        <w:pStyle w:val="TextoNormal"/>
      </w:pPr>
      <w:r>
        <w:t>c) Por auto del Juzgado de lo Penal núm. 4 de Sevilla de 3 de marzo de 2017, en el marco de la ejecutoria 51-2017, se acordó para la ejecución de la sentencia firme dictada en el procedimiento, y en lo que importa a este amparo, lo siguiente:</w:t>
      </w:r>
    </w:p>
    <w:p w14:paraId="2FCE88B6" w14:textId="77777777" w:rsidR="003754FE" w:rsidRDefault="003754FE" w:rsidP="003754FE">
      <w:pPr>
        <w:pStyle w:val="TextoNormal"/>
      </w:pPr>
    </w:p>
    <w:p w14:paraId="4421F3AD" w14:textId="77777777" w:rsidR="003754FE" w:rsidRDefault="003754FE" w:rsidP="003754FE">
      <w:pPr>
        <w:pStyle w:val="TextoNormal"/>
      </w:pPr>
      <w:r>
        <w:t>“Requerir al condenado Borja Partida Lobo del pago de la responsabilidad civil a cuyo abono ha sido condenado, por importe de 5250 €, bajo los apercibimientos legales oportunos. El reo dispondrá de un fraccionamiento máximo de veinte mensualidades consecutivas por importe de igual cuantía, debiendo abonar la primera dentro del mes en que se efectúe el requerimiento y apercibiéndole de que, conforme a lo dispuesto en el art. 50.6 CP, el impago de dos mensualidades, consecutivas o no consecutivas, conllevará el vencimiento de las restantes, reclamándose de una sola vez la cantidad pendiente. […]</w:t>
      </w:r>
    </w:p>
    <w:p w14:paraId="15C6E994" w14:textId="77777777" w:rsidR="003754FE" w:rsidRDefault="003754FE" w:rsidP="003754FE">
      <w:pPr>
        <w:pStyle w:val="TextoNormal"/>
      </w:pPr>
    </w:p>
    <w:p w14:paraId="73D60656" w14:textId="77777777" w:rsidR="003754FE" w:rsidRDefault="003754FE" w:rsidP="003754FE">
      <w:pPr>
        <w:pStyle w:val="TextoNormal"/>
      </w:pPr>
      <w:r>
        <w:t>Respecto a la pena de prisión que le ha sido impuesta, estése al pago o, en su caso, impago de la responsabilidad civil por el reo para valorar la posible concesión a este del beneficio de suspensión de condena, al ser el pago de la misma condición necesaria para la concesión de tal beneficio, conforme a lo establecido en los arts. 80 y siguientes del Código penal”.</w:t>
      </w:r>
    </w:p>
    <w:p w14:paraId="36EA3F9D" w14:textId="77777777" w:rsidR="003754FE" w:rsidRDefault="003754FE" w:rsidP="003754FE">
      <w:pPr>
        <w:pStyle w:val="TextoNormal"/>
      </w:pPr>
    </w:p>
    <w:p w14:paraId="2C9722A1" w14:textId="77777777" w:rsidR="003754FE" w:rsidRDefault="003754FE" w:rsidP="003754FE">
      <w:pPr>
        <w:pStyle w:val="TextoNormal"/>
      </w:pPr>
      <w:r>
        <w:t xml:space="preserve">d) El día 22 de marzo de 2017 el condenado fue requerido personalmente a fin de abonar la responsabilidad civil de 5250 €, apercibiéndole de que, en caso de impago, se procedería por la vía de apremio. En el requerimiento se indicaba el número de cuenta en el que debía efectuar los ingresos, a favor del Juzgado de lo Penal núm. 4 de Sevilla, y que “de interesar su pago aplazado, se le conceden veinte mensualidades consecutivas, por importe de 262,50 cada una de ellas, debiendo abonar la primera dentro del presente mes de marzo y </w:t>
      </w:r>
      <w:r>
        <w:lastRenderedPageBreak/>
        <w:t>apercibiéndole que el impago de dos mensualidades conllevará el vencimiento de las restantes, reclamándose de una sola vez la cantidad pendiente”. En la diligencia, firmada por el condenado, consta que el mismo manifestó: “Quedar enterado y que no posee bienes ni metálico”.</w:t>
      </w:r>
    </w:p>
    <w:p w14:paraId="66710E54" w14:textId="77777777" w:rsidR="003754FE" w:rsidRDefault="003754FE" w:rsidP="003754FE">
      <w:pPr>
        <w:pStyle w:val="TextoNormal"/>
      </w:pPr>
    </w:p>
    <w:p w14:paraId="39F55BAC" w14:textId="77777777" w:rsidR="003754FE" w:rsidRDefault="003754FE" w:rsidP="003754FE">
      <w:pPr>
        <w:pStyle w:val="TextoNormal"/>
      </w:pPr>
      <w:r>
        <w:t>e) Consta en las actuaciones la consulta efectuada al punto neutro judicial relativa al año fiscal 2016. De la misma resulta que en ese año 2016 el demandante de amparo había obtenido de varios empleadores las retribuciones de 2291,13 €; 1150,08 €; 421,29 €, y 140,43 €, además de 1718,20 € como prestación o subsidio de desempleo del Servicio Público de Empleo Estatal; era titular de dos cuentas en la entidad Caixabank que arrojaban a 31 de diciembre un saldo de 6,28 € y 3,24 € respectivamente; y figuraba como perceptor de un subsidio de desempleo con un importe mensual de 430,27 €.</w:t>
      </w:r>
    </w:p>
    <w:p w14:paraId="3EE5B2A0" w14:textId="77777777" w:rsidR="003754FE" w:rsidRDefault="003754FE" w:rsidP="003754FE">
      <w:pPr>
        <w:pStyle w:val="TextoNormal"/>
      </w:pPr>
    </w:p>
    <w:p w14:paraId="72E623BB" w14:textId="77777777" w:rsidR="003754FE" w:rsidRDefault="003754FE" w:rsidP="003754FE">
      <w:pPr>
        <w:pStyle w:val="TextoNormal"/>
      </w:pPr>
      <w:r>
        <w:t>f) Por decreto de 3 de abril de 2018 del Juzgado de lo Penal núm. 4 de Sevilla el penado fue declarado insolvente, sin perjuicio de lo que procediese si en el futuro mejorara de fortuna, estimando acreditado que el penado carecía de bienes de cualquier clase susceptibles de embargo.</w:t>
      </w:r>
    </w:p>
    <w:p w14:paraId="48915A0D" w14:textId="77777777" w:rsidR="003754FE" w:rsidRDefault="003754FE" w:rsidP="003754FE">
      <w:pPr>
        <w:pStyle w:val="TextoNormal"/>
      </w:pPr>
    </w:p>
    <w:p w14:paraId="15F3B9CA" w14:textId="77777777" w:rsidR="003754FE" w:rsidRDefault="003754FE" w:rsidP="003754FE">
      <w:pPr>
        <w:pStyle w:val="TextoNormal"/>
      </w:pPr>
      <w:r>
        <w:t>Y en esta misma resolución se acuerda: “Reclámese hoja histórico-penal del condenado y, verificado, hágase entrega de la causa al Ministerio Fiscal para que emita informe sobre la procedencia de la suspensión de la pena privativa de libertad impuesta en sentencia firme de catorce meses. Dése traslado a las partes personadas para que de conformidad con el art. 80 del Código penal, en el plazo de tres días, hagan las alegaciones que estimen oportunas”.</w:t>
      </w:r>
    </w:p>
    <w:p w14:paraId="0F7F4C18" w14:textId="77777777" w:rsidR="003754FE" w:rsidRDefault="003754FE" w:rsidP="003754FE">
      <w:pPr>
        <w:pStyle w:val="TextoNormal"/>
      </w:pPr>
    </w:p>
    <w:p w14:paraId="120C7366" w14:textId="77777777" w:rsidR="003754FE" w:rsidRDefault="003754FE" w:rsidP="003754FE">
      <w:pPr>
        <w:pStyle w:val="TextoNormal"/>
      </w:pPr>
      <w:r>
        <w:t>g) Figura unida a las actuaciones la consulta efectuada en el registro central de penados el día 10 de abril de 2018, en la que aparecen dos condenas anotadas: (i) sentencia de 15 de diciembre de 2014 (firme el mismo día) del Juzgado de lo Penal núm. 8 de Sevilla, condenando al recurrente, por hechos cometidos el 25 de marzo de 2013, como autor de un delito de lesiones (art. 147 CP) a las penas de un año de prisión —pena que figura en remisión definitiva— e inhabilitación especial para el derecho de sufragio pasivo durante un año; y (ii) sentencia del Juzgado de lo Penal núm. 4 de Sevilla de 5 de abril de 2016 (firme el 22 de diciembre de 2016), origen del presente procedimiento.</w:t>
      </w:r>
    </w:p>
    <w:p w14:paraId="49495D13" w14:textId="77777777" w:rsidR="003754FE" w:rsidRDefault="003754FE" w:rsidP="003754FE">
      <w:pPr>
        <w:pStyle w:val="TextoNormal"/>
      </w:pPr>
    </w:p>
    <w:p w14:paraId="7943C9C8" w14:textId="77777777" w:rsidR="003754FE" w:rsidRDefault="003754FE" w:rsidP="003754FE">
      <w:pPr>
        <w:pStyle w:val="TextoNormal"/>
      </w:pPr>
      <w:r>
        <w:t>h) Por auto del Juzgado de lo Penal núm. 4 de Sevilla de 2 de mayo de 2018 se acordó “la suspensión de la ejecución de la pena de catorce meses de prisión impuesta a don Borja Partida Lobo, por un plazo de tres años, condicionada a que en dicho plazo no delinca, así como a que satisfaga en el mismo plazo el importe a que ha sido condenado en concepto de responsabilidad civil, bajo apercibimiento de revocación del referenciado beneficio”.</w:t>
      </w:r>
    </w:p>
    <w:p w14:paraId="14378716" w14:textId="77777777" w:rsidR="003754FE" w:rsidRDefault="003754FE" w:rsidP="003754FE">
      <w:pPr>
        <w:pStyle w:val="TextoNormal"/>
      </w:pPr>
    </w:p>
    <w:p w14:paraId="7F516079" w14:textId="77777777" w:rsidR="003754FE" w:rsidRDefault="003754FE" w:rsidP="003754FE">
      <w:pPr>
        <w:pStyle w:val="TextoNormal"/>
      </w:pPr>
      <w:r>
        <w:t xml:space="preserve">La fundamentación jurídica de este auto es la siguiente: “En el presente caso, de lo actuado se desprende que el penado a la fecha de comisión de los hechos de los que dimana la presente ejecutoria no cuenta con antecedentes penales computables y que la [pena] privativa de libertad impuesta no supera los dos años; asimismo, el penado resultó condenado a satisfacer en concepto de responsabilidad civil la suma de 5250 €. Procede la concesión del beneficio de la suspensión al concurrir los presupuestos exigidos en el art. 80.1 y 2 del Código penal por un plazo de tres años, no obstante, condicionado a que en dicho plazo no delinca así como a que satisfaga en el mismo plazo el importe a que ha sido condenado en </w:t>
      </w:r>
      <w:r>
        <w:lastRenderedPageBreak/>
        <w:t>concepto de responsabilidad civil, bajo apercibimiento de revocación del referenciado beneficio”.</w:t>
      </w:r>
    </w:p>
    <w:p w14:paraId="3F43EFDE" w14:textId="77777777" w:rsidR="003754FE" w:rsidRDefault="003754FE" w:rsidP="003754FE">
      <w:pPr>
        <w:pStyle w:val="TextoNormal"/>
      </w:pPr>
    </w:p>
    <w:p w14:paraId="774B577A" w14:textId="77777777" w:rsidR="003754FE" w:rsidRDefault="003754FE" w:rsidP="003754FE">
      <w:pPr>
        <w:pStyle w:val="TextoNormal"/>
      </w:pPr>
      <w:r>
        <w:t>Este auto fue notificado al penado el 29 de octubre de 2018, constando en el acta de notificación:</w:t>
      </w:r>
    </w:p>
    <w:p w14:paraId="48BF0966" w14:textId="77777777" w:rsidR="003754FE" w:rsidRDefault="003754FE" w:rsidP="003754FE">
      <w:pPr>
        <w:pStyle w:val="TextoNormal"/>
      </w:pPr>
    </w:p>
    <w:p w14:paraId="5B1E3FD7" w14:textId="77777777" w:rsidR="003754FE" w:rsidRDefault="003754FE" w:rsidP="003754FE">
      <w:pPr>
        <w:pStyle w:val="TextoNormal"/>
      </w:pPr>
      <w:r>
        <w:t>“Se le hacen las prevenciones y advertencias que determinan los arts. 83 y 84 del referido Código, y expresamente que esta suspensión está condicionada a que no delinca en dicho plazo, así como a que satisfaga en el mismo plazo el importe a que ha sido condenado en concepto de responsabilidad civil. En caso contrario, se procederá a ejecutar el fallo dejado suspenso. Se da por notificado y enterado […]”.</w:t>
      </w:r>
    </w:p>
    <w:p w14:paraId="0C4A2EBA" w14:textId="77777777" w:rsidR="003754FE" w:rsidRDefault="003754FE" w:rsidP="003754FE">
      <w:pPr>
        <w:pStyle w:val="TextoNormal"/>
      </w:pPr>
    </w:p>
    <w:p w14:paraId="3971652F" w14:textId="77777777" w:rsidR="003754FE" w:rsidRDefault="003754FE" w:rsidP="003754FE">
      <w:pPr>
        <w:pStyle w:val="TextoNormal"/>
      </w:pPr>
      <w:r>
        <w:t>i) El 21 de octubre de 2019 el Juzgado de lo Penal núm. 4 de Sevilla dictó diligencia de ordenación disponiendo: “Recibido aviso del Ministerio de Justicia comunicando la comisión de nuevo delito y previa actualización de la nota de suspensión de [la] pena (notificada el 29 de octubre de 2018), apórtese hoja histórico penal actualizada y pase la ejecutoria al Ministerio Fiscal para informe sobre posible revocación a pesar de no haber transcurrido [el] plazo de suspensión de [la] pena”.</w:t>
      </w:r>
    </w:p>
    <w:p w14:paraId="137EB0CD" w14:textId="77777777" w:rsidR="003754FE" w:rsidRDefault="003754FE" w:rsidP="003754FE">
      <w:pPr>
        <w:pStyle w:val="TextoNormal"/>
      </w:pPr>
    </w:p>
    <w:p w14:paraId="13A039D0" w14:textId="77777777" w:rsidR="003754FE" w:rsidRDefault="003754FE" w:rsidP="003754FE">
      <w:pPr>
        <w:pStyle w:val="TextoNormal"/>
      </w:pPr>
      <w:r>
        <w:t>Consta unida a la causa la consulta efectuada en el registro central de penados el día 22 de octubre de 2019, en el que figuran anotadas, además de las dos condenas que ya constaban registradas el 10 de abril de 2018 [indicadas en el apartado g) de este mismo antecedente], otras dos nuevas condenas: (i) la sentencia de la Sección Cuarta de la Audiencia Provincial de Sevilla de 11 de abril de 2018 (firme el mismo día) dictada en el procedimiento abreviado 1173-2017, condenando al recurrente, por hechos cometidos el 2 de julio de 2015, como autor de un delito de lesiones (art. 147 CP) a las penas de dos años de prisión —constando anotada su suspensión durante tres años desde el 4 de octubre de 2018—, inhabilitación especial para el derecho de sufragio pasivo durante dos años y prohibición de aproximarse a la víctima o a determinadas personas durante dos años; y (ii) la sentencia del Juzgado de Primera Instancia e Instrucción núm. 1 de Morón de la Frontera de 11 de septiembre de 2018 (firme el mismo día) dictada en las diligencias urgentes 111-2018, condenando al recurrente, por hechos cometidos el 10 de septiembre de 2018, como autor de un delito de “desobediencia agravada de autoridades y funcionarios (art. 411 CP)” (</w:t>
      </w:r>
      <w:r w:rsidRPr="003754FE">
        <w:rPr>
          <w:i/>
        </w:rPr>
        <w:t>sic</w:t>
      </w:r>
      <w:r>
        <w:t>) a la pena de cuatro meses de multa con una cuota diaria de seis euros.</w:t>
      </w:r>
    </w:p>
    <w:p w14:paraId="380B2905" w14:textId="77777777" w:rsidR="003754FE" w:rsidRDefault="003754FE" w:rsidP="003754FE">
      <w:pPr>
        <w:pStyle w:val="TextoNormal"/>
      </w:pPr>
    </w:p>
    <w:p w14:paraId="73792E5F" w14:textId="77777777" w:rsidR="003754FE" w:rsidRDefault="003754FE" w:rsidP="003754FE">
      <w:pPr>
        <w:pStyle w:val="TextoNormal"/>
      </w:pPr>
      <w:r>
        <w:t>Conferido el traslado acordado, el Ministerio Fiscal emitió informe el 21 de noviembre de 2019 indicando: “No procede la revocación de la suspensión concedida, atendiendo a que a la fecha de la comisión de los nuevos hechos delictivos por los que ha sido condenado ejecutoriamente por el Juzgado de Primera Instancia e Instrucción núm. 1 de Morón de la Frontera (diligencias urgentes 111-2018) fueron anteriores a la notificación al penado de la suspensión de condena concedida”.</w:t>
      </w:r>
    </w:p>
    <w:p w14:paraId="710A93EB" w14:textId="77777777" w:rsidR="003754FE" w:rsidRDefault="003754FE" w:rsidP="003754FE">
      <w:pPr>
        <w:pStyle w:val="TextoNormal"/>
      </w:pPr>
    </w:p>
    <w:p w14:paraId="1F2F4844" w14:textId="77777777" w:rsidR="003754FE" w:rsidRDefault="003754FE" w:rsidP="003754FE">
      <w:pPr>
        <w:pStyle w:val="TextoNormal"/>
      </w:pPr>
      <w:r>
        <w:t>j) Por auto del Juzgado de lo Penal núm. 4 de Sevilla de 4 de diciembre de 2019 se acordó mantener el beneficio de la suspensión de la pena privativa de libertad impuesta al penado.</w:t>
      </w:r>
    </w:p>
    <w:p w14:paraId="763EBE77" w14:textId="77777777" w:rsidR="003754FE" w:rsidRDefault="003754FE" w:rsidP="003754FE">
      <w:pPr>
        <w:pStyle w:val="TextoNormal"/>
      </w:pPr>
    </w:p>
    <w:p w14:paraId="52414078" w14:textId="77777777" w:rsidR="003754FE" w:rsidRDefault="003754FE" w:rsidP="003754FE">
      <w:pPr>
        <w:pStyle w:val="TextoNormal"/>
      </w:pPr>
      <w:r>
        <w:t xml:space="preserve">En el auto se señala que el auto de suspensión de la pena había sido notificado al penado el 29 de octubre de 2018 y los hechos por los que había sido condenado el mismo en la sentencia dictada el 11 de septiembre de 2018 por el Juzgado de Primera Instancia e </w:t>
      </w:r>
      <w:r>
        <w:lastRenderedPageBreak/>
        <w:t>Instrucción núm. 1 de Morón de la Frontera habían ocurrido el 10 de septiembre de 2018, por lo que “de conformidad con lo establecido en el art. 86 del Código penal, no procede revocar la suspensión concedida toda vez que tal y como informa el Ministerio Fiscal las condiciones de la suspensión le fueron notificadas con posterioridad a cometer el hecho delictivo reseñado anteriormente, por lo que el penado no ha incumplido la condición impuesta al desconocer la misma”.</w:t>
      </w:r>
    </w:p>
    <w:p w14:paraId="09AC5D89" w14:textId="77777777" w:rsidR="003754FE" w:rsidRDefault="003754FE" w:rsidP="003754FE">
      <w:pPr>
        <w:pStyle w:val="TextoNormal"/>
      </w:pPr>
    </w:p>
    <w:p w14:paraId="001910F2" w14:textId="77777777" w:rsidR="003754FE" w:rsidRDefault="003754FE" w:rsidP="003754FE">
      <w:pPr>
        <w:pStyle w:val="TextoNormal"/>
      </w:pPr>
      <w:r>
        <w:t>k) Por escrito fechado el 10 de febrero de 2020, don Fernando Rodríguez Valderrama, perjudicado en el procedimiento y beneficiario de la indemnización fijada en la sentencia en concepto de responsabilidad civil, solicitó al Juzgado de lo Penal núm. 4 de Sevilla que se efectuase a través de la oficina correspondiente la averiguación patrimonial del ejecutado, manifestando tener conocimiento de que el condenado se encontraba trabajando en Ibiza.</w:t>
      </w:r>
    </w:p>
    <w:p w14:paraId="44D39B97" w14:textId="77777777" w:rsidR="003754FE" w:rsidRDefault="003754FE" w:rsidP="003754FE">
      <w:pPr>
        <w:pStyle w:val="TextoNormal"/>
      </w:pPr>
    </w:p>
    <w:p w14:paraId="4809731E" w14:textId="77777777" w:rsidR="003754FE" w:rsidRDefault="003754FE" w:rsidP="003754FE">
      <w:pPr>
        <w:pStyle w:val="TextoNormal"/>
      </w:pPr>
      <w:r>
        <w:t>Comprobada la cuenta de consignaciones del juzgado (que arrojó un saldo de “cero euros”), el 19 de febrero de 2021 el Juzgado de lo Penal núm. 4 de Sevilla acordó una nueva investigación patrimonial del hoy demandante de amparo. De la misma resulta: (i) que el penado figuraba en situación de alta en la Tesorería General de la Seguridad Social desde el día 6 de febrero de 2021 con un contrato de “duración determinada tiempo completo obra o servicio” en una empresa con domicilio en La Puebla de Cazalla; (ii) que en el año fiscal 2019 había obtenido ingresos de tres empleadores que ascendían a 3313,04 €; 1343,70 €, y 47,95 €; (iii) era titular de una cuenta bancaria en Caixabank con un saldo a 31 de diciembre de 2019 de 1,71 €; (iv) figuraba como titular de un ciclomotor matriculado en el año 2000; (v) desde el 24 de enero de 2020 había percibido un subsidio de desempleo que ascendía a 15,06 € diarios hasta el agotamiento de la prestación el 23 de julio de 2020; (vi) y desde el 1 de enero de 2021 figuraba como perceptor del ingreso mínimo vital del Instituto Nacional de la Seguridad Social cuya cantidad ascendía a 105,94 € mensuales.</w:t>
      </w:r>
    </w:p>
    <w:p w14:paraId="5CA70700" w14:textId="77777777" w:rsidR="003754FE" w:rsidRDefault="003754FE" w:rsidP="003754FE">
      <w:pPr>
        <w:pStyle w:val="TextoNormal"/>
      </w:pPr>
    </w:p>
    <w:p w14:paraId="26979540" w14:textId="77777777" w:rsidR="003754FE" w:rsidRDefault="003754FE" w:rsidP="003754FE">
      <w:pPr>
        <w:pStyle w:val="TextoNormal"/>
      </w:pPr>
      <w:r>
        <w:t>l) Efectuada la anterior consulta, el 23 de febrero de 2021 el Juzgado de lo Penal núm. 4 de Sevilla dictó decreto acordando:</w:t>
      </w:r>
    </w:p>
    <w:p w14:paraId="24565852" w14:textId="77777777" w:rsidR="003754FE" w:rsidRDefault="003754FE" w:rsidP="003754FE">
      <w:pPr>
        <w:pStyle w:val="TextoNormal"/>
      </w:pPr>
    </w:p>
    <w:p w14:paraId="75D4BAD0" w14:textId="77777777" w:rsidR="003754FE" w:rsidRDefault="003754FE" w:rsidP="003754FE">
      <w:pPr>
        <w:pStyle w:val="TextoNormal"/>
      </w:pPr>
      <w:r>
        <w:t>- “La retención de la parte proporcional del sueldo y demás emolumentos que percibe el ejecutado, Borja Partida Lobo, de la entidad […], hasta cubrir la suma de las responsabilidades reclamadas que ascienden a 5250 € en concepto de responsabilidad civil.</w:t>
      </w:r>
    </w:p>
    <w:p w14:paraId="5BC28A0F" w14:textId="77777777" w:rsidR="003754FE" w:rsidRDefault="003754FE" w:rsidP="003754FE">
      <w:pPr>
        <w:pStyle w:val="TextoNormal"/>
      </w:pPr>
    </w:p>
    <w:p w14:paraId="59E1DC8A" w14:textId="77777777" w:rsidR="003754FE" w:rsidRDefault="003754FE" w:rsidP="003754FE">
      <w:pPr>
        <w:pStyle w:val="TextoNormal"/>
      </w:pPr>
      <w:r>
        <w:t>- Saldos bancarios, hasta responder por la cantidad de 5250 € en concepto de resto de indemnización que el/la penado Borja Partida Lobo, mantenga […], debiéndose, para su efectividad, procesar telemáticamente la petición del embargo a través del punto neutro judicial.</w:t>
      </w:r>
    </w:p>
    <w:p w14:paraId="683FB134" w14:textId="77777777" w:rsidR="003754FE" w:rsidRDefault="003754FE" w:rsidP="003754FE">
      <w:pPr>
        <w:pStyle w:val="TextoNormal"/>
      </w:pPr>
    </w:p>
    <w:p w14:paraId="7DEDCF52" w14:textId="77777777" w:rsidR="003754FE" w:rsidRDefault="003754FE" w:rsidP="003754FE">
      <w:pPr>
        <w:pStyle w:val="TextoNormal"/>
      </w:pPr>
      <w:r>
        <w:t>- La retención de los créditos o cantidades que el/la penado Borja Partida Lobo, tenga que percibir de la AEAT, hasta responder por la cantidad de 5250 € en concepto de resto de multa debiendo para su efectividad, procesar telemáticamente la petición de embargo a través del punto neutro judicial”.</w:t>
      </w:r>
    </w:p>
    <w:p w14:paraId="13A3D1FA" w14:textId="77777777" w:rsidR="003754FE" w:rsidRDefault="003754FE" w:rsidP="003754FE">
      <w:pPr>
        <w:pStyle w:val="TextoNormal"/>
      </w:pPr>
    </w:p>
    <w:p w14:paraId="3AAA6E15" w14:textId="77777777" w:rsidR="003754FE" w:rsidRDefault="003754FE" w:rsidP="003754FE">
      <w:pPr>
        <w:pStyle w:val="TextoNormal"/>
      </w:pPr>
      <w:r>
        <w:t>En el decreto se ordenaba que dichas cantidades fuesen ingresadas en la cuenta de depósitos y consignaciones del juzgado.</w:t>
      </w:r>
    </w:p>
    <w:p w14:paraId="45BD6388" w14:textId="77777777" w:rsidR="003754FE" w:rsidRDefault="003754FE" w:rsidP="003754FE">
      <w:pPr>
        <w:pStyle w:val="TextoNormal"/>
      </w:pPr>
    </w:p>
    <w:p w14:paraId="75E2D14A" w14:textId="77777777" w:rsidR="003754FE" w:rsidRDefault="003754FE" w:rsidP="003754FE">
      <w:pPr>
        <w:pStyle w:val="TextoNormal"/>
      </w:pPr>
      <w:r>
        <w:lastRenderedPageBreak/>
        <w:t>Aunque aparece en las actuaciones el alta de la solicitud de embargo acordada, no hay constancia posterior de que fruto del mismo se obtuviese cantidad alguna.</w:t>
      </w:r>
    </w:p>
    <w:p w14:paraId="78F3CDDB" w14:textId="77777777" w:rsidR="003754FE" w:rsidRDefault="003754FE" w:rsidP="003754FE">
      <w:pPr>
        <w:pStyle w:val="TextoNormal"/>
      </w:pPr>
    </w:p>
    <w:p w14:paraId="7AA60BEE" w14:textId="77777777" w:rsidR="003754FE" w:rsidRDefault="003754FE" w:rsidP="003754FE">
      <w:pPr>
        <w:pStyle w:val="TextoNormal"/>
      </w:pPr>
      <w:r>
        <w:t>m) Figura en la causa una nueva verificación del saldo disponible en la cuenta de depósitos del juzgado (cero euros) y una consulta efectuada en el registro central de penados el 4 de mayo de 2021, en el que figuran las cuatro condenas que ya constaban en la anterior consulta efectuada el 22 de octubre de 2019 [antecedente 2 i) de esta sentencia].</w:t>
      </w:r>
    </w:p>
    <w:p w14:paraId="494C1602" w14:textId="77777777" w:rsidR="003754FE" w:rsidRDefault="003754FE" w:rsidP="003754FE">
      <w:pPr>
        <w:pStyle w:val="TextoNormal"/>
      </w:pPr>
    </w:p>
    <w:p w14:paraId="78DE8FAE" w14:textId="77777777" w:rsidR="003754FE" w:rsidRDefault="003754FE" w:rsidP="003754FE">
      <w:pPr>
        <w:pStyle w:val="TextoNormal"/>
      </w:pPr>
      <w:r>
        <w:t>Ese mismo día 4 de mayo de 2021 el Juzgado de lo Penal núm. 4 de Sevilla dictó diligencia de ordenación acordando:</w:t>
      </w:r>
    </w:p>
    <w:p w14:paraId="2878500A" w14:textId="77777777" w:rsidR="003754FE" w:rsidRDefault="003754FE" w:rsidP="003754FE">
      <w:pPr>
        <w:pStyle w:val="TextoNormal"/>
      </w:pPr>
    </w:p>
    <w:p w14:paraId="783BB0D0" w14:textId="77777777" w:rsidR="003754FE" w:rsidRDefault="003754FE" w:rsidP="003754FE">
      <w:pPr>
        <w:pStyle w:val="TextoNormal"/>
      </w:pPr>
      <w:r>
        <w:t>“Visto lo actuado, finalizado el plazo de suspensión de tres años y comprobada la cuenta de consignaciones de este juzgado número […] respecto al penado Borja Partida Lobo […] y constando ingresados cero euros, dése traslado de la misma al Ministerio Fiscal a fin de que emita el oportuno informe sobre la remisión definitiva o la revocación de la suspensión de la ejecución de la pena en su caso.</w:t>
      </w:r>
    </w:p>
    <w:p w14:paraId="4E9354E6" w14:textId="77777777" w:rsidR="003754FE" w:rsidRDefault="003754FE" w:rsidP="003754FE">
      <w:pPr>
        <w:pStyle w:val="TextoNormal"/>
      </w:pPr>
    </w:p>
    <w:p w14:paraId="6585DC23" w14:textId="77777777" w:rsidR="003754FE" w:rsidRDefault="003754FE" w:rsidP="003754FE">
      <w:pPr>
        <w:pStyle w:val="TextoNormal"/>
      </w:pPr>
      <w:r>
        <w:t>Dése traslado también a su defensa para que presente alegaciones por plazo de cinco días sobre la posible revocación por incumplimiento del requisito de pago de la responsabilidad civil y una vez transcurrido el mismo se acordará”.</w:t>
      </w:r>
    </w:p>
    <w:p w14:paraId="5100A845" w14:textId="77777777" w:rsidR="003754FE" w:rsidRDefault="003754FE" w:rsidP="003754FE">
      <w:pPr>
        <w:pStyle w:val="TextoNormal"/>
      </w:pPr>
    </w:p>
    <w:p w14:paraId="64E8C429" w14:textId="77777777" w:rsidR="003754FE" w:rsidRDefault="003754FE" w:rsidP="003754FE">
      <w:pPr>
        <w:pStyle w:val="TextoNormal"/>
      </w:pPr>
      <w:r>
        <w:t>n) Dando cumplimiento al anterior requerimiento, el 21 de mayo de 2021 la defensa del penado presentó un escrito en el Juzgado de lo Penal núm. 4 de Sevilla en el que manifestaba:</w:t>
      </w:r>
    </w:p>
    <w:p w14:paraId="125E864A" w14:textId="77777777" w:rsidR="003754FE" w:rsidRDefault="003754FE" w:rsidP="003754FE">
      <w:pPr>
        <w:pStyle w:val="TextoNormal"/>
      </w:pPr>
    </w:p>
    <w:p w14:paraId="1E6C4DFB" w14:textId="77777777" w:rsidR="003754FE" w:rsidRDefault="003754FE" w:rsidP="003754FE">
      <w:pPr>
        <w:pStyle w:val="TextoNormal"/>
      </w:pPr>
      <w:r>
        <w:t>“Que esta representación no tiene noticias del acusado, ya que no ha sido posible contactar con el mismo, por lo que interesamos la notificación personal de la resolución que contestamos.</w:t>
      </w:r>
    </w:p>
    <w:p w14:paraId="42F47E9D" w14:textId="77777777" w:rsidR="003754FE" w:rsidRDefault="003754FE" w:rsidP="003754FE">
      <w:pPr>
        <w:pStyle w:val="TextoNormal"/>
      </w:pPr>
    </w:p>
    <w:p w14:paraId="10661CA8" w14:textId="77777777" w:rsidR="003754FE" w:rsidRDefault="003754FE" w:rsidP="003754FE">
      <w:pPr>
        <w:pStyle w:val="TextoNormal"/>
      </w:pPr>
      <w:r>
        <w:t>No obstante, las últimas informaciones de las que disponíamos eran que el joven Borja Partida Lobo está siendo sustentado por su abuela, que el mismo no dispone de medios de subsistencia, y que estaba en tratamiento médico psicológico.</w:t>
      </w:r>
    </w:p>
    <w:p w14:paraId="3EF79D85" w14:textId="77777777" w:rsidR="003754FE" w:rsidRDefault="003754FE" w:rsidP="003754FE">
      <w:pPr>
        <w:pStyle w:val="TextoNormal"/>
      </w:pPr>
    </w:p>
    <w:p w14:paraId="33529BFC" w14:textId="77777777" w:rsidR="003754FE" w:rsidRDefault="003754FE" w:rsidP="003754FE">
      <w:pPr>
        <w:pStyle w:val="TextoNormal"/>
      </w:pPr>
      <w:r>
        <w:t>Al margen de ello, esta parte entiende que la indemnización fijada en sentencia se tendría que dirimir por los cauces estrictamente civiles, dentro de la pieza de responsabilidad civil”.</w:t>
      </w:r>
    </w:p>
    <w:p w14:paraId="6A88011F" w14:textId="77777777" w:rsidR="003754FE" w:rsidRDefault="003754FE" w:rsidP="003754FE">
      <w:pPr>
        <w:pStyle w:val="TextoNormal"/>
      </w:pPr>
    </w:p>
    <w:p w14:paraId="3E77C64B" w14:textId="77777777" w:rsidR="003754FE" w:rsidRDefault="003754FE" w:rsidP="003754FE">
      <w:pPr>
        <w:pStyle w:val="TextoNormal"/>
      </w:pPr>
      <w:r>
        <w:t>El 23 de junio de 2021 el Ministerio Fiscal emitió el siguiente informe: “Instruido en el contenido de las diligencias practicadas, procede requerir al condenado Borja Partida Lobo, para que haga efectivo el importe de la responsabilidad civil por la que ha sido condenado, debiendo dejarse sin efecto los plazos de fraccionamiento establecidos a su favor, y con la advertencia de que en caso de su impago, el incumplimiento determinará la revocación de los beneficios de suspensión de la pena privativa de libertad que le fue impuesta”.</w:t>
      </w:r>
    </w:p>
    <w:p w14:paraId="39227249" w14:textId="77777777" w:rsidR="003754FE" w:rsidRDefault="003754FE" w:rsidP="003754FE">
      <w:pPr>
        <w:pStyle w:val="TextoNormal"/>
      </w:pPr>
    </w:p>
    <w:p w14:paraId="12BBC154" w14:textId="77777777" w:rsidR="003754FE" w:rsidRDefault="003754FE" w:rsidP="003754FE">
      <w:pPr>
        <w:pStyle w:val="TextoNormal"/>
      </w:pPr>
      <w:r>
        <w:t>ñ) Por auto de 30 de junio de 2021 el Juzgado de lo Penal núm. 4 de Sevilla acordó revocar el beneficio de la suspensión de la pena privativa de libertad impuesta a Borja Partida Lobo y ejecutar el fallo en suspenso.</w:t>
      </w:r>
    </w:p>
    <w:p w14:paraId="0A056313" w14:textId="77777777" w:rsidR="003754FE" w:rsidRDefault="003754FE" w:rsidP="003754FE">
      <w:pPr>
        <w:pStyle w:val="TextoNormal"/>
      </w:pPr>
    </w:p>
    <w:p w14:paraId="057BAC64" w14:textId="77777777" w:rsidR="003754FE" w:rsidRDefault="003754FE" w:rsidP="003754FE">
      <w:pPr>
        <w:pStyle w:val="TextoNormal"/>
      </w:pPr>
      <w:r>
        <w:lastRenderedPageBreak/>
        <w:t>En el auto se recuerda el contenido del art. 86.1 d) CP y la flexibilidad introducida en materia de ejecución y suspensión de las penas mediante la Ley Orgánica 1/2015. Transcribe el art. 86.2 CP, que señala: “Si el incumplimiento de las prohibiciones, deberes o condiciones no hubiera tenido carácter grave o reiterado, el juez o tribunal podrá: a) Imponer al penado nuevas prohibiciones, deberes o condiciones, o modificar las ya impuestas. b) Prorrogar el plazo de suspensión, sin que en ningún caso pueda exceder de la mitad de la duración del que hubiera sido inicialmente fijado”.</w:t>
      </w:r>
    </w:p>
    <w:p w14:paraId="0277F66C" w14:textId="77777777" w:rsidR="003754FE" w:rsidRDefault="003754FE" w:rsidP="003754FE">
      <w:pPr>
        <w:pStyle w:val="TextoNormal"/>
      </w:pPr>
    </w:p>
    <w:p w14:paraId="71C290A2" w14:textId="77777777" w:rsidR="003754FE" w:rsidRDefault="003754FE" w:rsidP="003754FE">
      <w:pPr>
        <w:pStyle w:val="TextoNormal"/>
      </w:pPr>
      <w:r>
        <w:t>Y añade, en lo que afecta al objeto del recurso de amparo: “No está previendo dicho precepto el supuesto de incumplimiento de las responsabilidades civiles derivadas del delito por el que el penado haya sido condenado, ya que es una de las condiciones fundamentales previstas en el art. 80 CP, la cual no puede ser obviada ni siquiera en los supuestos excepcionales de los apartados 3 y 5 del mismo artículo. Por lo tanto, una vez comprobado el incumplimiento de las responsabilidades civiles fijadas en sentencia, al no haber abonado la responsabilidad civil a la que fue condenado, y teniendo en cuenta que han transcurrido ya más de tres años desde la firmeza de la misma, y que el penado no ha abonado ni un euro del importe impuesto en concepto de responsabilidad civil, sabiendo que ello era condición del mantenimiento de la suspensión, lo cual supone una conducta suficiente para acreditar la ausencia de una voluntad real de pago y de resarcimiento del daño causado a la víctima, por lo que no cabe otra consecuencia que la de revocar la suspensión concedida y acordar el cumplimiento de la pena inicialmente impuesta”.</w:t>
      </w:r>
    </w:p>
    <w:p w14:paraId="649318B6" w14:textId="77777777" w:rsidR="003754FE" w:rsidRDefault="003754FE" w:rsidP="003754FE">
      <w:pPr>
        <w:pStyle w:val="TextoNormal"/>
      </w:pPr>
    </w:p>
    <w:p w14:paraId="12B53EDD" w14:textId="77777777" w:rsidR="003754FE" w:rsidRDefault="003754FE" w:rsidP="003754FE">
      <w:pPr>
        <w:pStyle w:val="TextoNormal"/>
      </w:pPr>
      <w:r>
        <w:t>o) Contra esta resolución la representación procesal del penado interpuso recurso de reforma fechado el 13 de julio de 2021, solicitando una prórroga de dieciocho meses para que el penado pudiese hacer frente a las responsabilidades civiles y que el mismo fuese personalmente requerido y advertido de las consecuencias de su incumplimiento. En el escrito el letrado manifestaba que seguía sin tener contacto con el penado ni tener noticias personales directas del mismo y reiteraba que por las últimas informaciones de las que disponía, facilitadas por la abuela del penado, el mismo carecía de medios de subsistencia y necesitaba tratamiento médico.</w:t>
      </w:r>
    </w:p>
    <w:p w14:paraId="0886E9EA" w14:textId="77777777" w:rsidR="003754FE" w:rsidRDefault="003754FE" w:rsidP="003754FE">
      <w:pPr>
        <w:pStyle w:val="TextoNormal"/>
      </w:pPr>
    </w:p>
    <w:p w14:paraId="70DA85B6" w14:textId="77777777" w:rsidR="003754FE" w:rsidRDefault="003754FE" w:rsidP="003754FE">
      <w:pPr>
        <w:pStyle w:val="TextoNormal"/>
      </w:pPr>
      <w:r>
        <w:t>p) Don Fernando Rodríguez Valderrama, perjudicado en el procedimiento y beneficiario de la indemnización fijada en la sentencia en concepto de responsabilidad civil, a través de su representación procesal, el 15 de septiembre de 2021, presentó escrito en el juzgado oponiéndose al recurso de reforma interpuesto, alegando “la nula posibilidad ni voluntad del acusado de cumplir con el pago impuesto” y que “la falta de pago no deriva sino de la falta de voluntad de cumplir con la pena impuesta”, subrayando que la ejecutoria era del año 2017 y el penado no había abonado ni un solo euro, a pesar de que al perjudicado le constaba que venía trabajando de manera regular en La Puebla de Cazalla.</w:t>
      </w:r>
    </w:p>
    <w:p w14:paraId="1B249618" w14:textId="77777777" w:rsidR="003754FE" w:rsidRDefault="003754FE" w:rsidP="003754FE">
      <w:pPr>
        <w:pStyle w:val="TextoNormal"/>
      </w:pPr>
    </w:p>
    <w:p w14:paraId="16158C7A" w14:textId="77777777" w:rsidR="003754FE" w:rsidRDefault="003754FE" w:rsidP="003754FE">
      <w:pPr>
        <w:pStyle w:val="TextoNormal"/>
      </w:pPr>
      <w:r>
        <w:t>q) El 17 de agosto de 2021 se notificó personalmente al penado el auto acordando la revocación de la suspensión de la pena privativa de libertad y el 19 de octubre de 2021 su defensa presentó un nuevo escrito en el Juzgado de lo Penal núm. 4 de Sevilla reiterando que el penado estaba siendo sustentado por su abuela; carecía de medios de subsistencia; estaba en tratamiento médico psicológico por sus adicciones; únicamente percibía como ayuda el ingreso mínimo vital “por importe de 105,94 € [al] mes y por pocos meses” y “[e]n su vida laboral, aparece que solo ha trabajado, en todo un año, un día al mes, a lo sumo dos, durante algunos meses no todos”.</w:t>
      </w:r>
    </w:p>
    <w:p w14:paraId="4165C53F" w14:textId="77777777" w:rsidR="003754FE" w:rsidRDefault="003754FE" w:rsidP="003754FE">
      <w:pPr>
        <w:pStyle w:val="TextoNormal"/>
      </w:pPr>
    </w:p>
    <w:p w14:paraId="41AC4870" w14:textId="77777777" w:rsidR="003754FE" w:rsidRDefault="003754FE" w:rsidP="003754FE">
      <w:pPr>
        <w:pStyle w:val="TextoNormal"/>
      </w:pPr>
      <w:r>
        <w:t>Con el fin de acreditar sus alegaciones, junto al anterior escrito la defensa del penado remitió al juzgado la siguiente documentación: (i) certificado de la Seguridad Social fechado el 7 de septiembre de 2021 con el historial laboral del penado entre los años 2014 y 2021; (ii) certificados emitidos por el Instituto Nacional de la Seguridad Social indicando que el penado no figuraba como titular de pensiones públicas y percibía (a fecha de 17 de septiembre de 2021) como prestación el ingreso mínimo vital por un importe mensual de 105,94 €; (iii) certificado del Servicio Público de Empleo Estatal de Sevilla en el que consta que el penado, a fecha de 17 de septiembre de 2021, no figuraba como beneficiario de prestación/subsidio por desempleo; y (iv) informe clínico del penado de 25 de noviembre de 2019 en el que consta que el mismo estaba “en seguimiento por deshabituación alcohólica” y su tratamiento, unido a un justificante del servicio de atención y prevención de drogodependencias del Ayuntamiento de Marchena (Sevilla) fechado el 25 de noviembre de 2019 en el que constan los antecedentes, evolución y tratamiento del penado desde que inició el contacto con el centro en septiembre de 2018.</w:t>
      </w:r>
    </w:p>
    <w:p w14:paraId="55AADFB6" w14:textId="77777777" w:rsidR="003754FE" w:rsidRDefault="003754FE" w:rsidP="003754FE">
      <w:pPr>
        <w:pStyle w:val="TextoNormal"/>
      </w:pPr>
    </w:p>
    <w:p w14:paraId="2E8A8EB8" w14:textId="77777777" w:rsidR="003754FE" w:rsidRDefault="003754FE" w:rsidP="003754FE">
      <w:pPr>
        <w:pStyle w:val="TextoNormal"/>
      </w:pPr>
      <w:r>
        <w:t>r) El 27 de octubre de 2021 tuvo entrada en el Juzgado de lo Penal núm. 4 de Sevilla el escrito de impugnación del recurso de reforma del Ministerio Fiscal interesando la desestimación del recurso interpuesto, estimando procedente el cumplimiento de la pena privativa de libertad impuesta.</w:t>
      </w:r>
    </w:p>
    <w:p w14:paraId="3CA99159" w14:textId="77777777" w:rsidR="003754FE" w:rsidRDefault="003754FE" w:rsidP="003754FE">
      <w:pPr>
        <w:pStyle w:val="TextoNormal"/>
      </w:pPr>
    </w:p>
    <w:p w14:paraId="54B62BE0" w14:textId="77777777" w:rsidR="003754FE" w:rsidRDefault="003754FE" w:rsidP="003754FE">
      <w:pPr>
        <w:pStyle w:val="TextoNormal"/>
      </w:pPr>
      <w:r>
        <w:t>s) Por auto de 30 de noviembre de 2021 el Jugado de lo Penal núm. 4 de Sevilla desestimó el recurso de reforma con la siguiente fundamentación jurídica:</w:t>
      </w:r>
    </w:p>
    <w:p w14:paraId="743BD5EB" w14:textId="77777777" w:rsidR="003754FE" w:rsidRDefault="003754FE" w:rsidP="003754FE">
      <w:pPr>
        <w:pStyle w:val="TextoNormal"/>
      </w:pPr>
    </w:p>
    <w:p w14:paraId="206D4097" w14:textId="77777777" w:rsidR="003754FE" w:rsidRDefault="003754FE" w:rsidP="003754FE">
      <w:pPr>
        <w:pStyle w:val="TextoNormal"/>
      </w:pPr>
      <w:r>
        <w:t xml:space="preserve">“La parte recurrente impugna el auto de 30 de junio de 2021 al entender que la resolución recurrida yerra al interpretar el contenido del art. 86.1 d) del Código penal. Tal y como se señaló en el auto recurrido, dicho precepto impone la revocación de la suspensión cuando el penado ‘no dé cumplimiento al compromiso de pago de las responsabilidades civiles a que hubiera sido condenado, salvo que careciera de capacidad económica para ello’. Entiende la parte recurrente que el último inciso del texto transcrito permite a los penados seguir disfrutando del beneficio de la suspensión, aunque se desentienda del pago de la indemnización fijada como responsabilidad civil en sentencia, aduciendo su situación económica. No obstante, no entendemos que dicho inciso deba ser interpretado en tal sentido, pues ello supondría vaciar de contenido las distintas previsiones introducidas por la reforma operada por la Ley Orgánica 1/2015 en materia de suspensión de las penas privativas de libertad con la finalidad de proteger a la víctima, principal foco de atención de dicha reforma. Entendemos, al contrario que la parte recurrente, que dicho inciso debe ser entendido en el sentido de una mayor flexibilidad a la hora de valorar dicho incumplimiento, tal y como se ha verificado en la presente causa, en la cual el penado no ha abonado ni un solo euro de la indemnización a cuyo pago fue condenado en sentencia, hasta el punto de que han transcurrido ya más de tres años desde la firmeza de la sentencia sin que se haya actuado contra dicho impago, concediendo un plazo más que razonable. Entendemos que puede atravesar una situación económica complicada, pero no realizar un solo pago, por pequeño que sea, no puede sino obedecer a una actitud rebelde al cumplimiento de lo acordado en sentencia, sin ser relevante que se haya acordado la insolvencia del penado, ya que el cumplimiento de la pena no implica una ‘prisión por deudas’, sino la ejecución de una sentencia en la que al penado se le impuso una pena de prisión, concediéndole un beneficio excepcional en su ejecución, consistente en la suspensión de su cumplimiento siempre que el penado </w:t>
      </w:r>
      <w:r>
        <w:lastRenderedPageBreak/>
        <w:t>cumpliera una serie de condiciones, entre las que se encontraba el pago de la responsabilidad civil. El penado aceptó estas condiciones para acceder a la suspensión, y si ha venido a peor fortuna ello no empece el hecho de que ha sido condenado a una pena de prisión, la cual debe ser cumplida en sus estrictos términos, lo cual afecta también a las condiciones impuestas para su suspensión. Se aprecia así una absoluta falta de colaboración del penado con la administración de justicia que no debe ser premiada con beneficios en la ejecución de la pena como es la concesión de un nuevo aplazamiento en el pago de la indemnización.</w:t>
      </w:r>
    </w:p>
    <w:p w14:paraId="18989710" w14:textId="77777777" w:rsidR="003754FE" w:rsidRDefault="003754FE" w:rsidP="003754FE">
      <w:pPr>
        <w:pStyle w:val="TextoNormal"/>
      </w:pPr>
    </w:p>
    <w:p w14:paraId="556198D4" w14:textId="77777777" w:rsidR="003754FE" w:rsidRDefault="003754FE" w:rsidP="003754FE">
      <w:pPr>
        <w:pStyle w:val="TextoNormal"/>
      </w:pPr>
      <w:r>
        <w:t>En consecuencia, entendemos que la resolución recurrida recogía un criterio plenamente ajustado a la legalidad vigente, por lo que procede desestimar el recurso planteado […]”.</w:t>
      </w:r>
    </w:p>
    <w:p w14:paraId="1BF3DB99" w14:textId="77777777" w:rsidR="003754FE" w:rsidRDefault="003754FE" w:rsidP="003754FE">
      <w:pPr>
        <w:pStyle w:val="TextoNormal"/>
      </w:pPr>
    </w:p>
    <w:p w14:paraId="12DD4333" w14:textId="77777777" w:rsidR="003754FE" w:rsidRDefault="003754FE" w:rsidP="003754FE">
      <w:pPr>
        <w:pStyle w:val="TextoNormal"/>
      </w:pPr>
      <w:r>
        <w:t>t) El penado interpuso recurso de apelación contra la anterior resolución, reiterando la existencia de circunstancias, a su juicio excepcionales, que justificarían su petición: (i) su ausencia de capacidad económica documentalmente acreditada y cuya verificación a través del punto neutro judicial interesaba; (ii) estaba siendo sustentado por su abuela y en tratamiento médico por sus adicciones; (iii) su único ingreso eran 105,94 € mensuales por un periodo de seis meses, como ayuda de ingreso mínimo vital. En el recurso denunciaba la infracción del art. 86.1 d) CP; invocaba “la filosofía que inspira el art. 80 CP”; y argumentaba que, además, su ingreso en prisión impediría que la víctima percibiese su indemnización. Solicitaba que se declarase que no procedía la revocación de la suspensión de la pena ante su ausencia de capacidad económica o, subsidiariamente, se otorgase un nuevo plazo para poder pagar la deuda, afirmando que su abuela materna le ayudaría a hacer frente al pago de la indemnización.</w:t>
      </w:r>
    </w:p>
    <w:p w14:paraId="1F71F6DD" w14:textId="77777777" w:rsidR="003754FE" w:rsidRDefault="003754FE" w:rsidP="003754FE">
      <w:pPr>
        <w:pStyle w:val="TextoNormal"/>
      </w:pPr>
    </w:p>
    <w:p w14:paraId="0C06D315" w14:textId="77777777" w:rsidR="003754FE" w:rsidRDefault="003754FE" w:rsidP="003754FE">
      <w:pPr>
        <w:pStyle w:val="TextoNormal"/>
      </w:pPr>
      <w:r>
        <w:t>Don Fernando Rodríguez Valderrama, perjudicado en el procedimiento y beneficiario de la indemnización, presentó escrito oponiéndose al recurso de apelación interpuesto, reiterando las alegaciones previamente formuladas relativas a la nula posibilidad y nula voluntad del acusado de cumplir con el pago y la pena impuesta.</w:t>
      </w:r>
    </w:p>
    <w:p w14:paraId="314E0771" w14:textId="77777777" w:rsidR="003754FE" w:rsidRDefault="003754FE" w:rsidP="003754FE">
      <w:pPr>
        <w:pStyle w:val="TextoNormal"/>
      </w:pPr>
    </w:p>
    <w:p w14:paraId="50A96438" w14:textId="77777777" w:rsidR="003754FE" w:rsidRDefault="003754FE" w:rsidP="003754FE">
      <w:pPr>
        <w:pStyle w:val="TextoNormal"/>
      </w:pPr>
      <w:r>
        <w:t>El Ministerio Fiscal presentó escrito oponiéndose al recurso de apelación interpuesto e interesando la confirmación de la resolución recurrida.</w:t>
      </w:r>
    </w:p>
    <w:p w14:paraId="18DB865C" w14:textId="77777777" w:rsidR="003754FE" w:rsidRDefault="003754FE" w:rsidP="003754FE">
      <w:pPr>
        <w:pStyle w:val="TextoNormal"/>
      </w:pPr>
    </w:p>
    <w:p w14:paraId="2C35162D" w14:textId="77777777" w:rsidR="003754FE" w:rsidRDefault="003754FE" w:rsidP="003754FE">
      <w:pPr>
        <w:pStyle w:val="TextoNormal"/>
      </w:pPr>
      <w:r>
        <w:t>u) Consta en la causa una nueva verificación efectuada en el registro central de penados el 9 de marzo de 2022, en el que figuraban anotadas las cuatro condenas que ya constaban en las anteriores consultas efectuadas el 22 de octubre de 2019 y el 4 de mayo de 2021 [antecedente 2, apartados i) y m) de esta sentencia].</w:t>
      </w:r>
    </w:p>
    <w:p w14:paraId="2ADC7F0B" w14:textId="77777777" w:rsidR="003754FE" w:rsidRDefault="003754FE" w:rsidP="003754FE">
      <w:pPr>
        <w:pStyle w:val="TextoNormal"/>
      </w:pPr>
    </w:p>
    <w:p w14:paraId="02E9B1CB" w14:textId="77777777" w:rsidR="003754FE" w:rsidRDefault="003754FE" w:rsidP="003754FE">
      <w:pPr>
        <w:pStyle w:val="TextoNormal"/>
      </w:pPr>
      <w:r>
        <w:t>v) El recurso de apelación fue desestimado por auto de 14 de marzo de 2022 de la Sección Séptima de la Audiencia Provincial de Sevilla, que descartó la infracción del art. 86.1 d) CP en los siguientes términos:</w:t>
      </w:r>
    </w:p>
    <w:p w14:paraId="40C4B568" w14:textId="77777777" w:rsidR="003754FE" w:rsidRDefault="003754FE" w:rsidP="003754FE">
      <w:pPr>
        <w:pStyle w:val="TextoNormal"/>
      </w:pPr>
    </w:p>
    <w:p w14:paraId="78F1EE26" w14:textId="77777777" w:rsidR="003754FE" w:rsidRDefault="003754FE" w:rsidP="003754FE">
      <w:pPr>
        <w:pStyle w:val="TextoNormal"/>
      </w:pPr>
      <w:r>
        <w:t>“El artículo 86.1 c) del Código penal establece que el juez o tribunal revocará la suspensión y ordenará la ejecución de la pena cuando incumpla de forma grave o reiterada las condiciones que para la suspensión hubieran sido impuestas conforme al artículo 84.</w:t>
      </w:r>
    </w:p>
    <w:p w14:paraId="5D8E73A5" w14:textId="77777777" w:rsidR="003754FE" w:rsidRDefault="003754FE" w:rsidP="003754FE">
      <w:pPr>
        <w:pStyle w:val="TextoNormal"/>
      </w:pPr>
    </w:p>
    <w:p w14:paraId="53EBB237" w14:textId="77777777" w:rsidR="003754FE" w:rsidRDefault="003754FE" w:rsidP="003754FE">
      <w:pPr>
        <w:pStyle w:val="TextoNormal"/>
      </w:pPr>
      <w:r>
        <w:t xml:space="preserve">En el presente caso la condición impuesta fue el abono de la responsabilidad civil a lo largo del periodo de suspensión de tres años. El acusado, aunque afirma que carece en la actualidad de recursos económicos, a lo largo del referido periodo no ha hecho el más </w:t>
      </w:r>
      <w:r>
        <w:lastRenderedPageBreak/>
        <w:t>mínimo ingreso para satisfacer la responsabilidad civil a la que venía condenado, ascendente a 5250 €, lo que demuestra una voluntad contraria u obstativa a reparar el daño causado y en definitiva a rehabilitarse, debiendo tenerse en cuenta a mayor abundamiento que con posterioridad al referido delito ha cometido otro delito de lesiones, concretamente el 26 de julio de 2015 por el que fue condenado a la pena de dos años de prisión, que le fue suspendida también por plazo de tres años el 4 de octubre de 2018, y un delito de desobediencia el 10 de septiembre de 2018, cuando ya se había concedido la suspensión por el delito de lesiones objeto de la presente ejecutoria si bien no se le había notificado personalmente la misma.</w:t>
      </w:r>
    </w:p>
    <w:p w14:paraId="4ADA62E1" w14:textId="77777777" w:rsidR="003754FE" w:rsidRDefault="003754FE" w:rsidP="003754FE">
      <w:pPr>
        <w:pStyle w:val="TextoNormal"/>
      </w:pPr>
    </w:p>
    <w:p w14:paraId="4998C118" w14:textId="77777777" w:rsidR="003754FE" w:rsidRDefault="003754FE" w:rsidP="003754FE">
      <w:pPr>
        <w:pStyle w:val="TextoNormal"/>
      </w:pPr>
      <w:r>
        <w:t>Por todo lo expuesto considerando que se ha producido un incumplimiento grave o reiterado de la condición que le fue impuesta para la concesión de la suspensión, el cual no es un derecho del penado, siendo la regla general del cumplimiento de la pena tal y como fue impuesta en la sentencia, procede confirmar la resolución de revocación del referido beneficio, desestimando el recurso formulado”.</w:t>
      </w:r>
    </w:p>
    <w:p w14:paraId="6E3817D9" w14:textId="77777777" w:rsidR="003754FE" w:rsidRDefault="003754FE" w:rsidP="003754FE">
      <w:pPr>
        <w:pStyle w:val="TextoNormal"/>
      </w:pPr>
    </w:p>
    <w:p w14:paraId="3AA710B6" w14:textId="77777777" w:rsidR="003754FE" w:rsidRDefault="003754FE" w:rsidP="003754FE">
      <w:pPr>
        <w:pStyle w:val="TextoNormal"/>
      </w:pPr>
      <w:r>
        <w:t xml:space="preserve">w) El penado, hoy recurrente en amparo, instó un incidente de nulidad de actuaciones (art. 241 de la Ley Orgánica del Poder Judicial) frente al auto de 14 de marzo de 2022, invocando sus derechos a la tutela judicial efectiva (art. 24.1 CE) y a una resolución motivada (art. 120.3 CE). Alegaba la indefensión sufrida y la existencia de un error en la resolución de la Sala al razonar que no procedía la estimación del recurso de apelación interpuesto pues el penado no había pagado la indemnización. En el escrito el penado: (i) reiteraba sus alegaciones relativas a su falta de capacidad económica, señalando que obraba en el procedimiento documental acreditativa de su situación, cuya verificación a través del punto neutro judicial había solicitado; (ii) manifestaba que “no se ha dado pronunciamiento sobre el otorgamiento de un nuevo plazo para poder pagar la deuda”; (iii) invocaba “la filosofía que inspira el art. 86 CP”, que no regula una revocación de la suspensión automática; (iv) señalaba que la revocación de la suspensión de la pena exigía un incumplimiento grave y “sobre todo debe ser motivada”, “se necesita un </w:t>
      </w:r>
      <w:r w:rsidRPr="003754FE">
        <w:rPr>
          <w:i/>
        </w:rPr>
        <w:t>plus</w:t>
      </w:r>
      <w:r>
        <w:t>”, resultando insuficiente afirmar que “no ha pagado la indemnización”; (v) en un apartado de su escrito, junto al art. 24 CE mencionaba el art. 25 CE como precepto infringido, si bien no desarrollaba ninguna alegación sobre este último precepto; (vi) concluía que la Sala debía analizar las razones de fondo de la falta de cumplimiento del pago de la indemnización y conceder un nuevo aplazamiento o una medida alternativa a la entrada en prisión, como la imposición de trabajos en beneficio de la comunidad.</w:t>
      </w:r>
    </w:p>
    <w:p w14:paraId="3E102192" w14:textId="77777777" w:rsidR="003754FE" w:rsidRDefault="003754FE" w:rsidP="003754FE">
      <w:pPr>
        <w:pStyle w:val="TextoNormal"/>
      </w:pPr>
    </w:p>
    <w:p w14:paraId="50C5733C" w14:textId="77777777" w:rsidR="003754FE" w:rsidRDefault="003754FE" w:rsidP="003754FE">
      <w:pPr>
        <w:pStyle w:val="TextoNormal"/>
      </w:pPr>
      <w:r>
        <w:t>x) El incidente de nulidad de actuaciones fue inadmitido por providencia de 27 de abril de 2022 de la Sección Séptima de la Audiencia Provincial de Sevilla. En la providencia se indica: “Se inadmite el incidente de nulidad [de actuaciones] planteado en tanto que en la resolución cuya nulidad se pretende, se razonan y exponen los argumentos que justifican la revocación de la suspensión debidamente acordada por el Juzgado de lo Penal núm. 4 de Sevilla”.</w:t>
      </w:r>
    </w:p>
    <w:p w14:paraId="2D378D09" w14:textId="77777777" w:rsidR="003754FE" w:rsidRDefault="003754FE" w:rsidP="003754FE">
      <w:pPr>
        <w:pStyle w:val="TextoNormal"/>
      </w:pPr>
    </w:p>
    <w:p w14:paraId="64766686" w14:textId="77777777" w:rsidR="003754FE" w:rsidRDefault="003754FE" w:rsidP="003754FE">
      <w:pPr>
        <w:pStyle w:val="TextoNormal"/>
      </w:pPr>
      <w:r>
        <w:t>y) El 3 de mayo de 2022 el penado fue personalmente requerido para verificar su ingreso voluntario en centro penitenciario por término de diez días para el cumplimiento de la pena de catorce meses de prisión; bajo apercibimiento de que en caso contrario se decretaría su busca, captura e inmediato ingreso en prisión.</w:t>
      </w:r>
    </w:p>
    <w:p w14:paraId="406CAC6F" w14:textId="77777777" w:rsidR="003754FE" w:rsidRDefault="003754FE" w:rsidP="003754FE">
      <w:pPr>
        <w:pStyle w:val="TextoNormal"/>
      </w:pPr>
    </w:p>
    <w:p w14:paraId="2B204051" w14:textId="77777777" w:rsidR="003754FE" w:rsidRDefault="003754FE" w:rsidP="003754FE">
      <w:pPr>
        <w:pStyle w:val="TextoNormal"/>
      </w:pPr>
      <w:r>
        <w:lastRenderedPageBreak/>
        <w:t>z) El 25 de mayo de 2022 se acordó por auto del Juzgado de lo Penal núm. 4 de Sevilla la búsqueda, captura e ingreso en prisión del penado, a fin de cumplir la pena impuesta de dieciséis meses. Este auto fue aclarado por auto de 22 de junio de 2022, rectificando la duración de la pena impuesta que debía ser cumplida (catorce meses).</w:t>
      </w:r>
    </w:p>
    <w:p w14:paraId="11E9C6CC" w14:textId="77777777" w:rsidR="003754FE" w:rsidRDefault="003754FE" w:rsidP="003754FE">
      <w:pPr>
        <w:pStyle w:val="TextoNormal"/>
      </w:pPr>
    </w:p>
    <w:p w14:paraId="6B2B34CA" w14:textId="77777777" w:rsidR="003754FE" w:rsidRDefault="003754FE" w:rsidP="003754FE">
      <w:pPr>
        <w:pStyle w:val="TextoNormal"/>
      </w:pPr>
      <w:r>
        <w:t>Por escrito que tuvo entrada en el Juzgado de lo Penal núm. 4 de Sevilla el 7 de junio de 2022, la defensa del penado interpuso recurso de reforma contra el auto de 25 de mayo de 2022, invocando su derecho a la tutela judicial efectiva (art. 24.1 CE) y solicitando la suspensión de la ejecución hasta la resolución del recurso de amparo y la sustitución de la pena de prisión por trabajos en beneficio de la comunidad.</w:t>
      </w:r>
    </w:p>
    <w:p w14:paraId="3B71FC5D" w14:textId="77777777" w:rsidR="003754FE" w:rsidRDefault="003754FE" w:rsidP="003754FE">
      <w:pPr>
        <w:pStyle w:val="TextoNormal"/>
      </w:pPr>
    </w:p>
    <w:p w14:paraId="4620FC85" w14:textId="77777777" w:rsidR="003754FE" w:rsidRDefault="003754FE" w:rsidP="003754FE">
      <w:pPr>
        <w:pStyle w:val="TextoNormal"/>
      </w:pPr>
      <w:r>
        <w:t>El recurso de reforma interpuesto fue resuelto por auto de 2 de agosto de 2022 del Juzgado de lo Penal núm. 4 de Sevilla, que desestimó la petición de suspensión indicando que el juzgado carecía de competencia para la solicitud, que debía ser formulada ante el propio Tribunal Constitucional.</w:t>
      </w:r>
    </w:p>
    <w:p w14:paraId="402A84E3" w14:textId="77777777" w:rsidR="003754FE" w:rsidRDefault="003754FE" w:rsidP="003754FE">
      <w:pPr>
        <w:pStyle w:val="TextoNormal"/>
      </w:pPr>
    </w:p>
    <w:p w14:paraId="5854AF4E" w14:textId="3A38CC76" w:rsidR="003754FE" w:rsidRDefault="003754FE" w:rsidP="003754FE">
      <w:pPr>
        <w:pStyle w:val="TextoNormal"/>
      </w:pPr>
      <w:r>
        <w:t>El penado interpuso recurso de apelación, sin que conste en las actuaciones remitidas la resolución del recurso.</w:t>
      </w:r>
    </w:p>
    <w:p w14:paraId="5472FEA5" w14:textId="77777777" w:rsidR="003754FE" w:rsidRDefault="003754FE" w:rsidP="003754FE">
      <w:pPr>
        <w:pStyle w:val="TextoNormal"/>
      </w:pPr>
    </w:p>
    <w:p w14:paraId="6FB8CFCD" w14:textId="77777777" w:rsidR="003754FE" w:rsidRDefault="003754FE" w:rsidP="003754FE">
      <w:pPr>
        <w:pStyle w:val="TextoNormal"/>
      </w:pPr>
      <w:r w:rsidRPr="003754FE">
        <w:rPr>
          <w:rStyle w:val="NumeroAFNegritaCaracter"/>
        </w:rPr>
        <w:t>3</w:t>
      </w:r>
      <w:r>
        <w:t>. El recurrente formaliza la demanda de amparo contra el auto de 30 de junio de 2021 del Juzgado de lo Penal núm. 4 de Sevilla que acordó revocar la suspensión de la pena impuesta y contra el auto de 14 de marzo de 2022 de la Sección Séptima de la Audiencia Provincial de Sevilla que desestimó el recurso de apelación interpuesto contra el primero.</w:t>
      </w:r>
    </w:p>
    <w:p w14:paraId="0DA2C780" w14:textId="77777777" w:rsidR="003754FE" w:rsidRDefault="003754FE" w:rsidP="003754FE">
      <w:pPr>
        <w:pStyle w:val="TextoNormal"/>
      </w:pPr>
    </w:p>
    <w:p w14:paraId="0BC0E62D" w14:textId="77777777" w:rsidR="003754FE" w:rsidRDefault="003754FE" w:rsidP="003754FE">
      <w:pPr>
        <w:pStyle w:val="TextoNormal"/>
      </w:pPr>
      <w:r>
        <w:t>En la demanda de amparo se plantean las siguientes quejas constitucionales:</w:t>
      </w:r>
    </w:p>
    <w:p w14:paraId="147B59DA" w14:textId="77777777" w:rsidR="003754FE" w:rsidRDefault="003754FE" w:rsidP="003754FE">
      <w:pPr>
        <w:pStyle w:val="TextoNormal"/>
      </w:pPr>
    </w:p>
    <w:p w14:paraId="7A363858" w14:textId="77777777" w:rsidR="003754FE" w:rsidRDefault="003754FE" w:rsidP="003754FE">
      <w:pPr>
        <w:pStyle w:val="TextoNormal"/>
      </w:pPr>
      <w:r>
        <w:t>a) Denuncia la vulneración de sus derechos a la tutela judicial efectiva (art. 24.1 CE) por falta de motivación de las resoluciones dictadas (art. 120.3 CE), que han revocado la suspensión de la pena impuesta al recurrente, “condenado primario” simplemente por no haber pagado la indemnización, sin entrar en más análisis de las circunstancias y de la causa de la falta de pago, como se exigiría tras la reforma efectuada por la Ley Orgánica 1/2015.</w:t>
      </w:r>
    </w:p>
    <w:p w14:paraId="19815EAB" w14:textId="77777777" w:rsidR="003754FE" w:rsidRDefault="003754FE" w:rsidP="003754FE">
      <w:pPr>
        <w:pStyle w:val="TextoNormal"/>
      </w:pPr>
    </w:p>
    <w:p w14:paraId="064500CF" w14:textId="77777777" w:rsidR="003754FE" w:rsidRDefault="003754FE" w:rsidP="003754FE">
      <w:pPr>
        <w:pStyle w:val="TextoNormal"/>
      </w:pPr>
      <w:r>
        <w:t xml:space="preserve">Argumenta que (i) no concurre ninguno de los supuestos que prevé el art. 86 para la revocación de la suspensión de la pena y el art. 86.1 d) CP dispone que el juez o tribunal revocará la suspensión y ordenará la ejecución de la pena cuando el penado no dé cumplimiento al compromiso de pago de las responsabilidades civiles a que hubiera sido condenado “salvo que careciera de capacidad económica para ello”; (ii) constan circunstancias excepcionales que justificarían su petición, pues carece de capacidad económica, está enfermo y no tiene medios de vida, extremos que acreditó documentalmente solicitando su verificación en el punto neutro judicial, diligencia que no se ha efectuado ni por el Juzgado de lo Penal ni por la Audiencia Provincial; (iii) no se explican en las resoluciones impugnadas los motivos para revocar la condena, conforme a la reforma efectuada por la Ley Orgánica 1/2015; y (iv) la filosofía que inspira el art. 86 CP exige que el incumplimiento que determina la revocación debe ser grave y que la misma “sobre todo debe ser motivada”, resultando insuficiente indicar que “no ha pagado la indemnización” pues “se necesita un </w:t>
      </w:r>
      <w:r w:rsidRPr="003754FE">
        <w:rPr>
          <w:i/>
        </w:rPr>
        <w:t>plus</w:t>
      </w:r>
      <w:r>
        <w:t>”.</w:t>
      </w:r>
    </w:p>
    <w:p w14:paraId="54DEB282" w14:textId="77777777" w:rsidR="003754FE" w:rsidRDefault="003754FE" w:rsidP="003754FE">
      <w:pPr>
        <w:pStyle w:val="TextoNormal"/>
      </w:pPr>
    </w:p>
    <w:p w14:paraId="51CEC373" w14:textId="77777777" w:rsidR="003754FE" w:rsidRDefault="003754FE" w:rsidP="003754FE">
      <w:pPr>
        <w:pStyle w:val="TextoNormal"/>
      </w:pPr>
      <w:r>
        <w:lastRenderedPageBreak/>
        <w:t>b) Denuncia que se han vulnerados sus derechos a la tutela judicial efectiva (art. 24.1 CE) y a la libertad (art. 17.1 CE).</w:t>
      </w:r>
    </w:p>
    <w:p w14:paraId="4B784FD2" w14:textId="77777777" w:rsidR="003754FE" w:rsidRDefault="003754FE" w:rsidP="003754FE">
      <w:pPr>
        <w:pStyle w:val="TextoNormal"/>
      </w:pPr>
    </w:p>
    <w:p w14:paraId="3E99D11D" w14:textId="77777777" w:rsidR="003754FE" w:rsidRDefault="003754FE" w:rsidP="003754FE">
      <w:pPr>
        <w:pStyle w:val="TextoNormal"/>
      </w:pPr>
      <w:r>
        <w:t>Insiste en que la revocación no se ha efectuado conforme a la reforma de la Ley Orgánica 1/2015, “no se ha dado pronunciamiento sobre el otorgamiento de un nuevo plazo para poder pagar la deuda”, a pesar de que la abuela del penado manifestó estar dispuesta a pagar; y que se ha optado por la ejecución de la pena privativa de libertad, aunque era posible sustituir la misma por una medida menos gravosa para su derecho fundamental. En concreto, señala que no se ha ofrecido una alternativa como la sustitución por trabajos en beneficio de la comunidad y afirma que ello “supone de nuevo una infracción en este caso del art. 25.2 de la Constitución, al olvidar la finalidad de prevención general en aras de ese efecto ejemplarizante fundado en una supuesta alarma social, aun cuando no se diga expresamente”.</w:t>
      </w:r>
    </w:p>
    <w:p w14:paraId="2270FC34" w14:textId="77777777" w:rsidR="003754FE" w:rsidRDefault="003754FE" w:rsidP="003754FE">
      <w:pPr>
        <w:pStyle w:val="TextoNormal"/>
      </w:pPr>
    </w:p>
    <w:p w14:paraId="29E742CA" w14:textId="77777777" w:rsidR="003754FE" w:rsidRDefault="003754FE" w:rsidP="003754FE">
      <w:pPr>
        <w:pStyle w:val="TextoNormal"/>
      </w:pPr>
      <w:r>
        <w:t>c) Alega que se ha vulnerado la legalidad penal (art. 9 CE) negándole la aplicación de la regulación del Código penal relativa a la revocación de la suspensión de las penas, de acuerdo con la Ley Orgánica 1/2015.</w:t>
      </w:r>
    </w:p>
    <w:p w14:paraId="4083F2EE" w14:textId="77777777" w:rsidR="003754FE" w:rsidRDefault="003754FE" w:rsidP="003754FE">
      <w:pPr>
        <w:pStyle w:val="TextoNormal"/>
      </w:pPr>
    </w:p>
    <w:p w14:paraId="4113C399" w14:textId="2FBEBCCE" w:rsidR="003754FE" w:rsidRDefault="003754FE" w:rsidP="003754FE">
      <w:pPr>
        <w:pStyle w:val="TextoNormal"/>
      </w:pPr>
      <w:r>
        <w:t>Reitera que en las resoluciones impugnadas “no se encuentra prueba alguna practicada que permita llegar a la conclusión [de] que el condenado Borja no ha pagado de forma voluntaria” y que “en ningún momento se ha llevado [a cabo] labor alguna a tales fines”, vulnerando sus derechos a la tutela judicial efectiva y a la presunción de inocencia y provocando una “evidente inseguridad jurídica” por “el automatismo en la aplicación de las normas” sin atender a las especiales circunstancias del hecho concreto (las personales del penado y sus posibilidades de pagar).</w:t>
      </w:r>
    </w:p>
    <w:p w14:paraId="0961CCF6" w14:textId="77777777" w:rsidR="003754FE" w:rsidRDefault="003754FE" w:rsidP="003754FE">
      <w:pPr>
        <w:pStyle w:val="TextoNormal"/>
      </w:pPr>
    </w:p>
    <w:p w14:paraId="1A2B53C9" w14:textId="77777777" w:rsidR="003754FE" w:rsidRDefault="003754FE" w:rsidP="003754FE">
      <w:pPr>
        <w:pStyle w:val="TextoNormal"/>
      </w:pPr>
      <w:r w:rsidRPr="003754FE">
        <w:rPr>
          <w:rStyle w:val="NumeroAFNegritaCaracter"/>
        </w:rPr>
        <w:t>4</w:t>
      </w:r>
      <w:r>
        <w:t>. La Sección Cuarta de este tribunal acordó por providencia de 20 de julio de 2022 admitir a trámite el recurso, “apreciando que concurre en el mismo una especial trascendencia constitucional (art. 50.1 LOTC) porque el recurso puede dar ocasión al Tribunal para aclarar o cambiar su doctrina, como consecuencia de un proceso de reflexión interna [STC 155/2009, FJ 2 b)]”.</w:t>
      </w:r>
    </w:p>
    <w:p w14:paraId="4ADD4688" w14:textId="77777777" w:rsidR="003754FE" w:rsidRDefault="003754FE" w:rsidP="003754FE">
      <w:pPr>
        <w:pStyle w:val="TextoNormal"/>
      </w:pPr>
    </w:p>
    <w:p w14:paraId="1F12F3B3" w14:textId="43FB600F" w:rsidR="003754FE" w:rsidRDefault="003754FE" w:rsidP="003754FE">
      <w:pPr>
        <w:pStyle w:val="TextoNormal"/>
      </w:pPr>
      <w:r>
        <w:t>En la misma resolución se acordó dirigir comunicación al Juzgado de lo Penal núm. 4 de Sevilla, a fin de que procediese a emplazar a quienes hubiesen sido parte en el procedimiento, excepto la parte recurrente en amparo, para que en el plazo de diez días pudiesen comparecer, si lo deseaban, en el recurso de amparo.</w:t>
      </w:r>
    </w:p>
    <w:p w14:paraId="4223ED97" w14:textId="77777777" w:rsidR="003754FE" w:rsidRDefault="003754FE" w:rsidP="003754FE">
      <w:pPr>
        <w:pStyle w:val="TextoNormal"/>
      </w:pPr>
    </w:p>
    <w:p w14:paraId="041B10E8" w14:textId="2B38AE1E" w:rsidR="003754FE" w:rsidRDefault="003754FE" w:rsidP="003754FE">
      <w:pPr>
        <w:pStyle w:val="TextoNormal"/>
      </w:pPr>
      <w:r w:rsidRPr="003754FE">
        <w:rPr>
          <w:rStyle w:val="NumeroAFNegritaCaracter"/>
        </w:rPr>
        <w:t>5</w:t>
      </w:r>
      <w:r>
        <w:t>. El 29 de julio de 2022 presentó escrito don Fernando Rodríguez Valderrama solicitando que se le tuviese por personado en las actuaciones a través del procurador de los tribunales don José Antonio Ortiz Mora y bajo la dirección letrada de don Juan Carlos Romero Muñoz.</w:t>
      </w:r>
    </w:p>
    <w:p w14:paraId="187AB404" w14:textId="77777777" w:rsidR="003754FE" w:rsidRDefault="003754FE" w:rsidP="003754FE">
      <w:pPr>
        <w:pStyle w:val="TextoNormal"/>
      </w:pPr>
    </w:p>
    <w:p w14:paraId="4DD76A81" w14:textId="77777777" w:rsidR="003754FE" w:rsidRDefault="003754FE" w:rsidP="003754FE">
      <w:pPr>
        <w:pStyle w:val="TextoNormal"/>
      </w:pPr>
      <w:r w:rsidRPr="003754FE">
        <w:rPr>
          <w:rStyle w:val="NumeroAFNegritaCaracter"/>
        </w:rPr>
        <w:t>6</w:t>
      </w:r>
      <w:r>
        <w:t xml:space="preserve">. El día 8 de septiembre de 2022, la representación del recurrente en amparo presentó escrito en este tribunal solicitando la suspensión de la pena de prisión impuesta, al amparo del art. 56.2 de la Ley Orgánica del Tribunal Constitucional (LOTC), alegando que su ingreso en prisión, acordado por el Juzgado de lo Penal núm. 4 de Sevilla, podría hacer perder su finalidad al amparo solicitado. Acompañaba a su petición el auto del Juzgado de lo Penal </w:t>
      </w:r>
      <w:r>
        <w:lastRenderedPageBreak/>
        <w:t>núm. 4 de Sevilla de 2 de agosto de 2022 que había desestimado su petición de suspensión del ingreso en prisión, a pesar de haberse admitido a trámite el recurso de amparo.</w:t>
      </w:r>
    </w:p>
    <w:p w14:paraId="79DCFD63" w14:textId="77777777" w:rsidR="003754FE" w:rsidRDefault="003754FE" w:rsidP="003754FE">
      <w:pPr>
        <w:pStyle w:val="TextoNormal"/>
      </w:pPr>
    </w:p>
    <w:p w14:paraId="02F2F2DD" w14:textId="1FDDB8E2" w:rsidR="003754FE" w:rsidRDefault="003754FE" w:rsidP="003754FE">
      <w:pPr>
        <w:pStyle w:val="TextoNormal"/>
      </w:pPr>
      <w:r>
        <w:t>El 9 de septiembre de 2022 la Sección Cuarta de este tribunal acordó formar la oportuna pieza para la tramitación del incidente sobre suspensión y por ATC 130/2022, de 10 de octubre, de la Sala Segunda de este tribunal se acordó conceder la medida cautelar solicitada y, en consecuencia, suspender la ejecución de las resoluciones impugnadas y el consiguiente ingreso en prisión derivado de estas, mientras se tramitase el presente recurso de amparo.</w:t>
      </w:r>
    </w:p>
    <w:p w14:paraId="63A6573F" w14:textId="77777777" w:rsidR="003754FE" w:rsidRDefault="003754FE" w:rsidP="003754FE">
      <w:pPr>
        <w:pStyle w:val="TextoNormal"/>
      </w:pPr>
    </w:p>
    <w:p w14:paraId="3640E02D" w14:textId="2B54FB63" w:rsidR="003754FE" w:rsidRDefault="003754FE" w:rsidP="003754FE">
      <w:pPr>
        <w:pStyle w:val="TextoNormal"/>
      </w:pPr>
      <w:r w:rsidRPr="003754FE">
        <w:rPr>
          <w:rStyle w:val="NumeroAFNegritaCaracter"/>
        </w:rPr>
        <w:t>7</w:t>
      </w:r>
      <w:r>
        <w:t>. El 18 de octubre de 2022 la Secretaría de Justicia de la Sala Segunda de este tribunal dictó diligencia de ordenación por la que, de un lado, acordó tener por personado y parte en el procedimiento al procurador don José Antonio Ortiz Mora, en nombre y representación de don Fernando Rodríguez Valderrama, acordándose entender con él las sucesivas actuaciones; y, de otro, acordó dar vista de las actuaciones recibidas a las partes personadas y al Ministerio Fiscal por un plazo común de veinte días, dentro de los cuales podrían presentar las alegaciones que estimasen pertinentes, conforme determina el art. 52.1 LOTC.</w:t>
      </w:r>
    </w:p>
    <w:p w14:paraId="14F4FC46" w14:textId="77777777" w:rsidR="003754FE" w:rsidRDefault="003754FE" w:rsidP="003754FE">
      <w:pPr>
        <w:pStyle w:val="TextoNormal"/>
      </w:pPr>
    </w:p>
    <w:p w14:paraId="374DD171" w14:textId="77777777" w:rsidR="003754FE" w:rsidRDefault="003754FE" w:rsidP="003754FE">
      <w:pPr>
        <w:pStyle w:val="TextoNormal"/>
      </w:pPr>
      <w:r w:rsidRPr="003754FE">
        <w:rPr>
          <w:rStyle w:val="NumeroAFNegritaCaracter"/>
        </w:rPr>
        <w:t>8</w:t>
      </w:r>
      <w:r>
        <w:t>. El fiscal ante este Tribunal Constitucional presentó su escrito de alegaciones el 1 de diciembre de 2022 interesando:</w:t>
      </w:r>
    </w:p>
    <w:p w14:paraId="2D9B4E93" w14:textId="77777777" w:rsidR="003754FE" w:rsidRDefault="003754FE" w:rsidP="003754FE">
      <w:pPr>
        <w:pStyle w:val="TextoNormal"/>
      </w:pPr>
    </w:p>
    <w:p w14:paraId="29907D22" w14:textId="77777777" w:rsidR="003754FE" w:rsidRDefault="003754FE" w:rsidP="003754FE">
      <w:pPr>
        <w:pStyle w:val="TextoNormal"/>
      </w:pPr>
      <w:r>
        <w:t>a) La inadmisión parcial del recurso por los motivos que plantean la vulneración del artículo 9 CE y del derecho fundamental a la libertad del artículo 17 CE o, subsidiariamente, la desestimación de dichos motivos.</w:t>
      </w:r>
    </w:p>
    <w:p w14:paraId="2996F720" w14:textId="77777777" w:rsidR="003754FE" w:rsidRDefault="003754FE" w:rsidP="003754FE">
      <w:pPr>
        <w:pStyle w:val="TextoNormal"/>
      </w:pPr>
    </w:p>
    <w:p w14:paraId="52B51640" w14:textId="77777777" w:rsidR="003754FE" w:rsidRDefault="003754FE" w:rsidP="003754FE">
      <w:pPr>
        <w:pStyle w:val="TextoNormal"/>
      </w:pPr>
      <w:r>
        <w:t>b) El otorgamiento del amparo por vulneración del derecho a la tutela judicial efectiva del recurrente (art. 24.1 CE) en relación con el derecho a la libertad individual (art. 17 CE).</w:t>
      </w:r>
    </w:p>
    <w:p w14:paraId="520D9B2A" w14:textId="77777777" w:rsidR="003754FE" w:rsidRDefault="003754FE" w:rsidP="003754FE">
      <w:pPr>
        <w:pStyle w:val="TextoNormal"/>
      </w:pPr>
    </w:p>
    <w:p w14:paraId="3798544B" w14:textId="77777777" w:rsidR="003754FE" w:rsidRDefault="003754FE" w:rsidP="003754FE">
      <w:pPr>
        <w:pStyle w:val="TextoNormal"/>
      </w:pPr>
      <w:r>
        <w:t>c) El restablecimiento del demandante en la integridad de su derecho y, a tal fin: (i) la declaración de nulidad de los autos de 30 de junio y 30 de noviembre de 2021 del Juzgado de lo Penal núm. 4 de Sevilla, del auto de 14 de marzo y la providencia de 27 de abril de 2022 de la Sección Séptima de la Audiencia Provincial de Sevilla y la de todas las actuaciones posteriores dirigidas, como consecuencia de dichas resoluciones, a ejecutar la pena privativa de libertad impuesta al recurrente; y (ii) la retroacción del procedimiento al momento anterior al de dictarse la primera de las resoluciones citadas, para que el juzgado competente pronuncie otra respetuosa con el derecho fundamental reconocido.</w:t>
      </w:r>
    </w:p>
    <w:p w14:paraId="4CAAC5C1" w14:textId="77777777" w:rsidR="003754FE" w:rsidRDefault="003754FE" w:rsidP="003754FE">
      <w:pPr>
        <w:pStyle w:val="TextoNormal"/>
      </w:pPr>
    </w:p>
    <w:p w14:paraId="55DB9013" w14:textId="77777777" w:rsidR="003754FE" w:rsidRDefault="003754FE" w:rsidP="003754FE">
      <w:pPr>
        <w:pStyle w:val="TextoNormal"/>
      </w:pPr>
      <w:r>
        <w:t>En su escrito el Ministerio Fiscal, después de exponer en detalle los antecedentes de hecho y las alegaciones del recurrente, formula, en síntesis, las siguientes consideraciones:</w:t>
      </w:r>
    </w:p>
    <w:p w14:paraId="36114F4D" w14:textId="77777777" w:rsidR="003754FE" w:rsidRDefault="003754FE" w:rsidP="003754FE">
      <w:pPr>
        <w:pStyle w:val="TextoNormal"/>
      </w:pPr>
    </w:p>
    <w:p w14:paraId="13FB9894" w14:textId="77777777" w:rsidR="003754FE" w:rsidRDefault="003754FE" w:rsidP="003754FE">
      <w:pPr>
        <w:pStyle w:val="TextoNormal"/>
      </w:pPr>
      <w:r>
        <w:t>(i) En primer lugar, señala que, aunque la pretensión de amparo se formula contra el auto de 30 de junio de 2021 del Juzgado de lo Penal núm. 4 de Sevilla y contra el auto de 14 de marzo de 2022 de la Sección Séptima de la Audiencia Provincial de Sevilla, se deben entender también impugnados la providencia de la Audiencia Provincial de 27 de abril de 2022 por la que se rechazó el incidente de nulidad de actuaciones formulado contra el auto de 14 de marzo y el auto de 30 de noviembre de 2021 por el que el Juzgado de lo Penal desestimó el recurso de reforma contra su auto de 30 de junio, ya citado.</w:t>
      </w:r>
    </w:p>
    <w:p w14:paraId="7CF2A54B" w14:textId="77777777" w:rsidR="003754FE" w:rsidRDefault="003754FE" w:rsidP="003754FE">
      <w:pPr>
        <w:pStyle w:val="TextoNormal"/>
      </w:pPr>
    </w:p>
    <w:p w14:paraId="5C8A2222" w14:textId="77777777" w:rsidR="003754FE" w:rsidRDefault="003754FE" w:rsidP="003754FE">
      <w:pPr>
        <w:pStyle w:val="TextoNormal"/>
      </w:pPr>
      <w:r>
        <w:lastRenderedPageBreak/>
        <w:t>(ii) El fiscal examina la necesaria invocación de los derechos fundamentales ante los órganos judiciales cuyas decisiones se impugnan, y concluye que este requisito estaría suficientemente atendido en relación con la vulneración del art. 24.1 CE.</w:t>
      </w:r>
    </w:p>
    <w:p w14:paraId="1CC03DB7" w14:textId="77777777" w:rsidR="003754FE" w:rsidRDefault="003754FE" w:rsidP="003754FE">
      <w:pPr>
        <w:pStyle w:val="TextoNormal"/>
      </w:pPr>
    </w:p>
    <w:p w14:paraId="103828D5" w14:textId="77777777" w:rsidR="003754FE" w:rsidRDefault="003754FE" w:rsidP="003754FE">
      <w:pPr>
        <w:pStyle w:val="TextoNormal"/>
      </w:pPr>
      <w:r>
        <w:t>Sin embargo, señala que la alegada vulneración del derecho a la libertad (art. 17 CE) no fue precedida, salvo error u omisión, de la exigible invocación de dicho derecho fundamental ante los órganos judiciales cuyas resoluciones se impugnan y en particular en el incidente de nulidad de actuaciones formulado previo al amparo; por lo que la demanda debería ser parcialmente inadmitida respecto de la supuesta infracción del art. 17 CE.</w:t>
      </w:r>
    </w:p>
    <w:p w14:paraId="25287DB4" w14:textId="77777777" w:rsidR="003754FE" w:rsidRDefault="003754FE" w:rsidP="003754FE">
      <w:pPr>
        <w:pStyle w:val="TextoNormal"/>
      </w:pPr>
    </w:p>
    <w:p w14:paraId="107B38A0" w14:textId="77777777" w:rsidR="003754FE" w:rsidRDefault="003754FE" w:rsidP="003754FE">
      <w:pPr>
        <w:pStyle w:val="TextoNormal"/>
      </w:pPr>
      <w:r>
        <w:t>Por idéntica razón considera el fiscal que incurriría en motivo de inadmisión la denuncia de infracción del art. 9 CE, al no haber sido planteada explícita ni implícitamente en el incidente de nulidad de actuaciones por el recurrente; sin perjuicio de que señala que, en este caso, el óbice de la falta de invocación en el proceso judicial devendría irrelevante, al no estar comprendida la infracción del art. 9 CE en el objeto del recurso de amparo (art. 44.1 LOTC).</w:t>
      </w:r>
    </w:p>
    <w:p w14:paraId="1D71D1A2" w14:textId="77777777" w:rsidR="003754FE" w:rsidRDefault="003754FE" w:rsidP="003754FE">
      <w:pPr>
        <w:pStyle w:val="TextoNormal"/>
      </w:pPr>
    </w:p>
    <w:p w14:paraId="324272F5" w14:textId="77777777" w:rsidR="003754FE" w:rsidRDefault="003754FE" w:rsidP="003754FE">
      <w:pPr>
        <w:pStyle w:val="TextoNormal"/>
      </w:pPr>
      <w:r>
        <w:t xml:space="preserve">(iii) Examinadas las cuestiones procesales, el fiscal analiza la pretensión de amparo basada en los art. 9 y 17 CE, concluyendo que la misma es inviable, por lo que, de forma subsidiaria a su inadmisión </w:t>
      </w:r>
      <w:r w:rsidRPr="003754FE">
        <w:rPr>
          <w:i/>
        </w:rPr>
        <w:t>a limine</w:t>
      </w:r>
      <w:r>
        <w:t>, insta la desestimación de los motivos basados en la vulneración de dichas normas.</w:t>
      </w:r>
    </w:p>
    <w:p w14:paraId="6A096075" w14:textId="77777777" w:rsidR="003754FE" w:rsidRDefault="003754FE" w:rsidP="003754FE">
      <w:pPr>
        <w:pStyle w:val="TextoNormal"/>
      </w:pPr>
    </w:p>
    <w:p w14:paraId="07BC34C3" w14:textId="77777777" w:rsidR="003754FE" w:rsidRDefault="003754FE" w:rsidP="003754FE">
      <w:pPr>
        <w:pStyle w:val="TextoNormal"/>
      </w:pPr>
      <w:r>
        <w:t>Por un lado, señala que de la mera lectura del art. 53.2 CE se desprende que el mismo excluye toda posibilidad de apoyar una pretensión de amparo en la violación del art. 9 CE, ubicado en el título preliminar y que no proclama ningún derecho subjetivo fundamental, tal y como ha venido afirmando invariablemente desde sus inicios la jurisprudencia constitucional.</w:t>
      </w:r>
    </w:p>
    <w:p w14:paraId="02793121" w14:textId="77777777" w:rsidR="003754FE" w:rsidRDefault="003754FE" w:rsidP="003754FE">
      <w:pPr>
        <w:pStyle w:val="TextoNormal"/>
      </w:pPr>
    </w:p>
    <w:p w14:paraId="62B275FD" w14:textId="77777777" w:rsidR="003754FE" w:rsidRDefault="003754FE" w:rsidP="003754FE">
      <w:pPr>
        <w:pStyle w:val="TextoNormal"/>
      </w:pPr>
      <w:r>
        <w:t>Y por otro lado, por lo que se refiere al derecho fundamental a la libertad (art. 17 CE), el fiscal descarta una vulneración autónoma de este derecho, recordando que este tribunal ha manifestado reiteradamente que tal derecho no resulta directamente vulnerado por las decisiones judiciales relativas a la suspensión de las penas privativas de libertad. No obstante, el fiscal también señala que el Tribunal Constitucional sí ha declarado que el art. 17 CE proyecta sus efectos sobre la interpretación judicial de la suspensión condicional que está sujeta a un deber reforzado de motivación, lo que debe tenerse en cuenta en relación a la posible infracción del art. 24.1 CE que también denuncia el recurrente.</w:t>
      </w:r>
    </w:p>
    <w:p w14:paraId="12DC9F74" w14:textId="77777777" w:rsidR="003754FE" w:rsidRDefault="003754FE" w:rsidP="003754FE">
      <w:pPr>
        <w:pStyle w:val="TextoNormal"/>
      </w:pPr>
    </w:p>
    <w:p w14:paraId="36D58CB0" w14:textId="77777777" w:rsidR="003754FE" w:rsidRDefault="003754FE" w:rsidP="003754FE">
      <w:pPr>
        <w:pStyle w:val="TextoNormal"/>
      </w:pPr>
      <w:r>
        <w:t>(iv) A continuación, el fiscal examina la vulneración del art. 24.1 CE en relación con el art. 17 CE haciendo referencia a las alegaciones del recurrente, la doctrina de este tribunal y la aplicación de la doctrina constitucional al presente caso.</w:t>
      </w:r>
    </w:p>
    <w:p w14:paraId="7523A23F" w14:textId="77777777" w:rsidR="003754FE" w:rsidRDefault="003754FE" w:rsidP="003754FE">
      <w:pPr>
        <w:pStyle w:val="TextoNormal"/>
      </w:pPr>
    </w:p>
    <w:p w14:paraId="00EA7300" w14:textId="77777777" w:rsidR="003754FE" w:rsidRDefault="003754FE" w:rsidP="003754FE">
      <w:pPr>
        <w:pStyle w:val="TextoNormal"/>
      </w:pPr>
      <w:r>
        <w:t>El fiscal estima, en relación con las resoluciones impugnadas, que su argumentación no se ajusta, en términos de razonabilidad, a la doctrina constitucional sobre la materia, al carecer de la debida motivación reforzada, ponderando los bienes y derechos en conflicto y las circunstancias concurrentes, entre ellas, la capacidad económica real del penado.</w:t>
      </w:r>
    </w:p>
    <w:p w14:paraId="6F06F7F2" w14:textId="77777777" w:rsidR="003754FE" w:rsidRDefault="003754FE" w:rsidP="003754FE">
      <w:pPr>
        <w:pStyle w:val="TextoNormal"/>
      </w:pPr>
    </w:p>
    <w:p w14:paraId="42FCAB3C" w14:textId="77777777" w:rsidR="003754FE" w:rsidRDefault="003754FE" w:rsidP="003754FE">
      <w:pPr>
        <w:pStyle w:val="TextoNormal"/>
      </w:pPr>
      <w:r>
        <w:t xml:space="preserve">En particular, subraya que constaba en las actuaciones la declaración de insolvencia; dos averiguaciones patrimoniales; se había acordado la retención y embargo de bienes del reo </w:t>
      </w:r>
      <w:r>
        <w:lastRenderedPageBreak/>
        <w:t>—aparentemente sin éxito—; y la defensa del penado había aportado documental. Y las resoluciones dictadas, sin embargo, se limitan a constatar que el penado no ha pagado nada, sin incluir en la fundamentación fáctica y jurídica de la decisión ninguna valoración relativa a la situación económica del penado y de las conclusiones que se derivan de la misma respecto de la voluntad de cumplimiento del penado.</w:t>
      </w:r>
    </w:p>
    <w:p w14:paraId="6560B6C0" w14:textId="77777777" w:rsidR="003754FE" w:rsidRDefault="003754FE" w:rsidP="003754FE">
      <w:pPr>
        <w:pStyle w:val="TextoNormal"/>
      </w:pPr>
    </w:p>
    <w:p w14:paraId="2598B1F8" w14:textId="77777777" w:rsidR="003754FE" w:rsidRDefault="003754FE" w:rsidP="003754FE">
      <w:pPr>
        <w:pStyle w:val="TextoNormal"/>
      </w:pPr>
      <w:r>
        <w:t xml:space="preserve">Asimismo, el fiscal advierte la disconformidad con la doctrina constitucional de dos argumentos adicionales que el Juzgado de lo Penal apunta en su resolución (la “finalidad de proteger a la víctima” y que el penado “aceptó estas condiciones para acceder a la suspensión”). Y señala que la Audiencia Provincial había añadido “en términos que cabría tildar de </w:t>
      </w:r>
      <w:r w:rsidRPr="003754FE">
        <w:rPr>
          <w:i/>
        </w:rPr>
        <w:t>reformatio in peius</w:t>
      </w:r>
      <w:r>
        <w:t xml:space="preserve"> argumental, un razonamiento absolutamente ajeno no solo a la apelación formulada por el penado, sino también al propio debate suscitado en la instancia: trae a colación la Sala la perpetración por el señor Partida Lobo de otros delitos durante el tiempo de suspensión condicional”. Respecto de este argumento el fiscal señala: “Con independencia de que […] uno de esos delitos había sido expresamente descartado por el Juzgado de lo Penal como causa de revocación de la suspensión porque se produjo antes de que se le notificaran al interesado las condiciones de aquella, es evidente que la perpetración de otras infracciones penales en fase de suspensión condicional infringe otra condición (distinta del pago de la responsabilidad civil) sobre cuya concurrencia el tribunal provincial no había oído en absoluto al afectado. Por tanto, ese argumento ha de calificarse necesariamente de irracional a los efectos de la concreta motivación exigida por el art. 24.1 CE en un supuesto de revocación de la suspensión condicional de la pena por impago de la responsabilidad civil, sin perjuicio de su eventual valoración en el marco del derecho de defensa que consagra el apartado 2 de ese mismo artículo, cuya consideración no procede porque el recurrente de amparo no lo ha hecho valer. Naturalmente, sin que ello haga obstáculo a que pueda declararse incumplida la condición de no volver a delinquir en el tiempo de la suspensión, con las consecuencias legales que puedan derivar del incumplimiento de esa otra condición”.</w:t>
      </w:r>
    </w:p>
    <w:p w14:paraId="32F6E531" w14:textId="77777777" w:rsidR="003754FE" w:rsidRDefault="003754FE" w:rsidP="003754FE">
      <w:pPr>
        <w:pStyle w:val="TextoNormal"/>
      </w:pPr>
    </w:p>
    <w:p w14:paraId="3C32CA28" w14:textId="45B995F4" w:rsidR="003754FE" w:rsidRDefault="003754FE" w:rsidP="003754FE">
      <w:pPr>
        <w:pStyle w:val="TextoNormal"/>
      </w:pPr>
      <w:r>
        <w:t>Finalmente, el fiscal considera que la escueta afirmación contenida en la providencia de 27 de abril de 2022 de la Sección Séptima de la Audiencia Provincial de Sevilla que inadmitió el incidente de nulidad de actuaciones formulado, sin ninguna fundamentación justificativa, vulnera el derecho a la tutela judicial efectiva (art. 24.1 CE) del penado, citando su similitud con el supuesto abordado en la STC 132/2022, de 24 de octubre.</w:t>
      </w:r>
    </w:p>
    <w:p w14:paraId="3FB391C7" w14:textId="77777777" w:rsidR="003754FE" w:rsidRDefault="003754FE" w:rsidP="003754FE">
      <w:pPr>
        <w:pStyle w:val="TextoNormal"/>
      </w:pPr>
    </w:p>
    <w:p w14:paraId="127AD22B" w14:textId="25552B42" w:rsidR="003754FE" w:rsidRDefault="003754FE" w:rsidP="003754FE">
      <w:pPr>
        <w:pStyle w:val="TextoNormal"/>
      </w:pPr>
      <w:r w:rsidRPr="003754FE">
        <w:rPr>
          <w:rStyle w:val="NumeroAFNegritaCaracter"/>
        </w:rPr>
        <w:t>9</w:t>
      </w:r>
      <w:r>
        <w:t>. Por diligencia de la Secretaría de Justicia de 5 de diciembre de 2022 se hizo constar haberse recibido el escrito de alegaciones del Ministerio Fiscal, no habiendo presentado escrito ninguna de las partes en contestación al traslado conferido, quedando el presente recurso de amparo pendiente de deliberación cuando por turno le correspondiera.</w:t>
      </w:r>
    </w:p>
    <w:p w14:paraId="139CC355" w14:textId="77777777" w:rsidR="003754FE" w:rsidRDefault="003754FE" w:rsidP="003754FE">
      <w:pPr>
        <w:pStyle w:val="TextoNormal"/>
      </w:pPr>
    </w:p>
    <w:p w14:paraId="58C50293" w14:textId="1900A8BB" w:rsidR="003754FE" w:rsidRDefault="003754FE" w:rsidP="003754FE">
      <w:pPr>
        <w:pStyle w:val="TextoNormal"/>
      </w:pPr>
      <w:r w:rsidRPr="003754FE">
        <w:rPr>
          <w:rStyle w:val="NumeroAFNegritaCaracter"/>
        </w:rPr>
        <w:t>10</w:t>
      </w:r>
      <w:r>
        <w:t>. Mediante providencia de 17 de octubre de 2024, se señaló para la deliberación y votación de la presente sentencia el día 21 del mismo mes y año.</w:t>
      </w:r>
    </w:p>
    <w:p w14:paraId="7CAFAADF" w14:textId="77777777" w:rsidR="003754FE" w:rsidRDefault="003754FE" w:rsidP="003754FE">
      <w:pPr>
        <w:pStyle w:val="TextoNormal"/>
      </w:pPr>
    </w:p>
    <w:p w14:paraId="34D48CF9" w14:textId="77777777" w:rsidR="003754FE" w:rsidRDefault="003754FE" w:rsidP="003754FE">
      <w:pPr>
        <w:pStyle w:val="TextoNormalNegritaCentrado"/>
        <w:keepNext/>
      </w:pPr>
      <w:r>
        <w:t>II. Fundamentos jurídicos</w:t>
      </w:r>
    </w:p>
    <w:p w14:paraId="48206CBC" w14:textId="1EF840A4" w:rsidR="003754FE" w:rsidRDefault="003754FE" w:rsidP="003754FE">
      <w:pPr>
        <w:pStyle w:val="TextoNormalNegritaCentrado"/>
        <w:keepNext/>
      </w:pPr>
    </w:p>
    <w:p w14:paraId="4FFCE4D0" w14:textId="77777777" w:rsidR="003754FE" w:rsidRDefault="003754FE" w:rsidP="003754FE">
      <w:pPr>
        <w:pStyle w:val="TextoNormal"/>
      </w:pPr>
      <w:r w:rsidRPr="003754FE">
        <w:rPr>
          <w:rStyle w:val="NumeroAFNegritaCaracter"/>
        </w:rPr>
        <w:t>1</w:t>
      </w:r>
      <w:r>
        <w:t xml:space="preserve">. </w:t>
      </w:r>
      <w:r w:rsidRPr="003754FE">
        <w:rPr>
          <w:i/>
        </w:rPr>
        <w:t>Objeto del recurso de amparo y pretensiones de las partes</w:t>
      </w:r>
    </w:p>
    <w:p w14:paraId="24306E42" w14:textId="77777777" w:rsidR="003754FE" w:rsidRDefault="003754FE" w:rsidP="003754FE">
      <w:pPr>
        <w:pStyle w:val="TextoNormal"/>
      </w:pPr>
    </w:p>
    <w:p w14:paraId="291822E1" w14:textId="77777777" w:rsidR="003754FE" w:rsidRDefault="003754FE" w:rsidP="003754FE">
      <w:pPr>
        <w:pStyle w:val="TextoNormal"/>
      </w:pPr>
      <w:r>
        <w:lastRenderedPageBreak/>
        <w:t>El recurso de amparo se interpone contra el auto de 30 de junio de 2021 del Juzgado de lo Penal núm. 4 de Sevilla, que acordó revocar la suspensión de la pena privativa de libertad y ejecutar el fallo en suspenso, y contra el auto de 14 de marzo de 2022 de la Sección Séptima de la Audiencia Provincial de Sevilla, que desestimó el recurso de apelación interpuesto contra el primero. Junto a estas resoluciones, deben entenderse también impugnados el auto de 30 de noviembre de 2021, por el que el Juzgado de lo Penal núm. 4 de Sevilla desestimó el recurso de reforma contra su resolución de 30 de junio, y la providencia de 27 de abril de 2022 de la Sección Séptima de la Audiencia Provincial de Sevilla, que inadmitió el incidente de nulidad de actuaciones formulado contra el auto de 14 de marzo citado.</w:t>
      </w:r>
    </w:p>
    <w:p w14:paraId="54B7DFEF" w14:textId="77777777" w:rsidR="003754FE" w:rsidRDefault="003754FE" w:rsidP="003754FE">
      <w:pPr>
        <w:pStyle w:val="TextoNormal"/>
      </w:pPr>
    </w:p>
    <w:p w14:paraId="07B03977" w14:textId="77777777" w:rsidR="003754FE" w:rsidRDefault="003754FE" w:rsidP="003754FE">
      <w:pPr>
        <w:pStyle w:val="TextoNormal"/>
      </w:pPr>
      <w:r>
        <w:t>El demandante plantea varias quejas constitucionales, detalladas en el antecedente tercero de esta sentencia y que, en síntesis, son: (i) la vulneración de su derecho a la tutela judicial efectiva (art. 24.1 CE) por falta de motivación de las resoluciones dictadas que fundamentaron la revocación del beneficio de la suspensión de la pena en el impago de la responsabilidad civil, sin analizar las circunstancias y la causa de la falta de pago, a pesar de sus alegaciones y la documental aportada para acreditar su ausencia de capacidad económica, solicitando su verificación a través del punto neutro judicial; (ii) la lesión de sus derechos a la tutela judicial efectiva (art. 24.1 CE) y a la libertad (art. 17.1 CE) con infracción del art. 25.2 CE, sin que los órganos judiciales se pronunciasen sobre el otorgamiento de un nuevo plazo para poder pagar la deuda o la posibilidad de sustituir la pena de prisión por trabajos en beneficio de la comunidad; (iii) la vulneración de la legalidad penal (art. 9 CE) por falta de aplicación de la regulación del Código penal relativa a la revocación de la suspensión de las penas, de acuerdo con la Ley Orgánica 1/2015.</w:t>
      </w:r>
    </w:p>
    <w:p w14:paraId="2A735CD0" w14:textId="77777777" w:rsidR="003754FE" w:rsidRDefault="003754FE" w:rsidP="003754FE">
      <w:pPr>
        <w:pStyle w:val="TextoNormal"/>
      </w:pPr>
    </w:p>
    <w:p w14:paraId="088FA948" w14:textId="5312C7A5" w:rsidR="003754FE" w:rsidRDefault="003754FE" w:rsidP="003754FE">
      <w:pPr>
        <w:pStyle w:val="TextoNormal"/>
      </w:pPr>
      <w:r>
        <w:t>El fiscal ante este Tribunal Constitucional interesó: a) la inadmisión parcial del recurso por los motivos que plantean la vulneración del artículo 9 CE y del derecho fundamental a la libertad del artículo 17 CE o, subsidiariamente, la desestimación de ambos motivos; b) el otorgamiento del amparo por vulneración del derecho a la tutela judicial efectiva del recurrente (art. 24.1 CE) en relación con el derecho a la libertad individual (art. 17 CE); y c) el restablecimiento del demandante en la integridad de su derecho y, a tal fin: (i) la declaración de nulidad de los autos de 30 de junio y 30 de noviembre de 2021 del Juzgado de lo Penal núm. 4 de Sevilla, del auto de 14 de marzo y la providencia de 27 de abril de 2022 de la Sección Séptima de la Audiencia Provincial de Sevilla, y la de todas las actuaciones posteriores dirigidas, como consecuencia de dichas resoluciones, a ejecutar la pena privativa de libertad impuesta al recurrente y (ii) la retroacción del procedimiento al momento anterior al de dictarse la primera de las resoluciones citadas, para que el juzgado competente pronuncie otra respetuosa con el derecho fundamental reconocido.</w:t>
      </w:r>
    </w:p>
    <w:p w14:paraId="1ABCB6CC" w14:textId="77777777" w:rsidR="003754FE" w:rsidRDefault="003754FE" w:rsidP="003754FE">
      <w:pPr>
        <w:pStyle w:val="TextoNormal"/>
      </w:pPr>
    </w:p>
    <w:p w14:paraId="6F2902D7" w14:textId="77777777" w:rsidR="003754FE" w:rsidRDefault="003754FE" w:rsidP="003754FE">
      <w:pPr>
        <w:pStyle w:val="TextoNormal"/>
      </w:pPr>
      <w:r w:rsidRPr="003754FE">
        <w:rPr>
          <w:rStyle w:val="NumeroAFNegritaCaracter"/>
        </w:rPr>
        <w:t>2</w:t>
      </w:r>
      <w:r>
        <w:t xml:space="preserve">. </w:t>
      </w:r>
      <w:r w:rsidRPr="003754FE">
        <w:rPr>
          <w:i/>
        </w:rPr>
        <w:t>Óbices a la admisibilidad del recurso</w:t>
      </w:r>
    </w:p>
    <w:p w14:paraId="38B9DE1B" w14:textId="77777777" w:rsidR="003754FE" w:rsidRDefault="003754FE" w:rsidP="003754FE">
      <w:pPr>
        <w:pStyle w:val="TextoNormal"/>
      </w:pPr>
    </w:p>
    <w:p w14:paraId="0589E76A" w14:textId="77777777" w:rsidR="003754FE" w:rsidRDefault="003754FE" w:rsidP="003754FE">
      <w:pPr>
        <w:pStyle w:val="TextoNormal"/>
      </w:pPr>
      <w:r>
        <w:t>El fiscal ante el Tribunal Constitucional plantea que la alegada vulneración del derecho a la libertad (art. 17 CE) no fue invocada ante los órganos judiciales cuyas decisiones se impugnan, por lo que la demanda debería ser parcialmente inadmitida respecto de esta supuesta infracción. Por idéntica razón considera el fiscal que la denuncia de la infracción del art. 9 CE incurriría en motivo de inadmisión, al no haber sido planteada en el incidente de nulidad de actuaciones por el recurrente, sin perjuicio de que, en este caso, el óbice devendría irrelevante al no estar comprendida la infracción del art. 9 CE en el objeto del recurso de amparo.</w:t>
      </w:r>
    </w:p>
    <w:p w14:paraId="32874C1C" w14:textId="77777777" w:rsidR="003754FE" w:rsidRDefault="003754FE" w:rsidP="003754FE">
      <w:pPr>
        <w:pStyle w:val="TextoNormal"/>
      </w:pPr>
    </w:p>
    <w:p w14:paraId="696449AB" w14:textId="77777777" w:rsidR="003754FE" w:rsidRDefault="003754FE" w:rsidP="003754FE">
      <w:pPr>
        <w:pStyle w:val="TextoNormal"/>
      </w:pPr>
      <w:r>
        <w:t>Examinado el recurso de reforma interpuesto por el penado contra el auto de 30 de junio de 2021 se observa que, efectivamente, el recurrente centró sus alegaciones en su ausencia de medios de subsistencia y su necesidad de tratamiento médico, solicitando una prórroga del plazo para el pago de la responsabilidad civil, sin invocar la vulneración de los arts. 17 y 9 CE. En el recurso de apelación su defensa alegó la infracción del art. 86.1 d) CP insistiendo en su falta de capacidad económica para hacer frente a la deuda —acreditada documentalmente y cuya verificación a través de la consulta al punto neutro judicial solicitaba— y reiterando la petición subsidiaria del otorgamiento de un nuevo plazo para el pago de la indemnización, en atención a sus circunstancias personales. En el escrito formulando el incidente de nulidad de actuaciones el demandante de amparo se refiere expresamente a la infracción del art. 86.1 d) CP; a la ausencia de un pronunciamiento sobre el otorgamiento de un nuevo plazo para el pago; a la indefensión derivada de la vulneración de su derecho a la tutela judicial efectiva (art. 24.1 CE) por falta de la debida motivación (art. 120.3 CE); menciona la infracción del art. 25 CE (sin desarrollar su denuncia); y la necesidad de un análisis de las razones de fondo sobre la falta de cumplimiento del pago de la indemnización, para conceder un nuevo aplazamiento u otra medida alternativa a la entrada en prisión como los trabajos en beneficio de la comunidad.</w:t>
      </w:r>
    </w:p>
    <w:p w14:paraId="6F790CE4" w14:textId="77777777" w:rsidR="003754FE" w:rsidRDefault="003754FE" w:rsidP="003754FE">
      <w:pPr>
        <w:pStyle w:val="TextoNormal"/>
      </w:pPr>
    </w:p>
    <w:p w14:paraId="5C571800" w14:textId="77777777" w:rsidR="003754FE" w:rsidRDefault="003754FE" w:rsidP="003754FE">
      <w:pPr>
        <w:pStyle w:val="TextoNormal"/>
      </w:pPr>
      <w:r>
        <w:t>En consecuencia, del examen de las actuaciones, resulta que la vulneración del derecho del recurrente a la libertad personal (art. 17 CE) no fue invocada previamente ante los órganos judiciales cuyas decisiones se impugnan, por lo que este motivo incurriría en falta de la denuncia de la vulneración. En todo caso, hemos declarado reiteradamente que la suspensión de la ejecución de la pena no afecta directamente al derecho a la libertad personal (art. 17 CE), pues “la suspensión de la ejecución no es el título habilitante de la pérdida de libertad, sino una incidencia ejecutiva que modaliza, en beneficio del reo, el cumplimiento de la pena impuesto en dicho título, que es la sentencia condenatoria (por todas, STC 320/2006, de 15 de noviembre, FJ 4)” [ATC 3/2018, de 23 de enero, FJ 5 (ii)].</w:t>
      </w:r>
    </w:p>
    <w:p w14:paraId="0BD73A67" w14:textId="77777777" w:rsidR="003754FE" w:rsidRDefault="003754FE" w:rsidP="003754FE">
      <w:pPr>
        <w:pStyle w:val="TextoNormal"/>
      </w:pPr>
    </w:p>
    <w:p w14:paraId="3F0DF1EB" w14:textId="77777777" w:rsidR="003754FE" w:rsidRDefault="003754FE" w:rsidP="003754FE">
      <w:pPr>
        <w:pStyle w:val="TextoNormal"/>
      </w:pPr>
      <w:r>
        <w:t>La queja basada en la infracción del art. 9 CE debe ser igualmente inadmitida, al haber sido invocada por primera vez en la demanda de amparo, sin respetar el carácter subsidiario de este recurso. Ello sin perjuicio de señalar, como indica el fiscal, que dicho precepto no regula derechos y libertades que sean susceptibles de tutela a través del recurso de amparo ante el Tribunal Constitucional, quedando circunscrito este a la protección de los derechos y libertades reconocidos en el art. 14 y en la sección primera del capítulo segundo del título primero de la Constitución y de la objeción de conciencia, conforme a lo establecido en los arts. 53.2 CE y 41.1 LOTC (SSTC 43/1991, de 25 de febrero, FJ 1, y 320/2006, de 15 de noviembre, FJ 2, y AATC 1021/1988, de 26 de septiembre, FJ 3, y 268/2006, de 6 de julio, FJ 5).</w:t>
      </w:r>
    </w:p>
    <w:p w14:paraId="3849C24D" w14:textId="77777777" w:rsidR="003754FE" w:rsidRDefault="003754FE" w:rsidP="003754FE">
      <w:pPr>
        <w:pStyle w:val="TextoNormal"/>
      </w:pPr>
    </w:p>
    <w:p w14:paraId="5CA7B54A" w14:textId="77777777" w:rsidR="003754FE" w:rsidRDefault="003754FE" w:rsidP="003754FE">
      <w:pPr>
        <w:pStyle w:val="TextoNormal"/>
      </w:pPr>
      <w:r>
        <w:t xml:space="preserve">Finalmente, este tribunal conserva la potestad de declarar de oficio y no solo a instancia de parte, la inexistencia de algún presupuesto procesal de la demanda de amparo si así lo constata tras haber examinado las actuaciones del proceso </w:t>
      </w:r>
      <w:r w:rsidRPr="003754FE">
        <w:rPr>
          <w:i/>
        </w:rPr>
        <w:t>a quo</w:t>
      </w:r>
      <w:r>
        <w:t xml:space="preserve"> remitidas, luego de admitirse a trámite el recurso [últimamente, SSTC 78/2021, de 19 de abril, FJ 2; 42/2022, de 21 de marzo, FJ 2 c); 66/2022, de 2 de junio, FJ 3 A) a), esta última del Pleno, y 132/2022, de 24 de octubre, FJ 2 d)].</w:t>
      </w:r>
    </w:p>
    <w:p w14:paraId="1BA9394E" w14:textId="77777777" w:rsidR="003754FE" w:rsidRDefault="003754FE" w:rsidP="003754FE">
      <w:pPr>
        <w:pStyle w:val="TextoNormal"/>
      </w:pPr>
    </w:p>
    <w:p w14:paraId="6D346A6D" w14:textId="77777777" w:rsidR="003754FE" w:rsidRDefault="003754FE" w:rsidP="003754FE">
      <w:pPr>
        <w:pStyle w:val="TextoNormal"/>
      </w:pPr>
      <w:r>
        <w:lastRenderedPageBreak/>
        <w:t>Partiendo de esta premisa, aunque ninguna de las partes lo ha puesto de manifiesto, cabe apreciar que la queja de la infracción del art. 25 CE, que se menciona por primera vez (sin el más mínimo desarrollo argumental) en el incidente de nulidad de actuaciones contra el auto de la Sección Séptima de la Audiencia Provincial que desestimó el recurso de apelación y se reproduce en el recurso de amparo “privó de manera absoluta —no solo tardía— al órgano judicial responsable de la vulneración traída en amparo, a poder conocer y en su caso reparar la lesión invocada. Con ello el recurrente desconoció el carácter subsidiario de esta jurisdicción constitucional, lo que determina la inadmisibilidad de esta queja, de la que no cabe realizar por tanto un examen de fondo [entre otras, SSTC 173/2021, de 25 de octubre, FJ 3; 3/2022, de 24 de enero, FJ 1 B); 11/2022, de 7 de febrero, FJ 2 B); y 26/2022, de 24 de febrero, FJ único; y las que en ellas se citan]” [STC 132/2022, de 24 de octubre, FJ 2 d) ].</w:t>
      </w:r>
    </w:p>
    <w:p w14:paraId="52962AC7" w14:textId="77777777" w:rsidR="003754FE" w:rsidRDefault="003754FE" w:rsidP="003754FE">
      <w:pPr>
        <w:pStyle w:val="TextoNormal"/>
      </w:pPr>
    </w:p>
    <w:p w14:paraId="02B32B5F" w14:textId="037627B0" w:rsidR="003754FE" w:rsidRDefault="003754FE" w:rsidP="003754FE">
      <w:pPr>
        <w:pStyle w:val="TextoNormal"/>
      </w:pPr>
      <w:r>
        <w:t>Resuelto el apartado de los óbices procesales, hemos de acceder a la queja de fondo que se mantiene, relativa a la vulneración del derecho a la tutela judicial efectiva derivada de la ausencia de ponderación de las circunstancias personales del penado y de una motivación reforzada de la decisión de revocación de la suspensión de la pena.</w:t>
      </w:r>
    </w:p>
    <w:p w14:paraId="50543E51" w14:textId="77777777" w:rsidR="003754FE" w:rsidRDefault="003754FE" w:rsidP="003754FE">
      <w:pPr>
        <w:pStyle w:val="TextoNormal"/>
      </w:pPr>
    </w:p>
    <w:p w14:paraId="7C9E3BA7" w14:textId="77777777" w:rsidR="003754FE" w:rsidRDefault="003754FE" w:rsidP="003754FE">
      <w:pPr>
        <w:pStyle w:val="TextoNormal"/>
      </w:pPr>
      <w:r w:rsidRPr="003754FE">
        <w:rPr>
          <w:rStyle w:val="NumeroAFNegritaCaracter"/>
        </w:rPr>
        <w:t>3</w:t>
      </w:r>
      <w:r>
        <w:t xml:space="preserve">. </w:t>
      </w:r>
      <w:r w:rsidRPr="003754FE">
        <w:rPr>
          <w:i/>
        </w:rPr>
        <w:t>Doctrina constitucional sobre la motivación de las decisiones de revocación de la suspensión de la ejecución de una pena privativa de libertad y la valoración de la capacidad económica del penado en los supuestos de impago de la responsabilidad civil impuesta: STC 32/2022, de 7 de marzo</w:t>
      </w:r>
    </w:p>
    <w:p w14:paraId="4915BB8F" w14:textId="77777777" w:rsidR="003754FE" w:rsidRDefault="003754FE" w:rsidP="003754FE">
      <w:pPr>
        <w:pStyle w:val="TextoNormal"/>
      </w:pPr>
    </w:p>
    <w:p w14:paraId="454B7911" w14:textId="77777777" w:rsidR="003754FE" w:rsidRDefault="003754FE" w:rsidP="003754FE">
      <w:pPr>
        <w:pStyle w:val="TextoNormal"/>
      </w:pPr>
      <w:r>
        <w:t>Este tribunal ha declarado reiteradamente, como se ha indicado más arriba, que “la institución de la suspensión de la ejecución de la pena privativa de libertad afecta al valor libertad por cuanto incide en la forma de cumplimiento de la pena y en el efectivo ingreso en prisión del condenado, por más que el título jurídico habilitante para la restricción de la libertad personal sea la sentencia condenatoria (entre muchas, SSTC 25/2000, de 31 de enero, FJ 2; 7/2001, de 15 de enero, FFJJ 2 y 3; 110/2003, de 16 de junio, FJ 4, y 320/2006, de 15 de noviembre, FJ 4 )” [STC 32/2022, FJ 2 a)].</w:t>
      </w:r>
    </w:p>
    <w:p w14:paraId="1FD68056" w14:textId="77777777" w:rsidR="003754FE" w:rsidRDefault="003754FE" w:rsidP="003754FE">
      <w:pPr>
        <w:pStyle w:val="TextoNormal"/>
      </w:pPr>
    </w:p>
    <w:p w14:paraId="79A34B54" w14:textId="77777777" w:rsidR="003754FE" w:rsidRDefault="003754FE" w:rsidP="003754FE">
      <w:pPr>
        <w:pStyle w:val="TextoNormal"/>
      </w:pPr>
      <w:r>
        <w:t>En consecuencia, este tribunal ha exigido en las resoluciones judiciales que deciden sobre la suspensión de la ejecución de la pena un canon reforzado de motivación, que se traduce en dos pautas: (i) “en sentido negativo, se ha rechazado reiteradamente que la simple referencia al carácter discrecional de la decisión del órgano judicial constituya motivación suficiente del ejercicio de dicha facultad”; (ii) “en sentido positivo, se ha especificado que el deber de fundamentación de estas resoluciones judiciales requiere la ponderación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(STC 320/2006, FJ 4).</w:t>
      </w:r>
    </w:p>
    <w:p w14:paraId="446F440A" w14:textId="77777777" w:rsidR="003754FE" w:rsidRDefault="003754FE" w:rsidP="003754FE">
      <w:pPr>
        <w:pStyle w:val="TextoNormal"/>
      </w:pPr>
    </w:p>
    <w:p w14:paraId="639015DD" w14:textId="77777777" w:rsidR="003754FE" w:rsidRDefault="003754FE" w:rsidP="003754FE">
      <w:pPr>
        <w:pStyle w:val="TextoNormal"/>
      </w:pPr>
      <w:r>
        <w:t xml:space="preserve">Asimismo, este tribunal se ha pronunciado sobre la regulación actual de la suspensión de la pena, el alcance del compromiso de pago de la responsabilidad civil antes de decidir sobre la suspensión de aquella y la relevancia de determinar la verdadera situación económica del penado en el momento de valorar las consecuencias de su incumplimiento. Así lo ha hecho en el ATC 3/2018, de 23 de enero, dictado por el Pleno de este tribunal, que inadmitió a trámite la cuestión de inconstitucionalidad 4074-2017 planteada por un juzgado en relación </w:t>
      </w:r>
      <w:r>
        <w:lastRenderedPageBreak/>
        <w:t>con la condición tercera del apartado segundo del art. 80 del Código penal, a partir de su reforma por la Ley Orgánica 1/2015, de 30 de marzo.</w:t>
      </w:r>
    </w:p>
    <w:p w14:paraId="0694B703" w14:textId="77777777" w:rsidR="003754FE" w:rsidRDefault="003754FE" w:rsidP="003754FE">
      <w:pPr>
        <w:pStyle w:val="TextoNormal"/>
      </w:pPr>
    </w:p>
    <w:p w14:paraId="1C11B4AF" w14:textId="77777777" w:rsidR="003754FE" w:rsidRDefault="003754FE" w:rsidP="003754FE">
      <w:pPr>
        <w:pStyle w:val="TextoNormal"/>
      </w:pPr>
      <w:r>
        <w:t>En este auto el tribunal declaró que en esta reforma el legislador optó por un régimen en el que el penado debe comprometerse</w:t>
      </w:r>
    </w:p>
    <w:p w14:paraId="28F15CF6" w14:textId="77777777" w:rsidR="003754FE" w:rsidRDefault="003754FE" w:rsidP="003754FE">
      <w:pPr>
        <w:pStyle w:val="TextoNormal"/>
      </w:pPr>
    </w:p>
    <w:p w14:paraId="31CA1AEC" w14:textId="77777777" w:rsidR="003754FE" w:rsidRDefault="003754FE" w:rsidP="003754FE">
      <w:pPr>
        <w:pStyle w:val="TextoNormal"/>
      </w:pPr>
      <w:r>
        <w:t>“[A] satisfacer la responsabilidad civil impuesta de acuerdo ‘con su capacidad económica’, esto es, debiendo asumir que, como condenado que quiere evitar el cumplimiento efectivo de la pena que le ha sido impuesta, tiene la obligación de realizar algún tipo de esfuerzo, por mínimo que sea, para satisfacer sus responsabilidades frente a la víctima del delito cometido. Ello no obsta, sin embargo, a que durante la ejecución de la suspensión de la pena se valore si el impago finalmente producido responde a una verdadera situación de insolvencia o si se trata, en cambio, de un incumplimiento deliberado, eventualmente acompañado de una ocultación de bienes, quedando claro en la regulación en vigor que, si el penado resulta realmente insolvente, la suspensión de la ejecución de la pena no ha de ser revocada. Así lo señala categóricamente el artículo 86.1, letra d), que dispone la revocación de la suspensión cuando el penado:</w:t>
      </w:r>
    </w:p>
    <w:p w14:paraId="52E889A8" w14:textId="77777777" w:rsidR="003754FE" w:rsidRDefault="003754FE" w:rsidP="003754FE">
      <w:pPr>
        <w:pStyle w:val="TextoNormal"/>
      </w:pPr>
    </w:p>
    <w:p w14:paraId="4FF7D2A0" w14:textId="77777777" w:rsidR="003754FE" w:rsidRDefault="003754FE" w:rsidP="003754FE">
      <w:pPr>
        <w:pStyle w:val="TextoNormal"/>
      </w:pPr>
      <w:r>
        <w:t>‘Facilite información inexacta o insuficiente sobre el paradero de bienes u objetos cuyo decomiso hubiera sido acordado; no dé cumplimiento al compromiso de pago de las responsabilidades civiles a que hubiera sido condenado, salvo que careciera de capacidad económica para ello; o facilite información inexacta o insuficiente sobre su patrimonio, incumpliendo la obligación impuesta en el artículo 589 de la Ley de enjuiciamiento civil’.</w:t>
      </w:r>
    </w:p>
    <w:p w14:paraId="5AF2D061" w14:textId="77777777" w:rsidR="003754FE" w:rsidRDefault="003754FE" w:rsidP="003754FE">
      <w:pPr>
        <w:pStyle w:val="TextoNormal"/>
      </w:pPr>
    </w:p>
    <w:p w14:paraId="6D762743" w14:textId="77777777" w:rsidR="003754FE" w:rsidRDefault="003754FE" w:rsidP="003754FE">
      <w:pPr>
        <w:pStyle w:val="TextoNormal"/>
      </w:pPr>
      <w:r>
        <w:t>En definitiva, lo único que se exige en el momento de decidir sobre la suspensión de la ejecución es un compromiso mínimo por parte del penado de satisfacer la responsabilidad civil impuesta, de acuerdo con su capacidad económica. Esto es, se condiciona el otorgamiento de beneficio de suspensión a la asunción por el penado de una actitud favorable hacia la víctima, que implique el compromiso de realizar un mínimo esfuerzo tendente a resarcirla del daño. Si la situación económica del penado es realmente precaria, nada se opone, por ejemplo, en el nuevo esquema normativo diseñado por el legislador, a que ese esfuerzo consista en el compromiso de pagar la indemnización si esa capacidad económica mejora durante el plazo total de suspensión que haya sido concedido, jugando aquí la necesaria discrecionalidad judicial en la evaluación de cada caso concreto.</w:t>
      </w:r>
    </w:p>
    <w:p w14:paraId="2440FF2C" w14:textId="77777777" w:rsidR="003754FE" w:rsidRDefault="003754FE" w:rsidP="003754FE">
      <w:pPr>
        <w:pStyle w:val="TextoNormal"/>
      </w:pPr>
    </w:p>
    <w:p w14:paraId="2491A068" w14:textId="77777777" w:rsidR="003754FE" w:rsidRDefault="003754FE" w:rsidP="003754FE">
      <w:pPr>
        <w:pStyle w:val="TextoNormal"/>
      </w:pPr>
      <w:r>
        <w:t>[…] Las razones por las que la indemnización no resulta, finalmente, satisfecha se valoran, por ello, como el legislador advierte expresamente en el preámbulo y materializa normativamente en el citado artículo 86.1 d) CP, en el momento en que el plazo conferido expira sin que se haya pagado.</w:t>
      </w:r>
    </w:p>
    <w:p w14:paraId="411CD57A" w14:textId="77777777" w:rsidR="003754FE" w:rsidRDefault="003754FE" w:rsidP="003754FE">
      <w:pPr>
        <w:pStyle w:val="TextoNormal"/>
      </w:pPr>
    </w:p>
    <w:p w14:paraId="360AEAA3" w14:textId="77777777" w:rsidR="003754FE" w:rsidRDefault="003754FE" w:rsidP="003754FE">
      <w:pPr>
        <w:pStyle w:val="TextoNormal"/>
      </w:pPr>
      <w:r>
        <w:t xml:space="preserve">Es fácil concluir, por ello, que la regulación cuestionada se limita a arbitrar un sistema en el que no se exime </w:t>
      </w:r>
      <w:r w:rsidRPr="003754FE">
        <w:rPr>
          <w:i/>
        </w:rPr>
        <w:t>ab initio</w:t>
      </w:r>
      <w:r>
        <w:t xml:space="preserve"> al penado de la obligación de indemnizar y en el que el condenado debe asumir la obligación de realizar un cierto esfuerzo para resarcir a su víctima, si quiere evitar el cumplimiento efectivo de la pena de prisión impuesta. Si ese resarcimiento no llega a producirse por razón de la precaria situación económica del reo, la suspensión no se verá en ningún caso revocada. […]</w:t>
      </w:r>
    </w:p>
    <w:p w14:paraId="147A241F" w14:textId="77777777" w:rsidR="003754FE" w:rsidRDefault="003754FE" w:rsidP="003754FE">
      <w:pPr>
        <w:pStyle w:val="TextoNormal"/>
      </w:pPr>
    </w:p>
    <w:p w14:paraId="63B5648B" w14:textId="77777777" w:rsidR="003754FE" w:rsidRDefault="003754FE" w:rsidP="003754FE">
      <w:pPr>
        <w:pStyle w:val="TextoNormal"/>
      </w:pPr>
      <w:r>
        <w:lastRenderedPageBreak/>
        <w:t>Nada se encuentra, en definitiva, en la regulación penal cuestionada que pueda entenderse como una regla impeditiva de la concesión de la suspensión de la ejecución a quien no puede hacer frente a las responsabilidades civiles por falta de capacidad económica, situación que, además, está expresamente prevista en el momento de decidir sobre la revocación del beneficio” (FJ 7).</w:t>
      </w:r>
    </w:p>
    <w:p w14:paraId="49BC48A2" w14:textId="77777777" w:rsidR="003754FE" w:rsidRDefault="003754FE" w:rsidP="003754FE">
      <w:pPr>
        <w:pStyle w:val="TextoNormal"/>
      </w:pPr>
    </w:p>
    <w:p w14:paraId="3913E756" w14:textId="77777777" w:rsidR="003754FE" w:rsidRDefault="003754FE" w:rsidP="003754FE">
      <w:pPr>
        <w:pStyle w:val="TextoNormal"/>
      </w:pPr>
      <w:r>
        <w:t>Aunque inicialmente los pronunciamientos del Tribunal Constitucional relativos a la exigencia de una motivación reforzada en las decisiones que resolvían sobre la suspensión de la pena no aludían de forma expresa a la revocación de la suspensión, este tribunal en la STC 32/2022, de 7 de marzo, declaró que “sin duda es extrapolable a ella, en tanto esa institución se integra en el diseño legal de la institución (sección primera ‘De la suspensión de la ejecución de las penas privativas de libertad’ del capítulo III ‘De las formas sustitutivas de la ejecución de las penas privativas de libertad y de la libertad condicional’) como elemento estructural de esa forma sustitutiva y la decisión al respecto afecta a la libertad personal del sujeto, pues determina el modo de cumplimiento hasta el punto de determinar el ingreso en prisión”. En el mismo sentido, aplicando la doctrina fijada en la STC 32/2022, se han pronunciado recientemente las SSTC 184/2023, de 11 de diciembre; 39/2024, de 11 de marzo; 70/2024, de 6 de mayo, y 78/2024, de 20 de mayo.</w:t>
      </w:r>
    </w:p>
    <w:p w14:paraId="20CB3D7E" w14:textId="77777777" w:rsidR="003754FE" w:rsidRDefault="003754FE" w:rsidP="003754FE">
      <w:pPr>
        <w:pStyle w:val="TextoNormal"/>
      </w:pPr>
    </w:p>
    <w:p w14:paraId="31163D2F" w14:textId="40F0E454" w:rsidR="003754FE" w:rsidRDefault="003754FE" w:rsidP="003754FE">
      <w:pPr>
        <w:pStyle w:val="TextoNormal"/>
      </w:pPr>
      <w:r>
        <w:t>En la STC 32/2022 citada se recoge la doctrina constitucional relativa al papel que la capacidad económica del sujeto desempeña en las decisiones de suspensión y revocación de la responsabilidad civil recogida en el ATC 3/2018 citado y concluye que “ni la suspensión ni la revocación pueden condicionarse al pago de la responsabilidad civil cuando es imposible ese pago. En especial, la motivación de las decisiones judiciales que revocan una suspensión deben tener presente esta regla en su examen de la concurrencia de los presupuestos legales de tal consecuencia, que a su vez la reflejan [art. 86.1 d) CP: ‘salvo que careciera de capacidad económica para ello’], junto con la ponderación de los bienes y derechos en conflicto de conformidad con los fines constitucionalmente fijados de las penas privativas de libertad y la orientación a la reeducación y reinserción social inherente a la figura de la suspensión como alternativa a los efectos contrarios de las penas privativas de libertad cortas” (STC 32/2022, FJ 4).</w:t>
      </w:r>
    </w:p>
    <w:p w14:paraId="2D521301" w14:textId="77777777" w:rsidR="003754FE" w:rsidRDefault="003754FE" w:rsidP="003754FE">
      <w:pPr>
        <w:pStyle w:val="TextoNormal"/>
      </w:pPr>
    </w:p>
    <w:p w14:paraId="29C099F1" w14:textId="77777777" w:rsidR="003754FE" w:rsidRDefault="003754FE" w:rsidP="003754FE">
      <w:pPr>
        <w:pStyle w:val="TextoNormal"/>
      </w:pPr>
      <w:r w:rsidRPr="003754FE">
        <w:rPr>
          <w:rStyle w:val="NumeroAFNegritaCaracter"/>
        </w:rPr>
        <w:t>4</w:t>
      </w:r>
      <w:r>
        <w:t xml:space="preserve">. </w:t>
      </w:r>
      <w:r w:rsidRPr="003754FE">
        <w:rPr>
          <w:i/>
        </w:rPr>
        <w:t>Aplicación de la doctrina al caso. Incumplimiento de las exigencias constitucionales de motivación de la decisión de revocar la suspensión de la ejecución de la pena privativa de libertad</w:t>
      </w:r>
    </w:p>
    <w:p w14:paraId="5C27DEC3" w14:textId="77777777" w:rsidR="003754FE" w:rsidRDefault="003754FE" w:rsidP="003754FE">
      <w:pPr>
        <w:pStyle w:val="TextoNormal"/>
      </w:pPr>
    </w:p>
    <w:p w14:paraId="0AA9E9CB" w14:textId="77777777" w:rsidR="003754FE" w:rsidRDefault="003754FE" w:rsidP="003754FE">
      <w:pPr>
        <w:pStyle w:val="TextoNormal"/>
      </w:pPr>
      <w:r>
        <w:t>A la luz de la doctrina referida, este tribunal considera que la motivación ofrecida por las resoluciones impugnadas no colma las exigencias que impone el art. 24.1 CE en relación con el art. 17 CE, cuando se trata de revocar la suspensión de la ejecución de la pena privativa de libertad.</w:t>
      </w:r>
    </w:p>
    <w:p w14:paraId="083AFB25" w14:textId="77777777" w:rsidR="003754FE" w:rsidRDefault="003754FE" w:rsidP="003754FE">
      <w:pPr>
        <w:pStyle w:val="TextoNormal"/>
      </w:pPr>
    </w:p>
    <w:p w14:paraId="14B0E0B9" w14:textId="77777777" w:rsidR="003754FE" w:rsidRDefault="003754FE" w:rsidP="003754FE">
      <w:pPr>
        <w:pStyle w:val="TextoNormal"/>
      </w:pPr>
      <w:r>
        <w:t xml:space="preserve">Como quedó consignado con mayor detalle en los antecedentes, el inicial auto de 30 de junio de 2021 del Juzgado de lo Penal núm. 4 de Sevilla, que acordó la revocación de la suspensión, funda su decisión en el transcurso de más de tres años desde la firmeza de la sentencia sin que el penado hubiese abonado ni un solo euro del importe impuesto en concepto de responsabilidad civil, “sabiendo que ello era condición del mantenimiento de la suspensión”. El juzgado considera que ello supone una conducta suficiente para acreditar la ausencia de una voluntad real de pago y de resarcimiento del daño causado a la víctima. Y </w:t>
      </w:r>
      <w:r>
        <w:lastRenderedPageBreak/>
        <w:t>afirma que el art. 86 CP no contempla el supuesto del incumplimiento de las responsabilidades civiles derivadas del delito por el que el penado ha sido condenado, ya que es una de las condiciones fundamentales previstas en el art. 80 CP, que no puede ser obviada ni siquiera en los supuestos excepcionales de los apartados 3 y 5 del mismo artículo.</w:t>
      </w:r>
    </w:p>
    <w:p w14:paraId="6CCDAADD" w14:textId="77777777" w:rsidR="003754FE" w:rsidRDefault="003754FE" w:rsidP="003754FE">
      <w:pPr>
        <w:pStyle w:val="TextoNormal"/>
      </w:pPr>
    </w:p>
    <w:p w14:paraId="588D23BC" w14:textId="77777777" w:rsidR="003754FE" w:rsidRDefault="003754FE" w:rsidP="003754FE">
      <w:pPr>
        <w:pStyle w:val="TextoNormal"/>
      </w:pPr>
      <w:r>
        <w:t>El auto de 30 de noviembre de 2021 del mismo Juzgado de lo Penal núm. 4 de Sevilla fundamentó la desestimación del recurso de reforma argumentando lo siguiente: (i) que la interpretación del inciso del art. 86.1 d) CP permitiendo a los penados “seguir disfrutando del beneficio de la suspensión, aunque se desentienda[n] del pago de la indemnización fijada como responsabilidad civil en sentencia, aduciendo su situación económica”, vaciaría de contenido las previsiones introducidas por la reforma operada por la Ley Orgánica 1/2015 en materia de suspensión de las penas privativas de libertad con la finalidad de proteger a la víctima, principal foco de atención de dicha reforma; (ii) que el penado podía “atravesar una situación económica complicada” pero “no realizar un solo pago, por pequeño que sea, no puede sino obedecer a una actitud rebelde al cumplimiento de lo acordado en sentencia, sin ser relevante que se haya acordado la insolvencia del penado, ya que el cumplimiento de la pena no implica una ‘prisión por deudas’, sino la ejecución de una sentencia en la que al penado se le impuso una pena de prisión, concediéndole un beneficio excepcional en su ejecución, consistente en la suspensión de su complimiento siempre que el penado cumpliera una serie de condiciones, entre las que se encontraba el pago de la responsabilidad civil”; (iii) que el penado aceptó estas condiciones para acceder a la suspensión y “si ha venido a peor fortuna ello no empece el hecho de que ha sido condenado a una pena de prisión, la cual debe ser cumplida en sus estrictos términos”; (iv) que se apreciaba una absoluta falta de colaboración del penado con la administración de justicia que “no deb[ía] ser premiada con beneficios en la ejecución de la pena como es la concesión de un nuevo aplazamiento en el pago de la indemnización”.</w:t>
      </w:r>
    </w:p>
    <w:p w14:paraId="65F7DFB9" w14:textId="77777777" w:rsidR="003754FE" w:rsidRDefault="003754FE" w:rsidP="003754FE">
      <w:pPr>
        <w:pStyle w:val="TextoNormal"/>
      </w:pPr>
    </w:p>
    <w:p w14:paraId="2A076AFE" w14:textId="77777777" w:rsidR="003754FE" w:rsidRDefault="003754FE" w:rsidP="003754FE">
      <w:pPr>
        <w:pStyle w:val="TextoNormal"/>
      </w:pPr>
      <w:r>
        <w:t>El auto de 14 de marzo de 2022 de la Sección Séptima de la Audiencia Provincial de Sevilla desestimó la apelación insistiendo en que el penado no había hecho, a lo largo de un periodo de tres años, el más mínimo ingreso, lo que demostraba una actitud contraria u obstativa a reparar el daño causado y, en definitiva, a rehabilitarse. Y la Audiencia Provincial añadía: “debiendo tenerse en cuenta a mayor abundamiento que con posterioridad al referido delito ha cometido otro delito de lesiones, concretamente el 26 de julio de 2015 por el que fue condenado a la pena de dos años de prisión, que le fue suspendida también por plazo de tres años el 4 de octubre de 2018, y un delito de desobediencia el 10 de septiembre de 2018, cuando ya se había concedido la suspensión por el delito de lesiones objeto de la presente ejecutoria si bien no se le había notificado personalmente la misma”. La Audiencia Provincial confirmó la revocación de la suspensión al estimar que se había producido “un incumplimiento grave o reiterado de la condición que le fue impuesta para la concesión de la suspensión, el cual no es un derecho del penado, siendo la regla general el cumplimiento de la pena tal y como fue impuesta en la sentencia”.</w:t>
      </w:r>
    </w:p>
    <w:p w14:paraId="15D15AB7" w14:textId="77777777" w:rsidR="003754FE" w:rsidRDefault="003754FE" w:rsidP="003754FE">
      <w:pPr>
        <w:pStyle w:val="TextoNormal"/>
      </w:pPr>
    </w:p>
    <w:p w14:paraId="4CCD3BD6" w14:textId="77777777" w:rsidR="003754FE" w:rsidRDefault="003754FE" w:rsidP="003754FE">
      <w:pPr>
        <w:pStyle w:val="TextoNormal"/>
      </w:pPr>
      <w:r>
        <w:t>Finalmente, la providencia de 27 de abril de 2022 de la Sección Séptima de la Audiencia Provincial inadmitió el incidente de nulidad de actuaciones formulado, indicando, únicamente, que en la resolución cuya nulidad se pretendía se habían razonado y expuesto los argumentos que justificaban la revocación de la suspensión debidamente acordada por el Juzgado de lo Penal.</w:t>
      </w:r>
    </w:p>
    <w:p w14:paraId="7E19C000" w14:textId="77777777" w:rsidR="003754FE" w:rsidRDefault="003754FE" w:rsidP="003754FE">
      <w:pPr>
        <w:pStyle w:val="TextoNormal"/>
      </w:pPr>
    </w:p>
    <w:p w14:paraId="2367B4E4" w14:textId="77777777" w:rsidR="003754FE" w:rsidRDefault="003754FE" w:rsidP="003754FE">
      <w:pPr>
        <w:pStyle w:val="TextoNormal"/>
      </w:pPr>
      <w:r>
        <w:lastRenderedPageBreak/>
        <w:t>Ninguno de los argumentos expuestos colma la exigencia constitucional de motivación conforme a los art. 24.1 y 17 CE que, en estos supuestos, exige atender a la capacidad económica del sujeto. Y ello por los siguientes motivos.</w:t>
      </w:r>
    </w:p>
    <w:p w14:paraId="1C8B0C29" w14:textId="77777777" w:rsidR="003754FE" w:rsidRDefault="003754FE" w:rsidP="003754FE">
      <w:pPr>
        <w:pStyle w:val="TextoNormal"/>
      </w:pPr>
    </w:p>
    <w:p w14:paraId="5A979B03" w14:textId="77777777" w:rsidR="003754FE" w:rsidRDefault="003754FE" w:rsidP="003754FE">
      <w:pPr>
        <w:pStyle w:val="TextoNormal"/>
      </w:pPr>
      <w:r>
        <w:t>a) Las resoluciones impugnadas se refieren, reiteradamente, al incumplimiento de la obligación de pago de la responsabilidad civil como fundamento de la revocación de la suspensión. Sin embargo, este tribunal ha declarado que “vincular sin solución de continuidad la revocación con el impago de la responsabilidad civil no solo desconoce la previsión del art. 86.4 CP, que […] no anuda automáticamente esa consecuencia al incumplimiento del compromiso de pago, sino que exige comprobar la paralela capacidad económica [del penado] para satisfacerla” (STC 32/2022, FJ 5). Es preciso verificar la existencia efectiva del poder de pago como condición de la revocación, pues es claro “en la regulación en vigor que, si el penado resulta realmente insolvente, la suspensión de la ejecución de la pena no ha de ser revocada” (ATC 3/2018, FJ 7).</w:t>
      </w:r>
    </w:p>
    <w:p w14:paraId="1BFB68AE" w14:textId="77777777" w:rsidR="003754FE" w:rsidRDefault="003754FE" w:rsidP="003754FE">
      <w:pPr>
        <w:pStyle w:val="TextoNormal"/>
      </w:pPr>
    </w:p>
    <w:p w14:paraId="1815E56D" w14:textId="77777777" w:rsidR="003754FE" w:rsidRDefault="003754FE" w:rsidP="003754FE">
      <w:pPr>
        <w:pStyle w:val="TextoNormal"/>
      </w:pPr>
      <w:r>
        <w:t>b) El Juzgado de lo Penal núm. 4 de Sevilla considera que mantener el beneficio de la suspensión, aunque los penados “se desentiendan” del pago de la responsabilidad civil aduciendo su situación económica, vaciaría de contenido las previsiones de la reforma efectuada por la Ley Orgánica 1/2015 en materia de suspensión de las penas privativas de libertad con la finalidad de proteger a la víctima, principal foco de atención de dicha reforma. Frente a esta argumentación debe recordarse que este tribunal ha rechazado expresamente que el derecho de reparación de la víctima pueda constituir el fundamento de la revocación de la suspensión de la pena en los supuestos de impago de la responsabilidad civil por imposibilidad material del penado.</w:t>
      </w:r>
    </w:p>
    <w:p w14:paraId="34BA7F7A" w14:textId="77777777" w:rsidR="003754FE" w:rsidRDefault="003754FE" w:rsidP="003754FE">
      <w:pPr>
        <w:pStyle w:val="TextoNormal"/>
      </w:pPr>
    </w:p>
    <w:p w14:paraId="39802241" w14:textId="77777777" w:rsidR="003754FE" w:rsidRDefault="003754FE" w:rsidP="003754FE">
      <w:pPr>
        <w:pStyle w:val="TextoNormal"/>
      </w:pPr>
      <w:r>
        <w:t>Como señalamos en el ATC 3/2018, de 23 de enero, FJ 6, en el nuevo sistema, fruto de la reforma efectuada por la Ley Orgánica 1/2015, la clave se encuentra en “vincular la concesión de la suspensión, en todo caso y cualquiera que sea la situación económica por la que circunstancialmente pase el penado, a la asunción por parte del reo de su deber de resarcir a la víctima en la medida de sus posibilidades, de modo que dicho deber no desaparezca rituariamente al inicio de la ejecución de la condena, exigiéndose en todo momento una actitud positiva hacia el cumplimiento de la responsabilidad civil. Las razones por las que la indemnización no resulta, finalmente, satisfecha se valoran, por ello, como el legislador advierte expresamente en el preámbulo y materializa normativamente en el citado artículo 86.1 d) CP, en el momento en que el plazo conferido expira sin que se haya pagado”. En el mismo sentido declaramos en la STC 32/2022, FJ 5 b): “El derecho a la reparación de la víctima y, en general, los planteamientos victimológicos que incorpora el régimen de la suspensión y que puedan haber impulsado la reforma, por más que puedan explicar la nueva regulación y orientar la interpretación de la misma, encuentran su límite en la prohibición de condicionarla al pago de la responsabilidad civil cuando no hay capacidad de cumplimiento”.</w:t>
      </w:r>
    </w:p>
    <w:p w14:paraId="6980202A" w14:textId="77777777" w:rsidR="003754FE" w:rsidRDefault="003754FE" w:rsidP="003754FE">
      <w:pPr>
        <w:pStyle w:val="TextoNormal"/>
      </w:pPr>
    </w:p>
    <w:p w14:paraId="38EA0284" w14:textId="77777777" w:rsidR="003754FE" w:rsidRDefault="003754FE" w:rsidP="003754FE">
      <w:pPr>
        <w:pStyle w:val="TextoNormal"/>
      </w:pPr>
      <w:r>
        <w:t xml:space="preserve">c) Las resoluciones judiciales impugnadas señalan que el penado sabía que el pago de la responsabilidad civil era condición del mantenimiento de la suspensión y el mismo “aceptó estas condiciones para acceder a la suspensión”. Con este argumento desconocen, por tanto, que este tribunal ha señalado que el compromiso de pago del penado previo a la concesión de la suspensión de la pena es un “indicio no concluyente de la real capacidad económica del sujeto incumplidor” y que, por más que efectivamente pueda no haber un cambio de </w:t>
      </w:r>
      <w:r>
        <w:lastRenderedPageBreak/>
        <w:t>circunstancias ya que el penado siempre careció de poder de pago, debe tenerse presente que la cancelación de la suspensión se vincula legalmente al incumplimiento cuando es posible hacer frente al pago comprometido. En este sentido, “inferir una capacidad de cumplimiento al resolver sobre una revocación por impago de la responsabilidad civil de la inicial asunción del compromiso de pago […] desdibuja el papel que esa comprobación tiene en el sistema de suspensión. Aunque no sea irrazonable considerar un indicio de la capacidad económica la asunción por el condenado de un concreto plan de pagos al tiempo de acordar la suspensión, ese indicio resulta insuficiente cuando se trata de verificar la existencia efectiva de dicho poder de pago como condición para revocar. […] Se trata de un indicio no concluyente de la real capacidad económica del sujeto incumplidor que alega carecer de ella, como es el caso, si no viene acompañado de otros que apuntalen la conclusión sobre la efectiva solvencia. A la postre, conformarse con una motivación que pivota fundamentalmente sobre ese indicio frente a lo alegado en contra por el condenado conduce a la ausencia de un examen de la efectiva capacidad económica del sujeto, como ha ocurrido en el asunto de fondo, de modo que la revocación se apoya en una presunción de capacidad y no en la concurrencia de la misma como exige el art. 86.1 d) CP y el entendimiento constitucional de la suspensión” [STC 32/2022, FJ 5 c) (ii)].</w:t>
      </w:r>
    </w:p>
    <w:p w14:paraId="404C3EF8" w14:textId="77777777" w:rsidR="003754FE" w:rsidRDefault="003754FE" w:rsidP="003754FE">
      <w:pPr>
        <w:pStyle w:val="TextoNormal"/>
      </w:pPr>
    </w:p>
    <w:p w14:paraId="15237246" w14:textId="77777777" w:rsidR="003754FE" w:rsidRDefault="003754FE" w:rsidP="003754FE">
      <w:pPr>
        <w:pStyle w:val="TextoNormal"/>
      </w:pPr>
      <w:r>
        <w:t>d) Tanto el Juzgado de lo Penal como la Audiencia Provincial afirman que el hecho de que el penado no hubiese abonado ninguna cantidad para el pago de la responsabilidad civil supone una conducta suficiente para acreditar la ausencia de una voluntad real de pago y de resarcimiento del daño causado a la víctima. Sin embargo, “conjeturar sobre intenciones y atribuir negligencias no satisface el canon de motivación específica o reforzada que debe presidir la adopción y también la revisión por el órgano judicial de apelación de una decisión de revocación de la suspensión de la ejecución de una pena privativa de libertad. Porque con esas conjeturas y atribuciones se deja de analizar la capacidad económica del penado en el momento de adoptar la decisión de revocación y no se valora si el impago fue injustificado o imposible por faltar dicha capacidad, tal y como exige el derecho a la tutela judicial efectiva en relación con el derecho a la libertad personal en esta clase de decisiones en atención, como dijimos, a los intereses en juego y se desprende, además, de la propia ley penal que impide efectuar un pronunciamiento revocatorio por impago de la responsabilidad civil cuando el penado ‘careciera de capacidad económica para ello’ [art. 86.1 d) CP]” [STC 39/2024, de 11 de marzo, FJ 4 c)].</w:t>
      </w:r>
    </w:p>
    <w:p w14:paraId="353C0DA5" w14:textId="77777777" w:rsidR="003754FE" w:rsidRDefault="003754FE" w:rsidP="003754FE">
      <w:pPr>
        <w:pStyle w:val="TextoNormal"/>
      </w:pPr>
    </w:p>
    <w:p w14:paraId="3593713A" w14:textId="77777777" w:rsidR="003754FE" w:rsidRDefault="003754FE" w:rsidP="003754FE">
      <w:pPr>
        <w:pStyle w:val="TextoNormal"/>
      </w:pPr>
      <w:r>
        <w:t>Como se indica en la STC 32/2022, “[c]abe esperar por ello del juez un razonamiento con el máximo detalle que en función de las circunstancias del caso sea posible sobre la capacidad económica real del condenado que niega tenerla o haberla perdido”. Y “[a] tal efecto, los órganos judiciales deberán valorar, claro está, las alegaciones y pruebas aportadas por las partes sobre su capacidad económica con el fin satisfacer el contenido más elemental del derecho a la motivación de las resoluciones judiciales. Pero, para cumplir con las exigencias de motivación específica de las decisiones de revocación, los órganos judiciales no se podrán limitar a valorar lo que las partes hubieran podido alegar y aportar, sino que atenderán asimismo a lo actuado en la ejecutoria, donde encontrarán normalmente elementos o resoluciones que servirán para efectuar aquel examen de la situación patrimonial. De no existir o ser insuficientes, los órganos judiciales realizarán de oficio las averiguaciones que resulten precisas para efectuar el análisis debido, actuación de oficio que se estima proporcionada porque de ella puede depender que se mantenga o revoque la situación de libertad en la que el penado se halla” [STC 39/2024, de 11 de marzo, FJ 4 c)].</w:t>
      </w:r>
    </w:p>
    <w:p w14:paraId="5DF4BFB9" w14:textId="77777777" w:rsidR="003754FE" w:rsidRDefault="003754FE" w:rsidP="003754FE">
      <w:pPr>
        <w:pStyle w:val="TextoNormal"/>
      </w:pPr>
    </w:p>
    <w:p w14:paraId="333A0712" w14:textId="77777777" w:rsidR="003754FE" w:rsidRDefault="003754FE" w:rsidP="003754FE">
      <w:pPr>
        <w:pStyle w:val="TextoNormal"/>
      </w:pPr>
      <w:r>
        <w:t>En el presente caso constaba en las actuaciones la documental aportada por el demandante para acreditar su falta de capacidad económica —cuya verificación a través del punto neutro judicial reiteradamente solicitó—, así como el resultado de dos averiguaciones patrimoniales previamente efectuadas (la última de ellas acordada en el año 2021) y la declaración de insolvencia del penado. Y, sin embargo, la decisión de revocación se adoptó sin analizar la documental existente ni efectuar ninguna indagación, como había sido solicitado por el penado y los órganos judiciales podían efectuar de oficio.</w:t>
      </w:r>
    </w:p>
    <w:p w14:paraId="07D92F30" w14:textId="77777777" w:rsidR="003754FE" w:rsidRDefault="003754FE" w:rsidP="003754FE">
      <w:pPr>
        <w:pStyle w:val="TextoNormal"/>
      </w:pPr>
    </w:p>
    <w:p w14:paraId="48F108B2" w14:textId="77777777" w:rsidR="003754FE" w:rsidRDefault="003754FE" w:rsidP="003754FE">
      <w:pPr>
        <w:pStyle w:val="TextoNormal"/>
      </w:pPr>
      <w:r>
        <w:t>Desde la posición de este tribunal, no nos corresponde efectuar la valoración de los datos existentes para llegar a determinar la capacidad económica real del penado y su voluntad en relación con el impago de la responsabilidad civil. Pero sí resolver que las resoluciones judiciales incumplieron con el canon de motivación reforzada exigible al fundar su decisión, de forma automática, en el impago de la responsabilidad civil y no realizar aquella valoración, requisito ineludible para determinar la capacidad económica real del penado y ponderar el eventual carácter injustificado del impago, que podría suponer la revocación de la suspensión de la pena concedida.</w:t>
      </w:r>
    </w:p>
    <w:p w14:paraId="06EBB803" w14:textId="77777777" w:rsidR="003754FE" w:rsidRDefault="003754FE" w:rsidP="003754FE">
      <w:pPr>
        <w:pStyle w:val="TextoNormal"/>
      </w:pPr>
    </w:p>
    <w:p w14:paraId="4E10E840" w14:textId="77777777" w:rsidR="003754FE" w:rsidRDefault="003754FE" w:rsidP="003754FE">
      <w:pPr>
        <w:pStyle w:val="TextoNormal"/>
      </w:pPr>
      <w:r>
        <w:t>e) Mención aparte requiere la referencia efectuada por la Audiencia Provincial en su auto, que desestimó el recurso de apelación por la existencia de nuevas condenas que justificaría “a mayor abundamiento” la revocación de la suspensión de la pena de prisión. La Audiencia Provincial puso de manifiesto que “con posterioridad al referido delito ha cometido otro delito de lesiones, concretamente el 26 de julio de 2015 por el que fue condenado a la pena de dos años de prisión, que le fue suspendida también por plazo de tres años el 4 de octubre de 2018, y un delito de desobediencia el 10 de septiembre de 2018, cuando ya se había concedido la suspensión por el delito de lesiones objeto de la presente ejecutoria si bien no se le había notificado personalmente la misma”.</w:t>
      </w:r>
    </w:p>
    <w:p w14:paraId="2460867B" w14:textId="77777777" w:rsidR="003754FE" w:rsidRDefault="003754FE" w:rsidP="003754FE">
      <w:pPr>
        <w:pStyle w:val="TextoNormal"/>
      </w:pPr>
    </w:p>
    <w:p w14:paraId="26C300E2" w14:textId="77777777" w:rsidR="003754FE" w:rsidRDefault="003754FE" w:rsidP="003754FE">
      <w:pPr>
        <w:pStyle w:val="TextoNormal"/>
      </w:pPr>
      <w:r>
        <w:t xml:space="preserve">La referencia a este antecedente, que en el informe del fiscal se indica que “cabría tildar de </w:t>
      </w:r>
      <w:r w:rsidRPr="003754FE">
        <w:rPr>
          <w:i/>
        </w:rPr>
        <w:t>reformatio in peius</w:t>
      </w:r>
      <w:r>
        <w:t xml:space="preserve"> argumental”, tampoco puede ser acogida como fundamento de la revocación de acuerdo con las exigencias de la doctrina constitucional.</w:t>
      </w:r>
    </w:p>
    <w:p w14:paraId="4DA86A2A" w14:textId="77777777" w:rsidR="003754FE" w:rsidRDefault="003754FE" w:rsidP="003754FE">
      <w:pPr>
        <w:pStyle w:val="TextoNormal"/>
      </w:pPr>
    </w:p>
    <w:p w14:paraId="7F0568A0" w14:textId="77777777" w:rsidR="003754FE" w:rsidRDefault="003754FE" w:rsidP="003754FE">
      <w:pPr>
        <w:pStyle w:val="TextoNormal"/>
      </w:pPr>
      <w:r>
        <w:t>En primer lugar, el debate ante los órganos judiciales previo a la revocación de la suspensión acordada en el auto de 30 de junio de 2021 se centró en el único argumento del impago de la responsabilidad civil una vez transcurrido el plazo de suspensión. Así se desprende de la diligencia de ordenación de 4 de mayo de 2021, que puso de manifiesto la ausencia de ingresos en la cuenta de consignaciones del juzgado, dio traslado al Ministerio Fiscal y acordó dar traslado también a su defensa “para que presente alegaciones por plazo de cinco días sobre la posible revocación por incumplimiento del requisito de pago de la responsabilidad civil”, de los escritos de las partes y las sucesivas resoluciones judiciales dictadas (salvo el inciso examinado del auto de la Audiencia Provincial).</w:t>
      </w:r>
    </w:p>
    <w:p w14:paraId="4703D2BE" w14:textId="77777777" w:rsidR="003754FE" w:rsidRDefault="003754FE" w:rsidP="003754FE">
      <w:pPr>
        <w:pStyle w:val="TextoNormal"/>
      </w:pPr>
    </w:p>
    <w:p w14:paraId="6A1FA0C8" w14:textId="77777777" w:rsidR="003754FE" w:rsidRDefault="003754FE" w:rsidP="003754FE">
      <w:pPr>
        <w:pStyle w:val="TextoNormal"/>
      </w:pPr>
      <w:r>
        <w:t xml:space="preserve">En consecuencia, sin perjuicio de que efectivamente la comisión de un nuevo delito durante el plazo de suspensión de la pena pueda justificar su revocación [art. 86.1 a) CP], la doctrina constitucional exige dar al penado en todo caso la oportunidad de alegar y discutir en un procedimiento contradictorio y en igualdad de armas la presencia de esas circunstancias que pueden determinar la revocación de la suspensión, en tanto que se decide sobre el </w:t>
      </w:r>
      <w:r>
        <w:lastRenderedPageBreak/>
        <w:t>cumplimiento de una pena de prisión (STC 32/2022, FJ 2). Esta oportunidad no fue cumplimentada en este procedimiento.</w:t>
      </w:r>
    </w:p>
    <w:p w14:paraId="6319296D" w14:textId="77777777" w:rsidR="003754FE" w:rsidRDefault="003754FE" w:rsidP="003754FE">
      <w:pPr>
        <w:pStyle w:val="TextoNormal"/>
      </w:pPr>
    </w:p>
    <w:p w14:paraId="3F4A1AA4" w14:textId="77777777" w:rsidR="003754FE" w:rsidRDefault="003754FE" w:rsidP="003754FE">
      <w:pPr>
        <w:pStyle w:val="TextoNormal"/>
      </w:pPr>
      <w:r>
        <w:t>Más aún cuando se advierte que las dos condenas a las que se refiere la Audiencia Provincial —una recaída el 11 de abril de 2018 (por hechos cometidos el 26 de julio de 2015) y otra condena del 11 de septiembre de 2018 (por hechos cometidos el 10 de septiembre de 2018)—, ya constaban en la consulta efectuada al registro central de penados el 22 de octubre de 2019 y, a pesar de su existencia, el Juzgado de lo Penal núm. 4 de Sevilla, en su auto de 4 de diciembre de 2019, acordó el mantenimiento del beneficio de la suspensión de la pena privativa de libertad, según se ha dejado constancia en los antecedentes, indicando que las condiciones de la suspensión le habían sido notificadas al penado con posterioridad al hecho determinante de la condena dictada el 11 de septiembre de 2018 por el Juzgado de Primera Instancia e Instrucción núm. 1 de Morón de la Frontera. Esta circunstancia también era predicable de la condena dictada por la Sección Cuarta de la Audiencia Provincial de Sevilla de 11 de abril de 2018.</w:t>
      </w:r>
    </w:p>
    <w:p w14:paraId="4EEE23F4" w14:textId="77777777" w:rsidR="003754FE" w:rsidRDefault="003754FE" w:rsidP="003754FE">
      <w:pPr>
        <w:pStyle w:val="TextoNormal"/>
      </w:pPr>
    </w:p>
    <w:p w14:paraId="36F50B2F" w14:textId="6BCFBFD9" w:rsidR="003754FE" w:rsidRDefault="003754FE" w:rsidP="003754FE">
      <w:pPr>
        <w:pStyle w:val="TextoNormal"/>
      </w:pPr>
      <w:r>
        <w:t>f) Finalmente, como en el supuesto contemplado en la STC 132/2022, de 24 de octubre, FJ 4 c) (iii), nada hace la sección de ejecución de la Audiencia Provincial por reparar la lesión del derecho a una motivación reforzada exigible en este ámbito, al inadmitir por providencia de 27 de abril de 2022 el incidente de nulidad de actuaciones promovido contra la anterior resolución. Providencia en la que, sin ninguna concreción, se aduce que en la resolución cuya nulidad se pretendía se habían razonado y expuesto los argumentos que justificaban la revocación de la suspensión debidamente acordada por el Juzgado de lo Penal.</w:t>
      </w:r>
    </w:p>
    <w:p w14:paraId="41A0E806" w14:textId="77777777" w:rsidR="003754FE" w:rsidRDefault="003754FE" w:rsidP="003754FE">
      <w:pPr>
        <w:pStyle w:val="TextoNormal"/>
      </w:pPr>
    </w:p>
    <w:p w14:paraId="1DADC797" w14:textId="77777777" w:rsidR="003754FE" w:rsidRDefault="003754FE" w:rsidP="003754FE">
      <w:pPr>
        <w:pStyle w:val="TextoNormal"/>
      </w:pPr>
      <w:r w:rsidRPr="003754FE">
        <w:rPr>
          <w:rStyle w:val="NumeroAFNegritaCaracter"/>
        </w:rPr>
        <w:t>5</w:t>
      </w:r>
      <w:r>
        <w:t xml:space="preserve">. </w:t>
      </w:r>
      <w:r w:rsidRPr="003754FE">
        <w:rPr>
          <w:i/>
        </w:rPr>
        <w:t>Resolución del recurso: estimación y efectos</w:t>
      </w:r>
    </w:p>
    <w:p w14:paraId="490DE2AE" w14:textId="77777777" w:rsidR="003754FE" w:rsidRDefault="003754FE" w:rsidP="003754FE">
      <w:pPr>
        <w:pStyle w:val="TextoNormal"/>
      </w:pPr>
    </w:p>
    <w:p w14:paraId="565DF116" w14:textId="77777777" w:rsidR="003754FE" w:rsidRDefault="003754FE" w:rsidP="003754FE">
      <w:pPr>
        <w:pStyle w:val="TextoNormal"/>
      </w:pPr>
      <w:r>
        <w:t>De acuerdo con lo expuesto en el fundamento anterior, las resoluciones judiciales impugnadas carecen de la motivación reforzada exigible, al haber revocado la suspensión de la pena de prisión con base en el incumplimiento total del pago de la responsabilidad civil, sin que la fundamentación de las resoluciones recurridas justifique la concurrencia del presupuesto de la revocación (cual es el impago injustificado) ni tenga en cuenta las circunstancias de solvencia del sujeto.</w:t>
      </w:r>
    </w:p>
    <w:p w14:paraId="502607C8" w14:textId="77777777" w:rsidR="003754FE" w:rsidRDefault="003754FE" w:rsidP="003754FE">
      <w:pPr>
        <w:pStyle w:val="TextoNormal"/>
      </w:pPr>
    </w:p>
    <w:p w14:paraId="101E9807" w14:textId="77777777" w:rsidR="003754FE" w:rsidRDefault="003754FE" w:rsidP="003754FE">
      <w:pPr>
        <w:pStyle w:val="TextoNormal"/>
      </w:pPr>
      <w:r>
        <w:t>Al motivar de forma no compatible con las exigencias constitucionales la revocación de la suspensión de la ejecución de la pena privativa de libertad, las resoluciones impugnadas han vulnerado el derecho a la tutela judicial efectiva del recurrente en relación con su derecho a la libertad del recurrente (arts. 24.1 y 17 CE).</w:t>
      </w:r>
    </w:p>
    <w:p w14:paraId="1FFA874B" w14:textId="77777777" w:rsidR="003754FE" w:rsidRDefault="003754FE" w:rsidP="003754FE">
      <w:pPr>
        <w:pStyle w:val="TextoNormal"/>
      </w:pPr>
    </w:p>
    <w:p w14:paraId="6147BAB9" w14:textId="1F019D33" w:rsidR="003754FE" w:rsidRDefault="003754FE" w:rsidP="003754FE">
      <w:pPr>
        <w:pStyle w:val="TextoNormal"/>
      </w:pPr>
      <w:r>
        <w:t>Ha de estimarse por ello la demanda interpuesta, acordando como medidas para la reparación del derecho vulnerado (i) la nulidad de todas las resoluciones impugnadas y la de todas las actuaciones posteriores dirigidas, como consecuencia de dichas resoluciones, a ejecutar la pena privativa de libertad impuesta al recurrente; y, (ii) como solicita el Ministerio Fiscal, la retroacción de las actuaciones de la ejecutoria al momento inmediatamente anterior al de haber sido dictado el auto de 30 de junio de 2021. Corresponde, pues, al órgano judicial, a la vista de las circunstancias del caso, dictar en su lugar otra resolución que resulte respetuosa con el derecho fundamental reconocido.</w:t>
      </w:r>
    </w:p>
    <w:p w14:paraId="2271D7C1" w14:textId="77777777" w:rsidR="003754FE" w:rsidRDefault="003754FE" w:rsidP="003754FE">
      <w:pPr>
        <w:pStyle w:val="TextoNormal"/>
      </w:pPr>
    </w:p>
    <w:p w14:paraId="68D501E5" w14:textId="77777777" w:rsidR="003754FE" w:rsidRDefault="003754FE" w:rsidP="003754FE">
      <w:pPr>
        <w:pStyle w:val="TextoNormalCentrado"/>
        <w:keepNext/>
      </w:pPr>
      <w:r>
        <w:lastRenderedPageBreak/>
        <w:t>FALLO</w:t>
      </w:r>
    </w:p>
    <w:p w14:paraId="2860545D" w14:textId="12913CC5" w:rsidR="003754FE" w:rsidRDefault="003754FE" w:rsidP="003754FE">
      <w:pPr>
        <w:pStyle w:val="TextoNormalCentrado"/>
        <w:keepNext/>
      </w:pPr>
    </w:p>
    <w:p w14:paraId="2E0BCFB4" w14:textId="77777777" w:rsidR="003754FE" w:rsidRDefault="003754FE" w:rsidP="003754FE">
      <w:pPr>
        <w:pStyle w:val="TextoNormal"/>
      </w:pPr>
      <w:r>
        <w:t>En atención a todo lo expuesto, el Tribunal Constitucional, por la autoridad que le confiere la Constitución de la Nación española, ha decidido, en relación con el recurso de amparo interpuesto por don Borja Partida Lobo:</w:t>
      </w:r>
    </w:p>
    <w:p w14:paraId="3225D50A" w14:textId="77777777" w:rsidR="003754FE" w:rsidRDefault="003754FE" w:rsidP="003754FE">
      <w:pPr>
        <w:pStyle w:val="TextoNormal"/>
      </w:pPr>
    </w:p>
    <w:p w14:paraId="47B497C5" w14:textId="77777777" w:rsidR="003754FE" w:rsidRDefault="003754FE" w:rsidP="003754FE">
      <w:pPr>
        <w:pStyle w:val="TextoNormal"/>
      </w:pPr>
      <w:r>
        <w:t>1º Inadmitir los motivos invocados en la demanda que plantean la lesión del derecho fundamental a la libertad (art. 17 CE) y la vulneración de los arts. 9 y 25 CE.</w:t>
      </w:r>
    </w:p>
    <w:p w14:paraId="0D22967B" w14:textId="77777777" w:rsidR="003754FE" w:rsidRDefault="003754FE" w:rsidP="003754FE">
      <w:pPr>
        <w:pStyle w:val="TextoNormal"/>
      </w:pPr>
    </w:p>
    <w:p w14:paraId="651C98FB" w14:textId="77777777" w:rsidR="003754FE" w:rsidRDefault="003754FE" w:rsidP="003754FE">
      <w:pPr>
        <w:pStyle w:val="TextoNormal"/>
      </w:pPr>
      <w:r>
        <w:t>2º Estimar la demanda por falta de motivación reforzada de las resoluciones impugnadas, declarando vulnerado el derecho fundamental del demandante de amparo a la tutela judicial efectiva sin indefensión (art. 24.1 CE), en relación con el derecho a la libertad individual (art. 17 CE).</w:t>
      </w:r>
    </w:p>
    <w:p w14:paraId="66DCCF9E" w14:textId="77777777" w:rsidR="003754FE" w:rsidRDefault="003754FE" w:rsidP="003754FE">
      <w:pPr>
        <w:pStyle w:val="TextoNormal"/>
      </w:pPr>
    </w:p>
    <w:p w14:paraId="211FD396" w14:textId="77777777" w:rsidR="003754FE" w:rsidRDefault="003754FE" w:rsidP="003754FE">
      <w:pPr>
        <w:pStyle w:val="TextoNormal"/>
      </w:pPr>
      <w:r>
        <w:t>3º Restablecer al demandante en la integridad de su derecho y, a tal fin:</w:t>
      </w:r>
    </w:p>
    <w:p w14:paraId="20CF18B6" w14:textId="77777777" w:rsidR="003754FE" w:rsidRDefault="003754FE" w:rsidP="003754FE">
      <w:pPr>
        <w:pStyle w:val="TextoNormal"/>
      </w:pPr>
    </w:p>
    <w:p w14:paraId="286E2C6C" w14:textId="77777777" w:rsidR="003754FE" w:rsidRDefault="003754FE" w:rsidP="003754FE">
      <w:pPr>
        <w:pStyle w:val="TextoNormal"/>
      </w:pPr>
      <w:r>
        <w:t>(i) Declarar la nulidad de los autos de 30 de junio y 30 de noviembre de 2021 del Juzgado de lo Penal núm. 4 de Sevilla, del auto de 14 de marzo y la providencia de 27 de abril de 2022 de la Sección Séptima de la Audiencia Provincial de Sevilla y la de todas las actuaciones posteriores dirigidas, como consecuencia de dichas resoluciones, a ejecutar la pena privativa de libertad impuesta al recurrente;</w:t>
      </w:r>
    </w:p>
    <w:p w14:paraId="27D2966B" w14:textId="77777777" w:rsidR="003754FE" w:rsidRDefault="003754FE" w:rsidP="003754FE">
      <w:pPr>
        <w:pStyle w:val="TextoNormal"/>
      </w:pPr>
    </w:p>
    <w:p w14:paraId="03C1842F" w14:textId="6481A0B6" w:rsidR="003754FE" w:rsidRDefault="003754FE" w:rsidP="003754FE">
      <w:pPr>
        <w:pStyle w:val="TextoNormal"/>
      </w:pPr>
      <w:r>
        <w:t>(ii) Retrotraer el procedimiento al momento inmediatamente anterior al de dictarse el auto de 30 de junio de 2021 por el Juzgado de lo Penal núm. 4 de Sevilla, para que el órgano judicial pronuncie una nueva resolución que sea respetuosa con el derecho fundamental reconocido.</w:t>
      </w:r>
    </w:p>
    <w:p w14:paraId="6C92B129" w14:textId="77777777" w:rsidR="003754FE" w:rsidRDefault="003754FE" w:rsidP="003754FE">
      <w:pPr>
        <w:pStyle w:val="TextoNormal"/>
      </w:pPr>
    </w:p>
    <w:p w14:paraId="7F987E6B" w14:textId="77777777" w:rsidR="003754FE" w:rsidRDefault="003754FE" w:rsidP="003754FE">
      <w:pPr>
        <w:pStyle w:val="TextoNormal"/>
      </w:pPr>
      <w:r>
        <w:t>Publíquese esta sentencia en el “Boletín Oficial del Estado”.</w:t>
      </w:r>
    </w:p>
    <w:p w14:paraId="0AEC2F7B" w14:textId="77777777" w:rsidR="003754FE" w:rsidRDefault="003754FE" w:rsidP="003754FE">
      <w:pPr>
        <w:pStyle w:val="TextoNormal"/>
      </w:pPr>
      <w:r>
        <w:t>Dada en Madrid, a veintiuno de octubre de dos mil veinticuatro.</w:t>
      </w:r>
    </w:p>
    <w:p w14:paraId="192D4513" w14:textId="78BFB56D" w:rsidR="003754FE" w:rsidRDefault="003754FE">
      <w:pPr>
        <w:spacing w:after="160" w:line="278" w:lineRule="auto"/>
        <w:rPr>
          <w:rFonts w:ascii="Times New Roman" w:eastAsia="Times New Roman" w:hAnsi="Times New Roman" w:cs="Times New Roman"/>
          <w:sz w:val="24"/>
          <w:szCs w:val="24"/>
          <w:lang w:eastAsia="es-ES"/>
        </w:rPr>
      </w:pPr>
      <w:r>
        <w:br w:type="page"/>
      </w:r>
    </w:p>
    <w:p w14:paraId="4A858787" w14:textId="77777777" w:rsidR="003754FE" w:rsidRDefault="003754FE" w:rsidP="003754FE">
      <w:pPr>
        <w:pStyle w:val="TtuloResolucin"/>
      </w:pPr>
      <w:bookmarkStart w:id="32" w:name="SENTENCIA_2024_123"/>
      <w:r>
        <w:lastRenderedPageBreak/>
        <w:t>SENTENCIA 123/2024, de 21 de octubre de 2024</w:t>
      </w:r>
    </w:p>
    <w:bookmarkEnd w:id="32"/>
    <w:p w14:paraId="0A6AD3D4" w14:textId="77777777" w:rsidR="003754FE" w:rsidRDefault="003754FE" w:rsidP="003754FE">
      <w:pPr>
        <w:pStyle w:val="TtuloResolucin"/>
      </w:pPr>
      <w:r>
        <w:t>Sala Primera</w:t>
      </w:r>
    </w:p>
    <w:p w14:paraId="3BE8E165" w14:textId="77777777" w:rsidR="003754FE" w:rsidRDefault="003754FE" w:rsidP="003754FE">
      <w:pPr>
        <w:pStyle w:val="TtuloBOE"/>
      </w:pPr>
      <w:r>
        <w:t>(BOE núm. 286, de 27 de noviembre de 2024)</w:t>
      </w:r>
    </w:p>
    <w:p w14:paraId="745A7354" w14:textId="77777777" w:rsidR="003754FE" w:rsidRDefault="003754FE" w:rsidP="003754FE">
      <w:pPr>
        <w:pStyle w:val="TextoNormalCentrado"/>
      </w:pPr>
      <w:r>
        <w:t>ECLI:ES:TC:2024:123</w:t>
      </w:r>
    </w:p>
    <w:p w14:paraId="7076016C" w14:textId="7A218E3B" w:rsidR="003754FE" w:rsidRDefault="003754FE" w:rsidP="003754FE">
      <w:pPr>
        <w:pStyle w:val="TextoNormalCentrado"/>
      </w:pPr>
    </w:p>
    <w:p w14:paraId="349B532E" w14:textId="77777777" w:rsidR="003754FE" w:rsidRDefault="003754FE" w:rsidP="003754FE">
      <w:pPr>
        <w:pStyle w:val="SntesisDescriptiva"/>
      </w:pPr>
      <w:r>
        <w:t>Recurso de amparo 1573-2023. Promovido por don Álvaro Salinas Cabana respecto de la sentencia condenatoria de conformidad dictada por un juzgado de lo penal de Sevilla.</w:t>
      </w:r>
    </w:p>
    <w:p w14:paraId="37770FE9" w14:textId="6DAA2D5E" w:rsidR="003754FE" w:rsidRDefault="003754FE" w:rsidP="003754FE">
      <w:pPr>
        <w:pStyle w:val="SntesisDescriptiva"/>
      </w:pPr>
    </w:p>
    <w:p w14:paraId="2D2810F1" w14:textId="77777777" w:rsidR="003754FE" w:rsidRDefault="003754FE" w:rsidP="003754FE">
      <w:pPr>
        <w:pStyle w:val="SntesisAnaltica"/>
      </w:pPr>
      <w:r>
        <w:t>Vulneración del derecho a la tutela judicial sin indefensión: falta de emplazamiento en los sucesivos trámites procesales a quien se tuvo como parte en calidad de acusación particular. Votos particulares.</w:t>
      </w:r>
    </w:p>
    <w:p w14:paraId="6C576AA2" w14:textId="70A2B5DF" w:rsidR="003754FE" w:rsidRDefault="003754FE" w:rsidP="003754FE">
      <w:pPr>
        <w:pStyle w:val="SntesisAnaltica"/>
      </w:pPr>
    </w:p>
    <w:p w14:paraId="08EA5E3C" w14:textId="222DD121" w:rsidR="003754FE" w:rsidRDefault="003754FE" w:rsidP="003754FE">
      <w:pPr>
        <w:pStyle w:val="Extracto"/>
      </w:pPr>
      <w:r>
        <w:t>1.</w:t>
      </w:r>
      <w:r>
        <w:tab/>
        <w:t>Reiteración de jurisprudencia en relación con el proceso penal para quienes son parte en condición de acusación particular (SSTC 16/2001 o 179/2002) [FJ 2].</w:t>
      </w:r>
    </w:p>
    <w:p w14:paraId="2C6D55CD" w14:textId="77777777" w:rsidR="003754FE" w:rsidRDefault="003754FE" w:rsidP="003754FE">
      <w:pPr>
        <w:pStyle w:val="Extracto"/>
      </w:pPr>
    </w:p>
    <w:p w14:paraId="75993C96" w14:textId="09655638" w:rsidR="003754FE" w:rsidRDefault="003754FE" w:rsidP="003754FE">
      <w:pPr>
        <w:pStyle w:val="Extracto"/>
      </w:pPr>
      <w:r>
        <w:t>2.</w:t>
      </w:r>
      <w:r>
        <w:tab/>
        <w:t>La existencia de una posible indefensión contraria al art. 24.1 CE no cabe apreciarse con la mera transgresión de una norma procesal, sino que es preciso que la indefensión sea efectiva y no meramente formal. Ello implica que el defecto procesal haya supuesto un perjuicio real y efectivo para la parte en sus posibilidades de defensa, en el sentido de que provoque una eliminación o disminución sustancial de los derechos que le corresponde por su posición propia en el procedimiento como puede ser, singularmente, el derecho a alegar y a demostrar en el proceso los propios derechos (STC 95/2020) [FJ 2].</w:t>
      </w:r>
    </w:p>
    <w:p w14:paraId="6E59AA71" w14:textId="77777777" w:rsidR="003754FE" w:rsidRDefault="003754FE" w:rsidP="003754FE">
      <w:pPr>
        <w:pStyle w:val="Extracto"/>
      </w:pPr>
    </w:p>
    <w:p w14:paraId="10CF3997" w14:textId="6EC2216F" w:rsidR="003754FE" w:rsidRDefault="003754FE" w:rsidP="003754FE">
      <w:pPr>
        <w:pStyle w:val="Extracto"/>
      </w:pPr>
      <w:r>
        <w:t>3.</w:t>
      </w:r>
      <w:r>
        <w:tab/>
        <w:t>Resulta necesario que la indefensión padecida no sea imputable a la propia voluntad o a la falta de diligencia de la parte, para cuya valoración es necesario atender a las circunstancias concurrentes en el caso, pues no puede resultar acreedor de la protección del amparo constitucional quien contribuyó de manera activa o negligente a causar la indefensión de la que se queja (SSTC 40/2005 o 137/2023) [FJ 2].</w:t>
      </w:r>
    </w:p>
    <w:p w14:paraId="416C5ECB" w14:textId="77777777" w:rsidR="003754FE" w:rsidRDefault="003754FE" w:rsidP="003754FE">
      <w:pPr>
        <w:pStyle w:val="Extracto"/>
      </w:pPr>
    </w:p>
    <w:p w14:paraId="6575E39B" w14:textId="62FB2F13" w:rsidR="003754FE" w:rsidRDefault="003754FE" w:rsidP="003754FE">
      <w:pPr>
        <w:pStyle w:val="Extracto"/>
      </w:pPr>
      <w:r>
        <w:t>4.</w:t>
      </w:r>
      <w:r>
        <w:tab/>
        <w:t>El órgano judicial tiene, no solo el deber de velar por la correcta ejecución de los actos de comunicación procesal, sino también el de asegurarse de que dichos actos sirven a su propósito de garantizar que la parte sea oída en el proceso; por lo que es exigible de los órganos judiciales un especial deber de diligencia en su realización para dar la oportunidad a las partes de defender sus derechos e intereses y evitar su indefensión (STC 137/2023) [FJ 2].</w:t>
      </w:r>
    </w:p>
    <w:p w14:paraId="033BA1C3" w14:textId="77777777" w:rsidR="003754FE" w:rsidRDefault="003754FE" w:rsidP="003754FE">
      <w:pPr>
        <w:pStyle w:val="Extracto"/>
      </w:pPr>
    </w:p>
    <w:p w14:paraId="6040E327" w14:textId="77777777" w:rsidR="003754FE" w:rsidRDefault="003754FE" w:rsidP="003754FE">
      <w:pPr>
        <w:pStyle w:val="Extracto"/>
      </w:pPr>
    </w:p>
    <w:p w14:paraId="2ACADCA1" w14:textId="77777777" w:rsidR="003754FE" w:rsidRDefault="003754FE" w:rsidP="003754FE">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0F6B1C4A" w14:textId="0DF5D3CB" w:rsidR="003754FE" w:rsidRDefault="003754FE" w:rsidP="003754FE">
      <w:pPr>
        <w:pStyle w:val="TextoNormal"/>
      </w:pPr>
    </w:p>
    <w:p w14:paraId="31D16BC2" w14:textId="77777777" w:rsidR="003754FE" w:rsidRDefault="003754FE" w:rsidP="003754FE">
      <w:pPr>
        <w:pStyle w:val="TextoNormalCentrado"/>
        <w:keepNext/>
      </w:pPr>
      <w:r>
        <w:t>EN NOMBRE DEL REY</w:t>
      </w:r>
    </w:p>
    <w:p w14:paraId="1F1C9DA4" w14:textId="27D858BF" w:rsidR="003754FE" w:rsidRDefault="003754FE" w:rsidP="003754FE">
      <w:pPr>
        <w:pStyle w:val="TextoNormalCentrado"/>
        <w:keepNext/>
      </w:pPr>
    </w:p>
    <w:p w14:paraId="3E101365" w14:textId="77777777" w:rsidR="003754FE" w:rsidRDefault="003754FE" w:rsidP="003754FE">
      <w:pPr>
        <w:pStyle w:val="TextoNormalCentrado"/>
        <w:keepNext/>
      </w:pPr>
    </w:p>
    <w:p w14:paraId="6AF862A8" w14:textId="77777777" w:rsidR="003754FE" w:rsidRDefault="003754FE" w:rsidP="003754FE">
      <w:pPr>
        <w:pStyle w:val="TextoNormal"/>
      </w:pPr>
      <w:r>
        <w:t>la siguiente</w:t>
      </w:r>
    </w:p>
    <w:p w14:paraId="277D6BA3" w14:textId="11970DC8" w:rsidR="003754FE" w:rsidRDefault="003754FE" w:rsidP="003754FE">
      <w:pPr>
        <w:pStyle w:val="TextoNormal"/>
      </w:pPr>
    </w:p>
    <w:p w14:paraId="3BDEB1D7" w14:textId="77777777" w:rsidR="003754FE" w:rsidRDefault="003754FE" w:rsidP="003754FE">
      <w:pPr>
        <w:pStyle w:val="TextoNormalCentrado"/>
        <w:keepNext/>
      </w:pPr>
      <w:r>
        <w:lastRenderedPageBreak/>
        <w:t>SENTENCIA</w:t>
      </w:r>
    </w:p>
    <w:p w14:paraId="5E9A342B" w14:textId="5CD03DC6" w:rsidR="003754FE" w:rsidRDefault="003754FE" w:rsidP="003754FE">
      <w:pPr>
        <w:pStyle w:val="TextoNormalCentrado"/>
        <w:keepNext/>
      </w:pPr>
    </w:p>
    <w:p w14:paraId="70260069" w14:textId="77777777" w:rsidR="003754FE" w:rsidRDefault="003754FE" w:rsidP="003754FE">
      <w:pPr>
        <w:pStyle w:val="TextoNormal"/>
      </w:pPr>
      <w:r>
        <w:t>En el recurso de amparo núm. 1573-2023, promovido por don Álvaro Salinas Cabana, contra el auto del Juzgado de lo Penal núm. 11 de Sevilla de 19 de enero de 2023 por el que se desestima el incidente de nulidad de actuaciones interpuesto contra la sentencia núm. 72/2022, de 2 de marzo, pronunciado en el procedimiento abreviado núm. 25-2022 (ejecutoria núm. 100-2022). Ha intervenido el Ministerio Fiscal. Ha sido ponente la magistrada doña María Luisa Segoviano Astaburuaga.</w:t>
      </w:r>
    </w:p>
    <w:p w14:paraId="5C54BEA8" w14:textId="713DEFD0" w:rsidR="003754FE" w:rsidRDefault="003754FE" w:rsidP="003754FE">
      <w:pPr>
        <w:pStyle w:val="TextoNormal"/>
      </w:pPr>
    </w:p>
    <w:p w14:paraId="70781743" w14:textId="77777777" w:rsidR="003754FE" w:rsidRDefault="003754FE" w:rsidP="003754FE">
      <w:pPr>
        <w:pStyle w:val="TextoNormalNegritaCentrado"/>
        <w:keepNext/>
      </w:pPr>
      <w:r>
        <w:t>I. Antecedentes</w:t>
      </w:r>
    </w:p>
    <w:p w14:paraId="16C244CC" w14:textId="35D611DD" w:rsidR="003754FE" w:rsidRDefault="003754FE" w:rsidP="003754FE">
      <w:pPr>
        <w:pStyle w:val="TextoNormalNegritaCentrado"/>
        <w:keepNext/>
      </w:pPr>
    </w:p>
    <w:p w14:paraId="21654474" w14:textId="23FAA32B" w:rsidR="003754FE" w:rsidRDefault="003754FE" w:rsidP="003754FE">
      <w:pPr>
        <w:pStyle w:val="TextoNormal"/>
      </w:pPr>
      <w:r w:rsidRPr="003754FE">
        <w:rPr>
          <w:rStyle w:val="NumeroAFNegritaCaracter"/>
        </w:rPr>
        <w:t>1</w:t>
      </w:r>
      <w:r>
        <w:t>. Don Álvaro Salinas Cabana, representado por la procuradora de los tribunales doña Begoña Rotllán Casal, bajo la dirección del letrado don José Antonio Beato García, interpuso recurso de amparo contra las resoluciones judiciales mencionados en el encabezamiento de esta sentencia.</w:t>
      </w:r>
    </w:p>
    <w:p w14:paraId="30FFCD1B" w14:textId="77777777" w:rsidR="003754FE" w:rsidRDefault="003754FE" w:rsidP="003754FE">
      <w:pPr>
        <w:pStyle w:val="TextoNormal"/>
      </w:pPr>
    </w:p>
    <w:p w14:paraId="1C9133D5" w14:textId="77777777" w:rsidR="003754FE" w:rsidRDefault="003754FE" w:rsidP="003754FE">
      <w:pPr>
        <w:pStyle w:val="TextoNormal"/>
      </w:pPr>
      <w:r w:rsidRPr="003754FE">
        <w:rPr>
          <w:rStyle w:val="NumeroAFNegritaCaracter"/>
        </w:rPr>
        <w:t>2</w:t>
      </w:r>
      <w:r>
        <w:t>. El recurso tiene su origen en los siguientes antecedentes:</w:t>
      </w:r>
    </w:p>
    <w:p w14:paraId="48062E27" w14:textId="77777777" w:rsidR="003754FE" w:rsidRDefault="003754FE" w:rsidP="003754FE">
      <w:pPr>
        <w:pStyle w:val="TextoNormal"/>
      </w:pPr>
    </w:p>
    <w:p w14:paraId="6B921D5A" w14:textId="77777777" w:rsidR="003754FE" w:rsidRDefault="003754FE" w:rsidP="003754FE">
      <w:pPr>
        <w:pStyle w:val="TextoNormal"/>
      </w:pPr>
      <w:r>
        <w:t>a) El Juzgado de Instrucción núm. 7 de Sevilla, por auto de 20 de noviembre de 2021, incoó las diligencias previas núm. 2424-2021 con ocasión de un atestado policial en el que se ponía de manifiesto, entre otros extremos, que en una persecución policial tras el robo de un vehículo, además de los daños sufridos por los vehículos policiales, resultaron lesionados seis agentes de la policía, uno de ellos el recurrente. En el atestado policial, al amparo del art. 771.1 de la Ley de enjuiciamiento criminal, se hizo ofrecimiento de acciones al demandante.</w:t>
      </w:r>
    </w:p>
    <w:p w14:paraId="57589CC1" w14:textId="77777777" w:rsidR="003754FE" w:rsidRDefault="003754FE" w:rsidP="003754FE">
      <w:pPr>
        <w:pStyle w:val="TextoNormal"/>
      </w:pPr>
    </w:p>
    <w:p w14:paraId="7A1E6AC8" w14:textId="77777777" w:rsidR="003754FE" w:rsidRDefault="003754FE" w:rsidP="003754FE">
      <w:pPr>
        <w:pStyle w:val="TextoNormal"/>
      </w:pPr>
      <w:r>
        <w:t>El demandante, mediante escrito presentado por una procuradora en su nombre y representación, se personó en el procedimiento para mostrarse parte en el mismo en calidad de acusación particular instando ser requerido para ratificar la designación de procurador ante el letrado de la administración de justicia. Por providencia de 25 de noviembre de 2021 se acordó tener por personada a la procuradora en nombre del demandante y entenderse con ella “las sucesivas diligencias en el modo y forma establecido por la ley”.</w:t>
      </w:r>
    </w:p>
    <w:p w14:paraId="46F69915" w14:textId="77777777" w:rsidR="003754FE" w:rsidRDefault="003754FE" w:rsidP="003754FE">
      <w:pPr>
        <w:pStyle w:val="TextoNormal"/>
      </w:pPr>
    </w:p>
    <w:p w14:paraId="7B76641D" w14:textId="77777777" w:rsidR="003754FE" w:rsidRDefault="003754FE" w:rsidP="003754FE">
      <w:pPr>
        <w:pStyle w:val="TextoNormal"/>
      </w:pPr>
      <w:r>
        <w:t>b) Por auto de 16 de diciembre de 2021 se acordó continuar la causa por el procedimiento abreviado y dar traslado de las diligencias previas al Ministerio Fiscal y las acusaciones particulares para que solicitaran la apertura del juicio oral, formulando escritos de acusaciones, o el sobreseimiento de la causa. En el apartado de hechos de este auto se cita al demandante, junto con otros cinco agentes, como perjudicado por los hechos exponiéndose las lesiones sufridas. No consta en las actuaciones que dicho auto fuera notificado al demandante o a su representación procesal.</w:t>
      </w:r>
    </w:p>
    <w:p w14:paraId="79204B74" w14:textId="77777777" w:rsidR="003754FE" w:rsidRDefault="003754FE" w:rsidP="003754FE">
      <w:pPr>
        <w:pStyle w:val="TextoNormal"/>
      </w:pPr>
    </w:p>
    <w:p w14:paraId="73E952A1" w14:textId="77777777" w:rsidR="003754FE" w:rsidRDefault="003754FE" w:rsidP="003754FE">
      <w:pPr>
        <w:pStyle w:val="TextoNormal"/>
      </w:pPr>
      <w:r>
        <w:t xml:space="preserve">El Ministerio Fiscal formuló escrito de acusación omitiendo en los hechos cualquier referencia al demandante no ejercitando tampoco acciones penales o civiles en su favor. No obstante, propuso la declaración del demandante como prueba testifical. Otros tres de los agentes perjudicados, que también actuaban como acusación particular de manera conjunta, y un cuarto, que actuaba individualmente como acusación particular, formularon sendos escritos de acusación, en cuyos hechos aparece citado el demandante, así como las lesiones </w:t>
      </w:r>
      <w:r>
        <w:lastRenderedPageBreak/>
        <w:t>que sufrió, siendo también propuesta su declaración como prueba testifical a practicar en la vista oral.</w:t>
      </w:r>
    </w:p>
    <w:p w14:paraId="69900E76" w14:textId="77777777" w:rsidR="003754FE" w:rsidRDefault="003754FE" w:rsidP="003754FE">
      <w:pPr>
        <w:pStyle w:val="TextoNormal"/>
      </w:pPr>
    </w:p>
    <w:p w14:paraId="30E87E52" w14:textId="77777777" w:rsidR="003754FE" w:rsidRDefault="003754FE" w:rsidP="003754FE">
      <w:pPr>
        <w:pStyle w:val="TextoNormal"/>
      </w:pPr>
      <w:r>
        <w:t>Por auto de 5 de enero de 2022 se acordó la apertura del juicio oral y su notificación a las partes. No consta en las actuaciones que dicho auto fuera notificado al demandante o a su representación procesal.</w:t>
      </w:r>
    </w:p>
    <w:p w14:paraId="3B90DC98" w14:textId="77777777" w:rsidR="003754FE" w:rsidRDefault="003754FE" w:rsidP="003754FE">
      <w:pPr>
        <w:pStyle w:val="TextoNormal"/>
      </w:pPr>
    </w:p>
    <w:p w14:paraId="4B317CA4" w14:textId="77777777" w:rsidR="003754FE" w:rsidRDefault="003754FE" w:rsidP="003754FE">
      <w:pPr>
        <w:pStyle w:val="TextoNormal"/>
      </w:pPr>
      <w:r>
        <w:t>c) El Juzgado de lo Penal núm. 11 de Sevilla, mediante auto de 25 de enero de 2022 dictado en el procedimiento abreviado 25-2022, acordó declarar pertinentes las pruebas propuestas y convocar a las partes personadas —acusado y Ministerio Fiscal— y a los testigos para el acto del juicio oral. No consta en las actuaciones que dicho auto fuera notificado al demandante o a su representación procesal.</w:t>
      </w:r>
    </w:p>
    <w:p w14:paraId="1D6C227C" w14:textId="77777777" w:rsidR="003754FE" w:rsidRDefault="003754FE" w:rsidP="003754FE">
      <w:pPr>
        <w:pStyle w:val="TextoNormal"/>
      </w:pPr>
    </w:p>
    <w:p w14:paraId="577BA34B" w14:textId="77777777" w:rsidR="003754FE" w:rsidRDefault="003754FE" w:rsidP="003754FE">
      <w:pPr>
        <w:pStyle w:val="TextoNormal"/>
      </w:pPr>
      <w:r>
        <w:t>El letrado de la administración de justicia, por oficio dirigido a la Jefatura de la Policía Nacional de Sevilla, interesó que se dispusiera la comparecencia como testigos de diversos agentes, entre ellos del demandante, para el acto del juicio oral, acusando recibo de las notificaciones efectuadas para su constancia en autos. La vista oral se intentó celebrar en dos ocasiones. En ninguna de ellas consta en las actuaciones que la Jefatura Superior de Policía de Sevilla lo notificara al demandante, quien no estuvo presente ni en condición de acusación particular ni en condición de testigo en el acto de la vista oral.</w:t>
      </w:r>
    </w:p>
    <w:p w14:paraId="1D8A124D" w14:textId="77777777" w:rsidR="003754FE" w:rsidRDefault="003754FE" w:rsidP="003754FE">
      <w:pPr>
        <w:pStyle w:val="TextoNormal"/>
      </w:pPr>
    </w:p>
    <w:p w14:paraId="49B8303E" w14:textId="77777777" w:rsidR="003754FE" w:rsidRDefault="003754FE" w:rsidP="003754FE">
      <w:pPr>
        <w:pStyle w:val="TextoNormal"/>
      </w:pPr>
      <w:r>
        <w:t>d) La sentencia núm. 72/2022, de 2 de marzo, condenó de conformidad al acusado por un delito leve de hurto, un delito de hurto de uso de vehículo de motor, un delito de daños, un delito de atentado con medio peligroso, un delito contra la seguridad vial y, específicamente, en relación con las lesiones sufridas por los diferentes agentes policiales, por cuatro delitos de lesiones leves y otro de lesiones graves y al pago de las responsabilidades civiles por las lesiones causadas a cinco de los agentes policiales. Ni en la relación de hechos ni en el fallo aparece referencia alguna a una eventual responsabilidad penal o civil respecto de las lesiones padecidas por el demandante. No consta en las actuaciones que esta sentencia y el decreto de incoación de la ejecutoria núm. 100-2022 de esa misma fecha 2 de marzo de 2022 fuera notificado al demandante o a su representación procesal.</w:t>
      </w:r>
    </w:p>
    <w:p w14:paraId="6B180819" w14:textId="77777777" w:rsidR="003754FE" w:rsidRDefault="003754FE" w:rsidP="003754FE">
      <w:pPr>
        <w:pStyle w:val="TextoNormal"/>
      </w:pPr>
    </w:p>
    <w:p w14:paraId="046FEEDE" w14:textId="77777777" w:rsidR="003754FE" w:rsidRDefault="003754FE" w:rsidP="003754FE">
      <w:pPr>
        <w:pStyle w:val="TextoNormal"/>
      </w:pPr>
      <w:r>
        <w:t xml:space="preserve">El demandante, mediante escrito registrado el 9 de marzo de 2022, poniendo de manifiesto que el procedimiento había sido seguido sin su participación como acusación particular, instó al Juzgado de lo Penal núm. 11 de Sevilla que se le tuviera como parte en dicha condición, designando </w:t>
      </w:r>
      <w:r w:rsidRPr="003754FE">
        <w:rPr>
          <w:i/>
        </w:rPr>
        <w:t>apud acta</w:t>
      </w:r>
      <w:r>
        <w:t xml:space="preserve"> a la procuradora que ya constaba nombraba, acordándose por diligencia de ordenación de 21 de marzo de 2022 tener a dicha procuradora como personada y parte en nombre del demandante.</w:t>
      </w:r>
    </w:p>
    <w:p w14:paraId="7FB66193" w14:textId="77777777" w:rsidR="003754FE" w:rsidRDefault="003754FE" w:rsidP="003754FE">
      <w:pPr>
        <w:pStyle w:val="TextoNormal"/>
      </w:pPr>
    </w:p>
    <w:p w14:paraId="02AE3A06" w14:textId="77777777" w:rsidR="003754FE" w:rsidRDefault="003754FE" w:rsidP="003754FE">
      <w:pPr>
        <w:pStyle w:val="TextoNormal"/>
      </w:pPr>
      <w:r>
        <w:t xml:space="preserve">e) El demandante, mediante escrito registrado el 30 de marzo de 2022, interpuso incidente de nulidad de actuaciones con invocación de los derechos a la tutela judicial efectiva y a la defensa por no haber sido notificado de ninguna de las actuaciones desarrolladas en el procedimiento, a pesar de estar personado como acusación particular. Instó la nulidad del procedimiento con retroacción de actuaciones al momento en que se le debió notificar el auto de continuación del procedimiento abreviado para formular acusación o, “[p]ara el caso de así estimarlo más oportuno y conveniente […], al haberse dictado de conformidad la sentencia impugnada, previo el preceptivo traslado a las partes por el plazo de cinco días, se formula acusación, en nombre y representación del perjudicado […] interesando se añada </w:t>
      </w:r>
      <w:r>
        <w:lastRenderedPageBreak/>
        <w:t>a la sentencia otro delito leve del artículo 147.2 del Código penal […] condenándose a la pena de un mes de multa a razón de tres euros diarios por este delito y a la responsabilidad civil de 350 € que deberá indemnizar […], a fin de que por el acusado y su defensa se pronuncie sobre su conformidad”.</w:t>
      </w:r>
    </w:p>
    <w:p w14:paraId="7392B2E9" w14:textId="77777777" w:rsidR="003754FE" w:rsidRDefault="003754FE" w:rsidP="003754FE">
      <w:pPr>
        <w:pStyle w:val="TextoNormal"/>
      </w:pPr>
    </w:p>
    <w:p w14:paraId="6699A980" w14:textId="77777777" w:rsidR="003754FE" w:rsidRDefault="003754FE" w:rsidP="003754FE">
      <w:pPr>
        <w:pStyle w:val="TextoNormal"/>
      </w:pPr>
      <w:r>
        <w:t>El Ministerio Fiscal se opuso a la nulidad mediante escrito de 5 de julio de 2022, argumentando que, aunque la falta de comunicación del procedimiento a una acusación particular personada es causa de nulidad por la indefensión que se le genera ante la imposibilidad de defender sus intereses legítimos, deben ponderarse los derechos del condenado antes de acordar la nulidad. En este caso, se pide la anulación de una sentencia de conformidad en la que el condenado se benefició de una rebaja importante de la pena lo que podría frustrarse si se anula el juicio y frente a ello el perjuicio causado al demandante se trata de unas lesiones leves. De ese modo, la ponderación de los intereses en juego aboca a no declarar la nulidad. Igualmente, destaca que existe una carencia en el original apoderamiento del demandante ante el juzgado de instrucción ya que nunca se personó para otorgarl</w:t>
      </w:r>
      <w:r w:rsidRPr="003754FE">
        <w:rPr>
          <w:i/>
        </w:rPr>
        <w:t>o apud ac</w:t>
      </w:r>
      <w:r>
        <w:t>ta.</w:t>
      </w:r>
    </w:p>
    <w:p w14:paraId="4F6887FE" w14:textId="77777777" w:rsidR="003754FE" w:rsidRDefault="003754FE" w:rsidP="003754FE">
      <w:pPr>
        <w:pStyle w:val="TextoNormal"/>
      </w:pPr>
    </w:p>
    <w:p w14:paraId="386978A0" w14:textId="4B8CC688" w:rsidR="003754FE" w:rsidRDefault="003754FE" w:rsidP="003754FE">
      <w:pPr>
        <w:pStyle w:val="TextoNormal"/>
      </w:pPr>
      <w:r>
        <w:t xml:space="preserve">Por auto de 19 de enero de 2023, en el que además se resolvió de manera conjunta sobre otras peticiones formuladas por las acusaciones particulares, se acordó desestimar el incidente de nulidad de actuaciones interpuesto por el demandante. Los argumentos para fundamentar la desestimación fueron los siguientes: (i) Se afirma, con remisión expresa a lo informado por el Ministerio Fiscal, que sería desproporcionado acordar la nulidad de la sentencia y retroacción de actuaciones. (ii) La providencia del Juzgado de Instrucción núm. 7 de Sevilla de 25 de noviembre de 2021 por la que se tuvo por personado al demandante carecía de cobertura, ya que “ni constaba documento público de representación procesal, ni tampoco comparecencia </w:t>
      </w:r>
      <w:r w:rsidRPr="003754FE">
        <w:rPr>
          <w:i/>
        </w:rPr>
        <w:t>apud acta</w:t>
      </w:r>
      <w:r>
        <w:t>”.</w:t>
      </w:r>
    </w:p>
    <w:p w14:paraId="5CFC7A70" w14:textId="77777777" w:rsidR="003754FE" w:rsidRDefault="003754FE" w:rsidP="003754FE">
      <w:pPr>
        <w:pStyle w:val="TextoNormal"/>
      </w:pPr>
    </w:p>
    <w:p w14:paraId="5D1A61E0" w14:textId="77777777" w:rsidR="003754FE" w:rsidRDefault="003754FE" w:rsidP="003754FE">
      <w:pPr>
        <w:pStyle w:val="TextoNormal"/>
      </w:pPr>
      <w:r w:rsidRPr="003754FE">
        <w:rPr>
          <w:rStyle w:val="NumeroAFNegritaCaracter"/>
        </w:rPr>
        <w:t>3</w:t>
      </w:r>
      <w:r>
        <w:t>. El demandante de amparo solicita que se estime el recurso declarando que se han vulnerado sus derechos a la tutela judicial efectiva (art. 24.1 CE), a la defensa y a la asistencia letrada (art. 24.2 CE), a la igualdad ante la ley (art. 14 CE), además de haberse incurrido en incongruencia omisiva, para cuyo restablecimiento considera necesario anular las resoluciones impugnadas con retroacción de actuaciones a la fase intermedia del procedimiento al objeto de posibilitar que formule escrito de acusación y participar en el proceso penal en defensa de sus intereses.</w:t>
      </w:r>
    </w:p>
    <w:p w14:paraId="5215ACEB" w14:textId="77777777" w:rsidR="003754FE" w:rsidRDefault="003754FE" w:rsidP="003754FE">
      <w:pPr>
        <w:pStyle w:val="TextoNormal"/>
      </w:pPr>
    </w:p>
    <w:p w14:paraId="30D90389" w14:textId="77777777" w:rsidR="003754FE" w:rsidRDefault="003754FE" w:rsidP="003754FE">
      <w:pPr>
        <w:pStyle w:val="TextoNormal"/>
      </w:pPr>
      <w:r>
        <w:t>El demandante de amparo fundamenta la invocación de los derechos a la tutela judicial efectiva (art. 24.1 CE) y a la defensa y a la asistencia letrada (art. 24.2 CE), con cita de la jurisprudencia constitucional que considera aplicable al caso, en que la actuación judicial, una vez que se le había tenido por personado en el procedimiento como acusación particular, no se acomoda al deber de diligencia constitucionalmente exigible en la realización de los actos de comunicación procesal para posibilitar su participación en el proceso en defensa de sus derechos y pretensiones a través de profesionales de su libre elección; incurriendo con ello también en incongruencia omisiva al haberle privado de una respuesta judicial sobre el delito leve del que había sido víctima. Fundamenta la invocación del derecho a la igualdad ante la ley (art. 14 CE) en que, al contrario de lo que sucedió con el resto de perjudicados, que obtuvieron un pronunciamiento judicial sobre la pretensión penal y civil en defensa sus intereses, se dejaron imprejuzgados los hechos que le afectaban, recibiendo con ello un trato distinto sin ninguna justificación objetiva y razonable.</w:t>
      </w:r>
    </w:p>
    <w:p w14:paraId="39366AFE" w14:textId="77777777" w:rsidR="003754FE" w:rsidRDefault="003754FE" w:rsidP="003754FE">
      <w:pPr>
        <w:pStyle w:val="TextoNormal"/>
      </w:pPr>
    </w:p>
    <w:p w14:paraId="4D1B843A" w14:textId="56525549" w:rsidR="003754FE" w:rsidRDefault="003754FE" w:rsidP="003754FE">
      <w:pPr>
        <w:pStyle w:val="TextoNormal"/>
      </w:pPr>
      <w:r>
        <w:lastRenderedPageBreak/>
        <w:t>El demandante de amparo alega que el recurso tiene especial trascendencia constitucional a fin de aclarar desde la vertiente del derecho a la tutela judicial efectiva, entre otras, la cuestión relativa a si en aplicación del principio de proporcionalidad puede hacerse prevalecer la firmeza de una sentencia penal dictada de conformidad sobre la posibilidad de una víctima de participar en un proceso penal como acusación particular en defensa de sus derechos e intereses.</w:t>
      </w:r>
    </w:p>
    <w:p w14:paraId="78093898" w14:textId="77777777" w:rsidR="003754FE" w:rsidRDefault="003754FE" w:rsidP="003754FE">
      <w:pPr>
        <w:pStyle w:val="TextoNormal"/>
      </w:pPr>
    </w:p>
    <w:p w14:paraId="1D2F98EA" w14:textId="1A56EC3D" w:rsidR="003754FE" w:rsidRDefault="003754FE" w:rsidP="003754FE">
      <w:pPr>
        <w:pStyle w:val="TextoNormal"/>
      </w:pPr>
      <w:r w:rsidRPr="003754FE">
        <w:rPr>
          <w:rStyle w:val="NumeroAFNegritaCaracter"/>
        </w:rPr>
        <w:t>4</w:t>
      </w:r>
      <w:r>
        <w:t>. La Sección Primera del Tribunal, por providencia de 26 de febrero de 2024, acordó la admisión a trámite de la demanda de amparo, apreciando que concurre en el mismo una especial trascendencia constitucional porque el recurso puede dar ocasión al Tribunal para aclarar o cambiar su doctrina, como consecuencia de un proceso de reflexión interna [STC 155/2009, de 25 de junio, FJ 2 b)]; y dirigir atenta comunicación al órgano judicial para el emplazamiento de quienes hubieran sido parte en el procedimiento para que puedan comparecer en el recurso de amparo.</w:t>
      </w:r>
    </w:p>
    <w:p w14:paraId="1E62A6EC" w14:textId="77777777" w:rsidR="003754FE" w:rsidRDefault="003754FE" w:rsidP="003754FE">
      <w:pPr>
        <w:pStyle w:val="TextoNormal"/>
      </w:pPr>
    </w:p>
    <w:p w14:paraId="2CF2F42A" w14:textId="79C53FA7" w:rsidR="003754FE" w:rsidRDefault="003754FE" w:rsidP="003754FE">
      <w:pPr>
        <w:pStyle w:val="TextoNormal"/>
      </w:pPr>
      <w:r w:rsidRPr="003754FE">
        <w:rPr>
          <w:rStyle w:val="NumeroAFNegritaCaracter"/>
        </w:rPr>
        <w:t>5</w:t>
      </w:r>
      <w:r>
        <w:t>. La Secretaría de Justicia de la Sala Primera del Tribunal, por diligencia de ordenación de 1 de abril de 2024, acordó dar vista de las actuaciones al demandante de amparo y al Ministerio Fiscal, por plazo común de veinte días, a fin de que, conforme con lo previsto en el art. 52 de la Ley Orgánica del Tribunal Constitucional (LOTC), pudieran presentar alegaciones.</w:t>
      </w:r>
    </w:p>
    <w:p w14:paraId="5818EF35" w14:textId="77777777" w:rsidR="003754FE" w:rsidRDefault="003754FE" w:rsidP="003754FE">
      <w:pPr>
        <w:pStyle w:val="TextoNormal"/>
      </w:pPr>
    </w:p>
    <w:p w14:paraId="219141DE" w14:textId="77777777" w:rsidR="003754FE" w:rsidRDefault="003754FE" w:rsidP="003754FE">
      <w:pPr>
        <w:pStyle w:val="TextoNormal"/>
      </w:pPr>
      <w:r w:rsidRPr="003754FE">
        <w:rPr>
          <w:rStyle w:val="NumeroAFNegritaCaracter"/>
        </w:rPr>
        <w:t>6</w:t>
      </w:r>
      <w:r>
        <w:t>. El Ministerio Fiscal, mediante escrito registrado el 17 de mayo de 2024, presentó alegaciones interesando la estimación del amparo por vulneración del derecho a la tutela judicial efectiva (art. 24.1 CE) para cuyo restablecimiento insta la nulidad del auto desestimatorio del incidente de nulidad de actuaciones.</w:t>
      </w:r>
    </w:p>
    <w:p w14:paraId="6852539E" w14:textId="77777777" w:rsidR="003754FE" w:rsidRDefault="003754FE" w:rsidP="003754FE">
      <w:pPr>
        <w:pStyle w:val="TextoNormal"/>
      </w:pPr>
    </w:p>
    <w:p w14:paraId="52434B57" w14:textId="77777777" w:rsidR="003754FE" w:rsidRDefault="003754FE" w:rsidP="003754FE">
      <w:pPr>
        <w:pStyle w:val="TextoNormal"/>
      </w:pPr>
      <w:r>
        <w:t>El Ministerio Fiscal, tras exponer la jurisprudencia constitucional que considera aplicable al caso, argumenta que concurre la vulneración aducida del art. 24.1 CE, ya que se constata que el recurrente, a pesar de haber sido tenido como parte en la condición de acusación particular durante la instrucción del procedimiento, se omitió cualquier notificación privándole de la oportunidad de actuar en dicho procedimiento hasta el límite de celebrarse juicio oral sin haberse posibilitado que planteara su pretensión acusatoria y haberse dictado sentencia sin que hubiera un pronunciamiento fáctico o jurídico sobre los hechos que había denunciado; no habiéndose reparada esa lesión en el incidente de nulidad de actuaciones promovido.</w:t>
      </w:r>
    </w:p>
    <w:p w14:paraId="07B6A6B5" w14:textId="77777777" w:rsidR="003754FE" w:rsidRDefault="003754FE" w:rsidP="003754FE">
      <w:pPr>
        <w:pStyle w:val="TextoNormal"/>
      </w:pPr>
    </w:p>
    <w:p w14:paraId="6EBDD9C2" w14:textId="2348A0EF" w:rsidR="003754FE" w:rsidRDefault="003754FE" w:rsidP="003754FE">
      <w:pPr>
        <w:pStyle w:val="TextoNormal"/>
      </w:pPr>
      <w:r>
        <w:t>El Ministerio Fiscal, en cuanto al alcance de la declaración de nulidad, considera que no resulta precisa la anulación de la sentencia impugnada, ya que no contiene pronunciamiento alguno sobre las eventuales pretensiones que pudiera haber deducido el demandante de amparo, pero si del auto desestimatorio del incidente de nulidad de actuaciones en la medida en que le priva de la posibilidad de ejercer una pretensión acusatoria que ha quedado imprejuzgada.</w:t>
      </w:r>
    </w:p>
    <w:p w14:paraId="656F81DC" w14:textId="77777777" w:rsidR="003754FE" w:rsidRDefault="003754FE" w:rsidP="003754FE">
      <w:pPr>
        <w:pStyle w:val="TextoNormal"/>
      </w:pPr>
    </w:p>
    <w:p w14:paraId="032480E3" w14:textId="2A713D31" w:rsidR="003754FE" w:rsidRDefault="003754FE" w:rsidP="003754FE">
      <w:pPr>
        <w:pStyle w:val="TextoNormal"/>
      </w:pPr>
      <w:r w:rsidRPr="003754FE">
        <w:rPr>
          <w:rStyle w:val="NumeroAFNegritaCaracter"/>
        </w:rPr>
        <w:t>7</w:t>
      </w:r>
      <w:r>
        <w:t>. El demandante de amparo, mediante escrito registrado el 30 de abril de 2024, presentó sus alegaciones reiterando lo expuesto en su escrito de demanda.</w:t>
      </w:r>
    </w:p>
    <w:p w14:paraId="5B88A4BC" w14:textId="77777777" w:rsidR="003754FE" w:rsidRDefault="003754FE" w:rsidP="003754FE">
      <w:pPr>
        <w:pStyle w:val="TextoNormal"/>
      </w:pPr>
    </w:p>
    <w:p w14:paraId="2A820AAA" w14:textId="59DFF05A" w:rsidR="003754FE" w:rsidRDefault="003754FE" w:rsidP="003754FE">
      <w:pPr>
        <w:pStyle w:val="TextoNormal"/>
      </w:pPr>
      <w:r w:rsidRPr="003754FE">
        <w:rPr>
          <w:rStyle w:val="NumeroAFNegritaCaracter"/>
        </w:rPr>
        <w:lastRenderedPageBreak/>
        <w:t>8</w:t>
      </w:r>
      <w:r>
        <w:t>. Por providencia de 17 de octubre de 2024 se señaló para deliberación y votación de la presente sentencia el día 21 del mismo mes y año.</w:t>
      </w:r>
    </w:p>
    <w:p w14:paraId="51E462A8" w14:textId="77777777" w:rsidR="003754FE" w:rsidRDefault="003754FE" w:rsidP="003754FE">
      <w:pPr>
        <w:pStyle w:val="TextoNormal"/>
      </w:pPr>
    </w:p>
    <w:p w14:paraId="4A5B1994" w14:textId="77777777" w:rsidR="003754FE" w:rsidRDefault="003754FE" w:rsidP="003754FE">
      <w:pPr>
        <w:pStyle w:val="TextoNormalNegritaCentrado"/>
        <w:keepNext/>
      </w:pPr>
      <w:r>
        <w:t>II. Fundamentos jurídicos</w:t>
      </w:r>
    </w:p>
    <w:p w14:paraId="23A45BA7" w14:textId="735CCE16" w:rsidR="003754FE" w:rsidRDefault="003754FE" w:rsidP="003754FE">
      <w:pPr>
        <w:pStyle w:val="TextoNormalNegritaCentrado"/>
        <w:keepNext/>
      </w:pPr>
    </w:p>
    <w:p w14:paraId="3A701742" w14:textId="77777777" w:rsidR="003754FE" w:rsidRDefault="003754FE" w:rsidP="003754FE">
      <w:pPr>
        <w:pStyle w:val="TextoNormal"/>
      </w:pPr>
      <w:r w:rsidRPr="003754FE">
        <w:rPr>
          <w:rStyle w:val="NumeroAFNegritaCaracter"/>
        </w:rPr>
        <w:t>1</w:t>
      </w:r>
      <w:r>
        <w:t xml:space="preserve">. </w:t>
      </w:r>
      <w:r w:rsidRPr="003754FE">
        <w:rPr>
          <w:i/>
        </w:rPr>
        <w:t>Objeto y especial transcendencia constitucional del recurso</w:t>
      </w:r>
    </w:p>
    <w:p w14:paraId="1C7D127E" w14:textId="77777777" w:rsidR="003754FE" w:rsidRDefault="003754FE" w:rsidP="003754FE">
      <w:pPr>
        <w:pStyle w:val="TextoNormal"/>
      </w:pPr>
    </w:p>
    <w:p w14:paraId="446D40B0" w14:textId="77777777" w:rsidR="003754FE" w:rsidRDefault="003754FE" w:rsidP="003754FE">
      <w:pPr>
        <w:pStyle w:val="TextoNormal"/>
      </w:pPr>
      <w:r>
        <w:t>a) El objeto del presente recurso de amparo es determinar si, en los términos alegados por el demandante de amparo, vulnera sus derechos a la tutela judicial efectiva (art. 24.1 CE), desde las perspectivas de la falta de diligencia en el proceso de comunicación con las partes y el deber de motivación de las resoluciones judiciales; a la defensa y asistencia letrada (art. 24.2 CE) y a la igualdad (art. 14 CE), el haberse desarrollado el procedimiento penal hasta su finalización por sentencia condenatoria de conformidad, sin haberle dado la posibilidad de participar en el mismo como acusación particular, ya que, a pesar de haber sido tenido como personado en tal condición durante la instrucción, se omitió darle traslado de cualquier actuación e incluso de citarle como testigo para el juicio oral, de modo que la sentencia no resolvió sobre las eventuales acciones penales y civiles que podría haber ejercido.</w:t>
      </w:r>
    </w:p>
    <w:p w14:paraId="6A6695CD" w14:textId="77777777" w:rsidR="003754FE" w:rsidRDefault="003754FE" w:rsidP="003754FE">
      <w:pPr>
        <w:pStyle w:val="TextoNormal"/>
      </w:pPr>
    </w:p>
    <w:p w14:paraId="08D64216" w14:textId="77777777" w:rsidR="003754FE" w:rsidRDefault="003754FE" w:rsidP="003754FE">
      <w:pPr>
        <w:pStyle w:val="TextoNormal"/>
      </w:pPr>
      <w:r>
        <w:t xml:space="preserve">A pesar de la invocación de diversos derechos fundamentales, los presupuestos fácticos y jurídicos en que se fundamentan, expuestos de manera detallada en los antecedentes, ponen de manifiesto que la exclusiva perspectiva de análisis que corresponde proyectar en la resolución de este recurso, a la que se deben reconducir todas las demás, es la del derecho a la tutela judicial efectiva y la prohibición de indefensión (art. 24.1 CE), desde la perspectiva del </w:t>
      </w:r>
      <w:r w:rsidRPr="003754FE">
        <w:rPr>
          <w:i/>
        </w:rPr>
        <w:t>ius ut procedatur</w:t>
      </w:r>
      <w:r>
        <w:t>, por haberse visto privado el demandante de participar en el proceso penal en defensa de sus intereses legítimos en su condición de acusación particular y de obtener una respuesta judicial sobre las eventuales pretensiones penales y civiles que pudiera haber sustentado por la falta de diligencia de los órganos judiciales al omitir la notificación de las diferentes actuaciones judiciales.</w:t>
      </w:r>
    </w:p>
    <w:p w14:paraId="2ADF17BC" w14:textId="77777777" w:rsidR="003754FE" w:rsidRDefault="003754FE" w:rsidP="003754FE">
      <w:pPr>
        <w:pStyle w:val="TextoNormal"/>
      </w:pPr>
    </w:p>
    <w:p w14:paraId="147C9829" w14:textId="125B8B04" w:rsidR="003754FE" w:rsidRDefault="003754FE" w:rsidP="003754FE">
      <w:pPr>
        <w:pStyle w:val="TextoNormal"/>
      </w:pPr>
      <w:r>
        <w:t>b) El recurso fue admitido a trámite por apreciarse que concurre la causa de especial transcendencia constitucional consistente en que el recurso puede dar ocasión al Tribunal para aclarar o cambiar su doctrina, como consecuencia de un proceso de reflexión interna [STC 155/2009, de 25 de junio, FJ 2 b)], al constatar el Tribunal que, a pesar de la reiterada jurisprudencia constitucional sobre la relevancia desde la perspectiva de la interdicción de la indefensión del correcto proceso de comunicación de los órganos judiciales con las partes personadas, incluidas las acusaciones, en el presente caso concurre la singularidad de que se desestima la nulidad de actuaciones instada por una de las acusaciones particulares en aplicación del principio de proporcionalidad haciendo prevalecer los beneficios obtenidos por el condenado con su conformidad sobre la posibilidad de que dicha acusación particular participara en un proceso penal en el que finalmente no hubo pronunciamiento alguno sobre las eventuales pretensiones penales o civiles vinculadas a las lesiones que sufrió al no haber tampoco sido ejercidas de oficio por el Ministerio Fiscal. Esta singularidad da la oportunidad al Tribunal para aclarar la ponderación de derechos e intereses constitucionales a realizar en este tipo de supuestos.</w:t>
      </w:r>
    </w:p>
    <w:p w14:paraId="20C5CD5B" w14:textId="77777777" w:rsidR="003754FE" w:rsidRDefault="003754FE" w:rsidP="003754FE">
      <w:pPr>
        <w:pStyle w:val="TextoNormal"/>
      </w:pPr>
    </w:p>
    <w:p w14:paraId="65380D38" w14:textId="77777777" w:rsidR="003754FE" w:rsidRDefault="003754FE" w:rsidP="003754FE">
      <w:pPr>
        <w:pStyle w:val="TextoNormal"/>
      </w:pPr>
      <w:r w:rsidRPr="003754FE">
        <w:rPr>
          <w:rStyle w:val="NumeroAFNegritaCaracter"/>
        </w:rPr>
        <w:lastRenderedPageBreak/>
        <w:t>2</w:t>
      </w:r>
      <w:r>
        <w:t xml:space="preserve">. </w:t>
      </w:r>
      <w:r w:rsidRPr="003754FE">
        <w:rPr>
          <w:i/>
        </w:rPr>
        <w:t>La jurisprudencia constitucional sobre el</w:t>
      </w:r>
      <w:r>
        <w:t xml:space="preserve"> ius ut procedatur </w:t>
      </w:r>
      <w:r w:rsidRPr="003754FE">
        <w:rPr>
          <w:i/>
        </w:rPr>
        <w:t>y la prohibición de indefensión por defectos en el proceso de comunicación del órgano judicial con las partes acusadoras</w:t>
      </w:r>
    </w:p>
    <w:p w14:paraId="294C78B6" w14:textId="77777777" w:rsidR="003754FE" w:rsidRDefault="003754FE" w:rsidP="003754FE">
      <w:pPr>
        <w:pStyle w:val="TextoNormal"/>
      </w:pPr>
    </w:p>
    <w:p w14:paraId="4A8B0910" w14:textId="77777777" w:rsidR="003754FE" w:rsidRDefault="003754FE" w:rsidP="003754FE">
      <w:pPr>
        <w:pStyle w:val="TextoNormal"/>
      </w:pPr>
      <w:r>
        <w:t>a) El Tribunal ha establecido de manera reiterada —en una jurisprudencia que se inicia en la STC 108/1983, de 29 de noviembre, FJ 2, y que ha sido resumida recientemente en la STC 72/2024, de 7 de mayo, FJ 4 a), con cita de resoluciones precedentes— los siguientes pronunciamientos en relación con los derechos procesales de las partes acusadoras en el procedimiento penal:</w:t>
      </w:r>
    </w:p>
    <w:p w14:paraId="164ED28D" w14:textId="77777777" w:rsidR="003754FE" w:rsidRDefault="003754FE" w:rsidP="003754FE">
      <w:pPr>
        <w:pStyle w:val="TextoNormal"/>
      </w:pPr>
    </w:p>
    <w:p w14:paraId="186D2BCD" w14:textId="77777777" w:rsidR="003754FE" w:rsidRDefault="003754FE" w:rsidP="003754FE">
      <w:pPr>
        <w:pStyle w:val="TextoNormal"/>
      </w:pPr>
      <w:r>
        <w:t xml:space="preserve">(i) El art. 24.1 CE, en cuanto garantiza el derecho a la tutela judicial efectiva sin indefensión, comprende en favor de los acusadores el derecho a la jurisdicción penal en los términos instaurados en nuestro ordenamiento jurídico, conforme al cual, junto a la oficialidad de la acción encomendada al Ministerio Fiscal, se establece la posibilidad de la actuación de las acusaciones particulares y de la acción popular. Este derecho está caracterizado como un </w:t>
      </w:r>
      <w:r w:rsidRPr="003754FE">
        <w:rPr>
          <w:i/>
        </w:rPr>
        <w:t>ius ut procedatur</w:t>
      </w:r>
      <w:r>
        <w:t xml:space="preserve"> que garantiza la apertura y plena sustanciación del proceso penal en los casos y conforme a las previsiones de la normativa procesal penal. Ahora bien, en la medida en que la acción penal se entabla para que, a través de la jurisdicción, el Estado ejerza la potestad punitiva, este derecho asume una configuración peculiar que determina que en cada una de las fases del proceso penal se halla sometida a exigencias específicas que garantizan en cada estadio de desarrollo de la pretensión punitiva, incluyendo el elenco de garantías constitucionales establecidas en favor del investigado.</w:t>
      </w:r>
    </w:p>
    <w:p w14:paraId="4623EB66" w14:textId="77777777" w:rsidR="003754FE" w:rsidRDefault="003754FE" w:rsidP="003754FE">
      <w:pPr>
        <w:pStyle w:val="TextoNormal"/>
      </w:pPr>
    </w:p>
    <w:p w14:paraId="7D0D5DB2" w14:textId="77777777" w:rsidR="003754FE" w:rsidRDefault="003754FE" w:rsidP="003754FE">
      <w:pPr>
        <w:pStyle w:val="TextoNormal"/>
      </w:pPr>
      <w:r>
        <w:t>(ii) El desarrollo procesal del debate sobre la pretensión acusatoria debe producirse en condiciones de igualdad, de modo que todos los intervinientes tengan plena capacidad de alegación y prueba. De ese modo, si bien no cabe desconocer el diferente estatus constitucional entre partes acusadas y acusadoras, ello no supone negar a las partes acusadoras la protección constitucional que le brindan las garantías establecidas en el art. 24 CE, pues esta norma incorpora el interés público, cuya relevancia constitucional no es posible desconocer, en un juicio justo donde queden intactas tales garantías de todos sus partícipes.</w:t>
      </w:r>
    </w:p>
    <w:p w14:paraId="4CE1D069" w14:textId="77777777" w:rsidR="003754FE" w:rsidRDefault="003754FE" w:rsidP="003754FE">
      <w:pPr>
        <w:pStyle w:val="TextoNormal"/>
      </w:pPr>
    </w:p>
    <w:p w14:paraId="671575E9" w14:textId="77777777" w:rsidR="003754FE" w:rsidRDefault="003754FE" w:rsidP="003754FE">
      <w:pPr>
        <w:pStyle w:val="TextoNormal"/>
      </w:pPr>
      <w:r>
        <w:t>(iii) La vulneración del derecho a la tutela judicial efectiva sin indefensión del acusador puede conllevar, como resultado, la anulación de una resolución judicial penal —incluso materialmente absolutoria, ya sea el auto de archivo o la sentencia—, con orden de retroacción de actuaciones, pero exclusivamente en el caso de que se haya producido una quiebra de una regla esencial del proceso justo en perjuicio de la acusación, ya que el desarrollo de las actuaciones procesales sin las garantías consustanciales al proceso justo no permite hablar de proceso en sentido propio ni puede permitir que la sentencia pronunciada en esas condiciones adquiera el carácter de inatacable.</w:t>
      </w:r>
    </w:p>
    <w:p w14:paraId="2A06FB74" w14:textId="77777777" w:rsidR="003754FE" w:rsidRDefault="003754FE" w:rsidP="003754FE">
      <w:pPr>
        <w:pStyle w:val="TextoNormal"/>
      </w:pPr>
    </w:p>
    <w:p w14:paraId="38762334" w14:textId="77777777" w:rsidR="003754FE" w:rsidRDefault="003754FE" w:rsidP="003754FE">
      <w:pPr>
        <w:pStyle w:val="TextoNormal"/>
      </w:pPr>
      <w:r>
        <w:t xml:space="preserve">(iv) El </w:t>
      </w:r>
      <w:r w:rsidRPr="003754FE">
        <w:rPr>
          <w:i/>
        </w:rPr>
        <w:t>ius ut procedatur</w:t>
      </w:r>
      <w:r>
        <w:t xml:space="preserve"> no significa que las partes acusadoras, pese al reconocimiento de diversas garantías instrumentales al servicio de la defensa de su derecho de acción penal, cuenten con el derecho material a penar, de exclusiva naturaleza pública y cuya titularidad corresponde al Estado, quedando limitado a poner en marcha el proceso, a que el mismo se sustancie de conformidad con la ley y las reglas del proceso justo y a obtener en él una respuesta fundada en Derecho sobre sus pretensiones.</w:t>
      </w:r>
    </w:p>
    <w:p w14:paraId="2B3CEABF" w14:textId="77777777" w:rsidR="003754FE" w:rsidRDefault="003754FE" w:rsidP="003754FE">
      <w:pPr>
        <w:pStyle w:val="TextoNormal"/>
      </w:pPr>
    </w:p>
    <w:p w14:paraId="2CBCD81F" w14:textId="77777777" w:rsidR="003754FE" w:rsidRDefault="003754FE" w:rsidP="003754FE">
      <w:pPr>
        <w:pStyle w:val="TextoNormal"/>
      </w:pPr>
      <w:r>
        <w:lastRenderedPageBreak/>
        <w:t>b) En relación con la vulneración del derecho a la tutela judicial sin indefensión derivado del incumplimiento judicial del régimen procesal de emplazamientos, citaciones y notificaciones a las partes de los distintos actos procesales que tienen lugar en un procedimiento judicial, el Tribunal ha establecido una jurisprudencia de alcance general, proyectada también en relación con el proceso penal para quienes son parte en condición de acusación particular (así, por ejemplo, SSTC 16/2001, de 29 de enero, FJ 5; 178/2001, de 17 de septiembre, FJ 3, y 179/2002, de 14 de octubre, FJ 4), conforme a la cual:</w:t>
      </w:r>
    </w:p>
    <w:p w14:paraId="3AD5CB35" w14:textId="77777777" w:rsidR="003754FE" w:rsidRDefault="003754FE" w:rsidP="003754FE">
      <w:pPr>
        <w:pStyle w:val="TextoNormal"/>
      </w:pPr>
    </w:p>
    <w:p w14:paraId="6C041C39" w14:textId="77777777" w:rsidR="003754FE" w:rsidRDefault="003754FE" w:rsidP="003754FE">
      <w:pPr>
        <w:pStyle w:val="TextoNormal"/>
      </w:pPr>
      <w:r>
        <w:t>(i) El órgano judicial tiene no solo el deber de velar por la correcta ejecución de los actos de comunicación procesal, sino también el de asegurarse de que dichos actos sirven a su propósito de garantizar que la parte sea oída en el proceso; por lo que es exigible de los órganos judiciales un especial deber de diligencia en su realización para dar la oportunidad a las partes de defender sus derechos e intereses y evitar su indefensión (así, STC 137/2023, de 23 de octubre, FJ 2).</w:t>
      </w:r>
    </w:p>
    <w:p w14:paraId="5EBB6D88" w14:textId="77777777" w:rsidR="003754FE" w:rsidRDefault="003754FE" w:rsidP="003754FE">
      <w:pPr>
        <w:pStyle w:val="TextoNormal"/>
      </w:pPr>
    </w:p>
    <w:p w14:paraId="70DD1849" w14:textId="77777777" w:rsidR="003754FE" w:rsidRDefault="003754FE" w:rsidP="003754FE">
      <w:pPr>
        <w:pStyle w:val="TextoNormal"/>
      </w:pPr>
      <w:r>
        <w:t>(ii) La existencia de una posible indefensión contraria al art. 24.1 CE no cabe apreciarse con la mera transgresión de una norma procesal, en este caso la que establece el régimen de comunicaciones con las acusaciones, sino que es preciso que la indefensión sea efectiva y no meramente formal. Ello implica que el defecto procesal haya supuesto un perjuicio real y efectivo para la parte en sus posibilidades de defensa, en el sentido de que provoque una eliminación o disminución sustancial de los derechos que le corresponde por su posición propia en el procedimiento como puede ser, singularmente, el derecho a alegar y a demostrar en el proceso los propios derechos (así, STC 95/2020, de 20 de julio, FJ 3).</w:t>
      </w:r>
    </w:p>
    <w:p w14:paraId="3C2A483D" w14:textId="77777777" w:rsidR="003754FE" w:rsidRDefault="003754FE" w:rsidP="003754FE">
      <w:pPr>
        <w:pStyle w:val="TextoNormal"/>
      </w:pPr>
    </w:p>
    <w:p w14:paraId="12E40F08" w14:textId="1D619ACD" w:rsidR="003754FE" w:rsidRDefault="003754FE" w:rsidP="003754FE">
      <w:pPr>
        <w:pStyle w:val="TextoNormal"/>
      </w:pPr>
      <w:r>
        <w:t>(iii) También resulta necesario que la indefensión padecida no sea imputable a la propia voluntad o a la falta de diligencia de la parte, para cuya valoración es necesario atender a las circunstancias concurrentes en el caso, pues no puede resultar acreedor de la protección del amparo constitucional quien contribuyó de manera activa o negligente a causar la indefensión de la que se queja (así, SSTC 40/2005, de 28 de febrero, FJ 2, o 137/2023, de 23 de octubre, FJ 2).</w:t>
      </w:r>
    </w:p>
    <w:p w14:paraId="7709ACF3" w14:textId="77777777" w:rsidR="003754FE" w:rsidRDefault="003754FE" w:rsidP="003754FE">
      <w:pPr>
        <w:pStyle w:val="TextoNormal"/>
      </w:pPr>
    </w:p>
    <w:p w14:paraId="792B613D" w14:textId="77777777" w:rsidR="003754FE" w:rsidRDefault="003754FE" w:rsidP="003754FE">
      <w:pPr>
        <w:pStyle w:val="TextoNormal"/>
      </w:pPr>
      <w:r w:rsidRPr="003754FE">
        <w:rPr>
          <w:rStyle w:val="NumeroAFNegritaCaracter"/>
        </w:rPr>
        <w:t>3</w:t>
      </w:r>
      <w:r>
        <w:t xml:space="preserve">. </w:t>
      </w:r>
      <w:r w:rsidRPr="003754FE">
        <w:rPr>
          <w:i/>
        </w:rPr>
        <w:t>Aplicación de la jurisprudencia al caso</w:t>
      </w:r>
    </w:p>
    <w:p w14:paraId="406709C8" w14:textId="77777777" w:rsidR="003754FE" w:rsidRDefault="003754FE" w:rsidP="003754FE">
      <w:pPr>
        <w:pStyle w:val="TextoNormal"/>
      </w:pPr>
    </w:p>
    <w:p w14:paraId="2E3FD67E" w14:textId="77777777" w:rsidR="003754FE" w:rsidRDefault="003754FE" w:rsidP="003754FE">
      <w:pPr>
        <w:pStyle w:val="TextoNormal"/>
      </w:pPr>
      <w:r>
        <w:t>a) El Tribunal constata que, como ha sido expuesto en los antecedentes, han quedado acreditados los siguientes antecedentes fácticos de relevancia para este recurso:</w:t>
      </w:r>
    </w:p>
    <w:p w14:paraId="4300D672" w14:textId="77777777" w:rsidR="003754FE" w:rsidRDefault="003754FE" w:rsidP="003754FE">
      <w:pPr>
        <w:pStyle w:val="TextoNormal"/>
      </w:pPr>
    </w:p>
    <w:p w14:paraId="4E5BEA82" w14:textId="77777777" w:rsidR="003754FE" w:rsidRDefault="003754FE" w:rsidP="003754FE">
      <w:pPr>
        <w:pStyle w:val="TextoNormal"/>
      </w:pPr>
      <w:r>
        <w:t xml:space="preserve">(i) El demandante, al haber sido víctima, junto con otros compañeros, de unas lesiones en el ejercicio de su actividad profesional como agente de policía, solicitó por escrito ser tenido por personado como acusación particular en el procedimiento penal a que dio lugar, designado una procuradora que le representara y un letrado que le asistiera, instando ser requerido para otorgar apoderamiento </w:t>
      </w:r>
      <w:r w:rsidRPr="003754FE">
        <w:rPr>
          <w:i/>
        </w:rPr>
        <w:t>apud acta</w:t>
      </w:r>
      <w:r>
        <w:t xml:space="preserve">. Sin que se llegara a efectuar dicho requerimiento por parte del juzgado ni el apoderamiento </w:t>
      </w:r>
      <w:r w:rsidRPr="003754FE">
        <w:rPr>
          <w:i/>
        </w:rPr>
        <w:t>apud acta</w:t>
      </w:r>
      <w:r>
        <w:t xml:space="preserve"> a iniciativa del propio demandante, el Juzgado de Instrucción núm. 7 de Sevilla, por providencia de 25 de noviembre de 2021, acordó tener por personada a la procuradora en nombre y representación del demandante y entenderse con ella “las sucesivas diligencias en el modo y forma establecido por la ley”. Esta resolución alcanzó firmeza al no haber sido impugnada ni controvertida por ninguna de las partes procesales.</w:t>
      </w:r>
    </w:p>
    <w:p w14:paraId="3DCE5104" w14:textId="77777777" w:rsidR="003754FE" w:rsidRDefault="003754FE" w:rsidP="003754FE">
      <w:pPr>
        <w:pStyle w:val="TextoNormal"/>
      </w:pPr>
    </w:p>
    <w:p w14:paraId="4D719D1E" w14:textId="77777777" w:rsidR="003754FE" w:rsidRDefault="003754FE" w:rsidP="003754FE">
      <w:pPr>
        <w:pStyle w:val="TextoNormal"/>
      </w:pPr>
      <w:r>
        <w:lastRenderedPageBreak/>
        <w:t>(ii) El demandante de amparo, desde el momento en que fue tenido como parte acusadora, no recibió personalmente ni a través de su representación procesal comunicación alguna en relación con las sucesivas resoluciones o actuaciones desarrolladas durante la instrucción, la fase intermedia, el juicio oral y la ejecutoria. En particular, no le fueron notificados por el Juzgado de Instrucción núm. 7 de Sevilla el auto de continuación de procedimiento abreviado de 16 de diciembre de 2021 y el auto de apertura del juicio oral de 5 de enero de 2022. Tampoco le fueron notificados por el Juzgado de lo Penal núm. 11 de Sevilla el auto de 25 de enero de 2022 en el que se acordó declarar pertinente las pruebas propuestas y convocar a las partes y a los testigos para el acto del juicio oral ni la sentencia núm. 72/2022, de 2 de marzo, ni el decreto de incoación de la ejecutoria de dicha sentencia. Como resultado de todo ello se vio privado de la posibilidad de intervención en el procedimiento penal en defensa de sus intereses en la condición que tenía reconocida como acusación particular.</w:t>
      </w:r>
    </w:p>
    <w:p w14:paraId="5427F267" w14:textId="77777777" w:rsidR="003754FE" w:rsidRDefault="003754FE" w:rsidP="003754FE">
      <w:pPr>
        <w:pStyle w:val="TextoNormal"/>
      </w:pPr>
    </w:p>
    <w:p w14:paraId="12F9BD55" w14:textId="77777777" w:rsidR="003754FE" w:rsidRDefault="003754FE" w:rsidP="003754FE">
      <w:pPr>
        <w:pStyle w:val="TextoNormal"/>
      </w:pPr>
      <w:r>
        <w:t>(iii) El Ministerio Fiscal y las otras dos acusaciones particulares personadas propusieron la declaración del demandante como prueba testifical a practicar en la vista oral, siendo declarada pertinente. No obstante, tampoco consta que le fuera comunicada la convocatoria judicial para comparecer en dicha condición en la vista oral ni que tuviera conocimiento de su celebración.</w:t>
      </w:r>
    </w:p>
    <w:p w14:paraId="02155B10" w14:textId="77777777" w:rsidR="003754FE" w:rsidRDefault="003754FE" w:rsidP="003754FE">
      <w:pPr>
        <w:pStyle w:val="TextoNormal"/>
      </w:pPr>
    </w:p>
    <w:p w14:paraId="2E245939" w14:textId="77777777" w:rsidR="003754FE" w:rsidRDefault="003754FE" w:rsidP="003754FE">
      <w:pPr>
        <w:pStyle w:val="TextoNormal"/>
      </w:pPr>
      <w:r>
        <w:t>(iv) El auto de 16 de diciembre de 2021, por el que se acordó continuar la causa por el procedimiento abreviado, citaba expresamente en el apartado de hechos al demandante, junto con otros cinco agentes, como perjudicado por los hechos exponiendo las lesiones que sufrió. No obstante, el Ministerio Fiscal en su escrito de acusación, a pesar de haber solicitado como prueba testifical la declaración del demandante, omitió en los hechos cualquier referencia al demandante y no ejercitó acciones penales o civiles en relación con las lesiones que padeció.</w:t>
      </w:r>
    </w:p>
    <w:p w14:paraId="15D2E379" w14:textId="77777777" w:rsidR="003754FE" w:rsidRDefault="003754FE" w:rsidP="003754FE">
      <w:pPr>
        <w:pStyle w:val="TextoNormal"/>
      </w:pPr>
    </w:p>
    <w:p w14:paraId="4992A49A" w14:textId="77777777" w:rsidR="003754FE" w:rsidRDefault="003754FE" w:rsidP="003754FE">
      <w:pPr>
        <w:pStyle w:val="TextoNormal"/>
      </w:pPr>
      <w:r>
        <w:t>(v) La sentencia núm. 72/2022, de 2 de marzo, dictada de conformidad, condenó al acusado por un delito leve de hurto, un delito de hurto de uso de vehículo de motor, un delito de daños, un delito de atentado con medio peligroso, un delito contra la seguridad vial y, específicamente, en relación con las lesiones sufridas por los diferentes agentes policiales, por cuatro delitos de lesiones leves y otro de lesiones graves y al pago de las responsabilidades civiles por las lesiones causadas a esos cinco agentes policiales. Se omite en los hechos y en el fallo referencia alguna a una eventual responsabilidad penal o civil respecto de las lesiones padecidas por el demandante de amparo.</w:t>
      </w:r>
    </w:p>
    <w:p w14:paraId="2E271E81" w14:textId="77777777" w:rsidR="003754FE" w:rsidRDefault="003754FE" w:rsidP="003754FE">
      <w:pPr>
        <w:pStyle w:val="TextoNormal"/>
      </w:pPr>
    </w:p>
    <w:p w14:paraId="020F70CD" w14:textId="77777777" w:rsidR="003754FE" w:rsidRDefault="003754FE" w:rsidP="003754FE">
      <w:pPr>
        <w:pStyle w:val="TextoNormal"/>
      </w:pPr>
      <w:r>
        <w:t>(vi) El demandante interpuso incidente de nulidad de actuaciones con invocación del art. 24.1 CE, poniendo de manifiesto la indefensión material que le había causado el no haber sido notificado de ninguna de las actuaciones desarrolladas en el procedimiento, a pesar de estar personado como acusación particular; instando la nulidad de la sentencia dictada con retroacción de actuaciones al momento en el que le debió ser notificado el auto de continuación abreviado para formular escrito de acusación o, en su caso, manteniendo la validez de la sentencia impugnada, se le permita formular acusación interesando que se añada a la sentencia otro delito leve de lesiones condenándose a la pena de un mes de multa a razón de tres euros diarios por este delito y a la responsabilidad civil de 350 €.</w:t>
      </w:r>
    </w:p>
    <w:p w14:paraId="7CF34A1E" w14:textId="77777777" w:rsidR="003754FE" w:rsidRDefault="003754FE" w:rsidP="003754FE">
      <w:pPr>
        <w:pStyle w:val="TextoNormal"/>
      </w:pPr>
    </w:p>
    <w:p w14:paraId="2306E4CF" w14:textId="77777777" w:rsidR="003754FE" w:rsidRDefault="003754FE" w:rsidP="003754FE">
      <w:pPr>
        <w:pStyle w:val="TextoNormal"/>
      </w:pPr>
      <w:r>
        <w:t xml:space="preserve">(vii) El incidente fue desestimado por auto de 19 de enero de 2023 con el doble argumento de que (a) sería desproporcionado declarar la nulidad de la sentencia, ya que al ser </w:t>
      </w:r>
      <w:r>
        <w:lastRenderedPageBreak/>
        <w:t xml:space="preserve">de conformidad se frustrarían los beneficios de rebaja de la pena obtenidos por el condenado que son prevalentes frente al perjuicio causado al demandante consistente en unas lesiones leves; y (b) existía una carencia de cobertura legal en la decisión judicial de tener por personado al demandante como acusación particular en la instrucción, ya que nunca compareció para otorgar el apoderamiento </w:t>
      </w:r>
      <w:r w:rsidRPr="003754FE">
        <w:rPr>
          <w:i/>
        </w:rPr>
        <w:t>apud acta</w:t>
      </w:r>
      <w:r>
        <w:t>, no siendo exigible un requerimiento judicial expreso para ello.</w:t>
      </w:r>
    </w:p>
    <w:p w14:paraId="2D93924D" w14:textId="77777777" w:rsidR="003754FE" w:rsidRDefault="003754FE" w:rsidP="003754FE">
      <w:pPr>
        <w:pStyle w:val="TextoNormal"/>
      </w:pPr>
    </w:p>
    <w:p w14:paraId="0CAA66B2" w14:textId="77777777" w:rsidR="003754FE" w:rsidRDefault="003754FE" w:rsidP="003754FE">
      <w:pPr>
        <w:pStyle w:val="TextoNormal"/>
      </w:pPr>
      <w:r>
        <w:t>b) El Tribunal, en atención a la jurisprudencia constitucional expuesta y su proyección a los antecedentes reseñados, concluye que la actuación judicial impugnada ha generado en demandante de amparo una indefensión material lesiva del art. 24.1 CE por las siguientes razones:</w:t>
      </w:r>
    </w:p>
    <w:p w14:paraId="2D27C52D" w14:textId="77777777" w:rsidR="003754FE" w:rsidRDefault="003754FE" w:rsidP="003754FE">
      <w:pPr>
        <w:pStyle w:val="TextoNormal"/>
      </w:pPr>
    </w:p>
    <w:p w14:paraId="756E8BAC" w14:textId="77777777" w:rsidR="003754FE" w:rsidRDefault="003754FE" w:rsidP="003754FE">
      <w:pPr>
        <w:pStyle w:val="TextoNormal"/>
      </w:pPr>
      <w:r>
        <w:t>(i) El Tribunal aprecia que no resulta controvertido que, sin perjuicio de lo que se dirá más adelante sobre la corrección de la decisión judicial de tener por personado al demandante como acusación particular en la instrucción, los diferentes órganos judiciales que han intervenido en el procedimiento penal del que trae causa el presente recurso de amparo han incumplido el régimen procesal de notificaciones al demandante, ya que, habiendo sido tenido como parte en condición de acusación particular mediante providencia de 25 de noviembre de 2021, se omitió notificarle las resoluciones y actuaciones judiciales subsiguientes hasta la finalización del proceso. Por tanto, el Tribunal concluye que concurre la primera exigencia para apreciar la existencia de una posible indefensión contraria al art. 24.1 CE, al constatar que se ha producido una infracción de la normativa procesal relativa al régimen de comunicaciones con las acusaciones.</w:t>
      </w:r>
    </w:p>
    <w:p w14:paraId="3EFA0376" w14:textId="77777777" w:rsidR="003754FE" w:rsidRDefault="003754FE" w:rsidP="003754FE">
      <w:pPr>
        <w:pStyle w:val="TextoNormal"/>
      </w:pPr>
    </w:p>
    <w:p w14:paraId="3EF2E776" w14:textId="77777777" w:rsidR="003754FE" w:rsidRDefault="003754FE" w:rsidP="003754FE">
      <w:pPr>
        <w:pStyle w:val="TextoNormal"/>
      </w:pPr>
      <w:r>
        <w:t>(ii) El Tribunal también advierte que dicha infracción procesal del régimen de comunicaciones ha generado una indefensión material al demandante y no solo por el perjuicio real y efectivo que le ha supuesto la pérdida de oportunidad de alegar y defender sus intereses dentro del proceso sino porque, en el caso concreto, las acciones penales y civiles vinculadas con las lesiones que había padecido tampoco fueron ejercidas de oficio por el Ministerio Fiscal. Ello ha provocado que, merced a las exigencias derivadas del principio acusatorio, hayan quedado imprejuzgadas en el proceso penal las eventuales pretensiones penales y civiles que pudiera haber ejercitado el demandante como acusación particular de no haberse cometido la ya citada infracción procesal del régimen de notificaciones. Por tanto, el Tribunal concluye que concurre la segunda exigencia para apreciar la existencia de una posible indefensión contraria al art. 24.1 CE, al constatar que al demandante se le ha causado una indefensión material.</w:t>
      </w:r>
    </w:p>
    <w:p w14:paraId="1516D66F" w14:textId="77777777" w:rsidR="003754FE" w:rsidRDefault="003754FE" w:rsidP="003754FE">
      <w:pPr>
        <w:pStyle w:val="TextoNormal"/>
      </w:pPr>
    </w:p>
    <w:p w14:paraId="2997D018" w14:textId="77777777" w:rsidR="003754FE" w:rsidRDefault="003754FE" w:rsidP="003754FE">
      <w:pPr>
        <w:pStyle w:val="TextoNormal"/>
      </w:pPr>
      <w:r>
        <w:t xml:space="preserve">(iii) El Tribunal no considera que, en atención a las circunstancias concurrentes en el caso, la indefensión padecida por el demandante sea imputable a su propia voluntad o a su falta de diligencia. El Tribunal no evidencia que el demandante hubiera tenido conocimiento extraprocesal de las diferentes actuaciones judiciales desarrolladas y del avance del procedimiento desde que se le tuvo por personado como acusación particular. A esos efectos, aunque no haya sido controvertido este particular ni por el Ministerio Fiscal ni en las resoluciones impugnadas, el Tribunal entiende preciso recordar que, de conformidad con jurisprudencia constitucional reiterada, un eventual conocimiento extraprocesal como causa para apreciar la falta de diligencia impeditiva de la declaración de la lesión del art. 24.1 CE es necesario que quede acreditado fehacientemente mediante prueba suficiente sin que pueda </w:t>
      </w:r>
      <w:r>
        <w:lastRenderedPageBreak/>
        <w:t>fundarse en simples conjeturas (así, STC 12/2024, de 29 de enero, FJ 2), lo que no sucede en este caso.</w:t>
      </w:r>
    </w:p>
    <w:p w14:paraId="4D6DFDC2" w14:textId="77777777" w:rsidR="003754FE" w:rsidRDefault="003754FE" w:rsidP="003754FE">
      <w:pPr>
        <w:pStyle w:val="TextoNormal"/>
      </w:pPr>
    </w:p>
    <w:p w14:paraId="706E507C" w14:textId="77777777" w:rsidR="003754FE" w:rsidRDefault="003754FE" w:rsidP="003754FE">
      <w:pPr>
        <w:pStyle w:val="TextoNormal"/>
      </w:pPr>
      <w:r>
        <w:t xml:space="preserve">Por otra parte, el Tribunal tampoco puede asumir como argumento relevante a estos efectos el utilizado en el auto impugnado de la carencia de cobertura legal de la personación acordada del demandante como acusación particular durante la instrucción en la providencia de 25 de noviembre de 2021 y de la falta de diligencia del demandante al no haber comparecido voluntariamente para otorgar apoderamiento </w:t>
      </w:r>
      <w:r w:rsidRPr="003754FE">
        <w:rPr>
          <w:i/>
        </w:rPr>
        <w:t>apud acta</w:t>
      </w:r>
      <w:r>
        <w:t xml:space="preserve"> sin previo requerimiento judicial. No es labor de este tribunal pronunciarse en el contexto de este recurso de amparo sobre la eventual cobertura legal de aquella decisión, sino, simplemente, sobre la valoración judicial que se hace en el auto impugnado al respecto como causa impeditiva para apreciar la vulneración del art. 24.1 CE alegada por el demandante en el incidente de nulidad de actuaciones. A esos efectos, el Tribunal cree necesario hacer las siguientes consideraciones:</w:t>
      </w:r>
    </w:p>
    <w:p w14:paraId="0C6BC4A9" w14:textId="77777777" w:rsidR="003754FE" w:rsidRDefault="003754FE" w:rsidP="003754FE">
      <w:pPr>
        <w:pStyle w:val="TextoNormal"/>
      </w:pPr>
    </w:p>
    <w:p w14:paraId="79D3B977" w14:textId="77777777" w:rsidR="003754FE" w:rsidRDefault="003754FE" w:rsidP="003754FE">
      <w:pPr>
        <w:pStyle w:val="TextoNormal"/>
      </w:pPr>
      <w:r>
        <w:t xml:space="preserve">(a) Con independencia de la legalidad o no de la decisión judicial de personación o de si hubiera sido necesaria o no una comparecencia voluntaria del demandante en el juzgado de instrucción para otorgar el apoderamiento sin necesidad de requerimiento previo, el Tribunal comprueba que la providencia de 25 de noviembre de 2021, que tuvo por personado al demandante como acusación particular, es una decisión judicial que alcanzó firmeza al no ser controvertida ni impugnada por ninguno de los legitimados ni ser anulada de oficio merced a las posibilidades previstas en la legislación procesal. Ello es susceptible de generar, a semejanza de lo que ha reiterado la jurisprudencia constitucional en relación con la errónea indicación de recursos (así, STC 4/2021, de 25 de enero, FJ 3), a partir de la autoridad debida a las diversas resoluciones judiciales, una confianza o expectativa legítima en el demandante de que había adquirido la condición de parte como acusación particular sin la necesidad de que fuera requerido para designación </w:t>
      </w:r>
      <w:r w:rsidRPr="003754FE">
        <w:rPr>
          <w:i/>
        </w:rPr>
        <w:t>apud acta</w:t>
      </w:r>
      <w:r>
        <w:t xml:space="preserve"> y, por tanto, que los órganos judiciales le darían un tratamiento procesal conforme a ello, incluyendo la aplicación del régimen procesal de comunicaciones. De ese modo, la expectativa derivada de la autoridad debida a un pronunciamiento judicial firme, con independencia de las dudas que su legalidad pudiera suscitar, impide afirmar en este caso una falta de diligencia en la actuación del demandante por no haber comparecido voluntariamente sin requerimiento a otorgar apoderamiento </w:t>
      </w:r>
      <w:r w:rsidRPr="003754FE">
        <w:rPr>
          <w:i/>
        </w:rPr>
        <w:t>apud acta</w:t>
      </w:r>
      <w:r>
        <w:t xml:space="preserve"> que le obligue a soportar las consecuencias derivadas del incumplimiento judicial del régimen procesal de notificaciones.</w:t>
      </w:r>
    </w:p>
    <w:p w14:paraId="03C6586C" w14:textId="77777777" w:rsidR="003754FE" w:rsidRDefault="003754FE" w:rsidP="003754FE">
      <w:pPr>
        <w:pStyle w:val="TextoNormal"/>
      </w:pPr>
    </w:p>
    <w:p w14:paraId="6F501966" w14:textId="77777777" w:rsidR="003754FE" w:rsidRDefault="003754FE" w:rsidP="003754FE">
      <w:pPr>
        <w:pStyle w:val="TextoNormal"/>
      </w:pPr>
      <w:r>
        <w:t>(b) El Tribunal también constata que el auto impugnado niega la existencia de una cobertura legal en la providencia por la que se acordó la personación como argumento para negar que el demandante pudiera ser beneficiario del régimen procesal de notificación propio de las partes acusadoras necesario para apreciar la alegada vulneración del art. 24.1 CE. De nuevo, con independencia de la corrección desde una perspectiva de la legalidad ordinaria de esa apreciación, el Tribunal comprueba que en el auto impugnado se niega cualquier efecto jurídico útil a la providencia de 25 de noviembre de 2021, derivado de esa supuesta falta de cobertura legal, al margen de cualquier procedimiento de anulación de oficio previsto legalmente y, singularmente, de las posibilidades que al efecto se establece en el art. 240.2 de la Ley Orgánica del Poder Judicial. Por tanto, en estas circunstancias, el Tribunal no puede admitir como un argumento constitucionalmente válido esa supuesta falta de cobertura legal para justificar el rechazo de la indefensión alegada por el recurrente en el incidente de nulidad de actuaciones.</w:t>
      </w:r>
    </w:p>
    <w:p w14:paraId="576931B0" w14:textId="77777777" w:rsidR="003754FE" w:rsidRDefault="003754FE" w:rsidP="003754FE">
      <w:pPr>
        <w:pStyle w:val="TextoNormal"/>
      </w:pPr>
    </w:p>
    <w:p w14:paraId="66D24941" w14:textId="77777777" w:rsidR="003754FE" w:rsidRDefault="003754FE" w:rsidP="003754FE">
      <w:pPr>
        <w:pStyle w:val="TextoNormal"/>
      </w:pPr>
      <w:r>
        <w:lastRenderedPageBreak/>
        <w:t>(c) El Tribunal también tiene que poner de manifiesto que, conforme a jurisprudencia constitucional reiterada, el defecto en la postulación procesal, incluido el de que quienes pretender ejercer como acusación particular en un proceso penal en defensa de sus intereses, es subsanable y, por tanto, el órgano judicial está obligado a facilitar el acceso de la víctima que ha mostrado su interés en ser parte al procedimiento el ejercicio de la acción penal, cumpliendo de esta forma el mandato implícito al legislador y al intérprete, contenido en el art. 24 CE, dirigido a promover en la medida de lo posible la defensa en el proceso de los derechos e intereses legítimos de los ciudadanos (así, por ejemplo, STC 16/2001, de 29 de enero, FJ 5). En atención a esa jurisprudencia, el Tribunal tampoco puede asumir que se justifique el rechazo de la indefensión alegada por el recurrente con fundamento en una eventual falta de diligencia del demandante en la debida cumplimentación de los requisitos de postulación cuando, tratándose de un defecto que este tribunal ha considerado subsanable en proyección de las garantías del art. 24.1 CE, en ningún momento se ha dado esa posibilidad al demandante.</w:t>
      </w:r>
    </w:p>
    <w:p w14:paraId="43CDC57D" w14:textId="77777777" w:rsidR="003754FE" w:rsidRDefault="003754FE" w:rsidP="003754FE">
      <w:pPr>
        <w:pStyle w:val="TextoNormal"/>
      </w:pPr>
    </w:p>
    <w:p w14:paraId="4C585B33" w14:textId="77777777" w:rsidR="003754FE" w:rsidRDefault="003754FE" w:rsidP="003754FE">
      <w:pPr>
        <w:pStyle w:val="TextoNormal"/>
      </w:pPr>
      <w:r>
        <w:t>En definitiva, por las razones expuestas, el Tribunal concluye que concurre la tercera exigencia para apreciar la existencia de una posible indefensión contraria al art. 24.1 CE, al constatar que la indefensión material causada al demandante no puede ser imputada a su voluntad o falta de diligencia, que era uno de los argumentos utilizados en el auto impugnado.</w:t>
      </w:r>
    </w:p>
    <w:p w14:paraId="0EFCF33F" w14:textId="77777777" w:rsidR="003754FE" w:rsidRDefault="003754FE" w:rsidP="003754FE">
      <w:pPr>
        <w:pStyle w:val="TextoNormal"/>
      </w:pPr>
    </w:p>
    <w:p w14:paraId="78D49E67" w14:textId="77777777" w:rsidR="003754FE" w:rsidRDefault="003754FE" w:rsidP="003754FE">
      <w:pPr>
        <w:pStyle w:val="TextoNormal"/>
      </w:pPr>
      <w:r>
        <w:t>(iv) El auto impugnado también ha utilizado como argumento para denegar la existencia de la vulneración alegada por el demandante del art. 24.1 CE en el incidente de nulidad y las consecuencias anulatorias y de retroacción inherente a ello un juicio de proporcionalidad de acuerdo con el que, al ser de conformidad la sentencia condenatoria, se frustrarían los beneficios de rebaja de la pena obtenidos por el condenado que deben ser considerados prevalentes frente al perjuicio causado al demandante.</w:t>
      </w:r>
    </w:p>
    <w:p w14:paraId="67CAF806" w14:textId="77777777" w:rsidR="003754FE" w:rsidRDefault="003754FE" w:rsidP="003754FE">
      <w:pPr>
        <w:pStyle w:val="TextoNormal"/>
      </w:pPr>
    </w:p>
    <w:p w14:paraId="67BE1327" w14:textId="77777777" w:rsidR="003754FE" w:rsidRDefault="003754FE" w:rsidP="003754FE">
      <w:pPr>
        <w:pStyle w:val="TextoNormal"/>
      </w:pPr>
      <w:r>
        <w:t xml:space="preserve">El Tribunal no puede compartir la validez constitucional de este juicio de proporcionalidad. En primer lugar, ese juicio de proporcionalidad podría proyectarse, en su caso, sobre la eventual necesidad o modulación de la anulación de la sentencia absolutoria o de la retroacción de actuaciones, pero no puede tener el alcance pretendido de impedir la declaración de la existencia de una lesión del derecho fundamental a no padecer indefensión. La jurisprudencia constitucional ya ha incidido en que por poderosas razones de seguridad jurídica o de la protección de intereses o derechos constitucionales de terceros puede resultar necesario no añadir la anulación de una sentencia absolutoria firme —a la que el auto impugnado equipara </w:t>
      </w:r>
      <w:r w:rsidRPr="003754FE">
        <w:rPr>
          <w:i/>
        </w:rPr>
        <w:t>mutatis mutandi</w:t>
      </w:r>
      <w:r>
        <w:t xml:space="preserve"> las ventajas de la rebaja de penas obtenidas con una sentencia condenatoria de conformidad— a la declaración de lesión de un derecho fundamental —procesal o sustantivo— de las acusaciones, pero ello no significa que dicha declaración de vulneración del derecho fundamental quede vacía de incidencia objetiva en el ordenamiento, de efectivo contenido de reparación moral y de potencial para generar una futura indemnización por mal funcionamiento de la administración de la justicia penal (SSTC 218/1997, de 4 de diciembre, FJ 2, o 4/2004, de 14 de enero, FJ 4). En ese sentido, desde la perspectiva de la interdicción constitucional de la indefensión de las acusaciones, no cabe aceptar que este juicio de proporcionalidad sea un obstáculo para declarar que en la vía judicial había concurrido una vulneración del art. 24.1 CE, una vez acreditada la existencia de una infracción procedimental generadora de una indefensión material de la parte no imputable a su voluntad o falta de diligencia.</w:t>
      </w:r>
    </w:p>
    <w:p w14:paraId="2E1D012A" w14:textId="77777777" w:rsidR="003754FE" w:rsidRDefault="003754FE" w:rsidP="003754FE">
      <w:pPr>
        <w:pStyle w:val="TextoNormal"/>
      </w:pPr>
    </w:p>
    <w:p w14:paraId="56176E8B" w14:textId="77777777" w:rsidR="003754FE" w:rsidRDefault="003754FE" w:rsidP="003754FE">
      <w:pPr>
        <w:pStyle w:val="TextoNormal"/>
      </w:pPr>
      <w:r>
        <w:t>La proyección que el auto impugnado ha hecho de este juicio de proporcionalidad para negar una eventual nulidad de la sentencia condenatoria de conformidad y de retroacción de actuaciones en restablecimiento de la indefensión generada al demandante tampoco responde a los parámetros establecidos en la jurisprudencia constitucional. A esos efectos, resulta preciso reiterar que la jurisprudencia constitucional ha afirmado que la anulación de la sentencia —absolutoria o condenatoria— y la repetición del enjuiciamiento puede constituir una tutela jurídica adecuada, compatible con las exigencias del art. 24.1 CE, en los casos de que los acusadores hayan padecido un vicio de procedimiento de tal envergadura que permita inferir que el juicio celebrado no tiene las características propias de un juicio justo [STC 9/2024, de 17 de enero, FJ 3 A) e) (i)]. Esta posición responde a la idea de que “en un decidido equilibrio entre el estatuto constitucional reforzado del acusado y la necesidad de no excluir a las acusaciones de las garantías del artículo 24 CE, se admite constitucionalmente la posibilidad de anular una resolución judicial penal materialmente absolutoria, con orden de retroacción de actuaciones, en aquellos casos en los que se constate la quiebra de una regla esencial del proceso en perjuicio de la acusación, ya que en ese escenario la ausencia de garantías no permite hablar de ‘proceso’ en sentido propio, ni puede permitir tampoco que la sentencia absolutoria adquiera el carácter de inatacable” [STC 1/2019, de 14 de enero, FJ 3; y en sentido similar, SSTC 4/2004, de 14 de enero, FJ 4, o 72/2024, de 7 de mayo, FJ 4 a)]. En atención a esta jurisprudencia, desde la perspectiva de la interdicción constitucional de la indefensión de las acusaciones, tampoco cabe aceptar que este juicio de proporcionalidad hubiera sido un obstáculo para que, una vez apreciada la vulneración del art. 24.1 CE, su restauración hubiera posibilitado la anulación de la sentencia de conformidad y la retroacción de actuaciones para permitir al demandante participar en el procedimiento penal en defensa de sus pretensiones penales y civiles.</w:t>
      </w:r>
    </w:p>
    <w:p w14:paraId="6E3DD7F8" w14:textId="77777777" w:rsidR="003754FE" w:rsidRDefault="003754FE" w:rsidP="003754FE">
      <w:pPr>
        <w:pStyle w:val="TextoNormal"/>
      </w:pPr>
    </w:p>
    <w:p w14:paraId="3D5D914B" w14:textId="7A11AF62" w:rsidR="003754FE" w:rsidRDefault="003754FE" w:rsidP="003754FE">
      <w:pPr>
        <w:pStyle w:val="TextoNormal"/>
      </w:pPr>
      <w:r>
        <w:t>En definitiva, por las razones expuestas, el Tribunal concluye que debe estimarse el presente recurso de amparo al apreciar que se ha vulnerado el derecho a la tutela judicial efectiva sin indefensión del demandante, pues ha quedado acreditado que en la vía judicial previa (i) se ha producido la infracción de la normativa procesal relativa al régimen de comunicaciones con las acusaciones, (ii) esa infracción le ha causado una indefensión material, al impedirle comparecer en el proceso penal para defender eventuales pretensiones penales y civiles que han quedado imprejuzgadas por no haber sido tampoco ejercidas por el Ministerio Fiscal; y (iii) esa indefensión no puede ser imputada a su voluntad o falta de diligencia. Cuestión distinta es la existencia de argumentos constitucionales, ajenos al juicio de proporcionalidad utilizado en el auto impugnado, pero vinculados al estricto objetivo de restablecimiento del derecho fundamental del demandante, que, como se exponen en el fundamento jurídico siguiente para establecer el alcance de la estimación de este recurso de amparo, permiten limitar o modular tanto la nulidad de la sentencia de conformidad como el alcance de la retroacción de actuaciones.</w:t>
      </w:r>
    </w:p>
    <w:p w14:paraId="07C5451A" w14:textId="77777777" w:rsidR="003754FE" w:rsidRDefault="003754FE" w:rsidP="003754FE">
      <w:pPr>
        <w:pStyle w:val="TextoNormal"/>
      </w:pPr>
    </w:p>
    <w:p w14:paraId="0276016F" w14:textId="77777777" w:rsidR="003754FE" w:rsidRDefault="003754FE" w:rsidP="003754FE">
      <w:pPr>
        <w:pStyle w:val="TextoNormal"/>
      </w:pPr>
      <w:r w:rsidRPr="003754FE">
        <w:rPr>
          <w:rStyle w:val="NumeroAFNegritaCaracter"/>
        </w:rPr>
        <w:t>4</w:t>
      </w:r>
      <w:r>
        <w:t xml:space="preserve">. </w:t>
      </w:r>
      <w:r w:rsidRPr="003754FE">
        <w:rPr>
          <w:i/>
        </w:rPr>
        <w:t>Alcance de la estimación del amparo</w:t>
      </w:r>
    </w:p>
    <w:p w14:paraId="1D08C650" w14:textId="77777777" w:rsidR="003754FE" w:rsidRDefault="003754FE" w:rsidP="003754FE">
      <w:pPr>
        <w:pStyle w:val="TextoNormal"/>
      </w:pPr>
    </w:p>
    <w:p w14:paraId="7CCA52D5" w14:textId="77777777" w:rsidR="003754FE" w:rsidRDefault="003754FE" w:rsidP="003754FE">
      <w:pPr>
        <w:pStyle w:val="TextoNormal"/>
      </w:pPr>
      <w:r>
        <w:t>a) El restablecimiento del derecho fundamental del demandante a la tutela judicial efectiva sin indefensión (art. 24.1 CE) no determina la anulación de la sentencia condenatoria núm. 72/2022, de 2 de marzo, del Juzgado de lo Penal núm. 11 de Sevilla, ni de la ejecutoria a la que ha dado lugar, atendidas las siguientes razones:</w:t>
      </w:r>
    </w:p>
    <w:p w14:paraId="2E72B304" w14:textId="77777777" w:rsidR="003754FE" w:rsidRDefault="003754FE" w:rsidP="003754FE">
      <w:pPr>
        <w:pStyle w:val="TextoNormal"/>
      </w:pPr>
    </w:p>
    <w:p w14:paraId="6C05D455" w14:textId="77777777" w:rsidR="003754FE" w:rsidRDefault="003754FE" w:rsidP="003754FE">
      <w:pPr>
        <w:pStyle w:val="TextoNormal"/>
      </w:pPr>
      <w:r>
        <w:lastRenderedPageBreak/>
        <w:t>(i) La anulación de dicha sentencia, dictada previa conformidad del acusado, no determina ningún efecto restaurativo para el derecho vulnerado del demandante y sí es susceptible de causar perjuicios a terceros, singularmente al propio acusado, las otras dos acusaciones particulares personadas e incluso el resto de las víctimas de la conducta enjuiciada que, sin haber sido parte como acusaciones particulares, obtuvieron una respuesta judicial sobre el ejercicio de las acciones penales y civiles que, en su favor, articuló el Ministerio Fiscal.</w:t>
      </w:r>
    </w:p>
    <w:p w14:paraId="0F3BB834" w14:textId="77777777" w:rsidR="003754FE" w:rsidRDefault="003754FE" w:rsidP="003754FE">
      <w:pPr>
        <w:pStyle w:val="TextoNormal"/>
      </w:pPr>
    </w:p>
    <w:p w14:paraId="7ACF475C" w14:textId="77777777" w:rsidR="003754FE" w:rsidRDefault="003754FE" w:rsidP="003754FE">
      <w:pPr>
        <w:pStyle w:val="TextoNormal"/>
      </w:pPr>
      <w:r>
        <w:t>(ii) No hay necesidad de anular ningún pronunciamiento judicial contenido en dicha sentencia debido a su falta de conexión con la vulneración constitucional sufrida por el demandante, en la medida en que la indefensión material que se le ha causado tiene como único efecto haber dejado imprejuzgada cualquier posible pretensión penal o civil a ejercitar por el demandante en defensa de sus intereses.</w:t>
      </w:r>
    </w:p>
    <w:p w14:paraId="57E8B203" w14:textId="77777777" w:rsidR="003754FE" w:rsidRDefault="003754FE" w:rsidP="003754FE">
      <w:pPr>
        <w:pStyle w:val="TextoNormal"/>
      </w:pPr>
    </w:p>
    <w:p w14:paraId="723B060D" w14:textId="77777777" w:rsidR="003754FE" w:rsidRDefault="003754FE" w:rsidP="003754FE">
      <w:pPr>
        <w:pStyle w:val="TextoNormal"/>
      </w:pPr>
      <w:r>
        <w:t xml:space="preserve">(iii) La circunstancia de que demandante de amparo pierda la oportunidad de alegar y sustentar pretensión alguna en este procedimiento en relación con la totalidad de los hechos imputados al acusado, como si hicieron el resto de las acusaciones particulares, aunque no existiera ninguna vinculación directa con su condición de víctimas, no resulta de relevancia para propiciar la nulidad de la sentencia enjuiciada. Esta posibilidad de las acusaciones particulares, derivada de la acumulación de acciones o del mantenimiento de la continencia de la causa, responde a criterios de eficiencia o armonía procesal, pero no es una imposición jurídica conectada con exigencias o garantías constitucionales. De ese modo, el restablecimiento del derecho del demandante a no sufrir indefensión en el ejercicio de la acción penal no impone la posibilidad o necesidad de participar de manera incondicionada en el ejercicio del </w:t>
      </w:r>
      <w:r w:rsidRPr="003754FE">
        <w:rPr>
          <w:i/>
        </w:rPr>
        <w:t>ius puniendi</w:t>
      </w:r>
      <w:r>
        <w:t xml:space="preserve"> contra el acusado respecto de cualquier conducta desarrollada por este que, por razones de acumulación, hubieran sido enjuiciadas de manera conjunta en un mismo proceso penal con aquellas de las que es víctima. A ese respecto, el Tribunal también ha de tomar en consideración que, en el suplico del escrito por el que promovió el incidente de nulidad de actuaciones, el demandante anticipó ya que su intención era exclusivamente que se le posibilitara el ejercicio de las acciones penales y civiles que le correspondían en relación con las lesiones que le habían sido causadas, pero no en relación con ninguna otra de las conductas y los resultados por los que el acusado había sido enjuiciado, respecto de las que no manifestaba la intención de desarrollar ninguna pretensión acusatoria.</w:t>
      </w:r>
    </w:p>
    <w:p w14:paraId="6422237F" w14:textId="77777777" w:rsidR="003754FE" w:rsidRDefault="003754FE" w:rsidP="003754FE">
      <w:pPr>
        <w:pStyle w:val="TextoNormal"/>
      </w:pPr>
    </w:p>
    <w:p w14:paraId="44A2B9FA" w14:textId="77777777" w:rsidR="003754FE" w:rsidRDefault="003754FE" w:rsidP="003754FE">
      <w:pPr>
        <w:pStyle w:val="TextoNormal"/>
      </w:pPr>
      <w:r>
        <w:t>b) El Tribunal considera además que, para el restablecimiento del derecho fundamental cuya lesión se declara en este caso, tampoco resulta procedente la anulación del auto impugnado de 19 de enero de 2023 ni la retroacción de actuaciones en favor del demandante dentro del procedimiento judicial para que pueda ejercitar la acción penal y civil en su día formulada.</w:t>
      </w:r>
    </w:p>
    <w:p w14:paraId="018B973C" w14:textId="77777777" w:rsidR="003754FE" w:rsidRDefault="003754FE" w:rsidP="003754FE">
      <w:pPr>
        <w:pStyle w:val="TextoNormal"/>
      </w:pPr>
    </w:p>
    <w:p w14:paraId="35DDEDA2" w14:textId="77777777" w:rsidR="003754FE" w:rsidRDefault="003754FE" w:rsidP="003754FE">
      <w:pPr>
        <w:pStyle w:val="TextoNormal"/>
      </w:pPr>
      <w:r>
        <w:t xml:space="preserve">Como en supuestos anteriores en los que, pese a apreciar la existencia de la vulneración de una de las garantías procesales esenciales de la parte acusadora, hemos excluido como efecto la retroacción de actuaciones (SSTC 23/2016, de 15 de febrero de 2016; 1/2019, de 14 de enero, y 9/2024, de 17 de enero), hemos de tomar en consideración que “la posibilidad de ordenar la retroacción para un nuevo enjuiciamiento requiere, según hemos señalado expresamente, un juicio específico de ponderación (SSTC 311/2006, de 23 de octubre, FJ 6, y 23/2008, de 11 de febrero, FJ 5)”, dado que la reparación ordinaria o común de la lesión de derechos fundamentales procesales, a través de la nulidad con retroacción de actuaciones (reposición en los términos del art. 241 de la Ley Orgánica del Poder Judicial), puede en </w:t>
      </w:r>
      <w:r>
        <w:lastRenderedPageBreak/>
        <w:t>ocasiones entrar en conflicto con otros derechos, bienes y valores también constitucionales y dignos de tutela.</w:t>
      </w:r>
    </w:p>
    <w:p w14:paraId="6DA80EFC" w14:textId="77777777" w:rsidR="003754FE" w:rsidRDefault="003754FE" w:rsidP="003754FE">
      <w:pPr>
        <w:pStyle w:val="TextoNormal"/>
      </w:pPr>
    </w:p>
    <w:p w14:paraId="30438FE3" w14:textId="77777777" w:rsidR="003754FE" w:rsidRDefault="003754FE" w:rsidP="003754FE">
      <w:pPr>
        <w:pStyle w:val="TextoNormal"/>
      </w:pPr>
      <w:r>
        <w:t>En esa medida, cabe recordar, como hicimos en los casos expresados, que “por exigencia derivada de la eficacia propia de tales derechos y valores, así como del valor ‘justicia’ (SSTC 160/1987, de 27 de octubre, FJ 6; 50/1995, de 23 de febrero, FJ 7; 173/1995, de 21 de noviembre, FJ 2), del principio del Estado de Derecho (STC 160/1987, de 27 de octubre, FJ 6), del principio de interdicción de la arbitrariedad de los poderes públicos (SSTC 6/1988, de 21 de enero, FJ 3; 50/1995, de 23 de febrero, FJ 7) o de la dignidad de la persona (STC 160/1987, de 27 de octubre, FJ 6), la solución habrá de adoptarse previa ponderación de los derechos y valores constitucionales en conflicto, con respeto a su contenido, observancia del principio de proporcionalidad, y motivación del juicio de ponderación (SSTC 85/1992, de 8 de junio, FJ 4, y 219/1992, de 3 de diciembre, FJ 2)” [STC 9/2024, de 17 de enero, FJ 4 A) f)].</w:t>
      </w:r>
    </w:p>
    <w:p w14:paraId="675B12E1" w14:textId="77777777" w:rsidR="003754FE" w:rsidRDefault="003754FE" w:rsidP="003754FE">
      <w:pPr>
        <w:pStyle w:val="TextoNormal"/>
      </w:pPr>
    </w:p>
    <w:p w14:paraId="2CAADB57" w14:textId="77777777" w:rsidR="003754FE" w:rsidRDefault="003754FE" w:rsidP="003754FE">
      <w:pPr>
        <w:pStyle w:val="TextoNormal"/>
      </w:pPr>
      <w:r>
        <w:t>La aplicación de la doctrina expuesta al presente supuesto nos lleva a alcanzar las tres siguientes conclusiones:</w:t>
      </w:r>
    </w:p>
    <w:p w14:paraId="62AB1803" w14:textId="77777777" w:rsidR="003754FE" w:rsidRDefault="003754FE" w:rsidP="003754FE">
      <w:pPr>
        <w:pStyle w:val="TextoNormal"/>
      </w:pPr>
    </w:p>
    <w:p w14:paraId="0893E6E4" w14:textId="77777777" w:rsidR="003754FE" w:rsidRDefault="003754FE" w:rsidP="003754FE">
      <w:pPr>
        <w:pStyle w:val="TextoNormal"/>
      </w:pPr>
      <w:r>
        <w:t xml:space="preserve">(i) en cuanto al ejercicio de eventuales acciones penales, incluso limitadas a las lesiones sufridas por el recurrente, hay que tomar en consideración, por un lado, que la exclusiva titularidad del </w:t>
      </w:r>
      <w:r w:rsidRPr="003754FE">
        <w:rPr>
          <w:i/>
        </w:rPr>
        <w:t>ius puniendi</w:t>
      </w:r>
      <w:r>
        <w:t xml:space="preserve"> corresponde al Estado, y el Ministerio Fiscal no ejercitó la acción penal por las lesiones sufridas por el demandante en el momento procesal oportuno, al calificar los hechos enjuiciados y solicitar la apertura del juicio oral; tampoco cabe obviar que la reanudación sin limitación alguna del ejercicio, siquiera parcial, de la acción penal, podría poner en entredicho la conformidad prestada por el acusado con la pretensión de condena ejercitada por el Ministerio Fiscal, en cuanto el contexto procesal le indicaba entonces que, con su aquiescencia se ponía fin al proceso penal;</w:t>
      </w:r>
    </w:p>
    <w:p w14:paraId="7717BCF8" w14:textId="77777777" w:rsidR="003754FE" w:rsidRDefault="003754FE" w:rsidP="003754FE">
      <w:pPr>
        <w:pStyle w:val="TextoNormal"/>
      </w:pPr>
    </w:p>
    <w:p w14:paraId="04A6B734" w14:textId="77777777" w:rsidR="003754FE" w:rsidRDefault="003754FE" w:rsidP="003754FE">
      <w:pPr>
        <w:pStyle w:val="TextoNormal"/>
      </w:pPr>
      <w:r>
        <w:t>(ii) atendida la pena prevista en abstracto para el delito de lesiones que sustenta su pretensión, cabe apreciar que su antijuridicidad, de menor entidad, no se sobrepone al riesgo de perjuicio para el interés general que deriva del desarrollo ya alcanzado por la ejecutoria penal;</w:t>
      </w:r>
    </w:p>
    <w:p w14:paraId="429A4D4D" w14:textId="77777777" w:rsidR="003754FE" w:rsidRDefault="003754FE" w:rsidP="003754FE">
      <w:pPr>
        <w:pStyle w:val="TextoNormal"/>
      </w:pPr>
    </w:p>
    <w:p w14:paraId="29ED35CD" w14:textId="77777777" w:rsidR="003754FE" w:rsidRDefault="003754FE" w:rsidP="003754FE">
      <w:pPr>
        <w:pStyle w:val="TextoNormal"/>
      </w:pPr>
      <w:r>
        <w:t>(iii) por último, en cuanto a la reparación del perjuicio material de las lesiones sufridas, se mantiene por el interesado la posibilidad de sostener esa pretensión en el orden jurisdiccional civil, cuya posibilidad de ejercicio autónomo se computará desde la notificación de esta resolución. Todo ello sin perjuicio de que, con fundamento en la vulneración del derecho fundamental aquí declarado, pueda instarse de la misma manera, si es el caso, una reclamación patrimonial por anormal funcionamiento de la administración de justicia.</w:t>
      </w:r>
    </w:p>
    <w:p w14:paraId="083D72A2" w14:textId="77777777" w:rsidR="003754FE" w:rsidRDefault="003754FE" w:rsidP="003754FE">
      <w:pPr>
        <w:pStyle w:val="TextoNormal"/>
      </w:pPr>
    </w:p>
    <w:p w14:paraId="1E11C620" w14:textId="38637410" w:rsidR="003754FE" w:rsidRDefault="003754FE" w:rsidP="003754FE">
      <w:pPr>
        <w:pStyle w:val="TextoNormal"/>
      </w:pPr>
      <w:r>
        <w:t>En definitiva, el alcance de esta sentencia es puramente declarativo.</w:t>
      </w:r>
    </w:p>
    <w:p w14:paraId="715F33DD" w14:textId="77777777" w:rsidR="003754FE" w:rsidRDefault="003754FE" w:rsidP="003754FE">
      <w:pPr>
        <w:pStyle w:val="TextoNormal"/>
      </w:pPr>
    </w:p>
    <w:p w14:paraId="52456889" w14:textId="77777777" w:rsidR="003754FE" w:rsidRDefault="003754FE" w:rsidP="003754FE">
      <w:pPr>
        <w:pStyle w:val="TextoNormalCentrado"/>
        <w:keepNext/>
      </w:pPr>
      <w:r>
        <w:t>FALLO</w:t>
      </w:r>
    </w:p>
    <w:p w14:paraId="2B47AEEB" w14:textId="780E28F0" w:rsidR="003754FE" w:rsidRDefault="003754FE" w:rsidP="003754FE">
      <w:pPr>
        <w:pStyle w:val="TextoNormalCentrado"/>
        <w:keepNext/>
      </w:pPr>
    </w:p>
    <w:p w14:paraId="78254FB6"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don Álvaro Salinas Cabana y, en su virtud:</w:t>
      </w:r>
    </w:p>
    <w:p w14:paraId="4471D3E6" w14:textId="77777777" w:rsidR="003754FE" w:rsidRDefault="003754FE" w:rsidP="003754FE">
      <w:pPr>
        <w:pStyle w:val="TextoNormal"/>
      </w:pPr>
    </w:p>
    <w:p w14:paraId="4D454940" w14:textId="77777777" w:rsidR="003754FE" w:rsidRDefault="003754FE" w:rsidP="003754FE">
      <w:pPr>
        <w:pStyle w:val="TextoNormal"/>
      </w:pPr>
      <w:r>
        <w:lastRenderedPageBreak/>
        <w:t>1º Declarar que ha sido vulnerado su derecho fundamental a la tutela judicial efectiva con prohibición de indefensión (art. 24.1 CE).</w:t>
      </w:r>
    </w:p>
    <w:p w14:paraId="1339C026" w14:textId="77777777" w:rsidR="003754FE" w:rsidRDefault="003754FE" w:rsidP="003754FE">
      <w:pPr>
        <w:pStyle w:val="TextoNormal"/>
      </w:pPr>
    </w:p>
    <w:p w14:paraId="60CA9433" w14:textId="25F6172D" w:rsidR="003754FE" w:rsidRDefault="003754FE" w:rsidP="003754FE">
      <w:pPr>
        <w:pStyle w:val="TextoNormal"/>
      </w:pPr>
      <w:r>
        <w:t>2º Se mantiene la firmeza y la eficacia de cosa juzgada de la sentencia del Juzgado de lo Penal núm. 11 de Sevilla núm. 72/2022, de 2 de marzo.</w:t>
      </w:r>
    </w:p>
    <w:p w14:paraId="7D8E25C8" w14:textId="77777777" w:rsidR="003754FE" w:rsidRDefault="003754FE" w:rsidP="003754FE">
      <w:pPr>
        <w:pStyle w:val="TextoNormal"/>
      </w:pPr>
    </w:p>
    <w:p w14:paraId="7665D480" w14:textId="77777777" w:rsidR="003754FE" w:rsidRDefault="003754FE" w:rsidP="003754FE">
      <w:pPr>
        <w:pStyle w:val="TextoNormal"/>
      </w:pPr>
      <w:r>
        <w:t>Publíquese esta sentencia en el “Boletín Oficial del Estado”.</w:t>
      </w:r>
    </w:p>
    <w:p w14:paraId="0CC20E1A" w14:textId="77777777" w:rsidR="003754FE" w:rsidRDefault="003754FE" w:rsidP="003754FE">
      <w:pPr>
        <w:pStyle w:val="TextoNormal"/>
      </w:pPr>
      <w:r>
        <w:t>Dada en Madrid, a veintiuno de octubre de dos mil veinticuatro.</w:t>
      </w:r>
    </w:p>
    <w:p w14:paraId="7B637038" w14:textId="3B9636D3" w:rsidR="003754FE" w:rsidRDefault="003754FE" w:rsidP="003754FE">
      <w:pPr>
        <w:pStyle w:val="ParrafoNormal"/>
      </w:pPr>
    </w:p>
    <w:p w14:paraId="5B6F8940" w14:textId="77777777" w:rsidR="003754FE" w:rsidRDefault="003754FE" w:rsidP="003754FE">
      <w:pPr>
        <w:pStyle w:val="TextoNormalNegritaCentrado"/>
        <w:keepNext/>
      </w:pPr>
      <w:r>
        <w:t>Voto Particular discrepante que formula la magistrada doña Concepción Espejel Jorquera a la sentencia de 21 de octubre de 2024 dictada en el recurso de amparo núm. 1573-2023</w:t>
      </w:r>
    </w:p>
    <w:p w14:paraId="1A37243D" w14:textId="50760A22" w:rsidR="003754FE" w:rsidRDefault="003754FE" w:rsidP="003754FE">
      <w:pPr>
        <w:pStyle w:val="TextoNormalNegritaCentrado"/>
        <w:keepNext/>
      </w:pPr>
    </w:p>
    <w:p w14:paraId="6B61D5A6" w14:textId="77777777" w:rsidR="003754FE" w:rsidRDefault="003754FE" w:rsidP="003754FE">
      <w:pPr>
        <w:pStyle w:val="TextoNormal"/>
      </w:pPr>
      <w:r>
        <w:t>En el ejercicio de la facultad conferida en el art. 90.2 de la Ley Orgánica del Tribunal Constitucional, y con el respeto debido a la opinión de los magistrados que han conformado la mayoría de la Sala Primera, formulo el presente voto particular a la sentencia dictada en el mencionado recurso de amparo.</w:t>
      </w:r>
    </w:p>
    <w:p w14:paraId="0C172B45" w14:textId="77777777" w:rsidR="003754FE" w:rsidRDefault="003754FE" w:rsidP="003754FE">
      <w:pPr>
        <w:pStyle w:val="TextoNormal"/>
      </w:pPr>
    </w:p>
    <w:p w14:paraId="3FEB2C88" w14:textId="77777777" w:rsidR="003754FE" w:rsidRDefault="003754FE" w:rsidP="003754FE">
      <w:pPr>
        <w:pStyle w:val="TextoNormal"/>
      </w:pPr>
      <w:r>
        <w:t>Estoy conforme con la estimación del recurso de amparo en cuanto declara la vulneración del derecho fundamental del recurrente a la tutela judicial efectiva sin indefensión (art. 24.1 CE) y mi desacuerdo se centra en lo argumentado en el fundamento jurídico 4, relativo al alcance de la estimación del amparo y, en consecuencia, en el segundo de los pronunciamientos del fallo de la sentencia, donde la Sala acuerda que “[s]e mantiene la firmeza y la eficacia de cosa juzgada de la sentencia del Juzgado de lo Penal núm. 11 de Sevilla núm. 72/2022, de 2 de marzo”.</w:t>
      </w:r>
    </w:p>
    <w:p w14:paraId="0856FA33" w14:textId="77777777" w:rsidR="003754FE" w:rsidRDefault="003754FE" w:rsidP="003754FE">
      <w:pPr>
        <w:pStyle w:val="TextoNormal"/>
      </w:pPr>
    </w:p>
    <w:p w14:paraId="0A09A1BB" w14:textId="77777777" w:rsidR="003754FE" w:rsidRDefault="003754FE" w:rsidP="003754FE">
      <w:pPr>
        <w:pStyle w:val="TextoNormal"/>
      </w:pPr>
      <w:r>
        <w:t>A mi juicio, era posible la plena reparación del derecho fundamental vulnerado en los términos interesados en la demanda de amparo, con la adopción de una solución plenamente ajustada a Derecho que en absoluto habría desbordado los límites del principio de proporcionalidad invocado en la sentencia objeto de mi discrepancia.</w:t>
      </w:r>
    </w:p>
    <w:p w14:paraId="1EEA216B" w14:textId="77777777" w:rsidR="003754FE" w:rsidRDefault="003754FE" w:rsidP="003754FE">
      <w:pPr>
        <w:pStyle w:val="TextoNormal"/>
      </w:pPr>
    </w:p>
    <w:p w14:paraId="69EF4EB4" w14:textId="77777777" w:rsidR="003754FE" w:rsidRDefault="003754FE" w:rsidP="003754FE">
      <w:pPr>
        <w:pStyle w:val="TextoNormal"/>
      </w:pPr>
      <w:r>
        <w:t>En lo relativo a los efectos de la estimación del amparo, considero que la solución más satisfactoria para reparar la indefensión declarada pasa por retrotraer las actuaciones a la fase intermedia del proceso penal, al objeto de dar traslado a la representación procesal del ahora demandante, a fin de que pueda evacuar el trámite de calificación provisional con la presentación de escrito de acusación, limitado en su objeto a las lesiones que afirma haber sido objeto por el acusado, su calificación jurídica, así como la petición de pena y de responsabilidad civil, a la vista de los términos en que se ha pronunciado el recurrente, tanto en el incidente de nulidad de actuaciones dirigido al juez de lo penal, como en la demanda de amparo.</w:t>
      </w:r>
    </w:p>
    <w:p w14:paraId="704AAC38" w14:textId="77777777" w:rsidR="003754FE" w:rsidRDefault="003754FE" w:rsidP="003754FE">
      <w:pPr>
        <w:pStyle w:val="TextoNormal"/>
      </w:pPr>
    </w:p>
    <w:p w14:paraId="628061B7" w14:textId="77777777" w:rsidR="003754FE" w:rsidRDefault="003754FE" w:rsidP="003754FE">
      <w:pPr>
        <w:pStyle w:val="TextoNormal"/>
      </w:pPr>
      <w:r>
        <w:t xml:space="preserve">La retroacción de actuaciones, tal como la entiendo, no habría determinado el efecto indeseable de anulación de la sentencia condenatoria ya dictada, dado que la vulneración generadora de indefensión se cometió con anterioridad y no transmitiría a la sentencia efectos anulatorios, cuya plena validez permanece conforme al principio de conservación de los actos procesales recogido en el art. 243.1 de la Ley Orgánica del Poder Judicial, en estos términos: “La nulidad de un acto no implicará la de los sucesivos que fueren independientes </w:t>
      </w:r>
      <w:r>
        <w:lastRenderedPageBreak/>
        <w:t>de aquel ni la de aquellos cuyo contenido hubiese permanecido invariado aun sin haberse cometido la infracción que dio lugar a la nulidad”.</w:t>
      </w:r>
    </w:p>
    <w:p w14:paraId="75A3979D" w14:textId="77777777" w:rsidR="003754FE" w:rsidRDefault="003754FE" w:rsidP="003754FE">
      <w:pPr>
        <w:pStyle w:val="TextoNormal"/>
      </w:pPr>
    </w:p>
    <w:p w14:paraId="24B26472" w14:textId="77777777" w:rsidR="003754FE" w:rsidRDefault="003754FE" w:rsidP="003754FE">
      <w:pPr>
        <w:pStyle w:val="TextoNormal"/>
      </w:pPr>
      <w:r>
        <w:t>Como reiteradamente declara la sentencia de la que discrepo, las acciones acumuladas, penal y civil, que pretendió ejercitar el demandante de amparo quedaron imprejuzgadas en el proceso penal, pues no fueron objeto de la sentencia de conformidad que se dictó. Esto significa que la retroacción de actuaciones en nada afectaría a la sentencia dictada, que mantendría los efectos de cosa juzgada material que le son propios, ni tampoco, por la misma razón, a la ejecutoria dimanante de aquella.</w:t>
      </w:r>
    </w:p>
    <w:p w14:paraId="0269B36D" w14:textId="77777777" w:rsidR="003754FE" w:rsidRDefault="003754FE" w:rsidP="003754FE">
      <w:pPr>
        <w:pStyle w:val="TextoNormal"/>
      </w:pPr>
    </w:p>
    <w:p w14:paraId="462F477D" w14:textId="77777777" w:rsidR="003754FE" w:rsidRDefault="003754FE" w:rsidP="003754FE">
      <w:pPr>
        <w:pStyle w:val="TextoNormal"/>
      </w:pPr>
      <w:r>
        <w:t>Como la acción acusatoria que pretende ejercitar el demandante no coincide con el objeto de la sentencia, los hechos punibles objeto de acusación se limitarían exclusivamente a las lesiones que el demandante afirma haber sufrido, y lo mismo ocurre con su calificación jurídica —al tener entidad propia respecto a los demás hechos objeto de la sentencia— y, finalmente, con la pretensión del ahora demandante, que se ceñiría exclusivamente, de continuar en los términos que ha postulado hasta ahora, a la condena penal por un delito leve de lesiones y a la responsabilidad civil derivada del mismo. A esto, y no a otra cosa, se ceñiría exclusivamente la eventual sentencia que se dictara una ver retrotraídas las actuaciones al momento de la calificación provisional, para que el demandante pudiera formular acusación respecto a estos hechos y se celebrara el juicio oral con ese objeto.</w:t>
      </w:r>
    </w:p>
    <w:p w14:paraId="2422A74D" w14:textId="77777777" w:rsidR="003754FE" w:rsidRDefault="003754FE" w:rsidP="003754FE">
      <w:pPr>
        <w:pStyle w:val="TextoNormal"/>
      </w:pPr>
    </w:p>
    <w:p w14:paraId="5F4996CD" w14:textId="77777777" w:rsidR="003754FE" w:rsidRDefault="003754FE" w:rsidP="003754FE">
      <w:pPr>
        <w:pStyle w:val="TextoNormal"/>
      </w:pPr>
      <w:r>
        <w:t>En consecuencia, perdurarían los efectos de cosa juzgada material de la sentencia firme dictada de conformidad: tanto el efecto negativo, pues el acusado no volvería a ser juzgado ni condenado por los delitos por los que ya lo fue en su momento por sentencia firme; como el efecto positivo, dado que el nuevo juicio que se celebrase para enjuiciar la pretensión del recurrente en amparo y ulterior sentencia, tendrían necesariamente que tener por ciertos los hechos ya declarados probados, ninguno de ellos, por cierto, relativos a las acciones civil y penal que ha pretendido ejercer el demandante de amparo. Con otras palabras, el juicio quedaría reducido a las lesiones que el recurrente afirma haber sufrido por parte del acusado y a sus efectos penales y civiles.</w:t>
      </w:r>
    </w:p>
    <w:p w14:paraId="053983E5" w14:textId="77777777" w:rsidR="003754FE" w:rsidRDefault="003754FE" w:rsidP="003754FE">
      <w:pPr>
        <w:pStyle w:val="TextoNormal"/>
      </w:pPr>
    </w:p>
    <w:p w14:paraId="45BA2656" w14:textId="77777777" w:rsidR="003754FE" w:rsidRDefault="003754FE" w:rsidP="003754FE">
      <w:pPr>
        <w:pStyle w:val="TextoNormal"/>
      </w:pPr>
      <w:r>
        <w:t xml:space="preserve">Este efecto que sostengo de la estimación de la demanda de amparo no resultaría en absoluto desproporcionado, porque carece de consecuencia anulatoria alguna para la sentencia firme ya dictada. Por el contrario, sí estimo desproporcionado derivar al demandante a un proceso civil para ejercitar una acción de responsabilidad extracontractual por las lesiones que dice haber sufrido, tal como le ofrece la sentencia en el fundamento jurídico 4 b) (iii), solución esta que, además, determina que el Estado no llegue a ejercer el </w:t>
      </w:r>
      <w:r w:rsidRPr="003754FE">
        <w:rPr>
          <w:i/>
        </w:rPr>
        <w:t>ius puniendi</w:t>
      </w:r>
      <w:r>
        <w:t xml:space="preserve">, del que es exclusivo titular, con ocasión del ejercicio del </w:t>
      </w:r>
      <w:r w:rsidRPr="003754FE">
        <w:rPr>
          <w:i/>
        </w:rPr>
        <w:t>ius ut procedatur</w:t>
      </w:r>
      <w:r>
        <w:t xml:space="preserve"> del que ha sido privado el demandante, según le ha reconocido la sentencia de la que discrepo y que comparto en este punto.</w:t>
      </w:r>
    </w:p>
    <w:p w14:paraId="4CCFF4C0" w14:textId="77777777" w:rsidR="003754FE" w:rsidRDefault="003754FE" w:rsidP="003754FE">
      <w:pPr>
        <w:pStyle w:val="TextoNormal"/>
      </w:pPr>
    </w:p>
    <w:p w14:paraId="25526646" w14:textId="77777777" w:rsidR="003754FE" w:rsidRDefault="003754FE" w:rsidP="003754FE">
      <w:pPr>
        <w:pStyle w:val="TextoNormal"/>
      </w:pPr>
      <w:r>
        <w:t xml:space="preserve">En definitiva, la solución mero-declarativa de la sentencia no repara </w:t>
      </w:r>
      <w:r w:rsidRPr="003754FE">
        <w:rPr>
          <w:i/>
        </w:rPr>
        <w:t>in natura</w:t>
      </w:r>
      <w:r>
        <w:t>, pudiendo hacerlo, la lesión previamente declarada del derecho fundamental del recurrente.</w:t>
      </w:r>
    </w:p>
    <w:p w14:paraId="21D8AF27" w14:textId="77777777" w:rsidR="003754FE" w:rsidRDefault="003754FE" w:rsidP="003754FE">
      <w:pPr>
        <w:pStyle w:val="TextoNormal"/>
      </w:pPr>
    </w:p>
    <w:p w14:paraId="50E0BA34" w14:textId="77777777" w:rsidR="003754FE" w:rsidRDefault="003754FE" w:rsidP="003754FE">
      <w:pPr>
        <w:pStyle w:val="TextoNormal"/>
      </w:pPr>
      <w:r>
        <w:t>Por lo expuesto, formulo el presente voto particular.</w:t>
      </w:r>
    </w:p>
    <w:p w14:paraId="34E67186" w14:textId="77777777" w:rsidR="003754FE" w:rsidRDefault="003754FE" w:rsidP="003754FE">
      <w:pPr>
        <w:pStyle w:val="TextoNormal"/>
      </w:pPr>
    </w:p>
    <w:p w14:paraId="19F12DD5" w14:textId="079DFC32" w:rsidR="003754FE" w:rsidRDefault="003754FE" w:rsidP="003754FE">
      <w:pPr>
        <w:pStyle w:val="TextoNormal"/>
      </w:pPr>
      <w:r>
        <w:t>Madrid, a veintiuno de octubre de dos mil veinticuatro.</w:t>
      </w:r>
    </w:p>
    <w:p w14:paraId="1544F252" w14:textId="77777777" w:rsidR="003754FE" w:rsidRDefault="003754FE" w:rsidP="003754FE">
      <w:pPr>
        <w:pStyle w:val="TextoNormal"/>
      </w:pPr>
    </w:p>
    <w:p w14:paraId="427069A0" w14:textId="77777777" w:rsidR="003754FE" w:rsidRDefault="003754FE" w:rsidP="003754FE">
      <w:pPr>
        <w:pStyle w:val="TextoNormalNegritaCentrado"/>
        <w:keepNext/>
      </w:pPr>
      <w:r>
        <w:lastRenderedPageBreak/>
        <w:t>Voto particular discrepante que formula el magistrado don José María Macías Castaño a la sentencia dictada en el recurso de amparo núm. 1573-2023</w:t>
      </w:r>
    </w:p>
    <w:p w14:paraId="4F48BB9A" w14:textId="3451D54B" w:rsidR="003754FE" w:rsidRDefault="003754FE" w:rsidP="003754FE">
      <w:pPr>
        <w:pStyle w:val="TextoNormalNegritaCentrado"/>
        <w:keepNext/>
      </w:pPr>
    </w:p>
    <w:p w14:paraId="2E5672A6" w14:textId="77777777" w:rsidR="003754FE" w:rsidRDefault="003754FE" w:rsidP="003754FE">
      <w:pPr>
        <w:pStyle w:val="TextoNormal"/>
      </w:pPr>
      <w:r>
        <w:t>De conformidad con lo dispuesto en el art. 90.2 LOTC, y sin perjuicio del respeto al criterio asumido por la mayoría de la Sala, expreso mi disconformidad con el sentido de la sentencia a que se refiere este voto particular, por las razones que seguidamente expongo, que debieron determinar que su fallo tuviera un contenido diferente en cuanto a las consecuencias que debían resultar del otorgamiento del amparo a fin de reponer en su integridad el derecho fundamental vulnerado y proporcionar la debida protección a la presunta víctima de un delito.</w:t>
      </w:r>
    </w:p>
    <w:p w14:paraId="5332F3B3" w14:textId="77777777" w:rsidR="003754FE" w:rsidRDefault="003754FE" w:rsidP="003754FE">
      <w:pPr>
        <w:pStyle w:val="TextoNormal"/>
      </w:pPr>
    </w:p>
    <w:p w14:paraId="1A509445" w14:textId="77777777" w:rsidR="003754FE" w:rsidRDefault="003754FE" w:rsidP="003754FE">
      <w:pPr>
        <w:pStyle w:val="TextoNormal"/>
      </w:pPr>
      <w:r>
        <w:t>I</w:t>
      </w:r>
    </w:p>
    <w:p w14:paraId="73365D20" w14:textId="77777777" w:rsidR="003754FE" w:rsidRDefault="003754FE" w:rsidP="003754FE">
      <w:pPr>
        <w:pStyle w:val="TextoNormal"/>
      </w:pPr>
    </w:p>
    <w:p w14:paraId="7A57A39B" w14:textId="77777777" w:rsidR="003754FE" w:rsidRDefault="003754FE" w:rsidP="003754FE">
      <w:pPr>
        <w:pStyle w:val="TextoNormal"/>
      </w:pPr>
      <w:r>
        <w:t>1. Los hechos que tiene en consideración la sentencia de este tribunal, en lo que resultan de interés para el presente amparo, pueden expresarse de manera sintética: el 18 de noviembre de 2021, don D.P.D., acometió a diversos agentes de policía en el curso de una persecución tras la comisión de un delito contra la propiedad, ocasionándoles lesiones.</w:t>
      </w:r>
    </w:p>
    <w:p w14:paraId="34E3992B" w14:textId="77777777" w:rsidR="003754FE" w:rsidRDefault="003754FE" w:rsidP="003754FE">
      <w:pPr>
        <w:pStyle w:val="TextoNormal"/>
      </w:pPr>
    </w:p>
    <w:p w14:paraId="1949CA4B" w14:textId="77777777" w:rsidR="003754FE" w:rsidRDefault="003754FE" w:rsidP="003754FE">
      <w:pPr>
        <w:pStyle w:val="TextoNormal"/>
      </w:pPr>
      <w:r>
        <w:t>2. Don D.P.D., fue condenado por estos hechos por un juzgado de lo penal después de haber prestado conformidad. La condena lo fue, entre otros, por delito de atentado a agentes de la autoridad y diversos delitos de lesiones leves. Entre los policías presuntamente lesionados (y seguidamente se entenderá por qué, pese a la condena, sigue siendo una presunta víctima) se encontraba el agente de policía don A.S.C., recurrente en amparo. Don A.S.C., se había personado en el procedimiento oportunamente como presunta víctima de un delito de lesiones leves y se le había tenido por parte, sin embargo, no se entendieron con él las actuaciones procesales, ni se le dio oportunidad de formular escrito de acusación, ni se le convocó al juicio, ni se ejercieron por él las oportunas acciones por parte del Ministerio Fiscal.</w:t>
      </w:r>
    </w:p>
    <w:p w14:paraId="1023FFFD" w14:textId="77777777" w:rsidR="003754FE" w:rsidRDefault="003754FE" w:rsidP="003754FE">
      <w:pPr>
        <w:pStyle w:val="TextoNormal"/>
      </w:pPr>
    </w:p>
    <w:p w14:paraId="27C14B03" w14:textId="77777777" w:rsidR="003754FE" w:rsidRDefault="003754FE" w:rsidP="003754FE">
      <w:pPr>
        <w:pStyle w:val="TextoNormal"/>
      </w:pPr>
      <w:r>
        <w:t>3. La sentencia de este tribunal de la que discrepo afirma en su antecedente segundo, apartado d), que “</w:t>
      </w:r>
      <w:r w:rsidRPr="003754FE">
        <w:rPr>
          <w:i/>
        </w:rPr>
        <w:t>Ni en la relación de hechos ni en el fallo</w:t>
      </w:r>
      <w:r>
        <w:t xml:space="preserve"> (de la sentencia del juzgado) aparece referencia alguna a una eventual responsabilidad penal o civil respecto de las lesiones padecidas por el demandante”. Una vez que don A.S.C., tuvo conocimiento de la celebración del juicio sin su convocatoria, planteó incidente de nulidad contra la sentencia del juzgado, que fue rechazado mediante auto.</w:t>
      </w:r>
    </w:p>
    <w:p w14:paraId="454C8F48" w14:textId="77777777" w:rsidR="003754FE" w:rsidRDefault="003754FE" w:rsidP="003754FE">
      <w:pPr>
        <w:pStyle w:val="TextoNormal"/>
      </w:pPr>
    </w:p>
    <w:p w14:paraId="496FB300" w14:textId="77777777" w:rsidR="003754FE" w:rsidRDefault="003754FE" w:rsidP="003754FE">
      <w:pPr>
        <w:pStyle w:val="TextoNormal"/>
      </w:pPr>
      <w:r>
        <w:t>4. Don A.S.C., planteó recurso de amparo, tanto contra la sentencia como contra el auto del juzgado de lo penal. La sentencia de este tribunal de la que discrepo ha considerado que el auto que resolvió el incidente de nulidad ha lesionado el derecho a la tutela judicial efectiva (art. 24.1 CE) de don A.S.C., y así lo declara. Sin embargo, el “restablecimiento” del derecho de don A.S.C., se ha limitado al pronunciamiento de declaración de nulidad, remitiéndole a los procedimientos civiles y de responsabilidad patrimonial por mal funcionamiento de la administración de justicia, en definitiva, a los mismos procedimientos a los que hubiera podido acudir sin necesidad de la intervención de este tribunal.</w:t>
      </w:r>
    </w:p>
    <w:p w14:paraId="06161C28" w14:textId="77777777" w:rsidR="003754FE" w:rsidRDefault="003754FE" w:rsidP="003754FE">
      <w:pPr>
        <w:pStyle w:val="TextoNormal"/>
      </w:pPr>
    </w:p>
    <w:p w14:paraId="34F2A869" w14:textId="77777777" w:rsidR="003754FE" w:rsidRDefault="003754FE" w:rsidP="003754FE">
      <w:pPr>
        <w:pStyle w:val="TextoNormal"/>
      </w:pPr>
      <w:r>
        <w:t>II</w:t>
      </w:r>
    </w:p>
    <w:p w14:paraId="3F556B5B" w14:textId="77777777" w:rsidR="003754FE" w:rsidRDefault="003754FE" w:rsidP="003754FE">
      <w:pPr>
        <w:pStyle w:val="TextoNormal"/>
      </w:pPr>
    </w:p>
    <w:p w14:paraId="35E1FFC4" w14:textId="77777777" w:rsidR="003754FE" w:rsidRDefault="003754FE" w:rsidP="003754FE">
      <w:pPr>
        <w:pStyle w:val="TextoNormal"/>
      </w:pPr>
      <w:r>
        <w:lastRenderedPageBreak/>
        <w:t>5. Comparto con la sentencia de la que discrepo que la actuación del juzgado de lo penal supuso una lesión del art. 24.1 CE y que erró de manera clara cuando pretendió trasladar (de hecho, trasladó) el juicio de ponderación de las consecuencias o alcance de una nulidad de actuaciones a la apreciación de la propia nulidad: una cosa es que concurra una causa de nulidad por violación absoluta y manifiesta de las garantías procesales con evidente indefensión, y en tal caso procede declarar la nulidad sin mayores consideraciones, y otra diferente el alcance o las consecuencias que puedan derivarse de esa nulidad, sin que ambos planos se puedan mezclar, como hizo el juzgado.</w:t>
      </w:r>
    </w:p>
    <w:p w14:paraId="26A382C4" w14:textId="77777777" w:rsidR="003754FE" w:rsidRDefault="003754FE" w:rsidP="003754FE">
      <w:pPr>
        <w:pStyle w:val="TextoNormal"/>
      </w:pPr>
    </w:p>
    <w:p w14:paraId="0ECEB668" w14:textId="77777777" w:rsidR="003754FE" w:rsidRDefault="003754FE" w:rsidP="003754FE">
      <w:pPr>
        <w:pStyle w:val="TextoNormal"/>
      </w:pPr>
      <w:r>
        <w:t>6. Ahora bien, apreciada la lesión del art. 24.1 CE y declarada la nulidad del auto que rechazó apreciar esa lesión, no comparto el alcance de la “protección” dispensada por la sentencia para el restablecimiento del derecho violado, que sencillamente es ninguna. Entiendo por ello que la sentencia de la que discrepo no ha cumplido con la función que le encomienda el art. 94 LOTC para “</w:t>
      </w:r>
      <w:r w:rsidRPr="003754FE">
        <w:rPr>
          <w:i/>
        </w:rPr>
        <w:t>preservar o restablecer</w:t>
      </w:r>
      <w:r>
        <w:t>” los derechos o libertados violados, y que el alcance del fallo no satisface la previsión del art. 95 c) LOTC para el “restablecimiento del recurrente en la integridad de su derecho o libertad con la adopción de las medidas apropiadas, en su caso, para su conservación”, pese a que podía hacerse, algo que considero tanto más necesario cuanto que las consecuencias de la violación se proyectan, no sobre cualquier titular de un derecho, sino concretamente sobre la presunta víctima de un delito.</w:t>
      </w:r>
    </w:p>
    <w:p w14:paraId="2BD8B7EE" w14:textId="77777777" w:rsidR="003754FE" w:rsidRDefault="003754FE" w:rsidP="003754FE">
      <w:pPr>
        <w:pStyle w:val="TextoNormal"/>
      </w:pPr>
    </w:p>
    <w:p w14:paraId="6AEDA1E3" w14:textId="77777777" w:rsidR="003754FE" w:rsidRDefault="003754FE" w:rsidP="003754FE">
      <w:pPr>
        <w:pStyle w:val="TextoNormal"/>
      </w:pPr>
      <w:r>
        <w:t>7. En primer lugar, entiendo que podía hacerse porque la sentencia del juzgado de lo penal abordó la relación de los delitos cometidos por don D.P.D., como un concurso real, calificación que viene dada y de la que este tribunal no puede salirse, lo que si bien posibilita su enjuiciamiento conjunto por conexidad, no impide su enjuiciamiento separado si uno de los hechos no ha sido incorporado a la acusación ni, por ello, conocido y sentenciado, y en este punto, la sentencia de este tribunal de la que discrepo es explícita: ni el hecho de la presunta lesión ocasionada a don A.S.C., se contiene en la sentencia del juzgado de lo penal ni las acciones relacionadas con ese hecho (ya sean penales o civiles) han sido ejercidas en el procedimiento.</w:t>
      </w:r>
    </w:p>
    <w:p w14:paraId="7643D152" w14:textId="77777777" w:rsidR="003754FE" w:rsidRDefault="003754FE" w:rsidP="003754FE">
      <w:pPr>
        <w:pStyle w:val="TextoNormal"/>
      </w:pPr>
    </w:p>
    <w:p w14:paraId="38AA4A6B" w14:textId="77777777" w:rsidR="003754FE" w:rsidRDefault="003754FE" w:rsidP="003754FE">
      <w:pPr>
        <w:pStyle w:val="TextoNormal"/>
      </w:pPr>
      <w:r>
        <w:t xml:space="preserve">8. Entiendo, por ello, que la solución proporcionada hubiera pasado, como se ha hecho, por mantener la sentencia ya dictada en conformidad, pero posibilitar al mismo tiempo una retroacción parcial para que don A.S.C., pudiese formulase acusación para el enjuiciamiento del hecho y la acción de los que no se conoció en el juicio. Entiendo que ello es posible, como ya he dicho, porque la calificación de la conexión entre los distintos delitos ha sido de concurso real, con las consecuencias que ello lleva aparejadas y a las que me he referido; porque precisamente por ello y por la circunstancia de que “el hecho” que atañe a las lesiones padecidas por don A.S.C., no se han conocido en juicio es por lo que no cabe considerar que se produciría una situación de </w:t>
      </w:r>
      <w:r w:rsidRPr="003754FE">
        <w:rPr>
          <w:i/>
        </w:rPr>
        <w:t>bis in idem</w:t>
      </w:r>
      <w:r>
        <w:t xml:space="preserve"> procesal; porque no hacerlo así no es que no “restablezca la integridad del derecho del recurrente”, sino que no lo restablece en absoluto; porque desde la perspectiva de las consecuencias penales ello no implicaría mayor perjuicio al condenado conforme a la regla penológica de limitación de duración de las penas privativas de libertad del art. 76.1 del Código penal; y porque la solución proporcionada (remitir al recurrente a nuevos procedimientos a los que hubiera podido acudir sin necesidad de recabar el amparo de este tribunal) implica una no-solución por su desproporción, que no hace otra cosa que añadir nuevos perjuicios a la víctima de una delito con la que, </w:t>
      </w:r>
      <w:r>
        <w:lastRenderedPageBreak/>
        <w:t>precisamente por esa circunstancia (ser la víctima de un delito), este tribunal hubiera debido mostrarse especialmente sensible, y no todo lo contrario.</w:t>
      </w:r>
    </w:p>
    <w:p w14:paraId="28F01E28" w14:textId="77777777" w:rsidR="003754FE" w:rsidRDefault="003754FE" w:rsidP="003754FE">
      <w:pPr>
        <w:pStyle w:val="TextoNormal"/>
      </w:pPr>
    </w:p>
    <w:p w14:paraId="3CF4D485" w14:textId="0555C65E" w:rsidR="003754FE" w:rsidRDefault="003754FE" w:rsidP="003754FE">
      <w:pPr>
        <w:pStyle w:val="TextoNormal"/>
      </w:pPr>
      <w:r>
        <w:t>Madrid, a veintitrés de octubre de dos mil veinticuatro.</w:t>
      </w:r>
    </w:p>
    <w:p w14:paraId="29539CC9" w14:textId="07B28817" w:rsidR="003754FE" w:rsidRDefault="003754FE">
      <w:pPr>
        <w:spacing w:after="160" w:line="278" w:lineRule="auto"/>
        <w:rPr>
          <w:rFonts w:ascii="Times New Roman" w:eastAsia="Times New Roman" w:hAnsi="Times New Roman" w:cs="Times New Roman"/>
          <w:sz w:val="24"/>
          <w:szCs w:val="24"/>
          <w:lang w:eastAsia="es-ES"/>
        </w:rPr>
      </w:pPr>
      <w:r>
        <w:br w:type="page"/>
      </w:r>
    </w:p>
    <w:p w14:paraId="4C520609" w14:textId="77777777" w:rsidR="003754FE" w:rsidRDefault="003754FE" w:rsidP="003754FE">
      <w:pPr>
        <w:pStyle w:val="TtuloResolucin"/>
      </w:pPr>
      <w:bookmarkStart w:id="33" w:name="SENTENCIA_2024_124"/>
      <w:r>
        <w:lastRenderedPageBreak/>
        <w:t>SENTENCIA 124/2024, de 21 de octubre de 2024</w:t>
      </w:r>
    </w:p>
    <w:bookmarkEnd w:id="33"/>
    <w:p w14:paraId="2EF44BFC" w14:textId="77777777" w:rsidR="003754FE" w:rsidRDefault="003754FE" w:rsidP="003754FE">
      <w:pPr>
        <w:pStyle w:val="TtuloResolucin"/>
      </w:pPr>
      <w:r>
        <w:t>Sala Segunda</w:t>
      </w:r>
    </w:p>
    <w:p w14:paraId="23BE6779" w14:textId="77777777" w:rsidR="003754FE" w:rsidRDefault="003754FE" w:rsidP="003754FE">
      <w:pPr>
        <w:pStyle w:val="TtuloBOE"/>
      </w:pPr>
      <w:r>
        <w:t>(BOE núm. 286, de 27 de noviembre de 2024)</w:t>
      </w:r>
    </w:p>
    <w:p w14:paraId="6479F833" w14:textId="77777777" w:rsidR="003754FE" w:rsidRDefault="003754FE" w:rsidP="003754FE">
      <w:pPr>
        <w:pStyle w:val="TextoNormalCentrado"/>
      </w:pPr>
      <w:r>
        <w:t>ECLI:ES:TC:2024:124</w:t>
      </w:r>
    </w:p>
    <w:p w14:paraId="049B3273" w14:textId="50EB0DB7" w:rsidR="003754FE" w:rsidRDefault="003754FE" w:rsidP="003754FE">
      <w:pPr>
        <w:pStyle w:val="TextoNormalCentrado"/>
      </w:pPr>
    </w:p>
    <w:p w14:paraId="5A5CB278" w14:textId="77777777" w:rsidR="003754FE" w:rsidRDefault="003754FE" w:rsidP="003754FE">
      <w:pPr>
        <w:pStyle w:val="SntesisDescriptiva"/>
      </w:pPr>
      <w:r>
        <w:t>Recurso de amparo 2799-2023. Promovido por don Anass Touil respecto de las resoluciones dictadas por la Audiencia Provincial de Palma de Mallorca y un juzgado de lo penal de su capital que autorizaron su expulsión gubernativa.</w:t>
      </w:r>
    </w:p>
    <w:p w14:paraId="0B37D2AB" w14:textId="779997AD" w:rsidR="003754FE" w:rsidRDefault="003754FE" w:rsidP="003754FE">
      <w:pPr>
        <w:pStyle w:val="SntesisDescriptiva"/>
      </w:pPr>
    </w:p>
    <w:p w14:paraId="7D3C37EF" w14:textId="77777777" w:rsidR="003754FE" w:rsidRDefault="003754FE" w:rsidP="003754FE">
      <w:pPr>
        <w:pStyle w:val="SntesisAnaltica"/>
      </w:pPr>
      <w:r>
        <w:t>Vulneración de los derechos a la tutela judicial efectiva, de defensa y a un proceso con todas las garantías: resoluciones judiciales que prescinden materialmente de la garantía de la audiencia. Voto particular.</w:t>
      </w:r>
    </w:p>
    <w:p w14:paraId="090AE23F" w14:textId="0196475C" w:rsidR="003754FE" w:rsidRDefault="003754FE" w:rsidP="003754FE">
      <w:pPr>
        <w:pStyle w:val="SntesisAnaltica"/>
      </w:pPr>
    </w:p>
    <w:p w14:paraId="600776ED" w14:textId="1EBD7301" w:rsidR="003754FE" w:rsidRDefault="003754FE" w:rsidP="003754FE">
      <w:pPr>
        <w:pStyle w:val="Extracto"/>
      </w:pPr>
      <w:r>
        <w:t>1.</w:t>
      </w:r>
      <w:r>
        <w:tab/>
        <w:t>Doctrina constitucional sobre las exigencias de ponderación y audiencia que requiere, no solo la decisión de expulsar a un extranjero -tenga un origen gubernativo o penal-, sino también la autorización por parte del juez penal de una expulsión acordada por la autoridad gubernativa (SSTC 24/2000 o 113/2018) [FJ 2].</w:t>
      </w:r>
    </w:p>
    <w:p w14:paraId="26D93114" w14:textId="77777777" w:rsidR="003754FE" w:rsidRDefault="003754FE" w:rsidP="003754FE">
      <w:pPr>
        <w:pStyle w:val="Extracto"/>
      </w:pPr>
    </w:p>
    <w:p w14:paraId="2FB22E87" w14:textId="309C8B0D" w:rsidR="003754FE" w:rsidRDefault="003754FE" w:rsidP="003754FE">
      <w:pPr>
        <w:pStyle w:val="Extracto"/>
      </w:pPr>
      <w:r>
        <w:t>2.</w:t>
      </w:r>
      <w:r>
        <w:tab/>
        <w:t>Toda decisión relativa a la expulsión del territorio nacional de un extranjero -sea adoptada por la autoridad gubernativa o por el juez penal, también la autorización por este juez de la ejecución de la expulsión administrativa- incide de forma radical en la situación de la persona y afecta a sus derechos fundamentales, además de concernir a otros intereses constitucionales [FJ 2].</w:t>
      </w:r>
    </w:p>
    <w:p w14:paraId="10E30C90" w14:textId="77777777" w:rsidR="003754FE" w:rsidRDefault="003754FE" w:rsidP="003754FE">
      <w:pPr>
        <w:pStyle w:val="Extracto"/>
      </w:pPr>
    </w:p>
    <w:p w14:paraId="627A62DE" w14:textId="1E609E1A" w:rsidR="003754FE" w:rsidRDefault="003754FE" w:rsidP="003754FE">
      <w:pPr>
        <w:pStyle w:val="Extracto"/>
      </w:pPr>
      <w:r>
        <w:t>3.</w:t>
      </w:r>
      <w:r>
        <w:tab/>
        <w:t xml:space="preserve">Es exigible la audiencia real y efectiva del interesado, aun cuando no exista disposición específica en la ley que la indique (SSTC 242/1994 y 113/2018; ATC 189/2015), con la finalidad de propiciar el debate contradictorio, tanto sobre las razones que abonan la expulsión, como sobre las que avalan la permanencia en España; en particular, las vinculadas al ejercicio del </w:t>
      </w:r>
      <w:r w:rsidRPr="003754FE">
        <w:rPr>
          <w:i/>
        </w:rPr>
        <w:t xml:space="preserve">ius puniendi </w:t>
      </w:r>
      <w:r>
        <w:t>y, en último término, al cumplimiento de una condena [FJ 2].</w:t>
      </w:r>
    </w:p>
    <w:p w14:paraId="785D68FD" w14:textId="77777777" w:rsidR="003754FE" w:rsidRDefault="003754FE" w:rsidP="003754FE">
      <w:pPr>
        <w:pStyle w:val="Extracto"/>
      </w:pPr>
    </w:p>
    <w:p w14:paraId="1893697E" w14:textId="77777777" w:rsidR="003754FE" w:rsidRDefault="003754FE" w:rsidP="003754FE">
      <w:pPr>
        <w:pStyle w:val="Extracto"/>
      </w:pPr>
    </w:p>
    <w:p w14:paraId="10F126A8"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17666CE" w14:textId="3EDF2091" w:rsidR="003754FE" w:rsidRDefault="003754FE" w:rsidP="003754FE">
      <w:pPr>
        <w:pStyle w:val="TextoNormal"/>
      </w:pPr>
    </w:p>
    <w:p w14:paraId="54A18C90" w14:textId="77777777" w:rsidR="003754FE" w:rsidRDefault="003754FE" w:rsidP="003754FE">
      <w:pPr>
        <w:pStyle w:val="TextoNormalCentrado"/>
        <w:keepNext/>
      </w:pPr>
      <w:r>
        <w:t>EN NOMBRE DEL REY</w:t>
      </w:r>
    </w:p>
    <w:p w14:paraId="69A5A732" w14:textId="130C2985" w:rsidR="003754FE" w:rsidRDefault="003754FE" w:rsidP="003754FE">
      <w:pPr>
        <w:pStyle w:val="TextoNormalCentrado"/>
        <w:keepNext/>
      </w:pPr>
    </w:p>
    <w:p w14:paraId="3CCE1AD8" w14:textId="77777777" w:rsidR="003754FE" w:rsidRDefault="003754FE" w:rsidP="003754FE">
      <w:pPr>
        <w:pStyle w:val="TextoNormalCentrado"/>
        <w:keepNext/>
      </w:pPr>
    </w:p>
    <w:p w14:paraId="25265A91" w14:textId="77777777" w:rsidR="003754FE" w:rsidRDefault="003754FE" w:rsidP="003754FE">
      <w:pPr>
        <w:pStyle w:val="TextoNormal"/>
      </w:pPr>
      <w:r>
        <w:t>la siguiente</w:t>
      </w:r>
    </w:p>
    <w:p w14:paraId="7DD2EE09" w14:textId="2002C403" w:rsidR="003754FE" w:rsidRDefault="003754FE" w:rsidP="003754FE">
      <w:pPr>
        <w:pStyle w:val="TextoNormal"/>
      </w:pPr>
    </w:p>
    <w:p w14:paraId="0F7F9048" w14:textId="77777777" w:rsidR="003754FE" w:rsidRDefault="003754FE" w:rsidP="003754FE">
      <w:pPr>
        <w:pStyle w:val="TextoNormalCentrado"/>
        <w:keepNext/>
      </w:pPr>
      <w:r>
        <w:t>SENTENCIA</w:t>
      </w:r>
    </w:p>
    <w:p w14:paraId="15B49614" w14:textId="4BEE4951" w:rsidR="003754FE" w:rsidRDefault="003754FE" w:rsidP="003754FE">
      <w:pPr>
        <w:pStyle w:val="TextoNormalCentrado"/>
        <w:keepNext/>
      </w:pPr>
    </w:p>
    <w:p w14:paraId="14A4ED63" w14:textId="77777777" w:rsidR="003754FE" w:rsidRDefault="003754FE" w:rsidP="003754FE">
      <w:pPr>
        <w:pStyle w:val="TextoNormal"/>
      </w:pPr>
      <w:r>
        <w:t xml:space="preserve">En el recurso de amparo núm. 2799-2023, promovido por don Anass Touil contra el auto de 23 de marzo de 2023, dictado por la Sección Segunda de la Audiencia Provincial de Palma de Mallorca, por el que se desestimó el recurso de apelación interpuesto contra el </w:t>
      </w:r>
      <w:r>
        <w:lastRenderedPageBreak/>
        <w:t>auto de 19 de febrero de 2023, del Juzgado de lo Penal núm. 8 de Palma de Mallorca, también impugnado, por el que se desestimó, a su vez, el recurso de reforma contra la providencia dictada por el mismo órgano en fecha 7 de febrero de 2023, igualmente recurrida, por la que se autorizó la expulsión gubernativa del ahora recurrente en el marco del procedimiento de ejecutoria núm. 3022-2021. Ha intervenido el Ministerio Fiscal. Ha sido ponente el magistrado don Ramón Sáez Valcárcel.</w:t>
      </w:r>
    </w:p>
    <w:p w14:paraId="36D45637" w14:textId="530C299A" w:rsidR="003754FE" w:rsidRDefault="003754FE" w:rsidP="003754FE">
      <w:pPr>
        <w:pStyle w:val="TextoNormal"/>
      </w:pPr>
    </w:p>
    <w:p w14:paraId="776264B4" w14:textId="77777777" w:rsidR="003754FE" w:rsidRDefault="003754FE" w:rsidP="003754FE">
      <w:pPr>
        <w:pStyle w:val="TextoNormalNegritaCentrado"/>
        <w:keepNext/>
      </w:pPr>
      <w:r>
        <w:t>I. Antecedentes</w:t>
      </w:r>
    </w:p>
    <w:p w14:paraId="125DEBCB" w14:textId="382B7CE0" w:rsidR="003754FE" w:rsidRDefault="003754FE" w:rsidP="003754FE">
      <w:pPr>
        <w:pStyle w:val="TextoNormalNegritaCentrado"/>
        <w:keepNext/>
      </w:pPr>
    </w:p>
    <w:p w14:paraId="69256159" w14:textId="4E9458D1" w:rsidR="003754FE" w:rsidRDefault="003754FE" w:rsidP="003754FE">
      <w:pPr>
        <w:pStyle w:val="TextoNormal"/>
      </w:pPr>
      <w:r w:rsidRPr="003754FE">
        <w:rPr>
          <w:rStyle w:val="NumeroAFNegritaCaracter"/>
        </w:rPr>
        <w:t>1</w:t>
      </w:r>
      <w:r>
        <w:t>. Con fecha 27 de abril de 2023 tuvo entrada en el registro general de este Tribunal Constitucional un escrito de la procuradora de los tribunales doña Magdalena Darder Balle, en nombre y representación de don Anass Touil, bajo la dirección letrada de doña María del Carmen Serra Badía, por el que se interpuso recurso de amparo contra las resoluciones ya reseñadas, en las que se acordó y se confirmó la autorización judicial para su expulsión del territorio nacional adoptada por la autoridad gubernativa correspondiente, en su condición de penado en un procedimiento de ejecutoria penal.</w:t>
      </w:r>
    </w:p>
    <w:p w14:paraId="69959607" w14:textId="77777777" w:rsidR="003754FE" w:rsidRDefault="003754FE" w:rsidP="003754FE">
      <w:pPr>
        <w:pStyle w:val="TextoNormal"/>
      </w:pPr>
    </w:p>
    <w:p w14:paraId="6BB9128B" w14:textId="77777777" w:rsidR="003754FE" w:rsidRDefault="003754FE" w:rsidP="003754FE">
      <w:pPr>
        <w:pStyle w:val="TextoNormal"/>
      </w:pPr>
      <w:r w:rsidRPr="003754FE">
        <w:rPr>
          <w:rStyle w:val="NumeroAFNegritaCaracter"/>
        </w:rPr>
        <w:t>2</w:t>
      </w:r>
      <w:r>
        <w:t>. Los hechos con relevancia para la resolución del presente recurso de amparo y a los que se refiere la demanda son los siguientes:</w:t>
      </w:r>
    </w:p>
    <w:p w14:paraId="200FCFF3" w14:textId="77777777" w:rsidR="003754FE" w:rsidRDefault="003754FE" w:rsidP="003754FE">
      <w:pPr>
        <w:pStyle w:val="TextoNormal"/>
      </w:pPr>
    </w:p>
    <w:p w14:paraId="4CE477D5" w14:textId="77777777" w:rsidR="003754FE" w:rsidRDefault="003754FE" w:rsidP="003754FE">
      <w:pPr>
        <w:pStyle w:val="TextoNormal"/>
      </w:pPr>
      <w:r>
        <w:t>a) El ahora recurrente fue condenado en dos sentencias de conformidad de 29 de junio y 30 de noviembre de 2021 que, en lo que ahora interesa, le impusieron, por un lado, una pena de dos años de prisión como autor de un delito de robo con fuerza en las cosas en casa habitada; y, por otro, una pena de seis meses de prisión como autor de un delito de robo con violencia en grado de tentativa. Ambas penas fueron suspendidas en las propias sentencias por tiempo de tres años.</w:t>
      </w:r>
    </w:p>
    <w:p w14:paraId="7212CA30" w14:textId="77777777" w:rsidR="003754FE" w:rsidRDefault="003754FE" w:rsidP="003754FE">
      <w:pPr>
        <w:pStyle w:val="TextoNormal"/>
      </w:pPr>
    </w:p>
    <w:p w14:paraId="77418DBD" w14:textId="77777777" w:rsidR="003754FE" w:rsidRDefault="003754FE" w:rsidP="003754FE">
      <w:pPr>
        <w:pStyle w:val="TextoNormal"/>
      </w:pPr>
      <w:r>
        <w:t>b) En fecha 7 de febrero de 2023, el Juzgado de lo Penal núm. 8 de Palma de Mallorca, como encargado de la ejecución de una de las penas y en el marco del procedimiento de ejecutoria núm. 3022-2021, recibió una solicitud de la Dirección General de la Policía, Jefatura Superior de Policía en Illes Balears formulada por el subgrupo operativo de extranjería de la comisaría local de Manacor, en la que se interesaba la autorización judicial para proceder a la expulsión gubernativa del ahora recurrente, de nacionalidad marroquí, prevista para el día 9 de febrero de 2023.</w:t>
      </w:r>
    </w:p>
    <w:p w14:paraId="526F8E41" w14:textId="77777777" w:rsidR="003754FE" w:rsidRDefault="003754FE" w:rsidP="003754FE">
      <w:pPr>
        <w:pStyle w:val="TextoNormal"/>
      </w:pPr>
    </w:p>
    <w:p w14:paraId="26B74FFA" w14:textId="77777777" w:rsidR="003754FE" w:rsidRDefault="003754FE" w:rsidP="003754FE">
      <w:pPr>
        <w:pStyle w:val="TextoNormal"/>
      </w:pPr>
      <w:r>
        <w:t>La solicitud se basaba en lo dispuesto en el art. 57.7 de la Ley Orgánica 4/2000, de 11 de enero, sobre derechos y libertades de los extranjeros en España y su integración social (LOEx). Según se indicaba en el oficio policial, al ahora recurrente le constaba un decreto de expulsión dictado por la Delegación del Gobierno de Illes Balears, fechado el 2 de agosto de 2022, con número de expediente 070020220009198, con una prohibición de entrada en territorio nacional por un periodo de cinco años. En el oficio también se decía que se adjuntaba el decreto de expulsión que, sin embargo, no consta en las actuaciones.</w:t>
      </w:r>
    </w:p>
    <w:p w14:paraId="1E87D359" w14:textId="77777777" w:rsidR="003754FE" w:rsidRDefault="003754FE" w:rsidP="003754FE">
      <w:pPr>
        <w:pStyle w:val="TextoNormal"/>
      </w:pPr>
    </w:p>
    <w:p w14:paraId="531CDC40" w14:textId="77777777" w:rsidR="003754FE" w:rsidRDefault="003754FE" w:rsidP="003754FE">
      <w:pPr>
        <w:pStyle w:val="TextoNormal"/>
      </w:pPr>
      <w:r>
        <w:t xml:space="preserve">c) Por medio de diligencia de ordenación del mismo día 7 de febrero de 2023, la letrada de la administración de justicia del órgano judicial acordó dar traslado de la solicitud “al Ministerio Fiscal y demás partes personadas para que en el plazo común de una audiencia aleguen lo que a su derecho interesen”. La diligencia fue notificada al Ilustre Colegio de </w:t>
      </w:r>
      <w:r>
        <w:lastRenderedPageBreak/>
        <w:t>Procuradores de las Illes Balears el mismo día 7, a las 12:26 horas, y a la procuradora de la parte a las 15:59 horas.</w:t>
      </w:r>
    </w:p>
    <w:p w14:paraId="7CE977D1" w14:textId="77777777" w:rsidR="003754FE" w:rsidRDefault="003754FE" w:rsidP="003754FE">
      <w:pPr>
        <w:pStyle w:val="TextoNormal"/>
      </w:pPr>
    </w:p>
    <w:p w14:paraId="4BC758DE" w14:textId="77777777" w:rsidR="003754FE" w:rsidRDefault="003754FE" w:rsidP="003754FE">
      <w:pPr>
        <w:pStyle w:val="TextoNormal"/>
      </w:pPr>
      <w:r>
        <w:t xml:space="preserve">d) La representación del ahora recurrente formuló sus alegaciones el día 8 de febrero de 2023, siendo presentadas telemáticamente a las 19:44 horas. En su escrito se oponía a la autorización de la expulsión. A su juicio, la lectura conjunta de los arts. 57.7 LOEx y 247 del Reglamento de la Ley Orgánica 4/2000, sobre derechos y libertades de los extranjeros en España y su integración social, aprobado por el Real Decreto 557/2011, de 20 de abril (en adelante, Real Decreto 557/2011), determinan que el juez ha de autorizar la expulsión salvo que aprecie circunstancias que justifiquen su denegación. Entiende que estas circunstancias han de venir referidas al hecho delictivo y a la condena impuesta, no a las de carácter personal. Se trata de valorar si la jurisdicción española puede o no renunciar al ejercicio del </w:t>
      </w:r>
      <w:r w:rsidRPr="003754FE">
        <w:rPr>
          <w:i/>
        </w:rPr>
        <w:t>ius puniendi</w:t>
      </w:r>
      <w:r>
        <w:t xml:space="preserve"> del Estado. En el caso concreto, según aduce, la expulsión implicaría, en primer lugar, un perjuicio a la víctima, que se vería imposibilitada de recibir el pago de la responsabilidad civil fijada en la sentencia; en segundo lugar, también para el penado, puesto que el incumplimiento de la obligación de abonar la responsabilidad civil —que figuraba expresamente como condición para la suspensión de la ejecución de la pena— implicaría, a su vez, la revocación de la suspensión; y, en tercer lugar, para la administración de justicia, puesto que la expulsión dificultaría su ulterior localización para el cumplimiento de la pena, tras la eventual revocación de la suspensión. Además, el recurrente destacaba que la sentencia no había sustituido la pena por su expulsión y que, en todo caso, la ejecución de la expulsión administrativa podría realizarse en un momento posterior, una vez cumplidas todas las responsabilidades penales. Al margen de lo anterior, el recurrente advertía que no le constaba que se hubiera solicitado la pertinente autorización judicial en el otro procedimiento en el que también estaba condenado, y con obligación de abono de responsabilidad civil en favor de la víctima, lo que implicaría los mismos perjuicios que en el presente caso.</w:t>
      </w:r>
    </w:p>
    <w:p w14:paraId="2A2EE449" w14:textId="77777777" w:rsidR="003754FE" w:rsidRDefault="003754FE" w:rsidP="003754FE">
      <w:pPr>
        <w:pStyle w:val="TextoNormal"/>
      </w:pPr>
    </w:p>
    <w:p w14:paraId="4935FAA9" w14:textId="77777777" w:rsidR="003754FE" w:rsidRDefault="003754FE" w:rsidP="003754FE">
      <w:pPr>
        <w:pStyle w:val="TextoNormal"/>
      </w:pPr>
      <w:r>
        <w:t>e) El Juzgado acordó la autorización de la expulsión en una providencia del mismo día 7 de febrero de 2023. En esta resolución se hizo constar lo siguiente: “Visto el oficio de fecha de hoy del Subgrupo [Operativo] de Extranjería de la Comisaría Local de Manacor, oído el Ministerio Fiscal en informe de hoy que no se opone, se autoriza la expulsión gubernativa […] en esta ejecutoria cuya pena de dos años de prisión está suspendida en sentencia”. Esta providencia fue notificada al Ilustre Colegio de Procuradores de las Illes Balears a las 9:26 horas del día 8 de febrero de 2023, y a la procuradora de la parte a las 14:16 horas.</w:t>
      </w:r>
    </w:p>
    <w:p w14:paraId="7C9E3D96" w14:textId="77777777" w:rsidR="003754FE" w:rsidRDefault="003754FE" w:rsidP="003754FE">
      <w:pPr>
        <w:pStyle w:val="TextoNormal"/>
      </w:pPr>
    </w:p>
    <w:p w14:paraId="58101074" w14:textId="77777777" w:rsidR="003754FE" w:rsidRDefault="003754FE" w:rsidP="003754FE">
      <w:pPr>
        <w:pStyle w:val="TextoNormal"/>
      </w:pPr>
      <w:r>
        <w:t xml:space="preserve">f) El mismo día 8 de febrero de 2023, a las 21:57 horas, la defensa del ahora demandante de amparo interpuso recurso de reforma contra la citada providencia. En lo que ahora interesa, en el recurso se alegó la vulneración de los derechos a la defensa, a la tutela judicial efectiva y a un proceso con todas las garantías. El grueso de la argumentación se centraba en una idea principal: que el juzgado había autorizado la expulsión antes de que la defensa hubiera presentado sus alegaciones y, por lo tanto, sin tenerlas en cuenta, con manifiesta indefensión. La defensa consideraba que había presentado las alegaciones en plazo, puesto que incluso podría haberlas presentado el mismo día 9 de febrero, según la normativa sobre Lexnet; y que la celeridad no estaba justificada por la fecha prevista para la ejecución de la expulsión, dado que, de un lado, se han de respetar en todo caso los plazos concedidos para alegaciones y, de otro, la expulsión se podría haber ejecutado en un momento posterior. El resto del recurso reiteraba el contenido del escrito de alegaciones presentado con anterioridad, a fin de que se pudieran valorar las circunstancias invocadas en el momento de </w:t>
      </w:r>
      <w:r>
        <w:lastRenderedPageBreak/>
        <w:t>resolverse la impugnación. Se interesaba expresamente la suspensión de la ejecución de la providencia impugnada.</w:t>
      </w:r>
    </w:p>
    <w:p w14:paraId="64D7B146" w14:textId="77777777" w:rsidR="003754FE" w:rsidRDefault="003754FE" w:rsidP="003754FE">
      <w:pPr>
        <w:pStyle w:val="TextoNormal"/>
      </w:pPr>
    </w:p>
    <w:p w14:paraId="05B5DD44" w14:textId="77777777" w:rsidR="003754FE" w:rsidRDefault="003754FE" w:rsidP="003754FE">
      <w:pPr>
        <w:pStyle w:val="TextoNormal"/>
      </w:pPr>
      <w:r>
        <w:t>g) El recurso de reforma fue desestimado por auto de 19 de febrero de 2023 del Juzgado de lo Penal núm. 8 de Palma de Mallorca. Señala, en primer lugar, que la celeridad de la decisión adoptada estaba justificada por tratarse de una expulsión gubernativa (art. 57.7 LOEx), no judicial; en segundo lugar, que la diligencia de 7 de febrero de 2023 concedió un plazo para alegaciones que no estaba previsto legalmente, ya que el art. 57.7 LOEx solo exige la audiencia al Ministerio Fiscal, que fue evacuada el mismo día; en tercer lugar, que la pena de prisión estaba suspendida, por lo que la denegación de la autorización estaría inmotivada; y, en cuarto lugar, que como la expulsión fue materializada el 9 de febrero de 2023, el recurso carecía de objeto.</w:t>
      </w:r>
    </w:p>
    <w:p w14:paraId="7A8C36C0" w14:textId="77777777" w:rsidR="003754FE" w:rsidRDefault="003754FE" w:rsidP="003754FE">
      <w:pPr>
        <w:pStyle w:val="TextoNormal"/>
      </w:pPr>
    </w:p>
    <w:p w14:paraId="43E7A382" w14:textId="77777777" w:rsidR="003754FE" w:rsidRDefault="003754FE" w:rsidP="003754FE">
      <w:pPr>
        <w:pStyle w:val="TextoNormal"/>
      </w:pPr>
      <w:r>
        <w:t>h) Frente a este auto se interpuso recurso de apelación, en el que se alegaron los mismos derechos ya invocados en el previo recurso de reforma y se utilizaron los argumentos que ahora se reiteran en este amparo. En síntesis: no se respetó el plazo otorgado a las partes para alegaciones, autorizando la expulsión con carácter previo a su finalización; el art. 247 del Real Decreto 557/2011, sí recoge un traslado a las partes para alegaciones; no se tuvieron en cuenta las circunstancias concurrentes expuestas en el escrito de alegaciones, en las que se insiste; y, finalmente, no hay carencia de objeto del recurso, puesto que el reconocimiento de la vulneración de los derechos obligaría a la declaración de nulidad de las resoluciones impugnadas y a la retroacción de las actuaciones, por lo que nada impediría que el recurrente reingresara en el territorio nacional para continuar con el cumplimiento de su condena.</w:t>
      </w:r>
    </w:p>
    <w:p w14:paraId="31AE105A" w14:textId="77777777" w:rsidR="003754FE" w:rsidRDefault="003754FE" w:rsidP="003754FE">
      <w:pPr>
        <w:pStyle w:val="TextoNormal"/>
      </w:pPr>
    </w:p>
    <w:p w14:paraId="16ADBED0" w14:textId="77777777" w:rsidR="003754FE" w:rsidRDefault="003754FE" w:rsidP="003754FE">
      <w:pPr>
        <w:pStyle w:val="TextoNormal"/>
      </w:pPr>
      <w:r>
        <w:t>i) El recurso de apelación fue desestimado por el auto núm. 243/2023, de 23 de marzo, de la Sección Segunda de la Audiencia Provincial de Palma de Mallorca. Tras hacer una reseña literal del art. 57.7 LOEx, la Sala considera que “ningún derecho del penado se ha conculcado por el Juzgado, sino que se ha aplicado lo establecido en la ley, además de dar traslado al penado”. En cuanto a la concurrencia de circunstancias que pudieran justificar la denegación de la solicitud policial, la Sala “no comparte el criterio del recurrente referido a que la existencia de dos condenas en suspensión es circunstancia que justifique la denegación de la autorización de expulsión administrativa”.</w:t>
      </w:r>
    </w:p>
    <w:p w14:paraId="570FB108" w14:textId="77777777" w:rsidR="003754FE" w:rsidRDefault="003754FE" w:rsidP="003754FE">
      <w:pPr>
        <w:pStyle w:val="TextoNormal"/>
      </w:pPr>
    </w:p>
    <w:p w14:paraId="406E4A69" w14:textId="10075C12" w:rsidR="003754FE" w:rsidRDefault="003754FE" w:rsidP="003754FE">
      <w:pPr>
        <w:pStyle w:val="TextoNormal"/>
      </w:pPr>
      <w:r>
        <w:t>j) El recurrente fue expulsado a Marruecos el día 9 de febrero de 2023, estando actualmente en su país de origen, según se indica en el escrito de demanda.</w:t>
      </w:r>
    </w:p>
    <w:p w14:paraId="63E3D973" w14:textId="77777777" w:rsidR="003754FE" w:rsidRDefault="003754FE" w:rsidP="003754FE">
      <w:pPr>
        <w:pStyle w:val="TextoNormal"/>
      </w:pPr>
    </w:p>
    <w:p w14:paraId="7CA54B8F" w14:textId="77777777" w:rsidR="003754FE" w:rsidRDefault="003754FE" w:rsidP="003754FE">
      <w:pPr>
        <w:pStyle w:val="TextoNormal"/>
      </w:pPr>
      <w:r w:rsidRPr="003754FE">
        <w:rPr>
          <w:rStyle w:val="NumeroAFNegritaCaracter"/>
        </w:rPr>
        <w:t>3</w:t>
      </w:r>
      <w:r>
        <w:t>. La demanda identifica las tres resoluciones judiciales impugnadas e invoca formalmente la vulneración de los derechos a la tutela judicial efectiva (art. 24.1 CE), a la defensa y a un proceso con todas las garantías (art. 24.2 CE). Tras hacer una amplia reseña de los antecedentes fácticos y procesales del asunto, el recurrente defiende la existencia de lesión con base en dos argumentos:</w:t>
      </w:r>
    </w:p>
    <w:p w14:paraId="6B5DA1F3" w14:textId="77777777" w:rsidR="003754FE" w:rsidRDefault="003754FE" w:rsidP="003754FE">
      <w:pPr>
        <w:pStyle w:val="TextoNormal"/>
      </w:pPr>
    </w:p>
    <w:p w14:paraId="130BD508" w14:textId="77777777" w:rsidR="003754FE" w:rsidRDefault="003754FE" w:rsidP="003754FE">
      <w:pPr>
        <w:pStyle w:val="TextoNormal"/>
      </w:pPr>
      <w:r>
        <w:t>a) Se autorizó su expulsión sin su previa audiencia, al no haberse respetado el plazo que el propio juzgado otorgó a las partes para formular alegaciones. El juzgado dictó la resolución con anterioridad a que el recurrente presentara en plazo sus alegaciones, como efectivamente hizo, de modo que no se tuvieron en cuenta, sin que hubiera necesidad de actuar con urgencia, dado que la expulsión se podía materializar en un momento posterior al del vuelo programado para el 9 de febrero de 2023.</w:t>
      </w:r>
    </w:p>
    <w:p w14:paraId="1E5823ED" w14:textId="77777777" w:rsidR="003754FE" w:rsidRDefault="003754FE" w:rsidP="003754FE">
      <w:pPr>
        <w:pStyle w:val="TextoNormal"/>
      </w:pPr>
    </w:p>
    <w:p w14:paraId="75DF8D8A" w14:textId="77777777" w:rsidR="003754FE" w:rsidRDefault="003754FE" w:rsidP="003754FE">
      <w:pPr>
        <w:pStyle w:val="TextoNormal"/>
      </w:pPr>
      <w:r>
        <w:t>b) El traslado a las partes sí está previsto en la legislación de extranjería, en concreto, en el art. 247 del Real Decreto 557/2011 que, a juicio del recurrente, matiza y desarrolla lo dispuesto en el art. 57.7 LOEx, que solo contempla el traslado al Ministerio Fiscal. Por lo tanto, las resoluciones impugnadas incurren en un error de interpretación de la normativa vigente para justificar su actuación, al entender innecesario un traslado para audiencia al interesado que sí está previsto en el art. 247 del Real Decreto 557/2011 y que no se respetó.</w:t>
      </w:r>
    </w:p>
    <w:p w14:paraId="3D700687" w14:textId="77777777" w:rsidR="003754FE" w:rsidRDefault="003754FE" w:rsidP="003754FE">
      <w:pPr>
        <w:pStyle w:val="TextoNormal"/>
      </w:pPr>
    </w:p>
    <w:p w14:paraId="32013CDF" w14:textId="77777777" w:rsidR="003754FE" w:rsidRDefault="003754FE" w:rsidP="003754FE">
      <w:pPr>
        <w:pStyle w:val="TextoNormal"/>
      </w:pPr>
      <w:r>
        <w:t>En aras de justificar la especial trascendencia constitucional del recurso, el recurrente sostiene, entre otros argumentos, que “no ha encontrado ninguna sentencia emanada por parte de este tribunal en la que se indique si […] [en un supuesto como el ahora planteado], se tiene que otorgar, con carácter previo a dictarse la resolución correspondiente, audiencia al Ministerio Fiscal, al interesado y demás partes personadas […] o por el contrario solo se tiene que dar audiencia al Ministerio Fiscal”.</w:t>
      </w:r>
    </w:p>
    <w:p w14:paraId="49E52688" w14:textId="77777777" w:rsidR="003754FE" w:rsidRDefault="003754FE" w:rsidP="003754FE">
      <w:pPr>
        <w:pStyle w:val="TextoNormal"/>
      </w:pPr>
    </w:p>
    <w:p w14:paraId="784A8111" w14:textId="6F5119A9" w:rsidR="003754FE" w:rsidRDefault="003754FE" w:rsidP="003754FE">
      <w:pPr>
        <w:pStyle w:val="TextoNormal"/>
      </w:pPr>
      <w:r>
        <w:t>La demanda solicita el otorgamiento del amparo, con el reconocimiento de la vulneración de los derechos invocados, la declaración de nulidad de las resoluciones impugnadas y la retroacción de las actuaciones a fin de que se dicte una nueva resolución en la que se tengan en cuenta sus alegaciones.</w:t>
      </w:r>
    </w:p>
    <w:p w14:paraId="15B18543" w14:textId="77777777" w:rsidR="003754FE" w:rsidRDefault="003754FE" w:rsidP="003754FE">
      <w:pPr>
        <w:pStyle w:val="TextoNormal"/>
      </w:pPr>
    </w:p>
    <w:p w14:paraId="27A73BBA" w14:textId="142EAE6A" w:rsidR="003754FE" w:rsidRDefault="003754FE" w:rsidP="003754FE">
      <w:pPr>
        <w:pStyle w:val="TextoNormal"/>
      </w:pPr>
      <w:r w:rsidRPr="003754FE">
        <w:rPr>
          <w:rStyle w:val="NumeroAFNegritaCaracter"/>
        </w:rPr>
        <w:t>4</w:t>
      </w:r>
      <w:r>
        <w:t>. En virtud de providencia de la Sección Cuarta de fecha 12 de febrero de 2024 se acordó la admisión a trámite de este recurso de amparo, apreciando que concurre en él una especial trascendencia constitucional [art. 50.1 de la Ley Orgánica del Tribunal Constitucional (LOTC)], “porque el recurso plantea un problema o afecta a una faceta de un derecho fundamental sobre el que no hay doctrina de este tribunal [STC 155/2009, FJ 2 a)]”. Además, se acordó remitir atenta comunicación a la Sección Segunda de la Audiencia Provincial de Palma de Mallorca y al Juzgado de lo Penal núm. 8 de Palma de Mallorca, a fin de que, en el plazo de diez días, remitieran certificación o fotocopia adverada de las actuaciones correspondientes a los procedimientos en los que se dictaron las resoluciones impugnadas (recurso de apelación núm. 257-2023 y ejecutoria núm. 3022-2021, respectivamente). Del mismo modo, el juzgado debía emplazar a quienes hubieran sido parte en el procedimiento, excepto a la parte recurrente en amparo, para que, en el plazo de diez días, pudieran comparecer en el recurso de amparo.</w:t>
      </w:r>
    </w:p>
    <w:p w14:paraId="53E93E8E" w14:textId="77777777" w:rsidR="003754FE" w:rsidRDefault="003754FE" w:rsidP="003754FE">
      <w:pPr>
        <w:pStyle w:val="TextoNormal"/>
      </w:pPr>
    </w:p>
    <w:p w14:paraId="60A3D77F" w14:textId="74DE82B3" w:rsidR="003754FE" w:rsidRDefault="003754FE" w:rsidP="003754FE">
      <w:pPr>
        <w:pStyle w:val="TextoNormal"/>
      </w:pPr>
      <w:r w:rsidRPr="003754FE">
        <w:rPr>
          <w:rStyle w:val="NumeroAFNegritaCaracter"/>
        </w:rPr>
        <w:t>5</w:t>
      </w:r>
      <w:r>
        <w:t>. En fecha 7 de marzo de 2024, el secretario de justicia dictó una diligencia de ordenación por la que se acordó dar vista de las actuaciones recibidas a la parte recurrente y al Ministerio Fiscal por plazo común de veinte días, a fin de que presentaran sus escritos de alegaciones, conforme a lo dispuesto en el art. 52.1 LOTC.</w:t>
      </w:r>
    </w:p>
    <w:p w14:paraId="666E1AB2" w14:textId="77777777" w:rsidR="003754FE" w:rsidRDefault="003754FE" w:rsidP="003754FE">
      <w:pPr>
        <w:pStyle w:val="TextoNormal"/>
      </w:pPr>
    </w:p>
    <w:p w14:paraId="75C73335" w14:textId="2490D20C" w:rsidR="003754FE" w:rsidRDefault="003754FE" w:rsidP="003754FE">
      <w:pPr>
        <w:pStyle w:val="TextoNormal"/>
      </w:pPr>
      <w:r w:rsidRPr="003754FE">
        <w:rPr>
          <w:rStyle w:val="NumeroAFNegritaCaracter"/>
        </w:rPr>
        <w:t>6</w:t>
      </w:r>
      <w:r>
        <w:t>. En fecha 10 de abril de 2024 se acordó dar un nuevo traslado para alegaciones a la parte recurrente, tras la subsanación de una incidencia informática puesta de manifiesto por medio de escrito presentado por su representación en fecha 9 de abril de 2024, para que pudiera acceder telemáticamente a las actuaciones remitidas por los órganos judiciales.</w:t>
      </w:r>
    </w:p>
    <w:p w14:paraId="6A1D2DF5" w14:textId="77777777" w:rsidR="003754FE" w:rsidRDefault="003754FE" w:rsidP="003754FE">
      <w:pPr>
        <w:pStyle w:val="TextoNormal"/>
      </w:pPr>
    </w:p>
    <w:p w14:paraId="747019D5" w14:textId="77777777" w:rsidR="003754FE" w:rsidRDefault="003754FE" w:rsidP="003754FE">
      <w:pPr>
        <w:pStyle w:val="TextoNormal"/>
      </w:pPr>
      <w:r w:rsidRPr="003754FE">
        <w:rPr>
          <w:rStyle w:val="NumeroAFNegritaCaracter"/>
        </w:rPr>
        <w:t>7</w:t>
      </w:r>
      <w:r>
        <w:t>. El 23 de abril de 2024, el fiscal ante el Tribunal Constitucional presentó su escrito de alegaciones, en el que interesó la estimación del recurso de amparo.</w:t>
      </w:r>
    </w:p>
    <w:p w14:paraId="76851746" w14:textId="77777777" w:rsidR="003754FE" w:rsidRDefault="003754FE" w:rsidP="003754FE">
      <w:pPr>
        <w:pStyle w:val="TextoNormal"/>
      </w:pPr>
    </w:p>
    <w:p w14:paraId="5357ACAA" w14:textId="77777777" w:rsidR="003754FE" w:rsidRDefault="003754FE" w:rsidP="003754FE">
      <w:pPr>
        <w:pStyle w:val="TextoNormal"/>
      </w:pPr>
      <w:r>
        <w:lastRenderedPageBreak/>
        <w:t>Tras hacer una amplia reseña de los antecedentes de hecho que consideró de interés, de los motivos de amparo invocados por el recurrente, así como de la jurisprudencia y la normativa que entendió de aplicación, aborda la cuestión de fondo de forma sistematizada en tres bloques argumentales:</w:t>
      </w:r>
    </w:p>
    <w:p w14:paraId="25A71898" w14:textId="77777777" w:rsidR="003754FE" w:rsidRDefault="003754FE" w:rsidP="003754FE">
      <w:pPr>
        <w:pStyle w:val="TextoNormal"/>
      </w:pPr>
    </w:p>
    <w:p w14:paraId="2646D6B2" w14:textId="77777777" w:rsidR="003754FE" w:rsidRDefault="003754FE" w:rsidP="003754FE">
      <w:pPr>
        <w:pStyle w:val="TextoNormal"/>
      </w:pPr>
      <w:r>
        <w:t>a) Falta de observancia del plazo de alegaciones. Para el fiscal, la evolución temporal expuesta pone de manifiesto que la providencia autorizando la expulsión se dictó antes de que transcurriera el plazo concedido al recurrente para presentar alegaciones. Con apoyo en el ATS 20607/2022, de 21 de septiembre (ECLI:ES:TS:2022:13781A), el fiscal entiende que el plazo de una audiencia debía empezar a computarse el día 8 de febrero, por lo que finalizaba el día 9, sin perjuicio de la posibilidad de ampliación prevista en el art. 135.1 de la Ley de enjuiciamiento civil (LEC), es decir, hasta las 15:00 horas del día 10 de febrero.</w:t>
      </w:r>
    </w:p>
    <w:p w14:paraId="574CD971" w14:textId="77777777" w:rsidR="003754FE" w:rsidRDefault="003754FE" w:rsidP="003754FE">
      <w:pPr>
        <w:pStyle w:val="TextoNormal"/>
      </w:pPr>
    </w:p>
    <w:p w14:paraId="13EA11D4" w14:textId="77777777" w:rsidR="003754FE" w:rsidRDefault="003754FE" w:rsidP="003754FE">
      <w:pPr>
        <w:pStyle w:val="TextoNormal"/>
      </w:pPr>
      <w:r>
        <w:t>b) Errónea aplicación del art. 57.7 LOEx. Para el Ministerio Público, una vez firme la sentencia condenatoria, como era el caso, ya no puede hablarse de “procesado o imputado”, sino de penado. En consecuencia, no resultaba de aplicación lo dispuesto en el art. 57.7 LOEx, sino el art. 89 del Código penal (CP).</w:t>
      </w:r>
    </w:p>
    <w:p w14:paraId="347723EE" w14:textId="77777777" w:rsidR="003754FE" w:rsidRDefault="003754FE" w:rsidP="003754FE">
      <w:pPr>
        <w:pStyle w:val="TextoNormal"/>
      </w:pPr>
    </w:p>
    <w:p w14:paraId="482DF86E" w14:textId="2B4B6C73" w:rsidR="003754FE" w:rsidRDefault="003754FE" w:rsidP="003754FE">
      <w:pPr>
        <w:pStyle w:val="TextoNormal"/>
      </w:pPr>
      <w:r>
        <w:t>c) Indefensión. El Ministerio Fiscal considera que el hecho de no respetar el transcurso del plazo concedido para alegaciones no pasaría de ser una mera irregularidad procesal si no fuera porque las alegaciones del recurrente no pudieron presentarse ni, por lo tanto, tenerse en cuenta a efectos de ponderar las circunstancias concurrentes y, en especial, la proporcionalidad de la medida. Por ello se generó la consiguiente merma del derecho de defensa y, por lo tanto, la correspondiente indefensión. Por otro lado, y a pesar de los términos taxativos del art. 57.7  LOEx, lo cierto es que el art. 89.3 CP, que sería el aplicable, exige la previa audiencia no solo al fiscal sino también a las demás partes. Añade que, además, la evolución jurisprudencial del Tribunal ha destacado la relevancia de la necesaria audiencia del interesado, tanto si se trata de un encartado, procesado o imputado como de un penado. Así, cita y reseña parcialmente la STC 24/2000, de 31 de enero (en relación con el art. 21.2 LOEx, en su redacción del año 1985, sobre la expulsión de un encartado), así como las SSTC 242/1994, de 20 de julio, y 113/2018, de 29 de octubre (en relación con la expulsión de un penado, recogida tanto en el anterior art. 21.2 LOEx como en el vigente art. 89 CP), y el ATC 189/2015, de 5 de noviembre, respecto del art. 89.1 CP, en la redacción dada por la Ley Orgánica 5/2010, de 22 de junio. El fiscal concluye que la inobservancia del plazo concedido, la errónea aplicación de la norma y la ausencia de la debida audiencia del recurrente determinaron que no se efectuara una ponderación de la proporcionalidad de la medida y su repercusión para el cumplimiento de la pena y para terceros, señaladamente, la víctima; con la consiguiente vulneración de los derechos a la tutela judicial efectiva sin indefensión (art. 24.1 CE) y a un proceso con todas las garantías (art. 24.2 CE). El fiscal considera que el otorgamiento del amparo debe implicar la declaración de nulidad de las resoluciones impugnadas.</w:t>
      </w:r>
    </w:p>
    <w:p w14:paraId="2A388DB2" w14:textId="77777777" w:rsidR="003754FE" w:rsidRDefault="003754FE" w:rsidP="003754FE">
      <w:pPr>
        <w:pStyle w:val="TextoNormal"/>
      </w:pPr>
    </w:p>
    <w:p w14:paraId="6F66CEF7" w14:textId="75BB98AD" w:rsidR="003754FE" w:rsidRDefault="003754FE" w:rsidP="003754FE">
      <w:pPr>
        <w:pStyle w:val="TextoNormal"/>
      </w:pPr>
      <w:r w:rsidRPr="003754FE">
        <w:rPr>
          <w:rStyle w:val="NumeroAFNegritaCaracter"/>
        </w:rPr>
        <w:t>8</w:t>
      </w:r>
      <w:r>
        <w:t>. Por medio de diligencia de 27 de mayo de 2024, el secretario de justicia hizo constar que, una vez presentado el escrito de alegaciones del Ministerio Fiscal y transcurrido el plazo conferido a la parte recurrente sin que conste la presentación de alegaciones, el recurso quedaba pendiente para deliberación cuando por turno correspondiera.</w:t>
      </w:r>
    </w:p>
    <w:p w14:paraId="14FD6B67" w14:textId="77777777" w:rsidR="003754FE" w:rsidRDefault="003754FE" w:rsidP="003754FE">
      <w:pPr>
        <w:pStyle w:val="TextoNormal"/>
      </w:pPr>
    </w:p>
    <w:p w14:paraId="0C53FE5F" w14:textId="0D523C5C" w:rsidR="003754FE" w:rsidRDefault="003754FE" w:rsidP="003754FE">
      <w:pPr>
        <w:pStyle w:val="TextoNormal"/>
      </w:pPr>
      <w:r w:rsidRPr="003754FE">
        <w:rPr>
          <w:rStyle w:val="NumeroAFNegritaCaracter"/>
        </w:rPr>
        <w:lastRenderedPageBreak/>
        <w:t>9</w:t>
      </w:r>
      <w:r>
        <w:t>. Por medio de providencia de 17 de octubre de 2024, se señaló para deliberación y votación de la presente sentencia el día 21 del mismo mes y año.</w:t>
      </w:r>
    </w:p>
    <w:p w14:paraId="5360E239" w14:textId="77777777" w:rsidR="003754FE" w:rsidRDefault="003754FE" w:rsidP="003754FE">
      <w:pPr>
        <w:pStyle w:val="TextoNormal"/>
      </w:pPr>
    </w:p>
    <w:p w14:paraId="4B0CAB15" w14:textId="77777777" w:rsidR="003754FE" w:rsidRDefault="003754FE" w:rsidP="003754FE">
      <w:pPr>
        <w:pStyle w:val="TextoNormalNegritaCentrado"/>
        <w:keepNext/>
      </w:pPr>
      <w:r>
        <w:t>II. Fundamentos jurídicos</w:t>
      </w:r>
    </w:p>
    <w:p w14:paraId="3DB2AF9D" w14:textId="0B07F347" w:rsidR="003754FE" w:rsidRDefault="003754FE" w:rsidP="003754FE">
      <w:pPr>
        <w:pStyle w:val="TextoNormalNegritaCentrado"/>
        <w:keepNext/>
      </w:pPr>
    </w:p>
    <w:p w14:paraId="2D5BE766" w14:textId="77777777" w:rsidR="003754FE" w:rsidRDefault="003754FE" w:rsidP="003754FE">
      <w:pPr>
        <w:pStyle w:val="TextoNormal"/>
      </w:pPr>
      <w:r w:rsidRPr="003754FE">
        <w:rPr>
          <w:rStyle w:val="NumeroAFNegritaCaracter"/>
        </w:rPr>
        <w:t>1</w:t>
      </w:r>
      <w:r>
        <w:t xml:space="preserve">. </w:t>
      </w:r>
      <w:r w:rsidRPr="003754FE">
        <w:rPr>
          <w:i/>
        </w:rPr>
        <w:t>Objeto del recurso y pretensiones de las partes</w:t>
      </w:r>
    </w:p>
    <w:p w14:paraId="6D8F053F" w14:textId="77777777" w:rsidR="003754FE" w:rsidRDefault="003754FE" w:rsidP="003754FE">
      <w:pPr>
        <w:pStyle w:val="TextoNormal"/>
      </w:pPr>
    </w:p>
    <w:p w14:paraId="09149264" w14:textId="77777777" w:rsidR="003754FE" w:rsidRDefault="003754FE" w:rsidP="003754FE">
      <w:pPr>
        <w:pStyle w:val="TextoNormal"/>
      </w:pPr>
      <w:r>
        <w:t>Como se ha expuesto con detalle en los antecedentes de esta resolución, el presente recurso de amparo se dirige contra el auto de 23 de marzo de 2023, dictado por la Sección Segunda de la Audiencia Provincial de Palma de Mallorca, por el que se desestimó el recurso de apelación interpuesto contra el auto de 19 de febrero de 2023, del Juzgado de lo Penal núm. 8 de Palma de Mallorca, también impugnado, y por el que se desestimó, a su vez, el recurso de reforma contra la providencia dictada por el mismo órgano en fecha 7 de febrero de 2023, igualmente recurrida, que autorizaba la expulsión gubernativa del ahora recurrente, en su condición de penado en el marco del procedimiento de ejecutoria núm. 3022-2021.</w:t>
      </w:r>
    </w:p>
    <w:p w14:paraId="4D19BD0B" w14:textId="77777777" w:rsidR="003754FE" w:rsidRDefault="003754FE" w:rsidP="003754FE">
      <w:pPr>
        <w:pStyle w:val="TextoNormal"/>
      </w:pPr>
    </w:p>
    <w:p w14:paraId="12116F7D" w14:textId="77777777" w:rsidR="003754FE" w:rsidRDefault="003754FE" w:rsidP="003754FE">
      <w:pPr>
        <w:pStyle w:val="TextoNormal"/>
      </w:pPr>
      <w:r>
        <w:t>En su resolución, el Juzgado de lo Penal aplicó lo dispuesto en el art. 57.7 LOEx, de forma que autorizó la expulsión tras haber recabado únicamente el informe del Ministerio Fiscal exigido en ese precepto, sin esperar a la finalización del plazo concedido a las demás partes personadas (señaladamente, al penado) para que presentaran sus alegaciones, que no se tuvieron en cuenta al dictarse la resolución con anterioridad a la expiración de ese plazo y a la presentación de los respectivos escritos. Los ulteriores recursos fueron desestimados con posterioridad a hacerse efectiva la expulsión.</w:t>
      </w:r>
    </w:p>
    <w:p w14:paraId="0009ADB6" w14:textId="77777777" w:rsidR="003754FE" w:rsidRDefault="003754FE" w:rsidP="003754FE">
      <w:pPr>
        <w:pStyle w:val="TextoNormal"/>
      </w:pPr>
    </w:p>
    <w:p w14:paraId="0BE502A5" w14:textId="77777777" w:rsidR="003754FE" w:rsidRDefault="003754FE" w:rsidP="003754FE">
      <w:pPr>
        <w:pStyle w:val="TextoNormal"/>
      </w:pPr>
      <w:r>
        <w:t>El recurrente considera que las resoluciones impugnadas vulneran los derechos a la tutela judicial efectiva sin indefensión (art. 24.1 CE), así como los derechos a la defensa y a un proceso con todas las garantías (art. 24.2 CE), sobre la base de dos argumentos principales: por un lado, que la resolución que acordó autorizar su expulsión se dictó antes de que el recurrente presentara sus alegaciones y, por tanto, sin tener en cuenta sus argumentos, con la consiguiente indefensión; y, por otro, que el traslado a las partes para informe está previsto en la normativa sobre extranjería que, en consecuencia, se ha infringido.</w:t>
      </w:r>
    </w:p>
    <w:p w14:paraId="6AEFFF47" w14:textId="77777777" w:rsidR="003754FE" w:rsidRDefault="003754FE" w:rsidP="003754FE">
      <w:pPr>
        <w:pStyle w:val="TextoNormal"/>
      </w:pPr>
    </w:p>
    <w:p w14:paraId="7428BEC6" w14:textId="77777777" w:rsidR="003754FE" w:rsidRDefault="003754FE" w:rsidP="003754FE">
      <w:pPr>
        <w:pStyle w:val="TextoNormal"/>
      </w:pPr>
      <w:r>
        <w:t>El fiscal ha interesado la estimación del recurso de amparo por entender que las resoluciones impugnadas, a partir de la inobservancia del plazo procesal concedido, de una errónea aplicación de la norma (art. 57.7 LOEx en vez del art. 89 CP) y de la falta de la debida audiencia del recurrente, no efectuaron una ponderación de la proporcionalidad de la medida y determinaron su indefensión, vulnerando así sus derechos a la tutela judicial efectiva (art. 24.1 CE) y a un proceso con todas las garantías sin indefensión (art. 24.2 CE).</w:t>
      </w:r>
    </w:p>
    <w:p w14:paraId="55D41CC3" w14:textId="77777777" w:rsidR="003754FE" w:rsidRDefault="003754FE" w:rsidP="003754FE">
      <w:pPr>
        <w:pStyle w:val="TextoNormal"/>
      </w:pPr>
    </w:p>
    <w:p w14:paraId="28A71BD9" w14:textId="77777777" w:rsidR="003754FE" w:rsidRDefault="003754FE" w:rsidP="003754FE">
      <w:pPr>
        <w:pStyle w:val="TextoNormal"/>
      </w:pPr>
      <w:r>
        <w:t xml:space="preserve">En atención al planteamiento de la demanda y las observaciones efectuadas por el Ministerio Fiscal, resulta imprescindible efectuar varias precisiones iniciales sobre el objeto del recurso. La lesión constitucional que el recurrente denuncia —invocando los derechos a la tutela judicial efectiva, a la defensa y a un proceso con todas las garantías (art. 24.1 y 2 CE)— se imputa a la ausencia de audiencia previa a la autorización por el juez de la expulsión administrativa. A diferencia del planteamiento más global mantenido en la jurisdicción ordinaria, en el que junto a la falta de audiencia se alegó reiteradamente sobre las concretas </w:t>
      </w:r>
      <w:r>
        <w:lastRenderedPageBreak/>
        <w:t>razones contrarias a autorizar la expulsión gubernativa, en la demanda de amparo no se llega a cuestionar la decisión de fondo que convalidó la ejecución de la expulsión administrativa. El reproche a la actuación judicial es previo: haber adoptado la decisión sin la debida audiencia, por lo que, en buena lógica, se insta la nulidad de las resoluciones impugnadas y la retroacción al momento anterior al dictado de la providencia inicial, para que se tengan en cuenta en el momento de la decisión las alegaciones de la parte. De otro lado, la queja nuclear de la demanda es la indefensión lesiva del art. 24.1 y 2 CE que se imputa a la falta de audiencia, o para ser más precisos, a la falta de verificación efectiva de la audiencia acordada previa a la autorización. En tal medida, la referencia normativa a la distinta previsión del art. 57.7 LOEx y del art. 247 del Real Decreto 557/2011, constituye un argumento secundario o derivado, dirigido a cuestionar el razonamiento de los órganos judiciales de que la falta de previsión normativa de la audiencia justificaba su ausencia, no la indefensión que se denuncia con carácter principal.</w:t>
      </w:r>
    </w:p>
    <w:p w14:paraId="251238A9" w14:textId="77777777" w:rsidR="003754FE" w:rsidRDefault="003754FE" w:rsidP="003754FE">
      <w:pPr>
        <w:pStyle w:val="TextoNormal"/>
      </w:pPr>
    </w:p>
    <w:p w14:paraId="56793CDD" w14:textId="77777777" w:rsidR="003754FE" w:rsidRDefault="003754FE" w:rsidP="003754FE">
      <w:pPr>
        <w:pStyle w:val="TextoNormal"/>
      </w:pPr>
      <w:r>
        <w:t xml:space="preserve">Delimitados así los términos del debate constitucional suscitado, este tribunal no va a entrar a dilucidar cuál es la normativa aplicable, la penal (art. 89 CP) o la administrativa (arts. 57.7 LOEx y 247 del Real Decreto 557/2011), ni, por ende, a determinar si es posible ejecutar la expulsión administrativa, cuyo concreto origen no se ha determinado, cuando se pretende no respecto a un imputado o encausado, sino respecto a un condenado (cuya ejecución de la pena privativa de libertad se halla en suspenso), ni, en fin, si, en la hipótesis de que cupiera tal expulsión en abstracto, era pertinente en el caso y estaba sometida a la previa autorización judicial. No se plantea en la demanda el carácter indebido de la autorización por un error en la selección de la norma aplicable ni se ha discutido al respecto en el proceso </w:t>
      </w:r>
      <w:r w:rsidRPr="003754FE">
        <w:rPr>
          <w:i/>
        </w:rPr>
        <w:t>a quo</w:t>
      </w:r>
      <w:r>
        <w:t>. Y, por otro lado, como ya se ha dicho, la demanda no se dirige contra la decisión de permitir la expulsión en sí, sino contra el procedimiento seguido para ello.</w:t>
      </w:r>
    </w:p>
    <w:p w14:paraId="7BE22553" w14:textId="77777777" w:rsidR="003754FE" w:rsidRDefault="003754FE" w:rsidP="003754FE">
      <w:pPr>
        <w:pStyle w:val="TextoNormal"/>
      </w:pPr>
    </w:p>
    <w:p w14:paraId="49DF2421" w14:textId="43904CB6" w:rsidR="003754FE" w:rsidRDefault="003754FE" w:rsidP="003754FE">
      <w:pPr>
        <w:pStyle w:val="TextoNormal"/>
      </w:pPr>
      <w:r>
        <w:t>En suma, la cuestión que nos corresponde resolver es la compatibilidad con el art. 24 CE, desde la perspectiva del derecho de defensa y la proscripción de indefensión, de la resolución judicial que autoriza la ejecución de una expulsión gubernativa sin dar audiencia real y efectiva al interesado y, por ello, sin atender a sus alegaciones, así como de las posteriores resoluciones que la confirmaron. Es precisamente la definición de las garantías de defensa del interesado en esta situación, no abordada, como se verá a continuación, en la amplia doctrina constitucional sobre las garantías procesales en materia de expulsión de extranjeros, la que confiere trascendencia constitucional al recurso.</w:t>
      </w:r>
    </w:p>
    <w:p w14:paraId="3498A542" w14:textId="77777777" w:rsidR="003754FE" w:rsidRDefault="003754FE" w:rsidP="003754FE">
      <w:pPr>
        <w:pStyle w:val="TextoNormal"/>
      </w:pPr>
    </w:p>
    <w:p w14:paraId="076571A6" w14:textId="77777777" w:rsidR="003754FE" w:rsidRDefault="003754FE" w:rsidP="003754FE">
      <w:pPr>
        <w:pStyle w:val="TextoNormal"/>
      </w:pPr>
      <w:r w:rsidRPr="003754FE">
        <w:rPr>
          <w:rStyle w:val="NumeroAFNegritaCaracter"/>
        </w:rPr>
        <w:t>2</w:t>
      </w:r>
      <w:r>
        <w:t xml:space="preserve">. </w:t>
      </w:r>
      <w:r w:rsidRPr="003754FE">
        <w:rPr>
          <w:i/>
        </w:rPr>
        <w:t>Doctrina constitucional concernida</w:t>
      </w:r>
    </w:p>
    <w:p w14:paraId="0E094695" w14:textId="77777777" w:rsidR="003754FE" w:rsidRDefault="003754FE" w:rsidP="003754FE">
      <w:pPr>
        <w:pStyle w:val="TextoNormal"/>
      </w:pPr>
    </w:p>
    <w:p w14:paraId="4122B563" w14:textId="77777777" w:rsidR="003754FE" w:rsidRDefault="003754FE" w:rsidP="003754FE">
      <w:pPr>
        <w:pStyle w:val="TextoNormal"/>
      </w:pPr>
      <w:r>
        <w:t xml:space="preserve">a) </w:t>
      </w:r>
      <w:r w:rsidRPr="003754FE">
        <w:rPr>
          <w:i/>
        </w:rPr>
        <w:t>Prohibición de indefensión y derecho de defensa</w:t>
      </w:r>
    </w:p>
    <w:p w14:paraId="5EEA4272" w14:textId="77777777" w:rsidR="003754FE" w:rsidRDefault="003754FE" w:rsidP="003754FE">
      <w:pPr>
        <w:pStyle w:val="TextoNormal"/>
      </w:pPr>
    </w:p>
    <w:p w14:paraId="127D2171" w14:textId="77777777" w:rsidR="003754FE" w:rsidRDefault="003754FE" w:rsidP="003754FE">
      <w:pPr>
        <w:pStyle w:val="TextoNormal"/>
      </w:pPr>
      <w:r>
        <w:t xml:space="preserve">El art. 24.1 CE comprende el derecho a no sufrir indefensión, que en nuestra jurisprudencia se entiende como un derecho a la defensa contradictoria y se vincula con las garantías del proceso debido, reconocidas en el art. 24.2 CE, que requiere indefensión material (STC 94/2024, de 2 de julio, FJ 7.3.1, con ulteriores referencias). La proscripción de la indefensión puesta en relación con el reconocimiento del derecho de defensa, en el apartado segundo del mismo precepto constitucional, “significa que en todo proceso judicial debe respetarse el derecho de defensa contradictoria de las partes contendientes” (STC 29/2023, de 17 de abril, FJ 2, también con numerosas referencias). Se garantiza así “a los litigantes, en todo proceso y en todas sus instancias y recursos, un adecuado ejercicio del derecho de </w:t>
      </w:r>
      <w:r>
        <w:lastRenderedPageBreak/>
        <w:t>defensa que respete los principios de audiencia, contradicción e igualdad de armas procesales, asegurándoles la oportunidad de ser oídos y de hacer valer sus respectivos derechos e intereses legítimos” (STC 23/2003, de 10 de febrero, FJ 2).</w:t>
      </w:r>
    </w:p>
    <w:p w14:paraId="61DFD4F1" w14:textId="77777777" w:rsidR="003754FE" w:rsidRDefault="003754FE" w:rsidP="003754FE">
      <w:pPr>
        <w:pStyle w:val="TextoNormal"/>
      </w:pPr>
    </w:p>
    <w:p w14:paraId="1122AC68" w14:textId="77777777" w:rsidR="003754FE" w:rsidRDefault="003754FE" w:rsidP="003754FE">
      <w:pPr>
        <w:pStyle w:val="TextoNormal"/>
      </w:pPr>
      <w:r>
        <w:t>El derecho a la defensa con contradicción “impone a los órganos judiciales el deber de excluir la indefensión, por lo que, cuando su actuación haya impedido a una parte, en el curso del proceso, el ejercicio de las facultades de alegación y, en su caso, de justificación de sus derechos e intereses legítimos, bien para la defensa de sus propias posiciones o bien para rebatir las posiciones contrarias, se vulnera el principio de contradicción y, por ende, el derecho a la tutela judicial (STC 1/1992, de 13 de enero), al no ser admisible un pronunciamiento de los jueces o de los tribunales sobre materias respecto de las que no ha existido la necesaria contradicción” (STC 23/2003, FJ 2).</w:t>
      </w:r>
    </w:p>
    <w:p w14:paraId="078DD07B" w14:textId="77777777" w:rsidR="003754FE" w:rsidRDefault="003754FE" w:rsidP="003754FE">
      <w:pPr>
        <w:pStyle w:val="TextoNormal"/>
      </w:pPr>
    </w:p>
    <w:p w14:paraId="1CF0E97B" w14:textId="77777777" w:rsidR="003754FE" w:rsidRDefault="003754FE" w:rsidP="003754FE">
      <w:pPr>
        <w:pStyle w:val="TextoNormal"/>
      </w:pPr>
      <w:r>
        <w:t>Tan reiterada como la anterior jurisprudencia es la que limita la relevancia constitucional de la indefensión a la indefensión material: “la indefensión, que se concibe constitucionalmente como una negación de [la] garantía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Por ello hemos hablado siempre de una indefensión ‘material’ y no formal para la cual resulta necesaria pero no suficiente la mera transgresión de los requisitos configurados como garantía, siendo inexcusable la falta de esta, cuando se produce de hecho y como consecuencia de aquella. No basta, pues, la existencia de un defecto procesal si no conlleva la privación o limitación, menoscabo o negación, del derecho a la defensa en un proceso público con todas las garantías ‘en relación con algún interés’ de quien lo invoca (STC 90/1988)” (STC 181/1994, de 20 de junio, FJ 2, por todas).</w:t>
      </w:r>
    </w:p>
    <w:p w14:paraId="011E7B9F" w14:textId="77777777" w:rsidR="003754FE" w:rsidRDefault="003754FE" w:rsidP="003754FE">
      <w:pPr>
        <w:pStyle w:val="TextoNormal"/>
      </w:pPr>
    </w:p>
    <w:p w14:paraId="422824A5" w14:textId="77777777" w:rsidR="003754FE" w:rsidRDefault="003754FE" w:rsidP="003754FE">
      <w:pPr>
        <w:pStyle w:val="TextoNormal"/>
      </w:pPr>
      <w:r>
        <w:t xml:space="preserve">b) </w:t>
      </w:r>
      <w:r w:rsidRPr="003754FE">
        <w:rPr>
          <w:i/>
        </w:rPr>
        <w:t>Derecho de defensa y prohibición de indefensión en caso de expulsión de un extranjero del territorio nacional: garantía de audiencia</w:t>
      </w:r>
    </w:p>
    <w:p w14:paraId="7D88D088" w14:textId="77777777" w:rsidR="003754FE" w:rsidRDefault="003754FE" w:rsidP="003754FE">
      <w:pPr>
        <w:pStyle w:val="TextoNormal"/>
      </w:pPr>
    </w:p>
    <w:p w14:paraId="25FB8834" w14:textId="77777777" w:rsidR="003754FE" w:rsidRDefault="003754FE" w:rsidP="003754FE">
      <w:pPr>
        <w:pStyle w:val="TextoNormal"/>
      </w:pPr>
      <w:r>
        <w:t>La doctrina constitucional ha subrayado, en concreto, la importancia de la garantía de audiencia para asegurar el derecho de defensa de quien puede verse expulsado del territorio nacional y evitar su indefensión, tanto si la expulsión tiene un origen gubernativo como si obedece a la decisión del juez penal de sustituir la pena. Esta exigencia entronca con el deber de las autoridades competentes, judiciales o administrativas, de valorar “las circunstancias personales y familiares de la persona afectada, lo que implica efectuar un juicio de proporcionalidad de la medida entre sus consecuencias para el expedientado y su núcleo familiar, y la finalidad perseguida por la ley con su ejecución, con el posible resultado de que tal medida resulte no ser procedente en el caso concreto” (STC 151/2021, de 13 de septiembre, FJ 2, con numerosas referencias y amplia descripción de los distintos supuestos). Ya la STC 242/1994, FJ 6, subrayaba que “[p]ara lograr esta adecuada ponderación, y la salvaguardia de valores relevantes que puedan estar en juego, la audiencia del extranjero potencialmente sometido a la medida de expulsión resulta fundamental […], pues solo con ella es posible exponer, discutir y analizar el conjunto de circunstancias en que la expulsión ha de producirse. Por esa razón se hace preciso que la audiencia tenga lugar en términos que, de forma clara e inequívoca, permitan a este requisito alcanzar la finalidad descrita”.</w:t>
      </w:r>
    </w:p>
    <w:p w14:paraId="7E200809" w14:textId="77777777" w:rsidR="003754FE" w:rsidRDefault="003754FE" w:rsidP="003754FE">
      <w:pPr>
        <w:pStyle w:val="TextoNormal"/>
      </w:pPr>
    </w:p>
    <w:p w14:paraId="46A8FCF4" w14:textId="77777777" w:rsidR="003754FE" w:rsidRDefault="003754FE" w:rsidP="003754FE">
      <w:pPr>
        <w:pStyle w:val="TextoNormal"/>
      </w:pPr>
      <w:r>
        <w:lastRenderedPageBreak/>
        <w:t>La verificación de la garantía de ponderación, singularmente la consideración de la existencia de arraigo social y familiar alegada, se ha exigido incluso cuando no estaba expresamente prevista en la norma aplicable (ATC 180/2015, de 3 de noviembre, FJ 4, y STC 29/2017, de 27 de febrero, FJ 5, ambas respecto del art. 89 CP en la redacción dada por la Ley Orgánica 5/2010, de 22 de junio), habida cuenta de que en las instituciones que implican directa o indirectamente la salida del territorio nacional está en juego el derecho a la intimidad familiar (art. 18 CE), junto al de protección social, económica y jurídica de la familia (art. 39 CE) en relación al mandato del art. 10.2 CE, así como del art. 3.1 de la Convención sobre los derechos del niño, adoptada por la Asamblea General de las Naciones Unidas el 20 de noviembre de 1989 (SSTC 46/2014, de 7 de abril, FJ 6; 131/2016, de 18 de julio, FJ 6, y 201/2016, de 28 de noviembre, FJ 3). De modo reflejo, la audiencia al penado deviene imprescindible para efectuar una correcta ponderación de los intereses y derechos en juego, debiendo arbitrarse aun cuando no se halle expresamente prevista en la norma (ATC 180/2015, FJ 4, y STC 113/2018, FFJJ 5 y 6).</w:t>
      </w:r>
    </w:p>
    <w:p w14:paraId="14182C62" w14:textId="77777777" w:rsidR="003754FE" w:rsidRDefault="003754FE" w:rsidP="003754FE">
      <w:pPr>
        <w:pStyle w:val="TextoNormal"/>
      </w:pPr>
    </w:p>
    <w:p w14:paraId="07BF7B34" w14:textId="77777777" w:rsidR="003754FE" w:rsidRDefault="003754FE" w:rsidP="003754FE">
      <w:pPr>
        <w:pStyle w:val="TextoNormal"/>
      </w:pPr>
      <w:r>
        <w:t>En relación con la expulsión sustitutiva de la pena de prisión, el Tribunal ha especificado que la conexión entre la exigencia de audiencia y el deber de ponderar se extiende no solo a las circunstancias personales del interesado obstativas, sino también a aquellas otras que, aunque proceda la expulsión desde tal perspectiva, puedan, sin embargo, fundar la decisión excepcional de hacer cumplir la pena de prisión impuesta (o una parte de la misma) “para asegurar la defensa del orden jurídico y restablecer la confianza en la vigencia de la norma infringida por el delito”, tal y como prevé el art. 89.1 CP (STC 113/2018, FJ 5). En estos casos, el trámite de alegaciones “posibilita que el acusado pueda ejercer su derecho constitucional de defensa sobre la concreta forma de cumplimiento de la pena que se le va a imponer, pudiendo alegar acerca de cualquier circunstancia que estime conveniente” (STC 113/2018, FJ 5), haciendo factible la ponderación que debe efectuar el órgano judicial a través de una evaluación individualizada. En el asunto resuelto en la STC 113/2018 se estimó que la decisión judicial de acordar una sustitución solo parcial de la pena de prisión por expulsión sin dar audiencia a las partes para pronunciarse sobre esa posibilidad, que no habían estado presentes en el debate previo, en el que solo se discutió sobre la existencia de arraigo (que se descartó), vulneró el derecho de defensa, “sin que el hecho de que dicho trámite no estuviera previsto en la norma impida al órgano judicial realizar una interpretación más conciliadora con los principios que deben regir el proceso penal” (FJ 6).</w:t>
      </w:r>
    </w:p>
    <w:p w14:paraId="360AEDF1" w14:textId="77777777" w:rsidR="003754FE" w:rsidRDefault="003754FE" w:rsidP="003754FE">
      <w:pPr>
        <w:pStyle w:val="TextoNormal"/>
      </w:pPr>
    </w:p>
    <w:p w14:paraId="40C1B738" w14:textId="77777777" w:rsidR="003754FE" w:rsidRDefault="003754FE" w:rsidP="003754FE">
      <w:pPr>
        <w:pStyle w:val="TextoNormal"/>
      </w:pPr>
      <w:r>
        <w:t xml:space="preserve">También se ha pronunciado este tribunal sobre los casos en los que, tratándose del sujeto encartado, procesado o imputado, se solicita autorización al juez penal para ejecutar una expulsión administrativa (antiguo art. 21.2 LOEx, sobre el que se pronuncia la STC 24/2000, hoy prevista en el art. 57.7 LOEx). Esa resolución judicial no sustituye a la resolución administrativa, de modo que la medida sigue siendo una sanción administrativa, pero resulta necesaria para que la administración pueda llevar a efecto la expulsión de un extranjero. Corresponde al juez penal comprobar que concurre el presupuesto material que justifica la actuación administrativa, si bien el control pleno de la expulsión corresponde a los tribunales contencioso-administrativos, esto es, verificar que se cumple el presupuesto procesal penal (según el art. 57.7 LOEx, que el extranjero se encuentre “procesado o imputado”) y decidir “si la autorización resulta preferible a la continuación del procedimiento penal, ponderando las circunstancias concurrentes del caso” (STC 24/2000, FFJJ 4 </w:t>
      </w:r>
      <w:r w:rsidRPr="003754FE">
        <w:rPr>
          <w:i/>
        </w:rPr>
        <w:t>et passim</w:t>
      </w:r>
      <w:r>
        <w:t xml:space="preserve">). De forma paralela al supuesto en el que se resuelve sobre una expulsión parcial en sustitución de la pena respecto de un condenado “expulsable” desde la consideración de sus </w:t>
      </w:r>
      <w:r>
        <w:lastRenderedPageBreak/>
        <w:t xml:space="preserve">circunstancias de arraigo (STC 113/2018), también aquí resulta decisiva la ponderación individualizada para decidir sobre la concurrencia o no de circunstancias que justifiquen la denegación. Serán elementos vinculados al proceso penal y al ejercicio del </w:t>
      </w:r>
      <w:r w:rsidRPr="003754FE">
        <w:rPr>
          <w:i/>
        </w:rPr>
        <w:t>ius puniendi</w:t>
      </w:r>
      <w:r>
        <w:t xml:space="preserve"> los que, en su caso, pueden justificar no autorizar la expulsión gubernativa, por más que la sanción administrativa sea procedente conforme a la legalidad y las circunstancias del caso, en especial, las personales y de arraigo del interesado. Y en tal medida, el juez debe resolver tras haber oído al interesado, tal y como, por otro lado, dispone el art. 247 del Real Decreto 557/2011.</w:t>
      </w:r>
    </w:p>
    <w:p w14:paraId="7EAEAC2E" w14:textId="77777777" w:rsidR="003754FE" w:rsidRDefault="003754FE" w:rsidP="003754FE">
      <w:pPr>
        <w:pStyle w:val="TextoNormal"/>
      </w:pPr>
    </w:p>
    <w:p w14:paraId="66F16A18" w14:textId="263CEAF5" w:rsidR="003754FE" w:rsidRDefault="003754FE" w:rsidP="003754FE">
      <w:pPr>
        <w:pStyle w:val="TextoNormal"/>
      </w:pPr>
      <w:r>
        <w:t xml:space="preserve">El anterior repaso ofrece un panorama completo de las exigencias de ponderación y audiencia que requiere no solo la decisión de expulsar a un extranjero, tenga un origen gubernativo o penal, sino también la autorización por parte del juez penal de una expulsión acordada por la autoridad gubernativa. La jurisprudencia constitucional es consciente de que toda decisión relativa a la expulsión del territorio nacional de un extranjero —sea adoptada por la autoridad gubernativa o por el juez penal, también la autorización por este juez de la ejecución de la expulsión administrativa— incide de forma radical en la situación de la persona y afecta a sus derechos fundamentales, además de concernir a otros intereses constitucionales. Esta premisa impone la exigencia de audiencia real y efectiva del interesado, aun cuando no exista disposición específica en la ley que la indique (SSTC 242/1994, FJ 6, y 113/2018, FJ 6, y ATC 189/2015, FJ 5), con la finalidad de propiciar el debate contradictorio tanto sobre las razones que abonan la expulsión como sobre las que avalan la permanencia en España, en particular, las vinculadas al ejercicio del </w:t>
      </w:r>
      <w:r w:rsidRPr="003754FE">
        <w:rPr>
          <w:i/>
        </w:rPr>
        <w:t>ius puniendi</w:t>
      </w:r>
      <w:r>
        <w:t xml:space="preserve"> y, en último término, al cumplimiento de una condena.</w:t>
      </w:r>
    </w:p>
    <w:p w14:paraId="68C30111" w14:textId="77777777" w:rsidR="003754FE" w:rsidRDefault="003754FE" w:rsidP="003754FE">
      <w:pPr>
        <w:pStyle w:val="TextoNormal"/>
      </w:pPr>
    </w:p>
    <w:p w14:paraId="6743DC22" w14:textId="77777777" w:rsidR="003754FE" w:rsidRDefault="003754FE" w:rsidP="003754FE">
      <w:pPr>
        <w:pStyle w:val="TextoNormal"/>
      </w:pPr>
      <w:r w:rsidRPr="003754FE">
        <w:rPr>
          <w:rStyle w:val="NumeroAFNegritaCaracter"/>
        </w:rPr>
        <w:t>3</w:t>
      </w:r>
      <w:r>
        <w:t xml:space="preserve">. </w:t>
      </w:r>
      <w:r w:rsidRPr="003754FE">
        <w:rPr>
          <w:i/>
        </w:rPr>
        <w:t>Enjuiciamiento del caso</w:t>
      </w:r>
    </w:p>
    <w:p w14:paraId="6F076F23" w14:textId="77777777" w:rsidR="003754FE" w:rsidRDefault="003754FE" w:rsidP="003754FE">
      <w:pPr>
        <w:pStyle w:val="TextoNormal"/>
      </w:pPr>
    </w:p>
    <w:p w14:paraId="59849DD2" w14:textId="77777777" w:rsidR="003754FE" w:rsidRDefault="003754FE" w:rsidP="003754FE">
      <w:pPr>
        <w:pStyle w:val="TextoNormal"/>
      </w:pPr>
      <w:r>
        <w:t>La aplicación de esta doctrina lleva a apreciar la vulneración del derecho fundamental a la tutela judicial efectiva sin indefensión en relación con el derecho a la defensa y a un proceso con todas las garantías, como se denuncia en la demanda.</w:t>
      </w:r>
    </w:p>
    <w:p w14:paraId="63D581D9" w14:textId="77777777" w:rsidR="003754FE" w:rsidRDefault="003754FE" w:rsidP="003754FE">
      <w:pPr>
        <w:pStyle w:val="TextoNormal"/>
      </w:pPr>
    </w:p>
    <w:p w14:paraId="7897859A" w14:textId="77777777" w:rsidR="003754FE" w:rsidRDefault="003754FE" w:rsidP="003754FE">
      <w:pPr>
        <w:pStyle w:val="TextoNormal"/>
      </w:pPr>
      <w:r>
        <w:t>Conforme se ha descrito en los antecedentes, en el asunto que ahora se analiza:</w:t>
      </w:r>
    </w:p>
    <w:p w14:paraId="17938878" w14:textId="77777777" w:rsidR="003754FE" w:rsidRDefault="003754FE" w:rsidP="003754FE">
      <w:pPr>
        <w:pStyle w:val="TextoNormal"/>
      </w:pPr>
    </w:p>
    <w:p w14:paraId="4B20EE19" w14:textId="77777777" w:rsidR="003754FE" w:rsidRDefault="003754FE" w:rsidP="003754FE">
      <w:pPr>
        <w:pStyle w:val="TextoNormal"/>
      </w:pPr>
      <w:r>
        <w:t>(i) La pena de prisión de dos años a la que, entre otras, fue condenado el recurrente no se tradujo en su expulsión como sustitutivo penal, sino que se hallaba suspendida por tiempo de tres años, sin que conste en la sentencia las circunstancias —personales, de arraigo o vinculadas a finalidades punitivas— que fundaron tal decisión.</w:t>
      </w:r>
    </w:p>
    <w:p w14:paraId="46DF33D1" w14:textId="77777777" w:rsidR="003754FE" w:rsidRDefault="003754FE" w:rsidP="003754FE">
      <w:pPr>
        <w:pStyle w:val="TextoNormal"/>
      </w:pPr>
    </w:p>
    <w:p w14:paraId="0579524D" w14:textId="77777777" w:rsidR="003754FE" w:rsidRDefault="003754FE" w:rsidP="003754FE">
      <w:pPr>
        <w:pStyle w:val="TextoNormal"/>
      </w:pPr>
      <w:r>
        <w:t>(ii) En el marco de la ejecución de la sentencia la Policía solicitó, en oficio de 7 de febrero de 2023, al Juzgado de lo Penal núm. 8 de Palma de Mallorca autorización para ejecutar la expulsión gubernativa del condenado el día 9 de febrero de 2023. Para responder a la solicitud, el juez concedió un plazo común de una audiencia al Ministerio Fiscal y demás partes personadas. Sin embargo, el mismo día del traslado, 7 de febrero de 2023, el fiscal informó que no se oponía a la autorización y, sin solución de continuidad, por providencia de la misma fecha el juzgado accedió a la expulsión gubernativa.</w:t>
      </w:r>
    </w:p>
    <w:p w14:paraId="1A4C5B5A" w14:textId="77777777" w:rsidR="003754FE" w:rsidRDefault="003754FE" w:rsidP="003754FE">
      <w:pPr>
        <w:pStyle w:val="TextoNormal"/>
      </w:pPr>
    </w:p>
    <w:p w14:paraId="0E73FC4B" w14:textId="77777777" w:rsidR="003754FE" w:rsidRDefault="003754FE" w:rsidP="003754FE">
      <w:pPr>
        <w:pStyle w:val="TextoNormal"/>
      </w:pPr>
      <w:r>
        <w:t xml:space="preserve">(iii) El día siguiente, 8 de febrero, se notificó la providencia a la representación procesal del recurrente y se comunicó al subgrupo operativo de extranjería de la comisaría local de Manacor. Esa misma tarde, dentro del plazo de audiencia conferido, el recurrente formuló </w:t>
      </w:r>
      <w:r>
        <w:lastRenderedPageBreak/>
        <w:t>escrito de alegaciones en el que solicitaba la denegación de la autorización de expulsión en atención a las circunstancias del hecho delictivo y de la condena impuesta. Y, al mismo tiempo, recurrió en reforma la mencionada providencia, solicitando la suspensión urgente de la ejecución recurrida.</w:t>
      </w:r>
    </w:p>
    <w:p w14:paraId="7EF392BD" w14:textId="77777777" w:rsidR="003754FE" w:rsidRDefault="003754FE" w:rsidP="003754FE">
      <w:pPr>
        <w:pStyle w:val="TextoNormal"/>
      </w:pPr>
    </w:p>
    <w:p w14:paraId="56E85C69" w14:textId="77777777" w:rsidR="003754FE" w:rsidRDefault="003754FE" w:rsidP="003754FE">
      <w:pPr>
        <w:pStyle w:val="TextoNormal"/>
      </w:pPr>
      <w:r>
        <w:t>(iv) Las autoridades policiales comunicaron al Juzgado de lo Penal núm. 8 de Palma de Mallorca, en oficio de 9 de febrero, que el recurrente había sido trasladado el día anterior para su expulsión por vía aérea.</w:t>
      </w:r>
    </w:p>
    <w:p w14:paraId="2108DB76" w14:textId="77777777" w:rsidR="003754FE" w:rsidRDefault="003754FE" w:rsidP="003754FE">
      <w:pPr>
        <w:pStyle w:val="TextoNormal"/>
      </w:pPr>
    </w:p>
    <w:p w14:paraId="4FC46260" w14:textId="77777777" w:rsidR="003754FE" w:rsidRDefault="003754FE" w:rsidP="003754FE">
      <w:pPr>
        <w:pStyle w:val="TextoNormal"/>
      </w:pPr>
      <w:r>
        <w:t>(v) El auto de 19 de febrero de 2023 del Juzgado de lo Penal núm. 8 de Palma de Mallorca desestimó el recurso de reforma, con base en la previsión de audiencia solo al Ministerio Fiscal del art. 57.7 LOEx, motivo que reiteró la Sección Segunda de la Audiencia Provincial de Palma de Mallorca, en el auto que desestimó la apelación.</w:t>
      </w:r>
    </w:p>
    <w:p w14:paraId="3B1E150A" w14:textId="77777777" w:rsidR="003754FE" w:rsidRDefault="003754FE" w:rsidP="003754FE">
      <w:pPr>
        <w:pStyle w:val="TextoNormal"/>
      </w:pPr>
    </w:p>
    <w:p w14:paraId="34F86A31" w14:textId="77777777" w:rsidR="003754FE" w:rsidRDefault="003754FE" w:rsidP="003754FE">
      <w:pPr>
        <w:pStyle w:val="TextoNormal"/>
      </w:pPr>
      <w:r>
        <w:t>La anterior secuencia, no controvertida en las resoluciones judiciales, muestra que la decisión que autorizaba la expulsión —y descartaba implícitamente la existencia de razones contrarias a su adopción— se tomó sin oír al interesado y, por ello, sin atender sus alegaciones. El órgano judicial desconoció la necesidad de someter a debate contradictorio una decisión que, si bien no es la de expulsión, condiciona su ejecución, y en la que debe realizarse una ponderación individualizada de circunstancias, incluso si se parte, como sostenía el demandante en su escrito de 8 de febrero de 2023, de que los daños a valorar no son circunstancias personales, sino relacionados con el hecho delictivo y la condena impuesta: imposibilidad de abonar la responsabilidad civil con perjuicio para la víctima y riesgo de revocación, falta de control del cumplimiento de las condiciones de la suspensión, no haberse acordado la expulsión en la sentencia condenatoria o falta de autorización en la otra ejecutoria, en la que igualmente se perdería el control del cumplimiento.</w:t>
      </w:r>
    </w:p>
    <w:p w14:paraId="02D23A7B" w14:textId="77777777" w:rsidR="003754FE" w:rsidRDefault="003754FE" w:rsidP="003754FE">
      <w:pPr>
        <w:pStyle w:val="TextoNormal"/>
      </w:pPr>
    </w:p>
    <w:p w14:paraId="711E10F9" w14:textId="77777777" w:rsidR="003754FE" w:rsidRDefault="003754FE" w:rsidP="003754FE">
      <w:pPr>
        <w:pStyle w:val="TextoNormal"/>
      </w:pPr>
      <w:r>
        <w:t xml:space="preserve">Frente al planteamiento del demandante tanto en el proceso </w:t>
      </w:r>
      <w:r w:rsidRPr="003754FE">
        <w:rPr>
          <w:i/>
        </w:rPr>
        <w:t>a quo</w:t>
      </w:r>
      <w:r>
        <w:t xml:space="preserve"> como en su recurso, es cierto que, como aduce el fiscal, el art. 57.7 LOEx, que invocan y aplican las resoluciones impugnadas, no atañe a la expulsión administrativa de un penado, sino a la de un imputado o procesado, sin que la ley contenga una previsión paralela en relación con la eventual posibilidad de expulsar a un condenado; menos aún, a aquel cuya pena de prisión se halla suspendida. Como se precisó en el primer fundamento, no corresponde aquí dilucidar cuál era la norma aplicable al caso ni, en general, si es posible ejecutar un decreto de expulsión relativo a un penado que está cumpliendo su condena, cuestiones que no fueron objeto de debate previo en la jurisdicción penal ni planteadas en la demanda de amparo. Nos corresponde apreciar si, abierto un incidente en la ejecutoria penal para la autorización de la expulsión gubernativa del condenado —que tiene tanta trascendencia para la esfera de derechos e intereses del penado, para los intereses de terceros, víctimas o perjudicados, y para los intereses generales—, el órgano judicial competente obvió la audiencia real y efectiva del interesado que era imprescindible para garantizar su derecho de defensa y, en último término, una resolución que ponderara todas las circunstancias relevantes.</w:t>
      </w:r>
    </w:p>
    <w:p w14:paraId="6602AD36" w14:textId="77777777" w:rsidR="003754FE" w:rsidRDefault="003754FE" w:rsidP="003754FE">
      <w:pPr>
        <w:pStyle w:val="TextoNormal"/>
      </w:pPr>
    </w:p>
    <w:p w14:paraId="08044D40" w14:textId="77777777" w:rsidR="003754FE" w:rsidRDefault="003754FE" w:rsidP="003754FE">
      <w:pPr>
        <w:pStyle w:val="TextoNormal"/>
      </w:pPr>
      <w:r>
        <w:t xml:space="preserve">Pues bien, el Tribunal considera que carece de la más absoluta lógica jurídica ofrecer audiencia al afectado, y posibilitar que formule alegaciones en defensa de sus intereses, para luego desentenderse del método del contradictorio y despreciar cualesquiera de sus argumentos, ignorándolos completamente al dictar la resolución antes incluso de que transcurriera el plazo concedido y sin que hubiera podido materialmente presentar su escrito. La </w:t>
      </w:r>
      <w:r>
        <w:lastRenderedPageBreak/>
        <w:t>garantía de audiencia, consustancial al derecho de defensa, resulta indispensable para que puedan exponerse las circunstancias y datos que han de tenerse en cuenta en la ponderación judicial. Al prescindirse de ella se colocó al recurrente en una situación objetiva de indefensión, porque se impidió que sus alegaciones sobre aspectos básicos determinantes de una eventual alteración sustancial de su situación procesal fueran tenidas en cuenta por el órgano judicial. Elementos y circunstancias que luego adujo el recurrente y no pudieron ser objeto de ponderación judicial. De manera que la autorización de la expulsión administrativa se pronunció, por ausencia de contradicción, sin tomar en consideración factores relevantes sobre el cumplimiento de las condiciones establecidas en la suspensión de la ejecución de la pena, responsabilidad civil, los intereses de víctimas y perjudicados, que implicaban la pérdida del control de la ejecución penal por el órgano judicial.</w:t>
      </w:r>
    </w:p>
    <w:p w14:paraId="2A12C3CA" w14:textId="77777777" w:rsidR="003754FE" w:rsidRDefault="003754FE" w:rsidP="003754FE">
      <w:pPr>
        <w:pStyle w:val="TextoNormal"/>
      </w:pPr>
    </w:p>
    <w:p w14:paraId="408C3DF4" w14:textId="77777777" w:rsidR="003754FE" w:rsidRDefault="003754FE" w:rsidP="003754FE">
      <w:pPr>
        <w:pStyle w:val="TextoNormal"/>
      </w:pPr>
      <w:r>
        <w:t>La actuación descrita, al impedir al recurrente presentar alegaciones y al no valorar las razones que ofreció en plazo para oponerse a la convalidación judicial de la expulsión gubernativa, produjo una merma de su derecho de defensa, afectación que se consolidó al ejecutarse la expulsión inmediatamente.</w:t>
      </w:r>
    </w:p>
    <w:p w14:paraId="0C32E484" w14:textId="77777777" w:rsidR="003754FE" w:rsidRDefault="003754FE" w:rsidP="003754FE">
      <w:pPr>
        <w:pStyle w:val="TextoNormal"/>
      </w:pPr>
    </w:p>
    <w:p w14:paraId="10D6B53D" w14:textId="77777777" w:rsidR="003754FE" w:rsidRDefault="003754FE" w:rsidP="003754FE">
      <w:pPr>
        <w:pStyle w:val="TextoNormal"/>
      </w:pPr>
      <w:r>
        <w:t xml:space="preserve">Por todo ello, este tribunal considera que la actuación judicial en este caso, al suprimir de </w:t>
      </w:r>
      <w:r w:rsidRPr="003754FE">
        <w:rPr>
          <w:i/>
        </w:rPr>
        <w:t>facto</w:t>
      </w:r>
      <w:r>
        <w:t xml:space="preserve"> la audiencia previa del interesado, vulneró su derecho fundamental a la tutela judicial efectiva sin indefensión (art. 24.1 CE), puesto en relación con el derecho a la defensa y a un proceso con todas las garantías (art. 24.2 CE).</w:t>
      </w:r>
    </w:p>
    <w:p w14:paraId="762DE2A7" w14:textId="77777777" w:rsidR="003754FE" w:rsidRDefault="003754FE" w:rsidP="003754FE">
      <w:pPr>
        <w:pStyle w:val="TextoNormal"/>
      </w:pPr>
    </w:p>
    <w:p w14:paraId="327C8CCA" w14:textId="2FF50334" w:rsidR="003754FE" w:rsidRDefault="003754FE" w:rsidP="003754FE">
      <w:pPr>
        <w:pStyle w:val="TextoNormal"/>
      </w:pPr>
      <w:r>
        <w:t>Conforme a lo solicitado por el recurrente, la estimación del presente recurso, además del reconocimiento de los derechos fundamentales vulnerados, conlleva la declaración de nulidad de las resoluciones impugnadas para retrotraer las actuaciones al momento inmediatamente anterior al dictado de la providencia de 7 de febrero de 2023, para que el Juzgado de lo Penal núm. 8 de Palma de Mallorca, a la vista de las alegaciones que presentó en plazo el ahora recurrente, decida la solicitud de autorización de expulsión previa adecuada ponderación de las circunstancias concurrentes.</w:t>
      </w:r>
    </w:p>
    <w:p w14:paraId="48353683" w14:textId="77777777" w:rsidR="003754FE" w:rsidRDefault="003754FE" w:rsidP="003754FE">
      <w:pPr>
        <w:pStyle w:val="TextoNormal"/>
      </w:pPr>
    </w:p>
    <w:p w14:paraId="11C6EFA3" w14:textId="77777777" w:rsidR="003754FE" w:rsidRDefault="003754FE" w:rsidP="003754FE">
      <w:pPr>
        <w:pStyle w:val="TextoNormalCentrado"/>
        <w:keepNext/>
      </w:pPr>
      <w:r>
        <w:t>FALLO</w:t>
      </w:r>
    </w:p>
    <w:p w14:paraId="0DF97551" w14:textId="361654FB" w:rsidR="003754FE" w:rsidRDefault="003754FE" w:rsidP="003754FE">
      <w:pPr>
        <w:pStyle w:val="TextoNormalCentrado"/>
        <w:keepNext/>
      </w:pPr>
    </w:p>
    <w:p w14:paraId="3202545B"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formulado por don Anass Touil y, en su virtud:</w:t>
      </w:r>
    </w:p>
    <w:p w14:paraId="07E941EE" w14:textId="77777777" w:rsidR="003754FE" w:rsidRDefault="003754FE" w:rsidP="003754FE">
      <w:pPr>
        <w:pStyle w:val="TextoNormal"/>
      </w:pPr>
    </w:p>
    <w:p w14:paraId="30CBE4FF" w14:textId="77777777" w:rsidR="003754FE" w:rsidRDefault="003754FE" w:rsidP="003754FE">
      <w:pPr>
        <w:pStyle w:val="TextoNormal"/>
      </w:pPr>
      <w:r>
        <w:t>1º Declarar que han sido vulnerados sus derechos fundamentales a la tutela judicial efectiva sin indefensión (art. 24.1 CE), a la defensa y a un proceso con todas las garantías (art. 24.2 CE).</w:t>
      </w:r>
    </w:p>
    <w:p w14:paraId="0003A136" w14:textId="77777777" w:rsidR="003754FE" w:rsidRDefault="003754FE" w:rsidP="003754FE">
      <w:pPr>
        <w:pStyle w:val="TextoNormal"/>
      </w:pPr>
    </w:p>
    <w:p w14:paraId="1DB3EB1B" w14:textId="77777777" w:rsidR="003754FE" w:rsidRDefault="003754FE" w:rsidP="003754FE">
      <w:pPr>
        <w:pStyle w:val="TextoNormal"/>
      </w:pPr>
      <w:r>
        <w:t>2º Restablecerlo en su derecho y, en consecuencia, declarar la nulidad de las resoluciones impugnadas. En concreto, la providencia de 7 de febrero de 2023, dictada por el Juzgado de lo Penal núm. 8 de Palma de Mallorca en el marco del procedimiento de ejecutoria núm. 3022-2021; así como el auto de 19 de febrero de 2023 del mismo juzgado y el auto de 23 de marzo de 2023, dictado por la Sección Segunda de la Audiencia Provincial de Palma de Mallorca, por los que se desestimaron, respectivamente, los recursos de reforma y apelación interpuestos contra la citada providencia.</w:t>
      </w:r>
    </w:p>
    <w:p w14:paraId="67EDAC54" w14:textId="77777777" w:rsidR="003754FE" w:rsidRDefault="003754FE" w:rsidP="003754FE">
      <w:pPr>
        <w:pStyle w:val="TextoNormal"/>
      </w:pPr>
    </w:p>
    <w:p w14:paraId="3706C883" w14:textId="61A07B7C" w:rsidR="003754FE" w:rsidRDefault="003754FE" w:rsidP="003754FE">
      <w:pPr>
        <w:pStyle w:val="TextoNormal"/>
      </w:pPr>
      <w:r>
        <w:lastRenderedPageBreak/>
        <w:t>3º Retrotraer las actuaciones al momento inmediatamente anterior al dictado de la providencia de 7 de febrero de 2023, a fin de que el Juzgado de lo Penal núm. 8 de Palma de Mallorca dicte una resolución que sea respetuosa con los derechos fundamentales del recurrente, en los términos señalados en esta sentencia.</w:t>
      </w:r>
    </w:p>
    <w:p w14:paraId="0B7D486F" w14:textId="77777777" w:rsidR="003754FE" w:rsidRDefault="003754FE" w:rsidP="003754FE">
      <w:pPr>
        <w:pStyle w:val="TextoNormal"/>
      </w:pPr>
    </w:p>
    <w:p w14:paraId="04C2E196" w14:textId="77777777" w:rsidR="003754FE" w:rsidRDefault="003754FE" w:rsidP="003754FE">
      <w:pPr>
        <w:pStyle w:val="TextoNormal"/>
      </w:pPr>
      <w:r>
        <w:t>Publíquese esta sentencia en el “Boletín Oficial del Estado”.</w:t>
      </w:r>
    </w:p>
    <w:p w14:paraId="2AD86880" w14:textId="77777777" w:rsidR="003754FE" w:rsidRDefault="003754FE" w:rsidP="003754FE">
      <w:pPr>
        <w:pStyle w:val="TextoNormal"/>
      </w:pPr>
      <w:r>
        <w:t>Dada en Madrid, a veintiuno de octubre de dos mil veinticuatro.</w:t>
      </w:r>
    </w:p>
    <w:p w14:paraId="0E1EAECF" w14:textId="4354E4C0" w:rsidR="003754FE" w:rsidRDefault="003754FE" w:rsidP="003754FE">
      <w:pPr>
        <w:pStyle w:val="ParrafoNormal"/>
      </w:pPr>
    </w:p>
    <w:p w14:paraId="7254EB21" w14:textId="77777777" w:rsidR="003754FE" w:rsidRDefault="003754FE" w:rsidP="003754FE">
      <w:pPr>
        <w:pStyle w:val="TextoNormalNegritaCentrado"/>
        <w:keepNext/>
      </w:pPr>
      <w:r>
        <w:t>Voto particular que formulan los magistrados don Enrique Arnaldo Alcubilla y don César Tolosa Tribiño a la sentencia dictada en el recurso de amparo núm. 2799-2023</w:t>
      </w:r>
    </w:p>
    <w:p w14:paraId="42EFEB5D" w14:textId="09252DA6" w:rsidR="003754FE" w:rsidRDefault="003754FE" w:rsidP="003754FE">
      <w:pPr>
        <w:pStyle w:val="TextoNormalNegritaCentrado"/>
        <w:keepNext/>
      </w:pPr>
    </w:p>
    <w:p w14:paraId="68A07580" w14:textId="77777777" w:rsidR="003754FE" w:rsidRDefault="003754FE" w:rsidP="003754FE">
      <w:pPr>
        <w:pStyle w:val="TextoNormal"/>
      </w:pPr>
      <w:r>
        <w:t>Con el máximo respeto a la opinión de la mayoría, formulamos el presente voto particular para exponer las razones de nuestra discrepancia con la fundamentación y el fallo de la sentencia recaída en el recurso de amparo núm. 2799-2023, el cual, a nuestro juicio, debió ser desestimado.</w:t>
      </w:r>
    </w:p>
    <w:p w14:paraId="23E11FE0" w14:textId="77777777" w:rsidR="003754FE" w:rsidRDefault="003754FE" w:rsidP="003754FE">
      <w:pPr>
        <w:pStyle w:val="TextoNormal"/>
      </w:pPr>
    </w:p>
    <w:p w14:paraId="2491657D" w14:textId="77777777" w:rsidR="003754FE" w:rsidRDefault="003754FE" w:rsidP="003754FE">
      <w:pPr>
        <w:pStyle w:val="TextoNormal"/>
      </w:pPr>
      <w:r>
        <w:t>La sentencia de la que discrepamos estima vulnerado el derecho a la tutela judicial efectiva sin indefensión (art. 24.1 CE), a la defensa y a un proceso con todas las garantías (art. 24.2 CE), de don Anass Touil, porque dictada una resolución administrativa de expulsión, se recabó autorización judicial para su ejecución y esta autorización se otorgó sin “oír al interesado”.</w:t>
      </w:r>
    </w:p>
    <w:p w14:paraId="098FEEAA" w14:textId="77777777" w:rsidR="003754FE" w:rsidRDefault="003754FE" w:rsidP="003754FE">
      <w:pPr>
        <w:pStyle w:val="TextoNormal"/>
      </w:pPr>
    </w:p>
    <w:p w14:paraId="5A1FDC00" w14:textId="77777777" w:rsidR="003754FE" w:rsidRDefault="003754FE" w:rsidP="003754FE">
      <w:pPr>
        <w:pStyle w:val="TextoNormal"/>
      </w:pPr>
      <w:r>
        <w:t>No obstante, entendemos que ni los hechos que han dado lugar al presente recurso de amparo ni el marco jurídico que le sirve de sustento permiten llegar a esa conclusión, dado que para ejecutar la resolución administrativa firme de expulsión en cuestión no era necesaria autorización judicial alguna —ni por ende audiencia previa al recurrente— ni tampoco es posible concluir que se produce indefensión cuando dicha supuesta falta de audiencia es recurrida en dos instancias judiciales distintas que dan respuesta a sus alegaciones; los pronunciamientos de este tribunal en los que la sentencia de la mayoría se apoya para estimar el recurso de amparo se refieren a supuestos distintos que no son extrapolables, no siendo posible deducir en ningún caso de la doctrina consolidada de este tribunal una suerte de requisito general de dar una audiencia judicial antes de ejecutar cualquier resolución administrativa de expulsión, con abstracción del marco jurídico que es procedente aplicar en cada caso.</w:t>
      </w:r>
    </w:p>
    <w:p w14:paraId="44D96B21" w14:textId="77777777" w:rsidR="003754FE" w:rsidRDefault="003754FE" w:rsidP="003754FE">
      <w:pPr>
        <w:pStyle w:val="TextoNormal"/>
      </w:pPr>
    </w:p>
    <w:p w14:paraId="7C6AF955" w14:textId="77777777" w:rsidR="003754FE" w:rsidRDefault="003754FE" w:rsidP="003754FE">
      <w:pPr>
        <w:pStyle w:val="TextoNormal"/>
      </w:pPr>
      <w:r>
        <w:t xml:space="preserve">1. </w:t>
      </w:r>
      <w:r w:rsidRPr="003754FE">
        <w:rPr>
          <w:i/>
        </w:rPr>
        <w:t>No era necesaria la autorización judicial para ejecutar la expulsión acordada en una resolución administrativa</w:t>
      </w:r>
    </w:p>
    <w:p w14:paraId="338FA0BA" w14:textId="77777777" w:rsidR="003754FE" w:rsidRDefault="003754FE" w:rsidP="003754FE">
      <w:pPr>
        <w:pStyle w:val="TextoNormal"/>
      </w:pPr>
    </w:p>
    <w:p w14:paraId="69023C2E" w14:textId="77777777" w:rsidR="003754FE" w:rsidRDefault="003754FE" w:rsidP="003754FE">
      <w:pPr>
        <w:pStyle w:val="TextoNormal"/>
      </w:pPr>
      <w:r>
        <w:t>Como se relata en los antecedentes de hecho de la sentencia, don Anass Touil, el recurrente, había sido condenado en dos sentencias de conformidad de 29 de junio y 23 de noviembre de 2021, que le impusieron sendas penas de dos años de prisión como autor de un delito de robo con fuerza en las cosas en casa habitada, y de seis meses de prisión como autor de un delito de robo con violencia en grado de tentativa, penas que fueron suspendidas en las propias sentencias por tiempo de tres años.</w:t>
      </w:r>
    </w:p>
    <w:p w14:paraId="3E667FAF" w14:textId="77777777" w:rsidR="003754FE" w:rsidRDefault="003754FE" w:rsidP="003754FE">
      <w:pPr>
        <w:pStyle w:val="TextoNormal"/>
      </w:pPr>
    </w:p>
    <w:p w14:paraId="5EE3A232" w14:textId="77777777" w:rsidR="003754FE" w:rsidRDefault="003754FE" w:rsidP="003754FE">
      <w:pPr>
        <w:pStyle w:val="TextoNormal"/>
      </w:pPr>
      <w:r>
        <w:lastRenderedPageBreak/>
        <w:t>Pues bien, es evidente que en este supuesto no era necesaria autorización judicial alguna, autorización judicial que únicamente se exige conforme al artículo 57.7 LOEx, y al artículo 247 del Real Decreto 557/2011, cuando el extranjero se encuentre “procesado” o “imputado” en un procedimiento penal —con excepción de determinados delitos— mientras que en el presente supuesto el recurrente ya había sido “condenado”, no existiendo procedimiento penal en curso alguno.</w:t>
      </w:r>
    </w:p>
    <w:p w14:paraId="64EED55C" w14:textId="77777777" w:rsidR="003754FE" w:rsidRDefault="003754FE" w:rsidP="003754FE">
      <w:pPr>
        <w:pStyle w:val="TextoNormal"/>
      </w:pPr>
    </w:p>
    <w:p w14:paraId="0271497C" w14:textId="77777777" w:rsidR="003754FE" w:rsidRDefault="003754FE" w:rsidP="003754FE">
      <w:pPr>
        <w:pStyle w:val="TextoNormal"/>
      </w:pPr>
      <w:r>
        <w:t>La sentencia hace abstracción de esta cuestión que es fundamental y después de afirmar como principio que no es necesario entrar a dilucidar si era o no necesaria la autorización judicial en este supuesto, se desdice posteriormente para afirmar sin examen alguno del marco jurídico aplicable, y en contra de esta premisa general, que “[e]l órgano judicial desconoció la necesidad de someter a debate contradictorio una decisión que, si bien no es la de expulsión, condiciona su ejecución, y en la que debe realizarse una ponderación individualizada de circunstancias”, e incluso que “el órgano judicial competente obvió la audiencia real y efectiva del interesado que era imprescindible para garantizar su derecho de defensa y, en último término, una resolución que ponderara todas las circunstancias relevantes”.</w:t>
      </w:r>
    </w:p>
    <w:p w14:paraId="1E56073F" w14:textId="77777777" w:rsidR="003754FE" w:rsidRDefault="003754FE" w:rsidP="003754FE">
      <w:pPr>
        <w:pStyle w:val="TextoNormal"/>
      </w:pPr>
    </w:p>
    <w:p w14:paraId="2D2EDF04" w14:textId="77777777" w:rsidR="003754FE" w:rsidRDefault="003754FE" w:rsidP="003754FE">
      <w:pPr>
        <w:pStyle w:val="TextoNormal"/>
      </w:pPr>
      <w:r>
        <w:t>No compartimos que se establezca una suerte de requisito general de audiencia “judicial” antes de ejecutar cualquier resolución administrativa de expulsión sin tener en cuenta el marco jurídico aplicable, que solo exige autorización judicial en determinados y concretos supuestos, y sin que las sentencias en las que se apoya esta postura sean extrapolables, tal y como explicamos a continuación.</w:t>
      </w:r>
    </w:p>
    <w:p w14:paraId="639F6B5D" w14:textId="77777777" w:rsidR="003754FE" w:rsidRDefault="003754FE" w:rsidP="003754FE">
      <w:pPr>
        <w:pStyle w:val="TextoNormal"/>
      </w:pPr>
    </w:p>
    <w:p w14:paraId="30EAA53E" w14:textId="77777777" w:rsidR="003754FE" w:rsidRDefault="003754FE" w:rsidP="003754FE">
      <w:pPr>
        <w:pStyle w:val="TextoNormal"/>
      </w:pPr>
      <w:r>
        <w:t xml:space="preserve">2. </w:t>
      </w:r>
      <w:r w:rsidRPr="003754FE">
        <w:rPr>
          <w:i/>
        </w:rPr>
        <w:t>Los pronunciamientos en los que se basa la sentencia no son extrapolables al supuesto que nos ocupa</w:t>
      </w:r>
    </w:p>
    <w:p w14:paraId="76A20F76" w14:textId="77777777" w:rsidR="003754FE" w:rsidRDefault="003754FE" w:rsidP="003754FE">
      <w:pPr>
        <w:pStyle w:val="TextoNormal"/>
      </w:pPr>
    </w:p>
    <w:p w14:paraId="55EE4615" w14:textId="77777777" w:rsidR="003754FE" w:rsidRDefault="003754FE" w:rsidP="003754FE">
      <w:pPr>
        <w:pStyle w:val="TextoNormal"/>
      </w:pPr>
      <w:r>
        <w:t>La sentencia de la mayoría hace un examen sesgado de los pronunciamientos de este tribunal deduciendo una suerte de principio general de “audiencia” al extranjero que va a ser expulsado que no es proyectable en el presente recurso de amparo por las siguientes razones:</w:t>
      </w:r>
    </w:p>
    <w:p w14:paraId="6E1AC8C7" w14:textId="77777777" w:rsidR="003754FE" w:rsidRDefault="003754FE" w:rsidP="003754FE">
      <w:pPr>
        <w:pStyle w:val="TextoNormal"/>
      </w:pPr>
    </w:p>
    <w:p w14:paraId="0AD66DA9" w14:textId="77777777" w:rsidR="003754FE" w:rsidRDefault="003754FE" w:rsidP="003754FE">
      <w:pPr>
        <w:pStyle w:val="TextoNormal"/>
      </w:pPr>
      <w:r>
        <w:t>a) Por un lado, se traen a colación aquellas sentencias en las que hemos hecho referencia a la necesidad de ponderar las circunstancias personales y familiares por quien tiene atribuida legalmente la competencia para adoptar una decisión, bien una autoridad administrativa, bien una autoridad judicial, pero en virtud de una facultad decisoria que a esta autoridad se le ha atribuido legalmente.</w:t>
      </w:r>
    </w:p>
    <w:p w14:paraId="42970A16" w14:textId="77777777" w:rsidR="003754FE" w:rsidRDefault="003754FE" w:rsidP="003754FE">
      <w:pPr>
        <w:pStyle w:val="TextoNormal"/>
      </w:pPr>
    </w:p>
    <w:p w14:paraId="0FB9E9DC" w14:textId="77777777" w:rsidR="003754FE" w:rsidRDefault="003754FE" w:rsidP="003754FE">
      <w:pPr>
        <w:pStyle w:val="TextoNormal"/>
      </w:pPr>
      <w:r>
        <w:t xml:space="preserve">(i) Este es el supuesto de la STC 151/2021, en la que se apoya la mayoría, que cuando explica la necesidad de dar audiencia por autoridades “judiciales o administrativas” para valorar las circunstancias personales y familiares, lo establece para los supuestos en los que se tiene que valorar y ponderar en atención a dichas circunstancias si es procedente dictar una resolución administrativa de expulsión. Es una valoración que corresponde, en primer término, a la autoridad administrativa que tramita el expediente administrativo que conduce a adoptar dicha decisión administrativa de expulsión, y, en su caso, a la autoridad judicial que revise en sede judicial dicha decisión administrativa; pero la valoración judicial en este supuesto lo es únicamente en la medida en que la jurisdicción contencioso-administrativa </w:t>
      </w:r>
      <w:r>
        <w:lastRenderedPageBreak/>
        <w:t>es revisora de la actuación administrativa, no porque sea necesaria autorización o valoración judicial alguna para adoptar una resolución administrativa de expulsión.</w:t>
      </w:r>
    </w:p>
    <w:p w14:paraId="35652FF5" w14:textId="77777777" w:rsidR="003754FE" w:rsidRDefault="003754FE" w:rsidP="003754FE">
      <w:pPr>
        <w:pStyle w:val="TextoNormal"/>
      </w:pPr>
    </w:p>
    <w:p w14:paraId="7178222D" w14:textId="77777777" w:rsidR="003754FE" w:rsidRDefault="003754FE" w:rsidP="003754FE">
      <w:pPr>
        <w:pStyle w:val="TextoNormal"/>
      </w:pPr>
      <w:r>
        <w:t>(ii) De forma similar la sentencia de la mayoría hace uso de la doctrina constitucional sobre la necesidad de que el órgano judicial valore el arraigo al acordar la sustitución de la pena por la expulsión, supuesto previsto en el art. 89 CP, tal y como dijimos en la STC 29/2017, en la que se apoya la sentencia de la mayoría; pero de nuevo este criterio no es extrapolable, al presente caso, porque una cosa es que el órgano judicial pondere las circunstancias concurrentes antes de adoptar una decisión judicial que solo a él le compete legalmente —acordar en su caso la sustitución de la pena por la expulsión— y otra muy distinta es exigir una ponderación de un órgano judicial al que no le corresponde adoptar decisión alguna.</w:t>
      </w:r>
    </w:p>
    <w:p w14:paraId="051434CD" w14:textId="77777777" w:rsidR="003754FE" w:rsidRDefault="003754FE" w:rsidP="003754FE">
      <w:pPr>
        <w:pStyle w:val="TextoNormal"/>
      </w:pPr>
    </w:p>
    <w:p w14:paraId="220C15E4" w14:textId="77777777" w:rsidR="003754FE" w:rsidRDefault="003754FE" w:rsidP="003754FE">
      <w:pPr>
        <w:pStyle w:val="TextoNormal"/>
      </w:pPr>
      <w:r>
        <w:t xml:space="preserve">b) Por otro lado, la sentencia de la que discrepamos hace también un uso inadecuado de la STC 24/2000, pronunciamiento que se limita a analizar determinados aspectos del trámite de la autorización del juez penal para ejecutar una expulsión administrativa del “encartado”, “procesado” o “imputado”; de nuevo, estamos ante un trámite que existe </w:t>
      </w:r>
      <w:r w:rsidRPr="003754FE">
        <w:rPr>
          <w:i/>
        </w:rPr>
        <w:t>ex lege</w:t>
      </w:r>
      <w:r>
        <w:t>, y la valoración judicial es procedente porque el órgano judicial tiene que dar cumplimiento al mandato del artículo 57.7 LOEx y del artículo 247 del Real Decreto 557/2011, que exigen autorización judicial en dichos supuestos.</w:t>
      </w:r>
    </w:p>
    <w:p w14:paraId="46D36E2C" w14:textId="77777777" w:rsidR="003754FE" w:rsidRDefault="003754FE" w:rsidP="003754FE">
      <w:pPr>
        <w:pStyle w:val="TextoNormal"/>
      </w:pPr>
    </w:p>
    <w:p w14:paraId="6E63185A" w14:textId="77777777" w:rsidR="003754FE" w:rsidRDefault="003754FE" w:rsidP="003754FE">
      <w:pPr>
        <w:pStyle w:val="TextoNormal"/>
      </w:pPr>
      <w:r>
        <w:t>El hecho de que para ejecutar la expulsión del “encartado”, “procesado” o “imputado”, se exija legalmente una autorización judicial no puede ser base para considerarla idónea en el presente recurso de amparo donde ya existe una condena penal. La razón de que se exija una autorización judicial en el primer supuesto, como explica la STC 24/2000, radica en la necesidad de que el Juzgado de Instrucción verifique “si la autorización resulta preferible a la continuación del procedimiento penal, ponderando las circunstancias concurrentes del caso (arts. 21.2 y 26.1 de la Ley Orgánica 7/1985)”, lo cual no es necesario cuando ya existe una condena penal.</w:t>
      </w:r>
    </w:p>
    <w:p w14:paraId="1A6F3EC3" w14:textId="77777777" w:rsidR="003754FE" w:rsidRDefault="003754FE" w:rsidP="003754FE">
      <w:pPr>
        <w:pStyle w:val="TextoNormal"/>
      </w:pPr>
    </w:p>
    <w:p w14:paraId="5739F66F" w14:textId="77777777" w:rsidR="003754FE" w:rsidRDefault="003754FE" w:rsidP="003754FE">
      <w:pPr>
        <w:pStyle w:val="TextoNormal"/>
      </w:pPr>
      <w:r>
        <w:t xml:space="preserve">3. </w:t>
      </w:r>
      <w:r w:rsidRPr="003754FE">
        <w:rPr>
          <w:i/>
        </w:rPr>
        <w:t>No puede haber indefensión por no realizar un trámite inexistente</w:t>
      </w:r>
    </w:p>
    <w:p w14:paraId="251DBCC5" w14:textId="77777777" w:rsidR="003754FE" w:rsidRDefault="003754FE" w:rsidP="003754FE">
      <w:pPr>
        <w:pStyle w:val="TextoNormal"/>
      </w:pPr>
    </w:p>
    <w:p w14:paraId="552DDA66" w14:textId="77777777" w:rsidR="003754FE" w:rsidRDefault="003754FE" w:rsidP="003754FE">
      <w:pPr>
        <w:pStyle w:val="TextoNormal"/>
      </w:pPr>
      <w:r>
        <w:t>Es cierto que por oficio de la policía se dio traslado —de forma incorrecta— al Juzgado de lo Penal solicitado autorización judicial para proceder a la ejecución del decreto de expulsión, y que dicha autorización se otorgó por providencia de 7 de febrero de 2023, oído solo el Ministerio Fiscal, pero ninguna indefensión se le pudo materialmente producir al recurrente por no ser oído porque no existiendo la obligación de solicitar dicha autorización judicial, no era necesaria tampoco la audiencia cuya falta se denuncia: falta el presupuesto de la existencia de una irregularidad.</w:t>
      </w:r>
    </w:p>
    <w:p w14:paraId="045CB03C" w14:textId="77777777" w:rsidR="003754FE" w:rsidRDefault="003754FE" w:rsidP="003754FE">
      <w:pPr>
        <w:pStyle w:val="TextoNormal"/>
      </w:pPr>
    </w:p>
    <w:p w14:paraId="7F642787" w14:textId="77777777" w:rsidR="003754FE" w:rsidRDefault="003754FE" w:rsidP="003754FE">
      <w:pPr>
        <w:pStyle w:val="TextoNormal"/>
      </w:pPr>
      <w:r>
        <w:t xml:space="preserve">A lo que se debe añadir que en los recursos de reforma y apelación que el recurrente interpuso se le dio respuesta a las alegaciones de fondo planteadas, explicando más concretamente el auto de 23 de marzo de 2023, dictado por la Sección Segunda de la Audiencia Provincial de Palma de Mallorca, que desestima el recurso de apelación, que no se ha conculcado ningún derecho al penado, sino que solo se ha aplicado lo establecido en la ley, además de dar traslado al penado, y que en cuanto a la concurrencia de circunstancias que justifiquen la denegación de la autorización explica que la existencia de dos condenas en </w:t>
      </w:r>
      <w:r>
        <w:lastRenderedPageBreak/>
        <w:t>suspensión no es circunstancia que justifique la denegación de la autorización de expulsión administrativa.</w:t>
      </w:r>
    </w:p>
    <w:p w14:paraId="71C04E6E" w14:textId="77777777" w:rsidR="003754FE" w:rsidRDefault="003754FE" w:rsidP="003754FE">
      <w:pPr>
        <w:pStyle w:val="TextoNormal"/>
      </w:pPr>
    </w:p>
    <w:p w14:paraId="17EB8AB6" w14:textId="77777777" w:rsidR="003754FE" w:rsidRDefault="003754FE" w:rsidP="003754FE">
      <w:pPr>
        <w:pStyle w:val="TextoNormal"/>
      </w:pPr>
      <w:r>
        <w:t>En conclusión, y a la vista de todo lo expuesto, no puede afirmarse que existió una indefensión material, ni tan siquiera formal —pues el trámite de autorización, insistimos, no era exigible—, de modo que no ha existido un perjuicio real y efectivo para el recurrente en sus posibilidades de defensa.</w:t>
      </w:r>
    </w:p>
    <w:p w14:paraId="0E55DB05" w14:textId="77777777" w:rsidR="003754FE" w:rsidRDefault="003754FE" w:rsidP="003754FE">
      <w:pPr>
        <w:pStyle w:val="TextoNormal"/>
      </w:pPr>
    </w:p>
    <w:p w14:paraId="757E3BED" w14:textId="77777777" w:rsidR="003754FE" w:rsidRDefault="003754FE" w:rsidP="003754FE">
      <w:pPr>
        <w:pStyle w:val="TextoNormal"/>
      </w:pPr>
      <w:r>
        <w:t>Y en este sentido emitimos el presente voto particular.</w:t>
      </w:r>
    </w:p>
    <w:p w14:paraId="24B6D169" w14:textId="77777777" w:rsidR="003754FE" w:rsidRDefault="003754FE" w:rsidP="003754FE">
      <w:pPr>
        <w:pStyle w:val="TextoNormal"/>
      </w:pPr>
    </w:p>
    <w:p w14:paraId="4E1B93DC" w14:textId="6A9B90F8" w:rsidR="003754FE" w:rsidRDefault="003754FE" w:rsidP="003754FE">
      <w:pPr>
        <w:pStyle w:val="TextoNormal"/>
      </w:pPr>
      <w:r>
        <w:t>Madrid, a veintiuno de octubre de dos mil veinticuatro.</w:t>
      </w:r>
    </w:p>
    <w:p w14:paraId="6C26E599" w14:textId="2B430F33" w:rsidR="003754FE" w:rsidRDefault="003754FE">
      <w:pPr>
        <w:spacing w:after="160" w:line="278" w:lineRule="auto"/>
        <w:rPr>
          <w:rFonts w:ascii="Times New Roman" w:eastAsia="Times New Roman" w:hAnsi="Times New Roman" w:cs="Times New Roman"/>
          <w:sz w:val="24"/>
          <w:szCs w:val="24"/>
          <w:lang w:eastAsia="es-ES"/>
        </w:rPr>
      </w:pPr>
      <w:r>
        <w:br w:type="page"/>
      </w:r>
    </w:p>
    <w:p w14:paraId="2A7A1D3E" w14:textId="77777777" w:rsidR="003754FE" w:rsidRDefault="003754FE" w:rsidP="003754FE">
      <w:pPr>
        <w:pStyle w:val="TtuloResolucin"/>
      </w:pPr>
      <w:bookmarkStart w:id="34" w:name="SENTENCIA_2024_125"/>
      <w:r>
        <w:lastRenderedPageBreak/>
        <w:t>SENTENCIA 125/2024, de 21 de octubre de 2024</w:t>
      </w:r>
    </w:p>
    <w:bookmarkEnd w:id="34"/>
    <w:p w14:paraId="30C9FB0B" w14:textId="77777777" w:rsidR="003754FE" w:rsidRDefault="003754FE" w:rsidP="003754FE">
      <w:pPr>
        <w:pStyle w:val="TtuloResolucin"/>
      </w:pPr>
      <w:r>
        <w:t>Sala Segunda</w:t>
      </w:r>
    </w:p>
    <w:p w14:paraId="3A79E86B" w14:textId="77777777" w:rsidR="003754FE" w:rsidRDefault="003754FE" w:rsidP="003754FE">
      <w:pPr>
        <w:pStyle w:val="TtuloBOE"/>
      </w:pPr>
      <w:r>
        <w:t>(BOE núm. 286, de 27 de noviembre de 2024)</w:t>
      </w:r>
    </w:p>
    <w:p w14:paraId="6A3136D4" w14:textId="77777777" w:rsidR="003754FE" w:rsidRDefault="003754FE" w:rsidP="003754FE">
      <w:pPr>
        <w:pStyle w:val="TextoNormalCentrado"/>
      </w:pPr>
      <w:r>
        <w:t>ECLI:ES:TC:2024:125</w:t>
      </w:r>
    </w:p>
    <w:p w14:paraId="3CF85EE8" w14:textId="1F5DBD3B" w:rsidR="003754FE" w:rsidRDefault="003754FE" w:rsidP="003754FE">
      <w:pPr>
        <w:pStyle w:val="TextoNormalCentrado"/>
      </w:pPr>
    </w:p>
    <w:p w14:paraId="6904B005" w14:textId="77777777" w:rsidR="003754FE" w:rsidRDefault="003754FE" w:rsidP="003754FE">
      <w:pPr>
        <w:pStyle w:val="SntesisDescriptiva"/>
      </w:pPr>
      <w:r>
        <w:t>Recurso de amparo 5037-2023. Promovido por doña Patricia Riesgo González respecto de las resoluciones dictadas por la Sala de lo Penal del Tribunal Supremo y la Audiencia Provincial de Asturias en causa por diversos delitos.</w:t>
      </w:r>
    </w:p>
    <w:p w14:paraId="6A833E4F" w14:textId="47FA5110" w:rsidR="003754FE" w:rsidRDefault="003754FE" w:rsidP="003754FE">
      <w:pPr>
        <w:pStyle w:val="SntesisDescriptiva"/>
      </w:pPr>
    </w:p>
    <w:p w14:paraId="2990FBFD" w14:textId="77777777" w:rsidR="003754FE" w:rsidRDefault="003754FE" w:rsidP="003754FE">
      <w:pPr>
        <w:pStyle w:val="SntesisAnaltica"/>
      </w:pPr>
      <w:r>
        <w:t>Alegada vulneración de los derechos a la tutela judicial efectiva, de defensa y a un proceso con todas las garantías: extinción del proceso por desaparición sobrevenida de su objeto.</w:t>
      </w:r>
    </w:p>
    <w:p w14:paraId="79480F61" w14:textId="5C83062E" w:rsidR="003754FE" w:rsidRDefault="003754FE" w:rsidP="003754FE">
      <w:pPr>
        <w:pStyle w:val="SntesisAnaltica"/>
      </w:pPr>
    </w:p>
    <w:p w14:paraId="445F76F9" w14:textId="1D641603" w:rsidR="003754FE" w:rsidRDefault="003754FE" w:rsidP="003754FE">
      <w:pPr>
        <w:pStyle w:val="Extracto"/>
      </w:pPr>
      <w:r>
        <w:t>1.</w:t>
      </w:r>
      <w:r>
        <w:tab/>
        <w:t>Doctrina sobre la desaparición sobrevenida del objeto como una de las formas de finalización del recurso de amparo constitucional (SSTC 175/1990 o 126/2013) [FJ 2].</w:t>
      </w:r>
    </w:p>
    <w:p w14:paraId="4488DE89" w14:textId="77777777" w:rsidR="003754FE" w:rsidRDefault="003754FE" w:rsidP="003754FE">
      <w:pPr>
        <w:pStyle w:val="Extracto"/>
      </w:pPr>
    </w:p>
    <w:p w14:paraId="6ACF9D45" w14:textId="77777777" w:rsidR="003754FE" w:rsidRDefault="003754FE" w:rsidP="003754FE">
      <w:pPr>
        <w:pStyle w:val="Extracto"/>
      </w:pPr>
    </w:p>
    <w:p w14:paraId="1292FCFE"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CA6F402" w14:textId="400ECB1D" w:rsidR="003754FE" w:rsidRDefault="003754FE" w:rsidP="003754FE">
      <w:pPr>
        <w:pStyle w:val="TextoNormal"/>
      </w:pPr>
    </w:p>
    <w:p w14:paraId="4CC0B24D" w14:textId="77777777" w:rsidR="003754FE" w:rsidRDefault="003754FE" w:rsidP="003754FE">
      <w:pPr>
        <w:pStyle w:val="TextoNormalCentrado"/>
        <w:keepNext/>
      </w:pPr>
      <w:r>
        <w:t>EN NOMBRE DEL REY</w:t>
      </w:r>
    </w:p>
    <w:p w14:paraId="48CB6444" w14:textId="3DD26D87" w:rsidR="003754FE" w:rsidRDefault="003754FE" w:rsidP="003754FE">
      <w:pPr>
        <w:pStyle w:val="TextoNormalCentrado"/>
        <w:keepNext/>
      </w:pPr>
    </w:p>
    <w:p w14:paraId="695554DE" w14:textId="77777777" w:rsidR="003754FE" w:rsidRDefault="003754FE" w:rsidP="003754FE">
      <w:pPr>
        <w:pStyle w:val="TextoNormalCentrado"/>
        <w:keepNext/>
      </w:pPr>
    </w:p>
    <w:p w14:paraId="34E9C5A1" w14:textId="77777777" w:rsidR="003754FE" w:rsidRDefault="003754FE" w:rsidP="003754FE">
      <w:pPr>
        <w:pStyle w:val="TextoNormal"/>
      </w:pPr>
      <w:r>
        <w:t>la siguiente</w:t>
      </w:r>
    </w:p>
    <w:p w14:paraId="041DEC6F" w14:textId="0B040969" w:rsidR="003754FE" w:rsidRDefault="003754FE" w:rsidP="003754FE">
      <w:pPr>
        <w:pStyle w:val="TextoNormal"/>
      </w:pPr>
    </w:p>
    <w:p w14:paraId="67683ED5" w14:textId="77777777" w:rsidR="003754FE" w:rsidRDefault="003754FE" w:rsidP="003754FE">
      <w:pPr>
        <w:pStyle w:val="TextoNormalCentrado"/>
        <w:keepNext/>
      </w:pPr>
      <w:r>
        <w:t>SENTENCIA</w:t>
      </w:r>
    </w:p>
    <w:p w14:paraId="06CBB646" w14:textId="501C43F7" w:rsidR="003754FE" w:rsidRDefault="003754FE" w:rsidP="003754FE">
      <w:pPr>
        <w:pStyle w:val="TextoNormalCentrado"/>
        <w:keepNext/>
      </w:pPr>
    </w:p>
    <w:p w14:paraId="6167FE9F" w14:textId="77777777" w:rsidR="003754FE" w:rsidRDefault="003754FE" w:rsidP="003754FE">
      <w:pPr>
        <w:pStyle w:val="TextoNormal"/>
      </w:pPr>
      <w:r>
        <w:t>En el recurso de amparo núm. 5037-2023, interpuesto por doña Patricia Riesgo González contra la sentencia de 17 de marzo de 2022 de la Sección Tercera de la Audiencia Provincial de Asturias, dictada en el recurso de apelación núm. 210-2022, y el auto de la Sala de lo Penal del Tribunal Supremo de 15 de junio de 2023, que inadmite el recurso de casación núm. 2798-2022, interpuesto frente a dicha sentencia. Ha comparecido y formulado alegaciones don Victorino Martínez Álvarez. Ha intervenido el Ministerio Fiscal. Ha sido ponente el magistrado don Enrique Arnaldo Alcubilla.</w:t>
      </w:r>
    </w:p>
    <w:p w14:paraId="10E13973" w14:textId="541915D9" w:rsidR="003754FE" w:rsidRDefault="003754FE" w:rsidP="003754FE">
      <w:pPr>
        <w:pStyle w:val="TextoNormal"/>
      </w:pPr>
    </w:p>
    <w:p w14:paraId="5B3C8E15" w14:textId="77777777" w:rsidR="003754FE" w:rsidRDefault="003754FE" w:rsidP="003754FE">
      <w:pPr>
        <w:pStyle w:val="TextoNormalNegritaCentrado"/>
        <w:keepNext/>
      </w:pPr>
      <w:r>
        <w:t>I. Antecedentes</w:t>
      </w:r>
    </w:p>
    <w:p w14:paraId="0CD156D4" w14:textId="55FCB870" w:rsidR="003754FE" w:rsidRDefault="003754FE" w:rsidP="003754FE">
      <w:pPr>
        <w:pStyle w:val="TextoNormalNegritaCentrado"/>
        <w:keepNext/>
      </w:pPr>
    </w:p>
    <w:p w14:paraId="69341047" w14:textId="77777777" w:rsidR="003754FE" w:rsidRDefault="003754FE" w:rsidP="003754FE">
      <w:pPr>
        <w:pStyle w:val="TextoNormal"/>
      </w:pPr>
      <w:r w:rsidRPr="003754FE">
        <w:rPr>
          <w:rStyle w:val="NumeroAFNegritaCaracter"/>
        </w:rPr>
        <w:t>1</w:t>
      </w:r>
      <w:r>
        <w:t>. Mediante escrito presentado en el registro general del Tribunal Constitucional el 18 de julio de 2023, la procuradora de los tribunales doña María Paz Galindo Perrino, designada por el turno de oficio para actuar en nombre y representación de doña Patricia Riesgo González, interesó que se suspendiese el plazo para formular recurso de amparo contra las resoluciones judiciales mencionadas en el encabezamiento en tanto no se proceda a la designación de abogado de oficio a la recurrente.</w:t>
      </w:r>
    </w:p>
    <w:p w14:paraId="6DDCD89E" w14:textId="77777777" w:rsidR="003754FE" w:rsidRDefault="003754FE" w:rsidP="003754FE">
      <w:pPr>
        <w:pStyle w:val="TextoNormal"/>
      </w:pPr>
    </w:p>
    <w:p w14:paraId="705C3B38" w14:textId="4CB5E82F" w:rsidR="003754FE" w:rsidRDefault="003754FE" w:rsidP="003754FE">
      <w:pPr>
        <w:pStyle w:val="TextoNormal"/>
      </w:pPr>
      <w:r>
        <w:lastRenderedPageBreak/>
        <w:t>Efectuada esta designación por el Colegio de Abogados de Madrid, que recayó en el letrado don Antonio Romero de Gracia, el secretario de justicia de la Sala Segunda de este tribunal, por diligencia de ordenación de 25 de septiembre de 2023, procedió a emplazar a la representación procesal de la recurrente para que formalizase la demanda de amparo. Esta demanda tuvo entrada en el registro general del Tribunal Constitucional el 2 de noviembre de 2023.</w:t>
      </w:r>
    </w:p>
    <w:p w14:paraId="0587D13C" w14:textId="77777777" w:rsidR="003754FE" w:rsidRDefault="003754FE" w:rsidP="003754FE">
      <w:pPr>
        <w:pStyle w:val="TextoNormal"/>
      </w:pPr>
    </w:p>
    <w:p w14:paraId="4E563050" w14:textId="77777777" w:rsidR="003754FE" w:rsidRDefault="003754FE" w:rsidP="003754FE">
      <w:pPr>
        <w:pStyle w:val="TextoNormal"/>
      </w:pPr>
      <w:r w:rsidRPr="003754FE">
        <w:rPr>
          <w:rStyle w:val="NumeroAFNegritaCaracter"/>
        </w:rPr>
        <w:t>2</w:t>
      </w:r>
      <w:r>
        <w:t>. El recurso de amparo tiene su origen en los antecedentes que seguidamente se relacionan.</w:t>
      </w:r>
    </w:p>
    <w:p w14:paraId="1687D86B" w14:textId="77777777" w:rsidR="003754FE" w:rsidRDefault="003754FE" w:rsidP="003754FE">
      <w:pPr>
        <w:pStyle w:val="TextoNormal"/>
      </w:pPr>
    </w:p>
    <w:p w14:paraId="5693B11E" w14:textId="77777777" w:rsidR="003754FE" w:rsidRDefault="003754FE" w:rsidP="003754FE">
      <w:pPr>
        <w:pStyle w:val="TextoNormal"/>
      </w:pPr>
      <w:r>
        <w:t>a) El Juzgado de lo Penal núm. 1 de Oviedo dictó sentencia el 9 de diciembre de 2021 en el juicio oral núm. 312-2021, en la que absolvió a la demandante de amparo de los delitos de robo con violencia e intimidación en casa habitada [arts. 237 y 242 del Código penal (CP)], del delito leve de lesiones (art. 147.2 CP), del delito leve de daños (art. 263.1 CP), y del delito de amenazas graves (art. 169.2 CP), de los que venía siendo acusada por el Ministerio Fiscal y por la acusación particular.</w:t>
      </w:r>
    </w:p>
    <w:p w14:paraId="16F24C48" w14:textId="77777777" w:rsidR="003754FE" w:rsidRDefault="003754FE" w:rsidP="003754FE">
      <w:pPr>
        <w:pStyle w:val="TextoNormal"/>
      </w:pPr>
    </w:p>
    <w:p w14:paraId="4F244E49" w14:textId="77777777" w:rsidR="003754FE" w:rsidRDefault="003754FE" w:rsidP="003754FE">
      <w:pPr>
        <w:pStyle w:val="TextoNormal"/>
      </w:pPr>
      <w:r>
        <w:t>En el relato de hechos probados de la sentencia se hace constar que doña Patricia Riesgo González acudió sobre las 00:30 horas del 22 de junio de 2021, acompañada de su pareja, don A.R.G., acusado por los mismos delitos en la causa, al domicilio de don Victorino Martínez Álvarez (acusación particular), con el propósito de conminar a este a que desistiera de su pretensión de mantener relaciones sexuales con ella. Como quiera que don Victorino Martínez Álvarez comenzara a intentar besarla y abrazarla, don A.R.G. intervino golpeando a aquel con un cayado en la frente, tras un forcejeo entre ambos, ocasionándole lesiones leves (lo que determinó que la sentencia condenase a don A.R.G., como autor de un delito leve de lesiones del art. 147.2 CP, a la pena de multa de un mes, con cuota diaria de tres euros). Se declara probado asimismo en la sentencia del juzgado que doña Patricia Riesgo González y don A.R.G. no sustrajeron a don Victorino Martínez Álvarez una tarjeta de crédito de la que este era titular, ni tampoco la suma de 500 €, en billetes de cincuenta, que guardaba en una hucha en la mesilla de su dormitorio; asimismo, que no le amenazaron con rajarlo con una navaja pequeña; que no le maniataron con el cable del cargador de su teléfono móvil; y que no ocasionaron daños materiales en su vivienda.</w:t>
      </w:r>
    </w:p>
    <w:p w14:paraId="1E36D692" w14:textId="77777777" w:rsidR="003754FE" w:rsidRDefault="003754FE" w:rsidP="003754FE">
      <w:pPr>
        <w:pStyle w:val="TextoNormal"/>
      </w:pPr>
    </w:p>
    <w:p w14:paraId="79ACB130" w14:textId="77777777" w:rsidR="003754FE" w:rsidRDefault="003754FE" w:rsidP="003754FE">
      <w:pPr>
        <w:pStyle w:val="TextoNormal"/>
      </w:pPr>
      <w:r>
        <w:t>Se razona en la sentencia que los hechos declarados probados resultan de la declaración prestada en el juicio oral por los acusados, con firmeza y sin contradicciones ni ambigüedades, y además corroborada por el visionado de los mensajes de contenido sexual enviados al teléfono móvil de doña Patricia Riesgo González por don Victorino Martínez Álvarez, mientras que el testimonio de este no resulta creíble ni corroborado por ninguna de las restantes pruebas practicadas. Se argumenta en tal sentido que no es razonable esperar diecisiete horas para acudir a denunciar un supuesto robo con violencia sufrido en su vivienda, como tampoco lo es que una persona a lo que conoce y resulta por ello fácilmente identificable, la acusada doña Patricia Riesgo González, acuda al domicilio de la presunta víctima para maniatarle, amenazarle con rajarle y robarle dinero en efectivo y una tarjeta de crédito. A lo que se añade que don Victorino Martínez Álvarez negó en el acto del juicio su conducta de contenido sexual hacia la acusada hasta que se le mostraron las grabaciones de mensajes enviadas al teléfono móvil de esta.</w:t>
      </w:r>
    </w:p>
    <w:p w14:paraId="08A038E9" w14:textId="77777777" w:rsidR="003754FE" w:rsidRDefault="003754FE" w:rsidP="003754FE">
      <w:pPr>
        <w:pStyle w:val="TextoNormal"/>
      </w:pPr>
    </w:p>
    <w:p w14:paraId="542E8814" w14:textId="77777777" w:rsidR="003754FE" w:rsidRDefault="003754FE" w:rsidP="003754FE">
      <w:pPr>
        <w:pStyle w:val="TextoNormal"/>
      </w:pPr>
      <w:r>
        <w:lastRenderedPageBreak/>
        <w:t>b) La representación procesal del acusador particular interpuso recurso de apelación contra la anterior sentencia, al que se adhirió el Ministerio Fiscal. Con apoyo en lo dispuesto en los arts. 790.2 y 792.2 de la Ley de enjuiciamiento criminal (LECrim), en la redacción resultante de la reforma introducida por la Ley 41/2015, de 5 de octubre, de modificación de la Ley de enjuiciamiento criminal para la agilización de la justicia penal y el fortalecimiento de las garantías procesales, el recurso vino fundamentado en apreciar la existencia de un error en la valoración de la prueba, solicitándose que, con estimación del mismo, se anulase la sentencia absolutoria impugnada y se ordenase la devolución de las actuaciones al Juzgado de lo Penal núm. 1 de Oviedo para que, por otro magistrado, se dictase nueva sentencia.</w:t>
      </w:r>
    </w:p>
    <w:p w14:paraId="34E83B42" w14:textId="77777777" w:rsidR="003754FE" w:rsidRDefault="003754FE" w:rsidP="003754FE">
      <w:pPr>
        <w:pStyle w:val="TextoNormal"/>
      </w:pPr>
    </w:p>
    <w:p w14:paraId="76777D8F" w14:textId="77777777" w:rsidR="003754FE" w:rsidRDefault="003754FE" w:rsidP="003754FE">
      <w:pPr>
        <w:pStyle w:val="TextoNormal"/>
      </w:pPr>
      <w:r>
        <w:t xml:space="preserve">c) Remitidos los autos a la Sección Tercera de la Audiencia Provincial de Asturias, esta dictó sentencia el 17 de marzo de 2022 estimando el recurso de apelación, declarando la nulidad de la sentencia absolutoria impugnada y ordenando que se proceda a la repetición del juicio en el Juzgado de lo Penal núm. 1 de Oviedo ante un juez distinto, “lo que viene exigido por la necesaria imparcialidad de la función de juzgar, ya que el juez </w:t>
      </w:r>
      <w:r w:rsidRPr="003754FE">
        <w:rPr>
          <w:i/>
        </w:rPr>
        <w:t>a quo</w:t>
      </w:r>
      <w:r>
        <w:t xml:space="preserve"> descartó la versión de la víctima por no creíble, frente a la de los acusados”.</w:t>
      </w:r>
    </w:p>
    <w:p w14:paraId="1061CC29" w14:textId="77777777" w:rsidR="003754FE" w:rsidRDefault="003754FE" w:rsidP="003754FE">
      <w:pPr>
        <w:pStyle w:val="TextoNormal"/>
      </w:pPr>
    </w:p>
    <w:p w14:paraId="0D2F0C51" w14:textId="77777777" w:rsidR="003754FE" w:rsidRDefault="003754FE" w:rsidP="003754FE">
      <w:pPr>
        <w:pStyle w:val="TextoNormal"/>
      </w:pPr>
      <w:r>
        <w:t xml:space="preserve">La Audiencia Provincial de Asturias fundamenta su decisión en la apreciación de que “existe una falta de razonabilidad en la valoración de la prueba por parte del juez </w:t>
      </w:r>
      <w:r w:rsidRPr="003754FE">
        <w:rPr>
          <w:i/>
        </w:rPr>
        <w:t>a quo</w:t>
      </w:r>
      <w:r>
        <w:t>, alcanzando en la sentencia unas conclusiones contrarias a las máximas de la experiencia”, toda vez que “la tardanza en denunciar no es en sí misma un dato que pueda servir para restar credibilidad a la narración ofrecida por la víctima cuando es firme y persistente, como tampoco que conociera a los acusados, cuando no resulta apreciable que se conduzca por motivo vil, espurio o de venganza frente a ellos”; a lo que se añade la concurrencia de “ciertos indicios corroboradores”, como son “un testigo de referencia, la inspección ocular del atestado, partes médicos o la admisión por los acusados de cierta parte de los hechos cuya comisión se les atribuye”.</w:t>
      </w:r>
    </w:p>
    <w:p w14:paraId="2EF060A2" w14:textId="77777777" w:rsidR="003754FE" w:rsidRDefault="003754FE" w:rsidP="003754FE">
      <w:pPr>
        <w:pStyle w:val="TextoNormal"/>
      </w:pPr>
    </w:p>
    <w:p w14:paraId="35264100" w14:textId="1F132C82" w:rsidR="003754FE" w:rsidRDefault="003754FE" w:rsidP="003754FE">
      <w:pPr>
        <w:pStyle w:val="TextoNormal"/>
      </w:pPr>
      <w:r>
        <w:t>d) La demandante de amparo y el coacusado interpusieron recurso de casación por infracción de precepto constitucional (art. 24 CE) contra la sentencia dictada en apelación, en el que invocaron la lesión de los derechos a la tutela judicial efectiva, a la defensa, y a un proceso con todas las garantías. El recurso —núm. 2798-2022— fue inadmitido por auto de 15 de junio de 2023 de la Sala de lo Penal del Tribunal Supremo, de conformidad con lo dispuesto en el art. 847.2 LECrim.</w:t>
      </w:r>
    </w:p>
    <w:p w14:paraId="1E138E9E" w14:textId="77777777" w:rsidR="003754FE" w:rsidRDefault="003754FE" w:rsidP="003754FE">
      <w:pPr>
        <w:pStyle w:val="TextoNormal"/>
      </w:pPr>
    </w:p>
    <w:p w14:paraId="089F78DD" w14:textId="77777777" w:rsidR="003754FE" w:rsidRDefault="003754FE" w:rsidP="003754FE">
      <w:pPr>
        <w:pStyle w:val="TextoNormal"/>
      </w:pPr>
      <w:r w:rsidRPr="003754FE">
        <w:rPr>
          <w:rStyle w:val="NumeroAFNegritaCaracter"/>
        </w:rPr>
        <w:t>3</w:t>
      </w:r>
      <w:r>
        <w:t>. La recurrente, tras referirse a los antecedentes del asunto y exponer en su recurso de amparo las razones que dotan a este de especial trascendencia constitucional, aduce que la sentencia dictada en apelación por la Sección Tercera de la Audiencia Provincial de Asturias, que revoca el pronunciamiento absolutorio del juzgado de lo penal y ordena retrotraer las actuaciones para que se celebre de nuevo el juicio oral ante un juez distinto, ha vulnerado sus derechos fundamentales a la tutela judicial efectiva (art. 24.1 CE) y a la defensa y a un proceso con todas las garantías (art. 24.2 CE). A estos efectos la demanda de amparo se remite al contenido de los arts. 790.2 y 792.2 LECrim y cita la STC 4/2004, de 14 enero, entre otras, para seguidamente señalar que la motivación de la sentencia de apelación para revocar el pronunciamiento absolutorio de instancia resulta insuficiente e implica una nueva valoración de la prueba practicada en el juicio oral que sobrepasa los límites señalados por la doctrina del Tribunal Constitucional para la revocación de las sentencias absolutorias.</w:t>
      </w:r>
    </w:p>
    <w:p w14:paraId="53C70B4D" w14:textId="77777777" w:rsidR="003754FE" w:rsidRDefault="003754FE" w:rsidP="003754FE">
      <w:pPr>
        <w:pStyle w:val="TextoNormal"/>
      </w:pPr>
    </w:p>
    <w:p w14:paraId="5E6DEEAE" w14:textId="009C5D30" w:rsidR="003754FE" w:rsidRDefault="003754FE" w:rsidP="003754FE">
      <w:pPr>
        <w:pStyle w:val="TextoNormal"/>
      </w:pPr>
      <w:r>
        <w:lastRenderedPageBreak/>
        <w:t>En el suplico de la demanda de amparo se solicita la declaración de nulidad de la sentencia impugnada y que se declare la firmeza de la sentencia absolutoria dictada por el Juzgado de lo Penal núm. 1 de Oviedo.</w:t>
      </w:r>
    </w:p>
    <w:p w14:paraId="33484056" w14:textId="77777777" w:rsidR="003754FE" w:rsidRDefault="003754FE" w:rsidP="003754FE">
      <w:pPr>
        <w:pStyle w:val="TextoNormal"/>
      </w:pPr>
    </w:p>
    <w:p w14:paraId="21566606" w14:textId="6FCFE742" w:rsidR="003754FE" w:rsidRDefault="003754FE" w:rsidP="003754FE">
      <w:pPr>
        <w:pStyle w:val="TextoNormal"/>
      </w:pPr>
      <w:r w:rsidRPr="003754FE">
        <w:rPr>
          <w:rStyle w:val="NumeroAFNegritaCaracter"/>
        </w:rPr>
        <w:t>4</w:t>
      </w:r>
      <w:r>
        <w:t>. La Sección Cuarta de este tribunal, por providencia de 8 de abril de 2024, acordó la admisión a trámite del presente recurso de amparo, apreciando que concurre en el mismo una especial trascendencia constitucional [art. 50.1 de la Ley Orgánica del Tribunal Constitucional (LOTC)] porque el recurso puede dar ocasión a este tribunal para aclarar o cambiar su doctrina, como consecuencia de cambios normativos relevantes para la configuración del contenido del derecho fundamental [STC 155/2009, de 25 de junio, FJ 2 b)]. Asimismo, en aplicación del art. 51 LOTC, acordó dirigir atenta comunicación al Juzgado de lo Penal núm. 1 de Oviedo, a la Sección Tercera de la Audiencia Provincial de Asturias y a Sala de lo Penal del Tribunal Supremo para que remitieran, en un plazo no superior a diez días, testimonio de sus respectivas actuaciones (juicio oral núm. 312-2021, recurso de apelación núm. 210-2022 y recurso de casación núm. 2798-2022). Requirió también al juzgado para que procediera al emplazamiento, por término de diez días, de quienes hubieran sido parte en el procedimiento penal para que pudieran comparecer, si lo desearan, en el recurso de amparo.</w:t>
      </w:r>
    </w:p>
    <w:p w14:paraId="76BC63A2" w14:textId="77777777" w:rsidR="003754FE" w:rsidRDefault="003754FE" w:rsidP="003754FE">
      <w:pPr>
        <w:pStyle w:val="TextoNormal"/>
      </w:pPr>
    </w:p>
    <w:p w14:paraId="2AF69E7D" w14:textId="53D6505D" w:rsidR="003754FE" w:rsidRDefault="003754FE" w:rsidP="003754FE">
      <w:pPr>
        <w:pStyle w:val="TextoNormal"/>
      </w:pPr>
      <w:r w:rsidRPr="003754FE">
        <w:rPr>
          <w:rStyle w:val="NumeroAFNegritaCaracter"/>
        </w:rPr>
        <w:t>5</w:t>
      </w:r>
      <w:r>
        <w:t>. El 24 de abril de 2024 compareció en las actuaciones el procurador de los tribunales don Jorge Avello Otero, en nombre y representación de don Victorino Martínez Álvarez, y bajo la dirección técnica del abogado don Óscar Roces Álvarez, solicitando que se le tuviera por personado y parte en el presente recurso de amparo.</w:t>
      </w:r>
    </w:p>
    <w:p w14:paraId="2BB6ED87" w14:textId="77777777" w:rsidR="003754FE" w:rsidRDefault="003754FE" w:rsidP="003754FE">
      <w:pPr>
        <w:pStyle w:val="TextoNormal"/>
      </w:pPr>
    </w:p>
    <w:p w14:paraId="11AA29F1" w14:textId="506CDF30" w:rsidR="003754FE" w:rsidRDefault="003754FE" w:rsidP="003754FE">
      <w:pPr>
        <w:pStyle w:val="TextoNormal"/>
      </w:pPr>
      <w:r w:rsidRPr="003754FE">
        <w:rPr>
          <w:rStyle w:val="NumeroAFNegritaCaracter"/>
        </w:rPr>
        <w:t>6</w:t>
      </w:r>
      <w:r>
        <w:t>. El secretario de justicia de la Sala Segunda de este tribunal, por diligencia de 17 de mayo de 2024, tuvo por personado y parte en el recurso de amparo al procurador don Jorge Avello Otero, en nombre y representación de don Victorino Martínez Álvarez, y acordó dar vista por plazo común de veinte días de las actuaciones a las partes y al Ministerio Fiscal, para que pudiesen presentar las alegaciones que estimaren pertinentes, de conformidad con el art. 52.1 LOTC.</w:t>
      </w:r>
    </w:p>
    <w:p w14:paraId="54C30D13" w14:textId="77777777" w:rsidR="003754FE" w:rsidRDefault="003754FE" w:rsidP="003754FE">
      <w:pPr>
        <w:pStyle w:val="TextoNormal"/>
      </w:pPr>
    </w:p>
    <w:p w14:paraId="03917A83" w14:textId="7F15A544" w:rsidR="003754FE" w:rsidRDefault="003754FE" w:rsidP="003754FE">
      <w:pPr>
        <w:pStyle w:val="TextoNormal"/>
      </w:pPr>
      <w:r w:rsidRPr="003754FE">
        <w:rPr>
          <w:rStyle w:val="NumeroAFNegritaCaracter"/>
        </w:rPr>
        <w:t>7</w:t>
      </w:r>
      <w:r>
        <w:t>. La representación procesal de la recurrente presentó escrito de alegaciones el 27 de mayo de 2024, en el que se ratificó íntegramente en lo expuesto en la demanda de amparo.</w:t>
      </w:r>
    </w:p>
    <w:p w14:paraId="3E4158FF" w14:textId="77777777" w:rsidR="003754FE" w:rsidRDefault="003754FE" w:rsidP="003754FE">
      <w:pPr>
        <w:pStyle w:val="TextoNormal"/>
      </w:pPr>
    </w:p>
    <w:p w14:paraId="21471BC3" w14:textId="77777777" w:rsidR="003754FE" w:rsidRDefault="003754FE" w:rsidP="003754FE">
      <w:pPr>
        <w:pStyle w:val="TextoNormal"/>
      </w:pPr>
      <w:r w:rsidRPr="003754FE">
        <w:rPr>
          <w:rStyle w:val="NumeroAFNegritaCaracter"/>
        </w:rPr>
        <w:t>8</w:t>
      </w:r>
      <w:r>
        <w:t>. La representación procesal de don Victorino Martínez Álvarez presentó escrito de alegaciones el 17 de junio de 2024, interesando la inadmisión del recurso de amparo o, subsidiariamente, su desestimación. Asimismo solicita que, de conformidad con lo dispuesto en el art. 95.2 LOTC, le sean impuestas a la recurrente las costas derivadas de la tramitación del presente recurso de amparo, por haber actuado con temeridad.</w:t>
      </w:r>
    </w:p>
    <w:p w14:paraId="78C57115" w14:textId="77777777" w:rsidR="003754FE" w:rsidRDefault="003754FE" w:rsidP="003754FE">
      <w:pPr>
        <w:pStyle w:val="TextoNormal"/>
      </w:pPr>
    </w:p>
    <w:p w14:paraId="0F4DD5C0" w14:textId="77777777" w:rsidR="003754FE" w:rsidRDefault="003754FE" w:rsidP="003754FE">
      <w:pPr>
        <w:pStyle w:val="TextoNormal"/>
      </w:pPr>
      <w:r>
        <w:t xml:space="preserve">Advierte, en primer lugar, que con posterioridad a la interposición del presente recurso de amparo y como consecuencia de la nulidad del primer juicio decretada por la Audiencia Provincial de Asturias, se celebró nueva vista oral el 8 de marzo de 2024 ante el Juzgado de lo Penal núm. 1 de Oviedo, en la que la demandante y el otro acusado mostraron su conformidad con la calificación de los hechos y las condenas solicitadas por el Ministerio Fiscal y la acusación particular, de tal forma que se aquietaron a una condena por un delito de robo con intimidación en casa habitada, un delito leve de lesiones, un delito leve de daños y un </w:t>
      </w:r>
      <w:r>
        <w:lastRenderedPageBreak/>
        <w:t>delito leve de amenazas, motivo por el cual se dictó seguidamente sentencia de conformidad, que se declaró firme en el mismo acto, por manifestar todas las partes su intención de no recurrir. En consecuencia, el recurso de amparo interpuesto carece de objeto, pues no puede pedir amparo quien reconoce la comisión de los hechos objeto de condena.</w:t>
      </w:r>
    </w:p>
    <w:p w14:paraId="07234D1E" w14:textId="77777777" w:rsidR="003754FE" w:rsidRDefault="003754FE" w:rsidP="003754FE">
      <w:pPr>
        <w:pStyle w:val="TextoNormal"/>
      </w:pPr>
    </w:p>
    <w:p w14:paraId="57550D5F" w14:textId="4AAD2AEA" w:rsidR="003754FE" w:rsidRDefault="003754FE" w:rsidP="003754FE">
      <w:pPr>
        <w:pStyle w:val="TextoNormal"/>
      </w:pPr>
      <w:r>
        <w:t>Subsidiariamente, interesa la desestimación del recurso de amparo, por entender que no se producido la vulneración de los derechos fundamentales alegados por la demandante. En su sentencia estimatoria del recurso de apelación, la Audiencia Provincial de Asturias no efectúa una nueva valoración de la prueba, sino que destaca el motivo por el que considera que la valoración efectuada por el juez de lo penal en su sentencia absolutoria resulta arbitraria y no razonable. Por ello, la Audiencia Provincial de Asturias no dicta una sentencia condenatoria, sino que, en aplicación de lo dispuesto en los arts. 790 y 792 LECrim, se limita a anular la sentencia absolutoria y a devolver las actuaciones al juzgado de lo penal para que, con un juzgador distinto, tras la celebración de nuevo juicio oral, dicte una nueva sentencia donde se alcance un pronunciamiento, absolutorio o condenatorio, pero que resulte debidamente motivado y no resulte arbitrario ni irracional. No existe, en definitiva, ninguna vulneración de derechos fundamentales en la sentencia impugnada en amparo.</w:t>
      </w:r>
    </w:p>
    <w:p w14:paraId="6715C057" w14:textId="77777777" w:rsidR="003754FE" w:rsidRDefault="003754FE" w:rsidP="003754FE">
      <w:pPr>
        <w:pStyle w:val="TextoNormal"/>
      </w:pPr>
    </w:p>
    <w:p w14:paraId="01452F1E" w14:textId="77777777" w:rsidR="003754FE" w:rsidRDefault="003754FE" w:rsidP="003754FE">
      <w:pPr>
        <w:pStyle w:val="TextoNormal"/>
      </w:pPr>
      <w:r w:rsidRPr="003754FE">
        <w:rPr>
          <w:rStyle w:val="NumeroAFNegritaCaracter"/>
        </w:rPr>
        <w:t>9</w:t>
      </w:r>
      <w:r>
        <w:t>. El Ministerio Fiscal presentó escrito de alegaciones el 18 de junio de 2024, interesando la estimación del recurso de amparo.</w:t>
      </w:r>
    </w:p>
    <w:p w14:paraId="2107CE58" w14:textId="77777777" w:rsidR="003754FE" w:rsidRDefault="003754FE" w:rsidP="003754FE">
      <w:pPr>
        <w:pStyle w:val="TextoNormal"/>
      </w:pPr>
    </w:p>
    <w:p w14:paraId="0CD3FE04" w14:textId="49038C32" w:rsidR="003754FE" w:rsidRDefault="003754FE" w:rsidP="003754FE">
      <w:pPr>
        <w:pStyle w:val="TextoNormal"/>
      </w:pPr>
      <w:r>
        <w:t>Tras exponer los antecedentes del asunto y hacer una síntesis del desarrollo argumental de los motivos del recurso de amparo, el fiscal recuerda la doctrina sentada en la STC 72/2024, de 7 de mayo, acerca de los límites constitucionales de la competencia del tribunal de apelación para revisar el fundamento fáctico de una sentencia penal absolutoria, con fundamento en la denuncia de error en la valoración de la prueba, en el marco de los arts. 790.2 y 792 LECrim. La aplicación de la referida doctrina constitucional al presente caso conduce a la estimación del recurso de amparo, a juicio del fiscal, pues la Audiencia Provincial de Oviedo se ha extralimitado en la función revisora que le compete, ya que ha revocado el pronunciamiento absolutorio de la sentencia de instancia no a partir de un control externo sobre la razonabilidad o suficiencia de la motivación de esa sentencia, sino acudiendo a un reexamen de las pruebas personales practicadas y su valoración alternativa, con una conclusión en la que subyace una convicción de culpabilidad. La sentencia dictada en apelación ha vulnerado, en consecuencia, los derechos de la demandante a la tutela judicial efectiva (art. 24.1 CE) y a un proceso con todas las garantías (art. 24.2 CE), por lo que ha de ser declarada nula, y asimismo debe declararse la firmeza de la sentencia absolutoria del juzgado de lo penal.</w:t>
      </w:r>
    </w:p>
    <w:p w14:paraId="5C863D75" w14:textId="77777777" w:rsidR="003754FE" w:rsidRDefault="003754FE" w:rsidP="003754FE">
      <w:pPr>
        <w:pStyle w:val="TextoNormal"/>
      </w:pPr>
    </w:p>
    <w:p w14:paraId="3C189564" w14:textId="1627E975" w:rsidR="003754FE" w:rsidRDefault="003754FE" w:rsidP="003754FE">
      <w:pPr>
        <w:pStyle w:val="TextoNormal"/>
      </w:pPr>
      <w:r w:rsidRPr="003754FE">
        <w:rPr>
          <w:rStyle w:val="NumeroAFNegritaCaracter"/>
        </w:rPr>
        <w:t>10</w:t>
      </w:r>
      <w:r>
        <w:t>. Por providencia de 17 de octubre de 2024 se señaló para votación y fallo del presente recurso el día 21 del mismo mes y año.</w:t>
      </w:r>
    </w:p>
    <w:p w14:paraId="286FAAA5" w14:textId="77777777" w:rsidR="003754FE" w:rsidRDefault="003754FE" w:rsidP="003754FE">
      <w:pPr>
        <w:pStyle w:val="TextoNormal"/>
      </w:pPr>
    </w:p>
    <w:p w14:paraId="000EBF2F" w14:textId="77777777" w:rsidR="003754FE" w:rsidRDefault="003754FE" w:rsidP="003754FE">
      <w:pPr>
        <w:pStyle w:val="TextoNormalNegritaCentrado"/>
        <w:keepNext/>
      </w:pPr>
      <w:r>
        <w:t>II. Fundamentos jurídicos</w:t>
      </w:r>
    </w:p>
    <w:p w14:paraId="114D7148" w14:textId="62FF87EF" w:rsidR="003754FE" w:rsidRDefault="003754FE" w:rsidP="003754FE">
      <w:pPr>
        <w:pStyle w:val="TextoNormalNegritaCentrado"/>
        <w:keepNext/>
      </w:pPr>
    </w:p>
    <w:p w14:paraId="61BB3E5D" w14:textId="77777777" w:rsidR="003754FE" w:rsidRDefault="003754FE" w:rsidP="003754FE">
      <w:pPr>
        <w:pStyle w:val="TextoNormal"/>
      </w:pPr>
      <w:r w:rsidRPr="003754FE">
        <w:rPr>
          <w:rStyle w:val="NumeroAFNegritaCaracter"/>
        </w:rPr>
        <w:t>1</w:t>
      </w:r>
      <w:r>
        <w:t xml:space="preserve">. </w:t>
      </w:r>
      <w:r w:rsidRPr="003754FE">
        <w:rPr>
          <w:i/>
        </w:rPr>
        <w:t>Delimitación del objeto del recurso de amparo</w:t>
      </w:r>
    </w:p>
    <w:p w14:paraId="2D7605A3" w14:textId="77777777" w:rsidR="003754FE" w:rsidRDefault="003754FE" w:rsidP="003754FE">
      <w:pPr>
        <w:pStyle w:val="TextoNormal"/>
      </w:pPr>
    </w:p>
    <w:p w14:paraId="617DA58A" w14:textId="77777777" w:rsidR="003754FE" w:rsidRDefault="003754FE" w:rsidP="003754FE">
      <w:pPr>
        <w:pStyle w:val="TextoNormal"/>
      </w:pPr>
      <w:r>
        <w:t xml:space="preserve">El presente recurso de amparo se dirige contra la sentencia de 17 de marzo de 2022 de la Sección Tercera de la Audiencia Provincial de Asturias, dictada en el recurso de apelación </w:t>
      </w:r>
      <w:r>
        <w:lastRenderedPageBreak/>
        <w:t>núm. 210-2022, que revoca la sentencia absolutoria del Juzgado de lo Penal núm. 1 de Oviedo y ordena retrotraer las actuaciones para que se celebre de nuevo el juicio oral ante un juez distinto. También se impugna el auto de la Sala de lo Penal del Tribunal Supremo de 15 de junio de 2023, que inadmite el recurso de casación interpuesto frente a la sentencia de la Audiencia Provincial de Asturias, en cuanto no repara las vulneraciones constitucionales que a dicha sentencia se imputan. La demandante de amparo sostiene que esta sentencia ha vulnerado sus derechos fundamentales a la tutela judicial efectiva (art. 24.1 CE) y a la defensa y a un proceso con todas las garantías (art. 24.2 CE), por lo que solicita que sea anulada y se declare la firmeza de la dictada por el juzgado de lo penal.</w:t>
      </w:r>
    </w:p>
    <w:p w14:paraId="5EEF3FEE" w14:textId="77777777" w:rsidR="003754FE" w:rsidRDefault="003754FE" w:rsidP="003754FE">
      <w:pPr>
        <w:pStyle w:val="TextoNormal"/>
      </w:pPr>
    </w:p>
    <w:p w14:paraId="57966B6C" w14:textId="77777777" w:rsidR="003754FE" w:rsidRDefault="003754FE" w:rsidP="003754FE">
      <w:pPr>
        <w:pStyle w:val="TextoNormal"/>
      </w:pPr>
      <w:r>
        <w:t>La demandante, que resultó absuelta por sentencia de 9 de diciembre de 2021 del Juzgado de lo Penal núm. 1 de Oviedo, de los delitos de robo con violencia e intimidación en casa habitada, lesiones, daños y amenazas, de los que venía siendo acusada, sostiene, en síntesis, que la sentencia de apelación ha revocado el pronunciamiento absolutorio de instancia sin respetar los límites señalados por la doctrina del Tribunal Constitucional para la revisión de las sentencias absolutorias, pues la Audiencia Provincial de Asturias no se ha limitado a controlar la razonabilidad del discurso argumental del juzgado de lo penal, sino que ha realizado una nueva valoración de la prueba practicada en el juicio, sin garantías de contradicción y defensa.</w:t>
      </w:r>
    </w:p>
    <w:p w14:paraId="6BF0E83A" w14:textId="77777777" w:rsidR="003754FE" w:rsidRDefault="003754FE" w:rsidP="003754FE">
      <w:pPr>
        <w:pStyle w:val="TextoNormal"/>
      </w:pPr>
    </w:p>
    <w:p w14:paraId="3EAA989A" w14:textId="77777777" w:rsidR="003754FE" w:rsidRDefault="003754FE" w:rsidP="003754FE">
      <w:pPr>
        <w:pStyle w:val="TextoNormal"/>
      </w:pPr>
      <w:r>
        <w:t>El Ministerio Fiscal, por las razones que han quedado resumidas en el relato de antecedentes, apoya la pretensión de la demandante y solicita la estimación del recurso de amparo en los mismos términos.</w:t>
      </w:r>
    </w:p>
    <w:p w14:paraId="580B7EA9" w14:textId="77777777" w:rsidR="003754FE" w:rsidRDefault="003754FE" w:rsidP="003754FE">
      <w:pPr>
        <w:pStyle w:val="TextoNormal"/>
      </w:pPr>
    </w:p>
    <w:p w14:paraId="5D8404CF" w14:textId="6FDB856A" w:rsidR="003754FE" w:rsidRDefault="003754FE" w:rsidP="003754FE">
      <w:pPr>
        <w:pStyle w:val="TextoNormal"/>
      </w:pPr>
      <w:r>
        <w:t>La representación procesal de quien ejerció la acusación particular interesa, en primer lugar, la inadmisión del recurso de amparo, por carencia sobrevenida de objeto, toda vez que, como consecuencia de la nulidad del primer juicio y sentencia decretada por la Audiencia Provincial de Asturias, se celebró nueva vista oral el 8 de marzo de 2024 ante el Juzgado de lo Penal núm. 1 de Oviedo, en la que la demandante de amparo y el otro acusado mostraron su conformidad con la calificación de los hechos y las condenas solicitadas por el Ministerio Fiscal y la acusación particular, de tal forma que se aquietaron a una condena por un delito de robo con intimidación en casa habitada, un delito leve de lesiones, un delito leve de daños y un delito leve de amenazas, motivo por el cual se dictó seguidamente sentencia de conformidad, que se declaró firme en el mismo acto, por manifestar todas las partes su intención de no recurrir. En consecuencia, el presente recurso de amparo carece ya de objeto, pues no puede pedir amparo quien reconoce la comisión de los hechos objeto de condena. Subsidiariamente, interesa la desestimación del recurso de amparo, por entender que no se ha producido la vulneración de los derechos fundamentales alegados por la demandante. También solicita que, de conformidad con lo dispuesto en el art. 95.2 LOTC, le sean impuestas a esta las costas derivadas de la tramitación del presente recurso de amparo, por actuar con temeridad.</w:t>
      </w:r>
    </w:p>
    <w:p w14:paraId="5D73E23A" w14:textId="77777777" w:rsidR="003754FE" w:rsidRDefault="003754FE" w:rsidP="003754FE">
      <w:pPr>
        <w:pStyle w:val="TextoNormal"/>
      </w:pPr>
    </w:p>
    <w:p w14:paraId="0909884D" w14:textId="77777777" w:rsidR="003754FE" w:rsidRDefault="003754FE" w:rsidP="003754FE">
      <w:pPr>
        <w:pStyle w:val="TextoNormal"/>
      </w:pPr>
      <w:r w:rsidRPr="003754FE">
        <w:rPr>
          <w:rStyle w:val="NumeroAFNegritaCaracter"/>
        </w:rPr>
        <w:t>2</w:t>
      </w:r>
      <w:r>
        <w:t xml:space="preserve">. </w:t>
      </w:r>
      <w:r w:rsidRPr="003754FE">
        <w:rPr>
          <w:i/>
        </w:rPr>
        <w:t>Sobre la pérdida de objeto del presente recurso de amparo</w:t>
      </w:r>
    </w:p>
    <w:p w14:paraId="2808C57E" w14:textId="77777777" w:rsidR="003754FE" w:rsidRDefault="003754FE" w:rsidP="003754FE">
      <w:pPr>
        <w:pStyle w:val="TextoNormal"/>
      </w:pPr>
    </w:p>
    <w:p w14:paraId="7CAD04DF" w14:textId="77777777" w:rsidR="003754FE" w:rsidRDefault="003754FE" w:rsidP="003754FE">
      <w:pPr>
        <w:pStyle w:val="TextoNormal"/>
      </w:pPr>
      <w:r>
        <w:t xml:space="preserve">A la vista de las alegaciones formuladas por la representación procesal de don Victorino Martínez Álvarez, que ejerció la acusación particular en el proceso penal del que trae causa el presente recurso de amparo, antes de examinar la queja planteada por la demandante </w:t>
      </w:r>
      <w:r>
        <w:lastRenderedPageBreak/>
        <w:t>debemos dilucidar si se ha producido la pérdida de objeto de este proceso constitucional por la razón que aquel señala.</w:t>
      </w:r>
    </w:p>
    <w:p w14:paraId="7B88E82C" w14:textId="77777777" w:rsidR="003754FE" w:rsidRDefault="003754FE" w:rsidP="003754FE">
      <w:pPr>
        <w:pStyle w:val="TextoNormal"/>
      </w:pPr>
    </w:p>
    <w:p w14:paraId="1B243358" w14:textId="77777777" w:rsidR="003754FE" w:rsidRDefault="003754FE" w:rsidP="003754FE">
      <w:pPr>
        <w:pStyle w:val="TextoNormal"/>
      </w:pPr>
      <w:r>
        <w:t>El examen de las actuaciones judiciales aportadas permite constatar que, en efecto, en cumplimiento de lo acordado en la sentencia dictada el 17 de marzo de 2022 por la Sección Tercera de la Audiencia Provincial de Asturias en el recurso de apelación núm. 210-2022, que revoca la sentencia absolutoria del Juzgado de lo Penal núm. 1 de Oviedo y ordena retrotraer las actuaciones para que se celebre de nuevo el juicio oral ante un juez distinto, con fecha 8 de marzo de 2024 se celebró nuevo juicio oral en dicho juzgado de lo Penal núm. 1 de Oviedo, en el que la demandante de amparo y el coacusado don A.R.G. mostraron su conformidad con la calificación de los hechos y las condenas solicitadas por el Ministerio Fiscal en conclusiones, a las que se adhirió la acusación particular. De tal forma que en la misma fecha el juzgado dictó sentencia de conformidad, en virtud de la cual los acusados fueron condenados por un delito de robo con intimidación en casa habitada, un delito leve de lesiones, un delito leve de daños y un delito leve de amenazas, concurriendo las atenuantes muy cualificadas de reparación del daño y de dilaciones indebidas. La sentencia fue declarada firme en el mismo acto, por haber manifestado todas las partes en el acto del juicio su intención de no recurrir.</w:t>
      </w:r>
    </w:p>
    <w:p w14:paraId="6427681B" w14:textId="77777777" w:rsidR="003754FE" w:rsidRDefault="003754FE" w:rsidP="003754FE">
      <w:pPr>
        <w:pStyle w:val="TextoNormal"/>
      </w:pPr>
    </w:p>
    <w:p w14:paraId="27AC3605" w14:textId="77777777" w:rsidR="003754FE" w:rsidRDefault="003754FE" w:rsidP="003754FE">
      <w:pPr>
        <w:pStyle w:val="TextoNormal"/>
      </w:pPr>
      <w:r>
        <w:t>Esta sentencia condenatoria firme, dictada incluso antes de la admisión a trámite del presente recurso de amparo, pero de la que no hemos tenido conocimiento hasta recibir las actuaciones judiciales, cobra sin duda relevancia para la resolución de este recurso, interpuesto por la demandante contra la sentencia dictada en apelación el 17 de marzo de 2022 por la Sección Tercera de la Audiencia Provincial de Asturias, que revoca la sentencia absolutoria del Juzgado de lo Penal núm. 1 de Oviedo y ordena retrotraer las actuaciones para que se celebre de nuevo el juicio oral ante un juez distinto. Adviértase que la sentencia de apelación impugnada ha seguido desplegando efectos, al no haber solicitado la demandante en ningún momento ante este Tribunal Constitucional la suspensión de su ejecución, de conformidad con lo dispuesto en el art. 56 LOTC.</w:t>
      </w:r>
    </w:p>
    <w:p w14:paraId="07B2FBC7" w14:textId="77777777" w:rsidR="003754FE" w:rsidRDefault="003754FE" w:rsidP="003754FE">
      <w:pPr>
        <w:pStyle w:val="TextoNormal"/>
      </w:pPr>
    </w:p>
    <w:p w14:paraId="768AFC18" w14:textId="77777777" w:rsidR="003754FE" w:rsidRDefault="003754FE" w:rsidP="003754FE">
      <w:pPr>
        <w:pStyle w:val="TextoNormal"/>
      </w:pPr>
      <w:r>
        <w:t>Así las cosas, al celebrarse el pasado 8 de marzo de 2024 ante el Juzgado de lo Penal núm. 1 de Oviedo un nuevo juicio oral y dictarse en la misma fecha sentencia de conformidad, que es firme, por la que la demandante ha sido finalmente condenada por los delitos de los que venía siendo acusada por el Ministerio fiscal y la acusación particular, carece ya de sentido que nos pronunciemos sobre la eventual vulneración de derechos fundamentales que se imputa en la demanda de amparo a la sentencia dictada en apelación por la Sección Tercera de la Audiencia Provincial de Asturias el 17 de marzo de 2022. En efecto, al haber sido ya condenada la demandante de amparo en sentencia firme en un nuevo juicio, tras mostrar su conformidad con la calificación de los hechos y las condenas solicitadas por el Ministerio Fiscal y la acusación particular, el amparo solicitado carece de cualquier efecto útil, es decir, solo entrañaría una anulación de efectos puramente formales de la resolución judicial impugnada (entre otras, SSTC 175/1990, de 12 de noviembre, FJ 2; 172/1993, de 27 de mayo, FJ 3; 66/2007, de 27 de marzo, FJ 7, y 71/2008, de 27 de mayo, FJ 6), sin repercusión alguna en cuanto a la condena penal impuesta a la demandante, a la que, por otra parte, esta se ha aquietado.</w:t>
      </w:r>
    </w:p>
    <w:p w14:paraId="1863B563" w14:textId="77777777" w:rsidR="003754FE" w:rsidRDefault="003754FE" w:rsidP="003754FE">
      <w:pPr>
        <w:pStyle w:val="TextoNormal"/>
      </w:pPr>
    </w:p>
    <w:p w14:paraId="184E7715" w14:textId="77777777" w:rsidR="003754FE" w:rsidRDefault="003754FE" w:rsidP="003754FE">
      <w:pPr>
        <w:pStyle w:val="TextoNormal"/>
      </w:pPr>
      <w:r>
        <w:lastRenderedPageBreak/>
        <w:t>En consecuencia, debemos compartir la conclusión sustentada por la parte compareciente, y apreciar que, debido a la razón expuesta, el recurso de amparo ha decaído por carencia sobrevenida de objeto.</w:t>
      </w:r>
    </w:p>
    <w:p w14:paraId="18340DD3" w14:textId="77777777" w:rsidR="003754FE" w:rsidRDefault="003754FE" w:rsidP="003754FE">
      <w:pPr>
        <w:pStyle w:val="TextoNormal"/>
      </w:pPr>
    </w:p>
    <w:p w14:paraId="301EB2C6" w14:textId="339A56F3" w:rsidR="003754FE" w:rsidRDefault="003754FE" w:rsidP="003754FE">
      <w:pPr>
        <w:pStyle w:val="TextoNormal"/>
      </w:pPr>
      <w:r>
        <w:t>Lo anterior no impide rechazar la solicitud de condena en costas a la demandante que, con invocación del art. 95.2 LOTC, deduce también el compareciente. La mera admisión a trámite del recurso de amparo, por apreciar este tribunal que el asunto reviste especial trascendencia constitucional, impide apreciar la temeridad o mala fe que legitimarían la imposición de las costas a la demandante conforme a dicho precepto (así, STC 126/2013, de 3 de junio, FJ 8).</w:t>
      </w:r>
    </w:p>
    <w:p w14:paraId="69E31FC7" w14:textId="77777777" w:rsidR="003754FE" w:rsidRDefault="003754FE" w:rsidP="003754FE">
      <w:pPr>
        <w:pStyle w:val="TextoNormal"/>
      </w:pPr>
    </w:p>
    <w:p w14:paraId="5ED1961F" w14:textId="77777777" w:rsidR="003754FE" w:rsidRDefault="003754FE" w:rsidP="003754FE">
      <w:pPr>
        <w:pStyle w:val="TextoNormalCentrado"/>
        <w:keepNext/>
      </w:pPr>
      <w:r>
        <w:t>FALLO</w:t>
      </w:r>
    </w:p>
    <w:p w14:paraId="44CBD4EF" w14:textId="5AB4A2AC" w:rsidR="003754FE" w:rsidRDefault="003754FE" w:rsidP="003754FE">
      <w:pPr>
        <w:pStyle w:val="TextoNormalCentrado"/>
        <w:keepNext/>
      </w:pPr>
    </w:p>
    <w:p w14:paraId="2888AF5C" w14:textId="31DCE3A8" w:rsidR="003754FE" w:rsidRDefault="003754FE" w:rsidP="003754FE">
      <w:pPr>
        <w:pStyle w:val="TextoNormal"/>
      </w:pPr>
      <w:r>
        <w:t>En atención a todo lo expuesto, el Tribunal Constitucional, por la autoridad que le confiere la Constitución de la Nación española, ha decidido declarar la desaparición sobrevenida del objeto del recurso de amparo interpuesto por doña Patricia Riesgo González.</w:t>
      </w:r>
    </w:p>
    <w:p w14:paraId="317AC19F" w14:textId="77777777" w:rsidR="003754FE" w:rsidRDefault="003754FE" w:rsidP="003754FE">
      <w:pPr>
        <w:pStyle w:val="TextoNormal"/>
      </w:pPr>
    </w:p>
    <w:p w14:paraId="2558C919" w14:textId="77777777" w:rsidR="003754FE" w:rsidRDefault="003754FE" w:rsidP="003754FE">
      <w:pPr>
        <w:pStyle w:val="TextoNormal"/>
      </w:pPr>
      <w:r>
        <w:t>Publíquese esta sentencia en el “Boletín Oficial del Estado”.</w:t>
      </w:r>
    </w:p>
    <w:p w14:paraId="3AC8B097" w14:textId="77777777" w:rsidR="003754FE" w:rsidRDefault="003754FE" w:rsidP="003754FE">
      <w:pPr>
        <w:pStyle w:val="TextoNormal"/>
      </w:pPr>
      <w:r>
        <w:t>Dada en Madrid, a veintiuno de octubre de dos mil veinticuatro.</w:t>
      </w:r>
    </w:p>
    <w:p w14:paraId="5D191B4A" w14:textId="2738DE5F" w:rsidR="003754FE" w:rsidRDefault="003754FE">
      <w:pPr>
        <w:spacing w:after="160" w:line="278" w:lineRule="auto"/>
        <w:rPr>
          <w:rFonts w:ascii="Times New Roman" w:eastAsia="Times New Roman" w:hAnsi="Times New Roman" w:cs="Times New Roman"/>
          <w:sz w:val="24"/>
          <w:szCs w:val="24"/>
          <w:lang w:eastAsia="es-ES"/>
        </w:rPr>
      </w:pPr>
      <w:r>
        <w:br w:type="page"/>
      </w:r>
    </w:p>
    <w:p w14:paraId="6678A525" w14:textId="77777777" w:rsidR="003754FE" w:rsidRDefault="003754FE" w:rsidP="003754FE">
      <w:pPr>
        <w:pStyle w:val="TtuloResolucin"/>
      </w:pPr>
      <w:bookmarkStart w:id="35" w:name="SENTENCIA_2024_126"/>
      <w:r>
        <w:lastRenderedPageBreak/>
        <w:t>SENTENCIA 126/2024, de 21 de octubre de 2024</w:t>
      </w:r>
    </w:p>
    <w:bookmarkEnd w:id="35"/>
    <w:p w14:paraId="7E4D4421" w14:textId="77777777" w:rsidR="003754FE" w:rsidRDefault="003754FE" w:rsidP="003754FE">
      <w:pPr>
        <w:pStyle w:val="TtuloResolucin"/>
      </w:pPr>
      <w:r>
        <w:t>Sala Segunda</w:t>
      </w:r>
    </w:p>
    <w:p w14:paraId="378FBEB9" w14:textId="77777777" w:rsidR="003754FE" w:rsidRDefault="003754FE" w:rsidP="003754FE">
      <w:pPr>
        <w:pStyle w:val="TtuloBOE"/>
      </w:pPr>
      <w:r>
        <w:t>(BOE núm. 286, de 27 de noviembre de 2024)</w:t>
      </w:r>
    </w:p>
    <w:p w14:paraId="5566F204" w14:textId="77777777" w:rsidR="003754FE" w:rsidRDefault="003754FE" w:rsidP="003754FE">
      <w:pPr>
        <w:pStyle w:val="TextoNormalCentrado"/>
      </w:pPr>
      <w:r>
        <w:t>ECLI:ES:TC:2024:126</w:t>
      </w:r>
    </w:p>
    <w:p w14:paraId="7F5E776D" w14:textId="66188303" w:rsidR="003754FE" w:rsidRDefault="003754FE" w:rsidP="003754FE">
      <w:pPr>
        <w:pStyle w:val="TextoNormalCentrado"/>
      </w:pPr>
    </w:p>
    <w:p w14:paraId="11F3C787" w14:textId="77777777" w:rsidR="003754FE" w:rsidRDefault="003754FE" w:rsidP="003754FE">
      <w:pPr>
        <w:pStyle w:val="SntesisDescriptiva"/>
      </w:pPr>
      <w:r>
        <w:t>Recurso de amparo 885-2024. Promovido por doña Fátima El Kmiri respecto de las resoluciones dictadas por un juzgado de primera instancia de Madrid en juicio verbal de desahucio arrendaticio.</w:t>
      </w:r>
    </w:p>
    <w:p w14:paraId="61E74F5F" w14:textId="01DCE2C1" w:rsidR="003754FE" w:rsidRDefault="003754FE" w:rsidP="003754FE">
      <w:pPr>
        <w:pStyle w:val="SntesisDescriptiva"/>
      </w:pPr>
    </w:p>
    <w:p w14:paraId="12D3BB01" w14:textId="77777777" w:rsidR="003754FE" w:rsidRDefault="003754FE" w:rsidP="003754FE">
      <w:pPr>
        <w:pStyle w:val="SntesisAnaltica"/>
      </w:pPr>
      <w:r>
        <w:t>Vulneración del derecho a la tutela judicial efectiva (motivación): resoluciones judiciales que, estando implicado el interés superior del menor, no satisfacen el requisito de motivación reforzada. Voto particular.</w:t>
      </w:r>
    </w:p>
    <w:p w14:paraId="0DA80B0C" w14:textId="02BC74A6" w:rsidR="003754FE" w:rsidRDefault="003754FE" w:rsidP="003754FE">
      <w:pPr>
        <w:pStyle w:val="SntesisAnaltica"/>
      </w:pPr>
    </w:p>
    <w:p w14:paraId="2693FA6E" w14:textId="15FB2422" w:rsidR="003754FE" w:rsidRDefault="003754FE" w:rsidP="003754FE">
      <w:pPr>
        <w:pStyle w:val="Extracto"/>
      </w:pPr>
      <w:r>
        <w:t>1.</w:t>
      </w:r>
      <w:r>
        <w:tab/>
        <w:t>El canon de razonabilidad constitucional y de motivación deviene más exigente en supuestos en que se invoca el interés superior del menor; interés cuya determinación corresponde a los tribunales ordinarios (SSTC 141/2000 o  STC 28/2024) [FJ 2].</w:t>
      </w:r>
    </w:p>
    <w:p w14:paraId="1BE1E131" w14:textId="77777777" w:rsidR="003754FE" w:rsidRDefault="003754FE" w:rsidP="003754FE">
      <w:pPr>
        <w:pStyle w:val="Extracto"/>
      </w:pPr>
    </w:p>
    <w:p w14:paraId="72BA0EFA" w14:textId="5C38B3C5" w:rsidR="003754FE" w:rsidRDefault="003754FE" w:rsidP="003754FE">
      <w:pPr>
        <w:pStyle w:val="Extracto"/>
      </w:pPr>
      <w:r>
        <w:t>2.</w:t>
      </w:r>
      <w:r>
        <w:tab/>
        <w:t>El órgano judicial debe tomar en consideración que, tanto durante la pandemia ocasionada por el covid-19, como posteriormente, se han dictado distintas normas con medidas de carácter social y económico y entre ellas las que introducen un período de suspensión del procedimiento de desahucio y de los lanzamientos, cuando afecten a arrendatarios vulnerables sin alternativa habitacional [FJ 3].</w:t>
      </w:r>
    </w:p>
    <w:p w14:paraId="18573226" w14:textId="77777777" w:rsidR="003754FE" w:rsidRDefault="003754FE" w:rsidP="003754FE">
      <w:pPr>
        <w:pStyle w:val="Extracto"/>
      </w:pPr>
    </w:p>
    <w:p w14:paraId="79F302FC" w14:textId="77777777" w:rsidR="003754FE" w:rsidRDefault="003754FE" w:rsidP="003754FE">
      <w:pPr>
        <w:pStyle w:val="Extracto"/>
      </w:pPr>
    </w:p>
    <w:p w14:paraId="13A76489"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95D7CBF" w14:textId="2145F3D1" w:rsidR="003754FE" w:rsidRDefault="003754FE" w:rsidP="003754FE">
      <w:pPr>
        <w:pStyle w:val="TextoNormal"/>
      </w:pPr>
    </w:p>
    <w:p w14:paraId="6D7C1C50" w14:textId="77777777" w:rsidR="003754FE" w:rsidRDefault="003754FE" w:rsidP="003754FE">
      <w:pPr>
        <w:pStyle w:val="TextoNormalCentrado"/>
        <w:keepNext/>
      </w:pPr>
      <w:r>
        <w:t>EN NOMBRE DEL REY</w:t>
      </w:r>
    </w:p>
    <w:p w14:paraId="2EDA32DB" w14:textId="03DDC285" w:rsidR="003754FE" w:rsidRDefault="003754FE" w:rsidP="003754FE">
      <w:pPr>
        <w:pStyle w:val="TextoNormalCentrado"/>
        <w:keepNext/>
      </w:pPr>
    </w:p>
    <w:p w14:paraId="242D2392" w14:textId="77777777" w:rsidR="003754FE" w:rsidRDefault="003754FE" w:rsidP="003754FE">
      <w:pPr>
        <w:pStyle w:val="TextoNormalCentrado"/>
        <w:keepNext/>
      </w:pPr>
    </w:p>
    <w:p w14:paraId="565049ED" w14:textId="77777777" w:rsidR="003754FE" w:rsidRDefault="003754FE" w:rsidP="003754FE">
      <w:pPr>
        <w:pStyle w:val="TextoNormal"/>
      </w:pPr>
      <w:r>
        <w:t>la siguiente</w:t>
      </w:r>
    </w:p>
    <w:p w14:paraId="4C32A777" w14:textId="4E4F6130" w:rsidR="003754FE" w:rsidRDefault="003754FE" w:rsidP="003754FE">
      <w:pPr>
        <w:pStyle w:val="TextoNormal"/>
      </w:pPr>
    </w:p>
    <w:p w14:paraId="09122A74" w14:textId="77777777" w:rsidR="003754FE" w:rsidRDefault="003754FE" w:rsidP="003754FE">
      <w:pPr>
        <w:pStyle w:val="TextoNormalCentrado"/>
        <w:keepNext/>
      </w:pPr>
      <w:r>
        <w:t>SENTENCIA</w:t>
      </w:r>
    </w:p>
    <w:p w14:paraId="4B2663C8" w14:textId="1ACEC2C1" w:rsidR="003754FE" w:rsidRDefault="003754FE" w:rsidP="003754FE">
      <w:pPr>
        <w:pStyle w:val="TextoNormalCentrado"/>
        <w:keepNext/>
      </w:pPr>
    </w:p>
    <w:p w14:paraId="2198DBA5" w14:textId="77777777" w:rsidR="003754FE" w:rsidRDefault="003754FE" w:rsidP="003754FE">
      <w:pPr>
        <w:pStyle w:val="TextoNormal"/>
      </w:pPr>
      <w:r>
        <w:t>En el recurso de amparo núm. 885-2024, promovido por doña Fátima El Kmiri, contra el auto del Juzgado de Primera Instancia núm. 105 de Madrid, de 6 de febrero de 2024, que acordó no haber lugar a la nulidad de actuaciones instada por la recurrente en juicio verbal de desahucio arrendaticio. Ha actuado como parte personada don Eleuterio Gordo Sainz-Pardo. Ha intervenido el Ministerio Fiscal. Ha sido ponente el magistrado don Enrique Arnaldo Alcubilla.</w:t>
      </w:r>
    </w:p>
    <w:p w14:paraId="4A243E00" w14:textId="10121ABF" w:rsidR="003754FE" w:rsidRDefault="003754FE" w:rsidP="003754FE">
      <w:pPr>
        <w:pStyle w:val="TextoNormal"/>
      </w:pPr>
    </w:p>
    <w:p w14:paraId="53F66BCA" w14:textId="77777777" w:rsidR="003754FE" w:rsidRDefault="003754FE" w:rsidP="003754FE">
      <w:pPr>
        <w:pStyle w:val="TextoNormalNegritaCentrado"/>
        <w:keepNext/>
      </w:pPr>
      <w:r>
        <w:lastRenderedPageBreak/>
        <w:t>I. Antecedentes</w:t>
      </w:r>
    </w:p>
    <w:p w14:paraId="2661C0B0" w14:textId="0F29DC55" w:rsidR="003754FE" w:rsidRDefault="003754FE" w:rsidP="003754FE">
      <w:pPr>
        <w:pStyle w:val="TextoNormalNegritaCentrado"/>
        <w:keepNext/>
      </w:pPr>
    </w:p>
    <w:p w14:paraId="61EBA001" w14:textId="13E87CD3" w:rsidR="003754FE" w:rsidRDefault="003754FE" w:rsidP="003754FE">
      <w:pPr>
        <w:pStyle w:val="TextoNormal"/>
      </w:pPr>
      <w:r w:rsidRPr="003754FE">
        <w:rPr>
          <w:rStyle w:val="NumeroAFNegritaCaracter"/>
        </w:rPr>
        <w:t>1</w:t>
      </w:r>
      <w:r>
        <w:t>. Mediante escrito presentado en el registro general de este tribunal el 8 de febrero de 2024, la procuradora de los tribunales doña María Dolores Moreno Gómez, actuando en nombre y representación de doña Fátima El Kmiri, bajo la defensa letrada de don José Antonio Jiménez Jiménez, interpuso demanda de amparo contra la resolución arriba mencionada.</w:t>
      </w:r>
    </w:p>
    <w:p w14:paraId="5897DC36" w14:textId="77777777" w:rsidR="003754FE" w:rsidRDefault="003754FE" w:rsidP="003754FE">
      <w:pPr>
        <w:pStyle w:val="TextoNormal"/>
      </w:pPr>
    </w:p>
    <w:p w14:paraId="712183D3" w14:textId="77777777" w:rsidR="003754FE" w:rsidRDefault="003754FE" w:rsidP="003754FE">
      <w:pPr>
        <w:pStyle w:val="TextoNormal"/>
      </w:pPr>
      <w:r w:rsidRPr="003754FE">
        <w:rPr>
          <w:rStyle w:val="NumeroAFNegritaCaracter"/>
        </w:rPr>
        <w:t>2</w:t>
      </w:r>
      <w:r>
        <w:t>. Los hechos con relevancia para la resolución del presente recurso de amparo y a los que se refiere la demanda presentada, son los siguientes:</w:t>
      </w:r>
    </w:p>
    <w:p w14:paraId="639F5530" w14:textId="77777777" w:rsidR="003754FE" w:rsidRDefault="003754FE" w:rsidP="003754FE">
      <w:pPr>
        <w:pStyle w:val="TextoNormal"/>
      </w:pPr>
    </w:p>
    <w:p w14:paraId="5388915B" w14:textId="77777777" w:rsidR="003754FE" w:rsidRDefault="003754FE" w:rsidP="003754FE">
      <w:pPr>
        <w:pStyle w:val="TextoNormal"/>
      </w:pPr>
      <w:r>
        <w:t>a) Don Eleuterio Gordo Sainz-Pardo formalizó contra doña Fátima El Kmiri, demanda de desahucio por resolución de contrato de arrendamiento de la vivienda sita en la calle Hachero núm. 1, piso 1, puerta 3, de Madrid, por expiración del plazo contractual, dando lugar a la apertura del procedimiento de juicio verbal de desahucio núm. 995-2022, seguido ante el Juzgado de Primera Instancia núm. 105 de Madrid.</w:t>
      </w:r>
    </w:p>
    <w:p w14:paraId="7AF5E8CB" w14:textId="77777777" w:rsidR="003754FE" w:rsidRDefault="003754FE" w:rsidP="003754FE">
      <w:pPr>
        <w:pStyle w:val="TextoNormal"/>
      </w:pPr>
    </w:p>
    <w:p w14:paraId="4D4542D7" w14:textId="77777777" w:rsidR="003754FE" w:rsidRDefault="003754FE" w:rsidP="003754FE">
      <w:pPr>
        <w:pStyle w:val="TextoNormal"/>
      </w:pPr>
      <w:r>
        <w:t>b) Por decreto de 6 de julio de 2022, el letrado de la administración de justicia del órgano judicial admitió a trámite la demanda y dio traslado de esta a la demandada para que, en el plazo de diez días, contestase y se pronunciase sobre la pertinencia de celebrar vista.</w:t>
      </w:r>
    </w:p>
    <w:p w14:paraId="3608D666" w14:textId="77777777" w:rsidR="003754FE" w:rsidRDefault="003754FE" w:rsidP="003754FE">
      <w:pPr>
        <w:pStyle w:val="TextoNormal"/>
      </w:pPr>
    </w:p>
    <w:p w14:paraId="177250B8" w14:textId="77777777" w:rsidR="003754FE" w:rsidRDefault="003754FE" w:rsidP="003754FE">
      <w:pPr>
        <w:pStyle w:val="TextoNormal"/>
      </w:pPr>
      <w:r>
        <w:t>c) La procuradora doña María Dolores Moreno Gómez, en nombre y representación de doña Fátima El Kmiri, presentó, el 18 de julio de 2022, escrito de contestación y oposición a la demanda. En este escrito, con carácter previo a examinar el fondo de la pretensión, interesó la suspensión del procedimiento hasta el 31 de diciembre de 2022, al amparo del Real Decreto-ley 37/2020, de 22 de diciembre, en concordancia con el Real Decreto-ley 11/2020 de 31 de marzo, en relación con el art. 441.5 de la Ley de enjuiciamiento civil (LEC), en virtud de la prórroga establecida en el Real Decreto-ley 11/2022, de 25 de junio, al tratarse de una familia vulnerable, con cinco hijos, de los cuales solo uno vive de forma independiente fuera del hogar, encontrándose, además, doña Fátima El Kmiri embarazada en ese momento.</w:t>
      </w:r>
    </w:p>
    <w:p w14:paraId="7295E672" w14:textId="77777777" w:rsidR="003754FE" w:rsidRDefault="003754FE" w:rsidP="003754FE">
      <w:pPr>
        <w:pStyle w:val="TextoNormal"/>
      </w:pPr>
    </w:p>
    <w:p w14:paraId="79B070F5" w14:textId="77777777" w:rsidR="003754FE" w:rsidRDefault="003754FE" w:rsidP="003754FE">
      <w:pPr>
        <w:pStyle w:val="TextoNormal"/>
      </w:pPr>
      <w:r>
        <w:t>d) El juzgado de primera instancia dictó providencia, el 5 de septiembre de 2022, teniendo por contestada la demanda y acordando la suspensión del procedimiento hasta el 31 de diciembre de 2022 por aplicación del Real Decreto-ley 11/2022, de 25 de junio. Esta resolución también ordenó recabar los informes sociales correspondientes.</w:t>
      </w:r>
    </w:p>
    <w:p w14:paraId="3ABFD700" w14:textId="77777777" w:rsidR="003754FE" w:rsidRDefault="003754FE" w:rsidP="003754FE">
      <w:pPr>
        <w:pStyle w:val="TextoNormal"/>
      </w:pPr>
    </w:p>
    <w:p w14:paraId="674F4446" w14:textId="77777777" w:rsidR="003754FE" w:rsidRDefault="003754FE" w:rsidP="003754FE">
      <w:pPr>
        <w:pStyle w:val="TextoNormal"/>
      </w:pPr>
      <w:r>
        <w:t>El informe emitido por la trabajadora social, de fecha 22 de septiembre de 2022, en el apartado de valoración consideró que se trataba de una “unidad familiar numerosa, en situación de vulnerabilidad y riesgo social por carencia de recursos económicos para acceder a vivienda estable en el mercado libre”.</w:t>
      </w:r>
    </w:p>
    <w:p w14:paraId="4A78B5D8" w14:textId="77777777" w:rsidR="003754FE" w:rsidRDefault="003754FE" w:rsidP="003754FE">
      <w:pPr>
        <w:pStyle w:val="TextoNormal"/>
      </w:pPr>
    </w:p>
    <w:p w14:paraId="66C01B1A" w14:textId="77777777" w:rsidR="003754FE" w:rsidRDefault="003754FE" w:rsidP="003754FE">
      <w:pPr>
        <w:pStyle w:val="TextoNormal"/>
      </w:pPr>
      <w:r>
        <w:t xml:space="preserve">e) Por providencia de 18 de octubre de 2022, el juzgado </w:t>
      </w:r>
      <w:r w:rsidRPr="003754FE">
        <w:rPr>
          <w:i/>
        </w:rPr>
        <w:t>a quo</w:t>
      </w:r>
      <w:r>
        <w:t xml:space="preserve"> tuvo por recibido el informe social de situación de vulnerabilidad, acordó el señalamiento para la vista del juicio el día 20 de diciembre de 2022 y la fecha de lanzamiento para el día 18 de enero de 2023, de acuerdo con lo dispuesto por el art. 438.5 LEC.</w:t>
      </w:r>
    </w:p>
    <w:p w14:paraId="12CF923F" w14:textId="77777777" w:rsidR="003754FE" w:rsidRDefault="003754FE" w:rsidP="003754FE">
      <w:pPr>
        <w:pStyle w:val="TextoNormal"/>
      </w:pPr>
    </w:p>
    <w:p w14:paraId="1A2A8A46" w14:textId="77777777" w:rsidR="003754FE" w:rsidRDefault="003754FE" w:rsidP="003754FE">
      <w:pPr>
        <w:pStyle w:val="TextoNormal"/>
      </w:pPr>
      <w:r>
        <w:lastRenderedPageBreak/>
        <w:t>f) La representación procesal de doña Fátima El Kmiri interpuso, el 19 de octubre de 2022, recurso de reposición contra la providencia de 18 de octubre de 2022, alegando que el juzgado no se había pronunciado sobre la suspensión del procedimiento solicitada en el escrito de contestación a la demanda.</w:t>
      </w:r>
    </w:p>
    <w:p w14:paraId="4C9FC47B" w14:textId="77777777" w:rsidR="003754FE" w:rsidRDefault="003754FE" w:rsidP="003754FE">
      <w:pPr>
        <w:pStyle w:val="TextoNormal"/>
      </w:pPr>
    </w:p>
    <w:p w14:paraId="6A3C12BC" w14:textId="77777777" w:rsidR="003754FE" w:rsidRDefault="003754FE" w:rsidP="003754FE">
      <w:pPr>
        <w:pStyle w:val="TextoNormal"/>
      </w:pPr>
      <w:r>
        <w:t>Evacuado traslado del recurso e impugnado el mismo por la parte demandante en la instancia, el juzgado de primera instancia dictó, el 22 de noviembre de 2022, auto estimatorio del recurso, argumentando que la providencia recurrida contradecía la anterior de 5 de septiembre de 2022, que acordaba la suspensión de la tramitación hasta el 31 de diciembre de 2022, por aplicación del Real Decreto-ley 11/2022. Por esta razón, al estar suspendido el procedimiento hasta esa fecha no podía celebrarse la vista el 20 de diciembre de 2022 y, no disponiendo el juzgado de fechas para celebrar la vista antes del lanzamiento señalado para el 18 de enero de 2023, se acordó también la suspensión de este acto.</w:t>
      </w:r>
    </w:p>
    <w:p w14:paraId="41EF4DC4" w14:textId="77777777" w:rsidR="003754FE" w:rsidRDefault="003754FE" w:rsidP="003754FE">
      <w:pPr>
        <w:pStyle w:val="TextoNormal"/>
      </w:pPr>
    </w:p>
    <w:p w14:paraId="59783568" w14:textId="77777777" w:rsidR="003754FE" w:rsidRDefault="003754FE" w:rsidP="003754FE">
      <w:pPr>
        <w:pStyle w:val="TextoNormal"/>
      </w:pPr>
      <w:r>
        <w:t xml:space="preserve">g) Por diligencia de ordenación de 9 de enero de 2023, el letrado de la administración de justicia del juzgado </w:t>
      </w:r>
      <w:r w:rsidRPr="003754FE">
        <w:rPr>
          <w:i/>
        </w:rPr>
        <w:t>a quo</w:t>
      </w:r>
      <w:r>
        <w:t>, comunicó a las partes la nueva fecha fijada para la vista del juicio, el día 23 de marzo de 2023, y la nueva fecha de lanzamiento, el 4 de mayo de 2023.</w:t>
      </w:r>
    </w:p>
    <w:p w14:paraId="3827A1E8" w14:textId="77777777" w:rsidR="003754FE" w:rsidRDefault="003754FE" w:rsidP="003754FE">
      <w:pPr>
        <w:pStyle w:val="TextoNormal"/>
      </w:pPr>
    </w:p>
    <w:p w14:paraId="572EEC1D" w14:textId="77777777" w:rsidR="003754FE" w:rsidRDefault="003754FE" w:rsidP="003754FE">
      <w:pPr>
        <w:pStyle w:val="TextoNormal"/>
      </w:pPr>
      <w:r>
        <w:t>h) En la vista del juicio, la representación de doña Fátima El Kmiri interesó la suspensión del lanzamiento conforme al Real Decreto-ley 20/2022, de 27 de diciembre, que modifica el Real Decreto-ley 11/2020, de 31 de marzo, por el que se adoptan medidas urgentes complementarias en el ámbito social y económico para hacer frente al covid-19.</w:t>
      </w:r>
    </w:p>
    <w:p w14:paraId="2CFBA677" w14:textId="77777777" w:rsidR="003754FE" w:rsidRDefault="003754FE" w:rsidP="003754FE">
      <w:pPr>
        <w:pStyle w:val="TextoNormal"/>
      </w:pPr>
    </w:p>
    <w:p w14:paraId="6DAE4305" w14:textId="77777777" w:rsidR="003754FE" w:rsidRDefault="003754FE" w:rsidP="003754FE">
      <w:pPr>
        <w:pStyle w:val="TextoNormal"/>
      </w:pPr>
      <w:r>
        <w:t>i) Celebrada la vista, el órgano judicial dictó sentencia, el 24 de marzo de 2023, por la que estimó la demanda y declaró resuelto el contrato de arrendamiento suscrito entre las partes, por expiración del plazo.</w:t>
      </w:r>
    </w:p>
    <w:p w14:paraId="3A9F7A88" w14:textId="77777777" w:rsidR="003754FE" w:rsidRDefault="003754FE" w:rsidP="003754FE">
      <w:pPr>
        <w:pStyle w:val="TextoNormal"/>
      </w:pPr>
    </w:p>
    <w:p w14:paraId="7EE99121" w14:textId="77777777" w:rsidR="003754FE" w:rsidRDefault="003754FE" w:rsidP="003754FE">
      <w:pPr>
        <w:pStyle w:val="TextoNormal"/>
      </w:pPr>
      <w:r>
        <w:t>j) El mismo día en que se dictó la sentencia, el juzgado dictó un auto por el que acordó la suspensión del lanzamiento señalado para el 4 de mayo de 2023, con la siguiente argumentación:</w:t>
      </w:r>
    </w:p>
    <w:p w14:paraId="5C658A08" w14:textId="77777777" w:rsidR="003754FE" w:rsidRDefault="003754FE" w:rsidP="003754FE">
      <w:pPr>
        <w:pStyle w:val="TextoNormal"/>
      </w:pPr>
    </w:p>
    <w:p w14:paraId="344F9212" w14:textId="77777777" w:rsidR="003754FE" w:rsidRDefault="003754FE" w:rsidP="003754FE">
      <w:pPr>
        <w:pStyle w:val="TextoNormal"/>
      </w:pPr>
      <w:r>
        <w:t>“Con la documentación aportada se acredita que la demandada vive actualmente en la vivienda objeto del arrendamiento, que tiene según la sentencia dictada una renta mensual de 500 €. Además, conviven en la vivienda en la actualidad la demandada, su esposo y cinco hijos, de corta edad, según refleja el certificado de empadronamiento (documento núm. 1 contestación), de los seis hijos en total ya que una de ellas se ha independizado. La unidad familiar, según el informe de los servicios sociales, solo cuenta con los ingresos del padre que ascienden a 1100 € (documento núm. 8 y 9 contestación), mientras que la madre está buscando trabajo, estando inscrita en el INEM (documento núm. 5 contestación).</w:t>
      </w:r>
    </w:p>
    <w:p w14:paraId="7CBA5542" w14:textId="77777777" w:rsidR="003754FE" w:rsidRDefault="003754FE" w:rsidP="003754FE">
      <w:pPr>
        <w:pStyle w:val="TextoNormal"/>
      </w:pPr>
    </w:p>
    <w:p w14:paraId="28606C3A" w14:textId="77777777" w:rsidR="003754FE" w:rsidRDefault="003754FE" w:rsidP="003754FE">
      <w:pPr>
        <w:pStyle w:val="TextoNormal"/>
      </w:pPr>
      <w:r>
        <w:t>Por tanto, la familia arrendataria cumple los parámetros a que se refiere el artículo 5 a) del Real Decreto-ley 11/2022, ya que la renta arrendaticia, que está en 500 € más los gastos y suministros básicos, resulta superior al 35 por 100 de los ingresos netos que percibe el conjunto de los miembros de la unidad familiar, tal como prevé el apartado b) del art 5 del Real Decreto-ley 11/2020, en concreto en este caso la renta mensual le supone un 45,45 por 100 de los ingresos familiares, por lo que resulta acreditada la situación de vulnerabilidad.</w:t>
      </w:r>
    </w:p>
    <w:p w14:paraId="17E4D8E0" w14:textId="77777777" w:rsidR="003754FE" w:rsidRDefault="003754FE" w:rsidP="003754FE">
      <w:pPr>
        <w:pStyle w:val="TextoNormal"/>
      </w:pPr>
    </w:p>
    <w:p w14:paraId="6B0B2064" w14:textId="77777777" w:rsidR="003754FE" w:rsidRDefault="003754FE" w:rsidP="003754FE">
      <w:pPr>
        <w:pStyle w:val="TextoNormal"/>
      </w:pPr>
      <w:r>
        <w:lastRenderedPageBreak/>
        <w:t>Por otro lado, la finalidad del incidente es valorar si el arrendador también está en situación vulnerable, y en su caso cuál de las dos debe primar, habiendo reconocido el arrendador en el interrogatorio practicado en la vista que, entre su empresa Antecesores y Predecesores, S.L., que comparte con su esposa, y los pisos que tiene el actor en propiedad como persona física, todos ellos en el mismo edificio de la vivienda objeto de este procedimiento, suman en total quince viviendas, aunque de renta antigua.</w:t>
      </w:r>
    </w:p>
    <w:p w14:paraId="3BCB3947" w14:textId="77777777" w:rsidR="003754FE" w:rsidRDefault="003754FE" w:rsidP="003754FE">
      <w:pPr>
        <w:pStyle w:val="TextoNormal"/>
      </w:pPr>
    </w:p>
    <w:p w14:paraId="66F73178" w14:textId="77777777" w:rsidR="003754FE" w:rsidRDefault="003754FE" w:rsidP="003754FE">
      <w:pPr>
        <w:pStyle w:val="TextoNormal"/>
      </w:pPr>
      <w:r>
        <w:t>No obstante, las medidas de suspensión que se establecen con carácter extraordinario y temporal en el Real Decreto-ley 20/2022, de 27 de diciembre, en todo caso, dejarán de surtir efecto desde el 30 de junio de 2023, por lo que resulta procedente suspender el lanzamiento del 4 de mayo de 2023, pudiendo la actora solicitar el lanzamiento en el segundo semestre de 2023”.</w:t>
      </w:r>
    </w:p>
    <w:p w14:paraId="707EBEFE" w14:textId="77777777" w:rsidR="003754FE" w:rsidRDefault="003754FE" w:rsidP="003754FE">
      <w:pPr>
        <w:pStyle w:val="TextoNormal"/>
      </w:pPr>
    </w:p>
    <w:p w14:paraId="23790AFF" w14:textId="77777777" w:rsidR="003754FE" w:rsidRDefault="003754FE" w:rsidP="003754FE">
      <w:pPr>
        <w:pStyle w:val="TextoNormal"/>
      </w:pPr>
      <w:r>
        <w:t>k) Previa solicitud del demandante en la instancia de fecha 17 de octubre de 2023, por diligencia de ordenación de 17 de noviembre de 2023, el letrado de la administración de justicia del mismo órgano judicial acordó pedir fecha y hora de lanzamiento al servicio común de actos de comunicación y ejecución de Madrid.</w:t>
      </w:r>
    </w:p>
    <w:p w14:paraId="39047735" w14:textId="77777777" w:rsidR="003754FE" w:rsidRDefault="003754FE" w:rsidP="003754FE">
      <w:pPr>
        <w:pStyle w:val="TextoNormal"/>
      </w:pPr>
    </w:p>
    <w:p w14:paraId="113AAA43" w14:textId="77777777" w:rsidR="003754FE" w:rsidRDefault="003754FE" w:rsidP="003754FE">
      <w:pPr>
        <w:pStyle w:val="TextoNormal"/>
      </w:pPr>
      <w:r>
        <w:t>l) Por escrito de 23 de noviembre de 2023, la representación procesal de doña Fátima El Kmiri promovió incidente de suspensión extraordinaria del lanzamiento por vulnerabilidad económica de la demandada y de su unidad familiar. En el escrito se expone que la unidad familiar de la señora El Kmiri viene integrada por su esposo y cinco hijos, el último de los cuales, nacido el 15 de diciembre de 2022, padece una minusvalía del 35 por 100, síndrome de down, y arritmias cardiacas, que precisan asistencia hospitalaria semanal. También se expone que los ingresos brutos mensuales de la unidad familiar ascienden a 846,86 €. Solicita que, tras los trámites pertinentes, se dicte resolución acordando la suspensión del procedimiento durante el periodo legal de la suspensión de los lanzamientos establecida hasta el 31 de diciembre de 2023 y sus posibles prórrogas, y/o hasta que la Comunidad de Madrid resuelva la solicitud de vivienda pública presentada por la señora El Kmiri ante el Instituto de la Vivienda de Madrid (IVIMA), dada la vulnerabilidad económica de la recurrente y su familia.</w:t>
      </w:r>
    </w:p>
    <w:p w14:paraId="7EBB0159" w14:textId="77777777" w:rsidR="003754FE" w:rsidRDefault="003754FE" w:rsidP="003754FE">
      <w:pPr>
        <w:pStyle w:val="TextoNormal"/>
      </w:pPr>
    </w:p>
    <w:p w14:paraId="124AE162" w14:textId="77777777" w:rsidR="003754FE" w:rsidRDefault="003754FE" w:rsidP="003754FE">
      <w:pPr>
        <w:pStyle w:val="TextoNormal"/>
      </w:pPr>
      <w:r>
        <w:t>Con la misma argumentación que la vertida en el incidente, esa representación interpuso recurso de reposición frente a la diligencia de ordenación de 17 de noviembre de 2023, mediante escrito de 24 de noviembre de 2023. En el suplico del escrito se volvía a pedir la suspensión del procedimiento durante la suspensión legal de los lanzamientos establecida hasta el 31 de diciembre de 2023 y sus posibles prórrogas, y/o hasta que la Comunidad de Madrid resuelva la solicitud de vivienda pública presentada por la señora El Kmiri ante el IVIMA, dada la vulnerabilidad económica de la recurrente y su familia.</w:t>
      </w:r>
    </w:p>
    <w:p w14:paraId="07F2D892" w14:textId="77777777" w:rsidR="003754FE" w:rsidRDefault="003754FE" w:rsidP="003754FE">
      <w:pPr>
        <w:pStyle w:val="TextoNormal"/>
      </w:pPr>
    </w:p>
    <w:p w14:paraId="6689E841" w14:textId="77777777" w:rsidR="003754FE" w:rsidRDefault="003754FE" w:rsidP="003754FE">
      <w:pPr>
        <w:pStyle w:val="TextoNormal"/>
      </w:pPr>
      <w:r>
        <w:t>m) Por auto de 19 de diciembre de 2023, el juzgado de primera instancia acordó no haber lugar a la suspensión del lanzamiento señalado para el 12 de marzo de 2024. Este auto contiene la siguiente argumentación:</w:t>
      </w:r>
    </w:p>
    <w:p w14:paraId="392F2116" w14:textId="77777777" w:rsidR="003754FE" w:rsidRDefault="003754FE" w:rsidP="003754FE">
      <w:pPr>
        <w:pStyle w:val="TextoNormal"/>
      </w:pPr>
    </w:p>
    <w:p w14:paraId="1C4BC901" w14:textId="77777777" w:rsidR="003754FE" w:rsidRDefault="003754FE" w:rsidP="003754FE">
      <w:pPr>
        <w:pStyle w:val="TextoNormal"/>
      </w:pPr>
      <w:r>
        <w:t xml:space="preserve">“Único.- Conforme al Real Decreto-ley 20/2022, de 27 de diciembre, que modifica el Real Decreto-ley 11/2020, de 31 de marzo, por el que se adoptan medidas urgentes complementarias en el ámbito social y económico para hacer frente al covid-19 ‘Desde la entrada en vigor del presente Real Decreto-ley y hasta el 30 de septiembre de 2022, en todos los </w:t>
      </w:r>
      <w:r>
        <w:lastRenderedPageBreak/>
        <w:t>juicios verbales que versen sobre reclamaciones de renta o cantidades debidas por el arrendatario, o la expiración del plazo de duración de contratos suscritos conforme a la Ley 29/1994, de 24 de noviembre, de arrendamientos urbanos, que pretendan recuperar la posesión de la finca, se haya suspendido o no previamente el proceso en los términos establecidos en el apartado 5 del artículo 441 de la Ley 1/2000, de 7 de enero, de enjuiciamiento civil, la persona arrendataria podrá instar, de conformidad con lo previsto en este artículo, un incidente de suspensión extraordinaria del desahucio o lanzamiento ante el juzgado por encontrarse en una situación de vulnerabilidad económica que le imposibilite encontrar una alternativa habitacional para sí y para las personas con las que conviva.</w:t>
      </w:r>
    </w:p>
    <w:p w14:paraId="7D15802F" w14:textId="77777777" w:rsidR="003754FE" w:rsidRDefault="003754FE" w:rsidP="003754FE">
      <w:pPr>
        <w:pStyle w:val="TextoNormal"/>
      </w:pPr>
    </w:p>
    <w:p w14:paraId="2ED534E3" w14:textId="77777777" w:rsidR="003754FE" w:rsidRDefault="003754FE" w:rsidP="003754FE">
      <w:pPr>
        <w:pStyle w:val="TextoNormal"/>
      </w:pPr>
      <w:r>
        <w:t>Estas medidas de suspensión que se establecen con carácter extraordinario y temporal dejarán de surtir efecto en todo caso el 30 de junio de 2023’.</w:t>
      </w:r>
    </w:p>
    <w:p w14:paraId="68250448" w14:textId="77777777" w:rsidR="003754FE" w:rsidRDefault="003754FE" w:rsidP="003754FE">
      <w:pPr>
        <w:pStyle w:val="TextoNormal"/>
      </w:pPr>
    </w:p>
    <w:p w14:paraId="6BE557FA" w14:textId="77777777" w:rsidR="003754FE" w:rsidRDefault="003754FE" w:rsidP="003754FE">
      <w:pPr>
        <w:pStyle w:val="TextoNormal"/>
      </w:pPr>
      <w:r>
        <w:t>La finalidad del incidente es que ‘durante el plazo máximo de suspensión fijado, las administraciones públicas competentes deberán, caso de quedar constatada la vulnerabilidad económica, adoptar las medidas indicadas en el informe de servicios sociales u otras que consideren adecuadas para satisfacer la necesidad habitacional de la persona en situación de vulnerabilidad que garanticen su acceso a una vivienda digna. Una vez adoptadas dichas medidas la administración competente habrá de comunicarlo inmediatamente al tribunal competente, y el juez deberá dictar en el plazo máximo de tres días auto acordando el levantamiento de la suspensión del procedimiento y el correspondiente lanzamiento’.</w:t>
      </w:r>
    </w:p>
    <w:p w14:paraId="66F5546A" w14:textId="77777777" w:rsidR="003754FE" w:rsidRDefault="003754FE" w:rsidP="003754FE">
      <w:pPr>
        <w:pStyle w:val="TextoNormal"/>
      </w:pPr>
    </w:p>
    <w:p w14:paraId="67B77E64" w14:textId="77777777" w:rsidR="003754FE" w:rsidRDefault="003754FE" w:rsidP="003754FE">
      <w:pPr>
        <w:pStyle w:val="TextoNormal"/>
      </w:pPr>
      <w:r>
        <w:t>Para ello el solicitante de la suspensión debe cumplir unos requisitos subjetivos previstos en el artículo 5 a) y b) del Real Decreto-ley 11/2020, y objetivos de documentación del artículo 6.1 del Real Decreto[-ley] 11/2020, de 31 de marzo.</w:t>
      </w:r>
    </w:p>
    <w:p w14:paraId="03D19855" w14:textId="77777777" w:rsidR="003754FE" w:rsidRDefault="003754FE" w:rsidP="003754FE">
      <w:pPr>
        <w:pStyle w:val="TextoNormal"/>
      </w:pPr>
    </w:p>
    <w:p w14:paraId="14D5C39F" w14:textId="77777777" w:rsidR="003754FE" w:rsidRDefault="003754FE" w:rsidP="003754FE">
      <w:pPr>
        <w:pStyle w:val="TextoNormal"/>
      </w:pPr>
      <w:r>
        <w:t>Con la documentación aportada al incidente, así como del informe social cumplimentado por los servicios sociales se pone de manifiesto la situación de vulnerabilidad de la demandada. No obstante, a pesar de la deficiente técnica legislativa, que ha generado serias dudas sobre la vigencia de las medidas más allá del 30 de junio de 2023, lo cierto es que el Real Decreto-ley 2/2022, de 22 de febrero, al igual que los anteriores que han venido prorrogando estas medidas de suspensión y paralización de los desahucios y lanzamientos desde que se declaró la pandemia del covid-19, solo permite al arrendatario instar un incidente de suspensión extraordinaria del desahucio o lanzamiento, y en el presente caso la demandada ya había planteado previamente el incidente de suspensión por vulnerabilidad solicitando la paralización del procedimiento hasta el 30 de junio de 2023. En definitiva, se ha suspendido un lanzamiento sin que las administraciones públicas competentes hayan adoptado las medidas adecuadas para satisfacer la necesidad habitacional de la persona en situación de vulnerabilidad que garanticen su acceso a una vivienda digna, y la administración pública no puede cargar en los particulares la obligación pública de proveer de viviendas sociales para la población vulnerable, pues en este caso concreto la actora lleva privada de su vivienda por expiración de plazo del arriendo desde el 15 de marzo de 2022.</w:t>
      </w:r>
    </w:p>
    <w:p w14:paraId="106556FA" w14:textId="77777777" w:rsidR="003754FE" w:rsidRDefault="003754FE" w:rsidP="003754FE">
      <w:pPr>
        <w:pStyle w:val="TextoNormal"/>
      </w:pPr>
    </w:p>
    <w:p w14:paraId="69D98DA9" w14:textId="77777777" w:rsidR="003754FE" w:rsidRDefault="003754FE" w:rsidP="003754FE">
      <w:pPr>
        <w:pStyle w:val="TextoNormal"/>
      </w:pPr>
      <w:r>
        <w:t>Por todo lo razonado, básicamente por tratarse del segundo incidente de suspensión solicitado, cuando el Real Decreto-ley solo se refiere al planteamiento de un solo incidente, procede desestimar el incidente de suspensión”.</w:t>
      </w:r>
    </w:p>
    <w:p w14:paraId="11C6B83A" w14:textId="77777777" w:rsidR="003754FE" w:rsidRDefault="003754FE" w:rsidP="003754FE">
      <w:pPr>
        <w:pStyle w:val="TextoNormal"/>
      </w:pPr>
    </w:p>
    <w:p w14:paraId="191833F5" w14:textId="77777777" w:rsidR="003754FE" w:rsidRDefault="003754FE" w:rsidP="003754FE">
      <w:pPr>
        <w:pStyle w:val="TextoNormal"/>
      </w:pPr>
      <w:r>
        <w:lastRenderedPageBreak/>
        <w:t>Por decreto de 21 de diciembre de 2023, el letrado de la administración de justicia desestimó el recurso de reposición interpuesto por la recurrente el 24 de noviembre de 2023, remitiéndose a la fundamentación y fallo del anterior auto.</w:t>
      </w:r>
    </w:p>
    <w:p w14:paraId="702DF096" w14:textId="77777777" w:rsidR="003754FE" w:rsidRDefault="003754FE" w:rsidP="003754FE">
      <w:pPr>
        <w:pStyle w:val="TextoNormal"/>
      </w:pPr>
    </w:p>
    <w:p w14:paraId="78B84F36" w14:textId="77777777" w:rsidR="003754FE" w:rsidRDefault="003754FE" w:rsidP="003754FE">
      <w:pPr>
        <w:pStyle w:val="TextoNormal"/>
      </w:pPr>
      <w:r>
        <w:t>n) Tras la convalidación del Real Decreto-ley 8/2023, de 27 de diciembre, en el que se acordó ampliar el plazo de suspensión de los procedimientos de desahucio y lanzamientos de personas en situación de vulnerabilidad hasta el día 31 de diciembre de 2024, por la representación de la demandante de amparo, el 11 de enero de 2024, se presentó nuevo escrito solicitando la suspensión del lanzamiento señalado para el 12 de marzo de 2024.</w:t>
      </w:r>
    </w:p>
    <w:p w14:paraId="5F120E6B" w14:textId="77777777" w:rsidR="003754FE" w:rsidRDefault="003754FE" w:rsidP="003754FE">
      <w:pPr>
        <w:pStyle w:val="TextoNormal"/>
      </w:pPr>
    </w:p>
    <w:p w14:paraId="514C33D1" w14:textId="77777777" w:rsidR="003754FE" w:rsidRDefault="003754FE" w:rsidP="003754FE">
      <w:pPr>
        <w:pStyle w:val="TextoNormal"/>
      </w:pPr>
      <w:r>
        <w:t>ñ) Por auto de 15 de enero de 2024, el juzgado de primera instancia acordó no haber lugar a la suspensión del lanzamiento, con la misma fundamentación del auto anterior de 19 de diciembre de 2023, si bien con referencia al Real Decreto-ley 8/2023, de 27 de diciembre, ultima norma que modifica el art. 1 del Real Decreto-ley 11/2020, de 31 de marzo. En su argumentación resalta que la parte demandada ya había planteado previamente el incidente de suspensión por vulnerabilidad; de hecho, declara que este era el tercer incidente, y el procedimiento ya había estado paralizado sin que por las administraciones públicas competentes se hubieran adoptado las medidas adecuadas para satisfacer esta necesidad habitacional.</w:t>
      </w:r>
    </w:p>
    <w:p w14:paraId="2F6B7456" w14:textId="77777777" w:rsidR="003754FE" w:rsidRDefault="003754FE" w:rsidP="003754FE">
      <w:pPr>
        <w:pStyle w:val="TextoNormal"/>
      </w:pPr>
    </w:p>
    <w:p w14:paraId="7A841171" w14:textId="77777777" w:rsidR="003754FE" w:rsidRDefault="003754FE" w:rsidP="003754FE">
      <w:pPr>
        <w:pStyle w:val="TextoNormal"/>
      </w:pPr>
      <w:r>
        <w:t>o) Frente al auto de 15 de enero de 2024, la recurrente promovió incidente de nulidad de actuaciones mediante escrito de 18 de enero de 2024. En este escrito alega que el órgano judicial no ha aplicado el Real Decreto-ley 11/2020, modificado por el Real Decreto-ley 8/2023, de 27 de noviembre, que amplía el plazo de suspensión de los procedimientos de desahucio y lanzamientos de las familias vulnerables hasta el 31 de diciembre de 2024, basándose en que la parte había promovido un tercer incidente de suspensión, cuando la realidad es que lo que se había solicitado era la suspensión del lanzamiento en base a lo dispuesto en dicho precepto del texto legal. Argumenta, además, que los decretos de suspensión de lanzamientos no se han dictado en función de si se han producido suspensiones previas o no, sino con arreglo a los límites temporales que marca la norma y, en este sentido, ninguno de los reales decretos leyes posteriores al Real Decreto-ley 11/2020, han aludido a la situación de que existieran suspensiones anteriores, sino que la norma se refiere a las suspensiones de los lanzamientos hasta el plazo legal fijado sin más condicionantes. De esta forma, no aplicar el Real Decreto-ley invocado, constituye, según este incidente, una decisión judicial arbitraria y vulnera el derecho a la tutela judicial efectiva (art. 24.1 CE).</w:t>
      </w:r>
    </w:p>
    <w:p w14:paraId="440E5C23" w14:textId="77777777" w:rsidR="003754FE" w:rsidRDefault="003754FE" w:rsidP="003754FE">
      <w:pPr>
        <w:pStyle w:val="TextoNormal"/>
      </w:pPr>
    </w:p>
    <w:p w14:paraId="219CEAD1" w14:textId="77777777" w:rsidR="003754FE" w:rsidRDefault="003754FE" w:rsidP="003754FE">
      <w:pPr>
        <w:pStyle w:val="TextoNormal"/>
      </w:pPr>
      <w:r>
        <w:t xml:space="preserve">p) El juzgado </w:t>
      </w:r>
      <w:r w:rsidRPr="003754FE">
        <w:rPr>
          <w:i/>
        </w:rPr>
        <w:t>a quo</w:t>
      </w:r>
      <w:r>
        <w:t xml:space="preserve">, tras la tramitación del incidente, dictó auto el 6 de febrero de 2024, en sentido desestimatorio. El auto niega que la interpretación realizada del Real Decreto-ley 8/2023, de 27 de diciembre, sea arbitraria y que la aplicación de dicha norma implique una suspensión automática del lanzamiento. Con remisión a la fundamentación expuesta en el auto de 15 de enero de 2024, que reiteraba la del anterior auto de 19 de diciembre de 2023, argumenta que el Real Decreto-ley 8/2023, al igual que los anteriores que se han dictado cuyo texto es idéntico y que han venido prorrogando estas medidas de suspensión y paralización de los desahucios y lanzamientos desde que se declaró la pandemia del covid-19, solo permiten al arrendatario instar un único incidente de suspensión extraordinaria del desahucio o lanzamiento y en el presente caso la demandada ya había planteado previamente tres incidentes de suspensión por vulnerabilidad, sin que por las administraciones públicas </w:t>
      </w:r>
      <w:r>
        <w:lastRenderedPageBreak/>
        <w:t>competentes se hubieran adoptado las medidas adecuadas para satisfacer la necesidad habitacional de esas personas en situación de vulnerabilidad. Esta es su argumentación literal:</w:t>
      </w:r>
    </w:p>
    <w:p w14:paraId="5990C0C4" w14:textId="77777777" w:rsidR="003754FE" w:rsidRDefault="003754FE" w:rsidP="003754FE">
      <w:pPr>
        <w:pStyle w:val="TextoNormal"/>
      </w:pPr>
    </w:p>
    <w:p w14:paraId="6599AD61" w14:textId="77777777" w:rsidR="003754FE" w:rsidRDefault="003754FE" w:rsidP="003754FE">
      <w:pPr>
        <w:pStyle w:val="TextoNormal"/>
      </w:pPr>
      <w:r>
        <w:t>“El auto cuya nulidad se interesa no es arbitrario, sino que aplica e interpreta el Real Decreto[-ley] 8/2023, de 27 de noviembre de 2023, que contiene el mismo texto que se ha ido sucediendo a lo largo de los reales decretos [leyes] que han ido ampliando los periodos de suspensión de los desahucios y lanzamientos. La aplicación de este decreto no supone una suspensión automática, sino que dice textualmente: ‘Desde la entrada en vigor del presente Real Decreto-ley y hasta el 31 de diciembre de 2024, en todos los juicios verbales que versen sobre reclamaciones de renta o cantidades debidas por el arrendatario, o la expiración del plazo de duración de contratos suscritos conforme a la Ley 29/1994, de 24 de noviembre, de arrendamientos urbanos, que pretendan recuperar la posesión de la finca, se haya suspendido o no previamente el proceso en los términos establecidos en el apartado 5 del artículo 441 de la Ley 1/2000, de 7 de enero, de enjuiciamiento civil, la persona arrendataria podrá instar, de conformidad con lo previsto en este artículo, un incidente de suspensión extraordinaria del desahucio o lanzamiento ante el juzgado por encontrarse en una situación de vulnerabilidad económica que le imposibilite encontrar una alternativa habitacional para sí y para las personas con las que conviva’.</w:t>
      </w:r>
    </w:p>
    <w:p w14:paraId="555B174D" w14:textId="77777777" w:rsidR="003754FE" w:rsidRDefault="003754FE" w:rsidP="003754FE">
      <w:pPr>
        <w:pStyle w:val="TextoNormal"/>
      </w:pPr>
    </w:p>
    <w:p w14:paraId="4C31D7AB" w14:textId="77777777" w:rsidR="003754FE" w:rsidRDefault="003754FE" w:rsidP="003754FE">
      <w:pPr>
        <w:pStyle w:val="TextoNormal"/>
      </w:pPr>
      <w:r>
        <w:t>Como ya se razonó en el auto de 15 de enero de 2024 ‘No obstante, a pesar de la deficiente técnica legislativa, lo cierto es que el Real Decreto-ley 8/2023, de 27 de diciembre, al igual que los anteriores que han venido prorrogando estas medidas de suspensión y paralización de los desahucios y lanzamientos desde que se declaró la pandemia del covid-19, solo permite al arrendatario instar un incidente de suspensión extraordinaria del desahucio o lanzamiento, y en el presente caso la demandada ya había planteado previamente el incidente de suspensión por vulnerabilidad solicitando la paralización del procedimiento hasta el 30 de junio de 2023, lo que así se acordó por auto de 24 de marzo de 2023. En definitiva, se ha suspendido un lanzamiento sin que las administraciones públicas competentes hayan adoptado las medidas adecuadas para satisfacer la necesidad habitacional de la persona en situación de vulnerabilidad que garanticen su acceso a una vivienda digna, y la administración pública no puede cargar en los particulares la obligación pública de proveer de viviendas sociales para la población vulnerable, pues en este caso concreto la actora lleva privada de su vivienda por expiración de plazo del arriendo desde el 30 de abril de 2022’.</w:t>
      </w:r>
    </w:p>
    <w:p w14:paraId="3845F8C9" w14:textId="77777777" w:rsidR="003754FE" w:rsidRDefault="003754FE" w:rsidP="003754FE">
      <w:pPr>
        <w:pStyle w:val="TextoNormal"/>
      </w:pPr>
    </w:p>
    <w:p w14:paraId="5D196F55" w14:textId="1722AD85" w:rsidR="003754FE" w:rsidRDefault="003754FE" w:rsidP="003754FE">
      <w:pPr>
        <w:pStyle w:val="TextoNormal"/>
      </w:pPr>
      <w:r>
        <w:t>En definitiva, no se ha cometido arbitrariedad alguna ni se ha causado indefensión a la demandada, puesto que se ha aplicado el texto legal que se acaba de transcribir, que habla de un incidente de suspensión, es decir, no establece la suspensión automática del procedimiento de desahucio en cualquier circunstancia, y en el presente procedimiento la demandada ha instado ya tres incidentes de suspensión, por lo que ha agotado la previsión legal”.</w:t>
      </w:r>
    </w:p>
    <w:p w14:paraId="23A53D84" w14:textId="77777777" w:rsidR="003754FE" w:rsidRDefault="003754FE" w:rsidP="003754FE">
      <w:pPr>
        <w:pStyle w:val="TextoNormal"/>
      </w:pPr>
    </w:p>
    <w:p w14:paraId="45AF141C" w14:textId="77777777" w:rsidR="003754FE" w:rsidRDefault="003754FE" w:rsidP="003754FE">
      <w:pPr>
        <w:pStyle w:val="TextoNormal"/>
      </w:pPr>
      <w:r w:rsidRPr="003754FE">
        <w:rPr>
          <w:rStyle w:val="NumeroAFNegritaCaracter"/>
        </w:rPr>
        <w:t>3</w:t>
      </w:r>
      <w:r>
        <w:t xml:space="preserve">. La demanda de amparo impugna el auto dictado por el juzgado encargado del procedimiento de desahucio, de 6 de febrero de 2024, desestimatorio de la nulidad de actuaciones. Denuncia la vulneración del derecho a la tutela judicial efectiva sin indefensión (art. 24.1 CE) en relación con el “principio de legalidad”, al considerar que la decisión judicial adoptada es arbitraria por apartarse del contenido de la norma. Argumenta, en este sentido, que el auto resolutorio del incidente de nulidad no adopta la medida que fundamenta la promulgación del Real Decreto-ley 8/2023 alegado, basándose en que la parte recurrente había promovido un supuesto tercer incidente de suspensión, cuando, en realidad, lo que había </w:t>
      </w:r>
      <w:r>
        <w:lastRenderedPageBreak/>
        <w:t>solicitado era la suspensión del lanzamiento en base a lo dispuesto en dicho texto legal, dentro del único incidente de suspensión tramitado en el procedimiento. Argumenta, también, que los decretos-leyes que prorrogan la suspensión de los lanzamientos no se emiten en función de si se han producido suspensiones previas o no, sino con arreglo a los límites temporales que establece la propia norma. Añade que la interpretación judicial fundada en que se haya promovido uno o más incidentes de suspensión para acordar uno u otro efecto, desvirtúa el espíritu de la ley, y es que, continúa la demanda, “de aceptarse el razonamiento esgrimido por el juez de instancia, y que los sucesivos reales decretos-leyes se dejaran de aplicar respecto de los lanzamientos ya suspendidos una vez, estos carecerían completamente de su sentido de prórroga legal”.</w:t>
      </w:r>
    </w:p>
    <w:p w14:paraId="5AA36762" w14:textId="77777777" w:rsidR="003754FE" w:rsidRDefault="003754FE" w:rsidP="003754FE">
      <w:pPr>
        <w:pStyle w:val="TextoNormal"/>
      </w:pPr>
    </w:p>
    <w:p w14:paraId="16D39942" w14:textId="77777777" w:rsidR="003754FE" w:rsidRDefault="003754FE" w:rsidP="003754FE">
      <w:pPr>
        <w:pStyle w:val="TextoNormal"/>
      </w:pPr>
      <w:r>
        <w:t>Invoca, asimismo la demanda, como doctrina infringida la de las SSTC 9/2023, de 22 de febrero, y 15/2023, de 7 de marzo, en orden al contenido esencial del derecho de propiedad privada (art. 33 CE) cuya fijación no puede hacerse desde la exclusiva consideración subjetiva del derecho o de los intereses individuales que a esta subyacen, sino que debe incluir igualmente la necesaria referencia a la función social como parte integrante del derecho mismo; y, también, en orden al carácter temporal de los reales decretos leyes aprobados, que impide considerar que su objeto sea una regulación directa y general del derecho de propiedad de la vivienda o que afecten a su contenido esencial.</w:t>
      </w:r>
    </w:p>
    <w:p w14:paraId="18B565BA" w14:textId="77777777" w:rsidR="003754FE" w:rsidRDefault="003754FE" w:rsidP="003754FE">
      <w:pPr>
        <w:pStyle w:val="TextoNormal"/>
      </w:pPr>
    </w:p>
    <w:p w14:paraId="49F41377" w14:textId="0BEA4B5C" w:rsidR="003754FE" w:rsidRDefault="003754FE" w:rsidP="003754FE">
      <w:pPr>
        <w:pStyle w:val="TextoNormal"/>
      </w:pPr>
      <w:r>
        <w:t>En el suplico de la demanda se solicita de este tribunal el dictado de una sentencia estimatoria del amparo que declare la nulidad del auto de 6 de febrero de 2024 del Juzgado de Primera Instancia núm. 105 de Madrid, que se reconozca a doña Fátima el Kmiri y a su familia su derecho fundamental a la tutela judicial efectiva y a no sufrir indefensión y se retrotraiga el procedimiento de desahucio al momento inmediatamente anterior al dictado del auto de 15 de enero de 2024 en el que se denegó la suspensión del lanzamiento señalado para el día 12 de marzo de 2024, acordándose la suspensión del lanzamiento de la recurrente y su familia en situación de vulnerabilidad hasta el 31 de diciembre de 2024, de acuerdo a lo dispuesto en el Real Decreto-ley 8/2023, de 27 de diciembre. Mediante otrosí digo también solicita, en virtud de la gravedad y urgencia de la situación, la suspensión cautelar del lanzamiento fijado para el 12 de marzo de 2024, pues su ejecución conllevaría daños y perjuicios irreparables para la recurrente y su familia, en particular a sus cinco hijos menores, que verían lesionado su interés superior, con especial referencia a la discapacidad del 35 por 100 diagnosticada a su hijo menor, de un año y dos meses de edad.</w:t>
      </w:r>
    </w:p>
    <w:p w14:paraId="2DF15C8D" w14:textId="77777777" w:rsidR="003754FE" w:rsidRDefault="003754FE" w:rsidP="003754FE">
      <w:pPr>
        <w:pStyle w:val="TextoNormal"/>
      </w:pPr>
    </w:p>
    <w:p w14:paraId="363BBEEA" w14:textId="77777777" w:rsidR="003754FE" w:rsidRDefault="003754FE" w:rsidP="003754FE">
      <w:pPr>
        <w:pStyle w:val="TextoNormal"/>
      </w:pPr>
      <w:r w:rsidRPr="003754FE">
        <w:rPr>
          <w:rStyle w:val="NumeroAFNegritaCaracter"/>
        </w:rPr>
        <w:t>4</w:t>
      </w:r>
      <w:r>
        <w:t>. La Sala Segunda de este Tribunal Constitucional dictó providencia el 11 de marzo de 2024 del siguiente tenor:</w:t>
      </w:r>
    </w:p>
    <w:p w14:paraId="08631ED2" w14:textId="77777777" w:rsidR="003754FE" w:rsidRDefault="003754FE" w:rsidP="003754FE">
      <w:pPr>
        <w:pStyle w:val="TextoNormal"/>
      </w:pPr>
    </w:p>
    <w:p w14:paraId="1449157D" w14:textId="77777777" w:rsidR="003754FE" w:rsidRDefault="003754FE" w:rsidP="003754FE">
      <w:pPr>
        <w:pStyle w:val="TextoNormal"/>
      </w:pPr>
      <w:r>
        <w:t>“La Sala ha examinado el recurso de amparo y ha acordado admitirlo a trámite, apreciando que ofrece especial transcendencia constitucional (art. 50.1 LOTC) por los siguientes motivos:</w:t>
      </w:r>
    </w:p>
    <w:p w14:paraId="3059C066" w14:textId="77777777" w:rsidR="003754FE" w:rsidRDefault="003754FE" w:rsidP="003754FE">
      <w:pPr>
        <w:pStyle w:val="TextoNormal"/>
      </w:pPr>
    </w:p>
    <w:p w14:paraId="1B8892E8" w14:textId="77777777" w:rsidR="003754FE" w:rsidRDefault="003754FE" w:rsidP="003754FE">
      <w:pPr>
        <w:pStyle w:val="TextoNormal"/>
      </w:pPr>
      <w:r>
        <w:t>a) El recurso plantea un problema o afecta a una faceta de un derecho fundamental sobre el que no hay doctrina de este tribunal [STC 155/2009, FJ 2 a)].</w:t>
      </w:r>
    </w:p>
    <w:p w14:paraId="6B38918E" w14:textId="77777777" w:rsidR="003754FE" w:rsidRDefault="003754FE" w:rsidP="003754FE">
      <w:pPr>
        <w:pStyle w:val="TextoNormal"/>
      </w:pPr>
    </w:p>
    <w:p w14:paraId="0063C3D2" w14:textId="77777777" w:rsidR="003754FE" w:rsidRDefault="003754FE" w:rsidP="003754FE">
      <w:pPr>
        <w:pStyle w:val="TextoNormal"/>
      </w:pPr>
      <w:r>
        <w:t>b) El asunto suscitado trasciende del caso concreto porque plantea una cuestión jurídica de relevante y general repercusión social o económica [STC 155/2009, FJ 2 g)].</w:t>
      </w:r>
    </w:p>
    <w:p w14:paraId="7B36471F" w14:textId="77777777" w:rsidR="003754FE" w:rsidRDefault="003754FE" w:rsidP="003754FE">
      <w:pPr>
        <w:pStyle w:val="TextoNormal"/>
      </w:pPr>
    </w:p>
    <w:p w14:paraId="75A3FFDB" w14:textId="77777777" w:rsidR="003754FE" w:rsidRDefault="003754FE" w:rsidP="003754FE">
      <w:pPr>
        <w:pStyle w:val="TextoNormal"/>
      </w:pPr>
      <w:r>
        <w:lastRenderedPageBreak/>
        <w:t>Por ello, en aplicación de lo dispuesto en el art. 51 LOTC, diríjase atenta comunicación al Juzgado de Primera Instancia núm. 105 de Madrid a fin de que, en plazo que no exceda de diez días, remita testimonio de las actuaciones correspondientes al juicio verbal núm. 995-2022; debiendo previamente emplazarse, para que en el plazo de diez días puedan comparecer, si lo desean, en el recurso de amparo a quienes hubieran sido parte en el procedimiento, excepto la parte recurrente en amparo.</w:t>
      </w:r>
    </w:p>
    <w:p w14:paraId="794B750D" w14:textId="77777777" w:rsidR="003754FE" w:rsidRDefault="003754FE" w:rsidP="003754FE">
      <w:pPr>
        <w:pStyle w:val="TextoNormal"/>
      </w:pPr>
    </w:p>
    <w:p w14:paraId="03FB56A7" w14:textId="77777777" w:rsidR="003754FE" w:rsidRDefault="003754FE" w:rsidP="003754FE">
      <w:pPr>
        <w:pStyle w:val="TextoNormal"/>
      </w:pPr>
      <w:r>
        <w:t>De conformidad con lo previsto en el artículo 56.6 de la Ley Orgánica del Tribunal Constitucional, reuniendo el presente recurso las circunstancias que en el mismo se recogen de urgencia excepcional, se acuerda, inaudita parte, la suspensión de la diligencia de lanzamiento prevista para el día 12 de marzo de 2024 a las 10:30 horas, para lo cual líbrese oficio al Juzgado de Primera Instancia núm. 105 de Madrid.</w:t>
      </w:r>
    </w:p>
    <w:p w14:paraId="6C879A78" w14:textId="77777777" w:rsidR="003754FE" w:rsidRDefault="003754FE" w:rsidP="003754FE">
      <w:pPr>
        <w:pStyle w:val="TextoNormal"/>
      </w:pPr>
    </w:p>
    <w:p w14:paraId="536CF5CA" w14:textId="77777777" w:rsidR="003754FE" w:rsidRDefault="003754FE" w:rsidP="003754FE">
      <w:pPr>
        <w:pStyle w:val="TextoNormal"/>
      </w:pPr>
      <w:r>
        <w:t>Contra el particular de la suspensión cautelarísima acordada podrá impugnarse por el Ministerio Fiscal y las partes personadas por término de cinco días.</w:t>
      </w:r>
    </w:p>
    <w:p w14:paraId="1C2043E2" w14:textId="77777777" w:rsidR="003754FE" w:rsidRDefault="003754FE" w:rsidP="003754FE">
      <w:pPr>
        <w:pStyle w:val="TextoNormal"/>
      </w:pPr>
    </w:p>
    <w:p w14:paraId="4912C0D5" w14:textId="77777777" w:rsidR="003754FE" w:rsidRDefault="003754FE" w:rsidP="003754FE">
      <w:pPr>
        <w:pStyle w:val="TextoNormal"/>
      </w:pPr>
      <w:r>
        <w:t>Con testimonio de la presente resolución y de los particulares necesarios, fórmese pieza separada para la tramitación de la suspensión acordada”.</w:t>
      </w:r>
    </w:p>
    <w:p w14:paraId="15DBF4DB" w14:textId="77777777" w:rsidR="003754FE" w:rsidRDefault="003754FE" w:rsidP="003754FE">
      <w:pPr>
        <w:pStyle w:val="TextoNormal"/>
      </w:pPr>
    </w:p>
    <w:p w14:paraId="6916A27B" w14:textId="324D3B9E" w:rsidR="003754FE" w:rsidRDefault="003754FE" w:rsidP="003754FE">
      <w:pPr>
        <w:pStyle w:val="TextoNormal"/>
      </w:pPr>
      <w:r>
        <w:t>La medida cautelar de suspensión del lanzamiento no fue objeto de impugnación ni por el Ministerio Fiscal ni por las partes personadas.</w:t>
      </w:r>
    </w:p>
    <w:p w14:paraId="6AA2FED3" w14:textId="77777777" w:rsidR="003754FE" w:rsidRDefault="003754FE" w:rsidP="003754FE">
      <w:pPr>
        <w:pStyle w:val="TextoNormal"/>
      </w:pPr>
    </w:p>
    <w:p w14:paraId="2646118F" w14:textId="691C5F22" w:rsidR="003754FE" w:rsidRDefault="003754FE" w:rsidP="003754FE">
      <w:pPr>
        <w:pStyle w:val="TextoNormal"/>
      </w:pPr>
      <w:r w:rsidRPr="003754FE">
        <w:rPr>
          <w:rStyle w:val="NumeroAFNegritaCaracter"/>
        </w:rPr>
        <w:t>5</w:t>
      </w:r>
      <w:r>
        <w:t>. El 7 de mayo de 2024, se presentó escrito por el procurador de los tribunales don Ignacio Requejo García de Mateo, en representación de don Eleuterio Gordo Sainz-Pardo, solicitando se le tuviera por comparecido y parte en el recurso.</w:t>
      </w:r>
    </w:p>
    <w:p w14:paraId="769DD712" w14:textId="77777777" w:rsidR="003754FE" w:rsidRDefault="003754FE" w:rsidP="003754FE">
      <w:pPr>
        <w:pStyle w:val="TextoNormal"/>
      </w:pPr>
    </w:p>
    <w:p w14:paraId="5639D796" w14:textId="05A5C064" w:rsidR="003754FE" w:rsidRDefault="003754FE" w:rsidP="003754FE">
      <w:pPr>
        <w:pStyle w:val="TextoNormal"/>
      </w:pPr>
      <w:r w:rsidRPr="003754FE">
        <w:rPr>
          <w:rStyle w:val="NumeroAFNegritaCaracter"/>
        </w:rPr>
        <w:t>6</w:t>
      </w:r>
      <w:r>
        <w:t>. Mediante diligencia de ordenación de 10 de mayo de 2024, la Secretaría de Justicia de la Sección Cuarta de este tribunal tuvo por personado al procurador don Ignacio Requejo García de Mateo, para actuar en nombre y representación de don Eleuterio Gordo Sainz-Pardo y acordó conceder a las partes personadas y al Ministerio Fiscal un plazo común de veinte días, a fin de que pudieran formular alegaciones conforme determina el art. 52.1 LOTC.</w:t>
      </w:r>
    </w:p>
    <w:p w14:paraId="1E37A216" w14:textId="77777777" w:rsidR="003754FE" w:rsidRDefault="003754FE" w:rsidP="003754FE">
      <w:pPr>
        <w:pStyle w:val="TextoNormal"/>
      </w:pPr>
    </w:p>
    <w:p w14:paraId="7EB3CCDA" w14:textId="65ED6529" w:rsidR="003754FE" w:rsidRDefault="003754FE" w:rsidP="003754FE">
      <w:pPr>
        <w:pStyle w:val="TextoNormal"/>
      </w:pPr>
      <w:r w:rsidRPr="003754FE">
        <w:rPr>
          <w:rStyle w:val="NumeroAFNegritaCaracter"/>
        </w:rPr>
        <w:t>7</w:t>
      </w:r>
      <w:r>
        <w:t>. La representación procesal de don Eleuterio Gordo Sainz-Pardo presentó su escrito el 12 de junio de 2024, por el que se opuso a la estimación del recurso de amparo. Argumenta que el auto de desestimación del incidente excepcional de nulidad de actuaciones se encuentra debidamente motivado a la luz de la doctrina de este tribunal, citando la STC 151/2022, de 30 de noviembre, y permite saber sobre qué presupuestos legales se produjo el rechazo del incidente dando respuesta al mismo. De esta forma, el auto recurrido cumple la función de tutela y defensa de los derechos fundamentales que tiene asignada, con cita de la STC 102/2020, de 21 de septiembre. El recurso de amparo ante este tribunal, según expone el escrito de oposición, “no es una instancia de revisión que permita el control jurídico de las decisiones judiciales, en función de su corrección desde el punto de vista legal. El desarrollo del procedimiento, la fijación y valoración del supuesto de hecho, la interpretación de la legalidad ordinaria y su aplicación al caso concreto son competencia de los jueces ordinarios y su control y revisión no corresponde a [este] tribunal […]”.</w:t>
      </w:r>
    </w:p>
    <w:p w14:paraId="69650935" w14:textId="77777777" w:rsidR="003754FE" w:rsidRDefault="003754FE" w:rsidP="003754FE">
      <w:pPr>
        <w:pStyle w:val="TextoNormal"/>
      </w:pPr>
    </w:p>
    <w:p w14:paraId="054C2338" w14:textId="77777777" w:rsidR="003754FE" w:rsidRDefault="003754FE" w:rsidP="003754FE">
      <w:pPr>
        <w:pStyle w:val="TextoNormal"/>
      </w:pPr>
      <w:r w:rsidRPr="003754FE">
        <w:rPr>
          <w:rStyle w:val="NumeroAFNegritaCaracter"/>
        </w:rPr>
        <w:lastRenderedPageBreak/>
        <w:t>8</w:t>
      </w:r>
      <w:r>
        <w:t>. La fiscal ante este Tribunal Constitucional presentó escrito de alegaciones registrado el 1 de julio de 2024, por el que interesó de este tribunal se dictase sentencia otorgando el amparo solicitado por vulneración del derecho a la tutela judicial efectiva sin indefensión, con nulidad del auto de 6 de febrero de 2024, por el que se rechaza la nulidad de actuaciones planteada en el juicio verbal núm. 995-2022 del Juzgado de Primera Instancia núm. 105 de Madrid, y la retroacción de actuaciones al momento previo al dictado de la resolución de 15 de enero de 2024, debiendo dictarse una resolución respetuosa con el derecho fundamental reconocido.</w:t>
      </w:r>
    </w:p>
    <w:p w14:paraId="0D79B000" w14:textId="77777777" w:rsidR="003754FE" w:rsidRDefault="003754FE" w:rsidP="003754FE">
      <w:pPr>
        <w:pStyle w:val="TextoNormal"/>
      </w:pPr>
    </w:p>
    <w:p w14:paraId="5214C36C" w14:textId="77777777" w:rsidR="003754FE" w:rsidRDefault="003754FE" w:rsidP="003754FE">
      <w:pPr>
        <w:pStyle w:val="TextoNormal"/>
      </w:pPr>
      <w:r>
        <w:t xml:space="preserve">Luego de resumir los hechos relevantes del caso, el derecho fundamental que se alega como lesionado (derecho a la tutela judicial efectiva sin indefensión, art. 24.1 CE) y la regulación legal aplicable, el escrito de alegaciones de la fiscal alude a que este Tribunal Constitucional tiene fijada una consolidada doctrina sobre la motivación de las resoluciones judiciales, citando las SSTC 27/2013, de 11 de febrero, FJ 5; 102/2014, de 23 de junio, FJ 3; 31/2019, de 28 de febrero, FJ 8, y 24/2021, de 15 de febrero, FJ 2. Seguidamente recoge la doctrina del Tribunal sobre el canon reforzado del deber de motivación cuando se trata de resoluciones que afectan a la esfera de menores, que deben estar regidas por el principio constitucional del interés superior del menor, citando la STC 81/2021, de 19 de abril, FJ 2, y, especialmente, la STC 113/2021, de 31 de mayo, dictada en un supuesto semejante al de este recurso, por cuanto se trataba de la denegación de la solicitud de prórroga del lanzamiento de la demandante de amparo de la vivienda en la que convivía con sus hijos menores, uno de los cuales tenía discapacidad. En este mismo sentido, cita las SSTC 5/2023, de 20 de febrero, FJ 3, y 53/2024, de 8 de abril, FJ 3, en orden al interés superior del menor como principio constitucional y al deber de motivación reforzada. Con relación a la limitación que supone para el derecho de propiedad la prórroga de la suspensión de los lanzamientos, el Ministerio Fiscal se refiere a la doctrina de este tribunal en sus recientes SSTC 9/2023, de 22 de febrero, FJ 4, y 15/2023, de 7 de marzo, FJ 6, que resuelven sendos recursos de inconstitucionalidad sobre el art. 1 </w:t>
      </w:r>
      <w:r w:rsidRPr="003754FE">
        <w:rPr>
          <w:i/>
        </w:rPr>
        <w:t>bis</w:t>
      </w:r>
      <w:r>
        <w:t xml:space="preserve"> del Real Decreto-ley 11/2020, de 31 de marzo, con relación a las medidas de suspensión de procedimientos de desahucio y lanzamientos. Según el escrito, con referencia a esta doctrina, estamos “ante una medida limitada en cuanto a su ámbito de aplicación subjetivo, objetivo y temporal, que no tiene por objeto una regulación directa y general del derecho de propiedad de la vivienda, ni afecta a su contenido esencial. Una medida que responde a una finalidad de interés social —la protección de las personas en situación de vulnerabilidad como consecuencia de la crisis generada por el covid-19—, que incide mínimamente y de forma temporal sobre la posesión o capacidad de disposición, incidencia que además podrá ser objeto de compensación económica, como se desprende de las disposiciones adicionales segunda y tercera del Real Decreto-ley 37/2020, de 22 de diciembre”.</w:t>
      </w:r>
    </w:p>
    <w:p w14:paraId="0783A716" w14:textId="77777777" w:rsidR="003754FE" w:rsidRDefault="003754FE" w:rsidP="003754FE">
      <w:pPr>
        <w:pStyle w:val="TextoNormal"/>
      </w:pPr>
    </w:p>
    <w:p w14:paraId="35666C6E" w14:textId="77777777" w:rsidR="003754FE" w:rsidRDefault="003754FE" w:rsidP="003754FE">
      <w:pPr>
        <w:pStyle w:val="TextoNormal"/>
      </w:pPr>
      <w:r>
        <w:t xml:space="preserve">También hace referencia a la doctrina de la Sala de lo Contencioso-Administrativo del Tribunal Supremo, en concreto a la STS 1797/2017, de 23 de noviembre, (ECLI:ES:TS:2017:4211) que considera incompatible con la debida protección jurídica de los derechos e intereses de los menores la resolución dictada por un juzgado de lo contencioso-administrativo de autorización de entrada forzosa en un domicilio, por considerar que no se encontraba suficientemente motivada y no haber efectuado un juicio acerca de la aplicación del principio de proporcionalidad sobre la afectación que implica la resolución dictada en los derechos de los menores. Esta doctrina ha sido desarrollada en resoluciones posteriores del Tribunal Supremo, en las que se precisa la jurisprudencia sobre la aplicación del </w:t>
      </w:r>
      <w:r>
        <w:lastRenderedPageBreak/>
        <w:t>principio de proporcionalidad en los supuestos de autorización de entrada en un domicilio familiar para proceder al desalojo cuando residan menores de edad, en relación con la afectación de sus derechos e intereses [STS 950/2023, de 10 de julio, (ECLI:ES:TS:2023:3190)].</w:t>
      </w:r>
    </w:p>
    <w:p w14:paraId="6B341E33" w14:textId="77777777" w:rsidR="003754FE" w:rsidRDefault="003754FE" w:rsidP="003754FE">
      <w:pPr>
        <w:pStyle w:val="TextoNormal"/>
      </w:pPr>
    </w:p>
    <w:p w14:paraId="5ECFA4E8" w14:textId="77777777" w:rsidR="003754FE" w:rsidRDefault="003754FE" w:rsidP="003754FE">
      <w:pPr>
        <w:pStyle w:val="TextoNormal"/>
      </w:pPr>
      <w:r>
        <w:t>Trasladada esa doctrina al caso concreto, argumenta la fiscal que la interpretación realizada por el juzgado acerca de que solo cabe un incidente de suspensión del lanzamiento y que, por tanto, no se prevé en la norma la suspensión automática del procedimiento de desahucio en cualquier circunstancia, lo que determinaría el rechazo de la solicitud del recurrente al haber instado hasta tres incidentes de suspensión, resulta irrazonable porque no se sustenta en los criterios que deben regir la interpretación de las normas, tal y como establece el art. 3 del Código civil. En primer lugar, argumenta que la norma aplicable es el art. 1 del Real Decreto-ley 11/2020, en la última modificación operada por el Real Decreto-ley 8/2023, de 27 de diciembre, que afecta al plazo máximo de suspensión de los procedimientos de desahucio y lanzamientos cuando esté acreditada la situación de vulnerabilidad. Para la prolongación de estas medidas, el legislador hace referencia en el preámbulo de la norma a la persistencia de las adversas circunstancias económicas, “es necesario atender a la realidad social y económica de los hogares en el contexto del proceso de mitigación de la dinámica inflacionista y de la prolongación de las consecuencias de la situación internacional, extendiendo determinadas medidas de protección [y] [e]n particular, se amplía hasta el 31 de diciembre de 2024 la suspensión de los procedimientos de desahucio y lanzamientos […]”. El empleo del legislador de términos como “extendiendo” y “se amplía” supone atender a una situación previa ya tenida en cuenta y que aún persiste. En este contexto, sigue diciendo la fiscal, la interpretación judicial acerca de que no se trata de una extensión automática de efectos y que hay que hacerlo valer mediante un incidente de suspensión que, además, es único, resulta contraria a la finalidad de la norma y a la lógica, por lo que según la fiscal sería una interpretación irrazonable.</w:t>
      </w:r>
    </w:p>
    <w:p w14:paraId="287463D6" w14:textId="77777777" w:rsidR="003754FE" w:rsidRDefault="003754FE" w:rsidP="003754FE">
      <w:pPr>
        <w:pStyle w:val="TextoNormal"/>
      </w:pPr>
    </w:p>
    <w:p w14:paraId="2609EDA8" w14:textId="77777777" w:rsidR="003754FE" w:rsidRDefault="003754FE" w:rsidP="003754FE">
      <w:pPr>
        <w:pStyle w:val="TextoNormal"/>
      </w:pPr>
      <w:r>
        <w:t>Por otra parte, sigue argumentado el Ministerio Fiscal, de la lectura del art.1 del Real Decreto-ley 11/2020 se obtiene otro argumento contrario a la interpretación judicial, que hace referencia a la posibilidad de instar un incidente de suspensión “se haya suspendido o no previamente el proceso en los términos establecidos en el apartado quinto del artículo 441 de la Ley 1/2000, de 7 de enero, de enjuiciamiento civil”.</w:t>
      </w:r>
    </w:p>
    <w:p w14:paraId="1CE0D6A6" w14:textId="77777777" w:rsidR="003754FE" w:rsidRDefault="003754FE" w:rsidP="003754FE">
      <w:pPr>
        <w:pStyle w:val="TextoNormal"/>
      </w:pPr>
    </w:p>
    <w:p w14:paraId="6DF40716" w14:textId="77777777" w:rsidR="003754FE" w:rsidRDefault="003754FE" w:rsidP="003754FE">
      <w:pPr>
        <w:pStyle w:val="TextoNormal"/>
      </w:pPr>
      <w:r>
        <w:t>Por último, añade una consideración que estima esencial y prioritaria para la resolución del recurso, como es que las resoluciones judiciales objeto de amparo no han efectuado ponderación alguna que atienda al interés superior de los menores afectados por la medida de lanzamiento. En el caso, está acreditado que la familia de la demandante de amparo, en situación de vulnerabilidad económica, está compuesta por cinco hijos menores, el menor de ellos, nacido en 2022, con una discapacidad reconocida.</w:t>
      </w:r>
    </w:p>
    <w:p w14:paraId="0E29D7A9" w14:textId="77777777" w:rsidR="003754FE" w:rsidRDefault="003754FE" w:rsidP="003754FE">
      <w:pPr>
        <w:pStyle w:val="TextoNormal"/>
      </w:pPr>
    </w:p>
    <w:p w14:paraId="19D85671" w14:textId="6682571F" w:rsidR="003754FE" w:rsidRDefault="003754FE" w:rsidP="003754FE">
      <w:pPr>
        <w:pStyle w:val="TextoNormal"/>
      </w:pPr>
      <w:r>
        <w:t>Concluye la fiscal que la resolución recurrida, “se basa en una interpretación restrictiva y carente de razonabilidad, que provoca una vulneración del derecho a la tutela judicial efectiva en los términos anteriormente manifestados. No han ponderado suficientemente los intereses en conflicto, con especial mención del interés superior de los menores implicados, pese a reconocer la persistencia de la situación de vulnerabilidad, y no tiene en cuenta que la ley establece compensaciones económicas a los propietarios que se ven temporalmente privados de la posesión y disponibilidad de su inmueble”.</w:t>
      </w:r>
    </w:p>
    <w:p w14:paraId="2C1BA37C" w14:textId="77777777" w:rsidR="003754FE" w:rsidRDefault="003754FE" w:rsidP="003754FE">
      <w:pPr>
        <w:pStyle w:val="TextoNormal"/>
      </w:pPr>
    </w:p>
    <w:p w14:paraId="4468391D" w14:textId="2C3A44DA" w:rsidR="003754FE" w:rsidRDefault="003754FE" w:rsidP="003754FE">
      <w:pPr>
        <w:pStyle w:val="TextoNormal"/>
      </w:pPr>
      <w:r w:rsidRPr="003754FE">
        <w:rPr>
          <w:rStyle w:val="NumeroAFNegritaCaracter"/>
        </w:rPr>
        <w:t>9</w:t>
      </w:r>
      <w:r>
        <w:t>. La Secretaría de Justicia de la Sección Cuarta de este tribunal, dictó diligencia el 2 de julio de 2024 haciendo constar la recepción del escrito de alegaciones del Ministerio Fiscal y del procurador don Ignacio Requejo García de Mateo, en nombre y representación de don Eleuterio Gordo Sainz-Pardo; así como la preclusión del plazo otorgado a la recurrente sin que esta presentara alegaciones, quedando concluso el procedimiento.</w:t>
      </w:r>
    </w:p>
    <w:p w14:paraId="32CDC809" w14:textId="77777777" w:rsidR="003754FE" w:rsidRDefault="003754FE" w:rsidP="003754FE">
      <w:pPr>
        <w:pStyle w:val="TextoNormal"/>
      </w:pPr>
    </w:p>
    <w:p w14:paraId="0EEF41EC" w14:textId="0BC0B1A9" w:rsidR="003754FE" w:rsidRDefault="003754FE" w:rsidP="003754FE">
      <w:pPr>
        <w:pStyle w:val="TextoNormal"/>
      </w:pPr>
      <w:r w:rsidRPr="003754FE">
        <w:rPr>
          <w:rStyle w:val="NumeroAFNegritaCaracter"/>
        </w:rPr>
        <w:t>10</w:t>
      </w:r>
      <w:r>
        <w:t>. Mediante providencia de 17 de octubre de 2024, se señaló para deliberación y votación de la presente sentencia el día 21 del mismo mes y año.</w:t>
      </w:r>
    </w:p>
    <w:p w14:paraId="29AC3A3F" w14:textId="77777777" w:rsidR="003754FE" w:rsidRDefault="003754FE" w:rsidP="003754FE">
      <w:pPr>
        <w:pStyle w:val="TextoNormal"/>
      </w:pPr>
    </w:p>
    <w:p w14:paraId="0A44C2D5" w14:textId="77777777" w:rsidR="003754FE" w:rsidRDefault="003754FE" w:rsidP="003754FE">
      <w:pPr>
        <w:pStyle w:val="TextoNormalNegritaCentrado"/>
        <w:keepNext/>
      </w:pPr>
      <w:r>
        <w:t>II. Fundamentos jurídicos</w:t>
      </w:r>
    </w:p>
    <w:p w14:paraId="6163D5A0" w14:textId="4E075495" w:rsidR="003754FE" w:rsidRDefault="003754FE" w:rsidP="003754FE">
      <w:pPr>
        <w:pStyle w:val="TextoNormalNegritaCentrado"/>
        <w:keepNext/>
      </w:pPr>
    </w:p>
    <w:p w14:paraId="4036CC4B" w14:textId="77777777" w:rsidR="003754FE" w:rsidRDefault="003754FE" w:rsidP="003754FE">
      <w:pPr>
        <w:pStyle w:val="TextoNormal"/>
      </w:pPr>
      <w:r w:rsidRPr="003754FE">
        <w:rPr>
          <w:rStyle w:val="NumeroAFNegritaCaracter"/>
        </w:rPr>
        <w:t>1</w:t>
      </w:r>
      <w:r>
        <w:t xml:space="preserve">. </w:t>
      </w:r>
      <w:r w:rsidRPr="003754FE">
        <w:rPr>
          <w:i/>
        </w:rPr>
        <w:t>Objeto del proceso</w:t>
      </w:r>
    </w:p>
    <w:p w14:paraId="188C53CC" w14:textId="77777777" w:rsidR="003754FE" w:rsidRDefault="003754FE" w:rsidP="003754FE">
      <w:pPr>
        <w:pStyle w:val="TextoNormal"/>
      </w:pPr>
    </w:p>
    <w:p w14:paraId="3F116F7D" w14:textId="77777777" w:rsidR="003754FE" w:rsidRDefault="003754FE" w:rsidP="003754FE">
      <w:pPr>
        <w:pStyle w:val="TextoNormal"/>
      </w:pPr>
      <w:r>
        <w:t>a) Se interpone demanda de amparo contra el auto del Juzgado de Primera Instancia núm. 105 de Madrid, de 6 de febrero de 2024, que desestimó el incidente de nulidad de actuaciones promovido por la aquí recurrente, que fue demandada en el juicio verbal de desahucio por resolución de contrato de arrendamiento de vivienda, por expiración del plazo contractual (procedimiento 995-2022).</w:t>
      </w:r>
    </w:p>
    <w:p w14:paraId="57541352" w14:textId="77777777" w:rsidR="003754FE" w:rsidRDefault="003754FE" w:rsidP="003754FE">
      <w:pPr>
        <w:pStyle w:val="TextoNormal"/>
      </w:pPr>
    </w:p>
    <w:p w14:paraId="2F8C2469" w14:textId="77777777" w:rsidR="003754FE" w:rsidRDefault="003754FE" w:rsidP="003754FE">
      <w:pPr>
        <w:pStyle w:val="TextoNormal"/>
      </w:pPr>
      <w:r>
        <w:t>El auto objeto de impugnación argumenta que el Real Decreto-ley 8/2023, de 27 de diciembre, al igual que los anteriores cuyo texto es idéntico y que han venido prorrogando las medidas de suspensión y paralización de los desahucios y lanzamientos desde que se declaró la pandemia del covid-19, solo permite al arrendatario instar un único incidente de suspensión extraordinaria del desahucio o lanzamiento y en el presente caso la demandada y su familia ya habían planteado hasta tres incidentes de suspensión por vulnerabilidad, sin que las administraciones públicas competentes hubieran adoptado las medidas adecuadas para satisfacer la necesidad habitacional de esas personas.</w:t>
      </w:r>
    </w:p>
    <w:p w14:paraId="57861A4A" w14:textId="77777777" w:rsidR="003754FE" w:rsidRDefault="003754FE" w:rsidP="003754FE">
      <w:pPr>
        <w:pStyle w:val="TextoNormal"/>
      </w:pPr>
    </w:p>
    <w:p w14:paraId="31E45E39" w14:textId="77777777" w:rsidR="003754FE" w:rsidRDefault="003754FE" w:rsidP="003754FE">
      <w:pPr>
        <w:pStyle w:val="TextoNormal"/>
      </w:pPr>
      <w:r>
        <w:t>En orden a precisar el objeto de impugnación y conforme a la reiterada doctrina constitucional de que “cuando se impugna en amparo constitucional una resolución judicial confirmatoria de otras, que han sido lógica y cronológicamente presupuesto de aquella, han de considerarse también recurridas, aunque no lo hayan sido expresamente, las precedentes decisiones confirmadas” (por todas, SSTC 95/2018, de 17 de septiembre, FJ 1; 178/2020, de 14 de diciembre, FJ 1, y 172/2023, de 11 de diciembre, FJ 1), la impugnación de la demanda ha de extenderse al auto de 15 de enero de 2024, frente al que se interpuso el incidente de nulidad, que mantenía la misma interpretación de la norma en el sentido de restringir la posibilidad de solicitar el incidente de suspensión del lanzamiento a una única vez, lo que implicaba impedir su prórroga más allá de la vigencia temporal señalada en la primera suspensión, pese a que no se hubiera alterado la situación de vulnerabilidad económica y social de la solicitante y su familia.</w:t>
      </w:r>
    </w:p>
    <w:p w14:paraId="06F448B7" w14:textId="77777777" w:rsidR="003754FE" w:rsidRDefault="003754FE" w:rsidP="003754FE">
      <w:pPr>
        <w:pStyle w:val="TextoNormal"/>
      </w:pPr>
    </w:p>
    <w:p w14:paraId="4E69246E" w14:textId="77777777" w:rsidR="003754FE" w:rsidRDefault="003754FE" w:rsidP="003754FE">
      <w:pPr>
        <w:pStyle w:val="TextoNormal"/>
      </w:pPr>
      <w:r>
        <w:t xml:space="preserve">b) La demanda de amparo denuncia la vulneración del derecho a la tutela judicial efectiva sin indefensión (art. 24.1 CE), en relación con el “principio de legalidad”, al considerar que la decisión judicial adoptada es arbitraria por apartarse del contenido de la norma vigente (Real Decreto-ley 8/2023) cuando argumenta que la parte recurrente había promovido un supuesto tercer incidente de suspensión, cuando, en realidad, lo que había solicitado era la </w:t>
      </w:r>
      <w:r>
        <w:lastRenderedPageBreak/>
        <w:t>suspensión del lanzamiento en base a lo dispuesto en la norma, dentro del único incidente de suspensión tramitado en el procedimiento. También considera que la resolución judicial es arbitraria porque los decretos que prorrogan la suspensión de los lanzamientos no se emiten en función de si se han producido suspensiones previas o no, sino con arreglo a los límites temporales que establece la propia norma, concluyendo que esta interpretación judicial fundada en que se hayan promovido uno o más incidentes de suspensión para acordar uno u otro efecto procesal, desvirtúa el espíritu de la ley.</w:t>
      </w:r>
    </w:p>
    <w:p w14:paraId="5BCF0C6D" w14:textId="77777777" w:rsidR="003754FE" w:rsidRDefault="003754FE" w:rsidP="003754FE">
      <w:pPr>
        <w:pStyle w:val="TextoNormal"/>
      </w:pPr>
    </w:p>
    <w:p w14:paraId="1AC4F0D4" w14:textId="77777777" w:rsidR="003754FE" w:rsidRDefault="003754FE" w:rsidP="003754FE">
      <w:pPr>
        <w:pStyle w:val="TextoNormal"/>
      </w:pPr>
      <w:r>
        <w:t>La invocación genérica y de mero refuerzo que realiza la demanda a la denuncia del “principio de legalidad”, sin aclarar si dicha invocación se refiere al principio contenido en el art. 9.3 CE, que no constituiría objeto de amparo, o bien al derecho a la legalidad penal que recoge el art. 25 CE y que, obviamente, tampoco podría constituir objeto de impugnación en este procedimiento que deriva de un juicio verbal civil, no puede desdibujar la vulneración denunciada con carácter principal del derecho a la tutela judicial efectiva (art. 24.1 CE).</w:t>
      </w:r>
    </w:p>
    <w:p w14:paraId="0F1B4D9C" w14:textId="77777777" w:rsidR="003754FE" w:rsidRDefault="003754FE" w:rsidP="003754FE">
      <w:pPr>
        <w:pStyle w:val="TextoNormal"/>
      </w:pPr>
    </w:p>
    <w:p w14:paraId="606B2D13" w14:textId="77777777" w:rsidR="003754FE" w:rsidRDefault="003754FE" w:rsidP="003754FE">
      <w:pPr>
        <w:pStyle w:val="TextoNormal"/>
      </w:pPr>
      <w:r>
        <w:t>c) La pretensión de la demanda es apoyada por la fiscal ante este tribunal en su escrito de alegaciones, solicitando el otorgamiento del amparo al considerar que la interpretación realizada por el juzgado acerca de que solo cabe un incidente de suspensión del lanzamiento y que no se prevé en la norma la suspensión automática del procedimiento de desahucio en cualquier circunstancia, resulta irrazonable por ser contraria a la finalidad de la norma, a su literalidad al prever la posibilidad de instar un incidente de suspensión “se haya suspendido o no previamente el proceso”, y que las resoluciones judiciales frente a las que se solicita el amparo no han efectuado ponderación alguna que atienda al interés superior de los menores.</w:t>
      </w:r>
    </w:p>
    <w:p w14:paraId="2FF81809" w14:textId="77777777" w:rsidR="003754FE" w:rsidRDefault="003754FE" w:rsidP="003754FE">
      <w:pPr>
        <w:pStyle w:val="TextoNormal"/>
      </w:pPr>
    </w:p>
    <w:p w14:paraId="0F576483" w14:textId="77777777" w:rsidR="003754FE" w:rsidRDefault="003754FE" w:rsidP="003754FE">
      <w:pPr>
        <w:pStyle w:val="TextoNormal"/>
      </w:pPr>
      <w:r>
        <w:t>d) La representación procesal de don Eleuterio Gordo Sainz-Pardo se ha opuesto a la estimación del recurso por entender debida y suficientemente motivadas las resoluciones judiciales impugnadas.</w:t>
      </w:r>
    </w:p>
    <w:p w14:paraId="7119C91C" w14:textId="77777777" w:rsidR="003754FE" w:rsidRDefault="003754FE" w:rsidP="003754FE">
      <w:pPr>
        <w:pStyle w:val="TextoNormal"/>
      </w:pPr>
    </w:p>
    <w:p w14:paraId="7461AC30" w14:textId="492E2948" w:rsidR="003754FE" w:rsidRDefault="003754FE" w:rsidP="003754FE">
      <w:pPr>
        <w:pStyle w:val="TextoNormal"/>
      </w:pPr>
      <w:r>
        <w:t>e) La queja que se plantea en el recurso, en consecuencia, se refiere a la vulneración del derecho a la tutela judicial efectiva en su vertiente de la exigencia de una resolución fundada en Derecho que no incurra en irracionalidad o arbitrariedad. La argumentación cuestionada en el recurso no solo se incluye en el auto que rechazó el incidente de nulidad, sino también en el de 15 de enero de 2024 objeto de dicho incidente.</w:t>
      </w:r>
    </w:p>
    <w:p w14:paraId="1797F821" w14:textId="77777777" w:rsidR="003754FE" w:rsidRDefault="003754FE" w:rsidP="003754FE">
      <w:pPr>
        <w:pStyle w:val="TextoNormal"/>
      </w:pPr>
    </w:p>
    <w:p w14:paraId="5B84EC95" w14:textId="77777777" w:rsidR="003754FE" w:rsidRDefault="003754FE" w:rsidP="003754FE">
      <w:pPr>
        <w:pStyle w:val="TextoNormal"/>
      </w:pPr>
      <w:r w:rsidRPr="003754FE">
        <w:rPr>
          <w:rStyle w:val="NumeroAFNegritaCaracter"/>
        </w:rPr>
        <w:t>2</w:t>
      </w:r>
      <w:r>
        <w:t xml:space="preserve">. </w:t>
      </w:r>
      <w:r w:rsidRPr="003754FE">
        <w:rPr>
          <w:i/>
        </w:rPr>
        <w:t>Doctrina constitucional sobre el derecho a una resolución fundada en Derecho. Motivación reforzada cuando se ha de valorar el interés superior de los menores</w:t>
      </w:r>
    </w:p>
    <w:p w14:paraId="430F6BF2" w14:textId="77777777" w:rsidR="003754FE" w:rsidRDefault="003754FE" w:rsidP="003754FE">
      <w:pPr>
        <w:pStyle w:val="TextoNormal"/>
      </w:pPr>
    </w:p>
    <w:p w14:paraId="55118C93" w14:textId="77777777" w:rsidR="003754FE" w:rsidRDefault="003754FE" w:rsidP="003754FE">
      <w:pPr>
        <w:pStyle w:val="TextoNormal"/>
      </w:pPr>
      <w:r>
        <w:t>a) La doctrina jurisprudencial sobre el derecho a la tutela judicial efectiva (art. 24.1 CE), en su vertiente de derecho a obtener una resolución motivada y fundada en Derecho, ha sido reiteradamente expuesta por este tribunal.</w:t>
      </w:r>
    </w:p>
    <w:p w14:paraId="583C3A55" w14:textId="77777777" w:rsidR="003754FE" w:rsidRDefault="003754FE" w:rsidP="003754FE">
      <w:pPr>
        <w:pStyle w:val="TextoNormal"/>
      </w:pPr>
    </w:p>
    <w:p w14:paraId="439FAED8" w14:textId="77777777" w:rsidR="003754FE" w:rsidRDefault="003754FE" w:rsidP="003754FE">
      <w:pPr>
        <w:pStyle w:val="TextoNormal"/>
      </w:pPr>
      <w:r>
        <w:t xml:space="preserve">La STC 42/2022, de 21 de marzo, FJ 3 C), con remisión a la STC 61/2021, de 15 de marzo, FJ 4, resume esta doctrina: </w:t>
      </w:r>
    </w:p>
    <w:p w14:paraId="7E38A38A" w14:textId="77777777" w:rsidR="003754FE" w:rsidRDefault="003754FE" w:rsidP="003754FE">
      <w:pPr>
        <w:pStyle w:val="TextoNormal"/>
      </w:pPr>
    </w:p>
    <w:p w14:paraId="60E247FC" w14:textId="77777777" w:rsidR="003754FE" w:rsidRDefault="003754FE" w:rsidP="003754FE">
      <w:pPr>
        <w:pStyle w:val="TextoNormal"/>
      </w:pPr>
      <w:r>
        <w:t xml:space="preserve">“Hemos afirmado que el derecho fundamental a la tutela judicial efectiva ‘exige que las resoluciones judiciales al decidir los litigios sean fundadas en Derecho’ (SSTC 99/2000, de 10 de abril, FJ 6, y 144/2003, de 14 de julio, FJ 2), lo que significa, como hemos advertido </w:t>
      </w:r>
      <w:r>
        <w:lastRenderedPageBreak/>
        <w:t>en la STC 184/1992, de 16 de noviembre, FJ 2, reiterando consolidada doctrina de este tribunal, que ‘una aplicación de la legalidad que sea arbitraria, manifiestamente irrazonada o irrazonable no puede considerarse fundada en Derecho y lesiona, por ello, el derecho a la tutela judicial (SSTC 23/1987, 24/1990 y 25/1990)’.</w:t>
      </w:r>
    </w:p>
    <w:p w14:paraId="19A4E6D8" w14:textId="77777777" w:rsidR="003754FE" w:rsidRDefault="003754FE" w:rsidP="003754FE">
      <w:pPr>
        <w:pStyle w:val="TextoNormal"/>
      </w:pPr>
    </w:p>
    <w:p w14:paraId="6067FCF0" w14:textId="77777777" w:rsidR="003754FE" w:rsidRDefault="003754FE" w:rsidP="003754FE">
      <w:pPr>
        <w:pStyle w:val="TextoNormal"/>
      </w:pPr>
      <w:r>
        <w:t>Según consolidada y unánime doctrina constitucional, el derecho a obtener la tutela judicial efectiva garantizado en el art. 24.1 CE, comprende el derecho a obtener de los jueces y tribunales una resolución motivada y fundada en Derecho sobre el fondo de las pretensiones oportunamente deducidas por las partes en el proceso (por todas, STC 38/2011, de 28 de marzo, FJ 3). Lo que significa, en primer lugar, que la resolución judicial ha de estar motivada, es decir, debe contener los elementos y razones de juicio que permitan conocer cuáles han sido los criterios jurídicos que fundamentan la decisión; y en segundo lugar, su motivación debe estar fundada en Derecho (SSTC 276/2006, de 25 de septiembre, FJ 2, y 64/2010, de 18 de octubre, FJ 3) o, lo que es lo mismo, que sea consecuencia de una exégesis racional del ordenamiento y no fruto de un error patente o de la arbitrariedad (por todas, STC 146/2005, de 6 de junio, FJ 7). En resumidas cuentas, el art. 24.1 CE impone a los órganos judiciales ‘no solo la obligación de ofrecer una respuesta motivada a las pretensiones deducidas, sino que, además, esta ha de tener contenido jurídico y no resultar arbitraria’ (STC 8/2005, de 17 de enero, FJ 3).</w:t>
      </w:r>
    </w:p>
    <w:p w14:paraId="36BFB8DC" w14:textId="77777777" w:rsidR="003754FE" w:rsidRDefault="003754FE" w:rsidP="003754FE">
      <w:pPr>
        <w:pStyle w:val="TextoNormal"/>
      </w:pPr>
    </w:p>
    <w:p w14:paraId="511042B9" w14:textId="77777777" w:rsidR="003754FE" w:rsidRDefault="003754FE" w:rsidP="003754FE">
      <w:pPr>
        <w:pStyle w:val="TextoNormal"/>
      </w:pPr>
      <w:r>
        <w:t>Conviene no obstante recordar que en esa misma doctrina constitucional está igualmente dicho que el derecho a la tutela judicial efectiva del art. 24.1 CE ‘no incluye un pretendido derecho al acierto judicial en la selección, interpretación y aplicación de las disposiciones legales, salvo que afecte al contenido de otros derechos constitucionales distintos al de tutela judicial efectiva’ (recientemente, entre otras, SSTC 3/2011, de 14 de febrero, FFJJ 3 y 5, y 183/2011, de 21 de noviembre, FFJJ 5 y 7). Y que la simple discrepancia de las partes con una resolución judicial, aun fundada en otra interpretación posible de la legalidad aplicada, incluso por plausible que esta resulte, no convierte el correspondiente razonamiento judicial en arbitrario o manifiestamente irrazonable ni, menos aún, obliga a este tribunal a elegir entre las interpretaciones posibles cuál es la que debe prevalecer (SSTC 59/2003, de 24 de marzo, FJ 3; 221/2003, de 15 de diciembre, FJ 4; 140/2005, de 6 de junio, FJ 5, y 221/2005, de 12 de septiembre, FJ 5)”.</w:t>
      </w:r>
    </w:p>
    <w:p w14:paraId="62751E88" w14:textId="77777777" w:rsidR="003754FE" w:rsidRDefault="003754FE" w:rsidP="003754FE">
      <w:pPr>
        <w:pStyle w:val="TextoNormal"/>
      </w:pPr>
    </w:p>
    <w:p w14:paraId="0D473114" w14:textId="77777777" w:rsidR="003754FE" w:rsidRDefault="003754FE" w:rsidP="003754FE">
      <w:pPr>
        <w:pStyle w:val="TextoNormal"/>
      </w:pPr>
      <w:r>
        <w:t>b) Con relación a la exigencia de una motivación reforzada de aquellas resoluciones que afectan a los menores, la STC 28/2024, de 27 de febrero, FJ 5, sintetiza así la doctrina de este tribunal:</w:t>
      </w:r>
    </w:p>
    <w:p w14:paraId="4F1C308A" w14:textId="77777777" w:rsidR="003754FE" w:rsidRDefault="003754FE" w:rsidP="003754FE">
      <w:pPr>
        <w:pStyle w:val="TextoNormal"/>
      </w:pPr>
    </w:p>
    <w:p w14:paraId="38276DAF" w14:textId="77777777" w:rsidR="003754FE" w:rsidRDefault="003754FE" w:rsidP="003754FE">
      <w:pPr>
        <w:pStyle w:val="TextoNormal"/>
      </w:pPr>
      <w:r>
        <w:t xml:space="preserve">“‘[E]l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lo previsto en el art. 3.1 de la Convención sobre los derechos del niño. Ese tratado internacional, ratificado por España mediante instrumento de 30 de noviembre de 1990, destaca entre los acuerdos internacionales a los que hace referencia el art. 39.4 CE, además de constituir canon hermenéutico de las normas relativas a derechos fundamentales y libertades que nuestra Constitución reconoce </w:t>
      </w:r>
      <w:r w:rsidRPr="003754FE">
        <w:rPr>
          <w:i/>
        </w:rPr>
        <w:t>ex</w:t>
      </w:r>
      <w:r>
        <w:t xml:space="preserve"> art. 10.2 CE (por todas, STC 64/2019, de 9 de mayo, FJ 4; 131/2023, de 23 de octubre, FJ 3, y 148/2023, de 6 de noviembre, FJ 4).</w:t>
      </w:r>
    </w:p>
    <w:p w14:paraId="4A65F1FD" w14:textId="77777777" w:rsidR="003754FE" w:rsidRDefault="003754FE" w:rsidP="003754FE">
      <w:pPr>
        <w:pStyle w:val="TextoNormal"/>
      </w:pPr>
    </w:p>
    <w:p w14:paraId="4EDCB67F" w14:textId="7EA8C272" w:rsidR="003754FE" w:rsidRDefault="003754FE" w:rsidP="003754FE">
      <w:pPr>
        <w:pStyle w:val="TextoNormal"/>
      </w:pPr>
      <w:r>
        <w:lastRenderedPageBreak/>
        <w:t>Según nuestra jurisprudencia, corresponde a los tribunales ordinarios la decisión de cuál sea en cada caso el interés superior del menor, ‘aunque es de nuestra incumbencia examinar si la motivación ofrecida por los mismos para adoptar cuantas medidas conciernen a los menores, está sustentada en su mayor beneficio y así comprobar que no se han lesionado sus derechos fundamentales’ (por todas, SSTC 178/2020, de 14 de diciembre, FJ 3, y 113/2021, de 31 de mayo, FJ 2). Una vez más hemos de subrayar que el canon de razonabilidad constitucional deviene más exigente en supuestos en que se invoca el interés superior del menor (SSTC 141/2000, de 29 de mayo, FJ 5; 217/2009, de 14 de diciembre, FJ 5; 127/2013, de 3 de junio, FJ 6, y 138/2014, de 8 de septiembre, FJ 2, entre otras)”.</w:t>
      </w:r>
    </w:p>
    <w:p w14:paraId="310A9341" w14:textId="77777777" w:rsidR="003754FE" w:rsidRDefault="003754FE" w:rsidP="003754FE">
      <w:pPr>
        <w:pStyle w:val="TextoNormal"/>
      </w:pPr>
    </w:p>
    <w:p w14:paraId="45F5C178" w14:textId="77777777" w:rsidR="003754FE" w:rsidRDefault="003754FE" w:rsidP="003754FE">
      <w:pPr>
        <w:pStyle w:val="TextoNormal"/>
      </w:pPr>
      <w:r w:rsidRPr="003754FE">
        <w:rPr>
          <w:rStyle w:val="NumeroAFNegritaCaracter"/>
        </w:rPr>
        <w:t>3</w:t>
      </w:r>
      <w:r>
        <w:t xml:space="preserve">. </w:t>
      </w:r>
      <w:r w:rsidRPr="003754FE">
        <w:rPr>
          <w:i/>
        </w:rPr>
        <w:t>Aplicación al caso de la doctrina constitucional expuesta</w:t>
      </w:r>
    </w:p>
    <w:p w14:paraId="6599DB68" w14:textId="77777777" w:rsidR="003754FE" w:rsidRDefault="003754FE" w:rsidP="003754FE">
      <w:pPr>
        <w:pStyle w:val="TextoNormal"/>
      </w:pPr>
    </w:p>
    <w:p w14:paraId="6C9BE029" w14:textId="77777777" w:rsidR="003754FE" w:rsidRDefault="003754FE" w:rsidP="003754FE">
      <w:pPr>
        <w:pStyle w:val="TextoNormal"/>
      </w:pPr>
      <w:r>
        <w:t>a) Tanto durante la pandemia ocasionada por el covid-19, como posteriormente, se han dictado distintas normas con medidas de carácter social y económico y entre ellas las que introducen un período de suspensión del procedimiento de desahucio y de los lanzamientos, cuando afecten a arrendatarios vulnerables sin alternativa habitacional.</w:t>
      </w:r>
    </w:p>
    <w:p w14:paraId="3F85CD06" w14:textId="77777777" w:rsidR="003754FE" w:rsidRDefault="003754FE" w:rsidP="003754FE">
      <w:pPr>
        <w:pStyle w:val="TextoNormal"/>
      </w:pPr>
    </w:p>
    <w:p w14:paraId="470FE701" w14:textId="77777777" w:rsidR="003754FE" w:rsidRDefault="003754FE" w:rsidP="003754FE">
      <w:pPr>
        <w:pStyle w:val="TextoNormal"/>
      </w:pPr>
      <w:r>
        <w:t>En esta línea, aunque aludiendo en su título a otro contexto socioeconómico, el art. 87 del Real Decreto-ley 8/2023, de 27 de diciembre, por el que se adoptan medidas para afrontar las consecuencias económicas y sociales derivadas de los conflictos en Ucrania y Oriente Próximo, así como para paliar los efectos de la sequía, volvió a modificar el art. 1 del Real Decreto-ley 11/2020, de 31 de marzo, por el que se adoptan medidas urgentes complementarias en el ámbito social y económico para hacer frente al covid-19, ampliando nuevamente el período de suspensión de los lanzamientos. Este precepto, en la redacción dada por el Real Decreto-ley 8/2023, norma que es objeto de aplicación e interpretación por las resoluciones judiciales impugnadas en este recurso de amparo, en su primer apartado tiene la siguiente redacción:</w:t>
      </w:r>
    </w:p>
    <w:p w14:paraId="400B6D98" w14:textId="77777777" w:rsidR="003754FE" w:rsidRDefault="003754FE" w:rsidP="003754FE">
      <w:pPr>
        <w:pStyle w:val="TextoNormal"/>
      </w:pPr>
    </w:p>
    <w:p w14:paraId="36BE1C01" w14:textId="77777777" w:rsidR="003754FE" w:rsidRDefault="003754FE" w:rsidP="003754FE">
      <w:pPr>
        <w:pStyle w:val="TextoNormal"/>
      </w:pPr>
      <w:r>
        <w:t>“Artículo 1. Suspensión del procedimiento de desahucio y de los lanzamientos para hogares vulnerables sin alternativa habitacional</w:t>
      </w:r>
    </w:p>
    <w:p w14:paraId="149E5102" w14:textId="77777777" w:rsidR="003754FE" w:rsidRDefault="003754FE" w:rsidP="003754FE">
      <w:pPr>
        <w:pStyle w:val="TextoNormal"/>
      </w:pPr>
    </w:p>
    <w:p w14:paraId="3530BC22" w14:textId="77777777" w:rsidR="003754FE" w:rsidRDefault="003754FE" w:rsidP="003754FE">
      <w:pPr>
        <w:pStyle w:val="TextoNormal"/>
      </w:pPr>
      <w:r>
        <w:t>1. Desde la entrada en vigor del presente Real Decreto-ley y hasta el 31 de diciembre de 2024, en todos los juicios verbales que versen sobre reclamaciones de renta o cantidades debidas por el arrendatario, o la expiración del plazo de duración de contratos suscritos conforme a la Ley 29/1994, de 24 de noviembre, de arrendamientos urbanos, que pretendan recuperar la posesión de la finca, se haya suspendido o no previamente el proceso en los términos establecidos en el apartado 5 del artículo 441 de la Ley 1/2000, de 7 de enero, de enjuiciamiento civil, la persona arrendataria podrá instar, de conformidad con lo previsto en este artículo, un incidente de suspensión extraordinaria del desahucio o lanzamiento ante el juzgado por encontrarse en una situación de vulnerabilidad económica que le imposibilite encontrar una alternativa habitacional para sí y para las personas con las que conviva.</w:t>
      </w:r>
    </w:p>
    <w:p w14:paraId="1A55C957" w14:textId="77777777" w:rsidR="003754FE" w:rsidRDefault="003754FE" w:rsidP="003754FE">
      <w:pPr>
        <w:pStyle w:val="TextoNormal"/>
      </w:pPr>
    </w:p>
    <w:p w14:paraId="0FC13F15" w14:textId="77777777" w:rsidR="003754FE" w:rsidRDefault="003754FE" w:rsidP="003754FE">
      <w:pPr>
        <w:pStyle w:val="TextoNormal"/>
      </w:pPr>
      <w:r>
        <w:t>Así mismo, si no estuviese señalada fecha para el lanzamiento, por no haber transcurrido el plazo de diez días a que se refiere el artículo 440.3 de la Ley 1/2000, de 7 de enero, de enjuiciamiento civil, o por no haberse celebrado la vista, se suspenderá dicho plazo o la celebración de la vista.</w:t>
      </w:r>
    </w:p>
    <w:p w14:paraId="57AD4DCE" w14:textId="77777777" w:rsidR="003754FE" w:rsidRDefault="003754FE" w:rsidP="003754FE">
      <w:pPr>
        <w:pStyle w:val="TextoNormal"/>
      </w:pPr>
    </w:p>
    <w:p w14:paraId="33430B85" w14:textId="77777777" w:rsidR="003754FE" w:rsidRDefault="003754FE" w:rsidP="003754FE">
      <w:pPr>
        <w:pStyle w:val="TextoNormal"/>
      </w:pPr>
      <w:r>
        <w:lastRenderedPageBreak/>
        <w:t>Estas medidas de suspensión que se establecen con carácter extraordinario y temporal, en todo caso, dejarán de surtir efecto el 31 de diciembre de 2024”.</w:t>
      </w:r>
    </w:p>
    <w:p w14:paraId="475CDBFB" w14:textId="77777777" w:rsidR="003754FE" w:rsidRDefault="003754FE" w:rsidP="003754FE">
      <w:pPr>
        <w:pStyle w:val="TextoNormal"/>
      </w:pPr>
    </w:p>
    <w:p w14:paraId="3FF923AC" w14:textId="77777777" w:rsidR="003754FE" w:rsidRDefault="003754FE" w:rsidP="003754FE">
      <w:pPr>
        <w:pStyle w:val="TextoNormal"/>
      </w:pPr>
      <w:r>
        <w:t>Pues bien, como decíamos, tanto el auto de 6 de febrero de 2024, desestimatorio del incidente de nulidad, como el de 15 de enero de 2024, aplicaron e interpretaron este precepto en el sentido de restringir a una única vez la posibilidad de pedir la suspensión del lanzamiento. Esta interpretación impide aplicar las prórrogas sucesivas de esta suspensión pese a mantenerse la situación de vulnerabilidad.</w:t>
      </w:r>
    </w:p>
    <w:p w14:paraId="7ABF3809" w14:textId="77777777" w:rsidR="003754FE" w:rsidRDefault="003754FE" w:rsidP="003754FE">
      <w:pPr>
        <w:pStyle w:val="TextoNormal"/>
      </w:pPr>
    </w:p>
    <w:p w14:paraId="651A5FDF" w14:textId="77777777" w:rsidR="003754FE" w:rsidRDefault="003754FE" w:rsidP="003754FE">
      <w:pPr>
        <w:pStyle w:val="TextoNormal"/>
      </w:pPr>
      <w:r>
        <w:t>En el preámbulo del Real Decreto-ley 8/2023, de 27 de diciembre, se justificaba la nueva prórroga de la suspensión de los lanzamientos con el siguiente argumento:</w:t>
      </w:r>
    </w:p>
    <w:p w14:paraId="175E402B" w14:textId="77777777" w:rsidR="003754FE" w:rsidRDefault="003754FE" w:rsidP="003754FE">
      <w:pPr>
        <w:pStyle w:val="TextoNormal"/>
      </w:pPr>
    </w:p>
    <w:p w14:paraId="70120B76" w14:textId="77777777" w:rsidR="003754FE" w:rsidRDefault="003754FE" w:rsidP="003754FE">
      <w:pPr>
        <w:pStyle w:val="TextoNormal"/>
      </w:pPr>
      <w:r>
        <w:t>“Asimismo, es necesario atender a la realidad social y económica de los hogares en el contexto del proceso de mitigación de la dinámica inflacionista y de la prolongación de las consecuencias de la situación internacional, extendiendo determinadas medidas de protección en situaciones de vulnerabilidad en materia de vivienda que fueron introducidas en el Real Decreto-ley 11/2020, de 31 de marzo, por el que se adoptan medidas urgentes complementarias en el ámbito social y económico para hacer frente al covid-19. Ello obedece en gran parte a la existencia de un escenario marcado por la extensión temporal de la guerra de Ucrania y sus repercusiones en la economía de las familias, principalmente, a través de las dinámicas de crecimiento de los precios al consumo que inciden de un modo especial en aquellas personas y hogares con menores recursos.</w:t>
      </w:r>
    </w:p>
    <w:p w14:paraId="054E1EC2" w14:textId="77777777" w:rsidR="003754FE" w:rsidRDefault="003754FE" w:rsidP="003754FE">
      <w:pPr>
        <w:pStyle w:val="TextoNormal"/>
      </w:pPr>
    </w:p>
    <w:p w14:paraId="2C8BC7A0" w14:textId="77777777" w:rsidR="003754FE" w:rsidRDefault="003754FE" w:rsidP="003754FE">
      <w:pPr>
        <w:pStyle w:val="TextoNormal"/>
      </w:pPr>
      <w:r>
        <w:t>En particular, se amplía hasta el 31 de diciembre de 2024 la suspensión de los procedimientos de desahucio y lanzamientos en los supuestos y de acuerdo con los trámites ya establecidos, así como, en consonancia, la posibilidad hasta el 31 de enero de 2025 de solicitar compensación por parte del arrendador o propietario recogida en el Real Decreto-ley 37/2020, de 22 de diciembre, de medidas urgentes para hacer frente a las situaciones de vulnerabilidad social y económica en el ámbito de la vivienda y en materia de transportes”.</w:t>
      </w:r>
    </w:p>
    <w:p w14:paraId="125289A2" w14:textId="77777777" w:rsidR="003754FE" w:rsidRDefault="003754FE" w:rsidP="003754FE">
      <w:pPr>
        <w:pStyle w:val="TextoNormal"/>
      </w:pPr>
    </w:p>
    <w:p w14:paraId="7C77581E" w14:textId="77777777" w:rsidR="003754FE" w:rsidRDefault="003754FE" w:rsidP="003754FE">
      <w:pPr>
        <w:pStyle w:val="TextoNormal"/>
      </w:pPr>
      <w:r>
        <w:t>b) De conformidad a una correcta exégesis de la norma aplicada, la interpretación realizada por el juzgado de instancia resulta irrazonable por las siguientes razones:</w:t>
      </w:r>
    </w:p>
    <w:p w14:paraId="0565440B" w14:textId="77777777" w:rsidR="003754FE" w:rsidRDefault="003754FE" w:rsidP="003754FE">
      <w:pPr>
        <w:pStyle w:val="TextoNormal"/>
      </w:pPr>
    </w:p>
    <w:p w14:paraId="4588814E" w14:textId="77777777" w:rsidR="003754FE" w:rsidRDefault="003754FE" w:rsidP="003754FE">
      <w:pPr>
        <w:pStyle w:val="TextoNormal"/>
      </w:pPr>
      <w:r>
        <w:t>(i) En primer lugar, la interpretación judicial no se ajusta al contexto temporal de la norma. Los distintos reales decretos-leyes dictados (desde la crisis del covid-19, hasta ocho en total), siendo el último el Real Decreto-ley 8/2023, han modificado el art. 1 del Real Decreto-ley 11/2020 en el sentido de ampliar el plazo máximo de la medida de suspensión de los lanzamientos en aquellos casos en los que existía una situación de vulnerabilidad y hasta que por la administración pública competente se otorgara una alternativa habitacional. En este contexto, no resulta ajustado a la finalidad del precepto restringir el alcance procesal de la norma a la interposición de un único incidente de suspensión, cuyo efecto impediría ampliar el plazo de suspensión pese a mantenerse la situación de vulnerabilidad que determinó la aplicación de la medida.</w:t>
      </w:r>
    </w:p>
    <w:p w14:paraId="361A9890" w14:textId="77777777" w:rsidR="003754FE" w:rsidRDefault="003754FE" w:rsidP="003754FE">
      <w:pPr>
        <w:pStyle w:val="TextoNormal"/>
      </w:pPr>
    </w:p>
    <w:p w14:paraId="43F53C82" w14:textId="77777777" w:rsidR="003754FE" w:rsidRDefault="003754FE" w:rsidP="003754FE">
      <w:pPr>
        <w:pStyle w:val="TextoNormal"/>
      </w:pPr>
      <w:r>
        <w:t xml:space="preserve">(ii) Tampoco la finalidad pretendida por la norma, de atender a la realidad social y económica de los hogares necesitados ante contextos internacionales que se detallan en los preámbulos de estos reales decretos-leyes, se cohonesta con una interpretación judicial que restringe su aplicación, de forma que solo se pueda solicitar un único incidente de </w:t>
      </w:r>
      <w:r>
        <w:lastRenderedPageBreak/>
        <w:t>suspensión con una vigencia máxima que no supere el plazo legal de suspensión fijado en cada Real Decreto-ley, cuando, por el contrario, se trata de hogares que mantienen la misma situación de vulnerabilidad o, incluso cuando dicha situación se ha agravado, como ocurre en el supuesto litigioso ante el nacimiento, en diciembre de 2022, de un niño con discapacidad. La finalidad que pretende la publicación sucesiva de estas normas responde a la necesidad de mantener en el tiempo estas medidas y seguir atendiendo a las necesidades de estos hogares, incompatible con un planteamiento que restringe en el ámbito procesal la suspensión del lanzamiento.</w:t>
      </w:r>
    </w:p>
    <w:p w14:paraId="6DDFEAE2" w14:textId="77777777" w:rsidR="003754FE" w:rsidRDefault="003754FE" w:rsidP="003754FE">
      <w:pPr>
        <w:pStyle w:val="TextoNormal"/>
      </w:pPr>
    </w:p>
    <w:p w14:paraId="47C20F3C" w14:textId="77777777" w:rsidR="003754FE" w:rsidRDefault="003754FE" w:rsidP="003754FE">
      <w:pPr>
        <w:pStyle w:val="TextoNormal"/>
      </w:pPr>
      <w:r>
        <w:t>(iii) La literalidad de la norma tampoco permite deducir la obligación de interponer un único incidente de suspensión. En su preámbulo se utilizan expresiones como “extendiendo” o “se amplía” y en el propio contenido del art. 1 del Real Decreto-ley 11/2020 se alude a la posibilidad de solicitar el incidente de suspensión “se haya suspendido o no previamente el proceso”, de forma que la imposición de interponer un solo incidente de suspensión y no poder pedir su prórroga tampoco puede deducirse del examen literal de la norma.</w:t>
      </w:r>
    </w:p>
    <w:p w14:paraId="7E3B37B3" w14:textId="77777777" w:rsidR="003754FE" w:rsidRDefault="003754FE" w:rsidP="003754FE">
      <w:pPr>
        <w:pStyle w:val="TextoNormal"/>
      </w:pPr>
    </w:p>
    <w:p w14:paraId="6E1334C6" w14:textId="77777777" w:rsidR="003754FE" w:rsidRDefault="003754FE" w:rsidP="003754FE">
      <w:pPr>
        <w:pStyle w:val="TextoNormal"/>
      </w:pPr>
      <w:r>
        <w:t>(iv) Por último, como refleja la fiscal en su escrito de alegaciones, el canon hermeneútico y la necesidad de reforzar la motivación de aquellas resoluciones judiciales que afecten a menores, en aras de salvaguardar el principio de su interés superior, no se ha respetado en este procedimiento de desahucio. La unidad familiar de la recurrente viene integrada por su esposo y cinco hijos, el último de los cuales, nacido el 15 de diciembre de 2022, padece una minusvalía del 35 por 100, síndrome de down y arritmias cardiacas que precisan asistencia hospitalaria semanal. Esta situación familiar delicada no ha sido objeto de ponderación o valoración al dictarse el auto de 15 de enero de 2024, que rechazó la petición de suspensión del lanzamiento.</w:t>
      </w:r>
    </w:p>
    <w:p w14:paraId="3495457B" w14:textId="77777777" w:rsidR="003754FE" w:rsidRDefault="003754FE" w:rsidP="003754FE">
      <w:pPr>
        <w:pStyle w:val="TextoNormal"/>
      </w:pPr>
    </w:p>
    <w:p w14:paraId="42EC5A14" w14:textId="77777777" w:rsidR="003754FE" w:rsidRDefault="003754FE" w:rsidP="003754FE">
      <w:pPr>
        <w:pStyle w:val="TextoNormal"/>
      </w:pPr>
      <w:r>
        <w:t xml:space="preserve">Con esta interpretación, en definitiva, el juzgado </w:t>
      </w:r>
      <w:r w:rsidRPr="003754FE">
        <w:rPr>
          <w:i/>
        </w:rPr>
        <w:t>a quo</w:t>
      </w:r>
      <w:r>
        <w:t xml:space="preserve"> vulneró el derecho a la tutela judicial efectiva de la recurrente, como consecuencia del dictado de resoluciones judiciales cuya fundamentación es fruto de un proceso deductivo irrazonable y meramente voluntarista que adolece, además, del necesario juicio de motivación reforzada en cuanto a la valoración o ponderación de la situación de los menores afectados.</w:t>
      </w:r>
    </w:p>
    <w:p w14:paraId="7907C83F" w14:textId="77777777" w:rsidR="003754FE" w:rsidRDefault="003754FE" w:rsidP="003754FE">
      <w:pPr>
        <w:pStyle w:val="TextoNormal"/>
      </w:pPr>
    </w:p>
    <w:p w14:paraId="47ABAFAB" w14:textId="2B611555" w:rsidR="003754FE" w:rsidRDefault="003754FE" w:rsidP="003754FE">
      <w:pPr>
        <w:pStyle w:val="TextoNormal"/>
      </w:pPr>
      <w:r>
        <w:t>Procede, por tanto, que se acuerde el amparo que se solicita, con nulidad de los autos de 15 de enero de 2024 y 6 de febrero de 2024, este último es por el que se rechaza la nulidad de actuaciones planteada en el juicio verbal núm. 995-2022 seguido ante el Juzgado de Primera Instancia núm. 105 de Madrid, y asimismo, la retroacción de actuaciones al momento previo al dictado del auto de 15 de enero de 2024, debiendo dictarse una resolución respetuosa con el derecho fundamental que se reconoce vulnerado.</w:t>
      </w:r>
    </w:p>
    <w:p w14:paraId="25D166C2" w14:textId="77777777" w:rsidR="003754FE" w:rsidRDefault="003754FE" w:rsidP="003754FE">
      <w:pPr>
        <w:pStyle w:val="TextoNormal"/>
      </w:pPr>
    </w:p>
    <w:p w14:paraId="17F80797" w14:textId="77777777" w:rsidR="003754FE" w:rsidRDefault="003754FE" w:rsidP="003754FE">
      <w:pPr>
        <w:pStyle w:val="TextoNormalCentrado"/>
        <w:keepNext/>
      </w:pPr>
      <w:r>
        <w:t>FALLO</w:t>
      </w:r>
    </w:p>
    <w:p w14:paraId="161886D8" w14:textId="45F9B741" w:rsidR="003754FE" w:rsidRDefault="003754FE" w:rsidP="003754FE">
      <w:pPr>
        <w:pStyle w:val="TextoNormalCentrado"/>
        <w:keepNext/>
      </w:pPr>
    </w:p>
    <w:p w14:paraId="618E3F2D" w14:textId="77777777" w:rsidR="003754FE" w:rsidRDefault="003754FE" w:rsidP="003754FE">
      <w:pPr>
        <w:pStyle w:val="TextoNormal"/>
      </w:pPr>
      <w:r>
        <w:t>En atención a todo lo expuesto, el Tribunal Constitucional, por la autoridad que le confiere la Constitución de la Nación española, ha decidido:</w:t>
      </w:r>
    </w:p>
    <w:p w14:paraId="7A5616B0" w14:textId="77777777" w:rsidR="003754FE" w:rsidRDefault="003754FE" w:rsidP="003754FE">
      <w:pPr>
        <w:pStyle w:val="TextoNormal"/>
      </w:pPr>
    </w:p>
    <w:p w14:paraId="51B86AFB" w14:textId="77777777" w:rsidR="003754FE" w:rsidRDefault="003754FE" w:rsidP="003754FE">
      <w:pPr>
        <w:pStyle w:val="TextoNormal"/>
      </w:pPr>
      <w:r>
        <w:t>1º Estimar la demanda presentada por doña Fátima El Kmiri, por vulneración de su derecho fundamental a la tutela judicial efectiva sin padecer indefensión (art. 24.1 CE) con reconocimiento de tal derecho.</w:t>
      </w:r>
    </w:p>
    <w:p w14:paraId="63EB80E1" w14:textId="77777777" w:rsidR="003754FE" w:rsidRDefault="003754FE" w:rsidP="003754FE">
      <w:pPr>
        <w:pStyle w:val="TextoNormal"/>
      </w:pPr>
    </w:p>
    <w:p w14:paraId="38A74DA9" w14:textId="77777777" w:rsidR="003754FE" w:rsidRDefault="003754FE" w:rsidP="003754FE">
      <w:pPr>
        <w:pStyle w:val="TextoNormal"/>
      </w:pPr>
      <w:r>
        <w:lastRenderedPageBreak/>
        <w:t>2º Declarar la nulidad de los autos de 6 de febrero de 2024 y 15 de enero de 2024.</w:t>
      </w:r>
    </w:p>
    <w:p w14:paraId="1183C3C1" w14:textId="77777777" w:rsidR="003754FE" w:rsidRDefault="003754FE" w:rsidP="003754FE">
      <w:pPr>
        <w:pStyle w:val="TextoNormal"/>
      </w:pPr>
    </w:p>
    <w:p w14:paraId="28AE0EE6" w14:textId="2A0B1EC1" w:rsidR="003754FE" w:rsidRDefault="003754FE" w:rsidP="003754FE">
      <w:pPr>
        <w:pStyle w:val="TextoNormal"/>
      </w:pPr>
      <w:r>
        <w:t>3º Retrotraer el procedimiento verbal núm. 995-2022 a la fecha inmediatamente anterior a la de dictarse el auto de 15 de enero de 2024 que rechazó la solicitud de suspensión del lanzamiento, a fin de que en su lugar se dicte otra resolución que resulte respetuosa del derecho fundamental vulnerado.</w:t>
      </w:r>
    </w:p>
    <w:p w14:paraId="455D0E3F" w14:textId="77777777" w:rsidR="003754FE" w:rsidRDefault="003754FE" w:rsidP="003754FE">
      <w:pPr>
        <w:pStyle w:val="TextoNormal"/>
      </w:pPr>
    </w:p>
    <w:p w14:paraId="21C33341" w14:textId="77777777" w:rsidR="003754FE" w:rsidRDefault="003754FE" w:rsidP="003754FE">
      <w:pPr>
        <w:pStyle w:val="TextoNormal"/>
      </w:pPr>
      <w:r>
        <w:t>Publíquese esta sentencia en el “Boletín Oficial del Estado”.</w:t>
      </w:r>
    </w:p>
    <w:p w14:paraId="74A2081C" w14:textId="77777777" w:rsidR="003754FE" w:rsidRDefault="003754FE" w:rsidP="003754FE">
      <w:pPr>
        <w:pStyle w:val="TextoNormal"/>
      </w:pPr>
      <w:r>
        <w:t>Dada en Madrid, a veintiuno de octubre de dos mil veinticuatro.</w:t>
      </w:r>
    </w:p>
    <w:p w14:paraId="5B16E316" w14:textId="589203A0" w:rsidR="003754FE" w:rsidRDefault="003754FE" w:rsidP="003754FE">
      <w:pPr>
        <w:pStyle w:val="ParrafoNormal"/>
      </w:pPr>
    </w:p>
    <w:p w14:paraId="12077DD3" w14:textId="77777777" w:rsidR="003754FE" w:rsidRDefault="003754FE" w:rsidP="003754FE">
      <w:pPr>
        <w:pStyle w:val="TextoNormalNegritaCentrado"/>
        <w:keepNext/>
      </w:pPr>
      <w:r>
        <w:t>Voto particular concurrente que formula el magistrado don Enrique Arnaldo Alcubilla a la sentencia dictada en el recurso de amparo número 885-2024</w:t>
      </w:r>
    </w:p>
    <w:p w14:paraId="011C2FC9" w14:textId="3161DA7B" w:rsidR="003754FE" w:rsidRDefault="003754FE" w:rsidP="003754FE">
      <w:pPr>
        <w:pStyle w:val="TextoNormalNegritaCentrado"/>
        <w:keepNext/>
      </w:pPr>
    </w:p>
    <w:p w14:paraId="57F20D9C" w14:textId="77777777" w:rsidR="003754FE" w:rsidRDefault="003754FE" w:rsidP="003754FE">
      <w:pPr>
        <w:pStyle w:val="TextoNormal"/>
      </w:pPr>
      <w:r>
        <w:t>Pese a haber sido ponente de esta sentencia, en el ejercicio de la facultad que me confiere el artículo 90.2 de la Ley Orgánica del Tribunal Constitucional, y con respeto a la opinión de mis compañeros, formulo el presente voto particular para expresar mi discrepancia, no con el fallo —que asumo—, sino con parte de la fundamentación de la sentencia, tal y como tuve ocasión de exponer durante su deliberación en la Sala.</w:t>
      </w:r>
    </w:p>
    <w:p w14:paraId="4DBB410B" w14:textId="77777777" w:rsidR="003754FE" w:rsidRDefault="003754FE" w:rsidP="003754FE">
      <w:pPr>
        <w:pStyle w:val="TextoNormal"/>
      </w:pPr>
    </w:p>
    <w:p w14:paraId="4C4CE03E" w14:textId="77777777" w:rsidR="003754FE" w:rsidRDefault="003754FE" w:rsidP="003754FE">
      <w:pPr>
        <w:pStyle w:val="TextoNormal"/>
      </w:pPr>
      <w:r>
        <w:t>Comparto la estimación de la queja que se formulaba en el presente recurso de amparo relativa a la vulneración del derecho a la tutela judicial efectiva en su vertiente de la exigencia de una resolución judicial fundada en Derecho que no incurra en irracionalidad o arbitrariedad. La resolución recurrida adolece, además, del necesario juicio de motivación reforzada en cuanto a la valoración o ponderación de la situación de los menores afectados.</w:t>
      </w:r>
    </w:p>
    <w:p w14:paraId="03008F11" w14:textId="77777777" w:rsidR="003754FE" w:rsidRDefault="003754FE" w:rsidP="003754FE">
      <w:pPr>
        <w:pStyle w:val="TextoNormal"/>
      </w:pPr>
    </w:p>
    <w:p w14:paraId="2E8D053A" w14:textId="77777777" w:rsidR="003754FE" w:rsidRDefault="003754FE" w:rsidP="003754FE">
      <w:pPr>
        <w:pStyle w:val="TextoNormal"/>
      </w:pPr>
      <w:r>
        <w:t>Mi discrepancia no se refiere, por tanto, a la concreta solución alcanzada en este proceso, por cuanto estimo que, desde la perspectiva de las exigencias que derivan del art. 24.1 CE, en la doble vertiente que se acaba de mencionar, no cabía sino otorgar el amparo solicitado. Se centra, por el contrario, en la circunstancia de que en el caso se interpreta y aplica una norma, el art. 87 del Real Decreto-ley 8/2023, de 27 de diciembre, que regula un período de suspensión del procedimiento de desahucio y de los lanzamientos cuando afecten a arrendatarios vulnerables sin alternativa habitacional. Esta medida de suspensión de determinados lanzamientos fue introducida por primera vez en el Real Decreto-ley 11/2020, de 31 de marzo, por el que se adoptan medidas urgentes complementarias en el ámbito social y económico para hacer frente al covid-19, que ha sido objeto de sucesivas prórrogas, la última hasta el 31 de diciembre de 2024, por lo que permanece ininterrumpidamente vigente durante casi cinco años. Sobre esta medida y sus prórrogas encadenadas ya se ha pronunciado este tribunal, en las SSTC 9/2023, de 22 de febrero; 15/2023, de 7 de marzo, y 7/2024, de 16 de enero.</w:t>
      </w:r>
    </w:p>
    <w:p w14:paraId="055C7430" w14:textId="77777777" w:rsidR="003754FE" w:rsidRDefault="003754FE" w:rsidP="003754FE">
      <w:pPr>
        <w:pStyle w:val="TextoNormal"/>
      </w:pPr>
    </w:p>
    <w:p w14:paraId="1E98CFEE" w14:textId="77777777" w:rsidR="003754FE" w:rsidRDefault="003754FE" w:rsidP="003754FE">
      <w:pPr>
        <w:pStyle w:val="TextoNormal"/>
      </w:pPr>
      <w:r>
        <w:t xml:space="preserve">Mi discrepancia se centra precisamente en el juicio que la vigencia de tal medida, cuya inaplicación en el caso ha determinado la estimación del amparo solicitado, estimación que, repito, asumo pero críticamente por cuanto el legislador de urgencia —reiterador de la urgencia en sucesivos reales decretos-leyes— incide en el núcleo definidor del derecho de propiedad, desconociéndolo, convirtiéndolo en puramente ilusorio para los propietarios de viviendas en las que habiten, incluso sin título alguno, personas calificadas como </w:t>
      </w:r>
      <w:r>
        <w:lastRenderedPageBreak/>
        <w:t>vulnerables, personas que, desde luego, merecen la mayor atención y ayuda de los poderes públicos en el marco del Estado social, pero no a través de la desnaturalización del derecho de propiedad y del poder de disposición de los propietarios.</w:t>
      </w:r>
    </w:p>
    <w:p w14:paraId="761E0227" w14:textId="77777777" w:rsidR="003754FE" w:rsidRDefault="003754FE" w:rsidP="003754FE">
      <w:pPr>
        <w:pStyle w:val="TextoNormal"/>
      </w:pPr>
    </w:p>
    <w:p w14:paraId="2856D07D" w14:textId="77777777" w:rsidR="003754FE" w:rsidRDefault="003754FE" w:rsidP="003754FE">
      <w:pPr>
        <w:pStyle w:val="TextoNormal"/>
      </w:pPr>
      <w:r>
        <w:t>Es del todo evidente que la sucesión de decretos leyes que han prorrogado esta potestad de suspensión la han convertido prácticamente en una medida de vigencia indefinida. En los votos particulares que formulé a las referidas SSTC 9/2023, de 22 de febrero, y 15/2023, de 7 de marzo, y también en el que, junto a otros magistrados, formulé a la STC 7/2024, ya quedó expuesta la opinión que me merecía el encadenamiento de prórrogas sucesivas de suspensión de lanzamientos, desde la perspectiva de la afectación del derecho garantizado por el art. 33 CE a los propietarios de las viviendas sobre las que se proyecta esta medida. Por ello, me remito a las razones de mi discrepancia, tal y como quedaron allí expuestas.</w:t>
      </w:r>
    </w:p>
    <w:p w14:paraId="17DA2BC6" w14:textId="77777777" w:rsidR="003754FE" w:rsidRDefault="003754FE" w:rsidP="003754FE">
      <w:pPr>
        <w:pStyle w:val="TextoNormal"/>
      </w:pPr>
    </w:p>
    <w:p w14:paraId="2A3BC445" w14:textId="77777777" w:rsidR="003754FE" w:rsidRDefault="003754FE" w:rsidP="003754FE">
      <w:pPr>
        <w:pStyle w:val="TextoNormal"/>
      </w:pPr>
      <w:r>
        <w:t>Entendía entonces y reitero ahora que la afectación del derecho garantizado por el art. 33 CE por parte de una medida como la suspensión de los lanzamientos es evidente, en cuanto condiciona necesariamente el poder de disposición sobre determinadas viviendas de sus legítimos propietarios, para así pretender satisfacer una finalidad de interés social como es la protección de personas consideradas en situación de vulnerabilidad. Con ello se alteran de manera intensa las condiciones de ejercicio del derecho de propiedad respecto al concreto conjunto de propietarios que se van a ver afectados por la medida. Para el propietario de una vivienda que se encuentre en la situación descrita en la norma supone la imposibilidad temporal, o más bien sostenida en el tiempo, de recuperar la disposición sobre ella, durante un largo período, subsistiendo por el contrario el deber de soportar las cargas que derivan de la titularidad de un bien del que no se dispone.</w:t>
      </w:r>
    </w:p>
    <w:p w14:paraId="65774B51" w14:textId="77777777" w:rsidR="003754FE" w:rsidRDefault="003754FE" w:rsidP="003754FE">
      <w:pPr>
        <w:pStyle w:val="TextoNormal"/>
      </w:pPr>
    </w:p>
    <w:p w14:paraId="5218C647" w14:textId="77777777" w:rsidR="003754FE" w:rsidRDefault="003754FE" w:rsidP="003754FE">
      <w:pPr>
        <w:pStyle w:val="TextoNormal"/>
      </w:pPr>
      <w:r>
        <w:t>Junto a ello también advertí que regulaciones de este tipo, en las que la restricción o limitación del derecho de propiedad privada se afirma al servicio de la garantía del derecho a una vivienda digna en favor de determinadas personas, imponen que esos titulares de las viviendas afectadas se vean obligados a la cobertura con sus propios bienes de problemas, como el de la dificultad de acceso a una vivienda, que deberían ser capaces de resolver los poderes públicos. Por el contrario, se hace ceder el derecho de disposición de los propietarios con la carga de que sus bienes sean utilizados para atender tales situaciones en atención a una pretendida función social, cuando, de haber sido probada la situación de vulnerabilidad económica y social, su atención corresponde a los poderes públicos con cargo a los recursos de los que disponen para promover y facilitar el acceso de los ciudadanos a la vivienda, en el marco del art. 47 CE y de otros preceptos constitucionales.</w:t>
      </w:r>
    </w:p>
    <w:p w14:paraId="677E474D" w14:textId="77777777" w:rsidR="003754FE" w:rsidRDefault="003754FE" w:rsidP="003754FE">
      <w:pPr>
        <w:pStyle w:val="TextoNormal"/>
      </w:pPr>
    </w:p>
    <w:p w14:paraId="07D4AD08" w14:textId="77777777" w:rsidR="003754FE" w:rsidRDefault="003754FE" w:rsidP="003754FE">
      <w:pPr>
        <w:pStyle w:val="TextoNormal"/>
      </w:pPr>
      <w:r>
        <w:t>Y en tal sentido emito este voto particular.</w:t>
      </w:r>
    </w:p>
    <w:p w14:paraId="3B0F6F23" w14:textId="77777777" w:rsidR="003754FE" w:rsidRDefault="003754FE" w:rsidP="003754FE">
      <w:pPr>
        <w:pStyle w:val="TextoNormal"/>
      </w:pPr>
    </w:p>
    <w:p w14:paraId="5C63CB64" w14:textId="5A276C01" w:rsidR="003754FE" w:rsidRDefault="003754FE" w:rsidP="003754FE">
      <w:pPr>
        <w:pStyle w:val="TextoNormal"/>
      </w:pPr>
      <w:r>
        <w:t>Madrid, a veintiuno de octubre de dos mil veinticuatro.</w:t>
      </w:r>
    </w:p>
    <w:p w14:paraId="53C850B6" w14:textId="46CD2697" w:rsidR="003754FE" w:rsidRDefault="003754FE">
      <w:pPr>
        <w:spacing w:after="160" w:line="278" w:lineRule="auto"/>
        <w:rPr>
          <w:rFonts w:ascii="Times New Roman" w:eastAsia="Times New Roman" w:hAnsi="Times New Roman" w:cs="Times New Roman"/>
          <w:sz w:val="24"/>
          <w:szCs w:val="24"/>
          <w:lang w:eastAsia="es-ES"/>
        </w:rPr>
      </w:pPr>
      <w:r>
        <w:br w:type="page"/>
      </w:r>
    </w:p>
    <w:p w14:paraId="6C526A0A" w14:textId="77777777" w:rsidR="003754FE" w:rsidRDefault="003754FE" w:rsidP="003754FE">
      <w:pPr>
        <w:pStyle w:val="TtuloResolucin"/>
      </w:pPr>
      <w:bookmarkStart w:id="36" w:name="SENTENCIA_2024_127"/>
      <w:r>
        <w:lastRenderedPageBreak/>
        <w:t>SENTENCIA 127/2024, de 22 de octubre de 2024</w:t>
      </w:r>
    </w:p>
    <w:bookmarkEnd w:id="36"/>
    <w:p w14:paraId="67F71BE5" w14:textId="77777777" w:rsidR="003754FE" w:rsidRDefault="003754FE" w:rsidP="003754FE">
      <w:pPr>
        <w:pStyle w:val="TtuloResolucin"/>
      </w:pPr>
      <w:r>
        <w:t>Pleno</w:t>
      </w:r>
    </w:p>
    <w:p w14:paraId="37062C69" w14:textId="77777777" w:rsidR="003754FE" w:rsidRDefault="003754FE" w:rsidP="003754FE">
      <w:pPr>
        <w:pStyle w:val="TtuloBOE"/>
      </w:pPr>
      <w:r>
        <w:t>(BOE núm. 286, de 27 de noviembre de 2024)</w:t>
      </w:r>
    </w:p>
    <w:p w14:paraId="4D31F84E" w14:textId="77777777" w:rsidR="003754FE" w:rsidRDefault="003754FE" w:rsidP="003754FE">
      <w:pPr>
        <w:pStyle w:val="TextoNormalCentrado"/>
      </w:pPr>
      <w:r>
        <w:t>ECLI:ES:TC:2024:127</w:t>
      </w:r>
    </w:p>
    <w:p w14:paraId="4A911080" w14:textId="3A32E2C2" w:rsidR="003754FE" w:rsidRDefault="003754FE" w:rsidP="003754FE">
      <w:pPr>
        <w:pStyle w:val="TextoNormalCentrado"/>
      </w:pPr>
    </w:p>
    <w:p w14:paraId="6C0D404C" w14:textId="77777777" w:rsidR="003754FE" w:rsidRDefault="003754FE" w:rsidP="003754FE">
      <w:pPr>
        <w:pStyle w:val="SntesisDescriptiva"/>
      </w:pPr>
      <w:r>
        <w:t>Recurso de inconstitucionalidad 6305-2021. Interpuesto por más de cincuenta diputados del Grupo Parlamentario Popular en el Congreso en relación con el Decreto-ley del Gobierno de la Generalitat de Cataluña 15/2021, de 6 de julio, de creación del fondo complementario de riesgos de la Generalitat de Cataluña.</w:t>
      </w:r>
    </w:p>
    <w:p w14:paraId="79D8BBD2" w14:textId="46C41959" w:rsidR="003754FE" w:rsidRDefault="003754FE" w:rsidP="003754FE">
      <w:pPr>
        <w:pStyle w:val="SntesisDescriptiva"/>
      </w:pPr>
    </w:p>
    <w:p w14:paraId="478A96DF" w14:textId="77777777" w:rsidR="003754FE" w:rsidRDefault="003754FE" w:rsidP="003754FE">
      <w:pPr>
        <w:pStyle w:val="SntesisAnaltica"/>
      </w:pPr>
      <w:r>
        <w:t>Límites de los decretos-leyes: extinción del proceso constitucional que tenía por objeto la norma autonómica anulada por la STC 121/2024.</w:t>
      </w:r>
    </w:p>
    <w:p w14:paraId="48EE3687" w14:textId="75AEA205" w:rsidR="003754FE" w:rsidRDefault="003754FE" w:rsidP="003754FE">
      <w:pPr>
        <w:pStyle w:val="SntesisAnaltica"/>
      </w:pPr>
    </w:p>
    <w:p w14:paraId="747D0A7B" w14:textId="5D17DF3A" w:rsidR="003754FE" w:rsidRDefault="003754FE" w:rsidP="003754FE">
      <w:pPr>
        <w:pStyle w:val="Extracto"/>
      </w:pPr>
      <w:r>
        <w:t>1.</w:t>
      </w:r>
      <w:r>
        <w:tab/>
        <w:t>La expulsión del ordenamiento jurídico de una norma con rango de ley determina la pérdida sobrevenida de objeto del recurso que pretende la inconstitucionalidad de la mencionada norma. Esta desaparición sobrevenida del objeto, aunque no está contemplada en el artículo 86.1 LOTC, es una de las causas de terminación extraordinaria de los distintos procesos constitucionales, incluidos los recursos de inconstitucionalidad (SSTC 124/2021 o 73/2024) [FJ 2].</w:t>
      </w:r>
    </w:p>
    <w:p w14:paraId="3F021CBF" w14:textId="77777777" w:rsidR="003754FE" w:rsidRDefault="003754FE" w:rsidP="003754FE">
      <w:pPr>
        <w:pStyle w:val="Extracto"/>
      </w:pPr>
    </w:p>
    <w:p w14:paraId="0A038FAE" w14:textId="77777777" w:rsidR="003754FE" w:rsidRDefault="003754FE" w:rsidP="003754FE">
      <w:pPr>
        <w:pStyle w:val="Extracto"/>
      </w:pPr>
    </w:p>
    <w:p w14:paraId="30CF298D"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691919EF" w14:textId="6AE00FE8" w:rsidR="003754FE" w:rsidRDefault="003754FE" w:rsidP="003754FE">
      <w:pPr>
        <w:pStyle w:val="TextoNormal"/>
      </w:pPr>
    </w:p>
    <w:p w14:paraId="561ED2E7" w14:textId="77777777" w:rsidR="003754FE" w:rsidRDefault="003754FE" w:rsidP="003754FE">
      <w:pPr>
        <w:pStyle w:val="TextoNormalCentrado"/>
        <w:keepNext/>
      </w:pPr>
      <w:r>
        <w:t>EN NOMBRE DEL REY</w:t>
      </w:r>
    </w:p>
    <w:p w14:paraId="49FB328C" w14:textId="44CF0C7C" w:rsidR="003754FE" w:rsidRDefault="003754FE" w:rsidP="003754FE">
      <w:pPr>
        <w:pStyle w:val="TextoNormalCentrado"/>
        <w:keepNext/>
      </w:pPr>
    </w:p>
    <w:p w14:paraId="1596B268" w14:textId="77777777" w:rsidR="003754FE" w:rsidRDefault="003754FE" w:rsidP="003754FE">
      <w:pPr>
        <w:pStyle w:val="TextoNormalCentrado"/>
        <w:keepNext/>
      </w:pPr>
    </w:p>
    <w:p w14:paraId="4756FD05" w14:textId="77777777" w:rsidR="003754FE" w:rsidRDefault="003754FE" w:rsidP="003754FE">
      <w:pPr>
        <w:pStyle w:val="TextoNormal"/>
      </w:pPr>
      <w:r>
        <w:t>la siguiente</w:t>
      </w:r>
    </w:p>
    <w:p w14:paraId="574898F0" w14:textId="172025CE" w:rsidR="003754FE" w:rsidRDefault="003754FE" w:rsidP="003754FE">
      <w:pPr>
        <w:pStyle w:val="TextoNormal"/>
      </w:pPr>
    </w:p>
    <w:p w14:paraId="5D57082D" w14:textId="77777777" w:rsidR="003754FE" w:rsidRDefault="003754FE" w:rsidP="003754FE">
      <w:pPr>
        <w:pStyle w:val="TextoNormalCentrado"/>
        <w:keepNext/>
      </w:pPr>
      <w:r>
        <w:t>SENTENCIA</w:t>
      </w:r>
    </w:p>
    <w:p w14:paraId="45EF67F6" w14:textId="0C741BB1" w:rsidR="003754FE" w:rsidRDefault="003754FE" w:rsidP="003754FE">
      <w:pPr>
        <w:pStyle w:val="TextoNormalCentrado"/>
        <w:keepNext/>
      </w:pPr>
    </w:p>
    <w:p w14:paraId="4E6CBEB7" w14:textId="77777777" w:rsidR="003754FE" w:rsidRDefault="003754FE" w:rsidP="003754FE">
      <w:pPr>
        <w:pStyle w:val="TextoNormal"/>
      </w:pPr>
      <w:r>
        <w:t>En el recurso de inconstitucionalidad 6305-2021, interpuesto por más de cincuenta diputados del Grupo Parlamentario Popular en el Congreso de los Diputados contra el Decreto-ley del Gobierno de la Generalitat de Cataluña 15/2021, de 6 de julio, de creación del fondo complementario de riesgos de la Generalitat de Catalunya. Han formulado alegaciones el Parlamento de Cataluña y el Gobierno de la Generalitat. Ha sido ponente el magistrado don Juan Carlos Campo Moreno.</w:t>
      </w:r>
    </w:p>
    <w:p w14:paraId="4846AF15" w14:textId="4E7DE2A5" w:rsidR="003754FE" w:rsidRDefault="003754FE" w:rsidP="003754FE">
      <w:pPr>
        <w:pStyle w:val="TextoNormal"/>
      </w:pPr>
    </w:p>
    <w:p w14:paraId="72DC23AE" w14:textId="77777777" w:rsidR="003754FE" w:rsidRDefault="003754FE" w:rsidP="003754FE">
      <w:pPr>
        <w:pStyle w:val="TextoNormalNegritaCentrado"/>
        <w:keepNext/>
      </w:pPr>
      <w:r>
        <w:t>I. Antecedentes</w:t>
      </w:r>
    </w:p>
    <w:p w14:paraId="17F7C860" w14:textId="17CEC805" w:rsidR="003754FE" w:rsidRDefault="003754FE" w:rsidP="003754FE">
      <w:pPr>
        <w:pStyle w:val="TextoNormalNegritaCentrado"/>
        <w:keepNext/>
      </w:pPr>
    </w:p>
    <w:p w14:paraId="64303BAA" w14:textId="77777777" w:rsidR="003754FE" w:rsidRDefault="003754FE" w:rsidP="003754FE">
      <w:pPr>
        <w:pStyle w:val="TextoNormal"/>
      </w:pPr>
      <w:r w:rsidRPr="003754FE">
        <w:rPr>
          <w:rStyle w:val="NumeroAFNegritaCaracter"/>
        </w:rPr>
        <w:t>1</w:t>
      </w:r>
      <w:r>
        <w:t xml:space="preserve">. Mediante escrito registrado en este tribunal el 5 de octubre de 2021, el procurador de los tribunales don Manuel Sánchez-Puelles y González-Carvajal presentó, con la firma </w:t>
      </w:r>
      <w:r>
        <w:lastRenderedPageBreak/>
        <w:t>como comisionado de don Jaime Eduardo de Olano Vega, recurso de inconstitucionalidad en nombre de más de cincuenta diputados del Grupo Parlamentario Popular en el Congreso de los Diputados contra la totalidad del Decreto-ley del Gobierno de Cataluña 15/2021, de 6 de julio, de creación del fondo complementario de riesgos de la Generalitat de Catalunya, publicado en el “Diari Oficial de la Generalitat de Catalunya” núm. 8452, de 7 de julio de 2021 (con corrección de erratas en el núm. 8453Anexo, del día inmediato siguiente) y en el “Boletín Oficial del Estado” núm. 198, de 19 de agosto de 2021 (con corrección de errores en el núm. 225, de 20 de septiembre del mismo año).</w:t>
      </w:r>
    </w:p>
    <w:p w14:paraId="76363211" w14:textId="77777777" w:rsidR="003754FE" w:rsidRDefault="003754FE" w:rsidP="003754FE">
      <w:pPr>
        <w:pStyle w:val="TextoNormal"/>
      </w:pPr>
    </w:p>
    <w:p w14:paraId="5CC77E06" w14:textId="77777777" w:rsidR="003754FE" w:rsidRDefault="003754FE" w:rsidP="003754FE">
      <w:pPr>
        <w:pStyle w:val="TextoNormal"/>
      </w:pPr>
      <w:r>
        <w:t>La fundamentación jurídica de la demanda es, en síntesis, la siguiente:</w:t>
      </w:r>
    </w:p>
    <w:p w14:paraId="20E8A94E" w14:textId="77777777" w:rsidR="003754FE" w:rsidRDefault="003754FE" w:rsidP="003754FE">
      <w:pPr>
        <w:pStyle w:val="TextoNormal"/>
      </w:pPr>
    </w:p>
    <w:p w14:paraId="0AAEA549" w14:textId="77777777" w:rsidR="003754FE" w:rsidRDefault="003754FE" w:rsidP="003754FE">
      <w:pPr>
        <w:pStyle w:val="TextoNormal"/>
      </w:pPr>
      <w:r>
        <w:t>a) Plantean los diputados recurrentes, como primer motivo de impugnación, que la norma impugnada vulnera de manera inmediata el orden constitucional al perseguir una finalidad inconstitucional a través de medios contrarios a los intereses generales.</w:t>
      </w:r>
    </w:p>
    <w:p w14:paraId="609E86D2" w14:textId="77777777" w:rsidR="003754FE" w:rsidRDefault="003754FE" w:rsidP="003754FE">
      <w:pPr>
        <w:pStyle w:val="TextoNormal"/>
      </w:pPr>
    </w:p>
    <w:p w14:paraId="13623CA6" w14:textId="77777777" w:rsidR="003754FE" w:rsidRDefault="003754FE" w:rsidP="003754FE">
      <w:pPr>
        <w:pStyle w:val="TextoNormal"/>
      </w:pPr>
      <w:r>
        <w:t>Aunque los recurrentes reconocen que el recurso de inconstitucionalidad no puede tener por objeto la realización de un juicio de intenciones políticas, estiman que la norma impugnada solo puede ser cabalmente comprendida en atención a su particular contexto. En concreto, aluden a la existencia de un procedimiento ante el Tribunal de Cuentas [actuaciones previas 80-2019] relativo a la responsabilidad contable derivada de actos de malversación atribuidos a altos cargos de la Generalitat de Cataluña, relacionados con la promoción y sostenimiento del llamado “proceso soberanista” y, en particular, con la financiación de políticas de acción exterior en los ejercicios 2011 a 2017. En el curso de tal procedimiento se habrían establecido “altas fianzas dinerarias a los responsables de las actuaciones investigadas”. La exposición de motivos del decreto-ley impugnado declara abiertamente que la finalidad del llamado “fondo complementario de riesgos” es “cubrir la responsabilidad pecuniaria de los funcionarios y altos cargos que destinaron caudales públicos pertenecientes a la acción exterior de Cataluña a actividades relacionadas con la promoción y apoyo en el ámbito internacional de la consulta del 1 de octubre, y, más en general, del llamado ‘proceso soberanista’, en determinados supuestos, a través del conocido como DIPLOCAT”.</w:t>
      </w:r>
    </w:p>
    <w:p w14:paraId="1043B3FC" w14:textId="77777777" w:rsidR="003754FE" w:rsidRDefault="003754FE" w:rsidP="003754FE">
      <w:pPr>
        <w:pStyle w:val="TextoNormal"/>
      </w:pPr>
    </w:p>
    <w:p w14:paraId="24EF0134" w14:textId="77777777" w:rsidR="003754FE" w:rsidRDefault="003754FE" w:rsidP="003754FE">
      <w:pPr>
        <w:pStyle w:val="TextoNormal"/>
      </w:pPr>
      <w:r>
        <w:t xml:space="preserve">Entienden los recurrentes que, con la referida definición del objetivo perseguido por la norma legal, esta “se presenta abiertamente como inconstitucional”, al vulnerar los arts. 1.2, 1.3, 2 y 168 CE. Y ello porque, al perseguir </w:t>
      </w:r>
      <w:r w:rsidRPr="003754FE">
        <w:rPr>
          <w:i/>
        </w:rPr>
        <w:t>de facto</w:t>
      </w:r>
      <w:r>
        <w:t xml:space="preserve"> la exención de toda responsabilidad por los actos de malversación de caudales públicos dirigidos a promocionar la secesión de la Comunidad Autónoma de Cataluña, el decreto ley impugnado “se convierte en un nuevo instrumento de apoyo y promoción de la causa secesionista declarada inconstitucional en infinidad de ocasiones por el Tribunal Constitucional”, con cita expresa, en este punto, de las SSTC 46/2018, de 26 de abril; 47/2018, de 26 de abril; 115/2019, de 16 de octubre; 118/2019, de 16 de octubre, y 128/2019, de 11 de noviembre.</w:t>
      </w:r>
    </w:p>
    <w:p w14:paraId="3029855D" w14:textId="77777777" w:rsidR="003754FE" w:rsidRDefault="003754FE" w:rsidP="003754FE">
      <w:pPr>
        <w:pStyle w:val="TextoNormal"/>
      </w:pPr>
    </w:p>
    <w:p w14:paraId="0F722E2F" w14:textId="77777777" w:rsidR="003754FE" w:rsidRDefault="003754FE" w:rsidP="003754FE">
      <w:pPr>
        <w:pStyle w:val="TextoNormal"/>
      </w:pPr>
      <w:r>
        <w:t>A juicio de los actores, la apreciación de esa finalidad no queda cuestionada por el hecho de que la cobertura del fondo solo opere en relación con hechos que no hayan sido enjuiciados por sentencia firme, pues, según razonan, “en una situación como la descrita los poderes públicos no pueden aparecer como garantes de la responsabilidad de los cargos sobre los que penden indicios más que sobrados de una actuación ilícita”, pues “tal actuación es, por definición, contraria a los intereses generales que ha de perseguir la Generalitat”.</w:t>
      </w:r>
    </w:p>
    <w:p w14:paraId="1F37CA39" w14:textId="77777777" w:rsidR="003754FE" w:rsidRDefault="003754FE" w:rsidP="003754FE">
      <w:pPr>
        <w:pStyle w:val="TextoNormal"/>
      </w:pPr>
    </w:p>
    <w:p w14:paraId="55558927" w14:textId="77777777" w:rsidR="003754FE" w:rsidRDefault="003754FE" w:rsidP="003754FE">
      <w:pPr>
        <w:pStyle w:val="TextoNormal"/>
      </w:pPr>
      <w:r>
        <w:lastRenderedPageBreak/>
        <w:t>Estaríamos, asimismo, ante una “perversión absoluta del sistema de responsabilidad de todas las administraciones públicas consagrado en el art. 149.1.18 CE (al que se remite el art. 159.5 EAC) y su correspondiente régimen sancionador”. También quedarían comprometidos los principios éticos y reglas de conducta fijados en la Ley 19/2014, de 29 de diciembre, de transparencia, acceso a la información pública y buen gobierno de Cataluña, así como el régimen disciplinario establecido en dicha disposición. Todo ello revelaría que “el decreto-ley recurrido no solo es inconstitucional por la finalidad perseguida, sino que, por el método empleado para ello, atenta gravemente contra los intereses generales que los poderes públicos están obligados a salvaguardar”.</w:t>
      </w:r>
    </w:p>
    <w:p w14:paraId="13E2014A" w14:textId="77777777" w:rsidR="003754FE" w:rsidRDefault="003754FE" w:rsidP="003754FE">
      <w:pPr>
        <w:pStyle w:val="TextoNormal"/>
      </w:pPr>
    </w:p>
    <w:p w14:paraId="25AB7E05" w14:textId="77777777" w:rsidR="003754FE" w:rsidRDefault="003754FE" w:rsidP="003754FE">
      <w:pPr>
        <w:pStyle w:val="TextoNormal"/>
      </w:pPr>
      <w:r>
        <w:t>b) También alegan los actores que no concurre el presupuesto de hecho habilitante de “necesidad extraordinaria y urgente” contemplado en el art. 64.1 del Estatuto de Autonomía de Cataluña (en adelante, EAC) para la utilización del instrumento del decreto-ley. Los recurrentes, tras reproducir un fragmento de la exposición de motivos de la norma impugnada, entienden que esta “presenta una falsa situación de necesidad creada por el propio Gobierno de la Generalitat para satisfacer, no los intereses generales, sino los intereses partidistas de las formaciones políticas separatistas que los sostienen con una finalidad claramente inconstitucional”. Para que concurra la situación de necesidad extraordinaria y urgente aludida en el art. 64.1 EAC es necesario que concurra “una finalidad de interés público” que sea estatutaria y constitucionalmente lícita, que no puede ser “librar del perjuicio patrimonial personal [a] las personas que han llevado a cabo actos de malversación”.</w:t>
      </w:r>
    </w:p>
    <w:p w14:paraId="24A98B04" w14:textId="77777777" w:rsidR="003754FE" w:rsidRDefault="003754FE" w:rsidP="003754FE">
      <w:pPr>
        <w:pStyle w:val="TextoNormal"/>
      </w:pPr>
    </w:p>
    <w:p w14:paraId="7664D487" w14:textId="77777777" w:rsidR="003754FE" w:rsidRDefault="003754FE" w:rsidP="003754FE">
      <w:pPr>
        <w:pStyle w:val="TextoNormal"/>
      </w:pPr>
      <w:r>
        <w:t>c) Se alega, asimismo, la infracción del art. 71 EAC (en relación con el art. 103 CE), pues el decreto-ley dictado impediría a la administración pública catalana servir con objetividad a los intereses generales, con sometimiento pleno a la ley y al derecho. Asimismo, también se vería infringido el art. 30 EAC, que, en su apartado segundo, contempla el derecho del ciudadano “a que la actuación de los poderes públicos sea proporcionada a las finalidades que la justifican”. La norma impugnada pone los intereses particulares de las autoridades y funcionarios públicos por encima de los intereses generales, lo que supone actuar “de forma partidista e interesada” e incluso perseguir “finalidades contrarias al ordenamiento jurídico español encabezado por la Constitución”.</w:t>
      </w:r>
    </w:p>
    <w:p w14:paraId="76120BA2" w14:textId="77777777" w:rsidR="003754FE" w:rsidRDefault="003754FE" w:rsidP="003754FE">
      <w:pPr>
        <w:pStyle w:val="TextoNormal"/>
      </w:pPr>
    </w:p>
    <w:p w14:paraId="4ECCE80A" w14:textId="58535182" w:rsidR="003754FE" w:rsidRDefault="003754FE" w:rsidP="003754FE">
      <w:pPr>
        <w:pStyle w:val="TextoNormal"/>
      </w:pPr>
      <w:r>
        <w:t>d) Alegan, finalmente, los diputados recurrentes que nos encontramos ante una ley singular, de acuerdo con la doctrina fijada en las SSTC 203/2013, de 5 de diciembre, y 231/2015, de 5 de noviembre, por lo que se infringe la cláusula constitucional de interdicción de la arbitrariedad de los poderes públicos (art. 9.3 CE). Muy escuetamente, se alega, en este punto, que al no existir una justificación objetiva que proporcione a la norma dictada una finalidad legítima, el decreto-ley impugnado sería arbitrario y, por tanto, constituiría una utilización ilegítima del instrumento de la ley singular.</w:t>
      </w:r>
    </w:p>
    <w:p w14:paraId="0D1CBDEE" w14:textId="77777777" w:rsidR="003754FE" w:rsidRDefault="003754FE" w:rsidP="003754FE">
      <w:pPr>
        <w:pStyle w:val="TextoNormal"/>
      </w:pPr>
    </w:p>
    <w:p w14:paraId="2FE09467" w14:textId="09349891" w:rsidR="003754FE" w:rsidRDefault="003754FE" w:rsidP="003754FE">
      <w:pPr>
        <w:pStyle w:val="TextoNormal"/>
      </w:pPr>
      <w:r w:rsidRPr="003754FE">
        <w:rPr>
          <w:rStyle w:val="NumeroAFNegritaCaracter"/>
        </w:rPr>
        <w:t>2</w:t>
      </w:r>
      <w:r>
        <w:t xml:space="preserve">. Por providencia de 27 de enero de 2022, y a propuesta de la Sección Primera, el Pleno del Tribunal acordó admitir a trámite el recurso de inconstitucionalidad y dar traslado de la demanda y documentos presentados (art. 34 de la Ley Orgánica del Tribunal Constitucional: LOTC) al Congreso de los Diputados y al Senado, por conducto de sus presidentes; al Gobierno, a través de la ministra de Justicia; al Parlamento de Cataluña y al Gobierno de la Generalitat, por conducto de sus presidentes, al objeto de que, en el plazo de quince días, pudieran personarse en el proceso y formular las alegaciones que estimaren convenientes. </w:t>
      </w:r>
      <w:r>
        <w:lastRenderedPageBreak/>
        <w:t>Se acordó, asimismo, publicar la incoación del recurso en el “Boletín Oficial del Estado” y en el “Diari Oficial de la Generalitat de Catalunya”.</w:t>
      </w:r>
    </w:p>
    <w:p w14:paraId="0C26786B" w14:textId="77777777" w:rsidR="003754FE" w:rsidRDefault="003754FE" w:rsidP="003754FE">
      <w:pPr>
        <w:pStyle w:val="TextoNormal"/>
      </w:pPr>
    </w:p>
    <w:p w14:paraId="309513A3" w14:textId="5D56ED60" w:rsidR="003754FE" w:rsidRDefault="003754FE" w:rsidP="003754FE">
      <w:pPr>
        <w:pStyle w:val="TextoNormal"/>
      </w:pPr>
      <w:r w:rsidRPr="003754FE">
        <w:rPr>
          <w:rStyle w:val="NumeroAFNegritaCaracter"/>
        </w:rPr>
        <w:t>3</w:t>
      </w:r>
      <w:r>
        <w:t>. Mediante escrito de 7 de febrero de 2022, registrado en el Tribunal el 9 del mismo mes, el abogado del Estado manifestó que no presentaría alegaciones y que su personación lo era exclusivamente a los efectos de que en su día se le notificaran las resoluciones que se dictaran.</w:t>
      </w:r>
    </w:p>
    <w:p w14:paraId="4875FBEB" w14:textId="77777777" w:rsidR="003754FE" w:rsidRDefault="003754FE" w:rsidP="003754FE">
      <w:pPr>
        <w:pStyle w:val="TextoNormal"/>
      </w:pPr>
    </w:p>
    <w:p w14:paraId="63C2951D" w14:textId="25E74C08" w:rsidR="003754FE" w:rsidRDefault="003754FE" w:rsidP="003754FE">
      <w:pPr>
        <w:pStyle w:val="TextoNormal"/>
      </w:pPr>
      <w:r w:rsidRPr="003754FE">
        <w:rPr>
          <w:rStyle w:val="NumeroAFNegritaCaracter"/>
        </w:rPr>
        <w:t>4</w:t>
      </w:r>
      <w:r>
        <w:t>. Mediante escrito de 8 de febrero de 2022, que tuvo entrada en el Tribunal el día 12 del mismo mes, el presidente del Senado comunicó el acuerdo de la mesa de la Cámara de aquella fecha en orden a que se le diera por personada en el procedimiento y por ofrecida su colaboración (art. 88.1 LOTC).</w:t>
      </w:r>
    </w:p>
    <w:p w14:paraId="399274CF" w14:textId="77777777" w:rsidR="003754FE" w:rsidRDefault="003754FE" w:rsidP="003754FE">
      <w:pPr>
        <w:pStyle w:val="TextoNormal"/>
      </w:pPr>
    </w:p>
    <w:p w14:paraId="6AC2EB89" w14:textId="77777777" w:rsidR="003754FE" w:rsidRDefault="003754FE" w:rsidP="003754FE">
      <w:pPr>
        <w:pStyle w:val="TextoNormal"/>
      </w:pPr>
      <w:r w:rsidRPr="003754FE">
        <w:rPr>
          <w:rStyle w:val="NumeroAFNegritaCaracter"/>
        </w:rPr>
        <w:t>5</w:t>
      </w:r>
      <w:r>
        <w:t>. Mediante sendos escritos de 9 y 10 de febrero de 2022, que tuvieron entrada en el Tribunal en las mismas fechas, el abogado de la Generalitat de Cataluña, en representación y defensa de su Gobierno, y el letrado del Parlamento de Cataluña se personaron en el procedimiento y solicitaron que se les concediera prórroga del plazo para alegaciones hasta el máximo posible, habida cuenta de la complejidad del asunto y del volumen de trabajo acumulado.</w:t>
      </w:r>
    </w:p>
    <w:p w14:paraId="7F7255F2" w14:textId="77777777" w:rsidR="003754FE" w:rsidRDefault="003754FE" w:rsidP="003754FE">
      <w:pPr>
        <w:pStyle w:val="TextoNormal"/>
      </w:pPr>
    </w:p>
    <w:p w14:paraId="5A8601A7" w14:textId="2F8F2D57" w:rsidR="003754FE" w:rsidRDefault="003754FE" w:rsidP="003754FE">
      <w:pPr>
        <w:pStyle w:val="TextoNormal"/>
      </w:pPr>
      <w:r>
        <w:t>Por diligencia de ordenación de 11 de febrero de 2022 se tuvo por personados a ambos y se les prorrogó en ocho días más el plazo concedido para alegaciones, a contar desde el siguiente al de expiración del ordinario.</w:t>
      </w:r>
    </w:p>
    <w:p w14:paraId="687EE2BB" w14:textId="77777777" w:rsidR="003754FE" w:rsidRDefault="003754FE" w:rsidP="003754FE">
      <w:pPr>
        <w:pStyle w:val="TextoNormal"/>
      </w:pPr>
    </w:p>
    <w:p w14:paraId="6642914A" w14:textId="230D02DE" w:rsidR="003754FE" w:rsidRDefault="003754FE" w:rsidP="003754FE">
      <w:pPr>
        <w:pStyle w:val="TextoNormal"/>
      </w:pPr>
      <w:r w:rsidRPr="003754FE">
        <w:rPr>
          <w:rStyle w:val="NumeroAFNegritaCaracter"/>
        </w:rPr>
        <w:t>6</w:t>
      </w:r>
      <w:r>
        <w:t>. Mediante escrito de 15 de febrero de 2022, que tuvo entrada en el Tribunal el siguiente día 17, la presidenta del Congreso de los Diputados comunicó el acuerdo de la mesa de la Cámara de aquella fecha en orden a que se le diera por personada en el procedimiento y por ofrecida su colaboración (art. 88.1 LOTC).</w:t>
      </w:r>
    </w:p>
    <w:p w14:paraId="6CDA950F" w14:textId="77777777" w:rsidR="003754FE" w:rsidRDefault="003754FE" w:rsidP="003754FE">
      <w:pPr>
        <w:pStyle w:val="TextoNormal"/>
      </w:pPr>
    </w:p>
    <w:p w14:paraId="53A70A38" w14:textId="77777777" w:rsidR="003754FE" w:rsidRDefault="003754FE" w:rsidP="003754FE">
      <w:pPr>
        <w:pStyle w:val="TextoNormal"/>
      </w:pPr>
      <w:r w:rsidRPr="003754FE">
        <w:rPr>
          <w:rStyle w:val="NumeroAFNegritaCaracter"/>
        </w:rPr>
        <w:t>7</w:t>
      </w:r>
      <w:r>
        <w:t>. Mediante escrito de 3 de marzo de 2022, que tuvo entrada en el Tribunal el mismo día, presentó sus alegaciones el abogado de la Generalitat de Cataluña en representación de su Gobierno. Pueden resumirse como sigue:</w:t>
      </w:r>
    </w:p>
    <w:p w14:paraId="100996EE" w14:textId="77777777" w:rsidR="003754FE" w:rsidRDefault="003754FE" w:rsidP="003754FE">
      <w:pPr>
        <w:pStyle w:val="TextoNormal"/>
      </w:pPr>
    </w:p>
    <w:p w14:paraId="6146E3C9" w14:textId="77777777" w:rsidR="003754FE" w:rsidRDefault="003754FE" w:rsidP="003754FE">
      <w:pPr>
        <w:pStyle w:val="TextoNormal"/>
      </w:pPr>
      <w:r>
        <w:t>A) En relación con el objeto del recurso, el abogado de la Generalitat precisa que el Decreto-ley 15/2021 fue convalidado por resolución 71/XIV del Parlamento de Cataluña el 29 de julio de 2021 (arts. 64.2 EAC y 158.1, 2 y 3 del Reglamento de la Cámara), aprobándose entonces su tramitación como proyecto de ley. Añade que ni el acuerdo de convalidación ni el acuerdo de la tramitación como ley han sido objeto de impugnación en este recurso y aclara que, en el momento de presentarse alegaciones, el proyecto de ley ha resultado, finalmente, aprobado por el Parlamento de Cataluña.</w:t>
      </w:r>
    </w:p>
    <w:p w14:paraId="6F09CEE2" w14:textId="77777777" w:rsidR="003754FE" w:rsidRDefault="003754FE" w:rsidP="003754FE">
      <w:pPr>
        <w:pStyle w:val="TextoNormal"/>
      </w:pPr>
    </w:p>
    <w:p w14:paraId="047DAFAD" w14:textId="77777777" w:rsidR="003754FE" w:rsidRDefault="003754FE" w:rsidP="003754FE">
      <w:pPr>
        <w:pStyle w:val="TextoNormal"/>
      </w:pPr>
      <w:r>
        <w:t xml:space="preserve">B) Realiza, asimismo, el abogado de la Generalitat una amplia referencia al objeto y finalidad del decreto-ley 15/2001, en la que destacan los siguientes aspectos: (a) el artículo 2 de la norma configura el ámbito subjetivo del fondo complementario de riesgos de la Generalitat de Cataluña de conformidad con el principio de universalidad, sin establecer ningún tipo de discriminación y por lo tanto en idénticos términos a los establecidos en las pólizas de seguros vigentes suscritos por la Generalitat; (b) los riesgos objeto de cobertura </w:t>
      </w:r>
      <w:r>
        <w:lastRenderedPageBreak/>
        <w:t>(art. 3) quedan configurados por dos elementos: su exclusión de otras pólizas suscritas por la Generalitat y el carácter no firme de la responsabilidad civil, patrimonial y contable exigida a las personas afectadas; (c) quedan también fuera del ámbito de la norma los supuestos en los que, aun no habiendo sentencia firme, la Generalitat hubiera iniciado acción contra la persona afectada (art. 4.1); (d) como reverso del derecho a obtener la cobertura del fondo, el artículo 5 prevé la obligación de retorno, lo que conlleva la devolución por los beneficiarios de los importes garantizados, así como de los intereses y de gastos.</w:t>
      </w:r>
    </w:p>
    <w:p w14:paraId="13F3FDA6" w14:textId="77777777" w:rsidR="003754FE" w:rsidRDefault="003754FE" w:rsidP="003754FE">
      <w:pPr>
        <w:pStyle w:val="TextoNormal"/>
      </w:pPr>
    </w:p>
    <w:p w14:paraId="633EA27B" w14:textId="77777777" w:rsidR="003754FE" w:rsidRDefault="003754FE" w:rsidP="003754FE">
      <w:pPr>
        <w:pStyle w:val="TextoNormal"/>
      </w:pPr>
      <w:r>
        <w:t>C) Se mencionan varios antecedentes que avalarían la constitucionalidad y legitimidad de la norma impugnada, concretamente: (a) el dictamen 2/2021, de 29 de julio, del Consejo de Garantías Estatutarias, emitido, antes de la convalidación del decreto-ley, a solicitud de más de una decena de diputados del Parlamento de Cataluña; (b) el informe de la Abogacía del Estado en las 80-2019 ante el Tribunal de Cuentas; (c) el informe de la Fiscalía de 25 de octubre de 2021, en las diligencias indeterminadas 63-2021 seguidas ante la Sala de lo Civil y lo Penal del Tribunal Superior de Justicia de Cataluña; (d) el auto de inadmisión de querella y denuncias dictado el 17 de noviembre de 2021 en las antes citadas diligencias indeterminadas 63-2021. Todos estos documentos son adjuntados a las alegaciones.</w:t>
      </w:r>
    </w:p>
    <w:p w14:paraId="26508E2D" w14:textId="77777777" w:rsidR="003754FE" w:rsidRDefault="003754FE" w:rsidP="003754FE">
      <w:pPr>
        <w:pStyle w:val="TextoNormal"/>
      </w:pPr>
    </w:p>
    <w:p w14:paraId="2313A733" w14:textId="77777777" w:rsidR="003754FE" w:rsidRDefault="003754FE" w:rsidP="003754FE">
      <w:pPr>
        <w:pStyle w:val="TextoNormal"/>
      </w:pPr>
      <w:r>
        <w:t>D) El escrito de alegaciones se ocupa, tras lo anterior, de los principios en los que se sustenta el Decreto-ley impugnado:</w:t>
      </w:r>
    </w:p>
    <w:p w14:paraId="1FCF05C8" w14:textId="77777777" w:rsidR="003754FE" w:rsidRDefault="003754FE" w:rsidP="003754FE">
      <w:pPr>
        <w:pStyle w:val="TextoNormal"/>
      </w:pPr>
    </w:p>
    <w:p w14:paraId="5E912FD2" w14:textId="77777777" w:rsidR="003754FE" w:rsidRDefault="003754FE" w:rsidP="003754FE">
      <w:pPr>
        <w:pStyle w:val="TextoNormal"/>
      </w:pPr>
      <w:r>
        <w:t>a) El principio de protección de los servidores públicos se encuentra regulado en la legislación básica estatal [art. 14 f) de la Ley 7/2007, de 12 de abril, del estatuto básico del empleado público] en su doble vertiente de derecho a la protección y derecho a la defensa jurídica y cuenta con reflejo en la legislación autonómica catalana (arts. 93 del Decreto Legislativo de la Generalitat de Cataluña 1/1997, de 31 de octubre, por el que se aprueba la refundición en un texto único de los preceptos de determinados textos legales en materia de función pública, de conformidad con el cual la Generalitat “protegerá a su personal en el ejercicio de sus funciones”, y 9 de la Ley del Parlamento de Cataluña 7/1996, de 5 de julio, de organización de los servicios jurídicos de la administración de la Generalitat, que regula el derecho a la asistencia jurídica y a la defensa). Este principio y el de indemnidad constituyen el fundamento último del decreto-ley impugnado. Comporta que ningún servidor público se pueda ver perjudicado como consecuencia del ejercicio legítimo del cargo público que ocupa y aparece consolidado en la jurisprudencia del Tribunal Supremo [sentencias de la Sala de lo Contencioso-Administrativo 956/2020, de 8 de julio (ECLI:ES:TS:2020:2345); 1003/2020, de 15 de julio (ECLI:ES:TS:2020:2406); 1207/2020, de 28 de septiembre (ECLI:ES:TS:2020:3022); 18/2021, de 18 de enero (ECLI:ES:TS:2021:98), y 910/2021, de 24 de junio (ECLI:ES:TS:2021:2524)], citándose asimismo el dictamen del Consejo de Estado 522/1991, de 23 de mayo, y la disposición adicional sexta del Real Decreto 462/2002, de 24 de mayo, sobre indemnizaciones por razón del servicio.</w:t>
      </w:r>
    </w:p>
    <w:p w14:paraId="0E9B3994" w14:textId="77777777" w:rsidR="003754FE" w:rsidRDefault="003754FE" w:rsidP="003754FE">
      <w:pPr>
        <w:pStyle w:val="TextoNormal"/>
      </w:pPr>
    </w:p>
    <w:p w14:paraId="7A26CABC" w14:textId="77777777" w:rsidR="003754FE" w:rsidRDefault="003754FE" w:rsidP="003754FE">
      <w:pPr>
        <w:pStyle w:val="TextoNormal"/>
      </w:pPr>
      <w:r>
        <w:t>En el ámbito de la Generalitat de Cataluña, y con la misma finalidad, el artículo 9 de la Ley 7/1996 dispone que el abogado de la Generalitat puede asumir la representación y defensa de los miembros del Gobierno, altos cargos y funcionarios y empleados públicos de su administración y organismos, sea cual sea su posición procesal, cuando los procedimientos se sigan por actos u omisiones relacionados con el ejercicio del cargo, a menos que los intereses del representado y los de la Generalitat sean opuestos o contradictorios.</w:t>
      </w:r>
    </w:p>
    <w:p w14:paraId="57F42DA8" w14:textId="77777777" w:rsidR="003754FE" w:rsidRDefault="003754FE" w:rsidP="003754FE">
      <w:pPr>
        <w:pStyle w:val="TextoNormal"/>
      </w:pPr>
    </w:p>
    <w:p w14:paraId="621712F9" w14:textId="77777777" w:rsidR="003754FE" w:rsidRDefault="003754FE" w:rsidP="003754FE">
      <w:pPr>
        <w:pStyle w:val="TextoNormal"/>
      </w:pPr>
      <w:r>
        <w:lastRenderedPageBreak/>
        <w:t>Tras citar la disposición adicional quinta del Decreto del Gobierno de la Generalitat 138/2008, de indemnizaciones por razón del servicio, se observa que la protección de estos derechos no sería completa si no comportara, igualmente, el derecho a ser beneficiario de las garantías necesarias para hacer frente a las reclamaciones que contra los empleados públicos se puedan presentar con el fin de evitar que estas reclamaciones puedan suponer un perjuicio en el patrimonio de las personas involucradas. Por tal razón, la Generalitat tiene suscritas pólizas de seguros para garantizar la protección de sus funcionarios y empleados en el ejercicio de las funciones encomendadas.</w:t>
      </w:r>
    </w:p>
    <w:p w14:paraId="6B25200F" w14:textId="77777777" w:rsidR="003754FE" w:rsidRDefault="003754FE" w:rsidP="003754FE">
      <w:pPr>
        <w:pStyle w:val="TextoNormal"/>
      </w:pPr>
    </w:p>
    <w:p w14:paraId="0AD3C1CA" w14:textId="77777777" w:rsidR="003754FE" w:rsidRDefault="003754FE" w:rsidP="003754FE">
      <w:pPr>
        <w:pStyle w:val="TextoNormal"/>
      </w:pPr>
      <w:r>
        <w:t>b) Nada impide extender dicha garantía y protección a los directivos, altos cargos y miembros del Gobierno en el ejercicio de sus cargos y funciones, puesto que también sirven al interés general y porque, por otro lado, están asimilados por su condición de “autoridad” a los funcionarios públicos tanto por la legislación de responsabilidad contable como por el Código penal en lo referente a los “delitos de los funcionarios públicos en el ejercicio de sus cargos”. De acuerdo con el artículo 68.1 EAC, además, el Gobierno dirige la acción política y la administración de la Generalitat y, en consecuencia, sus actuaciones y decisiones tienen una doble condición, pues el Gobierno y sus miembros culminan, por un lado, la organización administrativa autonómica y son, por otro, órganos de naturaleza política.</w:t>
      </w:r>
    </w:p>
    <w:p w14:paraId="316A52CD" w14:textId="77777777" w:rsidR="003754FE" w:rsidRDefault="003754FE" w:rsidP="003754FE">
      <w:pPr>
        <w:pStyle w:val="TextoNormal"/>
      </w:pPr>
    </w:p>
    <w:p w14:paraId="179DB5E4" w14:textId="77777777" w:rsidR="003754FE" w:rsidRDefault="003754FE" w:rsidP="003754FE">
      <w:pPr>
        <w:pStyle w:val="TextoNormal"/>
      </w:pPr>
      <w:r>
        <w:t>Entre las políticas públicas que corresponde, en el ámbito de sus competencias, definir y dirigir al Gobierno de la Generalitat se incluye la acción exterior (art. 193 EAC), que se configura como un mandato a la Generalitat al amparo del que el Gobierno puede llevar a cabo cualquier actividad para impulsar la proyección de Cataluña en el exterior y promover en ese ámbito sus intereses, con el único límite constitucional de las relaciones internacionales que son competencia del Estado, así como de otras competencias estatales con proyección exterior. El reconocimiento de esa acción exterior es incluso anterior al vigente Estatuto de Autonomía, pues encuentra su fundamento constitucional en el principio de autonomía (arts. 2 y 147 CE).</w:t>
      </w:r>
    </w:p>
    <w:p w14:paraId="7672CEE4" w14:textId="77777777" w:rsidR="003754FE" w:rsidRDefault="003754FE" w:rsidP="003754FE">
      <w:pPr>
        <w:pStyle w:val="TextoNormal"/>
      </w:pPr>
    </w:p>
    <w:p w14:paraId="084EA671" w14:textId="77777777" w:rsidR="003754FE" w:rsidRDefault="003754FE" w:rsidP="003754FE">
      <w:pPr>
        <w:pStyle w:val="TextoNormal"/>
      </w:pPr>
      <w:r>
        <w:t>Por todo ello, no existiría ningún impedimento constitucional, estatutario o legal a extender el principio de protección de los servidores públicos a los directivos, altos cargos y miembros del Gobierno de la Generalitat, sin que de ello se pueda desprender que estemos ante una actuación arbitraria o con relevancia penal. Esta extensión, además, se fundamentaría también en la necesidad de preservar el principio de presunción de inocencia y el derecho a la tutela judicial efectiva de los afectados por procesos de responsabilidad penal o contable hasta que no se dicte la correspondiente resolución judicial firme y en este sentido el decreto-ley es norma con vocación cautelar, quedando sujetos los beneficiados a una obligación de retorno en el momento en que recaiga resolución judicial firme declaratoria de su responsabilidad.</w:t>
      </w:r>
    </w:p>
    <w:p w14:paraId="496AB1CB" w14:textId="77777777" w:rsidR="003754FE" w:rsidRDefault="003754FE" w:rsidP="003754FE">
      <w:pPr>
        <w:pStyle w:val="TextoNormal"/>
      </w:pPr>
    </w:p>
    <w:p w14:paraId="24D60A53" w14:textId="77777777" w:rsidR="003754FE" w:rsidRDefault="003754FE" w:rsidP="003754FE">
      <w:pPr>
        <w:pStyle w:val="TextoNormal"/>
      </w:pPr>
      <w:r>
        <w:t xml:space="preserve">c) El legislador catalán, consciente de los mayores riesgos que asumen determinados directivos y altos cargos de la Generalitat, ya reguló en 2015 la necesidad de establecer un sistema de cobertura de responsabilidades mediante un seguro de responsabilidad civil circunscrito a los directivos, altos cargos y empleados públicos que formen parte de órganos de gobierno, consejos de administración o cualquier otro órgano colegiado (art. 63 de la Ley del Parlamento de Cataluña 3/2015, de 11 de marzo, de medidas fiscales, financieras y administrativas, que modificó el apartado 2 de la disposición adicional vigésima primera de la ya citada Ley 2/2014, de medidas fiscales, administrativas, financieras y del sector público). </w:t>
      </w:r>
      <w:r>
        <w:lastRenderedPageBreak/>
        <w:t xml:space="preserve">Posteriormente, el artículo 103 de la Ley del Parlamento de Cataluña 5/2020, de 29 de abril, de medidas fiscales, financieras, administrativas y del sector público y de creación del impuesto sobre las instalaciones que inciden en el medio ambiente añadió el artículo 109 </w:t>
      </w:r>
      <w:r w:rsidRPr="003754FE">
        <w:rPr>
          <w:i/>
        </w:rPr>
        <w:t>bis</w:t>
      </w:r>
      <w:r>
        <w:t xml:space="preserve"> al texto refundido de los preceptos de determinados textos legales vigentes en Cataluña en materia de función pública aprobado por el antes citado Decreto legislativo del Gobierno de la Generalitat 1/1997, también en orden a asegurar la responsabilidad civil de los miembros de órganos de gobierno y liquidación y empleados de la Generalitat con determinadas funciones.</w:t>
      </w:r>
    </w:p>
    <w:p w14:paraId="1705165C" w14:textId="77777777" w:rsidR="003754FE" w:rsidRDefault="003754FE" w:rsidP="003754FE">
      <w:pPr>
        <w:pStyle w:val="TextoNormal"/>
      </w:pPr>
    </w:p>
    <w:p w14:paraId="329AF200" w14:textId="77777777" w:rsidR="003754FE" w:rsidRDefault="003754FE" w:rsidP="003754FE">
      <w:pPr>
        <w:pStyle w:val="TextoNormal"/>
      </w:pPr>
      <w:r>
        <w:t>d) Se refieren después las alegaciones a las características de la póliza de seguro de responsabilidad civil y patrimonial contratada por la Generalitat desde el 1 de marzo de 2021 hasta el 28 de febrero de 2022 mediante procedimiento de licitación pública, y se concluye en este punto con otros ejemplos de contratos de seguro suscritos por varias administraciones públicas españolas en los que se incluyen tanto la responsabilidad contable como la responsabilidad de sus directivos y altos cargos. De ello se desprendería que la suscripción de pólizas de seguros para empleados y cargos públicos en cobertura de los riesgos derivados del ejercicio de sus cargos, comprendiendo tanto fianzas e indemnizaciones como la defensa jurídica, es una realidad generalizada y que obedece tanto a la necesidad de garantizar el normal ejercicio de las potestades administrativas como el obligado respeto del principio de indemnidad.</w:t>
      </w:r>
    </w:p>
    <w:p w14:paraId="057F7F5C" w14:textId="77777777" w:rsidR="003754FE" w:rsidRDefault="003754FE" w:rsidP="003754FE">
      <w:pPr>
        <w:pStyle w:val="TextoNormal"/>
      </w:pPr>
    </w:p>
    <w:p w14:paraId="13FA58E7" w14:textId="77777777" w:rsidR="003754FE" w:rsidRDefault="003754FE" w:rsidP="003754FE">
      <w:pPr>
        <w:pStyle w:val="TextoNormal"/>
      </w:pPr>
      <w:r>
        <w:t>E) Se alega, acto seguido, sobre la existencia de una situación de extraordinaria y urgente necesidad que justificaría la aprobación del Decreto-ley 15/2021.</w:t>
      </w:r>
    </w:p>
    <w:p w14:paraId="2ED05739" w14:textId="77777777" w:rsidR="003754FE" w:rsidRDefault="003754FE" w:rsidP="003754FE">
      <w:pPr>
        <w:pStyle w:val="TextoNormal"/>
      </w:pPr>
    </w:p>
    <w:p w14:paraId="10CB6A65" w14:textId="77777777" w:rsidR="003754FE" w:rsidRDefault="003754FE" w:rsidP="003754FE">
      <w:pPr>
        <w:pStyle w:val="TextoNormal"/>
      </w:pPr>
      <w:r>
        <w:t>Tras hacer mención a la doctrina constitucional que se estima relevante, se aduce que el mayor rigor exigible a los decretos-leyes autonómicos (por el menor tiempo requerido para tramitar una ley en una sola cámara) sería, dentro de la valoración conjunta del presupuesto habilitante, un factor a ponderar, pero sin que proceda exigir al gobierno autonómico, en punto a la motivación, una justificación expresa e individualizada de la inadecuación del procedimiento legislativo para atender a tiempo los objetivos gubernamentales. Rechaza, asimismo, la hipotética posibilidad de haber tramitado un reglamento en un plazo tan extremadamente breve, tanto por la complejidad de las materias reguladas como por la concatenación de trámites exigidos (arts. 59 y ss. de la Ley 26/2010, de 3 de agosto, de régimen jurídico y de procedimiento de las administraciones públicas de Cataluña, y art. 69 de la Ley 19/2014, de 29 de diciembre, de transparencia, acceso a la información pública y buen gobierno de Cataluña). En todo caso, frente a lo que alegan los recurrentes, la finalidad perseguida no sería arbitraria, pues se pretende la implementación del principio de indemnidad, ya explicado, cuya operatividad estaría en entredicho por la pendencia de procedimientos de responsabilidad no cubiertos con pólizas, como sería el caso de las actuaciones 80-2019 ante el Tribunal de Cuentas. No hay, por tanto, frente a lo que afirman los recurrentes, una falsa necesidad que esconda finalidades inconstitucionales.</w:t>
      </w:r>
    </w:p>
    <w:p w14:paraId="09CF5114" w14:textId="77777777" w:rsidR="003754FE" w:rsidRDefault="003754FE" w:rsidP="003754FE">
      <w:pPr>
        <w:pStyle w:val="TextoNormal"/>
      </w:pPr>
    </w:p>
    <w:p w14:paraId="5DE50D07" w14:textId="77777777" w:rsidR="003754FE" w:rsidRDefault="003754FE" w:rsidP="003754FE">
      <w:pPr>
        <w:pStyle w:val="TextoNormal"/>
      </w:pPr>
      <w:r>
        <w:t>F) Se argumenta después acerca de la inexistencia de ley singular, esto último tras citar y glosar la jurisprudencia constitucional que se estima de relieve. Se aduce, en particular, lo siguiente:</w:t>
      </w:r>
    </w:p>
    <w:p w14:paraId="07FB2A69" w14:textId="77777777" w:rsidR="003754FE" w:rsidRDefault="003754FE" w:rsidP="003754FE">
      <w:pPr>
        <w:pStyle w:val="TextoNormal"/>
      </w:pPr>
    </w:p>
    <w:p w14:paraId="6F4B57B4" w14:textId="77777777" w:rsidR="003754FE" w:rsidRDefault="003754FE" w:rsidP="003754FE">
      <w:pPr>
        <w:pStyle w:val="TextoNormal"/>
      </w:pPr>
      <w:r>
        <w:t xml:space="preserve">a) El decreto-ley impugnado no sería una norma de destinatario único, a la vista tanto de su preámbulo (que se refiere a “situaciones muy diversas en que pueden encontrarse los </w:t>
      </w:r>
      <w:r>
        <w:lastRenderedPageBreak/>
        <w:t>servidores públicos”, tan solo una de las cuales es la de las personas afectadas por las actuaciones previas 80-2019 del Tribunal de Cuentas) como de su regulación, que tiene vocación de generalidad en cuanto a su ámbito subjetivo (art. 2) y que configura el derecho de acceso al fondo en un sentido amplio. El Decreto-ley, en definitiva, supone la implementación del principio de indemnidad, por lo que su objeto, destinatarios y finalidad tienen necesariamente un carácter general y difuso, con vocación de generalidad y permanencia.</w:t>
      </w:r>
    </w:p>
    <w:p w14:paraId="5260389F" w14:textId="77777777" w:rsidR="003754FE" w:rsidRDefault="003754FE" w:rsidP="003754FE">
      <w:pPr>
        <w:pStyle w:val="TextoNormal"/>
      </w:pPr>
    </w:p>
    <w:p w14:paraId="3733C5A3" w14:textId="77777777" w:rsidR="003754FE" w:rsidRDefault="003754FE" w:rsidP="003754FE">
      <w:pPr>
        <w:pStyle w:val="TextoNormal"/>
      </w:pPr>
      <w:r>
        <w:t>b) Tampoco sería la impugnada una norma autoaplicativa, puesto que no lleva a cabo actividad materialmente administrativa o típicamente ejecutiva aplicable un supuesto concreto, sino que tiene una dimensión de generalidad y permanencia cuya regulación, además, requiere de un procedimiento administrativo y de una resolución final que puede ser no estimatoria. Muestra de la complejidad de las actuaciones administrativas para llevar a cabo la aplicación del decreto-ley es su artículo 4.5, que contempla un límite en cuanto a la cobertura individual con la finalidad de garantizar el acceso de cualquier persona incluida en su ámbito subjetivo.</w:t>
      </w:r>
    </w:p>
    <w:p w14:paraId="0A0F7036" w14:textId="77777777" w:rsidR="003754FE" w:rsidRDefault="003754FE" w:rsidP="003754FE">
      <w:pPr>
        <w:pStyle w:val="TextoNormal"/>
      </w:pPr>
    </w:p>
    <w:p w14:paraId="2F14718D" w14:textId="77777777" w:rsidR="003754FE" w:rsidRDefault="003754FE" w:rsidP="003754FE">
      <w:pPr>
        <w:pStyle w:val="TextoNormal"/>
      </w:pPr>
      <w:r>
        <w:t>c) Se niega que el decreto-ley responda a la singularidad del supuesto de hecho que regula, puesto que su vocación de generalidad y permanencia comporta que no pueda agotar su contenido. Muestra de ello serían el fondo de diez millones de euros (con las aportaciones anuales que prevé el artículo 1.2) y el ámbito subjetivo previsto en el artículo 2. Que en la exposición de motivos se explicite uno de los supuestos que ha justificado el presupuesto habilitante —el acta de liquidación provisional del Tribunal de Cuentas— no puede llevar en absoluto a confundir dicho supuesto con un presunto carácter singular de la regulación contenida en el decreto-ley.</w:t>
      </w:r>
    </w:p>
    <w:p w14:paraId="5CD01A41" w14:textId="77777777" w:rsidR="003754FE" w:rsidRDefault="003754FE" w:rsidP="003754FE">
      <w:pPr>
        <w:pStyle w:val="TextoNormal"/>
      </w:pPr>
    </w:p>
    <w:p w14:paraId="67F02E60" w14:textId="77777777" w:rsidR="003754FE" w:rsidRDefault="003754FE" w:rsidP="003754FE">
      <w:pPr>
        <w:pStyle w:val="TextoNormal"/>
      </w:pPr>
      <w:r>
        <w:t>d) La arbitrariedad que alega la demanda queda desvirtuada, en todo caso, por la presentación explícita y razonada del preámbulo en la que se alude a las dos situaciones —ya referidas— que justifican la necesidad extraordinaria y urgente de esta norma. Esta pretensión descansa en una mera aseveración genérica, huérfana de toda argumentación, en contra de la carga que, según doctrina constitucional, incumbe a quien recurre.</w:t>
      </w:r>
    </w:p>
    <w:p w14:paraId="433671D6" w14:textId="77777777" w:rsidR="003754FE" w:rsidRDefault="003754FE" w:rsidP="003754FE">
      <w:pPr>
        <w:pStyle w:val="TextoNormal"/>
      </w:pPr>
    </w:p>
    <w:p w14:paraId="10626E15" w14:textId="77777777" w:rsidR="003754FE" w:rsidRDefault="003754FE" w:rsidP="003754FE">
      <w:pPr>
        <w:pStyle w:val="TextoNormal"/>
      </w:pPr>
      <w:r>
        <w:t>G) Responde en último lugar el letrado de la Generalitat a la primera alegación de inconstitucionalidad formulada por los diputados recurrentes, relativa a la vulneración de los arts. 1.2, 1.3, 2 y 168 CE por razón de la finalidad inconstitucional que atribuyen al decreto-ley dictado.</w:t>
      </w:r>
    </w:p>
    <w:p w14:paraId="64D78CDB" w14:textId="77777777" w:rsidR="003754FE" w:rsidRDefault="003754FE" w:rsidP="003754FE">
      <w:pPr>
        <w:pStyle w:val="TextoNormal"/>
      </w:pPr>
    </w:p>
    <w:p w14:paraId="1DFDD662" w14:textId="77777777" w:rsidR="003754FE" w:rsidRDefault="003754FE" w:rsidP="003754FE">
      <w:pPr>
        <w:pStyle w:val="TextoNormal"/>
      </w:pPr>
      <w:r>
        <w:t>a) Tras insistir en que no puede confundirse el contenido normativo de una norma legal abstracta con un supuesto concreto de aplicación de esta, entiende el letrado que con la creación del fondo la Generalitat no se hace otra cosa que garantizar a sus servidores la cobertura que, para el resto de los supuestos, están cubriendo las pólizas de seguros que tiene suscritas. Con ello se persigue una finalidad legítima, cual es garantizar la indemnidad de las autoridades y funcionarios públicos.</w:t>
      </w:r>
    </w:p>
    <w:p w14:paraId="252A6978" w14:textId="77777777" w:rsidR="003754FE" w:rsidRDefault="003754FE" w:rsidP="003754FE">
      <w:pPr>
        <w:pStyle w:val="TextoNormal"/>
      </w:pPr>
    </w:p>
    <w:p w14:paraId="1860F824" w14:textId="77777777" w:rsidR="003754FE" w:rsidRDefault="003754FE" w:rsidP="003754FE">
      <w:pPr>
        <w:pStyle w:val="TextoNormal"/>
      </w:pPr>
      <w:r>
        <w:t xml:space="preserve">b) La legitimidad de la finalidad de la norma también se pone de manifiesto en su régimen jurídico, en el que el servidor público continúa siendo responsable y suscribe una declaración por la que se obliga, caso de ser condenado por sentencia firme, a devolver el importe garantizado, más gastos e intereses. Una vez se dicte tal sentencia firme, esta debe ser ejecutada en sus propios términos, correspondiendo al tribunal que la haya dictado el control </w:t>
      </w:r>
      <w:r>
        <w:lastRenderedPageBreak/>
        <w:t>de la ejecución. A su vez, declarada la firmeza de la sentencia que determine la responsabilidad del beneficiario del fondo, la Generalitat viene obligada a activar el procedimiento de reintegro, incluyendo la posibilidad de utilizar el procedimiento ejecutivo de recaudación.</w:t>
      </w:r>
    </w:p>
    <w:p w14:paraId="633A97DC" w14:textId="77777777" w:rsidR="003754FE" w:rsidRDefault="003754FE" w:rsidP="003754FE">
      <w:pPr>
        <w:pStyle w:val="TextoNormal"/>
      </w:pPr>
    </w:p>
    <w:p w14:paraId="34C0E2F7" w14:textId="20C2A7CA" w:rsidR="003754FE" w:rsidRDefault="003754FE" w:rsidP="003754FE">
      <w:pPr>
        <w:pStyle w:val="TextoNormal"/>
      </w:pPr>
      <w:r>
        <w:t>Concluye, a la vista de lo expuesto, el letrado de la Generalitat con la solicitud de que se dicte sentencia desestimatoria del recurso de inconstitucionalidad.</w:t>
      </w:r>
    </w:p>
    <w:p w14:paraId="66D5E5C0" w14:textId="77777777" w:rsidR="003754FE" w:rsidRDefault="003754FE" w:rsidP="003754FE">
      <w:pPr>
        <w:pStyle w:val="TextoNormal"/>
      </w:pPr>
    </w:p>
    <w:p w14:paraId="5FE1221B" w14:textId="77777777" w:rsidR="003754FE" w:rsidRDefault="003754FE" w:rsidP="003754FE">
      <w:pPr>
        <w:pStyle w:val="TextoNormal"/>
      </w:pPr>
      <w:r w:rsidRPr="003754FE">
        <w:rPr>
          <w:rStyle w:val="NumeroAFNegritaCaracter"/>
        </w:rPr>
        <w:t>8</w:t>
      </w:r>
      <w:r>
        <w:t>. Mediante escrito de 8 de marzo de 2022, registrado en el Tribunal en la misma fecha, presentó sus alegaciones el letrado del Parlamento de Cataluña. Pueden resumirse como sigue:</w:t>
      </w:r>
    </w:p>
    <w:p w14:paraId="5071DA77" w14:textId="77777777" w:rsidR="003754FE" w:rsidRDefault="003754FE" w:rsidP="003754FE">
      <w:pPr>
        <w:pStyle w:val="TextoNormal"/>
      </w:pPr>
    </w:p>
    <w:p w14:paraId="207685DE" w14:textId="77777777" w:rsidR="003754FE" w:rsidRDefault="003754FE" w:rsidP="003754FE">
      <w:pPr>
        <w:pStyle w:val="TextoNormal"/>
      </w:pPr>
      <w:r>
        <w:t>A) Descarta, en primer lugar, que haya resultado vulnerado el artículo 64.1 EAC en relación con el artículo 86.1 CE, por falta de concurrencia del presupuesto habilitante que legitima la utilización del decreto-ley.</w:t>
      </w:r>
    </w:p>
    <w:p w14:paraId="08E1FF20" w14:textId="77777777" w:rsidR="003754FE" w:rsidRDefault="003754FE" w:rsidP="003754FE">
      <w:pPr>
        <w:pStyle w:val="TextoNormal"/>
      </w:pPr>
    </w:p>
    <w:p w14:paraId="6D7D4DED" w14:textId="77777777" w:rsidR="003754FE" w:rsidRDefault="003754FE" w:rsidP="003754FE">
      <w:pPr>
        <w:pStyle w:val="TextoNormal"/>
      </w:pPr>
      <w:r>
        <w:t>Los motivos tenidos en cuenta por el Gobierno para la adopción de esta disposición se explicitan en determinados pasajes de su preámbulo, así como en las palabras pronunciadas por el consejero de Economía y Hacienda en defensa de la norma en el debate parlamentario de convalidación. La exposición de motivos alude a la brevedad de los plazos en relación con las actuaciones previas núm. 80-2019 seguidas ante el Tribunal de Cuentas, cuya delegada instructora, como es notorio, había dictado providencia el 30 de junio de 2021 requiriendo a distintas personas incluidas en el ámbito subjetivo del decreto-ley para que reintegraran, depositaran o afianzaran en el plazo de quince días hábiles el importe que a cada una se le reclamaba a título de responsable contable, bajo apercibimiento de embargo. Esas mismas razones fueron, a su vez, uno de los principales elementos en torno a los que giró el debate de convalidación. Es claro, pues, que esas razones se encuentran suficientemente explicitadas y que se refieren a la totalidad de los preceptos impugnados.</w:t>
      </w:r>
    </w:p>
    <w:p w14:paraId="18C7A489" w14:textId="77777777" w:rsidR="003754FE" w:rsidRDefault="003754FE" w:rsidP="003754FE">
      <w:pPr>
        <w:pStyle w:val="TextoNormal"/>
      </w:pPr>
    </w:p>
    <w:p w14:paraId="0ADB5AE3" w14:textId="77777777" w:rsidR="003754FE" w:rsidRDefault="003754FE" w:rsidP="003754FE">
      <w:pPr>
        <w:pStyle w:val="TextoNormal"/>
      </w:pPr>
      <w:r>
        <w:t>A juicio del letrado, los motivos invocados por el Gobierno son susceptibles de ser considerados como una situación de extraordinaria y urgente necesidad, habida cuenta del control externo que aquí procede y del necesario respeto al margen de discrecionalidad política que corresponde al autor de la norma.</w:t>
      </w:r>
    </w:p>
    <w:p w14:paraId="0630490C" w14:textId="77777777" w:rsidR="003754FE" w:rsidRDefault="003754FE" w:rsidP="003754FE">
      <w:pPr>
        <w:pStyle w:val="TextoNormal"/>
      </w:pPr>
    </w:p>
    <w:p w14:paraId="501D510B" w14:textId="77777777" w:rsidR="003754FE" w:rsidRDefault="003754FE" w:rsidP="003754FE">
      <w:pPr>
        <w:pStyle w:val="TextoNormal"/>
      </w:pPr>
      <w:r>
        <w:t>B) También se descarta la alegada vulneración del artículo 9.3 de la Constitución, por las siguientes razones:</w:t>
      </w:r>
    </w:p>
    <w:p w14:paraId="11C357EB" w14:textId="77777777" w:rsidR="003754FE" w:rsidRDefault="003754FE" w:rsidP="003754FE">
      <w:pPr>
        <w:pStyle w:val="TextoNormal"/>
      </w:pPr>
    </w:p>
    <w:p w14:paraId="2987378B" w14:textId="77777777" w:rsidR="003754FE" w:rsidRDefault="003754FE" w:rsidP="003754FE">
      <w:pPr>
        <w:pStyle w:val="TextoNormal"/>
      </w:pPr>
      <w:r>
        <w:t>a) Considera, en primer lugar, que el decreto-ley no tiene naturaleza de ley singular:</w:t>
      </w:r>
    </w:p>
    <w:p w14:paraId="69F587B1" w14:textId="77777777" w:rsidR="003754FE" w:rsidRDefault="003754FE" w:rsidP="003754FE">
      <w:pPr>
        <w:pStyle w:val="TextoNormal"/>
      </w:pPr>
    </w:p>
    <w:p w14:paraId="39CFBAF8" w14:textId="77777777" w:rsidR="003754FE" w:rsidRDefault="003754FE" w:rsidP="003754FE">
      <w:pPr>
        <w:pStyle w:val="TextoNormal"/>
      </w:pPr>
      <w:r>
        <w:t>(i) Tras relacionar la jurisprudencia constitucional que se estima de relieve y afirmar que parece claro que no nos hallamos ante una norma autoaplicativa, se alega que parece igualmente claro que no es una ley de destinatario único. Quedaría por determinar si se trata de una norma dictada en atención a un supuesto de hecho concreto y singular que agote su contenido y eficacia en la adopción y ejecución de la medida tomada por el legislador. Considera que tampoco desde este punto de vista se puede decir que el decreto-ley impugnado sea ley singular y ello en atención a lo apreciado al respecto en el dictamen 2/2021 del Consejo de Garantías Estatutarias.</w:t>
      </w:r>
    </w:p>
    <w:p w14:paraId="6B72EEF2" w14:textId="77777777" w:rsidR="003754FE" w:rsidRDefault="003754FE" w:rsidP="003754FE">
      <w:pPr>
        <w:pStyle w:val="TextoNormal"/>
      </w:pPr>
    </w:p>
    <w:p w14:paraId="203281E7" w14:textId="77777777" w:rsidR="003754FE" w:rsidRDefault="003754FE" w:rsidP="003754FE">
      <w:pPr>
        <w:pStyle w:val="TextoNormal"/>
      </w:pPr>
      <w:r>
        <w:lastRenderedPageBreak/>
        <w:t>(ii) La póliza de seguro de responsabilidad patrimonial y civil contratada por la Generalitat no desvirtúa esta conclusión, ya que dicha póliza tiene una vigencia temporal a diferencia del decreto-ley, con vigencia indefinida tras su convalidación, y porque ese ámbito temporal es limitado. Además, la póliza puede ser rescindida por el asegurador en determinados supuestos conforme a la Ley 50/1980, de 8 de octubre, de contrato de seguro, como de hecho ha sucedido en el pasado con las pólizas suscritas por la Generalitat. Los riesgos cubiertos por la póliza vigente, finalmente, no son estrictamente coincidentes con los del fondo, cuya finalidad es la que proclama el artículo 1.1 del decreto-ley. Por ello, la norma impugnada no agota su contenido y eficacia en el supuesto que da lugar a la justificación del presupuesto habilitante del decreto-ley, de modo que tampoco desde este punto de vista puede ser calificada de ley singular.</w:t>
      </w:r>
    </w:p>
    <w:p w14:paraId="552A7CD7" w14:textId="77777777" w:rsidR="003754FE" w:rsidRDefault="003754FE" w:rsidP="003754FE">
      <w:pPr>
        <w:pStyle w:val="TextoNormal"/>
      </w:pPr>
    </w:p>
    <w:p w14:paraId="018BB65A" w14:textId="77777777" w:rsidR="003754FE" w:rsidRDefault="003754FE" w:rsidP="003754FE">
      <w:pPr>
        <w:pStyle w:val="TextoNormal"/>
      </w:pPr>
      <w:r>
        <w:t>b) En cuanto a la aducida vulneración de la interdicción de la arbitrariedad de los poderes públicos (art. 9.3 CE), se hace mención de la jurisprudencia constitucional que se considera significativa y se señala, tras ello, que no parece que se pueda concluir que la norma impugnada carezca de explicación racional o que responda a un objetivo ilegítimo. Esa explicación no sería otra que la indicada en el dictamen 2/2021 del Consejo de Garantías Estatutarias y parece claro que la garantía del funcionamiento normal de la administración de la Generalitat, finalidad a la que responde el fondo, es un objetivo constitucionalmente legítimo y que, por ello, aunque se pueda discrepar en clave técnica o política, no se puede decir que no tenga una explicación racional.</w:t>
      </w:r>
    </w:p>
    <w:p w14:paraId="7DE632B9" w14:textId="77777777" w:rsidR="003754FE" w:rsidRDefault="003754FE" w:rsidP="003754FE">
      <w:pPr>
        <w:pStyle w:val="TextoNormal"/>
      </w:pPr>
    </w:p>
    <w:p w14:paraId="4085FE89" w14:textId="77777777" w:rsidR="003754FE" w:rsidRDefault="003754FE" w:rsidP="003754FE">
      <w:pPr>
        <w:pStyle w:val="TextoNormal"/>
      </w:pPr>
      <w:r>
        <w:t>C) Añade el letrado que no parece que las alegaciones relativas a la vulneración de los arts. 103.1 CE y 30.2 y 71.2 EAC tengan sustantividad propia, ya que se vinculan a las finalidades pretendidamente ilícitas que perseguiría el decreto-ley aprobado, lo que ya ha resultado descartado, pues su finalidad es legítima.</w:t>
      </w:r>
    </w:p>
    <w:p w14:paraId="01484A27" w14:textId="77777777" w:rsidR="003754FE" w:rsidRDefault="003754FE" w:rsidP="003754FE">
      <w:pPr>
        <w:pStyle w:val="TextoNormal"/>
      </w:pPr>
    </w:p>
    <w:p w14:paraId="7B0214E1" w14:textId="77777777" w:rsidR="003754FE" w:rsidRDefault="003754FE" w:rsidP="003754FE">
      <w:pPr>
        <w:pStyle w:val="TextoNormal"/>
      </w:pPr>
      <w:r>
        <w:t>D) Lo mismo ocurriría con la alegada vulneración de los arts. 1.2, 1.3, 2 y 168 CE, respecto de las que cabría incluso afirmar que no se ha cumplido la carga de justificar suficientemente las razones en las que se funda la infracción de estos preceptos, lo que también es extensible a la supuesta infracción del principio de proporcionalidad del art. 30.2 EAC.</w:t>
      </w:r>
    </w:p>
    <w:p w14:paraId="717FF7E7" w14:textId="77777777" w:rsidR="003754FE" w:rsidRDefault="003754FE" w:rsidP="003754FE">
      <w:pPr>
        <w:pStyle w:val="TextoNormal"/>
      </w:pPr>
    </w:p>
    <w:p w14:paraId="36BD171B" w14:textId="77777777" w:rsidR="003754FE" w:rsidRDefault="003754FE" w:rsidP="003754FE">
      <w:pPr>
        <w:pStyle w:val="TextoNormal"/>
      </w:pPr>
      <w:r>
        <w:t>Para justificar el carácter lícito de la finalidad perseguida con la norma impugnada, añade el letrado que, en todo caso, el Fondo no permite en modo alguno a la persona responsable eludir ni la responsabilidad contable ni la civil derivada del delito que haya sido declarada por sentencia firme, siendo relevante recordar que a tales responsabilidades les resultan aplicables las reglas contenidas en los artículos 984.3 de la Ley de enjuiciamiento criminal y 85.1 de la Ley 7/1988, de 5 de abril, de funcionamiento del Tribunal de Cuentas. De conformidad con esas reglas, el artículo 548 de la Ley de enjuiciamiento civil establece un plazo de veinte días para el cumplimiento voluntario por el condenado antes de proceder al despacho de la ejecución, ejecución que se lleva a cabo de oficio y a la que en nada empece el decreto-ley.</w:t>
      </w:r>
    </w:p>
    <w:p w14:paraId="2E827FF2" w14:textId="77777777" w:rsidR="003754FE" w:rsidRDefault="003754FE" w:rsidP="003754FE">
      <w:pPr>
        <w:pStyle w:val="TextoNormal"/>
      </w:pPr>
    </w:p>
    <w:p w14:paraId="2A81DB28" w14:textId="612C58F1" w:rsidR="003754FE" w:rsidRDefault="003754FE" w:rsidP="003754FE">
      <w:pPr>
        <w:pStyle w:val="TextoNormal"/>
      </w:pPr>
      <w:r>
        <w:t>Por todo ello, el letrado del Parlamento interesa que se dicte una sentencia desestimatoria.</w:t>
      </w:r>
    </w:p>
    <w:p w14:paraId="747D7CC9" w14:textId="77777777" w:rsidR="003754FE" w:rsidRDefault="003754FE" w:rsidP="003754FE">
      <w:pPr>
        <w:pStyle w:val="TextoNormal"/>
      </w:pPr>
    </w:p>
    <w:p w14:paraId="7EED8124" w14:textId="78803E4E" w:rsidR="003754FE" w:rsidRDefault="003754FE" w:rsidP="003754FE">
      <w:pPr>
        <w:pStyle w:val="TextoNormal"/>
      </w:pPr>
      <w:r w:rsidRPr="003754FE">
        <w:rPr>
          <w:rStyle w:val="NumeroAFNegritaCaracter"/>
        </w:rPr>
        <w:t>9</w:t>
      </w:r>
      <w:r>
        <w:t>. Por providencia de 22 de octubre de 2024, se señaló ese mismo día para deliberación y votación de la presente sentencia.</w:t>
      </w:r>
    </w:p>
    <w:p w14:paraId="2AA19305" w14:textId="77777777" w:rsidR="003754FE" w:rsidRDefault="003754FE" w:rsidP="003754FE">
      <w:pPr>
        <w:pStyle w:val="TextoNormal"/>
      </w:pPr>
    </w:p>
    <w:p w14:paraId="1509E67A" w14:textId="77777777" w:rsidR="003754FE" w:rsidRDefault="003754FE" w:rsidP="003754FE">
      <w:pPr>
        <w:pStyle w:val="TextoNormalNegritaCentrado"/>
        <w:keepNext/>
      </w:pPr>
      <w:r>
        <w:lastRenderedPageBreak/>
        <w:t>II. Fundamentos jurídicos</w:t>
      </w:r>
    </w:p>
    <w:p w14:paraId="5E4AB716" w14:textId="735EC073" w:rsidR="003754FE" w:rsidRDefault="003754FE" w:rsidP="003754FE">
      <w:pPr>
        <w:pStyle w:val="TextoNormalNegritaCentrado"/>
        <w:keepNext/>
      </w:pPr>
    </w:p>
    <w:p w14:paraId="49B74FE4" w14:textId="77777777" w:rsidR="003754FE" w:rsidRDefault="003754FE" w:rsidP="003754FE">
      <w:pPr>
        <w:pStyle w:val="TextoNormal"/>
      </w:pPr>
      <w:r w:rsidRPr="003754FE">
        <w:rPr>
          <w:rStyle w:val="NumeroAFNegritaCaracter"/>
        </w:rPr>
        <w:t>1</w:t>
      </w:r>
      <w:r>
        <w:t xml:space="preserve">. </w:t>
      </w:r>
      <w:r w:rsidRPr="003754FE">
        <w:rPr>
          <w:i/>
        </w:rPr>
        <w:t>Objeto de la impugnación y posiciones de las partes</w:t>
      </w:r>
    </w:p>
    <w:p w14:paraId="1D4C75AC" w14:textId="77777777" w:rsidR="003754FE" w:rsidRDefault="003754FE" w:rsidP="003754FE">
      <w:pPr>
        <w:pStyle w:val="TextoNormal"/>
      </w:pPr>
    </w:p>
    <w:p w14:paraId="72BF83E5" w14:textId="77777777" w:rsidR="003754FE" w:rsidRDefault="003754FE" w:rsidP="003754FE">
      <w:pPr>
        <w:pStyle w:val="TextoNormal"/>
      </w:pPr>
      <w:r>
        <w:t>Los diputados del Congreso que han interpuesto este recurso de inconstitucionalidad impugnan en su totalidad el Decreto-ley 15/2021, de 6 de julio, de creación del fondo complementario de riesgos de la Generalitat de Cataluña, dictado por el Gobierno de la Comunidad Autónoma. A este decreto-ley, que entró en vigor, conforme a su disposición final, en la misma fecha de su publicación en el “Diari Oficial de la Generalitat de Catalunya” (verificada el inmediato día 7), le imputan los recurrentes, en los términos reseñados en los antecedentes, diferentes contravenciones de la Constitución y del Estatuto de Autonomía de Cataluña.</w:t>
      </w:r>
    </w:p>
    <w:p w14:paraId="3A4D5DAD" w14:textId="77777777" w:rsidR="003754FE" w:rsidRDefault="003754FE" w:rsidP="003754FE">
      <w:pPr>
        <w:pStyle w:val="TextoNormal"/>
      </w:pPr>
    </w:p>
    <w:p w14:paraId="30784CFD" w14:textId="77777777" w:rsidR="003754FE" w:rsidRDefault="003754FE" w:rsidP="003754FE">
      <w:pPr>
        <w:pStyle w:val="TextoNormal"/>
      </w:pPr>
      <w:r>
        <w:t>Los motivos de inconstitucionalidad aducidos en la demanda se concretan en la vulneración de los arts. 1.2, 1.3, 2 y 168 CE, por perseguir el decreto-ley impugnado una finalidad inconstitucional a través de medios ilícitos; la vulneración del art. 64.1 EAC (en relación con el art. 86 CE) al no concurrir el presupuesto de hecho habilitante de “necesidad extraordinaria y urgente” que rige la utilización del decreto-ley; la infracción del art. 71 EAC (en relación con el art. 103 CE), pues el decreto-ley dictado impediría a la administración pública catalana servir con objetividad a los intereses generales, con sometimiento pleno a la ley y al derecho; la vulneración, finalmente, de la cláusula constitucional de interdicción de la arbitrariedad de los poderes públicos (art. 9.3 CE) por haberse dictado de manera ilegítima una disposición con fuerza de ley de carácter singular.</w:t>
      </w:r>
    </w:p>
    <w:p w14:paraId="190D8F90" w14:textId="77777777" w:rsidR="003754FE" w:rsidRDefault="003754FE" w:rsidP="003754FE">
      <w:pPr>
        <w:pStyle w:val="TextoNormal"/>
      </w:pPr>
    </w:p>
    <w:p w14:paraId="686B90B7" w14:textId="257D6572" w:rsidR="003754FE" w:rsidRDefault="003754FE" w:rsidP="003754FE">
      <w:pPr>
        <w:pStyle w:val="TextoNormal"/>
      </w:pPr>
      <w:r>
        <w:t>Todas estas tachas de inconstitucionalidad han sido refutadas, como en los antecedentes se expuso, por las representaciones procesales del Parlamento de Cataluña y del Gobierno de la Generalitat, que, en síntesis, alegan que la norma impugnada estaría al servicio del “principio de indemnidad” de los servidores públicos (también invocado en la exposición de motivos), y que la disposición gubernamental no carecería del necesario presupuesto habilitante, pues se habría dictado (conforme a su preámbulo y a lo argumentado en el debate de convalidación parlamentaria) ante circunstancias de extraordinaria y urgente necesidad.</w:t>
      </w:r>
    </w:p>
    <w:p w14:paraId="41B84ED7" w14:textId="77777777" w:rsidR="003754FE" w:rsidRDefault="003754FE" w:rsidP="003754FE">
      <w:pPr>
        <w:pStyle w:val="TextoNormal"/>
      </w:pPr>
    </w:p>
    <w:p w14:paraId="15CB4803" w14:textId="77777777" w:rsidR="003754FE" w:rsidRDefault="003754FE" w:rsidP="003754FE">
      <w:pPr>
        <w:pStyle w:val="TextoNormal"/>
      </w:pPr>
      <w:r w:rsidRPr="003754FE">
        <w:rPr>
          <w:rStyle w:val="NumeroAFNegritaCaracter"/>
        </w:rPr>
        <w:t>2</w:t>
      </w:r>
      <w:r>
        <w:t xml:space="preserve">. </w:t>
      </w:r>
      <w:r w:rsidRPr="003754FE">
        <w:rPr>
          <w:i/>
        </w:rPr>
        <w:t>Extinción del recurso de inconstitucionalidad por pérdida sobrevenida de objeto</w:t>
      </w:r>
    </w:p>
    <w:p w14:paraId="4CDD9080" w14:textId="77777777" w:rsidR="003754FE" w:rsidRDefault="003754FE" w:rsidP="003754FE">
      <w:pPr>
        <w:pStyle w:val="TextoNormal"/>
      </w:pPr>
    </w:p>
    <w:p w14:paraId="52E8FE12" w14:textId="77777777" w:rsidR="003754FE" w:rsidRDefault="003754FE" w:rsidP="003754FE">
      <w:pPr>
        <w:pStyle w:val="TextoNormal"/>
      </w:pPr>
      <w:r>
        <w:t>El Decreto-Ley 15/2021, de 6 de julio, de creación del fondo complementario de riesgos de la Generalitat de Cataluña, ha sido ya objeto de enjuiciamiento por este tribunal en la STC 121/2024, de 9 de octubre, resolutoria del recurso de inconstitucionalidad núm. 5542-2021, interpuesto por más de cincuenta diputados del Grupo Parlamentario Vox en el Congreso. La indicada sentencia cobra relevancia en este proceso ya que el presente recurso impugna la misma disposición, que la citada STC 121/2024 ha declarado inconstitucional y nula en su integridad.</w:t>
      </w:r>
    </w:p>
    <w:p w14:paraId="610F3618" w14:textId="77777777" w:rsidR="003754FE" w:rsidRDefault="003754FE" w:rsidP="003754FE">
      <w:pPr>
        <w:pStyle w:val="TextoNormal"/>
      </w:pPr>
    </w:p>
    <w:p w14:paraId="0986B366" w14:textId="1E8190F0" w:rsidR="003754FE" w:rsidRDefault="003754FE" w:rsidP="003754FE">
      <w:pPr>
        <w:pStyle w:val="TextoNormal"/>
      </w:pPr>
      <w:r>
        <w:t xml:space="preserve">De acuerdo con la consolidada doctrina constitucional [por todas, SSTC 139/2011, de 14 de septiembre, FJ 3 b), y 73/2024, de 7 de mayo, FJ 2], la expulsión del ordenamiento jurídico del Decreto-Ley 15/2021, de 6 de julio, apreciada en la STC 121/2024, de 9 de octubre, determina la pérdida sobrevenida de objeto del presente recurso de inconstitucionalidad. </w:t>
      </w:r>
      <w:r>
        <w:lastRenderedPageBreak/>
        <w:t>Esta desaparición sobrevenida del objeto, aunque no está contemplada en el artículo 86.1 LOTC, es una de las causas de terminación extraordinaria de los distintos procesos constitucionales, incluidos los recursos de inconstitucionalidad (SSTC 124/2021, de 3 de junio, FJ 2, y 73/2024, de 7 de mayo, FJ 2).</w:t>
      </w:r>
    </w:p>
    <w:p w14:paraId="450AE487" w14:textId="77777777" w:rsidR="003754FE" w:rsidRDefault="003754FE" w:rsidP="003754FE">
      <w:pPr>
        <w:pStyle w:val="TextoNormal"/>
      </w:pPr>
    </w:p>
    <w:p w14:paraId="764D7BA0" w14:textId="77777777" w:rsidR="003754FE" w:rsidRDefault="003754FE" w:rsidP="003754FE">
      <w:pPr>
        <w:pStyle w:val="TextoNormalCentrado"/>
        <w:keepNext/>
      </w:pPr>
      <w:r>
        <w:t>FALLO</w:t>
      </w:r>
    </w:p>
    <w:p w14:paraId="397989E1" w14:textId="06AB57A1" w:rsidR="003754FE" w:rsidRDefault="003754FE" w:rsidP="003754FE">
      <w:pPr>
        <w:pStyle w:val="TextoNormalCentrado"/>
        <w:keepNext/>
      </w:pPr>
    </w:p>
    <w:p w14:paraId="2E05DE9A" w14:textId="65323FD6" w:rsidR="003754FE" w:rsidRDefault="003754FE" w:rsidP="003754FE">
      <w:pPr>
        <w:pStyle w:val="TextoNormal"/>
      </w:pPr>
      <w:r>
        <w:t>En atención a todo lo expuesto, el Tribunal Constitucional, por la autoridad que le confiere la Constitución de la Nación española, ha decidido declarar la extinción, por pérdida sobrevenida de objeto, del presente recurso de inconstitucionalidad interpuesto por más de cincuenta diputados del Grupo Parlamentario Popular en el Congreso contra el Decreto-ley 15/2021, de 6 de julio, de creación del fondo complementario de riesgos de la Generalitat de Cataluña.</w:t>
      </w:r>
    </w:p>
    <w:p w14:paraId="37A569C1" w14:textId="77777777" w:rsidR="003754FE" w:rsidRDefault="003754FE" w:rsidP="003754FE">
      <w:pPr>
        <w:pStyle w:val="TextoNormal"/>
      </w:pPr>
    </w:p>
    <w:p w14:paraId="59E8C5BD" w14:textId="77777777" w:rsidR="003754FE" w:rsidRDefault="003754FE" w:rsidP="003754FE">
      <w:pPr>
        <w:pStyle w:val="TextoNormal"/>
      </w:pPr>
      <w:r>
        <w:t>Publíquese esta sentencia en el “Boletín Oficial del Estado”.</w:t>
      </w:r>
    </w:p>
    <w:p w14:paraId="024683E0" w14:textId="77777777" w:rsidR="003754FE" w:rsidRDefault="003754FE" w:rsidP="003754FE">
      <w:pPr>
        <w:pStyle w:val="TextoNormal"/>
      </w:pPr>
      <w:r>
        <w:t>Dada en Madrid, a veintidós de octubre de dos mil veinticuatro.</w:t>
      </w:r>
    </w:p>
    <w:p w14:paraId="6BC3C76A" w14:textId="50C61954" w:rsidR="003754FE" w:rsidRDefault="003754FE">
      <w:pPr>
        <w:spacing w:after="160" w:line="278" w:lineRule="auto"/>
        <w:rPr>
          <w:rFonts w:ascii="Times New Roman" w:eastAsia="Times New Roman" w:hAnsi="Times New Roman" w:cs="Times New Roman"/>
          <w:sz w:val="24"/>
          <w:szCs w:val="24"/>
          <w:lang w:eastAsia="es-ES"/>
        </w:rPr>
      </w:pPr>
      <w:r>
        <w:br w:type="page"/>
      </w:r>
    </w:p>
    <w:p w14:paraId="5FF582E4" w14:textId="77777777" w:rsidR="003754FE" w:rsidRDefault="003754FE" w:rsidP="003754FE">
      <w:pPr>
        <w:pStyle w:val="TtuloResolucin"/>
      </w:pPr>
      <w:bookmarkStart w:id="37" w:name="SENTENCIA_2024_128"/>
      <w:r>
        <w:lastRenderedPageBreak/>
        <w:t>SENTENCIA 128/2024, de 22 de octubre de 2024</w:t>
      </w:r>
    </w:p>
    <w:bookmarkEnd w:id="37"/>
    <w:p w14:paraId="5DBA1C68" w14:textId="77777777" w:rsidR="003754FE" w:rsidRDefault="003754FE" w:rsidP="003754FE">
      <w:pPr>
        <w:pStyle w:val="TtuloResolucin"/>
      </w:pPr>
      <w:r>
        <w:t>Pleno</w:t>
      </w:r>
    </w:p>
    <w:p w14:paraId="46FD835D" w14:textId="77777777" w:rsidR="003754FE" w:rsidRDefault="003754FE" w:rsidP="003754FE">
      <w:pPr>
        <w:pStyle w:val="TtuloBOE"/>
      </w:pPr>
      <w:r>
        <w:t>(BOE núm. 286, de 27 de noviembre de 2024)</w:t>
      </w:r>
    </w:p>
    <w:p w14:paraId="61C38F5E" w14:textId="77777777" w:rsidR="003754FE" w:rsidRDefault="003754FE" w:rsidP="003754FE">
      <w:pPr>
        <w:pStyle w:val="TextoNormalCentrado"/>
      </w:pPr>
      <w:r>
        <w:t>ECLI:ES:TC:2024:128</w:t>
      </w:r>
    </w:p>
    <w:p w14:paraId="134776FA" w14:textId="37AC22E5" w:rsidR="003754FE" w:rsidRDefault="003754FE" w:rsidP="003754FE">
      <w:pPr>
        <w:pStyle w:val="TextoNormalCentrado"/>
      </w:pPr>
    </w:p>
    <w:p w14:paraId="6A591B57" w14:textId="77777777" w:rsidR="003754FE" w:rsidRDefault="003754FE" w:rsidP="003754FE">
      <w:pPr>
        <w:pStyle w:val="SntesisDescriptiva"/>
      </w:pPr>
      <w:r>
        <w:t>Recursos de amparo 6392-2021, 6748-2021 (acumulados). Promovidos por don Rafael Casqueiro Álvarez y don Raúl López López, respecto de una sentencia de la Sala de Conflictos de Jurisdicción.</w:t>
      </w:r>
    </w:p>
    <w:p w14:paraId="132E3B27" w14:textId="6FA00E7F" w:rsidR="003754FE" w:rsidRDefault="003754FE" w:rsidP="003754FE">
      <w:pPr>
        <w:pStyle w:val="SntesisDescriptiva"/>
      </w:pPr>
    </w:p>
    <w:p w14:paraId="22218BE1" w14:textId="77777777" w:rsidR="003754FE" w:rsidRDefault="003754FE" w:rsidP="003754FE">
      <w:pPr>
        <w:pStyle w:val="SntesisAnaltica"/>
      </w:pPr>
      <w:r>
        <w:t>Vulneración del derecho al juez ordinario predeterminado por la ley: atribución a la jurisdicción militar de la competencia para conocer de una causa por delitos cuya comisión se imputa a investigados civiles (STC 60/1991). Voto particular.</w:t>
      </w:r>
    </w:p>
    <w:p w14:paraId="66DB7DE8" w14:textId="0D7A2672" w:rsidR="003754FE" w:rsidRDefault="003754FE" w:rsidP="003754FE">
      <w:pPr>
        <w:pStyle w:val="SntesisAnaltica"/>
      </w:pPr>
    </w:p>
    <w:p w14:paraId="61A04F56" w14:textId="5E107E9E" w:rsidR="003754FE" w:rsidRDefault="003754FE" w:rsidP="003754FE">
      <w:pPr>
        <w:pStyle w:val="Extracto"/>
      </w:pPr>
      <w:r>
        <w:t>1.</w:t>
      </w:r>
      <w:r>
        <w:tab/>
        <w:t>La jurisdicción militar por mandato constitucional y bajo el principio de unidad de jurisdicción conoce de un ámbito objetivo diferente del que es propio de los demás órganos integrantes del Poder Judicial (SSTC 60/1991 o STC 18/2000) [FJ 4].</w:t>
      </w:r>
    </w:p>
    <w:p w14:paraId="6D834D26" w14:textId="77777777" w:rsidR="003754FE" w:rsidRDefault="003754FE" w:rsidP="003754FE">
      <w:pPr>
        <w:pStyle w:val="Extracto"/>
      </w:pPr>
    </w:p>
    <w:p w14:paraId="13DB7895" w14:textId="4FAE7C0B" w:rsidR="003754FE" w:rsidRDefault="003754FE" w:rsidP="003754FE">
      <w:pPr>
        <w:pStyle w:val="Extracto"/>
      </w:pPr>
      <w:r>
        <w:t>2.</w:t>
      </w:r>
      <w:r>
        <w:tab/>
        <w:t>Tres son los condicionantes constitucionales que se requieren para el ejercicio de la función jurisdiccional militar: que el delito sea un delito que proteja un bien jurídico estrictamente militar; el carácter militar de las obligaciones o deberes cuyo incumplimiento se tipifica como delito; y la condición de militar del sujeto activo del delito, siendo este requisito un elemento “relevante” para delimitar el concepto de lo “estrictamente castrense” (STC 60/1991) [FJ 4].</w:t>
      </w:r>
    </w:p>
    <w:p w14:paraId="7AE7CD25" w14:textId="77777777" w:rsidR="003754FE" w:rsidRDefault="003754FE" w:rsidP="003754FE">
      <w:pPr>
        <w:pStyle w:val="Extracto"/>
      </w:pPr>
    </w:p>
    <w:p w14:paraId="465305E5" w14:textId="3A529AFB" w:rsidR="003754FE" w:rsidRDefault="003754FE" w:rsidP="003754FE">
      <w:pPr>
        <w:pStyle w:val="Extracto"/>
      </w:pPr>
      <w:r>
        <w:t>3.</w:t>
      </w:r>
      <w:r>
        <w:tab/>
        <w:t xml:space="preserve">La jurisdicción militar debe quedar reducida a lo “estrictamente castrense”, concepto que debe delimitarse en función de, entre otros, un criterio subjetivo siendo especialmente relevante para la delimitación de dicho concepto que el sujeto activo del delito sea considerado </w:t>
      </w:r>
      <w:r w:rsidRPr="003754FE">
        <w:rPr>
          <w:i/>
        </w:rPr>
        <w:t xml:space="preserve">uti miles </w:t>
      </w:r>
      <w:r>
        <w:t>y un criterio objetivo: lo estrictamente castrense sólo puede ser aplicado a los delitos exclusiva y estrictamente militares (STC 60/1991) [FJ 6].</w:t>
      </w:r>
    </w:p>
    <w:p w14:paraId="26E4997E" w14:textId="77777777" w:rsidR="003754FE" w:rsidRDefault="003754FE" w:rsidP="003754FE">
      <w:pPr>
        <w:pStyle w:val="Extracto"/>
      </w:pPr>
    </w:p>
    <w:p w14:paraId="1C3E1DFE" w14:textId="77777777" w:rsidR="003754FE" w:rsidRDefault="003754FE" w:rsidP="003754FE">
      <w:pPr>
        <w:pStyle w:val="Extracto"/>
      </w:pPr>
    </w:p>
    <w:p w14:paraId="557F37F1"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32246321" w14:textId="2A4934E6" w:rsidR="003754FE" w:rsidRDefault="003754FE" w:rsidP="003754FE">
      <w:pPr>
        <w:pStyle w:val="TextoNormal"/>
      </w:pPr>
    </w:p>
    <w:p w14:paraId="72DBD45C" w14:textId="77777777" w:rsidR="003754FE" w:rsidRDefault="003754FE" w:rsidP="003754FE">
      <w:pPr>
        <w:pStyle w:val="TextoNormalCentrado"/>
        <w:keepNext/>
      </w:pPr>
      <w:r>
        <w:t>EN NOMBRE DEL REY</w:t>
      </w:r>
    </w:p>
    <w:p w14:paraId="542723B3" w14:textId="7C917253" w:rsidR="003754FE" w:rsidRDefault="003754FE" w:rsidP="003754FE">
      <w:pPr>
        <w:pStyle w:val="TextoNormalCentrado"/>
        <w:keepNext/>
      </w:pPr>
    </w:p>
    <w:p w14:paraId="0F8EF605" w14:textId="77777777" w:rsidR="003754FE" w:rsidRDefault="003754FE" w:rsidP="003754FE">
      <w:pPr>
        <w:pStyle w:val="TextoNormalCentrado"/>
        <w:keepNext/>
      </w:pPr>
    </w:p>
    <w:p w14:paraId="114A6039" w14:textId="77777777" w:rsidR="003754FE" w:rsidRDefault="003754FE" w:rsidP="003754FE">
      <w:pPr>
        <w:pStyle w:val="TextoNormal"/>
      </w:pPr>
      <w:r>
        <w:t>la siguiente</w:t>
      </w:r>
    </w:p>
    <w:p w14:paraId="55D968FF" w14:textId="109DD03D" w:rsidR="003754FE" w:rsidRDefault="003754FE" w:rsidP="003754FE">
      <w:pPr>
        <w:pStyle w:val="TextoNormal"/>
      </w:pPr>
    </w:p>
    <w:p w14:paraId="798CE846" w14:textId="77777777" w:rsidR="003754FE" w:rsidRDefault="003754FE" w:rsidP="003754FE">
      <w:pPr>
        <w:pStyle w:val="TextoNormalCentrado"/>
        <w:keepNext/>
      </w:pPr>
      <w:r>
        <w:lastRenderedPageBreak/>
        <w:t>SENTENCIA</w:t>
      </w:r>
    </w:p>
    <w:p w14:paraId="2B77F5FC" w14:textId="34248EF4" w:rsidR="003754FE" w:rsidRDefault="003754FE" w:rsidP="003754FE">
      <w:pPr>
        <w:pStyle w:val="TextoNormalCentrado"/>
        <w:keepNext/>
      </w:pPr>
    </w:p>
    <w:p w14:paraId="28F12E10" w14:textId="77777777" w:rsidR="003754FE" w:rsidRDefault="003754FE" w:rsidP="003754FE">
      <w:pPr>
        <w:pStyle w:val="TextoNormal"/>
      </w:pPr>
      <w:r>
        <w:t>En el recurso de amparo núm. 6392-2021, promovido por don Rafael Casqueiro Álvarez, representado por la procuradora de los tribunales doña Sonia María Casqueiro Álvarez y bajo la dirección del letrado don Gregorio Arroyo Hernansanz, contra la sentencia 2/2021, de 12 de julio, de la Sala de Conflictos de Jurisdicción, y en el recurso de amparo acumulado núm. 6748-2021, promovido por don Raúl López López, representado por el procurador de los tribunales don Ramón Rodríguez Nogueira, y bajo la dirección del letrado don Manuel Álvarez Feijoo, contra la misma sentencia de la Sala de Conflictos de Jurisdicción y contra la providencia del mismo órgano judicial de 8 de septiembre de 2021 por la que se inadmitió el incidente de nulidad planteado. Ha intervenido el Ministerio Fiscal. Ha sido ponente el magistrado don Juan Carlos Campo Moreno.</w:t>
      </w:r>
    </w:p>
    <w:p w14:paraId="7DD9DDF8" w14:textId="0F902BE8" w:rsidR="003754FE" w:rsidRDefault="003754FE" w:rsidP="003754FE">
      <w:pPr>
        <w:pStyle w:val="TextoNormal"/>
      </w:pPr>
    </w:p>
    <w:p w14:paraId="7EDB5139" w14:textId="77777777" w:rsidR="003754FE" w:rsidRDefault="003754FE" w:rsidP="003754FE">
      <w:pPr>
        <w:pStyle w:val="TextoNormalNegritaCentrado"/>
        <w:keepNext/>
      </w:pPr>
      <w:r>
        <w:t>I. Antecedentes</w:t>
      </w:r>
    </w:p>
    <w:p w14:paraId="03F594D8" w14:textId="7F5BC681" w:rsidR="003754FE" w:rsidRDefault="003754FE" w:rsidP="003754FE">
      <w:pPr>
        <w:pStyle w:val="TextoNormalNegritaCentrado"/>
        <w:keepNext/>
      </w:pPr>
    </w:p>
    <w:p w14:paraId="3EF75135" w14:textId="6017DA2C" w:rsidR="003754FE" w:rsidRDefault="003754FE" w:rsidP="003754FE">
      <w:pPr>
        <w:pStyle w:val="TextoNormal"/>
      </w:pPr>
      <w:r w:rsidRPr="003754FE">
        <w:rPr>
          <w:rStyle w:val="NumeroAFNegritaCaracter"/>
        </w:rPr>
        <w:t>1</w:t>
      </w:r>
      <w:r>
        <w:t>. Mediante escrito presentado el 7 de octubre de 2021, doña Sonia María Casqueiro Álvarez, procuradora de los tribunales y de don Rafael Casqueiro Álvarez, presentó demanda de amparo contra la sentencia 2/2021, de 12 de julio, de la Sala de Conflictos de Jurisdicción. Asimismo, por escrito presentado el 26 de octubre de 2021, don Ramon Rodríguez Nogueira, procurador de los tribunales y de don Raúl López López, presentó demanda de amparo contra la misma sentencia de la Sala de Conflictos de Jurisdicción y contra la providencia del mismo órgano judicial de 8 de septiembre de 2021 por la que se inadmitió el incidente de nulidad planteado.</w:t>
      </w:r>
    </w:p>
    <w:p w14:paraId="0AD68E7F" w14:textId="77777777" w:rsidR="003754FE" w:rsidRDefault="003754FE" w:rsidP="003754FE">
      <w:pPr>
        <w:pStyle w:val="TextoNormal"/>
      </w:pPr>
    </w:p>
    <w:p w14:paraId="7883C161" w14:textId="77777777" w:rsidR="003754FE" w:rsidRDefault="003754FE" w:rsidP="003754FE">
      <w:pPr>
        <w:pStyle w:val="TextoNormal"/>
      </w:pPr>
      <w:r w:rsidRPr="003754FE">
        <w:rPr>
          <w:rStyle w:val="NumeroAFNegritaCaracter"/>
        </w:rPr>
        <w:t>2</w:t>
      </w:r>
      <w:r>
        <w:t>. Los hechos relevantes para la resolución de los presentes recursos de amparo son los siguientes:</w:t>
      </w:r>
    </w:p>
    <w:p w14:paraId="6BDA6C06" w14:textId="77777777" w:rsidR="003754FE" w:rsidRDefault="003754FE" w:rsidP="003754FE">
      <w:pPr>
        <w:pStyle w:val="TextoNormal"/>
      </w:pPr>
    </w:p>
    <w:p w14:paraId="5A43EF50" w14:textId="77777777" w:rsidR="003754FE" w:rsidRDefault="003754FE" w:rsidP="003754FE">
      <w:pPr>
        <w:pStyle w:val="TextoNormal"/>
      </w:pPr>
      <w:r>
        <w:t>a) En el marco de la investigación iniciada en el año 2013 por el Juzgado de Instrucción núm. 1 de Lugo para la investigación de hechos supuestamente constitutivos de delitos contra la hacienda pública, falsedad documental y blanqueo de capitales, se incoaron las diligencias previas 4493-2013, acordándose en su seno escuchas telefónicas. En el curso de dichas intervenciones se produjo un hallazgo casual ya que se identificaron conversaciones entre personal empleado por sociedades que operan bajo la comercial Monbus y personal militar en relación con determinados contratos de prestación de servicios de transporte por carretera para militares del Ejército de Tierra destinados en la Brigada Almogávares VI de Paracaidistas (BRIPAC, en adelante) que podían ser constitutivos de delito.</w:t>
      </w:r>
    </w:p>
    <w:p w14:paraId="7B2A4FEE" w14:textId="77777777" w:rsidR="003754FE" w:rsidRDefault="003754FE" w:rsidP="003754FE">
      <w:pPr>
        <w:pStyle w:val="TextoNormal"/>
      </w:pPr>
    </w:p>
    <w:p w14:paraId="3A4156CA" w14:textId="77777777" w:rsidR="003754FE" w:rsidRDefault="003754FE" w:rsidP="003754FE">
      <w:pPr>
        <w:pStyle w:val="TextoNormal"/>
      </w:pPr>
      <w:r>
        <w:t>Tras la práctica de varias diligencias, el 30 de marzo de 2015 el Juzgado de Instrucción núm. 1 de Lugo dictó auto por el que acordó formar pieza separada en el seno de las diligencias previas 4493-2013 para la investigación de los hechos referidos a dichos contratos. Posteriormente, dicha pieza separada dio lugar a las diligencias previas 298-2018 de las que conocía el mismo Juzgado de Instrucción núm. 1 de Lugo.</w:t>
      </w:r>
    </w:p>
    <w:p w14:paraId="02CE14C6" w14:textId="77777777" w:rsidR="003754FE" w:rsidRDefault="003754FE" w:rsidP="003754FE">
      <w:pPr>
        <w:pStyle w:val="TextoNormal"/>
      </w:pPr>
    </w:p>
    <w:p w14:paraId="3ADFBD37" w14:textId="77777777" w:rsidR="003754FE" w:rsidRDefault="003754FE" w:rsidP="003754FE">
      <w:pPr>
        <w:pStyle w:val="TextoNormal"/>
      </w:pPr>
      <w:r>
        <w:t xml:space="preserve">El 29 de enero de 2019 la Audiencia Provincial de Lugo, estimando un recurso de un investigado, declaró que no existía conexidad entre los hechos que dieron lugar a las diligencias previas 4493-2013 y los hechos objeto de las diligencias previas 298-2018, </w:t>
      </w:r>
      <w:r>
        <w:lastRenderedPageBreak/>
        <w:t>ordenando al Juzgado de Instrucción núm. 1 de Lugo la formación de testimonio de particulares y remisión al Juzgado Decano para su reparto.</w:t>
      </w:r>
    </w:p>
    <w:p w14:paraId="0056F43D" w14:textId="77777777" w:rsidR="003754FE" w:rsidRDefault="003754FE" w:rsidP="003754FE">
      <w:pPr>
        <w:pStyle w:val="TextoNormal"/>
      </w:pPr>
    </w:p>
    <w:p w14:paraId="6BDD9C85" w14:textId="77777777" w:rsidR="003754FE" w:rsidRDefault="003754FE" w:rsidP="003754FE">
      <w:pPr>
        <w:pStyle w:val="TextoNormal"/>
      </w:pPr>
      <w:r>
        <w:t>La causa fue turnada de nuevo al Juzgado de Instrucción núm. 1 de Lugo que, mediante auto de 26 de septiembre de 2019, acordó inhibirse en favor de los juzgados de instrucción de Madrid por ser los juzgados del partido judicial donde se halla el centro de gestión de transportes del Ejército de Tierra.</w:t>
      </w:r>
    </w:p>
    <w:p w14:paraId="067201DD" w14:textId="77777777" w:rsidR="003754FE" w:rsidRDefault="003754FE" w:rsidP="003754FE">
      <w:pPr>
        <w:pStyle w:val="TextoNormal"/>
      </w:pPr>
    </w:p>
    <w:p w14:paraId="5F24BC0D" w14:textId="77777777" w:rsidR="003754FE" w:rsidRDefault="003754FE" w:rsidP="003754FE">
      <w:pPr>
        <w:pStyle w:val="TextoNormal"/>
      </w:pPr>
      <w:r>
        <w:t>b) El Juzgado de Instrucción núm. 42 de Madrid incoó las diligencias previas 2778-2019 y, por auto de 24 de febrero de 2020 acordó inhibirse a favor de la jurisdicción militar del conocimiento de los presuntos delitos contra la hacienda militar y de cohecho cometidos por los investigados que tenían condición militar, manteniendo su competencia para conocer de los delitos de falsedad documental relacionados con los delitos contra la hacienda militar, así como de los tipificados en los arts. 418 —infidelidad en la custodia de documentos y violación de secretos— y 424 —cohecho— del Código penal (CP), cometidos por los investigados civiles.</w:t>
      </w:r>
    </w:p>
    <w:p w14:paraId="3A4B4884" w14:textId="77777777" w:rsidR="003754FE" w:rsidRDefault="003754FE" w:rsidP="003754FE">
      <w:pPr>
        <w:pStyle w:val="TextoNormal"/>
      </w:pPr>
    </w:p>
    <w:p w14:paraId="5EC462DC" w14:textId="77777777" w:rsidR="003754FE" w:rsidRDefault="003754FE" w:rsidP="003754FE">
      <w:pPr>
        <w:pStyle w:val="TextoNormal"/>
      </w:pPr>
      <w:r>
        <w:t>c) Las actuaciones, que fueron remitidas a la jurisdicción militar, se turnaron al Juzgado Togado Militar Central núm. 1 que, de conformidad con el criterio del fiscal jurídico militar, requirió al Juzgado de Instrucción núm. 42 de Madrid para que se inhibiese también respecto del conocimiento de los hechos eventualmente delictivos atribuibles a los investigados no militares. Entendía el juzgado que, aplicando la regla del art. 14 de la Ley Orgánica 4/1987, de 15 de julio, de la competencia y organización de la jurisdicción militar (LOCOJM), la jurisdicción competente para el conocimiento de todos los supuestos delitos conexos sería la militar, pues el delito que tiene señalada pena más grave es el tipificado en el art. 189.2 del Código penal militar (en adelante, CPM) de 1985 o en el art. 81.2 CPM de 2015, del que estaba imputado un suboficial que se encontraba entre los militares participantes en las actuaciones tendentes a la creación del fondo de créditos para el transporte de personal de la BRIPAC.</w:t>
      </w:r>
    </w:p>
    <w:p w14:paraId="49D5EFB8" w14:textId="77777777" w:rsidR="003754FE" w:rsidRDefault="003754FE" w:rsidP="003754FE">
      <w:pPr>
        <w:pStyle w:val="TextoNormal"/>
      </w:pPr>
    </w:p>
    <w:p w14:paraId="73A05C2F" w14:textId="77777777" w:rsidR="003754FE" w:rsidRDefault="003754FE" w:rsidP="003754FE">
      <w:pPr>
        <w:pStyle w:val="TextoNormal"/>
      </w:pPr>
      <w:r>
        <w:t>d) Mediante auto de 10 de febrero de 2021, y también siguiendo el criterio del Ministerio Fiscal, el Juzgado de Instrucción núm. 42 de Madrid declaró no acceder al requerimiento formulado por considerarse competente para conocer la causa. Como consecuencia de ello, quedó activado el conflicto de jurisdicción, pasando las actuaciones al Tribunal Supremo, Sala de Conflictos de Jurisdicción.</w:t>
      </w:r>
    </w:p>
    <w:p w14:paraId="387FF706" w14:textId="77777777" w:rsidR="003754FE" w:rsidRDefault="003754FE" w:rsidP="003754FE">
      <w:pPr>
        <w:pStyle w:val="TextoNormal"/>
      </w:pPr>
    </w:p>
    <w:p w14:paraId="2703C161" w14:textId="77777777" w:rsidR="003754FE" w:rsidRDefault="003754FE" w:rsidP="003754FE">
      <w:pPr>
        <w:pStyle w:val="TextoNormal"/>
      </w:pPr>
      <w:r>
        <w:t>e) El 12 de julio dicha Sala dictó la sentencia 2/2021 por la que se resolvió el conflicto positivo de jurisdicción atribuyendo a la jurisdicción militar el conocimiento de las actuaciones penales respecto de los civiles investigados, entre ellos, los ahora recurrentes. Dicha sentencia, tras relatar los hechos objeto de la controversia y subrayar que ninguno de los órganos jurisdiccionales en conflicto cuestiona la relación de conexidad de los presuntos delitos cometidos por los civiles con los que se atribuyen a los militares y que las penas más graves se corresponden con las tipificadas respecto de estos últimos en el Código penal militar, afirma que se plantea por primera vez si el art. 14.1 LOCOJM, puede alcanzar a los delitos comunes conexos cometidos por no militares.</w:t>
      </w:r>
    </w:p>
    <w:p w14:paraId="68BA4CBE" w14:textId="77777777" w:rsidR="003754FE" w:rsidRDefault="003754FE" w:rsidP="003754FE">
      <w:pPr>
        <w:pStyle w:val="TextoNormal"/>
      </w:pPr>
    </w:p>
    <w:p w14:paraId="143A0066" w14:textId="77777777" w:rsidR="003754FE" w:rsidRDefault="003754FE" w:rsidP="003754FE">
      <w:pPr>
        <w:pStyle w:val="TextoNormal"/>
      </w:pPr>
      <w:r>
        <w:t>La Sala de Conflictos de Jurisdicción justificó la atribución del asunto a la jurisdicción miliar con base en los siguientes argumentos:</w:t>
      </w:r>
    </w:p>
    <w:p w14:paraId="515D06A3" w14:textId="77777777" w:rsidR="003754FE" w:rsidRDefault="003754FE" w:rsidP="003754FE">
      <w:pPr>
        <w:pStyle w:val="TextoNormal"/>
      </w:pPr>
    </w:p>
    <w:p w14:paraId="7CBF789B" w14:textId="77777777" w:rsidR="003754FE" w:rsidRDefault="003754FE" w:rsidP="003754FE">
      <w:pPr>
        <w:pStyle w:val="TextoNormal"/>
      </w:pPr>
      <w:r>
        <w:t>(i) Comienza afirmando que, según los arts. 117.5 CE y 3.2 de la Ley Orgánica del Poder Judicial (LOPJ), la competencia de la jurisdicción militar se limita a lo “estrictamente castrense”, concepto jurídico indeterminado perfilado por la doctrina constitucional, esencialmente en la STC 60/1991, de 14 de marzo, en la que se especifica que “el alcance del conocimiento de la jurisdicción militar en materia penal y en tiempo de paz está delimitado: por la naturaleza del delito cometido —delitos estrictamente castrenses—; por el bien jurídico o los intereses protegidos por la norma —que han de ser estrictamente militares—; por el carácter militar de las obligaciones o deberes cuyo incumplimiento se tipifica; y, en general, por la condición de militar del sujeto al que se imputa el delito” (ATC 104/2022, de 27 de junio).</w:t>
      </w:r>
    </w:p>
    <w:p w14:paraId="2E87D544" w14:textId="77777777" w:rsidR="003754FE" w:rsidRDefault="003754FE" w:rsidP="003754FE">
      <w:pPr>
        <w:pStyle w:val="TextoNormal"/>
      </w:pPr>
    </w:p>
    <w:p w14:paraId="1B7697EC" w14:textId="77777777" w:rsidR="003754FE" w:rsidRDefault="003754FE" w:rsidP="003754FE">
      <w:pPr>
        <w:pStyle w:val="TextoNormal"/>
      </w:pPr>
      <w:r>
        <w:t>(ii) No obstante, considera la Sala de Conflictos de Jurisdicción que “[d]e estos tres criterios, el que resulta menos esclarecedor es el último, porque no todos los tipos delictivos contemplados en el Código penal militar son tipos penales determinados por la condición de militar de su autor. Probablemente, los tres criterios que maneja la doctrina constitucional citada pueden reducirse a uno solo, conforme al cual, el ámbito de lo ‘estrictamente castrense’, en el orden penal, debe identificarse con la protección de los bienes jurídicos militares que resultan necesarios para que los ejércitos cumplan las misiones que les asigna el art. 8 CE”. Tras dicha afirmación, la Sala de Conflictos de Jurisdicción pone de relieve que la restricción subjetiva antes apuntada admite excepciones, ya que el Código penal militar prevé que el sujeto activo de un delito militar pueda ser un civil, lo que ha dado lugar a la doctrina a distinguir entre “delitos exclusiva o propiamente militares” y “delitos impropiamente militares”, en los que los civiles pueden ser objeto de ataques directos a bienes jurídicos castrenses. Tal es el caso de los delitos de allanamiento militar, contra centinela, contra la administración de justicia militar o la receptación de efectos militares, entre otros.</w:t>
      </w:r>
    </w:p>
    <w:p w14:paraId="68407BE7" w14:textId="77777777" w:rsidR="003754FE" w:rsidRDefault="003754FE" w:rsidP="003754FE">
      <w:pPr>
        <w:pStyle w:val="TextoNormal"/>
      </w:pPr>
    </w:p>
    <w:p w14:paraId="0DD22AF3" w14:textId="77777777" w:rsidR="003754FE" w:rsidRDefault="003754FE" w:rsidP="003754FE">
      <w:pPr>
        <w:pStyle w:val="TextoNormal"/>
      </w:pPr>
      <w:r>
        <w:t>(iii) Una vez sentado lo anterior, la Sala de Conflictos de Jurisdicción afirma que, para resolver el problema planteado, hay que atender al fundamento de la atribución de los delitos conexos, citando al efecto la sentencia de la Sala de Conflictos de Jurisdicción de 4 de diciembre de 2014, según la cual, el art. 14 LOCOJM obedece a “razones de unificación procedimental y de no quebrar el principio de la continencia de la causa”. Esta es también la finalidad de lo previsto en el art. 17 de la Ley de enjuiciamiento criminal (LECrim) al prever que han de ser investigados y enjuiciados “en la misma causa cuando la investigación y la prueba en conjunto de los hechos resulten convenientes para su esclarecimiento y para la determinación de las responsabilidades procedentes”.</w:t>
      </w:r>
    </w:p>
    <w:p w14:paraId="1F4021B1" w14:textId="77777777" w:rsidR="003754FE" w:rsidRDefault="003754FE" w:rsidP="003754FE">
      <w:pPr>
        <w:pStyle w:val="TextoNormal"/>
      </w:pPr>
    </w:p>
    <w:p w14:paraId="1B212CFB" w14:textId="77777777" w:rsidR="003754FE" w:rsidRDefault="003754FE" w:rsidP="003754FE">
      <w:pPr>
        <w:pStyle w:val="TextoNormal"/>
      </w:pPr>
      <w:r>
        <w:t>(iv) Con base en lo anterior concluye que “siendo que el art. 14 LOCOJM —al establecer la regla por la que se rige la atribución de competencia a la jurisdicción militar o a la ordinaria para conocer de los delitos conexos— no exceptúa los supuestos en los que el delito común conexo a otro militar haya sido cometido por un civil y que, como se ha señalado, los civiles también pueden ser juzgados ante la jurisdicción militar cuando con su conducta comprometan bienes, valores y principios militares que la norma castrense pretende proteger, debe entenderse que a los órganos de la jurisdicción militar competentes para conocer de los delitos militares que tienen señalada pena más grave corresponde también el conocimiento de aquellos delitos comunes conexos cometidos por personal no militar”.</w:t>
      </w:r>
    </w:p>
    <w:p w14:paraId="1644597F" w14:textId="77777777" w:rsidR="003754FE" w:rsidRDefault="003754FE" w:rsidP="003754FE">
      <w:pPr>
        <w:pStyle w:val="TextoNormal"/>
      </w:pPr>
    </w:p>
    <w:p w14:paraId="5E2D8403" w14:textId="77777777" w:rsidR="003754FE" w:rsidRDefault="003754FE" w:rsidP="003754FE">
      <w:pPr>
        <w:pStyle w:val="TextoNormal"/>
      </w:pPr>
      <w:r>
        <w:lastRenderedPageBreak/>
        <w:t>(v) Por último, considera la Sala de Conflictos de Jurisdicción que “no debe olvidarse que, como razonó el Juzgado Togado Militar núm. 1, las conductas investigadas lesionan esencialmente el bien jurídico de la correcta administración de los fondos públicos presupuestados para el Ministerio de Defensa, por lo que los hechos en los que presuntamente pudieron haber incurrido los civiles investigados —que, mediante sus conductas, pudieron haber participado de uno u otro modo en las operaciones llevadas a efecto para defraudar aquellos fondos públicos— podrían ser no solo considerados como delitos comunes en relación de conexidad medial con los delitos contra la hacienda militar cometidos por militares, sino que también podrían calificarse como conductas constitutivas de cooperación necesaria para la ejecución de aquellos delitos militares”.</w:t>
      </w:r>
    </w:p>
    <w:p w14:paraId="72DC40D8" w14:textId="77777777" w:rsidR="003754FE" w:rsidRDefault="003754FE" w:rsidP="003754FE">
      <w:pPr>
        <w:pStyle w:val="TextoNormal"/>
      </w:pPr>
    </w:p>
    <w:p w14:paraId="75D92013" w14:textId="77777777" w:rsidR="003754FE" w:rsidRDefault="003754FE" w:rsidP="003754FE">
      <w:pPr>
        <w:pStyle w:val="TextoNormal"/>
      </w:pPr>
      <w:r>
        <w:t>f) Frente a esta sentencia, el recurrente don Raúl López López (recurso de amparo núm. 6748-2021) interpuso incidente de nulidad en el que alegó, en virtud del art. 24 CE, (i) la infracción del derecho a ser oído en el proceso, y (ii) la lesión de su derecho al juez ordinario predeterminado por la ley. Por lo que se refiere a la primera de las quejas, el recurrente consideraba que, aunque la Ley Orgánica 2/1987, de 18 de mayo de conflictos jurisdiccionales (LOCJ) no prevé expresamente la condición de parte en el conflicto a quienes hubieran sido parte en los procedimientos de origen, tenía derecho a participar en la tramitación de dicho conflicto y así lo solicitó a la Sala.</w:t>
      </w:r>
    </w:p>
    <w:p w14:paraId="7E39D184" w14:textId="77777777" w:rsidR="003754FE" w:rsidRDefault="003754FE" w:rsidP="003754FE">
      <w:pPr>
        <w:pStyle w:val="TextoNormal"/>
      </w:pPr>
    </w:p>
    <w:p w14:paraId="08CF6DA8" w14:textId="281D47E6" w:rsidR="003754FE" w:rsidRDefault="003754FE" w:rsidP="003754FE">
      <w:pPr>
        <w:pStyle w:val="TextoNormal"/>
      </w:pPr>
      <w:r>
        <w:t>La Sala de Conflictos de Jurisdicción inadmitió el incidente de nulidad considerando que no se había vulnerado el derecho de audiencia del recurrente toda vez que el conflicto jurisdiccional es un tipo de proceso singular y distinto de aquellos en los que tiene su origen y que se resuelve mediante sentencia que trasciende del caso como se desprende de su publicación en el “Boletín Oficial del Estado”; además, explicó la Sala de Conflictos de Jurisdicción que el recurrente se aquietó a lo dispuesto en la diligencia de ordenación en la que se le tuvo por comparecido a los solos efectos de notificación, ya que, a pesar de ser ofrecido, no interpuso recurso contra la misma. No obstante, la Sala entró a enjuiciar el fondo de la cuestión planteada y, tras cita de abundante doctrina constitucional, concluyó que en este caso no se produjo la indefensión alegada debido a que la configuración legal del conflicto jurisdiccional no contemplaba la audiencia del recurrente. Por lo que se refiere a la segunda de las quejas, el órgano judicial consideró que los motivos aducidos en la sentencia impugnada no constituían una quiebra de lo dispuesto en el art. 117.5 CE, sino que es el producto de “la aplicación ordinaria y regular de un criterio legalmente previsto que determina la alteración del régimen ordinario de atribución de la jurisdicción”. En definitiva, la Sala declaró la inadmisibilidad del incidente mediante providencia dictada el día 8 de septiembre de 2021.</w:t>
      </w:r>
    </w:p>
    <w:p w14:paraId="15FF48C6" w14:textId="77777777" w:rsidR="003754FE" w:rsidRDefault="003754FE" w:rsidP="003754FE">
      <w:pPr>
        <w:pStyle w:val="TextoNormal"/>
      </w:pPr>
    </w:p>
    <w:p w14:paraId="0C5E7DF7" w14:textId="77777777" w:rsidR="003754FE" w:rsidRDefault="003754FE" w:rsidP="003754FE">
      <w:pPr>
        <w:pStyle w:val="TextoNormal"/>
      </w:pPr>
      <w:r w:rsidRPr="003754FE">
        <w:rPr>
          <w:rStyle w:val="NumeroAFNegritaCaracter"/>
        </w:rPr>
        <w:t>3</w:t>
      </w:r>
      <w:r>
        <w:t>. Don Rafael Casqueiro Álvarez, recurso de amparo 6392-2021, alega en su demanda de amparo que se ha vulnerado su derecho al juez ordinario predeterminado por la ley (art. 24.2 CE en relación con el art. 117.5 CE), por error en la aplicación e interpretación de los arts. 12, 14 y 15 LOCOJM, referidas al conocimiento de la jurisdicción militar en casos de delitos conexos.</w:t>
      </w:r>
    </w:p>
    <w:p w14:paraId="17183654" w14:textId="77777777" w:rsidR="003754FE" w:rsidRDefault="003754FE" w:rsidP="003754FE">
      <w:pPr>
        <w:pStyle w:val="TextoNormal"/>
      </w:pPr>
    </w:p>
    <w:p w14:paraId="313CB1B8" w14:textId="77777777" w:rsidR="003754FE" w:rsidRDefault="003754FE" w:rsidP="003754FE">
      <w:pPr>
        <w:pStyle w:val="TextoNormal"/>
      </w:pPr>
      <w:r>
        <w:t xml:space="preserve">Afirma que existe una doctrina constitucional pacífica acerca de que la jurisdicción militar debe quedar constreñida a lo estrictamente castrense en tiempos de normalidad constitucional. Dicha doctrina lleva aparejado, a </w:t>
      </w:r>
      <w:r w:rsidRPr="003754FE">
        <w:rPr>
          <w:i/>
        </w:rPr>
        <w:t>sensu contrario</w:t>
      </w:r>
      <w:r>
        <w:t xml:space="preserve">, la prohibición de que la jurisdicción militar conozca de cuestiones que escapan de su ámbito de competencia que se </w:t>
      </w:r>
      <w:r>
        <w:lastRenderedPageBreak/>
        <w:t>definen, según la doctrina constitucional, a partir de tres criterios: uno objetivo, que viene dado por el carácter militar del delito; otro funcional, representado por el bien jurídico protegido; y el último, de carácter subjetivo, configurado por la condición de militar del autor del delito. De dichos criterios se desprende que la jurisdicción militar solo puede extender su conocimiento a los delitos que pueden aparecer como conexos a los propios de naturaleza militar y que, a su vez, deben cumplir también los criterios antes expuestos.</w:t>
      </w:r>
    </w:p>
    <w:p w14:paraId="7C52615A" w14:textId="77777777" w:rsidR="003754FE" w:rsidRDefault="003754FE" w:rsidP="003754FE">
      <w:pPr>
        <w:pStyle w:val="TextoNormal"/>
      </w:pPr>
    </w:p>
    <w:p w14:paraId="39075465" w14:textId="3B817D23" w:rsidR="003754FE" w:rsidRDefault="003754FE" w:rsidP="003754FE">
      <w:pPr>
        <w:pStyle w:val="TextoNormal"/>
      </w:pPr>
      <w:r>
        <w:t>Se queja el recurrente de que la Sala de Conflictos de Jurisdicción no lo haya considerado así y haya obviado los criterios objetivo y subjetivo al permitir el enjuiciamiento por la jurisdicción militar de civiles a los que se les imputan delitos comunes, basándose para ello en “principios de alcance exclusivamente procedimental y sin relevancia constitucional”, como son la unificación procedimental y el no quebrantamiento del principio de continencia de la causa. En definitiva, según el recurrente, la Sala de Conflictos de Jurisdicción obvia dos de los criterios establecidos por el Tribunal Constitucional.</w:t>
      </w:r>
    </w:p>
    <w:p w14:paraId="33532C1D" w14:textId="77777777" w:rsidR="003754FE" w:rsidRDefault="003754FE" w:rsidP="003754FE">
      <w:pPr>
        <w:pStyle w:val="TextoNormal"/>
      </w:pPr>
    </w:p>
    <w:p w14:paraId="23A8527B" w14:textId="77777777" w:rsidR="003754FE" w:rsidRDefault="003754FE" w:rsidP="003754FE">
      <w:pPr>
        <w:pStyle w:val="TextoNormal"/>
      </w:pPr>
      <w:r w:rsidRPr="003754FE">
        <w:rPr>
          <w:rStyle w:val="NumeroAFNegritaCaracter"/>
        </w:rPr>
        <w:t>4</w:t>
      </w:r>
      <w:r>
        <w:t>. El recurrente don Raúl López López —recurso de amparo 6748-2021—, alega en su demanda de amparo dos vulneraciones de derechos fundamentales en el ámbito del art. 24 CE.</w:t>
      </w:r>
    </w:p>
    <w:p w14:paraId="0AF4BAF6" w14:textId="77777777" w:rsidR="003754FE" w:rsidRDefault="003754FE" w:rsidP="003754FE">
      <w:pPr>
        <w:pStyle w:val="TextoNormal"/>
      </w:pPr>
    </w:p>
    <w:p w14:paraId="5CE8A8C7" w14:textId="77777777" w:rsidR="003754FE" w:rsidRDefault="003754FE" w:rsidP="003754FE">
      <w:pPr>
        <w:pStyle w:val="TextoNormal"/>
      </w:pPr>
      <w:r>
        <w:t xml:space="preserve">En primer lugar, alega la vulneración de su derecho a la tutela judicial efectiva en su vertiente a ser oído en el procedimiento ante la Sala de Conflictos de Jurisdicción. Explica que, debido a que el art. 28 LOCJ únicamente contempla la audiencia de la Fiscalía Togada y del Ministerio Fiscal, la Sala no contestó a las alegaciones presentadas ni le dio vista a las actuaciones a pesar de que dicha posibilidad se contemplaba en la diligencia de ordenación dictada tras su personación en el proceso. Aduce que los investigados en un proceso penal </w:t>
      </w:r>
      <w:r w:rsidRPr="003754FE">
        <w:rPr>
          <w:i/>
        </w:rPr>
        <w:t>a quo</w:t>
      </w:r>
      <w:r>
        <w:t xml:space="preserve"> del que trae causa un conflicto de jurisdicción tienen un interés legítimo en la resolución de dicho conflicto. Sostiene que es posible realizar una interpretación conforme del art. 28 LOJC ya que dicho precepto no excluye que se oiga a las partes del proceso en el que el conflicto tiene su origen, interpretación esta que, en virtud del art. 5.1 LOPJ, viene obligada a seguir la Sala.</w:t>
      </w:r>
    </w:p>
    <w:p w14:paraId="5F74DB03" w14:textId="77777777" w:rsidR="003754FE" w:rsidRDefault="003754FE" w:rsidP="003754FE">
      <w:pPr>
        <w:pStyle w:val="TextoNormal"/>
      </w:pPr>
    </w:p>
    <w:p w14:paraId="71531BBA" w14:textId="77777777" w:rsidR="003754FE" w:rsidRDefault="003754FE" w:rsidP="003754FE">
      <w:pPr>
        <w:pStyle w:val="TextoNormal"/>
      </w:pPr>
      <w:r>
        <w:t>En segundo lugar, alega la vulneración de su derecho al juez ordinario predeterminado por la ley, art. 24.2 CE, que se imputa también a la Sala de Conflictos de Jurisdicción por haber realizado una interpretación del art. 14 LOCOJM contraria a la Constitución y a la doctrina del Tribunal Constitucional y del Tribunal Europeo de Derechos Humanos, por atribuir a la jurisdicción castrense el conocimiento de las actuaciones penales respecto de civiles por hechos eventualmente constitutivos de delitos comunes.</w:t>
      </w:r>
    </w:p>
    <w:p w14:paraId="00A0BDE5" w14:textId="77777777" w:rsidR="003754FE" w:rsidRDefault="003754FE" w:rsidP="003754FE">
      <w:pPr>
        <w:pStyle w:val="TextoNormal"/>
      </w:pPr>
    </w:p>
    <w:p w14:paraId="6AA522B9" w14:textId="77777777" w:rsidR="003754FE" w:rsidRDefault="003754FE" w:rsidP="003754FE">
      <w:pPr>
        <w:pStyle w:val="TextoNormal"/>
      </w:pPr>
      <w:r>
        <w:t xml:space="preserve">Considera que son varias las resoluciones del Tribunal Constitucional que acuden al criterio subjetivo para delimitar la competencia de la jurisdicción militar (principalmente, la STC 60/1991, de 14 de marzo). Así, alude a que el criterio subjetivo tiene “el mismo rango axiológico —si no superior— que el resto de criterios invocados” en la jurisprudencia. Por ello, solo en supuestos excepcionales y especialmente justificados debe admitirse el enjuiciamiento de civiles por la jurisdicción castrense. A su juicio, así se desprende, además: (i) del dictamen del Consejo de Estado al proyecto de Código penal militar de 2015; (ii) del Informe Decaux (Informe de la Comisión de Derechos Humanos de Naciones Unidas, de 13 de enero de 2006) en cuyo principio 5 se establece la incompetencia de los órganos judiciales militares para juzgar a civiles; cita y transcribe algunos fragmentos de la STEDH </w:t>
      </w:r>
      <w:r>
        <w:lastRenderedPageBreak/>
        <w:t xml:space="preserve">de 28 de noviembre de 2019, asunto </w:t>
      </w:r>
      <w:r w:rsidRPr="003754FE">
        <w:rPr>
          <w:i/>
        </w:rPr>
        <w:t>Mustafa c. Bulgaria</w:t>
      </w:r>
      <w:r>
        <w:t>, en la que se afirma que “la justicia penal militar no debe extenderse a civiles salvo que existan razones imperiosas que justifiquen tal situación” que deberán demostrarse en cada caso concreto.</w:t>
      </w:r>
    </w:p>
    <w:p w14:paraId="042BA258" w14:textId="77777777" w:rsidR="003754FE" w:rsidRDefault="003754FE" w:rsidP="003754FE">
      <w:pPr>
        <w:pStyle w:val="TextoNormal"/>
      </w:pPr>
    </w:p>
    <w:p w14:paraId="4BBB0A25" w14:textId="77777777" w:rsidR="003754FE" w:rsidRDefault="003754FE" w:rsidP="003754FE">
      <w:pPr>
        <w:pStyle w:val="TextoNormal"/>
      </w:pPr>
      <w:r>
        <w:t>Concluye este apartado afirmando que la interpretación de la cláusula constitucional “ámbito estrictamente castrense” es una garantía esencial que asegura que la jurisdicción militar no es principio competente para conocer de la investigación y enjuiciamiento de civiles en tiempo de paz, habiéndolo entendido así el Tribunal Constitucional, el espacio europeo de derechos humanos (Tribunal Europeo de Derechos Humanos) y, hasta ahora, el propio Poder Judicial.</w:t>
      </w:r>
    </w:p>
    <w:p w14:paraId="2DFB6717" w14:textId="77777777" w:rsidR="003754FE" w:rsidRDefault="003754FE" w:rsidP="003754FE">
      <w:pPr>
        <w:pStyle w:val="TextoNormal"/>
      </w:pPr>
    </w:p>
    <w:p w14:paraId="0664A0FB" w14:textId="0D4C0CDA" w:rsidR="003754FE" w:rsidRDefault="003754FE" w:rsidP="003754FE">
      <w:pPr>
        <w:pStyle w:val="TextoNormal"/>
      </w:pPr>
      <w:r>
        <w:t>Por último, reitera que la delimitación constitucional de la jurisdicción militar con base en criterios subjetivos posee un rasgo axiológico superior a los simples principios de ordenación procesal. Afirma que la sentencia impugnada, en la medida en que afirma que el criterio subjetivo es el “menos esclarecedor” de todos los señalados por la doctrina constitucional, se aparta de aquella y la sacrifica para garantizar la primacía de un simple criterio de ordenación procesal. En cuanto a la conexidad de los delitos investigados afirma que es una cuestión de mera legalidad ordinaria en la que el Tribunal Constitucional no puede entrar, debiendo asumir, en consecuencia, dicha cualidad por haberlo así establecido el Tribunal de Conflictos.</w:t>
      </w:r>
    </w:p>
    <w:p w14:paraId="40A5A477" w14:textId="77777777" w:rsidR="003754FE" w:rsidRDefault="003754FE" w:rsidP="003754FE">
      <w:pPr>
        <w:pStyle w:val="TextoNormal"/>
      </w:pPr>
    </w:p>
    <w:p w14:paraId="6CD209E1" w14:textId="7ECBB405" w:rsidR="003754FE" w:rsidRDefault="003754FE" w:rsidP="003754FE">
      <w:pPr>
        <w:pStyle w:val="TextoNormal"/>
      </w:pPr>
      <w:r w:rsidRPr="003754FE">
        <w:rPr>
          <w:rStyle w:val="NumeroAFNegritaCaracter"/>
        </w:rPr>
        <w:t>5</w:t>
      </w:r>
      <w:r>
        <w:t>. Mediante providencia de 4 de abril de 2022, la Sección Primera del Tribunal decidió admitir a trámite el recurso de amparo núm. 6748-2021, considerando que podía dar lugar al Tribunal para aclarar o cambiar su doctrina como consecuencia de un proceso de reflexión interna [STC 155/2009, de 25 de junio, FJ 2 b)] como consecuencia de cambios normativos relevantes para la configuración del contenido del derecho fundamental. Acordó, asimismo, conforme al art. 51 de la Ley Orgánica del Tribunal Constitucional (LOTC), dirigir atenta comunicación al Tribunal Supremo para que remitiera en un plazo no superior a diez días, certificación o fotocopia adverada de las actuaciones correspondientes al conflicto A 39-1-2021 y emplazar a quienes hubieran sido parte en el procedimiento. Por último, también se acordó formar pieza separada de suspensión.</w:t>
      </w:r>
    </w:p>
    <w:p w14:paraId="35DC96F3" w14:textId="77777777" w:rsidR="003754FE" w:rsidRDefault="003754FE" w:rsidP="003754FE">
      <w:pPr>
        <w:pStyle w:val="TextoNormal"/>
      </w:pPr>
    </w:p>
    <w:p w14:paraId="58108C53" w14:textId="04B7B145" w:rsidR="003754FE" w:rsidRDefault="003754FE" w:rsidP="003754FE">
      <w:pPr>
        <w:pStyle w:val="TextoNormal"/>
      </w:pPr>
      <w:r w:rsidRPr="003754FE">
        <w:rPr>
          <w:rStyle w:val="NumeroAFNegritaCaracter"/>
        </w:rPr>
        <w:t>6</w:t>
      </w:r>
      <w:r>
        <w:t>. Mediante diligencia de ordenación de 26 de abril de 2022, en virtud del art. 52 LOTC, se acordó dar vista del expediente al Ministerio Fiscal y a la parte recurrente para que dentro de plazo común de veinte días presentaran las alegaciones que a su derecho conviniera.</w:t>
      </w:r>
    </w:p>
    <w:p w14:paraId="3C8A7C33" w14:textId="77777777" w:rsidR="003754FE" w:rsidRDefault="003754FE" w:rsidP="003754FE">
      <w:pPr>
        <w:pStyle w:val="TextoNormal"/>
      </w:pPr>
    </w:p>
    <w:p w14:paraId="434F0EF0" w14:textId="5E9AA489" w:rsidR="003754FE" w:rsidRDefault="003754FE" w:rsidP="003754FE">
      <w:pPr>
        <w:pStyle w:val="TextoNormal"/>
      </w:pPr>
      <w:r w:rsidRPr="003754FE">
        <w:rPr>
          <w:rStyle w:val="NumeroAFNegritaCaracter"/>
        </w:rPr>
        <w:t>7</w:t>
      </w:r>
      <w:r>
        <w:t>. Por providencia de 9 de mayo de 2022, la Sección Primera del Tribunal decidió admitir a trámite el recurso de amparo núm. 6392-2021, considerando, al igual que en el recurso de amparo antes citado, que podía dar lugar al Tribunal para aclarar o cambiar su doctrina como consecuencia de un proceso de reflexión interna [STC 155/2009, FJ 2 b)] como consecuencia de cambios normativos relevantes para la configuración del contenido del derecho fundamental. Acordó, conforme al art. 52 LOTC, dar vista del expediente al Ministerio Fiscal y a la parte recurrente para que dentro de plazo común de veinte días presentaran las alegaciones que a su derecho conviniera. Asimismo, se acordó formar pieza separada de suspensión.</w:t>
      </w:r>
    </w:p>
    <w:p w14:paraId="3DB27F19" w14:textId="77777777" w:rsidR="003754FE" w:rsidRDefault="003754FE" w:rsidP="003754FE">
      <w:pPr>
        <w:pStyle w:val="TextoNormal"/>
      </w:pPr>
    </w:p>
    <w:p w14:paraId="3CBCB19E" w14:textId="77777777" w:rsidR="003754FE" w:rsidRDefault="003754FE" w:rsidP="003754FE">
      <w:pPr>
        <w:pStyle w:val="TextoNormal"/>
      </w:pPr>
      <w:r w:rsidRPr="003754FE">
        <w:rPr>
          <w:rStyle w:val="NumeroAFNegritaCaracter"/>
        </w:rPr>
        <w:lastRenderedPageBreak/>
        <w:t>8</w:t>
      </w:r>
      <w:r>
        <w:t>. El Ministerio Fiscal formuló sus alegaciones mediante escritos de 16 y 22 de junio de 2022, en relación con los recursos 6748-2021 y 6392-2021, respectivamente, con los mismos argumentos en relación con la queja principal planteada por los dos recurrentes. Considera que ninguno de los recursos presenta vicios o defectos perceptibles en lo que concierne a la legitimación del actor y el cómputo del plazo de treinta días (art. 44 LOTC) para interponer la demanda de amparo.</w:t>
      </w:r>
    </w:p>
    <w:p w14:paraId="7347022A" w14:textId="77777777" w:rsidR="003754FE" w:rsidRDefault="003754FE" w:rsidP="003754FE">
      <w:pPr>
        <w:pStyle w:val="TextoNormal"/>
      </w:pPr>
    </w:p>
    <w:p w14:paraId="2FF6FBCB" w14:textId="77777777" w:rsidR="003754FE" w:rsidRDefault="003754FE" w:rsidP="003754FE">
      <w:pPr>
        <w:pStyle w:val="TextoNormal"/>
      </w:pPr>
      <w:r>
        <w:t xml:space="preserve">No obstante, en relación con el recurso de amparo núm. 6748-2021, objeta, respecto el primero de los motivos de amparo, atinente a la supuesta vulneración del derecho a la tutela judicial efectiva en su vertiente de derecho a ser oído, el incumplimiento del requisito del art. 44.1 c) LOTC, que como es sabido exige que se haya denunciado formalmente en el proceso, si hubo oportunidad, la vulneración del derecho constitucional tan pronto como, una vez conocida, hubiera lugar para ello. Explica el Ministerio Fiscal que, en efecto, el demandante denuncia una restricción de su derecho fundamental que traería causa inicial y directa de la diligencia de ordenación de 22 de febrero de 2021 por la que, si bien no se rechazó su personación, se le advertía que “se le tiene por comparecido a los solos efectos de serle notificada la resolución del presente conflicto y sin perjuicio de su posible acceso a las actuaciones”. Pero pese al expreso ofrecimiento en el pie de recurso, no consta que el demandante impugnase dicha resolución, por lo que, habiéndose aquietado a ella, resulta oponible a la pretensión de amparo basada en sus consecuencias el incumplimiento del antedicho requisito procesal. Ese motivo de amparo sería, por tanto, inadmisible </w:t>
      </w:r>
      <w:r w:rsidRPr="003754FE">
        <w:rPr>
          <w:i/>
        </w:rPr>
        <w:t>ex</w:t>
      </w:r>
      <w:r>
        <w:t xml:space="preserve"> art. 50.1 a) LOTC, a contrario.</w:t>
      </w:r>
    </w:p>
    <w:p w14:paraId="2742DEFB" w14:textId="77777777" w:rsidR="003754FE" w:rsidRDefault="003754FE" w:rsidP="003754FE">
      <w:pPr>
        <w:pStyle w:val="TextoNormal"/>
      </w:pPr>
    </w:p>
    <w:p w14:paraId="0861B3F3" w14:textId="77777777" w:rsidR="003754FE" w:rsidRDefault="003754FE" w:rsidP="003754FE">
      <w:pPr>
        <w:pStyle w:val="TextoNormal"/>
      </w:pPr>
      <w:r>
        <w:t>En relación con la queja común en ambos recursos de amparo sobre la alegada lesión del derecho al juez ordinario predeterminado por la ley, art. 24.2 CE, explica de inicio que, a pesar de que el proceso penal no ha concluido, la invocación del derecho al juez ordinario predeterminado por la ley en los supuestos en los que se reclama la actuación de la jurisdicción ordinaria frente a la jurisdicción militar, constituye una de las excepciones a la “regla general que aboga por la inadmisibilidad de las pretensiones de amparo planteadas en procesos penales no concluidos [...] por decisión que se pronuncie sobre la condena o absolución, e incluso en los que la celebración del juicio oral no ha tenido lugar” (STC 27/2019, de 26 de febrero, FFJJ 4 y 5). Cita asimismo la STC 161/1995, de 7 de noviembre,  que recordaba que “frente a las sentencias de la Sala de Conflictos de Jurisdicción, no cabe recurso judicial alguno [...]. Por consiguiente, la cuestión de la competencia debe entenderse definitivamente resuelta, de ahí que, frente a estas sentencias, y tal como señala expresamente el art. 20 LOCJ, el único recurso que proceda sea el de amparo constitucional, lo que, por otra parte, es congruente con la propia naturaleza y firmeza de la infracción denunciada”.</w:t>
      </w:r>
    </w:p>
    <w:p w14:paraId="0A8A8203" w14:textId="77777777" w:rsidR="003754FE" w:rsidRDefault="003754FE" w:rsidP="003754FE">
      <w:pPr>
        <w:pStyle w:val="TextoNormal"/>
      </w:pPr>
    </w:p>
    <w:p w14:paraId="4230C943" w14:textId="77777777" w:rsidR="003754FE" w:rsidRDefault="003754FE" w:rsidP="003754FE">
      <w:pPr>
        <w:pStyle w:val="TextoNormal"/>
      </w:pPr>
      <w:r>
        <w:t xml:space="preserve">En relación con el recurso de amparo 6392-2021, explica el Ministerio Fiscal que, dado que el artículo 20 de la citada Ley Orgánica de conflictos jurisdiccionales dispone que contra “las sentencias del Tribunal de Conflictos de Jurisdicción no cabrá otro recurso que el de amparo constitucional, cuando proceda”, cabría dudar acerca de la posible necesidad de preservar la subsidiariedad de dicho recurso de amparo mediante un previo incidente de nulidad de actuaciones, promovido de acuerdo con el artículo 241 LOPJ. Sin embargo, cabe recordar que esta norma atribuye la legitimación para promover dicho incidente únicamente a “quienes sean parte legítima o hubieran debido serlo”, de modo que una interpretación literal y no extensiva de su texto excluiría a quien, como queda dicho, carece de tal condición </w:t>
      </w:r>
      <w:r>
        <w:lastRenderedPageBreak/>
        <w:t xml:space="preserve">en el procedimiento </w:t>
      </w:r>
      <w:r w:rsidRPr="003754FE">
        <w:rPr>
          <w:i/>
        </w:rPr>
        <w:t>a quo</w:t>
      </w:r>
      <w:r>
        <w:t>, por más que (o, probablemente, precisamente por cuya razón) la Ley Orgánica de conflictos jurisdiccionales haya establecido expresamente la legitimación para el amparo.</w:t>
      </w:r>
    </w:p>
    <w:p w14:paraId="4C56D6BA" w14:textId="77777777" w:rsidR="003754FE" w:rsidRDefault="003754FE" w:rsidP="003754FE">
      <w:pPr>
        <w:pStyle w:val="TextoNormal"/>
      </w:pPr>
    </w:p>
    <w:p w14:paraId="07F7788A" w14:textId="77777777" w:rsidR="003754FE" w:rsidRDefault="003754FE" w:rsidP="003754FE">
      <w:pPr>
        <w:pStyle w:val="TextoNormal"/>
      </w:pPr>
      <w:r>
        <w:t>Entiende la Fiscalía que no es exigible, por tanto, dicho incidente previo, no habiendo hallado en todo caso, en la jurisprudencia del Tribunal, ningún precedente en que se haya estimado necesaria su interposición, ni se haya hecho mención a su pertinencia.</w:t>
      </w:r>
    </w:p>
    <w:p w14:paraId="694D334C" w14:textId="77777777" w:rsidR="003754FE" w:rsidRDefault="003754FE" w:rsidP="003754FE">
      <w:pPr>
        <w:pStyle w:val="TextoNormal"/>
      </w:pPr>
    </w:p>
    <w:p w14:paraId="05F74141" w14:textId="77777777" w:rsidR="003754FE" w:rsidRDefault="003754FE" w:rsidP="003754FE">
      <w:pPr>
        <w:pStyle w:val="TextoNormal"/>
      </w:pPr>
      <w:r>
        <w:t>Y aclara que esta posición no es contradictoria con entender correctamente agotada la vía judicial en relación con el recurso de amparo 6748-2021, en el que el recurrente sí promovió un incidente de nulidad de actuaciones.</w:t>
      </w:r>
    </w:p>
    <w:p w14:paraId="0255806D" w14:textId="77777777" w:rsidR="003754FE" w:rsidRDefault="003754FE" w:rsidP="003754FE">
      <w:pPr>
        <w:pStyle w:val="TextoNormal"/>
      </w:pPr>
    </w:p>
    <w:p w14:paraId="5CAEB382" w14:textId="77777777" w:rsidR="003754FE" w:rsidRDefault="003754FE" w:rsidP="003754FE">
      <w:pPr>
        <w:pStyle w:val="TextoNormal"/>
      </w:pPr>
      <w:r>
        <w:t>Explica el Ministerio Fiscal que en ese supuesto el actor, pese a la falta de previsión legal al respecto, se había personado en el conflicto de jurisdicción, y la Sala del Tribunal Supremo no rechazó dicha personación, ni, una vez promovido el incidente de nulidad de actuaciones contra la sentencia recaída, cuestionó la legitimación del actor a tal efecto, si bien inadmitió dicho incidente por otras razones. En consecuencia, entiende que tal incidente de nulidad no cabe calificarlo de manifiestamente improcedente a la vista de la posición adoptada por la Sala especial del Tribunal Supremo.</w:t>
      </w:r>
    </w:p>
    <w:p w14:paraId="0EA10B25" w14:textId="77777777" w:rsidR="003754FE" w:rsidRDefault="003754FE" w:rsidP="003754FE">
      <w:pPr>
        <w:pStyle w:val="TextoNormal"/>
      </w:pPr>
    </w:p>
    <w:p w14:paraId="3CF12DE8" w14:textId="77777777" w:rsidR="003754FE" w:rsidRDefault="003754FE" w:rsidP="003754FE">
      <w:pPr>
        <w:pStyle w:val="TextoNormal"/>
      </w:pPr>
      <w:r>
        <w:t>En relación con el fondo solicita el otorgamiento del amparo por vulneración del derecho al juez ordinario predeterminado por la ley, art. 24.2 CE.</w:t>
      </w:r>
    </w:p>
    <w:p w14:paraId="04D20FAF" w14:textId="77777777" w:rsidR="003754FE" w:rsidRDefault="003754FE" w:rsidP="003754FE">
      <w:pPr>
        <w:pStyle w:val="TextoNormal"/>
      </w:pPr>
    </w:p>
    <w:p w14:paraId="15DF643A" w14:textId="77777777" w:rsidR="003754FE" w:rsidRDefault="003754FE" w:rsidP="003754FE">
      <w:pPr>
        <w:pStyle w:val="TextoNormal"/>
      </w:pPr>
      <w:r>
        <w:t>Considera que la fundamentación jurídica de la sentencia recurrida parte del reconocimiento expreso, con cita de la doctrina de la propia Sala de Conflictos de Jurisdicción, del carácter restrictivo con que ha delimitarse, en el orden penal y en tiempo de paz, el ejercicio de la jurisdicción militar al ámbito “estrictamente castrense”.</w:t>
      </w:r>
    </w:p>
    <w:p w14:paraId="53B3A7A2" w14:textId="77777777" w:rsidR="003754FE" w:rsidRDefault="003754FE" w:rsidP="003754FE">
      <w:pPr>
        <w:pStyle w:val="TextoNormal"/>
      </w:pPr>
    </w:p>
    <w:p w14:paraId="3097AA28" w14:textId="77777777" w:rsidR="003754FE" w:rsidRDefault="003754FE" w:rsidP="003754FE">
      <w:pPr>
        <w:pStyle w:val="TextoNormal"/>
      </w:pPr>
      <w:r>
        <w:t>Sin embargo, y con cita de la STC 60/1991, la sentencia recurrida se hace eco de las consideraciones generales relativas a la delimitación de lo estrictamente castrense que el Tribunal Constitucional formula en ella, —el carácter militar del delito, los bienes y principios o valores militares protegidos, y la condición de militar del sujeto activo— y entiende que “el que resulta menos esclarecedor es este último”, ya que no todos los delitos tipificados en el Código penal militar lo son por la condición militar de su autor, concluyendo que “los tres criterios que maneja la doctrina constitucional citada pueden reducirse a uno solo, conforme al cual, el ámbito de lo ‘estrictamente castrense’, en el orden penal, debe identificarse con la protección de los bienes jurídicos militares que resultan necesarios. para que los ejércitos cumplan las misiones que les asigna el art. 8 CE”.</w:t>
      </w:r>
    </w:p>
    <w:p w14:paraId="3252236B" w14:textId="77777777" w:rsidR="003754FE" w:rsidRDefault="003754FE" w:rsidP="003754FE">
      <w:pPr>
        <w:pStyle w:val="TextoNormal"/>
      </w:pPr>
    </w:p>
    <w:p w14:paraId="729818E6" w14:textId="77777777" w:rsidR="003754FE" w:rsidRDefault="003754FE" w:rsidP="003754FE">
      <w:pPr>
        <w:pStyle w:val="TextoNormal"/>
      </w:pPr>
      <w:r>
        <w:t xml:space="preserve">Entiende el Ministerio Fiscal, en relación con este punto, que los recurrentes en amparo llevan razón: la argumentación que se acaba de reproducir no solo no se ajusta a la doctrina constitucional que paradójicamente invoca, sino que llega a una conclusión manifiestamente incompatible con ella. De entrada, entiende que si el Tribunal Constitucional distinguió tres criterios —claramente cumulativos y convergentes, no alternativos— a la hora de delimitar lo “estrictamente castrense” en el marco del art. 117.5 CE, no fue seguramente pensando en que por vía interpretativa pudiera llegarse a la paradójica conclusión de que dichos tres criterios puedan reducirse a uno solo. Pero lo verdaderamente sustancial es que el criterio único al que conduce esa reducción cristaliza en una fórmula que, al menos en su literalidad, reabre </w:t>
      </w:r>
      <w:r>
        <w:lastRenderedPageBreak/>
        <w:t>la puerta a un entendimiento de la jurisdicción militar netamente incompatible con la que el Tribunal (y de forma más intensa aún el Tribunal Europeo de Derechos Humanos) trataban y tratan de evitar.</w:t>
      </w:r>
    </w:p>
    <w:p w14:paraId="327CEAFF" w14:textId="77777777" w:rsidR="003754FE" w:rsidRDefault="003754FE" w:rsidP="003754FE">
      <w:pPr>
        <w:pStyle w:val="TextoNormal"/>
      </w:pPr>
    </w:p>
    <w:p w14:paraId="53F929DD" w14:textId="77777777" w:rsidR="003754FE" w:rsidRDefault="003754FE" w:rsidP="003754FE">
      <w:pPr>
        <w:pStyle w:val="TextoNormal"/>
      </w:pPr>
      <w:r>
        <w:t>Identificar por reducción el ámbito de lo estrictamente castrense con la tutela de los bienes jurídicos militares, y —sobre todo— dejando de lado la condición civil o militar del justiciable, no solo chocaría de frente con las serias reservas que, como cuestión crucial, opone el tribunal europeo al enjuiciamiento no puntualmente justificado de los civiles por la jurisdicción castrense, sino que podría incluso reabrir un portillo a la visión hipertrófica de la jurisdicción militar que explícitamente trataba de conjurar la STC 60/1991 en aras de una transformación radical de su configuración y alcance.</w:t>
      </w:r>
    </w:p>
    <w:p w14:paraId="46C2C310" w14:textId="77777777" w:rsidR="003754FE" w:rsidRDefault="003754FE" w:rsidP="003754FE">
      <w:pPr>
        <w:pStyle w:val="TextoNormal"/>
      </w:pPr>
    </w:p>
    <w:p w14:paraId="1283B44B" w14:textId="77777777" w:rsidR="003754FE" w:rsidRDefault="003754FE" w:rsidP="003754FE">
      <w:pPr>
        <w:pStyle w:val="TextoNormal"/>
      </w:pPr>
      <w:r>
        <w:t>Recuerda el Ministerio Fiscal que el esfuerzo legislativo acometido en la elaboración y promulgación del Código penal militar de 1985 e intensificado en su sustitución por el de 2015, estaba orientado a la restricción del ámbito material de tipicidad de los delitos militares, y a la no menos relevante exigencia de contracción de la esfera subjetiva de la justicia militar.</w:t>
      </w:r>
    </w:p>
    <w:p w14:paraId="141A141D" w14:textId="77777777" w:rsidR="003754FE" w:rsidRDefault="003754FE" w:rsidP="003754FE">
      <w:pPr>
        <w:pStyle w:val="TextoNormal"/>
      </w:pPr>
    </w:p>
    <w:p w14:paraId="7DD85A0E" w14:textId="77777777" w:rsidR="003754FE" w:rsidRDefault="003754FE" w:rsidP="003754FE">
      <w:pPr>
        <w:pStyle w:val="TextoNormal"/>
      </w:pPr>
      <w:r>
        <w:t>Aclara el Ministerio Fiscal que la sentencia recurrida basa su decisión en otro argumento, de carácter práctico-procesal, cuando afirma que para resolver el conflicto ahora planteado, “debe recordarse qué fundamento tiene la atribución de conocimiento de los delitos conexos”. Fundamento que —concluye, citando la sentencia de la misma Sala 2/2014, de 4 de diciembre— obedece a “razones de unificación procedimental y de no quebrar el principio de continencia de la causa”. Finalmente es, por tanto, esa exigencia de que no se rompa la continencia de la causa, la que viene a determinar la concreta aplicación que el Tribunal realiza del art. 14 LOCOJM.</w:t>
      </w:r>
    </w:p>
    <w:p w14:paraId="5A9DDE98" w14:textId="77777777" w:rsidR="003754FE" w:rsidRDefault="003754FE" w:rsidP="003754FE">
      <w:pPr>
        <w:pStyle w:val="TextoNormal"/>
      </w:pPr>
    </w:p>
    <w:p w14:paraId="78222E3E" w14:textId="77777777" w:rsidR="003754FE" w:rsidRDefault="003754FE" w:rsidP="003754FE">
      <w:pPr>
        <w:pStyle w:val="TextoNormal"/>
      </w:pPr>
      <w:r>
        <w:t>Ahora bien, esa concreta motivación basada en el presupuesto de la conexidad de los delitos investigados y la indivisibilidad de la continencia de la causa, que, más allá de la definición —o redefinición— de conceptos generales, aboca a la atribución de todos ellos a la jurisdicción militar, tampoco se ajusta, a juicio del fiscal, a las exigencias de la doctrina constitucional y del Tribunal Europeo de Derechos Humanos.</w:t>
      </w:r>
    </w:p>
    <w:p w14:paraId="21715840" w14:textId="77777777" w:rsidR="003754FE" w:rsidRDefault="003754FE" w:rsidP="003754FE">
      <w:pPr>
        <w:pStyle w:val="TextoNormal"/>
      </w:pPr>
    </w:p>
    <w:p w14:paraId="690D560C" w14:textId="77777777" w:rsidR="003754FE" w:rsidRDefault="003754FE" w:rsidP="003754FE">
      <w:pPr>
        <w:pStyle w:val="TextoNormal"/>
      </w:pPr>
      <w:r>
        <w:t>Además, entiende el Ministerio Fiscal que la sentencia recurrida aplica una norma de conexidad —el art. 14 LOCOJM— partiendo de un doble presupuesto: (i) que tal conexidad existe en el plano fáctico y en el jurídico-penal; y (ii) que concurre también la razón de ser —o fundamento— de la norma aplicada, consistente en evitar la ruptura de la continencia de la causa, producida por la resolución del juez de instrucción de Madrid. A ello añade dos argumentos complementarios: que las conductas investigadas “lesionan esencialmente el bien jurídico de la correcta administración de los fondos públicos presupuestados para el Ministerio de Defensa”, y que dichas conductas podrían “no solo ser considerados como delitos comunes en relación de conexidad medial con los delitos contra la hacienda militar cometidos por militares, sino que también podrían calificarse como conductas constitutivas de cooperación necesaria para la ejecución de aquellos delitos militares”.</w:t>
      </w:r>
    </w:p>
    <w:p w14:paraId="1BC775C5" w14:textId="77777777" w:rsidR="003754FE" w:rsidRDefault="003754FE" w:rsidP="003754FE">
      <w:pPr>
        <w:pStyle w:val="TextoNormal"/>
      </w:pPr>
    </w:p>
    <w:p w14:paraId="663A59A1" w14:textId="77777777" w:rsidR="003754FE" w:rsidRDefault="003754FE" w:rsidP="003754FE">
      <w:pPr>
        <w:pStyle w:val="TextoNormal"/>
      </w:pPr>
      <w:r>
        <w:t xml:space="preserve">Pues bien, en cuanto a la conexidad de los hechos —y por tanto de los delitos— investigados en función de una relación medial entre ellos (arts. 17.2.3 LECrim y 15 LOCOJM), la Fiscalía entiende que la motivación de la sentencia recurrida no se ajusta al estándar </w:t>
      </w:r>
      <w:r>
        <w:lastRenderedPageBreak/>
        <w:t>requerido por la jurisprudencia de este tribunal y del Tribunal Europeo de Derechos Humanos, ni desde el punto de vista de la debida y excepcional justificación del enjuiciamiento de civiles por un tribunal militar, ni, en cuanto ha de tenerse en cuenta para valorar los factores concurrentes, del interés constitucional que supone evitar cualquier complicación no imprescindible de un proceso penal que pueda generar —o agravar— una excesiva complejidad o dilación.</w:t>
      </w:r>
    </w:p>
    <w:p w14:paraId="3520248E" w14:textId="77777777" w:rsidR="003754FE" w:rsidRDefault="003754FE" w:rsidP="003754FE">
      <w:pPr>
        <w:pStyle w:val="TextoNormal"/>
      </w:pPr>
    </w:p>
    <w:p w14:paraId="5E5A394E" w14:textId="3E6FD266" w:rsidR="003754FE" w:rsidRDefault="003754FE" w:rsidP="003754FE">
      <w:pPr>
        <w:pStyle w:val="TextoNormal"/>
      </w:pPr>
      <w:r>
        <w:t>En cuanto a los efectos del otorgamiento del amparo, el Ministerio Fiscal no considera asumible la pretensión de que el Tribunal Constitucional aborde directamente la tarea de decidir y decretar, mediante la aplicación de las normas procesales pertinentes, a qué órgano judicial se atribuye la jurisdicción para conocer del procedimiento controvertido. En su opinión, el restablecimiento del demandante en el pleno ejercicio de su derecho viene dado por la declaración de nulidad de la sentencia de 12 de julio de 2021 dictada por la Sala de Conflictos de Jurisdicción del Tribunal Supremo y la providencia de 8 de septiembre siguiente que inadmitió el incidente de nulidad de actuaciones promovido frente a ella, debiéndose retrotraer las actuaciones al momento inmediatamente anterior al de dictarse dicha sentencia, a fin de que la referida Sala dicte otra plenamente respetuosa con el derecho fundamental del recurrente.</w:t>
      </w:r>
    </w:p>
    <w:p w14:paraId="61B9E7D7" w14:textId="77777777" w:rsidR="003754FE" w:rsidRDefault="003754FE" w:rsidP="003754FE">
      <w:pPr>
        <w:pStyle w:val="TextoNormal"/>
      </w:pPr>
    </w:p>
    <w:p w14:paraId="0285B453" w14:textId="2D95E34C" w:rsidR="003754FE" w:rsidRDefault="003754FE" w:rsidP="003754FE">
      <w:pPr>
        <w:pStyle w:val="TextoNormal"/>
      </w:pPr>
      <w:r w:rsidRPr="003754FE">
        <w:rPr>
          <w:rStyle w:val="NumeroAFNegritaCaracter"/>
        </w:rPr>
        <w:t>9</w:t>
      </w:r>
      <w:r>
        <w:t>. Mediante el ATC 81/2022, de 9 de mayo, una vez oídas las partes en la tramitación del recurso de amparo núm. 6748-2021, el Tribunal acordó la suspensión cautelar de la sentencia impugnada. Por nuevo auto —ATC 104/2022, de 27 de junio— se acordó en la tramitación del presente recurso de amparo (núm. 6392-2021), mantener dicha suspensión cautelar.</w:t>
      </w:r>
    </w:p>
    <w:p w14:paraId="5CD8CA98" w14:textId="77777777" w:rsidR="003754FE" w:rsidRDefault="003754FE" w:rsidP="003754FE">
      <w:pPr>
        <w:pStyle w:val="TextoNormal"/>
      </w:pPr>
    </w:p>
    <w:p w14:paraId="6BF13497" w14:textId="5F565182" w:rsidR="003754FE" w:rsidRDefault="003754FE" w:rsidP="003754FE">
      <w:pPr>
        <w:pStyle w:val="TextoNormal"/>
      </w:pPr>
      <w:r w:rsidRPr="003754FE">
        <w:rPr>
          <w:rStyle w:val="NumeroAFNegritaCaracter"/>
        </w:rPr>
        <w:t>10</w:t>
      </w:r>
      <w:r>
        <w:t>. Mediante providencia de 10 de octubre de 2022, la Sala Primera acordó conceder un plazo de diez días para que las partes personadas, conforme al art. 83 LOTC, alegaran lo oportuno en cuanto a la posible acumulación al recurso de amparo núm. 6392-2021, del recurso de amparo núm. 6748-2021. Por escritos de 19 y de 28 de octubre de 2022, tanto las partes recurrentes como el Ministerio Fiscal mostraron su conformidad a la acumulación de los recursos.</w:t>
      </w:r>
    </w:p>
    <w:p w14:paraId="4A6E44C3" w14:textId="77777777" w:rsidR="003754FE" w:rsidRDefault="003754FE" w:rsidP="003754FE">
      <w:pPr>
        <w:pStyle w:val="TextoNormal"/>
      </w:pPr>
    </w:p>
    <w:p w14:paraId="50160E06" w14:textId="7924E454" w:rsidR="003754FE" w:rsidRDefault="003754FE" w:rsidP="003754FE">
      <w:pPr>
        <w:pStyle w:val="TextoNormal"/>
      </w:pPr>
      <w:r w:rsidRPr="003754FE">
        <w:rPr>
          <w:rStyle w:val="NumeroAFNegritaCaracter"/>
        </w:rPr>
        <w:t>11</w:t>
      </w:r>
      <w:r>
        <w:t>. Mediante el ATC 144/2022, de 14 de noviembre, la Sala Primera, vista la conexión de ambos recursos de amparo acordó la acumulación del recurso de amparo núm. 6748-2021 al recurso de amparo núm. 6392-2021.</w:t>
      </w:r>
    </w:p>
    <w:p w14:paraId="3678C137" w14:textId="77777777" w:rsidR="003754FE" w:rsidRDefault="003754FE" w:rsidP="003754FE">
      <w:pPr>
        <w:pStyle w:val="TextoNormal"/>
      </w:pPr>
    </w:p>
    <w:p w14:paraId="7B27E981" w14:textId="42069883" w:rsidR="003754FE" w:rsidRDefault="003754FE" w:rsidP="003754FE">
      <w:pPr>
        <w:pStyle w:val="TextoNormal"/>
      </w:pPr>
      <w:r w:rsidRPr="003754FE">
        <w:rPr>
          <w:rStyle w:val="NumeroAFNegritaCaracter"/>
        </w:rPr>
        <w:t>12</w:t>
      </w:r>
      <w:r>
        <w:t>. En cumplimiento de lo previsto en el acuerdo de 17 de enero de 2023 (publicado en el “Boletín Oficial del Estado” núm. 16, de 19 de enero de 2023) adoptado por el Pleno del Tribunal Constitucional tras su renovación, correspondió la ponencia del presente recurso al magistrado don Juan Carlos Campo Moreno, conforme al orden de antigüedad y mayor edad de los anteriores y de los nuevos integrantes del colegio de magistrados (art. 3.2) del citado acuerdo.</w:t>
      </w:r>
    </w:p>
    <w:p w14:paraId="66A26858" w14:textId="77777777" w:rsidR="003754FE" w:rsidRDefault="003754FE" w:rsidP="003754FE">
      <w:pPr>
        <w:pStyle w:val="TextoNormal"/>
      </w:pPr>
    </w:p>
    <w:p w14:paraId="69C37002" w14:textId="4BF18DD3" w:rsidR="003754FE" w:rsidRDefault="003754FE" w:rsidP="003754FE">
      <w:pPr>
        <w:pStyle w:val="TextoNormal"/>
      </w:pPr>
      <w:r w:rsidRPr="003754FE">
        <w:rPr>
          <w:rStyle w:val="NumeroAFNegritaCaracter"/>
        </w:rPr>
        <w:t>13</w:t>
      </w:r>
      <w:r>
        <w:t>. La Sala Primera, en sesión celebrada el día 6 de mayo de 2024, acordó proponer la avocación al Pleno del presente recurso de amparo, de conformidad con lo dispuesto en el art. 10.1 n) LOTC. El Pleno, en su reunión de 21 de mayo de 2024 y conforme establece el art. 10.1 n) LOTC acordó recabar para sí el conocimiento del recurso de amparo.</w:t>
      </w:r>
    </w:p>
    <w:p w14:paraId="3B345354" w14:textId="77777777" w:rsidR="003754FE" w:rsidRDefault="003754FE" w:rsidP="003754FE">
      <w:pPr>
        <w:pStyle w:val="TextoNormal"/>
      </w:pPr>
    </w:p>
    <w:p w14:paraId="42716575" w14:textId="134E14B2" w:rsidR="003754FE" w:rsidRDefault="003754FE" w:rsidP="003754FE">
      <w:pPr>
        <w:pStyle w:val="TextoNormal"/>
      </w:pPr>
      <w:r w:rsidRPr="003754FE">
        <w:rPr>
          <w:rStyle w:val="NumeroAFNegritaCaracter"/>
        </w:rPr>
        <w:t>14</w:t>
      </w:r>
      <w:r>
        <w:t>. Por providencia de 22 de octubre de 2024, se fijó ese mismo día para deliberación y votación de la presente sentencia.</w:t>
      </w:r>
    </w:p>
    <w:p w14:paraId="0A052701" w14:textId="77777777" w:rsidR="003754FE" w:rsidRDefault="003754FE" w:rsidP="003754FE">
      <w:pPr>
        <w:pStyle w:val="TextoNormal"/>
      </w:pPr>
    </w:p>
    <w:p w14:paraId="5258059F" w14:textId="77777777" w:rsidR="003754FE" w:rsidRDefault="003754FE" w:rsidP="003754FE">
      <w:pPr>
        <w:pStyle w:val="TextoNormalNegritaCentrado"/>
        <w:keepNext/>
      </w:pPr>
      <w:r>
        <w:t>II. Fundamentos jurídicos</w:t>
      </w:r>
    </w:p>
    <w:p w14:paraId="1B29A630" w14:textId="27D931CB" w:rsidR="003754FE" w:rsidRDefault="003754FE" w:rsidP="003754FE">
      <w:pPr>
        <w:pStyle w:val="TextoNormalNegritaCentrado"/>
        <w:keepNext/>
      </w:pPr>
    </w:p>
    <w:p w14:paraId="486EDE3F" w14:textId="77777777" w:rsidR="003754FE" w:rsidRDefault="003754FE" w:rsidP="003754FE">
      <w:pPr>
        <w:pStyle w:val="TextoNormal"/>
      </w:pPr>
      <w:r w:rsidRPr="003754FE">
        <w:rPr>
          <w:rStyle w:val="NumeroAFNegritaCaracter"/>
        </w:rPr>
        <w:t>1</w:t>
      </w:r>
      <w:r>
        <w:t xml:space="preserve">. </w:t>
      </w:r>
      <w:r w:rsidRPr="003754FE">
        <w:rPr>
          <w:i/>
        </w:rPr>
        <w:t>Objeto de los recursos y pretensiones de las partes</w:t>
      </w:r>
    </w:p>
    <w:p w14:paraId="1EC223A1" w14:textId="77777777" w:rsidR="003754FE" w:rsidRDefault="003754FE" w:rsidP="003754FE">
      <w:pPr>
        <w:pStyle w:val="TextoNormal"/>
      </w:pPr>
    </w:p>
    <w:p w14:paraId="14F942C7" w14:textId="77777777" w:rsidR="003754FE" w:rsidRDefault="003754FE" w:rsidP="003754FE">
      <w:pPr>
        <w:pStyle w:val="TextoNormal"/>
      </w:pPr>
      <w:r>
        <w:t>El objeto de los presentes recursos de amparo es la sentencia 2/2021, de 12 de julio, de la Sala de Conflictos de Jurisdicción, que atribuye a la jurisdicción militar el enjuiciamiento de los hechos imputados, entre otros, a los recurrentes, y en el recurso de amparo núm. 6748-2021, es también objeto de impugnación la providencia del mismo órgano judicial por la que se inadmitió el incidente de nulidad planteado por el recurrente don Raúl López López.</w:t>
      </w:r>
    </w:p>
    <w:p w14:paraId="06E3020F" w14:textId="77777777" w:rsidR="003754FE" w:rsidRDefault="003754FE" w:rsidP="003754FE">
      <w:pPr>
        <w:pStyle w:val="TextoNormal"/>
      </w:pPr>
    </w:p>
    <w:p w14:paraId="6D86C9E3" w14:textId="77777777" w:rsidR="003754FE" w:rsidRDefault="003754FE" w:rsidP="003754FE">
      <w:pPr>
        <w:pStyle w:val="TextoNormal"/>
      </w:pPr>
      <w:r>
        <w:t>Como ha quedado reflejado con más detalle en los antecedentes, los recurrentes consideran lesionado su derecho al juez ordinario predeterminado por la ley (art. 24.2 CE) al haber sido declarada competente la jurisdicción militar para juzgar los hechos delictivos que se les imputa a pesar de su condición de civiles. Don Raúl López López en el recurso núm. 6748-2021 alega además la violación de su derecho a la tutela judicial efectiva en su vertiente a ser oído (art. 24 CE) al no dar la Sala de Conflictos de Jurisdicción respuesta expresa en la sentencia a las alegaciones formuladas por el recurrente en la tramitación del conflicto. Se queja, esencialmente, de que no pudo ser parte en el procedimiento ante la Sala de Conflictos de Jurisdicción.</w:t>
      </w:r>
    </w:p>
    <w:p w14:paraId="6A1AC42F" w14:textId="77777777" w:rsidR="003754FE" w:rsidRDefault="003754FE" w:rsidP="003754FE">
      <w:pPr>
        <w:pStyle w:val="TextoNormal"/>
      </w:pPr>
    </w:p>
    <w:p w14:paraId="7CC44A52" w14:textId="1854B5CA" w:rsidR="003754FE" w:rsidRDefault="003754FE" w:rsidP="003754FE">
      <w:pPr>
        <w:pStyle w:val="TextoNormal"/>
      </w:pPr>
      <w:r>
        <w:t>El Ministerio Fiscal por su parte, solicita la inadmisión de esta última queja por falta de agotamiento de los recursos previos y la estimación de las quejas planteadas en ambos recursos de amparo en relación con el derecho al juez ordinario predeterminado por la ley.</w:t>
      </w:r>
    </w:p>
    <w:p w14:paraId="0AAE73BC" w14:textId="77777777" w:rsidR="003754FE" w:rsidRDefault="003754FE" w:rsidP="003754FE">
      <w:pPr>
        <w:pStyle w:val="TextoNormal"/>
      </w:pPr>
    </w:p>
    <w:p w14:paraId="125189D2" w14:textId="77777777" w:rsidR="003754FE" w:rsidRDefault="003754FE" w:rsidP="003754FE">
      <w:pPr>
        <w:pStyle w:val="TextoNormal"/>
      </w:pPr>
      <w:r w:rsidRPr="003754FE">
        <w:rPr>
          <w:rStyle w:val="NumeroAFNegritaCaracter"/>
        </w:rPr>
        <w:t>2</w:t>
      </w:r>
      <w:r>
        <w:t xml:space="preserve">. </w:t>
      </w:r>
      <w:r w:rsidRPr="003754FE">
        <w:rPr>
          <w:i/>
        </w:rPr>
        <w:t>Óbices procesales</w:t>
      </w:r>
    </w:p>
    <w:p w14:paraId="55650DFE" w14:textId="77777777" w:rsidR="003754FE" w:rsidRDefault="003754FE" w:rsidP="003754FE">
      <w:pPr>
        <w:pStyle w:val="TextoNormal"/>
      </w:pPr>
    </w:p>
    <w:p w14:paraId="0B528E97" w14:textId="77777777" w:rsidR="003754FE" w:rsidRDefault="003754FE" w:rsidP="003754FE">
      <w:pPr>
        <w:pStyle w:val="TextoNormal"/>
      </w:pPr>
      <w:r>
        <w:t>a) Como ha quedado expuesto en los antecedentes con más detalle, el Ministerio Fiscal solicita la inadmisión de la queja planteada por el recurrente Don Raúl López López en el recurso núm. 6748-2021 relativa a la violación de su derecho a la tutela judicial efectiva (art. 24 CE) en su vertiente de derecho a ser oído al no dar la Sala de Conflictos de Jurisdicción respuesta expresa en la sentencia a las alegaciones formuladas por el recurrente en el conflicto.</w:t>
      </w:r>
    </w:p>
    <w:p w14:paraId="7F5361EF" w14:textId="77777777" w:rsidR="003754FE" w:rsidRDefault="003754FE" w:rsidP="003754FE">
      <w:pPr>
        <w:pStyle w:val="TextoNormal"/>
      </w:pPr>
    </w:p>
    <w:p w14:paraId="580A0FF7" w14:textId="77777777" w:rsidR="003754FE" w:rsidRDefault="003754FE" w:rsidP="003754FE">
      <w:pPr>
        <w:pStyle w:val="TextoNormal"/>
      </w:pPr>
      <w:r>
        <w:t>Explica el Ministerio Fiscal que, en efecto, el demandante denuncia una restricción de su derecho fundamental que traería causa inicial y directa de la diligencia de ordenación de 22 de febrero de 2021 por la que, si bien no se rechazó su personación, se le advertía que “se le tiene por comparecido a los solos efectos de serle notificada la resolución del presente conflicto y sin perjuicio de su posible acceso a las actuaciones”. Pero pese al expreso ofrecimiento en el pie de recurso, no consta que el demandante impugnase dicha resolución, por lo que, habiéndose aquietado a ella, resulta oponible a la pretensión de amparo basada en sus consecuencias el incumplimiento del antedicho requisito procesal. Ese motivo de amparo sería, por tanto, inadmisible conforme al art. 50.1 a) LOTC.</w:t>
      </w:r>
    </w:p>
    <w:p w14:paraId="20A7E6FB" w14:textId="77777777" w:rsidR="003754FE" w:rsidRDefault="003754FE" w:rsidP="003754FE">
      <w:pPr>
        <w:pStyle w:val="TextoNormal"/>
      </w:pPr>
    </w:p>
    <w:p w14:paraId="07F400EC" w14:textId="77777777" w:rsidR="003754FE" w:rsidRDefault="003754FE" w:rsidP="003754FE">
      <w:pPr>
        <w:pStyle w:val="TextoNormal"/>
      </w:pPr>
      <w:r>
        <w:lastRenderedPageBreak/>
        <w:t>Es doctrina consolidada de este tribunal, por todas, STC 172/2023, de 11 de diciembre, FJ 2, que el presupuesto del agotamiento de la vía judicial previa “no resulta un mero formalismo retórico o inútil, pues tiene por finalidad, por una parte, que los órganos judiciales tengan la oportunidad de pronunciarse sobre la violación constitucional, haciendo posible el respeto y el restablecimiento del derecho constitucional en sede jurisdiccional ordinaria y, por otra, preservar el carácter subsidiario de la jurisdicción constitucional de amparo”. Por lo tanto, “su falta impediría a este tribunal entrar a valorar en cualquier caso el fondo de los motivos de amparo, y ello recordando que ‘los defectos insubsanables de los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abordarse de nuevo o reconsiderarse en la sentencia, de oficio o a instancia de parte, dando lugar a un pronunciamiento de inadmisión por la falta de tales presupuestos, sin que para ello constituya obstáculo el carácter tasado de los pronunciamientos previstos en el artículo 53 LOTC (por todas, STC 69/2004, de 19 de abril, FJ 3, o SSTC 89/2011, de 6 de junio, FJ 2, y 174/2011 de 7 de noviembre, FJ 2)’ (STC 27/2019, de 26 de febrero, FJ 2)”.</w:t>
      </w:r>
    </w:p>
    <w:p w14:paraId="7E1B7383" w14:textId="77777777" w:rsidR="003754FE" w:rsidRDefault="003754FE" w:rsidP="003754FE">
      <w:pPr>
        <w:pStyle w:val="TextoNormal"/>
      </w:pPr>
    </w:p>
    <w:p w14:paraId="4909C4E7" w14:textId="77777777" w:rsidR="003754FE" w:rsidRDefault="003754FE" w:rsidP="003754FE">
      <w:pPr>
        <w:pStyle w:val="TextoNormal"/>
      </w:pPr>
      <w:r>
        <w:t>Por lo tanto, en relación con la queja señalada, cabe apreciar que el recurrente no agotó debidamente los medios de impugnación que tenía a su alcance, al no recurrir la diligencia de ordenación de 22 de febrero de 2021 de la Sala de Conflictos de Jurisdicción que no accedió a su personación. Más aun cuando la propia providencia ofrecía en su pie de recurso la posibilidad de ser impugnada.</w:t>
      </w:r>
    </w:p>
    <w:p w14:paraId="51BBBFC9" w14:textId="77777777" w:rsidR="003754FE" w:rsidRDefault="003754FE" w:rsidP="003754FE">
      <w:pPr>
        <w:pStyle w:val="TextoNormal"/>
      </w:pPr>
    </w:p>
    <w:p w14:paraId="22D475AD" w14:textId="77777777" w:rsidR="003754FE" w:rsidRDefault="003754FE" w:rsidP="003754FE">
      <w:pPr>
        <w:pStyle w:val="TextoNormal"/>
      </w:pPr>
      <w:r>
        <w:t>b) Por otra parte, se considera oportuno detenerse, como ha puesto de manifiesto el Ministerio Fiscal en sus alegaciones, en cómo los dos recurrentes han agotado correctamente la vía judicial previa en relación con la queja principal de sus demandas: el derecho al juez ordinario predeterminado por la ley (art. 24.2 CE).</w:t>
      </w:r>
    </w:p>
    <w:p w14:paraId="35F1F235" w14:textId="77777777" w:rsidR="003754FE" w:rsidRDefault="003754FE" w:rsidP="003754FE">
      <w:pPr>
        <w:pStyle w:val="TextoNormal"/>
      </w:pPr>
    </w:p>
    <w:p w14:paraId="49E4ED91" w14:textId="77777777" w:rsidR="003754FE" w:rsidRDefault="003754FE" w:rsidP="003754FE">
      <w:pPr>
        <w:pStyle w:val="TextoNormal"/>
      </w:pPr>
      <w:r>
        <w:t>Mientras el recurrente del recurso de amparo 6392-2021 interpuso directamente recurso de amparo frente a la sentencia dictada por la Sala de Conflictos de Jurisdicción Supremo, el recurrente en el recurso de amparo 6748-2021, interpuso previamente un incidente de nulidad contra la citada resolución. En ambos casos, este tribunal debe considerar que el agotamiento de la vía judicial de ambos recurrentes, no fue incorrecto.</w:t>
      </w:r>
    </w:p>
    <w:p w14:paraId="738A90AF" w14:textId="77777777" w:rsidR="003754FE" w:rsidRDefault="003754FE" w:rsidP="003754FE">
      <w:pPr>
        <w:pStyle w:val="TextoNormal"/>
      </w:pPr>
    </w:p>
    <w:p w14:paraId="5281FBC2" w14:textId="77777777" w:rsidR="003754FE" w:rsidRDefault="003754FE" w:rsidP="003754FE">
      <w:pPr>
        <w:pStyle w:val="TextoNormal"/>
      </w:pPr>
      <w:r>
        <w:t>La peculiaridad del procedimiento de resolución de los conflictos de jurisdicción avala la postura de ambos recurrentes en relación al agotamiento de la vía judicial previa al recurso de amparo.</w:t>
      </w:r>
    </w:p>
    <w:p w14:paraId="3881A407" w14:textId="77777777" w:rsidR="003754FE" w:rsidRDefault="003754FE" w:rsidP="003754FE">
      <w:pPr>
        <w:pStyle w:val="TextoNormal"/>
      </w:pPr>
    </w:p>
    <w:p w14:paraId="1DCA58E0" w14:textId="77777777" w:rsidR="003754FE" w:rsidRDefault="003754FE" w:rsidP="003754FE">
      <w:pPr>
        <w:pStyle w:val="TextoNormal"/>
      </w:pPr>
      <w:r>
        <w:t xml:space="preserve">Por un lado, el art. 20 LOCJ dispone que “contra las sentencias del Tribunal de Conflictos de Jurisdicción no cabrá otro recurso que el de amparo constitucional, cuando proceda”. El recurrente del recurso núm. 6748-2021 intentó personarse en el procedimiento ante la Sala de Conflictos de Jurisdicción por lo que cabría entender que el recurrente podría legítimamente dudar acerca de la posible necesidad de preservar la subsidiariedad de dicho recurso de amparo mediante un previo incidente de nulidad de actuaciones, promovido de acuerdo con el art. 241 LOPJ, que otorga legitimación para promover dicho incidente únicamente a “quienes sean parte legítima o hubieran debido serlo”. Don Raúl López López entendió que debía haber sido parte y, por ello, planteó el incidente de nulidad frente a la sentencia </w:t>
      </w:r>
      <w:r>
        <w:lastRenderedPageBreak/>
        <w:t>resolutoria del conflicto. Tal actuación, sin perjuicio de su mayor o menor acierto técnico, no puede considerarse como manifiestamente improcedente en la interpretación del agotamiento de los recurso previos al recurso de amparo.</w:t>
      </w:r>
    </w:p>
    <w:p w14:paraId="4741B07F" w14:textId="77777777" w:rsidR="003754FE" w:rsidRDefault="003754FE" w:rsidP="003754FE">
      <w:pPr>
        <w:pStyle w:val="TextoNormal"/>
      </w:pPr>
    </w:p>
    <w:p w14:paraId="4B3679CB" w14:textId="77777777" w:rsidR="003754FE" w:rsidRDefault="003754FE" w:rsidP="003754FE">
      <w:pPr>
        <w:pStyle w:val="TextoNormal"/>
      </w:pPr>
      <w:r>
        <w:t>Por su parte, don Rafael Casqueiro Álvarez, recurso de amparo núm. 6392-2021, realizó una interpretación literal del citado art. 20 LOCJ y no planteó incidente de nulidad sino, directamente recurso de amparo como le sugería el citado artículo.</w:t>
      </w:r>
    </w:p>
    <w:p w14:paraId="742787A9" w14:textId="77777777" w:rsidR="003754FE" w:rsidRDefault="003754FE" w:rsidP="003754FE">
      <w:pPr>
        <w:pStyle w:val="TextoNormal"/>
      </w:pPr>
    </w:p>
    <w:p w14:paraId="04C90DEF" w14:textId="48E33D7C" w:rsidR="003754FE" w:rsidRDefault="003754FE" w:rsidP="003754FE">
      <w:pPr>
        <w:pStyle w:val="TextoNormal"/>
      </w:pPr>
      <w:r>
        <w:t xml:space="preserve">Como se ha adelantado, ambas actuaciones procesales deben ser consideradas apropiadas dada la peculiaridad del proceso </w:t>
      </w:r>
      <w:r w:rsidRPr="003754FE">
        <w:rPr>
          <w:i/>
        </w:rPr>
        <w:t>a quo</w:t>
      </w:r>
      <w:r>
        <w:t>. Esta conclusión viene avalada por la doctrina de este tribunal sobre el correcto agotamiento de los recursos previos al recurso de amparo, por todas STC 112/2019, de 3 de octubre, FJ 3, donde afirmamos que el requisito de agotar la vía judicial antes de interponer el recurso de amparo, “ha de ser interpretado de manera flexible y finalista” y “no obliga a utilizar en cada caso todos los medios de impugnación posibles, sino tan solo aquellos normales que, de manera clara, se manifiestan como ejercitables, de forma que no quepa duda respecto de la procedencia y la posibilidad real y efectiva de interponer el recurso […] sin necesidad de superar unas dificultades interpretativas mayores de lo exigible razonablemente”.</w:t>
      </w:r>
    </w:p>
    <w:p w14:paraId="1F98A5B4" w14:textId="77777777" w:rsidR="003754FE" w:rsidRDefault="003754FE" w:rsidP="003754FE">
      <w:pPr>
        <w:pStyle w:val="TextoNormal"/>
      </w:pPr>
    </w:p>
    <w:p w14:paraId="096BB809" w14:textId="77777777" w:rsidR="003754FE" w:rsidRDefault="003754FE" w:rsidP="003754FE">
      <w:pPr>
        <w:pStyle w:val="TextoNormal"/>
      </w:pPr>
      <w:r w:rsidRPr="003754FE">
        <w:rPr>
          <w:rStyle w:val="NumeroAFNegritaCaracter"/>
        </w:rPr>
        <w:t>3</w:t>
      </w:r>
      <w:r>
        <w:t xml:space="preserve">. </w:t>
      </w:r>
      <w:r w:rsidRPr="003754FE">
        <w:rPr>
          <w:i/>
        </w:rPr>
        <w:t>Sobre el derecho al juez ordinario predeterminado por la ley (art. 24.2 CE)</w:t>
      </w:r>
    </w:p>
    <w:p w14:paraId="3BE14941" w14:textId="77777777" w:rsidR="003754FE" w:rsidRDefault="003754FE" w:rsidP="003754FE">
      <w:pPr>
        <w:pStyle w:val="TextoNormal"/>
      </w:pPr>
    </w:p>
    <w:p w14:paraId="3A732EB7" w14:textId="77777777" w:rsidR="003754FE" w:rsidRDefault="003754FE" w:rsidP="003754FE">
      <w:pPr>
        <w:pStyle w:val="TextoNormal"/>
      </w:pPr>
      <w:r>
        <w:t>Este tribunal ha recordado, desde la STC 47/1983, de 31 de mayo, FJ 2, hasta la STC 9/2023, de 22 de febrero, FJ 5, que “el derecho al juez ordinario predeterminado por la ley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w:t>
      </w:r>
    </w:p>
    <w:p w14:paraId="30AF1C8B" w14:textId="77777777" w:rsidR="003754FE" w:rsidRDefault="003754FE" w:rsidP="003754FE">
      <w:pPr>
        <w:pStyle w:val="TextoNormal"/>
      </w:pPr>
    </w:p>
    <w:p w14:paraId="4DD47B5F" w14:textId="77777777" w:rsidR="003754FE" w:rsidRDefault="003754FE" w:rsidP="003754FE">
      <w:pPr>
        <w:pStyle w:val="TextoNormal"/>
      </w:pPr>
      <w:r>
        <w:t>Así, el derecho al juez ordinario predeterminado por la ley exige, en primer lugar, “la preexistencia de unos criterios, con carácter de generalidad, de atribución competencial”, y, en segundo lugar, que dichos criterios se han de contener en una “ley en sentido estricto” (STC 93/1988, de 24 de mayo, FJ 4). La exigencia de “ordinario” desde un punto de vista negativo viene establecida “por el art. 117.6 CE cuando al declarar lapidariamente que ‘se prohíben los tribunales de excepción’, excluye la existencia de órganos judiciales que excepcionen el derecho al juez ordinario predeterminado por la ley” (STC 204/1994, de 11 de julio, FJ 4).</w:t>
      </w:r>
    </w:p>
    <w:p w14:paraId="399C5693" w14:textId="77777777" w:rsidR="003754FE" w:rsidRDefault="003754FE" w:rsidP="003754FE">
      <w:pPr>
        <w:pStyle w:val="TextoNormal"/>
      </w:pPr>
    </w:p>
    <w:p w14:paraId="782EBACA" w14:textId="60FFAC0C" w:rsidR="003754FE" w:rsidRDefault="003754FE" w:rsidP="003754FE">
      <w:pPr>
        <w:pStyle w:val="TextoNormal"/>
      </w:pPr>
      <w:r>
        <w:t xml:space="preserve">En sentido similar, la STC 106/2022, de 13 de septiembre, FJ 6, afirmó que “el derecho al llamado juez legal comprende, entre otras consideraciones, la exclusión de las distintas modalidades del juez </w:t>
      </w:r>
      <w:r w:rsidRPr="003754FE">
        <w:rPr>
          <w:i/>
        </w:rPr>
        <w:t>ad hoc</w:t>
      </w:r>
      <w:r>
        <w:t xml:space="preserve"> excepcional o especial, junto a la exigencia de la predeterminación del órgano judicial, predeterminación que debe tener por origen, una norma dotada de generalidad, y que debe haberse dictado con anterioridad al hecho motivador del proceso, respetando en todo, la reserva de ley en la materia”.</w:t>
      </w:r>
    </w:p>
    <w:p w14:paraId="5B8E0725" w14:textId="77777777" w:rsidR="003754FE" w:rsidRDefault="003754FE" w:rsidP="003754FE">
      <w:pPr>
        <w:pStyle w:val="TextoNormal"/>
      </w:pPr>
    </w:p>
    <w:p w14:paraId="72571D69" w14:textId="77777777" w:rsidR="003754FE" w:rsidRDefault="003754FE" w:rsidP="003754FE">
      <w:pPr>
        <w:pStyle w:val="TextoNormal"/>
      </w:pPr>
      <w:r w:rsidRPr="003754FE">
        <w:rPr>
          <w:rStyle w:val="NumeroAFNegritaCaracter"/>
        </w:rPr>
        <w:t>4</w:t>
      </w:r>
      <w:r>
        <w:t xml:space="preserve">. </w:t>
      </w:r>
      <w:r w:rsidRPr="003754FE">
        <w:rPr>
          <w:i/>
        </w:rPr>
        <w:t>Doctrina sobre los conflictos entre la jurisdicción ordinaria y la jurisdicción militar</w:t>
      </w:r>
    </w:p>
    <w:p w14:paraId="6EBAA1AF" w14:textId="77777777" w:rsidR="003754FE" w:rsidRDefault="003754FE" w:rsidP="003754FE">
      <w:pPr>
        <w:pStyle w:val="TextoNormal"/>
      </w:pPr>
    </w:p>
    <w:p w14:paraId="04F1B059" w14:textId="77777777" w:rsidR="003754FE" w:rsidRDefault="003754FE" w:rsidP="003754FE">
      <w:pPr>
        <w:pStyle w:val="TextoNormal"/>
      </w:pPr>
      <w:r>
        <w:t xml:space="preserve">En relación con los conflictos entre la jurisdicción ordinaria y la militar, en la STC 18/2000, de 31 de enero, FJ 2, ya recordábamos que la jurisdicción militar por mandato </w:t>
      </w:r>
      <w:r>
        <w:lastRenderedPageBreak/>
        <w:t>constitucional y bajo el principio de unidad de jurisdicción conoce de un ámbito objetivo diferente del que es propio de los demás órganos integrantes del Poder Judicial (SSTC 60/1991, de 14 de marzo, y 113/1995, de 6 de julio), y no puede extender su cognición más allá del ámbito estrictamente castrense a que se refiere el art. 117.5 CE, por lo que, como se declaró en la STC 111/1984, de 28 de noviembre, la transgresión de las reglas definidoras de ese orden jurisdiccional, tanto en su formulación como en su debida aplicación o interpretación puede, en ocasiones, conducir a una vulneración del derecho al juez legal que garantiza el art. 24.2 CE.</w:t>
      </w:r>
    </w:p>
    <w:p w14:paraId="71D849CD" w14:textId="77777777" w:rsidR="003754FE" w:rsidRDefault="003754FE" w:rsidP="003754FE">
      <w:pPr>
        <w:pStyle w:val="TextoNormal"/>
      </w:pPr>
    </w:p>
    <w:p w14:paraId="0CA1D60A" w14:textId="77777777" w:rsidR="003754FE" w:rsidRDefault="003754FE" w:rsidP="003754FE">
      <w:pPr>
        <w:pStyle w:val="TextoNormal"/>
      </w:pPr>
      <w:r>
        <w:t>En cuanto al ámbito y extensión de la jurisdicción militar, en la STC 75/1982, de 13 de diciembre, FJ 4, a pesar de señalarse que la jurisdicción militar debe quedar reducida al “ámbito estrictamente castrense” y que “normalmente hay que presumir la competencia de la jurisdicción ordinaria”, se afirmaba también que la jurisdicción militar es competente cuando se lesionan bienes jurídicos de carácter militar para cuya tutela se extiende precisamente aquella jurisdicción a los procedimientos que se sigan “contra cualquier persona”, sea militar o civil.</w:t>
      </w:r>
    </w:p>
    <w:p w14:paraId="1AB53287" w14:textId="77777777" w:rsidR="003754FE" w:rsidRDefault="003754FE" w:rsidP="003754FE">
      <w:pPr>
        <w:pStyle w:val="TextoNormal"/>
      </w:pPr>
    </w:p>
    <w:p w14:paraId="718B91F8" w14:textId="77777777" w:rsidR="003754FE" w:rsidRDefault="003754FE" w:rsidP="003754FE">
      <w:pPr>
        <w:pStyle w:val="TextoNormal"/>
      </w:pPr>
      <w:r>
        <w:t>No obstante, esta afirmación fue matizada y restringida posteriormente en la STC 60/1991, de 14 de marzo, cuando el Tribunal analizó nuevamente y la vista de la evolución legislativa, la extensión y límites de la jurisdicción militar. Establecía el Tribunal en la citada sentencia, FJ 3, que el art. 117.5 C.E. estableció “límites y exigencias muy estrictos de la Ley reguladora de la jurisdicción militar”, imponiendo al legislador una transformación radical de su configuración y alcance, reduciendo “a límites muy estrechos su posible ámbito competencial”, eliminando “la hipertrofia del mismo, que [venía] caracterizando en la España moderna a la jurisdicción militar, tanto en las etapas liberales como, mucho más acentuadamente, en las dictatoriales”.</w:t>
      </w:r>
    </w:p>
    <w:p w14:paraId="4D325BBD" w14:textId="77777777" w:rsidR="003754FE" w:rsidRDefault="003754FE" w:rsidP="003754FE">
      <w:pPr>
        <w:pStyle w:val="TextoNormal"/>
      </w:pPr>
    </w:p>
    <w:p w14:paraId="23ED796F" w14:textId="77777777" w:rsidR="003754FE" w:rsidRDefault="003754FE" w:rsidP="003754FE">
      <w:pPr>
        <w:pStyle w:val="TextoNormal"/>
      </w:pPr>
      <w:r>
        <w:t>Explicaba el Tribunal entonces que “el art. 117.5 CE impide una extensión inadecuada de la jurisdicción militar, vedando tanto la creación de un fuero privilegiado, que excluya el sometimiento de los miembros de las Fuerzas Armadas a los tribunales ordinarios, como la sujeción indebida al conocimiento por los tribunales militares de cuestiones que, por no ser estrictamente castrenses, deben corresponder en todo caso a los tribunales ordinarios. El art. 117.5 CE no deja lugar a dudas del propósito constitucional de limitar el ámbito de la jurisdicción militar a lo estrictamente indispensable, asegurando que, en tiempo de normalidad constitucional, la jurisdicción militar solo pueda conocer de lo estrictamente castrense, noción que ha de ser interpretada a la luz de otros preceptos constitucionales, en particular los arts. 8 y 30 CE”.</w:t>
      </w:r>
    </w:p>
    <w:p w14:paraId="220040B1" w14:textId="77777777" w:rsidR="003754FE" w:rsidRDefault="003754FE" w:rsidP="003754FE">
      <w:pPr>
        <w:pStyle w:val="TextoNormal"/>
      </w:pPr>
    </w:p>
    <w:p w14:paraId="3895916E" w14:textId="77777777" w:rsidR="003754FE" w:rsidRDefault="003754FE" w:rsidP="003754FE">
      <w:pPr>
        <w:pStyle w:val="TextoNormal"/>
      </w:pPr>
      <w:r>
        <w:t>Y concretaba la sentencia que “[l]o estrictamente castrense solo puede ser aplicado a los delitos exclusiva y estrictamente militares, tanto por su directa conexión con los objetivos, tareas y fines propios de las Fuerzas Armadas, es decir los que hacen referencia a la organización bélica del Estado, indispensable para ‘las exigencias defensivas de la comunidad como bien constitucional’ como por la necesidad de una vía judicial específica para su conocimiento y eventual represión, habiendo de quedar fuera del ámbito de la justicia militar todas las restantes conductas delictuales”.</w:t>
      </w:r>
    </w:p>
    <w:p w14:paraId="569D0A47" w14:textId="77777777" w:rsidR="003754FE" w:rsidRDefault="003754FE" w:rsidP="003754FE">
      <w:pPr>
        <w:pStyle w:val="TextoNormal"/>
      </w:pPr>
    </w:p>
    <w:p w14:paraId="75124878" w14:textId="77777777" w:rsidR="003754FE" w:rsidRDefault="003754FE" w:rsidP="003754FE">
      <w:pPr>
        <w:pStyle w:val="TextoNormal"/>
      </w:pPr>
      <w:r>
        <w:t xml:space="preserve">Con rotundidad se afirmaba que “[c]omo jurisdicción especial penal, la jurisdicción militar ha de reducir su ámbito al conocimiento de delitos que puedan ser calificados como de </w:t>
      </w:r>
      <w:r>
        <w:lastRenderedPageBreak/>
        <w:t xml:space="preserve">estrictamente castrenses, concepto que ha de ponerse en necesaria conexión con la naturaleza del delito cometido: con el bien jurídico o los intereses protegidos por la norma penal, que han de ser estrictamente militares, en función de los fines que constitucionalmente corresponden a las Fuerzas Armadas y de los medios puestos a su disposición para cumplir esa misión (arts. 8 y 30 CE); con el carácter militar de las obligaciones o deberes cuyo incumplimiento se tipifica como delito, y, en general, con que el sujeto activo del delito sea considerado </w:t>
      </w:r>
      <w:r w:rsidRPr="003754FE">
        <w:rPr>
          <w:i/>
        </w:rPr>
        <w:t>uti miles</w:t>
      </w:r>
      <w:r>
        <w:t>, por lo que la condición militar del sujeto al que se imputa el delito ha de ser también un elemento relevante para definir el concepto de lo estrictamente castrense”.</w:t>
      </w:r>
    </w:p>
    <w:p w14:paraId="2E9ED88C" w14:textId="77777777" w:rsidR="003754FE" w:rsidRDefault="003754FE" w:rsidP="003754FE">
      <w:pPr>
        <w:pStyle w:val="TextoNormal"/>
      </w:pPr>
    </w:p>
    <w:p w14:paraId="2524ACCB" w14:textId="12F39527" w:rsidR="003754FE" w:rsidRDefault="003754FE" w:rsidP="003754FE">
      <w:pPr>
        <w:pStyle w:val="TextoNormal"/>
      </w:pPr>
      <w:r>
        <w:t>En definitiva, tres son los condicionantes constitucionales que se requieren para el ejercicio de la función jurisdiccional militar: que el delito sea un delito que proteja un bien jurídico estrictamente militar; el carácter militar de las obligaciones o deberes cuyo incumplimiento se tipifica como delito, y la condición de militar del sujeto activo del delito, siendo este requisito, como dijimos un elemento “relevante” para delimitar el concepto de lo “estrictamente castrense”.</w:t>
      </w:r>
    </w:p>
    <w:p w14:paraId="155FE99D" w14:textId="77777777" w:rsidR="003754FE" w:rsidRDefault="003754FE" w:rsidP="003754FE">
      <w:pPr>
        <w:pStyle w:val="TextoNormal"/>
      </w:pPr>
    </w:p>
    <w:p w14:paraId="23C0980E" w14:textId="77777777" w:rsidR="003754FE" w:rsidRDefault="003754FE" w:rsidP="003754FE">
      <w:pPr>
        <w:pStyle w:val="TextoNormal"/>
      </w:pPr>
      <w:r w:rsidRPr="003754FE">
        <w:rPr>
          <w:rStyle w:val="NumeroAFNegritaCaracter"/>
        </w:rPr>
        <w:t>5</w:t>
      </w:r>
      <w:r>
        <w:t xml:space="preserve">. </w:t>
      </w:r>
      <w:r w:rsidRPr="003754FE">
        <w:rPr>
          <w:i/>
        </w:rPr>
        <w:t>Doctrina del Tribunal Europeo de Derechos Humanos sobre la jurisdicción militar</w:t>
      </w:r>
    </w:p>
    <w:p w14:paraId="4F2AF81A" w14:textId="77777777" w:rsidR="003754FE" w:rsidRDefault="003754FE" w:rsidP="003754FE">
      <w:pPr>
        <w:pStyle w:val="TextoNormal"/>
      </w:pPr>
    </w:p>
    <w:p w14:paraId="6C2067CD" w14:textId="77777777" w:rsidR="003754FE" w:rsidRDefault="003754FE" w:rsidP="003754FE">
      <w:pPr>
        <w:pStyle w:val="TextoNormal"/>
      </w:pPr>
      <w:r>
        <w:t xml:space="preserve">Es oportuno recordar asimismo la doctrina establecida a este respecto por el Tribunal Europeo de Derechos Humanos. En su sentencia de 28 de noviembre de 2019, asunto </w:t>
      </w:r>
      <w:r w:rsidRPr="003754FE">
        <w:rPr>
          <w:i/>
        </w:rPr>
        <w:t>Mustafa c. Bulgaria</w:t>
      </w:r>
      <w:r>
        <w:t>, el Tribunal, en sus parágrafos 30 y siguientes, recuerda que el Convenio europeo de derechos humanos no prohíbe que los tribunales militares conozcan de acusaciones penales contra miembros de las Fuerzas Armadas, siempre que se respeten las garantías de independencia e imparcialidad establecidas en el artículo 6.1 del Convenio.</w:t>
      </w:r>
    </w:p>
    <w:p w14:paraId="21B1F726" w14:textId="77777777" w:rsidR="003754FE" w:rsidRDefault="003754FE" w:rsidP="003754FE">
      <w:pPr>
        <w:pStyle w:val="TextoNormal"/>
      </w:pPr>
    </w:p>
    <w:p w14:paraId="3AA522AD" w14:textId="77777777" w:rsidR="003754FE" w:rsidRDefault="003754FE" w:rsidP="003754FE">
      <w:pPr>
        <w:pStyle w:val="TextoNormal"/>
      </w:pPr>
      <w:r>
        <w:t>Sin embargo, destaca el Tribunal Europeo de Derechos Humanos que la situación es diferente cuando la legislación nacional faculta a dichos tribunales para juzgar a civiles en causas penales ya que puede dar lugar a dudas razonables sobre la imparcialidad objetiva de dicho tribunal, más aún cuando se trata de delitos comunes, concluyendo que, un sistema judicial en el que un tribunal militar debe juzgar a una persona que no es miembro de las Fuerzas Armadas, puede fácilmente destruir la distancia necesaria entre el tribunal y las partes en el proceso penal, incluso si existen suficientes salvaguardias para garantizar la independencia del tribunal. Por ello, el Tribunal Europeo de Derechos Humanos considera que, si bien no puede afirmarse que el Convenio excluya de manera absoluta la competencia de los tribunales militares para conocer de asuntos que afecten a civiles, la existencia de tal competencia debe ser examinada con especial rigor.</w:t>
      </w:r>
    </w:p>
    <w:p w14:paraId="0B6BC83F" w14:textId="77777777" w:rsidR="003754FE" w:rsidRDefault="003754FE" w:rsidP="003754FE">
      <w:pPr>
        <w:pStyle w:val="TextoNormal"/>
      </w:pPr>
    </w:p>
    <w:p w14:paraId="469A31DD" w14:textId="2518FEB4" w:rsidR="003754FE" w:rsidRDefault="003754FE" w:rsidP="003754FE">
      <w:pPr>
        <w:pStyle w:val="TextoNormal"/>
      </w:pPr>
      <w:r>
        <w:t>Considera el Tribunal Europeo de Derechos Humanos que, aunque los tribunales militares pueden cumplir las normas del Convenio en la misma medida que los tribunales ordinarios, las diferencias de trato vinculadas a la naturaleza y la finalidad de dichos tribunales pueden dar lugar a un problema de desigualdad ante la ley, que debe evitarse en la medida de lo posible, en particular en materia penal. En conclusión, el sometimiento de un civil a la jurisdicción militar no está prohibido por el Convenio, pero debe ser excepcional y justificado en cada caso.</w:t>
      </w:r>
    </w:p>
    <w:p w14:paraId="75F995A4" w14:textId="77777777" w:rsidR="003754FE" w:rsidRDefault="003754FE" w:rsidP="003754FE">
      <w:pPr>
        <w:pStyle w:val="TextoNormal"/>
      </w:pPr>
    </w:p>
    <w:p w14:paraId="26D7948D" w14:textId="77777777" w:rsidR="003754FE" w:rsidRDefault="003754FE" w:rsidP="003754FE">
      <w:pPr>
        <w:pStyle w:val="TextoNormal"/>
      </w:pPr>
      <w:r w:rsidRPr="003754FE">
        <w:rPr>
          <w:rStyle w:val="NumeroAFNegritaCaracter"/>
        </w:rPr>
        <w:t>6</w:t>
      </w:r>
      <w:r>
        <w:t xml:space="preserve">. </w:t>
      </w:r>
      <w:r w:rsidRPr="003754FE">
        <w:rPr>
          <w:i/>
        </w:rPr>
        <w:t>Aplicación al caso de la doctrina constitucional expuesta</w:t>
      </w:r>
    </w:p>
    <w:p w14:paraId="0FD8580C" w14:textId="77777777" w:rsidR="003754FE" w:rsidRDefault="003754FE" w:rsidP="003754FE">
      <w:pPr>
        <w:pStyle w:val="TextoNormal"/>
      </w:pPr>
    </w:p>
    <w:p w14:paraId="68D25665" w14:textId="77777777" w:rsidR="003754FE" w:rsidRDefault="003754FE" w:rsidP="003754FE">
      <w:pPr>
        <w:pStyle w:val="TextoNormal"/>
      </w:pPr>
      <w:r>
        <w:lastRenderedPageBreak/>
        <w:t>a) Como ha quedado reflejado en los antecedentes, dos fueron los argumentos principales de la sentencia impugnada para atribuir la competencia a la jurisdicción militar.</w:t>
      </w:r>
    </w:p>
    <w:p w14:paraId="5E3A2F5A" w14:textId="77777777" w:rsidR="003754FE" w:rsidRDefault="003754FE" w:rsidP="003754FE">
      <w:pPr>
        <w:pStyle w:val="TextoNormal"/>
      </w:pPr>
    </w:p>
    <w:p w14:paraId="1BBA21FE" w14:textId="77777777" w:rsidR="003754FE" w:rsidRDefault="003754FE" w:rsidP="003754FE">
      <w:pPr>
        <w:pStyle w:val="TextoNormal"/>
      </w:pPr>
      <w:r>
        <w:t>En primer lugar, si bien la Sala de Conflictos de Jurisdicción en su sentencia se refería al concepto de lo “estrictamente castrense” y a los tres criterios señalados por este tribunal para su delimitación (uno objetivo, determinado por el carácter estrictamente militar del delito; otro funcional, delimitado por los bienes o valores militares protegidos por la norma; y el tercero subjetivo, condicionado por la condición de militar del presunto delincuente), sin embargo, a continuación argumentaba que “[d]e estos tres criterios, el que resulta menos esclarecedor es el último, porque no todos los tipos delictivos contemplados en el Código penal militar son tipos penales determinados por la condición de militar de su autor. Probablemente, los tres criterios que maneja la doctrina constitucional citada pueden reducirse a uno solo, conforme al cual, el ámbito de lo ‘estrictamente castrense’, en el orden penal, debe identificarse con la protección de los bienes jurídicos militares que resultan necesarios para que los ejércitos cumplan las misiones que les asigna el artículo 8 CE”.</w:t>
      </w:r>
    </w:p>
    <w:p w14:paraId="57ADCDA6" w14:textId="77777777" w:rsidR="003754FE" w:rsidRDefault="003754FE" w:rsidP="003754FE">
      <w:pPr>
        <w:pStyle w:val="TextoNormal"/>
      </w:pPr>
    </w:p>
    <w:p w14:paraId="47364CE3" w14:textId="77777777" w:rsidR="003754FE" w:rsidRDefault="003754FE" w:rsidP="003754FE">
      <w:pPr>
        <w:pStyle w:val="TextoNormal"/>
      </w:pPr>
      <w:r>
        <w:t>Explicaba el Tribunal Supremo para justificar la reducción de los criterios señalados por el Tribunal Constitucional, que el requisito subjetivo carecería de importancia ya que la jurisdicción militar puede llegar a ser competente para juzgar a civiles cuando estos hayan cometido un delito de los denominados “impropiamente militares”, en los que los civiles pueden ser sujetos activos directos de un ataque a un bien jurídico castrense, o en los que su propio carácter pluriofensivo daña a la vez bienes jurídicos tutelados por la legislación ordinaria y bienes de naturaleza castrense (citando la sentencia como ejemplos aquellos delitos tipificados en el Código penal militar cuya autoría puede atribuirse a civiles, allanamiento de dependencia militar, delitos contra centinela y otros más).</w:t>
      </w:r>
    </w:p>
    <w:p w14:paraId="2191EDE0" w14:textId="77777777" w:rsidR="003754FE" w:rsidRDefault="003754FE" w:rsidP="003754FE">
      <w:pPr>
        <w:pStyle w:val="TextoNormal"/>
      </w:pPr>
    </w:p>
    <w:p w14:paraId="582E31ED" w14:textId="77777777" w:rsidR="003754FE" w:rsidRDefault="003754FE" w:rsidP="003754FE">
      <w:pPr>
        <w:pStyle w:val="TextoNormal"/>
      </w:pPr>
      <w:r>
        <w:t>En segundo lugar, la sentencia impugnada, justificando su decisión en la no ruptura de la continencia de la causa, interpretó que el art. 14 LOCOJM, al disponer que la jurisdicción a la que esté atribuido el conocimiento del delito que tenga señalada legalmente pena más grave conocerá de los delitos conexos, no excepciona los supuestos en los que el delito común conexo a otro delito militar haya sido cometido por un civil. Además, consideraba que los civiles pueden ser juzgados por la jurisdicción militar cuando su conducta comprometa bienes, valores o principios militares.</w:t>
      </w:r>
    </w:p>
    <w:p w14:paraId="11692F30" w14:textId="77777777" w:rsidR="003754FE" w:rsidRDefault="003754FE" w:rsidP="003754FE">
      <w:pPr>
        <w:pStyle w:val="TextoNormal"/>
      </w:pPr>
    </w:p>
    <w:p w14:paraId="65CFF599" w14:textId="77777777" w:rsidR="003754FE" w:rsidRDefault="003754FE" w:rsidP="003754FE">
      <w:pPr>
        <w:pStyle w:val="TextoNormal"/>
      </w:pPr>
      <w:r>
        <w:t>b) La interpretación expuesta llevada a cabo por la Sala de Conflictos de Jurisdicción en la sentencia impugnada no se ajusta al recto entendimiento de la doctrina de este tribunal.</w:t>
      </w:r>
    </w:p>
    <w:p w14:paraId="0DD0DABE" w14:textId="77777777" w:rsidR="003754FE" w:rsidRDefault="003754FE" w:rsidP="003754FE">
      <w:pPr>
        <w:pStyle w:val="TextoNormal"/>
      </w:pPr>
    </w:p>
    <w:p w14:paraId="669D6ECA" w14:textId="77777777" w:rsidR="003754FE" w:rsidRDefault="003754FE" w:rsidP="003754FE">
      <w:pPr>
        <w:pStyle w:val="TextoNormal"/>
      </w:pPr>
      <w:r>
        <w:t xml:space="preserve">En primer lugar, como se ha reflejado en el anterior fundamento cuarto, este tribunal ha entendido que la jurisdicción militar debe quedar reducida a lo “estrictamente castrense” concepto que, en palabras de la tan citada STC 60/1991, debe delimitarse en función de, entre otros, un criterio subjetivo siendo especialmente relevante para la delimitación de dicho concepto que “el sujeto activo del delito sea considerado </w:t>
      </w:r>
      <w:r w:rsidRPr="003754FE">
        <w:rPr>
          <w:i/>
        </w:rPr>
        <w:t>uti miles</w:t>
      </w:r>
      <w:r>
        <w:t>” y un criterio objetivo: lo estrictamente castrense “solo puede ser aplicado a los delitos exclusiva y estrictamente militares”.</w:t>
      </w:r>
    </w:p>
    <w:p w14:paraId="412D5AB8" w14:textId="77777777" w:rsidR="003754FE" w:rsidRDefault="003754FE" w:rsidP="003754FE">
      <w:pPr>
        <w:pStyle w:val="TextoNormal"/>
      </w:pPr>
    </w:p>
    <w:p w14:paraId="5A999435" w14:textId="77777777" w:rsidR="003754FE" w:rsidRDefault="003754FE" w:rsidP="003754FE">
      <w:pPr>
        <w:pStyle w:val="TextoNormal"/>
      </w:pPr>
      <w:r>
        <w:t xml:space="preserve">La interpretación de la sentencia impugnada desoye estos dos criterios para acabar atribuyendo a la jurisdicción militar el conocimiento de la causa de los ahora recurrentes. Deja sin valor al criterio subjetivo sin una justificación adecuada. Se refiere la sentencia, en su </w:t>
      </w:r>
      <w:r>
        <w:lastRenderedPageBreak/>
        <w:t>fundamento quinto, apartados c) y d), para argumentar esta decisión, a los denominados “delitos impropiamente militares”, es decir, delitos que pudiendo ser cometidos por civiles dañan directamente bienes jurídicos castrenses. Sin embargo, en el caso analizado los recurrentes no habrían cometido este tipo de delitos “impropiamente militares” sino que, habrían presuntamente cometido delitos comunes, en su caso, en conexión con delitos militares cometidos, presuntamente, por militares.</w:t>
      </w:r>
    </w:p>
    <w:p w14:paraId="77C1C716" w14:textId="77777777" w:rsidR="003754FE" w:rsidRDefault="003754FE" w:rsidP="003754FE">
      <w:pPr>
        <w:pStyle w:val="TextoNormal"/>
      </w:pPr>
    </w:p>
    <w:p w14:paraId="24259627" w14:textId="77777777" w:rsidR="003754FE" w:rsidRDefault="003754FE" w:rsidP="003754FE">
      <w:pPr>
        <w:pStyle w:val="TextoNormal"/>
      </w:pPr>
      <w:r>
        <w:t>En segundo lugar, en relación con el criterio objetivo, la sentencia lleva a cabo una interpretación extensiva del art. 14 LOCOJM incompatible con la doctrina constitucional antes señalada. Considera la sentencia que el silencio de dicho precepto, al no excepcionar para la atribución a la jurisdicción militar los supuestos en los que el delito común conexo a otro delito militar haya sido cometido por un civil, permite que la jurisdicción militar juzgue a civiles que hubieran cometido un delito común. Esta interpretación sin más justificación, debe ser considerada contraria a la jurisprudencia de este tribunal señalada en el fundamento jurídico cuarto, que de manera constante y reiterada ha ido reduciendo el ámbito de la jurisdicción militar a los delitos “estrictamente militares”.</w:t>
      </w:r>
    </w:p>
    <w:p w14:paraId="41DDECE7" w14:textId="77777777" w:rsidR="003754FE" w:rsidRDefault="003754FE" w:rsidP="003754FE">
      <w:pPr>
        <w:pStyle w:val="TextoNormal"/>
      </w:pPr>
    </w:p>
    <w:p w14:paraId="3305DC70" w14:textId="77777777" w:rsidR="003754FE" w:rsidRDefault="003754FE" w:rsidP="003754FE">
      <w:pPr>
        <w:pStyle w:val="TextoNormal"/>
      </w:pPr>
      <w:r>
        <w:t>En definitiva, como ha destacado el Ministerio Fiscal en sus alegaciones, identificar por reducción el ámbito de lo estrictamente castrense a la tutela de los bienes jurídicos militares, y —sobre todo— dejando de lado la condición civil o militar del justiciable, es contrario no solo a la doctrina del Tribunal Europeo de Derechos Humanos, sino a la jurisprudencia constitucional que ha venido reduciendo el ámbito de lo estrictamente castrense definido en base a los tres criterios acumulativos (y no alternativos) establecidos en la STC 60/1991.</w:t>
      </w:r>
    </w:p>
    <w:p w14:paraId="5E3C4DA6" w14:textId="77777777" w:rsidR="003754FE" w:rsidRDefault="003754FE" w:rsidP="003754FE">
      <w:pPr>
        <w:pStyle w:val="TextoNormal"/>
      </w:pPr>
    </w:p>
    <w:p w14:paraId="5E0D437B" w14:textId="77777777" w:rsidR="003754FE" w:rsidRDefault="003754FE" w:rsidP="003754FE">
      <w:pPr>
        <w:pStyle w:val="TextoNormal"/>
      </w:pPr>
      <w:r>
        <w:t>Por todo lo dicho, debemos apreciar que la interpretación llevada a cabo por la Sala de Conflictos de Jurisdicción, adjudicando el conocimiento de la causa de los recurrentes a la jurisdicción militar ha vulnerado el derecho de ambos al juez ordinario predeterminado por la ley (art. 24.2 CE) ya que los recurrentes, civiles, habrían, presuntamente, cometido delitos comunes y no delitos militares.</w:t>
      </w:r>
    </w:p>
    <w:p w14:paraId="39E38B4B" w14:textId="77777777" w:rsidR="003754FE" w:rsidRDefault="003754FE" w:rsidP="003754FE">
      <w:pPr>
        <w:pStyle w:val="TextoNormal"/>
      </w:pPr>
    </w:p>
    <w:p w14:paraId="17F3CCED" w14:textId="524EB0BB" w:rsidR="003754FE" w:rsidRDefault="003754FE" w:rsidP="003754FE">
      <w:pPr>
        <w:pStyle w:val="TextoNormal"/>
      </w:pPr>
      <w:r>
        <w:t>Esta conclusión viene también sustentada por la doctrina antes señalada del Tribunal Europeo de Derechos Humanos que ha mantenido una constate línea jurisprudencial de restricción de la jurisdicción castrense. Además, y por último, como pone de manifiesto el Ministerio Fiscal, la evolución legislativa del ámbito y extensión de la jurisdicción militar camina en la dirección contraria a la señala por el Tribunal Supremo en la sentencia impugnada. Las últimas reformas legislativas sobre la materia ponen de manifiesto que el legislador, siguiendo las pautas marcadas por la jurisprudencia del Tribunal Europeo de Derechos Humanos y del propio Tribunal Constitucional, ha querido restringir en lo posible el ámbito de la jurisdicción militar a lo “estrictamente castrense” a su significado más nuclear. Claro ejemplo es la Ley Orgánica 14/2015, de 14 de octubre, del Código penal militar, que, en su exposición de motivos muestra el espíritu del legislador al señalar que “la doctrina constitucional, interpretando el artículo 117.5 de la Constitución Española, estima que su propósito es limitar el ámbito de la jurisdicción militar a lo estrictamente indispensable. Concepto que se identifica, en tiempos de normalidad, con los delitos exclusivamente militares tanto por su directa conexión con los objetivos, tareas y fines propios de las Fuerzas Armadas (indispensables para las exigencias defensivas de la comunidad como bien constitucional), como por la necesidad de una vía judicial específica para su conocimiento y eventual represión”.</w:t>
      </w:r>
    </w:p>
    <w:p w14:paraId="1190B3B5" w14:textId="77777777" w:rsidR="003754FE" w:rsidRDefault="003754FE" w:rsidP="003754FE">
      <w:pPr>
        <w:pStyle w:val="TextoNormal"/>
      </w:pPr>
    </w:p>
    <w:p w14:paraId="0435718F" w14:textId="77777777" w:rsidR="003754FE" w:rsidRDefault="003754FE" w:rsidP="003754FE">
      <w:pPr>
        <w:pStyle w:val="TextoNormal"/>
      </w:pPr>
      <w:r w:rsidRPr="003754FE">
        <w:rPr>
          <w:rStyle w:val="NumeroAFNegritaCaracter"/>
        </w:rPr>
        <w:t>7</w:t>
      </w:r>
      <w:r>
        <w:t xml:space="preserve">. </w:t>
      </w:r>
      <w:r w:rsidRPr="003754FE">
        <w:rPr>
          <w:i/>
        </w:rPr>
        <w:t>Alcance del amparo otorgado</w:t>
      </w:r>
    </w:p>
    <w:p w14:paraId="18DD1C7F" w14:textId="77777777" w:rsidR="003754FE" w:rsidRDefault="003754FE" w:rsidP="003754FE">
      <w:pPr>
        <w:pStyle w:val="TextoNormal"/>
      </w:pPr>
    </w:p>
    <w:p w14:paraId="10E4759B" w14:textId="38FF1D0D" w:rsidR="003754FE" w:rsidRDefault="003754FE" w:rsidP="003754FE">
      <w:pPr>
        <w:pStyle w:val="TextoNormal"/>
      </w:pPr>
      <w:r>
        <w:t>En cuanto a los efectos del otorgamiento del amparo, conforme a lo manifestado por el Ministerio Fiscal, procede declarar la nulidad de la sentencia de 12 de julio de 2021 dictada por la Sala de Conflictos de Jurisdicción del Tribunal Supremo y la providencia de 8 de septiembre siguiente que inadmitió el incidente de nulidad de actuaciones promovido frente a ella, debiéndose retrotraer las actuaciones al momento inmediatamente anterior al de dictarse dicha sentencia, a fin de que la referida Sala dicte otra plenamente respetuosa con el derecho fundamental de los recurrentes.</w:t>
      </w:r>
    </w:p>
    <w:p w14:paraId="5C3C7599" w14:textId="77777777" w:rsidR="003754FE" w:rsidRDefault="003754FE" w:rsidP="003754FE">
      <w:pPr>
        <w:pStyle w:val="TextoNormal"/>
      </w:pPr>
    </w:p>
    <w:p w14:paraId="567F62E3" w14:textId="77777777" w:rsidR="003754FE" w:rsidRDefault="003754FE" w:rsidP="003754FE">
      <w:pPr>
        <w:pStyle w:val="TextoNormalCentrado"/>
        <w:keepNext/>
      </w:pPr>
      <w:r>
        <w:t>FALLO</w:t>
      </w:r>
    </w:p>
    <w:p w14:paraId="203A0081" w14:textId="6C320890" w:rsidR="003754FE" w:rsidRDefault="003754FE" w:rsidP="003754FE">
      <w:pPr>
        <w:pStyle w:val="TextoNormalCentrado"/>
        <w:keepNext/>
      </w:pPr>
    </w:p>
    <w:p w14:paraId="4082B078"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don Rafael Casqueiro Álvarez, estimar parcialmente el recurso de amparo interpuesto por don Raúl López López y, en su virtud:</w:t>
      </w:r>
    </w:p>
    <w:p w14:paraId="7AF6CAF1" w14:textId="77777777" w:rsidR="003754FE" w:rsidRDefault="003754FE" w:rsidP="003754FE">
      <w:pPr>
        <w:pStyle w:val="TextoNormal"/>
      </w:pPr>
    </w:p>
    <w:p w14:paraId="1B195438" w14:textId="77777777" w:rsidR="003754FE" w:rsidRDefault="003754FE" w:rsidP="003754FE">
      <w:pPr>
        <w:pStyle w:val="TextoNormal"/>
      </w:pPr>
      <w:r>
        <w:t>1º Inadmitir la queja planteada por don Raúl López López en el recurso núm. 6748-2021, en relación con el derecho a ser oído (art. 24 CE) en el proceso tramitado por la Sala de Conflictos de Jurisdicción.</w:t>
      </w:r>
    </w:p>
    <w:p w14:paraId="3A85492F" w14:textId="77777777" w:rsidR="003754FE" w:rsidRDefault="003754FE" w:rsidP="003754FE">
      <w:pPr>
        <w:pStyle w:val="TextoNormal"/>
      </w:pPr>
    </w:p>
    <w:p w14:paraId="35208F71" w14:textId="77777777" w:rsidR="003754FE" w:rsidRDefault="003754FE" w:rsidP="003754FE">
      <w:pPr>
        <w:pStyle w:val="TextoNormal"/>
      </w:pPr>
      <w:r>
        <w:t>2º Declarar que ha sido vulnerado el derecho de los recurrentes al juez ordinario predeterminado por la ley (art. 24.2 CE).</w:t>
      </w:r>
    </w:p>
    <w:p w14:paraId="4E925101" w14:textId="77777777" w:rsidR="003754FE" w:rsidRDefault="003754FE" w:rsidP="003754FE">
      <w:pPr>
        <w:pStyle w:val="TextoNormal"/>
      </w:pPr>
    </w:p>
    <w:p w14:paraId="646EAA78" w14:textId="75ED76D4" w:rsidR="003754FE" w:rsidRDefault="003754FE" w:rsidP="003754FE">
      <w:pPr>
        <w:pStyle w:val="TextoNormal"/>
      </w:pPr>
      <w:r>
        <w:t>3º Restablecerles en su derecho y, a tal fin, declarar la nulidad de la sentencia de 12 de julio de 2021 dictada por la Sala de Conflictos de Jurisdicción del Tribunal Supremo y la providencia de 8 de septiembre siguiente que inadmitió el incidente de nulidad de actuaciones promovido frente a ella, con retrotracción de las actuaciones al momento inmediatamente anterior al de dictarse dicha sentencia, a fin de que la referida Sala dicte otra plenamente respetuosa con el derecho fundamental de los recurrentes.</w:t>
      </w:r>
    </w:p>
    <w:p w14:paraId="0DB40BCD" w14:textId="77777777" w:rsidR="003754FE" w:rsidRDefault="003754FE" w:rsidP="003754FE">
      <w:pPr>
        <w:pStyle w:val="TextoNormal"/>
      </w:pPr>
    </w:p>
    <w:p w14:paraId="13A5113A" w14:textId="77777777" w:rsidR="003754FE" w:rsidRDefault="003754FE" w:rsidP="003754FE">
      <w:pPr>
        <w:pStyle w:val="TextoNormal"/>
      </w:pPr>
      <w:r>
        <w:t>Publíquese esta sentencia en el “Boletín Oficial del Estado”.</w:t>
      </w:r>
    </w:p>
    <w:p w14:paraId="168AA92F" w14:textId="77777777" w:rsidR="003754FE" w:rsidRDefault="003754FE" w:rsidP="003754FE">
      <w:pPr>
        <w:pStyle w:val="TextoNormal"/>
      </w:pPr>
      <w:r>
        <w:t>Dada en Madrid, a veintidós de octubre de dos mil veinticuatro.</w:t>
      </w:r>
    </w:p>
    <w:p w14:paraId="4ED363C5" w14:textId="3E92887B" w:rsidR="003754FE" w:rsidRDefault="003754FE" w:rsidP="003754FE">
      <w:pPr>
        <w:pStyle w:val="ParrafoNormal"/>
      </w:pPr>
    </w:p>
    <w:p w14:paraId="7CC9CFEE" w14:textId="77777777" w:rsidR="003754FE" w:rsidRDefault="003754FE" w:rsidP="003754FE">
      <w:pPr>
        <w:pStyle w:val="TextoNormalNegritaCentrado"/>
        <w:keepNext/>
      </w:pPr>
      <w:r>
        <w:t>Voto particular discrepante que formulan los magistrados don Ricardo Enríquez Sancho, don Enrique Arnaldo Alcubilla, doña Concepción Espejel Jorquera, don César Tolosa Tribiño y don José María Macías Castaño a la STC 128/2024, de 22 de octubre, dictada en los recursos de amparo avocados núm. 6392-2021 y 6748-2021</w:t>
      </w:r>
    </w:p>
    <w:p w14:paraId="2EC1E3F0" w14:textId="6E779631" w:rsidR="003754FE" w:rsidRDefault="003754FE" w:rsidP="003754FE">
      <w:pPr>
        <w:pStyle w:val="TextoNormalNegritaCentrado"/>
        <w:keepNext/>
      </w:pPr>
    </w:p>
    <w:p w14:paraId="07A31703" w14:textId="77777777" w:rsidR="003754FE" w:rsidRDefault="003754FE" w:rsidP="003754FE">
      <w:pPr>
        <w:pStyle w:val="TextoNormal"/>
      </w:pPr>
      <w:r>
        <w:t>En el ejercicio de la facultad conferida en el art. 90.2 de la Ley Orgánica del Tribunal Constitucional, y con el respeto debido a la opinión de los magistrados que han conformado la mayoría del Pleno, formulamos el presente voto particular a la sentencia dictada en los mencionados recursos de amparo.</w:t>
      </w:r>
    </w:p>
    <w:p w14:paraId="710E7AEF" w14:textId="77777777" w:rsidR="003754FE" w:rsidRDefault="003754FE" w:rsidP="003754FE">
      <w:pPr>
        <w:pStyle w:val="TextoNormal"/>
      </w:pPr>
    </w:p>
    <w:p w14:paraId="32EF6FEF" w14:textId="77777777" w:rsidR="003754FE" w:rsidRDefault="003754FE" w:rsidP="003754FE">
      <w:pPr>
        <w:pStyle w:val="TextoNormal"/>
      </w:pPr>
      <w:r>
        <w:lastRenderedPageBreak/>
        <w:t>Nuestro desacuerdo se desglosa en los siguientes puntos:</w:t>
      </w:r>
    </w:p>
    <w:p w14:paraId="44F942DC" w14:textId="77777777" w:rsidR="003754FE" w:rsidRDefault="003754FE" w:rsidP="003754FE">
      <w:pPr>
        <w:pStyle w:val="TextoNormal"/>
      </w:pPr>
    </w:p>
    <w:p w14:paraId="664A7AFE" w14:textId="77777777" w:rsidR="003754FE" w:rsidRDefault="003754FE" w:rsidP="003754FE">
      <w:pPr>
        <w:pStyle w:val="TextoNormal"/>
      </w:pPr>
      <w:r>
        <w:t>1. Los criterios delimitadores del “ámbito estrictamente castrense”, al que se refiere el art. 117.5 CE (“El principio de unidad jurisdiccional es la base de la organización y funcionamiento de los Tribunales. La ley regulará el ejercicio de la jurisdicción militar en el ámbito estrictamente castrense y en los supuestos de estado de sitio, de acuerdo con los principios de la Constitución”), no excluyen la posibilidad de que sean enjuiciadas por la jurisdicción militar personas que no tengan la condición de militar, siempre que el delito esté comprendido en dicho ámbito. Ejemplo de esta posibilidad es lo resuelto en la STC 60/1991, de 14 de marzo, FJ 6, al declarar que “el legislador, al encomendar a la jurisdicción militar el conocimiento del delito previsto en el art. 127 CPM, no ha violado el art. 117.5 CE, ni ha desconocido la competencia propia de la jurisdicción ordinaria, ni, por ello, el derecho al juez ordinario predeterminado por la ley del art. 24.2 CE”. Recordémoslo, el citado art. 127 CPM tipificaba como delito la negativa a la prestación del servicio militar, infracción penal que, por su propia naturaleza, solo podía ser cometida por personas que no ostentaban la condición militar.</w:t>
      </w:r>
    </w:p>
    <w:p w14:paraId="5EB54C3F" w14:textId="77777777" w:rsidR="003754FE" w:rsidRDefault="003754FE" w:rsidP="003754FE">
      <w:pPr>
        <w:pStyle w:val="TextoNormal"/>
      </w:pPr>
    </w:p>
    <w:p w14:paraId="56AEFF5B" w14:textId="77777777" w:rsidR="003754FE" w:rsidRDefault="003754FE" w:rsidP="003754FE">
      <w:pPr>
        <w:pStyle w:val="TextoNormal"/>
      </w:pPr>
      <w:r>
        <w:t xml:space="preserve">Los tres criterios de atribución de jurisdicción que maneja la sentencia: (i) objetivo, dado por el carácter militar del delito; (ii) funcional, representado por el bien jurídico protegido y (iii) subjetivo, centrado en la condición de militar del sujeto activo del delito, entendemos que no son acumulativos en su totalidad, sino que lo son solo parcialmente. Entendemos también que, pese a lo que se afirma en la sentencia, esos criterios no suponen una reiteración de la doctrina precedente, sino una reformulación que limita sin justificación real el ámbito de la jurisdicción militar, generando, de paso (y por eso no podemos considerarla razonable), serios problemas procesales de los que sí puede derivar un severo compromiso del derecho a la tutela judicial efectiva que garantiza el art. 24 CE. Ello es así muy especialmente respecto del último de los criterios, que la sentencia de la que discrepamos transforma, desde su previsión inicial en nuestra doctrina como un “criterio general” (y, como tal, susceptible de modulación), en un requisito </w:t>
      </w:r>
      <w:r w:rsidRPr="003754FE">
        <w:rPr>
          <w:i/>
        </w:rPr>
        <w:t>sine qua non</w:t>
      </w:r>
      <w:r>
        <w:t>. Con ello se reduce el “ámbito estrictamente castrense” a que se refiere el art. 117.5 CE a los “delitos estrictamente castrenses cometidos por personal castrense”, pese a ser dos expresiones de contenido y sentido muy diverso. Eso es, en definitiva, lo que se afirma en el fundamento jurídico sexto, apartado b), párrafo segundo, incurriendo en una notable contradicción argumental, ya que la sentencia no rechaza que la jurisdicción militar pueda juzgar al personal militar que cometa delitos comunes conexos con delitos militares (con lo que faltaría el primero de los dos elementos de la ecuación) y que esa misma jurisdicción pueda juzgar a civiles que comentan delitos militares impropios (por ejemplo, art. 501 CPM, delito de ataque al centinela, con lo que faltaría el segundo de los elementos de la misma ecuación).</w:t>
      </w:r>
    </w:p>
    <w:p w14:paraId="693ADA0C" w14:textId="77777777" w:rsidR="003754FE" w:rsidRDefault="003754FE" w:rsidP="003754FE">
      <w:pPr>
        <w:pStyle w:val="TextoNormal"/>
      </w:pPr>
    </w:p>
    <w:p w14:paraId="2AE141A3" w14:textId="77777777" w:rsidR="003754FE" w:rsidRDefault="003754FE" w:rsidP="003754FE">
      <w:pPr>
        <w:pStyle w:val="TextoNormal"/>
      </w:pPr>
      <w:r>
        <w:t>Ese es el sentido que cabe derivar de la citada STC 60/1991, FJ 3, que declara que “</w:t>
      </w:r>
      <w:r w:rsidRPr="003754FE">
        <w:rPr>
          <w:i/>
        </w:rPr>
        <w:t>en general</w:t>
      </w:r>
      <w:r>
        <w:t xml:space="preserve"> [...] la condición militar del sujeto al que se imputa el delito ha de ser también un elemento relevante para definir el concepto de lo estrictamente castrense”. Estamos, por tanto (o estábamos hasta ahora), en presencia de una regla general, formulada de forma expresa, que ciertamente admite excepciones, que serán aquellas que determine el legislador, como son los delitos militares impropios que puede cometer cualquier persona, militar o no, y los delitos comunes cometidos por civiles cuando proceda su atribución a la jurisdicción militar por razón de conexidad delictiva.</w:t>
      </w:r>
    </w:p>
    <w:p w14:paraId="75B22DA1" w14:textId="77777777" w:rsidR="003754FE" w:rsidRDefault="003754FE" w:rsidP="003754FE">
      <w:pPr>
        <w:pStyle w:val="TextoNormal"/>
      </w:pPr>
    </w:p>
    <w:p w14:paraId="724DBBFF" w14:textId="77777777" w:rsidR="003754FE" w:rsidRDefault="003754FE" w:rsidP="003754FE">
      <w:pPr>
        <w:pStyle w:val="TextoNormal"/>
      </w:pPr>
      <w:r>
        <w:lastRenderedPageBreak/>
        <w:t xml:space="preserve">2. La sentencia impugnada en amparo, dictada por la Sala de Conflictos de Jurisdicción, resuelve un conflicto de jurisdicción aplicando correctamente la regla que le impone el art. 14 de la Ley Orgánica 4/1987, de 15 de julio, de la competencia y organización de la jurisdicción militar (en lo sucesivo, Ley Orgánica 4/1987), ateniéndose de manera estricta a su sentido y literalidad. A nuestro juicio, si la sentencia de la que discrepamos asume que esa regla imperativa se opone al art. 117.5 CE, al desbordar en su aplicación el ámbito estrictamente castrense, lo consecuente habría sido no dirigir reproche alguno a la Sala </w:t>
      </w:r>
      <w:r w:rsidRPr="003754FE">
        <w:rPr>
          <w:i/>
        </w:rPr>
        <w:t>a quo</w:t>
      </w:r>
      <w:r>
        <w:t xml:space="preserve"> al aplicarla, sino plantear una auto cuestión de inconstitucionalidad, en el entendimiento de que la auto cuestión no podría quedar ahí, pues habría de extenderse al art. 16 LECrim:</w:t>
      </w:r>
    </w:p>
    <w:p w14:paraId="398CECC6" w14:textId="77777777" w:rsidR="003754FE" w:rsidRDefault="003754FE" w:rsidP="003754FE">
      <w:pPr>
        <w:pStyle w:val="TextoNormal"/>
      </w:pPr>
    </w:p>
    <w:p w14:paraId="64A64812" w14:textId="77777777" w:rsidR="003754FE" w:rsidRDefault="003754FE" w:rsidP="003754FE">
      <w:pPr>
        <w:pStyle w:val="TextoNormal"/>
      </w:pPr>
      <w:r>
        <w:t>“La jurisdicción ordinaria será la competente para juzgar a los reos de delitos conexos, siempre que alguno esté sujeto a ella, aun cuando los demás sean aforados.</w:t>
      </w:r>
    </w:p>
    <w:p w14:paraId="408D5B6B" w14:textId="77777777" w:rsidR="003754FE" w:rsidRDefault="003754FE" w:rsidP="003754FE">
      <w:pPr>
        <w:pStyle w:val="TextoNormal"/>
      </w:pPr>
    </w:p>
    <w:p w14:paraId="3BE84FDA" w14:textId="77777777" w:rsidR="003754FE" w:rsidRDefault="003754FE" w:rsidP="003754FE">
      <w:pPr>
        <w:pStyle w:val="TextoNormal"/>
      </w:pPr>
      <w:r>
        <w:t>Lo dispuesto en el párrafo anterior se entiende sin perjuicio de las excepciones expresamente consignadas en este código o en leyes especiales, y singularmente en las leyes penales de guerra y marina, respecto a determinados delitos”.</w:t>
      </w:r>
    </w:p>
    <w:p w14:paraId="39D7B9E4" w14:textId="77777777" w:rsidR="003754FE" w:rsidRDefault="003754FE" w:rsidP="003754FE">
      <w:pPr>
        <w:pStyle w:val="TextoNormal"/>
      </w:pPr>
    </w:p>
    <w:p w14:paraId="27BA49F9" w14:textId="77777777" w:rsidR="003754FE" w:rsidRDefault="003754FE" w:rsidP="003754FE">
      <w:pPr>
        <w:pStyle w:val="TextoNormal"/>
      </w:pPr>
      <w:r>
        <w:t>En la actualidad, la referencia a “las excepciones expresamente consignadas [...] en las leyes penales de guerra y marina”, ha de entenderse efectuada al art. 14 de la Ley Orgánica 4/1987:</w:t>
      </w:r>
    </w:p>
    <w:p w14:paraId="1A26BCCA" w14:textId="77777777" w:rsidR="003754FE" w:rsidRDefault="003754FE" w:rsidP="003754FE">
      <w:pPr>
        <w:pStyle w:val="TextoNormal"/>
      </w:pPr>
    </w:p>
    <w:p w14:paraId="42C96FEF" w14:textId="77777777" w:rsidR="003754FE" w:rsidRDefault="003754FE" w:rsidP="003754FE">
      <w:pPr>
        <w:pStyle w:val="TextoNormal"/>
      </w:pPr>
      <w:r>
        <w:t>“La jurisdicción a que esté atribuido el conocimiento del delito que tenga señalada legalmente pena más grave, conocerá de los delitos conexos.</w:t>
      </w:r>
    </w:p>
    <w:p w14:paraId="2B7927F6" w14:textId="77777777" w:rsidR="003754FE" w:rsidRDefault="003754FE" w:rsidP="003754FE">
      <w:pPr>
        <w:pStyle w:val="TextoNormal"/>
      </w:pPr>
    </w:p>
    <w:p w14:paraId="05ACB14E" w14:textId="77777777" w:rsidR="003754FE" w:rsidRDefault="003754FE" w:rsidP="003754FE">
      <w:pPr>
        <w:pStyle w:val="TextoNormal"/>
      </w:pPr>
      <w:r>
        <w:t>Si sobreseyese el procedimiento en relación con el delito de pena más grave, dejará de conocer de los conexos de los que no sea competente”.</w:t>
      </w:r>
    </w:p>
    <w:p w14:paraId="16D52C85" w14:textId="77777777" w:rsidR="003754FE" w:rsidRDefault="003754FE" w:rsidP="003754FE">
      <w:pPr>
        <w:pStyle w:val="TextoNormal"/>
      </w:pPr>
    </w:p>
    <w:p w14:paraId="22A933A3" w14:textId="77777777" w:rsidR="003754FE" w:rsidRDefault="003754FE" w:rsidP="003754FE">
      <w:pPr>
        <w:pStyle w:val="TextoNormal"/>
      </w:pPr>
      <w:r>
        <w:t>Con otras palabras, la conclusión a la que llega la sentencia del Pleno sobre la norma de atribución de jurisdicción por conexidad determinaría, por partida doble, la inconstitucionalidad de la regulación actual de los dos preceptos citados de las leyes respectivas: (i) porque si, por conexión, se atribuye la competencia a la jurisdicción ordinaria, esta conocerá de un delito militar atribuido constitucionalmente a la jurisdicción militar por concernir al “ámbito estrictamente castrense”; y (ii) porque, si por razón de conexidad se atribuye la competencia a la jurisdicción militar (como es el caso, ahora enjuiciado), esta conocerá de un delito común excediendo los límites del “ámbito estrictamente castrense”.</w:t>
      </w:r>
    </w:p>
    <w:p w14:paraId="2D229217" w14:textId="77777777" w:rsidR="003754FE" w:rsidRDefault="003754FE" w:rsidP="003754FE">
      <w:pPr>
        <w:pStyle w:val="TextoNormal"/>
      </w:pPr>
    </w:p>
    <w:p w14:paraId="2DFFFA81" w14:textId="77777777" w:rsidR="003754FE" w:rsidRDefault="003754FE" w:rsidP="003754FE">
      <w:pPr>
        <w:pStyle w:val="TextoNormal"/>
      </w:pPr>
      <w:r>
        <w:t>Aquella conclusión de la sentencia del Pleno, de exclusión de la competencia de la jurisdicción militar para enjuiciar delitos comunes cometidos por “civiles”, determinaría asimismo la inconstitucionalidad de supuestos en que la Ley Orgánica 4/1987 atribuye esa competencia a la jurisdicción militar en tiempo de paz. Así sucede en el apartado cuarto del art. 12 de la citada ley orgánica:</w:t>
      </w:r>
    </w:p>
    <w:p w14:paraId="5A28E2DB" w14:textId="77777777" w:rsidR="003754FE" w:rsidRDefault="003754FE" w:rsidP="003754FE">
      <w:pPr>
        <w:pStyle w:val="TextoNormal"/>
      </w:pPr>
    </w:p>
    <w:p w14:paraId="5D5E39CE" w14:textId="77777777" w:rsidR="003754FE" w:rsidRDefault="003754FE" w:rsidP="003754FE">
      <w:pPr>
        <w:pStyle w:val="TextoNormal"/>
      </w:pPr>
      <w:r>
        <w:t>“En tiempo de paz, la jurisdicción militar será competente en materia penal para conocer de los siguientes delitos y faltas:</w:t>
      </w:r>
    </w:p>
    <w:p w14:paraId="606AB4DC" w14:textId="77777777" w:rsidR="003754FE" w:rsidRDefault="003754FE" w:rsidP="003754FE">
      <w:pPr>
        <w:pStyle w:val="TextoNormal"/>
      </w:pPr>
    </w:p>
    <w:p w14:paraId="0FA59554" w14:textId="77777777" w:rsidR="003754FE" w:rsidRDefault="003754FE" w:rsidP="003754FE">
      <w:pPr>
        <w:pStyle w:val="TextoNormal"/>
      </w:pPr>
      <w:r>
        <w:t>[...]</w:t>
      </w:r>
    </w:p>
    <w:p w14:paraId="66107165" w14:textId="77777777" w:rsidR="003754FE" w:rsidRDefault="003754FE" w:rsidP="003754FE">
      <w:pPr>
        <w:pStyle w:val="TextoNormal"/>
      </w:pPr>
    </w:p>
    <w:p w14:paraId="1781CAFD" w14:textId="77777777" w:rsidR="003754FE" w:rsidRDefault="003754FE" w:rsidP="003754FE">
      <w:pPr>
        <w:pStyle w:val="TextoNormal"/>
      </w:pPr>
      <w:r>
        <w:lastRenderedPageBreak/>
        <w:t>4. En los casos del número anterior [presencia permanente o temporal fuera del territorio nacional de Fuerzas o Unidades españolas de cualquier ejército] y cuando no existan tratados, acuerdos o convenios aplicables, todos los tipificados en la legislación española siempre que el inculpado sea español y se cometan en acto de servicio o en los lugares o sitios que ocupan Fuerzas o Unidades militares españolas. En este supuesto, si el inculpado regresare a territorio nacional y no hubiera recaído sentencia, los órganos de la jurisdicción militar se inhibirán en favor de la ordinaria, salvo en los supuestos contemplados en los números 1 y 2 de este artículo”.</w:t>
      </w:r>
    </w:p>
    <w:p w14:paraId="00430332" w14:textId="77777777" w:rsidR="003754FE" w:rsidRDefault="003754FE" w:rsidP="003754FE">
      <w:pPr>
        <w:pStyle w:val="TextoNormal"/>
      </w:pPr>
    </w:p>
    <w:p w14:paraId="1CFA4974" w14:textId="77777777" w:rsidR="003754FE" w:rsidRDefault="003754FE" w:rsidP="003754FE">
      <w:pPr>
        <w:pStyle w:val="TextoNormal"/>
      </w:pPr>
      <w:r>
        <w:t>En consecuencia, el efecto de la retroacción de actuaciones obliga a la Sala de Conflictos de Jurisdicción del Tribunal Supremo, por decisión de este tribunal, a inaplicar una norma vigente con rango de ley orgánica atributiva de jurisdicción, como es el art. 14 de la Ley Orgánica 4/1987.</w:t>
      </w:r>
    </w:p>
    <w:p w14:paraId="6F97C307" w14:textId="77777777" w:rsidR="003754FE" w:rsidRDefault="003754FE" w:rsidP="003754FE">
      <w:pPr>
        <w:pStyle w:val="TextoNormal"/>
      </w:pPr>
    </w:p>
    <w:p w14:paraId="2980EE5D" w14:textId="77777777" w:rsidR="003754FE" w:rsidRDefault="003754FE" w:rsidP="003754FE">
      <w:pPr>
        <w:pStyle w:val="TextoNormal"/>
      </w:pPr>
      <w:r>
        <w:t>3. Como hemos señalado en un principio, las consecuencias del criterio aplicado por la sentencia de la que discrepamos no resultan indiferentes desde la perspectiva del derecho a la tutela judicial efectiva que garantiza el art. 24 CE. La valoración por órganos jurisdiccionales distintos de unos mismos hechos, que resulta de la ruptura de la continencia de la causa a la que conduce la sentencia de la que disentimos, no solo puede dar lugar a la existencia de sentencias contradictorias, sino a que la declaración de hechos probados en la sentencia que se haya pronunciado antes condicione la valoración de esos mismos hechos por la que haya de hacerlo después, pues este tribunal ha declarado, desde las SSTC 2/1981, de 30 de enero, y 77/1983, de 3 de octubre (a propósito de la posibilidad de imponer sanciones administrativas y penales respecto de unos mismos hechos, pero aplicable por las mismas razones a la posibilidad de enjuiciar los mismo hechos por órganos jurisdiccionales distintos), que “unos mismos hechos no pueden existir y dejar de existir para los órganos del Estado”.</w:t>
      </w:r>
    </w:p>
    <w:p w14:paraId="419EBD3A" w14:textId="77777777" w:rsidR="003754FE" w:rsidRDefault="003754FE" w:rsidP="003754FE">
      <w:pPr>
        <w:pStyle w:val="TextoNormal"/>
      </w:pPr>
    </w:p>
    <w:p w14:paraId="63B64292" w14:textId="77777777" w:rsidR="003754FE" w:rsidRDefault="003754FE" w:rsidP="003754FE">
      <w:pPr>
        <w:pStyle w:val="TextoNormal"/>
      </w:pPr>
      <w:r>
        <w:t>Esto es algo que, de manera singular, puede suceder en el supuesto al que se refiere el presente recurso de amparo, en el que, entre otros delitos, se investiga la presunta comisión de un delito de cohecho, lo que puede dar lugar a que la jurisdicción ordinaria tenga que determinar si una determinada “dádiva, favor o retribución” fue ofrecida por un civil, pero deberá ser la jurisdicción militar la que determine si esa misma “dádiva, favor o retribución” fue aceptada por un militar, siendo posible que la primera jurisdicción afirme que esa “dádiva, favor o retribución”, en realidad, no existió y la militar lo contrario, y a la inversa. Y algo parecido puede igualmente suceder con el presunto delito de falsedad que se atribuye a civiles, pero que sería instrumental para el presunto delito contra la hacienda militar que se atribuye a militares, riesgo que de manera razonable y razonada estaba en la justificación de la sentencia de la Sala de Conflictos del Tribunal Supremo para aplicar el art. 14 de la Ley Orgánica 4/1987.</w:t>
      </w:r>
    </w:p>
    <w:p w14:paraId="353BED69" w14:textId="77777777" w:rsidR="003754FE" w:rsidRDefault="003754FE" w:rsidP="003754FE">
      <w:pPr>
        <w:pStyle w:val="TextoNormal"/>
      </w:pPr>
    </w:p>
    <w:p w14:paraId="29B28164" w14:textId="77777777" w:rsidR="003754FE" w:rsidRDefault="003754FE" w:rsidP="003754FE">
      <w:pPr>
        <w:pStyle w:val="TextoNormal"/>
      </w:pPr>
      <w:r>
        <w:t>4. La plena integración de la jurisdicción militar en el Poder Judicial y su plena conformación con arreglo a los principios constitucionales, se resumen en la exposición de motivos de la Ley Orgánica 4/1987:</w:t>
      </w:r>
    </w:p>
    <w:p w14:paraId="59448238" w14:textId="77777777" w:rsidR="003754FE" w:rsidRDefault="003754FE" w:rsidP="003754FE">
      <w:pPr>
        <w:pStyle w:val="TextoNormal"/>
      </w:pPr>
    </w:p>
    <w:p w14:paraId="31FB0E1F" w14:textId="77777777" w:rsidR="003754FE" w:rsidRDefault="003754FE" w:rsidP="003754FE">
      <w:pPr>
        <w:pStyle w:val="TextoNormal"/>
      </w:pPr>
      <w:r>
        <w:t xml:space="preserve">“La máxima garantía de una recta administración de justicia se centra en la independencia de los órganos judiciales y, en el seno de la jurisdicción castrense, la presente ley se orienta en esa línea consagrando la inamovilidad, la responsabilidad y la sumisión exclusiva </w:t>
      </w:r>
      <w:r>
        <w:lastRenderedPageBreak/>
        <w:t>al imperio de la ley de quienes desempeñan esta función, haciéndose un verdadero esfuerzo por lograr la definición positiva de esa independencia para los órganos judiciales militares.</w:t>
      </w:r>
    </w:p>
    <w:p w14:paraId="139A0E08" w14:textId="77777777" w:rsidR="003754FE" w:rsidRDefault="003754FE" w:rsidP="003754FE">
      <w:pPr>
        <w:pStyle w:val="TextoNormal"/>
      </w:pPr>
    </w:p>
    <w:p w14:paraId="50B61DB5" w14:textId="77777777" w:rsidR="003754FE" w:rsidRDefault="003754FE" w:rsidP="003754FE">
      <w:pPr>
        <w:pStyle w:val="TextoNormal"/>
      </w:pPr>
      <w:r>
        <w:t>Junto al afán por la independencia, se ha de destacar lo realizado para establecer un sistema de constitución de los órganos judiciales que garantice su predeterminación”.</w:t>
      </w:r>
    </w:p>
    <w:p w14:paraId="5B8C43D5" w14:textId="77777777" w:rsidR="003754FE" w:rsidRDefault="003754FE" w:rsidP="003754FE">
      <w:pPr>
        <w:pStyle w:val="TextoNormal"/>
      </w:pPr>
    </w:p>
    <w:p w14:paraId="77512E99" w14:textId="77777777" w:rsidR="003754FE" w:rsidRDefault="003754FE" w:rsidP="003754FE">
      <w:pPr>
        <w:pStyle w:val="TextoNormal"/>
      </w:pPr>
      <w:r>
        <w:t>Esa plena integración se ha reafirmado con las reformas introducidas con las leyes orgánicas 9/2003, de 15 de julio, por la que se modifica la Ley Orgánica 4/1987, de 15 de julio, de competencia y organización de la jurisdicción militar, y 7/2015, de 21 de julio, por la que se modifica la Ley Orgánica 6/1985, de 1 de julio, del Poder Judicial, de las que resulta que el conocimiento de los procedimientos disciplinarios contra los miembros del Cuerpo Jurídico Militar que desempeñan funciones judiciales corresponde al Consejo General del Poder Judicial, bien directamente o bien por vía de alzada, no al Ministerio de Defensa; también se atribuye al Consejo General del Poder Judicial la inspección de los órganos de la jurisdicción militar; de la misma manera, el Consejo General del Poder Judicial asume el nombramiento de todos y cada uno de los cargos judiciales de la jurisdicción militar, así como su promoción (no en el sentido de ascenso en el empleo, pero sí de tránsito de un órgano judicial a otro de mayor grado en la jurisdicción militar); y, por último, es también el Consejo General del Poder Judicial el competente para otorgar el amparo en caso de que un miembro de la jurisdicción militar se considerase perturbado en su independencia.</w:t>
      </w:r>
    </w:p>
    <w:p w14:paraId="3D891737" w14:textId="77777777" w:rsidR="003754FE" w:rsidRDefault="003754FE" w:rsidP="003754FE">
      <w:pPr>
        <w:pStyle w:val="TextoNormal"/>
      </w:pPr>
    </w:p>
    <w:p w14:paraId="3FAD91AA" w14:textId="77777777" w:rsidR="003754FE" w:rsidRDefault="003754FE" w:rsidP="003754FE">
      <w:pPr>
        <w:pStyle w:val="TextoNormal"/>
      </w:pPr>
      <w:r>
        <w:t>Dicho de otra manera, no solo las reglas procesales de los procedimientos que se siguen ante la jurisdicción militar son perfectamente equiparables a las de los procedimientos ordinarios en cuanto a la garantía del derecho de defensa, sino que las cuatro funciones nucleares que garantizan la independencia judicial y que el art. 122 CE atribuye al Consejo General del Poder Judicial respecto de la jurisdicción ordinaria (nombramiento, promoción, inspección y disciplina), las ejerce también el Consejo General del Poder Judicial respecto de la jurisdicción militar, cuya independencia en términos institucionales es absoluta. Quede ello dicho para enmarcar las referencias que la sentencia de la que discrepamos ha hecho a sentencias del Tribunal Europeo de Derechos Humanos alusivas a jurisdicciones militares de otros Estados que, sin perjuicio del respeto debido, poco (o nada) tienen que ver con la jurisdicción militar española, y cuya cita puede pecar más que probablemente de descontextualización.</w:t>
      </w:r>
    </w:p>
    <w:p w14:paraId="77DBA019" w14:textId="77777777" w:rsidR="003754FE" w:rsidRDefault="003754FE" w:rsidP="003754FE">
      <w:pPr>
        <w:pStyle w:val="TextoNormal"/>
      </w:pPr>
    </w:p>
    <w:p w14:paraId="343436D7" w14:textId="77777777" w:rsidR="003754FE" w:rsidRDefault="003754FE" w:rsidP="003754FE">
      <w:pPr>
        <w:pStyle w:val="TextoNormal"/>
      </w:pPr>
      <w:r>
        <w:t xml:space="preserve">5. Para concluir, y en relación con la cita a la que acabamos de aludir, merece mención aparte la STEDH de 28 de noviembre de 2019, asunto </w:t>
      </w:r>
      <w:r w:rsidRPr="003754FE">
        <w:rPr>
          <w:i/>
        </w:rPr>
        <w:t>Mustafa c. Bulgaria</w:t>
      </w:r>
      <w:r>
        <w:t>, en que se apoya la sentencia objeto de nuestra discrepancia. Es cierto que las dudas de la demandante en cuanto a la independencia e imparcialidad de los tribunales militares pueden considerarse objetivamente justificadas. El argumento fundamental se halla en el parágrafo 31:</w:t>
      </w:r>
    </w:p>
    <w:p w14:paraId="7A944F61" w14:textId="77777777" w:rsidR="003754FE" w:rsidRDefault="003754FE" w:rsidP="003754FE">
      <w:pPr>
        <w:pStyle w:val="TextoNormal"/>
      </w:pPr>
    </w:p>
    <w:p w14:paraId="70D75CA3" w14:textId="77777777" w:rsidR="003754FE" w:rsidRDefault="003754FE" w:rsidP="003754FE">
      <w:pPr>
        <w:pStyle w:val="TextoNormal"/>
      </w:pPr>
      <w:r>
        <w:t>“Las situaciones en las que un tribunal militar ejerce jurisdicción sobre un civil por actos dirigidos contra las fuerzas armadas pueden suscitar dudas razonables en cuanto a la imparcialidad objetiva de dicho tribunal (</w:t>
      </w:r>
      <w:r w:rsidRPr="003754FE">
        <w:rPr>
          <w:i/>
        </w:rPr>
        <w:t>Ergin</w:t>
      </w:r>
      <w:r>
        <w:t xml:space="preserve"> citado </w:t>
      </w:r>
      <w:r w:rsidRPr="003754FE">
        <w:rPr>
          <w:i/>
        </w:rPr>
        <w:t>supra</w:t>
      </w:r>
      <w:r>
        <w:t xml:space="preserve">, § 49). El Tribunal de Justicia considera que esto es aún más cierto en el caso de los delitos comunes, habida cuenta, en particular, de la evolución de la concepción del papel de los tribunales militares a nivel internacional (véase el apartado 19 </w:t>
      </w:r>
      <w:r w:rsidRPr="003754FE">
        <w:rPr>
          <w:i/>
        </w:rPr>
        <w:t>supra</w:t>
      </w:r>
      <w:r>
        <w:t xml:space="preserve">). Un sistema judicial en el que un tribunal militar debe juzgar a una persona que no es miembro de las fuerzas armadas puede interpretarse fácilmente como que anula la distancia necesaria entre el tribunal y las partes en el proceso penal, </w:t>
      </w:r>
      <w:r>
        <w:lastRenderedPageBreak/>
        <w:t>incluso si existen salvaguardias suficientes para garantizar la independencia de ese tribunal</w:t>
      </w:r>
      <w:r w:rsidRPr="003754FE">
        <w:rPr>
          <w:i/>
        </w:rPr>
        <w:t xml:space="preserve"> (Erg</w:t>
      </w:r>
      <w:r>
        <w:t>in citad</w:t>
      </w:r>
      <w:r w:rsidRPr="003754FE">
        <w:rPr>
          <w:i/>
        </w:rPr>
        <w:t>o sup</w:t>
      </w:r>
      <w:r>
        <w:t>ra, § 49)”.</w:t>
      </w:r>
    </w:p>
    <w:p w14:paraId="426DC99D" w14:textId="77777777" w:rsidR="003754FE" w:rsidRDefault="003754FE" w:rsidP="003754FE">
      <w:pPr>
        <w:pStyle w:val="TextoNormal"/>
      </w:pPr>
    </w:p>
    <w:p w14:paraId="0BFAA001" w14:textId="77777777" w:rsidR="003754FE" w:rsidRDefault="003754FE" w:rsidP="003754FE">
      <w:pPr>
        <w:pStyle w:val="TextoNormal"/>
      </w:pPr>
      <w:r>
        <w:t>Pero también es cierto que (i) esa regla general admite excepciones; y (ii) han de tenerse en consideración las circunstancias del caso concreto, y no menos las de la jurisdicción concreta.</w:t>
      </w:r>
    </w:p>
    <w:p w14:paraId="28E6C868" w14:textId="77777777" w:rsidR="003754FE" w:rsidRDefault="003754FE" w:rsidP="003754FE">
      <w:pPr>
        <w:pStyle w:val="TextoNormal"/>
      </w:pPr>
    </w:p>
    <w:p w14:paraId="0F0F5311" w14:textId="77777777" w:rsidR="003754FE" w:rsidRDefault="003754FE" w:rsidP="003754FE">
      <w:pPr>
        <w:pStyle w:val="TextoNormal"/>
      </w:pPr>
      <w:r>
        <w:t>En orden a las excepciones, cabe destacar los siguientes parágrafos en los que se admite la posibilidad de enjuiciamiento de civiles por tribunales militares:</w:t>
      </w:r>
    </w:p>
    <w:p w14:paraId="41BAF8F7" w14:textId="77777777" w:rsidR="003754FE" w:rsidRDefault="003754FE" w:rsidP="003754FE">
      <w:pPr>
        <w:pStyle w:val="TextoNormal"/>
      </w:pPr>
    </w:p>
    <w:p w14:paraId="2C6E28E7" w14:textId="77777777" w:rsidR="003754FE" w:rsidRDefault="003754FE" w:rsidP="003754FE">
      <w:pPr>
        <w:pStyle w:val="TextoNormal"/>
      </w:pPr>
      <w:r>
        <w:t>“32. El Tribunal observa que no puede sostenerse que la Convención excluya absolutamente toda jurisdicción de los tribunales militares para conocer de casos que involucren a civiles. Sin embargo, considera que la existencia de tal competencia debe ser objeto de un examen particularmente riguroso (</w:t>
      </w:r>
      <w:r w:rsidRPr="003754FE">
        <w:rPr>
          <w:i/>
        </w:rPr>
        <w:t>Ibídem</w:t>
      </w:r>
      <w:r>
        <w:t>, § 42, y</w:t>
      </w:r>
      <w:r w:rsidRPr="003754FE">
        <w:rPr>
          <w:i/>
        </w:rPr>
        <w:t xml:space="preserve"> Maszn</w:t>
      </w:r>
      <w:r>
        <w:t>i citada en el § 44; párrafos 17 a 20 CI arriba).</w:t>
      </w:r>
    </w:p>
    <w:p w14:paraId="14FDA851" w14:textId="77777777" w:rsidR="003754FE" w:rsidRDefault="003754FE" w:rsidP="003754FE">
      <w:pPr>
        <w:pStyle w:val="TextoNormal"/>
      </w:pPr>
    </w:p>
    <w:p w14:paraId="3AE7F891" w14:textId="77777777" w:rsidR="003754FE" w:rsidRDefault="003754FE" w:rsidP="003754FE">
      <w:pPr>
        <w:pStyle w:val="TextoNormal"/>
      </w:pPr>
      <w:r>
        <w:t>[…]</w:t>
      </w:r>
    </w:p>
    <w:p w14:paraId="1FC5D973" w14:textId="77777777" w:rsidR="003754FE" w:rsidRDefault="003754FE" w:rsidP="003754FE">
      <w:pPr>
        <w:pStyle w:val="TextoNormal"/>
      </w:pPr>
    </w:p>
    <w:p w14:paraId="15F58654" w14:textId="77777777" w:rsidR="003754FE" w:rsidRDefault="003754FE" w:rsidP="003754FE">
      <w:pPr>
        <w:pStyle w:val="TextoNormal"/>
      </w:pPr>
      <w:r>
        <w:t>34. Esta preocupación [que un civil deba comparecer ante un tribunal compuesto, aunque sea parcialmente, por personal militar socava gravemente la confianza que los tribunales deben inspirar en una sociedad democrática] ya ha llevado al Tribunal a afirmar que el hecho de que esos tribunales decidan sobre la formulación de cargos penales contra civiles solo puede considerarse conforme al artículo 6 de la Convención en circunstancias excepcionales. El enfoque de la Corte se apoya en la tendencia internacional a excluir el ámbito penal de la jurisdicción de los tribunales militares cuando se trata del enjuiciamiento de civiles (</w:t>
      </w:r>
      <w:r w:rsidRPr="003754FE">
        <w:rPr>
          <w:i/>
        </w:rPr>
        <w:t>Ergin</w:t>
      </w:r>
      <w:r>
        <w:t xml:space="preserve"> antes citadas, § 44 y 45, y </w:t>
      </w:r>
      <w:r w:rsidRPr="003754FE">
        <w:rPr>
          <w:i/>
        </w:rPr>
        <w:t>Maszni</w:t>
      </w:r>
      <w:r>
        <w:t xml:space="preserve"> cita</w:t>
      </w:r>
      <w:r w:rsidRPr="003754FE">
        <w:rPr>
          <w:i/>
        </w:rPr>
        <w:t>das s</w:t>
      </w:r>
      <w:r>
        <w:t>upra, § 46 y 47; véase el párrafo 1</w:t>
      </w:r>
      <w:r w:rsidRPr="003754FE">
        <w:rPr>
          <w:i/>
        </w:rPr>
        <w:t>720 s</w:t>
      </w:r>
      <w:r>
        <w:t>upra).</w:t>
      </w:r>
    </w:p>
    <w:p w14:paraId="332E3771" w14:textId="77777777" w:rsidR="003754FE" w:rsidRDefault="003754FE" w:rsidP="003754FE">
      <w:pPr>
        <w:pStyle w:val="TextoNormal"/>
      </w:pPr>
    </w:p>
    <w:p w14:paraId="36A35E5D" w14:textId="77777777" w:rsidR="003754FE" w:rsidRDefault="003754FE" w:rsidP="003754FE">
      <w:pPr>
        <w:pStyle w:val="TextoNormal"/>
      </w:pPr>
      <w:r>
        <w:t>[…]</w:t>
      </w:r>
    </w:p>
    <w:p w14:paraId="1271DE06" w14:textId="77777777" w:rsidR="003754FE" w:rsidRDefault="003754FE" w:rsidP="003754FE">
      <w:pPr>
        <w:pStyle w:val="TextoNormal"/>
      </w:pPr>
    </w:p>
    <w:p w14:paraId="66B3DD91" w14:textId="77777777" w:rsidR="003754FE" w:rsidRDefault="003754FE" w:rsidP="003754FE">
      <w:pPr>
        <w:pStyle w:val="TextoNormal"/>
      </w:pPr>
      <w:r>
        <w:t xml:space="preserve">36. La facultad de la justicia penal militar debe extenderse a los civiles solo si existen razones imperiosas para hacerlo y sobre la base de una base jurídica clara y previsible. La existencia de tales motivos deberá demostrarse en cada caso, </w:t>
      </w:r>
      <w:r w:rsidRPr="003754FE">
        <w:rPr>
          <w:i/>
        </w:rPr>
        <w:t>in concreto</w:t>
      </w:r>
      <w:r>
        <w:t xml:space="preserve">. La atribución </w:t>
      </w:r>
      <w:r w:rsidRPr="003754FE">
        <w:rPr>
          <w:i/>
        </w:rPr>
        <w:t>in abstracto</w:t>
      </w:r>
      <w:r>
        <w:t xml:space="preserve"> por la legislación nacional de ciertas categorías de delitos en los tribunales militares no es suficien</w:t>
      </w:r>
      <w:r w:rsidRPr="003754FE">
        <w:rPr>
          <w:i/>
        </w:rPr>
        <w:t>te (E</w:t>
      </w:r>
      <w:r>
        <w:t>rgin cit</w:t>
      </w:r>
      <w:r w:rsidRPr="003754FE">
        <w:rPr>
          <w:i/>
        </w:rPr>
        <w:t>ado s</w:t>
      </w:r>
      <w:r>
        <w:t>upra, § 47</w:t>
      </w:r>
      <w:r w:rsidRPr="003754FE">
        <w:rPr>
          <w:i/>
        </w:rPr>
        <w:t>, y Ma</w:t>
      </w:r>
      <w:r>
        <w:t>szni cit</w:t>
      </w:r>
      <w:r w:rsidRPr="003754FE">
        <w:rPr>
          <w:i/>
        </w:rPr>
        <w:t>ado s</w:t>
      </w:r>
      <w:r>
        <w:t>upra, § 51).</w:t>
      </w:r>
    </w:p>
    <w:p w14:paraId="6BC74311" w14:textId="77777777" w:rsidR="003754FE" w:rsidRDefault="003754FE" w:rsidP="003754FE">
      <w:pPr>
        <w:pStyle w:val="TextoNormal"/>
      </w:pPr>
    </w:p>
    <w:p w14:paraId="762C20BA" w14:textId="77777777" w:rsidR="003754FE" w:rsidRDefault="003754FE" w:rsidP="003754FE">
      <w:pPr>
        <w:pStyle w:val="TextoNormal"/>
      </w:pPr>
      <w:r>
        <w:t>[…]</w:t>
      </w:r>
    </w:p>
    <w:p w14:paraId="43072745" w14:textId="77777777" w:rsidR="003754FE" w:rsidRDefault="003754FE" w:rsidP="003754FE">
      <w:pPr>
        <w:pStyle w:val="TextoNormal"/>
      </w:pPr>
    </w:p>
    <w:p w14:paraId="20C1F47A" w14:textId="77777777" w:rsidR="003754FE" w:rsidRDefault="003754FE" w:rsidP="003754FE">
      <w:pPr>
        <w:pStyle w:val="TextoNormal"/>
      </w:pPr>
      <w:r>
        <w:t>47. El Tribunal acepta que las consideraciones de conexión y complicidad militan a favor del enjuiciamiento de todos los acusados por el mismo tribunal. Sin embargo, la necesidad de que el caso sea juzgado por un tribunal militar no puede considerarse absoluta. De hecho, en algunos casos, se podría considerar la posibilidad de enjuiciar a todos los acusados ante un tribunal civil. En consecuencia, el Tribunal no puede estar de acuerdo con el argumento del Gobierno de que estas consideraciones por sí solas son suficientes para constituir ‘razones imperiosas’ que justifiquen el enjuiciamiento de un civil por un tribunal penal militar en el presente caso (ver</w:t>
      </w:r>
      <w:r w:rsidRPr="003754FE">
        <w:rPr>
          <w:i/>
        </w:rPr>
        <w:t>, mutatis mutand</w:t>
      </w:r>
      <w:r>
        <w:t>is</w:t>
      </w:r>
      <w:r w:rsidRPr="003754FE">
        <w:rPr>
          <w:i/>
        </w:rPr>
        <w:t>, Ahmet Dog</w:t>
      </w:r>
      <w:r>
        <w:t>an, citado, § 30)”.</w:t>
      </w:r>
    </w:p>
    <w:p w14:paraId="05B6344B" w14:textId="77777777" w:rsidR="003754FE" w:rsidRDefault="003754FE" w:rsidP="003754FE">
      <w:pPr>
        <w:pStyle w:val="TextoNormal"/>
      </w:pPr>
    </w:p>
    <w:p w14:paraId="0A062604" w14:textId="77777777" w:rsidR="003754FE" w:rsidRDefault="003754FE" w:rsidP="003754FE">
      <w:pPr>
        <w:pStyle w:val="TextoNormal"/>
      </w:pPr>
      <w:r>
        <w:lastRenderedPageBreak/>
        <w:t>Y en cuanto a las circunstancias del caso concreto que han de ser objeto de evaluación para afirmar que se ha producido la vulneración del art. 6 del Convenio europeo de derechos humanos, el caso resuelto por la citada sentencia del Tribunal Europeo de Derechos Humanos presenta notables diferencias con el que es objeto del proces</w:t>
      </w:r>
      <w:r w:rsidRPr="003754FE">
        <w:rPr>
          <w:i/>
        </w:rPr>
        <w:t>o a q</w:t>
      </w:r>
      <w:r>
        <w:t>uo y sometido a nuestra jurisdicción:</w:t>
      </w:r>
    </w:p>
    <w:p w14:paraId="2A37B942" w14:textId="77777777" w:rsidR="003754FE" w:rsidRDefault="003754FE" w:rsidP="003754FE">
      <w:pPr>
        <w:pStyle w:val="TextoNormal"/>
      </w:pPr>
    </w:p>
    <w:p w14:paraId="4A0E3163" w14:textId="77777777" w:rsidR="003754FE" w:rsidRDefault="003754FE" w:rsidP="003754FE">
      <w:pPr>
        <w:pStyle w:val="TextoNormal"/>
      </w:pPr>
      <w:r>
        <w:t>“46. [...] el caso del demandante se refería a un grupo delictivo del que sólo uno de los presuntos miembros tenía, en el momento de los hechos, la condición de personal militar y de que no se trataba de un delito contra las fuerzas armadas ni de una violación de los bienes del ejército”.</w:t>
      </w:r>
    </w:p>
    <w:p w14:paraId="3E6EBD8B" w14:textId="77777777" w:rsidR="003754FE" w:rsidRDefault="003754FE" w:rsidP="003754FE">
      <w:pPr>
        <w:pStyle w:val="TextoNormal"/>
      </w:pPr>
    </w:p>
    <w:p w14:paraId="3EC51A00" w14:textId="77777777" w:rsidR="003754FE" w:rsidRDefault="003754FE" w:rsidP="003754FE">
      <w:pPr>
        <w:pStyle w:val="TextoNormal"/>
      </w:pPr>
      <w:r>
        <w:t>Por el contrario, en el proceso seguido en el Juzgado Togado Militar Central núm. 1, aparecen como investigados en el auto de 11 de mayo de 2022, un general de brigada, un coronel, dos tenientes coroneles y dos civiles.</w:t>
      </w:r>
    </w:p>
    <w:p w14:paraId="0C1DB078" w14:textId="77777777" w:rsidR="003754FE" w:rsidRDefault="003754FE" w:rsidP="003754FE">
      <w:pPr>
        <w:pStyle w:val="TextoNormal"/>
      </w:pPr>
    </w:p>
    <w:p w14:paraId="1586E399" w14:textId="77777777" w:rsidR="003754FE" w:rsidRDefault="003754FE" w:rsidP="003754FE">
      <w:pPr>
        <w:pStyle w:val="TextoNormal"/>
      </w:pPr>
      <w:r>
        <w:t>Y, además, los delitos que se imputan a los militares son delitos contra la hacienda militar y de cohecho.</w:t>
      </w:r>
    </w:p>
    <w:p w14:paraId="1E343D48" w14:textId="77777777" w:rsidR="003754FE" w:rsidRDefault="003754FE" w:rsidP="003754FE">
      <w:pPr>
        <w:pStyle w:val="TextoNormal"/>
      </w:pPr>
    </w:p>
    <w:p w14:paraId="3D958081" w14:textId="77777777" w:rsidR="003754FE" w:rsidRDefault="003754FE" w:rsidP="003754FE">
      <w:pPr>
        <w:pStyle w:val="TextoNormal"/>
      </w:pPr>
      <w:r>
        <w:t>En cuanto al control casacional, las diferencias son también notables. La misma STEDH declara lo siguiente:</w:t>
      </w:r>
    </w:p>
    <w:p w14:paraId="73242860" w14:textId="77777777" w:rsidR="003754FE" w:rsidRDefault="003754FE" w:rsidP="003754FE">
      <w:pPr>
        <w:pStyle w:val="TextoNormal"/>
      </w:pPr>
    </w:p>
    <w:p w14:paraId="35D97913" w14:textId="77777777" w:rsidR="003754FE" w:rsidRDefault="003754FE" w:rsidP="003754FE">
      <w:pPr>
        <w:pStyle w:val="TextoNormal"/>
      </w:pPr>
      <w:r>
        <w:t>“48. [...] el Tribunal señala que el Tribunal Supremo no llevó a cabo un análisis que le permitiera identificar las deficiencias detectadas en el presente asunto (véase el apartado 46 anterior). Como tribunal de casación, el Tribunal Supremo de Casación no tiene plena jurisdicción para volver a examinar el caso. Dado que la competencia exclusiva de los tribunales militares se deriva directamente de las disposiciones de la ley, la apelación del demandante ante el Tribunal Supremo no podía alterar el procedimiento</w:t>
      </w:r>
      <w:r w:rsidRPr="003754FE">
        <w:rPr>
          <w:i/>
        </w:rPr>
        <w:t xml:space="preserve"> (Pop y otr</w:t>
      </w:r>
      <w:r>
        <w:t>os citad</w:t>
      </w:r>
      <w:r w:rsidRPr="003754FE">
        <w:rPr>
          <w:i/>
        </w:rPr>
        <w:t>o sup</w:t>
      </w:r>
      <w:r>
        <w:t xml:space="preserve">ra, § 56, </w:t>
      </w:r>
      <w:r w:rsidRPr="003754FE">
        <w:rPr>
          <w:i/>
        </w:rPr>
        <w:t>y Masz</w:t>
      </w:r>
      <w:r>
        <w:t>ni citad</w:t>
      </w:r>
      <w:r w:rsidRPr="003754FE">
        <w:rPr>
          <w:i/>
        </w:rPr>
        <w:t>o sup</w:t>
      </w:r>
      <w:r>
        <w:t>ra, § 58)”.</w:t>
      </w:r>
    </w:p>
    <w:p w14:paraId="5D5EA3BC" w14:textId="77777777" w:rsidR="003754FE" w:rsidRDefault="003754FE" w:rsidP="003754FE">
      <w:pPr>
        <w:pStyle w:val="TextoNormal"/>
      </w:pPr>
    </w:p>
    <w:p w14:paraId="01E2073D" w14:textId="77777777" w:rsidR="003754FE" w:rsidRDefault="003754FE" w:rsidP="003754FE">
      <w:pPr>
        <w:pStyle w:val="TextoNormal"/>
      </w:pPr>
      <w:r>
        <w:t>En el proceso militar español, la Sala de lo Militar del Tribunal Supremo no adolece de esas limitaciones de revisión —controla la posible lesión de derechos fundamentales, las infracciones de ley sustantiva y los quebrantamientos de forma—, sin perjuicio de las limitaciones derivadas del carácter extraordinario del recurso de casación.</w:t>
      </w:r>
    </w:p>
    <w:p w14:paraId="41E0418E" w14:textId="77777777" w:rsidR="003754FE" w:rsidRDefault="003754FE" w:rsidP="003754FE">
      <w:pPr>
        <w:pStyle w:val="TextoNormal"/>
      </w:pPr>
    </w:p>
    <w:p w14:paraId="1489097C" w14:textId="77777777" w:rsidR="003754FE" w:rsidRDefault="003754FE" w:rsidP="003754FE">
      <w:pPr>
        <w:pStyle w:val="TextoNormal"/>
      </w:pPr>
      <w:r>
        <w:t>Por lo expuesto, la sentencia del Pleno debió fallar en sentido desestimatorio por no haberse vulnerado el respectivo derecho de los recurrentes al juez ordinario predeterminado por la ley (art. 24.2 CE), razón por la cual formulamos el presente voto particular.</w:t>
      </w:r>
    </w:p>
    <w:p w14:paraId="20001619" w14:textId="77777777" w:rsidR="003754FE" w:rsidRDefault="003754FE" w:rsidP="003754FE">
      <w:pPr>
        <w:pStyle w:val="TextoNormal"/>
      </w:pPr>
    </w:p>
    <w:p w14:paraId="6AD151EB" w14:textId="3E5C8C35" w:rsidR="003754FE" w:rsidRDefault="003754FE" w:rsidP="003754FE">
      <w:pPr>
        <w:pStyle w:val="TextoNormal"/>
      </w:pPr>
      <w:r>
        <w:t>Madrid, a veintidós de octubre de dos mil veinticuatro.</w:t>
      </w:r>
    </w:p>
    <w:p w14:paraId="44B221CE" w14:textId="00C7C15E" w:rsidR="003754FE" w:rsidRDefault="003754FE">
      <w:pPr>
        <w:spacing w:after="160" w:line="278" w:lineRule="auto"/>
        <w:rPr>
          <w:rFonts w:ascii="Times New Roman" w:eastAsia="Times New Roman" w:hAnsi="Times New Roman" w:cs="Times New Roman"/>
          <w:sz w:val="24"/>
          <w:szCs w:val="24"/>
          <w:lang w:eastAsia="es-ES"/>
        </w:rPr>
      </w:pPr>
      <w:r>
        <w:br w:type="page"/>
      </w:r>
    </w:p>
    <w:p w14:paraId="3C1ADB1D" w14:textId="77777777" w:rsidR="003754FE" w:rsidRDefault="003754FE" w:rsidP="003754FE">
      <w:pPr>
        <w:pStyle w:val="TtuloResolucin"/>
      </w:pPr>
      <w:bookmarkStart w:id="38" w:name="SENTENCIA_2024_129"/>
      <w:r>
        <w:lastRenderedPageBreak/>
        <w:t>SENTENCIA 129/2024, de 22 de octubre de 2024</w:t>
      </w:r>
    </w:p>
    <w:bookmarkEnd w:id="38"/>
    <w:p w14:paraId="05042FB1" w14:textId="77777777" w:rsidR="003754FE" w:rsidRDefault="003754FE" w:rsidP="003754FE">
      <w:pPr>
        <w:pStyle w:val="TtuloResolucin"/>
      </w:pPr>
      <w:r>
        <w:t>Pleno</w:t>
      </w:r>
    </w:p>
    <w:p w14:paraId="2A9E744D" w14:textId="77777777" w:rsidR="003754FE" w:rsidRDefault="003754FE" w:rsidP="003754FE">
      <w:pPr>
        <w:pStyle w:val="TtuloBOE"/>
      </w:pPr>
      <w:r>
        <w:t>(BOE núm. 286, de 27 de noviembre de 2024)</w:t>
      </w:r>
    </w:p>
    <w:p w14:paraId="2404966D" w14:textId="77777777" w:rsidR="003754FE" w:rsidRDefault="003754FE" w:rsidP="003754FE">
      <w:pPr>
        <w:pStyle w:val="TextoNormalCentrado"/>
      </w:pPr>
      <w:r>
        <w:t>ECLI:ES:TC:2024:129</w:t>
      </w:r>
    </w:p>
    <w:p w14:paraId="0B8E38DD" w14:textId="6A28384B" w:rsidR="003754FE" w:rsidRDefault="003754FE" w:rsidP="003754FE">
      <w:pPr>
        <w:pStyle w:val="TextoNormalCentrado"/>
      </w:pPr>
    </w:p>
    <w:p w14:paraId="2CBAB4D7" w14:textId="77777777" w:rsidR="003754FE" w:rsidRDefault="003754FE" w:rsidP="003754FE">
      <w:pPr>
        <w:pStyle w:val="SntesisDescriptiva"/>
      </w:pPr>
      <w:r>
        <w:t>Recurso de amparo 917-2022. Promovido por doña María Concepción Gamarra Ruiz-Clavijo, portavoz del Grupo Parlamentario Popular del Congreso de los Diputados, respecto de las resoluciones dictadas por la presidenta de la Cámara sobre la votación de convalidación del Real Decreto-ley 32/2021, de 28 de diciembre, de medidas urgentes para la reforma laboral, la garantía de estabilidad en el empleo y la transformación del mercado de trabajo.</w:t>
      </w:r>
    </w:p>
    <w:p w14:paraId="663E8661" w14:textId="727FD27B" w:rsidR="003754FE" w:rsidRDefault="003754FE" w:rsidP="003754FE">
      <w:pPr>
        <w:pStyle w:val="SntesisDescriptiva"/>
      </w:pPr>
    </w:p>
    <w:p w14:paraId="19E1FB9D" w14:textId="77777777" w:rsidR="003754FE" w:rsidRDefault="003754FE" w:rsidP="003754FE">
      <w:pPr>
        <w:pStyle w:val="SntesisAnaltica"/>
      </w:pPr>
      <w:r>
        <w:t>Supuesta vulneración del derecho al ejercicio del cargo representativo: STC 114/2024 (ejercicio del voto telemático al que no sucede una solicitud o actuación personal tempestiva del propio diputado que acredite su expresa voluntad de optar por el ejercicio presencial de su voto y por la anulación del voto telemático autorizado y emitido). Voto particular.</w:t>
      </w:r>
    </w:p>
    <w:p w14:paraId="38677760" w14:textId="7282AADE" w:rsidR="003754FE" w:rsidRDefault="003754FE" w:rsidP="003754FE">
      <w:pPr>
        <w:pStyle w:val="SntesisAnaltica"/>
      </w:pPr>
    </w:p>
    <w:p w14:paraId="0BEBBB88" w14:textId="49F67F46" w:rsidR="003754FE" w:rsidRDefault="003754FE" w:rsidP="003754FE">
      <w:pPr>
        <w:pStyle w:val="Extracto"/>
      </w:pPr>
      <w:r>
        <w:t>1.</w:t>
      </w:r>
      <w:r>
        <w:tab/>
        <w:t>Aplicación de la doctrina sentada en la SSTC 114/2024, en materia de procedimiento de autorización del voto presencial al diputado que ha votado previamente de modo telemático, debiendo mediar una solicitud o actuación personal tempestiva del propio diputado que acredite su expresa voluntad de optar por el ejercicio presencial de su voto y por la anulación del voto telemático autorizado y emitido; y ello en virtud del carácter personal e indelegable del voto [FJ 2].</w:t>
      </w:r>
    </w:p>
    <w:p w14:paraId="37640AC7" w14:textId="77777777" w:rsidR="003754FE" w:rsidRDefault="003754FE" w:rsidP="003754FE">
      <w:pPr>
        <w:pStyle w:val="Extracto"/>
      </w:pPr>
    </w:p>
    <w:p w14:paraId="1A0EADCF" w14:textId="77777777" w:rsidR="003754FE" w:rsidRDefault="003754FE" w:rsidP="003754FE">
      <w:pPr>
        <w:pStyle w:val="Extracto"/>
      </w:pPr>
    </w:p>
    <w:p w14:paraId="3C1C92E3" w14:textId="77777777" w:rsidR="003754FE" w:rsidRDefault="003754FE" w:rsidP="003754FE">
      <w:pPr>
        <w:pStyle w:val="TextoNormal"/>
      </w:pPr>
      <w:r>
        <w:t>El Pleno del Tribunal Constitucional, compuesto por el magistrado don Cándido Conde- 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ha pronunciado</w:t>
      </w:r>
    </w:p>
    <w:p w14:paraId="55AE6A7C" w14:textId="40DEBD9A" w:rsidR="003754FE" w:rsidRDefault="003754FE" w:rsidP="003754FE">
      <w:pPr>
        <w:pStyle w:val="TextoNormal"/>
      </w:pPr>
    </w:p>
    <w:p w14:paraId="475709FE" w14:textId="77777777" w:rsidR="003754FE" w:rsidRDefault="003754FE" w:rsidP="003754FE">
      <w:pPr>
        <w:pStyle w:val="TextoNormalCentrado"/>
        <w:keepNext/>
      </w:pPr>
      <w:r>
        <w:t>EN NOMBRE DEL REY</w:t>
      </w:r>
    </w:p>
    <w:p w14:paraId="714A889B" w14:textId="536791F3" w:rsidR="003754FE" w:rsidRDefault="003754FE" w:rsidP="003754FE">
      <w:pPr>
        <w:pStyle w:val="TextoNormalCentrado"/>
        <w:keepNext/>
      </w:pPr>
    </w:p>
    <w:p w14:paraId="07CE5722" w14:textId="77777777" w:rsidR="003754FE" w:rsidRDefault="003754FE" w:rsidP="003754FE">
      <w:pPr>
        <w:pStyle w:val="TextoNormalCentrado"/>
        <w:keepNext/>
      </w:pPr>
    </w:p>
    <w:p w14:paraId="6BBE69F7" w14:textId="77777777" w:rsidR="003754FE" w:rsidRDefault="003754FE" w:rsidP="003754FE">
      <w:pPr>
        <w:pStyle w:val="TextoNormal"/>
      </w:pPr>
      <w:r>
        <w:t>la siguiente</w:t>
      </w:r>
    </w:p>
    <w:p w14:paraId="160477BC" w14:textId="44723094" w:rsidR="003754FE" w:rsidRDefault="003754FE" w:rsidP="003754FE">
      <w:pPr>
        <w:pStyle w:val="TextoNormal"/>
      </w:pPr>
    </w:p>
    <w:p w14:paraId="57D206B4" w14:textId="77777777" w:rsidR="003754FE" w:rsidRDefault="003754FE" w:rsidP="003754FE">
      <w:pPr>
        <w:pStyle w:val="TextoNormalCentrado"/>
        <w:keepNext/>
      </w:pPr>
      <w:r>
        <w:t>SENTENCIA</w:t>
      </w:r>
    </w:p>
    <w:p w14:paraId="4B7A4B16" w14:textId="2D9F6AD4" w:rsidR="003754FE" w:rsidRDefault="003754FE" w:rsidP="003754FE">
      <w:pPr>
        <w:pStyle w:val="TextoNormalCentrado"/>
        <w:keepNext/>
      </w:pPr>
    </w:p>
    <w:p w14:paraId="750A4E84" w14:textId="77777777" w:rsidR="003754FE" w:rsidRDefault="003754FE" w:rsidP="003754FE">
      <w:pPr>
        <w:pStyle w:val="TextoNormal"/>
      </w:pPr>
      <w:r>
        <w:t xml:space="preserve">En el recurso de amparo núm. 917-2022, promovido por doña María Concepción Gamarra Ruiz-Clavijo, en su condición de diputada y de portavoz del Grupo Parlamentario Popular del Congreso de los Diputados en la XIV Legislatura, contra la decisión de la señora presidenta del Congreso, adoptada en la sesión plenaria del Congreso de los Diputados de 3 de febrero de 2022, por medio de la cual se considera verificado el voto telemático del diputado don Alberto Casero Ávila en relación con la convalidación del Real Decreto-ley 32/2021, de 28 de diciembre, de medidas urgentes para la reforma laboral, la garantía de estabilidad en el empleo y la transformación del mercado de trabajo; así como contra la posterior decisión de la señora presidenta del Congreso de la misma fecha, de no proceder </w:t>
      </w:r>
      <w:r>
        <w:lastRenderedPageBreak/>
        <w:t>a la convocatoria de la mesa del Congreso de los Diputados de forma previa a la votación de la convalidación del mencionado Real Decreto-ley 32/2021, para que dicho órgano se pronunciase en relación con la solicitud del diputado señor Casero Ávila para ejercer su voto presencialmente. Ha comparecido el Congreso de los Diputados. Ha intervenido el Ministerio Fiscal. Ha sido ponente el magistrado don Ramón Sáez Valcárcel.</w:t>
      </w:r>
    </w:p>
    <w:p w14:paraId="65B3A2B6" w14:textId="413DA5B1" w:rsidR="003754FE" w:rsidRDefault="003754FE" w:rsidP="003754FE">
      <w:pPr>
        <w:pStyle w:val="TextoNormal"/>
      </w:pPr>
    </w:p>
    <w:p w14:paraId="09B33F1A" w14:textId="77777777" w:rsidR="003754FE" w:rsidRDefault="003754FE" w:rsidP="003754FE">
      <w:pPr>
        <w:pStyle w:val="TextoNormalNegritaCentrado"/>
        <w:keepNext/>
      </w:pPr>
      <w:r>
        <w:t>I. Antecedentes</w:t>
      </w:r>
    </w:p>
    <w:p w14:paraId="712F0110" w14:textId="3348C4D0" w:rsidR="003754FE" w:rsidRDefault="003754FE" w:rsidP="003754FE">
      <w:pPr>
        <w:pStyle w:val="TextoNormalNegritaCentrado"/>
        <w:keepNext/>
      </w:pPr>
    </w:p>
    <w:p w14:paraId="27DE8CD5" w14:textId="6F820202" w:rsidR="003754FE" w:rsidRDefault="003754FE" w:rsidP="003754FE">
      <w:pPr>
        <w:pStyle w:val="TextoNormal"/>
      </w:pPr>
      <w:r w:rsidRPr="003754FE">
        <w:rPr>
          <w:rStyle w:val="NumeroAFNegritaCaracter"/>
        </w:rPr>
        <w:t>1</w:t>
      </w:r>
      <w:r>
        <w:t>. Mediante escrito que tuvo entrada en este tribunal el día 11 de febrero de 2022, doña María Concepción Gamarra Ruiz-Clavijo, diputada y portavoz del Grupo Parlamentario Popular en la XIV Legislatura del Congreso de los Diputados, representada por el procurador de los tribunales don Manuel Sánchez-Puelles González Carvajal y bajo la dirección letrada de don Jaime Eduardo de Olano Vela, interpuso recurso de amparo contra las decisiones de la presidencia del Congreso de los Diputados mencionadas en el encabezamiento de esta sentencia.</w:t>
      </w:r>
    </w:p>
    <w:p w14:paraId="6DA4382C" w14:textId="77777777" w:rsidR="003754FE" w:rsidRDefault="003754FE" w:rsidP="003754FE">
      <w:pPr>
        <w:pStyle w:val="TextoNormal"/>
      </w:pPr>
    </w:p>
    <w:p w14:paraId="4C4A98BF" w14:textId="77777777" w:rsidR="003754FE" w:rsidRDefault="003754FE" w:rsidP="003754FE">
      <w:pPr>
        <w:pStyle w:val="TextoNormal"/>
      </w:pPr>
      <w:r w:rsidRPr="003754FE">
        <w:rPr>
          <w:rStyle w:val="NumeroAFNegritaCaracter"/>
        </w:rPr>
        <w:t>2</w:t>
      </w:r>
      <w:r>
        <w:t>. El recurso trae causa de los siguientes antecedentes, coincidentes con los del recurso de amparo 916-2022:</w:t>
      </w:r>
    </w:p>
    <w:p w14:paraId="007E7FE9" w14:textId="77777777" w:rsidR="003754FE" w:rsidRDefault="003754FE" w:rsidP="003754FE">
      <w:pPr>
        <w:pStyle w:val="TextoNormal"/>
      </w:pPr>
    </w:p>
    <w:p w14:paraId="1E8444DE" w14:textId="77777777" w:rsidR="003754FE" w:rsidRDefault="003754FE" w:rsidP="003754FE">
      <w:pPr>
        <w:pStyle w:val="TextoNormal"/>
      </w:pPr>
      <w:r>
        <w:t>a) La mesa del Congreso de los Diputados, en su reunión de 26 de octubre de 2021, acordó (i) derogar su anterior acuerdo de 16 de junio de 2020, que prorrogaba el acuerdo de 19 de marzo de 2020, relativo a la emisión del voto por el procedimiento telemático en las sesiones plenarias; (ii) que, hasta la finalización de la crisis sanitaria ocasionada por la covid-19, la mesa de la Cámara pudiera “establecer que, atendiendo a su duración u otras circunstancias […], en determinadas votaciones la totalidad de los diputados emitan su voto por el procedimiento telemático”; y (iii) que “[e]n todos los supuestos en los que proceda el voto telemático, y sin perjuicio de lo previsto en la resolución de la mesa de la Cámara para el desarrollo de procedimiento de votación telemática, de 21 de mayo de 2012, la emisión del voto se hará a través de la intranet de la Cámara, con introducción de usuario y contraseña, como método de verificación de la emisión personal del voto”.</w:t>
      </w:r>
    </w:p>
    <w:p w14:paraId="25125FC4" w14:textId="77777777" w:rsidR="003754FE" w:rsidRDefault="003754FE" w:rsidP="003754FE">
      <w:pPr>
        <w:pStyle w:val="TextoNormal"/>
      </w:pPr>
    </w:p>
    <w:p w14:paraId="3113BD4F" w14:textId="77777777" w:rsidR="003754FE" w:rsidRDefault="003754FE" w:rsidP="003754FE">
      <w:pPr>
        <w:pStyle w:val="TextoNormal"/>
      </w:pPr>
      <w:r>
        <w:t>b) La mesa del Congreso de los Diputados, en su reunión de 1 de febrero de 2022, con carácter complementario al anterior acuerdo, acordó permitir que los diputados autorizados para emitir su voto telemáticamente pudieran hacerlo respecto de todos los asuntos incluidos en el orden del día del Pleno, organizándose los debates y las votaciones para que los términos en que fueran a producirse estas últimas fuera conocido en la emisión del voto telemático, conforme a lo establecido en el artículo 82.2 del Reglamento del Congreso de los Diputados (RCD).</w:t>
      </w:r>
    </w:p>
    <w:p w14:paraId="39C665E0" w14:textId="77777777" w:rsidR="003754FE" w:rsidRDefault="003754FE" w:rsidP="003754FE">
      <w:pPr>
        <w:pStyle w:val="TextoNormal"/>
      </w:pPr>
    </w:p>
    <w:p w14:paraId="1643B19F" w14:textId="77777777" w:rsidR="003754FE" w:rsidRDefault="003754FE" w:rsidP="003754FE">
      <w:pPr>
        <w:pStyle w:val="TextoNormal"/>
      </w:pPr>
      <w:r>
        <w:t xml:space="preserve">c) Con fecha de 1 de febrero de 2022, el diputado señor Casero Ávila solicitó la emisión del voto por el procedimiento telemático para las sesiones plenarias ordinarias que tendrían lugar desde el 1 y el 3 de febrero de 2022, “al amparo de lo dispuesto en el artículo 82.2 del Reglamento de la Cámara, de la resolución de la mesa del Congreso de los Diputados de 21 de mayo de 2012 y de la comunicación cursada por el secretario general del Congreso de los Diputados de 26 de octubre de 2021”; a cuyo objeto acompañó certificado médico de enfermedad impeditiva del desempeño de la función parlamentaria. Con esa misma fecha, la mesa de la Cámara acordó autorizar al diputado la emisión del voto telemático en la sesión </w:t>
      </w:r>
      <w:r>
        <w:lastRenderedPageBreak/>
        <w:t>plenaria que comenzaría ese mismo día, delegando “en la Presidencia de la Cámara la concreción de los puntos del orden del día y los momentos de inicio y de finalización del tiempo para la emisión del voto en cada sesión plenaria comprendida en el periodo por el que se concede la presente autorización”.</w:t>
      </w:r>
    </w:p>
    <w:p w14:paraId="682F2EB5" w14:textId="77777777" w:rsidR="003754FE" w:rsidRDefault="003754FE" w:rsidP="003754FE">
      <w:pPr>
        <w:pStyle w:val="TextoNormal"/>
      </w:pPr>
    </w:p>
    <w:p w14:paraId="4BA8B344" w14:textId="77777777" w:rsidR="003754FE" w:rsidRDefault="003754FE" w:rsidP="003754FE">
      <w:pPr>
        <w:pStyle w:val="TextoNormal"/>
      </w:pPr>
      <w:r>
        <w:t>d) El 3 de febrero de 2022 se celebró la sesión plenaria del Congreso de los Diputados en la que, entre otros puntos del orden del día, se incluía la votación de la convalidación o derogación del Real Decreto-ley 32/2021, de 28 de diciembre, de medidas urgentes para la reforma laboral, la garantía de estabilidad en el empleo y la transformación del mercado de trabajo. Según consta en el “Diario de Sesiones del Congreso de los Diputados”, Pleno y Diputación Permanente, XIV Legislatura, núm. 156, de 3 de febrero de 2022, pág. 94, el resultado de la votación fue de 175 votos a favor (166 más 9 votos telemáticos) y 174 en contra (169 más 5 votos telemáticos), por lo que el Real Decreto-ley 32/2021 quedó convalidado.</w:t>
      </w:r>
    </w:p>
    <w:p w14:paraId="60F09823" w14:textId="77777777" w:rsidR="003754FE" w:rsidRDefault="003754FE" w:rsidP="003754FE">
      <w:pPr>
        <w:pStyle w:val="TextoNormal"/>
      </w:pPr>
    </w:p>
    <w:p w14:paraId="2433624D" w14:textId="77777777" w:rsidR="003754FE" w:rsidRDefault="003754FE" w:rsidP="003754FE">
      <w:pPr>
        <w:pStyle w:val="TextoNormal"/>
      </w:pPr>
      <w:r>
        <w:t>e) Una vez finalizadas las votaciones y antes de que la presidenta del Congreso de los Diputados levantara la sesión, pidió la palabra la diputada del Grupo Parlamentario Popular, señora Gamarra Ruiz-Clavijo, constando en el “Diario de Sesiones” núm. 156, de 3 de febrero de 2022, págs. 96 y 97, los siguientes extremos:</w:t>
      </w:r>
    </w:p>
    <w:p w14:paraId="07DF8F1B" w14:textId="77777777" w:rsidR="003754FE" w:rsidRDefault="003754FE" w:rsidP="003754FE">
      <w:pPr>
        <w:pStyle w:val="TextoNormal"/>
      </w:pPr>
    </w:p>
    <w:p w14:paraId="1E665CE9" w14:textId="77777777" w:rsidR="003754FE" w:rsidRDefault="003754FE" w:rsidP="003754FE">
      <w:pPr>
        <w:pStyle w:val="TextoNormal"/>
      </w:pPr>
      <w:r>
        <w:t>“La señora Gamarra Ruiz-Clavijo: Señora presidenta, con carácter previo a la votación se ha puesto de manifiesto a la mesa un error informático.</w:t>
      </w:r>
    </w:p>
    <w:p w14:paraId="2335A0C0" w14:textId="77777777" w:rsidR="003754FE" w:rsidRDefault="003754FE" w:rsidP="003754FE">
      <w:pPr>
        <w:pStyle w:val="TextoNormal"/>
      </w:pPr>
    </w:p>
    <w:p w14:paraId="42843C20" w14:textId="77777777" w:rsidR="003754FE" w:rsidRDefault="003754FE" w:rsidP="003754FE">
      <w:pPr>
        <w:pStyle w:val="TextoNormal"/>
      </w:pPr>
      <w:r>
        <w:t>La señora presidenta: Señora Gamarra, ¿en función de qué artículo me está usted pidiendo la palabra?</w:t>
      </w:r>
    </w:p>
    <w:p w14:paraId="2A13F736" w14:textId="77777777" w:rsidR="003754FE" w:rsidRDefault="003754FE" w:rsidP="003754FE">
      <w:pPr>
        <w:pStyle w:val="TextoNormal"/>
      </w:pPr>
    </w:p>
    <w:p w14:paraId="1996E392" w14:textId="77777777" w:rsidR="003754FE" w:rsidRDefault="003754FE" w:rsidP="003754FE">
      <w:pPr>
        <w:pStyle w:val="TextoNormal"/>
      </w:pPr>
      <w:r>
        <w:t>La señora Gamarra Ruiz-Clavijo: Artículo 72. (Rumores).</w:t>
      </w:r>
    </w:p>
    <w:p w14:paraId="76B40AB6" w14:textId="77777777" w:rsidR="003754FE" w:rsidRDefault="003754FE" w:rsidP="003754FE">
      <w:pPr>
        <w:pStyle w:val="TextoNormal"/>
      </w:pPr>
    </w:p>
    <w:p w14:paraId="5E3F7988" w14:textId="77777777" w:rsidR="003754FE" w:rsidRDefault="003754FE" w:rsidP="003754FE">
      <w:pPr>
        <w:pStyle w:val="TextoNormal"/>
      </w:pPr>
      <w:r>
        <w:t>La señora presidenta: Señora Gamarra, precisamente porque la mesa es conocedora y ha podido analizar lo que usted me va a plantear, y es una cuestión técnica de la mesa, de decisión de la mesa, y no de tratamiento de Pleno, no le voy a dar la palabra.</w:t>
      </w:r>
    </w:p>
    <w:p w14:paraId="08ED48DD" w14:textId="77777777" w:rsidR="003754FE" w:rsidRDefault="003754FE" w:rsidP="003754FE">
      <w:pPr>
        <w:pStyle w:val="TextoNormal"/>
      </w:pPr>
    </w:p>
    <w:p w14:paraId="216A23CF" w14:textId="77777777" w:rsidR="003754FE" w:rsidRDefault="003754FE" w:rsidP="003754FE">
      <w:pPr>
        <w:pStyle w:val="TextoNormal"/>
      </w:pPr>
      <w:r>
        <w:t>La señora Gamarra Ruiz-Clavijo: Señora presidenta… (Protestas. Varios señores diputados: ¡Tongo, tongo! ¡Qué vergüenza!).</w:t>
      </w:r>
    </w:p>
    <w:p w14:paraId="2E9039FC" w14:textId="77777777" w:rsidR="003754FE" w:rsidRDefault="003754FE" w:rsidP="003754FE">
      <w:pPr>
        <w:pStyle w:val="TextoNormal"/>
      </w:pPr>
    </w:p>
    <w:p w14:paraId="0CE296E3" w14:textId="77777777" w:rsidR="003754FE" w:rsidRDefault="003754FE" w:rsidP="003754FE">
      <w:pPr>
        <w:pStyle w:val="TextoNormal"/>
      </w:pPr>
      <w:r>
        <w:t>La señora presidenta: Muchas gracias. Se levanta la sesión. (Aplausos).</w:t>
      </w:r>
    </w:p>
    <w:p w14:paraId="3A91B4E1" w14:textId="77777777" w:rsidR="003754FE" w:rsidRDefault="003754FE" w:rsidP="003754FE">
      <w:pPr>
        <w:pStyle w:val="TextoNormal"/>
      </w:pPr>
    </w:p>
    <w:p w14:paraId="3E0F09C0" w14:textId="77777777" w:rsidR="003754FE" w:rsidRDefault="003754FE" w:rsidP="003754FE">
      <w:pPr>
        <w:pStyle w:val="TextoNormal"/>
      </w:pPr>
      <w:r>
        <w:t>Eran las seis y cuarenta minutos de la tarde”.</w:t>
      </w:r>
    </w:p>
    <w:p w14:paraId="2FB72FE5" w14:textId="77777777" w:rsidR="003754FE" w:rsidRDefault="003754FE" w:rsidP="003754FE">
      <w:pPr>
        <w:pStyle w:val="TextoNormal"/>
      </w:pPr>
    </w:p>
    <w:p w14:paraId="4452D77E" w14:textId="77777777" w:rsidR="003754FE" w:rsidRDefault="003754FE" w:rsidP="003754FE">
      <w:pPr>
        <w:pStyle w:val="TextoNormal"/>
      </w:pPr>
      <w:r>
        <w:t xml:space="preserve">f) Según afirma en su demanda el grupo parlamentario recurrente, después de ejercer el voto de manera telemática para los asuntos contenidos en el orden del día de esa sesión plenaria, el diputado Sr. Casero Ávila se percató de que el resguardo emitido en relación con su voto telemático en la convalidación o derogación del Real Decreto-ley 32/2021 reflejaba un “Sí”, lo cual no se correspondía con su voluntad de votar “No” en ese asunto, achacando ese error manifiesto a un origen informático o humano. En esa tesitura, ante la imposibilidad de comunicar la anterior circunstancia a la presidenta del Congreso, informó a su grupo parlamentario para que trasladasen la circunstancia a la presidenta antes de la votación presencial. Asimismo, el grupo recurrente expresa en su demanda que la cuestión </w:t>
      </w:r>
      <w:r>
        <w:lastRenderedPageBreak/>
        <w:t>fue trasladada a la presidenta del Congreso de los Diputados antes de la votación plenaria de ese asunto, tanto por la vicepresidenta segunda y el secretario cuarto del Congreso, señora Pastor Julián y señor Suárez Illana, como por la portavoz de su grupo parlamentario, señora Gamarra Ruiz-Clavijo; siendo estos hechos los que habrían dado lugar a la intervención de la portavoz al finalizar las votaciones, como se recoge en la parte del “Diario de Sesiones” reproducida.</w:t>
      </w:r>
    </w:p>
    <w:p w14:paraId="5F3C38D9" w14:textId="77777777" w:rsidR="003754FE" w:rsidRDefault="003754FE" w:rsidP="003754FE">
      <w:pPr>
        <w:pStyle w:val="TextoNormal"/>
      </w:pPr>
    </w:p>
    <w:p w14:paraId="53E579D4" w14:textId="77777777" w:rsidR="003754FE" w:rsidRDefault="003754FE" w:rsidP="003754FE">
      <w:pPr>
        <w:pStyle w:val="TextoNormal"/>
      </w:pPr>
      <w:r>
        <w:t>g) El mismo 3 de febrero de 2022, después de levantada la sesión plenaria, tuvo entrada en el registro del Congreso de los Diputados escrito de la portavoz del Grupo Parlamentario Popular en el que manifestaba que antes de iniciarse la votación plenaria de la convalidación o derogación del Real Decreto-ley 32/2021 se puso de manifiesto a la Presidencia de la Cámara, por miembros de la mesa y de la dirección de su grupo parlamentario, que no se estaba respetando lo dispuesto en los apartados cuarto y sexto de la resolución de la mesa del Congreso de los Diputados de 21 de mayo de 2012 para el desarrollo de los procedimientos de votación telemática (en adelante, de forma general, resolución de 2012), por dos motivos: (i) porque no se había verificado telefónicamente con el diputado señor Casero Ávila la emisión de su voto telemático y el sentido de este, según lo previsto en el apartado cuarto de la citada resolución); y (ii) porque no se había convocado a la mesa de la Cámara para dar trámite a la petición del diputado de emitir su voto presencialmente, según lo previsto en el apartado sexto de la resolución. Por todo lo anterior, en el escrito se solicitaba que no se publicase la votación plenaria efectuada sobre la convalidación o derogación del Real Decreto-ley 32/2021, así como que no se emitiese la resolución de la Presidencia de la Cámara ordenando la publicación en el “Boletín Oficial del Estado” del acuerdo de convalidación.</w:t>
      </w:r>
    </w:p>
    <w:p w14:paraId="298ED349" w14:textId="77777777" w:rsidR="003754FE" w:rsidRDefault="003754FE" w:rsidP="003754FE">
      <w:pPr>
        <w:pStyle w:val="TextoNormal"/>
      </w:pPr>
    </w:p>
    <w:p w14:paraId="12F05F61" w14:textId="77777777" w:rsidR="003754FE" w:rsidRDefault="003754FE" w:rsidP="003754FE">
      <w:pPr>
        <w:pStyle w:val="TextoNormal"/>
      </w:pPr>
      <w:r>
        <w:t>Ese escrito venía acompañado por otro del diputado Sr. Casero Ávila de la misma fecha, en el que manifestaba que se había visto vulnerado su “derecho fundamental al ejercicio del voto establecido por la Constitución Española”, y que, por ello, el resultado correspondiente a la convalidación del Real Decreto-ley 32/2021 no expresaba la voluntad popular, “puesto que uno de los votos emitidos es contrario al sentido expresado por mí mediante el sistema telemático”.</w:t>
      </w:r>
    </w:p>
    <w:p w14:paraId="348504A5" w14:textId="77777777" w:rsidR="003754FE" w:rsidRDefault="003754FE" w:rsidP="003754FE">
      <w:pPr>
        <w:pStyle w:val="TextoNormal"/>
      </w:pPr>
    </w:p>
    <w:p w14:paraId="000576B6" w14:textId="77777777" w:rsidR="003754FE" w:rsidRDefault="003754FE" w:rsidP="003754FE">
      <w:pPr>
        <w:pStyle w:val="TextoNormal"/>
      </w:pPr>
      <w:r>
        <w:t>h) También el 3 de febrero de 2022 tuvo entrada en el registro del Congreso de los Diputados escrito de la vicepresidenta segunda, señora Pastor Julián, y del secretario cuarto, señor Suárez Illana, en el que solicitaban la convocatoria urgente de la mesa para “tratar el que no se convocase por parte de la presidenta una reunión de la mesa incumpliendo el apartado sexto de la resolución de la mesa del Congreso de los Diputados, de 21 de mayo de 2012 tras la solicitud de miembros de la dirección del Grupo Parlamentario Popular y miembros de la mesa, para abordar la petición del diputado don Alberto Casero de anular el voto telemático realizado por él y recibir la consiguiente autorización para votar presencialmente la derogación o convalidación del Real Decreto-ley 32/2021”.</w:t>
      </w:r>
    </w:p>
    <w:p w14:paraId="7EECA98B" w14:textId="77777777" w:rsidR="003754FE" w:rsidRDefault="003754FE" w:rsidP="003754FE">
      <w:pPr>
        <w:pStyle w:val="TextoNormal"/>
      </w:pPr>
    </w:p>
    <w:p w14:paraId="4C0FC4FE" w14:textId="77777777" w:rsidR="003754FE" w:rsidRDefault="003754FE" w:rsidP="003754FE">
      <w:pPr>
        <w:pStyle w:val="TextoNormal"/>
      </w:pPr>
      <w:r>
        <w:t xml:space="preserve">i) Posteriormente, en fecha de 4 de febrero de 2022, mediante un nuevo escrito la diputada portavoz del Grupo Parlamentario Popular viene a recordar a la presidenta del Congreso que está pendiente la convocatoria urgente de la mesa de la Cámara, solicitada por dos de sus miembros en el escrito anteriormente referenciado, al tiempo que reitera su solicitud para que por la Presidencia de la Cámara se “ordene la inmediata suspensión y paralización de cualesquiera trámites dirigidos a la publicación y efectividad de la votación […] respecto </w:t>
      </w:r>
      <w:r>
        <w:lastRenderedPageBreak/>
        <w:t>de la convalidación o derogación del Real Decreto-ley 32/2021, de 28 de diciembre a todos los efectos”.</w:t>
      </w:r>
    </w:p>
    <w:p w14:paraId="259D1679" w14:textId="77777777" w:rsidR="003754FE" w:rsidRDefault="003754FE" w:rsidP="003754FE">
      <w:pPr>
        <w:pStyle w:val="TextoNormal"/>
      </w:pPr>
    </w:p>
    <w:p w14:paraId="38C6F9CE" w14:textId="77777777" w:rsidR="003754FE" w:rsidRDefault="003754FE" w:rsidP="003754FE">
      <w:pPr>
        <w:pStyle w:val="TextoNormal"/>
      </w:pPr>
      <w:r>
        <w:t>También con fecha de 4 de febrero presentaron escrito en el mismo sentido, solicitando convocatoria de la mesa, la señora vicepresidenta segunda y el señor secretario cuarto del Congreso.</w:t>
      </w:r>
    </w:p>
    <w:p w14:paraId="3702A78F" w14:textId="77777777" w:rsidR="003754FE" w:rsidRDefault="003754FE" w:rsidP="003754FE">
      <w:pPr>
        <w:pStyle w:val="TextoNormal"/>
      </w:pPr>
    </w:p>
    <w:p w14:paraId="419BE22E" w14:textId="77777777" w:rsidR="003754FE" w:rsidRDefault="003754FE" w:rsidP="003754FE">
      <w:pPr>
        <w:pStyle w:val="TextoNormal"/>
      </w:pPr>
      <w:r>
        <w:t>Asimismo, ese día presentó un nuevo escrito el diputado señor Casero Ávila, planteando igual solicitud de suspensión y paralización de trámites, después de manifestar que se le había vulnerado su derecho de voto y que se le había impedido formular presencialmente su voto en la sesión plenaria.</w:t>
      </w:r>
    </w:p>
    <w:p w14:paraId="1821FAFD" w14:textId="77777777" w:rsidR="003754FE" w:rsidRDefault="003754FE" w:rsidP="003754FE">
      <w:pPr>
        <w:pStyle w:val="TextoNormal"/>
      </w:pPr>
    </w:p>
    <w:p w14:paraId="02642109" w14:textId="77777777" w:rsidR="003754FE" w:rsidRDefault="003754FE" w:rsidP="003754FE">
      <w:pPr>
        <w:pStyle w:val="TextoNormal"/>
      </w:pPr>
      <w:r>
        <w:t>j) Con fecha de 7 de febrero de 2022, ochenta y cuatro diputados pertenecientes al Grupo Parlamentario Popular, que representaban más de un quinto de los miembros del Congreso, solicitaron, al amparo del art. 39.1 del Reglamento del Congreso de los Diputados, la convocatoria urgente de la junta de portavoces “para adoptar las decisiones que procedan en relación con los hechos acaecidos”, en relación con la solicitud del diputado señor Casero Ávila y la convocatoria de la mesa.</w:t>
      </w:r>
    </w:p>
    <w:p w14:paraId="72206962" w14:textId="77777777" w:rsidR="003754FE" w:rsidRDefault="003754FE" w:rsidP="003754FE">
      <w:pPr>
        <w:pStyle w:val="TextoNormal"/>
      </w:pPr>
    </w:p>
    <w:p w14:paraId="2759DDD8" w14:textId="77777777" w:rsidR="003754FE" w:rsidRDefault="003754FE" w:rsidP="003754FE">
      <w:pPr>
        <w:pStyle w:val="TextoNormal"/>
      </w:pPr>
      <w:r>
        <w:t>También el 7 de febrero de 2022 presentó un nuevo escrito el diputado señor Casero Ávila en el que, como en el anterior de 3 de febrero de 2022, solicitaba “la inmediata suspensión y paralización de cualesquiera trámites dirigidos a la publicación y efectividad de la votación […] respecto de la convalidación o derogación del Real Decreto-ley 32/2021 […], hasta que se vea restablecido mi derecho”.</w:t>
      </w:r>
    </w:p>
    <w:p w14:paraId="4CC7DC56" w14:textId="77777777" w:rsidR="003754FE" w:rsidRDefault="003754FE" w:rsidP="003754FE">
      <w:pPr>
        <w:pStyle w:val="TextoNormal"/>
      </w:pPr>
    </w:p>
    <w:p w14:paraId="6627D750" w14:textId="77777777" w:rsidR="003754FE" w:rsidRDefault="003754FE" w:rsidP="003754FE">
      <w:pPr>
        <w:pStyle w:val="TextoNormal"/>
      </w:pPr>
      <w:r>
        <w:t>k) En esa misma fecha de 7 de febrero de 2022, la presidenta del Congreso de los Diputados dirigió sendos escritos a la vicepresidenta segunda y al secretario cuarto de la mesa de la Cámara en los que expone: “En contestación a sus solicitudes de convocatoria de la mesa de la Cámara para tratar el por qué la misma no fue convocada para resolver en relación con la petición de anulación […] del voto emitido telemáticamente por el señor Casero Ávila […], le comunico que el examen de los asuntos referidos en sus solicitudes, así como las cuestiones a las que se refieren el resto de escritos que, relativos a este tema, han tenido entrada en el registro de la Cámara, se producirá en la próxima reunión de la mesa, que se celebrará, en todo caso, con carácter previo a la sesión plenaria que comenzará el 15 de febrero de 2022”.</w:t>
      </w:r>
    </w:p>
    <w:p w14:paraId="30543F08" w14:textId="77777777" w:rsidR="003754FE" w:rsidRDefault="003754FE" w:rsidP="003754FE">
      <w:pPr>
        <w:pStyle w:val="TextoNormal"/>
      </w:pPr>
    </w:p>
    <w:p w14:paraId="004930EF" w14:textId="77777777" w:rsidR="003754FE" w:rsidRDefault="003754FE" w:rsidP="003754FE">
      <w:pPr>
        <w:pStyle w:val="TextoNormal"/>
      </w:pPr>
      <w:r>
        <w:t>l) También el 7 de febrero de 2022, a la vista del anterior escrito, la vicepresidenta segunda y el secretario cuarto del Congreso de los Diputados reiteraron mediante un nuevo escrito su petición de convocatoria urgente de la mesa de la Cámara, manifestando que lo comunicado por la presidenta del Congreso no daba respuesta a sus solicitudes.</w:t>
      </w:r>
    </w:p>
    <w:p w14:paraId="4111A154" w14:textId="77777777" w:rsidR="003754FE" w:rsidRDefault="003754FE" w:rsidP="003754FE">
      <w:pPr>
        <w:pStyle w:val="TextoNormal"/>
      </w:pPr>
    </w:p>
    <w:p w14:paraId="26605545" w14:textId="77777777" w:rsidR="003754FE" w:rsidRDefault="003754FE" w:rsidP="003754FE">
      <w:pPr>
        <w:pStyle w:val="TextoNormal"/>
      </w:pPr>
      <w:r>
        <w:t>m) En el “Boletín Oficial del Estado” de 8 de febrero de 2022 se publicó la resolución de 3 de febrero de 2022, del Congreso de los Diputados, por la que se ordena la publicación del acuerdo de convalidación del Real Decreto-ley 32/2021, de 28 de diciembre.</w:t>
      </w:r>
    </w:p>
    <w:p w14:paraId="0AA1F6B0" w14:textId="77777777" w:rsidR="003754FE" w:rsidRDefault="003754FE" w:rsidP="003754FE">
      <w:pPr>
        <w:pStyle w:val="TextoNormal"/>
      </w:pPr>
    </w:p>
    <w:p w14:paraId="143AC183" w14:textId="77777777" w:rsidR="003754FE" w:rsidRDefault="003754FE" w:rsidP="003754FE">
      <w:pPr>
        <w:pStyle w:val="TextoNormal"/>
      </w:pPr>
      <w:r>
        <w:t xml:space="preserve">n) Ese mismo día 8 de febrero de 2022 la vicepresidenta segunda y el secretario cuarto del Congreso presentaron un nuevo escrito solicitando que los escritos presentados por ellos </w:t>
      </w:r>
      <w:r>
        <w:lastRenderedPageBreak/>
        <w:t>y por el Grupo Parlamentario Popular se incluyeran en el orden del día de la mesa de esa misma fecha.</w:t>
      </w:r>
    </w:p>
    <w:p w14:paraId="0483826B" w14:textId="77777777" w:rsidR="003754FE" w:rsidRDefault="003754FE" w:rsidP="003754FE">
      <w:pPr>
        <w:pStyle w:val="TextoNormal"/>
      </w:pPr>
    </w:p>
    <w:p w14:paraId="04B52693" w14:textId="77777777" w:rsidR="003754FE" w:rsidRDefault="003754FE" w:rsidP="003754FE">
      <w:pPr>
        <w:pStyle w:val="TextoNormal"/>
      </w:pPr>
      <w:r>
        <w:t>ñ) El 11 de febrero de 2022 la presidenta del Congreso de los Diputados dirigió un escrito a la portavoz del Grupo Parlamentario Popular, en el que, en relación con los escritos presentados por ella y por los diputados de su grupo parlamentario, le significaba que en aplicación del art. 151.6 RCD y conforme al proceder habitual, correspondía la ejecución del acuerdo plenario de convalidación del Real Decreto-ley 32/2021 dando publicidad en la página web de la Cámara al resultado de las votaciones y ordenando la publicación en el “Boletín Oficial de las Cortes Generales” y en el “Boletín Oficial del Estado”. En el escrito se indicaba que “cuando la Cámara se pronuncia, se entiende válidamente expresada su voluntad, sin que sea posible disponer de la misma”, así como que en la fecha que era conocida por la destinataria del escrito se celebraría reunión de la junta de portavoces “para la ordenación, en el marco de sus competencias, de las cuestiones relativas al Pleno”.</w:t>
      </w:r>
    </w:p>
    <w:p w14:paraId="6840AAF1" w14:textId="77777777" w:rsidR="003754FE" w:rsidRDefault="003754FE" w:rsidP="003754FE">
      <w:pPr>
        <w:pStyle w:val="TextoNormal"/>
      </w:pPr>
    </w:p>
    <w:p w14:paraId="4096BDF1" w14:textId="77777777" w:rsidR="003754FE" w:rsidRDefault="003754FE" w:rsidP="003754FE">
      <w:pPr>
        <w:pStyle w:val="TextoNormal"/>
      </w:pPr>
      <w:r>
        <w:t>Ese mismo día, la presidenta del Congreso dirigió escrito al diputado señor Casero Ávila, con un contenido igual al anterior en cuanto a la obligada publicación del acuerdo plenario de convalidación, y en el que se indicaba, además, que “las votaciones telemáticas que tuvieron lugar en el marco de la sesión plenaria de 3 de febrero se desarrollaron sin que se produjera ninguna incidencia técnica, no pudiéndose imputar a un fallo del sistema la circunstancia puesta de manifiesto por V.E. de que su voto no se correspondiera con la que era su voluntad. Por ello, su voto, que se emitió conforme al procedimiento establecido, es válido, sin que quepa entender que se ha producido una vulneración de su derecho”.</w:t>
      </w:r>
    </w:p>
    <w:p w14:paraId="42F193D2" w14:textId="77777777" w:rsidR="003754FE" w:rsidRDefault="003754FE" w:rsidP="003754FE">
      <w:pPr>
        <w:pStyle w:val="TextoNormal"/>
      </w:pPr>
    </w:p>
    <w:p w14:paraId="3DB10AA0" w14:textId="77777777" w:rsidR="003754FE" w:rsidRDefault="003754FE" w:rsidP="003754FE">
      <w:pPr>
        <w:pStyle w:val="TextoNormal"/>
      </w:pPr>
      <w:r>
        <w:t>o) En su reunión de 15 de febrero de 2022, la mesa del Congreso adoptó el siguiente acuerdo:</w:t>
      </w:r>
    </w:p>
    <w:p w14:paraId="083C026F" w14:textId="77777777" w:rsidR="003754FE" w:rsidRDefault="003754FE" w:rsidP="003754FE">
      <w:pPr>
        <w:pStyle w:val="TextoNormal"/>
      </w:pPr>
    </w:p>
    <w:p w14:paraId="16434BE1" w14:textId="77777777" w:rsidR="003754FE" w:rsidRDefault="003754FE" w:rsidP="003754FE">
      <w:pPr>
        <w:pStyle w:val="TextoNormal"/>
      </w:pPr>
      <w:r>
        <w:t>“Teniendo en cuenta las posiciones manifestadas en el debate, y con el voto en contra de la señora Pastor y de los señores Gil y Suárez, la mesa acuerda respaldar las decisiones de la Presidencia adoptadas el pasado día 3 de febrero, de acuerdo con el informe de la Secretaría General; constatar, ante el Informe técnico, la inexistencia de fallo telemático y, en consecuencia, la falta del supuesto de aplicación del apartado sexto de la resolución de la mesa del Congreso de los Diputados, de 21 de mayo de 2012 […] y reafirmar que los errores humanos no dan lugar a corrección ni a repetición del voto”.</w:t>
      </w:r>
    </w:p>
    <w:p w14:paraId="7D2E2FF8" w14:textId="77777777" w:rsidR="003754FE" w:rsidRDefault="003754FE" w:rsidP="003754FE">
      <w:pPr>
        <w:pStyle w:val="TextoNormal"/>
      </w:pPr>
    </w:p>
    <w:p w14:paraId="004E1638" w14:textId="77777777" w:rsidR="003754FE" w:rsidRDefault="003754FE" w:rsidP="003754FE">
      <w:pPr>
        <w:pStyle w:val="TextoNormal"/>
      </w:pPr>
      <w:r>
        <w:t>p) El informe de la Secretaría General del Congreso de los Diputados al que se hace mención en el acuerdo recién citado contiene, en extracto, las siguientes conclusiones:</w:t>
      </w:r>
    </w:p>
    <w:p w14:paraId="5EA223EC" w14:textId="77777777" w:rsidR="003754FE" w:rsidRDefault="003754FE" w:rsidP="003754FE">
      <w:pPr>
        <w:pStyle w:val="TextoNormal"/>
      </w:pPr>
    </w:p>
    <w:p w14:paraId="1661A9F0" w14:textId="77777777" w:rsidR="003754FE" w:rsidRDefault="003754FE" w:rsidP="003754FE">
      <w:pPr>
        <w:pStyle w:val="TextoNormal"/>
      </w:pPr>
      <w:r>
        <w:t>“1. El procedimiento de votación, única forma válida de expresión de la voluntad de la Cámara, no es disponible para el diputado […] el procedimiento de votación telemática es de carácter excepcional, de modo que solo cabe de forma limitada, no pudiendo comportar ninguna ventaja frente a los votantes presenciales y debiendo articularse de manera que garantice la personalidad del voto.</w:t>
      </w:r>
    </w:p>
    <w:p w14:paraId="798572CA" w14:textId="77777777" w:rsidR="003754FE" w:rsidRDefault="003754FE" w:rsidP="003754FE">
      <w:pPr>
        <w:pStyle w:val="TextoNormal"/>
      </w:pPr>
    </w:p>
    <w:p w14:paraId="285E3CDC" w14:textId="77777777" w:rsidR="003754FE" w:rsidRDefault="003754FE" w:rsidP="003754FE">
      <w:pPr>
        <w:pStyle w:val="TextoNormal"/>
      </w:pPr>
      <w:r>
        <w:t xml:space="preserve">2. El voto del señor Casero fue válidamente emitido y produce plenos efectos. Tal y como ha quedado acreditado, no se produjo un fallo en el sistema de votación […] tampoco resultó violentado el procedimiento de votación telemática, el cual se desarrolló de conformidad con el régimen jurídico vigente, […] la comprobación personal a que se refiere el artículo </w:t>
      </w:r>
      <w:r>
        <w:lastRenderedPageBreak/>
        <w:t>82.2 del Reglamento se realiza, no en los términos del apartado cuarto de la resolución de la mesa de 21 de mayo de 2012, sino mediante la introducción de usuario y contraseña en la intranet de la Cámara.</w:t>
      </w:r>
    </w:p>
    <w:p w14:paraId="4DBF8ECD" w14:textId="77777777" w:rsidR="003754FE" w:rsidRDefault="003754FE" w:rsidP="003754FE">
      <w:pPr>
        <w:pStyle w:val="TextoNormal"/>
      </w:pPr>
    </w:p>
    <w:p w14:paraId="06BE0D0B" w14:textId="77777777" w:rsidR="003754FE" w:rsidRDefault="003754FE" w:rsidP="003754FE">
      <w:pPr>
        <w:pStyle w:val="TextoNormal"/>
      </w:pPr>
      <w:r>
        <w:t>3. Esta comprobación personal […] no está concebida como una vía para subsanar eventuales errores, sino como una garantía de la emisión personal del voto por quien es titular del mandato parlamentario.</w:t>
      </w:r>
    </w:p>
    <w:p w14:paraId="5E2E7FB2" w14:textId="77777777" w:rsidR="003754FE" w:rsidRDefault="003754FE" w:rsidP="003754FE">
      <w:pPr>
        <w:pStyle w:val="TextoNormal"/>
      </w:pPr>
    </w:p>
    <w:p w14:paraId="7C1B9C93" w14:textId="77777777" w:rsidR="003754FE" w:rsidRDefault="003754FE" w:rsidP="003754FE">
      <w:pPr>
        <w:pStyle w:val="TextoNormal"/>
      </w:pPr>
      <w:r>
        <w:t>4. El voto válidamente emitido, sea presencial o telemáticamente, es irrevocable, de lo que se deriva necesariamente que las votaciones, salvo error técnico […] y en los casos expresamente previstos en el Reglamento […] no se repiten.</w:t>
      </w:r>
    </w:p>
    <w:p w14:paraId="631723BD" w14:textId="77777777" w:rsidR="003754FE" w:rsidRDefault="003754FE" w:rsidP="003754FE">
      <w:pPr>
        <w:pStyle w:val="TextoNormal"/>
      </w:pPr>
    </w:p>
    <w:p w14:paraId="0AF6D81C" w14:textId="77777777" w:rsidR="003754FE" w:rsidRDefault="003754FE" w:rsidP="003754FE">
      <w:pPr>
        <w:pStyle w:val="TextoNormal"/>
      </w:pPr>
      <w:r>
        <w:t>5. El apartado sexto de la resolución de la mesa de 21 de mayo de 2012 […] no se concibe como una segunda oportunidad para el diputado que vota telemáticamente, sino como un mecanismo excepcional previsto para que, si fuese pertinente para mejor garantizar el derecho de voto, […] el diputado que en principio estaba autorizado para votar telemáticamente, pueda hacerlo de manera presencial.</w:t>
      </w:r>
    </w:p>
    <w:p w14:paraId="731B8026" w14:textId="77777777" w:rsidR="003754FE" w:rsidRDefault="003754FE" w:rsidP="003754FE">
      <w:pPr>
        <w:pStyle w:val="TextoNormal"/>
      </w:pPr>
    </w:p>
    <w:p w14:paraId="514CC655" w14:textId="77777777" w:rsidR="003754FE" w:rsidRDefault="003754FE" w:rsidP="003754FE">
      <w:pPr>
        <w:pStyle w:val="TextoNormal"/>
      </w:pPr>
      <w:r>
        <w:t>6. De acuerdo con numerosos precedentes, en el caso del Sr. Casero no sería de aplicación el referido apartado sexto de la Resolución, toda vez que no se dan las circunstancias que hubieran justificado la anulación de su voto. En este contexto, no resultaba ni jurídicamente exigible y tampoco necesario reunir a la mesa.</w:t>
      </w:r>
    </w:p>
    <w:p w14:paraId="7EFC23B1" w14:textId="77777777" w:rsidR="003754FE" w:rsidRDefault="003754FE" w:rsidP="003754FE">
      <w:pPr>
        <w:pStyle w:val="TextoNormal"/>
      </w:pPr>
    </w:p>
    <w:p w14:paraId="73B9E263" w14:textId="4B6B03FD" w:rsidR="003754FE" w:rsidRDefault="003754FE" w:rsidP="003754FE">
      <w:pPr>
        <w:pStyle w:val="TextoNormal"/>
      </w:pPr>
      <w:r>
        <w:t>7. Finalmente, en cuanto a la petición de que se paralicen los trámites conducentes a dar efectividad al acuerdo de convalidación del Real Decreto-ley 32/2021, […] el Pleno de la Cámara se pronunció […] expresando su voluntad de manera definitiva. No siendo posible disponer de tal voluntad, […] lo que procede es su inmediata ejecución, en cumplimiento de lo establecido en el artículo 151.6 del Reglamento”.</w:t>
      </w:r>
    </w:p>
    <w:p w14:paraId="7C07DB10" w14:textId="77777777" w:rsidR="003754FE" w:rsidRDefault="003754FE" w:rsidP="003754FE">
      <w:pPr>
        <w:pStyle w:val="TextoNormal"/>
      </w:pPr>
    </w:p>
    <w:p w14:paraId="2F26397E" w14:textId="77777777" w:rsidR="003754FE" w:rsidRDefault="003754FE" w:rsidP="003754FE">
      <w:pPr>
        <w:pStyle w:val="TextoNormal"/>
      </w:pPr>
      <w:r w:rsidRPr="003754FE">
        <w:rPr>
          <w:rStyle w:val="NumeroAFNegritaCaracter"/>
        </w:rPr>
        <w:t>3</w:t>
      </w:r>
      <w:r>
        <w:t xml:space="preserve">. En la demanda se alega que las resoluciones recurridas han vulnerado el derecho fundamental de los diputados que forman parte del Grupo Parlamentario Popular, así como del grupo parlamentario como tal, a ejercer la función representativa de conformidad con la ley y en condiciones de igualdad </w:t>
      </w:r>
      <w:r w:rsidRPr="003754FE">
        <w:rPr>
          <w:i/>
        </w:rPr>
        <w:t>ex</w:t>
      </w:r>
      <w:r>
        <w:t xml:space="preserve"> art. 23.2 CE, a través de la manifestación de su postura colectiva sobre una determinada votación de índole legislativa, con referencia a la STC 361/2006, de 18 de diciembre, FJ 5. La vulneración traería causa de la incidencia de las resoluciones impugnadas para el ejercicio del derecho de voto del diputado de ese grupo parlamentario señor Casero Ávila. A este respecto, se razona en la demanda lo siguiente:</w:t>
      </w:r>
    </w:p>
    <w:p w14:paraId="6DB91D66" w14:textId="77777777" w:rsidR="003754FE" w:rsidRDefault="003754FE" w:rsidP="003754FE">
      <w:pPr>
        <w:pStyle w:val="TextoNormal"/>
      </w:pPr>
    </w:p>
    <w:p w14:paraId="1DA4FB16" w14:textId="77777777" w:rsidR="003754FE" w:rsidRDefault="003754FE" w:rsidP="003754FE">
      <w:pPr>
        <w:pStyle w:val="TextoNormal"/>
      </w:pPr>
      <w:r>
        <w:t>a) El derecho de los parlamentarios a desempeñar su labor representativa no puede resultar ilegítimamente constreñido o ignorado por los actos de los órganos parlamentarios, que están obligados a interpretar restrictivamente todas aquellas normas que puedan suponer una limitación al ejercicio de sus derechos y atribuciones, y a motivar suficiente y adecuadamente las decisiones restrictivas de ese derecho.</w:t>
      </w:r>
    </w:p>
    <w:p w14:paraId="2A32F129" w14:textId="77777777" w:rsidR="003754FE" w:rsidRDefault="003754FE" w:rsidP="003754FE">
      <w:pPr>
        <w:pStyle w:val="TextoNormal"/>
      </w:pPr>
    </w:p>
    <w:p w14:paraId="3650B100" w14:textId="77777777" w:rsidR="003754FE" w:rsidRDefault="003754FE" w:rsidP="003754FE">
      <w:pPr>
        <w:pStyle w:val="TextoNormal"/>
      </w:pPr>
      <w:r>
        <w:t xml:space="preserve">b) El derecho de voto de los parlamentarios se encuentra incluido entre las funciones que integran el llamado </w:t>
      </w:r>
      <w:r w:rsidRPr="003754FE">
        <w:rPr>
          <w:i/>
        </w:rPr>
        <w:t>ius in officium</w:t>
      </w:r>
      <w:r>
        <w:t xml:space="preserve"> (STC 361/2006, de 18 de diciembre, FJ 3). En el presente caso, ese derecho se ha visto vulnerado porque la Presidencia de la Cámara, cuando le fue comunicado el error en la emisión del voto telemático por el diputado señor Casero Ávila, </w:t>
      </w:r>
      <w:r>
        <w:lastRenderedPageBreak/>
        <w:t>se negó a activar las garantías que hubiesen permitido corregir dicho error, previstas en la resolución de 2012, con la agravante de influir en el resultado final de la votación.</w:t>
      </w:r>
    </w:p>
    <w:p w14:paraId="1E32967D" w14:textId="77777777" w:rsidR="003754FE" w:rsidRDefault="003754FE" w:rsidP="003754FE">
      <w:pPr>
        <w:pStyle w:val="TextoNormal"/>
      </w:pPr>
    </w:p>
    <w:p w14:paraId="72A29BDC" w14:textId="77777777" w:rsidR="003754FE" w:rsidRDefault="003754FE" w:rsidP="003754FE">
      <w:pPr>
        <w:pStyle w:val="TextoNormal"/>
      </w:pPr>
      <w:r>
        <w:t>c) Las decisiones impugnadas han vulnerado el derecho al ejercicio del cargo representativo de conformidad con lo previsto en las leyes. La primera de esas decisiones, por la que se considera verificado el voto telemático del diputado en la votación del Real Decreto-ley 32/2021, ha infringido la imperativa comprobación de oficio, por la presidenta o persona delegada, de la efectiva emisión del voto y del sentido de este, como prescribe el apartado cuarto de la resolución de 2012 (“[t]ras ejercer el voto mediante el procedimiento telemático, la Presidencia u órgano en quien delegue, comprobará telefónicamente con el diputado autorizado, antes del inicio de la votación presencial en el Pleno, la emisión efectiva del voto y el sentido de este”). Según el grupo demandante de amparo, se trata de un procedimiento vigente a partir del acuerdo de la mesa del Congreso de 26 de octubre de 2021, que no deroga dicho régimen al prever la votación telemática a través de la intranet de la Cámara “con la introducción de usuario y contraseña, como método de verificación de la emisión personal del voto”, siendo irrelevante la práctica “antirreglamentaria” reciente que no sigue los requisitos de la resolución de 2012. Añade el grupo recurrente que, aunque ese procedimiento no se hubiera activado de oficio, en todo caso debería haberse procedido a la comprobación del sentido del voto al haberlo solicitado el diputado y haberse puesto en conocimiento de la presidenta del Congreso de forma previa a la votación presencial. Según la demanda, la decisión de no realizar dicha comprobación telefónica constituyó una actuación consciente y parcial para contabilizar un voto contrario a la voluntad del representante y permitir la aprobación de la iniciativa sometida a votación.</w:t>
      </w:r>
    </w:p>
    <w:p w14:paraId="00142F5C" w14:textId="77777777" w:rsidR="003754FE" w:rsidRDefault="003754FE" w:rsidP="003754FE">
      <w:pPr>
        <w:pStyle w:val="TextoNormal"/>
      </w:pPr>
    </w:p>
    <w:p w14:paraId="62CAFD09" w14:textId="77777777" w:rsidR="003754FE" w:rsidRDefault="003754FE" w:rsidP="003754FE">
      <w:pPr>
        <w:pStyle w:val="TextoNormal"/>
      </w:pPr>
      <w:r>
        <w:t>Por su parte, la segunda decisión impugnada, consistente en no convocar la mesa del Congreso de los Diputados de forma previa a la controvertida votación del Real Decreto-ley 32/2021, impidió que ese órgano de gobierno se pronunciase sobre la solicitud del diputado de votar presencialmente y sobre la consiguiente anulación de su voto telemático, infringiendo así lo dispuesto en el apartado sexto de la resolución de 2012 (“[e]l diputado que hubiera emitido su voto mediante el procedimiento telemático no podrá emitir su voto presencial sin autorización expresa de la mesa de la Cámara que, en el supuesto que decida autorizar el voto presencial, declarará el voto telemático nulo y no emitido”).</w:t>
      </w:r>
    </w:p>
    <w:p w14:paraId="3EACD08C" w14:textId="77777777" w:rsidR="003754FE" w:rsidRDefault="003754FE" w:rsidP="003754FE">
      <w:pPr>
        <w:pStyle w:val="TextoNormal"/>
      </w:pPr>
    </w:p>
    <w:p w14:paraId="4FA30C3B" w14:textId="77777777" w:rsidR="003754FE" w:rsidRDefault="003754FE" w:rsidP="003754FE">
      <w:pPr>
        <w:pStyle w:val="TextoNormal"/>
      </w:pPr>
      <w:r>
        <w:t xml:space="preserve">d) Se ha vulnerado el derecho al ejercicio del cargo representativo del diputado señor Casero Ávila porque las decisiones impugnadas han llevado a cabo una interpretación en exceso restrictiva y limitadora de las normas parlamentarias de aplicación, con menoscabo del principio de la interpretación más favorable a la plena eficacia de los derechos fundamentales implicados. Según la demanda, y a diferencia de lo que ocurre con el voto presencial, en el caso del voto telemático no se produce ningún perjuicio al interés general si se permite al diputado su corrección, cuando exista un error involuntario en su emisión y ello se comunique con anterioridad a la votación presencial. A su vez, esas decisiones limitativas del derecho carecen de motivación alguna, por lo que infringen también el </w:t>
      </w:r>
      <w:r w:rsidRPr="003754FE">
        <w:rPr>
          <w:i/>
        </w:rPr>
        <w:t>ius in officium</w:t>
      </w:r>
      <w:r>
        <w:t xml:space="preserve"> del diputado.</w:t>
      </w:r>
    </w:p>
    <w:p w14:paraId="03479D51" w14:textId="77777777" w:rsidR="003754FE" w:rsidRDefault="003754FE" w:rsidP="003754FE">
      <w:pPr>
        <w:pStyle w:val="TextoNormal"/>
      </w:pPr>
    </w:p>
    <w:p w14:paraId="4D0247DB" w14:textId="7ED88112" w:rsidR="003754FE" w:rsidRDefault="003754FE" w:rsidP="003754FE">
      <w:pPr>
        <w:pStyle w:val="TextoNormal"/>
      </w:pPr>
      <w:r>
        <w:t xml:space="preserve">e) Finalmente, la demanda indica que, si se diera el caso de que, en el momento de dictarse sentencia por el Tribunal Constitucional, no existiese la norma aprobada o hubiera concluido la legislatura en curso, procedería cuando menos el restablecimiento parcial mediante una sentencia declarativa de la vulneración del derecho. Al mismo tiempo, en el </w:t>
      </w:r>
      <w:r>
        <w:lastRenderedPageBreak/>
        <w:t>suplico de la demanda se solicita que se dicte sentencia por la que se otorgue el amparo solicitado, se declaren vulnerados el derecho del grupo parlamentario recurrente al ejercicio del cargo representativo conforme a la ley y en condiciones de igualdad, así como, indirectamente, el de los ciudadanos a la representación política, con el restablecimiento en ese derecho fundamental y revocando los referidos acuerdos tras declarar su nulidad, “así como declarando la nulidad de todos aquellos actos y normas que deriven de la tramitación legislativa en cuestión”.</w:t>
      </w:r>
    </w:p>
    <w:p w14:paraId="73551440" w14:textId="77777777" w:rsidR="003754FE" w:rsidRDefault="003754FE" w:rsidP="003754FE">
      <w:pPr>
        <w:pStyle w:val="TextoNormal"/>
      </w:pPr>
    </w:p>
    <w:p w14:paraId="17255944" w14:textId="226187F9" w:rsidR="003754FE" w:rsidRDefault="003754FE" w:rsidP="003754FE">
      <w:pPr>
        <w:pStyle w:val="TextoNormal"/>
      </w:pPr>
      <w:r w:rsidRPr="003754FE">
        <w:rPr>
          <w:rStyle w:val="NumeroAFNegritaCaracter"/>
        </w:rPr>
        <w:t>4</w:t>
      </w:r>
      <w:r>
        <w:t>. Mediante providencia de 11 de julio de 2022, la Sección Cuarta del Tribunal Constitucional acordó la admisión a trámite del recurso de amparo apreciando que concurre en él una especial trascendencia constitucional [art. 50.1 de la Ley Orgánica del Tribunal Constitucional (LOTC)] porque plantea un problema o afecta a una faceta de un derecho fundamental sobre el que no hay doctrina de este tribunal [STC 155/2009, de 25 de junio, FJ 2 a)], y porque el asunto trasciende del caso concreto porque pudiera tener unas consecuencias políticas generales [STC 155/2009, de 25 de junio, FJ 2, g)]. En la misma providencia, en aplicación de lo dispuesto en el art. 51 LOTC, se acordó también dirigir comunicación a la mesa del Congreso de los Diputados para la remisión de certificación o fotocopia adverada de las actuaciones correspondientes a las decisiones de la Presidencia del Congreso de los Diputados de 3 de febrero de 2022, y para que, en plazo que no excediera de diez días, procediera a emplazar a quienes hubieran sido parte en el procedimiento, excepto la parte recurrente en amparo.</w:t>
      </w:r>
    </w:p>
    <w:p w14:paraId="242514CE" w14:textId="77777777" w:rsidR="003754FE" w:rsidRDefault="003754FE" w:rsidP="003754FE">
      <w:pPr>
        <w:pStyle w:val="TextoNormal"/>
      </w:pPr>
    </w:p>
    <w:p w14:paraId="206DB63C" w14:textId="6B756E71" w:rsidR="003754FE" w:rsidRDefault="003754FE" w:rsidP="003754FE">
      <w:pPr>
        <w:pStyle w:val="TextoNormal"/>
      </w:pPr>
      <w:r w:rsidRPr="003754FE">
        <w:rPr>
          <w:rStyle w:val="NumeroAFNegritaCaracter"/>
        </w:rPr>
        <w:t>5</w:t>
      </w:r>
      <w:r>
        <w:t>. La Sala Segunda del Tribunal, por providencia de 12 de septiembre de 2022, acordó proponer la avocación al Pleno del presente recurso de amparo de conformidad con lo previsto en el art. 10.1 n) LOTC. Con base en la citada norma y mediante providencia de 14 de septiembre de 2022, el Pleno acordó recabar para sí el conocimiento del recurso de amparo.</w:t>
      </w:r>
    </w:p>
    <w:p w14:paraId="07E596DE" w14:textId="77777777" w:rsidR="003754FE" w:rsidRDefault="003754FE" w:rsidP="003754FE">
      <w:pPr>
        <w:pStyle w:val="TextoNormal"/>
      </w:pPr>
    </w:p>
    <w:p w14:paraId="69C9647A" w14:textId="71EB4BD3" w:rsidR="003754FE" w:rsidRDefault="003754FE" w:rsidP="003754FE">
      <w:pPr>
        <w:pStyle w:val="TextoNormal"/>
      </w:pPr>
      <w:r w:rsidRPr="003754FE">
        <w:rPr>
          <w:rStyle w:val="NumeroAFNegritaCaracter"/>
        </w:rPr>
        <w:t>6</w:t>
      </w:r>
      <w:r>
        <w:t>. Mediante diligencia de ordenación de 19 de septiembre de 2022, la Secretaría de Justicia del Pleno del Tribunal tuvo por personado y parte al Congreso de los Diputados, representado por la letrada de las Cortes Generales directora de la asesoría jurídica de la Secretaría General de la Cámara, y acordó dar vista de las actuaciones al Ministerio Fiscal y a las partes personadas para que por plazo común de veinte días pudieran presentar alegaciones, conforme a lo previsto en el art. 52 LOTC.</w:t>
      </w:r>
    </w:p>
    <w:p w14:paraId="37D42238" w14:textId="77777777" w:rsidR="003754FE" w:rsidRDefault="003754FE" w:rsidP="003754FE">
      <w:pPr>
        <w:pStyle w:val="TextoNormal"/>
      </w:pPr>
    </w:p>
    <w:p w14:paraId="68776274" w14:textId="63F3E13B" w:rsidR="003754FE" w:rsidRDefault="003754FE" w:rsidP="003754FE">
      <w:pPr>
        <w:pStyle w:val="TextoNormal"/>
      </w:pPr>
      <w:r w:rsidRPr="003754FE">
        <w:rPr>
          <w:rStyle w:val="NumeroAFNegritaCaracter"/>
        </w:rPr>
        <w:t>7</w:t>
      </w:r>
      <w:r>
        <w:t xml:space="preserve">. El grupo parlamentario recurrente, en escrito registrado el 19 de octubre de 2022, corregido el día posterior, presentó sus alegaciones, ratificándose y remitiéndose en su integridad a lo manifestado en su escrito de demanda, y aludiendo sucintamente al “Informe de la Secretaría General en relación con las votaciones correspondientes a la sesión plenaria del 3 de febrero de 2022” incluido en las actuaciones remitidas por el Congreso de los Diputados y en el que fundó su acuerdo de 21 de febrero de 2022 la mesa del Congreso. A este respecto, se afirma que ese informe incurre en inexactitudes y errores por defender sin fundamento inteligible que la presidencia del Congreso no tenía la obligación de convocar la mesa conforme al apartado sexto de la resolución de 2012, por interpretar que la autorización del voto presencial a quien ha ejercido el voto telemático se circunscribe al supuesto fáctico de la existencia de un error técnico, por aludir a precedentes sobre la sustitución del voto telemático por el voto presencial que no son comparables con el de la causa, en particular porque en ninguno de ellos dependía el resultado de la votación del voto afectado por </w:t>
      </w:r>
      <w:r>
        <w:lastRenderedPageBreak/>
        <w:t>el error, y porque el hecho de que existan precedentes donde no se autorizó la sustitución del voto presencial por el telemático sin que eso fuera recurrido no justifica la perpetuación de prácticas contrarias a los derechos fundamentales. Y añade, por último, que el informe carece de fundamento cuando entiende que el voto telemático y el voto presencial sean términos comparables, a los efectos de un juicio de igualdad sobre su posible rectificación, considerando que no puede hablarse de un doble voto o de ventaja en el caso de que se permita que el voto telemático se anule y se permita votar presencialmente al diputado que lo emitió.</w:t>
      </w:r>
    </w:p>
    <w:p w14:paraId="125E3384" w14:textId="77777777" w:rsidR="003754FE" w:rsidRDefault="003754FE" w:rsidP="003754FE">
      <w:pPr>
        <w:pStyle w:val="TextoNormal"/>
      </w:pPr>
    </w:p>
    <w:p w14:paraId="6728FF15" w14:textId="77777777" w:rsidR="003754FE" w:rsidRDefault="003754FE" w:rsidP="003754FE">
      <w:pPr>
        <w:pStyle w:val="TextoNormal"/>
      </w:pPr>
      <w:r w:rsidRPr="003754FE">
        <w:rPr>
          <w:rStyle w:val="NumeroAFNegritaCaracter"/>
        </w:rPr>
        <w:t>8</w:t>
      </w:r>
      <w:r>
        <w:t>. Con fecha 24 de octubre de 2022 se registró el escrito de alegaciones del Congreso de los Diputados, en el que se da cuenta de los hechos sintetizados en los antecedentes anteriores, y se interesa la desestimación del recurso, aduciendo lo siguiente:</w:t>
      </w:r>
    </w:p>
    <w:p w14:paraId="58F8B0B0" w14:textId="77777777" w:rsidR="003754FE" w:rsidRDefault="003754FE" w:rsidP="003754FE">
      <w:pPr>
        <w:pStyle w:val="TextoNormal"/>
      </w:pPr>
    </w:p>
    <w:p w14:paraId="2A8F2726" w14:textId="77777777" w:rsidR="003754FE" w:rsidRDefault="003754FE" w:rsidP="003754FE">
      <w:pPr>
        <w:pStyle w:val="TextoNormal"/>
      </w:pPr>
      <w:r>
        <w:t>a) En la sesión plenaria de 3 de febrero de 2022, el régimen jurídico consolidado sobre el voto telemático era el constituido por el art. 82.2 RCD, la resolución de 2012 y los acuerdos de 26 de octubre de 2021 y de 1 de febrero de 2022. El hecho de que el acuerdo de autorización del voto telemático al señor Casero Ávila no citara el acuerdo de 26 de octubre de 2021 no impide entender que el art. 82.2 RCD y la resolución de 2012 se aplicaban en los términos derivados del régimen especial previsto en los mencionados acuerdos; si no fuera así no se habrían podido votar telemáticamente los asuntos susceptibles de modificación o de fraccionamiento en el debate, al tiempo que la propia solicitud de autorización del voto telemático formulada por el diputado señor Casero Ávila hacía referencia al acuerdo de 26 de octubre de 2021.</w:t>
      </w:r>
    </w:p>
    <w:p w14:paraId="5FF1E072" w14:textId="77777777" w:rsidR="003754FE" w:rsidRDefault="003754FE" w:rsidP="003754FE">
      <w:pPr>
        <w:pStyle w:val="TextoNormal"/>
      </w:pPr>
    </w:p>
    <w:p w14:paraId="3B3D8CD1" w14:textId="77777777" w:rsidR="003754FE" w:rsidRDefault="003754FE" w:rsidP="003754FE">
      <w:pPr>
        <w:pStyle w:val="TextoNormal"/>
      </w:pPr>
      <w:r>
        <w:t>Por esta razón, en las votaciones telemáticas de la sesión plenaria no se exigía el método de comprobación personal previsto en el apartado cuarto de la resolución de 2012 (consistente en la verificación a través de llamada telefónica), sino el método alternativo contenido en el acuerdo de 26 octubre de 2021 (consistente en la introducción de usuario y contraseña a través de la intranet de la Cámara), justificado porque la situación extraordinaria provocada por la pandemia de covid-19 podía seguir provocando votaciones telemáticas masivas y en plazos breves. Cualquiera de esos métodos de comprobación, además, no tienen como finalidad subsanar o corregir posibles errores materiales en la emisión del voto telemático, sino la garantía de la emisión personal del voto por el diputado.</w:t>
      </w:r>
    </w:p>
    <w:p w14:paraId="6DA8FA01" w14:textId="77777777" w:rsidR="003754FE" w:rsidRDefault="003754FE" w:rsidP="003754FE">
      <w:pPr>
        <w:pStyle w:val="TextoNormal"/>
      </w:pPr>
    </w:p>
    <w:p w14:paraId="3D79B4D0" w14:textId="77777777" w:rsidR="003754FE" w:rsidRDefault="003754FE" w:rsidP="003754FE">
      <w:pPr>
        <w:pStyle w:val="TextoNormal"/>
      </w:pPr>
      <w:r>
        <w:t xml:space="preserve">b) El voto del señor Casero Ávila sobre la convalidación o derogación del Real Decreto-ley 32/2021 se desarrolló conforme al procedimiento reglado para la emisión del voto telemático. Durante todo el proceso de votación ni el diputado ni su grupo parlamentario registraron comunicación de incidencia técnica alguna; y, según el informe elaborado por la Dirección de Tecnologías de la Información y de las Comunicaciones, en los servidores que registran la actividad de la sesión plenaria no se observa ni error informático ni fallo en el sistema, al tiempo que la votación del señor Casero quedó registrada en los dos pasos que contempla la aplicación, tanto en el momento en que el diputado selecciona el sentido de su voto, como en el momento de su confirmación, sin haberse registrado ninguna cancelación por parte del usuario. En consecuencia, tanto en el momento de comunicarse la incidencia por el Grupo Parlamentario Popular, como posteriormente quedó demostrado que no hubo un error informático o un fallo electrónico sino, en su caso, una negligencia del diputado señor Casero Ávila, por lo que no es de aplicación la doctrina contenida en la STC 361/2006 alegada por el demandante, de manera que la Presidencia de la Cámara se ajustó en todo </w:t>
      </w:r>
      <w:r>
        <w:lastRenderedPageBreak/>
        <w:t>momento a lo previsto en la normativa, previa comprobación de que no se había registrado error informático alguno. En consecuencia, el voto fue válidamente emitido y produce plenos efectos.</w:t>
      </w:r>
    </w:p>
    <w:p w14:paraId="6B2DFE67" w14:textId="77777777" w:rsidR="003754FE" w:rsidRDefault="003754FE" w:rsidP="003754FE">
      <w:pPr>
        <w:pStyle w:val="TextoNormal"/>
      </w:pPr>
    </w:p>
    <w:p w14:paraId="2E010482" w14:textId="77777777" w:rsidR="003754FE" w:rsidRDefault="003754FE" w:rsidP="003754FE">
      <w:pPr>
        <w:pStyle w:val="TextoNormal"/>
      </w:pPr>
      <w:r>
        <w:t>c) El procedimiento de votación no es disponible por el diputado, por lo que, una vez emitido válidamente el voto, sea presencial o telemáticamente, no cabe su revocación mediante su retirada o su modificación, con la consecuencia fundamental de que las votaciones no se repiten. Solo cabe la repetición de una votación cuando el Reglamento así lo prevea expresamente (arts. 37 y 88 RCD), o cuando el voto emitido no pueda imputarse a la acción del diputado, como ocurre cuando se ha producido un error técnico, en el sentido de la doctrina constitucional contenida en la STC 361/2006. En anteriores ocasiones, en atención al principio de seguridad jurídica, la Presidencia del Congreso no ha tenido en cuenta los posibles errores materiales ocurridos en una votación y no se procedió a una nueva votación, ni a título individual por parte del diputado que alegaba el error ni por parte de la Cámara en su conjunto, aun cuando fuesen varios los diputados implicados en esa situación y con independencia de la trascendencia de esa discrepancia.</w:t>
      </w:r>
    </w:p>
    <w:p w14:paraId="1A6C2289" w14:textId="77777777" w:rsidR="003754FE" w:rsidRDefault="003754FE" w:rsidP="003754FE">
      <w:pPr>
        <w:pStyle w:val="TextoNormal"/>
      </w:pPr>
    </w:p>
    <w:p w14:paraId="4E1E43AC" w14:textId="77777777" w:rsidR="003754FE" w:rsidRDefault="003754FE" w:rsidP="003754FE">
      <w:pPr>
        <w:pStyle w:val="TextoNormal"/>
      </w:pPr>
      <w:r>
        <w:t>En este sentido, de lo previsto en el apartado sexto de la resolución de 2012 no cabe deducir que se esté estableciendo una segunda oportunidad para el voto telemático, o un medio de subsanación del voto telemático emitido, porque esa interpretación incurriría en vulneración del principio de igualdad y del derecho de participación política, al no estar permitida la rectificación del voto al votante presencial. Lo allí dispuesto, en cuanto a que “el diputado que hubiera emitido su voto mediante el procedimiento telemático no podrá emitir su voto presencial sin autorización expresa de la mesa de la Cámara que, en el supuesto de que decida autorizar el voto presencial, declarará el voto telemático nulo y no emitido”, no es un derecho inmutable del diputado, sino un procedimiento excepcional que procederá solo en la medida en que resulte preciso para garantizar el correcto ejercicio del voto. Por ello, los casos previos en los que se ha aplicado ese precepto se han caracterizado por la concurrencia de un incorrecto ejercicio del voto por haber votado telemáticamente el diputado implicado y, a la vez, haberlo hecho presencialmente por encontrarse en la sesión plenaria; no haber seguido las advertencias de la Presidencia en cuanto a que aquellos que habilitados para votar telemáticamente no podían hacerlo desde su escaño; y haber votado presencialmente en todos los asuntos del orden del día, incluyendo aquellos para los que se había emitido voto telemático.</w:t>
      </w:r>
    </w:p>
    <w:p w14:paraId="5F73ED4E" w14:textId="77777777" w:rsidR="003754FE" w:rsidRDefault="003754FE" w:rsidP="003754FE">
      <w:pPr>
        <w:pStyle w:val="TextoNormal"/>
      </w:pPr>
    </w:p>
    <w:p w14:paraId="1DA9B319" w14:textId="77777777" w:rsidR="003754FE" w:rsidRDefault="003754FE" w:rsidP="003754FE">
      <w:pPr>
        <w:pStyle w:val="TextoNormal"/>
      </w:pPr>
      <w:r>
        <w:t>En el caso del señor Casero Ávila no concurrían las circunstancias que hubieran justificado la anulación de su voto, y por lo tanto la Presidencia no estaba obligada a convocar la mesa de la Cámara en relación con lo dispuesto en el mencionado apartado sexto, y tampoco parecía que fuera necesario hacerlo considerando la forma y el momento en que se planteó esa posibilidad —una vez producida la llamada a votación—, teniendo en cuenta que no se había registrado ninguna incidencia técnica durante la votación telemática. Además, aunque en hipótesis hubiera existido un deber de convocar la mesa, su no convocatoria no podría llevar aparejada la lesión del derecho fundamental invocado, toda vez que aquella no hubiera podido declarar la nulidad del voto emitido telemáticamente por el diputado señor Casero Ávila.</w:t>
      </w:r>
    </w:p>
    <w:p w14:paraId="0496D028" w14:textId="77777777" w:rsidR="003754FE" w:rsidRDefault="003754FE" w:rsidP="003754FE">
      <w:pPr>
        <w:pStyle w:val="TextoNormal"/>
      </w:pPr>
    </w:p>
    <w:p w14:paraId="32913602" w14:textId="77777777" w:rsidR="003754FE" w:rsidRDefault="003754FE" w:rsidP="003754FE">
      <w:pPr>
        <w:pStyle w:val="TextoNormal"/>
      </w:pPr>
      <w:r>
        <w:t xml:space="preserve">No puede entenderse que la Presidencia haya realizado una interpretación restrictiva de las normas parlamentarias que limite el ejercicio de las funciones representativas y que haya </w:t>
      </w:r>
      <w:r>
        <w:lastRenderedPageBreak/>
        <w:t>obrado sin motivación, porque la interpretación del diputado señor Casero Ávila, que postula que el voto telemático emitido por error involuntario pueda subsanarse, es contraria a los principios de irrevocabilidad del voto y de no repetición de las votaciones. La subsanación solo procede cuando concurra una excepción que lo justifique (por ejemplo, un error informático), y los principios que rigen el derecho de voto han de aplicarse por igual para el voto presencial y para el voto telemático.</w:t>
      </w:r>
    </w:p>
    <w:p w14:paraId="1529C374" w14:textId="77777777" w:rsidR="003754FE" w:rsidRDefault="003754FE" w:rsidP="003754FE">
      <w:pPr>
        <w:pStyle w:val="TextoNormal"/>
      </w:pPr>
    </w:p>
    <w:p w14:paraId="006806B4" w14:textId="77777777" w:rsidR="003754FE" w:rsidRDefault="003754FE" w:rsidP="003754FE">
      <w:pPr>
        <w:pStyle w:val="TextoNormal"/>
      </w:pPr>
      <w:r>
        <w:t>En definitiva, la decisión adoptada por la Presidencia de la Cámara de considerar como válido el voto telemático del diputado señor Casero Ávila era la procedente, del mismo modo que lo era la decisión de no convocar la mesa, al no concurrir el presupuesto para hacerlo ni estar la mesa vinculada a la petición del diputado, según la doctrina de la STC 110/2019, de 2 de octubre. Y las decisiones fueron motivadas, porque se basaron en la comprobación realizada por la Secretaría General de la Cámara, una vez conocida la incidencia, de que no se había detectado error técnico alguno en la emisión del voto telemático, como se comunicó a los miembros de la mesa presentes.</w:t>
      </w:r>
    </w:p>
    <w:p w14:paraId="73853077" w14:textId="77777777" w:rsidR="003754FE" w:rsidRDefault="003754FE" w:rsidP="003754FE">
      <w:pPr>
        <w:pStyle w:val="TextoNormal"/>
      </w:pPr>
    </w:p>
    <w:p w14:paraId="10E2D040" w14:textId="77777777" w:rsidR="003754FE" w:rsidRDefault="003754FE" w:rsidP="003754FE">
      <w:pPr>
        <w:pStyle w:val="TextoNormal"/>
      </w:pPr>
      <w:r>
        <w:t>d) La presencialidad de los diputados es un elemento esencial en los debates y votaciones de la Cámara (STC 19/2019, de 12 de febrero, FJ 4) que hace de la modalidad del voto telemático una excepción que ha de utilizarse de forma restrictiva, ajustándose lo más posible en su configuración y efecto al voto presencial y sin otorgarle ventaja alguna respecto de este. Por esa razón, el apartado sexto de la resolución de 2012 no está previsto para dar una segunda oportunidad que ponga en mejor situación al votante telemático frente al presencial. Atribuir a los diputados la posibilidad de disponer de su voto, una vez emitido válidamente, les otorgaría la posibilidad de modificar la voluntad de la Cámara, que resulta de una suma de voluntades que se manifiestan de una sola vez. La votación es un acto único que se produce y se agota en un único momento; a ese respecto, aunque el voto telemático se emita antes que el presencial, eso no le quita firmeza ni le otorga el carácter de provisional, pues en virtud del propio procedimiento telemático, cuya aplicación se acepta, se recurre a la ficción de que está siendo emitido válidamente como si el diputado estuviera presente en el hemiciclo.</w:t>
      </w:r>
    </w:p>
    <w:p w14:paraId="28139589" w14:textId="77777777" w:rsidR="003754FE" w:rsidRDefault="003754FE" w:rsidP="003754FE">
      <w:pPr>
        <w:pStyle w:val="TextoNormal"/>
      </w:pPr>
    </w:p>
    <w:p w14:paraId="6BBC8867" w14:textId="77777777" w:rsidR="003754FE" w:rsidRDefault="003754FE" w:rsidP="003754FE">
      <w:pPr>
        <w:pStyle w:val="TextoNormal"/>
      </w:pPr>
      <w:r>
        <w:t>Argumenta la letrada del Congreso que la posibilidad de permitir la modificación de un voto a un diputado porque alegue un error en su voluntad no parece adecuada por varias razones. En primer lugar, porque tal posibilidad no se prevé en la Constitución ni en el Reglamento, ni existe tampoco un uso o precedente parlamentario a ese respecto. En segundo lugar, por la inseguridad jurídica y la incerteza acerca de la firmeza de las votaciones que se provocaría, ya que la posibilidad de corrección haría que la expresión de voluntad de la Cámara fuese siempre provisional, con menoscabo de lo previsto en los artículos 78 y 79 RCD en cuanto a la validez de los acuerdos adoptados cuando la Cámara esté reunida reglamentariamente, con la asistencia de la mayoría de sus miembros, y sean aprobados por la mayoría simple de estos. Y, en tercer lugar, por la dificultad de probar si ha habido o no un error de voluntad en el diputado, lo que hace que esta vía pudiera ser utilizada con la finalidad de modificar fraudulentamente la voluntad de la Cámara.</w:t>
      </w:r>
    </w:p>
    <w:p w14:paraId="67F81368" w14:textId="77777777" w:rsidR="003754FE" w:rsidRDefault="003754FE" w:rsidP="003754FE">
      <w:pPr>
        <w:pStyle w:val="TextoNormal"/>
      </w:pPr>
    </w:p>
    <w:p w14:paraId="4EF6AE8B" w14:textId="4046CFE2" w:rsidR="003754FE" w:rsidRDefault="003754FE" w:rsidP="003754FE">
      <w:pPr>
        <w:pStyle w:val="TextoNormal"/>
      </w:pPr>
      <w:r>
        <w:t xml:space="preserve">Sobre esta última cuestión, y a partir de la doctrina jurisprudencial sobre el error invalidante del consentimiento, las alegaciones del Congreso de los Diputados concluyen que el error del diputado era inexcusable, pues el voto es un acto de responsabilidad que exige verificar lo que efectivamente se vota, el sistema de votación telemática está configurado </w:t>
      </w:r>
      <w:r>
        <w:lastRenderedPageBreak/>
        <w:t>de modo que se minimicen los errores, y no se aporta ningún elemento de prueba por parte del diputado ni de su grupo parlamentario que acredite fehacientemente que no formó adecuadamente su voluntad por un motivo que no dependía de él, ni de que se hubiera producido un error sobre la materia que se votaba. Además, se denuncia que la apelación al error resulta interesada, porque la cuestión y la solicitud de repetición de la votación solo se planteó respecto del Real Decreto-ley 32/2021, cuando el señor Casero Ávila había votado telemáticamente en otros asuntos para los que no se reclama ni se cuestiona nada.</w:t>
      </w:r>
    </w:p>
    <w:p w14:paraId="1BB31AB9" w14:textId="77777777" w:rsidR="003754FE" w:rsidRDefault="003754FE" w:rsidP="003754FE">
      <w:pPr>
        <w:pStyle w:val="TextoNormal"/>
      </w:pPr>
    </w:p>
    <w:p w14:paraId="37E05ACC" w14:textId="77777777" w:rsidR="003754FE" w:rsidRDefault="003754FE" w:rsidP="003754FE">
      <w:pPr>
        <w:pStyle w:val="TextoNormal"/>
      </w:pPr>
      <w:r w:rsidRPr="003754FE">
        <w:rPr>
          <w:rStyle w:val="NumeroAFNegritaCaracter"/>
        </w:rPr>
        <w:t>9</w:t>
      </w:r>
      <w:r>
        <w:t>. Mediante escrito registrado el 7 de noviembre de 2022, el Ministerio Fiscal presentó sus alegaciones interesando la inadmisión del recurso con arreglo al art. 50.1 a) LOTC, en relación con el art. 42 LOTC, y subsidiariamente la desestimación íntegra del recurso de amparo. El escrito se inicia dando cuenta de los antecedentes del recurso y poniendo de manifiesto que las alegaciones que se formulan, atendiendo al principio de unidad de actuación del Ministerio Fiscal, coinciden de forma sustancial con las expresadas en los recursos de amparo 916-2022 y 1303-2022, dada la identidad sustancial de su contenido.</w:t>
      </w:r>
    </w:p>
    <w:p w14:paraId="112D1F14" w14:textId="77777777" w:rsidR="003754FE" w:rsidRDefault="003754FE" w:rsidP="003754FE">
      <w:pPr>
        <w:pStyle w:val="TextoNormal"/>
      </w:pPr>
    </w:p>
    <w:p w14:paraId="06D2C5C8" w14:textId="77777777" w:rsidR="003754FE" w:rsidRDefault="003754FE" w:rsidP="003754FE">
      <w:pPr>
        <w:pStyle w:val="TextoNormal"/>
      </w:pPr>
      <w:r>
        <w:t xml:space="preserve">a) En cuanto a las cuestiones procesales, razona el Ministerio Fiscal que el recurso no suscita óbice alguno respecto de la legitimación, porque el derecho tutelado por el art. 23.2 CE se ha reconocido también a los grupos parlamentarios en cuanto representantes institucionales de los diputados que los integran; y en el presente caso la pretensión deducida en nombre de todos los miembros del Grupo Parlamentario Popular tiene por objeto, más allá del derecho individual del señor Casero, la alegada lesión del </w:t>
      </w:r>
      <w:r w:rsidRPr="003754FE">
        <w:rPr>
          <w:i/>
        </w:rPr>
        <w:t>ius in officium</w:t>
      </w:r>
      <w:r>
        <w:t xml:space="preserve"> de aquellos concretada en la proclamación del resultado de una votación que consideran no expresiva de la verdadera voluntad de la Cámara.</w:t>
      </w:r>
    </w:p>
    <w:p w14:paraId="3E984F16" w14:textId="77777777" w:rsidR="003754FE" w:rsidRDefault="003754FE" w:rsidP="003754FE">
      <w:pPr>
        <w:pStyle w:val="TextoNormal"/>
      </w:pPr>
    </w:p>
    <w:p w14:paraId="43576B16" w14:textId="77777777" w:rsidR="003754FE" w:rsidRDefault="003754FE" w:rsidP="003754FE">
      <w:pPr>
        <w:pStyle w:val="TextoNormal"/>
      </w:pPr>
      <w:r>
        <w:t>A su vez, fundamenta que el recurso debe ser inadmitido por tener carácter prematuro, ya que en el momento de su interposición estaba pendiente la reunión de la mesa del Congreso instada por el Grupo Parlamentario Popular, que era un procedimiento objetivamente apto para reparar la lesión del derecho fundamental denunciada en amparo. Recuerda el Ministerio Fiscal que, en respuesta a esa petición, la presidenta de la Cámara había indicado a los solicitantes que el examen de las cuestiones suscitadas en relación con el voto telemático del señor Casero Ávila se produciría en la reunión de la mesa a celebrar con carácter previo a la sesión plenaria de 15 de febrero de 2022; y que en esa reunión la propia presidenta afirmó, según consta en acta, que “la decisión tomada podía ser objeto de discusión en esta mesa, cuyas capacidades alcanzan, si así se considera adecuado, a la declaración de invalidez y la corrección de sus consecuencias”, si bien se concluyó, tras un amplio debate, con un acuerdo de ratificación de la actuación de la presidenta.</w:t>
      </w:r>
    </w:p>
    <w:p w14:paraId="11A64E06" w14:textId="77777777" w:rsidR="003754FE" w:rsidRDefault="003754FE" w:rsidP="003754FE">
      <w:pPr>
        <w:pStyle w:val="TextoNormal"/>
      </w:pPr>
    </w:p>
    <w:p w14:paraId="20D56E73" w14:textId="77777777" w:rsidR="003754FE" w:rsidRDefault="003754FE" w:rsidP="003754FE">
      <w:pPr>
        <w:pStyle w:val="TextoNormal"/>
      </w:pPr>
      <w:r>
        <w:t xml:space="preserve">El Ministerio Fiscal señala que, aunque el art. 31 RCD no contempla un mecanismo de reconsideración de las decisiones de la Presidencia de la Cámara, desde el momento en que el Grupo Parlamentario Popular requirió la convocatoria de la mesa y la propia mesa puso de manifiesto que su intervención no resultaba manifiestamente improcedente para la reparación de la vulneración denunciada, ha de considerarse que el recurso de amparo interpuesto sin esperar a la reunión de la mesa es de carácter prematuro. Y sostiene que, una vez que la decisión de la presidenta de no convocar la mesa antes de la votación presencial devino materialmente irreversible, después de consumada la votación y proclamados sus resultados, la prematura interposición del amparo no puede justificarse por la necesidad de </w:t>
      </w:r>
      <w:r>
        <w:lastRenderedPageBreak/>
        <w:t>adelantar la tutela del derecho invocado para poner fin a una lesión actual, como excepcionalmente ha admitido el Tribunal Constitucional en otros contextos.</w:t>
      </w:r>
    </w:p>
    <w:p w14:paraId="561C538A" w14:textId="77777777" w:rsidR="003754FE" w:rsidRDefault="003754FE" w:rsidP="003754FE">
      <w:pPr>
        <w:pStyle w:val="TextoNormal"/>
      </w:pPr>
    </w:p>
    <w:p w14:paraId="2568F10A" w14:textId="77777777" w:rsidR="003754FE" w:rsidRDefault="003754FE" w:rsidP="003754FE">
      <w:pPr>
        <w:pStyle w:val="TextoNormal"/>
      </w:pPr>
      <w:r>
        <w:t>b) En cuanto a la vulneración denunciada, el Ministerio Fiscal inicia sus alegaciones aduciendo que la doctrina contenida en la STC 361/2006 es aplicable en general a este caso, pero discrepa de la demanda en cuanto a que haya un paralelismo entre las circunstancias actuales y las que concurrían en aquel amparo. En aquella ocasión no se planteaba discordancia alguna entre el sentido del voto deseado y el realmente emitido, ni tampoco la posible anulación de un voto telemático, sino que se trataba de que el sistema de votación electrónica presencial no funcionó bien y como consecuencia no se pudo computar el voto de una diputada.</w:t>
      </w:r>
    </w:p>
    <w:p w14:paraId="336B605A" w14:textId="77777777" w:rsidR="003754FE" w:rsidRDefault="003754FE" w:rsidP="003754FE">
      <w:pPr>
        <w:pStyle w:val="TextoNormal"/>
      </w:pPr>
    </w:p>
    <w:p w14:paraId="2673CF27" w14:textId="77777777" w:rsidR="003754FE" w:rsidRDefault="003754FE" w:rsidP="003754FE">
      <w:pPr>
        <w:pStyle w:val="TextoNormal"/>
      </w:pPr>
      <w:r>
        <w:t>A su vez, aduce la Fiscalía que en este caso no nos hallamos ante una discordancia entre el voto emitido por el diputado y el voto registrado por el sistema informático, por más que así lo afirmase el señor Casero Ávila en su escrito de 3 de febrero de 2022. Señala también que no consta que el diputado instara directamente la revocación de su voto telemático, careciendo de prueba su afirmación de que intentó ponerse en contacto con la Cámara antes de que la Presidencia anunciara el inicio de la votación presencial. Lo único que consta es que fueron los miembros de la dirección del Grupo Parlamentario Popular los que se dirigieron a la presidenta del Congreso, efectuado ya el llamamiento para la votación, con el fin de que convocase la mesa para decidir sobre la aplicación de la resolución de 2012.</w:t>
      </w:r>
    </w:p>
    <w:p w14:paraId="55F67293" w14:textId="77777777" w:rsidR="003754FE" w:rsidRDefault="003754FE" w:rsidP="003754FE">
      <w:pPr>
        <w:pStyle w:val="TextoNormal"/>
      </w:pPr>
    </w:p>
    <w:p w14:paraId="4642993A" w14:textId="77777777" w:rsidR="003754FE" w:rsidRDefault="003754FE" w:rsidP="003754FE">
      <w:pPr>
        <w:pStyle w:val="TextoNormal"/>
      </w:pPr>
      <w:r>
        <w:t>c) Sobre la supuesta infracción de la normativa reguladora del voto telemático en el Congreso de los Diputados, razona el Ministerio Fiscal que en el momento de los hechos no estaba vigente la norma de comprobación del voto telemático prevista en la resolución de 2012 (comprobación telefónica), sino la prevista en el acuerdo de la mesa de 26 de octubre de 2021 (emisión del voto a través de la intranet del Congreso con la introducción de usuario y contraseña). El Ministerio Fiscal señala que, aunque en la autorización del voto al señor Casero Ávila para la sesión plenaria de 3 de febrero de 2022 solo se hiciera referencia al art. 82 RCD y a la resolución de 2012, lo cierto es que el acuerdo de 26 de octubre de 2021 había sido comunicado a todos los grupos parlamentarios y, lo más significativo, el diputado señor Casero Ávila mencionó expresamente este último acuerdo en su solicitud de voto telemático para la mencionada sesión plenaria.</w:t>
      </w:r>
    </w:p>
    <w:p w14:paraId="2192B5C0" w14:textId="77777777" w:rsidR="003754FE" w:rsidRDefault="003754FE" w:rsidP="003754FE">
      <w:pPr>
        <w:pStyle w:val="TextoNormal"/>
      </w:pPr>
    </w:p>
    <w:p w14:paraId="1AEF46DC" w14:textId="77777777" w:rsidR="003754FE" w:rsidRDefault="003754FE" w:rsidP="003754FE">
      <w:pPr>
        <w:pStyle w:val="TextoNormal"/>
      </w:pPr>
      <w:r>
        <w:t xml:space="preserve">Además, considera la Fiscalía que ni en la resolución de 2012 ni en ninguna otra norma se establece un sistema de comprobación del sentido del voto dirigido a verificar si se corresponde con la intención o voluntad del diputado, sino que la comprobación del “sentido del voto” tiene como finalidad asegurarse de que el sentido del voto que se registra y computa coincide con el que ha formulado el diputado votante siguiendo el procedimiento establecido. El Ministerio Fiscal cita las SSTC 19/2019, de 12 de febrero, y 45/2019, de 27 de marzo, para sostener que en el voto en ausencia autorizado en circunstancias excepcionales, lo que es preciso garantizar es que el voto así realizado expresa la voluntad del parlamentario ausente y no la de un tercero que pueda actuar en su nombre. Por todo ello, tanto los sistemas de comprobación previstos tanto en la resolución de 2012, como el establecido en el Acuerdo de 26 de octubre de 2021, no se dirigen a cotejar el voto emitido con la intención no coherentemente exteriorizada del votante, ni a habilitar por tanto una posibilidad de cambiar el voto válidamente emitido, sino a preservar que se ha votado de forma personal por el parlamentario, sin que se hayan producido errores en el sistema ni injerencias </w:t>
      </w:r>
      <w:r>
        <w:lastRenderedPageBreak/>
        <w:t>deliberadas o maliciosas de terceros. De este modo, la comprobación telefónica del sentido del voto emitido por el señor Casero Ávila nada hubiese aportado, pues hubiera debido referirse exclusivamente a comprobar que la opción por la que efectivamente se había decantado con su actuación fue la que reflejó el sistema (voto afirmativo), y eso ya había quedado verificado en el procedimiento utilizado de votación telemática en dos fases a través de la intranet del Congreso.</w:t>
      </w:r>
    </w:p>
    <w:p w14:paraId="4B810E9E" w14:textId="77777777" w:rsidR="003754FE" w:rsidRDefault="003754FE" w:rsidP="003754FE">
      <w:pPr>
        <w:pStyle w:val="TextoNormal"/>
      </w:pPr>
    </w:p>
    <w:p w14:paraId="4457487C" w14:textId="77777777" w:rsidR="003754FE" w:rsidRDefault="003754FE" w:rsidP="003754FE">
      <w:pPr>
        <w:pStyle w:val="TextoNormal"/>
      </w:pPr>
      <w:r>
        <w:t>Finalmente, entiende el Ministerio Fiscal que no existe ninguna norma que obligue a la Presidencia del Congreso a comprobar, a instancia del interesado, la concordancia entre su intención de voto y el voto telemático realmente emitido; y que la controversia relativa al procedimiento de verificación del “sentido del voto”, con independencia del significado que se atribuya a esa expresión, es irrelevante a los efectos de este recurso de amparo, porque la Presidencia de la Cámara conoció de la noticia de la supuesta irregularidad en el voto telemático del señor Casero después de efectuado el llamamiento para la votación presencial y antes de que se llevara a cabo esta.</w:t>
      </w:r>
    </w:p>
    <w:p w14:paraId="6ECBA916" w14:textId="77777777" w:rsidR="003754FE" w:rsidRDefault="003754FE" w:rsidP="003754FE">
      <w:pPr>
        <w:pStyle w:val="TextoNormal"/>
      </w:pPr>
    </w:p>
    <w:p w14:paraId="2CC46C35" w14:textId="77777777" w:rsidR="003754FE" w:rsidRDefault="003754FE" w:rsidP="003754FE">
      <w:pPr>
        <w:pStyle w:val="TextoNormal"/>
      </w:pPr>
      <w:r>
        <w:t>d) A continuación, sobre la segunda cuestión de fondo planteada en la demanda —la supuesta infracción del apartado sexto de la resolución de 2012, por no haber convocado la Presidencia a la mesa de la Cámara a efectos de autorizar la emisión del voto presencial y anular el telemático—, entiende el Ministerio Fiscal que del citado precepto no deriva un derecho del diputado a la convocatoria de la mesa, ni tampoco un correlativo deber de la Presidencia de convocar la mesa en este concreto supuesto.</w:t>
      </w:r>
    </w:p>
    <w:p w14:paraId="419604DA" w14:textId="77777777" w:rsidR="003754FE" w:rsidRDefault="003754FE" w:rsidP="003754FE">
      <w:pPr>
        <w:pStyle w:val="TextoNormal"/>
      </w:pPr>
    </w:p>
    <w:p w14:paraId="34804399" w14:textId="77777777" w:rsidR="003754FE" w:rsidRDefault="003754FE" w:rsidP="003754FE">
      <w:pPr>
        <w:pStyle w:val="TextoNormal"/>
      </w:pPr>
      <w:r>
        <w:t>La Fiscalía pone de manifiesto que la demanda no asume el esfuerzo de categorizar cuáles son los supuestos en que, de acuerdo con la mencionada norma, la mesa ha de autorizar el voto presencial, ya que se limita a afirmar que así ha de ser para el caso de que se produzca un error —informático o humano— en la emisión del voto telemático. Razona el Ministerio Fiscal, a continuación, que del informe de la Secretaría General del Congreso evacuado para la reunión de la mesa de 15 de febrero de 2022, y de los supuestos de aplicación del mencionado precepto allí recogidos, cabe concluir (i) que el apartado sexto de la resolución de 2012 permite la anulación de los votos telemáticos no solo en caso de fallo técnico, sino también cuando han sido válidamente emitidos, como de hecho ocurrió en los dos supuestos previos de aplicación del precepto identificados en el informe; y (ii) que no consta ningún precedente en que el apartado sexto se haya empleado para autorizar la votación presencial con el fin de rectificar un error humano en la selección del sentido del voto.</w:t>
      </w:r>
    </w:p>
    <w:p w14:paraId="2ADDE8EC" w14:textId="77777777" w:rsidR="003754FE" w:rsidRDefault="003754FE" w:rsidP="003754FE">
      <w:pPr>
        <w:pStyle w:val="TextoNormal"/>
      </w:pPr>
    </w:p>
    <w:p w14:paraId="003EB299" w14:textId="77777777" w:rsidR="003754FE" w:rsidRDefault="003754FE" w:rsidP="003754FE">
      <w:pPr>
        <w:pStyle w:val="TextoNormal"/>
      </w:pPr>
      <w:r>
        <w:t>Las alegaciones el Ministerio Fiscal se refieren, a continuación, a los principios de igualdad y de seguridad jurídica, mencionados por el informe de la Secretaría General y por la Presidencia del Congreso en la reunión de la mesa de 15 de febrero de 2022 para descartar la autorización del voto presencial del señor Casero Ávila y la anulación de su voto telemático.</w:t>
      </w:r>
    </w:p>
    <w:p w14:paraId="0B84395D" w14:textId="77777777" w:rsidR="003754FE" w:rsidRDefault="003754FE" w:rsidP="003754FE">
      <w:pPr>
        <w:pStyle w:val="TextoNormal"/>
      </w:pPr>
    </w:p>
    <w:p w14:paraId="630D4078" w14:textId="77777777" w:rsidR="003754FE" w:rsidRDefault="003754FE" w:rsidP="003754FE">
      <w:pPr>
        <w:pStyle w:val="TextoNormal"/>
      </w:pPr>
      <w:r>
        <w:t xml:space="preserve">En primer lugar, entiende la Fiscalía que no es conclusivo el argumento de la demanda según el cual la votación presencial es distinta a la telemática en cuanto a la posibilidad de rectificar el voto, porque en el caso de la primera habría un interés general en que el error se asuma con todas las consecuencias por el representante para evitar que las iniciativas pendan “eternamente” en la Cámara, primando así la necesidad de obtener votaciones finales y vinculantes sobre el interés del representante en corregir su voto, mientras que eso no </w:t>
      </w:r>
      <w:r>
        <w:lastRenderedPageBreak/>
        <w:t>ocurre en el voto telemático que se pretende rectificar antes de que se inicie la votación presencial; argumento en el que incidió la vicepresidenta segunda en la reunión de la mesa de 15 de febrero, al afirmar que “el que vota anticipadamente lo hace por una razón justificada, pues el voto a distancia y anticipado es excepcional, que pueda votar presencialmente lo equipara a los otros diputados que pueden sopesar el sentido de su voto hasta el instante mismo de la votación”. Frente a ello, razona la Fiscalía que no es sostenible la distinción entre ambas modalidades de voto desde la perspectiva de la igualdad y de la seguridad jurídica. La razón jurídica que justifica que no pueda bloquearse la proclamación de los resultados de una votación presencial es la misma que sirve para justificar la denegación de la pretensión de corregir un voto telemático, a saber, la preceptiva ejecución del resultado de la votación. Además, una utilización libre del derecho a rectificar el voto telemático arrojaría un resultado de inestabilidad idéntico al que se trata de prevenir con la regla de que el voto presencial es invariable una vez formalizado. Además, el Ministerio Fiscal resalta que el postulado derecho a rectificar el voto telemático entra en contradicción con el supuesto que justifica su autorización (la imposibilidad de hallarse presente físicamente en la sesión plenaria) y conlleva, también, una desigualdad entre el que no puede acudir al Pleno por encontrarse realmente imposibilitado, que no podría cambiar su voto, y el que no estaba realmente imposibilitado o ha dejado de estarlo y pretende votar presencialmente, como el diputado señor Casero Ávila.</w:t>
      </w:r>
    </w:p>
    <w:p w14:paraId="585C4090" w14:textId="77777777" w:rsidR="003754FE" w:rsidRDefault="003754FE" w:rsidP="003754FE">
      <w:pPr>
        <w:pStyle w:val="TextoNormal"/>
      </w:pPr>
    </w:p>
    <w:p w14:paraId="54B6E985" w14:textId="77777777" w:rsidR="003754FE" w:rsidRDefault="003754FE" w:rsidP="003754FE">
      <w:pPr>
        <w:pStyle w:val="TextoNormal"/>
      </w:pPr>
      <w:r>
        <w:t>A partir de todo lo anterior, concluye la Fiscalía que ninguna de las posibilidades interpretativas en que se apoya la pretensión del grupo parlamentario recurrente en amparo encuentra un apoyo claro en el texto, en la lógica o en los precedentes de aplicación del apartado sexto de la resolución de 2012. Eso es lo que explica, según el Ministerio Fiscal, que la demanda apele a la doctrina constitucional de la interpretación más favorable a la plena eficacia de los derechos fundamentales, para concluir que la presidenta del Congreso debió convocar a la mesa para que se pronunciase sobre la autorización del voto presencial al diputado señor Casero Ávila. Sin embargo, en la misma STC 159/2015, de 14 de julio, FJ 6, citada en la demanda, encuentra la Fiscalía el criterio para excluir esa conclusión, porque el citado principio hermenéutico es de aplicación siempre y cuando haya sido establecida “la existencia del derecho infructuosamente reclamado […] y su anclaje constitucional”; mientras que, en el supuesto aquí enjuiciado, el reiterado apartado sexto no reconoce ningún derecho subjetivo a favor de los diputados, porque la decisión de la mesa exige una previa convocatoria de la presidenta a la que no se impone reglamentariamente ninguna obligación en ese sentido, más allá de la de motivar su decisión a partir de una petición, y porque la norma no tipifica los supuestos en que la mesa vendría obligada a autorizar el voto presencial y a anular el voto emitido telemáticamente. Para el Ministerio Fiscal, la mera negativa a convocar la mesa a petición del grupo parlamentario del diputado no lesiona el derecho fundamental invocado, sino que habrá de valorarse el carácter motivado o no de esa decisión, queja de amparo aducida también en la demanda. Insiste a estos efectos el Ministerio Fiscal en que el apartado sexto de la resolución de 2012 prevé una potestad reguladora de ordenación de las votaciones, no un derecho subjetivo de los diputados, e invoca la autonomía constitucionalmente garantizada de la Cámara en la interpretación de ese precepto.</w:t>
      </w:r>
    </w:p>
    <w:p w14:paraId="3C07BE44" w14:textId="77777777" w:rsidR="003754FE" w:rsidRDefault="003754FE" w:rsidP="003754FE">
      <w:pPr>
        <w:pStyle w:val="TextoNormal"/>
      </w:pPr>
    </w:p>
    <w:p w14:paraId="10A0260D" w14:textId="77777777" w:rsidR="003754FE" w:rsidRDefault="003754FE" w:rsidP="003754FE">
      <w:pPr>
        <w:pStyle w:val="TextoNormal"/>
      </w:pPr>
      <w:r>
        <w:t xml:space="preserve">e) Señala también la Fiscalía que la demanda de amparo imputa a las decisiones recurridas falta de motivación y arbitrariedad haciendo referencia únicamente al momento temporal en que fueron adoptadas, pero considera que nada impide tener en cuenta la motivación ulterior que la presidenta del Congreso expuso en la reunión de la mesa de 15 de febrero de </w:t>
      </w:r>
      <w:r>
        <w:lastRenderedPageBreak/>
        <w:t xml:space="preserve">2022, y a la que la demanda no pudo hacer referencia porque se interpuso con anterioridad a que se celebrase esa reunión. Entiende la Fiscalía que la valoración de esa motivación </w:t>
      </w:r>
      <w:r w:rsidRPr="003754FE">
        <w:rPr>
          <w:i/>
        </w:rPr>
        <w:t>ex post</w:t>
      </w:r>
      <w:r>
        <w:t xml:space="preserve"> permitiría descartar la lesión del derecho fundamental denunciada, o incluso reparar dicha lesión, en su caso. Las alegaciones del Ministerio Fiscal recuerdan en este punto el estándar de motivación constitucional exigible a las decisiones adoptadas por los órganos de gobierno de las cámaras legislativas en materia de calificación y admisión de iniciativas (motivación expresa, suficiente y adecuada), y subraya que la finalidad de esta exigencia es permitir el control por parte del Tribunal Constitucional de la validez o de conformidad a Derecho de la decisión en cada caso impugnada.</w:t>
      </w:r>
    </w:p>
    <w:p w14:paraId="418E666A" w14:textId="77777777" w:rsidR="003754FE" w:rsidRDefault="003754FE" w:rsidP="003754FE">
      <w:pPr>
        <w:pStyle w:val="TextoNormal"/>
      </w:pPr>
    </w:p>
    <w:p w14:paraId="2493F7B9" w14:textId="77777777" w:rsidR="003754FE" w:rsidRDefault="003754FE" w:rsidP="003754FE">
      <w:pPr>
        <w:pStyle w:val="TextoNormal"/>
      </w:pPr>
      <w:r>
        <w:t>Concluye la Fiscalía que la decisión de computar el voto telemático del señor Casero Ávila contó con una motivación suficiente e idónea al basarse en que no se había producido ninguna incidencia técnica en su emisión, por lo que la petición era infundada; al tener en cuenta, además, que un error humano en el sentido del voto no es ni ha sido nunca causa de anulación de un voto ni de repetición de votaciones, y que esa doctrina constante se basa en las exigencias de igualdad entre diputados, seguridad jurídica en la expresión de la voluntad de la Cámara y adecuada ordenación de sus trabajos; y al constatar que el procedimiento especial de emisión del voto telemático a través de la intranet de la Cámara con comprobación informática de doble clave, modalidad aprobada por unanimidad en la mesa, suponía la falta de vigencia de la comprobación telefónica del voto. En conclusión, entiende la Fiscalía que, aunque quepa una interpretación alternativa como la postulada por el grupo recurrente, a partir de la indefinición del apartado sexto de la resolución de 2012, los mencionados argumentos de la Presidencia del Congreso son razonables y no han sido desvirtuados por las alegaciones de la demanda.</w:t>
      </w:r>
    </w:p>
    <w:p w14:paraId="3A54747E" w14:textId="77777777" w:rsidR="003754FE" w:rsidRDefault="003754FE" w:rsidP="003754FE">
      <w:pPr>
        <w:pStyle w:val="TextoNormal"/>
      </w:pPr>
    </w:p>
    <w:p w14:paraId="02A56A76" w14:textId="77777777" w:rsidR="003754FE" w:rsidRDefault="003754FE" w:rsidP="003754FE">
      <w:pPr>
        <w:pStyle w:val="TextoNormal"/>
      </w:pPr>
      <w:r>
        <w:t>El Ministerio Fiscal llega a la misma conclusión en lo que se refiere a la decisión de la Presidencia de no convocar con urgencia la mesa de la Cámara con arreglo al mencionado apartado sexto, y de no suspender el procedimiento de proclamación de la votación y la publicación de su resultado. Razona que las explicaciones de la presidenta del Congreso evidencian que los miembros de la mesa habían tomado conocimiento de lo sucedido, que no había indicio alguno de que se hubiera producido una incidencia técnica en la emisión del voto telemático, y que en esas circunstancias no se consideró pertinente convocar a la mesa porque no procedía acceder a la pretensión de fondo que hubiera justificado la pretendida urgencia —el cambio del sentido del voto—, sin que en el momento inicial se hubiera invocado tan siquiera el apartado sexto de la resolución de 2012. Y en cuanto a la proclamación y publicación de la votación y de su resultado, también considera la Fiscalía suficiente y adecuada la motivación expresada por la presidenta del Congreso según la cual, partiendo de una votación válidamente celebrada, no había alternativa legal a la ejecución debida del acuerdo de convalidación del Real Decreto-ley.</w:t>
      </w:r>
    </w:p>
    <w:p w14:paraId="41840DA0" w14:textId="77777777" w:rsidR="003754FE" w:rsidRDefault="003754FE" w:rsidP="003754FE">
      <w:pPr>
        <w:pStyle w:val="TextoNormal"/>
      </w:pPr>
    </w:p>
    <w:p w14:paraId="5A649D96" w14:textId="301573ED" w:rsidR="003754FE" w:rsidRDefault="003754FE" w:rsidP="003754FE">
      <w:pPr>
        <w:pStyle w:val="TextoNormal"/>
      </w:pPr>
      <w:r>
        <w:t xml:space="preserve">f) Finalmente, el Ministerio Fiscal considera necesario formular una observación sobre el alcance indeterminado con que se configura el </w:t>
      </w:r>
      <w:r w:rsidRPr="003754FE">
        <w:rPr>
          <w:i/>
        </w:rPr>
        <w:t>petitum</w:t>
      </w:r>
      <w:r>
        <w:t xml:space="preserve"> de la demanda, al instarse, entre otras peticiones, “la nulidad de todos aquellos actos y normas que deriven de la tramitación legislativa en cuestión”; puesto que, en la medida en que lo anterior pueda entenderse referido a la pretensión de nulidad y consiguiente pérdida de vigencia del Real Decreto-ley 32/2021, considera preciso citar el ATC 131/2022, de 11 de octubre, dictado en el recurso de amparo núm. 1303/2022, en el que se reitera la doctrina constitucional según la cual “la vigencia de una norma con rango y fuerza de ley (art. 86 CE) […] en cuanto tal, no puede </w:t>
      </w:r>
      <w:r>
        <w:lastRenderedPageBreak/>
        <w:t>constituir en ningún caso el objeto directo de una pretensión de amparo”; por lo que, en consecuencia, la posible estimación del presente recurso no podrá comportar la pérdida de vigencia del decreto-ley.</w:t>
      </w:r>
    </w:p>
    <w:p w14:paraId="0C1E2A92" w14:textId="77777777" w:rsidR="003754FE" w:rsidRDefault="003754FE" w:rsidP="003754FE">
      <w:pPr>
        <w:pStyle w:val="TextoNormal"/>
      </w:pPr>
    </w:p>
    <w:p w14:paraId="39813ECC" w14:textId="3B7572DA" w:rsidR="003754FE" w:rsidRDefault="003754FE" w:rsidP="003754FE">
      <w:pPr>
        <w:pStyle w:val="TextoNormal"/>
      </w:pPr>
      <w:r w:rsidRPr="003754FE">
        <w:rPr>
          <w:rStyle w:val="NumeroAFNegritaCaracter"/>
        </w:rPr>
        <w:t>10</w:t>
      </w:r>
      <w:r>
        <w:t>. El Pleno del Tribunal Constitucional, mediante auto de 24 enero de 2023, estimó justificada la abstención formulada por el magistrado don Juan Carlos Campo Moreno en este proceso constitucional, apartándole definitivamente de su conocimiento y de todas sus incidencias.</w:t>
      </w:r>
    </w:p>
    <w:p w14:paraId="2D854BA7" w14:textId="77777777" w:rsidR="003754FE" w:rsidRDefault="003754FE" w:rsidP="003754FE">
      <w:pPr>
        <w:pStyle w:val="TextoNormal"/>
      </w:pPr>
    </w:p>
    <w:p w14:paraId="2E91B949" w14:textId="3FA43F7D" w:rsidR="003754FE" w:rsidRDefault="003754FE" w:rsidP="003754FE">
      <w:pPr>
        <w:pStyle w:val="TextoNormal"/>
      </w:pPr>
      <w:r w:rsidRPr="003754FE">
        <w:rPr>
          <w:rStyle w:val="NumeroAFNegritaCaracter"/>
        </w:rPr>
        <w:t>11</w:t>
      </w:r>
      <w:r>
        <w:t>. Mediante providencia de 24 de enero de 2023, el Pleno del Tribunal Constitucional, al amparo de lo previsto en el art. 88 LOTC, acordó recabar de la presidenta del Congreso de los Diputados, en el plazo de diez días, la siguiente documentación: (i) Copia de las resoluciones de la mesa del Congreso de los Diputados que regulan el voto telemático; (ii) copia, si los hubiera, de los acuerdos de la mesa del Congreso de los Diputados que no hayan sido objeto de publicación en el “Boletín Oficial de las Cortes Generales” y que hubieran sido dictados desde el 19 de marzo de 2020; (iii) certificación de los votos emitidos por el señor Casero Ávila de forma telemática en la sesión plenaria del 3 de febrero de 2022, haciendo constar la forma en que se efectuó la verificación o comprobación de la identidad antes del inicio de la votación, así como de la emisión efectiva del voto y de su sentido y (iv) certificación del momento en que fue instada por el diputado señor Casero o por el Grupo Parlamentario Popular la autorización de la mesa del Congreso de los Diputados a efectos de que se anulase el voto telemático emitido por el referido diputado, en relación con la convalidación del Real Decreto-ley 32/2021, de 28 de diciembre, en la sesión plenaria de 3 de febrero de 2022.</w:t>
      </w:r>
    </w:p>
    <w:p w14:paraId="633CA8DE" w14:textId="77777777" w:rsidR="003754FE" w:rsidRDefault="003754FE" w:rsidP="003754FE">
      <w:pPr>
        <w:pStyle w:val="TextoNormal"/>
      </w:pPr>
    </w:p>
    <w:p w14:paraId="3E0C083B" w14:textId="77777777" w:rsidR="003754FE" w:rsidRDefault="003754FE" w:rsidP="003754FE">
      <w:pPr>
        <w:pStyle w:val="TextoNormal"/>
      </w:pPr>
      <w:r w:rsidRPr="003754FE">
        <w:rPr>
          <w:rStyle w:val="NumeroAFNegritaCaracter"/>
        </w:rPr>
        <w:t>12</w:t>
      </w:r>
      <w:r>
        <w:t>. Mediante escrito registrado en este tribunal el día 8 de febrero de 2023, el Congreso de los Diputados dio cumplimiento a la solicitado en la mencionada providencia remitiendo la documentación que se relaciona a continuación: (i) Copia de las resoluciones de la mesa del Congreso de los Diputados que regulan el voto telemático; (ii) copia de la comunicación a los grupos parlamentarios de los acuerdos de la mesa del Congreso de los Diputados, desde el 19 de marzo de 2020, en materia de voto telemático, que no hayan sido objeto de publicación en el “Boletín Oficial de las Cortes Generales”; (iii) certificado del secretario general del Congreso de los Diputados de los votos emitidos por el señor Casero de forma telemática en la sesión plenaria de 3 de febrero de 2022, haciendo constar la forma en que se efectuó la verificación o comprobación de la identidad antes del inicio de la votación, así como de la emisión efectiva del voto y de su sentido y (iv) certificado del secretario general del Congreso de los Diputados del momento en que fue instada por el diputado señor Casero o por el Grupo Parlamentario Popular en el Congreso la autorización de la mesa del Congreso de los Diputados a efectos de que se anulase el voto telemático emitido por el referido diputado.</w:t>
      </w:r>
    </w:p>
    <w:p w14:paraId="39401F22" w14:textId="77777777" w:rsidR="003754FE" w:rsidRDefault="003754FE" w:rsidP="003754FE">
      <w:pPr>
        <w:pStyle w:val="TextoNormal"/>
      </w:pPr>
    </w:p>
    <w:p w14:paraId="0922A7AC" w14:textId="77777777" w:rsidR="003754FE" w:rsidRDefault="003754FE" w:rsidP="003754FE">
      <w:pPr>
        <w:pStyle w:val="TextoNormal"/>
      </w:pPr>
      <w:r>
        <w:t xml:space="preserve">En particular, respecto de este último documento, por la Secretaría General del Congreso de los Diputados se certificó que, en los antecedentes de su informe relativo a las votaciones de la sesión plenaria de 3 de octubre de 2022, donde se relatan los hechos, consta que “[e]n los momentos previos a la reanudación de la sesión plenaria, cuando ya se había producido la llamada a votación, diversos miembros de la dirección del Grupo Parlamentario Popular en el Congreso se acercaron a la mesa, manifestando a la Presidencia que un voto emitido telemáticamente por el Sr. Casero Ávila no se correspondía con su voluntad y que, </w:t>
      </w:r>
      <w:r>
        <w:lastRenderedPageBreak/>
        <w:t>tratándose de un error técnico, y encontrándose el diputado en la Cámara, debía permitírsele votar de manera presencial. […] La sesión se reanudó para la votación presencial de los asuntos pendientes. Entre otras cuestiones, se votaba la convalidación o derogación del Real Decreto-ley 32/2021, de 28 de octubre, de medidas urgentes para la reforma laboral, la garantía de la estabilidad en el empleo y la transformación del mercado de trabajo, que resultó convalidado con 175 votos a favor (166 más 9 voto telemáticos), 174 en contra (169 más 5 votos telemáticos) y ninguna abstención. El Sr. Casero había votado en relación con ese punto del orden del día en un sentido diferente al que habían votado el resto de los diputados de su grupo parlamentario. De igual modo ocurrió en relación con otras tres votaciones […] Al final de las votaciones el Sr. Casero accedió al hemiciclo y ocupó su escaño, si bien no votó desde el mismo. El Sr. Casero no cursó en ningún momento solicitud de revocación de la autorización del voto telemático”.</w:t>
      </w:r>
    </w:p>
    <w:p w14:paraId="075A11C9" w14:textId="77777777" w:rsidR="003754FE" w:rsidRDefault="003754FE" w:rsidP="003754FE">
      <w:pPr>
        <w:pStyle w:val="TextoNormal"/>
      </w:pPr>
    </w:p>
    <w:p w14:paraId="5E07DA90" w14:textId="05A88D79" w:rsidR="003754FE" w:rsidRDefault="003754FE" w:rsidP="003754FE">
      <w:pPr>
        <w:pStyle w:val="TextoNormal"/>
      </w:pPr>
      <w:r>
        <w:t>Asimismo, en la certificación del secretario general del Congreso de los Diputados de los votos emitidos por el señor Casero de forma telemática en la sesión plenaria de 3 de febrero de 2022, consta que su voto en las mociones consecuencia de interpelación urgente se emitió respecto de iniciativas que habían sido objeto de modificación durante su debate en el Pleno (las mociones 173-116, 173-117 y 173-118) o de fragmentación para su votación (la moción 173-119).</w:t>
      </w:r>
    </w:p>
    <w:p w14:paraId="1C9DF2AA" w14:textId="77777777" w:rsidR="003754FE" w:rsidRDefault="003754FE" w:rsidP="003754FE">
      <w:pPr>
        <w:pStyle w:val="TextoNormal"/>
      </w:pPr>
    </w:p>
    <w:p w14:paraId="45603E2F" w14:textId="2C5C32E8" w:rsidR="003754FE" w:rsidRDefault="003754FE" w:rsidP="003754FE">
      <w:pPr>
        <w:pStyle w:val="TextoNormal"/>
      </w:pPr>
      <w:r w:rsidRPr="003754FE">
        <w:rPr>
          <w:rStyle w:val="NumeroAFNegritaCaracter"/>
        </w:rPr>
        <w:t>13</w:t>
      </w:r>
      <w:r>
        <w:t>. Mediante diligencia de ordenación de 14 de febrero de 2023 se acordó dar traslado de la documentación recibida por el Congreso de los Diputados a las partes personadas con el fin de que, en el plazo común de diez días, alegaran lo que a su derecho conviniera.</w:t>
      </w:r>
    </w:p>
    <w:p w14:paraId="3EFFABDE" w14:textId="77777777" w:rsidR="003754FE" w:rsidRDefault="003754FE" w:rsidP="003754FE">
      <w:pPr>
        <w:pStyle w:val="TextoNormal"/>
      </w:pPr>
    </w:p>
    <w:p w14:paraId="1EC407EE" w14:textId="119418D9" w:rsidR="003754FE" w:rsidRDefault="003754FE" w:rsidP="003754FE">
      <w:pPr>
        <w:pStyle w:val="TextoNormal"/>
      </w:pPr>
      <w:r w:rsidRPr="003754FE">
        <w:rPr>
          <w:rStyle w:val="NumeroAFNegritaCaracter"/>
        </w:rPr>
        <w:t>14</w:t>
      </w:r>
      <w:r>
        <w:t>. El grupo parlamentario recurrente presentó sus alegaciones mediante escrito registrado el 28 de febrero de 2023, señalando que la documentación remitida confirmaba lo expuesto en su demanda. En particular, en cuanto a las resoluciones reguladoras del voto telemático, reitera que el acuerdo de 26 de octubre de 2021 derogó la regulación vigente durante la pandemia y retornó a la vigencia de la resolución de 2012. Por lo que se refiere a la certificación sobre los votos telemáticos emitidos por el diputado señor Casero Ávila y la forma en que se efectuó la verificación o comprobación de su identidad, aduce que el certificado remitido se refiere a la comprobación de la identidad del votante (que no se ha cuestionado que se llevó correctamente a cabo a través de la intranet de la Cámara con el sistema de usuario y contraseña), pero guarda silencio en cuanto a la verificación de la emisión efectiva del voto y su sentido (que —insiste el grupo parlamentario recurrente— no se produjo y debió llevarse a cabo a través de los términos requeridos en la resolución de 2012). En cuanto al momento en que fue instada por el diputado la autorización del voto presencial a efectos de que se anulase el voto telemático, señala que de la certificación remitida se desprende que se solicitó por diversos miembros de la dirección del Grupo Parlamentario Popular antes de la reanudación de la sesión plenaria y de la votación. Por último, el grupo parlamentario recurrente insiste en la inexactitud y en los errores en los que, a su juicio, incurre el informe de la secretaría general del Congreso de los Diputados sobre las controvertidas votaciones de la sesión plenaria de 3 de febrero de 2022, reiterando las alegaciones formuladas al respecto en su escrito de 19 de octubre de 2022, ya referidas en el antecedente séptimo.</w:t>
      </w:r>
    </w:p>
    <w:p w14:paraId="3EA3780A" w14:textId="77777777" w:rsidR="003754FE" w:rsidRDefault="003754FE" w:rsidP="003754FE">
      <w:pPr>
        <w:pStyle w:val="TextoNormal"/>
      </w:pPr>
    </w:p>
    <w:p w14:paraId="6468BDEB" w14:textId="77777777" w:rsidR="003754FE" w:rsidRDefault="003754FE" w:rsidP="003754FE">
      <w:pPr>
        <w:pStyle w:val="TextoNormal"/>
      </w:pPr>
      <w:r w:rsidRPr="003754FE">
        <w:rPr>
          <w:rStyle w:val="NumeroAFNegritaCaracter"/>
        </w:rPr>
        <w:lastRenderedPageBreak/>
        <w:t>15</w:t>
      </w:r>
      <w:r>
        <w:t>. El Congreso de los Diputados, mediante escrito de 1 de marzo de 2023, formuló también nuevas alegaciones a partir de la remisión de la documentación. Reitera que el marco normativo vigente sobre el voto telemático en la sesión plenaria de 3 de febrero de 2022 venía constituido, además de por el art. 82.2 del Reglamento y por la resolución de 2012, por los acuerdos de 26 de octubre de 2021 y de 1 de febrero de 2022, el primero previendo la forma de emisión del voto telemático a través de la intranet del Congreso, mediante la introducción de usuario y contraseña como método de verificación de la emisión personal del voto (con derogación, así, de la práctica de la llamada telefónica), y el segundo permitiendo el voto telemático para todos los asuntos del orden del día del Pleno. Señala el Congreso que los mencionados acuerdos establecieron un régimen especial respecto del previsto en la resolución de 2012, norma esta que no había recuperado su plena vigencia en el momento de la sesión plenaria de 3 de febrero de 2022; y señala que esos acuerdos fueron adoptados por unanimidad de la mesa, que no fueron cuestionados por grupo parlamentario alguno en la junta de portavoces, y que no debían ser objeto de publicación en el “Boletín Oficial de las Cortes Generales” conforme a lo dispuesto en el art. 97.1 RCD, sin que ello fuese obstáculo para su general conocimiento por los grupos parlamentarios de la Cámara, a los que se había dado traslado de los referidos acuerdos.</w:t>
      </w:r>
    </w:p>
    <w:p w14:paraId="4E68922A" w14:textId="77777777" w:rsidR="003754FE" w:rsidRDefault="003754FE" w:rsidP="003754FE">
      <w:pPr>
        <w:pStyle w:val="TextoNormal"/>
      </w:pPr>
    </w:p>
    <w:p w14:paraId="46051D52" w14:textId="77777777" w:rsidR="003754FE" w:rsidRDefault="003754FE" w:rsidP="003754FE">
      <w:pPr>
        <w:pStyle w:val="TextoNormal"/>
      </w:pPr>
      <w:r>
        <w:t>Continúa el Congreso afirmando que en la documentación aportada se acredita (i) que la identidad del señor Casero se verificó antes de su votación telemática a través de la intranet de la Cámara mediante la introducción de usuario y contraseña; (ii) que en la votación no se produjo ninguna incidencia técnica y el voto se emitió de forma efectiva con todas las garantías; y (iii) que solo cabe imputar a un error material del diputado que el voto emitido no coincidiera con la que era su voluntad.</w:t>
      </w:r>
    </w:p>
    <w:p w14:paraId="11475547" w14:textId="77777777" w:rsidR="003754FE" w:rsidRDefault="003754FE" w:rsidP="003754FE">
      <w:pPr>
        <w:pStyle w:val="TextoNormal"/>
      </w:pPr>
    </w:p>
    <w:p w14:paraId="773FF7D5" w14:textId="52770458" w:rsidR="003754FE" w:rsidRDefault="003754FE" w:rsidP="003754FE">
      <w:pPr>
        <w:pStyle w:val="TextoNormal"/>
      </w:pPr>
      <w:r>
        <w:t>En cuanto al momento en que fue instada la autorización de la mesa del Congreso para que el señor Casero Ávila votara presencialmente y se anulara su voto telemático, alega el Congreso de los Diputados que ni este diputado ni su grupo parlamentario registraron ninguna incidencia técnica ni comunicación relativa a la emisión de su voto telemático, y que solo en los momentos previos a la reanudación de la sesión plenaria, cuando ya se había producido la llamada a la votación, determinados miembros del Grupo Parlamentario Popular se dirigieron a la mesa poniendo de manifiesto que uno de los votos telemáticos del diputado no se correspondía con su voluntad, momento en el cual no se había presentado ninguna petición formal o por escrito a este respecto. Señala el Congreso que la mesa era conocedora de lo sucedido, aunque no hubiera sido convocada, porque sus miembros estaban presentes cuando la incidencia fue comunicada por diputados del grupo parlamentario recurrente; mientras que las peticiones formales de convocatoria de la mesa, que pretendían que no se ejecutara el acuerdo adoptado por el Pleno, se formularon después de la sesión plenaria, cuando ya no se podía autorizar el voto presencial. Además, la única manifestación de la discordancia entre el voto telemático emitido y la verdadera intención del diputado, formulada momentos antes de comenzar la votación presencial, hacía referencia solo a una de las votaciones, pero no a las otras tres en que el diputado votó en sentido diferente a su grupo parlamentario, lo que hace imposible entender que el grupo considerara que solo una de las votaciones estaba viciada por un error técnico.</w:t>
      </w:r>
    </w:p>
    <w:p w14:paraId="6C0F4C57" w14:textId="77777777" w:rsidR="003754FE" w:rsidRDefault="003754FE" w:rsidP="003754FE">
      <w:pPr>
        <w:pStyle w:val="TextoNormal"/>
      </w:pPr>
    </w:p>
    <w:p w14:paraId="26BFB743" w14:textId="568DE883" w:rsidR="003754FE" w:rsidRDefault="003754FE" w:rsidP="003754FE">
      <w:pPr>
        <w:pStyle w:val="TextoNormal"/>
      </w:pPr>
      <w:r w:rsidRPr="003754FE">
        <w:rPr>
          <w:rStyle w:val="NumeroAFNegritaCaracter"/>
        </w:rPr>
        <w:t>16</w:t>
      </w:r>
      <w:r>
        <w:t>. Mediante escrito con fecha de registro de 3 de marzo de 2023, el Ministerio Fiscal interesó que, teniéndole por debidamente informado, se le tuviera igualmente por ratificado en su integridad en sus alegaciones, a la vista de los nuevos documentos traídos a la causa.</w:t>
      </w:r>
    </w:p>
    <w:p w14:paraId="1D125FC7" w14:textId="77777777" w:rsidR="003754FE" w:rsidRDefault="003754FE" w:rsidP="003754FE">
      <w:pPr>
        <w:pStyle w:val="TextoNormal"/>
      </w:pPr>
    </w:p>
    <w:p w14:paraId="100F468A" w14:textId="3511E1AB" w:rsidR="003754FE" w:rsidRDefault="003754FE" w:rsidP="003754FE">
      <w:pPr>
        <w:pStyle w:val="TextoNormal"/>
      </w:pPr>
      <w:r w:rsidRPr="003754FE">
        <w:rPr>
          <w:rStyle w:val="NumeroAFNegritaCaracter"/>
        </w:rPr>
        <w:t>17</w:t>
      </w:r>
      <w:r>
        <w:t>. Por providencia de 22 de octubre de 2024, se señaló ese mismo día para deliberación y fallo de la presente sentencia.</w:t>
      </w:r>
    </w:p>
    <w:p w14:paraId="68C46A01" w14:textId="77777777" w:rsidR="003754FE" w:rsidRDefault="003754FE" w:rsidP="003754FE">
      <w:pPr>
        <w:pStyle w:val="TextoNormal"/>
      </w:pPr>
    </w:p>
    <w:p w14:paraId="5DD3F3B4" w14:textId="77777777" w:rsidR="003754FE" w:rsidRDefault="003754FE" w:rsidP="003754FE">
      <w:pPr>
        <w:pStyle w:val="TextoNormalNegritaCentrado"/>
        <w:keepNext/>
      </w:pPr>
      <w:r>
        <w:t>II. Fundamentos jurídicos</w:t>
      </w:r>
    </w:p>
    <w:p w14:paraId="3D5150FC" w14:textId="739CB4E0" w:rsidR="003754FE" w:rsidRDefault="003754FE" w:rsidP="003754FE">
      <w:pPr>
        <w:pStyle w:val="TextoNormalNegritaCentrado"/>
        <w:keepNext/>
      </w:pPr>
    </w:p>
    <w:p w14:paraId="1EB805A7" w14:textId="77777777" w:rsidR="003754FE" w:rsidRDefault="003754FE" w:rsidP="003754FE">
      <w:pPr>
        <w:pStyle w:val="TextoNormal"/>
      </w:pPr>
      <w:r w:rsidRPr="003754FE">
        <w:rPr>
          <w:rStyle w:val="NumeroAFNegritaCaracter"/>
        </w:rPr>
        <w:t>1</w:t>
      </w:r>
      <w:r>
        <w:t xml:space="preserve">. </w:t>
      </w:r>
      <w:r w:rsidRPr="003754FE">
        <w:rPr>
          <w:i/>
        </w:rPr>
        <w:t>Objeto del recurso y posiciones de las partes</w:t>
      </w:r>
    </w:p>
    <w:p w14:paraId="490DFF67" w14:textId="77777777" w:rsidR="003754FE" w:rsidRDefault="003754FE" w:rsidP="003754FE">
      <w:pPr>
        <w:pStyle w:val="TextoNormal"/>
      </w:pPr>
    </w:p>
    <w:p w14:paraId="359B5127" w14:textId="77777777" w:rsidR="003754FE" w:rsidRDefault="003754FE" w:rsidP="003754FE">
      <w:pPr>
        <w:pStyle w:val="TextoNormal"/>
      </w:pPr>
      <w:r>
        <w:t>El Grupo Parlamentario Popular en la XIV Legislatura del Congreso formula recurso de amparo contra dos decisiones de la presidenta del Congreso de los Diputados adoptadas en la sesión plenaria de 3 de febrero de 2022, por las que, respectivamente, (i) se consideró verificado el voto telemático del diputado de ese grupo parlamentario señor Casero Ávila en la convalidación del Real Decreto-ley 32/2021, de 28 de diciembre, de medidas urgentes para la reforma laboral, la garantía de estabilidad en el empleo y la transformación del mercado de trabajo y (ii) se resolvió no convocar la mesa de la Cámara para que se pronunciase en relación con la solicitud de que el diputado señor Casero Ávila ejerciera su voto presencialmente, con anulación de su voto telemático, en esa concreta votación.</w:t>
      </w:r>
    </w:p>
    <w:p w14:paraId="63CBD3FD" w14:textId="77777777" w:rsidR="003754FE" w:rsidRDefault="003754FE" w:rsidP="003754FE">
      <w:pPr>
        <w:pStyle w:val="TextoNormal"/>
      </w:pPr>
    </w:p>
    <w:p w14:paraId="5E0D7E57" w14:textId="77777777" w:rsidR="003754FE" w:rsidRDefault="003754FE" w:rsidP="003754FE">
      <w:pPr>
        <w:pStyle w:val="TextoNormal"/>
      </w:pPr>
      <w:r>
        <w:t xml:space="preserve">Como con mayor detalle se ha expuesto en los antecedentes de esta sentencia, la demanda de amparo denuncia, por una parte, la vulneración del derecho fundamental al ejercicio del cargo representativo conforme a la ley y en condiciones de igualdad, o </w:t>
      </w:r>
      <w:r w:rsidRPr="003754FE">
        <w:rPr>
          <w:i/>
        </w:rPr>
        <w:t>ius in officium</w:t>
      </w:r>
      <w:r>
        <w:t>, del señor Casero Ávila en su vertiente de derecho al voto de los parlamentarios (art. 23.2 CE). Alega que tal vulneración se produce porque (i) la primera decisión de la Presidencia infringe el apartado cuarto de la Resolución de la mesa del Congreso de 21 de mayo de 2012; (ii) la segunda decisión impugnada es contraria al apartado sexto de dicha resolución; (iii) ambas decisiones suponen una aplicación restrictiva de los límites al pleno ejercicio de las funciones representativas y (iv) ambas decisiones carecen de motivación.</w:t>
      </w:r>
    </w:p>
    <w:p w14:paraId="1D4AFB47" w14:textId="77777777" w:rsidR="003754FE" w:rsidRDefault="003754FE" w:rsidP="003754FE">
      <w:pPr>
        <w:pStyle w:val="TextoNormal"/>
      </w:pPr>
    </w:p>
    <w:p w14:paraId="60768561" w14:textId="77777777" w:rsidR="003754FE" w:rsidRDefault="003754FE" w:rsidP="003754FE">
      <w:pPr>
        <w:pStyle w:val="TextoNormal"/>
      </w:pPr>
      <w:r>
        <w:t xml:space="preserve">De otro lado, el recurso denuncia la lesión del derecho fundamental de los diputados que forman parte del Grupo Parlamentario Popular, así como del grupo parlamentario como tal, a ejercer la función representativa de conformidad con la ley y en condiciones de igualdad </w:t>
      </w:r>
      <w:r w:rsidRPr="003754FE">
        <w:rPr>
          <w:i/>
        </w:rPr>
        <w:t>ex</w:t>
      </w:r>
      <w:r>
        <w:t xml:space="preserve"> art. 23.2 CE, a través de la manifestación de su postura colectiva sobre una determinada votación de índole legislativa, con referencia a la STC 361/2006, de 18 de diciembre, FJ 5; vulneración que la demanda fundamenta en la incidencia de las resoluciones impugnadas para el ejercicio del derecho de voto del diputado de ese grupo parlamentario señor Casero Ávila.</w:t>
      </w:r>
    </w:p>
    <w:p w14:paraId="000211C4" w14:textId="77777777" w:rsidR="003754FE" w:rsidRDefault="003754FE" w:rsidP="003754FE">
      <w:pPr>
        <w:pStyle w:val="TextoNormal"/>
      </w:pPr>
    </w:p>
    <w:p w14:paraId="3F91F0B5" w14:textId="5B574141" w:rsidR="003754FE" w:rsidRDefault="003754FE" w:rsidP="003754FE">
      <w:pPr>
        <w:pStyle w:val="TextoNormal"/>
      </w:pPr>
      <w:r>
        <w:t>Por su parte, el Congreso de los Diputados y el Ministerio Fiscal se oponen a la estimación del recurso de amparo al considerar que las decisiones recurridas no lesionaron derecho fundamental ni norma parlamentaria alguna. Adicionalmente, la fiscalía insta la inadmisión del recurso por considerar que tiene carácter prematuro; cuestión de orden procesal que fue resuelta en la anterior sentencia sobre el mismo objeto, a la que nos remitimos.</w:t>
      </w:r>
    </w:p>
    <w:p w14:paraId="6F168DFB" w14:textId="77777777" w:rsidR="003754FE" w:rsidRDefault="003754FE" w:rsidP="003754FE">
      <w:pPr>
        <w:pStyle w:val="TextoNormal"/>
      </w:pPr>
    </w:p>
    <w:p w14:paraId="6F4EFB2C" w14:textId="77777777" w:rsidR="003754FE" w:rsidRDefault="003754FE" w:rsidP="003754FE">
      <w:pPr>
        <w:pStyle w:val="TextoNormal"/>
      </w:pPr>
      <w:r w:rsidRPr="003754FE">
        <w:rPr>
          <w:rStyle w:val="NumeroAFNegritaCaracter"/>
        </w:rPr>
        <w:t>2</w:t>
      </w:r>
      <w:r>
        <w:t xml:space="preserve">. </w:t>
      </w:r>
      <w:r w:rsidRPr="003754FE">
        <w:rPr>
          <w:i/>
        </w:rPr>
        <w:t>Desestimación del recurso de amparo: aplicación de la doctrina de la STC 114/2024, de 11 de septiembre</w:t>
      </w:r>
    </w:p>
    <w:p w14:paraId="52877498" w14:textId="77777777" w:rsidR="003754FE" w:rsidRDefault="003754FE" w:rsidP="003754FE">
      <w:pPr>
        <w:pStyle w:val="TextoNormal"/>
      </w:pPr>
    </w:p>
    <w:p w14:paraId="10173A2E" w14:textId="77777777" w:rsidR="003754FE" w:rsidRDefault="003754FE" w:rsidP="003754FE">
      <w:pPr>
        <w:pStyle w:val="TextoNormal"/>
      </w:pPr>
      <w:r>
        <w:lastRenderedPageBreak/>
        <w:t>El presente recurso de amparo, interpuesto por la señora Gamarra Ruiz-Clavijo en su condición de diputada y de portavoz del Grupo Parlamentario Popular del Congreso en la XIV Legislatura, es, por lo que respecta a la alegada lesión del derecho al voto del señor Casero Ávila, idéntico al recurso de amparo 916-2022, interpuesto por este último. Se recurren las mismas resoluciones de la presidenta del Congreso, por los mismos motivos y con idéntica fundamentación jurídica, habiendo formulado las partes alegaciones asimismo iguales y habiendo planteado también el Ministerio Fiscal en aquel caso igual óbice procesal de prematuridad que el ahora suscitado.</w:t>
      </w:r>
    </w:p>
    <w:p w14:paraId="6A65E75D" w14:textId="77777777" w:rsidR="003754FE" w:rsidRDefault="003754FE" w:rsidP="003754FE">
      <w:pPr>
        <w:pStyle w:val="TextoNormal"/>
      </w:pPr>
    </w:p>
    <w:p w14:paraId="10290EC2" w14:textId="77777777" w:rsidR="003754FE" w:rsidRDefault="003754FE" w:rsidP="003754FE">
      <w:pPr>
        <w:pStyle w:val="TextoNormal"/>
      </w:pPr>
      <w:r>
        <w:t>El recurso de amparo 916-2022 ha sido desestimado por el Pleno de este tribunal mediante la STC 114/2024, de 11 de septiembre, cuya fundamentación jurídica, a la que nos remitimos íntegramente, nos lleva a desestimar el presente recurso por lo que respecta a la alegada lesión del derecho al voto del señor Casero Ávila.</w:t>
      </w:r>
    </w:p>
    <w:p w14:paraId="1EC64A76" w14:textId="77777777" w:rsidR="003754FE" w:rsidRDefault="003754FE" w:rsidP="003754FE">
      <w:pPr>
        <w:pStyle w:val="TextoNormal"/>
      </w:pPr>
    </w:p>
    <w:p w14:paraId="1097B15B" w14:textId="62CD9FEF" w:rsidR="003754FE" w:rsidRDefault="003754FE" w:rsidP="003754FE">
      <w:pPr>
        <w:pStyle w:val="TextoNormal"/>
      </w:pPr>
      <w:r>
        <w:t xml:space="preserve">El único aspecto novedoso que plantea el presente recurso de amparo por comparación con el resuelto por la STC 114/2024 es que el grupo parlamentario recurrente denuncia ahora, además, la lesión de su derecho y del derecho de sus miembros a ejercer la función representativa de conformidad con la ley y en condiciones de igualdad </w:t>
      </w:r>
      <w:r w:rsidRPr="003754FE">
        <w:rPr>
          <w:i/>
        </w:rPr>
        <w:t>ex</w:t>
      </w:r>
      <w:r>
        <w:t xml:space="preserve"> art. 23.2 CE, a través de la manifestación de su postura colectiva sobre una determinada votación de índole legislativa, con invocación al respecto de la STC 361/2006, de 18 de diciembre, FJ 5. Sin embargo, en la medida en que esta queja se articula en la demanda únicamente como derivada o accesoria de la alegada lesión del derecho de voto del señor Casero Ávila, sin fundamentación jurídica autónoma o adicional, debe correr la misma suerte desestimatoria.</w:t>
      </w:r>
    </w:p>
    <w:p w14:paraId="3C545159" w14:textId="77777777" w:rsidR="003754FE" w:rsidRDefault="003754FE" w:rsidP="003754FE">
      <w:pPr>
        <w:pStyle w:val="TextoNormal"/>
      </w:pPr>
    </w:p>
    <w:p w14:paraId="78588F6E" w14:textId="77777777" w:rsidR="003754FE" w:rsidRDefault="003754FE" w:rsidP="003754FE">
      <w:pPr>
        <w:pStyle w:val="TextoNormalCentrado"/>
        <w:keepNext/>
      </w:pPr>
      <w:r>
        <w:t>FALLO</w:t>
      </w:r>
    </w:p>
    <w:p w14:paraId="612AF003" w14:textId="47468B3D" w:rsidR="003754FE" w:rsidRDefault="003754FE" w:rsidP="003754FE">
      <w:pPr>
        <w:pStyle w:val="TextoNormalCentrado"/>
        <w:keepNext/>
      </w:pPr>
    </w:p>
    <w:p w14:paraId="796F3057" w14:textId="0C443386" w:rsidR="003754FE" w:rsidRDefault="003754FE" w:rsidP="003754FE">
      <w:pPr>
        <w:pStyle w:val="TextoNormal"/>
      </w:pPr>
      <w:r>
        <w:t>En atención a todo lo expuesto, el Tribunal Constitucional, por la autoridad que le confiere la Constitución de la Nación española, ha decidido desestimar el recurso de amparo interpuesto por el Grupo Parlamentario Popular contra las decisiones de la presidenta del Congreso de los Diputados adoptadas en el curso de la sesión plenaria de 3 de febrero de 2022.</w:t>
      </w:r>
    </w:p>
    <w:p w14:paraId="5C1AE07C" w14:textId="77777777" w:rsidR="003754FE" w:rsidRDefault="003754FE" w:rsidP="003754FE">
      <w:pPr>
        <w:pStyle w:val="TextoNormal"/>
      </w:pPr>
    </w:p>
    <w:p w14:paraId="4C5F1A12" w14:textId="77777777" w:rsidR="003754FE" w:rsidRDefault="003754FE" w:rsidP="003754FE">
      <w:pPr>
        <w:pStyle w:val="TextoNormal"/>
      </w:pPr>
      <w:r>
        <w:t>Publíquese esta sentencia en el “Boletín Oficial del Estado”.</w:t>
      </w:r>
    </w:p>
    <w:p w14:paraId="529D12F1" w14:textId="77777777" w:rsidR="003754FE" w:rsidRDefault="003754FE" w:rsidP="003754FE">
      <w:pPr>
        <w:pStyle w:val="TextoNormal"/>
      </w:pPr>
      <w:r>
        <w:t>Dada en Madrid, a veintidós de octubre de dos mil veinticuatro.</w:t>
      </w:r>
    </w:p>
    <w:p w14:paraId="6C9D9BA3" w14:textId="77780678" w:rsidR="003754FE" w:rsidRDefault="003754FE" w:rsidP="003754FE">
      <w:pPr>
        <w:pStyle w:val="ParrafoNormal"/>
      </w:pPr>
    </w:p>
    <w:p w14:paraId="29CA1447" w14:textId="77777777" w:rsidR="003754FE" w:rsidRDefault="003754FE" w:rsidP="003754FE">
      <w:pPr>
        <w:pStyle w:val="TextoNormalNegritaCentrado"/>
        <w:keepNext/>
      </w:pPr>
      <w:r>
        <w:t>Voto particular concurrente que formulan el magistrado don Enrique Arnaldo Alcubilla y la magistrada doña Concepción Espejel Jorquera a la sentencia dictada por el Pleno en el recurso de amparo avocado núm. 917-2022</w:t>
      </w:r>
    </w:p>
    <w:p w14:paraId="2EF24AD9" w14:textId="202E42EC" w:rsidR="003754FE" w:rsidRDefault="003754FE" w:rsidP="003754FE">
      <w:pPr>
        <w:pStyle w:val="TextoNormalNegritaCentrado"/>
        <w:keepNext/>
      </w:pPr>
    </w:p>
    <w:p w14:paraId="5C617EAE" w14:textId="77777777" w:rsidR="003754FE" w:rsidRDefault="003754FE" w:rsidP="003754FE">
      <w:pPr>
        <w:pStyle w:val="TextoNormal"/>
      </w:pPr>
      <w:r>
        <w:t>En el ejercicio de la facultad conferida por el artículo 90.2 LOTC y con respeto a la opinión de nuestros compañeros, formulamos el presente voto concurrente por cuanto, pese a que compartimos el fallo desestimatorio del recurso, disentimos en parte de la argumentación de la sentencia.</w:t>
      </w:r>
    </w:p>
    <w:p w14:paraId="45B33738" w14:textId="77777777" w:rsidR="003754FE" w:rsidRDefault="003754FE" w:rsidP="003754FE">
      <w:pPr>
        <w:pStyle w:val="TextoNormal"/>
      </w:pPr>
    </w:p>
    <w:p w14:paraId="21822C9D" w14:textId="77777777" w:rsidR="003754FE" w:rsidRDefault="003754FE" w:rsidP="003754FE">
      <w:pPr>
        <w:pStyle w:val="TextoNormal"/>
      </w:pPr>
      <w:r>
        <w:t xml:space="preserve">La sentencia desestima el recurso de amparo por remisión a lo razonado en la STC 114/2024, de 11 de septiembre, que resolvió el recurso de un diputado del Grupo Parlamentario Popular del Congreso de los Diputados en la XIV Legislatura contra dos decisiones de </w:t>
      </w:r>
      <w:r>
        <w:lastRenderedPageBreak/>
        <w:t>la presidenta del Congreso adoptadas en la sesión plenaria de 3 de febrero de 2022, por las que, respectivamente, (i) se consideró verificado el voto telemático de dicho diputado en la convalidación del Real Decreto-ley 32/2021, de 28 de diciembre; y (ii) se resolvió no convocar la mesa de la Cámara para que se pronunciase en relación con la solicitud de que dicho diputado ejerciera su voto presencialmente, con anulación de su voto telemático, en esa concreta votación.</w:t>
      </w:r>
    </w:p>
    <w:p w14:paraId="17146010" w14:textId="77777777" w:rsidR="003754FE" w:rsidRDefault="003754FE" w:rsidP="003754FE">
      <w:pPr>
        <w:pStyle w:val="TextoNormal"/>
      </w:pPr>
    </w:p>
    <w:p w14:paraId="2DB568BA" w14:textId="77777777" w:rsidR="003754FE" w:rsidRDefault="003754FE" w:rsidP="003754FE">
      <w:pPr>
        <w:pStyle w:val="TextoNormal"/>
      </w:pPr>
      <w:r>
        <w:t>Las razones de nuestra discrepancia parcial con la fundamentación de esta sentencia son las mismas que ya quedaron expresadas en nuestro voto particular concurrente a la citada STC 114/2024, de 11 de septiembre. Bastará por ello con remitirnos a lo expuesto en dicho voto particular, para excusar reiteraciones innecesarias.</w:t>
      </w:r>
    </w:p>
    <w:p w14:paraId="68FF9F94" w14:textId="77777777" w:rsidR="003754FE" w:rsidRDefault="003754FE" w:rsidP="003754FE">
      <w:pPr>
        <w:pStyle w:val="TextoNormal"/>
      </w:pPr>
    </w:p>
    <w:p w14:paraId="3C8FFB6F" w14:textId="3199E9ED" w:rsidR="003754FE" w:rsidRDefault="003754FE" w:rsidP="003754FE">
      <w:pPr>
        <w:pStyle w:val="TextoNormal"/>
      </w:pPr>
      <w:r>
        <w:t>Madrid, a veintidós de octubre de dos mil veinticuatro.</w:t>
      </w:r>
    </w:p>
    <w:p w14:paraId="11C6F5E0" w14:textId="18D33D76" w:rsidR="003754FE" w:rsidRDefault="003754FE">
      <w:pPr>
        <w:spacing w:after="160" w:line="278" w:lineRule="auto"/>
        <w:rPr>
          <w:rFonts w:ascii="Times New Roman" w:eastAsia="Times New Roman" w:hAnsi="Times New Roman" w:cs="Times New Roman"/>
          <w:sz w:val="24"/>
          <w:szCs w:val="24"/>
          <w:lang w:eastAsia="es-ES"/>
        </w:rPr>
      </w:pPr>
      <w:r>
        <w:br w:type="page"/>
      </w:r>
    </w:p>
    <w:p w14:paraId="3A2AD239" w14:textId="77777777" w:rsidR="003754FE" w:rsidRDefault="003754FE" w:rsidP="003754FE">
      <w:pPr>
        <w:pStyle w:val="TtuloResolucin"/>
      </w:pPr>
      <w:bookmarkStart w:id="39" w:name="SENTENCIA_2024_130"/>
      <w:r>
        <w:lastRenderedPageBreak/>
        <w:t>SENTENCIA 130/2024, de 22 de octubre de 2024</w:t>
      </w:r>
    </w:p>
    <w:bookmarkEnd w:id="39"/>
    <w:p w14:paraId="1FE4AE7A" w14:textId="77777777" w:rsidR="003754FE" w:rsidRDefault="003754FE" w:rsidP="003754FE">
      <w:pPr>
        <w:pStyle w:val="TtuloResolucin"/>
      </w:pPr>
      <w:r>
        <w:t>Pleno</w:t>
      </w:r>
    </w:p>
    <w:p w14:paraId="3FE6790C" w14:textId="77777777" w:rsidR="003754FE" w:rsidRDefault="003754FE" w:rsidP="003754FE">
      <w:pPr>
        <w:pStyle w:val="TtuloBOE"/>
      </w:pPr>
      <w:r>
        <w:t>(BOE núm. 286, de 27 de noviembre de 2024)</w:t>
      </w:r>
    </w:p>
    <w:p w14:paraId="28291373" w14:textId="77777777" w:rsidR="003754FE" w:rsidRDefault="003754FE" w:rsidP="003754FE">
      <w:pPr>
        <w:pStyle w:val="TextoNormalCentrado"/>
      </w:pPr>
      <w:r>
        <w:t>ECLI:ES:TC:2024:130</w:t>
      </w:r>
    </w:p>
    <w:p w14:paraId="341B9ECF" w14:textId="22A82891" w:rsidR="003754FE" w:rsidRDefault="003754FE" w:rsidP="003754FE">
      <w:pPr>
        <w:pStyle w:val="TextoNormalCentrado"/>
      </w:pPr>
    </w:p>
    <w:p w14:paraId="43FFD4BE" w14:textId="77777777" w:rsidR="003754FE" w:rsidRDefault="003754FE" w:rsidP="003754FE">
      <w:pPr>
        <w:pStyle w:val="SntesisDescriptiva"/>
      </w:pPr>
      <w:r>
        <w:t>Recurso de inconstitucionalidad 8118-2022. Interpuesto por el presidente del Gobierno de la Nación respecto del artículo 12 de la Ley del Parlamento de Cataluña 1/2022, de 3 de marzo, de modificación de la Ley 18/2007, la Ley 24/2015 y la Ley 4/2016, para afrontar la emergencia en el ámbito de la vivienda.</w:t>
      </w:r>
    </w:p>
    <w:p w14:paraId="04D7E6E5" w14:textId="410DA856" w:rsidR="003754FE" w:rsidRDefault="003754FE" w:rsidP="003754FE">
      <w:pPr>
        <w:pStyle w:val="SntesisDescriptiva"/>
      </w:pPr>
    </w:p>
    <w:p w14:paraId="0B090010" w14:textId="77777777" w:rsidR="003754FE" w:rsidRDefault="003754FE" w:rsidP="003754FE">
      <w:pPr>
        <w:pStyle w:val="SntesisAnaltica"/>
      </w:pPr>
      <w:r>
        <w:t>Competencias sobre condiciones básicas de igualdad en el ejercicio del derecho de propiedad, legislación procesal y bases de las obligaciones contractuales: extinción del proceso constitucional que tenía por objeto una norma autonómica anulada por la STC 120/2024.</w:t>
      </w:r>
    </w:p>
    <w:p w14:paraId="1ADF7BF7" w14:textId="3BC83794" w:rsidR="003754FE" w:rsidRDefault="003754FE" w:rsidP="003754FE">
      <w:pPr>
        <w:pStyle w:val="SntesisAnaltica"/>
      </w:pPr>
    </w:p>
    <w:p w14:paraId="0A4211A5" w14:textId="23AB9972" w:rsidR="003754FE" w:rsidRDefault="003754FE" w:rsidP="003754FE">
      <w:pPr>
        <w:pStyle w:val="Extracto"/>
      </w:pPr>
      <w:r>
        <w:t>1.</w:t>
      </w:r>
      <w:r>
        <w:tab/>
        <w:t>La previa declaración de inconstitucionalidad y nulidad de preceptos legales conduce a la desaparición sobrevenida de objeto de un posterior recurso de inconstitucionalidad que impugne los mismos preceptos (STC 259/2007) [FJ 2].</w:t>
      </w:r>
    </w:p>
    <w:p w14:paraId="3BD3694F" w14:textId="77777777" w:rsidR="003754FE" w:rsidRDefault="003754FE" w:rsidP="003754FE">
      <w:pPr>
        <w:pStyle w:val="Extracto"/>
      </w:pPr>
    </w:p>
    <w:p w14:paraId="7F437D41" w14:textId="77777777" w:rsidR="003754FE" w:rsidRDefault="003754FE" w:rsidP="003754FE">
      <w:pPr>
        <w:pStyle w:val="Extracto"/>
      </w:pPr>
    </w:p>
    <w:p w14:paraId="739430F1"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52954AC3" w14:textId="7D02E83C" w:rsidR="003754FE" w:rsidRDefault="003754FE" w:rsidP="003754FE">
      <w:pPr>
        <w:pStyle w:val="TextoNormal"/>
      </w:pPr>
    </w:p>
    <w:p w14:paraId="49D45006" w14:textId="77777777" w:rsidR="003754FE" w:rsidRDefault="003754FE" w:rsidP="003754FE">
      <w:pPr>
        <w:pStyle w:val="TextoNormalCentrado"/>
        <w:keepNext/>
      </w:pPr>
      <w:r>
        <w:t>EN NOMBRE DEL REY</w:t>
      </w:r>
    </w:p>
    <w:p w14:paraId="12DE184F" w14:textId="6D57513C" w:rsidR="003754FE" w:rsidRDefault="003754FE" w:rsidP="003754FE">
      <w:pPr>
        <w:pStyle w:val="TextoNormalCentrado"/>
        <w:keepNext/>
      </w:pPr>
    </w:p>
    <w:p w14:paraId="6299871B" w14:textId="77777777" w:rsidR="003754FE" w:rsidRDefault="003754FE" w:rsidP="003754FE">
      <w:pPr>
        <w:pStyle w:val="TextoNormalCentrado"/>
        <w:keepNext/>
      </w:pPr>
    </w:p>
    <w:p w14:paraId="51699BD6" w14:textId="77777777" w:rsidR="003754FE" w:rsidRDefault="003754FE" w:rsidP="003754FE">
      <w:pPr>
        <w:pStyle w:val="TextoNormal"/>
      </w:pPr>
      <w:r>
        <w:t>la siguiente</w:t>
      </w:r>
    </w:p>
    <w:p w14:paraId="49522707" w14:textId="6FB016DA" w:rsidR="003754FE" w:rsidRDefault="003754FE" w:rsidP="003754FE">
      <w:pPr>
        <w:pStyle w:val="TextoNormal"/>
      </w:pPr>
    </w:p>
    <w:p w14:paraId="4DE61D10" w14:textId="77777777" w:rsidR="003754FE" w:rsidRDefault="003754FE" w:rsidP="003754FE">
      <w:pPr>
        <w:pStyle w:val="TextoNormalCentrado"/>
        <w:keepNext/>
      </w:pPr>
      <w:r>
        <w:t>SENTENCIA</w:t>
      </w:r>
    </w:p>
    <w:p w14:paraId="615FFF96" w14:textId="3ADD111B" w:rsidR="003754FE" w:rsidRDefault="003754FE" w:rsidP="003754FE">
      <w:pPr>
        <w:pStyle w:val="TextoNormalCentrado"/>
        <w:keepNext/>
      </w:pPr>
    </w:p>
    <w:p w14:paraId="5B9F54B9" w14:textId="77777777" w:rsidR="003754FE" w:rsidRDefault="003754FE" w:rsidP="003754FE">
      <w:pPr>
        <w:pStyle w:val="TextoNormal"/>
      </w:pPr>
      <w:r>
        <w:t>En el recurso de inconstitucionalidad núm. 8118-2022, interpuesto por el presidente del Gobierno, contra el artículo 12 de la Ley del Parlamento de Cataluña 1/2022, de 3 de marzo, de modificación de la Ley 18/2007, la Ley 24/2015 y la Ley 4/2016, para afrontar la emergencia en el ámbito de la vivienda. Han comparecido el Congreso de los Diputados y el Senado a los efectos previstos en el art. 88 de la Ley Orgánica del Tribunal Constitucional. Han sido parte y han presentado alegaciones el Parlamento de Cataluña y la Generalitat de Cataluña. Ha sido ponente la magistrada doña María Luisa Balaguer Callejón.</w:t>
      </w:r>
    </w:p>
    <w:p w14:paraId="1BBF4284" w14:textId="6813D355" w:rsidR="003754FE" w:rsidRDefault="003754FE" w:rsidP="003754FE">
      <w:pPr>
        <w:pStyle w:val="TextoNormal"/>
      </w:pPr>
    </w:p>
    <w:p w14:paraId="1DA23AEA" w14:textId="77777777" w:rsidR="003754FE" w:rsidRDefault="003754FE" w:rsidP="003754FE">
      <w:pPr>
        <w:pStyle w:val="TextoNormalNegritaCentrado"/>
        <w:keepNext/>
      </w:pPr>
      <w:r>
        <w:t>I. Antecedentes</w:t>
      </w:r>
    </w:p>
    <w:p w14:paraId="39912E73" w14:textId="11AFBAE9" w:rsidR="003754FE" w:rsidRDefault="003754FE" w:rsidP="003754FE">
      <w:pPr>
        <w:pStyle w:val="TextoNormalNegritaCentrado"/>
        <w:keepNext/>
      </w:pPr>
    </w:p>
    <w:p w14:paraId="48F61603" w14:textId="1B09CD3F" w:rsidR="003754FE" w:rsidRDefault="003754FE" w:rsidP="003754FE">
      <w:pPr>
        <w:pStyle w:val="TextoNormal"/>
      </w:pPr>
      <w:r w:rsidRPr="003754FE">
        <w:rPr>
          <w:rStyle w:val="NumeroAFNegritaCaracter"/>
        </w:rPr>
        <w:t>1</w:t>
      </w:r>
      <w:r>
        <w:t xml:space="preserve">. Por escrito registrado en este tribunal el 7 de diciembre de 2022, el abogado del Estado, en representación del presidente del Gobierno, interpuso recurso de inconstitucionalidad contra el art. 12 de la Ley del Parlamento de Cataluña 1/2022, de 3 de marzo, de </w:t>
      </w:r>
      <w:r>
        <w:lastRenderedPageBreak/>
        <w:t>modificación de la Ley 18/2007, la Ley 24/2015 y la Ley 4/2016, para afrontar la emergencia en el ámbito de la vivienda, únicamente en lo referido a la redacción de la disposición adicional primera, apartado 1 c), que se añade a la Ley del Parlamento de Cataluña 24/2015, de 29 de julio, de medidas urgentes para afrontar la emergencia en el ámbito de la vivienda y la pobreza energética. La Ley fue publicada en el “Diari Oficial de la Generalitat de Catalunya” núm. 8620, de 7 de marzo de 2022.</w:t>
      </w:r>
    </w:p>
    <w:p w14:paraId="292F006E" w14:textId="77777777" w:rsidR="003754FE" w:rsidRDefault="003754FE" w:rsidP="003754FE">
      <w:pPr>
        <w:pStyle w:val="TextoNormal"/>
      </w:pPr>
    </w:p>
    <w:p w14:paraId="0D1DE0B3" w14:textId="77777777" w:rsidR="003754FE" w:rsidRDefault="003754FE" w:rsidP="003754FE">
      <w:pPr>
        <w:pStyle w:val="TextoNormal"/>
      </w:pPr>
      <w:r w:rsidRPr="003754FE">
        <w:rPr>
          <w:rStyle w:val="NumeroAFNegritaCaracter"/>
        </w:rPr>
        <w:t>2</w:t>
      </w:r>
      <w:r>
        <w:t>. Resultan antecedentes relevantes a los efectos de la admisión a trámite y resolución del presente recurso de inconstitucionalidad, los que a continuación se exponen sucintamente:</w:t>
      </w:r>
    </w:p>
    <w:p w14:paraId="5182510B" w14:textId="77777777" w:rsidR="003754FE" w:rsidRDefault="003754FE" w:rsidP="003754FE">
      <w:pPr>
        <w:pStyle w:val="TextoNormal"/>
      </w:pPr>
    </w:p>
    <w:p w14:paraId="63761BFA" w14:textId="77777777" w:rsidR="003754FE" w:rsidRDefault="003754FE" w:rsidP="003754FE">
      <w:pPr>
        <w:pStyle w:val="TextoNormal"/>
      </w:pPr>
      <w:r>
        <w:t>a) El recurso de inconstitucionalidad se ha formalizado tras agotar el cauce de resolución de conflictos previsto en el art. 33.2 de la Ley Orgánica del Tribunal Constitucional (LOTC).</w:t>
      </w:r>
    </w:p>
    <w:p w14:paraId="63C09F03" w14:textId="77777777" w:rsidR="003754FE" w:rsidRDefault="003754FE" w:rsidP="003754FE">
      <w:pPr>
        <w:pStyle w:val="TextoNormal"/>
      </w:pPr>
    </w:p>
    <w:p w14:paraId="4EA20AA6" w14:textId="77777777" w:rsidR="003754FE" w:rsidRDefault="003754FE" w:rsidP="003754FE">
      <w:pPr>
        <w:pStyle w:val="TextoNormal"/>
      </w:pPr>
      <w:r>
        <w:t>b) La comisión de seguimiento de disposiciones y actos de las comunidades autónomas examinó, en su reunión de 24 de marzo de 2022, la Ley del Parlamento de Cataluña 1/2022, de 3 de marzo, apreciando la existencia de motivos de inconstitucionalidad.</w:t>
      </w:r>
    </w:p>
    <w:p w14:paraId="6851CE57" w14:textId="77777777" w:rsidR="003754FE" w:rsidRDefault="003754FE" w:rsidP="003754FE">
      <w:pPr>
        <w:pStyle w:val="TextoNormal"/>
      </w:pPr>
    </w:p>
    <w:p w14:paraId="252177D5" w14:textId="77777777" w:rsidR="003754FE" w:rsidRDefault="003754FE" w:rsidP="003754FE">
      <w:pPr>
        <w:pStyle w:val="TextoNormal"/>
      </w:pPr>
      <w:r>
        <w:t>c) La subcomisión de seguimiento normativo, prevención y solución de conflictos de la Comisión Bilateral Generalitat-Estado se reunió el 6 de junio de 2022, al amparo de lo previsto en el art. 33.2 a) LOTC, y acordó el inicio de negociaciones para resolver las discrepancias competenciales suscitadas en relación con los artículos 1, 2, 3, 6, 9, 11, 12 y 15 y la disposición transitoria de la Ley 1/2022, de 3 de marzo [art. 33.2 b) LOTC]. Asimismo, decidió comunicar dicho acuerdo al Tribunal Constitucional a los efectos previstos en el artículo 33.2 LOTC, así como insertarlo en el “Boletín Oficial del Estado” y en el “Diari Oficial de la Generalitat de Catalunya”. La publicación tuvo lugar en el “BOE” núm. 157, de 1 de julio de 2022, y en el “DOGC” núm. 8700, de 1 de julio de 2022 [art. 33.2 c) LOTC].</w:t>
      </w:r>
    </w:p>
    <w:p w14:paraId="43DDBFD8" w14:textId="77777777" w:rsidR="003754FE" w:rsidRDefault="003754FE" w:rsidP="003754FE">
      <w:pPr>
        <w:pStyle w:val="TextoNormal"/>
      </w:pPr>
    </w:p>
    <w:p w14:paraId="33DA1460" w14:textId="77777777" w:rsidR="003754FE" w:rsidRDefault="003754FE" w:rsidP="003754FE">
      <w:pPr>
        <w:pStyle w:val="TextoNormal"/>
      </w:pPr>
      <w:r>
        <w:t>d) La Comisión Bilateral alcanzó un acuerdo para resolver extrajudicialmente el conflicto planteado.</w:t>
      </w:r>
    </w:p>
    <w:p w14:paraId="1ED681FA" w14:textId="77777777" w:rsidR="003754FE" w:rsidRDefault="003754FE" w:rsidP="003754FE">
      <w:pPr>
        <w:pStyle w:val="TextoNormal"/>
      </w:pPr>
    </w:p>
    <w:p w14:paraId="5308C851" w14:textId="457CEF02" w:rsidR="003754FE" w:rsidRDefault="003754FE" w:rsidP="003754FE">
      <w:pPr>
        <w:pStyle w:val="TextoNormal"/>
      </w:pPr>
      <w:r>
        <w:t>e) El 1 de diciembre de 2022, la comisión permanente del Consejo de Estado emitió el dictamen núm. 1854/2022, sobre la interposición del presente recurso, concluyendo que existen motivos para la interposición del recurso de inconstitucionalidad respecto al art. 12 en cuanto al apartado 1 c) de la disposición adicional primera, que introduce en la Ley 24/2015.</w:t>
      </w:r>
    </w:p>
    <w:p w14:paraId="7F711D56" w14:textId="77777777" w:rsidR="003754FE" w:rsidRDefault="003754FE" w:rsidP="003754FE">
      <w:pPr>
        <w:pStyle w:val="TextoNormal"/>
      </w:pPr>
    </w:p>
    <w:p w14:paraId="1C0484C2" w14:textId="77777777" w:rsidR="003754FE" w:rsidRDefault="003754FE" w:rsidP="003754FE">
      <w:pPr>
        <w:pStyle w:val="TextoNormal"/>
      </w:pPr>
      <w:r w:rsidRPr="003754FE">
        <w:rPr>
          <w:rStyle w:val="NumeroAFNegritaCaracter"/>
        </w:rPr>
        <w:t>3</w:t>
      </w:r>
      <w:r>
        <w:t xml:space="preserve">. Los motivos fundamentales de la impugnación del art. 12 de la Ley del Parlamento de Cataluña 1/2022 son dos, según el escrito de interposición del recurso de inconstitucionalidad: (i) en su vertiente procesal, el precepto menoscaba la legislación procesal del Estado </w:t>
      </w:r>
      <w:r w:rsidRPr="003754FE">
        <w:rPr>
          <w:i/>
        </w:rPr>
        <w:t>ex</w:t>
      </w:r>
      <w:r>
        <w:t xml:space="preserve"> art. 149.1.6 CE y vulnera el art. 24.1 CE al obstaculizar el acceso a la tutela judicial efectiva por imponer el ofrecimiento de un alquiler social previo a la interposición de una acción judicial; (ii) en su contenido sustantivo, el precepto establece una obligación de ofrecimiento de alquiler social con vistas a la legalización de la situación de las personas que, en determinadas condiciones, no dispongan de título jurídico que habilite la ocupación de la vivienda, vulnerando el art. 149.1, apartados 1 y 8 CE, en relación con el art. 33 CE.</w:t>
      </w:r>
    </w:p>
    <w:p w14:paraId="7D9B974F" w14:textId="77777777" w:rsidR="003754FE" w:rsidRDefault="003754FE" w:rsidP="003754FE">
      <w:pPr>
        <w:pStyle w:val="TextoNormal"/>
      </w:pPr>
    </w:p>
    <w:p w14:paraId="49923D2F" w14:textId="77777777" w:rsidR="003754FE" w:rsidRDefault="003754FE" w:rsidP="003754FE">
      <w:pPr>
        <w:pStyle w:val="TextoNormal"/>
      </w:pPr>
      <w:r>
        <w:lastRenderedPageBreak/>
        <w:t>A) En primer término, la demanda expone los principales hitos legislativos relacionados con la disposición impugnada en este procedimiento, refiriéndose:</w:t>
      </w:r>
    </w:p>
    <w:p w14:paraId="20CF5632" w14:textId="77777777" w:rsidR="003754FE" w:rsidRDefault="003754FE" w:rsidP="003754FE">
      <w:pPr>
        <w:pStyle w:val="TextoNormal"/>
      </w:pPr>
    </w:p>
    <w:p w14:paraId="68D4C741" w14:textId="77777777" w:rsidR="003754FE" w:rsidRDefault="003754FE" w:rsidP="003754FE">
      <w:pPr>
        <w:pStyle w:val="TextoNormal"/>
      </w:pPr>
      <w:r>
        <w:t>(i) A la Ley del Parlamento de Cataluña 24/2015, de 29 de julio, de medidas urgentes para afrontar la emergencia en el ámbito de la vivienda y la pobreza energética, cuyo art. 5, apartados 2 y 3, impuso a los grandes tenedores de viviendas la obligación de formular una propuesta de alquiler social a sus ocupantes antes de la presentación de demandas de ejecución hipotecaria o de desahucio por impago de alquiler. El presidente del Gobierno, previo dictamen del Consejo de Estado, interpuso recurso de inconstitucionalidad contra diversos preceptos de la Ley 24/2015, entre ellos el art. 5. De dicho recurso se desistió parcialmente a resultas del acuerdo alcanzado en la comisión bilateral Generalitat-Estado. Así se hace constar en los antecedentes de la STC 13/2019, de 31 de enero, que resuelve el recurso de inconstitucionalidad en relación con los preceptos sobre los que no se proyectaba el desistimiento. No obstante lo anterior, con ocasión del recurso interpuesto por el presidente del Gobierno contra los arts. 1 y 6 a 18, las disposiciones adicionales primera a cuarta, la disposición transitoria primera y la disposición final cuarta, letra b), de la Ley del Parlamento de Cataluña 11/2020, de 18 de septiembre, la STC 57/2022, de 7 de abril, declaró la inconstitucionalidad del art. 5.3 de la Ley 24/2015, por entender que se trata de una norma procesal que invade la competencia estatal exclusiva del art. 149.1.6 CE. Por su parte, el art. 5.2 de la Ley 24/2015, al que se refiere la disposición objeto del presente recurso de inconstitucionalidad, permaneció incólume.</w:t>
      </w:r>
    </w:p>
    <w:p w14:paraId="3124AF59" w14:textId="77777777" w:rsidR="003754FE" w:rsidRDefault="003754FE" w:rsidP="003754FE">
      <w:pPr>
        <w:pStyle w:val="TextoNormal"/>
      </w:pPr>
    </w:p>
    <w:p w14:paraId="72F7099E" w14:textId="77777777" w:rsidR="003754FE" w:rsidRDefault="003754FE" w:rsidP="003754FE">
      <w:pPr>
        <w:pStyle w:val="TextoNormal"/>
      </w:pPr>
      <w:r>
        <w:t>(ii) Al Decreto-ley de la Generalitat de Cataluña 17/2019, de 23 de diciembre, de medidas urgentes para mejorar el acceso a la vivienda, cuyo art. 5.7 introdujo en la Ley 24/2015 dos nuevos supuestos en los que los grandes tenedores de viviendas estaban obligados a formular una propuesta de alquiler social a los ocupantes (desahucio por vencimiento de la duración del título jurídico y desahucio por falta del título jurídico habilitante de la ocupación). La STC 16/2021, de 28 de enero, resolutoria del recurso de inconstitucionalidad planteado por ochenta y seis diputados del Grupo Parlamentario Popular, declaró la inconstitucionalidad, entre otros preceptos, del referido art. 5.7, ya que afectaba al derecho fundamental de propiedad, con lo que vulneraba los límites materiales impuestos a la figura del decreto-ley [arts. 86.1 CE y 64.1 del Estatuto de Autonomía de Cataluña (EAC)]. En el mismo sentido se manifiesta el dictamen del Consejo de Estado núm. 822/2020, de 28 de enero. Entiende el recurrente que, puesto que la declaración de inconstitucionalidad del art. 5.7 del Decreto-ley 17/2019 se produjo exclusivamente por el uso indebido de la figura del decreto-ley, el art. 12 de la Ley 1/2022 ha vuelto a incorporar una nueva disposición adicional primera en la Ley 24/2015 de tenor sustancialmente idéntico a la que fue declarada inconstitucional.</w:t>
      </w:r>
    </w:p>
    <w:p w14:paraId="43220DE6" w14:textId="77777777" w:rsidR="003754FE" w:rsidRDefault="003754FE" w:rsidP="003754FE">
      <w:pPr>
        <w:pStyle w:val="TextoNormal"/>
      </w:pPr>
    </w:p>
    <w:p w14:paraId="3D6B7B2F" w14:textId="77777777" w:rsidR="003754FE" w:rsidRDefault="003754FE" w:rsidP="003754FE">
      <w:pPr>
        <w:pStyle w:val="TextoNormal"/>
      </w:pPr>
      <w:r>
        <w:t xml:space="preserve">(iii) Al Decreto-ley de la Generalitat de Cataluña 37/2020, de 3 de noviembre, de refuerzo de la protección del derecho a la vivienda ante los efectos de la pandemia de la covid-19, que introdujo un nuevo apartado 1 </w:t>
      </w:r>
      <w:r w:rsidRPr="003754FE">
        <w:rPr>
          <w:i/>
        </w:rPr>
        <w:t>bis</w:t>
      </w:r>
      <w:r>
        <w:t>, en la disposición adicional primera de la Ley 24/2015, obligando a interrumpir los procedimientos iniciados en que no se hubiera acreditado la formulación de la oferta de alquiler social. La STC 28/2022, de 24 de febrero, en línea con el dictamen núm. 515/2021 del Consejo de Estado, lo declaró inconstitucional por establecer una norma procesal que se dirige a los jueces, vulnerando la competencia exclusiva estatal sobre legislación procesal (art. 149.1.6 CE).</w:t>
      </w:r>
    </w:p>
    <w:p w14:paraId="3DEFE41E" w14:textId="77777777" w:rsidR="003754FE" w:rsidRDefault="003754FE" w:rsidP="003754FE">
      <w:pPr>
        <w:pStyle w:val="TextoNormal"/>
      </w:pPr>
    </w:p>
    <w:p w14:paraId="5E5367E3" w14:textId="77777777" w:rsidR="003754FE" w:rsidRDefault="003754FE" w:rsidP="003754FE">
      <w:pPr>
        <w:pStyle w:val="TextoNormal"/>
      </w:pPr>
      <w:r>
        <w:lastRenderedPageBreak/>
        <w:t>B) Expuesto el escenario normativo y jurisprudencial previo, los argumentos que sustentan los motivos de constitucionalidad alegados son, en síntesis, los siguientes:</w:t>
      </w:r>
    </w:p>
    <w:p w14:paraId="6F8AF99D" w14:textId="77777777" w:rsidR="003754FE" w:rsidRDefault="003754FE" w:rsidP="003754FE">
      <w:pPr>
        <w:pStyle w:val="TextoNormal"/>
      </w:pPr>
    </w:p>
    <w:p w14:paraId="7574C184" w14:textId="77777777" w:rsidR="003754FE" w:rsidRDefault="003754FE" w:rsidP="003754FE">
      <w:pPr>
        <w:pStyle w:val="TextoNormal"/>
      </w:pPr>
      <w:r>
        <w:t>a) Respecto de la vulneración de la competencia en materia procesal del Estado (art. 149.1.6 CE), la parte recurrente alega que, de acuerdo con la jurisprudencia constitucional, las comunidades autónomas no pueden incluir en su ordenamiento disposiciones de carácter procesal no vinculadas a su Derecho sustantivo. En este sentido, cita la STC 28/2022, de 24 de febrero, referida al Decreto-ley del Gobierno de la Generalitat de Cataluña 37/2020, y las SSTC 13/2019, de 31 de enero, y 21/2012, de 16 de febrero. De acuerdo con dicha jurisprudencia se deduciría la inconstitucionalidad del inciso “antes de interponer determinadas demandas judiciales se hace extensiva, en los mismos términos, a cualquier acción ejecutiva derivada de la reclamación de una deuda hipotecaria y a las demandas de desahucio” [disposición adicional primera, apartado primero, de la Ley 24/2015] porque invade las competencias del Estado en materia procesal, al establecer la obligación de ofrecer alquiler social como presupuesto para la interposición de una acción judicial sin la cobertura de las necesarias especialidades autonómicas que permitirían los arts. 149.1.6 CE y 130 EAC.</w:t>
      </w:r>
    </w:p>
    <w:p w14:paraId="39DA6F0F" w14:textId="77777777" w:rsidR="003754FE" w:rsidRDefault="003754FE" w:rsidP="003754FE">
      <w:pPr>
        <w:pStyle w:val="TextoNormal"/>
      </w:pPr>
    </w:p>
    <w:p w14:paraId="66A68B12" w14:textId="77777777" w:rsidR="003754FE" w:rsidRDefault="003754FE" w:rsidP="003754FE">
      <w:pPr>
        <w:pStyle w:val="TextoNormal"/>
      </w:pPr>
      <w:r>
        <w:t>b) El segundo motivo de inconstitucionalidad denuncia la vulneración del art. 24.1 CE porque, de acuerdo con la jurisprudencia constitucional, no entra dentro de lo razonable ni proporcionado que el previo ofrecimiento de un alquiler social pueda constituir un requisito de procedibilidad de las acciones judiciales, a lo que se suma que el incumplimiento de esta obligación se tipifica en la Ley del Parlamento de Cataluña 18/2007, de 28 de diciembre, del derecho a la vivienda, como una infracción administrativa grave, con sanciones de multa entre 9001 y 90 000 €, con independencia de las posibles multas coercitivas dirigidas al cumplimiento de lo ordenado. Así se desprende de lo manifestado por el Consejo de Garantías Estatutarias de Cataluña, en su dictamen núm. 2/2020, de 7 de febrero, y de lo expuesto por el Consejo de Estado en el dictamen previo a la interposición del recurso de inconstitucionalidad. En suma, el precepto impugnado vulnera el art. 24.1 CE por obstaculizar el acceso a la jurisdicción imponiendo la obligación del ofrecimiento de un alquiler social, con la consecuencia sancionadora que su incumplimiento conlleva, resultando esto irrazonable y desproporcionado por cuanto el propietario ha de disponer de su derecho a acudir a los tribunales de justicia para emprender las acciones civiles que estime necesarias.</w:t>
      </w:r>
    </w:p>
    <w:p w14:paraId="03D0F88C" w14:textId="77777777" w:rsidR="003754FE" w:rsidRDefault="003754FE" w:rsidP="003754FE">
      <w:pPr>
        <w:pStyle w:val="TextoNormal"/>
      </w:pPr>
    </w:p>
    <w:p w14:paraId="33797EA5" w14:textId="77777777" w:rsidR="003754FE" w:rsidRDefault="003754FE" w:rsidP="003754FE">
      <w:pPr>
        <w:pStyle w:val="TextoNormal"/>
      </w:pPr>
      <w:r>
        <w:t xml:space="preserve">c) El último argumento, relativo a la vulneración del art. 33.1 CE y de la competencia del Estado en materia civil </w:t>
      </w:r>
      <w:r w:rsidRPr="003754FE">
        <w:rPr>
          <w:i/>
        </w:rPr>
        <w:t>ex</w:t>
      </w:r>
      <w:r>
        <w:t xml:space="preserve"> art. 149.1.8 CE, en relación con el art. 149.1.1 CE y el art. 33 CE, sostiene que la exigencia contenida en la norma impugnada afecta a las condiciones básicas del ejercicio del derecho a la propiedad, así como a la competencia estatal en materia de legislación civil. Señala que con la obligación de ofrecer un alquiler social se produce una asimilación de las personas en riesgo de exclusión residencial con los ocupantes de vivienda sin título legítimo, llevando aparejado el incumplimiento de dicha obligación su tipificación como infracción grave con importantes sanciones. Con cita de la doctrina establecida en la STC 37/1987, de 26 de marzo, indica que, a pesar de que la función social puede justificar la adopción de medidas restrictivas o privativas del derecho de propiedad, ello no puede legitimar la ocupación de vivienda ajena al margen de los procedimientos establecidos en las leyes en perjuicio de sus legítimos propietarios, tal y como se ha argumentado en el dictamen del Consejo de Estado núm. 822/2020, de 28 de enero de 2021, que se adjunta con el recurso. Además, las ocupaciones de viviendas sin título legal tampoco gozan de protección a la luz de los textos internacionales de protección de los derechos </w:t>
      </w:r>
      <w:r>
        <w:lastRenderedPageBreak/>
        <w:t>humanos, en especial del art. 25.1 de la Declaración universal de los derechos humanos y del art. 11.1 del Pacto internacional de derechos económicos, sociales y culturales. Obligar a un propietario a proporcionar un alquiler social a quien ocupa ilegítimamente su vivienda, equiparándolo así a otros supuestos legalmente establecidos, resulta inconstitucional. La ocupación ilegal no puede generar un título de acceso a la posesión de la vivienda donde nunca hubo ninguno, ni encontrar amparo en el derecho constitucional a disfrutar de una vivienda digna del art. 47 CE, que debe garantizarse por otras políticas públicas.</w:t>
      </w:r>
    </w:p>
    <w:p w14:paraId="28F08C22" w14:textId="77777777" w:rsidR="003754FE" w:rsidRDefault="003754FE" w:rsidP="003754FE">
      <w:pPr>
        <w:pStyle w:val="TextoNormal"/>
      </w:pPr>
    </w:p>
    <w:p w14:paraId="7E7919B7" w14:textId="5B892878" w:rsidR="003754FE" w:rsidRDefault="003754FE" w:rsidP="003754FE">
      <w:pPr>
        <w:pStyle w:val="TextoNormal"/>
      </w:pPr>
      <w:r>
        <w:t xml:space="preserve">Por otra parte, el ofrecimiento de alquiler social obligatorio a quien ocupó una vivienda sin título legítimo es materia propia de la legislación civil, competencia cuya titularidad corresponde al Estado según el art. 149.1.8 CE, sin que se aprecie en el caso una competencia derivada del Derecho foral. El precepto impugnado entra en contradicción, asimismo, con el deber del Estado de garantizar las condiciones básicas para ejercer el derecho de propiedad </w:t>
      </w:r>
      <w:r w:rsidRPr="003754FE">
        <w:rPr>
          <w:i/>
        </w:rPr>
        <w:t>ex</w:t>
      </w:r>
      <w:r>
        <w:t xml:space="preserve"> art. 149.1.1 CE en relación con el art. 33 CE, sin que la competencia autonómica sobre Derecho civil se oponga a esta conclusión. El recurso apoya esta aseveración en el dictamen 976/2017, de 16 de noviembre, del Consejo de Estado, e indica que frente a ello no cabe acudir al título competencial de la comunidad autónoma en materia de vivienda, porque la norma, materialmente considerada, corresponde al orden jurídico civil por cuanto regula el contenido de un derecho patrimonial de orden privado con la abstracción propia de este ámbito del ordenamiento. Por tanto, la regulación choca con la competencia exclusiva del Estado en materia de legislación civil del art. 149.1.8 CE, pues la innovación en el contenido del derecho de propiedad que pueda suponer la creación de deberes a cargo de su titular, en consideración a la función social que atribuye el ordenamiento a tal derecho (art. 33.2 CE) corresponde al Estado y debe producirse con respeto al principio de igualdad entre todos los españoles. En atención a todo ello, cabe entender que no resulta constitucionalmente admisible que una comunidad autónoma pueda, en ejercicio de una competencia sectorial, determinar el concreto alcance del derecho de propiedad de determinados bienes, alterando con ello el contenido esencial que le resulta propio y que compete definir en exclusiva al Estado.</w:t>
      </w:r>
    </w:p>
    <w:p w14:paraId="02C835C2" w14:textId="77777777" w:rsidR="003754FE" w:rsidRDefault="003754FE" w:rsidP="003754FE">
      <w:pPr>
        <w:pStyle w:val="TextoNormal"/>
      </w:pPr>
    </w:p>
    <w:p w14:paraId="35C65220" w14:textId="28C91A75" w:rsidR="003754FE" w:rsidRDefault="003754FE" w:rsidP="003754FE">
      <w:pPr>
        <w:pStyle w:val="TextoNormal"/>
      </w:pPr>
      <w:r w:rsidRPr="003754FE">
        <w:rPr>
          <w:rStyle w:val="NumeroAFNegritaCaracter"/>
        </w:rPr>
        <w:t>4</w:t>
      </w:r>
      <w:r>
        <w:t>. Por providencia de 24 de enero de 2023, el Pleno, a propuesta de la Sección Cuarta, acordó admitir a trámite el recurso de inconstitucionalidad promovido por el presidente del Gobierno en relación con el art. 12 de la Ley del Parlamento de Cataluña 1/2022, de 3 de marzo; dar traslado de la demanda y documentos presentados, conforme establece el art. 34 LOTC, al Congreso de los Diputados y al Senado, por conducto de sus presidentes, así como al Parlamento de Cataluña y al Gobierno de la Generalitat de Cataluña, por conducto de sus presidentes, al objeto de que, en el plazo de quince días, puedan personarse en el proceso y formular las alegaciones que estimaren convenientes; y publicar la incoación del recurso en el “Boletín Oficial del Estado” y en el “Diari Oficial de la Generalitat de Catalunya”.</w:t>
      </w:r>
    </w:p>
    <w:p w14:paraId="57DBD2C6" w14:textId="77777777" w:rsidR="003754FE" w:rsidRDefault="003754FE" w:rsidP="003754FE">
      <w:pPr>
        <w:pStyle w:val="TextoNormal"/>
      </w:pPr>
    </w:p>
    <w:p w14:paraId="3FBCCA8E" w14:textId="27DFF421" w:rsidR="003754FE" w:rsidRDefault="003754FE" w:rsidP="003754FE">
      <w:pPr>
        <w:pStyle w:val="TextoNormal"/>
      </w:pPr>
      <w:r w:rsidRPr="003754FE">
        <w:rPr>
          <w:rStyle w:val="NumeroAFNegritaCaracter"/>
        </w:rPr>
        <w:t>5</w:t>
      </w:r>
      <w:r>
        <w:t>. Mediante escrito registrado el día 2 de febrero de 2023, la presidenta del Congreso de los Diputados comunicó el acuerdo de la mesa de la Cámara, por la que se persona en el proceso y ofrece su colaboración a los efectos del art. 88.1 LOTC. Lo mismo hizo el presidente del Senado por escrito que tuvo entrada en este tribunal el día 7 de febrero de 2023.</w:t>
      </w:r>
    </w:p>
    <w:p w14:paraId="41D20276" w14:textId="77777777" w:rsidR="003754FE" w:rsidRDefault="003754FE" w:rsidP="003754FE">
      <w:pPr>
        <w:pStyle w:val="TextoNormal"/>
      </w:pPr>
    </w:p>
    <w:p w14:paraId="35A481BA" w14:textId="6C65B024" w:rsidR="003754FE" w:rsidRDefault="003754FE" w:rsidP="003754FE">
      <w:pPr>
        <w:pStyle w:val="TextoNormal"/>
      </w:pPr>
      <w:r w:rsidRPr="003754FE">
        <w:rPr>
          <w:rStyle w:val="NumeroAFNegritaCaracter"/>
        </w:rPr>
        <w:t>6</w:t>
      </w:r>
      <w:r>
        <w:t xml:space="preserve">. La letrada del Parlamento de Cataluña solicita se la tenga por personada en el procedimiento, en nombre y representación de la Cámara, mediante escrito presentado el día 8 de </w:t>
      </w:r>
      <w:r>
        <w:lastRenderedPageBreak/>
        <w:t>febrero de 2023. El escrito da cuenta de la decisión de la mesa del Parlamento, adoptada el día 7 de febrero, solicitando una prórroga del plazo inicialmente conferido para la formulación de alegaciones. Mediante diligencia de ordenación fechada el 9 de febrero de 2023, se tiene por personada a esta parte y se le concede una prórroga de ocho días respecto del plazo concedido en la providencia de 24 de enero para la presentación de alegaciones. El nuevo plazo comienza a contar desde el día siguiente a la expiración del plazo ordinario.</w:t>
      </w:r>
    </w:p>
    <w:p w14:paraId="2A495FCE" w14:textId="77777777" w:rsidR="003754FE" w:rsidRDefault="003754FE" w:rsidP="003754FE">
      <w:pPr>
        <w:pStyle w:val="TextoNormal"/>
      </w:pPr>
    </w:p>
    <w:p w14:paraId="33FAF158" w14:textId="781B98B9" w:rsidR="003754FE" w:rsidRDefault="003754FE" w:rsidP="003754FE">
      <w:pPr>
        <w:pStyle w:val="TextoNormal"/>
      </w:pPr>
      <w:r w:rsidRPr="003754FE">
        <w:rPr>
          <w:rStyle w:val="NumeroAFNegritaCaracter"/>
        </w:rPr>
        <w:t>7</w:t>
      </w:r>
      <w:r>
        <w:t>. El 9 de febrero de 2023 se registra escrito de la Generalitat de Cataluña solicitando que se la tenga por personada y se le conceda una prórroga del plazo inicialmente conferido para la formulación de alegaciones. Por diligencia de ordenación de 10 de febrero de 2023, se tiene por personada a la Generalitat de Cataluña, concediéndose una prórroga de ocho días respecto del plazo concedido en la providencia de 24 de enero para la presentación de alegaciones, a contar desde el día siguiente a la expiración del plazo ordinario.</w:t>
      </w:r>
    </w:p>
    <w:p w14:paraId="15E7816F" w14:textId="77777777" w:rsidR="003754FE" w:rsidRDefault="003754FE" w:rsidP="003754FE">
      <w:pPr>
        <w:pStyle w:val="TextoNormal"/>
      </w:pPr>
    </w:p>
    <w:p w14:paraId="76626454" w14:textId="77777777" w:rsidR="003754FE" w:rsidRDefault="003754FE" w:rsidP="003754FE">
      <w:pPr>
        <w:pStyle w:val="TextoNormal"/>
      </w:pPr>
      <w:r w:rsidRPr="003754FE">
        <w:rPr>
          <w:rStyle w:val="NumeroAFNegritaCaracter"/>
        </w:rPr>
        <w:t>8</w:t>
      </w:r>
      <w:r>
        <w:t>. La abogada de la Generalitat cumplimentó el trámite de alegaciones mediante escrito registrado el día 6 de marzo de 2023, en el que interesa la desestimación del recurso interpuesto.</w:t>
      </w:r>
    </w:p>
    <w:p w14:paraId="72C0E71B" w14:textId="77777777" w:rsidR="003754FE" w:rsidRDefault="003754FE" w:rsidP="003754FE">
      <w:pPr>
        <w:pStyle w:val="TextoNormal"/>
      </w:pPr>
    </w:p>
    <w:p w14:paraId="6D40C0CC" w14:textId="77777777" w:rsidR="003754FE" w:rsidRDefault="003754FE" w:rsidP="003754FE">
      <w:pPr>
        <w:pStyle w:val="TextoNormal"/>
      </w:pPr>
      <w:r>
        <w:t>Tras exponer los antecedentes y marco jurídico en el que encuadra la Ley 1/2022, especificar que las modificaciones aprobadas por el art. 12 de esta última han ampliado el espectro de casos —entre los que figura el previsto en el apartado 1 c) de la disposición adicional primera de la Ley 24/2015— a los que será de aplicación la propuesta de alquiler social sin cambiar la naturaleza jurídica de esta figura administrativa y citar las SSTC 16/2018, de 22 de febrero; 21/2019, de 14 de febrero; 16/2021, de 28 de enero; 28/2022, de 24 de febrero, y 57/2022, de 7 de abril, el escrito de alegaciones expone los argumentos contrarios a la estimación del recurso. Estos argumentos se sintetizan como sigue:</w:t>
      </w:r>
    </w:p>
    <w:p w14:paraId="44BA150F" w14:textId="77777777" w:rsidR="003754FE" w:rsidRDefault="003754FE" w:rsidP="003754FE">
      <w:pPr>
        <w:pStyle w:val="TextoNormal"/>
      </w:pPr>
    </w:p>
    <w:p w14:paraId="5FF9AFCF" w14:textId="77777777" w:rsidR="003754FE" w:rsidRDefault="003754FE" w:rsidP="003754FE">
      <w:pPr>
        <w:pStyle w:val="TextoNormal"/>
      </w:pPr>
      <w:r>
        <w:t>a) El art. 137 EAC atribuye a la Generalitat la competencia exclusiva en materia de vivienda, que incluye en todo caso la planificación, la ordenación, la gestión, la inspección y el control de la vivienda de acuerdo con las necesidades sociales y de equilibrio territorial. El desarrollo de esta competencia tiene por finalidad garantizar el derecho de los ciudadanos de Cataluña a disfrutar de una vivienda digna, reconocido en los arts. 47 CE y 26 y 47 EAC y en la doctrina constitucional. Tras exponer algunas nociones básicas sobre el derecho a la vivienda, su naturaleza, su sistema de garantías y la conexión con derechos fundamentales de los recogidos en la sección primera del capítulo II del título I de la Constitución, la abogada de la Generalitat establece que la disposición impugnada, por su objeto y finalidad y por su incardinación en la Ley 24/2015, se encuadra en la materia de vivienda y ha sido aprobada por el Parlamento de Cataluña al amparo del art. 137 EAC.</w:t>
      </w:r>
    </w:p>
    <w:p w14:paraId="3F7B19A0" w14:textId="77777777" w:rsidR="003754FE" w:rsidRDefault="003754FE" w:rsidP="003754FE">
      <w:pPr>
        <w:pStyle w:val="TextoNormal"/>
      </w:pPr>
    </w:p>
    <w:p w14:paraId="09AB87E7" w14:textId="77777777" w:rsidR="003754FE" w:rsidRDefault="003754FE" w:rsidP="003754FE">
      <w:pPr>
        <w:pStyle w:val="TextoNormal"/>
      </w:pPr>
      <w:r>
        <w:t xml:space="preserve">b) El alcance del título competencial que el art. 149.1.1 CE reserva al Estado no limita la competencia de la comunidad autónoma para regular, como hace la norma impugnada, el derecho a la vivienda. Acudiendo a la jurisprudencia contenida en la STC 61/1997, de 20 de marzo, esta parte sostiene </w:t>
      </w:r>
      <w:r w:rsidRPr="003754FE">
        <w:rPr>
          <w:i/>
        </w:rPr>
        <w:t>mutatis mutandis</w:t>
      </w:r>
      <w:r>
        <w:t xml:space="preserve"> que bajo el art. 149.1.1 CE pueden encontrar cobijo manifestaciones elementales de la regulación de la función social de la propiedad urbana, pero sin menoscabo de la competencia de la comunidad autónoma para dictar normas relativas a la materia de vivienda. A mayor abundamiento, esta parte alega que en materia de vivienda el Estado no ha dictado, al momento de interponerse el recurso, ninguna ley con carácter general al amparo del art. 149.1.1 CE. Se cita asimismo el FJ 8 de la STC </w:t>
      </w:r>
      <w:r>
        <w:lastRenderedPageBreak/>
        <w:t>16/2018, de 22 de febrero, que analiza la constitucionalidad de la Ley Foral 24/2013, de 2 de julio, de medidas urgentes para garantizar el derecho a la vivienda en Navarra, y que destaca que, en tanto que no se haya aprobado la legislación estatal al amparo del art. 149.1.1 CE, resultará sumamente difícil atribuir a la legislación autonómica una invasión competencial, ya que este precepto se limita a contener una habilitación para que el Estado condicione, mediante el establecimiento de unas “‘condiciones básicas’ uniformes […] esas competencias autonómicas con el objeto de garantizar la igualdad de todos los españoles en el ejercicio de sus derechos y en el cumplimiento de sus deberes constitucionales” (SSTC 173/1998, de 23 de julio, FJ 9, y 178/2004, de 21 de octubre, FJ 7), lo que convierte el enjuiciamiento de una ley autonómica a la luz del art. 149.1.1 CE en un análisis de constitucionalidad mediata (STC 94/2014, de 12 de junio), que comienza con la identificación de la ley estatal que, dictada en ejercicio de la competencia atribuida por el art. 149.1.1 CE, va a operar como parámetro de constitucionalidad.</w:t>
      </w:r>
    </w:p>
    <w:p w14:paraId="75F7D15C" w14:textId="77777777" w:rsidR="003754FE" w:rsidRDefault="003754FE" w:rsidP="003754FE">
      <w:pPr>
        <w:pStyle w:val="TextoNormal"/>
      </w:pPr>
    </w:p>
    <w:p w14:paraId="0D7B803B" w14:textId="77777777" w:rsidR="003754FE" w:rsidRDefault="003754FE" w:rsidP="003754FE">
      <w:pPr>
        <w:pStyle w:val="TextoNormal"/>
      </w:pPr>
      <w:r>
        <w:t xml:space="preserve">c) También descarta la abogada de la Generalitat la lesión del art. 149.1.8 CE, en relación con el art. 33 CE. Según la doctrina constitucional (con cita de las SSTC 37/1987 y 16/2018), la regulación de la dimensión institucional del derecho de propiedad privada, dado que no puede desligarse de la regulación de los concretos intereses generales que la justifican, incumbe al titular de la competencia sectorial para tutelar tales intereses y no al que lo es en materia de legislación civil </w:t>
      </w:r>
      <w:r w:rsidRPr="003754FE">
        <w:rPr>
          <w:i/>
        </w:rPr>
        <w:t>ex</w:t>
      </w:r>
      <w:r>
        <w:t xml:space="preserve"> art. 149.1.8 CE. En este caso el legislador competente es el legislador catalán, de acuerdo con el artículo 137 EAC, porque ostenta la protección de los intereses colectivos en materia de vivienda, según el esquema constitucional y estatutario de reparto de competencias.</w:t>
      </w:r>
    </w:p>
    <w:p w14:paraId="6B043B23" w14:textId="77777777" w:rsidR="003754FE" w:rsidRDefault="003754FE" w:rsidP="003754FE">
      <w:pPr>
        <w:pStyle w:val="TextoNormal"/>
      </w:pPr>
    </w:p>
    <w:p w14:paraId="3A34A4E0" w14:textId="77777777" w:rsidR="003754FE" w:rsidRDefault="003754FE" w:rsidP="003754FE">
      <w:pPr>
        <w:pStyle w:val="TextoNormal"/>
      </w:pPr>
      <w:r>
        <w:t>d) La regulación vigente del alquiler social no vulnera el artículo 149.1.6 CE, puesto que no prevé el requisito de acreditar, junto con la demanda de desahucio, el cumplimiento de la obligación de formular la propuesta de alquiler social. Siguiendo los dictados de las SSTC 28/2022 y 57/2022, y el acuerdo interpretativo de 2 de diciembre de 2022 adoptado por la subcomisión de seguimiento normativo, prevención y solución de conflictos de la comisión bilateral Generalitat-Estado, hay que entender que la falta de ofrecimiento del alquiler social no puede condicionar el planteamiento de la correspondiente acción judicial, limitándose el precepto impugnado a establecer la suspensión del procedimiento de desahucio y los lanzamientos a falta de alternativa habitacional. Se regula, por tanto, un mecanismo sustantivo de protección de situaciones de especial necesidad, vinculado a las actuaciones que debe desplegar la administración para ofrecer una alternativa habitacional a través de alguno de los instrumentos previstos en la ley autonómica, todo ello con base en las competencias autonómicas en materia de vivienda [con cita de las SSTC 80/2018, de 5 de julio, FJ 5 b), y 5/2019, de 17 de enero, FJ 4].</w:t>
      </w:r>
    </w:p>
    <w:p w14:paraId="4BA42DFF" w14:textId="77777777" w:rsidR="003754FE" w:rsidRDefault="003754FE" w:rsidP="003754FE">
      <w:pPr>
        <w:pStyle w:val="TextoNormal"/>
      </w:pPr>
    </w:p>
    <w:p w14:paraId="45F5FEBC" w14:textId="77777777" w:rsidR="003754FE" w:rsidRDefault="003754FE" w:rsidP="003754FE">
      <w:pPr>
        <w:pStyle w:val="TextoNormal"/>
      </w:pPr>
      <w:r>
        <w:t xml:space="preserve">Así, la aplicación de la norma impugnada debería comportar la suspensión de lanzamientos y desahucios hasta que el demandante manifieste si ha formulado la propuesta de alquiler social. Todo ello sin perjuicio de que, una vez despejada la duda de si se ha formulado la propuesta de alquiler social, pueda proseguir el procedimiento judicial que se va a iniciar o que ya estaba iniciado. Entiende esta parte que la ejecutividad de la sentencia no es cuestionada por la disposición adicional primera de la Ley 24/2015, sino que solamente se dilata por un breve lapso temporal y con el objetivo de articular la necesaria coordinación con los servicios sociales. Por tanto, tampoco se ven afectados elementos estructurales del proceso. Por otro lado, la denuncia de la infracción del artículo 24 CE, por el posible efecto disuasorio </w:t>
      </w:r>
      <w:r>
        <w:lastRenderedPageBreak/>
        <w:t>que puedan provocar las multas que deriven de resoluciones que declaran la comisión de faltas graves, previstas en los apartados i) y j) del artículo 124.2 de la Ley del Parlamento de Cataluña 18/2007 debe decaer, en la medida que la imposición de multas se sustenta en preceptos que no pueden ser objeto de este recurso, por cuanto no han sido impugnados por la parte recurrente.</w:t>
      </w:r>
    </w:p>
    <w:p w14:paraId="1EDAB19E" w14:textId="77777777" w:rsidR="003754FE" w:rsidRDefault="003754FE" w:rsidP="003754FE">
      <w:pPr>
        <w:pStyle w:val="TextoNormal"/>
      </w:pPr>
    </w:p>
    <w:p w14:paraId="2C7E081E" w14:textId="543AFE96" w:rsidR="003754FE" w:rsidRDefault="003754FE" w:rsidP="003754FE">
      <w:pPr>
        <w:pStyle w:val="TextoNormal"/>
      </w:pPr>
      <w:r>
        <w:t xml:space="preserve">e) La obligación de ofrecer una propuesta de alquiler social a determinados ocupantes sin título es una medida que tiene un efecto limitado en el tiempo, se adopta de forma ponderada con los intereses en conflicto y se pretende proteger a personas incursas en una situación de vulnerabilidad y emergencia habitacional. Ello es congruente con la STC 9/2023, de 22 de febrero. Al definir los objetivos de esta figura y establecer la obligación de los grandes tenedores de vivienda de formular la propuesta de alquiler social a favor de ocupantes sin título, el legislador catalán ha ponderado la situación de cada una de las partes concernidas. Se ha articulado una regulación acorde con los principios de razonabilidad y proporcionalidad, por los que aboga el Comité de Derechos Económicos, Sociales y Culturales de las Naciones Unidas, en las observaciones finales sobre el sexto informe periódico de España, fechadas el 25 de abril de 2018. El Tribunal Constitucional ha validado la constitucionalidad del artículo 1 </w:t>
      </w:r>
      <w:r w:rsidRPr="003754FE">
        <w:rPr>
          <w:i/>
        </w:rPr>
        <w:t>bis</w:t>
      </w:r>
      <w:r>
        <w:t xml:space="preserve"> del Real Decreto-ley 11/2020, cuyo contenido es coincidente con el cuestionado en este proceso, argumentando que se trata de una medida que responde a una finalidad de interés social —la protección de las personas en situación de vulnerabilidad como consecuencia de la crisis generada por el covid-19—, que incide de forma mínima y temporal sobre el derecho de propiedad. Entiende esta parte que esta doctrina es aplicable a la hora de enjuiciar la letra c) del apartado 1 de la disposición adicional primera de la Ley 24/2015, en la versión otorgada por la Ley 1/2022.</w:t>
      </w:r>
    </w:p>
    <w:p w14:paraId="68247634" w14:textId="77777777" w:rsidR="003754FE" w:rsidRDefault="003754FE" w:rsidP="003754FE">
      <w:pPr>
        <w:pStyle w:val="TextoNormal"/>
      </w:pPr>
    </w:p>
    <w:p w14:paraId="33EAE5A4" w14:textId="77777777" w:rsidR="003754FE" w:rsidRDefault="003754FE" w:rsidP="003754FE">
      <w:pPr>
        <w:pStyle w:val="TextoNormal"/>
      </w:pPr>
      <w:r w:rsidRPr="003754FE">
        <w:rPr>
          <w:rStyle w:val="NumeroAFNegritaCaracter"/>
        </w:rPr>
        <w:t>9</w:t>
      </w:r>
      <w:r>
        <w:t>. El escrito de alegaciones presentado por la letrada del Parlamento de Cataluña el día 7 de marzo de 2023 interesa la desestimación del recurso interpuesto. Tras relatar el contenido y finalidad de la norma impugnada, el escrito de alegaciones desarrolla los siguientes argumentos en contra de los esgrimidos en la demanda que incoa el recurso de inconstitucionalidad:</w:t>
      </w:r>
    </w:p>
    <w:p w14:paraId="0FC6DC05" w14:textId="77777777" w:rsidR="003754FE" w:rsidRDefault="003754FE" w:rsidP="003754FE">
      <w:pPr>
        <w:pStyle w:val="TextoNormal"/>
      </w:pPr>
    </w:p>
    <w:p w14:paraId="60F92B8F" w14:textId="77777777" w:rsidR="003754FE" w:rsidRDefault="003754FE" w:rsidP="003754FE">
      <w:pPr>
        <w:pStyle w:val="TextoNormal"/>
      </w:pPr>
      <w:r>
        <w:t xml:space="preserve">a) El apartado 1 c) de la disposición adicional de la Ley del Parlamento de Cataluña 24/2015, añadida por el art. 12 de la Ley 1/2022 no invade el título competencial estatal </w:t>
      </w:r>
      <w:r w:rsidRPr="003754FE">
        <w:rPr>
          <w:i/>
        </w:rPr>
        <w:t>ex</w:t>
      </w:r>
      <w:r>
        <w:t xml:space="preserve"> art. 149.1.6 CE, puesto que es el art. 5.2 de la Ley 24/2015 el precepto que establece en qué momento debe realizarse la oferta de alquiler social, mientras que el impugnado art. 12 se limita a ampliar la obligación de ofrecimiento de un contrato de alquiler social a los grandes tenedores. Además, la calificación de la exigencia de ofrecer un alquiler social como presupuesto procesal realizada por el recurrente es errónea, pues se trata de una carga que puede recaer sobre una parte antes del inicio del proceso y que puede llegar a considerarse como elemento del objeto del litigio o como obligación administrativa vinculada a la posición de una de las partes. En coherencia con este planteamiento, el incumplimiento de esta carga se tipifica como infracción administrativa en el artículo 124.2 i) y j) de la Ley 18/2007, lo cual sería incompatible con su configuración como un requisito procesal. Por lo tanto, la regulación impugnada no pertenece al ámbito material de legislación procesal, sino que se establece en virtud de la competencia autonómica sobre vivienda, como se pone de manifiesto en la relación entre las normas dictadas en dicho ejercicio competencial, en especial de acuerdo con la regulación establecida en las leyes 18/2007 y 24/2015.</w:t>
      </w:r>
    </w:p>
    <w:p w14:paraId="3E75D7EC" w14:textId="77777777" w:rsidR="003754FE" w:rsidRDefault="003754FE" w:rsidP="003754FE">
      <w:pPr>
        <w:pStyle w:val="TextoNormal"/>
      </w:pPr>
    </w:p>
    <w:p w14:paraId="33CB2C5D" w14:textId="77777777" w:rsidR="003754FE" w:rsidRDefault="003754FE" w:rsidP="003754FE">
      <w:pPr>
        <w:pStyle w:val="TextoNormal"/>
      </w:pPr>
      <w:r>
        <w:lastRenderedPageBreak/>
        <w:t>El acuerdo interpretativo de 2 de diciembre de 2022, de la subcomisión de seguimiento normativo, prevención y solución de conflictos de la Comisión Bilateral Generalitat-Estado en relación con la Ley del Parlamento de Cataluña 1/2022, de 3 de marzo, establece, respecto del art. 12 de la Ley impugnada, que la interpretación de las SSTC 28/2022 y 57/2022 supone que la falta de ofrecimiento de alquiler social no puede condicionar el planteamiento de la correspondiente acción judicial y, en este sentido, el art. 12 no vulneraría la competencia del Estado en materia procesal que le reconoce el art. 149.1.6 CE.</w:t>
      </w:r>
    </w:p>
    <w:p w14:paraId="67423023" w14:textId="77777777" w:rsidR="003754FE" w:rsidRDefault="003754FE" w:rsidP="003754FE">
      <w:pPr>
        <w:pStyle w:val="TextoNormal"/>
      </w:pPr>
    </w:p>
    <w:p w14:paraId="396CFDF8" w14:textId="77777777" w:rsidR="003754FE" w:rsidRDefault="003754FE" w:rsidP="003754FE">
      <w:pPr>
        <w:pStyle w:val="TextoNormal"/>
      </w:pPr>
      <w:r>
        <w:t>b) La disposición impugnada no vulnera el art. 24.1 CE porque, si bien pudiera admitirse una limitación del derecho a la acción jurisdiccional, lo cierto es que el legislador ha tenido en cuenta el conflicto entre varios derechos, considerando la necesidad de limitar el derecho de propiedad con la función social de la vivienda y el derecho de acceso a la jurisdicción con el ejercicio del derecho a la intimidad familiar y al disfrute del propio hogar en el sentido que se deriva del art. 8 del Convenio europeo de derechos humanos (CEDH). Tras exponer la jurisprudencia del Tribunal Europeo de Derechos Humanos respecto de este derecho, la letrada del Parlamento sostiene que el legislador autonómico ha formulado el apartado 1 c) impugnado teniendo en cuenta que este precepto es necesario para evitar que quienes residen de forma continua y pacífica en una vivienda y que están en una situación de ocupación por el contexto de exclusión residencial en que se encuentran, pierdan su hogar, de modo que el precepto impugnado les protege de otras vulneraciones de derechos a las que muy probablemente se verían abocados como consecuencia de la pérdida de ese hogar. Por su parte, los grandes tenedores de vivienda que deben ofrecer el alquiler social, en los supuestos tasados del precepto impugnado, verán afectados sus derechos en menor medida por lo que el balance entre el art. 24.1 CE y el art. 8 CEDH ha sido formulado de forma razonable y necesaria.</w:t>
      </w:r>
    </w:p>
    <w:p w14:paraId="39F29572" w14:textId="77777777" w:rsidR="003754FE" w:rsidRDefault="003754FE" w:rsidP="003754FE">
      <w:pPr>
        <w:pStyle w:val="TextoNormal"/>
      </w:pPr>
    </w:p>
    <w:p w14:paraId="4ACBCAA6" w14:textId="77777777" w:rsidR="003754FE" w:rsidRDefault="003754FE" w:rsidP="003754FE">
      <w:pPr>
        <w:pStyle w:val="TextoNormal"/>
      </w:pPr>
      <w:r>
        <w:t>Tampoco la sanción aparejada a la falta de ofrecimiento de un alquiler social cuando se ha interpuesto una demanda es un elemento distorsionador del acceso a la jurisdicción, sino una medida para asegurar el cumplimiento de la norma.</w:t>
      </w:r>
    </w:p>
    <w:p w14:paraId="75C2E665" w14:textId="77777777" w:rsidR="003754FE" w:rsidRDefault="003754FE" w:rsidP="003754FE">
      <w:pPr>
        <w:pStyle w:val="TextoNormal"/>
      </w:pPr>
    </w:p>
    <w:p w14:paraId="241EC591" w14:textId="77777777" w:rsidR="003754FE" w:rsidRDefault="003754FE" w:rsidP="003754FE">
      <w:pPr>
        <w:pStyle w:val="TextoNormal"/>
      </w:pPr>
      <w:r>
        <w:t xml:space="preserve">c) El precepto impugnado no invade el título competencial estatal </w:t>
      </w:r>
      <w:r w:rsidRPr="003754FE">
        <w:rPr>
          <w:i/>
        </w:rPr>
        <w:t>ex</w:t>
      </w:r>
      <w:r>
        <w:t xml:space="preserve"> art. 149.1.1 CE en relación con el art. 33 CE. Tras establecer el contenido de este título competencial (con cita de las SSTC 61/1997 y 173/1998, entre otras), la letrada del Parlamento argumenta que las condiciones básicas a que se refiere el art. 149.1.1 CE no impiden que la comunidad autónoma regule los ámbitos materiales sobre los que tiene competencia legislativa, como por ejemplo la vivienda, materia esta intrínsecamente vinculada al derecho de propiedad. De la introducción de límites al derecho de propiedad, vinculados a la definición de la función social de la vivienda, no se sigue necesariamente una vulneración del derecho a la propiedad privada, porque el art. 33 CE no consagra este derecho como ilimitado. En el caso de la norma impugnada, esta supone el ejercicio de una competencia constitucional y estatutariamente atribuida a la Generalitat, que posee capacidad para determinar la función social de la vivienda.</w:t>
      </w:r>
    </w:p>
    <w:p w14:paraId="23EC5109" w14:textId="77777777" w:rsidR="003754FE" w:rsidRDefault="003754FE" w:rsidP="003754FE">
      <w:pPr>
        <w:pStyle w:val="TextoNormal"/>
      </w:pPr>
    </w:p>
    <w:p w14:paraId="3E097739" w14:textId="25352290" w:rsidR="003754FE" w:rsidRDefault="003754FE" w:rsidP="003754FE">
      <w:pPr>
        <w:pStyle w:val="TextoNormal"/>
      </w:pPr>
      <w:r>
        <w:t xml:space="preserve">d) Tampoco existe limitación inconstitucional de la competencia exclusiva del Estado </w:t>
      </w:r>
      <w:r w:rsidRPr="003754FE">
        <w:rPr>
          <w:i/>
        </w:rPr>
        <w:t>ex</w:t>
      </w:r>
      <w:r>
        <w:t xml:space="preserve"> art. 149.1.8 CE en relación con el art. 33 CE. En el mismo sentido argumentado respecto de la ausencia de lesión del art. 24.1 CE, esta parte sostiene que estamos ante una medida de carácter tuitivo, establecida para garantizar el derecho a la vivienda, que justificaría la imposición al propietario de una carga limitativa de sus facultades de dominio en base a la </w:t>
      </w:r>
      <w:r>
        <w:lastRenderedPageBreak/>
        <w:t>función social que debe cumplir la propiedad en este caso. Por tanto, el precepto impugnado no vacía de contenido el derecho de propiedad, no pudiendo entender que infringe el art. 33 CE o el art. 149.1.8 CE, porque la incidencia sobre el derecho de propiedad, constitucionalmente admisible, permite acudir a instrumentos de derecho privado para imponer cargas sobre aquel. En suma, esta parte entiende que la disposición adicional primera, apartado 1 c), impugnada, no regula el derecho de propiedad, sino la vivienda y las políticas de vivienda, incidiendo de forma selecta, temporal y muy limitada en las facultades de algunos concretos propietarios de viviendas. A la vista del contenido y la finalidad de la regulación impugnada, es razonable entender que esta presenta una conexión más estrecha con la materia relativa a “la planificación [y] la ordenación […] de la vivienda de acuerdo con las necesidades sociales y de equilibrio territorial” [art. 137.1 a) EAC] que con la de “legislación civil” (art. 149.1.8 CE) pues está destinada a remediar una situación de emergencia habitacional, cuestión que es propia de la materia “vivienda” y no responde a la ordenación general en materia de Derecho civil.</w:t>
      </w:r>
    </w:p>
    <w:p w14:paraId="5DA1210B" w14:textId="77777777" w:rsidR="003754FE" w:rsidRDefault="003754FE" w:rsidP="003754FE">
      <w:pPr>
        <w:pStyle w:val="TextoNormal"/>
      </w:pPr>
    </w:p>
    <w:p w14:paraId="2F4D595B" w14:textId="4569CE27" w:rsidR="003754FE" w:rsidRDefault="003754FE" w:rsidP="003754FE">
      <w:pPr>
        <w:pStyle w:val="TextoNormal"/>
      </w:pPr>
      <w:r w:rsidRPr="003754FE">
        <w:rPr>
          <w:rStyle w:val="NumeroAFNegritaCaracter"/>
        </w:rPr>
        <w:t>10</w:t>
      </w:r>
      <w:r>
        <w:t>. Por providencia de 22 de octubre de 2024, se señaló ese mismo día para deliberación y votación de la presente sentencia.</w:t>
      </w:r>
    </w:p>
    <w:p w14:paraId="04BA79EE" w14:textId="77777777" w:rsidR="003754FE" w:rsidRDefault="003754FE" w:rsidP="003754FE">
      <w:pPr>
        <w:pStyle w:val="TextoNormal"/>
      </w:pPr>
    </w:p>
    <w:p w14:paraId="3823EB73" w14:textId="77777777" w:rsidR="003754FE" w:rsidRDefault="003754FE" w:rsidP="003754FE">
      <w:pPr>
        <w:pStyle w:val="TextoNormalNegritaCentrado"/>
        <w:keepNext/>
      </w:pPr>
      <w:r>
        <w:t>II. Fundamentos jurídicos</w:t>
      </w:r>
    </w:p>
    <w:p w14:paraId="53822505" w14:textId="42D31D9D" w:rsidR="003754FE" w:rsidRDefault="003754FE" w:rsidP="003754FE">
      <w:pPr>
        <w:pStyle w:val="TextoNormalNegritaCentrado"/>
        <w:keepNext/>
      </w:pPr>
    </w:p>
    <w:p w14:paraId="787A73DE" w14:textId="77777777" w:rsidR="003754FE" w:rsidRDefault="003754FE" w:rsidP="003754FE">
      <w:pPr>
        <w:pStyle w:val="TextoNormal"/>
      </w:pPr>
      <w:r w:rsidRPr="003754FE">
        <w:rPr>
          <w:rStyle w:val="NumeroAFNegritaCaracter"/>
        </w:rPr>
        <w:t>1</w:t>
      </w:r>
      <w:r>
        <w:t>. La presente resolución tiene por objeto resolver el recurso de inconstitucionalidad promovido por el presidente del Gobierno respecto del art. 12 de la Ley del Parlamento de Cataluña 1/2022, de 3 de marzo, de modificación de la Ley 18/2007, la Ley 24/2015 y la Ley 4/2016, para afrontar la emergencia en el ámbito de la vivienda, únicamente en cuanto a la disposición adicional primera, apartado 1 c), que se añade a la Ley 24/2015, de 29 de julio, de medidas urgentes para afrontar la emergencia en el ámbito de la vivienda y la pobreza energética.</w:t>
      </w:r>
    </w:p>
    <w:p w14:paraId="23734637" w14:textId="77777777" w:rsidR="003754FE" w:rsidRDefault="003754FE" w:rsidP="003754FE">
      <w:pPr>
        <w:pStyle w:val="TextoNormal"/>
      </w:pPr>
    </w:p>
    <w:p w14:paraId="3D167EF8" w14:textId="77777777" w:rsidR="003754FE" w:rsidRDefault="003754FE" w:rsidP="003754FE">
      <w:pPr>
        <w:pStyle w:val="TextoNormal"/>
      </w:pPr>
      <w:r>
        <w:t>El precepto impugnado establece lo siguiente:</w:t>
      </w:r>
    </w:p>
    <w:p w14:paraId="7E51326A" w14:textId="77777777" w:rsidR="003754FE" w:rsidRDefault="003754FE" w:rsidP="003754FE">
      <w:pPr>
        <w:pStyle w:val="TextoNormal"/>
      </w:pPr>
    </w:p>
    <w:p w14:paraId="28DCF652" w14:textId="77777777" w:rsidR="003754FE" w:rsidRDefault="003754FE" w:rsidP="003754FE">
      <w:pPr>
        <w:pStyle w:val="TextoNormal"/>
      </w:pPr>
      <w:r>
        <w:t>“Artículo 12. Adición de una disposición adicional a la Ley 24/2015</w:t>
      </w:r>
    </w:p>
    <w:p w14:paraId="6DAE0504" w14:textId="77777777" w:rsidR="003754FE" w:rsidRDefault="003754FE" w:rsidP="003754FE">
      <w:pPr>
        <w:pStyle w:val="TextoNormal"/>
      </w:pPr>
    </w:p>
    <w:p w14:paraId="26D9BCC8" w14:textId="77777777" w:rsidR="003754FE" w:rsidRDefault="003754FE" w:rsidP="003754FE">
      <w:pPr>
        <w:pStyle w:val="TextoNormal"/>
      </w:pPr>
      <w:r>
        <w:t>Se añade una disposición adicional, la primera, a la Ley 24/2015, de 29 de julio, de medidas urgentes para afrontar la emergencia en el ámbito de la vivienda y la pobreza energética, con el siguiente texto:</w:t>
      </w:r>
    </w:p>
    <w:p w14:paraId="5636A6DD" w14:textId="77777777" w:rsidR="003754FE" w:rsidRDefault="003754FE" w:rsidP="003754FE">
      <w:pPr>
        <w:pStyle w:val="TextoNormal"/>
      </w:pPr>
    </w:p>
    <w:p w14:paraId="33836ED9" w14:textId="77777777" w:rsidR="003754FE" w:rsidRDefault="003754FE" w:rsidP="003754FE">
      <w:pPr>
        <w:pStyle w:val="TextoNormal"/>
      </w:pPr>
      <w:r>
        <w:t>‘Primera. Ofrecimiento de propuesta de alquiler social</w:t>
      </w:r>
    </w:p>
    <w:p w14:paraId="3F4886D6" w14:textId="77777777" w:rsidR="003754FE" w:rsidRDefault="003754FE" w:rsidP="003754FE">
      <w:pPr>
        <w:pStyle w:val="TextoNormal"/>
      </w:pPr>
    </w:p>
    <w:p w14:paraId="4B15035A" w14:textId="77777777" w:rsidR="003754FE" w:rsidRDefault="003754FE" w:rsidP="003754FE">
      <w:pPr>
        <w:pStyle w:val="TextoNormal"/>
      </w:pPr>
      <w:r>
        <w:t>1. La obligación establecida por el artículo 5.2 de ofrecer una propuesta de alquiler social antes de interponer determinadas demandas judiciales se hace extensiva, en los mismos términos, a cualquier acción ejecutiva derivada de la reclamación de una deuda hipotecaria y a las demandas de desahucio siguientes:</w:t>
      </w:r>
    </w:p>
    <w:p w14:paraId="0F835A13" w14:textId="77777777" w:rsidR="003754FE" w:rsidRDefault="003754FE" w:rsidP="003754FE">
      <w:pPr>
        <w:pStyle w:val="TextoNormal"/>
      </w:pPr>
    </w:p>
    <w:p w14:paraId="0DFCF9AF" w14:textId="77777777" w:rsidR="003754FE" w:rsidRDefault="003754FE" w:rsidP="003754FE">
      <w:pPr>
        <w:pStyle w:val="TextoNormal"/>
      </w:pPr>
      <w:r>
        <w:t>[…]</w:t>
      </w:r>
    </w:p>
    <w:p w14:paraId="469315DC" w14:textId="77777777" w:rsidR="003754FE" w:rsidRDefault="003754FE" w:rsidP="003754FE">
      <w:pPr>
        <w:pStyle w:val="TextoNormal"/>
      </w:pPr>
    </w:p>
    <w:p w14:paraId="02221CAB" w14:textId="77777777" w:rsidR="003754FE" w:rsidRDefault="003754FE" w:rsidP="003754FE">
      <w:pPr>
        <w:pStyle w:val="TextoNormal"/>
      </w:pPr>
      <w:r>
        <w:lastRenderedPageBreak/>
        <w:t>c) Por falta de título jurídico que habilite la ocupación de la vivienda, si el demandante tiene la condición de gran tenedor de acuerdo con el artículo 5.9 a) y c), siempre que concurran las siguientes circunstancias:</w:t>
      </w:r>
    </w:p>
    <w:p w14:paraId="68EF9595" w14:textId="77777777" w:rsidR="003754FE" w:rsidRDefault="003754FE" w:rsidP="003754FE">
      <w:pPr>
        <w:pStyle w:val="TextoNormal"/>
      </w:pPr>
    </w:p>
    <w:p w14:paraId="124EE219" w14:textId="77777777" w:rsidR="003754FE" w:rsidRDefault="003754FE" w:rsidP="003754FE">
      <w:pPr>
        <w:pStyle w:val="TextoNormal"/>
      </w:pPr>
      <w:r>
        <w:t>1.º Que la vivienda esté inscrita en el registro de viviendas vacías y de viviendas ocupadas sin título habilitante o sea susceptible de estar inscrita en él.</w:t>
      </w:r>
    </w:p>
    <w:p w14:paraId="1BDF7AFA" w14:textId="77777777" w:rsidR="003754FE" w:rsidRDefault="003754FE" w:rsidP="003754FE">
      <w:pPr>
        <w:pStyle w:val="TextoNormal"/>
      </w:pPr>
    </w:p>
    <w:p w14:paraId="56B12347" w14:textId="77777777" w:rsidR="003754FE" w:rsidRDefault="003754FE" w:rsidP="003754FE">
      <w:pPr>
        <w:pStyle w:val="TextoNormal"/>
      </w:pPr>
      <w:r>
        <w:t>2.º Que los ocupantes acrediten, por cualquier medio admitido en derecho, que la ocupación sin título se inició antes del 1 de junio de 2021.</w:t>
      </w:r>
    </w:p>
    <w:p w14:paraId="6488B820" w14:textId="77777777" w:rsidR="003754FE" w:rsidRDefault="003754FE" w:rsidP="003754FE">
      <w:pPr>
        <w:pStyle w:val="TextoNormal"/>
      </w:pPr>
    </w:p>
    <w:p w14:paraId="6A5C0FA6" w14:textId="77777777" w:rsidR="003754FE" w:rsidRDefault="003754FE" w:rsidP="003754FE">
      <w:pPr>
        <w:pStyle w:val="TextoNormal"/>
      </w:pPr>
      <w:r>
        <w:t>3.º Que en los últimos dos años los ocupantes no hayan rechazado ninguna opción de realojamiento social adecuado que les haya ofrecido cualquier administración pública o de acuerdo con el artículo 5.2.</w:t>
      </w:r>
    </w:p>
    <w:p w14:paraId="3FFF2519" w14:textId="77777777" w:rsidR="003754FE" w:rsidRDefault="003754FE" w:rsidP="003754FE">
      <w:pPr>
        <w:pStyle w:val="TextoNormal"/>
      </w:pPr>
    </w:p>
    <w:p w14:paraId="5B82E5C1" w14:textId="77777777" w:rsidR="003754FE" w:rsidRDefault="003754FE" w:rsidP="003754FE">
      <w:pPr>
        <w:pStyle w:val="TextoNormal"/>
      </w:pPr>
      <w:r>
        <w:t>4.º Que los servicios municipales emitan informe favorable sobre el cumplimiento de los parámetros de riesgo de exclusión residencial por parte de los ocupantes y sobre su arraigo y convivencia en el entorno vecinal”.</w:t>
      </w:r>
    </w:p>
    <w:p w14:paraId="04DFFB67" w14:textId="77777777" w:rsidR="003754FE" w:rsidRDefault="003754FE" w:rsidP="003754FE">
      <w:pPr>
        <w:pStyle w:val="TextoNormal"/>
      </w:pPr>
    </w:p>
    <w:p w14:paraId="1FF10953" w14:textId="36FDEBF2" w:rsidR="003754FE" w:rsidRDefault="003754FE" w:rsidP="003754FE">
      <w:pPr>
        <w:pStyle w:val="TextoNormal"/>
      </w:pPr>
      <w:r>
        <w:t xml:space="preserve">Como se ha expuesto en los antecedentes, la Abogacía del Estado denuncia que el apartado 1 c) de la disposición adicional primera de la Ley 24/2015, de 29 de julio, de medidas urgentes para afrontar la emergencia en el ámbito de la vivienda y la pobreza energética, en la redacción que le da el art. 12 de la Ley del Parlamento de Cataluña 1/2022, de 3 de marzo, impone la obligación de ofrecer un alquiler social en los casos de ocupación de la vivienda sin título habilitante, con carácter previo a la interposición de una demanda judicial, y entiende que esta obligación vulnera la competencia estatal en materia de legislación procesal (art. 149.1.6 CE), el art. 24.1 CE y los arts. 33.1 CE, 149.1.8 CE y 149.1.1 CE, en relación con el art. 33 CE. La abogada de la Generalitat ha negado las vulneraciones denunciadas, así como lo ha hecho la letrada del Parlamento de Cataluña, argumentando que la norma impugnada tiene cobertura en el legítimo ejercicio de las competencia autonómica en materia de vivienda </w:t>
      </w:r>
      <w:r w:rsidRPr="003754FE">
        <w:rPr>
          <w:i/>
        </w:rPr>
        <w:t>ex</w:t>
      </w:r>
      <w:r>
        <w:t xml:space="preserve"> art. 137 EAC.</w:t>
      </w:r>
    </w:p>
    <w:p w14:paraId="3BD61032" w14:textId="77777777" w:rsidR="003754FE" w:rsidRDefault="003754FE" w:rsidP="003754FE">
      <w:pPr>
        <w:pStyle w:val="TextoNormal"/>
      </w:pPr>
    </w:p>
    <w:p w14:paraId="105CD8F7" w14:textId="77777777" w:rsidR="003754FE" w:rsidRDefault="003754FE" w:rsidP="003754FE">
      <w:pPr>
        <w:pStyle w:val="TextoNormal"/>
      </w:pPr>
      <w:r w:rsidRPr="003754FE">
        <w:rPr>
          <w:rStyle w:val="NumeroAFNegritaCaracter"/>
        </w:rPr>
        <w:t>2</w:t>
      </w:r>
      <w:r>
        <w:t>. Teniendo en cuenta que el precepto cuestionado ha sido también objeto de los recursos de inconstitucionalidad núms. 3955-2022 y 4038-2022, y que el primero de ambos ha sido resuelto por la STC 120/2024, de 8 de octubre, hemos de examinar ante todo la incidencia que, sobre el objeto de este proceso constitucional, pueda tener ese pronunciamiento.</w:t>
      </w:r>
    </w:p>
    <w:p w14:paraId="69781840" w14:textId="77777777" w:rsidR="003754FE" w:rsidRDefault="003754FE" w:rsidP="003754FE">
      <w:pPr>
        <w:pStyle w:val="TextoNormal"/>
      </w:pPr>
    </w:p>
    <w:p w14:paraId="75973F22" w14:textId="77777777" w:rsidR="003754FE" w:rsidRDefault="003754FE" w:rsidP="003754FE">
      <w:pPr>
        <w:pStyle w:val="TextoNormal"/>
      </w:pPr>
      <w:r>
        <w:t>Acudiendo a la jurisprudencia contenida en las previas SSTC 28/2022, de 24 de febrero, FJ 5, y 57/2022, de 7 de abril, FJ 5 a), la STC 120/2024, en su FJ 5 B) afirma que lo que establece el precepto enjuiciado es un requisito que condiciona el acceso al proceso de manera indudable y más rigurosa que la normativa estatal. Y que, en atención a la doctrina constitucional precedente, relativa a la previsión del inciso final del art. 149.1.6 CE, que limita el alcance de la competencia autonómica en materia procesal, asignándole un carácter restrictivo, en cuanto podría vaciar de contenido o privar de todo significado a la especificidad con que la materia procesal se contempla en el artículo 149.1.6 CE, es necesario estimar la queja articulada en aquel recurso de inconstitucionalidad respecto, entre otros, a los apartados 1 y 2 de la disposición adicional primera de la Ley del Parlamento de Cataluña 24/2015, en la redacción dada por el art. 12 de la Ley 1/2022, declarándolos inconstitucionales y nulos por infringir el art. 149.1.6 CE.</w:t>
      </w:r>
    </w:p>
    <w:p w14:paraId="1FE138D1" w14:textId="77777777" w:rsidR="003754FE" w:rsidRDefault="003754FE" w:rsidP="003754FE">
      <w:pPr>
        <w:pStyle w:val="TextoNormal"/>
      </w:pPr>
    </w:p>
    <w:p w14:paraId="6AC56725" w14:textId="0AB6141D" w:rsidR="003754FE" w:rsidRDefault="003754FE" w:rsidP="003754FE">
      <w:pPr>
        <w:pStyle w:val="TextoNormal"/>
      </w:pPr>
      <w:r>
        <w:t>Por tanto, ha sido declarado inconstitucional y nulo todo el apartado 1 de la disposición adicional primera de la Ley 24/2015, en el que se integra el subapartado c), al que se circunscribía el presente recurso de inconstitucionalidad. De acuerdo con ello y conforme a nuestra doctrina (al respecto, STC 259/2007, de 19 de diciembre, FJ 2, y las allí citadas) ha desaparecido de forma sobrevenida el objeto de este proceso constitucional.</w:t>
      </w:r>
    </w:p>
    <w:p w14:paraId="3A4A4E8E" w14:textId="77777777" w:rsidR="003754FE" w:rsidRDefault="003754FE" w:rsidP="003754FE">
      <w:pPr>
        <w:pStyle w:val="TextoNormal"/>
      </w:pPr>
    </w:p>
    <w:p w14:paraId="5134C74A" w14:textId="77777777" w:rsidR="003754FE" w:rsidRDefault="003754FE" w:rsidP="003754FE">
      <w:pPr>
        <w:pStyle w:val="TextoNormalCentrado"/>
        <w:keepNext/>
      </w:pPr>
      <w:r>
        <w:t>FALLO</w:t>
      </w:r>
    </w:p>
    <w:p w14:paraId="585F2D64" w14:textId="565D37DC" w:rsidR="003754FE" w:rsidRDefault="003754FE" w:rsidP="003754FE">
      <w:pPr>
        <w:pStyle w:val="TextoNormalCentrado"/>
        <w:keepNext/>
      </w:pPr>
    </w:p>
    <w:p w14:paraId="08D484F7" w14:textId="037CD705" w:rsidR="003754FE" w:rsidRDefault="003754FE" w:rsidP="003754FE">
      <w:pPr>
        <w:pStyle w:val="TextoNormal"/>
      </w:pPr>
      <w:r>
        <w:t>En atención a todo lo expuesto, el Tribunal Constitucional, por la autoridad que le confiere la Constitución de la Nación española, ha decidido declarar la extinción del recurso, por desaparición sobrevenida de su objeto, respecto del apartado 1 c) de la disposición adicional primera de la Ley del Parlamento de Cataluña 24/2015, de 29 de julio, de medidas urgentes para afrontar la emergencia en el ámbito de la vivienda y la pobreza energética, en la redacción que le da el art. 12 de la Ley del Parlamento de Cataluña 1/2022, de 3 de marzo.</w:t>
      </w:r>
    </w:p>
    <w:p w14:paraId="3E6DC930" w14:textId="77777777" w:rsidR="003754FE" w:rsidRDefault="003754FE" w:rsidP="003754FE">
      <w:pPr>
        <w:pStyle w:val="TextoNormal"/>
      </w:pPr>
    </w:p>
    <w:p w14:paraId="552724AD" w14:textId="77777777" w:rsidR="003754FE" w:rsidRDefault="003754FE" w:rsidP="003754FE">
      <w:pPr>
        <w:pStyle w:val="TextoNormal"/>
      </w:pPr>
      <w:r>
        <w:t>Publíquese esta sentencia en el “Boletín Oficial del Estado”.</w:t>
      </w:r>
    </w:p>
    <w:p w14:paraId="569187E0" w14:textId="77777777" w:rsidR="003754FE" w:rsidRDefault="003754FE" w:rsidP="003754FE">
      <w:pPr>
        <w:pStyle w:val="TextoNormal"/>
      </w:pPr>
      <w:r>
        <w:t>Dada en Madrid, a veintidós de octubre de dos mil veinticuatro.</w:t>
      </w:r>
    </w:p>
    <w:p w14:paraId="03D2AA5A" w14:textId="43DDE535" w:rsidR="003754FE" w:rsidRDefault="003754FE">
      <w:pPr>
        <w:spacing w:after="160" w:line="278" w:lineRule="auto"/>
        <w:rPr>
          <w:rFonts w:ascii="Times New Roman" w:eastAsia="Times New Roman" w:hAnsi="Times New Roman" w:cs="Times New Roman"/>
          <w:sz w:val="24"/>
          <w:szCs w:val="24"/>
          <w:lang w:eastAsia="es-ES"/>
        </w:rPr>
      </w:pPr>
      <w:r>
        <w:br w:type="page"/>
      </w:r>
    </w:p>
    <w:p w14:paraId="7E672361" w14:textId="77777777" w:rsidR="003754FE" w:rsidRDefault="003754FE" w:rsidP="003754FE">
      <w:pPr>
        <w:pStyle w:val="TtuloResolucin"/>
      </w:pPr>
      <w:bookmarkStart w:id="40" w:name="SENTENCIA_2024_131"/>
      <w:r>
        <w:lastRenderedPageBreak/>
        <w:t>SENTENCIA 131/2024, de 23 de octubre de 2024</w:t>
      </w:r>
    </w:p>
    <w:bookmarkEnd w:id="40"/>
    <w:p w14:paraId="06182E54" w14:textId="77777777" w:rsidR="003754FE" w:rsidRDefault="003754FE" w:rsidP="003754FE">
      <w:pPr>
        <w:pStyle w:val="TtuloResolucin"/>
      </w:pPr>
      <w:r>
        <w:t>Pleno</w:t>
      </w:r>
    </w:p>
    <w:p w14:paraId="60D2417A" w14:textId="77777777" w:rsidR="003754FE" w:rsidRDefault="003754FE" w:rsidP="003754FE">
      <w:pPr>
        <w:pStyle w:val="TtuloBOE"/>
      </w:pPr>
      <w:r>
        <w:t>(BOE núm. 286, de 27 de noviembre de 2024)</w:t>
      </w:r>
    </w:p>
    <w:p w14:paraId="1FA2EFCF" w14:textId="77777777" w:rsidR="003754FE" w:rsidRDefault="003754FE" w:rsidP="003754FE">
      <w:pPr>
        <w:pStyle w:val="TextoNormalCentrado"/>
      </w:pPr>
      <w:r>
        <w:t>ECLI:ES:TC:2024:131</w:t>
      </w:r>
    </w:p>
    <w:p w14:paraId="55323A87" w14:textId="02FC2EFA" w:rsidR="003754FE" w:rsidRDefault="003754FE" w:rsidP="003754FE">
      <w:pPr>
        <w:pStyle w:val="TextoNormalCentrado"/>
      </w:pPr>
    </w:p>
    <w:p w14:paraId="126BB769" w14:textId="77777777" w:rsidR="003754FE" w:rsidRDefault="003754FE" w:rsidP="003754FE">
      <w:pPr>
        <w:pStyle w:val="SntesisDescriptiva"/>
      </w:pPr>
      <w:r>
        <w:t>Cuestión de inconstitucionalidad 2714-2024. Planteada por la Sección Séptima de la Sala de lo Contencioso-Administrativo del Tribunal Superior de Justicia de Madrid respecto del artículo 23 de la Ley 38/1988, de 28 de diciembre, de demarcación y de planta judicial en la redacción dada por la Ley Orgánica 7/2015, de 21 de julio, por la que se modifica la Ley Orgánica 6/1985, de 1 de julio, del Poder Judicial.</w:t>
      </w:r>
    </w:p>
    <w:p w14:paraId="668B22B5" w14:textId="05AB29B5" w:rsidR="003754FE" w:rsidRDefault="003754FE" w:rsidP="003754FE">
      <w:pPr>
        <w:pStyle w:val="SntesisDescriptiva"/>
      </w:pPr>
    </w:p>
    <w:p w14:paraId="6522BD77" w14:textId="77777777" w:rsidR="003754FE" w:rsidRDefault="003754FE" w:rsidP="003754FE">
      <w:pPr>
        <w:pStyle w:val="SntesisAnaltica"/>
      </w:pPr>
      <w:r>
        <w:t>Principio de igualdad retributiva en el ámbito de la función pública: nulidad parcial del precepto legal que establece diferencias retributivas entre los letrados coordinadores del gabinete técnico del Tribunal Supremo en función de su cuerpo de procedencia.</w:t>
      </w:r>
    </w:p>
    <w:p w14:paraId="173E3456" w14:textId="378E320C" w:rsidR="003754FE" w:rsidRDefault="003754FE" w:rsidP="003754FE">
      <w:pPr>
        <w:pStyle w:val="SntesisAnaltica"/>
      </w:pPr>
    </w:p>
    <w:p w14:paraId="22528697" w14:textId="10D814C4" w:rsidR="003754FE" w:rsidRDefault="003754FE" w:rsidP="003754FE">
      <w:pPr>
        <w:pStyle w:val="Extracto"/>
      </w:pPr>
      <w:r>
        <w:t>1.</w:t>
      </w:r>
      <w:r>
        <w:tab/>
        <w:t>El establecimiento legal de una diferenciación retributiva entre funcionarios, en atención a sus cuerpos de procedencia, no puede considerarse razonable por conducir a una evidente discriminación entre funcionarios que ocupan los mismos puestos, que realizan idénticas funciones, y sin que exista una explicación objetiva que lo justifique [FJ 3].</w:t>
      </w:r>
    </w:p>
    <w:p w14:paraId="67B49E48" w14:textId="77777777" w:rsidR="003754FE" w:rsidRDefault="003754FE" w:rsidP="003754FE">
      <w:pPr>
        <w:pStyle w:val="Extracto"/>
      </w:pPr>
    </w:p>
    <w:p w14:paraId="1FD28662" w14:textId="77777777" w:rsidR="003754FE" w:rsidRDefault="003754FE" w:rsidP="003754FE">
      <w:pPr>
        <w:pStyle w:val="Extracto"/>
      </w:pPr>
    </w:p>
    <w:p w14:paraId="63D520B6"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Juan Carlos Campo Moreno, doña Laura Díez Bueso y don José María Macías Castaño, ha pronunciado</w:t>
      </w:r>
    </w:p>
    <w:p w14:paraId="6BB0F29C" w14:textId="1C4024EC" w:rsidR="003754FE" w:rsidRDefault="003754FE" w:rsidP="003754FE">
      <w:pPr>
        <w:pStyle w:val="TextoNormal"/>
      </w:pPr>
    </w:p>
    <w:p w14:paraId="5C817DAF" w14:textId="77777777" w:rsidR="003754FE" w:rsidRDefault="003754FE" w:rsidP="003754FE">
      <w:pPr>
        <w:pStyle w:val="TextoNormalCentrado"/>
        <w:keepNext/>
      </w:pPr>
      <w:r>
        <w:t>EN NOMBRE DEL REY</w:t>
      </w:r>
    </w:p>
    <w:p w14:paraId="275E06A6" w14:textId="5D31D9E8" w:rsidR="003754FE" w:rsidRDefault="003754FE" w:rsidP="003754FE">
      <w:pPr>
        <w:pStyle w:val="TextoNormalCentrado"/>
        <w:keepNext/>
      </w:pPr>
    </w:p>
    <w:p w14:paraId="455F25CC" w14:textId="77777777" w:rsidR="003754FE" w:rsidRDefault="003754FE" w:rsidP="003754FE">
      <w:pPr>
        <w:pStyle w:val="TextoNormalCentrado"/>
        <w:keepNext/>
      </w:pPr>
    </w:p>
    <w:p w14:paraId="1DF2CA60" w14:textId="77777777" w:rsidR="003754FE" w:rsidRDefault="003754FE" w:rsidP="003754FE">
      <w:pPr>
        <w:pStyle w:val="TextoNormal"/>
      </w:pPr>
      <w:r>
        <w:t>la siguiente</w:t>
      </w:r>
    </w:p>
    <w:p w14:paraId="3627AC33" w14:textId="2B05F0C7" w:rsidR="003754FE" w:rsidRDefault="003754FE" w:rsidP="003754FE">
      <w:pPr>
        <w:pStyle w:val="TextoNormal"/>
      </w:pPr>
    </w:p>
    <w:p w14:paraId="5D20AD00" w14:textId="77777777" w:rsidR="003754FE" w:rsidRDefault="003754FE" w:rsidP="003754FE">
      <w:pPr>
        <w:pStyle w:val="TextoNormalCentrado"/>
        <w:keepNext/>
      </w:pPr>
      <w:r>
        <w:t>SENTENCIA</w:t>
      </w:r>
    </w:p>
    <w:p w14:paraId="6C845214" w14:textId="2B4DA787" w:rsidR="003754FE" w:rsidRDefault="003754FE" w:rsidP="003754FE">
      <w:pPr>
        <w:pStyle w:val="TextoNormalCentrado"/>
        <w:keepNext/>
      </w:pPr>
    </w:p>
    <w:p w14:paraId="1636C070" w14:textId="77777777" w:rsidR="003754FE" w:rsidRDefault="003754FE" w:rsidP="003754FE">
      <w:pPr>
        <w:pStyle w:val="TextoNormal"/>
      </w:pPr>
      <w:r>
        <w:t>En la cuestión de inconstitucionalidad núm. 2714-2024, promovida por la Sección Séptima de la Sala de lo Contencioso-Administrativo del Tribunal Superior de Justicia de Madrid contra el art. 23 de la Ley 38/1988, de 28 de diciembre, de demarcación y de planta judicial en la redacción dada por la Ley Orgánica 7/2015, de 21 de julio, por la que se modifica la Ley Orgánica 6/1985, de 1 de julio, del Poder Judicial. Han sido parte el abogado del Estado en la representación que ostenta, y el fiscal general del Estado. Ha sido ponente la magistrada doña María Luisa Segoviano Astaburuaga.</w:t>
      </w:r>
    </w:p>
    <w:p w14:paraId="6C30E337" w14:textId="586E3010" w:rsidR="003754FE" w:rsidRDefault="003754FE" w:rsidP="003754FE">
      <w:pPr>
        <w:pStyle w:val="TextoNormal"/>
      </w:pPr>
    </w:p>
    <w:p w14:paraId="4DCFE206" w14:textId="77777777" w:rsidR="003754FE" w:rsidRDefault="003754FE" w:rsidP="003754FE">
      <w:pPr>
        <w:pStyle w:val="TextoNormalNegritaCentrado"/>
        <w:keepNext/>
      </w:pPr>
      <w:r>
        <w:lastRenderedPageBreak/>
        <w:t>I. Antecedentes</w:t>
      </w:r>
    </w:p>
    <w:p w14:paraId="00C259B2" w14:textId="3AF7C1BA" w:rsidR="003754FE" w:rsidRDefault="003754FE" w:rsidP="003754FE">
      <w:pPr>
        <w:pStyle w:val="TextoNormalNegritaCentrado"/>
        <w:keepNext/>
      </w:pPr>
    </w:p>
    <w:p w14:paraId="1BE4EEA4" w14:textId="668BB5BB" w:rsidR="003754FE" w:rsidRDefault="003754FE" w:rsidP="003754FE">
      <w:pPr>
        <w:pStyle w:val="TextoNormal"/>
      </w:pPr>
      <w:r w:rsidRPr="003754FE">
        <w:rPr>
          <w:rStyle w:val="NumeroAFNegritaCaracter"/>
        </w:rPr>
        <w:t>1</w:t>
      </w:r>
      <w:r>
        <w:t>. Con fecha 18 de abril de 2024 tuvo entrada en el registro de este tribunal un oficio de la Sección Séptima de la Sala de lo Contencioso-Administrativo del Tribunal Superior de Justicia de Madrid, al que se acompañaba, junto al testimonio del procedimiento ordinario núm. 682-2022, el auto de 11 de abril de 2024, por el que se acuerda plantear cuestión de inconstitucionalidad en relación con el art. 23 de la Ley 38/1988, de 28 de diciembre, de demarcación y de planta judicial (LDPJ), por su posible contradicción con los arts. 14 y 23 CE. El testimonio del procedimiento ordinario núm. 779-2022, acumulado al anterior, fue remitido a través de oficio registrado en este tribunal el 14 de mayo de 2024.</w:t>
      </w:r>
    </w:p>
    <w:p w14:paraId="3FC582B4" w14:textId="77777777" w:rsidR="003754FE" w:rsidRDefault="003754FE" w:rsidP="003754FE">
      <w:pPr>
        <w:pStyle w:val="TextoNormal"/>
      </w:pPr>
    </w:p>
    <w:p w14:paraId="47E790D9" w14:textId="77777777" w:rsidR="003754FE" w:rsidRDefault="003754FE" w:rsidP="003754FE">
      <w:pPr>
        <w:pStyle w:val="TextoNormal"/>
      </w:pPr>
      <w:r w:rsidRPr="003754FE">
        <w:rPr>
          <w:rStyle w:val="NumeroAFNegritaCaracter"/>
        </w:rPr>
        <w:t>2</w:t>
      </w:r>
      <w:r>
        <w:t>. Los antecedentes de hecho del planteamiento de la presente cuestión de inconstitucionalidad son, sucintamente expuestos, los siguientes:</w:t>
      </w:r>
    </w:p>
    <w:p w14:paraId="12A9F7A8" w14:textId="77777777" w:rsidR="003754FE" w:rsidRDefault="003754FE" w:rsidP="003754FE">
      <w:pPr>
        <w:pStyle w:val="TextoNormal"/>
      </w:pPr>
    </w:p>
    <w:p w14:paraId="5D687F53" w14:textId="77777777" w:rsidR="003754FE" w:rsidRDefault="003754FE" w:rsidP="003754FE">
      <w:pPr>
        <w:pStyle w:val="TextoNormal"/>
      </w:pPr>
      <w:r>
        <w:t xml:space="preserve">a) La actora en el procedimiento </w:t>
      </w:r>
      <w:r w:rsidRPr="003754FE">
        <w:rPr>
          <w:i/>
        </w:rPr>
        <w:t>a quo</w:t>
      </w:r>
      <w:r>
        <w:t>, letrada coordinadora del gabinete técnico del Tribunal Supremo, interpuso recurso contencioso administrativo (seguido como procedimiento ordinario núm. 682-2022) contra las siguientes resoluciones de la directora general para el Servicio Público de Justicia:</w:t>
      </w:r>
    </w:p>
    <w:p w14:paraId="731271EA" w14:textId="77777777" w:rsidR="003754FE" w:rsidRDefault="003754FE" w:rsidP="003754FE">
      <w:pPr>
        <w:pStyle w:val="TextoNormal"/>
      </w:pPr>
    </w:p>
    <w:p w14:paraId="7FF1EAEF" w14:textId="77777777" w:rsidR="003754FE" w:rsidRDefault="003754FE" w:rsidP="003754FE">
      <w:pPr>
        <w:pStyle w:val="TextoNormal"/>
      </w:pPr>
      <w:r>
        <w:t>(i) Resolución de 9 de marzo de 2022, por la que se desestiman los recursos interpuestos contra las nóminas abonadas en los meses de junio a diciembre de 2021 como letrada coordinadora del gabinete técnico del Tribunal Supremo, tras pasar a percibir un complemento de destino de 2250 € (que era el que percibía anteriormente como letrada del gabinete técnico del Tribunal Supremo) en lugar del complemento de destino percibido entre enero y mayo de 2021, por importe de 4452 €, en la misma cuantía que el resto de letrados coordinadores del gabinete técnico del Tribunal Supremo. También desestimaba el recurso de reposición interpuesto contra la resolución de la misma directora general de 1 de diciembre de 2021, por la que se acordaba continuar el procedimiento de reintegro de pagos indebidos para obtener la devolución de lo indebidamente abonado a la actora por complemento de destino entre enero y mayo de 2021. La cuantía debida por la interesada se cifraba en 10 202,95 €. La razón de una y otra decisión era que la actora no pertenece a la carrera judicial, pues es funcionaria del cuerpo A1 de la administración local (letrada de la Dirección de Servicios Jurídicos del Ayuntamiento de Barcelona), por lo que no se le pueden aplicar retribuciones exclusivas del ámbito judicial.</w:t>
      </w:r>
    </w:p>
    <w:p w14:paraId="6159F014" w14:textId="77777777" w:rsidR="003754FE" w:rsidRDefault="003754FE" w:rsidP="003754FE">
      <w:pPr>
        <w:pStyle w:val="TextoNormal"/>
      </w:pPr>
    </w:p>
    <w:p w14:paraId="1B131B06" w14:textId="77777777" w:rsidR="003754FE" w:rsidRDefault="003754FE" w:rsidP="003754FE">
      <w:pPr>
        <w:pStyle w:val="TextoNormal"/>
      </w:pPr>
      <w:r>
        <w:t>(ii) La desestimación por silencio administrativo de su recurso contra la nómina de enero de 2022.</w:t>
      </w:r>
    </w:p>
    <w:p w14:paraId="78708788" w14:textId="77777777" w:rsidR="003754FE" w:rsidRDefault="003754FE" w:rsidP="003754FE">
      <w:pPr>
        <w:pStyle w:val="TextoNormal"/>
      </w:pPr>
    </w:p>
    <w:p w14:paraId="34C22D97" w14:textId="77777777" w:rsidR="003754FE" w:rsidRDefault="003754FE" w:rsidP="003754FE">
      <w:pPr>
        <w:pStyle w:val="TextoNormal"/>
      </w:pPr>
      <w:r>
        <w:t xml:space="preserve">La actora en el proceso </w:t>
      </w:r>
      <w:r w:rsidRPr="003754FE">
        <w:rPr>
          <w:i/>
        </w:rPr>
        <w:t>a quo</w:t>
      </w:r>
      <w:r>
        <w:t xml:space="preserve"> solicitaba que se reconociera su derecho a percibir idéntico complemento de destino que el resto de letrados coordinadores y, en consecuencia, que se le abonara la diferencia resultante en los meses de junio a diciembre de 2021 y en enero de 2022, con las regularizaciones procedentes, en particular respecto de las pagas extraordinarias de junio y diciembre de 2021, más los intereses devengados desde la fecha de la reclamación. Asimismo, interesaba que se declarara la nulidad del procedimiento de reintegro o devolución de pagos indebidos. En la demanda se denunciaba la vulneración del derecho a la igualdad retributiva a igual trabajo, ante la identidad de funciones desempeñadas respecto a los demás letrados coordinadores del gabinete técnico del Tribunal Supremo, pese a lo </w:t>
      </w:r>
      <w:r>
        <w:lastRenderedPageBreak/>
        <w:t>cual se le han abonado unas retribuciones distintas que a aquellos. Sostenía, en síntesis, que se había producido un trato diferenciado que carecía de fundamentación objetiva, razonable y proporcional, ya que la propia Ley Orgánica del Poder Judicial (LOPJ) contempla la posibilidad de que tales puestos se desempeñen por funcionarios de todas las administraciones que pertenezcan al grupo A1, por lo que se produce la vulneración de los arts. 14 y 23.2 CE. También se refiere al efecto desaliento que la situación padecida produce en la promoción profesional, y denuncia la nulidad del procedimiento de reintegro al no haberse seguido el procedimiento legalmente establecido, así como la vulneración del principio de confianza legítima y del principio de buena administración.</w:t>
      </w:r>
    </w:p>
    <w:p w14:paraId="15E384B1" w14:textId="77777777" w:rsidR="003754FE" w:rsidRDefault="003754FE" w:rsidP="003754FE">
      <w:pPr>
        <w:pStyle w:val="TextoNormal"/>
      </w:pPr>
    </w:p>
    <w:p w14:paraId="58D0F753" w14:textId="77777777" w:rsidR="003754FE" w:rsidRDefault="003754FE" w:rsidP="003754FE">
      <w:pPr>
        <w:pStyle w:val="TextoNormal"/>
      </w:pPr>
      <w:r>
        <w:t>b) Posteriormente, interpuso recurso contencioso administrativo contra la resolución de la directora general para el Servicio Público de Justicia de 7 de febrero de 2022, declarativa de la realización de pago indebido, por la que se acordó el derecho de la hacienda pública a la recaudación de las cantidades abonadas indebidamente a la actora por la referida dirección general. El conocimiento de este recurso, que se siguió como procedimiento ordinario núm. 779-2022, correspondió a la misma sección, siendo acumulado al procedimiento ordinario núm. 682-2022 por medio de auto de 8 de marzo de 2023.</w:t>
      </w:r>
    </w:p>
    <w:p w14:paraId="021AD9A1" w14:textId="77777777" w:rsidR="003754FE" w:rsidRDefault="003754FE" w:rsidP="003754FE">
      <w:pPr>
        <w:pStyle w:val="TextoNormal"/>
      </w:pPr>
    </w:p>
    <w:p w14:paraId="04EE4350" w14:textId="77777777" w:rsidR="003754FE" w:rsidRDefault="003754FE" w:rsidP="003754FE">
      <w:pPr>
        <w:pStyle w:val="TextoNormal"/>
      </w:pPr>
      <w:r>
        <w:t>c) Una vez concluso el procedimiento, y antes de dictar sentencia, el órgano judicial, por medio de providencia de 23 de febrero de 2024, acordó oír a las partes y al Ministerio Fiscal por plazo común de diez días para que pudieran alegar lo que desearan sobre la pertinencia de plantear cuestión de inconstitucionalidad en relación con el art. 23 LDPJ. En la providencia se exponían las circunstancias del caso y se señalaba que el precepto indicado “es indudablemente aplicable al caso, y tal aplicación podría entrar en contradicción con el principio de igualdad retributiva, al contemplar distintas retribuciones complementarias (complemento de destino) en atención a la pertenencia o no del letrado coordinador a la carrera judicial”.</w:t>
      </w:r>
    </w:p>
    <w:p w14:paraId="62BA142C" w14:textId="77777777" w:rsidR="003754FE" w:rsidRDefault="003754FE" w:rsidP="003754FE">
      <w:pPr>
        <w:pStyle w:val="TextoNormal"/>
      </w:pPr>
    </w:p>
    <w:p w14:paraId="107F35F0" w14:textId="77777777" w:rsidR="003754FE" w:rsidRDefault="003754FE" w:rsidP="003754FE">
      <w:pPr>
        <w:pStyle w:val="TextoNormal"/>
      </w:pPr>
      <w:r>
        <w:t>d) Únicamente formuló alegaciones la fiscal, mediante escrito de 7 de marzo de 2024, en el que señaló que se cumplían todos los requisitos legales para promover la cuestión de inconstitucionalidad, por lo que no se opuso a su planteamiento. Las partes en el proceso contencioso administrativo no formularon alegaciones.</w:t>
      </w:r>
    </w:p>
    <w:p w14:paraId="21C63FC1" w14:textId="77777777" w:rsidR="003754FE" w:rsidRDefault="003754FE" w:rsidP="003754FE">
      <w:pPr>
        <w:pStyle w:val="TextoNormal"/>
      </w:pPr>
    </w:p>
    <w:p w14:paraId="40E139A5" w14:textId="43FFBA41" w:rsidR="003754FE" w:rsidRDefault="003754FE" w:rsidP="003754FE">
      <w:pPr>
        <w:pStyle w:val="TextoNormal"/>
      </w:pPr>
      <w:r>
        <w:t>e) Por auto de 11 de abril de 2024, la Sección Séptima de la Sala de lo Contencioso-Administrativo del Tribunal Superior de Justicia de Madrid acordó plantear cuestión de inconstitucionalidad en relación con el art. 23 LDPJ, por su posible contradicción con los arts. 14 y 23 CE.</w:t>
      </w:r>
    </w:p>
    <w:p w14:paraId="4519DED1" w14:textId="77777777" w:rsidR="003754FE" w:rsidRDefault="003754FE" w:rsidP="003754FE">
      <w:pPr>
        <w:pStyle w:val="TextoNormal"/>
      </w:pPr>
    </w:p>
    <w:p w14:paraId="52BB0D97" w14:textId="77777777" w:rsidR="003754FE" w:rsidRDefault="003754FE" w:rsidP="003754FE">
      <w:pPr>
        <w:pStyle w:val="TextoNormal"/>
      </w:pPr>
      <w:r w:rsidRPr="003754FE">
        <w:rPr>
          <w:rStyle w:val="NumeroAFNegritaCaracter"/>
        </w:rPr>
        <w:t>3</w:t>
      </w:r>
      <w:r>
        <w:t>. El auto del órgano judicial promotor de la cuestión, tras referirse a los antecedentes del procedimiento y al desarrollo del trámite de audiencia previo al planteamiento de la cuestión, fundamenta esta, en síntesis, en los siguientes argumentos:</w:t>
      </w:r>
    </w:p>
    <w:p w14:paraId="7B9A2576" w14:textId="77777777" w:rsidR="003754FE" w:rsidRDefault="003754FE" w:rsidP="003754FE">
      <w:pPr>
        <w:pStyle w:val="TextoNormal"/>
      </w:pPr>
    </w:p>
    <w:p w14:paraId="4548C65C" w14:textId="77777777" w:rsidR="003754FE" w:rsidRDefault="003754FE" w:rsidP="003754FE">
      <w:pPr>
        <w:pStyle w:val="TextoNormal"/>
      </w:pPr>
      <w:r>
        <w:t xml:space="preserve">a) La norma sobre la que han surgido las dudas de constitucionalidad es el art. 23 LDPJ, a cuyo tenor, con las mismas funciones, los letrados coordinadores que pertenezcan a la carrera judicial perciben un complemento de destino superior al recibido por los de otra procedencia. Enlazando dicho precepto con lo establecido en el art. 61 </w:t>
      </w:r>
      <w:r w:rsidRPr="003754FE">
        <w:rPr>
          <w:i/>
        </w:rPr>
        <w:t>bis</w:t>
      </w:r>
      <w:r>
        <w:t xml:space="preserve">.4 LOPJ, la Sala colige que los letrados coordinadores, de forma preferente, pero no exclusiva, serán designados entre letrados del Gabinete del Tribunal Supremo provenientes de la carrera judicial, </w:t>
      </w:r>
      <w:r>
        <w:lastRenderedPageBreak/>
        <w:t xml:space="preserve">percibiendo estos el complemento de destino previsto para los magistrados del gabinete técnico del Tribunal Supremo. A </w:t>
      </w:r>
      <w:r w:rsidRPr="003754FE">
        <w:rPr>
          <w:i/>
        </w:rPr>
        <w:t>sensu contrario</w:t>
      </w:r>
      <w:r>
        <w:t>, los letrados coordinadores que no procedan de la carrera judicial percibirán el complemento correspondiente a los letrados de la administración de justicia de Sala del Tribunal Supremo.</w:t>
      </w:r>
    </w:p>
    <w:p w14:paraId="42C8E331" w14:textId="77777777" w:rsidR="003754FE" w:rsidRDefault="003754FE" w:rsidP="003754FE">
      <w:pPr>
        <w:pStyle w:val="TextoNormal"/>
      </w:pPr>
    </w:p>
    <w:p w14:paraId="2749CC48" w14:textId="77777777" w:rsidR="003754FE" w:rsidRDefault="003754FE" w:rsidP="003754FE">
      <w:pPr>
        <w:pStyle w:val="TextoNormal"/>
      </w:pPr>
      <w:r>
        <w:t xml:space="preserve">b) El auto señala, a los efectos del art. 35 de la Ley Orgáncia del Tribunal Constitucional (LOTC), que el precepto cuestionado resulta determinante para la resolución del procedimiento </w:t>
      </w:r>
      <w:r w:rsidRPr="003754FE">
        <w:rPr>
          <w:i/>
        </w:rPr>
        <w:t>a quo</w:t>
      </w:r>
      <w:r>
        <w:t>, ya que la recurrente es letrada coordinadora del gabinete técnico del Tribunal Supremo no procedente de la carrera judicial, y percibió inicialmente, desde su nombramiento, el mismo complemento de destino que el resto de letrados coordinadores, procedentes de la carrera judicial, hasta que la Dirección General para el Servicio Público de Justicia, aduciendo la existencia de un error material, le dejó de abonar el mismo complemento de destino que a los otros letrados coordinadores, exigiendo además el reintegro de lo que consideraba indebidamente percibido. Por consiguiente, de juzgarse inconstitucional el precepto, por vulnerar el principio de igualdad consagrado en el art. 14 CE, en su vertiente de igualdad retributiva, consecuencia del principio de acceso en condiciones de igualdad a las funciones y cargos públicos, con los requisitos que señalen las leyes (art. 23.2 CE), habría de estimarse el recurso, declarando la nulidad del requerimiento de devolución de ingresos indebidos así como el derecho de la actora a percibir las diferencias no abonadas por complemento de destino de junio de 2021 a enero de 2022. Por el contrario, de considerarse constitucional el precepto, los recursos de la actora habrían de ser desestimados.</w:t>
      </w:r>
    </w:p>
    <w:p w14:paraId="7B0D27E3" w14:textId="77777777" w:rsidR="003754FE" w:rsidRDefault="003754FE" w:rsidP="003754FE">
      <w:pPr>
        <w:pStyle w:val="TextoNormal"/>
      </w:pPr>
    </w:p>
    <w:p w14:paraId="2BF41604" w14:textId="77777777" w:rsidR="003754FE" w:rsidRDefault="003754FE" w:rsidP="003754FE">
      <w:pPr>
        <w:pStyle w:val="TextoNormal"/>
      </w:pPr>
      <w:r>
        <w:t>c) Añade la Sala que en el procedimiento no se ha cuestionado la identidad de funciones de los letrados coordinadores, procedan o no de la carrera judicial, radicando la razón de la diferencia retributiva, exclusivamente, en el hecho de pertenecer o no a dicha carrera. Señala que la relevancia del derecho a la igualdad retributiva, como expresión del principio de igualdad ante la ley, ha sido reconocida por el Tribunal Constitucional, citando las SSTC 161/1991, de 18 de julio, y 36/2011, de 28 de marzo. Además, este establecimiento de un distinto régimen retributivo, por razón de la pertenencia o no del funcionario a la carrera judicial, podría afectar al art. 23.2 CE ya que esa diferencia, no basada en el contenido funcional del puesto, afectaría al derecho a acceder en condiciones de igualdad a las funciones y cargos públicos.</w:t>
      </w:r>
    </w:p>
    <w:p w14:paraId="0AE54A7B" w14:textId="77777777" w:rsidR="003754FE" w:rsidRDefault="003754FE" w:rsidP="003754FE">
      <w:pPr>
        <w:pStyle w:val="TextoNormal"/>
      </w:pPr>
    </w:p>
    <w:p w14:paraId="0714A3A0" w14:textId="49841D17" w:rsidR="003754FE" w:rsidRDefault="003754FE" w:rsidP="003754FE">
      <w:pPr>
        <w:pStyle w:val="TextoNormal"/>
      </w:pPr>
      <w:r>
        <w:t>d) En definitiva, pone de relieve el órgano judicial que, siendo preciso determinar si por ley pueden establecerse distintas retribuciones complementarias para un mismo puesto, dependientes del cuerpo de origen del funcionario, le surge la duda sobre la constitucionalidad del art. 23 LDPJ, por lo cual considera que procede plantear la cuestión de inconstitucionalidad en relación con dicho precepto por su posible contradicción con lo previsto en los arts. 14 y 23 CE.</w:t>
      </w:r>
    </w:p>
    <w:p w14:paraId="4068D0F7" w14:textId="77777777" w:rsidR="003754FE" w:rsidRDefault="003754FE" w:rsidP="003754FE">
      <w:pPr>
        <w:pStyle w:val="TextoNormal"/>
      </w:pPr>
    </w:p>
    <w:p w14:paraId="07790540" w14:textId="54A29158" w:rsidR="003754FE" w:rsidRDefault="003754FE" w:rsidP="003754FE">
      <w:pPr>
        <w:pStyle w:val="TextoNormal"/>
      </w:pPr>
      <w:r w:rsidRPr="003754FE">
        <w:rPr>
          <w:rStyle w:val="NumeroAFNegritaCaracter"/>
        </w:rPr>
        <w:t>4</w:t>
      </w:r>
      <w:r>
        <w:t>. Mediante escrito de 27 de mayo de 2024, el magistrado don César Tolosa Tribiño, de acuerdo con lo previsto en los arts. 217 y 221 LOPJ, en relación con el art. 80 LOTC, comunicó su voluntad de abstenerse en el conocimiento de la presente cuestión de inconstitucionalidad, por entender que concurrían las causas establecidas en el art. 219.12, 13 y 16 LOPJ. Por ATC 56/2024, de 4 de junio, el Pleno de este tribunal acordó estimar justificada la abstención formulada por el magistrado don César Tolosa Tribiño en la presente cuestión de inconstitucionalidad, apartándole definitivamente del conocimiento de la misma.</w:t>
      </w:r>
    </w:p>
    <w:p w14:paraId="7768E339" w14:textId="77777777" w:rsidR="003754FE" w:rsidRDefault="003754FE" w:rsidP="003754FE">
      <w:pPr>
        <w:pStyle w:val="TextoNormal"/>
      </w:pPr>
    </w:p>
    <w:p w14:paraId="31F19F15" w14:textId="3B6A2D33" w:rsidR="003754FE" w:rsidRDefault="003754FE" w:rsidP="003754FE">
      <w:pPr>
        <w:pStyle w:val="TextoNormal"/>
      </w:pPr>
      <w:r w:rsidRPr="003754FE">
        <w:rPr>
          <w:rStyle w:val="NumeroAFNegritaCaracter"/>
        </w:rPr>
        <w:lastRenderedPageBreak/>
        <w:t>5</w:t>
      </w:r>
      <w:r>
        <w:t>. Por providencia de 4 de junio de 2024, el Pleno de este tribunal, a propuesta de la Sección Primera, acordó admitir a trámite la cuestión de inconstitucionalidad, reservándose su conocimiento, y dar traslado de las actuaciones recibidas, conforme establece el art. 37.3 LOTC, al Congreso de los Diputados y al Senado, por conducto de sus presidencias, al Gobierno, a través del ministro de Justicia, y al fiscal general del Estado, al objeto de que, en el plazo de quince días, pudieran personarse en el procedimiento y formular alegaciones. Asimismo, se acordó comunicar dicha resolución a la Sección Séptima de la Sala de lo Contencioso-Administrativo del Tribunal Superior de Justicia de Madrid a fin de que, de conformidad con lo dispuesto en el art. 35.3 LOTC, permanezca suspendido el proceso hasta que este tribunal resuelva definitivamente la presente cuestión, y publicar la incoación del procedimiento en el “Boletín Oficial del Estado”, lo que se verificó en el núm. 139, de 8 de junio de 2024.</w:t>
      </w:r>
    </w:p>
    <w:p w14:paraId="15F4440F" w14:textId="77777777" w:rsidR="003754FE" w:rsidRDefault="003754FE" w:rsidP="003754FE">
      <w:pPr>
        <w:pStyle w:val="TextoNormal"/>
      </w:pPr>
    </w:p>
    <w:p w14:paraId="79F73C31" w14:textId="0597845B" w:rsidR="003754FE" w:rsidRDefault="003754FE" w:rsidP="003754FE">
      <w:pPr>
        <w:pStyle w:val="TextoNormal"/>
      </w:pPr>
      <w:r w:rsidRPr="003754FE">
        <w:rPr>
          <w:rStyle w:val="NumeroAFNegritaCaracter"/>
        </w:rPr>
        <w:t>6</w:t>
      </w:r>
      <w:r>
        <w:t>. Por escritos registrados los días 12 y 20 de junio de 2024, las presidencias del Congreso de los Diputados y del Senado, respectivamente, comunicaron los acuerdos adoptados por sus mesas de personarse en el presente proceso constitucional, ofreciendo su colaboración a los efectos del art. 88.1 LOTC.</w:t>
      </w:r>
    </w:p>
    <w:p w14:paraId="174BEDAE" w14:textId="77777777" w:rsidR="003754FE" w:rsidRDefault="003754FE" w:rsidP="003754FE">
      <w:pPr>
        <w:pStyle w:val="TextoNormal"/>
      </w:pPr>
    </w:p>
    <w:p w14:paraId="1116E22A" w14:textId="77777777" w:rsidR="003754FE" w:rsidRDefault="003754FE" w:rsidP="003754FE">
      <w:pPr>
        <w:pStyle w:val="TextoNormal"/>
      </w:pPr>
      <w:r w:rsidRPr="003754FE">
        <w:rPr>
          <w:rStyle w:val="NumeroAFNegritaCaracter"/>
        </w:rPr>
        <w:t>7</w:t>
      </w:r>
      <w:r>
        <w:t>. Con fecha 27 de junio de 2024 tuvo entrada en este tribunal el escrito de alegaciones del abogado del Estado, en el que solicitó la desestimación de la presente cuestión de inconstitucionalidad. Observa, ante todo, que, tratándose de un reproche de igualdad en la ley en materia de funcionarios públicos, la eventual lesión ha de examinarse en el contexto del art. 23.2 CE y no del art. 14 CE, de acuerdo con la reiterada doctrina constitucional que señala que el citado art. 23.2 CE especifica el derecho a la igualdad en el seno de la relación especial de sujeción, a no ser que el tratamiento diferenciado controvertido se deba a alguno de los criterios expresamente mencionados en el art. 14 CE, que no es el caso. Por otra parte, habiendo optado la Constitución por un régimen estatutario para los servidores públicos (art. 103 CE), es la ley la que configura el régimen jurídico en el que nace y se desenvuelve la condición de funcionario, ordenando su posición propia en el seno de la administración (STC 176/2015, de 22 de julio). Ese estatuto comprende lo relativo a la adquisición y pérdida de la condición de funcionario, los requisitos y condiciones para la promoción interna dentro de la carrera administrativa, las situaciones que en ella puedan darse, los derechos, deberes y responsabilidades de los funcionarios, y su régimen disciplinario.</w:t>
      </w:r>
    </w:p>
    <w:p w14:paraId="333B1773" w14:textId="77777777" w:rsidR="003754FE" w:rsidRDefault="003754FE" w:rsidP="003754FE">
      <w:pPr>
        <w:pStyle w:val="TextoNormal"/>
      </w:pPr>
    </w:p>
    <w:p w14:paraId="65FD8BAF" w14:textId="551536ED" w:rsidR="003754FE" w:rsidRDefault="003754FE" w:rsidP="003754FE">
      <w:pPr>
        <w:pStyle w:val="TextoNormal"/>
      </w:pPr>
      <w:r>
        <w:t>En este caso, el requisito de proceder de la carrera judicial para que el letrado tenga asignado un complemento de destino distinto, de mayor cuantía, no constituye una diferencia arbitraria, sino que resulta ser un “plus” de conocimiento práctico de las necesidades ejecutivas que requiere el funcionamiento de un gabinete de un órgano jurisdiccional precisamente. En beneficio o apoyo de la función jurisdiccional que, aunque puede ser realizada por cualquiera que pertenezca a un cuerpo o carrera de naturaleza jurídica, sin embargo, la pertenencia a la carrera judicial puede suponer ese “plus” de mimetismo o valoración de cada una de las actividades, de su desempeño en cuanto a actuación material o administrativa de un órgano jurisdiccional. De ahí, probablemente, la preferencia del legislador para atraer a miembros de dicha carrera al desempeño del puesto de letrado coordinador, con el reconocimiento de ese incentivo de un mayor complemento de destino. Por tanto, la exigencia legal no es en este caso vulneradora del principio de igualdad general ni de su plasmación o traducción al acceso a los cargos públicos (art. 23.2 CE).</w:t>
      </w:r>
    </w:p>
    <w:p w14:paraId="6C941B26" w14:textId="77777777" w:rsidR="003754FE" w:rsidRDefault="003754FE" w:rsidP="003754FE">
      <w:pPr>
        <w:pStyle w:val="TextoNormal"/>
      </w:pPr>
    </w:p>
    <w:p w14:paraId="698A1DA5" w14:textId="77777777" w:rsidR="003754FE" w:rsidRDefault="003754FE" w:rsidP="003754FE">
      <w:pPr>
        <w:pStyle w:val="TextoNormal"/>
      </w:pPr>
      <w:r w:rsidRPr="003754FE">
        <w:rPr>
          <w:rStyle w:val="NumeroAFNegritaCaracter"/>
        </w:rPr>
        <w:t>8</w:t>
      </w:r>
      <w:r>
        <w:t xml:space="preserve">. El fiscal general del Estado presentó su escrito de alegaciones el 10 de julio de 2024, en el que solicitó la estimación de la cuestión de inconstitucionalidad. Tras exponer los antecedentes del caso, así como los argumentos del auto de planteamiento de la cuestión, señala el fiscal general del Estado que de la norma cuestionada se desprende que los letrados del gabinete técnico que ejerzan funciones de coordinación y no pertenezcan a la carrera judicial perciben las mismas retribuciones que los letrados no coordinadores, y que únicamente los letrados que cumplan el doble requisito de ejercer funciones de coordinación y pertenecer a la carrera judicial percibirán las retribuciones previstas en el anexo II.2 de la Ley 15/2003, de 26 de mayo, reguladora del régimen retributivo de las carreras judicial y fiscal (en adelante, Ley 15/2003), para los magistrados del Gabinete Técnico del Tribunal Supremo, norma de la que se desprende que las diferencias retributivas existentes entre los letrados que ejercen funciones de coordinación, según procedan o no de la carrera judicial, se circunscriben a determinados conceptos de retribuciones complementarias —sin afectar ni a las retribuciones básicas ni a los trienios—, pudiendo cifrarse aproximadamente en unos 2000 € mensuales. Asimismo, hace referencia al certificado obrante en las actuaciones remitidas, firmado por el director del Gabinete Técnico del Tribunal Supremo y por el letrado coordinador de dicho gabinete, director del área contencioso-administrativa, del que resulta que las funciones y cometidos realizados y que sigue desempeñando desde su nombramiento como letrada coordinadora la recurrente en el procedimiento </w:t>
      </w:r>
      <w:r w:rsidRPr="003754FE">
        <w:rPr>
          <w:i/>
        </w:rPr>
        <w:t>a quo</w:t>
      </w:r>
      <w:r>
        <w:t>, así como las responsabilidades que ha asumido y continúa asumiendo en dicho cargo son las mismas que realizan y asumen los demás letrados coordinadores, sin ninguna distinción, diferenciación o matiz por el hecho de que no provenga de la carrera judicial.</w:t>
      </w:r>
    </w:p>
    <w:p w14:paraId="045A4C60" w14:textId="77777777" w:rsidR="003754FE" w:rsidRDefault="003754FE" w:rsidP="003754FE">
      <w:pPr>
        <w:pStyle w:val="TextoNormal"/>
      </w:pPr>
    </w:p>
    <w:p w14:paraId="721187CB" w14:textId="77777777" w:rsidR="003754FE" w:rsidRDefault="003754FE" w:rsidP="003754FE">
      <w:pPr>
        <w:pStyle w:val="TextoNormal"/>
      </w:pPr>
      <w:r>
        <w:t>Para el análisis de la cuestión, se refiere el escrito de alegaciones a la doctrina sentada en la STC 161/1991, citada en el auto de planteamiento, y que plasma los siguientes principios: (i) la administración pública debe actuar en sus relaciones jurídicas con sometimiento pleno a la ley y al Derecho (art. 103.1 CE), con una interdicción expresa de arbitrariedad (art. 9.3 CE). Por ello, está sujeta al principio de igualdad ante la ley que concede a las personas el derecho subjetivo de alcanzar de los poderes públicos un trato idéntico para supuestos iguales; (ii) en los casos de desigualdad retributiva es preciso determinar si resulta discriminatoria y, en consecuencia, inconstitucional, lo que depende de que se dé realmente la pretendida identidad de situaciones de unos y otros y, una vez afirmada dicha identidad, de que no exista justificación suficiente para el trato desigual.</w:t>
      </w:r>
    </w:p>
    <w:p w14:paraId="26274FF0" w14:textId="77777777" w:rsidR="003754FE" w:rsidRDefault="003754FE" w:rsidP="003754FE">
      <w:pPr>
        <w:pStyle w:val="TextoNormal"/>
      </w:pPr>
    </w:p>
    <w:p w14:paraId="2F195C7F" w14:textId="77777777" w:rsidR="003754FE" w:rsidRDefault="003754FE" w:rsidP="003754FE">
      <w:pPr>
        <w:pStyle w:val="TextoNormal"/>
      </w:pPr>
      <w:r>
        <w:t xml:space="preserve">A partir de dicha doctrina, afirma el fiscal que en este caso se constata que: (i) existe plena igualdad de retribuciones de los letrados que no desempeñan funciones de coordinación, tanto si proceden de la carrera judicial como de otros cuerpos de diferentes administraciones; (ii) el acceso a las funciones de letrado coordinador no está reservado a miembros de la carrera judicial, sino que se prevé una simple preferencia de estos, no concretada normativamente; (iii) las funciones de los letrados coordinadores son en todo caso idénticas; y (iv) existe una diferencia de retribuciones entre los letrados coordinadores procedentes de la carrera judicial y los letrados coordinadores que proceden de otros cuerpos, sin que exista ninguna norma que explique o justifique dicha diferencia retributiva, especialmente cuando el art. 61 </w:t>
      </w:r>
      <w:r w:rsidRPr="003754FE">
        <w:rPr>
          <w:i/>
        </w:rPr>
        <w:t>bis</w:t>
      </w:r>
      <w:r>
        <w:t xml:space="preserve"> LOPJ permite que se designe letrado coordinador a persona no perteneciente a la carrera judicial, ya que únicamente prevé una preferencia y no exclusividad para dicha designación de los miembros de la carrera judicial.</w:t>
      </w:r>
    </w:p>
    <w:p w14:paraId="08C5E436" w14:textId="77777777" w:rsidR="003754FE" w:rsidRDefault="003754FE" w:rsidP="003754FE">
      <w:pPr>
        <w:pStyle w:val="TextoNormal"/>
      </w:pPr>
    </w:p>
    <w:p w14:paraId="6F8B3460" w14:textId="08E2909F" w:rsidR="003754FE" w:rsidRDefault="003754FE" w:rsidP="003754FE">
      <w:pPr>
        <w:pStyle w:val="TextoNormal"/>
      </w:pPr>
      <w:r>
        <w:lastRenderedPageBreak/>
        <w:t>Todo lo anterior evidencia, a juicio del fiscal, que la diferencia retributiva de los letrados coordinadores del Gabinete Técnico del Tribunal Supremo procedentes de la carrera judicial frente a los que pertenecen a otros cuerpos no resulta justificada, por lo que la norma cuestionada es inconstitucional como contraria al principio de igualdad, tanto desde la perspectiva del art. 14 como del art. 23 CE. Respecto al alcance de dicha inconstitucionalidad, se precisa que es lógico que un letrado coordinador perciba mayores retribuciones que un letrado no coordinador y que debe garantizarse la igualdad retributiva entre letrados coordinadores, para lo que considera que basta con expulsar el inciso “y que además pertenezcan a la carrera judicial”.</w:t>
      </w:r>
    </w:p>
    <w:p w14:paraId="11F9CC70" w14:textId="77777777" w:rsidR="003754FE" w:rsidRDefault="003754FE" w:rsidP="003754FE">
      <w:pPr>
        <w:pStyle w:val="TextoNormal"/>
      </w:pPr>
    </w:p>
    <w:p w14:paraId="13DCBEB0" w14:textId="168C2D0C" w:rsidR="003754FE" w:rsidRDefault="003754FE" w:rsidP="003754FE">
      <w:pPr>
        <w:pStyle w:val="TextoNormal"/>
      </w:pPr>
      <w:r w:rsidRPr="003754FE">
        <w:rPr>
          <w:rStyle w:val="NumeroAFNegritaCaracter"/>
        </w:rPr>
        <w:t>9</w:t>
      </w:r>
      <w:r>
        <w:t>. Mediante providencia de 22 de octubre de 2024, se señaló para deliberación y votación de la presente sentencia el día 23 del mismo mes y año.</w:t>
      </w:r>
    </w:p>
    <w:p w14:paraId="5CBE2274" w14:textId="77777777" w:rsidR="003754FE" w:rsidRDefault="003754FE" w:rsidP="003754FE">
      <w:pPr>
        <w:pStyle w:val="TextoNormal"/>
      </w:pPr>
    </w:p>
    <w:p w14:paraId="57764C11" w14:textId="77777777" w:rsidR="003754FE" w:rsidRDefault="003754FE" w:rsidP="003754FE">
      <w:pPr>
        <w:pStyle w:val="TextoNormalNegritaCentrado"/>
        <w:keepNext/>
      </w:pPr>
      <w:r>
        <w:t>II. Fundamentos jurídicos</w:t>
      </w:r>
    </w:p>
    <w:p w14:paraId="01CB1EEB" w14:textId="686DCD9F" w:rsidR="003754FE" w:rsidRDefault="003754FE" w:rsidP="003754FE">
      <w:pPr>
        <w:pStyle w:val="TextoNormalNegritaCentrado"/>
        <w:keepNext/>
      </w:pPr>
    </w:p>
    <w:p w14:paraId="212BE0AF" w14:textId="77777777" w:rsidR="003754FE" w:rsidRDefault="003754FE" w:rsidP="003754FE">
      <w:pPr>
        <w:pStyle w:val="TextoNormal"/>
      </w:pPr>
      <w:r w:rsidRPr="003754FE">
        <w:rPr>
          <w:rStyle w:val="NumeroAFNegritaCaracter"/>
        </w:rPr>
        <w:t>1</w:t>
      </w:r>
      <w:r>
        <w:t xml:space="preserve">. </w:t>
      </w:r>
      <w:r w:rsidRPr="003754FE">
        <w:rPr>
          <w:i/>
        </w:rPr>
        <w:t>Objeto del procedimiento y posiciones de las partes</w:t>
      </w:r>
    </w:p>
    <w:p w14:paraId="515304F4" w14:textId="77777777" w:rsidR="003754FE" w:rsidRDefault="003754FE" w:rsidP="003754FE">
      <w:pPr>
        <w:pStyle w:val="TextoNormal"/>
      </w:pPr>
    </w:p>
    <w:p w14:paraId="67797220" w14:textId="77777777" w:rsidR="003754FE" w:rsidRDefault="003754FE" w:rsidP="003754FE">
      <w:pPr>
        <w:pStyle w:val="TextoNormal"/>
      </w:pPr>
      <w:r>
        <w:t>La Sección Séptima de la Sala de lo Contencioso-Administrativo del Tribunal Superior de Justicia de Madrid plantea cuestión de inconstitucionalidad en relación con el art. 23 LDPJ, cuyo tenor [en la redacción dada por la disposición final primera apartado segundo de la Ley Orgánica 7/2015, de 21 de julio, por la que se modifica la Ley Orgánica 6/1985, de 1 de julio, del Poder Judicial (en adelante, Ley Orgánica 7/2015)] es el siguiente:</w:t>
      </w:r>
    </w:p>
    <w:p w14:paraId="06504579" w14:textId="77777777" w:rsidR="003754FE" w:rsidRDefault="003754FE" w:rsidP="003754FE">
      <w:pPr>
        <w:pStyle w:val="TextoNormal"/>
      </w:pPr>
    </w:p>
    <w:p w14:paraId="741ABC26" w14:textId="77777777" w:rsidR="003754FE" w:rsidRDefault="003754FE" w:rsidP="003754FE">
      <w:pPr>
        <w:pStyle w:val="TextoNormal"/>
      </w:pPr>
      <w:r>
        <w:t>“Artículo 23</w:t>
      </w:r>
    </w:p>
    <w:p w14:paraId="5FC2D345" w14:textId="77777777" w:rsidR="003754FE" w:rsidRDefault="003754FE" w:rsidP="003754FE">
      <w:pPr>
        <w:pStyle w:val="TextoNormal"/>
      </w:pPr>
    </w:p>
    <w:p w14:paraId="5D2C869D" w14:textId="77777777" w:rsidR="003754FE" w:rsidRDefault="003754FE" w:rsidP="003754FE">
      <w:pPr>
        <w:pStyle w:val="TextoNormal"/>
      </w:pPr>
      <w:r>
        <w:t xml:space="preserve">Las retribuciones de los letrados al servicio del Gabinete Técnico del Tribunal Supremo serán las correspondientes a un letrado de la administración de justicia de Sala del Tribunal Supremo. No obstante, los letrados que desarrollen labores de coordinación conforme a lo previsto en el apartado 4 del artículo 61 </w:t>
      </w:r>
      <w:r w:rsidRPr="003754FE">
        <w:rPr>
          <w:i/>
        </w:rPr>
        <w:t>bis</w:t>
      </w:r>
      <w:r>
        <w:t xml:space="preserve"> de la Ley Orgánica 6/1985, de 1 de julio, del Poder Judicial, y que además pertenezcan a la carrera judicial, percibirán las previstas en el Anexo II.2 de la Ley 15/2003 para los magistrados del Gabinete Técnico del Tribunal Supremo”.</w:t>
      </w:r>
    </w:p>
    <w:p w14:paraId="61CCF369" w14:textId="77777777" w:rsidR="003754FE" w:rsidRDefault="003754FE" w:rsidP="003754FE">
      <w:pPr>
        <w:pStyle w:val="TextoNormal"/>
      </w:pPr>
    </w:p>
    <w:p w14:paraId="097663F4" w14:textId="77777777" w:rsidR="003754FE" w:rsidRDefault="003754FE" w:rsidP="003754FE">
      <w:pPr>
        <w:pStyle w:val="TextoNormal"/>
      </w:pPr>
      <w:r>
        <w:t>El órgano judicial considera que el precepto cuestionado podría vulnerar los arts. 14 y 23 CE, al contemplar un distinto régimen retributivo para los letrados coordinadores del gabinete técnico del Tribunal Supremo no basado en el contenido funcional del puesto, ya que las funciones que realizan son idénticas, sino por razón de la pertenencia o no del funcionario a la carrera judicial.</w:t>
      </w:r>
    </w:p>
    <w:p w14:paraId="000DE912" w14:textId="77777777" w:rsidR="003754FE" w:rsidRDefault="003754FE" w:rsidP="003754FE">
      <w:pPr>
        <w:pStyle w:val="TextoNormal"/>
      </w:pPr>
    </w:p>
    <w:p w14:paraId="083A9B40" w14:textId="65EE59F6" w:rsidR="003754FE" w:rsidRDefault="003754FE" w:rsidP="003754FE">
      <w:pPr>
        <w:pStyle w:val="TextoNormal"/>
      </w:pPr>
      <w:r>
        <w:t>El abogado del Estado ha solicitado la desestimación de la cuestión, sosteniendo que la diferencia retributiva no es arbitraria, puesto que la pertenencia a la carrera judicial constituye un plus de conocimiento práctico de las necesidades ejecutivas que requiere el funcionamiento de un gabinete de un órgano jurisdiccional. Por su parte, el fiscal general del Estado ha interesado la estimación de la cuestión, al entender que el establecimiento de esa diferencia retributiva entre los letrados coordinadores del Gabinete Técnico del Tribunal Supremo, en función de su procedencia o no de la carrera judicial, no resulta justificada, vulnerándose los preceptos constitucionales invocados en el auto de planteamiento.</w:t>
      </w:r>
    </w:p>
    <w:p w14:paraId="44E4D664" w14:textId="77777777" w:rsidR="003754FE" w:rsidRDefault="003754FE" w:rsidP="003754FE">
      <w:pPr>
        <w:pStyle w:val="TextoNormal"/>
      </w:pPr>
    </w:p>
    <w:p w14:paraId="0BE76DE6" w14:textId="77777777" w:rsidR="003754FE" w:rsidRDefault="003754FE" w:rsidP="003754FE">
      <w:pPr>
        <w:pStyle w:val="TextoNormal"/>
      </w:pPr>
      <w:r w:rsidRPr="003754FE">
        <w:rPr>
          <w:rStyle w:val="NumeroAFNegritaCaracter"/>
        </w:rPr>
        <w:t>2</w:t>
      </w:r>
      <w:r>
        <w:t xml:space="preserve">. </w:t>
      </w:r>
      <w:r w:rsidRPr="003754FE">
        <w:rPr>
          <w:i/>
        </w:rPr>
        <w:t>Doctrina sobre el principio de igualdad contenido en el art. 23.2 CE</w:t>
      </w:r>
    </w:p>
    <w:p w14:paraId="05161DAF" w14:textId="77777777" w:rsidR="003754FE" w:rsidRDefault="003754FE" w:rsidP="003754FE">
      <w:pPr>
        <w:pStyle w:val="TextoNormal"/>
      </w:pPr>
    </w:p>
    <w:p w14:paraId="33FE8368" w14:textId="77777777" w:rsidR="003754FE" w:rsidRDefault="003754FE" w:rsidP="003754FE">
      <w:pPr>
        <w:pStyle w:val="TextoNormal"/>
      </w:pPr>
      <w:r>
        <w:t>Lo que se plantea en la presente cuestión de inconstitucionalidad es un problema estricto de igualdad en la ley entre funcionarios públicos, por lo que la problemática constitucional que anida en ella habrá de ser abordada desde la perspectiva del art. 23.2 CE, ya que, como es doctrina reiterada de este tribunal, la referencia a la igualdad que en este último se contiene incorpora y absorbe la prohibición de trato desigual establecida por el art. 14 CE (por todas, SSTC 200/1991, de 28 de octubre, FJ 2, y 63/2004, de 19 de abril, FJ 2), pues el art. 23.2 CE, “al reconocer a los ciudadanos el derecho a acceder en condiciones de igualdad a los cargos y funciones públicas con los requisitos que señalen las leyes, concreta el principio general de igualdad en el ámbito de la función pública” (STC 99/1999, de 31 de mayo, FJ 4), y es este, por tanto, el precepto que habrá de ser considerado de modo directo para apreciar si el acto o la resolución impugnados han desconocido el principio de igualdad (SSTC 24/1989, de 2 de febrero, FJ 2; 154/2003, de 17 de julio, FJ 5, y 192/2007, de 10 de septiembre, FJ 3); cuando menos, siempre que la diferenciación no se deba a algunos de los criterios de discriminación expresamente impedidos por el art. 14 CE [STC 236/2015, de 19 de noviembre, FJ 8 b)].</w:t>
      </w:r>
    </w:p>
    <w:p w14:paraId="20069B66" w14:textId="77777777" w:rsidR="003754FE" w:rsidRDefault="003754FE" w:rsidP="003754FE">
      <w:pPr>
        <w:pStyle w:val="TextoNormal"/>
      </w:pPr>
    </w:p>
    <w:p w14:paraId="02E6F016" w14:textId="77777777" w:rsidR="003754FE" w:rsidRDefault="003754FE" w:rsidP="003754FE">
      <w:pPr>
        <w:pStyle w:val="TextoNormal"/>
      </w:pPr>
      <w:r>
        <w:t>Por consiguiente, para la resolución de la duda de constitucionalidad que nos ha sido sometida, se hace preciso partir de la doctrina jurisprudencial relativa al derecho consagrado en el art. 23.2 CE, de acuerdo con la cual se trata de un derecho de configuración legal, correspondiendo al legislador delimitar el mismo y establecer los criterios que permitan el acceso a las funciones públicas en condiciones de igualdad, lo que supone que las normas reguladoras del proceso selectivo han de asegurar a los ciudadanos una situación jurídica de igualdad en el acceso a las funciones públicas, con la inmediata interdicción de requisitos de acceso que tengan carácter discriminatorio, o de referencias individualizadas. En suma, el art. 23.2 CE garantiza que las normas que regulan dichos procesos no establezcan diferencias entre los participantes carentes de justificación objetiva y razonable y que no sean desproporcionadas, que los requisitos de acceso y criterios de selección se dispongan en términos generales y abstractos, y, además, que estén referidos a los principios de mérito y capacidad (STC 27/2012, de 1 de marzo, FJ 5).</w:t>
      </w:r>
    </w:p>
    <w:p w14:paraId="2417799E" w14:textId="77777777" w:rsidR="003754FE" w:rsidRDefault="003754FE" w:rsidP="003754FE">
      <w:pPr>
        <w:pStyle w:val="TextoNormal"/>
      </w:pPr>
    </w:p>
    <w:p w14:paraId="67EE2A57" w14:textId="77777777" w:rsidR="003754FE" w:rsidRDefault="003754FE" w:rsidP="003754FE">
      <w:pPr>
        <w:pStyle w:val="TextoNormal"/>
      </w:pPr>
      <w:r>
        <w:t>En lo que importa a los efectos de la presente cuestión, hay que añadir que el derecho a la igualdad tiene un carácter general que comprende a los servidores públicos y actúa tanto en el acceso a la función pública como a lo largo de la duración de la relación funcionarial, de modo que los ciudadanos no deben ser discriminados para el empleo público o una vez incorporados a la función pública (SSTC 75/1983, de 3 de agosto, FJ 3, y 37/2004, de 11 de marzo, FJ 3), siendo aplicable el principio de igualdad, por tanto, a los actos posteriores al acceso (STC 192/1991, de 14 de octubre, FJ 4).</w:t>
      </w:r>
    </w:p>
    <w:p w14:paraId="127CFDF7" w14:textId="77777777" w:rsidR="003754FE" w:rsidRDefault="003754FE" w:rsidP="003754FE">
      <w:pPr>
        <w:pStyle w:val="TextoNormal"/>
      </w:pPr>
    </w:p>
    <w:p w14:paraId="1BEA22B9" w14:textId="77777777" w:rsidR="003754FE" w:rsidRDefault="003754FE" w:rsidP="003754FE">
      <w:pPr>
        <w:pStyle w:val="TextoNormal"/>
      </w:pPr>
      <w:r>
        <w:t xml:space="preserve">Por otro lado, se ha de recordar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w:t>
      </w:r>
      <w:r>
        <w:lastRenderedPageBreak/>
        <w:t>regulación que, al incluirlas, incurre en arbitrariedad y es por eso discriminatoria” (STC 125/2003, de 19 de junio, FJ 4).</w:t>
      </w:r>
    </w:p>
    <w:p w14:paraId="1E1D4A1E" w14:textId="77777777" w:rsidR="003754FE" w:rsidRDefault="003754FE" w:rsidP="003754FE">
      <w:pPr>
        <w:pStyle w:val="TextoNormal"/>
      </w:pPr>
    </w:p>
    <w:p w14:paraId="2B7AD168" w14:textId="77777777" w:rsidR="003754FE" w:rsidRDefault="003754FE" w:rsidP="003754FE">
      <w:pPr>
        <w:pStyle w:val="TextoNormal"/>
      </w:pPr>
      <w:r>
        <w:t xml:space="preserve">Ahora bien, también es de advertir, siguiendo lo dicho en la STC 110/2004, de 30 de junio, «“que, según se ha observado en la STC 128/1994, de 5 de mayo: ‘el principio de igualdad, que vincula al legislador, no impide que este establezca diferencias de trato, siempre que encuentren una justificación objetiva y razonable, valorada en atención a las finalidades que se persiguen por la ley y a la adecuación de medios a fines entre aquellas y estas (STC 22/1981). Y ha tenido ocasión de reiterar, también, que esta libertad de implantación de diferencias de trato se aprecia con mayor intensidad aún en relación con estructuras de creación legal, donde la norma, que las crea, puede apreciar diferencias relevantes fundadas en el régimen abstracto diseñado por ella misma (STC 7/1984, FJ 2, por todas)’ (STC 80/2003, de 28 de abril, FJ 3)”». Ninguna duda cabe de que esta última consideración es relevante en la cuestión que ahora nos ocupa, dado que, como hemos señalado en otras ocasiones, las administraciones públicas disfrutan “de un amplio margen de actuación a la hora de consolidar, modificar o completar sus estructuras y de configurar o concretar organizativamente el </w:t>
      </w:r>
      <w:r w:rsidRPr="003754FE">
        <w:rPr>
          <w:i/>
        </w:rPr>
        <w:t>status</w:t>
      </w:r>
      <w:r>
        <w:t xml:space="preserve"> del personal a su servicio […]”, y la “discriminación entre estas estructuras que son creación del Derecho y pueden quedar definidas por la presencia de muy diversos factores, de existir, únicamente derivará de la aplicación por la Administración de criterios de diferenciación que no resulten objetivos ni generales (SSTC 7/1984; 68/1989, 77/1990 y 48/1992)” (STC 293/1993, de 18 de octubre, FJ 3).</w:t>
      </w:r>
    </w:p>
    <w:p w14:paraId="68135AF2" w14:textId="77777777" w:rsidR="003754FE" w:rsidRDefault="003754FE" w:rsidP="003754FE">
      <w:pPr>
        <w:pStyle w:val="TextoNormal"/>
      </w:pPr>
    </w:p>
    <w:p w14:paraId="64946776" w14:textId="77777777" w:rsidR="003754FE" w:rsidRDefault="003754FE" w:rsidP="003754FE">
      <w:pPr>
        <w:pStyle w:val="TextoNormal"/>
      </w:pPr>
      <w:r>
        <w:t>Por lo que se refiere a la igualdad en el ámbito retributivo, la doctrina constitucional recuerda que la igualdad de trato que impone el art. 14 CE en las relaciones laborales no es absoluta, pues la eficacia en este ámbito del principio de la autonomía de la voluntad deja un margen en el que el acuerdo privado o la decisión unilateral del empresario, en ejercicio de sus poderes de organización de la empresa, puede libremente disponer la retribución del trabajador, respetando los mínimos legales o convencionales. Por tanto, en la medida en que la diferencia salarial no tenga un significado discriminatorio, por incidir en alguna de las causas prohibidas por la Constitución o el texto refundido de la Ley del estatuto de los trabajadores, aprobado por el Real Decreto Legislativo 2/2015, de 23 de octubre, no puede considerarse como vulneradora del principio de igualdad (SSTC 34/1984, de 9 de marzo, FJ 2; 2/1998, de 12 de enero, FJ 2; 74/1998, de 31 de marzo, FJ 2; 119/2002, de 20 de mayo, FJ 6, y 39/2003, de 27 de febrero, FJ 4).</w:t>
      </w:r>
    </w:p>
    <w:p w14:paraId="63E4800A" w14:textId="77777777" w:rsidR="003754FE" w:rsidRDefault="003754FE" w:rsidP="003754FE">
      <w:pPr>
        <w:pStyle w:val="TextoNormal"/>
      </w:pPr>
    </w:p>
    <w:p w14:paraId="0E372845" w14:textId="77777777" w:rsidR="003754FE" w:rsidRDefault="003754FE" w:rsidP="003754FE">
      <w:pPr>
        <w:pStyle w:val="TextoNormal"/>
      </w:pPr>
      <w:r>
        <w:t>No obstante, “cuando la empleadora es la administración pública, esta no se rige en sus relaciones jurídicas por el principio de la autonomía de la voluntad, sino que debe actuar con sometimiento pleno a la ley y al Derecho (art. 103.1 CE), con interdicción expresa de la arbitrariedad (art. 9.3 CE). Como poder público que es, está sujeta al principio de igualdad ante la ley que concede a las personas el derecho subjetivo de alcanzar de los poderes públicos un trato igual para supuestos iguales” (STC 34/2004, de 8 de marzo, FJ 3). En los supuestos en los que se produzca una desigualdad retributiva es necesario determinar si esa diferenciación resulta discriminatoria y, en consecuencia, inconstitucional, lo cual, a su vez, depende de que se dé realmente la identidad de situaciones entre unos y otros funcionarios y, una vez afirmada dicha identidad, de que no exista justificación suficiente para el trato desigual (STC 161/1991, FJ 2).</w:t>
      </w:r>
    </w:p>
    <w:p w14:paraId="165D00FC" w14:textId="77777777" w:rsidR="003754FE" w:rsidRDefault="003754FE" w:rsidP="003754FE">
      <w:pPr>
        <w:pStyle w:val="TextoNormal"/>
      </w:pPr>
    </w:p>
    <w:p w14:paraId="1FD95490" w14:textId="77777777" w:rsidR="003754FE" w:rsidRDefault="003754FE" w:rsidP="003754FE">
      <w:pPr>
        <w:pStyle w:val="TextoNormal"/>
      </w:pPr>
      <w:r>
        <w:lastRenderedPageBreak/>
        <w:t>Partiendo de la anterior doctrina, este tribunal ha precisado que la simple constatación de la diferencia retributiva entre dos cuerpos no puede servir de fundamento suficiente para sustentar en amparo una queja de vulneración del principio de igualdad (STC 77/1990, FJ 3), y que no hay norma jurídica alguna, ni siquiera el art. 14 CE, en virtud de la cual todas las categorías de funcionarios con igual titulación hayan de tener asignado un mismo coeficiente multiplicador, porque la unidad del título por sí sola no asegura la identidad de circunstancias ni es el único elemento que el legislador puede tomar en consideración (STC 99/1984, de 5 de noviembre, FFJJ 2 y 3). Asimismo, se ha afirmado que la titulación exigida para el ingreso en un cuerpo no es el único criterio objetivo que el legislador o la Administración puede ponderar a efectos retributivos de los distintos cuerpos de funcionarios, pues cabe contemplar también otros factores de diferenciación como son las distintas exigencias de preparación, responsabilidad, intensidad de la dedicación, heterogeneidad de los asuntos a resolver, etc. (ATC 581/1984, de 10 de octubre, FJ 4). Tampoco basta con que las tareas asignadas a dos cuerpos distintos sean reglamentariamente definidas en términos análogos o casi idénticos, ya que es obvio que esa definición se hará siempre por referencia a las estructuras administrativas en que dichos funcionarios se inserten, y estas pueden ser muy diversas en su complejidad (ATC 376/1984, de 20 de junio, FJ único).</w:t>
      </w:r>
    </w:p>
    <w:p w14:paraId="2F9BC15D" w14:textId="77777777" w:rsidR="003754FE" w:rsidRDefault="003754FE" w:rsidP="003754FE">
      <w:pPr>
        <w:pStyle w:val="TextoNormal"/>
      </w:pPr>
    </w:p>
    <w:p w14:paraId="49088E05" w14:textId="0F696370" w:rsidR="003754FE" w:rsidRDefault="003754FE" w:rsidP="003754FE">
      <w:pPr>
        <w:pStyle w:val="TextoNormal"/>
      </w:pPr>
      <w:r>
        <w:t>Por último, se ha de recordar que, según es doctrina constitucional consolidada, el legislador dispone de un notable margen de configuración a la hora de establecer las retribuciones complementarias de los funcionarios, sin que ello suponga una quiebra del principio de igualdad, siempre que exista una causa objetiva razonable que justifique esa diferencia de trato a la luz de los principios de mérito y capacidad (STC 202/2003, de 17 de noviembre, FJ 12).</w:t>
      </w:r>
    </w:p>
    <w:p w14:paraId="186BD66D" w14:textId="77777777" w:rsidR="003754FE" w:rsidRDefault="003754FE" w:rsidP="003754FE">
      <w:pPr>
        <w:pStyle w:val="TextoNormal"/>
      </w:pPr>
    </w:p>
    <w:p w14:paraId="4D00EB23" w14:textId="77777777" w:rsidR="003754FE" w:rsidRDefault="003754FE" w:rsidP="003754FE">
      <w:pPr>
        <w:pStyle w:val="TextoNormal"/>
      </w:pPr>
      <w:r w:rsidRPr="003754FE">
        <w:rPr>
          <w:rStyle w:val="NumeroAFNegritaCaracter"/>
        </w:rPr>
        <w:t>3</w:t>
      </w:r>
      <w:r>
        <w:t xml:space="preserve">. </w:t>
      </w:r>
      <w:r w:rsidRPr="003754FE">
        <w:rPr>
          <w:i/>
        </w:rPr>
        <w:t>Examen de la duda de constitucionalidad al amparo de la anterior doctrina: estimación</w:t>
      </w:r>
    </w:p>
    <w:p w14:paraId="19064E0E" w14:textId="77777777" w:rsidR="003754FE" w:rsidRDefault="003754FE" w:rsidP="003754FE">
      <w:pPr>
        <w:pStyle w:val="TextoNormal"/>
      </w:pPr>
    </w:p>
    <w:p w14:paraId="19516D58" w14:textId="77777777" w:rsidR="003754FE" w:rsidRDefault="003754FE" w:rsidP="003754FE">
      <w:pPr>
        <w:pStyle w:val="TextoNormal"/>
      </w:pPr>
      <w:r>
        <w:t>Una vez expuesta la anterior doctrina, estamos en condiciones de abordar la duda de constitucionalidad formulada por el órgano judicial en relación con el art. 23 LDPJ, que, como ya ha quedado reseñado, se fundamenta en la desigualdad retributiva que dicho precepto establece para los letrados coordinadores del gabinete técnico del Tribunal Supremo.</w:t>
      </w:r>
    </w:p>
    <w:p w14:paraId="1BCD1C87" w14:textId="77777777" w:rsidR="003754FE" w:rsidRDefault="003754FE" w:rsidP="003754FE">
      <w:pPr>
        <w:pStyle w:val="TextoNormal"/>
      </w:pPr>
    </w:p>
    <w:p w14:paraId="34AFC9D7" w14:textId="77777777" w:rsidR="003754FE" w:rsidRDefault="003754FE" w:rsidP="003754FE">
      <w:pPr>
        <w:pStyle w:val="TextoNormal"/>
      </w:pPr>
      <w:r>
        <w:t xml:space="preserve">El citado art. 23 determina que las retribuciones de los letrados al servicio del gabinete técnico del Tribunal Supremo serán las correspondientes a los letrados de la administración de justicia de Sala del Tribunal Supremo, pero precisa que los letrados que desarrollen labores de coordinación conforme a lo previsto en el art. 61 </w:t>
      </w:r>
      <w:r w:rsidRPr="003754FE">
        <w:rPr>
          <w:i/>
        </w:rPr>
        <w:t>bis</w:t>
      </w:r>
      <w:r>
        <w:t xml:space="preserve">.4 LOPJ, “y que además pertenezcan a la carrera judicial, percibirán las previstas en el Anexo II.2 de la Ley 15/2003 para los magistrados del Gabinete Técnico del Tribunal Supremo”. El Anexo II.2 de la Ley 15/2003 establece la cuantía del complemento de destino de los miembros de la carrera judicial, entre otros, de los magistrados del gabinete técnico del Tribunal Supremo, cuya percepción dentro de dicho gabinete queda condicionada, por tanto, a la concurrencia de dos circunstancias: (i) desarrollar funciones de coordinación, de acuerdo con lo dispuesto en el art. 61 </w:t>
      </w:r>
      <w:r w:rsidRPr="003754FE">
        <w:rPr>
          <w:i/>
        </w:rPr>
        <w:t>bis</w:t>
      </w:r>
      <w:r>
        <w:t xml:space="preserve">.4 LOPJ; (ii) pertenecer a la carrera judicial. Consiguientemente, dentro del gabinete técnico del Tribunal Supremo, los letrados que no cumplan conjuntamente esas dos condiciones percibirán ese complemento de destino en la cuantía establecida para los letrados de la administración de justicia de Sala del Tribunal Supremo, aunque hayan sido nombrados letrados coordinadores, lo que, como resulta de las actuaciones del </w:t>
      </w:r>
      <w:r>
        <w:lastRenderedPageBreak/>
        <w:t xml:space="preserve">procedimiento </w:t>
      </w:r>
      <w:r w:rsidRPr="003754FE">
        <w:rPr>
          <w:i/>
        </w:rPr>
        <w:t>a quo</w:t>
      </w:r>
      <w:r>
        <w:t xml:space="preserve"> remitidas por el órgano promotor, supone una diferencia en las retribuciones por complemento de destino en torno a 2200 € mensuales entre los letrados coordinadores procedentes de la carrera judicial y los que proceden de otros cuerpos.</w:t>
      </w:r>
    </w:p>
    <w:p w14:paraId="4449F893" w14:textId="77777777" w:rsidR="003754FE" w:rsidRDefault="003754FE" w:rsidP="003754FE">
      <w:pPr>
        <w:pStyle w:val="TextoNormal"/>
      </w:pPr>
    </w:p>
    <w:p w14:paraId="1303C8E0" w14:textId="77777777" w:rsidR="003754FE" w:rsidRDefault="003754FE" w:rsidP="003754FE">
      <w:pPr>
        <w:pStyle w:val="TextoNormal"/>
      </w:pPr>
      <w:r>
        <w:t xml:space="preserve">Según el art. 61 </w:t>
      </w:r>
      <w:r w:rsidRPr="003754FE">
        <w:rPr>
          <w:i/>
        </w:rPr>
        <w:t>bis</w:t>
      </w:r>
      <w:r>
        <w:t xml:space="preserve"> LOPJ, el gabinete técnico del Tribunal Supremo asistirá a la Presidencia y a las diferentes salas en los procesos de admisión de los asuntos de que conozcan y mediante la elaboración de estudios e informes que se le soliciten (apartado primero). El Gabinete estará integrado por un director y por miembros de la carrera judicial y otros juristas que ostentarán la denominación de letrados del gabinete técnico (apartado segundo). Esta última referencia a quiénes pueden ser letrados del gabinete técnico se concreta en el art. 61 </w:t>
      </w:r>
      <w:r w:rsidRPr="003754FE">
        <w:rPr>
          <w:i/>
        </w:rPr>
        <w:t>quater</w:t>
      </w:r>
      <w:r>
        <w:t>, que determina que su selección se producirá mediante concurso de méritos, disponiendo en su apartado segundo que los letrados que no pertenezcan a la carrera judicial o fiscal “deberán ser funcionarios del cuerpo de letrados de la administración de justicia o funcionarios de las administraciones públicas u órganos constitucionales, con titulación en Derecho, pertenecientes a cuerpos del subgrupo A1 o asimilados”. Así pues, las plazas de letrados del gabinete técnico no están reservadas a miembros de la carrera judicial, ya que pueden serlo otros funcionarios, debiendo destacarse que, aparte de fiscales o letrados de la administración de justicia, pueden optar a esas plazas los que tengan titulación en Derecho y pertenezcan a cuerpos del subgrupo A1 o asimilados.</w:t>
      </w:r>
    </w:p>
    <w:p w14:paraId="4BB9A197" w14:textId="77777777" w:rsidR="003754FE" w:rsidRDefault="003754FE" w:rsidP="003754FE">
      <w:pPr>
        <w:pStyle w:val="TextoNormal"/>
      </w:pPr>
    </w:p>
    <w:p w14:paraId="5892C9F7" w14:textId="77777777" w:rsidR="003754FE" w:rsidRDefault="003754FE" w:rsidP="003754FE">
      <w:pPr>
        <w:pStyle w:val="TextoNormal"/>
      </w:pPr>
      <w:r>
        <w:t xml:space="preserve">De acuerdo con el apartado tercero del art. 61 </w:t>
      </w:r>
      <w:r w:rsidRPr="003754FE">
        <w:rPr>
          <w:i/>
        </w:rPr>
        <w:t>bis</w:t>
      </w:r>
      <w:r>
        <w:t xml:space="preserve"> LOPJ, la organización del trabajo en el gabinete técnico se estructura en tantas áreas como órdenes jurisdiccionales, adscribiéndose los letrados en función de su especialización profesional. El apartado cuarto del mismo precepto contempla la existencia en cada área de uno o varios letrados del gabinete técnico que asuman funciones de coordinación de los miembros del gabinete que la integren, y que se designarán por el presidente del Tribunal Supremo “preferentemente de entre los letrados que pertenezcan a la carrera judicial, y deberán tener una antigüedad mínima de diez años en el ejercicio de su respectiva profesión”. Es decir, que los letrados que asuman funciones de coordinación no necesariamente tienen que ser pertenecientes a la carrera judicial, a pesar de que la ley manifieste una preferencia por estos, lo que implica que pueden desempeñar esas funciones los que pertenezcan a cualesquiera otros cuerpos de los mencionados en el art. 61 </w:t>
      </w:r>
      <w:r w:rsidRPr="003754FE">
        <w:rPr>
          <w:i/>
        </w:rPr>
        <w:t>quater</w:t>
      </w:r>
      <w:r>
        <w:t xml:space="preserve">.2 LOPJ. En suma, los letrados del gabinete técnico, con independencia del cuerpo funcionarial del que procedan, pueden desempeñar funciones de coordinación, siempre que cumplan las exigencias del art. 61 </w:t>
      </w:r>
      <w:r w:rsidRPr="003754FE">
        <w:rPr>
          <w:i/>
        </w:rPr>
        <w:t>bis</w:t>
      </w:r>
      <w:r>
        <w:t xml:space="preserve">.4 LOPJ y obtengan el debido nombramiento. Se ha de observar, además, que la Ley Orgánica del Poder Judicial no establece ninguna diferencia en cuanto al ejercicio de esas funciones de coordinación en atención al cuerpo de pertenencia de quien las desempeñe, ni distingue diversas categorías entre los letrados que desempeñan las tareas de coordinación, por lo que el elemento nuclear para resolver la duda de constitucionalidad es, en este caso concreto, el de las funciones que se desempeñan, debiendo entenderse que tales funciones, así como las cargas y las responsabilidades que se ejercen, son iguales para todos los letrados coordinadores, con independencia de su procedencia. Así consta certificado, además, en las actuaciones del procedimiento </w:t>
      </w:r>
      <w:r w:rsidRPr="003754FE">
        <w:rPr>
          <w:i/>
        </w:rPr>
        <w:t>a quo</w:t>
      </w:r>
      <w:r>
        <w:t xml:space="preserve"> por el director del gabinete técnico del Tribunal Supremo.</w:t>
      </w:r>
    </w:p>
    <w:p w14:paraId="4692AB9A" w14:textId="77777777" w:rsidR="003754FE" w:rsidRDefault="003754FE" w:rsidP="003754FE">
      <w:pPr>
        <w:pStyle w:val="TextoNormal"/>
      </w:pPr>
    </w:p>
    <w:p w14:paraId="1161D638" w14:textId="77777777" w:rsidR="003754FE" w:rsidRDefault="003754FE" w:rsidP="003754FE">
      <w:pPr>
        <w:pStyle w:val="TextoNormal"/>
      </w:pPr>
      <w:r>
        <w:t xml:space="preserve">En consecuencia, atendiendo al único elemento objetivo que nos ofrece la regulación del gabinete técnico del Tribunal Supremo, podemos considerar que las situaciones entre las que se introduce la diferencia de trato retributivo por dicho precepto son iguales, pues se refieren a letrados que desempeñan funciones de coordinación de igual contenido, de </w:t>
      </w:r>
      <w:r>
        <w:lastRenderedPageBreak/>
        <w:t xml:space="preserve">acuerdo con lo dispuesto en el art. 61 </w:t>
      </w:r>
      <w:r w:rsidRPr="003754FE">
        <w:rPr>
          <w:i/>
        </w:rPr>
        <w:t>bis</w:t>
      </w:r>
      <w:r>
        <w:t>.4 LOPJ. Por tanto, desde nuestra perspectiva de análisis, es preciso determinar si la diferencia retributiva a que puede dar lugar la aplicación del art. 23 LDPJ tiene una justificación objetiva y razonable.</w:t>
      </w:r>
    </w:p>
    <w:p w14:paraId="21FCBDB3" w14:textId="77777777" w:rsidR="003754FE" w:rsidRDefault="003754FE" w:rsidP="003754FE">
      <w:pPr>
        <w:pStyle w:val="TextoNormal"/>
      </w:pPr>
    </w:p>
    <w:p w14:paraId="6D531398" w14:textId="77777777" w:rsidR="003754FE" w:rsidRDefault="003754FE" w:rsidP="003754FE">
      <w:pPr>
        <w:pStyle w:val="TextoNormal"/>
      </w:pPr>
      <w:r>
        <w:t>Si partimos de la igualdad de funciones de todos los letrados coordinadores, no parece que tenga justificación la diferencia retributiva a la que conduce el precepto cuestionado. El art. 23 LDPJ no atiende a la estructura retributiva de cada uno de los cuerpos de procedencia de los letrados coordinadores, sino que, al margen de su categoría de juez o magistrado, a todos los letrados coordinadores del gabinete técnico que pertenezcan a la carrera judicial, y solo a ellos, les reconoce el complemento de destino establecido para los magistrados del gabinete técnico del Tribunal Supremo, mientras que no contempla ninguna otra regla retributiva específica para quienes pertenezcan a otros cuerpos.</w:t>
      </w:r>
    </w:p>
    <w:p w14:paraId="1A83497A" w14:textId="77777777" w:rsidR="003754FE" w:rsidRDefault="003754FE" w:rsidP="003754FE">
      <w:pPr>
        <w:pStyle w:val="TextoNormal"/>
      </w:pPr>
    </w:p>
    <w:p w14:paraId="1455A1CE" w14:textId="77777777" w:rsidR="003754FE" w:rsidRDefault="003754FE" w:rsidP="003754FE">
      <w:pPr>
        <w:pStyle w:val="TextoNormal"/>
      </w:pPr>
      <w:r>
        <w:t>Ha de significarse que la mejora retributiva de los miembros de la carrera judicial que accedan a la condición de letrados coordinadores del gabinete técnico del Tribunal Supremo se refiere al complemento de destino que tenían asignado los magistrados de dicho gabinete, de acuerdo con el Anexo II.2 de la Ley 15/2003, cuya cuantía es de 3085,61 € por el grupo de población y de 2015,34 € por representación. Y, según resulta de la misma ley, el complemento de destino es una retribución fija y complementaria (art. 3), que se asigna en atención a la plaza que se desempeña, teniendo en cuenta el grupo de población en el que se integra la plaza, las condiciones objetivas de representación vinculadas al cargo desempeñado y otras circunstancias especiales asociadas al destino (art. 5). Esto es, se trata de un complemento asociado al puesto de trabajo que se ocupa y a otras circunstancias del destino, pero que no atiende a las circunstancias personales del funcionario que lo ocupa, por lo que, por un lado, no está justificada la diferenciación en atención a los cuerpos de origen, y, por otro, no se aventura ningún obstáculo —ni se desprende de la regulación del gabinete técnico del Tribunal Supremo contenida en la Ley Orgánica del Poder Judicial o de los términos del art. 23 LDPJ— que impida extender ese complemento de destino a otros funcionarios que, ocupando las plazas de letrado coordinador y desempeñando las mismas funciones, no pertenezcan a la carrera judicial.</w:t>
      </w:r>
    </w:p>
    <w:p w14:paraId="420A06B5" w14:textId="77777777" w:rsidR="003754FE" w:rsidRDefault="003754FE" w:rsidP="003754FE">
      <w:pPr>
        <w:pStyle w:val="TextoNormal"/>
      </w:pPr>
    </w:p>
    <w:p w14:paraId="24183E1A" w14:textId="77777777" w:rsidR="003754FE" w:rsidRDefault="003754FE" w:rsidP="003754FE">
      <w:pPr>
        <w:pStyle w:val="TextoNormal"/>
      </w:pPr>
      <w:r>
        <w:t xml:space="preserve">El preámbulo de la Ley Orgánica 7/2015 —que dio al art. 23 LDPJ la redacción cuestionada— no explica la razón de esta diferencia de trato, lo que habría sido especialmente necesario, habida cuenta de la nueva organización del gabinete técnico operada en virtud de la misma ley orgánica, como consecuencia de la cual ha quedado suprimida la reserva en exclusiva de las funciones de coordinación a favor de los magistrados integrados en el gabinete técnico (según resultaba de la redacción del art. 23 LDPJ introducida por la Ley Orgánica 19/2003, de 23 de diciembre, de modificación de la Ley Orgánica 6/1985, de 1 de julio, del Poder Judicial), a pesar de que la ley manifieste una preferencia a favor de los integrantes de la carrera judicial, que no es obstativa para los funcionarios de otros cuerpos, como ya se ha expuesto. En consecuencia, actualmente, se establece una diferenciación retributiva entre funcionarios que realizan idénticos cometidos, en atención a sus cuerpos de procedencia, pues no se incluye una previsión similar para los letrados que desempeñen las funciones de coordinadores y que no pertenezcan a la carrera judicial, a los que se deja con las retribuciones de un letrado de la administración de justicia de Sala del Tribunal Supremo, es decir, con las mismas que perciben los letrados al servicio del gabinete técnico que no son coordinadores. Y ese diferente régimen no puede considerarse razonable, por conducir </w:t>
      </w:r>
      <w:r>
        <w:lastRenderedPageBreak/>
        <w:t>a una evidente discriminación entre funcionarios que ocupan los mismos puestos y realizan idénticas funciones, sin que exista una explicación objetiva que lo justifique.</w:t>
      </w:r>
    </w:p>
    <w:p w14:paraId="67AF9D38" w14:textId="77777777" w:rsidR="003754FE" w:rsidRDefault="003754FE" w:rsidP="003754FE">
      <w:pPr>
        <w:pStyle w:val="TextoNormal"/>
      </w:pPr>
    </w:p>
    <w:p w14:paraId="399D7E6D" w14:textId="50F7CC20" w:rsidR="003754FE" w:rsidRDefault="003754FE" w:rsidP="003754FE">
      <w:pPr>
        <w:pStyle w:val="TextoNormal"/>
      </w:pPr>
      <w:r>
        <w:t>Por consiguiente, hemos de concluir que el art. 23 LOPJ, en la redacción dada por la disposición final primera apartado segundo de la Ley Orgánica 7/2015, vulnera el art. 23.2 CE, por lo que se ha de declarar inconstitucional y nulo.</w:t>
      </w:r>
    </w:p>
    <w:p w14:paraId="49DFC4FE" w14:textId="77777777" w:rsidR="003754FE" w:rsidRDefault="003754FE" w:rsidP="003754FE">
      <w:pPr>
        <w:pStyle w:val="TextoNormal"/>
      </w:pPr>
    </w:p>
    <w:p w14:paraId="6182EAF6" w14:textId="77777777" w:rsidR="003754FE" w:rsidRDefault="003754FE" w:rsidP="003754FE">
      <w:pPr>
        <w:pStyle w:val="TextoNormal"/>
      </w:pPr>
      <w:r w:rsidRPr="003754FE">
        <w:rPr>
          <w:rStyle w:val="NumeroAFNegritaCaracter"/>
        </w:rPr>
        <w:t>4</w:t>
      </w:r>
      <w:r>
        <w:t xml:space="preserve">. </w:t>
      </w:r>
      <w:r w:rsidRPr="003754FE">
        <w:rPr>
          <w:i/>
        </w:rPr>
        <w:t>Alcance de la declaración de inconstitucionalidad</w:t>
      </w:r>
    </w:p>
    <w:p w14:paraId="2B190992" w14:textId="77777777" w:rsidR="003754FE" w:rsidRDefault="003754FE" w:rsidP="003754FE">
      <w:pPr>
        <w:pStyle w:val="TextoNormal"/>
      </w:pPr>
    </w:p>
    <w:p w14:paraId="7D7FDB62" w14:textId="6DA556EF" w:rsidR="003754FE" w:rsidRDefault="003754FE" w:rsidP="003754FE">
      <w:pPr>
        <w:pStyle w:val="TextoNormal"/>
      </w:pPr>
      <w:r>
        <w:t xml:space="preserve">La declaración de inconstitucionalidad y nulidad no ha de afectar a la integridad del precepto cuestionado. Como bien ha señalado el fiscal general del Estado en su escrito de alegaciones, los letrados al servicio del gabinete técnico del Tribunal Supremo tienen una equiparación salarial plena, de modo que la parte del precepto que se refiere a ellos, además de no resultar aplicable en el procedimiento </w:t>
      </w:r>
      <w:r w:rsidRPr="003754FE">
        <w:rPr>
          <w:i/>
        </w:rPr>
        <w:t>a quo</w:t>
      </w:r>
      <w:r>
        <w:t xml:space="preserve"> (salvo porque esas son las retribuciones que se venían reconociendo a la allí recurrente), no supone una quiebra del principio de igualdad. Asimismo, la lógica impone que un letrado coordinador tenga unas retribuciones superiores a las que perciben los letrados del gabinete técnico que no realicen funciones de coordinación, atendidas las mayores responsabilidades que asumen, y, puesto que se trata de garantizar que todos los letrados coordinadores perciban iguales retribuciones en cuanto al puesto desempeñado, dada la identidad de sus funciones, basta a tal fin con declarar inconstitucional y nulo el inciso “y que además pertenezcan a la carrera judicial”.</w:t>
      </w:r>
    </w:p>
    <w:p w14:paraId="08895A79" w14:textId="77777777" w:rsidR="003754FE" w:rsidRDefault="003754FE" w:rsidP="003754FE">
      <w:pPr>
        <w:pStyle w:val="TextoNormal"/>
      </w:pPr>
    </w:p>
    <w:p w14:paraId="41B4F389" w14:textId="77777777" w:rsidR="003754FE" w:rsidRDefault="003754FE" w:rsidP="003754FE">
      <w:pPr>
        <w:pStyle w:val="TextoNormalCentrado"/>
        <w:keepNext/>
      </w:pPr>
      <w:r>
        <w:t>FALLO</w:t>
      </w:r>
    </w:p>
    <w:p w14:paraId="4BB3EDED" w14:textId="50BB6F98" w:rsidR="003754FE" w:rsidRDefault="003754FE" w:rsidP="003754FE">
      <w:pPr>
        <w:pStyle w:val="TextoNormalCentrado"/>
        <w:keepNext/>
      </w:pPr>
    </w:p>
    <w:p w14:paraId="563BB45C" w14:textId="7F04CCA0" w:rsidR="003754FE" w:rsidRDefault="003754FE" w:rsidP="003754FE">
      <w:pPr>
        <w:pStyle w:val="TextoNormal"/>
      </w:pPr>
      <w:r>
        <w:t>En atención a todo lo expuesto, el Tribunal Constitucional, por la autoridad que le confiere la Constitución de la Nación española, ha decidido estimar la presente cuestión de inconstitucionalidad y, en consecuencia, declarar inconstitucional y nulo el inciso “y que además pertenezcan a la carrera judicial” del art. 23 de la Ley 38/1988, de 28 de diciembre, de demarcación y de planta judicial, en la redacción dada por la disposición final primera apartado segundo de la Ley Orgánica 7/2015, de 21 de julio.</w:t>
      </w:r>
    </w:p>
    <w:p w14:paraId="6E71A158" w14:textId="77777777" w:rsidR="003754FE" w:rsidRDefault="003754FE" w:rsidP="003754FE">
      <w:pPr>
        <w:pStyle w:val="TextoNormal"/>
      </w:pPr>
    </w:p>
    <w:p w14:paraId="201ED0AE" w14:textId="77777777" w:rsidR="003754FE" w:rsidRDefault="003754FE" w:rsidP="003754FE">
      <w:pPr>
        <w:pStyle w:val="TextoNormal"/>
      </w:pPr>
      <w:r>
        <w:t>Publíquese esta sentencia en el “Boletín Oficial del Estado”.</w:t>
      </w:r>
    </w:p>
    <w:p w14:paraId="63CC73CD" w14:textId="77777777" w:rsidR="003754FE" w:rsidRDefault="003754FE" w:rsidP="003754FE">
      <w:pPr>
        <w:pStyle w:val="TextoNormal"/>
      </w:pPr>
      <w:r>
        <w:t>Dada en Madrid, a veintitrés de octubre de dos mil veinticuatro.</w:t>
      </w:r>
    </w:p>
    <w:p w14:paraId="1027C8A3" w14:textId="6148C4B8" w:rsidR="003754FE" w:rsidRDefault="003754FE">
      <w:pPr>
        <w:spacing w:after="160" w:line="278" w:lineRule="auto"/>
        <w:rPr>
          <w:rFonts w:ascii="Times New Roman" w:eastAsia="Times New Roman" w:hAnsi="Times New Roman" w:cs="Times New Roman"/>
          <w:sz w:val="24"/>
          <w:szCs w:val="24"/>
          <w:lang w:eastAsia="es-ES"/>
        </w:rPr>
      </w:pPr>
      <w:r>
        <w:br w:type="page"/>
      </w:r>
    </w:p>
    <w:p w14:paraId="2079D450" w14:textId="77777777" w:rsidR="003754FE" w:rsidRDefault="003754FE" w:rsidP="003754FE">
      <w:pPr>
        <w:pStyle w:val="TtuloResolucin"/>
      </w:pPr>
      <w:bookmarkStart w:id="41" w:name="SENTENCIA_2024_132"/>
      <w:r>
        <w:lastRenderedPageBreak/>
        <w:t>SENTENCIA 132/2024, de 4 de noviembre de 2024</w:t>
      </w:r>
    </w:p>
    <w:bookmarkEnd w:id="41"/>
    <w:p w14:paraId="721B55DE" w14:textId="77777777" w:rsidR="003754FE" w:rsidRDefault="003754FE" w:rsidP="003754FE">
      <w:pPr>
        <w:pStyle w:val="TtuloResolucin"/>
      </w:pPr>
      <w:r>
        <w:t>Sala Segunda</w:t>
      </w:r>
    </w:p>
    <w:p w14:paraId="77397EE9" w14:textId="77777777" w:rsidR="003754FE" w:rsidRDefault="003754FE" w:rsidP="003754FE">
      <w:pPr>
        <w:pStyle w:val="TtuloBOE"/>
      </w:pPr>
      <w:r>
        <w:t>(BOE núm. 294, de 6 de diciembre de 2024)</w:t>
      </w:r>
    </w:p>
    <w:p w14:paraId="173A6FCC" w14:textId="77777777" w:rsidR="003754FE" w:rsidRDefault="003754FE" w:rsidP="003754FE">
      <w:pPr>
        <w:pStyle w:val="TextoNormalCentrado"/>
      </w:pPr>
      <w:r>
        <w:t>ECLI:ES:TC:2024:132</w:t>
      </w:r>
    </w:p>
    <w:p w14:paraId="29447D87" w14:textId="4390708B" w:rsidR="003754FE" w:rsidRDefault="003754FE" w:rsidP="003754FE">
      <w:pPr>
        <w:pStyle w:val="TextoNormalCentrado"/>
      </w:pPr>
    </w:p>
    <w:p w14:paraId="071AD78C" w14:textId="77777777" w:rsidR="003754FE" w:rsidRDefault="003754FE" w:rsidP="003754FE">
      <w:pPr>
        <w:pStyle w:val="SntesisDescriptiva"/>
      </w:pPr>
      <w:r>
        <w:t>Recurso de amparo 1128-2022. Promovido por doña María Teresita Laborda Sanz en relación con la sentencia de la Sala de lo Civil del Tribunal Supremo que desestimó, en casación, su impugnación de un precepto de los estatutos de la Pontificia, Real y Venerable Esclavitud del Santísimo Cristo de La Laguna.</w:t>
      </w:r>
    </w:p>
    <w:p w14:paraId="2113F1E3" w14:textId="6DBD02A1" w:rsidR="003754FE" w:rsidRDefault="003754FE" w:rsidP="003754FE">
      <w:pPr>
        <w:pStyle w:val="SntesisDescriptiva"/>
      </w:pPr>
    </w:p>
    <w:p w14:paraId="7015F006" w14:textId="77777777" w:rsidR="003754FE" w:rsidRDefault="003754FE" w:rsidP="003754FE">
      <w:pPr>
        <w:pStyle w:val="SntesisAnaltica"/>
      </w:pPr>
      <w:r>
        <w:t>Vulneración de los derechos a la no discriminación por razón de género y de asociación: ingreso de mujeres en una cofradía que ostenta una posición de dominio en la realización de los actos devocionales. Votos particulares.</w:t>
      </w:r>
    </w:p>
    <w:p w14:paraId="6EC70AE7" w14:textId="64FA442A" w:rsidR="003754FE" w:rsidRDefault="003754FE" w:rsidP="003754FE">
      <w:pPr>
        <w:pStyle w:val="SntesisAnaltica"/>
      </w:pPr>
    </w:p>
    <w:p w14:paraId="60650A05" w14:textId="0FF665EE" w:rsidR="003754FE" w:rsidRDefault="003754FE" w:rsidP="003754FE">
      <w:pPr>
        <w:pStyle w:val="Extracto"/>
      </w:pPr>
      <w:r>
        <w:t>1.</w:t>
      </w:r>
      <w:r>
        <w:tab/>
        <w:t xml:space="preserve">La libertad religiosa, por cuanto derecho subjetivo, tiene una doble dimensión, interna y externa: La libertad religiosa garantiza la existencia de un claustro íntimo de creencias y, por tanto, un espacio de autodeterminación intelectual ante el fenómeno religioso, vinculado a la propia personalidad y dignidad individual. Y, junto a esta dimensión interna, esta libertad incluye también una dimensión externa de </w:t>
      </w:r>
      <w:r w:rsidRPr="003754FE">
        <w:rPr>
          <w:i/>
        </w:rPr>
        <w:t xml:space="preserve">agere licere </w:t>
      </w:r>
      <w:r>
        <w:t>que faculta a los ciudadanos para actuar con arreglo a sus propias convicciones y mantenerlas frente a terceros (SSTC 19/1985 o 177/1996) [FJ 3].</w:t>
      </w:r>
    </w:p>
    <w:p w14:paraId="763D975B" w14:textId="77777777" w:rsidR="003754FE" w:rsidRDefault="003754FE" w:rsidP="003754FE">
      <w:pPr>
        <w:pStyle w:val="Extracto"/>
      </w:pPr>
    </w:p>
    <w:p w14:paraId="5E68321F" w14:textId="5E57BBE8" w:rsidR="003754FE" w:rsidRDefault="003754FE" w:rsidP="003754FE">
      <w:pPr>
        <w:pStyle w:val="Extracto"/>
      </w:pPr>
      <w:r>
        <w:t>2.</w:t>
      </w:r>
      <w:r>
        <w:tab/>
        <w:t>La libertad religiosa implica, entre otras cosas, la libertad de manifestar la propia religión: solo y en privado, o en comunidad con otros, en público y dentro del círculo de aquellos cuya fe uno comparte [FJ 4].</w:t>
      </w:r>
    </w:p>
    <w:p w14:paraId="6BF056D8" w14:textId="77777777" w:rsidR="003754FE" w:rsidRDefault="003754FE" w:rsidP="003754FE">
      <w:pPr>
        <w:pStyle w:val="Extracto"/>
      </w:pPr>
    </w:p>
    <w:p w14:paraId="0AE1FC9F" w14:textId="1AA5138A" w:rsidR="003754FE" w:rsidRDefault="003754FE" w:rsidP="003754FE">
      <w:pPr>
        <w:pStyle w:val="Extracto"/>
      </w:pPr>
      <w:r>
        <w:t>3.</w:t>
      </w:r>
      <w:r>
        <w:tab/>
        <w:t>El Derecho canónico no impide que las mujeres se integren en las hermandades y cofradías; siendo notoria la existencia de cofradías y hermandades que admiten que fieles laicos de ambos sexos puedan pertenecer a ellas [FJ 4].</w:t>
      </w:r>
    </w:p>
    <w:p w14:paraId="65415854" w14:textId="77777777" w:rsidR="003754FE" w:rsidRDefault="003754FE" w:rsidP="003754FE">
      <w:pPr>
        <w:pStyle w:val="Extracto"/>
      </w:pPr>
    </w:p>
    <w:p w14:paraId="2479EBFA" w14:textId="6C9779D1" w:rsidR="003754FE" w:rsidRDefault="003754FE" w:rsidP="003754FE">
      <w:pPr>
        <w:pStyle w:val="Extracto"/>
      </w:pPr>
      <w:r>
        <w:t>4.</w:t>
      </w:r>
      <w:r>
        <w:tab/>
        <w:t>Las asociaciones religiosas están amparadas por el derecho de asociación ex art. 22 CE; y las asociaciones constituidas para fines exclusivamente religiosos se regirán por lo dispuesto en los tratados internacionales y en las leyes específicas, sin perjuicio de la aplicación supletoria de las disposiciones de la Ley Orgánica reguladora del derecho de asociación (art. 1.3, apartado segundo, LODA) [FJ 4].</w:t>
      </w:r>
    </w:p>
    <w:p w14:paraId="6CC2CCEC" w14:textId="77777777" w:rsidR="003754FE" w:rsidRDefault="003754FE" w:rsidP="003754FE">
      <w:pPr>
        <w:pStyle w:val="Extracto"/>
      </w:pPr>
    </w:p>
    <w:p w14:paraId="113333FA" w14:textId="4B758A9D" w:rsidR="003754FE" w:rsidRDefault="003754FE" w:rsidP="003754FE">
      <w:pPr>
        <w:pStyle w:val="Extracto"/>
      </w:pPr>
      <w:r>
        <w:t>5.</w:t>
      </w:r>
      <w:r>
        <w:tab/>
        <w:t>Si bien una asociación privada ostenta el derecho a elegir libremente a quien asocia, esta facultad no puede suponer una discriminación por razón de género cuando la asociación ostente una posición “privilegiada” o “dominante” en el campo económico, cultural, social o profesional; de manera que la no pertenencia a dicha asociación suponga un quebranto objetivo de los intereses de las mujeres en dichos ámbitos (STC 218/1988 y ATC 254/2001) [FJ 4].</w:t>
      </w:r>
    </w:p>
    <w:p w14:paraId="5BB9470F" w14:textId="77777777" w:rsidR="003754FE" w:rsidRDefault="003754FE" w:rsidP="003754FE">
      <w:pPr>
        <w:pStyle w:val="Extracto"/>
      </w:pPr>
    </w:p>
    <w:p w14:paraId="785B0C71" w14:textId="11F6CC4B" w:rsidR="003754FE" w:rsidRDefault="003754FE" w:rsidP="003754FE">
      <w:pPr>
        <w:pStyle w:val="Extracto"/>
      </w:pPr>
      <w:r>
        <w:t>6.</w:t>
      </w:r>
      <w:r>
        <w:tab/>
        <w:t xml:space="preserve">La discriminación por razón del sexo es unánimemente proscrita por la doctrina científica, en la voluntad de terminar con la histórica situación de inferioridad en que, en la vida social y jurídica, se había colocado a la población femenina; pues es ese colectivo el que ha sufrido y aún sufre la relegación social o jurídica </w:t>
      </w:r>
      <w:r>
        <w:lastRenderedPageBreak/>
        <w:t>estructural frente a la que la prohibición de discriminación por razón de sexo (STC 108/2019) [FJ 4].</w:t>
      </w:r>
    </w:p>
    <w:p w14:paraId="0674E902" w14:textId="77777777" w:rsidR="003754FE" w:rsidRDefault="003754FE" w:rsidP="003754FE">
      <w:pPr>
        <w:pStyle w:val="Extracto"/>
      </w:pPr>
    </w:p>
    <w:p w14:paraId="169D620E" w14:textId="352BF7AA" w:rsidR="003754FE" w:rsidRDefault="003754FE" w:rsidP="003754FE">
      <w:pPr>
        <w:pStyle w:val="Extracto"/>
      </w:pPr>
      <w:r>
        <w:t>7.</w:t>
      </w:r>
      <w:r>
        <w:tab/>
        <w:t>Si, debido a la posición de dominio que una asociación religiosa ostenta en la realización de actos devocionales, una mujer no tiene posibilidad de ejercer la misma actividad de culto en otra hermandad o cofradía del municipio, la imposibilidad de ingresar en la mencionada asociación por el simple hecho de ser mujer constituye una discriminación por razón de género prohibida por el art. 14 CE y que no queda tampoco amparada por la libertad de autoorganización ex art. 22 CE [FJ 4].</w:t>
      </w:r>
    </w:p>
    <w:p w14:paraId="232B58D2" w14:textId="77777777" w:rsidR="003754FE" w:rsidRDefault="003754FE" w:rsidP="003754FE">
      <w:pPr>
        <w:pStyle w:val="Extracto"/>
      </w:pPr>
    </w:p>
    <w:p w14:paraId="50A5C4B3" w14:textId="77777777" w:rsidR="003754FE" w:rsidRDefault="003754FE" w:rsidP="003754FE">
      <w:pPr>
        <w:pStyle w:val="Extracto"/>
      </w:pPr>
    </w:p>
    <w:p w14:paraId="2FBB68B2"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AA74595" w14:textId="43FF2F03" w:rsidR="003754FE" w:rsidRDefault="003754FE" w:rsidP="003754FE">
      <w:pPr>
        <w:pStyle w:val="TextoNormal"/>
      </w:pPr>
    </w:p>
    <w:p w14:paraId="5232988F" w14:textId="77777777" w:rsidR="003754FE" w:rsidRDefault="003754FE" w:rsidP="003754FE">
      <w:pPr>
        <w:pStyle w:val="TextoNormalCentrado"/>
        <w:keepNext/>
      </w:pPr>
      <w:r>
        <w:t>EN NOMBRE DEL REY</w:t>
      </w:r>
    </w:p>
    <w:p w14:paraId="4828D02D" w14:textId="60C72064" w:rsidR="003754FE" w:rsidRDefault="003754FE" w:rsidP="003754FE">
      <w:pPr>
        <w:pStyle w:val="TextoNormalCentrado"/>
        <w:keepNext/>
      </w:pPr>
    </w:p>
    <w:p w14:paraId="5A05EF73" w14:textId="77777777" w:rsidR="003754FE" w:rsidRDefault="003754FE" w:rsidP="003754FE">
      <w:pPr>
        <w:pStyle w:val="TextoNormalCentrado"/>
        <w:keepNext/>
      </w:pPr>
    </w:p>
    <w:p w14:paraId="2BFE62AC" w14:textId="77777777" w:rsidR="003754FE" w:rsidRDefault="003754FE" w:rsidP="003754FE">
      <w:pPr>
        <w:pStyle w:val="TextoNormal"/>
      </w:pPr>
      <w:r>
        <w:t>la siguiente</w:t>
      </w:r>
    </w:p>
    <w:p w14:paraId="094F0958" w14:textId="38262FA3" w:rsidR="003754FE" w:rsidRDefault="003754FE" w:rsidP="003754FE">
      <w:pPr>
        <w:pStyle w:val="TextoNormal"/>
      </w:pPr>
    </w:p>
    <w:p w14:paraId="5C6D8573" w14:textId="77777777" w:rsidR="003754FE" w:rsidRDefault="003754FE" w:rsidP="003754FE">
      <w:pPr>
        <w:pStyle w:val="TextoNormalCentrado"/>
        <w:keepNext/>
      </w:pPr>
      <w:r>
        <w:t>SENTENCIA</w:t>
      </w:r>
    </w:p>
    <w:p w14:paraId="7438358F" w14:textId="2B6BAA35" w:rsidR="003754FE" w:rsidRDefault="003754FE" w:rsidP="003754FE">
      <w:pPr>
        <w:pStyle w:val="TextoNormalCentrado"/>
        <w:keepNext/>
      </w:pPr>
    </w:p>
    <w:p w14:paraId="387E7B27" w14:textId="77777777" w:rsidR="003754FE" w:rsidRDefault="003754FE" w:rsidP="003754FE">
      <w:pPr>
        <w:pStyle w:val="TextoNormal"/>
      </w:pPr>
      <w:r>
        <w:t>En el recurso de amparo núm. 1128-2022, promovido por doña María Teresita Laborda Sanz, contra la sentencia de la Sala de lo Civil del Tribunal Supremo de 23 de diciembre de 2021, que estimó el recurso de casación e infracción procesal contra la sentencia de la Sección Primera de la Audiencia Provincial de Santa Cruz de Tenerife, de 22 de diciembre de 2020, confirmatoria de la sentencia del Juzgado de Primera Instancia núm. 2 de Santa Cruz de Tenerife de 11 de marzo de 2020, que había estimado la demanda formulada por la recurrente de declarar la nulidad del art. 1 de los estatutos de la Pontificia, Real y Venerable Esclavitud del Santísimo Cristo de La Laguna. Han intervenido el Obispado de Tenerife y la Pontificia, Real y Venerable Esclavitud del Santísimo Cristo de La Laguna. Ha actuado el Ministerio Fiscal. Ha sido ponente el magistrado don César Tolosa Tribiño.</w:t>
      </w:r>
    </w:p>
    <w:p w14:paraId="74763786" w14:textId="7500BDCE" w:rsidR="003754FE" w:rsidRDefault="003754FE" w:rsidP="003754FE">
      <w:pPr>
        <w:pStyle w:val="TextoNormal"/>
      </w:pPr>
    </w:p>
    <w:p w14:paraId="3A5D9990" w14:textId="77777777" w:rsidR="003754FE" w:rsidRDefault="003754FE" w:rsidP="003754FE">
      <w:pPr>
        <w:pStyle w:val="TextoNormalNegritaCentrado"/>
        <w:keepNext/>
      </w:pPr>
      <w:r>
        <w:t>I. Antecedentes</w:t>
      </w:r>
    </w:p>
    <w:p w14:paraId="2DD90199" w14:textId="791F21B8" w:rsidR="003754FE" w:rsidRDefault="003754FE" w:rsidP="003754FE">
      <w:pPr>
        <w:pStyle w:val="TextoNormalNegritaCentrado"/>
        <w:keepNext/>
      </w:pPr>
    </w:p>
    <w:p w14:paraId="638F34C3" w14:textId="2800FBEF" w:rsidR="003754FE" w:rsidRDefault="003754FE" w:rsidP="003754FE">
      <w:pPr>
        <w:pStyle w:val="TextoNormal"/>
      </w:pPr>
      <w:r w:rsidRPr="003754FE">
        <w:rPr>
          <w:rStyle w:val="NumeroAFNegritaCaracter"/>
        </w:rPr>
        <w:t>1</w:t>
      </w:r>
      <w:r>
        <w:t>. Por escrito que tuvo entrada en este tribunal el día 21 de febrero de 2022, el procurador de los tribunales don Carlos Navarro Gutiérrez, en nombre y representación de doña María Teresita Laborda Sanz, defendida por la letrada doña Andrea Cáceres Ferrer, interpuso recurso de amparo contra la sentencia de la Sala de lo Civil del Tribunal Supremo de 23 de diciembre de 2021 por vulneración del derecho a la igualdad y no discriminación por razón de sexo (art. 14 CE) y del derecho de asociación (art. 22 CE).</w:t>
      </w:r>
    </w:p>
    <w:p w14:paraId="1B9D0683" w14:textId="77777777" w:rsidR="003754FE" w:rsidRDefault="003754FE" w:rsidP="003754FE">
      <w:pPr>
        <w:pStyle w:val="TextoNormal"/>
      </w:pPr>
    </w:p>
    <w:p w14:paraId="408FE6A8" w14:textId="77777777" w:rsidR="003754FE" w:rsidRDefault="003754FE" w:rsidP="003754FE">
      <w:pPr>
        <w:pStyle w:val="TextoNormal"/>
      </w:pPr>
      <w:r w:rsidRPr="003754FE">
        <w:rPr>
          <w:rStyle w:val="NumeroAFNegritaCaracter"/>
        </w:rPr>
        <w:t>2</w:t>
      </w:r>
      <w:r>
        <w:t>. El recurso de amparo tiene su origen en los siguientes antecedentes:</w:t>
      </w:r>
    </w:p>
    <w:p w14:paraId="236A0F2C" w14:textId="77777777" w:rsidR="003754FE" w:rsidRDefault="003754FE" w:rsidP="003754FE">
      <w:pPr>
        <w:pStyle w:val="TextoNormal"/>
      </w:pPr>
    </w:p>
    <w:p w14:paraId="65EF5F76" w14:textId="77777777" w:rsidR="003754FE" w:rsidRDefault="003754FE" w:rsidP="003754FE">
      <w:pPr>
        <w:pStyle w:val="TextoNormal"/>
      </w:pPr>
      <w:r>
        <w:lastRenderedPageBreak/>
        <w:t>a) Doña María Teresita Laborda Sanz presentó demanda ante el Juzgado de Primera Instancia núm. 2 de Santa Cruz de Tenerife pidiendo que declarase la nulidad del art. 1 de los estatutos de la Pontificia, Real y Venerable Esclavitud del Santísimo Cristo de La Laguna, en la parte que excluye a la mujer como aspirante a ser socio de la misma, por vulnerar los derechos fundamentales de igualdad, no discriminación por razón de sexo y asociación. El Juzgado de Primera Instancia núm. 2 de Santa Cruz de Tenerife dictó sentencia de 11 de marzo de 2020 estimando la demanda y condenando a los demandados a estar y pasar por tal declaración, “debiendo quedar removido el obstáculo a asociarse por ser mujer”.</w:t>
      </w:r>
    </w:p>
    <w:p w14:paraId="21A083A0" w14:textId="77777777" w:rsidR="003754FE" w:rsidRDefault="003754FE" w:rsidP="003754FE">
      <w:pPr>
        <w:pStyle w:val="TextoNormal"/>
      </w:pPr>
    </w:p>
    <w:p w14:paraId="58BAB73D" w14:textId="77777777" w:rsidR="003754FE" w:rsidRDefault="003754FE" w:rsidP="003754FE">
      <w:pPr>
        <w:pStyle w:val="TextoNormal"/>
      </w:pPr>
      <w:r>
        <w:t xml:space="preserve">La sentencia comienza recordando la doctrina constitucional sobre el derecho de asociación, integrado por el derecho de autoorganización, centrando que de lo “que se trata es de ponderar estas dos dimensiones del derecho de asociación, la autoorganizativa y la vertiente </w:t>
      </w:r>
      <w:r w:rsidRPr="003754FE">
        <w:rPr>
          <w:i/>
        </w:rPr>
        <w:t>inter privatos</w:t>
      </w:r>
      <w:r>
        <w:t>, traducida esta última en el derecho de los socios y aspirantes a serlo, a no ser discriminados, salvo que exista una justificación razonable para ello”. Explica que este concepto de “base razonable”, que sirve de límite a la discrecionalidad, aparece íntimamente vinculado en la jurisprudencia al concepto de “posición privilegiada” o, más técnicamente, de “posición dominante” en el concreto ámbito objetivo de actuación en el que una determinada asociación desarrolla sus fines, “de manera que el derecho a la no discriminación solo podría limitar el derecho de autoorganización de las asociaciones en aquellos casos en los que estas se encuentren en una posición de dominio”. Añadiendo que esta doctrina encontró su apoyo en las SSTC 218/1988, de 22 de noviembre, y 482/1994 de 21 de marzo, en las que se distingue entre las “asociaciones puramente privadas”, de aquellas otras que, aun siendo privadas, “ostent[en] de hecho o de derecho una posición dominante en el campo económico, cultural, social o profesional, de manera que la pertenencia o exclusión de ella supusiese un perjuicio significativo para el particular afectado”.</w:t>
      </w:r>
    </w:p>
    <w:p w14:paraId="46FC126D" w14:textId="77777777" w:rsidR="003754FE" w:rsidRDefault="003754FE" w:rsidP="003754FE">
      <w:pPr>
        <w:pStyle w:val="TextoNormal"/>
      </w:pPr>
    </w:p>
    <w:p w14:paraId="6E8D9034" w14:textId="77777777" w:rsidR="003754FE" w:rsidRDefault="003754FE" w:rsidP="003754FE">
      <w:pPr>
        <w:pStyle w:val="TextoNormal"/>
      </w:pPr>
      <w:r>
        <w:t>De este modo, y con apoyo en la STS de 8 de febrero de 2001 [ECLI:ES:TS:2001:811] y en el posterior ATC 254/2001, de 20 de septiembre, concluye que “mientras las primeras no gozarían de límite alguno en su capacidad de discriminar, con absoluta primacía de su autonomía organizativa, las segundas se verían constreñidas, no por el hecho en sí de la discriminación en el seno de la asociación sino por las consecuencias ulteriores que esta actitud podría tener sobre las oportunidades económicas y sociales de las personas discriminadas”.</w:t>
      </w:r>
    </w:p>
    <w:p w14:paraId="47B7BF28" w14:textId="77777777" w:rsidR="003754FE" w:rsidRDefault="003754FE" w:rsidP="003754FE">
      <w:pPr>
        <w:pStyle w:val="TextoNormal"/>
      </w:pPr>
    </w:p>
    <w:p w14:paraId="0CF4E195" w14:textId="77777777" w:rsidR="003754FE" w:rsidRDefault="003754FE" w:rsidP="003754FE">
      <w:pPr>
        <w:pStyle w:val="TextoNormal"/>
      </w:pPr>
      <w:r>
        <w:t>En aplicación de esta doctrina explica que la Pontificia, Real y Venerable Esclavitud del Santísimo Cristo de La Laguna es una asociación puramente privada con origen en la primitiva Cofradía del Santísimo Cristo de La Laguna que se encontraba inicialmente compuesta por hombres y mujeres, siendo con posterioridad, al ser absorbida por la Venerable Esclavitud, cuando se constituye como una asociación exclusiva de caballeros. Este origen impide que la asociación demandada respalde, ahora, su decisión de no admisión de mujeres en una inexistente tradición secular.</w:t>
      </w:r>
    </w:p>
    <w:p w14:paraId="0188261F" w14:textId="77777777" w:rsidR="003754FE" w:rsidRDefault="003754FE" w:rsidP="003754FE">
      <w:pPr>
        <w:pStyle w:val="TextoNormal"/>
      </w:pPr>
    </w:p>
    <w:p w14:paraId="1A4430BF" w14:textId="77777777" w:rsidR="003754FE" w:rsidRDefault="003754FE" w:rsidP="003754FE">
      <w:pPr>
        <w:pStyle w:val="TextoNormal"/>
      </w:pPr>
      <w:r>
        <w:t xml:space="preserve">También destaca que la asociación religiosa tiene entre sus fines estatutarios la organización de “actos devocionales y esencialmente culturales en honor de la Sagrada Imagen del Cristo de La Laguna, tales como el Quinario, el Octavario, las procesiones, los viernes y otros” (art. 7 de los estatutos). Y añade que “ha quedado probado que esos actos devocionales se concretan en la organización de determinados actos de culto públicos y principales de la Semana Santa que se celebra en la ciudad de San Cristóbal de La Laguna que, como </w:t>
      </w:r>
      <w:r>
        <w:lastRenderedPageBreak/>
        <w:t>es notorio, es la ciudad con mayor tradición y relevancia pública en estos actos religiosos en la isla de Tenerife. Y entre esos actos de culto se encuentran la tradicional Ceremonia del Descendimiento del Santísimo Cristo de La Laguna y su posterior besapiés en el Domingo de Ramos, el acompañamiento de la imagen en la procesión de ‘El Encuentro’ e, igualmente, la asociación demandada se encarga de la programación de los actos religiosos que tienen lugar en las fiestas mayores que se celebran cada mes de septiembre en honor al Santísimo Cristo en el citado municipio de San Cristóbal de La Laguna”.</w:t>
      </w:r>
    </w:p>
    <w:p w14:paraId="63AC7A91" w14:textId="77777777" w:rsidR="003754FE" w:rsidRDefault="003754FE" w:rsidP="003754FE">
      <w:pPr>
        <w:pStyle w:val="TextoNormal"/>
      </w:pPr>
    </w:p>
    <w:p w14:paraId="4D5E0E96" w14:textId="77777777" w:rsidR="003754FE" w:rsidRDefault="003754FE" w:rsidP="003754FE">
      <w:pPr>
        <w:pStyle w:val="TextoNormal"/>
      </w:pPr>
      <w:r>
        <w:t>Todo lo cual le lleva a concluir que “en estos acontecimientos populares, claves de la tradición religiosa de esa localidad y determinantes de su idiosincrasia, la Pontificia Real y Venerable Esclavitud del Santísimo Cristo de La Laguna ostenta, desde antaño, una posición no solo privilegiada, sino absolutamente dominante y excluyente del resto de asociaciones, de notable trascendencia en el ámbito religioso, y por ende, también, cultural y social del municipio, hasta el punto de que ninguna otra hermandad puede realizar acto procesional u otra actuación religiosa, cultural o social, relacionada con la Imagen del Santísimo Cristo”. Y debido a esta posición de dominio la señora Laborda Sanz no tiene posibilidad de ejercer esa misma actividad de culto del Santísimo Cristo en otra hermandad o cofradía del municipio que tenga idénticos fines a los de la demandada, pues sencillamente no la hay; tampoco puede promover la constitución de una asociación alternativa con la que cumplir esos mismos fines.</w:t>
      </w:r>
    </w:p>
    <w:p w14:paraId="57D80211" w14:textId="77777777" w:rsidR="003754FE" w:rsidRDefault="003754FE" w:rsidP="003754FE">
      <w:pPr>
        <w:pStyle w:val="TextoNormal"/>
      </w:pPr>
    </w:p>
    <w:p w14:paraId="42121738" w14:textId="77777777" w:rsidR="003754FE" w:rsidRDefault="003754FE" w:rsidP="003754FE">
      <w:pPr>
        <w:pStyle w:val="TextoNormal"/>
      </w:pPr>
      <w:r>
        <w:t>Por dichas razones aprecia que la prohibición de la demandante de ingresar en la asociación religiosa por la simple circunstancia de ser mujer no tiene justificación ni base razonable, por lo que no puede ampararse en el derecho de autoorganización de la asociación, declarando así que el art. 1 de los estatutos de la Esclavitud es contrario al derecho a la igualdad y al derecho a la no discriminación por razón de sexo (art. 14 CE y diversos tratados internacionales que cita).</w:t>
      </w:r>
    </w:p>
    <w:p w14:paraId="7B2EC8C3" w14:textId="77777777" w:rsidR="003754FE" w:rsidRDefault="003754FE" w:rsidP="003754FE">
      <w:pPr>
        <w:pStyle w:val="TextoNormal"/>
      </w:pPr>
    </w:p>
    <w:p w14:paraId="6D432E0F" w14:textId="77777777" w:rsidR="003754FE" w:rsidRDefault="003754FE" w:rsidP="003754FE">
      <w:pPr>
        <w:pStyle w:val="TextoNormal"/>
      </w:pPr>
      <w:r>
        <w:t>b) La sentencia de primera instancia fue recurrida en apelación por la Esclavitud del Santísimo Cristo. Al recurso se opusieron la actora y el Ministerio Fiscal. La Audiencia Provincial de Santa Cruz de Tenerife dictó sentencia el 22 de diciembre de 2020 desestimando el recurso, confirmando la sentencia recurrida y concretando su fallo en el sentido de que debía suprimirse el genitivo “de caballeros” del art. 1 de los estatutos de la asociación.</w:t>
      </w:r>
    </w:p>
    <w:p w14:paraId="64E1DA51" w14:textId="77777777" w:rsidR="003754FE" w:rsidRDefault="003754FE" w:rsidP="003754FE">
      <w:pPr>
        <w:pStyle w:val="TextoNormal"/>
      </w:pPr>
    </w:p>
    <w:p w14:paraId="50CD5F78" w14:textId="77777777" w:rsidR="003754FE" w:rsidRDefault="003754FE" w:rsidP="003754FE">
      <w:pPr>
        <w:pStyle w:val="TextoNormal"/>
      </w:pPr>
      <w:r>
        <w:t>c) La Esclavitud del Santísimo Cristo interpuso recurso extraordinario por infracción procesal y recurso de casación, oponiéndose la actora y el Ministerio Fiscal. El Tribunal Supremo dictó sentencia núm. 925/2021, de 23 de diciembre, por la que desestimó el recurso por infracción procesal y confirmó la competencia de la jurisdicción civil frente a la eclesiástica, pero estimó el recurso de casación, con la consecuencia final de desestimar la demanda interpuesta por doña María Teresita Laborda Sanz.</w:t>
      </w:r>
    </w:p>
    <w:p w14:paraId="78CA7D95" w14:textId="77777777" w:rsidR="003754FE" w:rsidRDefault="003754FE" w:rsidP="003754FE">
      <w:pPr>
        <w:pStyle w:val="TextoNormal"/>
      </w:pPr>
    </w:p>
    <w:p w14:paraId="649CC505" w14:textId="77777777" w:rsidR="003754FE" w:rsidRDefault="003754FE" w:rsidP="003754FE">
      <w:pPr>
        <w:pStyle w:val="TextoNormal"/>
      </w:pPr>
      <w:r>
        <w:t xml:space="preserve">(i) En el fundamento jurídico quinto de su sentencia el Tribunal Supremo comienza acotando el marco normativo aplicable a la asociación demandada, en tanto asociación religiosa constituida en 1659 al amparo del Derecho Canónico, bajo la modalidad canónica de “asociación pública de fieles” e inscrita en el registro de entidades religiosas del Ministerio de Justicia en España. Junto con la Ley Orgánica 1/2002, de 22 de marzo, reguladora del derecho de asociación (LODA), explica que es de aplicación la legislación específica relativa a </w:t>
      </w:r>
      <w:r>
        <w:lastRenderedPageBreak/>
        <w:t>iglesias, confesiones y comunidades religiosas (art. 1.3 LODA) establecida en la Ley Orgánica 7/1980, de 5 de julio, de libertad religiosa (LOLR) así como el Acuerdo entre el Estado español y la Santa Sede sobre asuntos jurídicos, firmado el 3 de enero de 1979, cuyo instrumento de ratificación se publicó en el “Boletín Oficial del Estado” de 15 de diciembre de 1979.</w:t>
      </w:r>
    </w:p>
    <w:p w14:paraId="2F76111D" w14:textId="77777777" w:rsidR="003754FE" w:rsidRDefault="003754FE" w:rsidP="003754FE">
      <w:pPr>
        <w:pStyle w:val="TextoNormal"/>
      </w:pPr>
    </w:p>
    <w:p w14:paraId="16DE2DFE" w14:textId="77777777" w:rsidR="003754FE" w:rsidRDefault="003754FE" w:rsidP="003754FE">
      <w:pPr>
        <w:pStyle w:val="TextoNormal"/>
      </w:pPr>
      <w:r>
        <w:t>(ii) A continuación, recoge en el fundamento jurídico sexto la doctrina de este tribunal y del propio Tribunal Supremo sobre el contenido esencial y límites del derecho a la asociación, y las cuatro dimensiones o facetas del derecho de asociación, subrayando la importancia de la libertad de organización y funcionamiento internos sin injerencias públicas. Todo ello aplicable también a las asociaciones privadas que ostenten una posición de dominio, categoría que diferencia las asociaciones que, aun siendo privadas, ostenten “de hecho o de derecho una posición dominante en el campo económico, cultural, social o profesional, de manera que la pertenencia o exclusión de ella supusiese un perjuicio significativo para el particular afectado”. Explica que esta posición de dominio “deberá determinarse en atención a las circunstancias propias de cada caso, con especial consideración a sus fines y objeto social. En estos casos la posibilidad del control judicial sobre las normas estatutarias o decisiones de los órganos sociales sobre expulsión o no admisión de socios, con apoyo en la doctrina de la base razonable, se extiende también a verificar que no se produzcan ‘perjuicios significativos’ y no justificados al particular afectado en el ámbito económico, social o profesional”.</w:t>
      </w:r>
    </w:p>
    <w:p w14:paraId="17530B1A" w14:textId="77777777" w:rsidR="003754FE" w:rsidRDefault="003754FE" w:rsidP="003754FE">
      <w:pPr>
        <w:pStyle w:val="TextoNormal"/>
      </w:pPr>
    </w:p>
    <w:p w14:paraId="4FC64B9A" w14:textId="77777777" w:rsidR="003754FE" w:rsidRDefault="003754FE" w:rsidP="003754FE">
      <w:pPr>
        <w:pStyle w:val="TextoNormal"/>
      </w:pPr>
      <w:r>
        <w:t>(iii) Como precedentes jurisprudenciales relevantes en el ejercicio de ponderación de los derechos fundamentales en conflicto cita la STC 96/1994, de 21 de marzo, que declaró que la pérdida de la condición de asociado/cooperativista comportaba simultáneamente la pérdida del derecho de adjudicación de una vivienda, para cuya adquisición había realizado las correspondientes aportaciones económicas, con el consiguiente “‘perjuicio [económico] significativo’ para el afectado”, y las sentencias de 8 de febrero de 2001 y de 28 de mayo de 2008 —recurso núm. 5540-2002—, dictadas respectivamente por la Sala de lo Civil y la Sala de lo Contencioso-Administrativo del Tribunal Supremo en relación, la primera, con la Comunidad de Pescadores de El Palmar y, la segunda, con las celebraciones del Alarde de Irún.</w:t>
      </w:r>
    </w:p>
    <w:p w14:paraId="4C0B0EF2" w14:textId="77777777" w:rsidR="003754FE" w:rsidRDefault="003754FE" w:rsidP="003754FE">
      <w:pPr>
        <w:pStyle w:val="TextoNormal"/>
      </w:pPr>
    </w:p>
    <w:p w14:paraId="3DD63D49" w14:textId="77777777" w:rsidR="003754FE" w:rsidRDefault="003754FE" w:rsidP="003754FE">
      <w:pPr>
        <w:pStyle w:val="TextoNormal"/>
      </w:pPr>
      <w:r>
        <w:t>En el primer pronunciamiento el Tribunal Supremo consideró que la negativa a la integración de mujeres en la Comunidad de Pescadores de El Palmar supone una discriminación por razón de sexo, lo cual fue confirmado en el ATC 254/2001, de 20 de septiembre, en atención al perjuicio económico sufrido por las mujeres, dado que la comunidad ostentaba una posición de dominio al tener reconocido por el poder público la explotación económica en exclusiva de un dominio público; y, por el contrario, en el segundo pronunciamiento se concluye que, una vez que el Ayuntamiento de Irún dejó de organizar y financiar la celebración del Alarde de Irún, no tenía acogida en el art. 14 CE la pretensión de que las mujeres se integrasen en el Alarde Tradicional, no estando impedido, a quien lo desee, organizar Alardes o marchas con otras características.</w:t>
      </w:r>
    </w:p>
    <w:p w14:paraId="3281AA0E" w14:textId="77777777" w:rsidR="003754FE" w:rsidRDefault="003754FE" w:rsidP="003754FE">
      <w:pPr>
        <w:pStyle w:val="TextoNormal"/>
      </w:pPr>
    </w:p>
    <w:p w14:paraId="53B37BA5" w14:textId="77777777" w:rsidR="003754FE" w:rsidRDefault="003754FE" w:rsidP="003754FE">
      <w:pPr>
        <w:pStyle w:val="TextoNormal"/>
      </w:pPr>
      <w:r>
        <w:t xml:space="preserve">(iv) Finalmente, la sentencia invoca la jurisprudencia europea sobre el art. 9 del Convenio europeo de derechos humanos (CEDH) en relación con la autonomía de las comunidades religiosas, con especial referencia a las SSTEDH de 15 de mayo de 2012, asunto </w:t>
      </w:r>
      <w:r w:rsidRPr="003754FE">
        <w:rPr>
          <w:i/>
        </w:rPr>
        <w:t>Fernández Martínez c. España</w:t>
      </w:r>
      <w:r>
        <w:t xml:space="preserve">, y de 9 de julio de 2013, asunto </w:t>
      </w:r>
      <w:r w:rsidRPr="003754FE">
        <w:rPr>
          <w:i/>
        </w:rPr>
        <w:t xml:space="preserve">Sindicatul “Păstorul Cel Bun” c. </w:t>
      </w:r>
      <w:r w:rsidRPr="003754FE">
        <w:rPr>
          <w:i/>
        </w:rPr>
        <w:lastRenderedPageBreak/>
        <w:t>Rumanía</w:t>
      </w:r>
      <w:r>
        <w:t xml:space="preserve">, en las que el Tribunal Europeo ha declarado que el principio de autonomía religiosa prohíbe al Estado obligar a una comunidad religiosa a admitir o excluir a un individuo o a confiarle cualquier responsabilidad religiosa. De igual modo, el Tribunal de Justicia de la Unión Europea en la sentencia de 17 de abril de 2018, </w:t>
      </w:r>
      <w:r w:rsidRPr="003754FE">
        <w:rPr>
          <w:i/>
        </w:rPr>
        <w:t>Vera Egenberger</w:t>
      </w:r>
      <w:r>
        <w:t>, asunto C-414/16, al referirse a la ponderación prevista en el art. 4.2 de la Directiva 2000/78/CE del Consejo, de 27 de noviembre de 2000, relativa al establecimiento de un marco general para la igualdad de trato en el empleo y la ocupación, en relación con la autonomía de las iglesias y demás organizaciones públicas o privadas cuya ética se basa en la religión o las convicciones, reconocida en el art. 17 del Tratado de funcionamiento de la Unión Europea (TFUE), afirmó que los Estados miembros y sus autoridades, en particular las judiciales, deben, salvo en casos verdaderamente excepcionales, abstenerse de apreciar la legitimidad de la propia ética de la iglesia o de la organización de que se trate.</w:t>
      </w:r>
    </w:p>
    <w:p w14:paraId="0B6ED80C" w14:textId="77777777" w:rsidR="003754FE" w:rsidRDefault="003754FE" w:rsidP="003754FE">
      <w:pPr>
        <w:pStyle w:val="TextoNormal"/>
      </w:pPr>
    </w:p>
    <w:p w14:paraId="60A43808" w14:textId="77777777" w:rsidR="003754FE" w:rsidRDefault="003754FE" w:rsidP="003754FE">
      <w:pPr>
        <w:pStyle w:val="TextoNormal"/>
      </w:pPr>
      <w:r>
        <w:t>(v) Finalmente, la aplicación al caso de esta jurisprudencia constitucional, civil, contencioso-administrativa y europea lleva al Tribunal Supremo a la estimación del recurso afirmando en último término que no puede calificarse la asociación demandada como una asociación dominante.</w:t>
      </w:r>
    </w:p>
    <w:p w14:paraId="6EDA5C73" w14:textId="77777777" w:rsidR="003754FE" w:rsidRDefault="003754FE" w:rsidP="003754FE">
      <w:pPr>
        <w:pStyle w:val="TextoNormal"/>
      </w:pPr>
    </w:p>
    <w:p w14:paraId="23490FAD" w14:textId="77777777" w:rsidR="003754FE" w:rsidRDefault="003754FE" w:rsidP="003754FE">
      <w:pPr>
        <w:pStyle w:val="TextoNormal"/>
      </w:pPr>
      <w:r>
        <w:t>Explica así que “[s]us actividades y fines son estricta y exclusivamente religiosos (‘promover entre sus asociados una vida cristiana más perfecta, el ejercicio de obras de piedad evangélica y el incremento de la devoción y culto a la Sagrada Imagen de Nuestro Señor Crucificado’). Ajenas por tanto a toda connotación económica, profesional o laboral. Sus manifestaciones públicas y festivas, traducidas en actos procesionales, tienen también un inequívoco carácter religioso y se amparan en el derecho fundamental a la libertad religiosa y de culto (art. 16 CE), que incluye el derecho de toda persona a practicar actos de culto, conmemorar sus festividades religiosas, y reunirse o manifestarse públicamente con fines religiosos (arts. 1 y 2 LOLR)”.</w:t>
      </w:r>
    </w:p>
    <w:p w14:paraId="0E16D1DD" w14:textId="77777777" w:rsidR="003754FE" w:rsidRDefault="003754FE" w:rsidP="003754FE">
      <w:pPr>
        <w:pStyle w:val="TextoNormal"/>
      </w:pPr>
    </w:p>
    <w:p w14:paraId="585A9264" w14:textId="345CE015" w:rsidR="003754FE" w:rsidRDefault="003754FE" w:rsidP="003754FE">
      <w:pPr>
        <w:pStyle w:val="TextoNormal"/>
      </w:pPr>
      <w:r>
        <w:t>Además, a la vista de los hechos consignados en las actuaciones tampoco aprecia una situación de “monopolio” o exclusividad por parte de la Esclavitud del Santísimo Cristo en la organización de las actividades procesionales de la Semana Santa y otros actos de culto, siendo una más de las diversas hermandades y cofradías existentes con sede en San Cristóbal de La Laguna, Diócesis de Santa Cruz de Tenerife (agrupadas en la “Junta de Hermandades y Cofradías de San Cristóbal de La Laguna”), como tampoco que exista impedimento canónico para poder promover la constitución de nuevas hermandades, con los mismos fines espirituales y religiosos, integradas por hombres y mujeres o solo por mujeres, como afirma el obispo diocesano y resulta del propio decreto del Arzobispado de Sevilla que invoca la demandante”.</w:t>
      </w:r>
    </w:p>
    <w:p w14:paraId="1DB57489" w14:textId="77777777" w:rsidR="003754FE" w:rsidRDefault="003754FE" w:rsidP="003754FE">
      <w:pPr>
        <w:pStyle w:val="TextoNormal"/>
      </w:pPr>
    </w:p>
    <w:p w14:paraId="7DBF6F90" w14:textId="77777777" w:rsidR="003754FE" w:rsidRDefault="003754FE" w:rsidP="003754FE">
      <w:pPr>
        <w:pStyle w:val="TextoNormal"/>
      </w:pPr>
      <w:r w:rsidRPr="003754FE">
        <w:rPr>
          <w:rStyle w:val="NumeroAFNegritaCaracter"/>
        </w:rPr>
        <w:t>3</w:t>
      </w:r>
      <w:r>
        <w:t xml:space="preserve">. En la demanda de amparo la recurrente denuncia que la sentencia de la Sala de lo Civil del Tribunal Supremo núm. 925/2021, de 23 de diciembre, que estimó el recurso de casación interpuesto por la Pontificia, Real y Venerable Esclavitud del Santísimo Cristo de La Laguna ha vulnerado el derecho de igualdad y no discriminación por razón de sexo (art. 14 CE) y el derecho de asociación (art. 22 CE), pidiendo que se declare que se ha vulnerado el derecho de la recurrente a no padecer discriminación por razón de sexo, y que se la restablezca “en su derecho y, a tal fin, anular la sentencia núm. 925/2001, de 23 de diciembre de 2021, de la Sala de lo Civil del Tribunal Supremo, declarando la firmeza de la sentencia </w:t>
      </w:r>
      <w:r>
        <w:lastRenderedPageBreak/>
        <w:t>dictada por el Juzgado de Primera Instancia núm. 2 de Santa Cruz de Tenerife, de 11 de marzo de 2020, en el procedimiento de derechos fundamentales núm. 1043-2018”.</w:t>
      </w:r>
    </w:p>
    <w:p w14:paraId="7765A1AA" w14:textId="77777777" w:rsidR="003754FE" w:rsidRDefault="003754FE" w:rsidP="003754FE">
      <w:pPr>
        <w:pStyle w:val="TextoNormal"/>
      </w:pPr>
    </w:p>
    <w:p w14:paraId="443EA4DA" w14:textId="77777777" w:rsidR="003754FE" w:rsidRDefault="003754FE" w:rsidP="003754FE">
      <w:pPr>
        <w:pStyle w:val="TextoNormal"/>
      </w:pPr>
      <w:r>
        <w:t>a) Tras exponer las razones que justifican la especial trascendencia del recurso de amparo, la demanda aborda el marco normativo aplicable explicando que, si bien conforme a lo previsto en el Acuerdo entre el Estado español y la Santa Sede, sobre asuntos jurídicos, de 3 de enero de 1979, “las asociaciones constituidas con fines exclusivamente religiosos se rigen por sus propios estatutos, bajo la dirección de la autoridad eclesiástica”, ello no significa que se pueda configurar el derecho a la autoorganización de forma absoluta, sustrayéndose al Derecho común, sobre la base del derecho fundamental de libertad religiosa, ya que es evidente que la Ley Orgánica de libertad religiosa, establece como límite la sujeción al ordenamiento jurídico general.</w:t>
      </w:r>
    </w:p>
    <w:p w14:paraId="69F1DE76" w14:textId="77777777" w:rsidR="003754FE" w:rsidRDefault="003754FE" w:rsidP="003754FE">
      <w:pPr>
        <w:pStyle w:val="TextoNormal"/>
      </w:pPr>
    </w:p>
    <w:p w14:paraId="0FA7A5AD" w14:textId="77777777" w:rsidR="003754FE" w:rsidRDefault="003754FE" w:rsidP="003754FE">
      <w:pPr>
        <w:pStyle w:val="TextoNormal"/>
      </w:pPr>
      <w:r>
        <w:t>Siendo esto así, afirma que la sentencia recurrida en amparo confunde el derecho fundamental de libertad religiosa con el de la libertad de asociación, y recuerda que el desarrollo del art. 14 CE se plasmó en la Ley Orgánica 3/2007, de 22 de marzo, para la igualdad efectiva de mujeres y hombres, que prohíbe la discriminación de la mujer en cualesquiera ámbitos de la vida y, singularmente, en las esferas política, laboral, económica, social y cultural. También señala que el art. 4.5 LODA prohíbe a los poderes públicos conceder ayudas a las asociaciones que en su proceso de admisión o en su funcionamiento discriminen por las razones descritas en la Constitución.</w:t>
      </w:r>
    </w:p>
    <w:p w14:paraId="5F5E42CC" w14:textId="77777777" w:rsidR="003754FE" w:rsidRDefault="003754FE" w:rsidP="003754FE">
      <w:pPr>
        <w:pStyle w:val="TextoNormal"/>
      </w:pPr>
    </w:p>
    <w:p w14:paraId="2CDAC125" w14:textId="77777777" w:rsidR="003754FE" w:rsidRDefault="003754FE" w:rsidP="003754FE">
      <w:pPr>
        <w:pStyle w:val="TextoNormal"/>
      </w:pPr>
      <w:r>
        <w:t xml:space="preserve">b) A continuación, examina la doctrina de este tribunal sobre la cláusula de no discriminación por razón de sexo contenida en el art. 14 CE (SSTC 12/2008, de 29 de enero, FJ 4, y 108/2019, de 30 de septiembre, FJ 3), sin que una desigualdad pueda justificarse por la tradición. Igualmente, el contenido del derecho de asociación no solo abarca el derecho a la autoorganización, sino también la dimensión </w:t>
      </w:r>
      <w:r w:rsidRPr="003754FE">
        <w:rPr>
          <w:i/>
        </w:rPr>
        <w:t>inter privatos</w:t>
      </w:r>
      <w:r>
        <w:t>, y la ponderación entre estos no debería resolverse a favor de la autonomía asociativa, salvo que existan motivos poderosos para ello.</w:t>
      </w:r>
    </w:p>
    <w:p w14:paraId="617067EF" w14:textId="77777777" w:rsidR="003754FE" w:rsidRDefault="003754FE" w:rsidP="003754FE">
      <w:pPr>
        <w:pStyle w:val="TextoNormal"/>
      </w:pPr>
    </w:p>
    <w:p w14:paraId="6863DBD1" w14:textId="77777777" w:rsidR="003754FE" w:rsidRDefault="003754FE" w:rsidP="003754FE">
      <w:pPr>
        <w:pStyle w:val="TextoNormal"/>
      </w:pPr>
      <w:r>
        <w:t>En el presente caso explica que la mujer, al igual que el hombre, puede reunir todos los requisitos exigidos mencionados en el art. 8 de los estatutos de la hermandad, pero no se admiten mujeres por impedirlo la costumbre, limitando sus derechos únicamente por ser mujeres, lo que choca con lo dispuesto en el art. 14 CE.</w:t>
      </w:r>
    </w:p>
    <w:p w14:paraId="21792BA8" w14:textId="77777777" w:rsidR="003754FE" w:rsidRDefault="003754FE" w:rsidP="003754FE">
      <w:pPr>
        <w:pStyle w:val="TextoNormal"/>
      </w:pPr>
    </w:p>
    <w:p w14:paraId="4FE90757" w14:textId="77777777" w:rsidR="003754FE" w:rsidRDefault="003754FE" w:rsidP="003754FE">
      <w:pPr>
        <w:pStyle w:val="TextoNormal"/>
      </w:pPr>
      <w:r>
        <w:t>c) Examinado el marco normativo aplicable y la jurisprudencia constitucional, reprocha al Tribunal Supremo que no reconozca a la hermandad la condición de asociación privada con una posición dominante. En primer lugar, porque considera que las actividades y fines de esta son ajenos a toda connotación “económica, profesional o laboral”: “Parece haber olvidado [el Tribunal Supremo] que, en [el] apartado 1.5 de la sentencia, dedicado a las asociaciones privadas que ostenten una posición dominante, las define como ‘las asociaciones que, aun siendo privadas, ostenten de hecho o de derecho una posición dominante en el campo económico, cultural, social o profesional’. Es decir, se incluye, como dominantes, también a las asociaciones, cuya actividad y fines tengan una connotación cultural y social, siendo el caso de la demandada, y no solo económica o laboral”.</w:t>
      </w:r>
    </w:p>
    <w:p w14:paraId="4BA0E55D" w14:textId="77777777" w:rsidR="003754FE" w:rsidRDefault="003754FE" w:rsidP="003754FE">
      <w:pPr>
        <w:pStyle w:val="TextoNormal"/>
      </w:pPr>
    </w:p>
    <w:p w14:paraId="2DB8329C" w14:textId="77777777" w:rsidR="003754FE" w:rsidRDefault="003754FE" w:rsidP="003754FE">
      <w:pPr>
        <w:pStyle w:val="TextoNormal"/>
      </w:pPr>
      <w:r>
        <w:t xml:space="preserve">En apoyo de esta afirmación cita el informe que elaboró el Ayuntamiento de La Laguna para justificar ante la Intervención una subvención destinada a la Esclavitud del Cristo para </w:t>
      </w:r>
      <w:r>
        <w:lastRenderedPageBreak/>
        <w:t>las obras de rehabilitación del Real Santuario, concluyendo que ello repercutirá en una mejora de uso público y de interés social, y manifestando que el santuario es un espacio dedicado al culto del Santísimo Cristo, símbolo de la devoción de los ciudadanos a lo largo de la historia, y que su visita es constante y, en ocasiones, multitudinaria.</w:t>
      </w:r>
    </w:p>
    <w:p w14:paraId="04109993" w14:textId="77777777" w:rsidR="003754FE" w:rsidRDefault="003754FE" w:rsidP="003754FE">
      <w:pPr>
        <w:pStyle w:val="TextoNormal"/>
      </w:pPr>
    </w:p>
    <w:p w14:paraId="17345375" w14:textId="77777777" w:rsidR="003754FE" w:rsidRDefault="003754FE" w:rsidP="003754FE">
      <w:pPr>
        <w:pStyle w:val="TextoNormal"/>
      </w:pPr>
      <w:r>
        <w:t>En segundo lugar, denuncia que el Tribunal Supremo no fundamenta su apreciación de que no hay una situación de monopolio o exclusividad en la organización de las actividades procesionales de la Semana Santa y otros actos de culto por parte de la Esclavitud, cuando lo contrario resulta de los hechos probados en ambas instancias judiciales previas, en donde quedó constatado el papel predominante en la sociedad local de la Pontificia, Real y Venerable Esclavitud del Santísimo Cristo de La Laguna, al tener en sus estatutos los fines de organizar el Quinario, el Octavario y las procesiones del Viernes Santo en la localidad de La Laguna, afirmando la sentencia de instancia en su fundamento de Derecho cuarto que “ninguna otra hermandad puede realizar acto procesional u otra actuación religiosa, cultural o social, relacionada con la Imagen del Santísimo Cristo”, por lo que la demandante no tendría la “posibilidad de ejercer esa misma actividad de culto del Santísimo Cristo en otra hermandad o cofradía del municipio que tenga idénticos fines a los de la demandada [y t]ampoco le cabe a la actora promover la constitución de una asociación alternativa con la que cumplir esos mismos fines”.</w:t>
      </w:r>
    </w:p>
    <w:p w14:paraId="3C065DEB" w14:textId="77777777" w:rsidR="003754FE" w:rsidRDefault="003754FE" w:rsidP="003754FE">
      <w:pPr>
        <w:pStyle w:val="TextoNormal"/>
      </w:pPr>
    </w:p>
    <w:p w14:paraId="3BBAD60A" w14:textId="77777777" w:rsidR="003754FE" w:rsidRDefault="003754FE" w:rsidP="003754FE">
      <w:pPr>
        <w:pStyle w:val="TextoNormal"/>
      </w:pPr>
      <w:r>
        <w:t xml:space="preserve">d) Tras afirmar la posición de dominio de la sociedad cuestiona la aplicación de la STEDH </w:t>
      </w:r>
      <w:r w:rsidRPr="003754FE">
        <w:rPr>
          <w:i/>
        </w:rPr>
        <w:t>Fernández Martínez c. España</w:t>
      </w:r>
      <w:r>
        <w:t xml:space="preserve">, por no tener relación con el presente caso, al tratarse de la no renovación del contrato de un profesor de religión por ser un sacerdote casado y padre de familia, medida que tuvo su justificación en un motivo estrictamente religioso y en las convicciones de la Iglesia en las que el Estado no interfiere. De forma similar considera que la STEDH </w:t>
      </w:r>
      <w:r w:rsidRPr="003754FE">
        <w:rPr>
          <w:i/>
        </w:rPr>
        <w:t>Sindicatul “Păstorul Cel Bun” c. Rumanía</w:t>
      </w:r>
      <w:r>
        <w:t>, también se plantea en un contexto y conflicto distinto al planteado en este recurso de amparo al tratarse de la no admisión de nuevos miembros en comunidades religiosas en caso de desacuerdo doctrinal o relativo a la organización entre una comunidad y uno de sus miembros.</w:t>
      </w:r>
    </w:p>
    <w:p w14:paraId="0D3EB108" w14:textId="77777777" w:rsidR="003754FE" w:rsidRDefault="003754FE" w:rsidP="003754FE">
      <w:pPr>
        <w:pStyle w:val="TextoNormal"/>
      </w:pPr>
    </w:p>
    <w:p w14:paraId="0B96F9FB" w14:textId="77777777" w:rsidR="003754FE" w:rsidRDefault="003754FE" w:rsidP="003754FE">
      <w:pPr>
        <w:pStyle w:val="TextoNormal"/>
      </w:pPr>
      <w:r>
        <w:t>e) Y por último, distingue el supuesto que nos ocupa de las sentencias dictadas por el Tribunal Supremo en relación con los Alardes de Irún y Hondarribia, dado que aquí no se trata de una escenificación histórica y porque las actividades y fines de la asociación sí se llevan a cabo en el presente supuesto en el marco de actividades de una administración pública, el Ayuntamiento de San Cristóbal de La Laguna, a lo que se añade que recibe numerosas ayudas públicas del Gobierno de Canarias, del Cabildo de Tenerife y del Ayuntamiento de San Cristóbal de La Laguna, haciendo referencia a que en el año 2019 recibió una ayuda de 1 800 000 € y una subvención de 150 000 € para la rehabilitación del retablo mayor del Cristo de La Laguna, entre otras.</w:t>
      </w:r>
    </w:p>
    <w:p w14:paraId="4A63D94D" w14:textId="77777777" w:rsidR="003754FE" w:rsidRDefault="003754FE" w:rsidP="003754FE">
      <w:pPr>
        <w:pStyle w:val="TextoNormal"/>
      </w:pPr>
    </w:p>
    <w:p w14:paraId="3E178241" w14:textId="0667A486" w:rsidR="003754FE" w:rsidRDefault="003754FE" w:rsidP="003754FE">
      <w:pPr>
        <w:pStyle w:val="TextoNormal"/>
      </w:pPr>
      <w:r>
        <w:t>Esta participación de la administración pública en la financiación y colaboración en todo lo relacionado con la Sagrada Imagen de la asociación demandada se justifica en la relevancia social de la misma, igual que en el supuesto de la sentencia de 19 de septiembre de 2002, del Tribunal Supremo (ECLI:ES:TS:2002:5976), relativa al Alarde de San Marcial.</w:t>
      </w:r>
    </w:p>
    <w:p w14:paraId="3C8C4BC7" w14:textId="77777777" w:rsidR="003754FE" w:rsidRDefault="003754FE" w:rsidP="003754FE">
      <w:pPr>
        <w:pStyle w:val="TextoNormal"/>
      </w:pPr>
    </w:p>
    <w:p w14:paraId="511D45A8" w14:textId="77777777" w:rsidR="003754FE" w:rsidRDefault="003754FE" w:rsidP="003754FE">
      <w:pPr>
        <w:pStyle w:val="TextoNormal"/>
      </w:pPr>
      <w:r w:rsidRPr="003754FE">
        <w:rPr>
          <w:rStyle w:val="NumeroAFNegritaCaracter"/>
        </w:rPr>
        <w:t>4</w:t>
      </w:r>
      <w:r>
        <w:t xml:space="preserve">. La Sección Tercera de este Tribunal Constitucional, por providencia de 12 de febrero de 2024, acordó admitir a trámite el recurso de amparo, apreciando que concurre en el mismo una especial trascendencia constitucional [art. 50.1 de la Ley Orgánica del Tribunal </w:t>
      </w:r>
      <w:r>
        <w:lastRenderedPageBreak/>
        <w:t>Constitucional (LOTC)] porque el recurso puede dar ocasión al Tribunal para aclarar o cambiar su doctrina, como consecuencia de un proceso de reflexión interna [STC 155/2009, de 25 de junio, FJ 2 b)].</w:t>
      </w:r>
    </w:p>
    <w:p w14:paraId="67245146" w14:textId="77777777" w:rsidR="003754FE" w:rsidRDefault="003754FE" w:rsidP="003754FE">
      <w:pPr>
        <w:pStyle w:val="TextoNormal"/>
      </w:pPr>
    </w:p>
    <w:p w14:paraId="639D1222" w14:textId="6628CB63" w:rsidR="003754FE" w:rsidRDefault="003754FE" w:rsidP="003754FE">
      <w:pPr>
        <w:pStyle w:val="TextoNormal"/>
      </w:pPr>
      <w:r>
        <w:t>De conformidad con lo dispuesto en el art. 51 LOTC, acordó dirigir atenta comunicación al Juzgado de Primera Instancia núm. 2 de Santa Cruz de Tenerife a fin de que, en plazo que no exceda de diez días, emplace, para que en el plazo de diez días puedan comparecer, si lo desean, en el recurso de amparo a quienes hubieran sido parte en el procedimiento, excepto la parte recurrente en amparo.</w:t>
      </w:r>
    </w:p>
    <w:p w14:paraId="5BEC260C" w14:textId="77777777" w:rsidR="003754FE" w:rsidRDefault="003754FE" w:rsidP="003754FE">
      <w:pPr>
        <w:pStyle w:val="TextoNormal"/>
      </w:pPr>
    </w:p>
    <w:p w14:paraId="7AA7F884" w14:textId="73C060DF" w:rsidR="003754FE" w:rsidRDefault="003754FE" w:rsidP="003754FE">
      <w:pPr>
        <w:pStyle w:val="TextoNormal"/>
      </w:pPr>
      <w:r w:rsidRPr="003754FE">
        <w:rPr>
          <w:rStyle w:val="NumeroAFNegritaCaracter"/>
        </w:rPr>
        <w:t>5</w:t>
      </w:r>
      <w:r>
        <w:t>. El 11 de marzo de 2024 se personaron en el procedimiento el Obispado de Tenerife (diócesis eclesiástica de Tenerife), solicitando que se le tenga por personado y se entiendan con él las sucesivas diligencias en el modo y forma que la ley previene, y cuanto más pudiera proceder en Derecho, y la Pontificia, Real y Venerable Esclavitud del Santísimo Cristo de La Laguna, solicitando igualmente que se la tenga por personada a los efectos pertinentes y se entiendan con ella las sucesivas diligencias relacionadas con el presente procedimiento.</w:t>
      </w:r>
    </w:p>
    <w:p w14:paraId="648933B6" w14:textId="77777777" w:rsidR="003754FE" w:rsidRDefault="003754FE" w:rsidP="003754FE">
      <w:pPr>
        <w:pStyle w:val="TextoNormal"/>
      </w:pPr>
    </w:p>
    <w:p w14:paraId="39E07B93" w14:textId="23F11164" w:rsidR="003754FE" w:rsidRDefault="003754FE" w:rsidP="003754FE">
      <w:pPr>
        <w:pStyle w:val="TextoNormal"/>
      </w:pPr>
      <w:r w:rsidRPr="003754FE">
        <w:rPr>
          <w:rStyle w:val="NumeroAFNegritaCaracter"/>
        </w:rPr>
        <w:t>6</w:t>
      </w:r>
      <w:r>
        <w:t>. El secretario de justicia de la Sección Tercera de este tribunal dictó diligencia de ordenación de 22 de marzo de 2024 por la que se tuvo por personadas y parte en el procedimiento a la diócesis eclesiástica de Tenerife y a la Pontificia, Real y Venerable Esclavitud del Santísimo Cristo de La Laguna. Asimismo, en la misma diligencia acordó, a tenor de lo dispuesto en el art. 52.1 LOTC, que se diese vista de las actuaciones recibidas a las partes personadas y al Ministerio Fiscal por plazo común de veinte días para que, dentro de dicho término, pudieran presentar las alegaciones que estimasen pertinentes.</w:t>
      </w:r>
    </w:p>
    <w:p w14:paraId="743517E8" w14:textId="77777777" w:rsidR="003754FE" w:rsidRDefault="003754FE" w:rsidP="003754FE">
      <w:pPr>
        <w:pStyle w:val="TextoNormal"/>
      </w:pPr>
    </w:p>
    <w:p w14:paraId="43627DD3" w14:textId="77777777" w:rsidR="003754FE" w:rsidRDefault="003754FE" w:rsidP="003754FE">
      <w:pPr>
        <w:pStyle w:val="TextoNormal"/>
      </w:pPr>
      <w:r w:rsidRPr="003754FE">
        <w:rPr>
          <w:rStyle w:val="NumeroAFNegritaCaracter"/>
        </w:rPr>
        <w:t>7</w:t>
      </w:r>
      <w:r>
        <w:t>. La representación procesal del Obispado de Tenerife presentó su escrito de alegaciones el 24 de abril de 2024, poniendo de manifiesto que la correcta valoración del caso exige respetar el derecho a la libertad religiosa por imperativo del art. 16 CE, al estar ante una asociación con fines exclusivamente religiosos “en la que lo cultual, lo relativo al culto, lo religioso, es lo fundamental, mientras que lo cultural es meramente accesorio, y, por tanto, que nos encontramos en un ámbito en el que el Estado debe mantenerse neutral y no solo respetar el ámbito de libertad para autoorganizarse de la asociación, sino que debe garantizar el ámbito de la libertad religiosa, sin más limitación que la necesaria para el mantenimiento del orden público protegido por la ley, en sus manifestaciones”.</w:t>
      </w:r>
    </w:p>
    <w:p w14:paraId="77695CC9" w14:textId="77777777" w:rsidR="003754FE" w:rsidRDefault="003754FE" w:rsidP="003754FE">
      <w:pPr>
        <w:pStyle w:val="TextoNormal"/>
      </w:pPr>
    </w:p>
    <w:p w14:paraId="07D46254" w14:textId="77777777" w:rsidR="003754FE" w:rsidRDefault="003754FE" w:rsidP="003754FE">
      <w:pPr>
        <w:pStyle w:val="TextoNormal"/>
      </w:pPr>
      <w:r>
        <w:t xml:space="preserve">Más concretamente, expone que es una asociación religiosa que adopta la forma canónica de asociación pública de fieles con arreglo al canon 215 del Código de Derecho canónico; y con cita de las SSTC 24/1982, de 13 de mayo, y 101/2004, de 2 de junio, insiste en la dimensión externa de </w:t>
      </w:r>
      <w:r w:rsidRPr="003754FE">
        <w:rPr>
          <w:i/>
        </w:rPr>
        <w:t>agere licere</w:t>
      </w:r>
      <w:r>
        <w:t xml:space="preserve"> que faculta a los ciudadanos para actuar con arreglo a sus propias convicciones con plena inmunidad del Estado o de cualesquiera grupos sociales, a salvo del mantenimiento del orden público.</w:t>
      </w:r>
    </w:p>
    <w:p w14:paraId="421FF24B" w14:textId="77777777" w:rsidR="003754FE" w:rsidRDefault="003754FE" w:rsidP="003754FE">
      <w:pPr>
        <w:pStyle w:val="TextoNormal"/>
      </w:pPr>
    </w:p>
    <w:p w14:paraId="57E66420" w14:textId="77777777" w:rsidR="003754FE" w:rsidRDefault="003754FE" w:rsidP="003754FE">
      <w:pPr>
        <w:pStyle w:val="TextoNormal"/>
      </w:pPr>
      <w:r>
        <w:t xml:space="preserve">a) Examina la jurisprudencia del Tribunal Europeo de Derechos Humanos (SSTEDH de 25 de mayo de 1993, asunto </w:t>
      </w:r>
      <w:r w:rsidRPr="003754FE">
        <w:rPr>
          <w:i/>
        </w:rPr>
        <w:t>Kokkinakis c. Grecia</w:t>
      </w:r>
      <w:r>
        <w:t xml:space="preserve">; de 13 de diciembre de 2001, asunto </w:t>
      </w:r>
      <w:r w:rsidRPr="003754FE">
        <w:rPr>
          <w:i/>
        </w:rPr>
        <w:t>Iglesia Metropolitana de Besarabia y otros c. Moldavia</w:t>
      </w:r>
      <w:r>
        <w:t xml:space="preserve">, y de 15 de mayo de 2012, asunto </w:t>
      </w:r>
      <w:r w:rsidRPr="003754FE">
        <w:rPr>
          <w:i/>
        </w:rPr>
        <w:t>Fernández Martínez c. España</w:t>
      </w:r>
      <w:r>
        <w:t xml:space="preserve">) para sustentar que el principio de autonomía religiosa prohíbe al Estado obligar a una comunidad religiosa a admitir o excluir a un individuo. Y </w:t>
      </w:r>
      <w:r>
        <w:lastRenderedPageBreak/>
        <w:t xml:space="preserve">cita también la STJUE de 17 de abril de 2018, </w:t>
      </w:r>
      <w:r w:rsidRPr="003754FE">
        <w:rPr>
          <w:i/>
        </w:rPr>
        <w:t>Vera Egenberger</w:t>
      </w:r>
      <w:r>
        <w:t>, en la que en interpretación del art. 17 TFUE el Tribunal de Justicia de la Unión Europea habría reconocido que los Estados deben abstenerse de apreciar la legitimidad de la propia ética de la Iglesia, salvo casos verdaderamente excepcionales; transcribiendo también los apartados 105 a 107 de las conclusiones presentadas por el abogado general en dicho asunto que habría recogido la jurisprudencia del Tribunal Europeo de Derechos Humanos en torno al art. 9 CEDH, con arreglo a la cual el Estado no puede exigir a una comunidad religiosa que admita nuevos miembros o excluya a los mismos.</w:t>
      </w:r>
    </w:p>
    <w:p w14:paraId="48C9445D" w14:textId="77777777" w:rsidR="003754FE" w:rsidRDefault="003754FE" w:rsidP="003754FE">
      <w:pPr>
        <w:pStyle w:val="TextoNormal"/>
      </w:pPr>
    </w:p>
    <w:p w14:paraId="25C2F729" w14:textId="77777777" w:rsidR="003754FE" w:rsidRDefault="003754FE" w:rsidP="003754FE">
      <w:pPr>
        <w:pStyle w:val="TextoNormal"/>
      </w:pPr>
      <w:r>
        <w:t>Recuerda que la Iglesia permite asociaciones mixtas, pero también reconoce el derecho de los fieles de vivir su espiritualidad en asociaciones solo de hombres o de mujeres, y que no se excluye a nadie del culto o de la posibilidad de fundar otra asociación de fines análogos a las de las personas del otro sexo o mixtas.</w:t>
      </w:r>
    </w:p>
    <w:p w14:paraId="1DDF84C3" w14:textId="77777777" w:rsidR="003754FE" w:rsidRDefault="003754FE" w:rsidP="003754FE">
      <w:pPr>
        <w:pStyle w:val="TextoNormal"/>
      </w:pPr>
    </w:p>
    <w:p w14:paraId="41D2B01E" w14:textId="77777777" w:rsidR="003754FE" w:rsidRDefault="003754FE" w:rsidP="003754FE">
      <w:pPr>
        <w:pStyle w:val="TextoNormal"/>
      </w:pPr>
      <w:r>
        <w:t>b) Defiende también la inexistencia de lesión del derecho de asociación al estar ante un caso primordialmente relativo a la libertad religiosa, y que sería precisamente la estimación de la solicitud de modificación de los estatutos la que generaría la lesión del citado derecho en relación con la Esclavitud.</w:t>
      </w:r>
    </w:p>
    <w:p w14:paraId="1054F024" w14:textId="77777777" w:rsidR="003754FE" w:rsidRDefault="003754FE" w:rsidP="003754FE">
      <w:pPr>
        <w:pStyle w:val="TextoNormal"/>
      </w:pPr>
    </w:p>
    <w:p w14:paraId="5913545F" w14:textId="77777777" w:rsidR="003754FE" w:rsidRDefault="003754FE" w:rsidP="003754FE">
      <w:pPr>
        <w:pStyle w:val="TextoNormal"/>
      </w:pPr>
      <w:r>
        <w:t>La libertad de organización y funcionamiento forma parte del derecho de asociación con arreglo a la jurisprudencia constitucional (STC 129/2023, de 23 de octubre); y se vulnera el derecho de asociación cuando ante una expulsión de un socio válidamente adoptada se entra a enjuiciar el acierto de los motivos que han llevado a esa expulsión (STC 218/1988, de 22 de noviembre), dado que forma parte del derecho de asociación el establecer la propia organización del ente creado por el acto asociativo dentro del marco de la Constitución que se extiende a regular estatutariamente las causas y el procedimiento para la admisión y expulsión del socio y solo el legislador puede excepcionar para asociaciones concretas la libertad de autoorganización (STC 135/2006, de 27 de abril).</w:t>
      </w:r>
    </w:p>
    <w:p w14:paraId="5F03AB36" w14:textId="77777777" w:rsidR="003754FE" w:rsidRDefault="003754FE" w:rsidP="003754FE">
      <w:pPr>
        <w:pStyle w:val="TextoNormal"/>
      </w:pPr>
    </w:p>
    <w:p w14:paraId="747E4CD4" w14:textId="77777777" w:rsidR="003754FE" w:rsidRDefault="003754FE" w:rsidP="003754FE">
      <w:pPr>
        <w:pStyle w:val="TextoNormal"/>
      </w:pPr>
      <w:r>
        <w:t>c) Defiende que la decisión de asociarse solo con personas del mismo sexo no está amparada por el derecho fundamental del art. 22 CE y esta situación tampoco se ha visto modificada por la Ley Orgánica 3/2007, de 22 de marzo, para la igualdad efectiva de mujeres y hombres.</w:t>
      </w:r>
    </w:p>
    <w:p w14:paraId="083B7A56" w14:textId="77777777" w:rsidR="003754FE" w:rsidRDefault="003754FE" w:rsidP="003754FE">
      <w:pPr>
        <w:pStyle w:val="TextoNormal"/>
      </w:pPr>
    </w:p>
    <w:p w14:paraId="550E2A54" w14:textId="77777777" w:rsidR="003754FE" w:rsidRDefault="003754FE" w:rsidP="003754FE">
      <w:pPr>
        <w:pStyle w:val="TextoNormal"/>
      </w:pPr>
      <w:r>
        <w:t>En este contexto, explica que la Esclavitud no ostenta una posición de dominio pues “ninguna ventaja económica, profesional o laboral se puede derivar de una asociación exclusivamente religiosa que ya desde su denominación como Esclavitud, y esclavos sus miembros, pone de manifiesto su carisma de servicio religioso y cultual”, lo que se confirma si se analizan sus objetivos recogidos en el art. 6 de los estatutos.</w:t>
      </w:r>
    </w:p>
    <w:p w14:paraId="4BF9ABAA" w14:textId="77777777" w:rsidR="003754FE" w:rsidRDefault="003754FE" w:rsidP="003754FE">
      <w:pPr>
        <w:pStyle w:val="TextoNormal"/>
      </w:pPr>
    </w:p>
    <w:p w14:paraId="75D5C49B" w14:textId="77777777" w:rsidR="003754FE" w:rsidRDefault="003754FE" w:rsidP="003754FE">
      <w:pPr>
        <w:pStyle w:val="TextoNormal"/>
      </w:pPr>
      <w:r>
        <w:t>Tampoco tiene la exclusividad del culto o adoración a una determinada advocación, a Cristo Crucificado, sino que, como se recoge en el procedimiento previo ante la jurisdicción ordinaria, no existe impedimento canónico para poder promover la constitución de nuevas hermandades, con los mismos fines espirituales y religiosos, integradas por hombres y mujeres o solo por mujeres, como afirma el obispo diocesano y resulta del propio decreto del Arzobispado de Sevilla que invoca la demandante.</w:t>
      </w:r>
    </w:p>
    <w:p w14:paraId="666B57A2" w14:textId="77777777" w:rsidR="003754FE" w:rsidRDefault="003754FE" w:rsidP="003754FE">
      <w:pPr>
        <w:pStyle w:val="TextoNormal"/>
      </w:pPr>
    </w:p>
    <w:p w14:paraId="28E004F4" w14:textId="3F885EC0" w:rsidR="003754FE" w:rsidRDefault="003754FE" w:rsidP="003754FE">
      <w:pPr>
        <w:pStyle w:val="TextoNormal"/>
      </w:pPr>
      <w:r>
        <w:lastRenderedPageBreak/>
        <w:t xml:space="preserve">Y respecto a la percepción de subvenciones explica que es irrelevante porque tiene un interés histórico y cultural y están accesibles a cualquier persona, como también la generalidad de los actos públicos en los que participa la asociación. Siendo además un alegato hecho </w:t>
      </w:r>
      <w:r w:rsidRPr="003754FE">
        <w:rPr>
          <w:i/>
        </w:rPr>
        <w:t>ex novo</w:t>
      </w:r>
      <w:r>
        <w:t xml:space="preserve"> y que ahora será contradictorio porque la misma demandante alega que por una moción institucional del Cabildo Insular de Tenerife se ha excluido a la Esclavitud de cualquier subvención pública.</w:t>
      </w:r>
    </w:p>
    <w:p w14:paraId="575CCEA6" w14:textId="77777777" w:rsidR="003754FE" w:rsidRDefault="003754FE" w:rsidP="003754FE">
      <w:pPr>
        <w:pStyle w:val="TextoNormal"/>
      </w:pPr>
    </w:p>
    <w:p w14:paraId="68104BD7" w14:textId="77777777" w:rsidR="003754FE" w:rsidRDefault="003754FE" w:rsidP="003754FE">
      <w:pPr>
        <w:pStyle w:val="TextoNormal"/>
      </w:pPr>
      <w:r w:rsidRPr="003754FE">
        <w:rPr>
          <w:rStyle w:val="NumeroAFNegritaCaracter"/>
        </w:rPr>
        <w:t>8</w:t>
      </w:r>
      <w:r>
        <w:t>. El 24 de abril de 2024 la Pontificia Esclavitud del Cristo de La Laguna presentó su escrito de alegaciones en el que solicita la desestimación del recurso por no haber vulneración del art. 22 CE ni del art. 14 CE.</w:t>
      </w:r>
    </w:p>
    <w:p w14:paraId="61E8E467" w14:textId="77777777" w:rsidR="003754FE" w:rsidRDefault="003754FE" w:rsidP="003754FE">
      <w:pPr>
        <w:pStyle w:val="TextoNormal"/>
      </w:pPr>
    </w:p>
    <w:p w14:paraId="040A46BB" w14:textId="77777777" w:rsidR="003754FE" w:rsidRDefault="003754FE" w:rsidP="003754FE">
      <w:pPr>
        <w:pStyle w:val="TextoNormal"/>
      </w:pPr>
      <w:r>
        <w:t>a) Comienza con un examen de los antecedentes del recurso de amparo en el que pone de manifiesto que antes de que la recurrente iniciara la vía judicial la Esclavitud ya había decidido iniciar voluntariamente un proceso de cambio. Así, en septiembre de 2018, antes de que la recurrente presentara su demanda contra la hermandad (en noviembre de 2018) se había celebrado una reunión en la que se le había explicado que la cuestión relativa a la posible admisión de las mujeres iba a ser efectivamente abordada por una comisión creada al efecto de cara a someterlo a la asamblea general, comisión que se creó en la asamblea general de 15 de diciembre de 2018. No obstante, cuando la cuestión se abordó finalmente en la asamblea general de diciembre de 2019, se acordó no modificar los estatutos al haber “dinamita[do] todo puente posible” la recurrente como consecuencia de haber demandado judicialmente, en la consideración de que es a la asamblea general como órgano supremo al que le corresponde decidir el cambio sin que este pueda ser impuesto desde fuera.</w:t>
      </w:r>
    </w:p>
    <w:p w14:paraId="7E2B6F30" w14:textId="77777777" w:rsidR="003754FE" w:rsidRDefault="003754FE" w:rsidP="003754FE">
      <w:pPr>
        <w:pStyle w:val="TextoNormal"/>
      </w:pPr>
    </w:p>
    <w:p w14:paraId="6058D592" w14:textId="77777777" w:rsidR="003754FE" w:rsidRDefault="003754FE" w:rsidP="003754FE">
      <w:pPr>
        <w:pStyle w:val="TextoNormal"/>
      </w:pPr>
      <w:r>
        <w:t>Y recuerda que los fines principales de la hermandad son la promoción del culto, la formación de sus miembros y la asistencia social y caritativa, así como la conservación del patrimonio para cumplir sus fines.</w:t>
      </w:r>
    </w:p>
    <w:p w14:paraId="475C5666" w14:textId="77777777" w:rsidR="003754FE" w:rsidRDefault="003754FE" w:rsidP="003754FE">
      <w:pPr>
        <w:pStyle w:val="TextoNormal"/>
      </w:pPr>
    </w:p>
    <w:p w14:paraId="304EB995" w14:textId="77777777" w:rsidR="003754FE" w:rsidRDefault="003754FE" w:rsidP="003754FE">
      <w:pPr>
        <w:pStyle w:val="TextoNormal"/>
      </w:pPr>
      <w:r>
        <w:t>Explica que “[t]ras cuatro siglos de historia, la hermandad es propietaria del Santuario del Cristo de La Laguna, de una pequeña edificación anexa al Santuario (antiguo convento franciscano) y de la llamada Casa de la Hermandad, que junto con sus bienes muebles constituyen un patrimonio histórico y artístico a mantener y conservar. El mantenimiento del santuario ha corrido los últimos cuatro siglos por cuenta de la hermandad: abre todos los días de 08:00 a 21:00 horas, no solo para la celebración de dos misas diarias o para que los fieles acudan allí a orar, sino para que todos los ciudadanos y turistas puedan visitar y admirar el santuario y sus imágenes, entre ellas, la del Cristo de La Laguna”.</w:t>
      </w:r>
    </w:p>
    <w:p w14:paraId="42A9DA2A" w14:textId="77777777" w:rsidR="003754FE" w:rsidRDefault="003754FE" w:rsidP="003754FE">
      <w:pPr>
        <w:pStyle w:val="TextoNormal"/>
      </w:pPr>
    </w:p>
    <w:p w14:paraId="523EAD36" w14:textId="77777777" w:rsidR="003754FE" w:rsidRDefault="003754FE" w:rsidP="003754FE">
      <w:pPr>
        <w:pStyle w:val="TextoNormal"/>
      </w:pPr>
      <w:r>
        <w:t>b) Tras exponer dichos antecedentes desarrolla el régimen jurídico aplicable a la hermandad, recordando en primer término que la Esclavitud tiene personalidad jurídica canónica y civil, constituyendo una asociación pública de fieles (cánones 312-320) que se rige conforme a la norma de sus estatutos, bajo la dirección de la autoridad eclesiástica, siendo los bienes de esta persona jurídica “bienes eclesiásticos”. Con arreglo a los acuerdos celebrados entre la Santa Sede y el Estado español el 3 de enero de 1979, el Estado le reconoce personalidad jurídica y está inscrita en el registro de entidades religiosas del Ministerio de Justicia.</w:t>
      </w:r>
    </w:p>
    <w:p w14:paraId="7C1DBD43" w14:textId="77777777" w:rsidR="003754FE" w:rsidRDefault="003754FE" w:rsidP="003754FE">
      <w:pPr>
        <w:pStyle w:val="TextoNormal"/>
      </w:pPr>
    </w:p>
    <w:p w14:paraId="7BEEBC67" w14:textId="77777777" w:rsidR="003754FE" w:rsidRDefault="003754FE" w:rsidP="003754FE">
      <w:pPr>
        <w:pStyle w:val="TextoNormal"/>
      </w:pPr>
      <w:r>
        <w:t xml:space="preserve">Explica que, siendo una asociación canónica religiosa, los fieles tienen derecho a fundar y dirigir libremente asociaciones para fines de caridad o piedad, para fines de culto y para </w:t>
      </w:r>
      <w:r>
        <w:lastRenderedPageBreak/>
        <w:t>fomentar la vocación cristiana en el mundo (canon 215). El fiel encuentra un espacio de autodeterminación intelectual ante el fenómeno religioso que no puede ni expresarse ni vivirse con quien no se estima conveniente o no se quiere.</w:t>
      </w:r>
    </w:p>
    <w:p w14:paraId="01BD42AA" w14:textId="77777777" w:rsidR="003754FE" w:rsidRDefault="003754FE" w:rsidP="003754FE">
      <w:pPr>
        <w:pStyle w:val="TextoNormal"/>
      </w:pPr>
    </w:p>
    <w:p w14:paraId="65FDCC08" w14:textId="77777777" w:rsidR="003754FE" w:rsidRDefault="003754FE" w:rsidP="003754FE">
      <w:pPr>
        <w:pStyle w:val="TextoNormal"/>
      </w:pPr>
      <w:r>
        <w:t>Y expone el régimen jurídico aplicable a las asociaciones religiosas, así como la doctrina de este tribunal (SSTC 66/1982, de 12 de noviembre, y 187/1991, de 3 de octubre) con cita también de las directrices sobre la personalidad jurídica de las comunidades religiosas o de creencia editado por parte del Ministerio de Justicia del Gobierno de España en 2017. De forma adicional atiende al contenido de la Ley Orgánica del derecho de asociación.</w:t>
      </w:r>
    </w:p>
    <w:p w14:paraId="304E3222" w14:textId="77777777" w:rsidR="003754FE" w:rsidRDefault="003754FE" w:rsidP="003754FE">
      <w:pPr>
        <w:pStyle w:val="TextoNormal"/>
      </w:pPr>
    </w:p>
    <w:p w14:paraId="7E30A5B2" w14:textId="77777777" w:rsidR="003754FE" w:rsidRDefault="003754FE" w:rsidP="003754FE">
      <w:pPr>
        <w:pStyle w:val="TextoNormal"/>
      </w:pPr>
      <w:r>
        <w:t>c) Tras combatir las alegaciones sobre la especial trascendencia constitucional del recurso, cuestiona las alegaciones que la recurrente hace en relación con la jurisprudencia constitucional, reiterando los argumentos tomados en consideración por la STS 925/2021 recurrida en amparo, para concluir que la hermandad no es una asociación dominante.</w:t>
      </w:r>
    </w:p>
    <w:p w14:paraId="74F42176" w14:textId="77777777" w:rsidR="003754FE" w:rsidRDefault="003754FE" w:rsidP="003754FE">
      <w:pPr>
        <w:pStyle w:val="TextoNormal"/>
      </w:pPr>
    </w:p>
    <w:p w14:paraId="4118B3C4" w14:textId="77777777" w:rsidR="003754FE" w:rsidRDefault="003754FE" w:rsidP="003754FE">
      <w:pPr>
        <w:pStyle w:val="TextoNormal"/>
      </w:pPr>
      <w:r>
        <w:t>Por un lado, denuncia que la recurrente omite las diferencias entre este supuesto y el supuesto de la Comunidad de Pescadores de El Palmar, en la que sí había una posición de privilegio dado que se trataba de una concesión administrativa para la explotación de bienes de dominio público cuando este no es el caso de los hombres admitidos en la hermandad, que no tienen privilegio económico, ni laboral, ni profesional ni hay desventaja económica o profesional para las mujeres si no son admitidas en la hermandad porque no hay exclusividad de un bien de dominio público por parte de la hermandad.</w:t>
      </w:r>
    </w:p>
    <w:p w14:paraId="23CE3304" w14:textId="77777777" w:rsidR="003754FE" w:rsidRDefault="003754FE" w:rsidP="003754FE">
      <w:pPr>
        <w:pStyle w:val="TextoNormal"/>
      </w:pPr>
    </w:p>
    <w:p w14:paraId="5A72ED9E" w14:textId="77777777" w:rsidR="003754FE" w:rsidRDefault="003754FE" w:rsidP="003754FE">
      <w:pPr>
        <w:pStyle w:val="TextoNormal"/>
      </w:pPr>
      <w:r>
        <w:t>Además, pone de manifiesto que los fines y actividades de la hermandad no son ni culturales ni sociales sino manifestación del derecho fundamental de libertad religiosa, debiendo distinguirse entre lo “cultual” y lo “cultural”; y niega que los “actos de culto religioso” propios de la hermandad, tales como la celebración de misas como las de el “Quinario, el Octavario y la Ceremonia del Descendimiento” sean actos esencialmente culturales. Igualmente, manifiesta que una procesión no es un acto festivo, ni cultural, ni social y que no puede aplicársele la teoría de la posición dominante y excluyente de este tipo de asociaciones. Más concretamente, “[u]na procesión es un acto de reunión y manifestación por motivos religiosos, contemplado en el art. 2.1 c) y d) de la Ley Orgánica de libertad religiosa: c) Practicar actos de culto […] y d) Reunirse o manifestarse públicamente con fines religiosos”.</w:t>
      </w:r>
    </w:p>
    <w:p w14:paraId="151E2460" w14:textId="77777777" w:rsidR="003754FE" w:rsidRDefault="003754FE" w:rsidP="003754FE">
      <w:pPr>
        <w:pStyle w:val="TextoNormal"/>
      </w:pPr>
    </w:p>
    <w:p w14:paraId="29789322" w14:textId="77777777" w:rsidR="003754FE" w:rsidRDefault="003754FE" w:rsidP="003754FE">
      <w:pPr>
        <w:pStyle w:val="TextoNormal"/>
      </w:pPr>
      <w:r>
        <w:t>También explica que la hermandad pertenece a la Junta de Hermandades y Cofradías de La Laguna, que aglutina y coordina a las veintiséis hermandades y cofradías existentes en el mismo municipio, y tiene la misma representación y voto que cada una de las otras veinticinco hermandades. Y en lo que se refiere a los actos de Semana Santa organizados en La Laguna se suceden más de treinta procesiones y traslados y la hermandad solo desarrolla un recorrido procesional propio, la procesión de madrugada del viernes santo, pero es una procesión organizada por la Junta de Hermandades y Cofradías, no por la hermandad, que solo participa con su imagen y trono procesional como uno más de los veintiséis pasos. Por lo que no ostenta una posición dominante o excluyente en la Semana Santa de La Laguna.</w:t>
      </w:r>
    </w:p>
    <w:p w14:paraId="566D9B62" w14:textId="77777777" w:rsidR="003754FE" w:rsidRDefault="003754FE" w:rsidP="003754FE">
      <w:pPr>
        <w:pStyle w:val="TextoNormal"/>
      </w:pPr>
    </w:p>
    <w:p w14:paraId="11B497E8" w14:textId="77777777" w:rsidR="003754FE" w:rsidRDefault="003754FE" w:rsidP="003754FE">
      <w:pPr>
        <w:pStyle w:val="TextoNormal"/>
      </w:pPr>
      <w:r>
        <w:t>Y la demandante puede crear una esclavitud con el mismo culto a Cristo si es su interés, porque la hermandad no promueve la fe y el culto al “Cristo de La laguna” como escultura de madera de la hermandad, sino como manifestación de Dios.</w:t>
      </w:r>
    </w:p>
    <w:p w14:paraId="6DE40547" w14:textId="77777777" w:rsidR="003754FE" w:rsidRDefault="003754FE" w:rsidP="003754FE">
      <w:pPr>
        <w:pStyle w:val="TextoNormal"/>
      </w:pPr>
    </w:p>
    <w:p w14:paraId="2B4A6B74" w14:textId="77777777" w:rsidR="003754FE" w:rsidRDefault="003754FE" w:rsidP="003754FE">
      <w:pPr>
        <w:pStyle w:val="TextoNormal"/>
      </w:pPr>
      <w:r>
        <w:t xml:space="preserve">d) Combate la aplicación que la recurrente hace en su demanda de la jurisprudencia europea por considerarla totalmente sesgada. Respecto a la STEDH dictada en el asunto </w:t>
      </w:r>
      <w:r w:rsidRPr="003754FE">
        <w:rPr>
          <w:i/>
        </w:rPr>
        <w:t>Fernández Martínez</w:t>
      </w:r>
      <w:r>
        <w:t xml:space="preserve">, porque precisamente lo que este pronunciamiento declara es que el principio de autonomía religiosa prohíbe al Estado obligar a una comunidad religiosa a admitir o excluir a un individuo; lo que se repite en las conclusiones presentadas por el abogado general en el asunto </w:t>
      </w:r>
      <w:r w:rsidRPr="003754FE">
        <w:rPr>
          <w:i/>
        </w:rPr>
        <w:t>Vera Egenberge</w:t>
      </w:r>
      <w:r>
        <w:t xml:space="preserve">r, seguido ante el Tribunal de Justicia de la Unión Europea. Y en el asunto </w:t>
      </w:r>
      <w:r w:rsidRPr="003754FE">
        <w:rPr>
          <w:i/>
        </w:rPr>
        <w:t>Sindicatul “Păstorul Cel Bun” c. Rumanía</w:t>
      </w:r>
      <w:r>
        <w:t xml:space="preserve"> el Tribunal Europeo de Derechos Humanos también dispuso que el principio de autonomía prohíbe al Estado obligar a una comunidad religiosa a admitir en su seno nuevos miembros. Este principio es aplicado por otros tribunales, citando la sentencia del Tribunal Supremo de Portugal (</w:t>
      </w:r>
      <w:r w:rsidRPr="003754FE">
        <w:rPr>
          <w:i/>
        </w:rPr>
        <w:t>Acordâo do Supremo Tribunal de Justiça</w:t>
      </w:r>
      <w:r>
        <w:t xml:space="preserve">) de 8 de noviembre de 2007 y la sentencia de 11 de enero de 2012 de la Corte Suprema de los Estados Unidos en el caso </w:t>
      </w:r>
      <w:r w:rsidRPr="003754FE">
        <w:rPr>
          <w:i/>
        </w:rPr>
        <w:t>Hosanna-Tabor Evangelical Lutheran Church and School v. Equal Employment Opportunity Commission et al</w:t>
      </w:r>
      <w:r>
        <w:t>.</w:t>
      </w:r>
    </w:p>
    <w:p w14:paraId="3448ED46" w14:textId="77777777" w:rsidR="003754FE" w:rsidRDefault="003754FE" w:rsidP="003754FE">
      <w:pPr>
        <w:pStyle w:val="TextoNormal"/>
      </w:pPr>
    </w:p>
    <w:p w14:paraId="1CB1C70A" w14:textId="77777777" w:rsidR="003754FE" w:rsidRDefault="003754FE" w:rsidP="003754FE">
      <w:pPr>
        <w:pStyle w:val="TextoNormal"/>
      </w:pPr>
      <w:r>
        <w:t>e) Dedica también una alegación a explicar las razones por las cuales no existe intervención de la administración pública en actividades y fines de la hermandad.</w:t>
      </w:r>
    </w:p>
    <w:p w14:paraId="4DDB2C5B" w14:textId="77777777" w:rsidR="003754FE" w:rsidRDefault="003754FE" w:rsidP="003754FE">
      <w:pPr>
        <w:pStyle w:val="TextoNormal"/>
      </w:pPr>
    </w:p>
    <w:p w14:paraId="7690BEB6" w14:textId="77777777" w:rsidR="003754FE" w:rsidRDefault="003754FE" w:rsidP="003754FE">
      <w:pPr>
        <w:pStyle w:val="TextoNormal"/>
      </w:pPr>
      <w:r>
        <w:t>(i) En primer lugar, explica que ninguna de las actividades y fines de la hermandad se llevan a cabo ni son financiadas por el Ayuntamiento de San Cristóbal de La Laguna, ni por su concejalía de Fiestas, “pues son actividades exclusivamente religiosas, organizadas por esta asociación pública de fieles” y que la “inmensa mayoría de sus actividades se desarrollan dentro del Santuario (como el Descendimiento, los besapiés, las diferentes eucaristías…) o dentro de la Catedral (como el Quinario) y las actividades que se desarrollan en el exterior, como las procesiones, no tienen ni un solo euro de financiación municipal”.</w:t>
      </w:r>
    </w:p>
    <w:p w14:paraId="29F28CFD" w14:textId="77777777" w:rsidR="003754FE" w:rsidRDefault="003754FE" w:rsidP="003754FE">
      <w:pPr>
        <w:pStyle w:val="TextoNormal"/>
      </w:pPr>
    </w:p>
    <w:p w14:paraId="702CC087" w14:textId="77777777" w:rsidR="003754FE" w:rsidRDefault="003754FE" w:rsidP="003754FE">
      <w:pPr>
        <w:pStyle w:val="TextoNormal"/>
      </w:pPr>
      <w:r>
        <w:t>(ii) Añade que las actividades de la hermandad son exclusivamente religiosas, y aunque asistan autoridades a un acto exclusivamente religioso (a la solemne Eucarística y posterior procesión el día de las fiestas del Cristo de La Laguna, el 14 de septiembre) no por eso ese acto religioso se convierte en un acto social, cultural, militar o político.</w:t>
      </w:r>
    </w:p>
    <w:p w14:paraId="4290E8D7" w14:textId="77777777" w:rsidR="003754FE" w:rsidRDefault="003754FE" w:rsidP="003754FE">
      <w:pPr>
        <w:pStyle w:val="TextoNormal"/>
      </w:pPr>
    </w:p>
    <w:p w14:paraId="7B12F69A" w14:textId="77777777" w:rsidR="003754FE" w:rsidRDefault="003754FE" w:rsidP="003754FE">
      <w:pPr>
        <w:pStyle w:val="TextoNormal"/>
      </w:pPr>
      <w:r>
        <w:t>(iii) Niega que sea una entidad habitualmente subvencionada con fondos públicos. Explica que lo que ha ocurrido es que en atención a la afluencia de fieles y sobre todo la de visitantes y turistas al Santuario y sus anexos (junto con su valor histórico-artístico) en 2010 promovió un “Plan director de rehabilitación del Santuario del Cristo y anexos”, con varias fases (que incluían desde la rehabilitación integral del Santuario y sus instalaciones, la de los edificios anexos, la reurbanización de la plazuela de acceso o la restauración de la imagen del Cristo de La Laguna, datada a finales del siglo XV). Este Plan director fue aprobado por la administración competente (Cabildo Insular de Tenerife) en el año 2011 y el Gobierno de Canarias, el Cabildo de Tenerife y, en menor medida, el Ayuntamiento de La Laguna, decidieron apoyar las diversas rehabilitaciones y restauraciones del Plan director de forma escalonada, entre los años 2017 y 2021, con las cuatro subvenciones puntuales otorgadas por las tres administraciones entre 2019 y 2021 que la demandante de amparo detalla. Pero subraya que las citadas subvenciones no eran destinadas a la hermandad ni a sus fines o actividades o procesiones, sino a “proyectos de rehabilitación” de los edificios históricos que viene manteniendo y que se encuentran abiertos al público y son visitables.</w:t>
      </w:r>
    </w:p>
    <w:p w14:paraId="7A1A966A" w14:textId="77777777" w:rsidR="003754FE" w:rsidRDefault="003754FE" w:rsidP="003754FE">
      <w:pPr>
        <w:pStyle w:val="TextoNormal"/>
      </w:pPr>
    </w:p>
    <w:p w14:paraId="2879904F" w14:textId="77777777" w:rsidR="003754FE" w:rsidRDefault="003754FE" w:rsidP="003754FE">
      <w:pPr>
        <w:pStyle w:val="TextoNormal"/>
      </w:pPr>
      <w:r>
        <w:lastRenderedPageBreak/>
        <w:t>Es decir, es una subvención para un proyecto de restauración de bienes inmuebles con valores históricos “no para los fines propios de hermandad”, es decir, no para “sus actividades de culto o procesiones”.</w:t>
      </w:r>
    </w:p>
    <w:p w14:paraId="140F9EE7" w14:textId="77777777" w:rsidR="003754FE" w:rsidRDefault="003754FE" w:rsidP="003754FE">
      <w:pPr>
        <w:pStyle w:val="TextoNormal"/>
      </w:pPr>
    </w:p>
    <w:p w14:paraId="435876CE" w14:textId="77777777" w:rsidR="003754FE" w:rsidRDefault="003754FE" w:rsidP="003754FE">
      <w:pPr>
        <w:pStyle w:val="TextoNormal"/>
      </w:pPr>
      <w:r>
        <w:t>f) Insiste también en la autonomía interna de la asociación pública de fieles a la luz de los principios informadores del derecho eclesiástico del Estado español y de la jurisprudencia constitucional y europea (citando las SSTC 24/1982, de 13 de mayo; 141/2000, de 29 de mayo, y 46/2001, de 15 de febrero), lo que se traduce en que los poderes públicos no pueden obligar a que una persona viva su fe coaccionada por los poderes públicos, ni le pueden imponer vivirla y manifestarla junto con otras personas con las que no cree adecuado hacerlo.</w:t>
      </w:r>
    </w:p>
    <w:p w14:paraId="2EE5D3CD" w14:textId="77777777" w:rsidR="003754FE" w:rsidRDefault="003754FE" w:rsidP="003754FE">
      <w:pPr>
        <w:pStyle w:val="TextoNormal"/>
      </w:pPr>
    </w:p>
    <w:p w14:paraId="60A41E1C" w14:textId="6F1A3356" w:rsidR="003754FE" w:rsidRDefault="003754FE" w:rsidP="003754FE">
      <w:pPr>
        <w:pStyle w:val="TextoNormal"/>
      </w:pPr>
      <w:r>
        <w:t>g) Finalmente, concluye señalando que en el hipotético supuesto de que los miembros de la hermandad fueran obligados, vía decisión de este Alto Tribunal, a ser socios de aquella o aquellas personas con quienes libre y voluntariamente han decidido no asociarse, o no quieren asociarse, afectaría también al derecho de propiedad reconocido en el art. 33 de la Constitución española, toda vez que la hermandad es propietaria de bienes muebles e inmuebles y de un legado histórico de casi cuatro siglos, por lo que la hipotética decisión judicial tendría también consecuencias patrimoniales y obligaría a la hermandad a compartir su patrimonio con quien se le obliga y con quien ha decidido voluntariamente no hacerlo o con quien no quiere hacerlo: en este caso, con las personas a las que se podría ver obligada a admitir como socias, de mantenerse las resoluciones dictadas. Y ello, en términos administrativos, podría calificarse de una verdadera confiscación de los derechos de propiedad que vulneraría el art. 1 del Protocolo adicional al Convenio europeo para la protección de los derechos humanos y de las libertades públicas.</w:t>
      </w:r>
    </w:p>
    <w:p w14:paraId="6873CB8F" w14:textId="77777777" w:rsidR="003754FE" w:rsidRDefault="003754FE" w:rsidP="003754FE">
      <w:pPr>
        <w:pStyle w:val="TextoNormal"/>
      </w:pPr>
    </w:p>
    <w:p w14:paraId="6F358ACC" w14:textId="77777777" w:rsidR="003754FE" w:rsidRDefault="003754FE" w:rsidP="003754FE">
      <w:pPr>
        <w:pStyle w:val="TextoNormal"/>
      </w:pPr>
      <w:r w:rsidRPr="003754FE">
        <w:rPr>
          <w:rStyle w:val="NumeroAFNegritaCaracter"/>
        </w:rPr>
        <w:t>9</w:t>
      </w:r>
      <w:r>
        <w:t>. El Ministerio Fiscal, dentro del plazo conferido al efecto, presentó sus alegaciones el 23 de mayo de 2024, interesando la concesión del amparo solicitado.</w:t>
      </w:r>
    </w:p>
    <w:p w14:paraId="3D8D295E" w14:textId="77777777" w:rsidR="003754FE" w:rsidRDefault="003754FE" w:rsidP="003754FE">
      <w:pPr>
        <w:pStyle w:val="TextoNormal"/>
      </w:pPr>
    </w:p>
    <w:p w14:paraId="627DF42D" w14:textId="77777777" w:rsidR="003754FE" w:rsidRDefault="003754FE" w:rsidP="003754FE">
      <w:pPr>
        <w:pStyle w:val="TextoNormal"/>
      </w:pPr>
      <w:r>
        <w:t>El fiscal presentó alegaciones en las que comienza explicando la normativa aplicable y la doctrina del Tribunal Constitucional en relación con el contenido esencial del derecho de asociación (SSTC 104/1999, de 14 de junio, FJ 3, y 129/2023, de 23 de octubre, FJ 3) y en relación con el principio de igualdad y las prohibiciones de discriminación (SSTC 39/2002, de 14 de febrero, FJ 4, y 31/2018, de 10 de abril, FJ 4,); hace también una mención especial a la capacidad de autoorganización de las asociaciones en el aspecto de admisión de nuevos socios y un posible trato discriminatorio sobre el que se pronunció el ATC 254/2001, de 20 de septiembre, en relación con la comunidad de pescadores El Palmar, comunidad que ocupaba una posición privilegiada.</w:t>
      </w:r>
    </w:p>
    <w:p w14:paraId="3B9F0303" w14:textId="77777777" w:rsidR="003754FE" w:rsidRDefault="003754FE" w:rsidP="003754FE">
      <w:pPr>
        <w:pStyle w:val="TextoNormal"/>
      </w:pPr>
    </w:p>
    <w:p w14:paraId="6D7A441E" w14:textId="77777777" w:rsidR="003754FE" w:rsidRDefault="003754FE" w:rsidP="003754FE">
      <w:pPr>
        <w:pStyle w:val="TextoNormal"/>
      </w:pPr>
      <w:r>
        <w:t xml:space="preserve">(i) En el presente supuesto señala que “hay que precisar que, si bien se considera lógico que quien aspira a integrarse en una asociación lo hace porque comparte los valores que defiende y desea participar en la actividad social, de lo que se deduce que acepta las normas que libremente se han otorgado en relación con el objeto, fines, y organización interna, lo cierto es que la cuestión en este caso no es una expresión de disidencia con lo establecido, sino la imposibilidad con que se encuentra de adherirse a ellas, pese a compartirlas, por el único y exclusivo motivo de no ser ‘caballero’. La única disconformidad manifestada por la recurrente desde el momento en que solicitó unirse a la hermandad ha sido que no se permita </w:t>
      </w:r>
      <w:r>
        <w:lastRenderedPageBreak/>
        <w:t>el acceso a las mujeres, sin cuestionar ni discrepar de ninguna otra regulación en la normativa interna, que, se entiende, pretende acatar”.</w:t>
      </w:r>
    </w:p>
    <w:p w14:paraId="7F2B762C" w14:textId="77777777" w:rsidR="003754FE" w:rsidRDefault="003754FE" w:rsidP="003754FE">
      <w:pPr>
        <w:pStyle w:val="TextoNormal"/>
      </w:pPr>
    </w:p>
    <w:p w14:paraId="7FBE05EC" w14:textId="77777777" w:rsidR="003754FE" w:rsidRDefault="003754FE" w:rsidP="003754FE">
      <w:pPr>
        <w:pStyle w:val="TextoNormal"/>
      </w:pPr>
      <w:r>
        <w:t>Advierte el Ministerio Fiscal que el art. 1 de los estatutos de la Esclavitud, que la define como asociación de caballeros, se encuentra en el título I denominado “Del origen, historia y sede de la Esclavitud” mientras que los requisitos se regulan en el título III “De la admisión en la Esclavitud”. Expone que la lectura de los artículos de este título pone de manifiesto que los requerimientos para ser miembro, además de estar bautizado y ser mayor de dieciocho años, se refieren a un compromiso de vida cristiana y de participación en actividades piadosas y del culto a la imagen del Santísimo Cristo que pueden ser asumidos tanto por hombres como por mujeres que compartan dichos valores, cuestiones de ámbito estrictamente religioso en las que estaría injustificada una injerencia del Estado al afectar a la esencia del derecho a la libertad religiosa. Pero el hecho de excluir en bloque a una parte de los fieles que están dispuestos a cumplirlos, exclusivamente por razón de sexo, supone un supuesto de clara de discriminación directa por parte de la hermandad que ha sido aceptada por la resolución recurrida.</w:t>
      </w:r>
    </w:p>
    <w:p w14:paraId="7A0923CB" w14:textId="77777777" w:rsidR="003754FE" w:rsidRDefault="003754FE" w:rsidP="003754FE">
      <w:pPr>
        <w:pStyle w:val="TextoNormal"/>
      </w:pPr>
    </w:p>
    <w:p w14:paraId="1915FE30" w14:textId="77777777" w:rsidR="003754FE" w:rsidRDefault="003754FE" w:rsidP="003754FE">
      <w:pPr>
        <w:pStyle w:val="TextoNormal"/>
      </w:pPr>
      <w:r>
        <w:t>(ii) Y respecto a la supuesta tradición histórica que sustenta la decisión de la asociación, pone de manifiesto que en la propia página web de la hermandad se informa que no siempre ha sido así. Porque la Esclavitud tiene su origen en la primitiva Cofradía del Santísimo Cristo de La Laguna, creada desde la llegada a la ciudad del Santo Crucifijo, mucho antes de 1545 —fecha de apertura del Concilio de Trento— y compuesta por hombres y mujeres. Esta cofradía fue absorbida por la Venerable Esclavitud que fundaron el 6 de septiembre de 1659 los más distinguidos de la isla, a iniciativa de Fray Juan de San Francisco, siendo su primer esclavo mayor don Fernando Arias de Saavedra; estuvo compuesta inicialmente por treinta y tres caballeros seglares.</w:t>
      </w:r>
    </w:p>
    <w:p w14:paraId="5A677280" w14:textId="77777777" w:rsidR="003754FE" w:rsidRDefault="003754FE" w:rsidP="003754FE">
      <w:pPr>
        <w:pStyle w:val="TextoNormal"/>
      </w:pPr>
    </w:p>
    <w:p w14:paraId="2B23BCB1" w14:textId="77777777" w:rsidR="003754FE" w:rsidRDefault="003754FE" w:rsidP="003754FE">
      <w:pPr>
        <w:pStyle w:val="TextoNormal"/>
      </w:pPr>
      <w:r>
        <w:t>Argumenta que el término “caballeros”, en su origen, tiene más que ver con el estatus social de sus fundadores que con el género de estos. Se aprecia también que la organización de la hermandad fue evolucionando en relación con el número y la condición de sus miembros, si bien no hasta el punto de adaptarse a la realidad social actual, perpetuando la exclusión de las mujeres en el ámbito de la hermandad.</w:t>
      </w:r>
    </w:p>
    <w:p w14:paraId="513943C4" w14:textId="77777777" w:rsidR="003754FE" w:rsidRDefault="003754FE" w:rsidP="003754FE">
      <w:pPr>
        <w:pStyle w:val="TextoNormal"/>
      </w:pPr>
    </w:p>
    <w:p w14:paraId="4CB69D39" w14:textId="77777777" w:rsidR="003754FE" w:rsidRDefault="003754FE" w:rsidP="003754FE">
      <w:pPr>
        <w:pStyle w:val="TextoNormal"/>
      </w:pPr>
      <w:r>
        <w:t>(iii) Finalmente, considera que existe una posición de dominio de la asociación para el cumplimiento de sus fines que la propia sentencia recurrida define como una “posición excluyente en los ámbitos económico, profesional, social y cultural”, si bien a la hora de aplicar al presente caso dicha doctrina se descarta, por considerar que tal actividad asociativa desempeñada por la hermandad no se enmarca en los ámbitos económico y profesional, negándose que pueda suponer un perjuicio, pero en sus fundamentos no vuelve a mencionar ni a tener en cuenta la innegable dimensión de prevalencia en el ámbito social y cultural, basada en que la hermandad ostenta la exclusividad del ejercicio del culto de la imagen del Santísimo Cristo de La Laguna.</w:t>
      </w:r>
    </w:p>
    <w:p w14:paraId="4DFB31B0" w14:textId="77777777" w:rsidR="003754FE" w:rsidRDefault="003754FE" w:rsidP="003754FE">
      <w:pPr>
        <w:pStyle w:val="TextoNormal"/>
      </w:pPr>
    </w:p>
    <w:p w14:paraId="3747DF1F" w14:textId="77777777" w:rsidR="003754FE" w:rsidRDefault="003754FE" w:rsidP="003754FE">
      <w:pPr>
        <w:pStyle w:val="TextoNormal"/>
      </w:pPr>
      <w:r>
        <w:t xml:space="preserve">Explica así que “la actividad asociativa está íntimamente ligada a la imagen del Santísimo Cristo, hasta el punto de que la sede de la Esclavitud radica en el oratorio o iglesia donde se venera la Sagrada Imagen del Santísimo Cristo. La imposibilidad de la coexistencia se pone de manifiesto también si se atiende a la historia de la Esclavitud, que, según acabamos de ver, en el momento de su creación absorbió a la primitiva cofradía que se había </w:t>
      </w:r>
      <w:r>
        <w:lastRenderedPageBreak/>
        <w:t>constituido un siglo antes, a la llegada a la isla de la imagen del Santísimo Cristo. De ello cabe deducir que la Esclavitud ostenta una posición de dominio excluyente en su ámbito de actuación que limita las facultades de autoorganización que le corresponden a la asociación y que la decisión de no admitir a las mujeres carece de una base razonable, materia que entra dentro de las facultades de control por la autoridad judicial”.</w:t>
      </w:r>
    </w:p>
    <w:p w14:paraId="5D859D16" w14:textId="77777777" w:rsidR="003754FE" w:rsidRDefault="003754FE" w:rsidP="003754FE">
      <w:pPr>
        <w:pStyle w:val="TextoNormal"/>
      </w:pPr>
    </w:p>
    <w:p w14:paraId="063973C9" w14:textId="5DAFF277" w:rsidR="003754FE" w:rsidRDefault="003754FE" w:rsidP="003754FE">
      <w:pPr>
        <w:pStyle w:val="TextoNormal"/>
      </w:pPr>
      <w:r>
        <w:t>Y concluye que “se considera que la sentencia recurrida ha vulnerado los derechos fundamentales de la demandante de amparo, por apreciar que la decisión de no admitirla como miembro de la Esclavitud constituye un caso de discriminación directa por razón de sexo que no obedece a una base razonable, en atención a que la hermandad ostenta una posición de dominio excluyente en todos los actos dedicados al culto y devoción a la imagen del Santísimo Cristo de La Laguna y no se sustenta en criterios estrictamente religiosos”.</w:t>
      </w:r>
    </w:p>
    <w:p w14:paraId="0776A846" w14:textId="77777777" w:rsidR="003754FE" w:rsidRDefault="003754FE" w:rsidP="003754FE">
      <w:pPr>
        <w:pStyle w:val="TextoNormal"/>
      </w:pPr>
    </w:p>
    <w:p w14:paraId="31725384" w14:textId="09FAB9CF" w:rsidR="003754FE" w:rsidRDefault="003754FE" w:rsidP="003754FE">
      <w:pPr>
        <w:pStyle w:val="TextoNormal"/>
      </w:pPr>
      <w:r w:rsidRPr="003754FE">
        <w:rPr>
          <w:rStyle w:val="NumeroAFNegritaCaracter"/>
        </w:rPr>
        <w:t>10</w:t>
      </w:r>
      <w:r>
        <w:t>. Por providencia de 31 de octubre de 2024 se señaló para deliberación y votación de la presente sentencia el día 4 de noviembre de 2024.</w:t>
      </w:r>
    </w:p>
    <w:p w14:paraId="716C5920" w14:textId="77777777" w:rsidR="003754FE" w:rsidRDefault="003754FE" w:rsidP="003754FE">
      <w:pPr>
        <w:pStyle w:val="TextoNormal"/>
      </w:pPr>
    </w:p>
    <w:p w14:paraId="47492F46" w14:textId="77777777" w:rsidR="003754FE" w:rsidRDefault="003754FE" w:rsidP="003754FE">
      <w:pPr>
        <w:pStyle w:val="TextoNormalNegritaCentrado"/>
        <w:keepNext/>
      </w:pPr>
      <w:r>
        <w:t>II. Fundamentos jurídicos</w:t>
      </w:r>
    </w:p>
    <w:p w14:paraId="06168794" w14:textId="295BF16A" w:rsidR="003754FE" w:rsidRDefault="003754FE" w:rsidP="003754FE">
      <w:pPr>
        <w:pStyle w:val="TextoNormalNegritaCentrado"/>
        <w:keepNext/>
      </w:pPr>
    </w:p>
    <w:p w14:paraId="649B4C55" w14:textId="77777777" w:rsidR="003754FE" w:rsidRDefault="003754FE" w:rsidP="003754FE">
      <w:pPr>
        <w:pStyle w:val="TextoNormal"/>
      </w:pPr>
      <w:r w:rsidRPr="003754FE">
        <w:rPr>
          <w:rStyle w:val="NumeroAFNegritaCaracter"/>
        </w:rPr>
        <w:t>1</w:t>
      </w:r>
      <w:r>
        <w:t xml:space="preserve">. </w:t>
      </w:r>
      <w:r w:rsidRPr="003754FE">
        <w:rPr>
          <w:i/>
        </w:rPr>
        <w:t>Objeto del proceso y alegaciones de las partes</w:t>
      </w:r>
    </w:p>
    <w:p w14:paraId="1E3A6F89" w14:textId="77777777" w:rsidR="003754FE" w:rsidRDefault="003754FE" w:rsidP="003754FE">
      <w:pPr>
        <w:pStyle w:val="TextoNormal"/>
      </w:pPr>
    </w:p>
    <w:p w14:paraId="5B0B0782" w14:textId="77777777" w:rsidR="003754FE" w:rsidRDefault="003754FE" w:rsidP="003754FE">
      <w:pPr>
        <w:pStyle w:val="TextoNormal"/>
      </w:pPr>
      <w:r>
        <w:t>a) La demandante de amparo reprocha a la sentencia de 23 de diciembre de 2021 dictada por la Sala de lo Civil del Tribunal Supremo que, al haber anulado la sentencia de 22 de diciembre de 2020 dictada por la Audiencia Provincial de Santa Cruz de Tenerife y la sentencia de 11 de marzo de 2020 del Juzgado de Primera Instancia núm. 2 de Santa Cruz de Tenerife, ha vulnerado su derecho de igualdad y no discriminación por razón de sexo (art. 14 CE) y su derecho de asociación (art. 22 CE). Las sentencias anuladas habían declarado el derecho de la recurrente a asociarse a la Pontificia, Real y Venerable Esclavitud del Santísimo Cristo de La Laguna (la Esclavitud), estableciendo la modificación del art. 1 de los estatutos de la asociación en el sentido de suprimir el genitivo “de caballeros”.</w:t>
      </w:r>
    </w:p>
    <w:p w14:paraId="1E397B94" w14:textId="77777777" w:rsidR="003754FE" w:rsidRDefault="003754FE" w:rsidP="003754FE">
      <w:pPr>
        <w:pStyle w:val="TextoNormal"/>
      </w:pPr>
    </w:p>
    <w:p w14:paraId="0B6C045D" w14:textId="77777777" w:rsidR="003754FE" w:rsidRDefault="003754FE" w:rsidP="003754FE">
      <w:pPr>
        <w:pStyle w:val="TextoNormal"/>
      </w:pPr>
      <w:r>
        <w:t>La recurrente argumenta que las asociaciones religiosas están sujetas al ordenamiento jurídico general y que su no admisión únicamente por ser mujer choca con lo dispuesto en el art. 14 CE en relación con el art. 22 CE; en concreto, porque la Esclavitud es una sociedad dominante en el ámbito cultural y social, de modo que no le cabe promover una asociación alternativa con la que cumplir los fines que persigue.</w:t>
      </w:r>
    </w:p>
    <w:p w14:paraId="1C79A2D7" w14:textId="77777777" w:rsidR="003754FE" w:rsidRDefault="003754FE" w:rsidP="003754FE">
      <w:pPr>
        <w:pStyle w:val="TextoNormal"/>
      </w:pPr>
    </w:p>
    <w:p w14:paraId="73591211" w14:textId="77777777" w:rsidR="003754FE" w:rsidRDefault="003754FE" w:rsidP="003754FE">
      <w:pPr>
        <w:pStyle w:val="TextoNormal"/>
      </w:pPr>
      <w:r>
        <w:t>b) El Obispado de Tenerife y la Esclavitud solicitan la desestimación del recurso de amparo por no haber vulneración ni del art. 22 CE ni del art. 14 CE. En síntesis, consideran que es necesario respetar el derecho de libertad religiosa por imperativo del art. 16 CE, al estar ante una asociación con fines exclusivamente religiosos, y que la jurisprudencia europea que se cita en la sentencia recurrida en amparo prohíbe al Estado obligar a una comunidad religiosa a admitir o excluir a un individuo. También niegan la posición de dominio de la Esclavitud, la cual, consideran, no ostenta ventaja económica, profesional o laboral, por lo que no hay ninguna desventaja económica o profesional para las mujeres si no son admitidas en la hermandad.</w:t>
      </w:r>
    </w:p>
    <w:p w14:paraId="7EF64217" w14:textId="77777777" w:rsidR="003754FE" w:rsidRDefault="003754FE" w:rsidP="003754FE">
      <w:pPr>
        <w:pStyle w:val="TextoNormal"/>
      </w:pPr>
    </w:p>
    <w:p w14:paraId="037F5D29" w14:textId="77777777" w:rsidR="003754FE" w:rsidRDefault="003754FE" w:rsidP="003754FE">
      <w:pPr>
        <w:pStyle w:val="TextoNormal"/>
      </w:pPr>
      <w:r>
        <w:lastRenderedPageBreak/>
        <w:t>c) El Ministerio Fiscal interesa la estimación del amparo al apreciar la vulneración de los derechos fundamentales que la recurrente denuncia, en la medida en que la no admisión como miembro de la Esclavitud por ser mujer constituye una discriminación directa por razón de sexo que no obedece a una base razonable; la actividad asociativa que la hermandad desempeña no se enmarca en los ámbitos económico o profesional, sino que tiene una innegable prevalencia en el ámbito social y cultural, basada en la exclusividad que ostenta en el ejercicio del culto de la imagen del Santísimo Cristo de La Laguna.</w:t>
      </w:r>
    </w:p>
    <w:p w14:paraId="68337998" w14:textId="77777777" w:rsidR="003754FE" w:rsidRDefault="003754FE" w:rsidP="003754FE">
      <w:pPr>
        <w:pStyle w:val="TextoNormal"/>
      </w:pPr>
    </w:p>
    <w:p w14:paraId="73CCB070" w14:textId="77777777" w:rsidR="003754FE" w:rsidRDefault="003754FE" w:rsidP="003754FE">
      <w:pPr>
        <w:pStyle w:val="TextoNormal"/>
      </w:pPr>
      <w:r>
        <w:t>d) Así formuladas las pretensiones de las partes, el enjuiciamiento por parte de este tribunal ha de resolver el conflicto entre los derechos fundamentales afectados, determinando si ha existido la vulneración denunciada por la demandante, atendiendo al contenido que constitucionalmente corresponda a cada uno de esos derechos.</w:t>
      </w:r>
    </w:p>
    <w:p w14:paraId="37FE0FAE" w14:textId="77777777" w:rsidR="003754FE" w:rsidRDefault="003754FE" w:rsidP="003754FE">
      <w:pPr>
        <w:pStyle w:val="TextoNormal"/>
      </w:pPr>
    </w:p>
    <w:p w14:paraId="525EFC1E" w14:textId="77777777" w:rsidR="003754FE" w:rsidRDefault="003754FE" w:rsidP="003754FE">
      <w:pPr>
        <w:pStyle w:val="TextoNormal"/>
      </w:pPr>
      <w:r>
        <w:t>Para apreciar si ha existido una lesión del derecho de asociación de la recurrente (art. 22 CE) en relación con el principio de no discriminación por razón de sexo (art. 14 CE), es preciso exponer con carácter previo la doctrina jurisprudencial sobre el derecho de asociación aplicable en el presente recurso de amparo, no solo en cuanto a la libertad de la recurrente de adscribirse a una asociación, sin ser discriminada por su condición de mujer, sino también en tanto a la libertad de autoorganización y funcionamiento interno de la Esclavitud sin injerencias públicas, dado que es esta última dimensión la que ha sido tenida en cuenta por la sentencia recurrida en amparo para justificar que los estatutos de la Esclavitud solo admitan a “caballeros”, impidiendo así que la recurrente pueda asociarse a la misma.</w:t>
      </w:r>
    </w:p>
    <w:p w14:paraId="548A93CE" w14:textId="77777777" w:rsidR="003754FE" w:rsidRDefault="003754FE" w:rsidP="003754FE">
      <w:pPr>
        <w:pStyle w:val="TextoNormal"/>
      </w:pPr>
    </w:p>
    <w:p w14:paraId="7CA73AF2" w14:textId="154E89EB" w:rsidR="003754FE" w:rsidRDefault="003754FE" w:rsidP="003754FE">
      <w:pPr>
        <w:pStyle w:val="TextoNormal"/>
      </w:pPr>
      <w:r>
        <w:t>Este examen previo a la resolución de la queja de amparo debe completarse con el examen particular de la condición de asociación religiosa que ostenta la Esclavitud, y que tanto la Esclavitud como el Obispado de Tenerife han opuesto firmemente en las alegaciones presentadas en el recurso de amparo, dado que cuando se ponen en balance los derechos fundamentales antes señalados, también deben respetarse de forma adicional en este supuesto las exigencias que derivan del principio de libertad religiosa (art. 16 CE).</w:t>
      </w:r>
    </w:p>
    <w:p w14:paraId="0434341D" w14:textId="77777777" w:rsidR="003754FE" w:rsidRDefault="003754FE" w:rsidP="003754FE">
      <w:pPr>
        <w:pStyle w:val="TextoNormal"/>
      </w:pPr>
    </w:p>
    <w:p w14:paraId="6A3CAC21" w14:textId="77777777" w:rsidR="003754FE" w:rsidRDefault="003754FE" w:rsidP="003754FE">
      <w:pPr>
        <w:pStyle w:val="TextoNormal"/>
      </w:pPr>
      <w:r w:rsidRPr="003754FE">
        <w:rPr>
          <w:rStyle w:val="NumeroAFNegritaCaracter"/>
        </w:rPr>
        <w:t>2</w:t>
      </w:r>
      <w:r>
        <w:t xml:space="preserve">. </w:t>
      </w:r>
      <w:r w:rsidRPr="003754FE">
        <w:rPr>
          <w:i/>
        </w:rPr>
        <w:t>La doctrina sobre el derecho de asociación</w:t>
      </w:r>
    </w:p>
    <w:p w14:paraId="1DDD1C42" w14:textId="77777777" w:rsidR="003754FE" w:rsidRDefault="003754FE" w:rsidP="003754FE">
      <w:pPr>
        <w:pStyle w:val="TextoNormal"/>
      </w:pPr>
    </w:p>
    <w:p w14:paraId="0C26DC92" w14:textId="77777777" w:rsidR="003754FE" w:rsidRDefault="003754FE" w:rsidP="003754FE">
      <w:pPr>
        <w:pStyle w:val="TextoNormal"/>
      </w:pPr>
      <w:r>
        <w:t xml:space="preserve">Como recordamos en la reciente STC 129/2023, de 23 de octubre, FJ 3, este tribunal “ha desarrollado una consolidada doctrina sobre el derecho fundamental de asociación, regulado en el art. 22 CE y desarrollado en la Ley Orgánica 1/2002, de 22 de marzo, reguladora del derecho de asociación. A partir de la aprobación de esta ley orgánica, la configuración básica del derecho se ha mantenido prácticamente invariable en la doctrina de este tribunal, que ha identificado cuatro facetas integrantes de aquel derecho: a) la libertad de creación de asociaciones y de adscripción a las ya creadas, b) la libertad de no asociarse y de dejar de pertenecer a las mismas, c) la libertad de organización y funcionamiento internos sin injerencias públicas, y d) una dimensión </w:t>
      </w:r>
      <w:r w:rsidRPr="003754FE">
        <w:rPr>
          <w:i/>
        </w:rPr>
        <w:t>inter privatos</w:t>
      </w:r>
      <w:r>
        <w:t xml:space="preserve"> que garantiza un haz de facultades a los asociados considerados individualmente frente a las asociaciones a las que pertenezcan o a los particulares respecto de las asociaciones a las cuales pretendan incorporarse (por todas, STC 42/2011, de 11 de abril, FJ 3)”.</w:t>
      </w:r>
    </w:p>
    <w:p w14:paraId="7826D328" w14:textId="77777777" w:rsidR="003754FE" w:rsidRDefault="003754FE" w:rsidP="003754FE">
      <w:pPr>
        <w:pStyle w:val="TextoNormal"/>
      </w:pPr>
    </w:p>
    <w:p w14:paraId="3F5C1D4C" w14:textId="77777777" w:rsidR="003754FE" w:rsidRDefault="003754FE" w:rsidP="003754FE">
      <w:pPr>
        <w:pStyle w:val="TextoNormal"/>
      </w:pPr>
      <w:r>
        <w:t xml:space="preserve">En el presente recurso de amparo la previsión de los estatutos de la Esclavitud que impide a las mujeres asociarse afecta directamente al derecho que la recurrente ostenta de adscribirse a una asociación ya creada, acto de integración por el que “el asociado acepta los </w:t>
      </w:r>
      <w:r>
        <w:lastRenderedPageBreak/>
        <w:t>estatutos y se integra en la unidad no solo jurídica sino también moral que constituye la asociación” (STC 218/1988, de 22 de noviembre, FJ 2). No obstante, este derecho debe a su vez ponderarse con la facultad de la asociación de autoorganizarse y funcionar sin injerencias públicas, lo cual tiene a su vez una primera proyección en el derecho a elegir libremente a quien se asocia porque, precisamente, el fundamento de asociarse se encuentra “en la libre voluntad de los socios de unirse y de permanecer unidos para cumplir los fines sociales, creando entre ellos no solo un vínculo jurídico ‘sino también una solidaridad moral basada en la confianza recíproca’” (STC 129/2023, de 23 de octubre, FJ 3).</w:t>
      </w:r>
    </w:p>
    <w:p w14:paraId="6FFDD837" w14:textId="77777777" w:rsidR="003754FE" w:rsidRDefault="003754FE" w:rsidP="003754FE">
      <w:pPr>
        <w:pStyle w:val="TextoNormal"/>
      </w:pPr>
    </w:p>
    <w:p w14:paraId="2D44A7A3" w14:textId="77777777" w:rsidR="003754FE" w:rsidRDefault="003754FE" w:rsidP="003754FE">
      <w:pPr>
        <w:pStyle w:val="TextoNormal"/>
      </w:pPr>
      <w:r>
        <w:t>Esta libertad de autoorganización que el art. 22 CE reconoce a las asociaciones, como contenido propio del derecho fundamental, no tiene carácter absoluto sino que “colinda con los demás derechos de la misma índole y los derechos de los demás, teniendo como horizonte último el Código penal, en cuya virtud las asociaciones que persigan fines o utilicen medios tipificados como delito serán ilegales” (STC 104/1999, de 14 de junio, FJ 2, y, en sentido similar, STC 42/2011, FJ 3). El primer límite intrínseco de este derecho “lo marca el principio de legalidad en cuya virtud los estatutos sociales, como ejercicio de la potestad de autonomía, han de acomodarse no solo a la Constitución, sino también a las leyes que, respetando el contenido esencial de tal derecho, lo desarrollen o lo regulen” (STC 104/1999, de 14 de junio, FJ 2, y ATC 254/2001, de 20 de septiembre, FJ 4).</w:t>
      </w:r>
    </w:p>
    <w:p w14:paraId="4ECF68E0" w14:textId="77777777" w:rsidR="003754FE" w:rsidRDefault="003754FE" w:rsidP="003754FE">
      <w:pPr>
        <w:pStyle w:val="TextoNormal"/>
      </w:pPr>
    </w:p>
    <w:p w14:paraId="35FA00AC" w14:textId="77777777" w:rsidR="003754FE" w:rsidRDefault="003754FE" w:rsidP="003754FE">
      <w:pPr>
        <w:pStyle w:val="TextoNormal"/>
      </w:pPr>
      <w:r>
        <w:t>Lo dicho hasta ahora debe no obstante modularse cuando se trate, como dijimos en la STC 218/1988, de 22 de noviembre, FJ 3, de “una asociación que, aun siendo privada, ostentase de hecho o de derecho una posición dominante en el campo económico, cultural, social o profesional, de manera que la pertenencia o exclusión de ella supusiese un perjuicio significativo para el particular afectado”.</w:t>
      </w:r>
    </w:p>
    <w:p w14:paraId="2454228C" w14:textId="77777777" w:rsidR="003754FE" w:rsidRDefault="003754FE" w:rsidP="003754FE">
      <w:pPr>
        <w:pStyle w:val="TextoNormal"/>
      </w:pPr>
    </w:p>
    <w:p w14:paraId="1400F905" w14:textId="77777777" w:rsidR="003754FE" w:rsidRDefault="003754FE" w:rsidP="003754FE">
      <w:pPr>
        <w:pStyle w:val="TextoNormal"/>
      </w:pPr>
      <w:r>
        <w:t>En aplicación de esta doctrina este tribunal ya ha tenido la ocasión de señalar que cuando una asociación tiene una posición privilegiada, en particular, en el ejercicio de una determinada actividad profesional, en la medida en que el acceso a la misma quedara vedado si no se pertenece a la asociación, el acceso no puede regularse por normas o prácticas que, de forma directa o indirecta, discriminen a las mujeres. Así lo hemos reconocido en relación con el ingreso en la comunidad de pescadores de El Palmar, toda vez que la comunidad ocupa una posición privilegiada al tener reconocida por el poder público la explotación económica en exclusiva de un dominio público, las aguas de La Albufera y su riqueza piscícola, de modo que solo se puede ejercer la actividad pesquera en ese lugar si se es miembro de dicha comunidad (ATC 254/2001, FJ 4).</w:t>
      </w:r>
    </w:p>
    <w:p w14:paraId="2052262E" w14:textId="77777777" w:rsidR="003754FE" w:rsidRDefault="003754FE" w:rsidP="003754FE">
      <w:pPr>
        <w:pStyle w:val="TextoNormal"/>
      </w:pPr>
    </w:p>
    <w:p w14:paraId="1A3C8DB6" w14:textId="1D221559" w:rsidR="003754FE" w:rsidRDefault="003754FE" w:rsidP="003754FE">
      <w:pPr>
        <w:pStyle w:val="TextoNormal"/>
      </w:pPr>
      <w:r>
        <w:t>Así las cosas, el enjuiciamiento que le corresponde realizar a este tribunal supone examinar si puede quedar amparada en la autonomía de la voluntad de la Esclavitud la previsión de sus estatutos que impide a la recurrente ingresar en dicha asociación por el solo hecho de ser mujer, entrando en este caso dicha previsión en conflicto, no solo con el derecho de la recurrente a asociarse (art. 22 CE), sino más concretamente con su derecho a no ser discriminada por razón de sexo (art. 14 CE); en este supuesto, aunque el enjuiciamiento de los tribunales ordinarios sobre la actividad de las asociaciones esté claramente delimitado a un concreto “enjuiciamiento formal” y de “razonabilidad” en supuestos de conflicto entre derechos fundamentales (</w:t>
      </w:r>
      <w:r w:rsidRPr="003754FE">
        <w:rPr>
          <w:i/>
        </w:rPr>
        <w:t>v.gr</w:t>
      </w:r>
      <w:r>
        <w:t>.: asociación y libertad de religión), “el juicio ponderativo del Tribunal tampoco debe de ser excluido (STC 204/1997, de 25 de noviembre, FJ 2), por mor del art. 53 CE” (STC 42/2011, FJ 3).</w:t>
      </w:r>
    </w:p>
    <w:p w14:paraId="055D1753" w14:textId="77777777" w:rsidR="003754FE" w:rsidRDefault="003754FE" w:rsidP="003754FE">
      <w:pPr>
        <w:pStyle w:val="TextoNormal"/>
      </w:pPr>
    </w:p>
    <w:p w14:paraId="248C3D85" w14:textId="77777777" w:rsidR="003754FE" w:rsidRDefault="003754FE" w:rsidP="003754FE">
      <w:pPr>
        <w:pStyle w:val="TextoNormal"/>
      </w:pPr>
      <w:r w:rsidRPr="003754FE">
        <w:rPr>
          <w:rStyle w:val="NumeroAFNegritaCaracter"/>
        </w:rPr>
        <w:t>3</w:t>
      </w:r>
      <w:r>
        <w:t xml:space="preserve">. </w:t>
      </w:r>
      <w:r w:rsidRPr="003754FE">
        <w:rPr>
          <w:i/>
        </w:rPr>
        <w:t>El respeto a la libertad de autoorganización de las asociaciones religiosas y su alcance en la jurisprudencia europea</w:t>
      </w:r>
    </w:p>
    <w:p w14:paraId="107D2C77" w14:textId="77777777" w:rsidR="003754FE" w:rsidRDefault="003754FE" w:rsidP="003754FE">
      <w:pPr>
        <w:pStyle w:val="TextoNormal"/>
      </w:pPr>
    </w:p>
    <w:p w14:paraId="1601C014" w14:textId="77777777" w:rsidR="003754FE" w:rsidRDefault="003754FE" w:rsidP="003754FE">
      <w:pPr>
        <w:pStyle w:val="TextoNormal"/>
      </w:pPr>
      <w:r>
        <w:t>El examen que debe llevar a cabo este tribunal, como ya hemos anticipado, exige tener también en cuenta que la Esclavitud ha alegado no solo la prevalencia de su derecho de autoorganización (art. 22 CE) sino también de su derecho a la libertad religiosa (art. 16 CE) en la medida en que, tratándose de una asociación religiosa, obligarle a admitir a una persona concreta supondría también una vulneración de dicha libertad.</w:t>
      </w:r>
    </w:p>
    <w:p w14:paraId="18D598C3" w14:textId="77777777" w:rsidR="003754FE" w:rsidRDefault="003754FE" w:rsidP="003754FE">
      <w:pPr>
        <w:pStyle w:val="TextoNormal"/>
      </w:pPr>
    </w:p>
    <w:p w14:paraId="6F05223F" w14:textId="77777777" w:rsidR="003754FE" w:rsidRDefault="003754FE" w:rsidP="003754FE">
      <w:pPr>
        <w:pStyle w:val="TextoNormal"/>
      </w:pPr>
      <w:r>
        <w:t xml:space="preserve">Efectivamente, la Constitución española reconoce la libertad religiosa, garantizándola tanto a los individuos como a las comunidades, “sin más limitación, en sus manifestaciones, que la necesaria para el mantenimiento del orden público protegido por la ley” (art. 16.1 CE). En cuanto derecho subjetivo, la libertad religiosa tiene una doble dimensión, interna y externa. Así, según dijimos en la STC 177/1996, de 11 de noviembre, FJ 9, la libertad religiosa “garantiza la existencia de un claustro íntimo de creencias y, por tanto, un espacio de autodeterminación intelectual ante el fenómeno religioso, vinculado a la propia personalidad y dignidad individual”, y asimismo, “junto a esta dimensión interna, esta libertad [...] incluye también una dimensión externa de </w:t>
      </w:r>
      <w:r w:rsidRPr="003754FE">
        <w:rPr>
          <w:i/>
        </w:rPr>
        <w:t>agere licere</w:t>
      </w:r>
      <w:r>
        <w:t xml:space="preserve"> que faculta a los ciudadanos para actuar con arreglo a sus propias convicciones y mantenerlas frente a terceros (SSTC 19/1985, de 13 de febrero, FJ 2; 120/1990, de 27 de junio, FJ 10, y 137/1990, de 19 de julio, FJ 8)”. Este reconocimiento de un ámbito de libertad y de una esfera de </w:t>
      </w:r>
      <w:r w:rsidRPr="003754FE">
        <w:rPr>
          <w:i/>
        </w:rPr>
        <w:t>agere licere</w:t>
      </w:r>
      <w:r>
        <w:t xml:space="preserve"> lo es “con plena inmunidad de coacción del Estado o de cualesquiera grupos sociales” (STC 46/2001, de 15 de febrero, FJ 4, y, en el mismo sentido, las SSTC 24/1982, de 13 de mayo, FJ 1, y 166/1996, de 28 de octubre, FJ 2) y se complementa, en su dimensión negativa, por la prescripción del art. 16.2 CE de que “[n]adie podrá ser obligado a declarar sobre su ideología, religión o creencias”.</w:t>
      </w:r>
    </w:p>
    <w:p w14:paraId="1661CE3F" w14:textId="77777777" w:rsidR="003754FE" w:rsidRDefault="003754FE" w:rsidP="003754FE">
      <w:pPr>
        <w:pStyle w:val="TextoNormal"/>
      </w:pPr>
    </w:p>
    <w:p w14:paraId="05DD8036" w14:textId="77777777" w:rsidR="003754FE" w:rsidRDefault="003754FE" w:rsidP="003754FE">
      <w:pPr>
        <w:pStyle w:val="TextoNormal"/>
      </w:pPr>
      <w:r>
        <w:t>Ahora bien, el contenido del derecho a la libertad religiosa no se agota en la protección frente a injerencias externas de una esfera de libertad individual o colectiva que permite a los ciudadanos actuar con arreglo al credo que profesen (SSTC 19/1985, FJ 2; 120/1990, FJ 10, y 63/1994, de 28 de febrero, entre otras), pues cabe apreciar una dimensión externa de la libertad religiosa que se traduce, además, “en la posibilidad de ejercicio, inmune a toda coacción de los poderes públicos, de aquellas actividades que constituyen manifestaciones o expresiones del fenómeno religioso” (STC 46/2001, de 15 de febrero), tales como las que se relacionan en el art. 2.1 de la Ley Orgánica 7/1980, de libertad religiosa, relativas, entre otros particulares, a los actos de culto, enseñanza religiosa, reunión o manifestación pública con fines religiosos y asociación para el desarrollo comunitario de este tipo de actividades (STC 101/2004, de 2 de junio, FJ 3).</w:t>
      </w:r>
    </w:p>
    <w:p w14:paraId="2BA7F831" w14:textId="77777777" w:rsidR="003754FE" w:rsidRDefault="003754FE" w:rsidP="003754FE">
      <w:pPr>
        <w:pStyle w:val="TextoNormal"/>
      </w:pPr>
    </w:p>
    <w:p w14:paraId="20C9B222" w14:textId="77777777" w:rsidR="003754FE" w:rsidRDefault="003754FE" w:rsidP="003754FE">
      <w:pPr>
        <w:pStyle w:val="TextoNormal"/>
      </w:pPr>
      <w:r>
        <w:t xml:space="preserve">Como ya dijimos en la STC 46/2001, de 15 de febrero, FJ 11, “cuando el art. 16.1 CE garantiza las libertades ideológica, religiosa y de culto ‘sin más limitación, en sus manifestaciones, que el orden público protegido por la ley’, está significando con su sola redacción, no solo la trascendencia de aquellos derechos de libertad como pieza fundamental de todo orden de convivencia democrática (art. 1.1 CE), sino también el carácter excepcional del orden público como único límite al ejercicio de los mismos, lo que, jurídicamente, se traduce en la imposibilidad de ser aplicado por los poderes públicos como una cláusula abierta que </w:t>
      </w:r>
      <w:r>
        <w:lastRenderedPageBreak/>
        <w:t>pueda servir de asiento a meras sospechas sobre posibles comportamientos de futuro y sus hipotéticas consecuencias”.</w:t>
      </w:r>
    </w:p>
    <w:p w14:paraId="0E436160" w14:textId="77777777" w:rsidR="003754FE" w:rsidRDefault="003754FE" w:rsidP="003754FE">
      <w:pPr>
        <w:pStyle w:val="TextoNormal"/>
      </w:pPr>
    </w:p>
    <w:p w14:paraId="394E1F62" w14:textId="77777777" w:rsidR="003754FE" w:rsidRDefault="003754FE" w:rsidP="003754FE">
      <w:pPr>
        <w:pStyle w:val="TextoNormal"/>
      </w:pPr>
      <w:r>
        <w:t>Por ello “[e]l ejercicio de la libertad religiosa y de culto, como declara el art. 3.1 de la Ley Orgánica 7/1980, en absoluta sintonía con el art. 9 del Convenio europeo de derechos humanos, ‘tiene como único límite la protección del derecho de los demás al ejercicio de sus libertades públicas y derechos fundamentales, así como la salvaguarda de la seguridad, de la salud y de la moralidad pública, elementos constitutivos del orden público protegido por la ley en el ámbito de una sociedad democrática’”.</w:t>
      </w:r>
    </w:p>
    <w:p w14:paraId="53D97D50" w14:textId="77777777" w:rsidR="003754FE" w:rsidRDefault="003754FE" w:rsidP="003754FE">
      <w:pPr>
        <w:pStyle w:val="TextoNormal"/>
      </w:pPr>
    </w:p>
    <w:p w14:paraId="3BF7990E" w14:textId="77777777" w:rsidR="003754FE" w:rsidRDefault="003754FE" w:rsidP="003754FE">
      <w:pPr>
        <w:pStyle w:val="TextoNormal"/>
      </w:pPr>
      <w:r>
        <w:t xml:space="preserve">Siendo esto así, en el supuesto que nos ocupa, la libertad religiosa a la que apelan tanto la Esclavitud como el Obispado de Tenerife en sus respectivos escritos de alegaciones está intrínsicamente unida a la autonomía de la que gozan las asociaciones religiosas, protegida también por el art. 9 CEDH. Al interpretar este artículo del Convenio el Tribunal Europeo de Derechos Humanos viene reconociendo que la autonomía de las comunidades religiosas es indispensable para el pluralismo político en una sociedad democrática, presentando un interés directo no solo para la organización de estas comunidades en sí, sino también para el disfrute efectivo por el conjunto de sus miembros activos del derecho a la libertad religiosa; si la organización de la vida en comunidad no estuviera protegida por el art. 9 CEDH, todos los demás aspectos de la libertad de religión del individuo se encontrarían debilitados (SSTEDH, Gran Sala, de 9 de julio de 2013, asunto </w:t>
      </w:r>
      <w:r w:rsidRPr="003754FE">
        <w:rPr>
          <w:i/>
        </w:rPr>
        <w:t>Sindicatul “Păstorul Cel Bun” c. Rumanía</w:t>
      </w:r>
      <w:r>
        <w:t xml:space="preserve">, § 136, y de 12 de junio de 2014, asunto </w:t>
      </w:r>
      <w:r w:rsidRPr="003754FE">
        <w:rPr>
          <w:i/>
        </w:rPr>
        <w:t>Fernández Martínez c. España</w:t>
      </w:r>
      <w:r>
        <w:t>, §127).</w:t>
      </w:r>
    </w:p>
    <w:p w14:paraId="2DE0F80D" w14:textId="77777777" w:rsidR="003754FE" w:rsidRDefault="003754FE" w:rsidP="003754FE">
      <w:pPr>
        <w:pStyle w:val="TextoNormal"/>
      </w:pPr>
    </w:p>
    <w:p w14:paraId="0FC778A7" w14:textId="77777777" w:rsidR="003754FE" w:rsidRDefault="003754FE" w:rsidP="003754FE">
      <w:pPr>
        <w:pStyle w:val="TextoNormal"/>
      </w:pPr>
      <w:r>
        <w:t xml:space="preserve">El respeto a la autonomía de las comunidades religiosas reconocidas por el Estado implica, en particular, la aceptación por parte de este último del derecho de estas comunidades a actuar de acuerdo con sus propias reglas, imponiendo el art. 9 CEDH una obligación de neutralidad; y, además, cuando está en juego la organización de la comunidad religiosa, el art. 9 CEDH debe interpretarse a la luz del art. 11 CEDH, en la medida en que, si bien la libertad religiosa es principalmente una cuestión de conciencia individual, también implica, entre otras cosas, la libertad de manifestar la propia religión solo y en privado o en comunidad con otros, en público y dentro del círculo de aquellos cuya fe uno comparte (STEDH de 31 de julio de 2008, asunto </w:t>
      </w:r>
      <w:r w:rsidRPr="003754FE">
        <w:rPr>
          <w:i/>
        </w:rPr>
        <w:t>Religionsgemeinschaft der Zeugen Jehovas y otros c. Austria</w:t>
      </w:r>
      <w:r>
        <w:t xml:space="preserve">, § 61), lo que ha llevado al Tribunal a declarar de forma reiterada que la autonomía de las asociaciones y organizaciones religiosas impide que se obligue a una comunidad religiosa a admitir en su seno a nuevos miembros, o a excluir a otros (STEDH </w:t>
      </w:r>
      <w:r w:rsidRPr="003754FE">
        <w:rPr>
          <w:i/>
        </w:rPr>
        <w:t>Sindicatul “Păstorul Cel Bun” c. Rumanía</w:t>
      </w:r>
      <w:r>
        <w:t xml:space="preserve">, § 137, y </w:t>
      </w:r>
      <w:r w:rsidRPr="003754FE">
        <w:rPr>
          <w:i/>
        </w:rPr>
        <w:t>Fernández Martínez c. España</w:t>
      </w:r>
      <w:r>
        <w:t>, § 129).</w:t>
      </w:r>
    </w:p>
    <w:p w14:paraId="3ECF1BAD" w14:textId="77777777" w:rsidR="003754FE" w:rsidRDefault="003754FE" w:rsidP="003754FE">
      <w:pPr>
        <w:pStyle w:val="TextoNormal"/>
      </w:pPr>
    </w:p>
    <w:p w14:paraId="53563193" w14:textId="77777777" w:rsidR="003754FE" w:rsidRDefault="003754FE" w:rsidP="003754FE">
      <w:pPr>
        <w:pStyle w:val="TextoNormal"/>
      </w:pPr>
      <w:r>
        <w:t xml:space="preserve">En la sentencia dictada en el asunto </w:t>
      </w:r>
      <w:r w:rsidRPr="003754FE">
        <w:rPr>
          <w:i/>
        </w:rPr>
        <w:t>Sindicatul “Păstorul Cel Bun” c. Rumanía</w:t>
      </w:r>
      <w:r>
        <w:t xml:space="preserve">, el Tribunal Europeo de Derechos Humanos consideró amparada en la libertad de organización y funcionamiento de una comunidad religiosa su negativa a reconocer la creación de un sindicato por parte de sus integrantes, porque el riesgo invocado por las autoridades eclesiásticas era probable y serio, las razones expuestas por dichas autoridades no servían a un propósito ajeno al ejercicio de la autonomía de la religión en cuestión y la negativa a la inscripción del sindicato no iba más allá de lo necesario para evitar este riesgo. En concreto, la comunidad religiosa había alegado que los objetivos del sindicato no eran compatibles con el estatuto de la Iglesia y ponían en cuestión su estructura jerárquica tradicional y la forma en que se tomaban las decisiones, de modo que una decisión autorizando la inscripción del </w:t>
      </w:r>
      <w:r>
        <w:lastRenderedPageBreak/>
        <w:t>sindicato supondría un riesgo real en la autonomía de organización de la comunidad religiosa (</w:t>
      </w:r>
      <w:r w:rsidRPr="003754FE">
        <w:rPr>
          <w:i/>
        </w:rPr>
        <w:t>Sindicatul “Păstorul Cel Bun” c. Rumanía</w:t>
      </w:r>
      <w:r>
        <w:t>, § 161 y 165-170).</w:t>
      </w:r>
    </w:p>
    <w:p w14:paraId="43AB1613" w14:textId="77777777" w:rsidR="003754FE" w:rsidRDefault="003754FE" w:rsidP="003754FE">
      <w:pPr>
        <w:pStyle w:val="TextoNormal"/>
      </w:pPr>
    </w:p>
    <w:p w14:paraId="440556CC" w14:textId="77777777" w:rsidR="003754FE" w:rsidRDefault="003754FE" w:rsidP="003754FE">
      <w:pPr>
        <w:pStyle w:val="TextoNormal"/>
      </w:pPr>
      <w:r>
        <w:t xml:space="preserve">La necesidad de proteger la autonomía de las asociaciones y organizaciones religiosas llevó también al Tribunal Europeo de Derechos Humanos en la sentencia dictada en el asunto </w:t>
      </w:r>
      <w:r w:rsidRPr="003754FE">
        <w:rPr>
          <w:i/>
        </w:rPr>
        <w:t>Fernández Martínez c. España</w:t>
      </w:r>
      <w:r>
        <w:t xml:space="preserve"> a considerar justificada la no renovación de un profesor de religión que rompió los vínculos de confianza especial que eran necesarios para llevar a cabo el encargo que tenía, atendiendo al deber de lealtad acrecentado para que un profesor de religión sea creíble (</w:t>
      </w:r>
      <w:r w:rsidRPr="003754FE">
        <w:rPr>
          <w:i/>
        </w:rPr>
        <w:t>Fernández Martínez c. España</w:t>
      </w:r>
      <w:r>
        <w:t>, §136 y 138). El Tribunal confirmó que, salvo casos muy excepcionales, el derecho a la libertad religiosa excluye cualquier apreciación del Estado sobre la legitimidad de las creencias religiosas (</w:t>
      </w:r>
      <w:r w:rsidRPr="003754FE">
        <w:rPr>
          <w:i/>
        </w:rPr>
        <w:t>Fernández Martínez c. España</w:t>
      </w:r>
      <w:r>
        <w:t>, §129) y apreció igualmente que no hay un derecho a la disidencia en un grupo confesional y que las autoridades nacionales no deben convertirse en árbitros entre las organizaciones religiosas y las entidades disidentes (</w:t>
      </w:r>
      <w:r w:rsidRPr="003754FE">
        <w:rPr>
          <w:i/>
        </w:rPr>
        <w:t>Fernández Martínez c. España</w:t>
      </w:r>
      <w:r>
        <w:t>, § 136 y 138).</w:t>
      </w:r>
    </w:p>
    <w:p w14:paraId="712842AF" w14:textId="77777777" w:rsidR="003754FE" w:rsidRDefault="003754FE" w:rsidP="003754FE">
      <w:pPr>
        <w:pStyle w:val="TextoNormal"/>
      </w:pPr>
    </w:p>
    <w:p w14:paraId="3E2450F8" w14:textId="77777777" w:rsidR="003754FE" w:rsidRDefault="003754FE" w:rsidP="003754FE">
      <w:pPr>
        <w:pStyle w:val="TextoNormal"/>
      </w:pPr>
      <w:r>
        <w:t>En ambos pronunciamientos el Tribunal Europeo de Derechos Humanos admitió que una restricción a los derechos y libertades fundamentales del otro solo podría justificarse en la autonomía religiosa cuando se demuestre que el riesgo alegado es probable y serio, sin que dicho principio de autonomía puede alegarse de forma abusiva, insuficientemente motivada, arbitraria o con un fin distinto al ejercicio de la autonomía de la Iglesia Católica (</w:t>
      </w:r>
      <w:r w:rsidRPr="003754FE">
        <w:rPr>
          <w:i/>
        </w:rPr>
        <w:t>Fernández Martínez</w:t>
      </w:r>
      <w:r>
        <w:t>, §151).</w:t>
      </w:r>
    </w:p>
    <w:p w14:paraId="3032E296" w14:textId="77777777" w:rsidR="003754FE" w:rsidRDefault="003754FE" w:rsidP="003754FE">
      <w:pPr>
        <w:pStyle w:val="TextoNormal"/>
      </w:pPr>
    </w:p>
    <w:p w14:paraId="45AEC3E3" w14:textId="77777777" w:rsidR="003754FE" w:rsidRDefault="003754FE" w:rsidP="003754FE">
      <w:pPr>
        <w:pStyle w:val="TextoNormal"/>
      </w:pPr>
      <w:r>
        <w:t xml:space="preserve">También el derecho de la Unión Europea reconoce el derecho fundamental de las asociaciones religiosas a la autonomía y su libre determinación (art. 17 del Tratado de funcionamiento de la Unión Europea y arts. 10 y 12 de la Carta de derechos fundamentales de la Unión Europea), y la jurisprudencia del Tribunal de Justicia de la Unión Europea ha enfatizado la necesidad de llevar a cabo un ejercicio exhaustivo de equilibrio entre los intereses contrapuestos en juego cuando colisionan el derecho fundamental de la autonomía de las comunidades religiosas y otro derecho fundamental. En la sentencia </w:t>
      </w:r>
      <w:r w:rsidRPr="003754FE">
        <w:rPr>
          <w:i/>
        </w:rPr>
        <w:t>Vera Egenberger</w:t>
      </w:r>
      <w:r>
        <w:t>, STJUE de 17 de abril de 2018, asunto C-414/16, el Tribunal de Justicia examinó el derecho de toda persona a no ser discriminada en un procedimiento de selección de personal y el alcance de la excepción que recoge el art. 4 de la Directiva 2000/78/CE del Consejo, de 27 de noviembre de 2000, relativa al establecimiento de un marco general para la igualdad de trato en el empleo y la ocupación, que ampara la posibilidad de que una iglesia u otra organización pública o privada cuya ética se base en la religión o las convicciones de una persona pueda establecer, con ocasión del acceso al empleo, una diferencia de trato basada en la religión o las convicciones de una persona cuando, por la naturaleza de estas actividades o el contexto en el que se desarrollan, dicha característica constituya un requisito profesional esencial, legítimo y justificado respecto de la ética de la organización.</w:t>
      </w:r>
    </w:p>
    <w:p w14:paraId="294CC27E" w14:textId="77777777" w:rsidR="003754FE" w:rsidRDefault="003754FE" w:rsidP="003754FE">
      <w:pPr>
        <w:pStyle w:val="TextoNormal"/>
      </w:pPr>
    </w:p>
    <w:p w14:paraId="07402AFE" w14:textId="77777777" w:rsidR="003754FE" w:rsidRDefault="003754FE" w:rsidP="003754FE">
      <w:pPr>
        <w:pStyle w:val="TextoNormal"/>
      </w:pPr>
      <w:r>
        <w:t xml:space="preserve">Para el Tribunal de Justicia, aplicar una diferencia de trato como la descrita “se supedita a la existencia comprobable objetivamente de un vínculo directo entre el requisito profesional impuesto por el empresario y la actividad de que se trate. Tal vínculo puede derivarse o bien de la naturaleza de esta actividad, por ejemplo, cuando implica participar en la determinación de la ética de la Iglesia o la organización en cuestión o colaborar en su tarea de predicación, o bien de las circunstancias en que debe desarrollarse dicha actividad, como la necesidad de garantizar una representación fidedigna de la Iglesia o de la organización a </w:t>
      </w:r>
      <w:r>
        <w:lastRenderedPageBreak/>
        <w:t>efectos externos” (§ 63). Y deben cumplirse adicionalmente tres condiciones respecto a dicho requisito profesional en la medida en que se exige que sea esencial, legítimo y justificado, añadiendo respecto a esta última condición que el riesgo alegado de vulneración de su ética o de su derecho a la autonomía debe ser “probable y grave, de tal modo que el establecimiento de ese requisito resulte verdaderamente necesario” (§ 67), debiendo los órganos jurisdiccionales comprobar “si el requisito de que se trata es apropiado y no excede de lo necesario para alcanzar el objetivo previsto” (§ 68).</w:t>
      </w:r>
    </w:p>
    <w:p w14:paraId="6E146FB8" w14:textId="77777777" w:rsidR="003754FE" w:rsidRDefault="003754FE" w:rsidP="003754FE">
      <w:pPr>
        <w:pStyle w:val="TextoNormal"/>
      </w:pPr>
    </w:p>
    <w:p w14:paraId="45D00C14" w14:textId="50912F14" w:rsidR="003754FE" w:rsidRDefault="003754FE" w:rsidP="003754FE">
      <w:pPr>
        <w:pStyle w:val="TextoNormal"/>
      </w:pPr>
      <w:r>
        <w:t>Si bien ninguna de las sentencias que acaban de examinarse enjuician un supuesto como el que nos ocupa, deben tomarse en consideración por mandato del art. 10.2 CE en la determinación del contenido y alcance del derecho fundamental a la libertad religiosa (art. 16 CE), en la medida en que establecen las condiciones en las que las asociaciones religiosas pueden ampararse en su autonomía religiosa para justificar una restricción a los derechos fundamentales de terceros.</w:t>
      </w:r>
    </w:p>
    <w:p w14:paraId="4D4C32E2" w14:textId="77777777" w:rsidR="003754FE" w:rsidRDefault="003754FE" w:rsidP="003754FE">
      <w:pPr>
        <w:pStyle w:val="TextoNormal"/>
      </w:pPr>
    </w:p>
    <w:p w14:paraId="28DB026F" w14:textId="77777777" w:rsidR="003754FE" w:rsidRDefault="003754FE" w:rsidP="003754FE">
      <w:pPr>
        <w:pStyle w:val="TextoNormal"/>
      </w:pPr>
      <w:r w:rsidRPr="003754FE">
        <w:rPr>
          <w:rStyle w:val="NumeroAFNegritaCaracter"/>
        </w:rPr>
        <w:t>4</w:t>
      </w:r>
      <w:r>
        <w:t xml:space="preserve">. </w:t>
      </w:r>
      <w:r w:rsidRPr="003754FE">
        <w:rPr>
          <w:i/>
        </w:rPr>
        <w:t>Examen de la queja constitucional</w:t>
      </w:r>
    </w:p>
    <w:p w14:paraId="1538969C" w14:textId="77777777" w:rsidR="003754FE" w:rsidRDefault="003754FE" w:rsidP="003754FE">
      <w:pPr>
        <w:pStyle w:val="TextoNormal"/>
      </w:pPr>
    </w:p>
    <w:p w14:paraId="69FE074E" w14:textId="77777777" w:rsidR="003754FE" w:rsidRDefault="003754FE" w:rsidP="003754FE">
      <w:pPr>
        <w:pStyle w:val="TextoNormal"/>
      </w:pPr>
      <w:r>
        <w:t>La recurrente denuncia en el presente recurso de amparo que la exclusión de las mujeres de la posibilidad de asociarse a la Esclavitud ha vulnerado su derecho a la no discriminación por razón de sexo y su derecho de asociación (arts. 14 CE y 22 CE) y que dicha discriminación no puede ampararse en la libertad de autoorganización de la Esclavitud ni tampoco en su libertad religiosa, derechos que el Tribunal Supremo, en su sentencia de 23 de diciembre de 2021, ha considerado prevalentes, anulando como resultado las sentencias dictadas por el Juzgado de Primera Instancia núm. 2 de Santa Cruz de Tenerife y por la Audiencia Provincial de Santa Cruz de Tenerife, que reconocieron a la recurrente el derecho a integrarse en la Esclavitud; en particular, el Alto Tribunal ha considerado que las actividades y fines de la Esclavitud son exclusivamente religiosos y que no aprecia tampoco una situación de monopolio o exclusividad por parte de la Esclavitud que impida que la recurrente promueva una nueva hermandad, con los mismos fines espirituales y religiosos, integrada por hombres y mujeres o solo por mujeres.</w:t>
      </w:r>
    </w:p>
    <w:p w14:paraId="1787C973" w14:textId="77777777" w:rsidR="003754FE" w:rsidRDefault="003754FE" w:rsidP="003754FE">
      <w:pPr>
        <w:pStyle w:val="TextoNormal"/>
      </w:pPr>
    </w:p>
    <w:p w14:paraId="1BAB58E8" w14:textId="77777777" w:rsidR="003754FE" w:rsidRDefault="003754FE" w:rsidP="003754FE">
      <w:pPr>
        <w:pStyle w:val="TextoNormal"/>
      </w:pPr>
      <w:r>
        <w:t>La imposibilidad de la recurrente de asociarse a la Esclavitud es consecuencia de la previsión de sus estatutos, que disponen en su artículo primero que: “La Esclavitud del Santísimo Cristo de La Laguna es una asociación religiosa de caballeros”, siendo así que la Esclavitud fue fundada el 6 de septiembre de 1659 por “los más distinguidos” de la isla de Tenerife, e inicialmente solo estaba compuesta por treinta y tres caballeros seglares “en memoria de los años que Jesucristo estuvo entre los hombres vestido de su santísima humanidad”; este número fue objeto de ampliaciones hasta que tras las nuevas Constituciones de 1892 el número ahora es ilimitado.</w:t>
      </w:r>
    </w:p>
    <w:p w14:paraId="6AF0BBDC" w14:textId="77777777" w:rsidR="003754FE" w:rsidRDefault="003754FE" w:rsidP="003754FE">
      <w:pPr>
        <w:pStyle w:val="TextoNormal"/>
      </w:pPr>
    </w:p>
    <w:p w14:paraId="5BA10904" w14:textId="77777777" w:rsidR="003754FE" w:rsidRDefault="003754FE" w:rsidP="003754FE">
      <w:pPr>
        <w:pStyle w:val="TextoNormal"/>
      </w:pPr>
      <w:r>
        <w:t>Si bien el número de miembros se amplió, no siendo ya necesario ser un “distinguido” de la isla para acceder a la Esclavitud, la ampliación de la condición de asociado no se ha visto acompañada en el tiempo por una modificación del genitivo “de caballeros” que al referirse únicamente al varón sigue impidiendo que cuatro siglos después las mujeres puedan acceder a la hermandad, aun cuando cumplan los requisitos para integrarse en la misma, tal y como vienen recogidos en los estatutos.</w:t>
      </w:r>
    </w:p>
    <w:p w14:paraId="794490DF" w14:textId="77777777" w:rsidR="003754FE" w:rsidRDefault="003754FE" w:rsidP="003754FE">
      <w:pPr>
        <w:pStyle w:val="TextoNormal"/>
      </w:pPr>
    </w:p>
    <w:p w14:paraId="61BC86A4" w14:textId="77777777" w:rsidR="003754FE" w:rsidRDefault="003754FE" w:rsidP="003754FE">
      <w:pPr>
        <w:pStyle w:val="TextoNormal"/>
      </w:pPr>
      <w:r>
        <w:lastRenderedPageBreak/>
        <w:t>Entre los requisitos para ser admitido en la Esclavitud, el artículo octavo de dichos estatutos únicamente prescribe que “[p]ara ingresar en la Venerable Esclavitud como miembro de número se precisa estar bautizado, tener dieciocho años cumplidos, deseos de perfección cristiana y acreditar una conducta moral satisfactoria, tanto en el ámbito personal como social”. Por lo que, tal y como ha puesto de manifiesto de forma acertada el Ministerio Fiscal, la previsión del artículo primero que, con el genitivo de caballeros, solo permite que “hombres” puedan asociarse a la Esclavitud, es la única previsión que en la actualidad impide a la recurrente el acceso a la hermandad, por su condición de “mujer”.</w:t>
      </w:r>
    </w:p>
    <w:p w14:paraId="6E494D59" w14:textId="77777777" w:rsidR="003754FE" w:rsidRDefault="003754FE" w:rsidP="003754FE">
      <w:pPr>
        <w:pStyle w:val="TextoNormal"/>
      </w:pPr>
    </w:p>
    <w:p w14:paraId="70BB4E8F" w14:textId="77777777" w:rsidR="003754FE" w:rsidRDefault="003754FE" w:rsidP="003754FE">
      <w:pPr>
        <w:pStyle w:val="TextoNormal"/>
      </w:pPr>
      <w:r>
        <w:t>a) Dado que la Esclavitud es una asociación religiosa, que efectivamente goza del derecho a la libertad religiosa, la ponderación de los derechos fundamentales en conflicto exige determinar, en primer lugar, si la exclusión de las mujeres prevista en sus estatutos está amparada por su autonomía religiosa (art. 16 CE) pues, si este fuera el caso, resultaría ya innecesario examinar si dicha negativa viene también amparada por su derecho fundamental de asociación (art. 22 CE).</w:t>
      </w:r>
    </w:p>
    <w:p w14:paraId="0D53032A" w14:textId="77777777" w:rsidR="003754FE" w:rsidRDefault="003754FE" w:rsidP="003754FE">
      <w:pPr>
        <w:pStyle w:val="TextoNormal"/>
      </w:pPr>
    </w:p>
    <w:p w14:paraId="0E84302E" w14:textId="77777777" w:rsidR="003754FE" w:rsidRDefault="003754FE" w:rsidP="003754FE">
      <w:pPr>
        <w:pStyle w:val="TextoNormal"/>
      </w:pPr>
      <w:r>
        <w:t>La libertad religiosa, conforme a la jurisprudencia que hemos examinado previamente, implica, entre otras cosas, la libertad de manifestar la propia religión solo y en privado o en comunidad con otros, en público y dentro del círculo de aquellos cuya fe uno comparte. La Ley Orgánica de libertad religiosa reconoce expresamente el respeto a la autonomía religiosa de las iglesias, confesiones y comunidades religiosas inscritas, disponiendo en el apartado primero de su art. 6, que estas “tendrán plena autonomía y podrán establecer sus propias normas de organización, régimen interno y régimen de su personal”; asimismo, que “[e]n dichas normas, así como en las que regulen las instituciones creadas por aquellas para la realización de sus fines, podrán incluir cláusulas de salvaguarda de su identidad religiosa y carácter propio, así como del debido respeto a sus creencias”. Y más concretamente el Acuerdo entre el Estado español y la Santa Sede sobre asuntos jurídicos, firmado el 3 de enero de 1979 en la Ciudad del Vaticano, y ratificado el 4 de diciembre del mismo año, reconoció en su artículo I que la Iglesia puede organizarse libremente.</w:t>
      </w:r>
    </w:p>
    <w:p w14:paraId="25D3D86F" w14:textId="77777777" w:rsidR="003754FE" w:rsidRDefault="003754FE" w:rsidP="003754FE">
      <w:pPr>
        <w:pStyle w:val="TextoNormal"/>
      </w:pPr>
    </w:p>
    <w:p w14:paraId="05779D1D" w14:textId="77777777" w:rsidR="003754FE" w:rsidRDefault="003754FE" w:rsidP="003754FE">
      <w:pPr>
        <w:pStyle w:val="TextoNormal"/>
      </w:pPr>
      <w:r>
        <w:t>Las exigencias de la libertad religiosa y del principio de neutralidad religiosa que derivan del art. 16 CE deben conciliarse con la protección jurisdiccional de los derechos fundamentales, pues ningún derecho, ni aun los fundamentales, es absoluto o ilimitado. Precisamente por ello, el art. 6 LOLR se encarga de establecer que las cláusulas de salvaguarda de la identidad religiosa y carácter propio que pueden regular las instituciones religiosas lo son, en cualquier caso, “sin perjuicio del respeto de los derechos y libertades reconocidos por la Constitución, y en especial de los de libertad, igualdad y no discriminación”. Y similar limitación recoge el art. 3.1 LOLR al establecer que “[e]l ejercicio de los derechos dimanantes de la libertad religiosa y de culto tiene como único límite la protección del derecho de los demás al ejercicio de sus libertades públicas y derechos fundamentales, así como la salvaguardia de la seguridad, de la salud y de la moralidad pública, elementos constitutivos del orden público protegido por la Ley en el ámbito de una sociedad democrática”.</w:t>
      </w:r>
    </w:p>
    <w:p w14:paraId="37078CAC" w14:textId="77777777" w:rsidR="003754FE" w:rsidRDefault="003754FE" w:rsidP="003754FE">
      <w:pPr>
        <w:pStyle w:val="TextoNormal"/>
      </w:pPr>
    </w:p>
    <w:p w14:paraId="6DCE0360" w14:textId="77777777" w:rsidR="003754FE" w:rsidRDefault="003754FE" w:rsidP="003754FE">
      <w:pPr>
        <w:pStyle w:val="TextoNormal"/>
      </w:pPr>
      <w:r>
        <w:t xml:space="preserve">Una restricción de los derechos y libertades reconocidos en la Constitución, y en especial de los de libertad, igualdad y no discriminación, que se fundamente en la necesidad de salvaguardar la autonomía de una asociación religiosa, en tanto manifestación del derecho a la libertad religiosa amparada en el art. 16 CE, exige, como pone de manifiesto el Tribunal Europeo de Derechos Humanos en las sentencias extensamente examinadas en el </w:t>
      </w:r>
      <w:r>
        <w:lastRenderedPageBreak/>
        <w:t>fundamento jurídico precedente, que exista una amenaza probable y seria a dicha autonomía y que la restricción sea proporcional y, en consecuencia, el principio de autonomía no puede alegarse de forma abusiva, insuficientemente motivada, arbitraria o con un propósito ajeno al ejercicio de la autonomía de la religión en cuestión.</w:t>
      </w:r>
    </w:p>
    <w:p w14:paraId="0CB514BB" w14:textId="77777777" w:rsidR="003754FE" w:rsidRDefault="003754FE" w:rsidP="003754FE">
      <w:pPr>
        <w:pStyle w:val="TextoNormal"/>
      </w:pPr>
    </w:p>
    <w:p w14:paraId="1EDDD262" w14:textId="77777777" w:rsidR="003754FE" w:rsidRDefault="003754FE" w:rsidP="003754FE">
      <w:pPr>
        <w:pStyle w:val="TextoNormal"/>
      </w:pPr>
      <w:r>
        <w:t>No obstante, en el presente recurso de amparo, ni la Esclavitud ni el Obispado de Tenerife han puesto de manifiesto que la prohibición de las mujeres de formar parte de la Esclavitud obedezca a una valoración o motivación religiosa, más allá de insistir en que los fines de la asociación son exclusivamente religiosos y que, en consecuencia, solo a la hermandad le corresponde decidir si las mujeres se incorporan a la misma, alegación abstracta a la libertad religiosa que no puede justificar una restricción del derecho fundamental de no discriminación por razón de sexo en la medida en que la autonomía de las comunidades religiosas que es objeto de protección en nuestro texto constitucional no puede alegarse de forma abusiva.</w:t>
      </w:r>
    </w:p>
    <w:p w14:paraId="330568A5" w14:textId="77777777" w:rsidR="003754FE" w:rsidRDefault="003754FE" w:rsidP="003754FE">
      <w:pPr>
        <w:pStyle w:val="TextoNormal"/>
      </w:pPr>
    </w:p>
    <w:p w14:paraId="22C08487" w14:textId="77777777" w:rsidR="003754FE" w:rsidRDefault="003754FE" w:rsidP="003754FE">
      <w:pPr>
        <w:pStyle w:val="TextoNormal"/>
      </w:pPr>
      <w:r>
        <w:t>Tampoco aprecia este tribunal que la decisión de no admitir mujeres en la Esclavitud esté fundada en motivos atinentes a la ética o a su organización religiosa. Por un lado, la propia hermandad ha explicado en su escrito de alegaciones que la admisión de mujeres en su seno era una cuestión que estaba debatiendo internamente, y que de hecho iba a ser abordada en una comisión para luego someter la cuestión a la asamblea general, proceso que no obstante decidió suspender a la vista de que la recurrente decidió ejercitar acciones judiciales contra la Esclavitud, lo cual no puede sino confirmar que la admisión de mujeres no pone en cuestión la libertad religiosa de la que goza la Esclavitud.</w:t>
      </w:r>
    </w:p>
    <w:p w14:paraId="41B326B8" w14:textId="77777777" w:rsidR="003754FE" w:rsidRDefault="003754FE" w:rsidP="003754FE">
      <w:pPr>
        <w:pStyle w:val="TextoNormal"/>
      </w:pPr>
    </w:p>
    <w:p w14:paraId="14FA4732" w14:textId="77777777" w:rsidR="003754FE" w:rsidRDefault="003754FE" w:rsidP="003754FE">
      <w:pPr>
        <w:pStyle w:val="TextoNormal"/>
      </w:pPr>
      <w:r>
        <w:t>Por otro lado, en este examen es también relevante el hecho de que siendo la Esclavitud una asociación regida por el Derecho canónico, dicho derecho no impide, como explica el Obispado de Tenerife, que las mujeres se integren en las hermandades y cofradías, siendo notoria la existencia de otras cofradías y hermandades que admiten que fieles laicos de ambos sexos puedan pertenecer a ellas, haciendo referencia expresa en sus alegaciones a la regulación que al respecto actualmente está vigente en la Archidiócesis de Sevilla.</w:t>
      </w:r>
    </w:p>
    <w:p w14:paraId="2B5172DC" w14:textId="77777777" w:rsidR="003754FE" w:rsidRDefault="003754FE" w:rsidP="003754FE">
      <w:pPr>
        <w:pStyle w:val="TextoNormal"/>
      </w:pPr>
    </w:p>
    <w:p w14:paraId="63FD93CA" w14:textId="77777777" w:rsidR="003754FE" w:rsidRDefault="003754FE" w:rsidP="003754FE">
      <w:pPr>
        <w:pStyle w:val="TextoNormal"/>
      </w:pPr>
      <w:r>
        <w:t>Por lo tanto, no existiendo razones de índole religiosa o moral que permitan amparar la restricción por parte de la Esclavitud de los derechos fundamentales de la recurrente en el lícito ejercicio de su derecho fundamental a la libertad religiosa (art. 16.1 CE), debemos ahora examinar si dicha exclusión puede estar no obstante amparada por la facultad de autoorganización de la que gozan las asociaciones privadas en general conforme al derecho de asociación (art. 22 CE).</w:t>
      </w:r>
    </w:p>
    <w:p w14:paraId="492EF9E2" w14:textId="77777777" w:rsidR="003754FE" w:rsidRDefault="003754FE" w:rsidP="003754FE">
      <w:pPr>
        <w:pStyle w:val="TextoNormal"/>
      </w:pPr>
    </w:p>
    <w:p w14:paraId="6D094D9B" w14:textId="77777777" w:rsidR="003754FE" w:rsidRDefault="003754FE" w:rsidP="003754FE">
      <w:pPr>
        <w:pStyle w:val="TextoNormal"/>
      </w:pPr>
      <w:r>
        <w:t>b) La Esclavitud es una asociación religiosa y, como tal, está amparada por el derecho de asociación (art. 22 CE), debiendo también recordarse que las asociaciones constituidas para fines exclusivamente religiosos se regirán por lo dispuesto en los tratados internacionales y en las leyes específicas, sin perjuicio de la aplicación supletoria de las disposiciones de la Ley Orgánica reguladora del derecho de asociación (art. 1.3, apartado segundo, LODA).</w:t>
      </w:r>
    </w:p>
    <w:p w14:paraId="4093EDCF" w14:textId="77777777" w:rsidR="003754FE" w:rsidRDefault="003754FE" w:rsidP="003754FE">
      <w:pPr>
        <w:pStyle w:val="TextoNormal"/>
      </w:pPr>
    </w:p>
    <w:p w14:paraId="4AA00579" w14:textId="77777777" w:rsidR="003754FE" w:rsidRDefault="003754FE" w:rsidP="003754FE">
      <w:pPr>
        <w:pStyle w:val="TextoNormal"/>
      </w:pPr>
      <w:r>
        <w:t xml:space="preserve">(i) En virtud del derecho de asociación, una asociación privada ostenta la facultad de elegir libremente a quien asocia, porque el fundamento de asociarse se encuentra, como ya hemos explicado, en “la libre voluntad de los socios de unirse y de permanecer unidos para cumplir los fines sociales”, creando entre ellos “no solo un vínculo jurídico […] ‘sino </w:t>
      </w:r>
      <w:r>
        <w:lastRenderedPageBreak/>
        <w:t>también una solidaridad moral basada en la confianza recíproca’” (STC 218/1988, de 22 de noviembre). Por lo tanto, no es contrario al derecho de igualdad que los particulares decidan crear asociaciones en las que, en función de los fines que se persiguen y atendiendo a la relación que se quiera establecer entre los asociados, solo se permita la participación de un determinado género, existiendo ejemplos de ello en la vida diaria.</w:t>
      </w:r>
    </w:p>
    <w:p w14:paraId="02A21B34" w14:textId="77777777" w:rsidR="003754FE" w:rsidRDefault="003754FE" w:rsidP="003754FE">
      <w:pPr>
        <w:pStyle w:val="TextoNormal"/>
      </w:pPr>
    </w:p>
    <w:p w14:paraId="26A90E67" w14:textId="77777777" w:rsidR="003754FE" w:rsidRDefault="003754FE" w:rsidP="003754FE">
      <w:pPr>
        <w:pStyle w:val="TextoNormal"/>
      </w:pPr>
      <w:r>
        <w:t>No obstante, si bien una asociación privada ostenta el derecho a elegir libremente a quien asocia, esta facultad no puede suponer una discriminación por razón de género cuando la asociación ostente una posición “privilegiada” o “dominante” en el campo económico, cultural, social o profesional, de manera que la no pertenencia a dicha asociación suponga un quebranto objetivo de los intereses de las mujeres en dichos ámbitos (STC 218/1988 y ATC 254/2001).</w:t>
      </w:r>
    </w:p>
    <w:p w14:paraId="415F6E81" w14:textId="77777777" w:rsidR="003754FE" w:rsidRDefault="003754FE" w:rsidP="003754FE">
      <w:pPr>
        <w:pStyle w:val="TextoNormal"/>
      </w:pPr>
    </w:p>
    <w:p w14:paraId="0AE31B97" w14:textId="77777777" w:rsidR="003754FE" w:rsidRDefault="003754FE" w:rsidP="003754FE">
      <w:pPr>
        <w:pStyle w:val="TextoNormal"/>
      </w:pPr>
      <w:r>
        <w:t>La igualdad sustantiva entre hombres y mujeres, como este tribunal viene reconociendo, “es un elemento definidor de la noción de ciudadanía en nuestro orden constitucional” (SSTC 12/2008, de 29 de enero, FJ 4; 108/2019, de 30 de septiembre, FJ 3, y 71/2020, de 29 de junio, FJ 3) y la tradición histórica que ha venido legitimando la discriminación directa o indirecta de las mujeres no puede quedar amparada por la libertad de autoorganización de las asociaciones privadas, cuando estas ocupen una posición de dominio en los citados ámbitos económico, cultural, social o profesional, mermando la participación de la mujer en dichos ámbitos.</w:t>
      </w:r>
    </w:p>
    <w:p w14:paraId="141EA91A" w14:textId="77777777" w:rsidR="003754FE" w:rsidRDefault="003754FE" w:rsidP="003754FE">
      <w:pPr>
        <w:pStyle w:val="TextoNormal"/>
      </w:pPr>
    </w:p>
    <w:p w14:paraId="52C28D66" w14:textId="77777777" w:rsidR="003754FE" w:rsidRDefault="003754FE" w:rsidP="003754FE">
      <w:pPr>
        <w:pStyle w:val="TextoNormal"/>
      </w:pPr>
      <w:r>
        <w:t>De lo contrario, no sería posible cumplir con las exigencias que derivan de la expresa exclusión de la discriminación por razón del sexo y que “halla su razón concreta, como resulta de los mismos antecedentes parlamentarios del art. 14 CE, y es unánimemente admitido por la doctrina científica, en la voluntad de terminar con la histórica situación de inferioridad en que, en la vida social y jurídica, se había colocado a la población femenina, pues es ese colectivo el que ha sufrido y aún sufre la relegación social o jurídica estructural frente a la que la prohibición de discriminación por razón de sexo quiere salir al paso consagrando y atribuyendo el derecho que nos ocupa” (STC 108/2019, FJ 3).</w:t>
      </w:r>
    </w:p>
    <w:p w14:paraId="7005809B" w14:textId="77777777" w:rsidR="003754FE" w:rsidRDefault="003754FE" w:rsidP="003754FE">
      <w:pPr>
        <w:pStyle w:val="TextoNormal"/>
      </w:pPr>
    </w:p>
    <w:p w14:paraId="526CD034" w14:textId="77777777" w:rsidR="003754FE" w:rsidRDefault="003754FE" w:rsidP="003754FE">
      <w:pPr>
        <w:pStyle w:val="TextoNormal"/>
      </w:pPr>
      <w:r>
        <w:t>(ii) En el presente supuesto, el art. 1 de los estatutos de la Esclavitud establece como principio general que se constituye “para promover entre sus asociados una vida cristiana más perfecta, el ejercicio de obras de piedad evangélica y el incremento de la devoción y culto a la Sagrada Imagen de Nuestro Señor Crucificado, traída a esta isla por el Primer Adelantado Mayor de Canarias, don Alonso Fernández de Lugo, y que desde entonces ha recibido constante veneración popular en su capilla, que fuera primer Convento de la Orden Franciscana en Tenerife, denominado San Miguel de las Victorias”. En su art. 6 concreta otros objetivos fundamentales dirigidos a facilitar la vida cristiana a sus asociados, y que son consecuencia de su finalidad primordial de promover el incremento de la “devoción y culto a la Sagrada Imagen del Cristo de La Laguna”.</w:t>
      </w:r>
    </w:p>
    <w:p w14:paraId="3F89B566" w14:textId="77777777" w:rsidR="003754FE" w:rsidRDefault="003754FE" w:rsidP="003754FE">
      <w:pPr>
        <w:pStyle w:val="TextoNormal"/>
      </w:pPr>
    </w:p>
    <w:p w14:paraId="5CFAFA13" w14:textId="77777777" w:rsidR="003754FE" w:rsidRDefault="003754FE" w:rsidP="003754FE">
      <w:pPr>
        <w:pStyle w:val="TextoNormal"/>
      </w:pPr>
      <w:r>
        <w:t>A continuación, el art. 7 enumera diversas actividades que se obliga a programar para intensificar el deseo de perfección espiritual y de formación religiosa de sus asociados, que lo son, en todo caso, “[a]demás de los actos devocionales y esencialmente cultuales en honor de la Sagrada Imagen —tales como el Quinario, el Octavario, las procesiones, los viernes y otros—”.</w:t>
      </w:r>
    </w:p>
    <w:p w14:paraId="1AD725EC" w14:textId="77777777" w:rsidR="003754FE" w:rsidRDefault="003754FE" w:rsidP="003754FE">
      <w:pPr>
        <w:pStyle w:val="TextoNormal"/>
      </w:pPr>
    </w:p>
    <w:p w14:paraId="364B1CD5" w14:textId="77777777" w:rsidR="003754FE" w:rsidRDefault="003754FE" w:rsidP="003754FE">
      <w:pPr>
        <w:pStyle w:val="TextoNormal"/>
      </w:pPr>
      <w:r>
        <w:lastRenderedPageBreak/>
        <w:t>Así las cosas, la sentencia recurrida en amparo ha apreciado que la Esclavitud no ostenta una posición de dominio porque las actividades que realiza, y de las que se excluye a la recurrente, son actos de culto religioso y ajenos a toda connotación económica, profesional o laboral. Se examinan así dos de los ámbitos en los que una asociación puede desempeñar ese papel dominante, el económico y el profesional, pero no se aborda la cuestión determinante de si la asociación podía ser una asociación dominante en los ámbitos social y cultural.</w:t>
      </w:r>
    </w:p>
    <w:p w14:paraId="160B3C3D" w14:textId="77777777" w:rsidR="003754FE" w:rsidRDefault="003754FE" w:rsidP="003754FE">
      <w:pPr>
        <w:pStyle w:val="TextoNormal"/>
      </w:pPr>
    </w:p>
    <w:p w14:paraId="31278FF7" w14:textId="77777777" w:rsidR="003754FE" w:rsidRDefault="003754FE" w:rsidP="003754FE">
      <w:pPr>
        <w:pStyle w:val="TextoNormal"/>
      </w:pPr>
      <w:r>
        <w:t>Los actos devocionales y de culto tales como “el Quinario, el Octavario, las procesiones, los viernes y otros” son actos “cultuales”, como aprecia la sentencia recurrida en amparo, y defienden en el presente procedimiento constitucional tanto la Esclavitud como el Obispado de Tenerife, es decir, actos de culto, manifestaciones públicas y festivas amparadas y protegidas por la dimensión colectiva del derecho a la libertad religiosa. Pero el que sean actos de culto no excluye que estos actos puedan tener también una proyección social o cultural, dado que la cultura y la religión, siendo elementos distintos, no son compartimentos estancos, y un gran número de manifestaciones religiosas en España forman parte de la historia y cultura social de nuestro país.</w:t>
      </w:r>
    </w:p>
    <w:p w14:paraId="5FB06E38" w14:textId="77777777" w:rsidR="003754FE" w:rsidRDefault="003754FE" w:rsidP="003754FE">
      <w:pPr>
        <w:pStyle w:val="TextoNormal"/>
      </w:pPr>
    </w:p>
    <w:p w14:paraId="64F9017E" w14:textId="77777777" w:rsidR="003754FE" w:rsidRDefault="003754FE" w:rsidP="003754FE">
      <w:pPr>
        <w:pStyle w:val="TextoNormal"/>
      </w:pPr>
      <w:r>
        <w:t>Por lo tanto, no se trata de negar la naturaleza religiosa de estas manifestaciones públicas y festivas, sino de reconocer su dimensión cultural o social y, en consecuencia, las asociaciones que organizan y participan de estas manifestaciones públicas y festivas de la fe pueden también tener una posición dominante o privilegiada en función de la relevancia social y cultural que estas manifestaciones adquieran, lo cual, es evidente, dependerá necesariamente de las circunstancias del caso concreto.</w:t>
      </w:r>
    </w:p>
    <w:p w14:paraId="0C7D503C" w14:textId="77777777" w:rsidR="003754FE" w:rsidRDefault="003754FE" w:rsidP="003754FE">
      <w:pPr>
        <w:pStyle w:val="TextoNormal"/>
      </w:pPr>
    </w:p>
    <w:p w14:paraId="2788DCB7" w14:textId="77777777" w:rsidR="003754FE" w:rsidRDefault="003754FE" w:rsidP="003754FE">
      <w:pPr>
        <w:pStyle w:val="TextoNormal"/>
      </w:pPr>
      <w:r>
        <w:t>En la sentencia de 11 de marzo de 2020 dictada por el Juzgado de Primera Instancia núm. 2 de Santa Cruz de Tenerife se explicó que “ha quedado probado que esos actos devocionales se concretan en la organización de determinados actos de culto públicos y principales de la Semana Santa que se celebra en la ciudad de San Cristóbal de La Laguna que, como es notorio, es la ciudad con mayor tradición y relevancia pública en estos actos religiosos en la isla de Tenerife. Y entre esos actos de culto se encuentran la tradicional Ceremonia del Descendimiento del Santísimo Cristo de La Laguna y su posterior besapiés en el Domingo de Ramos, el acompañamiento de la imagen en la procesión de ‘El Encuentro’ e, igualmente, la asociación demandada se encarga de la programación de los actos religiosos que tienen lugar en las fiestas mayores que se celebran cada mes de septiembre en honor al Santísimo Cristo en el citado municipio de San Cristóbal de La Laguna”.</w:t>
      </w:r>
    </w:p>
    <w:p w14:paraId="2B52CD39" w14:textId="77777777" w:rsidR="003754FE" w:rsidRDefault="003754FE" w:rsidP="003754FE">
      <w:pPr>
        <w:pStyle w:val="TextoNormal"/>
      </w:pPr>
    </w:p>
    <w:p w14:paraId="0DBF88FD" w14:textId="77777777" w:rsidR="003754FE" w:rsidRDefault="003754FE" w:rsidP="003754FE">
      <w:pPr>
        <w:pStyle w:val="TextoNormal"/>
      </w:pPr>
      <w:r>
        <w:t>También se relata que se trata de “acontecimientos populares, claves de la tradición religiosa de esa localidad y determinantes de su idiosincrasia, la Pontificia, Real y Venerable Esclavitud del Santísimo Cristo de La Laguna ostenta, desde antaño, una posición no solo privilegiada, sino absolutamente dominante y excluyente del resto de asociaciones, de notable trascendencia en el ámbito religioso, y por ende, también, cultural y social del municipio, hasta el punto de que ninguna otra hermandad puede realizar acto procesional u otra actuación religiosa, cultural o social, relacionada con la imagen del Santísimo Cristo”.</w:t>
      </w:r>
    </w:p>
    <w:p w14:paraId="2CE3BE20" w14:textId="77777777" w:rsidR="003754FE" w:rsidRDefault="003754FE" w:rsidP="003754FE">
      <w:pPr>
        <w:pStyle w:val="TextoNormal"/>
      </w:pPr>
    </w:p>
    <w:p w14:paraId="78D7002A" w14:textId="77777777" w:rsidR="003754FE" w:rsidRDefault="003754FE" w:rsidP="003754FE">
      <w:pPr>
        <w:pStyle w:val="TextoNormal"/>
      </w:pPr>
      <w:r>
        <w:t xml:space="preserve">El factor cultural, social e histórico de estos actos de culto es aún más evidente si se tienen en cuenta las subvenciones y ayudas públicas que la Esclavitud ha venido recibiendo para la rehabilitación de la Sagrada Imagen del Santísimo Cristo de La Laguna; esta imagen católica es una escultura que data, según explica la Esclavitud en su escrito de alegaciones, </w:t>
      </w:r>
      <w:r>
        <w:lastRenderedPageBreak/>
        <w:t>de finales del siglo XVI, constituyendo una de las imágenes más veneradas en la isla de Tenerife.</w:t>
      </w:r>
    </w:p>
    <w:p w14:paraId="675FDEA6" w14:textId="77777777" w:rsidR="003754FE" w:rsidRDefault="003754FE" w:rsidP="003754FE">
      <w:pPr>
        <w:pStyle w:val="TextoNormal"/>
      </w:pPr>
    </w:p>
    <w:p w14:paraId="2D01CA57" w14:textId="36053592" w:rsidR="003754FE" w:rsidRDefault="003754FE" w:rsidP="003754FE">
      <w:pPr>
        <w:pStyle w:val="TextoNormal"/>
      </w:pPr>
      <w:r>
        <w:t>En suma, debido a esta posición de dominio que la Esclavitud ostenta en la realización de los actos devocionales relacionados con la Sagrada Imagen del Santísimo Cristo de La Laguna, la recurrente no tiene posibilidad de ejercer esa misma actividad de culto de dicha imagen en otra hermandad o cofradía del municipio. Por lo tanto, la imposibilidad de ingresar en la Esclavitud por el simple hecho de ser mujer constituye una discriminación por razón de género prohibida por el art. 14 CE y que no queda tampoco amparada por la libertad de autoorganización de la Esclavitud (art. 22 CE).</w:t>
      </w:r>
    </w:p>
    <w:p w14:paraId="68893BF9" w14:textId="77777777" w:rsidR="003754FE" w:rsidRDefault="003754FE" w:rsidP="003754FE">
      <w:pPr>
        <w:pStyle w:val="TextoNormal"/>
      </w:pPr>
    </w:p>
    <w:p w14:paraId="50818A0C" w14:textId="77777777" w:rsidR="003754FE" w:rsidRDefault="003754FE" w:rsidP="003754FE">
      <w:pPr>
        <w:pStyle w:val="TextoNormal"/>
      </w:pPr>
      <w:r w:rsidRPr="003754FE">
        <w:rPr>
          <w:rStyle w:val="NumeroAFNegritaCaracter"/>
        </w:rPr>
        <w:t>5</w:t>
      </w:r>
      <w:r>
        <w:t xml:space="preserve">. </w:t>
      </w:r>
      <w:r w:rsidRPr="003754FE">
        <w:rPr>
          <w:i/>
        </w:rPr>
        <w:t>Estimación de la queja de amparo</w:t>
      </w:r>
    </w:p>
    <w:p w14:paraId="6AD5DBDE" w14:textId="77777777" w:rsidR="003754FE" w:rsidRDefault="003754FE" w:rsidP="003754FE">
      <w:pPr>
        <w:pStyle w:val="TextoNormal"/>
      </w:pPr>
    </w:p>
    <w:p w14:paraId="5AE6D2B2" w14:textId="309F49D9" w:rsidR="003754FE" w:rsidRDefault="003754FE" w:rsidP="003754FE">
      <w:pPr>
        <w:pStyle w:val="TextoNormal"/>
      </w:pPr>
      <w:r>
        <w:t>La estimación del presente recurso de amparo conlleva la declaración de que la sentencia de la Sala de lo Civil del Tribunal Supremo núm. 925/2021, de 23 de diciembre, ha vulnerado el derecho de igualdad y no discriminación por razón de sexo, en relación con el derecho de asociación, de la recurrente (arts. 14 y 22 CE); la nulidad de dicha resolución judicial; y el restablecimiento de la vigencia de las sentencias dictadas por el Juzgado de Primera Instancia núm. 2 de Santa Cruz de Tenerife (sentencia de 11 de marzo de 2020) y de la Audiencia Provincial de Santa Cruz de Tenerife (sentencia de 22 de diciembre de 2020).</w:t>
      </w:r>
    </w:p>
    <w:p w14:paraId="72C1EF36" w14:textId="77777777" w:rsidR="003754FE" w:rsidRDefault="003754FE" w:rsidP="003754FE">
      <w:pPr>
        <w:pStyle w:val="TextoNormal"/>
      </w:pPr>
    </w:p>
    <w:p w14:paraId="7821D9D9" w14:textId="77777777" w:rsidR="003754FE" w:rsidRDefault="003754FE" w:rsidP="003754FE">
      <w:pPr>
        <w:pStyle w:val="TextoNormalCentrado"/>
        <w:keepNext/>
      </w:pPr>
      <w:r>
        <w:t>FALLO</w:t>
      </w:r>
    </w:p>
    <w:p w14:paraId="27C71C5A" w14:textId="1C976C48" w:rsidR="003754FE" w:rsidRDefault="003754FE" w:rsidP="003754FE">
      <w:pPr>
        <w:pStyle w:val="TextoNormalCentrado"/>
        <w:keepNext/>
      </w:pPr>
    </w:p>
    <w:p w14:paraId="70835F43"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doña María Teresita Laborda Sanz y, en su virtud:</w:t>
      </w:r>
    </w:p>
    <w:p w14:paraId="107EDF1D" w14:textId="77777777" w:rsidR="003754FE" w:rsidRDefault="003754FE" w:rsidP="003754FE">
      <w:pPr>
        <w:pStyle w:val="TextoNormal"/>
      </w:pPr>
    </w:p>
    <w:p w14:paraId="60BB6813" w14:textId="77777777" w:rsidR="003754FE" w:rsidRDefault="003754FE" w:rsidP="003754FE">
      <w:pPr>
        <w:pStyle w:val="TextoNormal"/>
      </w:pPr>
      <w:r>
        <w:t>1º Declarar que ha sido vulnerado su derecho a la no discriminación por razón de género (art. 14 CE) y su derecho de asociación (art. 22 CE).</w:t>
      </w:r>
    </w:p>
    <w:p w14:paraId="2F1DEFB1" w14:textId="77777777" w:rsidR="003754FE" w:rsidRDefault="003754FE" w:rsidP="003754FE">
      <w:pPr>
        <w:pStyle w:val="TextoNormal"/>
      </w:pPr>
    </w:p>
    <w:p w14:paraId="1CF6CAC7" w14:textId="374F17E0" w:rsidR="003754FE" w:rsidRDefault="003754FE" w:rsidP="003754FE">
      <w:pPr>
        <w:pStyle w:val="TextoNormal"/>
      </w:pPr>
      <w:r>
        <w:t>2º Restablecerle en su derecho y, a tal fin, declarar la nulidad de la sentencia de la Sala de lo Civil del Tribunal Supremo núm. 925/2021, de 23 de diciembre.</w:t>
      </w:r>
    </w:p>
    <w:p w14:paraId="571C1258" w14:textId="77777777" w:rsidR="003754FE" w:rsidRDefault="003754FE" w:rsidP="003754FE">
      <w:pPr>
        <w:pStyle w:val="TextoNormal"/>
      </w:pPr>
    </w:p>
    <w:p w14:paraId="5791690A" w14:textId="77777777" w:rsidR="003754FE" w:rsidRDefault="003754FE" w:rsidP="003754FE">
      <w:pPr>
        <w:pStyle w:val="TextoNormal"/>
      </w:pPr>
      <w:r>
        <w:t>Publíquese esta sentencia en el “Boletín Oficial del Estado”.</w:t>
      </w:r>
    </w:p>
    <w:p w14:paraId="03137B72" w14:textId="77777777" w:rsidR="003754FE" w:rsidRDefault="003754FE" w:rsidP="003754FE">
      <w:pPr>
        <w:pStyle w:val="TextoNormal"/>
      </w:pPr>
      <w:r>
        <w:t>Dada en Madrid, a cuatro de noviembre de dos mil veinticuatro.</w:t>
      </w:r>
    </w:p>
    <w:p w14:paraId="5E53B1F9" w14:textId="00777D6D" w:rsidR="003754FE" w:rsidRDefault="003754FE" w:rsidP="003754FE">
      <w:pPr>
        <w:pStyle w:val="ParrafoNormal"/>
      </w:pPr>
    </w:p>
    <w:p w14:paraId="02799940" w14:textId="77777777" w:rsidR="003754FE" w:rsidRDefault="003754FE" w:rsidP="003754FE">
      <w:pPr>
        <w:pStyle w:val="TextoNormalNegritaCentrado"/>
        <w:keepNext/>
      </w:pPr>
      <w:r>
        <w:t>Voto particular concurrente que formula la magistrada doña Inmaculada Montalbán Huertas a la sentencia dictada en el recurso de amparo núm. 1128-2022</w:t>
      </w:r>
    </w:p>
    <w:p w14:paraId="6249444A" w14:textId="2FCDBA87" w:rsidR="003754FE" w:rsidRDefault="003754FE" w:rsidP="003754FE">
      <w:pPr>
        <w:pStyle w:val="TextoNormalNegritaCentrado"/>
        <w:keepNext/>
      </w:pPr>
    </w:p>
    <w:p w14:paraId="048445A2" w14:textId="77777777" w:rsidR="003754FE" w:rsidRDefault="003754FE" w:rsidP="003754FE">
      <w:pPr>
        <w:pStyle w:val="TextoNormal"/>
      </w:pPr>
      <w:r>
        <w:t>En ejercicio de la facultad que me confiere el artículo 90.2 de la Ley Orgánica del Tribunal Constitucional y con pleno respeto a la decisión adoptada por la Sala, a través del presente voto particular pongo de manifiesto los argumentos que expuse en la deliberación. Si bien estoy de acuerdo con el fallo, mi discrepancia deriva de la omisión de dos necesarias variables en la argumentación jurídica de la sentencia: la perspectiva de género y el marco normativo antidiscriminatorio, que han de proyectarse en la resolución constitucional del caso.</w:t>
      </w:r>
    </w:p>
    <w:p w14:paraId="25242806" w14:textId="77777777" w:rsidR="003754FE" w:rsidRDefault="003754FE" w:rsidP="003754FE">
      <w:pPr>
        <w:pStyle w:val="TextoNormal"/>
      </w:pPr>
    </w:p>
    <w:p w14:paraId="586BB290" w14:textId="77777777" w:rsidR="003754FE" w:rsidRDefault="003754FE" w:rsidP="003754FE">
      <w:pPr>
        <w:pStyle w:val="TextoNormal"/>
      </w:pPr>
      <w:r>
        <w:t>Partiendo del marco teórico expuesto en la sentencia aprobada por la mayoría, que comparto, considero que no se ha tenido en cuenta en el caso presente el principio de transversalidad de la igualdad de género, presente en nuestro texto Constitucional, que no solo contempla la igualdad entre el hombre y la mujer como derecho fundamental, proclamado en su art. 14 junto a la prohibición de toda discriminación por razón de sexo, sino también como valor superior del ordenamiento jurídico, junto con la libertad, la justicia y el pluralismo político (art. 1.1 CE), del que deriva la obligación de los poderes públicos de promover las condiciones necesarias para alcanzar su efectividad real, remover los obstáculos que impidan o dificulten su plenitud y facilitar la participación de todos los ciudadanos en la vida política, económica, cultural y social (art. 9.2 CE).</w:t>
      </w:r>
    </w:p>
    <w:p w14:paraId="5159F0E6" w14:textId="77777777" w:rsidR="003754FE" w:rsidRDefault="003754FE" w:rsidP="003754FE">
      <w:pPr>
        <w:pStyle w:val="TextoNormal"/>
      </w:pPr>
    </w:p>
    <w:p w14:paraId="09A2AAF8" w14:textId="77777777" w:rsidR="003754FE" w:rsidRDefault="003754FE" w:rsidP="003754FE">
      <w:pPr>
        <w:pStyle w:val="TextoNormal"/>
      </w:pPr>
      <w:r>
        <w:t>Este principio de transversalidad de la igualdad de género ha sido específicamente desarrollado en nuestro ordenamiento jurídico a través de la Ley Orgánica 3/2007, de 22 de marzo, para la igualdad efectiva de mujeres y hombres, cuyo artículo 4 eleva la igualdad de trato y oportunidades entre mujeres y hombres a la categoría de principio informador del ordenamiento jurídico, que habrá de integrarse en la interpretación y aplicación de las normas jurídicas (perspectiva de género en el enjuiciamiento); mandato reiterado en el art. 4.3 de la más reciente Ley 15/2022, de 12 de julio, integral para la igualdad de trato y la no discriminación. Tal como afirmamos en nuestra reciente STC 115/2024, de 23 de septiembre, “[e]xiste, en definitiva, un deber legal de interpretación y aplicación de las normas jurídicas que busque la igualdad real entre mujeres y hombres y la ruptura con la perpetuación de los roles de género. Un deber para cuya delimitación habrá de acudirse a los tratados y convenios internacionales y que no es ajeno a nuestro texto constitucional” (FJ 3).</w:t>
      </w:r>
    </w:p>
    <w:p w14:paraId="61C03047" w14:textId="77777777" w:rsidR="003754FE" w:rsidRDefault="003754FE" w:rsidP="003754FE">
      <w:pPr>
        <w:pStyle w:val="TextoNormal"/>
      </w:pPr>
    </w:p>
    <w:p w14:paraId="5CB6B127" w14:textId="77777777" w:rsidR="003754FE" w:rsidRDefault="003754FE" w:rsidP="003754FE">
      <w:pPr>
        <w:pStyle w:val="TextoNormal"/>
      </w:pPr>
      <w:r>
        <w:t>Entre los tratados internacionales en materia de derechos humanos ratificados por España, a los que, de acuerdo con el artículo 10.2 CE, habrá de acomodarse la interpretación de las normas relativas a los derechos fundamentales y a las libertades que la Constitución reconoce, destaca la Convención sobre la eliminación de todas las formas de discriminación contra la mujer (CEDAW por sus siglas en inglés), ratificada por el Estado español el 16 de diciembre de 1983. Su artículo 5.1 establece la obligación de los Estados parte de tomar las medidas apropiadas para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w:t>
      </w:r>
    </w:p>
    <w:p w14:paraId="72F73AAC" w14:textId="77777777" w:rsidR="003754FE" w:rsidRDefault="003754FE" w:rsidP="003754FE">
      <w:pPr>
        <w:pStyle w:val="TextoNormal"/>
      </w:pPr>
    </w:p>
    <w:p w14:paraId="3688A39F" w14:textId="77777777" w:rsidR="003754FE" w:rsidRDefault="003754FE" w:rsidP="003754FE">
      <w:pPr>
        <w:pStyle w:val="TextoNormal"/>
      </w:pPr>
      <w:r>
        <w:t xml:space="preserve">Esta obligación ha encontrado reflejo en nuestra doctrina. En reiteradas ocasiones nos hemos pronunciado, haciendo una interpretación sistemática de los arts. 1.1, 9.2 y 14 CE, en el sentido de que el art. 14 CE “quiere otorgar tutela subjetiva, sin duda, pero, asimismo, modificar el estado de cosas, el modelo y la conciencia sobre la igualdad sustancial entre los seres humanos, entre los colectivos y ciudadanos, actuando contra el mantenimiento de determinadas diferenciaciones históricamente muy arraigadas que han situado, tanto por la acción de los poderes públicos, como por la práctica social, a sectores de la población en posiciones no solo desventajosas, sino abiertamente contrarias a la dignidad de la persona que reconoce el art. 10 CE. En este sentido no debe olvidarse que la expresa exclusión de la discriminación por razón del sexo halla su razón concreta, como resulta de los mismos antecedentes parlamentarios del art. 14 CE, y es unánimemente admitido por la doctrina científica, en la voluntad de terminar con la histórica situación de inferioridad en que, en la vida </w:t>
      </w:r>
      <w:r>
        <w:lastRenderedPageBreak/>
        <w:t>social y jurídica, se había colocado a la población femenina, pues es ese colectivo el que ha sufrido y aún sufre la relegación social o jurídica estructural frente a la que la prohibición de discriminación por razón de sexo quiere salir al paso […] sin que podamos por tanto dejar de reiterar lo que, en ese sentido, ya dijéramos en la STC 128/1987, de 16 de julio, FJ 5, por ser todavía necesario, pese a los esfuerzos jurídicos y dinámicas sociales de transformación que innegablemente se están produciendo. Tiene pleno sentido en consecuencia, y tanto la demanda social como las intervenciones normativas así lo desvelan y reclaman, abundar en esa protección, ampliar y desplegar su sentido profundo ligado a la dignidad de la persona y valor de todo ser, y tutelar y favorecer el cambio de conciencia y convivencia que solo la paridad garantiza, fortaleciendo la tutela siempre que se constate (como señalara el Pleno de este Tribunal hace escasas fechas en la STC 91/2019, de 3 de julio, FJ 10) una desigualdad histórica que pueda calificarse de ‘estructural’, pues la igualdad sustantiva es un elemento definidor de la noción de ciudadanía en nuestro orden constitucional (STC 12/2008, de 29 de enero, FJ 4)” (STC 108/2019, de 30 de septiembre, FJ 3).</w:t>
      </w:r>
    </w:p>
    <w:p w14:paraId="36484AB0" w14:textId="77777777" w:rsidR="003754FE" w:rsidRDefault="003754FE" w:rsidP="003754FE">
      <w:pPr>
        <w:pStyle w:val="TextoNormal"/>
      </w:pPr>
    </w:p>
    <w:p w14:paraId="38873000" w14:textId="77777777" w:rsidR="003754FE" w:rsidRDefault="003754FE" w:rsidP="003754FE">
      <w:pPr>
        <w:pStyle w:val="TextoNormal"/>
      </w:pPr>
      <w:r>
        <w:t>Se configura así un mínimo común normativo al que no es ajeno el derecho fundamental a la libertad religiosa (art. 16 CE). En tal sentido, el art. 6 de la Ley Orgánica 7/1980, de 5 de julio, de libertad religiosa, claramente establece el respeto a los principios de igualdad y no discriminación como límite al derecho de autoorganización de las iglesias, confesiones y comunidades religiosas y, en virtud de la remisión que lleva a cabo el art. 1.3 de la Ley Orgánica 1/2022, reguladora del derecho de asociación, también de las asociaciones constituidas por aquellas para fines exclusivamente religiosos.</w:t>
      </w:r>
    </w:p>
    <w:p w14:paraId="572CB414" w14:textId="77777777" w:rsidR="003754FE" w:rsidRDefault="003754FE" w:rsidP="003754FE">
      <w:pPr>
        <w:pStyle w:val="TextoNormal"/>
      </w:pPr>
    </w:p>
    <w:p w14:paraId="33307DE2" w14:textId="77777777" w:rsidR="003754FE" w:rsidRDefault="003754FE" w:rsidP="003754FE">
      <w:pPr>
        <w:pStyle w:val="TextoNormal"/>
      </w:pPr>
      <w:r>
        <w:t>La razón fundamental que, a mi juicio, debió conducir a la estimación del recurso de amparo es que la exclusión de las mujeres que recoge el artículo 1 de los estatutos de la asociación Pontificia, Real y Venerable Esclavitud del Santísimo Cristo de La Laguna vulnera ese mínimo común normativo antidiscriminatorio y, con ello, el derecho de la recurrente en amparo a no ser discriminada por razón de su sexo (art. 14 CE).</w:t>
      </w:r>
    </w:p>
    <w:p w14:paraId="2BB9E332" w14:textId="77777777" w:rsidR="003754FE" w:rsidRDefault="003754FE" w:rsidP="003754FE">
      <w:pPr>
        <w:pStyle w:val="TextoNormal"/>
      </w:pPr>
    </w:p>
    <w:p w14:paraId="6223D658" w14:textId="154DCEEE" w:rsidR="003754FE" w:rsidRDefault="003754FE" w:rsidP="003754FE">
      <w:pPr>
        <w:pStyle w:val="TextoNormal"/>
      </w:pPr>
      <w:r>
        <w:t>Madrid, a cuatro de noviembre de dos mil veinticuatro.</w:t>
      </w:r>
    </w:p>
    <w:p w14:paraId="0A3867C6" w14:textId="77777777" w:rsidR="003754FE" w:rsidRDefault="003754FE" w:rsidP="003754FE">
      <w:pPr>
        <w:pStyle w:val="TextoNormal"/>
      </w:pPr>
    </w:p>
    <w:p w14:paraId="550D4F30" w14:textId="77777777" w:rsidR="003754FE" w:rsidRDefault="003754FE" w:rsidP="003754FE">
      <w:pPr>
        <w:pStyle w:val="TextoNormalNegritaCentrado"/>
        <w:keepNext/>
      </w:pPr>
      <w:r>
        <w:t>Voto particular concurrente que formula la magistrada doña María Luisa Balaguer Callejón a la sentencia dictada en el recurso de amparo núm. 1128-2022</w:t>
      </w:r>
    </w:p>
    <w:p w14:paraId="4522DE25" w14:textId="65B11206" w:rsidR="003754FE" w:rsidRDefault="003754FE" w:rsidP="003754FE">
      <w:pPr>
        <w:pStyle w:val="TextoNormalNegritaCentrado"/>
        <w:keepNext/>
      </w:pPr>
    </w:p>
    <w:p w14:paraId="0C9BBD9F" w14:textId="77777777" w:rsidR="003754FE" w:rsidRDefault="003754FE" w:rsidP="003754FE">
      <w:pPr>
        <w:pStyle w:val="TextoNormal"/>
      </w:pPr>
      <w:r>
        <w:t>Con el mayor respeto al criterio reflejado en la sentencia me parece necesario, en ejercicio de la facultad prevista en el art. 90.2 LOTC, formular este voto para dejar constancia y hacer públicos los argumentos que expuse en las deliberaciones de la Sala Segunda que estimó el recurso de amparo núm. 1128-2022.</w:t>
      </w:r>
    </w:p>
    <w:p w14:paraId="4923CF96" w14:textId="77777777" w:rsidR="003754FE" w:rsidRDefault="003754FE" w:rsidP="003754FE">
      <w:pPr>
        <w:pStyle w:val="TextoNormal"/>
      </w:pPr>
    </w:p>
    <w:p w14:paraId="0648B7AC" w14:textId="77777777" w:rsidR="003754FE" w:rsidRDefault="003754FE" w:rsidP="003754FE">
      <w:pPr>
        <w:pStyle w:val="TextoNormal"/>
      </w:pPr>
      <w:r>
        <w:t xml:space="preserve">1. </w:t>
      </w:r>
      <w:r w:rsidRPr="003754FE">
        <w:rPr>
          <w:i/>
        </w:rPr>
        <w:t>De nuevo sobre el alcance del voto concurrente</w:t>
      </w:r>
    </w:p>
    <w:p w14:paraId="546E5D62" w14:textId="77777777" w:rsidR="003754FE" w:rsidRDefault="003754FE" w:rsidP="003754FE">
      <w:pPr>
        <w:pStyle w:val="TextoNormal"/>
      </w:pPr>
    </w:p>
    <w:p w14:paraId="41947C3B" w14:textId="77777777" w:rsidR="003754FE" w:rsidRDefault="003754FE" w:rsidP="003754FE">
      <w:pPr>
        <w:pStyle w:val="TextoNormal"/>
      </w:pPr>
      <w:r>
        <w:t xml:space="preserve">En el voto a la STC 106/2022, de 13 de septiembre, ya me referí al alcance del voto particular desde un punto de vista técnico, siendo ahora necesario retomar algunas de las ideas allí expresadas. El art. 90.2 de la Ley Orgánica del Tribunal Constitucional prevé que se pueda formular en un voto la opinión discrepante de las magistradas y magistrados tanto en lo que se refiere a la decisión finalmente adoptada, como a la fundamentación en que se </w:t>
      </w:r>
      <w:r>
        <w:lastRenderedPageBreak/>
        <w:t>sustenta, siempre que sea un reflejo de lo debatido en el órgano colegiado decisor, en este caso, la Sala Segunda.</w:t>
      </w:r>
    </w:p>
    <w:p w14:paraId="4CF825BD" w14:textId="77777777" w:rsidR="003754FE" w:rsidRDefault="003754FE" w:rsidP="003754FE">
      <w:pPr>
        <w:pStyle w:val="TextoNormal"/>
      </w:pPr>
    </w:p>
    <w:p w14:paraId="432DB386" w14:textId="77777777" w:rsidR="003754FE" w:rsidRDefault="003754FE" w:rsidP="003754FE">
      <w:pPr>
        <w:pStyle w:val="TextoNormal"/>
      </w:pPr>
      <w:r>
        <w:t>Aunque un voto particular puede discrepar tanto del fallo (voto discrepante) como de la argumentación del pronunciamiento a que se opone (voto concurrente), en ninguno de ambos casos se hace perder eficacia al fallo o se desmerece su rigor, pero en ambos, y más particularmente en el caso de un voto discrepante, se pone de manifiesto que existen diferencias de criterio en el Tribunal que resultan notables e insalvables y que, por ello, no han podido ser superadas con la deliberación del texto finalmente aprobado.</w:t>
      </w:r>
    </w:p>
    <w:p w14:paraId="6320393A" w14:textId="77777777" w:rsidR="003754FE" w:rsidRDefault="003754FE" w:rsidP="003754FE">
      <w:pPr>
        <w:pStyle w:val="TextoNormal"/>
      </w:pPr>
    </w:p>
    <w:p w14:paraId="09C3BD6C" w14:textId="77777777" w:rsidR="003754FE" w:rsidRDefault="003754FE" w:rsidP="003754FE">
      <w:pPr>
        <w:pStyle w:val="TextoNormal"/>
      </w:pPr>
      <w:r>
        <w:t>En el supuesto que ahora nos ocupa, si bien estoy de acuerdo con el fallo estimatorio, discrepo de la argumentación a través de la que el ponente alcanza sus conclusiones, por lo que me parece relevante exponer cuál hubiera sido, a mi juicio, la argumentación idónea para llegar al mismo resultado estimatorio.</w:t>
      </w:r>
    </w:p>
    <w:p w14:paraId="70C91B80" w14:textId="77777777" w:rsidR="003754FE" w:rsidRDefault="003754FE" w:rsidP="003754FE">
      <w:pPr>
        <w:pStyle w:val="TextoNormal"/>
      </w:pPr>
    </w:p>
    <w:p w14:paraId="2F295780" w14:textId="77777777" w:rsidR="003754FE" w:rsidRDefault="003754FE" w:rsidP="003754FE">
      <w:pPr>
        <w:pStyle w:val="TextoNormal"/>
      </w:pPr>
      <w:r>
        <w:t>Como sucedía en el caso de la STC 106/2022, de 13 de septiembre, en este supuesto la interpretación del contenido de los derechos en juego es tanto o más importante que la estimación concreta del recurso, porque la dimensión objetiva del proceso de amparo es más relevante en este caso que su dimensión subjetiva. Y es así porque se plantean cuestiones relativas a la proyección del principio antidiscriminatorio por razón de sexo (art. 14 CE) sobre la efectiva protección de los derechos de libertad de asociación (art. 22 CE) y de libertad religiosa (art. 16 CE) que no habían sido tratadas por la jurisprudencia constitucional hasta este momento.</w:t>
      </w:r>
    </w:p>
    <w:p w14:paraId="2CC27099" w14:textId="77777777" w:rsidR="003754FE" w:rsidRDefault="003754FE" w:rsidP="003754FE">
      <w:pPr>
        <w:pStyle w:val="TextoNormal"/>
      </w:pPr>
    </w:p>
    <w:p w14:paraId="62386DBF" w14:textId="77777777" w:rsidR="003754FE" w:rsidRDefault="003754FE" w:rsidP="003754FE">
      <w:pPr>
        <w:pStyle w:val="TextoNormal"/>
      </w:pPr>
      <w:r>
        <w:t>Es fundamental comprender que, en la interpretación constitucional, la perspectiva de género no es solo un mandato de resultado. No se trata simplemente de estimar el amparo de una mujer que pide el acceso a determinada dimensión del ejercicio de un derecho. Se trata, en cambio, de asumir un enfoque que sitúe en el centro de la argumentación, la situación discriminatoria por razón del sexo. Una perspectiva cuya adopción solo es posible si la superación de la discriminación es objetivo del fallo y de la fundamentación en la que el mismo se sustenta. Pero la sentencia aprobada en la Sala no acoge este enfoque, a pesar de que podría parecer el más obvio teniendo en cuenta el problema planteado.</w:t>
      </w:r>
    </w:p>
    <w:p w14:paraId="40079183" w14:textId="77777777" w:rsidR="003754FE" w:rsidRDefault="003754FE" w:rsidP="003754FE">
      <w:pPr>
        <w:pStyle w:val="TextoNormal"/>
      </w:pPr>
    </w:p>
    <w:p w14:paraId="5ED89CDA" w14:textId="77777777" w:rsidR="003754FE" w:rsidRDefault="003754FE" w:rsidP="003754FE">
      <w:pPr>
        <w:pStyle w:val="TextoNormal"/>
      </w:pPr>
      <w:r>
        <w:t>Forzando una interpretación limitativa del derecho de autoorganización de las asociaciones, la sentencia de cuya fundamentación jurídica me aparto se basa, para justificar la intervención estatal, en una supuesta posición dominante de la cofradía religiosa determinada por una suerte de relevancia sociocultural en el ámbito geográfico en el que actúa. Para ello se acude a una sentencia previa de este tribunal, la STC 218/1988, de 22 de noviembre, dictada antes de entrar en vigor la actual Ley Orgánica 1/2002, de 22 de marzo, reguladora del derecho de asociación (LODA) , en la que se sostuvo cierta capacidad de intervención del Estado si una asociación, “aun siendo privada, ostentase de hecho o de derecho una posición dominante en el campo económico, cultural, social o profesional, de manera que la pertenencia o exclusión de ella supusiese un perjuicio significativo para el particular afectado” (FJ 3). Este criterio fue aplicado posteriormente por el ATC 254/2001, de 20 de septiembre, en relación con el ingreso de mujeres en la Comunidad de Pescadores de El Palmar. Y la ponencia utiliza ambos pronunciamientos para respaldar jurídicamente su fallo.</w:t>
      </w:r>
    </w:p>
    <w:p w14:paraId="043210D5" w14:textId="77777777" w:rsidR="003754FE" w:rsidRDefault="003754FE" w:rsidP="003754FE">
      <w:pPr>
        <w:pStyle w:val="TextoNormal"/>
      </w:pPr>
    </w:p>
    <w:p w14:paraId="2A676AB2" w14:textId="77777777" w:rsidR="003754FE" w:rsidRDefault="003754FE" w:rsidP="003754FE">
      <w:pPr>
        <w:pStyle w:val="TextoNormal"/>
      </w:pPr>
      <w:r>
        <w:lastRenderedPageBreak/>
        <w:t>Sin embargo, en el recurso que ahora resolvemos, debiera haber sido irrelevante si la cofradía Pontificia, Real y Venerable Esclavitud del Santísimo Cristo de La Laguna ocupaba o no una “posición dominante” que determinase la vulneración de los derechos invocados. De conformidad con las alegaciones de la recurrente en amparo, el objetivo debiera haber sido ponderar la efectiva protección de los derechos de asociación y de libertad religiosa de la demandante desde una verdadera perspectiva de género. En otros términos, no se trataba de valorar si existe o no la posibilidad de que la demandante promueva una nueva hermandad con los mismos fines, sino de ponderar si la negativa de la cofradía de reconocer su membresía encuentra o no encaje en nuestro sistema constitucional a la luz del art. 14 CE.</w:t>
      </w:r>
    </w:p>
    <w:p w14:paraId="0FABFBDC" w14:textId="77777777" w:rsidR="003754FE" w:rsidRDefault="003754FE" w:rsidP="003754FE">
      <w:pPr>
        <w:pStyle w:val="TextoNormal"/>
      </w:pPr>
    </w:p>
    <w:p w14:paraId="435DFBC7" w14:textId="77777777" w:rsidR="003754FE" w:rsidRDefault="003754FE" w:rsidP="003754FE">
      <w:pPr>
        <w:pStyle w:val="TextoNormal"/>
      </w:pPr>
      <w:r>
        <w:t>Además, mi discrepancia no se debe exclusivamente al hecho de que, al centrarse en la cuestión de la “posición dominante”, la ponencia haya evitado el enfoque con perspectiva de género, sino también por haber asumido una posición respecto del contenido de la actividad cofrade que no solo no comparto, sino que no me parece que tenga ningún sustento constitucional ni jurisprudencial previo. Y es que de la sentencia de la mayoría pareciera desprenderse que la vulneración del art. 14 CE no se hubiera producido si la cofradía no ocupara una “posición dominante”, o si hubiera existido un insuperable nexo entre la desigualdad de trato controvertida y la ética y moral religiosas sobre las que se erige la asociación en cuestión. Una afirmación que no se compadece bien con el derecho de libertad religiosa de la ahora demandante de amparo.</w:t>
      </w:r>
    </w:p>
    <w:p w14:paraId="5D7DDEA4" w14:textId="77777777" w:rsidR="003754FE" w:rsidRDefault="003754FE" w:rsidP="003754FE">
      <w:pPr>
        <w:pStyle w:val="TextoNormal"/>
      </w:pPr>
    </w:p>
    <w:p w14:paraId="7D09FCA0" w14:textId="77777777" w:rsidR="003754FE" w:rsidRDefault="003754FE" w:rsidP="003754FE">
      <w:pPr>
        <w:pStyle w:val="TextoNormal"/>
      </w:pPr>
      <w:r>
        <w:t xml:space="preserve">2. </w:t>
      </w:r>
      <w:r w:rsidRPr="003754FE">
        <w:rPr>
          <w:i/>
        </w:rPr>
        <w:t>Sobre el derecho de asociación y sus límites desde la óptica del art. 14 CE</w:t>
      </w:r>
    </w:p>
    <w:p w14:paraId="03FD1C79" w14:textId="77777777" w:rsidR="003754FE" w:rsidRDefault="003754FE" w:rsidP="003754FE">
      <w:pPr>
        <w:pStyle w:val="TextoNormal"/>
      </w:pPr>
    </w:p>
    <w:p w14:paraId="18748357" w14:textId="77777777" w:rsidR="003754FE" w:rsidRDefault="003754FE" w:rsidP="003754FE">
      <w:pPr>
        <w:pStyle w:val="TextoNormal"/>
      </w:pPr>
      <w:r>
        <w:t>Si bien es cierto que el art. 16 CE no se refiere expresamente a un derecho de asociación religiosa, el precepto presupone la existencia de comunidades religiosas, es decir, de entidades de base asociativa, y esas entidades pueden considerarse cubiertas tanto por el derecho del art. 22 CE, como por el derecho a la libertad religiosa, tal y como reconoció este tribunal en la STC 46/2001, de 15 de febrero. Todo dependerá del tipo de comunidad o asociación creada y de si se inscribe o no en el registro correspondiente del Ministerio de Justicia [art. 5 de la Ley Orgánica 7/1980, de 5 de julio, de libertad religiosa (LOLR)].</w:t>
      </w:r>
    </w:p>
    <w:p w14:paraId="3BEB83D2" w14:textId="77777777" w:rsidR="003754FE" w:rsidRDefault="003754FE" w:rsidP="003754FE">
      <w:pPr>
        <w:pStyle w:val="TextoNormal"/>
      </w:pPr>
    </w:p>
    <w:p w14:paraId="597ECE6B" w14:textId="77777777" w:rsidR="003754FE" w:rsidRDefault="003754FE" w:rsidP="003754FE">
      <w:pPr>
        <w:pStyle w:val="TextoNormal"/>
      </w:pPr>
      <w:r>
        <w:t>Tal y como indica la sentencia de cuya fundamentación jurídica disiento, las asociaciones para fines exclusivamente religiosos (y la cofradía a la que ahora nos referimos lo es) se regirán por lo dispuesto en los tratados internacionales y en las leyes específicas, sin perjuicio de la aplicación supletoria de las disposiciones de la Ley Orgánica 1/2002, de 22 de marzo, reguladora del derecho de asociación (art. 1.3, apartado segundo, LODA).</w:t>
      </w:r>
    </w:p>
    <w:p w14:paraId="54929BDF" w14:textId="77777777" w:rsidR="003754FE" w:rsidRDefault="003754FE" w:rsidP="003754FE">
      <w:pPr>
        <w:pStyle w:val="TextoNormal"/>
      </w:pPr>
    </w:p>
    <w:p w14:paraId="52EC96C1" w14:textId="77777777" w:rsidR="003754FE" w:rsidRDefault="003754FE" w:rsidP="003754FE">
      <w:pPr>
        <w:pStyle w:val="TextoNormal"/>
      </w:pPr>
      <w:r>
        <w:t xml:space="preserve">Comenzando así por la regulación convencional, debe recordarse que la cofradía que ahora nos ocupa se rige por el preconstitucional Acuerdo sobre asuntos jurídicos firmado en 1979 entre España y la Santa Sede, en virtud de cuyo art. I.4 el Estado reconoce personalidad jurídica y plena capacidad de obrar a las asociaciones, entidades y fundaciones religiosas erigidas canónicamente en el momento de su entrada en vigor, así como a aquellas que en el futuro sean reconocidas por la autoridad eclesiástica competente, “con sujeción a lo dispuesto en el ordenamiento del Estado, mediante la inscripción en el correspondiente registro”. La cofradía frente a la que se plantea el presente recurso de amparo se rige por la cobertura normativa convencional citada, habida cuenta de que su origen se remonta al siglo XVI, pero también debe someterse al ordenamiento del Estado. Y a este último respecto debemos recordar que, además de la proclamación constitucional de la igualdad como </w:t>
      </w:r>
      <w:r>
        <w:lastRenderedPageBreak/>
        <w:t>principio y derecho subjetivo, la Ley Orgánica de libertad religiosa, artículo 2.1 d), condiciona el derecho de asociación a su adecuación al ordenamiento jurídico general, mientras que, de conformidad con la Ley Orgánica reguladora del derecho de asociación, la constitución de asociaciones y el establecimiento de su organización y funcionamiento se llevarán a cabo dentro del marco de nuestro ordenamiento jurídico, siendo nulos de pleno derecho los pactos, disposiciones estatutarias y acuerdos que desconozcan cualquiera de los aspectos del derecho fundamental de asociación (artículo 2.5).</w:t>
      </w:r>
    </w:p>
    <w:p w14:paraId="607A1283" w14:textId="77777777" w:rsidR="003754FE" w:rsidRDefault="003754FE" w:rsidP="003754FE">
      <w:pPr>
        <w:pStyle w:val="TextoNormal"/>
      </w:pPr>
    </w:p>
    <w:p w14:paraId="17851990" w14:textId="77777777" w:rsidR="003754FE" w:rsidRDefault="003754FE" w:rsidP="003754FE">
      <w:pPr>
        <w:pStyle w:val="TextoNormal"/>
      </w:pPr>
      <w:r>
        <w:t xml:space="preserve">De todo lo anterior puede concluirse que las reglas estatutarias que introduzcan límites al acceso a una asociación religiosa no pueden estar basadas en las causas recogidas en el art. 14 CE, salvo que exista una justificación objetiva, razonable y proporcionada, que no podríamos deducir de una genérica alusión a la ética y moral religiosa de la confesión como, </w:t>
      </w:r>
      <w:r w:rsidRPr="003754FE">
        <w:rPr>
          <w:i/>
        </w:rPr>
        <w:t>sensu contrario</w:t>
      </w:r>
      <w:r>
        <w:t>, parece desprenderse de la ponencia. Una comprensión diversa nos obligaría a plantearnos la constitucionalidad de los Acuerdos con la Santa Sede.</w:t>
      </w:r>
    </w:p>
    <w:p w14:paraId="72298001" w14:textId="77777777" w:rsidR="003754FE" w:rsidRDefault="003754FE" w:rsidP="003754FE">
      <w:pPr>
        <w:pStyle w:val="TextoNormal"/>
      </w:pPr>
    </w:p>
    <w:p w14:paraId="3C0BA1D5" w14:textId="77777777" w:rsidR="003754FE" w:rsidRDefault="003754FE" w:rsidP="003754FE">
      <w:pPr>
        <w:pStyle w:val="TextoNormal"/>
      </w:pPr>
      <w:r>
        <w:t xml:space="preserve">En la STC 129/2023, de 23 de octubre, de la que fui ponente, este tribunal sintetizó la jurisprudencia previa sobre libertad de asociación afirmando que, a partir de la aprobación de la Ley Orgánica 1/2002, la configuración básica del derecho se ha mantenido prácticamente invariable en la jurisprudencia constitucional, que ha identificado cuatro facetas integrantes de aquel derecho: a) la libertad de creación de asociaciones y de adscripción a las ya creadas, b) la libertad de no asociarse y de dejar de pertenecer a las mismas, c) la libertad de organización y funcionamiento internos sin injerencias públicas, y d) una dimensión </w:t>
      </w:r>
      <w:r w:rsidRPr="003754FE">
        <w:rPr>
          <w:i/>
        </w:rPr>
        <w:t>inter privatos</w:t>
      </w:r>
      <w:r>
        <w:t xml:space="preserve"> que garantiza un haz de facultades a los asociados considerados individualmente frente a las asociaciones a las que pertenezcan o a los particulares respecto de las asociaciones a las cuales pretendan incorporarse.</w:t>
      </w:r>
    </w:p>
    <w:p w14:paraId="7692D2AC" w14:textId="77777777" w:rsidR="003754FE" w:rsidRDefault="003754FE" w:rsidP="003754FE">
      <w:pPr>
        <w:pStyle w:val="TextoNormal"/>
      </w:pPr>
    </w:p>
    <w:p w14:paraId="42E1A1AF" w14:textId="77777777" w:rsidR="003754FE" w:rsidRDefault="003754FE" w:rsidP="003754FE">
      <w:pPr>
        <w:pStyle w:val="TextoNormal"/>
      </w:pPr>
      <w:r>
        <w:t>En la sentencia que ahora nos ocupa la Sala añade un elemento adicional sin formularlo expresamente, cuando debió hacerlo porque introduce una modificación notable en la jurisprudencia precedente. Ese elemento adicional se refiere a la facultad de admisión o exclusión apriorística de futuros socios, es decir, a una potestad, hasta ahora constitucionalmente ilimitada, de la dimensión colectiva del derecho de asociación que puede mediatizar la voluntad individual de asociarse.</w:t>
      </w:r>
    </w:p>
    <w:p w14:paraId="7B25042D" w14:textId="77777777" w:rsidR="003754FE" w:rsidRDefault="003754FE" w:rsidP="003754FE">
      <w:pPr>
        <w:pStyle w:val="TextoNormal"/>
      </w:pPr>
    </w:p>
    <w:p w14:paraId="3CF5E907" w14:textId="77777777" w:rsidR="003754FE" w:rsidRDefault="003754FE" w:rsidP="003754FE">
      <w:pPr>
        <w:pStyle w:val="TextoNormal"/>
      </w:pPr>
      <w:r>
        <w:t>Solo si entendemos que la dimensión colectiva del derecho de asociación está al servicio de la libertad individual, y yo así lo entiendo, podemos justificar constitucionalmente la posibilidad de intervenir, siquiera mínimamente, en la facultad colectiva asociada a la selección de los integrantes de la asociación, de modo tal que el resultado del ejercicio de esa facultad no podrá ser contrario a los principios y valores asociados al ejercicio de las libertades individuales, ni a la proyección del principio antidiscriminatorio (art. 14 CE), ni a la preservación y promoción de la dignidad humana (art. 10 CE).</w:t>
      </w:r>
    </w:p>
    <w:p w14:paraId="41819378" w14:textId="77777777" w:rsidR="003754FE" w:rsidRDefault="003754FE" w:rsidP="003754FE">
      <w:pPr>
        <w:pStyle w:val="TextoNormal"/>
      </w:pPr>
    </w:p>
    <w:p w14:paraId="6061942E" w14:textId="77777777" w:rsidR="003754FE" w:rsidRDefault="003754FE" w:rsidP="003754FE">
      <w:pPr>
        <w:pStyle w:val="TextoNormal"/>
      </w:pPr>
      <w:r>
        <w:t xml:space="preserve">Dicho en otros términos, en supuestos tales como discriminaciones especialmente atentatorias contra la dignidad de la persona, y la discriminación por razón de sexo lo es, es posible revisar la decisión de la asociación respecto de la admisión de socios. Esta hubiera sido la perspectiva a adoptar por la sentencia de cuya fundamentación jurídica discrepo, debiéndose así haber centrado la misma en el análisis de si es posible que una asociación limite, por razón del sexo de un individuo, el acceso a la misma, siendo en todo caso </w:t>
      </w:r>
      <w:r>
        <w:lastRenderedPageBreak/>
        <w:t>irrelevante a tales efectos que la asociación ejerza o no, en régimen monopolístico, sus actividades.</w:t>
      </w:r>
    </w:p>
    <w:p w14:paraId="05DB64F0" w14:textId="77777777" w:rsidR="003754FE" w:rsidRDefault="003754FE" w:rsidP="003754FE">
      <w:pPr>
        <w:pStyle w:val="TextoNormal"/>
      </w:pPr>
    </w:p>
    <w:p w14:paraId="61F7BF02" w14:textId="77777777" w:rsidR="003754FE" w:rsidRDefault="003754FE" w:rsidP="003754FE">
      <w:pPr>
        <w:pStyle w:val="TextoNormal"/>
      </w:pPr>
      <w:r>
        <w:t xml:space="preserve">3. </w:t>
      </w:r>
      <w:r w:rsidRPr="003754FE">
        <w:rPr>
          <w:i/>
        </w:rPr>
        <w:t>Sobre la libertad religiosa y su defensa desde la óptica del art. 14 CE</w:t>
      </w:r>
    </w:p>
    <w:p w14:paraId="389F1FA1" w14:textId="77777777" w:rsidR="003754FE" w:rsidRDefault="003754FE" w:rsidP="003754FE">
      <w:pPr>
        <w:pStyle w:val="TextoNormal"/>
      </w:pPr>
    </w:p>
    <w:p w14:paraId="71D0EAA0" w14:textId="77777777" w:rsidR="003754FE" w:rsidRDefault="003754FE" w:rsidP="003754FE">
      <w:pPr>
        <w:pStyle w:val="TextoNormal"/>
      </w:pPr>
      <w:r>
        <w:t>Como he apuntado con anterioridad, mi discrepancia respecto de la argumentación jurídica que sustenta el fallo de esta sentencia se debe no solo a la ausencia de una verdadera perspectiva de género en el análisis de la libertad de asociación, sino también al desconocimiento por la ponencia de dicho enfoque en su proyección sobre la vertiente individual del derecho de libertad religiosa.</w:t>
      </w:r>
    </w:p>
    <w:p w14:paraId="232C02C0" w14:textId="77777777" w:rsidR="003754FE" w:rsidRDefault="003754FE" w:rsidP="003754FE">
      <w:pPr>
        <w:pStyle w:val="TextoNormal"/>
      </w:pPr>
    </w:p>
    <w:p w14:paraId="6A3C20D2" w14:textId="77777777" w:rsidR="003754FE" w:rsidRDefault="003754FE" w:rsidP="003754FE">
      <w:pPr>
        <w:pStyle w:val="TextoNormal"/>
      </w:pPr>
      <w:r>
        <w:t xml:space="preserve">Como recordamos en la STC 177/1996, de 11 de noviembre, FJ 9, “(e)l derecho a la libertad religiosa del art. 16.1 CE garantiza la existencia de un claustro íntimo de creencias y, por tanto, un espacio de autodeterminación intelectual ante el fenómeno religioso, vinculado a la propia personalidad y dignidad individual. Pero, junto a esta dimensión interna, esta libertad, al igual que la ideológica del propio art. 16.1 CE, incluye también una dimensión externa de </w:t>
      </w:r>
      <w:r w:rsidRPr="003754FE">
        <w:rPr>
          <w:i/>
        </w:rPr>
        <w:t>agere licere</w:t>
      </w:r>
      <w:r>
        <w:t xml:space="preserve"> que faculta a los ciudadanos para actuar con arreglo a sus propias convicciones y mantenerlas frente a terceros”.</w:t>
      </w:r>
    </w:p>
    <w:p w14:paraId="3BAB27F8" w14:textId="77777777" w:rsidR="003754FE" w:rsidRDefault="003754FE" w:rsidP="003754FE">
      <w:pPr>
        <w:pStyle w:val="TextoNormal"/>
      </w:pPr>
    </w:p>
    <w:p w14:paraId="3966846A" w14:textId="77777777" w:rsidR="003754FE" w:rsidRDefault="003754FE" w:rsidP="003754FE">
      <w:pPr>
        <w:pStyle w:val="TextoNormal"/>
      </w:pPr>
      <w:r>
        <w:t>En lo que al contenido de la libertad religiosa respecta cabe recordar que, como se ha subrayado en los informes del relator especial sobre la libertad de religión o de creencias de la Asamblea General de Naciones Unidas, de 7 de agosto de 2013 (A/68/290) y de 24 de agosto de 2020 (A/HRC/43/48), “[e]n el marco de los derechos humanos no puede concederse reconocimiento jurídico al contenido particular de las religiones o las creencias, es decir, a sus doctrinas, pretensiones de verdad, prácticas y sistemas de valores, entre otros aspectos, sino que este reconocimiento debe atribuirse a los seres humanos en tanto que agentes responsables que poseen, profesan, respetan y desarrollan sus diversas orientaciones religiosas o creencias, de forma individual o en comunidad con otros”.</w:t>
      </w:r>
    </w:p>
    <w:p w14:paraId="758F3610" w14:textId="77777777" w:rsidR="003754FE" w:rsidRDefault="003754FE" w:rsidP="003754FE">
      <w:pPr>
        <w:pStyle w:val="TextoNormal"/>
      </w:pPr>
    </w:p>
    <w:p w14:paraId="67067EFE" w14:textId="77777777" w:rsidR="003754FE" w:rsidRDefault="003754FE" w:rsidP="003754FE">
      <w:pPr>
        <w:pStyle w:val="TextoNormal"/>
      </w:pPr>
      <w:r>
        <w:t>El derecho de libertad religiosa “protege a los creyentes y no a las creencias”. Para muchas personas las convicciones religiosas constituyen un pilar fundamental de su identidad personal y comunitaria, siendo esta la perspectiva que debería haber adoptado la ponencia que, al centrar su fundamentación jurídica en la posición dominante de la cofradía y en la ausencia de una justificación teológica del trato diferenciado entre hombres y mujeres, obvia el papel fundamental que desempeña la religión en la vida de muchas personas incluidas, obviamente, las mujeres.</w:t>
      </w:r>
    </w:p>
    <w:p w14:paraId="41AF3D8E" w14:textId="77777777" w:rsidR="003754FE" w:rsidRDefault="003754FE" w:rsidP="003754FE">
      <w:pPr>
        <w:pStyle w:val="TextoNormal"/>
      </w:pPr>
    </w:p>
    <w:p w14:paraId="533EACEC" w14:textId="77777777" w:rsidR="003754FE" w:rsidRDefault="003754FE" w:rsidP="003754FE">
      <w:pPr>
        <w:pStyle w:val="TextoNormal"/>
      </w:pPr>
      <w:r>
        <w:t>La libertad religiosa implica efectivamente el respeto de la autonomía de las instituciones religiosas. Pero, aunque no es asunto del Estado modificar las tradiciones religiosas, el derecho de libertad religiosa debe abarcar el derecho de los disidentes internos, incluidas las mujeres, a presentar puntos de vista alternativos en el seno de las asociaciones religiosas. En todas las religiones, muchas mujeres tienen que soportar que se les niegue el derecho a manifestar sus creencias sobre la base de interpretaciones de su fe que desconocen la igualdad entre los sexos, situación frente a la que cada vez son más frecuentes las voces discrepantes que trabajan por la promoción de la igualdad, a menudo junto con interpretaciones innovadoras de las fuentes y las tradiciones religiosas. Y esta disidencia, que se integra como parte de la dimensión individual de la libertad religiosa, debiera haber sido objeto de la debida consideración por la ponencia.</w:t>
      </w:r>
    </w:p>
    <w:p w14:paraId="1A692FE9" w14:textId="77777777" w:rsidR="003754FE" w:rsidRDefault="003754FE" w:rsidP="003754FE">
      <w:pPr>
        <w:pStyle w:val="TextoNormal"/>
      </w:pPr>
    </w:p>
    <w:p w14:paraId="0553BED2" w14:textId="77777777" w:rsidR="003754FE" w:rsidRDefault="003754FE" w:rsidP="003754FE">
      <w:pPr>
        <w:pStyle w:val="TextoNormal"/>
      </w:pPr>
      <w:r>
        <w:t>4</w:t>
      </w:r>
      <w:r w:rsidRPr="003754FE">
        <w:rPr>
          <w:i/>
        </w:rPr>
        <w:t>. Conclusi</w:t>
      </w:r>
      <w:r>
        <w:t>ón</w:t>
      </w:r>
    </w:p>
    <w:p w14:paraId="4D86D366" w14:textId="77777777" w:rsidR="003754FE" w:rsidRDefault="003754FE" w:rsidP="003754FE">
      <w:pPr>
        <w:pStyle w:val="TextoNormal"/>
      </w:pPr>
    </w:p>
    <w:p w14:paraId="02AE220E" w14:textId="77777777" w:rsidR="003754FE" w:rsidRDefault="003754FE" w:rsidP="003754FE">
      <w:pPr>
        <w:pStyle w:val="TextoNormal"/>
      </w:pPr>
      <w:r>
        <w:t xml:space="preserve">La autonomía de las asociaciones religiosas, como las cofradías, forma parte del </w:t>
      </w:r>
      <w:r w:rsidRPr="003754FE">
        <w:rPr>
          <w:i/>
        </w:rPr>
        <w:t>forum externum</w:t>
      </w:r>
      <w:r>
        <w:t xml:space="preserve"> de la libertad religiosa, siendo así susceptible de limitación. El principio de autonomía institucional de las confesiones no puede traducirse en una plena deferencia del Estado frente a normas y prácticas discriminatorias en el marco de un ordenamiento en el que, como ocurre en el caso español, el principio antidiscriminatorio se proyecta sobre todos los poderes públicos y debe proyectarse asimismo sobre las entidades de base asociativa. La asunción de una verdadera perspectiva de género en este caso habría llevado igualmente a la estimación del recurso de amparo, pero a través de un hilo argumentativo muy distinto, que debiera haberse trazado a partir de una concepción más abierta de la relación entre el derecho a la libertad religiosa y la igualdad entre sexos, en virtud de la cual ambos derechos no son necesariamente excluyentes.</w:t>
      </w:r>
    </w:p>
    <w:p w14:paraId="2C07382F" w14:textId="77777777" w:rsidR="003754FE" w:rsidRDefault="003754FE" w:rsidP="003754FE">
      <w:pPr>
        <w:pStyle w:val="TextoNormal"/>
      </w:pPr>
    </w:p>
    <w:p w14:paraId="236073CD" w14:textId="77777777" w:rsidR="003754FE" w:rsidRDefault="003754FE" w:rsidP="003754FE">
      <w:pPr>
        <w:pStyle w:val="TextoNormal"/>
      </w:pPr>
      <w:r>
        <w:t>Concluyendo, la asunción de un enfoque que sitúe en el centro la situación discriminatoria por razón de sexo conduce, por un lado, a la justificación, desde el punto de vista constitucional, de la posibilidad de que el Estado intervenga en la selección por las asociaciones religiosas de sus miembros cuando el ejercicio de tal facultad contraríe los principios y valores asociados al ejercicio de las libertades individuales, la proyección de la igualdad y la promoción de la dignidad humana. Por otro lado, redirige el foco hacia la protección de la dimensión individual de la libertad religiosa de las mujeres, que han sido objeto de discriminaciones históricas en el seno de unas confesiones que forman parte de su propia identidad, personal y colectiva.</w:t>
      </w:r>
    </w:p>
    <w:p w14:paraId="3620F2F0" w14:textId="77777777" w:rsidR="003754FE" w:rsidRDefault="003754FE" w:rsidP="003754FE">
      <w:pPr>
        <w:pStyle w:val="TextoNormal"/>
      </w:pPr>
    </w:p>
    <w:p w14:paraId="6D758C0E" w14:textId="2914C299" w:rsidR="003754FE" w:rsidRDefault="003754FE" w:rsidP="003754FE">
      <w:pPr>
        <w:pStyle w:val="TextoNormal"/>
      </w:pPr>
      <w:r>
        <w:t>Madrid, a cuatro de noviembre de dos mil veinticuatro.</w:t>
      </w:r>
    </w:p>
    <w:p w14:paraId="14305754" w14:textId="77777777" w:rsidR="003754FE" w:rsidRDefault="003754FE" w:rsidP="003754FE">
      <w:pPr>
        <w:pStyle w:val="TextoNormal"/>
      </w:pPr>
    </w:p>
    <w:p w14:paraId="54A1CB87" w14:textId="77777777" w:rsidR="003754FE" w:rsidRDefault="003754FE" w:rsidP="003754FE">
      <w:pPr>
        <w:pStyle w:val="TextoNormalNegritaCentrado"/>
        <w:keepNext/>
      </w:pPr>
      <w:r>
        <w:t>Voto particular que formulan los magistrados don Ramón Sáez Valcárcel y don Enrique Arnaldo Alcubilla a la sentencia dictada por la Sala Segunda del Tribunal Constitucional en el recurso de amparo 1128-2022</w:t>
      </w:r>
    </w:p>
    <w:p w14:paraId="2B55C8AF" w14:textId="1500A40A" w:rsidR="003754FE" w:rsidRDefault="003754FE" w:rsidP="003754FE">
      <w:pPr>
        <w:pStyle w:val="TextoNormalNegritaCentrado"/>
        <w:keepNext/>
      </w:pPr>
    </w:p>
    <w:p w14:paraId="0E44012B" w14:textId="77777777" w:rsidR="003754FE" w:rsidRDefault="003754FE" w:rsidP="003754FE">
      <w:pPr>
        <w:pStyle w:val="TextoNormal"/>
      </w:pPr>
      <w:r>
        <w:t>Con el debido respeto a la opinión de nuestros compañeros que han conformado la mayoría de la Sala y en uso de la facultad que nos confiere el art. 90.2 LOTC, expresamos nuestra discrepancia con la decisión de estimación del recurso de amparo, por las razones ya defendidas en su momento durante la deliberación y que exponemos a continuación.</w:t>
      </w:r>
    </w:p>
    <w:p w14:paraId="723158E5" w14:textId="77777777" w:rsidR="003754FE" w:rsidRDefault="003754FE" w:rsidP="003754FE">
      <w:pPr>
        <w:pStyle w:val="TextoNormal"/>
      </w:pPr>
    </w:p>
    <w:p w14:paraId="48BDF992" w14:textId="77777777" w:rsidR="003754FE" w:rsidRDefault="003754FE" w:rsidP="003754FE">
      <w:pPr>
        <w:pStyle w:val="TextoNormal"/>
      </w:pPr>
      <w:r>
        <w:t>La demandante de amparo reprochaba a la sentencia de 23 de diciembre de 2021, dictada por la Sala de lo Civil del Tribunal Supremo, que, al haber anulado la sentencia de 22 de diciembre de 2020, dictada por la Audiencia Provincial de Santa Cruz de Tenerife, y la sentencia de 11 de marzo de 2020, del Juzgado de Primera Instancia núm. 2 de Santa Cruz de Tenerife, había vulnerado su derecho de igualdad y no discriminación por razón de sexo (art. 14 CE) y su derecho de asociación (art. 22 CE). Las sentencias anuladas habían declarado el derecho de la recurrente a asociarse a la Pontificia, Real y Venerable Esclavitud del Santísimo Cristo de La Laguna, estableciendo la modificación del art. 1 de los estatutos de la asociación, en el sentido de suprimir la expresión “de caballeros”.</w:t>
      </w:r>
    </w:p>
    <w:p w14:paraId="45B00207" w14:textId="77777777" w:rsidR="003754FE" w:rsidRDefault="003754FE" w:rsidP="003754FE">
      <w:pPr>
        <w:pStyle w:val="TextoNormal"/>
      </w:pPr>
    </w:p>
    <w:p w14:paraId="2708D539" w14:textId="77777777" w:rsidR="003754FE" w:rsidRDefault="003754FE" w:rsidP="003754FE">
      <w:pPr>
        <w:pStyle w:val="TextoNormal"/>
      </w:pPr>
      <w:r>
        <w:lastRenderedPageBreak/>
        <w:t>La sentencia de la que discrepamos anula la sentencia de la Sala de lo Civil del Tribunal Supremo por estimar que ha vulnerado el derecho de igualdad y no discriminación por razón de sexo, en relación con el derecho de asociación, de la recurrente (arts. 14 y 22 CE). Concluye que la imposibilidad de la recurrente de ingresar en la referida hermandad por el simple hecho de ser mujer constituye una discriminación por razón de género que no puede quedar amparada por la libertad de autoorganización de la asociación.</w:t>
      </w:r>
    </w:p>
    <w:p w14:paraId="3004562D" w14:textId="77777777" w:rsidR="003754FE" w:rsidRDefault="003754FE" w:rsidP="003754FE">
      <w:pPr>
        <w:pStyle w:val="TextoNormal"/>
      </w:pPr>
    </w:p>
    <w:p w14:paraId="6AE13E85" w14:textId="77777777" w:rsidR="003754FE" w:rsidRDefault="003754FE" w:rsidP="003754FE">
      <w:pPr>
        <w:pStyle w:val="TextoNormal"/>
      </w:pPr>
      <w:r>
        <w:t>Tal como exponemos seguidamente discrepamos de esa decisión, considerando que el presente recurso de amparo debió ser desestimado.</w:t>
      </w:r>
    </w:p>
    <w:p w14:paraId="501F2EAB" w14:textId="77777777" w:rsidR="003754FE" w:rsidRDefault="003754FE" w:rsidP="003754FE">
      <w:pPr>
        <w:pStyle w:val="TextoNormal"/>
      </w:pPr>
    </w:p>
    <w:p w14:paraId="6D732376" w14:textId="77777777" w:rsidR="003754FE" w:rsidRDefault="003754FE" w:rsidP="003754FE">
      <w:pPr>
        <w:pStyle w:val="TextoNormal"/>
      </w:pPr>
      <w:r>
        <w:t>1. La especial trascendencia constitucional del recurso de amparo y la supuesta necesidad de matizar la doctrina</w:t>
      </w:r>
    </w:p>
    <w:p w14:paraId="0BA6E954" w14:textId="77777777" w:rsidR="003754FE" w:rsidRDefault="003754FE" w:rsidP="003754FE">
      <w:pPr>
        <w:pStyle w:val="TextoNormal"/>
      </w:pPr>
    </w:p>
    <w:p w14:paraId="57365FDD" w14:textId="77777777" w:rsidR="003754FE" w:rsidRDefault="003754FE" w:rsidP="003754FE">
      <w:pPr>
        <w:pStyle w:val="TextoNormal"/>
      </w:pPr>
      <w:r>
        <w:t>Como puede verse en el relato de antecedentes, la Sección Tercera de este Tribunal Constitucional acordó admitir a trámite el recurso de amparo, apreciando que concurría una especial trascendencia constitucional porque el recurso daba ocasión al Tribunal para aclarar o cambiar su doctrina, como consecuencia de un proceso de reflexión interna [STC 155/2009, FJ 2 b)].</w:t>
      </w:r>
    </w:p>
    <w:p w14:paraId="50A6DB69" w14:textId="77777777" w:rsidR="003754FE" w:rsidRDefault="003754FE" w:rsidP="003754FE">
      <w:pPr>
        <w:pStyle w:val="TextoNormal"/>
      </w:pPr>
    </w:p>
    <w:p w14:paraId="1E8E9A22" w14:textId="77777777" w:rsidR="003754FE" w:rsidRDefault="003754FE" w:rsidP="003754FE">
      <w:pPr>
        <w:pStyle w:val="TextoNormal"/>
      </w:pPr>
      <w:r>
        <w:t>Es decir, el recurso se admite para matizar la doctrina en materia de derecho de asociación, pues todo el razonamiento de la sentencia para otorgar el amparo solicitado discurre en esa clave. Sin embargo, no hay en la sentencia matización alguna de la doctrina constitucional, sino que se limita a aplicar la existente, bien que de forma harto discutible. Con ello se pierde la oportunidad de que este tribunal reflexione sobre el concepto de “posición dominante” de las asociaciones privadas, sobre el que gira todo el breve razonamiento de la sentencia que conduce a estimar la demanda, y la influencia que dicha posición tiene en la configuración de un derecho de libertad como es el derecho de asociación. Posición de dominio que debe determinarse en atención a las circunstancias propias de cada caso, considerando los fines y el objeto social de la entidad, y que justifica la introducción de restricciones a la libertad de la asociación en punto, entre otros, a la admisión o exclusión de asociados. Se trata de una construcción que, en realidad, como las propias circunstancias del caso ponen de manifiesto, proviene de la jurisprudencia del Tribunal Supremo, a la que este tribunal se ha referido en contadas ocasiones (STC 218/1988 y ATC 254/2001).</w:t>
      </w:r>
    </w:p>
    <w:p w14:paraId="443F93B7" w14:textId="77777777" w:rsidR="003754FE" w:rsidRDefault="003754FE" w:rsidP="003754FE">
      <w:pPr>
        <w:pStyle w:val="TextoNormal"/>
      </w:pPr>
    </w:p>
    <w:p w14:paraId="5F7B3E75" w14:textId="77777777" w:rsidR="003754FE" w:rsidRDefault="003754FE" w:rsidP="003754FE">
      <w:pPr>
        <w:pStyle w:val="TextoNormal"/>
      </w:pPr>
      <w:r>
        <w:t>En fin, dado que esta posición dominante de una asociación conlleva, en principio, un control judicial más intenso sobre las normas estatutarias o sobre determinadas decisiones de los órganos sociales, estimamos que la sentencia ha dejado escapar la oportunidad de perfilar de forma más precisa en sede constitucional los criterios para la aplicación de tales limitaciones. Dimensión objetiva del presente recurso de amparo que la sentencia ha dejado caer en el olvido.</w:t>
      </w:r>
    </w:p>
    <w:p w14:paraId="32BCD5A7" w14:textId="77777777" w:rsidR="003754FE" w:rsidRDefault="003754FE" w:rsidP="003754FE">
      <w:pPr>
        <w:pStyle w:val="TextoNormal"/>
      </w:pPr>
    </w:p>
    <w:p w14:paraId="408776D5" w14:textId="77777777" w:rsidR="003754FE" w:rsidRDefault="003754FE" w:rsidP="003754FE">
      <w:pPr>
        <w:pStyle w:val="TextoNormal"/>
      </w:pPr>
      <w:r>
        <w:t>2. Las insuficientes razones para la estimación del recurso de amparo</w:t>
      </w:r>
    </w:p>
    <w:p w14:paraId="5483BEDD" w14:textId="77777777" w:rsidR="003754FE" w:rsidRDefault="003754FE" w:rsidP="003754FE">
      <w:pPr>
        <w:pStyle w:val="TextoNormal"/>
      </w:pPr>
    </w:p>
    <w:p w14:paraId="4EAE1EC2" w14:textId="77777777" w:rsidR="003754FE" w:rsidRDefault="003754FE" w:rsidP="003754FE">
      <w:pPr>
        <w:pStyle w:val="TextoNormal"/>
      </w:pPr>
      <w:r>
        <w:t xml:space="preserve">Las razones de nuestra discrepancia, no obstante, no se ciñen únicamente a la referida falta de desarrollo de una doctrina constitucional más perfilada sobre los límites de la capacidad autoorganizativa de las asociaciones como vertiente del art. 22 CE en relación con el contenido del art. 14 CE y las facultades </w:t>
      </w:r>
      <w:r w:rsidRPr="003754FE">
        <w:rPr>
          <w:i/>
        </w:rPr>
        <w:t>inter privatos</w:t>
      </w:r>
      <w:r>
        <w:t xml:space="preserve"> protegidas asimismo por el derecho de asociación del art. 22 CE.</w:t>
      </w:r>
    </w:p>
    <w:p w14:paraId="69C6A19C" w14:textId="77777777" w:rsidR="003754FE" w:rsidRDefault="003754FE" w:rsidP="003754FE">
      <w:pPr>
        <w:pStyle w:val="TextoNormal"/>
      </w:pPr>
    </w:p>
    <w:p w14:paraId="0013DF0F" w14:textId="77777777" w:rsidR="003754FE" w:rsidRDefault="003754FE" w:rsidP="003754FE">
      <w:pPr>
        <w:pStyle w:val="TextoNormal"/>
      </w:pPr>
      <w:r>
        <w:t>En todo caso tampoco estamos de acuerdo con la aplicación del criterio de la posición dominante que ha efectuado la sentencia de la que disentimos. Considera que la hermandad ocupa una posición dominante que provoca “que la no pertenencia a dicha asociación suponga un quebranto objetivo de los intereses de las mujeres en dichos ámbitos”. En consecuencia, otorga el amparo solicitado por tres razones: (i) la acrítica asunción de las afirmaciones de la sentencia de 11 de marzo de 2020, dictada por el Juzgado de Primera Instancia núm. 2 de Santa Cruz de Tenerife, respecto a la posición de dominio de la Pontificia, Real y Venerable Esclavitud del Santísimo Cristo de La Laguna; (ii) las subvenciones que la mencionada hermandad ha venido recibiendo para la rehabilitación de la Sagrada Imagen del Santísimo Cristo de La Laguna, las cuales evidenciarían el factor cultural, social e histórico de los actos de culto organizados por la citada hermandad; y (iii) la posición de dominio que la Esclavitud ostenta en la realización de los actos devocionales relacionados con la Sagrada Imagen del Santísimo Cristo de La Laguna, lo que hace que la recurrente no tenga la posibilidad de ejercer esa misma actividad de culto de dicha imagen en otra hermandad o cofradía del municipio.</w:t>
      </w:r>
    </w:p>
    <w:p w14:paraId="4331DD7F" w14:textId="77777777" w:rsidR="003754FE" w:rsidRDefault="003754FE" w:rsidP="003754FE">
      <w:pPr>
        <w:pStyle w:val="TextoNormal"/>
      </w:pPr>
    </w:p>
    <w:p w14:paraId="2615C719" w14:textId="77777777" w:rsidR="003754FE" w:rsidRDefault="003754FE" w:rsidP="003754FE">
      <w:pPr>
        <w:pStyle w:val="TextoNormal"/>
      </w:pPr>
      <w:r>
        <w:t>No podemos compartir ninguna de las tres razones.</w:t>
      </w:r>
    </w:p>
    <w:p w14:paraId="598F74A1" w14:textId="77777777" w:rsidR="003754FE" w:rsidRDefault="003754FE" w:rsidP="003754FE">
      <w:pPr>
        <w:pStyle w:val="TextoNormal"/>
      </w:pPr>
    </w:p>
    <w:p w14:paraId="21224D16" w14:textId="77777777" w:rsidR="003754FE" w:rsidRDefault="003754FE" w:rsidP="003754FE">
      <w:pPr>
        <w:pStyle w:val="TextoNormal"/>
      </w:pPr>
      <w:r>
        <w:t>(i) La primera porque supone la asunción de argumentos discutibles basados en la importancia de los actos religiosos en los que participa la hermandad y de otro argumento que es ciertamente absurdo: la hermandad ocupa una posición dominante porque “ninguna otra hermandad puede realizar acto procesional u otra actuación religiosa, cultural o social, relacionada con la Imagen del Santísimo Cristo”. Es decir, porque en los actos religiosos en los que participa la hermandad lo hace portando la imagen de la que es propietaria; exactamente lo mismo, cabe suponer, que las otras treinta hermandades y cofradías existentes con sede en San Cristóbal de La Laguna hacen con las suyas y sin que eso les atribuya posición dominante alguna.</w:t>
      </w:r>
    </w:p>
    <w:p w14:paraId="1BAF2CD3" w14:textId="77777777" w:rsidR="003754FE" w:rsidRDefault="003754FE" w:rsidP="003754FE">
      <w:pPr>
        <w:pStyle w:val="TextoNormal"/>
      </w:pPr>
    </w:p>
    <w:p w14:paraId="55C0816A" w14:textId="77777777" w:rsidR="003754FE" w:rsidRDefault="003754FE" w:rsidP="003754FE">
      <w:pPr>
        <w:pStyle w:val="TextoNormal"/>
      </w:pPr>
      <w:r>
        <w:t>Lo más grave, sin embargo, es que la sentencia se limita a transcribir las afirmaciones del órgano judicial de instancia y ni dialoga con la sentencia del Tribunal Supremo que ha sido impugnada en el recurso de amparo ni, en el fondo, expone las razones por las que dicha sentencia, muy fundada y argumentada y, desde luego, resolutoria del caso en un sentido que compartimos, incurre en las vulneraciones que la demandante denunciaba en su recurso.</w:t>
      </w:r>
    </w:p>
    <w:p w14:paraId="6D3341B7" w14:textId="77777777" w:rsidR="003754FE" w:rsidRDefault="003754FE" w:rsidP="003754FE">
      <w:pPr>
        <w:pStyle w:val="TextoNormal"/>
      </w:pPr>
    </w:p>
    <w:p w14:paraId="70BFBF7B" w14:textId="77777777" w:rsidR="003754FE" w:rsidRDefault="003754FE" w:rsidP="003754FE">
      <w:pPr>
        <w:pStyle w:val="TextoNormal"/>
      </w:pPr>
      <w:r>
        <w:t>Recordamos ahora que esa decisión del Tribunal Supremo estimaba que la asociación en cuestión lleva a cabo actividades exclusivamente religiosas (promover entre sus asociados una vida cristiana más perfecta, el ejercicio de obras de piedad evangélica y el incremento de la devoción y culto a la Sagrada Imagen de Nuestro Señor Crucificado), ajenas, concluye el Tribunal Supremo, a toda connotación económica, profesional o laboral. En segundo lugar, aprecia que no existe una situación de monopolio o exclusividad en la organización de las actividades procesionales de la Semana Santa y otros actos de culto por parte de la Esclavitud del Santísimo Cristo, que es una más de las diversas hermandades y cofradías existentes con sede en San Cristóbal de La Laguna, como tampoco existe impedimento canónico para poder promover la constitución de nuevas hermandades, con los mismos fines espirituales y religiosos, integradas por hombres y mujeres o solo por mujeres.</w:t>
      </w:r>
    </w:p>
    <w:p w14:paraId="331F9598" w14:textId="77777777" w:rsidR="003754FE" w:rsidRDefault="003754FE" w:rsidP="003754FE">
      <w:pPr>
        <w:pStyle w:val="TextoNormal"/>
      </w:pPr>
    </w:p>
    <w:p w14:paraId="78745BE3" w14:textId="77777777" w:rsidR="003754FE" w:rsidRDefault="003754FE" w:rsidP="003754FE">
      <w:pPr>
        <w:pStyle w:val="TextoNormal"/>
      </w:pPr>
      <w:r>
        <w:lastRenderedPageBreak/>
        <w:t>Por tanto, coincidimos con la sentencia del Tribunal Supremo y estimamos que no ha quedado demostrado que la hermandad ostente una posición “privilegiada” o “dominante” en el campo económico, cultural, social o profesional de una magnitud tal que justifique la limitación del derecho de la entidad a elegir libremente a quien asocia.</w:t>
      </w:r>
    </w:p>
    <w:p w14:paraId="51DC8137" w14:textId="77777777" w:rsidR="003754FE" w:rsidRDefault="003754FE" w:rsidP="003754FE">
      <w:pPr>
        <w:pStyle w:val="TextoNormal"/>
      </w:pPr>
    </w:p>
    <w:p w14:paraId="678EE091" w14:textId="77777777" w:rsidR="003754FE" w:rsidRDefault="003754FE" w:rsidP="003754FE">
      <w:pPr>
        <w:pStyle w:val="TextoNormal"/>
      </w:pPr>
      <w:r>
        <w:t>(ii) El segundo motivo, que la Esclavitud del Santísimo Cristo recibe subvenciones públicas, sencillamente no es tal.</w:t>
      </w:r>
    </w:p>
    <w:p w14:paraId="04D70AE0" w14:textId="77777777" w:rsidR="003754FE" w:rsidRDefault="003754FE" w:rsidP="003754FE">
      <w:pPr>
        <w:pStyle w:val="TextoNormal"/>
      </w:pPr>
    </w:p>
    <w:p w14:paraId="16ACD6E8" w14:textId="77777777" w:rsidR="003754FE" w:rsidRDefault="003754FE" w:rsidP="003754FE">
      <w:pPr>
        <w:pStyle w:val="TextoNormal"/>
      </w:pPr>
      <w:r>
        <w:t>Las subvenciones no se reciben para la realización de los actos religiosos o de culto organizados por la hermandad o para la consecución de los fines asociativos, sino por una circunstancia completamente ajena a lo que aquí se discute. Se trata del hecho de que la hermandad es la propietaria de una determinada escultura, la Sagrada Imagen del Santísimo Cristo de La Laguna, de finales del siglo XVI e inscrita en el registro de bienes muebles de interés cultural, recibiendo las subvenciones en calidad de propietario y para su rehabilitación, lo que no es indicativo de posición dominante alguna ni, por tanto, justifica la restricción del derecho de asociación de la hermandad.</w:t>
      </w:r>
    </w:p>
    <w:p w14:paraId="1776B427" w14:textId="77777777" w:rsidR="003754FE" w:rsidRDefault="003754FE" w:rsidP="003754FE">
      <w:pPr>
        <w:pStyle w:val="TextoNormal"/>
      </w:pPr>
    </w:p>
    <w:p w14:paraId="2F597D0F" w14:textId="77777777" w:rsidR="003754FE" w:rsidRDefault="003754FE" w:rsidP="003754FE">
      <w:pPr>
        <w:pStyle w:val="TextoNormal"/>
      </w:pPr>
      <w:r>
        <w:t>(iii) El tercer motivo es, en realidad, redundante con el primero, por cuanto vuelve a incidir en la posición de dominio que la hermandad ostenta aludiendo a la realización de los actos devocionales relacionados con la Sagrada Imagen del Santísimo Cristo de La Laguna.</w:t>
      </w:r>
    </w:p>
    <w:p w14:paraId="2E9F8503" w14:textId="77777777" w:rsidR="003754FE" w:rsidRDefault="003754FE" w:rsidP="003754FE">
      <w:pPr>
        <w:pStyle w:val="TextoNormal"/>
      </w:pPr>
    </w:p>
    <w:p w14:paraId="0DAA9E8A" w14:textId="77777777" w:rsidR="003754FE" w:rsidRDefault="003754FE" w:rsidP="003754FE">
      <w:pPr>
        <w:pStyle w:val="TextoNormal"/>
      </w:pPr>
      <w:r>
        <w:t>Ya hemos señalado antes que el Tribunal Supremo, con una argumentación que compartimos, ha negado que tal posición de predominio exista. La sentencia destaca el hecho de que la recurrente no tenga la posibilidad de ejercer esa misma actividad de culto de dicha imagen en otra hermandad o cofradía del municipio. Pero eso no viene provocado por esa supuesta posición de dominio sino, sencillamente, porque la hermandad es la propietaria de la imagen y eso conlleva su uso en los actos de culto. Actos de culto en los que la demandante de amparo podía libremente participar, pero no como miembro de la hermandad que es lo que reclama.</w:t>
      </w:r>
    </w:p>
    <w:p w14:paraId="019F16CF" w14:textId="77777777" w:rsidR="003754FE" w:rsidRDefault="003754FE" w:rsidP="003754FE">
      <w:pPr>
        <w:pStyle w:val="TextoNormal"/>
      </w:pPr>
    </w:p>
    <w:p w14:paraId="1A5C5E13" w14:textId="77777777" w:rsidR="003754FE" w:rsidRDefault="003754FE" w:rsidP="003754FE">
      <w:pPr>
        <w:pStyle w:val="TextoNormal"/>
      </w:pPr>
      <w:r>
        <w:t>3. La significativa ausencia de la ponderación entre el perjuicio supuestamente sufrido y la injerencia en el derecho de asociación de la entidad privada o la incorrecta aplicación del canon de enjuiciamiento.</w:t>
      </w:r>
    </w:p>
    <w:p w14:paraId="47C4FEC2" w14:textId="77777777" w:rsidR="003754FE" w:rsidRDefault="003754FE" w:rsidP="003754FE">
      <w:pPr>
        <w:pStyle w:val="TextoNormal"/>
      </w:pPr>
    </w:p>
    <w:p w14:paraId="120424D2" w14:textId="77777777" w:rsidR="003754FE" w:rsidRDefault="003754FE" w:rsidP="003754FE">
      <w:pPr>
        <w:pStyle w:val="TextoNormal"/>
      </w:pPr>
      <w:r>
        <w:t>La STC 218/1988, de 22 de noviembre, recoge, en su fundamento jurídico 3, el concepto de posición dominante de una asociación privada entendiendo por tal la que “ostentase de hecho o de derecho una posición dominante en el campo económico, cultural, social o profesional, de manera que la pertenencia o exclusión de ella supusiese un perjuicio significativo para el particular afectado”.</w:t>
      </w:r>
    </w:p>
    <w:p w14:paraId="1A93FB0C" w14:textId="77777777" w:rsidR="003754FE" w:rsidRDefault="003754FE" w:rsidP="003754FE">
      <w:pPr>
        <w:pStyle w:val="TextoNormal"/>
      </w:pPr>
    </w:p>
    <w:p w14:paraId="18F61B92" w14:textId="77777777" w:rsidR="003754FE" w:rsidRDefault="003754FE" w:rsidP="003754FE">
      <w:pPr>
        <w:pStyle w:val="TextoNormal"/>
      </w:pPr>
      <w:r>
        <w:t>Este canon, sucintamente formulado, tiene dos elementos; el primero es, atendiendo a las circunstancias concretas del caso, la necesidad de determinar si existe una posición de dominio de la asociación. Pero para que esa posición de dominio sea relevante hace falta algo más, que de ello se derive un perjuicio relevante para el afectado. Este segundo elemento del canon está por completo ausente en el razonamiento de la sentencia.</w:t>
      </w:r>
    </w:p>
    <w:p w14:paraId="0D16DF7C" w14:textId="77777777" w:rsidR="003754FE" w:rsidRDefault="003754FE" w:rsidP="003754FE">
      <w:pPr>
        <w:pStyle w:val="TextoNormal"/>
      </w:pPr>
    </w:p>
    <w:p w14:paraId="09A2A98D" w14:textId="77777777" w:rsidR="003754FE" w:rsidRDefault="003754FE" w:rsidP="003754FE">
      <w:pPr>
        <w:pStyle w:val="TextoNormal"/>
      </w:pPr>
      <w:r>
        <w:t xml:space="preserve">Es decir, que, aun admitiendo a efectos meramente dialécticos que la Pontificia, Real y Venerable Esclavitud del Santísimo Cristo de La Laguna ostentase la posición dominante </w:t>
      </w:r>
      <w:r>
        <w:lastRenderedPageBreak/>
        <w:t>que, sin ningún fundamento, la sentencia le atribuye, faltaría por determinar si esa posición dominante en conjunción con su derecho de autoorganización ha producido un perjuicio significativo para la ahora recurrente en amparo. Perjuicio de tal entidad que justifica la intensa injerencia en la organización interna de la hermandad que se reclamaba en el proceso. Organización interna, en principio, protegida por el derecho de asociación el cual comprende no solo el derecho a asociarse, sino también el de establecer la propia organización del ente creado por el acto asociativo dentro del marco de la Constitución y de las leyes que lo desarrollen o lo regulen. De acuerdo con ello, la creación, organización y funcionamiento de una asociación se rige por disposiciones de los propios asociados, de conformidad con el principio de autonomía de la voluntad, consustancial al derecho de asociación, por lo que pueden legítimamente establecer los requisitos que consideren oportunos para poder formar parte de la comunidad y determinar si los aspirantes a ingresar en la misma los cumplen.</w:t>
      </w:r>
    </w:p>
    <w:p w14:paraId="391508D5" w14:textId="77777777" w:rsidR="003754FE" w:rsidRDefault="003754FE" w:rsidP="003754FE">
      <w:pPr>
        <w:pStyle w:val="TextoNormal"/>
      </w:pPr>
    </w:p>
    <w:p w14:paraId="1E3D926B" w14:textId="77777777" w:rsidR="003754FE" w:rsidRDefault="003754FE" w:rsidP="003754FE">
      <w:pPr>
        <w:pStyle w:val="TextoNormal"/>
      </w:pPr>
      <w:r>
        <w:t>En ningún momento la sentencia de la que discrepamos singulariza la entidad del perjuicio sufrido (lo que llama “intereses de las mujeres”) para ponerlo en relación con la capacidad autoorganizativa de la hermandad. Ello le impide ponderar si el perjuicio alegado que, al parecer, sería no tanto la imposibilidad de participar en los actos de culto organizados por la hermandad, sino el no poder hacerlo en la condición de miembro de la hermandad, es de tal entidad que ha de prevalecer sobre una de las vertientes del derecho de asociación como manifestación de un derecho de libertad: la posibilidad de establecer la propia organización de estas entidades privadas y de decidir quién forma parte de ellas y quién no.</w:t>
      </w:r>
    </w:p>
    <w:p w14:paraId="5C403739" w14:textId="77777777" w:rsidR="003754FE" w:rsidRDefault="003754FE" w:rsidP="003754FE">
      <w:pPr>
        <w:pStyle w:val="TextoNormal"/>
      </w:pPr>
    </w:p>
    <w:p w14:paraId="7DF2462D" w14:textId="77777777" w:rsidR="003754FE" w:rsidRDefault="003754FE" w:rsidP="003754FE">
      <w:pPr>
        <w:pStyle w:val="TextoNormal"/>
      </w:pPr>
      <w:r>
        <w:t>Esa facultad se ha visto aquí cercenada sin ponderación alguna del perjuicio que se dice sufrir, la imposibilidad de ser miembro de la hermandad, y sin tener en cuenta que una entidad privada que no ejerce funciones públicas ni realiza actividades financiadas con fondos públicos puede, en ejercicio de su libertad de autoorganización, excluir la entrada de personas por ser mujeres, como ha sido en este supuesto, o llegado el caso, por ser hombres.</w:t>
      </w:r>
    </w:p>
    <w:p w14:paraId="594C673C" w14:textId="77777777" w:rsidR="003754FE" w:rsidRDefault="003754FE" w:rsidP="003754FE">
      <w:pPr>
        <w:pStyle w:val="TextoNormal"/>
      </w:pPr>
    </w:p>
    <w:p w14:paraId="7FB61BD5" w14:textId="77777777" w:rsidR="003754FE" w:rsidRDefault="003754FE" w:rsidP="003754FE">
      <w:pPr>
        <w:pStyle w:val="TextoNormal"/>
      </w:pPr>
      <w:r>
        <w:t>En realidad, el argumento expresa una comprensión inadecuada del criterio de la posición dominante en el que se basa la sentencia para la restricción de las facultades autoorganizativas que integran el derecho de asociación. La sentencia reduce el ámbito de esa posición dominante a la organización y participación de los miembros de una hermandad en los actos de culto a su imagen para poder afirmar, a partir de lo anterior, el dominio absoluto de la asociación en ese reducido ámbito, obviando que no es la única hermandad que celebra actos de culto ni monopoliza la celebración de la Semana Santa. Un entendimiento del criterio de la posición dominante tan formal y restringido como el descrito conduce de hecho a una inversión del juego de las facetas del derecho de asociación, pues siempre habrá una posición dominante derivada de la mera actividad de la asociación y, con ella, el derecho a seleccionar los miembros de la asociación deberá ceder ante todo aquel que pretenda sumarse a ella. La excepción se convierte así en regla.</w:t>
      </w:r>
    </w:p>
    <w:p w14:paraId="017D40AD" w14:textId="77777777" w:rsidR="003754FE" w:rsidRDefault="003754FE" w:rsidP="003754FE">
      <w:pPr>
        <w:pStyle w:val="TextoNormal"/>
      </w:pPr>
    </w:p>
    <w:p w14:paraId="1473649E" w14:textId="77777777" w:rsidR="003754FE" w:rsidRDefault="003754FE" w:rsidP="003754FE">
      <w:pPr>
        <w:pStyle w:val="TextoNormal"/>
      </w:pPr>
      <w:r>
        <w:t>4. Conclusión</w:t>
      </w:r>
    </w:p>
    <w:p w14:paraId="3A20FAE4" w14:textId="77777777" w:rsidR="003754FE" w:rsidRDefault="003754FE" w:rsidP="003754FE">
      <w:pPr>
        <w:pStyle w:val="TextoNormal"/>
      </w:pPr>
    </w:p>
    <w:p w14:paraId="40A93680" w14:textId="77777777" w:rsidR="003754FE" w:rsidRDefault="003754FE" w:rsidP="003754FE">
      <w:pPr>
        <w:pStyle w:val="TextoNormal"/>
      </w:pPr>
      <w:r>
        <w:t xml:space="preserve">La sentencia de la que discrepamos viene a consagrar un supuesto derecho de los particulares a incorporarse a la asociación de su elección, en el caso de que esa asociación ostente una posición dominante. Y lo hace sin que se haya matizado o perfilado el significado de tal posición dominante en términos constitucionales, como límite de una de las facetas del </w:t>
      </w:r>
      <w:r>
        <w:lastRenderedPageBreak/>
        <w:t>derecho de asociación constitucionalmente protegido, obviando la premisa que, para ese supuesto derecho de incorporarse a la asociación de su elección, representa el reconocimiento del carácter esencial que los estatutos tienen para preservar la libertad asociativa. En el caso concreto, eso ha conducido a que se haya cuestionado el principio de libertad de las entidades privadas, clave en nuestro ordenamiento constitucional, con argumentos extremadamente endebles y en contra del criterio del Tribunal Supremo, cuando la pretensión de la recurrente colisionaba con el derecho de la hermandad a organizarse y a realizar las actuaciones que le son propias conforme a sus propios criterios.</w:t>
      </w:r>
    </w:p>
    <w:p w14:paraId="2F9E0C32" w14:textId="77777777" w:rsidR="003754FE" w:rsidRDefault="003754FE" w:rsidP="003754FE">
      <w:pPr>
        <w:pStyle w:val="TextoNormal"/>
      </w:pPr>
    </w:p>
    <w:p w14:paraId="7C68DC8D" w14:textId="77777777" w:rsidR="003754FE" w:rsidRDefault="003754FE" w:rsidP="003754FE">
      <w:pPr>
        <w:pStyle w:val="TextoNormal"/>
      </w:pPr>
      <w:r>
        <w:t>Y en este sentido emitimos nuestro voto particular.</w:t>
      </w:r>
    </w:p>
    <w:p w14:paraId="40D146E2" w14:textId="77777777" w:rsidR="003754FE" w:rsidRDefault="003754FE" w:rsidP="003754FE">
      <w:pPr>
        <w:pStyle w:val="TextoNormal"/>
      </w:pPr>
    </w:p>
    <w:p w14:paraId="6815C353" w14:textId="37992CE9" w:rsidR="003754FE" w:rsidRDefault="003754FE" w:rsidP="003754FE">
      <w:pPr>
        <w:pStyle w:val="TextoNormal"/>
      </w:pPr>
      <w:r>
        <w:t>Madrid, a trece de noviembre de dos mil veinticuatro.</w:t>
      </w:r>
    </w:p>
    <w:p w14:paraId="2179BBEE" w14:textId="562B642A" w:rsidR="003754FE" w:rsidRDefault="003754FE">
      <w:pPr>
        <w:spacing w:after="160" w:line="278" w:lineRule="auto"/>
        <w:rPr>
          <w:rFonts w:ascii="Times New Roman" w:eastAsia="Times New Roman" w:hAnsi="Times New Roman" w:cs="Times New Roman"/>
          <w:sz w:val="24"/>
          <w:szCs w:val="24"/>
          <w:lang w:eastAsia="es-ES"/>
        </w:rPr>
      </w:pPr>
      <w:r>
        <w:br w:type="page"/>
      </w:r>
    </w:p>
    <w:p w14:paraId="015A5B26" w14:textId="77777777" w:rsidR="003754FE" w:rsidRDefault="003754FE" w:rsidP="003754FE">
      <w:pPr>
        <w:pStyle w:val="TtuloResolucin"/>
      </w:pPr>
      <w:bookmarkStart w:id="42" w:name="SENTENCIA_2024_133"/>
      <w:r>
        <w:lastRenderedPageBreak/>
        <w:t>SENTENCIA 133/2024, de 4 de noviembre de 2024</w:t>
      </w:r>
    </w:p>
    <w:bookmarkEnd w:id="42"/>
    <w:p w14:paraId="16F01871" w14:textId="77777777" w:rsidR="003754FE" w:rsidRDefault="003754FE" w:rsidP="003754FE">
      <w:pPr>
        <w:pStyle w:val="TtuloResolucin"/>
      </w:pPr>
      <w:r>
        <w:t>Sala Segunda</w:t>
      </w:r>
    </w:p>
    <w:p w14:paraId="0290FDF0" w14:textId="77777777" w:rsidR="003754FE" w:rsidRDefault="003754FE" w:rsidP="003754FE">
      <w:pPr>
        <w:pStyle w:val="TtuloBOE"/>
      </w:pPr>
      <w:r>
        <w:t>(BOE núm. 294, de 6 de diciembre de 2024)</w:t>
      </w:r>
    </w:p>
    <w:p w14:paraId="5745028C" w14:textId="77777777" w:rsidR="003754FE" w:rsidRDefault="003754FE" w:rsidP="003754FE">
      <w:pPr>
        <w:pStyle w:val="TextoNormalCentrado"/>
      </w:pPr>
      <w:r>
        <w:t>ECLI:ES:TC:2024:133</w:t>
      </w:r>
    </w:p>
    <w:p w14:paraId="0598DEFB" w14:textId="54AEF6F5" w:rsidR="003754FE" w:rsidRDefault="003754FE" w:rsidP="003754FE">
      <w:pPr>
        <w:pStyle w:val="TextoNormalCentrado"/>
      </w:pPr>
    </w:p>
    <w:p w14:paraId="6CB923D8" w14:textId="77777777" w:rsidR="003754FE" w:rsidRDefault="003754FE" w:rsidP="003754FE">
      <w:pPr>
        <w:pStyle w:val="SntesisDescriptiva"/>
      </w:pPr>
      <w:r>
        <w:t>Recurso de amparo 529-2023. Promovido por la Entidad de Gestión de Derechos de los Productores Audiovisuales en relación con la sentencia de la Audiencia Provincial de Murcia que confirma, en apelación, la absolución de los acusados de un delito contra la propiedad intelectual acordada por un juzgado de lo penal de su capital.</w:t>
      </w:r>
    </w:p>
    <w:p w14:paraId="71F17729" w14:textId="4A6DAE00" w:rsidR="003754FE" w:rsidRDefault="003754FE" w:rsidP="003754FE">
      <w:pPr>
        <w:pStyle w:val="SntesisDescriptiva"/>
      </w:pPr>
    </w:p>
    <w:p w14:paraId="4D41706B" w14:textId="77777777" w:rsidR="003754FE" w:rsidRDefault="003754FE" w:rsidP="003754FE">
      <w:pPr>
        <w:pStyle w:val="SntesisAnaltica"/>
      </w:pPr>
      <w:r>
        <w:t>Supuesta vulneración de los derechos a la tutela judicial efectiva (motivación) y a la defensa: resolución judicial absolutoria que expresa las razones fundadas en Derecho que sustentan la decisión adoptada y que no ignora el principio de primacía del Derecho de la Unión Europea.</w:t>
      </w:r>
    </w:p>
    <w:p w14:paraId="3F30C7A3" w14:textId="1ABC84DA" w:rsidR="003754FE" w:rsidRDefault="003754FE" w:rsidP="003754FE">
      <w:pPr>
        <w:pStyle w:val="SntesisAnaltica"/>
      </w:pPr>
    </w:p>
    <w:p w14:paraId="0DD9FE9D" w14:textId="7F099018" w:rsidR="003754FE" w:rsidRDefault="003754FE" w:rsidP="003754FE">
      <w:pPr>
        <w:pStyle w:val="Extracto"/>
      </w:pPr>
      <w:r>
        <w:t>1.</w:t>
      </w:r>
      <w:r>
        <w:tab/>
        <w:t>En las sentencias penales condenatorias el canon de motivación es más riguroso que en las absolutorias pues están en juego los derechos fundamentales a la libertad y a la presunción de inocencia, entre otros (SSTC 62/1996 o 340/2006) [FJ 4].</w:t>
      </w:r>
    </w:p>
    <w:p w14:paraId="221E3424" w14:textId="77777777" w:rsidR="003754FE" w:rsidRDefault="003754FE" w:rsidP="003754FE">
      <w:pPr>
        <w:pStyle w:val="Extracto"/>
      </w:pPr>
    </w:p>
    <w:p w14:paraId="02E6BF2F" w14:textId="025AB3C8" w:rsidR="003754FE" w:rsidRDefault="003754FE" w:rsidP="003754FE">
      <w:pPr>
        <w:pStyle w:val="Extracto"/>
      </w:pPr>
      <w:r>
        <w:t>2.</w:t>
      </w:r>
      <w:r>
        <w:tab/>
        <w:t xml:space="preserve">Para satisfacer la exigencia constitucional de motivación es suficiente que las sentencias vengan apoyadas en razones fundadas en Derecho que permitan conocer cuáles han sido los criterios jurídicos esenciales que sustentan la decisión o, lo que es lo mismo, su </w:t>
      </w:r>
      <w:r w:rsidRPr="003754FE">
        <w:rPr>
          <w:i/>
        </w:rPr>
        <w:t xml:space="preserve">ratio decidendi </w:t>
      </w:r>
      <w:r>
        <w:t>(SSTC 13/1987 o 75/2005) [FJ 4].</w:t>
      </w:r>
    </w:p>
    <w:p w14:paraId="2A611D92" w14:textId="77777777" w:rsidR="003754FE" w:rsidRDefault="003754FE" w:rsidP="003754FE">
      <w:pPr>
        <w:pStyle w:val="Extracto"/>
      </w:pPr>
    </w:p>
    <w:p w14:paraId="3A1C5FE5" w14:textId="6D979D18" w:rsidR="003754FE" w:rsidRDefault="003754FE" w:rsidP="003754FE">
      <w:pPr>
        <w:pStyle w:val="Extracto"/>
      </w:pPr>
      <w:r>
        <w:t>3.</w:t>
      </w:r>
      <w:r>
        <w:tab/>
        <w:t>El órgano judicial debe conocer y aplicar la normativa del Derecho de la Unión, a riesgo de incurrir en una selección irrazonable y arbitraria de normativa, siempre que sea aplicable al proceso (SSTC 145/2012 o 38/2024) [FJ 5].</w:t>
      </w:r>
    </w:p>
    <w:p w14:paraId="03369DDF" w14:textId="77777777" w:rsidR="003754FE" w:rsidRDefault="003754FE" w:rsidP="003754FE">
      <w:pPr>
        <w:pStyle w:val="Extracto"/>
      </w:pPr>
    </w:p>
    <w:p w14:paraId="4B3359B5" w14:textId="459EAC9F" w:rsidR="003754FE" w:rsidRDefault="003754FE" w:rsidP="003754FE">
      <w:pPr>
        <w:pStyle w:val="Extracto"/>
      </w:pPr>
      <w:r>
        <w:t>4.</w:t>
      </w:r>
      <w:r>
        <w:tab/>
        <w:t>Vulneraría el principio de primacía del Derecho de la Unión Europea la decisión del órgano judicial de no aplicar la interpretación de un precepto de una norma europea impuesta y señalada por el órgano competente para hacerlo con carácter vinculante, es decir, el Tribunal de Justicia de la Unión Europea (SSTC 145/2012 o 38/2024) [FJ 5].</w:t>
      </w:r>
    </w:p>
    <w:p w14:paraId="08F58A4E" w14:textId="77777777" w:rsidR="003754FE" w:rsidRDefault="003754FE" w:rsidP="003754FE">
      <w:pPr>
        <w:pStyle w:val="Extracto"/>
      </w:pPr>
    </w:p>
    <w:p w14:paraId="592B79CD" w14:textId="77777777" w:rsidR="003754FE" w:rsidRDefault="003754FE" w:rsidP="003754FE">
      <w:pPr>
        <w:pStyle w:val="Extracto"/>
      </w:pPr>
    </w:p>
    <w:p w14:paraId="127385E6"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426D8B3" w14:textId="44DAA187" w:rsidR="003754FE" w:rsidRDefault="003754FE" w:rsidP="003754FE">
      <w:pPr>
        <w:pStyle w:val="TextoNormal"/>
      </w:pPr>
    </w:p>
    <w:p w14:paraId="46A888B2" w14:textId="77777777" w:rsidR="003754FE" w:rsidRDefault="003754FE" w:rsidP="003754FE">
      <w:pPr>
        <w:pStyle w:val="TextoNormalCentrado"/>
        <w:keepNext/>
      </w:pPr>
      <w:r>
        <w:t>EN NOMBRE DEL REY</w:t>
      </w:r>
    </w:p>
    <w:p w14:paraId="691C9B1C" w14:textId="097773F7" w:rsidR="003754FE" w:rsidRDefault="003754FE" w:rsidP="003754FE">
      <w:pPr>
        <w:pStyle w:val="TextoNormalCentrado"/>
        <w:keepNext/>
      </w:pPr>
    </w:p>
    <w:p w14:paraId="3659AE2E" w14:textId="77777777" w:rsidR="003754FE" w:rsidRDefault="003754FE" w:rsidP="003754FE">
      <w:pPr>
        <w:pStyle w:val="TextoNormalCentrado"/>
        <w:keepNext/>
      </w:pPr>
    </w:p>
    <w:p w14:paraId="26B98774" w14:textId="77777777" w:rsidR="003754FE" w:rsidRDefault="003754FE" w:rsidP="003754FE">
      <w:pPr>
        <w:pStyle w:val="TextoNormal"/>
      </w:pPr>
      <w:r>
        <w:t>la siguiente</w:t>
      </w:r>
    </w:p>
    <w:p w14:paraId="15B4810C" w14:textId="48C773FD" w:rsidR="003754FE" w:rsidRDefault="003754FE" w:rsidP="003754FE">
      <w:pPr>
        <w:pStyle w:val="TextoNormal"/>
      </w:pPr>
    </w:p>
    <w:p w14:paraId="22DC8E5A" w14:textId="77777777" w:rsidR="003754FE" w:rsidRDefault="003754FE" w:rsidP="003754FE">
      <w:pPr>
        <w:pStyle w:val="TextoNormalCentrado"/>
        <w:keepNext/>
      </w:pPr>
      <w:r>
        <w:lastRenderedPageBreak/>
        <w:t>SENTENCIA</w:t>
      </w:r>
    </w:p>
    <w:p w14:paraId="78FCD135" w14:textId="15F2E8E0" w:rsidR="003754FE" w:rsidRDefault="003754FE" w:rsidP="003754FE">
      <w:pPr>
        <w:pStyle w:val="TextoNormalCentrado"/>
        <w:keepNext/>
      </w:pPr>
    </w:p>
    <w:p w14:paraId="4A8303E3" w14:textId="77777777" w:rsidR="003754FE" w:rsidRDefault="003754FE" w:rsidP="003754FE">
      <w:pPr>
        <w:pStyle w:val="TextoNormal"/>
      </w:pPr>
      <w:r>
        <w:t>En el recurso de amparo núm. 529-2023, interpuesto por la Entidad de Gestión de Derechos de los Productores Audiovisuales (EGEDA) contra la sentencia de 26 de febrero de 2021 de la Sección Segunda de la Audiencia Provincial de Murcia, dictada en el rollo de apelación penal núm. 152-2019. Han comparecido y formulado alegaciones don Alberto García Sola, don Jordi Tamargo Barguño, don David Martínez Olivella, don Alexis Hoepfner Bernardet, Burn Media, S.L., Warner Bros Entertainment Inc., Universal City Studios, LLC., Paramount Pictures Corporation, New Line Productions Inc., Twentieth Century Fox Film Corporation, Disney Enterprises Inc., Columbia Pictures Industries Inc., Twentieth Century Fox Home Entertainment España, S.A., Universal Pictures Iberia, S.L., Warner Bros Entertainment España, S.A., Paramount Spain, S.L., Sony Pictures Home Entertainment y The Walt Disney Company Iberia, S.L. Ha intervenido el Ministerio Fiscal. Ha sido ponente el magistrado don Enrique Arnaldo Alcubilla.</w:t>
      </w:r>
    </w:p>
    <w:p w14:paraId="4FDFED22" w14:textId="30265B22" w:rsidR="003754FE" w:rsidRDefault="003754FE" w:rsidP="003754FE">
      <w:pPr>
        <w:pStyle w:val="TextoNormal"/>
      </w:pPr>
    </w:p>
    <w:p w14:paraId="5CF5FBBD" w14:textId="77777777" w:rsidR="003754FE" w:rsidRDefault="003754FE" w:rsidP="003754FE">
      <w:pPr>
        <w:pStyle w:val="TextoNormalNegritaCentrado"/>
        <w:keepNext/>
      </w:pPr>
      <w:r>
        <w:t>I. Antecedentes</w:t>
      </w:r>
    </w:p>
    <w:p w14:paraId="700147FC" w14:textId="7C3373FF" w:rsidR="003754FE" w:rsidRDefault="003754FE" w:rsidP="003754FE">
      <w:pPr>
        <w:pStyle w:val="TextoNormalNegritaCentrado"/>
        <w:keepNext/>
      </w:pPr>
    </w:p>
    <w:p w14:paraId="165ECE2D" w14:textId="13322AB8" w:rsidR="003754FE" w:rsidRDefault="003754FE" w:rsidP="003754FE">
      <w:pPr>
        <w:pStyle w:val="TextoNormal"/>
      </w:pPr>
      <w:r w:rsidRPr="003754FE">
        <w:rPr>
          <w:rStyle w:val="NumeroAFNegritaCaracter"/>
        </w:rPr>
        <w:t>1</w:t>
      </w:r>
      <w:r>
        <w:t>. Mediante escrito presentado en el registro general del Tribunal Constitucional el 27 de enero de 2023, la procuradora de los tribunales doña Susana Téllez Andrea, en nombre y representación de la Entidad de Gestión de Derechos de los Productores Audiovisuales (en adelante, EGEDA) y asistida por la abogada doña María de la O Suárez Pliego, interpuso recurso de amparo contra la sentencia mencionada en el encabezamiento.</w:t>
      </w:r>
    </w:p>
    <w:p w14:paraId="63333297" w14:textId="77777777" w:rsidR="003754FE" w:rsidRDefault="003754FE" w:rsidP="003754FE">
      <w:pPr>
        <w:pStyle w:val="TextoNormal"/>
      </w:pPr>
    </w:p>
    <w:p w14:paraId="104ECCDE" w14:textId="77777777" w:rsidR="003754FE" w:rsidRDefault="003754FE" w:rsidP="003754FE">
      <w:pPr>
        <w:pStyle w:val="TextoNormal"/>
      </w:pPr>
      <w:r w:rsidRPr="003754FE">
        <w:rPr>
          <w:rStyle w:val="NumeroAFNegritaCaracter"/>
        </w:rPr>
        <w:t>2</w:t>
      </w:r>
      <w:r>
        <w:t>. El recurso tiene su origen en los antecedentes que seguidamente se relacionan.</w:t>
      </w:r>
    </w:p>
    <w:p w14:paraId="7EC3A220" w14:textId="77777777" w:rsidR="003754FE" w:rsidRDefault="003754FE" w:rsidP="003754FE">
      <w:pPr>
        <w:pStyle w:val="TextoNormal"/>
      </w:pPr>
    </w:p>
    <w:p w14:paraId="2D25E6DD" w14:textId="77777777" w:rsidR="003754FE" w:rsidRDefault="003754FE" w:rsidP="003754FE">
      <w:pPr>
        <w:pStyle w:val="TextoNormal"/>
      </w:pPr>
      <w:r>
        <w:t>a) El Juzgado de lo Penal núm. 4 de Murcia dictó sentencia el 21 de junio de 2019 en el procedimiento abreviado núm. 386-2016, en la que absolvió a don Alberto García Sola, don Jordi Tamargo Barguño, don David Martínez Olivella y don Alexis Hoepfner Bernardet del delito contra la propiedad intelectual por el que venían siendo acusados por el Ministerio Fiscal y las acusaciones particulares, entre estas la entidad EGEDA, declarando de oficio las costas del procedimiento.</w:t>
      </w:r>
    </w:p>
    <w:p w14:paraId="54F92D3C" w14:textId="77777777" w:rsidR="003754FE" w:rsidRDefault="003754FE" w:rsidP="003754FE">
      <w:pPr>
        <w:pStyle w:val="TextoNormal"/>
      </w:pPr>
    </w:p>
    <w:p w14:paraId="6A05B9F1" w14:textId="77777777" w:rsidR="003754FE" w:rsidRDefault="003754FE" w:rsidP="003754FE">
      <w:pPr>
        <w:pStyle w:val="TextoNormal"/>
      </w:pPr>
      <w:r>
        <w:t xml:space="preserve">Del relato de hechos probados resulta que los acusados en el proceso penal eran los sucesivos titulares o responsables de varias páginas web (“películasyonkis.es”, “seriesyonkis.es” y “videosyonkis.es”) entre los años 2009 a 2014 en las que se proporcionaban enlaces a los servidores en los que estaban alojados contenidos audiovisuales protegidos por derechos de autor, de modo que el visionado de las películas o series en </w:t>
      </w:r>
      <w:r w:rsidRPr="003754FE">
        <w:rPr>
          <w:i/>
        </w:rPr>
        <w:t>streaming</w:t>
      </w:r>
      <w:r>
        <w:t xml:space="preserve"> (transmisión en directo o emisión en continuo) se realizaba en una web diferente. Los responsables de esas páginas web eran acusados por un delito contra la propiedad intelectual del art. 270.1 del Código penal (en adelante, CP), en su redacción anterior a la reforma operada por la Ley Orgánica 1/2015, de 30 de marzo, por la que se modifica la Ley Orgánica 10/1995, de 23 de noviembre, del Código penal (en adelante, Ley Orgánica 1/2015), y del que fueron absueltos por entender el juzgado de lo penal que la actividad enjuiciada no constituía un supuesto de comunicación pública de los contenidos protegidos y que no cabía entender concurrente el lucro comercial exigido por el tipo penal. El juzgado de lo penal considera que la conducta enjuiciada solo era punible tras la reforma introducida en el art. 270 CP por la Ley Orgánica 1/2015, que ha criminalizado la actividad de las webs de enlaces que </w:t>
      </w:r>
      <w:r>
        <w:lastRenderedPageBreak/>
        <w:t xml:space="preserve">posibilitan acceder a los contenidos alojados en servidores externos de gran capacidad, bien para su descarga, bien para su visionado en </w:t>
      </w:r>
      <w:r w:rsidRPr="003754FE">
        <w:rPr>
          <w:i/>
        </w:rPr>
        <w:t>streaming</w:t>
      </w:r>
      <w:r>
        <w:t>.</w:t>
      </w:r>
    </w:p>
    <w:p w14:paraId="44A4D052" w14:textId="77777777" w:rsidR="003754FE" w:rsidRDefault="003754FE" w:rsidP="003754FE">
      <w:pPr>
        <w:pStyle w:val="TextoNormal"/>
      </w:pPr>
    </w:p>
    <w:p w14:paraId="3DBDEDBF" w14:textId="77777777" w:rsidR="003754FE" w:rsidRDefault="003754FE" w:rsidP="003754FE">
      <w:pPr>
        <w:pStyle w:val="TextoNormal"/>
      </w:pPr>
      <w:r>
        <w:t xml:space="preserve">En los detallados fundamentos de derecho de la sentencia absolutoria se razona, en síntesis, que la conducta de los acusados, tal y como está descrita en el relato de hechos probados, no encaja en el concepto de comunicación pública que integra, junto con otros verbos típicos, el tipo penal del art. 270.1 CP, en su redacción anterior a la reforma operada por la Ley Orgánica 1/2015. Sostiene que la actividad realizada por los acusados a través de las páginas web de autos consistía en facilitar la puesta a disposición y comunicación pública de contenidos protegidos, pero no en llevar a cabo esa puesta a disposición o comunicación en sí, por lo que considera que la conducta sería atípica. Solo los </w:t>
      </w:r>
      <w:r w:rsidRPr="003754FE">
        <w:rPr>
          <w:i/>
        </w:rPr>
        <w:t>uploaders</w:t>
      </w:r>
      <w:r>
        <w:t>, que suben las obras de ajena titularidad al servidor y generan el enlace (</w:t>
      </w:r>
      <w:r w:rsidRPr="003754FE">
        <w:rPr>
          <w:i/>
        </w:rPr>
        <w:t>link</w:t>
      </w:r>
      <w:r>
        <w:t xml:space="preserve">) o URL, que luego colocan en la página enlazadora conforme a la metodología fijada por su </w:t>
      </w:r>
      <w:r w:rsidRPr="003754FE">
        <w:rPr>
          <w:i/>
        </w:rPr>
        <w:t>webmaster</w:t>
      </w:r>
      <w:r>
        <w:t>, son los que llevan a cabo la acción típica, pero no los propietarios de los dominios que albergan los enlaces y los clasifican y ordenan conforme se describe en el relato fáctico.</w:t>
      </w:r>
    </w:p>
    <w:p w14:paraId="26FAE3D2" w14:textId="77777777" w:rsidR="003754FE" w:rsidRDefault="003754FE" w:rsidP="003754FE">
      <w:pPr>
        <w:pStyle w:val="TextoNormal"/>
      </w:pPr>
    </w:p>
    <w:p w14:paraId="3AD4AA4B" w14:textId="77777777" w:rsidR="003754FE" w:rsidRDefault="003754FE" w:rsidP="003754FE">
      <w:pPr>
        <w:pStyle w:val="TextoNormal"/>
      </w:pPr>
      <w:r>
        <w:t xml:space="preserve">Descarta asimismo que fuera aplicable al caso la jurisprudencia sentada por la STJUE de 13 de febrero de 2014, asunto </w:t>
      </w:r>
      <w:r w:rsidRPr="003754FE">
        <w:rPr>
          <w:i/>
        </w:rPr>
        <w:t>Nils Svensson</w:t>
      </w:r>
      <w:r>
        <w:t xml:space="preserve">, C-466/12, sobre la interpretación del art. 3.1 de la Directiva 2001/29/CE del Parlamento Europeo y del Consejo, de 22 de mayo de 2001, relativa a la armonización de determinados aspectos de los derechos de autor y derechos afines a los derechos de autor en la sociedad de la información, y reiterada por otras posteriores (STJUE de 8 de septiembre de 2016, asunto </w:t>
      </w:r>
      <w:r w:rsidRPr="003754FE">
        <w:rPr>
          <w:i/>
        </w:rPr>
        <w:t>GS Media</w:t>
      </w:r>
      <w:r>
        <w:t xml:space="preserve">, C-160/15; ATJUE de 21 de octubre de 2014, asunto </w:t>
      </w:r>
      <w:r w:rsidRPr="003754FE">
        <w:rPr>
          <w:i/>
        </w:rPr>
        <w:t>BestWater Internacional</w:t>
      </w:r>
      <w:r>
        <w:t xml:space="preserve">, C-348/13, y STJUE de 14 de junio de 2017, asunto </w:t>
      </w:r>
      <w:r w:rsidRPr="003754FE">
        <w:rPr>
          <w:i/>
        </w:rPr>
        <w:t>Stichting Brein c. Ziggo BV</w:t>
      </w:r>
      <w:r>
        <w:t xml:space="preserve"> </w:t>
      </w:r>
      <w:r w:rsidRPr="003754FE">
        <w:rPr>
          <w:i/>
        </w:rPr>
        <w:t>y XS4AII Internet BV</w:t>
      </w:r>
      <w:r>
        <w:t>, C-610/15), y asumida también por el Tribunal Supremo, pues no puede aplicarse retroactivamente una jurisprudencia posterior a la comisión del hecho que supone aplicar la ley de forma más gravosa en cuanto al entendimiento del concepto de “comunicación pública” del art. 20.1 del Real Decreto Legislativo 1/1996, de 12 de abril, por el que se aprueba el texto refundido de la Ley de propiedad intelectual, regularizando, aclarando y armonizando las disposiciones legales vigentes sobre la materia.</w:t>
      </w:r>
    </w:p>
    <w:p w14:paraId="0C548E16" w14:textId="77777777" w:rsidR="003754FE" w:rsidRDefault="003754FE" w:rsidP="003754FE">
      <w:pPr>
        <w:pStyle w:val="TextoNormal"/>
      </w:pPr>
    </w:p>
    <w:p w14:paraId="50C6AE35" w14:textId="77777777" w:rsidR="003754FE" w:rsidRDefault="003754FE" w:rsidP="003754FE">
      <w:pPr>
        <w:pStyle w:val="TextoNormal"/>
      </w:pPr>
      <w:r>
        <w:t>Añade a lo anterior que tampoco concurre en el presente caso el ánimo de lucro, elemento subjetivo del injusto exigido por el art. 270.1 CP, en su redacción anterior a la reforma por la Ley Orgánica 1/2015, aplicable a los hechos enjuiciados, pues el beneficio económico que obtenían los acusados por las páginas enlazadoras no derivaba directamente de la propia actividad de enlazar, ni de la descarga del contenido audiovisual al que redirigían, sino que procedía indirectamente de la publicidad alojada en las propias páginas web.</w:t>
      </w:r>
    </w:p>
    <w:p w14:paraId="733D9283" w14:textId="77777777" w:rsidR="003754FE" w:rsidRDefault="003754FE" w:rsidP="003754FE">
      <w:pPr>
        <w:pStyle w:val="TextoNormal"/>
      </w:pPr>
    </w:p>
    <w:p w14:paraId="73A86682" w14:textId="77777777" w:rsidR="003754FE" w:rsidRDefault="003754FE" w:rsidP="003754FE">
      <w:pPr>
        <w:pStyle w:val="TextoNormal"/>
      </w:pPr>
      <w:r>
        <w:t>En fin, razona la sentencia que la actividad de estas páginas de enlace, al no tratarse de páginas de descarga directa, entra de lleno en la consideración de la conducta de intermediación sometida al régimen de responsabilidad previsto en el art. 17 de la Ley 34/2002, de 11 de julio, de servicios de la sociedad de la información y del comercio electrónico, sin que exista constancia de que los acusados tuvieran conocimiento del origen ilícito de la información a la que remitían las páginas ni de que la misma lesionase derecho alguno.</w:t>
      </w:r>
    </w:p>
    <w:p w14:paraId="03C93D43" w14:textId="77777777" w:rsidR="003754FE" w:rsidRDefault="003754FE" w:rsidP="003754FE">
      <w:pPr>
        <w:pStyle w:val="TextoNormal"/>
      </w:pPr>
    </w:p>
    <w:p w14:paraId="6DDD2EF7" w14:textId="77777777" w:rsidR="003754FE" w:rsidRDefault="003754FE" w:rsidP="003754FE">
      <w:pPr>
        <w:pStyle w:val="TextoNormal"/>
      </w:pPr>
      <w:r>
        <w:t xml:space="preserve">b) La representación procesal de EGEDA, en su calidad de acusación particular, interpuso recurso de apelación contra la anterior sentencia absolutoria, basado en la errónea calificación jurídica de los hechos declarados probados, sosteniendo que se desprende de </w:t>
      </w:r>
      <w:r>
        <w:lastRenderedPageBreak/>
        <w:t>forma evidente de estos que los acusados tenían conocimiento tanto de la ilicitud de su conducta como de la falta de autorización para llevarla a cabo por parte de los titulares de los derechos de propiedad intelectual, y que, además, concurría el ánimo de lucro exigido por el art. 270.1 CP; así como en infracción de ley, en relación con el art. 17.1 de la Ley 34/2002, de 11 de julio, en cuanto que existe responsabilidad penal de los acusados como prestadores de servicios por incumplimiento de los requisitos previstos en el precepto. Por otrosí solicitó en el recurso de apelación que se citase a los acusados para el día en que se señale la vista para la votación y fallo del recurso, con objeto de que tuvieran la posibilidad de ser oídos en la fase de apelación.</w:t>
      </w:r>
    </w:p>
    <w:p w14:paraId="458FD879" w14:textId="77777777" w:rsidR="003754FE" w:rsidRDefault="003754FE" w:rsidP="003754FE">
      <w:pPr>
        <w:pStyle w:val="TextoNormal"/>
      </w:pPr>
    </w:p>
    <w:p w14:paraId="1E73BCBA" w14:textId="77777777" w:rsidR="003754FE" w:rsidRDefault="003754FE" w:rsidP="003754FE">
      <w:pPr>
        <w:pStyle w:val="TextoNormal"/>
      </w:pPr>
      <w:r>
        <w:t>También el Ministerio Fiscal interpuso recurso de apelación contra la sentencia absolutoria, basado en el motivo único de infracción de precepto legal, por inaplicación del art. 270 CP. Por otrosí interesó que se diera a los acusados la posibilidad de ser oídos en la apelación mediante su citación para el día que se señalase para votación y fallo, en aras al respeto a su derecho de defensa.</w:t>
      </w:r>
    </w:p>
    <w:p w14:paraId="20BDF933" w14:textId="77777777" w:rsidR="003754FE" w:rsidRDefault="003754FE" w:rsidP="003754FE">
      <w:pPr>
        <w:pStyle w:val="TextoNormal"/>
      </w:pPr>
    </w:p>
    <w:p w14:paraId="1526C24D" w14:textId="77777777" w:rsidR="003754FE" w:rsidRDefault="003754FE" w:rsidP="003754FE">
      <w:pPr>
        <w:pStyle w:val="TextoNormal"/>
      </w:pPr>
      <w:r>
        <w:t>La representación procesal de la acusación particular que agrupaba a las compañías productoras cinematográficas (que han comparecido en el presente recurso de amparo y asimismo han interpuesto el recurso de amparo núm. 634-2023) interpuso igualmente recurso de apelación contra la sentencia absolutoria dictada por el Juzgado de lo Penal núm. 4 de Murcia, basado en infracción de ley por indebida inaplicación del art. 270.1 CP, interesando por otrosí la celebración de vista para que estos tuvieran la oportunidad de ser oídos por el tribunal de segunda instancia.</w:t>
      </w:r>
    </w:p>
    <w:p w14:paraId="03EA39B6" w14:textId="77777777" w:rsidR="003754FE" w:rsidRDefault="003754FE" w:rsidP="003754FE">
      <w:pPr>
        <w:pStyle w:val="TextoNormal"/>
      </w:pPr>
    </w:p>
    <w:p w14:paraId="4D0A09E1" w14:textId="77777777" w:rsidR="003754FE" w:rsidRDefault="003754FE" w:rsidP="003754FE">
      <w:pPr>
        <w:pStyle w:val="TextoNormal"/>
      </w:pPr>
      <w:r>
        <w:t>c) Remitidos los autos a la Sección Segunda de la Audiencia Provincial de Murcia, esta, tras resolver por providencia de 10 de marzo de 2020 que no procedía la celebración de vista por ser la cuestión debatida de carácter estrictamente jurídico, dictó sentencia el 26 de febrero de 2021 desestimando los recursos de apelación interpuestos contra la sentencia del Juzgado de lo Penal núm. 4 de Murcia, cuyo pronunciamiento absolutorio se confirmó. Por auto de 3 de marzo de 2021 fue aclarado un error material de la sentencia.</w:t>
      </w:r>
    </w:p>
    <w:p w14:paraId="00B521F8" w14:textId="77777777" w:rsidR="003754FE" w:rsidRDefault="003754FE" w:rsidP="003754FE">
      <w:pPr>
        <w:pStyle w:val="TextoNormal"/>
      </w:pPr>
    </w:p>
    <w:p w14:paraId="3148E409" w14:textId="77777777" w:rsidR="003754FE" w:rsidRDefault="003754FE" w:rsidP="003754FE">
      <w:pPr>
        <w:pStyle w:val="TextoNormal"/>
      </w:pPr>
      <w:r>
        <w:t>En su sentencia, la Audiencia Provincial de Murcia, tras aceptar el relato de hechos probados de la sentencia de instancia, razona en síntesis que, frente a lo que se sostiene en la sentencia de instancia, los hechos enjuiciados sí integran el tipo objetivo del delito penado en el art. 270.1 CP, pues se realizaron actos de comunicación con ánimo de lucro, pero considera que debe mantenerse la absolución de los acusados, en tanto que no consta acreditado el elemento subjetivo del conocimiento de la ilicitud de la actividad, como resulta del fundamento jurídico octavo de la sentencia apelada. La Audiencia Provincial de Murcia concluye que, aun estimando la tipicidad de la conducta desde el prisma del elemento objetivo y normativo del tipo penal, dado que los recursos se interpusieron por infracción de ley no es posible modificar el hecho probado contenido en el fundamento jurídico octavo de la sentencia recurrida, relativo a la ausencia de conocimiento de la antijuridicidad de la conducta enjuiciada, que en todo caso necesitaría de una vista pública para resolver con conocimiento directo e inmediato de las pruebas.</w:t>
      </w:r>
    </w:p>
    <w:p w14:paraId="28BC75F5" w14:textId="77777777" w:rsidR="003754FE" w:rsidRDefault="003754FE" w:rsidP="003754FE">
      <w:pPr>
        <w:pStyle w:val="TextoNormal"/>
      </w:pPr>
    </w:p>
    <w:p w14:paraId="20B93FEF" w14:textId="77777777" w:rsidR="003754FE" w:rsidRDefault="003754FE" w:rsidP="003754FE">
      <w:pPr>
        <w:pStyle w:val="TextoNormal"/>
      </w:pPr>
      <w:r>
        <w:t xml:space="preserve">d) La entidad recurrente en amparo promovió un incidente de nulidad de actuaciones contra la sentencia dictada en apelación, en el que invocó la vulneración del derecho a la tutela judicial efectiva (art. 24.1 CE), en relación con el derecho de defensa (art. 24.2 CE) y </w:t>
      </w:r>
      <w:r>
        <w:lastRenderedPageBreak/>
        <w:t>el deber de motivación de las sentencias (art. 120.3 CE), que fundamentó en tres razones análogas: la indebida integración del relato fáctico de la sentencia de instancia, que no contiene como hecho probado la falta de conciencia de la ilicitud de la actividad enjuiciada, con el fundamento jurídico octavo de esa sentencia de instancia; la denegación de celebración de la vista, necesaria para revocar la absolución, impidiendo así que ese elemento fáctico fuera sometido a debate público y contradictorio en apelación con audiencia de los acusados; y, en fin, la desatención de la primacía del Derecho de la Unión Europea y la doctrina del Tribunal de Justicia de la Unión Europea en la interpretación de la concurrencia del elemento del conocimiento efectivo de la ilicitud de la conducta en el prestador de servicios de la sociedad de la información.</w:t>
      </w:r>
    </w:p>
    <w:p w14:paraId="28B27F34" w14:textId="77777777" w:rsidR="003754FE" w:rsidRDefault="003754FE" w:rsidP="003754FE">
      <w:pPr>
        <w:pStyle w:val="TextoNormal"/>
      </w:pPr>
    </w:p>
    <w:p w14:paraId="3BF5A0FF" w14:textId="77777777" w:rsidR="003754FE" w:rsidRDefault="003754FE" w:rsidP="003754FE">
      <w:pPr>
        <w:pStyle w:val="TextoNormal"/>
      </w:pPr>
      <w:r>
        <w:t>e) El incidente de nulidad de la entidad recurrente en amparo (junto con el promovido por la representación de la acusación particular que agrupaba a las compañías productoras cinematográficas), fue desestimado por auto de 30 de noviembre de 2022.</w:t>
      </w:r>
    </w:p>
    <w:p w14:paraId="5B0F551D" w14:textId="77777777" w:rsidR="003754FE" w:rsidRDefault="003754FE" w:rsidP="003754FE">
      <w:pPr>
        <w:pStyle w:val="TextoNormal"/>
      </w:pPr>
    </w:p>
    <w:p w14:paraId="3B764D7B" w14:textId="02045683" w:rsidR="003754FE" w:rsidRDefault="003754FE" w:rsidP="003754FE">
      <w:pPr>
        <w:pStyle w:val="TextoNormal"/>
      </w:pPr>
      <w:r>
        <w:t>En cuanto a la integración del relato fáctico, razona que, conforme a la jurisprudencia del Tribunal Supremo, se admite la posibilidad de que los hechos probados sean complementados por constataciones de hecho formuladas de manera inequívoca en la fundamentación jurídica de la sentencia recurrida. En cuanto a la denegación de la celebración de vista, señala que la providencia de 10 de marzo de 2020 fue consentida por todas las partes, que la regulación procesal anterior a la reforma operada por la Ley 41/2015, de 5 de octubre, que es la aplicable al caso, no permitía interpretar que el art. 790.3 de la Ley de enjuiciamiento criminal (en adelante, LECrim) habilitase para celebrar vista respecto de pruebas que ya se hubieran practicado en la instancia, y que los recursos de apelación se formularon y admitieron exclusivamente por infracción de ley. En fin, respecto a la omisión de la primacía del Derecho de la Unión Europea, se rechaza el motivo por entender que se pretende replantear en el incidente de nulidad cuestiones que ya fueron dirimidas en la sentencia, lo que no resulta procedente.</w:t>
      </w:r>
    </w:p>
    <w:p w14:paraId="346EAF11" w14:textId="77777777" w:rsidR="003754FE" w:rsidRDefault="003754FE" w:rsidP="003754FE">
      <w:pPr>
        <w:pStyle w:val="TextoNormal"/>
      </w:pPr>
    </w:p>
    <w:p w14:paraId="4D4E2EFC" w14:textId="77777777" w:rsidR="003754FE" w:rsidRDefault="003754FE" w:rsidP="003754FE">
      <w:pPr>
        <w:pStyle w:val="TextoNormal"/>
      </w:pPr>
      <w:r w:rsidRPr="003754FE">
        <w:rPr>
          <w:rStyle w:val="NumeroAFNegritaCaracter"/>
        </w:rPr>
        <w:t>3</w:t>
      </w:r>
      <w:r>
        <w:t>. La entidad recurrente, tras referirse a los antecedentes del asunto y exponer en su recurso de amparo las razones que dotan a este de especial trascendencia constitucional, aduce que la sentencia dictada en apelación por la Sección Segunda de la Audiencia Provincial de Murcia, que confirma el pronunciamiento absolutorio del Juzgado de lo Penal núm. 4 de Murcia, ha vulnerado sus derechos fundamentales a la tutela judicial efectiva y a la defensa, por los motivos siguientes:</w:t>
      </w:r>
    </w:p>
    <w:p w14:paraId="3D751F82" w14:textId="77777777" w:rsidR="003754FE" w:rsidRDefault="003754FE" w:rsidP="003754FE">
      <w:pPr>
        <w:pStyle w:val="TextoNormal"/>
      </w:pPr>
    </w:p>
    <w:p w14:paraId="61D56FB5" w14:textId="77777777" w:rsidR="003754FE" w:rsidRDefault="003754FE" w:rsidP="003754FE">
      <w:pPr>
        <w:pStyle w:val="TextoNormal"/>
      </w:pPr>
      <w:r>
        <w:t xml:space="preserve">a) Como primer motivo de amparo se alega la vulneración del derecho a la tutela judicial efectiva (art. 24.1 CE), en relación con el deber de motivación de las sentencias (art. 120.3 CE), por la “improcedente cointegración del </w:t>
      </w:r>
      <w:r w:rsidRPr="003754FE">
        <w:rPr>
          <w:i/>
        </w:rPr>
        <w:t>factum</w:t>
      </w:r>
      <w:r>
        <w:t>”, pues la sentencia de apelación ha procedido indebidamente a completar el relato de hechos probados de la sentencia de instancia, que no contiene como hecho probado la falta de conciencia de la ilicitud de la actividad enjuiciada, con el fundamento jurídico octavo de esa sentencia.</w:t>
      </w:r>
    </w:p>
    <w:p w14:paraId="214D9988" w14:textId="77777777" w:rsidR="003754FE" w:rsidRDefault="003754FE" w:rsidP="003754FE">
      <w:pPr>
        <w:pStyle w:val="TextoNormal"/>
      </w:pPr>
    </w:p>
    <w:p w14:paraId="2B7B49BA" w14:textId="77777777" w:rsidR="003754FE" w:rsidRDefault="003754FE" w:rsidP="003754FE">
      <w:pPr>
        <w:pStyle w:val="TextoNormal"/>
      </w:pPr>
      <w:r>
        <w:t xml:space="preserve">b) En el segundo motivo de amparo se alega la vulneración de los derechos a la tutela judicial efectiva (art. 24.1 CE) y a la defensa (art. 24.2 CE), por la denegación de celebración de vista en la tramitación del recurso de apelación, necesaria para revocar la absolución. Sostiene la entidad recurrente que la negativa a celebrar vista en apelación impidió que el elemento fáctico relativo al conocimiento por los acusados de la ilicitud de su conducta </w:t>
      </w:r>
      <w:r>
        <w:lastRenderedPageBreak/>
        <w:t xml:space="preserve">fuera sometido a debate contradictorio con audiencia de aquellos, abortando toda posibilidad de condena al privar al proceso de un trámite esencial para ello, y frustrando así cualquier efectividad del </w:t>
      </w:r>
      <w:r w:rsidRPr="003754FE">
        <w:rPr>
          <w:i/>
        </w:rPr>
        <w:t>ius ut procedatur</w:t>
      </w:r>
      <w:r>
        <w:t xml:space="preserve"> de la recurrente como acusación particular.</w:t>
      </w:r>
    </w:p>
    <w:p w14:paraId="23E6D5A1" w14:textId="77777777" w:rsidR="003754FE" w:rsidRDefault="003754FE" w:rsidP="003754FE">
      <w:pPr>
        <w:pStyle w:val="TextoNormal"/>
      </w:pPr>
    </w:p>
    <w:p w14:paraId="79A4A540" w14:textId="77777777" w:rsidR="003754FE" w:rsidRDefault="003754FE" w:rsidP="003754FE">
      <w:pPr>
        <w:pStyle w:val="TextoNormal"/>
      </w:pPr>
      <w:r>
        <w:t xml:space="preserve">c) En el tercer motivo de amparo se alega la vulneración del derecho a la tutela judicial efectiva (art. 24.1 CE) en su vertiente de derecho a obtener una respuesta razonada y motivada. Sostiene la entidad recurrente que la sentencia impugnada incurre en arbitrariedad al desestimar el recurso de apelación desatendiendo el principio de primacía del Derecho de la Unión Europea y la doctrina del Tribunal de Justicia de la Unión Europea en la interpretación de la concurrencia del elemento del conocimiento efectivo de la ilicitud de la conducta en el prestador de servicios de la sociedad de la información por vías alternativas a una declaración positiva de autoridad competente; se refiere en particular a los pronunciamientos contenidos en las SSTJUE de 12 de julio de 2011, asunto </w:t>
      </w:r>
      <w:r w:rsidRPr="003754FE">
        <w:rPr>
          <w:i/>
        </w:rPr>
        <w:t>L’Oréal S.A., y otros c. Ebay Internacional AG y otros</w:t>
      </w:r>
      <w:r>
        <w:t xml:space="preserve">, C-324/09, y de 8 de septiembre de 2016, asunto </w:t>
      </w:r>
      <w:r w:rsidRPr="003754FE">
        <w:rPr>
          <w:i/>
        </w:rPr>
        <w:t>GS Media BV c. Sanoma Media Netherlands BV y otros</w:t>
      </w:r>
      <w:r>
        <w:t>, C-160/15, referidas a la interpretación del art. 14 de la Directiva 2000/31/CE, de 8 de junio (Directiva sobre el comercio electrónico), sentencias que fueron citadas en el recurso de apelación y que la Audiencia Provincial de Murcia no tuvo en cuenta.</w:t>
      </w:r>
    </w:p>
    <w:p w14:paraId="77DF1B5E" w14:textId="77777777" w:rsidR="003754FE" w:rsidRDefault="003754FE" w:rsidP="003754FE">
      <w:pPr>
        <w:pStyle w:val="TextoNormal"/>
      </w:pPr>
    </w:p>
    <w:p w14:paraId="2C511B36" w14:textId="71D230B7" w:rsidR="003754FE" w:rsidRDefault="003754FE" w:rsidP="003754FE">
      <w:pPr>
        <w:pStyle w:val="TextoNormal"/>
      </w:pPr>
      <w:r>
        <w:t>En el suplico de la demanda de amparo la recurrente solicita la declaración de nulidad de la sentencia impugnada y que se retrotraigan las actuaciones en los términos que señala.</w:t>
      </w:r>
    </w:p>
    <w:p w14:paraId="52422F52" w14:textId="77777777" w:rsidR="003754FE" w:rsidRDefault="003754FE" w:rsidP="003754FE">
      <w:pPr>
        <w:pStyle w:val="TextoNormal"/>
      </w:pPr>
    </w:p>
    <w:p w14:paraId="67DA6EA6" w14:textId="77777777" w:rsidR="003754FE" w:rsidRDefault="003754FE" w:rsidP="003754FE">
      <w:pPr>
        <w:pStyle w:val="TextoNormal"/>
      </w:pPr>
      <w:r w:rsidRPr="003754FE">
        <w:rPr>
          <w:rStyle w:val="NumeroAFNegritaCaracter"/>
        </w:rPr>
        <w:t>4</w:t>
      </w:r>
      <w:r>
        <w:t>. La Sección Cuarta de este tribunal, por providencia de 12 de febrero de 2024, acordó la admisión a trámite del presente recurso de amparo, apreciando que concurre en el mismo una especial trascendencia constitucional (art. 50.1 LOTC) como consecuencia de que el órgano judicial pudiera haber incurrido en una negativa manifiesta del deber de acatamiento de la doctrina de este tribunal [STC 155/2009, de 25 de junio, FJ 2 f)].</w:t>
      </w:r>
    </w:p>
    <w:p w14:paraId="7166E99E" w14:textId="77777777" w:rsidR="003754FE" w:rsidRDefault="003754FE" w:rsidP="003754FE">
      <w:pPr>
        <w:pStyle w:val="TextoNormal"/>
      </w:pPr>
    </w:p>
    <w:p w14:paraId="336D214A" w14:textId="04A041BD" w:rsidR="003754FE" w:rsidRDefault="003754FE" w:rsidP="003754FE">
      <w:pPr>
        <w:pStyle w:val="TextoNormal"/>
      </w:pPr>
      <w:r>
        <w:t>Asimismo, en aplicación del art. 51 de la Ley Orgánica del Tribunal Constitucional (en adelante, LOTC), acordó dirigir atenta comunicación al Juzgado de lo Penal núm. 4 de Murcia y a la Sección Segunda de la Audiencia Provincial de Murcia para que remitieran, en un plazo no superior a diez días, testimonio de sus respectivas actuaciones (procedimiento abreviado núm. 386-2016 y rollo de apelación núm. 152-2019). Ordenó también el emplazamiento, por término de diez días, de quienes hubieran sido parte en el procedimiento penal para que pudieran comparecer, si lo desearan, en el recurso de amparo.</w:t>
      </w:r>
    </w:p>
    <w:p w14:paraId="7DD0485D" w14:textId="77777777" w:rsidR="003754FE" w:rsidRDefault="003754FE" w:rsidP="003754FE">
      <w:pPr>
        <w:pStyle w:val="TextoNormal"/>
      </w:pPr>
    </w:p>
    <w:p w14:paraId="527EE81F" w14:textId="77777777" w:rsidR="003754FE" w:rsidRDefault="003754FE" w:rsidP="003754FE">
      <w:pPr>
        <w:pStyle w:val="TextoNormal"/>
      </w:pPr>
      <w:r w:rsidRPr="003754FE">
        <w:rPr>
          <w:rStyle w:val="NumeroAFNegritaCaracter"/>
        </w:rPr>
        <w:t>5</w:t>
      </w:r>
      <w:r>
        <w:t xml:space="preserve">. La secretaría de justicia de la Sala Segunda de este tribunal, por diligencia de 11 de abril de 2024, tuvo por personados y partes en el recurso de amparo a los procuradores don Sergio Royuela Beniandres, en nombre y representación de Warner Bros Entertainment Inc., Universal City Studios, LLC., Paramount Pictures Corporation, New Line Productions Inc., Twentieth Century Fox Film Corporation, Disney Enterprises Inc., y Columbia Pictures Industries Inc., y don José Miguel Hurtado López, en nombre y representación de Twentieth Century Fox Home Entertainment España, S.A., Universal Pictures Iberia, S.L., Warner Bros Entertainment España, S.A., Paramount Spain, S.L., Sony Pictures Home Entertainment y The Walt Disney Company Iberia, S.L. Así como a la procuradora doña Mercedes Caro Bonilla, en nombre y representación de don Alberto García Solá, a la procuradora doña Ana Galiano Quetglas, en nombre de don Alexis Hoepfner Bernardet y Burn Media, S.L., y al procurador don Argimiro Vázquez Guillen, en nombre y representación de don Jordi </w:t>
      </w:r>
      <w:r>
        <w:lastRenderedPageBreak/>
        <w:t>Tamargo Barguño y don David Martínez Olivella, acordándose entender con ellos las sucesivas actuaciones.</w:t>
      </w:r>
    </w:p>
    <w:p w14:paraId="1A6288E7" w14:textId="77777777" w:rsidR="003754FE" w:rsidRDefault="003754FE" w:rsidP="003754FE">
      <w:pPr>
        <w:pStyle w:val="TextoNormal"/>
      </w:pPr>
    </w:p>
    <w:p w14:paraId="3596DFBB" w14:textId="6F5386A5" w:rsidR="003754FE" w:rsidRDefault="003754FE" w:rsidP="003754FE">
      <w:pPr>
        <w:pStyle w:val="TextoNormal"/>
      </w:pPr>
      <w:r>
        <w:t>Se acordó mediante la misma diligencia dar vista de las actuaciones recibidas a las partes personadas y al Ministerio Fiscal por plazo común de veinte días, para que pudiesen presentar las alegaciones que estimaren pertinentes, de conformidad con el art. 52.1 LOTC.</w:t>
      </w:r>
    </w:p>
    <w:p w14:paraId="1C5B56FC" w14:textId="77777777" w:rsidR="003754FE" w:rsidRDefault="003754FE" w:rsidP="003754FE">
      <w:pPr>
        <w:pStyle w:val="TextoNormal"/>
      </w:pPr>
    </w:p>
    <w:p w14:paraId="56A8F432" w14:textId="6455FC98" w:rsidR="003754FE" w:rsidRDefault="003754FE" w:rsidP="003754FE">
      <w:pPr>
        <w:pStyle w:val="TextoNormal"/>
      </w:pPr>
      <w:r w:rsidRPr="003754FE">
        <w:rPr>
          <w:rStyle w:val="NumeroAFNegritaCaracter"/>
        </w:rPr>
        <w:t>6</w:t>
      </w:r>
      <w:r>
        <w:t>. La representación procesal de don Alberto García Solá, con asistencia letrada de don Carlos Alberto Sánchez Almeida, presentó escrito de alegaciones en este tribunal el 3 de mayo de 2024, interesando la desestimación del recurso de amparo y la imposición de las costas a la recurrente. Alega el señor García Solá que, en su condición de creador de la web original “seriesyonkis”, viene sufriendo una “pena de banquillo” desde hace dieciséis años, la mayor parte de su vida adulta. Niega que la entidad recurrente, que ejerció la acusación particular en el proceso penal, haya sufrido lesión de derecho fundamental alguno, y sostiene que interpone recurso de amparo contra la sentencia absolutoria recaída en ese proceso con manifiesta temeridad y mala fe, por lo que, de conformidad con lo dispuesto en el art. 95.2 LOTC, solicita que le sean impuestas las costas derivadas de la tramitación del presente proceso constitucional.</w:t>
      </w:r>
    </w:p>
    <w:p w14:paraId="0BD0B7F2" w14:textId="77777777" w:rsidR="003754FE" w:rsidRDefault="003754FE" w:rsidP="003754FE">
      <w:pPr>
        <w:pStyle w:val="TextoNormal"/>
      </w:pPr>
    </w:p>
    <w:p w14:paraId="29506391" w14:textId="0C088C1E" w:rsidR="003754FE" w:rsidRDefault="003754FE" w:rsidP="003754FE">
      <w:pPr>
        <w:pStyle w:val="TextoNormal"/>
      </w:pPr>
      <w:r w:rsidRPr="003754FE">
        <w:rPr>
          <w:rStyle w:val="NumeroAFNegritaCaracter"/>
        </w:rPr>
        <w:t>7</w:t>
      </w:r>
      <w:r>
        <w:t>. La representación procesal de la entidad recurrente presentó escrito de alegaciones el 14 de mayo de 2024, reiterando lo expuesto en la demanda de amparo e interesando que se dicte sentencia por la que le otorgue el amparo.</w:t>
      </w:r>
    </w:p>
    <w:p w14:paraId="3539DAA4" w14:textId="77777777" w:rsidR="003754FE" w:rsidRDefault="003754FE" w:rsidP="003754FE">
      <w:pPr>
        <w:pStyle w:val="TextoNormal"/>
      </w:pPr>
    </w:p>
    <w:p w14:paraId="382EC29F" w14:textId="77777777" w:rsidR="003754FE" w:rsidRDefault="003754FE" w:rsidP="003754FE">
      <w:pPr>
        <w:pStyle w:val="TextoNormal"/>
      </w:pPr>
      <w:r w:rsidRPr="003754FE">
        <w:rPr>
          <w:rStyle w:val="NumeroAFNegritaCaracter"/>
        </w:rPr>
        <w:t>8</w:t>
      </w:r>
      <w:r>
        <w:t>. La representación procesal de don Alexis Hoepfner Bernardet y Burn Media, S.L., con asistencia letrada de don David Maeztu Lacalle, presentó escrito de alegaciones el 15 de mayo de 2024, en el que interesa la desestimación del recurso de amparo y la imposición de las costas a la recurrente, de conformidad con lo dispuesto en el art. 95.2 LOTC.</w:t>
      </w:r>
    </w:p>
    <w:p w14:paraId="45AB37EF" w14:textId="77777777" w:rsidR="003754FE" w:rsidRDefault="003754FE" w:rsidP="003754FE">
      <w:pPr>
        <w:pStyle w:val="TextoNormal"/>
      </w:pPr>
    </w:p>
    <w:p w14:paraId="2AF70C6B" w14:textId="05CC203B" w:rsidR="003754FE" w:rsidRDefault="003754FE" w:rsidP="003754FE">
      <w:pPr>
        <w:pStyle w:val="TextoNormal"/>
      </w:pPr>
      <w:r>
        <w:t xml:space="preserve">Afirma en primer lugar que la queja referida a la lesión de los derechos a la tutela judicial efectiva y a la defensa, por el rechazo a celebrar vista en la apelación, incurre en óbice de falta de agotamiento de los medios de impugnación previstos en la vía judicial [art. 44.1 a) LOTC], pues la entidad recurrente no interpuso recurso de súplica contra la providencia que denegó su solicitud de celebración de vista. Sin perjuicio de ello, sostiene que no ha existido esa vulneración, ni ninguna de las restantes que alega la recurrente. La sentencia impugnada expone detalladamente las razones por las que no puede admitir, por ser </w:t>
      </w:r>
      <w:r w:rsidRPr="003754FE">
        <w:rPr>
          <w:i/>
        </w:rPr>
        <w:t>contra legem</w:t>
      </w:r>
      <w:r>
        <w:t>, la práctica de la prueba en segunda instancia consistente en la declaración de quienes fueron absueltos en la primera. Además, la recurrente parte de una premisa errónea en términos constitucionales, cual es que existe una igualdad absoluta en la posición entre las partes del proceso penal, que es lo mismo ser acusador que ser acusado y que los derechos de las partes del proceso penal se rigen por las mismas consideraciones, cuando lo cierto es que esa posición es asimétrica. En todo caso, lo relevante es que la recurrente ha podido ejercitar la acusación e interponer los recursos procedentes con plenas garantías, por lo que no ha existido la pretendida lesión de derechos fundamentales que alega.</w:t>
      </w:r>
    </w:p>
    <w:p w14:paraId="47AE63EF" w14:textId="77777777" w:rsidR="003754FE" w:rsidRDefault="003754FE" w:rsidP="003754FE">
      <w:pPr>
        <w:pStyle w:val="TextoNormal"/>
      </w:pPr>
    </w:p>
    <w:p w14:paraId="2983D6C2" w14:textId="77777777" w:rsidR="003754FE" w:rsidRDefault="003754FE" w:rsidP="003754FE">
      <w:pPr>
        <w:pStyle w:val="TextoNormal"/>
      </w:pPr>
      <w:r w:rsidRPr="003754FE">
        <w:rPr>
          <w:rStyle w:val="NumeroAFNegritaCaracter"/>
        </w:rPr>
        <w:t>9</w:t>
      </w:r>
      <w:r>
        <w:t xml:space="preserve">. La representación procesal de don Jordi Tamargo Barguño y don David Martínez Olivella, con asistencia letrada de don Cristóbal Martell Pérez-Alcalde, registró en este tribunal </w:t>
      </w:r>
      <w:r>
        <w:lastRenderedPageBreak/>
        <w:t>su escrito de alegaciones el 17 de mayo de 2024, en el que interesa la inadmisión del recurso de amparo y subsidiariamente su desestimación.</w:t>
      </w:r>
    </w:p>
    <w:p w14:paraId="4A21B3FE" w14:textId="77777777" w:rsidR="003754FE" w:rsidRDefault="003754FE" w:rsidP="003754FE">
      <w:pPr>
        <w:pStyle w:val="TextoNormal"/>
      </w:pPr>
    </w:p>
    <w:p w14:paraId="5AF1C1B6" w14:textId="77777777" w:rsidR="003754FE" w:rsidRDefault="003754FE" w:rsidP="003754FE">
      <w:pPr>
        <w:pStyle w:val="TextoNormal"/>
      </w:pPr>
      <w:r>
        <w:t>Sostiene en primer lugar que, si la entidad demandante de amparo articuló su recurso de apelación contra la sentencia absolutoria por el cauce de la infracción de ley, no puede luego pretender que la Audiencia Provincial revise los elementos fácticos declarados probados en aquella sentencia, ni cabe por tanto confundir el fracaso de una desviada estrategia procesal con la pretendida quiebra derechos fundamentales que se imputa infundadamente a la sentencia recaída en el recurso de apelación. Se sigue de lo anterior que la supuesta lesión del derecho a la tutela judicial efectiva por la negativa a celebrar vista en la apelación incurre en los óbices de falta de invocación tempestiva [art. 44.1 c) LOTC] y falta de agotamiento de los medios de impugnación previstos en la vía judicial [art. 44.1 a) LOTC], pues la demandante no interpuso recurso de súplica contra la providencia que denegó su solicitud de celebración de vista; alternativamente, la alegación de esta queja en el incidente de nulidad resulta extemporánea y convierte en extemporáneo su planteamiento en la demanda de amparo. Lo mismo sucede con la alegada lesión del derecho a la tutela judicial efectiva por la cointegración de los hechos probados con la fundamentación jurídica de la sentencia de instancia y las conclusiones alcanzadas en cuanto a considerar que no existe dolo en la conducta de los acusados, pues, de existir esa pretendida lesión, no se produjo en la sentencia de apelación, sino en la sentencia absolutoria.</w:t>
      </w:r>
    </w:p>
    <w:p w14:paraId="504A6D90" w14:textId="77777777" w:rsidR="003754FE" w:rsidRDefault="003754FE" w:rsidP="003754FE">
      <w:pPr>
        <w:pStyle w:val="TextoNormal"/>
      </w:pPr>
    </w:p>
    <w:p w14:paraId="19801A85" w14:textId="44D754AB" w:rsidR="003754FE" w:rsidRDefault="003754FE" w:rsidP="003754FE">
      <w:pPr>
        <w:pStyle w:val="TextoNormal"/>
      </w:pPr>
      <w:r>
        <w:t>Sin perjuicio de lo anterior, sostiene que en ningún caso se ha producido la vulneración alegada del derecho a la tutela judicial efectiva por la negativa de la Audiencia Provincial a celebrar vista en la apelación, atendiendo a la doctrina constitucional relativa a la revisión en apelación de sentencias penales a instancias de la parte acusadora (SSTC 167/2002, de 18 de septiembre; 88/2013, de 11 de abril; 146/2017, de 14 de diciembre; 1/2020, de 14 de enero; 35/2020, de 25 de febrero, y 18/2021, de 15 de febrero, entre otras). Otro tanto sucede respecto de la alegada lesión de ese derecho fundamental por la cointegración de los hechos probados con la fundamentación jurídica de la sentencia absolutoria y las conclusiones alcanzadas en la sentencia de apelación en cuanto a considerar que no existe dolo en la conducta de los acusados, pues los razonamientos de la sentencia de apelación para llegar a esa conclusión superan con holgura las exigencias de motivación suficiente y razonabilidad del discurso que impone la doctrina constitucional.</w:t>
      </w:r>
    </w:p>
    <w:p w14:paraId="5E033163" w14:textId="77777777" w:rsidR="003754FE" w:rsidRDefault="003754FE" w:rsidP="003754FE">
      <w:pPr>
        <w:pStyle w:val="TextoNormal"/>
      </w:pPr>
    </w:p>
    <w:p w14:paraId="4B21F9AA" w14:textId="572D9725" w:rsidR="003754FE" w:rsidRDefault="003754FE" w:rsidP="003754FE">
      <w:pPr>
        <w:pStyle w:val="TextoNormal"/>
      </w:pPr>
      <w:r w:rsidRPr="003754FE">
        <w:rPr>
          <w:rStyle w:val="NumeroAFNegritaCaracter"/>
        </w:rPr>
        <w:t>10</w:t>
      </w:r>
      <w:r>
        <w:t>. Las representaciones procesales de Warner Bros Entertainment Inc., y otras, y de Twentieth Century Fox Home Entertainment España, S.A., y otras, con asistencia letrada ambas de don Santiago David Mediano Cortés, presentaron su escrito de alegaciones el 17 de mayo de 2024, en el que ponen de relieve que no existe plena coincidencia entre los motivos articulados en el recurso de amparo interpuesto por EGEDA y los expuestos en el recurso de amparo promovido por dichas sociedades contra la misma resolución judicial, por lo que manifiestan que se reiteran en lo alegado en su propio recurso de amparo, al que se remiten.</w:t>
      </w:r>
    </w:p>
    <w:p w14:paraId="711ECF69" w14:textId="77777777" w:rsidR="003754FE" w:rsidRDefault="003754FE" w:rsidP="003754FE">
      <w:pPr>
        <w:pStyle w:val="TextoNormal"/>
      </w:pPr>
    </w:p>
    <w:p w14:paraId="2477D892" w14:textId="77777777" w:rsidR="003754FE" w:rsidRDefault="003754FE" w:rsidP="003754FE">
      <w:pPr>
        <w:pStyle w:val="TextoNormal"/>
      </w:pPr>
      <w:r w:rsidRPr="003754FE">
        <w:rPr>
          <w:rStyle w:val="NumeroAFNegritaCaracter"/>
        </w:rPr>
        <w:t>11</w:t>
      </w:r>
      <w:r>
        <w:t>. El Ministerio Fiscal presentó su escrito de alegaciones el 5 de junio de 2024, en el que interesa la desestimación del recurso de amparo.</w:t>
      </w:r>
    </w:p>
    <w:p w14:paraId="624C3B2B" w14:textId="77777777" w:rsidR="003754FE" w:rsidRDefault="003754FE" w:rsidP="003754FE">
      <w:pPr>
        <w:pStyle w:val="TextoNormal"/>
      </w:pPr>
    </w:p>
    <w:p w14:paraId="52E7417A" w14:textId="77777777" w:rsidR="003754FE" w:rsidRDefault="003754FE" w:rsidP="003754FE">
      <w:pPr>
        <w:pStyle w:val="TextoNormal"/>
      </w:pPr>
      <w:r>
        <w:t xml:space="preserve">Tras exponer los antecedentes del asunto y hacer una síntesis del desarrollo argumental de los motivos del recurso de amparo, el fiscal sostiene que la queja nuclear del recurso es </w:t>
      </w:r>
      <w:r>
        <w:lastRenderedPageBreak/>
        <w:t>la referida a la alegada lesión de los derechos a la tutela judicial efectiva y a la defensa, por la negativa de la Audiencia Provincial de Murcia a la celebración de vista en la apelación que había solicitado la recurrente, pues, si se parte de la premisa de que para condenar a los acusados absueltos en la instancia haría falta, en todo caso, que fueran oídos por el tribunal de apelación, se trata de determinar si esa limitación de la segunda instancia, establecida en favor del acusado como vertiente del derecho a un proceso con todas las garantías, genera también un efecto a modo de “garantía recíproca” de los acusadores, que habría que incardinar en el derecho de estos a la tutela judicial efectiva.</w:t>
      </w:r>
    </w:p>
    <w:p w14:paraId="661FD803" w14:textId="77777777" w:rsidR="003754FE" w:rsidRDefault="003754FE" w:rsidP="003754FE">
      <w:pPr>
        <w:pStyle w:val="TextoNormal"/>
      </w:pPr>
    </w:p>
    <w:p w14:paraId="348C9DD9" w14:textId="77777777" w:rsidR="003754FE" w:rsidRDefault="003754FE" w:rsidP="003754FE">
      <w:pPr>
        <w:pStyle w:val="TextoNormal"/>
      </w:pPr>
      <w:r>
        <w:t>Para dar respuesta a esta queja señala el fiscal que es preciso abordar, en primer lugar, la cuestión de la asimétrica posición de garantía de las partes en el proceso penal, partiendo de la doctrina constitucional al respecto, compendiada en la reciente STC 72/2024, de 7 de mayo, FJ 4, que, además, reitera la doctrina —STC 88/2013, de 11 de abril, FFJJ 7 a 9, por todas— conforme a la cual resulta contrario a un proceso con todas las garantías que, conociendo a través de un recurso, un órgano judicial funde la condena de quien ha sido absuelto en la instancia o agrave su situación, como consecuencia de una nueva fijación de los hechos probados que encuentre su origen en la reconsideración de pruebas (declaraciones de testigos, peritos y acusados) cuya correcta y adecuada apreciación exija necesariamente que se practiquen en una vista pública, en presencia del órgano judicial que las valora y de forma contradictoria, esto es, en presencia y con la intervención del acusado. Criterio este que también se aplica a aquellas decisiones de revisión que, sin alterar el relato de hechos probados declarado en la instancia, fundamentaban la condena del acusado en la distinta apreciación de la concurrencia de elementos subjetivos del delito.</w:t>
      </w:r>
    </w:p>
    <w:p w14:paraId="69F79966" w14:textId="77777777" w:rsidR="003754FE" w:rsidRDefault="003754FE" w:rsidP="003754FE">
      <w:pPr>
        <w:pStyle w:val="TextoNormal"/>
      </w:pPr>
    </w:p>
    <w:p w14:paraId="4EE64754" w14:textId="77777777" w:rsidR="003754FE" w:rsidRDefault="003754FE" w:rsidP="003754FE">
      <w:pPr>
        <w:pStyle w:val="TextoNormal"/>
      </w:pPr>
      <w:r>
        <w:t>Aplicando esa doctrina al presente caso, considera el fiscal que la queja que se formula en el presente recurso de amparo en relación con la negativa de la Audiencia Provincial de Murcia a celebrar vista en la apelación debe ser desestimada. Señala que, dada la regulación del recurso de apelación en nuestro ordenamiento jurídico, solo de forma limitada cabe solicitar en el juicio de apelación la aportación o práctica de nuevos materiales probatorios, esto es, cuando no pudieron proponerse en la primera instancia, o propuestos fueron indebidamente denegados (siempre que se hubiera formulado en su momento la oportuna protesta), o cuando admitidos no pudieron ser practicados por causas que no le fueran imputables al apelante (art. 790.3 LECrim). A lo que se añade que corresponde a los órganos judiciales interpretar las disposiciones de la Ley de enjuiciamiento criminal concernientes a la admisión de pruebas en la fase de apelación. El Tribunal Constitucional ha aceptado que es compatible con el art. 24.2 CE [STC 120/2009, de 18 de mayo, FJ 2 d)], por ser respetuosa con la limitación referida, aquella interpretación judicial que entiende que, con arreglo al art. 790.3 LECrim, solo podrán practicarse en apelación diligencias de prueba cuando concurran los supuestos previstos en la norma procesal, antes expuestos (STC 48/2008, de 11 de marzo, FJ 3), así como aquella otra interpretación que lleva a admitir la práctica en la segunda instancia de pruebas de carácter personal ya realizadas en la primera cuando los recurrentes cuestionen los hechos declarados probados (STC 167/2002, de 18 de septiembre, entre otras).</w:t>
      </w:r>
    </w:p>
    <w:p w14:paraId="2695D63A" w14:textId="77777777" w:rsidR="003754FE" w:rsidRDefault="003754FE" w:rsidP="003754FE">
      <w:pPr>
        <w:pStyle w:val="TextoNormal"/>
      </w:pPr>
    </w:p>
    <w:p w14:paraId="2EB6456A" w14:textId="77777777" w:rsidR="003754FE" w:rsidRDefault="003754FE" w:rsidP="003754FE">
      <w:pPr>
        <w:pStyle w:val="TextoNormal"/>
      </w:pPr>
      <w:r>
        <w:t xml:space="preserve">En el presente caso, la Audiencia Provincial de Murcia, en el ejercicio de la potestad que le confiere el art. 117.3 CE y en una interpretación de la regulación legal del recurso de apelación que no cabe tachar de arbitraria o irrazonable, denegó la celebración de vista solicitada por la recurrente, por estimar que no concurría ninguno de los supuestos previstos </w:t>
      </w:r>
      <w:r>
        <w:lastRenderedPageBreak/>
        <w:t xml:space="preserve">en el art. 790.3 LECrim para la práctica de prueba en segunda instancia. Esta decisión judicial no supone una quiebra esencial en el procedimiento que afecte a las garantías procesales de la parte acusadora que, como titular del </w:t>
      </w:r>
      <w:r w:rsidRPr="003754FE">
        <w:rPr>
          <w:i/>
        </w:rPr>
        <w:t>ius ut procedatur</w:t>
      </w:r>
      <w:r>
        <w:t>, ostenta el derecho a poner en marcha el proceso penal, a que este se sustancie de conformidad con la ley y las reglas del proceso justo, y a obtener en él una respuesta fundada en Derecho sobre sus pretensiones, pero no un pretendido derecho a obtener la condena del acusado.</w:t>
      </w:r>
    </w:p>
    <w:p w14:paraId="714343B8" w14:textId="77777777" w:rsidR="003754FE" w:rsidRDefault="003754FE" w:rsidP="003754FE">
      <w:pPr>
        <w:pStyle w:val="TextoNormal"/>
      </w:pPr>
    </w:p>
    <w:p w14:paraId="3798D08C" w14:textId="566A189C" w:rsidR="003754FE" w:rsidRDefault="003754FE" w:rsidP="003754FE">
      <w:pPr>
        <w:pStyle w:val="TextoNormal"/>
      </w:pPr>
      <w:r>
        <w:t>La acusación no tiene derecho a revisar una sentencia absolutoria si no ha habido una quiebra esencial del proceso (las garantías de acusado y acusador son asimétricas), y en el presente caso la Audiencia Provincial de Murcia funda su negativa a celebrar vista en el art. 790.3 LECrim, que no prevé la celebración de vista en segunda instancia con la pretensión expresada en el motivo aducido en la demanda de amparo. No existe, por tanto, la vulneración del derecho a la tutela judicial efectiva que alega la entidad recurrente.</w:t>
      </w:r>
    </w:p>
    <w:p w14:paraId="6C71A2B1" w14:textId="77777777" w:rsidR="003754FE" w:rsidRDefault="003754FE" w:rsidP="003754FE">
      <w:pPr>
        <w:pStyle w:val="TextoNormal"/>
      </w:pPr>
    </w:p>
    <w:p w14:paraId="3B5227B8" w14:textId="59CA8B05" w:rsidR="003754FE" w:rsidRDefault="003754FE" w:rsidP="003754FE">
      <w:pPr>
        <w:pStyle w:val="TextoNormal"/>
      </w:pPr>
      <w:r w:rsidRPr="003754FE">
        <w:rPr>
          <w:rStyle w:val="NumeroAFNegritaCaracter"/>
        </w:rPr>
        <w:t>12</w:t>
      </w:r>
      <w:r>
        <w:t>. Por providencia de fecha 31 de octubre de 2024 se señaló para votación y fallo del presente recurso el día 4 de noviembre de 2024.</w:t>
      </w:r>
    </w:p>
    <w:p w14:paraId="31F6F0C1" w14:textId="77777777" w:rsidR="003754FE" w:rsidRDefault="003754FE" w:rsidP="003754FE">
      <w:pPr>
        <w:pStyle w:val="TextoNormal"/>
      </w:pPr>
    </w:p>
    <w:p w14:paraId="0D122E3C" w14:textId="77777777" w:rsidR="003754FE" w:rsidRDefault="003754FE" w:rsidP="003754FE">
      <w:pPr>
        <w:pStyle w:val="TextoNormalNegritaCentrado"/>
        <w:keepNext/>
      </w:pPr>
      <w:r>
        <w:t>II. Fundamentos jurídicos</w:t>
      </w:r>
    </w:p>
    <w:p w14:paraId="46F36035" w14:textId="01BEBAD5" w:rsidR="003754FE" w:rsidRDefault="003754FE" w:rsidP="003754FE">
      <w:pPr>
        <w:pStyle w:val="TextoNormalNegritaCentrado"/>
        <w:keepNext/>
      </w:pPr>
    </w:p>
    <w:p w14:paraId="2EB2BDD4" w14:textId="77777777" w:rsidR="003754FE" w:rsidRDefault="003754FE" w:rsidP="003754FE">
      <w:pPr>
        <w:pStyle w:val="TextoNormal"/>
      </w:pPr>
      <w:r w:rsidRPr="003754FE">
        <w:rPr>
          <w:rStyle w:val="NumeroAFNegritaCaracter"/>
        </w:rPr>
        <w:t>1</w:t>
      </w:r>
      <w:r>
        <w:t xml:space="preserve">. </w:t>
      </w:r>
      <w:r w:rsidRPr="003754FE">
        <w:rPr>
          <w:i/>
        </w:rPr>
        <w:t>Objeto del recurso y pretensiones de las partes</w:t>
      </w:r>
    </w:p>
    <w:p w14:paraId="3A9A068B" w14:textId="77777777" w:rsidR="003754FE" w:rsidRDefault="003754FE" w:rsidP="003754FE">
      <w:pPr>
        <w:pStyle w:val="TextoNormal"/>
      </w:pPr>
    </w:p>
    <w:p w14:paraId="2D192C57" w14:textId="77777777" w:rsidR="003754FE" w:rsidRDefault="003754FE" w:rsidP="003754FE">
      <w:pPr>
        <w:pStyle w:val="TextoNormal"/>
      </w:pPr>
      <w:r>
        <w:t>El recurso de amparo interpuesto por la Entidad EGEDA se dirige contra la sentencia de 26 de febrero de 2021 de la Sección Segunda de la Audiencia Provincial de Murcia, recaída en el recurso de apelación penal núm. 152-2019, que confirma la sentencia absolutoria dictada el 21 de junio de 2019 por el Juzgado de lo Penal núm. 4 de Murcia, en el procedimiento abreviado núm. 386-2016, seguido por supuesto delito contra la propiedad intelectual. Contra la sentencia de apelación la demandante promovió un incidente de nulidad que fue desestimado por auto de 30 de noviembre de 2022.</w:t>
      </w:r>
    </w:p>
    <w:p w14:paraId="1D7CA9D4" w14:textId="77777777" w:rsidR="003754FE" w:rsidRDefault="003754FE" w:rsidP="003754FE">
      <w:pPr>
        <w:pStyle w:val="TextoNormal"/>
      </w:pPr>
    </w:p>
    <w:p w14:paraId="3E0146B7" w14:textId="77777777" w:rsidR="003754FE" w:rsidRDefault="003754FE" w:rsidP="003754FE">
      <w:pPr>
        <w:pStyle w:val="TextoNormal"/>
      </w:pPr>
      <w:r>
        <w:t>La entidad demandante de amparo, que ejerció la acusación particular en el proceso penal referido, sostiene que la sentencia impugnada ha vulnerado sus derechos fundamentales a la tutela judicial efectiva (art. 24.1 CE) y a la defensa (art. 24.2 CE). En primer lugar, porque ha procedido indebidamente a completar el relato de hechos probados de la sentencia de instancia con el fundamento jurídico octavo de esa sentencia, a fin de concluir que no existe dolo en la conducta de los acusados por la falta de conciencia de la ilicitud de la actividad enjuiciada. En segundo lugar, porque el tribunal de apelación denegó la solicitud de celebración de vista en la apelación, necesaria para revocar la absolución de los acusados. En fin, porque la sentencia impugnada incurre en arbitrariedad al desestimar el recurso de apelación desatendiendo el principio de primacía del Derecho de la Unión Europea y la doctrina del Tribunal de Justicia de la Unión Europea sobre la interpretación de la concurrencia del elemento del conocimiento efectivo de la ilicitud de la conducta en el prestador de servicios de la sociedad de la información por vías alternativas a una declaración positiva de autoridad competente.</w:t>
      </w:r>
    </w:p>
    <w:p w14:paraId="4D64D89B" w14:textId="77777777" w:rsidR="003754FE" w:rsidRDefault="003754FE" w:rsidP="003754FE">
      <w:pPr>
        <w:pStyle w:val="TextoNormal"/>
      </w:pPr>
    </w:p>
    <w:p w14:paraId="337D6BF3" w14:textId="77777777" w:rsidR="003754FE" w:rsidRDefault="003754FE" w:rsidP="003754FE">
      <w:pPr>
        <w:pStyle w:val="TextoNormal"/>
      </w:pPr>
      <w:r>
        <w:t>El Ministerio Fiscal, por las razones que han quedado resumidas en el relato de antecedentes, solicita la desestimación del recurso de amparo.</w:t>
      </w:r>
    </w:p>
    <w:p w14:paraId="2530F6F6" w14:textId="77777777" w:rsidR="003754FE" w:rsidRDefault="003754FE" w:rsidP="003754FE">
      <w:pPr>
        <w:pStyle w:val="TextoNormal"/>
      </w:pPr>
    </w:p>
    <w:p w14:paraId="63DB5B29" w14:textId="77777777" w:rsidR="003754FE" w:rsidRDefault="003754FE" w:rsidP="003754FE">
      <w:pPr>
        <w:pStyle w:val="TextoNormal"/>
      </w:pPr>
      <w:r>
        <w:lastRenderedPageBreak/>
        <w:t>La representación procesal de don Alberto García Solá, acusado en el proceso penal, solicita la desestimación del recurso de amparo y que, de conformidad con lo dispuesto en el art. 95.2 LOTC, le sean impuestas a la entidad demandante las costas derivadas de la tramitación del presente proceso constitucional. Las mismas pretensiones formula la representación procesal de don Alexis Hoepfner Bernardet, administrador de la sociedad Burn Media, S.L., asimismo acusado en el proceso penal. La representación procesal de los también acusados en el proceso penal don Jordi Tamargo Barguño y don David Martínez Olivella interesó la inadmisión del recurso de amparo y subsidiariamente su desestimación.</w:t>
      </w:r>
    </w:p>
    <w:p w14:paraId="06992F83" w14:textId="77777777" w:rsidR="003754FE" w:rsidRDefault="003754FE" w:rsidP="003754FE">
      <w:pPr>
        <w:pStyle w:val="TextoNormal"/>
      </w:pPr>
    </w:p>
    <w:p w14:paraId="776167C1" w14:textId="0DB5AEA9" w:rsidR="003754FE" w:rsidRDefault="003754FE" w:rsidP="003754FE">
      <w:pPr>
        <w:pStyle w:val="TextoNormal"/>
      </w:pPr>
      <w:r>
        <w:t>Por su parte, las representaciones procesales de Warner Bros Entertainment Inc., y otras, y de Twentieth Century Fox Home Entertainment España, S.A., y otras, que ejercieron, al igual que la entidad EGEDA, la acusación particular en el proceso penal, han manifestado que se remiten a lo alegado y solicitado en su propio recurso de amparo, núm. 634-2023, interpuesto contra la misma sentencia de la Sección Segunda de la Audiencia Provincial de Murcia (así como frente al auto que desestima el incidente de nulidad promovido frente a esa sentencia).</w:t>
      </w:r>
    </w:p>
    <w:p w14:paraId="542EE67C" w14:textId="77777777" w:rsidR="003754FE" w:rsidRDefault="003754FE" w:rsidP="003754FE">
      <w:pPr>
        <w:pStyle w:val="TextoNormal"/>
      </w:pPr>
    </w:p>
    <w:p w14:paraId="601684DD" w14:textId="77777777" w:rsidR="003754FE" w:rsidRDefault="003754FE" w:rsidP="003754FE">
      <w:pPr>
        <w:pStyle w:val="TextoNormal"/>
      </w:pPr>
      <w:r w:rsidRPr="003754FE">
        <w:rPr>
          <w:rStyle w:val="NumeroAFNegritaCaracter"/>
        </w:rPr>
        <w:t>2</w:t>
      </w:r>
      <w:r>
        <w:t xml:space="preserve">. </w:t>
      </w:r>
      <w:r w:rsidRPr="003754FE">
        <w:rPr>
          <w:i/>
        </w:rPr>
        <w:t>Precisiones para la delimitación del recurso de amparo</w:t>
      </w:r>
    </w:p>
    <w:p w14:paraId="5ACA7864" w14:textId="77777777" w:rsidR="003754FE" w:rsidRDefault="003754FE" w:rsidP="003754FE">
      <w:pPr>
        <w:pStyle w:val="TextoNormal"/>
      </w:pPr>
    </w:p>
    <w:p w14:paraId="62E009A5" w14:textId="77777777" w:rsidR="003754FE" w:rsidRDefault="003754FE" w:rsidP="003754FE">
      <w:pPr>
        <w:pStyle w:val="TextoNormal"/>
      </w:pPr>
      <w:r>
        <w:t>Para la adecuada delimitación del objeto del recurso de amparo son necesarias algunas precisiones previas, a la vista de las pretensiones deducidas por las partes.</w:t>
      </w:r>
    </w:p>
    <w:p w14:paraId="4B20E2F9" w14:textId="77777777" w:rsidR="003754FE" w:rsidRDefault="003754FE" w:rsidP="003754FE">
      <w:pPr>
        <w:pStyle w:val="TextoNormal"/>
      </w:pPr>
    </w:p>
    <w:p w14:paraId="43CE37A1" w14:textId="77777777" w:rsidR="003754FE" w:rsidRDefault="003754FE" w:rsidP="003754FE">
      <w:pPr>
        <w:pStyle w:val="TextoNormal"/>
      </w:pPr>
      <w:r>
        <w:t>a) En primer lugar, procede apreciar el óbice de admisibilidad que aduce la representación procesal de don Jordi Tamargo Barguño y don David Martínez Olivella, así como la representación procesal de don Alexis Hoepfner Bernardet y Burn Media, S.L., en relación con la queja de la entidad demandante referida a la lesión del derecho a la tutela judicial efectiva (art. 24.1 CE) por la negativa de la Audiencia Provincial de Murcia a celebrar vista en la tramitación del recurso de apelación (segundo motivo del recurso de amparo).</w:t>
      </w:r>
    </w:p>
    <w:p w14:paraId="78CF4D32" w14:textId="77777777" w:rsidR="003754FE" w:rsidRDefault="003754FE" w:rsidP="003754FE">
      <w:pPr>
        <w:pStyle w:val="TextoNormal"/>
      </w:pPr>
    </w:p>
    <w:p w14:paraId="2D709911" w14:textId="77777777" w:rsidR="003754FE" w:rsidRDefault="003754FE" w:rsidP="003754FE">
      <w:pPr>
        <w:pStyle w:val="TextoNormal"/>
      </w:pPr>
      <w:r>
        <w:t>En efecto, esta tacha incurre en el óbice de falta de agotamiento de los medios de impugnación previstos en la vía judicial [art. 44.1 a) LOTC], porque, como se señala en el auto de 30 de noviembre de 2022, que desestima el incidente de nulidad interpuesto contra la sentencia de apelación, la demandante no interpuso recurso de súplica contra la providencia de 10 de marzo de 2020 que denegó su solicitud de celebración de vista, decisión que quedó así firme y consentida. La alegación de esta queja en el incidente de nulidad resulta intempestiva, por lo que no puede subsanar el referido óbice de admisibilidad, a lo que ha de añadirse que la demandante no dirige ningún reproche específico al auto que desestima su incidente de nulidad.</w:t>
      </w:r>
    </w:p>
    <w:p w14:paraId="2D9CA056" w14:textId="77777777" w:rsidR="003754FE" w:rsidRDefault="003754FE" w:rsidP="003754FE">
      <w:pPr>
        <w:pStyle w:val="TextoNormal"/>
      </w:pPr>
    </w:p>
    <w:p w14:paraId="2BA6946D" w14:textId="77777777" w:rsidR="003754FE" w:rsidRDefault="003754FE" w:rsidP="003754FE">
      <w:pPr>
        <w:pStyle w:val="TextoNormal"/>
      </w:pPr>
      <w:r>
        <w:t xml:space="preserve">Por el contrario, procede descartar ese mismo óbice de admisibilidad, que también aduce la representación procesal de don Jordi Tamargo Barguño y don David Martínez Olivella, respecto de la alegada lesión del derecho a la tutela judicial efectiva (art. 24.1 CE) por la cointegración de los hechos probados con la fundamentación jurídica de la sentencia de instancia y las conclusiones alcanzadas en cuanto a considerar que no existe dolo en la conducta de los acusados. En contra de lo que se sostiene por esa parte, esa pretendida lesión sería imputable, en su caso, a la sentencia dictada en apelación, no a la sentencia absolutoria de instancia, y la demandante ha cumplido en este caso el requisito del agotamiento de los medios de impugnación previstos en la vía judicial [art. 44.1 a) LOTC], pues ha planteado </w:t>
      </w:r>
      <w:r>
        <w:lastRenderedPageBreak/>
        <w:t>esa supuesta vulneración en el incidente de nulidad de actuaciones promovido contra la sentencia de apelación.</w:t>
      </w:r>
    </w:p>
    <w:p w14:paraId="7594EECE" w14:textId="77777777" w:rsidR="003754FE" w:rsidRDefault="003754FE" w:rsidP="003754FE">
      <w:pPr>
        <w:pStyle w:val="TextoNormal"/>
      </w:pPr>
    </w:p>
    <w:p w14:paraId="5AE27836" w14:textId="77777777" w:rsidR="003754FE" w:rsidRDefault="003754FE" w:rsidP="003754FE">
      <w:pPr>
        <w:pStyle w:val="TextoNormal"/>
      </w:pPr>
      <w:r>
        <w:t>En consecuencia, este tribunal entrará a examinar los motivos primero y tercero del recurso de amparo interpuesto por EGEDA contra la sentencia dictada por la Sección Segunda de la Audiencia Provincial de Murcia en el recurso de apelación penal núm. 152-2019, que confirma la absolución de los acusados decretada por la sentencia de instancia. Valga en cualquier caso advertir que los recursos de apelación de EGEDA y de las restantes acusaciones particulares, así como del Ministerio Fiscal, se formularon y admitieron por la vía de la infracción de ley, planteándose en consecuencia una cuestión estrictamente jurídica, lo que excluía la necesidad de celebrar vista en apelación en la que fueran oídos los acusados, como presupuesto para la eventual anulación del fallo absolutorio impugnado.</w:t>
      </w:r>
    </w:p>
    <w:p w14:paraId="26DC1D2A" w14:textId="77777777" w:rsidR="003754FE" w:rsidRDefault="003754FE" w:rsidP="003754FE">
      <w:pPr>
        <w:pStyle w:val="TextoNormal"/>
      </w:pPr>
    </w:p>
    <w:p w14:paraId="4CC9AD09" w14:textId="77777777" w:rsidR="003754FE" w:rsidRDefault="003754FE" w:rsidP="003754FE">
      <w:pPr>
        <w:pStyle w:val="TextoNormal"/>
      </w:pPr>
      <w:r>
        <w:t>b) Procede asimismo declarar que debe rechazarse en cualquier caso la solicitud de condena en costas a la entidad demandante de amparo que, con invocación del art. 95.2 LOTC, deducen las representaciones procesales de don Alberto García Solá y de don Alexis Hoepfner Bernardet y Burn Media, S.L. La mera admisión a trámite del presente recurso de amparo, por apreciar el Tribunal que el asunto reviste especial trascendencia constitucional, impide apreciar la temeridad o mala fe que legitimarían la imposición de las costas a la demandante conforme a dicho precepto (así, STC 126/2013, de 3 de junio, FJ 8).</w:t>
      </w:r>
    </w:p>
    <w:p w14:paraId="4C7BA43E" w14:textId="77777777" w:rsidR="003754FE" w:rsidRDefault="003754FE" w:rsidP="003754FE">
      <w:pPr>
        <w:pStyle w:val="TextoNormal"/>
      </w:pPr>
    </w:p>
    <w:p w14:paraId="4FBED81B" w14:textId="77777777" w:rsidR="003754FE" w:rsidRDefault="003754FE" w:rsidP="003754FE">
      <w:pPr>
        <w:pStyle w:val="TextoNormal"/>
      </w:pPr>
      <w:r>
        <w:t>c) Debe recordarse, por último, antes de entrar a examinar las quejas de la demandante, que lo que se discute en el recurso de amparo no es la norma penal aplicada, claro está, sino su aplicación judicial al caso concreto, en cuanto se refiere a una conducta que la sentencia impugnada, confirmando la dictada en primera instancia, ha considerado no merecedora de reproche penal. Dicho de otro modo, el problema constitucional planteado en el presente recurso de amparo no tiene que ver con la previsión legal abstracta de protección penal de la propiedad intelectual que establece nuestro ordenamiento jurídico; en el caso que nos ocupa, el art. 270 CP, en su redacción anterior a la reforma introducida por la Ley Orgánica 1/2015, de 30 de marzo.</w:t>
      </w:r>
    </w:p>
    <w:p w14:paraId="1F98D852" w14:textId="77777777" w:rsidR="003754FE" w:rsidRDefault="003754FE" w:rsidP="003754FE">
      <w:pPr>
        <w:pStyle w:val="TextoNormal"/>
      </w:pPr>
    </w:p>
    <w:p w14:paraId="6B5A16B8" w14:textId="77777777" w:rsidR="003754FE" w:rsidRDefault="003754FE" w:rsidP="003754FE">
      <w:pPr>
        <w:pStyle w:val="TextoNormal"/>
      </w:pPr>
      <w:r>
        <w:t>En efecto, la norma penal aplicada persigue un fin legítimo, no es indeterminada y está prevista en la ley de forma accesible y previsible. Ninguna duda razonada cabe sobre la relevancia del bien jurídico protegido y la legitimidad de la finalidad del tipo penal, pues se dirige a proteger los derechos de autor o derechos derivados de la propiedad intelectual, que son los reconocidos en la legislación específica (en la actualidad, en el texto refundido de la Ley de propiedad intelectual, aprobado por Real Decreto Legislativo 1/1996, de 12 de abril).</w:t>
      </w:r>
    </w:p>
    <w:p w14:paraId="33275BA9" w14:textId="77777777" w:rsidR="003754FE" w:rsidRDefault="003754FE" w:rsidP="003754FE">
      <w:pPr>
        <w:pStyle w:val="TextoNormal"/>
      </w:pPr>
    </w:p>
    <w:p w14:paraId="3E88C0A9" w14:textId="77777777" w:rsidR="003754FE" w:rsidRDefault="003754FE" w:rsidP="003754FE">
      <w:pPr>
        <w:pStyle w:val="TextoNormal"/>
      </w:pPr>
      <w:r>
        <w:t xml:space="preserve">Cuestión distinta es determinar si los hechos enjuiciados en el proceso penal </w:t>
      </w:r>
      <w:r w:rsidRPr="003754FE">
        <w:rPr>
          <w:i/>
        </w:rPr>
        <w:t>a quo</w:t>
      </w:r>
      <w:r>
        <w:t xml:space="preserve"> son subsumibles en el delito contra la propiedad intelectual previsto y penado en el art. 270 CP, en la redacción aplicable al momento en que esos hechos tuvieron lugar, tarea aplicativa que corresponde en exclusiva a los jueces y tribunales del orden penal (art. 117.3 CE), siendo ajena al contenido de la jurisdicción constitucional “la interpretación última del contenido de los tipos sancionadores y el control de la corrección del proceso de subsunción de los hechos probados en los preceptos aplicados” (STC 137/1997, de 21 de julio, FJ 7).</w:t>
      </w:r>
    </w:p>
    <w:p w14:paraId="7381544B" w14:textId="77777777" w:rsidR="003754FE" w:rsidRDefault="003754FE" w:rsidP="003754FE">
      <w:pPr>
        <w:pStyle w:val="TextoNormal"/>
      </w:pPr>
    </w:p>
    <w:p w14:paraId="737CF766" w14:textId="07A5D4DA" w:rsidR="003754FE" w:rsidRDefault="003754FE" w:rsidP="003754FE">
      <w:pPr>
        <w:pStyle w:val="TextoNormal"/>
      </w:pPr>
      <w:r>
        <w:t xml:space="preserve">Baste en cualquier caso recordar que la jurisdicción penal ha entendido en el asunto que nos ocupa que las conductas enjuiciadas no tenían encaje en el tipo penal previsto en el en </w:t>
      </w:r>
      <w:r>
        <w:lastRenderedPageBreak/>
        <w:t xml:space="preserve">el art. 270.1 CP, en su redacción anterior a la reforma de este precepto por la Ley Orgánica 1/2015, de 30 de marzo, aplicable al caso. Y no será ocioso advertir que la reforma introducida por esta ley en el art. 270 CP tipificó expresamente la actividad de las llamadas webs de enlaces que, sin alojar directamente contenidos audiovisuales protegidos por derechos de autor, proporcionan enlaces a servidores externos en los que están alojados esos contenidos y desde los que pueden ser disfrutados mediante el visionado en </w:t>
      </w:r>
      <w:r w:rsidRPr="003754FE">
        <w:rPr>
          <w:i/>
        </w:rPr>
        <w:t>streaming</w:t>
      </w:r>
      <w:r>
        <w:t xml:space="preserve"> o por descarga.</w:t>
      </w:r>
    </w:p>
    <w:p w14:paraId="50365EB3" w14:textId="77777777" w:rsidR="003754FE" w:rsidRDefault="003754FE" w:rsidP="003754FE">
      <w:pPr>
        <w:pStyle w:val="TextoNormal"/>
      </w:pPr>
    </w:p>
    <w:p w14:paraId="10C99485" w14:textId="77777777" w:rsidR="003754FE" w:rsidRDefault="003754FE" w:rsidP="003754FE">
      <w:pPr>
        <w:pStyle w:val="TextoNormal"/>
      </w:pPr>
      <w:r w:rsidRPr="003754FE">
        <w:rPr>
          <w:rStyle w:val="NumeroAFNegritaCaracter"/>
        </w:rPr>
        <w:t>3</w:t>
      </w:r>
      <w:r>
        <w:t xml:space="preserve">. </w:t>
      </w:r>
      <w:r w:rsidRPr="003754FE">
        <w:rPr>
          <w:i/>
        </w:rPr>
        <w:t>La asimétrica posición de garantía de las partes en el proceso penal y su proyección en el juicio de apelación</w:t>
      </w:r>
    </w:p>
    <w:p w14:paraId="3C8016E2" w14:textId="77777777" w:rsidR="003754FE" w:rsidRDefault="003754FE" w:rsidP="003754FE">
      <w:pPr>
        <w:pStyle w:val="TextoNormal"/>
      </w:pPr>
    </w:p>
    <w:p w14:paraId="3CFFD6E9" w14:textId="77777777" w:rsidR="003754FE" w:rsidRDefault="003754FE" w:rsidP="003754FE">
      <w:pPr>
        <w:pStyle w:val="TextoNormal"/>
      </w:pPr>
      <w:r>
        <w:t>La entidad demandante, que ha ejercido la acusación particular en el proceso penal del que trae causa el presente recurso de amparo, reprocha a la sentencia impugnada, que confirmó en apelación el pronunciamiento absolutorio dictado por el Juzgado de lo Penal núm. 4 de Murcia, la vulneración del derecho a la tutela judicial efectiva (art. 24.1 CE), en los términos que han quedado expuestos (motivos primero y tercero de la demanda de amparo).</w:t>
      </w:r>
    </w:p>
    <w:p w14:paraId="02D61C11" w14:textId="77777777" w:rsidR="003754FE" w:rsidRDefault="003754FE" w:rsidP="003754FE">
      <w:pPr>
        <w:pStyle w:val="TextoNormal"/>
      </w:pPr>
    </w:p>
    <w:p w14:paraId="34811A4C" w14:textId="77777777" w:rsidR="003754FE" w:rsidRDefault="003754FE" w:rsidP="003754FE">
      <w:pPr>
        <w:pStyle w:val="TextoNormal"/>
      </w:pPr>
      <w:r>
        <w:t>Así las cosas, es pertinente, antes de entrar en el examen de las concretas quejas que formula la demandante, traer a colación la doctrina constitucional acerca de la asimétrica posición de garantía de las partes en el proceso penal y su proyección en el juicio de apelación, recordada en la reciente STC 72/2024, de 7 de mayo, FJ 4.</w:t>
      </w:r>
    </w:p>
    <w:p w14:paraId="7736F23D" w14:textId="77777777" w:rsidR="003754FE" w:rsidRDefault="003754FE" w:rsidP="003754FE">
      <w:pPr>
        <w:pStyle w:val="TextoNormal"/>
      </w:pPr>
    </w:p>
    <w:p w14:paraId="297ED33A" w14:textId="77777777" w:rsidR="003754FE" w:rsidRDefault="003754FE" w:rsidP="003754FE">
      <w:pPr>
        <w:pStyle w:val="TextoNormal"/>
      </w:pPr>
      <w:r>
        <w:t xml:space="preserve">En efecto, en una constante doctrina este tribunal ha declarado que, dada la trascendencia propia de la reacción penal y los distintos intereses que las partes defienden en el proceso penal, las normas procesales y la propia Constitución definen una posición de garantía asimétrica para las personas acusadas y las partes acusadoras. De esta suerte, si bien el debate procesal debe desarrollarse en condiciones de igualdad procesal y contradicción, de modo que todos los intervinientes tengan plena capacidad de alegación y prueba (SSTC 138/1999, de 22 de julio, FJ 4, y 178/2001, de 17 de septiembre, FJ 3, por todas), ello no comporta que acusadores y acusados sean iguales en garantías, pues ni son iguales los intereses que arriesgan en el proceso penal ni el mismo es prioritariamente un mecanismo de solución de un conflicto entre ambos, sino un instrumento para la administración del </w:t>
      </w:r>
      <w:r w:rsidRPr="003754FE">
        <w:rPr>
          <w:i/>
        </w:rPr>
        <w:t>ius puniendi</w:t>
      </w:r>
      <w:r>
        <w:t xml:space="preserve"> del Estado, en el que “el ejercicio de la potestad punitiva constituye el objeto mismo del proceso” (SSTC 41/1997, de 10 de marzo, FJ 5, y 285/2005, de 7 de noviembre, FJ 4).</w:t>
      </w:r>
    </w:p>
    <w:p w14:paraId="46F67388" w14:textId="77777777" w:rsidR="003754FE" w:rsidRDefault="003754FE" w:rsidP="003754FE">
      <w:pPr>
        <w:pStyle w:val="TextoNormal"/>
      </w:pPr>
    </w:p>
    <w:p w14:paraId="0D1DAEC1" w14:textId="77777777" w:rsidR="003754FE" w:rsidRDefault="003754FE" w:rsidP="003754FE">
      <w:pPr>
        <w:pStyle w:val="TextoNormal"/>
      </w:pPr>
      <w:r>
        <w:t>Así, para el acusado en un proceso penal, la presunción de inocencia, como regla de juicio, es la clave de bóveda de las garantías que definen su posición y le protegen frente a un castigo arbitrario (SSTC 41/1997 y 81/1998, de 2 de abril, FJ 3). Unas garantías que, junto al derecho mismo a la presunción de inocencia, incluyen los derechos a ser informado de la acusación, a no declarar contra uno mismo, a no confesarse culpable, a la revisión de la condena por un tribunal superior, a no ser juzgado ni condenado dos veces por los mismos hechos (</w:t>
      </w:r>
      <w:r w:rsidRPr="003754FE">
        <w:rPr>
          <w:i/>
        </w:rPr>
        <w:t>ne bis in idem</w:t>
      </w:r>
      <w:r>
        <w:t>) y a la legalidad penal.</w:t>
      </w:r>
    </w:p>
    <w:p w14:paraId="31435523" w14:textId="77777777" w:rsidR="003754FE" w:rsidRDefault="003754FE" w:rsidP="003754FE">
      <w:pPr>
        <w:pStyle w:val="TextoNormal"/>
      </w:pPr>
    </w:p>
    <w:p w14:paraId="6B121567" w14:textId="77777777" w:rsidR="003754FE" w:rsidRDefault="003754FE" w:rsidP="003754FE">
      <w:pPr>
        <w:pStyle w:val="TextoNormal"/>
      </w:pPr>
      <w:r>
        <w:t xml:space="preserve">Distinta es la posición del acusador. Como también viene declarando una reiterada doctrina constitucional que se remonta a la STC 108/1983, de 29 de noviembre, FJ 2, el art. 24.1 CE, en cuanto garantiza el derecho a la tutela judicial efectiva sin indefensión, comprende en favor de los acusadores el derecho a la jurisdicción penal, caracterizado como un </w:t>
      </w:r>
      <w:r w:rsidRPr="003754FE">
        <w:rPr>
          <w:i/>
        </w:rPr>
        <w:t>ius ut procedatur</w:t>
      </w:r>
      <w:r>
        <w:t xml:space="preserve">. Es decir, la parte acusadora ostenta el derecho a la acción penal, esto es, a la apertura y plena sustanciación del proceso penal en los casos y conforme a las </w:t>
      </w:r>
      <w:r>
        <w:lastRenderedPageBreak/>
        <w:t>previsiones de la ley y de acuerdo con las reglas del proceso justo, y a obtener una respuesta judicial fundada en Derecho sobre sus pretensiones (SSTC 120/2000, de 10 de mayo, FJ 4, y 12/2006, de 16 de enero, FJ 2, por todas). Lo que no ostenta el acusador es un pretendido derecho a obtener la condena del acusado (entre otras muchas, SSTC 74/1997, de 21 de abril, FJ 5; 12/2006, de 16 de enero, FJ 2, y 26/2018, de 5 de marzo, FJ 3). De acuerdo con ello, la lesión del derecho a la tutela judicial efectiva sin indefensión del acusador puede conllevar, como resultado, la anulación de una resolución judicial penal materialmente absolutoria, ya sea el auto de sobreseimiento o la sentencia, con orden de retroacción de actuaciones, en el caso de que se haya producido “una quiebra de una regla esencial del proceso justo en perjuicio de la acusación, ya que el desarrollo de las actuaciones procesales sin las garantías consustanciales al proceso justo no permite hablar de proceso en sentido propio, ni puede permitir que la sentencia absolutoria adquiera el carácter de inatacable” (STC 4/2004, de 14 de enero, FJ 4).</w:t>
      </w:r>
    </w:p>
    <w:p w14:paraId="3E1A49F6" w14:textId="77777777" w:rsidR="003754FE" w:rsidRDefault="003754FE" w:rsidP="003754FE">
      <w:pPr>
        <w:pStyle w:val="TextoNormal"/>
      </w:pPr>
    </w:p>
    <w:p w14:paraId="3BAB89E7" w14:textId="77777777" w:rsidR="003754FE" w:rsidRDefault="003754FE" w:rsidP="003754FE">
      <w:pPr>
        <w:pStyle w:val="TextoNormal"/>
      </w:pPr>
      <w:r>
        <w:t>En efecto, mientras que el acusado que ha resultado condenado en un proceso penal tiene reconocido el derecho fundamental a la doble instancia penal o doble grado de jurisdicción, esto es, a que la declaración de culpabilidad y la pena que le ha sido impuesta sean revisadas de manera efectiva por un tribunal superior (entre otras muchas, SSTC 42/1982, de 5 de julio, FJ 3; 76/1982, de 14 de diciembre, FJ 5; 70/2002, de 3 de abril, FJ 7; 105/2003, de 2 de junio, FJ 2, y 116/2006, de 24 de abril, FJ 5), por el contrario, el Ministerio Fiscal, en caso de que hubiere ejercido la acción pública, y la acusación particular (o popular, en su caso), no son titulares del derecho al doble grado de jurisdicción, pero sí lo son del derecho a los recursos establecidos por la ley, por lo que pueden instar la revisión de los fallos absolutorios en los términos establecidos por la legislación procesal.</w:t>
      </w:r>
    </w:p>
    <w:p w14:paraId="39B5295E" w14:textId="77777777" w:rsidR="003754FE" w:rsidRDefault="003754FE" w:rsidP="003754FE">
      <w:pPr>
        <w:pStyle w:val="TextoNormal"/>
      </w:pPr>
    </w:p>
    <w:p w14:paraId="464A95B9" w14:textId="77777777" w:rsidR="003754FE" w:rsidRDefault="003754FE" w:rsidP="003754FE">
      <w:pPr>
        <w:pStyle w:val="TextoNormal"/>
      </w:pPr>
      <w:r>
        <w:t>De esta suerte, conforme a la jurisprudencia de este tribunal, resulta constitucionalmente admisible la anulación de una sentencia penal absolutoria en aquellos casos en los que se constate la quiebra de una regla esencial del proceso en perjuicio de la acusación ya que, en ese supuesto, la ausencia de garantías no permite hablar de “proceso” en sentido propio, ni puede permitir tampoco que la sentencia absolutoria adquiera el carácter de inatacable, en la medida en que ha sido dictada en un proceso penal sustanciado con quebranto de las más elementales garantías constitucionales del proceso justo (entre otras muchas, SSTC 4/2004, FJ 4; 23/2008, de 11 de febrero, FJ 3; 9/2024, de 17 de enero, FJ 3, y 72/2024, FJ 4).</w:t>
      </w:r>
    </w:p>
    <w:p w14:paraId="679E9F84" w14:textId="77777777" w:rsidR="003754FE" w:rsidRDefault="003754FE" w:rsidP="003754FE">
      <w:pPr>
        <w:pStyle w:val="TextoNormal"/>
      </w:pPr>
    </w:p>
    <w:p w14:paraId="1FC7425C" w14:textId="77777777" w:rsidR="003754FE" w:rsidRDefault="003754FE" w:rsidP="003754FE">
      <w:pPr>
        <w:pStyle w:val="TextoNormal"/>
      </w:pPr>
      <w:r>
        <w:t xml:space="preserve">Asimismo, resulta constitucionalmente admisible la revisión del juicio fáctico de una sentencia penal absolutoria con fundamento en la existencia de discrepancias sobre el juicio fáctico o la apreciación de duda razonable (esto es, valoración probatoria) establecido en esa sentencia, en los términos establecidos en la Ley de enjuiciamiento criminal y con el alcance y límites que ha precisado la citada STC 72/2024, de 7 de mayo. En síntesis, las posibilidades efectivas de revocación en apelación de una sentencia absolutoria por esta vía de recurso “se limitan constitucionalmente a un control de razonabilidad cuyo objeto puede extenderse: (i) a la motivación o justificación de la conclusión probatoria, cuando resulte ausente, insuficiente o apoyada en un error de hecho patente que derive de las actuaciones; (ii) a la utilización de reglas de inferencia fáctica contrarias a la lógica, el conocimiento científico o las máximas de experiencia; (iii) a la omisión de razonamiento sobre pruebas practicadas que sean relevantes para el fallo; o finalmente (iv) a la previa decisión de excluirlas del acervo probatorio por considerarlas inválidas (contrarias a los principios de igualdad de armas y contradicción) o ilegítimas (por haberse declarado que fueron obtenidas </w:t>
      </w:r>
      <w:r>
        <w:lastRenderedPageBreak/>
        <w:t>como consecuencia de la vulneración directa o indirecta de derechos fundamentales sustantivos). Se trata, en última instancia, de criterios de control que son garantía frente a la arbitrariedad de la decisión judicial absolutoria lesiva de una garantía constitucional esencial de las acusaciones reconocida en el art. 24.1 CE, y que, sintetizando jurisprudencia anterior, han sido oportunamente recogidos en el art. 790.2 LECrim. tras su reforma por Ley 41/2015” (STC 72/2024, FJ 4).</w:t>
      </w:r>
    </w:p>
    <w:p w14:paraId="3345BA7B" w14:textId="77777777" w:rsidR="003754FE" w:rsidRDefault="003754FE" w:rsidP="003754FE">
      <w:pPr>
        <w:pStyle w:val="TextoNormal"/>
      </w:pPr>
    </w:p>
    <w:p w14:paraId="1E91052A" w14:textId="09D79FAC" w:rsidR="003754FE" w:rsidRDefault="003754FE" w:rsidP="003754FE">
      <w:pPr>
        <w:pStyle w:val="TextoNormal"/>
      </w:pPr>
      <w:r>
        <w:t>El fundamento normativo de la posibilidad de revisar en apelación el juicio fáctico de la sentencia penal absolutoria y anular esta, con devolución de actuaciones en ese caso al órgano judicial que dictó la sentencia apelada, se halla actualmente en los arts. 790.2 y 792.2 LECrim, tras la modificación introducida por la Ley 41/2015, de 5 de octubre, aplicable a los procedimientos penales incoados con posterioridad a su entrada en vigor, que se produjo el 6 de diciembre de 2015 (disposición transitoria única.1 y disposición final cuarta de la Ley 41/2015), como es el caso del procedimiento en que ha sido dictada la sentencia impugnada en el presente recurso de amparo. Sin perjuicio de lo cual cabe notar que la posibilidad de impugnación y eventual revisión en apelación del juicio fáctico de las sentencias penales absolutorias con los efectos reparatorios que le sean inherentes es “una consecuencia que deriva del derecho a la tutela judicial efectiva de la parte acusadora, y no de la ley citada, que es solo una determinación normativa de aquel derecho” (STC 72/2024, FJ 3).</w:t>
      </w:r>
    </w:p>
    <w:p w14:paraId="38100F37" w14:textId="77777777" w:rsidR="003754FE" w:rsidRDefault="003754FE" w:rsidP="003754FE">
      <w:pPr>
        <w:pStyle w:val="TextoNormal"/>
      </w:pPr>
    </w:p>
    <w:p w14:paraId="40AD4758" w14:textId="77777777" w:rsidR="003754FE" w:rsidRDefault="003754FE" w:rsidP="003754FE">
      <w:pPr>
        <w:pStyle w:val="TextoNormal"/>
      </w:pPr>
      <w:r w:rsidRPr="003754FE">
        <w:rPr>
          <w:rStyle w:val="NumeroAFNegritaCaracter"/>
        </w:rPr>
        <w:t>4</w:t>
      </w:r>
      <w:r>
        <w:t xml:space="preserve">. </w:t>
      </w:r>
      <w:r w:rsidRPr="003754FE">
        <w:rPr>
          <w:i/>
        </w:rPr>
        <w:t>Enjuiciamiento de la queja referida a la quiebra del derecho a la tutela judicial efectiva en cuanto exige la motivación de las sentencias penales</w:t>
      </w:r>
    </w:p>
    <w:p w14:paraId="7CF0B794" w14:textId="77777777" w:rsidR="003754FE" w:rsidRDefault="003754FE" w:rsidP="003754FE">
      <w:pPr>
        <w:pStyle w:val="TextoNormal"/>
      </w:pPr>
    </w:p>
    <w:p w14:paraId="7091614D" w14:textId="77777777" w:rsidR="003754FE" w:rsidRDefault="003754FE" w:rsidP="003754FE">
      <w:pPr>
        <w:pStyle w:val="TextoNormal"/>
      </w:pPr>
      <w:r>
        <w:t xml:space="preserve">Conforme quedó expuesto, la demandante alega, como primer motivo de amparo la vulneración del derecho a la tutela judicial efectiva (art. 24.1 CE), en relación con el deber de motivación de las sentencias (art. 120.3 CE), por la “improcedente cointegración del </w:t>
      </w:r>
      <w:r w:rsidRPr="003754FE">
        <w:rPr>
          <w:i/>
        </w:rPr>
        <w:t>factum</w:t>
      </w:r>
      <w:r>
        <w:t>”, pues entiende que la sentencia dictada en apelación habría procedido indebidamente a completar el relato de hechos probados de la sentencia absolutoria de instancia, que no contiene como hecho probado la falta de conciencia de la ilicitud de la actividad enjuiciada, con el fundamento jurídico octavo de esta misma sentencia.</w:t>
      </w:r>
    </w:p>
    <w:p w14:paraId="298465D4" w14:textId="77777777" w:rsidR="003754FE" w:rsidRDefault="003754FE" w:rsidP="003754FE">
      <w:pPr>
        <w:pStyle w:val="TextoNormal"/>
      </w:pPr>
    </w:p>
    <w:p w14:paraId="1218D18E" w14:textId="77777777" w:rsidR="003754FE" w:rsidRDefault="003754FE" w:rsidP="003754FE">
      <w:pPr>
        <w:pStyle w:val="TextoNormal"/>
      </w:pPr>
      <w:r>
        <w:t>Para dar cumplida respuesta a esta queja de la demandante, procede recordar que, conforme tiene reiteradamente declarado este tribunal, la motivación de las sentencias penales es siempre exigible en virtud del art. 120.3 CE, esto es, con independencia de su signo, condenatorio o absolutorio. No obstante, también venimos advirtiendo que en las sentencias condenatorias el canon de motivación es más riguroso que en las absolutorias pues, cuando están en juego otros derechos fundamentales (señaladamente los derechos a la libertad y a la presunción de inocencia, como sucede en el proceso penal) la exigencia de motivación cobra particular intensidad y por ello hemos reforzado el parámetro de control utilizable para enjuiciar su suficiencia (entre otras muchas, SSTC 62/1996, de 15 de abril, FJ 2; 34/1997, de 25 de febrero, FJ 2; 116/1998, de 2 de junio, FJ 4; 2/1999, de 25 de enero, FJ 2; 109/2000, de 5 de mayo, FJ 2, y 340/2006, de 11 de diciembre, FJ 4).</w:t>
      </w:r>
    </w:p>
    <w:p w14:paraId="7755EC49" w14:textId="77777777" w:rsidR="003754FE" w:rsidRDefault="003754FE" w:rsidP="003754FE">
      <w:pPr>
        <w:pStyle w:val="TextoNormal"/>
      </w:pPr>
    </w:p>
    <w:p w14:paraId="7CB626D9" w14:textId="77777777" w:rsidR="003754FE" w:rsidRDefault="003754FE" w:rsidP="003754FE">
      <w:pPr>
        <w:pStyle w:val="TextoNormal"/>
      </w:pPr>
      <w:r>
        <w:t xml:space="preserve">Distinto es el caso de las sentencias penales absolutorias. Al no estar en juego los mismos derechos fundamentales que en las condenatorias, la exigencia de motivación de las sentencias penales absolutorias se mueve en el plano general de cualesquiera otras (art. 120.3 CE). Lo expuesto supone que una sentencia absolutoria no puede ser expresión del mero decisionismo judicial, sino que ha de dar cuenta del porqué del fallo absolutorio, pues la ausencia </w:t>
      </w:r>
      <w:r>
        <w:lastRenderedPageBreak/>
        <w:t>de motivación sería contraria al principio general de interdicción de la arbitrariedad del ejercicio del poder público (art. 9.3 CE). Como recuerda la citada STC 72/2024, FJ 4, la “exigencia de motivación fáctica es igualmente aplicable ya se aprecie inexistencia o insuficiencia de la prueba de cargo, o se concluya en la existencia de duda razonable acerca de la acreditación del presupuesto fáctico de la pretensión de condena”. Así lo declaramos en la STC 112/2015, de 8 de junio, FJ 5, al señalar que la motivación del juicio fáctico de una sentencia absolutoria tiene una exigencia de menor contenido en cuanto que su razonamiento no se dirige a destruir la presunción inicial de inocencia, sino a exteriorizar que la prueba practicada no la desvirtúa en absoluto o con suficiente intensidad. Con cita de las SSTC 158/2002, de 16 de septiembre, FJ 6; 30/2006, de 30 de enero, FJ 5; 82/2009, de 23 de marzo, FJ 6, y 107/2011, de 20 de junio, FJ 2, añadimos entonces que ‘la motivación de la resolución absolutoria habrá de expresar aquellos elementos y razones de juicio que permitan conocer cuáles han sido los criterios que la fundamentan, sin expresar un juicio fáctico o de subsunción que constituya una aplicación arbitraria de la legalidad, manifiestamente irrazonada o irrazonable, o incursa en un error patente, por la que la aplicación de la legalidad haya sido tan solo una mera apariencia’”.</w:t>
      </w:r>
    </w:p>
    <w:p w14:paraId="78061904" w14:textId="77777777" w:rsidR="003754FE" w:rsidRDefault="003754FE" w:rsidP="003754FE">
      <w:pPr>
        <w:pStyle w:val="TextoNormal"/>
      </w:pPr>
    </w:p>
    <w:p w14:paraId="72922E54" w14:textId="77777777" w:rsidR="003754FE" w:rsidRDefault="003754FE" w:rsidP="003754FE">
      <w:pPr>
        <w:pStyle w:val="TextoNormal"/>
      </w:pPr>
      <w:r>
        <w:t>En el presente caso la entidad demandante no dirige su censura a la sentencia absolutoria dictada por el Juzgado de lo Penal núm. 4 de Murcia, sino a la sentencia que desestima su recurso de apelación contra aquella, porque entiende que ha reconstruido improcedentemente el relato de hechos probados a partir de lo razonado en el fundamento jurídico octavo, para concluir que los acusados no tenían conciencia de la ilicitud de su actividad (proporcionar desde sus páginas web enlaces a los servidores en los que estaban alojados contenidos audiovisuales protegidos por derechos de autor).</w:t>
      </w:r>
    </w:p>
    <w:p w14:paraId="6E9A0CDF" w14:textId="77777777" w:rsidR="003754FE" w:rsidRDefault="003754FE" w:rsidP="003754FE">
      <w:pPr>
        <w:pStyle w:val="TextoNormal"/>
      </w:pPr>
    </w:p>
    <w:p w14:paraId="2CAFB8CF" w14:textId="77777777" w:rsidR="003754FE" w:rsidRDefault="003754FE" w:rsidP="003754FE">
      <w:pPr>
        <w:pStyle w:val="TextoNormal"/>
      </w:pPr>
      <w:r>
        <w:t>En efecto, la sentencia de la Audiencia Provincial de Murcia aprecia que los hechos enjuiciados integraban el tipo objetivo del delito contra la propiedad intelectual del art. 270.1 CP (en su redacción anterior a la reforma operada por la Ley Orgánica 1/2015, de 30 de marzo), por cuanto estima que se realizaron actos de comunicación con ánimo de lucro, pero mantiene la absolución de los acusados por tal delito al entender que, además de no constar acreditado en el relato de hechos probados de la sentencia absolutoria el elemento subjetivo del conocimiento de la ilicitud de la actividad enjuiciada, en el fundamento jurídico octavo de dicha sentencia se razona que resulta acreditada la concurrencia de ese error de prohibición.</w:t>
      </w:r>
    </w:p>
    <w:p w14:paraId="13F9628D" w14:textId="77777777" w:rsidR="003754FE" w:rsidRDefault="003754FE" w:rsidP="003754FE">
      <w:pPr>
        <w:pStyle w:val="TextoNormal"/>
      </w:pPr>
    </w:p>
    <w:p w14:paraId="2E6BE42D" w14:textId="77777777" w:rsidR="003754FE" w:rsidRDefault="003754FE" w:rsidP="003754FE">
      <w:pPr>
        <w:pStyle w:val="TextoNormal"/>
      </w:pPr>
      <w:r>
        <w:t xml:space="preserve">Este razonamiento de la sentencia de apelación impugnada en amparo, que la demandante califica como “improcedente cointegración del </w:t>
      </w:r>
      <w:r w:rsidRPr="003754FE">
        <w:rPr>
          <w:i/>
        </w:rPr>
        <w:t>factum</w:t>
      </w:r>
      <w:r>
        <w:t>”, no constituye un defecto de motivación lesivo del derecho a la tutela judicial efectiva (art. 24.1 CE).</w:t>
      </w:r>
    </w:p>
    <w:p w14:paraId="10089C66" w14:textId="77777777" w:rsidR="003754FE" w:rsidRDefault="003754FE" w:rsidP="003754FE">
      <w:pPr>
        <w:pStyle w:val="TextoNormal"/>
      </w:pPr>
    </w:p>
    <w:p w14:paraId="43B2B987" w14:textId="77777777" w:rsidR="003754FE" w:rsidRDefault="003754FE" w:rsidP="003754FE">
      <w:pPr>
        <w:pStyle w:val="TextoNormal"/>
      </w:pPr>
      <w:r>
        <w:t xml:space="preserve">En el auto que desestima el incidente de nulidad promovido por la demandante contra esa sentencia se razona que la integración del relato de hechos declarados probados con lo expresado de modo inequívoco en un fundamento jurídico de la sentencia absolutoria es un proceder que encuentra sustento en la reiterada jurisprudencia de la Sala de lo Penal del Tribunal Supremo, conforme a la cual los hechos probados pueden ser integrados o complementados por constataciones de hechos formuladas de forma terminante en la fundamentación jurídica, cuando favorezcan al acusado, al tiempo que esa misma jurisprudencia descarta que el relato fáctico, en los elementos esenciales del delito que motiva la condena, en su caso, pueda configurarse mediante afirmaciones fácticas surgidas de procesos </w:t>
      </w:r>
      <w:r>
        <w:lastRenderedPageBreak/>
        <w:t>argumentativos contenidos en la fundamentación jurídica [STS 292/2020, de 10 de junio (ECLI:ES:TS:2020:1593), que cita a su vez las SSTS 21/2010, de 26 de enero (ECLI:ES:TS:2010:501); 520/2012, de 19 de junio (ECLI:ES:TS:2012:4737), y 862/2012, de 31 de octubre (ECLI:ES:TS:2012:7354)].</w:t>
      </w:r>
    </w:p>
    <w:p w14:paraId="7D80F263" w14:textId="77777777" w:rsidR="003754FE" w:rsidRDefault="003754FE" w:rsidP="003754FE">
      <w:pPr>
        <w:pStyle w:val="TextoNormal"/>
      </w:pPr>
    </w:p>
    <w:p w14:paraId="0F6DE6B5" w14:textId="77777777" w:rsidR="003754FE" w:rsidRDefault="003754FE" w:rsidP="003754FE">
      <w:pPr>
        <w:pStyle w:val="TextoNormal"/>
      </w:pPr>
      <w:r>
        <w:t>Sin perjuicio de lo anterior es lo cierto que, la entidad demandante de amparo ha recibido en la sentencia impugnada una respuesta congruente y fundada en Derecho a las pretensiones deducidas en su recurso de apelación contra la sentencia absolutoria dictada por el Juzgado de lo Penal núm. 4 de Murcia, lo que excluye la vulneración alegada.</w:t>
      </w:r>
    </w:p>
    <w:p w14:paraId="3F9FFBF2" w14:textId="77777777" w:rsidR="003754FE" w:rsidRDefault="003754FE" w:rsidP="003754FE">
      <w:pPr>
        <w:pStyle w:val="TextoNormal"/>
      </w:pPr>
    </w:p>
    <w:p w14:paraId="28DCBF5C" w14:textId="77777777" w:rsidR="003754FE" w:rsidRDefault="003754FE" w:rsidP="003754FE">
      <w:pPr>
        <w:pStyle w:val="TextoNormal"/>
      </w:pPr>
      <w:r>
        <w:t xml:space="preserve">El art. 120.3 CE establece que la sentencias serán siempre motivadas y la relación sistemática de este precepto con el art. 24.1 CE expresa el derecho del justiciable (y el interés legítimo de la comunidad jurídica en general) de conocer las razones de la decisión judicial que se adopta y, por tanto, el enlace de esa decisión con la ley y el sistema general de fuentes, en cuanto aplicación de ellas que es. De este modo, entrañaría violación del derecho a la tutela judicial efectiva establecido en el art. 24.1 CE una sentencia carente de motivación o cuya motivación no fuera reconocible como aplicación del sistema jurídico. Sin embargo, la exigencia de motivación de la sentencia, en su dimensión constitucional, no puede llevarse más allá, habiendo señalado reiteradamente este tribunal que no le corresponde en el ejercicio de su jurisdicción de amparo enjuiciar o censurar la parquedad de una fundamentación o la forma de estructurar una sentencia y de establecer la conexión entre las consideraciones de esta y las alegaciones de las partes. Para satisfacer la exigencia constitucional de motivación es suficiente que las sentencias vengan apoyadas en razones fundadas en Derecho que permitan conocer cuáles han sido los criterios jurídicos esenciales que sustentan la decisión o, lo que es lo mismo, su </w:t>
      </w:r>
      <w:r w:rsidRPr="003754FE">
        <w:rPr>
          <w:i/>
        </w:rPr>
        <w:t>ratio decidendi</w:t>
      </w:r>
      <w:r>
        <w:t xml:space="preserve"> (entre otras muchas, SSTC 13/1987, de 5 de febrero, FJ 3; 174/1987, de 3 de noviembre, FJ 2; 196/1988, de 24 de octubre, FJ 2; 68/2002, de 21 de marzo, FJ 4; 128/2002, de 3 de junio, FJ 4; 119/2003, de 16 de junio, FJ 3, y 75/2005, de 4 de abril, FJ 5).</w:t>
      </w:r>
    </w:p>
    <w:p w14:paraId="725A42EA" w14:textId="77777777" w:rsidR="003754FE" w:rsidRDefault="003754FE" w:rsidP="003754FE">
      <w:pPr>
        <w:pStyle w:val="TextoNormal"/>
      </w:pPr>
    </w:p>
    <w:p w14:paraId="2278BCC7" w14:textId="35C3886C" w:rsidR="003754FE" w:rsidRDefault="003754FE" w:rsidP="003754FE">
      <w:pPr>
        <w:pStyle w:val="TextoNormal"/>
      </w:pPr>
      <w:r>
        <w:t>Aplicando el referido canon de control constitucional al presente caso no cabe sino concluir que la Audiencia Provincial de Murcia ha expresado en su sentencia las razones concretas que justifican la decisión de desestimar los argumentos esgrimidos por la demandante en su recurso de apelación y confirmar el pronunciamiento absolutorio dictado por el Juzgado de lo Penal núm. 4 de Murcia. La sentencia impugnada en amparo satisface las exigencias constitucionales de motivación de las resoluciones judiciales en el ámbito del derecho fundamental garantizado por el art. 24.1 CE, en relación con el art. 120.3 CE, por cuanto permite conocer a la recurrente las razones sobre las que se asienta el proceso lógico que condujo al tribunal de apelación a concluir que, si bien los hechos enjuiciados integran el tipo objetivo del delito contra la propiedad intelectual previsto y penado en el art. 270.1 CP (en su redacción anterior a la reforma operada por la Ley Orgánica 1/2015, de 30 de marzo), en cuanto a que se realizaron actos de comunicación con ánimo de lucro, pese a todo debe mantenerse la absolución de los acusados, al no constar acreditado el elemento subjetivo del conocimiento de la ilicitud de la actividad, como resulta de manera inequívoca del fundamento jurídico octavo de la sentencia apelada. Se ha dado así en la sentencia de apelación satisfacción al derecho fundamental de la recurrente a la tutela judicial efectiva, al proporcionar a esta las razones fundadas en Derecho que sustentan la decisión tomada.</w:t>
      </w:r>
    </w:p>
    <w:p w14:paraId="4F44278A" w14:textId="77777777" w:rsidR="003754FE" w:rsidRDefault="003754FE" w:rsidP="003754FE">
      <w:pPr>
        <w:pStyle w:val="TextoNormal"/>
      </w:pPr>
    </w:p>
    <w:p w14:paraId="1FF1FFFF" w14:textId="77777777" w:rsidR="003754FE" w:rsidRDefault="003754FE" w:rsidP="003754FE">
      <w:pPr>
        <w:pStyle w:val="TextoNormal"/>
      </w:pPr>
      <w:r w:rsidRPr="003754FE">
        <w:rPr>
          <w:rStyle w:val="NumeroAFNegritaCaracter"/>
        </w:rPr>
        <w:lastRenderedPageBreak/>
        <w:t>5</w:t>
      </w:r>
      <w:r>
        <w:t xml:space="preserve">. </w:t>
      </w:r>
      <w:r w:rsidRPr="003754FE">
        <w:rPr>
          <w:i/>
        </w:rPr>
        <w:t>Enjuiciamiento de la queja referida a la quiebra del derecho a la tutela judicial efectiva por no tener en cuenta el principio de primacía del Derecho de la Unión Europea</w:t>
      </w:r>
    </w:p>
    <w:p w14:paraId="0BEF136F" w14:textId="77777777" w:rsidR="003754FE" w:rsidRDefault="003754FE" w:rsidP="003754FE">
      <w:pPr>
        <w:pStyle w:val="TextoNormal"/>
      </w:pPr>
    </w:p>
    <w:p w14:paraId="3846BCCF" w14:textId="77777777" w:rsidR="003754FE" w:rsidRDefault="003754FE" w:rsidP="003754FE">
      <w:pPr>
        <w:pStyle w:val="TextoNormal"/>
      </w:pPr>
      <w:r>
        <w:t xml:space="preserve">Sostiene la demandante que la sentencia impugnada en amparo ha incurrido en arbitrariedad, y vulnerado por tanto su derecho a la tutela judicial efectiva (art. 24.1 CE), al desestimar su recurso de apelación desatendiendo el principio de primacía del Derecho de la Unión Europea y la doctrina del Tribunal de Justicia de la Unión Europea sobre la interpretación de la concurrencia del elemento del conocimiento efectivo de la ilicitud de la conducta en el prestador de servicios de la sociedad de la información por vías alternativas a una declaración positiva de autoridad competente. Se refiere en particular la demandante a los pronunciamientos contenidos en las STJUE de 12 de julio de 2011, asunto </w:t>
      </w:r>
      <w:r w:rsidRPr="003754FE">
        <w:rPr>
          <w:i/>
        </w:rPr>
        <w:t>L’Oréal c. Ebay</w:t>
      </w:r>
      <w:r>
        <w:t xml:space="preserve">, C-324/09, y de 8 de septiembre de 2016, asunto </w:t>
      </w:r>
      <w:r w:rsidRPr="003754FE">
        <w:rPr>
          <w:i/>
        </w:rPr>
        <w:t>GS Media</w:t>
      </w:r>
      <w:r>
        <w:t>, C-160/15, en relación con la interpretación del art. 14 de la Directiva 2000/31/CE, de 8 de junio (Directiva sobre el comercio electrónico).</w:t>
      </w:r>
    </w:p>
    <w:p w14:paraId="29D56BA7" w14:textId="77777777" w:rsidR="003754FE" w:rsidRDefault="003754FE" w:rsidP="003754FE">
      <w:pPr>
        <w:pStyle w:val="TextoNormal"/>
      </w:pPr>
    </w:p>
    <w:p w14:paraId="3AAE1C75" w14:textId="77777777" w:rsidR="003754FE" w:rsidRDefault="003754FE" w:rsidP="003754FE">
      <w:pPr>
        <w:pStyle w:val="TextoNormal"/>
      </w:pPr>
      <w:r>
        <w:t>Conforme a una reiterada jurisprudencia, corresponde al Tribunal Constitucional velar por el respeto del principio de primacía del Derecho de la Unión Europea cuando exista una interpretación auténtica efectuada por el propio Tribunal de Justicia de la Unión Europea, de manera que el desconocimiento y preterición de una norma de Derecho de la Unión, tal y como ha sido interpretada por aquel, puede suponer una selección irrazonable y arbitraria de una norma aplicable al proceso, lo cual puede dar lugar a una vulneración del derecho a la tutela judicial efectiva. Asimismo,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(entre otras muchas, SSTC 145/2012, de 2 de julio, FFJJ 5 y 6; 259/2015, de 2 de diciembre, FJ 5; 31/2019, de 28 de febrero, FJ 4; 23/2023, de 27 de marzo, FJ 2, y 38/2024, de 11 de marzo, FJ 2).</w:t>
      </w:r>
    </w:p>
    <w:p w14:paraId="7A4609AC" w14:textId="77777777" w:rsidR="003754FE" w:rsidRDefault="003754FE" w:rsidP="003754FE">
      <w:pPr>
        <w:pStyle w:val="TextoNormal"/>
      </w:pPr>
    </w:p>
    <w:p w14:paraId="3851A857" w14:textId="77777777" w:rsidR="003754FE" w:rsidRDefault="003754FE" w:rsidP="003754FE">
      <w:pPr>
        <w:pStyle w:val="TextoNormal"/>
      </w:pPr>
      <w:r>
        <w:t>No se advierte que en el presente caso se haya producido el pretendido desconocimiento y preterición de una norma de Derecho de la Unión Europea, interpretada por el Tribunal de Justicia de la Unión Europea, que alega la demandante de amparo.</w:t>
      </w:r>
    </w:p>
    <w:p w14:paraId="22AA399E" w14:textId="77777777" w:rsidR="003754FE" w:rsidRDefault="003754FE" w:rsidP="003754FE">
      <w:pPr>
        <w:pStyle w:val="TextoNormal"/>
      </w:pPr>
    </w:p>
    <w:p w14:paraId="0167FCA7" w14:textId="77777777" w:rsidR="003754FE" w:rsidRDefault="003754FE" w:rsidP="003754FE">
      <w:pPr>
        <w:pStyle w:val="TextoNormal"/>
      </w:pPr>
      <w:r>
        <w:t>La sentencia impugnada desestima expresamente el motivo del recurso de apelación de la entidad recurrente fundado en la infracción del art. 17 de la Ley 34/2002, de 11 de julio, de servicios de la sociedad de la información y del comercio electrónico. La recurrente sostenía en su recurso de apelación que dicho precepto, si bien parte de la regla general de que el conocimiento efectivo de la ilicitud de la conducta por parte de los prestadores de servicios de la sociedad de la información se adquiere mediante la declaración positiva de una autoridad competente, no excluye que tal conocimiento efectivo pueda alcanzarse por vías alternativas a esa declaración de ilicitud, que sería lo que habría ocurrido en el caso de los acusados, según la recurrente. Para apoyar su tesis invocaba la aludida jurisprudencia del Tribunal de Justicia de la Unión Europea en relación con la interpretación del art. 14 de la Directiva 2000/31/CE, de 8 de junio (Directiva sobre el comercio electrónico), traspuesta a nuestro ordenamiento interno por el citado art. 17 de la Ley 34/2002.</w:t>
      </w:r>
    </w:p>
    <w:p w14:paraId="72312358" w14:textId="77777777" w:rsidR="003754FE" w:rsidRDefault="003754FE" w:rsidP="003754FE">
      <w:pPr>
        <w:pStyle w:val="TextoNormal"/>
      </w:pPr>
    </w:p>
    <w:p w14:paraId="3DF23704" w14:textId="77777777" w:rsidR="003754FE" w:rsidRDefault="003754FE" w:rsidP="003754FE">
      <w:pPr>
        <w:pStyle w:val="TextoNormal"/>
      </w:pPr>
      <w:r>
        <w:t xml:space="preserve">Ahora bien, al desestimar ese motivo del recurso de apelación de la recurrente, la sentencia impugnada no pone en cuestión en ningún momento la interpretación sentada por la </w:t>
      </w:r>
      <w:r>
        <w:lastRenderedPageBreak/>
        <w:t>jurisprudencia del Tribunal de Justicia de la Unión Europea en relación con la interpretación del art. 14 de la Directiva 2000/31/CE, del que trae causa el art. 17 de la Ley 34/2002. Más sencillamente, lo que sucede es que, a partir de la valoración probatoria reflejada en el fundamento jurídico octavo de la sentencia absolutoria, entiende acreditado que no existe constancia de que los acusados tuvieran conocimiento de la ilicitud de la actividad desarrollada mediante las páginas web de enlace. Es decir, considera acreditada la ausencia de conocimiento por los acusados de la antijuridicidad de su conducta, elemento subjetivo del injusto previsto y penado en el art. 270.1 CP (en su redacción anterior a la reforma operada por la Ley Orgánica 1/2015, de 30 de marzo), lo que determina que debe confirmarse la absolución de los acusados.</w:t>
      </w:r>
    </w:p>
    <w:p w14:paraId="6DAC9B37" w14:textId="77777777" w:rsidR="003754FE" w:rsidRDefault="003754FE" w:rsidP="003754FE">
      <w:pPr>
        <w:pStyle w:val="TextoNormal"/>
      </w:pPr>
    </w:p>
    <w:p w14:paraId="14CF221E" w14:textId="4AB30927" w:rsidR="003754FE" w:rsidRDefault="003754FE" w:rsidP="003754FE">
      <w:pPr>
        <w:pStyle w:val="TextoNormal"/>
      </w:pPr>
      <w:r>
        <w:t>No existe, en suma, desconocimiento y preterición de ninguna norma de Derecho de la Unión Europea interpretada por el Tribunal de Justicia de la Unión Europea y, por tanto, no se ha producido en la sentencia impugnada en amparo una selección irrazonable y arbitraria de una norma aplicable al proceso. No hay, en consecuencia, lesión del derecho a la tutela judicial efectiva (art. 24.1 CE), que garantiza el derecho a obtener de los órganos judiciales una resolución motivada y fundada en Derecho sobre el fondo de las pretensiones oportunamente deducidas por las partes en el proceso, pero no un pretendido derecho al acierto judicial en la interpretación y aplicación de las normas, (SSTC 308/2006, de 23 de octubre, FJ 5; 3/2011, de 14 de febrero, FFJJ 3 y 5; 183/2011, de 21 de noviembre, FFJJ 5 y 7, y 13/2012, de 30 de enero, FJ 3, entre otras muchas).</w:t>
      </w:r>
    </w:p>
    <w:p w14:paraId="44FEBC6E" w14:textId="77777777" w:rsidR="003754FE" w:rsidRDefault="003754FE" w:rsidP="003754FE">
      <w:pPr>
        <w:pStyle w:val="TextoNormal"/>
      </w:pPr>
    </w:p>
    <w:p w14:paraId="7106A4E5" w14:textId="77777777" w:rsidR="003754FE" w:rsidRDefault="003754FE" w:rsidP="003754FE">
      <w:pPr>
        <w:pStyle w:val="TextoNormalCentrado"/>
        <w:keepNext/>
      </w:pPr>
      <w:r>
        <w:t>FALLO</w:t>
      </w:r>
    </w:p>
    <w:p w14:paraId="4FD1CC0F" w14:textId="3E8E37FC" w:rsidR="003754FE" w:rsidRDefault="003754FE" w:rsidP="003754FE">
      <w:pPr>
        <w:pStyle w:val="TextoNormalCentrado"/>
        <w:keepNext/>
      </w:pPr>
    </w:p>
    <w:p w14:paraId="55197509" w14:textId="7554035F" w:rsidR="003754FE" w:rsidRDefault="003754FE" w:rsidP="003754FE">
      <w:pPr>
        <w:pStyle w:val="TextoNormal"/>
      </w:pPr>
      <w:r>
        <w:t>En atención a todo lo expuesto, el Tribunal Constitucional, por la autoridad que le confiere la Constitución de la Nación española, ha decidido desestimar el recurso de amparo interpuesto por Entidad de Gestión de Derechos de los Productores Audiovisuales (EGEDA).</w:t>
      </w:r>
    </w:p>
    <w:p w14:paraId="5F61F967" w14:textId="77777777" w:rsidR="003754FE" w:rsidRDefault="003754FE" w:rsidP="003754FE">
      <w:pPr>
        <w:pStyle w:val="TextoNormal"/>
      </w:pPr>
    </w:p>
    <w:p w14:paraId="607FEB63" w14:textId="77777777" w:rsidR="003754FE" w:rsidRDefault="003754FE" w:rsidP="003754FE">
      <w:pPr>
        <w:pStyle w:val="TextoNormal"/>
      </w:pPr>
      <w:r>
        <w:t>Publíquese esta sentencia en el “Boletín Oficial del Estado”.</w:t>
      </w:r>
    </w:p>
    <w:p w14:paraId="1A4DE492" w14:textId="77777777" w:rsidR="003754FE" w:rsidRDefault="003754FE" w:rsidP="003754FE">
      <w:pPr>
        <w:pStyle w:val="TextoNormal"/>
      </w:pPr>
      <w:r>
        <w:t>Dada en Madrid, a cuatro de noviembre de dos mil veinticuatro.</w:t>
      </w:r>
    </w:p>
    <w:p w14:paraId="5F4F28AA" w14:textId="7AD7E569" w:rsidR="003754FE" w:rsidRDefault="003754FE">
      <w:pPr>
        <w:spacing w:after="160" w:line="278" w:lineRule="auto"/>
        <w:rPr>
          <w:rFonts w:ascii="Times New Roman" w:eastAsia="Times New Roman" w:hAnsi="Times New Roman" w:cs="Times New Roman"/>
          <w:sz w:val="24"/>
          <w:szCs w:val="24"/>
          <w:lang w:eastAsia="es-ES"/>
        </w:rPr>
      </w:pPr>
      <w:r>
        <w:br w:type="page"/>
      </w:r>
    </w:p>
    <w:p w14:paraId="3B1EF806" w14:textId="77777777" w:rsidR="003754FE" w:rsidRDefault="003754FE" w:rsidP="003754FE">
      <w:pPr>
        <w:pStyle w:val="TtuloResolucin"/>
      </w:pPr>
      <w:bookmarkStart w:id="43" w:name="SENTENCIA_2024_134"/>
      <w:r>
        <w:lastRenderedPageBreak/>
        <w:t>SENTENCIA 134/2024, de 4 de noviembre de 2024</w:t>
      </w:r>
    </w:p>
    <w:bookmarkEnd w:id="43"/>
    <w:p w14:paraId="095527CB" w14:textId="77777777" w:rsidR="003754FE" w:rsidRDefault="003754FE" w:rsidP="003754FE">
      <w:pPr>
        <w:pStyle w:val="TtuloResolucin"/>
      </w:pPr>
      <w:r>
        <w:t>Sala Segunda</w:t>
      </w:r>
    </w:p>
    <w:p w14:paraId="17DF8481" w14:textId="77777777" w:rsidR="003754FE" w:rsidRDefault="003754FE" w:rsidP="003754FE">
      <w:pPr>
        <w:pStyle w:val="TtuloBOE"/>
      </w:pPr>
      <w:r>
        <w:t>(BOE núm. 294, de 6 de diciembre de 2024)</w:t>
      </w:r>
    </w:p>
    <w:p w14:paraId="574189AB" w14:textId="77777777" w:rsidR="003754FE" w:rsidRDefault="003754FE" w:rsidP="003754FE">
      <w:pPr>
        <w:pStyle w:val="TextoNormalCentrado"/>
      </w:pPr>
      <w:r>
        <w:t>ECLI:ES:TC:2024:134</w:t>
      </w:r>
    </w:p>
    <w:p w14:paraId="781E4D69" w14:textId="3D8CA277" w:rsidR="003754FE" w:rsidRDefault="003754FE" w:rsidP="003754FE">
      <w:pPr>
        <w:pStyle w:val="TextoNormalCentrado"/>
      </w:pPr>
    </w:p>
    <w:p w14:paraId="7F1A6144" w14:textId="77777777" w:rsidR="003754FE" w:rsidRDefault="003754FE" w:rsidP="003754FE">
      <w:pPr>
        <w:pStyle w:val="SntesisDescriptiva"/>
      </w:pPr>
      <w:r>
        <w:t>Recurso de amparo 634-2023. Promovido por Warner Bros. Entertainment, Inc., y otras compañías en relación con la sentencia de la Audiencia Provincial de Murcia que confirma, en apelación, la absolución de los acusados de un delito contra la propiedad intelectual acordada por un juzgado de lo penal de su capital.</w:t>
      </w:r>
    </w:p>
    <w:p w14:paraId="4B422F58" w14:textId="57980C3D" w:rsidR="003754FE" w:rsidRDefault="003754FE" w:rsidP="003754FE">
      <w:pPr>
        <w:pStyle w:val="SntesisDescriptiva"/>
      </w:pPr>
    </w:p>
    <w:p w14:paraId="6A037898" w14:textId="77777777" w:rsidR="003754FE" w:rsidRDefault="003754FE" w:rsidP="003754FE">
      <w:pPr>
        <w:pStyle w:val="SntesisAnaltica"/>
      </w:pPr>
      <w:r>
        <w:t>Supuesta vulneración del derecho a la tutela judicial efectiva (motivación): resolución judicial absolutoria que expresa las razones fundadas en Derecho que sustentan la decisión adoptada.</w:t>
      </w:r>
    </w:p>
    <w:p w14:paraId="3045CD62" w14:textId="00E4F123" w:rsidR="003754FE" w:rsidRDefault="003754FE" w:rsidP="003754FE">
      <w:pPr>
        <w:pStyle w:val="SntesisAnaltica"/>
      </w:pPr>
    </w:p>
    <w:p w14:paraId="4CC71D80" w14:textId="09B446E2" w:rsidR="003754FE" w:rsidRDefault="003754FE" w:rsidP="003754FE">
      <w:pPr>
        <w:pStyle w:val="Extracto"/>
      </w:pPr>
      <w:r>
        <w:t>1.</w:t>
      </w:r>
      <w:r>
        <w:tab/>
        <w:t>El art. 120.3 CE establece que la sentencias serán siempre motivadas; y la relación sistemática de este precepto con el art. 24.1 CE expresa el derecho del justiciable (y el interés legítimo de la comunidad jurídica en general) de conocer las razones de la decisión judicial que se adopta y, por tanto, el enlace de esa decisión con la ley y el sistema general de fuentes, en cuanto aplicación de ellas que es. De este modo, entrañaría violación del derecho a la tutela judicial efectiva establecido en el art. 24.1 CE una sentencia carente de motivación o cuya motivación no fuera reconocible como aplicación del sistema jurídico [FJ 4].</w:t>
      </w:r>
    </w:p>
    <w:p w14:paraId="53039700" w14:textId="77777777" w:rsidR="003754FE" w:rsidRDefault="003754FE" w:rsidP="003754FE">
      <w:pPr>
        <w:pStyle w:val="Extracto"/>
      </w:pPr>
    </w:p>
    <w:p w14:paraId="54BF0940" w14:textId="12F0B2E6" w:rsidR="003754FE" w:rsidRDefault="003754FE" w:rsidP="003754FE">
      <w:pPr>
        <w:pStyle w:val="Extracto"/>
      </w:pPr>
      <w:r>
        <w:t>2.</w:t>
      </w:r>
      <w:r>
        <w:tab/>
        <w:t xml:space="preserve">Para satisfacer la exigencia constitucional de motivación es suficiente que las sentencias vengan apoyadas en razones fundadas en Derecho que permitan conocer cuáles han sido los criterios jurídicos esenciales que sustentan la decisión o, lo que es lo mismo, su </w:t>
      </w:r>
      <w:r w:rsidRPr="003754FE">
        <w:rPr>
          <w:i/>
        </w:rPr>
        <w:t xml:space="preserve">ratio decidendi </w:t>
      </w:r>
      <w:r>
        <w:t xml:space="preserve">(SSTC 13/1987 o 75/2005) [FJ 4]. </w:t>
      </w:r>
    </w:p>
    <w:p w14:paraId="5E6269C6" w14:textId="77777777" w:rsidR="003754FE" w:rsidRDefault="003754FE" w:rsidP="003754FE">
      <w:pPr>
        <w:pStyle w:val="Extracto"/>
      </w:pPr>
    </w:p>
    <w:p w14:paraId="62860059" w14:textId="77777777" w:rsidR="003754FE" w:rsidRDefault="003754FE" w:rsidP="003754FE">
      <w:pPr>
        <w:pStyle w:val="Extracto"/>
      </w:pPr>
    </w:p>
    <w:p w14:paraId="7EA36C02"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51449C3" w14:textId="42E5A2CD" w:rsidR="003754FE" w:rsidRDefault="003754FE" w:rsidP="003754FE">
      <w:pPr>
        <w:pStyle w:val="TextoNormal"/>
      </w:pPr>
    </w:p>
    <w:p w14:paraId="784B2A0C" w14:textId="77777777" w:rsidR="003754FE" w:rsidRDefault="003754FE" w:rsidP="003754FE">
      <w:pPr>
        <w:pStyle w:val="TextoNormalCentrado"/>
        <w:keepNext/>
      </w:pPr>
      <w:r>
        <w:t>EN NOMBRE DEL REY</w:t>
      </w:r>
    </w:p>
    <w:p w14:paraId="385D6251" w14:textId="71918FEB" w:rsidR="003754FE" w:rsidRDefault="003754FE" w:rsidP="003754FE">
      <w:pPr>
        <w:pStyle w:val="TextoNormalCentrado"/>
        <w:keepNext/>
      </w:pPr>
    </w:p>
    <w:p w14:paraId="66079C21" w14:textId="77777777" w:rsidR="003754FE" w:rsidRDefault="003754FE" w:rsidP="003754FE">
      <w:pPr>
        <w:pStyle w:val="TextoNormalCentrado"/>
        <w:keepNext/>
      </w:pPr>
    </w:p>
    <w:p w14:paraId="34484D6D" w14:textId="77777777" w:rsidR="003754FE" w:rsidRDefault="003754FE" w:rsidP="003754FE">
      <w:pPr>
        <w:pStyle w:val="TextoNormal"/>
      </w:pPr>
      <w:r>
        <w:t>la siguiente</w:t>
      </w:r>
    </w:p>
    <w:p w14:paraId="6C7C8717" w14:textId="00576848" w:rsidR="003754FE" w:rsidRDefault="003754FE" w:rsidP="003754FE">
      <w:pPr>
        <w:pStyle w:val="TextoNormal"/>
      </w:pPr>
    </w:p>
    <w:p w14:paraId="3DAF0C20" w14:textId="77777777" w:rsidR="003754FE" w:rsidRDefault="003754FE" w:rsidP="003754FE">
      <w:pPr>
        <w:pStyle w:val="TextoNormalCentrado"/>
        <w:keepNext/>
      </w:pPr>
      <w:r>
        <w:t>SENTENCIA</w:t>
      </w:r>
    </w:p>
    <w:p w14:paraId="7EC03F56" w14:textId="304AB92F" w:rsidR="003754FE" w:rsidRDefault="003754FE" w:rsidP="003754FE">
      <w:pPr>
        <w:pStyle w:val="TextoNormalCentrado"/>
        <w:keepNext/>
      </w:pPr>
    </w:p>
    <w:p w14:paraId="15085883" w14:textId="77777777" w:rsidR="003754FE" w:rsidRDefault="003754FE" w:rsidP="003754FE">
      <w:pPr>
        <w:pStyle w:val="TextoNormal"/>
      </w:pPr>
      <w:r>
        <w:t xml:space="preserve">En el recurso de amparo núm. 634-2023, interpuesto por la entidad Warner Bros. Entertainment, Inc., y otras compañías contra la sentencia de 26 de febrero de 2021 de la Sección Segunda de la Audiencia Provincial de Murcia, dictada en el rollo de apelación penal núm. 152-2019, y el auto de 30 de noviembre de 2022, que desestima el incidente de nulidad interpuesto contra dicha sentencia. Han comparecido y formulado alegaciones don Alexis </w:t>
      </w:r>
      <w:r>
        <w:lastRenderedPageBreak/>
        <w:t>Hoepfner Bernardet y Burn Media, S.L. Ha intervenido el Ministerio Fiscal. Ha sido ponente el magistrado don Enrique Arnaldo Alcubilla.</w:t>
      </w:r>
    </w:p>
    <w:p w14:paraId="4E5DB0B6" w14:textId="74A91144" w:rsidR="003754FE" w:rsidRDefault="003754FE" w:rsidP="003754FE">
      <w:pPr>
        <w:pStyle w:val="TextoNormal"/>
      </w:pPr>
    </w:p>
    <w:p w14:paraId="60A18C17" w14:textId="77777777" w:rsidR="003754FE" w:rsidRDefault="003754FE" w:rsidP="003754FE">
      <w:pPr>
        <w:pStyle w:val="TextoNormalNegritaCentrado"/>
        <w:keepNext/>
      </w:pPr>
      <w:r>
        <w:t>I. Antecedentes</w:t>
      </w:r>
    </w:p>
    <w:p w14:paraId="4106CE7B" w14:textId="3D2C1EAC" w:rsidR="003754FE" w:rsidRDefault="003754FE" w:rsidP="003754FE">
      <w:pPr>
        <w:pStyle w:val="TextoNormalNegritaCentrado"/>
        <w:keepNext/>
      </w:pPr>
    </w:p>
    <w:p w14:paraId="3B7F24F3" w14:textId="55D438DC" w:rsidR="003754FE" w:rsidRDefault="003754FE" w:rsidP="003754FE">
      <w:pPr>
        <w:pStyle w:val="TextoNormal"/>
      </w:pPr>
      <w:r w:rsidRPr="003754FE">
        <w:rPr>
          <w:rStyle w:val="NumeroAFNegritaCaracter"/>
        </w:rPr>
        <w:t>1</w:t>
      </w:r>
      <w:r>
        <w:t>. Mediante escrito presentado en el registro general del Tribunal Constitucional el 1 de febrero de 2023, el procurador de los tribunales don Sergio Royuela Baniandrés, en nombre y representación de las compañías Warner Bros. Entertainment, Inc., Universal City Studios, LLC., Paramount Pictures Corporation, New Line Productions Inc., Twentieth Century Fox Film Corporation, Disney Enterprises Inc., y Columbia Pictures Industries, Inc.; y el procurador de los tribunales don José Miguel Hurtado López, en nombre y representación de las compañías Twentieth Century Fox Home Entertainment España, S.A., Universal Pictures Iberia, S.L., Warner Bros. Entertainment España, S.L., Paramount Spain, S.L., Sony Pictures Home Entertainment, y The Walt Disney Company Iberia, S.L.; bajo la dirección letrada de don Santiago David Mediano Cortés, don Carlos Aguirre de Cárcer y don Francisco Arroyo Álvarez de Toledo, interpusieron recurso de amparo contra las resoluciones judiciales mencionadas en el encabezamiento.</w:t>
      </w:r>
    </w:p>
    <w:p w14:paraId="2014F7CA" w14:textId="77777777" w:rsidR="003754FE" w:rsidRDefault="003754FE" w:rsidP="003754FE">
      <w:pPr>
        <w:pStyle w:val="TextoNormal"/>
      </w:pPr>
    </w:p>
    <w:p w14:paraId="10051886" w14:textId="77777777" w:rsidR="003754FE" w:rsidRDefault="003754FE" w:rsidP="003754FE">
      <w:pPr>
        <w:pStyle w:val="TextoNormal"/>
      </w:pPr>
      <w:r w:rsidRPr="003754FE">
        <w:rPr>
          <w:rStyle w:val="NumeroAFNegritaCaracter"/>
        </w:rPr>
        <w:t>2</w:t>
      </w:r>
      <w:r>
        <w:t>. El recurso de amparo tiene su origen en los antecedentes que seguidamente se relacionan.</w:t>
      </w:r>
    </w:p>
    <w:p w14:paraId="12B98C54" w14:textId="77777777" w:rsidR="003754FE" w:rsidRDefault="003754FE" w:rsidP="003754FE">
      <w:pPr>
        <w:pStyle w:val="TextoNormal"/>
      </w:pPr>
    </w:p>
    <w:p w14:paraId="68E390F8" w14:textId="77777777" w:rsidR="003754FE" w:rsidRDefault="003754FE" w:rsidP="003754FE">
      <w:pPr>
        <w:pStyle w:val="TextoNormal"/>
      </w:pPr>
      <w:r>
        <w:t>a) El Juzgado de lo Penal núm. 4 de Murcia dictó sentencia el 21 de junio de 2019 en el procedimiento abreviado núm. 386-2016, en la que absolvió a don Alberto García Sola, don Jordi Tamargo Barguño, don David Martínez Olivella y don Alexis Hoepfner Bernardet del delito contra la propiedad intelectual por el que venían siendo acusados por el Ministerio Fiscal y las acusaciones particulares, entre estas las compañías demandantes de amparo, declarando de oficio las costas del procedimiento.</w:t>
      </w:r>
    </w:p>
    <w:p w14:paraId="374DAC87" w14:textId="77777777" w:rsidR="003754FE" w:rsidRDefault="003754FE" w:rsidP="003754FE">
      <w:pPr>
        <w:pStyle w:val="TextoNormal"/>
      </w:pPr>
    </w:p>
    <w:p w14:paraId="017E543C" w14:textId="77777777" w:rsidR="003754FE" w:rsidRDefault="003754FE" w:rsidP="003754FE">
      <w:pPr>
        <w:pStyle w:val="TextoNormal"/>
      </w:pPr>
      <w:r>
        <w:t xml:space="preserve">Del relato de hechos probados resulta que los acusados en el proceso penal eran los sucesivos titulares o responsables de varias páginas webs (“películasyonkis.es”, “seriesyonkis.es” y “videosyonkis.es”) entre los años 2009 a 2014 en las que se proporcionaban enlaces a los servidores en los que estaban alojados contenidos audiovisuales protegidos por derechos de autor, de modo que el visionado de las películas o series en </w:t>
      </w:r>
      <w:r w:rsidRPr="003754FE">
        <w:rPr>
          <w:i/>
        </w:rPr>
        <w:t>streaming</w:t>
      </w:r>
      <w:r>
        <w:t xml:space="preserve"> (transmisión en directo o emisión en continuo) se realizaba en una web diferente. Los responsables de esas páginas webs eran acusados por un delito contra la propiedad intelectual del art. 270.1 del Código penal (CP), en su redacción anterior a la reforma operada por la Ley Orgánica 1/2015, de 30 de marzo, por la que se modifica la Ley Orgánica 10/1995, de 23 de noviembre, del Código penal (en adelante Ley Orgánica 1/2015), y del que fueron absueltos por entender el juzgado de lo penal que la actividad enjuiciada no constituía un supuesto de comunicación pública de los contenidos protegidos y que no cabía entender concurrente el lucro comercial exigido por el tipo penal. El juzgado de lo penal considera que la conducta enjuiciada solo era punible tras la reforma introducida en el art. 270 CP por la Ley Orgánica 1/2015, que ha criminalizado la actividad de las páginas webs de enlaces que posibilitan acceder a los contenidos alojados en servidores externos de gran capacidad, bien para su descarga, bien para su visionado en </w:t>
      </w:r>
      <w:r w:rsidRPr="003754FE">
        <w:rPr>
          <w:i/>
        </w:rPr>
        <w:t>streaming</w:t>
      </w:r>
      <w:r>
        <w:t>.</w:t>
      </w:r>
    </w:p>
    <w:p w14:paraId="48BA15D9" w14:textId="77777777" w:rsidR="003754FE" w:rsidRDefault="003754FE" w:rsidP="003754FE">
      <w:pPr>
        <w:pStyle w:val="TextoNormal"/>
      </w:pPr>
    </w:p>
    <w:p w14:paraId="234B424D" w14:textId="77777777" w:rsidR="003754FE" w:rsidRDefault="003754FE" w:rsidP="003754FE">
      <w:pPr>
        <w:pStyle w:val="TextoNormal"/>
      </w:pPr>
      <w:r>
        <w:lastRenderedPageBreak/>
        <w:t xml:space="preserve">En los detallados fundamentos de derecho de la sentencia absolutoria se razona, en síntesis, que la conducta de los acusados, tal y como está descrita en el relato de hechos probados, no encaja en el concepto de comunicación pública que integra, junto con otros verbos típicos, el tipo penal del art. 270.1 CP, en su redacción anterior a la reforma operada por la Ley Orgánica 1/2015. Sostiene que la actividad realizada por los acusados a través de las páginas webs de autos consistía en facilitar la puesta a disposición y comunicación pública de contenidos protegidos, pero no en llevar a cabo esa puesta a disposición o comunicación en sí, por lo que considera que la conducta sería atípica. Solo los </w:t>
      </w:r>
      <w:r w:rsidRPr="003754FE">
        <w:rPr>
          <w:i/>
        </w:rPr>
        <w:t>uploaders</w:t>
      </w:r>
      <w:r>
        <w:t>, que suben las obras de ajena titularidad al servidor y generan el enlace (</w:t>
      </w:r>
      <w:r w:rsidRPr="003754FE">
        <w:rPr>
          <w:i/>
        </w:rPr>
        <w:t>link</w:t>
      </w:r>
      <w:r>
        <w:t xml:space="preserve">) o la URL (dirección), que luego colocan en la página enlazadora conforme a la metodología fijada por su </w:t>
      </w:r>
      <w:r w:rsidRPr="003754FE">
        <w:rPr>
          <w:i/>
        </w:rPr>
        <w:t>webmaster</w:t>
      </w:r>
      <w:r>
        <w:t xml:space="preserve"> (administrador de la página web), son los que llevan a cabo la acción típica, pero no los propietarios de los dominios que albergan los enlaces y los clasifican y ordenan conforme se describe en el relato fáctico.</w:t>
      </w:r>
    </w:p>
    <w:p w14:paraId="11F8AF5D" w14:textId="77777777" w:rsidR="003754FE" w:rsidRDefault="003754FE" w:rsidP="003754FE">
      <w:pPr>
        <w:pStyle w:val="TextoNormal"/>
      </w:pPr>
    </w:p>
    <w:p w14:paraId="70E548E6" w14:textId="77777777" w:rsidR="003754FE" w:rsidRDefault="003754FE" w:rsidP="003754FE">
      <w:pPr>
        <w:pStyle w:val="TextoNormal"/>
      </w:pPr>
      <w:r>
        <w:t xml:space="preserve">Descarta asimismo que fuera aplicable al caso la jurisprudencia sentada por la STJUE de 13 de febrero de 2014, asunto </w:t>
      </w:r>
      <w:r w:rsidRPr="003754FE">
        <w:rPr>
          <w:i/>
        </w:rPr>
        <w:t>Nils Svensson y otros c. Retriever Sverige AB</w:t>
      </w:r>
      <w:r>
        <w:t xml:space="preserve">, C-466/12, sobre la interpretación del art. 3.1 de la Directiva 2001/29/CE del Parlamento Europeo y del Consejo, de 22 de mayo de 2001, relativa a la armonización de determinados aspectos de los derechos de autor y derechos afines a los derechos de autor en la sociedad de la información, y reiterada por otras posteriores (STJUE de 8 de septiembre de 2016, asunto </w:t>
      </w:r>
      <w:r w:rsidRPr="003754FE">
        <w:rPr>
          <w:i/>
        </w:rPr>
        <w:t>GS Media BV c. Sanoma Media Netherlands Bv y otros</w:t>
      </w:r>
      <w:r>
        <w:t xml:space="preserve">, C-160/15; ATJUE de 21 de octubre de 2014, asunto </w:t>
      </w:r>
      <w:r w:rsidRPr="003754FE">
        <w:rPr>
          <w:i/>
        </w:rPr>
        <w:t>BestWater Internacional GmbH c. Michael Mebes y Stefan Potsch</w:t>
      </w:r>
      <w:r>
        <w:t xml:space="preserve">, C-348/13, y STJUE de 14 de junio de 2017, asunto </w:t>
      </w:r>
      <w:r w:rsidRPr="003754FE">
        <w:rPr>
          <w:i/>
        </w:rPr>
        <w:t>Stichting Brein c. Ziggo BV</w:t>
      </w:r>
      <w:r>
        <w:t xml:space="preserve"> </w:t>
      </w:r>
      <w:r w:rsidRPr="003754FE">
        <w:rPr>
          <w:i/>
        </w:rPr>
        <w:t>y XS4AII Internet BV</w:t>
      </w:r>
      <w:r>
        <w:t>, C-610/15), y asumida también por el Tribunal Supremo, pues no puede aplicarse retroactivamente una jurisprudencia posterior a la comisión del hecho que supone aplicar la ley de forma más gravosa en cuanto al entendimiento del concepto de “comunicación pública” del art. 20.1 del texto refundido de la Ley de propiedad intelectual, regularizando, aclarando y armonizando las disposiciones legales vigentes sobre la materia, aprobado por el Real Decreto Legislativo 1/1996, de 12 de abril.</w:t>
      </w:r>
    </w:p>
    <w:p w14:paraId="248B3D57" w14:textId="77777777" w:rsidR="003754FE" w:rsidRDefault="003754FE" w:rsidP="003754FE">
      <w:pPr>
        <w:pStyle w:val="TextoNormal"/>
      </w:pPr>
    </w:p>
    <w:p w14:paraId="45A0D1CF" w14:textId="77777777" w:rsidR="003754FE" w:rsidRDefault="003754FE" w:rsidP="003754FE">
      <w:pPr>
        <w:pStyle w:val="TextoNormal"/>
      </w:pPr>
      <w:r>
        <w:t>Añade a lo anterior que tampoco concurre en el presente caso el ánimo de lucro, elemento subjetivo del injusto exigido por el art. 270.1 CP, en su redacción anterior a la reforma por la Ley Orgánica 1/2015, aplicable a los hechos enjuiciados, pues el beneficio económico que obtenían los acusados por las páginas enlazadoras no derivaba directamente de la propia actividad de enlazar, ni de la descarga del contenido audiovisual al que redirigían, sino que procedía indirectamente de la publicidad alojada en las propias páginas webs.</w:t>
      </w:r>
    </w:p>
    <w:p w14:paraId="5016FF69" w14:textId="77777777" w:rsidR="003754FE" w:rsidRDefault="003754FE" w:rsidP="003754FE">
      <w:pPr>
        <w:pStyle w:val="TextoNormal"/>
      </w:pPr>
    </w:p>
    <w:p w14:paraId="53289B5C" w14:textId="77777777" w:rsidR="003754FE" w:rsidRDefault="003754FE" w:rsidP="003754FE">
      <w:pPr>
        <w:pStyle w:val="TextoNormal"/>
      </w:pPr>
      <w:r>
        <w:t>En fin, razona la sentencia que la actividad de estas páginas de enlace, al no tratarse de páginas de descarga directa, entra de lleno en la consideración de la conducta de intermediación sometida al régimen de responsabilidad previsto en el art. 17 de la Ley 34/2002, de 11 de julio, de servicios de la sociedad de la información y de comercio electrónico, sin que exista constancia de que los acusados tuvieran conocimiento del origen ilícito de la información a la que remitían las páginas ni de que la misma lesionase derecho alguno.</w:t>
      </w:r>
    </w:p>
    <w:p w14:paraId="54466EFE" w14:textId="77777777" w:rsidR="003754FE" w:rsidRDefault="003754FE" w:rsidP="003754FE">
      <w:pPr>
        <w:pStyle w:val="TextoNormal"/>
      </w:pPr>
    </w:p>
    <w:p w14:paraId="4B38F64A" w14:textId="77777777" w:rsidR="003754FE" w:rsidRDefault="003754FE" w:rsidP="003754FE">
      <w:pPr>
        <w:pStyle w:val="TextoNormal"/>
      </w:pPr>
      <w:r>
        <w:t xml:space="preserve">b) La representación procesal de las entidades demandantes de amparo, en su calidad de acusación particular, interpuso recurso de apelación contra la anterior sentencia absolutoria, basado en el motivo único de infracción de ley, por indebida inaplicación del art. 270 CP; sostenía que, partiendo de los hechos declarados probados, que no se discutían, la conducta </w:t>
      </w:r>
      <w:r>
        <w:lastRenderedPageBreak/>
        <w:t>de los acusados colmaba el juicio de tipicidad del delito contra la propiedad intelectual previsto y penado por el art. 270 CP, en su redacción anterior a la reforma operada por la Ley Orgánica 1/2015, aplicable a los hechos enjuiciados. Por otrosí, se solicitó en el recurso de apelación que, por interesarse la revocación de una sentencia absolutoria y el dictado de una condenatoria, fuesen oídos los acusados por el tribunal de apelación antes de dictar sentencia. Ello pese a advertir también que en esta apelación se discuten cuestiones estrictamente jurídicas, que no requieren de vista pública ni inmediación.</w:t>
      </w:r>
    </w:p>
    <w:p w14:paraId="2813FDE8" w14:textId="77777777" w:rsidR="003754FE" w:rsidRDefault="003754FE" w:rsidP="003754FE">
      <w:pPr>
        <w:pStyle w:val="TextoNormal"/>
      </w:pPr>
    </w:p>
    <w:p w14:paraId="0DABB520" w14:textId="77777777" w:rsidR="003754FE" w:rsidRDefault="003754FE" w:rsidP="003754FE">
      <w:pPr>
        <w:pStyle w:val="TextoNormal"/>
      </w:pPr>
      <w:r>
        <w:t>También el Ministerio Fiscal y la otra acusación particular, Entidad de Gestión de Derechos de los Productores Audiovisuales (EGEDA), interpusieron recursos de apelación contra la sentencia absolutoria, basados en infracción de precepto legal, y solicitaron por otrosí, en ambos casos, que se diera a los acusados la posibilidad de ser oídos por el tribunal de apelación.</w:t>
      </w:r>
    </w:p>
    <w:p w14:paraId="167E22B0" w14:textId="77777777" w:rsidR="003754FE" w:rsidRDefault="003754FE" w:rsidP="003754FE">
      <w:pPr>
        <w:pStyle w:val="TextoNormal"/>
      </w:pPr>
    </w:p>
    <w:p w14:paraId="5483BE27" w14:textId="77777777" w:rsidR="003754FE" w:rsidRDefault="003754FE" w:rsidP="003754FE">
      <w:pPr>
        <w:pStyle w:val="TextoNormal"/>
      </w:pPr>
      <w:r>
        <w:t>c) Remitidos los autos a la Sección Segunda de la Audiencia Provincial de Murcia, esta, tras resolver por providencia de 10 de marzo de 2020 que no procedía la celebración de vista por ser la cuestión debatida de carácter estrictamente jurídico, dictó sentencia el 26 de febrero de 2021 desestimando los recursos de apelación interpuestos contra la sentencia del Juzgado de lo Penal núm. 4 de Murcia, cuyo pronunciamiento absolutorio se confirmó. Por auto de 3 de marzo de 2021 fue aclarado un error material de la sentencia.</w:t>
      </w:r>
    </w:p>
    <w:p w14:paraId="1ADCCC2B" w14:textId="77777777" w:rsidR="003754FE" w:rsidRDefault="003754FE" w:rsidP="003754FE">
      <w:pPr>
        <w:pStyle w:val="TextoNormal"/>
      </w:pPr>
    </w:p>
    <w:p w14:paraId="7C36ABF7" w14:textId="77777777" w:rsidR="003754FE" w:rsidRDefault="003754FE" w:rsidP="003754FE">
      <w:pPr>
        <w:pStyle w:val="TextoNormal"/>
      </w:pPr>
      <w:r>
        <w:t>En su sentencia, la Audiencia Provincial de Murcia, tras aceptar el relato de hechos probados de la sentencia de instancia, razona en síntesis que, frente a lo que se sostiene en la sentencia de instancia, los hechos enjuiciados sí integran el tipo objetivo del delito penado en el art. 270.1 CP, pues se realizaron actos de comunicación con ánimo de lucro, pero considera que debe mantenerse la absolución de los acusados, en tanto que no consta acreditado el elemento subjetivo del conocimiento de la ilicitud de la actividad, como resulta del fundamento jurídico octavo de la sentencia apelada. La Audiencia Provincial de Murcia concluye que, aun estimando la tipicidad de la conducta desde el prisma del elemento objetivo y normativo del tipo penal, dado que los recursos se interpusieron por infracción de ley no es posible modificar el hecho probado contenido en el fundamento jurídico octavo de la sentencia recurrida, relativo a la ausencia de conocimiento de la antijuridicidad de la conducta enjuiciada, que en todo caso necesitaría de una vista pública para resolver con conocimiento directo e inmediato de las pruebas.</w:t>
      </w:r>
    </w:p>
    <w:p w14:paraId="5E91D83F" w14:textId="77777777" w:rsidR="003754FE" w:rsidRDefault="003754FE" w:rsidP="003754FE">
      <w:pPr>
        <w:pStyle w:val="TextoNormal"/>
      </w:pPr>
    </w:p>
    <w:p w14:paraId="3064FE9F" w14:textId="77777777" w:rsidR="003754FE" w:rsidRDefault="003754FE" w:rsidP="003754FE">
      <w:pPr>
        <w:pStyle w:val="TextoNormal"/>
      </w:pPr>
      <w:r>
        <w:t>d) La representación procesal de las compañías demandantes de amparo promovió un incidente de nulidad de actuaciones contra la sentencia dictada en apelación, en el que invocó la vulneración del derecho a la tutela judicial efectiva (art. 24.1 CE), que fundamentó en tres razones análogas: la indebida integración del relato fáctico de la sentencia de instancia, que no contiene como hecho probado la falta de conciencia de la ilicitud de la actividad enjuiciada, con el fundamento jurídico octavo de esa sentencia de instancia; subsidiariamente, por falta de fundamentación razonada en Derecho, al asumir indebidamente ese supuesto hecho probado, cuya pobreza descriptiva impide considerarlo como error de prohibición, así como su calificación de invencible; y, en fin, por crear un obstáculo procesal para la estimación del recurso de apelación al denegar la celebración de la vista en la que fueran oídos los acusados, necesaria según la doctrina constitucional para la revocación del pronunciamiento absolutorio de instancia.</w:t>
      </w:r>
    </w:p>
    <w:p w14:paraId="7AC2436F" w14:textId="77777777" w:rsidR="003754FE" w:rsidRDefault="003754FE" w:rsidP="003754FE">
      <w:pPr>
        <w:pStyle w:val="TextoNormal"/>
      </w:pPr>
    </w:p>
    <w:p w14:paraId="6E01E09F" w14:textId="77777777" w:rsidR="003754FE" w:rsidRDefault="003754FE" w:rsidP="003754FE">
      <w:pPr>
        <w:pStyle w:val="TextoNormal"/>
      </w:pPr>
      <w:r>
        <w:lastRenderedPageBreak/>
        <w:t>e) El incidente de nulidad de las entidades recurrentes en amparo (junto con el promovido por la representación de EGEDA, que también ejerció la acusación particular, como ya se dijo), fue desestimado por auto de 30 de noviembre de 2022.</w:t>
      </w:r>
    </w:p>
    <w:p w14:paraId="4DE33D53" w14:textId="77777777" w:rsidR="003754FE" w:rsidRDefault="003754FE" w:rsidP="003754FE">
      <w:pPr>
        <w:pStyle w:val="TextoNormal"/>
      </w:pPr>
    </w:p>
    <w:p w14:paraId="5361576E" w14:textId="3FB9871D" w:rsidR="003754FE" w:rsidRDefault="003754FE" w:rsidP="003754FE">
      <w:pPr>
        <w:pStyle w:val="TextoNormal"/>
      </w:pPr>
      <w:r>
        <w:t>En cuanto a la integración del relato fáctico, razona que, conforme a la jurisprudencia del Tribunal Supremo, se admite la posibilidad de que los hechos probados sean complementados por constataciones de hecho formuladas de manera inequívoca en la fundamentación jurídica de la sentencia recurrida. En cuanto a la falta de racionalidad al asumir de forma indebida el supuesto hecho probado de la falta de conciencia de la ilicitud de la actividad enjuiciada, se razona que no corresponde al tribunal de apelación subsanar la pretendida deficiencia de la sentencia de instancia sobre el error de prohibición, a lo que se añade que la parte no hizo uso del expediente de integración previsto en el art. 161 de la Ley de enjuiciamiento criminal (LECrim), en relación con el art. 267 de la Ley Orgánica del Poder Judicial (LOPJ). En fin, en cuanto a la denegación de la celebración de vista, señala que la providencia de 10 de marzo de 2020 fue consentida por todas las partes, que la regulación procesal anterior a la reforma operada por la Ley 41/2015, de 5 de octubre, de modificación de la Ley de enjuiciamiento criminal para la agilización de la justicia penal y el fortalecimiento de las garantías procales (en adelante, Ley 41/2015), que es la aplicable al caso, no permitía interpretar que el art. 790.3 LECrim habilitase para celebrar vista respecto de pruebas que ya se hubieran practicado en la instancia, y que los recursos de apelación se formularon y admitieron exclusivamente por infracción de ley.</w:t>
      </w:r>
    </w:p>
    <w:p w14:paraId="38AEF6F4" w14:textId="77777777" w:rsidR="003754FE" w:rsidRDefault="003754FE" w:rsidP="003754FE">
      <w:pPr>
        <w:pStyle w:val="TextoNormal"/>
      </w:pPr>
    </w:p>
    <w:p w14:paraId="719D293A" w14:textId="77777777" w:rsidR="003754FE" w:rsidRDefault="003754FE" w:rsidP="003754FE">
      <w:pPr>
        <w:pStyle w:val="TextoNormal"/>
      </w:pPr>
      <w:r w:rsidRPr="003754FE">
        <w:rPr>
          <w:rStyle w:val="NumeroAFNegritaCaracter"/>
        </w:rPr>
        <w:t>3</w:t>
      </w:r>
      <w:r>
        <w:t>. Las compañías recurrentes, tras referirse a los antecedentes del asunto y exponer en su recurso de amparo las razones que dotan a este de especial trascendencia constitucional, aducen que la sentencia dictada en apelación por la Sección Segunda de la Audiencia Provincial de Murcia, que confirma el pronunciamiento absolutorio del Juzgado de lo Penal núm. 4 de Murcia, ha vulnerado su derecho fundamental a la tutela judicial efectiva (art. 24.1 CE), por los motivos siguientes (coincidentes con los planteados en el incidente de nulidad):</w:t>
      </w:r>
    </w:p>
    <w:p w14:paraId="7BE05912" w14:textId="77777777" w:rsidR="003754FE" w:rsidRDefault="003754FE" w:rsidP="003754FE">
      <w:pPr>
        <w:pStyle w:val="TextoNormal"/>
      </w:pPr>
    </w:p>
    <w:p w14:paraId="6B3CD1D7" w14:textId="77777777" w:rsidR="003754FE" w:rsidRDefault="003754FE" w:rsidP="003754FE">
      <w:pPr>
        <w:pStyle w:val="TextoNormal"/>
      </w:pPr>
      <w:r>
        <w:t>a) En primer lugar, por falta de fundamentación razonada en Derecho, pues la sentencia de apelación ha entendido indebidamente que la sentencia de instancia incluye en su fundamento jurídico octavo un hecho probado referido a la falta de conciencia por parte de los acusados de la ilicitud de su proceder.</w:t>
      </w:r>
    </w:p>
    <w:p w14:paraId="376D6A42" w14:textId="77777777" w:rsidR="003754FE" w:rsidRDefault="003754FE" w:rsidP="003754FE">
      <w:pPr>
        <w:pStyle w:val="TextoNormal"/>
      </w:pPr>
    </w:p>
    <w:p w14:paraId="3FAF7F81" w14:textId="77777777" w:rsidR="003754FE" w:rsidRDefault="003754FE" w:rsidP="003754FE">
      <w:pPr>
        <w:pStyle w:val="TextoNormal"/>
      </w:pPr>
      <w:r>
        <w:t>b) En segundo lugar, por carecer de racionalidad la sentencia de apelación en la calificación implícita que realiza respecto del error de prohibición en la conducta de los acusados.</w:t>
      </w:r>
    </w:p>
    <w:p w14:paraId="0CA7F5AE" w14:textId="77777777" w:rsidR="003754FE" w:rsidRDefault="003754FE" w:rsidP="003754FE">
      <w:pPr>
        <w:pStyle w:val="TextoNormal"/>
      </w:pPr>
    </w:p>
    <w:p w14:paraId="03C0C728" w14:textId="77777777" w:rsidR="003754FE" w:rsidRDefault="003754FE" w:rsidP="003754FE">
      <w:pPr>
        <w:pStyle w:val="TextoNormal"/>
      </w:pPr>
      <w:r>
        <w:t>c) En tercer y último lugar, por crear un obstáculo procesal para la estimación del recurso de apelación al denegar la celebración de la vista en la que fueran oídos los acusados, necesaria según la doctrina constitucional para revocar la absolución.</w:t>
      </w:r>
    </w:p>
    <w:p w14:paraId="737A1F31" w14:textId="77777777" w:rsidR="003754FE" w:rsidRDefault="003754FE" w:rsidP="003754FE">
      <w:pPr>
        <w:pStyle w:val="TextoNormal"/>
      </w:pPr>
    </w:p>
    <w:p w14:paraId="05FA68D2" w14:textId="2F0B9190" w:rsidR="003754FE" w:rsidRDefault="003754FE" w:rsidP="003754FE">
      <w:pPr>
        <w:pStyle w:val="TextoNormal"/>
      </w:pPr>
      <w:r>
        <w:t>En el suplico de la demanda de amparo las entidades recurrentes solicitan la declaración de nulidad de la sentencia y el auto impugnados y que se retrotraigan las actuaciones en los términos que señalan.</w:t>
      </w:r>
    </w:p>
    <w:p w14:paraId="3B7ABF4F" w14:textId="77777777" w:rsidR="003754FE" w:rsidRDefault="003754FE" w:rsidP="003754FE">
      <w:pPr>
        <w:pStyle w:val="TextoNormal"/>
      </w:pPr>
    </w:p>
    <w:p w14:paraId="5A268B0F" w14:textId="77777777" w:rsidR="003754FE" w:rsidRDefault="003754FE" w:rsidP="003754FE">
      <w:pPr>
        <w:pStyle w:val="TextoNormal"/>
      </w:pPr>
      <w:r w:rsidRPr="003754FE">
        <w:rPr>
          <w:rStyle w:val="NumeroAFNegritaCaracter"/>
        </w:rPr>
        <w:t>4</w:t>
      </w:r>
      <w:r>
        <w:t xml:space="preserve">. La Sección Cuarta de este tribunal, por providencia de 12 de febrero de 2024, acordó la admisión a trámite del presente recurso de amparo, apreciando que concurre en el mismo </w:t>
      </w:r>
      <w:r>
        <w:lastRenderedPageBreak/>
        <w:t>una especial trascendencia constitucional [art. 50.1 de la Ley Orgánica del Tribunal Constitucional (LOTC)] como consecuencia de que el órgano judicial pudiera haber incurrido en una negativa manifiesta del deber de acatamiento de la doctrina de este tribunal [STC 155/2009, de 25 de junio, FJ 2 f)].</w:t>
      </w:r>
    </w:p>
    <w:p w14:paraId="1E9F46E5" w14:textId="77777777" w:rsidR="003754FE" w:rsidRDefault="003754FE" w:rsidP="003754FE">
      <w:pPr>
        <w:pStyle w:val="TextoNormal"/>
      </w:pPr>
    </w:p>
    <w:p w14:paraId="6CED9139" w14:textId="020E3009" w:rsidR="003754FE" w:rsidRDefault="003754FE" w:rsidP="003754FE">
      <w:pPr>
        <w:pStyle w:val="TextoNormal"/>
      </w:pPr>
      <w:r>
        <w:t>Asimismo, en aplicación del art. 51 LOTC, y habiéndose interesado ya la remisión de las actuaciones jurisdiccionales en el recurso de amparo núm. 529-2023 seguido contra las mismas resoluciones judiciales, se acordó dirigir atenta comunicación al Juzgado de lo Penal núm. 4 de Murcia para que, en plazo no superior a diez días, procediera al emplazamiento, de quienes hubieran sido parte en el procedimiento, para que pudieran comparecer, si lo desearan, en el recurso de amparo.</w:t>
      </w:r>
    </w:p>
    <w:p w14:paraId="6B603FE7" w14:textId="77777777" w:rsidR="003754FE" w:rsidRDefault="003754FE" w:rsidP="003754FE">
      <w:pPr>
        <w:pStyle w:val="TextoNormal"/>
      </w:pPr>
    </w:p>
    <w:p w14:paraId="02C9515B" w14:textId="77777777" w:rsidR="003754FE" w:rsidRDefault="003754FE" w:rsidP="003754FE">
      <w:pPr>
        <w:pStyle w:val="TextoNormal"/>
      </w:pPr>
      <w:r w:rsidRPr="003754FE">
        <w:rPr>
          <w:rStyle w:val="NumeroAFNegritaCaracter"/>
        </w:rPr>
        <w:t>5</w:t>
      </w:r>
      <w:r>
        <w:t>. La Secretaría de Justicia de la Sala Segunda de este tribunal, por diligencia de 11 de abril de 2024, tuvo por personada y parte en el recurso de amparo a la procuradora doña Ana Galiano Quetglas, en nombre de don Alexis Hoepfner Bernardet y la entidad Burn Media, S.L., acordándose entender con ella las sucesivas actuaciones.</w:t>
      </w:r>
    </w:p>
    <w:p w14:paraId="1ED8137A" w14:textId="77777777" w:rsidR="003754FE" w:rsidRDefault="003754FE" w:rsidP="003754FE">
      <w:pPr>
        <w:pStyle w:val="TextoNormal"/>
      </w:pPr>
    </w:p>
    <w:p w14:paraId="6AA1571C" w14:textId="7C61845E" w:rsidR="003754FE" w:rsidRDefault="003754FE" w:rsidP="003754FE">
      <w:pPr>
        <w:pStyle w:val="TextoNormal"/>
      </w:pPr>
      <w:r>
        <w:t>Se acordó mediante la misma diligencia dar vista de las actuaciones recibidas a las partes personadas y al Ministerio Fiscal por plazo común de veinte días, para que pudiesen presentar las alegaciones que estimaren pertinentes, de conformidad con el art. 52.1 LOTC.</w:t>
      </w:r>
    </w:p>
    <w:p w14:paraId="1A5CC5EA" w14:textId="77777777" w:rsidR="003754FE" w:rsidRDefault="003754FE" w:rsidP="003754FE">
      <w:pPr>
        <w:pStyle w:val="TextoNormal"/>
      </w:pPr>
    </w:p>
    <w:p w14:paraId="5B573E31" w14:textId="77777777" w:rsidR="003754FE" w:rsidRDefault="003754FE" w:rsidP="003754FE">
      <w:pPr>
        <w:pStyle w:val="TextoNormal"/>
      </w:pPr>
      <w:r w:rsidRPr="003754FE">
        <w:rPr>
          <w:rStyle w:val="NumeroAFNegritaCaracter"/>
        </w:rPr>
        <w:t>6</w:t>
      </w:r>
      <w:r>
        <w:t>. La representación procesal de don Alexis Hoepfner Bernardet y la entidad Burn Media, S.L., con asistencia letrada de don David Maeztu Lacalle, presentó escrito de alegaciones el 15 de mayo de 2024, en el que interesó la desestimación del recurso de amparo, así como la imposición de las costas a las entidades recurrentes en amparo, de conformidad con lo dispuesto en el art. 95.2 LOTC.</w:t>
      </w:r>
    </w:p>
    <w:p w14:paraId="53AD98C0" w14:textId="77777777" w:rsidR="003754FE" w:rsidRDefault="003754FE" w:rsidP="003754FE">
      <w:pPr>
        <w:pStyle w:val="TextoNormal"/>
      </w:pPr>
    </w:p>
    <w:p w14:paraId="3DDC2797" w14:textId="3319B2D7" w:rsidR="003754FE" w:rsidRDefault="003754FE" w:rsidP="003754FE">
      <w:pPr>
        <w:pStyle w:val="TextoNormal"/>
      </w:pPr>
      <w:r>
        <w:t xml:space="preserve">Afirma que la queja referida a la lesión del derecho a la tutela judicial efectiva por el rechazo a celebrar vista en la apelación incurre en el óbice de falta de agotamiento de los medios de impugnación previstos en la vía judicial [art. 44.1 a) LOTC], pues las compañías recurrentes no interpusieron recurso de súplica contra la providencia que denegó la solicitud de celebración de vista. Sin perjuicio de ello, sostiene que no ha existido esa vulneración, ni ninguna de las restantes que alegan las entidades recurrentes. La sentencia impugnada expone detalladamente las razones por las que no puede admitir, por ser </w:t>
      </w:r>
      <w:r w:rsidRPr="003754FE">
        <w:rPr>
          <w:i/>
        </w:rPr>
        <w:t>contra legem</w:t>
      </w:r>
      <w:r>
        <w:t>, la práctica de la prueba en segunda instancia consistente en la declaración de quienes fueron absueltos en la primera. Además, las entidades recurrentes parten de una premisa errónea en términos constitucionales, cual es que existe una igualdad absoluta en la posición entre las partes del proceso penal, que es lo mismo ser acusador que ser acusado y que los derechos de las partes del proceso penal se rigen por las mismas consideraciones, cuando lo cierto es que esa posición es asimétrica. En todo caso, lo relevante es que las entidades recurrentes han podido ejercitar la acusación e interponer los recursos procedentes con plenas garantías, por lo que no ha existido la pretendida lesión del derecho fundamental a la tutela judicial efectiva que alegan.</w:t>
      </w:r>
    </w:p>
    <w:p w14:paraId="1189DC27" w14:textId="77777777" w:rsidR="003754FE" w:rsidRDefault="003754FE" w:rsidP="003754FE">
      <w:pPr>
        <w:pStyle w:val="TextoNormal"/>
      </w:pPr>
    </w:p>
    <w:p w14:paraId="62CEBF5F" w14:textId="3169C4EC" w:rsidR="003754FE" w:rsidRDefault="003754FE" w:rsidP="003754FE">
      <w:pPr>
        <w:pStyle w:val="TextoNormal"/>
      </w:pPr>
      <w:r w:rsidRPr="003754FE">
        <w:rPr>
          <w:rStyle w:val="NumeroAFNegritaCaracter"/>
        </w:rPr>
        <w:t>7</w:t>
      </w:r>
      <w:r>
        <w:t>. Las representaciones procesales de las compañías demandantes de amparo presentaron sus escritos de alegaciones el 17 de mayo de 2024, reiterando lo expuesto en la demanda de amparo e interesando que se dicte sentencia por la que se les otorgue el amparo solicitado.</w:t>
      </w:r>
    </w:p>
    <w:p w14:paraId="3D6827ED" w14:textId="77777777" w:rsidR="003754FE" w:rsidRDefault="003754FE" w:rsidP="003754FE">
      <w:pPr>
        <w:pStyle w:val="TextoNormal"/>
      </w:pPr>
    </w:p>
    <w:p w14:paraId="7D80CCB5" w14:textId="77777777" w:rsidR="003754FE" w:rsidRDefault="003754FE" w:rsidP="003754FE">
      <w:pPr>
        <w:pStyle w:val="TextoNormal"/>
      </w:pPr>
      <w:r w:rsidRPr="003754FE">
        <w:rPr>
          <w:rStyle w:val="NumeroAFNegritaCaracter"/>
        </w:rPr>
        <w:t>8</w:t>
      </w:r>
      <w:r>
        <w:t>. El Ministerio Fiscal presentó su escrito de alegaciones el 31 de mayo de 2024, en el que interesa la desestimación del recurso de amparo.</w:t>
      </w:r>
    </w:p>
    <w:p w14:paraId="42C76FFE" w14:textId="77777777" w:rsidR="003754FE" w:rsidRDefault="003754FE" w:rsidP="003754FE">
      <w:pPr>
        <w:pStyle w:val="TextoNormal"/>
      </w:pPr>
    </w:p>
    <w:p w14:paraId="49C54B3F" w14:textId="77777777" w:rsidR="003754FE" w:rsidRDefault="003754FE" w:rsidP="003754FE">
      <w:pPr>
        <w:pStyle w:val="TextoNormal"/>
      </w:pPr>
      <w:r>
        <w:t>Tras exponer los antecedentes del asunto y hacer una síntesis del desarrollo argumental de los motivos del recurso de amparo, el fiscal sostiene que la queja nuclear del recurso es la referida a la alegada lesión del derecho a la tutela judicial efectiva por la negativa de la Audiencia Provincial de Murcia a la celebración de vista en la apelación que habían solicitado las entidades recurrentes, pues, si se parte de la premisa de que para condenar a los acusados absueltos en la instancia haría falta, en todo caso, que fueran oídos por el tribunal de apelación, se trata de determinar si esa limitación de la segunda instancia, establecida en favor de los acusados como vertiente del derecho a un proceso con todas las garantías, genera también un efecto a modo de “garantía recíproca” de las entidades acusadoras, que habría que incardinar en el derecho de estos a la tutela judicial efectiva.</w:t>
      </w:r>
    </w:p>
    <w:p w14:paraId="4BB52889" w14:textId="77777777" w:rsidR="003754FE" w:rsidRDefault="003754FE" w:rsidP="003754FE">
      <w:pPr>
        <w:pStyle w:val="TextoNormal"/>
      </w:pPr>
    </w:p>
    <w:p w14:paraId="10A977EA" w14:textId="77777777" w:rsidR="003754FE" w:rsidRDefault="003754FE" w:rsidP="003754FE">
      <w:pPr>
        <w:pStyle w:val="TextoNormal"/>
      </w:pPr>
      <w:r>
        <w:t>Para dar respuesta a esta queja señala el fiscal que es preciso abordar, en primer lugar, la cuestión de la asimétrica posición de garantía de las partes en el proceso penal, partiendo de la doctrina constitucional al respecto, compendiada en la reciente STC 72/2024, de 7 de mayo, FJ 4, que, además, reitera la doctrina (STC 88/2013, de 11 de abril, del Pleno, FFJJ 7 a 9, por todas) conforme a la cual resulta contrario a un proceso con todas las garantías que, conociendo a través de un recurso, un órgano judicial funde la condena de quien ha sido absuelto en la instancia o agrave su situación, como consecuencia de una nueva fijación de los hechos probados que encuentre su origen en la reconsideración de pruebas (declaraciones de testigos, peritos y acusados) cuya correcta y adecuada apreciación exija necesariamente que se practiquen en una vista pública, en presencia del órgano judicial que las valora y de forma contradictoria, esto es, en presencia y con la intervención del acusado. Criterio este que también se aplica a aquellas decisiones de revisión que, sin alterar el relato de hechos probados declarado en la instancia, fundamentaban la condena del acusado en la distinta apreciación de la concurrencia de elementos subjetivos del delito.</w:t>
      </w:r>
    </w:p>
    <w:p w14:paraId="0F5DF3FF" w14:textId="77777777" w:rsidR="003754FE" w:rsidRDefault="003754FE" w:rsidP="003754FE">
      <w:pPr>
        <w:pStyle w:val="TextoNormal"/>
      </w:pPr>
    </w:p>
    <w:p w14:paraId="1D23E418" w14:textId="77777777" w:rsidR="003754FE" w:rsidRDefault="003754FE" w:rsidP="003754FE">
      <w:pPr>
        <w:pStyle w:val="TextoNormal"/>
      </w:pPr>
      <w:r>
        <w:t xml:space="preserve">Aplicando esa doctrina al presente caso, considera el fiscal que la queja que se formula en el presente recurso de amparo en relación con la negativa de la Audiencia Provincial de Murcia a celebrar vista en la apelación debe ser desestimada. Señala que, dada la regulación del recurso de apelación en nuestro ordenamiento jurídico, solo de forma limitada cabe solicitar en el juicio de apelación la aportación o práctica de nuevos materiales probatorios, esto es, cuando no pudieron proponerse en la primera instancia, o propuestos fueron indebidamente denegados (siempre que se hubiera formulado en su momento la oportuna protesta), o cuando admitidos no pudieron ser practicados por causas que no le fueran imputables al apelante (art. 790.3 LECrim). A lo que se añade que corresponde a los órganos judiciales interpretar las disposiciones de la Ley de enjuiciamiento criminal concernientes a la admisión de pruebas en la fase de apelación. El Tribunal Constitucional ha aceptado que es compatible con el art. 24.2 CE [STC 120/2009, de 18 de mayo, FJ 2 d)], por ser respetuosa con la limitación referida, aquella interpretación judicial que entiende que, con arreglo al art. 790.3 LECrim, solo podrán practicarse en apelación diligencias de prueba cuando concurran los supuestos previstos en la norma procesal, antes expuestos (STC 48/2008, de 11 de marzo, FJ 3), así como aquella otra interpretación que lleva a admitir la práctica en la segunda instancia de pruebas de carácter personal ya realizadas en la primera </w:t>
      </w:r>
      <w:r>
        <w:lastRenderedPageBreak/>
        <w:t>cuando los recurrentes cuestionen los hechos declarados probados (STC 167/2002, de 18 de septiembre, entre otras).</w:t>
      </w:r>
    </w:p>
    <w:p w14:paraId="5A6A9193" w14:textId="77777777" w:rsidR="003754FE" w:rsidRDefault="003754FE" w:rsidP="003754FE">
      <w:pPr>
        <w:pStyle w:val="TextoNormal"/>
      </w:pPr>
    </w:p>
    <w:p w14:paraId="74955137" w14:textId="77777777" w:rsidR="003754FE" w:rsidRDefault="003754FE" w:rsidP="003754FE">
      <w:pPr>
        <w:pStyle w:val="TextoNormal"/>
      </w:pPr>
      <w:r>
        <w:t xml:space="preserve">En el presente caso, la Audiencia Provincial de Murcia, en el ejercicio de la potestad que le confiere el art. 117.3 CE y en una interpretación de la regulación legal del recurso de apelación que no cabe tachar de arbitraria o irrazonable, denegó la celebración de vista solicitada por las entidades recurrentes, por estimar que no concurría ninguno de los supuestos previstos en el art. 790.3 LECrim para la práctica de prueba en segunda instancia. Esta decisión judicial no supone una quiebra esencial en el procedimiento que afecte a las garantías procesales de la parte acusadora que, como titular del </w:t>
      </w:r>
      <w:r w:rsidRPr="003754FE">
        <w:rPr>
          <w:i/>
        </w:rPr>
        <w:t>ius ut procedatur</w:t>
      </w:r>
      <w:r>
        <w:t>, ostenta el derecho a poner en marcha el proceso penal, a que este se sustancie de conformidad con la ley y las reglas del proceso justo, y a obtener en él una respuesta fundada en Derecho sobre sus pretensiones, pero no un pretendido derecho a obtener la condena de los acusados.</w:t>
      </w:r>
    </w:p>
    <w:p w14:paraId="4B5A11BC" w14:textId="77777777" w:rsidR="003754FE" w:rsidRDefault="003754FE" w:rsidP="003754FE">
      <w:pPr>
        <w:pStyle w:val="TextoNormal"/>
      </w:pPr>
    </w:p>
    <w:p w14:paraId="5C9B4272" w14:textId="79706654" w:rsidR="003754FE" w:rsidRDefault="003754FE" w:rsidP="003754FE">
      <w:pPr>
        <w:pStyle w:val="TextoNormal"/>
      </w:pPr>
      <w:r>
        <w:t>La acusación no tiene derecho a revisar una sentencia absolutoria si no ha habido una quiebra esencial del proceso (las garantías de acusado y acusador son asimétricas), y en el presente caso la Audiencia Provincial de Murcia funda su negativa a celebrar vista en el art. 790.3 LECrim, que no prevé la celebración de vista en segunda instancia con la pretensión expresada en el motivo aducido en la demanda de amparo. No existe, por tanto, la vulneración del derecho a la tutela judicial efectiva que alegan las compañías recurrentes.</w:t>
      </w:r>
    </w:p>
    <w:p w14:paraId="2CBF0A2E" w14:textId="77777777" w:rsidR="003754FE" w:rsidRDefault="003754FE" w:rsidP="003754FE">
      <w:pPr>
        <w:pStyle w:val="TextoNormal"/>
      </w:pPr>
    </w:p>
    <w:p w14:paraId="009E0183" w14:textId="48ACB6F0" w:rsidR="003754FE" w:rsidRDefault="003754FE" w:rsidP="003754FE">
      <w:pPr>
        <w:pStyle w:val="TextoNormal"/>
      </w:pPr>
      <w:r w:rsidRPr="003754FE">
        <w:rPr>
          <w:rStyle w:val="NumeroAFNegritaCaracter"/>
        </w:rPr>
        <w:t>9</w:t>
      </w:r>
      <w:r>
        <w:t>. Por providencia de 31 de octubre de 2024 se señaló para votación y fallo del presente recurso el día 4 de noviembre de 2024.</w:t>
      </w:r>
    </w:p>
    <w:p w14:paraId="1472D795" w14:textId="77777777" w:rsidR="003754FE" w:rsidRDefault="003754FE" w:rsidP="003754FE">
      <w:pPr>
        <w:pStyle w:val="TextoNormal"/>
      </w:pPr>
    </w:p>
    <w:p w14:paraId="5A98BD67" w14:textId="77777777" w:rsidR="003754FE" w:rsidRDefault="003754FE" w:rsidP="003754FE">
      <w:pPr>
        <w:pStyle w:val="TextoNormalNegritaCentrado"/>
        <w:keepNext/>
      </w:pPr>
      <w:r>
        <w:t>II. Fundamentos jurídicos</w:t>
      </w:r>
    </w:p>
    <w:p w14:paraId="6A827DD5" w14:textId="2B2236B0" w:rsidR="003754FE" w:rsidRDefault="003754FE" w:rsidP="003754FE">
      <w:pPr>
        <w:pStyle w:val="TextoNormalNegritaCentrado"/>
        <w:keepNext/>
      </w:pPr>
    </w:p>
    <w:p w14:paraId="25EC9476" w14:textId="77777777" w:rsidR="003754FE" w:rsidRDefault="003754FE" w:rsidP="003754FE">
      <w:pPr>
        <w:pStyle w:val="TextoNormal"/>
      </w:pPr>
      <w:r w:rsidRPr="003754FE">
        <w:rPr>
          <w:rStyle w:val="NumeroAFNegritaCaracter"/>
        </w:rPr>
        <w:t>1</w:t>
      </w:r>
      <w:r>
        <w:t xml:space="preserve">. </w:t>
      </w:r>
      <w:r w:rsidRPr="003754FE">
        <w:rPr>
          <w:i/>
        </w:rPr>
        <w:t>Objeto del recurso y pretensiones de las partes</w:t>
      </w:r>
    </w:p>
    <w:p w14:paraId="583A3B85" w14:textId="77777777" w:rsidR="003754FE" w:rsidRDefault="003754FE" w:rsidP="003754FE">
      <w:pPr>
        <w:pStyle w:val="TextoNormal"/>
      </w:pPr>
    </w:p>
    <w:p w14:paraId="27EAAFDF" w14:textId="77777777" w:rsidR="003754FE" w:rsidRDefault="003754FE" w:rsidP="003754FE">
      <w:pPr>
        <w:pStyle w:val="TextoNormal"/>
      </w:pPr>
      <w:r>
        <w:t>El presente recurso de amparo se dirige contra la sentencia de 26 de febrero de 2021 de la Sección Segunda de la Audiencia Provincial de Murcia, recaída en el recurso de apelación penal núm. 152-2019, que confirma la sentencia absolutoria dictada el 21 de junio de 2019 por el Juzgado de lo Penal núm. 4 de Murcia, en el procedimiento abreviado núm. 386-2016, seguido por supuesto delito contra la propiedad intelectual. Asimismo, se impugna el auto de 30 de noviembre de 2022, que desestima el incidente de nulidad promovido por las entidades recurrentes contra la sentencia de apelación, en cuanto no reparó las pretendidas lesiones alegadas.</w:t>
      </w:r>
    </w:p>
    <w:p w14:paraId="0276CFCC" w14:textId="77777777" w:rsidR="003754FE" w:rsidRDefault="003754FE" w:rsidP="003754FE">
      <w:pPr>
        <w:pStyle w:val="TextoNormal"/>
      </w:pPr>
    </w:p>
    <w:p w14:paraId="035E7675" w14:textId="77777777" w:rsidR="003754FE" w:rsidRDefault="003754FE" w:rsidP="003754FE">
      <w:pPr>
        <w:pStyle w:val="TextoNormal"/>
      </w:pPr>
      <w:r>
        <w:t xml:space="preserve">Las demandantes de amparo, que ejercieron la acusación particular en el proceso penal referido, sostienen que la sentencia de apelación ha vulnerado su derecho fundamental a la tutela judicial efectiva (art. 24.1 CE). En primer lugar, por falta de fundamentación razonada en Derecho, porque la sentencia impugnada ha entendido indebidamente que la sentencia de instancia incluye en su fundamento jurídico octavo un hecho probado referido a la falta de conciencia por parte de los acusados de la ilicitud de su proceder. En segundo lugar, porque carece de racionalidad en la calificación implícita que realiza respecto del error de prohibición en la conducta de los acusados. Por último, por haber creado un obstáculo procesal para la estimación del recurso de apelación al denegar la celebración de la vista en la </w:t>
      </w:r>
      <w:r>
        <w:lastRenderedPageBreak/>
        <w:t>que fueran oídos los acusados, necesaria según la doctrina constitucional para revocar la absolución decretada por el juzgado de lo penal.</w:t>
      </w:r>
    </w:p>
    <w:p w14:paraId="5BF3DDFA" w14:textId="77777777" w:rsidR="003754FE" w:rsidRDefault="003754FE" w:rsidP="003754FE">
      <w:pPr>
        <w:pStyle w:val="TextoNormal"/>
      </w:pPr>
    </w:p>
    <w:p w14:paraId="69369114" w14:textId="77777777" w:rsidR="003754FE" w:rsidRDefault="003754FE" w:rsidP="003754FE">
      <w:pPr>
        <w:pStyle w:val="TextoNormal"/>
      </w:pPr>
      <w:r>
        <w:t>El Ministerio Fiscal, por las razones que han quedado resumidas en el relato de antecedentes, solicita la desestimación del recurso de amparo.</w:t>
      </w:r>
    </w:p>
    <w:p w14:paraId="5EB3E28E" w14:textId="77777777" w:rsidR="003754FE" w:rsidRDefault="003754FE" w:rsidP="003754FE">
      <w:pPr>
        <w:pStyle w:val="TextoNormal"/>
      </w:pPr>
    </w:p>
    <w:p w14:paraId="7D256746" w14:textId="51D26FFD" w:rsidR="003754FE" w:rsidRDefault="003754FE" w:rsidP="003754FE">
      <w:pPr>
        <w:pStyle w:val="TextoNormal"/>
      </w:pPr>
      <w:r>
        <w:t>La representación procesal de don Alexis Hoepfner Bernardet, administrador de la sociedad Burn Media, S.L., acusado en el proceso penal, solicita la desestimación del recurso de amparo y que, de conformidad con lo dispuesto en el art. 95.2 LOTC, le sean impuestas a las entidades demandantes las costas derivadas de la tramitación del presente proceso constitucional.</w:t>
      </w:r>
    </w:p>
    <w:p w14:paraId="71D248BF" w14:textId="77777777" w:rsidR="003754FE" w:rsidRDefault="003754FE" w:rsidP="003754FE">
      <w:pPr>
        <w:pStyle w:val="TextoNormal"/>
      </w:pPr>
    </w:p>
    <w:p w14:paraId="67C50BA0" w14:textId="77777777" w:rsidR="003754FE" w:rsidRDefault="003754FE" w:rsidP="003754FE">
      <w:pPr>
        <w:pStyle w:val="TextoNormal"/>
      </w:pPr>
      <w:r w:rsidRPr="003754FE">
        <w:rPr>
          <w:rStyle w:val="NumeroAFNegritaCaracter"/>
        </w:rPr>
        <w:t>2</w:t>
      </w:r>
      <w:r>
        <w:t xml:space="preserve">. </w:t>
      </w:r>
      <w:r w:rsidRPr="003754FE">
        <w:rPr>
          <w:i/>
        </w:rPr>
        <w:t>Precisiones para la delimitación del recurso de amparo</w:t>
      </w:r>
    </w:p>
    <w:p w14:paraId="18B028C6" w14:textId="77777777" w:rsidR="003754FE" w:rsidRDefault="003754FE" w:rsidP="003754FE">
      <w:pPr>
        <w:pStyle w:val="TextoNormal"/>
      </w:pPr>
    </w:p>
    <w:p w14:paraId="0C8925E9" w14:textId="77777777" w:rsidR="003754FE" w:rsidRDefault="003754FE" w:rsidP="003754FE">
      <w:pPr>
        <w:pStyle w:val="TextoNormal"/>
      </w:pPr>
      <w:r>
        <w:t>Para la adecuada delimitación del objeto del recurso de amparo son necesarias algunas precisiones previas, a la vista de las pretensiones deducidas por las partes.</w:t>
      </w:r>
    </w:p>
    <w:p w14:paraId="4315644D" w14:textId="77777777" w:rsidR="003754FE" w:rsidRDefault="003754FE" w:rsidP="003754FE">
      <w:pPr>
        <w:pStyle w:val="TextoNormal"/>
      </w:pPr>
    </w:p>
    <w:p w14:paraId="0554C67B" w14:textId="77777777" w:rsidR="003754FE" w:rsidRDefault="003754FE" w:rsidP="003754FE">
      <w:pPr>
        <w:pStyle w:val="TextoNormal"/>
      </w:pPr>
      <w:r>
        <w:t>a) En primer lugar, procede apreciar el óbice de admisibilidad que aduce la representación procesal de don Alexis Hoepfner Bernardet y la entidad Burn Media, S.L., en relación con la queja de las entidades demandantes referida a la lesión del derecho a la tutela judicial efectiva (art. 24.1 CE) por la negativa de la Audiencia Provincial de Murcia a celebrar vista en la tramitación del recurso de apelación (tercer motivo del recurso de amparo).</w:t>
      </w:r>
    </w:p>
    <w:p w14:paraId="166D8C93" w14:textId="77777777" w:rsidR="003754FE" w:rsidRDefault="003754FE" w:rsidP="003754FE">
      <w:pPr>
        <w:pStyle w:val="TextoNormal"/>
      </w:pPr>
    </w:p>
    <w:p w14:paraId="4544CB5F" w14:textId="77777777" w:rsidR="003754FE" w:rsidRDefault="003754FE" w:rsidP="003754FE">
      <w:pPr>
        <w:pStyle w:val="TextoNormal"/>
      </w:pPr>
      <w:r>
        <w:t>En efecto, esta tacha incurre en el óbice de falta de agotamiento de los medios de impugnación previstos en la vía judicial [art. 44.1 a) LOTC], porque, como se señala en el auto de 30 de noviembre de 2022, que desestima el incidente de nulidad interpuesto contra la sentencia de apelación, las entidades demandantes no interpusieron recurso de súplica contra la providencia de 10 de marzo de 2020 que denegó la solicitud de celebración de vista, decisión que quedó así firme y consentida. La alegación de esta queja en el incidente de nulidad resulta intempestiva, por lo que no puede subsanar el referido óbice de admisibilidad, a lo que ha de añadirse que las entidades demandantes no dirigen ningún reproche específico al auto que desestima su incidente de nulidad.</w:t>
      </w:r>
    </w:p>
    <w:p w14:paraId="19DE5D77" w14:textId="77777777" w:rsidR="003754FE" w:rsidRDefault="003754FE" w:rsidP="003754FE">
      <w:pPr>
        <w:pStyle w:val="TextoNormal"/>
      </w:pPr>
    </w:p>
    <w:p w14:paraId="33EA7CDE" w14:textId="77777777" w:rsidR="003754FE" w:rsidRDefault="003754FE" w:rsidP="003754FE">
      <w:pPr>
        <w:pStyle w:val="TextoNormal"/>
      </w:pPr>
      <w:r>
        <w:t>En consecuencia, este tribunal entrará a examinar los motivos primero y segundo del recurso de amparo interpuesto por las entidades demandantes contra la sentencia dictada por la Sección Segunda de la Audiencia Provincial de Murcia en el recurso de apelación penal núm. 152-2019, que confirma la absolución de los acusados decretada por la sentencia de instancia. Valga en cualquier caso advertir que los recursos de apelación de las entidades demandantes, al igual que el de la otra acusación particular y el del Ministerio Fiscal se formularon y admitieron por la vía de la infracción de ley, planteándose en consecuencia una cuestión estrictamente jurídica, lo que excluía la necesidad de celebrar vista en apelación en la que fueran oídos los acusados, como presupuesto para la eventual anulación del fallo absolutorio impugnado.</w:t>
      </w:r>
    </w:p>
    <w:p w14:paraId="3463F878" w14:textId="77777777" w:rsidR="003754FE" w:rsidRDefault="003754FE" w:rsidP="003754FE">
      <w:pPr>
        <w:pStyle w:val="TextoNormal"/>
      </w:pPr>
    </w:p>
    <w:p w14:paraId="039D6CE7" w14:textId="77777777" w:rsidR="003754FE" w:rsidRDefault="003754FE" w:rsidP="003754FE">
      <w:pPr>
        <w:pStyle w:val="TextoNormal"/>
      </w:pPr>
      <w:r>
        <w:t xml:space="preserve">b) Procede asimismo declarar que debe rechazarse en cualquier caso la solicitud de condena en costas a las entidades demandantes de amparo que, con invocación del art. 95.2 LOTC, deduce la representación procesal de don Alexis Hoepfner Bernardet y la entidad Burn Media, S.L. La mera admisión a trámite del presente recurso de amparo, por apreciar </w:t>
      </w:r>
      <w:r>
        <w:lastRenderedPageBreak/>
        <w:t>el Tribunal que el asunto reviste especial trascendencia constitucional, impide apreciar la temeridad o mala fe que legitimarían la imposición de las costas a las entidades demandantes conforme a dicho precepto (así, STC 126/2013, de 3 de junio, FJ 8).</w:t>
      </w:r>
    </w:p>
    <w:p w14:paraId="228605F0" w14:textId="77777777" w:rsidR="003754FE" w:rsidRDefault="003754FE" w:rsidP="003754FE">
      <w:pPr>
        <w:pStyle w:val="TextoNormal"/>
      </w:pPr>
    </w:p>
    <w:p w14:paraId="11E729A3" w14:textId="77777777" w:rsidR="003754FE" w:rsidRDefault="003754FE" w:rsidP="003754FE">
      <w:pPr>
        <w:pStyle w:val="TextoNormal"/>
      </w:pPr>
      <w:r>
        <w:t>c) Debe recordarse, por último, antes de entrar a examinar las quejas de las entidades demandantes, que lo que se discute en el recurso de amparo no es la norma penal aplicada, claro está, sino su aplicación judicial al caso concreto, en cuanto se refiere a una conducta que la sentencia impugnada, confirmando la dictada en primera instancia, ha considerado no merecedora de reproche penal. Dicho de otro modo, el problema constitucional planteado en el presente recurso de amparo no tiene que ver con la previsión legal abstracta de protección penal de la propiedad intelectual que establece nuestro ordenamiento jurídico; en el caso que nos ocupa, el art. 270 CP, en su redacción anterior a la reforma introducida por la Ley Orgánica 1/2015.</w:t>
      </w:r>
    </w:p>
    <w:p w14:paraId="48EEAB8F" w14:textId="77777777" w:rsidR="003754FE" w:rsidRDefault="003754FE" w:rsidP="003754FE">
      <w:pPr>
        <w:pStyle w:val="TextoNormal"/>
      </w:pPr>
    </w:p>
    <w:p w14:paraId="28899C25" w14:textId="77777777" w:rsidR="003754FE" w:rsidRDefault="003754FE" w:rsidP="003754FE">
      <w:pPr>
        <w:pStyle w:val="TextoNormal"/>
      </w:pPr>
      <w:r>
        <w:t>En efecto, la norma penal aplicada persigue un fin legítimo, no es indeterminada y está prevista en la ley de forma accesible y previsible. Ninguna duda razonada cabe sobre la relevancia del bien jurídico protegido y la legitimidad de la finalidad del tipo penal, pues se dirige a proteger los derechos de autor o derechos derivados de la propiedad intelectual, que son los reconocidos en la legislación específica (en la actualidad, en el texto refundido de la Ley de propiedad intelectual, aprobado por el Real Decreto Legislativo 1/1996, de 12 de abril).</w:t>
      </w:r>
    </w:p>
    <w:p w14:paraId="7C1E4746" w14:textId="77777777" w:rsidR="003754FE" w:rsidRDefault="003754FE" w:rsidP="003754FE">
      <w:pPr>
        <w:pStyle w:val="TextoNormal"/>
      </w:pPr>
    </w:p>
    <w:p w14:paraId="31F6616E" w14:textId="77777777" w:rsidR="003754FE" w:rsidRDefault="003754FE" w:rsidP="003754FE">
      <w:pPr>
        <w:pStyle w:val="TextoNormal"/>
      </w:pPr>
      <w:r>
        <w:t xml:space="preserve">Cuestión distinta es determinar si los hechos enjuiciados en el proceso penal </w:t>
      </w:r>
      <w:r w:rsidRPr="003754FE">
        <w:rPr>
          <w:i/>
        </w:rPr>
        <w:t>a quo</w:t>
      </w:r>
      <w:r>
        <w:t xml:space="preserve"> son subsumibles en el delito contra la propiedad intelectual previsto y penado en el art. 270 CP, en la redacción aplicable al momento en que esos hechos tuvieron lugar, tarea aplicativa que corresponde en exclusiva a los jueces y tribunales del orden penal (art. 117.3 CE), siendo ajena al contenido de la jurisdicción constitucional “la interpretación última del contenido de los tipos sancionadores y el control de la corrección del proceso de subsunción de los hechos probados en los preceptos aplicados” (STC 137/1997, de 21 de julio, FJ 7).</w:t>
      </w:r>
    </w:p>
    <w:p w14:paraId="4D3BC2C2" w14:textId="77777777" w:rsidR="003754FE" w:rsidRDefault="003754FE" w:rsidP="003754FE">
      <w:pPr>
        <w:pStyle w:val="TextoNormal"/>
      </w:pPr>
    </w:p>
    <w:p w14:paraId="7905614B" w14:textId="6098E05C" w:rsidR="003754FE" w:rsidRDefault="003754FE" w:rsidP="003754FE">
      <w:pPr>
        <w:pStyle w:val="TextoNormal"/>
      </w:pPr>
      <w:r>
        <w:t xml:space="preserve">Baste en cualquier caso recordar que la jurisdicción penal ha entendido en el asunto que nos ocupa que las conductas enjuiciadas no tenían encaje en el tipo penal previsto en el en el art. 270.1 CP, en su redacción anterior a la reforma de este precepto por la Ley Orgánica 1/2015, aplicable al caso. Y no será ocioso advertir que la reforma introducida por esta ley en el art. 270 CP tipificó expresamente la actividad de las llamadas páginas webs de enlaces que, sin alojar directamente contenidos audiovisuales protegidos por derechos de autor, proporcionan enlaces a servidores externos en los que están alojados esos contenidos y desde los que pueden ser disfrutados mediante el visionado en </w:t>
      </w:r>
      <w:r w:rsidRPr="003754FE">
        <w:rPr>
          <w:i/>
        </w:rPr>
        <w:t>streaming</w:t>
      </w:r>
      <w:r>
        <w:t xml:space="preserve"> o por descarga.</w:t>
      </w:r>
    </w:p>
    <w:p w14:paraId="413226E9" w14:textId="77777777" w:rsidR="003754FE" w:rsidRDefault="003754FE" w:rsidP="003754FE">
      <w:pPr>
        <w:pStyle w:val="TextoNormal"/>
      </w:pPr>
    </w:p>
    <w:p w14:paraId="74994D20" w14:textId="77777777" w:rsidR="003754FE" w:rsidRDefault="003754FE" w:rsidP="003754FE">
      <w:pPr>
        <w:pStyle w:val="TextoNormal"/>
      </w:pPr>
      <w:r w:rsidRPr="003754FE">
        <w:rPr>
          <w:rStyle w:val="NumeroAFNegritaCaracter"/>
        </w:rPr>
        <w:t>3</w:t>
      </w:r>
      <w:r>
        <w:t xml:space="preserve">. </w:t>
      </w:r>
      <w:r w:rsidRPr="003754FE">
        <w:rPr>
          <w:i/>
        </w:rPr>
        <w:t>La asimétrica posición de garantía de las partes en el proceso penal y su proyección en el juicio de apelación</w:t>
      </w:r>
    </w:p>
    <w:p w14:paraId="410775D5" w14:textId="77777777" w:rsidR="003754FE" w:rsidRDefault="003754FE" w:rsidP="003754FE">
      <w:pPr>
        <w:pStyle w:val="TextoNormal"/>
      </w:pPr>
    </w:p>
    <w:p w14:paraId="527354F6" w14:textId="77777777" w:rsidR="003754FE" w:rsidRDefault="003754FE" w:rsidP="003754FE">
      <w:pPr>
        <w:pStyle w:val="TextoNormal"/>
      </w:pPr>
      <w:r>
        <w:t>Las compañías demandantes, que han ejercido la acusación particular en el proceso penal del que trae causa el presente recurso de amparo, reprochan a la sentencia impugnada, que confirmó en apelación el pronunciamiento absolutorio dictado por el Juzgado de lo Penal núm. 4 de Murcia, la vulneración del derecho a la tutela judicial efectiva (art. 24.1 CE), en los términos que han quedado expuestos (motivos primero y segundo de la demanda de amparo).</w:t>
      </w:r>
    </w:p>
    <w:p w14:paraId="6AA2D4A4" w14:textId="77777777" w:rsidR="003754FE" w:rsidRDefault="003754FE" w:rsidP="003754FE">
      <w:pPr>
        <w:pStyle w:val="TextoNormal"/>
      </w:pPr>
    </w:p>
    <w:p w14:paraId="61044D37" w14:textId="77777777" w:rsidR="003754FE" w:rsidRDefault="003754FE" w:rsidP="003754FE">
      <w:pPr>
        <w:pStyle w:val="TextoNormal"/>
      </w:pPr>
      <w:r>
        <w:t>Así las cosas, es pertinente, antes de entrar en el examen de las concretas quejas que formulan las entidades demandantes, traer a colación la doctrina constitucional acerca de la asimétrica posición de garantía de las partes en el proceso penal y su proyección en el juicio de apelación, recordada en la reciente STC 72/2024, FJ 4.</w:t>
      </w:r>
    </w:p>
    <w:p w14:paraId="64C01D2D" w14:textId="77777777" w:rsidR="003754FE" w:rsidRDefault="003754FE" w:rsidP="003754FE">
      <w:pPr>
        <w:pStyle w:val="TextoNormal"/>
      </w:pPr>
    </w:p>
    <w:p w14:paraId="46BF4062" w14:textId="77777777" w:rsidR="003754FE" w:rsidRDefault="003754FE" w:rsidP="003754FE">
      <w:pPr>
        <w:pStyle w:val="TextoNormal"/>
      </w:pPr>
      <w:r>
        <w:t xml:space="preserve">En efecto, en una constante doctrina este tribunal ha declarado que, dada la trascendencia propia de la reacción penal y los distintos intereses que las partes defienden en el proceso penal, las normas procesales y la propia Constitución definen una posición de garantía asimétrica para las personas acusadas y las partes acusadoras. De esta suerte, si bien el debate procesal debe desarrollarse en condiciones de igualdad procesal y contradicción, de modo que todos los intervinientes tengan plena capacidad de alegación y prueba (SSTC 138/1999, de 22 de julio, FJ 4, y 178/2001, de 17 de septiembre, FJ 3, por todas), ello no comporta que acusadores y acusados sean iguales en garantías, pues ni son iguales los intereses que arriesgan en el proceso penal ni el mismo es prioritariamente un mecanismo de solución de un conflicto entre ambos, sino un instrumento para la administración del </w:t>
      </w:r>
      <w:r w:rsidRPr="003754FE">
        <w:rPr>
          <w:i/>
        </w:rPr>
        <w:t>ius puniendi</w:t>
      </w:r>
      <w:r>
        <w:t xml:space="preserve"> del Estado, en el que “el ejercicio de la potestad punitiva constituye el objeto mismo del proceso” (STC 41/1997, de 10 de marzo, FJ 5, y 285/2005, de 7 de noviembre, FJ 4).</w:t>
      </w:r>
    </w:p>
    <w:p w14:paraId="071D59E7" w14:textId="77777777" w:rsidR="003754FE" w:rsidRDefault="003754FE" w:rsidP="003754FE">
      <w:pPr>
        <w:pStyle w:val="TextoNormal"/>
      </w:pPr>
    </w:p>
    <w:p w14:paraId="76AF6C2F" w14:textId="77777777" w:rsidR="003754FE" w:rsidRDefault="003754FE" w:rsidP="003754FE">
      <w:pPr>
        <w:pStyle w:val="TextoNormal"/>
      </w:pPr>
      <w:r>
        <w:t>Así, para el acusado en un proceso penal, la presunción de inocencia, como regla de juicio, es la clave de bóveda de las garantías que definen su posición y le protegen frente a un castigo arbitrario (SSTC 41/1997 y 81/1998, de 2 de abril, FJ 3). Unas garantías que, junto al derecho mismo a la presunción de inocencia, incluyen los derechos a ser informado de la acusación, a no declarar contra uno mismo, a no confesarse culpable, a la revisión de la condena por un tribunal superior, a no ser juzgado ni condenado dos veces por los mismos hechos (</w:t>
      </w:r>
      <w:r w:rsidRPr="003754FE">
        <w:rPr>
          <w:i/>
        </w:rPr>
        <w:t>ne bis in idem</w:t>
      </w:r>
      <w:r>
        <w:t>) y a la legalidad penal.</w:t>
      </w:r>
    </w:p>
    <w:p w14:paraId="2E62C408" w14:textId="77777777" w:rsidR="003754FE" w:rsidRDefault="003754FE" w:rsidP="003754FE">
      <w:pPr>
        <w:pStyle w:val="TextoNormal"/>
      </w:pPr>
    </w:p>
    <w:p w14:paraId="5D8DF3CF" w14:textId="77777777" w:rsidR="003754FE" w:rsidRDefault="003754FE" w:rsidP="003754FE">
      <w:pPr>
        <w:pStyle w:val="TextoNormal"/>
      </w:pPr>
      <w:r>
        <w:t xml:space="preserve">Distinta es la posición del acusador. Como también viene declarando una reiterada doctrina constitucional que se remonta a la STC 108/1983, de 29 de noviembre, FJ 2, el art. 24.1 CE, en cuanto garantiza el derecho a la tutela judicial efectiva sin indefensión, comprende en favor de los acusadores el derecho a la jurisdicción penal, caracterizado como un </w:t>
      </w:r>
      <w:r w:rsidRPr="003754FE">
        <w:rPr>
          <w:i/>
        </w:rPr>
        <w:t>ius ut procedatur</w:t>
      </w:r>
      <w:r>
        <w:t>. Es decir, la parte acusadora ostenta el derecho a la acción penal, esto es, a la apertura y plena sustanciación del proceso penal en los casos y conforme a las previsiones de la ley y de acuerdo con las reglas del proceso justo, y a obtener una respuesta judicial fundada en Derecho sobre sus pretensiones (SSTC 120/2000, de 10 de mayo, FJ 4, y 12/2006, de 16 de enero, FJ 2, por todas). Lo que no ostenta el acusador es un pretendido derecho a obtener la condena del acusado (entre otras muchas, SSTC 74/1997, de 21 de abril, FJ 5; 12/2006, FJ 2, y 26/2018, de 5 de marzo, FJ 3). De acuerdo con ello, la lesión del derecho a la tutela judicial efectiva sin indefensión del acusador puede conllevar, como resultado, la anulación de una resolución judicial penal materialmente absolutoria, ya sea el auto de sobreseimiento o la sentencia, con orden de retroacción de actuaciones, en el caso de que se haya producido “una quiebra de una regla esencial del proceso justo en perjuicio de la acusación, ya que el desarrollo de las actuaciones procesales sin las garantías consustanciales al proceso justo no permite hablar de proceso en sentido propio, ni puede permitir que la sentencia absolutoria adquiera el carácter de inatacable” (STC 4/2004, de 14 de enero, FJ 4).</w:t>
      </w:r>
    </w:p>
    <w:p w14:paraId="0B0A1E46" w14:textId="77777777" w:rsidR="003754FE" w:rsidRDefault="003754FE" w:rsidP="003754FE">
      <w:pPr>
        <w:pStyle w:val="TextoNormal"/>
      </w:pPr>
    </w:p>
    <w:p w14:paraId="2C28C99D" w14:textId="77777777" w:rsidR="003754FE" w:rsidRDefault="003754FE" w:rsidP="003754FE">
      <w:pPr>
        <w:pStyle w:val="TextoNormal"/>
      </w:pPr>
      <w:r>
        <w:lastRenderedPageBreak/>
        <w:t>En efecto, mientras que el acusado que ha resultado condenado en un proceso penal tiene reconocido el derecho fundamental a la doble instancia penal o doble grado de jurisdicción, esto es, a que la declaración de culpabilidad y la pena que le ha sido impuesta sean revisadas de manera efectiva por un tribunal superior (entre otras muchas, SSTC 42/1982, de 5 de julio, FJ 3; 76/1982, de 14 de diciembre, FJ 5; 70/2002, de 3 de abril, FJ 7; 105/2003, de 2 de junio, FJ 2, y 116/2006, de 24 de abril, FJ 5), por el contrario, el Ministerio Fiscal, en caso de que hubiere ejercido la acción pública, y la acusación particular (o popular, en su caso), no son titulares del derecho al doble grado de jurisdicción, pero sí lo son del derecho a los recursos establecidos por la ley, por lo que pueden instar la revisión de los fallos absolutorios en los términos establecidos por la legislación procesal.</w:t>
      </w:r>
    </w:p>
    <w:p w14:paraId="19A63B5D" w14:textId="77777777" w:rsidR="003754FE" w:rsidRDefault="003754FE" w:rsidP="003754FE">
      <w:pPr>
        <w:pStyle w:val="TextoNormal"/>
      </w:pPr>
    </w:p>
    <w:p w14:paraId="544A51D2" w14:textId="77777777" w:rsidR="003754FE" w:rsidRDefault="003754FE" w:rsidP="003754FE">
      <w:pPr>
        <w:pStyle w:val="TextoNormal"/>
      </w:pPr>
      <w:r>
        <w:t>De esta suerte, conforme a la jurisprudencia de este tribunal, resulta constitucionalmente admisible la anulación de una sentencia penal absolutoria en aquellos casos en los que se constate la quiebra de una regla esencial del proceso en perjuicio de la acusación ya que, en ese supuesto, la ausencia de garantías no permite hablar de “proceso” en sentido propio, ni puede permitir tampoco que la sentencia absolutoria adquiera el carácter de inatacable, en la medida en que ha sido dictada en un proceso penal sustanciado con quebranto de las más elementales garantías constitucionales del proceso justo (entre otras muchas, SSTC 4/2004, FJ 4; 23/2008, de 11 de febrero, FJ 3; 9/2024, de 17 de enero, FJ 3, y 72/2024, FJ 4).</w:t>
      </w:r>
    </w:p>
    <w:p w14:paraId="0B725029" w14:textId="77777777" w:rsidR="003754FE" w:rsidRDefault="003754FE" w:rsidP="003754FE">
      <w:pPr>
        <w:pStyle w:val="TextoNormal"/>
      </w:pPr>
    </w:p>
    <w:p w14:paraId="72F58FD0" w14:textId="77777777" w:rsidR="003754FE" w:rsidRDefault="003754FE" w:rsidP="003754FE">
      <w:pPr>
        <w:pStyle w:val="TextoNormal"/>
      </w:pPr>
      <w:r>
        <w:t>Asimismo, resulta constitucionalmente admisible la revisión del juicio fáctico de una sentencia penal absolutoria con fundamento en la existencia de discrepancias sobre el juicio fáctico o la apreciación de duda razonable (esto es, valoración probatoria) establecido en esa sentencia, en los términos establecidos en la Ley de enjuiciamiento criminal y con el alcance y límites que ha precisado la citada STC 72/2024. En síntesis, las posibilidades efectivas de revocación en apelación de una sentencia absolutoria por esta vía de recurso “se limitan constitucionalmente a un control de razonabilidad cuyo objeto puede extenderse: (i) a la motivación o justificación de la conclusión probatoria, cuando resulte ausente, insuficiente o apoyada en un error de hecho patente que derive de las actuaciones; (ii) a la utilización de reglas de inferencia fáctica contrarias a la lógica, el conocimiento científico o las máximas de experiencia; (iii) a la omisión de razonamiento sobre pruebas practicadas que sean relevantes para el fallo; o finalmente (iv) a la previa decisión de excluirlas del acervo probatorio por considerarlas inválidas (contrarias a los principios de igualdad de armas y contradicción) o ilegítimas (por haberse declarado que fueron obtenidas como consecuencia de la vulneración directa o indirecta de derechos fundamentales sustantivos). Se trata, en última instancia, de criterios de control que son garantía frente a la arbitrariedad de la decisión judicial absolutoria lesiva de una garantía constitucional esencial de las acusaciones reconocida en el art. 24.1 CE, y que, sintetizando jurisprudencia anterior, han sido oportunamente recogidos en el art. 790.2 LECrim tras su reforma por la Ley 41/2015” (STC 72/2024, FJ 4).</w:t>
      </w:r>
    </w:p>
    <w:p w14:paraId="482029B4" w14:textId="77777777" w:rsidR="003754FE" w:rsidRDefault="003754FE" w:rsidP="003754FE">
      <w:pPr>
        <w:pStyle w:val="TextoNormal"/>
      </w:pPr>
    </w:p>
    <w:p w14:paraId="250D790E" w14:textId="6EF21F2E" w:rsidR="003754FE" w:rsidRDefault="003754FE" w:rsidP="003754FE">
      <w:pPr>
        <w:pStyle w:val="TextoNormal"/>
      </w:pPr>
      <w:r>
        <w:t xml:space="preserve">El fundamento normativo de la posibilidad de revisar en apelación el juicio fáctico de la sentencia penal absolutoria y anular esta, con devolución de actuaciones en ese caso al órgano judicial que dictó la sentencia apelada, se halla actualmente en los arts. 790.2 y 792.2 LECrim, tras la modificación introducida por la Ley 41/2015, aplicable a los procedimientos penales incoados con posterioridad a su entrada en vigor, que se produjo el 6 de diciembre de 2015 (disposición transitoria única.1 y disposición final cuarta de la Ley 41/2015), como es el caso del procedimiento en que ha sido dictada la sentencia impugnada en el presente </w:t>
      </w:r>
      <w:r>
        <w:lastRenderedPageBreak/>
        <w:t>recurso de amparo. Sin perjuicio de lo cual cabe notar que la posibilidad de impugnación y eventual revisión en apelación del juicio fáctico de las sentencias penales absolutorias con los efectos reparatorios que le sean inherentes es “una consecuencia que deriva del derecho a la tutela judicial efectiva de la parte acusadora, y no de la ley citada, que es solo una determinación normativa de aquel derecho” (STC 72/2024, FJ 3).</w:t>
      </w:r>
    </w:p>
    <w:p w14:paraId="6278B6C0" w14:textId="77777777" w:rsidR="003754FE" w:rsidRDefault="003754FE" w:rsidP="003754FE">
      <w:pPr>
        <w:pStyle w:val="TextoNormal"/>
      </w:pPr>
    </w:p>
    <w:p w14:paraId="3F7566D5" w14:textId="77777777" w:rsidR="003754FE" w:rsidRDefault="003754FE" w:rsidP="003754FE">
      <w:pPr>
        <w:pStyle w:val="TextoNormal"/>
      </w:pPr>
      <w:r w:rsidRPr="003754FE">
        <w:rPr>
          <w:rStyle w:val="NumeroAFNegritaCaracter"/>
        </w:rPr>
        <w:t>4</w:t>
      </w:r>
      <w:r>
        <w:t xml:space="preserve">. </w:t>
      </w:r>
      <w:r w:rsidRPr="003754FE">
        <w:rPr>
          <w:i/>
        </w:rPr>
        <w:t>Enjuiciamiento de las quejas referidas a la quiebra del derecho a la tutela judicial efectiva que se imputan a la sentencia dictada en apelación</w:t>
      </w:r>
    </w:p>
    <w:p w14:paraId="37938E37" w14:textId="77777777" w:rsidR="003754FE" w:rsidRDefault="003754FE" w:rsidP="003754FE">
      <w:pPr>
        <w:pStyle w:val="TextoNormal"/>
      </w:pPr>
    </w:p>
    <w:p w14:paraId="46DB542C" w14:textId="77777777" w:rsidR="003754FE" w:rsidRDefault="003754FE" w:rsidP="003754FE">
      <w:pPr>
        <w:pStyle w:val="TextoNormal"/>
      </w:pPr>
      <w:r>
        <w:t>Conforme quedó expuesto, las entidades demandantes alegan, como primer motivo de amparo, la vulneración del derecho a la tutela judicial efectiva (art. 24.1 CE), por falta de fundamentación razonada en Derecho, porque la sentencia impugnada ha entendido indebidamente que la sentencia de instancia incluye en su fundamento jurídico octavo un hecho probado referido a la falta de conciencia por parte de los acusados de la ilicitud de su proceder. Dicho de otro modo, sostienen que la sentencia dictada en apelación habría procedido indebidamente a completar el relato de hechos probados de la sentencia absolutoria de instancia, que no contiene como hecho probado la falta de conciencia de la ilicitud de la actividad enjuiciada, con el fundamento jurídico octavo de esta misma sentencia.</w:t>
      </w:r>
    </w:p>
    <w:p w14:paraId="0EB17789" w14:textId="77777777" w:rsidR="003754FE" w:rsidRDefault="003754FE" w:rsidP="003754FE">
      <w:pPr>
        <w:pStyle w:val="TextoNormal"/>
      </w:pPr>
    </w:p>
    <w:p w14:paraId="070DC827" w14:textId="77777777" w:rsidR="003754FE" w:rsidRDefault="003754FE" w:rsidP="003754FE">
      <w:pPr>
        <w:pStyle w:val="TextoNormal"/>
      </w:pPr>
      <w:r>
        <w:t>En conexión con lo anterior, y como segundo motivo de amparo, alegan las entidades demandantes que la sentencia impugnada carece de racionalidad en la calificación implícita que realiza respecto del error de prohibición en la conducta de los acusados. Esto es, de forma subsidiaria se viene a sostener que, incluso si se admitiera, a efectos dialécticos, que la sentencia absolutoria del juzgado de lo penal incluyó en su fundamento jurídico octavo un hecho probado sobre la falta de conciencia por parte de los acusados de la ilicitud de su conducta, tampoco esto sería suficiente para dictar un pronunciamiento absolutorio, en tanto que ese pretendido hecho probado, dados los confusos e incompletos términos en que se expresa la sentencia de instancia, no permitiría considerar acreditada la existencia de un error de prohibición, ni menos aún calificarlo como invencible.</w:t>
      </w:r>
    </w:p>
    <w:p w14:paraId="1D96EE4B" w14:textId="77777777" w:rsidR="003754FE" w:rsidRDefault="003754FE" w:rsidP="003754FE">
      <w:pPr>
        <w:pStyle w:val="TextoNormal"/>
      </w:pPr>
    </w:p>
    <w:p w14:paraId="3B8F1A6E" w14:textId="77777777" w:rsidR="003754FE" w:rsidRDefault="003754FE" w:rsidP="003754FE">
      <w:pPr>
        <w:pStyle w:val="TextoNormal"/>
      </w:pPr>
      <w:r>
        <w:t>Abordaremos conjuntamente ambos motivos de amparo, en cuanto reprochan a la sentencia dictada en apelación una motivación deficiente, lesiva del derecho a la tutela judicial efectiva.</w:t>
      </w:r>
    </w:p>
    <w:p w14:paraId="209702C8" w14:textId="77777777" w:rsidR="003754FE" w:rsidRDefault="003754FE" w:rsidP="003754FE">
      <w:pPr>
        <w:pStyle w:val="TextoNormal"/>
      </w:pPr>
    </w:p>
    <w:p w14:paraId="3BF3BF4E" w14:textId="77777777" w:rsidR="003754FE" w:rsidRDefault="003754FE" w:rsidP="003754FE">
      <w:pPr>
        <w:pStyle w:val="TextoNormal"/>
      </w:pPr>
      <w:r>
        <w:t>Para dar cumplida respuesta a esta queja de las entidades demandantes, procede recordar que, conforme tiene reiteradamente declarado este tribunal, la motivación de las sentencias penales es siempre exigible en virtud del art. 120.3 CE, esto es, con independencia de su signo, condenatorio o absolutorio. No obstante, también venimos advirtiendo que en las sentencias condenatorias el canon de motivación es más riguroso que en las absolutorias pues, cuando están en juego otros derechos fundamentales (señaladamente los derechos a la libertad y a la presunción de inocencia, como sucede en el proceso penal) la exigencia de motivación cobra particular intensidad y por ello hemos reforzado el parámetro de control utilizable para enjuiciar su suficiencia (entre otras muchas, SSTC 62/1996, de 15 de abril, FJ 2; 34/1997, de 25 de febrero, FFJJ 2 y 4; 116/1998, de 2 de junio, FJ 4; 2/1999, de 25 de enero, FJ 2; 109/2000, de 5 de mayo, FJ 2, y 340/2006, de 11 de diciembre, FJ 4).</w:t>
      </w:r>
    </w:p>
    <w:p w14:paraId="1C3D0749" w14:textId="77777777" w:rsidR="003754FE" w:rsidRDefault="003754FE" w:rsidP="003754FE">
      <w:pPr>
        <w:pStyle w:val="TextoNormal"/>
      </w:pPr>
    </w:p>
    <w:p w14:paraId="0CC9AD47" w14:textId="77777777" w:rsidR="003754FE" w:rsidRDefault="003754FE" w:rsidP="003754FE">
      <w:pPr>
        <w:pStyle w:val="TextoNormal"/>
      </w:pPr>
      <w:r>
        <w:t xml:space="preserve">Distinto es el caso de las sentencias penales absolutorias. Al no estar en juego los mismos derechos fundamentales que en las condenatorias, la exigencia de motivación de las </w:t>
      </w:r>
      <w:r>
        <w:lastRenderedPageBreak/>
        <w:t>sentencias penales absolutorias se mueve en el plano general de cualesquiera otras (art. 120.3 CE). Lo expuesto supone que una sentencia absolutoria no puede ser expresión del mero decisionismo judicial, sino que ha de dar cuenta del porqué del fallo absolutorio, pues la ausencia de motivación sería contraria al principio general de interdicción de la arbitrariedad del ejercicio del poder público (art. 9.3 CE). Como recuerda la citada STC 72/2024, FJ 4, la “exigencia de motivación fáctica es igualmente aplicable ya se aprecie inexistencia o insuficiencia de la prueba de cargo, o se concluya en la existencia de duda razonable acerca de la acreditación del presupuesto fáctico de la pretensión de condena”. Así lo declaramos en la STC 112/2015, de 8 de junio, FJ 5, al señalar que la motivación del juicio fáctico de una sentencia absolutoria tiene una exigencia de menor contenido en cuanto que su razonamiento no se dirige a destruir la presunción inicial de inocencia, sino a exteriorizar que la prueba practicada no la desvirtúa en absoluto o con suficiente intensidad. Con cita de las SSTC 158/2002, de 16 de septiembre, FJ 6; 30/2006, de 30 de enero, FJ 5; 82/2009, de 23 de marzo, FJ 6, y 107/2011, de 20 de junio, FJ 2, añadimos entonces que “la motivación de la resolución absolutoria habrá de expresar aquellos elementos y razones de juicio que permitan conocer cuáles han sido los criterios que la fundamentan, sin expresar un juicio fáctico o de subsunción que constituya una aplicación arbitraria de la legalidad, manifiestamente irrazonada o irrazonable, o incursa en un error patente, por la que la aplicación de la legalidad haya sido tan solo una mera apariencia”.</w:t>
      </w:r>
    </w:p>
    <w:p w14:paraId="6ABEA20C" w14:textId="77777777" w:rsidR="003754FE" w:rsidRDefault="003754FE" w:rsidP="003754FE">
      <w:pPr>
        <w:pStyle w:val="TextoNormal"/>
      </w:pPr>
    </w:p>
    <w:p w14:paraId="45F3C3DD" w14:textId="77777777" w:rsidR="003754FE" w:rsidRDefault="003754FE" w:rsidP="003754FE">
      <w:pPr>
        <w:pStyle w:val="TextoNormal"/>
      </w:pPr>
      <w:r>
        <w:t>En el presente caso las entidades demandantes de amparo no dirigen su censura a la sentencia absolutoria dictada por el Juzgado de lo Penal núm. 4 de Murcia, sino a la sentencia que desestima su recurso de apelación contra aquella, porque entienden que ha reconstruido improcedentemente el relato de hechos probados a partir de lo razonado en el fundamento jurídico octavo de la sentencia de instancia, para concluir que los acusados no tenían conciencia de la ilicitud de su actividad (proporcionar desde sus páginas webs enlaces a los servidores en los que estaban alojados contenidos audiovisuales protegidos por derechos de autor) y que, en conexión con lo anterior, ha asumido indebidamente ese supuesto hecho probado a partir del referido fundamento jurídico octavo de la sentencia de instancia, cuya pobreza descriptiva impide considerarlo como error de prohibición, y menos aún calificarlo de invencible.</w:t>
      </w:r>
    </w:p>
    <w:p w14:paraId="2D68B660" w14:textId="77777777" w:rsidR="003754FE" w:rsidRDefault="003754FE" w:rsidP="003754FE">
      <w:pPr>
        <w:pStyle w:val="TextoNormal"/>
      </w:pPr>
    </w:p>
    <w:p w14:paraId="72E6FB2F" w14:textId="77777777" w:rsidR="003754FE" w:rsidRDefault="003754FE" w:rsidP="003754FE">
      <w:pPr>
        <w:pStyle w:val="TextoNormal"/>
      </w:pPr>
      <w:r>
        <w:t>En efecto, la sentencia de la Audiencia Provincial de Murcia aprecia que los hechos enjuiciados integraban el tipo objetivo del delito contra la propiedad intelectual del art. 270.1 CP (en su redacción anterior a la reforma operada por la Ley Orgánica 1/2015), por cuanto estima que se realizaron actos de comunicación con ánimo de lucro, pero mantiene la absolución de los acusados por tal delito al entender que, además de no constar acreditado en el relato de hechos probados de la sentencia absolutoria el elemento subjetivo del conocimiento de la ilicitud de la actividad enjuiciada, en el fundamento jurídico octavo de dicha sentencia se razona que resulta acreditada la concurrencia de ese error de prohibición.</w:t>
      </w:r>
    </w:p>
    <w:p w14:paraId="6C7820E3" w14:textId="77777777" w:rsidR="003754FE" w:rsidRDefault="003754FE" w:rsidP="003754FE">
      <w:pPr>
        <w:pStyle w:val="TextoNormal"/>
      </w:pPr>
    </w:p>
    <w:p w14:paraId="0AF29F4A" w14:textId="77777777" w:rsidR="003754FE" w:rsidRDefault="003754FE" w:rsidP="003754FE">
      <w:pPr>
        <w:pStyle w:val="TextoNormal"/>
      </w:pPr>
      <w:r>
        <w:t>Este razonamiento de la sentencia de apelación impugnada en amparo no constituye un defecto de motivación lesivo del derecho a la tutela judicial efectiva (art. 24.1 CE).</w:t>
      </w:r>
    </w:p>
    <w:p w14:paraId="51582E38" w14:textId="77777777" w:rsidR="003754FE" w:rsidRDefault="003754FE" w:rsidP="003754FE">
      <w:pPr>
        <w:pStyle w:val="TextoNormal"/>
      </w:pPr>
    </w:p>
    <w:p w14:paraId="511E0C9B" w14:textId="77777777" w:rsidR="003754FE" w:rsidRDefault="003754FE" w:rsidP="003754FE">
      <w:pPr>
        <w:pStyle w:val="TextoNormal"/>
      </w:pPr>
      <w:r>
        <w:t xml:space="preserve">En el auto que desestima el incidente de nulidad promovido por las entidades demandantes contra esa sentencia se razona que la integración del relato de hechos declarados probados con lo expresado de modo inequívoco en un fundamento jurídico de la sentencia absolutoria es un proceder que encuentra sustento en la reiterada jurisprudencia de la Sala de lo </w:t>
      </w:r>
      <w:r>
        <w:lastRenderedPageBreak/>
        <w:t>Penal del Tribunal Supremo, conforme a la cual los hechos probados pueden ser integrados o complementados por constataciones de hechos formuladas de forma terminante en la fundamentación jurídica, cuando favorezcan al acusado, al tiempo que esa misma jurisprudencia descarta que el relato fáctico, en los elementos esenciales del delito que motiva la condena, en su caso, pueda configurarse mediante afirmaciones fácticas surgidas de procesos argumentativos contenidos en la fundamentación jurídica [STS 292/2020, de 10 de junio (ECLI:ES:TS:2020:1593), que cita a su vez las SSTS 21/2010, de 26 de enero (ECLI:ES:TS:2010:501); 520/2012, de 19 de junio (ECLI:ES:TS:2012:4737), y 862/2012, de 31 de octubre (ECLI:ES:TS:2012:7354)]. Y en cuanto a la alegada falta de racionalidad de la sentencia al asumir de forma indebida el supuesto hecho probado de la falta de conciencia de la ilicitud de la actividad enjuiciada, se razona que no corresponde al tribunal de apelación subsanar la pretendida deficiencia de la sentencia de instancia sobre el error de prohibición, a lo que se añade que la parte no hizo uso del expediente de integración previsto en el art. 161 LECrim, en relación con el art. 267 LOPJ.</w:t>
      </w:r>
    </w:p>
    <w:p w14:paraId="255156B6" w14:textId="77777777" w:rsidR="003754FE" w:rsidRDefault="003754FE" w:rsidP="003754FE">
      <w:pPr>
        <w:pStyle w:val="TextoNormal"/>
      </w:pPr>
    </w:p>
    <w:p w14:paraId="20901F80" w14:textId="77777777" w:rsidR="003754FE" w:rsidRDefault="003754FE" w:rsidP="003754FE">
      <w:pPr>
        <w:pStyle w:val="TextoNormal"/>
      </w:pPr>
      <w:r>
        <w:t>Atendido lo expuesto ha de concluirse que las entidades demandantes de amparo han recibido de la Audiencia Provincial de Murcia una respuesta congruente y fundada en Derecho a las pretensiones deducidas en su recurso de apelación contra la sentencia absolutoria dictada por el Juzgado de lo Penal núm. 4 de Murcia, lo que excluye la vulneración alegada.</w:t>
      </w:r>
    </w:p>
    <w:p w14:paraId="4A9FD7D6" w14:textId="77777777" w:rsidR="003754FE" w:rsidRDefault="003754FE" w:rsidP="003754FE">
      <w:pPr>
        <w:pStyle w:val="TextoNormal"/>
      </w:pPr>
    </w:p>
    <w:p w14:paraId="518C93DC" w14:textId="77777777" w:rsidR="003754FE" w:rsidRDefault="003754FE" w:rsidP="003754FE">
      <w:pPr>
        <w:pStyle w:val="TextoNormal"/>
      </w:pPr>
      <w:r>
        <w:t xml:space="preserve">El art. 120.3 CE establece que la sentencias serán siempre motivadas y la relación sistemática de este precepto con el art. 24.1 CE expresa el derecho del justiciable (y el interés legítimo de la comunidad jurídica en general) de conocer las razones de la decisión judicial que se adopta y, por tanto, el enlace de esa decisión con la ley y el sistema general de fuentes, en cuanto aplicación de ellas que es. De este modo, entrañaría violación del derecho a la tutela judicial efectiva establecido en el art. 24.1 CE una sentencia carente de motivación o cuya motivación no fuera reconocible como aplicación del sistema jurídico. Sin embargo, la exigencia de motivación de la sentencia, en su dimensión constitucional, no puede llevarse más allá, habiendo señalado reiteradamente este tribunal que no le corresponde en el ejercicio de su jurisdicción de amparo enjuiciar o censurar la parquedad de una fundamentación o la forma de estructurar una sentencia y de establecer la conexión entre las consideraciones de esta y las alegaciones de las partes. Para satisfacer la exigencia constitucional de motivación es suficiente que las sentencias vengan apoyadas en razones fundadas en Derecho que permitan conocer cuáles han sido los criterios jurídicos esenciales que sustentan la decisión o, lo que es lo mismo, su </w:t>
      </w:r>
      <w:r w:rsidRPr="003754FE">
        <w:rPr>
          <w:i/>
        </w:rPr>
        <w:t>ratio decidendi</w:t>
      </w:r>
      <w:r>
        <w:t xml:space="preserve"> (entre otras muchas, SSTC 13/1987, de 5 de febrero, FJ 3; 174/1987, de 3 de noviembre, FJ 2; 196/1988, de 24 de octubre, FJ 2; 68/2002, de 21 de marzo, FJ 4; 128/2002, de 3 de junio, FJ 4; 119/2003, de 16 de junio, FJ 3, y 75/2005, de 4 de abril, FJ 5).</w:t>
      </w:r>
    </w:p>
    <w:p w14:paraId="46F488E8" w14:textId="77777777" w:rsidR="003754FE" w:rsidRDefault="003754FE" w:rsidP="003754FE">
      <w:pPr>
        <w:pStyle w:val="TextoNormal"/>
      </w:pPr>
    </w:p>
    <w:p w14:paraId="646508F6" w14:textId="6A68BB07" w:rsidR="003754FE" w:rsidRDefault="003754FE" w:rsidP="003754FE">
      <w:pPr>
        <w:pStyle w:val="TextoNormal"/>
      </w:pPr>
      <w:r>
        <w:t xml:space="preserve">Aplicando el referido canon de control constitucional al presente caso no cabe sino concluir que la Audiencia Provincial de Murcia ha expresado en su sentencia las razones concretas que justifican la decisión de desestimar los argumentos esgrimidos por las entidades demandantes en su recurso de apelación y confirmar el pronunciamiento absolutorio dictado por el Juzgado de lo Penal núm. 4 de Murcia. La sentencia impugnada en amparo satisface las exigencias constitucionales de motivación de las resoluciones judiciales en el ámbito del derecho fundamental garantizado por el art. 24.1 CE, en relación con el art. 120.3 CE, por cuanto permite conocer a las entidades recurrentes las razones sobre las que se asienta el proceso lógico que condujo al tribunal de apelación a concluir que, si bien los hechos </w:t>
      </w:r>
      <w:r>
        <w:lastRenderedPageBreak/>
        <w:t>enjuiciados integran el tipo objetivo del delito contra la propiedad intelectual previsto y penado en el art. 270.1 CP (en su redacción anterior a la reforma operada por la Ley Orgánica 1/2015), en cuanto a que se realizaron actos de comunicación con ánimo de lucro, pese a todo debe mantenerse la absolución de los acusados, al no constar acreditado el elemento subjetivo del conocimiento de la ilicitud de la actividad, como resulta de manera inequívoca del fundamento jurídico octavo de la sentencia apelada. Se ha dado así en la sentencia de apelación satisfacción al derecho fundamental de las entidades recurrentes a la tutela judicial efectiva, al proporcionar a estas las razones fundadas en Derecho que sustentan la decisión tomada.</w:t>
      </w:r>
    </w:p>
    <w:p w14:paraId="68138308" w14:textId="77777777" w:rsidR="003754FE" w:rsidRDefault="003754FE" w:rsidP="003754FE">
      <w:pPr>
        <w:pStyle w:val="TextoNormal"/>
      </w:pPr>
    </w:p>
    <w:p w14:paraId="058645FC" w14:textId="77777777" w:rsidR="003754FE" w:rsidRDefault="003754FE" w:rsidP="003754FE">
      <w:pPr>
        <w:pStyle w:val="TextoNormalCentrado"/>
        <w:keepNext/>
      </w:pPr>
      <w:r>
        <w:t>FALLO</w:t>
      </w:r>
    </w:p>
    <w:p w14:paraId="63B829AA" w14:textId="2B235525" w:rsidR="003754FE" w:rsidRDefault="003754FE" w:rsidP="003754FE">
      <w:pPr>
        <w:pStyle w:val="TextoNormalCentrado"/>
        <w:keepNext/>
      </w:pPr>
    </w:p>
    <w:p w14:paraId="3BB74A01" w14:textId="019EDA0A" w:rsidR="003754FE" w:rsidRDefault="003754FE" w:rsidP="003754FE">
      <w:pPr>
        <w:pStyle w:val="TextoNormal"/>
      </w:pPr>
      <w:r>
        <w:t>En atención a todo lo expuesto, el Tribunal Constitucional, por la autoridad que le confiere la Constitución de la Nación española, ha decidido desestimar el recurso de amparo interpuesto por la entidad Warner Bros. Entertainment, Inc., y otras.</w:t>
      </w:r>
    </w:p>
    <w:p w14:paraId="3D65759F" w14:textId="77777777" w:rsidR="003754FE" w:rsidRDefault="003754FE" w:rsidP="003754FE">
      <w:pPr>
        <w:pStyle w:val="TextoNormal"/>
      </w:pPr>
    </w:p>
    <w:p w14:paraId="71EE5D61" w14:textId="77777777" w:rsidR="003754FE" w:rsidRDefault="003754FE" w:rsidP="003754FE">
      <w:pPr>
        <w:pStyle w:val="TextoNormal"/>
      </w:pPr>
      <w:r>
        <w:t>Publíquese esta sentencia en el “Boletín Oficial del Estado”.</w:t>
      </w:r>
    </w:p>
    <w:p w14:paraId="5AC35C20" w14:textId="77777777" w:rsidR="003754FE" w:rsidRDefault="003754FE" w:rsidP="003754FE">
      <w:pPr>
        <w:pStyle w:val="TextoNormal"/>
      </w:pPr>
      <w:r>
        <w:t>Dada en Madrid, a cuatro de noviembre de dos mil veinticuatro.</w:t>
      </w:r>
    </w:p>
    <w:p w14:paraId="34938E87" w14:textId="1BCFA8B6" w:rsidR="003754FE" w:rsidRDefault="003754FE">
      <w:pPr>
        <w:spacing w:after="160" w:line="278" w:lineRule="auto"/>
        <w:rPr>
          <w:rFonts w:ascii="Times New Roman" w:eastAsia="Times New Roman" w:hAnsi="Times New Roman" w:cs="Times New Roman"/>
          <w:sz w:val="24"/>
          <w:szCs w:val="24"/>
          <w:lang w:eastAsia="es-ES"/>
        </w:rPr>
      </w:pPr>
      <w:r>
        <w:br w:type="page"/>
      </w:r>
    </w:p>
    <w:p w14:paraId="2F5D0C23" w14:textId="77777777" w:rsidR="003754FE" w:rsidRDefault="003754FE" w:rsidP="003754FE">
      <w:pPr>
        <w:pStyle w:val="TtuloResolucin"/>
      </w:pPr>
      <w:bookmarkStart w:id="44" w:name="SENTENCIA_2024_135"/>
      <w:r>
        <w:lastRenderedPageBreak/>
        <w:t>SENTENCIA 135/2024, de 4 de noviembre de 2024</w:t>
      </w:r>
    </w:p>
    <w:bookmarkEnd w:id="44"/>
    <w:p w14:paraId="59EE592C" w14:textId="77777777" w:rsidR="003754FE" w:rsidRDefault="003754FE" w:rsidP="003754FE">
      <w:pPr>
        <w:pStyle w:val="TtuloResolucin"/>
      </w:pPr>
      <w:r>
        <w:t>Sala Primera</w:t>
      </w:r>
    </w:p>
    <w:p w14:paraId="4B89B5D0" w14:textId="77777777" w:rsidR="003754FE" w:rsidRDefault="003754FE" w:rsidP="003754FE">
      <w:pPr>
        <w:pStyle w:val="TtuloBOE"/>
      </w:pPr>
      <w:r>
        <w:t>(BOE núm. 294, de 6 de diciembre de 2024)</w:t>
      </w:r>
    </w:p>
    <w:p w14:paraId="36A87A49" w14:textId="77777777" w:rsidR="003754FE" w:rsidRDefault="003754FE" w:rsidP="003754FE">
      <w:pPr>
        <w:pStyle w:val="TextoNormalCentrado"/>
      </w:pPr>
      <w:r>
        <w:t>ECLI:ES:TC:2024:135</w:t>
      </w:r>
    </w:p>
    <w:p w14:paraId="09C01643" w14:textId="2922C9E7" w:rsidR="003754FE" w:rsidRDefault="003754FE" w:rsidP="003754FE">
      <w:pPr>
        <w:pStyle w:val="TextoNormalCentrado"/>
      </w:pPr>
    </w:p>
    <w:p w14:paraId="72C21217" w14:textId="77777777" w:rsidR="003754FE" w:rsidRDefault="003754FE" w:rsidP="003754FE">
      <w:pPr>
        <w:pStyle w:val="SntesisDescriptiva"/>
      </w:pPr>
      <w:r>
        <w:t>Recurso de amparo 2833-2023. Promovido por doña Yolanda Rivas Alcázar respecto de las resoluciones dictadas por un juzgado de lo social de Sevilla.</w:t>
      </w:r>
    </w:p>
    <w:p w14:paraId="589873E7" w14:textId="6BA34CB1" w:rsidR="003754FE" w:rsidRDefault="003754FE" w:rsidP="003754FE">
      <w:pPr>
        <w:pStyle w:val="SntesisDescriptiva"/>
      </w:pPr>
    </w:p>
    <w:p w14:paraId="11B6AC64" w14:textId="77777777" w:rsidR="003754FE" w:rsidRDefault="003754FE" w:rsidP="003754FE">
      <w:pPr>
        <w:pStyle w:val="SntesisAnaltica"/>
      </w:pPr>
      <w:r>
        <w:t>Vulneración del derecho a un proceso sin dilaciones indebidas: señalamiento de vista con una demora de más de tres años debida a causas estructurales (STC 31/2023).</w:t>
      </w:r>
    </w:p>
    <w:p w14:paraId="58028D18" w14:textId="74EBB61F" w:rsidR="003754FE" w:rsidRDefault="003754FE" w:rsidP="003754FE">
      <w:pPr>
        <w:pStyle w:val="SntesisAnaltica"/>
      </w:pPr>
    </w:p>
    <w:p w14:paraId="7B57F666" w14:textId="2AFB82F4" w:rsidR="003754FE" w:rsidRDefault="003754FE" w:rsidP="003754FE">
      <w:pPr>
        <w:pStyle w:val="Extracto"/>
      </w:pPr>
      <w:r>
        <w:t>1.</w:t>
      </w:r>
      <w:r>
        <w:tab/>
        <w:t>La idea de dilaciones indebidas, como concepto jurídico indeterminado, no puede identificarse con una mera infracción de los plazos procesales o una excesiva duración temporal de las actuaciones judiciales, sino que es el resultado de la aplicación a las siguientes circunstancias específicas: (i) la complejidad del litigio; (ii) los márgenes ordinarios de duración de los litigios del mismo tipo; (iii) el interés que arriesga el demandante de amparo; (iv) su conducta procesal; y (v) la conducta de las autoridades (SSTC 54/2014 y 129/2016; en línea con la jurisprudencia establecida por el Tribunal Europeo de Derechos Humanos) [FJ 4].</w:t>
      </w:r>
    </w:p>
    <w:p w14:paraId="3C47EB1E" w14:textId="77777777" w:rsidR="003754FE" w:rsidRDefault="003754FE" w:rsidP="003754FE">
      <w:pPr>
        <w:pStyle w:val="Extracto"/>
      </w:pPr>
    </w:p>
    <w:p w14:paraId="44E16651" w14:textId="3EC98F58" w:rsidR="003754FE" w:rsidRDefault="003754FE" w:rsidP="003754FE">
      <w:pPr>
        <w:pStyle w:val="Extracto"/>
      </w:pPr>
      <w:r>
        <w:t>2.</w:t>
      </w:r>
      <w:r>
        <w:tab/>
        <w:t>El hecho de que la demora en los plazos procesales que establece un órgano judicial se deba a motivos estructurales, no imputables directamente al órgano judicial, no impide apreciar la vulneración del derecho del recurrente a un proceso sin dilaciones indebidas, pues esta situación no altera su naturaleza injustificada, en tanto que el ciudadano es ajeno a esas circunstancias (STC 125/2022) [FJ 4].</w:t>
      </w:r>
    </w:p>
    <w:p w14:paraId="1A6FBE08" w14:textId="77777777" w:rsidR="003754FE" w:rsidRDefault="003754FE" w:rsidP="003754FE">
      <w:pPr>
        <w:pStyle w:val="Extracto"/>
      </w:pPr>
    </w:p>
    <w:p w14:paraId="05731911" w14:textId="77777777" w:rsidR="003754FE" w:rsidRDefault="003754FE" w:rsidP="003754FE">
      <w:pPr>
        <w:pStyle w:val="Extracto"/>
      </w:pPr>
    </w:p>
    <w:p w14:paraId="29C6E911" w14:textId="77777777" w:rsidR="003754FE" w:rsidRDefault="003754FE" w:rsidP="003754FE">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1A59224B" w14:textId="5C28F189" w:rsidR="003754FE" w:rsidRDefault="003754FE" w:rsidP="003754FE">
      <w:pPr>
        <w:pStyle w:val="TextoNormal"/>
      </w:pPr>
    </w:p>
    <w:p w14:paraId="152B8A0E" w14:textId="77777777" w:rsidR="003754FE" w:rsidRDefault="003754FE" w:rsidP="003754FE">
      <w:pPr>
        <w:pStyle w:val="TextoNormalCentrado"/>
        <w:keepNext/>
      </w:pPr>
      <w:r>
        <w:t>EN NOMBRE DEL REY</w:t>
      </w:r>
    </w:p>
    <w:p w14:paraId="1CBF9EC1" w14:textId="7E3A1459" w:rsidR="003754FE" w:rsidRDefault="003754FE" w:rsidP="003754FE">
      <w:pPr>
        <w:pStyle w:val="TextoNormalCentrado"/>
        <w:keepNext/>
      </w:pPr>
    </w:p>
    <w:p w14:paraId="5ADEE75D" w14:textId="77777777" w:rsidR="003754FE" w:rsidRDefault="003754FE" w:rsidP="003754FE">
      <w:pPr>
        <w:pStyle w:val="TextoNormalCentrado"/>
        <w:keepNext/>
      </w:pPr>
    </w:p>
    <w:p w14:paraId="34B5BDFC" w14:textId="77777777" w:rsidR="003754FE" w:rsidRDefault="003754FE" w:rsidP="003754FE">
      <w:pPr>
        <w:pStyle w:val="TextoNormal"/>
      </w:pPr>
      <w:r>
        <w:t>la siguiente</w:t>
      </w:r>
    </w:p>
    <w:p w14:paraId="2262908D" w14:textId="3A5046B7" w:rsidR="003754FE" w:rsidRDefault="003754FE" w:rsidP="003754FE">
      <w:pPr>
        <w:pStyle w:val="TextoNormal"/>
      </w:pPr>
    </w:p>
    <w:p w14:paraId="00231842" w14:textId="77777777" w:rsidR="003754FE" w:rsidRDefault="003754FE" w:rsidP="003754FE">
      <w:pPr>
        <w:pStyle w:val="TextoNormalCentrado"/>
        <w:keepNext/>
      </w:pPr>
      <w:r>
        <w:t>SENTENCIA</w:t>
      </w:r>
    </w:p>
    <w:p w14:paraId="7E860A3D" w14:textId="7743D3D9" w:rsidR="003754FE" w:rsidRDefault="003754FE" w:rsidP="003754FE">
      <w:pPr>
        <w:pStyle w:val="TextoNormalCentrado"/>
        <w:keepNext/>
      </w:pPr>
    </w:p>
    <w:p w14:paraId="7E21A337" w14:textId="77777777" w:rsidR="003754FE" w:rsidRDefault="003754FE" w:rsidP="003754FE">
      <w:pPr>
        <w:pStyle w:val="TextoNormal"/>
      </w:pPr>
      <w:r>
        <w:t xml:space="preserve">En el recurso de amparo núm. 2833-2023, promovido por doña Yolanda Rivas Alcázar, contra el decreto de 6 de junio de 2022 y la diligencia de ordenación de 2 de agosto de 2022, que señalaron la vista del procedimiento para el 22 de octubre de 2025; contra el decreto de 12 de septiembre de 2022, que inadmitió a trámite el recurso de reposición interpuesto contra la anterior diligencia; contra el decreto de 29 de diciembre de 2022, que desestimó el recurso de reposición interpuesto contra la diligencia de ordenación de 2 de agosto de 2022, y contra el auto de 16 de febrero de 2023, que desestimó el recurso de revisión planteado contra el decreto de 29 de diciembre de 2022, todos ellos, del Juzgado de lo Social núm. 8 </w:t>
      </w:r>
      <w:r>
        <w:lastRenderedPageBreak/>
        <w:t>de Sevilla. Han intervenido el Ministerio Fiscal y el abogado del Estado. Ha sido ponente la magistrada doña Concepción Espejel Jorquera.</w:t>
      </w:r>
    </w:p>
    <w:p w14:paraId="70F8FF00" w14:textId="7DAD584E" w:rsidR="003754FE" w:rsidRDefault="003754FE" w:rsidP="003754FE">
      <w:pPr>
        <w:pStyle w:val="TextoNormal"/>
      </w:pPr>
    </w:p>
    <w:p w14:paraId="44EA7A54" w14:textId="77777777" w:rsidR="003754FE" w:rsidRDefault="003754FE" w:rsidP="003754FE">
      <w:pPr>
        <w:pStyle w:val="TextoNormalNegritaCentrado"/>
        <w:keepNext/>
      </w:pPr>
      <w:r>
        <w:t>I. Antecedentes</w:t>
      </w:r>
    </w:p>
    <w:p w14:paraId="028BFBEE" w14:textId="4F4C807F" w:rsidR="003754FE" w:rsidRDefault="003754FE" w:rsidP="003754FE">
      <w:pPr>
        <w:pStyle w:val="TextoNormalNegritaCentrado"/>
        <w:keepNext/>
      </w:pPr>
    </w:p>
    <w:p w14:paraId="3C125AEB" w14:textId="1ECA88C4" w:rsidR="003754FE" w:rsidRDefault="003754FE" w:rsidP="003754FE">
      <w:pPr>
        <w:pStyle w:val="TextoNormal"/>
      </w:pPr>
      <w:r w:rsidRPr="003754FE">
        <w:rPr>
          <w:rStyle w:val="NumeroAFNegritaCaracter"/>
        </w:rPr>
        <w:t>1</w:t>
      </w:r>
      <w:r>
        <w:t>. Mediante escrito presentado el 28 de abril de 2023, don Juan Manuel Gómez Rubio, procurador de los tribunales y de doña Yolanda Rivas Alcázar, presentó demanda de amparo contra el decreto de 6 de junio de 2022 y la diligencia de ordenación de 2 de agosto de 2022, que señalaron la vista del procedimiento para el 22 de octubre de 2025; contra el decreto de 12 de septiembre de 2022, que inadmitió a trámite el recurso de reposición interpuesto contra la anterior diligencia; contra el decreto de 29 de diciembre de 2022, que desestimó el recurso de reposición interpuesto contra la diligencia de ordenación de 2 de agosto de 2022, y contra el auto de 16 de febrero de 2023, que desestimó el recurso de revisión planteado contra el decreto de 29 de diciembre de 2022, todos ellos, del Juzgado de lo Social núm. 8 de Sevilla.</w:t>
      </w:r>
    </w:p>
    <w:p w14:paraId="65AD3E2E" w14:textId="77777777" w:rsidR="003754FE" w:rsidRDefault="003754FE" w:rsidP="003754FE">
      <w:pPr>
        <w:pStyle w:val="TextoNormal"/>
      </w:pPr>
    </w:p>
    <w:p w14:paraId="05DE3B3A" w14:textId="77777777" w:rsidR="003754FE" w:rsidRDefault="003754FE" w:rsidP="003754FE">
      <w:pPr>
        <w:pStyle w:val="TextoNormal"/>
      </w:pPr>
      <w:r w:rsidRPr="003754FE">
        <w:rPr>
          <w:rStyle w:val="NumeroAFNegritaCaracter"/>
        </w:rPr>
        <w:t>2</w:t>
      </w:r>
      <w:r>
        <w:t>. Los antecedentes relevantes para la resolución del presente recurso son los siguientes:</w:t>
      </w:r>
    </w:p>
    <w:p w14:paraId="4DF8F3FE" w14:textId="77777777" w:rsidR="003754FE" w:rsidRDefault="003754FE" w:rsidP="003754FE">
      <w:pPr>
        <w:pStyle w:val="TextoNormal"/>
      </w:pPr>
    </w:p>
    <w:p w14:paraId="0C1D2E61" w14:textId="77777777" w:rsidR="003754FE" w:rsidRDefault="003754FE" w:rsidP="003754FE">
      <w:pPr>
        <w:pStyle w:val="TextoNormal"/>
      </w:pPr>
      <w:r>
        <w:t>a) El 30 de mayo de 2022 la recurrente presentó la demanda en materia de prestaciones de la Seguridad Social por denegación de la prestación de “renta activa de inserción”, que, por normas de reparto, recayó en el Juzgado de lo Social núm. 8 de Sevilla.</w:t>
      </w:r>
    </w:p>
    <w:p w14:paraId="616F0A26" w14:textId="77777777" w:rsidR="003754FE" w:rsidRDefault="003754FE" w:rsidP="003754FE">
      <w:pPr>
        <w:pStyle w:val="TextoNormal"/>
      </w:pPr>
    </w:p>
    <w:p w14:paraId="3BED44B5" w14:textId="77777777" w:rsidR="003754FE" w:rsidRDefault="003754FE" w:rsidP="003754FE">
      <w:pPr>
        <w:pStyle w:val="TextoNormal"/>
      </w:pPr>
      <w:r>
        <w:t>b) El 8 de junio de 2022 se notificó el decreto de 6 de junio de 2022, de admisión a trámite de la demanda, señalándose —por error mecanográfico— para el 22 de octubre de 2022.</w:t>
      </w:r>
    </w:p>
    <w:p w14:paraId="5C488FF3" w14:textId="77777777" w:rsidR="003754FE" w:rsidRDefault="003754FE" w:rsidP="003754FE">
      <w:pPr>
        <w:pStyle w:val="TextoNormal"/>
      </w:pPr>
    </w:p>
    <w:p w14:paraId="7467CE53" w14:textId="77777777" w:rsidR="003754FE" w:rsidRDefault="003754FE" w:rsidP="003754FE">
      <w:pPr>
        <w:pStyle w:val="TextoNormal"/>
      </w:pPr>
      <w:r>
        <w:t>c) El 1 de septiembre de 2022 se notificó la diligencia de ordenación de 2 de agosto de 2022 apreciando de oficio la existencia de un error mecanográfico en la fecha de señalamiento contenido en el decreto de 6 de junio, siendo la fecha correcta la del 22 de octubre de 2025 a las 09:40 horas.</w:t>
      </w:r>
    </w:p>
    <w:p w14:paraId="7227BE7A" w14:textId="77777777" w:rsidR="003754FE" w:rsidRDefault="003754FE" w:rsidP="003754FE">
      <w:pPr>
        <w:pStyle w:val="TextoNormal"/>
      </w:pPr>
    </w:p>
    <w:p w14:paraId="559111E0" w14:textId="77777777" w:rsidR="003754FE" w:rsidRDefault="003754FE" w:rsidP="003754FE">
      <w:pPr>
        <w:pStyle w:val="TextoNormal"/>
      </w:pPr>
      <w:r>
        <w:t>d) Interpuesto recurso de reposición contra la anterior diligencia de ordenación, mediante decreto de 12 de septiembre de 2022 fue inadmitido.</w:t>
      </w:r>
    </w:p>
    <w:p w14:paraId="57F0B483" w14:textId="77777777" w:rsidR="003754FE" w:rsidRDefault="003754FE" w:rsidP="003754FE">
      <w:pPr>
        <w:pStyle w:val="TextoNormal"/>
      </w:pPr>
    </w:p>
    <w:p w14:paraId="4B823736" w14:textId="77777777" w:rsidR="003754FE" w:rsidRDefault="003754FE" w:rsidP="003754FE">
      <w:pPr>
        <w:pStyle w:val="TextoNormal"/>
      </w:pPr>
      <w:r>
        <w:t>e) Por auto de 19 de octubre de 2022, se estimó el recurso de revisión interpuesto contra el anterior decreto y se acordó admitir a trámite el recurso de reposición señalado en el punto anterior.</w:t>
      </w:r>
    </w:p>
    <w:p w14:paraId="032FAC7B" w14:textId="77777777" w:rsidR="003754FE" w:rsidRDefault="003754FE" w:rsidP="003754FE">
      <w:pPr>
        <w:pStyle w:val="TextoNormal"/>
      </w:pPr>
    </w:p>
    <w:p w14:paraId="65C39CE5" w14:textId="77777777" w:rsidR="003754FE" w:rsidRDefault="003754FE" w:rsidP="003754FE">
      <w:pPr>
        <w:pStyle w:val="TextoNormal"/>
      </w:pPr>
      <w:r>
        <w:t>f) Mediante decreto de 29 de diciembre de 2022 se desestimó el recurso de reposición planteado contra la diligencia de 2 de agosto de 2022.</w:t>
      </w:r>
    </w:p>
    <w:p w14:paraId="310377B1" w14:textId="77777777" w:rsidR="003754FE" w:rsidRDefault="003754FE" w:rsidP="003754FE">
      <w:pPr>
        <w:pStyle w:val="TextoNormal"/>
      </w:pPr>
    </w:p>
    <w:p w14:paraId="20F4CB21" w14:textId="77777777" w:rsidR="003754FE" w:rsidRDefault="003754FE" w:rsidP="003754FE">
      <w:pPr>
        <w:pStyle w:val="TextoNormal"/>
      </w:pPr>
      <w:r>
        <w:t>g) Finalmente, mediante auto de 16 de febrero de 2023, se desestimó el recurso de revisión que la recurrente planteó contra el decreto de 29 de diciembre de 2022.</w:t>
      </w:r>
    </w:p>
    <w:p w14:paraId="1E4BB894" w14:textId="77777777" w:rsidR="003754FE" w:rsidRDefault="003754FE" w:rsidP="003754FE">
      <w:pPr>
        <w:pStyle w:val="TextoNormal"/>
      </w:pPr>
    </w:p>
    <w:p w14:paraId="1EB2597F" w14:textId="77777777" w:rsidR="003754FE" w:rsidRDefault="003754FE" w:rsidP="003754FE">
      <w:pPr>
        <w:pStyle w:val="TextoNormal"/>
      </w:pPr>
      <w:r>
        <w:t>En las resoluciones anteriores se explicaba la imposibilidad de adelantar la vista del procedimiento de la recurrente por causas estructurales y por la saturación del órgano judicial. En concreto el auto de 16 de febrero de 2023, explicaba:</w:t>
      </w:r>
    </w:p>
    <w:p w14:paraId="57FF0AA5" w14:textId="77777777" w:rsidR="003754FE" w:rsidRDefault="003754FE" w:rsidP="003754FE">
      <w:pPr>
        <w:pStyle w:val="TextoNormal"/>
      </w:pPr>
    </w:p>
    <w:p w14:paraId="600267BA" w14:textId="117087F0" w:rsidR="003754FE" w:rsidRDefault="003754FE" w:rsidP="003754FE">
      <w:pPr>
        <w:pStyle w:val="TextoNormal"/>
      </w:pPr>
      <w:r>
        <w:t>“[E]ste juzgado, tan pronto se libera, de la agenda de señalamientos, un juicio, ya sea por haberse conciliado, por desistimiento, o por cualquier otro motivo atendible, procede a rellenar el hueco tratando de anticipar otros señalamientos anteriores, siempre intentando mantener un equilibrio entre los procedimientos suspendidos y que esperan nueva fecha, así como las solicitudes de adelantamiento de juicio por las circunstancias particulares del caso o por el carácter urgente de los mismos, de tal forma que de darse el caso, tan pronto como las circunstancias lo permitan y atendidos otros procedimientos en idéntica situación que hubieran tenido una fecha de entrada anterior, se procederá por el propio juzgado a adelantar la fecha del juicio, se insiste tan pronto las circunstancias lo hagan posible. […] no es posible en el momento actual adelantar el señalamiento sin perjudicar al resto de usuarios que accedieron a la justicia con anterioridad al recurrente. Es decir, como indica el decreto recurrido, en el momento actual es materialmente imposible, adelantar el señalamiento por razón de la acumulación de señalamientos previos. Así las cosas, subsistiendo la situación estructural referida, y revisada la agenda de señalamientos, no incurre en error la resolución recurrida (esto es, decreto de 29 de diciembre de 2022), ante la imposibilidad de señalar actualmente el juicio en un momento anterior, razón por la que […] debe desestimarse el recurso interpuesto, sin perjuicio, se insiste de que, tan pronto sea posible se proceda en la forma expuesta anteriormente”.</w:t>
      </w:r>
    </w:p>
    <w:p w14:paraId="36A4436F" w14:textId="77777777" w:rsidR="003754FE" w:rsidRDefault="003754FE" w:rsidP="003754FE">
      <w:pPr>
        <w:pStyle w:val="TextoNormal"/>
      </w:pPr>
    </w:p>
    <w:p w14:paraId="0EE20241" w14:textId="77777777" w:rsidR="003754FE" w:rsidRDefault="003754FE" w:rsidP="003754FE">
      <w:pPr>
        <w:pStyle w:val="TextoNormal"/>
      </w:pPr>
      <w:r w:rsidRPr="003754FE">
        <w:rPr>
          <w:rStyle w:val="NumeroAFNegritaCaracter"/>
        </w:rPr>
        <w:t>3</w:t>
      </w:r>
      <w:r>
        <w:t>. En la demanda de amparo denuncia la recurrente la vulneración del derecho a la tutela judicial efectiva en su acepción del derecho a un proceso sin dilaciones indebidas (art. 24.2 CE). A su juicio, no cabe duda que el señalamiento para el acto de juicio el 22 de octubre de 2025 vulnera el derecho a la tutela judicial efectiva y a un proceso sin dilaciones. La fecha señalada es más de tres años y medio posterior a la presentación de la demanda y de su admisión a trámite. También se queja la demandante de la vulneración de su derecho a la tutela judicial efectiva (art. 24 CE) por la falta de motivación de las resoluciones impugnadas. Considera la recurrente que tales resoluciones deberían gozar de una motivación reforzada, puesto que no solamente está en juego el derecho a la tutela judicial efectiva, sino también el derecho a no padecer dilaciones indebidas, lo que, en su opinión, implica la necesidad de una motivación reforzada.</w:t>
      </w:r>
    </w:p>
    <w:p w14:paraId="4FF66282" w14:textId="77777777" w:rsidR="003754FE" w:rsidRDefault="003754FE" w:rsidP="003754FE">
      <w:pPr>
        <w:pStyle w:val="TextoNormal"/>
      </w:pPr>
    </w:p>
    <w:p w14:paraId="621CC8EC" w14:textId="77777777" w:rsidR="003754FE" w:rsidRDefault="003754FE" w:rsidP="003754FE">
      <w:pPr>
        <w:pStyle w:val="TextoNormal"/>
      </w:pPr>
      <w:r>
        <w:t>Explica que ya puso de manifiesto en los diferentes escritos, como en los recursos de reposición y, finalmente, en el recurso de revisión, que resultan innegables las carencias estructurales que surgen con el aumento del número de causas, de la falta de medios personales y materiales, así como la alta carga de trabajo, máxime cuando hemos padecido una pandemia causada por el covid así como un largo estado de alarma que ha causado la paralización de los procedimientos judiciales o la suspensión de los plazos procesales, entre otros.</w:t>
      </w:r>
    </w:p>
    <w:p w14:paraId="263F82FD" w14:textId="77777777" w:rsidR="003754FE" w:rsidRDefault="003754FE" w:rsidP="003754FE">
      <w:pPr>
        <w:pStyle w:val="TextoNormal"/>
      </w:pPr>
    </w:p>
    <w:p w14:paraId="6F3D417E" w14:textId="77777777" w:rsidR="003754FE" w:rsidRDefault="003754FE" w:rsidP="003754FE">
      <w:pPr>
        <w:pStyle w:val="TextoNormal"/>
      </w:pPr>
      <w:r>
        <w:t xml:space="preserve">Recuerda que, al respecto, el Tribunal dictó la STC 125/2022, de 10 de octubre, estimando el amparo entonces solicitado en un caso similar al de la ahora recurrente. En la citada sentencia se afirmaba que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w:t>
      </w:r>
      <w:r>
        <w:lastRenderedPageBreak/>
        <w:t>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w:t>
      </w:r>
    </w:p>
    <w:p w14:paraId="3FA115CF" w14:textId="77777777" w:rsidR="003754FE" w:rsidRDefault="003754FE" w:rsidP="003754FE">
      <w:pPr>
        <w:pStyle w:val="TextoNormal"/>
      </w:pPr>
    </w:p>
    <w:p w14:paraId="3E518A3F" w14:textId="77777777" w:rsidR="003754FE" w:rsidRDefault="003754FE" w:rsidP="003754FE">
      <w:pPr>
        <w:pStyle w:val="TextoNormal"/>
      </w:pPr>
      <w:r>
        <w:t xml:space="preserve">Continúa argumentando que igual criterio sostiene el Tribunal Europeo de Derechos Humanos, al afirmar en su sentencia de 7 de julio de 1989, asunto </w:t>
      </w:r>
      <w:r w:rsidRPr="003754FE">
        <w:rPr>
          <w:i/>
        </w:rPr>
        <w:t>Unión Alimentaria Sanders c. España</w:t>
      </w:r>
      <w:r>
        <w:t xml:space="preserve">, el carácter estructural de las dilaciones sufridas por la sociedad demandante, concluyendo que esta situación no puede privar a los ciudadanos de su derecho al respeto del plazo razonable (§ 38 y 42), o cuando en la sentencia de 11 de marzo de 2004, asunto </w:t>
      </w:r>
      <w:r w:rsidRPr="003754FE">
        <w:rPr>
          <w:i/>
        </w:rPr>
        <w:t>Lenaerts c. Bélgica</w:t>
      </w:r>
      <w:r>
        <w:t xml:space="preserve"> (§ 18), razonó que el art. 6.1 del Convenio europeo para la protección de los derechos humanos y de las libertades fundamentales (CEDH) obliga a los Estados contratantes a organizar su sistema judicial de tal forma que sus yribunales puedan cumplir cada una de sus exigencias, en particular la del derecho a obtener una decisión definitiva dentro de un plazo razonable”.</w:t>
      </w:r>
    </w:p>
    <w:p w14:paraId="5681401F" w14:textId="77777777" w:rsidR="003754FE" w:rsidRDefault="003754FE" w:rsidP="003754FE">
      <w:pPr>
        <w:pStyle w:val="TextoNormal"/>
      </w:pPr>
    </w:p>
    <w:p w14:paraId="12100CDD" w14:textId="77777777" w:rsidR="003754FE" w:rsidRDefault="003754FE" w:rsidP="003754FE">
      <w:pPr>
        <w:pStyle w:val="TextoNormal"/>
      </w:pPr>
      <w:r>
        <w:t>Y recuerda que en cuanto a los márgenes ordinarios de duración de los litigios, el Tribunal ha apreciado la existencia de dilaciones indebidas —vulneradoras del derecho fundamental consagrado en el art. 24.2 CE— en supuestos en que entre la fecha de interposición de la demanda ante la jurisdicción ordinaria y la fecha del señalamiento para vista habían mediado los siguientes plazos: dos años y seis meses (STC 54/2014, de 10 de abril), dos años y tres meses (STC 99/2014, de 23 de junio), un año y once meses (STC 129/2016, de 18 de julio), un año y seis meses (STC 142/2010, de 21 de diciembre) y un año y tres meses (STC 89/2016 de 9 de mayo).</w:t>
      </w:r>
    </w:p>
    <w:p w14:paraId="439ADFE4" w14:textId="77777777" w:rsidR="003754FE" w:rsidRDefault="003754FE" w:rsidP="003754FE">
      <w:pPr>
        <w:pStyle w:val="TextoNormal"/>
      </w:pPr>
    </w:p>
    <w:p w14:paraId="0544AE3C" w14:textId="77777777" w:rsidR="003754FE" w:rsidRDefault="003754FE" w:rsidP="003754FE">
      <w:pPr>
        <w:pStyle w:val="TextoNormal"/>
      </w:pPr>
      <w:r>
        <w:t>Expone que su litigio, objeto del amparo interesado, es relativo a la denegación de la prestación de renta activa de inserción que, precisamente, está destinada a colectivos con especial dificultad de inserción en el mercado laboral.</w:t>
      </w:r>
    </w:p>
    <w:p w14:paraId="5153F49D" w14:textId="77777777" w:rsidR="003754FE" w:rsidRDefault="003754FE" w:rsidP="003754FE">
      <w:pPr>
        <w:pStyle w:val="TextoNormal"/>
      </w:pPr>
    </w:p>
    <w:p w14:paraId="7E41E832" w14:textId="630E9E6A" w:rsidR="003754FE" w:rsidRDefault="003754FE" w:rsidP="003754FE">
      <w:pPr>
        <w:pStyle w:val="TextoNormal"/>
      </w:pPr>
      <w:r>
        <w:t>Solicita en el suplico de la demanda la nulidad de todas las resoluciones impugnadas y el reconocimiento de su derecho, en este caso, que se reconozca que el señalamiento del acto de juicio para el día 22 de octubre de 2025, lesiona los derechos fundamentales a un proceso sin dilaciones indebidas y a la tutela judicial efectiva. Solicita también el restablecimiento de la recurrente en la integridad de su derecho o libertad con la adopción de las medidas apropiadas, en su caso, para su conservación. En este caso, restablecimiento de la recurrente en los derechos que han sido infringidos —tutela judicial efectiva y proceso sin dilaciones indebidas—. En consecuencia, pide que se acuerde por el Tribunal Constitucional que por el Juzgado de lo Social núm. 8 de Sevilla se proceda a un nuevo señalamiento del acto de juicio que resulte respetuoso con los derechos fundamentales lesionados.</w:t>
      </w:r>
    </w:p>
    <w:p w14:paraId="310D42E5" w14:textId="77777777" w:rsidR="003754FE" w:rsidRDefault="003754FE" w:rsidP="003754FE">
      <w:pPr>
        <w:pStyle w:val="TextoNormal"/>
      </w:pPr>
    </w:p>
    <w:p w14:paraId="0437524B" w14:textId="595CB46D" w:rsidR="003754FE" w:rsidRDefault="003754FE" w:rsidP="003754FE">
      <w:pPr>
        <w:pStyle w:val="TextoNormal"/>
      </w:pPr>
      <w:r w:rsidRPr="003754FE">
        <w:rPr>
          <w:rStyle w:val="NumeroAFNegritaCaracter"/>
        </w:rPr>
        <w:t>4</w:t>
      </w:r>
      <w:r>
        <w:t>. Mediante diligencia de ordenación de 4 de mayo de 2023, se requirió a la recurrente para que aportara copia del auto dictado el 16 de febrero de 2023.</w:t>
      </w:r>
    </w:p>
    <w:p w14:paraId="3369FE50" w14:textId="77777777" w:rsidR="003754FE" w:rsidRDefault="003754FE" w:rsidP="003754FE">
      <w:pPr>
        <w:pStyle w:val="TextoNormal"/>
      </w:pPr>
    </w:p>
    <w:p w14:paraId="430283BD" w14:textId="48E58756" w:rsidR="003754FE" w:rsidRDefault="003754FE" w:rsidP="003754FE">
      <w:pPr>
        <w:pStyle w:val="TextoNormal"/>
      </w:pPr>
      <w:r w:rsidRPr="003754FE">
        <w:rPr>
          <w:rStyle w:val="NumeroAFNegritaCaracter"/>
        </w:rPr>
        <w:lastRenderedPageBreak/>
        <w:t>5</w:t>
      </w:r>
      <w:r>
        <w:t>. Mediante escritos de 3 de abril, 2 de mayo y 15 de octubre de 2024, la recurrente solicitó al Tribunal que impulsara de oficio la resolución de admisibilidad de su recurso de amparo a fin de poder, en su caso, solicitar con mayor premura el amparo del Tribunal Europeo de Derechos Humanos.</w:t>
      </w:r>
    </w:p>
    <w:p w14:paraId="31BDE3C1" w14:textId="77777777" w:rsidR="003754FE" w:rsidRDefault="003754FE" w:rsidP="003754FE">
      <w:pPr>
        <w:pStyle w:val="TextoNormal"/>
      </w:pPr>
    </w:p>
    <w:p w14:paraId="48E84733" w14:textId="5132F2C0" w:rsidR="003754FE" w:rsidRDefault="003754FE" w:rsidP="003754FE">
      <w:pPr>
        <w:pStyle w:val="TextoNormal"/>
      </w:pPr>
      <w:r w:rsidRPr="003754FE">
        <w:rPr>
          <w:rStyle w:val="NumeroAFNegritaCaracter"/>
        </w:rPr>
        <w:t>6</w:t>
      </w:r>
      <w:r>
        <w:t>. Mediante providencia de 6 de mayo de 2024, la Sección Primera decidió admitir a trámite la demanda presentada por la recurrente, apreciando que la especial trascendencia constitucional del recurso consistía en que puede dar ocasión al Tribunal para aclarar o cambiar su doctrina como consecuencia de un proceso de reflexión interna [STC 155/2009, de 25 de junio, FJ 2 b)]. En aplicación de lo dispuesto en el art. 51 de la Ley Orgánica del Tribunal Constitucional (LOTC), se acordó dirigir comunicación al Juzgado de lo Social núm. 8 de Sevilla, a fin de que en el plazo que no excediera de diez días, remitiera certificación o fotocopia adverada de las actuaciones correspondientes al procedimiento de la recurrente. Se acordó también notificar a la Abogacía del Estado para que en el plazo de diez días pueda comparecer si lo estimara pertinente.</w:t>
      </w:r>
    </w:p>
    <w:p w14:paraId="11C5A032" w14:textId="77777777" w:rsidR="003754FE" w:rsidRDefault="003754FE" w:rsidP="003754FE">
      <w:pPr>
        <w:pStyle w:val="TextoNormal"/>
      </w:pPr>
    </w:p>
    <w:p w14:paraId="2D1CE5F7" w14:textId="48AF0641" w:rsidR="003754FE" w:rsidRDefault="003754FE" w:rsidP="003754FE">
      <w:pPr>
        <w:pStyle w:val="TextoNormal"/>
      </w:pPr>
      <w:r w:rsidRPr="003754FE">
        <w:rPr>
          <w:rStyle w:val="NumeroAFNegritaCaracter"/>
        </w:rPr>
        <w:t>7</w:t>
      </w:r>
      <w:r>
        <w:t>. Mediante escrito de 21 de mayo de 2024, la Abogacía del Estado se personó ante el Tribunal Constitucional.</w:t>
      </w:r>
    </w:p>
    <w:p w14:paraId="0D6EDDA5" w14:textId="77777777" w:rsidR="003754FE" w:rsidRDefault="003754FE" w:rsidP="003754FE">
      <w:pPr>
        <w:pStyle w:val="TextoNormal"/>
      </w:pPr>
    </w:p>
    <w:p w14:paraId="51A44FAD" w14:textId="133B2382" w:rsidR="003754FE" w:rsidRDefault="003754FE" w:rsidP="003754FE">
      <w:pPr>
        <w:pStyle w:val="TextoNormal"/>
      </w:pPr>
      <w:r w:rsidRPr="003754FE">
        <w:rPr>
          <w:rStyle w:val="NumeroAFNegritaCaracter"/>
        </w:rPr>
        <w:t>8</w:t>
      </w:r>
      <w:r>
        <w:t>. Mediante diligencia de ordenación de 27 de mayo de 2024, a tenor de lo dispuesto en el art. 52 LOTC, se acordó dar vista de todas las actuaciones del recurso de amparo por un plazo común de veinte días al Ministerio Fiscal y a las partes personadas para que dentro de dicho plazo pudieran presentar las alegaciones, que a su derecho conviniera.</w:t>
      </w:r>
    </w:p>
    <w:p w14:paraId="1E4DA0E8" w14:textId="77777777" w:rsidR="003754FE" w:rsidRDefault="003754FE" w:rsidP="003754FE">
      <w:pPr>
        <w:pStyle w:val="TextoNormal"/>
      </w:pPr>
    </w:p>
    <w:p w14:paraId="039D22B3" w14:textId="3E48EE24" w:rsidR="003754FE" w:rsidRDefault="003754FE" w:rsidP="003754FE">
      <w:pPr>
        <w:pStyle w:val="TextoNormal"/>
      </w:pPr>
      <w:r w:rsidRPr="003754FE">
        <w:rPr>
          <w:rStyle w:val="NumeroAFNegritaCaracter"/>
        </w:rPr>
        <w:t>9</w:t>
      </w:r>
      <w:r>
        <w:t>. Por escrito de 5 de junio de 2024, la recurrente formuló las alegaciones correspondientes, remitiéndose en su contenido a la demanda de amparo.</w:t>
      </w:r>
    </w:p>
    <w:p w14:paraId="761A5742" w14:textId="77777777" w:rsidR="003754FE" w:rsidRDefault="003754FE" w:rsidP="003754FE">
      <w:pPr>
        <w:pStyle w:val="TextoNormal"/>
      </w:pPr>
    </w:p>
    <w:p w14:paraId="2EB94129" w14:textId="77777777" w:rsidR="003754FE" w:rsidRDefault="003754FE" w:rsidP="003754FE">
      <w:pPr>
        <w:pStyle w:val="TextoNormal"/>
      </w:pPr>
      <w:r w:rsidRPr="003754FE">
        <w:rPr>
          <w:rStyle w:val="NumeroAFNegritaCaracter"/>
        </w:rPr>
        <w:t>10</w:t>
      </w:r>
      <w:r>
        <w:t>. Mediante escrito de 20 de junio de 2024, el Ministerio Fiscal formuló sus alegaciones. Solicita la estimación parcial de la demanda de amparo, con la declaración de que se ha vulnerado el derecho fundamental a no padecer dilaciones indebidas del art. 24.2 CE.</w:t>
      </w:r>
    </w:p>
    <w:p w14:paraId="35489793" w14:textId="77777777" w:rsidR="003754FE" w:rsidRDefault="003754FE" w:rsidP="003754FE">
      <w:pPr>
        <w:pStyle w:val="TextoNormal"/>
      </w:pPr>
    </w:p>
    <w:p w14:paraId="7AEE70F0" w14:textId="77777777" w:rsidR="003754FE" w:rsidRDefault="003754FE" w:rsidP="003754FE">
      <w:pPr>
        <w:pStyle w:val="TextoNormal"/>
      </w:pPr>
      <w:r>
        <w:t>Afirma que en la demanda de amparo se alega vulneración del derecho a la tutela judicial efectiva (art. 24.1 CE) y a un proceso sin dilaciones indebidas (art. 24.2 CE) por el retraso en el señalamiento. También se alega falta o defecto de motivación tanto respecto de la resolución en la que se establece el señalamiento para acto de conciliación y juicio, como en las posteriores en contestación a sus respectivos recursos. Esta falta o déficit de motivación, a juicio del fiscal, sería constitutiva de una vulneración diferente del derecho a la tutela judicial efectiva. No obstante, respecto de la falta de motivación, tal como está configurada la demanda y especialmente a la vista del amparo solicitado, considera que no es tanto un motivo separado por esa vulneración específica, sino una alegación de refuerzo al motivo de infracción del art. 24 CE por el excesivo retraso en la fecha de señalamiento.</w:t>
      </w:r>
    </w:p>
    <w:p w14:paraId="5B92BA63" w14:textId="77777777" w:rsidR="003754FE" w:rsidRDefault="003754FE" w:rsidP="003754FE">
      <w:pPr>
        <w:pStyle w:val="TextoNormal"/>
      </w:pPr>
    </w:p>
    <w:p w14:paraId="6CB605F0" w14:textId="77777777" w:rsidR="003754FE" w:rsidRDefault="003754FE" w:rsidP="003754FE">
      <w:pPr>
        <w:pStyle w:val="TextoNormal"/>
      </w:pPr>
      <w:r>
        <w:t xml:space="preserve">En cuanto al núcleo de la queja, el fiscal considera que se ha producido una dilación indebida proscrita por el art. 24.2 CE, pues siguiendo el esquema y la argumentación de la STC 31/2023, de 17 de abril, en el presente caso considera que, con independencia de la complejidad de la cuestión objeto de la demanda planteada en la vía judicial previa, que no </w:t>
      </w:r>
      <w:r>
        <w:lastRenderedPageBreak/>
        <w:t>resulta relevante ni influye en el señalamiento de la vista, se aprecia que la demora de tres años y medio, es en exceso dilatada en el tiempo aun considerando los efectos derivados de los retrasos acumulados por la situación derivada de la pandemia de la covid-19. A mayor abundamiento el retraso en los procedimientos debatidos en las SSTC 125/2022 y 31/2023, era de dos años aproximadamente, por lo que en este caso el retraso excede cumplidamente del que se había producido en aquellos recursos y el objeto del proceso laboral subyacente en este recurso, no reviste una complejidad especial o mayor que en aquellos recursos, al tratarse de una demanda en la que se debate si la demandante cumplía el requisito de acreditar en el momento de la solicitud haber realizado durante el periodo de inscripción previa exigido, tres acciones de búsqueda activa de empleo en la forma determinada reglamentariamente, pues este fue el motivo de denegación de la prestación de la Seguridad Social que se solicitaba y que la demandante entiende que había cumplido.</w:t>
      </w:r>
    </w:p>
    <w:p w14:paraId="335C2D6D" w14:textId="77777777" w:rsidR="003754FE" w:rsidRDefault="003754FE" w:rsidP="003754FE">
      <w:pPr>
        <w:pStyle w:val="TextoNormal"/>
      </w:pPr>
    </w:p>
    <w:p w14:paraId="17296EE1" w14:textId="77777777" w:rsidR="003754FE" w:rsidRDefault="003754FE" w:rsidP="003754FE">
      <w:pPr>
        <w:pStyle w:val="TextoNormal"/>
      </w:pPr>
      <w:r>
        <w:t>Por otra parte, el interés que arriesga la demandante de amparo en el pleito es el de obtener una resolución judicial que determine que le corresponde una prestación de la Seguridad Social, en concreto la de renta activa de inserción. Se trata, en definitiva, de una reclamación que puede tener un impacto significativo en la economía de la recurrente en amparo. La conducta de la demandante no ha propiciado la demora denunciada y, en los términos ya expuestos, no ha mostrado falta de diligencia en su invocación ante el órgano judicial para propiciar su restablecimiento. Los motivos estructurales aducidos por el órgano judicial para justificar esa dilación consistente en la sobrecarga de trabajo permanente y la carencia de los medios personales y materiales necesarios para sacarla adelante en unos plazos razonables, no pueden ser aceptados desde la perspectiva del derecho fundamental invocado, como causa suficiente para neutralizar la lesión del derecho a un proceso sin dilaciones indebidas, ya que dicha situación no altera su naturaleza injustificada, según reiterada jurisprudencia constitucional y del Tribunal Europeo de Derechos Humanos, en tanto que el ciudadano es ajeno a esas circunstancias.</w:t>
      </w:r>
    </w:p>
    <w:p w14:paraId="3AE6DABC" w14:textId="77777777" w:rsidR="003754FE" w:rsidRDefault="003754FE" w:rsidP="003754FE">
      <w:pPr>
        <w:pStyle w:val="TextoNormal"/>
      </w:pPr>
    </w:p>
    <w:p w14:paraId="56ACF23C" w14:textId="77777777" w:rsidR="003754FE" w:rsidRDefault="003754FE" w:rsidP="003754FE">
      <w:pPr>
        <w:pStyle w:val="TextoNormal"/>
      </w:pPr>
      <w:r>
        <w:t>En conclusión, ponderando los criterios expuestos, visto que era un procedimiento sencillo, que el señalamiento para el acto de conciliación y juicio oral se realizó para tres años y medio después de la interposición de la demanda, que la actitud de la parte demandante no ha entorpecido en modo alguno el proceso, sino que ha sido muy diligente, aunque la causa del retraso sea estructural; teniendo en cuenta las sentencias anteriores· de este tribunal y del Tribunal Europeo de Derechos Humanos, el fiscal considera que procede la estimación del recurso de amparo por vulneración del derecho a un proceso sin dilaciones indebidas (art. 24.2 CE).</w:t>
      </w:r>
    </w:p>
    <w:p w14:paraId="7E6ECDF9" w14:textId="77777777" w:rsidR="003754FE" w:rsidRDefault="003754FE" w:rsidP="003754FE">
      <w:pPr>
        <w:pStyle w:val="TextoNormal"/>
      </w:pPr>
    </w:p>
    <w:p w14:paraId="12C621C3" w14:textId="77777777" w:rsidR="003754FE" w:rsidRDefault="003754FE" w:rsidP="003754FE">
      <w:pPr>
        <w:pStyle w:val="TextoNormal"/>
      </w:pPr>
      <w:r>
        <w:t>Para el caso de que se estime que existe un motivo de amparo autónomo por violación del derecho a una motivación suficiente y fundada en Derecho, el fiscal considera que no hay vulneración de esta faceta del derecho a la tutela judicial efectiva. Es cierto que la diligencia de ordenación que fija el señalamiento para el año 2025 no expresa los motivos de que el señalamiento sea tan tardío, simplemente refiere la existencia de un error material en la fecha; y que el decreto inicial (no recurrido pues señalaba para unos pocos meses desde la fecha de admisión) contiene la motivación ordinaria de admisión a trámite de la demanda y del señalamiento.</w:t>
      </w:r>
    </w:p>
    <w:p w14:paraId="57B8020F" w14:textId="77777777" w:rsidR="003754FE" w:rsidRDefault="003754FE" w:rsidP="003754FE">
      <w:pPr>
        <w:pStyle w:val="TextoNormal"/>
      </w:pPr>
    </w:p>
    <w:p w14:paraId="46BE5226" w14:textId="77777777" w:rsidR="003754FE" w:rsidRDefault="003754FE" w:rsidP="003754FE">
      <w:pPr>
        <w:pStyle w:val="TextoNormal"/>
      </w:pPr>
      <w:r>
        <w:t xml:space="preserve">En cuanto a los efectos de estimar la concurrencia de la infracción del derecho a un proceso sin dilaciones indebidas, siguiendo el criterio expuesto, entre otras, en las SSTC </w:t>
      </w:r>
      <w:r>
        <w:lastRenderedPageBreak/>
        <w:t>54/2014, de 10 de abril, FJ 7, y 99/2014, de 23 de junio, FJ 7, el fiscal considera que el otorgamiento del amparo debe limitarse a la declaración de la violación del derecho fundamental, porque cualquier medida relacionada con la anticipación del señalamiento para la vista puede agravar la posición de terceros recurrentes, dado el carácter estructural de los referidos retrasos.</w:t>
      </w:r>
    </w:p>
    <w:p w14:paraId="6B576550" w14:textId="77777777" w:rsidR="003754FE" w:rsidRDefault="003754FE" w:rsidP="003754FE">
      <w:pPr>
        <w:pStyle w:val="TextoNormal"/>
      </w:pPr>
    </w:p>
    <w:p w14:paraId="6B209C52" w14:textId="7C36ADAA" w:rsidR="003754FE" w:rsidRDefault="003754FE" w:rsidP="003754FE">
      <w:pPr>
        <w:pStyle w:val="TextoNormal"/>
      </w:pPr>
      <w:r>
        <w:t>Este criterio es coincidente con la STC 31/2023, que declara: “En línea con lo ya afirmado en las citadas SSTC 54/2014, de 10 de abril, FJ 7, y 89/2014, de 9 de junio , FJ 7, y a diferencia de lo concluido en la citada STC 125/2022, FJ 4, se considera que el otorgamiento del amparo no debe incluir la nulidad de las resoluciones impugnadas ni medida alguna relacionada con la anticipación del señalamiento para la vista porque, dado el carácter estructural de los referidos retrasos, ello podría agravar la posición de terceros recurrentes”.</w:t>
      </w:r>
    </w:p>
    <w:p w14:paraId="25D9B857" w14:textId="77777777" w:rsidR="003754FE" w:rsidRDefault="003754FE" w:rsidP="003754FE">
      <w:pPr>
        <w:pStyle w:val="TextoNormal"/>
      </w:pPr>
    </w:p>
    <w:p w14:paraId="44ACD38E" w14:textId="77777777" w:rsidR="003754FE" w:rsidRDefault="003754FE" w:rsidP="003754FE">
      <w:pPr>
        <w:pStyle w:val="TextoNormal"/>
      </w:pPr>
      <w:r w:rsidRPr="003754FE">
        <w:rPr>
          <w:rStyle w:val="NumeroAFNegritaCaracter"/>
        </w:rPr>
        <w:t>11</w:t>
      </w:r>
      <w:r>
        <w:t>. Mediante escrito de 24 de junio de 2024, la Abogacía del Estado formuló sus alegaciones.</w:t>
      </w:r>
    </w:p>
    <w:p w14:paraId="778B9325" w14:textId="77777777" w:rsidR="003754FE" w:rsidRDefault="003754FE" w:rsidP="003754FE">
      <w:pPr>
        <w:pStyle w:val="TextoNormal"/>
      </w:pPr>
    </w:p>
    <w:p w14:paraId="2332209D" w14:textId="77777777" w:rsidR="003754FE" w:rsidRDefault="003754FE" w:rsidP="003754FE">
      <w:pPr>
        <w:pStyle w:val="TextoNormal"/>
      </w:pPr>
      <w:r>
        <w:t>Defiende, en primer lugar, la inadmisión de la demanda por carecer de especial trascendencia constitucional. Entiende que la recurrente alega el motivo o criterio quinto (existan resoluciones judiciales contradictorias sobre el derecho fundamental, ya sea interpretando de manera distinta la doctrina constitucional ya sea aplicándola en unos casos y desconociéndola en otros) en relación con sentencias anteriores que trae a colación como parámetro comparativo. Es decir, que existan distintas versiones del mismo derecho fundamental emanadas de distintos órganos jurisdiccionales.</w:t>
      </w:r>
    </w:p>
    <w:p w14:paraId="6010D506" w14:textId="77777777" w:rsidR="003754FE" w:rsidRDefault="003754FE" w:rsidP="003754FE">
      <w:pPr>
        <w:pStyle w:val="TextoNormal"/>
      </w:pPr>
    </w:p>
    <w:p w14:paraId="3DE694DD" w14:textId="77777777" w:rsidR="003754FE" w:rsidRDefault="003754FE" w:rsidP="003754FE">
      <w:pPr>
        <w:pStyle w:val="TextoNormal"/>
      </w:pPr>
      <w:r>
        <w:t>En opinión del abogado del Estado, la recurrente no ofrece, no aporta, en realidad, resoluciones judiciales anteriores verdaderamente contradictorias sobre el concepto de dilaciones indebidas, esto es, sobre el mismo derecho fundamental en su esencia. Es decir, que no hay resoluciones contradictorias sobre la esencia del derecho cuando los órganos judiciales entienden, al enjuiciar los hechos, que en uno o varios casos acontecen las dilaciones indebidas y en otros no. No hay contradicción si el concepto valorativo o definidor de las dilaciones es el mismo, pues solo varía el hecho sobre si se dan o no en el caso concreto.</w:t>
      </w:r>
    </w:p>
    <w:p w14:paraId="102D7A6D" w14:textId="77777777" w:rsidR="003754FE" w:rsidRDefault="003754FE" w:rsidP="003754FE">
      <w:pPr>
        <w:pStyle w:val="TextoNormal"/>
      </w:pPr>
    </w:p>
    <w:p w14:paraId="19188443" w14:textId="77777777" w:rsidR="003754FE" w:rsidRDefault="003754FE" w:rsidP="003754FE">
      <w:pPr>
        <w:pStyle w:val="TextoNormal"/>
      </w:pPr>
      <w:r>
        <w:t>Por lo tanto, no concurre el requisito interpretativo que, según el apartado quinto del art. 50.1 LOTC, habría de darse según el fundamento jurídico 2 de la STC 155/2009, para que se produjese el hecho de apreciarse resoluciones judiciales contradictorias sobre el entendimiento de la modalidad concreta alegada (dilaciones indebidas), del derecho fundamental; sobre cuál es la esencia o naturaleza de este.</w:t>
      </w:r>
    </w:p>
    <w:p w14:paraId="1B72B923" w14:textId="77777777" w:rsidR="003754FE" w:rsidRDefault="003754FE" w:rsidP="003754FE">
      <w:pPr>
        <w:pStyle w:val="TextoNormal"/>
      </w:pPr>
    </w:p>
    <w:p w14:paraId="2BCA00A6" w14:textId="77777777" w:rsidR="003754FE" w:rsidRDefault="003754FE" w:rsidP="003754FE">
      <w:pPr>
        <w:pStyle w:val="TextoNormal"/>
      </w:pPr>
      <w:r>
        <w:t xml:space="preserve">De entre los motivos más aproximados, quizá el único posible, pero cree el abogado del Estado que tampoco, de los que la STC 155/2009, desglosa interpretando el art. 50.1 b) LOTC, vendría a ser cuando un órgano jurisdiccional incurra en una negativa manifiesta del deber de acatamiento de la doctrina del Tribunal Constitucional (art. 5 de la Ley Orgánica del Poder Judicial). Sin embargo, tampoco este motivo sería aplicable o susceptible de apreciación al caso. La concurrencia de este elemento intencional o volitivo que caracteriza este concreto supuesto de especial trascendencia constitucional, resulta inexcusable para la apreciación del motivo de especial trascendencia constitucional. El mismo Tribunal Constitucional declara que el incumplimiento por parte del órgano judicial ha de estar referido a una doctrina concreta y precisa, no siendo suficiente cualquier pronunciamiento jurisprudencial </w:t>
      </w:r>
      <w:r>
        <w:lastRenderedPageBreak/>
        <w:t>que se entienda incumplido (SSTC 106/2017, de 18 de septiembre, FJ 2; 138/2017, de 27 de noviembre, FJ 2; 5/2018, de 22 de enero, FJ 2, y 39/2018, de 23 de abril, FJ 2). En el caso concreto ahora sujeto a análisis, solo se aprecia un criterio en las inadmisiones habidas en sede judicial ordinaria, acreditada del todo o no, pero no una intención del órgano judicial de despreciar formalmente la doctrina del Tribunal Constitucional sobre qué serían dilaciones indebidas y en qué consiste la modalidad de las mismas como concepto integrante del derecho fundamental a la tutela judicial efectiva.</w:t>
      </w:r>
    </w:p>
    <w:p w14:paraId="120EB0DF" w14:textId="77777777" w:rsidR="003754FE" w:rsidRDefault="003754FE" w:rsidP="003754FE">
      <w:pPr>
        <w:pStyle w:val="TextoNormal"/>
      </w:pPr>
    </w:p>
    <w:p w14:paraId="37E68EE2" w14:textId="77777777" w:rsidR="003754FE" w:rsidRDefault="003754FE" w:rsidP="003754FE">
      <w:pPr>
        <w:pStyle w:val="TextoNormal"/>
      </w:pPr>
      <w:r>
        <w:t>En definitiva, la recurrente no justifica que el recurso de amparo formulado posea una trascendencia constitucional como para ser admitido conforme prevé el art. 50.1 LOTC, luego entiende el abogado del Estado que habría de ser inadmitido, lo que solicita en el suplico del escrito de contestación. Tampoco el auto judicial objeto último de impugnación en amparo carece de motivación como es objeto de reproche. A su juicio, expone dicho auto el criterio —se comparta o no— de rechazo a la pretensión de anulación de la recurrente.</w:t>
      </w:r>
    </w:p>
    <w:p w14:paraId="736ED36A" w14:textId="77777777" w:rsidR="003754FE" w:rsidRDefault="003754FE" w:rsidP="003754FE">
      <w:pPr>
        <w:pStyle w:val="TextoNormal"/>
      </w:pPr>
    </w:p>
    <w:p w14:paraId="05465584" w14:textId="1E3965A9" w:rsidR="003754FE" w:rsidRDefault="003754FE" w:rsidP="003754FE">
      <w:pPr>
        <w:pStyle w:val="TextoNormal"/>
      </w:pPr>
      <w:r>
        <w:t>En consecuencia. Interesa la inadmisión del recurso o, subsidiariamente, su desestimación.</w:t>
      </w:r>
    </w:p>
    <w:p w14:paraId="15411822" w14:textId="77777777" w:rsidR="003754FE" w:rsidRDefault="003754FE" w:rsidP="003754FE">
      <w:pPr>
        <w:pStyle w:val="TextoNormal"/>
      </w:pPr>
    </w:p>
    <w:p w14:paraId="3A517C6E" w14:textId="631F6ACA" w:rsidR="003754FE" w:rsidRDefault="003754FE" w:rsidP="003754FE">
      <w:pPr>
        <w:pStyle w:val="TextoNormal"/>
      </w:pPr>
      <w:r w:rsidRPr="003754FE">
        <w:rPr>
          <w:rStyle w:val="NumeroAFNegritaCaracter"/>
        </w:rPr>
        <w:t>12</w:t>
      </w:r>
      <w:r>
        <w:t>. Mediante providencia de 31 de octubre de 2024 se señaló para deliberación y votación de la presente sentencia el día 4 de noviembre de 2024.</w:t>
      </w:r>
    </w:p>
    <w:p w14:paraId="7EA152B5" w14:textId="77777777" w:rsidR="003754FE" w:rsidRDefault="003754FE" w:rsidP="003754FE">
      <w:pPr>
        <w:pStyle w:val="TextoNormal"/>
      </w:pPr>
    </w:p>
    <w:p w14:paraId="369537CD" w14:textId="77777777" w:rsidR="003754FE" w:rsidRDefault="003754FE" w:rsidP="003754FE">
      <w:pPr>
        <w:pStyle w:val="TextoNormalNegritaCentrado"/>
        <w:keepNext/>
      </w:pPr>
      <w:r>
        <w:t>II. Fundamentos jurídicos</w:t>
      </w:r>
    </w:p>
    <w:p w14:paraId="20D19658" w14:textId="23816891" w:rsidR="003754FE" w:rsidRDefault="003754FE" w:rsidP="003754FE">
      <w:pPr>
        <w:pStyle w:val="TextoNormalNegritaCentrado"/>
        <w:keepNext/>
      </w:pPr>
    </w:p>
    <w:p w14:paraId="62FD593B" w14:textId="77777777" w:rsidR="003754FE" w:rsidRDefault="003754FE" w:rsidP="003754FE">
      <w:pPr>
        <w:pStyle w:val="TextoNormal"/>
      </w:pPr>
      <w:r w:rsidRPr="003754FE">
        <w:rPr>
          <w:rStyle w:val="NumeroAFNegritaCaracter"/>
        </w:rPr>
        <w:t>1</w:t>
      </w:r>
      <w:r>
        <w:t xml:space="preserve">. </w:t>
      </w:r>
      <w:r w:rsidRPr="003754FE">
        <w:rPr>
          <w:i/>
        </w:rPr>
        <w:t>Objeto y pretensiones de la recurrente</w:t>
      </w:r>
    </w:p>
    <w:p w14:paraId="595F293E" w14:textId="77777777" w:rsidR="003754FE" w:rsidRDefault="003754FE" w:rsidP="003754FE">
      <w:pPr>
        <w:pStyle w:val="TextoNormal"/>
      </w:pPr>
    </w:p>
    <w:p w14:paraId="4A70F94B" w14:textId="77777777" w:rsidR="003754FE" w:rsidRDefault="003754FE" w:rsidP="003754FE">
      <w:pPr>
        <w:pStyle w:val="TextoNormal"/>
      </w:pPr>
      <w:r>
        <w:t>Son objeto del recurso de amparo las resoluciones citadas en los antecedentes de esta sentencia. Se trata de determinar si vulnera el derecho a un proceso sin dilaciones indebidas (art. 24.2 CE) de la demandante de amparo, la decisión judicial de señalar la vista para un procedimiento ordinario en el orden social con una demora de tres años desde la admisión a trámite de la demanda, con fundamento en que, si bien se ha respetado el orden cronológico de señalamientos para los asuntos no urgentes, problemas estructurales por la sobrecarga de asuntos que sufre el juzgado imposibilita su anticipación.</w:t>
      </w:r>
    </w:p>
    <w:p w14:paraId="26672950" w14:textId="77777777" w:rsidR="003754FE" w:rsidRDefault="003754FE" w:rsidP="003754FE">
      <w:pPr>
        <w:pStyle w:val="TextoNormal"/>
      </w:pPr>
    </w:p>
    <w:p w14:paraId="21E07DE6" w14:textId="77777777" w:rsidR="003754FE" w:rsidRDefault="003754FE" w:rsidP="003754FE">
      <w:pPr>
        <w:pStyle w:val="TextoNormal"/>
      </w:pPr>
      <w:r>
        <w:t>A pesar de que la demandante de amparo ha invocado conjuntamente los derechos a la tutela judicial efectiva (art. 24.1 CE) y a un proceso con todas las garantías (art. 24.2 CE), el Tribunal constata que, al igual que se estableció en la STC 31/2023, de 17 de abril, FJ 1, toda la argumentación de la demandante de amparo está orientada a poner de manifiesto la vulneración del último de los derechos, que se constituye en el núcleo de su queja y necesario parámetro de control de constitucionalidad, careciendo de autonomía la invocación del art. 24.1 CE.</w:t>
      </w:r>
    </w:p>
    <w:p w14:paraId="152BFC6D" w14:textId="77777777" w:rsidR="003754FE" w:rsidRDefault="003754FE" w:rsidP="003754FE">
      <w:pPr>
        <w:pStyle w:val="TextoNormal"/>
      </w:pPr>
    </w:p>
    <w:p w14:paraId="0ED575EB" w14:textId="77777777" w:rsidR="003754FE" w:rsidRDefault="003754FE" w:rsidP="003754FE">
      <w:pPr>
        <w:pStyle w:val="TextoNormal"/>
      </w:pPr>
      <w:r>
        <w:t>El Ministerio Fiscal ha solicitado en sus alegaciones la estimación del amparo, al considerar que se ha vulnerado el derecho de la recurrente a no padecer dilaciones indebidas (art. 24.2 CE).</w:t>
      </w:r>
    </w:p>
    <w:p w14:paraId="21288B8C" w14:textId="77777777" w:rsidR="003754FE" w:rsidRDefault="003754FE" w:rsidP="003754FE">
      <w:pPr>
        <w:pStyle w:val="TextoNormal"/>
      </w:pPr>
    </w:p>
    <w:p w14:paraId="4B21B7CE" w14:textId="26BCFE74" w:rsidR="003754FE" w:rsidRDefault="003754FE" w:rsidP="003754FE">
      <w:pPr>
        <w:pStyle w:val="TextoNormal"/>
      </w:pPr>
      <w:r>
        <w:lastRenderedPageBreak/>
        <w:t>Por su parte, el abogado del Estado ha solicitado la inadmisión de la demanda al considerar que la misma no tiene especial trascendencia constitucional. Subsidiariamente solicita su desestimación.</w:t>
      </w:r>
    </w:p>
    <w:p w14:paraId="635848B1" w14:textId="77777777" w:rsidR="003754FE" w:rsidRDefault="003754FE" w:rsidP="003754FE">
      <w:pPr>
        <w:pStyle w:val="TextoNormal"/>
      </w:pPr>
    </w:p>
    <w:p w14:paraId="67C0563D" w14:textId="77777777" w:rsidR="003754FE" w:rsidRDefault="003754FE" w:rsidP="003754FE">
      <w:pPr>
        <w:pStyle w:val="TextoNormal"/>
      </w:pPr>
      <w:r w:rsidRPr="003754FE">
        <w:rPr>
          <w:rStyle w:val="NumeroAFNegritaCaracter"/>
        </w:rPr>
        <w:t>2</w:t>
      </w:r>
      <w:r>
        <w:t xml:space="preserve">. </w:t>
      </w:r>
      <w:r w:rsidRPr="003754FE">
        <w:rPr>
          <w:i/>
        </w:rPr>
        <w:t>Análisis de la causa de inadmisión alegada</w:t>
      </w:r>
    </w:p>
    <w:p w14:paraId="56F48A03" w14:textId="77777777" w:rsidR="003754FE" w:rsidRDefault="003754FE" w:rsidP="003754FE">
      <w:pPr>
        <w:pStyle w:val="TextoNormal"/>
      </w:pPr>
    </w:p>
    <w:p w14:paraId="06322ACA" w14:textId="77777777" w:rsidR="003754FE" w:rsidRDefault="003754FE" w:rsidP="003754FE">
      <w:pPr>
        <w:pStyle w:val="TextoNormal"/>
      </w:pPr>
      <w:r>
        <w:t>El abogado del Estado defiende, como ha quedado expuesto en los antecedentes, que la demanda carece de especial trascendencia constitucional, al considerar que no concurren los motivos alegados por la parte recurrente para sustentarla.</w:t>
      </w:r>
    </w:p>
    <w:p w14:paraId="16FBFBBA" w14:textId="77777777" w:rsidR="003754FE" w:rsidRDefault="003754FE" w:rsidP="003754FE">
      <w:pPr>
        <w:pStyle w:val="TextoNormal"/>
      </w:pPr>
    </w:p>
    <w:p w14:paraId="5AB208F0" w14:textId="77777777" w:rsidR="003754FE" w:rsidRDefault="003754FE" w:rsidP="003754FE">
      <w:pPr>
        <w:pStyle w:val="TextoNormal"/>
      </w:pPr>
      <w:r>
        <w:t>Como hemos tenido la oportunidad de reiterar, corresponde únicamente al Tribunal apreciar en cada caso, en el momento de admitir a trámite el recurso de amparo, si este tiene especial trascendencia constitucional, de acuerdo con lo exigido por el art. 50.1 LOTC (por todas, STC 22/2024, de 12 de febrero, FJ 2).</w:t>
      </w:r>
    </w:p>
    <w:p w14:paraId="5982C793" w14:textId="77777777" w:rsidR="003754FE" w:rsidRDefault="003754FE" w:rsidP="003754FE">
      <w:pPr>
        <w:pStyle w:val="TextoNormal"/>
      </w:pPr>
    </w:p>
    <w:p w14:paraId="5AA6EA23" w14:textId="77777777" w:rsidR="003754FE" w:rsidRDefault="003754FE" w:rsidP="003754FE">
      <w:pPr>
        <w:pStyle w:val="TextoNormal"/>
      </w:pPr>
      <w:r>
        <w:t>La Sección Primera, mediante providencia de 6 de mayo de 2024, decidió admitir a trámite la demanda presentada por la recurrente, apreciando que la especial trascendencia constitucional del recurso consistía en que puede dar ocasión al Tribunal para aclarar o cambiar su doctrina como consecuencia de un proceso de reflexión interna. El Tribunal quiere aclarar su doctrina con relación a los efectos del otorgamiento del amparo en supuestos como el presente. Por ello deben rechazarse los argumentos del abogado del Estado.</w:t>
      </w:r>
    </w:p>
    <w:p w14:paraId="2272B8F4" w14:textId="77777777" w:rsidR="003754FE" w:rsidRDefault="003754FE" w:rsidP="003754FE">
      <w:pPr>
        <w:pStyle w:val="TextoNormal"/>
      </w:pPr>
    </w:p>
    <w:p w14:paraId="03797D13" w14:textId="77777777" w:rsidR="003754FE" w:rsidRDefault="003754FE" w:rsidP="003754FE">
      <w:pPr>
        <w:pStyle w:val="TextoNormal"/>
      </w:pPr>
      <w:r>
        <w:t>En cualquier caso, no podría apreciarse en supuestos como el presente en que las dilaciones se deben a razones de carácter estructural, un incumplimiento reiterado de los órganos judiciales o una negativa manifiesta a acatar la doctrina constitucional, puesto que, como se verá, no existe la intención por parte del órgano judicial de separase de la doctrina constitucional, antes al contrario, su cumplimiento deviene imposible materialmente por razones estructurales.</w:t>
      </w:r>
    </w:p>
    <w:p w14:paraId="6E3AF024" w14:textId="77777777" w:rsidR="003754FE" w:rsidRDefault="003754FE" w:rsidP="003754FE">
      <w:pPr>
        <w:pStyle w:val="TextoNormal"/>
      </w:pPr>
    </w:p>
    <w:p w14:paraId="3B850049" w14:textId="1A8D244B" w:rsidR="003754FE" w:rsidRDefault="003754FE" w:rsidP="003754FE">
      <w:pPr>
        <w:pStyle w:val="TextoNormal"/>
      </w:pPr>
      <w:r>
        <w:t>Como ya hemos señalado, para apreciar una negativa manifiesta del deber de acatamiento de la doctrina constitucional señalado en la STC 155/2009, FJ 2 f), es necesario, entre otros requisitos, “la voluntad manifiesta de no proceder a su aplicación; o, dicho en otras palabras, a una decisión consciente de soslayarla” (STC 83/2018, de 16 de julio, FJ 3), algo que, obviamente, no concurre en este tipo de dilaciones estructurales. Tampoco puede hablarse de un incumplimiento general y reiterado de la doctrina constitucional cuando la razón expuesta por el órgano judicial para inaplicar la jurisprudencia del Tribunal Constitucional es la imposibilidad material, como ocurre en este tipo de dilaciones de carácter estructural.</w:t>
      </w:r>
    </w:p>
    <w:p w14:paraId="6C7AB55D" w14:textId="77777777" w:rsidR="003754FE" w:rsidRDefault="003754FE" w:rsidP="003754FE">
      <w:pPr>
        <w:pStyle w:val="TextoNormal"/>
      </w:pPr>
    </w:p>
    <w:p w14:paraId="3BDAE906" w14:textId="77777777" w:rsidR="003754FE" w:rsidRDefault="003754FE" w:rsidP="003754FE">
      <w:pPr>
        <w:pStyle w:val="TextoNormal"/>
      </w:pPr>
      <w:r w:rsidRPr="003754FE">
        <w:rPr>
          <w:rStyle w:val="NumeroAFNegritaCaracter"/>
        </w:rPr>
        <w:t>3</w:t>
      </w:r>
      <w:r>
        <w:t xml:space="preserve">. </w:t>
      </w:r>
      <w:r w:rsidRPr="003754FE">
        <w:rPr>
          <w:i/>
        </w:rPr>
        <w:t>Jurisprudencia constitucional sobre el derecho fundamental a un proceso sin dilaciones indebidas</w:t>
      </w:r>
    </w:p>
    <w:p w14:paraId="6CBD2AA2" w14:textId="77777777" w:rsidR="003754FE" w:rsidRDefault="003754FE" w:rsidP="003754FE">
      <w:pPr>
        <w:pStyle w:val="TextoNormal"/>
      </w:pPr>
    </w:p>
    <w:p w14:paraId="23268A47" w14:textId="77777777" w:rsidR="003754FE" w:rsidRDefault="003754FE" w:rsidP="003754FE">
      <w:pPr>
        <w:pStyle w:val="TextoNormal"/>
      </w:pPr>
      <w:r>
        <w:t>Este tribunal ha producido una consolidada jurisprudencia sobre el derecho a no padecer dilaciones indebidas, cuando estas provienen de causas estructurales sin omisión ni negligencia de los órganos judiciales.</w:t>
      </w:r>
    </w:p>
    <w:p w14:paraId="6E214C68" w14:textId="77777777" w:rsidR="003754FE" w:rsidRDefault="003754FE" w:rsidP="003754FE">
      <w:pPr>
        <w:pStyle w:val="TextoNormal"/>
      </w:pPr>
    </w:p>
    <w:p w14:paraId="41D8AE59" w14:textId="77777777" w:rsidR="003754FE" w:rsidRDefault="003754FE" w:rsidP="003754FE">
      <w:pPr>
        <w:pStyle w:val="TextoNormal"/>
      </w:pPr>
      <w:r>
        <w:t xml:space="preserve">El problema constitucional que se plantea en el presente recurso, tal como reconoce el Ministerio Fiscal, es coincidente con el ya resuelto recientemente en las SSTC 125/2022, de 10 de octubre, y 31/2023, de 17 de abril, con ocasión de sendos recursos de amparo </w:t>
      </w:r>
      <w:r>
        <w:lastRenderedPageBreak/>
        <w:t>interpuestos contra señalamientos de actos de conciliación y juicio también en el orden jurisdiccional social.</w:t>
      </w:r>
    </w:p>
    <w:p w14:paraId="51C994A0" w14:textId="77777777" w:rsidR="003754FE" w:rsidRDefault="003754FE" w:rsidP="003754FE">
      <w:pPr>
        <w:pStyle w:val="TextoNormal"/>
      </w:pPr>
    </w:p>
    <w:p w14:paraId="123BF9F8" w14:textId="77777777" w:rsidR="003754FE" w:rsidRDefault="003754FE" w:rsidP="003754FE">
      <w:pPr>
        <w:pStyle w:val="TextoNormal"/>
      </w:pPr>
      <w:r>
        <w:t>Esas sentencias, en aplicación de jurisprudencia constitucional reiterada de este tribunal, concluyeron que se había vulnerado el derecho de los recurrentes a un proceso sin dilaciones indebidas (art. 24.2 CE).</w:t>
      </w:r>
    </w:p>
    <w:p w14:paraId="41B19FF2" w14:textId="77777777" w:rsidR="003754FE" w:rsidRDefault="003754FE" w:rsidP="003754FE">
      <w:pPr>
        <w:pStyle w:val="TextoNormal"/>
      </w:pPr>
    </w:p>
    <w:p w14:paraId="484DF4A4" w14:textId="77777777" w:rsidR="003754FE" w:rsidRDefault="003754FE" w:rsidP="003754FE">
      <w:pPr>
        <w:pStyle w:val="TextoNormal"/>
      </w:pPr>
      <w:r>
        <w:t>La estimación del recurso tuvo como fundamento la jurisprudencia constitucional ya consolidada en la materia por las SSTC 54/2014, de 10 de abril, FJ 4, y 129/2016, de 18 de julio, FJ 4, en línea con la establecida por el Tribunal Europeo de Derechos Humanos, en la que se reitera que la idea de dilaciones indebidas, como concepto jurídico indeterminado, no puede identificarse con una mera infracción de los plazos procesales o una excesiva duración temporal de las actuaciones judiciales, sino que es el resultado de la aplicación a las circunstancias específicas, que son: (i) la complejidad del litigio; (ii) los márgenes ordinarios de duración de los litigios del mismo tipo; (iii) el interés que arriesga el demandante de amparo; (iv) su conducta procesal; y (v) la conducta de las autoridades.</w:t>
      </w:r>
    </w:p>
    <w:p w14:paraId="662A714C" w14:textId="77777777" w:rsidR="003754FE" w:rsidRDefault="003754FE" w:rsidP="003754FE">
      <w:pPr>
        <w:pStyle w:val="TextoNormal"/>
      </w:pPr>
    </w:p>
    <w:p w14:paraId="3F976C74" w14:textId="13DC7501" w:rsidR="003754FE" w:rsidRDefault="003754FE" w:rsidP="003754FE">
      <w:pPr>
        <w:pStyle w:val="TextoNormal"/>
      </w:pPr>
      <w:r>
        <w:t>A esos efectos, se destaca: (i) en cuanto a los márgenes ordinarios de demora, que la jurisprudencia constitucional ha concluido la existencia de dilaciones indebidas en supuestos en que entre la fecha de interposición de la demanda ante la jurisdicción ordinaria y la fecha del señalamiento para vista, habían mediado los siguientes plazos: dos años y seis meses (STC 54/2014, de 10 de abril), dos años y tres meses (STC 99/2014, de 23 de junio), un año y once meses (STC 129/2016, de 18 de julio), un año y seis meses (STC 142/2010, de 21 de diciembre) y un año y tres meses (STC 89/2016 de 9 de mayo); y (ii) que el hecho de que la demora denunciada se deba a motivos estructurales, no imputables directamente al órgano judicial, no impide apreciar la vulneración del derecho del recurrente a un proceso sin dilaciones indebidas, pues esta situación no altera su naturaleza injustificada, en tanto que el ciudadano es ajeno a esas circunstancias (STC 125/2022, de 10 de octubre, FJ 3).</w:t>
      </w:r>
    </w:p>
    <w:p w14:paraId="7B9DE640" w14:textId="77777777" w:rsidR="003754FE" w:rsidRDefault="003754FE" w:rsidP="003754FE">
      <w:pPr>
        <w:pStyle w:val="TextoNormal"/>
      </w:pPr>
    </w:p>
    <w:p w14:paraId="6F9CA67E" w14:textId="77777777" w:rsidR="003754FE" w:rsidRDefault="003754FE" w:rsidP="003754FE">
      <w:pPr>
        <w:pStyle w:val="TextoNormal"/>
      </w:pPr>
      <w:r w:rsidRPr="003754FE">
        <w:rPr>
          <w:rStyle w:val="NumeroAFNegritaCaracter"/>
        </w:rPr>
        <w:t>4</w:t>
      </w:r>
      <w:r>
        <w:t xml:space="preserve">. </w:t>
      </w:r>
      <w:r w:rsidRPr="003754FE">
        <w:rPr>
          <w:i/>
        </w:rPr>
        <w:t>Aplicación de la jurisprudencia al caso</w:t>
      </w:r>
    </w:p>
    <w:p w14:paraId="546B938C" w14:textId="77777777" w:rsidR="003754FE" w:rsidRDefault="003754FE" w:rsidP="003754FE">
      <w:pPr>
        <w:pStyle w:val="TextoNormal"/>
      </w:pPr>
    </w:p>
    <w:p w14:paraId="15B588E2" w14:textId="77777777" w:rsidR="003754FE" w:rsidRDefault="003754FE" w:rsidP="003754FE">
      <w:pPr>
        <w:pStyle w:val="TextoNormal"/>
      </w:pPr>
      <w:r>
        <w:t>En el presente caso, atendiendo a dichos criterios, el Tribunal declara que se ha producido una dilación indebida proscrita por el art. 24.2 CE, ya que, de la misma manera que razonamos en la sentencia STC 31/2023, de 17 de abril, FJ 3, y como reitera en sus alegaciones el Ministerio Fiscal:</w:t>
      </w:r>
    </w:p>
    <w:p w14:paraId="6EEDA424" w14:textId="77777777" w:rsidR="003754FE" w:rsidRDefault="003754FE" w:rsidP="003754FE">
      <w:pPr>
        <w:pStyle w:val="TextoNormal"/>
      </w:pPr>
    </w:p>
    <w:p w14:paraId="1FEA8B5E" w14:textId="77777777" w:rsidR="003754FE" w:rsidRDefault="003754FE" w:rsidP="003754FE">
      <w:pPr>
        <w:pStyle w:val="TextoNormal"/>
      </w:pPr>
      <w:r>
        <w:t>(i) Con independencia de la complejidad de la cuestión objeto de la demanda planteada en la vía judicial previa, que no resulta relevante ni influye en el señalamiento de la vista, se aprecia que la demora de más de tres años, comparada con lo establecido en la jurisprudencia constitucional y a los tiempos medios de resolución de asuntos equivalentes por los juzgados de lo social de toda España, que se situaba en el año 2023, en que fue interpuesta la demanda, en once meses según la estadística publicada por el Consejo General del Poder Judicial relativa a la actividad de los órganos judiciales, es en exceso dilatada en el tiempo aun considerando los efectos derivados de los retrasos acumulados por la situación derivada de la pandemia de la covid-19.</w:t>
      </w:r>
    </w:p>
    <w:p w14:paraId="5A1FF7EF" w14:textId="77777777" w:rsidR="003754FE" w:rsidRDefault="003754FE" w:rsidP="003754FE">
      <w:pPr>
        <w:pStyle w:val="TextoNormal"/>
      </w:pPr>
    </w:p>
    <w:p w14:paraId="7C6E0D83" w14:textId="77777777" w:rsidR="003754FE" w:rsidRDefault="003754FE" w:rsidP="003754FE">
      <w:pPr>
        <w:pStyle w:val="TextoNormal"/>
      </w:pPr>
      <w:r>
        <w:t xml:space="preserve">(ii) El interés que arriesga la demandante de amparo en el pleito es el de obtener una resolución judicial que anule la denegación de la prestación de renta activa de inserción que, </w:t>
      </w:r>
      <w:r>
        <w:lastRenderedPageBreak/>
        <w:t>precisamente, está destinada a personas con especial dificultad de inserción en el mercado laboral. Se trata, en definitiva, de una reclamación que puede tener un impacto muy significativo en la vida de la recurrente en amparo.</w:t>
      </w:r>
    </w:p>
    <w:p w14:paraId="71ED1B13" w14:textId="77777777" w:rsidR="003754FE" w:rsidRDefault="003754FE" w:rsidP="003754FE">
      <w:pPr>
        <w:pStyle w:val="TextoNormal"/>
      </w:pPr>
    </w:p>
    <w:p w14:paraId="20129BBD" w14:textId="77777777" w:rsidR="003754FE" w:rsidRDefault="003754FE" w:rsidP="003754FE">
      <w:pPr>
        <w:pStyle w:val="TextoNormal"/>
      </w:pPr>
      <w:r>
        <w:t>(iii) La conducta de la demandante de amparo no ha propiciado la demora denunciada y, en los términos ya expuestos, no se ha mostrado con falta de diligencia en su invocación temprana ante el órgano judicial para propiciar su restablecimiento.</w:t>
      </w:r>
    </w:p>
    <w:p w14:paraId="202CEE49" w14:textId="77777777" w:rsidR="003754FE" w:rsidRDefault="003754FE" w:rsidP="003754FE">
      <w:pPr>
        <w:pStyle w:val="TextoNormal"/>
      </w:pPr>
    </w:p>
    <w:p w14:paraId="2550AC3E" w14:textId="77777777" w:rsidR="003754FE" w:rsidRDefault="003754FE" w:rsidP="003754FE">
      <w:pPr>
        <w:pStyle w:val="TextoNormal"/>
      </w:pPr>
      <w:r>
        <w:t>(iv) Los motivos estructurales aducidos por el órgano judicial para justificar esa dilación, consistentes en la permanente sobrecarga de trabajo y la carencia de medios personales y materiales necesarios para sacarla adelante en unos plazos razonables, no pueden ser aceptados por este tribunal desde la perspectiva del derecho fundamental invocado, como causa suficiente para neutralizar la lesión del derecho a un proceso sin dilaciones indebidas, ya que dicha situación no altera su naturaleza injustificada, según reiterada jurisprudencia constitucional y del Tribunal Europeo de Derechos Humanos, en tanto que el ciudadano es ajeno a las causas de esas circunstancias.</w:t>
      </w:r>
    </w:p>
    <w:p w14:paraId="694FB2C9" w14:textId="77777777" w:rsidR="003754FE" w:rsidRDefault="003754FE" w:rsidP="003754FE">
      <w:pPr>
        <w:pStyle w:val="TextoNormal"/>
      </w:pPr>
    </w:p>
    <w:p w14:paraId="56AEACA1" w14:textId="77777777" w:rsidR="003754FE" w:rsidRDefault="003754FE" w:rsidP="003754FE">
      <w:pPr>
        <w:pStyle w:val="TextoNormal"/>
      </w:pPr>
      <w:r>
        <w:t>Esto determina que también en este caso el Tribunal otorgue el amparo solicitado, por haber lesionado las resoluciones impugnadas el derecho fundamental de la recurrente a un proceso sin dilaciones indebidas (art. 24.2 CE). En línea con lo ya afirmado en las citadas SSTC 54/2014, de 10 de abril, FJ 7; 89/2014, de 9 de junio, FJ 7, y 31/2023, de 17 de abril, FJ 3, y a diferencia de lo concluido en la citada STC 125/2022, FJ 4, se considera que el otorgamiento del amparo no debe incluir la nulidad de las resoluciones impugnadas ni medida alguna relacionada con la anticipación del señalamiento para la vista porque, dado el carácter estructural de los referidos retrasos, ello podría agravar la posición de terceros no recurrentes.</w:t>
      </w:r>
    </w:p>
    <w:p w14:paraId="4EDECE01" w14:textId="77777777" w:rsidR="003754FE" w:rsidRDefault="003754FE" w:rsidP="003754FE">
      <w:pPr>
        <w:pStyle w:val="TextoNormal"/>
      </w:pPr>
    </w:p>
    <w:p w14:paraId="26958BDB" w14:textId="77777777" w:rsidR="003754FE" w:rsidRDefault="003754FE" w:rsidP="003754FE">
      <w:pPr>
        <w:pStyle w:val="TextoNormal"/>
      </w:pPr>
      <w:r>
        <w:t>Ahora bien, como dijimos ya en la STC 36/1984, de 14 de marzo, FJ 4, “[t]odo cuanto antecede no puede llevar a pensar que el derecho constitucionalmente garantizado es un derecho vacío y que su vulneración solo puede ser remediada en términos puramente simbólicos, mediante una declaración sin contenido eficaz. El art. 121 de la Constitución impone al Estado la obligación de indemnizar los daños causados por error judicial o que sean consecuencia del funcionamiento anormal de la administración de justicia. Si la dilación indebida constituye, de acuerdo con una doctrina casi unánime, el supuesto típico de funcionamiento anormal es forzoso concluir que, si bien el derecho a ser indemnizado puede resultar del mandato del art. 121 no es en sí mismo un derecho invocable en la vía del amparo constitucional, la lesión del derecho a un proceso sin dilaciones indebidas genera, por mandato de la Constitución, cuando no puede ser remediada de otro modo, un derecho a ser indemnizado por los daños que tal lesión produce. La ley podrá regular el alcance de tal derecho y el procedimiento para hacerlo valer, pero su existencia misma nace de la Constitución y ha de ser declarada por nosotros”.</w:t>
      </w:r>
    </w:p>
    <w:p w14:paraId="24DD1941" w14:textId="77777777" w:rsidR="003754FE" w:rsidRDefault="003754FE" w:rsidP="003754FE">
      <w:pPr>
        <w:pStyle w:val="TextoNormal"/>
      </w:pPr>
    </w:p>
    <w:p w14:paraId="06BB9961" w14:textId="46CF3D48" w:rsidR="003754FE" w:rsidRDefault="003754FE" w:rsidP="003754FE">
      <w:pPr>
        <w:pStyle w:val="TextoNormal"/>
      </w:pPr>
      <w:r>
        <w:t xml:space="preserve">En definitiva, en casos como el presente, en el que la dilación se produce por causas estructurales, sin responsabilidad personal del titular del órgano judicial, los efectos limitados de las sentencias de este tribunal para reparar la lesión del derecho fundamental a no padecer dilaciones indebidas, puede verse contrarrestada por la correspondiente indemnización por un funcionamiento anormal de la administración de justicia, acción que será </w:t>
      </w:r>
      <w:r>
        <w:lastRenderedPageBreak/>
        <w:t>pertinente y útil, incluso, sin necesidad de plantear un recurso de amparo que, en caso de estimación, tendrá efectos meramente declarativos.</w:t>
      </w:r>
    </w:p>
    <w:p w14:paraId="10C3C3EC" w14:textId="77777777" w:rsidR="003754FE" w:rsidRDefault="003754FE" w:rsidP="003754FE">
      <w:pPr>
        <w:pStyle w:val="TextoNormal"/>
      </w:pPr>
    </w:p>
    <w:p w14:paraId="5AFFC9CC" w14:textId="77777777" w:rsidR="003754FE" w:rsidRDefault="003754FE" w:rsidP="003754FE">
      <w:pPr>
        <w:pStyle w:val="TextoNormalCentrado"/>
        <w:keepNext/>
      </w:pPr>
      <w:r>
        <w:t>FALLO</w:t>
      </w:r>
    </w:p>
    <w:p w14:paraId="4F906530" w14:textId="7186C9FC" w:rsidR="003754FE" w:rsidRDefault="003754FE" w:rsidP="003754FE">
      <w:pPr>
        <w:pStyle w:val="TextoNormalCentrado"/>
        <w:keepNext/>
      </w:pPr>
    </w:p>
    <w:p w14:paraId="2D048AD1" w14:textId="31326811"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doña Yolanda Rivas Alcázar y, en su virtud, declarar que se ha vulnerado su derecho a un proceso sin dilaciones indebidas (art. 24.2 CE).</w:t>
      </w:r>
    </w:p>
    <w:p w14:paraId="252E4345" w14:textId="77777777" w:rsidR="003754FE" w:rsidRDefault="003754FE" w:rsidP="003754FE">
      <w:pPr>
        <w:pStyle w:val="TextoNormal"/>
      </w:pPr>
    </w:p>
    <w:p w14:paraId="3BD5DF8E" w14:textId="77777777" w:rsidR="003754FE" w:rsidRDefault="003754FE" w:rsidP="003754FE">
      <w:pPr>
        <w:pStyle w:val="TextoNormal"/>
      </w:pPr>
      <w:r>
        <w:t>Publíquese esta sentencia en el “Boletín Oficial del Estado”.</w:t>
      </w:r>
    </w:p>
    <w:p w14:paraId="485D0241" w14:textId="77777777" w:rsidR="003754FE" w:rsidRDefault="003754FE" w:rsidP="003754FE">
      <w:pPr>
        <w:pStyle w:val="TextoNormal"/>
      </w:pPr>
      <w:r>
        <w:t>Dada en Madrid, a cuatro de noviembre de dos mil veinticuatro.</w:t>
      </w:r>
    </w:p>
    <w:p w14:paraId="45072EC8" w14:textId="3F9A78C3" w:rsidR="003754FE" w:rsidRDefault="003754FE">
      <w:pPr>
        <w:spacing w:after="160" w:line="278" w:lineRule="auto"/>
        <w:rPr>
          <w:rFonts w:ascii="Times New Roman" w:eastAsia="Times New Roman" w:hAnsi="Times New Roman" w:cs="Times New Roman"/>
          <w:sz w:val="24"/>
          <w:szCs w:val="24"/>
          <w:lang w:eastAsia="es-ES"/>
        </w:rPr>
      </w:pPr>
      <w:r>
        <w:br w:type="page"/>
      </w:r>
    </w:p>
    <w:p w14:paraId="0EE85381" w14:textId="77777777" w:rsidR="003754FE" w:rsidRDefault="003754FE" w:rsidP="003754FE">
      <w:pPr>
        <w:pStyle w:val="TtuloResolucin"/>
      </w:pPr>
      <w:bookmarkStart w:id="45" w:name="SENTENCIA_2024_136"/>
      <w:r>
        <w:lastRenderedPageBreak/>
        <w:t>SENTENCIA 136/2024, de 5 de noviembre de 2024</w:t>
      </w:r>
    </w:p>
    <w:bookmarkEnd w:id="45"/>
    <w:p w14:paraId="4560CDFA" w14:textId="77777777" w:rsidR="003754FE" w:rsidRDefault="003754FE" w:rsidP="003754FE">
      <w:pPr>
        <w:pStyle w:val="TtuloResolucin"/>
      </w:pPr>
      <w:r>
        <w:t>Pleno</w:t>
      </w:r>
    </w:p>
    <w:p w14:paraId="47D91C5C" w14:textId="77777777" w:rsidR="003754FE" w:rsidRDefault="003754FE" w:rsidP="003754FE">
      <w:pPr>
        <w:pStyle w:val="TtuloBOE"/>
      </w:pPr>
      <w:r>
        <w:t>(BOE núm. 294, de 6 de diciembre de 2024)</w:t>
      </w:r>
    </w:p>
    <w:p w14:paraId="68600723" w14:textId="77777777" w:rsidR="003754FE" w:rsidRDefault="003754FE" w:rsidP="003754FE">
      <w:pPr>
        <w:pStyle w:val="TextoNormalCentrado"/>
      </w:pPr>
      <w:r>
        <w:t>ECLI:ES:TC:2024:136</w:t>
      </w:r>
    </w:p>
    <w:p w14:paraId="0229CBB6" w14:textId="1878ABB5" w:rsidR="003754FE" w:rsidRDefault="003754FE" w:rsidP="003754FE">
      <w:pPr>
        <w:pStyle w:val="TextoNormalCentrado"/>
      </w:pPr>
    </w:p>
    <w:p w14:paraId="7E072648" w14:textId="77777777" w:rsidR="003754FE" w:rsidRDefault="003754FE" w:rsidP="003754FE">
      <w:pPr>
        <w:pStyle w:val="SntesisDescriptiva"/>
      </w:pPr>
      <w:r>
        <w:t>Recurso de inconstitucionalidad 2901-2021. Interpuesto por cincuenta diputados del Grupo Parlamentario Vox en el Congreso de los Diputados respecto del artículo único, apartado quinto, de la Ley 8/2021, de 25 de febrero, de modificación de la Ley 8/2008, de 10 de julio, de salud de Galicia.</w:t>
      </w:r>
    </w:p>
    <w:p w14:paraId="0BCDB412" w14:textId="24E84761" w:rsidR="003754FE" w:rsidRDefault="003754FE" w:rsidP="003754FE">
      <w:pPr>
        <w:pStyle w:val="SntesisDescriptiva"/>
      </w:pPr>
    </w:p>
    <w:p w14:paraId="408076D1" w14:textId="77777777" w:rsidR="003754FE" w:rsidRDefault="003754FE" w:rsidP="003754FE">
      <w:pPr>
        <w:pStyle w:val="SntesisAnaltica"/>
      </w:pPr>
      <w:r>
        <w:t>Reserva de ley orgánica y competencias en materia de salud: nulidad de los preceptos legales autonómicos que habilitan a los órganos autonómicos la adopción de medidas preventivas y tipifican infracciones en materia de salud pública. Voto particular.</w:t>
      </w:r>
    </w:p>
    <w:p w14:paraId="3F732E4E" w14:textId="40C429B2" w:rsidR="003754FE" w:rsidRDefault="003754FE" w:rsidP="003754FE">
      <w:pPr>
        <w:pStyle w:val="SntesisAnaltica"/>
      </w:pPr>
    </w:p>
    <w:p w14:paraId="25EC02BC" w14:textId="0EF8AF2B" w:rsidR="003754FE" w:rsidRDefault="003754FE" w:rsidP="003754FE">
      <w:pPr>
        <w:pStyle w:val="Extracto"/>
      </w:pPr>
      <w:r>
        <w:t>1.</w:t>
      </w:r>
      <w:r>
        <w:tab/>
        <w:t>La administración no consentida de una vacuna queda supeditada al cumplimiento de los diversos requisitos que, de acuerdo con nuestra doctrina, rigen la restricción de los derechos fundamentales sustantivos, en particular la existencia de una habilitación legal precisa, con la debida calidad normativa en la definición del supuesto de hecho y de sus consecuencias, y el respeto al principio de proporcionalidad (SSTC 38/2023 o 71/2024) [FJ 4].</w:t>
      </w:r>
    </w:p>
    <w:p w14:paraId="3727C407" w14:textId="77777777" w:rsidR="003754FE" w:rsidRDefault="003754FE" w:rsidP="003754FE">
      <w:pPr>
        <w:pStyle w:val="Extracto"/>
      </w:pPr>
    </w:p>
    <w:p w14:paraId="6242156A" w14:textId="21812D4B" w:rsidR="003754FE" w:rsidRDefault="003754FE" w:rsidP="003754FE">
      <w:pPr>
        <w:pStyle w:val="Extracto"/>
      </w:pPr>
      <w:r>
        <w:t>2.</w:t>
      </w:r>
      <w:r>
        <w:tab/>
        <w:t xml:space="preserve">El legislador sanitario está habilitado por el art. 43 CE para prever medidas de intervención en los derechos fundamentales de intensidad muy variable. Dichas medidas han de permitir a las administraciones competentes tutelar la salud pública, lo que implica la posibilidad de gestionar las diversas situaciones de crisis sanitaria, en sus distintas escalas. Estamos ante una de las formas clásicas de intervención pública en el ámbito del derecho administrativo sanitario, expresada, ya desde antiguo, en la máxima </w:t>
      </w:r>
      <w:r w:rsidRPr="003754FE">
        <w:rPr>
          <w:i/>
        </w:rPr>
        <w:t xml:space="preserve">salus populi suprema lex est </w:t>
      </w:r>
      <w:r>
        <w:t>[FJ 4].</w:t>
      </w:r>
    </w:p>
    <w:p w14:paraId="42A1130A" w14:textId="77777777" w:rsidR="003754FE" w:rsidRDefault="003754FE" w:rsidP="003754FE">
      <w:pPr>
        <w:pStyle w:val="Extracto"/>
      </w:pPr>
    </w:p>
    <w:p w14:paraId="793DF14C" w14:textId="4D99A9B0" w:rsidR="003754FE" w:rsidRDefault="003754FE" w:rsidP="003754FE">
      <w:pPr>
        <w:pStyle w:val="Extracto"/>
      </w:pPr>
      <w:r>
        <w:t>3.</w:t>
      </w:r>
      <w:r>
        <w:tab/>
        <w:t>Una restricción legislativa de alta intensidad en los derechos fundamentales puede ser constitucionalmente admisible, siempre que respete el régimen de garantías previsto en el art. 53.1 CE, en particular la sumisión a reserva de ley -sin que el precepto constitucional distinga reservas de distinta amplitud en función de que los derechos afectados sean o no susceptibles de suspensión-, y el respeto al contenido esencial [FJ 4].</w:t>
      </w:r>
    </w:p>
    <w:p w14:paraId="42399F3B" w14:textId="77777777" w:rsidR="003754FE" w:rsidRDefault="003754FE" w:rsidP="003754FE">
      <w:pPr>
        <w:pStyle w:val="Extracto"/>
      </w:pPr>
    </w:p>
    <w:p w14:paraId="5549CE51" w14:textId="7A78867F" w:rsidR="003754FE" w:rsidRDefault="003754FE" w:rsidP="003754FE">
      <w:pPr>
        <w:pStyle w:val="Extracto"/>
      </w:pPr>
      <w:r>
        <w:t>4.</w:t>
      </w:r>
      <w:r>
        <w:tab/>
        <w:t>El legislador puede establecer supuestos de hecho cualificados en los que la administración sanitaria deba sacrificar la facultad individual, directamente derivada del art. 15 CE, de autodeterminarse en relación con la administración de una vacuna ante la necesidad apremiante de controlar la propagación de una enfermedad infectocontagiosa grave, esto es, por razones imperiosas de salud pública (art. 43 CE), siempre que se preserve la debida relación de proporcionalidad entre el grado de libertad sacrificado y el grado satisfacción obtenido desde el punto de vista del interés colectivo (STC 38/2023) [FJ 4].</w:t>
      </w:r>
    </w:p>
    <w:p w14:paraId="532308DF" w14:textId="77777777" w:rsidR="003754FE" w:rsidRDefault="003754FE" w:rsidP="003754FE">
      <w:pPr>
        <w:pStyle w:val="Extracto"/>
      </w:pPr>
    </w:p>
    <w:p w14:paraId="74D974BA" w14:textId="5FEA06C7" w:rsidR="003754FE" w:rsidRDefault="003754FE" w:rsidP="003754FE">
      <w:pPr>
        <w:pStyle w:val="Extracto"/>
      </w:pPr>
      <w:r>
        <w:t>5.</w:t>
      </w:r>
      <w:r>
        <w:tab/>
        <w:t xml:space="preserve">Ha de aplicarse un criterio de interpretación estricta para determinar el alcance material de la reserva de ley orgánica, del art. 81.1 CE, referida al desarrollo de los derechos fundamentales (SSTC 5/1981 o 135/2006). Dicho criterio se despliega </w:t>
      </w:r>
      <w:r>
        <w:lastRenderedPageBreak/>
        <w:t>en una doble vertiente: a) La referencia contenida en el art. 81.1 CE a los derechos fundamentales ha de entenderse sólo referida a los comprendidos dentro de la sección primera, capítulo II, título I de la propia Constitución (STC 116/1999); y b) Respecto al alcance de la reserva, comprende sólo el desarrollo normativo inmediato de la Constitución en aquellos aspectos básicos o fundamentales del orden constitucional (STC 173/1998) [FJ 5].</w:t>
      </w:r>
    </w:p>
    <w:p w14:paraId="60FEBCBA" w14:textId="77777777" w:rsidR="003754FE" w:rsidRDefault="003754FE" w:rsidP="003754FE">
      <w:pPr>
        <w:pStyle w:val="Extracto"/>
      </w:pPr>
    </w:p>
    <w:p w14:paraId="011FDF56" w14:textId="0CC81DD8" w:rsidR="003754FE" w:rsidRDefault="003754FE" w:rsidP="003754FE">
      <w:pPr>
        <w:pStyle w:val="Extracto"/>
      </w:pPr>
      <w:r>
        <w:t>6.</w:t>
      </w:r>
      <w:r>
        <w:tab/>
        <w:t>Debe diferenciarse, de un lado, la norma que establece la concreta medida de intromisión o restricción, que está sometida a la reserva de ley orgánica, y, de otro, las “reglas procedimentales”, que, en principio, no pueden considerarse, por sí mismas, regulación directa del derecho fundamental, pues no están encaminadas a la delimitación y definición del mismo. Estas últimas están, por ello, excluidas del ámbito reservado a la ley orgánica (SSTC 129/1999 o 132/2010) [FJ 5].</w:t>
      </w:r>
    </w:p>
    <w:p w14:paraId="1655D3CD" w14:textId="77777777" w:rsidR="003754FE" w:rsidRDefault="003754FE" w:rsidP="003754FE">
      <w:pPr>
        <w:pStyle w:val="Extracto"/>
      </w:pPr>
    </w:p>
    <w:p w14:paraId="42332139" w14:textId="744A2BAC" w:rsidR="003754FE" w:rsidRDefault="003754FE" w:rsidP="003754FE">
      <w:pPr>
        <w:pStyle w:val="Extracto"/>
      </w:pPr>
      <w:r>
        <w:t>7.</w:t>
      </w:r>
      <w:r>
        <w:tab/>
        <w:t xml:space="preserve">Para determinar si estamos ante una afectación de la libertad deambulatoria -art. 17 CE- o de la libertad de circulación -art. 19 CE-, es necesario partir de la situación concreta y tener en cuenta un conjunto de criterios como el tipo, la duración, los efectos y las modalidades de ejecución de la medida en cuestión, que deben examinarse de manera acumulada y combinada (Decisión del TEDH de 13 de abril de 2021, asunto </w:t>
      </w:r>
      <w:r w:rsidRPr="003754FE">
        <w:rPr>
          <w:i/>
        </w:rPr>
        <w:t>Terheş c. Rumanía</w:t>
      </w:r>
      <w:r>
        <w:t>; y STC 98/1986) [FJ 5].</w:t>
      </w:r>
    </w:p>
    <w:p w14:paraId="5ADBCDE1" w14:textId="77777777" w:rsidR="003754FE" w:rsidRDefault="003754FE" w:rsidP="003754FE">
      <w:pPr>
        <w:pStyle w:val="Extracto"/>
      </w:pPr>
    </w:p>
    <w:p w14:paraId="74C87E34" w14:textId="4A9E7658" w:rsidR="003754FE" w:rsidRDefault="003754FE" w:rsidP="003754FE">
      <w:pPr>
        <w:pStyle w:val="Extracto"/>
      </w:pPr>
      <w:r>
        <w:t>8.</w:t>
      </w:r>
      <w:r>
        <w:tab/>
        <w:t xml:space="preserve">Las limitaciones de reuniones privadas entre no convivientes afectan al derecho de reunión </w:t>
      </w:r>
      <w:r w:rsidRPr="003754FE">
        <w:rPr>
          <w:i/>
        </w:rPr>
        <w:t xml:space="preserve">ex </w:t>
      </w:r>
      <w:r>
        <w:t>art. 21 CE; pudiendo estar en conexión directa con el derecho a la intimidad personal y familiar reconocido en el art 18.1 CE [FJ 5].</w:t>
      </w:r>
    </w:p>
    <w:p w14:paraId="6E2F457D" w14:textId="77777777" w:rsidR="003754FE" w:rsidRDefault="003754FE" w:rsidP="003754FE">
      <w:pPr>
        <w:pStyle w:val="Extracto"/>
      </w:pPr>
    </w:p>
    <w:p w14:paraId="0F75B50B" w14:textId="18522757" w:rsidR="003754FE" w:rsidRDefault="003754FE" w:rsidP="003754FE">
      <w:pPr>
        <w:pStyle w:val="Extracto"/>
      </w:pPr>
      <w:r>
        <w:t>9.</w:t>
      </w:r>
      <w:r>
        <w:tab/>
        <w:t xml:space="preserve">Las trabas u obstáculos al mantenimiento del contacto con familiares y amigos no se encuadran en el ámbito del art. 11 CEDH, relativo a la libertad de reunión, sino en el de su art. 8.1, que garantiza la vida privada y familiar (STEDH -Gran Sala- de 12 de septiembre de 2012, asunto </w:t>
      </w:r>
      <w:r w:rsidRPr="003754FE">
        <w:rPr>
          <w:i/>
        </w:rPr>
        <w:t>Nada c. Suiza</w:t>
      </w:r>
      <w:r>
        <w:t>; y STC 183/2021). Este ámbito ha de considerarse constitucionalmente protegido por la combinación de los arts. 21.1 -derecho de reunión- y 18 CE -derecho a la intimidad personal y familiar-; derechos fundamentales que resultan afectados por medidas que limitan la posibilidad de mantener reuniones privadas con no convivientes (STC 148/2021) [FJ 5].</w:t>
      </w:r>
    </w:p>
    <w:p w14:paraId="2155562D" w14:textId="77777777" w:rsidR="003754FE" w:rsidRDefault="003754FE" w:rsidP="003754FE">
      <w:pPr>
        <w:pStyle w:val="Extracto"/>
      </w:pPr>
    </w:p>
    <w:p w14:paraId="2F43CC7E" w14:textId="060E58B3" w:rsidR="003754FE" w:rsidRDefault="003754FE" w:rsidP="003754FE">
      <w:pPr>
        <w:pStyle w:val="Extracto"/>
      </w:pPr>
      <w:r>
        <w:t>10.</w:t>
      </w:r>
      <w:r>
        <w:tab/>
        <w:t>La vacunación es un acto sanitario que consiste en la inoculación de un ‘preparado’, de contenido variable, en el cuerpo humano a efectos de provocar una respuesta inmunitaria, por lo que su administración entra dentro de las facultades de autodeterminación garantizadas por el derecho a la integridad personal del art. 15 CE (STC 38/2023) [FJ 5].</w:t>
      </w:r>
    </w:p>
    <w:p w14:paraId="54F17FAD" w14:textId="77777777" w:rsidR="003754FE" w:rsidRDefault="003754FE" w:rsidP="003754FE">
      <w:pPr>
        <w:pStyle w:val="Extracto"/>
      </w:pPr>
    </w:p>
    <w:p w14:paraId="765FDDD9" w14:textId="56C8C0C2" w:rsidR="003754FE" w:rsidRDefault="003754FE" w:rsidP="003754FE">
      <w:pPr>
        <w:pStyle w:val="Extracto"/>
      </w:pPr>
      <w:r>
        <w:t>11.</w:t>
      </w:r>
      <w:r>
        <w:tab/>
        <w:t>Las medidas de “sometimiento” a observación, vigilancia del estado de salud, examen médico y pruebas diagnósticas de personas que presenten síntomas compatibles con la enfermedad transmisible o que supongan un riesgo de transmisión y las pruebas diagnósticas de cribado afectan potencialmente a los derechos a la integridad física (art. 15 CE) y a la intimidad personal (art. 18 CE) [FJ 5].</w:t>
      </w:r>
    </w:p>
    <w:p w14:paraId="4B785412" w14:textId="77777777" w:rsidR="003754FE" w:rsidRDefault="003754FE" w:rsidP="003754FE">
      <w:pPr>
        <w:pStyle w:val="Extracto"/>
      </w:pPr>
    </w:p>
    <w:p w14:paraId="04AD8C65" w14:textId="547C4559" w:rsidR="003754FE" w:rsidRDefault="003754FE" w:rsidP="003754FE">
      <w:pPr>
        <w:pStyle w:val="Extracto"/>
      </w:pPr>
      <w:r>
        <w:lastRenderedPageBreak/>
        <w:t>12.</w:t>
      </w:r>
      <w:r>
        <w:tab/>
        <w:t>La utilización de medios más o menos intrusivos para la realización de una medida determinará, en el caso concreto, el derecho fundamental específicamente afectado, pues la integridad física (art. 15 CE) y la intimidad personal (art. 18 CE) también guardan en nuestra doctrina, de modo similar a lo que ocurre con la libertad deambulatoria y la libertad de circulación, una cierta relación de grado [FJ 5].</w:t>
      </w:r>
    </w:p>
    <w:p w14:paraId="660C08B9" w14:textId="77777777" w:rsidR="003754FE" w:rsidRDefault="003754FE" w:rsidP="003754FE">
      <w:pPr>
        <w:pStyle w:val="Extracto"/>
      </w:pPr>
    </w:p>
    <w:p w14:paraId="7C08DE36" w14:textId="45950304" w:rsidR="003754FE" w:rsidRDefault="003754FE" w:rsidP="003754FE">
      <w:pPr>
        <w:pStyle w:val="Extracto"/>
      </w:pPr>
      <w:r>
        <w:t>13.</w:t>
      </w:r>
      <w:r>
        <w:tab/>
        <w:t xml:space="preserve">Cuando el método en el que se concreten las medidas suponga un riesgo, aunque sea potencial, de lesión o menoscabo de la salud, existirá una intromisión en el derecho fundamental a la integridad física (STC 207/1996). Y lo mismo ocurrirá cuando la medida afecte a “la incolumidad corporal”, esto es, al derecho de la persona a no sufrir menoscabo en su cuerpo o en su apariencia externa sin su consentimiento, pues el hecho de que la intervención coactiva en el cuerpo pueda suponer un malestar o un riesgo o daño para la salud supone un plus de afectación, mas no es una condición </w:t>
      </w:r>
      <w:r w:rsidRPr="003754FE">
        <w:rPr>
          <w:i/>
        </w:rPr>
        <w:t xml:space="preserve">sine qua non </w:t>
      </w:r>
      <w:r>
        <w:t>para entender que existe una intromisión en el derecho fundamental a la integridad física (STC 207/1996) [FJ 5].</w:t>
      </w:r>
    </w:p>
    <w:p w14:paraId="51DE3E6C" w14:textId="77777777" w:rsidR="003754FE" w:rsidRDefault="003754FE" w:rsidP="003754FE">
      <w:pPr>
        <w:pStyle w:val="Extracto"/>
      </w:pPr>
    </w:p>
    <w:p w14:paraId="64D15F86" w14:textId="77A6B954" w:rsidR="003754FE" w:rsidRDefault="003754FE" w:rsidP="003754FE">
      <w:pPr>
        <w:pStyle w:val="Extracto"/>
      </w:pPr>
      <w:r>
        <w:t>14.</w:t>
      </w:r>
      <w:r>
        <w:tab/>
        <w:t>En la averiguación de si una persona es portadora de una determinada enfermedad, queda afectado el art. 18 CE cuando el método empleado concierna al criterio dominante en nuestra cultura sobre el recato corporal (STC 37/1989); y, en todo caso, cuando responda a una finalidad de indagación de datos íntimos (SSTC 207/1996 o 206/2007) [FJ 5].</w:t>
      </w:r>
    </w:p>
    <w:p w14:paraId="4D3FFA18" w14:textId="77777777" w:rsidR="003754FE" w:rsidRDefault="003754FE" w:rsidP="003754FE">
      <w:pPr>
        <w:pStyle w:val="Extracto"/>
      </w:pPr>
    </w:p>
    <w:p w14:paraId="4908DCCE" w14:textId="7B830BFE" w:rsidR="003754FE" w:rsidRDefault="003754FE" w:rsidP="003754FE">
      <w:pPr>
        <w:pStyle w:val="Extracto"/>
      </w:pPr>
      <w:r>
        <w:t>15.</w:t>
      </w:r>
      <w:r>
        <w:tab/>
        <w:t>Las concretas medidas de restricción de derechos de la sección primera, capítulo II, título I de la Constitución deben regularse en la ley orgánica; mientras que la Ley general de sanidad, como ley ordinaria, contiene las medidas de restricción de otros derechos fundamentales, así como las reglas instrumentales o complementarias para su aplicación [FJ 5].</w:t>
      </w:r>
    </w:p>
    <w:p w14:paraId="7FEEC2FA" w14:textId="77777777" w:rsidR="003754FE" w:rsidRDefault="003754FE" w:rsidP="003754FE">
      <w:pPr>
        <w:pStyle w:val="Extracto"/>
      </w:pPr>
    </w:p>
    <w:p w14:paraId="6E8C92A2" w14:textId="7FBFD51C" w:rsidR="003754FE" w:rsidRDefault="003754FE" w:rsidP="003754FE">
      <w:pPr>
        <w:pStyle w:val="Extracto"/>
      </w:pPr>
      <w:r>
        <w:t>16.</w:t>
      </w:r>
      <w:r>
        <w:tab/>
        <w:t xml:space="preserve">El requisito de certidumbre o predeterminación implica que la norma de restricción o limitación de un derecho fundamental ha de ser suficientemente precisa y previsible en cuanto su aplicación y duración. Por ello, la insuficiente predeterminación </w:t>
      </w:r>
      <w:r w:rsidRPr="003754FE">
        <w:rPr>
          <w:i/>
        </w:rPr>
        <w:t xml:space="preserve">ex ante </w:t>
      </w:r>
      <w:r>
        <w:t>de la restricción o limitación constituye un defecto inmanente de la redacción legal del precepto que afecta a la calidad de la ley, esto es, a la accesibilidad y previsibilidad del alcance de la norma (SSTC 184/2003 o 42/2022) [FJ 5].</w:t>
      </w:r>
    </w:p>
    <w:p w14:paraId="58CAA2FF" w14:textId="77777777" w:rsidR="003754FE" w:rsidRDefault="003754FE" w:rsidP="003754FE">
      <w:pPr>
        <w:pStyle w:val="Extracto"/>
      </w:pPr>
    </w:p>
    <w:p w14:paraId="3ECDA6DB" w14:textId="6B3BFB3C" w:rsidR="003754FE" w:rsidRDefault="003754FE" w:rsidP="003754FE">
      <w:pPr>
        <w:pStyle w:val="Extracto"/>
      </w:pPr>
      <w:r>
        <w:t>17.</w:t>
      </w:r>
      <w:r>
        <w:tab/>
        <w:t>Cuando una norma reproducida y la que reproduce se encuadran en una materia sobre la que ostentan competencias tanto el Estado como la comunidad autónoma, la consecuencia no será siempre la inconstitucionalidad, sino que habrá que estar a los efectos de tal reproducción en el caso concreto (STC 341/2005). Tal reiteración, para ser admisible debe satisfacer dos condiciones: (i) que la reproducción de las bases estatales tenga como finalidad hacer más comprensible el desarrollo normativo que realiza la comunidad autónoma en ejercicio de sus competencias propias; y (ii) que la reproducción de la normativa básica sea fiel y no incurra en alteraciones más o menos subrepticias [FJ 6].</w:t>
      </w:r>
    </w:p>
    <w:p w14:paraId="703183DA" w14:textId="77777777" w:rsidR="003754FE" w:rsidRDefault="003754FE" w:rsidP="003754FE">
      <w:pPr>
        <w:pStyle w:val="Extracto"/>
      </w:pPr>
    </w:p>
    <w:p w14:paraId="2219A6E9" w14:textId="1DB6C519" w:rsidR="003754FE" w:rsidRDefault="003754FE" w:rsidP="003754FE">
      <w:pPr>
        <w:pStyle w:val="Extracto"/>
      </w:pPr>
      <w:r>
        <w:t>18.</w:t>
      </w:r>
      <w:r>
        <w:tab/>
        <w:t xml:space="preserve">El art. 149.1.16 CE reconoce al Estado competencia exclusiva tanto sobre la “sanidad exterior” como sobre las “bases y coordinación general de la sanidad”. Esta </w:t>
      </w:r>
      <w:r>
        <w:lastRenderedPageBreak/>
        <w:t>última competencia estatal se desenvuelve en el ámbito de la sanidad interior, esto es, de la sanidad dentro del territorio español (STC 32/1983), ámbito donde corresponden al Estado las bases, la coordinación general y la alta inspección (STC 210/2016); y a las comunidades autónomas el desarrollo legislativo y la ejecución [FJ 6].</w:t>
      </w:r>
    </w:p>
    <w:p w14:paraId="22D095E7" w14:textId="77777777" w:rsidR="003754FE" w:rsidRDefault="003754FE" w:rsidP="003754FE">
      <w:pPr>
        <w:pStyle w:val="Extracto"/>
      </w:pPr>
    </w:p>
    <w:p w14:paraId="04C148B2" w14:textId="77777777" w:rsidR="003754FE" w:rsidRDefault="003754FE" w:rsidP="003754FE">
      <w:pPr>
        <w:pStyle w:val="Extracto"/>
      </w:pPr>
    </w:p>
    <w:p w14:paraId="4ACD83F3"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78E263B8" w14:textId="65CB7ED4" w:rsidR="003754FE" w:rsidRDefault="003754FE" w:rsidP="003754FE">
      <w:pPr>
        <w:pStyle w:val="TextoNormal"/>
      </w:pPr>
    </w:p>
    <w:p w14:paraId="3A84CA02" w14:textId="77777777" w:rsidR="003754FE" w:rsidRDefault="003754FE" w:rsidP="003754FE">
      <w:pPr>
        <w:pStyle w:val="TextoNormalCentrado"/>
        <w:keepNext/>
      </w:pPr>
      <w:r>
        <w:t>EN NOMBRE DEL REY</w:t>
      </w:r>
    </w:p>
    <w:p w14:paraId="2534E4B3" w14:textId="79367DCB" w:rsidR="003754FE" w:rsidRDefault="003754FE" w:rsidP="003754FE">
      <w:pPr>
        <w:pStyle w:val="TextoNormalCentrado"/>
        <w:keepNext/>
      </w:pPr>
    </w:p>
    <w:p w14:paraId="157EA281" w14:textId="77777777" w:rsidR="003754FE" w:rsidRDefault="003754FE" w:rsidP="003754FE">
      <w:pPr>
        <w:pStyle w:val="TextoNormalCentrado"/>
        <w:keepNext/>
      </w:pPr>
    </w:p>
    <w:p w14:paraId="1917C195" w14:textId="77777777" w:rsidR="003754FE" w:rsidRDefault="003754FE" w:rsidP="003754FE">
      <w:pPr>
        <w:pStyle w:val="TextoNormal"/>
      </w:pPr>
      <w:r>
        <w:t>la siguiente</w:t>
      </w:r>
    </w:p>
    <w:p w14:paraId="2CA0F068" w14:textId="3533A398" w:rsidR="003754FE" w:rsidRDefault="003754FE" w:rsidP="003754FE">
      <w:pPr>
        <w:pStyle w:val="TextoNormal"/>
      </w:pPr>
    </w:p>
    <w:p w14:paraId="762D235F" w14:textId="77777777" w:rsidR="003754FE" w:rsidRDefault="003754FE" w:rsidP="003754FE">
      <w:pPr>
        <w:pStyle w:val="TextoNormalCentrado"/>
        <w:keepNext/>
      </w:pPr>
      <w:r>
        <w:t>SENTENCIA</w:t>
      </w:r>
    </w:p>
    <w:p w14:paraId="619D593E" w14:textId="6C7596F5" w:rsidR="003754FE" w:rsidRDefault="003754FE" w:rsidP="003754FE">
      <w:pPr>
        <w:pStyle w:val="TextoNormalCentrado"/>
        <w:keepNext/>
      </w:pPr>
    </w:p>
    <w:p w14:paraId="1179251E" w14:textId="77777777" w:rsidR="003754FE" w:rsidRDefault="003754FE" w:rsidP="003754FE">
      <w:pPr>
        <w:pStyle w:val="TextoNormal"/>
      </w:pPr>
      <w:r>
        <w:t>En el recurso de inconstitucionalidad núm. 2901-2021, interpuesto por cincuenta diputados del Grupo Parlamentario Vox en el Congreso de los Diputados contra el artículo único, apartado 5 de la Ley 8/2021, de 25 de febrero, de modificación de la Ley 8/2008, de 10 de julio, de salud de Galicia. Han formulado alegaciones la Xunta de Galicia y el Parlamento de Galicia. Ha sido ponente el magistrado don Juan Carlos Campo Moreno.</w:t>
      </w:r>
    </w:p>
    <w:p w14:paraId="4CCF923D" w14:textId="33BDBFF0" w:rsidR="003754FE" w:rsidRDefault="003754FE" w:rsidP="003754FE">
      <w:pPr>
        <w:pStyle w:val="TextoNormal"/>
      </w:pPr>
    </w:p>
    <w:p w14:paraId="50090E99" w14:textId="77777777" w:rsidR="003754FE" w:rsidRDefault="003754FE" w:rsidP="003754FE">
      <w:pPr>
        <w:pStyle w:val="TextoNormalNegritaCentrado"/>
        <w:keepNext/>
      </w:pPr>
      <w:r>
        <w:t>I. Antecedentes</w:t>
      </w:r>
    </w:p>
    <w:p w14:paraId="2D94EEBA" w14:textId="459714E2" w:rsidR="003754FE" w:rsidRDefault="003754FE" w:rsidP="003754FE">
      <w:pPr>
        <w:pStyle w:val="TextoNormalNegritaCentrado"/>
        <w:keepNext/>
      </w:pPr>
    </w:p>
    <w:p w14:paraId="506912B9" w14:textId="77777777" w:rsidR="003754FE" w:rsidRDefault="003754FE" w:rsidP="003754FE">
      <w:pPr>
        <w:pStyle w:val="TextoNormal"/>
      </w:pPr>
      <w:r w:rsidRPr="003754FE">
        <w:rPr>
          <w:rStyle w:val="NumeroAFNegritaCaracter"/>
        </w:rPr>
        <w:t>1</w:t>
      </w:r>
      <w:r>
        <w:t>. Mediante escrito registrado en este tribunal el 10 de mayo de 2021, el procurador de los tribunales don Antonio Ortega Fuentes, actuando en nombre de don Santiago Abascal Conde y de otros cuarenta y nueve diputados del Grupo Parlamentario Vox en el Congreso de los Diputados, interpuso, con la firma como comisionado de don Juan José Aizcorbe Torra, recurso de inconstitucionalidad contra el artículo único, apartado 5, de la Ley del Parlamento de Galicia 8/2021, de 25 de febrero, de modificación de la Ley 8/2008, de 10 de julio, de salud de Galicia.</w:t>
      </w:r>
    </w:p>
    <w:p w14:paraId="24C8601B" w14:textId="77777777" w:rsidR="003754FE" w:rsidRDefault="003754FE" w:rsidP="003754FE">
      <w:pPr>
        <w:pStyle w:val="TextoNormal"/>
      </w:pPr>
    </w:p>
    <w:p w14:paraId="607D79DE" w14:textId="77777777" w:rsidR="003754FE" w:rsidRDefault="003754FE" w:rsidP="003754FE">
      <w:pPr>
        <w:pStyle w:val="TextoNormal"/>
      </w:pPr>
      <w:r>
        <w:t>La fundamentación jurídica de la demanda es, en síntesis, la siguiente:</w:t>
      </w:r>
    </w:p>
    <w:p w14:paraId="7F3053F3" w14:textId="77777777" w:rsidR="003754FE" w:rsidRDefault="003754FE" w:rsidP="003754FE">
      <w:pPr>
        <w:pStyle w:val="TextoNormal"/>
      </w:pPr>
    </w:p>
    <w:p w14:paraId="0D400587" w14:textId="77777777" w:rsidR="003754FE" w:rsidRDefault="003754FE" w:rsidP="003754FE">
      <w:pPr>
        <w:pStyle w:val="TextoNormal"/>
      </w:pPr>
      <w:r>
        <w:t xml:space="preserve">El apartado 5 del artículo único de la Ley del Parlamento de Galicia 8/2021, de 25 de febrero, que modifica la redacción del art. 38.2 de la Ley 8/2008, de 10 de julio, de salud de Galicia (en adelante, Ley 8/2008), introduce un elenco de supuestos de injerencia en los derechos fundamentales que tienen su amparo en razones imperiosas de salud pública. Los recurrentes ponen de manifiesto que esos supuestos están especialmente vinculados a situaciones de emergencia sanitaria como la que, al tiempo de aprobación de la ley impugnada, se estaba padeciendo en España con ocasión de la pandemia de covid-19. Advierten, sin </w:t>
      </w:r>
      <w:r>
        <w:lastRenderedPageBreak/>
        <w:t>embargo, que el legislador gallego, al establecer la referida regulación, ha decidido no hacer uso del apoderamiento para la restricción de derechos fundamentales contemplado en el Real Decreto-ley 926/2020, de 25 de octubre, por el que se declara el estado de alarma para contener la propagación de infecciones causadas por el SARS-CoV-2, y ha optado, en su lugar, por un anclaje regulatorio permanente, no asociado a la concreta declaración del estado de alarma.</w:t>
      </w:r>
    </w:p>
    <w:p w14:paraId="3F99A067" w14:textId="77777777" w:rsidR="003754FE" w:rsidRDefault="003754FE" w:rsidP="003754FE">
      <w:pPr>
        <w:pStyle w:val="TextoNormal"/>
      </w:pPr>
    </w:p>
    <w:p w14:paraId="244EC9AB" w14:textId="77777777" w:rsidR="003754FE" w:rsidRDefault="003754FE" w:rsidP="003754FE">
      <w:pPr>
        <w:pStyle w:val="TextoNormal"/>
      </w:pPr>
      <w:r>
        <w:t>La exposición de motivos de la Ley 8/2021 afirma, en efecto, que la legislación ordinaria, sin necesidad de contar con cobertura específica en un instrumento normativo excepcional, puede afrontar por sí misma “los casos de peligros y amenazas para la salud pública”. Es la legislación sanitaria ordinaria, y no los instrumentos regulados en la Ley Orgánica 4/1981, de 1 de junio, de los estados de alarma, excepción y sitio, la que debe cobrar, según señala la exposición de motivos de la ley impugnada, “un papel estratégico fundamental en la lucha contra la pandemia”.</w:t>
      </w:r>
    </w:p>
    <w:p w14:paraId="513FF697" w14:textId="77777777" w:rsidR="003754FE" w:rsidRDefault="003754FE" w:rsidP="003754FE">
      <w:pPr>
        <w:pStyle w:val="TextoNormal"/>
      </w:pPr>
    </w:p>
    <w:p w14:paraId="10EFEC53" w14:textId="77777777" w:rsidR="003754FE" w:rsidRDefault="003754FE" w:rsidP="003754FE">
      <w:pPr>
        <w:pStyle w:val="TextoNormal"/>
      </w:pPr>
      <w:r>
        <w:t>El legislador autonómico niega, con ello, según los recurrentes, “la dimensión excepcional y transitoria de las medidas fijadas por el Gobierno” a través del estado de alarma y “prefiere acudir a la posibilidad que entiende que ofrece la legislación orgánica para introducir medidas limitativas de derechos fundamentales”. Justifica, a su vez, el elenco de medidas de intervención que establece en la necesidad de corregir la falta de “densidad normativa” de la legislación sanitaria orgánica estatal, en la que la habilitación de injerencia sería sumamente amplia. Según la exposición de motivos, el legislador autonómico, en garantía de la seguridad jurídica en materia de intervención en derechos fundamentales, se ve obligado a concretar esa habilitación de injerencia sin llegar a desbordar los límites de esta.</w:t>
      </w:r>
    </w:p>
    <w:p w14:paraId="315126EF" w14:textId="77777777" w:rsidR="003754FE" w:rsidRDefault="003754FE" w:rsidP="003754FE">
      <w:pPr>
        <w:pStyle w:val="TextoNormal"/>
      </w:pPr>
    </w:p>
    <w:p w14:paraId="2814FA96" w14:textId="77777777" w:rsidR="003754FE" w:rsidRDefault="003754FE" w:rsidP="003754FE">
      <w:pPr>
        <w:pStyle w:val="TextoNormal"/>
      </w:pPr>
      <w:r>
        <w:t>Los recurrentes argumentan, sin embargo, que esa intervención de la ley autonómica en la restricción de derechos fundamentales de los ciudadanos no tiene amparo alguno en la legislación estatal, en particular en la propia ley invocada por el legislador gallego, que es la Ley Orgánica 3/1986, de 14 de abril, de medidas especiales en materia de salud pública. Esta disposición estatal, según alegan, “no efectúa remisión alguna al legislador autonómico” y, en todo caso, el contenido de la ley gallega no se refiere únicamente a “aspectos meramente complementarios”, ya que contempla medidas concretas que no están previstas en la Ley Orgánica 3/1986, circunstancia que determina, en su opinión, la vulneración de la reserva de ley orgánica contenida en el art. 81.1 CE, si bien desarrollan más ampliamente este motivo de inconstitucionalidad al analizar la distintas hipótesis de injerencia en los derechos fundamentales, a efectos de poner de relieve la falta de cobertura de cada uno de ellos. Estiman, en todo caso, que esa colaboración internormativa de la ley autonómica con la ley orgánica se produce sin amparo en competencias propias de la comunidad autónoma, ya que correspondería realizarla, en todo caso, al legislador estatal, que, de acuerdo con el art. 149.1.16 CE, tiene encomendadas las bases y coordinación general de la sanidad, lo que ha de incluir un mínimo común denominador para todo el Estado, y es ese legislador estatal el único que, además, puede fijar las condiciones básicas que garantizan la igualdad de todos los españoles en el ejercicio de los derechos (art. 149.1.1 CE).</w:t>
      </w:r>
    </w:p>
    <w:p w14:paraId="2DED7985" w14:textId="77777777" w:rsidR="003754FE" w:rsidRDefault="003754FE" w:rsidP="003754FE">
      <w:pPr>
        <w:pStyle w:val="TextoNormal"/>
      </w:pPr>
    </w:p>
    <w:p w14:paraId="3614143B" w14:textId="77777777" w:rsidR="003754FE" w:rsidRDefault="003754FE" w:rsidP="003754FE">
      <w:pPr>
        <w:pStyle w:val="TextoNormal"/>
      </w:pPr>
      <w:r>
        <w:t xml:space="preserve">Entienden, asimismo, los recurrentes que la falta de cobertura en la ley estatal de las medidas de intervención establecidas por la ley impugnada determina que esta incurra en una indebida “reproducción de normas estatales”. Señalan aquí los diputados que los apartados a) y b), párrafo primero, del art. 38.2 de la ley “reproducen literalmente el tenor de los </w:t>
      </w:r>
      <w:r>
        <w:lastRenderedPageBreak/>
        <w:t>arts. 1, 2 y 3 de la Ley Orgánica 3/1986”. Según recuerdan, con cita en este punto de las SSTC 62/1991, de 22 de marzo, FJ 4, b); 146/1993, de 29 de abril, FJ 6, y 162/1996, de 17 de octubre, FJ 3, se trata de una “técnica legislativa deficiente y peligrosa, inadecuada al sistema de fuentes del derecho establecido en la Constitución”. La mera reiteración de preceptos contenidos en leyes orgánicas estatales es una práctica legislativa potencialmente inconstitucional (STC 162/1996) que incurre, en concreto, en vicio de inconstitucionalidad en los siguientes casos: cuando se invaden competencias del Estado o cuando se omite parcialmente o se reproduce de forma incompleta la norma estatal. En el primer supuesto, la razón de la inconstitucionalidad no radica en el contenido de la norma autonómica sino “en el título competencial habilitante”. Con cita de la STC 150/1998, de 2 de julio, FJ 4, los recurrentes afirman que la falta de habilitación autonómica implica la inconstitucionalidad de la norma que transcribe el precepto estatal. La reproducción de la norma estatal es, según señala la STC 162/1996, FJ 3, una práctica ilegítima “cuando las comunidades autónomas carecen de toda competencia para legislar sobre una materia”. Este sería el caso de la norma ahora impugnada, que “copia por completo” los preceptos de la Ley Orgánica 3/1986, de 14 de abril.</w:t>
      </w:r>
    </w:p>
    <w:p w14:paraId="5ED78F53" w14:textId="77777777" w:rsidR="003754FE" w:rsidRDefault="003754FE" w:rsidP="003754FE">
      <w:pPr>
        <w:pStyle w:val="TextoNormal"/>
      </w:pPr>
    </w:p>
    <w:p w14:paraId="6228C30F" w14:textId="77777777" w:rsidR="003754FE" w:rsidRDefault="003754FE" w:rsidP="003754FE">
      <w:pPr>
        <w:pStyle w:val="TextoNormal"/>
      </w:pPr>
      <w:r>
        <w:t>Explican, a continuación, los recurrentes los motivos de inconstitucionalidad ligados a las concretas intervenciones de derechos fundamentales. Con carácter general, los recurrentes entienden que las medidas concretamente previstas por el legislador gallego suponen “una verdadera suspensión de las libertades” afectadas. En concreto:</w:t>
      </w:r>
    </w:p>
    <w:p w14:paraId="56A67403" w14:textId="77777777" w:rsidR="003754FE" w:rsidRDefault="003754FE" w:rsidP="003754FE">
      <w:pPr>
        <w:pStyle w:val="TextoNormal"/>
      </w:pPr>
    </w:p>
    <w:p w14:paraId="33130984" w14:textId="77777777" w:rsidR="003754FE" w:rsidRDefault="003754FE" w:rsidP="003754FE">
      <w:pPr>
        <w:pStyle w:val="TextoNormal"/>
      </w:pPr>
      <w:r>
        <w:t>a) Las medidas previstas en los subapartados 1, 3 y 6 de la letra b) del apartado 2 del art. 38 de la Ley 8/2008 suponen “facultar a las autoridades a recluir en su domicilio a la ciudadanía gallega”, esto es, conllevan una situación de confinamiento. Estaríamos ante una auténtica privación de libertad, análoga, según argumentan los recurrentes, a la pena “privativa de libertad” de localización permanente (art. 35 del Código penal). La misma analogía trazan los actores en relación con la sanción de arresto domiciliario prevista en el régimen disciplinario de la Guardia Civil y de las Fuerzas Armadas. El confinamiento domiciliario establecido en la norma impugnada supone, en definitiva, “una prohibición general de abandonar el domicilio”, sin que esta circunstancia pierda la naturaleza de privación de libertad por el hecho de que se autorice a las personas afectadas a “acudir a su trabajo habitual”.</w:t>
      </w:r>
    </w:p>
    <w:p w14:paraId="2C494E02" w14:textId="77777777" w:rsidR="003754FE" w:rsidRDefault="003754FE" w:rsidP="003754FE">
      <w:pPr>
        <w:pStyle w:val="TextoNormal"/>
      </w:pPr>
    </w:p>
    <w:p w14:paraId="74241949" w14:textId="77777777" w:rsidR="003754FE" w:rsidRDefault="003754FE" w:rsidP="003754FE">
      <w:pPr>
        <w:pStyle w:val="TextoNormal"/>
      </w:pPr>
      <w:r>
        <w:t>Para los recurrentes “el control de enfermedades transmisibles de ningún modo posibilita con carácter general y permanente establecer esta intensa privación de libertades tan esenciales como las recogidas en el art. 17 CE y en su equivalente art. 5 CEDH [Convenio europeo de derechos humanos]”. Concluyen que “[e]n definitiva, el confinamiento domiciliario permitido por el art. 38.2 b) núm. 1, 3 y 6 supone una manifiesta vulneración del art. 17 CE”, ya que este tipo de intervención solo puede materializarse como suspensión de derechos fundamentales, con los requisitos de los arts. 55.1 y 116 CE.</w:t>
      </w:r>
    </w:p>
    <w:p w14:paraId="7F752E4C" w14:textId="77777777" w:rsidR="003754FE" w:rsidRDefault="003754FE" w:rsidP="003754FE">
      <w:pPr>
        <w:pStyle w:val="TextoNormal"/>
      </w:pPr>
    </w:p>
    <w:p w14:paraId="4F7DDCD6" w14:textId="77777777" w:rsidR="003754FE" w:rsidRDefault="003754FE" w:rsidP="003754FE">
      <w:pPr>
        <w:pStyle w:val="TextoNormal"/>
      </w:pPr>
      <w:r>
        <w:t xml:space="preserve">b) Se ocupa, a continuación, el recurso de las medidas de restricción de la circulación o de la entrada y salida de las zonas afectadas recogidas en el subapartado 6, i) y ii) del art. 38.2 b) de la Ley 8/2008. Se trata, según alegan los recurrentes, de medidas que también “permiten operar una suspensión de los derechos fundamentales del art. 19 CE”. Según la doctrina constitucional, la libertad de residencia implica el derecho a la libertad de elección y de fijación, mantenimiento o cambio de residencia. Este concreto concepto, el de residencia, no puede ser equiparado, según la propia doctrina constitucional, al de domicilio, pues, </w:t>
      </w:r>
      <w:r>
        <w:lastRenderedPageBreak/>
        <w:t>a diferencia de este, comprende las situaciones de residencia transitoria. Estas se verían completamente imposibilitadas con la medida prevista en el precepto impugnado. Lo mismo ocurriría con la libertad de circulación, en cuanto “garantiza que, una vez elegido el lugar de residencia permanente o eventual, la persona pueda efectivamente desplazarse y ocupar tal residencia”. Por ello, “derogada la libertad de circulación, simplemente desaparece la libertad de elección de la residencia, tal y como la ha configurado el Tribunal Constitucional”. Concluyen los recurrentes: “[a]l permitir medidas que nieguen toda libertad de desplazamiento está efectivamente derogando el derecho a la libertad de residencia”.</w:t>
      </w:r>
    </w:p>
    <w:p w14:paraId="209109EA" w14:textId="77777777" w:rsidR="003754FE" w:rsidRDefault="003754FE" w:rsidP="003754FE">
      <w:pPr>
        <w:pStyle w:val="TextoNormal"/>
      </w:pPr>
    </w:p>
    <w:p w14:paraId="3A332ABB" w14:textId="77777777" w:rsidR="003754FE" w:rsidRDefault="003754FE" w:rsidP="003754FE">
      <w:pPr>
        <w:pStyle w:val="TextoNormal"/>
      </w:pPr>
      <w:r>
        <w:t>c) En cuanto a las restricciones a las agrupaciones de personas del apartado 2 b), subapartado 6 iii) del art. 38 de la Ley 8/2008, estiman los recurrentes que estas “suponen una efectiva derogación de los derechos fundamentales del art. 21 CE y de los arts. 10 y 17 CE”.</w:t>
      </w:r>
    </w:p>
    <w:p w14:paraId="56E14AE5" w14:textId="77777777" w:rsidR="003754FE" w:rsidRDefault="003754FE" w:rsidP="003754FE">
      <w:pPr>
        <w:pStyle w:val="TextoNormal"/>
      </w:pPr>
    </w:p>
    <w:p w14:paraId="6196F76B" w14:textId="77777777" w:rsidR="003754FE" w:rsidRDefault="003754FE" w:rsidP="003754FE">
      <w:pPr>
        <w:pStyle w:val="TextoNormal"/>
      </w:pPr>
      <w:r>
        <w:t>Los diputados recurrentes recalcan la importancia de los derechos de reunión y manifestación como “vehículo de gran parte de las inquietudes que pueden sentir los ciudadanos” y, en particular, como “manifestación colectiva de la libertad de expresión ejercitada a través de una asociación transitoria de personas”. El precepto impugnado establece, sin embargo, medidas que “comportan una suspensión de los derechos del art. 21 CE” pues “[l]a prohibición de acceder o salir a determinadas zonas de la vía pública establecida en el apartado 2 b), subapartado 6 ii) conlleva la absoluta imposibilidad de celebrar reuniones o manifestaciones en dicha vía”. Solo “en estado de excepción o sitio cabe someter a autorización previa, prohibir o disolver concretas reuniones o manifestaciones en dichas zonas”. El precepto contempla incluso “la prohibición de reuniones privadas”. Se ven imposibilitadas, de ese modo, algunas “manifestaciones esenciales de la dignidad humana y del libre desarrollo de la personalidad” como son “las reuniones privadas por razones familiares o de amistad y la realización de visitas a familiares, conocidos o amigos”.</w:t>
      </w:r>
    </w:p>
    <w:p w14:paraId="1FFD4847" w14:textId="77777777" w:rsidR="003754FE" w:rsidRDefault="003754FE" w:rsidP="003754FE">
      <w:pPr>
        <w:pStyle w:val="TextoNormal"/>
      </w:pPr>
    </w:p>
    <w:p w14:paraId="189624D1" w14:textId="77777777" w:rsidR="003754FE" w:rsidRDefault="003754FE" w:rsidP="003754FE">
      <w:pPr>
        <w:pStyle w:val="TextoNormal"/>
      </w:pPr>
      <w:r>
        <w:t>d) En cuanto a las medidas previstas en los subapartados 2, 4, 5, y 6 iv) del art. 38.2, b) de la Ley 8/2008, en relación con los derechos a la integridad física (art. 15 CE), a la libertad (art. 17 CE) y a la intimidad personal (art. 18 CE), los recurrentes estiman, con carácter general, que es constitucionalmente ilegítimo el sometimiento a tratamiento, examen médico, pruebas diagnósticas y profilácticas de las personas enfermas o con síntomas.</w:t>
      </w:r>
    </w:p>
    <w:p w14:paraId="07C6B9A4" w14:textId="77777777" w:rsidR="003754FE" w:rsidRDefault="003754FE" w:rsidP="003754FE">
      <w:pPr>
        <w:pStyle w:val="TextoNormal"/>
      </w:pPr>
    </w:p>
    <w:p w14:paraId="3D7991F8" w14:textId="77777777" w:rsidR="003754FE" w:rsidRDefault="003754FE" w:rsidP="003754FE">
      <w:pPr>
        <w:pStyle w:val="TextoNormal"/>
      </w:pPr>
      <w:r>
        <w:t>Consideran, en particular, que “[l]a aplicación forzosa de vacunas” es contraria al derecho a la integridad física (art. 15 CE). La vacuna es, en sí misma, dicen los recurrentes, “una agresión física y puede llegar a perjudicar la salud del afectado”. El derecho fundamental a la integridad física se ve afectado cuando se impone a una persona asistencia médica en contra de su voluntad, esto es, “asistencia médica coactiva”.</w:t>
      </w:r>
    </w:p>
    <w:p w14:paraId="1948554A" w14:textId="77777777" w:rsidR="003754FE" w:rsidRDefault="003754FE" w:rsidP="003754FE">
      <w:pPr>
        <w:pStyle w:val="TextoNormal"/>
      </w:pPr>
    </w:p>
    <w:p w14:paraId="369D6D68" w14:textId="77777777" w:rsidR="003754FE" w:rsidRDefault="003754FE" w:rsidP="003754FE">
      <w:pPr>
        <w:pStyle w:val="TextoNormal"/>
      </w:pPr>
      <w:r>
        <w:t>La intervención del legislador autonómico desbordaría, en definitiva, la finalidad de complemento de la norma orgánica estatal. “Con tal proceder el legislador autonómico ha venido a desarrollar autónomamente la Ley Orgánica 3/1986, vulnerando la garantía que la ley orgánica representa para los derechos fundamentales”. No solo eso, también resultaría infringida “la competencia de bases y de coordinación general que en materia sanitaria corresponde al Estado, y a cuyo amparo se ha dictado una legislación para hacer frente a situaciones de crisis sanitaria que no admite el desarrollo legislativo llevado a cabo por el precepto objeto de recurso tratando de ‘concretar’ la escasa densidad normativa de la legislación estatal”.</w:t>
      </w:r>
    </w:p>
    <w:p w14:paraId="19D2FB46" w14:textId="77777777" w:rsidR="003754FE" w:rsidRDefault="003754FE" w:rsidP="003754FE">
      <w:pPr>
        <w:pStyle w:val="TextoNormal"/>
      </w:pPr>
    </w:p>
    <w:p w14:paraId="3BC6BF3F" w14:textId="77777777" w:rsidR="003754FE" w:rsidRDefault="003754FE" w:rsidP="003754FE">
      <w:pPr>
        <w:pStyle w:val="TextoNormal"/>
      </w:pPr>
      <w:r>
        <w:t>e) Finalmente, el subapartado 7 del art. 38.2 b) de la Ley 8/2008, en cuanto faculta a las autoridades sanitarias gallegas para adoptar cualquier tipo de medidas restrictivas de derechos fundamentales, vulnera el art. 9.3 CE. La inconcreción de que adolece su redacción lo convierte en una norma en blanco, cuya carencia de taxatividad otorga a las autoridades sanitarias autonómicas un margen de discrecionalidad contrario al principio de seguridad jurídica, en un ámbito de especial sensibilidad por su incidencia en los derechos fundamentales. Una interpretación que amparase la formulación abierta, indefinida e incierta de dicho apartado vaciaría de contenido el principio de reserva legal.</w:t>
      </w:r>
    </w:p>
    <w:p w14:paraId="6C244C0D" w14:textId="77777777" w:rsidR="003754FE" w:rsidRDefault="003754FE" w:rsidP="003754FE">
      <w:pPr>
        <w:pStyle w:val="TextoNormal"/>
      </w:pPr>
    </w:p>
    <w:p w14:paraId="16197056" w14:textId="0D3A8D79" w:rsidR="003754FE" w:rsidRDefault="003754FE" w:rsidP="003754FE">
      <w:pPr>
        <w:pStyle w:val="TextoNormal"/>
      </w:pPr>
      <w:r>
        <w:t>Con sustento en los referidos argumentos, los recurrentes concluyen interesando al Tribunal que declare la inconstitucionalidad y nulidad del apartado 5 del artículo único de la Ley del Parlamento de Galicia 8/2021, de 25 de febrero, de modificación de la Ley 8/2008, de 10 de julio, de salud de Galicia.</w:t>
      </w:r>
    </w:p>
    <w:p w14:paraId="59932366" w14:textId="77777777" w:rsidR="003754FE" w:rsidRDefault="003754FE" w:rsidP="003754FE">
      <w:pPr>
        <w:pStyle w:val="TextoNormal"/>
      </w:pPr>
    </w:p>
    <w:p w14:paraId="36BF361C" w14:textId="50A452DA" w:rsidR="003754FE" w:rsidRDefault="003754FE" w:rsidP="003754FE">
      <w:pPr>
        <w:pStyle w:val="TextoNormal"/>
      </w:pPr>
      <w:r w:rsidRPr="003754FE">
        <w:rPr>
          <w:rStyle w:val="NumeroAFNegritaCaracter"/>
        </w:rPr>
        <w:t>2</w:t>
      </w:r>
      <w:r>
        <w:t>. Por providencia de 23 de junio de 2021 el Pleno acordó, a propuesta de la Sección Tercera: (i) admitir a trámite el recurso de inconstitucionalidad; (ii) dar traslado de la demanda y documentos presentados [art. 34 de la Ley Orgánica del Tribunal Constitucional (LOTC)] al Congreso de los Diputados y al Senado, por conducto de sus presidentas, y al Gobierno, a través del ministro de Justicia, así como al Parlamento de Galicia y a la Xunta de Galicia, por conducto de sus presidentes, al objeto de que, en plazo de quince días, pudieran personarse en el proceso y formular las alegaciones que estimaren convenientes; y (iii) publicar la incoación del recurso en el “Boletín Oficial del Estado”.</w:t>
      </w:r>
    </w:p>
    <w:p w14:paraId="0E8D1F4B" w14:textId="77777777" w:rsidR="003754FE" w:rsidRDefault="003754FE" w:rsidP="003754FE">
      <w:pPr>
        <w:pStyle w:val="TextoNormal"/>
      </w:pPr>
    </w:p>
    <w:p w14:paraId="41360ED5" w14:textId="5E07F4BB" w:rsidR="003754FE" w:rsidRDefault="003754FE" w:rsidP="003754FE">
      <w:pPr>
        <w:pStyle w:val="TextoNormal"/>
      </w:pPr>
      <w:r w:rsidRPr="003754FE">
        <w:rPr>
          <w:rStyle w:val="NumeroAFNegritaCaracter"/>
        </w:rPr>
        <w:t>3</w:t>
      </w:r>
      <w:r>
        <w:t>. Mediante escrito de 8 de julio de 2021, que tuvo entrada en el Tribunal en esa misma fecha, el letrado de la Xunta de Galicia se personó en el procedimiento, en nombre de la Xunta de Galicia, y solicitó que se le concediera prórroga de ocho días más para la formulación de alegaciones. Por diligencia de ordenación del día 9 del mismo mes se tuvo por personado al letrado de la Xunta de Galicia y se le prorrogó en ocho días más el plazo concedido para alegaciones a contar desde el siguiente al de expiración del ordinario.</w:t>
      </w:r>
    </w:p>
    <w:p w14:paraId="49F8CF2B" w14:textId="77777777" w:rsidR="003754FE" w:rsidRDefault="003754FE" w:rsidP="003754FE">
      <w:pPr>
        <w:pStyle w:val="TextoNormal"/>
      </w:pPr>
    </w:p>
    <w:p w14:paraId="072DA6FD" w14:textId="6EDA4D11" w:rsidR="003754FE" w:rsidRDefault="003754FE" w:rsidP="003754FE">
      <w:pPr>
        <w:pStyle w:val="TextoNormal"/>
      </w:pPr>
      <w:r w:rsidRPr="003754FE">
        <w:rPr>
          <w:rStyle w:val="NumeroAFNegritaCaracter"/>
        </w:rPr>
        <w:t>4</w:t>
      </w:r>
      <w:r>
        <w:t>. Mediante escrito de 12 de julio de 2021, que tuvo entrada en el Tribunal en esa misma fecha, el letrado del Parlamento de Galicia se personó en el procedimiento, en nombre del Parlamento de Galicia, y solicitó que se le concediera prórroga de ocho días más para la formulación de alegaciones. Por diligencia de ordenación del mismo día se tuvo por personado al letrado del Parlamento de Galicia y se le prorrogó en ocho días más el plazo concedido para alegaciones a contar desde el siguiente al de expiración del ordinario.</w:t>
      </w:r>
    </w:p>
    <w:p w14:paraId="6364679B" w14:textId="77777777" w:rsidR="003754FE" w:rsidRDefault="003754FE" w:rsidP="003754FE">
      <w:pPr>
        <w:pStyle w:val="TextoNormal"/>
      </w:pPr>
    </w:p>
    <w:p w14:paraId="565BB716" w14:textId="63D3AF78" w:rsidR="003754FE" w:rsidRDefault="003754FE" w:rsidP="003754FE">
      <w:pPr>
        <w:pStyle w:val="TextoNormal"/>
      </w:pPr>
      <w:r w:rsidRPr="003754FE">
        <w:rPr>
          <w:rStyle w:val="NumeroAFNegritaCaracter"/>
        </w:rPr>
        <w:t>5</w:t>
      </w:r>
      <w:r>
        <w:t>. Mediante escrito de 15 de julio de 2021, que tuvo entrada en el Tribunal en esa misma fecha, la Abogacía del Estado se personó en el procedimiento, en nombre del Gobierno, exclusivamente a los efectos de que se le notificasen las resoluciones que recayesen en el procedimiento, anunciando que no presentaría alegaciones.</w:t>
      </w:r>
    </w:p>
    <w:p w14:paraId="4769AD0D" w14:textId="77777777" w:rsidR="003754FE" w:rsidRDefault="003754FE" w:rsidP="003754FE">
      <w:pPr>
        <w:pStyle w:val="TextoNormal"/>
      </w:pPr>
    </w:p>
    <w:p w14:paraId="4B73B75F" w14:textId="2FF406CE" w:rsidR="003754FE" w:rsidRDefault="003754FE" w:rsidP="003754FE">
      <w:pPr>
        <w:pStyle w:val="TextoNormal"/>
      </w:pPr>
      <w:r w:rsidRPr="003754FE">
        <w:rPr>
          <w:rStyle w:val="NumeroAFNegritaCaracter"/>
        </w:rPr>
        <w:t>6</w:t>
      </w:r>
      <w:r>
        <w:t>. Mediante escrito de 20 de julio de 2021, que tuvo entrada en el Tribunal el día 23 del mismo mes, la presidenta del Congreso de los Diputados comunicó el acuerdo de la mesa en orden a que se diera por personada a la Cámara en el procedimiento y por ofrecida su colaboración a los efectos del art. 88.1 LOTC.</w:t>
      </w:r>
    </w:p>
    <w:p w14:paraId="3FD83299" w14:textId="77777777" w:rsidR="003754FE" w:rsidRDefault="003754FE" w:rsidP="003754FE">
      <w:pPr>
        <w:pStyle w:val="TextoNormal"/>
      </w:pPr>
    </w:p>
    <w:p w14:paraId="52862B73" w14:textId="59F94690" w:rsidR="003754FE" w:rsidRDefault="003754FE" w:rsidP="003754FE">
      <w:pPr>
        <w:pStyle w:val="TextoNormal"/>
      </w:pPr>
      <w:r w:rsidRPr="003754FE">
        <w:rPr>
          <w:rStyle w:val="NumeroAFNegritaCaracter"/>
        </w:rPr>
        <w:t>7</w:t>
      </w:r>
      <w:r>
        <w:t>. Mediante escrito de 21 de julio de 2021, que tuvo entrada en el Tribunal el día 26 del mismo mes, el presidente del Senado comunicó el acuerdo de la mesa en orden a que se diera por personada a la Cámara en el procedimiento y por ofrecida su colaboración a efectos del art. 88.1 LOTC.</w:t>
      </w:r>
    </w:p>
    <w:p w14:paraId="79AACB98" w14:textId="77777777" w:rsidR="003754FE" w:rsidRDefault="003754FE" w:rsidP="003754FE">
      <w:pPr>
        <w:pStyle w:val="TextoNormal"/>
      </w:pPr>
    </w:p>
    <w:p w14:paraId="14B70A4B" w14:textId="77777777" w:rsidR="003754FE" w:rsidRDefault="003754FE" w:rsidP="003754FE">
      <w:pPr>
        <w:pStyle w:val="TextoNormal"/>
      </w:pPr>
      <w:r w:rsidRPr="003754FE">
        <w:rPr>
          <w:rStyle w:val="NumeroAFNegritaCaracter"/>
        </w:rPr>
        <w:t>8</w:t>
      </w:r>
      <w:r>
        <w:t>. Mediante escrito de 30 de julio de 2021, con entrada en el Tribunal en la misma fecha, el letrado de la Xunta de Galicia presentó sus alegaciones. Estas son, sintéticamente expuestas, las siguientes:</w:t>
      </w:r>
    </w:p>
    <w:p w14:paraId="5E28E2A4" w14:textId="77777777" w:rsidR="003754FE" w:rsidRDefault="003754FE" w:rsidP="003754FE">
      <w:pPr>
        <w:pStyle w:val="TextoNormal"/>
      </w:pPr>
    </w:p>
    <w:p w14:paraId="3CDF8BE4" w14:textId="77777777" w:rsidR="003754FE" w:rsidRDefault="003754FE" w:rsidP="003754FE">
      <w:pPr>
        <w:pStyle w:val="TextoNormal"/>
      </w:pPr>
      <w:r>
        <w:t>Tras quejarse del carácter más bien genérico de las alegaciones formuladas en el recurso de inconstitucionalidad, el letrado de la Xunta reprocha, en primer lugar, a los recurrentes que hayan impugnado la Ley 8/2021 del Parlamento de Galicia y no hayan hecho lo mismo con normas de otras comunidades autónomas (se cita, en concreto, Cataluña, Aragón, Islas Baleares y País Vasco) que establecen, a su juicio, medidas muy similares. Señala, a continuación, que el objeto de la ley impugnada es “enfrentarse a enfermedades infecciosas como el covid 19”, para lo cual el legislador gallego no pretende arrogarse competencias que no le son propias, ni desarrollar los derechos fundamentales y libertades públicas sino “concretar las medidas que pueden adoptarse por las autoridades gallegas para la protección de la salud pública y […] sus condicionantes”.</w:t>
      </w:r>
    </w:p>
    <w:p w14:paraId="7D9D43D2" w14:textId="77777777" w:rsidR="003754FE" w:rsidRDefault="003754FE" w:rsidP="003754FE">
      <w:pPr>
        <w:pStyle w:val="TextoNormal"/>
      </w:pPr>
    </w:p>
    <w:p w14:paraId="40CE9281" w14:textId="77777777" w:rsidR="003754FE" w:rsidRDefault="003754FE" w:rsidP="003754FE">
      <w:pPr>
        <w:pStyle w:val="TextoNormal"/>
      </w:pPr>
      <w:r>
        <w:t xml:space="preserve">El legislador gallego habría partido, a estos efectos, de la Ley Orgánica 3/1986, de 14 de abril, “que representa el instrumento más importante existente en España de lucha contra las pandemias”. Con esa cobertura, la ley gallega se habría limitado a concretar lo que en la Ley Orgánica 3/1986 está solamente implícito pero, en todo caso, se encuentra claramente autorizado. La Ley 8/2021 dota, con ello, de mayor seguridad jurídica a la materia, complementando la citada ley orgánica. La aplicación posterior de las medidas previstas se sujeta, después, en el art. 38 </w:t>
      </w:r>
      <w:r w:rsidRPr="003754FE">
        <w:rPr>
          <w:i/>
        </w:rPr>
        <w:t>ter</w:t>
      </w:r>
      <w:r>
        <w:t>, a condiciones y requisitos, entre los que se encuentra la ratificación o autorización judicial, por lo que la “adecuación [al] caso concreto” estará “dotada de la motivación y proporcionalidad”. Destaca el letrado de la Xunta que lo que ley impugnada dispone para afrontar estas emergencias sanitarias no es discutido por razón de su contenido, ya que nadie le reprocha “que incluya medidas irracionales, ineficaces o sanitariamente ilógicas, sino que es pacífico que esas son las medidas a adoptar de ser el caso”.</w:t>
      </w:r>
    </w:p>
    <w:p w14:paraId="0FA137D0" w14:textId="77777777" w:rsidR="003754FE" w:rsidRDefault="003754FE" w:rsidP="003754FE">
      <w:pPr>
        <w:pStyle w:val="TextoNormal"/>
      </w:pPr>
    </w:p>
    <w:p w14:paraId="0F7B1F57" w14:textId="77777777" w:rsidR="003754FE" w:rsidRDefault="003754FE" w:rsidP="003754FE">
      <w:pPr>
        <w:pStyle w:val="TextoNormal"/>
      </w:pPr>
      <w:r>
        <w:t>Insiste el letrado de la Xunta en que la Ley Orgánica 3/1986 es “el paraguas normativo” de la regulación impugnada. Según señala “si el legislador [estatal] no quiere y no ha querido darle un mayor contenido solo podemos interpretar el resto de operadores, como son los legisladores autonómicos y las autoridades sanitarias territoriales, […] que el resto queda para las otras fuentes”. Es, por ello, legítimo que el legislador autonómico dote a la materia de una mayor seguridad jurídica. Lo que ha hecho el legislador gallego es, por tanto, “un ejercicio de responsabilidad normativa”, pues ha previsto medidas específicas a través de una ley parlamentaria en lugar de dejar enteramente su concreción a la autoridad sanitaria.</w:t>
      </w:r>
    </w:p>
    <w:p w14:paraId="74A9CFED" w14:textId="77777777" w:rsidR="003754FE" w:rsidRDefault="003754FE" w:rsidP="003754FE">
      <w:pPr>
        <w:pStyle w:val="TextoNormal"/>
      </w:pPr>
    </w:p>
    <w:p w14:paraId="5A122253" w14:textId="77777777" w:rsidR="003754FE" w:rsidRDefault="003754FE" w:rsidP="003754FE">
      <w:pPr>
        <w:pStyle w:val="TextoNormal"/>
      </w:pPr>
      <w:r>
        <w:t xml:space="preserve">En todo caso, el legislador gallego tampoco habilita, sin más, a la administración sanitaria para que acuerde esas medidas sino que las sujeta, en su ejecución, a exigencias de proporcionalidad (art. 38 </w:t>
      </w:r>
      <w:r w:rsidRPr="003754FE">
        <w:rPr>
          <w:i/>
        </w:rPr>
        <w:t>ter</w:t>
      </w:r>
      <w:r>
        <w:t xml:space="preserve">.3) y de limitación temporal (art. 38 </w:t>
      </w:r>
      <w:r w:rsidRPr="003754FE">
        <w:rPr>
          <w:i/>
        </w:rPr>
        <w:t>ter</w:t>
      </w:r>
      <w:r>
        <w:t xml:space="preserve">.4). Se trata, en definitiva, de que, entre la regulación orgánica estatal, más bien genérica, y las concretas medidas ejecutivas adoptadas por la administración sanitaria exista, como estadio intermedio, “una </w:t>
      </w:r>
      <w:r>
        <w:lastRenderedPageBreak/>
        <w:t>norma emanada de un Parlamento donde se haya debatido primero en sede parlamentaria y decidido después con esa legitimidad democrática cuáles son esas posibles medidas y, esto es importante, qué exigencias tendrá la autoridad pública para tomarlas, todo ello en garantía de los ciudadanos precisamente”. Con ello, la ley gallega impugnada tiene “perfecto engarce en la Ley Orgánica 3/1986”, ya que aporta, simplemente, mayores dosis de seguridad jurídica.</w:t>
      </w:r>
    </w:p>
    <w:p w14:paraId="30CAF3B3" w14:textId="77777777" w:rsidR="003754FE" w:rsidRDefault="003754FE" w:rsidP="003754FE">
      <w:pPr>
        <w:pStyle w:val="TextoNormal"/>
      </w:pPr>
    </w:p>
    <w:p w14:paraId="29B29889" w14:textId="77777777" w:rsidR="003754FE" w:rsidRDefault="003754FE" w:rsidP="003754FE">
      <w:pPr>
        <w:pStyle w:val="TextoNormal"/>
      </w:pPr>
      <w:r>
        <w:t>Para el letrado de la Xunta no nos hallamos, frente a lo que alegan los diputados recurrentes, ante “suspensiones de derechos fundamentales”. Las medidas incluidas en los apartados 1, 3 y 5 del art. 7 del Real Decreto 463/2020, de 14 de marzo, por el que se declaró el estado de alarma para la gestión de la situación de crisis sanitaria ocasionada por el covid-19, que fueron anuladas por la STC 148/2021, de 14 de julio, eran “de una intensidad y afectación mucho más elevada que lo dispuesto en el artículo 38.2 del precepto gallego”. Y ello en cuanto las medidas arbitradas por el legislador gallego no afectan a todo el territorio nacional sino a “zonas concretas” de Galicia y se ha previsto, en todo caso, la intervención judicial.</w:t>
      </w:r>
    </w:p>
    <w:p w14:paraId="683E9CCF" w14:textId="77777777" w:rsidR="003754FE" w:rsidRDefault="003754FE" w:rsidP="003754FE">
      <w:pPr>
        <w:pStyle w:val="TextoNormal"/>
      </w:pPr>
    </w:p>
    <w:p w14:paraId="269B5809" w14:textId="77777777" w:rsidR="003754FE" w:rsidRDefault="003754FE" w:rsidP="003754FE">
      <w:pPr>
        <w:pStyle w:val="TextoNormal"/>
      </w:pPr>
      <w:r>
        <w:t>En cuanto a la posible infracción de la reserva de ley orgánica del art. 81 CE, señala el letrado de la Xunta que “la reserva de ley orgánica no es un título competencial a favor del Estado sino, como su nombre indica, una reserva para un legislador de mayoría cualificada a residenciar en el Congreso”. Por ello, donde no juega el “estricto marco” de la reserva de ley orgánica, “no existe impedimento” para que operen “las competencias autonómicas sobre sanidad”, previstas, en el caso de Galicia, en el art. 33 del su estatuto de autonomía.</w:t>
      </w:r>
    </w:p>
    <w:p w14:paraId="2E7A33DC" w14:textId="77777777" w:rsidR="003754FE" w:rsidRDefault="003754FE" w:rsidP="003754FE">
      <w:pPr>
        <w:pStyle w:val="TextoNormal"/>
      </w:pPr>
    </w:p>
    <w:p w14:paraId="5A10C7FE" w14:textId="77777777" w:rsidR="003754FE" w:rsidRDefault="003754FE" w:rsidP="003754FE">
      <w:pPr>
        <w:pStyle w:val="TextoNormal"/>
      </w:pPr>
      <w:r>
        <w:t>Considera que la Ley Orgánica 3/1986, de 14 de abril, no es “una ley prolija en articulado y texto”. Con el paso del tiempo, pese a las interpelaciones producidas para que el legislador orgánico “aumentase la densidad normativa” de la referida regulación, el criterio del legislador estatal ha sido mantener intacta la referida legislación orgánica, sin darle mayor contenido. Como dice la exposición de motivos de la Ley 8/2021, la Ley Orgánica 3/1986 contempla “los presupuestos y las condiciones” para “la intervención limitativa de derechos y libertades, al delimitar tanto el ámbito material (la salud pública) como la exigencia de que esas razones sanitarias que demandan la adopción de las medidas sean urgentes y necesarias y la finalidad de tales medidas (la protección de la salud pública y la prevención de su pérdida o deterioro, con atención particular, en su artículo tercero, a la finalidad de contralar las enfermedades transmisibles)”. Con ello, realizaría la ley orgánica, según sigue explicando la exposición de motivos, “en aplicación del art. 81 de la Constitución Española, un desarrollo directo o primario respecto a los límites a que puedan quedar sometidos los derechos fundamentales, y las libertades públicas a favor de la salud pública, precisando las condiciones esenciales que deben concurrir […] [a] tal fin”. Ese marco podría, después, desarrollarse, de acuerdo con la doctrina constitucional “respetando las condiciones esenciales establecidas en dicha ley orgánica, por el legislador ordinario competente en la materia (en este caso el legislador autonómico en ejercicio de las competencias en materia de sanidad interior)”.</w:t>
      </w:r>
    </w:p>
    <w:p w14:paraId="1FE499E1" w14:textId="77777777" w:rsidR="003754FE" w:rsidRDefault="003754FE" w:rsidP="003754FE">
      <w:pPr>
        <w:pStyle w:val="TextoNormal"/>
      </w:pPr>
    </w:p>
    <w:p w14:paraId="6CBA5CC6" w14:textId="77777777" w:rsidR="003754FE" w:rsidRDefault="003754FE" w:rsidP="003754FE">
      <w:pPr>
        <w:pStyle w:val="TextoNormal"/>
      </w:pPr>
      <w:r>
        <w:t xml:space="preserve">La finalidad de la Ley 8/2021 sería precisamente esa: “concretar las medidas que, teniendo en cuenta lo dispuesto en la legislación sanitaria estatal, de rango orgánico y ordinario, pueden adoptarse por las autoridades sanitarias gallegas para la protección de la salud pública, así como regular los requisitos que han de cumplirse para su correcta adopción, con </w:t>
      </w:r>
      <w:r>
        <w:lastRenderedPageBreak/>
        <w:t>especial atención a las exigencias de motivación y de proporcionalidad”. Las medidas arbitradas no solo no contradicen la ley orgánica de referencia sino que se articulan expresamente dentro de su ámbito de aplicación, ya que el propio art. 38.2 de la Ley 8/2008 comienza señalando que la regulación que introduce se hace “de acuerdo con lo dispuesto en la Ley Orgánica 3/1986, de 14 de abril, de medidas especiales en materia de salud pública”.</w:t>
      </w:r>
    </w:p>
    <w:p w14:paraId="63A6ECB8" w14:textId="77777777" w:rsidR="003754FE" w:rsidRDefault="003754FE" w:rsidP="003754FE">
      <w:pPr>
        <w:pStyle w:val="TextoNormal"/>
      </w:pPr>
    </w:p>
    <w:p w14:paraId="734AA82A" w14:textId="77777777" w:rsidR="003754FE" w:rsidRDefault="003754FE" w:rsidP="003754FE">
      <w:pPr>
        <w:pStyle w:val="TextoNormal"/>
      </w:pPr>
      <w:r>
        <w:t>Pasa, a continuación, el letrado de la Xunta a justificar la constitucionalidad de las concretas medidas establecidas en la ley impugnada. Entiende que el punto de partida es la obligación de los poderes públicos de adoptar “medidas preventivas” para proteger la salud pública, prevista en el art. 43 CE. Con este fundamento, entiende que la Ley Orgánica 3/1986 reconoce medidas preventivas “generales”, “no referentes a personas concretas y determinadas”. Los recurrentes no habrían explicado suficientemente por qué las medidas previstas en la ley gallega no tendrían amparo suficiente en la ley orgánica estatal. Es más, el propio Reglamento Sanitario Internacional de 2005, como instrumento jurídico vinculante para todos los estados miembros de la Organización Mundial de la Salud, establece en sus arts. 18 y siguientes medidas del mismo tipo. Respecto a estas “directrices internacionales”, los subapartados 1 a 7 del art. 38.2 b) de la Ley 8/2008, se caracterizan por la “coincidencia y seguimiento fiel y leal”. Y esto supondría, se alega, la compatibilidad de la ley gallega con la propia Ley Orgánica 3/1986, de acuerdo con la pauta interpretativa prescrita en el art. 10.2 CE.</w:t>
      </w:r>
    </w:p>
    <w:p w14:paraId="4975ACC9" w14:textId="77777777" w:rsidR="003754FE" w:rsidRDefault="003754FE" w:rsidP="003754FE">
      <w:pPr>
        <w:pStyle w:val="TextoNormal"/>
      </w:pPr>
    </w:p>
    <w:p w14:paraId="547743D5" w14:textId="77777777" w:rsidR="003754FE" w:rsidRDefault="003754FE" w:rsidP="003754FE">
      <w:pPr>
        <w:pStyle w:val="TextoNormal"/>
      </w:pPr>
      <w:r>
        <w:t>La medida prevista en el art. 38.2 b) subapartado 1 de la Ley 8/2008, consistente en el aislamiento en centro hospitalario, encuentra su cobertura expresa en la referencia que el artículo segundo de la Ley Orgánica 3/1986 hace a la “hospitalización”. En cuanto al subapartado 2, el “tratamiento” está expresamente contemplado en el referido artículo segundo de la Ley Orgánica. En relación con los aislamientos (subapartado 1) y la cuarentena (subapartado 3), no puede ignorarse que la ley orgánica estatal no solo prevé la adopción de medidas respecto del “medio ambiente inmediato” de los enfermos sino también en relación con “las personas que estén o hayan estado en contacto” con estos. El subapartado 4 estaría comprendido por las referencias de la ley orgánica a medidas de “control” y la referencia explícita, en el artículo segundo de la Ley Orgánica 3/1986, al “tratamiento” y al “reconocimiento”. El subapartado 6 también sigue “de forma muy fiel lo que al respecto establece principalmente el artículo tercero de la Ley Orgánica 3/1986” aunque, en su función de fuente complementaria, describe “lo que se debe entender por zona afectada”, que se entiende siempre como una zona concreta, dotando así de mayor seguridad jurídica a la intervención administrativa. “Una vez esto determinado, lo descrito en las letras i) a iv) no es sino plasmación de lo anterior, una vez más dando seguridad jurídica de lo que puede comportar”. En relación con estas letras i) a iv) insiste el letrado de la Xunta en que “los artículos segundo y tercero de la Ley Orgánica 3/1986 aluden a ‘control’, ‘reconocimiento’, ‘tratamiento’ de ‘grupo de personas’ o de ‘acciones preventivas generales’, control ‘del medio ambiente inmediato’, etc.”.</w:t>
      </w:r>
    </w:p>
    <w:p w14:paraId="7D26E5B1" w14:textId="77777777" w:rsidR="003754FE" w:rsidRDefault="003754FE" w:rsidP="003754FE">
      <w:pPr>
        <w:pStyle w:val="TextoNormal"/>
      </w:pPr>
    </w:p>
    <w:p w14:paraId="41B967FD" w14:textId="77777777" w:rsidR="003754FE" w:rsidRDefault="003754FE" w:rsidP="003754FE">
      <w:pPr>
        <w:pStyle w:val="TextoNormal"/>
      </w:pPr>
      <w:r>
        <w:t xml:space="preserve">Finalmente, en cuanto a la “cláusula de cierre” prevista en el subapartado 7, considera el letrado de la Xunta que la ley estatal “no recoge un </w:t>
      </w:r>
      <w:r w:rsidRPr="003754FE">
        <w:rPr>
          <w:i/>
        </w:rPr>
        <w:t>numerus clausus</w:t>
      </w:r>
      <w:r>
        <w:t xml:space="preserve"> o catálogo cerrado de medidas a adoptar” e incluye, por ello, una mención a las medidas “que se consideren necesarias en caso de riesgo de carácter transmisible”. Lo que hace la ley gallega es utilizar una cláusula del mismo tipo, si bien revestida de “muchos más condicionantes”.</w:t>
      </w:r>
    </w:p>
    <w:p w14:paraId="59AAD31C" w14:textId="77777777" w:rsidR="003754FE" w:rsidRDefault="003754FE" w:rsidP="003754FE">
      <w:pPr>
        <w:pStyle w:val="TextoNormal"/>
      </w:pPr>
    </w:p>
    <w:p w14:paraId="319D814D" w14:textId="77777777" w:rsidR="003754FE" w:rsidRDefault="003754FE" w:rsidP="003754FE">
      <w:pPr>
        <w:pStyle w:val="TextoNormal"/>
      </w:pPr>
      <w:r>
        <w:lastRenderedPageBreak/>
        <w:t>El letrado de la Xunta dedica un apartado específico de sus alegaciones a la regulación de la vacunación. Considera que el dato fáctico según el cual actualmente en España existe un “alto grado de acogimiento voluntario de las vacunaciones, no quiere decir que no sea posible un escenario donde ello no sea así”. Por ello, es importante que las administraciones públicas tengan a su disposición, con la debida cobertura legal, una “herramienta” con la que utilizar, de acuerdo con su necesidad y proporcionalidad, la vacunación en escenarios como “la situación creada por el covid 19 u otras en el futuro”.</w:t>
      </w:r>
    </w:p>
    <w:p w14:paraId="08FE12A6" w14:textId="77777777" w:rsidR="003754FE" w:rsidRDefault="003754FE" w:rsidP="003754FE">
      <w:pPr>
        <w:pStyle w:val="TextoNormal"/>
      </w:pPr>
    </w:p>
    <w:p w14:paraId="3D7D5064" w14:textId="77777777" w:rsidR="003754FE" w:rsidRDefault="003754FE" w:rsidP="003754FE">
      <w:pPr>
        <w:pStyle w:val="TextoNormal"/>
      </w:pPr>
      <w:r>
        <w:t xml:space="preserve">La vacunación se regula en el subapartado 5 de la letra b) del art. 38.2 de la Ley 8/2008, en la redacción dada por la ley impugnada. La aplicación de este precepto también estará sujeta, afirma el letrado, a las exigencias del art. 38 </w:t>
      </w:r>
      <w:r w:rsidRPr="003754FE">
        <w:rPr>
          <w:i/>
        </w:rPr>
        <w:t>ter</w:t>
      </w:r>
      <w:r>
        <w:t>, donde se menciona expresamente que “siempre” se buscará preferentemente la colaboración voluntaria, o que cualquier decisión que se adopte deberá contar con “análisis previo, justificación, motivación, proporcionalidad” y dará lugar a una actuación administrativa que podrá ser impugnada “por cualquiera que se entienda legitimado y afectado, así como con necesidad de autorización o ratificación judicial”.</w:t>
      </w:r>
    </w:p>
    <w:p w14:paraId="0DD16A94" w14:textId="77777777" w:rsidR="003754FE" w:rsidRDefault="003754FE" w:rsidP="003754FE">
      <w:pPr>
        <w:pStyle w:val="TextoNormal"/>
      </w:pPr>
    </w:p>
    <w:p w14:paraId="316B2AC0" w14:textId="77777777" w:rsidR="003754FE" w:rsidRDefault="003754FE" w:rsidP="003754FE">
      <w:pPr>
        <w:pStyle w:val="TextoNormal"/>
      </w:pPr>
      <w:r>
        <w:t>Hechas estas aclaraciones, señala el letrado que “la ley gallega no impone el deber de vacunarse directamente”, ya que establece la colaboración voluntaria como mecanismo “preferente”. De otro lado, considera que la Ley Orgánica 3/1986 permite “que las autoridades sanitarias puedan imponer la vacunación obligatoria” siempre que “resulte necesario y proporcionado por razones de salud pública para la lucha contra una pandemia”. La vacunación obligatoria estaría, en concreto, incluida dentro de la referencia a las medidas “que se consideren necesarias en caso de riesgo de carácter transmisible” o en términos utilizados por la referida ley como “tratamiento”, “acciones preventivas generales” y “control de los enfermos, de las personas que estén o hayan estado en contacto con los mismos y del medio ambiente inmediato”. Por ello, la ley impugnada “no impone por sí una vacunación obligatoria” sino que incluye una medida que tiene la debida cobertura en la ley estatal, a la que además cita expresamente al señalar que tal medida se ha de aplicar “de acuerdo con lo dispuesto en el Ley Orgánica 3/1986, de 14 de abril, de medidas especiales en materia de salud pública”.</w:t>
      </w:r>
    </w:p>
    <w:p w14:paraId="66F6DB8D" w14:textId="77777777" w:rsidR="003754FE" w:rsidRDefault="003754FE" w:rsidP="003754FE">
      <w:pPr>
        <w:pStyle w:val="TextoNormal"/>
      </w:pPr>
    </w:p>
    <w:p w14:paraId="51D8C925" w14:textId="77777777" w:rsidR="003754FE" w:rsidRDefault="003754FE" w:rsidP="003754FE">
      <w:pPr>
        <w:pStyle w:val="TextoNormal"/>
      </w:pPr>
      <w:r>
        <w:t xml:space="preserve">Al establecer la preferencia de la “colaboración voluntaria de las personas afectadas con las autoridades sanitarias” [art. 38 </w:t>
      </w:r>
      <w:r w:rsidRPr="003754FE">
        <w:rPr>
          <w:i/>
        </w:rPr>
        <w:t>ter</w:t>
      </w:r>
      <w:r>
        <w:t>.3 b) de la Ley 8/2008], la regulación impugnada se ajusta, asimismo, a la “Estrategia de vacunación frente a covid-19 en España” del Ministerio de Sanidad, documento este que, en su versión de 18 de diciembre de 2020, establece que la vacunación será voluntaria “sin perjuicio del deber de colaboración que recae sobre los individuos” y “a salvo lo previsto en la Ley Orgánica 3/1986, de 14 de abril”. Este documento avalaría que “llegado el caso es la Ley Orgánica 3/1986 la que habilita establecer medidas de vacunación no voluntarias”. Existirían, en todo caso, precedentes jurisprudenciales de vacunaciones forzosas.</w:t>
      </w:r>
    </w:p>
    <w:p w14:paraId="74842520" w14:textId="77777777" w:rsidR="003754FE" w:rsidRDefault="003754FE" w:rsidP="003754FE">
      <w:pPr>
        <w:pStyle w:val="TextoNormal"/>
      </w:pPr>
    </w:p>
    <w:p w14:paraId="217C24CB" w14:textId="77777777" w:rsidR="003754FE" w:rsidRDefault="003754FE" w:rsidP="003754FE">
      <w:pPr>
        <w:pStyle w:val="TextoNormal"/>
      </w:pPr>
      <w:r>
        <w:t xml:space="preserve">Reprocha, asimismo, el letrado de la Xunta a los recurrentes su falta de concreción de la alegada vulneración del art. 149.1.1 y 16 CE. En relación con el segundo alega que “no podemos ver dónde hay vulneración al artículo 149.1.16 CE cuando desde la posición del grupo parlamentario recurrente no se recogen argumentos que muestren siquiera una contradicción del precepto gallego con algún precepto básico estatal”. En todo caso afirma que “[l]a ley gallega no solo no se contrapone a las competencias estatales sino que tiene una </w:t>
      </w:r>
      <w:r>
        <w:lastRenderedPageBreak/>
        <w:t>absoluta fidelidad a la normativa básica estatal y más allá, pues aumenta sus garantías y las actualiza”.</w:t>
      </w:r>
    </w:p>
    <w:p w14:paraId="305421A0" w14:textId="77777777" w:rsidR="003754FE" w:rsidRDefault="003754FE" w:rsidP="003754FE">
      <w:pPr>
        <w:pStyle w:val="TextoNormal"/>
      </w:pPr>
    </w:p>
    <w:p w14:paraId="5A8A8FCF" w14:textId="6811A28A" w:rsidR="003754FE" w:rsidRDefault="003754FE" w:rsidP="003754FE">
      <w:pPr>
        <w:pStyle w:val="TextoNormal"/>
      </w:pPr>
      <w:r>
        <w:t>Reserva sus últimas alegaciones el letrado a la reproducción por parte de la ley gallega de preceptos de la ley orgánica estatal. Recuerda, en este punto, con cita de la STC 47/2004, de 25 de marzo, que la prohibición de reproducción “permite excepciones” cuando esa reiteración textual resulta necesaria para la comprensión del precepto. En este caso, la reproducción obedece a la necesidad de mejorar el entendimiento del precepto.</w:t>
      </w:r>
    </w:p>
    <w:p w14:paraId="0B774121" w14:textId="77777777" w:rsidR="003754FE" w:rsidRDefault="003754FE" w:rsidP="003754FE">
      <w:pPr>
        <w:pStyle w:val="TextoNormal"/>
      </w:pPr>
    </w:p>
    <w:p w14:paraId="038526D3" w14:textId="77777777" w:rsidR="003754FE" w:rsidRDefault="003754FE" w:rsidP="003754FE">
      <w:pPr>
        <w:pStyle w:val="TextoNormal"/>
      </w:pPr>
      <w:r w:rsidRPr="003754FE">
        <w:rPr>
          <w:rStyle w:val="NumeroAFNegritaCaracter"/>
        </w:rPr>
        <w:t>9</w:t>
      </w:r>
      <w:r>
        <w:t>. Mediante escrito de 30 de julio de 2021, con entrada en el Tribunal en la misma fecha, el letrado del Parlamento de Galicia presentó sus alegaciones. Estas son, sintéticamente expuestas, las siguientes:</w:t>
      </w:r>
    </w:p>
    <w:p w14:paraId="7621CF7C" w14:textId="77777777" w:rsidR="003754FE" w:rsidRDefault="003754FE" w:rsidP="003754FE">
      <w:pPr>
        <w:pStyle w:val="TextoNormal"/>
      </w:pPr>
    </w:p>
    <w:p w14:paraId="69741959" w14:textId="77777777" w:rsidR="003754FE" w:rsidRDefault="003754FE" w:rsidP="003754FE">
      <w:pPr>
        <w:pStyle w:val="TextoNormal"/>
      </w:pPr>
      <w:r>
        <w:t>Tras una exégesis general de la norma impugnada, el letrado del Parlamento precisa que el art. 38.2 de la Ley 8/2008, en la redacción dada por la ley 8/2021, se dicta en el ejercicio de las competencias asumidas por la Comunidad Autónoma de Galicia en materia de sanidad. En coherencia con el art. 149.1.16 CE, que otorga al Estado la competencia en materia de bases y coordinación general de la sanidad, el Estatuto de Autonomía para Galicia (art. 33.1) concede a la comunidad autónoma la competencia de desarrollo legislativo y ejecución en materia de sanidad interior. En ese marco de competencias compartidas, en el que la comunidad autónoma tiene atribuciones normativas para desarrollar la legislación básica, entiende que las medidas establecidas en el art. 38.2 de la Ley de salud de Galicia respetan “escrupulosamente la normativa estatal aplicable”. Estima, igualmente, que “el precepto impugnado no adolece de vicios de inconstitucionalidad derivados de la contravención del art. 149.1.1 CE” pues este precepto solo puede utilizarse “cuando exista una relación directa e inmediata con el derecho o derechos constitucionales afectados”. Se garantiza, según se afirma, una “igualdad básica o mínima, no una rigurosa o monolítica uniformidad del ordenamiento, ya que esta igualdad o equidad no impone el ejercicio de las competencias autonómicas de una manera y con unos resultados idénticos o semejantes, pues lo contrario impediría, dentro del marco constitucional o estatutario el ejercicio de políticas autonómicas propias”.</w:t>
      </w:r>
    </w:p>
    <w:p w14:paraId="02E5BD0B" w14:textId="77777777" w:rsidR="003754FE" w:rsidRDefault="003754FE" w:rsidP="003754FE">
      <w:pPr>
        <w:pStyle w:val="TextoNormal"/>
      </w:pPr>
    </w:p>
    <w:p w14:paraId="49DFB5B2" w14:textId="77777777" w:rsidR="003754FE" w:rsidRDefault="003754FE" w:rsidP="003754FE">
      <w:pPr>
        <w:pStyle w:val="TextoNormal"/>
      </w:pPr>
      <w:r>
        <w:t>En cuanto a la alegada infracción de la reserva de ley orgánica, considera el letrado que “las medidas preventivas previstas en el apartado impugnado no constituyen desarrollo frontal ni comportan restricciones que supongan limitación especial de derecho fundamental alguno”. Se trata, simplemente, de “modulaciones provisionales y limitadas a la forma en que ciertas personas disfrutan en determinadas circunstancias y no generalizadas del derecho concernido en los términos que establece la Ley Orgánica 3/1986”. Considera, en este sentido, que el art. 43 CE legitima a establecer limitaciones a los derechos fundamentales, en particular al art. 15 CE, y que “no todo lo que afecta a los derechos fundamentales es un desarrollo directo o global de los aspectos esenciales de los derechos fundamentales”.</w:t>
      </w:r>
    </w:p>
    <w:p w14:paraId="0B2D16ED" w14:textId="77777777" w:rsidR="003754FE" w:rsidRDefault="003754FE" w:rsidP="003754FE">
      <w:pPr>
        <w:pStyle w:val="TextoNormal"/>
      </w:pPr>
    </w:p>
    <w:p w14:paraId="1A065C82" w14:textId="3E810F61" w:rsidR="003754FE" w:rsidRDefault="003754FE" w:rsidP="003754FE">
      <w:pPr>
        <w:pStyle w:val="TextoNormal"/>
      </w:pPr>
      <w:r>
        <w:t>En el caso que nos ocupa se produciría, en realidad, una “colaboración internormativa entre la Ley Orgánica 3/1986 y la Ley gallega 8/2021”. La ley gallega establece un “régimen jurídico de regulación de medidas preventivas en materia de salud pública” que se enmarcaría dentro del “contenido nuclear de la protección de la salud pública definido por la Ley Orgánica 3/1986, con la que tienen perfecto engarce las medidas preventivas, dotando a la actuación de la administración autonómica de predictibilidad y seguridad jurídica”.</w:t>
      </w:r>
    </w:p>
    <w:p w14:paraId="131F17CB" w14:textId="77777777" w:rsidR="003754FE" w:rsidRDefault="003754FE" w:rsidP="003754FE">
      <w:pPr>
        <w:pStyle w:val="TextoNormal"/>
      </w:pPr>
    </w:p>
    <w:p w14:paraId="7F5EFE27" w14:textId="74596F0F" w:rsidR="003754FE" w:rsidRDefault="003754FE" w:rsidP="003754FE">
      <w:pPr>
        <w:pStyle w:val="TextoNormal"/>
      </w:pPr>
      <w:r w:rsidRPr="003754FE">
        <w:rPr>
          <w:rStyle w:val="NumeroAFNegritaCaracter"/>
        </w:rPr>
        <w:t>10</w:t>
      </w:r>
      <w:r>
        <w:t>. Por escrito de 1 de septiembre de 2021, con entrada en el registro del Tribunal en la misma fecha, el letrado de la Xunta de Galicia puso en conocimiento del Tribunal el acuerdo de la Comisión Bilateral de Cooperación Administración General del Estado-Comunidad Autónoma de Galicia alcanzado el 28 de julio de 2021 en relación con el apartado 5 del artículo único de la Ley del Parlamento de Galicia 8/2021, de 25 de febrero, de modificación de la Ley 8/2008, de 10 de julio, de salud de Galicia. Posteriormente, mediante escrito de fecha 12 de enero de 2022, presentado en el registro del Tribunal en esa misma fecha, comunicó también la publicación (en el “Diario Oficial de Galicia” de 31 de diciembre de 2021) de la Ley del Parlamento de Galicia 18/2021, de 27 de diciembre, de medidas fiscales y administrativas, que en su art. 34 añade una nueva disposición adicional segunda a la Ley 8/2008, de 10 de julio, de salud de Galicia, derivada, según alega el letrado, del acuerdo de la comisión bilateral antes mencionado.</w:t>
      </w:r>
    </w:p>
    <w:p w14:paraId="63EA5136" w14:textId="77777777" w:rsidR="003754FE" w:rsidRDefault="003754FE" w:rsidP="003754FE">
      <w:pPr>
        <w:pStyle w:val="TextoNormal"/>
      </w:pPr>
    </w:p>
    <w:p w14:paraId="6F3D898B" w14:textId="26D27A9B" w:rsidR="003754FE" w:rsidRDefault="003754FE" w:rsidP="003754FE">
      <w:pPr>
        <w:pStyle w:val="TextoNormal"/>
      </w:pPr>
      <w:r w:rsidRPr="003754FE">
        <w:rPr>
          <w:rStyle w:val="NumeroAFNegritaCaracter"/>
        </w:rPr>
        <w:t>11</w:t>
      </w:r>
      <w:r>
        <w:t>. Por providencia de 5 de noviembre de 2024, se señaló ese mismo día para deliberación y votación de la presente sentencia.</w:t>
      </w:r>
    </w:p>
    <w:p w14:paraId="340FB8CB" w14:textId="77777777" w:rsidR="003754FE" w:rsidRDefault="003754FE" w:rsidP="003754FE">
      <w:pPr>
        <w:pStyle w:val="TextoNormal"/>
      </w:pPr>
    </w:p>
    <w:p w14:paraId="11399B09" w14:textId="77777777" w:rsidR="003754FE" w:rsidRDefault="003754FE" w:rsidP="003754FE">
      <w:pPr>
        <w:pStyle w:val="TextoNormalNegritaCentrado"/>
        <w:keepNext/>
      </w:pPr>
      <w:r>
        <w:t>II. Fundamentos jurídicos</w:t>
      </w:r>
    </w:p>
    <w:p w14:paraId="27436C72" w14:textId="60A41154" w:rsidR="003754FE" w:rsidRDefault="003754FE" w:rsidP="003754FE">
      <w:pPr>
        <w:pStyle w:val="TextoNormalNegritaCentrado"/>
        <w:keepNext/>
      </w:pPr>
    </w:p>
    <w:p w14:paraId="0711116C" w14:textId="77777777" w:rsidR="003754FE" w:rsidRDefault="003754FE" w:rsidP="003754FE">
      <w:pPr>
        <w:pStyle w:val="TextoNormal"/>
      </w:pPr>
      <w:r w:rsidRPr="003754FE">
        <w:rPr>
          <w:rStyle w:val="NumeroAFNegritaCaracter"/>
        </w:rPr>
        <w:t>1</w:t>
      </w:r>
      <w:r>
        <w:t xml:space="preserve">. </w:t>
      </w:r>
      <w:r w:rsidRPr="003754FE">
        <w:rPr>
          <w:i/>
        </w:rPr>
        <w:t>Objeto del recurso y posiciones de las partes</w:t>
      </w:r>
    </w:p>
    <w:p w14:paraId="14B518D1" w14:textId="77777777" w:rsidR="003754FE" w:rsidRDefault="003754FE" w:rsidP="003754FE">
      <w:pPr>
        <w:pStyle w:val="TextoNormal"/>
      </w:pPr>
    </w:p>
    <w:p w14:paraId="2E4C937F" w14:textId="77777777" w:rsidR="003754FE" w:rsidRDefault="003754FE" w:rsidP="003754FE">
      <w:pPr>
        <w:pStyle w:val="TextoNormal"/>
      </w:pPr>
      <w:r>
        <w:t>El presente recurso de inconstitucionalidad, promovido por cincuenta diputados del Grupo Parlamentario Vox, se dirige contra el artículo único, apartado 5, de la Ley del Parlamento de Galicia 8/2021, de 25 de febrero, precepto que da nueva redacción al artículo 38 (“Medidas preventivas en materia de salud pública”) de la Ley del Parlamento de Galicia 8/2008, de 10 de julio, de salud de Galicia (en adelante, Ley 8/2008), a efectos de introducir un amplio elenco de medidas administrativas que son consideradas útiles y necesarias para responder a situaciones de crisis sanitaria.</w:t>
      </w:r>
    </w:p>
    <w:p w14:paraId="3F4C8215" w14:textId="77777777" w:rsidR="003754FE" w:rsidRDefault="003754FE" w:rsidP="003754FE">
      <w:pPr>
        <w:pStyle w:val="TextoNormal"/>
      </w:pPr>
    </w:p>
    <w:p w14:paraId="630F1386" w14:textId="77777777" w:rsidR="003754FE" w:rsidRDefault="003754FE" w:rsidP="003754FE">
      <w:pPr>
        <w:pStyle w:val="TextoNormal"/>
      </w:pPr>
      <w:r>
        <w:t>Los diputados recurrentes entienden, como se ha explicado con detalle en los antecedentes, que la aludida disposición infringe la reserva de ley orgánica contenida en el art. 81.1 CE. En su opinión, el elenco de medidas introducido por el legislador gallego carece de cobertura en la Ley Orgánica 3/1986, de 14 de abril, de medidas especiales en materia de salud pública (cobertura normativa invocada por la propia exposición de motivos de la Ley 8/2021). Consideran que las concretas medidas arbitradas por el legislador gallego no están expresamente previstas en la referida ley orgánica y que esta no contiene delegación alguna al legislador ordinario para que establezca nuevas medidas de injerencia en los derechos fundamentales comprendidos en la reserva del art. 81.1 CE.</w:t>
      </w:r>
    </w:p>
    <w:p w14:paraId="6F4AD559" w14:textId="77777777" w:rsidR="003754FE" w:rsidRDefault="003754FE" w:rsidP="003754FE">
      <w:pPr>
        <w:pStyle w:val="TextoNormal"/>
      </w:pPr>
    </w:p>
    <w:p w14:paraId="0AA0D057" w14:textId="77777777" w:rsidR="003754FE" w:rsidRDefault="003754FE" w:rsidP="003754FE">
      <w:pPr>
        <w:pStyle w:val="TextoNormal"/>
      </w:pPr>
      <w:r>
        <w:t>Tal actividad de complemento normativo de lo dispuesto en la ley orgánica estatal carecería, asimismo, según los recurrentes, de todo soporte en un título competencial propio de la comunidad autónoma, pues las medidas de intervención en los derechos fundamentales comprendidos en el art. 81.1 CE deben considerarse, según alegan, un mínimo denominador común para todo el territorio nacional. Estarían, por ello, conceptualmente ligadas al ejercicio de las competencias estatales sobre bases y coordinación general de la sanidad (art. 149.1.16 CE) y sobre fijación de las condiciones básicas que garantizan la igualdad de todos los españoles en el ejercicio de los derechos (art. 149.1.1 CE).</w:t>
      </w:r>
    </w:p>
    <w:p w14:paraId="09F151C9" w14:textId="77777777" w:rsidR="003754FE" w:rsidRDefault="003754FE" w:rsidP="003754FE">
      <w:pPr>
        <w:pStyle w:val="TextoNormal"/>
      </w:pPr>
    </w:p>
    <w:p w14:paraId="09BACEEC" w14:textId="77777777" w:rsidR="003754FE" w:rsidRDefault="003754FE" w:rsidP="003754FE">
      <w:pPr>
        <w:pStyle w:val="TextoNormal"/>
      </w:pPr>
      <w:r>
        <w:t>Los diputados recurrentes también argumentan que las concretas medidas arbitradas por la Ley 8/2021 suponen, por razón de su extraordinaria intensidad, verdaderas hipótesis de suspensión de los derechos fundamentales afectados, suspensión que solo puede efectuarse respecto de algunos de los derechos fundamentales concernidos (los expresamente citados en el art. 55.1 CE) y siempre de acuerdo con el sistema constitucional de fuentes, que reserva tal posibilidad a los estados de excepción y sitio (art. 116 CE). Por ello, las diversas medidas limitativas establecidas en el art. 38.2, b) de la Ley 8/2008 que afectan a la libertad deambulatoria, a la libertad de circulación por el territorio nacional y al derecho de reunión (arts. 17, 19 y 21 CE) solo podrían acordarse por la vía de los estados de excepción o sitio, mientras que la “suspensión” del derecho a la intimidad (art. 18.1 CE) y del derecho a la integridad física (art. 15 CE) que se produce, concretamente, con medidas como el tratamiento médico forzoso o la vacunación obligatoria, en cuanto limitaciones de altísima intensidad, no tendría cabida en el sistema constitucional de derechos fundamentales al implicar la “derogación” de la norma de derecho fundamental. Consideran, en todo caso, que la cláusula de cierre del subapartado 7 vulnera el principio de seguridad jurídica (art. 9.3 CE).</w:t>
      </w:r>
    </w:p>
    <w:p w14:paraId="5F28E4E6" w14:textId="77777777" w:rsidR="003754FE" w:rsidRDefault="003754FE" w:rsidP="003754FE">
      <w:pPr>
        <w:pStyle w:val="TextoNormal"/>
      </w:pPr>
    </w:p>
    <w:p w14:paraId="265AC3DD" w14:textId="77777777" w:rsidR="003754FE" w:rsidRDefault="003754FE" w:rsidP="003754FE">
      <w:pPr>
        <w:pStyle w:val="TextoNormal"/>
      </w:pPr>
      <w:r>
        <w:t>La inconstitucionalidad de todo el elenco de nuevas medidas introducido por el legislador gallego determinaría, finalmente, que también fueran inconstitucionales los fragmentos iniciales del art. 38.2 de la Ley 8/2008, que se limitan a reproducir, con leves variaciones, el contenido de los artículos segundo y tercero de la Ley Orgánica 3/1986, ya que esta reiteración carecería de amparo en un título competencial propio e invadiría las ya aludidas competencias estatales del art. 149.1.1 y 16 CE.</w:t>
      </w:r>
    </w:p>
    <w:p w14:paraId="69C630AF" w14:textId="77777777" w:rsidR="003754FE" w:rsidRDefault="003754FE" w:rsidP="003754FE">
      <w:pPr>
        <w:pStyle w:val="TextoNormal"/>
      </w:pPr>
    </w:p>
    <w:p w14:paraId="72134E8D" w14:textId="72DDB46E" w:rsidR="003754FE" w:rsidRDefault="003754FE" w:rsidP="003754FE">
      <w:pPr>
        <w:pStyle w:val="TextoNormal"/>
      </w:pPr>
      <w:r>
        <w:t xml:space="preserve">Los letrados de la Xunta de Galicia y del Parlamento gallego han presentado alegaciones defendiendo la constitucionalidad de la norma impugnada. Entienden, en esencia, que todas las medidas de restricción de derechos fundamentales introducidas por el legislador gallego tienen anclaje directo en los artículos segundo y tercero de la Ley Orgánica 3/1986. La única pretensión de la norma impugnada habría sido dotar a dicha regulación orgánica de una mayor densidad normativa, concretando los supuestos de injerencia y explicitando, asimismo, los requisitos que son necesarios para su aplicación práctica. Se trataría, por tanto, de una colaboración del legislador ordinario, en este caso del autonómico (en el ejercicio de sus competencias en materia de sanidad interior), tendente a dar mayores garantías a los ciudadanos frente a la intromisión en sus derechos fundamentales. Esa intromisión no sería, en todo caso, equiparable a una suspensión de los referidos derechos, pues la norma gallega tiene una incidencia territorialmente limitada y está sujeta a requisitos de ejecución, fundamentalmente la sujeción al principio de proporcionalidad (art. 38 </w:t>
      </w:r>
      <w:r w:rsidRPr="003754FE">
        <w:rPr>
          <w:i/>
        </w:rPr>
        <w:t>ter</w:t>
      </w:r>
      <w:r>
        <w:t xml:space="preserve"> de la Ley 8/2008, no impugnado), que ajustan su alcance a las circunstancias y al contexto de cada caso, con el consiguiente control jurisdiccional a cargo de los jueces ordinarios.</w:t>
      </w:r>
    </w:p>
    <w:p w14:paraId="7F8658A9" w14:textId="77777777" w:rsidR="003754FE" w:rsidRDefault="003754FE" w:rsidP="003754FE">
      <w:pPr>
        <w:pStyle w:val="TextoNormal"/>
      </w:pPr>
    </w:p>
    <w:p w14:paraId="3D04C795" w14:textId="77777777" w:rsidR="003754FE" w:rsidRDefault="003754FE" w:rsidP="003754FE">
      <w:pPr>
        <w:pStyle w:val="TextoNormal"/>
      </w:pPr>
      <w:r w:rsidRPr="003754FE">
        <w:rPr>
          <w:rStyle w:val="NumeroAFNegritaCaracter"/>
        </w:rPr>
        <w:t>2</w:t>
      </w:r>
      <w:r>
        <w:t xml:space="preserve">. </w:t>
      </w:r>
      <w:r w:rsidRPr="003754FE">
        <w:rPr>
          <w:i/>
        </w:rPr>
        <w:t>Precisiones iniciales sobre el objeto del recurso</w:t>
      </w:r>
    </w:p>
    <w:p w14:paraId="1741800E" w14:textId="77777777" w:rsidR="003754FE" w:rsidRDefault="003754FE" w:rsidP="003754FE">
      <w:pPr>
        <w:pStyle w:val="TextoNormal"/>
      </w:pPr>
    </w:p>
    <w:p w14:paraId="40D7750D" w14:textId="77777777" w:rsidR="003754FE" w:rsidRDefault="003754FE" w:rsidP="003754FE">
      <w:pPr>
        <w:pStyle w:val="TextoNormal"/>
      </w:pPr>
      <w:r>
        <w:t>Para una mejor comprensión del objeto del presente proceso constitucional han de hacerse las siguientes precisiones iniciales:</w:t>
      </w:r>
    </w:p>
    <w:p w14:paraId="68C08EB0" w14:textId="77777777" w:rsidR="003754FE" w:rsidRDefault="003754FE" w:rsidP="003754FE">
      <w:pPr>
        <w:pStyle w:val="TextoNormal"/>
      </w:pPr>
    </w:p>
    <w:p w14:paraId="31987188" w14:textId="77777777" w:rsidR="003754FE" w:rsidRDefault="003754FE" w:rsidP="003754FE">
      <w:pPr>
        <w:pStyle w:val="TextoNormal"/>
      </w:pPr>
      <w:r>
        <w:t xml:space="preserve">A) La Ley 8/2021, del Parlamento de Galicia, modifica diversos preceptos de la Ley 8/2008, de salud de Galicia. Los recurrentes impugnan exclusivamente en este proceso constitucional la nueva redacción dada al art. 38 de la Ley 8/2008, relativo a las “[m]edidas </w:t>
      </w:r>
      <w:r>
        <w:lastRenderedPageBreak/>
        <w:t>preventivas en materia de salud pública”, en particular, como se desprende con claridad del suplico de la demanda y del contenido argumental de esta, la redacción dada al nuevo apartado 2. Dicho apartado dispone lo siguiente:</w:t>
      </w:r>
    </w:p>
    <w:p w14:paraId="2C371688" w14:textId="77777777" w:rsidR="003754FE" w:rsidRDefault="003754FE" w:rsidP="003754FE">
      <w:pPr>
        <w:pStyle w:val="TextoNormal"/>
      </w:pPr>
    </w:p>
    <w:p w14:paraId="67563F23" w14:textId="77777777" w:rsidR="003754FE" w:rsidRDefault="003754FE" w:rsidP="003754FE">
      <w:pPr>
        <w:pStyle w:val="TextoNormal"/>
      </w:pPr>
      <w:r>
        <w:t>“Asimismo, de acuerdo con lo dispuesto en la Ley orgánica 3/1986, de 14 de abril, de medidas especiales en materia de salud pública, al objeto de proteger la salud pública y prevenir su pérdida o deterioro, las autoridades sanitarias autonómicas, dentro del ámbito de sus competencias, cuando así lo exigiesen razones sanitarias de urgencia o necesidad:</w:t>
      </w:r>
    </w:p>
    <w:p w14:paraId="73DDA175" w14:textId="77777777" w:rsidR="003754FE" w:rsidRDefault="003754FE" w:rsidP="003754FE">
      <w:pPr>
        <w:pStyle w:val="TextoNormal"/>
      </w:pPr>
    </w:p>
    <w:p w14:paraId="1EE3E5FB" w14:textId="77777777" w:rsidR="003754FE" w:rsidRDefault="003754FE" w:rsidP="003754FE">
      <w:pPr>
        <w:pStyle w:val="TextoNormal"/>
      </w:pPr>
      <w:r>
        <w:t>a) Podrán adoptar medidas preventivas de reconocimiento, tratamiento, hospitalización o control cuando se aprecien indicios racionales que permitan suponer la existencia de peligro para la salud de la población debido a la situación sanitaria concreta de una persona o grupo de personas o por las condiciones sanitarias en que se desarrolle una actividad.</w:t>
      </w:r>
    </w:p>
    <w:p w14:paraId="52B42664" w14:textId="77777777" w:rsidR="003754FE" w:rsidRDefault="003754FE" w:rsidP="003754FE">
      <w:pPr>
        <w:pStyle w:val="TextoNormal"/>
      </w:pPr>
    </w:p>
    <w:p w14:paraId="66D80870" w14:textId="77777777" w:rsidR="003754FE" w:rsidRDefault="003754FE" w:rsidP="003754FE">
      <w:pPr>
        <w:pStyle w:val="TextoNormal"/>
      </w:pPr>
      <w:r>
        <w:t>b) A fin de controlar las enfermedades transmisibles, además de realizar las acciones preventivas generales y de la posible adopción de las medidas preventivas previstas en el número 1 de este precepto, podrán adoptar las medidas oportunas para el control de las personas enfermas, de las personas que estén o hayan estado en contacto con ellas y del ambiente inmediato, así como las que se estimen necesarias en caso de riesgo de carácter transmisible. En particular, podrán adoptarse las siguientes medidas preventivas:</w:t>
      </w:r>
    </w:p>
    <w:p w14:paraId="141A84D1" w14:textId="77777777" w:rsidR="003754FE" w:rsidRDefault="003754FE" w:rsidP="003754FE">
      <w:pPr>
        <w:pStyle w:val="TextoNormal"/>
      </w:pPr>
    </w:p>
    <w:p w14:paraId="1BBA4B78" w14:textId="77777777" w:rsidR="003754FE" w:rsidRDefault="003754FE" w:rsidP="003754FE">
      <w:pPr>
        <w:pStyle w:val="TextoNormal"/>
      </w:pPr>
      <w:r>
        <w:t>1) Medidas de control de las personas enfermas, cuando fuera procedente, como el aislamiento en domicilio, el internamiento en centro hospitalario o el aislamiento o internamiento en otro lugar adecuado para tal fin.</w:t>
      </w:r>
    </w:p>
    <w:p w14:paraId="4A5C7179" w14:textId="77777777" w:rsidR="003754FE" w:rsidRDefault="003754FE" w:rsidP="003754FE">
      <w:pPr>
        <w:pStyle w:val="TextoNormal"/>
      </w:pPr>
    </w:p>
    <w:p w14:paraId="008DA1D4" w14:textId="77777777" w:rsidR="003754FE" w:rsidRDefault="003754FE" w:rsidP="003754FE">
      <w:pPr>
        <w:pStyle w:val="TextoNormal"/>
      </w:pPr>
      <w:r>
        <w:t>2) Sometimiento de las personas enfermas a tratamiento adecuado.</w:t>
      </w:r>
    </w:p>
    <w:p w14:paraId="3086E733" w14:textId="77777777" w:rsidR="003754FE" w:rsidRDefault="003754FE" w:rsidP="003754FE">
      <w:pPr>
        <w:pStyle w:val="TextoNormal"/>
      </w:pPr>
    </w:p>
    <w:p w14:paraId="763442C2" w14:textId="77777777" w:rsidR="003754FE" w:rsidRDefault="003754FE" w:rsidP="003754FE">
      <w:pPr>
        <w:pStyle w:val="TextoNormal"/>
      </w:pPr>
      <w:r>
        <w:t>3) Medidas de control de las personas que estén o hayan estado en contacto con las personas enfermas, como el sometimiento a una cuarentena en el domicilio o en otro lugar adecuado para tal fin. A estos efectos, se entenderá por cuarentena la restricción de las actividades y la separación, de las demás personas que no están enfermas, de una persona respecto a la cual pueda tenerse razonablemente la sospecha de que estuvo o haya podido estar expuesta a un riesgo para la salud pública y sea una posible fuente de propagación adicional de enfermedades, de acuerdo con los principios científicos, las pruebas científicas o la información disponible.</w:t>
      </w:r>
    </w:p>
    <w:p w14:paraId="578FFB8B" w14:textId="77777777" w:rsidR="003754FE" w:rsidRDefault="003754FE" w:rsidP="003754FE">
      <w:pPr>
        <w:pStyle w:val="TextoNormal"/>
      </w:pPr>
    </w:p>
    <w:p w14:paraId="27639503" w14:textId="77777777" w:rsidR="003754FE" w:rsidRDefault="003754FE" w:rsidP="003754FE">
      <w:pPr>
        <w:pStyle w:val="TextoNormal"/>
      </w:pPr>
      <w:r>
        <w:t>4) Sometimiento a observación o a medidas de vigilancia del estado de salud, a examen médico o a pruebas diagnósticas de personas que presenten síntomas compatibles con la enfermedad transmisible de que se trate o de personas respecto a las cuales existan otros indicios objetivos de que puedan suponer un riesgo de transmisión de la enfermedad. La observación, el examen o las pruebas serán lo menos intrusivos o invasivos posible para permitir lograr el objetivo de salud pública consistente en prevenir o contener la propagación de la enfermedad.</w:t>
      </w:r>
    </w:p>
    <w:p w14:paraId="0050F0C2" w14:textId="77777777" w:rsidR="003754FE" w:rsidRDefault="003754FE" w:rsidP="003754FE">
      <w:pPr>
        <w:pStyle w:val="TextoNormal"/>
      </w:pPr>
    </w:p>
    <w:p w14:paraId="63DD0948" w14:textId="77777777" w:rsidR="003754FE" w:rsidRDefault="003754FE" w:rsidP="003754FE">
      <w:pPr>
        <w:pStyle w:val="TextoNormal"/>
      </w:pPr>
      <w:r>
        <w:t>5) Sometimiento a medidas profilácticas de prevención de la enfermedad, incluida la vacunación o inmunización, con información, en todo caso, de los posibles riesgos relacionados con la adopción o no adopción de estas medidas.</w:t>
      </w:r>
    </w:p>
    <w:p w14:paraId="44DE884A" w14:textId="77777777" w:rsidR="003754FE" w:rsidRDefault="003754FE" w:rsidP="003754FE">
      <w:pPr>
        <w:pStyle w:val="TextoNormal"/>
      </w:pPr>
    </w:p>
    <w:p w14:paraId="12AA2148" w14:textId="77777777" w:rsidR="003754FE" w:rsidRDefault="003754FE" w:rsidP="003754FE">
      <w:pPr>
        <w:pStyle w:val="TextoNormal"/>
      </w:pPr>
      <w:r>
        <w:lastRenderedPageBreak/>
        <w:t>6) Medidas de control del entorno inmediato de las personas enfermas o de las personas que estén o hayan estado en contacto con ellas, así como de las zonas afectadas. A estos efectos, se entenderá por zona afectada aquellos lugares geográficos en los cuales sean necesarias medidas sanitarias de control de la propagación de la enfermedad. La determinación de la zona afectada se efectuará de acuerdo con los principios de precaución y proporcionalidad, procurando, siempre que resulte posible y eficaz, actuar lo antes posible o con mayor intensidad o medida sobre las zonas concretas en que se produjese la mayor afección, para evitar perjuicios innecesarios al resto de la población.</w:t>
      </w:r>
    </w:p>
    <w:p w14:paraId="5162DC8E" w14:textId="77777777" w:rsidR="003754FE" w:rsidRDefault="003754FE" w:rsidP="003754FE">
      <w:pPr>
        <w:pStyle w:val="TextoNormal"/>
      </w:pPr>
    </w:p>
    <w:p w14:paraId="58E576CE" w14:textId="77777777" w:rsidR="003754FE" w:rsidRDefault="003754FE" w:rsidP="003754FE">
      <w:pPr>
        <w:pStyle w:val="TextoNormal"/>
      </w:pPr>
      <w:r>
        <w:t>Entre otras, estas medidas podrán consistir en:</w:t>
      </w:r>
    </w:p>
    <w:p w14:paraId="3940B2BF" w14:textId="77777777" w:rsidR="003754FE" w:rsidRDefault="003754FE" w:rsidP="003754FE">
      <w:pPr>
        <w:pStyle w:val="TextoNormal"/>
      </w:pPr>
    </w:p>
    <w:p w14:paraId="28016658" w14:textId="77777777" w:rsidR="003754FE" w:rsidRDefault="003754FE" w:rsidP="003754FE">
      <w:pPr>
        <w:pStyle w:val="TextoNormal"/>
      </w:pPr>
      <w:r>
        <w:t>i) Medidas que conlleven la limitación o restricción de la circulación o movilidad de las personas dentro de la zona afectada o en determinados lugares y espacios dentro de dicha zona o en determinadas franjas horarias.</w:t>
      </w:r>
    </w:p>
    <w:p w14:paraId="5BA65126" w14:textId="77777777" w:rsidR="003754FE" w:rsidRDefault="003754FE" w:rsidP="003754FE">
      <w:pPr>
        <w:pStyle w:val="TextoNormal"/>
      </w:pPr>
    </w:p>
    <w:p w14:paraId="746A5E53" w14:textId="77777777" w:rsidR="003754FE" w:rsidRDefault="003754FE" w:rsidP="003754FE">
      <w:pPr>
        <w:pStyle w:val="TextoNormal"/>
      </w:pPr>
      <w:r>
        <w:t>ii) Medidas de control de la salida de la zona afectada o de entrada en la misma.</w:t>
      </w:r>
    </w:p>
    <w:p w14:paraId="49EABDED" w14:textId="77777777" w:rsidR="003754FE" w:rsidRDefault="003754FE" w:rsidP="003754FE">
      <w:pPr>
        <w:pStyle w:val="TextoNormal"/>
      </w:pPr>
    </w:p>
    <w:p w14:paraId="704F58AA" w14:textId="77777777" w:rsidR="003754FE" w:rsidRDefault="003754FE" w:rsidP="003754FE">
      <w:pPr>
        <w:pStyle w:val="TextoNormal"/>
      </w:pPr>
      <w:r>
        <w:t>iii) Restricciones a las agrupaciones de personas, incluidas las reuniones privadas entre no convivientes, especialmente en los lugares y espacios o con ocasión del desarrollo de actividades que conlleven un mayor riesgo de propagación de la enfermedad; todo ello sin perjuicio de las competencias estatales en relación con las reuniones en lugares de tránsito público y las manifestaciones realizadas en ejercicio del derecho fundamental regulado en el artículo 21 de la Constitución Española.</w:t>
      </w:r>
    </w:p>
    <w:p w14:paraId="153840A4" w14:textId="77777777" w:rsidR="003754FE" w:rsidRDefault="003754FE" w:rsidP="003754FE">
      <w:pPr>
        <w:pStyle w:val="TextoNormal"/>
      </w:pPr>
    </w:p>
    <w:p w14:paraId="72C9FC05" w14:textId="77777777" w:rsidR="003754FE" w:rsidRDefault="003754FE" w:rsidP="003754FE">
      <w:pPr>
        <w:pStyle w:val="TextoNormal"/>
      </w:pPr>
      <w:r>
        <w:t>iv) Medidas de cribado consistentes en la realización de pruebas diagnósticas de determinados sectores o grupos de la población particularmente afectados o vulnerables.</w:t>
      </w:r>
    </w:p>
    <w:p w14:paraId="3AF3273A" w14:textId="77777777" w:rsidR="003754FE" w:rsidRDefault="003754FE" w:rsidP="003754FE">
      <w:pPr>
        <w:pStyle w:val="TextoNormal"/>
      </w:pPr>
    </w:p>
    <w:p w14:paraId="4CFC2612" w14:textId="77777777" w:rsidR="003754FE" w:rsidRDefault="003754FE" w:rsidP="003754FE">
      <w:pPr>
        <w:pStyle w:val="TextoNormal"/>
      </w:pPr>
      <w:r>
        <w:t>Las restricciones a los desplazamientos y agrupaciones de personas enumeradas anteriormente nunca podrán ser absolutas, debiendo expresar con claridad y precisión los desplazamientos y agrupaciones que se restringen, actuando con preferencia sobre los desplazamientos y agrupaciones por razones meramente recreativas y de ocio. Habrán de admitirse, en todo caso, aquellos desplazamientos y agrupaciones que se desarrollen por motivos esenciales o justificados compatibles con la protección de la salud, sin perjuicio, en su caso, de los controles o medidas de prevención adicionales que pudieran establecerse.</w:t>
      </w:r>
    </w:p>
    <w:p w14:paraId="34C193B1" w14:textId="77777777" w:rsidR="003754FE" w:rsidRDefault="003754FE" w:rsidP="003754FE">
      <w:pPr>
        <w:pStyle w:val="TextoNormal"/>
      </w:pPr>
    </w:p>
    <w:p w14:paraId="5CFA4A08" w14:textId="77777777" w:rsidR="003754FE" w:rsidRDefault="003754FE" w:rsidP="003754FE">
      <w:pPr>
        <w:pStyle w:val="TextoNormal"/>
      </w:pPr>
      <w:r>
        <w:t>7) Aquellas otras medidas sanitarias justificadas y necesarias que, de acuerdo con los riesgos y circunstancias en cada caso concurrentes, se estimen adecuadas para impedir o controlar la propagación de la enfermedad, en función del estado de la ciencia y del conocimiento existente en cada momento, siempre con sujeción a los criterios y principios establecidos en la presente ley y, en particular, de acuerdo con el principio de proporcionalidad”.</w:t>
      </w:r>
    </w:p>
    <w:p w14:paraId="06540E7E" w14:textId="77777777" w:rsidR="003754FE" w:rsidRDefault="003754FE" w:rsidP="003754FE">
      <w:pPr>
        <w:pStyle w:val="TextoNormal"/>
      </w:pPr>
    </w:p>
    <w:p w14:paraId="56BBE9BD" w14:textId="77777777" w:rsidR="003754FE" w:rsidRDefault="003754FE" w:rsidP="003754FE">
      <w:pPr>
        <w:pStyle w:val="TextoNormal"/>
      </w:pPr>
      <w:r>
        <w:t xml:space="preserve">Aunque todo el contenido del art. 38.2 de la Ley 8/2008, que acaba de ser reproducido, ha sido objeto de redacción </w:t>
      </w:r>
      <w:r w:rsidRPr="003754FE">
        <w:rPr>
          <w:i/>
        </w:rPr>
        <w:t>ex novo</w:t>
      </w:r>
      <w:r>
        <w:t xml:space="preserve"> por la Ley 8/2021, puede advertirse que el precepto se divide, a efectos del presente recurso de inconstitucionalidad, en dos complejos normativos claramente diferenciables:</w:t>
      </w:r>
    </w:p>
    <w:p w14:paraId="448D263F" w14:textId="77777777" w:rsidR="003754FE" w:rsidRDefault="003754FE" w:rsidP="003754FE">
      <w:pPr>
        <w:pStyle w:val="TextoNormal"/>
      </w:pPr>
    </w:p>
    <w:p w14:paraId="2BBB9A7D" w14:textId="77777777" w:rsidR="003754FE" w:rsidRDefault="003754FE" w:rsidP="003754FE">
      <w:pPr>
        <w:pStyle w:val="TextoNormal"/>
      </w:pPr>
      <w:r>
        <w:t xml:space="preserve">a) Un primer fragmento está formado por las letras a) y el inciso primero de la letra b). Presenta este primer bloque dos particularidades: (i) se corresponde sustancialmente, </w:t>
      </w:r>
      <w:r>
        <w:lastRenderedPageBreak/>
        <w:t>aunque no literalmente, con la redacción anterior del art. 38 de la Ley 8/2008 (antiguos apartados 1 y 2); y (ii) es reproducción casi literal de algunos contenidos que ya figuran en la Ley Orgánica 3/1986, de 14 de abril, de medidas especiales en materia de salud pública. En particular, la letra a) reproduce el artículo segundo de la Ley Orgánica 3/1986, mientras que la letra b), inciso primero, reproduce, en esencia, si bien con algún giro lingüístico de menor relevancia (como la mención al “ambiente” en lugar del “medio ambiente”) el artículo tercero de la referida ley orgánica.</w:t>
      </w:r>
    </w:p>
    <w:p w14:paraId="5FF0F359" w14:textId="77777777" w:rsidR="003754FE" w:rsidRDefault="003754FE" w:rsidP="003754FE">
      <w:pPr>
        <w:pStyle w:val="TextoNormal"/>
      </w:pPr>
    </w:p>
    <w:p w14:paraId="65430B48" w14:textId="77777777" w:rsidR="003754FE" w:rsidRDefault="003754FE" w:rsidP="003754FE">
      <w:pPr>
        <w:pStyle w:val="TextoNormal"/>
      </w:pPr>
      <w:r>
        <w:t>Estas particularidades condicionan el contenido impugnatorio del recurso de inconstitucionalidad, pues los diputados recurrentes reprochan exclusivamente a este primer complejo normativo haber incurrido en una reproducción indebida del contenido de la Ley Orgánica 3/1986, de 14 de abril.</w:t>
      </w:r>
    </w:p>
    <w:p w14:paraId="2BA3D7F7" w14:textId="77777777" w:rsidR="003754FE" w:rsidRDefault="003754FE" w:rsidP="003754FE">
      <w:pPr>
        <w:pStyle w:val="TextoNormal"/>
      </w:pPr>
    </w:p>
    <w:p w14:paraId="38710799" w14:textId="77777777" w:rsidR="003754FE" w:rsidRDefault="003754FE" w:rsidP="003754FE">
      <w:pPr>
        <w:pStyle w:val="TextoNormal"/>
      </w:pPr>
      <w:r>
        <w:t>b) El resto del precepto impugnado supone, en cambio, una innovación sustancial respecto a la redacción anterior del art. 38 de la Ley 8/2008. A partir del segundo inciso de la letra b) (desde “[e]n particular, podrán adoptarse las siguientes medidas” hasta el final del apartado), se contempla un largo elenco de medidas concretas de protección de la salud pública, dividido en siete subapartados. Dicho elenco no figuraba en la redacción originaria de la Ley 8/2008 y tampoco es reproducción de norma alguna contenida en la legislación sanitaria estatal; en particular, no tiene correspondencia con un elenco similar que se contenga en la Ley Orgánica 3/1986.</w:t>
      </w:r>
    </w:p>
    <w:p w14:paraId="40C6BF78" w14:textId="77777777" w:rsidR="003754FE" w:rsidRDefault="003754FE" w:rsidP="003754FE">
      <w:pPr>
        <w:pStyle w:val="TextoNormal"/>
      </w:pPr>
    </w:p>
    <w:p w14:paraId="20007C3C" w14:textId="77777777" w:rsidR="003754FE" w:rsidRDefault="003754FE" w:rsidP="003754FE">
      <w:pPr>
        <w:pStyle w:val="TextoNormal"/>
      </w:pPr>
      <w:r>
        <w:t>A este segundo complejo normativo se refiere el resto de impugnaciones formuladas por los diputados recurrentes, muy particularmente la infracción de la reserva de ley orgánica (art. 81.1 CE) y la vulneración de los concretos derechos fundamentales afectados (arts. 15, 17, 18, 19 y 21 CE) por contener la ley impugnada, según se afirma, una habilitación legislativa para la suspensión de dichos derechos fundamentales, lo que solo sería legítimo respecto de algunos de ellos (los contemplados en el art. 55.1 CE) y en los supuestos excepcionales de estado de excepción o estado de sitio (art. 116 CE).</w:t>
      </w:r>
    </w:p>
    <w:p w14:paraId="2F00007E" w14:textId="77777777" w:rsidR="003754FE" w:rsidRDefault="003754FE" w:rsidP="003754FE">
      <w:pPr>
        <w:pStyle w:val="TextoNormal"/>
      </w:pPr>
    </w:p>
    <w:p w14:paraId="5581267F" w14:textId="77777777" w:rsidR="003754FE" w:rsidRDefault="003754FE" w:rsidP="003754FE">
      <w:pPr>
        <w:pStyle w:val="TextoNormal"/>
      </w:pPr>
      <w:r>
        <w:t>B) La redacción dada al art. 38.2 de la Ley 8/2008 por el apartado quinto del artículo único de la Ley 8/2021, no ha sido modificada con posterioridad por el legislador gallego. Ahora bien, después de la interposición del presente recurso de inconstitucionalidad, se ha producido una reforma de la Ley de salud de Galicia que guarda conexión directa con el precepto impugnado. Se trata de la Ley del Parlamento de Galicia 18/2021, de 27 de diciembre, de medidas fiscales y administrativas, que, en su art. 34, añade una nueva disposición adicional segunda a la Ley 8/2008. Esa disposición adicional tiene por rúbrica “[a]plicación de las medidas de vacunación en el marco de las competencias estatales de coordinación general de la sanidad y de la estrategia nacional de vacunación”. Su contenido es el siguiente:</w:t>
      </w:r>
    </w:p>
    <w:p w14:paraId="097EDA85" w14:textId="77777777" w:rsidR="003754FE" w:rsidRDefault="003754FE" w:rsidP="003754FE">
      <w:pPr>
        <w:pStyle w:val="TextoNormal"/>
      </w:pPr>
    </w:p>
    <w:p w14:paraId="506ABF0C" w14:textId="77777777" w:rsidR="003754FE" w:rsidRDefault="003754FE" w:rsidP="003754FE">
      <w:pPr>
        <w:pStyle w:val="TextoNormal"/>
      </w:pPr>
      <w:r>
        <w:t xml:space="preserve">“La medida prevista en el número 5 de la letra b) del número 2 del artículo 38 se entenderá sin perjuicio del carácter voluntario de la vacunación con carácter general y se aplicará siempre de acuerdo con lo establecido para cada patología por la Administración general del Estado en el ejercicio de sus competencias de coordinación general de la sanidad, en la estrategia nacional de vacunación que esté vigente en cada momento y en el marco de lo que determine el Consejo Interterritorial del Sistema Nacional de Salud. Las campañas se articularán sobre el principio de colaboración voluntaria de las personas afectadas con las </w:t>
      </w:r>
      <w:r>
        <w:lastRenderedPageBreak/>
        <w:t>autoridades sanitarias, y estas ofrecerán información, en todo caso, de los posibles riesgos relacionados con la adopción o no adopción de estas medidas”.</w:t>
      </w:r>
    </w:p>
    <w:p w14:paraId="0ED5471A" w14:textId="77777777" w:rsidR="003754FE" w:rsidRDefault="003754FE" w:rsidP="003754FE">
      <w:pPr>
        <w:pStyle w:val="TextoNormal"/>
      </w:pPr>
    </w:p>
    <w:p w14:paraId="5BDBF08E" w14:textId="77777777" w:rsidR="003754FE" w:rsidRDefault="003754FE" w:rsidP="003754FE">
      <w:pPr>
        <w:pStyle w:val="TextoNormal"/>
      </w:pPr>
      <w:r>
        <w:t>Como se desprende del contenido reproducido, la referida disposición tiene la finalidad primordial de salvaguardar el pleno respeto a las competencias estatales en materia de coordinación general de la sanidad. Pretende, con ello, resolver la controversia competencial suscitada entre el Gobierno de la Nación y la Comunidad Autónoma de Galicia, que dio lugar a la interposición ante este tribunal, por parte del presidente del Gobierno, del recurso de incostitucionalidad 1975-2021. A tal efecto, reproduce, de forma literal, la fórmula normativa contenida en la letra b) del punto 1 del acuerdo de 28 de julio de 2021, alcanzado en el seno de la Comisión Bilateral de Cooperación Administración General del Estado-Comunidad Autónoma de Galicia. Una vez materializada la referida modificación legal, el Gobierno de la Nación, en ejecución del punto 2 del citado acuerdo, desistió del recurso de inconstitucionalidad 1975-2021. Dicho desistimiento fue aceptado por este tribunal en el ATC 70/2022, de 27 de abril.</w:t>
      </w:r>
    </w:p>
    <w:p w14:paraId="171D8D37" w14:textId="77777777" w:rsidR="003754FE" w:rsidRDefault="003754FE" w:rsidP="003754FE">
      <w:pPr>
        <w:pStyle w:val="TextoNormal"/>
      </w:pPr>
    </w:p>
    <w:p w14:paraId="5EB93366" w14:textId="77777777" w:rsidR="003754FE" w:rsidRDefault="003754FE" w:rsidP="003754FE">
      <w:pPr>
        <w:pStyle w:val="TextoNormal"/>
      </w:pPr>
      <w:r>
        <w:t>La nueva disposición adicional segunda de la Ley 8/2008 no modifica, sin embargo, el objeto del presente proceso constitucional. Y ello por dos razones:</w:t>
      </w:r>
    </w:p>
    <w:p w14:paraId="4B7785DA" w14:textId="77777777" w:rsidR="003754FE" w:rsidRDefault="003754FE" w:rsidP="003754FE">
      <w:pPr>
        <w:pStyle w:val="TextoNormal"/>
      </w:pPr>
    </w:p>
    <w:p w14:paraId="54B422E9" w14:textId="77777777" w:rsidR="003754FE" w:rsidRDefault="003754FE" w:rsidP="003754FE">
      <w:pPr>
        <w:pStyle w:val="TextoNormal"/>
      </w:pPr>
      <w:r>
        <w:t>(i) En primer lugar, la impugnación que los diputados recurrentes plantean en relación con la medida prevista en el subapartado 5 de la letra b) del art. 38.2 de la Ley 8/2008 está principalmente relacionada con la salvaguarda del sistema de fuentes, y en particular, con la posible infracción de la reserva de ley orgánica prevista en el art. 81.1 CE. Cabe recordar que este es uno de los supuestos excepcionales en los que este tribunal viene apreciando que la modificación posterior de la norma impugnada no hace desaparecer el interés constitucional en resolver la controversia (SSTC 124/2003, de 19 de junio, FJ 10, y 184/2012, de 17 de octubre, FJ 2).</w:t>
      </w:r>
    </w:p>
    <w:p w14:paraId="70481F23" w14:textId="77777777" w:rsidR="003754FE" w:rsidRDefault="003754FE" w:rsidP="003754FE">
      <w:pPr>
        <w:pStyle w:val="TextoNormal"/>
      </w:pPr>
    </w:p>
    <w:p w14:paraId="6B4EA0C1" w14:textId="77777777" w:rsidR="003754FE" w:rsidRDefault="003754FE" w:rsidP="003754FE">
      <w:pPr>
        <w:pStyle w:val="TextoNormal"/>
      </w:pPr>
      <w:r>
        <w:t>(ii) En segundo lugar, la fórmula normativa acordada por el Gobierno de la Nación y por la Comunidad Autónoma de Galicia (materializada luego como ley) para resolver la controversia propia del recurso de inconstitucionalidad 1975-2021 no ha consistido en la modificación del precepto legal impugnado (art. 38.2 de la Ley 8/2008). Se ha optado, antes bien, por la introducción de un precepto distinto, incluido dentro de la propia Ley de salud de Galicia como disposición adicional. No ha habido, por ello, modificación sobrevenida del objeto del presente recurso de inconstitucionalidad, pues la norma impugnada subsiste en idénticos términos. Se ha introducido, simplemente, una nueva norma legal cuya incidencia interpretativa sobre las cuestiones jurídicas planteadas en este recurso será evaluada con ocasión del juicio de fondo. Será entonces cuando deba analizarse, de resultar necesario, si la nueva disposición adicional, aprobada con posterioridad a la incoación del presente proceso, resulta determinante para decidir sobre la constitucionalidad del art. 38.2 de la Ley 8/2008.</w:t>
      </w:r>
    </w:p>
    <w:p w14:paraId="5AE782D5" w14:textId="77777777" w:rsidR="003754FE" w:rsidRDefault="003754FE" w:rsidP="003754FE">
      <w:pPr>
        <w:pStyle w:val="TextoNormal"/>
      </w:pPr>
    </w:p>
    <w:p w14:paraId="1CA1C344" w14:textId="7E930F53" w:rsidR="003754FE" w:rsidRDefault="003754FE" w:rsidP="003754FE">
      <w:pPr>
        <w:pStyle w:val="TextoNormal"/>
      </w:pPr>
      <w:r>
        <w:t>La controversia planteada por los recurrentes en el presente proceso constitucional no ha experimentado, en definitiva, ninguna pérdida, siquiera parcial, de objeto.</w:t>
      </w:r>
    </w:p>
    <w:p w14:paraId="5D963669" w14:textId="77777777" w:rsidR="003754FE" w:rsidRDefault="003754FE" w:rsidP="003754FE">
      <w:pPr>
        <w:pStyle w:val="TextoNormal"/>
      </w:pPr>
    </w:p>
    <w:p w14:paraId="14B1AD4B" w14:textId="77777777" w:rsidR="003754FE" w:rsidRDefault="003754FE" w:rsidP="003754FE">
      <w:pPr>
        <w:pStyle w:val="TextoNormal"/>
      </w:pPr>
      <w:r w:rsidRPr="003754FE">
        <w:rPr>
          <w:rStyle w:val="NumeroAFNegritaCaracter"/>
        </w:rPr>
        <w:t>3</w:t>
      </w:r>
      <w:r>
        <w:t xml:space="preserve">. </w:t>
      </w:r>
      <w:r w:rsidRPr="003754FE">
        <w:rPr>
          <w:i/>
        </w:rPr>
        <w:t>Orden de tratamiento de las impugnaciones</w:t>
      </w:r>
    </w:p>
    <w:p w14:paraId="036653B4" w14:textId="77777777" w:rsidR="003754FE" w:rsidRDefault="003754FE" w:rsidP="003754FE">
      <w:pPr>
        <w:pStyle w:val="TextoNormal"/>
      </w:pPr>
    </w:p>
    <w:p w14:paraId="5E92E37C" w14:textId="77777777" w:rsidR="003754FE" w:rsidRDefault="003754FE" w:rsidP="003754FE">
      <w:pPr>
        <w:pStyle w:val="TextoNormal"/>
      </w:pPr>
      <w:r>
        <w:lastRenderedPageBreak/>
        <w:t>Hechas las pertinentes aclaraciones sobre el objeto del presente proceso constitucional, hemos de sistematizar el enjuiciamiento de las impugnaciones efectuadas por los diputados recurrentes. Estos plantean motivos de signo diverso, que, ordenados en un orden lógico, son los siguientes:</w:t>
      </w:r>
    </w:p>
    <w:p w14:paraId="31C1B127" w14:textId="77777777" w:rsidR="003754FE" w:rsidRDefault="003754FE" w:rsidP="003754FE">
      <w:pPr>
        <w:pStyle w:val="TextoNormal"/>
      </w:pPr>
    </w:p>
    <w:p w14:paraId="47268B5C" w14:textId="77777777" w:rsidR="003754FE" w:rsidRDefault="003754FE" w:rsidP="003754FE">
      <w:pPr>
        <w:pStyle w:val="TextoNormal"/>
      </w:pPr>
      <w:r>
        <w:t>a) La impugnación relativa a la infracción del régimen constitucional de suspensión de los derechos fundamentales debe examinarse en primer lugar. Si se considera que las intervenciones administrativas autorizadas por la norma impugnada son supuestos de auténtica suspensión de derechos fundamentales, solo habría una conclusión posible: la declaración de inconstitucionalidad y nulidad de la norma impugnada [en realidad, como ya se dijo en el fundamento jurídico anterior, del complejo normativo formado por el elenco de medidas contemplado en el segundo inciso de la letra b) del art. 38.2 de la Ley 8/2008] y ello por razón de su propio contenido, sin necesidad de analizar la posible infracción de la reserva de ley orgánica (art. 81.1 CE) ni la eventual relación de colaboración internormativa que puede existir entre la ley autonómica impugnada y la Ley Orgánica 3/1986 en el concreto ámbito del desarrollo y la regulación de los derechos fundamentales concernidos.</w:t>
      </w:r>
    </w:p>
    <w:p w14:paraId="6FC9AB25" w14:textId="77777777" w:rsidR="003754FE" w:rsidRDefault="003754FE" w:rsidP="003754FE">
      <w:pPr>
        <w:pStyle w:val="TextoNormal"/>
      </w:pPr>
    </w:p>
    <w:p w14:paraId="674C3ECF" w14:textId="77777777" w:rsidR="003754FE" w:rsidRDefault="003754FE" w:rsidP="003754FE">
      <w:pPr>
        <w:pStyle w:val="TextoNormal"/>
      </w:pPr>
      <w:r>
        <w:t>b) La posible vulneración de la reserva de ley orgánica contenida en el art 81.1 CE para el “desarrollo de los derechos fundamentales” será tratada en segundo lugar. A propósito de esta impugnación dividiremos nuestro examen, como se explicará en su lugar, en dos planos de análisis distintos: (i) en primer lugar, habrá de examinarse si la norma impugnada regula aspectos esenciales del desarrollo directo de los derechos fundamentales reservados exclusivamente al legislador orgánico o si se limita a configurar aspectos conexos o accesorios que no pertenecen a ese núcleo esencial; (ii) en segundo lugar, y para aquellos contenidos que puedan considerarse mera regulación de aspectos conexos (y no auténtico desarrollo de derechos fundamentales a efectos del art. 81.1 CE), habrá de determinarse si esa colaboración internormativa de la ley ordinaria autonómica con la ley orgánica se ha realizado dentro del marco constitucional de distribución de competencias, sin vulnerar los títulos estatales previstos en el art. 149.1.1 y 16 CE. Como ya se advirtió, esta segunda impugnación también va exclusivamente referida al segundo inciso de la letra b) del art. 38.2 de la Ley 8/2008.</w:t>
      </w:r>
    </w:p>
    <w:p w14:paraId="2824AF7B" w14:textId="77777777" w:rsidR="003754FE" w:rsidRDefault="003754FE" w:rsidP="003754FE">
      <w:pPr>
        <w:pStyle w:val="TextoNormal"/>
      </w:pPr>
    </w:p>
    <w:p w14:paraId="4A64DA4B" w14:textId="77777777" w:rsidR="003754FE" w:rsidRDefault="003754FE" w:rsidP="003754FE">
      <w:pPr>
        <w:pStyle w:val="TextoNormal"/>
      </w:pPr>
      <w:r>
        <w:t>c) En tercer lugar, y como consecuencia accesoria del resultado de las impugnaciones anteriores, habrá que pronunciarse sobre la posible inconstitucionalidad de los fragmentos de la norma impugnada [los ya citados apartados a) y b), inciso primero] que se limitan a reproducir, con variaciones mínimas de contenido, los artículos segundo y tercero de la Ley Orgánica 3/1986, de 14 de abril, impugnación que los diputados recurrentes articulan exclusivamente desde el punto de vista de la prohibición (relativa, como se verá) de reproducción de normas estatales por parte del legislador autonómico.</w:t>
      </w:r>
    </w:p>
    <w:p w14:paraId="0A08466B" w14:textId="77777777" w:rsidR="003754FE" w:rsidRDefault="003754FE" w:rsidP="003754FE">
      <w:pPr>
        <w:pStyle w:val="TextoNormal"/>
      </w:pPr>
    </w:p>
    <w:p w14:paraId="5D617DA4" w14:textId="49466E08" w:rsidR="003754FE" w:rsidRDefault="003754FE" w:rsidP="003754FE">
      <w:pPr>
        <w:pStyle w:val="TextoNormal"/>
      </w:pPr>
      <w:r>
        <w:t>d) Finalmente, y solo en relación con el art. 38. 2 b) subapartado 7, se considera que la cláusula de cierre que habilita a las autoridades gallegas para adoptar cualesquiera otras medidas restrictivas de derechos fundamentales vulnera la garantía de seguridad jurídica del art. 9.3 CE. Esta cuestión será objeto de análisis en último lugar, salvo que la eventual estimación de alguna de las anteriores haya determinado ya la declaración de inconstitucionalidad y nulidad de este concreto subapartado de la norma impugnada.</w:t>
      </w:r>
    </w:p>
    <w:p w14:paraId="20D890AE" w14:textId="77777777" w:rsidR="003754FE" w:rsidRDefault="003754FE" w:rsidP="003754FE">
      <w:pPr>
        <w:pStyle w:val="TextoNormal"/>
      </w:pPr>
    </w:p>
    <w:p w14:paraId="1C4A14BF" w14:textId="77777777" w:rsidR="003754FE" w:rsidRDefault="003754FE" w:rsidP="003754FE">
      <w:pPr>
        <w:pStyle w:val="TextoNormal"/>
      </w:pPr>
      <w:r w:rsidRPr="003754FE">
        <w:rPr>
          <w:rStyle w:val="NumeroAFNegritaCaracter"/>
        </w:rPr>
        <w:t>4</w:t>
      </w:r>
      <w:r>
        <w:t xml:space="preserve">. </w:t>
      </w:r>
      <w:r w:rsidRPr="003754FE">
        <w:rPr>
          <w:i/>
        </w:rPr>
        <w:t>Vulneración de los arts. 15, 17, 18, 19 y 21 CE: suspensión de derechos fundamentales al margen de los dispuesto en los arts. 55.1 y 116 CE</w:t>
      </w:r>
    </w:p>
    <w:p w14:paraId="6F1F2462" w14:textId="77777777" w:rsidR="003754FE" w:rsidRDefault="003754FE" w:rsidP="003754FE">
      <w:pPr>
        <w:pStyle w:val="TextoNormal"/>
      </w:pPr>
    </w:p>
    <w:p w14:paraId="297504FF" w14:textId="77777777" w:rsidR="003754FE" w:rsidRDefault="003754FE" w:rsidP="003754FE">
      <w:pPr>
        <w:pStyle w:val="TextoNormal"/>
      </w:pPr>
      <w:r>
        <w:t>A) Delimitación de la impugnación</w:t>
      </w:r>
    </w:p>
    <w:p w14:paraId="7DFFAC91" w14:textId="77777777" w:rsidR="003754FE" w:rsidRDefault="003754FE" w:rsidP="003754FE">
      <w:pPr>
        <w:pStyle w:val="TextoNormal"/>
      </w:pPr>
    </w:p>
    <w:p w14:paraId="6E13CD5B" w14:textId="77777777" w:rsidR="003754FE" w:rsidRDefault="003754FE" w:rsidP="003754FE">
      <w:pPr>
        <w:pStyle w:val="TextoNormal"/>
      </w:pPr>
      <w:r>
        <w:t>Como se ha explicado en el fundamento precedente, ha de analizarse en primer lugar si el elenco de medidas previsto en el art. 38.2 b) inciso segundo de la Ley 8/2008 infringe, como afirman los recurrentes, el régimen constitucional de suspensión de los derechos fundamentales.</w:t>
      </w:r>
    </w:p>
    <w:p w14:paraId="654E59EE" w14:textId="77777777" w:rsidR="003754FE" w:rsidRDefault="003754FE" w:rsidP="003754FE">
      <w:pPr>
        <w:pStyle w:val="TextoNormal"/>
      </w:pPr>
    </w:p>
    <w:p w14:paraId="56741976" w14:textId="77777777" w:rsidR="003754FE" w:rsidRDefault="003754FE" w:rsidP="003754FE">
      <w:pPr>
        <w:pStyle w:val="TextoNormal"/>
      </w:pPr>
      <w:r>
        <w:t>Consideran, en síntesis, los actores que la ley impugnada vulnera radicalmente los derechos fundamentales concernidos (arts. 15, 17, 19 y 21 CE), pues las injerencias establecidas para cada uno de ellos constituyen, por razón de su extraordinaria intensidad (equiparable, según se afirma, a la “derogación” del derecho fundamental mismo), una situación de auténtica suspensión. Los actores sostienen, en particular, los siguientes argumentos:</w:t>
      </w:r>
    </w:p>
    <w:p w14:paraId="3D9B8873" w14:textId="77777777" w:rsidR="003754FE" w:rsidRDefault="003754FE" w:rsidP="003754FE">
      <w:pPr>
        <w:pStyle w:val="TextoNormal"/>
      </w:pPr>
    </w:p>
    <w:p w14:paraId="57383591" w14:textId="77777777" w:rsidR="003754FE" w:rsidRDefault="003754FE" w:rsidP="003754FE">
      <w:pPr>
        <w:pStyle w:val="TextoNormal"/>
      </w:pPr>
      <w:r>
        <w:t>a) Las medidas previstas en los subapartados 1, 3 y 6 implican que la ley impugnada faculta “a las autoridades a recluir en su domicilio a la ciudadanía gallega”. Dichas medidas conllevarían una situación de confinamiento y, con ello, una auténtica suspensión de derechos fundamentales. En particular, según se afirma en la demanda, se suspendería la libertad deambulatoria del art. 17 CE. Según razonan los actores, semejante régimen de intervención solo puede articularse, conforme al art. 55.1 CE, a través de la declaración de estado de excepción o, en su caso, del estado de sitio.</w:t>
      </w:r>
    </w:p>
    <w:p w14:paraId="1DBFDC91" w14:textId="77777777" w:rsidR="003754FE" w:rsidRDefault="003754FE" w:rsidP="003754FE">
      <w:pPr>
        <w:pStyle w:val="TextoNormal"/>
      </w:pPr>
    </w:p>
    <w:p w14:paraId="51B7A49C" w14:textId="77777777" w:rsidR="003754FE" w:rsidRDefault="003754FE" w:rsidP="003754FE">
      <w:pPr>
        <w:pStyle w:val="TextoNormal"/>
      </w:pPr>
      <w:r>
        <w:t>b) Las medidas de restricción de la circulación o de la entrada y salida de las zonas afectadas, previstas en el subapartado 6 i) y ii) autorizan, según los recurrentes, para “operar una suspensión de los derechos fundamentales del art. 19 CE”, tanto en la dimensión de libre elección de residencia como en la de libre circulación por el territorio nacional, por lo que requieren, igualmente, la cobertura del estado de excepción o del estado de sitio.</w:t>
      </w:r>
    </w:p>
    <w:p w14:paraId="73C14B62" w14:textId="77777777" w:rsidR="003754FE" w:rsidRDefault="003754FE" w:rsidP="003754FE">
      <w:pPr>
        <w:pStyle w:val="TextoNormal"/>
      </w:pPr>
    </w:p>
    <w:p w14:paraId="7B5C06B7" w14:textId="77777777" w:rsidR="003754FE" w:rsidRDefault="003754FE" w:rsidP="003754FE">
      <w:pPr>
        <w:pStyle w:val="TextoNormal"/>
      </w:pPr>
      <w:r>
        <w:t>c) Respecto a “la prohibición de acceder o salir a determinadas zonas de la vía pública establecida en el núm. 6 ii)” sostienen los actores que también “conlleva la absoluta imposibilidad de celebrar reuniones o manifestaciones en dicha vía”, lo que implicaría, según se alega, la suspensión ilegítima del derecho de reunión (art. 21 CE). Según se afirma, solo “en estado de excepción o sitio cabe someter a autorización previa, prohibir o disolver concretas reuniones o manifestaciones en dichas zonas”. Lo mismo ocurriría con las restricciones a las agrupaciones de personas del subapartado 6 iii), que, según los recurrentes, suspenden la efectividad de “los derechos fundamentales del art. 21 CE y de los arts. 10 y 17 CE”.</w:t>
      </w:r>
    </w:p>
    <w:p w14:paraId="3D9B882F" w14:textId="77777777" w:rsidR="003754FE" w:rsidRDefault="003754FE" w:rsidP="003754FE">
      <w:pPr>
        <w:pStyle w:val="TextoNormal"/>
      </w:pPr>
    </w:p>
    <w:p w14:paraId="337A903F" w14:textId="77777777" w:rsidR="003754FE" w:rsidRDefault="003754FE" w:rsidP="003754FE">
      <w:pPr>
        <w:pStyle w:val="TextoNormal"/>
      </w:pPr>
      <w:r>
        <w:t>d) Las medidas previstas en los subapartados 2, 4, 5, y 6 iv) supondrían, por su parte, la suspensión de los derechos a la integridad física (art. 15 CE) y a la intimidad personal (art. 18 CE). Estos derechos no están recogidos entre los que pueden ser suspendidos según el art. 55.1 CE. Los recurrentes consideran, por esta razón, que resultan radicalmente vulnerados por la norma impugnada puesto que sería, en todo caso, constitucionalmente ilegítimo el sometimiento a tratamiento, examen médico, pruebas diagnósticas y profilácticas de las personas enfermas o con síntomas sin contar con su consentimiento.</w:t>
      </w:r>
    </w:p>
    <w:p w14:paraId="162AE161" w14:textId="77777777" w:rsidR="003754FE" w:rsidRDefault="003754FE" w:rsidP="003754FE">
      <w:pPr>
        <w:pStyle w:val="TextoNormal"/>
      </w:pPr>
    </w:p>
    <w:p w14:paraId="049817AA" w14:textId="77777777" w:rsidR="003754FE" w:rsidRDefault="003754FE" w:rsidP="003754FE">
      <w:pPr>
        <w:pStyle w:val="TextoNormal"/>
      </w:pPr>
      <w:r>
        <w:t xml:space="preserve">Los actores entienden, en definitiva, que la regulación impugnada no desborda únicamente las facultades regulatorias del legislador autonómico; supera incluso las posibilidades de todo el complejo normativo formado por la legislación estatal (incluida la Ley Orgánica </w:t>
      </w:r>
      <w:r>
        <w:lastRenderedPageBreak/>
        <w:t>3/1986) y autonómica, al establecer medidas que, o bien están reservadas al estado de excepción o sitio (en relación con los derechos susceptibles de ser suspendidos) o bien están sencillamente proscritas constitucionalmente (en relación con los derechos no susceptibles de suspensión, que carecerían de un instrumento normativo, dentro de la Constitución, que permitiese canalizar injerencias de semejante intensidad).</w:t>
      </w:r>
    </w:p>
    <w:p w14:paraId="30F2ECDE" w14:textId="77777777" w:rsidR="003754FE" w:rsidRDefault="003754FE" w:rsidP="003754FE">
      <w:pPr>
        <w:pStyle w:val="TextoNormal"/>
      </w:pPr>
    </w:p>
    <w:p w14:paraId="5DB3E26D" w14:textId="77777777" w:rsidR="003754FE" w:rsidRDefault="003754FE" w:rsidP="003754FE">
      <w:pPr>
        <w:pStyle w:val="TextoNormal"/>
      </w:pPr>
      <w:r>
        <w:t>De acuerdo con esta argumentación, una intervención de alta intensidad en los derechos fundamentales a la libertad deambulatoria (art. 17 CE), a circular libremente por el territorio nacional (art. 19 CE) o al derecho de reunión (art. 21 CE), solo sería constitucionalmente asequible a un legislador de excepción, que habría de contar con el debido anclaje en una declaración de estado de excepción o de estado de sitio, siempre de acuerdo con lo dispuesto en los arts. 55.1 y 116 CE y en la Ley Orgánica 4/1981, de 1 de junio. Una intervención de la misma intensidad en el derecho a la integridad personal del art. 15 CE, que anulase las facultades decisorias de su titular en aras de la protección de la salud colectiva (como ocurre con la imposición de un tratamiento médico forzoso y, en particular, con la “imposición” de la vacunación), no sería, por su parte, constitucionalmente posible, pues dicho derecho fundamental no se encuentra entre los que son susceptibles de ser suspendidos y el legislador, incluso si es el orgánico del art. 81.1 CE, no puede arbitrar restricciones de tan alta intensidad.</w:t>
      </w:r>
    </w:p>
    <w:p w14:paraId="4A9C7EC5" w14:textId="77777777" w:rsidR="003754FE" w:rsidRDefault="003754FE" w:rsidP="003754FE">
      <w:pPr>
        <w:pStyle w:val="TextoNormal"/>
      </w:pPr>
    </w:p>
    <w:p w14:paraId="48545B1B" w14:textId="77777777" w:rsidR="003754FE" w:rsidRDefault="003754FE" w:rsidP="003754FE">
      <w:pPr>
        <w:pStyle w:val="TextoNormal"/>
      </w:pPr>
      <w:r>
        <w:t xml:space="preserve">Frente a ello, como también se recoge en los antecedentes, el letrado de la Xunta de Galicia y el letrado del Parlamento gallego alegan que la norma impugnada no implica la suspensión de los derechos fundamentales porque tiene incidencia únicamente en el territorio de Galicia y porque está sujeta, además, a requisitos de ejecución, fundamentalmente la sujeción al principio de proporcionalidad (art. 38 </w:t>
      </w:r>
      <w:r w:rsidRPr="003754FE">
        <w:rPr>
          <w:i/>
        </w:rPr>
        <w:t>ter</w:t>
      </w:r>
      <w:r>
        <w:t xml:space="preserve"> de la Ley 8/2008, no impugnado), que ajustan su alcance a las circunstancias y el contexto de cada caso, con el consiguiente control jurisdiccional a cargo de los jueces ordinarios.</w:t>
      </w:r>
    </w:p>
    <w:p w14:paraId="69D3A8EA" w14:textId="77777777" w:rsidR="003754FE" w:rsidRDefault="003754FE" w:rsidP="003754FE">
      <w:pPr>
        <w:pStyle w:val="TextoNormal"/>
      </w:pPr>
    </w:p>
    <w:p w14:paraId="4B545752" w14:textId="77777777" w:rsidR="003754FE" w:rsidRDefault="003754FE" w:rsidP="003754FE">
      <w:pPr>
        <w:pStyle w:val="TextoNormal"/>
      </w:pPr>
      <w:r>
        <w:t>B) Doctrina aplicable</w:t>
      </w:r>
    </w:p>
    <w:p w14:paraId="0302A01C" w14:textId="77777777" w:rsidR="003754FE" w:rsidRDefault="003754FE" w:rsidP="003754FE">
      <w:pPr>
        <w:pStyle w:val="TextoNormal"/>
      </w:pPr>
    </w:p>
    <w:p w14:paraId="34E5C0F4" w14:textId="77777777" w:rsidR="003754FE" w:rsidRDefault="003754FE" w:rsidP="003754FE">
      <w:pPr>
        <w:pStyle w:val="TextoNormal"/>
      </w:pPr>
      <w:r>
        <w:t>Para resolver la impugnación planteada por los recurrentes, se expondrá a continuación: a) la doctrina inicialmente establecida por este tribunal en la STC 148/2021, de 14 de julio, en relación con la diferenciación entre suspensión y restricción de derechos fundamentales según la intensidad de la injerencia; b) la doctrina posterior de este tribunal que ha ido estableciendo una caracterización distinta de las facultades de restricción legislativa de los derechos fundamentales en contextos de crisis sanitaria; c) la conclusión que cabe extraer de esa evolución doctrinal a efectos de determinar la doctrina aplicable al caso que ahora nos ocupa.</w:t>
      </w:r>
    </w:p>
    <w:p w14:paraId="34D9518F" w14:textId="77777777" w:rsidR="003754FE" w:rsidRDefault="003754FE" w:rsidP="003754FE">
      <w:pPr>
        <w:pStyle w:val="TextoNormal"/>
      </w:pPr>
    </w:p>
    <w:p w14:paraId="7709D252" w14:textId="77777777" w:rsidR="003754FE" w:rsidRDefault="003754FE" w:rsidP="003754FE">
      <w:pPr>
        <w:pStyle w:val="TextoNormal"/>
      </w:pPr>
      <w:r>
        <w:t>a) La doctrina de la STC 148/2021, de 14 de julio, en relación con la diferenciación entre suspensión y restricción de derechos fundamentales por razón de la intensidad de la injerencia</w:t>
      </w:r>
    </w:p>
    <w:p w14:paraId="1737DD33" w14:textId="77777777" w:rsidR="003754FE" w:rsidRDefault="003754FE" w:rsidP="003754FE">
      <w:pPr>
        <w:pStyle w:val="TextoNormal"/>
      </w:pPr>
    </w:p>
    <w:p w14:paraId="49BD06DC" w14:textId="77777777" w:rsidR="003754FE" w:rsidRDefault="003754FE" w:rsidP="003754FE">
      <w:pPr>
        <w:pStyle w:val="TextoNormal"/>
      </w:pPr>
      <w:r>
        <w:t xml:space="preserve">La interpretación que sostienen los recurrentes se corresponde, al menos en alguna medida, con el aparato teórico utilizado por este tribunal en la STC 148/2021, de 14 de julio. En dicha resolución la diferenciación entre la restricción y la suspensión de los derechos fundamentales fue, en efecto, trazada siguiendo el criterio preeminente de la intensidad de la injerencia misma, esto es, atendiendo a la gravedad del resultado limitativo producido. </w:t>
      </w:r>
      <w:r>
        <w:lastRenderedPageBreak/>
        <w:t>Las injerencias de especial intensidad en los derechos fundamentales solo podrían articularse, de acuerdo con este criterio diferenciador, como hipótesis de suspensión y mediante la declaración, según los casos, del estado de excepción o del estado de sitio.</w:t>
      </w:r>
    </w:p>
    <w:p w14:paraId="37A38B5F" w14:textId="77777777" w:rsidR="003754FE" w:rsidRDefault="003754FE" w:rsidP="003754FE">
      <w:pPr>
        <w:pStyle w:val="TextoNormal"/>
      </w:pPr>
    </w:p>
    <w:p w14:paraId="480D49CE" w14:textId="77777777" w:rsidR="003754FE" w:rsidRDefault="003754FE" w:rsidP="003754FE">
      <w:pPr>
        <w:pStyle w:val="TextoNormal"/>
      </w:pPr>
      <w:r>
        <w:t>La referida resolución, en su fundamento jurídico 4, destaca que la intensidad de la injerencia en el ámbito de un derecho fundamental es distinta según que se trate de una limitación establecida por la ley, de una limitación operada a través del decreto de estado de alarma o de una verdadera suspensión de derechos fundamentales; sostiene, asimismo, que a esta última figura estarían reservadas las intromisiones de altísima intensidad. Como especifica la sentencia, en el fundamento jurídico 5, la “altísima intensidad” de la injerencia sería, en definitiva, una de las características diferenciales de la suspensión y la restricción de derechos fundamentales.</w:t>
      </w:r>
    </w:p>
    <w:p w14:paraId="4D75A0FF" w14:textId="77777777" w:rsidR="003754FE" w:rsidRDefault="003754FE" w:rsidP="003754FE">
      <w:pPr>
        <w:pStyle w:val="TextoNormal"/>
      </w:pPr>
    </w:p>
    <w:p w14:paraId="72ABBFB6" w14:textId="77777777" w:rsidR="003754FE" w:rsidRDefault="003754FE" w:rsidP="003754FE">
      <w:pPr>
        <w:pStyle w:val="TextoNormal"/>
      </w:pPr>
      <w:r>
        <w:t xml:space="preserve">Ese criterio diferenciador —que obliga a determinar </w:t>
      </w:r>
      <w:r w:rsidRPr="003754FE">
        <w:rPr>
          <w:i/>
        </w:rPr>
        <w:t>ex ante</w:t>
      </w:r>
      <w:r>
        <w:t xml:space="preserve"> y en abstracto si una medida de intervención en el ámbito de un derecho fundamental es, por la intensidad del sacrificio impuesto, una mera restricción o una verdadera suspensión reservada a los estados de excepción y sitio— llevó a este tribunal a concluir, en la citada STC 148/2021, que el confinamiento domiciliario establecido por el art. 7 del Real Decreto 463/2020, de 14 de marzo, por el que se declaraba el estado de alarma para la gestión de la situación de crisis sanitaria ocasionada por el covid-19, vulneraba el derecho fundamental a la libre circulación por el territorio nacional (art. 19 CE), pues imponía una injerencia de tal magnitud que solo podía articularse, en un contexto de crisis sanitaria, a través de la suspensión del mencionado derecho y mediante la declaración del estado de excepción.</w:t>
      </w:r>
    </w:p>
    <w:p w14:paraId="44D8B021" w14:textId="77777777" w:rsidR="003754FE" w:rsidRDefault="003754FE" w:rsidP="003754FE">
      <w:pPr>
        <w:pStyle w:val="TextoNormal"/>
      </w:pPr>
    </w:p>
    <w:p w14:paraId="3B1B410E" w14:textId="77777777" w:rsidR="003754FE" w:rsidRDefault="003754FE" w:rsidP="003754FE">
      <w:pPr>
        <w:pStyle w:val="TextoNormal"/>
      </w:pPr>
      <w:r>
        <w:t>b) Evolución posterior de la doctrina constitucional en relación con las restricciones de derechos fundamentales en contextos de crisis sanitaria</w:t>
      </w:r>
    </w:p>
    <w:p w14:paraId="2F183B52" w14:textId="77777777" w:rsidR="003754FE" w:rsidRDefault="003754FE" w:rsidP="003754FE">
      <w:pPr>
        <w:pStyle w:val="TextoNormal"/>
      </w:pPr>
    </w:p>
    <w:p w14:paraId="62B4A88F" w14:textId="77777777" w:rsidR="003754FE" w:rsidRDefault="003754FE" w:rsidP="003754FE">
      <w:pPr>
        <w:pStyle w:val="TextoNormal"/>
      </w:pPr>
      <w:r>
        <w:t>Con posterioridad a la referida STC 148/2021, este tribunal ha tenido la oportunidad de profundizar en supuestos de restricción de derechos fundamentales ligados con contextos de crisis sanitarias, y ello tanto a propósito de derechos fundamentales susceptibles de ser suspendidos, como el derecho de reunión (art. 21 CE), como de otros no contemplados en el art. 55.1 CE, como es el caso, en particular, del derecho a la integridad personal (art. 15 CE).</w:t>
      </w:r>
    </w:p>
    <w:p w14:paraId="4983B674" w14:textId="77777777" w:rsidR="003754FE" w:rsidRDefault="003754FE" w:rsidP="003754FE">
      <w:pPr>
        <w:pStyle w:val="TextoNormal"/>
      </w:pPr>
    </w:p>
    <w:p w14:paraId="1E7370AE" w14:textId="77777777" w:rsidR="003754FE" w:rsidRDefault="003754FE" w:rsidP="003754FE">
      <w:pPr>
        <w:pStyle w:val="TextoNormal"/>
      </w:pPr>
      <w:r>
        <w:t>(i) En relación con el derecho de reunión, en la STC 61/2023, de 24 de mayo, este tribunal apreció que dicho derecho puede ser objeto de restricciones especialmente intensas por motivos preventivos de salud pública (art. 43 CE) siempre que se cumplan rigurosamente las exigencias del juicio de proporcionalidad. En la referida resolución concluimos que el riesgo de contagio en un contexto de grave incertidumbre sobre la propagación de una enfermedad transmisible puede llegar a justificar la prohibición de manifestaciones siempre que la decisión de la autoridad gubernativa se ajuste a las exigencias propias de los juicios de idoneidad, necesidad y proporcionalidad en sentido estricto (STC 61/2023, de 24 de mayo, FJ 3).</w:t>
      </w:r>
    </w:p>
    <w:p w14:paraId="6B6CF5AF" w14:textId="77777777" w:rsidR="003754FE" w:rsidRDefault="003754FE" w:rsidP="003754FE">
      <w:pPr>
        <w:pStyle w:val="TextoNormal"/>
      </w:pPr>
    </w:p>
    <w:p w14:paraId="728A39C8" w14:textId="77777777" w:rsidR="003754FE" w:rsidRDefault="003754FE" w:rsidP="003754FE">
      <w:pPr>
        <w:pStyle w:val="TextoNormal"/>
      </w:pPr>
      <w:r>
        <w:t>Esta doctrina ha sido reiterada en las SSTC 84/2023, de 5 de julio, FJ 3; 88/2023, de 18 de julio, FJ 4, y 164/2023, de 21 de noviembre, FJ 2.</w:t>
      </w:r>
    </w:p>
    <w:p w14:paraId="5A4CF8A7" w14:textId="77777777" w:rsidR="003754FE" w:rsidRDefault="003754FE" w:rsidP="003754FE">
      <w:pPr>
        <w:pStyle w:val="TextoNormal"/>
      </w:pPr>
    </w:p>
    <w:p w14:paraId="71106B60" w14:textId="77777777" w:rsidR="003754FE" w:rsidRDefault="003754FE" w:rsidP="003754FE">
      <w:pPr>
        <w:pStyle w:val="TextoNormal"/>
      </w:pPr>
      <w:r>
        <w:t xml:space="preserve">(ii) A su vez, en relación con el derecho a la integridad personal, en la STC 38/2023, de 20 de abril, se puso de manifiesto que la administración de una vacuna es “un acto sanitario </w:t>
      </w:r>
      <w:r>
        <w:lastRenderedPageBreak/>
        <w:t>que consiste en la inoculación de un ‘preparado’, de contenido variable, en el cuerpo humano a efectos de provocar una respuesta inmunitaria, por lo que su administración entra, con claridad, dentro de las facultades de autodeterminación garantizadas por el derecho a la integridad personal del art. 15 CE” y se advirtió, también, que se trata “de una actuación que puede producir efectos secundarios adversos (no deseados), aunque sean estadísticamente minoritarios, lo que determina, asimismo, un riesgo potencial para la salud, circunstancia que conduce, igualmente, al ámbito de protección que otorga este derecho fundamental” (FJ 4).</w:t>
      </w:r>
    </w:p>
    <w:p w14:paraId="3E3BCF27" w14:textId="77777777" w:rsidR="003754FE" w:rsidRDefault="003754FE" w:rsidP="003754FE">
      <w:pPr>
        <w:pStyle w:val="TextoNormal"/>
      </w:pPr>
    </w:p>
    <w:p w14:paraId="00D5E624" w14:textId="77777777" w:rsidR="003754FE" w:rsidRDefault="003754FE" w:rsidP="003754FE">
      <w:pPr>
        <w:pStyle w:val="TextoNormal"/>
      </w:pPr>
      <w:r>
        <w:t>No obstante, en la referida sentencia subrayamos los “múltiples intereses públicos relacionados con la vacunación” como “las repercusiones que un seguimiento masivo de las campañas de vacunación tiene en la viabilidad y la eficiencia del sistema sanitario mismo, a los efectos de limitar el número de usuarios de servicios asistenciales, o en la productividad económica, fundamentalmente con la limitación de las bajas laborales”, si bien destacamos en la misma resolución que “el interés colectivo prevalente a la hora de favorecer una vacunación masiva es, sin duda, su eficacia como herramienta preventiva en un contexto epidémico grave, pues una política efectiva de inmunización colectiva puede conducir, y así ha ocurrido históricamente, a la erradicación de las enfermedades infecto-contagiosas a través de la llamada ‘inmunidad de grupo’”, aspecto este de la política sanitaria que, añadimos entonces, “tiene indudable raigambre constitucional, pues el art. 43.2 CE exige a los poderes públicos ‘tutelar la salud pública a través de medidas preventivas’”, lo que hace “constitucionalmente legítimo el desarrollo de políticas públicas de favorecimiento de la vacunación” (FJ 5).</w:t>
      </w:r>
    </w:p>
    <w:p w14:paraId="4C74ADBA" w14:textId="77777777" w:rsidR="003754FE" w:rsidRDefault="003754FE" w:rsidP="003754FE">
      <w:pPr>
        <w:pStyle w:val="TextoNormal"/>
      </w:pPr>
    </w:p>
    <w:p w14:paraId="20D8A937" w14:textId="77777777" w:rsidR="003754FE" w:rsidRDefault="003754FE" w:rsidP="003754FE">
      <w:pPr>
        <w:pStyle w:val="TextoNormal"/>
      </w:pPr>
      <w:r>
        <w:t>En atención a estas consideraciones concluimos en la STC 38/2023 que “la administración no consentida de una vacuna queda supeditada al cumplimiento de los diversos requisitos que, de acuerdo con nuestra doctrina, rigen la restricción de los derechos fundamentales sustantivos, en particular la existencia de una habilitación legal precisa, con la debida calidad normativa en la definición del supuesto de hecho y de sus consecuencias, y el respeto al principio de proporcionalidad”.</w:t>
      </w:r>
    </w:p>
    <w:p w14:paraId="67276CB8" w14:textId="77777777" w:rsidR="003754FE" w:rsidRDefault="003754FE" w:rsidP="003754FE">
      <w:pPr>
        <w:pStyle w:val="TextoNormal"/>
      </w:pPr>
    </w:p>
    <w:p w14:paraId="2AB29804" w14:textId="77777777" w:rsidR="003754FE" w:rsidRDefault="003754FE" w:rsidP="003754FE">
      <w:pPr>
        <w:pStyle w:val="TextoNormal"/>
      </w:pPr>
      <w:r>
        <w:t>Esta doctrina ha sido reiterada, entre otras, por las SSTC 74/2023, de 19 de junio, FJ único;148/2023, de 6 de noviembre, FJ 4; 163/2023, de 20 de noviembre, FJ único; 4/2024, de 15 de enero, FJ 2, y 71/2024, de 6 de mayo, FJ único.</w:t>
      </w:r>
    </w:p>
    <w:p w14:paraId="3547BBE3" w14:textId="77777777" w:rsidR="003754FE" w:rsidRDefault="003754FE" w:rsidP="003754FE">
      <w:pPr>
        <w:pStyle w:val="TextoNormal"/>
      </w:pPr>
    </w:p>
    <w:p w14:paraId="69AE7813" w14:textId="77777777" w:rsidR="003754FE" w:rsidRDefault="003754FE" w:rsidP="003754FE">
      <w:pPr>
        <w:pStyle w:val="TextoNormal"/>
      </w:pPr>
      <w:r>
        <w:t>c) Doctrina aplicable a la resolución de la impugnación a la vista de la evolución experimentada en la jurisprudencia constitucional</w:t>
      </w:r>
    </w:p>
    <w:p w14:paraId="1894A1E4" w14:textId="77777777" w:rsidR="003754FE" w:rsidRDefault="003754FE" w:rsidP="003754FE">
      <w:pPr>
        <w:pStyle w:val="TextoNormal"/>
      </w:pPr>
    </w:p>
    <w:p w14:paraId="28A0868A" w14:textId="77777777" w:rsidR="003754FE" w:rsidRDefault="003754FE" w:rsidP="003754FE">
      <w:pPr>
        <w:pStyle w:val="TextoNormal"/>
      </w:pPr>
      <w:r>
        <w:t>La doctrina que hemos ido desarrollando sobre la limitación de derechos fundamentales por motivos de salud pública en contextos sanitarios con posterioridad a la STC 148/2021, recogida en las referidas SSTC 38/2023 y 61/2023 (y posteriores ya citadas), pone de relieve la falta de operatividad real de una diferenciación entre la suspensión y la restricción de los derechos fundamentales basada en el grado de intensidad de la injerencia misma. La realidad práctica, que este tribunal no puede ignorar sin incurrir en una abstracta e inservible jurisprudencia de conceptos, muestra que son posibles restricciones de altísima intensidad, por razones de salud pública, en los derechos fundamentales, sean estos susceptibles o no de ser suspendidos al amparo del art. 55.1 CE. A la vista de la evolución experimentada en la doctrina de este tribunal, han de establecerse las siguientes conclusiones doctrinales:</w:t>
      </w:r>
    </w:p>
    <w:p w14:paraId="533EE4AE" w14:textId="77777777" w:rsidR="003754FE" w:rsidRDefault="003754FE" w:rsidP="003754FE">
      <w:pPr>
        <w:pStyle w:val="TextoNormal"/>
      </w:pPr>
    </w:p>
    <w:p w14:paraId="5D41A5A5" w14:textId="77777777" w:rsidR="003754FE" w:rsidRDefault="003754FE" w:rsidP="003754FE">
      <w:pPr>
        <w:pStyle w:val="TextoNormal"/>
      </w:pPr>
      <w:r>
        <w:t>(i) El legislador sanitario está habilitado por el art. 43 CE para prever medidas de intervención en los derechos fundamentales de intensidad muy variable, según las necesidades preventivas que el citado precepto invoca expresamente. Dichas medidas han de permitir a las administraciones competentes “tutelar la salud pública”, lo que implica la posibilidad de gestionar, con las herramientas necesarias para ello, las diversas situaciones de crisis sanitaria, en sus distintas escalas. Estamos, en realidad, ante una de las formas clásicas de intervención pública en el ámbito del Derecho administrativo sanitario, expresada, ya desde antiguo, en la máxim</w:t>
      </w:r>
      <w:r w:rsidRPr="003754FE">
        <w:rPr>
          <w:i/>
        </w:rPr>
        <w:t>a salus populi suprema lex e</w:t>
      </w:r>
      <w:r>
        <w:t>st.</w:t>
      </w:r>
    </w:p>
    <w:p w14:paraId="596E56C1" w14:textId="77777777" w:rsidR="003754FE" w:rsidRDefault="003754FE" w:rsidP="003754FE">
      <w:pPr>
        <w:pStyle w:val="TextoNormal"/>
      </w:pPr>
    </w:p>
    <w:p w14:paraId="54376314" w14:textId="77777777" w:rsidR="003754FE" w:rsidRDefault="003754FE" w:rsidP="003754FE">
      <w:pPr>
        <w:pStyle w:val="TextoNormal"/>
      </w:pPr>
      <w:r>
        <w:t>Una restricción legislativa de alta intensidad en los derechos fundamentales puede ser, por ello, constitucionalmente admisible, siempre que respete el régimen de garantías previsto en el art. 53.1 CE, en particular la sumisión a reserva de ley (sin que el precepto constitucional distinga reservas de distinta amplitud en función de que los derechos afectados sean o no susceptibles de suspensión), y el respeto al contenido esencial. Como señalamos en la citada STC 38/2023, de 20 de abril, el legislador puede, en particular, establecer supuestos de hecho cualificados en los que la administración sanitaria deba sacrificar la facultad individual, directamente derivada del art. 15 CE, de autodeterminarse en relación con la administración de una vacuna ante la necesidad apremiante de controlar la propagación de una enfermedad infectocontagiosa grave, esto es, por razones imperiosas de salud pública (art. 43 CE) siempre que se preserve la debida relación de proporcionalidad entre el grado de libertad sacrificado y el grado satisfacción obtenido desde el punto de vista del interés colectivo.</w:t>
      </w:r>
    </w:p>
    <w:p w14:paraId="2C097D0F" w14:textId="77777777" w:rsidR="003754FE" w:rsidRDefault="003754FE" w:rsidP="003754FE">
      <w:pPr>
        <w:pStyle w:val="TextoNormal"/>
      </w:pPr>
    </w:p>
    <w:p w14:paraId="1942B4B2" w14:textId="77777777" w:rsidR="003754FE" w:rsidRDefault="003754FE" w:rsidP="003754FE">
      <w:pPr>
        <w:pStyle w:val="TextoNormal"/>
      </w:pPr>
      <w:r>
        <w:t>La debida protección de los bienes jurídicos contemplados en el art. 43 CE, no precisa, en suma, de la concurrencia de una situación de “anormalidad constitucional”, en la expresión utilizada en la STC 83/2016, de 28 de abril, FJ 7, como la que presupone la suspensión de derechos fundamentales a través de la declaración del estado de excepción o el estado de sitio. Se somete, eso sí, imperativamente al régimen de garantías propio de las restricciones de los derechos fundamentales, tanto a garantías formales —como la reserva de ley y la necesaria certidumbre en la definición del supuesto de hecho y de sus consecuencias limitativas— como a garantías materiales —muy especialmente, en lo que a la intensidad de la injerencia se refiere, la aplicación del juicio de proporcionalidad, como técnica de “restricción de las restricciones” o “límite de los límites” (STC 28/2020, de 24 de febrero, FJ 5), que asegura que la limitación establecida no vaya más allá de lo necesario—.</w:t>
      </w:r>
    </w:p>
    <w:p w14:paraId="351F19FF" w14:textId="77777777" w:rsidR="003754FE" w:rsidRDefault="003754FE" w:rsidP="003754FE">
      <w:pPr>
        <w:pStyle w:val="TextoNormal"/>
      </w:pPr>
    </w:p>
    <w:p w14:paraId="343E8210" w14:textId="77777777" w:rsidR="003754FE" w:rsidRDefault="003754FE" w:rsidP="003754FE">
      <w:pPr>
        <w:pStyle w:val="TextoNormal"/>
      </w:pPr>
      <w:r>
        <w:t>Lo que la Constitución exige al legislador en cuanto a la restricción de derechos fundamentales no es, en definitiva, que se ciña a un determinado círculo abstracto de injerencia, sino que minimice esta, circunscribiéndola a lo estrictamente necesario según las exigencias del contexto.</w:t>
      </w:r>
    </w:p>
    <w:p w14:paraId="59BF085E" w14:textId="77777777" w:rsidR="003754FE" w:rsidRDefault="003754FE" w:rsidP="003754FE">
      <w:pPr>
        <w:pStyle w:val="TextoNormal"/>
      </w:pPr>
    </w:p>
    <w:p w14:paraId="19F89951" w14:textId="77777777" w:rsidR="003754FE" w:rsidRDefault="003754FE" w:rsidP="003754FE">
      <w:pPr>
        <w:pStyle w:val="TextoNormal"/>
      </w:pPr>
      <w:r>
        <w:t>(ii) Lo anterior ha de entenderse sin perjuicio de que las restricciones de derechos fundamentales puedan articularse, en las situaciones de urgencia previstas en la Ley Orgánica 4/1981, mediante la declaración del estado de alarma. Así podrá ocurrir, de hecho, cuando la escala y urgencia de la crisis generada no permita acudir, para articular una respuesta restrictiva eficiente, al procedimiento legislativo o cuando deba ser el Estado el que asuma y aglutine las potestades necesarias para enfrentarse a dicha crisis, sin necesidad de sujetarse al orden constitucional de distribución de competencias.</w:t>
      </w:r>
    </w:p>
    <w:p w14:paraId="39156EF6" w14:textId="77777777" w:rsidR="003754FE" w:rsidRDefault="003754FE" w:rsidP="003754FE">
      <w:pPr>
        <w:pStyle w:val="TextoNormal"/>
      </w:pPr>
    </w:p>
    <w:p w14:paraId="084BD91D" w14:textId="77777777" w:rsidR="003754FE" w:rsidRDefault="003754FE" w:rsidP="003754FE">
      <w:pPr>
        <w:pStyle w:val="TextoNormal"/>
      </w:pPr>
      <w:r>
        <w:t>El estado de alarma autoriza, en definitiva, a restringir los derechos fundamentales dispensando, por la particular urgencia de la situación de crisis afrontada, del cumplimiento de ciertos requisitos formales, que son imperativos en situación de normalidad, como la reserva de ley parlamentaria (arts. 81.1 y 53.1 CE) o la sujeción al orden constitucional de distribución territorial de competencias. Sin embargo, en relación con la intensidad de la injerencia, la restricción articulada a través de la declaración del estado de alarma no tiene particularidades propias y se encuentra sometida, en todo caso, como cualquier otra restricción de derechos fundamentales, a las exigencias del principio de proporcionalidad.</w:t>
      </w:r>
    </w:p>
    <w:p w14:paraId="64D3FEB6" w14:textId="77777777" w:rsidR="003754FE" w:rsidRDefault="003754FE" w:rsidP="003754FE">
      <w:pPr>
        <w:pStyle w:val="TextoNormal"/>
      </w:pPr>
    </w:p>
    <w:p w14:paraId="53291286" w14:textId="77777777" w:rsidR="003754FE" w:rsidRDefault="003754FE" w:rsidP="003754FE">
      <w:pPr>
        <w:pStyle w:val="TextoNormal"/>
      </w:pPr>
      <w:r>
        <w:t>(iii) Finalmente, la suspensión de los derechos fundamentales que puede articularse a través de los estados de excepción y sitio de acuerdo con el art. 55.1 CE no constituye, en cambio, una restricción legislativa, sometida a juicio de proporcionalidad, del ámbito de protección conferido por el derecho fundamental, pues se trata de la suspensión transitoria y excepcional de la eficacia del derecho mismo. Tiene, por ello, un régimen constitucional distinto, caracterizado por controles específicos, que no son ya los generalmente previstos en el art. 53 CE para el legislador de los derechos fundamentales, sino los que derivan del art. 116 CE y su ley orgánica de desarrollo, concretamente: (i) la limitación temporal estricta, ya que la suspensión de la eficacia de determinados preceptos constitucionales no puede mantenerse indefinida en el tiempo sin cuestionar la vigencia de la Constitución misma; (ii) el control político cualificado que resulta tanto del propio artículo 116 CE como de la Ley Orgánica 4/1981, de 1 de junio; y (iii) el control jurídico de la concurrencia del presupuesto de hecho habilitante, pues la suspensión de los derechos fundamentales solo ha de ser posible en situaciones realmente excepcionales y anómalas, cuya delimitación ha de ser sumamente estricta.</w:t>
      </w:r>
    </w:p>
    <w:p w14:paraId="63B26679" w14:textId="77777777" w:rsidR="003754FE" w:rsidRDefault="003754FE" w:rsidP="003754FE">
      <w:pPr>
        <w:pStyle w:val="TextoNormal"/>
      </w:pPr>
    </w:p>
    <w:p w14:paraId="20C7CBF0" w14:textId="77777777" w:rsidR="003754FE" w:rsidRDefault="003754FE" w:rsidP="003754FE">
      <w:pPr>
        <w:pStyle w:val="TextoNormal"/>
      </w:pPr>
      <w:r>
        <w:t>En definitiva, de acuerdo con la evolución de nuestra propia jurisprudencia, hemos de considerar superada la doctrina fijada en al STC 148/2021, en el sentido siguiente: la intensidad de la injerencia en el ámbito del derecho fundamental no es un criterio determinante de la diferenciación constitucional entre la suspensión y la restricción de derechos fundamentales, por lo que una ley de restricción, incluido (cuando así sea procedente) el propio decreto de estado de alarma, puede establecer limitaciones de alta intensidad en los derechos fundamentales siempre y cuando se ajuste a los requisitos constitucionales necesarios y, en particular, siempre que respete el principio de proporcionalidad.</w:t>
      </w:r>
    </w:p>
    <w:p w14:paraId="69573EB6" w14:textId="77777777" w:rsidR="003754FE" w:rsidRDefault="003754FE" w:rsidP="003754FE">
      <w:pPr>
        <w:pStyle w:val="TextoNormal"/>
      </w:pPr>
    </w:p>
    <w:p w14:paraId="4F3407B3" w14:textId="77777777" w:rsidR="003754FE" w:rsidRDefault="003754FE" w:rsidP="003754FE">
      <w:pPr>
        <w:pStyle w:val="TextoNormal"/>
      </w:pPr>
      <w:r>
        <w:t>C) Resolución de la impugnación</w:t>
      </w:r>
    </w:p>
    <w:p w14:paraId="2E776D92" w14:textId="77777777" w:rsidR="003754FE" w:rsidRDefault="003754FE" w:rsidP="003754FE">
      <w:pPr>
        <w:pStyle w:val="TextoNormal"/>
      </w:pPr>
    </w:p>
    <w:p w14:paraId="278CA2A5" w14:textId="77777777" w:rsidR="003754FE" w:rsidRDefault="003754FE" w:rsidP="003754FE">
      <w:pPr>
        <w:pStyle w:val="TextoNormal"/>
      </w:pPr>
      <w:r>
        <w:t>De acuerdo con lo que acaba de exponerse, y en contraste con lo que sostienen los recurrentes, la suspensión y la restricción de los derechos fundamentales no pueden distinguirse abstractamente por la intensidad de la injerencia impuesta, razón por la cual podemos desestimar de plano la alegación de inconstitucionalidad formulada con este concreto fundamento.</w:t>
      </w:r>
    </w:p>
    <w:p w14:paraId="4544A168" w14:textId="77777777" w:rsidR="003754FE" w:rsidRDefault="003754FE" w:rsidP="003754FE">
      <w:pPr>
        <w:pStyle w:val="TextoNormal"/>
      </w:pPr>
    </w:p>
    <w:p w14:paraId="355DABB9" w14:textId="77777777" w:rsidR="003754FE" w:rsidRDefault="003754FE" w:rsidP="003754FE">
      <w:pPr>
        <w:pStyle w:val="TextoNormal"/>
      </w:pPr>
      <w:r>
        <w:t xml:space="preserve">Es claro que el legislador gallego ha previsto en el art. 38.2 b) de la Ley 8/2008 medidas de intervención concretas, diseñadas para supuestos de hecho que están delimitados en abstracto por su relación con situaciones graves de crisis sanitaria. Las medidas previstas están, además, expresamente sujetas, en su concreta aplicación práctica, al principio de proporcionalidad (art. 38 </w:t>
      </w:r>
      <w:r w:rsidRPr="003754FE">
        <w:rPr>
          <w:i/>
        </w:rPr>
        <w:t>ter</w:t>
      </w:r>
      <w:r>
        <w:t xml:space="preserve">) y están sometidas, en todo caso, al debido control judicial. Se articulan, </w:t>
      </w:r>
      <w:r>
        <w:lastRenderedPageBreak/>
        <w:t>en definitiva, como supuestos legislativos de restricción de derechos fundamentales que tienen la finalidad de proteger la salud colectiva y cuya intensidad queda modulada por la aplicación del principio de proporcionalidad. Como queda dicho, el hecho de que alguna de las medidas previstas pueda tener un contenido limitativo especialmente intenso no afecta a su calificación jurídico-constitucional como “restricciones” ni implica, en modo alguno, la previa declaración de estado de excepción o estado de sitio (en relación con los derechos fundamentales expresamente contemplados en el art. 55.1 CE).</w:t>
      </w:r>
    </w:p>
    <w:p w14:paraId="21234B23" w14:textId="77777777" w:rsidR="003754FE" w:rsidRDefault="003754FE" w:rsidP="003754FE">
      <w:pPr>
        <w:pStyle w:val="TextoNormal"/>
      </w:pPr>
    </w:p>
    <w:p w14:paraId="56676AB2" w14:textId="73554DA3" w:rsidR="003754FE" w:rsidRDefault="003754FE" w:rsidP="003754FE">
      <w:pPr>
        <w:pStyle w:val="TextoNormal"/>
      </w:pPr>
      <w:r>
        <w:t>La esencia del presente proceso constitucional se centra, en realidad, en determinar si esas hipótesis de restricción (que no suspensión) de derechos fundamentales arbitradas por la Ley 8/2021 cumplen con uno de los requisitos formales más relevantes de nuestro sistema constitucional: la reserva de ley orgánica del art. 81.1 CE.</w:t>
      </w:r>
    </w:p>
    <w:p w14:paraId="7E0127DB" w14:textId="77777777" w:rsidR="003754FE" w:rsidRDefault="003754FE" w:rsidP="003754FE">
      <w:pPr>
        <w:pStyle w:val="TextoNormal"/>
      </w:pPr>
    </w:p>
    <w:p w14:paraId="5984E021" w14:textId="77777777" w:rsidR="003754FE" w:rsidRDefault="003754FE" w:rsidP="003754FE">
      <w:pPr>
        <w:pStyle w:val="TextoNormal"/>
      </w:pPr>
      <w:r w:rsidRPr="003754FE">
        <w:rPr>
          <w:rStyle w:val="NumeroAFNegritaCaracter"/>
        </w:rPr>
        <w:t>5</w:t>
      </w:r>
      <w:r>
        <w:t xml:space="preserve">. </w:t>
      </w:r>
      <w:r w:rsidRPr="003754FE">
        <w:rPr>
          <w:i/>
        </w:rPr>
        <w:t>Infracción de la reserva de ley orgánica para el desarrollo de los derechos fundamentales (art. 81.1 CE)</w:t>
      </w:r>
    </w:p>
    <w:p w14:paraId="198CFDC4" w14:textId="77777777" w:rsidR="003754FE" w:rsidRDefault="003754FE" w:rsidP="003754FE">
      <w:pPr>
        <w:pStyle w:val="TextoNormal"/>
      </w:pPr>
    </w:p>
    <w:p w14:paraId="2240AC41" w14:textId="77777777" w:rsidR="003754FE" w:rsidRDefault="003754FE" w:rsidP="003754FE">
      <w:pPr>
        <w:pStyle w:val="TextoNormal"/>
      </w:pPr>
      <w:r>
        <w:t>5.1. Delimitación de la impugnación</w:t>
      </w:r>
    </w:p>
    <w:p w14:paraId="427D91F6" w14:textId="77777777" w:rsidR="003754FE" w:rsidRDefault="003754FE" w:rsidP="003754FE">
      <w:pPr>
        <w:pStyle w:val="TextoNormal"/>
      </w:pPr>
    </w:p>
    <w:p w14:paraId="455DA8B0" w14:textId="77777777" w:rsidR="003754FE" w:rsidRDefault="003754FE" w:rsidP="003754FE">
      <w:pPr>
        <w:pStyle w:val="TextoNormal"/>
      </w:pPr>
      <w:r>
        <w:t>Como se explica con detalle en los antecedentes, los recurrentes alegan, como motivo subsidiario del que acaba de ser desestimado, que las medidas contenidas en el art. 38.2 b) inciso segundo de la Ley 8/2008, introducidas por la Ley del Parlamento de Galica 8/2021, infringen la reserva de ley orgánica del art. 81.1 CE. Argumentan, al efecto, que la Ley Orgánica 3/1986, de 14 de abril, de medidas especiales en materia de salud pública, “no efectúa remisión alguna al legislador autonómico” y que la norma impugnada desborda los “aspectos meramente complementarios”, pues introduce medidas concretas que no están previstas en la mencionada ley orgánica estatal. Añaden que esa labor de “complemento” de la regulación orgánica carece, en todo caso, de la debida cobertura en un título competencial propio. Sin esa cobertura, añaden, la colaboración de la ley autonómica en la regulación de los derechos fundamentales sujetos a reserva de ley orgánica carece de toda legitimidad constitucional.</w:t>
      </w:r>
    </w:p>
    <w:p w14:paraId="3C29C99B" w14:textId="77777777" w:rsidR="003754FE" w:rsidRDefault="003754FE" w:rsidP="003754FE">
      <w:pPr>
        <w:pStyle w:val="TextoNormal"/>
      </w:pPr>
    </w:p>
    <w:p w14:paraId="14C0F35D" w14:textId="77777777" w:rsidR="003754FE" w:rsidRDefault="003754FE" w:rsidP="003754FE">
      <w:pPr>
        <w:pStyle w:val="TextoNormal"/>
      </w:pPr>
      <w:r>
        <w:t>Según puede comprobarse, las alegaciones de los recurrentes contienen argumentos de diverso signo. Algunos de ellos están estrictamente referidos a la vulneración del sistema constitucional de fuentes, en cuanto los actores consideran que las medidas incluidas en el art. 38.2 b) inciso segundo de la Ley 8/2008, solo pueden ser introducidas mediante una ley orgánica. Otros argumentos utilizados en el recurso de inconstitucionalidad se apoyan, en cambio, en la consideración de que la Comunidad Autónoma de Galicia carece de competencias para materializar una regulación legal que complemente lo ya dispuesto en la Ley Orgánica 3/1986, de 14 de abril. La norma impugnada invadiría, según se afirma, las competencias estatales contempladas en el art. 149.1.1 y 16 CE. Ambos planos de análisis deben ser, sin embargo, deslindados.</w:t>
      </w:r>
    </w:p>
    <w:p w14:paraId="763782DA" w14:textId="77777777" w:rsidR="003754FE" w:rsidRDefault="003754FE" w:rsidP="003754FE">
      <w:pPr>
        <w:pStyle w:val="TextoNormal"/>
      </w:pPr>
    </w:p>
    <w:p w14:paraId="6505496D" w14:textId="77777777" w:rsidR="003754FE" w:rsidRDefault="003754FE" w:rsidP="003754FE">
      <w:pPr>
        <w:pStyle w:val="TextoNormal"/>
      </w:pPr>
      <w:r>
        <w:t xml:space="preserve">Aunque en un primer momento, “la cuestión relativa a la fijación del ámbito de la reserva de ley orgánica en función o no de los títulos competenciales atribuidos al Estado por el art. 149.1 y 3 CE”, no fue objeto, en nuestra doctrina, de una jurisprudencia “rectilínea” (en expresión utilizada en la STC 173/1998, de 23 de julio, FJ 7), dicha cuestión cuenta, en la actualidad, con un cuerpo de doctrina suficientemente consolidado. Tal doctrina parte de la consideración de que la determinación del ámbito propio de la reserva de ley orgánica, como </w:t>
      </w:r>
      <w:r>
        <w:lastRenderedPageBreak/>
        <w:t>cuestión atinente al sistema de fuentes, es un presupuesto previo del examen estrictamente competencial.</w:t>
      </w:r>
    </w:p>
    <w:p w14:paraId="7AF06502" w14:textId="77777777" w:rsidR="003754FE" w:rsidRDefault="003754FE" w:rsidP="003754FE">
      <w:pPr>
        <w:pStyle w:val="TextoNormal"/>
      </w:pPr>
    </w:p>
    <w:p w14:paraId="796FC982" w14:textId="77777777" w:rsidR="003754FE" w:rsidRDefault="003754FE" w:rsidP="003754FE">
      <w:pPr>
        <w:pStyle w:val="TextoNormal"/>
      </w:pPr>
      <w:r>
        <w:t xml:space="preserve">Como señalamos en las SSTC 173/1998, de 23 de julio, FJ 7; 133/2006, de 27 de abril, FJ 2, y 135/2006, de 27 de abril, FJ 2 c), la técnica de la reserva de ley tiene hoy, como tuvo en su origen y en su evolución histórica, una naturaleza distinta de la que poseen las reglas de atribución de competencia. El contenido y la finalidad de ambas figuras ha sido y es sustancialmente diverso, por lo que la reserva de ley orgánica del art. 81.1 CE no contiene, en puridad, ningún título competencial habilitante a favor del Estado. Ahora bien, como establecimos en las referidas resoluciones, esto no impide apreciar la notable incidencia que esta reserva tiene en el orden competencial, pues “en virtud del art. 81.1 CE, solo el Estado puede dictar esta forma de leyes en desarrollo de los derechos fundamentales y libertades públicas y que las comunidades autónomas al ejercer sus competencias deben respetar el contenido de las mismas so pena de incurrir en un vicio de inconstitucionalidad por vulneración del art. 81.1 CE”. Por ello, concluimos en las referidas resoluciones que el “ámbito reservado al Estado </w:t>
      </w:r>
      <w:r w:rsidRPr="003754FE">
        <w:rPr>
          <w:i/>
        </w:rPr>
        <w:t>ex</w:t>
      </w:r>
      <w:r>
        <w:t xml:space="preserve"> art. 81.1 CE y las normas que las Cortes Generales pueden dictar en su ejercicio constituyen un </w:t>
      </w:r>
      <w:r w:rsidRPr="003754FE">
        <w:rPr>
          <w:i/>
        </w:rPr>
        <w:t>prius</w:t>
      </w:r>
      <w:r>
        <w:t xml:space="preserve"> del que necesariamente debe partir la comunidad autónoma al regular” [SSTC 173/1998, de 23 de julio, FJ 6, y 135/2006, de 27 de abril, FJ 2 b)].</w:t>
      </w:r>
    </w:p>
    <w:p w14:paraId="1F362F0F" w14:textId="77777777" w:rsidR="003754FE" w:rsidRDefault="003754FE" w:rsidP="003754FE">
      <w:pPr>
        <w:pStyle w:val="TextoNormal"/>
      </w:pPr>
    </w:p>
    <w:p w14:paraId="4A368A7A" w14:textId="77777777" w:rsidR="003754FE" w:rsidRDefault="003754FE" w:rsidP="003754FE">
      <w:pPr>
        <w:pStyle w:val="TextoNormal"/>
      </w:pPr>
      <w:r>
        <w:t>De acuerdo con esta doctrina, nuestro examen debe dividirse, tal y como quedó anticipado en el fundamento jurídico 3 y tal y como hemos hecho en otros supuestos similares de impugnación fundada en la infracción simultánea del art. 81.1 CE y del art. 1491.1.1 CE (</w:t>
      </w:r>
      <w:r w:rsidRPr="003754FE">
        <w:rPr>
          <w:i/>
        </w:rPr>
        <w:t>vid</w:t>
      </w:r>
      <w:r>
        <w:t>. STC 44/2024, de 12 de marzo, FJ 5), en dos planos distintos: (i) el propio de la reserva de ley orgánica en sentido estricto, lo que exige dilucidar si el art. 38.2 b) inciso segundo de la Ley 8/2008, invade el espacio reservado al legislador orgánico por el art. 81.1 CE, cuestión a la que dedicaremos el presente fundamento jurídico; (ii) el plano estrictamente competencial, que solo puede proyectarse sobre aquellos contenidos de la regulación impugnada que previamente se considere que no están reservados al legislador orgánico, cuestión esta de la que nos ocuparemos, de resultar preciso, en un fundamento jurídico distinto.</w:t>
      </w:r>
    </w:p>
    <w:p w14:paraId="1516D411" w14:textId="77777777" w:rsidR="003754FE" w:rsidRDefault="003754FE" w:rsidP="003754FE">
      <w:pPr>
        <w:pStyle w:val="TextoNormal"/>
      </w:pPr>
    </w:p>
    <w:p w14:paraId="4A2F1BAF" w14:textId="77777777" w:rsidR="003754FE" w:rsidRDefault="003754FE" w:rsidP="003754FE">
      <w:pPr>
        <w:pStyle w:val="TextoNormal"/>
      </w:pPr>
      <w:r>
        <w:t>5.2. Doctrina aplicable</w:t>
      </w:r>
    </w:p>
    <w:p w14:paraId="6E17A4AE" w14:textId="77777777" w:rsidR="003754FE" w:rsidRDefault="003754FE" w:rsidP="003754FE">
      <w:pPr>
        <w:pStyle w:val="TextoNormal"/>
      </w:pPr>
    </w:p>
    <w:p w14:paraId="1325594F" w14:textId="77777777" w:rsidR="003754FE" w:rsidRDefault="003754FE" w:rsidP="003754FE">
      <w:pPr>
        <w:pStyle w:val="TextoNormal"/>
      </w:pPr>
      <w:r>
        <w:t>La interpretación del alcance de la reserva de ley orgánica se antepone, según acaba de exponerse, al análisis estrictamente competencial, pues este siempre ha de proyectarse sobre regulaciones legales que, por su propio contenido, queden fuera del espacio reservado al legislador orgánico. Conviene, por ello, realizar, como antesala de nuestro enjuiciamiento, una somera síntesis de la doctrina elaborada por este tribunal en relación con la concreta reserva establecida en el art. 81.1 CE.</w:t>
      </w:r>
    </w:p>
    <w:p w14:paraId="1D83C4DA" w14:textId="77777777" w:rsidR="003754FE" w:rsidRDefault="003754FE" w:rsidP="003754FE">
      <w:pPr>
        <w:pStyle w:val="TextoNormal"/>
      </w:pPr>
    </w:p>
    <w:p w14:paraId="3AB3EB44" w14:textId="77777777" w:rsidR="003754FE" w:rsidRDefault="003754FE" w:rsidP="003754FE">
      <w:pPr>
        <w:pStyle w:val="TextoNormal"/>
      </w:pPr>
      <w:r>
        <w:t>Dicho análisis lo centraremos en los siguientes aspectos: A) el principio de interpretación restrictiva que rige la interpretación de la referida reserva a los fines de preservar el principio democrático y evitar petrificaciones del ordenamiento jurídico; B) el criterio delimitador general del ámbito de la reserva, basado en el binomio desarrollo directo/ regulación complementaria, con específica referencia a su significado particular en el ámbito de las restricciones de derechos fundamentales; C) los criterios interpretativos auxiliares que, de acuerdo con nuestra doctrina, sirven para perfilar en cada caso concreto ese criterio delimitador general.</w:t>
      </w:r>
    </w:p>
    <w:p w14:paraId="1C8884A6" w14:textId="77777777" w:rsidR="003754FE" w:rsidRDefault="003754FE" w:rsidP="003754FE">
      <w:pPr>
        <w:pStyle w:val="TextoNormal"/>
      </w:pPr>
    </w:p>
    <w:p w14:paraId="39242B5F" w14:textId="77777777" w:rsidR="003754FE" w:rsidRDefault="003754FE" w:rsidP="003754FE">
      <w:pPr>
        <w:pStyle w:val="TextoNormal"/>
      </w:pPr>
      <w:r>
        <w:lastRenderedPageBreak/>
        <w:t>A) Principio de interpretación restrictiva</w:t>
      </w:r>
    </w:p>
    <w:p w14:paraId="1DB9421F" w14:textId="77777777" w:rsidR="003754FE" w:rsidRDefault="003754FE" w:rsidP="003754FE">
      <w:pPr>
        <w:pStyle w:val="TextoNormal"/>
      </w:pPr>
    </w:p>
    <w:p w14:paraId="4ADF07B7" w14:textId="77777777" w:rsidR="003754FE" w:rsidRDefault="003754FE" w:rsidP="003754FE">
      <w:pPr>
        <w:pStyle w:val="TextoNormal"/>
      </w:pPr>
      <w:r>
        <w:t>Desde un primer momento, este tribunal ha rechazado la posibilidad de interpretar de modo puramente formal las distintas reservas de ley orgánica contenidas en el texto constitucional, pues una interpretación de ese tipo “[l]levada a su extremo, […] podría producir en el ordenamiento jurídico una petrificación abusiva en beneficio de quienes en un momento dado gozasen de la mayoría parlamentaria suficiente y en detrimento del carácter democrático del Estado” [SSTC 76/1983, de 5 de agosto, FJ 2 b); 224/1993, de 1 de julio, FJ 2, y 127/1994, de 5 de mayo, FJ 3].</w:t>
      </w:r>
    </w:p>
    <w:p w14:paraId="1B13033C" w14:textId="77777777" w:rsidR="003754FE" w:rsidRDefault="003754FE" w:rsidP="003754FE">
      <w:pPr>
        <w:pStyle w:val="TextoNormal"/>
      </w:pPr>
    </w:p>
    <w:p w14:paraId="50CCDC49" w14:textId="77777777" w:rsidR="003754FE" w:rsidRDefault="003754FE" w:rsidP="003754FE">
      <w:pPr>
        <w:pStyle w:val="TextoNormal"/>
      </w:pPr>
      <w:r>
        <w:t>Hemos afirmado, para justificar esta opción interpretativa, que “nuestra Constitución ha instaurado una democracia basada en el juego de las mayorías, previendo tan sólo para supuestos tasados y excepcionales una democracia de acuerdo basada en mayorías cualificadas o reforzadas. Por ello hay que afirmar que, si es cierto que existen materias reservadas a leyes orgánicas (art. 81.1 CE), también lo es que las leyes orgánicas están reservadas a estas materias y que, por tanto, sería disconforme con la Constitución la ley orgánica que invadiera materias reservadas a la ley ordinaria” (por todas, SSTC 124/2003, de 19 de junio, FJ 11, y 31/2018, de 10 de abril, FJ 7).</w:t>
      </w:r>
    </w:p>
    <w:p w14:paraId="4E6FD40D" w14:textId="77777777" w:rsidR="003754FE" w:rsidRDefault="003754FE" w:rsidP="003754FE">
      <w:pPr>
        <w:pStyle w:val="TextoNormal"/>
      </w:pPr>
    </w:p>
    <w:p w14:paraId="7BDB89AD" w14:textId="77777777" w:rsidR="003754FE" w:rsidRDefault="003754FE" w:rsidP="003754FE">
      <w:pPr>
        <w:pStyle w:val="TextoNormal"/>
      </w:pPr>
      <w:r>
        <w:t>En desarrollo de esta doctrina, este tribunal ha advertido, desde la temprana STC 5/1981, de 13 de febrero [en doctrina reiterada, entre otras, en SSTC, 173/1998, de 23 de julio, FJ 7; 124/2003, de 19 de junio, FJ 11, y 135/2006, de 27 de abril, FJ 2 c)], que ha de aplicarse un criterio restrictivo para determinar el alcance material de la reserva del art. 81.1 CE referida al “desarrollo de los derechos fundamentales”. Dicho criterio de interpretación estricta se despliega en una doble vertiente:</w:t>
      </w:r>
    </w:p>
    <w:p w14:paraId="46BCB2E3" w14:textId="77777777" w:rsidR="003754FE" w:rsidRDefault="003754FE" w:rsidP="003754FE">
      <w:pPr>
        <w:pStyle w:val="TextoNormal"/>
      </w:pPr>
    </w:p>
    <w:p w14:paraId="3C139512" w14:textId="77777777" w:rsidR="003754FE" w:rsidRDefault="003754FE" w:rsidP="003754FE">
      <w:pPr>
        <w:pStyle w:val="TextoNormal"/>
      </w:pPr>
      <w:r>
        <w:t>a) Desde el punto de vista de los derechos objeto de la reserva, supone que la referencia contenida en el art. 81.1 CE a los derechos fundamentales, sin mayor especificación, ha de entenderse únicamente referida a los comprendidos dentro de la sección primera, capítulo II, título I de la propia Constitución (por todas, STC 116/1999, de 17 de junio, FJ 4).</w:t>
      </w:r>
    </w:p>
    <w:p w14:paraId="06667C65" w14:textId="77777777" w:rsidR="003754FE" w:rsidRDefault="003754FE" w:rsidP="003754FE">
      <w:pPr>
        <w:pStyle w:val="TextoNormal"/>
      </w:pPr>
    </w:p>
    <w:p w14:paraId="0BB7E618" w14:textId="77777777" w:rsidR="003754FE" w:rsidRDefault="003754FE" w:rsidP="003754FE">
      <w:pPr>
        <w:pStyle w:val="TextoNormal"/>
      </w:pPr>
      <w:r>
        <w:t>b) En lo relativo a la delimitación del alcance de la reserva, implica que esta comprende exclusivamente el “desarrollo normativo inmediato de la Constitución en aquellos aspectos básicos o fundamentales del orden constitucional” que suponen un “complemento indispensable o necesario de la obra del constituyente” (STC 173/1998, FJ 7) y ello en la medida en que la legislación orgánica prevista en el art. 81.1 CE es una suerte de “legislación extraordinaria o excepcional" que busca perfilar aspectos que en el texto constitucional quedan plasmados a través de fórmulas abiertas (SSTC 160/1987, de 27 de octubre, FJ 2, y 173/1998, de 23 de julio, FJ 6).</w:t>
      </w:r>
    </w:p>
    <w:p w14:paraId="6CE9C84D" w14:textId="77777777" w:rsidR="003754FE" w:rsidRDefault="003754FE" w:rsidP="003754FE">
      <w:pPr>
        <w:pStyle w:val="TextoNormal"/>
      </w:pPr>
    </w:p>
    <w:p w14:paraId="054B5EF1" w14:textId="77777777" w:rsidR="003754FE" w:rsidRDefault="003754FE" w:rsidP="003754FE">
      <w:pPr>
        <w:pStyle w:val="TextoNormal"/>
      </w:pPr>
      <w:r>
        <w:t>B) La regulación de los elementos esenciales y su significado concreto en el ámbito de las restricciones de derechos fundamentales</w:t>
      </w:r>
    </w:p>
    <w:p w14:paraId="2B9BBF9C" w14:textId="77777777" w:rsidR="003754FE" w:rsidRDefault="003754FE" w:rsidP="003754FE">
      <w:pPr>
        <w:pStyle w:val="TextoNormal"/>
      </w:pPr>
    </w:p>
    <w:p w14:paraId="52A489F6" w14:textId="77777777" w:rsidR="003754FE" w:rsidRDefault="003754FE" w:rsidP="003754FE">
      <w:pPr>
        <w:pStyle w:val="TextoNormal"/>
      </w:pPr>
      <w:r>
        <w:t xml:space="preserve">La reserva de ley orgánica se refiere únicamente, como acaba de exponerse, a la regulación de un derecho fundamental o de una libertad pública “que desarrolle la Constitución de manera directa” [STC 135/2006, de 27 de abril, FJ 2 c)]. Este concepto de “desarrollo directo” ha sido objeto de delimitación en nuestra doctrina, tanto con carácter general como en relación con los supuestos particulares en los que una norma legal introduce concretas </w:t>
      </w:r>
      <w:r>
        <w:lastRenderedPageBreak/>
        <w:t>medidas de intervención restrictivas de los derechos fundamentales comprendidos en la sección primera, capítulo II, título I de la Constitución:</w:t>
      </w:r>
    </w:p>
    <w:p w14:paraId="6FC858C0" w14:textId="77777777" w:rsidR="003754FE" w:rsidRDefault="003754FE" w:rsidP="003754FE">
      <w:pPr>
        <w:pStyle w:val="TextoNormal"/>
      </w:pPr>
    </w:p>
    <w:p w14:paraId="36D80278" w14:textId="77777777" w:rsidR="003754FE" w:rsidRDefault="003754FE" w:rsidP="003754FE">
      <w:pPr>
        <w:pStyle w:val="TextoNormal"/>
      </w:pPr>
      <w:r>
        <w:t>a) Con carácter general, la doctrina de este tribunal ha identificado el concepto de “desarrollo directo” con “determinados aspectos esenciales para la definición del derecho” y con “la previsión de su ámbito y la fijación de sus límites en relación con otras libertades constitucionalmente protegidas” (SSTC 173/1998, de 23 de julio, FJ 7; 129/1999, de 1 de julio, FJ 2; 53/2002, de 27 de febrero, FJ 12, y 133/2006, de 27 de abril, FJ 2). En lo que más interesa al supuesto que ahora se nos plantea, también ha considerado que están incluidas dentro del concepto de desarrollo directo “las normas que establecen restricciones de esos derechos o libertades” (por todas, SSTC 101/1991, de 13 de mayo, FJ 2, y 173/1998, de 23 de julio, FJ 7), en cuanto dichas normas suponen la “exclusión” en determinados supuestos de la protección que el derecho concernido ofrece (STC 88/1995, de 6 de junio, FJ 4).</w:t>
      </w:r>
    </w:p>
    <w:p w14:paraId="0C78EFBD" w14:textId="77777777" w:rsidR="003754FE" w:rsidRDefault="003754FE" w:rsidP="003754FE">
      <w:pPr>
        <w:pStyle w:val="TextoNormal"/>
      </w:pPr>
    </w:p>
    <w:p w14:paraId="6BB8C96E" w14:textId="77777777" w:rsidR="003754FE" w:rsidRDefault="003754FE" w:rsidP="003754FE">
      <w:pPr>
        <w:pStyle w:val="TextoNormal"/>
      </w:pPr>
      <w:r>
        <w:t>El alcance material del concepto de “desarrollo” de los derechos fundamentales comprendido en el art. 81.1 CE, se refiere, en definitiva, a la determinación del alcance o extensión del derecho mismo, lo que comprende la regulación de los aspectos más consustanciales del derecho que se trate, la delimitación de su interferencia con otros derechos fundamentales y la restricción de su ámbito material por razón de la protección de bienes jurídicos que necesariamente han de ser salvaguardados para preservar el interés colectivo. Todo lo cual puede efectuarse mediante una “regulación directa, general y global” del derecho fundamental o mediante una regulación “sectorial, pero, igualmente, relativa a aspectos esenciales del derecho, y no, por parcial, menos directa o encaminada a contribuir a la delimitación y definición legal del derecho” [por todas, STC 135/2006, de 27 de abril, FJ 2 c)].</w:t>
      </w:r>
    </w:p>
    <w:p w14:paraId="4975DEFE" w14:textId="77777777" w:rsidR="003754FE" w:rsidRDefault="003754FE" w:rsidP="003754FE">
      <w:pPr>
        <w:pStyle w:val="TextoNormal"/>
      </w:pPr>
    </w:p>
    <w:p w14:paraId="67207903" w14:textId="77777777" w:rsidR="003754FE" w:rsidRDefault="003754FE" w:rsidP="003754FE">
      <w:pPr>
        <w:pStyle w:val="TextoNormal"/>
      </w:pPr>
      <w:r>
        <w:t>No puede considerarse, en cambio, “desarrollo directo” a efectos del art. 81.1 CE, la regulación de aspectos “que simplemente afectan a elementos no necesarios sin incidir directamente sobre su ámbito y límites” [STC 135/2006, FJ 2 b)], pues “desarrollar no puede equipararse a simplemente afectar” (por todas, STC 129/1999, de 1 de julio, FJ 2).</w:t>
      </w:r>
    </w:p>
    <w:p w14:paraId="250C4C00" w14:textId="77777777" w:rsidR="003754FE" w:rsidRDefault="003754FE" w:rsidP="003754FE">
      <w:pPr>
        <w:pStyle w:val="TextoNormal"/>
      </w:pPr>
    </w:p>
    <w:p w14:paraId="0E157FC9" w14:textId="77777777" w:rsidR="003754FE" w:rsidRDefault="003754FE" w:rsidP="003754FE">
      <w:pPr>
        <w:pStyle w:val="TextoNormal"/>
      </w:pPr>
      <w:r>
        <w:t>b) La distinción entre elementos esenciales, reservados al legislador orgánico por referirse al ámbito y los límites del derecho, y aspectos complementarios, que no inciden directamente en la fijación de dicho ámbito y límites, tiene, en nuestra doctrina, una plasmación específica en el concreto caso de las restricciones de derechos fundamentales.</w:t>
      </w:r>
    </w:p>
    <w:p w14:paraId="0491CE66" w14:textId="77777777" w:rsidR="003754FE" w:rsidRDefault="003754FE" w:rsidP="003754FE">
      <w:pPr>
        <w:pStyle w:val="TextoNormal"/>
      </w:pPr>
    </w:p>
    <w:p w14:paraId="1FC0407A" w14:textId="77777777" w:rsidR="003754FE" w:rsidRDefault="003754FE" w:rsidP="003754FE">
      <w:pPr>
        <w:pStyle w:val="TextoNormal"/>
      </w:pPr>
      <w:r>
        <w:t>En este ámbito específico, la reserva constitucionalmente reconocida al legislador de los derechos fundamentales en general, tanto orgánico (art. 81.1 CE) como ordinario (art. 53.1 CE), es especialmente exigente, pues la ley es “la única habilitada por la Constitución para fijar los límites a los derechos fundamentales” de modo que [l]a fijación de los límites de un derecho fundamental […] no es un lugar idóneo para la colaboración entre la ley y las normas infralegales”, salvo en aspectos de carácter secundario y auxiliar (SSTC 83/1984, de 24 de julio, FJ 4; 137/1986, de 6 de noviembre, FJ 3; 254/1994, de 15 de septiembre, FJ 5, y 292/2000, de 30 de noviembre, FJ 11).</w:t>
      </w:r>
    </w:p>
    <w:p w14:paraId="30787DE3" w14:textId="77777777" w:rsidR="003754FE" w:rsidRDefault="003754FE" w:rsidP="003754FE">
      <w:pPr>
        <w:pStyle w:val="TextoNormal"/>
      </w:pPr>
    </w:p>
    <w:p w14:paraId="3231A31C" w14:textId="77777777" w:rsidR="003754FE" w:rsidRDefault="003754FE" w:rsidP="003754FE">
      <w:pPr>
        <w:pStyle w:val="TextoNormal"/>
      </w:pPr>
      <w:r>
        <w:t xml:space="preserve">A su vez, hemos delimitado la esfera de esa colaboración internormativa entre ley orgánica y ley ordinaria en este ámbito distinguiendo, con carácter general, entre la restricción propiamente dicha, esto es, la determinación del supuesto de hecho y su consecuencia limitativa, contenido este que, por afectar al ámbito o alcance del derecho fundamental </w:t>
      </w:r>
      <w:r>
        <w:lastRenderedPageBreak/>
        <w:t>concernido hemos considerado “desarrollo directo”, sujeto a la reserva de ley orgánica, y las normas procedimentales que permiten su efectiva ejecución, que, por no afectar al ámbito o alcance del derecho, pertenecerían ya al espacio de regulación propia de la ley ordinaria. Así, en las SSTC 129/1999, de 1 de julio, FJ 2; 131/2010, de 2 de diciembre, FJ 4, y 132/2010, de 2 de diciembre, FJ 2, consideramos, en relación con el internamiento de personas aquejadas de un trastorno psíquico, que debe diferenciarse, de un lado, la norma que establece la concreta medida de intromisión o restricción, que está sometida a la reserva de ley orgánica, y, de otro, las “reglas procedimentales”, que, en principio, no pueden considerarse, por sí mismas, regulación directa del derecho fundamental, pues no están encaminadas “a la delimitación y definición del mismo”. Estas últimas están, por ello, excluidas del “ámbito reservado a la ley orgánica”.</w:t>
      </w:r>
    </w:p>
    <w:p w14:paraId="215412EA" w14:textId="77777777" w:rsidR="003754FE" w:rsidRDefault="003754FE" w:rsidP="003754FE">
      <w:pPr>
        <w:pStyle w:val="TextoNormal"/>
      </w:pPr>
    </w:p>
    <w:p w14:paraId="3E1CCE5D" w14:textId="77777777" w:rsidR="003754FE" w:rsidRDefault="003754FE" w:rsidP="003754FE">
      <w:pPr>
        <w:pStyle w:val="TextoNormal"/>
      </w:pPr>
      <w:r>
        <w:t>C) Criterios interpretativos auxiliares</w:t>
      </w:r>
    </w:p>
    <w:p w14:paraId="28C86A88" w14:textId="77777777" w:rsidR="003754FE" w:rsidRDefault="003754FE" w:rsidP="003754FE">
      <w:pPr>
        <w:pStyle w:val="TextoNormal"/>
      </w:pPr>
    </w:p>
    <w:p w14:paraId="35A21B36" w14:textId="77777777" w:rsidR="003754FE" w:rsidRDefault="003754FE" w:rsidP="003754FE">
      <w:pPr>
        <w:pStyle w:val="TextoNormal"/>
      </w:pPr>
      <w:r>
        <w:t>Es evidente, sin embargo, que el criterio distintivo general basado en el binomio desarrollo directo/regulación complementaria, no siempre “puede ser aplicad[o] de forma mecánica, ya que con suma frecuencia resulta difícil distinguir dónde acaba el desarrollo del derecho en cuanto tal y dónde comienza la regulación de la materia sobre la que este se proyecta” [SSTC 173/1998, de 23 de julio, FJ 7, y 135/2006, de 27 de abril, FJ 2 c)]. De ahí que la doctrina de este tribunal haya establecido pautas interpretativas complementarias que sirven de auxilio hermenéutico para determinar el alcance específico del ámbito de “desarrollo directo” de los derechos fundamentales:</w:t>
      </w:r>
    </w:p>
    <w:p w14:paraId="791713EB" w14:textId="77777777" w:rsidR="003754FE" w:rsidRDefault="003754FE" w:rsidP="003754FE">
      <w:pPr>
        <w:pStyle w:val="TextoNormal"/>
      </w:pPr>
    </w:p>
    <w:p w14:paraId="5A54D19E" w14:textId="77777777" w:rsidR="003754FE" w:rsidRDefault="003754FE" w:rsidP="003754FE">
      <w:pPr>
        <w:pStyle w:val="TextoNormal"/>
      </w:pPr>
      <w:r>
        <w:t>a) En primer lugar, aunque es cierto que “[l]a reserva de ley orgánica no puede interpretarse de forma tal que cualquier materia ajena a dicha reserva por el hecho de estar incluida en una ley orgánica haya de gozar definitivamente del efecto de congelación de rango y de la necesidad de una mayoría cualificada para su ulterior modificación (art. 81.2 CE), pues tal efecto puede y aun debe ser excluido” [por todas, STC 5/1981, de 13 de febrero, FJ 21 A)], eso no significa que el propio legislador orgánico no tenga, a la postre, un cierto margen de configuración. Según hemos señalado, el legislador orgánico puede “concretar con mayor o menor intensidad el ámbito de la reserva”, circunstancia que, indudablemente, facilita el enjuiciamiento de constitucionalidad frente a los casos en los que, por no existir regulación orgánica sobre la materia, “el contraste […] debe hacerse con el contenido abstracto de la reserva de ley orgánica” (STC 173/1998, de 23 de julio, FJ 7). Es por ello que el criterio delimitador seguido por el legislador orgánico al definir su propio ámbito de regulación también constituye un criterio hermenéutico auxiliar.</w:t>
      </w:r>
    </w:p>
    <w:p w14:paraId="60C531BD" w14:textId="77777777" w:rsidR="003754FE" w:rsidRDefault="003754FE" w:rsidP="003754FE">
      <w:pPr>
        <w:pStyle w:val="TextoNormal"/>
      </w:pPr>
    </w:p>
    <w:p w14:paraId="740FD055" w14:textId="77777777" w:rsidR="003754FE" w:rsidRDefault="003754FE" w:rsidP="003754FE">
      <w:pPr>
        <w:pStyle w:val="TextoNormal"/>
      </w:pPr>
      <w:r>
        <w:t xml:space="preserve">b) En segundo lugar, en los casos en los que la diferenciación entre “desarrollo directo” y regulación complementaria no resulta, </w:t>
      </w:r>
      <w:r w:rsidRPr="003754FE">
        <w:rPr>
          <w:i/>
        </w:rPr>
        <w:t>prima facie</w:t>
      </w:r>
      <w:r>
        <w:t>, claramente diferenciable “la inclusión en una u otra categoría dependerá del grado más o menos intenso de proximidad con uno u otro ámbito” [SSTC 173/1998, de 23 de julio, FJ 7, y 135/2006, de 27 de abril, FJ 2 c)]. Por lo tanto, cuando la norma regulada no admite una subsunción evidente en alguna de las dos categorías, debe examinarse si, por sus propias características, tiene una relación más directa con el ámbito material y límites del derecho o con las reglas complementarias que facilitan su aplicación práctica.</w:t>
      </w:r>
    </w:p>
    <w:p w14:paraId="3EFC9835" w14:textId="77777777" w:rsidR="003754FE" w:rsidRDefault="003754FE" w:rsidP="003754FE">
      <w:pPr>
        <w:pStyle w:val="TextoNormal"/>
      </w:pPr>
    </w:p>
    <w:p w14:paraId="61C41072" w14:textId="77777777" w:rsidR="003754FE" w:rsidRDefault="003754FE" w:rsidP="003754FE">
      <w:pPr>
        <w:pStyle w:val="TextoNormal"/>
      </w:pPr>
      <w:r>
        <w:t>5.3. Enjuiciamiento</w:t>
      </w:r>
    </w:p>
    <w:p w14:paraId="5E77F580" w14:textId="77777777" w:rsidR="003754FE" w:rsidRDefault="003754FE" w:rsidP="003754FE">
      <w:pPr>
        <w:pStyle w:val="TextoNormal"/>
      </w:pPr>
    </w:p>
    <w:p w14:paraId="27D89636" w14:textId="77777777" w:rsidR="003754FE" w:rsidRDefault="003754FE" w:rsidP="003754FE">
      <w:pPr>
        <w:pStyle w:val="TextoNormal"/>
      </w:pPr>
      <w:r>
        <w:lastRenderedPageBreak/>
        <w:t>Expuesta nuestra doctrina, nos corresponde ahora determinar si el legislador ordinario (en este caso autonómico) ha introducido en el art. 38.2 b) inciso segundo de la Ley de salud de Galicia una regulación que, de acuerdo con el sistema constitucional de fuentes y, en particular, con lo dispuesto el art. 81.1 CE, solo puede establecerse por ley orgánica, lo que conllevaría la inconstitucionalidad y nulidad del precepto, pues, tal y como sintetiza la STC 135/2006, FJ 3, “cuando la ley autonómica regule algún elemento esencial, no previsto en la ley orgánica, o lo hubiese regulado de modo distinto, la consecuencia será la inconstitucionalidad”.</w:t>
      </w:r>
    </w:p>
    <w:p w14:paraId="224F6699" w14:textId="77777777" w:rsidR="003754FE" w:rsidRDefault="003754FE" w:rsidP="003754FE">
      <w:pPr>
        <w:pStyle w:val="TextoNormal"/>
      </w:pPr>
    </w:p>
    <w:p w14:paraId="5E4205EF" w14:textId="77777777" w:rsidR="003754FE" w:rsidRDefault="003754FE" w:rsidP="003754FE">
      <w:pPr>
        <w:pStyle w:val="TextoNormal"/>
      </w:pPr>
      <w:r>
        <w:t xml:space="preserve">Pues bien, para acometer esta labor procederemos del siguiente modo: A) examinaremos la regulación impugnada, determinando si afecta a derechos fundamentales sometidos a reserva de ley orgánica; B) nos pronunciaremos, acto seguido, sobre la naturaleza de esa afectación; C) analizaremos si nos encontramos, </w:t>
      </w:r>
      <w:r w:rsidRPr="003754FE">
        <w:rPr>
          <w:i/>
        </w:rPr>
        <w:t>prima facie</w:t>
      </w:r>
      <w:r>
        <w:t>, ante un desarrollo directo o una regulación complementaria de tales derechos fundamentales; y D) utilizaremos, finalmente, los criterios interpretativos auxiliares establecidos en nuestra doctrina para llegar a una conclusión definitiva.</w:t>
      </w:r>
    </w:p>
    <w:p w14:paraId="338ACCE8" w14:textId="77777777" w:rsidR="003754FE" w:rsidRDefault="003754FE" w:rsidP="003754FE">
      <w:pPr>
        <w:pStyle w:val="TextoNormal"/>
      </w:pPr>
    </w:p>
    <w:p w14:paraId="43ECCC60" w14:textId="77777777" w:rsidR="003754FE" w:rsidRDefault="003754FE" w:rsidP="003754FE">
      <w:pPr>
        <w:pStyle w:val="TextoNormal"/>
      </w:pPr>
      <w:r>
        <w:t>A) Afectación de derechos fundamentales comprendidos en el art. 81.1 CE</w:t>
      </w:r>
    </w:p>
    <w:p w14:paraId="580D7237" w14:textId="77777777" w:rsidR="003754FE" w:rsidRDefault="003754FE" w:rsidP="003754FE">
      <w:pPr>
        <w:pStyle w:val="TextoNormal"/>
      </w:pPr>
    </w:p>
    <w:p w14:paraId="5A0913ED" w14:textId="77777777" w:rsidR="003754FE" w:rsidRDefault="003754FE" w:rsidP="003754FE">
      <w:pPr>
        <w:pStyle w:val="TextoNormal"/>
      </w:pPr>
      <w:r>
        <w:t>Aunque la exposición de motivos de la Ley 8/2021 reconoce abiertamente que el nuevo art. 38.2 b) de la Ley 8/2008 contiene, en su inciso segundo, un elenco de medidas de restricción de derechos fundamentales de la sección primera, capítulo II, título I de la Constitución [defendiendo, eso sí, que la regulación no invade la reserva del art. 81.1 CE], solo el contenido concreto de la propia norma impugnada puede determinar si, en efecto, estamos ante una regulación que afecta a tales derechos fundamentales.</w:t>
      </w:r>
    </w:p>
    <w:p w14:paraId="3D919C03" w14:textId="77777777" w:rsidR="003754FE" w:rsidRDefault="003754FE" w:rsidP="003754FE">
      <w:pPr>
        <w:pStyle w:val="TextoNormal"/>
      </w:pPr>
    </w:p>
    <w:p w14:paraId="7BC16AEA" w14:textId="77777777" w:rsidR="003754FE" w:rsidRDefault="003754FE" w:rsidP="003754FE">
      <w:pPr>
        <w:pStyle w:val="TextoNormal"/>
      </w:pPr>
      <w:r>
        <w:t>En este punto, en el fundamento jurídico 4 ya se anticipó que las medidas previstas en los diversos subapartados del art. 38.2 b) inciso segundo de la Ley 8/2002, proyectan su eficacia sobre el ámbito material de derechos fundamentales contenidos en la sección primera, capítulo II, título I, de la Constitución. En concreto, las diversas medidas contempladas en el precepto impugnado afectan a los derechos fundamentales a la integridad personal (art. 15 CE), a la libertad deambulatoria (art. 17 CE), a la intimidad personal (art. 18.1 CE), a la libertad de circulación (art. 19 CE) y al derecho de reunión (art. 21.1 CE). Se expondrá, a continuación, la conexión específica que las diversas medidas reguladas en el art. 38.2 b) de la Ley 8/2008 tienen con los referidos derechos fundamentales.</w:t>
      </w:r>
    </w:p>
    <w:p w14:paraId="27C26C4D" w14:textId="77777777" w:rsidR="003754FE" w:rsidRDefault="003754FE" w:rsidP="003754FE">
      <w:pPr>
        <w:pStyle w:val="TextoNormal"/>
      </w:pPr>
    </w:p>
    <w:p w14:paraId="2AA571B8" w14:textId="77777777" w:rsidR="003754FE" w:rsidRDefault="003754FE" w:rsidP="003754FE">
      <w:pPr>
        <w:pStyle w:val="TextoNormal"/>
      </w:pPr>
      <w:r>
        <w:t xml:space="preserve">a) Comenzando por los derechos contemplados en los arts. 17 y 19 CE, estos guardan, de acuerdo con nuestra doctrina, una relación de grado, de modo que el rigor de la afectación de la capacidad deambulatoria determina, en el caso concreto, si nos encontramos ante el ámbito protegido por uno u otro derecho. Tal y como hemos señalado en la STC 148/2021, de 14 de julio, FJ 4, la libertad garantizada por el art. 17 CE “es ‘la de quien orienta, en el marco de normas generales, la propia acción’ (STC 341/1993, de 18 de noviembre, FJ 4)”, de modo que esta libertad solo queda comprometida cuando “de cualquier modo, se impida u obstaculice la autodeterminación de la conducta lícita” (STC 98/1986, de 10 de julio, FJ 4). Por ello, cuando una norma únicamente afecta a los desplazamientos que el individuo puede realizar en supuestos determinados, es la libertad de circulación del art. 19 CE la que, en principio, queda concernida. En definitiva, tal y como ha señalado el Tribunal Europeo de Derechos Humanos en la decisión de 13 de abril de 2021, asunto </w:t>
      </w:r>
      <w:r w:rsidRPr="003754FE">
        <w:rPr>
          <w:i/>
        </w:rPr>
        <w:t>Terheş c. Rumanía</w:t>
      </w:r>
      <w:r>
        <w:t xml:space="preserve">, </w:t>
      </w:r>
      <w:r>
        <w:lastRenderedPageBreak/>
        <w:t>para determinar si estamos ante una afectación de la libertad deambulatoria o de la libertad de circulación, es necesario partir de su situación concreta y tener en cuenta un conjunto de criterios como el tipo, la duración, los efectos y las modalidades de ejecución de la medida en cuestión, que deben examinarse de manera “acumulada y combinada” (§36).</w:t>
      </w:r>
    </w:p>
    <w:p w14:paraId="6814418A" w14:textId="77777777" w:rsidR="003754FE" w:rsidRDefault="003754FE" w:rsidP="003754FE">
      <w:pPr>
        <w:pStyle w:val="TextoNormal"/>
      </w:pPr>
    </w:p>
    <w:p w14:paraId="36B0C8C1" w14:textId="77777777" w:rsidR="003754FE" w:rsidRDefault="003754FE" w:rsidP="003754FE">
      <w:pPr>
        <w:pStyle w:val="TextoNormal"/>
      </w:pPr>
      <w:r>
        <w:t>Sentado ese presupuesto, las medidas de “aislamiento de personas enfermas”, “aislamiento en domicilio”, “internamiento en centro hospitalario” o “internamiento en otro lugar adecuado para tal fin” [contempladas en el subapartado 1 del art. 38.2 b) de la Ley 8/2008], pueden implicar, en supuestos de riesgo de transmisión de enfermedades contagiosas especialmente graves, una privación radical de la capacidad de autodeterminación de movimientos de la persona, lo que determina que dichas medidas tengan incidencia potencial en la libertad personal del art. 17 CE. Lo mismo puede llegar a ocurrir con las cuarentenas en domicilio u otro lugar adecuado (previstas en el subapartado 3), en cuanto, de acuerdo con la propia definición legal que se da de ellas, pueden llegar, en casos extremos, a la completa privación de la posibilidad de autodeterminación de movimientos. En cambio, todas estas medidas afectarán únicamente a la libertad de circulación (art. 19 CE) cuando, por su contenido, delimiten los supuestos concretos de restricción de movilidad, salvaguardando de modo suficiente la capacidad de autodeterminación deambulatoria de las personas afectadas.</w:t>
      </w:r>
    </w:p>
    <w:p w14:paraId="565C3A7B" w14:textId="77777777" w:rsidR="003754FE" w:rsidRDefault="003754FE" w:rsidP="003754FE">
      <w:pPr>
        <w:pStyle w:val="TextoNormal"/>
      </w:pPr>
    </w:p>
    <w:p w14:paraId="69BDF371" w14:textId="77777777" w:rsidR="003754FE" w:rsidRDefault="003754FE" w:rsidP="003754FE">
      <w:pPr>
        <w:pStyle w:val="TextoNormal"/>
      </w:pPr>
      <w:r>
        <w:t>Por su parte, las medidas relativas a la entrada y salida en “zonas afectadas” por el riesgo de propagación de una enfermedad transmisible [previstas en el subapartado 6 i) y ii)] implican, por concepto, un margen de libertad deambulatoria compatible con el art. 17 CE, de modo que puede considerarse que afectan exclusivamente a la libertad de circulación del art. 19 CE.</w:t>
      </w:r>
    </w:p>
    <w:p w14:paraId="729FB3F3" w14:textId="77777777" w:rsidR="003754FE" w:rsidRDefault="003754FE" w:rsidP="003754FE">
      <w:pPr>
        <w:pStyle w:val="TextoNormal"/>
      </w:pPr>
    </w:p>
    <w:p w14:paraId="3F1FF540" w14:textId="77777777" w:rsidR="003754FE" w:rsidRDefault="003754FE" w:rsidP="003754FE">
      <w:pPr>
        <w:pStyle w:val="TextoNormal"/>
      </w:pPr>
      <w:r>
        <w:t>b) En lo que se refiere al derecho de reunión (art. 21 CE), las limitaciones de reuniones privadas entre no convivientes [previstas en el subapartado 6 iii)], afectan, de acuerdo con la doctrina de este tribunal, a dicho derecho fundamental, si bien solo al contenido garantizado en el apartado 1 del precepto y ello en conexión directa con el derecho a la intimidad personal y familiar reconocido en el art 18.1 CE.</w:t>
      </w:r>
    </w:p>
    <w:p w14:paraId="3B1DC0B5" w14:textId="77777777" w:rsidR="003754FE" w:rsidRDefault="003754FE" w:rsidP="003754FE">
      <w:pPr>
        <w:pStyle w:val="TextoNormal"/>
      </w:pPr>
    </w:p>
    <w:p w14:paraId="1FB3964B" w14:textId="77777777" w:rsidR="003754FE" w:rsidRDefault="003754FE" w:rsidP="003754FE">
      <w:pPr>
        <w:pStyle w:val="TextoNormal"/>
      </w:pPr>
      <w:r>
        <w:t xml:space="preserve">En efecto, hemos de recordar que, según remarca la STC 183/2021, de 27 de octubre, FJ 7, el Tribunal Europeo de Derechos Humanos ha considerado que las trabas u obstáculos al mantenimiento del contacto con familiares y amigos no se encuadran en el ámbito del art. 11 CEDH, relativo a la libertad de reunión, sino en el de su art. 8.1, que garantiza la vida privada y familiar [STEDH (Gran Sala) de 12 de septiembre de 2012, asunto </w:t>
      </w:r>
      <w:r w:rsidRPr="003754FE">
        <w:rPr>
          <w:i/>
        </w:rPr>
        <w:t>Nada c. Suiza</w:t>
      </w:r>
      <w:r>
        <w:t>, § 165]. Por esta razón, en la STC 148/2021 se declaró que este ámbito ha de considerarse “constitucionalmente protegid[o] por el juego combinado de los arts. 21.1 y 18 CE”, FJ 5 a). Estos derechos fundamentales resultan, por ello, afectados por la medida indicada, en cuanto esta limita la posibilidad de mantener reuniones privadas con no convivientes.</w:t>
      </w:r>
    </w:p>
    <w:p w14:paraId="67A6396F" w14:textId="77777777" w:rsidR="003754FE" w:rsidRDefault="003754FE" w:rsidP="003754FE">
      <w:pPr>
        <w:pStyle w:val="TextoNormal"/>
      </w:pPr>
    </w:p>
    <w:p w14:paraId="57E4612E" w14:textId="77777777" w:rsidR="003754FE" w:rsidRDefault="003754FE" w:rsidP="003754FE">
      <w:pPr>
        <w:pStyle w:val="TextoNormal"/>
      </w:pPr>
      <w:r>
        <w:t xml:space="preserve">En cambio, no hay afectación, en la regulación examinada, del apartado 2 del art. 21 CE, relativo a las reuniones y manifestaciones en lugares de tránsito público, pues el precepto impugnado contiene una cláusula expresa que salvaguarda la posibilidad de que tales reuniones y manifestaciones puedan desarrollarse de acuerdo con el régimen general previsto en su ley orgánica reguladora (Ley Orgánica 9/1983, de 15 de julio, reguladora del derecho de reunión). Queda, pues, abierta la posibilidad de dirigir “comunicación previa a </w:t>
      </w:r>
      <w:r>
        <w:lastRenderedPageBreak/>
        <w:t>la autoridad” para el ejercicio del derecho de reunión del art. 21.2 CE, de modo que en cada supuesto habría de ser “la autoridad gubernativa competente la que pudiera establecer restricciones, modificaciones o incluso prohibir su ejercicio” (STC 183/2021, de 27 de octubre, FJ 7).</w:t>
      </w:r>
    </w:p>
    <w:p w14:paraId="60E16EAE" w14:textId="77777777" w:rsidR="003754FE" w:rsidRDefault="003754FE" w:rsidP="003754FE">
      <w:pPr>
        <w:pStyle w:val="TextoNormal"/>
      </w:pPr>
    </w:p>
    <w:p w14:paraId="4D4E81E5" w14:textId="77777777" w:rsidR="003754FE" w:rsidRDefault="003754FE" w:rsidP="003754FE">
      <w:pPr>
        <w:pStyle w:val="TextoNormal"/>
      </w:pPr>
      <w:r>
        <w:t>c) Las medidas de sometimiento a tratamiento adecuado (contempladas en el subapartado 2) y de sometimiento a “medidas profilácticas de prevención de la enfermedad, incluida la vacunación o inmunización” (contenidas en el subapartado 5) afectan, con carácter general y sin necesidad de que conlleven riesgos especiales para la salud, al derecho a la integridad personal del art. 15 CE en su “dimensión positiva”, que implica, de acuerdo con nuestra doctrina, “una facultad de oposición a la asistencia médica, en ejercicio de un derecho de autodeterminación que tiene por objeto el propio sustrato corporal, como distinto del derecho a la salud o a la vida” (SSTC 154/2002, de 18 de julio, FJ 9, y 38/2023, de 20 de abril, FJ 4).</w:t>
      </w:r>
    </w:p>
    <w:p w14:paraId="64615655" w14:textId="77777777" w:rsidR="003754FE" w:rsidRDefault="003754FE" w:rsidP="003754FE">
      <w:pPr>
        <w:pStyle w:val="TextoNormal"/>
      </w:pPr>
    </w:p>
    <w:p w14:paraId="4625D68D" w14:textId="77777777" w:rsidR="003754FE" w:rsidRDefault="003754FE" w:rsidP="003754FE">
      <w:pPr>
        <w:pStyle w:val="TextoNormal"/>
      </w:pPr>
      <w:r>
        <w:t xml:space="preserve">Hay que recordar, en este punto, que en las SSTC 37/2011, de 28 de marzo, FJ 5, y 38/2023, de 20 de abril, FJ 4, señalamos que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Se trata de una facultad de autodeterminación que legitima al paciente, en uso de su autonomía de la voluntad, para decidir libremente sobre las medidas terapéuticas y tratamientos que puedan afectar a su integridad, escogiendo entre las distintas posibilidades, consintiendo su práctica o rechazándolas. Esta es precisamente la manifestación más importante de los derechos fundamentales que pueden resultar afectados por una intervención médica: la de decidir libremente entre consentir el tratamiento o rehusarlo, posibilidad que ha sido admitida por el [Tribunal Europeo de Derechos Humanos], aun cuando pudiera conducir a un resultado fatal (STEDH de 29 de abril de 2002, caso </w:t>
      </w:r>
      <w:r w:rsidRPr="003754FE">
        <w:rPr>
          <w:i/>
        </w:rPr>
        <w:t>Pretty c. Reino Unido</w:t>
      </w:r>
      <w:r>
        <w:t>, § 63), y también por este tribunal (STC 154/2002, de 18 de julio, FJ 9)”.</w:t>
      </w:r>
    </w:p>
    <w:p w14:paraId="313C4B61" w14:textId="77777777" w:rsidR="003754FE" w:rsidRDefault="003754FE" w:rsidP="003754FE">
      <w:pPr>
        <w:pStyle w:val="TextoNormal"/>
      </w:pPr>
    </w:p>
    <w:p w14:paraId="2056425A" w14:textId="77777777" w:rsidR="003754FE" w:rsidRDefault="003754FE" w:rsidP="003754FE">
      <w:pPr>
        <w:pStyle w:val="TextoNormal"/>
      </w:pPr>
      <w:r>
        <w:t>En la citada STC 38/2023, de 20 de abril, FJ 5, pusimos de manifiesto, en el caso particular de la vacunación, que se trata de “un acto sanitario que consiste en la inoculación de un ‘preparado’, de contenido variable, en el cuerpo humano a efectos de provocar una respuesta inmunitaria, por lo que su administración entra, con claridad, dentro de las facultades de autodeterminación garantizadas por el derecho a la integridad personal del art. 15 CE”. La afectación que sobre dicho derecho fundamental tiene esta concreta medida es, por lo tanto, inequívoca.</w:t>
      </w:r>
    </w:p>
    <w:p w14:paraId="293E73BC" w14:textId="77777777" w:rsidR="003754FE" w:rsidRDefault="003754FE" w:rsidP="003754FE">
      <w:pPr>
        <w:pStyle w:val="TextoNormal"/>
      </w:pPr>
    </w:p>
    <w:p w14:paraId="66D1C331" w14:textId="77777777" w:rsidR="003754FE" w:rsidRDefault="003754FE" w:rsidP="003754FE">
      <w:pPr>
        <w:pStyle w:val="TextoNormal"/>
      </w:pPr>
      <w:r>
        <w:t xml:space="preserve">d) Las medidas de “sometimiento” a observación, vigilancia del estado de salud, examen médico y pruebas diagnósticas de personas que presenten síntomas compatibles con la enfermedad transmisible o que, en general, supongan un riesgo de transmisión de dicha enfermedad (subapartado 4) y las pruebas diagnósticas de cribado [subapartado 6 iv)] afectan potencialmente, por su parte, a los derechos a la integridad física (art. 15 CE) y a la intimidad personal (art. 18 CE). La utilización de medios más o menos intrusivos para la realización de la medida determinará, en el caso concreto, el derecho fundamental específicamente afectado, pues la integridad física (art. 15 CE) y la intimidad personal (art. 18 CE) también </w:t>
      </w:r>
      <w:r>
        <w:lastRenderedPageBreak/>
        <w:t>guardan en nuestra doctrina, de modo similar a lo que ocurre con la libertad deambulatoria y la libertad de circulación, una cierta relación de grado.</w:t>
      </w:r>
    </w:p>
    <w:p w14:paraId="062DC476" w14:textId="77777777" w:rsidR="003754FE" w:rsidRDefault="003754FE" w:rsidP="003754FE">
      <w:pPr>
        <w:pStyle w:val="TextoNormal"/>
      </w:pPr>
    </w:p>
    <w:p w14:paraId="0F3A2AC4" w14:textId="77777777" w:rsidR="003754FE" w:rsidRDefault="003754FE" w:rsidP="003754FE">
      <w:pPr>
        <w:pStyle w:val="TextoNormal"/>
      </w:pPr>
      <w:r>
        <w:t xml:space="preserve">En particular, cuando el método en el que se concreten las referidas medidas suponga un riesgo, aunque sea meramente potencial, de lesión o menoscabo de la salud, existirá, de acuerdo con nuestra doctrina, una intromisión en el derecho fundamental a la integridad física” (STC 207/1996, de 16 de diciembre, FFJJ 2 y 3). Y lo mismo ocurrirá cuando la medida afecte a “la incolumidad corporal”, esto es, al derecho de la persona a no sufrir menoscabo “en su cuerpo o en su apariencia externa sin su consentimiento”, pues el hecho “de que la intervención coactiva en el cuerpo pueda suponer un malestar (esto es, producir sensaciones de dolor o sufrimiento) o un riesgo o daño para la salud supone un plus de afectación, mas no es una condición </w:t>
      </w:r>
      <w:r w:rsidRPr="003754FE">
        <w:rPr>
          <w:i/>
        </w:rPr>
        <w:t>sine qua non</w:t>
      </w:r>
      <w:r>
        <w:t xml:space="preserve"> para entender que existe una intromisión en el derecho fundamental a la integridad física” (STC 207/1996, de 16 de diciembre, FJ 2).</w:t>
      </w:r>
    </w:p>
    <w:p w14:paraId="77859DD0" w14:textId="77777777" w:rsidR="003754FE" w:rsidRDefault="003754FE" w:rsidP="003754FE">
      <w:pPr>
        <w:pStyle w:val="TextoNormal"/>
      </w:pPr>
    </w:p>
    <w:p w14:paraId="63AAFDB7" w14:textId="77777777" w:rsidR="003754FE" w:rsidRDefault="003754FE" w:rsidP="003754FE">
      <w:pPr>
        <w:pStyle w:val="TextoNormal"/>
      </w:pPr>
      <w:r>
        <w:t>En cambio, la afectación del art. 18 CE se producirá cuando el método empleado concierna el “criterio dominante en nuestra cultura sobre el recato corporal” (por todas, STC 37/1989, de 15 de febrero, FJ 7) y, en todo caso, cuando responda a una “la finalidad” de indagación de datos íntimos, como ocurre, evidentemente, cuando trata de averiguarse si una persona es portadora de una determinada enfermedad [SSTC 207/1996, FJ 3; 234/1997, de 18 de diciembre, FJ 9 B), y 206/2007, de 24 de septiembre, FJ 4].</w:t>
      </w:r>
    </w:p>
    <w:p w14:paraId="36D16FD0" w14:textId="77777777" w:rsidR="003754FE" w:rsidRDefault="003754FE" w:rsidP="003754FE">
      <w:pPr>
        <w:pStyle w:val="TextoNormal"/>
      </w:pPr>
    </w:p>
    <w:p w14:paraId="53F3ECBF" w14:textId="77777777" w:rsidR="003754FE" w:rsidRDefault="003754FE" w:rsidP="003754FE">
      <w:pPr>
        <w:pStyle w:val="TextoNormal"/>
      </w:pPr>
      <w:r>
        <w:t>e) Finalmente, la regla de cierre del subapartado 7 del art. 38.2 b) de la Ley 8/2008, en cuanto deja abierta la posibilidad de otras medidas de injerencia, no expresamente contempladas, sobre los mismos derechos fundamentales en los que ya inciden las medidas enumeradas en los subapartados anteriores, también afecta potencialmente a dichos derechos.</w:t>
      </w:r>
    </w:p>
    <w:p w14:paraId="337573E9" w14:textId="77777777" w:rsidR="003754FE" w:rsidRDefault="003754FE" w:rsidP="003754FE">
      <w:pPr>
        <w:pStyle w:val="TextoNormal"/>
      </w:pPr>
    </w:p>
    <w:p w14:paraId="79546C62" w14:textId="77777777" w:rsidR="003754FE" w:rsidRDefault="003754FE" w:rsidP="003754FE">
      <w:pPr>
        <w:pStyle w:val="TextoNormal"/>
      </w:pPr>
      <w:r>
        <w:t>B) Naturaleza de la afectación: restricción de derechos fundamentales</w:t>
      </w:r>
    </w:p>
    <w:p w14:paraId="3BD7288C" w14:textId="77777777" w:rsidR="003754FE" w:rsidRDefault="003754FE" w:rsidP="003754FE">
      <w:pPr>
        <w:pStyle w:val="TextoNormal"/>
      </w:pPr>
    </w:p>
    <w:p w14:paraId="44099994" w14:textId="77777777" w:rsidR="003754FE" w:rsidRDefault="003754FE" w:rsidP="003754FE">
      <w:pPr>
        <w:pStyle w:val="TextoNormal"/>
      </w:pPr>
      <w:r>
        <w:t>La regulación expuesta no solo afecta a derechos fundamentales, sino que responde, además, a las características propias de las medidas de restricción o limitación de dichos derechos. Al respecto han de hacerse las siguientes consideraciones:</w:t>
      </w:r>
    </w:p>
    <w:p w14:paraId="51E73DAC" w14:textId="77777777" w:rsidR="003754FE" w:rsidRDefault="003754FE" w:rsidP="003754FE">
      <w:pPr>
        <w:pStyle w:val="TextoNormal"/>
      </w:pPr>
    </w:p>
    <w:p w14:paraId="3966449E" w14:textId="77777777" w:rsidR="003754FE" w:rsidRDefault="003754FE" w:rsidP="003754FE">
      <w:pPr>
        <w:pStyle w:val="TextoNormal"/>
      </w:pPr>
      <w:r>
        <w:t>a) Los términos “imposición”, “sometimiento”, “aislamiento”, “internamiento”, “limitación” y “restricción”, utilizados en los diversos subapartados del precepto impugnado, muestran que nos encontramos ante intervenciones de la administración pública que no están necesariamente supeditadas a la prestación de consentimiento. Las facultades de autodeterminación características de los arts. 15, 17, 18.1, 19 y 21.1 CE quedan, con ello, potencialmente excluidas, lo que supone que el alcance material de estos derechos fundamentales resulta legalmente restringido o limitado.</w:t>
      </w:r>
    </w:p>
    <w:p w14:paraId="31182281" w14:textId="77777777" w:rsidR="003754FE" w:rsidRDefault="003754FE" w:rsidP="003754FE">
      <w:pPr>
        <w:pStyle w:val="TextoNormal"/>
      </w:pPr>
    </w:p>
    <w:p w14:paraId="57614CDE" w14:textId="77777777" w:rsidR="003754FE" w:rsidRDefault="003754FE" w:rsidP="003754FE">
      <w:pPr>
        <w:pStyle w:val="TextoNormal"/>
      </w:pPr>
      <w:r>
        <w:t xml:space="preserve">b) Ha de tenerse en cuenta, asimismo, que la propia Ley de salud de Galicia, en la redacción dada por la Ley 8/2021, establece un nuevo régimen sancionador, en los arts. 41 </w:t>
      </w:r>
      <w:r w:rsidRPr="003754FE">
        <w:rPr>
          <w:i/>
        </w:rPr>
        <w:t>bis</w:t>
      </w:r>
      <w:r>
        <w:t xml:space="preserve">, 42 </w:t>
      </w:r>
      <w:r w:rsidRPr="003754FE">
        <w:rPr>
          <w:i/>
        </w:rPr>
        <w:t>bis</w:t>
      </w:r>
      <w:r>
        <w:t xml:space="preserve"> y 43 </w:t>
      </w:r>
      <w:r w:rsidRPr="003754FE">
        <w:rPr>
          <w:i/>
        </w:rPr>
        <w:t>bis</w:t>
      </w:r>
      <w:r>
        <w:t xml:space="preserve"> (no impugnados), específicamente dirigido a sancionar los casos de “falta de cumplimiento voluntario” de las medidas previstas en los distintos subapartados del art. 38.2 b) de la Ley 8/2008, lo que revela, con más claridad aún, que dichas medidas tienen un significado coactivo.</w:t>
      </w:r>
    </w:p>
    <w:p w14:paraId="793C6EEA" w14:textId="77777777" w:rsidR="003754FE" w:rsidRDefault="003754FE" w:rsidP="003754FE">
      <w:pPr>
        <w:pStyle w:val="TextoNormal"/>
      </w:pPr>
    </w:p>
    <w:p w14:paraId="62D1C29D" w14:textId="77777777" w:rsidR="003754FE" w:rsidRDefault="003754FE" w:rsidP="003754FE">
      <w:pPr>
        <w:pStyle w:val="TextoNormal"/>
      </w:pPr>
      <w:r>
        <w:lastRenderedPageBreak/>
        <w:t xml:space="preserve">c) Es más, el art. 38 </w:t>
      </w:r>
      <w:r w:rsidRPr="003754FE">
        <w:rPr>
          <w:i/>
        </w:rPr>
        <w:t>ter</w:t>
      </w:r>
      <w:r>
        <w:t xml:space="preserve"> de la Ley 8/2008, en su apartado 6 (relativo a la ejecución de todas las medidas previstas en su art. 38, incluidas las impugnadas) autoriza, cuando resulte necesario y proporcionado, acudir a la “compulsión directa sobre las personas” y ello “con independencia de las sanciones que, en su caso, puedan imponerse”.</w:t>
      </w:r>
    </w:p>
    <w:p w14:paraId="103A01E9" w14:textId="77777777" w:rsidR="003754FE" w:rsidRDefault="003754FE" w:rsidP="003754FE">
      <w:pPr>
        <w:pStyle w:val="TextoNormal"/>
      </w:pPr>
    </w:p>
    <w:p w14:paraId="26A8C489" w14:textId="77777777" w:rsidR="003754FE" w:rsidRDefault="003754FE" w:rsidP="003754FE">
      <w:pPr>
        <w:pStyle w:val="TextoNormal"/>
      </w:pPr>
      <w:r>
        <w:t xml:space="preserve">Se contempla, en definitiva, el uso de la coacción jurídica (a través de un régimen sancionador) y de la coacción física (a través de la compulsión), lo que revela que las medidas no solo son jurídicamente “obligatorias” [en expresión que utiliza el art. 38 </w:t>
      </w:r>
      <w:r w:rsidRPr="003754FE">
        <w:rPr>
          <w:i/>
        </w:rPr>
        <w:t>ter</w:t>
      </w:r>
      <w:r>
        <w:t>.2,c) de la Ley 8/2008], lo que ya las convertiría en medidas de restricción, sino que pueden llegar al grado máximo de coactividad posible, pues pueden ser ejecutadas con uso d</w:t>
      </w:r>
      <w:r w:rsidRPr="003754FE">
        <w:rPr>
          <w:i/>
        </w:rPr>
        <w:t>e vis physi</w:t>
      </w:r>
      <w:r>
        <w:t>ca si resulta imprescindible.</w:t>
      </w:r>
    </w:p>
    <w:p w14:paraId="167C3A67" w14:textId="77777777" w:rsidR="003754FE" w:rsidRDefault="003754FE" w:rsidP="003754FE">
      <w:pPr>
        <w:pStyle w:val="TextoNormal"/>
      </w:pPr>
    </w:p>
    <w:p w14:paraId="3ED16497" w14:textId="77777777" w:rsidR="003754FE" w:rsidRDefault="003754FE" w:rsidP="003754FE">
      <w:pPr>
        <w:pStyle w:val="TextoNormal"/>
      </w:pPr>
      <w:r>
        <w:t>d) Debe hacerse, en todo caso, una mención particular a la medida de vacunación o inmunización prevista en el subapartado 5 del art. 38.2 b) de la Ley 8/2008. Como ya se anticipó en el fundamento jurídico 2 B), con posterioridad a la interposición del presente recurso de inconstitucionalidad ha entrado en vigor una nueva disposición adicional (segunda) en la Ley de salud de Galicia (introducida por el art. 34 de la Ley del Parlamento de Galicia 18/2021, de 27 de diciembre). Dicha norma establece que la administración pública sanitaria gallega ha de aplicar las medidas del referido subapartado “de acuerdo con lo establecido para cada patología por la administración general del Estado en el ejercicio de sus competencias de coordinación general de la sanidad, en la estrategia nacional de vacunación que esté vigente en cada momento y en el marco de lo que determine el Consejo Interterritorial del Sistema Nacional de Salud”. Dispone, asimismo, que la vacunación tendrá “con carácter general […] carácter voluntario” y que las campañas se articularán sobre “el principio de colaboración voluntaria”.</w:t>
      </w:r>
    </w:p>
    <w:p w14:paraId="3FBB9BD6" w14:textId="77777777" w:rsidR="003754FE" w:rsidRDefault="003754FE" w:rsidP="003754FE">
      <w:pPr>
        <w:pStyle w:val="TextoNormal"/>
      </w:pPr>
    </w:p>
    <w:p w14:paraId="451B28C0" w14:textId="77777777" w:rsidR="003754FE" w:rsidRDefault="003754FE" w:rsidP="003754FE">
      <w:pPr>
        <w:pStyle w:val="TextoNormal"/>
      </w:pPr>
      <w:r>
        <w:t>En realidad, como ya se advirtió en el fundamento jurídico 2, el Estado y la Comunidad Autónoma de Galicia han introducido esta nueva disposición adicional de la Ley de salud de Galicia sin modificar paralelamente el precepto aquí impugnado y, en particular, sin alterar el potencial significado de la medida de “sometimiento” a vacunación en él prevista como restricción del derecho fundamental del art. 15 CE. La nueva disposición no afecta al tenor y la naturaleza de la medida de intromisión contemplada en el subapartado mencionado, que sigue expresándose en términos que admiten la imposición no consentida de la vacunación. Y es que el hecho de que la vacunación sea, con carácter general, voluntaria y que las campañas de la administración sanitaria incentiven la cooperación del ciudadano no excluye el eventual “sometimiento” a vacunación en supuestos particulares en los que las directrices de coordinación del Estado así lo admitan, aunque sea de modo excepcional o marginal.</w:t>
      </w:r>
    </w:p>
    <w:p w14:paraId="4C550D6F" w14:textId="77777777" w:rsidR="003754FE" w:rsidRDefault="003754FE" w:rsidP="003754FE">
      <w:pPr>
        <w:pStyle w:val="TextoNormal"/>
      </w:pPr>
    </w:p>
    <w:p w14:paraId="32C13A2D" w14:textId="77777777" w:rsidR="003754FE" w:rsidRDefault="003754FE" w:rsidP="003754FE">
      <w:pPr>
        <w:pStyle w:val="TextoNormal"/>
      </w:pPr>
      <w:r>
        <w:t xml:space="preserve">Tal conclusión se ve reforzada con la pervivencia, dentro del régimen sancionador de la Ley de salud de Galicia introducido por la Ley 8/2021, de la infracción consistente en “[l]a negativa injustificada al sometimiento a medidas de prevención consistentes en la vacunación o inmunización prescritas por las autoridades sanitarias, de acuerdo con lo establecido en la presente ley, con la finalidad de prevención y control de una enfermedad infectocontagiosa transmisible” [art. 41 </w:t>
      </w:r>
      <w:r w:rsidRPr="003754FE">
        <w:rPr>
          <w:i/>
        </w:rPr>
        <w:t>bis</w:t>
      </w:r>
      <w:r>
        <w:t xml:space="preserve"> d) de la Ley 8/2008]. Sobre la medida sigue proyectándose también la posibilidad de ejercicio de compulsión sobre las personas, de acuerdo con el art. 3</w:t>
      </w:r>
      <w:r w:rsidRPr="003754FE">
        <w:rPr>
          <w:i/>
        </w:rPr>
        <w:t>8 t</w:t>
      </w:r>
      <w:r>
        <w:t>er.6 de la Ley 8/2008.</w:t>
      </w:r>
    </w:p>
    <w:p w14:paraId="21B24075" w14:textId="77777777" w:rsidR="003754FE" w:rsidRDefault="003754FE" w:rsidP="003754FE">
      <w:pPr>
        <w:pStyle w:val="TextoNormal"/>
      </w:pPr>
    </w:p>
    <w:p w14:paraId="37432C13" w14:textId="77777777" w:rsidR="003754FE" w:rsidRDefault="003754FE" w:rsidP="003754FE">
      <w:pPr>
        <w:pStyle w:val="TextoNormal"/>
      </w:pPr>
      <w:r>
        <w:lastRenderedPageBreak/>
        <w:t>En definitiva, el subapartado 5 no ha perdido su naturaleza de norma habilitadora de una restricción del derecho fundamental del art. 15 CE, por más que esa restricción solo pueda efectuarse, por mandato de la disposición adicional segunda de la Ley de salud de Galicia, en casos excepcionales y en la medida en que las concretas directrices estatales en materia de vacunación así lo admitan.</w:t>
      </w:r>
    </w:p>
    <w:p w14:paraId="13320452" w14:textId="77777777" w:rsidR="003754FE" w:rsidRDefault="003754FE" w:rsidP="003754FE">
      <w:pPr>
        <w:pStyle w:val="TextoNormal"/>
      </w:pPr>
    </w:p>
    <w:p w14:paraId="23EC4FA3" w14:textId="77777777" w:rsidR="003754FE" w:rsidRDefault="003754FE" w:rsidP="003754FE">
      <w:pPr>
        <w:pStyle w:val="TextoNormal"/>
      </w:pPr>
      <w:r>
        <w:t>C) Regulación de aspectos esenciales del derecho fundamental</w:t>
      </w:r>
    </w:p>
    <w:p w14:paraId="176BFD07" w14:textId="77777777" w:rsidR="003754FE" w:rsidRDefault="003754FE" w:rsidP="003754FE">
      <w:pPr>
        <w:pStyle w:val="TextoNormal"/>
      </w:pPr>
    </w:p>
    <w:p w14:paraId="72AAB9C1" w14:textId="77777777" w:rsidR="003754FE" w:rsidRDefault="003754FE" w:rsidP="003754FE">
      <w:pPr>
        <w:pStyle w:val="TextoNormal"/>
      </w:pPr>
      <w:r>
        <w:t>Sentado que el objeto de normación de los distintos subapartados del art. 38.2 b) inciso segundo de la Ley 8/2008, consiste en la regulación de medidas de intervención restrictivas de los derechos contemplados en los arts. 15, 17, 18.1, 19 y 21.1 CE, es claro que nos encontramos ante un ámbito normativo reservado por la Constitución al legislador orgánico.</w:t>
      </w:r>
    </w:p>
    <w:p w14:paraId="4A2A471F" w14:textId="77777777" w:rsidR="003754FE" w:rsidRDefault="003754FE" w:rsidP="003754FE">
      <w:pPr>
        <w:pStyle w:val="TextoNormal"/>
      </w:pPr>
    </w:p>
    <w:p w14:paraId="0DB01F41" w14:textId="77777777" w:rsidR="003754FE" w:rsidRDefault="003754FE" w:rsidP="003754FE">
      <w:pPr>
        <w:pStyle w:val="TextoNormal"/>
      </w:pPr>
      <w:r>
        <w:t>No obstante, la exposición de motivos de la Ley 8/2021 trata de justificar que la reserva de ley orgánica ha sido respetada con la siguiente declaración (apartado II):</w:t>
      </w:r>
    </w:p>
    <w:p w14:paraId="316482C8" w14:textId="77777777" w:rsidR="003754FE" w:rsidRDefault="003754FE" w:rsidP="003754FE">
      <w:pPr>
        <w:pStyle w:val="TextoNormal"/>
      </w:pPr>
    </w:p>
    <w:p w14:paraId="0F6E1F0B" w14:textId="77777777" w:rsidR="003754FE" w:rsidRDefault="003754FE" w:rsidP="003754FE">
      <w:pPr>
        <w:pStyle w:val="TextoNormal"/>
      </w:pPr>
      <w:r>
        <w:t>“[E]n el ámbito concreto de las medidas de protección de la salud pública, el legislador orgánico, a través de la Ley Orgánica 3/1986, de 14 de abril, configuró la protección de la salud pública, dada su evidente conexión con el derecho a la vida y a la integridad física, como derecho constitucionalmente protegido que puede operar como límite de los derechos fundamentales y libertades públicas, a través de la adopción, por parte de las autoridades sanitarias competentes, de las necesarias medidas para salvaguardar aquella. Dicha ley orgánica contempla, además, los presupuestos y las condiciones para tal intervención limitativa de derechos y libertades, al delimitar tanto el ámbito material (la salud pública) como la exigencia de que esas razones sanitarias que demandan la adopción de las medidas sean urgentes y necesarias y la finalidad de tales medidas (la protección de la salud pública y la prevención de su pérdida o deterioro, con atención particular, en su artículo tercero, a la finalidad de controlar las enfermedades transmisibles). La ley orgánica efectúa así, en aplicación del artículo 81 de la Constitución española, un desarrollo directo o primario respecto a los límites a que puedan quedar sometidos los derechos fundamentales y las libertades públicas a favor de la protección de la salud pública, precisando las condiciones esenciales que deben concurrir para la adopción, por parte de las autoridades sanitarias competentes, de medidas limitativas con tal fin; un desarrollo que, con arreglo a la doctrina constitucional expuesta, puede concretarse, respetando las condiciones esenciales establecidas en dicha ley orgánica, por el legislador ordinario competente en la materia (en este caso, por el legislador autonómico en ejercicio de las competencias en materia de sanidad interior)”.</w:t>
      </w:r>
    </w:p>
    <w:p w14:paraId="1BAE0217" w14:textId="77777777" w:rsidR="003754FE" w:rsidRDefault="003754FE" w:rsidP="003754FE">
      <w:pPr>
        <w:pStyle w:val="TextoNormal"/>
      </w:pPr>
    </w:p>
    <w:p w14:paraId="6C1EC704" w14:textId="77777777" w:rsidR="003754FE" w:rsidRDefault="003754FE" w:rsidP="003754FE">
      <w:pPr>
        <w:pStyle w:val="TextoNormal"/>
      </w:pPr>
      <w:r>
        <w:t>Según puede observarse, el legislador gallego sostiene que la reserva de ley orgánica queda respetada en tanto el legislador orgánico tendría la misión exclusiva, en el ámbito de las restricciones de derechos fundamentales por razones de salud pública, de realizar una habilitación abstracta de injerencia, condicionada a que se adopte en el “ámbito material” de la “salud pública”, a que obedezca a “razones sanitarias” y a que se traduzca en medidas realmente “urgentes y necesarias”. El ámbito de “desarrollo directo o primario” conferido al legislador orgánico consistiría, en definitiva, en una habilitación genérica, sujeta a algunos principios básicos o “condiciones esenciales”, a partir de los cuales el legislador ordinario podría establecer ya las concretas medidas de restricción.</w:t>
      </w:r>
    </w:p>
    <w:p w14:paraId="07890DE3" w14:textId="77777777" w:rsidR="003754FE" w:rsidRDefault="003754FE" w:rsidP="003754FE">
      <w:pPr>
        <w:pStyle w:val="TextoNormal"/>
      </w:pPr>
    </w:p>
    <w:p w14:paraId="3A31D056" w14:textId="77777777" w:rsidR="003754FE" w:rsidRDefault="003754FE" w:rsidP="003754FE">
      <w:pPr>
        <w:pStyle w:val="TextoNormal"/>
      </w:pPr>
      <w:r>
        <w:lastRenderedPageBreak/>
        <w:t>La delimitación del ámbito de la reserva del art. 81.1 CE que resulta de nuestra doctrina no coincide, sin embargo, con esta declaración de la exposición de motivos de la Ley 8/2021, pues, tal y como se ha expuesto [</w:t>
      </w:r>
      <w:r w:rsidRPr="003754FE">
        <w:rPr>
          <w:i/>
        </w:rPr>
        <w:t>vid. supra</w:t>
      </w:r>
      <w:r>
        <w:t>, FJ 5.2 B)], dicho precepto constitucional exige al legislador orgánico algo más que la mera habilitación genérica de la injerencia, acompañada de la enunciación de algunas pautas generales o principios abstractos. La tarea encomendada a la ley orgánica es, en realidad, la determinación “en negativo” del alcance del derecho fundamental mismo, ya que lo propio de la restricción es reducir el ámbito material de protección del derecho en ciertos supuestos concretos en los que deben prevalecer otros bienes jurídicos. Por ello, la labor primordial del legislador orgánico es, justamente, determinar las medidas de restricción o injerencia que pueden acordarse y no, como parece desprenderse del preámbulo de la Ley 8/2021, proporcionar algunas directrices generales a partir de las cuales el legislador ordinario pueda establecer las referidas medidas.</w:t>
      </w:r>
    </w:p>
    <w:p w14:paraId="6BC26035" w14:textId="77777777" w:rsidR="003754FE" w:rsidRDefault="003754FE" w:rsidP="003754FE">
      <w:pPr>
        <w:pStyle w:val="TextoNormal"/>
      </w:pPr>
    </w:p>
    <w:p w14:paraId="6626F532" w14:textId="77777777" w:rsidR="003754FE" w:rsidRDefault="003754FE" w:rsidP="003754FE">
      <w:pPr>
        <w:pStyle w:val="TextoNormal"/>
      </w:pPr>
      <w:r>
        <w:t xml:space="preserve">Esa tarea delimitadora del ámbito de eficacia del derecho, reservada al legislador orgánico, es, justamente, la que el legislador ordinario gallego ha realizado a través de la determinación de las diversas medidas de restricción, por lo que, </w:t>
      </w:r>
      <w:r w:rsidRPr="003754FE">
        <w:rPr>
          <w:i/>
        </w:rPr>
        <w:t>prima facie</w:t>
      </w:r>
      <w:r>
        <w:t>, es claro que se ha infringido lo dispuesto en el art. 81.1 CE. Con todo, someteremos esta conclusión a los criterios hermenéuticos auxiliares que, tal y como se explicó, resultan de la doctrina de este tribunal.</w:t>
      </w:r>
    </w:p>
    <w:p w14:paraId="3BC6ECB4" w14:textId="77777777" w:rsidR="003754FE" w:rsidRDefault="003754FE" w:rsidP="003754FE">
      <w:pPr>
        <w:pStyle w:val="TextoNormal"/>
      </w:pPr>
    </w:p>
    <w:p w14:paraId="3107B1C4" w14:textId="77777777" w:rsidR="003754FE" w:rsidRDefault="003754FE" w:rsidP="003754FE">
      <w:pPr>
        <w:pStyle w:val="TextoNormal"/>
      </w:pPr>
      <w:r>
        <w:t>D) Criterios interpretativos auxiliares</w:t>
      </w:r>
    </w:p>
    <w:p w14:paraId="75E62FF4" w14:textId="77777777" w:rsidR="003754FE" w:rsidRDefault="003754FE" w:rsidP="003754FE">
      <w:pPr>
        <w:pStyle w:val="TextoNormal"/>
      </w:pPr>
    </w:p>
    <w:p w14:paraId="5A4DD0C2" w14:textId="77777777" w:rsidR="003754FE" w:rsidRDefault="003754FE" w:rsidP="003754FE">
      <w:pPr>
        <w:pStyle w:val="TextoNormal"/>
      </w:pPr>
      <w:r>
        <w:t>La doctrina de este tribunal establece dos criterios interpretativos auxiliares [</w:t>
      </w:r>
      <w:r w:rsidRPr="003754FE">
        <w:rPr>
          <w:i/>
        </w:rPr>
        <w:t>vid. supra</w:t>
      </w:r>
      <w:r>
        <w:t xml:space="preserve"> FJ 5.2 C)] para enjuiciar la posible vulneración de la reserva de ley orgánica: a) el examen de la delimitación realizada por el propio legislador orgánico de su ámbito de regulación y b) la intensidad de la relación que la regulación impugnada presenta con la definición del ámbito material del derecho fundamental.</w:t>
      </w:r>
    </w:p>
    <w:p w14:paraId="3C5FFCF6" w14:textId="77777777" w:rsidR="003754FE" w:rsidRDefault="003754FE" w:rsidP="003754FE">
      <w:pPr>
        <w:pStyle w:val="TextoNormal"/>
      </w:pPr>
    </w:p>
    <w:p w14:paraId="106DAFD7" w14:textId="77777777" w:rsidR="003754FE" w:rsidRDefault="003754FE" w:rsidP="003754FE">
      <w:pPr>
        <w:pStyle w:val="TextoNormal"/>
      </w:pPr>
      <w:r>
        <w:t>a) En cuanto al primer criterio aludido, la realidad es que la Ley Orgánica 3/1986, de 14 de abril, no reserva papel alguno al legislador ordinario en lo relativo a la determinación más precisa o a la concreción final de las medidas de restricción de los derechos fundamentales de la sección primera, capítulo II, título I CE. Dicha ley orgánica se refiere en todo momento a las medidas “especiales” que pueden ser adoptadas por las administraciones competentes, sin realizar ninguna remisión, siquiera implícita, a una actividad normativa intermedia o complementaria. Un análisis de la tramitación parlamentaria de dicha ley orgánica revela, de hecho, que el legislador orgánico asumió, desde un primer momento, la tarea de determinar las concretas medidas de intervención que afectaban a derechos comprendidos en el art. 81.1 CE.</w:t>
      </w:r>
    </w:p>
    <w:p w14:paraId="173A8535" w14:textId="77777777" w:rsidR="003754FE" w:rsidRDefault="003754FE" w:rsidP="003754FE">
      <w:pPr>
        <w:pStyle w:val="TextoNormal"/>
      </w:pPr>
    </w:p>
    <w:p w14:paraId="22D5DFD3" w14:textId="77777777" w:rsidR="003754FE" w:rsidRDefault="003754FE" w:rsidP="003754FE">
      <w:pPr>
        <w:pStyle w:val="TextoNormal"/>
      </w:pPr>
      <w:r>
        <w:t xml:space="preserve">Resulta pertinente recordar que la Ley Orgánica 3/1986, de 14 de abril, de medidas especiales en materia de salud pública, fue tramitada conjuntamente con la Ley 14/1986, de 25 de abril, general de sanidad y que ambas leyes formaban parte originariamente de un único “proyecto de ley general de sanidad” en el que se incluían (dentro del capítulo dedicado a “la intervención pública en relación con la salud individual y colectiva”) todas las medidas administrativas de intervención en los derechos y libertades de los ciudadanos, estuvieran o no comprendidos en el art. 81.1 CE. No obstante, en la tramitación parlamentaria, el Pleno del Congreso de los Diputados, en sesión de 12 de noviembre de 1985, a propuesta unánime de la junta de portavoces, consideró que tres artículos del proyecto de </w:t>
      </w:r>
      <w:r>
        <w:lastRenderedPageBreak/>
        <w:t>ley inicial (21, 22 y 29) debían ser tramitados separadamente, como proyecto de ley orgánica, ya que contenían medidas de intervención administrativa que limitaban los derechos fundamentales de la sección primera, capítulo II, título I de la Constitución, y constituían, por tal razón, un desarrollo directo de dichos derechos. Los tres artículos fueron desgajados del proyecto de ley inicial y dieron lugar, así, a la Ley Orgánica 3/1986, de 14 de abril.</w:t>
      </w:r>
    </w:p>
    <w:p w14:paraId="2F486044" w14:textId="77777777" w:rsidR="003754FE" w:rsidRDefault="003754FE" w:rsidP="003754FE">
      <w:pPr>
        <w:pStyle w:val="TextoNormal"/>
      </w:pPr>
    </w:p>
    <w:p w14:paraId="75A8DBF7" w14:textId="77777777" w:rsidR="003754FE" w:rsidRDefault="003754FE" w:rsidP="003754FE">
      <w:pPr>
        <w:pStyle w:val="TextoNormal"/>
      </w:pPr>
      <w:r>
        <w:t>Se mantuvieron, en cambio, dentro de la Ley general de sanidad, de acuerdo con su naturaleza de ley ordinaria, las medidas de restricción de derechos no sujetos a reserva de ley orgánica, especialmente las restricciones del derecho de propiedad y la libertad de empresa (como la intervención administrativa de actividades o del uso y tráfico de bienes, la incautación e inmovilización de productos, la suspensión del ejercicio de actividades, los cierres de empresas, la intervención de medios materiales y personales y el control de la publicidad y propaganda comerciales, con sujeción en todo caso al principio de proporcionalidad).</w:t>
      </w:r>
    </w:p>
    <w:p w14:paraId="597DE7A8" w14:textId="77777777" w:rsidR="003754FE" w:rsidRDefault="003754FE" w:rsidP="003754FE">
      <w:pPr>
        <w:pStyle w:val="TextoNormal"/>
      </w:pPr>
    </w:p>
    <w:p w14:paraId="5D3B4614" w14:textId="77777777" w:rsidR="003754FE" w:rsidRDefault="003754FE" w:rsidP="003754FE">
      <w:pPr>
        <w:pStyle w:val="TextoNormal"/>
      </w:pPr>
      <w:r>
        <w:t>También se mantuvieron dentro de la ley ordinaria las reglas complementarias de organización o procedimiento, instrumentadas a facilitar la efectividad de las diversas medidas de restricción (como la creación de registros y el análisis de información necesarios para tomar conocimiento de las situaciones que pueden llevar a adoptar medidas de intervención, las potestades inspectoras de la administración sanitaria, el sometimiento a autorización de actividades potencialmente peligrosas para la salud pública y la exigencia de autorización previa de los establecimientos y centros sanitarios y de las actividades de promoción y publicidad de estos).</w:t>
      </w:r>
    </w:p>
    <w:p w14:paraId="7D23673E" w14:textId="77777777" w:rsidR="003754FE" w:rsidRDefault="003754FE" w:rsidP="003754FE">
      <w:pPr>
        <w:pStyle w:val="TextoNormal"/>
      </w:pPr>
    </w:p>
    <w:p w14:paraId="06B631BA" w14:textId="77777777" w:rsidR="003754FE" w:rsidRDefault="003754FE" w:rsidP="003754FE">
      <w:pPr>
        <w:pStyle w:val="TextoNormal"/>
      </w:pPr>
      <w:r>
        <w:t>La delimitación del ámbito propio del legislador orgánico y del legislador ordinario fue, por tanto, inequívoca. Las concretas medidas de restricción de derechos de la sección primera, capítulo II, título I de la Constitución debían regularse en la ley orgánica mientras que la Ley general de sanidad, como ley ordinaria, debía contener las medidas de restricción de otros derechos fundamentales, así como las reglas instrumentales o complementarias para su aplicación. No es cierto, en definitiva, que se incluyera en la Ley Orgánica 3/1986 una mera habilitación de injerencia, que hubiera de ser especificada en la ley ordinaria a través de concretas medidas de restricción.</w:t>
      </w:r>
    </w:p>
    <w:p w14:paraId="57BD1CAA" w14:textId="77777777" w:rsidR="003754FE" w:rsidRDefault="003754FE" w:rsidP="003754FE">
      <w:pPr>
        <w:pStyle w:val="TextoNormal"/>
      </w:pPr>
    </w:p>
    <w:p w14:paraId="2C5E088D" w14:textId="77777777" w:rsidR="003754FE" w:rsidRDefault="003754FE" w:rsidP="003754FE">
      <w:pPr>
        <w:pStyle w:val="TextoNormal"/>
      </w:pPr>
      <w:r>
        <w:t>Cabe apostillar que el criterio delimitador seguido por las dos leyes de 1986 no ha resultado alterado con posterioridad. En particular, la regulación contenida en la Ley 33/2011, de 4 de octubre, general de salud pública (también de naturaleza ordinaria), de las potestades de la autoridad sanitaria estatal (título V) incluye diversas “medidas especiales y cautelares” (como la inmovilización de productos y sustancias, la intervención de medios materiales y personales, el cierre preventivo de instalaciones, establecimientos, servicios o industrias, la suspensión del ejercicio de actividades o la fijación de condiciones para corregir deficiencias detectadas en instalaciones, establecimientos, servicios e industrias, todo ello, nuevamente, con sujeción al principio de proporcionalidad), que, en coherencia con la línea seguida por la Ley 14/1986, de 25 de abril, afectan exclusivamente a derechos fundamentales no sometidos a reserva de ley orgánica, muy particularmente al derecho de propiedad y a la libertad de empresa (art. 54).</w:t>
      </w:r>
    </w:p>
    <w:p w14:paraId="3B826D31" w14:textId="77777777" w:rsidR="003754FE" w:rsidRDefault="003754FE" w:rsidP="003754FE">
      <w:pPr>
        <w:pStyle w:val="TextoNormal"/>
      </w:pPr>
    </w:p>
    <w:p w14:paraId="304B8874" w14:textId="77777777" w:rsidR="003754FE" w:rsidRDefault="003754FE" w:rsidP="003754FE">
      <w:pPr>
        <w:pStyle w:val="TextoNormal"/>
      </w:pPr>
      <w:r>
        <w:t>En definitiva, el análisis concreto de la legislación orgánica en vigor confirma la apreciación efectuada</w:t>
      </w:r>
      <w:r w:rsidRPr="003754FE">
        <w:rPr>
          <w:i/>
        </w:rPr>
        <w:t>, prima fac</w:t>
      </w:r>
      <w:r>
        <w:t>ie, acerca de la invasión de contenidos regulatorios reservados al legislador orgánico.</w:t>
      </w:r>
    </w:p>
    <w:p w14:paraId="146FB65B" w14:textId="77777777" w:rsidR="003754FE" w:rsidRDefault="003754FE" w:rsidP="003754FE">
      <w:pPr>
        <w:pStyle w:val="TextoNormal"/>
      </w:pPr>
    </w:p>
    <w:p w14:paraId="5C141676" w14:textId="77777777" w:rsidR="003754FE" w:rsidRDefault="003754FE" w:rsidP="003754FE">
      <w:pPr>
        <w:pStyle w:val="TextoNormal"/>
      </w:pPr>
      <w:r>
        <w:t>b) Entrando en el segundo criterio auxiliar de exégesis, no puede acogerse el argumento de los letrados de la Xunta de Galicia y del Parlamento gallego según el cual la norma autonómica impugnada ha de reputarse constitucional porque únicamente pretende dotar de mayor certidumbre o predeterminación a la regulación contenida en la ley orgánica estatal, argumento este sobre el que pivota, igualmente, la justificación de la exposición de motivos.</w:t>
      </w:r>
    </w:p>
    <w:p w14:paraId="06B7C7D6" w14:textId="77777777" w:rsidR="003754FE" w:rsidRDefault="003754FE" w:rsidP="003754FE">
      <w:pPr>
        <w:pStyle w:val="TextoNormal"/>
      </w:pPr>
    </w:p>
    <w:p w14:paraId="20EA99A8" w14:textId="77777777" w:rsidR="003754FE" w:rsidRDefault="003754FE" w:rsidP="003754FE">
      <w:pPr>
        <w:pStyle w:val="TextoNormal"/>
      </w:pPr>
      <w:r>
        <w:t xml:space="preserve">El requisito de certidumbre o predeterminación implica, de acuerdo con nuestra doctrina, que la norma de restricción o limitación de un derecho fundamental ha de ser “suficientemente precisa y previsible en cuanto su aplicación y duración”. Por ello, “la insuficiente predeterminación </w:t>
      </w:r>
      <w:r w:rsidRPr="003754FE">
        <w:rPr>
          <w:i/>
        </w:rPr>
        <w:t>ex ante</w:t>
      </w:r>
      <w:r>
        <w:t>” de la restricción o limitación constituye “un defecto inmanente de la redacción legal del precepto” que afecta “a la calidad de la ley, esto es, a la accesibilidad y previsibilidad del alcance de la norma” (SSTC 184/2003, de 23 de octubre, FJ 3; 261/2015, de 14 de diciembre, FJ 5; 25/2022, de 23 de febrero, FJ 7, y 42/2022, de 21 de marzo, FJ 3).</w:t>
      </w:r>
    </w:p>
    <w:p w14:paraId="49582D40" w14:textId="77777777" w:rsidR="003754FE" w:rsidRDefault="003754FE" w:rsidP="003754FE">
      <w:pPr>
        <w:pStyle w:val="TextoNormal"/>
      </w:pPr>
    </w:p>
    <w:p w14:paraId="24E084E4" w14:textId="77777777" w:rsidR="003754FE" w:rsidRDefault="003754FE" w:rsidP="003754FE">
      <w:pPr>
        <w:pStyle w:val="TextoNormal"/>
      </w:pPr>
      <w:r>
        <w:t xml:space="preserve">Del mismo modo, el Tribunal Europeo de Derechos Humanos afirma que las restricciones de derechos incluidos en el Convenio, para ser consideradas legítimas, deben estar previstas en una norma que cumpla las exigencias del principio de calidad de la ley, accesible para sus destinatarios y lo suficientemente precisa para hacer previsibles sus consecuencias [SSTEDH de 26 de abril de 1979, caso </w:t>
      </w:r>
      <w:r w:rsidRPr="003754FE">
        <w:rPr>
          <w:i/>
        </w:rPr>
        <w:t>Sunday Times (núm. 1) c. Reino Unido</w:t>
      </w:r>
      <w:r>
        <w:t>, § 49, y más recientemente, de 15 de octubre de 2015, cas</w:t>
      </w:r>
      <w:r w:rsidRPr="003754FE">
        <w:rPr>
          <w:i/>
        </w:rPr>
        <w:t>o Kudrevićius y otros c. Lituan</w:t>
      </w:r>
      <w:r>
        <w:t>ia, § 108, y las allí citadas].</w:t>
      </w:r>
    </w:p>
    <w:p w14:paraId="24444FB0" w14:textId="77777777" w:rsidR="003754FE" w:rsidRDefault="003754FE" w:rsidP="003754FE">
      <w:pPr>
        <w:pStyle w:val="TextoNormal"/>
      </w:pPr>
    </w:p>
    <w:p w14:paraId="6EAABE2A" w14:textId="77777777" w:rsidR="003754FE" w:rsidRDefault="003754FE" w:rsidP="003754FE">
      <w:pPr>
        <w:pStyle w:val="TextoNormal"/>
      </w:pPr>
      <w:r>
        <w:t>Salta a la vista, en esta doctrina, la estrecha relación que el requisito de calidad de la ley, en cuanto exige delimitar los concretos contornos de la restricción para dotar de certidumbre a su alcance, tiene con la determinación del ámbito material del derecho fundamental afectado. Esa relación es, desde luego, más intensa que la que puede presentar con las pautas o reglas instrumentales de aplicación. De ahí que, aun si se aceptase a efectos puramente dialécticos la premisa según la cual la ley impugnada solo trata de suplir un déficit de concreción o predeterminación detectado en la legislación orgánica sectorial, la conclusión sobre la inconstitucionalidad de la norma impugnada no habría de variar, pues la debida certidumbre del ámbito material de injerencia es un aspecto que determina decisivamente hasta dónde llega la protección del derecho fundamental concernido.</w:t>
      </w:r>
    </w:p>
    <w:p w14:paraId="00A983DD" w14:textId="77777777" w:rsidR="003754FE" w:rsidRDefault="003754FE" w:rsidP="003754FE">
      <w:pPr>
        <w:pStyle w:val="TextoNormal"/>
      </w:pPr>
    </w:p>
    <w:p w14:paraId="2D9B89EC" w14:textId="77777777" w:rsidR="003754FE" w:rsidRDefault="003754FE" w:rsidP="003754FE">
      <w:pPr>
        <w:pStyle w:val="TextoNormal"/>
      </w:pPr>
      <w:r>
        <w:t>5.4 Declaración de inconstitucionalidad y nulidad</w:t>
      </w:r>
    </w:p>
    <w:p w14:paraId="7C890FDA" w14:textId="77777777" w:rsidR="003754FE" w:rsidRDefault="003754FE" w:rsidP="003754FE">
      <w:pPr>
        <w:pStyle w:val="TextoNormal"/>
      </w:pPr>
    </w:p>
    <w:p w14:paraId="73C45F13" w14:textId="77777777" w:rsidR="003754FE" w:rsidRDefault="003754FE" w:rsidP="003754FE">
      <w:pPr>
        <w:pStyle w:val="TextoNormal"/>
      </w:pPr>
      <w:r>
        <w:t>Ha de concluirse, de acuerdo con lo expuesto, que el elenco de medidas del art. 38.2 b) inciso segundo de la Ley 8/2008 (que, como se delimitó ya en el fundamento jurídico 2, va desde “[e]n particular” hasta la finalización del propio apartado), excede del ámbito propio de la ley ordinaria y aborda aspectos esenciales del desarrollo directo de los derechos fundamentales afectados, Por tal razón, hemos de declararlo inconstitucional y nulo.</w:t>
      </w:r>
    </w:p>
    <w:p w14:paraId="06F350AC" w14:textId="77777777" w:rsidR="003754FE" w:rsidRDefault="003754FE" w:rsidP="003754FE">
      <w:pPr>
        <w:pStyle w:val="TextoNormal"/>
      </w:pPr>
    </w:p>
    <w:p w14:paraId="6DAF74EF" w14:textId="77777777" w:rsidR="003754FE" w:rsidRDefault="003754FE" w:rsidP="003754FE">
      <w:pPr>
        <w:pStyle w:val="TextoNormal"/>
      </w:pPr>
      <w:r>
        <w:t>Esta declaración de inconstitucionalidad y nulidad debe llevar consigo, por conexión o consecuencia del art. 39.1 LOTC, la del régimen sancionador específicamente asociado a las medidas que resultan anuladas (véase, al respecto, la STC 72/2021, de 18 de marzo, FJ 6). Deben reputarse inconstitucionales y nulas, en particular:</w:t>
      </w:r>
    </w:p>
    <w:p w14:paraId="6AA98828" w14:textId="77777777" w:rsidR="003754FE" w:rsidRDefault="003754FE" w:rsidP="003754FE">
      <w:pPr>
        <w:pStyle w:val="TextoNormal"/>
      </w:pPr>
    </w:p>
    <w:p w14:paraId="70E5819E" w14:textId="77777777" w:rsidR="003754FE" w:rsidRDefault="003754FE" w:rsidP="003754FE">
      <w:pPr>
        <w:pStyle w:val="TextoNormal"/>
      </w:pPr>
      <w:r>
        <w:lastRenderedPageBreak/>
        <w:t xml:space="preserve">(i) Las letras c), d), e) y f) del art. 41 </w:t>
      </w:r>
      <w:r w:rsidRPr="003754FE">
        <w:rPr>
          <w:i/>
        </w:rPr>
        <w:t>bis</w:t>
      </w:r>
      <w:r>
        <w:t xml:space="preserve"> de la Ley 8/2008, en cuanto tipifican como infracciones leves la negativa injustificada a someterse a reconocimiento médico o a pruebas diagnósticas, la negativa injustificada a someterse a medidas de prevención consistentes en la vacunación o inmunización y el incumplimiento de medidas de limitación de la libertad deambulatoria o de circulación, así como el incumplimiento de las limitaciones a las agrupaciones de personas y reuniones, siempre que todas ellas hayan tenido “una incidencia escasa o sin trascendencia directa en la salud de la población”</w:t>
      </w:r>
    </w:p>
    <w:p w14:paraId="3D4BFF6A" w14:textId="77777777" w:rsidR="003754FE" w:rsidRDefault="003754FE" w:rsidP="003754FE">
      <w:pPr>
        <w:pStyle w:val="TextoNormal"/>
      </w:pPr>
    </w:p>
    <w:p w14:paraId="2AE4EEF5" w14:textId="77777777" w:rsidR="003754FE" w:rsidRDefault="003754FE" w:rsidP="003754FE">
      <w:pPr>
        <w:pStyle w:val="TextoNormal"/>
      </w:pPr>
      <w:r>
        <w:t xml:space="preserve">(ii) La letra c) del art. 42 </w:t>
      </w:r>
      <w:r w:rsidRPr="003754FE">
        <w:rPr>
          <w:i/>
        </w:rPr>
        <w:t>bis</w:t>
      </w:r>
      <w:r>
        <w:t>, si bien solo en el concreto inciso “c), d), f)”, en cuanto tipifica como infracciones graves las contenidas en las referidas letras del art. 4</w:t>
      </w:r>
      <w:r w:rsidRPr="003754FE">
        <w:rPr>
          <w:i/>
        </w:rPr>
        <w:t>1 b</w:t>
      </w:r>
      <w:r>
        <w:t>is cuando “pudieran producir un riesgo o un daño grave para la salud de la población, siempre que no sean constitutivas de infracción muy grave”.</w:t>
      </w:r>
    </w:p>
    <w:p w14:paraId="19B30D46" w14:textId="77777777" w:rsidR="003754FE" w:rsidRDefault="003754FE" w:rsidP="003754FE">
      <w:pPr>
        <w:pStyle w:val="TextoNormal"/>
      </w:pPr>
    </w:p>
    <w:p w14:paraId="1D485EDF" w14:textId="77777777" w:rsidR="003754FE" w:rsidRDefault="003754FE" w:rsidP="003754FE">
      <w:pPr>
        <w:pStyle w:val="TextoNormal"/>
      </w:pPr>
      <w:r>
        <w:t xml:space="preserve">(iii) Las letras d) y e) del art. 42 </w:t>
      </w:r>
      <w:r w:rsidRPr="003754FE">
        <w:rPr>
          <w:i/>
        </w:rPr>
        <w:t>bis</w:t>
      </w:r>
      <w:r>
        <w:t>, en cuanto en ellas se tipifica como infracción grave la falta de cumplimiento voluntario de las medidas de aislamiento y cuarentena “cuando no sea constitutivo de infracción muy grave”.</w:t>
      </w:r>
    </w:p>
    <w:p w14:paraId="63552102" w14:textId="77777777" w:rsidR="003754FE" w:rsidRDefault="003754FE" w:rsidP="003754FE">
      <w:pPr>
        <w:pStyle w:val="TextoNormal"/>
      </w:pPr>
    </w:p>
    <w:p w14:paraId="12C3FB0B" w14:textId="77777777" w:rsidR="003754FE" w:rsidRDefault="003754FE" w:rsidP="003754FE">
      <w:pPr>
        <w:pStyle w:val="TextoNormal"/>
      </w:pPr>
      <w:r>
        <w:t xml:space="preserve">(iv) Las letras b) y c) del art. 43 </w:t>
      </w:r>
      <w:r w:rsidRPr="003754FE">
        <w:rPr>
          <w:i/>
        </w:rPr>
        <w:t>bis</w:t>
      </w:r>
      <w:r>
        <w:t>, en cuanto en ellas se tipifica como infracción muy grave la falta de cumplimiento voluntario de las medidas de aislamiento y cuarentena “de forma repetida o reiterada, o cuando se produjese daño grave o riesgo o daño muy grave para la salud de la población”.</w:t>
      </w:r>
    </w:p>
    <w:p w14:paraId="44581D7F" w14:textId="77777777" w:rsidR="003754FE" w:rsidRDefault="003754FE" w:rsidP="003754FE">
      <w:pPr>
        <w:pStyle w:val="TextoNormal"/>
      </w:pPr>
    </w:p>
    <w:p w14:paraId="2AE926C2" w14:textId="2ED26D76" w:rsidR="003754FE" w:rsidRDefault="003754FE" w:rsidP="003754FE">
      <w:pPr>
        <w:pStyle w:val="TextoNormal"/>
      </w:pPr>
      <w:r>
        <w:t>Ha de remarcarse que la declaración de inconstitucionalidad del art. 38.2 b) inciso segundo de la Ley 8/2008 (y la consiguiente declaración de inconstitucionalidad por conexión o consecuencia de los preceptos ya aludidos) no obedece a un reproche formulado sobre el contenido regulatorio del precepto sino al incumplimiento de los requisitos del sistema constitucional de fuentes, pues una regulación de este tipo debe ser aprobada mediante ley orgánica.</w:t>
      </w:r>
    </w:p>
    <w:p w14:paraId="6B34900C" w14:textId="77777777" w:rsidR="003754FE" w:rsidRDefault="003754FE" w:rsidP="003754FE">
      <w:pPr>
        <w:pStyle w:val="TextoNormal"/>
      </w:pPr>
    </w:p>
    <w:p w14:paraId="57928BC9" w14:textId="77777777" w:rsidR="003754FE" w:rsidRDefault="003754FE" w:rsidP="003754FE">
      <w:pPr>
        <w:pStyle w:val="TextoNormal"/>
      </w:pPr>
      <w:r w:rsidRPr="003754FE">
        <w:rPr>
          <w:rStyle w:val="NumeroAFNegritaCaracter"/>
        </w:rPr>
        <w:t>6</w:t>
      </w:r>
      <w:r>
        <w:t xml:space="preserve">. </w:t>
      </w:r>
      <w:r w:rsidRPr="003754FE">
        <w:rPr>
          <w:i/>
        </w:rPr>
        <w:t>Infracción del art. 149.1.1 y 16 por indebida reproducción de normas estatales</w:t>
      </w:r>
    </w:p>
    <w:p w14:paraId="0525039F" w14:textId="77777777" w:rsidR="003754FE" w:rsidRDefault="003754FE" w:rsidP="003754FE">
      <w:pPr>
        <w:pStyle w:val="TextoNormal"/>
      </w:pPr>
    </w:p>
    <w:p w14:paraId="7B585699" w14:textId="77777777" w:rsidR="003754FE" w:rsidRDefault="003754FE" w:rsidP="003754FE">
      <w:pPr>
        <w:pStyle w:val="TextoNormal"/>
      </w:pPr>
      <w:r>
        <w:t>A) Delimitación de la impugnación</w:t>
      </w:r>
    </w:p>
    <w:p w14:paraId="078D00C5" w14:textId="77777777" w:rsidR="003754FE" w:rsidRDefault="003754FE" w:rsidP="003754FE">
      <w:pPr>
        <w:pStyle w:val="TextoNormal"/>
      </w:pPr>
    </w:p>
    <w:p w14:paraId="3B12D3CD" w14:textId="77777777" w:rsidR="003754FE" w:rsidRDefault="003754FE" w:rsidP="003754FE">
      <w:pPr>
        <w:pStyle w:val="TextoNormal"/>
      </w:pPr>
      <w:r>
        <w:t>Una vez declarada la inconstitucionalidad y nulidad del art. 38.2 b) inciso segundo de la Ley 8/2008, resta únicamente por resolver la impugnación planteada por los actores en relación con el apartado a) y el inciso primero del apartado b) del referido precepto.</w:t>
      </w:r>
    </w:p>
    <w:p w14:paraId="278BF3B3" w14:textId="77777777" w:rsidR="003754FE" w:rsidRDefault="003754FE" w:rsidP="003754FE">
      <w:pPr>
        <w:pStyle w:val="TextoNormal"/>
      </w:pPr>
    </w:p>
    <w:p w14:paraId="07542C78" w14:textId="77777777" w:rsidR="003754FE" w:rsidRDefault="003754FE" w:rsidP="003754FE">
      <w:pPr>
        <w:pStyle w:val="TextoNormal"/>
      </w:pPr>
      <w:r>
        <w:t>Los recurrentes estiman, como con más detalle se explica en los antecedentes, que ese concreto fragmento normativo “copia por completo” lo dispuesto en los artículos segundo y tercero de la Ley Orgánica 3/1986, de 14 de abril, pese a que la Comunidad Autónoma de Galicia carece, según afirman, “de toda competencia para legislar” sobre la materia. Esto determina, en su opinión, la vulneración de las competencias estatales en materia de bases y coordinación general de la sanidad (art. 149.1.16 CE) y sobre fijación de las condiciones básicas de igualdad en el ejercicio de los derechos (art. 149.1.1 CE).</w:t>
      </w:r>
    </w:p>
    <w:p w14:paraId="3E26132D" w14:textId="77777777" w:rsidR="003754FE" w:rsidRDefault="003754FE" w:rsidP="003754FE">
      <w:pPr>
        <w:pStyle w:val="TextoNormal"/>
      </w:pPr>
    </w:p>
    <w:p w14:paraId="1A11F525" w14:textId="77777777" w:rsidR="003754FE" w:rsidRDefault="003754FE" w:rsidP="003754FE">
      <w:pPr>
        <w:pStyle w:val="TextoNormal"/>
      </w:pPr>
      <w:r>
        <w:t xml:space="preserve">Los letrados de la Xunta de Galicia y del Parlamento gallego reconocen, por su parte, que hay, en efecto, una reproducción prácticamente literal de los citados preceptos de la Ley </w:t>
      </w:r>
      <w:r>
        <w:lastRenderedPageBreak/>
        <w:t>Orgánica 3/1986 pero estiman que se ha realizado legítimamente, como herramienta útil para ejercer la competencia de la comunidad autónoma en materia de “sanidad interior”.</w:t>
      </w:r>
    </w:p>
    <w:p w14:paraId="2D6BD01C" w14:textId="77777777" w:rsidR="003754FE" w:rsidRDefault="003754FE" w:rsidP="003754FE">
      <w:pPr>
        <w:pStyle w:val="TextoNormal"/>
      </w:pPr>
    </w:p>
    <w:p w14:paraId="4448295B" w14:textId="77777777" w:rsidR="003754FE" w:rsidRDefault="003754FE" w:rsidP="003754FE">
      <w:pPr>
        <w:pStyle w:val="TextoNormal"/>
      </w:pPr>
      <w:r>
        <w:t xml:space="preserve">Las partes no plantean, en definitiva, controversia alguna sobre el presupuesto fáctico de la impugnación, pues, tal y como se anticipó en el fundamento jurídico 2, es claro que las letras a) y el inciso primero de la letra b) del art. 38.2 de la Ley 8/2008 reproducen, con leves variaciones, los contenidos de los artículos segundo y tercero de la Ley Orgánica 3/1986. El único punto de discrepancia versa, en realidad, sobre el cumplimiento de los requisitos establecidos por este tribunal en su doctrina relativa a las llamadas </w:t>
      </w:r>
      <w:r w:rsidRPr="003754FE">
        <w:rPr>
          <w:i/>
        </w:rPr>
        <w:t>leges repetitae</w:t>
      </w:r>
      <w:r>
        <w:t>, que pasamos a reseñar a continuación.</w:t>
      </w:r>
    </w:p>
    <w:p w14:paraId="5A96D812" w14:textId="77777777" w:rsidR="003754FE" w:rsidRDefault="003754FE" w:rsidP="003754FE">
      <w:pPr>
        <w:pStyle w:val="TextoNormal"/>
      </w:pPr>
    </w:p>
    <w:p w14:paraId="691C991C" w14:textId="77777777" w:rsidR="003754FE" w:rsidRDefault="003754FE" w:rsidP="003754FE">
      <w:pPr>
        <w:pStyle w:val="TextoNormal"/>
      </w:pPr>
      <w:r>
        <w:t>B) Doctrina aplicable</w:t>
      </w:r>
    </w:p>
    <w:p w14:paraId="452A6DD8" w14:textId="77777777" w:rsidR="003754FE" w:rsidRDefault="003754FE" w:rsidP="003754FE">
      <w:pPr>
        <w:pStyle w:val="TextoNormal"/>
      </w:pPr>
    </w:p>
    <w:p w14:paraId="298B85F9" w14:textId="77777777" w:rsidR="003754FE" w:rsidRDefault="003754FE" w:rsidP="003754FE">
      <w:pPr>
        <w:pStyle w:val="TextoNormal"/>
      </w:pPr>
      <w:r>
        <w:t xml:space="preserve">De acuerdo con nuestra doctrina, se han de distinguir dos supuestos distintos de </w:t>
      </w:r>
      <w:r w:rsidRPr="003754FE">
        <w:rPr>
          <w:i/>
        </w:rPr>
        <w:t>lex repetita</w:t>
      </w:r>
      <w:r>
        <w:t xml:space="preserve"> (por todas, STC 157/2021, de 16 de septiembre, FJ 6).</w:t>
      </w:r>
    </w:p>
    <w:p w14:paraId="48D9C953" w14:textId="77777777" w:rsidR="003754FE" w:rsidRDefault="003754FE" w:rsidP="003754FE">
      <w:pPr>
        <w:pStyle w:val="TextoNormal"/>
      </w:pPr>
    </w:p>
    <w:p w14:paraId="55E68CA5" w14:textId="77777777" w:rsidR="003754FE" w:rsidRDefault="003754FE" w:rsidP="003754FE">
      <w:pPr>
        <w:pStyle w:val="TextoNormal"/>
      </w:pPr>
      <w:r>
        <w:t>El primer supuesto se produce cuando la norma reproducida y la que reproduce se encuadran en una materia sobre la que ostentan competencias tanto el Estado como la comunidad autónoma. En ese caso, al margen de los reproches de técnica legislativa que puedan realizarse, la consecuencia no será siempre la inconstitucionalidad, sino que habrá que estar a los efectos que tal reproducción pueda producir en el caso concreto (STC 341/2005, de 21 de diciembre, FFJJ 3 y 9). Según sintetiza la STC 51/2019, de 11 de abril, tal reiteración, para ser admisible desde el punto de vista constitucional, deberá dar satisfacción a dos condiciones: (i) que la reproducción de las bases estatales tenga como finalidad hacer más comprensible el desarrollo normativo que realiza la comunidad autónoma en ejercicio de sus competencias propias; y (ii) que la reproducción de la normativa básica sea fiel y no incurra en alteraciones más o menos subrepticias [FJ 6 a)].</w:t>
      </w:r>
    </w:p>
    <w:p w14:paraId="25A46D1C" w14:textId="77777777" w:rsidR="003754FE" w:rsidRDefault="003754FE" w:rsidP="003754FE">
      <w:pPr>
        <w:pStyle w:val="TextoNormal"/>
      </w:pPr>
    </w:p>
    <w:p w14:paraId="0AB2DFF0" w14:textId="77777777" w:rsidR="003754FE" w:rsidRDefault="003754FE" w:rsidP="003754FE">
      <w:pPr>
        <w:pStyle w:val="TextoNormal"/>
      </w:pPr>
      <w:r>
        <w:t>El segundo supuesto tiene lugar, en cambio, cuando la reproducción se concreta en normas relativas a materias en las que la comunidad autónoma carece de competencias. En este caso, la falta de habilitación autonómica debe conducir a declarar la inconstitucionalidad de la norma que transcribe el precepto estatal. Un precepto autonómico será inconstitucional por invasión competencial siempre que regule cuestiones que le están vedadas, con independencia de la compatibilidad o incompatibilidad entre la regulación autonómica controvertida y la dictada por el Estado. Al legislador autonómico le está prohibido, en definitiva, reproducir la legislación estatal que responde a sus competencias exclusivas [STC 65/2020, de 18 de junio, FJ 8 D)].</w:t>
      </w:r>
    </w:p>
    <w:p w14:paraId="0A524DE0" w14:textId="77777777" w:rsidR="003754FE" w:rsidRDefault="003754FE" w:rsidP="003754FE">
      <w:pPr>
        <w:pStyle w:val="TextoNormal"/>
      </w:pPr>
    </w:p>
    <w:p w14:paraId="2891911F" w14:textId="77777777" w:rsidR="003754FE" w:rsidRDefault="003754FE" w:rsidP="003754FE">
      <w:pPr>
        <w:pStyle w:val="TextoNormal"/>
      </w:pPr>
      <w:r>
        <w:t>C) Enjuiciamiento</w:t>
      </w:r>
    </w:p>
    <w:p w14:paraId="06C97F39" w14:textId="77777777" w:rsidR="003754FE" w:rsidRDefault="003754FE" w:rsidP="003754FE">
      <w:pPr>
        <w:pStyle w:val="TextoNormal"/>
      </w:pPr>
    </w:p>
    <w:p w14:paraId="1BFF395B" w14:textId="77777777" w:rsidR="003754FE" w:rsidRDefault="003754FE" w:rsidP="003754FE">
      <w:pPr>
        <w:pStyle w:val="TextoNormal"/>
      </w:pPr>
      <w:r>
        <w:t>En aplicación de la doctrina expuesta, puede apreciarse que en el presente caso: a) la norma impugnada ha reproducido el contenido normativo de una ley estatal en un ámbito donde tanto el Estado como la comunidad autónoma tienen competencias; b) esa reproducción de normas estatales tiene la finalidad instrumental de hacer más comprensible una regulación dictada por la comunidad autónoma en el ejercicio de una competencia propia; c) la reproducción realizada es fiel y no desnaturaliza la regulación estatal reproducida.</w:t>
      </w:r>
    </w:p>
    <w:p w14:paraId="50226813" w14:textId="77777777" w:rsidR="003754FE" w:rsidRDefault="003754FE" w:rsidP="003754FE">
      <w:pPr>
        <w:pStyle w:val="TextoNormal"/>
      </w:pPr>
    </w:p>
    <w:p w14:paraId="2D00A91D" w14:textId="77777777" w:rsidR="003754FE" w:rsidRDefault="003754FE" w:rsidP="003754FE">
      <w:pPr>
        <w:pStyle w:val="TextoNormal"/>
      </w:pPr>
      <w:r>
        <w:lastRenderedPageBreak/>
        <w:t>a) La reproducción de los preceptos estatales se produce en un ámbito donde hay concurrencia de competencias estatales y autonómicas.</w:t>
      </w:r>
    </w:p>
    <w:p w14:paraId="630AFDD8" w14:textId="77777777" w:rsidR="003754FE" w:rsidRDefault="003754FE" w:rsidP="003754FE">
      <w:pPr>
        <w:pStyle w:val="TextoNormal"/>
      </w:pPr>
    </w:p>
    <w:p w14:paraId="3B7F1953" w14:textId="77777777" w:rsidR="003754FE" w:rsidRDefault="003754FE" w:rsidP="003754FE">
      <w:pPr>
        <w:pStyle w:val="TextoNormal"/>
      </w:pPr>
      <w:r>
        <w:t>Como punto de partida, el art. 149.1.16 CE reconoce al Estado competencia exclusiva tanto sobre la “sanidad exterior” como, en lo que ahora nos interesa, sobre las “bases y coordinación general de la sanidad”. Esa competencia estatal sobre las bases y coordinación general de la sanidad se desenvuelve, de acuerdo con nuestra doctrina, en el ámbito de la “sanidad interior, esto es, [de] la sanidad dentro del territorio español” (STC 32/1983, de 28 de abril, FJ 2), ámbito donde corresponden, concretamente, al Estado “las bases, la coordinación general y la alta inspección” (por todas, STC 210/2016, de 15 de diciembre, FJ 6), y a las comunidades autónomas el desarrollo legislativo y la ejecución.</w:t>
      </w:r>
    </w:p>
    <w:p w14:paraId="687D9C2D" w14:textId="77777777" w:rsidR="003754FE" w:rsidRDefault="003754FE" w:rsidP="003754FE">
      <w:pPr>
        <w:pStyle w:val="TextoNormal"/>
      </w:pPr>
    </w:p>
    <w:p w14:paraId="3FB19CA5" w14:textId="77777777" w:rsidR="003754FE" w:rsidRDefault="003754FE" w:rsidP="003754FE">
      <w:pPr>
        <w:pStyle w:val="TextoNormal"/>
      </w:pPr>
      <w:r>
        <w:t>El Estatuto de Autonomía para Galicia (EAG), aprobado por Ley Orgánica 1/1981, de 6 de abril, establece en su art. 33.1 que corresponde a la Comunidad Autónoma de Galicia el desarrollo legislativo y la ejecución de la legislación básica del Estado en materia de sanidad interior.</w:t>
      </w:r>
    </w:p>
    <w:p w14:paraId="10E3FD1C" w14:textId="77777777" w:rsidR="003754FE" w:rsidRDefault="003754FE" w:rsidP="003754FE">
      <w:pPr>
        <w:pStyle w:val="TextoNormal"/>
      </w:pPr>
    </w:p>
    <w:p w14:paraId="624B2FEE" w14:textId="77777777" w:rsidR="003754FE" w:rsidRDefault="003754FE" w:rsidP="003754FE">
      <w:pPr>
        <w:pStyle w:val="TextoNormal"/>
      </w:pPr>
      <w:r>
        <w:t>Asimismo, es claro que las medidas previstas en los artículos segundo y tercero de la Ley Orgánica 3/1986, reproducidas por el legislador gallego en la norma impugnada, pueden ser aplicadas por todas las administraciones públicas competentes en materia sanitaria, según la propia ley orgánica dispone. El artículo primero de la Ley Orgánica 3/1986 señala, en efecto, que tiene por objeto regular las medidas que pueden adoptar las “autoridades sanitarias de las distintas administraciones públicas”. El artículo segundo se refiere, por su parte, a las medidas preventivas que pueden adoptar las “autoridades sanitarias competentes” y el artículo tercero menciona a la “autoridad sanitaria”. Guardan, por ello, conexión evidente con las competencias normativas y ejecutivas de la comunidad autónoma en el ámbito de la “sanidad interior”.</w:t>
      </w:r>
    </w:p>
    <w:p w14:paraId="73F91DDE" w14:textId="77777777" w:rsidR="003754FE" w:rsidRDefault="003754FE" w:rsidP="003754FE">
      <w:pPr>
        <w:pStyle w:val="TextoNormal"/>
      </w:pPr>
    </w:p>
    <w:p w14:paraId="34846C50" w14:textId="77777777" w:rsidR="003754FE" w:rsidRDefault="003754FE" w:rsidP="003754FE">
      <w:pPr>
        <w:pStyle w:val="TextoNormal"/>
      </w:pPr>
      <w:r>
        <w:t>b) La reproducción de normas estatales contenidas en el art. 38.2 a) y b) inciso primero de la Ley 8/2008, contribuye a hacer más comprensible una regulación autonómica realizada al amparo del título competencial de sanidad interior (art. 33.1 EAG).</w:t>
      </w:r>
    </w:p>
    <w:p w14:paraId="353E0A25" w14:textId="77777777" w:rsidR="003754FE" w:rsidRDefault="003754FE" w:rsidP="003754FE">
      <w:pPr>
        <w:pStyle w:val="TextoNormal"/>
      </w:pPr>
    </w:p>
    <w:p w14:paraId="7D7E052A" w14:textId="77777777" w:rsidR="003754FE" w:rsidRDefault="003754FE" w:rsidP="003754FE">
      <w:pPr>
        <w:pStyle w:val="TextoNormal"/>
      </w:pPr>
      <w:r>
        <w:t xml:space="preserve">El precepto impugnado guarda, en particular, conexión con el art. 38 </w:t>
      </w:r>
      <w:r w:rsidRPr="003754FE">
        <w:rPr>
          <w:i/>
        </w:rPr>
        <w:t>ter</w:t>
      </w:r>
      <w:r>
        <w:t xml:space="preserve"> de la Ley 8/2008, que, bajo la rúbrica “[a]dopción de medidas preventivas en materia de salud pública” establece reglas instrumentales para la ejecución, entre otras, de las medidas previstas en los artículos segundo y tercero de la Ley Orgánica 3/1986. Este precepto, sintéticamente: (i) habilita, en función de la situación de urgencia, que no se siga un procedimiento administrativo específico (apartado 1); (ii) exige que la resolución que acuerde las medidas contenga una motivación ajustada a los principios científicos, a las pruebas científicas y a la información disponible en ese momento, que tenga en cuenta el principio de precaución, que seleccione los métodos menos invasivos o intrusivos y que se dé preferencia, en todo caso, a la colaboración voluntaria de los afectados (apartado 2); (iii) dispone que la motivación de las medidas restrictivas de derechos fundamentales concrete suficientemente la concurrencia de los requisitos de adecuación, necesidad y ponderación de “beneficios y ventajas”, típicos del juicio de proporcionalidad (apartado 3); (iv) obliga a determinar la duración de las medidas, sin perjuicio de sus posibles prórrogas (apartado 4); (v) ordena la publicación de las medidas en el diario oficial correspondiente, cuando afecten a una pluralidad indeterminada de personas, y dispone la audiencia de las personas afectadas cuando estas estén </w:t>
      </w:r>
      <w:r>
        <w:lastRenderedPageBreak/>
        <w:t>determinadas (apartado 5); (vi) prevé la posibilidad excepcional de intervención sobre las cosas y compulsión sobre las personas (apartado 6); (vii) obliga a dar información a la población de los riesgos existentes y de las medidas adoptadas, tanto para facilitar que la ciudadanía pueda protegerse del riesgo detectado como para facilitar la cooperación voluntaria con la administración pública (apartado 7).</w:t>
      </w:r>
    </w:p>
    <w:p w14:paraId="1A4D538C" w14:textId="77777777" w:rsidR="003754FE" w:rsidRDefault="003754FE" w:rsidP="003754FE">
      <w:pPr>
        <w:pStyle w:val="TextoNormal"/>
      </w:pPr>
    </w:p>
    <w:p w14:paraId="7EB56D78" w14:textId="77777777" w:rsidR="003754FE" w:rsidRDefault="003754FE" w:rsidP="003754FE">
      <w:pPr>
        <w:pStyle w:val="TextoNormal"/>
      </w:pPr>
      <w:r>
        <w:t xml:space="preserve">Hay que reseñar, en este punto, que el art. 38 </w:t>
      </w:r>
      <w:r w:rsidRPr="003754FE">
        <w:rPr>
          <w:i/>
        </w:rPr>
        <w:t>ter</w:t>
      </w:r>
      <w:r>
        <w:t xml:space="preserve"> de la Ley 8/2008 no ha sido impugnado por los recurrentes y que estos no han aportado, por tanto, alegación alguna sobre su posible inconstitucionalidad por razones competenciales. Se han limitado a impugnar el art. 38.2 a) y b) inciso primero por su carácter de </w:t>
      </w:r>
      <w:r w:rsidRPr="003754FE">
        <w:rPr>
          <w:i/>
        </w:rPr>
        <w:t>lex repetita</w:t>
      </w:r>
      <w:r>
        <w:t xml:space="preserve">. Para rechazar esta concreta impugnación, basta, por ello, con constatar que la reproducción de las medidas previstas en los artículos segundo y tercero de la Ley Orgánica 3/1986 contribuye a la mejor comprensión del régimen normativo complementario contenido, para su ejecución en el ámbito territorial de Galicia, en el citado art. 38 </w:t>
      </w:r>
      <w:r w:rsidRPr="003754FE">
        <w:rPr>
          <w:i/>
        </w:rPr>
        <w:t>ter</w:t>
      </w:r>
      <w:r>
        <w:t xml:space="preserve"> de la Ley 8/2008, en cuanto precepto dictado al amparo de la competencia en materia de sanidad interior.</w:t>
      </w:r>
    </w:p>
    <w:p w14:paraId="4C896B3D" w14:textId="77777777" w:rsidR="003754FE" w:rsidRDefault="003754FE" w:rsidP="003754FE">
      <w:pPr>
        <w:pStyle w:val="TextoNormal"/>
      </w:pPr>
    </w:p>
    <w:p w14:paraId="5083D1EA" w14:textId="77777777" w:rsidR="003754FE" w:rsidRDefault="003754FE" w:rsidP="003754FE">
      <w:pPr>
        <w:pStyle w:val="TextoNormal"/>
      </w:pPr>
      <w:r>
        <w:t>c) Finalmente, las variaciones introducidas al reproducir los artículos segundo y tercero de la Ley Orgánica 3/1986 son mínimas y, en todo caso, no desnaturalizan el contenido de la norma estatal reproducida, aspecto este que, como se ha dicho, no plantea controversia entre las partes.</w:t>
      </w:r>
    </w:p>
    <w:p w14:paraId="109BEBD1" w14:textId="77777777" w:rsidR="003754FE" w:rsidRDefault="003754FE" w:rsidP="003754FE">
      <w:pPr>
        <w:pStyle w:val="TextoNormal"/>
      </w:pPr>
    </w:p>
    <w:p w14:paraId="0BE6D77F" w14:textId="00498381" w:rsidR="003754FE" w:rsidRDefault="003754FE" w:rsidP="003754FE">
      <w:pPr>
        <w:pStyle w:val="TextoNormal"/>
      </w:pPr>
      <w:r>
        <w:t>En definitiva, las letras a) y b) inciso primero del art. 38.2 de la Ley 8/2008 no incurren en el único vicio de inconstitucionalidad que les atribuyen los recurrentes, por lo que su impugnación ha de ser desestimada.</w:t>
      </w:r>
    </w:p>
    <w:p w14:paraId="75894530" w14:textId="77777777" w:rsidR="003754FE" w:rsidRDefault="003754FE" w:rsidP="003754FE">
      <w:pPr>
        <w:pStyle w:val="TextoNormal"/>
      </w:pPr>
    </w:p>
    <w:p w14:paraId="57E4A138" w14:textId="77777777" w:rsidR="003754FE" w:rsidRDefault="003754FE" w:rsidP="003754FE">
      <w:pPr>
        <w:pStyle w:val="TextoNormalCentrado"/>
        <w:keepNext/>
      </w:pPr>
      <w:r>
        <w:t>FALLO</w:t>
      </w:r>
    </w:p>
    <w:p w14:paraId="09BBFEE2" w14:textId="0C2DE631" w:rsidR="003754FE" w:rsidRDefault="003754FE" w:rsidP="003754FE">
      <w:pPr>
        <w:pStyle w:val="TextoNormalCentrado"/>
        <w:keepNext/>
      </w:pPr>
    </w:p>
    <w:p w14:paraId="2D7690C1" w14:textId="77777777" w:rsidR="003754FE" w:rsidRDefault="003754FE" w:rsidP="003754FE">
      <w:pPr>
        <w:pStyle w:val="TextoNormal"/>
      </w:pPr>
      <w:r>
        <w:t>En atención a todo lo expuesto, el Tribunal Constitucional, por la autoridad que le confiere la Constitución de la Nación española, ha decidido:</w:t>
      </w:r>
    </w:p>
    <w:p w14:paraId="57AF7B8D" w14:textId="77777777" w:rsidR="003754FE" w:rsidRDefault="003754FE" w:rsidP="003754FE">
      <w:pPr>
        <w:pStyle w:val="TextoNormal"/>
      </w:pPr>
    </w:p>
    <w:p w14:paraId="3DCB3D49" w14:textId="77777777" w:rsidR="003754FE" w:rsidRDefault="003754FE" w:rsidP="003754FE">
      <w:pPr>
        <w:pStyle w:val="TextoNormal"/>
      </w:pPr>
      <w:r>
        <w:t xml:space="preserve">1º Estimar parcialmente el recurso de inconstitucionalidad y, en consecuencia, declarar inconstitucionales y nulos los siguientes preceptos de la Ley 8/2008, de salud de Galicia, en la redacción dada por la Ley 8/2021, de 5 de febrero: (i) el inciso segundo de la letra b) del art. 38.2 (que va desde “[e]n particular” hasta el final del referido apartado); (ii) las letras c), d), e) y f) del art. 41 </w:t>
      </w:r>
      <w:r w:rsidRPr="003754FE">
        <w:rPr>
          <w:i/>
        </w:rPr>
        <w:t>bis</w:t>
      </w:r>
      <w:r>
        <w:t xml:space="preserve">; (iii) la letra c) del art. 42 </w:t>
      </w:r>
      <w:r w:rsidRPr="003754FE">
        <w:rPr>
          <w:i/>
        </w:rPr>
        <w:t>bis</w:t>
      </w:r>
      <w:r>
        <w:t xml:space="preserve">, si bien solo en el concreto inciso “c), d), f)”; (iv) las letras d) y e) del art. 42 </w:t>
      </w:r>
      <w:r w:rsidRPr="003754FE">
        <w:rPr>
          <w:i/>
        </w:rPr>
        <w:t>bis</w:t>
      </w:r>
      <w:r>
        <w:t xml:space="preserve">; (v) las letras b) y c) del art. 43 </w:t>
      </w:r>
      <w:r w:rsidRPr="003754FE">
        <w:rPr>
          <w:i/>
        </w:rPr>
        <w:t>bis</w:t>
      </w:r>
      <w:r>
        <w:t>.</w:t>
      </w:r>
    </w:p>
    <w:p w14:paraId="0DA1CA3F" w14:textId="77777777" w:rsidR="003754FE" w:rsidRDefault="003754FE" w:rsidP="003754FE">
      <w:pPr>
        <w:pStyle w:val="TextoNormal"/>
      </w:pPr>
    </w:p>
    <w:p w14:paraId="0E9D0FA6" w14:textId="12D87D00" w:rsidR="003754FE" w:rsidRDefault="003754FE" w:rsidP="003754FE">
      <w:pPr>
        <w:pStyle w:val="TextoNormal"/>
      </w:pPr>
      <w:r>
        <w:t>2º Desestimar el recurso en todo lo demás.</w:t>
      </w:r>
    </w:p>
    <w:p w14:paraId="350A0090" w14:textId="77777777" w:rsidR="003754FE" w:rsidRDefault="003754FE" w:rsidP="003754FE">
      <w:pPr>
        <w:pStyle w:val="TextoNormal"/>
      </w:pPr>
    </w:p>
    <w:p w14:paraId="4152E405" w14:textId="77777777" w:rsidR="003754FE" w:rsidRDefault="003754FE" w:rsidP="003754FE">
      <w:pPr>
        <w:pStyle w:val="TextoNormal"/>
      </w:pPr>
      <w:r>
        <w:t>Publíquese esta sentencia en el “Boletín Oficial del Estado”.</w:t>
      </w:r>
    </w:p>
    <w:p w14:paraId="0D8E8830" w14:textId="77777777" w:rsidR="003754FE" w:rsidRDefault="003754FE" w:rsidP="003754FE">
      <w:pPr>
        <w:pStyle w:val="TextoNormal"/>
      </w:pPr>
      <w:r>
        <w:t>Dada en Madrid, a cinco de noviembre de dos mil veinticuatro.</w:t>
      </w:r>
    </w:p>
    <w:p w14:paraId="16C04281" w14:textId="240276A6" w:rsidR="003754FE" w:rsidRDefault="003754FE" w:rsidP="003754FE">
      <w:pPr>
        <w:pStyle w:val="ParrafoNormal"/>
      </w:pPr>
    </w:p>
    <w:p w14:paraId="030B32D3" w14:textId="77777777" w:rsidR="003754FE" w:rsidRDefault="003754FE" w:rsidP="003754FE">
      <w:pPr>
        <w:pStyle w:val="TextoNormalNegritaCentrado"/>
        <w:keepNext/>
      </w:pPr>
      <w:r>
        <w:t xml:space="preserve">Voto particular que formulan los magistrados don Ricardo Enríquez Sancho, don Enrique Arnaldo Alcubilla, la magistrada doña Concepción Espejel Jorquera y los magistrados don Cesar Tolosa Tribiño y don José María </w:t>
      </w:r>
      <w:r>
        <w:lastRenderedPageBreak/>
        <w:t>Macías Castaño a la sentencia recaída en el recurso de inconstitucionalidad número 2901-2021</w:t>
      </w:r>
    </w:p>
    <w:p w14:paraId="1C423650" w14:textId="795312F5" w:rsidR="003754FE" w:rsidRDefault="003754FE" w:rsidP="003754FE">
      <w:pPr>
        <w:pStyle w:val="TextoNormalNegritaCentrado"/>
        <w:keepNext/>
      </w:pPr>
    </w:p>
    <w:p w14:paraId="26CACA13" w14:textId="77777777" w:rsidR="003754FE" w:rsidRDefault="003754FE" w:rsidP="003754FE">
      <w:pPr>
        <w:pStyle w:val="TextoNormal"/>
      </w:pPr>
      <w:r>
        <w:t>1. Planteamiento</w:t>
      </w:r>
    </w:p>
    <w:p w14:paraId="2222E28F" w14:textId="77777777" w:rsidR="003754FE" w:rsidRDefault="003754FE" w:rsidP="003754FE">
      <w:pPr>
        <w:pStyle w:val="TextoNormal"/>
      </w:pPr>
    </w:p>
    <w:p w14:paraId="4FF354D9" w14:textId="77777777" w:rsidR="003754FE" w:rsidRDefault="003754FE" w:rsidP="003754FE">
      <w:pPr>
        <w:pStyle w:val="TextoNormal"/>
      </w:pPr>
      <w:r>
        <w:t>De conformidad con lo previsto en el artículo 90.2 de la Ley Orgánica del Tribunal Constitucional y con el máximo respeto a la opinión de la mayoría reflejamos en este voto particular nuestra posición discrepante en lo que se refiere a parte de la fundamentación de la sentencia adoptada por esa mayoría.</w:t>
      </w:r>
    </w:p>
    <w:p w14:paraId="4DC370DD" w14:textId="77777777" w:rsidR="003754FE" w:rsidRDefault="003754FE" w:rsidP="003754FE">
      <w:pPr>
        <w:pStyle w:val="TextoNormal"/>
      </w:pPr>
    </w:p>
    <w:p w14:paraId="6D32FACF" w14:textId="77777777" w:rsidR="003754FE" w:rsidRDefault="003754FE" w:rsidP="003754FE">
      <w:pPr>
        <w:pStyle w:val="TextoNormal"/>
      </w:pPr>
      <w:r>
        <w:t>Aunque estamos de acuerdo con el fallo de dicha sentencia y con la fundamentación recogida en sus fundamentos 1, 2, 5 y 6, debemos manifestar nuestra completa discrepancia tanto con el examen de una queja que consideramos inexistente, como con su propio orden de enjuiciamiento y con la argumentación desarrollada en el fundamento jurídico 4.</w:t>
      </w:r>
    </w:p>
    <w:p w14:paraId="643A6C96" w14:textId="77777777" w:rsidR="003754FE" w:rsidRDefault="003754FE" w:rsidP="003754FE">
      <w:pPr>
        <w:pStyle w:val="TextoNormal"/>
      </w:pPr>
    </w:p>
    <w:p w14:paraId="1E916C94" w14:textId="77777777" w:rsidR="003754FE" w:rsidRDefault="003754FE" w:rsidP="003754FE">
      <w:pPr>
        <w:pStyle w:val="TextoNormal"/>
      </w:pPr>
      <w:r>
        <w:t>2. Examen de una queja inexistente</w:t>
      </w:r>
    </w:p>
    <w:p w14:paraId="15650173" w14:textId="77777777" w:rsidR="003754FE" w:rsidRDefault="003754FE" w:rsidP="003754FE">
      <w:pPr>
        <w:pStyle w:val="TextoNormal"/>
      </w:pPr>
    </w:p>
    <w:p w14:paraId="6A0F1EC8" w14:textId="77777777" w:rsidR="003754FE" w:rsidRDefault="003754FE" w:rsidP="003754FE">
      <w:pPr>
        <w:pStyle w:val="TextoNormal"/>
      </w:pPr>
      <w:r>
        <w:t xml:space="preserve">La sentencia de la que discrepamos resuelve en primer lugar una queja que cabe calificar de inexistente, en el sentido de no planteada por los recurrentes. Y al hacerlo lleva a cabo un </w:t>
      </w:r>
      <w:r w:rsidRPr="003754FE">
        <w:rPr>
          <w:i/>
        </w:rPr>
        <w:t>overruling</w:t>
      </w:r>
      <w:r>
        <w:t xml:space="preserve"> explícito de la doctrina que este tribunal estableció en la STC 148/2021, de 14 de julio, resolutoria del recurso de inconstitucionalidad interpuesto por más de cincuenta diputados del Grupo Parlamentario Vox del Congreso de los Diputados contra el Real Decreto 463/2020, de 14 de marzo, por el que se declara el estado de alarma para la gestión de la situación de crisis sanitaria ocasionada por el covid-19 y contra los reales decretos sucesivos que prorrogaron su vigencia.</w:t>
      </w:r>
    </w:p>
    <w:p w14:paraId="27AD7CFD" w14:textId="77777777" w:rsidR="003754FE" w:rsidRDefault="003754FE" w:rsidP="003754FE">
      <w:pPr>
        <w:pStyle w:val="TextoNormal"/>
      </w:pPr>
    </w:p>
    <w:p w14:paraId="0A121A85" w14:textId="77777777" w:rsidR="003754FE" w:rsidRDefault="003754FE" w:rsidP="003754FE">
      <w:pPr>
        <w:pStyle w:val="TextoNormal"/>
      </w:pPr>
      <w:r>
        <w:t xml:space="preserve">La argumentación de la sentencia en su fundamento jurídico 4, que es dónde lleva a cabo el mencionado </w:t>
      </w:r>
      <w:r w:rsidRPr="003754FE">
        <w:rPr>
          <w:i/>
        </w:rPr>
        <w:t>overruling</w:t>
      </w:r>
      <w:r>
        <w:t>, no es coherente ni con la demanda, ni con el propio relato de antecedentes resumiendo el contenido de la demanda, ni con la propia descripción de la posición de los recurrentes que se hace en el fundamento jurídico 1 ni tampoco, en fin, con las precisiones en torno al objeto del recurso que se contienen en el fundamento jurídico 2.</w:t>
      </w:r>
    </w:p>
    <w:p w14:paraId="79964171" w14:textId="77777777" w:rsidR="003754FE" w:rsidRDefault="003754FE" w:rsidP="003754FE">
      <w:pPr>
        <w:pStyle w:val="TextoNormal"/>
      </w:pPr>
    </w:p>
    <w:p w14:paraId="1A0418E2" w14:textId="77777777" w:rsidR="003754FE" w:rsidRDefault="003754FE" w:rsidP="003754FE">
      <w:pPr>
        <w:pStyle w:val="TextoNormal"/>
      </w:pPr>
      <w:r>
        <w:t>De acuerdo con lo anterior, las quejas de los diputados recurrentes no se plantean en relación con la vigencia de alguno de los estados excepcionales, en particular el de alarma, y su influencia en determinados derechos fundamentales en términos de intensidad de la restricción impuesta sobre ellos. Esta cuestión se cita en la demanda pero a partir de ella no se articula tacha alguna de inconstitucionalidad contra la ley autonómica. Lo que el recurso plantea de forma directa es la vulneración de la reserva de ley orgánica del art. 81.1 CE y la imposibilidad de la cooperación normativa de la ley autonómica con la ley orgánica.</w:t>
      </w:r>
    </w:p>
    <w:p w14:paraId="40CD1591" w14:textId="77777777" w:rsidR="003754FE" w:rsidRDefault="003754FE" w:rsidP="003754FE">
      <w:pPr>
        <w:pStyle w:val="TextoNormal"/>
      </w:pPr>
    </w:p>
    <w:p w14:paraId="6B9BC975" w14:textId="77777777" w:rsidR="003754FE" w:rsidRDefault="003754FE" w:rsidP="003754FE">
      <w:pPr>
        <w:pStyle w:val="TextoNormal"/>
      </w:pPr>
      <w:r>
        <w:t>Pese a lo anterior, la sentencia manipula los razonamientos de la demanda para argumentar que se formula una queja nueva, queja que exige, al entender de la sentencia, la exposición y posterior revisión de la doctrina de la STC 148/2021. Esta novedosa queja aparece identificada por primera vez en el fundamento jurídico 3 y tiene la única finalidad de permitir al fundamento jurídico 4 de la sentencia orillar la doctrina de la STC 148/2021. Algo, por cierto, absolutamente innecesario para resolver el problema constitucional que el recurso planteaba, centrado, como la propia sentencia se ve obligada a reconocer, en la infracción del art. 81.1 CE.</w:t>
      </w:r>
    </w:p>
    <w:p w14:paraId="75982553" w14:textId="77777777" w:rsidR="003754FE" w:rsidRDefault="003754FE" w:rsidP="003754FE">
      <w:pPr>
        <w:pStyle w:val="TextoNormal"/>
      </w:pPr>
    </w:p>
    <w:p w14:paraId="7ABA3120" w14:textId="77777777" w:rsidR="003754FE" w:rsidRDefault="003754FE" w:rsidP="003754FE">
      <w:pPr>
        <w:pStyle w:val="TextoNormal"/>
      </w:pPr>
      <w:r>
        <w:t>Es cierto que el Tribunal goza de entera libertad para decidir el orden de enjuiciamiento de las quejas planteadas en un recurso de inconstitucionalidad e, incluso, no viene obligado a exponer las razones por las que decide resolverlas en un determinado orden y no en otro. Pero este caso es radicalmente diferente, en la medida en que el Tribunal está, en realidad, resolviendo una queja que no ha sido planteada por la demanda o, en otros términos, una queja que nadie ha formulado sino que ha sido creada por la propia sentencia.</w:t>
      </w:r>
    </w:p>
    <w:p w14:paraId="7608F000" w14:textId="77777777" w:rsidR="003754FE" w:rsidRDefault="003754FE" w:rsidP="003754FE">
      <w:pPr>
        <w:pStyle w:val="TextoNormal"/>
      </w:pPr>
    </w:p>
    <w:p w14:paraId="73D249A1" w14:textId="77777777" w:rsidR="003754FE" w:rsidRDefault="003754FE" w:rsidP="003754FE">
      <w:pPr>
        <w:pStyle w:val="TextoNormal"/>
      </w:pPr>
      <w:r>
        <w:t>Incurre así en un evidente exceso de jurisdicción, con la única finalidad de dejar sin efecto una doctrina, la de la STC 148/2021, que, paradójicamente, había sido establecida en respuesta a una impugnación de diputados del mismo grupo parlamentario que ha interpuesto el recurso de inconstitucionalidad que ahora se resuelve y que ahora asiste al abandono de dicha doctrina, sin que las tachas de inconstitucionalidad planteadas den pie para ello y, por tanto, sin justificación suficiente, más allá de la voluntad de la mayoría que ha aprobado la sentencia.</w:t>
      </w:r>
    </w:p>
    <w:p w14:paraId="1F9B3D8A" w14:textId="77777777" w:rsidR="003754FE" w:rsidRDefault="003754FE" w:rsidP="003754FE">
      <w:pPr>
        <w:pStyle w:val="TextoNormal"/>
      </w:pPr>
    </w:p>
    <w:p w14:paraId="5AFAEFD1" w14:textId="77777777" w:rsidR="003754FE" w:rsidRDefault="003754FE" w:rsidP="003754FE">
      <w:pPr>
        <w:pStyle w:val="TextoNormal"/>
      </w:pPr>
      <w:r>
        <w:t>3. Orden de enjuiciamiento de las quejas</w:t>
      </w:r>
    </w:p>
    <w:p w14:paraId="0C60C7BF" w14:textId="77777777" w:rsidR="003754FE" w:rsidRDefault="003754FE" w:rsidP="003754FE">
      <w:pPr>
        <w:pStyle w:val="TextoNormal"/>
      </w:pPr>
    </w:p>
    <w:p w14:paraId="4AD596F6" w14:textId="77777777" w:rsidR="003754FE" w:rsidRDefault="003754FE" w:rsidP="003754FE">
      <w:pPr>
        <w:pStyle w:val="TextoNormal"/>
      </w:pPr>
      <w:r>
        <w:t>La sentencia considera que esa queja no formulada explícitamente por los recurrentes, y relativa a la infracción del régimen constitucional de suspensión de los derechos fundamentales debe examinarse antes de la relativa a la vulneración de la reserva de la ley orgánica contenida en el artículo 81.1 CE.</w:t>
      </w:r>
    </w:p>
    <w:p w14:paraId="389F6559" w14:textId="77777777" w:rsidR="003754FE" w:rsidRDefault="003754FE" w:rsidP="003754FE">
      <w:pPr>
        <w:pStyle w:val="TextoNormal"/>
      </w:pPr>
    </w:p>
    <w:p w14:paraId="3596934E" w14:textId="77777777" w:rsidR="003754FE" w:rsidRDefault="003754FE" w:rsidP="003754FE">
      <w:pPr>
        <w:pStyle w:val="TextoNormal"/>
      </w:pPr>
      <w:r>
        <w:t>Sin embargo, desde un punto de vista estrictamente metodológico el orden hubiera debido ser justamente el contrario porque esta última vulneración afecta a la aplicación del sistema de fuentes que lógicamente condiciona todo lo que pueda decirse después y, además, es la queja principal en que se centra la parte recurrente.</w:t>
      </w:r>
    </w:p>
    <w:p w14:paraId="7FAABA81" w14:textId="77777777" w:rsidR="003754FE" w:rsidRDefault="003754FE" w:rsidP="003754FE">
      <w:pPr>
        <w:pStyle w:val="TextoNormal"/>
      </w:pPr>
    </w:p>
    <w:p w14:paraId="42BF32F5" w14:textId="77777777" w:rsidR="003754FE" w:rsidRDefault="003754FE" w:rsidP="003754FE">
      <w:pPr>
        <w:pStyle w:val="TextoNormal"/>
      </w:pPr>
      <w:r>
        <w:t>Si se hubiera procedido así todo el desarrollo del fundamento jurídico 4 de la sentencia aprobada por la mayoría relativo a esa supuesta superación de la doctrina sentada en al STC 148/2021 habría devenido innecesario y lo habría sido también la formulación de este voto particular.</w:t>
      </w:r>
    </w:p>
    <w:p w14:paraId="35A8015E" w14:textId="77777777" w:rsidR="003754FE" w:rsidRDefault="003754FE" w:rsidP="003754FE">
      <w:pPr>
        <w:pStyle w:val="TextoNormal"/>
      </w:pPr>
    </w:p>
    <w:p w14:paraId="58558309" w14:textId="77777777" w:rsidR="003754FE" w:rsidRDefault="003754FE" w:rsidP="003754FE">
      <w:pPr>
        <w:pStyle w:val="TextoNormal"/>
      </w:pPr>
      <w:r>
        <w:t>4. La STC 148/2021, de 14 de julio, y sus votos particulares</w:t>
      </w:r>
    </w:p>
    <w:p w14:paraId="451F2069" w14:textId="77777777" w:rsidR="003754FE" w:rsidRDefault="003754FE" w:rsidP="003754FE">
      <w:pPr>
        <w:pStyle w:val="TextoNormal"/>
      </w:pPr>
    </w:p>
    <w:p w14:paraId="32BDE90E" w14:textId="77777777" w:rsidR="003754FE" w:rsidRDefault="003754FE" w:rsidP="003754FE">
      <w:pPr>
        <w:pStyle w:val="TextoNormal"/>
      </w:pPr>
      <w:r>
        <w:t>La STC 148/2021 estimó parcialmente el recurso de inconstitucionalidad interpuesto contra el Real Decreto 463/2020, de l4 de marzo por el que se declaró el primer estado de alarma para la gestión de la crisis sanitaria ocasionad por el covid-19.</w:t>
      </w:r>
    </w:p>
    <w:p w14:paraId="0B210B78" w14:textId="77777777" w:rsidR="003754FE" w:rsidRDefault="003754FE" w:rsidP="003754FE">
      <w:pPr>
        <w:pStyle w:val="TextoNormal"/>
      </w:pPr>
    </w:p>
    <w:p w14:paraId="15EB5E95" w14:textId="77777777" w:rsidR="003754FE" w:rsidRDefault="003754FE" w:rsidP="003754FE">
      <w:pPr>
        <w:pStyle w:val="TextoNormal"/>
      </w:pPr>
      <w:r>
        <w:t>Dicha sentencia se aprobó con una exigua mayoría de seis votos contra cinco, y en uno de esos votos uno de los magistrados discrepantes ya auguraba que, en un futuro, con una nueva composición del Tribunal Constitucional, esa doctrina debería ser revisada. Ya se ha producido ese nuevo escenario que preveía ese magistrado y, en efecto, la doctrina de la STC 148/2021, ha sido revisada por esta de la que discrepamos.</w:t>
      </w:r>
    </w:p>
    <w:p w14:paraId="472B78B2" w14:textId="77777777" w:rsidR="003754FE" w:rsidRDefault="003754FE" w:rsidP="003754FE">
      <w:pPr>
        <w:pStyle w:val="TextoNormal"/>
      </w:pPr>
    </w:p>
    <w:p w14:paraId="55DA065A" w14:textId="77777777" w:rsidR="003754FE" w:rsidRDefault="003754FE" w:rsidP="003754FE">
      <w:pPr>
        <w:pStyle w:val="TextoNormal"/>
      </w:pPr>
      <w:r>
        <w:t>No solo se ha cumplido ese pronóstico sino que todo el desarrollo del fundamento jurídico 4 está claramente inspirado en los votos particulares que acompañaban esa sentencia.</w:t>
      </w:r>
    </w:p>
    <w:p w14:paraId="391E1EE3" w14:textId="77777777" w:rsidR="003754FE" w:rsidRDefault="003754FE" w:rsidP="003754FE">
      <w:pPr>
        <w:pStyle w:val="TextoNormal"/>
      </w:pPr>
    </w:p>
    <w:p w14:paraId="44B47E62" w14:textId="77777777" w:rsidR="003754FE" w:rsidRDefault="003754FE" w:rsidP="003754FE">
      <w:pPr>
        <w:pStyle w:val="TextoNormal"/>
      </w:pPr>
      <w:r>
        <w:lastRenderedPageBreak/>
        <w:t>5. Improcedencia de la revisión de la doctrina sentada de la STC 148/2021. Razones formales</w:t>
      </w:r>
    </w:p>
    <w:p w14:paraId="40CC813B" w14:textId="77777777" w:rsidR="003754FE" w:rsidRDefault="003754FE" w:rsidP="003754FE">
      <w:pPr>
        <w:pStyle w:val="TextoNormal"/>
      </w:pPr>
    </w:p>
    <w:p w14:paraId="5434EEB8" w14:textId="77777777" w:rsidR="003754FE" w:rsidRDefault="003754FE" w:rsidP="003754FE">
      <w:pPr>
        <w:pStyle w:val="TextoNormal"/>
      </w:pPr>
      <w:r>
        <w:t>No solo por las razones metodológicas antes indicadas resultaría improcedente reexaminar en esta sentencia la doctrina de la STC 148/2021; es que ni la ley de Galicia que anula la sentencia aprobada por la mayoría precisaba que tuviéramos que pronunciarnos sobre la pervivencia de la doctrina mantenida en esa sentencia, ni las razones que se ofrecen para considerar superada esa doctrina nos parecen en absoluto convincentes.</w:t>
      </w:r>
    </w:p>
    <w:p w14:paraId="3CE3BC95" w14:textId="77777777" w:rsidR="003754FE" w:rsidRDefault="003754FE" w:rsidP="003754FE">
      <w:pPr>
        <w:pStyle w:val="TextoNormal"/>
      </w:pPr>
    </w:p>
    <w:p w14:paraId="52D9D7BF" w14:textId="77777777" w:rsidR="003754FE" w:rsidRDefault="003754FE" w:rsidP="003754FE">
      <w:pPr>
        <w:pStyle w:val="TextoNormal"/>
      </w:pPr>
      <w:r>
        <w:t>No era necesario hablar de la distinción que en esa sentencia se lleva a cabo entre suspensión y limitación de derechos fundamentales porque, cualquiera que sea la calificación de las medidas de restricción de derechos fundamentales que la Ley de salud de Galicia autoriza, lo relevante es que ninguna ley autonómica permite acordar medidas de este tipo, con independencia de la intensidad de las restricciones que imponga.</w:t>
      </w:r>
    </w:p>
    <w:p w14:paraId="6D7F089B" w14:textId="77777777" w:rsidR="003754FE" w:rsidRDefault="003754FE" w:rsidP="003754FE">
      <w:pPr>
        <w:pStyle w:val="TextoNormal"/>
      </w:pPr>
    </w:p>
    <w:p w14:paraId="09306CC5" w14:textId="77777777" w:rsidR="003754FE" w:rsidRDefault="003754FE" w:rsidP="003754FE">
      <w:pPr>
        <w:pStyle w:val="TextoNormal"/>
      </w:pPr>
      <w:r>
        <w:t>Incidentalmente cabe decir, que todas las restricciones contenidas en el artículo 38.2 de la Ley de salud de Galicia encajan sin dificultad en el concepto de limitación de derechos fundamentales, y no de su suspensión.</w:t>
      </w:r>
    </w:p>
    <w:p w14:paraId="4A34264E" w14:textId="77777777" w:rsidR="003754FE" w:rsidRDefault="003754FE" w:rsidP="003754FE">
      <w:pPr>
        <w:pStyle w:val="TextoNormal"/>
      </w:pPr>
    </w:p>
    <w:p w14:paraId="7FD1FC40" w14:textId="77777777" w:rsidR="003754FE" w:rsidRDefault="003754FE" w:rsidP="003754FE">
      <w:pPr>
        <w:pStyle w:val="TextoNormal"/>
      </w:pPr>
      <w:r>
        <w:t>Por centrarnos en su artículo 38.2 b), apartado 6 i), relativo a las medidas que conlleven limitación o restricción de la movilidad de las personas, que es la que más se aproxima a las del artículo 7, apartados 1 y 3 del Real Decreto 463/2020, declarado inconstitucional por nuestra STC 148/2021, esta sentencia basó su decisión sobre este artículo en que se trataba de una prohibición absoluta de circular por todo el territorio nacional acompañada de concretas y limitadas excepciones, lo que, en efecto, suponía una completa desnaturalización del derecho fundamental reconocido en el artículo 19 CE, “un vaciamiento de ese derecho o, si se quiere una suspensión del mismo”. Por el contrario, la medida equivalente de la Ley de salud de Galicia parte del principio opuesto, el de la libertad de circulación, que solo puede ser excepcionada en unos supuestos determinados y sin que esas excepciones puedan ser absolutas.</w:t>
      </w:r>
    </w:p>
    <w:p w14:paraId="31D91FC9" w14:textId="77777777" w:rsidR="003754FE" w:rsidRDefault="003754FE" w:rsidP="003754FE">
      <w:pPr>
        <w:pStyle w:val="TextoNormal"/>
      </w:pPr>
    </w:p>
    <w:p w14:paraId="68EDF000" w14:textId="77777777" w:rsidR="003754FE" w:rsidRDefault="003754FE" w:rsidP="003754FE">
      <w:pPr>
        <w:pStyle w:val="TextoNormal"/>
      </w:pPr>
      <w:r>
        <w:t>6. Improcedencia de la revisión de la STC 148/2021. Razones sustantivas</w:t>
      </w:r>
    </w:p>
    <w:p w14:paraId="768D7210" w14:textId="77777777" w:rsidR="003754FE" w:rsidRDefault="003754FE" w:rsidP="003754FE">
      <w:pPr>
        <w:pStyle w:val="TextoNormal"/>
      </w:pPr>
    </w:p>
    <w:p w14:paraId="788E642A" w14:textId="77777777" w:rsidR="003754FE" w:rsidRDefault="003754FE" w:rsidP="003754FE">
      <w:pPr>
        <w:pStyle w:val="TextoNormal"/>
      </w:pPr>
      <w:r>
        <w:t>(i) La STC 148/2021 se aprobó con una exigua mayoría seis a cinco y la cuestión principalmente debatida fue si las medidas de restricción a la libre circulación de personas que uno de sus preceptos establecía, podían considerarse como una limitación de derechos (viable en un estado de alarma, aunque sujeto al control judicial con apoyo en el principio de proporcionalidad) o una auténtica suspensión de derechos, solo aceptable si se hubiera declarado el estado de excepción.</w:t>
      </w:r>
    </w:p>
    <w:p w14:paraId="3217014A" w14:textId="77777777" w:rsidR="003754FE" w:rsidRDefault="003754FE" w:rsidP="003754FE">
      <w:pPr>
        <w:pStyle w:val="TextoNormal"/>
      </w:pPr>
    </w:p>
    <w:p w14:paraId="580F6CE1" w14:textId="77777777" w:rsidR="003754FE" w:rsidRDefault="003754FE" w:rsidP="003754FE">
      <w:pPr>
        <w:pStyle w:val="TextoNormal"/>
      </w:pPr>
      <w:r>
        <w:t>Prevaleció para hacer esa distinción una concepción gradualista: la limitación era un género y la suspensión, la especie. Cuando las limitaciones impuestas eran de una tan gran intensidad que, de hecho, desnaturalizaban el contenido del derecho, ya no estábamos ante una limitación de derechos, sino ante su suspensión.</w:t>
      </w:r>
    </w:p>
    <w:p w14:paraId="7EB94074" w14:textId="77777777" w:rsidR="003754FE" w:rsidRDefault="003754FE" w:rsidP="003754FE">
      <w:pPr>
        <w:pStyle w:val="TextoNormal"/>
      </w:pPr>
    </w:p>
    <w:p w14:paraId="11116786" w14:textId="77777777" w:rsidR="003754FE" w:rsidRDefault="003754FE" w:rsidP="003754FE">
      <w:pPr>
        <w:pStyle w:val="TextoNormal"/>
      </w:pPr>
      <w:r>
        <w:t xml:space="preserve">Los cinco votos particulares que acompañan la sentencia coinciden en muchas cosas y desde luego en una: la distinción entre suspensión y limitación de derechos no puede afrontarse desde una óptica gradualista, sino mas bien formal. La suspensión requiere una </w:t>
      </w:r>
      <w:r>
        <w:lastRenderedPageBreak/>
        <w:t>específica declaración en tal sentido, lo que supone que la regulación constitucional de las garantías que acompañan al derecho desaparecen.</w:t>
      </w:r>
    </w:p>
    <w:p w14:paraId="6B6EE210" w14:textId="77777777" w:rsidR="003754FE" w:rsidRDefault="003754FE" w:rsidP="003754FE">
      <w:pPr>
        <w:pStyle w:val="TextoNormal"/>
      </w:pPr>
    </w:p>
    <w:p w14:paraId="3EFE26C9" w14:textId="77777777" w:rsidR="003754FE" w:rsidRDefault="003754FE" w:rsidP="003754FE">
      <w:pPr>
        <w:pStyle w:val="TextoNormal"/>
      </w:pPr>
      <w:r>
        <w:t>Por el contrario, las limitaciones, aunque puedan tener idéntico contenido a las medidas adoptadas tras la suspensión, cuentan con las garantías propias de toda limitación de derechos fundamentales y su control puede llevarse a cabo a través del principio de proporcionalidad.</w:t>
      </w:r>
    </w:p>
    <w:p w14:paraId="4CBAD184" w14:textId="77777777" w:rsidR="003754FE" w:rsidRDefault="003754FE" w:rsidP="003754FE">
      <w:pPr>
        <w:pStyle w:val="TextoNormal"/>
      </w:pPr>
    </w:p>
    <w:p w14:paraId="42C2B6A6" w14:textId="77777777" w:rsidR="003754FE" w:rsidRDefault="003754FE" w:rsidP="003754FE">
      <w:pPr>
        <w:pStyle w:val="TextoNormal"/>
      </w:pPr>
      <w:r>
        <w:t>(ii) La doctrina existente es la de esa sentencia y no la de los votos particulares, y no creemos que pueda decirse que se encuentra superada por lo declarado en la serie de sentencias de este tribunal, que comienza en la STC 38/2023, respecto al derecho a la integridad personal en relación con la administración de una vacuna contra el covid o con la STC 61/2023, relativa a la prohibición de manifestaciones en razón a la situación sanitaria provocada por la pandemia.</w:t>
      </w:r>
    </w:p>
    <w:p w14:paraId="08E67AFE" w14:textId="77777777" w:rsidR="003754FE" w:rsidRDefault="003754FE" w:rsidP="003754FE">
      <w:pPr>
        <w:pStyle w:val="TextoNormal"/>
      </w:pPr>
    </w:p>
    <w:p w14:paraId="05B7065D" w14:textId="77777777" w:rsidR="003754FE" w:rsidRDefault="003754FE" w:rsidP="003754FE">
      <w:pPr>
        <w:pStyle w:val="TextoNormal"/>
      </w:pPr>
      <w:r>
        <w:t>Nada tiene que ver el sacrificio de la facultad individual de autodeterminarse en relación con la administración de una vacuna, que respecto de personas mayores de edad hemos dicho que no puede imponerse sin su consentimiento, con la privación absoluta del derecho a circular por las calles que impuso el decreto del estado de alarma.</w:t>
      </w:r>
    </w:p>
    <w:p w14:paraId="7E5CDCE6" w14:textId="77777777" w:rsidR="003754FE" w:rsidRDefault="003754FE" w:rsidP="003754FE">
      <w:pPr>
        <w:pStyle w:val="TextoNormal"/>
      </w:pPr>
    </w:p>
    <w:p w14:paraId="2B5088C5" w14:textId="77777777" w:rsidR="003754FE" w:rsidRDefault="003754FE" w:rsidP="003754FE">
      <w:pPr>
        <w:pStyle w:val="TextoNormal"/>
      </w:pPr>
      <w:r>
        <w:t>Nunca hemos dicho que cabe obligar a someterse a una vacuna. La doctrina que se cita se ha desarrollado a propósito de menores, en caso de discrepancia entre los padres a propósito de la administración de la vacuna e incluso, cuando los menores tienen suficiente juicio hemos dicho que el juez debería oírlos antes de decidir.</w:t>
      </w:r>
    </w:p>
    <w:p w14:paraId="2FD0CE64" w14:textId="77777777" w:rsidR="003754FE" w:rsidRDefault="003754FE" w:rsidP="003754FE">
      <w:pPr>
        <w:pStyle w:val="TextoNormal"/>
      </w:pPr>
    </w:p>
    <w:p w14:paraId="51073AE6" w14:textId="77777777" w:rsidR="003754FE" w:rsidRDefault="003754FE" w:rsidP="003754FE">
      <w:pPr>
        <w:pStyle w:val="TextoNormal"/>
      </w:pPr>
      <w:r>
        <w:t>La cita de la STC 61/2023, como inicio de esa evolución posterior a la STC 148/2021 no tiene valor alguno, porque se refiere al derecho de reunión y esa misma STC 148/2021 ya declaró que ese derecho seguía rigiéndose por su legislación específica.</w:t>
      </w:r>
    </w:p>
    <w:p w14:paraId="3F96BFE9" w14:textId="77777777" w:rsidR="003754FE" w:rsidRDefault="003754FE" w:rsidP="003754FE">
      <w:pPr>
        <w:pStyle w:val="TextoNormal"/>
      </w:pPr>
    </w:p>
    <w:p w14:paraId="2438C324" w14:textId="77777777" w:rsidR="003754FE" w:rsidRDefault="003754FE" w:rsidP="003754FE">
      <w:pPr>
        <w:pStyle w:val="TextoNormal"/>
      </w:pPr>
      <w:r>
        <w:t xml:space="preserve">(iii) Y con estos mimbres se organiza nada menos que un </w:t>
      </w:r>
      <w:r w:rsidRPr="003754FE">
        <w:rPr>
          <w:i/>
        </w:rPr>
        <w:t>overruling</w:t>
      </w:r>
      <w:r>
        <w:t xml:space="preserve"> a la STC 148/2021, que, por muy discutida que fuere, fijó la doctrina del Tribunal Constitucional sobre esta cuestión.</w:t>
      </w:r>
    </w:p>
    <w:p w14:paraId="76C70101" w14:textId="77777777" w:rsidR="003754FE" w:rsidRDefault="003754FE" w:rsidP="003754FE">
      <w:pPr>
        <w:pStyle w:val="TextoNormal"/>
      </w:pPr>
    </w:p>
    <w:p w14:paraId="4D7C1B04" w14:textId="77777777" w:rsidR="003754FE" w:rsidRDefault="003754FE" w:rsidP="003754FE">
      <w:pPr>
        <w:pStyle w:val="TextoNormal"/>
      </w:pPr>
      <w:r>
        <w:t>Una doctrina que creemos que es correcta.</w:t>
      </w:r>
    </w:p>
    <w:p w14:paraId="0764C054" w14:textId="77777777" w:rsidR="003754FE" w:rsidRDefault="003754FE" w:rsidP="003754FE">
      <w:pPr>
        <w:pStyle w:val="TextoNormal"/>
      </w:pPr>
    </w:p>
    <w:p w14:paraId="40935524" w14:textId="77777777" w:rsidR="003754FE" w:rsidRDefault="003754FE" w:rsidP="003754FE">
      <w:pPr>
        <w:pStyle w:val="TextoNormal"/>
      </w:pPr>
      <w:r>
        <w:t>No nos parece muy aceptable defender que es el régimen de garantías aplicable en uno y otro caso el que defina, a una igualdad de contenido en la medida, si se trata de una suspensión o de una limitación.</w:t>
      </w:r>
    </w:p>
    <w:p w14:paraId="099E959E" w14:textId="77777777" w:rsidR="003754FE" w:rsidRDefault="003754FE" w:rsidP="003754FE">
      <w:pPr>
        <w:pStyle w:val="TextoNormal"/>
      </w:pPr>
    </w:p>
    <w:p w14:paraId="29CD4430" w14:textId="77777777" w:rsidR="003754FE" w:rsidRDefault="003754FE" w:rsidP="003754FE">
      <w:pPr>
        <w:pStyle w:val="TextoNormal"/>
      </w:pPr>
      <w:r>
        <w:t>Es la previa calificación de la medida, a nuestro juicio, lo que determina el tipo de control aplicable.</w:t>
      </w:r>
    </w:p>
    <w:p w14:paraId="0112BE7E" w14:textId="77777777" w:rsidR="003754FE" w:rsidRDefault="003754FE" w:rsidP="003754FE">
      <w:pPr>
        <w:pStyle w:val="TextoNormal"/>
      </w:pPr>
    </w:p>
    <w:p w14:paraId="0CDBBDA5" w14:textId="77777777" w:rsidR="003754FE" w:rsidRDefault="003754FE" w:rsidP="003754FE">
      <w:pPr>
        <w:pStyle w:val="TextoNormal"/>
      </w:pPr>
      <w:r>
        <w:t>Aparte de que también en el estado de excepción se aplica el control por el principio de proporcionalidad, como se dice en ese STC 148/2021.</w:t>
      </w:r>
    </w:p>
    <w:p w14:paraId="5DE8020A" w14:textId="77777777" w:rsidR="003754FE" w:rsidRDefault="003754FE" w:rsidP="003754FE">
      <w:pPr>
        <w:pStyle w:val="TextoNormal"/>
      </w:pPr>
    </w:p>
    <w:p w14:paraId="14E3C6F9" w14:textId="77777777" w:rsidR="003754FE" w:rsidRDefault="003754FE" w:rsidP="003754FE">
      <w:pPr>
        <w:pStyle w:val="TextoNormal"/>
      </w:pPr>
      <w:r>
        <w:t xml:space="preserve">Es un claro </w:t>
      </w:r>
      <w:r w:rsidRPr="003754FE">
        <w:rPr>
          <w:i/>
        </w:rPr>
        <w:t>overruling</w:t>
      </w:r>
      <w:r>
        <w:t xml:space="preserve"> de la STC 148/2021. Las sentencias del Tribunal Constitucional que se citan no justifican esa solución.</w:t>
      </w:r>
    </w:p>
    <w:p w14:paraId="369DC3C9" w14:textId="77777777" w:rsidR="003754FE" w:rsidRDefault="003754FE" w:rsidP="003754FE">
      <w:pPr>
        <w:pStyle w:val="TextoNormal"/>
      </w:pPr>
    </w:p>
    <w:p w14:paraId="193712EB" w14:textId="77777777" w:rsidR="003754FE" w:rsidRDefault="003754FE" w:rsidP="003754FE">
      <w:pPr>
        <w:pStyle w:val="TextoNormal"/>
      </w:pPr>
      <w:r>
        <w:lastRenderedPageBreak/>
        <w:t>(iv) Si ha de revisarse la doctrina de la STC 148/2021 esa revisión deberá hacerse tras una deliberación en que se pongan de manifiesto todos los puntos de vista y se decida si efectivamente la STC 148/2021 estaba equivocada y se rehabilite, aunque sea tardíamente, ese real decreto de declaración del estado de alarma; no camuflando esa revisión como resultado de una evolución natural de nuestra jurisprudencia.</w:t>
      </w:r>
    </w:p>
    <w:p w14:paraId="7BE3CE79" w14:textId="77777777" w:rsidR="003754FE" w:rsidRDefault="003754FE" w:rsidP="003754FE">
      <w:pPr>
        <w:pStyle w:val="TextoNormal"/>
      </w:pPr>
    </w:p>
    <w:p w14:paraId="3F6A662A" w14:textId="77777777" w:rsidR="003754FE" w:rsidRDefault="003754FE" w:rsidP="003754FE">
      <w:pPr>
        <w:pStyle w:val="TextoNormal"/>
      </w:pPr>
      <w:r>
        <w:t>No hay tal evolución. La ponencia hace un claro seguidismo de los votos particulares y llega a hacer suya una afirmación: que la realidad práctica, que este tribunal no puede ignorar sin incurrir en “una abstracta e inservible jurisprudencia de conceptos”, muestra que son posibles restricciones de alta intensidad por razones de salud pública, en los derechos fundamentales, que es una alusión a la jurisprudencia de conceptos que también aparece, y literalmente, en uno de los votos particulares.</w:t>
      </w:r>
    </w:p>
    <w:p w14:paraId="37AEF689" w14:textId="77777777" w:rsidR="003754FE" w:rsidRDefault="003754FE" w:rsidP="003754FE">
      <w:pPr>
        <w:pStyle w:val="TextoNormal"/>
      </w:pPr>
    </w:p>
    <w:p w14:paraId="7962DB49" w14:textId="77777777" w:rsidR="003754FE" w:rsidRDefault="003754FE" w:rsidP="003754FE">
      <w:pPr>
        <w:pStyle w:val="TextoNormal"/>
      </w:pPr>
      <w:r>
        <w:t xml:space="preserve">Esta descalificación de la STC 148/2021 no era necesaria para resolver el presente recurso y ni siquiera se puede decir que se erija en </w:t>
      </w:r>
      <w:r w:rsidRPr="003754FE">
        <w:rPr>
          <w:i/>
        </w:rPr>
        <w:t>ratio decidenci</w:t>
      </w:r>
      <w:r>
        <w:t xml:space="preserve"> de la sentencia, pues la razón para la decisión adoptada no tiene que ver con lo argumentado en ese fundamento jurídico 4, sino en la ausencia de habilitación de ley orgánica que es realmente lo que determina el fallo estimatorio, que compartimos.</w:t>
      </w:r>
    </w:p>
    <w:p w14:paraId="2CBCB0ED" w14:textId="77777777" w:rsidR="003754FE" w:rsidRDefault="003754FE" w:rsidP="003754FE">
      <w:pPr>
        <w:pStyle w:val="TextoNormal"/>
      </w:pPr>
    </w:p>
    <w:p w14:paraId="7B6F06BB" w14:textId="77777777" w:rsidR="003754FE" w:rsidRDefault="003754FE" w:rsidP="003754FE">
      <w:pPr>
        <w:pStyle w:val="TextoNormal"/>
      </w:pPr>
      <w:r>
        <w:t>Y en este sentido emitimos este voto particular.</w:t>
      </w:r>
    </w:p>
    <w:p w14:paraId="6C966787" w14:textId="77777777" w:rsidR="003754FE" w:rsidRDefault="003754FE" w:rsidP="003754FE">
      <w:pPr>
        <w:pStyle w:val="TextoNormal"/>
      </w:pPr>
    </w:p>
    <w:p w14:paraId="6AFE1F9E" w14:textId="610E905D" w:rsidR="003754FE" w:rsidRDefault="003754FE" w:rsidP="003754FE">
      <w:pPr>
        <w:pStyle w:val="TextoNormal"/>
      </w:pPr>
      <w:r>
        <w:t>Madrid, a seis de noviembre de dos mil veinticuatro.</w:t>
      </w:r>
    </w:p>
    <w:p w14:paraId="56C4AF22" w14:textId="527FA183" w:rsidR="003754FE" w:rsidRDefault="003754FE">
      <w:pPr>
        <w:spacing w:after="160" w:line="278" w:lineRule="auto"/>
        <w:rPr>
          <w:rFonts w:ascii="Times New Roman" w:eastAsia="Times New Roman" w:hAnsi="Times New Roman" w:cs="Times New Roman"/>
          <w:sz w:val="24"/>
          <w:szCs w:val="24"/>
          <w:lang w:eastAsia="es-ES"/>
        </w:rPr>
      </w:pPr>
      <w:r>
        <w:br w:type="page"/>
      </w:r>
    </w:p>
    <w:p w14:paraId="04CA8A35" w14:textId="77777777" w:rsidR="003754FE" w:rsidRDefault="003754FE" w:rsidP="003754FE">
      <w:pPr>
        <w:pStyle w:val="TtuloResolucin"/>
      </w:pPr>
      <w:bookmarkStart w:id="46" w:name="SENTENCIA_2024_137"/>
      <w:r>
        <w:lastRenderedPageBreak/>
        <w:t>SENTENCIA 137/2024, de 6 de noviembre de 2024</w:t>
      </w:r>
    </w:p>
    <w:bookmarkEnd w:id="46"/>
    <w:p w14:paraId="3F258E5C" w14:textId="77777777" w:rsidR="003754FE" w:rsidRDefault="003754FE" w:rsidP="003754FE">
      <w:pPr>
        <w:pStyle w:val="TtuloResolucin"/>
      </w:pPr>
      <w:r>
        <w:t>Pleno</w:t>
      </w:r>
    </w:p>
    <w:p w14:paraId="2BB3385D" w14:textId="77777777" w:rsidR="003754FE" w:rsidRDefault="003754FE" w:rsidP="003754FE">
      <w:pPr>
        <w:pStyle w:val="TtuloBOE"/>
      </w:pPr>
      <w:r>
        <w:t>(BOE núm. 294, de 6 de diciembre de 2024)</w:t>
      </w:r>
    </w:p>
    <w:p w14:paraId="7AB87096" w14:textId="77777777" w:rsidR="003754FE" w:rsidRDefault="003754FE" w:rsidP="003754FE">
      <w:pPr>
        <w:pStyle w:val="TextoNormalCentrado"/>
      </w:pPr>
      <w:r>
        <w:t>ECLI:ES:TC:2024:137</w:t>
      </w:r>
    </w:p>
    <w:p w14:paraId="512A3DD2" w14:textId="5C927C53" w:rsidR="003754FE" w:rsidRDefault="003754FE" w:rsidP="003754FE">
      <w:pPr>
        <w:pStyle w:val="TextoNormalCentrado"/>
      </w:pPr>
    </w:p>
    <w:p w14:paraId="59BBABD9" w14:textId="77777777" w:rsidR="003754FE" w:rsidRDefault="003754FE" w:rsidP="003754FE">
      <w:pPr>
        <w:pStyle w:val="SntesisDescriptiva"/>
      </w:pPr>
      <w:r>
        <w:t>Recurso de amparo 1303-2022. Promovido por don Santiago Abascal Conde y otros cincuenta y un diputados del Grupo Parlamentario Vox en el Congreso de los Diputados respecto de las resoluciones dictadas por la presidenta del Congreso de los Diputados sobre la votación de convalidación del Real Decreto-ley 32/2021, de 28 de diciembre, de medidas urgentes para la reforma laboral, la garantía de estabilidad en el empleo y la transformación del mercado de trabajo.</w:t>
      </w:r>
    </w:p>
    <w:p w14:paraId="297CC6F3" w14:textId="370F1C41" w:rsidR="003754FE" w:rsidRDefault="003754FE" w:rsidP="003754FE">
      <w:pPr>
        <w:pStyle w:val="SntesisDescriptiva"/>
      </w:pPr>
    </w:p>
    <w:p w14:paraId="195E3B26" w14:textId="77777777" w:rsidR="003754FE" w:rsidRDefault="003754FE" w:rsidP="003754FE">
      <w:pPr>
        <w:pStyle w:val="SntesisAnaltica"/>
      </w:pPr>
      <w:r>
        <w:t>Supuesta vulneración del derecho al ejercicio del cargo representativo: STC 114/2024 (ejercicio del voto telemático al que no sucede una solicitud o actuación personal tempestiva del propio diputado que acredite su expresa voluntad de optar por el ejercicio presencial de su voto y por la anulación del voto telemático autorizado y emitido). Voto particular.</w:t>
      </w:r>
    </w:p>
    <w:p w14:paraId="4ED98B2B" w14:textId="06B2EDEC" w:rsidR="003754FE" w:rsidRDefault="003754FE" w:rsidP="003754FE">
      <w:pPr>
        <w:pStyle w:val="SntesisAnaltica"/>
      </w:pPr>
    </w:p>
    <w:p w14:paraId="04EEA02E" w14:textId="46B0AA6D" w:rsidR="003754FE" w:rsidRDefault="003754FE" w:rsidP="003754FE">
      <w:pPr>
        <w:pStyle w:val="Extracto"/>
      </w:pPr>
      <w:r>
        <w:t>1.</w:t>
      </w:r>
      <w:r>
        <w:tab/>
        <w:t>Aplicación de la doctrina sentada en la SSTC 114/2024, en materia de procedimiento de autorización del voto presencial al diputado que ha votado previamente de modo telemático, debiendo mediar una solicitud o actuación personal tempestiva del propio diputado que acredite su expresa voluntad de optar por el ejercicio presencial de su voto y por la anulación del voto telemático autorizado y emitido; y ello en virtud del carácter personal e indelegable del voto [FJ 3].</w:t>
      </w:r>
    </w:p>
    <w:p w14:paraId="0EA9BEB3" w14:textId="77777777" w:rsidR="003754FE" w:rsidRDefault="003754FE" w:rsidP="003754FE">
      <w:pPr>
        <w:pStyle w:val="Extracto"/>
      </w:pPr>
    </w:p>
    <w:p w14:paraId="6BB88760" w14:textId="77777777" w:rsidR="003754FE" w:rsidRDefault="003754FE" w:rsidP="003754FE">
      <w:pPr>
        <w:pStyle w:val="Extracto"/>
      </w:pPr>
    </w:p>
    <w:p w14:paraId="16CDCCCD"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ha pronunciado</w:t>
      </w:r>
    </w:p>
    <w:p w14:paraId="08EC38F0" w14:textId="61C67D9D" w:rsidR="003754FE" w:rsidRDefault="003754FE" w:rsidP="003754FE">
      <w:pPr>
        <w:pStyle w:val="TextoNormal"/>
      </w:pPr>
    </w:p>
    <w:p w14:paraId="29C44EE8" w14:textId="77777777" w:rsidR="003754FE" w:rsidRDefault="003754FE" w:rsidP="003754FE">
      <w:pPr>
        <w:pStyle w:val="TextoNormalCentrado"/>
        <w:keepNext/>
      </w:pPr>
      <w:r>
        <w:t>EN NOMBRE DEL REY</w:t>
      </w:r>
    </w:p>
    <w:p w14:paraId="39100E0A" w14:textId="37F76AAD" w:rsidR="003754FE" w:rsidRDefault="003754FE" w:rsidP="003754FE">
      <w:pPr>
        <w:pStyle w:val="TextoNormalCentrado"/>
        <w:keepNext/>
      </w:pPr>
    </w:p>
    <w:p w14:paraId="76BFE3FC" w14:textId="77777777" w:rsidR="003754FE" w:rsidRDefault="003754FE" w:rsidP="003754FE">
      <w:pPr>
        <w:pStyle w:val="TextoNormalCentrado"/>
        <w:keepNext/>
      </w:pPr>
    </w:p>
    <w:p w14:paraId="51C053B3" w14:textId="77777777" w:rsidR="003754FE" w:rsidRDefault="003754FE" w:rsidP="003754FE">
      <w:pPr>
        <w:pStyle w:val="TextoNormal"/>
      </w:pPr>
      <w:r>
        <w:t>la siguiente</w:t>
      </w:r>
    </w:p>
    <w:p w14:paraId="147DD826" w14:textId="3AD9D4AA" w:rsidR="003754FE" w:rsidRDefault="003754FE" w:rsidP="003754FE">
      <w:pPr>
        <w:pStyle w:val="TextoNormal"/>
      </w:pPr>
    </w:p>
    <w:p w14:paraId="5D0DDE28" w14:textId="77777777" w:rsidR="003754FE" w:rsidRDefault="003754FE" w:rsidP="003754FE">
      <w:pPr>
        <w:pStyle w:val="TextoNormalCentrado"/>
        <w:keepNext/>
      </w:pPr>
      <w:r>
        <w:t>SENTENCIA</w:t>
      </w:r>
    </w:p>
    <w:p w14:paraId="008EA26D" w14:textId="7AF9D283" w:rsidR="003754FE" w:rsidRDefault="003754FE" w:rsidP="003754FE">
      <w:pPr>
        <w:pStyle w:val="TextoNormalCentrado"/>
        <w:keepNext/>
      </w:pPr>
    </w:p>
    <w:p w14:paraId="78F27B19" w14:textId="77777777" w:rsidR="003754FE" w:rsidRDefault="003754FE" w:rsidP="003754FE">
      <w:pPr>
        <w:pStyle w:val="TextoNormal"/>
      </w:pPr>
      <w:r>
        <w:t xml:space="preserve">En el recurso de amparo núm. 1303-2022, promovido por don Santiago Abascal Conde, don Francisco Javier Ortega-Smith Molina, don Iván Espinosa de los Monteros y de Simón, doña María de la Cabeza Ruiz Solás, doña Carla Toscano de Balbín, don Pedro Fernández Hernández, don Pablo Sáez Alonso-Muñumer, doña Cristina Esteban Calonje, don Ignacio Gil Lázaro, don Manuel Mestre Barea, don Manuel Mariscal Zabala, doña María de los Reyes Romero Vilches, doña Rocío de Meer Méndez, don José María Figaredo Álvarez-Sala, doña Lourdes Méndez Monasterio, don Joaquín Robles López, don Juan Carlos Segura Just, doña Patricia Rueda Perelló, don José Ramírez del Río, don Agustín Rosety Fernández </w:t>
      </w:r>
      <w:r>
        <w:lastRenderedPageBreak/>
        <w:t>de Castro, doña Macarena Olona Choclán, don Rodrigo Jiménez Revuelta, don Ricardo Chamorro Delmo, don Víctor Sánchez del Real, don Tomás Fernández de los Ríos, don Francisco José Contreras Peláez, don Francisco José Alcaraz Martos, don Carlos José Zambrano García-Ráez, doña Mercedes Jara Moreno, don Rubén Silvano Manso Olivar, don Andrés Alberto Rodríguez Almeida, don Rubén Darío Vega Arias, don Emilio Jesús del Valle Rodríguez, don Rafael Fernández-Lomana Gutiérrez, don Ángel López Maraver, doña Inés María Cañizares Pacheco, don Pablo Juan Calvo Liste, don Víctor Guido González Coello de Portugal, doña Georgina Trías Gil, don Pedro Requejo Novoa, don Juan José Aizcorbe Torra, doña María Teresa López Álvarez, don Juan Luis Steegmann Olmedillas, doña Mireia Borrás Pabón, don Julio Utrilla Cano, don José María Sánchez García, don Eduardo Luis Ruiz Navarro, don Alberto Asarta Cuevas, doña María Magdalena Nevado del Campo, don Antonio Salvá Verd, doña Patricia de las Heras Fernández y don Luis Gestoso de Miguel, todos ellos diputados del Grupo Parlamentario Vox en el Congreso de los Diputados en la XIV Legislatura, contra la decisión de la señora presidenta del Congreso, emitida en la sesión plenaria del Congreso de los Diputados de 3 de febrero de 2022, de no permitir el voto presencial del diputado del Grupo Parlamentario Popular, señor Casero Ávila, previa anulación de su voto telemático, en relación con la convalidación del Real Decreto-ley 32/2021, de 28 de diciembre, de medidas urgentes para la reforma laboral, la garantía de la estabilidad en el empleo y la transformación del mercado de trabajo; y contra la posterior decisión de la señora presidenta del Congreso de negarse a repetir la votación ante la incidencia en el voto telemático del diputado señor Casero Ávila. Ha sido ponente el magistrado don Ramón Sáez Valcárcel.</w:t>
      </w:r>
    </w:p>
    <w:p w14:paraId="6251AE70" w14:textId="39B53D03" w:rsidR="003754FE" w:rsidRDefault="003754FE" w:rsidP="003754FE">
      <w:pPr>
        <w:pStyle w:val="TextoNormal"/>
      </w:pPr>
    </w:p>
    <w:p w14:paraId="1B308E84" w14:textId="77777777" w:rsidR="003754FE" w:rsidRDefault="003754FE" w:rsidP="003754FE">
      <w:pPr>
        <w:pStyle w:val="TextoNormalNegritaCentrado"/>
        <w:keepNext/>
      </w:pPr>
      <w:r>
        <w:t>I. Antecedentes</w:t>
      </w:r>
    </w:p>
    <w:p w14:paraId="2819CE5B" w14:textId="010E4318" w:rsidR="003754FE" w:rsidRDefault="003754FE" w:rsidP="003754FE">
      <w:pPr>
        <w:pStyle w:val="TextoNormalNegritaCentrado"/>
        <w:keepNext/>
      </w:pPr>
    </w:p>
    <w:p w14:paraId="0DC2F4EF" w14:textId="705AD5F8" w:rsidR="003754FE" w:rsidRDefault="003754FE" w:rsidP="003754FE">
      <w:pPr>
        <w:pStyle w:val="TextoNormal"/>
      </w:pPr>
      <w:r w:rsidRPr="003754FE">
        <w:rPr>
          <w:rStyle w:val="NumeroAFNegritaCaracter"/>
        </w:rPr>
        <w:t>1</w:t>
      </w:r>
      <w:r>
        <w:t>. Mediante escrito que tuvo entrada en este tribunal el día 28 de febrero de 2022, los diputados reseñados en el encabezamiento de esta sentencia, todos ellos miembros del Grupo Parlamentario Vox en el Congreso de los Diputados en la XIV Legislatura, representados por el procurador de los tribunales don Antonio Ortega Fuentes y bajo la dirección letrada de don Juan José Aizcorbe Torra, interpusieron recurso de amparo contra las decisiones de la Presidencia del Congreso de los Diputados mencionadas en el encabezamiento de esta sentencia.</w:t>
      </w:r>
    </w:p>
    <w:p w14:paraId="1D9051D8" w14:textId="77777777" w:rsidR="003754FE" w:rsidRDefault="003754FE" w:rsidP="003754FE">
      <w:pPr>
        <w:pStyle w:val="TextoNormal"/>
      </w:pPr>
    </w:p>
    <w:p w14:paraId="6800FB10" w14:textId="77777777" w:rsidR="003754FE" w:rsidRDefault="003754FE" w:rsidP="003754FE">
      <w:pPr>
        <w:pStyle w:val="TextoNormal"/>
      </w:pPr>
      <w:r w:rsidRPr="003754FE">
        <w:rPr>
          <w:rStyle w:val="NumeroAFNegritaCaracter"/>
        </w:rPr>
        <w:t>2</w:t>
      </w:r>
      <w:r>
        <w:t>. Los hechos expuestos en la demanda de amparo pueden resumirse como sigue:</w:t>
      </w:r>
    </w:p>
    <w:p w14:paraId="5D11CC53" w14:textId="77777777" w:rsidR="003754FE" w:rsidRDefault="003754FE" w:rsidP="003754FE">
      <w:pPr>
        <w:pStyle w:val="TextoNormal"/>
      </w:pPr>
    </w:p>
    <w:p w14:paraId="03D1C602" w14:textId="77777777" w:rsidR="003754FE" w:rsidRDefault="003754FE" w:rsidP="003754FE">
      <w:pPr>
        <w:pStyle w:val="TextoNormal"/>
      </w:pPr>
      <w:r>
        <w:t>a) El día 3 de febrero de 2022 tuvo lugar en el Congreso de los Diputados la sesión plenaria en la que, entre otros puntos del orden del día, tuvo lugar la votación de la convalidación o derogación del Real Decreto-ley 32/2021, de 28 de diciembre, de medidas urgentes para la reforma laboral, la garantía de la estabilidad en el empleo y la transformación del mercado de trabajo (en adelante, por lo general, Real Decreto-ley 32/2021). Según consta en el “Diario de Sesiones del Congreso de los Diputados” núm. 156, de 3 de febrero de 2022, pág. 94, el resultado de la votación fue de 175 votos a favor y 174 en contra, por lo que quedó convalidado el citado real decreto-ley.</w:t>
      </w:r>
    </w:p>
    <w:p w14:paraId="75D570E1" w14:textId="77777777" w:rsidR="003754FE" w:rsidRDefault="003754FE" w:rsidP="003754FE">
      <w:pPr>
        <w:pStyle w:val="TextoNormal"/>
      </w:pPr>
    </w:p>
    <w:p w14:paraId="03FDE4B7" w14:textId="77777777" w:rsidR="003754FE" w:rsidRDefault="003754FE" w:rsidP="003754FE">
      <w:pPr>
        <w:pStyle w:val="TextoNormal"/>
      </w:pPr>
      <w:r>
        <w:t xml:space="preserve">b) Según la demanda, en dicha votación se produjo “una incidencia con el voto telemático de uno de los señores diputados del Grupo Parlamentario Popular que determinó que su voto se computara como favorable a la convalidación del Real Decreto-ley y contrario a la </w:t>
      </w:r>
      <w:r>
        <w:lastRenderedPageBreak/>
        <w:t>posición adoptada por la totalidad de los restantes miembros de ese grupo parlamentario” y de los recurrentes, afectando de forma notoria a la conformación de la voluntad de la Cámara.</w:t>
      </w:r>
    </w:p>
    <w:p w14:paraId="1C1F1A48" w14:textId="77777777" w:rsidR="003754FE" w:rsidRDefault="003754FE" w:rsidP="003754FE">
      <w:pPr>
        <w:pStyle w:val="TextoNormal"/>
      </w:pPr>
    </w:p>
    <w:p w14:paraId="56CF0C3C" w14:textId="77777777" w:rsidR="003754FE" w:rsidRDefault="003754FE" w:rsidP="003754FE">
      <w:pPr>
        <w:pStyle w:val="TextoNormal"/>
      </w:pPr>
      <w:r>
        <w:t>c) Con el objeto de denunciar esta incidencia en el voto telemático del señor Casero Ávila, una diputada del Grupo Parlamentario Popular, la señora Gamarra Ruiz-Clavijo, pidió la palabra, constando el contenido de su intervención, así como el de la presidenta del Congreso en el diario de sesiones, que se transcribe a continuación:</w:t>
      </w:r>
    </w:p>
    <w:p w14:paraId="28370837" w14:textId="77777777" w:rsidR="003754FE" w:rsidRDefault="003754FE" w:rsidP="003754FE">
      <w:pPr>
        <w:pStyle w:val="TextoNormal"/>
      </w:pPr>
    </w:p>
    <w:p w14:paraId="3EE9F222" w14:textId="77777777" w:rsidR="003754FE" w:rsidRDefault="003754FE" w:rsidP="003754FE">
      <w:pPr>
        <w:pStyle w:val="TextoNormal"/>
      </w:pPr>
      <w:r>
        <w:t>“La señora Gamarra Ruiz-Clavijo: Señora presidenta, con carácter previo a la votación se ha puesto de manifiesto a la mesa un error informático […]</w:t>
      </w:r>
    </w:p>
    <w:p w14:paraId="4781C297" w14:textId="77777777" w:rsidR="003754FE" w:rsidRDefault="003754FE" w:rsidP="003754FE">
      <w:pPr>
        <w:pStyle w:val="TextoNormal"/>
      </w:pPr>
    </w:p>
    <w:p w14:paraId="39149D93" w14:textId="77777777" w:rsidR="003754FE" w:rsidRDefault="003754FE" w:rsidP="003754FE">
      <w:pPr>
        <w:pStyle w:val="TextoNormal"/>
      </w:pPr>
      <w:r>
        <w:t>La señora presidenta: Señora Gamarra, ¿en función de qué artículo me está usted pidiendo la palabra?</w:t>
      </w:r>
    </w:p>
    <w:p w14:paraId="5187CF74" w14:textId="77777777" w:rsidR="003754FE" w:rsidRDefault="003754FE" w:rsidP="003754FE">
      <w:pPr>
        <w:pStyle w:val="TextoNormal"/>
      </w:pPr>
    </w:p>
    <w:p w14:paraId="28E8F5EE" w14:textId="77777777" w:rsidR="003754FE" w:rsidRDefault="003754FE" w:rsidP="003754FE">
      <w:pPr>
        <w:pStyle w:val="TextoNormal"/>
      </w:pPr>
      <w:r>
        <w:t>La señora Gamarra Ruiz-Clavijo: Artículo 72. (Rumores).</w:t>
      </w:r>
    </w:p>
    <w:p w14:paraId="115123BE" w14:textId="77777777" w:rsidR="003754FE" w:rsidRDefault="003754FE" w:rsidP="003754FE">
      <w:pPr>
        <w:pStyle w:val="TextoNormal"/>
      </w:pPr>
    </w:p>
    <w:p w14:paraId="323BBA85" w14:textId="77777777" w:rsidR="003754FE" w:rsidRDefault="003754FE" w:rsidP="003754FE">
      <w:pPr>
        <w:pStyle w:val="TextoNormal"/>
      </w:pPr>
      <w:r>
        <w:t>La señora presidenta: Señora Gamarra, precisamente porque la mesa es conocedora y ha podido analizar lo que usted me va a plantear, y es una cuestión técnica de la mesa, de decisión de la mesa, y no de tratamiento de Pleno, no le voy a dar la palabra.</w:t>
      </w:r>
    </w:p>
    <w:p w14:paraId="21CBAEC0" w14:textId="77777777" w:rsidR="003754FE" w:rsidRDefault="003754FE" w:rsidP="003754FE">
      <w:pPr>
        <w:pStyle w:val="TextoNormal"/>
      </w:pPr>
    </w:p>
    <w:p w14:paraId="5DD6DAB6" w14:textId="77777777" w:rsidR="003754FE" w:rsidRDefault="003754FE" w:rsidP="003754FE">
      <w:pPr>
        <w:pStyle w:val="TextoNormal"/>
      </w:pPr>
      <w:r>
        <w:t>La señora Gamarra Ruiz-Clavijo: Señora presidenta […] (Protestas. Varios señores diputados: ¡Tongo, tongo! ¡Qué vergüenza!).</w:t>
      </w:r>
    </w:p>
    <w:p w14:paraId="6318721C" w14:textId="77777777" w:rsidR="003754FE" w:rsidRDefault="003754FE" w:rsidP="003754FE">
      <w:pPr>
        <w:pStyle w:val="TextoNormal"/>
      </w:pPr>
    </w:p>
    <w:p w14:paraId="62F46525" w14:textId="77777777" w:rsidR="003754FE" w:rsidRDefault="003754FE" w:rsidP="003754FE">
      <w:pPr>
        <w:pStyle w:val="TextoNormal"/>
      </w:pPr>
      <w:r>
        <w:t>La señora presidenta: Muchas gracias.</w:t>
      </w:r>
    </w:p>
    <w:p w14:paraId="2974A018" w14:textId="77777777" w:rsidR="003754FE" w:rsidRDefault="003754FE" w:rsidP="003754FE">
      <w:pPr>
        <w:pStyle w:val="TextoNormal"/>
      </w:pPr>
    </w:p>
    <w:p w14:paraId="118DE1FD" w14:textId="77777777" w:rsidR="003754FE" w:rsidRDefault="003754FE" w:rsidP="003754FE">
      <w:pPr>
        <w:pStyle w:val="TextoNormal"/>
      </w:pPr>
      <w:r>
        <w:t>Se levanta la sesión. (Aplausos).</w:t>
      </w:r>
    </w:p>
    <w:p w14:paraId="65F07DE7" w14:textId="77777777" w:rsidR="003754FE" w:rsidRDefault="003754FE" w:rsidP="003754FE">
      <w:pPr>
        <w:pStyle w:val="TextoNormal"/>
      </w:pPr>
    </w:p>
    <w:p w14:paraId="633E00D7" w14:textId="77777777" w:rsidR="003754FE" w:rsidRDefault="003754FE" w:rsidP="003754FE">
      <w:pPr>
        <w:pStyle w:val="TextoNormal"/>
      </w:pPr>
      <w:r>
        <w:t>Eran las seis y cuarenta minutos de la tarde”.</w:t>
      </w:r>
    </w:p>
    <w:p w14:paraId="6092B6BE" w14:textId="77777777" w:rsidR="003754FE" w:rsidRDefault="003754FE" w:rsidP="003754FE">
      <w:pPr>
        <w:pStyle w:val="TextoNormal"/>
      </w:pPr>
    </w:p>
    <w:p w14:paraId="5B38A164" w14:textId="77777777" w:rsidR="003754FE" w:rsidRDefault="003754FE" w:rsidP="003754FE">
      <w:pPr>
        <w:pStyle w:val="TextoNormal"/>
      </w:pPr>
      <w:r>
        <w:t>d) Según se afirma en la demanda, debido a que de las palabras de la presidenta del Congreso que se acaban de transcribir se derivaba que la mesa era conocedora y había analizado el error informático al que se refirió la señora Gamarra Ruiz-Clavijo, el Grupo Parlamentario Vox solicitó al secretario general del Congreso un certificado en el que se hicieran constar los acuerdos adoptados el día 3 de febrero de 2022 por la mesa de la Cámara en relación con la solicitud del diputado don Alberto Casero Ávila, del Grupo Parlamentario Popular, respecto del cambio de voto telemático a presencial en la votación sobre la convalidación o derogación del Real Decreto-ley 32/2021. En respuesta a dicha solicitud, se expidió certificado por el señor secretario general del Congreso según el cual, “celebrándose sesión plenaria el día 3 de febrero de 2022, no se convocó ni celebró reunión formal de la mesa de la Cámara en dicha fecha”. Es obvio, por tanto, que nada pudo analizarse por la mesa en relación con una cuestión que afectaba “al más nuclear de los derechos de los parlamentarios”.</w:t>
      </w:r>
    </w:p>
    <w:p w14:paraId="2591CFEA" w14:textId="77777777" w:rsidR="003754FE" w:rsidRDefault="003754FE" w:rsidP="003754FE">
      <w:pPr>
        <w:pStyle w:val="TextoNormal"/>
      </w:pPr>
    </w:p>
    <w:p w14:paraId="17EE2115" w14:textId="77777777" w:rsidR="003754FE" w:rsidRDefault="003754FE" w:rsidP="003754FE">
      <w:pPr>
        <w:pStyle w:val="TextoNormal"/>
      </w:pPr>
      <w:r>
        <w:t>e) Tras dar cuenta de lo anterior y, según los recurrentes, “a los efectos de mantener la mayor objetividad posible”, la demanda transcribe los antecedentes contenidos en el informe de la Secretaría General del Congreso de los Diputados de 10 de febrero de 2022:</w:t>
      </w:r>
    </w:p>
    <w:p w14:paraId="01C236F5" w14:textId="77777777" w:rsidR="003754FE" w:rsidRDefault="003754FE" w:rsidP="003754FE">
      <w:pPr>
        <w:pStyle w:val="TextoNormal"/>
      </w:pPr>
    </w:p>
    <w:p w14:paraId="1707E49D" w14:textId="77777777" w:rsidR="003754FE" w:rsidRDefault="003754FE" w:rsidP="003754FE">
      <w:pPr>
        <w:pStyle w:val="TextoNormal"/>
      </w:pPr>
      <w:r>
        <w:lastRenderedPageBreak/>
        <w:t>“1. En la sesión plenaria del pasado 3 de febrero de 2022, catorce diputados habían sido autorizados por la mesa para emitir su voto por el procedimiento telemático. En dicha sesión plenaria estaba previsto, a los efectos de lo dispuesto en el acuerdo de la mesa de la Cámara de 1 de febrero de 2022, y de conformidad con lo informado en la junta de portavoces, que las votaciones presenciales tuviesen lugar en dos momentos, de manera que los diputados autorizados a votar telemáticamente pudieran hacerlo respecto de todos los puntos incluidos en el orden del día. Así, finalizado el debate de todos ellos, se procedió a votar presencialmente en relación con las enmiendas mantenidas y los votos particulares presentados a los dictámenes de [la] comisión, y que habían podido ser votados telemáticamente hasta las 10:00 horas del propio jueves, 3 de febrero. Verificada esta votación y proclamado su resultado a las 17:25 horas, la Presidencia informó de que se abría un plazo, hasta las 18:00 horas de esa tarde, para que los diputados autorizados a votar telemáticamente lo hicieran en relación con los asuntos pendientes, y suspendió la sesión hasta las 18:15 horas.</w:t>
      </w:r>
    </w:p>
    <w:p w14:paraId="5DF8376A" w14:textId="77777777" w:rsidR="003754FE" w:rsidRDefault="003754FE" w:rsidP="003754FE">
      <w:pPr>
        <w:pStyle w:val="TextoNormal"/>
      </w:pPr>
    </w:p>
    <w:p w14:paraId="5EC4F591" w14:textId="77777777" w:rsidR="003754FE" w:rsidRDefault="003754FE" w:rsidP="003754FE">
      <w:pPr>
        <w:pStyle w:val="TextoNormal"/>
      </w:pPr>
      <w:r>
        <w:t>2. Los catorce diputados autorizados para votar telemáticamente emitieron su voto por este procedimiento en el plazo establecido al efecto, sin que se registrara ninguna incidencia técnica ni comunicación relativa a ella por parte de dichos diputados.</w:t>
      </w:r>
    </w:p>
    <w:p w14:paraId="3827785B" w14:textId="77777777" w:rsidR="003754FE" w:rsidRDefault="003754FE" w:rsidP="003754FE">
      <w:pPr>
        <w:pStyle w:val="TextoNormal"/>
      </w:pPr>
    </w:p>
    <w:p w14:paraId="26926C40" w14:textId="77777777" w:rsidR="003754FE" w:rsidRDefault="003754FE" w:rsidP="003754FE">
      <w:pPr>
        <w:pStyle w:val="TextoNormal"/>
      </w:pPr>
      <w:r>
        <w:t>3. En los momentos previos a la reanudación de la sesión plenaria, cuando ya se había producido la llamada a votación, diversos miembros de la dirección del Grupo Parlamentario Popular en el Congreso se acercaron a la mesa, manifestando a la Presidencia que un voto emitido telemáticamente por el señor Casero Ávila no se correspondía con su voluntad y que, tratándose de un error técnico, y encontrándose el diputado en la Cámara, debía permitírsele votar de manera presencial.</w:t>
      </w:r>
    </w:p>
    <w:p w14:paraId="39B0CB11" w14:textId="77777777" w:rsidR="003754FE" w:rsidRDefault="003754FE" w:rsidP="003754FE">
      <w:pPr>
        <w:pStyle w:val="TextoNormal"/>
      </w:pPr>
    </w:p>
    <w:p w14:paraId="33503CDB" w14:textId="77777777" w:rsidR="003754FE" w:rsidRDefault="003754FE" w:rsidP="003754FE">
      <w:pPr>
        <w:pStyle w:val="TextoNormal"/>
      </w:pPr>
      <w:r>
        <w:t>4. No habiéndose comunicado a la Dirección de Tecnologías de la Información y de las Comunicaciones durante el proceso de votación telemática ningún fallo en el sistema y, como se ha dicho, no habiéndose registrado tampoco ninguna incidencia técnica por parte de la propia dirección, que en todo caso se hubiera puesto en conocimiento inmediato de la Secretaría General, y encontrándonos, en cambio, ante un caso de error material del diputado a la hora de emitir su voto, por la Presidencia se informó a los representantes presentes del citado grupo parlamentario, así como a los miembros de la mesa que allí se encontraban, que el voto había sido válidamente emitido y que, en consecuencia, y teniendo en cuenta el criterio reiterado en relación con solicitudes análogas precedentes, no cabía su anulación.</w:t>
      </w:r>
    </w:p>
    <w:p w14:paraId="09C573BC" w14:textId="77777777" w:rsidR="003754FE" w:rsidRDefault="003754FE" w:rsidP="003754FE">
      <w:pPr>
        <w:pStyle w:val="TextoNormal"/>
      </w:pPr>
    </w:p>
    <w:p w14:paraId="2FD46D60" w14:textId="77777777" w:rsidR="003754FE" w:rsidRDefault="003754FE" w:rsidP="003754FE">
      <w:pPr>
        <w:pStyle w:val="TextoNormal"/>
      </w:pPr>
      <w:r>
        <w:t>5. La sesión se reanudó para la votación presencial de los asuntos pendientes. Entre otras cuestiones, se votaba la convalidación o derogación del Real Decreto-ley 32/2021, de 28 de diciembre, de medidas urgentes para la reforma laboral, la garantía de la estabilidad en el empleo y la transformación del mercado de trabajo, que resultó convalidado con 175 votos a favor (166 más 9 votos telemáticos), 174 en contra (169 más 5 votos telemáticos) y ninguna abstención. El señor Casero había votado en relación con este punto del orden del día en un sentido diferente al que habían votado el resto de los diputados de su grupo parlamentario. De igual modo ocurrió en relación con otras tres votaciones, entre ellas la relativa a la tramitación como proyecto de ley del citado real decreto-ley, que fue rechazada por 174 votos a favor (169 más 5 votos telemáticos), 175 en contra (166 más 9 votos telemáticos) y ninguna abstención.</w:t>
      </w:r>
    </w:p>
    <w:p w14:paraId="3074AA7A" w14:textId="77777777" w:rsidR="003754FE" w:rsidRDefault="003754FE" w:rsidP="003754FE">
      <w:pPr>
        <w:pStyle w:val="TextoNormal"/>
      </w:pPr>
    </w:p>
    <w:p w14:paraId="0299957E" w14:textId="77777777" w:rsidR="003754FE" w:rsidRDefault="003754FE" w:rsidP="003754FE">
      <w:pPr>
        <w:pStyle w:val="TextoNormal"/>
      </w:pPr>
      <w:r>
        <w:lastRenderedPageBreak/>
        <w:t>6. Al final de las votaciones el señor Casero accedió al hemiciclo y ocupó su escaño, si bien no votó desde el mismo. El señor Casero no cursó en ningún momento solicitud de revocación de la autorización de voto telemático.</w:t>
      </w:r>
    </w:p>
    <w:p w14:paraId="3BCC2360" w14:textId="77777777" w:rsidR="003754FE" w:rsidRDefault="003754FE" w:rsidP="003754FE">
      <w:pPr>
        <w:pStyle w:val="TextoNormal"/>
      </w:pPr>
    </w:p>
    <w:p w14:paraId="4E0DF8CC" w14:textId="77777777" w:rsidR="003754FE" w:rsidRDefault="003754FE" w:rsidP="003754FE">
      <w:pPr>
        <w:pStyle w:val="TextoNormal"/>
      </w:pPr>
      <w:r>
        <w:t>7. Finalizadas las votaciones, la portavoz del Grupo Parlamentario Popular en el Congreso pidió la palabra, al amparo del artículo 72 del Reglamento de la Cámara, para referirse a un error informático en relación con la votación telemática, que se había puesto de manifiesto con carácter previo a la votación presencial en el hemiciclo. La señora presidenta, considerando que no le corresponde al Pleno debatir sobre este asunto, señaló lo siguiente: ‘precisamente porque la mesa es conocedora y ha podido analizar lo que usted me va a plantear, y es una cuestión técnica de la mesa, de decisión de la mesa, y no de tratamiento de Pleno, no le doy la palabra’.</w:t>
      </w:r>
    </w:p>
    <w:p w14:paraId="0C985693" w14:textId="77777777" w:rsidR="003754FE" w:rsidRDefault="003754FE" w:rsidP="003754FE">
      <w:pPr>
        <w:pStyle w:val="TextoNormal"/>
      </w:pPr>
    </w:p>
    <w:p w14:paraId="41A2137E" w14:textId="77777777" w:rsidR="003754FE" w:rsidRDefault="003754FE" w:rsidP="003754FE">
      <w:pPr>
        <w:pStyle w:val="TextoNormal"/>
      </w:pPr>
      <w:r>
        <w:t>8. Desde la finalización de la sesión, el Grupo Parlamentario Popular, la señora vicepresidenta segunda y el señor secretario cuarto de la mesa y el señor Casero han presentado diversos escritos en relación con este asunto, solicitando la convocatoria de la mesa y de la junta de portavoces y que se paralicen los trámites conducentes a dar efectividad al acuerdo de convalidación del citado Real Decreto-ley 32/2021, considerando que se habría producido una anomalía en relación con el voto telemático del señor Casero determinante del resultado final de la votación correspondiente a este punto. En concreto se invocan los apartados cuarto y sexto de la resolución de la mesa del Congreso de los Diputados, de 21 de mayo de 2012, para el desarrollo del procedimiento de votación telemática, para alegar que no se habría realizado la llamada telefónica de comprobación a que se refiere el apartado cuarto y que se debería haber convocado a la mesa en atención a lo previsto en el apartado sexto. Asimismo, se ha presentado un escrito del señor Cambronero en análoga línea.</w:t>
      </w:r>
    </w:p>
    <w:p w14:paraId="0933AD05" w14:textId="77777777" w:rsidR="003754FE" w:rsidRDefault="003754FE" w:rsidP="003754FE">
      <w:pPr>
        <w:pStyle w:val="TextoNormal"/>
      </w:pPr>
    </w:p>
    <w:p w14:paraId="60014FBE" w14:textId="62D9F095" w:rsidR="003754FE" w:rsidRDefault="003754FE" w:rsidP="003754FE">
      <w:pPr>
        <w:pStyle w:val="TextoNormal"/>
      </w:pPr>
      <w:r>
        <w:t>9. Se solicita informe a la Secretaría General acerca de la validez del voto emitido telemáticamente por el señor Casero y de la posibilidad de que, atendiendo a la petición del Grupo Parlamentario Popular, dicho voto se pueda anular, permitiendo la repetición de la votación”.</w:t>
      </w:r>
    </w:p>
    <w:p w14:paraId="42B9D774" w14:textId="77777777" w:rsidR="003754FE" w:rsidRDefault="003754FE" w:rsidP="003754FE">
      <w:pPr>
        <w:pStyle w:val="TextoNormal"/>
      </w:pPr>
    </w:p>
    <w:p w14:paraId="2AADE385" w14:textId="77777777" w:rsidR="003754FE" w:rsidRDefault="003754FE" w:rsidP="003754FE">
      <w:pPr>
        <w:pStyle w:val="TextoNormal"/>
      </w:pPr>
      <w:r w:rsidRPr="003754FE">
        <w:rPr>
          <w:rStyle w:val="NumeroAFNegritaCaracter"/>
        </w:rPr>
        <w:t>3</w:t>
      </w:r>
      <w:r>
        <w:t>. La demanda de amparo denuncia la vulneración del derecho a la participación política (art. 23.1 CE). Para fundar su pretensión, los recurrentes estructuran la demanda en tres puntos:</w:t>
      </w:r>
    </w:p>
    <w:p w14:paraId="103A7C34" w14:textId="77777777" w:rsidR="003754FE" w:rsidRDefault="003754FE" w:rsidP="003754FE">
      <w:pPr>
        <w:pStyle w:val="TextoNormal"/>
      </w:pPr>
    </w:p>
    <w:p w14:paraId="726A7C38" w14:textId="77777777" w:rsidR="003754FE" w:rsidRDefault="003754FE" w:rsidP="003754FE">
      <w:pPr>
        <w:pStyle w:val="TextoNormal"/>
      </w:pPr>
      <w:r>
        <w:t xml:space="preserve">a) En primer lugar, se transcribe el art. 23 CE y se invoca la doctrina constitucional recaída sobre estos preceptos, concretamente la STC 199/2016, de 28 de noviembre —y la que allí se contiene— referida a: (i) la interconexión existente entre el art. 23.1 y 23.2 CE, de la que resulta que el derecho de los ciudadanos a participar en asuntos públicos quedaría vacío de contenido si el representante político se viera privado o perturbado en el ejercicio de sus derechos; (ii) la naturaleza de los derechos del art. 23 CE como derechos de configuración legal, correspondiendo a los reglamentos parlamentarios fijar y ordenar sus contenidos que, una vez creados, se integran en el estatuto propio del cargo; y (iii) no cualquier acto que infrinja la legalidad resulta lesivo del derecho, sino solo aquellas vulneraciones que afecten al núcleo de la función representativa, impidiendo o coartando su práctica o adoptando decisiones que contraríen la naturaleza de la representación o la igualdad de los representantes, imponiendo a los órganos parlamentarios una interpretación restrictiva de las normas que puedan suponer una limitación al ejercicio de aquellos derechos o </w:t>
      </w:r>
      <w:r>
        <w:lastRenderedPageBreak/>
        <w:t>atribuciones que integran el estatuto constitucionalmente relevante del representante público y a motivar las razones de su aplicación. La demanda cita y transcribe el fundamento jurídico 4 de la STC 199/2016, que establece que se “debe ser especialmente cuidadoso en la identificación, en primer lugar, de la base normativa del derecho alegado (toda vez que estamos ante un derecho fundamental de configuración legal […]) y, en segundo lugar, en la identificación de la regulación reglamentaria de las facultades del órgano de la Cámara a la que se imputa la vulneración”.</w:t>
      </w:r>
    </w:p>
    <w:p w14:paraId="14DB28B6" w14:textId="77777777" w:rsidR="003754FE" w:rsidRDefault="003754FE" w:rsidP="003754FE">
      <w:pPr>
        <w:pStyle w:val="TextoNormal"/>
      </w:pPr>
    </w:p>
    <w:p w14:paraId="69B6A754" w14:textId="77777777" w:rsidR="003754FE" w:rsidRDefault="003754FE" w:rsidP="003754FE">
      <w:pPr>
        <w:pStyle w:val="TextoNormal"/>
      </w:pPr>
      <w:r>
        <w:t xml:space="preserve">Los recurrentes afirman que el caso resuelto por la STC 361/2006, de 18 de diciembre, presenta una evidente analogía con los hechos a los que se refiere este recurso, por lo que resulta de aplicación la doctrina allí sentada, según la cual: (i) el derecho de voto se integra en el </w:t>
      </w:r>
      <w:r w:rsidRPr="003754FE">
        <w:rPr>
          <w:i/>
        </w:rPr>
        <w:t>ius in officium</w:t>
      </w:r>
      <w:r>
        <w:t>; (ii) las normas limitativas del derecho de voto de los parlamentarios deben interpretarse en un sentido restrictivo; y (iii) los órganos parlamentarios tienen el deber de motivar la aplicación de las normas limitativas del derecho de voto.</w:t>
      </w:r>
    </w:p>
    <w:p w14:paraId="3074F826" w14:textId="77777777" w:rsidR="003754FE" w:rsidRDefault="003754FE" w:rsidP="003754FE">
      <w:pPr>
        <w:pStyle w:val="TextoNormal"/>
      </w:pPr>
    </w:p>
    <w:p w14:paraId="249F03D4" w14:textId="77777777" w:rsidR="003754FE" w:rsidRDefault="003754FE" w:rsidP="003754FE">
      <w:pPr>
        <w:pStyle w:val="TextoNormal"/>
      </w:pPr>
      <w:r>
        <w:t xml:space="preserve">b) Según los recurrentes, la aplicación de la doctrina citada al presente recurso de amparo debería conducir a su estimación. En la demanda se alega que la limitación del derecho de voto acordado por la Presidencia de la Cámara en la sesión plenaria de 3 de febrero de 2022 carece de motivación, toda vez que se justifica en un dato que es falso ya que, al contrario de lo manifestado por la presidenta de la Cámara, la mesa del Congreso de los Diputados no analizó la solicitud formulada por el Grupo Parlamentario Popular. Afirman que, aunque el informe de la Secretaría General del Congreso de 10 de febrero de 2022 sí contiene un soporte argumental de tal decisión, se emitió con posterioridad a la fecha en la que sucedieron los hechos, operando así como una justificación </w:t>
      </w:r>
      <w:r w:rsidRPr="003754FE">
        <w:rPr>
          <w:i/>
        </w:rPr>
        <w:t>ad hoc</w:t>
      </w:r>
      <w:r>
        <w:t xml:space="preserve"> “y no como soporte racional de la […] presidenta”. No obstante, aunque se concluyera lo contrario, las razones expuestas en dicho informe contradicen la doctrina constitucional por los siguientes motivos:</w:t>
      </w:r>
    </w:p>
    <w:p w14:paraId="7B82F443" w14:textId="77777777" w:rsidR="003754FE" w:rsidRDefault="003754FE" w:rsidP="003754FE">
      <w:pPr>
        <w:pStyle w:val="TextoNormal"/>
      </w:pPr>
    </w:p>
    <w:p w14:paraId="0FE3263F" w14:textId="77777777" w:rsidR="003754FE" w:rsidRDefault="003754FE" w:rsidP="003754FE">
      <w:pPr>
        <w:pStyle w:val="TextoNormal"/>
      </w:pPr>
      <w:r>
        <w:t>(i) En primer lugar, se achaca al informe que, en la parte referida a “la normativa aplicable”, cite literalmente los acuerdos de la mesa de 26 de octubre de 2021 y de 1 de febrero de 2022 y, sin embargo, omita la transcripción del art. 82.2 del Reglamento del Congreso de los Diputados (RCD) y de la resolución de la mesa del Congreso de 21 de mayo de 2012, que eran realmente los aplicables, ya que, como el propio informe reconoce aquellos recientes acuerdos adoptados durante la pandemia del covid-19 habrían actuado sin derogar el régimen anterior, limitándose a adaptarlo a las circunstancias.</w:t>
      </w:r>
    </w:p>
    <w:p w14:paraId="42B0C246" w14:textId="77777777" w:rsidR="003754FE" w:rsidRDefault="003754FE" w:rsidP="003754FE">
      <w:pPr>
        <w:pStyle w:val="TextoNormal"/>
      </w:pPr>
    </w:p>
    <w:p w14:paraId="32F1F146" w14:textId="77777777" w:rsidR="003754FE" w:rsidRDefault="003754FE" w:rsidP="003754FE">
      <w:pPr>
        <w:pStyle w:val="TextoNormal"/>
      </w:pPr>
      <w:r>
        <w:t xml:space="preserve">(ii) El informe de la Secretaría General del Congreso de los Diputados parte del presupuesto del carácter válido del voto emitido telemáticamente por el señor Casero Ávila. Sin embargo, según los recurrentes, tal conclusión es contraria a la normativa aplicable y a la jurisprudencia constitucional debido a que la autorización concedida al señor Casero Ávila por la mesa del Congreso para la emisión del voto telemático se realizó, según se afirma en la propia autorización “en los términos previstos en el art. 82 RCD y en la resolución de la mesa de la Cámara para el desarrollo del procedimiento de votación telemática, de 21 de mayo de 2012”. El art. 82.2 RCD establece que el voto emitido por el procedimiento telemático “deberá ser verificado personalmente mediante el sistema que, a tal efecto, establezca la mesa” y en la autorización emitida por la mesa al señor Casero Ávila se hacía constar que el sistema de verificación del voto sería el previsto en la resolución de la mesa del Congreso de 21 de mayo de 2012. Dicha resolución establece con toda claridad: “Para ejercer su voto, el diputado autorizado deberá acceder mediante su contraseña a la intranet </w:t>
      </w:r>
      <w:r>
        <w:lastRenderedPageBreak/>
        <w:t>del Congreso de los Diputados. La comprobación telemática de la identidad del diputado autorizado mediante un certificado válido de firma digital será imprescindible para poder concluir con éxito la votación (apartado tercero); “[t]ras ejercer el voto mediante el procedimiento telemático, la Presidencia u órgano en quien delegue, comprobará telefónicamente con el diputado autorizado, antes del inicio de la votación presencial en el Pleno, la emisión efectiva del voto y el sentido de este. Una vez verificados dichos extremos, el voto telemático emitido se trasladará a la Presidencia al inicio de la votación presencial en Pleno para que pueda anunciar el resultado acumulado de las votaciones” (apartado cuarto). Los recurrentes sostienen que se omitió el trámite referido a la verificación personal del voto emitido en los términos en los que lo exigía la normativa vigente, por lo que debe considerarse nulo.</w:t>
      </w:r>
    </w:p>
    <w:p w14:paraId="577BBB72" w14:textId="77777777" w:rsidR="003754FE" w:rsidRDefault="003754FE" w:rsidP="003754FE">
      <w:pPr>
        <w:pStyle w:val="TextoNormal"/>
      </w:pPr>
    </w:p>
    <w:p w14:paraId="05683BE7" w14:textId="77777777" w:rsidR="003754FE" w:rsidRDefault="003754FE" w:rsidP="003754FE">
      <w:pPr>
        <w:pStyle w:val="TextoNormal"/>
      </w:pPr>
      <w:r>
        <w:t xml:space="preserve">Se afirma en la demanda que el informe de la Secretaría General del Congreso, de manera forzada, sostiene que resulta de aplicación el acuerdo de la mesa de 26 de octubre de 2021. Sin embargo, en la autorización emitida al señor Casero Ávila para ejercer el voto de forma telemática no se hacía referencia a dicho acuerdo de la mesa, sino al de 21 de mayo de 2012. Los recurrentes alegan que la resolución de la mesa del Congreso de 26 de octubre de 2021 debe ser objeto de una interpretación restrictiva. En primer lugar, porque no cabe desconocer la absoluta excepcionalidad que, con base en lo dispuesto en el art. 79 CE y en la doctrina constitucional, tienen las actuaciones no presenciales de los parlamentarios. Los recurrentes citan y transcriben buena parte del fundamento jurídico 4 de la STC 19/2019, de 12 de febrero, en la que se afirma que el ejercicio de las funciones representativas debe desarrollarse, como regla general, de forma personal y presencial. En la demanda se afirma que “la exigencia de la presencialidad en el ejercicio de las funciones que integran el </w:t>
      </w:r>
      <w:r w:rsidRPr="003754FE">
        <w:rPr>
          <w:i/>
        </w:rPr>
        <w:t>ius in officium</w:t>
      </w:r>
      <w:r>
        <w:t xml:space="preserve"> de los parlamentarios —especialmente aquellas que contribuyan a la formación de la voluntad de la Cámara, como es la expresión del voto—, impone un estricto cumplimiento de las exigencias formales esenciales que garantizan la correcta formación de la voluntad de la asamblea”. Adicionalmente, y dado el carácter absolutamente excepcional del voto telemático, los demandantes de amparo alegan que de la doctrina constitucional cabe derivar que “en ningún caso, los órganos parlamentarios puedan rechazar el ejercicio de la modalidad ordinaria del voto presencial, incluso aunque previamente se hubiera emitido con todas las solemnidades el excepcional voto telemático, cuando el diputado comparezca a la sesión presencial, antes de la votación y pretendiera cambiar el sentido de su voto, dada la ‘interrelación directa e inmediata entre los representantes’ que resulta determinante de la decisión final sobre el voto, decisión que no puede adoptarse definitivamente sino hasta el instante previo a la votación presencial”.</w:t>
      </w:r>
    </w:p>
    <w:p w14:paraId="3AABDDDC" w14:textId="77777777" w:rsidR="003754FE" w:rsidRDefault="003754FE" w:rsidP="003754FE">
      <w:pPr>
        <w:pStyle w:val="TextoNormal"/>
      </w:pPr>
    </w:p>
    <w:p w14:paraId="750549B7" w14:textId="77777777" w:rsidR="003754FE" w:rsidRDefault="003754FE" w:rsidP="003754FE">
      <w:pPr>
        <w:pStyle w:val="TextoNormal"/>
      </w:pPr>
      <w:r>
        <w:t>Por otra parte, los recurrentes afirman que el acuerdo de la mesa del Congreso de los Diputados de 26 de octubre de 2021 debe ser objeto de una interpretación restrictiva debido también a que el presupuesto de hecho que trata de regular la convierte en una norma de excepción y, en consecuencia, no puede aplicarse de forma generalizada. Dicha norma está pensada para aplicarse en supuestos en los que, en el contexto de una situación equiparable a la crisis sanitaria ocurrida como consecuencia de la pandemia, la totalidad o buena parte de los diputados tuvieran que votar de forma telemática, circunstancia esta que no se dio en la sesión plenaria de 3 de febrero de 2022. Con base en lo anterior, los recurrentes insisten en que en este caso se han incumplido las exigencias formales contenidas en el acuerdo de la mesa de 21 de mayo de 2012, en particular, la comprobación telefónica, máxime teniendo en cuenta que la convalidación del Real Decreto-ley 32/2021 fue adoptada por el margen de un solo voto.</w:t>
      </w:r>
    </w:p>
    <w:p w14:paraId="3496BE9A" w14:textId="77777777" w:rsidR="003754FE" w:rsidRDefault="003754FE" w:rsidP="003754FE">
      <w:pPr>
        <w:pStyle w:val="TextoNormal"/>
      </w:pPr>
    </w:p>
    <w:p w14:paraId="619A23FD" w14:textId="77777777" w:rsidR="003754FE" w:rsidRDefault="003754FE" w:rsidP="003754FE">
      <w:pPr>
        <w:pStyle w:val="TextoNormal"/>
      </w:pPr>
      <w:r>
        <w:t>Los recurrentes consideran, al contrario del informe de la Secretaría General de 10 de febrero de 2022, que es inconstitucional la previsión de irrevocabilidad del voto telemático. Si bien para llegar a tal conclusión, esto es, el carácter irrevocable del voto, el informe se basa en los principios de seguridad jurídica y de igualdad de los parlamentarios, los recurrentes consideran que en nada sufre la seguridad jurídica por el hecho de anular el voto emitido telemáticamente y computar el presencial una vez que queda sin efecto la causa que dio lugar a la autorización del voto telemático. Por el contrario, los recurrentes consideran que su tesis fortalece el derecho fundamental a la participación política (art. 23.1 CE) ya que la presencialidad de los diputados resulta esencial para el ejercicio de dicho derecho. Sostienen además que no resulta invocable el principio de igualdad ya que no están en igualdad de condiciones los diputados ausentes —en los que concurre una situación excepcional— y los presentes, por lo que no es válido el canon comparativo propuesto en el informe. Al contrario, la igualdad en el ejercicio del derecho del art. 23 CE exige que, desaparecidas las circunstancias que determinaron la autorización a emitir el voto telemático, el diputado pueda revocar su solicitud o el voto telemático emitido siempre que comparezca presencialmente.</w:t>
      </w:r>
    </w:p>
    <w:p w14:paraId="12FE0BAE" w14:textId="77777777" w:rsidR="003754FE" w:rsidRDefault="003754FE" w:rsidP="003754FE">
      <w:pPr>
        <w:pStyle w:val="TextoNormal"/>
      </w:pPr>
    </w:p>
    <w:p w14:paraId="6C2D036D" w14:textId="77777777" w:rsidR="003754FE" w:rsidRDefault="003754FE" w:rsidP="003754FE">
      <w:pPr>
        <w:pStyle w:val="TextoNormal"/>
      </w:pPr>
      <w:r>
        <w:t>Los recurrentes concluyen que el carácter irrevocable del voto telemático, además de que no existe previsión constitucional ni legal que la establezca, supone una restricción del art. 23 CE debido a que las funciones parlamentarias exigen presencialidad. El apartado sexto de la resolución de la mesa del Congreso de 21 de mayo de 2012, de acuerdo con el principio de presencialidad, prevé que el diputado que haya votado telemáticamente pueda votar de forma presencial si la mesa lo permite, sin expresión de las causas que podrían activar tal posibilidad. Obviamente, la mesa no podría autorizar la anulación del voto telemático y permitir el presencial de forma arbitraria o discrecional. Pero, en todo caso, la aplicación del principio de interpretación restrictiva de las limitaciones de los derechos de los parlamentarios es contraria a las conclusiones del informe de la Secretaría General del Congreso según el cual dicha posibilidad de la mesa únicamente podría activarse “si se produjera un fallo en el sistema de votación”. Los recurrentes sostienen que si, en efecto, concurre un fallo informático, el voto será radicalmente nulo, sin que sea preciso que tal consecuencia esté prevista en dicha resolución. Por ello, el apartado sexto de la resolución debe interpretarse en el sentido de que no se está refiriendo a un error informático, sino al supuesto, también excepcional “de que, solicitado el voto telemático, desaparezcan sobrevenidamente las circunstancias que lo justificaron y el señor diputado pueda comparecer a la sesión personalmente para ejercer su derecho de voto”. Solo así es posible interpretar la citada habilitación. Sin embargo, el informe de la Secretaria General “pretende suplir la falta de previsión reglamentaria restrictiva del derecho al voto presencial, mediante la apelación a un supuesto uso parlamentario”, a pesar de que: no se cita en el informe ningún supuesto similar al que se refiere este amparo (por lo que no habría ningún uso parlamentario al que apelar) y, en todo caso, los usos parlamentarios no pueden restringir el contenido constitucional o reglamentariamente reconocido a los diputados (STC 57/2011, de 3 de mayo, FJ 7).</w:t>
      </w:r>
    </w:p>
    <w:p w14:paraId="37953F7F" w14:textId="77777777" w:rsidR="003754FE" w:rsidRDefault="003754FE" w:rsidP="003754FE">
      <w:pPr>
        <w:pStyle w:val="TextoNormal"/>
      </w:pPr>
    </w:p>
    <w:p w14:paraId="02C4AC88" w14:textId="77777777" w:rsidR="003754FE" w:rsidRDefault="003754FE" w:rsidP="003754FE">
      <w:pPr>
        <w:pStyle w:val="TextoNormal"/>
      </w:pPr>
      <w:r>
        <w:t xml:space="preserve">c) Los recurrentes afirman que están legitimados </w:t>
      </w:r>
      <w:r w:rsidRPr="003754FE">
        <w:rPr>
          <w:i/>
        </w:rPr>
        <w:t>ad causam</w:t>
      </w:r>
      <w:r>
        <w:t xml:space="preserve"> para impugnar las decisiones objeto de recurso, aunque los hechos de los que este trae causa se refieren a un diputado que no forma parte del Grupo Parlamentario Vox.</w:t>
      </w:r>
    </w:p>
    <w:p w14:paraId="1169ED19" w14:textId="77777777" w:rsidR="003754FE" w:rsidRDefault="003754FE" w:rsidP="003754FE">
      <w:pPr>
        <w:pStyle w:val="TextoNormal"/>
      </w:pPr>
    </w:p>
    <w:p w14:paraId="58B38CCC" w14:textId="77777777" w:rsidR="003754FE" w:rsidRDefault="003754FE" w:rsidP="003754FE">
      <w:pPr>
        <w:pStyle w:val="TextoNormal"/>
      </w:pPr>
      <w:r>
        <w:lastRenderedPageBreak/>
        <w:t>Tras hacer referencia a la doctrina constitucional que interpreta el art. 162.1 b) CE, los recurrentes consideran que están legitimados para interponer el recurso de amparo toda vez que los diputados que forman parte del Grupo Parlamentario Vox ejercieron su derecho al voto en la sesión plenaria del día 3 de febrero de 2022, apoyando la derogación del Real Decreto-ley 32/2021. Por ello, de haberse permitido al señor Casero Ávila emitir el voto de forma presencial, el resultado de la votación hubiera sido el defendido por el citado grupo. En consecuencia, el interés legítimo no se identifica en este caso con un simple interés genérico en la preservación de un determinado derecho, “sino que se concreta en un interés en sentido propio, en un doble sentido: (i) que la voluntad de la Cámara se conforme regularmente reflejando la real intención de voto de los señores diputados[;] y (ii), en particular, que sean anuladas aquellas irregularidades cometidas por los órganos parlamentarios que, como es el caso, hayan afectado de manera relevante a la prosperabilidad de la postura defendida por los señores diputados recurrentes en defensa y representación de la ciudadanía que les otorgó su confianza”.</w:t>
      </w:r>
    </w:p>
    <w:p w14:paraId="166701D6" w14:textId="77777777" w:rsidR="003754FE" w:rsidRDefault="003754FE" w:rsidP="003754FE">
      <w:pPr>
        <w:pStyle w:val="TextoNormal"/>
      </w:pPr>
    </w:p>
    <w:p w14:paraId="04B6ADE2" w14:textId="77777777" w:rsidR="003754FE" w:rsidRDefault="003754FE" w:rsidP="003754FE">
      <w:pPr>
        <w:pStyle w:val="TextoNormal"/>
      </w:pPr>
      <w:r>
        <w:t>Los recurrentes alegan también que las restricciones impuestas por la Presidencia afectaron singularmente a la oposición. Cita y transcribe buena parte del fundamento jurídico 3 de la STC 115/2019, de 16 de octubre, en la que se subraya la necesidad de asegurar “el adecuado ejercicio de la función de representación política de las minorías parlamentarias en la oposición” ya que, en otro caso, no hay forma de preservar el pluralismo político propio del Estado democrático.</w:t>
      </w:r>
    </w:p>
    <w:p w14:paraId="05D7D9AC" w14:textId="77777777" w:rsidR="003754FE" w:rsidRDefault="003754FE" w:rsidP="003754FE">
      <w:pPr>
        <w:pStyle w:val="TextoNormal"/>
      </w:pPr>
    </w:p>
    <w:p w14:paraId="346AB7FE" w14:textId="77777777" w:rsidR="003754FE" w:rsidRDefault="003754FE" w:rsidP="003754FE">
      <w:pPr>
        <w:pStyle w:val="TextoNormal"/>
      </w:pPr>
      <w:r>
        <w:t>d) Los recurrentes dedican un apartado específico de la demanda de amparo a justificar la especial trascendencia constitucional del recurso, cualidad esta que, según afirman, concurre por los siguientes motivos.</w:t>
      </w:r>
    </w:p>
    <w:p w14:paraId="02709AE5" w14:textId="77777777" w:rsidR="003754FE" w:rsidRDefault="003754FE" w:rsidP="003754FE">
      <w:pPr>
        <w:pStyle w:val="TextoNormal"/>
      </w:pPr>
    </w:p>
    <w:p w14:paraId="0ACC2490" w14:textId="77777777" w:rsidR="003754FE" w:rsidRDefault="003754FE" w:rsidP="003754FE">
      <w:pPr>
        <w:pStyle w:val="TextoNormal"/>
      </w:pPr>
      <w:r>
        <w:t>Por un lado, porque plantea un problema o afecta a una faceta del derecho fundamental susceptible de amparo sobre el que no hay doctrina constitucional [STC 155/2009, de 25 de junio, FJ 2 a)] ya que: (i) no hay doctrina constitucional sobre los requisitos exigibles para la validez de la emisión del voto telemático; (ii) ni sobre su carácter revocable una vez que desaparecen las circunstancias que lo justificaron y que permiten la presencia del diputado en la Cámara; (iii) tampoco existe jurisprudencia constitucional sobre la aplicación de la doctrina sentada en la STC 361/2006 al voto telemático. En dicha sentencia se establece que debe presumirse la diligencia del diputado, debiendo los órganos camerales probar fehaciente e indubitadamente su error o negligencia. Es necesario que el Tribunal determine cuál es el canon probatorio que debe llevarse a cabo cuando el voto es telemático, máxime teniendo en cuenta que la pandemia ha supuesto la proliferación de dicha modalidad excepcional del ejercicio del derecho de voto; y (iv) el presente recurso de amparo constituye un supuesto idóneo para que el Tribunal Constitucional se pronuncie sobre “la procedencia de entender legitimado a diputados de un grupo parlamentario, pese a no hallarse integrado en dicho grupo el diputado cuya vulneración directa de su derecho al voto se plantea”.</w:t>
      </w:r>
    </w:p>
    <w:p w14:paraId="1D43E0AF" w14:textId="77777777" w:rsidR="003754FE" w:rsidRDefault="003754FE" w:rsidP="003754FE">
      <w:pPr>
        <w:pStyle w:val="TextoNormal"/>
      </w:pPr>
    </w:p>
    <w:p w14:paraId="305C41C1" w14:textId="77777777" w:rsidR="003754FE" w:rsidRDefault="003754FE" w:rsidP="003754FE">
      <w:pPr>
        <w:pStyle w:val="TextoNormal"/>
      </w:pPr>
      <w:r>
        <w:t xml:space="preserve">Por otro, los recurrentes consideran que el recurso de amparo tiene especial trascendencia constitucional porque plantea una cuestión jurídica de relevante y general repercusión social o económica o tiene unas consecuencias políticas generales [STC 155/2009, FJ 2 g)] debido a que: (i) con cita de la STC 1/2015, de 19 de enero, se afirma la particularidad de los amparos parlamentarios, consistente en la falta de una vía judicial previa en la que impetrar la tutela de los derechos fundamentales vulnerados. Dicha cualidad, unida al ejercicio del </w:t>
      </w:r>
      <w:r w:rsidRPr="003754FE">
        <w:rPr>
          <w:i/>
        </w:rPr>
        <w:lastRenderedPageBreak/>
        <w:t>ius in officium</w:t>
      </w:r>
      <w:r>
        <w:t xml:space="preserve"> por parte de los representantes y con el derecho a participar en los asuntos públicos mediante aquellos, sitúa a los amparos parlamentarios —igual que a los electorales— en una posición especial a la hora de determinar su dimensión objetiva dada la repercusión general que tiene el ejercicio de la función representativa; y (ii) la lesión de derechos fundamentales que se ha producido en este caso concreto tiene una “indudable relevancia general”, debido a que ha supuesto la convalidación del real decreto-ley, que no se habría producido si se hubieran respetado los derechos del señor Casero Ávila.</w:t>
      </w:r>
    </w:p>
    <w:p w14:paraId="3EB1EBB4" w14:textId="77777777" w:rsidR="003754FE" w:rsidRDefault="003754FE" w:rsidP="003754FE">
      <w:pPr>
        <w:pStyle w:val="TextoNormal"/>
      </w:pPr>
    </w:p>
    <w:p w14:paraId="74329A3B" w14:textId="52F426FD" w:rsidR="003754FE" w:rsidRDefault="003754FE" w:rsidP="003754FE">
      <w:pPr>
        <w:pStyle w:val="TextoNormal"/>
      </w:pPr>
      <w:r>
        <w:t>Finaliza la demanda solicitando a este tribunal que otorgue el amparo solicitado y declare la nulidad de las decisiones impugnadas. Asimismo, mediante otrosí digo, solicita a este tribunal que, con base en el art. 56.2 de la Ley Orgánica del Tribunal Constitucional (LOTC), se acuerde la medida cautelar de suspender la vigencia del Real Decreto-ley 32/2021, durante la tramitación de este recurso de amparo.</w:t>
      </w:r>
    </w:p>
    <w:p w14:paraId="447C9FB2" w14:textId="77777777" w:rsidR="003754FE" w:rsidRDefault="003754FE" w:rsidP="003754FE">
      <w:pPr>
        <w:pStyle w:val="TextoNormal"/>
      </w:pPr>
    </w:p>
    <w:p w14:paraId="3BA4CDAE" w14:textId="50228BCE" w:rsidR="003754FE" w:rsidRDefault="003754FE" w:rsidP="003754FE">
      <w:pPr>
        <w:pStyle w:val="TextoNormal"/>
      </w:pPr>
      <w:r w:rsidRPr="003754FE">
        <w:rPr>
          <w:rStyle w:val="NumeroAFNegritaCaracter"/>
        </w:rPr>
        <w:t>4</w:t>
      </w:r>
      <w:r>
        <w:t>. La Sección Cuarta del Tribunal, por providencia 11 de julio de 2022, acordó admitir a trámite el recurso de amparo apreciando que concurre una especial trascendencia constitucional [art. 50.1 b) LOTC] porque el recurso plantea un problema o afecta a una faceta de un derecho fundamental sobre el que no hay doctrina de este tribunal [STC 155/2009, FJ 2 a)], y porque el asunto trasciende del caso concreto porque pudiera tener unas consecuencias políticas generales [STC 155/2009, FJ 2 g)]. En la misma providencia se acordó que, habiéndose interesado en el recurso de amparo núm. 916-2022 la remisión de certificación o fotocopia adverada de las actuaciones correspondientes a las decisiones de la Presidencia del Congreso de los Diputados de 3 de febrero de 2022, en aplicación de lo dispuesto en el art. 51 LOTC, se dirija atenta comunicación a la mesa del Congreso de los Diputados a fin de que, en plazo que no exceda de diez días, se proceda a emplazar a quienes hubieran sido parte en el procedimiento, excepto la parte recurrente en amparo, para que, si lo desean, puedan comparecer en el presente recurso de amparo. Asimismo, y de conformidad con lo solicitado por la parte actora, se acordó formar la oportuna pieza separada de suspensión.</w:t>
      </w:r>
    </w:p>
    <w:p w14:paraId="17DA5C3D" w14:textId="77777777" w:rsidR="003754FE" w:rsidRDefault="003754FE" w:rsidP="003754FE">
      <w:pPr>
        <w:pStyle w:val="TextoNormal"/>
      </w:pPr>
    </w:p>
    <w:p w14:paraId="45C3E5B9" w14:textId="3DF70F21" w:rsidR="003754FE" w:rsidRDefault="003754FE" w:rsidP="003754FE">
      <w:pPr>
        <w:pStyle w:val="TextoNormal"/>
      </w:pPr>
      <w:r w:rsidRPr="003754FE">
        <w:rPr>
          <w:rStyle w:val="NumeroAFNegritaCaracter"/>
        </w:rPr>
        <w:t>5</w:t>
      </w:r>
      <w:r>
        <w:t>. La Sala Segunda del Tribunal, por providencia de 12 de septiembre de 2022, acordó proponer la avocación al Pleno del presente recurso de amparo de conformidad con lo previsto en el art. 10.1 n) LOTC. Con base en la citada norma y mediante providencia de 14 de septiembre de 2022, el Pleno de este tribunal acordó recabar para sí el conocimiento del recurso de amparo.</w:t>
      </w:r>
    </w:p>
    <w:p w14:paraId="53BBF236" w14:textId="77777777" w:rsidR="003754FE" w:rsidRDefault="003754FE" w:rsidP="003754FE">
      <w:pPr>
        <w:pStyle w:val="TextoNormal"/>
      </w:pPr>
    </w:p>
    <w:p w14:paraId="1D61762B" w14:textId="594BDA90" w:rsidR="003754FE" w:rsidRDefault="003754FE" w:rsidP="003754FE">
      <w:pPr>
        <w:pStyle w:val="TextoNormal"/>
      </w:pPr>
      <w:r w:rsidRPr="003754FE">
        <w:rPr>
          <w:rStyle w:val="NumeroAFNegritaCaracter"/>
        </w:rPr>
        <w:t>6</w:t>
      </w:r>
      <w:r>
        <w:t>. La Secretaría de Justicia del Pleno de este tribunal, por providencia de 19 de septiembre de 2022, acordó tener por personado y parte al Congreso de los Diputados, representado por la letrada de las Cortes Generales, directora de la asesoría jurídica de la Secretaría General de la Cámara, así como dar vista de las actuaciones al Ministerio Fiscal y a las partes personadas por plazo común de veinte días para presentar las alegaciones que estimasen pertinentes, de conformidad con el art. 52 LOTC.</w:t>
      </w:r>
    </w:p>
    <w:p w14:paraId="5596C7C5" w14:textId="77777777" w:rsidR="003754FE" w:rsidRDefault="003754FE" w:rsidP="003754FE">
      <w:pPr>
        <w:pStyle w:val="TextoNormal"/>
      </w:pPr>
    </w:p>
    <w:p w14:paraId="4274D79B" w14:textId="17803572" w:rsidR="003754FE" w:rsidRDefault="003754FE" w:rsidP="003754FE">
      <w:pPr>
        <w:pStyle w:val="TextoNormal"/>
      </w:pPr>
      <w:r w:rsidRPr="003754FE">
        <w:rPr>
          <w:rStyle w:val="NumeroAFNegritaCaracter"/>
        </w:rPr>
        <w:t>7</w:t>
      </w:r>
      <w:r>
        <w:t>. Los recurrentes, en escrito registrado el 5 de octubre de 2022, presentaron sus alegaciones, remitiéndose a las incluidas en el escrito de demanda.</w:t>
      </w:r>
    </w:p>
    <w:p w14:paraId="06BD5E87" w14:textId="77777777" w:rsidR="003754FE" w:rsidRDefault="003754FE" w:rsidP="003754FE">
      <w:pPr>
        <w:pStyle w:val="TextoNormal"/>
      </w:pPr>
    </w:p>
    <w:p w14:paraId="1779C1B8" w14:textId="35097754" w:rsidR="003754FE" w:rsidRDefault="003754FE" w:rsidP="003754FE">
      <w:pPr>
        <w:pStyle w:val="TextoNormal"/>
      </w:pPr>
      <w:r w:rsidRPr="003754FE">
        <w:rPr>
          <w:rStyle w:val="NumeroAFNegritaCaracter"/>
        </w:rPr>
        <w:lastRenderedPageBreak/>
        <w:t>8</w:t>
      </w:r>
      <w:r>
        <w:t>. El Pleno del Tribunal dictó ATC 131/2022, de 11 de octubre, en el que acordó denegar la suspensión de la vigencia del Real Decreto-ley 32/2021, solicitada en el presente recurso de amparo.</w:t>
      </w:r>
    </w:p>
    <w:p w14:paraId="20258311" w14:textId="77777777" w:rsidR="003754FE" w:rsidRDefault="003754FE" w:rsidP="003754FE">
      <w:pPr>
        <w:pStyle w:val="TextoNormal"/>
      </w:pPr>
    </w:p>
    <w:p w14:paraId="2DB4FB9A" w14:textId="77777777" w:rsidR="003754FE" w:rsidRDefault="003754FE" w:rsidP="003754FE">
      <w:pPr>
        <w:pStyle w:val="TextoNormal"/>
      </w:pPr>
      <w:r w:rsidRPr="003754FE">
        <w:rPr>
          <w:rStyle w:val="NumeroAFNegritaCaracter"/>
        </w:rPr>
        <w:t>9</w:t>
      </w:r>
      <w:r>
        <w:t>. La letrada de las Cortes Generales, actuando en nombre y representación del Congreso de los Diputados formuló sus alegaciones mediante escrito registrado el 24 de octubre de 2022 en las que solicitó la inadmisión del recurso de amparo o, subsidiariamente, su desestimación.</w:t>
      </w:r>
    </w:p>
    <w:p w14:paraId="10F0C6A7" w14:textId="77777777" w:rsidR="003754FE" w:rsidRDefault="003754FE" w:rsidP="003754FE">
      <w:pPr>
        <w:pStyle w:val="TextoNormal"/>
      </w:pPr>
    </w:p>
    <w:p w14:paraId="504A7E8C" w14:textId="77777777" w:rsidR="003754FE" w:rsidRDefault="003754FE" w:rsidP="003754FE">
      <w:pPr>
        <w:pStyle w:val="TextoNormal"/>
      </w:pPr>
      <w:r>
        <w:t xml:space="preserve">Tras hacer un resumen de los antecedentes, la letrada del Congreso de los Diputados niega la legitimidad del Grupo parlamentario Vox para interponer el presente recurso de amparo. Afirma que la persona afectada por las decisiones impugnadas es el señor Casero Ávila, que no pertenece al Grupo Parlamentario Vox, y que según doctrina constitucional reiterada (por todas STC 24/2020, de 13 de febrero) los grupos parlamentarios pueden interponer recursos de amparo en defensa de los parlamentarios siempre y cuando lo hagan en defensa y representación institucional de los miembros que la integran, por lo que, a </w:t>
      </w:r>
      <w:r w:rsidRPr="003754FE">
        <w:rPr>
          <w:i/>
        </w:rPr>
        <w:t>sensu contrario</w:t>
      </w:r>
      <w:r>
        <w:t>, los grupos parlamentarios carecen de legitimación activa para interponer recursos de amparo en defensa de los intereses parlamentarios que no formen parte del mismo. Aunque el anterior argumento es suficiente por sí solo para negar la legitimación al Grupo Parlamentario Vox, la letrada del Congreso aduce además que el interés alegado por los recurrentes solo puede calificarse de general y abstracto ya que sus miembros ejercieron el derecho de voto sin perturbación alguna, siendo las decisiones de la Presidencia del Congreso ajenas a su esfera jurídica. Tampoco puede fundarse la legitimación de los recurrentes en el argumento de que, en interés de la legalidad, se procura que la voluntad de la Cámara se ajuste a la intención real de voto de los parlamentarios. Aceptar tal tesis, supone introducir una especie de acción popular parlamentaria y admitir que cualquier miembro de la Cámara pueda impugnar cualquier decisión de esta. Tampoco puede justificarse la legitimación con el argumento relativo a la oposición parlamentaria que ejerce el grupo parlamentario recurrente debido a que todos sus miembros pudieron oponerse, mediante la emisión de sus votos, a la cuestión sometida a su consideración. De igual modo y con base a estos mismos argumentos, tampoco puede justificarse la legitimación en la defensa del interés de la ciudadanía por la representación que corresponde a los parlamentarios.</w:t>
      </w:r>
    </w:p>
    <w:p w14:paraId="06A91F7F" w14:textId="77777777" w:rsidR="003754FE" w:rsidRDefault="003754FE" w:rsidP="003754FE">
      <w:pPr>
        <w:pStyle w:val="TextoNormal"/>
      </w:pPr>
    </w:p>
    <w:p w14:paraId="0988EC9F" w14:textId="77777777" w:rsidR="003754FE" w:rsidRDefault="003754FE" w:rsidP="003754FE">
      <w:pPr>
        <w:pStyle w:val="TextoNormal"/>
      </w:pPr>
      <w:r>
        <w:t xml:space="preserve">Debido a que una de las quejas de los recurrentes consiste en la infracción por parte de la Presidencia del Congreso de la normativa reguladora del procedimiento de votación telemática vigente en el momento de los hechos, la letrada del Congreso de los Diputados inicia el análisis del fondo del asunto exponiendo dicha normativa. En la sesión plenaria en la que se adoptaron las decisiones de la Presidencia de la Cámara que aquí se impugnan, el régimen consolidado que resultaba de aplicación era el constituido por el art. 82.2 RCD, la resolución de la mesa de 21 de mayo de 2012 y los acuerdos de 26 de octubre de 2021 y 1 de febrero de 2022, acuerdos que fueron remitidos a todos los grupos parlamentarios para su conocimiento y que permitieron que todos los votantes telemáticos emitieran su voto en relación con todos los puntos del orden del día. Si solo hubiera estado vigente el art. 82.2 RCD, hubiera sido imposible votar respecto de los asuntos que son susceptibles de fraccionamiento o modificación en el curso del debate, por lo que la propia solicitud del señor Casero Ávila para emitir el voto telemático hacía referencia al acuerdo de 26 de octubre de 2021, lo que acredita que dicho diputado conocía perfectamente el régimen aplicable, que no </w:t>
      </w:r>
      <w:r>
        <w:lastRenderedPageBreak/>
        <w:t>exigía la comprobación telefónica de la emisión del voto, sino la introducción de usuario y contraseña a través de la intranet de la Cámara.</w:t>
      </w:r>
    </w:p>
    <w:p w14:paraId="0998530B" w14:textId="77777777" w:rsidR="003754FE" w:rsidRDefault="003754FE" w:rsidP="003754FE">
      <w:pPr>
        <w:pStyle w:val="TextoNormal"/>
      </w:pPr>
    </w:p>
    <w:p w14:paraId="43367F70" w14:textId="77777777" w:rsidR="003754FE" w:rsidRDefault="003754FE" w:rsidP="003754FE">
      <w:pPr>
        <w:pStyle w:val="TextoNormal"/>
      </w:pPr>
      <w:r>
        <w:t>Una vez fijado el régimen jurídico aplicable, la letrada del Congreso de los Diputados concluye, con base en el informe de la Dirección de Tecnologías de la Información y de las Comunicaciones, que la emisión del voto del señor Casero Ávila se produjo de forma válida, ya que: tal procedimiento de votación fue solicitado por el propio diputado aportando el correspondiente informe médico; una vez que la mesa autorizó dicha solicitud, se le fueron remitiendo al diputado las instrucciones de voto telemático; el voto se emitió en tiempo y forma, sin haberse detectado ninguna cancelación por parte del usuario, sin que se hubiera detectado error técnico alguno y sin que el señor Casero Ávila hubiera comunicado la existencia de fallo alguno; y la comprobación del voto se llevó a cabo mediante la solicitud de usuario y contraseña en la intranet del Congreso de los Diputados. El señor Casero Ávila no solo emitió el voto al que se refiere el presente recurso de amparo, sino que ya había votado telemáticamente en dos momentos anteriores respecto de otras cuestiones incluidas en el orden del día. Con base en lo expuesto, queda constatado que solo cabe imputar a un error material del propio diputado que el voto emitido no coincidiera con el que era su voluntad.</w:t>
      </w:r>
    </w:p>
    <w:p w14:paraId="1B21F8E0" w14:textId="77777777" w:rsidR="003754FE" w:rsidRDefault="003754FE" w:rsidP="003754FE">
      <w:pPr>
        <w:pStyle w:val="TextoNormal"/>
      </w:pPr>
    </w:p>
    <w:p w14:paraId="33DDEB37" w14:textId="77777777" w:rsidR="003754FE" w:rsidRDefault="003754FE" w:rsidP="003754FE">
      <w:pPr>
        <w:pStyle w:val="TextoNormal"/>
      </w:pPr>
      <w:r>
        <w:t>Según la letrada del Congreso, teniendo en cuenta que el diputado señor Casero Ávila pudo ejercer su derecho al voto sin ningún tipo de limitación, el problema que en realidad debe dilucidarse es si era posible la anulación del voto para posibilitar que el diputado pudiera votar nuevamente de forma presencial. La letrada del Congreso de los Diputados afirma que la modificación de un voto válidamente emitido es incompatible con los principios que rigen la voluntad de la Cámara en cuanto órgano colegiado y que se exponen a continuación: (i) el procedimiento de votación no está disponible para el diputado ya que, en caso contrario, se introduciría un elemento de incertidumbre en el procedimiento parlamentario que, lejos de garantizar la efectividad del derecho fundamental de participación política, resultaría contrario al mismo, al principio de igualdad y a la seguridad jurídica; (ii) el voto tiene carácter irrevocable, de tal modo que, una vez emitido, no puede volver a repetirse una votación, salvo en casos excepcionales, entre otros, de error técnico acreditado, tal y como sucedió en la STC 361/2006 (en este punto, la letrada del Congreso de los Diputados enumera varios supuestos en los que no se permitió la repetición de la votación —ya fuera esta telemática o presencial— cuando la solicitud venía motivada por no corresponder el sentido del voto emitido con la voluntad que se quería manifestar); y (iii) el voto telemático tiene naturaleza excepcional, lo cual es consustancial a la necesidad de que la asamblea parlamentaria delibere para adoptar sus decisiones.</w:t>
      </w:r>
    </w:p>
    <w:p w14:paraId="769A97DD" w14:textId="77777777" w:rsidR="003754FE" w:rsidRDefault="003754FE" w:rsidP="003754FE">
      <w:pPr>
        <w:pStyle w:val="TextoNormal"/>
      </w:pPr>
    </w:p>
    <w:p w14:paraId="2C9753D5" w14:textId="77777777" w:rsidR="003754FE" w:rsidRDefault="003754FE" w:rsidP="003754FE">
      <w:pPr>
        <w:pStyle w:val="TextoNormal"/>
      </w:pPr>
      <w:r>
        <w:t xml:space="preserve">La resolución de la mesa de 21 de mayo de 2012, en cuanto que prevé que “[e]l diputado que hubiera emitido su voto mediante el procedimiento telemático no podrá emitir su voto presencial sin autorización expresa de la mesa de la Cámara que, en el supuesto en que decida autorizar el voto presencial, declarará el voto telemático nulo y no emitido” debe interpretarse de conformidad con los principios anteriormente expuestos, por lo que no cabe deducir del mismo que los votantes telemáticos tienen una segunda oportunidad en los casos en los que cometan un error a la hora de emitir el voto, ya que se les estaría colocando en una mejor situación que al votante presencial que, como es sabido, no puede rectificar su voto. La eventualidad de que la mesa anule el voto emitido telemáticamente solo procede en aquellos casos en los que sea preciso garantizar el derecho de voto en toda su extensión, </w:t>
      </w:r>
      <w:r>
        <w:lastRenderedPageBreak/>
        <w:t>lo que no sucede en aquellos supuestos —como el presente— en el que el voto telemático se ha emitido válidamente.</w:t>
      </w:r>
    </w:p>
    <w:p w14:paraId="42BA4B0C" w14:textId="77777777" w:rsidR="003754FE" w:rsidRDefault="003754FE" w:rsidP="003754FE">
      <w:pPr>
        <w:pStyle w:val="TextoNormal"/>
      </w:pPr>
    </w:p>
    <w:p w14:paraId="0AEBD772" w14:textId="77777777" w:rsidR="003754FE" w:rsidRDefault="003754FE" w:rsidP="003754FE">
      <w:pPr>
        <w:pStyle w:val="TextoNormal"/>
      </w:pPr>
      <w:r>
        <w:t>Por lo que se refiere a la queja de los recurrentes a propósito de que la mesa de la Cámara debió haber sido convocada para resolver conforme a su criterio, la letrada de las Cortes Generales alega, por un lado, que, según doctrina constitucional (STC 110/2019, de 2 de octubre), la mesa no está siempre obligada a ejercer las facultades que le atribuye el reglamento, sino que ello dependerá de las circunstancias del caso; por otro, que no se deriva del tenor literal del apartado sexto de la resolución de 21 de mayo de 2012 que la mesa deba reunirse en todo caso. Si, como sucedió en este supuesto, no concurría el presupuesto material para poder anular el voto telemático debido a que no hubo fallo técnico, la Presidencia no tenía obligación de convocar la mesa, ya que tal petición no constituye un derecho de los diputados, sino una facultad de aquella. La letrada del Congreso aduce que, aunque en hipótesis hubiera existido un deber de convocar la mesa, su no convocatoria no hubiera llevado nunca aparejada la lesión del derecho fundamental, toda vez que aquella no hubiera podido declarar la nulidad del voto emitido telemáticamente por el señor Casero Ávila.</w:t>
      </w:r>
    </w:p>
    <w:p w14:paraId="7A0D79B4" w14:textId="77777777" w:rsidR="003754FE" w:rsidRDefault="003754FE" w:rsidP="003754FE">
      <w:pPr>
        <w:pStyle w:val="TextoNormal"/>
      </w:pPr>
    </w:p>
    <w:p w14:paraId="1DCC1C10" w14:textId="77777777" w:rsidR="003754FE" w:rsidRDefault="003754FE" w:rsidP="003754FE">
      <w:pPr>
        <w:pStyle w:val="TextoNormal"/>
      </w:pPr>
      <w:r>
        <w:t>También debe desestimarse la queja de los recurrentes referida a que la decisión de la presidenta carece de motivación y, además, es contraria a la realidad de los hechos. La letrada del Congreso de los Diputados alega que la decisión se adoptó una vez que se conoció la incidencia y se comprobó por la Secretaría General que no se había advertido sobre ningún error técnico, lo que se comunicó a los miembros de la mesa que estaban presentes. La emisión del informe de la Secretaría General del Congreso emitido posteriormente no trataba de suplir la falta de motivación de la decisión de la Presidencia ni tampoco defenderla, sino acreditar, con la misma información que ya se disponía el día de la sesión plenaria, que no había existido error técnico alguno y que lo acaecido se debía a un error inexcusable del diputado.</w:t>
      </w:r>
    </w:p>
    <w:p w14:paraId="2B42CB00" w14:textId="77777777" w:rsidR="003754FE" w:rsidRDefault="003754FE" w:rsidP="003754FE">
      <w:pPr>
        <w:pStyle w:val="TextoNormal"/>
      </w:pPr>
    </w:p>
    <w:p w14:paraId="4A78B026" w14:textId="77777777" w:rsidR="003754FE" w:rsidRDefault="003754FE" w:rsidP="003754FE">
      <w:pPr>
        <w:pStyle w:val="TextoNormal"/>
      </w:pPr>
      <w:r>
        <w:t xml:space="preserve">La letrada de las Cortes Generales alega la imposibilidad de repetir la votación en este caso. La conclusión que cabe extraer de la doctrina constitucional es que si se alega error en una votación telemática y tiene su origen en un error informático, debe considerarse nulo ya que no es responsabilidad del diputado cuidar de la fiabilidad del sistema; ahora bien, si el error se debe a un fallo del diputado, dicha doctrina no resulta de aplicación. Si se atribuyera a los diputados la posibilidad de disponer de su voto una vez que se hubiera emitido válidamente, se les estaría otorgando la facultad de modificar la voluntad de toda la Cámara. La votación, sea presencial o telemática, es un acto que se produce en un único momento y que se agota en el momento en que tiene lugar. El voto telemático, por el hecho de que se emita antes que el presencial, no puede ser considerado como una mera propuesta o un borrador, sino un voto expresado de forma firme y definitiva que, como tal, se incorporará automáticamente al resultado final que se proclama en el hemiciclo. La letrada del Congreso de los Diputados afirma que, si se permitiera a un diputado corregir un voto emitido telemáticamente, el principio de igualdad obligaría a que tal facultad se otorgara también al resto de los diputados. Sin embargo, resulta patente que dicha facultad no la contempla el ordenamiento jurídico. Al contrario, dicha posibilidad introduce un elemento de incertidumbre que infringe el principio de efectividad de los acuerdos de la Cámara que proclaman los arts. 78 y 79 RCD. A lo anterior hay que añadir la dificultad de probar realmente si ha existido o no un error de voluntad, pudiéndose utilizar esta vía para intentar modificar fraudulentamente la voluntad de la Cámara. Los vicios invalidantes del consentimiento exigen una cumplida </w:t>
      </w:r>
      <w:r>
        <w:lastRenderedPageBreak/>
        <w:t>demostración de su existencia y, de conformidad con la jurisprudencia del Tribunal Supremo, el reconocimiento del error sustancial, con trascendencia anulatoria del contrato, debe interpretarse de forma restrictiva en aras de la seguridad jurídica y del cumplimiento exacto de lo pactado. Con base en lo anterior, la alegación y estimación de la reclamación tiene que cumplir con los requisitos del error excusable, esto es, no puede deberse a una negligencia, a un cambio de criterio más o menos oportunista o a un fraude.</w:t>
      </w:r>
    </w:p>
    <w:p w14:paraId="13E89E1C" w14:textId="77777777" w:rsidR="003754FE" w:rsidRDefault="003754FE" w:rsidP="003754FE">
      <w:pPr>
        <w:pStyle w:val="TextoNormal"/>
      </w:pPr>
    </w:p>
    <w:p w14:paraId="49D7E743" w14:textId="77777777" w:rsidR="003754FE" w:rsidRDefault="003754FE" w:rsidP="003754FE">
      <w:pPr>
        <w:pStyle w:val="TextoNormal"/>
      </w:pPr>
      <w:r>
        <w:t>Ni el señor Casero Ávila, ni el Grupo Parlamentario Vox han aportado indicio alguno de que el señor diputado hubiera sufrido un error excusable, única causa a la que se le atribuye eficacia invalidatoria. Más allá de la declaración de la existencia de un fallo informático primero y la alegación del propio error más tarde, no han presentado ningún elemento fehaciente que pruebe que no formó adecuadamente su voluntad por algún motivo que no dependía del señor Casero Ávila. La votación es un acto de responsabilidad de cada diputado y el sistema de votación telemática está configurado de modo que se minimicen los errores, al permitir a los diputados verificar su acción de voto hasta en dos momentos. El error puede existir, pero si es debido a un fallo humano, no por eso es rectificable y excusable.</w:t>
      </w:r>
    </w:p>
    <w:p w14:paraId="13CFCC6B" w14:textId="77777777" w:rsidR="003754FE" w:rsidRDefault="003754FE" w:rsidP="003754FE">
      <w:pPr>
        <w:pStyle w:val="TextoNormal"/>
      </w:pPr>
    </w:p>
    <w:p w14:paraId="60F5022A" w14:textId="76613BB0" w:rsidR="003754FE" w:rsidRDefault="003754FE" w:rsidP="003754FE">
      <w:pPr>
        <w:pStyle w:val="TextoNormal"/>
      </w:pPr>
      <w:r>
        <w:t>Por último, la letrada de las Cortes Generales alega que la petición del señor Casero Ávila de volver a votar presencialmente únicamente respecto al punto del orden del día referido a la convalidación del Real Decreto-ley 32/2021 y no respecto de otros puntos del orden del día de esa misma sesión en los que también votó equivocadamente, evidencia que se trata de una petición que no responde a un principio general, sino interesada en función del tema objeto de votación y el resultado de la misma, queriéndose utilizar fraudulentamente la votación presencial como una segunda oportunidad para rectificar exclusivamente los errores que interesan.</w:t>
      </w:r>
    </w:p>
    <w:p w14:paraId="0CC37514" w14:textId="77777777" w:rsidR="003754FE" w:rsidRDefault="003754FE" w:rsidP="003754FE">
      <w:pPr>
        <w:pStyle w:val="TextoNormal"/>
      </w:pPr>
    </w:p>
    <w:p w14:paraId="2BA6E624" w14:textId="77777777" w:rsidR="003754FE" w:rsidRDefault="003754FE" w:rsidP="003754FE">
      <w:pPr>
        <w:pStyle w:val="TextoNormal"/>
      </w:pPr>
      <w:r w:rsidRPr="003754FE">
        <w:rPr>
          <w:rStyle w:val="NumeroAFNegritaCaracter"/>
        </w:rPr>
        <w:t>10</w:t>
      </w:r>
      <w:r>
        <w:t xml:space="preserve">. El Ministerio Fiscal, mediante escrito registrado el 7 de noviembre de 2022, presentó sus alegaciones interesando la desestimación íntegra del recurso de amparo. Tras un breve resumen de los antecedentes, realiza algunas consideraciones sobre el objeto del recurso que, según la demanda, se interpone no solo contra la decisión de la Presidencia del Congreso de 3 de febrero de 2022 de no permitir el voto presencial del señor Casero Ávila, sino también “contra la decisión de la señora presidenta del Congreso […] de negarse a repetir la votación ante la incidencia en el voto telemático del diputado señor Casero”. Según el fiscal, de la lectura de la demanda no se desprende la existencia de una actuación diferenciada de la Presidencia de la Cámara que específicamente tuviera por objeto la repetición de la votación, salvo que por tal se entienda la negativa de la Presidencia de convocar la mesa de la Cámara para que esta, con base en lo dispuesto en el art. 82 RCD y el apartado cuarto de la resolución de la mesa de la Cámara de 21 de mayo de 2012, anulara el voto telemático emitido por el señor Casero Ávila y autorizara la emisión de un voto presencial, acto este que, sin embargo, no se incluye en el </w:t>
      </w:r>
      <w:r w:rsidRPr="003754FE">
        <w:rPr>
          <w:i/>
        </w:rPr>
        <w:t>petitum</w:t>
      </w:r>
      <w:r>
        <w:t xml:space="preserve"> de la demanda. De no entenderse así, la segunda pretensión impugnatoria de los recurrentes habría de desestimarse de plano toda vez que la Presidencia del Congreso no es, a la vista de lo previsto en el apartado sexto de la resolución de la mesa de 21 de mayo de 2012, la competente para acordar la nueva emisión de un voto presencial una vez que ya se ha votado telemáticamente.</w:t>
      </w:r>
    </w:p>
    <w:p w14:paraId="3C5076E4" w14:textId="77777777" w:rsidR="003754FE" w:rsidRDefault="003754FE" w:rsidP="003754FE">
      <w:pPr>
        <w:pStyle w:val="TextoNormal"/>
      </w:pPr>
    </w:p>
    <w:p w14:paraId="1885EAB4" w14:textId="77777777" w:rsidR="003754FE" w:rsidRDefault="003754FE" w:rsidP="003754FE">
      <w:pPr>
        <w:pStyle w:val="TextoNormal"/>
      </w:pPr>
      <w:r>
        <w:t xml:space="preserve">Según el Ministerio Fiscal el presente recurso de amparo no suscita óbice alguno respecto de la legitimación de los recurrentes, que ostentan un interés legítimo en la correcta configuración de la voluntad de la Cámara (STC 65/2022, de 31 de mayo, FJ 3), ni tampoco </w:t>
      </w:r>
      <w:r>
        <w:lastRenderedPageBreak/>
        <w:t xml:space="preserve">respecto del carácter tempestivo del recurso ya que puede sostenerse que los recurrentes han agotado las instancias internas parlamentarias. Para alcanzar tal conclusión el Ministerio Fiscal alega que si bien a instancias del Grupo Parlamentario Popular la mesa de la Cámara, en su sesión de 15 de febrero de 2022, trató ampliamente la cuestión que es objeto de este recurso de amparo pudiendo haber adoptado en la misma la declaración de invalidez del voto telemático emitido por el señor Casero Ávila, el art. 31 RCD no prevé como susceptibles de reconsideración los actos de la Presidencia de la Cámara. A juicio del fiscal sería contrario al principio </w:t>
      </w:r>
      <w:r w:rsidRPr="003754FE">
        <w:rPr>
          <w:i/>
        </w:rPr>
        <w:t>pro actione</w:t>
      </w:r>
      <w:r>
        <w:t xml:space="preserve"> exigir a los recurrentes haber instado la intervención de la mesa de Cámara antes de acudir a la jurisdicción constitucional.</w:t>
      </w:r>
    </w:p>
    <w:p w14:paraId="12D237A2" w14:textId="77777777" w:rsidR="003754FE" w:rsidRDefault="003754FE" w:rsidP="003754FE">
      <w:pPr>
        <w:pStyle w:val="TextoNormal"/>
      </w:pPr>
    </w:p>
    <w:p w14:paraId="09AA7483" w14:textId="77777777" w:rsidR="003754FE" w:rsidRDefault="003754FE" w:rsidP="003754FE">
      <w:pPr>
        <w:pStyle w:val="TextoNormal"/>
      </w:pPr>
      <w:r>
        <w:t>Por lo que se refiere a la cuestión de fondo, el Ministerio Fiscal comienza por mostrar su discrepancia con los recurrentes a propósito del carácter análogo del asunto resuelto en la STC 361/2006 con el que aquí se enjuicia, por lo que no puede invocarse como un precedente para dar respuesta a los problemas jurídicos que ahora se plantean. Mientras que en el asunto resuelto en la STC 361/2006 se planteaba la existencia de un problema técnico que había impedido la emisión del voto presencial de una parlamentaria, lo que aquí se plantea es la discordancia entre el sentido del voto deseado y el sentido del emitido telemáticamente sin que concurra deficiencia técnica alguna.</w:t>
      </w:r>
    </w:p>
    <w:p w14:paraId="3EB6FDE6" w14:textId="77777777" w:rsidR="003754FE" w:rsidRDefault="003754FE" w:rsidP="003754FE">
      <w:pPr>
        <w:pStyle w:val="TextoNormal"/>
      </w:pPr>
    </w:p>
    <w:p w14:paraId="3AF3AB5D" w14:textId="77777777" w:rsidR="003754FE" w:rsidRDefault="003754FE" w:rsidP="003754FE">
      <w:pPr>
        <w:pStyle w:val="TextoNormal"/>
      </w:pPr>
      <w:r>
        <w:t>A diferencia de lo que sostienen los recurrentes, el Ministerio Fiscal no considera que las decisiones de la Presidencia de la Cámara carezcan de la más mínima motivación y sean contrarias a la realidad de los hechos. Si bien consta en el diario de sesiones que la presidenta del Congreso de los Diputados, dirigiéndose a la portavoz del Grupo Parlamentario Popular, afirmó que “la mesa es conocedora y ha podido analizar lo que usted me va a plantear”, dicha expresión tenía por objeto únicamente denegar el uso de la palabra a la portavoz del citado grupo. El hecho de que la presidenta de la Cámara no ofreciera en ese momento una motivación de las razones por las que no convocó a la mesa de la Cámara, sino que se postergó a un momento posterior, carece de toda virtualidad en orden a la exigencia de motivación de los actos de los órganos parlamentarios susceptibles de restringir el ejercicio de representación política del art. 23 CE, ya que dicha motivación: (i) descartó la lesión del derecho fundamental aducido; (ii) hubiera permitido, al menos potencialmente, su eventual reparación en caso de haberse concluido la vulneración del derecho. Según el fiscal nada impide que la motivación suficiente y adecuada de un determinado acto se exteriorice y se complete con posterioridad a la decisión adoptada, máxime cuando se trata de una decisión que se adopta en el marco de la ordenación de un pleno de la Cámara.</w:t>
      </w:r>
    </w:p>
    <w:p w14:paraId="323A68CE" w14:textId="77777777" w:rsidR="003754FE" w:rsidRDefault="003754FE" w:rsidP="003754FE">
      <w:pPr>
        <w:pStyle w:val="TextoNormal"/>
      </w:pPr>
    </w:p>
    <w:p w14:paraId="2143C7C2" w14:textId="77777777" w:rsidR="003754FE" w:rsidRDefault="003754FE" w:rsidP="003754FE">
      <w:pPr>
        <w:pStyle w:val="TextoNormal"/>
      </w:pPr>
      <w:r>
        <w:t xml:space="preserve">El Ministerio Fiscal tampoco comparte la tesis de los recurrentes referida a cómo debió procederse a la verificación del voto emitido telemáticamente ya que es la propia resolución de la mesa de 26 de octubre de 2021 la que establece que “en todos los supuestos” el método de verificación de la emisión personal del voto se realizará a través de la intranet de la Cámara, con la introducción de usuario y contraseña. Por ello, el propio diputado señor Casero Ávila, en la solicitud formulada por él para emitir el voto telemático, invocó expresamente dicha resolución, lo que evidencia que era plenamente consciente de que la emisión de su voto se hallaba sometida a dicha norma. Afirma el Ministerio Fiscal que, una vez descartado que hubiera existido una incidencia técnica, no existe ninguna norma que atribuya al diputado que ya ha emitido válidamente su voto el derecho de cambiarlo con posterioridad, sino que, por el contrario, sí existen razones para no permitírselo. De lo anterior se deriva que incluso en el caso de que se hubiera aplicado el método de verificación previsto </w:t>
      </w:r>
      <w:r>
        <w:lastRenderedPageBreak/>
        <w:t>en la resolución de la mesa de 21 de mayo de 2012, el señor Casero Ávila no hubiera podido emitir un nuevo voto.</w:t>
      </w:r>
    </w:p>
    <w:p w14:paraId="4FE8F95A" w14:textId="77777777" w:rsidR="003754FE" w:rsidRDefault="003754FE" w:rsidP="003754FE">
      <w:pPr>
        <w:pStyle w:val="TextoNormal"/>
      </w:pPr>
    </w:p>
    <w:p w14:paraId="137F573A" w14:textId="77777777" w:rsidR="003754FE" w:rsidRDefault="003754FE" w:rsidP="003754FE">
      <w:pPr>
        <w:pStyle w:val="TextoNormal"/>
      </w:pPr>
      <w:r>
        <w:t>Según el Ministerio Fiscal la cuestión nuclear que plantea este recurso de amparo es determinar cuál es el supuesto que, según la norma sexta de la resolución de la mesa de 21 de mayo de 2012 permite a esta anular un voto telemático ya emitido, de modo que el votante pueda votar —de nuevo— presencialmente. El Ministerio Fiscal comparte con los recurrentes que dicha habilitación para la emisión de un nuevo voto presencial no queda restringida a aquellos casos en los que se produce un error técnico acreditado. Los recurrentes consideran que la citada norma sexta debe aplicarse a los supuestos en los que desaparezcan de forma sobrevenida las circunstancias que justificaron el voto telemático y que permiten comparecer al diputado personalmente en la Cámara para ejercer su derecho de voto, negando en estos casos a la mesa cualquier margen de discrecionalidad. El fiscal considera que tal interpretación, aunque no es irrazonable ni incompatible con el tenor literal de la norma, resulta de dudosa aplicabilidad en este caso debido a que la pretensión del señor Casero Ávila de votar presencialmente y que fue trasladada por miembros de su grupo y no por él mismo, no se apoyó en ningún momento en la desaparición sobrevenida de la causa que justificaba la emisión de su voto de forma telemática, sino en la existencia de un error —que en un primer momento parecía imputar al sistema informático, aunque finalmente se desveló como humano— y en la pretensión de cambiar el sentido de su voto.</w:t>
      </w:r>
    </w:p>
    <w:p w14:paraId="59EFAFCA" w14:textId="77777777" w:rsidR="003754FE" w:rsidRDefault="003754FE" w:rsidP="003754FE">
      <w:pPr>
        <w:pStyle w:val="TextoNormal"/>
      </w:pPr>
    </w:p>
    <w:p w14:paraId="420FCF66" w14:textId="77777777" w:rsidR="003754FE" w:rsidRDefault="003754FE" w:rsidP="003754FE">
      <w:pPr>
        <w:pStyle w:val="TextoNormal"/>
      </w:pPr>
      <w:r>
        <w:t xml:space="preserve">A juicio del fiscal, los escasos precedentes existentes referidos al modo en que la Cámara ha venido aplicando la norma sexta de la resolución de la mesa de 21 de mayo de 2012, se deriva lo siguiente: (i) por un lado, que no solo el fallo técnico del sistema informático ha permitido la anulación de los votos emitidos telemáticamente; (ii) por otro, que nunca se ha anulado un voto emitido telemáticamente como consecuencia de un error humano en la selección del motivo del voto. Además del valor hermenéutico de dichos precedentes, incuestionables desde la perspectiva de la autonomía parlamentaria, los principios de igualdad y seguridad jurídica a los que se refiere el informe de la Secretaría General del Congreso avalan la actuación de la Presidencia de la Cámara. Según el Ministerio Fiscal, es pacífica en el ámbito parlamentario la interpretación de que los errores de votación —no los fallos del sistema técnico— no dan lugar, al menos en las votaciones presenciales, a la anulación del voto con el fin de salvaguardar el principio de seguridad jurídica. Es la salvaguarda de este principio, con el fin de evitar un resultado de inestabilidad idéntico al que se trata de prevenir en el voto presencial, el que no permite anular un voto válidamente emitido por el hecho de que concurra un error humano en la selección de su sentido. Por lo que se refiere a la negación del término de comparación que aducen los recurrentes para justificar que no resulta de aplicación el principio de igualdad, el Ministerio Fiscal alega que la desigualdad no se genera en realidad por razón de la forma en que se materializa la votación (que obviamente no es idéntica), sino porque en función de esa forma se pretende generar, o en cualquier caso se acabe generando, una diferencia entre diputados con derecho a cambiar su voto y diputados sin derecho a hacerlo. El hecho de que en aplicación de la regla sexta de la resolución de la mesa del Congreso de 21 de mayo de 2012 no se haya anulado ningún voto válidamente emitido como consecuencia de un error humano en la elección de su sentido, avala la anterior tesis. El argumento de que lo normal es la presencialidad y lo excepcional la votación telemática no añade, a juicio del fiscal, nada sustancial a esa conclusión. Ciertamente es así, pero de esa evidencia no resulta necesariamente —en realidad no resulta en absoluto— otra que implique que, por tanto, el voto presencial es invariable y el </w:t>
      </w:r>
      <w:r>
        <w:lastRenderedPageBreak/>
        <w:t xml:space="preserve">telemático (con mayor razón, el de quien resulta que podía haberlo emitido presencialmente, caso —según se ve— del señor Casero Ávila) puede modificarse </w:t>
      </w:r>
      <w:r w:rsidRPr="003754FE">
        <w:rPr>
          <w:i/>
        </w:rPr>
        <w:t>ab libitum</w:t>
      </w:r>
      <w:r>
        <w:t>.</w:t>
      </w:r>
    </w:p>
    <w:p w14:paraId="1BAD4F81" w14:textId="77777777" w:rsidR="003754FE" w:rsidRDefault="003754FE" w:rsidP="003754FE">
      <w:pPr>
        <w:pStyle w:val="TextoNormal"/>
      </w:pPr>
    </w:p>
    <w:p w14:paraId="61FB7360" w14:textId="579A191C" w:rsidR="003754FE" w:rsidRDefault="003754FE" w:rsidP="003754FE">
      <w:pPr>
        <w:pStyle w:val="TextoNormal"/>
      </w:pPr>
      <w:r>
        <w:t xml:space="preserve">Por último, el fiscal afirma que, de asumirse la alegación de los recurrentes, según la cual el diputado que vota telemáticamente puede solicitar a la mesa, sin expresión de su causa, la anulación del voto telemático para poder ejercer su derecho al voto presencial, llevaría a categorizar como un derecho subjetivo del diputado que ejerce telemáticamente su voto la libre facultad de cambiarlo después; tal hipotética facultad no se compadece ni con la exigencia de autorización expresa de la mesa, ni con la inexistencia de normas o procedimientos para ejercer tal derecho, ni con la patente evidencia de que el diputado ya habría ejercido su derecho —integrado en el </w:t>
      </w:r>
      <w:r w:rsidRPr="003754FE">
        <w:rPr>
          <w:i/>
        </w:rPr>
        <w:t>ius in officium</w:t>
      </w:r>
      <w:r>
        <w:t>— de la emisión del voto telemático de conformidad con lo dispuesto en la normativa aplicable, “de modo que la variación de ese voto queda por lógica consecuencia, en defecto de una previsión normativa específica, extramuros del derecho fundamental invocado, cuya debida tutela exigiría, precisamente, concretar de forma clara y taxativa los supuestos —y procedimientos— en que resultaría justificado y permitido un cambio de voto dejando sin efecto el que se ha emitido con plena adecuación a la legalidad constitucional”.</w:t>
      </w:r>
    </w:p>
    <w:p w14:paraId="2EDD5AB5" w14:textId="77777777" w:rsidR="003754FE" w:rsidRDefault="003754FE" w:rsidP="003754FE">
      <w:pPr>
        <w:pStyle w:val="TextoNormal"/>
      </w:pPr>
    </w:p>
    <w:p w14:paraId="4241D5E5" w14:textId="72B788BB" w:rsidR="003754FE" w:rsidRDefault="003754FE" w:rsidP="003754FE">
      <w:pPr>
        <w:pStyle w:val="TextoNormal"/>
      </w:pPr>
      <w:r w:rsidRPr="003754FE">
        <w:rPr>
          <w:rStyle w:val="NumeroAFNegritaCaracter"/>
        </w:rPr>
        <w:t>11</w:t>
      </w:r>
      <w:r>
        <w:t>. El Pleno del Tribunal mediante ATC 7/2023, de 24 enero, estimó justificada la abstención formulada por el magistrado don Juan Carlos Campo Moreno en este procedimiento.</w:t>
      </w:r>
    </w:p>
    <w:p w14:paraId="1831341E" w14:textId="77777777" w:rsidR="003754FE" w:rsidRDefault="003754FE" w:rsidP="003754FE">
      <w:pPr>
        <w:pStyle w:val="TextoNormal"/>
      </w:pPr>
    </w:p>
    <w:p w14:paraId="747DD171" w14:textId="77777777" w:rsidR="003754FE" w:rsidRDefault="003754FE" w:rsidP="003754FE">
      <w:pPr>
        <w:pStyle w:val="TextoNormal"/>
      </w:pPr>
      <w:r w:rsidRPr="003754FE">
        <w:rPr>
          <w:rStyle w:val="NumeroAFNegritaCaracter"/>
        </w:rPr>
        <w:t>12</w:t>
      </w:r>
      <w:r>
        <w:t>. Mediante providencia de 24 de enero de 2023 el Pleno del Tribunal, con base en el art. 88 LOTC, acordó recabar de la presidenta del Congreso de los Diputados, en el plazo de diez días, la siguiente documentación: (i) copia de las resoluciones de la mesa del Congreso de los Diputados que regulan el voto telemático; (ii) copia, si los hubiera, de los acuerdos de la mesa del Congreso de los Diputados que no hayan sido objeto de publicación en el “Boletín Oficial de las Cortes Generales” y que hubieran sido dictados desde el 19 de marzo de 2020; (iii) certificación de los votos emitidos por el señor Casero Ávila de forma telemática en la sesión plenaria del 3 de febrero de 2022, haciendo constar la forma en que se efectuó la verificación de la identidad antes del inicio de la votación, así como de la emisión efectiva de su voto y de su sentido y (iv) certificación del momento en que fue instada por el diputado señor Casero Ávila o por el Grupo Parlamentario Popular la autorización de la mesa del Congreso de los Diputados a efectos de que se anulase el voto telemático emitido por el referido diputado, en relación con la convalidación del Real Decreto-ley 32/2021, en la sesión plenaria de 3 de febrero de 2022.</w:t>
      </w:r>
    </w:p>
    <w:p w14:paraId="2C6D1F0E" w14:textId="77777777" w:rsidR="003754FE" w:rsidRDefault="003754FE" w:rsidP="003754FE">
      <w:pPr>
        <w:pStyle w:val="TextoNormal"/>
      </w:pPr>
    </w:p>
    <w:p w14:paraId="19826534" w14:textId="77777777" w:rsidR="003754FE" w:rsidRDefault="003754FE" w:rsidP="003754FE">
      <w:pPr>
        <w:pStyle w:val="TextoNormal"/>
      </w:pPr>
      <w:r>
        <w:t>Mediante escrito registrado en este tribunal el día 8 de febrero de 2023 la letrada de las Cortes Generales, actuando en representación del Congreso, dio cumplimiento a lo solicitado en la providencia anterior remitiendo la documentación que se relaciona a continuación:</w:t>
      </w:r>
    </w:p>
    <w:p w14:paraId="2307DCC3" w14:textId="77777777" w:rsidR="003754FE" w:rsidRDefault="003754FE" w:rsidP="003754FE">
      <w:pPr>
        <w:pStyle w:val="TextoNormal"/>
      </w:pPr>
    </w:p>
    <w:p w14:paraId="681E2DFA" w14:textId="77777777" w:rsidR="003754FE" w:rsidRDefault="003754FE" w:rsidP="003754FE">
      <w:pPr>
        <w:pStyle w:val="TextoNormal"/>
      </w:pPr>
      <w:r>
        <w:t>(i) Copia certificada de las resoluciones de la mesa del Congreso de los Diputados que regulan el voto telemático, desde que se previó por el Reglamento del Congreso de los Diputados.</w:t>
      </w:r>
    </w:p>
    <w:p w14:paraId="13423001" w14:textId="77777777" w:rsidR="003754FE" w:rsidRDefault="003754FE" w:rsidP="003754FE">
      <w:pPr>
        <w:pStyle w:val="TextoNormal"/>
      </w:pPr>
    </w:p>
    <w:p w14:paraId="45EB5B53" w14:textId="77777777" w:rsidR="003754FE" w:rsidRDefault="003754FE" w:rsidP="003754FE">
      <w:pPr>
        <w:pStyle w:val="TextoNormal"/>
      </w:pPr>
      <w:r>
        <w:t xml:space="preserve">(ii) Certificado de los oficios de comunicación a los grupos parlamentarios de los acuerdos de la mesa del Congreso de los Diputados adoptados desde el 19 de marzo de 2020 en materia de voto telemático. Entre dichos certificados, consta el oficio de comunicación del </w:t>
      </w:r>
      <w:r>
        <w:lastRenderedPageBreak/>
        <w:t>acuerdo de la mesa de 26 de octubre de 2021 —remitido al Grupo Parlamentario Popular al día siguiente—. En dicho oficio se establece:</w:t>
      </w:r>
    </w:p>
    <w:p w14:paraId="4131D9F2" w14:textId="77777777" w:rsidR="003754FE" w:rsidRDefault="003754FE" w:rsidP="003754FE">
      <w:pPr>
        <w:pStyle w:val="TextoNormal"/>
      </w:pPr>
    </w:p>
    <w:p w14:paraId="43C2FBD9" w14:textId="77777777" w:rsidR="003754FE" w:rsidRDefault="003754FE" w:rsidP="003754FE">
      <w:pPr>
        <w:pStyle w:val="TextoNormal"/>
      </w:pPr>
      <w:r>
        <w:t>“Comunico a V.E., a los efectos oportunos, que la mesa de la Cámara, en su reunión del día de hoy, ha acordado, con efectos desde la sesión plenaria que comienza el próximo miércoles 3 de noviembre, lo siguiente:</w:t>
      </w:r>
    </w:p>
    <w:p w14:paraId="2104C7CA" w14:textId="77777777" w:rsidR="003754FE" w:rsidRDefault="003754FE" w:rsidP="003754FE">
      <w:pPr>
        <w:pStyle w:val="TextoNormal"/>
      </w:pPr>
    </w:p>
    <w:p w14:paraId="4BCB8C7A" w14:textId="77777777" w:rsidR="003754FE" w:rsidRDefault="003754FE" w:rsidP="003754FE">
      <w:pPr>
        <w:pStyle w:val="TextoNormal"/>
      </w:pPr>
      <w:r>
        <w:t>[….]</w:t>
      </w:r>
    </w:p>
    <w:p w14:paraId="4FDDB09C" w14:textId="77777777" w:rsidR="003754FE" w:rsidRDefault="003754FE" w:rsidP="003754FE">
      <w:pPr>
        <w:pStyle w:val="TextoNormal"/>
      </w:pPr>
    </w:p>
    <w:p w14:paraId="47FBE6FA" w14:textId="77777777" w:rsidR="003754FE" w:rsidRDefault="003754FE" w:rsidP="003754FE">
      <w:pPr>
        <w:pStyle w:val="TextoNormal"/>
      </w:pPr>
      <w:r>
        <w:t>En todos los supuestos en los que proceda la emisión del voto por el procedimiento telemático, y sin perjuicio de lo previsto en la resolución de la mesa de la Cámara para el desarrollo del procedimiento de votación telemática, de 21 de mayo de 2012, la emisión del voto se hará a través de la intranet de la Cámara, con la introducción de usuario y contraseña, como método de verificación de la emisión personal del voto”.</w:t>
      </w:r>
    </w:p>
    <w:p w14:paraId="0B41D250" w14:textId="77777777" w:rsidR="003754FE" w:rsidRDefault="003754FE" w:rsidP="003754FE">
      <w:pPr>
        <w:pStyle w:val="TextoNormal"/>
      </w:pPr>
    </w:p>
    <w:p w14:paraId="142590B4" w14:textId="77777777" w:rsidR="003754FE" w:rsidRDefault="003754FE" w:rsidP="003754FE">
      <w:pPr>
        <w:pStyle w:val="TextoNormal"/>
      </w:pPr>
      <w:r>
        <w:t>(iii) Certificado del secretario general del Congreso de los Diputados de 8 de febrero de 2023 en la que se hace constar en primer término, el contenido del acuerdo de la mesa de la Cámara de 26 de octubre de 2021, aplicable con efectos desde la sesión plenaria del día 3 de noviembre de 2021; en segundo lugar que “la verificación o comprobación de la identidad del señor Casero antes del inicio de las votaciones se efectuó a través de la intranet de la Cámara, con la introducción por el señor diputado de su usuario y contraseña”.</w:t>
      </w:r>
    </w:p>
    <w:p w14:paraId="5B82C493" w14:textId="77777777" w:rsidR="003754FE" w:rsidRDefault="003754FE" w:rsidP="003754FE">
      <w:pPr>
        <w:pStyle w:val="TextoNormal"/>
      </w:pPr>
    </w:p>
    <w:p w14:paraId="0E489E05" w14:textId="77777777" w:rsidR="003754FE" w:rsidRDefault="003754FE" w:rsidP="003754FE">
      <w:pPr>
        <w:pStyle w:val="TextoNormal"/>
      </w:pPr>
      <w:r>
        <w:t>Asimismo, se adjunta documento del director de Tecnologías de la Información y de las Comunicaciones en el que consta la emisión efectiva del voto del señor Casero Ávila correspondiente a los asuntos objeto de votación en la sesión plenaria de 3 de febrero de 2022, su sentido, así como la hora de emisión del voto. Se transcriben a continuación los votos emitidos de forma telemática por el diputado señor Casero Ávila en la sesión del Pleno número 149 de 3 de febrero de 2022, ese mismo día a las 17:46:58:</w:t>
      </w:r>
    </w:p>
    <w:p w14:paraId="256050C8" w14:textId="77777777" w:rsidR="003754FE" w:rsidRDefault="003754FE" w:rsidP="003754FE">
      <w:pPr>
        <w:pStyle w:val="TextoNormal"/>
      </w:pPr>
    </w:p>
    <w:p w14:paraId="734D7012" w14:textId="77777777" w:rsidR="003754FE" w:rsidRDefault="003754FE" w:rsidP="003754FE">
      <w:pPr>
        <w:pStyle w:val="TextoNormal"/>
      </w:pPr>
      <w:r>
        <w:t>“Diputado/a: Alberto Casero Ávila</w:t>
      </w:r>
    </w:p>
    <w:p w14:paraId="080AE1AC" w14:textId="77777777" w:rsidR="003754FE" w:rsidRDefault="003754FE" w:rsidP="003754FE">
      <w:pPr>
        <w:pStyle w:val="TextoNormal"/>
      </w:pPr>
    </w:p>
    <w:p w14:paraId="5D6748C3" w14:textId="77777777" w:rsidR="003754FE" w:rsidRDefault="003754FE" w:rsidP="003754FE">
      <w:pPr>
        <w:pStyle w:val="TextoNormal"/>
      </w:pPr>
      <w:r>
        <w:t>Fecha votación: 3 de febrero de 2022, 17:46:58</w:t>
      </w:r>
    </w:p>
    <w:p w14:paraId="0A2F2AC9" w14:textId="77777777" w:rsidR="003754FE" w:rsidRDefault="003754FE" w:rsidP="003754FE">
      <w:pPr>
        <w:pStyle w:val="TextoNormal"/>
      </w:pPr>
    </w:p>
    <w:p w14:paraId="7DF22623" w14:textId="77777777" w:rsidR="003754FE" w:rsidRDefault="003754FE" w:rsidP="003754FE">
      <w:pPr>
        <w:pStyle w:val="TextoNormal"/>
      </w:pPr>
      <w:r>
        <w:t>Sesión del Pleno núm. 149 de 3 de febrero de 2022</w:t>
      </w:r>
    </w:p>
    <w:p w14:paraId="2B182F30" w14:textId="77777777" w:rsidR="003754FE" w:rsidRDefault="003754FE" w:rsidP="003754FE">
      <w:pPr>
        <w:pStyle w:val="TextoNormal"/>
      </w:pPr>
    </w:p>
    <w:p w14:paraId="2BBD0676" w14:textId="77777777" w:rsidR="003754FE" w:rsidRDefault="003754FE" w:rsidP="003754FE">
      <w:pPr>
        <w:pStyle w:val="TextoNormal"/>
      </w:pPr>
      <w:r>
        <w:t>Resultado votación:</w:t>
      </w:r>
    </w:p>
    <w:p w14:paraId="5736A9C0" w14:textId="77777777" w:rsidR="003754FE" w:rsidRDefault="003754FE" w:rsidP="003754FE">
      <w:pPr>
        <w:pStyle w:val="TextoNormal"/>
      </w:pPr>
    </w:p>
    <w:p w14:paraId="150CE9B1" w14:textId="77777777" w:rsidR="003754FE" w:rsidRDefault="003754FE" w:rsidP="003754FE">
      <w:pPr>
        <w:pStyle w:val="TextoNormal"/>
      </w:pPr>
      <w:r>
        <w:t>162/000848</w:t>
      </w:r>
    </w:p>
    <w:p w14:paraId="313927C4" w14:textId="77777777" w:rsidR="003754FE" w:rsidRDefault="003754FE" w:rsidP="003754FE">
      <w:pPr>
        <w:pStyle w:val="TextoNormal"/>
      </w:pPr>
    </w:p>
    <w:p w14:paraId="1EB78D83" w14:textId="77777777" w:rsidR="003754FE" w:rsidRDefault="003754FE" w:rsidP="003754FE">
      <w:pPr>
        <w:pStyle w:val="TextoNormal"/>
      </w:pPr>
      <w:r>
        <w:t>Proposición no de ley del Grupo Parlamentario Socialista, sobre impulso de la conectividad y de la tecnología 5G en zonas afectadas por la despoblación.</w:t>
      </w:r>
    </w:p>
    <w:p w14:paraId="1A99A633" w14:textId="77777777" w:rsidR="003754FE" w:rsidRDefault="003754FE" w:rsidP="003754FE">
      <w:pPr>
        <w:pStyle w:val="TextoNormal"/>
      </w:pPr>
      <w:r>
        <w:t>Se vota en los términos resultantes de la incorporación de la enmienda presentada por el Grupo Parlamentario Socialista.</w:t>
      </w:r>
    </w:p>
    <w:p w14:paraId="2316F884" w14:textId="77777777" w:rsidR="003754FE" w:rsidRDefault="003754FE" w:rsidP="003754FE">
      <w:pPr>
        <w:pStyle w:val="TextoNormal"/>
      </w:pPr>
    </w:p>
    <w:p w14:paraId="52413526" w14:textId="77777777" w:rsidR="003754FE" w:rsidRDefault="003754FE" w:rsidP="003754FE">
      <w:pPr>
        <w:pStyle w:val="TextoNormal"/>
      </w:pPr>
      <w:r>
        <w:t xml:space="preserve">Voto: </w:t>
      </w:r>
    </w:p>
    <w:p w14:paraId="783ECBEF" w14:textId="77777777" w:rsidR="003754FE" w:rsidRDefault="003754FE" w:rsidP="003754FE">
      <w:pPr>
        <w:pStyle w:val="TextoNormal"/>
      </w:pPr>
      <w:r>
        <w:t>Sí.</w:t>
      </w:r>
    </w:p>
    <w:p w14:paraId="74FC2E49" w14:textId="77777777" w:rsidR="003754FE" w:rsidRDefault="003754FE" w:rsidP="003754FE">
      <w:pPr>
        <w:pStyle w:val="TextoNormal"/>
      </w:pPr>
    </w:p>
    <w:p w14:paraId="5B6AEDC7" w14:textId="77777777" w:rsidR="003754FE" w:rsidRDefault="003754FE" w:rsidP="003754FE">
      <w:pPr>
        <w:pStyle w:val="TextoNormal"/>
      </w:pPr>
      <w:r>
        <w:t>162/000892</w:t>
      </w:r>
    </w:p>
    <w:p w14:paraId="5A101AA2" w14:textId="77777777" w:rsidR="003754FE" w:rsidRDefault="003754FE" w:rsidP="003754FE">
      <w:pPr>
        <w:pStyle w:val="TextoNormal"/>
      </w:pPr>
    </w:p>
    <w:p w14:paraId="10987391" w14:textId="77777777" w:rsidR="003754FE" w:rsidRDefault="003754FE" w:rsidP="003754FE">
      <w:pPr>
        <w:pStyle w:val="TextoNormal"/>
      </w:pPr>
      <w:r>
        <w:t>Proposición no de ley del Grupo Parlamentario Popular en el Congreso, relativa a la supresión del Ministerio de Consumo.</w:t>
      </w:r>
    </w:p>
    <w:p w14:paraId="74AFE8C5" w14:textId="77777777" w:rsidR="003754FE" w:rsidRDefault="003754FE" w:rsidP="003754FE">
      <w:pPr>
        <w:pStyle w:val="TextoNormal"/>
      </w:pPr>
      <w:r>
        <w:t>Se vota en sus términos.</w:t>
      </w:r>
    </w:p>
    <w:p w14:paraId="598CC0AE" w14:textId="77777777" w:rsidR="003754FE" w:rsidRDefault="003754FE" w:rsidP="003754FE">
      <w:pPr>
        <w:pStyle w:val="TextoNormal"/>
      </w:pPr>
    </w:p>
    <w:p w14:paraId="3AA06681" w14:textId="77777777" w:rsidR="003754FE" w:rsidRDefault="003754FE" w:rsidP="003754FE">
      <w:pPr>
        <w:pStyle w:val="TextoNormal"/>
      </w:pPr>
      <w:r>
        <w:t>Voto:</w:t>
      </w:r>
    </w:p>
    <w:p w14:paraId="49C538BE" w14:textId="77777777" w:rsidR="003754FE" w:rsidRDefault="003754FE" w:rsidP="003754FE">
      <w:pPr>
        <w:pStyle w:val="TextoNormal"/>
      </w:pPr>
      <w:r>
        <w:t>Sí.</w:t>
      </w:r>
    </w:p>
    <w:p w14:paraId="6BC3F87A" w14:textId="77777777" w:rsidR="003754FE" w:rsidRDefault="003754FE" w:rsidP="003754FE">
      <w:pPr>
        <w:pStyle w:val="TextoNormal"/>
      </w:pPr>
    </w:p>
    <w:p w14:paraId="6C23F202" w14:textId="77777777" w:rsidR="003754FE" w:rsidRDefault="003754FE" w:rsidP="003754FE">
      <w:pPr>
        <w:pStyle w:val="TextoNormal"/>
      </w:pPr>
      <w:r>
        <w:t>173/000115</w:t>
      </w:r>
    </w:p>
    <w:p w14:paraId="67AEC01A" w14:textId="77777777" w:rsidR="003754FE" w:rsidRDefault="003754FE" w:rsidP="003754FE">
      <w:pPr>
        <w:pStyle w:val="TextoNormal"/>
      </w:pPr>
    </w:p>
    <w:p w14:paraId="5035ADCD" w14:textId="77777777" w:rsidR="003754FE" w:rsidRDefault="003754FE" w:rsidP="003754FE">
      <w:pPr>
        <w:pStyle w:val="TextoNormal"/>
      </w:pPr>
      <w:r>
        <w:t>Moción consecuencia de interpelación urgente del Grupo Parlamentario Vox, sobre las medidas que va a adoptar el Ministerio de Igualdad para garantizar la igualdad de los españoles.</w:t>
      </w:r>
    </w:p>
    <w:p w14:paraId="230E845A" w14:textId="77777777" w:rsidR="003754FE" w:rsidRDefault="003754FE" w:rsidP="003754FE">
      <w:pPr>
        <w:pStyle w:val="TextoNormal"/>
      </w:pPr>
      <w:r>
        <w:t>Se vota en sus términos.</w:t>
      </w:r>
    </w:p>
    <w:p w14:paraId="1417150D" w14:textId="77777777" w:rsidR="003754FE" w:rsidRDefault="003754FE" w:rsidP="003754FE">
      <w:pPr>
        <w:pStyle w:val="TextoNormal"/>
      </w:pPr>
    </w:p>
    <w:p w14:paraId="1926B022" w14:textId="77777777" w:rsidR="003754FE" w:rsidRDefault="003754FE" w:rsidP="003754FE">
      <w:pPr>
        <w:pStyle w:val="TextoNormal"/>
      </w:pPr>
      <w:r>
        <w:t>Voto:</w:t>
      </w:r>
    </w:p>
    <w:p w14:paraId="32FBD25D" w14:textId="77777777" w:rsidR="003754FE" w:rsidRDefault="003754FE" w:rsidP="003754FE">
      <w:pPr>
        <w:pStyle w:val="TextoNormal"/>
      </w:pPr>
      <w:r>
        <w:t>No.</w:t>
      </w:r>
    </w:p>
    <w:p w14:paraId="0AAED2E0" w14:textId="77777777" w:rsidR="003754FE" w:rsidRDefault="003754FE" w:rsidP="003754FE">
      <w:pPr>
        <w:pStyle w:val="TextoNormal"/>
      </w:pPr>
    </w:p>
    <w:p w14:paraId="793F026E" w14:textId="77777777" w:rsidR="003754FE" w:rsidRDefault="003754FE" w:rsidP="003754FE">
      <w:pPr>
        <w:pStyle w:val="TextoNormal"/>
      </w:pPr>
      <w:r>
        <w:t>173/000116</w:t>
      </w:r>
    </w:p>
    <w:p w14:paraId="08CACA87" w14:textId="77777777" w:rsidR="003754FE" w:rsidRDefault="003754FE" w:rsidP="003754FE">
      <w:pPr>
        <w:pStyle w:val="TextoNormal"/>
      </w:pPr>
    </w:p>
    <w:p w14:paraId="2E1EF77B" w14:textId="77777777" w:rsidR="003754FE" w:rsidRDefault="003754FE" w:rsidP="003754FE">
      <w:pPr>
        <w:pStyle w:val="TextoNormal"/>
      </w:pPr>
      <w:r>
        <w:t>Moción consecuencia de interpelación urgente del Grupo Parlamentario Vox, sobre las medidas que va a adoptar el Gobierno para proteger el sector turístico español.</w:t>
      </w:r>
    </w:p>
    <w:p w14:paraId="2C42EEDD" w14:textId="77777777" w:rsidR="003754FE" w:rsidRDefault="003754FE" w:rsidP="003754FE">
      <w:pPr>
        <w:pStyle w:val="TextoNormal"/>
      </w:pPr>
      <w:r>
        <w:t>Se vota en los términos de la enmienda transaccional presentada por el Grupo Parlamentario Popular en el Congreso y el Grupo Parlamentario Vox.</w:t>
      </w:r>
    </w:p>
    <w:p w14:paraId="0A560D9C" w14:textId="77777777" w:rsidR="003754FE" w:rsidRDefault="003754FE" w:rsidP="003754FE">
      <w:pPr>
        <w:pStyle w:val="TextoNormal"/>
      </w:pPr>
    </w:p>
    <w:p w14:paraId="2BD02B26" w14:textId="77777777" w:rsidR="003754FE" w:rsidRDefault="003754FE" w:rsidP="003754FE">
      <w:pPr>
        <w:pStyle w:val="TextoNormal"/>
      </w:pPr>
      <w:r>
        <w:t>Voto:</w:t>
      </w:r>
    </w:p>
    <w:p w14:paraId="5A5EE883" w14:textId="77777777" w:rsidR="003754FE" w:rsidRDefault="003754FE" w:rsidP="003754FE">
      <w:pPr>
        <w:pStyle w:val="TextoNormal"/>
      </w:pPr>
      <w:r>
        <w:t>Sí.</w:t>
      </w:r>
    </w:p>
    <w:p w14:paraId="67E68E63" w14:textId="77777777" w:rsidR="003754FE" w:rsidRDefault="003754FE" w:rsidP="003754FE">
      <w:pPr>
        <w:pStyle w:val="TextoNormal"/>
      </w:pPr>
    </w:p>
    <w:p w14:paraId="5000DFA0" w14:textId="77777777" w:rsidR="003754FE" w:rsidRDefault="003754FE" w:rsidP="003754FE">
      <w:pPr>
        <w:pStyle w:val="TextoNormal"/>
      </w:pPr>
      <w:r>
        <w:t>173/000117</w:t>
      </w:r>
    </w:p>
    <w:p w14:paraId="44509DC0" w14:textId="77777777" w:rsidR="003754FE" w:rsidRDefault="003754FE" w:rsidP="003754FE">
      <w:pPr>
        <w:pStyle w:val="TextoNormal"/>
      </w:pPr>
    </w:p>
    <w:p w14:paraId="715CE1D4" w14:textId="77777777" w:rsidR="003754FE" w:rsidRDefault="003754FE" w:rsidP="003754FE">
      <w:pPr>
        <w:pStyle w:val="TextoNormal"/>
      </w:pPr>
      <w:r>
        <w:t>Moción consecuencia de interpelación urgente del Grupo Parlamentario Vasco (EAJ-PNV), sobre la inexistencia de corredores humanitarios que permitan salvaguardar los derechos fundamentales de las personas migrantes en tránsito en el interior de las fronteras de la Unión Europea.</w:t>
      </w:r>
    </w:p>
    <w:p w14:paraId="08F64896" w14:textId="77777777" w:rsidR="003754FE" w:rsidRDefault="003754FE" w:rsidP="003754FE">
      <w:pPr>
        <w:pStyle w:val="TextoNormal"/>
      </w:pPr>
      <w:r>
        <w:t>Se vota en los términos de la enmienda transaccional presentada por el Grupo Parlamentario Socialista, el Grupo Parlamentario Confederal de Unidas Podemos­ En Comú Podem-Galicia en Común y el Grupo Parlamentario Vasco (EAJ-PNV).</w:t>
      </w:r>
    </w:p>
    <w:p w14:paraId="421734D2" w14:textId="77777777" w:rsidR="003754FE" w:rsidRDefault="003754FE" w:rsidP="003754FE">
      <w:pPr>
        <w:pStyle w:val="TextoNormal"/>
      </w:pPr>
    </w:p>
    <w:p w14:paraId="5FC563BA" w14:textId="77777777" w:rsidR="003754FE" w:rsidRDefault="003754FE" w:rsidP="003754FE">
      <w:pPr>
        <w:pStyle w:val="TextoNormal"/>
      </w:pPr>
      <w:r>
        <w:t>Voto:</w:t>
      </w:r>
    </w:p>
    <w:p w14:paraId="51800F00" w14:textId="77777777" w:rsidR="003754FE" w:rsidRDefault="003754FE" w:rsidP="003754FE">
      <w:pPr>
        <w:pStyle w:val="TextoNormal"/>
      </w:pPr>
      <w:r>
        <w:t>No.</w:t>
      </w:r>
    </w:p>
    <w:p w14:paraId="11421F0E" w14:textId="77777777" w:rsidR="003754FE" w:rsidRDefault="003754FE" w:rsidP="003754FE">
      <w:pPr>
        <w:pStyle w:val="TextoNormal"/>
      </w:pPr>
    </w:p>
    <w:p w14:paraId="22E7FE58" w14:textId="77777777" w:rsidR="003754FE" w:rsidRDefault="003754FE" w:rsidP="003754FE">
      <w:pPr>
        <w:pStyle w:val="TextoNormal"/>
      </w:pPr>
      <w:r>
        <w:t>173/000118</w:t>
      </w:r>
    </w:p>
    <w:p w14:paraId="00D49330" w14:textId="77777777" w:rsidR="003754FE" w:rsidRDefault="003754FE" w:rsidP="003754FE">
      <w:pPr>
        <w:pStyle w:val="TextoNormal"/>
      </w:pPr>
    </w:p>
    <w:p w14:paraId="39FA38AA" w14:textId="77777777" w:rsidR="003754FE" w:rsidRDefault="003754FE" w:rsidP="003754FE">
      <w:pPr>
        <w:pStyle w:val="TextoNormal"/>
      </w:pPr>
      <w:r>
        <w:t>Moción consecuencia de interpelación urgente del Grupo Parlamentario Euskal Herria Bildu, relativa a las medidas y promesas del Gobierno para hacer frente al desorbitado precio de la luz.</w:t>
      </w:r>
    </w:p>
    <w:p w14:paraId="0A503727" w14:textId="77777777" w:rsidR="003754FE" w:rsidRDefault="003754FE" w:rsidP="003754FE">
      <w:pPr>
        <w:pStyle w:val="TextoNormal"/>
      </w:pPr>
      <w:r>
        <w:lastRenderedPageBreak/>
        <w:t>Se vota en los términos de la enmienda transaccional presentada por el Grupo Parlamentario Socialista, el Grupo Parlamentario Confederal de Unidas Podemos­ En Comú Podem-Galicia en Común y el Grupo Parlamentario Euskal Herria Bildu.</w:t>
      </w:r>
    </w:p>
    <w:p w14:paraId="0CC0F21E" w14:textId="77777777" w:rsidR="003754FE" w:rsidRDefault="003754FE" w:rsidP="003754FE">
      <w:pPr>
        <w:pStyle w:val="TextoNormal"/>
      </w:pPr>
    </w:p>
    <w:p w14:paraId="0089F096" w14:textId="77777777" w:rsidR="003754FE" w:rsidRDefault="003754FE" w:rsidP="003754FE">
      <w:pPr>
        <w:pStyle w:val="TextoNormal"/>
      </w:pPr>
      <w:r>
        <w:t>Voto:</w:t>
      </w:r>
    </w:p>
    <w:p w14:paraId="03EAF056" w14:textId="77777777" w:rsidR="003754FE" w:rsidRDefault="003754FE" w:rsidP="003754FE">
      <w:pPr>
        <w:pStyle w:val="TextoNormal"/>
      </w:pPr>
      <w:r>
        <w:t>No.</w:t>
      </w:r>
    </w:p>
    <w:p w14:paraId="582D1DB1" w14:textId="77777777" w:rsidR="003754FE" w:rsidRDefault="003754FE" w:rsidP="003754FE">
      <w:pPr>
        <w:pStyle w:val="TextoNormal"/>
      </w:pPr>
    </w:p>
    <w:p w14:paraId="01714DD8" w14:textId="77777777" w:rsidR="003754FE" w:rsidRDefault="003754FE" w:rsidP="003754FE">
      <w:pPr>
        <w:pStyle w:val="TextoNormal"/>
      </w:pPr>
      <w:r>
        <w:t>173/000119</w:t>
      </w:r>
    </w:p>
    <w:p w14:paraId="650D2149" w14:textId="77777777" w:rsidR="003754FE" w:rsidRDefault="003754FE" w:rsidP="003754FE">
      <w:pPr>
        <w:pStyle w:val="TextoNormal"/>
      </w:pPr>
    </w:p>
    <w:p w14:paraId="0D8BA0A6" w14:textId="77777777" w:rsidR="003754FE" w:rsidRDefault="003754FE" w:rsidP="003754FE">
      <w:pPr>
        <w:pStyle w:val="TextoNormal"/>
      </w:pPr>
      <w:r>
        <w:t>Moción consecuencia de interpelación urgente del Grupo Parlamentario Popular en el Congreso, sobre la observancia constitucional del programa legislativo del Gobierno.</w:t>
      </w:r>
    </w:p>
    <w:p w14:paraId="25E4D47E" w14:textId="77777777" w:rsidR="003754FE" w:rsidRDefault="003754FE" w:rsidP="003754FE">
      <w:pPr>
        <w:pStyle w:val="TextoNormal"/>
      </w:pPr>
    </w:p>
    <w:p w14:paraId="030CDBBA" w14:textId="77777777" w:rsidR="003754FE" w:rsidRDefault="003754FE" w:rsidP="003754FE">
      <w:pPr>
        <w:pStyle w:val="TextoNormal"/>
      </w:pPr>
      <w:r>
        <w:t>Punto 1.</w:t>
      </w:r>
    </w:p>
    <w:p w14:paraId="47538D4D" w14:textId="77777777" w:rsidR="003754FE" w:rsidRDefault="003754FE" w:rsidP="003754FE">
      <w:pPr>
        <w:pStyle w:val="TextoNormal"/>
      </w:pPr>
    </w:p>
    <w:p w14:paraId="7289BEF5" w14:textId="77777777" w:rsidR="003754FE" w:rsidRDefault="003754FE" w:rsidP="003754FE">
      <w:pPr>
        <w:pStyle w:val="TextoNormal"/>
      </w:pPr>
      <w:r>
        <w:t>Voto:</w:t>
      </w:r>
    </w:p>
    <w:p w14:paraId="3EF3E96A" w14:textId="77777777" w:rsidR="003754FE" w:rsidRDefault="003754FE" w:rsidP="003754FE">
      <w:pPr>
        <w:pStyle w:val="TextoNormal"/>
      </w:pPr>
      <w:r>
        <w:t>No.</w:t>
      </w:r>
    </w:p>
    <w:p w14:paraId="10190396" w14:textId="77777777" w:rsidR="003754FE" w:rsidRDefault="003754FE" w:rsidP="003754FE">
      <w:pPr>
        <w:pStyle w:val="TextoNormal"/>
      </w:pPr>
    </w:p>
    <w:p w14:paraId="06651C93" w14:textId="77777777" w:rsidR="003754FE" w:rsidRDefault="003754FE" w:rsidP="003754FE">
      <w:pPr>
        <w:pStyle w:val="TextoNormal"/>
      </w:pPr>
      <w:r>
        <w:t>173/000119</w:t>
      </w:r>
    </w:p>
    <w:p w14:paraId="2B4C505F" w14:textId="77777777" w:rsidR="003754FE" w:rsidRDefault="003754FE" w:rsidP="003754FE">
      <w:pPr>
        <w:pStyle w:val="TextoNormal"/>
      </w:pPr>
    </w:p>
    <w:p w14:paraId="7D97EEBA" w14:textId="77777777" w:rsidR="003754FE" w:rsidRDefault="003754FE" w:rsidP="003754FE">
      <w:pPr>
        <w:pStyle w:val="TextoNormal"/>
      </w:pPr>
      <w:r>
        <w:t>Punto 2.</w:t>
      </w:r>
    </w:p>
    <w:p w14:paraId="6481CEA3" w14:textId="77777777" w:rsidR="003754FE" w:rsidRDefault="003754FE" w:rsidP="003754FE">
      <w:pPr>
        <w:pStyle w:val="TextoNormal"/>
      </w:pPr>
    </w:p>
    <w:p w14:paraId="7606DB80" w14:textId="77777777" w:rsidR="003754FE" w:rsidRDefault="003754FE" w:rsidP="003754FE">
      <w:pPr>
        <w:pStyle w:val="TextoNormal"/>
      </w:pPr>
      <w:r>
        <w:t>Voto:</w:t>
      </w:r>
    </w:p>
    <w:p w14:paraId="587C0513" w14:textId="77777777" w:rsidR="003754FE" w:rsidRDefault="003754FE" w:rsidP="003754FE">
      <w:pPr>
        <w:pStyle w:val="TextoNormal"/>
      </w:pPr>
      <w:r>
        <w:t>Sí.</w:t>
      </w:r>
    </w:p>
    <w:p w14:paraId="0C61E1A8" w14:textId="77777777" w:rsidR="003754FE" w:rsidRDefault="003754FE" w:rsidP="003754FE">
      <w:pPr>
        <w:pStyle w:val="TextoNormal"/>
      </w:pPr>
    </w:p>
    <w:p w14:paraId="73D1221C" w14:textId="77777777" w:rsidR="003754FE" w:rsidRDefault="003754FE" w:rsidP="003754FE">
      <w:pPr>
        <w:pStyle w:val="TextoNormal"/>
      </w:pPr>
      <w:r>
        <w:t>173/000119</w:t>
      </w:r>
    </w:p>
    <w:p w14:paraId="2E81CE50" w14:textId="77777777" w:rsidR="003754FE" w:rsidRDefault="003754FE" w:rsidP="003754FE">
      <w:pPr>
        <w:pStyle w:val="TextoNormal"/>
      </w:pPr>
    </w:p>
    <w:p w14:paraId="2DB20ED3" w14:textId="77777777" w:rsidR="003754FE" w:rsidRDefault="003754FE" w:rsidP="003754FE">
      <w:pPr>
        <w:pStyle w:val="TextoNormal"/>
      </w:pPr>
      <w:r>
        <w:t>Punto 3.</w:t>
      </w:r>
    </w:p>
    <w:p w14:paraId="595A3F0B" w14:textId="77777777" w:rsidR="003754FE" w:rsidRDefault="003754FE" w:rsidP="003754FE">
      <w:pPr>
        <w:pStyle w:val="TextoNormal"/>
      </w:pPr>
    </w:p>
    <w:p w14:paraId="5F3F2233" w14:textId="77777777" w:rsidR="003754FE" w:rsidRDefault="003754FE" w:rsidP="003754FE">
      <w:pPr>
        <w:pStyle w:val="TextoNormal"/>
      </w:pPr>
      <w:r>
        <w:t>Voto:</w:t>
      </w:r>
    </w:p>
    <w:p w14:paraId="3EB8A226" w14:textId="77777777" w:rsidR="003754FE" w:rsidRDefault="003754FE" w:rsidP="003754FE">
      <w:pPr>
        <w:pStyle w:val="TextoNormal"/>
      </w:pPr>
      <w:r>
        <w:t>Sí.</w:t>
      </w:r>
    </w:p>
    <w:p w14:paraId="1DA241CA" w14:textId="77777777" w:rsidR="003754FE" w:rsidRDefault="003754FE" w:rsidP="003754FE">
      <w:pPr>
        <w:pStyle w:val="TextoNormal"/>
      </w:pPr>
    </w:p>
    <w:p w14:paraId="699F97B6" w14:textId="77777777" w:rsidR="003754FE" w:rsidRDefault="003754FE" w:rsidP="003754FE">
      <w:pPr>
        <w:pStyle w:val="TextoNormal"/>
      </w:pPr>
      <w:r>
        <w:t>173/000119</w:t>
      </w:r>
    </w:p>
    <w:p w14:paraId="58E7C680" w14:textId="77777777" w:rsidR="003754FE" w:rsidRDefault="003754FE" w:rsidP="003754FE">
      <w:pPr>
        <w:pStyle w:val="TextoNormal"/>
      </w:pPr>
    </w:p>
    <w:p w14:paraId="5D686A04" w14:textId="77777777" w:rsidR="003754FE" w:rsidRDefault="003754FE" w:rsidP="003754FE">
      <w:pPr>
        <w:pStyle w:val="TextoNormal"/>
      </w:pPr>
      <w:r>
        <w:t>Punto 4.</w:t>
      </w:r>
    </w:p>
    <w:p w14:paraId="7315FB39" w14:textId="77777777" w:rsidR="003754FE" w:rsidRDefault="003754FE" w:rsidP="003754FE">
      <w:pPr>
        <w:pStyle w:val="TextoNormal"/>
      </w:pPr>
    </w:p>
    <w:p w14:paraId="7EEABE94" w14:textId="77777777" w:rsidR="003754FE" w:rsidRDefault="003754FE" w:rsidP="003754FE">
      <w:pPr>
        <w:pStyle w:val="TextoNormal"/>
      </w:pPr>
      <w:r>
        <w:t>Voto:</w:t>
      </w:r>
    </w:p>
    <w:p w14:paraId="66F75A5B" w14:textId="77777777" w:rsidR="003754FE" w:rsidRDefault="003754FE" w:rsidP="003754FE">
      <w:pPr>
        <w:pStyle w:val="TextoNormal"/>
      </w:pPr>
      <w:r>
        <w:t>Sí.</w:t>
      </w:r>
    </w:p>
    <w:p w14:paraId="03A65CA1" w14:textId="77777777" w:rsidR="003754FE" w:rsidRDefault="003754FE" w:rsidP="003754FE">
      <w:pPr>
        <w:pStyle w:val="TextoNormal"/>
      </w:pPr>
    </w:p>
    <w:p w14:paraId="40832E84" w14:textId="77777777" w:rsidR="003754FE" w:rsidRDefault="003754FE" w:rsidP="003754FE">
      <w:pPr>
        <w:pStyle w:val="TextoNormal"/>
      </w:pPr>
      <w:r>
        <w:t>Punto 5.</w:t>
      </w:r>
    </w:p>
    <w:p w14:paraId="21EEE0C1" w14:textId="77777777" w:rsidR="003754FE" w:rsidRDefault="003754FE" w:rsidP="003754FE">
      <w:pPr>
        <w:pStyle w:val="TextoNormal"/>
      </w:pPr>
    </w:p>
    <w:p w14:paraId="48AFDFAC" w14:textId="77777777" w:rsidR="003754FE" w:rsidRDefault="003754FE" w:rsidP="003754FE">
      <w:pPr>
        <w:pStyle w:val="TextoNormal"/>
      </w:pPr>
      <w:r>
        <w:t>Voto:</w:t>
      </w:r>
    </w:p>
    <w:p w14:paraId="7DA623D0" w14:textId="77777777" w:rsidR="003754FE" w:rsidRDefault="003754FE" w:rsidP="003754FE">
      <w:pPr>
        <w:pStyle w:val="TextoNormal"/>
      </w:pPr>
      <w:r>
        <w:t>Sí.</w:t>
      </w:r>
    </w:p>
    <w:p w14:paraId="758FA2FC" w14:textId="77777777" w:rsidR="003754FE" w:rsidRDefault="003754FE" w:rsidP="003754FE">
      <w:pPr>
        <w:pStyle w:val="TextoNormal"/>
      </w:pPr>
    </w:p>
    <w:p w14:paraId="38ADE5F3" w14:textId="77777777" w:rsidR="003754FE" w:rsidRDefault="003754FE" w:rsidP="003754FE">
      <w:pPr>
        <w:pStyle w:val="TextoNormal"/>
      </w:pPr>
      <w:r>
        <w:t>130/000072</w:t>
      </w:r>
    </w:p>
    <w:p w14:paraId="06309989" w14:textId="77777777" w:rsidR="003754FE" w:rsidRDefault="003754FE" w:rsidP="003754FE">
      <w:pPr>
        <w:pStyle w:val="TextoNormal"/>
      </w:pPr>
    </w:p>
    <w:p w14:paraId="5F2C257E" w14:textId="77777777" w:rsidR="003754FE" w:rsidRDefault="003754FE" w:rsidP="003754FE">
      <w:pPr>
        <w:pStyle w:val="TextoNormal"/>
      </w:pPr>
      <w:r>
        <w:t>Real Decreto-ley 32/2021, de 28 de diciembre, de medidas urgentes para la reforma laboral, la garantía de la estabilidad en el empleo y la transformación del mercado de trabajo.</w:t>
      </w:r>
    </w:p>
    <w:p w14:paraId="1855E9FA" w14:textId="77777777" w:rsidR="003754FE" w:rsidRDefault="003754FE" w:rsidP="003754FE">
      <w:pPr>
        <w:pStyle w:val="TextoNormal"/>
      </w:pPr>
    </w:p>
    <w:p w14:paraId="4E70C37F" w14:textId="77777777" w:rsidR="003754FE" w:rsidRDefault="003754FE" w:rsidP="003754FE">
      <w:pPr>
        <w:pStyle w:val="TextoNormal"/>
      </w:pPr>
      <w:r>
        <w:lastRenderedPageBreak/>
        <w:t>Voto:</w:t>
      </w:r>
    </w:p>
    <w:p w14:paraId="04C13F97" w14:textId="77777777" w:rsidR="003754FE" w:rsidRDefault="003754FE" w:rsidP="003754FE">
      <w:pPr>
        <w:pStyle w:val="TextoNormal"/>
      </w:pPr>
      <w:r>
        <w:t>Sí.</w:t>
      </w:r>
    </w:p>
    <w:p w14:paraId="1F0059E8" w14:textId="77777777" w:rsidR="003754FE" w:rsidRDefault="003754FE" w:rsidP="003754FE">
      <w:pPr>
        <w:pStyle w:val="TextoNormal"/>
      </w:pPr>
    </w:p>
    <w:p w14:paraId="06FEA0CD" w14:textId="77777777" w:rsidR="003754FE" w:rsidRDefault="003754FE" w:rsidP="003754FE">
      <w:pPr>
        <w:pStyle w:val="TextoNormal"/>
      </w:pPr>
      <w:r>
        <w:t>130/000072</w:t>
      </w:r>
    </w:p>
    <w:p w14:paraId="432D1A3F" w14:textId="77777777" w:rsidR="003754FE" w:rsidRDefault="003754FE" w:rsidP="003754FE">
      <w:pPr>
        <w:pStyle w:val="TextoNormal"/>
      </w:pPr>
    </w:p>
    <w:p w14:paraId="7A44BDC9" w14:textId="77777777" w:rsidR="003754FE" w:rsidRDefault="003754FE" w:rsidP="003754FE">
      <w:pPr>
        <w:pStyle w:val="TextoNormal"/>
      </w:pPr>
      <w:r>
        <w:t>Tramitación como proyecto de ley por el procedimiento de urgencia del Real Decreto-ley 32/2021, de 28 de diciembre, de medidas urgentes para la reforma laboral, la garantía de la estabilidad en el empleo y la transformación del mercado de trabajo.</w:t>
      </w:r>
    </w:p>
    <w:p w14:paraId="20AA7D9A" w14:textId="77777777" w:rsidR="003754FE" w:rsidRDefault="003754FE" w:rsidP="003754FE">
      <w:pPr>
        <w:pStyle w:val="TextoNormal"/>
      </w:pPr>
    </w:p>
    <w:p w14:paraId="0D6C952D" w14:textId="77777777" w:rsidR="003754FE" w:rsidRDefault="003754FE" w:rsidP="003754FE">
      <w:pPr>
        <w:pStyle w:val="TextoNormal"/>
      </w:pPr>
      <w:r>
        <w:t>Voto:</w:t>
      </w:r>
    </w:p>
    <w:p w14:paraId="36553705" w14:textId="77777777" w:rsidR="003754FE" w:rsidRDefault="003754FE" w:rsidP="003754FE">
      <w:pPr>
        <w:pStyle w:val="TextoNormal"/>
      </w:pPr>
      <w:r>
        <w:t>No.</w:t>
      </w:r>
    </w:p>
    <w:p w14:paraId="0D5E7914" w14:textId="77777777" w:rsidR="003754FE" w:rsidRDefault="003754FE" w:rsidP="003754FE">
      <w:pPr>
        <w:pStyle w:val="TextoNormal"/>
      </w:pPr>
    </w:p>
    <w:p w14:paraId="4D180FAC" w14:textId="77777777" w:rsidR="003754FE" w:rsidRDefault="003754FE" w:rsidP="003754FE">
      <w:pPr>
        <w:pStyle w:val="TextoNormal"/>
      </w:pPr>
      <w:r>
        <w:t>130/000073</w:t>
      </w:r>
    </w:p>
    <w:p w14:paraId="322E0DED" w14:textId="77777777" w:rsidR="003754FE" w:rsidRDefault="003754FE" w:rsidP="003754FE">
      <w:pPr>
        <w:pStyle w:val="TextoNormal"/>
      </w:pPr>
    </w:p>
    <w:p w14:paraId="1AE52963" w14:textId="77777777" w:rsidR="003754FE" w:rsidRDefault="003754FE" w:rsidP="003754FE">
      <w:pPr>
        <w:pStyle w:val="TextoNormal"/>
      </w:pPr>
      <w:r>
        <w:t>Real Decreto-ley 1/2022, de 18 de enero, por el que se modifican la Ley 9/2012, de 14 de noviembre, de reestructuración y resolución de entidades de crédito; la Ley 11/2015, de 18 de junio , de recuperación y resolución de entidades de crédito y empresas de servicios de inversión; y el Real Decreto 1559/2012, de 15 de noviembre, por el que se establece el régimen jurídico de las sociedades de gestión de activos, en relación con el régimen jurídico de la Sociedad de Gestión de Activos procedentes de la Reestructuración Bancaria.</w:t>
      </w:r>
    </w:p>
    <w:p w14:paraId="70A09FF5" w14:textId="77777777" w:rsidR="003754FE" w:rsidRDefault="003754FE" w:rsidP="003754FE">
      <w:pPr>
        <w:pStyle w:val="TextoNormal"/>
      </w:pPr>
    </w:p>
    <w:p w14:paraId="0246CF93" w14:textId="77777777" w:rsidR="003754FE" w:rsidRDefault="003754FE" w:rsidP="003754FE">
      <w:pPr>
        <w:pStyle w:val="TextoNormal"/>
      </w:pPr>
      <w:r>
        <w:t>Voto:</w:t>
      </w:r>
    </w:p>
    <w:p w14:paraId="1DDC990C" w14:textId="77777777" w:rsidR="003754FE" w:rsidRDefault="003754FE" w:rsidP="003754FE">
      <w:pPr>
        <w:pStyle w:val="TextoNormal"/>
      </w:pPr>
      <w:r>
        <w:t>Sí.</w:t>
      </w:r>
    </w:p>
    <w:p w14:paraId="0EAD4DD0" w14:textId="77777777" w:rsidR="003754FE" w:rsidRDefault="003754FE" w:rsidP="003754FE">
      <w:pPr>
        <w:pStyle w:val="TextoNormal"/>
      </w:pPr>
    </w:p>
    <w:p w14:paraId="6664DBED" w14:textId="77777777" w:rsidR="003754FE" w:rsidRDefault="003754FE" w:rsidP="003754FE">
      <w:pPr>
        <w:pStyle w:val="TextoNormal"/>
      </w:pPr>
      <w:r>
        <w:t>130/000073</w:t>
      </w:r>
    </w:p>
    <w:p w14:paraId="6C102698" w14:textId="77777777" w:rsidR="003754FE" w:rsidRDefault="003754FE" w:rsidP="003754FE">
      <w:pPr>
        <w:pStyle w:val="TextoNormal"/>
      </w:pPr>
    </w:p>
    <w:p w14:paraId="37AE2008" w14:textId="77777777" w:rsidR="003754FE" w:rsidRDefault="003754FE" w:rsidP="003754FE">
      <w:pPr>
        <w:pStyle w:val="TextoNormal"/>
      </w:pPr>
      <w:r>
        <w:t>Tramitación como proyecto de ley por el procedimiento de urgencia del Real Decreto-ley 1/2022, de 18 de enero, por el que se modifican la Ley 9/2012, de 14 de noviembre, de reestructuración y resolución de entidades de crédito; la Ley 11/2015, de 18 de junio, de recuperación y resolución de entidades de crédito y empresas de servicios de inversión; y el Real Decreto 1559/2012, de 15 de noviembre, por el que se establece el régimen jurídico de las sociedades de gestión de activos, en relación con el régimen jurídico de la Sociedad de Gestión de Activos procedentes de la Reestructuración Bancaria.</w:t>
      </w:r>
    </w:p>
    <w:p w14:paraId="26BF96F6" w14:textId="77777777" w:rsidR="003754FE" w:rsidRDefault="003754FE" w:rsidP="003754FE">
      <w:pPr>
        <w:pStyle w:val="TextoNormal"/>
      </w:pPr>
    </w:p>
    <w:p w14:paraId="244851A3" w14:textId="77777777" w:rsidR="003754FE" w:rsidRDefault="003754FE" w:rsidP="003754FE">
      <w:pPr>
        <w:pStyle w:val="TextoNormal"/>
      </w:pPr>
      <w:r>
        <w:t>Voto:</w:t>
      </w:r>
    </w:p>
    <w:p w14:paraId="4C207824" w14:textId="77777777" w:rsidR="003754FE" w:rsidRDefault="003754FE" w:rsidP="003754FE">
      <w:pPr>
        <w:pStyle w:val="TextoNormal"/>
      </w:pPr>
      <w:r>
        <w:t>Sí.</w:t>
      </w:r>
    </w:p>
    <w:p w14:paraId="6E316EFC" w14:textId="77777777" w:rsidR="003754FE" w:rsidRDefault="003754FE" w:rsidP="003754FE">
      <w:pPr>
        <w:pStyle w:val="TextoNormal"/>
      </w:pPr>
    </w:p>
    <w:p w14:paraId="1A9D4BFB" w14:textId="77777777" w:rsidR="003754FE" w:rsidRDefault="003754FE" w:rsidP="003754FE">
      <w:pPr>
        <w:pStyle w:val="TextoNormal"/>
      </w:pPr>
      <w:r>
        <w:t>122/000143</w:t>
      </w:r>
    </w:p>
    <w:p w14:paraId="737066EB" w14:textId="77777777" w:rsidR="003754FE" w:rsidRDefault="003754FE" w:rsidP="003754FE">
      <w:pPr>
        <w:pStyle w:val="TextoNormal"/>
      </w:pPr>
    </w:p>
    <w:p w14:paraId="4BF126C2" w14:textId="77777777" w:rsidR="003754FE" w:rsidRDefault="003754FE" w:rsidP="003754FE">
      <w:pPr>
        <w:pStyle w:val="TextoNormal"/>
      </w:pPr>
      <w:r>
        <w:t>Proposición de Ley Orgánica por la que se modifica la Ley Orgánica 10/1995, de 23 de noviembre, del Código penal, para penalizar el acoso a las mujeres que acuden a clínicas para la interrupción voluntaria del embarazo (antes denominada Proposición de Ley Orgánica por la que se modifica la Ley Orgánica 10/1995, de 23 de noviembre, del Código penal, para penalizar el acoso en las mujeres que acuden a clínicas para la interrupción voluntaria del embarazo).</w:t>
      </w:r>
    </w:p>
    <w:p w14:paraId="7A8EA390" w14:textId="77777777" w:rsidR="003754FE" w:rsidRDefault="003754FE" w:rsidP="003754FE">
      <w:pPr>
        <w:pStyle w:val="TextoNormal"/>
      </w:pPr>
      <w:r>
        <w:t>- Votación del dictamen.</w:t>
      </w:r>
    </w:p>
    <w:p w14:paraId="3F30EAF0" w14:textId="77777777" w:rsidR="003754FE" w:rsidRDefault="003754FE" w:rsidP="003754FE">
      <w:pPr>
        <w:pStyle w:val="TextoNormal"/>
      </w:pPr>
    </w:p>
    <w:p w14:paraId="0A27AEA9" w14:textId="77777777" w:rsidR="003754FE" w:rsidRDefault="003754FE" w:rsidP="003754FE">
      <w:pPr>
        <w:pStyle w:val="TextoNormal"/>
      </w:pPr>
      <w:r>
        <w:t>Voto:</w:t>
      </w:r>
    </w:p>
    <w:p w14:paraId="3285F3F0" w14:textId="77777777" w:rsidR="003754FE" w:rsidRDefault="003754FE" w:rsidP="003754FE">
      <w:pPr>
        <w:pStyle w:val="TextoNormal"/>
      </w:pPr>
      <w:r>
        <w:lastRenderedPageBreak/>
        <w:t>Sí.</w:t>
      </w:r>
    </w:p>
    <w:p w14:paraId="138E6251" w14:textId="77777777" w:rsidR="003754FE" w:rsidRDefault="003754FE" w:rsidP="003754FE">
      <w:pPr>
        <w:pStyle w:val="TextoNormal"/>
      </w:pPr>
    </w:p>
    <w:p w14:paraId="3DAD5698" w14:textId="77777777" w:rsidR="003754FE" w:rsidRDefault="003754FE" w:rsidP="003754FE">
      <w:pPr>
        <w:pStyle w:val="TextoNormal"/>
      </w:pPr>
      <w:r>
        <w:t>122/000143</w:t>
      </w:r>
    </w:p>
    <w:p w14:paraId="501E3863" w14:textId="77777777" w:rsidR="003754FE" w:rsidRDefault="003754FE" w:rsidP="003754FE">
      <w:pPr>
        <w:pStyle w:val="TextoNormal"/>
      </w:pPr>
    </w:p>
    <w:p w14:paraId="236FD9FB" w14:textId="77777777" w:rsidR="003754FE" w:rsidRDefault="003754FE" w:rsidP="003754FE">
      <w:pPr>
        <w:pStyle w:val="TextoNormal"/>
      </w:pPr>
      <w:r>
        <w:t>Votación de conjunto de la Proposición de Ley Orgánica por la que se modifica la Ley Orgánica 10/1995, de 23 de noviembre, del Código penal, para penalizar el acoso a las mujeres que acuden a clínicas para la interrupción voluntaria del embarazo (antes denominada Proposición de Ley Orgánica por la que se modifica la Ley Orgánica 10/1995, de 23 de noviembre, del Código penal, para penalizar el acoso en las mujeres que acuden a clínicas para la interrupción voluntaria del embarazo), por tener la misma carácter orgánico.</w:t>
      </w:r>
    </w:p>
    <w:p w14:paraId="449DD02D" w14:textId="77777777" w:rsidR="003754FE" w:rsidRDefault="003754FE" w:rsidP="003754FE">
      <w:pPr>
        <w:pStyle w:val="TextoNormal"/>
      </w:pPr>
    </w:p>
    <w:p w14:paraId="696ECB4F" w14:textId="77777777" w:rsidR="003754FE" w:rsidRDefault="003754FE" w:rsidP="003754FE">
      <w:pPr>
        <w:pStyle w:val="TextoNormal"/>
      </w:pPr>
      <w:r>
        <w:t>Voto:</w:t>
      </w:r>
    </w:p>
    <w:p w14:paraId="2A5461EC" w14:textId="77777777" w:rsidR="003754FE" w:rsidRDefault="003754FE" w:rsidP="003754FE">
      <w:pPr>
        <w:pStyle w:val="TextoNormal"/>
      </w:pPr>
      <w:r>
        <w:t>No.</w:t>
      </w:r>
    </w:p>
    <w:p w14:paraId="0721A5F2" w14:textId="77777777" w:rsidR="003754FE" w:rsidRDefault="003754FE" w:rsidP="003754FE">
      <w:pPr>
        <w:pStyle w:val="TextoNormal"/>
      </w:pPr>
    </w:p>
    <w:p w14:paraId="4B697164" w14:textId="77777777" w:rsidR="003754FE" w:rsidRDefault="003754FE" w:rsidP="003754FE">
      <w:pPr>
        <w:pStyle w:val="TextoNormal"/>
      </w:pPr>
      <w:r>
        <w:t>152/000002</w:t>
      </w:r>
    </w:p>
    <w:p w14:paraId="7334C9E0" w14:textId="77777777" w:rsidR="003754FE" w:rsidRDefault="003754FE" w:rsidP="003754FE">
      <w:pPr>
        <w:pStyle w:val="TextoNormal"/>
      </w:pPr>
    </w:p>
    <w:p w14:paraId="3E8F0B91" w14:textId="77777777" w:rsidR="003754FE" w:rsidRDefault="003754FE" w:rsidP="003754FE">
      <w:pPr>
        <w:pStyle w:val="TextoNormal"/>
      </w:pPr>
      <w:r>
        <w:t>Votación del dictamen de la comisión de investigación relativa a la utilización ilegal de efectivos, medios y recursos del Ministerio del Interior, con la finalidad de favorecer intereses políticos del Grupo Parlamentario Popular y de anular pruebas inculpatorias para este partido en casos de corrupción, durante los mandatos de gobierno del Partido Popular.</w:t>
      </w:r>
    </w:p>
    <w:p w14:paraId="07B239A5" w14:textId="77777777" w:rsidR="003754FE" w:rsidRDefault="003754FE" w:rsidP="003754FE">
      <w:pPr>
        <w:pStyle w:val="TextoNormal"/>
      </w:pPr>
    </w:p>
    <w:p w14:paraId="2CFB2821" w14:textId="77777777" w:rsidR="003754FE" w:rsidRDefault="003754FE" w:rsidP="003754FE">
      <w:pPr>
        <w:pStyle w:val="TextoNormal"/>
      </w:pPr>
      <w:r>
        <w:t>Voto:</w:t>
      </w:r>
    </w:p>
    <w:p w14:paraId="28A29328" w14:textId="77777777" w:rsidR="003754FE" w:rsidRDefault="003754FE" w:rsidP="003754FE">
      <w:pPr>
        <w:pStyle w:val="TextoNormal"/>
      </w:pPr>
      <w:r>
        <w:t>No.</w:t>
      </w:r>
    </w:p>
    <w:p w14:paraId="57277D15" w14:textId="77777777" w:rsidR="003754FE" w:rsidRDefault="003754FE" w:rsidP="003754FE">
      <w:pPr>
        <w:pStyle w:val="TextoNormal"/>
      </w:pPr>
    </w:p>
    <w:p w14:paraId="275A9D8B" w14:textId="77777777" w:rsidR="003754FE" w:rsidRDefault="003754FE" w:rsidP="003754FE">
      <w:pPr>
        <w:pStyle w:val="TextoNormal"/>
      </w:pPr>
      <w:r>
        <w:t>154/000007</w:t>
      </w:r>
    </w:p>
    <w:p w14:paraId="646EF8F7" w14:textId="77777777" w:rsidR="003754FE" w:rsidRDefault="003754FE" w:rsidP="003754FE">
      <w:pPr>
        <w:pStyle w:val="TextoNormal"/>
      </w:pPr>
    </w:p>
    <w:p w14:paraId="39ECB214" w14:textId="77777777" w:rsidR="003754FE" w:rsidRDefault="003754FE" w:rsidP="003754FE">
      <w:pPr>
        <w:pStyle w:val="TextoNormal"/>
      </w:pPr>
      <w:r>
        <w:t>Votación de la solicitud de la Comisión de Ciencia, Innovación y Universidades de prórroga de dos meses del plazo para la conclusión de los trabajos de la subcomisión relativa al desarrollo del Pacto por la Ciencia y la Innovación y el estudio y análisis de la modificación de la ley de la ciencia.</w:t>
      </w:r>
    </w:p>
    <w:p w14:paraId="53A644D5" w14:textId="77777777" w:rsidR="003754FE" w:rsidRDefault="003754FE" w:rsidP="003754FE">
      <w:pPr>
        <w:pStyle w:val="TextoNormal"/>
      </w:pPr>
    </w:p>
    <w:p w14:paraId="4947CBA9" w14:textId="77777777" w:rsidR="003754FE" w:rsidRDefault="003754FE" w:rsidP="003754FE">
      <w:pPr>
        <w:pStyle w:val="TextoNormal"/>
      </w:pPr>
      <w:r>
        <w:t>Voto:</w:t>
      </w:r>
    </w:p>
    <w:p w14:paraId="24E4C8AF" w14:textId="77777777" w:rsidR="003754FE" w:rsidRDefault="003754FE" w:rsidP="003754FE">
      <w:pPr>
        <w:pStyle w:val="TextoNormal"/>
      </w:pPr>
      <w:r>
        <w:t>Sí.</w:t>
      </w:r>
    </w:p>
    <w:p w14:paraId="5730FF51" w14:textId="77777777" w:rsidR="003754FE" w:rsidRDefault="003754FE" w:rsidP="003754FE">
      <w:pPr>
        <w:pStyle w:val="TextoNormal"/>
      </w:pPr>
    </w:p>
    <w:p w14:paraId="15172D8C" w14:textId="77777777" w:rsidR="003754FE" w:rsidRDefault="003754FE" w:rsidP="003754FE">
      <w:pPr>
        <w:pStyle w:val="TextoNormal"/>
      </w:pPr>
      <w:r>
        <w:t>121/000079</w:t>
      </w:r>
    </w:p>
    <w:p w14:paraId="36E84525" w14:textId="77777777" w:rsidR="003754FE" w:rsidRDefault="003754FE" w:rsidP="003754FE">
      <w:pPr>
        <w:pStyle w:val="TextoNormal"/>
      </w:pPr>
    </w:p>
    <w:p w14:paraId="3201FF9E" w14:textId="77777777" w:rsidR="003754FE" w:rsidRDefault="003754FE" w:rsidP="003754FE">
      <w:pPr>
        <w:pStyle w:val="TextoNormal"/>
      </w:pPr>
      <w:r>
        <w:t>Votación de la solicitud de avocación por el Pleno de la Cámara de la deliberación y votación final del proyecto de ley de transposición de directivas de la Unión Europea en las materias de bonos garantizados, distribución transfronteriza de organismos de inversión colectiva, datos abiertos y reutilización de la información del sector público, ejercicio de derechos de autor y derechos afines aplicables a determinadas transmisiones en línea y a las retransmisiones de programas de radio y televisión, exenciones temporales a determinadas importaciones y suministros, de personas consumidoras y para la promoción de vehículos de transporte por carretera limpios y energéticamente eficientes (procedente del Real Decreto-ley 24/2021, de 2 de noviembre), presentada por el Grupo Parlamentario Republicano.</w:t>
      </w:r>
    </w:p>
    <w:p w14:paraId="605EC1A9" w14:textId="77777777" w:rsidR="003754FE" w:rsidRDefault="003754FE" w:rsidP="003754FE">
      <w:pPr>
        <w:pStyle w:val="TextoNormal"/>
      </w:pPr>
    </w:p>
    <w:p w14:paraId="4164E762" w14:textId="77777777" w:rsidR="003754FE" w:rsidRDefault="003754FE" w:rsidP="003754FE">
      <w:pPr>
        <w:pStyle w:val="TextoNormal"/>
      </w:pPr>
      <w:r>
        <w:t>Voto:</w:t>
      </w:r>
    </w:p>
    <w:p w14:paraId="37F9FE97" w14:textId="77777777" w:rsidR="003754FE" w:rsidRDefault="003754FE" w:rsidP="003754FE">
      <w:pPr>
        <w:pStyle w:val="TextoNormal"/>
      </w:pPr>
      <w:r>
        <w:t>Sí”.</w:t>
      </w:r>
    </w:p>
    <w:p w14:paraId="3DED2141" w14:textId="77777777" w:rsidR="003754FE" w:rsidRDefault="003754FE" w:rsidP="003754FE">
      <w:pPr>
        <w:pStyle w:val="TextoNormal"/>
      </w:pPr>
    </w:p>
    <w:p w14:paraId="523A810E" w14:textId="77777777" w:rsidR="003754FE" w:rsidRDefault="003754FE" w:rsidP="003754FE">
      <w:pPr>
        <w:pStyle w:val="TextoNormal"/>
      </w:pPr>
      <w:r>
        <w:t>(iv) Por lo que se refiere a la certificación solicitada acerca del momento en que fue instada por el diputado señor Casero Ávila o por el Grupo Parlamentario Popular la autorización de la mesa del Congreso de los Diputados a efectos de que se anulase el voto telemático emitido por el referido diputado, en relación con la convalidación del Real Decreto-ley 32/2021, en la sesión plenaria de 3 de febrero de 2022, se aporta documento en el que el secretario general del Congreso de los Diputados certifica:</w:t>
      </w:r>
    </w:p>
    <w:p w14:paraId="27B688C5" w14:textId="77777777" w:rsidR="003754FE" w:rsidRDefault="003754FE" w:rsidP="003754FE">
      <w:pPr>
        <w:pStyle w:val="TextoNormal"/>
      </w:pPr>
    </w:p>
    <w:p w14:paraId="0C4B6A31" w14:textId="77777777" w:rsidR="003754FE" w:rsidRDefault="003754FE" w:rsidP="003754FE">
      <w:pPr>
        <w:pStyle w:val="TextoNormal"/>
      </w:pPr>
      <w:r>
        <w:t>“Que, en los antecedentes del informe de la Secretaría General en relación con las votaciones correspondientes a la sesión plenaria de 3 de febrero de 2022, donde se relatan los hechos, consta lo siguiente:</w:t>
      </w:r>
    </w:p>
    <w:p w14:paraId="5365E664" w14:textId="77777777" w:rsidR="003754FE" w:rsidRDefault="003754FE" w:rsidP="003754FE">
      <w:pPr>
        <w:pStyle w:val="TextoNormal"/>
      </w:pPr>
    </w:p>
    <w:p w14:paraId="64F78079" w14:textId="77777777" w:rsidR="003754FE" w:rsidRDefault="003754FE" w:rsidP="003754FE">
      <w:pPr>
        <w:pStyle w:val="TextoNormal"/>
      </w:pPr>
      <w:r>
        <w:t>[…]</w:t>
      </w:r>
    </w:p>
    <w:p w14:paraId="120B8A0C" w14:textId="77777777" w:rsidR="003754FE" w:rsidRDefault="003754FE" w:rsidP="003754FE">
      <w:pPr>
        <w:pStyle w:val="TextoNormal"/>
      </w:pPr>
    </w:p>
    <w:p w14:paraId="1E79757B" w14:textId="77777777" w:rsidR="003754FE" w:rsidRDefault="003754FE" w:rsidP="003754FE">
      <w:pPr>
        <w:pStyle w:val="TextoNormal"/>
      </w:pPr>
      <w:r>
        <w:t>3. En los momentos previos a la reanudación de la sesión plenaria, cuando ya se había producido la llamada a votación, diversos miembros de la dirección del Grupo Parlamentario Popular en el Congreso se acercaron a la mesa, manifestando la Presidencia que un voto emitido telemáticamente por el señor Casero Ávila no se correspondía con su voluntad y que, tratándose de un error técnico, y encontrándose el diputado en la Cámara, debía permitírsele votar de manera presencial.</w:t>
      </w:r>
    </w:p>
    <w:p w14:paraId="7AC14FD1" w14:textId="77777777" w:rsidR="003754FE" w:rsidRDefault="003754FE" w:rsidP="003754FE">
      <w:pPr>
        <w:pStyle w:val="TextoNormal"/>
      </w:pPr>
    </w:p>
    <w:p w14:paraId="1A0F821D" w14:textId="77777777" w:rsidR="003754FE" w:rsidRDefault="003754FE" w:rsidP="003754FE">
      <w:pPr>
        <w:pStyle w:val="TextoNormal"/>
      </w:pPr>
      <w:r>
        <w:t>[…]</w:t>
      </w:r>
    </w:p>
    <w:p w14:paraId="6335A455" w14:textId="77777777" w:rsidR="003754FE" w:rsidRDefault="003754FE" w:rsidP="003754FE">
      <w:pPr>
        <w:pStyle w:val="TextoNormal"/>
      </w:pPr>
    </w:p>
    <w:p w14:paraId="1F6CA8C7" w14:textId="1D596A74" w:rsidR="003754FE" w:rsidRDefault="003754FE" w:rsidP="003754FE">
      <w:pPr>
        <w:pStyle w:val="TextoNormal"/>
      </w:pPr>
      <w:r>
        <w:t>6. Al final de las votaciones, el señor Casero accedió al hemiciclo y ocupó su escaño, si bien no votó desde el mismo. El señor Casero no cursó en ningún momento solicitud de revocación de la autorización de voto telemático”.</w:t>
      </w:r>
    </w:p>
    <w:p w14:paraId="148BCD32" w14:textId="77777777" w:rsidR="003754FE" w:rsidRDefault="003754FE" w:rsidP="003754FE">
      <w:pPr>
        <w:pStyle w:val="TextoNormal"/>
      </w:pPr>
    </w:p>
    <w:p w14:paraId="3FF7580C" w14:textId="17F20AD1" w:rsidR="003754FE" w:rsidRDefault="003754FE" w:rsidP="003754FE">
      <w:pPr>
        <w:pStyle w:val="TextoNormal"/>
      </w:pPr>
      <w:r w:rsidRPr="003754FE">
        <w:rPr>
          <w:rStyle w:val="NumeroAFNegritaCaracter"/>
        </w:rPr>
        <w:t>13</w:t>
      </w:r>
      <w:r>
        <w:t>. Mediante diligencia de ordenación de 14 de febrero de 2023 se acordó dar traslado de la documentación recibida del Congreso de los Diputados a las partes personadas en el procedimiento con el fin de que, en el plazo común de diez días, aleguen lo que a su derecho convenga.</w:t>
      </w:r>
    </w:p>
    <w:p w14:paraId="77FEC3AE" w14:textId="77777777" w:rsidR="003754FE" w:rsidRDefault="003754FE" w:rsidP="003754FE">
      <w:pPr>
        <w:pStyle w:val="TextoNormal"/>
      </w:pPr>
    </w:p>
    <w:p w14:paraId="0F2755F2" w14:textId="7318D983" w:rsidR="003754FE" w:rsidRDefault="003754FE" w:rsidP="003754FE">
      <w:pPr>
        <w:pStyle w:val="TextoNormal"/>
      </w:pPr>
      <w:r w:rsidRPr="003754FE">
        <w:rPr>
          <w:rStyle w:val="NumeroAFNegritaCaracter"/>
        </w:rPr>
        <w:t>14</w:t>
      </w:r>
      <w:r>
        <w:t>. Los recurrentes, mediante escrito registrado en el este tribunal el 28 de febrero de 2023, alegaron que, debido a que la documentación confirma los hechos y fundamentos presentados en el escrito de demanda, no procede realizar alegaciones adicionales.</w:t>
      </w:r>
    </w:p>
    <w:p w14:paraId="68D47BD2" w14:textId="77777777" w:rsidR="003754FE" w:rsidRDefault="003754FE" w:rsidP="003754FE">
      <w:pPr>
        <w:pStyle w:val="TextoNormal"/>
      </w:pPr>
    </w:p>
    <w:p w14:paraId="06E03CC5" w14:textId="3A40DC0F" w:rsidR="003754FE" w:rsidRDefault="003754FE" w:rsidP="003754FE">
      <w:pPr>
        <w:pStyle w:val="TextoNormal"/>
      </w:pPr>
      <w:r w:rsidRPr="003754FE">
        <w:rPr>
          <w:rStyle w:val="NumeroAFNegritaCaracter"/>
        </w:rPr>
        <w:t>15</w:t>
      </w:r>
      <w:r>
        <w:t xml:space="preserve">. La representación del Congreso de los Diputados, mediante escrito registrado en este tribunal el 1 de marzo de 2023, formuló alegaciones complementarias a las ya expuestas en el escrito de demanda referidas a los apartados de la providencia de 24 de enero de 2023: (i) Además del art. 82.2 RCD, la resolución de la mesa del Congreso de 21 de mayo de 2012 y los acuerdos de la mesa de 26 de octubre de 2021 y 1 de febrero de 2022 constituían la normativa vigente el 3 de febrero de 2022, permitiendo este último acuerdo que todos los diputados autorizados a votar de forma telemática lo hicieran respecto de todos los asuntos incluidos en el orden del día. El método de verificación de la emisión personal del voto se lleva a cabo a través de la intranet de la Cámara, con la introducción de usuario y contraseña. (ii) Los acuerdos de la mesa de 26 de octubre de 2021 y 1 de febrero de 2022 se adoptaron por unanimidad de los miembros de la mesa, con conocimiento de la junta de portavoces, </w:t>
      </w:r>
      <w:r>
        <w:lastRenderedPageBreak/>
        <w:t>sin que ningún grupo parlamentario haya formulado oposición contra los mismos. (iii) El señor Casero Ávila ejerció su voto conforme al procedimiento establecido, por lo que solo cabe imputar a un error personal suyo que el voto emitido no coincidiera con la que era su voluntad. (iv) Unos minutos antes de que se produjera la sesión plenaria, cuando se había producido la llamada a votación, varios miembros de la dirección del Grupo Parlamentario Popular se acercaron a la mesa para informar de que uno de los votos emitidos por el señor Casero Ávila no se correspondía con su voluntad por lo que, tratándose de un error técnico, debía permitírsele votar presencialmente. Debido a que no se constató error técnico alguno en la emisión del voto del señor Casero Ávila, la Presidencia de la Cámara informó a los representantes de aquel grupo y a los miembros de la mesa que, de conformidad con los precedentes, no cabía la anulación del voto. Debido a que se constató que no había habido ningún error técnico en la emisión del voto del señor Casero Ávila, la Presidencia de la Cámara no convocó a la mesa de la Cámara que, de conformidad con doctrina constitucional (STC 110/2019, FJ 3), no está siempre obligada a ejercer las facultades que le atribuye el reglamento, sino que ello dependerá de las circunstancias del caso. Después de la votación se produjeron diversas solicitudes que pretendían que no se ejecutara el acuerdo adoptado por el Pleno.</w:t>
      </w:r>
    </w:p>
    <w:p w14:paraId="6FC283A4" w14:textId="77777777" w:rsidR="003754FE" w:rsidRDefault="003754FE" w:rsidP="003754FE">
      <w:pPr>
        <w:pStyle w:val="TextoNormal"/>
      </w:pPr>
    </w:p>
    <w:p w14:paraId="1F6FB64F" w14:textId="096839B4" w:rsidR="003754FE" w:rsidRDefault="003754FE" w:rsidP="003754FE">
      <w:pPr>
        <w:pStyle w:val="TextoNormal"/>
      </w:pPr>
      <w:r w:rsidRPr="003754FE">
        <w:rPr>
          <w:rStyle w:val="NumeroAFNegritaCaracter"/>
        </w:rPr>
        <w:t>16</w:t>
      </w:r>
      <w:r>
        <w:t>. El Ministerio Fiscal, mediante escrito registrado en este tribunal el 3 de marzo de 2023, adujo que, del contenido de la información remitida por el Congreso de los Diputados, no existe dato alguno que afecte ni a las alegaciones ni a la pretensión formuladas en su día por la Fiscalía.</w:t>
      </w:r>
    </w:p>
    <w:p w14:paraId="3A3F99D8" w14:textId="77777777" w:rsidR="003754FE" w:rsidRDefault="003754FE" w:rsidP="003754FE">
      <w:pPr>
        <w:pStyle w:val="TextoNormal"/>
      </w:pPr>
    </w:p>
    <w:p w14:paraId="06BD2CC1" w14:textId="226AAC86" w:rsidR="003754FE" w:rsidRDefault="003754FE" w:rsidP="003754FE">
      <w:pPr>
        <w:pStyle w:val="TextoNormal"/>
      </w:pPr>
      <w:r w:rsidRPr="003754FE">
        <w:rPr>
          <w:rStyle w:val="NumeroAFNegritaCaracter"/>
        </w:rPr>
        <w:t>17</w:t>
      </w:r>
      <w:r>
        <w:t>. Por providencia de 5 de noviembre de 2024, se señaló para deliberación y votación de la presente sentencia el día 6 del mismo mes y año.</w:t>
      </w:r>
    </w:p>
    <w:p w14:paraId="7339ACB8" w14:textId="77777777" w:rsidR="003754FE" w:rsidRDefault="003754FE" w:rsidP="003754FE">
      <w:pPr>
        <w:pStyle w:val="TextoNormal"/>
      </w:pPr>
    </w:p>
    <w:p w14:paraId="69FE46FD" w14:textId="77777777" w:rsidR="003754FE" w:rsidRDefault="003754FE" w:rsidP="003754FE">
      <w:pPr>
        <w:pStyle w:val="TextoNormalNegritaCentrado"/>
        <w:keepNext/>
      </w:pPr>
      <w:r>
        <w:t>II. Fundamentos jurídicos</w:t>
      </w:r>
    </w:p>
    <w:p w14:paraId="5E581750" w14:textId="74833E69" w:rsidR="003754FE" w:rsidRDefault="003754FE" w:rsidP="003754FE">
      <w:pPr>
        <w:pStyle w:val="TextoNormalNegritaCentrado"/>
        <w:keepNext/>
      </w:pPr>
    </w:p>
    <w:p w14:paraId="17399F6C" w14:textId="77777777" w:rsidR="003754FE" w:rsidRDefault="003754FE" w:rsidP="003754FE">
      <w:pPr>
        <w:pStyle w:val="TextoNormal"/>
      </w:pPr>
      <w:r w:rsidRPr="003754FE">
        <w:rPr>
          <w:rStyle w:val="NumeroAFNegritaCaracter"/>
        </w:rPr>
        <w:t>1</w:t>
      </w:r>
      <w:r>
        <w:t xml:space="preserve">. </w:t>
      </w:r>
      <w:r w:rsidRPr="003754FE">
        <w:rPr>
          <w:i/>
        </w:rPr>
        <w:t>Objeto del recurso de amparo y posiciones de las partes</w:t>
      </w:r>
    </w:p>
    <w:p w14:paraId="286DEACA" w14:textId="77777777" w:rsidR="003754FE" w:rsidRDefault="003754FE" w:rsidP="003754FE">
      <w:pPr>
        <w:pStyle w:val="TextoNormal"/>
      </w:pPr>
    </w:p>
    <w:p w14:paraId="08BFFFE5" w14:textId="77777777" w:rsidR="003754FE" w:rsidRDefault="003754FE" w:rsidP="003754FE">
      <w:pPr>
        <w:pStyle w:val="TextoNormal"/>
      </w:pPr>
      <w:r>
        <w:t>La demanda de amparo se dirige contra la decisión de la señora presidenta del Congreso, emitida en la sesión plenaria de 3 de febrero de 2022, de no permitir el voto presencial del diputado del Grupo Parlamentario Popular, señor Casero Ávila —previa anulación de su voto telemático— y contra su posterior decisión de negarse a repetir la votación ante dicha incidencia.</w:t>
      </w:r>
    </w:p>
    <w:p w14:paraId="55003ADA" w14:textId="77777777" w:rsidR="003754FE" w:rsidRDefault="003754FE" w:rsidP="003754FE">
      <w:pPr>
        <w:pStyle w:val="TextoNormal"/>
      </w:pPr>
    </w:p>
    <w:p w14:paraId="7DE79CD6" w14:textId="77777777" w:rsidR="003754FE" w:rsidRDefault="003754FE" w:rsidP="003754FE">
      <w:pPr>
        <w:pStyle w:val="TextoNormal"/>
      </w:pPr>
      <w:r>
        <w:t>En los antecedentes han quedado expuestos con detalle los argumentos de las partes, que pueden sintetizarse en los términos siguientes.</w:t>
      </w:r>
    </w:p>
    <w:p w14:paraId="65BA5A13" w14:textId="77777777" w:rsidR="003754FE" w:rsidRDefault="003754FE" w:rsidP="003754FE">
      <w:pPr>
        <w:pStyle w:val="TextoNormal"/>
      </w:pPr>
    </w:p>
    <w:p w14:paraId="6881C967" w14:textId="77777777" w:rsidR="003754FE" w:rsidRDefault="003754FE" w:rsidP="003754FE">
      <w:pPr>
        <w:pStyle w:val="TextoNormal"/>
      </w:pPr>
      <w:r>
        <w:t xml:space="preserve">Los recurrentes en amparo, que consideran que están legitimados </w:t>
      </w:r>
      <w:r w:rsidRPr="003754FE">
        <w:rPr>
          <w:i/>
        </w:rPr>
        <w:t>ad causam</w:t>
      </w:r>
      <w:r>
        <w:t xml:space="preserve">, alegan que la resolución de la Presidencia de la Cámara de 3 de febrero de 2022 carece de motivación y dejó sin respuesta la solicitud formulada por el Grupo Parlamentario Popular. Aunque el informe posterior de la Secretaría General del Congreso confiere soporte argumental al acuerdo, sin embargo, contradice la doctrina constitucional referida al artículo 23.2 CE por dos motivos. En primer lugar, porque, en contra de lo que afirma, no se aplicó al voto telemático emitido por el señor Casero Ávila el régimen jurídico que entonces estaba vigente, en concreto la resolución de la mesa de la Cámara de 21 de mayo de 2012 que prevé un </w:t>
      </w:r>
      <w:r>
        <w:lastRenderedPageBreak/>
        <w:t>sistema de verificación personal del voto que se omitió en este caso. Además, sostienen que es inconstitucional el principio de irrevocabilidad del voto telemático y la interpretación que se ha realizado del apartado sexto de la resolución de la mesa del Congreso de 21 de mayo de 2012 toda vez que, en atención a que la presencialidad resulta esencial para el ejercicio de la función representativa, una vez que desaparecen las circunstancias que determinaron la autorización del voto telemático, el diputado puede revocar el voto telemático emitido siempre que comparezca personalmente en la Cámara.</w:t>
      </w:r>
    </w:p>
    <w:p w14:paraId="7E7C0044" w14:textId="77777777" w:rsidR="003754FE" w:rsidRDefault="003754FE" w:rsidP="003754FE">
      <w:pPr>
        <w:pStyle w:val="TextoNormal"/>
      </w:pPr>
    </w:p>
    <w:p w14:paraId="1235A900" w14:textId="77777777" w:rsidR="003754FE" w:rsidRDefault="003754FE" w:rsidP="003754FE">
      <w:pPr>
        <w:pStyle w:val="TextoNormal"/>
      </w:pPr>
      <w:r>
        <w:t>La representación procesal del Congreso de los Diputados solicita la inadmisión del recurso y, subsidiariamente, su desestimación. Sostiene que los recurrentes carecen de legitimación activa para promover este recurso de amparo toda vez que el señor Casero Ávila no forma parte de su grupo parlamentario. En cuanto al fondo del asunto, considera que las decisiones impugnadas son conformes a la Constitución.</w:t>
      </w:r>
    </w:p>
    <w:p w14:paraId="54C71460" w14:textId="77777777" w:rsidR="003754FE" w:rsidRDefault="003754FE" w:rsidP="003754FE">
      <w:pPr>
        <w:pStyle w:val="TextoNormal"/>
      </w:pPr>
    </w:p>
    <w:p w14:paraId="637AC170" w14:textId="7743C46A" w:rsidR="003754FE" w:rsidRDefault="003754FE" w:rsidP="003754FE">
      <w:pPr>
        <w:pStyle w:val="TextoNormal"/>
      </w:pPr>
      <w:r>
        <w:t>El Ministerio Fiscal solicita la desestimación íntegra de la demanda de amparo.</w:t>
      </w:r>
    </w:p>
    <w:p w14:paraId="23E1EF79" w14:textId="77777777" w:rsidR="003754FE" w:rsidRDefault="003754FE" w:rsidP="003754FE">
      <w:pPr>
        <w:pStyle w:val="TextoNormal"/>
      </w:pPr>
    </w:p>
    <w:p w14:paraId="0EFF0B99" w14:textId="77777777" w:rsidR="003754FE" w:rsidRDefault="003754FE" w:rsidP="003754FE">
      <w:pPr>
        <w:pStyle w:val="TextoNormal"/>
      </w:pPr>
      <w:r w:rsidRPr="003754FE">
        <w:rPr>
          <w:rStyle w:val="NumeroAFNegritaCaracter"/>
        </w:rPr>
        <w:t>2</w:t>
      </w:r>
      <w:r>
        <w:t xml:space="preserve">. </w:t>
      </w:r>
      <w:r w:rsidRPr="003754FE">
        <w:rPr>
          <w:i/>
        </w:rPr>
        <w:t>Óbice procesal de falta de legitimación de los recurrentes</w:t>
      </w:r>
    </w:p>
    <w:p w14:paraId="069E78A0" w14:textId="77777777" w:rsidR="003754FE" w:rsidRDefault="003754FE" w:rsidP="003754FE">
      <w:pPr>
        <w:pStyle w:val="TextoNormal"/>
      </w:pPr>
    </w:p>
    <w:p w14:paraId="729250C0" w14:textId="77777777" w:rsidR="003754FE" w:rsidRDefault="003754FE" w:rsidP="003754FE">
      <w:pPr>
        <w:pStyle w:val="TextoNormal"/>
      </w:pPr>
      <w:r>
        <w:t>Delimitadas las cuestiones planteadas en este proceso de amparo, hemos de comenzar por examinar el motivo de inadmisión opuesto por la letrada de las Cortes Generales ya que, de conformidad con una reiterada doctrina constitucional, “los defectos insubsanables de los que pudiera estar afectado el recurso de amparo no resultan sanados porque la demanda haya sido inicialmente admitida, de modo que la comprobación de los presupuestos procesales para la viabilidad de la acción [de amparo] puede siempre abordarse en la sentencia, de oficio o a instancia de parte, pudiendo dar lugar a un pronunciamiento de inadmisión por falta de tales presupuestos, sin que a ello sea obstáculo el carácter tasado de los pronunciamientos previstos en el art. 53 LOTC” (STC 168/2012, de 1 de octubre, FJ 3).</w:t>
      </w:r>
    </w:p>
    <w:p w14:paraId="5395E587" w14:textId="77777777" w:rsidR="003754FE" w:rsidRDefault="003754FE" w:rsidP="003754FE">
      <w:pPr>
        <w:pStyle w:val="TextoNormal"/>
      </w:pPr>
    </w:p>
    <w:p w14:paraId="79D31E92" w14:textId="77777777" w:rsidR="003754FE" w:rsidRDefault="003754FE" w:rsidP="003754FE">
      <w:pPr>
        <w:pStyle w:val="TextoNormal"/>
      </w:pPr>
      <w:r>
        <w:t>El art. 162.1 b) CE reconoce legitimación activa para recurrir en amparo a toda persona natural o jurídica que invoque un interés legítimo, concepto este último que, según reiterada doctrina constitucional, concurre en toda persona cuyo círculo jurídico pueda resultar afectado por la lesión de un derecho fundamental, aunque no se haya producido directamente en su contra. El concepto de interés legítimo no puede identificarse con un mero interés genérico en la preservación del derecho fundamental que se estime vulnerado, sino que es necesario que el recurrente se encuentre respecto a ese derecho fundamental en una situación jurídico-material identificable con un interés en sentido propio, cualificado o específico (SSTC 13/2001, de 29 de enero, FJ 4, y 240/2001, de 18 de diciembre, FJ 4, entre muchas otras).</w:t>
      </w:r>
    </w:p>
    <w:p w14:paraId="0772A57B" w14:textId="77777777" w:rsidR="003754FE" w:rsidRDefault="003754FE" w:rsidP="003754FE">
      <w:pPr>
        <w:pStyle w:val="TextoNormal"/>
      </w:pPr>
    </w:p>
    <w:p w14:paraId="336873CA" w14:textId="77777777" w:rsidR="003754FE" w:rsidRDefault="003754FE" w:rsidP="003754FE">
      <w:pPr>
        <w:pStyle w:val="TextoNormal"/>
      </w:pPr>
      <w:r>
        <w:t xml:space="preserve">En el ámbito del art. 42 LOTC, una reiterada doctrina constitucional ha venido reconociendo a los grupos parlamentarios, en tanto que ostentan la representación institucional de los miembros de las cámaras que los integran, capacidad procesal ante el Tribunal Constitucional para defender eventuales vulneraciones de derechos fundamentales de sus miembros que tengan relación con el ejercicio de su cargo representativo (por todas, STC 81/1991, de 22 de abril, FJ 1). De dicha doctrina, la letrada de las Cortes Generales concluye que los grupos parlamentarios carecen de legitimación activa para interponer un recurso de amparo en defensa de los intereses de los parlamentarios que no formen parte de aquellos. Este tribunal no comparte dicho planteamiento a propósito de la legitimación de los grupos </w:t>
      </w:r>
      <w:r>
        <w:lastRenderedPageBreak/>
        <w:t xml:space="preserve">parlamentarios, dejando sentado que, en todo caso, en este proceso el recurso ha sido planteado por los diputados en su propio nombre, todos ellos miembros del mismo grupo. Porque una cosa es que se atribuya legitimación abstracta o general a los grupos parlamentarios para la defensa de los derechos fundamentales de sus miembros en el ejercicio de su cargo representativo, y otra, muy distinta, que este sea el único interés legítimo que puedan invocar para impetrar tutela jurisdiccional. Este tribunal ha reconocido a los grupos parlamentarios legitimación </w:t>
      </w:r>
      <w:r w:rsidRPr="003754FE">
        <w:rPr>
          <w:i/>
        </w:rPr>
        <w:t>ad causam</w:t>
      </w:r>
      <w:r>
        <w:t xml:space="preserve"> en más supuestos, entre otros, en aquellos en los que la invocación del derecho de representación política se vinculaba a decisiones de los órganos parlamentarios sobre la procedencia del ejercicio del </w:t>
      </w:r>
      <w:r w:rsidRPr="003754FE">
        <w:rPr>
          <w:i/>
        </w:rPr>
        <w:t>ius in officium</w:t>
      </w:r>
      <w:r>
        <w:t xml:space="preserve"> de otros parlamentarios (SSTC 119/2011, de 5 de julio; 107/2016, de 7 de junio; 46/2018, de 26 de abril; 65/2022 y 65/2023, de 6 de junio, entre otras).</w:t>
      </w:r>
    </w:p>
    <w:p w14:paraId="22CADDDA" w14:textId="77777777" w:rsidR="003754FE" w:rsidRDefault="003754FE" w:rsidP="003754FE">
      <w:pPr>
        <w:pStyle w:val="TextoNormal"/>
      </w:pPr>
    </w:p>
    <w:p w14:paraId="19D01657" w14:textId="77777777" w:rsidR="003754FE" w:rsidRDefault="003754FE" w:rsidP="003754FE">
      <w:pPr>
        <w:pStyle w:val="TextoNormal"/>
      </w:pPr>
      <w:r>
        <w:t>Como hemos señalado, los recurrentes —que actúan en su propio nombre como diputados del grupo parlamentario Vox en el Congreso— justifican su legitimación para promover este recurso de amparo en que ostentan un interés en sentido propio: por un lado, que la voluntad de la Cámara se conforme regularmente; por otro, que se anulen aquellas irregularidades que hayan afectado de manera relevante a la prosperabilidad de la posición política por ellos defendida. Por ello, aducen que debido a que el Grupo Parlamentario Vox defendió en la sesión plenaria la derogación del Real Decreto-ley 32/2021 y a que el voto emitido telemáticamente por el señor Casero Ávila fue determinante para su convalidación, se produce una afectación evidente en su posición jurídica.</w:t>
      </w:r>
    </w:p>
    <w:p w14:paraId="1730429C" w14:textId="77777777" w:rsidR="003754FE" w:rsidRDefault="003754FE" w:rsidP="003754FE">
      <w:pPr>
        <w:pStyle w:val="TextoNormal"/>
      </w:pPr>
    </w:p>
    <w:p w14:paraId="56501EC4" w14:textId="47C3B5A0" w:rsidR="003754FE" w:rsidRDefault="003754FE" w:rsidP="003754FE">
      <w:pPr>
        <w:pStyle w:val="TextoNormal"/>
      </w:pPr>
      <w:r>
        <w:t xml:space="preserve">La falta de legitimación activa aducida por la letrada de las Cortes no puede prosperar. Teniendo en cuenta que este tribunal ya ha tenido ocasión de afirmar que el derecho de voto de los parlamentarios —que forma parte de su </w:t>
      </w:r>
      <w:r w:rsidRPr="003754FE">
        <w:rPr>
          <w:i/>
        </w:rPr>
        <w:t>ius in officium</w:t>
      </w:r>
      <w:r>
        <w:t>— “no solo afecta a su titular, sino que, al ser el modo por el que se expresa la voluntad de la Cámara, si este derecho no se ejerce debidamente puede incidir en el derecho de voto de los demás parlamentarios” (STC 65/2022, FJ 3), resulta patente, como sostiene el Ministerio Fiscal, que los recurrentes han aducido un interés legítimo protegible a través del recurso de amparo, cual es la conformación de la voluntad de la Cámara de acuerdo a la legalidad.</w:t>
      </w:r>
    </w:p>
    <w:p w14:paraId="4D3A6FE8" w14:textId="77777777" w:rsidR="003754FE" w:rsidRDefault="003754FE" w:rsidP="003754FE">
      <w:pPr>
        <w:pStyle w:val="TextoNormal"/>
      </w:pPr>
    </w:p>
    <w:p w14:paraId="2BAAC7F4" w14:textId="77777777" w:rsidR="003754FE" w:rsidRDefault="003754FE" w:rsidP="003754FE">
      <w:pPr>
        <w:pStyle w:val="TextoNormal"/>
      </w:pPr>
      <w:r w:rsidRPr="003754FE">
        <w:rPr>
          <w:rStyle w:val="NumeroAFNegritaCaracter"/>
        </w:rPr>
        <w:t>3</w:t>
      </w:r>
      <w:r>
        <w:t xml:space="preserve">. </w:t>
      </w:r>
      <w:r w:rsidRPr="003754FE">
        <w:rPr>
          <w:i/>
        </w:rPr>
        <w:t>Análisis de las alegadas vulneraciones del art. 23 CE</w:t>
      </w:r>
    </w:p>
    <w:p w14:paraId="2704160D" w14:textId="77777777" w:rsidR="003754FE" w:rsidRDefault="003754FE" w:rsidP="003754FE">
      <w:pPr>
        <w:pStyle w:val="TextoNormal"/>
      </w:pPr>
    </w:p>
    <w:p w14:paraId="2B84988C" w14:textId="77777777" w:rsidR="003754FE" w:rsidRDefault="003754FE" w:rsidP="003754FE">
      <w:pPr>
        <w:pStyle w:val="TextoNormal"/>
      </w:pPr>
      <w:r>
        <w:t xml:space="preserve">Los recurrentes afirman que la resolución impugnada es lesiva del derecho al </w:t>
      </w:r>
      <w:r w:rsidRPr="003754FE">
        <w:rPr>
          <w:i/>
        </w:rPr>
        <w:t>ius in officium</w:t>
      </w:r>
      <w:r>
        <w:t xml:space="preserve"> (art. 23.2 CE) debido a que, por un lado, carece de motivación y a que el informe posterior que le sirve de soporte es inconstitucional dado que no se aplicó la normativa vigente y, por otro, no puede afirmarse el carácter irrevocable del voto telemático debido a su excepcionalidad y al principio de presencialidad que exige el cargo representativo. Según los recurrentes, la presencia del diputado en la Cámara supone que ha decaído el presupuesto habilitante que motivó la autorización para emitir el voto de forma telemática, lo que debe traer necesariamente como consecuencia, por derivarse así del art. 23.2 CE, la nulidad del voto emitido de tal forma y el correlativo derecho a ejercerlo presencialmente.</w:t>
      </w:r>
    </w:p>
    <w:p w14:paraId="6F350F20" w14:textId="77777777" w:rsidR="003754FE" w:rsidRDefault="003754FE" w:rsidP="003754FE">
      <w:pPr>
        <w:pStyle w:val="TextoNormal"/>
      </w:pPr>
    </w:p>
    <w:p w14:paraId="493F6C1B" w14:textId="77777777" w:rsidR="003754FE" w:rsidRDefault="003754FE" w:rsidP="003754FE">
      <w:pPr>
        <w:pStyle w:val="TextoNormal"/>
      </w:pPr>
      <w:r>
        <w:t xml:space="preserve">a) </w:t>
      </w:r>
      <w:r w:rsidRPr="003754FE">
        <w:rPr>
          <w:i/>
        </w:rPr>
        <w:t>Vulneración del derecho al</w:t>
      </w:r>
      <w:r>
        <w:t xml:space="preserve"> ius in officium </w:t>
      </w:r>
      <w:r w:rsidRPr="003754FE">
        <w:rPr>
          <w:i/>
        </w:rPr>
        <w:t>por falta de motivación de la resolución de la Presidencia del Congreso y por no haber aplicado el régimen jurídico vigente al voto emitido telemáticamente</w:t>
      </w:r>
    </w:p>
    <w:p w14:paraId="5D38DEAE" w14:textId="77777777" w:rsidR="003754FE" w:rsidRDefault="003754FE" w:rsidP="003754FE">
      <w:pPr>
        <w:pStyle w:val="TextoNormal"/>
      </w:pPr>
    </w:p>
    <w:p w14:paraId="7EC0F1E4" w14:textId="77777777" w:rsidR="003754FE" w:rsidRDefault="003754FE" w:rsidP="003754FE">
      <w:pPr>
        <w:pStyle w:val="TextoNormal"/>
      </w:pPr>
      <w:r>
        <w:lastRenderedPageBreak/>
        <w:t>Las quejas referidas a la falta de motivación de la resolución de la Presidencia del Congreso y a que no se aplicó la normativa entonces vigente fueron ya puestas de manifiesto por el señor Casero Ávila en el recurso de amparo núm. 916-2022, que ha sido desestimado por el Pleno de este tribunal en la STC 114/2024, de 11 de septiembre. Procede, en consecuencia, remitirnos íntegramente a los fundamentos jurídicos 3 y siguientes de la citada resolución para desestimar estas quejas.</w:t>
      </w:r>
    </w:p>
    <w:p w14:paraId="43EB4669" w14:textId="77777777" w:rsidR="003754FE" w:rsidRDefault="003754FE" w:rsidP="003754FE">
      <w:pPr>
        <w:pStyle w:val="TextoNormal"/>
      </w:pPr>
    </w:p>
    <w:p w14:paraId="71576085" w14:textId="77777777" w:rsidR="003754FE" w:rsidRDefault="003754FE" w:rsidP="003754FE">
      <w:pPr>
        <w:pStyle w:val="TextoNormal"/>
      </w:pPr>
      <w:r>
        <w:t xml:space="preserve">b) </w:t>
      </w:r>
      <w:r w:rsidRPr="003754FE">
        <w:rPr>
          <w:i/>
        </w:rPr>
        <w:t>Vulneración del derecho al</w:t>
      </w:r>
      <w:r>
        <w:t xml:space="preserve"> ius in officium </w:t>
      </w:r>
      <w:r w:rsidRPr="003754FE">
        <w:rPr>
          <w:i/>
        </w:rPr>
        <w:t>por afirmar el carácter irrevocable del voto emitido telemáticamente</w:t>
      </w:r>
    </w:p>
    <w:p w14:paraId="780DFFAF" w14:textId="77777777" w:rsidR="003754FE" w:rsidRDefault="003754FE" w:rsidP="003754FE">
      <w:pPr>
        <w:pStyle w:val="TextoNormal"/>
      </w:pPr>
    </w:p>
    <w:p w14:paraId="353E9822" w14:textId="77777777" w:rsidR="003754FE" w:rsidRDefault="003754FE" w:rsidP="003754FE">
      <w:pPr>
        <w:pStyle w:val="TextoNormal"/>
      </w:pPr>
      <w:r>
        <w:t xml:space="preserve">El recurso estima, a diferencia del informe de la Secretaría General del Congreso de los Diputados de 10 de febrero de 2022, que es inconstitucional considerar irrevocable el voto emitido telemáticamente. Como ya se ha expuesto en los antecedentes, los recurrentes alegan que el carácter nuclear de la presencialidad de las funciones parlamentarias derivada del art. 79 CE debe llevar aparejado que se declare la nulidad del voto emitido telemáticamente una vez que, desaparecidas de forma sobrevenida las circunstancias que lo justificaron, el diputado comparece en el hemiciclo. A su juicio, tal forma de razonar, que resulta exigible </w:t>
      </w:r>
      <w:r w:rsidRPr="003754FE">
        <w:rPr>
          <w:i/>
        </w:rPr>
        <w:t>ex</w:t>
      </w:r>
      <w:r>
        <w:t xml:space="preserve"> art. 23.2 CE, debía haber llevado a la mesa del Congreso a declarar la nulidad del voto emitido telemáticamente por el señor Casero Ávila en virtud de lo dispuesto en el apartado sexto de la resolución de 21 de mayo de 2012.</w:t>
      </w:r>
    </w:p>
    <w:p w14:paraId="02C37AF0" w14:textId="77777777" w:rsidR="003754FE" w:rsidRDefault="003754FE" w:rsidP="003754FE">
      <w:pPr>
        <w:pStyle w:val="TextoNormal"/>
      </w:pPr>
    </w:p>
    <w:p w14:paraId="4EC84F80" w14:textId="77777777" w:rsidR="003754FE" w:rsidRDefault="003754FE" w:rsidP="003754FE">
      <w:pPr>
        <w:pStyle w:val="TextoNormal"/>
      </w:pPr>
      <w:r>
        <w:t>Esta queja no puede prosperar. Según los antecedentes del informe de 10 de febrero de 2022 de la Secretaría General del Congreso de los Diputados, que los demandantes no controvierten y al que se remiten —“a los efectos de mantener la mayor objetividad posible”— en el hecho tercero de su demanda de amparo, fue “[a]l final de las votaciones [cuando] el señor Casero accedió al hemiciclo y ocupó su escaño, si bien no votó desde el mismo”. Esta misma circunstancia ha sido certificada por el secretario general del Congreso de los Diputados al hilo de la tramitación del presente recurso de amparo, según hemos referido en el antecedente decimosegundo de esta sentencia: el señor Casero Ávila no se encontraba en la sesión plenaria al inicio de las votaciones, sino que accedió al hemiciclo cuando el acto estaba concluyendo. Así las cosas, procede desestimar la queja en cuanto se basa en un presupuesto fáctico —la presencialidad del diputado en el hemiciclo en el momento de las votaciones— que, como acaba de indicarse, no concurrió en la sesión plenaria a la que se refiere el recurso.</w:t>
      </w:r>
    </w:p>
    <w:p w14:paraId="6657A0D6" w14:textId="77777777" w:rsidR="003754FE" w:rsidRDefault="003754FE" w:rsidP="003754FE">
      <w:pPr>
        <w:pStyle w:val="TextoNormal"/>
      </w:pPr>
    </w:p>
    <w:p w14:paraId="22CE9925" w14:textId="6848A662" w:rsidR="003754FE" w:rsidRDefault="003754FE" w:rsidP="003754FE">
      <w:pPr>
        <w:pStyle w:val="TextoNormal"/>
      </w:pPr>
      <w:r>
        <w:t>En todo caso, el Tribunal no puede dejar de observar que, tal y como se deriva de la documentación aportada al proceso por el Congreso de los Diputados el día 3 de febrero de 2022, a las 17:46, el señor Casero Ávila emitió de forma telemática una veintena de votaciones en relación con los distintos puntos del orden del día de la sesión plenaria. Los recurrentes interesan que una sola de dichas votaciones, concretamente la emitida en décimo lugar —primera votación del punto quinto—, se revoque y pueda ser objeto de una votación presencial, a pesar de que las restantes votaciones hubieran desplegado ya sus efectos. En caso de accederse a la pretensión de los recurrentes, ello conduciría a la incoherente conclusión de que el presupuesto habilitante para la emisión del voto telemático concurrió para todos los votos emitidos a excepción del controvertido en el presente recurso de amparo, respecto del que habría que aceptar la desaparición sobrevenida de la causa que impedía la votación presencial.</w:t>
      </w:r>
    </w:p>
    <w:p w14:paraId="6CC14588" w14:textId="77777777" w:rsidR="003754FE" w:rsidRDefault="003754FE" w:rsidP="003754FE">
      <w:pPr>
        <w:pStyle w:val="TextoNormal"/>
      </w:pPr>
    </w:p>
    <w:p w14:paraId="3DEEE691" w14:textId="77777777" w:rsidR="003754FE" w:rsidRDefault="003754FE" w:rsidP="003754FE">
      <w:pPr>
        <w:pStyle w:val="TextoNormalCentrado"/>
        <w:keepNext/>
      </w:pPr>
      <w:r>
        <w:lastRenderedPageBreak/>
        <w:t>FALLO</w:t>
      </w:r>
    </w:p>
    <w:p w14:paraId="793AFDC3" w14:textId="6726288F" w:rsidR="003754FE" w:rsidRDefault="003754FE" w:rsidP="003754FE">
      <w:pPr>
        <w:pStyle w:val="TextoNormalCentrado"/>
        <w:keepNext/>
      </w:pPr>
    </w:p>
    <w:p w14:paraId="7325F8C9" w14:textId="788F7E6B" w:rsidR="003754FE" w:rsidRDefault="003754FE" w:rsidP="003754FE">
      <w:pPr>
        <w:pStyle w:val="TextoNormal"/>
      </w:pPr>
      <w:r>
        <w:t>En atención a todo lo expuesto, el Tribunal Constitucional, por la autoridad que le confiere la Constitución de la Nación española, ha decidido desestimar el recurso de amparo interpuesto por don Santiago Abascal Conde, don Francisco Javier Ortega-Smith Molina, don Iván Espinosa de los Monteros y de Simón, doña María de la Cabeza Ruiz Solás, doña Carla Toscano de Balbín, don Pedro Fernández Hernández, don Pablo Sáez Alonso-Muñumer, doña Cristina Esteban Calonje, don Ignacio Gil Lázaro, don Manuel Mestre Barea, don Manuel Mariscal Zabala, doña María de los Reyes Romero Vilches, doña Rocío de Meer Méndez, don José María Figaredo Álvarez-Sala, doña Lourdes Méndez Monasterio, don Joaquín Robles López, don Juan Carlos Segura Just, doña Patricia Rueda Perelló, don José Ramírez del Río, don Agustín Rosety Fernández de Castro, doña Macarena Olona Choclán, don Rodrigo Jiménez Revuelta, don Ricardo Chamorro Delmo, don Víctor Sánchez del Real, don Tomás Fernández de los Ríos, don Francisco José Contreras Peláez, don Francisco José Alcaraz Martos, don Carlos José Zambrano García-Ráez, doña Mercedes Jara Moreno, don Rubén Silvano Manso Olivar, don Andrés Alberto Rodríguez Almeida, don Rubén Darío Vega Arias, don Emilio Jesús del Valle Rodríguez, don Rafael Fernández-Lomana Gutiérrez, don Ángel López Maraver, doña Inés María Cañizares Pacheco, don Pablo Juan Calvo Liste, don Víctor Guido González Coello de Portugal, doña Georgina Trías Gil, don Pedro Requejo Novoa, don Juan José Aizcorbe Torra, doña María Teresa López Álvarez, don Juan Luis Steegmann Olmedillas, doña Mireia Borrás Pabón, don Julio Utrilla Cano, don José María Sánchez García, don Eduardo Luis Ruiz Navarro, don Alberto Asarta Cuevas, doña María Magdalena Nevado del Campo, don Antonio Salvá Verd, doña Patricia de las Heras Fernández y don Luis Gestoso de Miguel, todos ellos diputados del Grupo Parlamentario Vox en el Congreso de los Diputados en la XIV Legislatura, contra la decisión de la señora presidenta del Congreso, emitida en la sesión plenaria del Congreso de los Diputados de 3 de febrero de 2022, de no permitir el voto presencial del diputado del Grupo Parlamentario Popular, señor Casero Ávila, previa anulación de su voto telemático, en relación con la convalidación del Real Decreto-ley 32/2021, de 28 de diciembre, de medidas urgentes para la reforma laboral, la garantía de la estabilidad en el empleo y la transformación del mercado de trabajo; y contra la posterior decisión de la señora presidenta del Congreso de negarse a repetir la votación ante la incidencia en el voto telemático del diputado señor Casero Ávila.</w:t>
      </w:r>
    </w:p>
    <w:p w14:paraId="60372B56" w14:textId="77777777" w:rsidR="003754FE" w:rsidRDefault="003754FE" w:rsidP="003754FE">
      <w:pPr>
        <w:pStyle w:val="TextoNormal"/>
      </w:pPr>
    </w:p>
    <w:p w14:paraId="7A877766" w14:textId="77777777" w:rsidR="003754FE" w:rsidRDefault="003754FE" w:rsidP="003754FE">
      <w:pPr>
        <w:pStyle w:val="TextoNormal"/>
      </w:pPr>
      <w:r>
        <w:t>Publíquese esta sentencia en el “Boletín Oficial del Estado”.</w:t>
      </w:r>
    </w:p>
    <w:p w14:paraId="27CF4546" w14:textId="77777777" w:rsidR="003754FE" w:rsidRDefault="003754FE" w:rsidP="003754FE">
      <w:pPr>
        <w:pStyle w:val="TextoNormal"/>
      </w:pPr>
      <w:r>
        <w:t>Dada en Madrid, a seis de noviembre de dos mil veinticuatro.</w:t>
      </w:r>
    </w:p>
    <w:p w14:paraId="255E4B90" w14:textId="39FC86E1" w:rsidR="003754FE" w:rsidRDefault="003754FE" w:rsidP="003754FE">
      <w:pPr>
        <w:pStyle w:val="ParrafoNormal"/>
      </w:pPr>
    </w:p>
    <w:p w14:paraId="74C5896F" w14:textId="77777777" w:rsidR="003754FE" w:rsidRDefault="003754FE" w:rsidP="003754FE">
      <w:pPr>
        <w:pStyle w:val="TextoNormalNegritaCentrado"/>
        <w:keepNext/>
      </w:pPr>
      <w:r>
        <w:t>Voto particular concurrente que formulan el magistrado don Enrique Arnaldo Alcubilla y la magistrada doña Concepción Espejel Jorquera a la sentencia dictada por el Pleno en el recurso de amparo avocado núm. 1303-2022</w:t>
      </w:r>
    </w:p>
    <w:p w14:paraId="175BB293" w14:textId="33DE5DE9" w:rsidR="003754FE" w:rsidRDefault="003754FE" w:rsidP="003754FE">
      <w:pPr>
        <w:pStyle w:val="TextoNormalNegritaCentrado"/>
        <w:keepNext/>
      </w:pPr>
    </w:p>
    <w:p w14:paraId="297F92CF" w14:textId="77777777" w:rsidR="003754FE" w:rsidRDefault="003754FE" w:rsidP="003754FE">
      <w:pPr>
        <w:pStyle w:val="TextoNormal"/>
      </w:pPr>
      <w:r>
        <w:t>En el ejercicio de la facultad conferida por el artículo 90.2 LOTC y con respeto a la opinión de nuestros compañeros, formulamos el presente voto concurrente por cuanto, pese a que compartimos el fallo desestimatorio del recurso, disentimos en parte de la argumentación de la sentencia.</w:t>
      </w:r>
    </w:p>
    <w:p w14:paraId="29D63250" w14:textId="77777777" w:rsidR="003754FE" w:rsidRDefault="003754FE" w:rsidP="003754FE">
      <w:pPr>
        <w:pStyle w:val="TextoNormal"/>
      </w:pPr>
    </w:p>
    <w:p w14:paraId="344CC6C0" w14:textId="77777777" w:rsidR="003754FE" w:rsidRDefault="003754FE" w:rsidP="003754FE">
      <w:pPr>
        <w:pStyle w:val="TextoNormal"/>
      </w:pPr>
      <w:r>
        <w:lastRenderedPageBreak/>
        <w:t>La sentencia desestima el recurso de amparo por remisión a lo razonado en la STC 114/2024, que resolvió el recurso de un diputado del Grupo Parlamentario Popular del Congreso de los Diputados en la XIV Legislatura contra dos decisiones de la presidenta del Congreso adoptadas en la sesión plenaria de 3 de febrero de 2022, por las que, respectivamente: (i) se consideró verificado el voto telemático de dicho diputado en la convalidación del Real Decreto-ley 32/2021; y (ii) se resolvió no convocar la mesa de la Cámara para que se pronunciase en relación con la solicitud de que dicho diputado ejerciera su voto presencialmente, con anulación de su voto telemático, en esa concreta votación.</w:t>
      </w:r>
    </w:p>
    <w:p w14:paraId="1DA55ECD" w14:textId="77777777" w:rsidR="003754FE" w:rsidRDefault="003754FE" w:rsidP="003754FE">
      <w:pPr>
        <w:pStyle w:val="TextoNormal"/>
      </w:pPr>
    </w:p>
    <w:p w14:paraId="39D0CAD6" w14:textId="77777777" w:rsidR="003754FE" w:rsidRDefault="003754FE" w:rsidP="003754FE">
      <w:pPr>
        <w:pStyle w:val="TextoNormal"/>
      </w:pPr>
      <w:r>
        <w:t>Las razones de nuestra discrepancia parcial con la fundamentación de esta sentencia son las mismas que ya quedaron expresadas en nuestro voto particular concurrente a la citada STC 114/2024. Bastará por ello con remitirnos a lo expuesto en dicho voto particular, para excusar reiteraciones innecesarias.</w:t>
      </w:r>
    </w:p>
    <w:p w14:paraId="64FFA374" w14:textId="77777777" w:rsidR="003754FE" w:rsidRDefault="003754FE" w:rsidP="003754FE">
      <w:pPr>
        <w:pStyle w:val="TextoNormal"/>
      </w:pPr>
    </w:p>
    <w:p w14:paraId="191C4702" w14:textId="3E2E93CC" w:rsidR="003754FE" w:rsidRDefault="003754FE" w:rsidP="003754FE">
      <w:pPr>
        <w:pStyle w:val="TextoNormal"/>
      </w:pPr>
      <w:r>
        <w:t>Madrid, a seis de noviembre de dos mil veinticuatro.</w:t>
      </w:r>
    </w:p>
    <w:p w14:paraId="4FEE4F0F" w14:textId="045BCB51" w:rsidR="003754FE" w:rsidRDefault="003754FE">
      <w:pPr>
        <w:spacing w:after="160" w:line="278" w:lineRule="auto"/>
        <w:rPr>
          <w:rFonts w:ascii="Times New Roman" w:eastAsia="Times New Roman" w:hAnsi="Times New Roman" w:cs="Times New Roman"/>
          <w:sz w:val="24"/>
          <w:szCs w:val="24"/>
          <w:lang w:eastAsia="es-ES"/>
        </w:rPr>
      </w:pPr>
      <w:r>
        <w:br w:type="page"/>
      </w:r>
    </w:p>
    <w:p w14:paraId="51AFF669" w14:textId="77777777" w:rsidR="003754FE" w:rsidRDefault="003754FE" w:rsidP="003754FE">
      <w:pPr>
        <w:pStyle w:val="TtuloResolucin"/>
      </w:pPr>
      <w:bookmarkStart w:id="47" w:name="SENTENCIA_2024_138"/>
      <w:r>
        <w:lastRenderedPageBreak/>
        <w:t>SENTENCIA 138/2024, de 6 de noviembre de 2024</w:t>
      </w:r>
    </w:p>
    <w:bookmarkEnd w:id="47"/>
    <w:p w14:paraId="38B6FD7A" w14:textId="77777777" w:rsidR="003754FE" w:rsidRDefault="003754FE" w:rsidP="003754FE">
      <w:pPr>
        <w:pStyle w:val="TtuloResolucin"/>
      </w:pPr>
      <w:r>
        <w:t>Pleno</w:t>
      </w:r>
    </w:p>
    <w:p w14:paraId="0457D6ED" w14:textId="77777777" w:rsidR="003754FE" w:rsidRDefault="003754FE" w:rsidP="003754FE">
      <w:pPr>
        <w:pStyle w:val="TtuloBOE"/>
      </w:pPr>
      <w:r>
        <w:t>(BOE núm. 294, de 6 de diciembre de 2024)</w:t>
      </w:r>
    </w:p>
    <w:p w14:paraId="4032D5BD" w14:textId="77777777" w:rsidR="003754FE" w:rsidRDefault="003754FE" w:rsidP="003754FE">
      <w:pPr>
        <w:pStyle w:val="TextoNormalCentrado"/>
      </w:pPr>
      <w:r>
        <w:t>ECLI:ES:TC:2024:138</w:t>
      </w:r>
    </w:p>
    <w:p w14:paraId="0F3BE049" w14:textId="0718098B" w:rsidR="003754FE" w:rsidRDefault="003754FE" w:rsidP="003754FE">
      <w:pPr>
        <w:pStyle w:val="TextoNormalCentrado"/>
      </w:pPr>
    </w:p>
    <w:p w14:paraId="07999B85" w14:textId="77777777" w:rsidR="003754FE" w:rsidRDefault="003754FE" w:rsidP="003754FE">
      <w:pPr>
        <w:pStyle w:val="SntesisDescriptiva"/>
      </w:pPr>
      <w:r>
        <w:t>Recurso de amparo 3616-2022. Promovido por doña María Concepción Gamarra Ruiz-Clavijo, diputada y portavoz del Grupo Parlamentario Popular del Congreso de los Diputados respecto de las resoluciones dictadas por la presidenta del Congreso de los Diputados sobre la votación de convalidación del Real Decreto-ley 32/2021, de 28 de diciembre, de medidas urgentes para la reforma laboral, la garantía de estabilidad en el empleo y la transformación del mercado de trabajo.</w:t>
      </w:r>
    </w:p>
    <w:p w14:paraId="756E02F8" w14:textId="560B3914" w:rsidR="003754FE" w:rsidRDefault="003754FE" w:rsidP="003754FE">
      <w:pPr>
        <w:pStyle w:val="SntesisDescriptiva"/>
      </w:pPr>
    </w:p>
    <w:p w14:paraId="38D913DB" w14:textId="77777777" w:rsidR="003754FE" w:rsidRDefault="003754FE" w:rsidP="003754FE">
      <w:pPr>
        <w:pStyle w:val="SntesisAnaltica"/>
      </w:pPr>
      <w:r>
        <w:t>Supuesta vulneración del derecho al ejercicio del cargo representativo: STC 114/2024 (ejercicio del voto telemático al que no sucede una solicitud o actuación personal tempestiva del propio diputado que acredite su expresa voluntad de optar por el ejercicio presencial de su voto y por la anulación del voto telemático autorizado y emitido). Voto particular.</w:t>
      </w:r>
    </w:p>
    <w:p w14:paraId="1834C6CB" w14:textId="14D13488" w:rsidR="003754FE" w:rsidRDefault="003754FE" w:rsidP="003754FE">
      <w:pPr>
        <w:pStyle w:val="SntesisAnaltica"/>
      </w:pPr>
    </w:p>
    <w:p w14:paraId="650C29EA" w14:textId="011F7E21" w:rsidR="003754FE" w:rsidRDefault="003754FE" w:rsidP="003754FE">
      <w:pPr>
        <w:pStyle w:val="Extracto"/>
      </w:pPr>
      <w:r>
        <w:t>1.</w:t>
      </w:r>
      <w:r>
        <w:tab/>
        <w:t>Aplicación de la doctrina sentada en la SSTC 114/2024, en materia de procedimiento de autorización del voto presencial al diputado que ha votado previamente de modo telemático, debiendo mediar una solicitud o actuación personal tempestiva del propio diputado que acredite su expresa voluntad de optar por el ejercicio presencial de su voto y por la anulación del voto telemático autorizado y emitido; y ello en virtud del carácter personal e indelegable del voto [FJ 3].</w:t>
      </w:r>
    </w:p>
    <w:p w14:paraId="301964AF" w14:textId="77777777" w:rsidR="003754FE" w:rsidRDefault="003754FE" w:rsidP="003754FE">
      <w:pPr>
        <w:pStyle w:val="Extracto"/>
      </w:pPr>
    </w:p>
    <w:p w14:paraId="630DF8D0" w14:textId="77777777" w:rsidR="003754FE" w:rsidRDefault="003754FE" w:rsidP="003754FE">
      <w:pPr>
        <w:pStyle w:val="Extracto"/>
      </w:pPr>
    </w:p>
    <w:p w14:paraId="1392EA69"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ha pronunciado</w:t>
      </w:r>
    </w:p>
    <w:p w14:paraId="23B949A2" w14:textId="4328E982" w:rsidR="003754FE" w:rsidRDefault="003754FE" w:rsidP="003754FE">
      <w:pPr>
        <w:pStyle w:val="TextoNormal"/>
      </w:pPr>
    </w:p>
    <w:p w14:paraId="7B3F639F" w14:textId="77777777" w:rsidR="003754FE" w:rsidRDefault="003754FE" w:rsidP="003754FE">
      <w:pPr>
        <w:pStyle w:val="TextoNormalCentrado"/>
        <w:keepNext/>
      </w:pPr>
      <w:r>
        <w:t>EN NOMBRE DEL REY</w:t>
      </w:r>
    </w:p>
    <w:p w14:paraId="373F7975" w14:textId="1923534D" w:rsidR="003754FE" w:rsidRDefault="003754FE" w:rsidP="003754FE">
      <w:pPr>
        <w:pStyle w:val="TextoNormalCentrado"/>
        <w:keepNext/>
      </w:pPr>
    </w:p>
    <w:p w14:paraId="5B89C571" w14:textId="77777777" w:rsidR="003754FE" w:rsidRDefault="003754FE" w:rsidP="003754FE">
      <w:pPr>
        <w:pStyle w:val="TextoNormalCentrado"/>
        <w:keepNext/>
      </w:pPr>
    </w:p>
    <w:p w14:paraId="35BBD921" w14:textId="77777777" w:rsidR="003754FE" w:rsidRDefault="003754FE" w:rsidP="003754FE">
      <w:pPr>
        <w:pStyle w:val="TextoNormal"/>
      </w:pPr>
      <w:r>
        <w:t>la siguiente</w:t>
      </w:r>
    </w:p>
    <w:p w14:paraId="471CDD25" w14:textId="395CBC98" w:rsidR="003754FE" w:rsidRDefault="003754FE" w:rsidP="003754FE">
      <w:pPr>
        <w:pStyle w:val="TextoNormal"/>
      </w:pPr>
    </w:p>
    <w:p w14:paraId="1375B210" w14:textId="77777777" w:rsidR="003754FE" w:rsidRDefault="003754FE" w:rsidP="003754FE">
      <w:pPr>
        <w:pStyle w:val="TextoNormalCentrado"/>
        <w:keepNext/>
      </w:pPr>
      <w:r>
        <w:t>SENTENCIA</w:t>
      </w:r>
    </w:p>
    <w:p w14:paraId="49622FCB" w14:textId="56D06313" w:rsidR="003754FE" w:rsidRDefault="003754FE" w:rsidP="003754FE">
      <w:pPr>
        <w:pStyle w:val="TextoNormalCentrado"/>
        <w:keepNext/>
      </w:pPr>
    </w:p>
    <w:p w14:paraId="2EA79808" w14:textId="77777777" w:rsidR="003754FE" w:rsidRDefault="003754FE" w:rsidP="003754FE">
      <w:pPr>
        <w:pStyle w:val="TextoNormal"/>
      </w:pPr>
      <w:r>
        <w:t xml:space="preserve">En el recurso de amparo núm. 3616-2022, promovido por doña María Concepción Gamarra Ruiz-Clavijo, en su condición de diputada y de portavoz del Grupo Parlamentario Popular del Congreso de los Diputados en la XIV Legislatura, contra la decisión de la señora presidenta del Congreso, adoptada en la sesión plenaria del Congreso de los Diputados de 3 de febrero de 2022, por medio de la cual se considera verificado el voto telemático del diputado don Alberto Casero Ávila en relación con la convalidación del Real Decreto-ley 32/2021, de 28 de diciembre, de medidas urgentes para la reforma laboral, la garantía de estabilidad en el empleo y la transformación del mercado de trabajo; contra la posterior </w:t>
      </w:r>
      <w:r>
        <w:lastRenderedPageBreak/>
        <w:t>decisión de la señora presidenta del Congreso de la misma fecha, de no proceder a la convocatoria de la mesa del Congreso de los Diputados de forma previa a la votación de la convalidación del mencionado Real Decreto-ley 32/2021, para que dicho órgano se pronunciase en relación con la solicitud del diputado señor Casero Ávila para ejercer su voto presencialmente; así como contra el acuerdo de la mesa del Congreso de los Diputados de 15 de febrero de 2022 que respaldó las anteriores decisiones de la presidenta del Congreso. Ha comparecido el Congreso de los Diputados. Ha intervenido el Ministerio Fiscal. Ha sido ponente el magistrado don Ramón Sáez Valcárcel.</w:t>
      </w:r>
    </w:p>
    <w:p w14:paraId="212CB6C7" w14:textId="2218DB73" w:rsidR="003754FE" w:rsidRDefault="003754FE" w:rsidP="003754FE">
      <w:pPr>
        <w:pStyle w:val="TextoNormal"/>
      </w:pPr>
    </w:p>
    <w:p w14:paraId="1BB6B1EF" w14:textId="77777777" w:rsidR="003754FE" w:rsidRDefault="003754FE" w:rsidP="003754FE">
      <w:pPr>
        <w:pStyle w:val="TextoNormalNegritaCentrado"/>
        <w:keepNext/>
      </w:pPr>
      <w:r>
        <w:t>I. Antecedentes</w:t>
      </w:r>
    </w:p>
    <w:p w14:paraId="03A2CF93" w14:textId="1801E4E4" w:rsidR="003754FE" w:rsidRDefault="003754FE" w:rsidP="003754FE">
      <w:pPr>
        <w:pStyle w:val="TextoNormalNegritaCentrado"/>
        <w:keepNext/>
      </w:pPr>
    </w:p>
    <w:p w14:paraId="61D50D88" w14:textId="2EA47F31" w:rsidR="003754FE" w:rsidRDefault="003754FE" w:rsidP="003754FE">
      <w:pPr>
        <w:pStyle w:val="TextoNormal"/>
      </w:pPr>
      <w:r w:rsidRPr="003754FE">
        <w:rPr>
          <w:rStyle w:val="NumeroAFNegritaCaracter"/>
        </w:rPr>
        <w:t>1</w:t>
      </w:r>
      <w:r>
        <w:t>. Mediante escrito que tuvo entrada en este tribunal el día 20 de mayo de 2022, doña María Concepción Gamarra Ruiz-Clavijo, diputada y portavoz del Grupo Parlamentario Popular en la XIV Legislatura del Congreso de los Diputados, representada por el procurador de los tribunales don Manuel Sánchez-Puelles González Carvajal y bajo la dirección letrada de don Jaime Eduardo de Olano Vela, interpuso recurso de amparo contra las decisiones de la Presidencia del Congreso de los Diputados mencionadas en el encabezamiento de esta sentencia.</w:t>
      </w:r>
    </w:p>
    <w:p w14:paraId="3EC0B663" w14:textId="77777777" w:rsidR="003754FE" w:rsidRDefault="003754FE" w:rsidP="003754FE">
      <w:pPr>
        <w:pStyle w:val="TextoNormal"/>
      </w:pPr>
    </w:p>
    <w:p w14:paraId="251DF1B1" w14:textId="77777777" w:rsidR="003754FE" w:rsidRDefault="003754FE" w:rsidP="003754FE">
      <w:pPr>
        <w:pStyle w:val="TextoNormal"/>
      </w:pPr>
      <w:r w:rsidRPr="003754FE">
        <w:rPr>
          <w:rStyle w:val="NumeroAFNegritaCaracter"/>
        </w:rPr>
        <w:t>2</w:t>
      </w:r>
      <w:r>
        <w:t>. El recurso trae causa de los siguientes antecedentes, coincidentes con los de los recursos de amparo 916-2022 y 917-2022, resueltos, respectivamente, por las SSTC 114/2024, de 11 de septiembre, y 129/2024, de 22 de octubre.</w:t>
      </w:r>
    </w:p>
    <w:p w14:paraId="5E011BE8" w14:textId="77777777" w:rsidR="003754FE" w:rsidRDefault="003754FE" w:rsidP="003754FE">
      <w:pPr>
        <w:pStyle w:val="TextoNormal"/>
      </w:pPr>
    </w:p>
    <w:p w14:paraId="6BD9DF11" w14:textId="77777777" w:rsidR="003754FE" w:rsidRDefault="003754FE" w:rsidP="003754FE">
      <w:pPr>
        <w:pStyle w:val="TextoNormal"/>
      </w:pPr>
      <w:r>
        <w:t>a) La mesa del Congreso de los Diputados, en su reunión de 26 de octubre de 2021, acordó: (i) derogar su anterior acuerdo de 16 de junio de 2020, que prorrogaba el acuerdo de 19 de marzo de 2020, relativo a la emisión del voto por el procedimiento telemático en las sesiones plenarias; (ii) que, hasta la finalización de la crisis sanitaria ocasionada por la covid-19, la mesa de la Cámara pudiera “establecer que, atendiendo a su duración u otras circunstancias […], en determinadas votaciones la totalidad de los diputados emitan su voto por el procedimiento telemático” y (iii) que “[e]n todos los supuestos en los que proceda el voto telemático, y sin perjuicio de lo previsto en la resolución de la mesa de la Cámara para el desarrollo de procedimiento de votación telemática, de 21 de mayo de 2012, la emisión del voto se hará a través de la intranet de la Cámara, con introducción de usuario y contraseña, como método de verificación de la emisión personal del voto”.</w:t>
      </w:r>
    </w:p>
    <w:p w14:paraId="23625A45" w14:textId="77777777" w:rsidR="003754FE" w:rsidRDefault="003754FE" w:rsidP="003754FE">
      <w:pPr>
        <w:pStyle w:val="TextoNormal"/>
      </w:pPr>
    </w:p>
    <w:p w14:paraId="483948E5" w14:textId="77777777" w:rsidR="003754FE" w:rsidRDefault="003754FE" w:rsidP="003754FE">
      <w:pPr>
        <w:pStyle w:val="TextoNormal"/>
      </w:pPr>
      <w:r>
        <w:t>b) La mesa del Congreso de los Diputados, en su reunión de 1 de febrero de 2022, con carácter complementario al anterior acuerdo, acordó permitir que los diputados autorizados para emitir su voto telemáticamente pudieran hacerlo respecto de todos los asuntos incluidos en el orden del día del Pleno, organizándose los debates y las votaciones para que los términos en que fueran a producirse estas últimas fuera conocido en la emisión del voto telemático, conforme a lo establecido en el artículo 82.2 del Reglamento del Congreso de los Diputados (RCD).</w:t>
      </w:r>
    </w:p>
    <w:p w14:paraId="35352EBD" w14:textId="77777777" w:rsidR="003754FE" w:rsidRDefault="003754FE" w:rsidP="003754FE">
      <w:pPr>
        <w:pStyle w:val="TextoNormal"/>
      </w:pPr>
    </w:p>
    <w:p w14:paraId="7710EAB1" w14:textId="77777777" w:rsidR="003754FE" w:rsidRDefault="003754FE" w:rsidP="003754FE">
      <w:pPr>
        <w:pStyle w:val="TextoNormal"/>
      </w:pPr>
      <w:r>
        <w:t xml:space="preserve">c) Con fecha de 1 de febrero de 2022, el diputado señor Casero Ávila solicitó la emisión del voto por el procedimiento telemático para las sesiones plenarias ordinarias que tendrían lugar desde el 1 al 3 de febrero de 2022, “al amparo de lo dispuesto en el artículo 82.2 del Reglamento de la Cámara, de la resolución de la mesa del Congreso de los Diputados de 21 </w:t>
      </w:r>
      <w:r>
        <w:lastRenderedPageBreak/>
        <w:t>de mayo de 2012 y de la comunicación cursada por el secretario general del Congreso de los Diputados de 26 de octubre de 2021”; a cuyo objeto acompañó certificado médico de enfermedad impeditiva del desempeño de la función parlamentaria. Con esa misma fecha, la mesa de la Cámara acordó autorizar al diputado la emisión del voto telemático en la sesión plenaria que comenzaría ese mismo día, delegando “en la Presidencia de la Cámara la concreción de los puntos del orden del día y los momentos de inicio y de finalización del tiempo para la emisión del voto en cada sesión plenaria comprendida en el periodo por el que se concede la presente autorización”.</w:t>
      </w:r>
    </w:p>
    <w:p w14:paraId="659A6C56" w14:textId="77777777" w:rsidR="003754FE" w:rsidRDefault="003754FE" w:rsidP="003754FE">
      <w:pPr>
        <w:pStyle w:val="TextoNormal"/>
      </w:pPr>
    </w:p>
    <w:p w14:paraId="343D595C" w14:textId="77777777" w:rsidR="003754FE" w:rsidRDefault="003754FE" w:rsidP="003754FE">
      <w:pPr>
        <w:pStyle w:val="TextoNormal"/>
      </w:pPr>
      <w:r>
        <w:t>d) El 3 de febrero de 2022 se celebró la sesión plenaria del Congreso de los Diputados en la que, entre otros puntos del orden del día, se incluía la votación de la convalidación o derogación del Real Decreto-ley 32/2021, de 28 de diciembre, de medidas urgentes para la reforma laboral, la garantía de estabilidad en el empleo y la transformación del mercado de trabajo. Según consta en el “Diario de Sesiones del Congreso de los Diputados”, Pleno y Diputación Permanente, XIV Legislatura, núm. 156, de 3 de febrero de 2022, pág. 94, el resultado de la votación fue de 175 votos a favor (166 más nueve votos telemáticos) y 174 en contra (169 más cinco votos telemáticos), por lo que el Real Decreto-ley 32/2021 quedó convalidado.</w:t>
      </w:r>
    </w:p>
    <w:p w14:paraId="1E3D6F5C" w14:textId="77777777" w:rsidR="003754FE" w:rsidRDefault="003754FE" w:rsidP="003754FE">
      <w:pPr>
        <w:pStyle w:val="TextoNormal"/>
      </w:pPr>
    </w:p>
    <w:p w14:paraId="5D2367AA" w14:textId="77777777" w:rsidR="003754FE" w:rsidRDefault="003754FE" w:rsidP="003754FE">
      <w:pPr>
        <w:pStyle w:val="TextoNormal"/>
      </w:pPr>
      <w:r>
        <w:t>e) Una vez finalizadas las votaciones y antes de que la presidenta del Congreso de los Diputados levantara la sesión, pidió la palabra la diputada del Grupo Parlamentario Popular, señora Gamarra Ruiz-Clavijo, constando en el “Diario de Sesiones” núm. 156, de 3 de febrero de 2022, págs. 96 y 97, los siguientes extremos:</w:t>
      </w:r>
    </w:p>
    <w:p w14:paraId="44E28922" w14:textId="77777777" w:rsidR="003754FE" w:rsidRDefault="003754FE" w:rsidP="003754FE">
      <w:pPr>
        <w:pStyle w:val="TextoNormal"/>
      </w:pPr>
    </w:p>
    <w:p w14:paraId="27BE1682" w14:textId="77777777" w:rsidR="003754FE" w:rsidRDefault="003754FE" w:rsidP="003754FE">
      <w:pPr>
        <w:pStyle w:val="TextoNormal"/>
      </w:pPr>
      <w:r>
        <w:t>“La señora Gamarra Ruiz-Clavijo: Señora presidenta, con carácter previo a la votación se ha puesto de manifiesto a la mesa un error informático.</w:t>
      </w:r>
    </w:p>
    <w:p w14:paraId="3362ED75" w14:textId="77777777" w:rsidR="003754FE" w:rsidRDefault="003754FE" w:rsidP="003754FE">
      <w:pPr>
        <w:pStyle w:val="TextoNormal"/>
      </w:pPr>
    </w:p>
    <w:p w14:paraId="406DCCDD" w14:textId="77777777" w:rsidR="003754FE" w:rsidRDefault="003754FE" w:rsidP="003754FE">
      <w:pPr>
        <w:pStyle w:val="TextoNormal"/>
      </w:pPr>
      <w:r>
        <w:t>La señora presidenta: Señora Gamarra, ¿en función de qué artículo me está usted pidiendo la palabra?.</w:t>
      </w:r>
    </w:p>
    <w:p w14:paraId="25691831" w14:textId="77777777" w:rsidR="003754FE" w:rsidRDefault="003754FE" w:rsidP="003754FE">
      <w:pPr>
        <w:pStyle w:val="TextoNormal"/>
      </w:pPr>
    </w:p>
    <w:p w14:paraId="49402C56" w14:textId="77777777" w:rsidR="003754FE" w:rsidRDefault="003754FE" w:rsidP="003754FE">
      <w:pPr>
        <w:pStyle w:val="TextoNormal"/>
      </w:pPr>
      <w:r>
        <w:t>La señora Gamarra Ruiz-Clavijo: Artículo 72. (Rumores).</w:t>
      </w:r>
    </w:p>
    <w:p w14:paraId="7CA6D430" w14:textId="77777777" w:rsidR="003754FE" w:rsidRDefault="003754FE" w:rsidP="003754FE">
      <w:pPr>
        <w:pStyle w:val="TextoNormal"/>
      </w:pPr>
    </w:p>
    <w:p w14:paraId="04F08A56" w14:textId="77777777" w:rsidR="003754FE" w:rsidRDefault="003754FE" w:rsidP="003754FE">
      <w:pPr>
        <w:pStyle w:val="TextoNormal"/>
      </w:pPr>
      <w:r>
        <w:t>La señora presidenta: Señora Gamarra, precisamente porque la mesa es conocedora y ha podido analizar lo que usted me va a plantear, y es una cuestión técnica de la mesa, de decisión de la mesa, y no de tratamiento de Pleno, no le voy a dar la palabra.</w:t>
      </w:r>
    </w:p>
    <w:p w14:paraId="2EC661E0" w14:textId="77777777" w:rsidR="003754FE" w:rsidRDefault="003754FE" w:rsidP="003754FE">
      <w:pPr>
        <w:pStyle w:val="TextoNormal"/>
      </w:pPr>
    </w:p>
    <w:p w14:paraId="6C6420F6" w14:textId="77777777" w:rsidR="003754FE" w:rsidRDefault="003754FE" w:rsidP="003754FE">
      <w:pPr>
        <w:pStyle w:val="TextoNormal"/>
      </w:pPr>
      <w:r>
        <w:t>La señora Gamarra Ruiz-Clavijo: Señora presidenta… (Protestas. Varios señores diputados: ¡Tongo, tongo! ¡Qué vergüenza!).</w:t>
      </w:r>
    </w:p>
    <w:p w14:paraId="47B2EE26" w14:textId="77777777" w:rsidR="003754FE" w:rsidRDefault="003754FE" w:rsidP="003754FE">
      <w:pPr>
        <w:pStyle w:val="TextoNormal"/>
      </w:pPr>
    </w:p>
    <w:p w14:paraId="2B26AC8D" w14:textId="77777777" w:rsidR="003754FE" w:rsidRDefault="003754FE" w:rsidP="003754FE">
      <w:pPr>
        <w:pStyle w:val="TextoNormal"/>
      </w:pPr>
      <w:r>
        <w:t>La señora presidenta: Muchas gracias. Se levanta la sesión. (Aplausos).</w:t>
      </w:r>
    </w:p>
    <w:p w14:paraId="422827D3" w14:textId="77777777" w:rsidR="003754FE" w:rsidRDefault="003754FE" w:rsidP="003754FE">
      <w:pPr>
        <w:pStyle w:val="TextoNormal"/>
      </w:pPr>
    </w:p>
    <w:p w14:paraId="41C25D75" w14:textId="77777777" w:rsidR="003754FE" w:rsidRDefault="003754FE" w:rsidP="003754FE">
      <w:pPr>
        <w:pStyle w:val="TextoNormal"/>
      </w:pPr>
      <w:r>
        <w:t>Eran las seis y cuarenta minutos de la tarde”.</w:t>
      </w:r>
    </w:p>
    <w:p w14:paraId="79AECF40" w14:textId="77777777" w:rsidR="003754FE" w:rsidRDefault="003754FE" w:rsidP="003754FE">
      <w:pPr>
        <w:pStyle w:val="TextoNormal"/>
      </w:pPr>
    </w:p>
    <w:p w14:paraId="78D6D79C" w14:textId="77777777" w:rsidR="003754FE" w:rsidRDefault="003754FE" w:rsidP="003754FE">
      <w:pPr>
        <w:pStyle w:val="TextoNormal"/>
      </w:pPr>
      <w:r>
        <w:t xml:space="preserve">f) Según afirma en su demanda el grupo parlamentario recurrente, después de ejercer el voto de manera telemática para los asuntos contenidos en el orden del día de esa sesión plenaria, el diputado señor Casero Ávila se percató de que el resguardo emitido en relación con su voto telemático en la convalidación o derogación del Real Decreto-ley 32/2021 reflejaba un “sí”, lo cual no se correspondía con su voluntad de votar “no” en ese asunto, </w:t>
      </w:r>
      <w:r>
        <w:lastRenderedPageBreak/>
        <w:t>achacando ese error manifiesto a un origen informático o humano. En esa tesitura, ante la imposibilidad de comunicar la anterior circunstancia a la presidenta del Congreso, informó a su grupo parlamentario para que trasladasen la circunstancia a la presidenta antes de la votación presencial. Asimismo, el grupo recurrente expresa en su demanda que la cuestión fue trasladada a la presidenta del Congreso de los Diputados antes de la votación plenaria de ese asunto, tanto por la vicepresidenta segunda y el secretario cuarto del Congreso, señora Pastor Julián y señor Suárez Illana, como por la portavoz de su grupo parlamentario, señora Gamarra Ruiz-Clavijo; siendo estos hechos los que habrían dado lugar a la intervención de la portavoz al finalizar las votaciones, como se recoge en la parte del “Diario de Sesiones” reproducida.</w:t>
      </w:r>
    </w:p>
    <w:p w14:paraId="44375050" w14:textId="77777777" w:rsidR="003754FE" w:rsidRDefault="003754FE" w:rsidP="003754FE">
      <w:pPr>
        <w:pStyle w:val="TextoNormal"/>
      </w:pPr>
    </w:p>
    <w:p w14:paraId="2D3BEA78" w14:textId="77777777" w:rsidR="003754FE" w:rsidRDefault="003754FE" w:rsidP="003754FE">
      <w:pPr>
        <w:pStyle w:val="TextoNormal"/>
      </w:pPr>
      <w:r>
        <w:t>g) El mismo 3 de febrero de 2022, después de levantada la sesión plenaria, tuvo entrada en el registro del Congreso de los Diputados escrito de la portavoz del Grupo Parlamentario Popular en el que manifestaba que antes de iniciarse la votación plenaria de la convalidación o derogación del Real Decreto-ley 32/2021 se puso de manifiesto a la Presidencia de la Cámara, por miembros de la mesa y de la dirección de su grupo parlamentario, que no se estaba respetando lo dispuesto en los apartados cuarto y sexto de la resolución de la mesa del Congreso de los Diputados de 21 de mayo de 2012 para el desarrollo de los procedimientos de votación telemática (en adelante, de forma general, resolución de 2012), por dos motivos: (i) porque no se había verificado telefónicamente con el diputado señor Casero Ávila la emisión de su voto telemático y el sentido de este, según lo previsto en el apartado cuarto de la citada resolución; y (ii) porque no se había convocado a la mesa de la Cámara para dar trámite a la petición del diputado de emitir su voto presencialmente, según lo previsto en el apartado sexto de la resolución. Por todo lo anterior, en el escrito se solicitaba que no se publicase la votación plenaria efectuada sobre la convalidación o derogación del Real Decreto-ley 32/2021, así como que no se emitiese la resolución de la Presidencia de la Cámara ordenando la publicación en el “Boletín Oficial del Estado” del acuerdo de convalidación.</w:t>
      </w:r>
    </w:p>
    <w:p w14:paraId="5C06CE2A" w14:textId="77777777" w:rsidR="003754FE" w:rsidRDefault="003754FE" w:rsidP="003754FE">
      <w:pPr>
        <w:pStyle w:val="TextoNormal"/>
      </w:pPr>
    </w:p>
    <w:p w14:paraId="64183E84" w14:textId="77777777" w:rsidR="003754FE" w:rsidRDefault="003754FE" w:rsidP="003754FE">
      <w:pPr>
        <w:pStyle w:val="TextoNormal"/>
      </w:pPr>
      <w:r>
        <w:t>Ese escrito venía acompañado por otro del diputado Sr. Casero Ávila de la misma fecha, en el que manifestaba que se había visto vulnerado su “derecho fundamental al ejercicio del voto establecido por la Constitución Española”, y que, por ello, el resultado correspondiente a la convalidación del Real Decreto-ley 32/2021 no expresaba la voluntad popular, “puesto que uno de los votos emitidos es contrario al sentido expresado por mí mediante el sistema telemático”.</w:t>
      </w:r>
    </w:p>
    <w:p w14:paraId="0E9792F4" w14:textId="77777777" w:rsidR="003754FE" w:rsidRDefault="003754FE" w:rsidP="003754FE">
      <w:pPr>
        <w:pStyle w:val="TextoNormal"/>
      </w:pPr>
    </w:p>
    <w:p w14:paraId="288274B6" w14:textId="77777777" w:rsidR="003754FE" w:rsidRDefault="003754FE" w:rsidP="003754FE">
      <w:pPr>
        <w:pStyle w:val="TextoNormal"/>
      </w:pPr>
      <w:r>
        <w:t>h) También el 3 de febrero de 2022 tuvo entrada en el registro del Congreso de los Diputados escrito de la vicepresidenta segunda, señora Pastor Julián, y del secretario cuarto, señor Suárez Illana, en el que solicitaban la convocatoria urgente de la mesa para “tratar el que no se convocase por parte de la presidenta una reunión de la mesa incumpliendo el apartado sexto de la resolución de la mesa del Congreso de los Diputados, de 21 de mayo de 2012 tras la solicitud de miembros de la dirección del Grupo Parlamentario Popular y miembros de la mesa, para abordar la petición del diputado don Alberto Casero de anular el voto telemático realizado por él y recibir la consiguiente autorización para votar presencialmente la derogación o convalidación del Real Decreto-ley 32/2021”.</w:t>
      </w:r>
    </w:p>
    <w:p w14:paraId="158A1589" w14:textId="77777777" w:rsidR="003754FE" w:rsidRDefault="003754FE" w:rsidP="003754FE">
      <w:pPr>
        <w:pStyle w:val="TextoNormal"/>
      </w:pPr>
    </w:p>
    <w:p w14:paraId="05142AD5" w14:textId="77777777" w:rsidR="003754FE" w:rsidRDefault="003754FE" w:rsidP="003754FE">
      <w:pPr>
        <w:pStyle w:val="TextoNormal"/>
      </w:pPr>
      <w:r>
        <w:t xml:space="preserve">i) Posteriormente, en fecha de 4 de febrero de 2022, mediante un nuevo escrito la diputada portavoz del Grupo Parlamentario Popular viene a recordar a la presidenta del Congreso </w:t>
      </w:r>
      <w:r>
        <w:lastRenderedPageBreak/>
        <w:t>que está pendiente la convocatoria urgente de la mesa de la Cámara, solicitada por dos de sus miembros en el escrito anteriormente referenciado, al tiempo que reitera su solicitud para que por la Presidencia de la Cámara se “ordene la inmediata suspensión y paralización de cualesquiera trámites dirigidos a la publicación y efectividad de la votación […] respecto de la convalidación o derogación del Real Decreto-ley 32/2021, de 28 de diciembre a todos los efectos”.</w:t>
      </w:r>
    </w:p>
    <w:p w14:paraId="5196AD3F" w14:textId="77777777" w:rsidR="003754FE" w:rsidRDefault="003754FE" w:rsidP="003754FE">
      <w:pPr>
        <w:pStyle w:val="TextoNormal"/>
      </w:pPr>
    </w:p>
    <w:p w14:paraId="09DE0339" w14:textId="77777777" w:rsidR="003754FE" w:rsidRDefault="003754FE" w:rsidP="003754FE">
      <w:pPr>
        <w:pStyle w:val="TextoNormal"/>
      </w:pPr>
      <w:r>
        <w:t>También con fecha de 4 de febrero presentaron escrito en el mismo sentido, solicitando convocatoria de la mesa, la señora vicepresidenta segunda y el señor secretario cuarto del Congreso.</w:t>
      </w:r>
    </w:p>
    <w:p w14:paraId="7F6C87E3" w14:textId="77777777" w:rsidR="003754FE" w:rsidRDefault="003754FE" w:rsidP="003754FE">
      <w:pPr>
        <w:pStyle w:val="TextoNormal"/>
      </w:pPr>
    </w:p>
    <w:p w14:paraId="2501B02C" w14:textId="77777777" w:rsidR="003754FE" w:rsidRDefault="003754FE" w:rsidP="003754FE">
      <w:pPr>
        <w:pStyle w:val="TextoNormal"/>
      </w:pPr>
      <w:r>
        <w:t>Asimismo, ese día presentó un nuevo escrito el diputado señor Casero Ávila, planteando igual solicitud de suspensión y paralización de trámites, después de manifestar que se le había vulnerado su derecho de voto y que se le había impedido formular presencialmente su voto en la sesión plenaria.</w:t>
      </w:r>
    </w:p>
    <w:p w14:paraId="70FDD08E" w14:textId="77777777" w:rsidR="003754FE" w:rsidRDefault="003754FE" w:rsidP="003754FE">
      <w:pPr>
        <w:pStyle w:val="TextoNormal"/>
      </w:pPr>
    </w:p>
    <w:p w14:paraId="008AF0B0" w14:textId="77777777" w:rsidR="003754FE" w:rsidRDefault="003754FE" w:rsidP="003754FE">
      <w:pPr>
        <w:pStyle w:val="TextoNormal"/>
      </w:pPr>
      <w:r>
        <w:t>j) Con fecha de 7 de febrero de 2022, ochenta y cuatro diputados pertenecientes al Grupo Parlamentario Popular, que representaban más de un quinto de los miembros del Congreso, solicitaron, al amparo del art. 39.1 del Reglamento del Congreso de los Diputados, la convocatoria urgente de la junta de portavoces “para adoptar las decisiones que procedan en relación con los hechos acaecidos”, en relación con la solicitud del diputado señor Casero Ávila y la convocatoria de la mesa.</w:t>
      </w:r>
    </w:p>
    <w:p w14:paraId="55334D82" w14:textId="77777777" w:rsidR="003754FE" w:rsidRDefault="003754FE" w:rsidP="003754FE">
      <w:pPr>
        <w:pStyle w:val="TextoNormal"/>
      </w:pPr>
    </w:p>
    <w:p w14:paraId="1E378CC2" w14:textId="77777777" w:rsidR="003754FE" w:rsidRDefault="003754FE" w:rsidP="003754FE">
      <w:pPr>
        <w:pStyle w:val="TextoNormal"/>
      </w:pPr>
      <w:r>
        <w:t>También el 7 de febrero de 2022 presentó un nuevo escrito el diputado señor Casero Ávila en el que, como en el anterior de 3 de febrero de 2022, solicitaba “la inmediata suspensión y paralización de cualesquiera trámites dirigidos a la publicación y efectividad de la votación […] respecto de la convalidación o derogación del Real Decreto-ley 32/2021 […], hasta que se vea restablecido mi derecho”.</w:t>
      </w:r>
    </w:p>
    <w:p w14:paraId="6140A983" w14:textId="77777777" w:rsidR="003754FE" w:rsidRDefault="003754FE" w:rsidP="003754FE">
      <w:pPr>
        <w:pStyle w:val="TextoNormal"/>
      </w:pPr>
    </w:p>
    <w:p w14:paraId="2BFF3933" w14:textId="77777777" w:rsidR="003754FE" w:rsidRDefault="003754FE" w:rsidP="003754FE">
      <w:pPr>
        <w:pStyle w:val="TextoNormal"/>
      </w:pPr>
      <w:r>
        <w:t>k) En esa misma fecha de 7 de febrero de 2022, la presidenta del Congreso de los Diputados dirigió sendos escritos a la vicepresidenta segunda y al secretario cuarto de la mesa de la Cámara en los que expone “En contestación a sus solicitudes de convocatoria de la mesa de la Cámara para tratar el por qué la misma no fue convocada para resolver en relación con la petición de anulación […] del voto emitido telemáticamente por el señor Casero Ávila […], le comunico que el examen de los asuntos referidos en sus solicitudes, así como las cuestiones a las que se refieren el resto de escritos que, relativos a este tema, han tenido entrada en el registro de la Cámara, se producirá en la próxima reunión de la mesa, que se celebrará, en todo caso, con carácter previo a la sesión plenaria que comenzará el 15 de febrero de 2022”.</w:t>
      </w:r>
    </w:p>
    <w:p w14:paraId="7AAB3AF9" w14:textId="77777777" w:rsidR="003754FE" w:rsidRDefault="003754FE" w:rsidP="003754FE">
      <w:pPr>
        <w:pStyle w:val="TextoNormal"/>
      </w:pPr>
    </w:p>
    <w:p w14:paraId="3DBEDBA0" w14:textId="77777777" w:rsidR="003754FE" w:rsidRDefault="003754FE" w:rsidP="003754FE">
      <w:pPr>
        <w:pStyle w:val="TextoNormal"/>
      </w:pPr>
      <w:r>
        <w:t>l) También el 7 de febrero de 2022, a la vista del anterior escrito, la vicepresidenta segunda y el secretario cuarto del Congreso de los Diputados reiteraron mediante un nuevo escrito su petición de convocatoria urgente de la mesa de la Cámara, manifestando que lo comunicado por la presidenta del Congreso no daba respuesta a sus solicitudes.</w:t>
      </w:r>
    </w:p>
    <w:p w14:paraId="368FEDDA" w14:textId="77777777" w:rsidR="003754FE" w:rsidRDefault="003754FE" w:rsidP="003754FE">
      <w:pPr>
        <w:pStyle w:val="TextoNormal"/>
      </w:pPr>
    </w:p>
    <w:p w14:paraId="391C93C7" w14:textId="77777777" w:rsidR="003754FE" w:rsidRDefault="003754FE" w:rsidP="003754FE">
      <w:pPr>
        <w:pStyle w:val="TextoNormal"/>
      </w:pPr>
      <w:r>
        <w:t>m) En el “Boletín Oficial del Estado” de 8 de febrero de 2022 se publicó la resolución de 3 de febrero de 2022, del Congreso de los Diputados, por la que se ordena la publicación del acuerdo de convalidación del Real Decreto-ley 32/2021, de 28 de diciembre.</w:t>
      </w:r>
    </w:p>
    <w:p w14:paraId="6D2D6438" w14:textId="77777777" w:rsidR="003754FE" w:rsidRDefault="003754FE" w:rsidP="003754FE">
      <w:pPr>
        <w:pStyle w:val="TextoNormal"/>
      </w:pPr>
    </w:p>
    <w:p w14:paraId="1447E4FE" w14:textId="77777777" w:rsidR="003754FE" w:rsidRDefault="003754FE" w:rsidP="003754FE">
      <w:pPr>
        <w:pStyle w:val="TextoNormal"/>
      </w:pPr>
      <w:r>
        <w:t>n) Ese mismo día 8 de febrero de 2022 la vicepresidenta segunda y el secretario cuarto del Congreso presentaron un nuevo escrito solicitando que los escritos presentados por ellos y por el Grupo Parlamentario Popular se incluyeran en el orden del día de la mesa de esa misma fecha.</w:t>
      </w:r>
    </w:p>
    <w:p w14:paraId="1FF981F1" w14:textId="77777777" w:rsidR="003754FE" w:rsidRDefault="003754FE" w:rsidP="003754FE">
      <w:pPr>
        <w:pStyle w:val="TextoNormal"/>
      </w:pPr>
    </w:p>
    <w:p w14:paraId="5DBFD162" w14:textId="77777777" w:rsidR="003754FE" w:rsidRDefault="003754FE" w:rsidP="003754FE">
      <w:pPr>
        <w:pStyle w:val="TextoNormal"/>
      </w:pPr>
      <w:r>
        <w:t>ñ) El 11 de febrero de 2022 la presidenta del Congreso de los Diputados dirigió un escrito a la portavoz del Grupo Parlamentario Popular, en el que, en relación con los escritos presentados por ella y por los diputados de su grupo parlamentario, le significaba que en aplicación del art. 151.6 RCD y conforme al proceder habitual, correspondía la ejecución del acuerdo plenario de convalidación del Real Decreto-ley 32/2021 dando publicidad en la página web de la Cámara al resultado de las votaciones y ordenando la publicación en el “Boletín Oficial de las Cortes Generales” y en el “Boletín Oficial del Estado”. En el escrito se indicaba que “cuando la Cámara se pronuncia, se entiende válidamente expresada su voluntad, sin que sea posible disponer de la misma”, así como que en la fecha que era conocida por la destinataria del escrito se celebraría reunión de la junta de portavoces “para la ordenación, en el marco de sus competencias, de las cuestiones relativas al Pleno”.</w:t>
      </w:r>
    </w:p>
    <w:p w14:paraId="33429461" w14:textId="77777777" w:rsidR="003754FE" w:rsidRDefault="003754FE" w:rsidP="003754FE">
      <w:pPr>
        <w:pStyle w:val="TextoNormal"/>
      </w:pPr>
    </w:p>
    <w:p w14:paraId="7D9B75A2" w14:textId="77777777" w:rsidR="003754FE" w:rsidRDefault="003754FE" w:rsidP="003754FE">
      <w:pPr>
        <w:pStyle w:val="TextoNormal"/>
      </w:pPr>
      <w:r>
        <w:t>Ese mismo día, la presidenta del Congreso dirigió escrito al diputado señor Casero Ávila, con un contenido igual al anterior en cuanto a la obligada publicación del acuerdo plenario de convalidación, y en el que se indicaba, además, que “las votaciones telemáticas que tuvieron lugar en el marco de la sesión plenaria de 3 de febrero se desarrollaron sin que se produjera ninguna incidencia técnica, no pudiéndose imputar a un fallo del sistema la circunstancia puesta de manifiesto por V.E. de que su voto no se correspondiera con la que era su voluntad. Por ello, su voto, que se emitió conforme al procedimiento establecido, es válido, sin que quepa entender que se ha producido una vulneración de su derecho”.</w:t>
      </w:r>
    </w:p>
    <w:p w14:paraId="306574DB" w14:textId="77777777" w:rsidR="003754FE" w:rsidRDefault="003754FE" w:rsidP="003754FE">
      <w:pPr>
        <w:pStyle w:val="TextoNormal"/>
      </w:pPr>
    </w:p>
    <w:p w14:paraId="3510A5D7" w14:textId="77777777" w:rsidR="003754FE" w:rsidRDefault="003754FE" w:rsidP="003754FE">
      <w:pPr>
        <w:pStyle w:val="TextoNormal"/>
      </w:pPr>
      <w:r>
        <w:t xml:space="preserve">o) En su reunión de 15 de febrero de 2022, la mesa del Congreso adoptó el siguiente acuerdo: </w:t>
      </w:r>
    </w:p>
    <w:p w14:paraId="36BA14F6" w14:textId="77777777" w:rsidR="003754FE" w:rsidRDefault="003754FE" w:rsidP="003754FE">
      <w:pPr>
        <w:pStyle w:val="TextoNormal"/>
      </w:pPr>
    </w:p>
    <w:p w14:paraId="75FDDF14" w14:textId="77777777" w:rsidR="003754FE" w:rsidRDefault="003754FE" w:rsidP="003754FE">
      <w:pPr>
        <w:pStyle w:val="TextoNormal"/>
      </w:pPr>
      <w:r>
        <w:t>“Teniendo en cuenta las posiciones manifestadas en el debate, y con el voto en contra de la señora Pastor y de los señores Gil y Suárez, la mesa acuerda respaldar las decisiones de la Presidencia adoptadas el pasado día 3 de febrero, de acuerdo con el Informe de la Secretaría General; constatar, ante el Informe técnico, la inexistencia de fallo telemático y, en consecuencia, la falta del supuesto de aplicación del apartado sexto de la resolución de la mesa del Congreso de los Diputados, de 21 de mayo de 2012 […] y reafirmar que los errores humanos no dan lugar a corrección ni a repetición del voto”.</w:t>
      </w:r>
    </w:p>
    <w:p w14:paraId="4329E27B" w14:textId="77777777" w:rsidR="003754FE" w:rsidRDefault="003754FE" w:rsidP="003754FE">
      <w:pPr>
        <w:pStyle w:val="TextoNormal"/>
      </w:pPr>
    </w:p>
    <w:p w14:paraId="4637BB52" w14:textId="77777777" w:rsidR="003754FE" w:rsidRDefault="003754FE" w:rsidP="003754FE">
      <w:pPr>
        <w:pStyle w:val="TextoNormal"/>
      </w:pPr>
      <w:r>
        <w:t>p) El informe de la Secretaría General del Congreso de los Diputados al que se hace mención en el acuerdo recién citado contiene, en extracto, las siguientes conclusiones:</w:t>
      </w:r>
    </w:p>
    <w:p w14:paraId="78F08BAD" w14:textId="77777777" w:rsidR="003754FE" w:rsidRDefault="003754FE" w:rsidP="003754FE">
      <w:pPr>
        <w:pStyle w:val="TextoNormal"/>
      </w:pPr>
    </w:p>
    <w:p w14:paraId="4AF27D2C" w14:textId="77777777" w:rsidR="003754FE" w:rsidRDefault="003754FE" w:rsidP="003754FE">
      <w:pPr>
        <w:pStyle w:val="TextoNormal"/>
      </w:pPr>
      <w:r>
        <w:t>“1. El procedimiento de votación, única forma válida de expresión de la voluntad de la Cámara, no es disponible para el diputado […] el procedimiento de votación telemática es de carácter excepcional, de modo que solo cabe de forma limitada, no pudiendo comportar ninguna ventaja frente a los votantes presenciales y debiendo articularse de manera que garantice la personalidad del voto.</w:t>
      </w:r>
    </w:p>
    <w:p w14:paraId="779B2C35" w14:textId="77777777" w:rsidR="003754FE" w:rsidRDefault="003754FE" w:rsidP="003754FE">
      <w:pPr>
        <w:pStyle w:val="TextoNormal"/>
      </w:pPr>
    </w:p>
    <w:p w14:paraId="4AEA2F58" w14:textId="77777777" w:rsidR="003754FE" w:rsidRDefault="003754FE" w:rsidP="003754FE">
      <w:pPr>
        <w:pStyle w:val="TextoNormal"/>
      </w:pPr>
      <w:r>
        <w:lastRenderedPageBreak/>
        <w:t>2. El voto del señor Casero fue válidamente emitido y produce plenos efectos. Tal y como ha quedado acreditado, no se produjo un fallo en el sistema de votación […] tampoco resultó violentado el procedimiento de votación telemática, el cual se desarrolló de conformidad con el régimen jurídico vigente, […] la comprobación personal a que se refiere el artículo 82.2 del Reglamento se realiza, no en los términos del apartado cuarto de la resolución de la mesa de 21 de mayo de 2012, sino mediante la introducción de usuario y contraseña en la intranet de la Cámara.</w:t>
      </w:r>
    </w:p>
    <w:p w14:paraId="1B99BF91" w14:textId="77777777" w:rsidR="003754FE" w:rsidRDefault="003754FE" w:rsidP="003754FE">
      <w:pPr>
        <w:pStyle w:val="TextoNormal"/>
      </w:pPr>
    </w:p>
    <w:p w14:paraId="1CBFC882" w14:textId="77777777" w:rsidR="003754FE" w:rsidRDefault="003754FE" w:rsidP="003754FE">
      <w:pPr>
        <w:pStyle w:val="TextoNormal"/>
      </w:pPr>
      <w:r>
        <w:t>3. Esta comprobación personal […] no está concebida como una vía para subsanar eventuales errores, sino como una garantía de la emisión personal del voto por quien es titular del mandato parlamentario.</w:t>
      </w:r>
    </w:p>
    <w:p w14:paraId="1EFF5C85" w14:textId="77777777" w:rsidR="003754FE" w:rsidRDefault="003754FE" w:rsidP="003754FE">
      <w:pPr>
        <w:pStyle w:val="TextoNormal"/>
      </w:pPr>
    </w:p>
    <w:p w14:paraId="30429E72" w14:textId="77777777" w:rsidR="003754FE" w:rsidRDefault="003754FE" w:rsidP="003754FE">
      <w:pPr>
        <w:pStyle w:val="TextoNormal"/>
      </w:pPr>
      <w:r>
        <w:t>4. El voto válidamente emitido, sea presencial o telemáticamente, es irrevocable, de lo que se deriva necesariamente que las votaciones, salvo error técnico […] y en los casos expresamente previstos en el Reglamento […] no se repiten.</w:t>
      </w:r>
    </w:p>
    <w:p w14:paraId="58BE0ECE" w14:textId="77777777" w:rsidR="003754FE" w:rsidRDefault="003754FE" w:rsidP="003754FE">
      <w:pPr>
        <w:pStyle w:val="TextoNormal"/>
      </w:pPr>
    </w:p>
    <w:p w14:paraId="511584AE" w14:textId="77777777" w:rsidR="003754FE" w:rsidRDefault="003754FE" w:rsidP="003754FE">
      <w:pPr>
        <w:pStyle w:val="TextoNormal"/>
      </w:pPr>
      <w:r>
        <w:t>5. El apartado sexto de la resolución de la mesa de 21 de mayo de 2012 […] no se concibe como una segunda oportunidad para el diputado que vota telemáticamente, sino como un mecanismo excepcional previsto para que, si fuese pertinente para mejor garantizar el derecho de voto, […] el diputado que en principio estaba autorizado para votar telemáticamente, pueda hacerlo de manera presencial.</w:t>
      </w:r>
    </w:p>
    <w:p w14:paraId="4A010724" w14:textId="77777777" w:rsidR="003754FE" w:rsidRDefault="003754FE" w:rsidP="003754FE">
      <w:pPr>
        <w:pStyle w:val="TextoNormal"/>
      </w:pPr>
    </w:p>
    <w:p w14:paraId="2C020D38" w14:textId="77777777" w:rsidR="003754FE" w:rsidRDefault="003754FE" w:rsidP="003754FE">
      <w:pPr>
        <w:pStyle w:val="TextoNormal"/>
      </w:pPr>
      <w:r>
        <w:t>6. De acuerdo con numerosos precedentes, en el caso del señor Casero no sería de aplicación el referido apartado sexto de la Resolución, toda vez que no se dan las circunstancias que hubieran justificado la anulación de su voto. En este contexto, no resultaba ni jurídicamente exigible y tampoco necesario reunir a la mesa.</w:t>
      </w:r>
    </w:p>
    <w:p w14:paraId="5AEFF1DE" w14:textId="77777777" w:rsidR="003754FE" w:rsidRDefault="003754FE" w:rsidP="003754FE">
      <w:pPr>
        <w:pStyle w:val="TextoNormal"/>
      </w:pPr>
    </w:p>
    <w:p w14:paraId="62E48BE8" w14:textId="68991488" w:rsidR="003754FE" w:rsidRDefault="003754FE" w:rsidP="003754FE">
      <w:pPr>
        <w:pStyle w:val="TextoNormal"/>
      </w:pPr>
      <w:r>
        <w:t>7. Finalmente, en cuanto a la petición de que se paralicen los trámites conducentes a dar efectividad al acuerdo de convalidación del Real Decreto-ley 32/2021, […] el Pleno de la Cámara se pronunció […] expresando su voluntad de manera definitiva. No siendo posible disponer de tal voluntad, […] lo que procede es su inmediata ejecución, en cumplimiento de lo establecido en el artículo 151.6 del Reglamento”.</w:t>
      </w:r>
    </w:p>
    <w:p w14:paraId="75A5BCA2" w14:textId="77777777" w:rsidR="003754FE" w:rsidRDefault="003754FE" w:rsidP="003754FE">
      <w:pPr>
        <w:pStyle w:val="TextoNormal"/>
      </w:pPr>
    </w:p>
    <w:p w14:paraId="2AA6131A" w14:textId="77777777" w:rsidR="003754FE" w:rsidRDefault="003754FE" w:rsidP="003754FE">
      <w:pPr>
        <w:pStyle w:val="TextoNormal"/>
      </w:pPr>
      <w:r w:rsidRPr="003754FE">
        <w:rPr>
          <w:rStyle w:val="NumeroAFNegritaCaracter"/>
        </w:rPr>
        <w:t>3</w:t>
      </w:r>
      <w:r>
        <w:t xml:space="preserve">. En la demanda se alega que las resoluciones recurridas han vulnerado el derecho fundamental de los diputados que forman parte del Grupo Parlamentario Popular, así como del grupo parlamentario como tal, a ejercer la función representativa de conformidad con la ley y en condiciones de igualdad </w:t>
      </w:r>
      <w:r w:rsidRPr="003754FE">
        <w:rPr>
          <w:i/>
        </w:rPr>
        <w:t>ex</w:t>
      </w:r>
      <w:r>
        <w:t xml:space="preserve"> art. 23.2 CE, a través de la manifestación de su postura colectiva sobre una determinada votación de índole legislativa, con referencia a la STC 361/2006, de 18 de diciembre, FJ 5. La vulneración traería causa de la incidencia de las resoluciones impugnadas para el ejercicio del derecho de voto del diputado de ese grupo parlamentario señor Casero Ávila. A este respecto, se razona en la demanda lo siguiente:</w:t>
      </w:r>
    </w:p>
    <w:p w14:paraId="32210E20" w14:textId="77777777" w:rsidR="003754FE" w:rsidRDefault="003754FE" w:rsidP="003754FE">
      <w:pPr>
        <w:pStyle w:val="TextoNormal"/>
      </w:pPr>
    </w:p>
    <w:p w14:paraId="4400B117" w14:textId="77777777" w:rsidR="003754FE" w:rsidRDefault="003754FE" w:rsidP="003754FE">
      <w:pPr>
        <w:pStyle w:val="TextoNormal"/>
      </w:pPr>
      <w:r>
        <w:t>a) El derecho de los parlamentarios a desempeñar su labor representativa no puede resultar ilegítimamente constreñido o ignorado por los actos de los órganos parlamentarios, que están obligados a interpretar restrictivamente todas aquellas normas que puedan suponer una limitación al ejercicio de sus derechos y atribuciones, y a motivar suficiente y adecuadamente las decisiones restrictivas de ese derecho.</w:t>
      </w:r>
    </w:p>
    <w:p w14:paraId="514C272A" w14:textId="77777777" w:rsidR="003754FE" w:rsidRDefault="003754FE" w:rsidP="003754FE">
      <w:pPr>
        <w:pStyle w:val="TextoNormal"/>
      </w:pPr>
    </w:p>
    <w:p w14:paraId="71198BCB" w14:textId="77777777" w:rsidR="003754FE" w:rsidRDefault="003754FE" w:rsidP="003754FE">
      <w:pPr>
        <w:pStyle w:val="TextoNormal"/>
      </w:pPr>
      <w:r>
        <w:lastRenderedPageBreak/>
        <w:t xml:space="preserve">b) El derecho de voto de los parlamentarios se encuentra incluido entre las funciones que integran el llamado </w:t>
      </w:r>
      <w:r w:rsidRPr="003754FE">
        <w:rPr>
          <w:i/>
        </w:rPr>
        <w:t>ius in officium</w:t>
      </w:r>
      <w:r>
        <w:t xml:space="preserve"> (STC 361/2006, de 18 de diciembre, FJ 3). En el presente caso, ese derecho se ha visto vulnerado porque la Presidencia de la Cámara, cuando le fue comunicado el error en la emisión del voto telemático por el diputado señor Casero Ávila, se negó a activar las garantías que hubiesen permitido corregir dicho error, previstas en la resolución de 2012, con la agravante de influir en el resultado final de la votación.</w:t>
      </w:r>
    </w:p>
    <w:p w14:paraId="45560E56" w14:textId="77777777" w:rsidR="003754FE" w:rsidRDefault="003754FE" w:rsidP="003754FE">
      <w:pPr>
        <w:pStyle w:val="TextoNormal"/>
      </w:pPr>
    </w:p>
    <w:p w14:paraId="13C820F7" w14:textId="77777777" w:rsidR="003754FE" w:rsidRDefault="003754FE" w:rsidP="003754FE">
      <w:pPr>
        <w:pStyle w:val="TextoNormal"/>
      </w:pPr>
      <w:r>
        <w:t>c) Las decisiones impugnadas han vulnerado el derecho al ejercicio del cargo representativo de conformidad con lo previsto en las leyes. La primera de esas decisiones, por la que se considera verificado el voto telemático del diputado en la votación del Real Decreto-ley 32/2021, ha infringido la imperativa comprobación de oficio, por la presidenta o persona delegada, de la efectiva emisión del voto y del sentido de este, como prescribe el apartado cuarto de la resolución de 2012 (“tras ejercer el voto mediante el procedimiento telemático, la Presidencia u órgano en quien delegue, comprobará telefónicamente con el diputado autorizado, antes del inicio de la votación presencial en el Pleno, la emisión efectiva del voto y el sentido de este”). Según el grupo demandante de amparo, se trata de un procedimiento vigente a partir del acuerdo de la mesa del Congreso de 26 de octubre de 2021, que no deroga dicho régimen al prever la votación telemática a través de la intranet de la Cámara “con la introducción de usuario y contraseña, como método de verificación de la emisión personal del voto”, siendo irrelevante la práctica “antirreglamentaria” reciente que no sigue los requisitos de la resolución de 2012. Añade el grupo recurrente que, aunque ese procedimiento no se hubiera activado de oficio, en todo caso debería haberse procedido a la comprobación del sentido del voto al haberlo solicitado el diputado y haberse puesto en conocimiento de la presidenta del Congreso de forma previa a la votación presencial, afirmando que existe un derecho del diputado a que la mesa pueda decidir o no sobre la sustitución del voto. Según la demanda, la decisión de no realizar dicha comprobación telefónica constituyó una actuación consciente y parcial para contabilizar un voto contrario a la voluntad del representante y permitir la aprobación de la iniciativa sometida a votación.</w:t>
      </w:r>
    </w:p>
    <w:p w14:paraId="0711E6C8" w14:textId="77777777" w:rsidR="003754FE" w:rsidRDefault="003754FE" w:rsidP="003754FE">
      <w:pPr>
        <w:pStyle w:val="TextoNormal"/>
      </w:pPr>
    </w:p>
    <w:p w14:paraId="1A7FCF71" w14:textId="77777777" w:rsidR="003754FE" w:rsidRDefault="003754FE" w:rsidP="003754FE">
      <w:pPr>
        <w:pStyle w:val="TextoNormal"/>
      </w:pPr>
      <w:r>
        <w:t>Por su parte, la segunda decisión impugnada, consistente en no convocar la mesa del Congreso de los Diputados de forma previa a la controvertida votación del Real Decreto-ley 32/2021, impidió que ese órgano de gobierno se pronunciase sobre la solicitud del diputado de votar presencialmente y sobre la consiguiente anulación de su voto telemático, infringiendo así lo dispuesto en el apartado sexto de la resolución de 2012 (“el diputado que hubiera emitido su voto mediante el procedimiento telemático no podrá emitir su voto presencial sin autorización expresa de la mesa de la Cámara que, en el supuesto que decida autorizar el voto presencial, declarará el voto telemático nulo y no emitido”).</w:t>
      </w:r>
    </w:p>
    <w:p w14:paraId="7711C2B8" w14:textId="77777777" w:rsidR="003754FE" w:rsidRDefault="003754FE" w:rsidP="003754FE">
      <w:pPr>
        <w:pStyle w:val="TextoNormal"/>
      </w:pPr>
    </w:p>
    <w:p w14:paraId="5A17B1AF" w14:textId="77777777" w:rsidR="003754FE" w:rsidRDefault="003754FE" w:rsidP="003754FE">
      <w:pPr>
        <w:pStyle w:val="TextoNormal"/>
      </w:pPr>
      <w:r>
        <w:t>En cuanto al acuerdo recurrido de la mesa del Congreso de los Diputados que respalda las anteriores decisiones de la Presidencia de la Cámara, se afirma que ha vulnerado el derecho fundamental alegado por haberse adoptado con base en el informe de la Secretaría General del Congreso ya referido, al que califica de errático e incoherente y con una fundamentación arbitraria por considerar que la anulación del voto telemático solo es posible en caso de error técnico acreditado, y por hacer referencia a unos precedentes que no son aplicables al supuesto del voto controvertido.</w:t>
      </w:r>
    </w:p>
    <w:p w14:paraId="0FD1C3E3" w14:textId="77777777" w:rsidR="003754FE" w:rsidRDefault="003754FE" w:rsidP="003754FE">
      <w:pPr>
        <w:pStyle w:val="TextoNormal"/>
      </w:pPr>
    </w:p>
    <w:p w14:paraId="79B648A1" w14:textId="77777777" w:rsidR="003754FE" w:rsidRDefault="003754FE" w:rsidP="003754FE">
      <w:pPr>
        <w:pStyle w:val="TextoNormal"/>
      </w:pPr>
      <w:r>
        <w:t xml:space="preserve">d) Se ha vulnerado el derecho al ejercicio del cargo representativo del diputado señor Casero Ávila porque las decisiones impugnadas han llevado a cabo una interpretación en </w:t>
      </w:r>
      <w:r>
        <w:lastRenderedPageBreak/>
        <w:t xml:space="preserve">exceso restrictiva y limitadora de las normas parlamentarias de aplicación, con menoscabo del principio de la interpretación más favorable a la plena eficacia de los derechos fundamentales implicados. Según la demanda, y a diferencia de lo que ocurre con el voto presencial, en el caso del voto telemático no se produce ningún perjuicio al interés general si se permite al diputado su corrección, cuando exista un error involuntario en su emisión y ello se comunique con anterioridad a la votación presencial. A su vez, esas decisiones limitativas del derecho carecen de motivación alguna, por lo que infringen también el </w:t>
      </w:r>
      <w:r w:rsidRPr="003754FE">
        <w:rPr>
          <w:i/>
        </w:rPr>
        <w:t>ius in officium</w:t>
      </w:r>
      <w:r>
        <w:t xml:space="preserve"> del diputado.</w:t>
      </w:r>
    </w:p>
    <w:p w14:paraId="575C8C98" w14:textId="77777777" w:rsidR="003754FE" w:rsidRDefault="003754FE" w:rsidP="003754FE">
      <w:pPr>
        <w:pStyle w:val="TextoNormal"/>
      </w:pPr>
    </w:p>
    <w:p w14:paraId="7CA08DF8" w14:textId="12EB627B" w:rsidR="003754FE" w:rsidRDefault="003754FE" w:rsidP="003754FE">
      <w:pPr>
        <w:pStyle w:val="TextoNormal"/>
      </w:pPr>
      <w:r>
        <w:t>e) Finalmente, la demanda indica que, si se diera el caso de que, en el momento de dictarse sentencia por el Tribunal Constitucional, no existiese la norma aprobada o hubiera concluido la legislatura en curso, procedería cuando menos el restablecimiento parcial mediante una sentencia declarativa de la vulneración del derecho. Al mismo tiempo, en el suplico de la demanda se solicita que se dicte sentencia por la que se otorgue el amparo solicitado, se declaren vulnerados el derecho del grupo parlamentario recurrente al ejercicio del cargo representativo conforme a la ley y en condiciones de igualdad, así como, indirectamente, el de los ciudadanos a la representación política, con el restablecimiento en ese derecho fundamental y revocando los referidos acuerdos tras declarar su nulidad, “así como declarando la nulidad de todos aquellos actos y normas que deriven de la tramitación legislativa en cuestión”.</w:t>
      </w:r>
    </w:p>
    <w:p w14:paraId="575E429F" w14:textId="77777777" w:rsidR="003754FE" w:rsidRDefault="003754FE" w:rsidP="003754FE">
      <w:pPr>
        <w:pStyle w:val="TextoNormal"/>
      </w:pPr>
    </w:p>
    <w:p w14:paraId="5981325B" w14:textId="4A882A6E" w:rsidR="003754FE" w:rsidRDefault="003754FE" w:rsidP="003754FE">
      <w:pPr>
        <w:pStyle w:val="TextoNormal"/>
      </w:pPr>
      <w:r w:rsidRPr="003754FE">
        <w:rPr>
          <w:rStyle w:val="NumeroAFNegritaCaracter"/>
        </w:rPr>
        <w:t>4</w:t>
      </w:r>
      <w:r>
        <w:t>. Mediante providencia de 17 de abril de 2023, la Sección Cuarta del Tribunal Constitucional acordó la admisión a trámite del recurso de amparo apreciando que concurre en él una especial trascendencia constitucional [art. 50.1 de la Ley Orgánica del Tribunal Constitucional (LOTC)] porque plantea un problema o afecta a una faceta de un derecho fundamental sobre el que no hay doctrina de este tribunal [STC 155/2009, de 25 de junio, FJ 2 a)] y porque el asunto trasciende del caso concreto porque pudiera tener unas consecuencias políticas generales [STC 155/2009, FJ 2, g)]. En la misma providencia, en aplicación de lo dispuesto en el art. 51 LOTC, se acordó también dirigir comunicación a la mesa del Congreso de los Diputados para la remisión de certificación o fotocopia adverada de las actuaciones correspondientes a las decisiones de la Presidencia del Congreso de los Diputados de 3 de febrero de 2022 y al acuerdo de la mesa del Congreso de 15 de febrero de 2022, notificado el 21 de febrero, por el que se decide en relación con los diversos escritos relativos al voto cuestionado, y para que, en plazo que no excediera de diez días, procediera a emplazar a quienes hubieran sido parte en el procedimiento, excepto la parte recurrente en amparo.</w:t>
      </w:r>
    </w:p>
    <w:p w14:paraId="2FF96515" w14:textId="77777777" w:rsidR="003754FE" w:rsidRDefault="003754FE" w:rsidP="003754FE">
      <w:pPr>
        <w:pStyle w:val="TextoNormal"/>
      </w:pPr>
    </w:p>
    <w:p w14:paraId="705B749D" w14:textId="2BA3573D" w:rsidR="003754FE" w:rsidRDefault="003754FE" w:rsidP="003754FE">
      <w:pPr>
        <w:pStyle w:val="TextoNormal"/>
      </w:pPr>
      <w:r w:rsidRPr="003754FE">
        <w:rPr>
          <w:rStyle w:val="NumeroAFNegritaCaracter"/>
        </w:rPr>
        <w:t>5</w:t>
      </w:r>
      <w:r>
        <w:t>. Mediante diligencia de ordenación de 11 de mayo de 2023, la Secretaría de Justicia del Pleno del Tribunal tuvo por personado y parte al Congreso de los Diputados, representado por la letrada de las Cortes Generales directora de la asesoría jurídica de la Secretaría General de la Cámara, y acordó dar vista de las actuaciones al Ministerio Fiscal y a las partes personadas para que por plazo común de veinte días pudieran presentar alegaciones, conforme a lo previsto en el art. 52 LOTC.</w:t>
      </w:r>
    </w:p>
    <w:p w14:paraId="7413E1E6" w14:textId="77777777" w:rsidR="003754FE" w:rsidRDefault="003754FE" w:rsidP="003754FE">
      <w:pPr>
        <w:pStyle w:val="TextoNormal"/>
      </w:pPr>
    </w:p>
    <w:p w14:paraId="1ADA12DE" w14:textId="77777777" w:rsidR="003754FE" w:rsidRDefault="003754FE" w:rsidP="003754FE">
      <w:pPr>
        <w:pStyle w:val="TextoNormal"/>
      </w:pPr>
      <w:r w:rsidRPr="003754FE">
        <w:rPr>
          <w:rStyle w:val="NumeroAFNegritaCaracter"/>
        </w:rPr>
        <w:t>6</w:t>
      </w:r>
      <w:r>
        <w:t xml:space="preserve">. El grupo parlamentario recurrente, en escrito registrado el 9 de junio de 2023, presentó sus alegaciones, ratificándose y remitiéndose en su integridad a lo manifestado en su escrito de demanda, afirmando que la documentación remitida por el Congreso de los Diputados </w:t>
      </w:r>
      <w:r>
        <w:lastRenderedPageBreak/>
        <w:t>confirma lo expuesto en la demanda y cuestionando el “Informe de la Secretaría General en relación con las votaciones correspondientes a la sesión plenaria del 3 de febrero de 2022”, incluido en las actuaciones remitidas por el Congreso de los Diputados y en el que fundó su acuerdo de 15 de febrero de 2022 la mesa del Congreso.</w:t>
      </w:r>
    </w:p>
    <w:p w14:paraId="5164484B" w14:textId="77777777" w:rsidR="003754FE" w:rsidRDefault="003754FE" w:rsidP="003754FE">
      <w:pPr>
        <w:pStyle w:val="TextoNormal"/>
      </w:pPr>
    </w:p>
    <w:p w14:paraId="37DEBBCF" w14:textId="1BB7151D" w:rsidR="003754FE" w:rsidRDefault="003754FE" w:rsidP="003754FE">
      <w:pPr>
        <w:pStyle w:val="TextoNormal"/>
      </w:pPr>
      <w:r>
        <w:t>A este respecto, se afirma que ese informe incurre en inexactitudes y errores por defender sin fundamento inteligible que la presidencia del Congreso no tenía la obligación de convocar la mesa conforme al apartado sexto de la resolución de 2012, por interpretar que la autorización del voto presencial a quien ha ejercido el voto telemático se circunscribe al supuesto fáctico de la existencia de un error técnico, por aludir a precedentes sobre la sustitución del voto telemático por el voto presencial que no son comparables con el de la causa, en particular porque en ninguno de ellos dependía el resultado de la votación del voto afectado por el error, y porque el hecho de que existan precedentes donde no se autorizó la sustitución del voto presencial por el telemático sin que eso fuera recurrido no justifica la perpetuación de prácticas contrarias a los derechos fundamentales. Y añade, por último, que el informe carece de fundamento cuando entiende que el voto telemático y el voto presencial sean términos comparables, a los efectos de un juicio de igualdad sobre su posible rectificación, considerando que no puede hablarse de un doble voto o de ventaja en el caso de que se permita que el voto telemático se anule y se permita votar presencialmente al diputado que lo emitió.</w:t>
      </w:r>
    </w:p>
    <w:p w14:paraId="12638574" w14:textId="77777777" w:rsidR="003754FE" w:rsidRDefault="003754FE" w:rsidP="003754FE">
      <w:pPr>
        <w:pStyle w:val="TextoNormal"/>
      </w:pPr>
    </w:p>
    <w:p w14:paraId="680A7731" w14:textId="77777777" w:rsidR="003754FE" w:rsidRDefault="003754FE" w:rsidP="003754FE">
      <w:pPr>
        <w:pStyle w:val="TextoNormal"/>
      </w:pPr>
      <w:r w:rsidRPr="003754FE">
        <w:rPr>
          <w:rStyle w:val="NumeroAFNegritaCaracter"/>
        </w:rPr>
        <w:t>7</w:t>
      </w:r>
      <w:r>
        <w:t>. Con fecha 14 de junio de 2023 se registró el escrito de alegaciones del Congreso de los Diputados, en el que se da cuenta de los hechos sintetizados en los antecedentes anteriores y se interesa la desestimación del recurso, aduciendo lo siguiente:</w:t>
      </w:r>
    </w:p>
    <w:p w14:paraId="25EA4933" w14:textId="77777777" w:rsidR="003754FE" w:rsidRDefault="003754FE" w:rsidP="003754FE">
      <w:pPr>
        <w:pStyle w:val="TextoNormal"/>
      </w:pPr>
    </w:p>
    <w:p w14:paraId="63FD80FD" w14:textId="77777777" w:rsidR="003754FE" w:rsidRDefault="003754FE" w:rsidP="003754FE">
      <w:pPr>
        <w:pStyle w:val="TextoNormal"/>
      </w:pPr>
      <w:r>
        <w:t>a) En relación con las decisiones de la presidenta del Congreso de los Diputados de 3 de febrero de 2022, se dan por reproducidos los fundamentos jurídico-materiales de las alegaciones formuladas al recurso de amparo 917-2022 en cuanto a la normativa vigente en el momento de los hechos sobre el procedimiento de voto telemático, sobre la válida emisión del voto telemático por el diputado señor Casero Ávila, sobre la posibilidad de anular un voto telemático válidamente emitido y la convocatoria de la mesa a ese respecto, y sobre la imposibilidad de repetir las votaciones y la aplicación de la teoría del error.</w:t>
      </w:r>
    </w:p>
    <w:p w14:paraId="31E76DF6" w14:textId="77777777" w:rsidR="003754FE" w:rsidRDefault="003754FE" w:rsidP="003754FE">
      <w:pPr>
        <w:pStyle w:val="TextoNormal"/>
      </w:pPr>
    </w:p>
    <w:p w14:paraId="57A14745" w14:textId="77777777" w:rsidR="003754FE" w:rsidRDefault="003754FE" w:rsidP="003754FE">
      <w:pPr>
        <w:pStyle w:val="TextoNormal"/>
      </w:pPr>
      <w:r>
        <w:t>b) En cuando al acuerdo de la mesa del Congreso de los Diputados de 15 de febrero de 2022, que respalda las decisiones de la presidenta del Congreso y que se impugna por primera vez en este recurso, argumenta la letrada de esa Cámara que el informe de la secretaría general en que se basa tal acuerdo no afirma que el apartado sexto de la resolución de 2012 se aplica únicamente en caso de error informático, en cuanto a la autorización del voto presencial y la anulación del telemático, sino que si se hubiera producido este hubiera procedido su aplicación, pero no cuando lo que se aduce es un error humano en la manifestación de la propia voluntad.</w:t>
      </w:r>
    </w:p>
    <w:p w14:paraId="3E4E87DB" w14:textId="77777777" w:rsidR="003754FE" w:rsidRDefault="003754FE" w:rsidP="003754FE">
      <w:pPr>
        <w:pStyle w:val="TextoNormal"/>
      </w:pPr>
    </w:p>
    <w:p w14:paraId="2F0B6B23" w14:textId="77777777" w:rsidR="003754FE" w:rsidRDefault="003754FE" w:rsidP="003754FE">
      <w:pPr>
        <w:pStyle w:val="TextoNormal"/>
      </w:pPr>
      <w:r>
        <w:t xml:space="preserve">A su vez, insiste en que el régimen vigente en el momento en que se producen los hechos era el consolidado de la resolución de 2012 y de los acuerdos que establecían un régimen especial, en determinados aspectos, durante la situación de pandemia, como ocurría con la posibilidad de votar sobre asuntos incluidos en el orden del día que fueran susceptibles de fragmentación o de modificación durante su debate plenario. Y considera que no está en la razón de ser de la norma que permite autorizar el voto presencial y anular el voto telemático </w:t>
      </w:r>
      <w:r>
        <w:lastRenderedPageBreak/>
        <w:t>posibilitar el cambio del sentido del voto, al tiempo que afirma que no habían cambiado las circunstancias del diputado señor Casero Ávila que justificaron su voto telemático (enfermedad grave), y que cuando el diputado se personó en el hemiciclo no participó en las votaciones presenciales.</w:t>
      </w:r>
    </w:p>
    <w:p w14:paraId="512CCBEC" w14:textId="77777777" w:rsidR="003754FE" w:rsidRDefault="003754FE" w:rsidP="003754FE">
      <w:pPr>
        <w:pStyle w:val="TextoNormal"/>
      </w:pPr>
    </w:p>
    <w:p w14:paraId="0F53DAC8" w14:textId="6A92AC44" w:rsidR="003754FE" w:rsidRDefault="003754FE" w:rsidP="003754FE">
      <w:pPr>
        <w:pStyle w:val="TextoNormal"/>
      </w:pPr>
      <w:r>
        <w:t>Finalmente, descarta que pueda ser relevante para la aplicación de la norma que permite autorizar el voto presencial al diputado que hubiera votado telemáticamente el hecho de que el resultado de una votación pudiera ser ajustado, al depender ese resultado de una suma de voluntades que, hasta el último momento, pueden variar.</w:t>
      </w:r>
    </w:p>
    <w:p w14:paraId="2A9C9797" w14:textId="77777777" w:rsidR="003754FE" w:rsidRDefault="003754FE" w:rsidP="003754FE">
      <w:pPr>
        <w:pStyle w:val="TextoNormal"/>
      </w:pPr>
    </w:p>
    <w:p w14:paraId="09E0FDF5" w14:textId="77777777" w:rsidR="003754FE" w:rsidRDefault="003754FE" w:rsidP="003754FE">
      <w:pPr>
        <w:pStyle w:val="TextoNormal"/>
      </w:pPr>
      <w:r w:rsidRPr="003754FE">
        <w:rPr>
          <w:rStyle w:val="NumeroAFNegritaCaracter"/>
        </w:rPr>
        <w:t>8</w:t>
      </w:r>
      <w:r>
        <w:t>. Mediante escrito registrado el 14 de junio de 2023, el Ministerio Fiscal presentó sus alegaciones interesando la desestimación íntegra del recurso de amparo. El escrito se inicia dando cuenta de los antecedentes del recurso y poniendo de manifiesto que las alegaciones que se formulan han de coincidir de forma sustancial con las expresadas en los recursos de amparo 916-2022 y 917-2022 dada la identidad sustancial de su contenido.</w:t>
      </w:r>
    </w:p>
    <w:p w14:paraId="73B10B29" w14:textId="77777777" w:rsidR="003754FE" w:rsidRDefault="003754FE" w:rsidP="003754FE">
      <w:pPr>
        <w:pStyle w:val="TextoNormal"/>
      </w:pPr>
    </w:p>
    <w:p w14:paraId="60911121" w14:textId="77777777" w:rsidR="003754FE" w:rsidRDefault="003754FE" w:rsidP="003754FE">
      <w:pPr>
        <w:pStyle w:val="TextoNormal"/>
      </w:pPr>
      <w:r>
        <w:t xml:space="preserve">a) En cuanto a las cuestiones procesales, razona el Ministerio Fiscal que el recurso no suscita óbice alguno respecto de la legitimación, porque el derecho tutelado por el art. 23.2 CE se ha reconocido también a los grupos parlamentarios en cuanto representantes institucionales de los diputados que los integran; y en el presente caso la pretensión deducida en nombre de todos los miembros del Grupo Parlamentario Popular tiene por objeto, más allá del derecho individual del señor Casero, la alegada lesión del </w:t>
      </w:r>
      <w:r w:rsidRPr="003754FE">
        <w:rPr>
          <w:i/>
        </w:rPr>
        <w:t>ius in officium</w:t>
      </w:r>
      <w:r>
        <w:t xml:space="preserve"> de aquellos concretada en la proclamación del resultado de una votación que consideran no expresiva de la verdadera voluntad de la Cámara.</w:t>
      </w:r>
    </w:p>
    <w:p w14:paraId="334EFF9D" w14:textId="77777777" w:rsidR="003754FE" w:rsidRDefault="003754FE" w:rsidP="003754FE">
      <w:pPr>
        <w:pStyle w:val="TextoNormal"/>
      </w:pPr>
    </w:p>
    <w:p w14:paraId="6EFF2336" w14:textId="77777777" w:rsidR="003754FE" w:rsidRDefault="003754FE" w:rsidP="003754FE">
      <w:pPr>
        <w:pStyle w:val="TextoNormal"/>
      </w:pPr>
      <w:r>
        <w:t>Además, considera que la presentación de este recurso confirma la concurrencia del óbice procesal del carácter prematuro del recurso de amparo 917-2022, que se presentó frente a las decisiones presidenciales aquí también recurridas antes de que la mesa del Congreso adoptase el acuerdo impugnado a su vez en este recurso; y pone de manifiesto que el grupo recurrente reconoce expresamente en su demanda que la resolución de la mesa del Congreso constituye el acto por el que se agota la vía interna parlamentaria a partir del cual computa el plazo de interposición habilitado por la ley.</w:t>
      </w:r>
    </w:p>
    <w:p w14:paraId="3329E2E2" w14:textId="77777777" w:rsidR="003754FE" w:rsidRDefault="003754FE" w:rsidP="003754FE">
      <w:pPr>
        <w:pStyle w:val="TextoNormal"/>
      </w:pPr>
    </w:p>
    <w:p w14:paraId="37AF9A43" w14:textId="77777777" w:rsidR="003754FE" w:rsidRDefault="003754FE" w:rsidP="003754FE">
      <w:pPr>
        <w:pStyle w:val="TextoNormal"/>
      </w:pPr>
      <w:r>
        <w:t>b) En cuanto a la vulneración denunciada, el Ministerio Fiscal inicia sus alegaciones aduciendo que la doctrina contenida en la STC 361/2006 es aplicable en general a este caso, pero discrepa de la demanda en cuanto a que haya un paralelismo entre las circunstancias actuales y las que concurrían en aquel amparo. En aquella ocasión no se planteaba discordancia alguna entre el sentido del voto deseado y el realmente emitido, ni tampoco la posible anulación de un voto telemático, sino que se trataba de que el sistema de votación electrónica presencial no funcionó bien y como consecuencia no se pudo computar el voto de una diputada.</w:t>
      </w:r>
    </w:p>
    <w:p w14:paraId="1BD9F3DE" w14:textId="77777777" w:rsidR="003754FE" w:rsidRDefault="003754FE" w:rsidP="003754FE">
      <w:pPr>
        <w:pStyle w:val="TextoNormal"/>
      </w:pPr>
    </w:p>
    <w:p w14:paraId="4C9B535B" w14:textId="77777777" w:rsidR="003754FE" w:rsidRDefault="003754FE" w:rsidP="003754FE">
      <w:pPr>
        <w:pStyle w:val="TextoNormal"/>
      </w:pPr>
      <w:r>
        <w:t xml:space="preserve">A su vez, aduce la Fiscalía que en este caso no nos hallamos ante una discordancia entre el voto emitido por el diputado y el voto registrado por el sistema informático, por más que así lo afirmase el señor Casero Ávila en su escrito de 3 de febrero de 2022. Señala también que no consta que el diputado instara directamente la revocación de su voto telemático, careciendo de prueba su afirmación de que intentó ponerse en contacto con la Cámara antes de que la Presidencia anunciara el inicio de la votación presencial. Lo único que consta es </w:t>
      </w:r>
      <w:r>
        <w:lastRenderedPageBreak/>
        <w:t>que fueron los miembros de la dirección del Grupo Parlamentario Popular los que se dirigieron a la presidenta del Congreso, efectuado ya el llamamiento para la votación, con el fin de que convocase la mesa para decidir sobre la aplicación de la resolución de 2012.</w:t>
      </w:r>
    </w:p>
    <w:p w14:paraId="2196DE8C" w14:textId="77777777" w:rsidR="003754FE" w:rsidRDefault="003754FE" w:rsidP="003754FE">
      <w:pPr>
        <w:pStyle w:val="TextoNormal"/>
      </w:pPr>
    </w:p>
    <w:p w14:paraId="3790A42E" w14:textId="77777777" w:rsidR="003754FE" w:rsidRDefault="003754FE" w:rsidP="003754FE">
      <w:pPr>
        <w:pStyle w:val="TextoNormal"/>
      </w:pPr>
      <w:r>
        <w:t>c) Sobre la supuesta infracción de la normativa reguladora del voto telemático en el Congreso de los Diputados, razona el Ministerio Fiscal que en el momento de los hechos no estaba vigente la norma de comprobación del voto telemático prevista en la resolución de 2012 (comprobación telefónica), sino la prevista en el acuerdo de la mesa de 26 de octubre de 2021 (emisión del voto a través de la intranet del Congreso con la introducción de usuario y contraseña). El Ministerio Fiscal señala que, aunque en la autorización del voto al señor Casero Ávila para la sesión plenaria de 3 de febrero de 2022 solo se hiciera referencia al art. 82 RCD y a la resolución de 2012, lo cierto es que el acuerdo de 26 de octubre de 2021 había sido comunicado a todos los grupos parlamentarios y, lo más significativo, el diputado señor Casero Ávila mencionó expresamente este último acuerdo en su solicitud de voto telemático para la mencionada sesión plenaria.</w:t>
      </w:r>
    </w:p>
    <w:p w14:paraId="254F068D" w14:textId="77777777" w:rsidR="003754FE" w:rsidRDefault="003754FE" w:rsidP="003754FE">
      <w:pPr>
        <w:pStyle w:val="TextoNormal"/>
      </w:pPr>
    </w:p>
    <w:p w14:paraId="1D8B3174" w14:textId="77777777" w:rsidR="003754FE" w:rsidRDefault="003754FE" w:rsidP="003754FE">
      <w:pPr>
        <w:pStyle w:val="TextoNormal"/>
      </w:pPr>
      <w:r>
        <w:t>Además, considera la Fiscalía que ni en la resolución de 2012 ni en ninguna otra norma se establece un sistema de comprobación del sentido del voto dirigido a verificar si se corresponde con la intención o voluntad del diputado, sino que la comprobación del “sentido del voto” tiene como finalidad asegurarse de que el sentido del voto que se registra y computa coincide con el que ha formulado el diputado votante siguiendo el procedimiento establecido. El Ministerio Fiscal cita las SSTC 19/2019, de 12 de febrero, y 45/2019, de 27 de marzo, para sostener que en el voto en ausencia autorizado en circunstancias excepcionales lo que es preciso garantizar es que el voto así realizado expresa la voluntad del parlamentario ausente y no la de un tercero que pueda actuar en su nombre. Por todo ello, tanto los sistemas de comprobación previstos tanto en la resolución de 2012, como el establecido en el acuerdo de 26 de octubre de 2021, no se dirigen a cotejar el voto emitido con la intención no coherentemente exteriorizada del votante, ni a habilitar por tanto una posibilidad de cambiar el voto válidamente emitido, sino a preservar que se ha votado de forma personal por el parlamentario, sin que se hayan producido errores en el sistema ni injerencias deliberadas o maliciosas de terceros. De este modo, la comprobación telefónica del sentido del voto emitido por el señor Casero Ávila nada hubiese aportado, pues hubiera debido referirse exclusivamente a comprobar que la opción por la que efectivamente se había decantado con su actuación fue la que reflejó el sistema (voto afirmativo), y eso ya había quedado verificado en el procedimiento utilizado de votación telemática en dos fases a través de la intranet del Congreso.</w:t>
      </w:r>
    </w:p>
    <w:p w14:paraId="716FD004" w14:textId="77777777" w:rsidR="003754FE" w:rsidRDefault="003754FE" w:rsidP="003754FE">
      <w:pPr>
        <w:pStyle w:val="TextoNormal"/>
      </w:pPr>
    </w:p>
    <w:p w14:paraId="71EC64B0" w14:textId="77777777" w:rsidR="003754FE" w:rsidRDefault="003754FE" w:rsidP="003754FE">
      <w:pPr>
        <w:pStyle w:val="TextoNormal"/>
      </w:pPr>
      <w:r>
        <w:t>Finalmente, entiende el Ministerio Fiscal que no existe ninguna norma que obligue a la Presidencia del Congreso a comprobar, a instancia del interesado, la concordancia entre su intención de voto y el voto telemático realmente emitido; y que la controversia relativa al procedimiento de verificación del “sentido del voto”, con independencia del significado que se atribuya a esa expresión, es irrelevante a los efectos de este recurso de amparo, porque la Presidencia de la Cámara conoció de la noticia de la supuesta irregularidad en el voto telemático del señor Casero después de efectuado el llamamiento para la votación presencial y antes de que se llevara a cabo esta.</w:t>
      </w:r>
    </w:p>
    <w:p w14:paraId="62FDB29E" w14:textId="77777777" w:rsidR="003754FE" w:rsidRDefault="003754FE" w:rsidP="003754FE">
      <w:pPr>
        <w:pStyle w:val="TextoNormal"/>
      </w:pPr>
    </w:p>
    <w:p w14:paraId="0A58EAEC" w14:textId="77777777" w:rsidR="003754FE" w:rsidRDefault="003754FE" w:rsidP="003754FE">
      <w:pPr>
        <w:pStyle w:val="TextoNormal"/>
      </w:pPr>
      <w:r>
        <w:t xml:space="preserve">d) A continuación, sobre la segunda cuestión de fondo planteada en la demanda —la supuesta infracción del apartado sexto de la resolución de 2012, por no haber convocado la </w:t>
      </w:r>
      <w:r>
        <w:lastRenderedPageBreak/>
        <w:t>Presidencia a la mesa de la Cámara a efectos de autorizar la emisión del voto presencial y anular el telemático—, entiende el Ministerio Fiscal que del citado precepto no deriva un derecho del diputado a la convocatoria de la mesa, ni tampoco un correlativo deber de la Presidencia de convocar la mesa en este concreto supuesto.</w:t>
      </w:r>
    </w:p>
    <w:p w14:paraId="76B186A9" w14:textId="77777777" w:rsidR="003754FE" w:rsidRDefault="003754FE" w:rsidP="003754FE">
      <w:pPr>
        <w:pStyle w:val="TextoNormal"/>
      </w:pPr>
    </w:p>
    <w:p w14:paraId="52F76F02" w14:textId="77777777" w:rsidR="003754FE" w:rsidRDefault="003754FE" w:rsidP="003754FE">
      <w:pPr>
        <w:pStyle w:val="TextoNormal"/>
      </w:pPr>
      <w:r>
        <w:t>La Fiscalía pone de manifiesto que la demanda no asume el esfuerzo de categorizar cuáles son los supuestos en que, de acuerdo con la mencionada norma, la mesa ha de autorizar el voto presencial, ya que se limita a afirmar que así ha de ser para el caso de que se produzca un error —informático o humano— en la emisión del voto telemático. Razona el Ministerio Fiscal, a continuación, que del informe de la Secretaría General del Congreso evacuado para la reunión de la mesa de 15 de febrero de 2022, y de los supuestos de aplicación del mencionado precepto allí recogidos, cabe concluir (i) que el apartado sexto de la resolución de 2012 permite la anulación de los votos telemáticos no solo en caso de fallo técnico, sino también cuando han sido válidamente emitidos, como de hecho ocurrió en los dos supuestos previos de aplicación del precepto identificados en el informe; y (ii) que no consta ningún precedente en que el apartado sexto se haya empleado para autorizar la votación presencial con el fin de rectificar un error humano en la selección del sentido del voto.</w:t>
      </w:r>
    </w:p>
    <w:p w14:paraId="06F9E801" w14:textId="77777777" w:rsidR="003754FE" w:rsidRDefault="003754FE" w:rsidP="003754FE">
      <w:pPr>
        <w:pStyle w:val="TextoNormal"/>
      </w:pPr>
    </w:p>
    <w:p w14:paraId="5CA6D64F" w14:textId="77777777" w:rsidR="003754FE" w:rsidRDefault="003754FE" w:rsidP="003754FE">
      <w:pPr>
        <w:pStyle w:val="TextoNormal"/>
      </w:pPr>
      <w:r>
        <w:t>Las alegaciones el Ministerio Fiscal se refieren, a continuación, a los principios de igualdad y de seguridad jurídica, mencionados por el informe de la Secretaría General y por la Presidencia del Congreso en la reunión de la mesa de 15 de febrero de 2022 para descartar la autorización del voto presencial del señor Casero Ávila y la anulación de su voto telemático.</w:t>
      </w:r>
    </w:p>
    <w:p w14:paraId="357CD00B" w14:textId="77777777" w:rsidR="003754FE" w:rsidRDefault="003754FE" w:rsidP="003754FE">
      <w:pPr>
        <w:pStyle w:val="TextoNormal"/>
      </w:pPr>
    </w:p>
    <w:p w14:paraId="487D034F" w14:textId="77777777" w:rsidR="003754FE" w:rsidRDefault="003754FE" w:rsidP="003754FE">
      <w:pPr>
        <w:pStyle w:val="TextoNormal"/>
      </w:pPr>
      <w:r>
        <w:t xml:space="preserve">En primer lugar, entiende la Fiscalía que no es conclusivo el argumento de la demanda según el cual la votación presencial es distinta a la telemática en cuanto a la posibilidad de rectificar el voto, porque en el caso de la primera habría un interés general en que el error se asuma con todas las consecuencias por el representante para evitar que las iniciativas pendan “eternamente” en la Cámara, primando así la necesidad de obtener votaciones finales y vinculantes sobre el interés del representante en corregir su voto, mientras que eso no ocurre en el voto telemático que se pretende rectificar antes de que se inicie la votación presencial; argumento en el que incidió la vicepresidenta segunda en la reunión de la mesa de 15 de febrero, al afirmar que “el que vota anticipadamente lo hace por una razón justificada, pues el voto a distancia y anticipado es excepcional, que pueda votar presencialmente lo equipara a los otros diputados que pueden sopesar el sentido de su voto hasta el instante mismo de la votación”. Frente a ello, razona la Fiscalía que no es sostenible la distinción entre ambas modalidades de voto desde la perspectiva de la igualdad y de la seguridad jurídica. La razón jurídica que justifica que no pueda bloquearse la proclamación de los resultados de una votación presencial es la misma que sirve para justificar la denegación de la pretensión de corregir un voto telemático, a saber, la preceptiva ejecución del resultado de la votación. Además, una utilización libre del derecho a rectificar el voto telemático arrojaría un resultado de inestabilidad idéntico al que se trata de prevenir con la regla de que el voto presencial es invariable una vez formalizado. El Ministerio Fiscal resalta que el postulado derecho a rectificar el voto telemático entra en contradicción con el supuesto que justifica su autorización (la imposibilidad de hallarse presente físicamente en la sesión plenaria) y conlleva, también, una desigualdad entre el que no puede acudir al Pleno por encontrarse realmente imposibilitado, que no podría cambiar su voto, y el que no estaba realmente </w:t>
      </w:r>
      <w:r>
        <w:lastRenderedPageBreak/>
        <w:t>imposibilitado o ha dejado de estarlo y pretende votar presencialmente, como el diputado señor Casero Ávila.</w:t>
      </w:r>
    </w:p>
    <w:p w14:paraId="0DC33FE3" w14:textId="77777777" w:rsidR="003754FE" w:rsidRDefault="003754FE" w:rsidP="003754FE">
      <w:pPr>
        <w:pStyle w:val="TextoNormal"/>
      </w:pPr>
    </w:p>
    <w:p w14:paraId="73EE8E21" w14:textId="77777777" w:rsidR="003754FE" w:rsidRDefault="003754FE" w:rsidP="003754FE">
      <w:pPr>
        <w:pStyle w:val="TextoNormal"/>
      </w:pPr>
      <w:r>
        <w:t>A partir de todo lo anterior, concluye la Fiscalía que ninguna de las posibilidades interpretativas en que se apoya la pretensión del grupo parlamentario recurrente en amparo encuentra un apoyo claro en el texto, en la lógica o en los precedentes de aplicación del apartado sexto de la resolución de 2012. Eso es lo que explica, según el Ministerio Fiscal, que la demanda apele a la doctrina constitucional de la interpretación más favorable a la plena eficacia de los derechos fundamentales, para concluir que la presidenta del Congreso debió convocar a la mesa para que se pronunciase sobre la autorización del voto presencial al diputado señor Casero Ávila. Sin embargo, en la misma STC 159/2015, de 14 de julio, FJ 6, citada en la demanda, encuentra la Fiscalía el criterio para excluir esa conclusión, porque el citado principio hermenéutico es de aplicación siempre y cuando haya sido establecida “la existencia del derecho infructuosamente reclamado […] y su anclaje constitucional”; mientras que, en el supuesto aquí enjuiciado, el reiterado apartado sexto no reconoce ningún derecho subjetivo a favor de los diputados, porque la decisión de la mesa exige una previa convocatoria de la presidenta a la que no se impone reglamentariamente ninguna obligación en ese sentido, más allá de la de motivar su decisión a partir de una petición, y porque la norma no tipifica los supuestos en que la mesa vendría obligada a autorizar el voto presencial y a anular el voto emitido telemáticamente. Para el Ministerio Fiscal, la mera negativa a convocar la mesa a petición del grupo parlamentario del diputado no lesiona el derecho fundamental invocado, sino que habrá de valorarse el carácter motivado o no de esa decisión, queja de amparo aducida también en la demanda. Insiste a estos efectos el Ministerio Fiscal en que el apartado sexto de la resolución de 2012 prevé una potestad reguladora de ordenación de las votaciones, no un derecho subjetivo de los diputados, e invoca la autonomía constitucionalmente garantizada de la Cámara en la interpretación de ese precepto.</w:t>
      </w:r>
    </w:p>
    <w:p w14:paraId="2FD9C672" w14:textId="77777777" w:rsidR="003754FE" w:rsidRDefault="003754FE" w:rsidP="003754FE">
      <w:pPr>
        <w:pStyle w:val="TextoNormal"/>
      </w:pPr>
    </w:p>
    <w:p w14:paraId="5DCB381D" w14:textId="77777777" w:rsidR="003754FE" w:rsidRDefault="003754FE" w:rsidP="003754FE">
      <w:pPr>
        <w:pStyle w:val="TextoNormal"/>
      </w:pPr>
      <w:r>
        <w:t>e) Señala también la Fiscalía que la demanda de amparo imputa a las decisiones de la presidencia del Congreso recurridas falta de motivación y arbitrariedad en el momento temporal en que fueron adoptadas, y tacha de inadecuadas o arbitrarias las razones concretadas posteriormente por la presidenta en la reunión de la mesa de 15 de febrero de 2022 respecto de esas decisiones. Las alegaciones del Ministerio Fiscal recuerdan en este punto el estándar de motivación constitucional exigible a las decisiones adoptadas por los órganos de gobierno de las cámaras legislativas en materia de calificación y admisión de iniciativas (motivación expresa, suficiente y adecuada), y subraya que la finalidad de esta exigencia es permitir el control por parte del Tribunal Constitucional de la validez o la conformidad a Derecho de la decisión en cada caso impugnada.</w:t>
      </w:r>
    </w:p>
    <w:p w14:paraId="74AA1FA7" w14:textId="77777777" w:rsidR="003754FE" w:rsidRDefault="003754FE" w:rsidP="003754FE">
      <w:pPr>
        <w:pStyle w:val="TextoNormal"/>
      </w:pPr>
    </w:p>
    <w:p w14:paraId="66DC930C" w14:textId="77777777" w:rsidR="003754FE" w:rsidRDefault="003754FE" w:rsidP="003754FE">
      <w:pPr>
        <w:pStyle w:val="TextoNormal"/>
      </w:pPr>
      <w:r>
        <w:t xml:space="preserve">A la luz de lo anterior, concluye la fiscalía que la decisión de computar el voto telemático del señor Casero Ávila contó con una motivación suficiente e idónea al basarse en que no se había producido ninguna incidencia técnica en su emisión, por lo que la petición era infundada; al tener en cuenta, además, que un error humano en el sentido del voto no es ni ha sido nunca causa de anulación de un voto ni de repetición de votaciones, y que esa doctrina constante se basa en las exigencias de igualdad entre diputados, seguridad jurídica en la expresión de la voluntad de la Cámara y adecuada ordenación de sus trabajos; y al constatar que el procedimiento especial de emisión del voto telemático a través de la intranet de la Cámara con comprobación informática de doble clave, modalidad aprobada por unanimidad en la mesa, suponía la falta de vigencia de la comprobación telefónica del voto. En </w:t>
      </w:r>
      <w:r>
        <w:lastRenderedPageBreak/>
        <w:t>conclusión, entiende la Fiscalía que, aunque quepa una interpretación alternativa como la postulada por el grupo recurrente, a partir de la indefinición del apartado sexto de la resolución de 2012, los mencionados argumentos de la Presidencia del Congreso son razonables y no han sido desvirtuados por las alegaciones de la demanda.</w:t>
      </w:r>
    </w:p>
    <w:p w14:paraId="68D4A040" w14:textId="77777777" w:rsidR="003754FE" w:rsidRDefault="003754FE" w:rsidP="003754FE">
      <w:pPr>
        <w:pStyle w:val="TextoNormal"/>
      </w:pPr>
    </w:p>
    <w:p w14:paraId="0F750676" w14:textId="77777777" w:rsidR="003754FE" w:rsidRDefault="003754FE" w:rsidP="003754FE">
      <w:pPr>
        <w:pStyle w:val="TextoNormal"/>
      </w:pPr>
      <w:r>
        <w:t>El Ministerio Fiscal llega a la misma conclusión en lo que se refiere a la decisión de la Presidencia de no convocar con urgencia la mesa de la Cámara con arreglo al mencionado apartado sexto, y de no suspender el procedimiento de proclamación de la votación y la publicación de su resultado. Razona que las explicaciones de la presidenta del Congreso evidencian que los miembros de la mesa habían tomado conocimiento de lo sucedido, que no había indicio alguno de que se hubiera producido una incidencia técnica en la emisión del voto telemático, y que en esas circunstancias no se consideró pertinente convocar a la mesa porque no procedía acceder a la pretensión de fondo que hubiera justificado la pretendida urgencia —el cambio del sentido del voto—, sin que en el momento inicial se hubiera invocado tan siquiera el apartado sexto de la resolución de 2012. Y en cuanto a la proclamación y publicación de la votación y de su resultado, también considera la Fiscalía suficiente y adecuada la motivación expresada por la presidenta del Congreso según la cual, partiendo de una votación válidamente celebrada, no había alternativa legal a la ejecución debida del acuerdo de convalidación del Real Decreto-ley.</w:t>
      </w:r>
    </w:p>
    <w:p w14:paraId="7A52ADE3" w14:textId="77777777" w:rsidR="003754FE" w:rsidRDefault="003754FE" w:rsidP="003754FE">
      <w:pPr>
        <w:pStyle w:val="TextoNormal"/>
      </w:pPr>
    </w:p>
    <w:p w14:paraId="3DF59E8B" w14:textId="77777777" w:rsidR="003754FE" w:rsidRDefault="003754FE" w:rsidP="003754FE">
      <w:pPr>
        <w:pStyle w:val="TextoNormal"/>
      </w:pPr>
      <w:r>
        <w:t>Y razona de la misma manera, finalmente, por lo que se refiere al acuerdo de la mesa del Congreso de los Diputados impugnado y que basa su argumentación en el informe de la Secretaría General de la Cámara, cuyos razonamientos la fiscalía reputa como suficientes, idóneos y adecuados, al ratificar la interpretación y efectiva aplicación de las normas parlamentarias que realizó la Presidencia de la Cámara.</w:t>
      </w:r>
    </w:p>
    <w:p w14:paraId="51787222" w14:textId="77777777" w:rsidR="003754FE" w:rsidRDefault="003754FE" w:rsidP="003754FE">
      <w:pPr>
        <w:pStyle w:val="TextoNormal"/>
      </w:pPr>
    </w:p>
    <w:p w14:paraId="7041B120" w14:textId="6A8A8699" w:rsidR="003754FE" w:rsidRDefault="003754FE" w:rsidP="003754FE">
      <w:pPr>
        <w:pStyle w:val="TextoNormal"/>
      </w:pPr>
      <w:r>
        <w:t xml:space="preserve">f) Por último, el Ministerio Fiscal considera necesario formular una observación sobre el alcance indeterminado con que se configura el </w:t>
      </w:r>
      <w:r w:rsidRPr="003754FE">
        <w:rPr>
          <w:i/>
        </w:rPr>
        <w:t>petitum</w:t>
      </w:r>
      <w:r>
        <w:t xml:space="preserve"> de la demanda, al instarse, entre otras peticiones, “la nulidad de todos aquellos actos y normas que deriven de la tramitación legislativa en cuestión”; puesto que, en la medida en que lo anterior pueda entenderse referido a la pretensión de nulidad y consiguiente pérdida de vigencia del Real Decreto-ley 32/2021, considera preciso citar el ATC 131/2022, de 11 de octubre de 2022 de este Tribunal Constitucional, dictado en el recurso de amparo núm. 1303/2022, en el que se reitera la doctrina constitucional según la cual “la vigencia de una norma con rango y fuerza de ley (art. 86 CE) […] en cuanto tal, no puede constituir en ningún caso el objeto directo de una pretensión de amparo”; por lo que, en consecuencia, la posible estimación del presente recurso no podrá comportar la pérdida de vigencia del decreto-ley.</w:t>
      </w:r>
    </w:p>
    <w:p w14:paraId="2F797DD3" w14:textId="77777777" w:rsidR="003754FE" w:rsidRDefault="003754FE" w:rsidP="003754FE">
      <w:pPr>
        <w:pStyle w:val="TextoNormal"/>
      </w:pPr>
    </w:p>
    <w:p w14:paraId="4EDD4F48" w14:textId="3530E4E3" w:rsidR="003754FE" w:rsidRDefault="003754FE" w:rsidP="003754FE">
      <w:pPr>
        <w:pStyle w:val="TextoNormal"/>
      </w:pPr>
      <w:r w:rsidRPr="003754FE">
        <w:rPr>
          <w:rStyle w:val="NumeroAFNegritaCaracter"/>
        </w:rPr>
        <w:t>9</w:t>
      </w:r>
      <w:r>
        <w:t>. La Sala Segunda del Tribunal, por providencia de 3 de julio de 2023, acordó proponer la avocación al Pleno del presente recurso de amparo de conformidad con lo previsto en el art. 10.1 n) LOTC. Con base en la citada norma y mediante providencia de 18 de julio de 2023, el Pleno acordó recabar para sí el conocimiento del recurso de amparo.</w:t>
      </w:r>
    </w:p>
    <w:p w14:paraId="66AD98CF" w14:textId="77777777" w:rsidR="003754FE" w:rsidRDefault="003754FE" w:rsidP="003754FE">
      <w:pPr>
        <w:pStyle w:val="TextoNormal"/>
      </w:pPr>
    </w:p>
    <w:p w14:paraId="3031A30D" w14:textId="397F6F7B" w:rsidR="003754FE" w:rsidRDefault="003754FE" w:rsidP="003754FE">
      <w:pPr>
        <w:pStyle w:val="TextoNormal"/>
      </w:pPr>
      <w:r w:rsidRPr="003754FE">
        <w:rPr>
          <w:rStyle w:val="NumeroAFNegritaCaracter"/>
        </w:rPr>
        <w:t>10</w:t>
      </w:r>
      <w:r>
        <w:t>. El Pleno del Tribunal Constitucional, mediante auto de 18 de julio de 2023, estimó justificada la abstención formulada por el magistrado don Juan Carlos Campo Moreno en este proceso constitucional, apartándole definitivamente de su conocimiento y de todas sus incidencias.</w:t>
      </w:r>
    </w:p>
    <w:p w14:paraId="2174E04A" w14:textId="77777777" w:rsidR="003754FE" w:rsidRDefault="003754FE" w:rsidP="003754FE">
      <w:pPr>
        <w:pStyle w:val="TextoNormal"/>
      </w:pPr>
    </w:p>
    <w:p w14:paraId="2C9EF1E6" w14:textId="68B2E296" w:rsidR="003754FE" w:rsidRDefault="003754FE" w:rsidP="003754FE">
      <w:pPr>
        <w:pStyle w:val="TextoNormal"/>
      </w:pPr>
      <w:r w:rsidRPr="003754FE">
        <w:rPr>
          <w:rStyle w:val="NumeroAFNegritaCaracter"/>
        </w:rPr>
        <w:lastRenderedPageBreak/>
        <w:t>11</w:t>
      </w:r>
      <w:r>
        <w:t>. Por providencia de 5 de noviembre de 2024, se señaló para deliberación y fallo de la presente sentencia el día 6 del mismo mes y año.</w:t>
      </w:r>
    </w:p>
    <w:p w14:paraId="1E37E50E" w14:textId="77777777" w:rsidR="003754FE" w:rsidRDefault="003754FE" w:rsidP="003754FE">
      <w:pPr>
        <w:pStyle w:val="TextoNormal"/>
      </w:pPr>
    </w:p>
    <w:p w14:paraId="2CFFD8E9" w14:textId="77777777" w:rsidR="003754FE" w:rsidRDefault="003754FE" w:rsidP="003754FE">
      <w:pPr>
        <w:pStyle w:val="TextoNormalNegritaCentrado"/>
        <w:keepNext/>
      </w:pPr>
      <w:r>
        <w:t>II. Fundamentos jurídicos</w:t>
      </w:r>
    </w:p>
    <w:p w14:paraId="7C259ED1" w14:textId="4A4AA745" w:rsidR="003754FE" w:rsidRDefault="003754FE" w:rsidP="003754FE">
      <w:pPr>
        <w:pStyle w:val="TextoNormalNegritaCentrado"/>
        <w:keepNext/>
      </w:pPr>
    </w:p>
    <w:p w14:paraId="4958B5D1" w14:textId="77777777" w:rsidR="003754FE" w:rsidRDefault="003754FE" w:rsidP="003754FE">
      <w:pPr>
        <w:pStyle w:val="TextoNormal"/>
      </w:pPr>
      <w:r w:rsidRPr="003754FE">
        <w:rPr>
          <w:rStyle w:val="NumeroAFNegritaCaracter"/>
        </w:rPr>
        <w:t>1</w:t>
      </w:r>
      <w:r>
        <w:t xml:space="preserve">. </w:t>
      </w:r>
      <w:r w:rsidRPr="003754FE">
        <w:rPr>
          <w:i/>
        </w:rPr>
        <w:t>Objeto del recurso y posiciones de las partes</w:t>
      </w:r>
    </w:p>
    <w:p w14:paraId="28AB03B2" w14:textId="77777777" w:rsidR="003754FE" w:rsidRDefault="003754FE" w:rsidP="003754FE">
      <w:pPr>
        <w:pStyle w:val="TextoNormal"/>
      </w:pPr>
    </w:p>
    <w:p w14:paraId="7C84877D" w14:textId="77777777" w:rsidR="003754FE" w:rsidRDefault="003754FE" w:rsidP="003754FE">
      <w:pPr>
        <w:pStyle w:val="TextoNormal"/>
      </w:pPr>
      <w:r>
        <w:t>El Grupo Parlamentario Popular en la XIV Legislatura del Congreso formula recurso de amparo contra dos decisiones de la presidenta del Congreso de los Diputados adoptadas en la sesión plenaria de 3 de febrero de 2022, por las que, respectivamente, (i) se consideró verificado el voto telemático del diputado de ese grupo parlamentario, señor Casero Ávila, en la convalidación del Real Decreto-ley 32/2021, de 28 de diciembre, de medidas urgentes para la reforma laboral, la garantía de estabilidad en el empleo y la transformación del mercado de trabajo y (ii) se resolvió no convocar la mesa de la Cámara para que se pronunciase en relación con la solicitud de que el diputado señor Casero Ávila ejerciera su voto presencialmente, con anulación de su voto telemático, en esa concreta votación. Adicionalmente, el recurso se dirige contra el acuerdo de la mesa del Congreso de los Diputados de 15 de febrero de 2022, notificado el 21 de febrero, por el que se acuerda respaldar las decisiones de la Presidencia adoptadas el día 3 de febrero, de acuerdo con el informe de la secretaría general; constatar, ante el informe técnico, la inexistencia de fallo telemático y la falta del supuesto de aplicación del apartado sexto de la resolución de 2012; y reafirmar que los errores humanos no dan lugar a corrección ni a repetición del voto.</w:t>
      </w:r>
    </w:p>
    <w:p w14:paraId="7D3AE867" w14:textId="77777777" w:rsidR="003754FE" w:rsidRDefault="003754FE" w:rsidP="003754FE">
      <w:pPr>
        <w:pStyle w:val="TextoNormal"/>
      </w:pPr>
    </w:p>
    <w:p w14:paraId="1ADD2916" w14:textId="77777777" w:rsidR="003754FE" w:rsidRDefault="003754FE" w:rsidP="003754FE">
      <w:pPr>
        <w:pStyle w:val="TextoNormal"/>
      </w:pPr>
      <w:r>
        <w:t xml:space="preserve">Como con mayor detalle se ha expuesto en los antecedentes de esta sentencia, la demanda de amparo denuncia, por una parte, la vulneración del derecho fundamental al ejercicio del cargo representativo conforme a la ley y en condiciones de igualdad, o </w:t>
      </w:r>
      <w:r w:rsidRPr="003754FE">
        <w:rPr>
          <w:i/>
        </w:rPr>
        <w:t>ius in officium</w:t>
      </w:r>
      <w:r>
        <w:t xml:space="preserve">, del señor Casero Ávila en su vertiente de derecho al voto de los parlamentarios (art. 23.2 CE). De otro lado, el recurso denuncia la lesión del derecho fundamental de los diputados que forman parte del Grupo Parlamentario Popular, así como del grupo parlamentario como tal, a ejercer la función representativa de conformidad con la ley y en condiciones de igualdad </w:t>
      </w:r>
      <w:r w:rsidRPr="003754FE">
        <w:rPr>
          <w:i/>
        </w:rPr>
        <w:t>ex</w:t>
      </w:r>
      <w:r>
        <w:t xml:space="preserve"> art. 23.2 CE, a través de la manifestación de su postura colectiva sobre una determinada votación de índole legislativa, con referencia a la STC 361/2006, de 18 de diciembre, FJ 5; vulneración que la demanda fundamenta en la incidencia de las resoluciones impugnadas para el ejercicio del derecho de voto del diputado de ese grupo parlamentario señor Casero Ávila.</w:t>
      </w:r>
    </w:p>
    <w:p w14:paraId="4719F11A" w14:textId="77777777" w:rsidR="003754FE" w:rsidRDefault="003754FE" w:rsidP="003754FE">
      <w:pPr>
        <w:pStyle w:val="TextoNormal"/>
      </w:pPr>
    </w:p>
    <w:p w14:paraId="3E2F4367" w14:textId="77777777" w:rsidR="003754FE" w:rsidRDefault="003754FE" w:rsidP="003754FE">
      <w:pPr>
        <w:pStyle w:val="TextoNormal"/>
      </w:pPr>
      <w:r>
        <w:t>Según la demanda, tales vulneraciones se producen porque (i) la primera decisión de la Presidencia infringe el apartado cuarto de la resolución de la mesa del Congreso de 21 de mayo de 2012; (ii) la segunda decisión impugnada es contraria al apartado sexto de dicha resolución; (iii) ambas decisiones suponen una aplicación restrictiva de los límites al pleno ejercicio de las funciones representativas; (iv) ambas decisiones carecen de motivación; y (v) el acuerdo de la mesa de 15 de febrero de 2022 adolece de una motivación arbitraria y de una aplicación restrictiva y limitativa de la posibilidad de subsanar el voto telemático.</w:t>
      </w:r>
    </w:p>
    <w:p w14:paraId="5D6F4282" w14:textId="77777777" w:rsidR="003754FE" w:rsidRDefault="003754FE" w:rsidP="003754FE">
      <w:pPr>
        <w:pStyle w:val="TextoNormal"/>
      </w:pPr>
    </w:p>
    <w:p w14:paraId="76926849" w14:textId="6C607842" w:rsidR="003754FE" w:rsidRDefault="003754FE" w:rsidP="003754FE">
      <w:pPr>
        <w:pStyle w:val="TextoNormal"/>
      </w:pPr>
      <w:r>
        <w:t xml:space="preserve">Por su parte, el Congreso de los Diputados y el Ministerio Fiscal se oponen a la estimación del recurso de amparo al considerar que las decisiones recurridas no lesionaron derecho fundamental ni norma parlamentaria alguna. Adicionalmente, la fiscalía se ha manifestado </w:t>
      </w:r>
      <w:r>
        <w:lastRenderedPageBreak/>
        <w:t>expresamente en sus alegaciones sobre la correcta —en el sentido de no extemporánea— formulación de este recurso, al haberse interpuesto una vez que, a su juicio, se agotó la vía interna parlamentaria mediante la adopción del acuerdo de la mesa aquí recurrido; cuestión previa de orden procesal que, por lo tanto, hemos de examinar en primer lugar.</w:t>
      </w:r>
    </w:p>
    <w:p w14:paraId="2EE675CE" w14:textId="77777777" w:rsidR="003754FE" w:rsidRDefault="003754FE" w:rsidP="003754FE">
      <w:pPr>
        <w:pStyle w:val="TextoNormal"/>
      </w:pPr>
    </w:p>
    <w:p w14:paraId="3F0B7145" w14:textId="77777777" w:rsidR="003754FE" w:rsidRDefault="003754FE" w:rsidP="003754FE">
      <w:pPr>
        <w:pStyle w:val="TextoNormal"/>
      </w:pPr>
      <w:r w:rsidRPr="003754FE">
        <w:rPr>
          <w:rStyle w:val="NumeroAFNegritaCaracter"/>
        </w:rPr>
        <w:t>2</w:t>
      </w:r>
      <w:r>
        <w:t xml:space="preserve">. </w:t>
      </w:r>
      <w:r w:rsidRPr="003754FE">
        <w:rPr>
          <w:i/>
        </w:rPr>
        <w:t>Sobre el carácter no extemporáneo del recurso de amparo</w:t>
      </w:r>
    </w:p>
    <w:p w14:paraId="243069F3" w14:textId="77777777" w:rsidR="003754FE" w:rsidRDefault="003754FE" w:rsidP="003754FE">
      <w:pPr>
        <w:pStyle w:val="TextoNormal"/>
      </w:pPr>
    </w:p>
    <w:p w14:paraId="358D30AA" w14:textId="77777777" w:rsidR="003754FE" w:rsidRDefault="003754FE" w:rsidP="003754FE">
      <w:pPr>
        <w:pStyle w:val="TextoNormal"/>
      </w:pPr>
      <w:r>
        <w:t>Como ha quedado referido, el Ministerio Fiscal alega que, a diferencia de lo sucedido con los recursos de amparo 916-2022 y 917-2022 (que serían, a su juicio, prematuros), el presente recurso de amparo se habría presentado en el momento procesal oportuno, una vez que se había agotado la vía interna al pronunciarse la mesa del Congreso de los Diputados sobre los diversos escritos presentados en la Cámara en relación con las decisiones de la presidenta del Congreso controvertidas, que le solicitaban que no publicara el resultado de la votación ni emitiera resolución ordenando la publicación de la convalidación del decreto-ley en el “Boletín Oficial del Estado”, o que le requerían la convocatoria urgente de la mesa para tratar la no tramitación de la petición del diputado señor Casero Ávila.</w:t>
      </w:r>
    </w:p>
    <w:p w14:paraId="4002FDE2" w14:textId="77777777" w:rsidR="003754FE" w:rsidRDefault="003754FE" w:rsidP="003754FE">
      <w:pPr>
        <w:pStyle w:val="TextoNormal"/>
      </w:pPr>
    </w:p>
    <w:p w14:paraId="670F957E" w14:textId="77777777" w:rsidR="003754FE" w:rsidRDefault="003754FE" w:rsidP="003754FE">
      <w:pPr>
        <w:pStyle w:val="TextoNormal"/>
      </w:pPr>
      <w:r>
        <w:t>En este punto procede recordar que en la STC 114/2024, de 11 de septiembre, y en la STC 129/2024, de 22 de octubre, hemos concluido que el examen que, según había anunciado la presidenta de la Cámara, podía realizar la mesa del Congreso de las cuestiones controvertidas en esos escritos, no impedía que las decisiones presidenciales de 3 de febrero de 2022 hubieran devenido firmes, puesto que dicho “examen” no podía entenderse referido a la resolución de esos escritos como si contuvieran una solicitud de reconsideración, a la que no están sometidas decisiones presidenciales como las recurridas en este amparo, sino a la función de calificación y admisión a trámite de cualquier escrito parlamentario y a la decisión sobre su tramitación, que compete a la mesa del Congreso según el art. 31.1 de su Reglamento. Y concluimos, a partir de lo anterior, que los recursos de amparo 916-2022 y 917-2022 no podían reputarse prematuros por haberse presentado antes de que la mesa se pronunciase sobre tales escritos.</w:t>
      </w:r>
    </w:p>
    <w:p w14:paraId="480E06A1" w14:textId="77777777" w:rsidR="003754FE" w:rsidRDefault="003754FE" w:rsidP="003754FE">
      <w:pPr>
        <w:pStyle w:val="TextoNormal"/>
      </w:pPr>
    </w:p>
    <w:p w14:paraId="35F9BE12" w14:textId="4273A988" w:rsidR="003754FE" w:rsidRDefault="003754FE" w:rsidP="003754FE">
      <w:pPr>
        <w:pStyle w:val="TextoNormal"/>
      </w:pPr>
      <w:r>
        <w:t xml:space="preserve">No obstante, todo lo anterior no ha de conducir a entender que este recurso de amparo deba ser inadmitido por extemporáneo, al haberse presentado en función del plazo al que habilitaba el acuerdo de la mesa del Congreso de 15 de febrero de 2022, notificado el día 21 de febrero, y no a partir del plazo que se iniciaba con las decisiones presidenciales, ya firmes desde su adopción, de 3 de febrero de 2022. Aunque el “examen” que iba a realizar la mesa no podía identificarse, ni debía dar lugar necesariamente, a una decisión equivalente a las que la mesa adopta respecto de las solicitudes de reconsideración formuladas según lo dispuesto en el art. 31.2 RCD, lo cierto es que en este caso el acuerdo adoptado por la mesa del Congreso vino a pronunciarse sobre el fondo del asunto al acordar respaldar las decisiones controvertidas de la presidencia. Debemos concluir por ello que, en las particulares circunstancias de este recurso de amparo y siguiendo el criterio de las SSTC 65/2023, de 6 de junio, FJ 1; 125/2023, de 27 de septiembre, FJ 1, y 139/2023, de 24 de octubre, FJ 1, la decisión de la mesa del Congreso de los Diputados aquí impugnada puede dar apariencia de ser la resolución que agota las instancias internas y por lo tanto forma parte del objeto del presente recurso en cuanto decisión adoptada en pretensión de los recurrentes de apurar la vía parlamentaria, sin que, por lo mismo, quepa entender que el recurso ha sido formulado de manera extemporánea. En definitiva, este tribunal debe pronunciarse en esta sentencia sobre el fondo de las cuestiones planteadas respecto de todos los actos recurridos, tanto las </w:t>
      </w:r>
      <w:r>
        <w:lastRenderedPageBreak/>
        <w:t>resoluciones de la presidencia del Congreso de 3 de febrero de 2022, como el acuerdo de la mesa de esa cámara de 15 de febrero de 2022.</w:t>
      </w:r>
    </w:p>
    <w:p w14:paraId="0F090556" w14:textId="77777777" w:rsidR="003754FE" w:rsidRDefault="003754FE" w:rsidP="003754FE">
      <w:pPr>
        <w:pStyle w:val="TextoNormal"/>
      </w:pPr>
    </w:p>
    <w:p w14:paraId="5456A442" w14:textId="77777777" w:rsidR="003754FE" w:rsidRDefault="003754FE" w:rsidP="003754FE">
      <w:pPr>
        <w:pStyle w:val="TextoNormal"/>
      </w:pPr>
      <w:r w:rsidRPr="003754FE">
        <w:rPr>
          <w:rStyle w:val="NumeroAFNegritaCaracter"/>
        </w:rPr>
        <w:t>3</w:t>
      </w:r>
      <w:r>
        <w:t xml:space="preserve">. </w:t>
      </w:r>
      <w:r w:rsidRPr="003754FE">
        <w:rPr>
          <w:i/>
        </w:rPr>
        <w:t>Impugnación de las decisiones de la presidenta del Congreso de 3 de febrero de 2022: desestimación por aplicación de la doctrina de las SSTC 114/2024, de 11 de septiembre, y 129/2024, de 22 de octubre</w:t>
      </w:r>
    </w:p>
    <w:p w14:paraId="5FE4D616" w14:textId="77777777" w:rsidR="003754FE" w:rsidRDefault="003754FE" w:rsidP="003754FE">
      <w:pPr>
        <w:pStyle w:val="TextoNormal"/>
      </w:pPr>
    </w:p>
    <w:p w14:paraId="2C2FB552" w14:textId="77777777" w:rsidR="003754FE" w:rsidRDefault="003754FE" w:rsidP="003754FE">
      <w:pPr>
        <w:pStyle w:val="TextoNormal"/>
      </w:pPr>
      <w:r>
        <w:t xml:space="preserve">El presente recurso de amparo, interpuesto por la señora Gamarra Ruiz-Clavijo en su condición de diputada y de portavoz del Grupo Parlamentario Popular del Congreso en la XIV Legislatura, es, por lo que respecta a la impugnación de las decisiones de la presidenta del Congreso de 3 de febrero de 2022, idéntico al recurso de amparo 917-2022, interpuesto también por la señora Gamarra como diputada y como portavoz del referido grupo parlamentario. Se recurren las mismas resoluciones, por los mismos motivos y con idéntica fundamentación jurídica, además de denunciarse las mismas lesiones del derecho (del señor Casero Ávila y del grupo recurrente) a ejercer la función representativa de conformidad con la ley y en condiciones de igualdad </w:t>
      </w:r>
      <w:r w:rsidRPr="003754FE">
        <w:rPr>
          <w:i/>
        </w:rPr>
        <w:t>ex</w:t>
      </w:r>
      <w:r>
        <w:t xml:space="preserve"> art. 23.2 CE.</w:t>
      </w:r>
    </w:p>
    <w:p w14:paraId="223B956C" w14:textId="77777777" w:rsidR="003754FE" w:rsidRDefault="003754FE" w:rsidP="003754FE">
      <w:pPr>
        <w:pStyle w:val="TextoNormal"/>
      </w:pPr>
    </w:p>
    <w:p w14:paraId="6FD462A7" w14:textId="22C3779A" w:rsidR="003754FE" w:rsidRDefault="003754FE" w:rsidP="003754FE">
      <w:pPr>
        <w:pStyle w:val="TextoNormal"/>
      </w:pPr>
      <w:r>
        <w:t>El recurso de amparo 917-2022 ha sido íntegramente desestimado por el Pleno de este tribunal mediante la STC 129/2024, de 22 de octubre, en aplicación de la doctrina contenida en la STC 114/2024, de 11 de septiembre, que desestimó, a su vez, el recurso de amparo 916-2022, interpuesto por el señor Casero Ávila. La fundamentación de ambas sentencias, a la que nos remitimos íntegramente, nos lleva también a desestimar el presente recurso por lo que respecta a la impugnación de las decisiones de la presidenta del Congreso de 3 de febrero de 2022.</w:t>
      </w:r>
    </w:p>
    <w:p w14:paraId="2A1399BE" w14:textId="77777777" w:rsidR="003754FE" w:rsidRDefault="003754FE" w:rsidP="003754FE">
      <w:pPr>
        <w:pStyle w:val="TextoNormal"/>
      </w:pPr>
    </w:p>
    <w:p w14:paraId="4FB5DD25" w14:textId="77777777" w:rsidR="003754FE" w:rsidRDefault="003754FE" w:rsidP="003754FE">
      <w:pPr>
        <w:pStyle w:val="TextoNormal"/>
      </w:pPr>
      <w:r w:rsidRPr="003754FE">
        <w:rPr>
          <w:rStyle w:val="NumeroAFNegritaCaracter"/>
        </w:rPr>
        <w:t>4</w:t>
      </w:r>
      <w:r>
        <w:t xml:space="preserve">. </w:t>
      </w:r>
      <w:r w:rsidRPr="003754FE">
        <w:rPr>
          <w:i/>
        </w:rPr>
        <w:t>Impugnación de la decisión de la mesa del Congreso de 15 de febrero de 2022</w:t>
      </w:r>
    </w:p>
    <w:p w14:paraId="6C4CC892" w14:textId="77777777" w:rsidR="003754FE" w:rsidRDefault="003754FE" w:rsidP="003754FE">
      <w:pPr>
        <w:pStyle w:val="TextoNormal"/>
      </w:pPr>
    </w:p>
    <w:p w14:paraId="494AFE8D" w14:textId="77777777" w:rsidR="003754FE" w:rsidRDefault="003754FE" w:rsidP="003754FE">
      <w:pPr>
        <w:pStyle w:val="TextoNormal"/>
      </w:pPr>
      <w:r>
        <w:t xml:space="preserve">El único aspecto novedoso que plantea el presente recurso de amparo por comparación con el resuelto por la STC 114/2024 es que ahora se impugna, adicionalmente, el acuerdo de la mesa del Congreso de los Diputados de 15 de febrero de 2022 que respaldó las citadas decisiones de la presidenta del Congreso. La demanda afirma que el </w:t>
      </w:r>
      <w:r w:rsidRPr="003754FE">
        <w:rPr>
          <w:i/>
        </w:rPr>
        <w:t>ius in officium</w:t>
      </w:r>
      <w:r>
        <w:t xml:space="preserve"> del señor Casero y de su grupo parlamentario resultó vulnerado por haberse adoptado el acuerdo de la mesa con base en el informe de la secretaría general del Congreso descrito en los antecedentes de esta sentencia, al que califica de errático, incoherente y arbitrario, en la medida en que dicho informe considera que la anulación del voto telemático solo es posible en caso de error técnico acreditado y alude a unos precedentes que, según los demandantes, no son aplicables al supuesto del voto controvertido.</w:t>
      </w:r>
    </w:p>
    <w:p w14:paraId="6C086061" w14:textId="77777777" w:rsidR="003754FE" w:rsidRDefault="003754FE" w:rsidP="003754FE">
      <w:pPr>
        <w:pStyle w:val="TextoNormal"/>
      </w:pPr>
    </w:p>
    <w:p w14:paraId="43D47989" w14:textId="7F71A740" w:rsidR="003754FE" w:rsidRDefault="003754FE" w:rsidP="003754FE">
      <w:pPr>
        <w:pStyle w:val="TextoNormal"/>
      </w:pPr>
      <w:r>
        <w:t xml:space="preserve">Estas alegaciones, aunque proyectadas ahora específicamente sobre el acuerdo de la mesa, coinciden sustancialmente con las dirigidas contra las decisiones de la Presidencia en los previos recursos de amparo 916-2022 y 917-2022. Es pertinente, por ello, traer a colación lo que indicamos en el fundamento jurídico 6 de la STC 114/2024, de 11 de septiembre, en el que rechazamos que las decisiones de la Presidencia impugnadas hubieran supuesto una interpretación restrictiva de las normas parlamentarias que limitase el ejercicio de las funciones representativas del diputado recurrente, así como que hubiera lesionado su </w:t>
      </w:r>
      <w:r w:rsidRPr="003754FE">
        <w:rPr>
          <w:i/>
        </w:rPr>
        <w:t>ius in officium</w:t>
      </w:r>
      <w:r>
        <w:t xml:space="preserve"> por carecer de motivación. Indicábamos entonces que “[t]anto la necesidad de realizar la interpretación más favorable a la eficacia de los derechos como la exigencia de motivación tendrían virtualidad si, como postula la demanda, se hubieran dado las condiciones </w:t>
      </w:r>
      <w:r>
        <w:lastRenderedPageBreak/>
        <w:t xml:space="preserve">para la aplicación del procedimiento de verificación telefónica de la emisión personal del voto previsto en el apartado cuarto de la resolución de 2012, o bien para la aplicación del procedimiento de autorización del voto presencial regulado en el apartado sexto de dicho texto. Sin embargo, y de conformidad con lo expuesto en los fundamentos jurídicos anteriores de esta sentencia, en las específicas circunstancias de este caso los mencionados procedimientos no resultaban de aplicación y, por lo tanto, las decisiones de los órganos de gobierno de la Cámara que los omitieron no podían tener incidencia sobre el </w:t>
      </w:r>
      <w:r w:rsidRPr="003754FE">
        <w:rPr>
          <w:i/>
        </w:rPr>
        <w:t>ius in officium</w:t>
      </w:r>
      <w:r>
        <w:t xml:space="preserve"> del diputado recurrente; posibilidad de incidencia que, cuando existe, es la que justifica las exigencias de interpretación favorable y de motivación invocadas en la demanda (en cuanto a esta última, SSTC 208/2003, de 1 de diciembre, FFJJ 4 y 5, y 90/2005, de 18 de abril, FJ 3). En este caso, lo recurrido en amparo son actuaciones o inacciones que eran una directa exigencia de las normas parlamentarias de aplicación y que, como tales, no suponían una limitación del estatuto constitucionalmente relevante del diputado”. Con este mismo razonamiento procede desestimar la impugnación que el presente recurso de amparo dirige contra la posterior decisión de la mesa de la cámara, pues esta, en cuanto se limita a respaldar unas actuaciones de la Presidencia de la Cámara que ya hemos declarado no lesivas </w:t>
      </w:r>
      <w:r w:rsidRPr="003754FE">
        <w:rPr>
          <w:i/>
        </w:rPr>
        <w:t>del ius in officium</w:t>
      </w:r>
      <w:r>
        <w:t>, no puede haber incidido negativamente en este, con independencia de cuál haya sido su motivación.</w:t>
      </w:r>
    </w:p>
    <w:p w14:paraId="5EC2A832" w14:textId="77777777" w:rsidR="003754FE" w:rsidRDefault="003754FE" w:rsidP="003754FE">
      <w:pPr>
        <w:pStyle w:val="TextoNormal"/>
      </w:pPr>
    </w:p>
    <w:p w14:paraId="7257E197" w14:textId="77777777" w:rsidR="003754FE" w:rsidRDefault="003754FE" w:rsidP="003754FE">
      <w:pPr>
        <w:pStyle w:val="TextoNormalCentrado"/>
        <w:keepNext/>
      </w:pPr>
      <w:r>
        <w:t>FALLO</w:t>
      </w:r>
    </w:p>
    <w:p w14:paraId="6DEB5AAD" w14:textId="79028FE9" w:rsidR="003754FE" w:rsidRDefault="003754FE" w:rsidP="003754FE">
      <w:pPr>
        <w:pStyle w:val="TextoNormalCentrado"/>
        <w:keepNext/>
      </w:pPr>
    </w:p>
    <w:p w14:paraId="10EF8668" w14:textId="4179A46F" w:rsidR="003754FE" w:rsidRDefault="003754FE" w:rsidP="003754FE">
      <w:pPr>
        <w:pStyle w:val="TextoNormal"/>
      </w:pPr>
      <w:r>
        <w:t>En atención a todo lo expuesto, el Tribunal Constitucional, por la autoridad que le confiere la Constitución de la Nación española, ha decidido desestimar el recurso de amparo interpuesto por el Grupo Parlamentario Popular contra las decisiones de la presidenta del Congreso de los Diputados adoptadas en el curso de la sesión plenaria de 3 de febrero de 2022, así como contra el acuerdo de la mesa del Congreso de 15 de febrero de 2022 que respalda esas decisiones de la presidencia de la Cámara.</w:t>
      </w:r>
    </w:p>
    <w:p w14:paraId="6A36B0DD" w14:textId="77777777" w:rsidR="003754FE" w:rsidRDefault="003754FE" w:rsidP="003754FE">
      <w:pPr>
        <w:pStyle w:val="TextoNormal"/>
      </w:pPr>
    </w:p>
    <w:p w14:paraId="7D7ECAC9" w14:textId="77777777" w:rsidR="003754FE" w:rsidRDefault="003754FE" w:rsidP="003754FE">
      <w:pPr>
        <w:pStyle w:val="TextoNormal"/>
      </w:pPr>
      <w:r>
        <w:t>Publíquese esta sentencia en el “Boletín Oficial del Estado”.</w:t>
      </w:r>
    </w:p>
    <w:p w14:paraId="383C4E26" w14:textId="77777777" w:rsidR="003754FE" w:rsidRDefault="003754FE" w:rsidP="003754FE">
      <w:pPr>
        <w:pStyle w:val="TextoNormal"/>
      </w:pPr>
      <w:r>
        <w:t>Dada en Madrid, a seis de noviembre de dos mil veinticuatro.</w:t>
      </w:r>
    </w:p>
    <w:p w14:paraId="665D384A" w14:textId="0436753D" w:rsidR="003754FE" w:rsidRDefault="003754FE" w:rsidP="003754FE">
      <w:pPr>
        <w:pStyle w:val="ParrafoNormal"/>
      </w:pPr>
    </w:p>
    <w:p w14:paraId="565E5ABE" w14:textId="77777777" w:rsidR="003754FE" w:rsidRDefault="003754FE" w:rsidP="003754FE">
      <w:pPr>
        <w:pStyle w:val="TextoNormalNegritaCentrado"/>
        <w:keepNext/>
      </w:pPr>
      <w:r>
        <w:t>Voto particular concurrente que formulan el magistrado don Enrique Arnaldo Alcubilla y la magistrada doña Concepción Espejel Jorquera a la sentencia dictada por el Pleno en el recurso de amparo avocado núm. 3616-2022</w:t>
      </w:r>
    </w:p>
    <w:p w14:paraId="5F2F58FB" w14:textId="36758AE6" w:rsidR="003754FE" w:rsidRDefault="003754FE" w:rsidP="003754FE">
      <w:pPr>
        <w:pStyle w:val="TextoNormalNegritaCentrado"/>
        <w:keepNext/>
      </w:pPr>
    </w:p>
    <w:p w14:paraId="5A3367C5" w14:textId="77777777" w:rsidR="003754FE" w:rsidRDefault="003754FE" w:rsidP="003754FE">
      <w:pPr>
        <w:pStyle w:val="TextoNormal"/>
      </w:pPr>
      <w:r>
        <w:t>En el ejercicio de la facultad conferida por el artículo 90.2 LOTC y con respeto a la opinión de nuestros compañeros, formulamos el presente voto concurrente por cuanto, pese a que compartimos el fallo desestimatorio del recurso, disentimos en parte de la argumentación de la sentencia.</w:t>
      </w:r>
    </w:p>
    <w:p w14:paraId="649F8B51" w14:textId="77777777" w:rsidR="003754FE" w:rsidRDefault="003754FE" w:rsidP="003754FE">
      <w:pPr>
        <w:pStyle w:val="TextoNormal"/>
      </w:pPr>
    </w:p>
    <w:p w14:paraId="73021F69" w14:textId="77777777" w:rsidR="003754FE" w:rsidRDefault="003754FE" w:rsidP="003754FE">
      <w:pPr>
        <w:pStyle w:val="TextoNormal"/>
      </w:pPr>
      <w:r>
        <w:t xml:space="preserve">La sentencia desestima el recurso de amparo por remisión a lo razonado en las SSTC 114/2024, de 11 de septiembre, y 129/2024, de 22 de octubre, que resolvieron, respectivamente, el recurso de un diputado del Grupo Parlamentario Popular del Congreso de los Diputados en la XIV Legislatura y el recurso de la portavoz del mismo grupo parlamentario, contra dos decisiones de la presidenta del Congreso adoptadas en la sesión plenaria de 3 de febrero de 2022, por las que: (i) se consideró verificado el voto telemático de dicho diputado en la convalidación del Real Decreto-ley 32/2021, de 28 de diciembre; y (ii) se resolvió no </w:t>
      </w:r>
      <w:r>
        <w:lastRenderedPageBreak/>
        <w:t>convocar la mesa de la Cámara para que se pronunciase en relación con la solicitud de que dicho diputado ejerciera su voto presencialmente, con anulación de su voto telemático, en esa concreta votación.</w:t>
      </w:r>
    </w:p>
    <w:p w14:paraId="3644F390" w14:textId="77777777" w:rsidR="003754FE" w:rsidRDefault="003754FE" w:rsidP="003754FE">
      <w:pPr>
        <w:pStyle w:val="TextoNormal"/>
      </w:pPr>
    </w:p>
    <w:p w14:paraId="69756837" w14:textId="77777777" w:rsidR="003754FE" w:rsidRDefault="003754FE" w:rsidP="003754FE">
      <w:pPr>
        <w:pStyle w:val="TextoNormal"/>
      </w:pPr>
      <w:r>
        <w:t>Las razones de nuestra discrepancia parcial con la fundamentación de esta sentencia son las mismas que ya quedaron expresadas en nuestro voto particular concurrente a la citada STC 114/2024, de 11 de septiembre (al que se remite a su vez el voto concurrente formulado a la STC 129/2024, de 22 de octubre). Bastará por ello con remitirnos a lo expuesto en dicho voto particular, para excusar reiteraciones innecesarias.</w:t>
      </w:r>
    </w:p>
    <w:p w14:paraId="2B972F04" w14:textId="77777777" w:rsidR="003754FE" w:rsidRDefault="003754FE" w:rsidP="003754FE">
      <w:pPr>
        <w:pStyle w:val="TextoNormal"/>
      </w:pPr>
    </w:p>
    <w:p w14:paraId="36495EC2" w14:textId="61F37462" w:rsidR="003754FE" w:rsidRDefault="003754FE" w:rsidP="003754FE">
      <w:pPr>
        <w:pStyle w:val="TextoNormal"/>
      </w:pPr>
      <w:r>
        <w:t>Madrid, a seis de noviembre de dos mil veinticuatro.</w:t>
      </w:r>
    </w:p>
    <w:p w14:paraId="3D6680E4" w14:textId="206B929B" w:rsidR="003754FE" w:rsidRDefault="003754FE">
      <w:pPr>
        <w:spacing w:after="160" w:line="278" w:lineRule="auto"/>
        <w:rPr>
          <w:rFonts w:ascii="Times New Roman" w:eastAsia="Times New Roman" w:hAnsi="Times New Roman" w:cs="Times New Roman"/>
          <w:sz w:val="24"/>
          <w:szCs w:val="24"/>
          <w:lang w:eastAsia="es-ES"/>
        </w:rPr>
      </w:pPr>
      <w:r>
        <w:br w:type="page"/>
      </w:r>
    </w:p>
    <w:p w14:paraId="3A4FB0A8" w14:textId="77777777" w:rsidR="003754FE" w:rsidRDefault="003754FE" w:rsidP="003754FE">
      <w:pPr>
        <w:pStyle w:val="TtuloResolucin"/>
      </w:pPr>
      <w:bookmarkStart w:id="48" w:name="SENTENCIA_2024_139"/>
      <w:r>
        <w:lastRenderedPageBreak/>
        <w:t>SENTENCIA 139/2024, de 6 de noviembre de 2024</w:t>
      </w:r>
    </w:p>
    <w:bookmarkEnd w:id="48"/>
    <w:p w14:paraId="72967821" w14:textId="77777777" w:rsidR="003754FE" w:rsidRDefault="003754FE" w:rsidP="003754FE">
      <w:pPr>
        <w:pStyle w:val="TtuloResolucin"/>
      </w:pPr>
      <w:r>
        <w:t>Pleno</w:t>
      </w:r>
    </w:p>
    <w:p w14:paraId="39BAFFF8" w14:textId="77777777" w:rsidR="003754FE" w:rsidRDefault="003754FE" w:rsidP="003754FE">
      <w:pPr>
        <w:pStyle w:val="TtuloBOE"/>
      </w:pPr>
      <w:r>
        <w:t>(BOE núm. 294, de 6 de diciembre de 2024)</w:t>
      </w:r>
    </w:p>
    <w:p w14:paraId="09239509" w14:textId="77777777" w:rsidR="003754FE" w:rsidRDefault="003754FE" w:rsidP="003754FE">
      <w:pPr>
        <w:pStyle w:val="TextoNormalCentrado"/>
      </w:pPr>
      <w:r>
        <w:t>ECLI:ES:TC:2024:139</w:t>
      </w:r>
    </w:p>
    <w:p w14:paraId="0AEE9B7E" w14:textId="7ECFE8D1" w:rsidR="003754FE" w:rsidRDefault="003754FE" w:rsidP="003754FE">
      <w:pPr>
        <w:pStyle w:val="TextoNormalCentrado"/>
      </w:pPr>
    </w:p>
    <w:p w14:paraId="7AD6D27E" w14:textId="77777777" w:rsidR="003754FE" w:rsidRDefault="003754FE" w:rsidP="003754FE">
      <w:pPr>
        <w:pStyle w:val="SntesisDescriptiva"/>
      </w:pPr>
      <w:r>
        <w:t>Recurso de inconstitucionalidad 6914-2022. Interpuesto por más de cincuenta diputados del Grupo Parlamentario Popular en el Congreso de los Diputados respecto de la Ley Orgánica 8/2022, de 27 de julio, de modificación de los artículos 570 bis y 599 de la Ley Orgánica 6/1985, de 1 de julio, del Poder Judicial.</w:t>
      </w:r>
    </w:p>
    <w:p w14:paraId="169B85C1" w14:textId="73901DDE" w:rsidR="003754FE" w:rsidRDefault="003754FE" w:rsidP="003754FE">
      <w:pPr>
        <w:pStyle w:val="SntesisDescriptiva"/>
      </w:pPr>
    </w:p>
    <w:p w14:paraId="7F61FA52" w14:textId="77777777" w:rsidR="003754FE" w:rsidRDefault="003754FE" w:rsidP="003754FE">
      <w:pPr>
        <w:pStyle w:val="SntesisAnaltica"/>
      </w:pPr>
      <w:r>
        <w:t>Principio de interdicción de la arbitrariedad de los poderes públicos, primacía del Derecho de la Unión Europea y derecho a la participación en los asuntos públicos, régimen jurídico del Tribunal Constitucional: constitucionalidad de los preceptos legales que limitan las competencias a ejercer por el Consejo General del Poder Judicial en prórroga de funciones tras expirar su mandato. Votos particulares.</w:t>
      </w:r>
    </w:p>
    <w:p w14:paraId="7B4BF6A4" w14:textId="7A5DE688" w:rsidR="003754FE" w:rsidRDefault="003754FE" w:rsidP="003754FE">
      <w:pPr>
        <w:pStyle w:val="SntesisAnaltica"/>
      </w:pPr>
    </w:p>
    <w:p w14:paraId="10EAE8FE" w14:textId="566F31F3" w:rsidR="003754FE" w:rsidRDefault="003754FE" w:rsidP="003754FE">
      <w:pPr>
        <w:pStyle w:val="Extracto"/>
      </w:pPr>
      <w:r>
        <w:t>1.</w:t>
      </w:r>
      <w:r>
        <w:tab/>
        <w:t>No vulnera el procedimiento legislativo ni infringe el bloque de  constitucionalidad el hecho de que una norma tenga su origen en una proposición de ley y no en un proyecto de ley. La elección entre estos dos tipos de normas es expresión de apreciación política (STC 128/2023) [FJ 4].</w:t>
      </w:r>
    </w:p>
    <w:p w14:paraId="5388CF88" w14:textId="77777777" w:rsidR="003754FE" w:rsidRDefault="003754FE" w:rsidP="003754FE">
      <w:pPr>
        <w:pStyle w:val="Extracto"/>
      </w:pPr>
    </w:p>
    <w:p w14:paraId="6BB2A05F" w14:textId="3EBF51DA" w:rsidR="003754FE" w:rsidRDefault="003754FE" w:rsidP="003754FE">
      <w:pPr>
        <w:pStyle w:val="Extracto"/>
      </w:pPr>
      <w:r>
        <w:t>2.</w:t>
      </w:r>
      <w:r>
        <w:tab/>
        <w:t>El artículo 93 RCD no excluye del procedimiento de urgencia ningún tipo de iniciativa ni de contenido de una norma tramitada (STC 15/2024) [FJ 4].</w:t>
      </w:r>
    </w:p>
    <w:p w14:paraId="2B343927" w14:textId="77777777" w:rsidR="003754FE" w:rsidRDefault="003754FE" w:rsidP="003754FE">
      <w:pPr>
        <w:pStyle w:val="Extracto"/>
      </w:pPr>
    </w:p>
    <w:p w14:paraId="38BB4501" w14:textId="20F67589" w:rsidR="003754FE" w:rsidRDefault="003754FE" w:rsidP="003754FE">
      <w:pPr>
        <w:pStyle w:val="Extracto"/>
      </w:pPr>
      <w:r>
        <w:t>3.</w:t>
      </w:r>
      <w:r>
        <w:tab/>
        <w:t>La ausencia del informe del Consejo General del Poder Judicial, del informe de la Comisión de Venecia y de la celebración de comparecencias de expertos no determina que la tramitación de las proposiciones de ley incurra en vicio del procedimiento legislativo (SSTC 128/2023 y 15/2024) [FJ 4].</w:t>
      </w:r>
    </w:p>
    <w:p w14:paraId="08BEC3AF" w14:textId="77777777" w:rsidR="003754FE" w:rsidRDefault="003754FE" w:rsidP="003754FE">
      <w:pPr>
        <w:pStyle w:val="Extracto"/>
      </w:pPr>
    </w:p>
    <w:p w14:paraId="6DDD3263" w14:textId="59E2F00E" w:rsidR="003754FE" w:rsidRDefault="003754FE" w:rsidP="003754FE">
      <w:pPr>
        <w:pStyle w:val="Extracto"/>
      </w:pPr>
      <w:r>
        <w:t>4.</w:t>
      </w:r>
      <w:r>
        <w:tab/>
        <w:t>Aplicación de doctrina en materia de eventual planteamiento de cuestión prejudicial y la tramitación de una proposición de ley con los estándares de protección del Estado de Derecho de la Unión Europea (STC 15/2024) [FJ 4].</w:t>
      </w:r>
    </w:p>
    <w:p w14:paraId="5A217F24" w14:textId="77777777" w:rsidR="003754FE" w:rsidRDefault="003754FE" w:rsidP="003754FE">
      <w:pPr>
        <w:pStyle w:val="Extracto"/>
      </w:pPr>
    </w:p>
    <w:p w14:paraId="69899E35" w14:textId="65A33BA4" w:rsidR="003754FE" w:rsidRDefault="003754FE" w:rsidP="003754FE">
      <w:pPr>
        <w:pStyle w:val="Extracto"/>
      </w:pPr>
      <w:r>
        <w:t>5.</w:t>
      </w:r>
      <w:r>
        <w:tab/>
        <w:t>Las leyes singulares serían aquellas dictadas en atención a un supuesto de hecho concreto y singular, que agotan su contenido y eficacia en la adopción y ejecución de la medida tomada por el legislador ante ese supuesto de hecho, aislado en la ley singular y no comunicable con ningún otro (SSTC 166/1986 y 129/2013) [FJ 5].</w:t>
      </w:r>
    </w:p>
    <w:p w14:paraId="5CACAEBF" w14:textId="77777777" w:rsidR="003754FE" w:rsidRDefault="003754FE" w:rsidP="003754FE">
      <w:pPr>
        <w:pStyle w:val="Extracto"/>
      </w:pPr>
    </w:p>
    <w:p w14:paraId="346EC700" w14:textId="4277AED9" w:rsidR="003754FE" w:rsidRDefault="003754FE" w:rsidP="003754FE">
      <w:pPr>
        <w:pStyle w:val="Extracto"/>
      </w:pPr>
      <w:r>
        <w:t>6.</w:t>
      </w:r>
      <w:r>
        <w:tab/>
        <w:t>El art. 159.1 CE no solo fija en doce el número de miembros del Tribunal Constitucional, sino que regula la participación de los diversos órganos constitucionales que concurren en su elección con una precisión que hace posible que sea la propia Ley Orgánica del Tribunal Constitucional la que se remita en gran medida a dicho precepto constitucional al referirse a esta cuestión en el primer párrafo de su art. 16.1 [FJ 5].</w:t>
      </w:r>
    </w:p>
    <w:p w14:paraId="14FA910A" w14:textId="77777777" w:rsidR="003754FE" w:rsidRDefault="003754FE" w:rsidP="003754FE">
      <w:pPr>
        <w:pStyle w:val="Extracto"/>
      </w:pPr>
    </w:p>
    <w:p w14:paraId="2E247466" w14:textId="503B21EF" w:rsidR="003754FE" w:rsidRDefault="003754FE" w:rsidP="003754FE">
      <w:pPr>
        <w:pStyle w:val="Extracto"/>
      </w:pPr>
      <w:r>
        <w:t>7.</w:t>
      </w:r>
      <w:r>
        <w:tab/>
        <w:t xml:space="preserve">El artículo 159.1 CE no se pronuncia sobre el concreto modo de ejercer la facultad de elección de los magistrados del Tribunal Constitucional, que puede estar </w:t>
      </w:r>
      <w:r>
        <w:lastRenderedPageBreak/>
        <w:t>influido por las propias características constitucionales de los diferentes órganos constitucionales electores (STC 49/2008) [FJ 5].</w:t>
      </w:r>
    </w:p>
    <w:p w14:paraId="7AD12B4E" w14:textId="77777777" w:rsidR="003754FE" w:rsidRDefault="003754FE" w:rsidP="003754FE">
      <w:pPr>
        <w:pStyle w:val="Extracto"/>
      </w:pPr>
    </w:p>
    <w:p w14:paraId="0BC34370" w14:textId="77777777" w:rsidR="003754FE" w:rsidRDefault="003754FE" w:rsidP="003754FE">
      <w:pPr>
        <w:pStyle w:val="Extracto"/>
      </w:pPr>
    </w:p>
    <w:p w14:paraId="6DD21BDB"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don Juan Carlos Campo Moreno, doña Laura Díez Bueso y don José María Macías Castaño, ha pronunciado</w:t>
      </w:r>
    </w:p>
    <w:p w14:paraId="3681E93C" w14:textId="3885531C" w:rsidR="003754FE" w:rsidRDefault="003754FE" w:rsidP="003754FE">
      <w:pPr>
        <w:pStyle w:val="TextoNormal"/>
      </w:pPr>
    </w:p>
    <w:p w14:paraId="09F05B55" w14:textId="77777777" w:rsidR="003754FE" w:rsidRDefault="003754FE" w:rsidP="003754FE">
      <w:pPr>
        <w:pStyle w:val="TextoNormalCentrado"/>
        <w:keepNext/>
      </w:pPr>
      <w:r>
        <w:t>EN NOMBRE DEL REY</w:t>
      </w:r>
    </w:p>
    <w:p w14:paraId="73789E04" w14:textId="7552F0E4" w:rsidR="003754FE" w:rsidRDefault="003754FE" w:rsidP="003754FE">
      <w:pPr>
        <w:pStyle w:val="TextoNormalCentrado"/>
        <w:keepNext/>
      </w:pPr>
    </w:p>
    <w:p w14:paraId="62D57596" w14:textId="77777777" w:rsidR="003754FE" w:rsidRDefault="003754FE" w:rsidP="003754FE">
      <w:pPr>
        <w:pStyle w:val="TextoNormalCentrado"/>
        <w:keepNext/>
      </w:pPr>
    </w:p>
    <w:p w14:paraId="454E0892" w14:textId="77777777" w:rsidR="003754FE" w:rsidRDefault="003754FE" w:rsidP="003754FE">
      <w:pPr>
        <w:pStyle w:val="TextoNormal"/>
      </w:pPr>
      <w:r>
        <w:t>la siguiente</w:t>
      </w:r>
    </w:p>
    <w:p w14:paraId="4E23AF8D" w14:textId="4A1290E9" w:rsidR="003754FE" w:rsidRDefault="003754FE" w:rsidP="003754FE">
      <w:pPr>
        <w:pStyle w:val="TextoNormal"/>
      </w:pPr>
    </w:p>
    <w:p w14:paraId="63A06FDF" w14:textId="77777777" w:rsidR="003754FE" w:rsidRDefault="003754FE" w:rsidP="003754FE">
      <w:pPr>
        <w:pStyle w:val="TextoNormalCentrado"/>
        <w:keepNext/>
      </w:pPr>
      <w:r>
        <w:t>SENTENCIA</w:t>
      </w:r>
    </w:p>
    <w:p w14:paraId="6EEB2842" w14:textId="4E746DAD" w:rsidR="003754FE" w:rsidRDefault="003754FE" w:rsidP="003754FE">
      <w:pPr>
        <w:pStyle w:val="TextoNormalCentrado"/>
        <w:keepNext/>
      </w:pPr>
    </w:p>
    <w:p w14:paraId="0C81A6A6" w14:textId="77777777" w:rsidR="003754FE" w:rsidRDefault="003754FE" w:rsidP="003754FE">
      <w:pPr>
        <w:pStyle w:val="TextoNormal"/>
      </w:pPr>
      <w:r>
        <w:t>En el recurso de inconstitucionalidad núm. 6914-2022, promovido por más de cincuenta diputados del Grupo Parlamentario Popular en el Congreso de los Diputados contra la Ley Orgánica 8/2022, de 27 de julio, de modificación de los artículos 570 bis y 599 de la Ley Orgánica 6/1985, de 1 de julio, del Poder Judicial. Han comparecido y formulado alegaciones, en la representación que ostentan, el abogado del Estado y la letrada de las Cortes Generales. Ha sido ponente la magistrada doña Concepción Espejel Jorquera.</w:t>
      </w:r>
    </w:p>
    <w:p w14:paraId="6277F516" w14:textId="4F1FA820" w:rsidR="003754FE" w:rsidRDefault="003754FE" w:rsidP="003754FE">
      <w:pPr>
        <w:pStyle w:val="TextoNormal"/>
      </w:pPr>
    </w:p>
    <w:p w14:paraId="6226C4B3" w14:textId="77777777" w:rsidR="003754FE" w:rsidRDefault="003754FE" w:rsidP="003754FE">
      <w:pPr>
        <w:pStyle w:val="TextoNormalNegritaCentrado"/>
        <w:keepNext/>
      </w:pPr>
      <w:r>
        <w:t>I. Antecedentes</w:t>
      </w:r>
    </w:p>
    <w:p w14:paraId="3A313F59" w14:textId="0E58078F" w:rsidR="003754FE" w:rsidRDefault="003754FE" w:rsidP="003754FE">
      <w:pPr>
        <w:pStyle w:val="TextoNormalNegritaCentrado"/>
        <w:keepNext/>
      </w:pPr>
    </w:p>
    <w:p w14:paraId="30F7823E" w14:textId="6496A0EF" w:rsidR="003754FE" w:rsidRDefault="003754FE" w:rsidP="003754FE">
      <w:pPr>
        <w:pStyle w:val="TextoNormal"/>
      </w:pPr>
      <w:r w:rsidRPr="003754FE">
        <w:rPr>
          <w:rStyle w:val="NumeroAFNegritaCaracter"/>
        </w:rPr>
        <w:t>1</w:t>
      </w:r>
      <w:r>
        <w:t xml:space="preserve">. Mediante escrito registrado en este tribunal el 24 de octubre de 2022, más de cincuenta diputados del Grupo Parlamentario Popular en el Congreso de los Diputados interpusieron recurso de inconstitucionalidad contra la Ley Orgánica 8/2022, de 27 de julio, de modificación de los artículos 570 </w:t>
      </w:r>
      <w:r w:rsidRPr="003754FE">
        <w:rPr>
          <w:i/>
        </w:rPr>
        <w:t>bis</w:t>
      </w:r>
      <w:r>
        <w:t xml:space="preserve"> y 599 de la Ley Orgánica 6/1985, de 1 de julio, del Poder Judicial.</w:t>
      </w:r>
    </w:p>
    <w:p w14:paraId="44510379" w14:textId="77777777" w:rsidR="003754FE" w:rsidRDefault="003754FE" w:rsidP="003754FE">
      <w:pPr>
        <w:pStyle w:val="TextoNormal"/>
      </w:pPr>
    </w:p>
    <w:p w14:paraId="73DD9532" w14:textId="77777777" w:rsidR="003754FE" w:rsidRDefault="003754FE" w:rsidP="003754FE">
      <w:pPr>
        <w:pStyle w:val="TextoNormal"/>
      </w:pPr>
      <w:r w:rsidRPr="003754FE">
        <w:rPr>
          <w:rStyle w:val="NumeroAFNegritaCaracter"/>
        </w:rPr>
        <w:t>2</w:t>
      </w:r>
      <w:r>
        <w:t>. Son antecedentes relevantes para contextualizar el recurso de inconstitucionalidad los siguientes:</w:t>
      </w:r>
    </w:p>
    <w:p w14:paraId="32C95E1C" w14:textId="77777777" w:rsidR="003754FE" w:rsidRDefault="003754FE" w:rsidP="003754FE">
      <w:pPr>
        <w:pStyle w:val="TextoNormal"/>
      </w:pPr>
    </w:p>
    <w:p w14:paraId="4BB56698" w14:textId="77777777" w:rsidR="003754FE" w:rsidRDefault="003754FE" w:rsidP="003754FE">
      <w:pPr>
        <w:pStyle w:val="TextoNormal"/>
      </w:pPr>
      <w:r>
        <w:t xml:space="preserve">a) El día 24 de junio de 2022, el Grupo Parlamentario Socialista presentó la proposición de ley orgánica de modificación del artículo 570 </w:t>
      </w:r>
      <w:r w:rsidRPr="003754FE">
        <w:rPr>
          <w:i/>
        </w:rPr>
        <w:t>bis</w:t>
      </w:r>
      <w:r>
        <w:t xml:space="preserve"> de la Ley Orgánica 6/1985, de 1 de julio, del Poder Judicial [arts. 124 y ss. del Reglamento del Congreso de los Diputados (RCD)], acompañada de la solicitud de tramitación directa y en lectura única (artículo 150.1 RCD).</w:t>
      </w:r>
    </w:p>
    <w:p w14:paraId="3B11680F" w14:textId="77777777" w:rsidR="003754FE" w:rsidRDefault="003754FE" w:rsidP="003754FE">
      <w:pPr>
        <w:pStyle w:val="TextoNormal"/>
      </w:pPr>
    </w:p>
    <w:p w14:paraId="6FC5D203" w14:textId="77777777" w:rsidR="003754FE" w:rsidRDefault="003754FE" w:rsidP="003754FE">
      <w:pPr>
        <w:pStyle w:val="TextoNormal"/>
      </w:pPr>
      <w:r>
        <w:t>b) Ese mismo día, el portavoz y noventa y dos diputados de dicho grupo parlamentario solicitan, al amparo del artículo 93 RCD, que la mesa acuerde la tramitación por el procedimiento de urgencia.</w:t>
      </w:r>
    </w:p>
    <w:p w14:paraId="6AE7324D" w14:textId="77777777" w:rsidR="003754FE" w:rsidRDefault="003754FE" w:rsidP="003754FE">
      <w:pPr>
        <w:pStyle w:val="TextoNormal"/>
      </w:pPr>
    </w:p>
    <w:p w14:paraId="59E51A1B" w14:textId="77777777" w:rsidR="003754FE" w:rsidRDefault="003754FE" w:rsidP="003754FE">
      <w:pPr>
        <w:pStyle w:val="TextoNormal"/>
      </w:pPr>
      <w:r>
        <w:lastRenderedPageBreak/>
        <w:t>c) En su reunión del día 28 de junio de 2022, la mesa de la Cámara admitió a trámite la iniciativa y, en cuanto a la solicitud de la tramitación en lectura única, dio traslado a la junta de portavoces, que sustancia dicho trámite de audiencia en su reunión de 6 de julio.</w:t>
      </w:r>
    </w:p>
    <w:p w14:paraId="155F75AF" w14:textId="77777777" w:rsidR="003754FE" w:rsidRDefault="003754FE" w:rsidP="003754FE">
      <w:pPr>
        <w:pStyle w:val="TextoNormal"/>
      </w:pPr>
    </w:p>
    <w:p w14:paraId="7AE80391" w14:textId="77777777" w:rsidR="003754FE" w:rsidRDefault="003754FE" w:rsidP="003754FE">
      <w:pPr>
        <w:pStyle w:val="TextoNormal"/>
      </w:pPr>
      <w:r>
        <w:t>d) El día 4 de julio de 2022, el Gobierno da su conformidad a la tramitación de dicha iniciativa (artículo 126 RCD).</w:t>
      </w:r>
    </w:p>
    <w:p w14:paraId="26C66B1B" w14:textId="77777777" w:rsidR="003754FE" w:rsidRDefault="003754FE" w:rsidP="003754FE">
      <w:pPr>
        <w:pStyle w:val="TextoNormal"/>
      </w:pPr>
    </w:p>
    <w:p w14:paraId="26DF0541" w14:textId="77777777" w:rsidR="003754FE" w:rsidRDefault="003754FE" w:rsidP="003754FE">
      <w:pPr>
        <w:pStyle w:val="TextoNormal"/>
      </w:pPr>
      <w:r>
        <w:t>e) El siguiente día 8 de julio, la portavoz del Grupo Parlamentario Popular presentó escrito dirigido a la mesa de la Cámara en el que se solicitaba la adopción de los siguientes acuerdos en relación con la tramitación de la proposición de ley orgánica: que, en aplicación del artículo 561.1.9 de la Ley Orgánica del Poder Judicial (LOPJ), se solicite informe del Consejo General del Poder Judicial sobre la proposición de ley orgánica; que, igualmente, y a tenor de lo previsto en el artículo 3.2 del Estatuto y reglas de procedimiento de la Comisión de Venecia, se solicite pronunciamiento de la Comisión Europea para la Democracia por el Derecho (Comisión de Venecia-Consejo de Europa) y que, en la tramitación de la proposición de ley orgánica, tal y como establece el artículo 44 RCD, se dé audiencia a todos los agentes afectados por la reforma propuesta, en particular al Consejo General del Poder Judicial, las asociaciones de jueces y fiscales, así como a las demás entidades representativas e instituciones públicas en el ámbito de la Justicia en España.</w:t>
      </w:r>
    </w:p>
    <w:p w14:paraId="2E61972D" w14:textId="77777777" w:rsidR="003754FE" w:rsidRDefault="003754FE" w:rsidP="003754FE">
      <w:pPr>
        <w:pStyle w:val="TextoNormal"/>
      </w:pPr>
    </w:p>
    <w:p w14:paraId="24F71B1C" w14:textId="77777777" w:rsidR="003754FE" w:rsidRDefault="003754FE" w:rsidP="003754FE">
      <w:pPr>
        <w:pStyle w:val="TextoNormal"/>
      </w:pPr>
      <w:r>
        <w:t>f) El Pleno de la Cámara, en su sesión del día 13 de julio de 2022, acordó tomar en consideración la proposición de ley orgánica, así como su tramitación directa y en lectura única (“Boletín Oficial de las Cortes Generales. Congreso de los Diputados”, serie B, núm. 261-2, de 15 de julio de 2022).</w:t>
      </w:r>
    </w:p>
    <w:p w14:paraId="0E453E71" w14:textId="77777777" w:rsidR="003754FE" w:rsidRDefault="003754FE" w:rsidP="003754FE">
      <w:pPr>
        <w:pStyle w:val="TextoNormal"/>
      </w:pPr>
    </w:p>
    <w:p w14:paraId="6CAC0870" w14:textId="77777777" w:rsidR="003754FE" w:rsidRDefault="003754FE" w:rsidP="003754FE">
      <w:pPr>
        <w:pStyle w:val="TextoNormal"/>
      </w:pPr>
      <w:r>
        <w:t>g) Ese mismo día, la mesa de la Cámara acuerda su tramitación por el procedimiento de urgencia (arts. 93 y 126.5 RCD) y, teniendo en cuenta la solicitud del Gobierno de celebración de una sesión plenaria extraordinaria y al amparo de lo dispuesto en los artículos 90.2 y 91 RCD, establece un plazo de presentación de enmiendas que finalizaba el día 13 de julio de 2022 a las 21:15 horas. En su reunión del día siguiente, 14 de julio, la mesa acuerda la admisión a trámite de las enmiendas presentadas a la proposición de ley: tres enmiendas a la totalidad con texto alternativo por parte de los grupos parlamentarios Ciudadanos, Vox y Popular en el Congreso de los Diputados y una enmienda al articulado del Grupo Parlamentario Socialista (“Boletín Oficial de las Cortes Generales. Congreso de los Diputados” serie B, núm. 261-4, de 20 de julio de 2022).</w:t>
      </w:r>
    </w:p>
    <w:p w14:paraId="292D204F" w14:textId="77777777" w:rsidR="003754FE" w:rsidRDefault="003754FE" w:rsidP="003754FE">
      <w:pPr>
        <w:pStyle w:val="TextoNormal"/>
      </w:pPr>
    </w:p>
    <w:p w14:paraId="37184172" w14:textId="77777777" w:rsidR="003754FE" w:rsidRDefault="003754FE" w:rsidP="003754FE">
      <w:pPr>
        <w:pStyle w:val="TextoNormal"/>
      </w:pPr>
      <w:r>
        <w:t>h) La proposición de ley orgánica fue aprobada por el Pleno del Congreso de los Diputados el día 14 de julio de 2022 y por Pleno del Senado el siguiente día 20 de julio. El 28 de julio se publicó en el “Boletín Oficial del Estado”.</w:t>
      </w:r>
    </w:p>
    <w:p w14:paraId="0BF793A3" w14:textId="77777777" w:rsidR="003754FE" w:rsidRDefault="003754FE" w:rsidP="003754FE">
      <w:pPr>
        <w:pStyle w:val="TextoNormal"/>
      </w:pPr>
    </w:p>
    <w:p w14:paraId="14B7FDBC" w14:textId="77777777" w:rsidR="003754FE" w:rsidRDefault="003754FE" w:rsidP="003754FE">
      <w:pPr>
        <w:pStyle w:val="TextoNormal"/>
      </w:pPr>
      <w:r>
        <w:t xml:space="preserve">i) El 21 de julio de 2022 tuvo entrada en el registro del Congreso de los Diputados escrito del presidente del Consejo General del Poder Judicial por el que se remitía el acuerdo del Pleno del Consejo General del Poder Judicial, aprobado por mayoría, así como los votos particulares, por el que se aprobó solicitar a dicha Cámara que recabase el informe del Consejo General del Poder Judicial en relación con la proposición de ley orgánica en el aspecto relativo a las atribuciones de este Consejo en el sentido de devolverle también y con plenitud las atribuciones para los nombramientos judiciales y gubernativo-judiciales de carácter discrecional. Asimismo, solicitó al Congreso de los Diputados que, en relación con la misma </w:t>
      </w:r>
      <w:r>
        <w:lastRenderedPageBreak/>
        <w:t>iniciativa legislativa, recabase informe de la Comisión Europea para la Democracia por el Derecho (Comisión de Venecia).</w:t>
      </w:r>
    </w:p>
    <w:p w14:paraId="661A3416" w14:textId="77777777" w:rsidR="003754FE" w:rsidRDefault="003754FE" w:rsidP="003754FE">
      <w:pPr>
        <w:pStyle w:val="TextoNormal"/>
      </w:pPr>
    </w:p>
    <w:p w14:paraId="3CE02BFF" w14:textId="3E779E13" w:rsidR="003754FE" w:rsidRDefault="003754FE" w:rsidP="003754FE">
      <w:pPr>
        <w:pStyle w:val="TextoNormal"/>
      </w:pPr>
      <w:r>
        <w:t xml:space="preserve">j) El día 8 de septiembre de 2022, la mesa del Congreso de los Diputados, en relación con la solicitud del Grupo Parlamentario Popular en el Congreso de los Diputados a la mesa de la Cámara para que remita al Consejo General del Poder Judicial, a los efectos de la emisión del correspondiente informe, y a la Comisión Europea para la Democracia por el Derecho, la proposición de ley orgánica por la que se modifica el artículo 570 </w:t>
      </w:r>
      <w:r w:rsidRPr="003754FE">
        <w:rPr>
          <w:i/>
        </w:rPr>
        <w:t>bis</w:t>
      </w:r>
      <w:r>
        <w:t xml:space="preserve"> de la Ley Orgánica 6/1985, de 1 de julio, del Poder Judicial, así como para que, de conformidad con lo dispuesto en el artículo 44.4 del Reglamento, se dé audiencia a todos los agentes afectados por la reforma propuesta, núm. de expte. 122/000239/0005, adopta el acuerdo siguiente: “Comunicar al grupo parlamentario autor del presente escrito que, considerando que la iniciativa de referencia fue aprobada por el Pleno de la Cámara en su sesión extraordinaria del pasado 14 de julio y definitivamente por el Senado en su sesión plenaria extraordinaria del día 20 de julio, no procede un pronunciamiento de la mesa a este respecto”. La portavoz del Grupo Parlamentario Popular, el 22 de septiembre de 2022, planteó solicitud de reconsideración de dicho acuerdo, que fue desestimada por acuerdo de la mesa de 18 de octubre de 2022.</w:t>
      </w:r>
    </w:p>
    <w:p w14:paraId="0086D1F6" w14:textId="77777777" w:rsidR="003754FE" w:rsidRDefault="003754FE" w:rsidP="003754FE">
      <w:pPr>
        <w:pStyle w:val="TextoNormal"/>
      </w:pPr>
    </w:p>
    <w:p w14:paraId="2FEF5A28" w14:textId="77777777" w:rsidR="003754FE" w:rsidRDefault="003754FE" w:rsidP="003754FE">
      <w:pPr>
        <w:pStyle w:val="TextoNormal"/>
      </w:pPr>
      <w:r w:rsidRPr="003754FE">
        <w:rPr>
          <w:rStyle w:val="NumeroAFNegritaCaracter"/>
        </w:rPr>
        <w:t>3</w:t>
      </w:r>
      <w:r>
        <w:t>. Las alegaciones que sustentan los motivos de inconstitucionalidad aducidos en la demanda, siguiendo el orden en el que se exponen en la misma, son los siguientes:</w:t>
      </w:r>
    </w:p>
    <w:p w14:paraId="3B4F1117" w14:textId="77777777" w:rsidR="003754FE" w:rsidRDefault="003754FE" w:rsidP="003754FE">
      <w:pPr>
        <w:pStyle w:val="TextoNormal"/>
      </w:pPr>
    </w:p>
    <w:p w14:paraId="1FCB1DBD" w14:textId="77777777" w:rsidR="003754FE" w:rsidRDefault="003754FE" w:rsidP="003754FE">
      <w:pPr>
        <w:pStyle w:val="TextoNormal"/>
      </w:pPr>
      <w:r>
        <w:t>A) En primer lugar, los recurrentes formulan una serie de consideraciones generales sobre el contexto en el que ha tenido lugar la aprobación de la ley impugnada, poniendo de relieve que la misma sigue la “estela marcada por su predecesora inmediata, la Ley Orgánica 4/2021 [de 29 de marzo, por la que se modifica la Ley Orgánica 6/1985, de 1 de julio, del Poder Judicial, para el establecimiento del régimen jurídico aplicable al Consejo General del Poder Judicial en funciones] que incurrió desde una perspectiva formal (y, en algunos aspectos, también material) en los mismos exactos vicios de inconstitucionalidad”. El contexto que exponen está caracterizado en el escrito como una deriva progresiva hacia la desautorización del Poder Judicial y el deterioro de su estatuto de independencia. También se hace referencia a lo que la demanda denomina progresivo cerco a la separación de poderes y la independencia del Poder Judicial.</w:t>
      </w:r>
    </w:p>
    <w:p w14:paraId="21B6B5BD" w14:textId="77777777" w:rsidR="003754FE" w:rsidRDefault="003754FE" w:rsidP="003754FE">
      <w:pPr>
        <w:pStyle w:val="TextoNormal"/>
      </w:pPr>
    </w:p>
    <w:p w14:paraId="5E49389A" w14:textId="77777777" w:rsidR="003754FE" w:rsidRDefault="003754FE" w:rsidP="003754FE">
      <w:pPr>
        <w:pStyle w:val="TextoNormal"/>
      </w:pPr>
      <w:r>
        <w:t>B) A continuación, la demanda se refiere a la tramitación parlamentaria de la Ley Orgánica 8/2022 poniendo de relieve que se hizo un fraudulento uso de la fórmula de la proposición de ley por vía de urgencia y sin la exigible audiencia a los interesados, lo que vulnera la Constitución, el Derecho comunitario y los derechos fundamentales de los parlamentarios.</w:t>
      </w:r>
    </w:p>
    <w:p w14:paraId="2B82B2F3" w14:textId="77777777" w:rsidR="003754FE" w:rsidRDefault="003754FE" w:rsidP="003754FE">
      <w:pPr>
        <w:pStyle w:val="TextoNormal"/>
      </w:pPr>
    </w:p>
    <w:p w14:paraId="380AEF21" w14:textId="77777777" w:rsidR="003754FE" w:rsidRDefault="003754FE" w:rsidP="003754FE">
      <w:pPr>
        <w:pStyle w:val="TextoNormal"/>
      </w:pPr>
      <w:r>
        <w:t xml:space="preserve">A dicho respecto, la demanda denuncia lo que denomina fraudulenta proposición de ley orgánica, así como su tramitación por el procedimiento de urgencia. Se pone de manifiesto que la iniciativa proviene del Grupo Parlamentario Socialista, que sostiene al Gobierno, y el uso de la proposición de ley evita la audiencia de los sectores afectados y del Consejo General del Poder Judicial y acelera su tramitación para evitar un debate profundo sobre la reforma. A este respecto la demanda señala que la mesa del Congreso de los Diputados recibió una solicitud de informes de 7 de julio de 2022 que no atendió, celebrándose dos sesiones plenarias los siguientes días 14 y 20 de julio, sin tomar en consideración ni la </w:t>
      </w:r>
      <w:r>
        <w:lastRenderedPageBreak/>
        <w:t>petición de los ahora recurrentes, ni el acuerdo del Consejo General del Poder Judicial, lo que vulneraría los derechos fundamentales de los parlamentarios.</w:t>
      </w:r>
    </w:p>
    <w:p w14:paraId="774CCE04" w14:textId="77777777" w:rsidR="003754FE" w:rsidRDefault="003754FE" w:rsidP="003754FE">
      <w:pPr>
        <w:pStyle w:val="TextoNormal"/>
      </w:pPr>
    </w:p>
    <w:p w14:paraId="6B9E13B2" w14:textId="77777777" w:rsidR="003754FE" w:rsidRDefault="003754FE" w:rsidP="003754FE">
      <w:pPr>
        <w:pStyle w:val="TextoNormal"/>
      </w:pPr>
      <w:r>
        <w:t>Explica la demanda que dicha solicitud fue desestimada por acuerdo de la mesa de la Cámara de 8 de septiembre, que indica que “considerando que la iniciativa de referencia fue aprobada por el Pleno de la Cámara en su sesión extraordinaria del pasado 14 de julio y definitivamente por el Senado en su sesión plenaria extraordinaria del día 20 de julio, no procede un pronunciamiento de la mesa a este respecto”, sin contener motivación adicional alguna ni justificar la dilación en la respuesta.</w:t>
      </w:r>
    </w:p>
    <w:p w14:paraId="3BFA30A8" w14:textId="77777777" w:rsidR="003754FE" w:rsidRDefault="003754FE" w:rsidP="003754FE">
      <w:pPr>
        <w:pStyle w:val="TextoNormal"/>
      </w:pPr>
    </w:p>
    <w:p w14:paraId="43F3D671" w14:textId="77777777" w:rsidR="003754FE" w:rsidRDefault="003754FE" w:rsidP="003754FE">
      <w:pPr>
        <w:pStyle w:val="TextoNormal"/>
      </w:pPr>
      <w:r>
        <w:t xml:space="preserve">C) Tras exponer el contenido de la Ley Orgánica 8/2022, de 27 de julio, la demanda concreta los motivos en los que se fundamenta el recurso de inconstitucionalidad. De una parte, se aduce la vulneración del artículo 93 CE, al contravenir el Derecho de la Unión Europea, y del artículo 23 CE, por no respetar el </w:t>
      </w:r>
      <w:r w:rsidRPr="003754FE">
        <w:rPr>
          <w:i/>
        </w:rPr>
        <w:t>ius in officium</w:t>
      </w:r>
      <w:r>
        <w:t xml:space="preserve"> de los parlamentarios y el derecho a la representación política de los ciudadanos. De otra parte, se sostiene también que esta norma es inconstitucional por infringir el artículo 9.3 CE, al entender que esta norma, que califican como “ley singular”, es un supuesto de arbitrariedad del legislador; el artículo 165 CE, considerando que afecta al régimen del Tribunal Constitucional sin modificar su ley orgánica; y el artículo 159.1 CE, pues alegan que es contrario a este precepto constitucional el establecimiento de un plazo para la designación de los magistrados.</w:t>
      </w:r>
    </w:p>
    <w:p w14:paraId="67C605A8" w14:textId="77777777" w:rsidR="003754FE" w:rsidRDefault="003754FE" w:rsidP="003754FE">
      <w:pPr>
        <w:pStyle w:val="TextoNormal"/>
      </w:pPr>
    </w:p>
    <w:p w14:paraId="2BED7F5A" w14:textId="77777777" w:rsidR="003754FE" w:rsidRDefault="003754FE" w:rsidP="003754FE">
      <w:pPr>
        <w:pStyle w:val="TextoNormal"/>
      </w:pPr>
      <w:r>
        <w:t>a) En primer lugar, se aduce que la vulneración “formal” de la Constitución, por defectos en la tramitación parlamentaria de la Ley Orgánica 8/2022, de 27 de julio, conlleva la infracción de los artículos 93, 23.1 y 23.2 CE.</w:t>
      </w:r>
    </w:p>
    <w:p w14:paraId="6E6DD413" w14:textId="77777777" w:rsidR="003754FE" w:rsidRDefault="003754FE" w:rsidP="003754FE">
      <w:pPr>
        <w:pStyle w:val="TextoNormal"/>
      </w:pPr>
    </w:p>
    <w:p w14:paraId="5B906A15" w14:textId="77777777" w:rsidR="003754FE" w:rsidRDefault="003754FE" w:rsidP="003754FE">
      <w:pPr>
        <w:pStyle w:val="TextoNormal"/>
      </w:pPr>
      <w:r>
        <w:t>La demanda, con cita de las SSTC 99/1987, de 11 de junio; 97/2002, de 25 de abril; 103/2008, de 11 de septiembre; 119/2011, de 5 de julio; 136/2011, de 13 de septiembre; 204/2011, de 15 de diciembre; 238/2012, de 13 de diciembre; 191/2013, de 18 de noviembre, y 143/2016, de 19 de septiembre, destaca la exigencia de que las infracciones de las normas que rigen el procedimiento legislativo solo resultan relevantes cuando se traducen en una alteración sustancial del proceso de formación de voluntad en el seno de las cámaras. Y examina, a continuación, si la actuación de la mesa, específicamente en su acuerdo de 8 de septiembre de 2022, vulneró el artículo 93 RCD y si dicha vulneración resultó relevante desde la perspectiva de los artículos 23 y 93 CE.</w:t>
      </w:r>
    </w:p>
    <w:p w14:paraId="69D21A3A" w14:textId="77777777" w:rsidR="003754FE" w:rsidRDefault="003754FE" w:rsidP="003754FE">
      <w:pPr>
        <w:pStyle w:val="TextoNormal"/>
      </w:pPr>
    </w:p>
    <w:p w14:paraId="1AD2BFD4" w14:textId="77777777" w:rsidR="003754FE" w:rsidRDefault="003754FE" w:rsidP="003754FE">
      <w:pPr>
        <w:pStyle w:val="TextoNormal"/>
      </w:pPr>
      <w:r>
        <w:t xml:space="preserve">Para ello, la demanda parte de la afirmación de que los jueces y tribunales españoles son los “primeros jueces de la Unión Europea”, y aduce que las exigencias que resultan de los valores que fundamentan la Unión Europea, que incluyen el respeto al Estado de Derecho [artículo 2 del Tratado de la Unión Europea (TUE)] y que delimitan las exigencias y atribuciones que los tratados reconocen al Tribunal de Justicia de la Unión Europea (artículo 19 TUE), se trasladan también a los jueces y tribunales nacionales españoles en virtud del párrafo segundo del artículo 19.1 TUE. Se alega también que, desde la perspectiva del Derecho de la Unión Europea, el respeto al valor fundacional Estado de Derecho se ha concretado en múltiples actos de las instituciones de la Unión. Se cita el considerando tercero del Reglamento (UE, Euratom) 2020/2092, de 16 de diciembre de 2020. También se cita jurisprudencia del Tribunal de Justicia de la Unión Europea en la que, según afirman, se sostiene que la garantía de independencia de los jueces que integra el derecho a la tutela judicial efectiva </w:t>
      </w:r>
      <w:r>
        <w:lastRenderedPageBreak/>
        <w:t>exige la independencia del órgano de gobierno de los jueces caso de existir, como sucede en España.</w:t>
      </w:r>
    </w:p>
    <w:p w14:paraId="3AEE69D1" w14:textId="77777777" w:rsidR="003754FE" w:rsidRDefault="003754FE" w:rsidP="003754FE">
      <w:pPr>
        <w:pStyle w:val="TextoNormal"/>
      </w:pPr>
    </w:p>
    <w:p w14:paraId="07A7CAFD" w14:textId="77777777" w:rsidR="003754FE" w:rsidRDefault="003754FE" w:rsidP="003754FE">
      <w:pPr>
        <w:pStyle w:val="TextoNormal"/>
      </w:pPr>
      <w:r>
        <w:t>Los diputados recurrentes sostienen que, de acuerdo con los estándares del Consejo de Europa y de la Unión Europea, toda reforma de la legislación del Poder Judicial, específicamente la que afecte al régimen de atribuciones de su órgano de gobierno y que incida en el núcleo esencial de la independencia judicial (como la relativa al nombramiento de jueces y magistrados) no debe tramitarse de manera acelerada y debe llevarse a cabo tomando en consideración y oyendo a los sectores implicados. Ponen de manifiesto, además, que las instituciones europeas así lo han advertido.</w:t>
      </w:r>
    </w:p>
    <w:p w14:paraId="1AF99021" w14:textId="77777777" w:rsidR="003754FE" w:rsidRDefault="003754FE" w:rsidP="003754FE">
      <w:pPr>
        <w:pStyle w:val="TextoNormal"/>
      </w:pPr>
    </w:p>
    <w:p w14:paraId="02149258" w14:textId="77777777" w:rsidR="003754FE" w:rsidRDefault="003754FE" w:rsidP="003754FE">
      <w:pPr>
        <w:pStyle w:val="TextoNormal"/>
      </w:pPr>
      <w:r>
        <w:t>La demanda también hace referencia al Acuerdo del Consejo General del Poder Judicial de 11 de julio de 2022, dirigido a la mesa del Congreso de los Diputados, en el que se solicita que se recabe informe al Consejo General del Poder Judicial y a la Comisión de Venecia en relación con la proposición de ley orgánica presentada por el Grupo Parlamentario Socialista para la reforma de la Ley Orgánica del Poder Judicial. Se señala, además, que el Grupo Parlamentario Popular, por escrito de 7 de julio de 2022, advirtió expresamente a la mesa del Congreso que ciertas reformas legislativas que afectan al Poder Judicial llevadas a cabo por ciertos países europeos se han considerado contrarias a los estándares del Estado de Derecho en Europa.</w:t>
      </w:r>
    </w:p>
    <w:p w14:paraId="094515D2" w14:textId="77777777" w:rsidR="003754FE" w:rsidRDefault="003754FE" w:rsidP="003754FE">
      <w:pPr>
        <w:pStyle w:val="TextoNormal"/>
      </w:pPr>
    </w:p>
    <w:p w14:paraId="0E68C475" w14:textId="77777777" w:rsidR="003754FE" w:rsidRDefault="003754FE" w:rsidP="003754FE">
      <w:pPr>
        <w:pStyle w:val="TextoNormal"/>
      </w:pPr>
      <w:r>
        <w:t>Las consideraciones anteriores llevan a los recurrentes a concluir que la aplicación del trámite de urgencia, así como la tramitación sin audiencia a los interesados, infringieron el artículo 93 RCD, al no satisfacer las exigencias de “un proceso legislativo transparente, responsable, democrático y pluralista” sin que existiera ninguna circunstancia que justificara la urgencia o la falta de audiencia a los afectados. Asimismo, entienden que al no existir razones imperiosas que justificaran la tramitación urgente, sin audiencia a las partes implicadas, se desconocen los estándares de protección del Estado de Derecho de la Unión Europea, lo que conlleva, a su vez, una vulneración del artículo 93 CE.</w:t>
      </w:r>
    </w:p>
    <w:p w14:paraId="561C8AE8" w14:textId="77777777" w:rsidR="003754FE" w:rsidRDefault="003754FE" w:rsidP="003754FE">
      <w:pPr>
        <w:pStyle w:val="TextoNormal"/>
      </w:pPr>
    </w:p>
    <w:p w14:paraId="2B678961" w14:textId="77777777" w:rsidR="003754FE" w:rsidRDefault="003754FE" w:rsidP="003754FE">
      <w:pPr>
        <w:pStyle w:val="TextoNormal"/>
      </w:pPr>
      <w:r>
        <w:t xml:space="preserve">Por otra parte, se alega que la tramitación de la Ley Orgánica 8/2022 incurrió en infracción de derechos fundamentales. Estas vulneraciones que, según aducen, se van a denunciar también a través de un recurso de amparo, consisten en la vulneración del derecho al cargo representativo conforme a la ley. Entienden que el derecho al </w:t>
      </w:r>
      <w:r w:rsidRPr="003754FE">
        <w:rPr>
          <w:i/>
        </w:rPr>
        <w:t>ius in officium</w:t>
      </w:r>
      <w:r>
        <w:t xml:space="preserve"> que consagra el artículo 23.2 CE garantiza (i) el derecho de los parlamentarios a desempeñar su labor representativa de conformidad con lo que la ley disponga; (ii) los órganos parlamentarios están obligados a interpretar restrictivamente las normas que puedan suponer una limitación al ejercicio de aquellos; y (iii) deben motivar suficiente y adecuadamente las restricciones de este derecho. Estas tres vertientes del derecho que garantiza el artículo 23.2 CE han sido vulneradas según entiende la demanda por los acuerdos de la mesa. En primer lugar, porque se impidió que los parlamentarios pudieran oír a los afectados por la reforma, a la Comisión de Venencia y al Consejo General del Poder Judicial, desconociendo la obligación del Derecho de la Unión y del artículo 561.1 LOPJ.</w:t>
      </w:r>
    </w:p>
    <w:p w14:paraId="3F77E0B3" w14:textId="77777777" w:rsidR="003754FE" w:rsidRDefault="003754FE" w:rsidP="003754FE">
      <w:pPr>
        <w:pStyle w:val="TextoNormal"/>
      </w:pPr>
    </w:p>
    <w:p w14:paraId="75CB1BA8" w14:textId="77777777" w:rsidR="003754FE" w:rsidRDefault="003754FE" w:rsidP="003754FE">
      <w:pPr>
        <w:pStyle w:val="TextoNormal"/>
      </w:pPr>
      <w:r>
        <w:t xml:space="preserve">En segundo lugar, porque la mesa aplicó restrictivamente el ordenamiento jurídico al no amparar la solicitud de los recurrentes de recabar los informes de la Comisión de Venecia, de los agentes afectados por la reforma y del Consejo General del Poder Judicial; por tramitar esta reforma por la vía de urgencia; por no admitir la apertura de un trámite de </w:t>
      </w:r>
      <w:r>
        <w:lastRenderedPageBreak/>
        <w:t>comparecencia de expertos para que expresaran su opinión en relación a la reforma legal que se estaba tramitando, y por no exponer de forma debidamente motivada las razones por las que adoptaron tales medidas. Entienden que esta forma de proceder afecta al núcleo de la función parlamentaria: la función legislativa; y por ello vulnera el artículo 23.2 CE, lo que conlleva la infracción del artículo 23.1 CE. En opinión de los recurrentes, las infracciones en las que se incurrió durante la tramitación de la proposición de ley proyectan su inconstitucionalidad sobre el contenido de la ley finalmente aprobada y ahora recurrida. Por ello, consideran que esta norma es contraria a los artículos 93 CE, 23.1 y 23.2 CE.</w:t>
      </w:r>
    </w:p>
    <w:p w14:paraId="372BD9FE" w14:textId="77777777" w:rsidR="003754FE" w:rsidRDefault="003754FE" w:rsidP="003754FE">
      <w:pPr>
        <w:pStyle w:val="TextoNormal"/>
      </w:pPr>
    </w:p>
    <w:p w14:paraId="6DE4C84F" w14:textId="77777777" w:rsidR="003754FE" w:rsidRDefault="003754FE" w:rsidP="003754FE">
      <w:pPr>
        <w:pStyle w:val="TextoNormal"/>
      </w:pPr>
      <w:r>
        <w:t>b) A continuación se alega la inconstitucionalidad por vicios materiales o sustantivos, que conlleva la vulneración de los artículos 9.3, 165 y 159.1 CE.</w:t>
      </w:r>
    </w:p>
    <w:p w14:paraId="0BD7AEF1" w14:textId="77777777" w:rsidR="003754FE" w:rsidRDefault="003754FE" w:rsidP="003754FE">
      <w:pPr>
        <w:pStyle w:val="TextoNormal"/>
      </w:pPr>
    </w:p>
    <w:p w14:paraId="032612E6" w14:textId="77777777" w:rsidR="003754FE" w:rsidRDefault="003754FE" w:rsidP="003754FE">
      <w:pPr>
        <w:pStyle w:val="TextoNormal"/>
      </w:pPr>
      <w:r>
        <w:t>Los recurrentes alegan que el artículo único de la ley impugnada vulnera los artículos 9.3, 165 y 159.1 CE. Ponen de manifiesto que interpusieron un recurso de inconstitucionalidad contra la Ley Orgánica 4/2021, de 29 de marzo, al considerar que vulneraba los artículos 122, 167, 169 y 165 CE, entre otros motivos, por despojar al Consejo General del Poder Judicial “en funciones” de diecisiete atribuciones esenciales. Entienden que, aunque la ley ahora impugnada le otorga de nuevo la competencia para el nombramiento de los magistrados del Tribunal Constitucional y la recuperación de esta competencia ofrece un resultado en apariencia más compatible con la Constitución, tal circunstancia no impide que la ley impugnada incurra en las siguientes vulneraciones constitucionales:</w:t>
      </w:r>
    </w:p>
    <w:p w14:paraId="7B064501" w14:textId="77777777" w:rsidR="003754FE" w:rsidRDefault="003754FE" w:rsidP="003754FE">
      <w:pPr>
        <w:pStyle w:val="TextoNormal"/>
      </w:pPr>
    </w:p>
    <w:p w14:paraId="64997CC7" w14:textId="77777777" w:rsidR="003754FE" w:rsidRDefault="003754FE" w:rsidP="003754FE">
      <w:pPr>
        <w:pStyle w:val="TextoNormal"/>
      </w:pPr>
      <w:r>
        <w:t>(i) Los recurrentes sostienen que la ley impugnada es una “ley singular”, de acuerdo con la doctrina constitucional (citan las SSTC 203/2013, de 5 de diciembre, y 50/2015, de 5 de marzo), porque responde exclusivamente a la finalidad de dar una respuesta singular a una específica situación. Consideran que todos los elementos que rodean la reforma evidencian que la única aspiración de la Ley Orgánica 8/2022 es permitir que el Consejo General del Poder Judicial pueda designar en este específico momento magistrados del Tribunal Constitucional. Señalan que así lo manifiesta el preámbulo de la norma en el que se reconoce que se dicta para ofrecer una respuesta a la específica situación en el concreto contexto. En definitiva, afirma la demanda que es innegable que la ley constituye un claro ejemplo de “ley singular” al dirigirse a hacer frente a una específica circunstancia que es la renovación del Tribunal Constitucional.</w:t>
      </w:r>
    </w:p>
    <w:p w14:paraId="24CBEC9D" w14:textId="77777777" w:rsidR="003754FE" w:rsidRDefault="003754FE" w:rsidP="003754FE">
      <w:pPr>
        <w:pStyle w:val="TextoNormal"/>
      </w:pPr>
    </w:p>
    <w:p w14:paraId="7670EBFE" w14:textId="77777777" w:rsidR="003754FE" w:rsidRDefault="003754FE" w:rsidP="003754FE">
      <w:pPr>
        <w:pStyle w:val="TextoNormal"/>
      </w:pPr>
      <w:r>
        <w:t xml:space="preserve">Partiendo de que se trata de una ley singular la demanda expone los motivos por los que es inconstitucional, de acuerdo con las SSTC 129/2013, de 4 de junio, y 203/2013, por no respetar el principio de interdicción de la arbitrariedad de los poderes públicos (artículo 9.3 CE). En primer lugar, por la “insostenible motivación de la norma”. Se alega que si la Ley Orgánica 4/2021 consagra el principio de la “ilegitimidad de los nombramientos por el CGPJ [Consejo General del Poder Judicial] en funciones” debido a la “legitimidad democrática reducida” del Consejo General del Poder Judicial cuando expira su mandato ordinario, resulta arbitrario que la ley ahora impugnada no lo tome en consideración. Según afirman, “se pasa de defender fervientemente una cosa (la falta de legitimidad democrática para efectuar nombramientos del CGPJ ‘saliente’ o ‘en funciones’, por suponer ello una ‘injerencia’ en las funciones del CGPJ ‘entrante’) a defender la contraria (es decir, la necesidad de permitir el ejercicio de tal específica función por el CGPJ ‘en funciones’) sin existir ni el más mínimo o sucinto intento de justificar dicho radical cambio de criterio”. De ahí que sostengan que “la nula motivación de la Ley Orgánica 8/2022 al desdeñar el principio </w:t>
      </w:r>
      <w:r>
        <w:lastRenderedPageBreak/>
        <w:t>esencial de su predecesora inmediata (que solo se deroga en el específico supuesto en que ello conviene al Gobierno) permite apreciar, sin ningún género de duda, la arbitrariedad del legislador en la configuración de la norma”. A mayor abundamiento, los recurrentes aducen que el contenido de la norma evidencia su arbitrariedad dado que excepciona el principio de “ilegitimidad de los nombramientos por el CGPJ en funciones” atendiendo a las “dificultades en la renovación” del Tribunal Constitucional, pero ignora, sin que medie explicación al efecto, el resto de las notabilísimas “dificultades” en que se encuentra el Poder Judicial como consecuencia de la citada Ley Orgánica 4/2021. Señalan, además, que, por las repetidas advertencias del Consejo General del Poder Judicial, las Cortes Generales se encuentran plenamente informadas de que, como consecuencia de la Ley Orgánica 4/2021, el Poder Judicial está en una situación que consideran absolutamente insostenible. A su juicio, es irracional y, por ello, arbitrario que el legislador considere que la no renovación del Tribunal Constitucional durante doce días (los transcurridos desde el vencimiento del mandato hasta el planteamiento de la proposición de ley de la que trae causa la ley ahora impugnada) “es tan grave que amerita la eliminación del principio de limitación competencial del CGPJ en funciones, pero la situación insostenible, bochornosa e inaceptable en que se encuentra el Poder Judicial desde hace un año y medio —agravada cada día que transcurre— no constituye, en cambio, motivo alguno para la revisión del principio en cuestión en relación con las relevantísimas competencias extirpadas al CGPJ por la Ley Orgánica 4/2021”. Por todo ello consideran que la Ley Orgánica 8/2022 es arbitraria tanto por la motivación de esta “ley singular” como por su contenido y por ello vulnera el artículo 9.3 CE.</w:t>
      </w:r>
    </w:p>
    <w:p w14:paraId="43ABFC33" w14:textId="77777777" w:rsidR="003754FE" w:rsidRDefault="003754FE" w:rsidP="003754FE">
      <w:pPr>
        <w:pStyle w:val="TextoNormal"/>
      </w:pPr>
    </w:p>
    <w:p w14:paraId="66CCC183" w14:textId="77777777" w:rsidR="003754FE" w:rsidRDefault="003754FE" w:rsidP="003754FE">
      <w:pPr>
        <w:pStyle w:val="TextoNormal"/>
      </w:pPr>
      <w:r>
        <w:t>(ii) Los recurrentes aducen que la ley impugnada infringe el artículo 165 CE ya que establece una regulación que incide de modo claro en el régimen jurídico del Tribunal Constitucional. Al entender de la demanda, el artículo 165 CE determina que ha de ser una única ley orgánica la que regule el estatuto del Tribunal Constitucional, tal y como ha reconocido la STC 185/2016, de 3 de noviembre, FJ 8, al afirmar que “‘únicamente la Ley Orgánica del Tribunal Constitucional y no cualquier otra ley puede desarrollar la institución del Tribunal Constitucional en todos los ámbitos en que quepa tal desarrollo, bien por requerirlo la Constitución, bien porque no esté constitucionalmente impedido’ [STC 49/2008, FFJJ 3 y 16; en el mismo sentido, STC 118/2016, FJ 4 d)]”. Por ello se considera que la determinación de la competencia para la designación de los magistrados y, en su caso, de su plazo, corresponde a la Ley Orgánica del Tribunal Constitucional. Consecuentemente, al establecerse esta regulación mediante una reforma de la Ley Orgánica del Poder Judicial se infringe el artículo 165 CE en relación con el artículo 16.1 de la Ley Orgánica del Tribunal Constitucional (LOTC).</w:t>
      </w:r>
    </w:p>
    <w:p w14:paraId="29B9F6A2" w14:textId="77777777" w:rsidR="003754FE" w:rsidRDefault="003754FE" w:rsidP="003754FE">
      <w:pPr>
        <w:pStyle w:val="TextoNormal"/>
      </w:pPr>
    </w:p>
    <w:p w14:paraId="7A859226" w14:textId="77777777" w:rsidR="003754FE" w:rsidRDefault="003754FE" w:rsidP="003754FE">
      <w:pPr>
        <w:pStyle w:val="TextoNormal"/>
      </w:pPr>
      <w:r>
        <w:t xml:space="preserve">(iii) Finalmente, se alega que el apartado 2 del artículo único de la Ley Orgánica 8/2022 vulnera los artículos 159.1 CE y 16.1 LOTC. Los diputados recurrentes sostienen que el apartado segundo del artículo único, al establecer que la propuesta de nombramientos de los dos magistrados del Tribunal Constitucional tiene que realizarse “en el plazo máximo de tres meses a contar desde el día siguiente al vencimiento del mandato anterior” vulnera el artículo 159.1 CE, pues este precepto no establece plazo alguno para efectuar tales propuestas. A su juicio, el silencio de la Constitución a este respecto solo puede interpretarse en el sentido de que no existe un plazo para el cumplimiento de este mandato constitucional. En su opinión, esta ausencia de plazo para efectuar las propuestas de nombramientos de magistrados del Tribunal Constitucional se justifica en la necesidad de respetar los procesos internos que cada órgano constitucional ha de realizar para llevar a cabo las referidas </w:t>
      </w:r>
      <w:r>
        <w:lastRenderedPageBreak/>
        <w:t>designaciones. Tampoco el artículo 16.1 LOTC establece plazo alguno. Por ello, entienden que el apartado segundo del artículo único de la Ley Orgánica 8/2022, de 27 de julio, al imponer un plazo al Consejo General del Poder Judicial para efectuar las propuestas de nombramientos de magistrados del Tribunal Constitucional contraviene el artículo 159.1 CE.</w:t>
      </w:r>
    </w:p>
    <w:p w14:paraId="74916E9C" w14:textId="77777777" w:rsidR="003754FE" w:rsidRDefault="003754FE" w:rsidP="003754FE">
      <w:pPr>
        <w:pStyle w:val="TextoNormal"/>
      </w:pPr>
    </w:p>
    <w:p w14:paraId="36C72F63" w14:textId="40578CA8" w:rsidR="003754FE" w:rsidRDefault="003754FE" w:rsidP="003754FE">
      <w:pPr>
        <w:pStyle w:val="TextoNormal"/>
      </w:pPr>
      <w:r>
        <w:t xml:space="preserve">D) Por otrosí solicitan que, al amparo del art. 267 del Tratado de funcionamiento de la Unión Europea, en relación con la doctrina establecida en el ATC 86/2011, de 9 de junio, el Tribunal Constitucional plantee cuestión prejudicial referida al art. 2 del Tratado de la Unión Europea en los siguientes términos: “1) La noción de Estado de Derecho contenida en el artículo 2 del Tratado de la Unión Europea, ¿debe interpretarse en el sentido de que impide al Poder Legislativo de un Estado miembro adoptar, independientemente de su contenido, mediante procedimientos parlamentarios acelerados que limiten el debate público y parlamentario, una reforma que afecte al núcleo competencial del Poder Judicial o de sus órganos de gobierno sin consultar al órgano constitucional afectado, a la Comisión Europea para la Democracia por el Derecho del Consejo de Europa (Comisión de Venecia) y a los sectores afectados por la reforma? 2) La noción de Estado de Derecho contenida en el artículo 2 del Tratado de la Unión Europea, así como la derivada y necesaria confianza de los ciudadanos en el sistema judicial en su conjunto, ¿es compatible con la adopción por una misma mayoría parlamentaria, en un plazo menor a dos años, de dos reformas sucesivas adoptadas en los términos descritos en el punto ‘1)’, la segunda de las cuales enmienda radicalmente en un específico supuesto el principio general y la concreta norma adoptados en la primera reforma —sin motivación que aborde los motivos tras dicho cambio de postura—, en un contexto en que todos los elementos externos (texto expositivo, calendario, declaraciones del Gobierno o régimen de tramitación urgente) no solo impidan descartar, sino que conduzcan al ciudadano medio a suponer que el propósito único —o al menos el esencial— tras la reforma </w:t>
      </w:r>
      <w:r w:rsidRPr="003754FE">
        <w:rPr>
          <w:i/>
        </w:rPr>
        <w:t>ad hoc</w:t>
      </w:r>
      <w:r>
        <w:t xml:space="preserve"> reside en ajustar el régimen jurídico del órgano de gobierno del Poder Judicial para ajustarlo a la específica conveniencia del Gobierno de la Nación en un momento temporal determinado?”.</w:t>
      </w:r>
    </w:p>
    <w:p w14:paraId="3890CFF6" w14:textId="77777777" w:rsidR="003754FE" w:rsidRDefault="003754FE" w:rsidP="003754FE">
      <w:pPr>
        <w:pStyle w:val="TextoNormal"/>
      </w:pPr>
    </w:p>
    <w:p w14:paraId="1D69EC3E" w14:textId="56D516CB" w:rsidR="003754FE" w:rsidRDefault="003754FE" w:rsidP="003754FE">
      <w:pPr>
        <w:pStyle w:val="TextoNormal"/>
      </w:pPr>
      <w:r w:rsidRPr="003754FE">
        <w:rPr>
          <w:rStyle w:val="NumeroAFNegritaCaracter"/>
        </w:rPr>
        <w:t>4</w:t>
      </w:r>
      <w:r>
        <w:t>. Por providencia de 16 de noviembre de 2022, el Pleno del Tribunal Constitucional, a propuesta de la Sección Tercera, acordó admitir a trámite el recurso de inconstitucionalidad y dar traslado de la demanda y documentos presentados, conforme establece el artículo 34 LOTC, al Congreso de los Diputados, al Senado y al Gobierno, al objeto de que en el plazo de quince días pudieran personarse en el proceso y formular las alegaciones que estimaren convenientes. Por último, también se ordenó publicar la incoación del recurso en el “Boletín Oficial del Estado”.</w:t>
      </w:r>
    </w:p>
    <w:p w14:paraId="4E2FC877" w14:textId="77777777" w:rsidR="003754FE" w:rsidRDefault="003754FE" w:rsidP="003754FE">
      <w:pPr>
        <w:pStyle w:val="TextoNormal"/>
      </w:pPr>
    </w:p>
    <w:p w14:paraId="679CE537" w14:textId="470650DD" w:rsidR="003754FE" w:rsidRDefault="003754FE" w:rsidP="003754FE">
      <w:pPr>
        <w:pStyle w:val="TextoNormal"/>
      </w:pPr>
      <w:r w:rsidRPr="003754FE">
        <w:rPr>
          <w:rStyle w:val="NumeroAFNegritaCaracter"/>
        </w:rPr>
        <w:t>5</w:t>
      </w:r>
      <w:r>
        <w:t>. La presidenta del Congreso de los Diputados, por escrito que tuvo entrada en el registro del Tribunal Constitucional el día 1 de diciembre de 2022, comunicó el acuerdo de la mesa del Congreso de 29 de noviembre de 2022, en orden a: (i) personarse en el procedimiento a los solos efectos de formular alegaciones en relación con los vicios de procedimiento legislativo que se denuncian en la demanda, en lo que afecta al Congreso de los Diputados; (ii) encomendar la representación y defensa de la Cámara a la letrada de las Cortes Generales doña Paloma Martínez Santa María, directora de la asesoría jurídica de la Secretaría General de la Cámara, con quien se entenderán las sucesivas diligencias y trámites; (iii) comunicar el acuerdo al Tribunal Constitucional y al Senado; y (iv) remitir el recurso a la dirección de estudios, análisis y publicaciones de la Secretaría General.</w:t>
      </w:r>
    </w:p>
    <w:p w14:paraId="6A96A56D" w14:textId="77777777" w:rsidR="003754FE" w:rsidRDefault="003754FE" w:rsidP="003754FE">
      <w:pPr>
        <w:pStyle w:val="TextoNormal"/>
      </w:pPr>
    </w:p>
    <w:p w14:paraId="4D571406" w14:textId="20A7F975" w:rsidR="003754FE" w:rsidRDefault="003754FE" w:rsidP="003754FE">
      <w:pPr>
        <w:pStyle w:val="TextoNormal"/>
      </w:pPr>
      <w:r w:rsidRPr="003754FE">
        <w:rPr>
          <w:rStyle w:val="NumeroAFNegritaCaracter"/>
        </w:rPr>
        <w:t>6</w:t>
      </w:r>
      <w:r>
        <w:t>. Por escrito registrado en el Tribunal el 1 de diciembre de 2022, el presidente del Senado comunicó que la mesa había acordado dar por personada a esta Cámara y ofrecer su colaboración a los efectos de lo previsto en el artículo 88.1 LOTC.</w:t>
      </w:r>
    </w:p>
    <w:p w14:paraId="60AA1337" w14:textId="77777777" w:rsidR="003754FE" w:rsidRDefault="003754FE" w:rsidP="003754FE">
      <w:pPr>
        <w:pStyle w:val="TextoNormal"/>
      </w:pPr>
    </w:p>
    <w:p w14:paraId="3560A271" w14:textId="77777777" w:rsidR="003754FE" w:rsidRDefault="003754FE" w:rsidP="003754FE">
      <w:pPr>
        <w:pStyle w:val="TextoNormal"/>
      </w:pPr>
      <w:r w:rsidRPr="003754FE">
        <w:rPr>
          <w:rStyle w:val="NumeroAFNegritaCaracter"/>
        </w:rPr>
        <w:t>7</w:t>
      </w:r>
      <w:r>
        <w:t>. El 14 de diciembre de 2022, la letrada de las Cortes Generales, en representación del Congreso de los Diputados, compareció en el proceso y formuló alegaciones en relación con los vicios de procedimiento legislativo que se denuncian en la demanda, en lo que afecta al Congreso de los Diputados, y solicitó su desestimación.</w:t>
      </w:r>
    </w:p>
    <w:p w14:paraId="7CB452D2" w14:textId="77777777" w:rsidR="003754FE" w:rsidRDefault="003754FE" w:rsidP="003754FE">
      <w:pPr>
        <w:pStyle w:val="TextoNormal"/>
      </w:pPr>
    </w:p>
    <w:p w14:paraId="178FC95B" w14:textId="77777777" w:rsidR="003754FE" w:rsidRDefault="003754FE" w:rsidP="003754FE">
      <w:pPr>
        <w:pStyle w:val="TextoNormal"/>
      </w:pPr>
      <w:r>
        <w:t>A) Tras exponer la tramitación del procedimiento legislativo que dio lugar a la aprobación de la ley recurrida, la letrada de las Cortes Generales pone de relieve que el presente recurso contiene, en lo que se refiere a las decisiones relativas a la tramitación de la ley, un contenido muy parecido al del recurso de inconstitucionalidad núm. 3101-2021, interpuesto por el mismo grupo parlamentario que ahora recurre, así como al del recurso de amparo núm. 1209-2021, por lo que advierte que la mayoría de los argumentos que fueron utilizados en sus alegaciones a aquellos recursos serán utilizados en este proceso.</w:t>
      </w:r>
    </w:p>
    <w:p w14:paraId="7DB1868E" w14:textId="77777777" w:rsidR="003754FE" w:rsidRDefault="003754FE" w:rsidP="003754FE">
      <w:pPr>
        <w:pStyle w:val="TextoNormal"/>
      </w:pPr>
    </w:p>
    <w:p w14:paraId="648258E4" w14:textId="77777777" w:rsidR="003754FE" w:rsidRDefault="003754FE" w:rsidP="003754FE">
      <w:pPr>
        <w:pStyle w:val="TextoNormal"/>
      </w:pPr>
      <w:r>
        <w:t xml:space="preserve">Seguidamente, se refiere a las consideraciones generales de la demanda: (i) confronta el argumento referido al contexto político de la aprobación de la norma afirmando que este no es un criterio para analizar la constitucionalidad de la norma pues solo aporta la visión subjetiva de quien lo relata; (ii) explica que la figura del Consejo en funciones no es una creación </w:t>
      </w:r>
      <w:r w:rsidRPr="003754FE">
        <w:rPr>
          <w:i/>
        </w:rPr>
        <w:t>ex novo</w:t>
      </w:r>
      <w:r>
        <w:t xml:space="preserve"> porque ya se recogía en el artículo 570.2 LOPJ, en la redacción introducida por la Ley Orgánica 4/2013, de 28 de junio, que nunca fue objeto de recurso de inconstitucionalidad; (iii) y recuerda que los apartados 1 y 3 del artículo 570 LOPJ y el apartado 3 de la disposición transitoria décima fueron objeto de recurso de inconstitucionalidad resuelto por la STC 191/2016, de 15 de noviembre, que se refiere a la amplia libertad de la que dispone el legislador orgánico, en todo lo no predeterminado por la Constitución, para configurar en cada momento el Consejo General del Poder Judicial, sin ataduras respecto a lo dispuesto por el legislador anterior y especialmente para paliar situaciones de anomalía como las derivadas de los bloqueos en la renovación del Consejo.</w:t>
      </w:r>
    </w:p>
    <w:p w14:paraId="46695808" w14:textId="77777777" w:rsidR="003754FE" w:rsidRDefault="003754FE" w:rsidP="003754FE">
      <w:pPr>
        <w:pStyle w:val="TextoNormal"/>
      </w:pPr>
    </w:p>
    <w:p w14:paraId="30C5DED5" w14:textId="77777777" w:rsidR="003754FE" w:rsidRDefault="003754FE" w:rsidP="003754FE">
      <w:pPr>
        <w:pStyle w:val="TextoNormal"/>
      </w:pPr>
      <w:r>
        <w:t>B) A partir de estas consideraciones iniciales, la letrada de las Cortes Generales contesta a los argumentos relativos a la inconstitucionalidad formal de la Ley Orgánica 8/2022, negando la vulneración de los artículos 23 y 93 CE.</w:t>
      </w:r>
    </w:p>
    <w:p w14:paraId="20D280C9" w14:textId="77777777" w:rsidR="003754FE" w:rsidRDefault="003754FE" w:rsidP="003754FE">
      <w:pPr>
        <w:pStyle w:val="TextoNormal"/>
      </w:pPr>
    </w:p>
    <w:p w14:paraId="18E4B2A9" w14:textId="77777777" w:rsidR="003754FE" w:rsidRDefault="003754FE" w:rsidP="003754FE">
      <w:pPr>
        <w:pStyle w:val="TextoNormal"/>
      </w:pPr>
      <w:r>
        <w:t>a) En primer lugar, afirma que no ha habido un fraude de ley respecto a la tramitación de la ley orgánica. Para desarrollar este argumento constata que el artículo 87 CE distingue entre los proyectos y las proposiciones de ley y sostiene que, frente a la minuciosa regulación de la tramitación de los proyectos de ley, la iniciativa legislativa articulada por proposición de ley responde a una escueta regulación (arts. 124 y 126 RCD) que no contiene precisión alguna sobre los documentos que tienen que incorporarse como antecedentes y que no exige dictámenes o informes con carácter preceptivo. Sentado lo anterior, se detiene en el análisis de la figura del fraude de ley concluyendo que no es posible su aplicación a este caso porque no concurren los dos elementos que lo configuran; esto es, un acto realizado al amparo de una ley de cobertura que persigue un resultado prohibido por el ordenamiento jurídico o contrario a él.</w:t>
      </w:r>
    </w:p>
    <w:p w14:paraId="5179C30A" w14:textId="77777777" w:rsidR="003754FE" w:rsidRDefault="003754FE" w:rsidP="003754FE">
      <w:pPr>
        <w:pStyle w:val="TextoNormal"/>
      </w:pPr>
    </w:p>
    <w:p w14:paraId="6BC70FA0" w14:textId="77777777" w:rsidR="003754FE" w:rsidRDefault="003754FE" w:rsidP="003754FE">
      <w:pPr>
        <w:pStyle w:val="TextoNormal"/>
      </w:pPr>
      <w:r>
        <w:lastRenderedPageBreak/>
        <w:t>b) Respecto a la denunciada omisión de informes en el procedimiento legislativo y sus consecuencias en la inconstitucionalidad formal de la norma, se recuerda que las exigencias del artículo 26 de la Ley 50/1997, del Gobierno, relativas a los anteproyectos de ley, no se aplican a las proposiciones de ley de las cámaras, por lo que debe excluirse en este caso la aplicación del artículo 561.1.1 LOPJ que exige el informe del Consejo para los anteproyectos de ley que versen sobre las modificaciones del contenido de dicha ley [con cita de la STC 153/2016, de 22 de septiembre, FJ 3 b)].</w:t>
      </w:r>
    </w:p>
    <w:p w14:paraId="3AC88F63" w14:textId="77777777" w:rsidR="003754FE" w:rsidRDefault="003754FE" w:rsidP="003754FE">
      <w:pPr>
        <w:pStyle w:val="TextoNormal"/>
      </w:pPr>
    </w:p>
    <w:p w14:paraId="13F4BA8F" w14:textId="77777777" w:rsidR="003754FE" w:rsidRDefault="003754FE" w:rsidP="003754FE">
      <w:pPr>
        <w:pStyle w:val="TextoNormal"/>
      </w:pPr>
      <w:r>
        <w:t>Tampoco vulnera, se añade, el artículo 124 RCD el hecho de que una proposición de ley no se presente acompañada de los estudios e informes que justifiquen su oportunidad, por ser estos aquellos antecedentes necesarios a los que se refiere el precepto. La mesa de la Cámara debe limitarse a examinar los requisitos formales de las proposiciones de ley y proceder a su admisión una vez verificado el cumplimiento de tales requisitos, que se limitan a la exposición de motivos y los antecedentes. Por eso la mesa del Congreso, en su reunión del día 28 de junio de 2022, de acuerdo con el artículo 31.1.4 RCD, acordó la admisión a trámite de la proposición de ley al considerar cumplidos los requisitos formales, no pudiendo considerarse esta decisión contraria al artículo 23.2 CE por haberse tramitado una iniciativa inconstitucional, porque solo el Tribunal Constitucional puede realizar tal juicio de constitucionalidad y no corresponde a la mesa rechazar la tramitación de una iniciativa legislativa que resulte manifiestamente inconstitucional (con cita de la STC 96/2019, de 15 de julio, FJ 6). Además, el artículo 23.2 CE no incluye un derecho fundamental a la constitucionalidad de las iniciativas parlamentarias.</w:t>
      </w:r>
    </w:p>
    <w:p w14:paraId="28A16E96" w14:textId="77777777" w:rsidR="003754FE" w:rsidRDefault="003754FE" w:rsidP="003754FE">
      <w:pPr>
        <w:pStyle w:val="TextoNormal"/>
      </w:pPr>
    </w:p>
    <w:p w14:paraId="3FC68820" w14:textId="77777777" w:rsidR="003754FE" w:rsidRDefault="003754FE" w:rsidP="003754FE">
      <w:pPr>
        <w:pStyle w:val="TextoNormal"/>
      </w:pPr>
      <w:r>
        <w:t>Respecto de la obligación de la mesa de solicitar informe al Consejo General del Poder Judicial, la letrada de las Cortes Generales sostiene que no es tal, sino una mera posibilidad. Y, con apoyo en la STC 108/1986, de 29 de julio, sostiene que la ausencia de informes no implica la inconstitucionalidad de la ley, salvo que se hubiese privado a la Cámara de un elemento necesario para su decisión vulnerando los derechos de los parlamentarios, de modo que la Cámara cuenta con autonomía para decidir qué antecedentes son necesarios. La ausencia de un determinado informe solo sería relevante si hubiera mediado protesta de los diputados o grupos, considerando relevante haber tenido este elemento de juicio, y se constatase efectivamente esa relevancia. La letrada admite que la STC 108/1986, citada en sustento de sus argumentos, no se refiere a las proposiciones de ley, pero estima que algunas de sus conclusiones pueden servir para este caso, dado que si se permite a la Cámara decidir sobre la posibilidad de recabar o no un informe que tenga carácter preceptivo, con mayor razón debe ser así en los casos en los que no tenga tal carácter, como ocurre en relación con la tramitación de las proposiciones de ley. Entiende que el hecho de que hubiese mediado protesta de un grupo, que consideraba relevante contar con esos informes, no determina que se tenga que conceder en todo caso, puesto que corresponde a la mesa de la Cámara decidir sobre la tramitación de todos los escritos y documentos de índole parlamentaria. Más concretamente, la posibilidad de someter a informe del Consejo General del Poder Judicial la proposición de ley se configura en el artículo 561.1 LOPJ como una facultad de la Cámara, pues se trata de un informe potestativo y no preceptivo.</w:t>
      </w:r>
    </w:p>
    <w:p w14:paraId="29A51E8E" w14:textId="77777777" w:rsidR="003754FE" w:rsidRDefault="003754FE" w:rsidP="003754FE">
      <w:pPr>
        <w:pStyle w:val="TextoNormal"/>
      </w:pPr>
    </w:p>
    <w:p w14:paraId="60AA3396" w14:textId="77777777" w:rsidR="003754FE" w:rsidRDefault="003754FE" w:rsidP="003754FE">
      <w:pPr>
        <w:pStyle w:val="TextoNormal"/>
      </w:pPr>
      <w:r>
        <w:t xml:space="preserve">En este caso, afirma la letrada que la mesa de la Cámara decidió no ejercer la facultad que reconoce el artículo 561.1.9 LOPJ al Congreso de los Diputados, de acuerdo con la libertad con que cuenta la mesa para ponerla en práctica. La razón de no atender la solicitud del grupo con anterioridad al comienzo de la sesión extraordinaria (celebrada el 13 de julio </w:t>
      </w:r>
      <w:r>
        <w:lastRenderedPageBreak/>
        <w:t>de 2022) en la que se tomó en consideración la proposición de ley, se encuentra en que fue presentada el 8 de julio de 2022 y la siguiente reunión de la mesa fue el día 13 de julio para, entre otras cuestiones, establecer la hora en la que terminaba el plazo para presentar enmiendas a la proposición de ley, que fueron admitidas a trámite el día 14 de julio de 2022. Por tanto, la mesa no tuvo tiempo para atender la solicitud con anterioridad al comienzo de la sesión en la que se debía tomar en consideración la iniciativa y acordar su tramitación por el procedimiento de lectura única (el día 13 de julio) y en la que se aprobó finalmente (el día 14 de julio). Además, la iniciativa fue registrada el 24 de junio de 2022 y antes de la fecha de la solicitud de informes (8 de julio de 2022) se celebró la reunión de la mesa de 28 de junio de 2022 para calificar y admitir la proposición de ley de referencia, por lo que habrían contado con tiempo para haber hecho la solicitud con anterioridad. Es así como se puede entender que en la primera reunión de la mesa que tuvo lugar en el siguiente período ordinario de sesiones (el día 8 de septiembre de 2022) se acordara que no procedía ningún pronunciamiento de la mesa al haber perdido su objeto la solicitud; acordándose lo mismo con respecto al escrito del Consejo General del Poder Judicial, pues se registró el 21 de julio de 2022, habiéndose ya aprobado la iniciativa incluso por el Senado el 20 de julio del mismo año. En cualquier caso, incluso si se hubiera tratado en la reunión de la mesa de 13 de julio la posible decisión sobre la solicitud de informe, hubiera correspondido a la mesa tomar, con total libertad, la decisión de solicitar los informes señalados; es decir, la inclusión del asunto en un orden del día u otro de la mesa no garantiza que se acceda necesariamente a la solicitud. Tampoco era preceptivo el informe de la Comisión de Venecia. En cuanto a la falta de audiencia a los sectores afectados, es una decisión discrecional de la Cámara, y particularmente de las Comisiones (art. 44 RCD).</w:t>
      </w:r>
    </w:p>
    <w:p w14:paraId="54FCE082" w14:textId="77777777" w:rsidR="003754FE" w:rsidRDefault="003754FE" w:rsidP="003754FE">
      <w:pPr>
        <w:pStyle w:val="TextoNormal"/>
      </w:pPr>
    </w:p>
    <w:p w14:paraId="11F86AF2" w14:textId="77777777" w:rsidR="003754FE" w:rsidRDefault="003754FE" w:rsidP="003754FE">
      <w:pPr>
        <w:pStyle w:val="TextoNormal"/>
      </w:pPr>
      <w:r>
        <w:t>Concluye la letrada que la omisión de los informes y de las comparecencias no ha provocado la vulneración del derecho fundamental del artículo 23 CE conforme a la doctrina constitucional (SSTC 136/2011, de 13 de septiembre; 176/2011, de 8 de noviembre, y 68/2013, de 14 de marzo) ya que, atendiendo al contenido de los debates parlamentarios, no se ha privado a los diputados de los elementos de juicio necesarios para su participación en el proceso.</w:t>
      </w:r>
    </w:p>
    <w:p w14:paraId="5921BFE5" w14:textId="77777777" w:rsidR="003754FE" w:rsidRDefault="003754FE" w:rsidP="003754FE">
      <w:pPr>
        <w:pStyle w:val="TextoNormal"/>
      </w:pPr>
    </w:p>
    <w:p w14:paraId="529BD83D" w14:textId="77777777" w:rsidR="003754FE" w:rsidRDefault="003754FE" w:rsidP="003754FE">
      <w:pPr>
        <w:pStyle w:val="TextoNormal"/>
      </w:pPr>
      <w:r>
        <w:t xml:space="preserve">c) En relación con la decisión de tramitar la proposición de ley por el procedimiento de urgencia, niega que pueda derivarse de la misma la vulneración del artículo 23 CE. Recuerda que se trata de una potestad discrecional de la mesa de la Cámara (con cita de las SSTC 136/2011, de 13 de septiembre, y 185/2016, de 3 de noviembre) cuyo único elemento reglado es el relativo a los sujetos legitimados para solicitar la declaración de urgencia (art. 93.1 RCD). En el supuesto de la proposición de ley recurrida, la solicitud de tramitación por el procedimiento de urgencia fue firmada por todos los diputados del Grupo Parlamentario Socialista, cumpliéndose con el requisito reglado de los sujetos legitimados. Además, según la jurisprudencia constitucional, la reducción de los plazos de tramitación en el procedimiento de urgencia solo podrá llegar a tener relevancia constitucional si ha alterado de forma sustancial el proceso de formación de la voluntad de una Cámara, y en este supuesto los parlamentarios contaron con tiempo suficiente para conocer la iniciativa. Esta consideración determina el análisis de la posibilidad de combinar el procedimiento de urgencia y el de lectura única; extremo que no se ha puesto en duda por los recurrentes, pero que conforme a la STC 215/2016, de 15 de diciembre, es posible. A ello añade la simplicidad de la formulación de la proposición de ley que contaba con un artículo único que añadía un nuevo número al apartado primero del artículo 570 </w:t>
      </w:r>
      <w:r w:rsidRPr="003754FE">
        <w:rPr>
          <w:i/>
        </w:rPr>
        <w:t>bis</w:t>
      </w:r>
      <w:r>
        <w:t xml:space="preserve">, para que el Consejo General del Poder </w:t>
      </w:r>
      <w:r>
        <w:lastRenderedPageBreak/>
        <w:t>Judicial en funciones pudiera proponer a dos magistrados del Tribunal Constitucional, y una sola disposición final relativa a la entrada en vigor.</w:t>
      </w:r>
    </w:p>
    <w:p w14:paraId="48FA2B04" w14:textId="77777777" w:rsidR="003754FE" w:rsidRDefault="003754FE" w:rsidP="003754FE">
      <w:pPr>
        <w:pStyle w:val="TextoNormal"/>
      </w:pPr>
    </w:p>
    <w:p w14:paraId="780976ED" w14:textId="77777777" w:rsidR="003754FE" w:rsidRDefault="003754FE" w:rsidP="003754FE">
      <w:pPr>
        <w:pStyle w:val="TextoNormal"/>
      </w:pPr>
      <w:r>
        <w:t>A este respecto afirma que se desarrollaron todas las fases previstas en el artículo 126 RCD y todas las exigencias del artículo 150 RCD para la lectura única, así como las demás previstas en el Reglamento, de modo que la reducción de plazos no ha mermado su función representativa. Además, el grupo recurrente pudo presentar una enmienda a la totalidad de texto alternativo. La tramitación por el procedimiento de urgencia es una opción procedimental válida (STC 119/2011, de 5 de julio, FJ 11) contemplada en el artículo 93 RCD, y no ha impedido o coartado en este caso el desempeño de los derechos y facultades de los recurrentes que acompañan al núcleo de la función representativa parlamentaria (ATC 118/1999, de 10 de mayo). Pone de manifiesto el escrito de alegaciones que se celebraron hasta dos debates plenarios (el de toma en consideración y el de aprobación) y que los diputados pudieron presentar las enmiendas que consideraron convenientes, que fueron defendidas y votadas en la sesión plenaria extraordinaria.</w:t>
      </w:r>
    </w:p>
    <w:p w14:paraId="7329E92B" w14:textId="77777777" w:rsidR="003754FE" w:rsidRDefault="003754FE" w:rsidP="003754FE">
      <w:pPr>
        <w:pStyle w:val="TextoNormal"/>
      </w:pPr>
    </w:p>
    <w:p w14:paraId="089B7ADA" w14:textId="77777777" w:rsidR="003754FE" w:rsidRDefault="003754FE" w:rsidP="003754FE">
      <w:pPr>
        <w:pStyle w:val="TextoNormal"/>
      </w:pPr>
      <w:r>
        <w:t>Finalmente, pone de relieve que es doctrina consolidada de este tribunal que no puede revisar los acuerdos de las mesas de las cámaras sobre tramitación de iniciativas legislativas (STC 185/2016, FJ 5), jurisprudencia que es citada en el acuerdo de la mesa del Congreso de 18 de octubre de 2022. De lo expuesto deduce también que se ha de rechazar el reproche de la demanda respecto a la falta de motivación de dicho acuerdo de la mesa. Si se analiza su contenido, la motivación no solo se basa en la mera auto afirmación de su competencia para decidir, sino que se aportan argumentos materiales de fondo sobre la naturaleza del procedimiento de urgencia y el contenido y alcance del derecho reconocido en el artículo 23 CE con abundante cita de la jurisprudencia constitucional recaída al efecto.</w:t>
      </w:r>
    </w:p>
    <w:p w14:paraId="47A3A02F" w14:textId="77777777" w:rsidR="003754FE" w:rsidRDefault="003754FE" w:rsidP="003754FE">
      <w:pPr>
        <w:pStyle w:val="TextoNormal"/>
      </w:pPr>
    </w:p>
    <w:p w14:paraId="2030AE34" w14:textId="77777777" w:rsidR="003754FE" w:rsidRDefault="003754FE" w:rsidP="003754FE">
      <w:pPr>
        <w:pStyle w:val="TextoNormal"/>
      </w:pPr>
      <w:r>
        <w:t>En último término, la letrada del Congreso de los Diputados examina la denunciada vulneración del artículo 93 CE y, tras examinar los principios que rigen la relación entre el Derecho de la Unión Europea y el Derecho nacional, el contenido del artículo 93 CE y su relación con la posible declaración de inconstitucionalidad de la ley y aclarar la naturaleza jurídica del Convenio europeo para la protección de los derechos humanos y de las libertades fundamentales, concluye que: (1) las normas del Derecho de la Unión no actúan como un canon para medir la constitucionalidad de las leyes aprobadas por las Cortes (con cita de las SSTC 28/1991, de 14 de febrero, y 232/2015, de 5 de noviembre); (2) es posible utilizar el Derecho de la Unión Europea como criterio interpretativo porque la propia Constitución así lo permite, pero la eventual vulneración del artículo 93 CE no se daría mediante la contradicción de una ley nacional con una norma de la Unión Europea; (3) el artículo 6.3 TUE y los artículos 52 y 53 de la Carta de los derechos fundamentales de la Unión Europea (CDFUE) utilizan la técnica del reenvío para incorporar al Derecho de la Unión los derechos de la Convención como principios generales, pero la jurisprudencia constitucional no acepta que la contradicción con el Convenio europeo de derechos humanos derive en contradicción con el artículo 93 CE, limitándose a utilizar el Convenio para interpretar la Constitución por vía del artículo 10.2 CE.</w:t>
      </w:r>
    </w:p>
    <w:p w14:paraId="0736D192" w14:textId="77777777" w:rsidR="003754FE" w:rsidRDefault="003754FE" w:rsidP="003754FE">
      <w:pPr>
        <w:pStyle w:val="TextoNormal"/>
      </w:pPr>
    </w:p>
    <w:p w14:paraId="497A64C8" w14:textId="77777777" w:rsidR="003754FE" w:rsidRDefault="003754FE" w:rsidP="003754FE">
      <w:pPr>
        <w:pStyle w:val="TextoNormal"/>
      </w:pPr>
      <w:r>
        <w:t xml:space="preserve">Asimismo, señala que la organización de la administración de justicia es competencia de los Estados miembros, como también lo es la regulación de los requisitos de las proposiciones de ley y de los trámites legislativos, por lo que la Unión Europea no puede condicionar, por medio de acto jurídico vinculante alguno, la actuación de la Cámara, que cuenta con </w:t>
      </w:r>
      <w:r>
        <w:lastRenderedPageBreak/>
        <w:t>plena autonomía. A la misma conclusión llega a la hora de examinar las, así consideradas por los recurrentes, exigencias que se imponen por el Convenio de Roma, a partir de la interpretación del Tribunal Europeo de Derechos Humanos. Todo lo dicho anteriormente le lleva a negar la infracción del artículo 93 CE alegada por los recurrentes.</w:t>
      </w:r>
    </w:p>
    <w:p w14:paraId="7BFABC7F" w14:textId="77777777" w:rsidR="003754FE" w:rsidRDefault="003754FE" w:rsidP="003754FE">
      <w:pPr>
        <w:pStyle w:val="TextoNormal"/>
      </w:pPr>
    </w:p>
    <w:p w14:paraId="37A6FAC1" w14:textId="709ED374" w:rsidR="003754FE" w:rsidRDefault="003754FE" w:rsidP="003754FE">
      <w:pPr>
        <w:pStyle w:val="TextoNormal"/>
      </w:pPr>
      <w:r>
        <w:t>Finalmente, descarta que haya que plantear la cuestión prejudicial solicitada porque no se da el presupuesto para su planteamiento [cita el ATC 86/2011, FJ 4 b)].</w:t>
      </w:r>
    </w:p>
    <w:p w14:paraId="0F1115FF" w14:textId="77777777" w:rsidR="003754FE" w:rsidRDefault="003754FE" w:rsidP="003754FE">
      <w:pPr>
        <w:pStyle w:val="TextoNormal"/>
      </w:pPr>
    </w:p>
    <w:p w14:paraId="2A6FA418" w14:textId="0DC4FF47" w:rsidR="003754FE" w:rsidRDefault="003754FE" w:rsidP="003754FE">
      <w:pPr>
        <w:pStyle w:val="TextoNormal"/>
      </w:pPr>
      <w:r w:rsidRPr="003754FE">
        <w:rPr>
          <w:rStyle w:val="NumeroAFNegritaCaracter"/>
        </w:rPr>
        <w:t>8</w:t>
      </w:r>
      <w:r>
        <w:t>. El 14 de diciembre de 2022 el abogado del Estado, en la representación que legalmente ostenta, se personó en el proceso y solicitó que se le concediera prórroga de ocho días más para formular alegaciones, habida cuenta del número de asuntos pendientes ante esa Abogacía. Por diligencia de ordenación de 15 de diciembre de 2022 se tuvo por personado al abogado del Estado y se le prorrogó en ocho días más el plazo concedido por providencia de 16 de noviembre de 2022, a contar desde el siguiente al de expiración del ordinario.</w:t>
      </w:r>
    </w:p>
    <w:p w14:paraId="6D3F5A25" w14:textId="77777777" w:rsidR="003754FE" w:rsidRDefault="003754FE" w:rsidP="003754FE">
      <w:pPr>
        <w:pStyle w:val="TextoNormal"/>
      </w:pPr>
    </w:p>
    <w:p w14:paraId="01519934" w14:textId="77777777" w:rsidR="003754FE" w:rsidRDefault="003754FE" w:rsidP="003754FE">
      <w:pPr>
        <w:pStyle w:val="TextoNormal"/>
      </w:pPr>
      <w:r w:rsidRPr="003754FE">
        <w:rPr>
          <w:rStyle w:val="NumeroAFNegritaCaracter"/>
        </w:rPr>
        <w:t>9</w:t>
      </w:r>
      <w:r>
        <w:t>. El 9 de enero de 2023, el abogado del Estado formula alegaciones y solicita que se desestime el recurso de inconstitucionalidad. Sus alegaciones pueden resumirse como sigue:</w:t>
      </w:r>
    </w:p>
    <w:p w14:paraId="6764100E" w14:textId="77777777" w:rsidR="003754FE" w:rsidRDefault="003754FE" w:rsidP="003754FE">
      <w:pPr>
        <w:pStyle w:val="TextoNormal"/>
      </w:pPr>
    </w:p>
    <w:p w14:paraId="0C4ADF69" w14:textId="77777777" w:rsidR="003754FE" w:rsidRDefault="003754FE" w:rsidP="003754FE">
      <w:pPr>
        <w:pStyle w:val="TextoNormal"/>
      </w:pPr>
      <w:r>
        <w:t>A) En relación con los vicios de inconstitucionalidad formal alegados, la Abogacía del Estado contextualiza la iniciativa de reforma, recordando que la Ley Orgánica del Poder Judicial ha sido modificada a través de proposiciones de ley orgánica, como sucede en el presente caso, en trece ocasiones. Once de ellas a través de proposiciones de ley del Congreso. Y las otras dos corresponden a una proposición de ley del Senado y a una proposición de ley de las comunidades autónomas. La regulación del Consejo General del Poder Judicial en funciones ya había sido abordada previamente en el artículo 115 LOPJ, reformado por las Leyes Orgánicas 2/2001, de 28 de junio, y 1/2013, de 11 de abril, siendo finalmente derogado por la Ley Orgánica 4/2013, de 28 de junio, que introdujo el artículo 570 LOPJ, y por la Ley Orgánica 4/2021, y lo que hace la Ley Orgánica 8/2022 es completar el régimen jurídico de dicho órgano señalando las competencias que también puede ejercer estando en funciones.</w:t>
      </w:r>
    </w:p>
    <w:p w14:paraId="7E616CC5" w14:textId="77777777" w:rsidR="003754FE" w:rsidRDefault="003754FE" w:rsidP="003754FE">
      <w:pPr>
        <w:pStyle w:val="TextoNormal"/>
      </w:pPr>
    </w:p>
    <w:p w14:paraId="3E4D3258" w14:textId="77777777" w:rsidR="003754FE" w:rsidRDefault="003754FE" w:rsidP="003754FE">
      <w:pPr>
        <w:pStyle w:val="TextoNormal"/>
      </w:pPr>
      <w:r>
        <w:t>Respecto del procedimiento legislativo, la Abogacía del Estado niega la vulneración del artículo 23 CE al sostener que se deduce, de la redacción de las enmiendas presentadas en el curso de aquel y del debate de la proposición de ley, que los diputados tenían un conocimiento completo del contenido y alcance de la modificación propuesta.</w:t>
      </w:r>
    </w:p>
    <w:p w14:paraId="06274D44" w14:textId="77777777" w:rsidR="003754FE" w:rsidRDefault="003754FE" w:rsidP="003754FE">
      <w:pPr>
        <w:pStyle w:val="TextoNormal"/>
      </w:pPr>
    </w:p>
    <w:p w14:paraId="40D392FB" w14:textId="77777777" w:rsidR="003754FE" w:rsidRDefault="003754FE" w:rsidP="003754FE">
      <w:pPr>
        <w:pStyle w:val="TextoNormal"/>
      </w:pPr>
      <w:r>
        <w:t xml:space="preserve">En relación con la denunciada vulneración del Derecho de la Unión Europea y correlativa infracción del artículo 93 CE, el escrito de alegaciones advierte que el argumento relativo al menoscabo del Estado de Derecho es genérico y no recoge ninguna vulneración concreta, más allá de no cumplirse una recomendación en orden a que cualquier reforma del órgano de gobierno de los jueces busque el mayor consenso. Entiende que, con arreglo a la jurisprudencia constitucional, no cabe tomar el Derecho de la Unión Europea como parámetro de constitucionalidad [con cita de las SSTC 99/2012, de 8 de mayo, FJ 2 B), y 212/2014, de 18 de diciembre, FJ 3]. Además, el único reglamento que cita la demanda no prevé una regulación de la forma en que deben renovarse los órganos constitucionales de los Estados miembros y, respecto de las sentencias del Tribunal de Justicia de la Unión Europea que se citan en el recurso de inconstitucionalidad, ninguna de ellas viene referida al incumplimiento de normas de procedimiento en cuanto a la designación de magistrados del tribunal </w:t>
      </w:r>
      <w:r>
        <w:lastRenderedPageBreak/>
        <w:t>constitucional de los distintos Estados miembros. Por todo ello carece de sentido el planteamiento de una cuestión prejudicial sobre si un Estado miembro sigue o no unas “buenas prácticas” en la renovación de sus órganos constitucionales, ya que el Tribunal de Justicia de la Unión Europea carece de competencia dado que no nos encontramos ante la interpretación y aplicación del Derecho de la Unión en materia de su competencia conforme a los tratados. Y, en relación con la cita que los recurrentes hacen del artículo 561.1 LOPJ y la exigencia de informe del Consejo General del Poder Judicial, sostiene el abogado del Estado que no se realiza argumentación de desarrollo alguna y que, en cualquier caso, el artículo 561.1 LOPJ se refiere solo a anteproyectos de ley o de disposiciones generales, no a proposiciones de ley.</w:t>
      </w:r>
    </w:p>
    <w:p w14:paraId="7E42B3E3" w14:textId="77777777" w:rsidR="003754FE" w:rsidRDefault="003754FE" w:rsidP="003754FE">
      <w:pPr>
        <w:pStyle w:val="TextoNormal"/>
      </w:pPr>
    </w:p>
    <w:p w14:paraId="2DD4AD0A" w14:textId="77777777" w:rsidR="003754FE" w:rsidRDefault="003754FE" w:rsidP="003754FE">
      <w:pPr>
        <w:pStyle w:val="TextoNormal"/>
      </w:pPr>
      <w:r>
        <w:t>B) A continuación, el abogado del Estado formula sus alegaciones sobre los vicios de inconstitucionalidad material aducidos en la demanda. Trae a colación la jurisprudencia del Tribunal Constitucional relativa al carácter incompleto y abierto de la regulación del Consejo en la Constitución (cita y reproduce la STC 191/2016, FJ 1). Igualmente, atiende al contenido del artículo 122.2 y 3 CE, explicando que remite a la ley orgánica la regulación de las funciones del Consejo y prevé que sus miembros sean nombrados por un periodo de cinco años para concluir que, de la conjunción de ambas previsiones constitucionales, se deduce que el constituyente ha querido una permanencia temporal limitada en el cargo de miembro del órgano de gobierno de los jueces y que el legislador orgánico sea quien regule las funciones del citado órgano de gobierno. En este marco, analiza los motivos de inconstitucionalidad alegados en la demanda.</w:t>
      </w:r>
    </w:p>
    <w:p w14:paraId="23DE3685" w14:textId="77777777" w:rsidR="003754FE" w:rsidRDefault="003754FE" w:rsidP="003754FE">
      <w:pPr>
        <w:pStyle w:val="TextoNormal"/>
      </w:pPr>
    </w:p>
    <w:p w14:paraId="36138E8F" w14:textId="77777777" w:rsidR="003754FE" w:rsidRDefault="003754FE" w:rsidP="003754FE">
      <w:pPr>
        <w:pStyle w:val="TextoNormal"/>
      </w:pPr>
      <w:r>
        <w:t>a) En primer lugar, niega que la Ley Orgánica 8/2022 sea una ley singular vedada por el artículo 9.3 CE. Advierte que las sentencias citadas por los recurrentes en sustento de su tesis se refieren a una ley autonómica sobre declaración de proyectos regionales de infraestructuras de residuos (STC 129/2013, de 4 de junio) y a un concreto caso de desarrollo que implicaba la omisión de los trámites legalmente previstos para la declaración de un concreto parque natural con una determinada regulación singular vinculado a un proyecto de construcción de una estación de esquí (STC 50/2015, de 5 de marzo). En ambos casos la regulación prevista era de caso único dirigida a un concreto y determinado proyecto de desarrollo y se agotaba en su ejecución.</w:t>
      </w:r>
    </w:p>
    <w:p w14:paraId="6225F967" w14:textId="77777777" w:rsidR="003754FE" w:rsidRDefault="003754FE" w:rsidP="003754FE">
      <w:pPr>
        <w:pStyle w:val="TextoNormal"/>
      </w:pPr>
    </w:p>
    <w:p w14:paraId="2CFBB2B3" w14:textId="77777777" w:rsidR="003754FE" w:rsidRDefault="003754FE" w:rsidP="003754FE">
      <w:pPr>
        <w:pStyle w:val="TextoNormal"/>
      </w:pPr>
      <w:r>
        <w:t xml:space="preserve">Este no es el caso de la previsión de los artículos 577 </w:t>
      </w:r>
      <w:r w:rsidRPr="003754FE">
        <w:rPr>
          <w:i/>
        </w:rPr>
        <w:t>bis</w:t>
      </w:r>
      <w:r>
        <w:t xml:space="preserve"> y 599.1 LOPJ que no se pueden entender como una ley singular dirigida a proteger a determinadas personas ya que su vocación es general y diferida en el tiempo, por cuanto se aplicará en todos aquellos momentos en que el Consejo General del Poder Judicial esté en funciones y en aquellos casos en que deba proponer el nombramiento de magistrados del Tribunal Constitucional (con apoyo en la STC 148/2020, de 22 de octubre). A su entender, los recurrentes realizan un juicio de intenciones sobre la reforma que queda extramuros de la norma (cita SSTC 103/2017, de 6 de septiembre, FJ 3, y 158/2019, de 12 de diciembre).</w:t>
      </w:r>
    </w:p>
    <w:p w14:paraId="4D22C017" w14:textId="77777777" w:rsidR="003754FE" w:rsidRDefault="003754FE" w:rsidP="003754FE">
      <w:pPr>
        <w:pStyle w:val="TextoNormal"/>
      </w:pPr>
    </w:p>
    <w:p w14:paraId="2B72579E" w14:textId="77777777" w:rsidR="003754FE" w:rsidRDefault="003754FE" w:rsidP="003754FE">
      <w:pPr>
        <w:pStyle w:val="TextoNormal"/>
      </w:pPr>
      <w:r>
        <w:t xml:space="preserve">b) El abogado del Estado niega la vulneración del artículo 165 CE ya que, a su juicio, no existe invasión del ámbito competencial de la Ley Orgánica del Tribunal Constitucional por la regulación de las atribuciones del Consejo General del Poder Judicial. Aduce la falta de concreción de la queja, que se limita a la consideración de que todo lo concerniente al Tribunal Constitucional solo cabe regularlo a través de su ley orgánica, por lo que consideran que la inconstitucionalidad se extiende también por infracción del artículo 16.1 LOTC. Cita, </w:t>
      </w:r>
      <w:r>
        <w:lastRenderedPageBreak/>
        <w:t>en relación con la necesaria carga argumentativa, la STC 140/2018, de 20 de diciembre, señalando que los recurrentes se limitan a hacer una referencia genérica sobre la vulneración del precepto constitucional pero no concretan sobre qué parte específica de la reforma recae la tacha y porqué esa parte es contraria al artículo 165 CE.</w:t>
      </w:r>
    </w:p>
    <w:p w14:paraId="4F3BDFD0" w14:textId="77777777" w:rsidR="003754FE" w:rsidRDefault="003754FE" w:rsidP="003754FE">
      <w:pPr>
        <w:pStyle w:val="TextoNormal"/>
      </w:pPr>
    </w:p>
    <w:p w14:paraId="259B7D31" w14:textId="77777777" w:rsidR="003754FE" w:rsidRDefault="003754FE" w:rsidP="003754FE">
      <w:pPr>
        <w:pStyle w:val="TextoNormal"/>
      </w:pPr>
      <w:r>
        <w:t xml:space="preserve">Con todo, alega que lo que dispone el artículo 570 </w:t>
      </w:r>
      <w:r w:rsidRPr="003754FE">
        <w:rPr>
          <w:i/>
        </w:rPr>
        <w:t>bis</w:t>
      </w:r>
      <w:r>
        <w:t xml:space="preserve"> LOPJ es la competencia del Consejo General del Poder Judicial, incluso en funciones, de proponer el nombramiento de magistrados, lo que coincide con la regulación del artículo 159 CE; esto es, que es el Consejo General del Poder Judicial el que efectúa esa propuesta. A su vez ,el artículo 599.1 LOPJ lo único que añade es el establecimiento de un plazo para efectuar esa propuesta, tres meses desde el vencimiento del mandato anterior, tampoco se argumenta en qué contradice esta previsión el artículo 165 CE.</w:t>
      </w:r>
    </w:p>
    <w:p w14:paraId="00C714D0" w14:textId="77777777" w:rsidR="003754FE" w:rsidRDefault="003754FE" w:rsidP="003754FE">
      <w:pPr>
        <w:pStyle w:val="TextoNormal"/>
      </w:pPr>
    </w:p>
    <w:p w14:paraId="4072ABC6" w14:textId="77777777" w:rsidR="003754FE" w:rsidRDefault="003754FE" w:rsidP="003754FE">
      <w:pPr>
        <w:pStyle w:val="TextoNormal"/>
      </w:pPr>
      <w:r>
        <w:t>A juicio del abogado del Estado, el ámbito reservado por el artículo 165 CE en exclusiva a la LOTC se refiere al estatuto de sus miembros, el procedimiento ante el mismo y las condiciones para el ejercicio de las acciones, sin que abarque el procedimiento por el que los órganos constitucionales llamados a realizar la propuesta de magistrados deban realizarla, previsión de propuesta regulada en el artículo 159 CE. No solo la Ley Orgánica del Poder Judicial regula el procedimiento por el que el Consejo General del Poder Judicial realiza la designación de magistrados del Tribunal Constitucional, sino que también lo regulan los reglamentos del Congreso (artículo 204) y del Senado (artículos 184, 185 y 186) en relación con el procedimiento para la designación de los magistrados que les corresponde conforme al artículo 159 CE.</w:t>
      </w:r>
    </w:p>
    <w:p w14:paraId="1F1AFCD4" w14:textId="77777777" w:rsidR="003754FE" w:rsidRDefault="003754FE" w:rsidP="003754FE">
      <w:pPr>
        <w:pStyle w:val="TextoNormal"/>
      </w:pPr>
    </w:p>
    <w:p w14:paraId="633AFA1E" w14:textId="242CFA5A" w:rsidR="003754FE" w:rsidRDefault="003754FE" w:rsidP="003754FE">
      <w:pPr>
        <w:pStyle w:val="TextoNormal"/>
      </w:pPr>
      <w:r>
        <w:t>El procedimiento para la designación de magistrados por los órganos constitucionales llamados a ello no se integra en ninguno de los tres ámbitos del artículo 165 CE. De hecho, la regulación del nombramiento se contiene en otro precepto, el artículo 159 CE, sin que la reforma propuesta afecte al contenido de este artículo. Finalmente, el abogado del Estado niega la vulneración del artículo 165 CE que se aduce en la demanda, que considera que el establecimiento de un plazo para la designación en la nueva redacción del artículo 599.1 LOPJ contradice dicho artículo ya que el mismo no prevé plazo alguno para realizarlo. Aduce el abogado del Estado que la Constitución prevé el desarrollo legislativo orgánico del Tribunal Constitucional (cita la STC 118/2016, de 23 de junio) y que el establecimiento de un plazo para la propuesta está dentro del espíritu que inspira la regulación del artículo 159 CE en orden al cumplimiento de los plazos de nombramiento y renovación del Tribunal [cita la STC 191/2016, de 15 de noviembre, FJ 7 A)].</w:t>
      </w:r>
    </w:p>
    <w:p w14:paraId="799BD804" w14:textId="77777777" w:rsidR="003754FE" w:rsidRDefault="003754FE" w:rsidP="003754FE">
      <w:pPr>
        <w:pStyle w:val="TextoNormal"/>
      </w:pPr>
    </w:p>
    <w:p w14:paraId="50CFDCA5" w14:textId="77777777" w:rsidR="003754FE" w:rsidRDefault="003754FE" w:rsidP="003754FE">
      <w:pPr>
        <w:pStyle w:val="TextoNormal"/>
      </w:pPr>
      <w:r w:rsidRPr="003754FE">
        <w:rPr>
          <w:rStyle w:val="NumeroAFNegritaCaracter"/>
        </w:rPr>
        <w:t>10</w:t>
      </w:r>
      <w:r>
        <w:t>. Los magistrados don César Tolosa Tribiño y doña María Luisa Segoviano Astaburuaga, mediante sendos escritos de 17 y 18 de octubre de 2023, respectivamente, comunicaron su voluntad de abstenerse de toda intervención en el presente recurso de inconstitucionalidad y sus incidencias por tener interés directo en la causa (artículo 219.10 LOPJ).</w:t>
      </w:r>
    </w:p>
    <w:p w14:paraId="1AE94ECF" w14:textId="77777777" w:rsidR="003754FE" w:rsidRDefault="003754FE" w:rsidP="003754FE">
      <w:pPr>
        <w:pStyle w:val="TextoNormal"/>
      </w:pPr>
    </w:p>
    <w:p w14:paraId="21B8D8C9" w14:textId="1FBCA410" w:rsidR="003754FE" w:rsidRDefault="003754FE" w:rsidP="003754FE">
      <w:pPr>
        <w:pStyle w:val="TextoNormal"/>
      </w:pPr>
      <w:r>
        <w:t xml:space="preserve">Por AATC 521/2023 y 522/2023, de 6 de noviembre, el Pleno del Tribunal Constitucional estimó justificada su abstención al concurrir la causa décima del artículo 219 LOPJ, por tener un interés directo en la causa, al sustentarse su nombramiento como magistrados del Tribunal Constitucional en el nuevo apartado primero introducido en el artículo 570 </w:t>
      </w:r>
      <w:r w:rsidRPr="003754FE">
        <w:rPr>
          <w:i/>
        </w:rPr>
        <w:t>bis</w:t>
      </w:r>
      <w:r>
        <w:t xml:space="preserve">.1 por la Ley Orgánica 8/2022, de 27 de julio, de modificación de los artículos 570 </w:t>
      </w:r>
      <w:r w:rsidRPr="003754FE">
        <w:rPr>
          <w:i/>
        </w:rPr>
        <w:t>bis</w:t>
      </w:r>
      <w:r>
        <w:t xml:space="preserve"> y 599 </w:t>
      </w:r>
      <w:r>
        <w:lastRenderedPageBreak/>
        <w:t>de la Ley Orgánica 6/1985, de 1 de julio, cuya constitucionalidad aparece cuestionada por los recurrentes.</w:t>
      </w:r>
    </w:p>
    <w:p w14:paraId="3E8B273B" w14:textId="77777777" w:rsidR="003754FE" w:rsidRDefault="003754FE" w:rsidP="003754FE">
      <w:pPr>
        <w:pStyle w:val="TextoNormal"/>
      </w:pPr>
    </w:p>
    <w:p w14:paraId="17A7B97F" w14:textId="45350406" w:rsidR="003754FE" w:rsidRDefault="003754FE" w:rsidP="003754FE">
      <w:pPr>
        <w:pStyle w:val="TextoNormal"/>
      </w:pPr>
      <w:r w:rsidRPr="003754FE">
        <w:rPr>
          <w:rStyle w:val="NumeroAFNegritaCaracter"/>
        </w:rPr>
        <w:t>11</w:t>
      </w:r>
      <w:r>
        <w:t xml:space="preserve">. Por acuerdo del presidente del Tribunal Constitucional de 6 de noviembre de 2023, se designa a la Excma. Sra. doña Concepción Espejel Jorquera magistrada ponente en el recurso de inconstitucionalidad núm. 6914-2022, promovido por más de cincuenta diputados del Grupo Parlamentario Popular en el Congreso de los Diputados en relación con la Ley Orgánica 8/2022, de 27 de julio, de modificación de los artículos 570 </w:t>
      </w:r>
      <w:r w:rsidRPr="003754FE">
        <w:rPr>
          <w:i/>
        </w:rPr>
        <w:t>bis</w:t>
      </w:r>
      <w:r>
        <w:t xml:space="preserve"> y 599 de la Ley Orgánica 6/1985, de 1 de julio, del Poder Judicial, en sustitución del Excmo. Sr. don César Tolosa Tribiño, magistrado al que anteriormente correspondía la ponencia, por abstención del mismo.</w:t>
      </w:r>
    </w:p>
    <w:p w14:paraId="6F5FDE27" w14:textId="77777777" w:rsidR="003754FE" w:rsidRDefault="003754FE" w:rsidP="003754FE">
      <w:pPr>
        <w:pStyle w:val="TextoNormal"/>
      </w:pPr>
    </w:p>
    <w:p w14:paraId="13802A44" w14:textId="36E22BCD" w:rsidR="003754FE" w:rsidRDefault="003754FE" w:rsidP="003754FE">
      <w:pPr>
        <w:pStyle w:val="TextoNormal"/>
      </w:pPr>
      <w:r w:rsidRPr="003754FE">
        <w:rPr>
          <w:rStyle w:val="NumeroAFNegritaCaracter"/>
        </w:rPr>
        <w:t>12</w:t>
      </w:r>
      <w:r>
        <w:t>. Por providencia de 5 de noviembre de 2024 se señaló para deliberación y votación de la presente sentencia el día 6 del mismo mes y año.</w:t>
      </w:r>
    </w:p>
    <w:p w14:paraId="148782CB" w14:textId="77777777" w:rsidR="003754FE" w:rsidRDefault="003754FE" w:rsidP="003754FE">
      <w:pPr>
        <w:pStyle w:val="TextoNormal"/>
      </w:pPr>
    </w:p>
    <w:p w14:paraId="53E86E52" w14:textId="77777777" w:rsidR="003754FE" w:rsidRDefault="003754FE" w:rsidP="003754FE">
      <w:pPr>
        <w:pStyle w:val="TextoNormalNegritaCentrado"/>
        <w:keepNext/>
      </w:pPr>
      <w:r>
        <w:t>II. Fundamentos jurídicos</w:t>
      </w:r>
    </w:p>
    <w:p w14:paraId="0A3114EE" w14:textId="17FCAF94" w:rsidR="003754FE" w:rsidRDefault="003754FE" w:rsidP="003754FE">
      <w:pPr>
        <w:pStyle w:val="TextoNormalNegritaCentrado"/>
        <w:keepNext/>
      </w:pPr>
    </w:p>
    <w:p w14:paraId="0CC7761A" w14:textId="77777777" w:rsidR="003754FE" w:rsidRDefault="003754FE" w:rsidP="003754FE">
      <w:pPr>
        <w:pStyle w:val="TextoNormal"/>
      </w:pPr>
      <w:r w:rsidRPr="003754FE">
        <w:rPr>
          <w:rStyle w:val="NumeroAFNegritaCaracter"/>
        </w:rPr>
        <w:t>1</w:t>
      </w:r>
      <w:r>
        <w:t xml:space="preserve">. </w:t>
      </w:r>
      <w:r w:rsidRPr="003754FE">
        <w:rPr>
          <w:i/>
        </w:rPr>
        <w:t>Objeto del recurso y posiciones de las partes</w:t>
      </w:r>
    </w:p>
    <w:p w14:paraId="3C334563" w14:textId="77777777" w:rsidR="003754FE" w:rsidRDefault="003754FE" w:rsidP="003754FE">
      <w:pPr>
        <w:pStyle w:val="TextoNormal"/>
      </w:pPr>
    </w:p>
    <w:p w14:paraId="2B495AC8" w14:textId="77777777" w:rsidR="003754FE" w:rsidRDefault="003754FE" w:rsidP="003754FE">
      <w:pPr>
        <w:pStyle w:val="TextoNormal"/>
      </w:pPr>
      <w:r>
        <w:t xml:space="preserve">El recurso de inconstitucionalidad tiene por objeto la Ley Orgánica 8/2022, de 27 de julio, de modificación de los artículos 570 </w:t>
      </w:r>
      <w:r w:rsidRPr="003754FE">
        <w:rPr>
          <w:i/>
        </w:rPr>
        <w:t>bis</w:t>
      </w:r>
      <w:r>
        <w:t xml:space="preserve"> y 599 de la Ley Orgánica 6/1985, de 1 de julio, del Poder Judicial.</w:t>
      </w:r>
    </w:p>
    <w:p w14:paraId="1E8D91B1" w14:textId="77777777" w:rsidR="003754FE" w:rsidRDefault="003754FE" w:rsidP="003754FE">
      <w:pPr>
        <w:pStyle w:val="TextoNormal"/>
      </w:pPr>
    </w:p>
    <w:p w14:paraId="6B6A6305" w14:textId="77777777" w:rsidR="003754FE" w:rsidRDefault="003754FE" w:rsidP="003754FE">
      <w:pPr>
        <w:pStyle w:val="TextoNormal"/>
      </w:pPr>
      <w:r>
        <w:t>Los motivos de inconstitucionalidad aducidos por los recurrentes, tal y como se ha dado cuenta pormenorizadamente en los antecedentes de esta sentencia, se concretan, de una parte, en que la tramitación parlamentaria de la ley conllevó la vulneración tanto del artículo 93 CE, por contravención del Derecho de la Unión Europea, como del artículo 23 CE. De otra parte, se sostiene también que la ley recurrida, que se considera en la demanda una ley singular, infringe el artículo 9.3 CE, en lo que se refiere a la interdicción de la arbitrariedad de los poderes públicos; el artículo 165 CE, dado que su contenido afecta al régimen jurídico del Tribunal Constitucional; y el artículo 159.1 CE, al establecer un plazo para la designación de los magistrados del Tribunal Constitucional.</w:t>
      </w:r>
    </w:p>
    <w:p w14:paraId="351D2FBE" w14:textId="77777777" w:rsidR="003754FE" w:rsidRDefault="003754FE" w:rsidP="003754FE">
      <w:pPr>
        <w:pStyle w:val="TextoNormal"/>
      </w:pPr>
    </w:p>
    <w:p w14:paraId="12FDB12B" w14:textId="7CCFA281" w:rsidR="003754FE" w:rsidRDefault="003754FE" w:rsidP="003754FE">
      <w:pPr>
        <w:pStyle w:val="TextoNormal"/>
      </w:pPr>
      <w:r>
        <w:t>La letrada de las Cortes Generales, en representación del Congreso de los Diputados, ha alegado solamente sobre los vicios de inconstitucionalidad formal aducidos en la demanda, que descarta, tal y como se ha dejado constancia en los antecedentes de esta sentencia. Asimismo, el abogado del Estado, en los términos que también han quedado recogidos en los antecedentes de esta sentencia, ha interesado la desestimación del recurso de inconstitucionalidad por entender que no concurre ninguna de las vulneraciones constitucionales que los recurrentes denuncian.</w:t>
      </w:r>
    </w:p>
    <w:p w14:paraId="6809E7FF" w14:textId="77777777" w:rsidR="003754FE" w:rsidRDefault="003754FE" w:rsidP="003754FE">
      <w:pPr>
        <w:pStyle w:val="TextoNormal"/>
      </w:pPr>
    </w:p>
    <w:p w14:paraId="49B73B7D" w14:textId="77777777" w:rsidR="003754FE" w:rsidRDefault="003754FE" w:rsidP="003754FE">
      <w:pPr>
        <w:pStyle w:val="TextoNormal"/>
      </w:pPr>
      <w:r w:rsidRPr="003754FE">
        <w:rPr>
          <w:rStyle w:val="NumeroAFNegritaCaracter"/>
        </w:rPr>
        <w:t>2</w:t>
      </w:r>
      <w:r>
        <w:t xml:space="preserve">. </w:t>
      </w:r>
      <w:r w:rsidRPr="003754FE">
        <w:rPr>
          <w:i/>
        </w:rPr>
        <w:t>Objeto y contenido de la ley impugnada</w:t>
      </w:r>
    </w:p>
    <w:p w14:paraId="54A65F90" w14:textId="77777777" w:rsidR="003754FE" w:rsidRDefault="003754FE" w:rsidP="003754FE">
      <w:pPr>
        <w:pStyle w:val="TextoNormal"/>
      </w:pPr>
    </w:p>
    <w:p w14:paraId="6AF7B58E" w14:textId="77777777" w:rsidR="003754FE" w:rsidRDefault="003754FE" w:rsidP="003754FE">
      <w:pPr>
        <w:pStyle w:val="TextoNormal"/>
      </w:pPr>
      <w:r>
        <w:t xml:space="preserve">La Ley Orgánica 8/2022, de 27 de julio, modifica los artículos 570 </w:t>
      </w:r>
      <w:r w:rsidRPr="003754FE">
        <w:rPr>
          <w:i/>
        </w:rPr>
        <w:t>bis</w:t>
      </w:r>
      <w:r>
        <w:t xml:space="preserve"> y 599 de la Ley Orgánica 6/1985, de 1 de julio, del Poder Judicial. El preámbulo de la norma explica que “la Ley Orgánica 4/2021, de 29 de marzo, por la que se modifica la Ley Orgánica 6/1985, </w:t>
      </w:r>
      <w:r>
        <w:lastRenderedPageBreak/>
        <w:t xml:space="preserve">de 1 de julio, del Poder Judicial, para el establecimiento del régimen jurídico aplicable al Consejo General del Poder Judicial en funciones, ha introducido en la Ley Orgánica del Poder Judicial un nuevo artículo 570 </w:t>
      </w:r>
      <w:r w:rsidRPr="003754FE">
        <w:rPr>
          <w:i/>
        </w:rPr>
        <w:t>bis</w:t>
      </w:r>
      <w:r>
        <w:t xml:space="preserve"> con el propósito de restringir las facultades atribuidas con carácter general al Consejo General del Poder Judicial, una vez que finaliza el plazo para su renovación sin que hayan podido ser designados los nuevos vocales. Y, entre las facultades que el Consejo deja de poder ejercer, se encuentra precisamente el nombramiento de los dos magistrados del Tribunal Constitucional que por imperativo constitucional debe designar” y que “el nuevo régimen que la Ley Orgánica 4/2021 establece para el Consejo General del Poder Judicial cuando este pasa a estar en funciones no contempla la facultad de nombrar a los dos magistrados del Tribunal Constitucional que le corresponde designar, lo que abocaría a esperar a la renovación del Consejo para dicha designación”. Así, según continúa el preámbulo, “[p]ara evitar esta situación, que puede causar dificultades en la renovación de los órganos constitucionales, se deben modificar los artículos 570 </w:t>
      </w:r>
      <w:r w:rsidRPr="003754FE">
        <w:rPr>
          <w:i/>
        </w:rPr>
        <w:t>bis</w:t>
      </w:r>
      <w:r>
        <w:t xml:space="preserve"> y 599 de la Ley Orgánica del Poder Judicial, a fin de introducir entre las facultades conferidas al Consejo General del Poder Judicial en funciones la de nombrar a los dos magistrados del Tribunal Constitucional que, en los términos previstos en el citado artículo 599 de la misma norma, le corresponde designar”.</w:t>
      </w:r>
    </w:p>
    <w:p w14:paraId="70E3119E" w14:textId="77777777" w:rsidR="003754FE" w:rsidRDefault="003754FE" w:rsidP="003754FE">
      <w:pPr>
        <w:pStyle w:val="TextoNormal"/>
      </w:pPr>
    </w:p>
    <w:p w14:paraId="44BA1360" w14:textId="77777777" w:rsidR="003754FE" w:rsidRDefault="003754FE" w:rsidP="003754FE">
      <w:pPr>
        <w:pStyle w:val="TextoNormal"/>
      </w:pPr>
      <w:r>
        <w:t xml:space="preserve">El artículo 570 </w:t>
      </w:r>
      <w:r w:rsidRPr="003754FE">
        <w:rPr>
          <w:i/>
        </w:rPr>
        <w:t>bis</w:t>
      </w:r>
      <w:r>
        <w:t xml:space="preserve"> LOPJ, en su primer apartado, establece las atribuciones que puede ejercer el Consejo General del Poder Judicial cuando, por no haberse producido su renovación en el plazo legalmente previsto, entre en funciones según lo previsto en el apartado 2 del artículo 570 de dicha Ley Orgánica. Entre estas atribuciones, la ley orgánica objeto del presente recurso de inconstitucionalidad añade, en el primer número, la de “[p]roponer el nombramiento de dos magistrados del Tribunal Constitucional, en los términos previstos por el artículo 599.1.1”.</w:t>
      </w:r>
    </w:p>
    <w:p w14:paraId="02B8CDC9" w14:textId="77777777" w:rsidR="003754FE" w:rsidRDefault="003754FE" w:rsidP="003754FE">
      <w:pPr>
        <w:pStyle w:val="TextoNormal"/>
      </w:pPr>
    </w:p>
    <w:p w14:paraId="7B662320" w14:textId="77777777" w:rsidR="003754FE" w:rsidRDefault="003754FE" w:rsidP="003754FE">
      <w:pPr>
        <w:pStyle w:val="TextoNormal"/>
      </w:pPr>
      <w:r>
        <w:t>De otra parte, la Ley Orgánica 8/2022, modifica el citado artículo 599.1.1 LOPJ, que queda redactado como sigue: “La propuesta de nombramiento, por mayoría de tres quintos, de los dos magistrados del Tribunal Constitucional cuya designación corresponde al Consejo General del Poder Judicial, que tendrá que realizarse en el plazo máximo de tres meses a contar desde el día siguiente al vencimiento del mandato anterior”.</w:t>
      </w:r>
    </w:p>
    <w:p w14:paraId="794A1950" w14:textId="77777777" w:rsidR="003754FE" w:rsidRDefault="003754FE" w:rsidP="003754FE">
      <w:pPr>
        <w:pStyle w:val="TextoNormal"/>
      </w:pPr>
    </w:p>
    <w:p w14:paraId="6A9C5AA2" w14:textId="1C97776E" w:rsidR="003754FE" w:rsidRDefault="003754FE" w:rsidP="003754FE">
      <w:pPr>
        <w:pStyle w:val="TextoNormal"/>
      </w:pPr>
      <w:r>
        <w:t>En definitiva, la Ley Orgánica 8/2022, de 27 de julio, se limita a prever, entre las atribuciones del Consejo General del Poder Judicial, cuando entre en funciones, la de “[p]roponer el nombramiento de dos magistrados del Tribunal Constitucional, en los términos previstos por el artículo 599.1.1”, al que se añade un plazo para realizarlo.</w:t>
      </w:r>
    </w:p>
    <w:p w14:paraId="5A8444D2" w14:textId="77777777" w:rsidR="003754FE" w:rsidRDefault="003754FE" w:rsidP="003754FE">
      <w:pPr>
        <w:pStyle w:val="TextoNormal"/>
      </w:pPr>
    </w:p>
    <w:p w14:paraId="3B854FAA" w14:textId="77777777" w:rsidR="003754FE" w:rsidRDefault="003754FE" w:rsidP="003754FE">
      <w:pPr>
        <w:pStyle w:val="TextoNormal"/>
      </w:pPr>
      <w:r w:rsidRPr="003754FE">
        <w:rPr>
          <w:rStyle w:val="NumeroAFNegritaCaracter"/>
        </w:rPr>
        <w:t>3</w:t>
      </w:r>
      <w:r>
        <w:t xml:space="preserve">. </w:t>
      </w:r>
      <w:r w:rsidRPr="003754FE">
        <w:rPr>
          <w:i/>
        </w:rPr>
        <w:t>Consideraciones previas</w:t>
      </w:r>
    </w:p>
    <w:p w14:paraId="40C76899" w14:textId="77777777" w:rsidR="003754FE" w:rsidRDefault="003754FE" w:rsidP="003754FE">
      <w:pPr>
        <w:pStyle w:val="TextoNormal"/>
      </w:pPr>
    </w:p>
    <w:p w14:paraId="29CFD55C" w14:textId="77777777" w:rsidR="003754FE" w:rsidRDefault="003754FE" w:rsidP="003754FE">
      <w:pPr>
        <w:pStyle w:val="TextoNormal"/>
      </w:pPr>
      <w:r>
        <w:t>Antes de examinar los concretos motivos de inconstitucionalidad en los que se sustenta este recurso, es preciso realizar una serie de consideraciones acerca de (a) la incidencia de las SSTC 128/2023, de 2 de octubre, y 15/2024, de 30 de enero, en el presente recurso de inconstitucionalidad; (b) las modificaciones sobrevenidas de la norma impugnada; (c) el alcance del control de constitucionalidad que compete realizar a este tribunal; (d) el debido cumplimiento de la carga alegatoria que pesa sobre los recurrentes; y (e) el orden de examen de los motivos de impugnación.</w:t>
      </w:r>
    </w:p>
    <w:p w14:paraId="125D89F4" w14:textId="77777777" w:rsidR="003754FE" w:rsidRDefault="003754FE" w:rsidP="003754FE">
      <w:pPr>
        <w:pStyle w:val="TextoNormal"/>
      </w:pPr>
    </w:p>
    <w:p w14:paraId="585C7D76" w14:textId="77777777" w:rsidR="003754FE" w:rsidRDefault="003754FE" w:rsidP="003754FE">
      <w:pPr>
        <w:pStyle w:val="TextoNormal"/>
      </w:pPr>
      <w:r>
        <w:lastRenderedPageBreak/>
        <w:t>a) La demanda, así como las alegaciones de la letrada de las Cortes Generales y del abogado del Estado han puesto de relieve la relación entre el presente recurso de inconstitucionalidad y el recurso de inconstitucionalidad núm. 3101-2021, interpuesto por más de cincuenta diputados del Grupo Parlamentario Popular en el Congreso de los Diputados contra la Ley Orgánica 4/2021, de 29 de marzo, por la que se modifica la Ley Orgánica 6/1985, de 1 de julio, del Poder Judicial, para el establecimiento del régimen jurídico aplicable al Consejo General del Poder Judicial en funciones. Este recurso se resolvió por la STC 15/2024, de 30 de enero, por aplicación, en parte, de la STC 128/2023, de 2 de octubre. Estas dos sentencias cobran, por tanto, relevancia en este proceso constitucional y nos remitiremos a ellas en lo que proceda.</w:t>
      </w:r>
    </w:p>
    <w:p w14:paraId="6B842556" w14:textId="77777777" w:rsidR="003754FE" w:rsidRDefault="003754FE" w:rsidP="003754FE">
      <w:pPr>
        <w:pStyle w:val="TextoNormal"/>
      </w:pPr>
    </w:p>
    <w:p w14:paraId="7619A116" w14:textId="77777777" w:rsidR="003754FE" w:rsidRDefault="003754FE" w:rsidP="003754FE">
      <w:pPr>
        <w:pStyle w:val="TextoNormal"/>
      </w:pPr>
      <w:r>
        <w:t>Es asimismo preciso recordar que en el recurso de inconstitucionalidad resuelto por la STC 15/2024, se había denunciado, como también recuerda la demanda, la vulneración del artículo 165 CE por la exclusión de la función de proponer el nombramiento de dos miembros del Tribunal Constitucional de entre las atribuidas al Consejo General del Poder Judicial en funciones. La modificación de la Ley Orgánica del Poder Judicial por la Ley Orgánica ahora recurrida determinó que dicho motivo de impugnación no fuera analizado en la citada sentencia por desaparición sobrevenida del objeto del proceso [STC 15/2024, FJ 2 c)].</w:t>
      </w:r>
    </w:p>
    <w:p w14:paraId="1EB1E705" w14:textId="77777777" w:rsidR="003754FE" w:rsidRDefault="003754FE" w:rsidP="003754FE">
      <w:pPr>
        <w:pStyle w:val="TextoNormal"/>
      </w:pPr>
    </w:p>
    <w:p w14:paraId="0FD73711" w14:textId="77777777" w:rsidR="003754FE" w:rsidRDefault="003754FE" w:rsidP="003754FE">
      <w:pPr>
        <w:pStyle w:val="TextoNormal"/>
      </w:pPr>
      <w:r>
        <w:t>b) Durante la pendencia de este proceso la Ley Orgánica del Poder Judicial ha sido modificada por las Leyes Orgánicas 14/2022, de 22 de diciembre; 2/2024, de 1 de agosto, y 3/2024, de 2 de agosto, si bien dichas modificaciones no afectan a la concreta regulación objeto del presente recurso.</w:t>
      </w:r>
    </w:p>
    <w:p w14:paraId="0E237B6A" w14:textId="77777777" w:rsidR="003754FE" w:rsidRDefault="003754FE" w:rsidP="003754FE">
      <w:pPr>
        <w:pStyle w:val="TextoNormal"/>
      </w:pPr>
    </w:p>
    <w:p w14:paraId="0F7538A3" w14:textId="77777777" w:rsidR="003754FE" w:rsidRDefault="003754FE" w:rsidP="003754FE">
      <w:pPr>
        <w:pStyle w:val="TextoNormal"/>
      </w:pPr>
      <w:r>
        <w:t xml:space="preserve">c) Debemos descartar </w:t>
      </w:r>
      <w:r w:rsidRPr="003754FE">
        <w:rPr>
          <w:i/>
        </w:rPr>
        <w:t>ab initio</w:t>
      </w:r>
      <w:r>
        <w:t xml:space="preserve"> las alegaciones sobre la finalidad de la ley que realiza la demanda ya que, como ha establecido este tribunal, en su aprobación “[p]odrán subyacer determinadas concepciones políticas, pero los únicos motivos que este remedio [el recurso de inconstitucionalidad] puede tratar de hacer valer y que este tribunal puede tomar en consideración son los jurídico-constitucionales. Quedan extramuros los juicios de ‘oportunidad política’ (STC 35/2017, de 1 de marzo, FJ 4) o sobre la ‘calidad’ de las leyes (SSTC 341/1993, de 18 de noviembre; 164/1995, de 13 de noviembre, y 341/2005, de 21 de diciembre). El recurso de inconstitucionalidad sirve exclusivamente a la ‘función nomofiláctica o de depuración del ordenamiento jurídico de leyes inconstitucionales encomendada a este tribunal’ (SSTC 90/1994, de 17 de marzo, FJ 2; 102/1995, de 26 de junio, FJ 2, y 2/2018, de 11 de enero, FJ 2)” [SSTC 25/2024, de 13 de febrero, FJ 2 b), y 88/2024, de 5 de junio, FJ 3 c)].</w:t>
      </w:r>
    </w:p>
    <w:p w14:paraId="7262B1D6" w14:textId="77777777" w:rsidR="003754FE" w:rsidRDefault="003754FE" w:rsidP="003754FE">
      <w:pPr>
        <w:pStyle w:val="TextoNormal"/>
      </w:pPr>
    </w:p>
    <w:p w14:paraId="3D79D2EB" w14:textId="77777777" w:rsidR="003754FE" w:rsidRDefault="003754FE" w:rsidP="003754FE">
      <w:pPr>
        <w:pStyle w:val="TextoNormal"/>
      </w:pPr>
      <w:r>
        <w:t>d) Tal y como se ha dejado constancia en los antecedentes de esta sentencia, el abogado del Estado ha hecho referencia a la falta de carga argumentativa de la demanda en relación con la ausencia de informe del Consejo General del Poder Judicial (artículo 561.1 LOPJ) y respecto a la vulneración del artículo 165 CE.</w:t>
      </w:r>
    </w:p>
    <w:p w14:paraId="025925EE" w14:textId="77777777" w:rsidR="003754FE" w:rsidRDefault="003754FE" w:rsidP="003754FE">
      <w:pPr>
        <w:pStyle w:val="TextoNormal"/>
      </w:pPr>
    </w:p>
    <w:p w14:paraId="37346C51" w14:textId="77777777" w:rsidR="003754FE" w:rsidRDefault="003754FE" w:rsidP="003754FE">
      <w:pPr>
        <w:pStyle w:val="TextoNormal"/>
      </w:pPr>
      <w:r>
        <w:t xml:space="preserve">Se ha de tener en cuenta, a este respecto, la consolidada doctrina de este tribunal, recordada recientemente, entre otras, en las SSTC 68/2024, de 23 de abril, FJ 3, y 88/2024, de 5 de junio, FJ 3, que afirma que “cuando lo que está en juego es la depuración del ordenamiento jurídico, es carga de los recurrentes no solo la de abrir la vía para que el Tribunal pueda pronunciarse, sino también la de colaborar con la justicia del Tribunal en un </w:t>
      </w:r>
      <w:r>
        <w:lastRenderedPageBreak/>
        <w:t>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43/1996, de 14 de marzo, FJ 3; 36/1994, de 10 de febrero, FJ 1, y 61/1997, de 20 de marzo, FJ 13)”. Por esta razón, el Tribunal no podrá pronunciarse sobre preceptos respecto de los que “los recurrentes no han hecho, más allá de su mera invocación, ninguna alegación, ni han desarrollado un mínimo razonamiento que cuestione su constitucionalidad” [STC 25/2024, FJ 2 c)].</w:t>
      </w:r>
    </w:p>
    <w:p w14:paraId="47087513" w14:textId="77777777" w:rsidR="003754FE" w:rsidRDefault="003754FE" w:rsidP="003754FE">
      <w:pPr>
        <w:pStyle w:val="TextoNormal"/>
      </w:pPr>
    </w:p>
    <w:p w14:paraId="1FF1B589" w14:textId="77777777" w:rsidR="003754FE" w:rsidRDefault="003754FE" w:rsidP="003754FE">
      <w:pPr>
        <w:pStyle w:val="TextoNormal"/>
      </w:pPr>
      <w:r>
        <w:t>A la vista de las alegaciones realizadas en la demanda, de las que se ha dado cuenta pormenorizadamente en los antecedentes de esta sentencia, en este caso, este tribunal considera que es posible estimar que se ha cumplido la debida carga alegatoria en los términos de la doctrina constitucional, aunque la argumentación haya sido un tanto escueta o poco pormenorizada. Esto último determina que, dado que la argumentación de este motivo no es exhaustiva, tampoco habrá de serlo nuestra respuesta (en este sentido, por todas, STC 105/2019, de 19 de septiembre, FJ 2).</w:t>
      </w:r>
    </w:p>
    <w:p w14:paraId="772D703D" w14:textId="77777777" w:rsidR="003754FE" w:rsidRDefault="003754FE" w:rsidP="003754FE">
      <w:pPr>
        <w:pStyle w:val="TextoNormal"/>
      </w:pPr>
    </w:p>
    <w:p w14:paraId="04E8D4B2" w14:textId="03ED598D" w:rsidR="003754FE" w:rsidRDefault="003754FE" w:rsidP="003754FE">
      <w:pPr>
        <w:pStyle w:val="TextoNormal"/>
      </w:pPr>
      <w:r>
        <w:t>e) Por último, cabe señalar que se examinarán los motivos de inconstitucionalidad en el orden que se plantean en la demanda, comenzando por las quejas de la tramitación parlamentaria de la Ley Orgánica 8/2022 y examinando, en su caso, a continuación, la vulneración de los artículos 9.3 y 165 CE que se achacan al artículo único de la ley orgánica. Finalmente, caso de resultar procedente, se analizará la vulneración del artículo 159 CE que se imputa únicamente al apartado 2 del artículo único de la ley, que establece que la propuesta de nombramientos de los dos magistrados del Tribunal Constitucional tiene que realizarse “en el plazo máximo de tres meses a contar desde el día siguiente al vencimiento del mandato anterior”.</w:t>
      </w:r>
    </w:p>
    <w:p w14:paraId="30618793" w14:textId="77777777" w:rsidR="003754FE" w:rsidRDefault="003754FE" w:rsidP="003754FE">
      <w:pPr>
        <w:pStyle w:val="TextoNormal"/>
      </w:pPr>
    </w:p>
    <w:p w14:paraId="7BC2A454" w14:textId="77777777" w:rsidR="003754FE" w:rsidRDefault="003754FE" w:rsidP="003754FE">
      <w:pPr>
        <w:pStyle w:val="TextoNormal"/>
      </w:pPr>
      <w:r w:rsidRPr="003754FE">
        <w:rPr>
          <w:rStyle w:val="NumeroAFNegritaCaracter"/>
        </w:rPr>
        <w:t>4</w:t>
      </w:r>
      <w:r>
        <w:t xml:space="preserve">. </w:t>
      </w:r>
      <w:r w:rsidRPr="003754FE">
        <w:rPr>
          <w:i/>
        </w:rPr>
        <w:t>Motivos de inconstitucionalidad procedimental</w:t>
      </w:r>
    </w:p>
    <w:p w14:paraId="7A11CD00" w14:textId="77777777" w:rsidR="003754FE" w:rsidRDefault="003754FE" w:rsidP="003754FE">
      <w:pPr>
        <w:pStyle w:val="TextoNormal"/>
      </w:pPr>
    </w:p>
    <w:p w14:paraId="7A4F3BC3" w14:textId="77777777" w:rsidR="003754FE" w:rsidRDefault="003754FE" w:rsidP="003754FE">
      <w:pPr>
        <w:pStyle w:val="TextoNormal"/>
      </w:pPr>
      <w:r>
        <w:t xml:space="preserve">A) Tal y como se ha dejado constancia en los antecedentes de esta sentencia, la demanda alega que los defectos en la tramitación parlamentaria de la Ley Orgánica 8/2022 han comportado la infracción del artículo 93 CE y han vulnerado el derecho de los diputados al </w:t>
      </w:r>
      <w:r w:rsidRPr="003754FE">
        <w:rPr>
          <w:i/>
        </w:rPr>
        <w:t>ius in officium</w:t>
      </w:r>
      <w:r>
        <w:t xml:space="preserve"> que garantiza el artículo 23 CE. La letrada de las Cortes Generales y el abogado del Estado, como también se ha recogido en los antecedentes de esta sentencia, han interesado la desestimación de estos motivos.</w:t>
      </w:r>
    </w:p>
    <w:p w14:paraId="4785F7DA" w14:textId="77777777" w:rsidR="003754FE" w:rsidRDefault="003754FE" w:rsidP="003754FE">
      <w:pPr>
        <w:pStyle w:val="TextoNormal"/>
      </w:pPr>
    </w:p>
    <w:p w14:paraId="2BCD9B8E" w14:textId="77777777" w:rsidR="003754FE" w:rsidRDefault="003754FE" w:rsidP="003754FE">
      <w:pPr>
        <w:pStyle w:val="TextoNormal"/>
      </w:pPr>
      <w:r>
        <w:t>B) En la resolución de estas quejas hemos de partir de una precisión inicial. Estas alegaciones, como afirma la demanda y corroboran tanto la letrada de las Cortes Generales como el abogado del Estado, coinciden, prácticamente en su totalidad, con las aducidas en relación con la tramitación parlamentaria de la Ley Orgánica 4/2021 en el recurso de inconstitucionalidad núm. 3101-2021, y que fueron resueltas por la citada STC 15/2024, algunas de ellas por aplicación de la doctrina sentada en la también citada STC 128/2023. Será necesario, en su caso, la remisión a dichas sentencias para la resolución de las cuestiones también ahora planteadas.</w:t>
      </w:r>
    </w:p>
    <w:p w14:paraId="5BF65AE4" w14:textId="77777777" w:rsidR="003754FE" w:rsidRDefault="003754FE" w:rsidP="003754FE">
      <w:pPr>
        <w:pStyle w:val="TextoNormal"/>
      </w:pPr>
    </w:p>
    <w:p w14:paraId="357B94AA" w14:textId="77777777" w:rsidR="003754FE" w:rsidRDefault="003754FE" w:rsidP="003754FE">
      <w:pPr>
        <w:pStyle w:val="TextoNormal"/>
      </w:pPr>
      <w:r>
        <w:t xml:space="preserve">C) Además, en el análisis de los vicios del procedimiento legislativo aducidos en la demanda, debemos recordar que “[s]egún doctrina reiterada de este tribunal, aunque el art. </w:t>
      </w:r>
      <w:r>
        <w:lastRenderedPageBreak/>
        <w:t>28.1 LOTC no menciona a los reglamentos parlamentarios entre aquellas normas cuya infracción puede acarrear la inconstitucionalidad de la ley, no es dudoso que, tanto por la invulnerabilidad de tales reglas de procedimiento frente a la acción del legislador como, sobre todo, por el carácter instrumental que tienen respecto de uno de los valores superiores de nuestro ordenamiento, el pluralismo político (art. 1.1 CE), la inobservancia de los preceptos que regulan el procedimiento legislativo podría viciar de inconstitucionalidad la ley, cuando esa inobservancia altere de modo sustancial el proceso de formación de voluntad en el seno de las Cámaras [STC 99/1987, de 11 de junio, FJ 1 a); doctrina que reitera, entre otras, STC 103/2008, de 11 de septiembre, FJ 5]”. Esta doctrina constitucional “se ha de cohonestar con la jurisprudencia constitucional, según la cual, ‘la autonomía parlamentaria garantizada constitucionalmente (art. 72 CE) y la propia naturaleza del art. 23.2 CE como derecho de configuración legal también obligan a otorgar a los Parlamentos y, significativamente, a sus órganos rectores, un margen de aplicación en la interpretación de la legalidad parlamentaria que este tribunal no puede desconocer’” [STC 185/2016, de 3 de noviembre, FJ 5 b)].</w:t>
      </w:r>
    </w:p>
    <w:p w14:paraId="4B79DF1D" w14:textId="77777777" w:rsidR="003754FE" w:rsidRDefault="003754FE" w:rsidP="003754FE">
      <w:pPr>
        <w:pStyle w:val="TextoNormal"/>
      </w:pPr>
    </w:p>
    <w:p w14:paraId="48E95D72" w14:textId="77777777" w:rsidR="003754FE" w:rsidRDefault="003754FE" w:rsidP="003754FE">
      <w:pPr>
        <w:pStyle w:val="TextoNormal"/>
      </w:pPr>
      <w:r>
        <w:t>D) La Ley Orgánica 8/2022 tuvo su origen, tal y como se relata en los antecedentes de esta sentencia, en una proposición de ley presentada por el Grupo Parlamentario Socialista en el Congreso. La demanda aduce que se hizo un fraudulento uso de la fórmula de la proposición de ley, para evitar la audiencia de los sectores afectados y del Consejo General del Poder Judicial y para acelerar su tramitación.</w:t>
      </w:r>
    </w:p>
    <w:p w14:paraId="50AFBA2A" w14:textId="77777777" w:rsidR="003754FE" w:rsidRDefault="003754FE" w:rsidP="003754FE">
      <w:pPr>
        <w:pStyle w:val="TextoNormal"/>
      </w:pPr>
    </w:p>
    <w:p w14:paraId="3E440EE4" w14:textId="77777777" w:rsidR="003754FE" w:rsidRDefault="003754FE" w:rsidP="003754FE">
      <w:pPr>
        <w:pStyle w:val="TextoNormal"/>
      </w:pPr>
      <w:r>
        <w:t>Esta queja no puede prosperar atendiendo a lo afirmado en las SSTC 128/2023, FJ 3 B), y 15/2024, FJ 3 a), con remisión a lo allí resuelto.</w:t>
      </w:r>
    </w:p>
    <w:p w14:paraId="0BA47C28" w14:textId="77777777" w:rsidR="003754FE" w:rsidRDefault="003754FE" w:rsidP="003754FE">
      <w:pPr>
        <w:pStyle w:val="TextoNormal"/>
      </w:pPr>
    </w:p>
    <w:p w14:paraId="6E0B6DAD" w14:textId="77777777" w:rsidR="003754FE" w:rsidRDefault="003754FE" w:rsidP="003754FE">
      <w:pPr>
        <w:pStyle w:val="TextoNormal"/>
      </w:pPr>
      <w:r>
        <w:t>E) La demanda aduce, asimismo, como se ha expuesto detenidamente en los antecedentes de esta sentencia, la vulneración del artículo 23 CE por la tramitación de la ley por el procedimiento de urgencia y porque la mesa impidió que se pudiera oír a los afectados por la reforma, a la Comisión de Venecia y al Consejo General del Poder Judicial (artículo 561.1 LOPJ). Entiende la demanda que la mesa aplicó restrictivamente el ordenamiento jurídico al no amparar la solicitud de los recurrentes de recabar dichos informes y comparecencias y al tramitar la reforma por el trámite de urgencia y no exponer de forma motivada las razones de dichas decisiones, ni justificar la dilación en la respuesta a dicha petición.</w:t>
      </w:r>
    </w:p>
    <w:p w14:paraId="693CCD9B" w14:textId="77777777" w:rsidR="003754FE" w:rsidRDefault="003754FE" w:rsidP="003754FE">
      <w:pPr>
        <w:pStyle w:val="TextoNormal"/>
      </w:pPr>
    </w:p>
    <w:p w14:paraId="4E8E753B" w14:textId="77777777" w:rsidR="003754FE" w:rsidRDefault="003754FE" w:rsidP="003754FE">
      <w:pPr>
        <w:pStyle w:val="TextoNormal"/>
      </w:pPr>
      <w:r>
        <w:t>a) No se puede oponer ninguna tacha a la tramitación parlamentaria por el procedimiento de urgencia de la proposición de ley que dio lugar a la Ley Orgánica 8/2022. En este caso, la declaración de urgencia ha seguido los cauces previstos en los artículos 93 y 94 RCD. El requisito que dichos preceptos imponen es su solicitud por los sujetos legitimados. En concreto, el artículo 93.1 RCD dispone que “a petición del Gobierno, de dos grupos parlamentarios o de una quinta parte de los diputados, la mesa del Congreso podrá acordar que un asunto se tramite por procedimiento de urgencia” y, como consta en los antecedentes de esta sentencia, la solicitud de tramitación por el procedimiento de urgencia fue firmada por noventa y tres diputados del Grupo Parlamentario Socialista.</w:t>
      </w:r>
    </w:p>
    <w:p w14:paraId="4EC7411F" w14:textId="77777777" w:rsidR="003754FE" w:rsidRDefault="003754FE" w:rsidP="003754FE">
      <w:pPr>
        <w:pStyle w:val="TextoNormal"/>
      </w:pPr>
    </w:p>
    <w:p w14:paraId="346C1B43" w14:textId="77777777" w:rsidR="003754FE" w:rsidRDefault="003754FE" w:rsidP="003754FE">
      <w:pPr>
        <w:pStyle w:val="TextoNormal"/>
      </w:pPr>
      <w:r>
        <w:t xml:space="preserve">De otra parte, el artículo 93 RCD no excluye del procedimiento de urgencia ningún tipo de iniciativa ni de contenido de la norma tramitada, ni tampoco, en consecuencia, la reforma de la Ley Orgánica del Poder Judicial, en los términos expuestos en el fundamento jurídico 3 b) de la STC 15/2024, al que cumple remitirse ahora. En este caso, como también se </w:t>
      </w:r>
      <w:r>
        <w:lastRenderedPageBreak/>
        <w:t>entendió en la citada STC 15/2024, FJ 3 b), puede afirmarse que la tramitación urgente no ha impedido a los recurrentes ejercer las facultades que les corresponden como diputados en el procedimiento legislativo, notablemente la facultad de presentación de enmiendas. A este respecto, tal y como consta en los antecedentes de esta sentencia y pone de manifiesto la letrada de las Cortes Generales, la mesa del Congreso de los Diputados, en su reunión de 14 de julio, acordó la admisión a trámite de las enmiendas presentadas a la proposición de ley: tres enmiendas a la totalidad con texto alternativo por parte de los grupos parlamentarios Ciudadanos, Vox y Popular en el Congreso y una enmienda al articulado del Grupo Parlamentario Socialista (“Boletín Oficial de las Cortes Generales. Congreso de los Diputados” serie B, núm. 261-4, de 20 de julio de 2022).</w:t>
      </w:r>
    </w:p>
    <w:p w14:paraId="739179F6" w14:textId="77777777" w:rsidR="003754FE" w:rsidRDefault="003754FE" w:rsidP="003754FE">
      <w:pPr>
        <w:pStyle w:val="TextoNormal"/>
      </w:pPr>
    </w:p>
    <w:p w14:paraId="0199DC45" w14:textId="77777777" w:rsidR="003754FE" w:rsidRDefault="003754FE" w:rsidP="003754FE">
      <w:pPr>
        <w:pStyle w:val="TextoNormal"/>
      </w:pPr>
      <w:r>
        <w:t>b) La demanda denuncia también la ausencia de informe del Consejo General del Poder Judicial. Conforme a la STC 15/2024, FJ 3 a), carece de relieve jurídico-constitucional la ausencia, durante la tramitación parlamentaria de la proposición de ley, del informe del Consejo General del Poder Judicial contemplado en el art. 561.1 LOPJ, que establece que se someterán a informe del Consejo los anteproyectos de ley que versen sobre modificaciones de la Ley Orgánica del Poder Judicial, por las razones expuestas en la citada STC 15/2024, FJ 3 a), y en la STC 128/2023, FJ 3 A), a las que nos remitimos.</w:t>
      </w:r>
    </w:p>
    <w:p w14:paraId="5D7AAA0B" w14:textId="77777777" w:rsidR="003754FE" w:rsidRDefault="003754FE" w:rsidP="003754FE">
      <w:pPr>
        <w:pStyle w:val="TextoNormal"/>
      </w:pPr>
    </w:p>
    <w:p w14:paraId="76817145" w14:textId="77777777" w:rsidR="003754FE" w:rsidRDefault="003754FE" w:rsidP="003754FE">
      <w:pPr>
        <w:pStyle w:val="TextoNormal"/>
      </w:pPr>
      <w:r>
        <w:t>c) Tampoco merece ningún reproche la ausencia del informe de la Comisión de Venecia solicitado por los recurrentes ya que la tramitación de las proposiciones de ley se rige, exclusivamente, por los reglamentos respectivos (art. 89.1 CE), en los que no se prevé informe preceptivo alguno a cargo de otros órganos [SSTC 128/2023, FJ 3 A), y 15/2024, FJ 3 a)].</w:t>
      </w:r>
    </w:p>
    <w:p w14:paraId="54CC99EA" w14:textId="77777777" w:rsidR="003754FE" w:rsidRDefault="003754FE" w:rsidP="003754FE">
      <w:pPr>
        <w:pStyle w:val="TextoNormal"/>
      </w:pPr>
    </w:p>
    <w:p w14:paraId="6DDA2678" w14:textId="77777777" w:rsidR="003754FE" w:rsidRDefault="003754FE" w:rsidP="003754FE">
      <w:pPr>
        <w:pStyle w:val="TextoNormal"/>
      </w:pPr>
      <w:r>
        <w:t>El hecho de que la Cámara no considerase oportuno pedir informe al Consejo General del Poder Judicial o, decimos ahora, a la Comisión de Venecia, para integrarlo como antecedente en la tramitación legislativa de la iniciativa (a los efectos del artículo 124 RCD) tampoco merece objeción alguna en términos jurídico-constitucionales [en este sentido, SSTC 128/2023, FJ 3 A), y 15/2024, FJ 3 a)].</w:t>
      </w:r>
    </w:p>
    <w:p w14:paraId="329ABBC2" w14:textId="77777777" w:rsidR="003754FE" w:rsidRDefault="003754FE" w:rsidP="003754FE">
      <w:pPr>
        <w:pStyle w:val="TextoNormal"/>
      </w:pPr>
    </w:p>
    <w:p w14:paraId="4042702B" w14:textId="77777777" w:rsidR="003754FE" w:rsidRDefault="003754FE" w:rsidP="003754FE">
      <w:pPr>
        <w:pStyle w:val="TextoNormal"/>
      </w:pPr>
      <w:r>
        <w:t>d) En cuanto a la solicitud de comparecencias, la STC 94/2023, de 12 de septiembre, FJ 2 B) b), con cita de la STC 19/2023, de 22 de marzo, FJ 3 B) b), afirmó que “[e]l legislador, que obviamente no queda ‘sujeto a las determinaciones o valoraciones técnicas que puedan ofrecer expertos o peritos en la materia sobre la que pretende legislar’ (STC 112/2021, de 13 de mayo, FJ 5), ni siquiera viene obligado, en lo que ahora importa, a recabar tales valoraciones, por más que pueda llegar a hacerlo. Imponer lo contrario supondría dar lugar a una participación preceptiva de otros órganos o instancias, a título consultivo, en el ejercicio de la potestad legislativa del Estado, que corresponde en exclusiva a las Cortes Generales (art. 66.2 CE)”.</w:t>
      </w:r>
    </w:p>
    <w:p w14:paraId="611F3863" w14:textId="77777777" w:rsidR="003754FE" w:rsidRDefault="003754FE" w:rsidP="003754FE">
      <w:pPr>
        <w:pStyle w:val="TextoNormal"/>
      </w:pPr>
    </w:p>
    <w:p w14:paraId="0C0D2153" w14:textId="77777777" w:rsidR="003754FE" w:rsidRDefault="003754FE" w:rsidP="003754FE">
      <w:pPr>
        <w:pStyle w:val="TextoNormal"/>
      </w:pPr>
      <w:r>
        <w:t xml:space="preserve">e) Con todo, la Cámara podría haber considerado oportuno recabarlos. En este sentido, en la STC 128/2023, FJ 3 A), se afirmó que “nada se opone a que la Cámara pudiera considerar oportuno pedir informe al Consejo General del Poder Judicial sobre cualquier cuestión o asunto de su incumbencia institucional (art. 561.1.9 LOPJ y STC 191/2016, de 15 de noviembre, FJ 6)” o, puede entenderse ahora, solicitar otros informes o la celebración de comparecencias. En la tramitación parlamentaria de la Ley Orgánica 4/2021, la mesa del Congreso de los Diputados, como consta en la STC 128/2023, FJ 3 A), en sus acuerdos de 13 de enero y 9 de febrero de 2021, no consideró “necesario integrar como antecedente —a los </w:t>
      </w:r>
      <w:r>
        <w:lastRenderedPageBreak/>
        <w:t>efectos del art. 124 RCD— el informe del Consejo, sobre la base del carácter potestativo de la decisión de hacer intervenir o no al Consejo” sin que nada se pueda objetar a estos acuerdos en términos jurídico-constitucionales.</w:t>
      </w:r>
    </w:p>
    <w:p w14:paraId="762A2663" w14:textId="77777777" w:rsidR="003754FE" w:rsidRDefault="003754FE" w:rsidP="003754FE">
      <w:pPr>
        <w:pStyle w:val="TextoNormal"/>
      </w:pPr>
    </w:p>
    <w:p w14:paraId="616F7D98" w14:textId="77777777" w:rsidR="003754FE" w:rsidRDefault="003754FE" w:rsidP="003754FE">
      <w:pPr>
        <w:pStyle w:val="TextoNormal"/>
      </w:pPr>
      <w:r>
        <w:t>Ahora bien, en la tramitación parlamentaria de la Ley Orgánica 8/2022 la mesa no se pronunció sobre las solicitudes de informe y de comparecencias que presentó la portavoz del Grupo Parlamentario Popular el día 8 de julio de 2022, hasta el día 8 de septiembre, una vez que había sido aprobada la citada ley orgánica, aspecto al que la demanda anuda también la vulneración del artículo 23 CE. Este proceder del Congreso de los Diputados no provoca, en sí mismo considerado, la inconstitucionalidad de la Ley Orgánica 8/2022 [en un sentido similar, STC 155/2017, de 21 de diciembre, FJ 7 b)]. La falta de contestación de la mesa a dicha solicitud durante el tiempo en que transcurrió la tramitación de la ley orgánica y, en su caso, la motivación de los acuerdos de la mesa, no tienen trascendencia constitucional en la resolución de los vicios de procedimiento legislativo aducidos en este concreto proceso constitucional.</w:t>
      </w:r>
    </w:p>
    <w:p w14:paraId="5664D457" w14:textId="77777777" w:rsidR="003754FE" w:rsidRDefault="003754FE" w:rsidP="003754FE">
      <w:pPr>
        <w:pStyle w:val="TextoNormal"/>
      </w:pPr>
    </w:p>
    <w:p w14:paraId="485C3C5E" w14:textId="77777777" w:rsidR="003754FE" w:rsidRDefault="003754FE" w:rsidP="003754FE">
      <w:pPr>
        <w:pStyle w:val="TextoNormal"/>
      </w:pPr>
      <w:r>
        <w:t>En efecto, la ausencia del informe del Consejo General del Poder Judicial, del informe de la Comisión de Venecia y de la celebración de comparecencias de expertos no determina, como se ha expuesto con anterioridad, que se incurra en un vicio del procedimiento legislativo. Por lo tanto, la motivación de los acuerdos de la mesa, cualquiera que esta sea, y la dilación en la respuesta tampoco podrían afectar en este caso, por sí mismas, a la formación de la voluntad de la Cámara ni ser consideradas, en consecuencia, un vicio determinante de la inconstitucionalidad de la ley.</w:t>
      </w:r>
    </w:p>
    <w:p w14:paraId="1DD105BE" w14:textId="77777777" w:rsidR="003754FE" w:rsidRDefault="003754FE" w:rsidP="003754FE">
      <w:pPr>
        <w:pStyle w:val="TextoNormal"/>
      </w:pPr>
    </w:p>
    <w:p w14:paraId="0424A3BC" w14:textId="77777777" w:rsidR="003754FE" w:rsidRDefault="003754FE" w:rsidP="003754FE">
      <w:pPr>
        <w:pStyle w:val="TextoNormal"/>
      </w:pPr>
      <w:r>
        <w:t>F) La demanda alega, asimismo, la vulneración del artículo 93 CE dado que el Derecho de la Unión impide que una reforma de la legislación referida al Poder Judicial, como la contenida en la Ley Orgánica 8/2022, se tramite de forma acelerada y sin oír a los sectores implicados, en particular, a las asociaciones profesionales de jueces y magistrados, al Consejo General del Poder Judicial y a la Comisión de Venecia. Se razona en la demanda que tal exigencia deriva del principio de respeto al Estado de Derecho (art. 2 TUE) que se traslada a los jueces y tribunales nacionales (art. 19.1 TUE) y que la tramitación por vía de urgencia y sin dar audiencia a los afectados vulneró el artículo 93 RCD y correlativamente el artículo 93 CE que impone a las Cortes Generales el deber de garantizar el cumplimiento de los tratados constitutivos de la Unión Europea. Esta misma queja fue resuelta en el fundamento jurídico 3 c) de la STC 15/2024. Consecuentemente, debemos desestimar este motivo de inconstitucionalidad atendiendo a lo que se afirmó en dicho fundamento jurídico, al que cumple remitirse ahora.</w:t>
      </w:r>
    </w:p>
    <w:p w14:paraId="75C8099F" w14:textId="77777777" w:rsidR="003754FE" w:rsidRDefault="003754FE" w:rsidP="003754FE">
      <w:pPr>
        <w:pStyle w:val="TextoNormal"/>
      </w:pPr>
    </w:p>
    <w:p w14:paraId="4B6F80A3" w14:textId="77777777" w:rsidR="003754FE" w:rsidRDefault="003754FE" w:rsidP="003754FE">
      <w:pPr>
        <w:pStyle w:val="TextoNormal"/>
      </w:pPr>
      <w:r>
        <w:t>De acuerdo con lo anterior se deben desestimar todos los motivos de inconstitucionalidad aducidos en relación con la tramitación parlamentaria, en el Congreso de los Diputados, de la Ley Orgánica 8/2022.</w:t>
      </w:r>
    </w:p>
    <w:p w14:paraId="0C12770E" w14:textId="77777777" w:rsidR="003754FE" w:rsidRDefault="003754FE" w:rsidP="003754FE">
      <w:pPr>
        <w:pStyle w:val="TextoNormal"/>
      </w:pPr>
    </w:p>
    <w:p w14:paraId="59438542" w14:textId="0780ECDA" w:rsidR="003754FE" w:rsidRDefault="003754FE" w:rsidP="003754FE">
      <w:pPr>
        <w:pStyle w:val="TextoNormal"/>
      </w:pPr>
      <w:r>
        <w:t>G) De otra parte, los recurrentes habían solicitado el planteamiento de cuestión prejudicial por haber desconocido la tramitación de la proposición de ley los estándares de protección del Estado de Derecho de la Unión Europea. Habiéndose descartado esta queja, por remisión a los argumentos de la citada STC 15/2024, FJ 3 c), no procede el planteamiento de cuestión prejudicial en los términos del artículo 267 del Tratado de funcionamiento de la Unión Europea.</w:t>
      </w:r>
    </w:p>
    <w:p w14:paraId="5A75E7E6" w14:textId="77777777" w:rsidR="003754FE" w:rsidRDefault="003754FE" w:rsidP="003754FE">
      <w:pPr>
        <w:pStyle w:val="TextoNormal"/>
      </w:pPr>
    </w:p>
    <w:p w14:paraId="68479992" w14:textId="77777777" w:rsidR="003754FE" w:rsidRDefault="003754FE" w:rsidP="003754FE">
      <w:pPr>
        <w:pStyle w:val="TextoNormal"/>
      </w:pPr>
      <w:r w:rsidRPr="003754FE">
        <w:rPr>
          <w:rStyle w:val="NumeroAFNegritaCaracter"/>
        </w:rPr>
        <w:t>5</w:t>
      </w:r>
      <w:r>
        <w:t xml:space="preserve">. </w:t>
      </w:r>
      <w:r w:rsidRPr="003754FE">
        <w:rPr>
          <w:i/>
        </w:rPr>
        <w:t>Motivos de inconstitucionalidad material</w:t>
      </w:r>
    </w:p>
    <w:p w14:paraId="06E0FF5F" w14:textId="77777777" w:rsidR="003754FE" w:rsidRDefault="003754FE" w:rsidP="003754FE">
      <w:pPr>
        <w:pStyle w:val="TextoNormal"/>
      </w:pPr>
    </w:p>
    <w:p w14:paraId="390472B3" w14:textId="77777777" w:rsidR="003754FE" w:rsidRDefault="003754FE" w:rsidP="003754FE">
      <w:pPr>
        <w:pStyle w:val="TextoNormal"/>
      </w:pPr>
      <w:r>
        <w:t>A) Análisis de la vulneración del artículo 9.3 CE</w:t>
      </w:r>
    </w:p>
    <w:p w14:paraId="78878B9B" w14:textId="77777777" w:rsidR="003754FE" w:rsidRDefault="003754FE" w:rsidP="003754FE">
      <w:pPr>
        <w:pStyle w:val="TextoNormal"/>
      </w:pPr>
    </w:p>
    <w:p w14:paraId="6F01767C" w14:textId="77777777" w:rsidR="003754FE" w:rsidRDefault="003754FE" w:rsidP="003754FE">
      <w:pPr>
        <w:pStyle w:val="TextoNormal"/>
      </w:pPr>
      <w:r>
        <w:t>Los recurrentes aducen, en los términos de los que se ha dado cuenta pormenorizadamente en los antecedentes de esta sentencia, que la ley impugnada, de acuerdo con la doctrina constitucional (cita las SSTC 203/2013, de 5 de diciembre, y 50/2015, de 5 de marzo), es una ley singular y que, tanto por su motivación como por su contenido, vulnera el artículo 9.3 CE en cuanto a la interdicción de la arbitrariedad de los poderes públicos.</w:t>
      </w:r>
    </w:p>
    <w:p w14:paraId="67F1DE09" w14:textId="77777777" w:rsidR="003754FE" w:rsidRDefault="003754FE" w:rsidP="003754FE">
      <w:pPr>
        <w:pStyle w:val="TextoNormal"/>
      </w:pPr>
    </w:p>
    <w:p w14:paraId="0A2473EF" w14:textId="77777777" w:rsidR="003754FE" w:rsidRDefault="003754FE" w:rsidP="003754FE">
      <w:pPr>
        <w:pStyle w:val="TextoNormal"/>
      </w:pPr>
      <w:r>
        <w:t>El Tribunal entiende que la Ley Orgánica 8/2022 no es una ley singular, atendiendo a lo afirmado en la STC 15/2024, FJ 7, en la que se consideró que la ley entonces impugnada por este motivo, en concreto la Ley Orgánica 4/2021, de 29 de marzo, por la que se modifica la Ley Orgánica 6/1985, de 1 de julio, del Poder Judicial, para el establecimiento del régimen jurídico aplicable al Consejo General del Poder Judicial en funciones, no era una ley singular dado que el precepto “va dirigido a aplicarse en todos los supuestos en los que el Consejo esté en funciones” (STC 15/2024, FJ 7).</w:t>
      </w:r>
    </w:p>
    <w:p w14:paraId="5D59A92F" w14:textId="77777777" w:rsidR="003754FE" w:rsidRDefault="003754FE" w:rsidP="003754FE">
      <w:pPr>
        <w:pStyle w:val="TextoNormal"/>
      </w:pPr>
    </w:p>
    <w:p w14:paraId="114F5661" w14:textId="77777777" w:rsidR="003754FE" w:rsidRDefault="003754FE" w:rsidP="003754FE">
      <w:pPr>
        <w:pStyle w:val="TextoNormal"/>
      </w:pPr>
      <w:r>
        <w:t>Como entonces, ahora, “para resolver la impugnación planteada resulta necesario determinar, con carácter previo, cuál es la verdadera naturaleza del precepto impugnado, que los recurrentes califican de ley singular” (STC 15/2024, FJ 7).</w:t>
      </w:r>
    </w:p>
    <w:p w14:paraId="5381075B" w14:textId="77777777" w:rsidR="003754FE" w:rsidRDefault="003754FE" w:rsidP="003754FE">
      <w:pPr>
        <w:pStyle w:val="TextoNormal"/>
      </w:pPr>
    </w:p>
    <w:p w14:paraId="4154BA23" w14:textId="77777777" w:rsidR="003754FE" w:rsidRDefault="003754FE" w:rsidP="003754FE">
      <w:pPr>
        <w:pStyle w:val="TextoNormal"/>
      </w:pPr>
      <w:r>
        <w:t>Las leyes singulares serían “[a]quellas dictadas en atención a un supuesto de hecho concreto y singular, que agotan su contenido y eficacia en la adopción y ejecución de la medida tomada por el legislador ante ese supuesto de hecho, aislado en la ley singular y no comunicable con ningún otro” (SSTC 166/1986, de 19 de diciembre, FJ 10, y 129/2013, de 4 de junio, FJ 4), de modo que “una ley que no fuera de destinatario único, ni autoaplicativa, adolece de tal naturaleza si ha sido dictada en atención a un supuesto de hecho concreto, esto es, a una situación singular o excepcional” (SSTC 50/2015, de 5 de marzo, FJ 3; 203/2013, FJ 3, y 15/2024, FJ 7).</w:t>
      </w:r>
    </w:p>
    <w:p w14:paraId="3D4E1014" w14:textId="77777777" w:rsidR="003754FE" w:rsidRDefault="003754FE" w:rsidP="003754FE">
      <w:pPr>
        <w:pStyle w:val="TextoNormal"/>
      </w:pPr>
    </w:p>
    <w:p w14:paraId="75E68101" w14:textId="77777777" w:rsidR="003754FE" w:rsidRDefault="003754FE" w:rsidP="003754FE">
      <w:pPr>
        <w:pStyle w:val="TextoNormal"/>
      </w:pPr>
      <w:r>
        <w:t xml:space="preserve">En el presente supuesto, como en el de la STC 15/2024, FJ 7, de la simple lectura de la Ley Orgánica 8/2022 se desprende que no es una ley singular dado que los artículos 570 </w:t>
      </w:r>
      <w:r w:rsidRPr="003754FE">
        <w:rPr>
          <w:i/>
        </w:rPr>
        <w:t>bis</w:t>
      </w:r>
      <w:r>
        <w:t>.1.1 y 599.1.1 LOPJ van dirigidos a aplicarse en todos los supuestos en los que el Consejo esté en funciones y proceda el nombramiento de los magistrados del Tribunal Constitucional por parte del Consejo General del Poder Judicial y no únicamente a permitir que el Consejo General del Poder Judicial pudiera designar, en el específico momento en que se aprobó la ley orgánica, a los magistrados del Tribunal Constitucional.</w:t>
      </w:r>
    </w:p>
    <w:p w14:paraId="5ED179EC" w14:textId="77777777" w:rsidR="003754FE" w:rsidRDefault="003754FE" w:rsidP="003754FE">
      <w:pPr>
        <w:pStyle w:val="TextoNormal"/>
      </w:pPr>
    </w:p>
    <w:p w14:paraId="50507D13" w14:textId="77777777" w:rsidR="003754FE" w:rsidRDefault="003754FE" w:rsidP="003754FE">
      <w:pPr>
        <w:pStyle w:val="TextoNormal"/>
      </w:pPr>
      <w:r>
        <w:t>Por lo tanto, constatado que no estamos frente a una ley singular o de caso único y autoaplicativa, decae la totalidad de la argumentación sostenida por los recurrentes, por lo que procede rechazar este motivo de inconstitucionalidad (en este sentido, STC 15/2024, FJ 7).</w:t>
      </w:r>
    </w:p>
    <w:p w14:paraId="02C9D971" w14:textId="77777777" w:rsidR="003754FE" w:rsidRDefault="003754FE" w:rsidP="003754FE">
      <w:pPr>
        <w:pStyle w:val="TextoNormal"/>
      </w:pPr>
    </w:p>
    <w:p w14:paraId="7653D6B7" w14:textId="77777777" w:rsidR="003754FE" w:rsidRDefault="003754FE" w:rsidP="003754FE">
      <w:pPr>
        <w:pStyle w:val="TextoNormal"/>
      </w:pPr>
      <w:r>
        <w:t>B) Análisis de la vulneración del artículo 165 CE</w:t>
      </w:r>
    </w:p>
    <w:p w14:paraId="6FF72A03" w14:textId="77777777" w:rsidR="003754FE" w:rsidRDefault="003754FE" w:rsidP="003754FE">
      <w:pPr>
        <w:pStyle w:val="TextoNormal"/>
      </w:pPr>
    </w:p>
    <w:p w14:paraId="48273954" w14:textId="77777777" w:rsidR="003754FE" w:rsidRDefault="003754FE" w:rsidP="003754FE">
      <w:pPr>
        <w:pStyle w:val="TextoNormal"/>
      </w:pPr>
      <w:r>
        <w:t xml:space="preserve">Los recurrentes aducen que la ley impugnada infringe el artículo 165 CE en relación con el artículo 16.1 LOTC, por invadir la ley orgánica impugnada el contenido de la Ley </w:t>
      </w:r>
      <w:r>
        <w:lastRenderedPageBreak/>
        <w:t>Orgánica del Tribunal Constitucional al regular la designación de magistrados y su plazo. El abogado del Estado, además de alegar que no se cumple con la necesaria carga argumentativa, cuestión que ya ha sido abordada en el fundamento jurídico 2 de esta sentencia, interesa la desestimación de este motivo de inconstitucionalidad. A su entender, el procedimiento de designación de magistrados no se integra en el ámbito reservado al artículo 165 CE.</w:t>
      </w:r>
    </w:p>
    <w:p w14:paraId="5EAA90C7" w14:textId="77777777" w:rsidR="003754FE" w:rsidRDefault="003754FE" w:rsidP="003754FE">
      <w:pPr>
        <w:pStyle w:val="TextoNormal"/>
      </w:pPr>
    </w:p>
    <w:p w14:paraId="48D04E28" w14:textId="77777777" w:rsidR="003754FE" w:rsidRDefault="003754FE" w:rsidP="003754FE">
      <w:pPr>
        <w:pStyle w:val="TextoNormal"/>
      </w:pPr>
      <w:r>
        <w:t>En relación con este motivo de inconstitucionalidad se ha de partir de la precisión de que el procedimiento de designación de magistrados del Tribunal Constitucional, materia a la que se refiere la Ley Orgánica 8/2022, se establece en nuestra Constitución en su artículo 159 CE, como alega el abogado del Estado, por más que su artículo 165 CE contenga una remisión expresa al legislador orgánico para la regulación del Tribunal Constitucional. En todo caso, este tribunal ya se ha pronunciado sobre esta cuestión, descartando que el artículo 165 CE y el artículo 16 LOTC impidan que otras normas puedan desarrollar la regulación constitucional sobre el procedimiento a seguir en la elección de los magistrados del Tribunal Constitucional.</w:t>
      </w:r>
    </w:p>
    <w:p w14:paraId="65B93213" w14:textId="77777777" w:rsidR="003754FE" w:rsidRDefault="003754FE" w:rsidP="003754FE">
      <w:pPr>
        <w:pStyle w:val="TextoNormal"/>
      </w:pPr>
    </w:p>
    <w:p w14:paraId="5932F75B" w14:textId="77777777" w:rsidR="003754FE" w:rsidRDefault="003754FE" w:rsidP="003754FE">
      <w:pPr>
        <w:pStyle w:val="TextoNormal"/>
      </w:pPr>
      <w:r>
        <w:t>La STC 49/2008, de 9 de abril, destacó, en su FJ 3 y también en su fundamento jurídico 16, la existencia de una reserva de ley orgánica amplia y con vocación de plenitud contenida en el artículo 165 CE, pero junto a ello también afirmamos que la apertura de la jurisdicción constitucional española al legislador orgánico no es homogénea en todos los ámbitos y en el fundamento jurídico 7 a), expusimos que “a diferencia de lo que ocurre en otros países de nuestro entorno, la Constitución española contiene una regulación detallada de la elección de los miembros del Tribunal Constitucional. El art. 159.1 CE, en efecto, no solo fija en doce el número de magistrados, sino que regula la participación de los diversos órganos constitucionales que concurren en su elección con una precisión que hace posible que sea la propia Ley Orgánica del Tribunal Constitucional la que se remita en gran medida a dicho precepto constitucional al referirse a esta cuestión en el primer párrafo de su art. 16.1. Ello, sin embargo, no cierra las puertas de modo absoluto a que otras normas puedan desarrollar una regulación constitucional que, entre otras cosas, guarda silencio sobre el procedimiento a seguir en dicha elección. Aunque se da la paradoja de que el art. 159.1 CE es una norma más completa que el original art. 16.1 LOTC, no existe impedimento constitucional para que la regulación constitucional sea desarrollada y concretada siguiendo los requisitos formales y materiales que se derivan del texto constitucional”.</w:t>
      </w:r>
    </w:p>
    <w:p w14:paraId="56A06CB0" w14:textId="77777777" w:rsidR="003754FE" w:rsidRDefault="003754FE" w:rsidP="003754FE">
      <w:pPr>
        <w:pStyle w:val="TextoNormal"/>
      </w:pPr>
    </w:p>
    <w:p w14:paraId="22E098A1" w14:textId="77777777" w:rsidR="003754FE" w:rsidRDefault="003754FE" w:rsidP="003754FE">
      <w:pPr>
        <w:pStyle w:val="TextoNormal"/>
      </w:pPr>
      <w:r>
        <w:t>Atendiendo a lo anterior se ha de desestimar este motivo de inconstitucionalidad en tanto en cuanto la previsión impugnada en nada altera el modelo constitucional de nuestra jurisdicción.</w:t>
      </w:r>
    </w:p>
    <w:p w14:paraId="0E89F9D2" w14:textId="77777777" w:rsidR="003754FE" w:rsidRDefault="003754FE" w:rsidP="003754FE">
      <w:pPr>
        <w:pStyle w:val="TextoNormal"/>
      </w:pPr>
    </w:p>
    <w:p w14:paraId="18A15B48" w14:textId="77777777" w:rsidR="003754FE" w:rsidRDefault="003754FE" w:rsidP="003754FE">
      <w:pPr>
        <w:pStyle w:val="TextoNormal"/>
      </w:pPr>
      <w:r>
        <w:t>C) Análisis de la vulneración del artículo 159 CE</w:t>
      </w:r>
    </w:p>
    <w:p w14:paraId="4B62D14A" w14:textId="77777777" w:rsidR="003754FE" w:rsidRDefault="003754FE" w:rsidP="003754FE">
      <w:pPr>
        <w:pStyle w:val="TextoNormal"/>
      </w:pPr>
    </w:p>
    <w:p w14:paraId="258D4F4E" w14:textId="77777777" w:rsidR="003754FE" w:rsidRDefault="003754FE" w:rsidP="003754FE">
      <w:pPr>
        <w:pStyle w:val="TextoNormal"/>
      </w:pPr>
      <w:r>
        <w:t xml:space="preserve">Por último, la demanda sostiene que el apartado 2 del artículo único de la ley orgánica impugnada, al establecer que la propuesta de nombramientos de los dos magistrados del Tribunal Constitucional tiene que realizarse “en el plazo máximo de tres meses a contar desde el día siguiente al vencimiento del mandato anterior” vulnera el artículo 159.1 CE, pues ni este precepto ni el artículo 16.1 LOTC establecen plazo alguno para efectuar tales propuestas; silencio que se interpreta en el sentido de que no existe plazo para el cumplimiento de este mandato constitucional y se justifica en la necesidad de respetar los procesos </w:t>
      </w:r>
      <w:r>
        <w:lastRenderedPageBreak/>
        <w:t>internos que cada órgano constitucional ha de realizar para llevar a cabo las referidas designaciones. El abogado del Estado niega que se haya producido dicha vulneración, en los términos expuestos con detalle en los antecedentes de esta sentencia.</w:t>
      </w:r>
    </w:p>
    <w:p w14:paraId="5658692F" w14:textId="77777777" w:rsidR="003754FE" w:rsidRDefault="003754FE" w:rsidP="003754FE">
      <w:pPr>
        <w:pStyle w:val="TextoNormal"/>
      </w:pPr>
    </w:p>
    <w:p w14:paraId="19F6A5B6" w14:textId="77777777" w:rsidR="003754FE" w:rsidRDefault="003754FE" w:rsidP="003754FE">
      <w:pPr>
        <w:pStyle w:val="TextoNormal"/>
      </w:pPr>
      <w:r>
        <w:t>Conforme a la jurisprudencia constitucional, esta queja tampoco puede prosperar. El artículo 159.1 CE no se pronuncia sobre el concreto modo de ejercer la facultad de elección de los magistrados del Tribunal Constitucional, que puede estar influido por las propias características constitucionales de los diferentes órganos constitucionales electores [en un sentido similar, STC 49/2008, FJ 7 b)]. A ello ha de añadirse que, en la citada STC 49/2008, FJ 10, ya afirmamos que no es posible partir de que la norma constitucional sobre la elección de los magistrados impide un desarrollo normativo que incluya condicionamientos procedimentales en normas diferentes de la Ley Orgánica del Tribunal Constitucional, encaminadas a llevar a cabo la elección de los magistrados que constitucionalmente tienen encomendados, entre otros órganos, el Consejo General del Poder Judicial. A ello ha de añadirse que el precepto impugnado no anuda al incumplimiento de dicho plazo ninguna consecuencia aflictiva, por lo que su establecimiento no desapodera, en ninguna circunstancia, al Consejo General del Poder Judicial de su potestad de propuesta de dos magistrados del Tribunal Constitucional que le atribuye el artículo 159.1 CE.</w:t>
      </w:r>
    </w:p>
    <w:p w14:paraId="0075F419" w14:textId="77777777" w:rsidR="003754FE" w:rsidRDefault="003754FE" w:rsidP="003754FE">
      <w:pPr>
        <w:pStyle w:val="TextoNormal"/>
      </w:pPr>
    </w:p>
    <w:p w14:paraId="706F1252" w14:textId="35626AF5" w:rsidR="003754FE" w:rsidRDefault="003754FE" w:rsidP="003754FE">
      <w:pPr>
        <w:pStyle w:val="TextoNormal"/>
      </w:pPr>
      <w:r>
        <w:t>Teniendo presente lo anterior y dado su carácter meramente procedimental la previsión de un plazo para efectuar la propuesta de nombramiento de los dos magistrados del Tribunal Constitucional cuya designación corresponde al Consejo General del Poder Judicial no puede reputarse inconstitucional.</w:t>
      </w:r>
    </w:p>
    <w:p w14:paraId="7C0AE8B2" w14:textId="77777777" w:rsidR="003754FE" w:rsidRDefault="003754FE" w:rsidP="003754FE">
      <w:pPr>
        <w:pStyle w:val="TextoNormal"/>
      </w:pPr>
    </w:p>
    <w:p w14:paraId="18A25A8C" w14:textId="77777777" w:rsidR="003754FE" w:rsidRDefault="003754FE" w:rsidP="003754FE">
      <w:pPr>
        <w:pStyle w:val="TextoNormalCentrado"/>
        <w:keepNext/>
      </w:pPr>
      <w:r>
        <w:t>FALLO</w:t>
      </w:r>
    </w:p>
    <w:p w14:paraId="640390E5" w14:textId="77DA9C12" w:rsidR="003754FE" w:rsidRDefault="003754FE" w:rsidP="003754FE">
      <w:pPr>
        <w:pStyle w:val="TextoNormalCentrado"/>
        <w:keepNext/>
      </w:pPr>
    </w:p>
    <w:p w14:paraId="27DF4D5B" w14:textId="7D3AE30E" w:rsidR="003754FE" w:rsidRDefault="003754FE" w:rsidP="003754FE">
      <w:pPr>
        <w:pStyle w:val="TextoNormal"/>
      </w:pPr>
      <w:r>
        <w:t xml:space="preserve">En atención a todo lo expuesto, el Tribunal Constitucional, por la autoridad que le confiere la Constitución de la Nación española, ha decidido desestimar el recurso de inconstitucionalidad interpuesto contra la Ley Orgánica 8/2022, de 27 de julio, de modificación de los artículos 570 </w:t>
      </w:r>
      <w:r w:rsidRPr="003754FE">
        <w:rPr>
          <w:i/>
        </w:rPr>
        <w:t>bis</w:t>
      </w:r>
      <w:r>
        <w:t xml:space="preserve"> y 599 de la Ley Orgánica 6/1985, de 1 de julio, del Poder Judicial.</w:t>
      </w:r>
    </w:p>
    <w:p w14:paraId="54E4123C" w14:textId="77777777" w:rsidR="003754FE" w:rsidRDefault="003754FE" w:rsidP="003754FE">
      <w:pPr>
        <w:pStyle w:val="TextoNormal"/>
      </w:pPr>
    </w:p>
    <w:p w14:paraId="04EDF969" w14:textId="77777777" w:rsidR="003754FE" w:rsidRDefault="003754FE" w:rsidP="003754FE">
      <w:pPr>
        <w:pStyle w:val="TextoNormal"/>
      </w:pPr>
      <w:r>
        <w:t>Publíquese esta sentencia en el “Boletín Oficial del Estado”.</w:t>
      </w:r>
    </w:p>
    <w:p w14:paraId="0380DADC" w14:textId="77777777" w:rsidR="003754FE" w:rsidRDefault="003754FE" w:rsidP="003754FE">
      <w:pPr>
        <w:pStyle w:val="TextoNormal"/>
      </w:pPr>
      <w:r>
        <w:t>Dada en Madrid, a seis de noviembre de dos mil veinticuatro.</w:t>
      </w:r>
    </w:p>
    <w:p w14:paraId="28E13ECA" w14:textId="3885E3CC" w:rsidR="003754FE" w:rsidRDefault="003754FE" w:rsidP="003754FE">
      <w:pPr>
        <w:pStyle w:val="ParrafoNormal"/>
      </w:pPr>
    </w:p>
    <w:p w14:paraId="4361DA91" w14:textId="77777777" w:rsidR="003754FE" w:rsidRDefault="003754FE" w:rsidP="003754FE">
      <w:pPr>
        <w:pStyle w:val="TextoNormalNegritaCentrado"/>
        <w:keepNext/>
      </w:pPr>
      <w:r>
        <w:t>Voto particular concurrente que formulan el magistrado don Enrique Arnaldo Alcubilla y la magistrada doña Concepción Espejel Jorquera a la sentencia dictada por el Pleno en el recurso de inconstitucionalidad núm. 6914-2022</w:t>
      </w:r>
    </w:p>
    <w:p w14:paraId="2BE28BB3" w14:textId="2D16164A" w:rsidR="003754FE" w:rsidRDefault="003754FE" w:rsidP="003754FE">
      <w:pPr>
        <w:pStyle w:val="TextoNormalNegritaCentrado"/>
        <w:keepNext/>
      </w:pPr>
    </w:p>
    <w:p w14:paraId="37AB2545" w14:textId="77777777" w:rsidR="003754FE" w:rsidRDefault="003754FE" w:rsidP="003754FE">
      <w:pPr>
        <w:pStyle w:val="TextoNormal"/>
      </w:pPr>
      <w:r>
        <w:t>En el ejercicio de la facultad conferida por el artículo 90.2 LOTC y con respeto a la opinión de nuestros compañeros, formulamos el presente voto concurrente por cuanto, aunque compartimos el fallo aprobado también con nuestro voto por este tribunal, nos sentimos en la obligación de exponer nuestra discrepancia con parte de la argumentación de la sentencia, a fin de ser coherentes con la posición mantenida durante su deliberación en el Pleno.</w:t>
      </w:r>
    </w:p>
    <w:p w14:paraId="0A6DC0FF" w14:textId="77777777" w:rsidR="003754FE" w:rsidRDefault="003754FE" w:rsidP="003754FE">
      <w:pPr>
        <w:pStyle w:val="TextoNormal"/>
      </w:pPr>
    </w:p>
    <w:p w14:paraId="29F520EB" w14:textId="77777777" w:rsidR="003754FE" w:rsidRDefault="003754FE" w:rsidP="003754FE">
      <w:pPr>
        <w:pStyle w:val="TextoNormal"/>
      </w:pPr>
      <w:r>
        <w:t xml:space="preserve">La sentencia es la última de la serie recaída sobre reformas puntuales y coyunturales de la Ley Orgánica 6/1985, de 1 de julio, del Poder Judicial respecto de las que, en su momento, </w:t>
      </w:r>
      <w:r>
        <w:lastRenderedPageBreak/>
        <w:t xml:space="preserve">ya expresamos nuestro voto contrario. En esta, que resuelve el recurso de inconstitucionalidad promovido por más de cincuenta diputados del Grupo Parlamentario Popular en el Congreso contra la Ley Orgánica 8/2022, de 27 de julio, de modificación de los artículos 570 </w:t>
      </w:r>
      <w:r w:rsidRPr="003754FE">
        <w:rPr>
          <w:i/>
        </w:rPr>
        <w:t>bis</w:t>
      </w:r>
      <w:r>
        <w:t xml:space="preserve"> y 599 de la Ley Orgánica 6/1985, de 1 de julio, del Poder Judicial, nuestro voto es favorable, pero, como ahora se expondrá, sin compartir la argumentación.</w:t>
      </w:r>
    </w:p>
    <w:p w14:paraId="63E5C74D" w14:textId="77777777" w:rsidR="003754FE" w:rsidRDefault="003754FE" w:rsidP="003754FE">
      <w:pPr>
        <w:pStyle w:val="TextoNormal"/>
      </w:pPr>
    </w:p>
    <w:p w14:paraId="468EDCEF" w14:textId="77777777" w:rsidR="003754FE" w:rsidRDefault="003754FE" w:rsidP="003754FE">
      <w:pPr>
        <w:pStyle w:val="TextoNormal"/>
      </w:pPr>
      <w:r>
        <w:t>La demanda alegaba motivos de inconstitucionalidad procedimental anudados a la tramitación parlamentaria de la Ley Orgánica 8/2022 así como la vulneración de los artículos 9.3, 165 y 159 CE. Motivos todos ellos que la sentencia desestima, recordando doctrina de este tribunal.</w:t>
      </w:r>
    </w:p>
    <w:p w14:paraId="3A8AF82B" w14:textId="77777777" w:rsidR="003754FE" w:rsidRDefault="003754FE" w:rsidP="003754FE">
      <w:pPr>
        <w:pStyle w:val="TextoNormal"/>
      </w:pPr>
    </w:p>
    <w:p w14:paraId="63249DD1" w14:textId="77777777" w:rsidR="003754FE" w:rsidRDefault="003754FE" w:rsidP="003754FE">
      <w:pPr>
        <w:pStyle w:val="TextoNormal"/>
      </w:pPr>
      <w:r>
        <w:t>Por nuestra parte, hemos de hacer las siguientes consideraciones que nos apartan del parecer mayoritario.</w:t>
      </w:r>
    </w:p>
    <w:p w14:paraId="0FC3AF47" w14:textId="77777777" w:rsidR="003754FE" w:rsidRDefault="003754FE" w:rsidP="003754FE">
      <w:pPr>
        <w:pStyle w:val="TextoNormal"/>
      </w:pPr>
    </w:p>
    <w:p w14:paraId="137F97FC" w14:textId="77777777" w:rsidR="003754FE" w:rsidRDefault="003754FE" w:rsidP="003754FE">
      <w:pPr>
        <w:pStyle w:val="TextoNormal"/>
      </w:pPr>
      <w:r>
        <w:t xml:space="preserve">1. </w:t>
      </w:r>
      <w:r w:rsidRPr="003754FE">
        <w:rPr>
          <w:i/>
        </w:rPr>
        <w:t>La presente reforma restituye al Consejo General del Poder Judicial una facultad de la que fue privado en clara contravención del art. 159 de la Constitución</w:t>
      </w:r>
    </w:p>
    <w:p w14:paraId="25425B84" w14:textId="77777777" w:rsidR="003754FE" w:rsidRDefault="003754FE" w:rsidP="003754FE">
      <w:pPr>
        <w:pStyle w:val="TextoNormal"/>
      </w:pPr>
    </w:p>
    <w:p w14:paraId="5A079539" w14:textId="77777777" w:rsidR="003754FE" w:rsidRDefault="003754FE" w:rsidP="003754FE">
      <w:pPr>
        <w:pStyle w:val="TextoNormal"/>
      </w:pPr>
      <w:r>
        <w:t>En primer lugar, hemos de advertir el muy diverso contenido y alcance de las reformas de la Ley Orgánica del Poder Judicial operadas por la Ley Orgánica 4/2021, de 29 de marzo, cuyas impugnaciones fueron resueltas en las SSTC 128/2023 y 15/2024, y por la Ley Orgánica 8/2022, de 27 de julio, objeto de la presente sentencia, que se limita a restituir al Consejo General del Poder Judicial una de las funciones esenciales de las que fue privado en la primera de las reformas citadas, la designación de magistrados del Tribunal Constitucional que se prevé en el artículo 159.1 de la Constitución. Las diferencias entre ambas reformas se traducen en que, si bien respecto de las SSTC 128/2023 y 15/2024 emitimos sendos votos discrepantes, en los que sostuvimos que los recursos de inconstitucionalidad interpuestos frente a la Ley Orgánica 4/2021 debieron ser estimados, respecto de la presente resolución emitimos este voto concurrente, al compartir la declaración de constitucionalidad de la Ley Orgánica 8/2022.</w:t>
      </w:r>
    </w:p>
    <w:p w14:paraId="13F32F2E" w14:textId="77777777" w:rsidR="003754FE" w:rsidRDefault="003754FE" w:rsidP="003754FE">
      <w:pPr>
        <w:pStyle w:val="TextoNormal"/>
      </w:pPr>
    </w:p>
    <w:p w14:paraId="4E3475D8" w14:textId="77777777" w:rsidR="003754FE" w:rsidRDefault="003754FE" w:rsidP="003754FE">
      <w:pPr>
        <w:pStyle w:val="TextoNormal"/>
      </w:pPr>
      <w:r>
        <w:t xml:space="preserve">2. </w:t>
      </w:r>
      <w:r w:rsidRPr="003754FE">
        <w:rPr>
          <w:i/>
        </w:rPr>
        <w:t>El Tribunal desaprovecha la oportunidad para advertir al legislador sobre el uso adecuado de los procedimientos parlamentarios, y en particular evitar el uso abusivo del procedimiento de urgencia</w:t>
      </w:r>
    </w:p>
    <w:p w14:paraId="1D91FB6F" w14:textId="77777777" w:rsidR="003754FE" w:rsidRDefault="003754FE" w:rsidP="003754FE">
      <w:pPr>
        <w:pStyle w:val="TextoNormal"/>
      </w:pPr>
    </w:p>
    <w:p w14:paraId="16A8935B" w14:textId="77777777" w:rsidR="003754FE" w:rsidRDefault="003754FE" w:rsidP="003754FE">
      <w:pPr>
        <w:pStyle w:val="TextoNormal"/>
      </w:pPr>
      <w:r>
        <w:t>La sentencia respecto a la que formulamos este voto particular desestima los motivos de inconstitucionalidad procedimental por aplicación de la doctrina sentada en las citadas SSTC 128/2023 y 15/2024. La demanda, en este punto, y como la propia parte recurrente reconoce, aduce las mismas vulneraciones en relación con la tramitación parlamentaria que invocó en el recurso de inconstitucionalidad respecto a la tramitación parlamentaria de la Ley Orgánica 4/2021. Pues bien, en este caso, como ya advertimos en el voto particular que formulamos a la STC 15/2024, el Tribunal ha desaprovechado la ocasión de advertir al legislador de la necesidad de realizar un uso adecuado de los procedimientos parlamentarios a su disposición en atención al calado de la reforma legal que se pretende abordar, particularmente en dos aspectos en los que ha mostrado una complacencia difícil de compartir.</w:t>
      </w:r>
    </w:p>
    <w:p w14:paraId="4941D7F7" w14:textId="77777777" w:rsidR="003754FE" w:rsidRDefault="003754FE" w:rsidP="003754FE">
      <w:pPr>
        <w:pStyle w:val="TextoNormal"/>
      </w:pPr>
    </w:p>
    <w:p w14:paraId="102E4F83" w14:textId="77777777" w:rsidR="003754FE" w:rsidRDefault="003754FE" w:rsidP="003754FE">
      <w:pPr>
        <w:pStyle w:val="TextoNormal"/>
      </w:pPr>
      <w:r>
        <w:t xml:space="preserve">El primero, la acrítica admisión de la práctica de las proposiciones de ley, las cuales, en principio, deberían entenderse como forma de iniciativa legislativa al servicio de las </w:t>
      </w:r>
      <w:r>
        <w:lastRenderedPageBreak/>
        <w:t>minorías parlamentarias y en ningún caso ser utilizadas para eludir consultas, informes o dictámenes que, en otro caso, serían preceptivos.</w:t>
      </w:r>
    </w:p>
    <w:p w14:paraId="19ECF0E6" w14:textId="77777777" w:rsidR="003754FE" w:rsidRDefault="003754FE" w:rsidP="003754FE">
      <w:pPr>
        <w:pStyle w:val="TextoNormal"/>
      </w:pPr>
    </w:p>
    <w:p w14:paraId="563D3AED" w14:textId="77777777" w:rsidR="003754FE" w:rsidRDefault="003754FE" w:rsidP="003754FE">
      <w:pPr>
        <w:pStyle w:val="TextoNormal"/>
      </w:pPr>
      <w:r>
        <w:t>Y el segundo, lo que atañe al empleo del procedimiento de urgencia, que comporta la radical reducción de los plazos de análisis, estudio y deliberación de una iniciativa legislativa, es decir, un examen compendiado y acelerado de esta. Formas y procedimientos son esenciales y aun lo son más cuando hablamos de las formas y procedimientos que conducen a la aprobación de una ley en cuanto esta es la expresión de la voluntad popular, como dice el preámbulo de la Constitución, una voluntad debidamente formada y regida por los principios deliberativo y de transparencia y publicidad. A dichas reflexiones cumple remitirse ahora, si bien en este caso hemos de advertir de las diferencias con la tramitación parlamentaria analizada en la STC 15/2024.</w:t>
      </w:r>
    </w:p>
    <w:p w14:paraId="5C607A3C" w14:textId="77777777" w:rsidR="003754FE" w:rsidRDefault="003754FE" w:rsidP="003754FE">
      <w:pPr>
        <w:pStyle w:val="TextoNormal"/>
      </w:pPr>
    </w:p>
    <w:p w14:paraId="2690FECA" w14:textId="77777777" w:rsidR="003754FE" w:rsidRDefault="003754FE" w:rsidP="003754FE">
      <w:pPr>
        <w:pStyle w:val="TextoNormal"/>
      </w:pPr>
      <w:r>
        <w:t>La primera, que la reforma de la Ley Orgánica del Poder Judicial objeto de la presente sentencia no tiene la misma entidad que la reforma realizada por la Ley Orgánica 4/2021. La reforma de la Ley Orgánica 8/2022 se limita, como hemos señalado, a recuperar una atribución del Consejo General del Poder Judicial que se prevé en el artículo 159.1 CE y de la que había sido privado indebidamente. El diferente alcance de la modificación determina que los derechos de la minoría no resulten afectados de la misma manera que cuando se realiza una reforma de tan profunda contravención constitucional como la que realizó la Ley Orgánica 4/2021, aún más grave en tanto que afectante al núcleo definidor del Estado de Derecho, identificado como la salvaguarda de la independencia judicial.</w:t>
      </w:r>
    </w:p>
    <w:p w14:paraId="3369C7E4" w14:textId="77777777" w:rsidR="003754FE" w:rsidRDefault="003754FE" w:rsidP="003754FE">
      <w:pPr>
        <w:pStyle w:val="TextoNormal"/>
      </w:pPr>
    </w:p>
    <w:p w14:paraId="022E37F6" w14:textId="77777777" w:rsidR="003754FE" w:rsidRDefault="003754FE" w:rsidP="003754FE">
      <w:pPr>
        <w:pStyle w:val="TextoNormal"/>
      </w:pPr>
      <w:r>
        <w:t>La segunda es que, en este caso, la mesa de la Cámara no es que no accediera a las solicitudes de informe y comparecencias pedidas por el Grupo Parlamentario Popular, sino que no dio respuesta alguna hasta el 8 de septiembre a las solicitudes formuladas el 7 de julio de 2022, sin justificar la dilación y sin motivación adicional de ningún tipo, limitándose a afirmar que no procedía pronunciamiento alguno por haber terminado el procedimiento legislativo. Podemos llegar a entender, aunque no necesariamente a compartir, que la ausencia de informes y comparecencias en este caso, dado el limitado alcance de la reforma, no afectó a la formación de la voluntad de la Cámara y, por tanto, no puede determinar la inconstitucionalidad de la Ley Orgánica 8/2022. Ahora bien, la actuación de la mesa del Congreso de los Diputados o, mejor dicho, su falta de actuación, evidencia, a todas luces, tanto un incumplimiento de las funciones de calificación, admisión a trámite y decisión de la tramitación de los escritos de índole parlamentaria que le corresponden conforme al artículo 31 RCD, como una evidente desatención y desconsideración hacia los derechos de la minoría parlamentaria.</w:t>
      </w:r>
    </w:p>
    <w:p w14:paraId="34FFB451" w14:textId="77777777" w:rsidR="003754FE" w:rsidRDefault="003754FE" w:rsidP="003754FE">
      <w:pPr>
        <w:pStyle w:val="TextoNormal"/>
      </w:pPr>
    </w:p>
    <w:p w14:paraId="188EB7B8" w14:textId="77777777" w:rsidR="003754FE" w:rsidRDefault="003754FE" w:rsidP="003754FE">
      <w:pPr>
        <w:pStyle w:val="TextoNormal"/>
      </w:pPr>
      <w:r>
        <w:t xml:space="preserve">3. </w:t>
      </w:r>
      <w:r w:rsidRPr="003754FE">
        <w:rPr>
          <w:i/>
        </w:rPr>
        <w:t>Sobre el indebido desapoderamiento de las funciones del Consejo General del Poder Judicial y el retroceso en la protección de la independencia judicial</w:t>
      </w:r>
    </w:p>
    <w:p w14:paraId="21F97072" w14:textId="77777777" w:rsidR="003754FE" w:rsidRDefault="003754FE" w:rsidP="003754FE">
      <w:pPr>
        <w:pStyle w:val="TextoNormal"/>
      </w:pPr>
    </w:p>
    <w:p w14:paraId="04F95A09" w14:textId="77777777" w:rsidR="003754FE" w:rsidRDefault="003754FE" w:rsidP="003754FE">
      <w:pPr>
        <w:pStyle w:val="TextoNormal"/>
      </w:pPr>
      <w:r>
        <w:t xml:space="preserve">La Constitución, tras proclamar en el preámbulo que es voluntad de la Nación española “[g]arantizar la convivencia democrática dentro de la Constitución y de las leyes”, dispone inmediatamente, en su art. 1.1 que España es un “Estado social y democrático de Derecho”. El principio democrático se erige, pues, en el eje vertebrador de la Constitución española, pues todas las instituciones que crea parten precisamente de ese principio. El imperio de la ley (Estado de Derecho) y la garantía de los derechos que exige una sociedad democrática avanzada (Estado social) solamente son realizables en el marco de un Estado democrático </w:t>
      </w:r>
      <w:r>
        <w:lastRenderedPageBreak/>
        <w:t xml:space="preserve">fundado en la institucionalidad, es decir, en instituciones que asumen funciones para las que fueron configuradas en la Constitución. Cuando se produce, como es el caso de las sentencias que han constituido esta serie, un indebido desapoderamiento de una institución central para la garantía de la independencia judicial, el principio de institucionalidad es sacrificado de tal manera que pone en peligro, como efectivamente ocurrió, el principio democrático. No cabe, en fin, en virtud de mayorías coyunturales, pervertir el principio de institucionalidad en razón de fines o intereses puramente circunstanciales. A lo que debe añadirse que una reforma que conlleve un retroceso en la protección de la independencia judicial no es tampoco compatible con la protección ni del Estado de Derecho ni de la independencia judicial (arts. 1 y 117.1 CE), compartiendo a tal efecto la aserción del Tribunal de Justicia de la Unión Europea con arreglo a la cual “los Estados miembros deben velar por evitar, en relación con este valor, cualquier regresión de su legislación en materia de organización de la administración de justicia, absteniéndose de adoptar medidas que puedan menoscabar la independencia judicial” (STJUE de 20 de abril de 2021, asunto C-896/19, </w:t>
      </w:r>
      <w:r w:rsidRPr="003754FE">
        <w:rPr>
          <w:i/>
        </w:rPr>
        <w:t>Repubblika c. Primer Ministro</w:t>
      </w:r>
      <w:r>
        <w:t>, § 64).</w:t>
      </w:r>
    </w:p>
    <w:p w14:paraId="2800D12F" w14:textId="77777777" w:rsidR="003754FE" w:rsidRDefault="003754FE" w:rsidP="003754FE">
      <w:pPr>
        <w:pStyle w:val="TextoNormal"/>
      </w:pPr>
    </w:p>
    <w:p w14:paraId="1A5504BB" w14:textId="77777777" w:rsidR="003754FE" w:rsidRDefault="003754FE" w:rsidP="003754FE">
      <w:pPr>
        <w:pStyle w:val="TextoNormal"/>
      </w:pPr>
      <w:r>
        <w:t>A este respecto, nuestra discrepancia fundamental con las SSTC 128/2023 y 15/2024 radicaba en que la Ley Orgánica 4/2021 había desvirtuado la naturaleza propia del Consejo General del Poder Judicial, que debe seguir desempeñando las funciones básicas que se le atribuyen en el art. 122 CE en relación con el funcionamiento del Poder Judicial, pues de lo contrario se frustraría durante un periodo determinado de tiempo, ya sea corto o ya sea largo, la función que le ha sido asignada por el constituyente, ejercer la salvaguarda de la independencia de dicho Poder del Estado.</w:t>
      </w:r>
    </w:p>
    <w:p w14:paraId="72E9519B" w14:textId="77777777" w:rsidR="003754FE" w:rsidRDefault="003754FE" w:rsidP="003754FE">
      <w:pPr>
        <w:pStyle w:val="TextoNormal"/>
      </w:pPr>
    </w:p>
    <w:p w14:paraId="78063C93" w14:textId="77777777" w:rsidR="003754FE" w:rsidRDefault="003754FE" w:rsidP="003754FE">
      <w:pPr>
        <w:pStyle w:val="TextoNormal"/>
      </w:pPr>
      <w:r>
        <w:t xml:space="preserve">Y ya advertíamos, en el voto particular formulado a la STC 128/2023, que las consecuencias de la citada Ley Orgánica 4/2021 habían sido reconocidas, en parte, por el propio legislador orgánico, cuando para asegurar la pronta renovación del Tribunal Constitucional había dictado la Ley Orgánica 8/2022, de 27 de julio, para restituirle al Consejo General del Poder Judicial “en funciones”, no todas las competencias de nombramiento que la Ley Orgánica allí recurrida le sustrajo, sino únicamente la de designar a dos magistrados de este tribunal (con reforma para ello del nuevo art. 570 </w:t>
      </w:r>
      <w:r w:rsidRPr="003754FE">
        <w:rPr>
          <w:i/>
        </w:rPr>
        <w:t>bis</w:t>
      </w:r>
      <w:r>
        <w:t xml:space="preserve"> LOPJ). Aunque en este supuesto de “devolución” de funciones no puede pasar desapercibido que la renovación parcial de este tribunal, que estaba pendiente en ese momento, correspondía al tercio compuesto por dos magistrados nombrados a propuesta del Gobierno y otros dos magistrados nombrados a propuesta del Consejo General del Poder Judicial (arts. 159.1 CE y 16.1 LOTC) por lo que era necesario que el Consejo designase los dos magistrados que le correspondían, simplemente, para que el Gobierno pudiera a su vez designar los dos suyos.</w:t>
      </w:r>
    </w:p>
    <w:p w14:paraId="460FE7EF" w14:textId="77777777" w:rsidR="003754FE" w:rsidRDefault="003754FE" w:rsidP="003754FE">
      <w:pPr>
        <w:pStyle w:val="TextoNormal"/>
      </w:pPr>
    </w:p>
    <w:p w14:paraId="4DB2D0F5" w14:textId="77777777" w:rsidR="003754FE" w:rsidRDefault="003754FE" w:rsidP="003754FE">
      <w:pPr>
        <w:pStyle w:val="TextoNormal"/>
      </w:pPr>
      <w:r>
        <w:t>4</w:t>
      </w:r>
      <w:r w:rsidRPr="003754FE">
        <w:rPr>
          <w:i/>
        </w:rPr>
        <w:t>. Conclusi</w:t>
      </w:r>
      <w:r>
        <w:t>ón</w:t>
      </w:r>
    </w:p>
    <w:p w14:paraId="0B13E0B3" w14:textId="77777777" w:rsidR="003754FE" w:rsidRDefault="003754FE" w:rsidP="003754FE">
      <w:pPr>
        <w:pStyle w:val="TextoNormal"/>
      </w:pPr>
    </w:p>
    <w:p w14:paraId="69D2110A" w14:textId="77777777" w:rsidR="003754FE" w:rsidRDefault="003754FE" w:rsidP="003754FE">
      <w:pPr>
        <w:pStyle w:val="TextoNormal"/>
      </w:pPr>
      <w:r>
        <w:t xml:space="preserve">Con ello se pone claramente de manifiesto el hecho de que el legislador ha considerado, y toda la mayoría de este tribunal admitido, que el Consejo General del Poder Judicial puede, sin merma alguna de los principios y valores constitucionales, ser privado de sus competencias o restituido en ellas en función de intereses meramente coyunturales, lo cual difícilmente se cohonesta con el debido respeto al principio de institucionalidad al que antes se ha aludido; habiendo comportado la reforma operada por Ley Orgánica 4/2021, una desnaturalización del órgano de gobierno del Poder Judicial cuando está “en funciones”, al privarle de las potestades esenciales atribuidas para el cumplimiento de su cometido constitucional, </w:t>
      </w:r>
      <w:r>
        <w:lastRenderedPageBreak/>
        <w:t>y por afectar a los principios de independencia judicial y separación de poderes, como señalamos en los votos particulares discrepantes que formulamos a las SSTC 128/2023, de 2 de octubre, y 15/2024, de 30 de enero, alcance del que carece la reforma objeto del este recurso, por lo que respecto a la misma compartimos el fallo pero no la fundamentación de la sentencia.</w:t>
      </w:r>
    </w:p>
    <w:p w14:paraId="70C4AB0D" w14:textId="77777777" w:rsidR="003754FE" w:rsidRDefault="003754FE" w:rsidP="003754FE">
      <w:pPr>
        <w:pStyle w:val="TextoNormal"/>
      </w:pPr>
    </w:p>
    <w:p w14:paraId="7739999A" w14:textId="77777777" w:rsidR="003754FE" w:rsidRDefault="003754FE" w:rsidP="003754FE">
      <w:pPr>
        <w:pStyle w:val="TextoNormal"/>
      </w:pPr>
      <w:r>
        <w:t>Y en este sentido emitimos nuestro voto particular.</w:t>
      </w:r>
    </w:p>
    <w:p w14:paraId="1BC40396" w14:textId="77777777" w:rsidR="003754FE" w:rsidRDefault="003754FE" w:rsidP="003754FE">
      <w:pPr>
        <w:pStyle w:val="TextoNormal"/>
      </w:pPr>
    </w:p>
    <w:p w14:paraId="1EF2547A" w14:textId="70B624E6" w:rsidR="003754FE" w:rsidRDefault="003754FE" w:rsidP="003754FE">
      <w:pPr>
        <w:pStyle w:val="TextoNormal"/>
      </w:pPr>
      <w:r>
        <w:t>Madrid, a seis de noviembre de dos mil veinticuatro.</w:t>
      </w:r>
    </w:p>
    <w:p w14:paraId="5A74A58D" w14:textId="77777777" w:rsidR="003754FE" w:rsidRDefault="003754FE" w:rsidP="003754FE">
      <w:pPr>
        <w:pStyle w:val="TextoNormal"/>
      </w:pPr>
    </w:p>
    <w:p w14:paraId="2E95F2A9" w14:textId="77777777" w:rsidR="003754FE" w:rsidRDefault="003754FE" w:rsidP="003754FE">
      <w:pPr>
        <w:pStyle w:val="TextoNormalNegritaCentrado"/>
        <w:keepNext/>
      </w:pPr>
      <w:r>
        <w:t>Voto particular discrepante que formula el magistrado don José María Macías Castaño a la sentencia dictada en el recurso de inconstitucionalidad núm. 6914-2022</w:t>
      </w:r>
    </w:p>
    <w:p w14:paraId="40A84CA1" w14:textId="1390A1A5" w:rsidR="003754FE" w:rsidRDefault="003754FE" w:rsidP="003754FE">
      <w:pPr>
        <w:pStyle w:val="TextoNormalNegritaCentrado"/>
        <w:keepNext/>
      </w:pPr>
    </w:p>
    <w:p w14:paraId="6FEDE2A6" w14:textId="77777777" w:rsidR="003754FE" w:rsidRDefault="003754FE" w:rsidP="003754FE">
      <w:pPr>
        <w:pStyle w:val="TextoNormal"/>
      </w:pPr>
      <w:r>
        <w:t xml:space="preserve">De conformidad con lo dispuesto en el art. 90.2 LOTC, y sin perjuicio del respeto al criterio asumido por la mayoría del Pleno, expreso mi disconformidad con el sentido de la sentencia a que se refiere este voto particular por las razones que seguidamente expongo, que debieron determinar, en primer lugar, el planteamiento de una cuestión prejudicial ante el Tribunal de Justicia de la Unión Europea y, en segundo lugar, y considerando la más que probable respuesta del Tribunal de Justicia de la Unión Europea a la vista de su jurisprudencia, la declaración de inconstitucionalidad de la Ley Orgánica 8/2022, de 27 de julio, de modificación de los artículos 570 </w:t>
      </w:r>
      <w:r w:rsidRPr="003754FE">
        <w:rPr>
          <w:i/>
        </w:rPr>
        <w:t>bis</w:t>
      </w:r>
      <w:r>
        <w:t xml:space="preserve"> y 599 de la Ley Orgánica 6/1985, de 1 de julio, del Poder Judicial (Ley Orgánica 8/2022).</w:t>
      </w:r>
    </w:p>
    <w:p w14:paraId="33480711" w14:textId="77777777" w:rsidR="003754FE" w:rsidRDefault="003754FE" w:rsidP="003754FE">
      <w:pPr>
        <w:pStyle w:val="TextoNormal"/>
      </w:pPr>
    </w:p>
    <w:p w14:paraId="5F76FB2C" w14:textId="77777777" w:rsidR="003754FE" w:rsidRDefault="003754FE" w:rsidP="003754FE">
      <w:pPr>
        <w:pStyle w:val="TextoNormal"/>
      </w:pPr>
      <w:r>
        <w:t>I</w:t>
      </w:r>
    </w:p>
    <w:p w14:paraId="65520999" w14:textId="77777777" w:rsidR="003754FE" w:rsidRDefault="003754FE" w:rsidP="003754FE">
      <w:pPr>
        <w:pStyle w:val="TextoNormal"/>
      </w:pPr>
    </w:p>
    <w:p w14:paraId="7D83E39E" w14:textId="77777777" w:rsidR="003754FE" w:rsidRDefault="003754FE" w:rsidP="003754FE">
      <w:pPr>
        <w:pStyle w:val="TextoNormal"/>
      </w:pPr>
      <w:r>
        <w:t>1. A mi juicio, la sentencia de la que discrepo incurre en contravención del Derecho de la Unión Europea, tanto en el plano procesal por incumplimiento del art. 267 del Tratado de funcionamiento de la Unión Europea (TFUE) y de la jurisprudencia del Tribunal de Justicia de la Unión Europea que lo ha interpretado en cuanto a la necesidad de plantear una cuestión prejudicial europea, como también materialmente por no haber reparado la que, a mi juicio, supone una grave y clara infracción, por parte de la Ley Orgánica 8/2022, de los arts. 2 y 19 del Tratado de la Unión Europea (TUE) y 47 de la Carta de derechos fundamentales de la Unión Europea (CDFUE), que mediatamente implica la lesión de los arts. 23 y 93 de la Constitución Española (CE).</w:t>
      </w:r>
    </w:p>
    <w:p w14:paraId="30D31F12" w14:textId="77777777" w:rsidR="003754FE" w:rsidRDefault="003754FE" w:rsidP="003754FE">
      <w:pPr>
        <w:pStyle w:val="TextoNormal"/>
      </w:pPr>
    </w:p>
    <w:p w14:paraId="61CF7AC3" w14:textId="77777777" w:rsidR="003754FE" w:rsidRDefault="003754FE" w:rsidP="003754FE">
      <w:pPr>
        <w:pStyle w:val="TextoNormal"/>
      </w:pPr>
      <w:r>
        <w:t>2. No es mi única discrepancia con la sentencia, que asume el criterio establecido en las anteriores SSTC 128/2023, de 2 de octubre, y 15/2024, de 30 de enero, que dieron por buena la reforma de la Ley Orgánica del Poder Judicial (LOPJ) operada por la Ley Orgánica 4/2021, de 29 de marzo, que privó al Consejo General del Poder Judicial (CGPJ), mientras se encontrase en funciones, de una parte sustancial de las competencias que le atribuyen los arts. 122 y 159.1 CE y, entre ellas, la relativa al nombramiento de dos magistrados del Tribunal Constitucional. Ello no obstante, el aspecto indicado en el anterior apartado va a ser el único que aborde en este voto particular en la medida en que entiendo que la gravedad de la infracción justifica evitar la dispersión argumental.</w:t>
      </w:r>
    </w:p>
    <w:p w14:paraId="3B8C4569" w14:textId="77777777" w:rsidR="003754FE" w:rsidRDefault="003754FE" w:rsidP="003754FE">
      <w:pPr>
        <w:pStyle w:val="TextoNormal"/>
      </w:pPr>
    </w:p>
    <w:p w14:paraId="623862F7" w14:textId="77777777" w:rsidR="003754FE" w:rsidRDefault="003754FE" w:rsidP="003754FE">
      <w:pPr>
        <w:pStyle w:val="TextoNormal"/>
      </w:pPr>
      <w:r>
        <w:lastRenderedPageBreak/>
        <w:t>3. Mi discrepancia con la sentencia no alcanza a la circunstancia de que, por vía de la Ley Orgánica 8/2022, el CGPJ haya recuperado la competencia para el nombramiento de magistrados del Tribunal Constitucional de la que nunca debió ser privado, sino a que se hayan reiterado los vicios de tramitación de una iniciativa legislativa que elude las exigencias de la cláusula de Estado de Derecho tal y como es interpretada por la jurisprudencia del Tribunal de Justicia de la Unión Europea en relación con el art. 2 TUE: España se comprometió a asumir el valor de Estado de Derecho tal y como es concebido en el art. 2 TUE y no es de recibo ni asumible que, para el Tribunal Constitucional, el Estado de Derecho sea una cosa para España en Europa (art. 2 TUE) y que sea algo diferente (y menor) dentro de sus fronteras (art. 1 CE). Sencillamente, el art. 2 TUE (y los arts. 19 TUE y 47 CDFUE) y el art. 1 CE (y los arts. 117 y 24 CE) no pueden implicar ni tener contenidos diferentes.</w:t>
      </w:r>
    </w:p>
    <w:p w14:paraId="3FFA8A38" w14:textId="77777777" w:rsidR="003754FE" w:rsidRDefault="003754FE" w:rsidP="003754FE">
      <w:pPr>
        <w:pStyle w:val="TextoNormal"/>
      </w:pPr>
    </w:p>
    <w:p w14:paraId="67D50EA0" w14:textId="77777777" w:rsidR="003754FE" w:rsidRDefault="003754FE" w:rsidP="003754FE">
      <w:pPr>
        <w:pStyle w:val="TextoNormal"/>
      </w:pPr>
      <w:r>
        <w:t>4. Por esa misma razón, entiendo que la declaración de inconstitucionalidad era perfectamente posible sin necesidad de afectar al nombramiento de los magistrados don César Tolosa y doña María Luisa Segoviano que se llevó a cabo en aplicación de la Ley Orgánica 8/2022. Como bien señalaron los magistrados discrepantes en su voto particular a la STC 128/2023, a la que se remiten los votos particulares de la posterior STC 15/2024, la reforma de la LOPJ llevada a cabo por la Ley Orgánica 4/2021 afectó “inevitablemente el funcionamiento de la administración de justicia, su independencia y, a la postre, el propio Estado de Derecho”. Bastante daño ocasionó a la causa del Estado de Derecho esa reforma sin que este tribunal lo reparara como para que ahora incrementara el estropicio extendiendo la nulidad de la Ley Orgánica 8/2022 a los nombramientos efectuados a su amparo. La jurisprudencia de este tribunal que ha interpretado los arts. 39 y 40 de la Ley Orgánica del Tribunal Constitucional (LOTC) ha confirmado su capacidad para modular el alcance de las declaraciones de inconstitucionalidad (1) e incluso no han faltado magistrados que, en sus votos particulares, han defendido la posibilidad de imponer al legislador mandatos y términos para modificar las leyes inconstitucionales manteniendo entre tanto sus efectos (2), algo que hubiera estado totalmente justificado en un caso como el presente que, al fin y al cabo, se refiere a una competencia (la de designar dos magistrados del Tribunal Constitucional) directamente atribuida al CGPJ por el art. 159.1 CE sin necesidad de intermediación (ni posibilidad de privación) por parte del legislador.</w:t>
      </w:r>
    </w:p>
    <w:p w14:paraId="34BBA0CC" w14:textId="77777777" w:rsidR="003754FE" w:rsidRDefault="003754FE" w:rsidP="003754FE">
      <w:pPr>
        <w:pStyle w:val="TextoNormal"/>
      </w:pPr>
    </w:p>
    <w:p w14:paraId="78CC5670" w14:textId="77777777" w:rsidR="003754FE" w:rsidRDefault="003754FE" w:rsidP="003754FE">
      <w:pPr>
        <w:pStyle w:val="TextoNormal"/>
      </w:pPr>
      <w:r>
        <w:t>5. Seguidamente procederé al análisis de las dos cuestiones en las que centraré el voto particular: la indebida omisión del planteamiento de una cuestión prejudicial ante el Tribunal de Justicia de la Unión Europea y el aspecto con el que se vincula esa cuestión, esto es, las infracciones en las que, a su vez, habría incurrido el legislador nacional en la tramitación de la proposición de ley que dio lugar a la Ley Orgánica 8/2022. El orden de examen, sin embargo, será el inverso para mejor comprensión de la conexión entre ambos aspectos: primero, por qué los arts. 23 y 93 CE exigen que el legislador sea respetuoso con el Derecho de la Unión Europea y en qué consiste el Derecho de la Unión Europea en el punto que interesa al presente voto particular; y, segundo, por qué en una controversia semejante el Tribunal Constitucional viene obligado a dirigirse al Tribunal de Justicia de la Unión Europea para delimitar las exigencias del Derecho de la Unión Europea en una materia que, guste o no, su jurisprudencia (con el valor de primacía que tiene) ha determinado que no resulta en absoluto ajena al ámbito de las competencias de la Unión Europea.</w:t>
      </w:r>
    </w:p>
    <w:p w14:paraId="3F7E607D" w14:textId="77777777" w:rsidR="003754FE" w:rsidRDefault="003754FE" w:rsidP="003754FE">
      <w:pPr>
        <w:pStyle w:val="TextoNormal"/>
      </w:pPr>
    </w:p>
    <w:p w14:paraId="6B9357C2" w14:textId="77777777" w:rsidR="003754FE" w:rsidRDefault="003754FE" w:rsidP="003754FE">
      <w:pPr>
        <w:pStyle w:val="TextoNormal"/>
      </w:pPr>
      <w:r>
        <w:t>II</w:t>
      </w:r>
    </w:p>
    <w:p w14:paraId="5C0EE019" w14:textId="77777777" w:rsidR="003754FE" w:rsidRDefault="003754FE" w:rsidP="003754FE">
      <w:pPr>
        <w:pStyle w:val="TextoNormal"/>
      </w:pPr>
    </w:p>
    <w:p w14:paraId="0471785F" w14:textId="77777777" w:rsidR="003754FE" w:rsidRDefault="003754FE" w:rsidP="003754FE">
      <w:pPr>
        <w:pStyle w:val="TextoNormal"/>
      </w:pPr>
      <w:r>
        <w:lastRenderedPageBreak/>
        <w:t xml:space="preserve">6. Para contextualizar mi discrepancia, debo partir de la realidad sobre la que opera la Ley Orgánica 8/2022: mediante la Ley Orgánica 4/2021 se privó al CGPJ, mientras se encontrase </w:t>
      </w:r>
      <w:r w:rsidRPr="003754FE">
        <w:rPr>
          <w:i/>
        </w:rPr>
        <w:t>en funciones</w:t>
      </w:r>
      <w:r>
        <w:t xml:space="preserve">, de parte de las competencias nucleares que le atribuyen los arts. 122 y 159.1 CE y, entre ellas, la relativa al nombramiento de los dos magistrados del Tribunal Constitucional a que se refiere el último de los preceptos mencionados. La tramitación y aprobación de la proposición de ley que culminaría con la Ley Orgánica 4/2021 se llevó a cabo de manera acelerada (por vía de </w:t>
      </w:r>
      <w:r w:rsidRPr="003754FE">
        <w:rPr>
          <w:i/>
        </w:rPr>
        <w:t>urgencia</w:t>
      </w:r>
      <w:r>
        <w:t xml:space="preserve"> y en </w:t>
      </w:r>
      <w:r w:rsidRPr="003754FE">
        <w:rPr>
          <w:i/>
        </w:rPr>
        <w:t>lectura única</w:t>
      </w:r>
      <w:r>
        <w:t>) y sin participación del CGPJ, de la Comisión de Venecia (3) y de los operadores y sectores afectados por la reforma.</w:t>
      </w:r>
    </w:p>
    <w:p w14:paraId="3E9D8127" w14:textId="77777777" w:rsidR="003754FE" w:rsidRDefault="003754FE" w:rsidP="003754FE">
      <w:pPr>
        <w:pStyle w:val="TextoNormal"/>
      </w:pPr>
    </w:p>
    <w:p w14:paraId="11A16671" w14:textId="77777777" w:rsidR="003754FE" w:rsidRDefault="003754FE" w:rsidP="003754FE">
      <w:pPr>
        <w:pStyle w:val="TextoNormal"/>
      </w:pPr>
      <w:r>
        <w:t>7. La modificación, sin embargo, también supuso que el Gobierno no pudiera nombrar los dos magistrados que, conforme al art. 159.1 CE, le corresponden junto con el CGPJ: al tener que realizarse la renovación de los miembros del Tribunal Constitucional por terceras partes (cuatro por el Congreso de los Diputados en el “primer turno”; cuatro por el Senado en “su turno” tres años después; y dos por el Gobierno y otros dos por el CGPJ en su “turno conjunto” otros tres años después), el Gobierno se vio privado de nombrar dos magistrados mientras no pudiese hacerlo el CGPJ. Esta circunstancia motivó que, escasos meses después de haber privado al CGPJ de esa competencia, se presentase una proposición de ley por el principal partido que daba apoyo parlamentario al Gobierno para que la recuperase.</w:t>
      </w:r>
    </w:p>
    <w:p w14:paraId="785655EA" w14:textId="77777777" w:rsidR="003754FE" w:rsidRDefault="003754FE" w:rsidP="003754FE">
      <w:pPr>
        <w:pStyle w:val="TextoNormal"/>
      </w:pPr>
    </w:p>
    <w:p w14:paraId="748ABFF6" w14:textId="77777777" w:rsidR="003754FE" w:rsidRDefault="003754FE" w:rsidP="003754FE">
      <w:pPr>
        <w:pStyle w:val="TextoNormal"/>
      </w:pPr>
      <w:r>
        <w:t xml:space="preserve">8. El Grupo Parlamentario Parlamentario Socialista en el Congreso de los Diputados presentó el 28 de junio de 2022 una proposición de ley de modificación del art. 570 </w:t>
      </w:r>
      <w:r w:rsidRPr="003754FE">
        <w:rPr>
          <w:i/>
        </w:rPr>
        <w:t>bis</w:t>
      </w:r>
      <w:r>
        <w:t xml:space="preserve"> LOPJ con el objetivo de que el CGPJ recuperase la competencia para nombrar dos magistrados del Tribunal Constitucional. Consta en el expediente remitido por las Cortes Generales que el Grupo Parlamentario Popular en el Congreso de los Diputados solicitó el 8 de julio de 2022, al amparo del art. 561.1.9 LOPJ, que se recabase informe del CGPJ, de la Comisión de Venecia y que se diese audiencia a los agentes del mundo de la justicia. La toma en consideración de la proposición de ley tuvo lugar el 13 de julio de 2022. El 21 de julio de 2022 tuvo entrada en el Congreso la remisión del acuerdo del CGPJ que contenía su petición de que se solicitara informe sobre la reforma. El 8 de septiembre de 2022, la mesa del Congreso comunicó al Grupo Parlamentario Popular la recepción de la solicitud del CGPJ y el no-pronunciamiento al respecto (“por estar ya aprobada la Ley Orgánica”). El 22 de septiembre de 2022, el Grupo Parlamentario Popular solicitó la reconsideración de dicha decisión por la mesa, que se denegó por acuerdo de la mesa del Congreso de 18 de octubre de 2022.</w:t>
      </w:r>
    </w:p>
    <w:p w14:paraId="54FB079C" w14:textId="77777777" w:rsidR="003754FE" w:rsidRDefault="003754FE" w:rsidP="003754FE">
      <w:pPr>
        <w:pStyle w:val="TextoNormal"/>
      </w:pPr>
    </w:p>
    <w:p w14:paraId="5F51ABDF" w14:textId="77777777" w:rsidR="003754FE" w:rsidRDefault="003754FE" w:rsidP="003754FE">
      <w:pPr>
        <w:pStyle w:val="TextoNormal"/>
      </w:pPr>
      <w:r>
        <w:t>9. Entre otros aspectos, el recurso de inconstitucionalidad presentado por los demandantes cuestiona la compatibilidad de la Ley Orgánica 8/2022 con el Derecho de la Unión Europea (arts. 2 y 19.1.2 TUE y art. 47 CDFUE) y, de manera mediata, con los arts. 93 y 23 CE, al tiempo que se solicita el planteamiento de una cuestión prejudicial para recabar la interpretación que debe hacerse del Derecho de la Unión Europea y, con ello, la compatibilidad de la Ley Orgánica 8/2022. En términos resumidos, en el recurso de inconstitucionalidad no solo se alega la exigibilidad de los informes y pareceres omitidos, sino que se pone también de manifiesto que la reforma continuada de la LOPJ evidencia la falta de independencia del CGPJ respecto del Gobierno y una consiguiente pérdida de imparcialidad de los magistrados del Tribunal Constitucional designados por aquel.</w:t>
      </w:r>
    </w:p>
    <w:p w14:paraId="11BA2521" w14:textId="77777777" w:rsidR="003754FE" w:rsidRDefault="003754FE" w:rsidP="003754FE">
      <w:pPr>
        <w:pStyle w:val="TextoNormal"/>
      </w:pPr>
    </w:p>
    <w:p w14:paraId="66614929" w14:textId="77777777" w:rsidR="003754FE" w:rsidRDefault="003754FE" w:rsidP="003754FE">
      <w:pPr>
        <w:pStyle w:val="TextoNormal"/>
      </w:pPr>
      <w:r>
        <w:lastRenderedPageBreak/>
        <w:t>10. El rechazo de esta alegación se contiene en el fundamento jurídico 4 f) de la sentencia, que se limita a remitirse a la cita realizada en el fundamento jurídico 3 c) de la STC 15/2024 de una serie de sentencias del Tribunal de Justicia de la Unión Europea cuyo sentido estimo que, ya en su momento, se presentaba de manera notoriamente desviada y que, en resumen, excluye que el contenido y análisis del Derecho de la Unión Europea sea relevante desde la perspectiva de la constitucionalidad de la norma impugnada.</w:t>
      </w:r>
    </w:p>
    <w:p w14:paraId="6F5271BC" w14:textId="77777777" w:rsidR="003754FE" w:rsidRDefault="003754FE" w:rsidP="003754FE">
      <w:pPr>
        <w:pStyle w:val="TextoNormal"/>
      </w:pPr>
    </w:p>
    <w:p w14:paraId="5E7409DF" w14:textId="77777777" w:rsidR="003754FE" w:rsidRDefault="003754FE" w:rsidP="003754FE">
      <w:pPr>
        <w:pStyle w:val="TextoNormal"/>
      </w:pPr>
      <w:r>
        <w:t>11. No es infrecuente que los Estados miembros de la Unión Europea, o al menos algunos, pretendan exceptuar ante el Tribunal de Justicia de la Unión Europea, como sucede con la sentencia de la que discrepo, el carácter de Derecho interno de las disposiciones de “orden constitucional”, sobre “órganos constitucionales”, de “justicia”, sobre “tribunales” o de “normas procesales internas”, entendiendo que se trata de una materia cuya competencia no se ha cedido en los Tratados Constitutivos. Pese a la insistencia de esos (algunos) Estados miembros, ese planteamiento no guarda relación con la jurisprudencia del Tribunal de Justicia de la Unión Europea establecida a partir de finales de la pasada década y, sobre todo, de la presente década de este siglo.</w:t>
      </w:r>
    </w:p>
    <w:p w14:paraId="64FF346A" w14:textId="77777777" w:rsidR="003754FE" w:rsidRDefault="003754FE" w:rsidP="003754FE">
      <w:pPr>
        <w:pStyle w:val="TextoNormal"/>
      </w:pPr>
    </w:p>
    <w:p w14:paraId="3F1DDA18" w14:textId="77777777" w:rsidR="003754FE" w:rsidRDefault="003754FE" w:rsidP="003754FE">
      <w:pPr>
        <w:pStyle w:val="TextoNormal"/>
      </w:pPr>
      <w:r>
        <w:t>12. Conforme a la jurisprudencia del Tribunal de Justicia de la Unión Europea que ha interpretado los Tratados Constitutivos (el TUE y la CDFUE), y si bien la organización constitucional o de la justicia pertenece al ámbito de autonomía de los Estados miembros, las cuestiones directamente relacionadas con la el Estado de Derecho, la separación de poderes y la independencia e imparcialidad de los magistrados (art. 19.1.2 TUE y art. 47 CDFUE) se insertan en la cláusula Estado de Derecho (art. 2 TUE), que constituye un “ámbito cubierto por el Derecho de la Unión Europea” en el que este tiene competencia (</w:t>
      </w:r>
      <w:r w:rsidRPr="003754FE">
        <w:rPr>
          <w:i/>
        </w:rPr>
        <w:t>ex</w:t>
      </w:r>
      <w:r>
        <w:t xml:space="preserve"> arts. 4 y 5 TUE) para imponer las obligaciones directas a los Estados miembros (4).</w:t>
      </w:r>
    </w:p>
    <w:p w14:paraId="20EB024B" w14:textId="77777777" w:rsidR="003754FE" w:rsidRDefault="003754FE" w:rsidP="003754FE">
      <w:pPr>
        <w:pStyle w:val="TextoNormal"/>
      </w:pPr>
    </w:p>
    <w:p w14:paraId="52EFB2B0" w14:textId="77777777" w:rsidR="003754FE" w:rsidRDefault="003754FE" w:rsidP="003754FE">
      <w:pPr>
        <w:pStyle w:val="TextoNormal"/>
      </w:pPr>
      <w:r>
        <w:t>13. El Estado de Derecho constituye una premisa de la Unión Europea y un elemento esencial de su Derecho, algo que se hace evidente en las sentencias del Tribunal de Justicia de la Unión Europea cuando se refieren a “la Unión como comunidad de Derecho”; o cuando afirman que “el mecanismo prejudicial exige jueces independientes, pues de lo contrario la interpretación uniforme del Derecho de la Unión Europea del art. 267 TFUE fracasaría”; y también cuando destaca que “la independencia de los tribunales nacionales constituye la base de la confianza mutua entre autoridades judiciales de los Estados miembros y de la efectividad de las resoluciones judiciales en la Unión Europea”(5).</w:t>
      </w:r>
    </w:p>
    <w:p w14:paraId="2FA7E202" w14:textId="77777777" w:rsidR="003754FE" w:rsidRDefault="003754FE" w:rsidP="003754FE">
      <w:pPr>
        <w:pStyle w:val="TextoNormal"/>
      </w:pPr>
    </w:p>
    <w:p w14:paraId="5A38D47D" w14:textId="77777777" w:rsidR="003754FE" w:rsidRDefault="003754FE" w:rsidP="003754FE">
      <w:pPr>
        <w:pStyle w:val="TextoNormal"/>
      </w:pPr>
      <w:r>
        <w:t xml:space="preserve">14. Y partiendo de esa premisa, la jurisprudencia del Tribunal de Justicia de la Unión Europea ha establecido que las reglas sobre el nombramiento de los jueces forman parte de la garantía de independencia e imparcialidad de los tribunales (art. 47 CDFUE), de forma que su designación </w:t>
      </w:r>
      <w:r w:rsidRPr="003754FE">
        <w:rPr>
          <w:i/>
        </w:rPr>
        <w:t>no debe suscitar dudas en el ánimo de los justiciables sobre su impermeabilidad ni sobre su neutralidad</w:t>
      </w:r>
      <w:r>
        <w:t xml:space="preserve"> (6). Y esas dudas no tienen precisamente escasa entidad, no solo para el Tribunal de Justicia de la Unión Europea, sino también para el Tribunal Europeo de Derechos Humanos, que ha considerado que las dudas sobre la independencia que recaen sobre el órgano encargado del proceso de designación de los magistrados de los altos tribunales se trasladan a los propios magistrados y a esos tribunales, convirtiendo en ilegítimas sus sentencias (7).</w:t>
      </w:r>
    </w:p>
    <w:p w14:paraId="1E682B8F" w14:textId="77777777" w:rsidR="003754FE" w:rsidRDefault="003754FE" w:rsidP="003754FE">
      <w:pPr>
        <w:pStyle w:val="TextoNormal"/>
      </w:pPr>
    </w:p>
    <w:p w14:paraId="39E56ABD" w14:textId="77777777" w:rsidR="003754FE" w:rsidRDefault="003754FE" w:rsidP="003754FE">
      <w:pPr>
        <w:pStyle w:val="TextoNormal"/>
      </w:pPr>
      <w:r>
        <w:t xml:space="preserve">15. Ello implica, por una parte, que las sentencias del Tribunal de Justicia de la Unión Europea en la materia de Estado de Derecho y administración de la justicia cuando declaran </w:t>
      </w:r>
      <w:r>
        <w:lastRenderedPageBreak/>
        <w:t>los requisitos de la independencia e imparcialidad aplicables a los jueces (también en sus procedimientos de designación y cese), cuando proclaman la separación de poderes y la no injerencia del Poder Ejecutivo ni del Legislativo en el Judicial, cuando exigen la necesidad de independencia del órgano de gobierno de los jueces (8) o incluso de los tribunales constitucionales (9), promulga cláusulas directamente vinculantes, sujetas al principio de primacía y de efecto directo del Derecho de la Unión Europea en estas materias, ya que responden al objetivo de preservar el Estado de Derecho, la separación de poderes y la democracia, garantías de independencia e imparcialidad que, como he señalado, la jurisprudencia del Tribunal de Justicia de la Unión Europea extiende a todos los tribunales constitucionales y a sus magistrados.</w:t>
      </w:r>
    </w:p>
    <w:p w14:paraId="7D5E946E" w14:textId="77777777" w:rsidR="003754FE" w:rsidRDefault="003754FE" w:rsidP="003754FE">
      <w:pPr>
        <w:pStyle w:val="TextoNormal"/>
      </w:pPr>
    </w:p>
    <w:p w14:paraId="616DED9C" w14:textId="77777777" w:rsidR="003754FE" w:rsidRDefault="003754FE" w:rsidP="003754FE">
      <w:pPr>
        <w:pStyle w:val="TextoNormal"/>
      </w:pPr>
      <w:r>
        <w:t xml:space="preserve">16. En consecuencia, no cabe sostener, como se hizo en el fundamento jurídico 3 c) de la STC 15/2024 y ahora se reitera por remisión en la sentencia de la que discrepo, que el Tribunal Constitucional, en el juicio de constitucionalidad, no pueda apreciar la disconformidad de la norma con el Derecho de la Unión Europea, ni que estas normas europeas sobre el Estado de Derecho y el Poder Judicial no constituyan Derecho primario y directamente vinculante para el Tribunal Constitucional (10). Menos aún cabe aceptar semejante posicionamiento sobre la fácil (e incorrecta) afirmación de que los textos que identifican las exigencias del Estado de Derecho constituyen tan solo un </w:t>
      </w:r>
      <w:r w:rsidRPr="003754FE">
        <w:rPr>
          <w:i/>
        </w:rPr>
        <w:t>soft law</w:t>
      </w:r>
      <w:r>
        <w:t xml:space="preserve"> que se agota en meros principios u orientaciones sobre organización de los consejos judiciales, entre los que la sentencia de la que discrepo, por remisión a la STC 15/2024, incluye las recomendaciones de la Comisión Europea (11) o los documentos aprobados en el ámbito del Consejo de Europa [Directorado de Asuntos Judiciales (12), Comisión de Venecia (13), Consejo Consultivo de Jueces Europeos (14), Comité de Ministros (15) o Red Europea de Consejos del Poder Judicial (16)], que consideran contraria a las exigencias del Estado de Derecho la tramitación acelerada y sin audiencia de los sectores interesados de leyes que afectan a la independencia judicial, y a los que no se quiere reconocer otro valor que el interpretativo que puede concedérseles al amparo del art. 10.2 CE. Como he afirmado en otro momento en el plano doctrinal y ahora reitero desde el jurisdiccional, lo que en su momento pudo ser </w:t>
      </w:r>
      <w:r w:rsidRPr="003754FE">
        <w:rPr>
          <w:i/>
        </w:rPr>
        <w:t>soft law</w:t>
      </w:r>
      <w:r>
        <w:t xml:space="preserve"> ha pasado a tener un valor mucho más cercano al </w:t>
      </w:r>
      <w:r w:rsidRPr="003754FE">
        <w:rPr>
          <w:i/>
        </w:rPr>
        <w:t>hard law</w:t>
      </w:r>
      <w:r>
        <w:t xml:space="preserve"> cuando la jurisprudencia del Tribunal de Justicia de la Unión Europea lo incorpora a su acervo como elemento de interpretación de los Tratados Constitutivos, cuyo cumplimiento es lo que realmente se pone en cuestión.</w:t>
      </w:r>
    </w:p>
    <w:p w14:paraId="53CB87A3" w14:textId="77777777" w:rsidR="003754FE" w:rsidRDefault="003754FE" w:rsidP="003754FE">
      <w:pPr>
        <w:pStyle w:val="TextoNormal"/>
      </w:pPr>
    </w:p>
    <w:p w14:paraId="079FA431" w14:textId="77777777" w:rsidR="003754FE" w:rsidRDefault="003754FE" w:rsidP="003754FE">
      <w:pPr>
        <w:pStyle w:val="TextoNormal"/>
      </w:pPr>
      <w:r>
        <w:t xml:space="preserve">17. En todo caso, y sin perjuicio de las referencias que puedan anclarse en los documentos citados en el anterior párrafo, las disposiciones de los Tratados Constitutivos y la CDFUE sobre el Tribunal de Justicia de la Unión Europea, el Estado de Derecho y el Poder Judicial son suficientemente concretas y de eficacia directa (art. 2, 19.1.2 TUE y art. 47 CDFUE) y han sido interpretadas categóricamente por la jurisprudencia del Tribunal de Justicia de la Unión Europea (arts. 267 y 280 TFUE). Ello determina, en aplicación del principio de primacía del Derecho de la Unión Europea, que deban considerarse normas constitucionales imperativas y vinculantes a cuya garantía vienen obligados tanto el legislador como el Gobierno, y también este Tribunal Constitucional (art. 93 CE), con el preciso sentido y contenido que les ha atribuido el Tribunal de Justicia de la Unión Europea. Si las sentencias del Tribunal de Justicia de la Unión Europea en materia de Estado de Derecho e independencia judicial citadas (relativas a Polonia, Hungría, Rumanía, Malta o Bulgaria) establecen que el proceso de nombramiento de los jueces (incluidos los magistrados del Tribunal Constitucional) forma parte de la independencia judicial inherente al Estado de </w:t>
      </w:r>
      <w:r>
        <w:lastRenderedPageBreak/>
        <w:t>Derecho de la Unión Europea, prohibiendo una intervención política desmesurada del Legislativo y del Ejecutivo en la configuración del Poder Judicial, exigiendo la emancipación de esos otros poderes en la designación de los miembros del Poder Judicial, y como corolario, en la propuesta de los magistrados por este escogidos, mediante un procedimiento y con un resultado refrendador de la independencia, ello es así por exigencia de los principios de primacía y efecto directo de los art. 2, 19.1.2 TUE y art. 47 CDFUE, vinculantes para todos los Estados miembros, sus instituciones y órganos, ya sean administrativos, judiciales o constitucionales.</w:t>
      </w:r>
    </w:p>
    <w:p w14:paraId="22333886" w14:textId="77777777" w:rsidR="003754FE" w:rsidRDefault="003754FE" w:rsidP="003754FE">
      <w:pPr>
        <w:pStyle w:val="TextoNormal"/>
      </w:pPr>
    </w:p>
    <w:p w14:paraId="2E8EAC55" w14:textId="77777777" w:rsidR="003754FE" w:rsidRDefault="003754FE" w:rsidP="003754FE">
      <w:pPr>
        <w:pStyle w:val="TextoNormal"/>
      </w:pPr>
      <w:r>
        <w:t>18. La conclusión a la que conducen los anteriores razonamientos es que la materia del Estado de Derecho e independencia judicial (ya sea del órgano de gobierno de los tribunales, de los tribunales ordinarios o del singular tribunal constitucional) ya no es para el legislador nacional meramente “facultativa”, “discrecional” o que cuente “con amplia libertad de configuración” ajena al Derecho de la Unión Europea, sino que ha pasado a ser una competencia propia de la Unión, necesaria para garantizar la “Unión como comunidad de Derecho” y la aplicación uniforme del Derecho de la Unión primario sobre la independencia del Poder Judicial y de los tribunales en todos los Estados miembros (art. 19.1.2 TUE y art. 47 CDFUE).</w:t>
      </w:r>
    </w:p>
    <w:p w14:paraId="73CD9023" w14:textId="77777777" w:rsidR="003754FE" w:rsidRDefault="003754FE" w:rsidP="003754FE">
      <w:pPr>
        <w:pStyle w:val="TextoNormal"/>
      </w:pPr>
    </w:p>
    <w:p w14:paraId="64618442" w14:textId="77777777" w:rsidR="003754FE" w:rsidRDefault="003754FE" w:rsidP="003754FE">
      <w:pPr>
        <w:pStyle w:val="TextoNormal"/>
      </w:pPr>
      <w:r>
        <w:t>19. El Derecho de la Unión Europea (y la jurisprudencia del Tribunal de Justicia de la Unión Europea) ya no tolera que un órgano de gobierno de los jueces se encuentre por debajo del estándar de protección de los arts. 2, 6, 19.1.2 TUE y art. 47 CDFUE, y menos aún que resulte mediatizado por otros poderes políticos, ni en su designación, ni en el ejercicio de sus competencias esenciales (entre las que se encuentran en España, los “nombramientos judiciales”, incluidos los de magistrados del Tribunal Constitucional), ni aun procedimentalmente, como sostiene la sentencia de la que discrepo en el fundamento jurídico 5 c) respecto de la “inocuidad” del plazo de tres meses exigido al CGPJ para designar magistrados del Tribunal Constitucional.</w:t>
      </w:r>
    </w:p>
    <w:p w14:paraId="1E1CA99E" w14:textId="77777777" w:rsidR="003754FE" w:rsidRDefault="003754FE" w:rsidP="003754FE">
      <w:pPr>
        <w:pStyle w:val="TextoNormal"/>
      </w:pPr>
    </w:p>
    <w:p w14:paraId="23506167" w14:textId="77777777" w:rsidR="003754FE" w:rsidRDefault="003754FE" w:rsidP="003754FE">
      <w:pPr>
        <w:pStyle w:val="TextoNormal"/>
      </w:pPr>
      <w:r>
        <w:t>20. Concluyo, por tanto, que el desconocimiento por el legislador en dos leyes orgánicas concomitantes, la Ley Orgánica 4/2021 y la Ley Orgánica 8/2022, de las competencias del CGPJ para, primero, limitarlas y, a continuación, ampliarlas, en interés del ejecutivo coelector, en cuyo interés se establecen también plazos hasta el momento desconocidos en la normativa precedente, evidencia una instrumentalización del CGPJ en la designación de los magistrados del Tribunal Constitucional que de manera inevitable suscita dudas legítimas en el ánimo de los justiciables sobre su impermeabilidad y sobre su neutralidad. Concluyo también que la tramitación parlamentaria acelerada que ha prescindido de la participación de los sectores implicados se ha producido de espaldas (cuando no en flagrante y buscado desconocimiento) de los estándares europeos de Estado de Derecho e independencia judicial, privando igualmente a los miembros del Parlamento, para el ejercicio correcto de su función, de la opinión de los actores de los sectores representativos a que se refieren esos estándares europeos de Estado de Derecho. Y concluyo también que con ello se ha afectado sustancialmente el Estado de Derecho (art. 2 TUE) y las obligaciones derivadas de nuestra adhesión a la Unión Europea (principio de primacía y de eficacia directa de la jurisprudencia del Tribunal de Justicia de la Unión Europea), lo que ha determinado la infracción mediata de los arts. 23 y 93 CE.</w:t>
      </w:r>
    </w:p>
    <w:p w14:paraId="129FA0B1" w14:textId="77777777" w:rsidR="003754FE" w:rsidRDefault="003754FE" w:rsidP="003754FE">
      <w:pPr>
        <w:pStyle w:val="TextoNormal"/>
      </w:pPr>
    </w:p>
    <w:p w14:paraId="274E8B2F" w14:textId="77777777" w:rsidR="003754FE" w:rsidRDefault="003754FE" w:rsidP="003754FE">
      <w:pPr>
        <w:pStyle w:val="TextoNormal"/>
      </w:pPr>
      <w:r>
        <w:t>III</w:t>
      </w:r>
    </w:p>
    <w:p w14:paraId="73525C43" w14:textId="77777777" w:rsidR="003754FE" w:rsidRDefault="003754FE" w:rsidP="003754FE">
      <w:pPr>
        <w:pStyle w:val="TextoNormal"/>
      </w:pPr>
    </w:p>
    <w:p w14:paraId="30D37C67" w14:textId="77777777" w:rsidR="003754FE" w:rsidRDefault="003754FE" w:rsidP="003754FE">
      <w:pPr>
        <w:pStyle w:val="TextoNormal"/>
      </w:pPr>
      <w:r>
        <w:t>21. La sentencia de la que discrepo ha descartado el planteamiento de cuestión prejudicial respecto de la compatibilidad con las cláusulas del Estado de Derecho e independencia judicial de la Ley Orgánica 8/2022, según se expresa literalmente en su fundamento jurídico 4 g), “por remisión a los argumentos de la citada STC 15/2024, FJ 3 c), no procede el planteamiento de cuestión prejudicial en los términos del artículo 267 del Tratado de funcionamiento de la Unión Europea”.</w:t>
      </w:r>
    </w:p>
    <w:p w14:paraId="1F4AEA83" w14:textId="77777777" w:rsidR="003754FE" w:rsidRDefault="003754FE" w:rsidP="003754FE">
      <w:pPr>
        <w:pStyle w:val="TextoNormal"/>
      </w:pPr>
    </w:p>
    <w:p w14:paraId="666C8D9F" w14:textId="77777777" w:rsidR="003754FE" w:rsidRDefault="003754FE" w:rsidP="003754FE">
      <w:pPr>
        <w:pStyle w:val="TextoNormal"/>
      </w:pPr>
      <w:r>
        <w:t xml:space="preserve">22. Esta remisión supone asumir el argumento proporcionado en el fundamento jurídico 3 de la STC 15/2024. Sin embargo, la lectura de ese fundamento jurídico evidencia que su razonamiento no se refiere a la improcedencia del planteamiento de una cuestión prejudicial al Tribunal de Justicia de la Unión Europea al respecto, sino que argumenta que la reforma de la legislación del Poder Judicial sin audiencia a los interesados no vulnera el art. 93 CE. La motivación </w:t>
      </w:r>
      <w:r w:rsidRPr="003754FE">
        <w:rPr>
          <w:i/>
        </w:rPr>
        <w:t>por remisión</w:t>
      </w:r>
      <w:r>
        <w:t xml:space="preserve"> se refiere, por tanto, a otra cuestión distinta de la solicitada en el planteamiento prejudicial ahora formulado por el recurrente.</w:t>
      </w:r>
    </w:p>
    <w:p w14:paraId="2EF0ABA8" w14:textId="77777777" w:rsidR="003754FE" w:rsidRDefault="003754FE" w:rsidP="003754FE">
      <w:pPr>
        <w:pStyle w:val="TextoNormal"/>
      </w:pPr>
    </w:p>
    <w:p w14:paraId="00F2D9B3" w14:textId="77777777" w:rsidR="003754FE" w:rsidRDefault="003754FE" w:rsidP="003754FE">
      <w:pPr>
        <w:pStyle w:val="TextoNormal"/>
      </w:pPr>
      <w:r>
        <w:t>23. Al respecto, en nuestra jurisprudencia mantenemos que la denegación del planteamiento de la cuestión prejudicial, cuando de ello se sigue que no se deje de aplicar una norma nacional, queda sujeta al canon general de la motivación del art. 24.1 CE, debiéndose excluir las negativas “irracionales, patentemente erróneas o arbitrarias” (17). Además, hemos reiterado que «c) […] “dejar de plantear la cuestión prejudicial y aplicar una ley nacional supuestamente contraria al Derecho de la Unión no vulnera el derecho a la tutela judicial efectiva si esa decisión es fruto de una exégesis racional de la legalidad ordinaria, pues solo estos parámetros tan elevados forman parte de los derechos consagrados en el art. 24 CE” […]; d) Asimismo, cumpliéndose con los requisitos de la doctrina del “acto aclarado”, también hemos dicho que “corresponde a este tribunal velar por el respeto del principio de primacía del Derecho de la Unión cuando exista una interpretación auténtica efectuada por el propio Tribunal de Justicia de la Unión Europea. En estos casos, el desconocimiento y preterición de esa norma de Derecho de la Unión, tal y como ha sido interpretada por el Tribunal de Justicia, puede suponer una ‘selección irrazonable y arbitraria de una norma aplicable al proceso’, lo cual puede dar lugar a una vulneración del derecho a la tutela judicial efectiva”»(18). Insistiendo en el respeto que me merece el parecer contrario, entiendo que la remisión de la sentencia de la que discrepo no satisface las exigencias de nuestra propia jurisprudencia al remitirse a un vacío argumentativo sobre el planteamiento de la cuestión prejudicial.</w:t>
      </w:r>
    </w:p>
    <w:p w14:paraId="4755291F" w14:textId="77777777" w:rsidR="003754FE" w:rsidRDefault="003754FE" w:rsidP="003754FE">
      <w:pPr>
        <w:pStyle w:val="TextoNormal"/>
      </w:pPr>
    </w:p>
    <w:p w14:paraId="7BB0BDAC" w14:textId="77777777" w:rsidR="003754FE" w:rsidRDefault="003754FE" w:rsidP="003754FE">
      <w:pPr>
        <w:pStyle w:val="TextoNormal"/>
      </w:pPr>
      <w:r>
        <w:t>24. Pero al margen de que considere que el canon que aplicamos a los órganos de la jurisdicción ordinaria no ha sido adecuadamente integrado por la sentencia de la que discrepo, entiendo que, más allá de nuestra propia doctrina, mi discrepancia es aún mayor cuando observo la jurisprudencia del Tribunal de Justicia de la Unión Europea en relación con el planteamiento (</w:t>
      </w:r>
      <w:r w:rsidRPr="003754FE">
        <w:rPr>
          <w:i/>
        </w:rPr>
        <w:t>rectius</w:t>
      </w:r>
      <w:r>
        <w:t>, no planteamiento) de cuestiones prejudiciales cuando se trata de tribunales contra cuyas sentencias no es posible plantear un ulterior recurso.</w:t>
      </w:r>
    </w:p>
    <w:p w14:paraId="561F6269" w14:textId="77777777" w:rsidR="003754FE" w:rsidRDefault="003754FE" w:rsidP="003754FE">
      <w:pPr>
        <w:pStyle w:val="TextoNormal"/>
      </w:pPr>
    </w:p>
    <w:p w14:paraId="4C12F1B2" w14:textId="77777777" w:rsidR="003754FE" w:rsidRDefault="003754FE" w:rsidP="003754FE">
      <w:pPr>
        <w:pStyle w:val="TextoNormal"/>
      </w:pPr>
      <w:r>
        <w:t xml:space="preserve">25. Desde esa perspectiva (Derecho de la Unión Europea y la doctrina del Tribunal de Justicia de la Unión Europea), la pertinencia, admisibilidad y obligatoriedad de las cuestiones prejudiciales planteadas por tribunales “cuyas decisiones no sean susceptibles de ulterior recurso judicial de Derecho interno” (art. 267.3 TFUE), la jurisprudencia del Tribunal de Justicia de la Unión Europea se asienta en la sentencia del Tribunal de Justicia de las </w:t>
      </w:r>
      <w:r>
        <w:lastRenderedPageBreak/>
        <w:t xml:space="preserve">Comunidades Europeas de 6 de octubre de 1982, asunto C-283/81, </w:t>
      </w:r>
      <w:r w:rsidRPr="003754FE">
        <w:rPr>
          <w:i/>
        </w:rPr>
        <w:t>Cilfit y otros</w:t>
      </w:r>
      <w:r>
        <w:t xml:space="preserve">: el planteamiento de la cuestión prejudicial en los supuestos de duda de interpretación del Derecho de la Unión Europea es obligatorio salvo que concurra una situación de </w:t>
      </w:r>
      <w:r w:rsidRPr="003754FE">
        <w:rPr>
          <w:i/>
        </w:rPr>
        <w:t>acto claro o aclarado</w:t>
      </w:r>
      <w:r>
        <w:t>, y ello sucede “cuando el planteamiento de la cuestión no sea pertinente para la solución del litigio; cuando la disposición de Derecho de la Unión haya sido ya objeto de interpretación por parte del Tribunal de Justicia de la Unión Europea; o cuando una interpretación correcta del Derecho de la Unión se imponga con tal evidencia, de manera que no deje lugar a ninguna duda razonable”, y tanto como para que el tribunal nacional llegue a la conclusión de que su misma interpretación sería la que seguirían todos los tribunales de los Estados miembros y el propio Tribunal de Justicia de la Unión Europea.</w:t>
      </w:r>
    </w:p>
    <w:p w14:paraId="5C208E0D" w14:textId="77777777" w:rsidR="003754FE" w:rsidRDefault="003754FE" w:rsidP="003754FE">
      <w:pPr>
        <w:pStyle w:val="TextoNormal"/>
      </w:pPr>
    </w:p>
    <w:p w14:paraId="1978B3E2" w14:textId="77777777" w:rsidR="003754FE" w:rsidRDefault="003754FE" w:rsidP="003754FE">
      <w:pPr>
        <w:pStyle w:val="TextoNormal"/>
      </w:pPr>
      <w:r>
        <w:t xml:space="preserve">26. Posteriormente, la STJUE de 6 de octubre de 2021, </w:t>
      </w:r>
      <w:r w:rsidRPr="003754FE">
        <w:rPr>
          <w:i/>
        </w:rPr>
        <w:t>Consorzio Italian Management e Catania Multiservizi</w:t>
      </w:r>
      <w:r>
        <w:t>, asunto C-561/19, ha insistido en que la dispensa de la obligación del planteamiento de la cuestión prejudicial para los tribunales (como el Tribunal Constitucional) cuyas sentencias no son susceptibles de recurso, cuando la justificación resida en tratarse de un “acto claro” porque el tribunal nacional está convencido de que su interpretación es “universal”, no consiste en una “convicción” puramente subjetiva, sino que ha de tener la base objetiva que se delimita en esa STJUE y en la anterior d</w:t>
      </w:r>
      <w:r w:rsidRPr="003754FE">
        <w:rPr>
          <w:i/>
        </w:rPr>
        <w:t>e Cilf</w:t>
      </w:r>
      <w:r>
        <w:t>it.</w:t>
      </w:r>
    </w:p>
    <w:p w14:paraId="0E794C31" w14:textId="77777777" w:rsidR="003754FE" w:rsidRDefault="003754FE" w:rsidP="003754FE">
      <w:pPr>
        <w:pStyle w:val="TextoNormal"/>
      </w:pPr>
    </w:p>
    <w:p w14:paraId="221FF48E" w14:textId="77777777" w:rsidR="003754FE" w:rsidRDefault="003754FE" w:rsidP="003754FE">
      <w:pPr>
        <w:pStyle w:val="TextoNormal"/>
      </w:pPr>
      <w:r>
        <w:t xml:space="preserve">27. El Tribunal de Justicia de la Unión Europea ha razonado en la sentencia </w:t>
      </w:r>
      <w:r w:rsidRPr="003754FE">
        <w:rPr>
          <w:i/>
        </w:rPr>
        <w:t>Consorzio Italian Management</w:t>
      </w:r>
      <w:r>
        <w:t xml:space="preserve"> que “para que la interpretación correcta del Derecho de la Unión se imponga con toda evidencia se exige que la ausencia de toda duda razonable deba ser evaluada en función de las características propias del Derecho de la Unión, las dificultades particulares que presenta su interpretación y el riesgo de divergencias jurisprudenciales en el seno de la Unión; razón por la que la jurisdicción nacional de última instancia debe estar convencida de que aquella evidencia se impondrá igualmente a otras jurisdicciones de última instancia de los Estados miembros y al Tribunal de Justicia de la Unión Europea. No obstante, el hecho de que se ponga en conocimiento de la jurisdicción nacional de última instancia la existencia de líneas jurisprudenciales divergentes en el seno de las jurisdicciones del Estado miembro o entre las jurisdicciones de distintos Estados miembros, sobre la interpretación de una disposición de Derecho de la Unión aplicable a su litigio con carácter principal, debe eliminar la inexistencia de una duda razonable sobre la interpretación correcta de la disposición. Las jurisdicciones nacionales de última instancia deben apreciar responsablemente, de manera independiente, y con toda la atención requerida, si se encuentran ante una de las tres situaciones del asunto </w:t>
      </w:r>
      <w:r w:rsidRPr="003754FE">
        <w:rPr>
          <w:i/>
        </w:rPr>
        <w:t>Cilfit</w:t>
      </w:r>
      <w:r>
        <w:t xml:space="preserve"> que les dispensan de plantear cuestión prejudicial interpretativa sobre un precepto de Derecho de la Unión aplicable ante ellas. Por el contrario, si la cuestión relativa a la interpretación del Derecho de la Unión no se encuentra en uno de los tres supuestos del asunto </w:t>
      </w:r>
      <w:r w:rsidRPr="003754FE">
        <w:rPr>
          <w:i/>
        </w:rPr>
        <w:t>Cilfit</w:t>
      </w:r>
      <w:r>
        <w:t>, el tribunal nacional de última instancia debe acudir al Tribunal de Justicia de la Unión Europea. El hecho de que dicha jurisdicción de última instancia haya ya planteado un reenvío prejudicial, en el marco del mismo asunto, sobre la interpretación del Derecho de la Unión, cuya respuesta sea necesaria para la solución del litigio, no dispensa de la obligación de planteamiento. No obstante lo anterior, el tribunal nacional de última instancia puede abstenerse de plantear una cuestión prejudicial al Tribunal de Justicia de la Unión Europea cuando en el asunto concurran causas de inadmisibilidad propias del procedimiento ante la misma, sin perjuicio de que las normas procesales nacionales aplicables al caso deban cumplir con los principios de equivalencia y efectividad”.</w:t>
      </w:r>
    </w:p>
    <w:p w14:paraId="721A4101" w14:textId="77777777" w:rsidR="003754FE" w:rsidRDefault="003754FE" w:rsidP="003754FE">
      <w:pPr>
        <w:pStyle w:val="TextoNormal"/>
      </w:pPr>
    </w:p>
    <w:p w14:paraId="7295509B" w14:textId="77777777" w:rsidR="003754FE" w:rsidRDefault="003754FE" w:rsidP="003754FE">
      <w:pPr>
        <w:pStyle w:val="TextoNormal"/>
      </w:pPr>
      <w:r>
        <w:lastRenderedPageBreak/>
        <w:t xml:space="preserve">28. Finalmente, en la reciente STJUE de 15 de octubre de 2024, </w:t>
      </w:r>
      <w:r w:rsidRPr="003754FE">
        <w:rPr>
          <w:i/>
        </w:rPr>
        <w:t>Kubera</w:t>
      </w:r>
      <w:r>
        <w:t xml:space="preserve">, asunto C‑144/23, § 52, se señala que “el principio de interpretación conforme del Derecho nacional con el Derecho de la Unión exige que los órganos jurisdiccionales nacionales modifiquen su jurisprudencia reiterada, si esta se basa en una interpretación del Derecho nacional incompatible con los objetivos del Derecho de la Unión. En consecuencia, corresponde al órgano jurisdiccional nacional apreciar si es posible interpretar la normativa nacional controvertida en el litigio principal de conformidad con las exigencias del art. 267 TFUE”; agregando en los § 64 y 65 que “la obligación establecida en el artículo 267 TFUE, párrafo tercero, se extiende cuando la cuestión jurídica suscitada sea importante para la seguridad jurídica, para la aplicación uniforme del Derecho o para el desarrollo de este. Cuando un órgano jurisdiccional supremo nacional decide denegar tal solicitud de cuestión prejudicial en virtud de una de las excepciones </w:t>
      </w:r>
      <w:r w:rsidRPr="003754FE">
        <w:rPr>
          <w:i/>
        </w:rPr>
        <w:t>Cilfit</w:t>
      </w:r>
      <w:r>
        <w:t>, dicha decisión debe respetar la exigencia de motivación del art. 47 CDFUE. Un órgano jurisdiccional nacional cuyas decisiones no sean susceptibles de ulterior recurso judicial de Derecho interno debe exponer, en la resolución por la que deniegue el planteamiento de cuestión prejudicial sobre la interpretación o la validez de una disposición del Derecho de la Unión, los motivos por los que no ha iniciado el procedimiento prejudicial, a saber, bien que dicha cuestión no es pertinente para la resolución del litigio, bien que la disposición del Derecho de la Unión de que se trata ya ha sido interpretada por el Tribunal de Justicia, bien que la interpretación correcta del Derecho de la Unión se impone con tal evidencia que no deja lugar a ninguna duda razonable”.</w:t>
      </w:r>
    </w:p>
    <w:p w14:paraId="3B84B183" w14:textId="77777777" w:rsidR="003754FE" w:rsidRDefault="003754FE" w:rsidP="003754FE">
      <w:pPr>
        <w:pStyle w:val="TextoNormal"/>
      </w:pPr>
    </w:p>
    <w:p w14:paraId="6585ED68" w14:textId="77777777" w:rsidR="003754FE" w:rsidRDefault="003754FE" w:rsidP="003754FE">
      <w:pPr>
        <w:pStyle w:val="TextoNormal"/>
      </w:pPr>
      <w:r>
        <w:t>29. La procedencia del planteamiento de una cuestión prejudicial requiere, por tanto y con arreglo a nuestra jurisprudencia, una respuesta motivada (real) por parte del Tribunal Constitucional; y, con arreglo a la jurisprudencia del Tribunal de Justicia de la Unión Europea, su rechazo exige que se suministre por el tribunal de ulterior instancia una motivación sobre su impertinencia, su redundancia o su evidente innecesariedad. Esa motivación no se contiene en absoluto en la sentencia de la que discrepo y no puedo dejar de señalar que la relevancia de esa omisión puede implicar también una infracción por parte del Tribunal Constitucional desde la perspectiva de las obligaciones que el Reino de España asumió con la firma de la Convención europea de derechos humanos (19).</w:t>
      </w:r>
    </w:p>
    <w:p w14:paraId="194C0852" w14:textId="77777777" w:rsidR="003754FE" w:rsidRDefault="003754FE" w:rsidP="003754FE">
      <w:pPr>
        <w:pStyle w:val="TextoNormal"/>
      </w:pPr>
    </w:p>
    <w:p w14:paraId="5EA47865" w14:textId="77777777" w:rsidR="003754FE" w:rsidRDefault="003754FE" w:rsidP="003754FE">
      <w:pPr>
        <w:pStyle w:val="TextoNormal"/>
      </w:pPr>
      <w:r>
        <w:t xml:space="preserve">30. Adicionalmente a lo anterior, y siendo reiterada la jurisprudencia del Tribunal de Justicia de la Unión Europea sobre la exigencia de independencia e imparcialidad de los tribunales (incluido el Tribunal Constitucional) y las garantías del procedimiento de nombramiento de los magistrados que los integran (tanto en la designación, como en el ejercicio), que se extienden al órgano de gobierno que los propone (arts. 159.1 y 165 CE), la reforma de la Ley Orgánica 8/2022 que modifica por enésima vez la LOPJ, nuevamente de manera acelerada y sin la intervención del CGPJ, para designación de los dos magistrados del Tribunal Constitucional a propuesta del CGPJ (junto con los designados por el Gobierno) imponiéndole hasta un plazo de duración del procedimiento, a mi entender, presenta una </w:t>
      </w:r>
      <w:r w:rsidRPr="003754FE">
        <w:rPr>
          <w:i/>
        </w:rPr>
        <w:t>fumus</w:t>
      </w:r>
      <w:r>
        <w:t xml:space="preserve"> nada despreciable de incompatibilidad con los arts. 2, 19.1.2 TUE y art. 47 CDFUE. Menos aún puedo aceptar que el criterio de la sentencia de la que discrepo “se impone con evidencia” cuando es reiteración del establecido en las anteriores SSTC 128/2023 y 15/2024, cuya fundamentación fue rechazada por cuatro de los once magistrados del Tribunal Constitucional existentes en aquel momento y que consideraron que la tramitación de la Ley Orgánica 4/2021, precedente de la ahora impugnada y tramitada de la misma manera, no era conforme con el Derecho de la Unión Europea.</w:t>
      </w:r>
    </w:p>
    <w:p w14:paraId="635C09D0" w14:textId="77777777" w:rsidR="003754FE" w:rsidRDefault="003754FE" w:rsidP="003754FE">
      <w:pPr>
        <w:pStyle w:val="TextoNormal"/>
      </w:pPr>
    </w:p>
    <w:p w14:paraId="6447BFA5" w14:textId="77777777" w:rsidR="003754FE" w:rsidRDefault="003754FE" w:rsidP="003754FE">
      <w:pPr>
        <w:pStyle w:val="TextoNormal"/>
      </w:pPr>
      <w:r>
        <w:lastRenderedPageBreak/>
        <w:t>31. Llegados a este punto, entiendo que no concurren las circunstancias que, con arreglo a la jurisprudencia del Tribunal de Justicia de la Unión Europea, eximen al Tribunal Constitucional de la obligación de plantear una cuestión prejudicial. Al contrario, mediante los argumentos esgrimidos en la deliberación y expuestos en este voto particular, creo haber explicitado la existencia de, cuando menos, dudas razonables y suficientes (cuando no, vehementes), no solo acerca de la falta de motivación de la denegación del planteamiento de la cuestión prejudicial, sino sobre su pertinencia, adecuación y necesidad para el Estado de Derecho en España, razón por la que, siendo el Tribunal Constitucional “órgano jurisdiccional nacional, cuyas decisiones no s[on] susceptibles de ulterior recurso judicial de Derecho interno” (art. 267.3 TFUE), el planteamiento de la cuestión prejudicial al Tribunal de Justicia de la Unión Europea resultaba imperativo.</w:t>
      </w:r>
    </w:p>
    <w:p w14:paraId="4675E938" w14:textId="77777777" w:rsidR="003754FE" w:rsidRDefault="003754FE" w:rsidP="003754FE">
      <w:pPr>
        <w:pStyle w:val="TextoNormal"/>
      </w:pPr>
    </w:p>
    <w:p w14:paraId="4D1A3075" w14:textId="77777777" w:rsidR="003754FE" w:rsidRDefault="003754FE" w:rsidP="003754FE">
      <w:pPr>
        <w:pStyle w:val="TextoNormal"/>
      </w:pPr>
    </w:p>
    <w:p w14:paraId="7EDAED26" w14:textId="77777777" w:rsidR="003754FE" w:rsidRDefault="003754FE" w:rsidP="003754FE">
      <w:pPr>
        <w:pStyle w:val="TextoNormal"/>
      </w:pPr>
      <w:r>
        <w:t>(1) Entre otras, y en materias muy diversas, las SSTC 195/1998, de 1 de octubre; 208/1999, de 11 de noviembre, o 13/2015, de 5 de febrero.</w:t>
      </w:r>
    </w:p>
    <w:p w14:paraId="462501BB" w14:textId="77777777" w:rsidR="003754FE" w:rsidRDefault="003754FE" w:rsidP="003754FE">
      <w:pPr>
        <w:pStyle w:val="TextoNormal"/>
      </w:pPr>
    </w:p>
    <w:p w14:paraId="2FF651F0" w14:textId="77777777" w:rsidR="003754FE" w:rsidRDefault="003754FE" w:rsidP="003754FE">
      <w:pPr>
        <w:pStyle w:val="TextoNormal"/>
      </w:pPr>
      <w:r>
        <w:t>(2) Voto particular de los magistrados doña María Luisa Balaguer Callejón y don Cándido Conde-Pumpido Tourón a la STC 182/2021, de 26 de octubre.</w:t>
      </w:r>
    </w:p>
    <w:p w14:paraId="28287093" w14:textId="77777777" w:rsidR="003754FE" w:rsidRDefault="003754FE" w:rsidP="003754FE">
      <w:pPr>
        <w:pStyle w:val="TextoNormal"/>
      </w:pPr>
    </w:p>
    <w:p w14:paraId="3AAD33D9" w14:textId="77777777" w:rsidR="003754FE" w:rsidRDefault="003754FE" w:rsidP="003754FE">
      <w:pPr>
        <w:pStyle w:val="TextoNormal"/>
      </w:pPr>
      <w:r>
        <w:t>(3) Comisión Europea para la Democracia por el Derecho, órgano consultivo del Consejo de Europa.</w:t>
      </w:r>
    </w:p>
    <w:p w14:paraId="337651F4" w14:textId="77777777" w:rsidR="003754FE" w:rsidRDefault="003754FE" w:rsidP="003754FE">
      <w:pPr>
        <w:pStyle w:val="TextoNormal"/>
      </w:pPr>
    </w:p>
    <w:p w14:paraId="03B99B8D" w14:textId="77777777" w:rsidR="003754FE" w:rsidRDefault="003754FE" w:rsidP="003754FE">
      <w:pPr>
        <w:pStyle w:val="TextoNormal"/>
      </w:pPr>
      <w:r>
        <w:t xml:space="preserve">(4) </w:t>
      </w:r>
      <w:r w:rsidRPr="003754FE">
        <w:rPr>
          <w:i/>
        </w:rPr>
        <w:t>Vid</w:t>
      </w:r>
      <w:r>
        <w:t xml:space="preserve">. SSTJUE de 24 de junio de 2019, asunto C-619/18, </w:t>
      </w:r>
      <w:r w:rsidRPr="003754FE">
        <w:rPr>
          <w:i/>
        </w:rPr>
        <w:t>Comisión c. Polonia</w:t>
      </w:r>
      <w:r>
        <w:t xml:space="preserve"> (independencia del Tribunal Supremo de Polonia), § 50-53; de 5 de noviembre de 2019, asunto C-192/18, </w:t>
      </w:r>
      <w:r w:rsidRPr="003754FE">
        <w:rPr>
          <w:i/>
        </w:rPr>
        <w:t>Comisión c. Polonia</w:t>
      </w:r>
      <w:r>
        <w:t xml:space="preserve"> (independencia de los tribunales ordinarios polacos), § 101 a 103; de 19 de noviembre de 2019, asunto C-585/18, </w:t>
      </w:r>
      <w:r w:rsidRPr="003754FE">
        <w:rPr>
          <w:i/>
        </w:rPr>
        <w:t>A.K., c. Krajowa Rada Sądownictwa</w:t>
      </w:r>
      <w:r>
        <w:t xml:space="preserve"> (independencia de la Sala Disciplinaria del Tribunal Supremo de Polonia), § 74, 75, 112 y 162; de 2 de marzo de 2021, asunto C-824/18, </w:t>
      </w:r>
      <w:r w:rsidRPr="003754FE">
        <w:rPr>
          <w:i/>
        </w:rPr>
        <w:t>A.B., y otros c. Krajowa Rada Sądownictwa y otros</w:t>
      </w:r>
      <w:r>
        <w:t xml:space="preserve"> (nombramiento de magistrados del Tribunal Supremo de Polonia), § 68 y 69; de 18 de mayo de 2021, asunto C-83/19, </w:t>
      </w:r>
      <w:r w:rsidRPr="003754FE">
        <w:rPr>
          <w:i/>
        </w:rPr>
        <w:t>Asociaţia “Forumul Judecătorilor din România” c. Inspecţia Judiciară</w:t>
      </w:r>
      <w:r>
        <w:t xml:space="preserve">, § 245; de 7 de septiembre de 2023, asunto C-216/21, </w:t>
      </w:r>
      <w:r w:rsidRPr="003754FE">
        <w:rPr>
          <w:i/>
        </w:rPr>
        <w:t>Asociația “Forumul Judecătorilor din România” e Y.N., c. Consiliul Superior al Magistraturii</w:t>
      </w:r>
      <w:r>
        <w:t xml:space="preserve">, § 43 a 45; de 21 de diciembre de 2021, asuntos acumulados C‑357/19, C‑379/19, C‑547/19, C‑811/19 y C‑840/19, </w:t>
      </w:r>
      <w:r w:rsidRPr="003754FE">
        <w:rPr>
          <w:i/>
        </w:rPr>
        <w:t>Euro Box Promotion y otros</w:t>
      </w:r>
      <w:r>
        <w:t xml:space="preserve">, § 217; de 5 de junio de 2023, asunto C-204/21, </w:t>
      </w:r>
      <w:r w:rsidRPr="003754FE">
        <w:rPr>
          <w:i/>
        </w:rPr>
        <w:t>Comisión c. Polonia</w:t>
      </w:r>
      <w:r>
        <w:t xml:space="preserve"> (independencia y vida privada de los jueces), § 74-80, y de 13 de julio de 2023, asuntos acumulados C‑615/20 y 671/20, </w:t>
      </w:r>
      <w:r w:rsidRPr="003754FE">
        <w:rPr>
          <w:i/>
        </w:rPr>
        <w:t>Y.P., y otros y M.M</w:t>
      </w:r>
      <w:r>
        <w:t>., § 40; y ATJUE de 7 de noviembre de 2022, asuntos acumulados C‑859/19, C‑926/19 y C‑929/19</w:t>
      </w:r>
      <w:r w:rsidRPr="003754FE">
        <w:rPr>
          <w:i/>
        </w:rPr>
        <w:t>, F.X., y otr</w:t>
      </w:r>
      <w:r>
        <w:t>os, § 108).</w:t>
      </w:r>
    </w:p>
    <w:p w14:paraId="16582D17" w14:textId="77777777" w:rsidR="003754FE" w:rsidRDefault="003754FE" w:rsidP="003754FE">
      <w:pPr>
        <w:pStyle w:val="TextoNormal"/>
      </w:pPr>
    </w:p>
    <w:p w14:paraId="3E2FFA95" w14:textId="77777777" w:rsidR="003754FE" w:rsidRDefault="003754FE" w:rsidP="003754FE">
      <w:pPr>
        <w:pStyle w:val="TextoNormal"/>
      </w:pPr>
      <w:r>
        <w:t xml:space="preserve">(5) SSTJUE 27 de febrero de 2018, asunto C‑64/16, </w:t>
      </w:r>
      <w:r w:rsidRPr="003754FE">
        <w:rPr>
          <w:i/>
        </w:rPr>
        <w:t>Associação Sindical dos Juízes Portugueses</w:t>
      </w:r>
      <w:r>
        <w:t xml:space="preserve">, § 31; de 24 de junio de 2019, asunto C-619/18, </w:t>
      </w:r>
      <w:r w:rsidRPr="003754FE">
        <w:rPr>
          <w:i/>
        </w:rPr>
        <w:t>Comisión c. Polonia</w:t>
      </w:r>
      <w:r>
        <w:t xml:space="preserve"> (independencia del Tribunal Supremo de Polonia), § 45 y 46; de 19 de noviembre de 2019, asunto C-585/18, </w:t>
      </w:r>
      <w:r w:rsidRPr="003754FE">
        <w:rPr>
          <w:i/>
        </w:rPr>
        <w:t>A.K., c. Krajowa Rada Sądownictwa</w:t>
      </w:r>
      <w:r>
        <w:t xml:space="preserve"> (independencia de la Sala Disciplinaria del Tribunal Supremo de Polonia), § 124; de 2 de marzo de 2021, asunto C-824/18, </w:t>
      </w:r>
      <w:r w:rsidRPr="003754FE">
        <w:rPr>
          <w:i/>
        </w:rPr>
        <w:t>A.B., y otros c. Krajowa Rada Sądownictwa y otros</w:t>
      </w:r>
      <w:r>
        <w:t xml:space="preserve"> (nombramiento de magistrados del Tribunal Supremo de Polonia), § 108, 116 y 118, y de 20 de abril de 2021, asunto C-896/19</w:t>
      </w:r>
      <w:r w:rsidRPr="003754FE">
        <w:rPr>
          <w:i/>
        </w:rPr>
        <w:t>, Repubblika c. Il-Prim Minist</w:t>
      </w:r>
      <w:r>
        <w:t>ru, § 62 y 65).</w:t>
      </w:r>
    </w:p>
    <w:p w14:paraId="7329F2AE" w14:textId="77777777" w:rsidR="003754FE" w:rsidRDefault="003754FE" w:rsidP="003754FE">
      <w:pPr>
        <w:pStyle w:val="TextoNormal"/>
      </w:pPr>
    </w:p>
    <w:p w14:paraId="4A5A3FE1" w14:textId="77777777" w:rsidR="003754FE" w:rsidRDefault="003754FE" w:rsidP="003754FE">
      <w:pPr>
        <w:pStyle w:val="TextoNormal"/>
      </w:pPr>
      <w:r>
        <w:lastRenderedPageBreak/>
        <w:t xml:space="preserve">(6) SSTJUE de 25 de julio de 2018, asunto C‑216/18, </w:t>
      </w:r>
      <w:r w:rsidRPr="003754FE">
        <w:rPr>
          <w:i/>
        </w:rPr>
        <w:t>L.M</w:t>
      </w:r>
      <w:r>
        <w:t xml:space="preserve">., § 66; de 5 de noviembre de 2019, asunto C-192/18, </w:t>
      </w:r>
      <w:r w:rsidRPr="003754FE">
        <w:rPr>
          <w:i/>
        </w:rPr>
        <w:t>Comisión c. Polonia</w:t>
      </w:r>
      <w:r>
        <w:t xml:space="preserve"> (independencia de los tribunales ordinarios polacos), § 111; de 19 de noviembre de 2019, asunto C-585/18, </w:t>
      </w:r>
      <w:r w:rsidRPr="003754FE">
        <w:rPr>
          <w:i/>
        </w:rPr>
        <w:t>A.K., c. Krajowa Rada Sądownictwa</w:t>
      </w:r>
      <w:r>
        <w:t xml:space="preserve"> (independencia de la Sala Disciplinaria del Tribunal Supremo de Polonia), § 123 y 134; de 2 de marzo de 2021, asunto C-824/18, </w:t>
      </w:r>
      <w:r w:rsidRPr="003754FE">
        <w:rPr>
          <w:i/>
        </w:rPr>
        <w:t>A.B., y otros c. Krajowa Rada Sądownictwa y otros</w:t>
      </w:r>
      <w:r>
        <w:t xml:space="preserve"> (nombramiento de magistrados del Tribunal Supremo de Polonia), § 117 y 123; de 7 de septiembre de 2023, asunto C-216/21, </w:t>
      </w:r>
      <w:r w:rsidRPr="003754FE">
        <w:rPr>
          <w:i/>
        </w:rPr>
        <w:t>Asociația Forumul Judecătorilor din România e Y.N., c. Consiliul Superior al Magistraturii</w:t>
      </w:r>
      <w:r>
        <w:t xml:space="preserve">, § 63, y de 16 de febrero de 2022, asuntos C-156/21, </w:t>
      </w:r>
      <w:r w:rsidRPr="003754FE">
        <w:rPr>
          <w:i/>
        </w:rPr>
        <w:t>Hungría c. Parlamento y Consejo</w:t>
      </w:r>
      <w:r>
        <w:t>, y C-157/21</w:t>
      </w:r>
      <w:r w:rsidRPr="003754FE">
        <w:rPr>
          <w:i/>
        </w:rPr>
        <w:t>, Polonia c. Parlamento y Conse</w:t>
      </w:r>
      <w:r>
        <w:t>jo, § 162).</w:t>
      </w:r>
    </w:p>
    <w:p w14:paraId="698D056F" w14:textId="77777777" w:rsidR="003754FE" w:rsidRDefault="003754FE" w:rsidP="003754FE">
      <w:pPr>
        <w:pStyle w:val="TextoNormal"/>
      </w:pPr>
    </w:p>
    <w:p w14:paraId="5D71AD6E" w14:textId="77777777" w:rsidR="003754FE" w:rsidRDefault="003754FE" w:rsidP="003754FE">
      <w:pPr>
        <w:pStyle w:val="TextoNormal"/>
      </w:pPr>
      <w:r>
        <w:t>(7) STEDH de 3 de febrero de 2022, asunt</w:t>
      </w:r>
      <w:r w:rsidRPr="003754FE">
        <w:rPr>
          <w:i/>
        </w:rPr>
        <w:t>o Advance Pharma sp. z o.o c. Polon</w:t>
      </w:r>
      <w:r>
        <w:t>ia, demanda num. 1469/20.</w:t>
      </w:r>
    </w:p>
    <w:p w14:paraId="2DB5FCC9" w14:textId="77777777" w:rsidR="003754FE" w:rsidRDefault="003754FE" w:rsidP="003754FE">
      <w:pPr>
        <w:pStyle w:val="TextoNormal"/>
      </w:pPr>
    </w:p>
    <w:p w14:paraId="18E9A05C" w14:textId="77777777" w:rsidR="003754FE" w:rsidRDefault="003754FE" w:rsidP="003754FE">
      <w:pPr>
        <w:pStyle w:val="TextoNormal"/>
      </w:pPr>
      <w:r>
        <w:t xml:space="preserve">(8) SSTJUE de 24 de junio de 2019, asunto C-619/18, </w:t>
      </w:r>
      <w:r w:rsidRPr="003754FE">
        <w:rPr>
          <w:i/>
        </w:rPr>
        <w:t>Comisión c. Polonia</w:t>
      </w:r>
      <w:r>
        <w:t xml:space="preserve"> (independencia del Tribunal Supremo de Polonia), § 115 y 116; de 19 de noviembre de 2019, asunto C-585/18, </w:t>
      </w:r>
      <w:r w:rsidRPr="003754FE">
        <w:rPr>
          <w:i/>
        </w:rPr>
        <w:t>A.K., c. Krajowa Rada Sądownictwa</w:t>
      </w:r>
      <w:r>
        <w:t xml:space="preserve"> (independencia de la Sala Disciplinaria del Tribunal Supremo de Polonia), § 137-140, 143 y 145; de 2 de marzo de 2021, asunto C-824/18, </w:t>
      </w:r>
      <w:r w:rsidRPr="003754FE">
        <w:rPr>
          <w:i/>
        </w:rPr>
        <w:t>A.B., y otros c. Krajowa Rada Sądownictwa y otros</w:t>
      </w:r>
      <w:r>
        <w:t xml:space="preserve"> (nombramiento de magistrados del Tribunal Supremo de Polonia), § 121 y 125 a 127, y de 15 de julio de 2021, asunto C-791/19</w:t>
      </w:r>
      <w:r w:rsidRPr="003754FE">
        <w:rPr>
          <w:i/>
        </w:rPr>
        <w:t>, Comisión c. Polon</w:t>
      </w:r>
      <w:r>
        <w:t>ia (régimen disciplinario de los jueces), § 103, 104, 108 y 110.</w:t>
      </w:r>
    </w:p>
    <w:p w14:paraId="4F5FD739" w14:textId="77777777" w:rsidR="003754FE" w:rsidRDefault="003754FE" w:rsidP="003754FE">
      <w:pPr>
        <w:pStyle w:val="TextoNormal"/>
      </w:pPr>
    </w:p>
    <w:p w14:paraId="6C811E13" w14:textId="77777777" w:rsidR="003754FE" w:rsidRDefault="003754FE" w:rsidP="003754FE">
      <w:pPr>
        <w:pStyle w:val="TextoNormal"/>
      </w:pPr>
      <w:r>
        <w:t>(9) Muy señaladamente, STJUE de 22 de febrero de 2022, asunto C-430/21</w:t>
      </w:r>
      <w:r w:rsidRPr="003754FE">
        <w:rPr>
          <w:i/>
        </w:rPr>
        <w:t>, R.</w:t>
      </w:r>
      <w:r>
        <w:t>S. (independencia del Tribunal Constitucional e identidad nacional), § 44.</w:t>
      </w:r>
    </w:p>
    <w:p w14:paraId="30BA5EB1" w14:textId="77777777" w:rsidR="003754FE" w:rsidRDefault="003754FE" w:rsidP="003754FE">
      <w:pPr>
        <w:pStyle w:val="TextoNormal"/>
      </w:pPr>
    </w:p>
    <w:p w14:paraId="4ADB95F3" w14:textId="77777777" w:rsidR="003754FE" w:rsidRDefault="003754FE" w:rsidP="003754FE">
      <w:pPr>
        <w:pStyle w:val="TextoNormal"/>
      </w:pPr>
      <w:r>
        <w:t>(10) STJUE de 24 de junio de 2023, asunto C‑107/23</w:t>
      </w:r>
      <w:r w:rsidRPr="003754FE">
        <w:rPr>
          <w:i/>
        </w:rPr>
        <w:t>, L</w:t>
      </w:r>
      <w:r>
        <w:t>in, § 128-129 y 133-134.</w:t>
      </w:r>
    </w:p>
    <w:p w14:paraId="5C102F34" w14:textId="77777777" w:rsidR="003754FE" w:rsidRDefault="003754FE" w:rsidP="003754FE">
      <w:pPr>
        <w:pStyle w:val="TextoNormal"/>
      </w:pPr>
    </w:p>
    <w:p w14:paraId="0AA164BE" w14:textId="77777777" w:rsidR="003754FE" w:rsidRDefault="003754FE" w:rsidP="003754FE">
      <w:pPr>
        <w:pStyle w:val="TextoNormal"/>
      </w:pPr>
      <w:r>
        <w:t>(11) Recomendación (UE) 2018/103, de la Comisión, de 20 de diciembre de 2017, complementaria a las Recomendaciones (UE) 2016/1374, (UE) 2017/146 y (UE) 2017/1520, también de la Comisión.</w:t>
      </w:r>
    </w:p>
    <w:p w14:paraId="2F9EB1E4" w14:textId="77777777" w:rsidR="003754FE" w:rsidRDefault="003754FE" w:rsidP="003754FE">
      <w:pPr>
        <w:pStyle w:val="TextoNormal"/>
      </w:pPr>
    </w:p>
    <w:p w14:paraId="0F69B232" w14:textId="77777777" w:rsidR="003754FE" w:rsidRDefault="003754FE" w:rsidP="003754FE">
      <w:pPr>
        <w:pStyle w:val="TextoNormal"/>
      </w:pPr>
      <w:r>
        <w:t>(12) Carta europea sobre el estatuto de los jueces, del 8 al 10 de julio de 1998.</w:t>
      </w:r>
    </w:p>
    <w:p w14:paraId="61BD6D86" w14:textId="77777777" w:rsidR="003754FE" w:rsidRDefault="003754FE" w:rsidP="003754FE">
      <w:pPr>
        <w:pStyle w:val="TextoNormal"/>
      </w:pPr>
    </w:p>
    <w:p w14:paraId="7A875AC6" w14:textId="77777777" w:rsidR="003754FE" w:rsidRDefault="003754FE" w:rsidP="003754FE">
      <w:pPr>
        <w:pStyle w:val="TextoNormal"/>
      </w:pPr>
      <w:r>
        <w:t>(13) Informes de 22 de junio de 2007, sobre nombramientos judiciales, aprobado en la sesión plenaria de 16 y 17 de marzo de 2007, CDL-AD(2007)028, y de 16 de marzo de 2010, sobre la independencia del sistema judicial, aprobado en la sesión plenaria de 12 y 13 de marzo de 2010, CDL-AD(2010)004.</w:t>
      </w:r>
    </w:p>
    <w:p w14:paraId="1525C372" w14:textId="77777777" w:rsidR="003754FE" w:rsidRDefault="003754FE" w:rsidP="003754FE">
      <w:pPr>
        <w:pStyle w:val="TextoNormal"/>
      </w:pPr>
    </w:p>
    <w:p w14:paraId="6B0E1CE1" w14:textId="77777777" w:rsidR="003754FE" w:rsidRDefault="003754FE" w:rsidP="003754FE">
      <w:pPr>
        <w:pStyle w:val="TextoNormal"/>
      </w:pPr>
      <w:r>
        <w:t>(14) Informe núm. 10(2007), sobre los Consejos de Justicia al servicio de la sociedad, de 23 de noviembre de 2007, y la Carta magna de los jueces, de 17 de noviembre de 2010.</w:t>
      </w:r>
    </w:p>
    <w:p w14:paraId="441C8871" w14:textId="77777777" w:rsidR="003754FE" w:rsidRDefault="003754FE" w:rsidP="003754FE">
      <w:pPr>
        <w:pStyle w:val="TextoNormal"/>
      </w:pPr>
    </w:p>
    <w:p w14:paraId="60CAABAA" w14:textId="77777777" w:rsidR="003754FE" w:rsidRDefault="003754FE" w:rsidP="003754FE">
      <w:pPr>
        <w:pStyle w:val="TextoNormal"/>
      </w:pPr>
      <w:r>
        <w:t>(15) Recomendación CM/Rec(2010)12, sobre jueces: independencia, eficiencia y responsabilidad.</w:t>
      </w:r>
    </w:p>
    <w:p w14:paraId="61CBCF2F" w14:textId="77777777" w:rsidR="003754FE" w:rsidRDefault="003754FE" w:rsidP="003754FE">
      <w:pPr>
        <w:pStyle w:val="TextoNormal"/>
      </w:pPr>
    </w:p>
    <w:p w14:paraId="192F294A" w14:textId="77777777" w:rsidR="003754FE" w:rsidRDefault="003754FE" w:rsidP="003754FE">
      <w:pPr>
        <w:pStyle w:val="TextoNormal"/>
      </w:pPr>
      <w:r>
        <w:t>(16) Entre otros muchos documentos, Declaración de París, del 7 al 9 de junio de 2017, sobre justicia resiliente.</w:t>
      </w:r>
    </w:p>
    <w:p w14:paraId="2BC48E8A" w14:textId="77777777" w:rsidR="003754FE" w:rsidRDefault="003754FE" w:rsidP="003754FE">
      <w:pPr>
        <w:pStyle w:val="TextoNormal"/>
      </w:pPr>
    </w:p>
    <w:p w14:paraId="0CBDC2D8" w14:textId="77777777" w:rsidR="003754FE" w:rsidRDefault="003754FE" w:rsidP="003754FE">
      <w:pPr>
        <w:pStyle w:val="TextoNormal"/>
      </w:pPr>
      <w:r>
        <w:lastRenderedPageBreak/>
        <w:t>(17) SSTC 27/2013, de 11 de febrero, FJ 6; 212/2014, de 18 de diciembre, FJ 3; 99/2015, de 25 de mayo, FJ 3; 232/2015, de 5 de noviembre, FJ 3; 22/2018, de 5 de marzo, FJ 3, o 37/2019, de 26 de marzo, FJ 4.</w:t>
      </w:r>
    </w:p>
    <w:p w14:paraId="05A90DEC" w14:textId="77777777" w:rsidR="003754FE" w:rsidRDefault="003754FE" w:rsidP="003754FE">
      <w:pPr>
        <w:pStyle w:val="TextoNormal"/>
      </w:pPr>
    </w:p>
    <w:p w14:paraId="10A4B3F5" w14:textId="77777777" w:rsidR="003754FE" w:rsidRDefault="003754FE" w:rsidP="003754FE">
      <w:pPr>
        <w:pStyle w:val="TextoNormal"/>
      </w:pPr>
      <w:r>
        <w:t>(18) STC 59/2019, de 6 de mayo, FJ 4.</w:t>
      </w:r>
    </w:p>
    <w:p w14:paraId="09576113" w14:textId="77777777" w:rsidR="003754FE" w:rsidRDefault="003754FE" w:rsidP="003754FE">
      <w:pPr>
        <w:pStyle w:val="TextoNormal"/>
      </w:pPr>
    </w:p>
    <w:p w14:paraId="46015D3F" w14:textId="77777777" w:rsidR="003754FE" w:rsidRDefault="003754FE" w:rsidP="003754FE">
      <w:pPr>
        <w:pStyle w:val="TextoNormal"/>
      </w:pPr>
      <w:r>
        <w:t xml:space="preserve">(19) En ese sentido resulta relevante la doctrina contenida en la STEDH de 20 de septiembre de 2011, asunto </w:t>
      </w:r>
      <w:r w:rsidRPr="003754FE">
        <w:rPr>
          <w:i/>
        </w:rPr>
        <w:t>Ullens de Schooten y Rezabek c. Bélgica</w:t>
      </w:r>
      <w:r>
        <w:t>. Concretamente, la sentencia afirma que aunque “[…] el Convenio no garantiza como tal un derecho a que un asunto sea remitido, con carácter prejudicial, por el órgano judicial interno ante otro órgano jurisdiccional, sea nacional o supra nacional […]” (§ 57).</w:t>
      </w:r>
    </w:p>
    <w:p w14:paraId="1BCDA5B2" w14:textId="77777777" w:rsidR="003754FE" w:rsidRDefault="003754FE" w:rsidP="003754FE">
      <w:pPr>
        <w:pStyle w:val="TextoNormal"/>
      </w:pPr>
    </w:p>
    <w:p w14:paraId="2D72A1EE" w14:textId="77777777" w:rsidR="003754FE" w:rsidRDefault="003754FE" w:rsidP="003754FE">
      <w:pPr>
        <w:pStyle w:val="TextoNormal"/>
      </w:pPr>
      <w:r>
        <w:t>“La materia no carece de vínculo con el artículo 6.1 del Convenio el cual, al establecer que ‘toda persona tiene derecho a que su causa sea […] oída […] por un […] tribunal establecido por la Ley’, remite también a la jurisdicción competente, en virtud de las normas aplicables, para conocer de las cuestiones de Derecho que se suscitan en un procedimiento. Este aspecto adquiere una relevancia particular en el contexto jurisdiccional de la Unión Europea. […]” (§ 58).</w:t>
      </w:r>
    </w:p>
    <w:p w14:paraId="1EC8F1AA" w14:textId="77777777" w:rsidR="003754FE" w:rsidRDefault="003754FE" w:rsidP="003754FE">
      <w:pPr>
        <w:pStyle w:val="TextoNormal"/>
      </w:pPr>
    </w:p>
    <w:p w14:paraId="678920F9" w14:textId="77777777" w:rsidR="003754FE" w:rsidRDefault="003754FE" w:rsidP="003754FE">
      <w:pPr>
        <w:pStyle w:val="TextoNormal"/>
      </w:pPr>
      <w:r>
        <w:t>“Cabe recordar acto seguido, que el Tribunal no excluye que cuando existe un mecanismo de remisión prejudicial, la denegación de remisión de un juez interno puede, en ciertas circunstancias, afectar a la equidad del procedimiento […] tanto si el órgano jurisdiccional competente para pronunciarse con carácter prejudicial es nacional […] o comunitario […]. Ocurre lo mismo cuando la decisión denegatoria es arbitraria, es decir, cuando se deniega si bien las normas aplicables no prevén una excepción al principio de remisión prejudicial o su regulación, o cuando se fundamenta en otros supuestos distintos a los previstos en tales normas y cuando no está debidamente motivado respecto a las mismas” (§ 59).</w:t>
      </w:r>
    </w:p>
    <w:p w14:paraId="5B695722" w14:textId="77777777" w:rsidR="003754FE" w:rsidRDefault="003754FE" w:rsidP="003754FE">
      <w:pPr>
        <w:pStyle w:val="TextoNormal"/>
      </w:pPr>
    </w:p>
    <w:p w14:paraId="37E151C4" w14:textId="77777777" w:rsidR="003754FE" w:rsidRDefault="003754FE" w:rsidP="003754FE">
      <w:pPr>
        <w:pStyle w:val="TextoNormal"/>
      </w:pPr>
      <w:r>
        <w:t>“Así, el artículo 6.1 impone a los tribunales internos la obligación de motivar, en virtud de la legislación aplicable, las decisiones por las que deniegan la remisión prejudicial, más aún si la legislación aplicable solo admite tal denegación con carácter excepcional” (§ 60).</w:t>
      </w:r>
    </w:p>
    <w:p w14:paraId="66E6D647" w14:textId="77777777" w:rsidR="003754FE" w:rsidRDefault="003754FE" w:rsidP="003754FE">
      <w:pPr>
        <w:pStyle w:val="TextoNormal"/>
      </w:pPr>
    </w:p>
    <w:p w14:paraId="592ADB0E" w14:textId="77777777" w:rsidR="003754FE" w:rsidRDefault="003754FE" w:rsidP="003754FE">
      <w:pPr>
        <w:pStyle w:val="TextoNormal"/>
      </w:pPr>
      <w:r>
        <w:t>“En consecuencia, cuando sobre esta base el Tribunal conoce de una alegación de violación del artículo 6.1, su tarea consiste en garantizar que la decisión denegatoria denunciada vaya acompañada de tales motivos. Así las cosas, si bien habrá de proceder con rigor a esta comprobación, no le corresponde conocer de los errores cometidos por los órganos jurisdiccionales internos en la interpretación o aplicación de la legislación aplicable” (§ 61).</w:t>
      </w:r>
    </w:p>
    <w:p w14:paraId="32D69329" w14:textId="77777777" w:rsidR="003754FE" w:rsidRDefault="003754FE" w:rsidP="003754FE">
      <w:pPr>
        <w:pStyle w:val="TextoNormal"/>
      </w:pPr>
    </w:p>
    <w:p w14:paraId="1C7A4248" w14:textId="77777777" w:rsidR="003754FE" w:rsidRDefault="003754FE" w:rsidP="003754FE">
      <w:pPr>
        <w:pStyle w:val="TextoNormal"/>
      </w:pPr>
      <w:r>
        <w:t xml:space="preserve">“En el marco específico del tercer párrafo del artículo 234 del Tratado constitutivo de la Comunidad Europea (es decir, el artículo 267 del Tratado de funcionamiento de la Unión Europea), ello significa que los órganos jurisdiccionales nacionales cuyas decisiones no son susceptibles de ulterior recurso judicial de Derecho interno que no sometan, con carácter prejudicial, una cuestión al Tribunal de Justicia sobre la interpretación del Derecho de la Unión Europea suscitada ante ellos, deberán motivar su decisión denegatoria en virtud de las excepciones previstas en la jurisprudencia del Tribunal de Justicia. Por tanto, según la referida sentencia </w:t>
      </w:r>
      <w:r w:rsidRPr="003754FE">
        <w:rPr>
          <w:i/>
        </w:rPr>
        <w:t>Cilfit</w:t>
      </w:r>
      <w:r>
        <w:t xml:space="preserve">, deberán indicar las razones por las que consideran que la cuestión no es pertinente, que la disposición de Derecho de la Unión Europea ya ha sido objeto de </w:t>
      </w:r>
      <w:r>
        <w:lastRenderedPageBreak/>
        <w:t>una interpretación del Tribunal de Justicia o que la correcta aplicación del Derecho comunitario se impone con tal evidencia que no deja lugar a duda razonable alguna” (§ 62).</w:t>
      </w:r>
    </w:p>
    <w:p w14:paraId="50DE5AE1" w14:textId="77777777" w:rsidR="003754FE" w:rsidRDefault="003754FE" w:rsidP="003754FE">
      <w:pPr>
        <w:pStyle w:val="TextoNormal"/>
      </w:pPr>
    </w:p>
    <w:p w14:paraId="4025A3BA" w14:textId="77777777" w:rsidR="003754FE" w:rsidRDefault="003754FE" w:rsidP="003754FE">
      <w:pPr>
        <w:pStyle w:val="TextoNormal"/>
      </w:pPr>
      <w:r>
        <w:t xml:space="preserve">En el mismo sentido cabe citar la decisión del Tribunal Europeo de Derechos Humanos de 10 de abril de 2012, asunto </w:t>
      </w:r>
      <w:r w:rsidRPr="003754FE">
        <w:rPr>
          <w:i/>
        </w:rPr>
        <w:t>Vergauwen y otros c. Bélgica</w:t>
      </w:r>
      <w:r>
        <w:t xml:space="preserve">, y las SSTEDH de 8 de abril de 2014, asunto </w:t>
      </w:r>
      <w:r w:rsidRPr="003754FE">
        <w:rPr>
          <w:i/>
        </w:rPr>
        <w:t>Dhahbi c. Italia</w:t>
      </w:r>
      <w:r>
        <w:t>, y, más recientemente, de 15 de diciembre de 2022, asunt</w:t>
      </w:r>
      <w:r w:rsidRPr="003754FE">
        <w:rPr>
          <w:i/>
        </w:rPr>
        <w:t>o Rutar y Rutar Marketing d.o.o., c. Esloven</w:t>
      </w:r>
      <w:r>
        <w:t>ia.</w:t>
      </w:r>
    </w:p>
    <w:p w14:paraId="46CEEE80" w14:textId="77777777" w:rsidR="003754FE" w:rsidRDefault="003754FE" w:rsidP="003754FE">
      <w:pPr>
        <w:pStyle w:val="TextoNormal"/>
      </w:pPr>
    </w:p>
    <w:p w14:paraId="5E0647CB" w14:textId="0BA07880" w:rsidR="003754FE" w:rsidRDefault="003754FE" w:rsidP="003754FE">
      <w:pPr>
        <w:pStyle w:val="TextoNormal"/>
      </w:pPr>
      <w:r>
        <w:t>Madrid, a seis de noviembre de dos mil veinticuatro.</w:t>
      </w:r>
    </w:p>
    <w:p w14:paraId="5092B6B6" w14:textId="27783B7C" w:rsidR="003754FE" w:rsidRDefault="003754FE">
      <w:pPr>
        <w:spacing w:after="160" w:line="278" w:lineRule="auto"/>
        <w:rPr>
          <w:rFonts w:ascii="Times New Roman" w:eastAsia="Times New Roman" w:hAnsi="Times New Roman" w:cs="Times New Roman"/>
          <w:sz w:val="24"/>
          <w:szCs w:val="24"/>
          <w:lang w:eastAsia="es-ES"/>
        </w:rPr>
      </w:pPr>
      <w:r>
        <w:br w:type="page"/>
      </w:r>
    </w:p>
    <w:p w14:paraId="2C0682B2" w14:textId="77777777" w:rsidR="003754FE" w:rsidRDefault="003754FE" w:rsidP="003754FE">
      <w:pPr>
        <w:pStyle w:val="TtuloResolucin"/>
      </w:pPr>
      <w:bookmarkStart w:id="49" w:name="SENTENCIA_2024_140"/>
      <w:r>
        <w:lastRenderedPageBreak/>
        <w:t>SENTENCIA 140/2024, de 6 de noviembre de 2024</w:t>
      </w:r>
    </w:p>
    <w:bookmarkEnd w:id="49"/>
    <w:p w14:paraId="3C66930B" w14:textId="77777777" w:rsidR="003754FE" w:rsidRDefault="003754FE" w:rsidP="003754FE">
      <w:pPr>
        <w:pStyle w:val="TtuloResolucin"/>
      </w:pPr>
      <w:r>
        <w:t>Pleno</w:t>
      </w:r>
    </w:p>
    <w:p w14:paraId="565FEB4A" w14:textId="77777777" w:rsidR="003754FE" w:rsidRDefault="003754FE" w:rsidP="003754FE">
      <w:pPr>
        <w:pStyle w:val="TtuloBOE"/>
      </w:pPr>
      <w:r>
        <w:t>(BOE núm. 294, de 6 de diciembre de 2024)</w:t>
      </w:r>
    </w:p>
    <w:p w14:paraId="5DDEF51B" w14:textId="77777777" w:rsidR="003754FE" w:rsidRDefault="003754FE" w:rsidP="003754FE">
      <w:pPr>
        <w:pStyle w:val="TextoNormalCentrado"/>
      </w:pPr>
      <w:r>
        <w:t>ECLI:ES:TC:2024:140</w:t>
      </w:r>
    </w:p>
    <w:p w14:paraId="7A1ABD6A" w14:textId="6EE18CAF" w:rsidR="003754FE" w:rsidRDefault="003754FE" w:rsidP="003754FE">
      <w:pPr>
        <w:pStyle w:val="TextoNormalCentrado"/>
      </w:pPr>
    </w:p>
    <w:p w14:paraId="4BD7B46A" w14:textId="77777777" w:rsidR="003754FE" w:rsidRDefault="003754FE" w:rsidP="003754FE">
      <w:pPr>
        <w:pStyle w:val="SntesisDescriptiva"/>
      </w:pPr>
      <w:r>
        <w:t>Cuestión de inconstitucionalidad 6694-2023. Planteada por la Sala de lo Social del Tribunal Superior de Justicia de Cataluña, en relación con el artículo 48, apartados 4, 5 y 6, del texto refundido de la Ley del estatuto de los trabajadores, aprobado por Real Decreto Legislativo 2/2015, de 23 de octubre, en conexión con el artículo 177 del texto refundido de la Ley general de la Seguridad Social, aprobado por el Real Decreto Legislativo 8/2015, de 30 de octubre.</w:t>
      </w:r>
    </w:p>
    <w:p w14:paraId="02F5AA7D" w14:textId="25BFD83F" w:rsidR="003754FE" w:rsidRDefault="003754FE" w:rsidP="003754FE">
      <w:pPr>
        <w:pStyle w:val="SntesisDescriptiva"/>
      </w:pPr>
    </w:p>
    <w:p w14:paraId="4E08885A" w14:textId="77777777" w:rsidR="003754FE" w:rsidRDefault="003754FE" w:rsidP="003754FE">
      <w:pPr>
        <w:pStyle w:val="SntesisAnaltica"/>
      </w:pPr>
      <w:r>
        <w:t>Principios de igualdad y no discriminación por razón de sexo y de protección de la familia y de los hijos; régimen de Seguridad Social: inconstitucionalidad de la regulación legal de los permisos por nacimiento y cuidado de menor que omite la posibilidad de que las madres biológicas de familias monoparentales, trabajadoras por cuenta ajena, puedan ampliar su permiso por nacimiento disfrutando del permiso que correspondería al otro progenitor, caso de existir. Votos particulares.</w:t>
      </w:r>
    </w:p>
    <w:p w14:paraId="0D126F13" w14:textId="7042CEE8" w:rsidR="003754FE" w:rsidRDefault="003754FE" w:rsidP="003754FE">
      <w:pPr>
        <w:pStyle w:val="SntesisAnaltica"/>
      </w:pPr>
    </w:p>
    <w:p w14:paraId="38430AD7" w14:textId="08946658" w:rsidR="003754FE" w:rsidRDefault="003754FE" w:rsidP="003754FE">
      <w:pPr>
        <w:pStyle w:val="Extracto"/>
      </w:pPr>
      <w:r>
        <w:t>1.</w:t>
      </w:r>
      <w:r>
        <w:tab/>
        <w:t>La finalidad primordial de la regulación del permiso y la correspondiente prestación económica de maternidad es la preservación de la salud de la madre trabajadora ante un hecho biológico singular; considerando que una reincorporación inmediata de la mujer a su puesto de trabajo tras el alumbramiento puede ser perjudicial para su completa recuperación, y haciendo compatible esa protección de la condición biológica y de la salud de la mujer trabajadora con la conservación de sus derechos profesionales (STC 75/2011) [FJ 4].</w:t>
      </w:r>
    </w:p>
    <w:p w14:paraId="32F4FDF9" w14:textId="77777777" w:rsidR="003754FE" w:rsidRDefault="003754FE" w:rsidP="003754FE">
      <w:pPr>
        <w:pStyle w:val="Extracto"/>
      </w:pPr>
    </w:p>
    <w:p w14:paraId="10809581" w14:textId="4486C46A" w:rsidR="003754FE" w:rsidRDefault="003754FE" w:rsidP="003754FE">
      <w:pPr>
        <w:pStyle w:val="Extracto"/>
      </w:pPr>
      <w:r>
        <w:t>2.</w:t>
      </w:r>
      <w:r>
        <w:tab/>
        <w:t>Tras la adopción de la Directiva (UE) 2019/1158 del Parlamento Europeo y del Consejo, relativa a la conciliación de la vida familiar y la vida profesional de los progenitores y los cuidadores, el legislador español contaba y sigue contando con un margen de decisión amplio a fin de regular los permisos por nacimiento y cuidado de menor que se atribuyen a los progenitores distintos de la madre biológica [FJ 4].</w:t>
      </w:r>
    </w:p>
    <w:p w14:paraId="4368FBD0" w14:textId="77777777" w:rsidR="003754FE" w:rsidRDefault="003754FE" w:rsidP="003754FE">
      <w:pPr>
        <w:pStyle w:val="Extracto"/>
      </w:pPr>
    </w:p>
    <w:p w14:paraId="341BCD02" w14:textId="6EB861A1" w:rsidR="003754FE" w:rsidRDefault="003754FE" w:rsidP="003754FE">
      <w:pPr>
        <w:pStyle w:val="Extracto"/>
      </w:pPr>
      <w:r>
        <w:t>3.</w:t>
      </w:r>
      <w:r>
        <w:tab/>
        <w:t>Si bien el legislador goza de amplia libertad para modular la acción protectora del sistema de seguridad social en atención a las circunstancias socioeconómicas concurrentes en cada momento y a la necesidad de administrar recursos económicos limitados para atender a un gran número de necesidades sociales, en el ejercicio de esa libertad está sometida al necesario respeto de los principios constitucionales y, por ende, a las exigencias del principio de igualdad y no discriminación (SSTC 61/2013 y 91/2019) [FJ 4].</w:t>
      </w:r>
    </w:p>
    <w:p w14:paraId="6660B115" w14:textId="77777777" w:rsidR="003754FE" w:rsidRDefault="003754FE" w:rsidP="003754FE">
      <w:pPr>
        <w:pStyle w:val="Extracto"/>
      </w:pPr>
    </w:p>
    <w:p w14:paraId="2631E8CF" w14:textId="2A602E49" w:rsidR="003754FE" w:rsidRDefault="003754FE" w:rsidP="003754FE">
      <w:pPr>
        <w:pStyle w:val="Extracto"/>
      </w:pPr>
      <w:r>
        <w:t>4.</w:t>
      </w:r>
      <w:r>
        <w:tab/>
        <w:t xml:space="preserve">En virtud del art. 14 CE en relación con el art. 39.1 CE, nuestra jurisprudencia no ha hecho depender la obligación de protección de la familia, que el art. 39.1 CE impone a los poderes públicos, del hecho de que esta tenga su origen en un matrimonio tradicional. Subrayando que son dignos de protección constitucional los matrimonios sin descendencia, las familias extramatrimoniales o monoparentales (STC 222/1992) y, sobre todo, los hijos protegidos por los art. 39.2 y 3 CE con </w:t>
      </w:r>
      <w:r>
        <w:lastRenderedPageBreak/>
        <w:t>independencia de su filiación y nacimiento dentro o fuera del matrimonio (STC 198/2012) [FJ 5].</w:t>
      </w:r>
    </w:p>
    <w:p w14:paraId="133266BC" w14:textId="77777777" w:rsidR="003754FE" w:rsidRDefault="003754FE" w:rsidP="003754FE">
      <w:pPr>
        <w:pStyle w:val="Extracto"/>
      </w:pPr>
    </w:p>
    <w:p w14:paraId="6FC36B25" w14:textId="0C56D4AD" w:rsidR="003754FE" w:rsidRDefault="003754FE" w:rsidP="003754FE">
      <w:pPr>
        <w:pStyle w:val="Extracto"/>
      </w:pPr>
      <w:r>
        <w:t>5.</w:t>
      </w:r>
      <w:r>
        <w:tab/>
        <w:t>La prohibición de discriminación por razón de nacimiento, que el art. 14 CE expresamente contempla, incluye el nacimiento en cualquier modelo de familia. No en vano esa prohibición persigue que el contexto que rodee el nacimiento, que nunca depende de la voluntad del nacido, sino de la voluntad o las circunstancias de sus progenitores o de cuestiones puramente aleatorias -por ejemplo, la fecha de nacimiento-, no determine un tratamiento diferenciado de la persona [FJ 5].</w:t>
      </w:r>
    </w:p>
    <w:p w14:paraId="2A66B7C4" w14:textId="77777777" w:rsidR="003754FE" w:rsidRDefault="003754FE" w:rsidP="003754FE">
      <w:pPr>
        <w:pStyle w:val="Extracto"/>
      </w:pPr>
    </w:p>
    <w:p w14:paraId="6451760C" w14:textId="42F01967" w:rsidR="003754FE" w:rsidRDefault="003754FE" w:rsidP="003754FE">
      <w:pPr>
        <w:pStyle w:val="Extracto"/>
      </w:pPr>
      <w:r>
        <w:t>6.</w:t>
      </w:r>
      <w:r>
        <w:tab/>
        <w:t xml:space="preserve">El TEDH ha interpretado la prohibición de discriminación por razón de nacimiento a la que se refiere expresamente tanto el art. 14 del CEDH como el art. 1 del Protocolo núm. 12, en el sentido de incluir no solo diferencias de trato por razón de la modalidad de filiación (SSTEDH de 13 de junio de 1979, asunto </w:t>
      </w:r>
      <w:r w:rsidRPr="003754FE">
        <w:rPr>
          <w:i/>
        </w:rPr>
        <w:t>Marckx c. Bélgica</w:t>
      </w:r>
      <w:r>
        <w:t xml:space="preserve">, y de 7 de febrero de 2013, asunto </w:t>
      </w:r>
      <w:r w:rsidRPr="003754FE">
        <w:rPr>
          <w:i/>
        </w:rPr>
        <w:t>Fabris c. Francia</w:t>
      </w:r>
      <w:r>
        <w:t xml:space="preserve">); sino también otras diferencias de trato relacionadas con las circunstancias que rodearon el nacimiento, como por ejemplo, la fecha en que este se produjo (STEDH de 13 de octubre de 2022, asunto </w:t>
      </w:r>
      <w:r w:rsidRPr="003754FE">
        <w:rPr>
          <w:i/>
        </w:rPr>
        <w:t>Zeggai c. Francia</w:t>
      </w:r>
      <w:r>
        <w:t>); lo que abona un entendimiento amplio de la discriminación por razón de nacimiento, en línea con la interpretación del art. 14 CE [FJ 5].</w:t>
      </w:r>
    </w:p>
    <w:p w14:paraId="205F6DD0" w14:textId="77777777" w:rsidR="003754FE" w:rsidRDefault="003754FE" w:rsidP="003754FE">
      <w:pPr>
        <w:pStyle w:val="Extracto"/>
      </w:pPr>
    </w:p>
    <w:p w14:paraId="31552896" w14:textId="7B7B2D37" w:rsidR="003754FE" w:rsidRDefault="003754FE" w:rsidP="003754FE">
      <w:pPr>
        <w:pStyle w:val="Extracto"/>
      </w:pPr>
      <w:r>
        <w:t>7.</w:t>
      </w:r>
      <w:r>
        <w:tab/>
        <w:t>Ante el hecho de que la norma no prevea la posibilidad de la extensión del permiso laboral por el período que hubiera correspondido al otro progenitor, en caso de existir, y el impacto que esa omisión tiene en los niños y niñas nacidos en familias monoparentales, la justificación de esa omisión no puede hallarse en la voluntad del legislador de fomentar la corresponsabilidad en el cuidado de los hijos -indiscutible desde el punto de vista del art. 39.3 CE-, en tanto en las familias monoparentales la corresponsabilidad no es sino una quimera, al no existir un segundo progenitor con el que poder compartir las tareas de cuidado y atención [FJ 6].</w:t>
      </w:r>
    </w:p>
    <w:p w14:paraId="0E7EC861" w14:textId="77777777" w:rsidR="003754FE" w:rsidRDefault="003754FE" w:rsidP="003754FE">
      <w:pPr>
        <w:pStyle w:val="Extracto"/>
      </w:pPr>
    </w:p>
    <w:p w14:paraId="31B23775" w14:textId="37DB2AF9" w:rsidR="003754FE" w:rsidRDefault="003754FE" w:rsidP="003754FE">
      <w:pPr>
        <w:pStyle w:val="Extracto"/>
      </w:pPr>
      <w:r>
        <w:t>8.</w:t>
      </w:r>
      <w:r>
        <w:tab/>
        <w:t xml:space="preserve">La falta de previsión legal de la posibilidad de que las madres biológicas de familias monoparentales, trabajadoras por cuenta ajena, puedan ampliar su permiso por nacimiento y cuidado, ampliación que sí se reconocería al otro progenitor, en caso de existir, genera </w:t>
      </w:r>
      <w:r w:rsidRPr="003754FE">
        <w:rPr>
          <w:i/>
        </w:rPr>
        <w:t xml:space="preserve">ex silentio </w:t>
      </w:r>
      <w:r>
        <w:t>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6BAF47C8" w14:textId="77777777" w:rsidR="003754FE" w:rsidRDefault="003754FE" w:rsidP="003754FE">
      <w:pPr>
        <w:pStyle w:val="Extracto"/>
      </w:pPr>
    </w:p>
    <w:p w14:paraId="45CC35E1" w14:textId="77777777" w:rsidR="003754FE" w:rsidRDefault="003754FE" w:rsidP="003754FE">
      <w:pPr>
        <w:pStyle w:val="Extracto"/>
      </w:pPr>
    </w:p>
    <w:p w14:paraId="32E9124E"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7ED0F788" w14:textId="0A59D265" w:rsidR="003754FE" w:rsidRDefault="003754FE" w:rsidP="003754FE">
      <w:pPr>
        <w:pStyle w:val="TextoNormal"/>
      </w:pPr>
    </w:p>
    <w:p w14:paraId="17123FDF" w14:textId="77777777" w:rsidR="003754FE" w:rsidRDefault="003754FE" w:rsidP="003754FE">
      <w:pPr>
        <w:pStyle w:val="TextoNormalCentrado"/>
        <w:keepNext/>
      </w:pPr>
      <w:r>
        <w:lastRenderedPageBreak/>
        <w:t>EN NOMBRE DEL REY</w:t>
      </w:r>
    </w:p>
    <w:p w14:paraId="553D3B8A" w14:textId="2921F720" w:rsidR="003754FE" w:rsidRDefault="003754FE" w:rsidP="003754FE">
      <w:pPr>
        <w:pStyle w:val="TextoNormalCentrado"/>
        <w:keepNext/>
      </w:pPr>
    </w:p>
    <w:p w14:paraId="6E9D36DE" w14:textId="77777777" w:rsidR="003754FE" w:rsidRDefault="003754FE" w:rsidP="003754FE">
      <w:pPr>
        <w:pStyle w:val="TextoNormalCentrado"/>
        <w:keepNext/>
      </w:pPr>
    </w:p>
    <w:p w14:paraId="05261474" w14:textId="77777777" w:rsidR="003754FE" w:rsidRDefault="003754FE" w:rsidP="003754FE">
      <w:pPr>
        <w:pStyle w:val="TextoNormal"/>
      </w:pPr>
      <w:r>
        <w:t>la siguiente</w:t>
      </w:r>
    </w:p>
    <w:p w14:paraId="16D60A92" w14:textId="2C604AE6" w:rsidR="003754FE" w:rsidRDefault="003754FE" w:rsidP="003754FE">
      <w:pPr>
        <w:pStyle w:val="TextoNormal"/>
      </w:pPr>
    </w:p>
    <w:p w14:paraId="43958735" w14:textId="77777777" w:rsidR="003754FE" w:rsidRDefault="003754FE" w:rsidP="003754FE">
      <w:pPr>
        <w:pStyle w:val="TextoNormalCentrado"/>
        <w:keepNext/>
      </w:pPr>
      <w:r>
        <w:t>SENTENCIA</w:t>
      </w:r>
    </w:p>
    <w:p w14:paraId="18D673D6" w14:textId="7626A504" w:rsidR="003754FE" w:rsidRDefault="003754FE" w:rsidP="003754FE">
      <w:pPr>
        <w:pStyle w:val="TextoNormalCentrado"/>
        <w:keepNext/>
      </w:pPr>
    </w:p>
    <w:p w14:paraId="1973BAB6" w14:textId="77777777" w:rsidR="003754FE" w:rsidRDefault="003754FE" w:rsidP="003754FE">
      <w:pPr>
        <w:pStyle w:val="TextoNormal"/>
      </w:pPr>
      <w:r>
        <w:t>En la cuestión de inconstitucionalidad núm. 6694-2023, promovida por la Sala de lo Social del Tribunal Superior de Justicia de Cataluña, en relación con el artículo 48, apartados 4, 5 y 6, del texto refundido de la Ley del estatuto de los trabajadores, aprobado por Real Decreto Legislativo 2/2015, de 23 de octubre, en conexión con el artículo 177 del texto refundido de la Ley general de la Seguridad Social, aprobado por el Real Decreto Legislativo 8/2015, de 30 de octubre. Han comparecido y formulado alegaciones el Gobierno, el fiscal general del Estado y el Instituto Nacional de la Seguridad Social. Ha sido ponente la magistrada doña María Luisa Segoviano Astaburuaga.</w:t>
      </w:r>
    </w:p>
    <w:p w14:paraId="3399B716" w14:textId="21CEE6AA" w:rsidR="003754FE" w:rsidRDefault="003754FE" w:rsidP="003754FE">
      <w:pPr>
        <w:pStyle w:val="TextoNormal"/>
      </w:pPr>
    </w:p>
    <w:p w14:paraId="68DBD019" w14:textId="77777777" w:rsidR="003754FE" w:rsidRDefault="003754FE" w:rsidP="003754FE">
      <w:pPr>
        <w:pStyle w:val="TextoNormalNegritaCentrado"/>
        <w:keepNext/>
      </w:pPr>
      <w:r>
        <w:t>I. Antecedentes</w:t>
      </w:r>
    </w:p>
    <w:p w14:paraId="6F3F6B19" w14:textId="6EFC8734" w:rsidR="003754FE" w:rsidRDefault="003754FE" w:rsidP="003754FE">
      <w:pPr>
        <w:pStyle w:val="TextoNormalNegritaCentrado"/>
        <w:keepNext/>
      </w:pPr>
    </w:p>
    <w:p w14:paraId="2EFAC2FA" w14:textId="3516DEAA" w:rsidR="003754FE" w:rsidRDefault="003754FE" w:rsidP="003754FE">
      <w:pPr>
        <w:pStyle w:val="TextoNormal"/>
      </w:pPr>
      <w:r w:rsidRPr="003754FE">
        <w:rPr>
          <w:rStyle w:val="NumeroAFNegritaCaracter"/>
        </w:rPr>
        <w:t>1</w:t>
      </w:r>
      <w:r>
        <w:t>. Con fecha 24 de octubre de 2023 tuvo entrada en el registro de este tribunal un oficio de la Sala de lo Social del Tribunal Superior de Justicia de Cataluña, al que se acompañaba, junto al testimonio del recurso de suplicación núm. 5086-2022, el auto de 10 de octubre de 2023, por el que se acordaba el planteamiento de una cuestión de inconstitucionalidad respecto del art. 48, apartados 4, 5 y 6, del texto refundido de la Ley del estatuto de los trabajadores, aprobado por Real Decreto Legislativo 2/2015, de 23 de octubre (en lo sucesivo, LET), en relación con el art. 177 del texto refundido de la Ley general de la Seguridad Social, aprobado por el Real Decreto Legislativo 8/2015, de 30 de octubre (en adelante, LGSS), por posible vulneración de los arts. 14, 39, apartados 1, 2 y 4, y 41 de la Constitución Española; del art. 10.1 (realmente, 10.2) CE, en relación con el art. 3.1 de la Convención de Naciones Unidas sobre los derechos del niño, y el art. 24 de la Carta de los derechos fundamentales de la Unión Europea; y del art. 2.4 de la Ley Orgánica 1/1996, de 15 de enero, de protección jurídica del menor. Además, planteaba la vulneración del art. 14 CE, en relación con el art. 6 de la Ley Orgánica 3/2007, de 22 de marzo, para la igualdad efectiva de mujeres y hombres.</w:t>
      </w:r>
    </w:p>
    <w:p w14:paraId="5BA96F57" w14:textId="77777777" w:rsidR="003754FE" w:rsidRDefault="003754FE" w:rsidP="003754FE">
      <w:pPr>
        <w:pStyle w:val="TextoNormal"/>
      </w:pPr>
    </w:p>
    <w:p w14:paraId="29035218" w14:textId="77777777" w:rsidR="003754FE" w:rsidRDefault="003754FE" w:rsidP="003754FE">
      <w:pPr>
        <w:pStyle w:val="TextoNormal"/>
      </w:pPr>
      <w:r w:rsidRPr="003754FE">
        <w:rPr>
          <w:rStyle w:val="NumeroAFNegritaCaracter"/>
        </w:rPr>
        <w:t>2</w:t>
      </w:r>
      <w:r>
        <w:t>. El mencionado auto trae causa de los siguientes antecedentes:</w:t>
      </w:r>
    </w:p>
    <w:p w14:paraId="36668909" w14:textId="77777777" w:rsidR="003754FE" w:rsidRDefault="003754FE" w:rsidP="003754FE">
      <w:pPr>
        <w:pStyle w:val="TextoNormal"/>
      </w:pPr>
    </w:p>
    <w:p w14:paraId="5DA1EF9B" w14:textId="77777777" w:rsidR="003754FE" w:rsidRDefault="003754FE" w:rsidP="003754FE">
      <w:pPr>
        <w:pStyle w:val="TextoNormal"/>
      </w:pPr>
      <w:r>
        <w:t>a) A doña S.C.J., le fue reconocida por el Instituto Nacional de la Seguridad Social (en adelante, INSS) la prestación por nacimiento y cuidado de menor, como madre biológica de familia monoparental, con efectos desde el día 15 de junio de 2021 hasta el 4 de octubre de 2021 (dieciséis semanas).</w:t>
      </w:r>
    </w:p>
    <w:p w14:paraId="3441D40A" w14:textId="77777777" w:rsidR="003754FE" w:rsidRDefault="003754FE" w:rsidP="003754FE">
      <w:pPr>
        <w:pStyle w:val="TextoNormal"/>
      </w:pPr>
    </w:p>
    <w:p w14:paraId="0D359E36" w14:textId="77777777" w:rsidR="003754FE" w:rsidRDefault="003754FE" w:rsidP="003754FE">
      <w:pPr>
        <w:pStyle w:val="TextoNormal"/>
      </w:pPr>
      <w:r>
        <w:t xml:space="preserve">b) El 10 de septiembre de 2021, doña S.C.J., solicitó ante el INSS que se le reconociera la ampliación de la prestación por nacimiento y cuidado de menor de dieciséis a treinta y dos semanas, disfrutando así de la prestación que se reconoce al progenitor distinto de la madre biológica en las familias biparentales. Su solicitud fue denegada por resolución del </w:t>
      </w:r>
      <w:r>
        <w:lastRenderedPageBreak/>
        <w:t>INSS de 16 de septiembre de 2021, en la que se argumentaba que la solicitante no se encontraba en ninguna situación que justificara la ampliación.</w:t>
      </w:r>
    </w:p>
    <w:p w14:paraId="5EFAD1D4" w14:textId="77777777" w:rsidR="003754FE" w:rsidRDefault="003754FE" w:rsidP="003754FE">
      <w:pPr>
        <w:pStyle w:val="TextoNormal"/>
      </w:pPr>
    </w:p>
    <w:p w14:paraId="2F6B7DD3" w14:textId="77777777" w:rsidR="003754FE" w:rsidRDefault="003754FE" w:rsidP="003754FE">
      <w:pPr>
        <w:pStyle w:val="TextoNormal"/>
      </w:pPr>
      <w:r>
        <w:t>c) Frente a la anterior resolución, doña S.C.J., interpuso una reclamación administrativa previa, que fue desestimada por resolución del INSS de 2 de noviembre de 2021, contra la cual interpuso una demanda judicial el 19 de noviembre de 2021 (autos núm. 964-2021). El Juzgado de lo Social núm. 34 de Barcelona dictó sentencia con fecha 31 de marzo de 2022, estimando íntegramente la demanda, con declaración del derecho de la actora a percibir la prestación por nacimiento y cuidado de hija menor conforme a la base reguladora aplicable, durante el plazo de treinta y dos semanas, y condenando al INSS y a la Tesorería General de la Seguridad Social (en adelante, TGSS) a estar y pasar por dicha declaración, así como a abonar las prestaciones económicas correspondientes, de conformidad con la extensión temporal referida. Dicho criterio se apoyó en las sentencias de varios tribunales superiores de justicia, que se habían pronunciado previamente en el mismo sentido. En síntesis, el órgano judicial consideró que el no reconocer esa acumulación de las prestaciones haría de peor condición a los hijos nacidos en familias monoparentales que a los nacidos en familias biparentales, aparte de que conllevaría una discriminación por razón de sexo, atendiendo a que, estadísticamente, las familias monoparentales están conformadas en su mayor parte por madres.</w:t>
      </w:r>
    </w:p>
    <w:p w14:paraId="6E71E8AF" w14:textId="77777777" w:rsidR="003754FE" w:rsidRDefault="003754FE" w:rsidP="003754FE">
      <w:pPr>
        <w:pStyle w:val="TextoNormal"/>
      </w:pPr>
    </w:p>
    <w:p w14:paraId="5FF556EE" w14:textId="77777777" w:rsidR="003754FE" w:rsidRDefault="003754FE" w:rsidP="003754FE">
      <w:pPr>
        <w:pStyle w:val="TextoNormal"/>
      </w:pPr>
      <w:r>
        <w:t>d) La representación del INSS y de la TGSS interpuso un recurso de suplicación, alegando, además de otros motivos atinentes a la vulneración de los arts. 14 CE, 177 LGSS y 48.4 LET, que el órgano judicial debería haber planteado una cuestión de inconstitucionalidad, para que el Tribunal Constitucional determinara si existe o no vulneración del art. 14 CE.</w:t>
      </w:r>
    </w:p>
    <w:p w14:paraId="5223ED7F" w14:textId="77777777" w:rsidR="003754FE" w:rsidRDefault="003754FE" w:rsidP="003754FE">
      <w:pPr>
        <w:pStyle w:val="TextoNormal"/>
      </w:pPr>
    </w:p>
    <w:p w14:paraId="35D4DB7F" w14:textId="77777777" w:rsidR="003754FE" w:rsidRDefault="003754FE" w:rsidP="003754FE">
      <w:pPr>
        <w:pStyle w:val="TextoNormal"/>
      </w:pPr>
      <w:r>
        <w:t>Una vez admitido y sustanciado el recurso de suplicación, y estando pendiente de dictar sentencia, la Sala de lo Social del Tribunal Superior de Justicia de Cataluña, por providencia de 3 de mayo de 2023, acordó dar audiencia a las partes y al Ministerio Fiscal, por plazo común de diez días, acerca de la pertinencia de plantear una cuestión de inconstitucionalidad, en relación con los arts. 177 a 179 LGSS y 48.4 LET, en la redacción dada por el Real Decreto-ley 6/2019, de 1 de marzo, pues de dichos preceptos resultaba que en las familias biparentales la madre biológica y el progenitor distinto de la madre biológica gozan cada uno de dieciséis semanas (un total de treinta y dos semanas) de suspensión del contrato y prestación de Seguridad Social, a diferencia del caso de las familias monoparentales. La providencia identificaba como preceptos constitucionales que podían resultar contradichos los arts. 14, 39 y 41 CE.</w:t>
      </w:r>
    </w:p>
    <w:p w14:paraId="7FAB7C1C" w14:textId="77777777" w:rsidR="003754FE" w:rsidRDefault="003754FE" w:rsidP="003754FE">
      <w:pPr>
        <w:pStyle w:val="TextoNormal"/>
      </w:pPr>
    </w:p>
    <w:p w14:paraId="6DC5E66D" w14:textId="77777777" w:rsidR="003754FE" w:rsidRDefault="003754FE" w:rsidP="003754FE">
      <w:pPr>
        <w:pStyle w:val="TextoNormal"/>
      </w:pPr>
      <w:r>
        <w:t>e) La representación procesal de doña S.C.J., presentó sus alegaciones el 22 de mayo de 2023, en las que secundó el planteamiento de la cuestión de inconstitucionalidad, y concretó el problema de constitucionalidad en los arts. 177 LGSS y 48, apartados 4 a 6 LET. A la invocación de los arts. 14 y 39 CE añadió la referencia al art. 2 de la Convención sobre los derechos del niño y al art. 10.2 CE. Mencionó también la Ley Orgánica 1/1996, de 15 de enero, de protección jurídica del menor, así como la discriminación que el régimen de permisos por nacimiento supone para las mujeres, citando la Convención sobre la eliminación de todas las formas de discriminación de las mujeres de 1979 (CEDAW).</w:t>
      </w:r>
    </w:p>
    <w:p w14:paraId="32849989" w14:textId="77777777" w:rsidR="003754FE" w:rsidRDefault="003754FE" w:rsidP="003754FE">
      <w:pPr>
        <w:pStyle w:val="TextoNormal"/>
      </w:pPr>
    </w:p>
    <w:p w14:paraId="3D981AC0" w14:textId="77777777" w:rsidR="003754FE" w:rsidRDefault="003754FE" w:rsidP="003754FE">
      <w:pPr>
        <w:pStyle w:val="TextoNormal"/>
      </w:pPr>
      <w:r>
        <w:lastRenderedPageBreak/>
        <w:t>La representación del INSS y de la TGSS, en escrito presentado el 23 de mayo de 2023, se opuso al planteamiento de la cuestión de inconstitucionalidad, que consideraba sorpresiva. Argumentaba que tenía una apariencia de resistencia a la doctrina unificada establecida en la STS 169/2023, de 2 de marzo (ECLI:ES:TS:2023:783), que examinó esta cuestión, sin apreciar motivo alguno de inconstitucionalidad.</w:t>
      </w:r>
    </w:p>
    <w:p w14:paraId="3169E2D6" w14:textId="77777777" w:rsidR="003754FE" w:rsidRDefault="003754FE" w:rsidP="003754FE">
      <w:pPr>
        <w:pStyle w:val="TextoNormal"/>
      </w:pPr>
    </w:p>
    <w:p w14:paraId="1E6085D4" w14:textId="77777777" w:rsidR="003754FE" w:rsidRDefault="003754FE" w:rsidP="003754FE">
      <w:pPr>
        <w:pStyle w:val="TextoNormal"/>
      </w:pPr>
      <w:r>
        <w:t>Por otro lado, consideraba que no se había satisfecho lo dispuesto en el art. 35.2 de la Ley Orgánica 2/1979, de 3 de octubre, del Tribunal Constitucional (en adelante, LOTC), pues la providencia por la que se daba audiencia a las partes, más allá de la cita de preceptos constitucionales, no especificaba en qué forma se habrían producido las supuestas vulneraciones ni de qué manera condicionaba esa inconstitucionalidad la decisión del proceso. En cuanto al fondo, consideraba que el planteamiento se basaba en premisas inciertas, por lo que la cuestión debía considerarse infundada, y afirmaba, además, que el Tribunal Supremo, en la citada sentencia, ya se había pronunciado sobre los arts. 177 LGSS y 48.4 LET, concluyendo que no son contrarios ni a la Constitución ni a las normas internacionales aplicables.</w:t>
      </w:r>
    </w:p>
    <w:p w14:paraId="6C022D94" w14:textId="77777777" w:rsidR="003754FE" w:rsidRDefault="003754FE" w:rsidP="003754FE">
      <w:pPr>
        <w:pStyle w:val="TextoNormal"/>
      </w:pPr>
    </w:p>
    <w:p w14:paraId="2B67ABE9" w14:textId="77777777" w:rsidR="003754FE" w:rsidRDefault="003754FE" w:rsidP="003754FE">
      <w:pPr>
        <w:pStyle w:val="TextoNormal"/>
      </w:pPr>
      <w:r>
        <w:t>El Ministerio Fiscal no presentó alegaciones.</w:t>
      </w:r>
    </w:p>
    <w:p w14:paraId="44920517" w14:textId="77777777" w:rsidR="003754FE" w:rsidRDefault="003754FE" w:rsidP="003754FE">
      <w:pPr>
        <w:pStyle w:val="TextoNormal"/>
      </w:pPr>
    </w:p>
    <w:p w14:paraId="2AA88B4C" w14:textId="089EF6E7" w:rsidR="003754FE" w:rsidRDefault="003754FE" w:rsidP="003754FE">
      <w:pPr>
        <w:pStyle w:val="TextoNormal"/>
      </w:pPr>
      <w:r>
        <w:t>f) Por acuerdo de 27 de junio de 2023, el presidente de la Sala de lo Social del Tribunal Superior de Justicia de Cataluña acordó avocar el conocimiento del recurso de suplicación al Pleno, ante la trascendencia de la cuestión y la existencia de numerosos recursos sobre la misma materia. El 10 de octubre de 2023, el Pleno de la Sala dictó auto acordando plantear la cuestión de inconstitucionalidad.</w:t>
      </w:r>
    </w:p>
    <w:p w14:paraId="2D35368D" w14:textId="77777777" w:rsidR="003754FE" w:rsidRDefault="003754FE" w:rsidP="003754FE">
      <w:pPr>
        <w:pStyle w:val="TextoNormal"/>
      </w:pPr>
    </w:p>
    <w:p w14:paraId="50F03B16" w14:textId="77777777" w:rsidR="003754FE" w:rsidRDefault="003754FE" w:rsidP="003754FE">
      <w:pPr>
        <w:pStyle w:val="TextoNormal"/>
      </w:pPr>
      <w:r w:rsidRPr="003754FE">
        <w:rPr>
          <w:rStyle w:val="NumeroAFNegritaCaracter"/>
        </w:rPr>
        <w:t>3</w:t>
      </w:r>
      <w:r>
        <w:t>. El auto de planteamiento, tras referirse a los antecedentes del procedimiento, argumenta, en síntesis, lo siguiente:</w:t>
      </w:r>
    </w:p>
    <w:p w14:paraId="448CEBD7" w14:textId="77777777" w:rsidR="003754FE" w:rsidRDefault="003754FE" w:rsidP="003754FE">
      <w:pPr>
        <w:pStyle w:val="TextoNormal"/>
      </w:pPr>
    </w:p>
    <w:p w14:paraId="7201BA60" w14:textId="77777777" w:rsidR="003754FE" w:rsidRDefault="003754FE" w:rsidP="003754FE">
      <w:pPr>
        <w:pStyle w:val="TextoNormal"/>
      </w:pPr>
      <w:r>
        <w:t>a) Los preceptos de cuya constitucionalidad se duda son los arts. 177 LGSS y 48, apartados 4 a 6, LET, en su redacción dada por el Real Decreto-ley 6/2019, de 1 de marzo, de medidas urgentes para garantía de la igualdad de trato y de oportunidades entre mujeres y hombres en el empleo y la ocupación. Señala, con exposición de la doctrina constitucional, que la determinación de la extensión temporal de la prestación por nacimiento y cuidado de menor, correspondiente a la madre biológica, que encabeza una familia monoparental, ha de efectuarse necesariamente atendiendo a tales preceptos, cuya literalidad comporta dispensar al menor nacido en una familia monoparental un tiempo de atención y cuidado muy inferior al correspondiente a los menores nacidos en familias biparentales, exclusivamente como consecuencia del modelo familiar al que pertenecen.</w:t>
      </w:r>
    </w:p>
    <w:p w14:paraId="12034D3A" w14:textId="77777777" w:rsidR="003754FE" w:rsidRDefault="003754FE" w:rsidP="003754FE">
      <w:pPr>
        <w:pStyle w:val="TextoNormal"/>
      </w:pPr>
    </w:p>
    <w:p w14:paraId="38DCED6C" w14:textId="77777777" w:rsidR="003754FE" w:rsidRDefault="003754FE" w:rsidP="003754FE">
      <w:pPr>
        <w:pStyle w:val="TextoNormal"/>
      </w:pPr>
      <w:r>
        <w:t xml:space="preserve">Indica que la propia Sala, en otro asunto sustancialmente idéntico, optó por una interpretación de las normas aplicables que permitía salvar la primacía de la Constitución y de las normas nacionales e internacionales relacionadas con la materia litigiosa, a pesar de albergar dudas sobre su constitucionalidad. Sin embargo, esa interpretación ha sido descartada por la STS 169/2023, de 2 de marzo, dictada en recurso de casación para unificación de doctrina, decisión que vincula a todos los jueces y tribunales del orden social. A partir de dicho pronunciamiento, y procediendo la aplicación literal del art. 177 LGSS y de los apartados 4, 5 y 6 del art. 48 LET, la Sala cuestiona su acomodo a la Constitución, al comportar un trato discriminatorio y desfavorable, tanto respecto del menor, cuya atención y cuidado </w:t>
      </w:r>
      <w:r>
        <w:lastRenderedPageBreak/>
        <w:t>constituye la finalidad de las normas, como respecto de la mujer, madre biológica que encabeza una familia monoparental.</w:t>
      </w:r>
    </w:p>
    <w:p w14:paraId="56D70AC8" w14:textId="77777777" w:rsidR="003754FE" w:rsidRDefault="003754FE" w:rsidP="003754FE">
      <w:pPr>
        <w:pStyle w:val="TextoNormal"/>
      </w:pPr>
    </w:p>
    <w:p w14:paraId="0745C4B1" w14:textId="77777777" w:rsidR="003754FE" w:rsidRDefault="003754FE" w:rsidP="003754FE">
      <w:pPr>
        <w:pStyle w:val="TextoNormal"/>
      </w:pPr>
      <w:r>
        <w:t>b) A continuación, el auto señala que los preceptos constitucionales con los que pueden colisionar las normas cuestionadas son los arts. 14, 39 y 41 CE e indica, en cuanto al art. 39, que uno de los modelos familiares que vienen presentándose cada vez con mayor incidencia es la denominada “familia monoparental”, realidad que, “pese a carecer de una definición jurídica y legal clara y unívoca a nivel estatal, ha de considerarse como uno de los modelos familiares dignos de la protección contemplada por el mencionado artículo 39.1 CE, sin perder de vista, además, que se trata de un modelo familiar encabezado de forma absolutamente mayoritaria por mujeres”.</w:t>
      </w:r>
    </w:p>
    <w:p w14:paraId="3DBD2414" w14:textId="77777777" w:rsidR="003754FE" w:rsidRDefault="003754FE" w:rsidP="003754FE">
      <w:pPr>
        <w:pStyle w:val="TextoNormal"/>
      </w:pPr>
    </w:p>
    <w:p w14:paraId="46745A61" w14:textId="77777777" w:rsidR="003754FE" w:rsidRDefault="003754FE" w:rsidP="003754FE">
      <w:pPr>
        <w:pStyle w:val="TextoNormal"/>
      </w:pPr>
      <w:r>
        <w:t>Por otro lado, alude al “interés superior del menor” reconocido por los tratados internacionales suscritos por España, haciendo referencia a la Convención de Naciones Unidas sobre los derechos del niño, que lo reconoce como principio que se proyecta también sobre los órganos legislativos y que debe tener una consideración primordial por los Estados parte. En la misma línea, cita la Carta de los derechos fundamentales de la Unión Europea y la doctrina constitucional sobre la prioridad del interés superior del menor, que tiene su reflejo, también, en el art. 2.4 de la Ley Orgánica 1/1996, de 15 de enero, de protección jurídica del menor.</w:t>
      </w:r>
    </w:p>
    <w:p w14:paraId="655E70F5" w14:textId="77777777" w:rsidR="003754FE" w:rsidRDefault="003754FE" w:rsidP="003754FE">
      <w:pPr>
        <w:pStyle w:val="TextoNormal"/>
      </w:pPr>
    </w:p>
    <w:p w14:paraId="4B01961B" w14:textId="77777777" w:rsidR="003754FE" w:rsidRDefault="003754FE" w:rsidP="003754FE">
      <w:pPr>
        <w:pStyle w:val="TextoNormal"/>
      </w:pPr>
      <w:r>
        <w:t>Finalmente, el auto se refería al concepto de discriminación indirecta por razón de sexo recogido en el art. 6 de la Ley Orgánica 3/2007, de 22 de marzo, para la igualdad efectiva de mujeres y hombres, en relación con el art. 14 CE, así como a los datos proporcionados por el Instituto Nacional de Estadística (INE) sobre el número de hogares monoparentales encabezados por mujeres, que constituían un 81,4 por 100 del total de hogares monoparentales en 2020 y un 81,1 por 100 en 2019 (Encuesta continua de hogares, INE, 2020 y 2019). Atendiendo a estos datos, el auto concluye que los apartados 4, 5 y 6 del art. 48 LET, en relación con el art. 177 LGSS, pese a su carácter aparentemente neutro, inciden de forma desfavorable y mayoritaria sobre las mujeres.</w:t>
      </w:r>
    </w:p>
    <w:p w14:paraId="6A3B6062" w14:textId="77777777" w:rsidR="003754FE" w:rsidRDefault="003754FE" w:rsidP="003754FE">
      <w:pPr>
        <w:pStyle w:val="TextoNormal"/>
      </w:pPr>
    </w:p>
    <w:p w14:paraId="30FEB7C4" w14:textId="77777777" w:rsidR="003754FE" w:rsidRDefault="003754FE" w:rsidP="003754FE">
      <w:pPr>
        <w:pStyle w:val="TextoNormal"/>
      </w:pPr>
      <w:r>
        <w:t xml:space="preserve">c) El último fundamento del auto se dedica al examen de las circunstancias concurrentes y de las dudas de constitucionalidad que se plantean: (i) desde la perspectiva del trato discriminatorio hacia el menor perteneciente a una familia monoparental, indica que la regulación del art. 48.4 LET, al que se remite el art. 177 LGSS, determina de manera expresa y tajante que el derecho a la suspensión del contrato por nacimiento y cuidado de menor es un derecho personal de la persona trabajadora, sin que pueda transferirse su ejercicio al otro progenitor. Esta previsión es consecuencia de las modificaciones introducidas por medio del Real Decreto-ley 6/2019, de 1 de marzo, con la finalidad de contribuir a la consecución de la igualdad efectiva entre hombres y mujeres, mediante la promoción del principio de corresponsabilidad entre ambos progenitores, a través de la equiparación de la duración del permiso correspondiente, que no se puede transferir o ceder al otro progenitor. Pero no se debe perder de vista que una de las finalidades esenciales de esta regulación es la atención y cuidado del menor, cuyas necesidades son idénticas con independencia del modelo de familia al que pertenezca, por lo cual, según entiende la Sala promotora de la cuestión, las previsiones del art. 48.4 LET, cuando se aplican en el ámbito de una familia monoparental, repercuten en un inferior tiempo de cuidado del menor por parte de sus progenitores; y (ii) por otra parte, el auto aprecia la posible existencia de una discriminación indirecta por razón </w:t>
      </w:r>
      <w:r>
        <w:lastRenderedPageBreak/>
        <w:t>de sexo de la madre solicitante de la prestación que encabeza una familia monoparental, pues, a pesar del carácter neutro de la regulación, su aplicación a las familias monoparentales provoca no solo un trato discriminatorio hacia los hijos nacidos en dicho modelo familiar, en cuanto al alcance temporal de su atención y cuidado en sus primeros meses de vida, sino que, además, debido a que las familias monoparentales están encabezadas en su inmensa mayoría por mujeres, el impacto negativo y desfavorable se produce con mayor intensidad sobre las mujeres trabajadoras.</w:t>
      </w:r>
    </w:p>
    <w:p w14:paraId="4BC8BD9C" w14:textId="77777777" w:rsidR="003754FE" w:rsidRDefault="003754FE" w:rsidP="003754FE">
      <w:pPr>
        <w:pStyle w:val="TextoNormal"/>
      </w:pPr>
    </w:p>
    <w:p w14:paraId="13714AEF" w14:textId="2865AB77" w:rsidR="003754FE" w:rsidRDefault="003754FE" w:rsidP="003754FE">
      <w:pPr>
        <w:pStyle w:val="TextoNormal"/>
      </w:pPr>
      <w:r>
        <w:t>d) Al auto se formuló un voto particular, suscrito por un magistrado, y al que se adhirieron otros cuatro, en el que se aduce que han recaído al menos dos sentencias del Tribunal Supremo que revocan en su integridad las dictadas por varios tribunales superiores de justicia, y que mantienen la plena aplicabilidad del art. 177 LGSS, descartando la existencia de cualquier duda de constitucionalidad o de contradicción con las normas internacionales. Tras recordar la posición de superioridad que ocupa el Tribunal Supremo de acuerdo con el art. 123 CE, argumenta que no cabe apartarse simple y llanamente de su criterio para plantear una cuestión de inconstitucionalidad que ha sido rechazada por dicho órgano.</w:t>
      </w:r>
    </w:p>
    <w:p w14:paraId="5B7B85AA" w14:textId="77777777" w:rsidR="003754FE" w:rsidRDefault="003754FE" w:rsidP="003754FE">
      <w:pPr>
        <w:pStyle w:val="TextoNormal"/>
      </w:pPr>
    </w:p>
    <w:p w14:paraId="69070DD2" w14:textId="1520ACCC" w:rsidR="003754FE" w:rsidRDefault="003754FE" w:rsidP="003754FE">
      <w:pPr>
        <w:pStyle w:val="TextoNormal"/>
      </w:pPr>
      <w:r w:rsidRPr="003754FE">
        <w:rPr>
          <w:rStyle w:val="NumeroAFNegritaCaracter"/>
        </w:rPr>
        <w:t>4</w:t>
      </w:r>
      <w:r>
        <w:t>. Por providencia de 27 de febrero de 2024, el Pleno del Tribunal, a propuesta de la Sección Primera, acordó admitir a trámite la cuestión de inconstitucionalidad; reservar para sí su conocimiento, de conformidad con el art. 10.1 c) LOTC; dar traslado de las actuaciones recibidas, conforme establece el art. 37.3 LOTC, al Congreso de los Diputados y al Senado, al Gobierno y al fiscal general del Estado, al objeto de que, en el improrrogable plazo de quince días, pudieran personarse en el proceso y formular las alegaciones que estimasen convenientes; comunicar la admisión a trámite a la Sala de lo Social del Tribunal Superior de Justicia de Cataluña a fin de que, de conformidad con lo dispuesto en el art. 35.3 LOTC, permanezca suspendido el proceso hasta que el Tribunal resuelva definitivamente la cuestión; y publicar su incoación en el “Boletín Oficial del Estado” (lo que tuvo lugar en el “BOE” núm. 56, de 4 de marzo de 2024).</w:t>
      </w:r>
    </w:p>
    <w:p w14:paraId="7220AD9D" w14:textId="77777777" w:rsidR="003754FE" w:rsidRDefault="003754FE" w:rsidP="003754FE">
      <w:pPr>
        <w:pStyle w:val="TextoNormal"/>
      </w:pPr>
    </w:p>
    <w:p w14:paraId="3263EEDF" w14:textId="3ECFA57F" w:rsidR="003754FE" w:rsidRDefault="003754FE" w:rsidP="003754FE">
      <w:pPr>
        <w:pStyle w:val="TextoNormal"/>
      </w:pPr>
      <w:r w:rsidRPr="003754FE">
        <w:rPr>
          <w:rStyle w:val="NumeroAFNegritaCaracter"/>
        </w:rPr>
        <w:t>5</w:t>
      </w:r>
      <w:r>
        <w:t>. Mediante escrito presentado en el Registro del Tribunal de 8 de marzo de 2024, el letrado de la Administración de la Seguridad Social se personó en el procedimiento, solicitando que se entendiesen con él las sucesivas actuaciones.</w:t>
      </w:r>
    </w:p>
    <w:p w14:paraId="6A235132" w14:textId="77777777" w:rsidR="003754FE" w:rsidRDefault="003754FE" w:rsidP="003754FE">
      <w:pPr>
        <w:pStyle w:val="TextoNormal"/>
      </w:pPr>
    </w:p>
    <w:p w14:paraId="5349CC82" w14:textId="5B157B83" w:rsidR="003754FE" w:rsidRDefault="003754FE" w:rsidP="003754FE">
      <w:pPr>
        <w:pStyle w:val="TextoNormal"/>
      </w:pPr>
      <w:r w:rsidRPr="003754FE">
        <w:rPr>
          <w:rStyle w:val="NumeroAFNegritaCaracter"/>
        </w:rPr>
        <w:t>6</w:t>
      </w:r>
      <w:r>
        <w:t>. Por escritos registrados el 13 y el 14 de marzo de 2024, el Congreso de los Diputados y el Senado, respectivamente, comunicaron los acuerdos adoptados por sus mesas de personarse en el presente proceso constitucional, ofreciendo su colaboración a los efectos del art. 88.1 LOTC.</w:t>
      </w:r>
    </w:p>
    <w:p w14:paraId="70B56324" w14:textId="77777777" w:rsidR="003754FE" w:rsidRDefault="003754FE" w:rsidP="003754FE">
      <w:pPr>
        <w:pStyle w:val="TextoNormal"/>
      </w:pPr>
    </w:p>
    <w:p w14:paraId="1F93367F" w14:textId="77777777" w:rsidR="003754FE" w:rsidRDefault="003754FE" w:rsidP="003754FE">
      <w:pPr>
        <w:pStyle w:val="TextoNormal"/>
      </w:pPr>
      <w:r w:rsidRPr="003754FE">
        <w:rPr>
          <w:rStyle w:val="NumeroAFNegritaCaracter"/>
        </w:rPr>
        <w:t>7</w:t>
      </w:r>
      <w:r>
        <w:t>. El 21 de marzo de 2024, la Abogacía del Estado, en representación del Gobierno de la Nación, se personó en el procedimiento e interesó la desestimación de la cuestión, con base en las siguientes alegaciones:</w:t>
      </w:r>
    </w:p>
    <w:p w14:paraId="6F3F8970" w14:textId="77777777" w:rsidR="003754FE" w:rsidRDefault="003754FE" w:rsidP="003754FE">
      <w:pPr>
        <w:pStyle w:val="TextoNormal"/>
      </w:pPr>
    </w:p>
    <w:p w14:paraId="2F3E713B" w14:textId="77777777" w:rsidR="003754FE" w:rsidRDefault="003754FE" w:rsidP="003754FE">
      <w:pPr>
        <w:pStyle w:val="TextoNormal"/>
      </w:pPr>
      <w:r>
        <w:t>a) Indica que el auto menciona, pero no desarrolla, la posible vulneración del art. 41 CE, por lo que este precepto ha de excluirse de la cuestión de inconstitucionalidad. Se refiere, a continuación, a la STS 169/2023, de 2 de marzo, de la que extracta varios pasajes, en los que dicha Sala argumenta por qué considera que los preceptos a los que se refiere la cuestión de inconstitucionalidad se ajustan a la Constitución y a la normativa internacional aplicable.</w:t>
      </w:r>
    </w:p>
    <w:p w14:paraId="286DAF3A" w14:textId="77777777" w:rsidR="003754FE" w:rsidRDefault="003754FE" w:rsidP="003754FE">
      <w:pPr>
        <w:pStyle w:val="TextoNormal"/>
      </w:pPr>
    </w:p>
    <w:p w14:paraId="0F6CB8C9" w14:textId="77777777" w:rsidR="003754FE" w:rsidRDefault="003754FE" w:rsidP="003754FE">
      <w:pPr>
        <w:pStyle w:val="TextoNormal"/>
      </w:pPr>
      <w:r>
        <w:t>Del art. 39 CE subraya que es un principio rector de la política social y económica y que la vulneración de estos principios solo se produciría si se anulase por completo su eficacia, lo que no es el caso. Con cita de la STC 75/2011, de 19 de mayo, recuerda que corresponde al legislador determinar el nivel y condiciones de las prestaciones de la seguridad social para adaptarlas a las necesidades del momento. Por ello, considera que la posible ampliación de la protección que el sistema otorga a las familias monoparentales debe determinarse por el legislador.</w:t>
      </w:r>
    </w:p>
    <w:p w14:paraId="7FF43A70" w14:textId="77777777" w:rsidR="003754FE" w:rsidRDefault="003754FE" w:rsidP="003754FE">
      <w:pPr>
        <w:pStyle w:val="TextoNormal"/>
      </w:pPr>
    </w:p>
    <w:p w14:paraId="1C5BE87C" w14:textId="77777777" w:rsidR="003754FE" w:rsidRDefault="003754FE" w:rsidP="003754FE">
      <w:pPr>
        <w:pStyle w:val="TextoNormal"/>
      </w:pPr>
      <w:r>
        <w:t>La Abogacía del Estado considera que los preceptos cuestionados no vulneran ninguno de los apartados del art. 39 CE. El mandato que este dirige a los poderes públicos es un principio rector que ha de inspirar al legislador, que ha introducido diversas mejoras en el Estatuto de los trabajadores y en la Ley general de la Seguridad Social, pero la ley no puede llegar a cubrir todas las contingencias que puedan sobrevenir (cita la STC 184/1993, de 31 de mayo, FJ 6).</w:t>
      </w:r>
    </w:p>
    <w:p w14:paraId="51824C22" w14:textId="77777777" w:rsidR="003754FE" w:rsidRDefault="003754FE" w:rsidP="003754FE">
      <w:pPr>
        <w:pStyle w:val="TextoNormal"/>
      </w:pPr>
    </w:p>
    <w:p w14:paraId="39E4AC3F" w14:textId="77777777" w:rsidR="003754FE" w:rsidRDefault="003754FE" w:rsidP="003754FE">
      <w:pPr>
        <w:pStyle w:val="TextoNormal"/>
      </w:pPr>
      <w:r>
        <w:t>b) En relación con el principio de igualdad, vinculado a la discriminación de las familias monoparentales en relación con la biparentales y al interés superior del menor, la Abogacía del Estado recuerda la doctrina aplicable, concluyendo que la normativa cuestionada la respeta.</w:t>
      </w:r>
    </w:p>
    <w:p w14:paraId="5DF56889" w14:textId="77777777" w:rsidR="003754FE" w:rsidRDefault="003754FE" w:rsidP="003754FE">
      <w:pPr>
        <w:pStyle w:val="TextoNormal"/>
      </w:pPr>
    </w:p>
    <w:p w14:paraId="6F26C9CD" w14:textId="77777777" w:rsidR="003754FE" w:rsidRDefault="003754FE" w:rsidP="003754FE">
      <w:pPr>
        <w:pStyle w:val="TextoNormal"/>
      </w:pPr>
      <w:r>
        <w:t>En primer lugar, repara en que la concesión de permisos se subordina a la existencia de un previo contrato de trabajo y a la correspondiente cotización a la Seguridad Social. Ampliar la duración de la suspensión del contrato de trabajo en las familias monoparentales no respondería a la finalidad de la reforma llevada a cabo por el Real Decreto-ley 6/2019, de 1 de marzo, es más, podría dar lugar a situaciones de discriminación, si se tiene en cuenta que la persona progenitora de una familia biparental solo podría disfrutar del tiempo de descanso por un periodo de dieciséis semanas, mientras que una familia monoparental disfrutaría de un periodo de treinta y dos semanas. Esto no respondería a la búsqueda de mayor igualdad entre hombres y mujeres ni al incremento de la corresponsabilidad en el cuidado del menor.</w:t>
      </w:r>
    </w:p>
    <w:p w14:paraId="51A25C1A" w14:textId="77777777" w:rsidR="003754FE" w:rsidRDefault="003754FE" w:rsidP="003754FE">
      <w:pPr>
        <w:pStyle w:val="TextoNormal"/>
      </w:pPr>
    </w:p>
    <w:p w14:paraId="12975586" w14:textId="77777777" w:rsidR="003754FE" w:rsidRDefault="003754FE" w:rsidP="003754FE">
      <w:pPr>
        <w:pStyle w:val="TextoNormal"/>
      </w:pPr>
      <w:r>
        <w:t>El representante del Gobierno considera que la diferencia de trato está fundamentada en la existencia o no de un contrato de trabajo y en ello se justifica, sin que este motivo pueda considerarse como discriminatorio. Incide en que la distinta cobertura de las familias monoparentales y biparentales tiene su fundamento en la doctrina constitucional sobre los límites ínsitos a la extensión de la protección dispensada por el Estado en función de los recursos disponibles y forma parte del margen de decisión que debe concederse al legislador.</w:t>
      </w:r>
    </w:p>
    <w:p w14:paraId="1038A0FA" w14:textId="77777777" w:rsidR="003754FE" w:rsidRDefault="003754FE" w:rsidP="003754FE">
      <w:pPr>
        <w:pStyle w:val="TextoNormal"/>
      </w:pPr>
    </w:p>
    <w:p w14:paraId="7360268C" w14:textId="77777777" w:rsidR="003754FE" w:rsidRDefault="003754FE" w:rsidP="003754FE">
      <w:pPr>
        <w:pStyle w:val="TextoNormal"/>
      </w:pPr>
      <w:r>
        <w:t>c) Respecto del argumento de que debe primar el interés superior del menor, la representación del Gobierno comparte su importancia. Sin embargo, insiste en que los permisos atribuidos a las familias monoparentales se sustentan en su relación laboral, lo que forzosamente ha de introducir una limitación a la extensión del permiso de la familia monoparental, en relación con las familias biparentales, no pudiéndose acreditar que esta limitación perjudique al derecho del menor.</w:t>
      </w:r>
    </w:p>
    <w:p w14:paraId="6CB6EDD5" w14:textId="77777777" w:rsidR="003754FE" w:rsidRDefault="003754FE" w:rsidP="003754FE">
      <w:pPr>
        <w:pStyle w:val="TextoNormal"/>
      </w:pPr>
    </w:p>
    <w:p w14:paraId="7179C593" w14:textId="130298C8" w:rsidR="003754FE" w:rsidRDefault="003754FE" w:rsidP="003754FE">
      <w:pPr>
        <w:pStyle w:val="TextoNormal"/>
      </w:pPr>
      <w:r>
        <w:t xml:space="preserve">Las alegaciones de la Abogacía del Estado terminan refiriéndose de nuevo a la STS 169/2023, de 2 de marzo, en la que, sobre el argumento del interés superior del menor, se </w:t>
      </w:r>
      <w:r>
        <w:lastRenderedPageBreak/>
        <w:t>afirma que este está presente en toda la regulación de la prestación por nacimiento y cuidado de menor, pero que no es el único fin al que ha de atenderse. Por esta razón, el legislador también ha prestado especial atención al principio de igualdad entre hombres y mujeres al confeccionar una normativa que tiene como finalidad lograr la corresponsabilidad entre ambos progenitores en el cuidado del menor. En atención a todo ello, ha ponderado los derechos e intereses en juego de la forma que ha estimado más oportuna, entre las muchas posibles, en función de los recursos financieros disponibles y las necesidades que un Estado social y democrático de Derecho tiene que atender.</w:t>
      </w:r>
    </w:p>
    <w:p w14:paraId="1201F3FF" w14:textId="77777777" w:rsidR="003754FE" w:rsidRDefault="003754FE" w:rsidP="003754FE">
      <w:pPr>
        <w:pStyle w:val="TextoNormal"/>
      </w:pPr>
    </w:p>
    <w:p w14:paraId="53F8F105" w14:textId="77777777" w:rsidR="003754FE" w:rsidRDefault="003754FE" w:rsidP="003754FE">
      <w:pPr>
        <w:pStyle w:val="TextoNormal"/>
      </w:pPr>
      <w:r w:rsidRPr="003754FE">
        <w:rPr>
          <w:rStyle w:val="NumeroAFNegritaCaracter"/>
        </w:rPr>
        <w:t>8</w:t>
      </w:r>
      <w:r>
        <w:t>. El 4 de abril de 2024, tuvo entrada en el registro de este tribunal el escrito de alegaciones de la Fiscalía General del Estado, en el que, en síntesis, se argumenta lo siguiente:</w:t>
      </w:r>
    </w:p>
    <w:p w14:paraId="7BEC842A" w14:textId="77777777" w:rsidR="003754FE" w:rsidRDefault="003754FE" w:rsidP="003754FE">
      <w:pPr>
        <w:pStyle w:val="TextoNormal"/>
      </w:pPr>
    </w:p>
    <w:p w14:paraId="42BDC840" w14:textId="77777777" w:rsidR="003754FE" w:rsidRDefault="003754FE" w:rsidP="003754FE">
      <w:pPr>
        <w:pStyle w:val="TextoNormal"/>
      </w:pPr>
      <w:r>
        <w:t>a) Tras exponer los antecedentes del caso y la doctrina constitucional aplicable, aborda el objeto de la cuestión, indicando que debe ceñirse al párrafo 4 del art. 48 LET, en relación con el art.177 LGSS, con exclusión de los párrafos 5 y 6 del citado art. 48. Dichos preceptos se deberán contrastar con lo dispuesto en los arts. 14 y 39 apartados 1, 2 y 4 CE, ya que el auto de planteamiento no desarrolla la infracción del art. 41 CE y el art. 10.2 CE no fue invocado en la providencia de apertura del trámite de alegaciones.</w:t>
      </w:r>
    </w:p>
    <w:p w14:paraId="050B9D7C" w14:textId="77777777" w:rsidR="003754FE" w:rsidRDefault="003754FE" w:rsidP="003754FE">
      <w:pPr>
        <w:pStyle w:val="TextoNormal"/>
      </w:pPr>
    </w:p>
    <w:p w14:paraId="14670C65" w14:textId="77777777" w:rsidR="003754FE" w:rsidRDefault="003754FE" w:rsidP="003754FE">
      <w:pPr>
        <w:pStyle w:val="TextoNormal"/>
      </w:pPr>
      <w:r>
        <w:t xml:space="preserve">Considera que los juicios de aplicabilidad y relevancia no se han satisfecho adecuadamente. Alega que el auto no desarrolla una argumentación suficiente acerca de por qué el precepto que considera directamente inconstitucional (el apartado cuarto del art. 48 LET, que establece la suspensión del contrato de trabajo) es aplicable en el proceso </w:t>
      </w:r>
      <w:r w:rsidRPr="003754FE">
        <w:rPr>
          <w:i/>
        </w:rPr>
        <w:t>a quo</w:t>
      </w:r>
      <w:r>
        <w:t xml:space="preserve"> en el que lo único que se solicita y se concede en la sentencia es la ampliación de la prestación del art. 177 LGSS, sin que en modo alguno haya sido objeto del proceso laboral subyacente la suspensión del contrato de trabajo.</w:t>
      </w:r>
    </w:p>
    <w:p w14:paraId="234DE692" w14:textId="77777777" w:rsidR="003754FE" w:rsidRDefault="003754FE" w:rsidP="003754FE">
      <w:pPr>
        <w:pStyle w:val="TextoNormal"/>
      </w:pPr>
    </w:p>
    <w:p w14:paraId="6FF018FB" w14:textId="77777777" w:rsidR="003754FE" w:rsidRDefault="003754FE" w:rsidP="003754FE">
      <w:pPr>
        <w:pStyle w:val="TextoNormal"/>
      </w:pPr>
      <w:r>
        <w:t>En cuanto al juicio de relevancia, considera que el auto no explica en qué medida el fallo depende de la validez de la norma ni expone de qué modo una declaración de inconstitucionalidad de esta daría lugar a la estimación de la demanda.</w:t>
      </w:r>
    </w:p>
    <w:p w14:paraId="0C389207" w14:textId="77777777" w:rsidR="003754FE" w:rsidRDefault="003754FE" w:rsidP="003754FE">
      <w:pPr>
        <w:pStyle w:val="TextoNormal"/>
      </w:pPr>
    </w:p>
    <w:p w14:paraId="76E99BA1" w14:textId="77777777" w:rsidR="003754FE" w:rsidRDefault="003754FE" w:rsidP="003754FE">
      <w:pPr>
        <w:pStyle w:val="TextoNormal"/>
      </w:pPr>
      <w:r>
        <w:t>Podría considerarse que, en realidad, se está impugnando la constitucionalidad de la configuración de la suspensión del contrato de trabajo y, por tanto, de la prestación, como un derecho personal e intransferible, como prevé el último párrafo del apartado cuarto del art. 48. Según el auto de planteamiento, es la modificación introducida por el Real Decreto-ley 6/2019, que establece el carácter personal del derecho a la suspensión del contrato de trabajo sin posibilidad de transferencia o cesión lo que, en el caso de las familias monoparentales, provoca un trato discriminatorio hacia los hijos nacidos en dicho modelo familiar. Sin embargo, el auto no llega a concretar esta interpretación.</w:t>
      </w:r>
    </w:p>
    <w:p w14:paraId="7460297E" w14:textId="77777777" w:rsidR="003754FE" w:rsidRDefault="003754FE" w:rsidP="003754FE">
      <w:pPr>
        <w:pStyle w:val="TextoNormal"/>
      </w:pPr>
    </w:p>
    <w:p w14:paraId="7FA36797" w14:textId="77777777" w:rsidR="003754FE" w:rsidRDefault="003754FE" w:rsidP="003754FE">
      <w:pPr>
        <w:pStyle w:val="TextoNormal"/>
      </w:pPr>
      <w:r>
        <w:t>Concluye que la defectuosa formulación de los juicios de aplicabilidad y relevancia deriva de que se está planteando una inconstitucionalidad por omisión y un supuesto de discriminación por indiferenciación, como razona a continuación.</w:t>
      </w:r>
    </w:p>
    <w:p w14:paraId="74432CEF" w14:textId="77777777" w:rsidR="003754FE" w:rsidRDefault="003754FE" w:rsidP="003754FE">
      <w:pPr>
        <w:pStyle w:val="TextoNormal"/>
      </w:pPr>
    </w:p>
    <w:p w14:paraId="09BAE8BF" w14:textId="77777777" w:rsidR="003754FE" w:rsidRDefault="003754FE" w:rsidP="003754FE">
      <w:pPr>
        <w:pStyle w:val="TextoNormal"/>
      </w:pPr>
      <w:r>
        <w:t xml:space="preserve">b) El cuestionado art. 48.4 LET, al establecer el derecho a la suspensión del contrato de trabajo, dispensa el mismo trato a las madres biológicas que tienen un contrato de trabajo por cuenta ajena, sin diferenciar entre si conviven o no con el padre de su hijo recién nacido (porque no es conocido, ha fallecido o cualquier otra causa) y si este colabora o no en su </w:t>
      </w:r>
      <w:r>
        <w:lastRenderedPageBreak/>
        <w:t>cuidado, personalmente o mediante una contribución económica. En segundo lugar; la prestación establecida en el art. 177 LGSS se concede por igual a las personas incluidas en el régimen general, cualquiera que sea su sexo, que disfruten de los descansos establecidos siempre que, entre otros requisitos, acrediten unos determinados períodos mínimos de cotización.</w:t>
      </w:r>
    </w:p>
    <w:p w14:paraId="542884AC" w14:textId="77777777" w:rsidR="003754FE" w:rsidRDefault="003754FE" w:rsidP="003754FE">
      <w:pPr>
        <w:pStyle w:val="TextoNormal"/>
      </w:pPr>
    </w:p>
    <w:p w14:paraId="7039F495" w14:textId="77777777" w:rsidR="003754FE" w:rsidRDefault="003754FE" w:rsidP="003754FE">
      <w:pPr>
        <w:pStyle w:val="TextoNormal"/>
      </w:pPr>
      <w:r>
        <w:t>Para el órgano judicial, la norma debería establecer el doble de prestación para los progenitores de las familias monoparentales, para no discriminarles ni a ellos (considerando, además, que mayoritariamente son mujeres) ni a los hijos. Al respecto, recuerda que, según la doctrina constitucional, no cabe la llamada “discriminación por indiferenciación”, como resulta, entre muchas otras, de la STC 181/2000, de 29 de junio, FJ 11. El art. 14 CE no ampara la falta de distinción entre supuestos desiguales, es decir, el hipotético derecho subjetivo al trato normativo desigual (con cita, entre otras, de las SSTC 117/2006, de 24 de abril, FJ 2, y 69/2007, de 16 de abril).</w:t>
      </w:r>
    </w:p>
    <w:p w14:paraId="252BC7BC" w14:textId="77777777" w:rsidR="003754FE" w:rsidRDefault="003754FE" w:rsidP="003754FE">
      <w:pPr>
        <w:pStyle w:val="TextoNormal"/>
      </w:pPr>
    </w:p>
    <w:p w14:paraId="64484B47" w14:textId="77777777" w:rsidR="003754FE" w:rsidRDefault="003754FE" w:rsidP="003754FE">
      <w:pPr>
        <w:pStyle w:val="TextoNormal"/>
      </w:pPr>
      <w:r>
        <w:t>La Fiscalía General del Estado enfatiza que no se está impugnando ningún párrafo concreto del art. 48.4 LET, sino que la duda de constitucionalidad proviene de que ninguno de ellos establezca una regulación específica para el progenitor de las familias monoparentales que suponga una ampliación de la prestación contributiva del art. 177 LGSS. Por tanto, lo que subyace a la cuestión es un supuesto de inconstitucionalidad por omisión. Aunque ha habido algún supuesto en el que el Tribunal ha considerado inconstitucional un precepto por lo que no dice (menciona las SSTC 74/1987, de 25 de mayo, y 126/2021, de 3 de junio), aquí no se trata de una laguna del legislador, ni hay un mandato directo de normas constitucionales que permitan elaborar una interpretación creativa de las normas legales para suplir dicha laguna.</w:t>
      </w:r>
    </w:p>
    <w:p w14:paraId="05624AB8" w14:textId="77777777" w:rsidR="003754FE" w:rsidRDefault="003754FE" w:rsidP="003754FE">
      <w:pPr>
        <w:pStyle w:val="TextoNormal"/>
      </w:pPr>
    </w:p>
    <w:p w14:paraId="36B058DA" w14:textId="77777777" w:rsidR="003754FE" w:rsidRDefault="003754FE" w:rsidP="003754FE">
      <w:pPr>
        <w:pStyle w:val="TextoNormal"/>
      </w:pPr>
      <w:r>
        <w:t>Con cita de la STS 169/2023, de 2 de marzo, argumenta que la interpretación de la norma que sería necesaria para completar la supuesta omisión causante de inconstitucionalidad, en el sentido expresado por el auto de planteamiento, supondría crear una prestación contributiva nueva en favor de los progenitores de familias monoparentales que, además, quedaría estrictamente limitada a la duplicación de la duración, sin modificar los condicionantes específicos. Esto supondría invadir competencias atribuidas al legislador, pues completar lo regulado por la ley al nivel de lo exigido en este caso exige, sin duda alguna, el ejercicio de una función que solo corresponde al legislador. Todo ello, sin perjuicio de que cabe compartir que es necesaria una regulación específica para la mayor protección de las familias monoparentales frente a las biparentales.</w:t>
      </w:r>
    </w:p>
    <w:p w14:paraId="02C5F659" w14:textId="77777777" w:rsidR="003754FE" w:rsidRDefault="003754FE" w:rsidP="003754FE">
      <w:pPr>
        <w:pStyle w:val="TextoNormal"/>
      </w:pPr>
    </w:p>
    <w:p w14:paraId="493D2564" w14:textId="77777777" w:rsidR="003754FE" w:rsidRDefault="003754FE" w:rsidP="003754FE">
      <w:pPr>
        <w:pStyle w:val="TextoNormal"/>
      </w:pPr>
      <w:r>
        <w:t>La Fiscalía General del Estado recalca que no puede olvidarse que el objeto de análisis es una prestación contributiva, por lo que el derecho a obtenerla y su cuantía dependen de la contribución previa a la Seguridad Social, siendo posible que el progenitor de una familia monoparental, tal como está regulada literalmente por el art. 177 LGSS, es decir, aún sin el aumento solicitado (referida solo a dieciséis semanas), reciba una prestación por un importe superior a la suma de las prestaciones de ambos progenitores de una familia biparental.</w:t>
      </w:r>
    </w:p>
    <w:p w14:paraId="56E8070D" w14:textId="77777777" w:rsidR="003754FE" w:rsidRDefault="003754FE" w:rsidP="003754FE">
      <w:pPr>
        <w:pStyle w:val="TextoNormal"/>
      </w:pPr>
    </w:p>
    <w:p w14:paraId="480A0E93" w14:textId="77777777" w:rsidR="003754FE" w:rsidRDefault="003754FE" w:rsidP="003754FE">
      <w:pPr>
        <w:pStyle w:val="TextoNormal"/>
      </w:pPr>
      <w:r>
        <w:t xml:space="preserve">c) Por lo que se refiere a la discriminación indirecta por razón de sexo, apunta que, si nos ceñimos solamente al derecho del progenitor gestante, las madres de familias biparentales solo tienen derecho a cuidar de los hijos durante dieciséis semanas, sin que puedan añadir las dieciséis correspondientes al otro progenitor, ni siquiera en el caso de que el mismo no </w:t>
      </w:r>
      <w:r>
        <w:lastRenderedPageBreak/>
        <w:t>tenga derecho a la suspensión del contrato de trabajo o no tenga derecho a la prestación económica.</w:t>
      </w:r>
    </w:p>
    <w:p w14:paraId="11EA1CA1" w14:textId="77777777" w:rsidR="003754FE" w:rsidRDefault="003754FE" w:rsidP="003754FE">
      <w:pPr>
        <w:pStyle w:val="TextoNormal"/>
      </w:pPr>
    </w:p>
    <w:p w14:paraId="683106D0" w14:textId="77777777" w:rsidR="003754FE" w:rsidRDefault="003754FE" w:rsidP="003754FE">
      <w:pPr>
        <w:pStyle w:val="TextoNormal"/>
      </w:pPr>
      <w:r>
        <w:t>Considera preciso recordar que el Derecho de la Unión Europea alerta contra las medidas que, si bien contienen un trato favorable para la mujer, en la práctica tienden a perpetuar roles o estereotipos de género. Precisamente, ese fue uno de los motivos que condujeron al legislador nacional a configurar como intransferible el derecho a la suspensión del contrato de trabajo: que los hombres se impliquen de manera efectiva también en el cuidado de sus hijos. El que las familias monoparentales estén formadas muy mayoritariamente por mujeres hace necesario regular con cuidado las medidas de protección para ellas, de modo que no fomenten una vuelta a los roles de género tradicionales y no se conviertan en un obstáculo para la integración de esas mujeres en el mercado laboral.</w:t>
      </w:r>
    </w:p>
    <w:p w14:paraId="7D8FDEE7" w14:textId="77777777" w:rsidR="003754FE" w:rsidRDefault="003754FE" w:rsidP="003754FE">
      <w:pPr>
        <w:pStyle w:val="TextoNormal"/>
      </w:pPr>
    </w:p>
    <w:p w14:paraId="6CAB1229" w14:textId="7DC0F301" w:rsidR="003754FE" w:rsidRDefault="003754FE" w:rsidP="003754FE">
      <w:pPr>
        <w:pStyle w:val="TextoNormal"/>
      </w:pPr>
      <w:r>
        <w:t>La Fiscalía General del Estado, concluye reiterando que los juicios de aplicabilidad y relevancia no están correctamente planteados y, en todo caso, la cuestión debe desestimarse, pues no cabe considerar que el art. 48.4 LET, en conexión con el art. 177 LGSS, sea contrario a la Constitución.</w:t>
      </w:r>
    </w:p>
    <w:p w14:paraId="601CBDDE" w14:textId="77777777" w:rsidR="003754FE" w:rsidRDefault="003754FE" w:rsidP="003754FE">
      <w:pPr>
        <w:pStyle w:val="TextoNormal"/>
      </w:pPr>
    </w:p>
    <w:p w14:paraId="24D04AAA" w14:textId="77777777" w:rsidR="003754FE" w:rsidRDefault="003754FE" w:rsidP="003754FE">
      <w:pPr>
        <w:pStyle w:val="TextoNormal"/>
      </w:pPr>
      <w:r w:rsidRPr="003754FE">
        <w:rPr>
          <w:rStyle w:val="NumeroAFNegritaCaracter"/>
        </w:rPr>
        <w:t>9</w:t>
      </w:r>
      <w:r>
        <w:t>. Por medio de un escrito registrado en el Tribunal el día 22 de abril de 2024, el letrado de la Administración de la Seguridad Social, en nombre del INSS y de la TGSS, compareció en el proceso y formuló las alegaciones siguientes:</w:t>
      </w:r>
    </w:p>
    <w:p w14:paraId="0BF886FB" w14:textId="77777777" w:rsidR="003754FE" w:rsidRDefault="003754FE" w:rsidP="003754FE">
      <w:pPr>
        <w:pStyle w:val="TextoNormal"/>
      </w:pPr>
    </w:p>
    <w:p w14:paraId="4FA4E429" w14:textId="77777777" w:rsidR="003754FE" w:rsidRDefault="003754FE" w:rsidP="003754FE">
      <w:pPr>
        <w:pStyle w:val="TextoNormal"/>
      </w:pPr>
      <w:r>
        <w:t xml:space="preserve">a) En primer lugar, considera que la providencia por la que se dio audiencia a las partes y al Ministerio Fiscal en el proceso </w:t>
      </w:r>
      <w:r w:rsidRPr="003754FE">
        <w:rPr>
          <w:i/>
        </w:rPr>
        <w:t>a quo</w:t>
      </w:r>
      <w:r>
        <w:t xml:space="preserve"> no se ajusta a la normativa aplicable (art. 35.2 LOTC), ya que se ha limitado a citar los preceptos constitucionales que según su criterio pueden resultar vulnerados, pero no contiene razonamiento alguno que expongan de qué forma se han producido esas supuestas vulneraciones ni tampoco en qué medida la calificación de la norma como inconstitucional condicionaría la decisión de este proceso, por lo que la providencia referida no cumple su función de posibilitar a las partes efectuar alegaciones sobre la pertinencia de plantear una cuestión de inconstitucionalidad. Igualmente, alega que la providencia parte de un planteamiento que no se ajusta a la realidad normativa, ya que no puede afirmarse que, con carácter general, en las familias biparentales la prestación cuestionada vaya a tener una duración de treinta y dos semanas, al depender de una serie de requisitos que no siempre se cumplirán. Por ello, la cuestión de inconstitucionalidad es también infundada.</w:t>
      </w:r>
    </w:p>
    <w:p w14:paraId="23186D46" w14:textId="77777777" w:rsidR="003754FE" w:rsidRDefault="003754FE" w:rsidP="003754FE">
      <w:pPr>
        <w:pStyle w:val="TextoNormal"/>
      </w:pPr>
    </w:p>
    <w:p w14:paraId="5CC845C2" w14:textId="77777777" w:rsidR="003754FE" w:rsidRDefault="003754FE" w:rsidP="003754FE">
      <w:pPr>
        <w:pStyle w:val="TextoNormal"/>
      </w:pPr>
      <w:r>
        <w:t>A continuación, se refiere a la STC 75/2011, de 19 de mayo, que abordó la posibilidad de que el padre biológico disfrute del permiso de maternidad de la madre cuando esta no tiene derecho a él, alternativa que rechazó. Invoca también las SSTC 111/2018, de 17 de octubre, y 2/2019, de 14 de enero, relativas a la ampliación de los permisos de paternidad en la misma extensión que los permisos de maternidad, cuando esto no se preveía, posibilidad que se descartó.</w:t>
      </w:r>
    </w:p>
    <w:p w14:paraId="61FDD8EC" w14:textId="77777777" w:rsidR="003754FE" w:rsidRDefault="003754FE" w:rsidP="003754FE">
      <w:pPr>
        <w:pStyle w:val="TextoNormal"/>
      </w:pPr>
    </w:p>
    <w:p w14:paraId="5D785B96" w14:textId="77777777" w:rsidR="003754FE" w:rsidRDefault="003754FE" w:rsidP="003754FE">
      <w:pPr>
        <w:pStyle w:val="TextoNormal"/>
      </w:pPr>
      <w:r>
        <w:t>Asimismo, se refiere a la Directiva (UE) 2019/1158 del Parlamento Europeo y del Consejo, de 20 de junio de 2019, relativa a la conciliación de la vida familiar y la vida profesional de los progenitores y los cuidadores, cuyo propósito es fomentar un reparto más equitativo entre mujeres y hombres de las responsabilidades en el cuidado de los hijos, y permitir que se cree un vínculo temprano entre padres e hijos.</w:t>
      </w:r>
    </w:p>
    <w:p w14:paraId="59F89B55" w14:textId="77777777" w:rsidR="003754FE" w:rsidRDefault="003754FE" w:rsidP="003754FE">
      <w:pPr>
        <w:pStyle w:val="TextoNormal"/>
      </w:pPr>
    </w:p>
    <w:p w14:paraId="63F0EF44" w14:textId="77777777" w:rsidR="003754FE" w:rsidRDefault="003754FE" w:rsidP="003754FE">
      <w:pPr>
        <w:pStyle w:val="TextoNormal"/>
      </w:pPr>
      <w:r>
        <w:t>b) El letrado de la Administración de la Seguridad Social argumenta que no hay una discriminación de los menores nacidos en familias biparentales y monoparentales, ya que las situaciones que se comparan son diferentes. El permiso de paternidad no se concibe como un periodo añadido al de maternidad con la finalidad de cuidado, sino que persigue un reparto equitativo de las cargas familiares e, indirectamente, evitar un distinto trato laboral entre hombres y mujeres. Dado que pretende facilitar la conciliación de la vida personal y familiar y proteger las especiales relaciones del segundo progenitor con el hijo, estas finalidades solo pueden cumplirse si existe un segundo progenitor y no pueden ser suplidas por la madre biológica.</w:t>
      </w:r>
    </w:p>
    <w:p w14:paraId="0A1072D9" w14:textId="77777777" w:rsidR="003754FE" w:rsidRDefault="003754FE" w:rsidP="003754FE">
      <w:pPr>
        <w:pStyle w:val="TextoNormal"/>
      </w:pPr>
    </w:p>
    <w:p w14:paraId="721B5F32" w14:textId="77777777" w:rsidR="003754FE" w:rsidRDefault="003754FE" w:rsidP="003754FE">
      <w:pPr>
        <w:pStyle w:val="TextoNormal"/>
      </w:pPr>
      <w:r>
        <w:t>El derecho discutido corresponde al segundo progenitor y no al hijo, por lo que la discriminación planteada por el órgano judicial no existe. Tampoco considera que exista discriminación indirecta, ya que los términos de comparación no guardan la identidad que requiere todo juicio de igualdad. Señala que el establecimiento de un permiso de mayor duración en favor de las madres biológicas en las familias monoparentales podría producir una clara desventaja en la contratación de estas mujeres, pues se ahondaría en el estereotipo de género.</w:t>
      </w:r>
    </w:p>
    <w:p w14:paraId="292C2CF8" w14:textId="77777777" w:rsidR="003754FE" w:rsidRDefault="003754FE" w:rsidP="003754FE">
      <w:pPr>
        <w:pStyle w:val="TextoNormal"/>
      </w:pPr>
    </w:p>
    <w:p w14:paraId="732D3E31" w14:textId="77777777" w:rsidR="003754FE" w:rsidRDefault="003754FE" w:rsidP="003754FE">
      <w:pPr>
        <w:pStyle w:val="TextoNormal"/>
      </w:pPr>
      <w:r>
        <w:t>Otro argumento en contra de la ampliación es que, en caso de fallecimiento del hijo, no se reduce el periodo de suspensión del contrato, por lo que la finalidad de la norma no es la atención al menor, sino la efectiva igualdad de derechos entre ambos progenitores.</w:t>
      </w:r>
    </w:p>
    <w:p w14:paraId="0ACA40C6" w14:textId="77777777" w:rsidR="003754FE" w:rsidRDefault="003754FE" w:rsidP="003754FE">
      <w:pPr>
        <w:pStyle w:val="TextoNormal"/>
      </w:pPr>
    </w:p>
    <w:p w14:paraId="154DCDD4" w14:textId="77777777" w:rsidR="003754FE" w:rsidRDefault="003754FE" w:rsidP="003754FE">
      <w:pPr>
        <w:pStyle w:val="TextoNormal"/>
      </w:pPr>
      <w:r>
        <w:t>En suma, sostiene que hay variadas razones que determinan el distinto trato ofrecido por el legislador a la hora de regular los permisos por nacimiento y cuidado del menor, citando nuevamente, en apoyo de su posición, la STS 169/2023, de 2 de marzo.</w:t>
      </w:r>
    </w:p>
    <w:p w14:paraId="345A9FDB" w14:textId="77777777" w:rsidR="003754FE" w:rsidRDefault="003754FE" w:rsidP="003754FE">
      <w:pPr>
        <w:pStyle w:val="TextoNormal"/>
      </w:pPr>
    </w:p>
    <w:p w14:paraId="227AEB14" w14:textId="77777777" w:rsidR="003754FE" w:rsidRDefault="003754FE" w:rsidP="003754FE">
      <w:pPr>
        <w:pStyle w:val="TextoNormal"/>
      </w:pPr>
      <w:r>
        <w:t>c) Respecto de la Convención de Naciones Unidas sobre los derechos del niño, el representante de la Seguridad Social entiende que no impone a los Estados ninguna obligación que pueda traducirse en derechos subjetivos ejercitables individualmente, pues cada Estado es soberano para regular el derecho a la Seguridad Social.</w:t>
      </w:r>
    </w:p>
    <w:p w14:paraId="6E19175C" w14:textId="77777777" w:rsidR="003754FE" w:rsidRDefault="003754FE" w:rsidP="003754FE">
      <w:pPr>
        <w:pStyle w:val="TextoNormal"/>
      </w:pPr>
    </w:p>
    <w:p w14:paraId="73446EEF" w14:textId="77777777" w:rsidR="003754FE" w:rsidRDefault="003754FE" w:rsidP="003754FE">
      <w:pPr>
        <w:pStyle w:val="TextoNormal"/>
      </w:pPr>
      <w:r>
        <w:t>Igualmente, recuerda que la regulación del permiso por nacimiento y cuidado de menor en favor de trabajadoras que tienen la condición de madre en familias monoparentales supera suficientemente los estándares mínimos establecidos por las directivas comunitarias sobre la materia, en concreto, la Directiva 92/85/CEE del Consejo, de 19 de octubre de 1992, y la Directiva 2010/18/UE del Consejo, de 8 de marzo de 2010.</w:t>
      </w:r>
    </w:p>
    <w:p w14:paraId="4E761AB1" w14:textId="77777777" w:rsidR="003754FE" w:rsidRDefault="003754FE" w:rsidP="003754FE">
      <w:pPr>
        <w:pStyle w:val="TextoNormal"/>
      </w:pPr>
    </w:p>
    <w:p w14:paraId="5C0EAFD5" w14:textId="77777777" w:rsidR="003754FE" w:rsidRDefault="003754FE" w:rsidP="003754FE">
      <w:pPr>
        <w:pStyle w:val="TextoNormal"/>
      </w:pPr>
      <w:r>
        <w:t>d) El letrado de la Administración de la Seguridad Social aborda, por último, la perspectiva de la protección de la familia y de los distintos modelos familiares, con base en el art. 39 CE. Tras citar la STC 65/1987, de 21 de mayo, sobre el margen del legislador para atender las distintas situaciones de necesidad, recuerda que, en nuestro ordenamiento jurídico se tiene en cuenta la existencia de diferentes modelos familiares, reconociendo las especiales necesidades que afrontan las familias monoparentales, conforme a las exigencias de la Directiva (UE) 2019/1158, tanto dentro como fuera del ámbito de la Seguridad Social. Cita varios supuestos en que la Ley general de la Seguridad Social y otras normas, como la Ley del impuesto sobre la renta de las personas físicas, prevén un tratamiento específico para estas familias.</w:t>
      </w:r>
    </w:p>
    <w:p w14:paraId="50B59DFA" w14:textId="77777777" w:rsidR="003754FE" w:rsidRDefault="003754FE" w:rsidP="003754FE">
      <w:pPr>
        <w:pStyle w:val="TextoNormal"/>
      </w:pPr>
    </w:p>
    <w:p w14:paraId="0484D70D" w14:textId="0EA58DD7" w:rsidR="003754FE" w:rsidRDefault="003754FE" w:rsidP="003754FE">
      <w:pPr>
        <w:pStyle w:val="TextoNormal"/>
      </w:pPr>
      <w:r>
        <w:t>Concluye recalcando que el trato otorgado a las familias monoparentales en el disfrute de los permisos y prestaciones por nacimiento y cuidado de menor ha sido debidamente valorado por el legislador, de modo que no se produce ninguna de las vulneraciones denunciadas.</w:t>
      </w:r>
    </w:p>
    <w:p w14:paraId="12DB2940" w14:textId="77777777" w:rsidR="003754FE" w:rsidRDefault="003754FE" w:rsidP="003754FE">
      <w:pPr>
        <w:pStyle w:val="TextoNormal"/>
      </w:pPr>
    </w:p>
    <w:p w14:paraId="74F482D4" w14:textId="634BFDDE" w:rsidR="003754FE" w:rsidRDefault="003754FE" w:rsidP="003754FE">
      <w:pPr>
        <w:pStyle w:val="TextoNormal"/>
      </w:pPr>
      <w:r w:rsidRPr="003754FE">
        <w:rPr>
          <w:rStyle w:val="NumeroAFNegritaCaracter"/>
        </w:rPr>
        <w:t>10</w:t>
      </w:r>
      <w:r>
        <w:t>. Mediante providencia de 5 de noviembre de 2024 se señaló para deliberación y votación de la presente sentencia el día 6 del mismo mes y año.</w:t>
      </w:r>
    </w:p>
    <w:p w14:paraId="29C3B5AF" w14:textId="77777777" w:rsidR="003754FE" w:rsidRDefault="003754FE" w:rsidP="003754FE">
      <w:pPr>
        <w:pStyle w:val="TextoNormal"/>
      </w:pPr>
    </w:p>
    <w:p w14:paraId="76A534D6" w14:textId="77777777" w:rsidR="003754FE" w:rsidRDefault="003754FE" w:rsidP="003754FE">
      <w:pPr>
        <w:pStyle w:val="TextoNormalNegritaCentrado"/>
        <w:keepNext/>
      </w:pPr>
      <w:r>
        <w:t>II. Fundamentos jurídicos</w:t>
      </w:r>
    </w:p>
    <w:p w14:paraId="140C5EFB" w14:textId="39A47EE7" w:rsidR="003754FE" w:rsidRDefault="003754FE" w:rsidP="003754FE">
      <w:pPr>
        <w:pStyle w:val="TextoNormalNegritaCentrado"/>
        <w:keepNext/>
      </w:pPr>
    </w:p>
    <w:p w14:paraId="01E9352F" w14:textId="77777777" w:rsidR="003754FE" w:rsidRDefault="003754FE" w:rsidP="003754FE">
      <w:pPr>
        <w:pStyle w:val="TextoNormal"/>
      </w:pPr>
      <w:r w:rsidRPr="003754FE">
        <w:rPr>
          <w:rStyle w:val="NumeroAFNegritaCaracter"/>
        </w:rPr>
        <w:t>1</w:t>
      </w:r>
      <w:r>
        <w:t xml:space="preserve">. </w:t>
      </w:r>
      <w:r w:rsidRPr="003754FE">
        <w:rPr>
          <w:i/>
        </w:rPr>
        <w:t>Objeto de la cuestión de inconstitucionalidad y síntesis de las alegaciones de las partes</w:t>
      </w:r>
    </w:p>
    <w:p w14:paraId="166A39A6" w14:textId="77777777" w:rsidR="003754FE" w:rsidRDefault="003754FE" w:rsidP="003754FE">
      <w:pPr>
        <w:pStyle w:val="TextoNormal"/>
      </w:pPr>
    </w:p>
    <w:p w14:paraId="342DB081" w14:textId="77777777" w:rsidR="003754FE" w:rsidRDefault="003754FE" w:rsidP="003754FE">
      <w:pPr>
        <w:pStyle w:val="TextoNormal"/>
      </w:pPr>
      <w:r>
        <w:t>a) La Sala de lo Social del Tribunal Superior de Justicia de Cataluña promueve la presente cuestión de inconstitucionalidad respecto del art. 48, apartados 4, 5 y 6, del texto refundido de la Ley del Estatuto de los trabajadores, aprobado por Real Decreto Legislativo 2/2015, de 23 de octubre, en conexión con el art. 177 del texto refundido de la Ley General de la Seguridad Social, aprobado por el Real Decreto Legislativo 8/2015, de 30 de octubre, en la redacción dada a ambos preceptos por el Real Decreto-ley 6/2019, de 1 de marzo, de medidas urgentes para garantía de la igualdad de trato y de oportunidades entre mujeres y hombres en el empleo y la ocupación.</w:t>
      </w:r>
    </w:p>
    <w:p w14:paraId="3D1A4C7B" w14:textId="77777777" w:rsidR="003754FE" w:rsidRDefault="003754FE" w:rsidP="003754FE">
      <w:pPr>
        <w:pStyle w:val="TextoNormal"/>
      </w:pPr>
    </w:p>
    <w:p w14:paraId="143E0A7A" w14:textId="77777777" w:rsidR="003754FE" w:rsidRDefault="003754FE" w:rsidP="003754FE">
      <w:pPr>
        <w:pStyle w:val="TextoNormal"/>
      </w:pPr>
      <w:r>
        <w:t>Los apartados 4 y 6 del art. 48 LET respecto de los que se promueve la presente cuestión de inconstitucionalidad han sido objeto de dos modificaciones ulteriores, introducidas respectivamente por la Ley 4/2023, de 28 de febrero, para la igualdad real y efectiva de las personas trans y para la garantía de los derechos de las personas LGTBI (respecto del art. 48.4 LET), y por el Real Decreto-ley 5/2023, de 28 de junio (respecto del art. 48.6 LET). También ha sido objeto de modificación el art. 177 LGSS, en este caso a través de los dispuesto en la disposición final decimocuarta de la Ley Orgánica 1/2023, de 28 de febrero. No obstante, ninguna de las modificaciones indicadas afecta al objeto de nuestro enjuiciamiento en la presente cuestión, tal y como este quedará delimitado tras el análisis de las alegaciones formuladas por el letrado de la Administración de la Seguridad Social, la Fiscalía General del Estado y la Abogacía del Estado.</w:t>
      </w:r>
    </w:p>
    <w:p w14:paraId="3813DDC8" w14:textId="77777777" w:rsidR="003754FE" w:rsidRDefault="003754FE" w:rsidP="003754FE">
      <w:pPr>
        <w:pStyle w:val="TextoNormal"/>
      </w:pPr>
    </w:p>
    <w:p w14:paraId="45BD6E38" w14:textId="77777777" w:rsidR="003754FE" w:rsidRDefault="003754FE" w:rsidP="003754FE">
      <w:pPr>
        <w:pStyle w:val="TextoNormal"/>
      </w:pPr>
      <w:r>
        <w:t>La Sala promotora de la cuestión argumenta, en primer lugar, que las previsiones legales cuestionadas supondrían un trato discriminatorio hacia el menor perteneciente a una familia monoparental, ya que implican que recibirá un tiempo de cuidado inferior que el nacido en una familia biparental, a pesar de que tiene idénticas necesidades. Esto podría colisionar con el obligado respeto al interés superior del menor, al recibir un trato discriminatorio respecto de los nacidos en familias biparentales. Se vulnerarían, por tanto, los arts. 14, 39, apartados 1, 2 y 4, y 41 CE; el art. 10.1 (realmente, art. 10.2) CE, en relación con el art. 3.1 de la Convención de Naciones Unidas sobre los derechos del niño y el art. 24 de la Carta de los derechos fundamentales de la Unión Europea; y el art. 2.4 de la Ley Orgánica 1/1996, de 15 de enero, de protección jurídica del menor.</w:t>
      </w:r>
    </w:p>
    <w:p w14:paraId="490D286F" w14:textId="77777777" w:rsidR="003754FE" w:rsidRDefault="003754FE" w:rsidP="003754FE">
      <w:pPr>
        <w:pStyle w:val="TextoNormal"/>
      </w:pPr>
    </w:p>
    <w:p w14:paraId="469BEAED" w14:textId="77777777" w:rsidR="003754FE" w:rsidRDefault="003754FE" w:rsidP="003754FE">
      <w:pPr>
        <w:pStyle w:val="TextoNormal"/>
      </w:pPr>
      <w:r>
        <w:lastRenderedPageBreak/>
        <w:t>En segundo lugar, la Sala entiende que, a pesar del carácter neutro de los preceptos cuestionados, también se produciría una discriminación indirecta por razón de sexo, ya que el impacto negativo y desfavorable de esa regulación incidiría de manera más intensa sobre las mujeres trabajadoras, que encabezan mayoritariamente las familias monoparentales. Esto infringiría el art. 14 CE, en relación con el art. 6 de la Ley Orgánica 3/2007, de 22 de marzo, para la igualdad efectiva de mujeres y hombres.</w:t>
      </w:r>
    </w:p>
    <w:p w14:paraId="4DD3F3CE" w14:textId="77777777" w:rsidR="003754FE" w:rsidRDefault="003754FE" w:rsidP="003754FE">
      <w:pPr>
        <w:pStyle w:val="TextoNormal"/>
      </w:pPr>
    </w:p>
    <w:p w14:paraId="16E5A2CB" w14:textId="77777777" w:rsidR="003754FE" w:rsidRDefault="003754FE" w:rsidP="003754FE">
      <w:pPr>
        <w:pStyle w:val="TextoNormal"/>
      </w:pPr>
      <w:r>
        <w:t>b) La Abogacía del Estado solicita excluir del análisis el art. 41 CE, por no haberse cumplido la carga alegatoria que incumbe a la Sala promotora de la cuestión. En cuanto al fondo, defiende que no se vulneraría el art. 39 CE, ya que corresponde al legislador determinar el nivel y condiciones de las prestaciones de la seguridad social, dentro de las disponibilidades existentes. Tampoco aprecia la vulneración del art. 14 CE, ni del interés superior del menor, ya que existiría una justificación para el diferente trato entre familias monoparentales y biparentales.</w:t>
      </w:r>
    </w:p>
    <w:p w14:paraId="42C6BFCA" w14:textId="77777777" w:rsidR="003754FE" w:rsidRDefault="003754FE" w:rsidP="003754FE">
      <w:pPr>
        <w:pStyle w:val="TextoNormal"/>
      </w:pPr>
    </w:p>
    <w:p w14:paraId="6CF039C6" w14:textId="77777777" w:rsidR="003754FE" w:rsidRDefault="003754FE" w:rsidP="003754FE">
      <w:pPr>
        <w:pStyle w:val="TextoNormal"/>
      </w:pPr>
      <w:r>
        <w:t xml:space="preserve">La Fiscalía General del Estado apunta, al igual que la Abogacía del Estado, que del parámetro de análisis debería excluirse el art. 41 CE, ya que no se desarrolla argumentación específica al respecto en el auto de planteamiento de la presente cuestión. Igualmente afirma que debe excluirse el art. 10.2 CE por no haber sido invocado en la providencia de apertura del trámite de alegaciones. Asimismo, considera que el proceso </w:t>
      </w:r>
      <w:r w:rsidRPr="003754FE">
        <w:rPr>
          <w:i/>
        </w:rPr>
        <w:t>a quo</w:t>
      </w:r>
      <w:r>
        <w:t xml:space="preserve"> se circunscribe a la solicitud de la prestación económica del art. 177 LGSS, sin referirse a la suspensión del contrato de trabajo del art. 48.4 LET, precepto que no fue aplicado en el proceso de instancia. Añade que el juicio de relevancia tampoco se habría realizado adecuadamente, al no exponer de qué modo la inconstitucionalidad del precepto daría lugar a la estimación de la demanda. Respecto de las vulneraciones que se denuncian, argumenta que se vinculan a una discriminación por indiferenciación y a una omisión del legislador, por lo que, aunque pueda compartirse la necesidad de una regulación específica para las familias monoparentales, correspondería al legislador aprobarla.</w:t>
      </w:r>
    </w:p>
    <w:p w14:paraId="36D23DDC" w14:textId="77777777" w:rsidR="003754FE" w:rsidRDefault="003754FE" w:rsidP="003754FE">
      <w:pPr>
        <w:pStyle w:val="TextoNormal"/>
      </w:pPr>
    </w:p>
    <w:p w14:paraId="1BD71510" w14:textId="2A7AB151" w:rsidR="003754FE" w:rsidRDefault="003754FE" w:rsidP="003754FE">
      <w:pPr>
        <w:pStyle w:val="TextoNormal"/>
      </w:pPr>
      <w:r>
        <w:t xml:space="preserve">El letrado de la Administración de la Seguridad Social aduce que la providencia por la que se dio audiencia a las partes del proceso </w:t>
      </w:r>
      <w:r w:rsidRPr="003754FE">
        <w:rPr>
          <w:i/>
        </w:rPr>
        <w:t>a quo</w:t>
      </w:r>
      <w:r>
        <w:t xml:space="preserve"> sería defectuosa porque no ha cumplido su función de posibilitar a las partes efectuar alegaciones sobre la pertinencia de su planteamiento, al no razonar de qué forma se ha producido las supuestas vulneraciones ni en qué medida la calificación de la norma como inconstitucional condicionaría la decisión de este proceso; y por basarse en premisas inciertas, al dar por sentado que en las familias biparentales la prestación cuestionada tiene una duración de treinta y dos semanas, lo que no siempre es así, debiendo, por tanto, considerarse infundada la cuestión de inconstitucionalidad. En cuanto al fondo considera que no concurre los tratos discriminatorios alegados.</w:t>
      </w:r>
    </w:p>
    <w:p w14:paraId="270880E3" w14:textId="77777777" w:rsidR="003754FE" w:rsidRDefault="003754FE" w:rsidP="003754FE">
      <w:pPr>
        <w:pStyle w:val="TextoNormal"/>
      </w:pPr>
    </w:p>
    <w:p w14:paraId="2348B46F" w14:textId="77777777" w:rsidR="003754FE" w:rsidRDefault="003754FE" w:rsidP="003754FE">
      <w:pPr>
        <w:pStyle w:val="TextoNormal"/>
      </w:pPr>
      <w:r w:rsidRPr="003754FE">
        <w:rPr>
          <w:rStyle w:val="NumeroAFNegritaCaracter"/>
        </w:rPr>
        <w:t>2</w:t>
      </w:r>
      <w:r>
        <w:t xml:space="preserve">. </w:t>
      </w:r>
      <w:r w:rsidRPr="003754FE">
        <w:rPr>
          <w:i/>
        </w:rPr>
        <w:t>Cuestiones previas</w:t>
      </w:r>
    </w:p>
    <w:p w14:paraId="7F4D7DE7" w14:textId="77777777" w:rsidR="003754FE" w:rsidRDefault="003754FE" w:rsidP="003754FE">
      <w:pPr>
        <w:pStyle w:val="TextoNormal"/>
      </w:pPr>
    </w:p>
    <w:p w14:paraId="746C82AC" w14:textId="77777777" w:rsidR="003754FE" w:rsidRDefault="003754FE" w:rsidP="003754FE">
      <w:pPr>
        <w:pStyle w:val="TextoNormal"/>
      </w:pPr>
      <w:r>
        <w:t xml:space="preserve">a) Como primera cuestión preliminar, procede subrayar que corresponde a este tribunal adoptar las medidas pertinentes para la adecuada protección de los derechos reconocidos en el art. 18.1 y 4 CE, en aplicación del art. 86.3 LOTC y del acuerdo del Pleno de 23 de julio de 2015, por el que se regula la exclusión de los datos de identificación personal en la publicación de las resoluciones jurisdiccionales de este tribunal (“Boletín Oficial del Estado” núm. 178, de 27 de julio de 2015). En consecuencia, la presente sentencia identifica por sus </w:t>
      </w:r>
      <w:r>
        <w:lastRenderedPageBreak/>
        <w:t xml:space="preserve">iniciales a la demandante en el proceso </w:t>
      </w:r>
      <w:r w:rsidRPr="003754FE">
        <w:rPr>
          <w:i/>
        </w:rPr>
        <w:t>a quo</w:t>
      </w:r>
      <w:r>
        <w:t xml:space="preserve"> con el fin de preservar su anonimato, protegiendo así de modo efectivo su intimidad.</w:t>
      </w:r>
    </w:p>
    <w:p w14:paraId="3D79A9ED" w14:textId="77777777" w:rsidR="003754FE" w:rsidRDefault="003754FE" w:rsidP="003754FE">
      <w:pPr>
        <w:pStyle w:val="TextoNormal"/>
      </w:pPr>
    </w:p>
    <w:p w14:paraId="7B4AF106" w14:textId="77777777" w:rsidR="003754FE" w:rsidRDefault="003754FE" w:rsidP="003754FE">
      <w:pPr>
        <w:pStyle w:val="TextoNormal"/>
      </w:pPr>
      <w:r>
        <w:t>b) En segundo lugar, debemos desechar los óbices de procedibilidad planteados por el letrado de la Administración de la Seguridad Social, la Abogacía del Estado y la Fiscalía General del Estado por los motivos que ahora desarrollaremos.</w:t>
      </w:r>
    </w:p>
    <w:p w14:paraId="6C479401" w14:textId="77777777" w:rsidR="003754FE" w:rsidRDefault="003754FE" w:rsidP="003754FE">
      <w:pPr>
        <w:pStyle w:val="TextoNormal"/>
      </w:pPr>
    </w:p>
    <w:p w14:paraId="55582DC7" w14:textId="77777777" w:rsidR="003754FE" w:rsidRDefault="003754FE" w:rsidP="003754FE">
      <w:pPr>
        <w:pStyle w:val="TextoNormal"/>
      </w:pPr>
      <w:r>
        <w:t xml:space="preserve">En este sentido, debemos comenzar indicando que el letrado de la Administración de la Seguridad Social afirma que la providencia por la que se dio audiencia a las partes del proceso </w:t>
      </w:r>
      <w:r w:rsidRPr="003754FE">
        <w:rPr>
          <w:i/>
        </w:rPr>
        <w:t>a quo</w:t>
      </w:r>
      <w:r>
        <w:t>, previo planteamiento de la presente cuestión, se basó en premisas inciertas. Esa afirmación no supone en realidad el planteamiento de un óbice procesal, sino una discrepancia sobre el fondo de la cuestión de inconstitucionalidad, prueba de lo cual es que no se solicita la inadmisión, sino que se califica la cuestión como “infundada”. Por esta razón, debe descartarse sin más la objeción expuesta.</w:t>
      </w:r>
    </w:p>
    <w:p w14:paraId="016E6E69" w14:textId="77777777" w:rsidR="003754FE" w:rsidRDefault="003754FE" w:rsidP="003754FE">
      <w:pPr>
        <w:pStyle w:val="TextoNormal"/>
      </w:pPr>
    </w:p>
    <w:p w14:paraId="341FEA78" w14:textId="77777777" w:rsidR="003754FE" w:rsidRDefault="003754FE" w:rsidP="003754FE">
      <w:pPr>
        <w:pStyle w:val="TextoNormal"/>
      </w:pPr>
      <w:r>
        <w:t>Por otra parte, el letrado de la Administración de la Seguridad Social también aduce que la providencia de apertura del trámite de alegaciones ha incumplido los requisitos procesales del art. 35.2 LOTC por no contener razonamiento alguno sobre en qué forma se han producido las supuestas vulneraciones por las normas a cuestionar, ni tampoco en qué medida la calificación de la norma como inconstitucional condicionaría la decisión de este proceso, lo que ha imposibilitado a las partes efectuar alegaciones sobre la pertinencia de su planteamiento. Debe rechazarse esa alegación. La providencia contenía los elementos esenciales necesarios, ya que, no solo identificaba las normas legales a cuestionar y los preceptos constitucionales que podían infringirse, sino que, además, señalaba que la aplicación de las normas legales a cuestionar suponía que los menores pertenecientes a las familias monoparentales tendrían un tiempo de cuidado inferior a los nacidos en familias biparentales y que resultaban afectadas especialmente las mujeres, al conformar en un alto porcentaje las familias monoparentales. Ambas eran las líneas sobre las que después se desarrollan las dudas de constitucionalidad en el auto de planteamiento. Además, también se constata que, en el procedimiento judicial subyacente, el debate procesal se centró en la eventual inconstitucionalidad de la regulación de los permisos y las prestaciones por maternidad en relación con las familias monoparentales, por suponer una discriminación tanto desde la perspectiva de los menores como desde la de las madres. Resulta relevante a esos efectos, por un lado, que la sentencia de instancia impugnada en suplicación reconoció el derecho a la acumulación de las dieciséis semanas correspondientes al otro progenitor argumentando que, si no se reconociera esa acumulación de las prestaciones, se incurriría en un trato discriminatorio; y, por otro, que dos de los motivos del recurso de suplicación interpuesto por la Administración de la Seguridad Social contra dicha sentencia denunciaban, precisamente, la vulneración del art. 35 LOTC, porque se debería haber promovido cuestión de inconstitucionalidad para determinar si la regulación legal aplicable vulneraba o no el art. 14 CE. En esas condiciones, debe concluirse que las partes han tenido la oportunidad de identificar la duda de constitucionalidad para exponer las alegaciones que consideraron pertinentes.</w:t>
      </w:r>
    </w:p>
    <w:p w14:paraId="19136DC7" w14:textId="77777777" w:rsidR="003754FE" w:rsidRDefault="003754FE" w:rsidP="003754FE">
      <w:pPr>
        <w:pStyle w:val="TextoNormal"/>
      </w:pPr>
    </w:p>
    <w:p w14:paraId="73434559" w14:textId="77777777" w:rsidR="003754FE" w:rsidRDefault="003754FE" w:rsidP="003754FE">
      <w:pPr>
        <w:pStyle w:val="TextoNormal"/>
      </w:pPr>
      <w:r>
        <w:t xml:space="preserve">Asimismo, debemos rechazar las alegaciones de la Fiscalía General del Estado referidas a la falta de aplicación del art. 48.4 LET en el proceso </w:t>
      </w:r>
      <w:r w:rsidRPr="003754FE">
        <w:rPr>
          <w:i/>
        </w:rPr>
        <w:t>a quo</w:t>
      </w:r>
      <w:r>
        <w:t xml:space="preserve"> y a la defectuosa formulación de los juicios de aplicabilidad y relevancia. Sobre el primer aspecto, aunque lo reclamado en concreto por doña S.C.J., era la prestación por nacimiento del art. 177 LGSS, resulta claro que la reclamación comprendía el derecho a la suspensión del contrato de trabajo por </w:t>
      </w:r>
      <w:r>
        <w:lastRenderedPageBreak/>
        <w:t>dicha situación, conforme al art. 48.4 LET. Conviene precisar que, según el actual art. 177 LGSS, a efectos de la prestación por nacimiento y cuidado de menor, se consideran situaciones protegidas el nacimiento, la adopción, la guarda con fines de adopción y el acogimiento familiar “durante los períodos de descanso que por tales situaciones se disfruten, de acuerdo con lo previsto en los apartados 4, 5 y 6 del artículo 48 del texto refundido de la Ley del estatuto de los trabajadores”. Es decir, la prestación controvertida se reconoce mientras dure la suspensión prevista en el art. 48, apartados 4, 5 y 6 LET, de tal suerte que la suspensión del contrato y la prestación económica con cargo a la Seguridad Social están intrínsecamente vinculadas.</w:t>
      </w:r>
    </w:p>
    <w:p w14:paraId="7E6744E6" w14:textId="77777777" w:rsidR="003754FE" w:rsidRDefault="003754FE" w:rsidP="003754FE">
      <w:pPr>
        <w:pStyle w:val="TextoNormal"/>
      </w:pPr>
    </w:p>
    <w:p w14:paraId="6C46356D" w14:textId="77777777" w:rsidR="003754FE" w:rsidRDefault="003754FE" w:rsidP="003754FE">
      <w:pPr>
        <w:pStyle w:val="TextoNormal"/>
      </w:pPr>
      <w:r>
        <w:t>En lo atinente a los juicios de aplicabilidad y relevancia, repetidamente hemos señalado que el control que efectúa este tribunal sobre ellos es meramente externo y no autoriza a “sustituir al órgano judicial en [su] determinación”, ya que esta es “una tarea propiamente jurisdiccional y, por tanto, reservada a aquel”. Por ello, solamente procede tal revisión “en los supuestos en que de manera notoria, sin necesidad de examinar el fondo debatido y en aplicación de principios jurídicos básicos, se advierta que la argumentación judicial respecto a la aplicabilidad al caso del precepto legal cuestionado y su relevancia para el fallo resulta inconsistente o evidentemente errada, determinando en tal circunstancia la inadmisibilidad de la cuestión de inconstitucionalidad” (por todas, STC 7/2023, de 21 de febrero, FJ 2).</w:t>
      </w:r>
    </w:p>
    <w:p w14:paraId="2F762D77" w14:textId="77777777" w:rsidR="003754FE" w:rsidRDefault="003754FE" w:rsidP="003754FE">
      <w:pPr>
        <w:pStyle w:val="TextoNormal"/>
      </w:pPr>
    </w:p>
    <w:p w14:paraId="5A74BA92" w14:textId="77777777" w:rsidR="003754FE" w:rsidRDefault="003754FE" w:rsidP="003754FE">
      <w:pPr>
        <w:pStyle w:val="TextoNormal"/>
      </w:pPr>
      <w:r>
        <w:t xml:space="preserve">Al respecto, el auto de planteamiento razona que la duración de la prestación por nacimiento y cuidado de menor correspondiente a la madre biológica, titular de una familia monoparental (caso del proceso </w:t>
      </w:r>
      <w:r w:rsidRPr="003754FE">
        <w:rPr>
          <w:i/>
        </w:rPr>
        <w:t>a quo</w:t>
      </w:r>
      <w:r>
        <w:t>), debe efectuarse necesariamente atendiendo al contenido del art. 177 LGSS, en relación con el art. 48.4 LET, que no ofrecen al menor nacido en una familia monoparental el mismo tiempo de atención y cuidado de sus progenitores que a los menores nacidos en familias biparentales. A esto añade que en anteriores pronunciamientos optó por una interpretación de dichas normas que salvara la primacía de la Constitución, a pesar de albergar dudas sobre su constitucionalidad. Sin embargo, dicha interpretación ha sido descartada por la sentencia del Pleno de la Sala de lo Social del Tribunal Supremo 169/2023, de 2 de marzo (ECLI:ES:TS:2023:783), dictada en recurso de casación para la unificación de doctrina. A partir de dicho pronunciamiento, y habiéndose concluido que procede aplicar literalmente los arts. 177 LGSS y 48.4 LET, cuestiona su acomodo a la Constitución, al comportar su aplicación un trato discriminatorio, tanto respecto del menor, como de la madre biológica que encabeza la familia monoparental.</w:t>
      </w:r>
    </w:p>
    <w:p w14:paraId="1BF7D085" w14:textId="77777777" w:rsidR="003754FE" w:rsidRDefault="003754FE" w:rsidP="003754FE">
      <w:pPr>
        <w:pStyle w:val="TextoNormal"/>
      </w:pPr>
    </w:p>
    <w:p w14:paraId="1D95420B" w14:textId="77777777" w:rsidR="003754FE" w:rsidRDefault="003754FE" w:rsidP="003754FE">
      <w:pPr>
        <w:pStyle w:val="TextoNormal"/>
      </w:pPr>
      <w:r>
        <w:t xml:space="preserve">Por consiguiente, no solo los arts. 177 LGSS y 48.4 LET son aplicables al caso del proceso </w:t>
      </w:r>
      <w:r w:rsidRPr="003754FE">
        <w:rPr>
          <w:i/>
        </w:rPr>
        <w:t>a quo</w:t>
      </w:r>
      <w:r>
        <w:t xml:space="preserve">, sino que la suerte de la pretensión que se articula en el recurso de suplicación en cuyo seno se ha promovido esta cuestión de inconstitucionalidad, depende de la validez de los preceptos cuestionados, de donde se sigue que existe una relación directa entre la decisión a adoptar en el proceso </w:t>
      </w:r>
      <w:r w:rsidRPr="003754FE">
        <w:rPr>
          <w:i/>
        </w:rPr>
        <w:t>a quo</w:t>
      </w:r>
      <w:r>
        <w:t xml:space="preserve"> y la duda de constitucionalidad que aquí se plantea.</w:t>
      </w:r>
    </w:p>
    <w:p w14:paraId="3B59306A" w14:textId="77777777" w:rsidR="003754FE" w:rsidRDefault="003754FE" w:rsidP="003754FE">
      <w:pPr>
        <w:pStyle w:val="TextoNormal"/>
      </w:pPr>
    </w:p>
    <w:p w14:paraId="24C76A6E" w14:textId="77777777" w:rsidR="003754FE" w:rsidRDefault="003754FE" w:rsidP="003754FE">
      <w:pPr>
        <w:pStyle w:val="TextoNormal"/>
      </w:pPr>
      <w:r>
        <w:t xml:space="preserve">c) Finalmente, y tal y como solicitan la Fiscalía General del Estado y la Abogacía del Estado, procede que acotemos el objeto de nuestro enjuiciamiento en la presente cuestión pues, aunque la cuestión cita los apartados 4, 5 y 6 del art. 48 LET, solo el primero (referido al nacimiento) es aplicable al proceso </w:t>
      </w:r>
      <w:r w:rsidRPr="003754FE">
        <w:rPr>
          <w:i/>
        </w:rPr>
        <w:t>a quo</w:t>
      </w:r>
      <w:r>
        <w:t xml:space="preserve">, ya que el apartado 5 se refiere a los supuestos de adopción, guarda con fines de adopción y acogimiento, mientras que el apartado 6 establece una regla especial aplicable a los supuestos en que el hijo presenta una discapacidad o a supuestos de nacimiento, adopción, guarda con fines de adopción o acogimiento </w:t>
      </w:r>
      <w:r>
        <w:lastRenderedPageBreak/>
        <w:t>múltiples, circunstancias que aquí no concurren. Por consiguiente, en el presente proceso se analizará el art. 48.4 LET, en relación con el art. 177 LGSS, preceptos que disponían lo siguiente, en su redacción dada por el Real Decreto-ley 6/2019, de 1 de marzo, de medidas urgentes para garantía de la igualdad de trato y de oportunidades entre mujeres y hombres en el empleo y la ocupación.</w:t>
      </w:r>
    </w:p>
    <w:p w14:paraId="7E684F19" w14:textId="77777777" w:rsidR="003754FE" w:rsidRDefault="003754FE" w:rsidP="003754FE">
      <w:pPr>
        <w:pStyle w:val="TextoNormal"/>
      </w:pPr>
    </w:p>
    <w:p w14:paraId="213E7AFE" w14:textId="77777777" w:rsidR="003754FE" w:rsidRDefault="003754FE" w:rsidP="003754FE">
      <w:pPr>
        <w:pStyle w:val="TextoNormal"/>
      </w:pPr>
      <w:r>
        <w:t>Estatuto de los Trabajadores. Artículo 48. Suspensión con reserva de puesto de trabajo:</w:t>
      </w:r>
    </w:p>
    <w:p w14:paraId="49B440FF" w14:textId="77777777" w:rsidR="003754FE" w:rsidRDefault="003754FE" w:rsidP="003754FE">
      <w:pPr>
        <w:pStyle w:val="TextoNormal"/>
      </w:pPr>
    </w:p>
    <w:p w14:paraId="6E09842A" w14:textId="77777777" w:rsidR="003754FE" w:rsidRDefault="003754FE" w:rsidP="003754FE">
      <w:pPr>
        <w:pStyle w:val="TextoNormal"/>
      </w:pPr>
      <w:r>
        <w:t>“4. El nacimiento, que comprende el parto y el cuidado de menor de doce meses, suspenderá el contrato de trabajo de la madre biológica durante dieciséis semanas, de las cuales serán obligatorias las seis semanas ininterrumpidas inmediatamente posteriores al parto, que habrán de disfrutarse a jornada completa, para asegurar la protección de la salud de la madre.</w:t>
      </w:r>
    </w:p>
    <w:p w14:paraId="3415DBB9" w14:textId="77777777" w:rsidR="003754FE" w:rsidRDefault="003754FE" w:rsidP="003754FE">
      <w:pPr>
        <w:pStyle w:val="TextoNormal"/>
      </w:pPr>
    </w:p>
    <w:p w14:paraId="089ECE06" w14:textId="77777777" w:rsidR="003754FE" w:rsidRDefault="003754FE" w:rsidP="003754FE">
      <w:pPr>
        <w:pStyle w:val="TextoNormal"/>
      </w:pPr>
      <w:r>
        <w:t>El nacimiento suspenderá el contrato de trabajo del progenitor distinto de la madre biológica durante dieciséis semanas, de las cuales serán obligatorias las seis semanas ininterrumpidas inmediatamente posteriores al parto, que habrán de disfrutarse a jornada completa, para el cumplimiento de los deberes de cuidado previstos en el artículo 68 del Código civil.</w:t>
      </w:r>
    </w:p>
    <w:p w14:paraId="29642844" w14:textId="77777777" w:rsidR="003754FE" w:rsidRDefault="003754FE" w:rsidP="003754FE">
      <w:pPr>
        <w:pStyle w:val="TextoNormal"/>
      </w:pPr>
    </w:p>
    <w:p w14:paraId="7A6B78CA" w14:textId="77777777" w:rsidR="003754FE" w:rsidRDefault="003754FE" w:rsidP="003754FE">
      <w:pPr>
        <w:pStyle w:val="TextoNormal"/>
      </w:pPr>
      <w:r>
        <w:t>En los casos de parto prematuro y en aquellos en que, por cualquier otra causa, el neonato deba permanecer hospitalizado a continuación del parto, el periodo de suspensión podrá computarse, a instancia de la madre biológica o del otro progenitor, a partir de la fecha del alta hospitalaria. Se excluyen de dicho cómputo las seis semanas posteriores al parto, de suspensión obligatoria del contrato de la madre biológica.</w:t>
      </w:r>
    </w:p>
    <w:p w14:paraId="643DB35F" w14:textId="77777777" w:rsidR="003754FE" w:rsidRDefault="003754FE" w:rsidP="003754FE">
      <w:pPr>
        <w:pStyle w:val="TextoNormal"/>
      </w:pPr>
    </w:p>
    <w:p w14:paraId="16B7DB36" w14:textId="77777777" w:rsidR="003754FE" w:rsidRDefault="003754FE" w:rsidP="003754FE">
      <w:pPr>
        <w:pStyle w:val="TextoNormal"/>
      </w:pPr>
      <w:r>
        <w:t>En los casos de parto prematuro con falta de peso y en aquellos otros en que el neonato precise, por alguna condición clínica, hospitalización a continuación del parto, por un periodo superior a siete días, el periodo de suspensión se ampliará en tantos días como el nacido se encuentre hospitalizado, con un máximo de trece semanas adicionales, y en los términos en que reglamentariamente se desarrolle.</w:t>
      </w:r>
    </w:p>
    <w:p w14:paraId="7EE1525D" w14:textId="77777777" w:rsidR="003754FE" w:rsidRDefault="003754FE" w:rsidP="003754FE">
      <w:pPr>
        <w:pStyle w:val="TextoNormal"/>
      </w:pPr>
    </w:p>
    <w:p w14:paraId="516DE676" w14:textId="77777777" w:rsidR="003754FE" w:rsidRDefault="003754FE" w:rsidP="003754FE">
      <w:pPr>
        <w:pStyle w:val="TextoNormal"/>
      </w:pPr>
      <w:r>
        <w:t>En el supuesto de fallecimiento del hijo o hija, el periodo de suspensión no se verá reducido, salvo que, una vez finalizadas las seis semanas de descanso obligatorio, se solicite la reincorporación al puesto de trabajo.</w:t>
      </w:r>
    </w:p>
    <w:p w14:paraId="2C66CE52" w14:textId="77777777" w:rsidR="003754FE" w:rsidRDefault="003754FE" w:rsidP="003754FE">
      <w:pPr>
        <w:pStyle w:val="TextoNormal"/>
      </w:pPr>
    </w:p>
    <w:p w14:paraId="08E49E66" w14:textId="77777777" w:rsidR="003754FE" w:rsidRDefault="003754FE" w:rsidP="003754FE">
      <w:pPr>
        <w:pStyle w:val="TextoNormal"/>
      </w:pPr>
      <w:r>
        <w:t>La suspensión del contrato de cada uno de los progenitores por el cuidado de menor, una vez transcurridas las primeras seis semanas inmediatamente posteriores al parto, podrá distribuirse a voluntad de aquellos, en períodos semanales a disfrutar de forma acumulada o interrumpida y ejercitarse desde la finalización de la suspensión obligatoria posterior al parto hasta que el hijo o la hija cumpla doce meses. No obstante, la madre biológica podrá anticipar su ejercicio hasta cuatro semanas antes de la fecha previsible del parto. El disfrute de cada período semanal o, en su caso, de la acumulación de dichos períodos, deberá comunicarse a la empresa con una antelación mínima de quince días.</w:t>
      </w:r>
    </w:p>
    <w:p w14:paraId="4055BE8A" w14:textId="77777777" w:rsidR="003754FE" w:rsidRDefault="003754FE" w:rsidP="003754FE">
      <w:pPr>
        <w:pStyle w:val="TextoNormal"/>
      </w:pPr>
    </w:p>
    <w:p w14:paraId="00141CE3" w14:textId="77777777" w:rsidR="003754FE" w:rsidRDefault="003754FE" w:rsidP="003754FE">
      <w:pPr>
        <w:pStyle w:val="TextoNormal"/>
      </w:pPr>
      <w:r>
        <w:t>Este derecho es individual de la persona trabajadora sin que pueda transferirse su ejercicio al otro progenitor.</w:t>
      </w:r>
    </w:p>
    <w:p w14:paraId="36EEC48B" w14:textId="77777777" w:rsidR="003754FE" w:rsidRDefault="003754FE" w:rsidP="003754FE">
      <w:pPr>
        <w:pStyle w:val="TextoNormal"/>
      </w:pPr>
    </w:p>
    <w:p w14:paraId="4782955A" w14:textId="77777777" w:rsidR="003754FE" w:rsidRDefault="003754FE" w:rsidP="003754FE">
      <w:pPr>
        <w:pStyle w:val="TextoNormal"/>
      </w:pPr>
      <w:r>
        <w:lastRenderedPageBreak/>
        <w:t>La suspensión del contrato de trabajo, transcurridas las primeras seis semanas inmediatamente posteriores al parto, podrá disfrutarse en régimen de jornada completa o de jornada parcial, previo acuerdo entre la empresa y la persona trabajadora, y conforme se determine reglamentariamente.</w:t>
      </w:r>
    </w:p>
    <w:p w14:paraId="13763623" w14:textId="77777777" w:rsidR="003754FE" w:rsidRDefault="003754FE" w:rsidP="003754FE">
      <w:pPr>
        <w:pStyle w:val="TextoNormal"/>
      </w:pPr>
    </w:p>
    <w:p w14:paraId="4D02F9DE" w14:textId="77777777" w:rsidR="003754FE" w:rsidRDefault="003754FE" w:rsidP="003754FE">
      <w:pPr>
        <w:pStyle w:val="TextoNormal"/>
      </w:pPr>
      <w:r>
        <w:t>La persona trabajadora deberá comunicar a la empresa, con una antelación mínima de quince días, el ejercicio de este derecho en los términos establecidos, en su caso, en los convenios colectivos. Cuando los dos progenitores que ejerzan este derecho trabajen para la misma empresa, la dirección empresarial podrá limitar su ejercicio simultáneo por razones fundadas y objetivas, debidamente motivadas por escrito”.</w:t>
      </w:r>
    </w:p>
    <w:p w14:paraId="431A589C" w14:textId="77777777" w:rsidR="003754FE" w:rsidRDefault="003754FE" w:rsidP="003754FE">
      <w:pPr>
        <w:pStyle w:val="TextoNormal"/>
      </w:pPr>
    </w:p>
    <w:p w14:paraId="2119CDF2" w14:textId="77777777" w:rsidR="003754FE" w:rsidRDefault="003754FE" w:rsidP="003754FE">
      <w:pPr>
        <w:pStyle w:val="TextoNormal"/>
      </w:pPr>
      <w:r>
        <w:t>Ley General de la Seguridad Social. Artículo 177. Situaciones protegidas:</w:t>
      </w:r>
    </w:p>
    <w:p w14:paraId="42072601" w14:textId="77777777" w:rsidR="003754FE" w:rsidRDefault="003754FE" w:rsidP="003754FE">
      <w:pPr>
        <w:pStyle w:val="TextoNormal"/>
      </w:pPr>
    </w:p>
    <w:p w14:paraId="35AB1C43" w14:textId="77777777" w:rsidR="003754FE" w:rsidRDefault="003754FE" w:rsidP="003754FE">
      <w:pPr>
        <w:pStyle w:val="TextoNormal"/>
      </w:pPr>
      <w:r>
        <w:t>“A efectos de la prestación por nacimiento y cuidado de menor prevista en esta sección, se consideran situaciones protegidas el nacimiento, la adopción, la guarda con fines de adopción y el acogimiento familiar, de conformidad con el Código civil o las leyes civiles de las comunidades autónomas que lo regulen, siempre que, en este último caso, su duración no sea inferior a un año, durante los períodos de descanso que por tales situaciones se disfruten, de acuerdo con lo previsto en los apartados 4, 5 y 6 del artículo 48 del texto refundido de la Ley del estatuto de los trabajadores, y en el artículo 49 a), b) y c) del texto refundido de la Ley del estatuto básico del empleado público”.</w:t>
      </w:r>
    </w:p>
    <w:p w14:paraId="30DD41EE" w14:textId="77777777" w:rsidR="003754FE" w:rsidRDefault="003754FE" w:rsidP="003754FE">
      <w:pPr>
        <w:pStyle w:val="TextoNormal"/>
      </w:pPr>
    </w:p>
    <w:p w14:paraId="7A0BFA5F" w14:textId="77777777" w:rsidR="003754FE" w:rsidRDefault="003754FE" w:rsidP="003754FE">
      <w:pPr>
        <w:pStyle w:val="TextoNormal"/>
      </w:pPr>
      <w:r>
        <w:t>Como se puede comprobar, ninguno de los dos preceptos prevé un régimen específico para el disfrute de los permisos por nacimiento y cuidado de menor, así como la percepción de las correspondientes prestaciones de la seguridad social, en el seno de una familia monoparental, de manera que, en un caso como el que ahora se nos presenta, en el que existe un único progenitor, que es la madre biológica, la suspensión del contrato de trabajo con reserva de puesto (así como la correspondiente prestación económica de la seguridad social, cuando se verifiquen los requisitos de afiliación y cotización previstos en los arts. 165.1 y 178.1 LGSS) se reconoce únicamente a la trabajadora, madre biológica, por un período de dieciséis semanas, de las cuales son obligatorias las seis semanas ininterrumpidas inmediatamente posteriores al parto. Los preceptos cuya constitucionalidad abordamos no prevén, para un caso como el ahora analizado, que la madre biológica pueda disfrutar del permiso por nacimiento y cuidado de menor que correspondería al otro progenitor, en caso de existir, también por un período de dieciséis semanas, de las cuales son también obligatorias las seis semanas ininterrumpidas inmediatamente posteriores al parto. Es esta omisión la que, a juicio de la Sala promotora de la cuestión, determina la infracción de los arts. 14, 39, apartados 1, 2 y 4, y 41 CE; el art. 10.2 CE, en relación con los arts. 3.1 de la Convención de Naciones Unidas sobre los derechos del niño y 24 de la Carta de derechos fundamentales de la Unión Europea; el 2.4 de la Ley Orgánica 1/1996, de 15 de enero, de protección jurídica del menor, y el art. 6 de la Ley Orgánica 3/2007, de 22 de marzo, para la igualdad efectiva de mujeres y hombres.</w:t>
      </w:r>
    </w:p>
    <w:p w14:paraId="2C95BAC5" w14:textId="77777777" w:rsidR="003754FE" w:rsidRDefault="003754FE" w:rsidP="003754FE">
      <w:pPr>
        <w:pStyle w:val="TextoNormal"/>
      </w:pPr>
    </w:p>
    <w:p w14:paraId="57014467" w14:textId="552F1772" w:rsidR="003754FE" w:rsidRDefault="003754FE" w:rsidP="003754FE">
      <w:pPr>
        <w:pStyle w:val="TextoNormal"/>
      </w:pPr>
      <w:r>
        <w:t xml:space="preserve">Por otra parte, cabe atender a la petición de la Fiscalía General del Estado y del abogado del Estado de excluir el art. 41 CE del parámetro de análisis de constitucionalidad, toda vez que el auto de planteamiento no ha desarrollado una argumentación específica al respecto. Sin embargo, no puede llegarse a la misma conclusión en relación con la petición del fiscal general del Estado de excluir como norma de contraste el art. 10.2 CE, por no haber sido </w:t>
      </w:r>
      <w:r>
        <w:lastRenderedPageBreak/>
        <w:t xml:space="preserve">invocado en la providencia de apertura del trámite de alegaciones. La jurisprudencia constitucional, si bien ha establecido que el juez queda vinculado, en principio, a cuestionar únicamente los preceptos sometidos al trámite de audiencia; también incide en que el órgano judicial puede precisar, modificar o ampliar, en función de las observaciones recibidas, el parámetro de constitucionalidad planteado inicialmente al abrir dicho trámite [SSTC 67/1985, de 24 de mayo, FJ 1 a); 84/1993, de 8 de marzo, FJ 1 b), y 138/2005, de 26 de mayo, FJ 2]. En el presente caso, se constata que la inclusión del art. 10.2 CE (por error se cita el art. 10.1 CE) en el auto de planteamiento de la cuestión de inconstitucionalidad obedece a las alegaciones formuladas en este último trámite, en el cual, la demandante en el procedimiento </w:t>
      </w:r>
      <w:r w:rsidRPr="003754FE">
        <w:rPr>
          <w:i/>
        </w:rPr>
        <w:t>a quo</w:t>
      </w:r>
      <w:r>
        <w:t>, aparte de respaldar el planteamiento del órgano judicial, ha destacado, al analizar la eventual vulneración de los arts. 14 y 39 CE, (i) el criterio del interés superior del menor, invocando la Convención sobre los derechos del niño, “aplicable para la interpretación de las normas referidas a derechos fundamentales por referencia expresa en el artículo 10.2 de la Constitución Española” y (ii) el problema de la discriminación que la regulación supone para la madre en el caso de familias monoparentales, invocando normativa europea, así como la Convención sobre la eliminación de todas las formas de discriminación de las mujeres y la Carta Social Europea, aparte de referirse a otros precedentes y a la postura mantenida por la propia Sala en resoluciones previas. De ello, cabe concluir que la aparente falta de concordancia entre la providencia por la que se concedió la audiencia y el auto de planteamiento de la cuestión no permite apreciar una desviación procesal que deba determinar la exclusión del art. 10.2 CE, en el que también cimenta sus dudas de constitucionalidad el órgano judicial. Esta conclusión, además, viene también condicionada por la propia naturaleza del art. 10.2 CE, que, como ha reiterado este tribunal, es una regla hermenéutica en la determinación del sentido y alcance de los derechos fundamentales que la Constitucion proclama (STC 87/2022, de 28 de julio, FJ 3), de la que, por tanto, no se puede prescindir en los supuestos, como es el presente, en el que se invocan derechos fundamentales como normas constitucionales de contraste.</w:t>
      </w:r>
    </w:p>
    <w:p w14:paraId="371C3D80" w14:textId="77777777" w:rsidR="003754FE" w:rsidRDefault="003754FE" w:rsidP="003754FE">
      <w:pPr>
        <w:pStyle w:val="TextoNormal"/>
      </w:pPr>
    </w:p>
    <w:p w14:paraId="5F5B6BDD" w14:textId="77777777" w:rsidR="003754FE" w:rsidRDefault="003754FE" w:rsidP="003754FE">
      <w:pPr>
        <w:pStyle w:val="TextoNormal"/>
      </w:pPr>
      <w:r w:rsidRPr="003754FE">
        <w:rPr>
          <w:rStyle w:val="NumeroAFNegritaCaracter"/>
        </w:rPr>
        <w:t>3</w:t>
      </w:r>
      <w:r>
        <w:t xml:space="preserve">. </w:t>
      </w:r>
      <w:r w:rsidRPr="003754FE">
        <w:rPr>
          <w:i/>
        </w:rPr>
        <w:t>Evolución de la protección por nacimiento y cuidado de menor</w:t>
      </w:r>
    </w:p>
    <w:p w14:paraId="03208CD9" w14:textId="77777777" w:rsidR="003754FE" w:rsidRDefault="003754FE" w:rsidP="003754FE">
      <w:pPr>
        <w:pStyle w:val="TextoNormal"/>
      </w:pPr>
    </w:p>
    <w:p w14:paraId="3B0192CF" w14:textId="77777777" w:rsidR="003754FE" w:rsidRDefault="003754FE" w:rsidP="003754FE">
      <w:pPr>
        <w:pStyle w:val="TextoNormal"/>
      </w:pPr>
      <w:r>
        <w:t>Antes de resolver la cuestión que el Tribunal Superior de Justicia de Cataluña plantea, resulta conveniente situar brevemente —en sus aspectos esenciales y por lo que interesa a la presente cuestión de inconstitucionalidad— el marco normativo en el que se insertan los preceptos legales cuestionados, así como la evolución seguida por esos preceptos.</w:t>
      </w:r>
    </w:p>
    <w:p w14:paraId="67BC3AB3" w14:textId="77777777" w:rsidR="003754FE" w:rsidRDefault="003754FE" w:rsidP="003754FE">
      <w:pPr>
        <w:pStyle w:val="TextoNormal"/>
      </w:pPr>
    </w:p>
    <w:p w14:paraId="116A3E97" w14:textId="77777777" w:rsidR="003754FE" w:rsidRDefault="003754FE" w:rsidP="003754FE">
      <w:pPr>
        <w:pStyle w:val="TextoNormal"/>
      </w:pPr>
      <w:r>
        <w:t xml:space="preserve">a) En este sentido, debemos comenzar señalando que, si bien los actuales arts. 48.4 LET y 177 LGSS reconocen, respectivamente, el derecho a un período de suspensión del contrato de trabajo igual e intransferible a la trabajadora embarazada y al otro progenitor, con motivo del nacimiento del hijo, así como la correspondiente prestación de la seguridad social, esta opción legislativa es relativamente reciente, introduciéndose con la adopción del Real Decreto-ley 6/2019, de 1 de marzo, de medidas urgentes para la garantía de la igualdad de trato y de oportunidades entre mujeres y hombres en el empleo y la ocupación. Nuestro ordenamiento precedente se caracterizaba por atender principalmente a las necesidades de la trabajadora embarazada que hubiese dado a luz, mediante el reconocimiento del derecho a un período de suspensión de la actividad laboral tras el parto. Tan solo a partir de 2007, y de forma progresiva, nuestro ordenamiento comienza a reconocer el derecho a un período de suspensión de la actividad laboral por razón de nacimiento al padre, aunque originalmente </w:t>
      </w:r>
      <w:r>
        <w:lastRenderedPageBreak/>
        <w:t>ese período no se equiparaba en duración al que se reconocía a la trabajadora, madre biológica.</w:t>
      </w:r>
    </w:p>
    <w:p w14:paraId="15696B9A" w14:textId="77777777" w:rsidR="003754FE" w:rsidRDefault="003754FE" w:rsidP="003754FE">
      <w:pPr>
        <w:pStyle w:val="TextoNormal"/>
      </w:pPr>
    </w:p>
    <w:p w14:paraId="15713722" w14:textId="77777777" w:rsidR="003754FE" w:rsidRDefault="003754FE" w:rsidP="003754FE">
      <w:pPr>
        <w:pStyle w:val="TextoNormal"/>
      </w:pPr>
      <w:r>
        <w:t>Efectivamente, nuestro sistema de seguridad social atendió originariamente a la maternidad como situación protegida dentro de la contingencia de incapacidad laboral transitoria, mediante una prestación económica a la que tenía derecho la mujer trabajadora en supuesto de parto durante el periodo de suspensión de su actividad laboral que disfrutara de acuerdo con la legislación laboral; así se establecía en la Ley general de la Seguridad Social de 1966, en el texto refundido de la Ley general de Seguridad Social de 1974, y en la redacción inicial del texto refundido de Ley general de Seguridad Social, aprobado por Real Decreto Legislativo 1/1994, de 20 de junio (si bien este texto legislativo ya incluyó como situación protegida, dentro de la contingencia de incapacidad laboral transitoria, tanto la maternidad, como la adopción y el acogimiento previo). Con la reforma introducida por la Ley 42/1994, de 30 de diciembre, el permiso por parto, adopción o acogimiento pasó a configurarse como una situación protegida autónoma, mediante la denominada prestación por maternidad, diferenciada de la contingencia de incapacidad temporal (que vino a sustituir a la incapacidad laboral transitoria); opción que mantuvo la redacción inicial del actualmente vigente texto refundido de la Ley general de la Seguridad Social, aprobado por Real Decreto Legislativo 8/2015, de 30 de octubre.</w:t>
      </w:r>
    </w:p>
    <w:p w14:paraId="0A38D9B3" w14:textId="77777777" w:rsidR="003754FE" w:rsidRDefault="003754FE" w:rsidP="003754FE">
      <w:pPr>
        <w:pStyle w:val="TextoNormal"/>
      </w:pPr>
    </w:p>
    <w:p w14:paraId="7C1C5342" w14:textId="77777777" w:rsidR="003754FE" w:rsidRDefault="003754FE" w:rsidP="003754FE">
      <w:pPr>
        <w:pStyle w:val="TextoNormal"/>
      </w:pPr>
      <w:r>
        <w:t>La normativa laboral reconocía, a su vez, el derecho de la mujer trabajadora a la suspensión de su contrato de trabajo con reserva de puesto por razón del parto, con una duración que el art. 79.3 de la antigua Ley de contrato de trabajo de 1944 fijó en doce semanas, ampliadas a catorce por la Ley de relaciones laborales de 1976 (art. 25.4), y a dieciséis semanas, ampliables hasta dieciocho en caso de parto múltiple, por la Ley 3/1989, de 3 de marzo (art. 1.4). Esta opción se mantuvo en el texto refundido de la Ley del estatuto de los trabajadores, aprobado por Real Decreto Legislativo 1/1995, de 24 de marzo (ampliable en supuestos de partos múltiples en dos semanas más por cada hijo a partir del segundo a partir de la Ley 39/1999, de 5 de noviembre; y ampliable también en dos semanas adicionales, en el supuesto de discapacidad del hijo, a partir de la Ley Orgánica 3/2007, de 22 de marzo), y se mantiene todavía en el vigente art. 48.4 LET.</w:t>
      </w:r>
    </w:p>
    <w:p w14:paraId="1E902E9B" w14:textId="77777777" w:rsidR="003754FE" w:rsidRDefault="003754FE" w:rsidP="003754FE">
      <w:pPr>
        <w:pStyle w:val="TextoNormal"/>
      </w:pPr>
    </w:p>
    <w:p w14:paraId="3A25720C" w14:textId="77777777" w:rsidR="003754FE" w:rsidRDefault="003754FE" w:rsidP="003754FE">
      <w:pPr>
        <w:pStyle w:val="TextoNormal"/>
      </w:pPr>
      <w:r>
        <w:t>Hemos de destacar que la Ley 3/1989, de 3 de marzo, introdujo otra modificación reseñable, al permitir por vez primera que la madre trabajadora optara por que el padre trabajador disfrutara de una parte del periodo de suspensión del contrato de trabajo posterior al parto, en concreto, las últimas cuatro semanas, salvo que la incorporación de la madre al trabajo supusiera riesgo para su salud. La posterior Ley 39/1999, de 5 de noviembre, amplió esa posibilidad, permitiendo a la madre trabajadora optar por que el padre trabajador disfrutara de la totalidad del periodo de suspensión del contrato de trabajo que reconocía la ley, salvo las seis semanas posteriores al parto, que se configuraban como un período de suspensión obligatorio para la trabajadora embarazada. Esa modificación legislativa perseguía facilitar “a los hombres el acceso al cuidado del hijo desde el momento de su nacimiento o de su incorporación a la familia”, tal y como reconocía la propia exposición de motivos de la ley.</w:t>
      </w:r>
    </w:p>
    <w:p w14:paraId="7387A9A2" w14:textId="77777777" w:rsidR="003754FE" w:rsidRDefault="003754FE" w:rsidP="003754FE">
      <w:pPr>
        <w:pStyle w:val="TextoNormal"/>
      </w:pPr>
    </w:p>
    <w:p w14:paraId="73075518" w14:textId="77777777" w:rsidR="003754FE" w:rsidRDefault="003754FE" w:rsidP="003754FE">
      <w:pPr>
        <w:pStyle w:val="TextoNormal"/>
      </w:pPr>
      <w:r>
        <w:t xml:space="preserve">Sin embargo, el derecho a la suspensión del contrato de trabajo con reserva de puesto por razón del parto, siguió configurándose esencialmente como un derecho de la madre trabajadora, que esta podía ceder al padre, cuando este también trabajara, con ciertas limitaciones. </w:t>
      </w:r>
      <w:r>
        <w:lastRenderedPageBreak/>
        <w:t>Esta opción legislativa, que se mantuvo en sus líneas generales hasta la modificación introducida por el Real Decreto-ley 6/2019, de 1 de marzo, fue considerada conforme al texto constitucional por este tribunal, que entendió que la diferencia de trato que la norma introducía entre ambos progenitores se justificaba por la “finalidad primordial” perseguida por el legislador al establecer el permiso de maternidad. Desde la perspectiva de este tribunal, esa finalidad primordial era preservar la salud de la madre trabajadora ante el hecho biológico singular del parto, haciendo posible esa protección con la conservación de sus derechos laborales (por todas, STC 75/2011, de 19 de mayo, FJ 8). Aunque este tribunal reconoció que la medida perseguía otras finalidades, significativamente, la protección de las particulares relaciones entre la madre y su hijo durante el período que sigue al embarazo y al parto, el hecho biológico singular del parto diferenciaba claramente al padre de la madre biológica y justificaba la diferencia de trato entre ambos progenitores (por todas, SSTC 75/2011 y 152/2011, de 29 de septiembre).</w:t>
      </w:r>
    </w:p>
    <w:p w14:paraId="09F71F2E" w14:textId="77777777" w:rsidR="003754FE" w:rsidRDefault="003754FE" w:rsidP="003754FE">
      <w:pPr>
        <w:pStyle w:val="TextoNormal"/>
      </w:pPr>
    </w:p>
    <w:p w14:paraId="772F6A6C" w14:textId="77777777" w:rsidR="003754FE" w:rsidRDefault="003754FE" w:rsidP="003754FE">
      <w:pPr>
        <w:pStyle w:val="TextoNormal"/>
      </w:pPr>
      <w:r>
        <w:t xml:space="preserve">No obstante la declaración de constitucionalidad de las previsiones normativas que configuraban el permiso de maternidad como un derecho de la trabajadora embarazada, el legislador introdujo cambios notables en la regulación de los permisos por nacimiento. Es preciso así recordar que, antes de la modificación introducida en los arts. 48.4 LET y 177 LGSS por el Real Decreto-ley 6/2019, de 1 de marzo, nuestra legislación laboral y de la seguridad social reconocía ya un derecho individual y exclusivo del trabajador, en el supuesto de nacimiento de hijo (también aplicable a los supuestos de adopción y acogimiento), a la suspensión de su contrato de trabajo con reserva de puesto, así como a la correspondiente prestación económica de paternidad. Creado por la Ley Orgánica 3/2007, de 22 de marzo, el permiso de paternidad se reconoció inicialmente por un período de trece días de duración ininterrumpidos, ampliable en caso de parto múltiple en dos días más por cada hijo o hija a partir del segundo (art. 48 </w:t>
      </w:r>
      <w:r w:rsidRPr="003754FE">
        <w:rPr>
          <w:i/>
        </w:rPr>
        <w:t>bis</w:t>
      </w:r>
      <w:r>
        <w:t xml:space="preserve"> del texto refundido de la Ley del Estatuto de los trabajadores, aprobado por Real Decreto Legislativo 1/1995, de 24 de marzo y art. 133 </w:t>
      </w:r>
      <w:r w:rsidRPr="003754FE">
        <w:rPr>
          <w:i/>
        </w:rPr>
        <w:t>octies</w:t>
      </w:r>
      <w:r>
        <w:t xml:space="preserve"> del texto refundido de la Ley general de la seguridad social, aprobado por Real Decreto Legislativo 1/1994, de 20 de junio); y fue sucesivamente ampliado a cuatro semanas (art. 1 de la Ley 9/2009, de 6 de octubre), y después a cinco semanas (disposición final 38.1 de la Ley 6/2018, de 3 de julio), antes de la modificación introducida por el Real Decreto-ley 6/2019, de 1 de marzo.</w:t>
      </w:r>
    </w:p>
    <w:p w14:paraId="75EE7ED7" w14:textId="77777777" w:rsidR="003754FE" w:rsidRDefault="003754FE" w:rsidP="003754FE">
      <w:pPr>
        <w:pStyle w:val="TextoNormal"/>
      </w:pPr>
    </w:p>
    <w:p w14:paraId="7ACE3509" w14:textId="77777777" w:rsidR="003754FE" w:rsidRDefault="003754FE" w:rsidP="003754FE">
      <w:pPr>
        <w:pStyle w:val="TextoNormal"/>
      </w:pPr>
      <w:r>
        <w:t>En el caso de que la madre no tuviese derecho a suspender su actividad profesional con derecho a prestaciones de acuerdo con las normas que regulen dicha actividad, el otro progenitor tendría derecho a suspender su contrato de trabajo por el periodo que hubiera correspondido a la madre, lo que será compatible con el ejercicio del derecho al disfrute del permiso de paternidad. Dicha regulación perseguía una finalidad tuitiva distinta a la del permiso de maternidad, tal y como subrayaba la propia exposición de motivos de la Ley Orgánica 3/2007, de 22 de marzo, y reconoció nuestra jurisprudencia. En la STC 111/2018, de 17 octubre, al pronunciarnos sobre la posible lesión del art. 14 CE que se derivaba del reconocimiento del permiso de paternidad por un período de trece días, y, por tanto, con una duración sustancialmente distinta al del entonces permiso de maternidad —dieciséis semanas—, subrayamos que el permiso de paternidad persigue “favorecer la conciliación de la vida personal, familiar y laboral, fomentando la corresponsabilidad de madres y padres en el cuidado de los hijos”, en línea con lo que prevé el art. 39.3 CE (STC 111/2018, de 17 octubre, FJ 7; en idéntico sentido, ver también SSTC 117/2018, de 29 de octubre; 138/2018, de 17 de diciembre, y 2/2019, de 14 de enero).</w:t>
      </w:r>
    </w:p>
    <w:p w14:paraId="444C0903" w14:textId="77777777" w:rsidR="003754FE" w:rsidRDefault="003754FE" w:rsidP="003754FE">
      <w:pPr>
        <w:pStyle w:val="TextoNormal"/>
      </w:pPr>
    </w:p>
    <w:p w14:paraId="71D4EB6B" w14:textId="77777777" w:rsidR="003754FE" w:rsidRDefault="003754FE" w:rsidP="003754FE">
      <w:pPr>
        <w:pStyle w:val="TextoNormal"/>
      </w:pPr>
      <w:r>
        <w:t>Tal y como hemos señalado ya y por lo que ahora interesa, la modificación introducida por el Real Decreto-ley 6/2019, de 1 de marzo, en el panorama normativo descrito, no solo supuso un cambio en la denominación de los anteriores permisos y prestaciones de maternidad y paternidad —ahora permisos por nacimiento y cuidado de menor, que se atribuyen a “la madre biológica” y al “progenitor distintos de la madre biológica” en lugar de a “la trabajadora” y al “trabajador”— destinados a adaptar la terminología de la ley a los nuevos modelos de familia presentes en la sociedad española, sino que también determinó la introducción de modificaciones sustantivas en la regulación de los mismos. La aprobación de la norma citada ha supuesto el reconocimiento del derecho del progenitor distinto a la madre biológica a suspender su contrato de trabajo por razón de nacimiento por un período de tiempo idéntico al de la madre biológica —dieciséis semanas, ampliables en ciertos supuestos, de las cuales son obligatorias las seis semanas ininterrumpidas inmediatamente posteriores al parto—, configurándose tal derecho como un derecho individual, personal e intransferible de ambos trabajadores (art. 48.4 LET) y reconociéndose, también respecto de ambos, el derecho a percibir la correspondiente prestación económica de la seguridad social (art. 177 LGSS), cuando se cumplan los requisitos de afiliación y cotización legalmente previstos (arts. 165.1 y 178.1 LGSS).</w:t>
      </w:r>
    </w:p>
    <w:p w14:paraId="2B6C6957" w14:textId="77777777" w:rsidR="003754FE" w:rsidRDefault="003754FE" w:rsidP="003754FE">
      <w:pPr>
        <w:pStyle w:val="TextoNormal"/>
      </w:pPr>
    </w:p>
    <w:p w14:paraId="23665A05" w14:textId="77777777" w:rsidR="003754FE" w:rsidRDefault="003754FE" w:rsidP="003754FE">
      <w:pPr>
        <w:pStyle w:val="TextoNormal"/>
      </w:pPr>
      <w:r>
        <w:t>La equiparación del permiso reconocido a la madre biológica y al otro progenitor, que se produjo de forma progresiva en línea con lo previsto en la disposición transitoria decimotercera LET, persigue una finalidad primordial, que el propio legislador explicita en la exposición de motivos de la norma. Se indica así que, al equiparar la duración de los permisos por nacimiento de hijo o hija de ambos progenitores, la norma da “un paso importante en la consecución de la igualdad real y efectiva entre hombres y mujeres, en la promoción de la conciliación de la vida personal [ha de entenderse, laboral] y familiar, y en el principio de corresponsabilidad entre ambos progenitores, elementos ambos esenciales para el cumplimiento del principio de igualdad de trato y de oportunidades entre hombres y mujeres en todos los ámbitos”.</w:t>
      </w:r>
    </w:p>
    <w:p w14:paraId="74E0661B" w14:textId="77777777" w:rsidR="003754FE" w:rsidRDefault="003754FE" w:rsidP="003754FE">
      <w:pPr>
        <w:pStyle w:val="TextoNormal"/>
      </w:pPr>
    </w:p>
    <w:p w14:paraId="5C841E79" w14:textId="77777777" w:rsidR="003754FE" w:rsidRDefault="003754FE" w:rsidP="003754FE">
      <w:pPr>
        <w:pStyle w:val="TextoNormal"/>
      </w:pPr>
      <w:r>
        <w:t>El Real Decreto-ley 5/2023, de 28 de junio, ha abordado la situación en la que hubiese un solo progenitor, disponiendo en el apartado 6 del artículo 48 LET que, en el supuesto de discapacidad del hijo o hija en el nacimiento, adopción, en situación de guarda con fines de adopción o de acogimiento, la suspensión del contrato a que se refieren los apartados 4 y 5 tendrá una duración adicional de dos semanas, una para cada una de las personas progenitoras. Igual ampliación procederá en el supuesto de nacimiento, adopción, guarda con fines de adopción o acogimiento múltiple por cada hijo o hija distinta del primero. En caso de haber una única persona progenitora, esta podrá disfrutar de las ampliaciones completas previstas en este apartado para el caso de familias con dos personas progenitoras.</w:t>
      </w:r>
    </w:p>
    <w:p w14:paraId="1FB273B9" w14:textId="77777777" w:rsidR="003754FE" w:rsidRDefault="003754FE" w:rsidP="003754FE">
      <w:pPr>
        <w:pStyle w:val="TextoNormal"/>
      </w:pPr>
    </w:p>
    <w:p w14:paraId="693BB283" w14:textId="77777777" w:rsidR="003754FE" w:rsidRDefault="003754FE" w:rsidP="003754FE">
      <w:pPr>
        <w:pStyle w:val="TextoNormal"/>
      </w:pPr>
      <w:r>
        <w:t>b) Paralelamente la legislación en materia de Seguridad Social ha reconocido el derecho a prestaciones económicas a las personas trabajadoras cuyo contrato de trabajo estuviera suspendido por nacimiento de hijo, siempre que cumplieran los requisitos de afiliación, alta y cotización en los términos legalmente establecidos.</w:t>
      </w:r>
    </w:p>
    <w:p w14:paraId="4AB3A4C4" w14:textId="77777777" w:rsidR="003754FE" w:rsidRDefault="003754FE" w:rsidP="003754FE">
      <w:pPr>
        <w:pStyle w:val="TextoNormal"/>
      </w:pPr>
    </w:p>
    <w:p w14:paraId="792FA920" w14:textId="77777777" w:rsidR="003754FE" w:rsidRDefault="003754FE" w:rsidP="003754FE">
      <w:pPr>
        <w:pStyle w:val="TextoNormal"/>
      </w:pPr>
      <w:r>
        <w:t xml:space="preserve">Dicha legislación aborda, por primera vez, la protección de las familias monoparentales, si bien en relación con las prestaciones no contributivas por maternidad, en la Ley 35/2007, de 15 de noviembre, cuya disposición final segunda ha modificado el apartado 1 del artículo </w:t>
      </w:r>
      <w:r>
        <w:lastRenderedPageBreak/>
        <w:t>185 del texto refundido de la Ley general de la seguridad social, Real Decreto Legislativo 1/1994, de 20 de junio, en los siguientes términos:</w:t>
      </w:r>
    </w:p>
    <w:p w14:paraId="01AB4A21" w14:textId="77777777" w:rsidR="003754FE" w:rsidRDefault="003754FE" w:rsidP="003754FE">
      <w:pPr>
        <w:pStyle w:val="TextoNormal"/>
      </w:pPr>
    </w:p>
    <w:p w14:paraId="0D8FFF64" w14:textId="77777777" w:rsidR="003754FE" w:rsidRDefault="003754FE" w:rsidP="003754FE">
      <w:pPr>
        <w:pStyle w:val="TextoNormal"/>
      </w:pPr>
      <w:r>
        <w:t>“1. En los casos de nacimiento o adopción de hijo en España en una familia numerosa o que, con tal motivo, adquiera dicha condición, en una familia monoparental o en los supuestos de madres que padezcan una discapacidad igual o superior al 65 por 100, se tendrá derecho a una prestación económica del sistema de la Seguridad Social, en la cuantía y en las condiciones que se establecen en los siguientes apartados.</w:t>
      </w:r>
    </w:p>
    <w:p w14:paraId="481BC846" w14:textId="77777777" w:rsidR="003754FE" w:rsidRDefault="003754FE" w:rsidP="003754FE">
      <w:pPr>
        <w:pStyle w:val="TextoNormal"/>
      </w:pPr>
    </w:p>
    <w:p w14:paraId="5C9469FB" w14:textId="77777777" w:rsidR="003754FE" w:rsidRDefault="003754FE" w:rsidP="003754FE">
      <w:pPr>
        <w:pStyle w:val="TextoNormal"/>
      </w:pPr>
      <w:r>
        <w:t>A los efectos de la consideración de la familia numerosa, se estará a lo dispuesto en la Ley 40/2003, de 18 de noviembre, de protección a las familias numerosas.</w:t>
      </w:r>
    </w:p>
    <w:p w14:paraId="1399BE09" w14:textId="77777777" w:rsidR="003754FE" w:rsidRDefault="003754FE" w:rsidP="003754FE">
      <w:pPr>
        <w:pStyle w:val="TextoNormal"/>
      </w:pPr>
    </w:p>
    <w:p w14:paraId="50F1F533" w14:textId="77777777" w:rsidR="003754FE" w:rsidRDefault="003754FE" w:rsidP="003754FE">
      <w:pPr>
        <w:pStyle w:val="TextoNormal"/>
      </w:pPr>
      <w:r>
        <w:t>Se entenderá por familia monoparental la constituida por un solo progenitor con el que convive el hijo nacido o adoptado y que constituye el sustentador único de la familia”.</w:t>
      </w:r>
    </w:p>
    <w:p w14:paraId="79CCEBC7" w14:textId="77777777" w:rsidR="003754FE" w:rsidRDefault="003754FE" w:rsidP="003754FE">
      <w:pPr>
        <w:pStyle w:val="TextoNormal"/>
      </w:pPr>
    </w:p>
    <w:p w14:paraId="167418EB" w14:textId="77777777" w:rsidR="003754FE" w:rsidRDefault="003754FE" w:rsidP="003754FE">
      <w:pPr>
        <w:pStyle w:val="TextoNormal"/>
      </w:pPr>
      <w:r>
        <w:t>En la actualidad el Real Decreto Legislativo 8/2015, de 30 de octubre disciplina la prestación económica no contributiva por nacimiento de hijo, estableciendo en el artículo 182 la prestación económica.</w:t>
      </w:r>
    </w:p>
    <w:p w14:paraId="5A74AADE" w14:textId="77777777" w:rsidR="003754FE" w:rsidRDefault="003754FE" w:rsidP="003754FE">
      <w:pPr>
        <w:pStyle w:val="TextoNormal"/>
      </w:pPr>
    </w:p>
    <w:p w14:paraId="0BC5CB21" w14:textId="77777777" w:rsidR="003754FE" w:rsidRDefault="003754FE" w:rsidP="003754FE">
      <w:pPr>
        <w:pStyle w:val="TextoNormal"/>
      </w:pPr>
      <w:r>
        <w:t>Tras disponer el carácter no contributivo de la prestación, regula su duración, contemplando el incremento de la misma en catorce días naturales en cuatro supuestos, a saber:</w:t>
      </w:r>
    </w:p>
    <w:p w14:paraId="4B3383C1" w14:textId="77777777" w:rsidR="003754FE" w:rsidRDefault="003754FE" w:rsidP="003754FE">
      <w:pPr>
        <w:pStyle w:val="TextoNormal"/>
      </w:pPr>
    </w:p>
    <w:p w14:paraId="2956CBE7" w14:textId="77777777" w:rsidR="003754FE" w:rsidRDefault="003754FE" w:rsidP="003754FE">
      <w:pPr>
        <w:pStyle w:val="TextoNormal"/>
      </w:pPr>
      <w:r>
        <w:t>- Nacimiento de hijo en una familia numerosa o en la que, con tal motivo, adquiera dicha condición, de acuerdo con lo dispuesto en la Ley 40/2003, de 18 de noviembre, de protección a las familias numerosas.</w:t>
      </w:r>
    </w:p>
    <w:p w14:paraId="0236A343" w14:textId="77777777" w:rsidR="003754FE" w:rsidRDefault="003754FE" w:rsidP="003754FE">
      <w:pPr>
        <w:pStyle w:val="TextoNormal"/>
      </w:pPr>
    </w:p>
    <w:p w14:paraId="538CFCEC" w14:textId="77777777" w:rsidR="003754FE" w:rsidRDefault="003754FE" w:rsidP="003754FE">
      <w:pPr>
        <w:pStyle w:val="TextoNormal"/>
      </w:pPr>
      <w:r>
        <w:t>- Nacimiento de hijo en una familia monoparental, entendiendo por tal la constituida por un solo progenitor con el que convive el hijo nacido y que constituye el sustentador único de la familia.</w:t>
      </w:r>
    </w:p>
    <w:p w14:paraId="58E1E0D0" w14:textId="77777777" w:rsidR="003754FE" w:rsidRDefault="003754FE" w:rsidP="003754FE">
      <w:pPr>
        <w:pStyle w:val="TextoNormal"/>
      </w:pPr>
    </w:p>
    <w:p w14:paraId="305CDD66" w14:textId="77777777" w:rsidR="003754FE" w:rsidRDefault="003754FE" w:rsidP="003754FE">
      <w:pPr>
        <w:pStyle w:val="TextoNormal"/>
      </w:pPr>
      <w:r>
        <w:t>- Parto múltiple, entendiendo que existe el mismo cuando el número de nacidos sea igual o superior a dos.</w:t>
      </w:r>
    </w:p>
    <w:p w14:paraId="0B668ECD" w14:textId="77777777" w:rsidR="003754FE" w:rsidRDefault="003754FE" w:rsidP="003754FE">
      <w:pPr>
        <w:pStyle w:val="TextoNormal"/>
      </w:pPr>
    </w:p>
    <w:p w14:paraId="06ADAA8B" w14:textId="77777777" w:rsidR="003754FE" w:rsidRDefault="003754FE" w:rsidP="003754FE">
      <w:pPr>
        <w:pStyle w:val="TextoNormal"/>
      </w:pPr>
      <w:r>
        <w:t>- Discapacidad de la madre o del hijo en un grado igual o superior al 65 por 100.</w:t>
      </w:r>
    </w:p>
    <w:p w14:paraId="38FC4183" w14:textId="77777777" w:rsidR="003754FE" w:rsidRDefault="003754FE" w:rsidP="003754FE">
      <w:pPr>
        <w:pStyle w:val="TextoNormal"/>
      </w:pPr>
    </w:p>
    <w:p w14:paraId="2117FB9D" w14:textId="77777777" w:rsidR="003754FE" w:rsidRDefault="003754FE" w:rsidP="003754FE">
      <w:pPr>
        <w:pStyle w:val="TextoNormal"/>
      </w:pPr>
      <w:r>
        <w:t>La especial consideración de las familias monoparentales no ha sido ajena a nuestro ordenamiento y el legislador ha mostrado una especial sensibilidad en su protección, si bien como resulta de la regulación actual, reproducida en este fundamento jurídico, queda limitada a supuestos especiales, en concreto discapacidad del hijo y nacimiento o adopción múltiples (art. 48.6 LET) y prestación económica por nacimiento de carácter no contributivo (art. 182 LGSS).</w:t>
      </w:r>
    </w:p>
    <w:p w14:paraId="4E504985" w14:textId="77777777" w:rsidR="003754FE" w:rsidRDefault="003754FE" w:rsidP="003754FE">
      <w:pPr>
        <w:pStyle w:val="TextoNormal"/>
      </w:pPr>
    </w:p>
    <w:p w14:paraId="1B1D8B60" w14:textId="77777777" w:rsidR="003754FE" w:rsidRDefault="003754FE" w:rsidP="003754FE">
      <w:pPr>
        <w:pStyle w:val="TextoNormal"/>
      </w:pPr>
      <w:r>
        <w:t xml:space="preserve">c) Hay que destacar que, en relación con los preceptos cuestionados, se ha pronunciado la Sala Cuarta del Tribunal Supremo, en STS 169/2023, de 2 de marzo, recurso de casación para la unificación de doctrina 3972-2020, estimando el recurso de casación para la unificación de doctrina interpuesto por el Ministerio Fiscal, casando y anulando la sentencia de 6 de octubre de 2020, dictada por la Sala de lo Social del Tribunal Superior de Justicia del país Vasco en el recurso de suplicación número 941-2020 y, resolviendo el debate planteado </w:t>
      </w:r>
      <w:r>
        <w:lastRenderedPageBreak/>
        <w:t>en suplicación, desestimó el recurso de tal clase, declarando la firmeza de la sentencia de 18 de mayo de 2020, dictada por el Juzgado de lo Social núm. 5 de Bilbao, en autos 1015-2019, seguidos a instancia de doña Isidora contra la Tesorería General de la Seguridad Social y el Instituto Nacional de la Seguridad Social, sobre prestaciones. Esta última sentencia desestimó la demanda formulada por doña Isidora, familia monoparental, contra la Tesorería General de la Seguridad Social y el Instituto Nacional de la Seguridad Social, en reclamación de las prestaciones por nacimiento y cuidado de menor que hubieran correspondido al otro progenitor.</w:t>
      </w:r>
    </w:p>
    <w:p w14:paraId="498D5DC7" w14:textId="77777777" w:rsidR="003754FE" w:rsidRDefault="003754FE" w:rsidP="003754FE">
      <w:pPr>
        <w:pStyle w:val="TextoNormal"/>
      </w:pPr>
    </w:p>
    <w:p w14:paraId="5B8FDD5B" w14:textId="77777777" w:rsidR="003754FE" w:rsidRDefault="003754FE" w:rsidP="003754FE">
      <w:pPr>
        <w:pStyle w:val="TextoNormal"/>
      </w:pPr>
      <w:r>
        <w:t>La sentencia cuenta con un voto particular suscrito por dos magistrados de la Sala en el que se concluye que el recurso debió ser desestimado, confirmando la resolución recurrida de la Sala de lo Social del Tribunal Superior de Justicia del Pas Vasco por la que se concedía a la recurrente, familia monoparental, la prestación por nacimiento y cuidado de menor que hubiera correspondido al otro progenitor.</w:t>
      </w:r>
    </w:p>
    <w:p w14:paraId="62BAD30A" w14:textId="77777777" w:rsidR="003754FE" w:rsidRDefault="003754FE" w:rsidP="003754FE">
      <w:pPr>
        <w:pStyle w:val="TextoNormal"/>
      </w:pPr>
    </w:p>
    <w:p w14:paraId="09B3F9C0" w14:textId="77777777" w:rsidR="003754FE" w:rsidRDefault="003754FE" w:rsidP="003754FE">
      <w:pPr>
        <w:pStyle w:val="TextoNormal"/>
      </w:pPr>
      <w:r>
        <w:t>La sentencia pone de relieve que la analizada normativa —art. 48.4 LET y 177 LGSS— ni resulta contraria a la letra o al espíritu de la Constitución Española, ni se sitúa al margen de la normativa internacional, especialmente del derecho de la Unión Europea, ni resulta contraria a los acuerdos, pactos o convenios internacionales suscritos por España. Continúa razonando que el reconocimiento al único progenitor de una familia monoparental de la prestación por nacimiento y cuidado de menor, que le hubiera correspondido al otro progenitor en supuestos en los que ya se le ha reconocido dicha prestación propia, no resulta una exigencia que derive ni de la Constitución Española, ni de ninguna norma de la Unión Europea, ni de ningún acuerdo o tratado internacional ratificado por España.</w:t>
      </w:r>
    </w:p>
    <w:p w14:paraId="6871C3F2" w14:textId="77777777" w:rsidR="003754FE" w:rsidRDefault="003754FE" w:rsidP="003754FE">
      <w:pPr>
        <w:pStyle w:val="TextoNormal"/>
      </w:pPr>
    </w:p>
    <w:p w14:paraId="2A92AF8D" w14:textId="77777777" w:rsidR="003754FE" w:rsidRDefault="003754FE" w:rsidP="003754FE">
      <w:pPr>
        <w:pStyle w:val="TextoNormal"/>
      </w:pPr>
      <w:r>
        <w:t>Recientemente la Sala Tercera del Tribunal Supremo ha dictado sentencia el 15 de octubre de 2024 —sentencia 1612/2024 (ECLI:ES:TS:2024:4948), recurso de casación 5372-2022—, en relación con el derecho reclamado por una empleada pública, familia monoparental, a añadir a su permiso de maternidad el permiso que le hubiera correspondido al otro progenitor, permisos regulados en el artículo 49 del texto refundido de la Ley del estatuto del empleado público (en adelante, TRLEEP).</w:t>
      </w:r>
    </w:p>
    <w:p w14:paraId="4841CD6D" w14:textId="77777777" w:rsidR="003754FE" w:rsidRDefault="003754FE" w:rsidP="003754FE">
      <w:pPr>
        <w:pStyle w:val="TextoNormal"/>
      </w:pPr>
    </w:p>
    <w:p w14:paraId="0C35ED9F" w14:textId="77777777" w:rsidR="003754FE" w:rsidRDefault="003754FE" w:rsidP="003754FE">
      <w:pPr>
        <w:pStyle w:val="TextoNormal"/>
      </w:pPr>
      <w:r>
        <w:t>En relación con la interpretación de dicho artículo, la sentencia razona así:</w:t>
      </w:r>
    </w:p>
    <w:p w14:paraId="1E7581A9" w14:textId="77777777" w:rsidR="003754FE" w:rsidRDefault="003754FE" w:rsidP="003754FE">
      <w:pPr>
        <w:pStyle w:val="TextoNormal"/>
      </w:pPr>
    </w:p>
    <w:p w14:paraId="0D9A857E" w14:textId="77777777" w:rsidR="003754FE" w:rsidRDefault="003754FE" w:rsidP="003754FE">
      <w:pPr>
        <w:pStyle w:val="TextoNormal"/>
      </w:pPr>
      <w:r>
        <w:t>“La interpretación que hacemos, en consecuencia, del artículo 49 del TRLEEP es la que resulta conforme con la Constitución, en concreto los artículos 14 y 39, y el resto del ordenamiento jurídico, respetando la igualdad y el interés superior del menor, mediante la proscripción de cualquier forma de discriminación por razón de nacimiento. Y no divisamos ninguna circunstancia que proporcione una justificación razonable para explicar la diferencia de efectos jurídicos entre ambas situaciones jurídicas equiparables, entre menores recién nacidos en función del tipo de familia, monoparental o biparental, a los efectos del artículo 49 de tanta cita. Ni siquiera resultan entendibles, como antes adelantamos, las razones por las que unos menores recién nacidos puedan recibir durante más tiempo la atención y los cuidados de alguno de sus progenitores, empleados públicos y otros no. Todos deben recibir el cuidado y atención a que se refiere el artículo 68 del Código civil, en la misma medida, sin que la interpretación de la Ley pueda conducirnos a conclusiones que lesionen la igualdad”.</w:t>
      </w:r>
    </w:p>
    <w:p w14:paraId="23EBCE85" w14:textId="77777777" w:rsidR="003754FE" w:rsidRDefault="003754FE" w:rsidP="003754FE">
      <w:pPr>
        <w:pStyle w:val="TextoNormal"/>
      </w:pPr>
    </w:p>
    <w:p w14:paraId="558F65E4" w14:textId="570021D2" w:rsidR="003754FE" w:rsidRDefault="003754FE" w:rsidP="003754FE">
      <w:pPr>
        <w:pStyle w:val="TextoNormal"/>
      </w:pPr>
      <w:r>
        <w:lastRenderedPageBreak/>
        <w:t>La sentencia concluye que “[l]a respuesta a la cuestión de interés casacional, en definitiva, es que en el caso de las familias monoparentales, el permiso previsto en el artículo 49 del TRLEEP, ha de ser interpretado, para evitar la discriminación de los menores recién nacidos y teniendo en cuenta el interés superior de los mismos reconocido constitucionalmente, en el sentido de adicionarse al permiso previsto en el apartado a) (dieciséis semanas), el previsto en el apartado b) (diez semanas al excluirse las seis primeras semanas)”.</w:t>
      </w:r>
    </w:p>
    <w:p w14:paraId="190A25E8" w14:textId="77777777" w:rsidR="003754FE" w:rsidRDefault="003754FE" w:rsidP="003754FE">
      <w:pPr>
        <w:pStyle w:val="TextoNormal"/>
      </w:pPr>
    </w:p>
    <w:p w14:paraId="228DFA49" w14:textId="77777777" w:rsidR="003754FE" w:rsidRDefault="003754FE" w:rsidP="003754FE">
      <w:pPr>
        <w:pStyle w:val="TextoNormal"/>
      </w:pPr>
      <w:r w:rsidRPr="003754FE">
        <w:rPr>
          <w:rStyle w:val="NumeroAFNegritaCaracter"/>
        </w:rPr>
        <w:t>4</w:t>
      </w:r>
      <w:r>
        <w:t xml:space="preserve">. </w:t>
      </w:r>
      <w:r w:rsidRPr="003754FE">
        <w:rPr>
          <w:i/>
        </w:rPr>
        <w:t>Alcance de las obligaciones que se imponen al legislador en relación con la regulación de los permisos por nacimiento y cuidado de menor</w:t>
      </w:r>
    </w:p>
    <w:p w14:paraId="716D821F" w14:textId="77777777" w:rsidR="003754FE" w:rsidRDefault="003754FE" w:rsidP="003754FE">
      <w:pPr>
        <w:pStyle w:val="TextoNormal"/>
      </w:pPr>
    </w:p>
    <w:p w14:paraId="59510BCE" w14:textId="77777777" w:rsidR="003754FE" w:rsidRDefault="003754FE" w:rsidP="003754FE">
      <w:pPr>
        <w:pStyle w:val="TextoNormal"/>
      </w:pPr>
      <w:r>
        <w:t>Una vez analizado el marco normativo en el que se insertan los preceptos legales cuya constitucionalidad cuestiona la Sala de lo Social del Tribunal Superior de Justicia de Cataluña, podemos abordar ya el estudio de fondo de la cuestión suscitada. Teniendo en cuenta que esta cuestión de inconstitucionalidad trae causa de un proceso en materia de seguridad social en el que se discute el eventual derecho de una madre biológica que encabeza una familia monoparental, trabajadora por cuenta ajena, a ampliar la prestación por nacimiento y cuidado de menor que ya le había sido reconocida, de dieciséis semanas a treinta y dos semanas, disfrutando así del derecho que le correspondería al otro progenitor, en caso de haber existido, debemos comenzar nuestro análisis de fondo recordando la jurisprudencia de este tribunal relativa al alcance de las obligaciones que se imponen al legislador en relación con el reconocimiento de este tipo de permisos y prestaciones, así como de las finalidades que estos persiguen.</w:t>
      </w:r>
    </w:p>
    <w:p w14:paraId="23300CFA" w14:textId="77777777" w:rsidR="003754FE" w:rsidRDefault="003754FE" w:rsidP="003754FE">
      <w:pPr>
        <w:pStyle w:val="TextoNormal"/>
      </w:pPr>
    </w:p>
    <w:p w14:paraId="1FED5720" w14:textId="77777777" w:rsidR="003754FE" w:rsidRDefault="003754FE" w:rsidP="003754FE">
      <w:pPr>
        <w:pStyle w:val="TextoNormal"/>
      </w:pPr>
      <w:r>
        <w:t>En nuestra jurisprudencia previa relativa al derecho a la suspensión del contrato de trabajo por razón de parto que reconocía la legislación laboral anterior al Real Decreto-ley 6/2019, de 1 de marzo, tanto a la trabajadora embarazada, como al otro progenitor, aunque con una duración sustancialmente diferente, hemos subrayado las diferencias entre ambos permisos, no solo por razón de la finalidad que persiguen, sino también por razón de los compromisos internacionales asumidos por nuestro Estado en esa materia y las obligaciones que, como consecuencia de ellos, se imponen al legislador (por todas, SSTC 111/2018, de 17 de octubre, y 117/2018, de 29 de octubre).</w:t>
      </w:r>
    </w:p>
    <w:p w14:paraId="3ECE529D" w14:textId="77777777" w:rsidR="003754FE" w:rsidRDefault="003754FE" w:rsidP="003754FE">
      <w:pPr>
        <w:pStyle w:val="TextoNormal"/>
      </w:pPr>
    </w:p>
    <w:p w14:paraId="2FE29164" w14:textId="77777777" w:rsidR="003754FE" w:rsidRDefault="003754FE" w:rsidP="003754FE">
      <w:pPr>
        <w:pStyle w:val="TextoNormal"/>
      </w:pPr>
      <w:r>
        <w:t>a) Doctrina constitucional relativa a los permisos de maternidad</w:t>
      </w:r>
    </w:p>
    <w:p w14:paraId="20F0B0CC" w14:textId="77777777" w:rsidR="003754FE" w:rsidRDefault="003754FE" w:rsidP="003754FE">
      <w:pPr>
        <w:pStyle w:val="TextoNormal"/>
      </w:pPr>
    </w:p>
    <w:p w14:paraId="74C859A4" w14:textId="77777777" w:rsidR="003754FE" w:rsidRDefault="003754FE" w:rsidP="003754FE">
      <w:pPr>
        <w:pStyle w:val="TextoNormal"/>
      </w:pPr>
      <w:r>
        <w:t xml:space="preserve">En relación con los permisos y prestaciones de maternidad, reconocidos a la trabajadora embarazada por razón del parto en la legislación laboral anterior a la reforma introducida por el Real Decreto-ley 6/2019, de 1 de marzo, este tribunal tuvo ocasión de subrayar que la finalidad perseguida por la norma era múltiple. Siguiendo la jurisprudencia del Tribunal de Justicia de la Unión Europea en la materia, este tribunal afirmó que el reconocimiento de un período de descanso a la trabajadora embarazada por razón del parto, no solo perseguía preservar la salud de esta, sin merma de sus derechos laborales, sino también “proteger las particulares relaciones entre la madre y su hijo durante el período que sigue al embarazo y al parto evitando que la acumulación de cargas que deriva del ejercicio simultáneo de una actividad profesional perturbe dichas relaciones” (por todas, SSTC 111/2018, de 17 de octubre, FJ 6, y en una línea semejante, 214/2006, de 3 de julio, FJ 6; así como la jurisprudencia del Tribunal de Justicia de la Unión Europea allí citada, a la que se añade la más reciente, SSTJUE de 16 de junio de 2016, </w:t>
      </w:r>
      <w:r w:rsidRPr="003754FE">
        <w:rPr>
          <w:i/>
        </w:rPr>
        <w:t xml:space="preserve">Estrella Rodríguez Sánchez c. Consum Sociedad </w:t>
      </w:r>
      <w:r w:rsidRPr="003754FE">
        <w:rPr>
          <w:i/>
        </w:rPr>
        <w:lastRenderedPageBreak/>
        <w:t>Cooperativa Valenciana</w:t>
      </w:r>
      <w:r>
        <w:t xml:space="preserve">, asunto C 351/14, § 44, y de 16 de mayo de 2024, </w:t>
      </w:r>
      <w:r w:rsidRPr="003754FE">
        <w:rPr>
          <w:i/>
        </w:rPr>
        <w:t>CCC c. INSS</w:t>
      </w:r>
      <w:r>
        <w:t>, asunto C 673/22, § 29).</w:t>
      </w:r>
    </w:p>
    <w:p w14:paraId="0E6C6968" w14:textId="77777777" w:rsidR="003754FE" w:rsidRDefault="003754FE" w:rsidP="003754FE">
      <w:pPr>
        <w:pStyle w:val="TextoNormal"/>
      </w:pPr>
    </w:p>
    <w:p w14:paraId="453DE9B6" w14:textId="77777777" w:rsidR="003754FE" w:rsidRDefault="003754FE" w:rsidP="003754FE">
      <w:pPr>
        <w:pStyle w:val="TextoNormal"/>
      </w:pPr>
      <w:r>
        <w:t>Teniendo en cuenta la evolución experimentada por esta institución a lo largo del tiempo, significativamente las reformas que ampliaron las posibilidades de un reparto más equilibrado de las responsabilidades familiares entre los miembros de la pareja, permitiendo que la mujer trabajadora optara por que el padre trabajador disfrutara de una parte del periodo de suspensión del contrato de trabajo que contemplaba la legislación laboral —con excepción de las seis semanas inmediatas posteriores al parto—, este tribunal afirmó que la regulación de la institución permitía percibir “una mayor vinculación de una parte de la baja maternal a objetivos relacionados con la protección de la salud de la mujer trabajadora —en particular, el eventual período de descanso anterior al parto y el de las seis semanas posteriores al mismo—, mientras que el resto de su duración estaría más bien orientada, de manera prioritaria, a objetivos relacionados con la atención del recién nacido” (STC 214/2006, de 3 de julio, FJ 6).</w:t>
      </w:r>
    </w:p>
    <w:p w14:paraId="541A1E0A" w14:textId="77777777" w:rsidR="003754FE" w:rsidRDefault="003754FE" w:rsidP="003754FE">
      <w:pPr>
        <w:pStyle w:val="TextoNormal"/>
      </w:pPr>
    </w:p>
    <w:p w14:paraId="5152AA58" w14:textId="77777777" w:rsidR="003754FE" w:rsidRDefault="003754FE" w:rsidP="003754FE">
      <w:pPr>
        <w:pStyle w:val="TextoNormal"/>
      </w:pPr>
      <w:r>
        <w:t>A pesar de reconocer la multiplicidad de finalidades que el legislador perseguía al regular el permiso y la correspondiente prestación económica de maternidad, este tribunal identificaba como finalidad primordial de la medida, tal y como ya hemos subrayado en el fundamento jurídico anterior de esta sentencia, la preservación de “la salud de la madre trabajadora ante un hecho biológico singular, considerando que una reincorporación inmediata de la mujer a su puesto de trabajo tras el alumbramiento puede ser perjudicial para su completa recuperación, y haciendo compatible esa protección de la condición biológica y de la salud de la mujer trabajadora con la conservación de sus derechos profesionales” (por todas, STC 75/2011, de 19 de mayo, FJ 8). La identificación de esa finalidad primordial, unida al reconocimiento del derecho a un permiso de maternidad tanto en el Derecho de la Unión Europea, como en diversos tratados y acuerdos en materia de derechos humanos ratificados por nuestro país, llevó a este tribunal a delimitar el alcance de las obligaciones que se imponen al legislador en la regulación de esta materia de forma restrictiva.</w:t>
      </w:r>
    </w:p>
    <w:p w14:paraId="0701F11E" w14:textId="77777777" w:rsidR="003754FE" w:rsidRDefault="003754FE" w:rsidP="003754FE">
      <w:pPr>
        <w:pStyle w:val="TextoNormal"/>
      </w:pPr>
    </w:p>
    <w:p w14:paraId="42BB0F86" w14:textId="77777777" w:rsidR="003754FE" w:rsidRDefault="003754FE" w:rsidP="003754FE">
      <w:pPr>
        <w:pStyle w:val="TextoNormal"/>
      </w:pPr>
      <w:r>
        <w:t xml:space="preserve">En nuestra jurisprudencia previa, hemos señalado así que el art. 8 de la Directiva 92/85/CEE del Consejo, de 19 de octubre de 1992, relativa a la aplicación de medidas para promover la mejora de la seguridad y de la salud en el trabajo de la trabajadora embarazada, que haya dado a luz o en período de lactancia, establece que los Estados miembros han de tomar las medidas necesarias para que las trabajadoras disfruten de un permiso de maternidad de como mínimo catorce semanas ininterrumpidas, distribuidas antes y después del parto, debiendo incluir un permiso obligatorio de dos semanas como mínimo. Igualmente, hemos hecho referencia al art. 10.2 del Pacto internacional de derechos económicos, sociales y culturales, que prevé que se “debe conceder una especial protección a las madres durante un período de tiempo razonable antes y después del parto”, así como al art. 3 del Convenio núm. 103 de la Organización Internacional del Trabajo, sobre la protección de la maternidad, que prevé que toda mujer trabajadora embarazada tiene derecho a un descanso de maternidad, cuya duración mínima será de doce semanas, de las cuales seis deberán ser disfrutadas por la madre obligatoriamente después del parto. Teniendo en cuenta esas normas internacionales y europeas, este tribunal ha reconocido que los compromisos internacionales asumidos por nuestro país con la ratificación de esos tratados “obligan a adoptar las medidas necesarias para que las trabajadoras embarazadas disfruten de un permiso de maternidad, a fin de proteger la salud de la mujer” (STC 111/2018, de 17 de octubre, FJ 7); </w:t>
      </w:r>
      <w:r>
        <w:lastRenderedPageBreak/>
        <w:t>obligación a la que dan ahora cumplimiento los arts. 48.4 LET y 177 LGSS, que son objeto de la presente cuestión.</w:t>
      </w:r>
    </w:p>
    <w:p w14:paraId="0BFABEDC" w14:textId="77777777" w:rsidR="003754FE" w:rsidRDefault="003754FE" w:rsidP="003754FE">
      <w:pPr>
        <w:pStyle w:val="TextoNormal"/>
      </w:pPr>
    </w:p>
    <w:p w14:paraId="09FE0A72" w14:textId="77777777" w:rsidR="003754FE" w:rsidRDefault="003754FE" w:rsidP="003754FE">
      <w:pPr>
        <w:pStyle w:val="TextoNormal"/>
      </w:pPr>
      <w:r>
        <w:t>b) Doctrina constitucional relativa a los permisos de paternidad</w:t>
      </w:r>
    </w:p>
    <w:p w14:paraId="3DEFCE56" w14:textId="77777777" w:rsidR="003754FE" w:rsidRDefault="003754FE" w:rsidP="003754FE">
      <w:pPr>
        <w:pStyle w:val="TextoNormal"/>
      </w:pPr>
    </w:p>
    <w:p w14:paraId="6A18632F" w14:textId="77777777" w:rsidR="003754FE" w:rsidRDefault="003754FE" w:rsidP="003754FE">
      <w:pPr>
        <w:pStyle w:val="TextoNormal"/>
      </w:pPr>
      <w:r>
        <w:t>La aproximación de nuestra jurisprudencia a los permisos y correspondientes prestaciones de paternidad, tal y como éstos eran regulados en la legislación laboral previa a la adopción del Real Decreto-ley 6/2019, de 1 de marzo, ha partido de la distinta finalidad tuitiva perseguida por el legislador al regular este tipo de permisos en relación con los permisos de maternidad, así como de su falta de reconocimiento en el Derecho de la Unión Europea y en los tratados y acuerdos en materia de derechos humanos ratificados por nuestro país.</w:t>
      </w:r>
    </w:p>
    <w:p w14:paraId="15F652B3" w14:textId="77777777" w:rsidR="003754FE" w:rsidRDefault="003754FE" w:rsidP="003754FE">
      <w:pPr>
        <w:pStyle w:val="TextoNormal"/>
      </w:pPr>
    </w:p>
    <w:p w14:paraId="27E66327" w14:textId="77777777" w:rsidR="003754FE" w:rsidRDefault="003754FE" w:rsidP="003754FE">
      <w:pPr>
        <w:pStyle w:val="TextoNormal"/>
      </w:pPr>
      <w:r>
        <w:t>En la ya citada STC 111/2018, de 17 octubre, al pronunciarnos sobre la posible lesión del art. 14 CE, que se derivaba del entonces reconocimiento del permiso de paternidad con una duración sustancialmente distinta al del permiso de maternidad, subrayamos que la finalidad tuitiva perseguida por el legislador a la hora de regular estos permisos no era coincidente con la buscada al regular los permisos de maternidad. Tal y como ya indicamos, el reconocimiento de los permisos de paternidad buscaba “favorecer la conciliación de la vida personal, familiar y laboral, fomentando la corresponsabilidad de madres y padres en el cuidado de los hijos” (STC 111/2018, FJ 7; en idéntico sentido, ver también SSTC 117/2018, de 29 de octubre; 138/2018, de 17 de diciembre, y 2/2019, de 14 de enero). En nuestra jurisprudencia, el permiso de paternidad se vincula, por tanto, a la realización de lo previsto en el art. 39.3 CE, que atribuye a ambos progenitores el deber “de prestar asistencia de todo orden a sus hijos”, al permitir a los padres crear un vínculo temprano con sus hijos y fomentar un reparto más equitativo de las responsabilidades familiares entre hombres y mujeres.</w:t>
      </w:r>
    </w:p>
    <w:p w14:paraId="7F69A174" w14:textId="77777777" w:rsidR="003754FE" w:rsidRDefault="003754FE" w:rsidP="003754FE">
      <w:pPr>
        <w:pStyle w:val="TextoNormal"/>
      </w:pPr>
    </w:p>
    <w:p w14:paraId="7EAE9F89" w14:textId="77777777" w:rsidR="003754FE" w:rsidRDefault="003754FE" w:rsidP="003754FE">
      <w:pPr>
        <w:pStyle w:val="TextoNormal"/>
      </w:pPr>
      <w:r>
        <w:t>La distinta finalidad tuitiva que persiguen los permisos de paternidad, unida al hecho de que el establecimiento de un período de suspensión de la actividad laboral por paternidad no venía impuesto, en el momento en que nos pronunciamos sobre los mismos, por ninguna norma de Derecho internacional o europeo que obligara a nuestro país, nos llevó a reconocer un margen de decisión mayor al legislador a la hora de regular estos permisos, así como las correspondientes prestaciones de la seguridad social. Entendimos así que, en legítimo ejercicio de su libertad de configuración del sistema de seguridad social, el legislador podía prever un permiso de paternidad de distinta duración que el permiso de maternidad, al igual que podía decidir extender la duración del primero “hasta llegar incluso, si lo estima oportuno, a la plena equiparación con el permiso y la prestación por maternidad, con el fin de fomentar un reparto más equilibrado de las responsabilidad familiares en el cuidado de los hijos” (STC 111/2018, FJ 8; en idéntico sentido, ver también SSTC 117/2018, FJ 5; 138/2018, FJ 2, y 2/2019, FJ 6).</w:t>
      </w:r>
    </w:p>
    <w:p w14:paraId="75917110" w14:textId="77777777" w:rsidR="003754FE" w:rsidRDefault="003754FE" w:rsidP="003754FE">
      <w:pPr>
        <w:pStyle w:val="TextoNormal"/>
      </w:pPr>
    </w:p>
    <w:p w14:paraId="5F52A4BB" w14:textId="77777777" w:rsidR="003754FE" w:rsidRDefault="003754FE" w:rsidP="003754FE">
      <w:pPr>
        <w:pStyle w:val="TextoNormal"/>
      </w:pPr>
      <w:r>
        <w:t xml:space="preserve">Desde nuestros anteriores pronunciamientos en esta materia, se ha adoptado la Directiva (UE) 2019/1158 del Parlamento Europeo y del Consejo, de 20 de junio de 2019, relativa a la conciliación de la vida familiar y la vida profesional de los progenitores y los cuidadores, cuyo artículo 4 ahora reconoce a los padres —o segundos progenitores reconocidos por la legislación nacional— un permiso de paternidad de diez días laborables con ocasión del nacimiento de su hijo. Más allá de que esta nueva norma de la Unión Europea limite el margen de decisión del legislador español para regular estos permisos, este tribunal no </w:t>
      </w:r>
      <w:r>
        <w:lastRenderedPageBreak/>
        <w:t>puede sino reconocer que el legislador español contaba y sigue contando con un margen de decisión amplio a fin de regular los permisos por nacimiento y cuidado de menor que se atribuyen a los progenitores distintos de la madre biológica.</w:t>
      </w:r>
    </w:p>
    <w:p w14:paraId="45A90FD6" w14:textId="77777777" w:rsidR="003754FE" w:rsidRDefault="003754FE" w:rsidP="003754FE">
      <w:pPr>
        <w:pStyle w:val="TextoNormal"/>
      </w:pPr>
    </w:p>
    <w:p w14:paraId="59120CA9" w14:textId="77777777" w:rsidR="003754FE" w:rsidRDefault="003754FE" w:rsidP="003754FE">
      <w:pPr>
        <w:pStyle w:val="TextoNormal"/>
      </w:pPr>
      <w:r>
        <w:t>c) Doctrina constitucional aplicable a los permisos por nacimiento y cuidado del menor</w:t>
      </w:r>
    </w:p>
    <w:p w14:paraId="587E8D69" w14:textId="77777777" w:rsidR="003754FE" w:rsidRDefault="003754FE" w:rsidP="003754FE">
      <w:pPr>
        <w:pStyle w:val="TextoNormal"/>
      </w:pPr>
    </w:p>
    <w:p w14:paraId="347E00A4" w14:textId="77777777" w:rsidR="003754FE" w:rsidRDefault="003754FE" w:rsidP="003754FE">
      <w:pPr>
        <w:pStyle w:val="TextoNormal"/>
      </w:pPr>
      <w:r>
        <w:t>Desde la perspectiva de enjuiciamiento que ahora nos corresponde, debemos preguntarnos en qué medida nuestra jurisprudencia previa referida a los permisos de maternidad y paternidad resulta de aplicación a los actuales permisos por nacimiento y cuidado del menor, introducidos por el Real Decreto-ley 6/2019, de 1 de marzo. Debemos comenzar subrayando, en ese sentido, que entendemos que las afirmaciones que hemos realizado respecto de la finalidad tuitiva perseguida por el hoy desaparecido permiso de maternidad resultan plenamente trasladables al actual permiso por nacimiento y cuidado de menor que se reconoce a la madre biológica trabajadora por razón del nacimiento. No en vano, el actual art. 48.4 LET reconoce el derecho de estas a la suspensión del contrato de trabajo durante dieseis semanas, subrayando que de esas dieciséis semanas “serán obligatorias las seis semanas ininterrumpidas inmediatamente posteriores al parto, que habrán de disfrutarse a jornada completa, para asegurar la protección de la salud de la madre”.</w:t>
      </w:r>
    </w:p>
    <w:p w14:paraId="431C302E" w14:textId="77777777" w:rsidR="003754FE" w:rsidRDefault="003754FE" w:rsidP="003754FE">
      <w:pPr>
        <w:pStyle w:val="TextoNormal"/>
      </w:pPr>
    </w:p>
    <w:p w14:paraId="086A2BB7" w14:textId="77777777" w:rsidR="003754FE" w:rsidRDefault="003754FE" w:rsidP="003754FE">
      <w:pPr>
        <w:pStyle w:val="TextoNormal"/>
      </w:pPr>
      <w:r>
        <w:t>Cabe así insistir en la doble finalidad que, siguiendo la jurisprudencia del Tribunal de Justicia de la Unión Europea, hemos reconocido a estos permisos, así como en el hecho de que la actual regulación de los mismos permite percibir un mayor vínculo de la parte del permiso maternal que la madre biológica puede disfrutar antes de la fecha previsible del parto —hasta cuatro semanas, según el actual art. 48.4 LET—, así como de las seis semanas posteriores al mismo con la protección de la salud de esta, mientras que el resto del permiso estaría orientado de forma principal a la atención del recién nacido y a la protección de las especiales relaciones que se crean entre madre e hijo.</w:t>
      </w:r>
    </w:p>
    <w:p w14:paraId="7F0F3375" w14:textId="77777777" w:rsidR="003754FE" w:rsidRDefault="003754FE" w:rsidP="003754FE">
      <w:pPr>
        <w:pStyle w:val="TextoNormal"/>
      </w:pPr>
    </w:p>
    <w:p w14:paraId="76E62006" w14:textId="77777777" w:rsidR="003754FE" w:rsidRDefault="003754FE" w:rsidP="003754FE">
      <w:pPr>
        <w:pStyle w:val="TextoNormal"/>
      </w:pPr>
      <w:r>
        <w:t>Esa finalidad de atención y cuidado del recién nacido y de protección de las especiales relaciones que se desarrollan entre este y sus progenitores, está también presente, aun sin ser la única perseguida por el legislador, en el reconocimiento del permiso por nacimiento y cuidado del menor al progenitor distinto de la madre biológica. No obstante, y tal y como ya subrayamos en relación con el hoy desaparecido permiso de paternidad, no cabe sino reconocer que ese permiso persigue también favorecer la conciliación de la vida familiar y laboral, así como fomentar la corresponsabilidad en el cuidado de los hijos. No cabe interpretar de otro modo una norma que reconoce a ambos progenitores por igual un derecho a disfrutar de un período de suspensión de su contrato de trabajo con reserva de puesto, así como la correspondiente prestación económica, tras el nacimiento de su hijo.</w:t>
      </w:r>
    </w:p>
    <w:p w14:paraId="20D76120" w14:textId="77777777" w:rsidR="003754FE" w:rsidRDefault="003754FE" w:rsidP="003754FE">
      <w:pPr>
        <w:pStyle w:val="TextoNormal"/>
      </w:pPr>
    </w:p>
    <w:p w14:paraId="19EBD7D4" w14:textId="77777777" w:rsidR="003754FE" w:rsidRDefault="003754FE" w:rsidP="003754FE">
      <w:pPr>
        <w:pStyle w:val="TextoNormal"/>
      </w:pPr>
      <w:r>
        <w:t xml:space="preserve">No obstante lo dicho, debemos reconocer que la modificación introducida por el Real Decreto-ley 6/2019, de 1 de marzo, en el panorama normativo descrito introduce una finalidad adicional entre las perseguidas por el legislador al regular los ahora denominados permisos por nacimiento y cuidado de menor. Tal y como reconoce la exposición de motivos de la norma, la finalidad primordial de la equiparación de permisos entre progenitores que esta realiza es ubicar en pie de igualdad a hombres y mujeres en el ámbito laboral, introduciendo una medida dirigida a favorecer el acceso y permanencia de la mujer en el mercado de trabajo, y, por tanto, a evitar la peculiar incidencia que respecto de la situación laboral de aquellas tiene el hecho de la maternidad, en línea con lo subrayado en numerosas </w:t>
      </w:r>
      <w:r>
        <w:lastRenderedPageBreak/>
        <w:t>ocasiones por este tribunal (por todas, SSTC 214/2006, de 3 de julio, FJ 6, y 108/2019, de 30 de septiembre, FJ 2). El legislador persigue alcanzar tal objetivo por la vía de arbitrar mecanismos que faciliten la conciliación de la vida familiar y laboral de ambos progenitores y promuevan la corresponsabilidad en la asunción de las tareas de cuidado de los hijos, estimulando cambios en la cultura familiar que eviten que las mujeres trabajadoras, al ser las que principalmente venían asumiendo el cuidado de los hijos de corta edad, sufran también mayores dificultades para su inserción laboral, su permanencia y su promoción en el empleo.</w:t>
      </w:r>
    </w:p>
    <w:p w14:paraId="764E6B50" w14:textId="77777777" w:rsidR="003754FE" w:rsidRDefault="003754FE" w:rsidP="003754FE">
      <w:pPr>
        <w:pStyle w:val="TextoNormal"/>
      </w:pPr>
    </w:p>
    <w:p w14:paraId="1FEADF7C" w14:textId="77777777" w:rsidR="003754FE" w:rsidRDefault="003754FE" w:rsidP="003754FE">
      <w:pPr>
        <w:pStyle w:val="TextoNormal"/>
      </w:pPr>
      <w:r>
        <w:t>El reconocimiento explícito de esa finalidad esencial perseguida por la reforma operada por el Real Decreto-ley 6/2019, de 1 de marzo, plenamente conforme con los postulados de los art. 9.2, 39.2 y 3 CE, no puede oscurecer el hecho de que la suspensión del contrato del progenitor distinto de la madre biológica por razón del nacimiento de su hijo se reconoce “para el cumplimiento de los deberes de cuidado previstos en el artículo 68 del Código civil”, esto es y por lo que aquí interesa, para cubrir las necesidades de cuidado y atención de los hijos. Esta afirmación se cohonesta no solo con el contenido de la Directiva (UE) 2019/1158 del Parlamento Europeo y del Consejo, de 20 de junio de 2019, relativa a la conciliación de la vida familiar y la vida profesional de los progenitores y los cuidadores, sino también con la jurisprudencia sentada por el Tribunal Europeo de Derechos Humanos y el Tribunal de Justicia de la Unión Europea en la materia, cuyo valor hermeneútico de los derechos reconocidos en nuestro texto constitucional, se deriva de lo previsto en el art. 10.2 CE.</w:t>
      </w:r>
    </w:p>
    <w:p w14:paraId="74B81D21" w14:textId="77777777" w:rsidR="003754FE" w:rsidRDefault="003754FE" w:rsidP="003754FE">
      <w:pPr>
        <w:pStyle w:val="TextoNormal"/>
      </w:pPr>
    </w:p>
    <w:p w14:paraId="58BE2CF5" w14:textId="77777777" w:rsidR="003754FE" w:rsidRDefault="003754FE" w:rsidP="003754FE">
      <w:pPr>
        <w:pStyle w:val="TextoNormal"/>
      </w:pPr>
      <w:r>
        <w:t xml:space="preserve">En este sentido, debemos recordar que el art. 4 de la Directiva (UE) 2019/1158, a la que ya hemos hecho referencia, impone a los Estados miembros de la Unión Europea, la obligación de reconocer a los padres —o, en su caso, a los segundos progenitores reconocidos por la legislación nacional— un permiso de paternidad de diez días laborables con ocasión del nacimiento del hijo “y a fin de facilitarle cuidados” [arts. 3.1 a) y 4.1]. La finalidad de la medida es pues coincidente con la del permiso parental, al que hace referencia el art. 33.2 de la Carta de derechos fundamentales de la Unión Europea, y que regula actualmente el art. 5 de la citada Directiva. El permiso parental se configura así como un derecho individual de cada trabajador —y, por tanto, no solo del padre o segundo progenitor— a disfrutar de un permiso de cuatro meses antes de que el hijo alcance una determinada edad “para cuidar de este” y esa finalidad de cuidado ha sido enfatizada por el Tribunal de Justicia de la Unión Europea en su jurisprudencia al respecto, en la que viene afirmando que “el permiso parental se concede a los progenitores para que puedan ocuparse de su hijo” (véase, en este sentido, las STJUE de 16 de mayo de 2024, </w:t>
      </w:r>
      <w:r w:rsidRPr="003754FE">
        <w:rPr>
          <w:i/>
        </w:rPr>
        <w:t>CCC c. INSS</w:t>
      </w:r>
      <w:r>
        <w:t>, asunto C-673/22, § 29; y STJUE de 16 de junio de 2016, Estrella Rodríguez Sánchez c. Consum Sociedad Cooperativa Valenciana, asunto C-351/14, § 44).</w:t>
      </w:r>
    </w:p>
    <w:p w14:paraId="40FBD963" w14:textId="77777777" w:rsidR="003754FE" w:rsidRDefault="003754FE" w:rsidP="003754FE">
      <w:pPr>
        <w:pStyle w:val="TextoNormal"/>
      </w:pPr>
    </w:p>
    <w:p w14:paraId="4D1EC0F4" w14:textId="77777777" w:rsidR="003754FE" w:rsidRDefault="003754FE" w:rsidP="003754FE">
      <w:pPr>
        <w:pStyle w:val="TextoNormal"/>
      </w:pPr>
      <w:r>
        <w:t xml:space="preserve">Aunque no se ha pronunciado específicamente sobre los permisos de paternidad —entendidos como aquellos reconocidos únicamente al padre o progenitor distinto de la madre biológica tras el nacimiento—, el Tribunal Europeo de Derechos Humanos también ha subrayado que los llamados permisos parentales —reconocidos a cualquier progenitor tras el nacimiento—, se distinguen del permiso de maternidad en que este persigue permitir a la madre que se recupere del parto y amamante al bebé, si lo desea, mientras que los permisos parentales tienen como objetivo permitir al beneficiario quedarse en el hogar y ocuparse en persona del recién nacido (entre otras, SSTEDH de 27 de marzo de 1998, asunto </w:t>
      </w:r>
      <w:r w:rsidRPr="003754FE">
        <w:rPr>
          <w:i/>
        </w:rPr>
        <w:t xml:space="preserve">Petrovic </w:t>
      </w:r>
      <w:r w:rsidRPr="003754FE">
        <w:rPr>
          <w:i/>
        </w:rPr>
        <w:lastRenderedPageBreak/>
        <w:t>c. Austria</w:t>
      </w:r>
      <w:r>
        <w:t xml:space="preserve">, § 36, y de 22 de marzo de 2012, asunto </w:t>
      </w:r>
      <w:r w:rsidRPr="003754FE">
        <w:rPr>
          <w:i/>
        </w:rPr>
        <w:t>Konstantin Markin c. Rusia</w:t>
      </w:r>
      <w:r>
        <w:t xml:space="preserve">, § 132). En este sentido, el Tribunal Europeo de Derechos Humanos ha entendido que los permisos parentales favorecen la vida familiar y tienen necesariamente una incidencia en la organización de la vida de una familia, entrando en el ámbito de aplicación del derecho a la vida familiar del art. 8 del Convenio Europeo de Derechos Humanos (entre otras, SSTEDH de 27 de marzo de 1998, asunto </w:t>
      </w:r>
      <w:r w:rsidRPr="003754FE">
        <w:rPr>
          <w:i/>
        </w:rPr>
        <w:t>Petrovic c. Austria</w:t>
      </w:r>
      <w:r>
        <w:t>, § 27, y de 22 de marzo de 2012, asunt</w:t>
      </w:r>
      <w:r w:rsidRPr="003754FE">
        <w:rPr>
          <w:i/>
        </w:rPr>
        <w:t>o Konstantin Markin c. Rus</w:t>
      </w:r>
      <w:r>
        <w:t>ia § 130).</w:t>
      </w:r>
    </w:p>
    <w:p w14:paraId="52CA8152" w14:textId="77777777" w:rsidR="003754FE" w:rsidRDefault="003754FE" w:rsidP="003754FE">
      <w:pPr>
        <w:pStyle w:val="TextoNormal"/>
      </w:pPr>
    </w:p>
    <w:p w14:paraId="3E774FB8" w14:textId="77777777" w:rsidR="003754FE" w:rsidRDefault="003754FE" w:rsidP="003754FE">
      <w:pPr>
        <w:pStyle w:val="TextoNormal"/>
      </w:pPr>
      <w:r>
        <w:t>A la luz de esta jurisprudencia, y teniendo en cuenta la específica configuración de los permisos de nacimiento y cuidado de menor regulados en el actual art. 48.4 LET (y la correspondiente prestación económica de la seguridad social que contempla el art. 177 LGSS), cabe entender que la finalidad que persigue la norma cuyo análisis abordamos es múltiple, en tanto no solo pretende preservar la salud de la mujer trabajadora ante el hecho biológico singular de la maternidad, sino también garantizar la igualdad de oportunidades de hombres y mujeres en el ámbito laboral por la vía de fomentar la corresponsabilidad en el cuidado de los hijos y facilitar la conciliación de la vida laboral y familiar, reconociendo a ambos progenitores un período de suspensión de su contrato de trabajo de igual duración a fin de que puedan cuidar y atender a sus hijos en sus primeros meses de vida. El delicado equilibrio que trata de arbitrar el legislador entre estas finalidades, todas ellas constitucionalmente legítimas, habrá de ser tenido en cuenta a fin de valorar la constitucionalidad de los preceptos que han sido sometidos a nuestro control.</w:t>
      </w:r>
    </w:p>
    <w:p w14:paraId="07F2EFE0" w14:textId="77777777" w:rsidR="003754FE" w:rsidRDefault="003754FE" w:rsidP="003754FE">
      <w:pPr>
        <w:pStyle w:val="TextoNormal"/>
      </w:pPr>
    </w:p>
    <w:p w14:paraId="37FB0993" w14:textId="77777777" w:rsidR="003754FE" w:rsidRDefault="003754FE" w:rsidP="003754FE">
      <w:pPr>
        <w:pStyle w:val="TextoNormal"/>
      </w:pPr>
      <w:r>
        <w:t>Más allá de estas precisiones, relativas a la finalidad tuitiva múltiple que persiguen los actuales permisos por nacimiento y cuidado de menor, debemos también subrayar que entendemos aplicable a estos permisos nuestra jurisprudencia previa relativa al alcance de las obligaciones que se imponen al legislador español en relación con la regulación de los antiguos permisos de maternidad y paternidad. Procede reconocer así que, si bien el legislador español ve limitado su margen de decisión a fin de regular los permisos que, por razón de nacimiento, se reconocen a la madre biológica, en virtud de lo previsto por las normas europeas e internacionales en la materia, el margen de decisión del que goza a fin de regular los correspondientes permisos del otro progenitor es más amplio.</w:t>
      </w:r>
    </w:p>
    <w:p w14:paraId="21E1ACFC" w14:textId="77777777" w:rsidR="003754FE" w:rsidRDefault="003754FE" w:rsidP="003754FE">
      <w:pPr>
        <w:pStyle w:val="TextoNormal"/>
      </w:pPr>
    </w:p>
    <w:p w14:paraId="29E2A9CD" w14:textId="77777777" w:rsidR="003754FE" w:rsidRDefault="003754FE" w:rsidP="003754FE">
      <w:pPr>
        <w:pStyle w:val="TextoNormal"/>
      </w:pPr>
      <w:r>
        <w:t>Por lo que ahora nos interesa, debemos subrayar que, en ejercicio de esa libertad, el legislador español podía decidir equiparar en duración el permiso por nacimiento y cuidado de menor que el art. 48.4 LET reconoce al otro progenitor y el que reconoce a la madre biológica o, por el contrario, podía prever un período de suspensión del contrato de trabajo de extensión diferente para ambos progenitores. No obstante, en la configuración del concreto modelo a seguir, el legislador estaba sometido al texto constitucional. No en vano nuestra jurisprudencia previa viene subrayando que, si bien el legislador goza de amplia libertad para modular la acción protectora del sistema de seguridad social en atención a las circunstancias socioeconómicas concurrentes en cada momento y a la necesidad de administrar recursos económicos limitados para atender a un gran número de necesidades sociales, en el ejercicio de esa libertad “está sometida al necesario respeto de los principios constitucionales y, por ende, a las exigencias del principio de igualdad y no discriminación” (por todas, SSTC 61/2013, de 14 de marzo, FJ 6, y 91/2019, de 3 de julio, FJ 6).</w:t>
      </w:r>
    </w:p>
    <w:p w14:paraId="41FE4D9D" w14:textId="77777777" w:rsidR="003754FE" w:rsidRDefault="003754FE" w:rsidP="003754FE">
      <w:pPr>
        <w:pStyle w:val="TextoNormal"/>
      </w:pPr>
    </w:p>
    <w:p w14:paraId="4B2BABB0" w14:textId="09F7E347" w:rsidR="003754FE" w:rsidRDefault="003754FE" w:rsidP="003754FE">
      <w:pPr>
        <w:pStyle w:val="TextoNormal"/>
      </w:pPr>
      <w:r>
        <w:t xml:space="preserve">Puesto que la Sala de lo Social del Tribunal Superior de Justicia de Cataluña cuestiona la constitucionalidad de los arts. 48.4 LET y 177 LGSS por discriminar a los menores </w:t>
      </w:r>
      <w:r>
        <w:lastRenderedPageBreak/>
        <w:t>pertenecientes a familias monoparentales, que podrán recibir un tiempo de cuidado inferior de sus progenitores que los nacidos en una familia biparental, a pesar de tener idénticas necesidades, así como por discriminar a las mujeres trabajadoras, que encabezan mayoritariamente las familias monoparentales, nuestro análisis de la cuestión planteada no puede acabar con el reconocimiento del margen de decisión que nuestro texto constitucional atribuye al legislador en este materia. Debemos así plantearnos si el legislador respetó las exigencias derivadas del reconocimiento del derecho a la igualdad y a no ser discriminado al no prever la posibilidad de que, en circunstancias como las descritas en el caso del que trae causa la presente cuestión,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w:t>
      </w:r>
    </w:p>
    <w:p w14:paraId="1F5A6038" w14:textId="77777777" w:rsidR="003754FE" w:rsidRDefault="003754FE" w:rsidP="003754FE">
      <w:pPr>
        <w:pStyle w:val="TextoNormal"/>
      </w:pPr>
    </w:p>
    <w:p w14:paraId="7ADF44CD" w14:textId="77777777" w:rsidR="003754FE" w:rsidRDefault="003754FE" w:rsidP="003754FE">
      <w:pPr>
        <w:pStyle w:val="TextoNormal"/>
      </w:pPr>
      <w:r w:rsidRPr="003754FE">
        <w:rPr>
          <w:rStyle w:val="NumeroAFNegritaCaracter"/>
        </w:rPr>
        <w:t>5</w:t>
      </w:r>
      <w:r>
        <w:t xml:space="preserve">. </w:t>
      </w:r>
      <w:r w:rsidRPr="003754FE">
        <w:rPr>
          <w:i/>
        </w:rPr>
        <w:t>Prohibición de discriminación por razón de nacimiento en familia monoparental</w:t>
      </w:r>
    </w:p>
    <w:p w14:paraId="0029CDFF" w14:textId="77777777" w:rsidR="003754FE" w:rsidRDefault="003754FE" w:rsidP="003754FE">
      <w:pPr>
        <w:pStyle w:val="TextoNormal"/>
      </w:pPr>
    </w:p>
    <w:p w14:paraId="00650BA2" w14:textId="77777777" w:rsidR="003754FE" w:rsidRDefault="003754FE" w:rsidP="003754FE">
      <w:pPr>
        <w:pStyle w:val="TextoNormal"/>
      </w:pPr>
      <w:r>
        <w:t>La Sala promotora de la presente cuestión de inconstitucionalidad señala, en primer lugar, que los arts. 48.4 LET y 177 LGSS supondrían un trato discriminatorio de los menores nacidos en familias monoparentales, ya que recibirán un tiempo de cuidado por parte de sus progenitores, inferior que los nacidos en familias biparentales, a pesar de que tienen idénticas necesidades. Esta diferencia de trato no solo sería discriminatoria, a entender de la Sala, sino que no atendería al interés superior del menor, contraviniendo los arts. 14 y 39, apartados 1, 2 y 4 CE, que han de ser interpretados en relación con el art. 3.1 de la Convención de Naciones Unidas sobre los derechos del niño y el art. 24 de la Carta de los derechos fundamentales de la Unión Europea, en virtud de lo previsto en el art. 10.2 CE.</w:t>
      </w:r>
    </w:p>
    <w:p w14:paraId="0EC60379" w14:textId="77777777" w:rsidR="003754FE" w:rsidRDefault="003754FE" w:rsidP="003754FE">
      <w:pPr>
        <w:pStyle w:val="TextoNormal"/>
      </w:pPr>
    </w:p>
    <w:p w14:paraId="73BBDBC0" w14:textId="77777777" w:rsidR="003754FE" w:rsidRDefault="003754FE" w:rsidP="003754FE">
      <w:pPr>
        <w:pStyle w:val="TextoNormal"/>
      </w:pPr>
      <w:r>
        <w:t>La resolución de esta primera duda de constitucionalidad exige que dilucidemos, como cuestión inicial, si nos encontramos ante una diferencia de trato que tiene su origen en una de las categorías prohibidas de discriminación previstas en el art. 14 CE, o si, por el contrario, nos hallamos en el ámbito de aplicación de la cláusula general de igualdad que ese mismo precepto reconoce. En este sentido, debemos recordar que, según nuestra jurisprudencia, “el derecho a la igualdad reconocido en el primer inciso del art. 14 CE exige que, a iguales supuestos de hecho se apliquen iguales consecuencias jurídicas, lo que veda la utilización de elementos de diferenciación que quepa calificar de arbitrarios o carentes de una justificación objetiva y razonable” [SSTC 79/2020, de 2 de julio, FJ 4; 253/2004, de 22 de diciembre, FJ 5; 117/2011, de 4 de julio, FJ 4; 149/2017, de 18 de diciembre, FJ 4, y 91/2019, de 3 de julio, FJ 4 a), entre otras]. Tal y como hemos subrayado en numerosas ocasiones, el derecho a la igualdad de todos los españoles ante la ley tiene un carácter relacional, de modo que “su infracción requiere inexcusablemente como presupuesto la existencia de una diferencia de trato entre situaciones sustancialmente iguales, cuya razonabilidad o no deberá valorarse con posterioridad” [por todas, SSTC 103/2018, de 4 de octubre, FJ 5, y 92/2024, de 18 de junio, FJ 9 C)].</w:t>
      </w:r>
    </w:p>
    <w:p w14:paraId="1C57999A" w14:textId="77777777" w:rsidR="003754FE" w:rsidRDefault="003754FE" w:rsidP="003754FE">
      <w:pPr>
        <w:pStyle w:val="TextoNormal"/>
      </w:pPr>
    </w:p>
    <w:p w14:paraId="6E660371" w14:textId="77777777" w:rsidR="003754FE" w:rsidRDefault="003754FE" w:rsidP="003754FE">
      <w:pPr>
        <w:pStyle w:val="TextoNormal"/>
      </w:pPr>
      <w:r>
        <w:t xml:space="preserve">En el caso que ahora analizamos, nos encontramos ante una diferencia de trato entre situaciones que son sustancialmente iguales y que son relevantes desde la perspectiva de una de las finalidades que persigue la norma de cuya constitucionalidad se duda, en concreto, la de facilitar la conciliación de la vida laboral y familiar a fin de que los progenitores puedan prestar a sus hijos los cuidados y atención que necesitan nada más nacer (art. 39.3 CE). Es obvio que la duración e intensidad de la necesidad de atención y cuidado de un </w:t>
      </w:r>
      <w:r>
        <w:lastRenderedPageBreak/>
        <w:t>recién nacido es la misma con independencia del modelo familiar en el que haya nacido. A pesar de esa sustancial identidad de las necesidades de cuidado que tiene cualquier recién nacido, en un supuesto como el ahora analizado, las normas cuya constitucionalidad se cuestiona provocan una diferencia de trato entre los menores nacidos en una familia monoparental y los nacidos en una familia biparental, en tanto en el primer caso, tan solo podrán recibir los cuidados de su madre biológica por un período máximo de dieciséis semanas (ampliable en los supuestos previstos en la ley), mientras que, en el segundo caso, podrán recibir también los cuidados del otro progenitor por idéntico período de tiempo (también ampliable cuando así lo prevea la ley).</w:t>
      </w:r>
    </w:p>
    <w:p w14:paraId="217DA043" w14:textId="77777777" w:rsidR="003754FE" w:rsidRDefault="003754FE" w:rsidP="003754FE">
      <w:pPr>
        <w:pStyle w:val="TextoNormal"/>
      </w:pPr>
    </w:p>
    <w:p w14:paraId="4B2D5834" w14:textId="77777777" w:rsidR="003754FE" w:rsidRDefault="003754FE" w:rsidP="003754FE">
      <w:pPr>
        <w:pStyle w:val="TextoNormal"/>
      </w:pPr>
      <w:r>
        <w:t>Si bien parece claro, desde la perspectiva de la jurisprudencia de este tribunal, que estamos ante una diferencia de trato normativa de situaciones sustancialmente iguales que afecta a uno de los beneficiarios principales de la norma —recuérdese, a estos efectos, que este tribunal ya ha reconocido que los hijos son los “primeros beneficiarios” de toda medida de conciliación de la vida familiar y laboral [STC 153/2021, de 13 de septiembre, FJ 3 d)]—, el planteamiento realizado por el Tribunal Superior de Justicia de Cataluña nos obliga a preguntarnos si la diferencia de trato identificada se produce por alguno de los motivos de discriminación que el segundo inciso del art. 14 CE expresamente prohíbe.</w:t>
      </w:r>
    </w:p>
    <w:p w14:paraId="2A4D86B6" w14:textId="77777777" w:rsidR="003754FE" w:rsidRDefault="003754FE" w:rsidP="003754FE">
      <w:pPr>
        <w:pStyle w:val="TextoNormal"/>
      </w:pPr>
    </w:p>
    <w:p w14:paraId="6BB592E1" w14:textId="77777777" w:rsidR="003754FE" w:rsidRDefault="003754FE" w:rsidP="003754FE">
      <w:pPr>
        <w:pStyle w:val="TextoNormal"/>
      </w:pPr>
      <w:r>
        <w:t>En este sentido, debemos recordar que, según nuestra jurisprudencia, la virtualidad del art. 14 CE no se agota en la cláusula general de igualdad. Junto a esta, el art. 14 CE prohíbe de forma expresa una serie de motivos o razones concretos de discriminación. Más allá de que este tribunal haya afirmado que esa referencia expresa a concretas razones de discriminación no implica el establecimiento de una lista cerrada de supuestos que la provoquen (SSTC 128/1987, de 16 de julio, FJ 5, y 67/2022, de 2 de julio, FJ 4, entre muchas otras), debemos resaltar ahora que, en nuestra jurisprudencia, esa referencia expresa a ciertos motivos o razones de discriminación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[entre otras, SSTC 182/2005, de 4 de julio, FJ 4; 63/2011, de 16 de mayo, FJ 3 b), y 172/2021, de 7 de octubre, FJ 3].</w:t>
      </w:r>
    </w:p>
    <w:p w14:paraId="7545BC89" w14:textId="77777777" w:rsidR="003754FE" w:rsidRDefault="003754FE" w:rsidP="003754FE">
      <w:pPr>
        <w:pStyle w:val="TextoNormal"/>
      </w:pPr>
    </w:p>
    <w:p w14:paraId="0150D6EE" w14:textId="77777777" w:rsidR="003754FE" w:rsidRDefault="003754FE" w:rsidP="003754FE">
      <w:pPr>
        <w:pStyle w:val="TextoNormal"/>
      </w:pPr>
      <w:r>
        <w:t>La Sala promotora de esta cuestión argumenta que, en casos como el presente, la actual configuración de los permisos de nacimiento y cuidado de menor discriminaría a los nacidos en familias monoparentales, incurriendo así en una discriminación por razón de nacimiento, que constituye una de las categorías expresamente prohibidas de discriminación previstas en el art. 14 CE. Nuestra doctrina sobre ese motivo de discriminación se ha proyectado hasta el momento sobre diferencias de trato entre hijos por razón del origen o la modalidad de filiación, esto es, se ha proyectado sobre diferencias de trato entre hijos matrimoniales y nacidos fuera del matrimonio (por todas, SSTC 74/1997, de 21 de abril; 67/1998, de 18 de marzo; 154/2006, de 22 de mayo, y 105/2017, de 18 de septiembre), hijos naturales y adoptivos (SSTC 9/2010, de 27 de abril, y 200/2001, de 4 de octubre), e hijos comunes a una pareja respecto de los no comunes (STC 171/2012, de 4 de octubre). No obstante, entendemos que esa jurisprudencia es plenamente trasladable a las diferencias entre hijos por razón del modelo de familia —biparental o monoparental— en el que hayan nacido, en tanto esa diferencia trae causa también del nacimiento, aunque en este caso, en un determinado contexto familiar.</w:t>
      </w:r>
    </w:p>
    <w:p w14:paraId="07A81327" w14:textId="77777777" w:rsidR="003754FE" w:rsidRDefault="003754FE" w:rsidP="003754FE">
      <w:pPr>
        <w:pStyle w:val="TextoNormal"/>
      </w:pPr>
    </w:p>
    <w:p w14:paraId="01E41B58" w14:textId="77777777" w:rsidR="003754FE" w:rsidRDefault="003754FE" w:rsidP="003754FE">
      <w:pPr>
        <w:pStyle w:val="TextoNormal"/>
      </w:pPr>
      <w:r>
        <w:t>A idéntica conclusión conduce una interpretación sistemática del art. 14 CE, en relación con el art. 39.1 CE. Si nuestra jurisprudencia previa no ha hecho depender la obligación de protección de la familia, que el art. 39.1 CE impone a los poderes públicos, del hecho de que esta tenga su origen en un matrimonio tradicional, subrayando que “son dignos de protección constitucional los matrimonios sin descendencia, las familias extramatrimoniales o monoparentales (STC 222/1992, de 11 de diciembre) y, sobre todo, los hijos”, protegidos por los art. 39.2 y 3 CE con independencia de su filiación y nacimiento dentro o fuera del matrimonio (STC 198/2012, de 6 de noviembre, FJ 5), debemos entender que la prohibición de discriminación por razón de nacimiento, que el art. 14 CE expresamente contempla, incluye el nacimiento en cualquier modelo de familia. No en vano esa prohibición persigue que el contexto que rodee el nacimiento, que nunca depende de la voluntad del nacido, sino de la voluntad o las circunstancias de sus progenitores o de cuestiones puramente aleatorias —por ejemplo, la fecha de nacimiento—, no determine un tratamiento diferenciado de la persona.</w:t>
      </w:r>
    </w:p>
    <w:p w14:paraId="5450D050" w14:textId="77777777" w:rsidR="003754FE" w:rsidRDefault="003754FE" w:rsidP="003754FE">
      <w:pPr>
        <w:pStyle w:val="TextoNormal"/>
      </w:pPr>
    </w:p>
    <w:p w14:paraId="2A7D4893" w14:textId="77777777" w:rsidR="003754FE" w:rsidRDefault="003754FE" w:rsidP="003754FE">
      <w:pPr>
        <w:pStyle w:val="TextoNormal"/>
      </w:pPr>
      <w:r>
        <w:t xml:space="preserve">Esa misma interpretación se deduce también del art. 2 de la Convención de Naciones Unidas sobre los derechos del niño y de la jurisprudencia del Tribunal Europeo de Derechos Humanos. El art. 2 de la Convención de Naciones Unidas sobre los derechos del niño, tratado internacional especialmente relevante de entre aquellos a los que hace referencia el art. 39.4 CE, además de constituir canon hermenéutico de las normas relativas a derechos fundamentales y libertades que nuestra Constitución reconoce </w:t>
      </w:r>
      <w:r w:rsidRPr="003754FE">
        <w:rPr>
          <w:i/>
        </w:rPr>
        <w:t>ex</w:t>
      </w:r>
      <w:r>
        <w:t xml:space="preserve"> art. 10.2 CE, no solo prohíbe expresamente la discriminación de los niños y niñas por razón de su nacimiento en el ejercicio de los derechos reconocidos en el Convenio, sino que también subraya que éstos no pueden ser discriminados por la condición, las actividades, las opiniones o creencias de sus padres; lo que incluiría la condición de progenitora única de la madre biológica, en un supuesto como el ahora analizado.</w:t>
      </w:r>
    </w:p>
    <w:p w14:paraId="35575096" w14:textId="77777777" w:rsidR="003754FE" w:rsidRDefault="003754FE" w:rsidP="003754FE">
      <w:pPr>
        <w:pStyle w:val="TextoNormal"/>
      </w:pPr>
    </w:p>
    <w:p w14:paraId="739366CF" w14:textId="77777777" w:rsidR="003754FE" w:rsidRDefault="003754FE" w:rsidP="003754FE">
      <w:pPr>
        <w:pStyle w:val="TextoNormal"/>
      </w:pPr>
      <w:r>
        <w:t xml:space="preserve">Por su parte, el Tribunal Europeo de Derechos Humanos ha interpretado la prohibición de discriminación por razón de nacimiento a la que se refiere expresamente tanto el art. 14 del Convenio Europeo de Derechos Humanos, como el art. 1 del Protocolo núm. 12, en el sentido de incluir no solo diferencias de trato por razón de la modalidad de filiación (por todas, SSTEDH de 13 de junio de 1979, asunto </w:t>
      </w:r>
      <w:r w:rsidRPr="003754FE">
        <w:rPr>
          <w:i/>
        </w:rPr>
        <w:t>Marckx c. Bélgica</w:t>
      </w:r>
      <w:r>
        <w:t xml:space="preserve">, y de 7 de febrero de 2013, asunto </w:t>
      </w:r>
      <w:r w:rsidRPr="003754FE">
        <w:rPr>
          <w:i/>
        </w:rPr>
        <w:t>Fabris c. Francia</w:t>
      </w:r>
      <w:r>
        <w:t xml:space="preserve">), sino también otras diferencias de trato relacionadas con las circunstancias que rodearon el nacimiento, como por ejemplo, la fecha en que este se produjo (STEDH de 13 de octubre de 2022, asunto </w:t>
      </w:r>
      <w:r w:rsidRPr="003754FE">
        <w:rPr>
          <w:i/>
        </w:rPr>
        <w:t>Zeggai c. Francia</w:t>
      </w:r>
      <w:r>
        <w:t>); lo que abona un entendimiento amplio de la discriminación por razón de nacimiento, en línea con la interpretación del art. 14 CE que postulamos.</w:t>
      </w:r>
    </w:p>
    <w:p w14:paraId="2AF2E9FF" w14:textId="77777777" w:rsidR="003754FE" w:rsidRDefault="003754FE" w:rsidP="003754FE">
      <w:pPr>
        <w:pStyle w:val="TextoNormal"/>
      </w:pPr>
    </w:p>
    <w:p w14:paraId="0CDFF20C" w14:textId="77777777" w:rsidR="003754FE" w:rsidRDefault="003754FE" w:rsidP="003754FE">
      <w:pPr>
        <w:pStyle w:val="TextoNormal"/>
      </w:pPr>
      <w:r>
        <w:t>La Fiscalía General del Estado, la Abogacía del Estado y el representante de la Seguridad Social discuten que nos encontremos ante una diferencia de trato por razón de nacimiento y, por tanto, por una de las razones prohibidas de discriminación expresamente previstas en el art. 14 CE. Señalan así, por un lado, que no siempre los menores nacidos en familias biparentales tendrán un mayor tiempo de atención y cuidado, al depender esto del cumplimiento por sus progenitores de ciertos requisitos de alta en la seguridad social y de periodos mínimos de cotización; y, por otro lado, que el órgano judicial plantea un supuesto de discriminación por indiferenciación, que la doctrina constitucional excluye del contenido protegido por el art. 14 CE.</w:t>
      </w:r>
    </w:p>
    <w:p w14:paraId="166B012D" w14:textId="77777777" w:rsidR="003754FE" w:rsidRDefault="003754FE" w:rsidP="003754FE">
      <w:pPr>
        <w:pStyle w:val="TextoNormal"/>
      </w:pPr>
    </w:p>
    <w:p w14:paraId="20E046CC" w14:textId="77777777" w:rsidR="003754FE" w:rsidRDefault="003754FE" w:rsidP="003754FE">
      <w:pPr>
        <w:pStyle w:val="TextoNormal"/>
      </w:pPr>
      <w:r>
        <w:t>Ninguno de estos argumentos puede prosperar. En cuanto al primero, baste reseñar que no se trata aquí de determinar si la norma que analizamos introduce una diferencia de trato objetiva y razonable al exigir ciertos requisitos de alta en la seguridad social y de periodos mínimos de cotización para el acceso a las prestaciones económicas por nacimiento y cuidado de hijo. Por el contrario, la duda de constitucionalidad que ahora se nos plantea parte del cumplimiento de esas exigencias legales y apunta que, cumplidas las mismas, la norma provoca una desigualdad de trato entre los menores nacidos en familias monoparentales y biparentales, en tanto los primeros podrán disfrutar de un período de tiempo de cuidado de sus progenitores nada más nacer sustancialmente menor que los segundos.</w:t>
      </w:r>
    </w:p>
    <w:p w14:paraId="04C728B1" w14:textId="77777777" w:rsidR="003754FE" w:rsidRDefault="003754FE" w:rsidP="003754FE">
      <w:pPr>
        <w:pStyle w:val="TextoNormal"/>
      </w:pPr>
    </w:p>
    <w:p w14:paraId="3E07E97B" w14:textId="77777777" w:rsidR="003754FE" w:rsidRDefault="003754FE" w:rsidP="003754FE">
      <w:pPr>
        <w:pStyle w:val="TextoNormal"/>
      </w:pPr>
      <w:r>
        <w:t>Adicionalmente, debemos subrayar que este tribunal tiene una consolidada doctrina según la cual “el enjuiciamiento de la constitucionalidad de las leyes debe hacerse tomando en consideración el caso normal, esto es, el que se da en la generalidad de los casos del supuesto normativo” (SSTC 83/2014, de 29 de mayo, FJ 6; 100/2017, de 20 de julio, FJ 6, y 289/2000, de 30 de noviembre, FJ 6). Una cosa es que, conforme a nuestra doctrina, no pueda declararse la inconstitucionalidad de una norma por la circunstancia de que incurra en la vulneración del art. 14 CE “en supuestos puntuales” (SSTC 47/2001, de 15 de febrero, FJ 7; 212/2001, de 29 de octubre, FJ 5; 21/2002, de 28 de enero, FJ 4, y 255/2004, de 23 de diciembre, FJ 4), y otra muy distinta es que deba declararse la conformidad con la Constitución de una norma que establece, en la generalidad de los casos, una diferencia de trato que podría ser discriminatoria (entre otras, STC 295/2006, de 11 de octubre, FJ 7).</w:t>
      </w:r>
    </w:p>
    <w:p w14:paraId="7E7CC76C" w14:textId="77777777" w:rsidR="003754FE" w:rsidRDefault="003754FE" w:rsidP="003754FE">
      <w:pPr>
        <w:pStyle w:val="TextoNormal"/>
      </w:pPr>
    </w:p>
    <w:p w14:paraId="0DBE1ACE" w14:textId="03202385" w:rsidR="003754FE" w:rsidRDefault="003754FE" w:rsidP="003754FE">
      <w:pPr>
        <w:pStyle w:val="TextoNormal"/>
      </w:pPr>
      <w:r>
        <w:t xml:space="preserve">Tampoco cabe afirmar que nos encontramos ante un supuesto de discriminación por indiferenciación, excluido, según nuestra jurisprudencia reiterada, del ámbito de aplicación del art. 14 CE. Es cierto que, en el caso presente, analizamos una diferencia de trato que no trae causa de las reglas expresamente contenidas en los arts. 48.4 LET y 177 LGSS, sino de una omisión del legislador; elemento que sería común a la diferencia de trato normativa que analizamos y a los supuestos de discriminación por indiferenciación. Sin embargo, nuestra jurisprudencia constante entiende que lo propio de la discriminación por indiferenciación es la exigencia de un trato normativo desigual “entre supuestos desiguales” (SSTC 181/2000, de 29 de junio, FJ 11; 88/2001, de 2 de abril, FJ 2; 257/2005, de 24 de octubre, FJ 4; 118/2014, de 8 de julio, FJ 3, y 128/2014, de 21 de julio, FJ 3, entre otras). En palabras del Tribunal Europeo de Derechos Humanos, se produciría este tipo de discriminación cuando, sin justificación objetiva y razonable, los Estados no tratan de forma diferente a personas que se encuentran en situaciones sustancialmente distintas o que presentan diferencias relevantes (por todas, STEDH de 6 de abril de 2000, asunto </w:t>
      </w:r>
      <w:r w:rsidRPr="003754FE">
        <w:rPr>
          <w:i/>
        </w:rPr>
        <w:t>Thlimmenos c. Grecia</w:t>
      </w:r>
      <w:r>
        <w:t xml:space="preserve">, § 44, y de 13 de octubre de 2020, asunto </w:t>
      </w:r>
      <w:r w:rsidRPr="003754FE">
        <w:rPr>
          <w:i/>
        </w:rPr>
        <w:t>Ádám y otros c. Rumanía</w:t>
      </w:r>
      <w:r>
        <w:t>, § 87). Pues bien, tal y como hemos señalado ya, no nos encontramos aquí ante supuestos desiguales, sino ante una misma necesidad de atención y cuidado de los menores nacidos en familias monoparentales respecto de los nacidos en familias biparentales; igual necesidad a la que responde de forma diferenciada la norma cuya constitucionalidad ahora se cuestiona.</w:t>
      </w:r>
    </w:p>
    <w:p w14:paraId="185A5CCB" w14:textId="77777777" w:rsidR="003754FE" w:rsidRDefault="003754FE" w:rsidP="003754FE">
      <w:pPr>
        <w:pStyle w:val="TextoNormal"/>
      </w:pPr>
    </w:p>
    <w:p w14:paraId="025E6F2A" w14:textId="77777777" w:rsidR="003754FE" w:rsidRDefault="003754FE" w:rsidP="003754FE">
      <w:pPr>
        <w:pStyle w:val="TextoNormal"/>
      </w:pPr>
      <w:r w:rsidRPr="003754FE">
        <w:rPr>
          <w:rStyle w:val="NumeroAFNegritaCaracter"/>
        </w:rPr>
        <w:t>6</w:t>
      </w:r>
      <w:r>
        <w:t xml:space="preserve">. </w:t>
      </w:r>
      <w:r w:rsidRPr="003754FE">
        <w:rPr>
          <w:i/>
        </w:rPr>
        <w:t>Legitimidad constitucional de la diferencia de trato basada en el nacimiento en familia monoparental: finalidad perseguida y proporcionalidad</w:t>
      </w:r>
    </w:p>
    <w:p w14:paraId="24FE6BF3" w14:textId="77777777" w:rsidR="003754FE" w:rsidRDefault="003754FE" w:rsidP="003754FE">
      <w:pPr>
        <w:pStyle w:val="TextoNormal"/>
      </w:pPr>
    </w:p>
    <w:p w14:paraId="3C9E5B03" w14:textId="77777777" w:rsidR="003754FE" w:rsidRDefault="003754FE" w:rsidP="003754FE">
      <w:pPr>
        <w:pStyle w:val="TextoNormal"/>
      </w:pPr>
      <w:r>
        <w:t xml:space="preserve">Una vez que hemos determinado que nos encontramos ante una diferencia de trato normativa —aunque fuere por defecto u omisión— que tiene su origen en una de las razones </w:t>
      </w:r>
      <w:r>
        <w:lastRenderedPageBreak/>
        <w:t>prohibidas de discriminación que expresamente contempla el art. 14 CE, debemos plantearnos si esa diferencia de trato puede estar justificada, tal y como defiende la Fiscalía General del Estado, la Abogacía del Estado y el letrado de la Administración de la Seguridad Social. En relación con esta cuestión, debemos recordar que, si bien este tribunal ha admitido que los motivos de discriminación que el art. 14 CE prohíbe puedan ser utilizados excepcionalmente como criterio de diferenciación jurídica, también ha subrayado que el canon de control a utilizar a la hora de enjuiciar la legitimidad de tales diferencias de trato resulta mucho más estricto que el utilizado para enjuiciar otras diferencias de trato [por todas, STC 200/2001, de 4 de octubre, FJ 4 b)].</w:t>
      </w:r>
    </w:p>
    <w:p w14:paraId="4D30BDE2" w14:textId="77777777" w:rsidR="003754FE" w:rsidRDefault="003754FE" w:rsidP="003754FE">
      <w:pPr>
        <w:pStyle w:val="TextoNormal"/>
      </w:pPr>
    </w:p>
    <w:p w14:paraId="1D4617F4" w14:textId="77777777" w:rsidR="003754FE" w:rsidRDefault="003754FE" w:rsidP="003754FE">
      <w:pPr>
        <w:pStyle w:val="TextoNormal"/>
      </w:pPr>
      <w:r>
        <w:t xml:space="preserve">Respecto de esta cuestión, este tribunal ha declarado que, “a diferencia del principio genérico de igualdad, que no postula ni como fin ni como medio la paridad y solo exige la razonabilidad de la diferencia normativa de trato, las prohibiciones de discriminación contenidas en el art. 14 CE implican un juicio de irrazonabilidad de la diferenciación establecida </w:t>
      </w:r>
      <w:r w:rsidRPr="003754FE">
        <w:rPr>
          <w:i/>
        </w:rPr>
        <w:t>ex costitutione</w:t>
      </w:r>
      <w:r>
        <w:t>, que imponen como fin y generalmente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y 71/2020, de 29 de junio, FJ 3 a), con cita de las SSTC 75/1983, de 3 de agosto, FFJJ 6 y 7; 209/1988, de 10 de noviembre, FJ 6, y 229/1992, de 14 de diciembre, FJ 4]. Debemos destacar también que, en tales supuestos, “la carga de demostrar el carácter justificado de la diferenciación recae sobre quien asume la defensa de la misma” [STC 81/1982, de 21 de diciembre, FJ 2, y 200/2001, de 4 de octubre, FJ 4 b)].</w:t>
      </w:r>
    </w:p>
    <w:p w14:paraId="31260728" w14:textId="77777777" w:rsidR="003754FE" w:rsidRDefault="003754FE" w:rsidP="003754FE">
      <w:pPr>
        <w:pStyle w:val="TextoNormal"/>
      </w:pPr>
    </w:p>
    <w:p w14:paraId="32A552E2" w14:textId="77777777" w:rsidR="003754FE" w:rsidRDefault="003754FE" w:rsidP="003754FE">
      <w:pPr>
        <w:pStyle w:val="TextoNormal"/>
      </w:pPr>
      <w:r>
        <w:t>Pues bien, en aplicación de esta jurisprudencia es preciso señalar que las razones que exponen en su escrito de alegaciones la Fiscalía General del Estado, la Abogacía del Estado y el letrado de la Administración de la Seguridad Social, a fin de defender la constitucionalidad de las normas objeto de esta cuestión, de ningún modo satisfacen el canon más estricto y riguroso que en estos casos requieren las exigencias de razonabilidad y proporcionalidad. La Fiscalía General del Estado, la Abogacía del Estado y el letrado de la Administración de la Seguridad Social señalan, en aras de justificar la medida que incorpora la norma cuestionada, que la equiparación de los permisos de nacimiento y cuidado de menor de la trabajadora, madre biológica, y el otro progenitor persigue, además de la conciliación de la vida laboral y familiar y la promoción de la corresponsabilidad en el cuidado de los hijos, la igualdad real y efectiva entre hombres y mujeres en todos los ámbitos; objetivos, que como hemos señalado ya, no son solo constitucionalmente legítimos, sino que están orientados a la plena realización de los principios y derechos que el texto constitucional reconoce en sus arts. 9.2, 14 y 39 CE.</w:t>
      </w:r>
    </w:p>
    <w:p w14:paraId="69F868BB" w14:textId="77777777" w:rsidR="003754FE" w:rsidRDefault="003754FE" w:rsidP="003754FE">
      <w:pPr>
        <w:pStyle w:val="TextoNormal"/>
      </w:pPr>
    </w:p>
    <w:p w14:paraId="153EE8E7" w14:textId="77777777" w:rsidR="003754FE" w:rsidRDefault="003754FE" w:rsidP="003754FE">
      <w:pPr>
        <w:pStyle w:val="TextoNormal"/>
      </w:pPr>
      <w:r>
        <w:t xml:space="preserve">No obstante, la legitimidad en abstracto de las finalidades que persigue la norma no nos pueden hacer perder de vista que la cuestión que ahora se nos plantea no pone en duda la equiparación de los permisos de nacimiento y cuidado de menor de la trabajadora, madre biológica, y el otro progenitor, sino el hecho de que la norma no prevea la posibilidad de que la primera extienda su permiso por el período que hubiera correspondido al otro progenitor, en caso de existir, y el impacto que esa omisión tiene en los niños y niñas nacidos en familias monoparentales. La justificación de esa omisión no puede hallarse en la voluntad del legislador de fomentar la corresponsabilidad en el cuidado de los hijos —indiscutible </w:t>
      </w:r>
      <w:r>
        <w:lastRenderedPageBreak/>
        <w:t>desde el punto de vista del art. 39.3 CE—, en tanto en las familias monoparentales la corresponsabilidad no es sino una quimera, al no existir un segundo progenitor con el que poder compartir las tareas de cuidado y atención. Tampoco puede justificarse tal omisión en la voluntad del legislador de fomentar la conciliación de la vida familiar y laboral, en tanto parece indiscutible que los progenitores de familias monoparentales tienen —al menos— las mismas necesidades de conciliación que los de familias biparentales y, a pesar de ello, las normas enjuiciadas les ofrecen posibilidades de hacerlo distintas.</w:t>
      </w:r>
    </w:p>
    <w:p w14:paraId="3CD87D01" w14:textId="77777777" w:rsidR="003754FE" w:rsidRDefault="003754FE" w:rsidP="003754FE">
      <w:pPr>
        <w:pStyle w:val="TextoNormal"/>
      </w:pPr>
    </w:p>
    <w:p w14:paraId="50865999" w14:textId="77777777" w:rsidR="003754FE" w:rsidRDefault="003754FE" w:rsidP="003754FE">
      <w:pPr>
        <w:pStyle w:val="TextoNormal"/>
      </w:pPr>
      <w:r>
        <w:t xml:space="preserve">Más dudas plantea el último argumento aportado por la Fiscalía General del Estado y el letrado de la Administración de la Seguridad Social, en tanto parecen asumir, sin aportar dato concreto alguno, que la extensión del permiso de nacimiento y cuidado de menor a la trabajadora, madre biológica de familia monoparental, por el tiempo que habría correspondido al otro progenitor, en caso de existir este, iría en detrimento de la igualdad de trato y oportunidades de mujeres y hombres. Aun siendo conscientes, como ya hemos dicho, de que la maternidad tiene una peculiar incidencia respecto de la situación laboral de las mujeres y puede incidir negativamente en su acceso y permanencia en el empleo, asumir el genérico argumento de la Fiscalía General del Estado y del letrado de la Administración de la Seguridad Social, en un contexto normativo de equiparación de los derechos de ambos progenitores en lo que se refiere a los permisos de nacimiento y cuidado de menor, presupone reconocer a los empleadores un conocimiento de aspectos íntimos de la vida de sus empleados; conocimiento que, en principio, les está vedado </w:t>
      </w:r>
      <w:r w:rsidRPr="003754FE">
        <w:rPr>
          <w:i/>
        </w:rPr>
        <w:t>ex</w:t>
      </w:r>
      <w:r>
        <w:t xml:space="preserve"> art. 18 CE.</w:t>
      </w:r>
    </w:p>
    <w:p w14:paraId="18E2555F" w14:textId="77777777" w:rsidR="003754FE" w:rsidRDefault="003754FE" w:rsidP="003754FE">
      <w:pPr>
        <w:pStyle w:val="TextoNormal"/>
      </w:pPr>
    </w:p>
    <w:p w14:paraId="6E24C658" w14:textId="77777777" w:rsidR="003754FE" w:rsidRDefault="003754FE" w:rsidP="003754FE">
      <w:pPr>
        <w:pStyle w:val="TextoNormal"/>
      </w:pPr>
      <w:r>
        <w:t>A mayor abundamiento, aun en el supuesto de que pudiera admitirse, a fin de agotar los argumentos aportados por las partes, que la omisión enjuiciada persigue como finalidad legítima la igualdad de oportunidades de hombres y mujeres en el ámbito laboral, deberíamos también concluir que los argumentos aportados por la Fiscalía General del Estado, la Abogacía del Estado y el letrado de la Administración de la Seguridad Social a fin de defender la constitucionalidad de la norma no superan el canon más estricto de razonabilidad y proporcionalidad aplicable en estos casos. Ninguna explicación concreta aporta la Fiscalía General del Estado, la Abogacía del Estado, ni el letrado de la Administración de la Seguridad Social, a fin de justificar la más que evidente desproporción entre los beneficios que supuestamente perseguiría la omisión enjuiciada y las consecuencias que de ella se derivan para los niños y niñas nacidos en familias monoparentales, que ven sustancialmente reducido el tiempo de cuidado que reciben de sus progenitores respecto de los nacidos en familias biparentales.</w:t>
      </w:r>
    </w:p>
    <w:p w14:paraId="2DC21DFA" w14:textId="77777777" w:rsidR="003754FE" w:rsidRDefault="003754FE" w:rsidP="003754FE">
      <w:pPr>
        <w:pStyle w:val="TextoNormal"/>
      </w:pPr>
    </w:p>
    <w:p w14:paraId="7E5C4936" w14:textId="77777777" w:rsidR="003754FE" w:rsidRDefault="003754FE" w:rsidP="003754FE">
      <w:pPr>
        <w:pStyle w:val="TextoNormal"/>
      </w:pPr>
      <w:r>
        <w:t xml:space="preserve">Esas consecuencias parecen aún más injustificables si se tiene en cuenta que los menores son uno de los principales beneficiarios de las normas cuestionadas, tal y como hemos indicado </w:t>
      </w:r>
      <w:r w:rsidRPr="003754FE">
        <w:rPr>
          <w:i/>
        </w:rPr>
        <w:t>supra</w:t>
      </w:r>
      <w:r>
        <w:t xml:space="preserve"> (FJ 5), y que los datos con que contamos apuntan a la especial vulnerabilidad de los niños y niñas nacidos en familias monoparentales; familias en las que la tasa de riesgo de pobreza o exclusión social es muy superior a la que presentan el resto de los hogares españoles, según el Instituto Nacional de Estadística —en 2023, era de un 52,7 por 100 frente al 26,5 por 100 del total de los hogares españoles, según la encuesta de condiciones de vida, INE—.</w:t>
      </w:r>
    </w:p>
    <w:p w14:paraId="618BC231" w14:textId="77777777" w:rsidR="003754FE" w:rsidRDefault="003754FE" w:rsidP="003754FE">
      <w:pPr>
        <w:pStyle w:val="TextoNormal"/>
      </w:pPr>
    </w:p>
    <w:p w14:paraId="53241710" w14:textId="77777777" w:rsidR="003754FE" w:rsidRDefault="003754FE" w:rsidP="003754FE">
      <w:pPr>
        <w:pStyle w:val="TextoNormal"/>
      </w:pPr>
      <w:r>
        <w:t xml:space="preserve">En este sentido, la Abogacía del Estado trata de justificar la razonabilidad y proporcionalidad de la diferencia de trato analizada haciendo referencia de forma genérica a las importantes matizaciones que experimenta el derecho a la igualdad y a no ser discriminado </w:t>
      </w:r>
      <w:r>
        <w:lastRenderedPageBreak/>
        <w:t>cuando se proyecta sobre la acción prestacional de los poderes públicos. En línea con nuestra jurisprudencia, ya analizada en el fundamento jurídico 4 de esta resolución, no podemos obviar el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w:t>
      </w:r>
    </w:p>
    <w:p w14:paraId="47C27132" w14:textId="77777777" w:rsidR="003754FE" w:rsidRDefault="003754FE" w:rsidP="003754FE">
      <w:pPr>
        <w:pStyle w:val="TextoNormal"/>
      </w:pPr>
    </w:p>
    <w:p w14:paraId="0B30992F" w14:textId="77777777" w:rsidR="003754FE" w:rsidRDefault="003754FE" w:rsidP="003754FE">
      <w:pPr>
        <w:pStyle w:val="TextoNormal"/>
      </w:pPr>
      <w:r>
        <w:t xml:space="preserve">En suma, por los motivos ya indicados, debemos estimar la cuestión de inconstitucionalidad planteada, si bien con el alcance que se señalará en el siguiente fundamento jurídico, y declarar que los arts. 48.4 LET y 177 LGSS, al no prever la posibilidad de que, en circunstancias como las descritas en el caso del que trae causa la presente cuestión,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3754FE">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w:t>
      </w:r>
    </w:p>
    <w:p w14:paraId="31E9AB06" w14:textId="77777777" w:rsidR="003754FE" w:rsidRDefault="003754FE" w:rsidP="003754FE">
      <w:pPr>
        <w:pStyle w:val="TextoNormal"/>
      </w:pPr>
    </w:p>
    <w:p w14:paraId="5D4DFE51" w14:textId="40290CAC" w:rsidR="003754FE" w:rsidRDefault="003754FE" w:rsidP="003754FE">
      <w:pPr>
        <w:pStyle w:val="TextoNormal"/>
      </w:pPr>
      <w:r>
        <w:t>Una vez declarada la inconstitucionalidad de los arts. 48.4 LET y 177 LGSS, no es necesario analizar el resto de alegaciones a las que también se refiere el auto de planteamiento de la presente cuestión de inconstitucionalidad.</w:t>
      </w:r>
    </w:p>
    <w:p w14:paraId="566AC8A6" w14:textId="77777777" w:rsidR="003754FE" w:rsidRDefault="003754FE" w:rsidP="003754FE">
      <w:pPr>
        <w:pStyle w:val="TextoNormal"/>
      </w:pPr>
    </w:p>
    <w:p w14:paraId="5172F2AF" w14:textId="77777777" w:rsidR="003754FE" w:rsidRDefault="003754FE" w:rsidP="003754FE">
      <w:pPr>
        <w:pStyle w:val="TextoNormal"/>
      </w:pPr>
      <w:r w:rsidRPr="003754FE">
        <w:rPr>
          <w:rStyle w:val="NumeroAFNegritaCaracter"/>
        </w:rPr>
        <w:t>7</w:t>
      </w:r>
      <w:r>
        <w:t xml:space="preserve">. </w:t>
      </w:r>
      <w:r w:rsidRPr="003754FE">
        <w:rPr>
          <w:i/>
        </w:rPr>
        <w:t>Alcance del fallo</w:t>
      </w:r>
    </w:p>
    <w:p w14:paraId="25E79C34" w14:textId="77777777" w:rsidR="003754FE" w:rsidRDefault="003754FE" w:rsidP="003754FE">
      <w:pPr>
        <w:pStyle w:val="TextoNormal"/>
      </w:pPr>
    </w:p>
    <w:p w14:paraId="61434F0F" w14:textId="77777777" w:rsidR="003754FE" w:rsidRDefault="003754FE" w:rsidP="003754FE">
      <w:pPr>
        <w:pStyle w:val="TextoNormal"/>
      </w:pPr>
      <w:r>
        <w:t>Finalmente, es preciso realizar una precisión en relación con el alcance de la presente declaración de inconstitucionalidad, en tanto que, al vincularse a una omisión del legislador, esto es, al hecho de que la norma no contemple aquello que debió ser necesariamente incluido, la inconstitucionalidad declarada no debe llevar aparejada la nulidad de los preceptos cuestionados. Aunque el art. 39.1 LOTC prevé que las disposiciones consideradas inconstitucionales por este tribunal han de ser declaradas nulas, declaración que tiene efectos generales a partir de su publicación en el “Boletín Oficial del Estado” (art. 38.1 LOTC), esa vinculación entre inconstitucionalidad y nulidad no es siempre necesaria, quebrando, “entre otros casos, en aquellos en los que la razón de la inconstitucionalidad del precepto reside, no en determinación textual alguna de este, sino en su omisión” (por todas, SSTC 45/1989, de 20 de febrero, FJ 11, y 273/2005, de 27 de octubre, FJ 9).</w:t>
      </w:r>
    </w:p>
    <w:p w14:paraId="2D7BC44C" w14:textId="77777777" w:rsidR="003754FE" w:rsidRDefault="003754FE" w:rsidP="003754FE">
      <w:pPr>
        <w:pStyle w:val="TextoNormal"/>
      </w:pPr>
    </w:p>
    <w:p w14:paraId="3455A17E" w14:textId="77777777" w:rsidR="003754FE" w:rsidRDefault="003754FE" w:rsidP="003754FE">
      <w:pPr>
        <w:pStyle w:val="TextoNormal"/>
      </w:pPr>
      <w:r>
        <w:t xml:space="preserve">Dado que la inconstitucionalidad declarada se produce por la imposibilidad de extender el permiso de nacimiento y cuidado de menor en supuestos como aquel del que trae causa </w:t>
      </w:r>
      <w:r>
        <w:lastRenderedPageBreak/>
        <w:t>la presente cuestión de inconstitucionalidad, cumple entender que no procede la declaración de nulidad de los arts. 48.4 LET y 177 LGSS, en tanto tal declaración no solo no repararía la lesión del art. 14 CE, en relación con el art. 39 CE, en que la norma incurre, sino que determinaría la expulsión de nuestro ordenamiento jurídico de las normas que reconocen a todos los progenitores los permisos y prestaciones por nacimiento y cuidado de menor. En suma, la apreciación de la inconstitucionalidad de la insuficiencia normativa de los preceptos cuestionados exige el mantenimiento de su vigencia, correspondiendo al legislador, en uso de su libertad de configuración normativa y a la luz de su específica legitimidad democrática (por todas, STC 273/2005, de 27 de octubre, FJ 9), llevar a cabo, a partir de esta sentencia, las modificaciones pertinentes para reparar la vulneración del art. 14 CE, en relación con el art. 39 CE.</w:t>
      </w:r>
    </w:p>
    <w:p w14:paraId="1689131C" w14:textId="77777777" w:rsidR="003754FE" w:rsidRDefault="003754FE" w:rsidP="003754FE">
      <w:pPr>
        <w:pStyle w:val="TextoNormal"/>
      </w:pPr>
    </w:p>
    <w:p w14:paraId="0312767F" w14:textId="77777777" w:rsidR="003754FE" w:rsidRDefault="003754FE" w:rsidP="003754FE">
      <w:pPr>
        <w:pStyle w:val="TextoNormal"/>
      </w:pPr>
      <w:r>
        <w:t>Sin perjuicio de ello, aunque el Tribunal ha declarado en numerosas ocasiones que no es su tarea la de definir positivamente cuáles sean los posibles modos de ajuste de una ley al texto constitucional, el Tribunal considera necesario (como lo hizo en la STC 15/2020, de 28 de enero, FJ 3, y las allí citadas) precisar que, en tanto el legislador no se pronuncie al respecto, en las familias monoparentales el permiso a que hace referencia el art. 48.4 LET, y en relación con él el art. 177 LGSS, ha de ser interpretado en el sentido de adicionarse al permiso del primer párrafo para la madre biológica (dieciséis semanas), el previsto en el segundo para progenitor distinto (diez semanas, al excluirse las seis primeras).</w:t>
      </w:r>
    </w:p>
    <w:p w14:paraId="3FC210F1" w14:textId="77777777" w:rsidR="003754FE" w:rsidRDefault="003754FE" w:rsidP="003754FE">
      <w:pPr>
        <w:pStyle w:val="TextoNormal"/>
      </w:pPr>
    </w:p>
    <w:p w14:paraId="7CDBA055" w14:textId="3753D715" w:rsidR="003754FE" w:rsidRDefault="003754FE" w:rsidP="003754FE">
      <w:pPr>
        <w:pStyle w:val="TextoNormal"/>
      </w:pPr>
      <w:r>
        <w:t>Por otro lado, por exigencias del principio de seguridad jurídica (art. 9.3 CE), no pueden considerarse situaciones susceptibles de ser revisadas con fundamento en la presente sentencia aquellas que, a la fecha de dictarse esta, hayan sido decididas definitivamente mediante sentencia con fuerza de cosa juzgada (art. 40.1 LOTC) o mediante resolución administrativa firme (STC 45/1989, de 20 de febrero, FJ 11). También tendrán la consideración de situaciones consolidadas aquellas respecto de las que, a la fecha de dictarse esta sentencia, no se haya presentado la correspondiente solicitud.</w:t>
      </w:r>
    </w:p>
    <w:p w14:paraId="0FB61B00" w14:textId="77777777" w:rsidR="003754FE" w:rsidRDefault="003754FE" w:rsidP="003754FE">
      <w:pPr>
        <w:pStyle w:val="TextoNormal"/>
      </w:pPr>
    </w:p>
    <w:p w14:paraId="54663603" w14:textId="77777777" w:rsidR="003754FE" w:rsidRDefault="003754FE" w:rsidP="003754FE">
      <w:pPr>
        <w:pStyle w:val="TextoNormalCentrado"/>
        <w:keepNext/>
      </w:pPr>
      <w:r>
        <w:t>FALLO</w:t>
      </w:r>
    </w:p>
    <w:p w14:paraId="40C4D6A3" w14:textId="5A6AF5D8" w:rsidR="003754FE" w:rsidRDefault="003754FE" w:rsidP="003754FE">
      <w:pPr>
        <w:pStyle w:val="TextoNormalCentrado"/>
        <w:keepNext/>
      </w:pPr>
    </w:p>
    <w:p w14:paraId="3E95BCE7" w14:textId="7C6B8441" w:rsidR="003754FE" w:rsidRDefault="003754FE" w:rsidP="003754FE">
      <w:pPr>
        <w:pStyle w:val="TextoNormal"/>
      </w:pPr>
      <w:r>
        <w:t>En atención a todo lo expuesto, el Tribunal Constitucional, por la autoridad que le confiere la Constitución de la Nación española, ha decidido estimar la presente cuestión de inconstitucionalidad núm. 6694-2023 y, en consecuencia, declarar inconstitucionales los arts. 48.4 LET y 177 LGSS, con el alcance señalado en el fundamento jurídico séptimo.</w:t>
      </w:r>
    </w:p>
    <w:p w14:paraId="5F36126D" w14:textId="77777777" w:rsidR="003754FE" w:rsidRDefault="003754FE" w:rsidP="003754FE">
      <w:pPr>
        <w:pStyle w:val="TextoNormal"/>
      </w:pPr>
    </w:p>
    <w:p w14:paraId="2FAD5873" w14:textId="77777777" w:rsidR="003754FE" w:rsidRDefault="003754FE" w:rsidP="003754FE">
      <w:pPr>
        <w:pStyle w:val="TextoNormal"/>
      </w:pPr>
      <w:r>
        <w:t>Publíquese esta sentencia en el “Boletín Oficial del Estado”.</w:t>
      </w:r>
    </w:p>
    <w:p w14:paraId="7A3CFADB" w14:textId="77777777" w:rsidR="003754FE" w:rsidRDefault="003754FE" w:rsidP="003754FE">
      <w:pPr>
        <w:pStyle w:val="TextoNormal"/>
      </w:pPr>
      <w:r>
        <w:t>Dada en Madrid, a seis de noviembre de dos mil veinticuatro.</w:t>
      </w:r>
    </w:p>
    <w:p w14:paraId="68BCBDD3" w14:textId="2826F976" w:rsidR="003754FE" w:rsidRDefault="003754FE" w:rsidP="003754FE">
      <w:pPr>
        <w:pStyle w:val="ParrafoNormal"/>
      </w:pPr>
    </w:p>
    <w:p w14:paraId="6FE238EC" w14:textId="77777777" w:rsidR="003754FE" w:rsidRDefault="003754FE" w:rsidP="003754FE">
      <w:pPr>
        <w:pStyle w:val="TextoNormalNegritaCentrado"/>
        <w:keepNext/>
      </w:pPr>
      <w:r>
        <w:t>Voto particular que formula el magistrado don Ramón Sáez Valcárcel a la sentencia dictada en la cuestión de inconstitucionalidad núm. 6694‑2023</w:t>
      </w:r>
    </w:p>
    <w:p w14:paraId="03734A73" w14:textId="78FBD333" w:rsidR="003754FE" w:rsidRDefault="003754FE" w:rsidP="003754FE">
      <w:pPr>
        <w:pStyle w:val="TextoNormalNegritaCentrado"/>
        <w:keepNext/>
      </w:pPr>
    </w:p>
    <w:p w14:paraId="7F6B8893" w14:textId="77777777" w:rsidR="003754FE" w:rsidRDefault="003754FE" w:rsidP="003754FE">
      <w:pPr>
        <w:pStyle w:val="TextoNormal"/>
      </w:pPr>
      <w:r>
        <w:t xml:space="preserve">En ejercicio de la facultad que me confiere el artículo 90.2 de la Ley Orgánica del Tribunal Constitucional formulo voto discrepante por considerar que la sentencia incurre en un vicio metodológico al realizar el juicio de igualdad en la ley (art. 14 CE) a partir de la fijación de un </w:t>
      </w:r>
      <w:r w:rsidRPr="003754FE">
        <w:rPr>
          <w:i/>
        </w:rPr>
        <w:t>tertium comparationis</w:t>
      </w:r>
      <w:r>
        <w:t xml:space="preserve"> que no resulta adecuado, ya que las situaciones que considera iguales no guardan la necesaria homogeneidad ni son, por tanto, susceptibles de ser </w:t>
      </w:r>
      <w:r>
        <w:lastRenderedPageBreak/>
        <w:t>comparadas jurídicamente a los efectos del juicio constitucional de igualdad, lo que debería haber llevado a descartar la vulneración del art. 14 CE. En lo que sigue dejo constancia de mi desacuerdo con el fallo y con el razonamiento que sustenta la sentencia, sintetizando los argumentos que expuse en la deliberación en el Pleno.</w:t>
      </w:r>
    </w:p>
    <w:p w14:paraId="12B7484C" w14:textId="77777777" w:rsidR="003754FE" w:rsidRDefault="003754FE" w:rsidP="003754FE">
      <w:pPr>
        <w:pStyle w:val="TextoNormal"/>
      </w:pPr>
    </w:p>
    <w:p w14:paraId="41CE0F35" w14:textId="77777777" w:rsidR="003754FE" w:rsidRDefault="003754FE" w:rsidP="003754FE">
      <w:pPr>
        <w:pStyle w:val="TextoNormal"/>
      </w:pPr>
      <w:r>
        <w:t xml:space="preserve">1. </w:t>
      </w:r>
      <w:r w:rsidRPr="003754FE">
        <w:rPr>
          <w:i/>
        </w:rPr>
        <w:t>La</w:t>
      </w:r>
      <w:r>
        <w:t xml:space="preserve"> ratio </w:t>
      </w:r>
      <w:r w:rsidRPr="003754FE">
        <w:rPr>
          <w:i/>
        </w:rPr>
        <w:t>de la sentencia</w:t>
      </w:r>
    </w:p>
    <w:p w14:paraId="01A8F268" w14:textId="77777777" w:rsidR="003754FE" w:rsidRDefault="003754FE" w:rsidP="003754FE">
      <w:pPr>
        <w:pStyle w:val="TextoNormal"/>
      </w:pPr>
    </w:p>
    <w:p w14:paraId="4BA2793D" w14:textId="77777777" w:rsidR="003754FE" w:rsidRDefault="003754FE" w:rsidP="003754FE">
      <w:pPr>
        <w:pStyle w:val="TextoNormal"/>
      </w:pPr>
      <w:r>
        <w:t>La sentencia declara la inconstitucionalidad —sin nulidad— del art. 48.4 LET y del art. 177 LGSS, en la redacción dada a ambos por el Real Decreto-ley 6/2019, de 1 de marzo, de medidas urgentes para la garantía de la igualdad de trato y de oportunidades entre mujeres y hombres en el empleo y la ocupación. Lo hace al concluir que estos preceptos, al no prever un régimen específico para el disfrute de los permisos por nacimiento y cuidado de menor —así como para la percepción de las correspondientes prestaciones de la Seguridad Social— en el seno de las familias monoparentales, propician un trato discriminatorio por razón de nacimiento, carente de justificación, hacia los menores pertenecientes a este tipo de familias, ya que implican que estos puedan recibir de sus progenitores un tiempo de cuidado inferior al que recibirán los nacidos en una familia biparental, a pesar de que unos y otros tienen idénticas necesidades de cuidado.</w:t>
      </w:r>
    </w:p>
    <w:p w14:paraId="5308B425" w14:textId="77777777" w:rsidR="003754FE" w:rsidRDefault="003754FE" w:rsidP="003754FE">
      <w:pPr>
        <w:pStyle w:val="TextoNormal"/>
      </w:pPr>
    </w:p>
    <w:p w14:paraId="578AC0B7" w14:textId="77777777" w:rsidR="003754FE" w:rsidRDefault="003754FE" w:rsidP="003754FE">
      <w:pPr>
        <w:pStyle w:val="TextoNormal"/>
      </w:pPr>
      <w:r>
        <w:t>La decisión estimatoria de la cuestión de inconstitucionalidad se funda así, en primer lugar, en la consideración de que “nos encontramos ante una diferencia de trato [normativa] entre situaciones que son sustancialmente iguales”, pues “[e]s obvio que la duración e intensidad de la necesidad de atención y cuidado de un recién nacido es la misma con independencia del modelo familiar en el que haya nacido”, a pesar de lo cual “las normas cuya constitucionalidad se cuestiona provocan una diferencia de trato entre los menores nacidos en una familia monoparental y los nacidos en una familia biparental, en tanto en el primer caso, tan solo podrán recibir los cuidados de su madre biológica por un período máximo de dieciséis semanas (ampliable en los supuestos previstos en la ley), mientras que, en el segundo caso, podrán recibir también los cuidados del otro progenitor por idéntico período de tiempo (también ampliable cuando así lo prevea la ley)” (FJ 5).</w:t>
      </w:r>
    </w:p>
    <w:p w14:paraId="5E36F050" w14:textId="77777777" w:rsidR="003754FE" w:rsidRDefault="003754FE" w:rsidP="003754FE">
      <w:pPr>
        <w:pStyle w:val="TextoNormal"/>
      </w:pPr>
    </w:p>
    <w:p w14:paraId="69706D17" w14:textId="77777777" w:rsidR="003754FE" w:rsidRDefault="003754FE" w:rsidP="003754FE">
      <w:pPr>
        <w:pStyle w:val="TextoNormal"/>
      </w:pPr>
      <w:r>
        <w:t>En apoyo de esta interpretación se argumenta que el permiso y la correspondiente prestación económica por nacimiento y cuidado de menor son una “herramienta de protección de las madres y los hijos (art. 39 CE)” (FJ 6), y ello porque, a pesar de las diversas finalidades atribuidas por el legislador y la doctrina constitucional a tales permisos y prestaciones, “no puede oscurecer el hecho de que la suspensión del contrato del progenitor distinto de la madre biológica por razón del nacimiento de su hijo se reconoce ‘para el cumplimiento de los deberes de cuidado previstos en el artículo 68 del Código civil’, esto es y por lo que aquí interesa, para cubrir las necesidades de cuidado y atención de los hijos” (FJ 4).</w:t>
      </w:r>
    </w:p>
    <w:p w14:paraId="78D85764" w14:textId="77777777" w:rsidR="003754FE" w:rsidRDefault="003754FE" w:rsidP="003754FE">
      <w:pPr>
        <w:pStyle w:val="TextoNormal"/>
      </w:pPr>
    </w:p>
    <w:p w14:paraId="73AC75CE" w14:textId="77777777" w:rsidR="003754FE" w:rsidRDefault="003754FE" w:rsidP="003754FE">
      <w:pPr>
        <w:pStyle w:val="TextoNormal"/>
      </w:pPr>
      <w:r>
        <w:t xml:space="preserve">A partir de ahí, se sostiene, primero, que la diferencia de trato enjuiciada se debe al contexto que rodea el nacimiento (en concreto, al modelo de familia en que se nace), constituyendo, por ello, discriminación por razón de nacimiento, prohibida expresamente por el art. 14 CE (FJ 5); y, segundo, que esa diferencia de trato no está justificada, porque la legítima finalidad de equiparar la protección de hombres y mujeres en el empleo y la ocupación no justifica que la norma no prevea la posibilidad de que el progenitor único extienda su permiso por el periodo que hubiera correspondido al otro progenitor, en caso de existir, ni el </w:t>
      </w:r>
      <w:r>
        <w:lastRenderedPageBreak/>
        <w:t>impacto que esa omisión tiene en los niños y niñas nacidos en familias monoparentales (FJ 6).</w:t>
      </w:r>
    </w:p>
    <w:p w14:paraId="6DDE25FF" w14:textId="77777777" w:rsidR="003754FE" w:rsidRDefault="003754FE" w:rsidP="003754FE">
      <w:pPr>
        <w:pStyle w:val="TextoNormal"/>
      </w:pPr>
    </w:p>
    <w:p w14:paraId="59CFC120" w14:textId="77777777" w:rsidR="003754FE" w:rsidRDefault="003754FE" w:rsidP="003754FE">
      <w:pPr>
        <w:pStyle w:val="TextoNormal"/>
      </w:pPr>
      <w:r>
        <w:t>La sentencia concluye que los preceptos cuestionados desconocen que “una vez configurada una determinada herramienta de protección de las madres y los hijos […], su articulación concreta debe respetar las exigencias que se derivan del art. 14 CE y, por lo que se refiere a la cuestión suscitada, las derivadas de la prohibición de discriminación por razón de nacimiento” (FJ 6), lo que conduce a declarar su inconstitucionalidad por omisión.</w:t>
      </w:r>
    </w:p>
    <w:p w14:paraId="73D7BE71" w14:textId="77777777" w:rsidR="003754FE" w:rsidRDefault="003754FE" w:rsidP="003754FE">
      <w:pPr>
        <w:pStyle w:val="TextoNormal"/>
      </w:pPr>
    </w:p>
    <w:p w14:paraId="63CCF3C6" w14:textId="77777777" w:rsidR="003754FE" w:rsidRDefault="003754FE" w:rsidP="003754FE">
      <w:pPr>
        <w:pStyle w:val="TextoNormal"/>
      </w:pPr>
      <w:r>
        <w:t xml:space="preserve">2. </w:t>
      </w:r>
      <w:r w:rsidRPr="003754FE">
        <w:rPr>
          <w:i/>
        </w:rPr>
        <w:t>La comparabilidad de situaciones como presupuesto del juicio constitucional de igualdad</w:t>
      </w:r>
    </w:p>
    <w:p w14:paraId="46C85865" w14:textId="77777777" w:rsidR="003754FE" w:rsidRDefault="003754FE" w:rsidP="003754FE">
      <w:pPr>
        <w:pStyle w:val="TextoNormal"/>
      </w:pPr>
    </w:p>
    <w:p w14:paraId="13C1786F" w14:textId="77777777" w:rsidR="003754FE" w:rsidRDefault="003754FE" w:rsidP="003754FE">
      <w:pPr>
        <w:pStyle w:val="TextoNormal"/>
      </w:pPr>
      <w:r>
        <w:t xml:space="preserve">La igualdad es, como la desigualdad, una noción relacional. Solo se es igual (o desigual) por referencia a otro u a otros, pues lo que exige la doctrina constitucional sobre el derecho a la igualdad en la ley es que “los supuestos de hecho iguales sean tratados idénticamente en sus consecuencias jurídicas” (STC 59/2008, de 14 de mayo, FJ 5). Así, el juicio de igualdad se proyecta sobre las diferencias de trato, su justificación y su proporcionalidad, lo que ha de medirse siempre en relación con una diferencia de trato </w:t>
      </w:r>
      <w:r w:rsidRPr="003754FE">
        <w:rPr>
          <w:i/>
        </w:rPr>
        <w:t>entre supuestos iguales</w:t>
      </w:r>
      <w:r>
        <w:t>. Es por ello que “el presupuesto esencial para proceder a un enjuiciamiento desde la perspectiva del art. 14 CE es que las situaciones subjetivas que quieran traerse a la comparación sean, efectivamente, equiparables” (STC 76/1986, de 9 de junio, FJ 3), lo cual entraña la necesidad de que el término de comparación no resulte arbitrario o caprichoso (STC 148/1986, de 25 de noviembre, FJ 6), sino que ha de ser “idóneo”, sin que se puedan comparar “hechos distintos” (STC 186/2000, de 10 de julio, FJ 11). “Solo entonces [cuando las situaciones subjetivas que quieran compararse sean efectivamente homogéneas o comparables] puede decirse que la acción selectiva del autor de la norma resulta susceptible de control constitucional dirigido a fiscalizar si la introducción de ‘factores diferenciales’ […] resulta o no debidamente fundamentada” (STC 273/2005, de 27 de octubre, FJ 3). Tal juicio requiere verificar que la norma diferenciadora persigue un fin legítimo, que el tratamiento diferenciador es adecuado para el logro de ese fin y la proporcionalidad de las consecuencias de esa diferenciación (STC 127/2009, de 26 de mayo).</w:t>
      </w:r>
    </w:p>
    <w:p w14:paraId="32FE7FF8" w14:textId="77777777" w:rsidR="003754FE" w:rsidRDefault="003754FE" w:rsidP="003754FE">
      <w:pPr>
        <w:pStyle w:val="TextoNormal"/>
      </w:pPr>
    </w:p>
    <w:p w14:paraId="7788343A" w14:textId="77777777" w:rsidR="003754FE" w:rsidRDefault="003754FE" w:rsidP="003754FE">
      <w:pPr>
        <w:pStyle w:val="TextoNormal"/>
      </w:pPr>
      <w:r>
        <w:t xml:space="preserve">Así, el juicio constitucional de igualdad parte de la diferenciación entre supuestos iguales y, por lo mismo, tiene su presupuesto lógico en la adecuada identificación de las situaciones cuya diversificación jurídica se cuestiona. Este presupuesto plantea una cuestión metodológica central, a saber, la de cómo determinar cuándo dos supuestos son iguales a los efectos de poder efectuar, sobre la diferencia de trato impuesta entre ellos, el juicio constitucional de igualdad. Dice Radbruch en su </w:t>
      </w:r>
      <w:r w:rsidRPr="003754FE">
        <w:rPr>
          <w:i/>
        </w:rPr>
        <w:t>Filosofía del Derecho</w:t>
      </w:r>
      <w:r>
        <w:t xml:space="preserve"> que “la igualdad no es un hecho, las cosas y las personas son tan desiguales ‘como un huevo a otro huevo’, la igualdad es siempre solo la abstracción de una desigualdad dada desde un cierto punto de vista”. Y, como anota Bernd Rüthers en su obra </w:t>
      </w:r>
      <w:r w:rsidRPr="003754FE">
        <w:rPr>
          <w:i/>
        </w:rPr>
        <w:t>La revolución secreta. Del Estado de Derecho al Estado judicial. Un ensayo sobre Constitución y método</w:t>
      </w:r>
      <w:r>
        <w:t>, en este punto “la pregunta crucial es: ¿bajo qué punto de valoración algo se considera como igual o desigual? El juicio sobre igualdad o discriminación es siempre una abstracción de una desigualdad dada según criterios predeterminados de acuerdo con una visión de mundo”.</w:t>
      </w:r>
    </w:p>
    <w:p w14:paraId="5B93F2A1" w14:textId="77777777" w:rsidR="003754FE" w:rsidRDefault="003754FE" w:rsidP="003754FE">
      <w:pPr>
        <w:pStyle w:val="TextoNormal"/>
      </w:pPr>
    </w:p>
    <w:p w14:paraId="2D073F04" w14:textId="77777777" w:rsidR="003754FE" w:rsidRDefault="003754FE" w:rsidP="003754FE">
      <w:pPr>
        <w:pStyle w:val="TextoNormal"/>
      </w:pPr>
      <w:r>
        <w:t xml:space="preserve">Las situaciones que se entienden como comparables al realizar el juicio constitucional de igualdad dependen de una cuestión de perspectiva acerca de qué criterios o características </w:t>
      </w:r>
      <w:r>
        <w:lastRenderedPageBreak/>
        <w:t xml:space="preserve">son los determinantes para equiparar situaciones y, como juicio de valor, no escapa a los riesgos de subjetivismo. Ahora bien, que esto sea así no significa que la fijación de los términos de comparación a los efectos de enjuiciar la conformidad de una regulación con el art. 14 CE sea una decisión libre del intérprete de la norma —por lo que ahora interesa, de este tribunal—, sino que, como el resto de su actuación, ha de estar sujeta a pautas metodológicas. Para realizar esta operación no cabe desconocer cuáles son los supuestos de hecho mismos diseñados por el legislador, ni basta con invocar un elemento común entre supuestos, cualquiera que este sea, para admitir que estamos ante un auténtico problema de igualdad ante la ley. La equivalencia entre supuestos ha de determinarse a partir de la valoración de sus elementos comunes y disímiles, así como de la importancia relativa de cada uno de ellos a la luz del </w:t>
      </w:r>
      <w:r w:rsidRPr="003754FE">
        <w:rPr>
          <w:i/>
        </w:rPr>
        <w:t>objeto normativo</w:t>
      </w:r>
      <w:r>
        <w:t xml:space="preserve"> y de la </w:t>
      </w:r>
      <w:r w:rsidRPr="003754FE">
        <w:rPr>
          <w:i/>
        </w:rPr>
        <w:t>finalidad</w:t>
      </w:r>
      <w:r>
        <w:t xml:space="preserve"> de la regulación enjuiciada. Solo cuando comparando los supuestos de hecho, bajo el prisma del propósito del legislador, se compruebe la homogeneidad, podrá concluirse la existencia de supuestos iguales que requieren, en cuanto tales, un trato normativo común.</w:t>
      </w:r>
    </w:p>
    <w:p w14:paraId="230C8F3F" w14:textId="77777777" w:rsidR="003754FE" w:rsidRDefault="003754FE" w:rsidP="003754FE">
      <w:pPr>
        <w:pStyle w:val="TextoNormal"/>
      </w:pPr>
    </w:p>
    <w:p w14:paraId="3C39DF6A" w14:textId="77777777" w:rsidR="003754FE" w:rsidRDefault="003754FE" w:rsidP="003754FE">
      <w:pPr>
        <w:pStyle w:val="TextoNormal"/>
      </w:pPr>
      <w:r>
        <w:t xml:space="preserve">3. </w:t>
      </w:r>
      <w:r w:rsidRPr="003754FE">
        <w:rPr>
          <w:i/>
        </w:rPr>
        <w:t>Análisis del presente caso</w:t>
      </w:r>
    </w:p>
    <w:p w14:paraId="1E293820" w14:textId="77777777" w:rsidR="003754FE" w:rsidRDefault="003754FE" w:rsidP="003754FE">
      <w:pPr>
        <w:pStyle w:val="TextoNormal"/>
      </w:pPr>
    </w:p>
    <w:p w14:paraId="6F4F7E6E" w14:textId="77777777" w:rsidR="003754FE" w:rsidRDefault="003754FE" w:rsidP="003754FE">
      <w:pPr>
        <w:pStyle w:val="TextoNormal"/>
      </w:pPr>
      <w:r>
        <w:t xml:space="preserve">La piedra basilar de la sentencia es la consideración de que el permiso (y la correspondiente prestación) por nacimiento y cuidado de menor es un mecanismo de protección del hijo de la trabajadora o del trabajador, niño o niña, que se erige así en </w:t>
      </w:r>
      <w:r w:rsidRPr="003754FE">
        <w:rPr>
          <w:i/>
        </w:rPr>
        <w:t>tertium comparationis</w:t>
      </w:r>
      <w:r>
        <w:t>. Desde esta perspectiva se aprecia una diferencia de trato consistente en que la regulación cuestionada viene a reconocer el derecho por un periodo total de veintiséis semanas (por ser las primeras seis de cada progenitor coetáneas) a los hijos de las familias biparentales, mientras que el disfrute es como máximo de dieciséis semanas para los hijos de las familias monoparentales, lo que supondría un supuesto de discriminación por nacimiento carente de justificación.</w:t>
      </w:r>
    </w:p>
    <w:p w14:paraId="6C30FBF9" w14:textId="77777777" w:rsidR="003754FE" w:rsidRDefault="003754FE" w:rsidP="003754FE">
      <w:pPr>
        <w:pStyle w:val="TextoNormal"/>
      </w:pPr>
    </w:p>
    <w:p w14:paraId="75D0D67C" w14:textId="77777777" w:rsidR="003754FE" w:rsidRDefault="003754FE" w:rsidP="003754FE">
      <w:pPr>
        <w:pStyle w:val="TextoNormal"/>
      </w:pPr>
      <w:r>
        <w:t xml:space="preserve">Considero, sin embargo, que la premisa de partida de dicho razonamiento es incorrecta, por desconocer el objeto y contenido de las normas controvertidas, así como su finalidad tuitiva. Lo que regulan los arts. 48.4 LET y 177 LGSS no son derechos del hijo, sino </w:t>
      </w:r>
      <w:r w:rsidRPr="003754FE">
        <w:rPr>
          <w:i/>
        </w:rPr>
        <w:t>derechos estrictamente individuales e intransferibles del trabajador por cuenta ajena</w:t>
      </w:r>
      <w:r>
        <w:t xml:space="preserve"> —cualquiera que sea su sexo—, por más que se reconozcan y ejerzan </w:t>
      </w:r>
      <w:r w:rsidRPr="003754FE">
        <w:rPr>
          <w:i/>
        </w:rPr>
        <w:t>con motivo del nacimiento de un hijo</w:t>
      </w:r>
      <w:r>
        <w:t>. Se trata, respectivamente, del derecho a un periodo de suspensión del contrato de trabajo (es decir, a la cesación temporal de las obligaciones básicas mutuas de la relación laboral, garantizando el derecho a la reincorporación al finalizar la suspensión), y del derecho —dirigido a cubrir la contingencia que supone dicha suspensión— a la correspondiente prestación contributiva de la Seguridad Social, que se condiciona al cumplimiento de determinados requisitos de alta y cotización, así como a la no realización de otro trabajo por cuenta propia o ajena (art. 180 LGSS), y cuya cuantía depende de las bases de cotización del interesado (art. 179 LGSS). Es este el objeto normativo específico de los arts. 48.4 LET y 177 LGSS, y no la regulación de un mecanismo de protección del menor. Ello explica que el reconocimiento del derecho al permiso y a la prestación dependa de elementos no ligados al niño o a su núcleo familiar, sino a la naturaleza de la relación laboral y al régimen de seguridad social que resulte aplicable a cada progenitor. En definitiva, los preceptos enjuiciados no regulan un derecho del menor introduciendo una diferencia de trato en función del número de progenitores, sino que se limitan a regular el acceso del progenitor trabajador por cuenta ajena a un determinado mecanismo de protección laboral en función de sus condiciones individuales.</w:t>
      </w:r>
    </w:p>
    <w:p w14:paraId="7B5955F6" w14:textId="77777777" w:rsidR="003754FE" w:rsidRDefault="003754FE" w:rsidP="003754FE">
      <w:pPr>
        <w:pStyle w:val="TextoNormal"/>
      </w:pPr>
    </w:p>
    <w:p w14:paraId="46BCF630" w14:textId="77777777" w:rsidR="003754FE" w:rsidRDefault="003754FE" w:rsidP="003754FE">
      <w:pPr>
        <w:pStyle w:val="TextoNormal"/>
      </w:pPr>
      <w:r>
        <w:t>El art. 48.4 LET incluye también dos normas pensadas para familias biparentales, pues se refieren al supuesto en que existan dos progenitores y ambos puedan solicitar el permiso (y la prestación). Ahora bien, lo hace no para favorecerlos a ellos (ni a sus hijos) frente a otros (los pertenecientes a familias monoparentales), sino para establecer restricciones a su poder de decisión en cuanto a la forma de disfrute del derecho: por una parte, ambos progenitores deben gozar simultáneamente su permiso durante las seis semanas siguientes al parto; de otro lado, no pueden transferirse entre sí sus períodos de permiso, por ser un derecho estrictamente personal e individual.</w:t>
      </w:r>
    </w:p>
    <w:p w14:paraId="7FF7063B" w14:textId="77777777" w:rsidR="003754FE" w:rsidRDefault="003754FE" w:rsidP="003754FE">
      <w:pPr>
        <w:pStyle w:val="TextoNormal"/>
      </w:pPr>
    </w:p>
    <w:p w14:paraId="39165750" w14:textId="77777777" w:rsidR="003754FE" w:rsidRDefault="003754FE" w:rsidP="003754FE">
      <w:pPr>
        <w:pStyle w:val="TextoNormal"/>
      </w:pPr>
      <w:r>
        <w:t>En suma, el art. 48.4 LET, atendiendo a su contenido, a la intención declarada del legislador y a la doctrina constitucional previa, tiene por finalidad primordial garantizar, además de la salud de la madre biológica trabajadora ante el hecho singular del parto, su indemnidad laboral (STC 75/2011, de 19 de mayo, FJ 8) y su igualdad en el empleo y la ocupación con respecto al padre trabajador (exposición de motivos del Real Decreto-ley 6/2019, de 1 de marzo). Esta circunstancia no varía por el dato de que se persigan también otras finalidades: la protección de las particulares relaciones entre la madre y el hijo durante el periodo que sigue al embarazo y al parto (por todas, STC 75/2011, de 19 de mayo, FJ 8) y, en el caso de los padres, “favorecer la conciliación de la vida personal, familiar y laboral, fomentando la corresponsabilidad de madres y padres en el cuidado de los hijos”, en línea con lo que prevé el art. 39.3 CE (por todas, STC 117/2018, de 29 de octubre, FJ 3). La circunstancia de que todo ello redunde en beneficio del hijo o de la hija recién nacido, no convierte a este en beneficiario del permiso y la correspondiente prestación ni permite, por lo tanto, entender que es el interés decisivo para fijar las situaciones que han de compararse al efectuar el juicio constitucional de igualdad.</w:t>
      </w:r>
    </w:p>
    <w:p w14:paraId="5A855632" w14:textId="77777777" w:rsidR="003754FE" w:rsidRDefault="003754FE" w:rsidP="003754FE">
      <w:pPr>
        <w:pStyle w:val="TextoNormal"/>
      </w:pPr>
    </w:p>
    <w:p w14:paraId="0BC3F457" w14:textId="77777777" w:rsidR="003754FE" w:rsidRDefault="003754FE" w:rsidP="003754FE">
      <w:pPr>
        <w:pStyle w:val="TextoNormal"/>
      </w:pPr>
      <w:r>
        <w:t xml:space="preserve">Tales efectos favorables para el hijo, que son indirectos y fácticos, resultan sobredimensionados en nuestra sentencia cuando se afirma que el reconocimiento explícito de las finalidades relativas a la tutela de la igualdad de mujer y hombre en el empleo —mediante el fomento de la conciliación y la corresponsabilidad en el cuidado de los hijos de corta edad— “no puede oscurecer el hecho de que la suspensión del contrato del progenitor distinto de la madre biológica por razón del nacimiento de su hijo se reconoce ‘para el cumplimiento de los deberes de cuidado previstos en el artículo 68 del Código civil’, esto es y por lo que aquí interesa, para cubrir las necesidades de cuidado y atención de los hijos”. Frente a ello cabe recordar que ese precepto del Código civil se refiere no solo a la atención, por parte de los cónyuges, a los descendientes a su cargo, sino también al deber de hacerlo </w:t>
      </w:r>
      <w:r w:rsidRPr="003754FE">
        <w:rPr>
          <w:i/>
        </w:rPr>
        <w:t>compartiendo</w:t>
      </w:r>
      <w:r>
        <w:t xml:space="preserve"> las correspondientes responsabilidades; aspecto que la sentencia omite. Asimismo, cuando la sentencia recuerda que, según la STC 214/2006, de 3 de julio, FJ 6, el periodo final del antiguo permiso de maternidad se encuentra vinculado, más que a la protección de la salud de la mujer, a “objetivos relacionados con la atención del recién nacido”, omite la consideración, incluida a continuación en dicha STC 214/2006, de que, pese a ello, “es lo cierto que la institución en su conjunto constituye un instrumento de tutela de la mujer trabajadora, dirigido a facilitar la compatibilidad de la vida laboral y familiar y, en consecuencia, a promover la inserción de la mujer en el mercado de trabajo y a favorecer la conservación del empleo”.</w:t>
      </w:r>
    </w:p>
    <w:p w14:paraId="3BC099EB" w14:textId="77777777" w:rsidR="003754FE" w:rsidRDefault="003754FE" w:rsidP="003754FE">
      <w:pPr>
        <w:pStyle w:val="TextoNormal"/>
      </w:pPr>
    </w:p>
    <w:p w14:paraId="440A618B" w14:textId="77777777" w:rsidR="003754FE" w:rsidRDefault="003754FE" w:rsidP="003754FE">
      <w:pPr>
        <w:pStyle w:val="TextoNormal"/>
      </w:pPr>
      <w:r>
        <w:t xml:space="preserve">Como indicó, a mi juicio correctamente, la sentencia del Pleno de la Sala de lo Social del Tribunal Supremo núm. 169/2023, de 2 de marzo, FJ 4, el interés por la protección del </w:t>
      </w:r>
      <w:r>
        <w:lastRenderedPageBreak/>
        <w:t>menor sin duda está presente en toda la regulación de la prestación por nacimiento de hijo y cuidado del menor, si bien no es este el único interés al que debe atenderse, ni tampoco el factor decisivo y determinante, dada la ponderación que el legislador ha realizado de los diversos derechos e intereses en juego en esta delicada materia, en función de los recursos financieros disponibles y la prioridad de las necesidades que un Estado social y democrático de Derecho debe atender.</w:t>
      </w:r>
    </w:p>
    <w:p w14:paraId="6BD029B2" w14:textId="77777777" w:rsidR="003754FE" w:rsidRDefault="003754FE" w:rsidP="003754FE">
      <w:pPr>
        <w:pStyle w:val="TextoNormal"/>
      </w:pPr>
    </w:p>
    <w:p w14:paraId="44F7C44C" w14:textId="77777777" w:rsidR="003754FE" w:rsidRDefault="003754FE" w:rsidP="003754FE">
      <w:pPr>
        <w:pStyle w:val="TextoNormal"/>
      </w:pPr>
      <w:r>
        <w:t>4</w:t>
      </w:r>
      <w:r w:rsidRPr="003754FE">
        <w:rPr>
          <w:i/>
        </w:rPr>
        <w:t>. A modo de conclusi</w:t>
      </w:r>
      <w:r>
        <w:t>ón</w:t>
      </w:r>
    </w:p>
    <w:p w14:paraId="5C67A13B" w14:textId="77777777" w:rsidR="003754FE" w:rsidRDefault="003754FE" w:rsidP="003754FE">
      <w:pPr>
        <w:pStyle w:val="TextoNormal"/>
      </w:pPr>
    </w:p>
    <w:p w14:paraId="754FF07A" w14:textId="77777777" w:rsidR="003754FE" w:rsidRDefault="003754FE" w:rsidP="003754FE">
      <w:pPr>
        <w:pStyle w:val="TextoNormal"/>
      </w:pPr>
      <w:r>
        <w:t>Las razones expuestas hacen que no pueda compartir la fundamentación ni, por lo tanto, el fallo de la sentencia, por más que íntimamente comparta la convicción de que las familias monoparentales merecen, en un Estado social y democrático de Derecho, un tratamiento normativo acorde con sus especiales necesidades de protección, lo que debe ser objeto de políticas públicas que no puede diseñar el juez, ni siquiera el intérprete de la Constitución. Termino recordando lo que este tribunal afirmó respecto de otro colectivo merecedor de especial protección en la STC 197/2003, de 30 de octubre, FJ 6: si bien la cobertura de las situaciones de necesidad de colectivos sociales vulnerables “es un ideal claramente deseable a la luz de los principios rectores de la política social y económica que nuestra Constitución asume en sus arts. 41 y 50 y que han de informar la legislación positiva —art.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 Algo que, según he tratado de argumentar, no concurría en este caso.</w:t>
      </w:r>
    </w:p>
    <w:p w14:paraId="48C5AE26" w14:textId="77777777" w:rsidR="003754FE" w:rsidRDefault="003754FE" w:rsidP="003754FE">
      <w:pPr>
        <w:pStyle w:val="TextoNormal"/>
      </w:pPr>
    </w:p>
    <w:p w14:paraId="4FFF9FA3" w14:textId="62B6CF0E" w:rsidR="003754FE" w:rsidRDefault="003754FE" w:rsidP="003754FE">
      <w:pPr>
        <w:pStyle w:val="TextoNormal"/>
      </w:pPr>
      <w:r>
        <w:t>Madrid, a seis de noviembre de dos mil veinticuatro.</w:t>
      </w:r>
    </w:p>
    <w:p w14:paraId="12A072DB" w14:textId="77777777" w:rsidR="003754FE" w:rsidRDefault="003754FE" w:rsidP="003754FE">
      <w:pPr>
        <w:pStyle w:val="TextoNormal"/>
      </w:pPr>
    </w:p>
    <w:p w14:paraId="733D5D01" w14:textId="77777777" w:rsidR="003754FE" w:rsidRDefault="003754FE" w:rsidP="003754FE">
      <w:pPr>
        <w:pStyle w:val="TextoNormalNegritaCentrado"/>
        <w:keepNext/>
      </w:pPr>
      <w:r>
        <w:t>Voto particular concurrente que formulan el magistrado don Enrique Arnaldo Alcubilla y la magistrada doña Concepción Espejel Jorquera a la sentencia dictada por el Pleno en la cuestión de inconstitucionalidad núm. 6694-2023</w:t>
      </w:r>
    </w:p>
    <w:p w14:paraId="61086074" w14:textId="19692F04" w:rsidR="003754FE" w:rsidRDefault="003754FE" w:rsidP="003754FE">
      <w:pPr>
        <w:pStyle w:val="TextoNormalNegritaCentrado"/>
        <w:keepNext/>
      </w:pPr>
    </w:p>
    <w:p w14:paraId="2C9668D6" w14:textId="77777777" w:rsidR="003754FE" w:rsidRDefault="003754FE" w:rsidP="003754FE">
      <w:pPr>
        <w:pStyle w:val="TextoNormal"/>
      </w:pPr>
      <w:r>
        <w:t>En el ejercicio de la facultad conferida por el artículo 90.2 LOTC y con respeto a la opinión de nuestros compañeros, formulamos el presente voto concurrente por cuanto, pese a que compartimos el fallo estimatorio de la cuestión de inconstitucionalidad, disentimos en parte de la argumentación de la sentencia.</w:t>
      </w:r>
    </w:p>
    <w:p w14:paraId="48590245" w14:textId="77777777" w:rsidR="003754FE" w:rsidRDefault="003754FE" w:rsidP="003754FE">
      <w:pPr>
        <w:pStyle w:val="TextoNormal"/>
      </w:pPr>
    </w:p>
    <w:p w14:paraId="651023D9" w14:textId="77777777" w:rsidR="003754FE" w:rsidRDefault="003754FE" w:rsidP="003754FE">
      <w:pPr>
        <w:pStyle w:val="TextoNormal"/>
      </w:pPr>
      <w:r>
        <w:t xml:space="preserve">1. </w:t>
      </w:r>
      <w:r w:rsidRPr="003754FE">
        <w:rPr>
          <w:i/>
        </w:rPr>
        <w:t>Declaración de inconstitucionalidad por omisión, sin nulidad, y alcance del fallo</w:t>
      </w:r>
    </w:p>
    <w:p w14:paraId="1C1A3F7B" w14:textId="77777777" w:rsidR="003754FE" w:rsidRDefault="003754FE" w:rsidP="003754FE">
      <w:pPr>
        <w:pStyle w:val="TextoNormal"/>
      </w:pPr>
    </w:p>
    <w:p w14:paraId="47A545B1" w14:textId="77777777" w:rsidR="003754FE" w:rsidRDefault="003754FE" w:rsidP="003754FE">
      <w:pPr>
        <w:pStyle w:val="TextoNormal"/>
      </w:pPr>
      <w:r>
        <w:t xml:space="preserve">La sentencia entiende que la regulación cuestionada por la Sala de lo Social del Tribunal Superior de Justicia de Cataluña (art. 48, apartados 4, 5 y 6, del texto refundido de la Ley del estatuto de los trabajadores, en relación con el art. 177 del texto refundido de la Ley general de la Seguridad Social) incurre en inconstitucionalidad por omisión, por dispensar un trato discriminatorio por razón del nacimiento al menor perteneciente a una familia monoparental, ya que implican que recibirá un tiempo de cuidado inferior que el nacido en una familia biparental, a pesar de tener idénticas necesidades. Así sucede en el caso en el que se plantea la cuestión, en el que la suspensión del contrato de trabajo con reserva de puesto (así </w:t>
      </w:r>
      <w:r>
        <w:lastRenderedPageBreak/>
        <w:t>como la correspondiente prestación económica de la Seguridad Social, cuando se cumplan los requisitos de afiliación y cotización previstos en la Ley general de la Seguridad Social) se reconoce únicamente a la trabajadora, madre biológica, por dieciséis semanas, de las cuales son obligatorias las seis semanas ininterrumpidas inmediatamente posteriores al parto. La sentencia considera que la legislación cuestionada vulnera el art. 14 CE, en relación con el art. 39 CE, al no prever la posibilidad de que la madre biológica extienda su permiso por el período que hubiera correspondido al otro progenitor, en caso de existir, lo que determina la estimación de la cuestión de inconstitucionalidad, emplazándose al legislador para que lleve a cabo las reformas pertinentes para reparar la vulneración.</w:t>
      </w:r>
    </w:p>
    <w:p w14:paraId="130624B7" w14:textId="77777777" w:rsidR="003754FE" w:rsidRDefault="003754FE" w:rsidP="003754FE">
      <w:pPr>
        <w:pStyle w:val="TextoNormal"/>
      </w:pPr>
    </w:p>
    <w:p w14:paraId="37CA79D5" w14:textId="77777777" w:rsidR="003754FE" w:rsidRDefault="003754FE" w:rsidP="003754FE">
      <w:pPr>
        <w:pStyle w:val="TextoNormal"/>
      </w:pPr>
      <w:r>
        <w:t>Pero la sentencia no se detiene aquí, sino que, sin perjuicio de lo anterior, resuelve que, en tanto el legislador no proceda a modificar la normativa cuestionada conforme a lo indicado, en las familias monoparentales el permiso a que hacen referencia los arts. 48.4 del texto refundido de la Ley del estatuto de los trabajadores y 177 del texto refundido de la Ley general de la Seguridad Social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14:paraId="2E32BB8C" w14:textId="77777777" w:rsidR="003754FE" w:rsidRDefault="003754FE" w:rsidP="003754FE">
      <w:pPr>
        <w:pStyle w:val="TextoNormal"/>
      </w:pPr>
    </w:p>
    <w:p w14:paraId="70F03FBC" w14:textId="77777777" w:rsidR="003754FE" w:rsidRDefault="003754FE" w:rsidP="003754FE">
      <w:pPr>
        <w:pStyle w:val="TextoNormal"/>
      </w:pPr>
      <w:r>
        <w:t xml:space="preserve">2. </w:t>
      </w:r>
      <w:r w:rsidRPr="003754FE">
        <w:rPr>
          <w:i/>
        </w:rPr>
        <w:t>La sentencia, al determinar el alcance del fallo asumiendo el Tribunal una función de legislador positivo que institucionalmente no le corresponde, elimina la libertad de configuración normativa del legislador</w:t>
      </w:r>
    </w:p>
    <w:p w14:paraId="226B0BB2" w14:textId="77777777" w:rsidR="003754FE" w:rsidRDefault="003754FE" w:rsidP="003754FE">
      <w:pPr>
        <w:pStyle w:val="TextoNormal"/>
      </w:pPr>
    </w:p>
    <w:p w14:paraId="30A44898" w14:textId="77777777" w:rsidR="003754FE" w:rsidRDefault="003754FE" w:rsidP="003754FE">
      <w:pPr>
        <w:pStyle w:val="TextoNormal"/>
      </w:pPr>
      <w:r>
        <w:t>Discrepamos del pronunciamiento de la sentencia en cuanto al alcance del fallo, que supone un entendimiento del control abstracto de constitucionalidad de las leyes que desborda la obligada contención que desde sus primeras resoluciones este tribunal viene imponiéndose, y sitúa de hecho a este en una posición de colegislador que no le corresponde en modo alguno, pues lo que hace la sentencia es ampliar el permiso de maternidad de las madres biológicas en el caso de familias monoparentales, lo que, obviamente, por más que pueda juzgarse deseable, no es una tarea que competa al Tribunal Constitucional.</w:t>
      </w:r>
    </w:p>
    <w:p w14:paraId="725E9DE1" w14:textId="77777777" w:rsidR="003754FE" w:rsidRDefault="003754FE" w:rsidP="003754FE">
      <w:pPr>
        <w:pStyle w:val="TextoNormal"/>
      </w:pPr>
    </w:p>
    <w:p w14:paraId="401621A5" w14:textId="77777777" w:rsidR="003754FE" w:rsidRDefault="003754FE" w:rsidP="003754FE">
      <w:pPr>
        <w:pStyle w:val="TextoNormal"/>
      </w:pPr>
      <w:r>
        <w:t>En efecto, aunque en la sentencia se afirme (fundamento jurídico 7) que corresponde al legislador, en uso de su libertad de configuración normativa, llevar a cabo las modificaciones pertinentes para reparar la vulneración apreciada de los arts. 14 y 39 CE, lo cierto es que tal libertad de configuración es inexistente en este caso a la postre, pues es el Tribunal el que determina en qué ha de consistir concretamente la reforma de los preceptos cuestionados: estos han de ser modificados de tal suerte que debe adicionarse al permiso de maternidad para la madre biológica (dieciséis semanas), el previsto para progenitor distinto (diez semanas, al excluirse las seis primeras).</w:t>
      </w:r>
    </w:p>
    <w:p w14:paraId="542645E5" w14:textId="77777777" w:rsidR="003754FE" w:rsidRDefault="003754FE" w:rsidP="003754FE">
      <w:pPr>
        <w:pStyle w:val="TextoNormal"/>
      </w:pPr>
    </w:p>
    <w:p w14:paraId="7ADCF972" w14:textId="77777777" w:rsidR="003754FE" w:rsidRDefault="003754FE" w:rsidP="003754FE">
      <w:pPr>
        <w:pStyle w:val="TextoNormal"/>
      </w:pPr>
      <w:r>
        <w:t xml:space="preserve">Cuando la razón de la inconstitucionalidad del precepto legal impugnado o cuestionado no reside en determinación alguna de este, sino en lo que omite (como se ha apreciado en la sentencia que resuelve la presente cuestión), el Tribunal se ve obligado a sustituir la declaración de nulidad del precepto que, como regla, lleva aparejada la declaración de inconstitucionalidad (art. 39.1 LOTC), por un requerimiento al legislador para que lleve a cabo las modificaciones o adaptaciones oportunas en el régimen legal, sirviéndose para ello de su propia “libertad de configuración normativa” (SSTC 45/1989, de 20 de febrero, FJ 11, y 273/2005, de 27 de octubre, FJ 9, por todas), incluso con la precisión que deba hacerlo </w:t>
      </w:r>
      <w:r>
        <w:lastRenderedPageBreak/>
        <w:t>“dentro de un plazo de tiempo razonable” (STC 96/1996, de 30 de mayo, FJ 23). La libertad de configuración normativa del legislador no puede ser desconocida ni sustituida por este tribunal, al que “solo le corresponde apreciar la conformidad o disconformidad con la Constitución de los preceptos enjuiciados (art. 27.1 LOTC)” (STC 45/1989, FJ 11). Y es que cualquier otra decisión del Tribunal en estos casos de inconstitucionalidad por omisión implicaría “la reconstrucción de una norma no explicitada debidamente en el texto legal y por ende la creación de una norma nueva, con la consiguiente asunción por el Tribunal Constitucional de una función de legislador positivo que institucionalmente no le corresponde” (SSTC 96/1996, FJ 22; 235/1999, de 16 de diciembre, FJ 13; 138/2005, de 26 de mayo, FJ 5, y 111/2006, de 5 de abril, FJ 7, por todas).</w:t>
      </w:r>
    </w:p>
    <w:p w14:paraId="4B1AC876" w14:textId="77777777" w:rsidR="003754FE" w:rsidRDefault="003754FE" w:rsidP="003754FE">
      <w:pPr>
        <w:pStyle w:val="TextoNormal"/>
      </w:pPr>
    </w:p>
    <w:p w14:paraId="538FB517" w14:textId="77777777" w:rsidR="003754FE" w:rsidRDefault="003754FE" w:rsidP="003754FE">
      <w:pPr>
        <w:pStyle w:val="TextoNormal"/>
      </w:pPr>
      <w:r>
        <w:t>El Tribunal Constitucional, como intérprete supremo de la Constitución (art. 1.1 LOTC), al ejercer su control abstracto de constitucionalidad de las leyes está obligado a no traspasar su papel de “legislador negativo”. Si todos los poderes públicos, y muy particularmente el legislativo, están siempre obligados a respetar escrupulosamente lo resuelto por el Tribunal Constitucional (art. 87.1 LOTC), este órgano está igualmente obligado a no injerirse en el funcionamiento de los poderes del Estado, y de modo singular a no suplantar al legislador, convirtiéndose en una suerte de “legislador positivo”.</w:t>
      </w:r>
    </w:p>
    <w:p w14:paraId="199BB5E7" w14:textId="77777777" w:rsidR="003754FE" w:rsidRDefault="003754FE" w:rsidP="003754FE">
      <w:pPr>
        <w:pStyle w:val="TextoNormal"/>
      </w:pPr>
    </w:p>
    <w:p w14:paraId="20FFCA13" w14:textId="77777777" w:rsidR="003754FE" w:rsidRDefault="003754FE" w:rsidP="003754FE">
      <w:pPr>
        <w:pStyle w:val="TextoNormal"/>
      </w:pPr>
      <w:r>
        <w:t>Ello es una consecuencia obligada del principio constitucional de separación de poderes, consustancial a nuestro Estado social y democrático de Derecho (art. 1.1 CE), como han recordado las SSTC 48/2001, de 26 de febrero, FJ 4; 48/2003, de 12 de marzo, FJ 7; 124/2018, de 14 de noviembre, FJ 6, y 70/2022, de 2 de julio, FJ 5, que se encuentra estrechamente vinculado a las previsiones del art. 66.2 CE, conforme al cual las Cortes Generales ejercen la potestad legislativa del Estado, así como del art. 97 CE y del art. 117 CE, y que busca garantizar el equilibrio justo entre poderes públicos, evitando su concentración y con ello potenciales abusos, haciendo posible la aplicación de las técnicas de relación y control entre quienes ejercen legítimamente los distintos poderes y favoreciendo así la eficaz protección de los derechos y libertades de los ciudadanos. Como hemos recordado de manera expresa, “[e]l principio de separación de poderes se completa por la Constitución de 1978 con diversos mecanismos de frenos y contrapesos, así como mediante la distribución territorial del poder y la creación de nuevos órganos constitucionales, en particular el Tribunal Constitucional, al que corresponde, como intérprete supremo de la Constitución (art. 1.1 LOTC), entre otras funciones relevantes, el control de constitucionalidad de las leyes” (STC 70/2002, de 3 de abril, FJ 5).</w:t>
      </w:r>
    </w:p>
    <w:p w14:paraId="3A0CFC89" w14:textId="77777777" w:rsidR="003754FE" w:rsidRDefault="003754FE" w:rsidP="003754FE">
      <w:pPr>
        <w:pStyle w:val="TextoNormal"/>
      </w:pPr>
    </w:p>
    <w:p w14:paraId="42107D71" w14:textId="77777777" w:rsidR="003754FE" w:rsidRDefault="003754FE" w:rsidP="003754FE">
      <w:pPr>
        <w:pStyle w:val="TextoNormal"/>
      </w:pPr>
      <w:r>
        <w:t xml:space="preserve">Probablemente en la sentencia que resuelve la presente cuestión de inconstitucionalidad haya pesado el precedente de la reciente sentencia de la Sala Tercera del Tribunal Supremo de 15 de octubre de 2024, que interpreta el art. 49 del texto refundido de la Ley del estatuto básico del empleado público en el sentido de que, en las familias monoparentales, al permiso de maternidad de dieciséis semanas de la madre biológica, se deben añadir diez semanas más de permiso por nacimiento de hijo que corresponderían al otro progenitor. Pero un error no justifica otro error. Si la Sala Tercera del Tribunal Supremo había incurrido en un exceso de jurisdicción, invadiendo el ámbito de decisión del poder legislativo, ello no es razón que justifique que el Tribunal Constitucional incurra a su vez en otro exceso jurisdiccional, suplantando al legislador. Lo discutido entonces, como ahora, era la posible ampliación de la protección social que el ordenamiento otorga a un determinado colectivo (las familias monoparentales), cuyo alcance e intensidad corresponde determinarlo al legislador, sin que a </w:t>
      </w:r>
      <w:r>
        <w:lastRenderedPageBreak/>
        <w:t>este tribunal (ni tampoco a ningún órgano judicial) le corresponda adoptar decisiones singularizadas que amplíen la configuración efectuada por legislador; mucho menos cuando, como aquí sucede, tales decisiones pueden afectar a la economía del sistema contributivo de seguridad social.</w:t>
      </w:r>
    </w:p>
    <w:p w14:paraId="2C0ECA7B" w14:textId="77777777" w:rsidR="003754FE" w:rsidRDefault="003754FE" w:rsidP="003754FE">
      <w:pPr>
        <w:pStyle w:val="TextoNormal"/>
      </w:pPr>
    </w:p>
    <w:p w14:paraId="4ED23EBE" w14:textId="77777777" w:rsidR="003754FE" w:rsidRDefault="003754FE" w:rsidP="003754FE">
      <w:pPr>
        <w:pStyle w:val="TextoNormal"/>
      </w:pPr>
      <w:r>
        <w:t xml:space="preserve">3. </w:t>
      </w:r>
      <w:r w:rsidRPr="003754FE">
        <w:rPr>
          <w:i/>
        </w:rPr>
        <w:t>Es al legislador a quien corresponde, ponderando los intereses relevantes y legítimos en presencia, determinar si procede, y con qué alcance, ampliar la duración de los permisos por maternidad y paternidad en los supuestos de familias monoparentales</w:t>
      </w:r>
    </w:p>
    <w:p w14:paraId="7BAAC01F" w14:textId="77777777" w:rsidR="003754FE" w:rsidRDefault="003754FE" w:rsidP="003754FE">
      <w:pPr>
        <w:pStyle w:val="TextoNormal"/>
      </w:pPr>
    </w:p>
    <w:p w14:paraId="032C7CC5" w14:textId="77777777" w:rsidR="003754FE" w:rsidRDefault="003754FE" w:rsidP="003754FE">
      <w:pPr>
        <w:pStyle w:val="TextoNormal"/>
      </w:pPr>
      <w:r>
        <w:t>Ciertamente (como hemos apreciado, por ejemplo, respecto de la pretensión de ampliación del permiso de paternidad para equipararlo en extensión temporal con el correlativo permiso de maternidad: STC 111/2018, de 17 de octubre), nada impide que el legislador, en el legítimo ejercicio de su libertad de configuración del sistema de seguridad social, apreciando las circunstancias socioeconómicas concurrentes en cada momento a la hora de administrar recursos económicos limitados para atender a un gran número de necesidades sociales (por todas, SSTC 65/1987, de 21 de marzo, FJ 17; 184/1990, de 15 de noviembre, FJ 3, 75/2011, de 19 de mayo, FJ 7, y 111/2018, de 17 de octubre, FJ 8), pueda ampliar la duración del permiso por nacimiento para la madre biológica en caso de familias monoparentales en la extensión que considere conveniente, pero, insistimos, esa decisión compete al legislador, no al Tribunal Constitucional, pues es al legislador a quien corresponde ponderar cuál de los intereses relevantes y legítimos en juego debe prevalecer, en el ejercicio de su libertad de configuración normativa, que no puede ser desconocida ni sustituida por este tribunal, como ya hemos advertido.</w:t>
      </w:r>
    </w:p>
    <w:p w14:paraId="15F018B6" w14:textId="77777777" w:rsidR="003754FE" w:rsidRDefault="003754FE" w:rsidP="003754FE">
      <w:pPr>
        <w:pStyle w:val="TextoNormal"/>
      </w:pPr>
    </w:p>
    <w:p w14:paraId="58E4BA0A" w14:textId="77777777" w:rsidR="003754FE" w:rsidRDefault="003754FE" w:rsidP="003754FE">
      <w:pPr>
        <w:pStyle w:val="TextoNormal"/>
      </w:pPr>
      <w:r>
        <w:t>No es ocioso advertir, en este sentido, que en el Congreso de los Diputados se hallan en tramitación sendas proposiciones de ley, presentadas por el Grupo Parlamentario Popular (proposición de Ley de conciliación y corresponsabilidad familiar) y por el Grupo Parlamentario Mixto (proposición de Ley de familias), en las que, entre otras modificaciones, se pretende la reforma de la normativa actual para ampliar los permisos de maternidad y paternidad en los supuestos de familias monoparentales.</w:t>
      </w:r>
    </w:p>
    <w:p w14:paraId="7F25B61E" w14:textId="77777777" w:rsidR="003754FE" w:rsidRDefault="003754FE" w:rsidP="003754FE">
      <w:pPr>
        <w:pStyle w:val="TextoNormal"/>
      </w:pPr>
    </w:p>
    <w:p w14:paraId="3E124443" w14:textId="77777777" w:rsidR="003754FE" w:rsidRDefault="003754FE" w:rsidP="003754FE">
      <w:pPr>
        <w:pStyle w:val="TextoNormal"/>
      </w:pPr>
      <w:r>
        <w:t>Se trata, en definitiva, de una decisión que al legislador corresponde adoptar, en el sentido y alcance que estime más conveniente, sin que su libertad de configuración normativa deba verse determinada por una sentencia de este tribunal.</w:t>
      </w:r>
    </w:p>
    <w:p w14:paraId="4C60730A" w14:textId="77777777" w:rsidR="003754FE" w:rsidRDefault="003754FE" w:rsidP="003754FE">
      <w:pPr>
        <w:pStyle w:val="TextoNormal"/>
      </w:pPr>
    </w:p>
    <w:p w14:paraId="178DFC81" w14:textId="2B2A1AEE" w:rsidR="003754FE" w:rsidRDefault="003754FE" w:rsidP="003754FE">
      <w:pPr>
        <w:pStyle w:val="TextoNormal"/>
      </w:pPr>
      <w:r>
        <w:t>Madrid, a doce de noviembre de dos mil veinticuatro.-</w:t>
      </w:r>
    </w:p>
    <w:p w14:paraId="0ACDC4F9" w14:textId="130A36F6" w:rsidR="003754FE" w:rsidRDefault="003754FE">
      <w:pPr>
        <w:spacing w:after="160" w:line="278" w:lineRule="auto"/>
        <w:rPr>
          <w:rFonts w:ascii="Times New Roman" w:eastAsia="Times New Roman" w:hAnsi="Times New Roman" w:cs="Times New Roman"/>
          <w:sz w:val="24"/>
          <w:szCs w:val="24"/>
          <w:lang w:eastAsia="es-ES"/>
        </w:rPr>
      </w:pPr>
      <w:r>
        <w:br w:type="page"/>
      </w:r>
    </w:p>
    <w:p w14:paraId="542FF8A2" w14:textId="77777777" w:rsidR="003754FE" w:rsidRDefault="003754FE" w:rsidP="003754FE">
      <w:pPr>
        <w:pStyle w:val="TtuloResolucin"/>
      </w:pPr>
      <w:bookmarkStart w:id="50" w:name="SENTENCIA_2024_141"/>
      <w:r>
        <w:lastRenderedPageBreak/>
        <w:t>SENTENCIA 141/2024, de 19 de noviembre de 2024</w:t>
      </w:r>
    </w:p>
    <w:bookmarkEnd w:id="50"/>
    <w:p w14:paraId="7FBDBD02" w14:textId="77777777" w:rsidR="003754FE" w:rsidRDefault="003754FE" w:rsidP="003754FE">
      <w:pPr>
        <w:pStyle w:val="TtuloResolucin"/>
      </w:pPr>
      <w:r>
        <w:t>Pleno</w:t>
      </w:r>
    </w:p>
    <w:p w14:paraId="2217288D" w14:textId="77777777" w:rsidR="003754FE" w:rsidRDefault="003754FE" w:rsidP="003754FE">
      <w:pPr>
        <w:pStyle w:val="TtuloBOE"/>
      </w:pPr>
      <w:r>
        <w:t>(BOE núm. 311, de 26 de diciembre de 2024)</w:t>
      </w:r>
    </w:p>
    <w:p w14:paraId="40D76335" w14:textId="77777777" w:rsidR="003754FE" w:rsidRDefault="003754FE" w:rsidP="003754FE">
      <w:pPr>
        <w:pStyle w:val="TextoNormalCentrado"/>
      </w:pPr>
      <w:r>
        <w:t>ECLI:ES:TC:2024:141</w:t>
      </w:r>
    </w:p>
    <w:p w14:paraId="35F29366" w14:textId="360D8C98" w:rsidR="003754FE" w:rsidRDefault="003754FE" w:rsidP="003754FE">
      <w:pPr>
        <w:pStyle w:val="TextoNormalCentrado"/>
      </w:pPr>
    </w:p>
    <w:p w14:paraId="7D1A629B" w14:textId="77777777" w:rsidR="003754FE" w:rsidRDefault="003754FE" w:rsidP="003754FE">
      <w:pPr>
        <w:pStyle w:val="SntesisDescriptiva"/>
      </w:pPr>
      <w:r>
        <w:t>Recurso de inconstitucionalidad 5403-2021. Interpuesto por más de cincuenta diputados del Grupo Parlamentario Vox en el Congreso de los Diputados en relación con el artículo 1.1 del Decreto-ley del Gobierno de las Illes Balears 5/2021, de 7 de mayo, por el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w:t>
      </w:r>
    </w:p>
    <w:p w14:paraId="663032A3" w14:textId="7195062A" w:rsidR="003754FE" w:rsidRDefault="003754FE" w:rsidP="003754FE">
      <w:pPr>
        <w:pStyle w:val="SntesisDescriptiva"/>
      </w:pPr>
    </w:p>
    <w:p w14:paraId="7F67831E" w14:textId="77777777" w:rsidR="003754FE" w:rsidRDefault="003754FE" w:rsidP="003754FE">
      <w:pPr>
        <w:pStyle w:val="SntesisAnaltica"/>
      </w:pPr>
      <w:r>
        <w:t>Límites materiales de los decretos-leyes autonómicos: nulidad de los preceptos que habilitan a los órganos autonómicos la adopción de medidas preventivas y tipifican infracciones en materia de salud pública (STC 136/2024).</w:t>
      </w:r>
    </w:p>
    <w:p w14:paraId="72D144A7" w14:textId="6143C19D" w:rsidR="003754FE" w:rsidRDefault="003754FE" w:rsidP="003754FE">
      <w:pPr>
        <w:pStyle w:val="SntesisAnaltica"/>
      </w:pPr>
    </w:p>
    <w:p w14:paraId="43721667" w14:textId="4040DDEF" w:rsidR="003754FE" w:rsidRDefault="003754FE" w:rsidP="003754FE">
      <w:pPr>
        <w:pStyle w:val="Extracto"/>
      </w:pPr>
      <w:r>
        <w:t>1.</w:t>
      </w:r>
      <w:r>
        <w:tab/>
        <w:t>La cláusula restrictiva del art. 86.1 de la CE ‘no podrán afectar’ debe ser entendida de modo tal que ni reduzca a la nada el decreto-ley, ni permita que por decreto-ley se regule el régimen general de los derechos, deberes y libertades del título I, ni dé pie para que por decreto-ley se vaya en contra del contenido o elementos esenciales de alguno de tales derechos (STC 111/1983) [FJ 3].</w:t>
      </w:r>
    </w:p>
    <w:p w14:paraId="6C9CC425" w14:textId="77777777" w:rsidR="003754FE" w:rsidRDefault="003754FE" w:rsidP="003754FE">
      <w:pPr>
        <w:pStyle w:val="Extracto"/>
      </w:pPr>
    </w:p>
    <w:p w14:paraId="6F9BE224" w14:textId="6BFFDE6D" w:rsidR="003754FE" w:rsidRDefault="003754FE" w:rsidP="003754FE">
      <w:pPr>
        <w:pStyle w:val="Extracto"/>
      </w:pPr>
      <w:r>
        <w:t>2.</w:t>
      </w:r>
      <w:r>
        <w:tab/>
        <w:t>Las medidas profilácticas de prevención de la enfermedad, incluida la vacunación o inmunización afectan, con carácter general y sin necesidad de que conlleven riesgos especiales para la salud, al derecho a la integridad personal del art. 15 CE en su ‘dimensión positiva’, que implica una facultad de oposición a la asistencia médica, en ejercicio de un derecho de autodeterminación que tiene por objeto el propio sustrato corporal, como distinto del derecho a la salud o a la vida (SSTC 154/2002 y 136/2024) [FJ 3].</w:t>
      </w:r>
    </w:p>
    <w:p w14:paraId="218AD843" w14:textId="77777777" w:rsidR="003754FE" w:rsidRDefault="003754FE" w:rsidP="003754FE">
      <w:pPr>
        <w:pStyle w:val="Extracto"/>
      </w:pPr>
    </w:p>
    <w:p w14:paraId="51B087D4" w14:textId="4DFBBB9D" w:rsidR="003754FE" w:rsidRDefault="003754FE" w:rsidP="003754FE">
      <w:pPr>
        <w:pStyle w:val="Extracto"/>
      </w:pPr>
      <w:r>
        <w:t>3.</w:t>
      </w:r>
      <w:r>
        <w:tab/>
        <w:t>La regulación de restricciones o limitaciones de derechos fundamentales que inciden en aspectos esenciales de su regulación, en particular de los derechos regulados en los arts. 15, 17.1, 18.1, 19 y 21.1 CE resulta vedado al decreto-ley con arreglo a lo dispuesto en los arts. 86.1 CE [FJ 3].</w:t>
      </w:r>
    </w:p>
    <w:p w14:paraId="75F29AB3" w14:textId="77777777" w:rsidR="003754FE" w:rsidRDefault="003754FE" w:rsidP="003754FE">
      <w:pPr>
        <w:pStyle w:val="Extracto"/>
      </w:pPr>
    </w:p>
    <w:p w14:paraId="7E3783BF" w14:textId="79DB4895" w:rsidR="003754FE" w:rsidRDefault="003754FE" w:rsidP="003754FE">
      <w:pPr>
        <w:pStyle w:val="Extracto"/>
      </w:pPr>
      <w:r>
        <w:t>4.</w:t>
      </w:r>
      <w:r>
        <w:tab/>
        <w:t>Aplicación de la doctrina sentada en la STC 136/2024 sobre diversas materias: a) preceptos que comportan restricciones a los derechos fundamentales reconocidos en los arts. 15, 17.1, 18.1, 19 y 21 CE; b) infracción de los límites materiales de los decretos-leyes en contravención de la prohibición prevista en el art. 86.1 CE; y c) vulneración de reserva de ley orgánica del art. 81.1 CE [FJ  4].</w:t>
      </w:r>
    </w:p>
    <w:p w14:paraId="7BE91B02" w14:textId="77777777" w:rsidR="003754FE" w:rsidRDefault="003754FE" w:rsidP="003754FE">
      <w:pPr>
        <w:pStyle w:val="Extracto"/>
      </w:pPr>
    </w:p>
    <w:p w14:paraId="6FFD4E4F" w14:textId="19C3BD18" w:rsidR="003754FE" w:rsidRDefault="003754FE" w:rsidP="003754FE">
      <w:pPr>
        <w:pStyle w:val="Extracto"/>
      </w:pPr>
      <w:r>
        <w:t>5.</w:t>
      </w:r>
      <w:r>
        <w:tab/>
        <w:t xml:space="preserve">Reiteración de doctrina constitucional sobre los distintos supuestos de </w:t>
      </w:r>
      <w:r w:rsidRPr="003754FE">
        <w:rPr>
          <w:i/>
        </w:rPr>
        <w:t>lex repetita</w:t>
      </w:r>
      <w:r>
        <w:t xml:space="preserve">, en virtud de la cual, la reproducción en una norma autonómica del contenido normativo de una ley estatal -en un ámbito donde tanto el Estado como la comunidad autónoma tienen competencias- resulta constitucional si tiene la finalidad instrumental de hacer más comprensible una regulación dictada por la comunidad autónoma en el ejercicio de una competencia propia; y, además, si la reproducción </w:t>
      </w:r>
      <w:r>
        <w:lastRenderedPageBreak/>
        <w:t>realizada es fiel y no desnaturaliza la regulación estatal reproducida (SSTC 157/2021 y 136/2024) [FJ  5].</w:t>
      </w:r>
    </w:p>
    <w:p w14:paraId="1CC80218" w14:textId="77777777" w:rsidR="003754FE" w:rsidRDefault="003754FE" w:rsidP="003754FE">
      <w:pPr>
        <w:pStyle w:val="Extracto"/>
      </w:pPr>
    </w:p>
    <w:p w14:paraId="200FCCB2" w14:textId="77777777" w:rsidR="003754FE" w:rsidRDefault="003754FE" w:rsidP="003754FE">
      <w:pPr>
        <w:pStyle w:val="Extracto"/>
      </w:pPr>
    </w:p>
    <w:p w14:paraId="44207DD2"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5B9A77A0" w14:textId="3256B9BE" w:rsidR="003754FE" w:rsidRDefault="003754FE" w:rsidP="003754FE">
      <w:pPr>
        <w:pStyle w:val="TextoNormal"/>
      </w:pPr>
    </w:p>
    <w:p w14:paraId="06584822" w14:textId="77777777" w:rsidR="003754FE" w:rsidRDefault="003754FE" w:rsidP="003754FE">
      <w:pPr>
        <w:pStyle w:val="TextoNormalCentrado"/>
        <w:keepNext/>
      </w:pPr>
      <w:r>
        <w:t>EN NOMBRE DEL REY</w:t>
      </w:r>
    </w:p>
    <w:p w14:paraId="7F7C69AD" w14:textId="62EF0323" w:rsidR="003754FE" w:rsidRDefault="003754FE" w:rsidP="003754FE">
      <w:pPr>
        <w:pStyle w:val="TextoNormalCentrado"/>
        <w:keepNext/>
      </w:pPr>
    </w:p>
    <w:p w14:paraId="77576580" w14:textId="77777777" w:rsidR="003754FE" w:rsidRDefault="003754FE" w:rsidP="003754FE">
      <w:pPr>
        <w:pStyle w:val="TextoNormalCentrado"/>
        <w:keepNext/>
      </w:pPr>
    </w:p>
    <w:p w14:paraId="48513A9F" w14:textId="77777777" w:rsidR="003754FE" w:rsidRDefault="003754FE" w:rsidP="003754FE">
      <w:pPr>
        <w:pStyle w:val="TextoNormal"/>
      </w:pPr>
      <w:r>
        <w:t>la siguiente</w:t>
      </w:r>
    </w:p>
    <w:p w14:paraId="00721FA6" w14:textId="3534DEB9" w:rsidR="003754FE" w:rsidRDefault="003754FE" w:rsidP="003754FE">
      <w:pPr>
        <w:pStyle w:val="TextoNormal"/>
      </w:pPr>
    </w:p>
    <w:p w14:paraId="678BB1C7" w14:textId="77777777" w:rsidR="003754FE" w:rsidRDefault="003754FE" w:rsidP="003754FE">
      <w:pPr>
        <w:pStyle w:val="TextoNormalCentrado"/>
        <w:keepNext/>
      </w:pPr>
      <w:r>
        <w:t>SENTENCIA</w:t>
      </w:r>
    </w:p>
    <w:p w14:paraId="1CB46C22" w14:textId="50A5110B" w:rsidR="003754FE" w:rsidRDefault="003754FE" w:rsidP="003754FE">
      <w:pPr>
        <w:pStyle w:val="TextoNormalCentrado"/>
        <w:keepNext/>
      </w:pPr>
    </w:p>
    <w:p w14:paraId="196240B4" w14:textId="77777777" w:rsidR="003754FE" w:rsidRDefault="003754FE" w:rsidP="003754FE">
      <w:pPr>
        <w:pStyle w:val="TextoNormal"/>
      </w:pPr>
      <w:r>
        <w:t>En el recurso de inconstitucionalidad núm. 5403-2021, interpuesto por más de cincuenta diputados del Grupo Parlamentario Vox en el Congreso de los Diputados contra el art. 1.1 del Decreto-ley del Gobierno de las Illes Balears 5/2021, de 7 de mayo, por el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 Han comparecido el Congreso de los Diputados, el Senado y el abogado del Estado. Han formulado alegaciones el Gobierno de las Illes Balears y el Parlamento de las Illes Balears. Ha sido ponente la magistrada doña Laura Díez Bueso.</w:t>
      </w:r>
    </w:p>
    <w:p w14:paraId="2720E9A3" w14:textId="77768892" w:rsidR="003754FE" w:rsidRDefault="003754FE" w:rsidP="003754FE">
      <w:pPr>
        <w:pStyle w:val="TextoNormal"/>
      </w:pPr>
    </w:p>
    <w:p w14:paraId="704D4099" w14:textId="77777777" w:rsidR="003754FE" w:rsidRDefault="003754FE" w:rsidP="003754FE">
      <w:pPr>
        <w:pStyle w:val="TextoNormalNegritaCentrado"/>
        <w:keepNext/>
      </w:pPr>
      <w:r>
        <w:t>I. Antecedentes</w:t>
      </w:r>
    </w:p>
    <w:p w14:paraId="0B767475" w14:textId="5A5E5770" w:rsidR="003754FE" w:rsidRDefault="003754FE" w:rsidP="003754FE">
      <w:pPr>
        <w:pStyle w:val="TextoNormalNegritaCentrado"/>
        <w:keepNext/>
      </w:pPr>
    </w:p>
    <w:p w14:paraId="4C9B1B94" w14:textId="77777777" w:rsidR="003754FE" w:rsidRDefault="003754FE" w:rsidP="003754FE">
      <w:pPr>
        <w:pStyle w:val="TextoNormal"/>
      </w:pPr>
      <w:r w:rsidRPr="003754FE">
        <w:rPr>
          <w:rStyle w:val="NumeroAFNegritaCaracter"/>
        </w:rPr>
        <w:t>1</w:t>
      </w:r>
      <w:r>
        <w:t>. Mediante escrito que tuvo entrada en el registro general de este tribunal el 5 de agosto de 2021, el procurador de los tribunales don Antonio Ortega Fuentes, actuando en nombre de don Santiago Abascal Conde y de otros cincuenta y un diputados del Grupo Parlamentario Vox en el Congreso de los Diputados, interpuso, con la firma como comisionado de don Juan José Aizcorbe Torra, recurso de inconstitucionalidad contra el art. 1.1 del Decreto-ley del Gobierno de las Illes Balears 5/2021, de 7 de mayo, por el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w:t>
      </w:r>
    </w:p>
    <w:p w14:paraId="7B0E6267" w14:textId="77777777" w:rsidR="003754FE" w:rsidRDefault="003754FE" w:rsidP="003754FE">
      <w:pPr>
        <w:pStyle w:val="TextoNormal"/>
      </w:pPr>
    </w:p>
    <w:p w14:paraId="428D2F19" w14:textId="77777777" w:rsidR="003754FE" w:rsidRDefault="003754FE" w:rsidP="003754FE">
      <w:pPr>
        <w:pStyle w:val="TextoNormal"/>
      </w:pPr>
      <w:r>
        <w:t xml:space="preserve">En concreto, el recurso se dirige contra la nueva redacción que se da a los apartados 2 y 3 del art. 49 </w:t>
      </w:r>
      <w:r w:rsidRPr="003754FE">
        <w:rPr>
          <w:i/>
        </w:rPr>
        <w:t>bis</w:t>
      </w:r>
      <w:r>
        <w:t xml:space="preserve"> de la Ley 16/2010, de 28 de diciembre, de salud pública de las Illes Balears. La fundamentación jurídica de la demanda es, en síntesis, la siguiente.</w:t>
      </w:r>
    </w:p>
    <w:p w14:paraId="766256BD" w14:textId="77777777" w:rsidR="003754FE" w:rsidRDefault="003754FE" w:rsidP="003754FE">
      <w:pPr>
        <w:pStyle w:val="TextoNormal"/>
      </w:pPr>
    </w:p>
    <w:p w14:paraId="4E364C51" w14:textId="77777777" w:rsidR="003754FE" w:rsidRDefault="003754FE" w:rsidP="003754FE">
      <w:pPr>
        <w:pStyle w:val="TextoNormal"/>
      </w:pPr>
      <w:r>
        <w:lastRenderedPageBreak/>
        <w:t xml:space="preserve">A) </w:t>
      </w:r>
      <w:r w:rsidRPr="003754FE">
        <w:rPr>
          <w:i/>
        </w:rPr>
        <w:t>Infracción de los arts. 53.1 y 86.1 CE, en relación con los arts. 15, 17.1, 18.1, 19 y 21 CE</w:t>
      </w:r>
    </w:p>
    <w:p w14:paraId="5A82425E" w14:textId="77777777" w:rsidR="003754FE" w:rsidRDefault="003754FE" w:rsidP="003754FE">
      <w:pPr>
        <w:pStyle w:val="TextoNormal"/>
      </w:pPr>
    </w:p>
    <w:p w14:paraId="34CE48DA" w14:textId="77777777" w:rsidR="003754FE" w:rsidRDefault="003754FE" w:rsidP="003754FE">
      <w:pPr>
        <w:pStyle w:val="TextoNormal"/>
      </w:pPr>
      <w:r>
        <w:t>La demanda denuncia la vulneración del contenido esencial de los derechos fundamentales y de los límites materiales previstos para el decreto-ley, por afectación ilícita a los derechos a la libertad de circulación y residencia, a la libertad personal, a la integridad física, a la intimidad personal y al derecho de reunión.</w:t>
      </w:r>
    </w:p>
    <w:p w14:paraId="31693280" w14:textId="77777777" w:rsidR="003754FE" w:rsidRDefault="003754FE" w:rsidP="003754FE">
      <w:pPr>
        <w:pStyle w:val="TextoNormal"/>
      </w:pPr>
    </w:p>
    <w:p w14:paraId="40F063B8" w14:textId="77777777" w:rsidR="003754FE" w:rsidRDefault="003754FE" w:rsidP="003754FE">
      <w:pPr>
        <w:pStyle w:val="TextoNormal"/>
      </w:pPr>
      <w:r>
        <w:t xml:space="preserve">Tras exponer la doctrina constitucional sobre los derechos fundamentales de los arts. 15, 17.1, 18.1, 19 y 21 CE, con cita, en particular, de la STC 148/2021, de 14 de julio, concluye que el nuevo art. 49 </w:t>
      </w:r>
      <w:r w:rsidRPr="003754FE">
        <w:rPr>
          <w:i/>
        </w:rPr>
        <w:t>bis</w:t>
      </w:r>
      <w:r>
        <w:t xml:space="preserve">.2 y 3 de la Ley 16/2010 introduce medidas limitativas de los derechos que alteran o excepcionan </w:t>
      </w:r>
      <w:r w:rsidRPr="003754FE">
        <w:rPr>
          <w:i/>
        </w:rPr>
        <w:t>pro tempore</w:t>
      </w:r>
      <w:r>
        <w:t xml:space="preserve"> el contenido esencial de los derechos fundamentales indicados; limitaciones que “nunca podrían haberse previsto en leyes que pretendieran la regulación u ordenación general del ejercicio de esta libertad, so pena de incurrir en inconstitucionalidad (art. 53.1 CE)” (STC 148/2021, FJ 5). Por lo tanto, incluso al legislador orgánico le estarían vedadas restricciones tan intensas de derechos fundamentales que llegan a ignorar el contenido esencial de los mismos. Por ello, considera clara la vulneración del art. 53.1 CE en relación con los arts. 15, 17.1, 18.1, 19 y 21 CE.</w:t>
      </w:r>
    </w:p>
    <w:p w14:paraId="49F581C1" w14:textId="77777777" w:rsidR="003754FE" w:rsidRDefault="003754FE" w:rsidP="003754FE">
      <w:pPr>
        <w:pStyle w:val="TextoNormal"/>
      </w:pPr>
    </w:p>
    <w:p w14:paraId="4BE8A266" w14:textId="77777777" w:rsidR="003754FE" w:rsidRDefault="003754FE" w:rsidP="003754FE">
      <w:pPr>
        <w:pStyle w:val="TextoNormal"/>
      </w:pPr>
      <w:r>
        <w:t>Además, la imposición directa a los ciudadanos de las medidas de control que se relacionan en el precepto impugnado está vedada a los decretos-leyes en cuanto afectan, en el sentido constitucionalmente proscrito, a sus derechos fundamentales de los arts. 15, 17.1, 18.1, 19 y 21 CE. Por tanto, se infringe el art. 86.1 CE.</w:t>
      </w:r>
    </w:p>
    <w:p w14:paraId="57D19914" w14:textId="77777777" w:rsidR="003754FE" w:rsidRDefault="003754FE" w:rsidP="003754FE">
      <w:pPr>
        <w:pStyle w:val="TextoNormal"/>
      </w:pPr>
    </w:p>
    <w:p w14:paraId="092A7282" w14:textId="77777777" w:rsidR="003754FE" w:rsidRDefault="003754FE" w:rsidP="003754FE">
      <w:pPr>
        <w:pStyle w:val="TextoNormal"/>
      </w:pPr>
      <w:r>
        <w:t>De modo específico, la demanda hace referencia a los siguientes aspectos de la regulación impugnada:</w:t>
      </w:r>
    </w:p>
    <w:p w14:paraId="53917E68" w14:textId="77777777" w:rsidR="003754FE" w:rsidRDefault="003754FE" w:rsidP="003754FE">
      <w:pPr>
        <w:pStyle w:val="TextoNormal"/>
      </w:pPr>
    </w:p>
    <w:p w14:paraId="36E71E6B" w14:textId="77777777" w:rsidR="003754FE" w:rsidRDefault="003754FE" w:rsidP="003754FE">
      <w:pPr>
        <w:pStyle w:val="TextoNormal"/>
      </w:pPr>
      <w:r>
        <w:t>a) Las medidas de internamiento y aislamiento, respecto de las cuales se afirma que constituyen “una afección a la libertad personal del artículo 17.1 CE”.</w:t>
      </w:r>
    </w:p>
    <w:p w14:paraId="58F1EC47" w14:textId="77777777" w:rsidR="003754FE" w:rsidRDefault="003754FE" w:rsidP="003754FE">
      <w:pPr>
        <w:pStyle w:val="TextoNormal"/>
      </w:pPr>
    </w:p>
    <w:p w14:paraId="2DBDFE5A" w14:textId="77777777" w:rsidR="003754FE" w:rsidRDefault="003754FE" w:rsidP="003754FE">
      <w:pPr>
        <w:pStyle w:val="TextoNormal"/>
      </w:pPr>
      <w:r>
        <w:t>b) Las medidas preventivas de control que comportan restricciones o limitaciones a la circulación y movilidad de las personas, que “suponen sin duda delimitar el contenido y alcance de los límites impuestos al ejercicio” del derecho a la libertad de circulación del art. 19 CE.</w:t>
      </w:r>
    </w:p>
    <w:p w14:paraId="09BF2CC3" w14:textId="77777777" w:rsidR="003754FE" w:rsidRDefault="003754FE" w:rsidP="003754FE">
      <w:pPr>
        <w:pStyle w:val="TextoNormal"/>
      </w:pPr>
    </w:p>
    <w:p w14:paraId="483F4D27" w14:textId="77777777" w:rsidR="003754FE" w:rsidRDefault="003754FE" w:rsidP="003754FE">
      <w:pPr>
        <w:pStyle w:val="TextoNormal"/>
      </w:pPr>
      <w:r>
        <w:t>c) Las restricciones para celebrar reuniones privadas que “en tanto inciden en el contenido esencial del derecho de reunión constitucionalmente garantizado, vulneran el art. 86.1 CE”.</w:t>
      </w:r>
    </w:p>
    <w:p w14:paraId="1F772169" w14:textId="77777777" w:rsidR="003754FE" w:rsidRDefault="003754FE" w:rsidP="003754FE">
      <w:pPr>
        <w:pStyle w:val="TextoNormal"/>
      </w:pPr>
    </w:p>
    <w:p w14:paraId="611CA3C1" w14:textId="77777777" w:rsidR="003754FE" w:rsidRDefault="003754FE" w:rsidP="003754FE">
      <w:pPr>
        <w:pStyle w:val="TextoNormal"/>
      </w:pPr>
      <w:r>
        <w:t xml:space="preserve">d) Por su parte, la afectación del derecho a la integridad física (art. 15 CE) y del derecho a la intimidad personal (art. 18.1 CE), en relación con la noción de vida privada [art. 8 del Convenio europeo de derechos humanos (CEDH)], se denuncia en relación con “las medidas profilácticas —entre ellas, la vacunación obligatoria— que pueden acordar las autoridades autonómicas al amparo del art. 49 </w:t>
      </w:r>
      <w:r w:rsidRPr="003754FE">
        <w:rPr>
          <w:i/>
        </w:rPr>
        <w:t>bis</w:t>
      </w:r>
      <w:r>
        <w:t xml:space="preserve"> apartado 3 e)”.</w:t>
      </w:r>
    </w:p>
    <w:p w14:paraId="3148E1F4" w14:textId="77777777" w:rsidR="003754FE" w:rsidRDefault="003754FE" w:rsidP="003754FE">
      <w:pPr>
        <w:pStyle w:val="TextoNormal"/>
      </w:pPr>
    </w:p>
    <w:p w14:paraId="31F641EA" w14:textId="77777777" w:rsidR="003754FE" w:rsidRDefault="003754FE" w:rsidP="003754FE">
      <w:pPr>
        <w:pStyle w:val="TextoNormal"/>
      </w:pPr>
      <w:r>
        <w:t xml:space="preserve">B) </w:t>
      </w:r>
      <w:r w:rsidRPr="003754FE">
        <w:rPr>
          <w:i/>
        </w:rPr>
        <w:t>Reserva de ley orgánica</w:t>
      </w:r>
    </w:p>
    <w:p w14:paraId="207EF7CF" w14:textId="77777777" w:rsidR="003754FE" w:rsidRDefault="003754FE" w:rsidP="003754FE">
      <w:pPr>
        <w:pStyle w:val="TextoNormal"/>
      </w:pPr>
    </w:p>
    <w:p w14:paraId="71659E88" w14:textId="77777777" w:rsidR="003754FE" w:rsidRDefault="003754FE" w:rsidP="003754FE">
      <w:pPr>
        <w:pStyle w:val="TextoNormal"/>
      </w:pPr>
      <w:r>
        <w:lastRenderedPageBreak/>
        <w:t>La demanda señala, con cita del dictamen del Consejo de Estado núm. 213/2021 (sobre la Ley del Parlamento de Galicia 8/2021, de 25 de febrero, de modificación de la Ley 8/2008, de 10 de julio, de salud de Galicia), que las comunidades autónomas no pueden regular materias reservadas a ley orgánica, entre ellas, el desarrollo de los derechos fundamentales y las libertades públicas.</w:t>
      </w:r>
    </w:p>
    <w:p w14:paraId="576AA7D6" w14:textId="77777777" w:rsidR="003754FE" w:rsidRDefault="003754FE" w:rsidP="003754FE">
      <w:pPr>
        <w:pStyle w:val="TextoNormal"/>
      </w:pPr>
    </w:p>
    <w:p w14:paraId="6FE16E7B" w14:textId="77777777" w:rsidR="003754FE" w:rsidRDefault="003754FE" w:rsidP="003754FE">
      <w:pPr>
        <w:pStyle w:val="TextoNormal"/>
      </w:pPr>
      <w:r>
        <w:t>Por ello, aun en el improbable supuesto de que no se estimara el primer motivo de impugnación, lo que resulta absolutamente palmario es que una incidencia tan intensa en elementos esenciales de los derechos fundamentales reconocidos en los arts. 15, 17.1, 18.1, 19 y 21 CE está constitucionalmente reservada al legislador orgánico. La adopción de tan graves restricciones, fuera de los estados de excepción del art. 116 CE y a través de un decreto-ley autonómico, vulnera el art. 81.1 CE en relación con los arts. 15, 17.1, 18.1, 19 y 21 CE.</w:t>
      </w:r>
    </w:p>
    <w:p w14:paraId="7603E2BA" w14:textId="77777777" w:rsidR="003754FE" w:rsidRDefault="003754FE" w:rsidP="003754FE">
      <w:pPr>
        <w:pStyle w:val="TextoNormal"/>
      </w:pPr>
    </w:p>
    <w:p w14:paraId="06D5606F" w14:textId="77777777" w:rsidR="003754FE" w:rsidRDefault="003754FE" w:rsidP="003754FE">
      <w:pPr>
        <w:pStyle w:val="TextoNormal"/>
      </w:pPr>
      <w:r>
        <w:t xml:space="preserve">C) </w:t>
      </w:r>
      <w:r w:rsidRPr="003754FE">
        <w:rPr>
          <w:i/>
        </w:rPr>
        <w:t>Vulneración del art. 81.1 CE en relación con los arts. 15, 17.1, 18.1, 19 y 21 CE</w:t>
      </w:r>
    </w:p>
    <w:p w14:paraId="536F9B70" w14:textId="77777777" w:rsidR="003754FE" w:rsidRDefault="003754FE" w:rsidP="003754FE">
      <w:pPr>
        <w:pStyle w:val="TextoNormal"/>
      </w:pPr>
    </w:p>
    <w:p w14:paraId="6BCCB5B7" w14:textId="77777777" w:rsidR="003754FE" w:rsidRDefault="003754FE" w:rsidP="003754FE">
      <w:pPr>
        <w:pStyle w:val="TextoNormal"/>
      </w:pPr>
      <w:r>
        <w:t>Defiende la demanda que los preceptos impugnados infringen el art. 81.1 CE, introduciendo en la ley autonómica de salud medidas restrictivas de derechos fundamentales que constituyen un desarrollo normativo ilegítimo de la legislación estatal.</w:t>
      </w:r>
    </w:p>
    <w:p w14:paraId="4761F988" w14:textId="77777777" w:rsidR="003754FE" w:rsidRDefault="003754FE" w:rsidP="003754FE">
      <w:pPr>
        <w:pStyle w:val="TextoNormal"/>
      </w:pPr>
    </w:p>
    <w:p w14:paraId="51215B41" w14:textId="77777777" w:rsidR="003754FE" w:rsidRDefault="003754FE" w:rsidP="003754FE">
      <w:pPr>
        <w:pStyle w:val="TextoNormal"/>
      </w:pPr>
      <w:r>
        <w:t xml:space="preserve">Tanto el apartado 2 como el primer párrafo del apartado 3 del art. 49 </w:t>
      </w:r>
      <w:r w:rsidRPr="003754FE">
        <w:rPr>
          <w:i/>
        </w:rPr>
        <w:t>bis</w:t>
      </w:r>
      <w:r>
        <w:t xml:space="preserve"> de la Ley 16/2010 reproducen literalmente el tenor de los arts. 1, 2 y 3 de la Ley Orgánica 3/1986, de 14 de abril, de medidas especiales en materia de salud pública, lo que constituye una peligrosa técnica legislativa, determinante de la inconstitucionalidad de dichos apartados.</w:t>
      </w:r>
    </w:p>
    <w:p w14:paraId="08BFD7EA" w14:textId="77777777" w:rsidR="003754FE" w:rsidRDefault="003754FE" w:rsidP="003754FE">
      <w:pPr>
        <w:pStyle w:val="TextoNormal"/>
      </w:pPr>
    </w:p>
    <w:p w14:paraId="04719B7E" w14:textId="77777777" w:rsidR="003754FE" w:rsidRDefault="003754FE" w:rsidP="003754FE">
      <w:pPr>
        <w:pStyle w:val="TextoNormal"/>
      </w:pPr>
      <w:r>
        <w:t xml:space="preserve">En todo caso, el apartado 3 del art. 49 </w:t>
      </w:r>
      <w:r w:rsidRPr="003754FE">
        <w:rPr>
          <w:i/>
        </w:rPr>
        <w:t>bis</w:t>
      </w:r>
      <w:r>
        <w:t xml:space="preserve"> de la Ley 16/2010 no se limita a una mera reproducción literal del art. 3 de la Ley Orgánica 3/1986, sino que lo desarrolla. Citando de nuevo la STC 148/2021, FJ 5, argumenta que la legislación excepcional del Estado que, amparada en la declaración de uno u otro estado de crisis de los previstos en la Ley Orgánica 4/1981, de 1 de junio, de los estados de alarma, excepción y sitio, permite imponer restricciones a los derechos fundamentales de los ciudadanos, no tiene que ver con aquella que las comunidades autónomas puedan adoptar una vez finalizado además el estado de alarma en nuestro país. Procede, por tanto, analizar cada una de las medidas restrictivas.</w:t>
      </w:r>
    </w:p>
    <w:p w14:paraId="278E7A14" w14:textId="77777777" w:rsidR="003754FE" w:rsidRDefault="003754FE" w:rsidP="003754FE">
      <w:pPr>
        <w:pStyle w:val="TextoNormal"/>
      </w:pPr>
    </w:p>
    <w:p w14:paraId="59860432" w14:textId="77777777" w:rsidR="003754FE" w:rsidRDefault="003754FE" w:rsidP="003754FE">
      <w:pPr>
        <w:pStyle w:val="TextoNormal"/>
      </w:pPr>
      <w:r>
        <w:t xml:space="preserve">a) Las medidas de control de personas enfermas o que hayan estado en contacto con estas, así como de su entorno inmediato y de las zonas afectadas, que permite imponer el art. 49 </w:t>
      </w:r>
      <w:r w:rsidRPr="003754FE">
        <w:rPr>
          <w:i/>
        </w:rPr>
        <w:t>bis</w:t>
      </w:r>
      <w:r>
        <w:t>.3 a), c) y f) al facultar a las autoridades a recluir en su domicilio a la ciudadanía balear, constituyen una verdadera privación de libertad (STC 73/2010, de 18 de octubre, FJ 4). El confinamiento domiciliario supone la obligación de permanecer en el domicilio sin poder abandonarlo, por lo que la ciudadanía pierde su capacidad de situarse espacialmente donde desee, implicando una privación de la capacidad ambulatoria. Cita de nuevo la STC 148/2021, FJ 5.</w:t>
      </w:r>
    </w:p>
    <w:p w14:paraId="2F2982F7" w14:textId="77777777" w:rsidR="003754FE" w:rsidRDefault="003754FE" w:rsidP="003754FE">
      <w:pPr>
        <w:pStyle w:val="TextoNormal"/>
      </w:pPr>
    </w:p>
    <w:p w14:paraId="7C072227" w14:textId="77777777" w:rsidR="003754FE" w:rsidRDefault="003754FE" w:rsidP="003754FE">
      <w:pPr>
        <w:pStyle w:val="TextoNormal"/>
      </w:pPr>
      <w:r>
        <w:t xml:space="preserve">b) Las medidas de limitación o restricción de la circulación o de la entrada y salida de las zonas afectadas, que se recogen en el apartado 3 f) párrafos segundo y tercero del art. 49 </w:t>
      </w:r>
      <w:r w:rsidRPr="003754FE">
        <w:rPr>
          <w:i/>
        </w:rPr>
        <w:t>bis</w:t>
      </w:r>
      <w:r>
        <w:t xml:space="preserve"> suponen una derogación de la libertad de circulación y de la libertad de residencia del art. 19 CE. La libertad de residencia protege la conducta del individuo consistente en elegir libremente su residencia en territorio español, como derecho subjetivo y personal a determinar el lugar o lugares donde desea residir transitoria o permanentemente en España (cita </w:t>
      </w:r>
      <w:r>
        <w:lastRenderedPageBreak/>
        <w:t>la STC 72/2005, de 4 de abril, FJ 4); presupuesto objetivo de la anterior es la libertad de circulación por lo que, al permitir medidas que nieguen toda libertad de desplazamiento, se está derogando la libertad de residencia.</w:t>
      </w:r>
    </w:p>
    <w:p w14:paraId="3D11025D" w14:textId="77777777" w:rsidR="003754FE" w:rsidRDefault="003754FE" w:rsidP="003754FE">
      <w:pPr>
        <w:pStyle w:val="TextoNormal"/>
      </w:pPr>
    </w:p>
    <w:p w14:paraId="3B1EDCBD" w14:textId="77777777" w:rsidR="003754FE" w:rsidRDefault="003754FE" w:rsidP="003754FE">
      <w:pPr>
        <w:pStyle w:val="TextoNormal"/>
      </w:pPr>
      <w:r>
        <w:t xml:space="preserve">c) Las “restricciones a las agrupaciones de personas”, previstas en el apartado 3 f) párrafo cuarto del art. 49 </w:t>
      </w:r>
      <w:r w:rsidRPr="003754FE">
        <w:rPr>
          <w:i/>
        </w:rPr>
        <w:t>bis</w:t>
      </w:r>
      <w:r>
        <w:t xml:space="preserve"> (en realidad, se refiere al párrafo quinto) suponen una efectiva derogación de los derechos fundamentales del art. 21 CE y de los arts. 10.1 y 17 CE. Las reuniones privadas por razones familiares o de amistad constituyen manifestaciones esenciales de la dignidad humana y del libre desarrollo de la personalidad, de acuerdo con el art. 10.1 CE [cita la STC 148/2021, FJ 5 a)].</w:t>
      </w:r>
    </w:p>
    <w:p w14:paraId="6D5AB723" w14:textId="77777777" w:rsidR="003754FE" w:rsidRDefault="003754FE" w:rsidP="003754FE">
      <w:pPr>
        <w:pStyle w:val="TextoNormal"/>
      </w:pPr>
    </w:p>
    <w:p w14:paraId="1C32EEAA" w14:textId="77777777" w:rsidR="003754FE" w:rsidRDefault="003754FE" w:rsidP="003754FE">
      <w:pPr>
        <w:pStyle w:val="TextoNormal"/>
      </w:pPr>
      <w:r>
        <w:t xml:space="preserve">d) El apartado 3 b), d), e) y f) quinto párrafo (en realidad se refiere al sexto) del art. 49 </w:t>
      </w:r>
      <w:r w:rsidRPr="003754FE">
        <w:rPr>
          <w:i/>
        </w:rPr>
        <w:t>bis</w:t>
      </w:r>
      <w:r>
        <w:t xml:space="preserve"> recoge medidas vulneradoras de los derechos a la integridad física (art. 15 CE), a la libertad (art. 17.1 CE) y a la intimidad personal (art. 18.1 CE). La demanda considera que, prescindiendo del consentimiento del afectado —exigible con arreglo al art. 5 del Convenio para la protección de los derechos humanos y la dignidad del ser humano con respecto a las aplicaciones de la biología y la medicina, hecho en Oviedo el 4 de abril de 1997 y ratificado por España el 23 de julio de 1999— tales medidas permiten que las autoridades sanitarias autonómicas sometan a tratamiento, examen médico, pruebas diagnósticas o profilácticas, a las personas enfermas o con síntomas. En particular, la vacunación o inmunización obligatoria es una de las medidas profilácticas que, de acuerdo con el apartado 3 e) del art. 49 </w:t>
      </w:r>
      <w:r w:rsidRPr="003754FE">
        <w:rPr>
          <w:i/>
        </w:rPr>
        <w:t>bis</w:t>
      </w:r>
      <w:r>
        <w:t>, podrían acordar las autoridades autonómicas.</w:t>
      </w:r>
    </w:p>
    <w:p w14:paraId="71946F21" w14:textId="77777777" w:rsidR="003754FE" w:rsidRDefault="003754FE" w:rsidP="003754FE">
      <w:pPr>
        <w:pStyle w:val="TextoNormal"/>
      </w:pPr>
    </w:p>
    <w:p w14:paraId="35D6749A" w14:textId="77777777" w:rsidR="003754FE" w:rsidRDefault="003754FE" w:rsidP="003754FE">
      <w:pPr>
        <w:pStyle w:val="TextoNormal"/>
      </w:pPr>
      <w:r>
        <w:t>La aplicación forzosa de vacunas vulnera el derecho fundamental a la integridad física pues la vacuna, en sí misma considerada, es una agresión física que puede llegar a perjudicar la salud del afectado; y como señaló la STC 120/1990, de 27 de junio, FJ 8, el derecho fundamental a la integridad física “resultará afectado cuando se imponga a una persona asistencia médica en contra de su voluntad […] a no ser que tenga justificación constitucional”.</w:t>
      </w:r>
    </w:p>
    <w:p w14:paraId="71068237" w14:textId="77777777" w:rsidR="003754FE" w:rsidRDefault="003754FE" w:rsidP="003754FE">
      <w:pPr>
        <w:pStyle w:val="TextoNormal"/>
      </w:pPr>
    </w:p>
    <w:p w14:paraId="57A59C74" w14:textId="77777777" w:rsidR="003754FE" w:rsidRDefault="003754FE" w:rsidP="003754FE">
      <w:pPr>
        <w:pStyle w:val="TextoNormal"/>
      </w:pPr>
      <w:r>
        <w:t>Si bien el art. 3 de la Ley Orgánica 3/1986 permite la adopción por las autoridades autonómicas de las medidas que consideren oportunas para evitar la transmisión de enfermedades, tal medida no puede imponerse ni por decreto-ley ni por ley autonómica, sino necesariamente mediante ley orgánica. Y resulta claramente inconstitucional amparar su adopción en el derecho ordinario de situaciones excepcionales mediante el ejercicio de la competencia de desarrollo legislativo de la legislación básica que en materia sanitaria ostenta la comunidad autónoma.</w:t>
      </w:r>
    </w:p>
    <w:p w14:paraId="6D651FDC" w14:textId="77777777" w:rsidR="003754FE" w:rsidRDefault="003754FE" w:rsidP="003754FE">
      <w:pPr>
        <w:pStyle w:val="TextoNormal"/>
      </w:pPr>
    </w:p>
    <w:p w14:paraId="72358886" w14:textId="77777777" w:rsidR="003754FE" w:rsidRDefault="003754FE" w:rsidP="003754FE">
      <w:pPr>
        <w:pStyle w:val="TextoNormal"/>
      </w:pPr>
      <w:r>
        <w:t xml:space="preserve">e) Finalmente, el apartado 3 g) del art. 49 </w:t>
      </w:r>
      <w:r w:rsidRPr="003754FE">
        <w:rPr>
          <w:i/>
        </w:rPr>
        <w:t>bis</w:t>
      </w:r>
      <w:r>
        <w:t xml:space="preserve"> vulnera el art. 9.3 CE, pues no recoge una enumeración exhaustiva de medidas, lo que lo convierte en una norma en blanco que deja en manos de las autoridades sanitarias autonómicas un margen de discrecionalidad e interpretación intolerable [cita la STC 76/2019, de 22 de mayo, FJ 5 d)].</w:t>
      </w:r>
    </w:p>
    <w:p w14:paraId="058CDF07" w14:textId="77777777" w:rsidR="003754FE" w:rsidRDefault="003754FE" w:rsidP="003754FE">
      <w:pPr>
        <w:pStyle w:val="TextoNormal"/>
      </w:pPr>
    </w:p>
    <w:p w14:paraId="46D3AD0B" w14:textId="77777777" w:rsidR="003754FE" w:rsidRDefault="003754FE" w:rsidP="003754FE">
      <w:pPr>
        <w:pStyle w:val="TextoNormal"/>
      </w:pPr>
      <w:r>
        <w:t xml:space="preserve">D) </w:t>
      </w:r>
      <w:r w:rsidRPr="003754FE">
        <w:rPr>
          <w:i/>
        </w:rPr>
        <w:t>Estado de alarma y competencias de las comunidades autónomas</w:t>
      </w:r>
    </w:p>
    <w:p w14:paraId="0A25F337" w14:textId="77777777" w:rsidR="003754FE" w:rsidRDefault="003754FE" w:rsidP="003754FE">
      <w:pPr>
        <w:pStyle w:val="TextoNormal"/>
      </w:pPr>
    </w:p>
    <w:p w14:paraId="07D94457" w14:textId="77777777" w:rsidR="003754FE" w:rsidRDefault="003754FE" w:rsidP="003754FE">
      <w:pPr>
        <w:pStyle w:val="TextoNormal"/>
      </w:pPr>
      <w:r>
        <w:t xml:space="preserve">Del art. 116 CE resulta que la regulación constitucional expresa sobre el estado de alarma se centra en la articulación de los poderes del Gobierno y de las Cortes Generales. La declaración del estado de alarma no excluye que las comunidades autónomas participen en la </w:t>
      </w:r>
      <w:r>
        <w:lastRenderedPageBreak/>
        <w:t>adopción de las medidas y en la gestión de la crisis, sino que las comunidades autónomas deberán seguir ejerciendo sus competencias ordinarias, pero ponderando necesariamente el objetivo de lucha contra la pandemia.</w:t>
      </w:r>
    </w:p>
    <w:p w14:paraId="1367371D" w14:textId="77777777" w:rsidR="003754FE" w:rsidRDefault="003754FE" w:rsidP="003754FE">
      <w:pPr>
        <w:pStyle w:val="TextoNormal"/>
      </w:pPr>
    </w:p>
    <w:p w14:paraId="4A8366C7" w14:textId="77777777" w:rsidR="003754FE" w:rsidRDefault="003754FE" w:rsidP="003754FE">
      <w:pPr>
        <w:pStyle w:val="TextoNormal"/>
      </w:pPr>
      <w:r>
        <w:t xml:space="preserve">Ahora bien, apunta la demanda que, como ya denunció el Grupo Parlamentario Vox en el recurso de inconstitucionalidad núm. 5342-2020, el Gobierno, único investido </w:t>
      </w:r>
      <w:r w:rsidRPr="003754FE">
        <w:rPr>
          <w:i/>
        </w:rPr>
        <w:t>ex Constitutione</w:t>
      </w:r>
      <w:r>
        <w:t xml:space="preserve"> para fijar el estatuto jurídico del estado de alarma, desatendiendo tal función constitucional, pasó a hacer depender la determinación de los efectos del estado de alarma de los presidentes de cada concreta comunidad autónoma o ciudad autónoma. Pues bien, a través del precepto que aquí se recurre, afirman los recurrentes que la Comunidad Autónoma de las Illes Balears, “habiendo finalizado el estado de alarma y no hallándose, por tanto, amparada en esa aquiescencia extraordinaria que el Gobierno le concedió, viene a aprobar sus propios criterios y medidas restrictivas de derechos fundamentales, pero de una manera permanente y estable, […] contraviniendo el orden competencial”.</w:t>
      </w:r>
    </w:p>
    <w:p w14:paraId="6D5F92D7" w14:textId="77777777" w:rsidR="003754FE" w:rsidRDefault="003754FE" w:rsidP="003754FE">
      <w:pPr>
        <w:pStyle w:val="TextoNormal"/>
      </w:pPr>
    </w:p>
    <w:p w14:paraId="09FDACAA" w14:textId="77777777" w:rsidR="003754FE" w:rsidRDefault="003754FE" w:rsidP="003754FE">
      <w:pPr>
        <w:pStyle w:val="TextoNormal"/>
      </w:pPr>
      <w:r>
        <w:t>E</w:t>
      </w:r>
      <w:r w:rsidRPr="003754FE">
        <w:rPr>
          <w:i/>
        </w:rPr>
        <w:t>) Marco normativo de aplicaci</w:t>
      </w:r>
      <w:r>
        <w:t>ón</w:t>
      </w:r>
    </w:p>
    <w:p w14:paraId="1773CCD7" w14:textId="77777777" w:rsidR="003754FE" w:rsidRDefault="003754FE" w:rsidP="003754FE">
      <w:pPr>
        <w:pStyle w:val="TextoNormal"/>
      </w:pPr>
    </w:p>
    <w:p w14:paraId="004D6DCC" w14:textId="77777777" w:rsidR="003754FE" w:rsidRDefault="003754FE" w:rsidP="003754FE">
      <w:pPr>
        <w:pStyle w:val="TextoNormal"/>
      </w:pPr>
      <w:r>
        <w:t>Con apoyo en el dictamen del Consejo de Estado, emitido para el recurso contra la Ley del Parlamento de Galicia 8/2021, y en la STC 148/2021, FJ 8, la demanda argumenta que el Gobierno balear reintroduce las suspensiones/limitaciones de derechos fundamentales establecidos en el estado de alarma, pero fuera de dicho estado de excepcionalidad y con vocación de permanencia y generalidad. La propia exposición de motivos del Decreto-ley del Gobierno de las Illes Balears 5/2021 reconoce que se introducen en la legislación balear medidas que suponen una suspensión o una intensa restricción de derechos fundamentales análogas a las adoptadas por el Estado al amparo de la legislación excepcional de los estados de crisis, pero sin el amparo constitucional del art. 116 CE, a través de una norma de urgencia y con un carácter de estabilidad y permanencia incompatible con los estados de excepcionalidad constitucional.</w:t>
      </w:r>
    </w:p>
    <w:p w14:paraId="1C29B707" w14:textId="77777777" w:rsidR="003754FE" w:rsidRDefault="003754FE" w:rsidP="003754FE">
      <w:pPr>
        <w:pStyle w:val="TextoNormal"/>
      </w:pPr>
    </w:p>
    <w:p w14:paraId="1DFCD89F" w14:textId="77777777" w:rsidR="003754FE" w:rsidRDefault="003754FE" w:rsidP="003754FE">
      <w:pPr>
        <w:pStyle w:val="TextoNormal"/>
      </w:pPr>
      <w:r>
        <w:t>Tras recordar el marco normativo al que alude el decreto-ley impugnado (Ley 14/1986, de 25 de abril, general de sanidad, arts. 26 y 28; Ley 33/2011, de 4 de octubre, general de salud pública, art. 54, y Ley Orgánica 3/1986, de 14 de abril, de medidas especiales en materia de salud pública, arts. 1, 2 y 3), la demanda admite que la comunidad quiera actuar de algún modo ante la pasividad del Gobierno central tras el decaimiento del estado de alarma, pero niega que pueda hacerlo suspendiendo o restringiendo derechos fundamentales fuera de los cauces expresamente previstos en la Constitución.</w:t>
      </w:r>
    </w:p>
    <w:p w14:paraId="426B3872" w14:textId="77777777" w:rsidR="003754FE" w:rsidRDefault="003754FE" w:rsidP="003754FE">
      <w:pPr>
        <w:pStyle w:val="TextoNormal"/>
      </w:pPr>
    </w:p>
    <w:p w14:paraId="0F46C09C" w14:textId="77777777" w:rsidR="003754FE" w:rsidRDefault="003754FE" w:rsidP="003754FE">
      <w:pPr>
        <w:pStyle w:val="TextoNormal"/>
      </w:pPr>
      <w:r>
        <w:t xml:space="preserve">F) </w:t>
      </w:r>
      <w:r w:rsidRPr="003754FE">
        <w:rPr>
          <w:i/>
        </w:rPr>
        <w:t>Configuración constitucional y estatutaria de la distribución competencial en materia de sanidad</w:t>
      </w:r>
    </w:p>
    <w:p w14:paraId="4CA08568" w14:textId="77777777" w:rsidR="003754FE" w:rsidRDefault="003754FE" w:rsidP="003754FE">
      <w:pPr>
        <w:pStyle w:val="TextoNormal"/>
      </w:pPr>
    </w:p>
    <w:p w14:paraId="15B91397" w14:textId="77777777" w:rsidR="003754FE" w:rsidRDefault="003754FE" w:rsidP="003754FE">
      <w:pPr>
        <w:pStyle w:val="TextoNormal"/>
      </w:pPr>
      <w:r>
        <w:t>Afirma la demanda que para examinar la constitucionalidad del precepto objeto de recurso procede atender también a las competencias estatales que emanan tanto del art. 149.1.1 CE como del art. 149.1.16 CE.</w:t>
      </w:r>
    </w:p>
    <w:p w14:paraId="14AF72B1" w14:textId="77777777" w:rsidR="003754FE" w:rsidRDefault="003754FE" w:rsidP="003754FE">
      <w:pPr>
        <w:pStyle w:val="TextoNormal"/>
      </w:pPr>
    </w:p>
    <w:p w14:paraId="7B6EE33D" w14:textId="77777777" w:rsidR="003754FE" w:rsidRDefault="003754FE" w:rsidP="003754FE">
      <w:pPr>
        <w:pStyle w:val="TextoNormal"/>
      </w:pPr>
      <w:r>
        <w:t>En concreto, la definición de las medidas limitativas de derechos fundamentales ante una crisis sanitaria constituye legislación estatal que tiende a garantizar la igualdad en el acceso al derecho previsto en el art. 43 CE, cuya observancia se vería gravemente afectada si se admitiese la incidencia de la legislación autonómica sobre tal definición.</w:t>
      </w:r>
    </w:p>
    <w:p w14:paraId="60BA89CE" w14:textId="77777777" w:rsidR="003754FE" w:rsidRDefault="003754FE" w:rsidP="003754FE">
      <w:pPr>
        <w:pStyle w:val="TextoNormal"/>
      </w:pPr>
    </w:p>
    <w:p w14:paraId="5873647A" w14:textId="77777777" w:rsidR="003754FE" w:rsidRDefault="003754FE" w:rsidP="003754FE">
      <w:pPr>
        <w:pStyle w:val="TextoNormal"/>
      </w:pPr>
      <w:r>
        <w:t>Por otra parte, se ha de tener en cuenta la competencia estatal en “[s]anidad exterior” y sobre “[b]ases y coordinación general de la sanidad”. Si se ponen en relación las facultades de coordinación en materia sanitaria que ostenta el Estado con la existencia de un interés nacional reflejado en el alcance y dimensión de la emergencia, se hace imprescindible una coordinación y actuación conjunta de las diversas administraciones implicadas al objeto de proveer un modelo nacional mínimo que permita la fijación de unas líneas comunes de actuación por parte del Estado.</w:t>
      </w:r>
    </w:p>
    <w:p w14:paraId="544ECF64" w14:textId="77777777" w:rsidR="003754FE" w:rsidRDefault="003754FE" w:rsidP="003754FE">
      <w:pPr>
        <w:pStyle w:val="TextoNormal"/>
      </w:pPr>
    </w:p>
    <w:p w14:paraId="1FA1E94C" w14:textId="77777777" w:rsidR="003754FE" w:rsidRDefault="003754FE" w:rsidP="003754FE">
      <w:pPr>
        <w:pStyle w:val="TextoNormal"/>
      </w:pPr>
      <w:r>
        <w:t>Ya sea desde la perspectiva del apartado 1 o del 16 del art. 149.1 CE resulta evidente que el establecimiento por razones sanitarias de supuestos en los que cabría imponer fuertes restricciones o incluso la auténtica suspensión de derechos fundamentales tan nucleares como los previstos en los arts. 15, 17, 19, 18 y 21 CE, es una competencia exclusiva del Estado, que no puede abordarse desde una perspectiva puramente territorial.</w:t>
      </w:r>
    </w:p>
    <w:p w14:paraId="3E33F496" w14:textId="77777777" w:rsidR="003754FE" w:rsidRDefault="003754FE" w:rsidP="003754FE">
      <w:pPr>
        <w:pStyle w:val="TextoNormal"/>
      </w:pPr>
    </w:p>
    <w:p w14:paraId="70562914" w14:textId="77777777" w:rsidR="003754FE" w:rsidRDefault="003754FE" w:rsidP="003754FE">
      <w:pPr>
        <w:pStyle w:val="TextoNormal"/>
      </w:pPr>
      <w:r>
        <w:t>G</w:t>
      </w:r>
      <w:r w:rsidRPr="003754FE">
        <w:rPr>
          <w:i/>
        </w:rPr>
        <w:t>) Reproducción de normas estatales por leyes autonómic</w:t>
      </w:r>
      <w:r>
        <w:t>as</w:t>
      </w:r>
    </w:p>
    <w:p w14:paraId="34CDD746" w14:textId="77777777" w:rsidR="003754FE" w:rsidRDefault="003754FE" w:rsidP="003754FE">
      <w:pPr>
        <w:pStyle w:val="TextoNormal"/>
      </w:pPr>
    </w:p>
    <w:p w14:paraId="4ED11BA6" w14:textId="77777777" w:rsidR="003754FE" w:rsidRDefault="003754FE" w:rsidP="003754FE">
      <w:pPr>
        <w:pStyle w:val="TextoNormal"/>
      </w:pPr>
      <w:r>
        <w:t>Es constante la doctrina constitucional que considera que la reproducción o reiteración en leyes autonómicas de preceptos de normas estatales es una técnica legislativa deficiente y peligrosa, generadora de inseguridad jurídica y confusión normativa e inadecuada para el sistema de fuentes del Derecho establecido en la Constitución (cita la STC 341/2005, de 21 de diciembre, FJ 9, entre otras). Tras cotejar las medidas que recoge el precepto impugnado del Decreto-ley balear con el tenor de los preceptos orgánicos, concluye la demanda la inconstitucionalidad de la norma autonómica.</w:t>
      </w:r>
    </w:p>
    <w:p w14:paraId="78AE4B8D" w14:textId="77777777" w:rsidR="003754FE" w:rsidRDefault="003754FE" w:rsidP="003754FE">
      <w:pPr>
        <w:pStyle w:val="TextoNormal"/>
      </w:pPr>
    </w:p>
    <w:p w14:paraId="7D8DC2EE" w14:textId="44B2BEF8" w:rsidR="003754FE" w:rsidRDefault="003754FE" w:rsidP="003754FE">
      <w:pPr>
        <w:pStyle w:val="TextoNormal"/>
      </w:pPr>
      <w:r>
        <w:t xml:space="preserve">El recurso de inconstitucionalidad termina suplicando que se dicte sentencia por la que se declare la inconstitucionalidad y nulidad del art. 1.1 del Decreto-ley 5/2021, de 7 de mayo, del Gobierno de las Illes Balears, por la nueva redacción que da a los apartados 2 y 3 del nuevo art. 49 </w:t>
      </w:r>
      <w:r w:rsidRPr="003754FE">
        <w:rPr>
          <w:i/>
        </w:rPr>
        <w:t>bis</w:t>
      </w:r>
      <w:r>
        <w:t xml:space="preserve"> de la Ley 16/2010, de 28 de diciembre, de salud pública de las Illes Balears.</w:t>
      </w:r>
    </w:p>
    <w:p w14:paraId="108AB196" w14:textId="77777777" w:rsidR="003754FE" w:rsidRDefault="003754FE" w:rsidP="003754FE">
      <w:pPr>
        <w:pStyle w:val="TextoNormal"/>
      </w:pPr>
    </w:p>
    <w:p w14:paraId="2255B574" w14:textId="410BA48A" w:rsidR="003754FE" w:rsidRDefault="003754FE" w:rsidP="003754FE">
      <w:pPr>
        <w:pStyle w:val="TextoNormal"/>
      </w:pPr>
      <w:r w:rsidRPr="003754FE">
        <w:rPr>
          <w:rStyle w:val="NumeroAFNegritaCaracter"/>
        </w:rPr>
        <w:t>2</w:t>
      </w:r>
      <w:r>
        <w:t>. Por providencia de 7 de octubre de 2021 el Pleno del Tribunal Constitucional acordó admitir a trámite el recurso de inconstitucionalidad y dar traslado de la demanda y documentos presentados, conforme establece el art. 34 de la Ley Orgánica 2/1979, de 3 de octubre, del Tribunal Constitucional (LOTC), al Congreso de los Diputados y al Senado, por conducto de sus presidentes, y al Gobierno, través de la ministra de Justicia, así como al Parlamento y al Gobierno de las Illes Balears, por conducto de sus presidentes, al objeto de que, en el plazo de quince días, puedan personarse en el proceso y formular las alegaciones que estimaren convenientes. Asimismo, se acordó publicar la incoación del recurso en el “Boletín Oficial del Estado”.</w:t>
      </w:r>
    </w:p>
    <w:p w14:paraId="74B0A780" w14:textId="77777777" w:rsidR="003754FE" w:rsidRDefault="003754FE" w:rsidP="003754FE">
      <w:pPr>
        <w:pStyle w:val="TextoNormal"/>
      </w:pPr>
    </w:p>
    <w:p w14:paraId="5D37FC54" w14:textId="47D812E8" w:rsidR="003754FE" w:rsidRDefault="003754FE" w:rsidP="003754FE">
      <w:pPr>
        <w:pStyle w:val="TextoNormal"/>
      </w:pPr>
      <w:r w:rsidRPr="003754FE">
        <w:rPr>
          <w:rStyle w:val="NumeroAFNegritaCaracter"/>
        </w:rPr>
        <w:t>3</w:t>
      </w:r>
      <w:r>
        <w:t>. Por escrito presentado en este tribunal el 21 de octubre de 2021, la presidenta del Congreso de los Diputados comunicó el acuerdo de la mesa de la Cámara de personarse en el procedimiento, ofreciendo su colaboración a los efectos del art. 88.1 LOTC.</w:t>
      </w:r>
    </w:p>
    <w:p w14:paraId="6B686069" w14:textId="77777777" w:rsidR="003754FE" w:rsidRDefault="003754FE" w:rsidP="003754FE">
      <w:pPr>
        <w:pStyle w:val="TextoNormal"/>
      </w:pPr>
    </w:p>
    <w:p w14:paraId="3A2F2C22" w14:textId="3EBCF3F6" w:rsidR="003754FE" w:rsidRDefault="003754FE" w:rsidP="003754FE">
      <w:pPr>
        <w:pStyle w:val="TextoNormal"/>
      </w:pPr>
      <w:r w:rsidRPr="003754FE">
        <w:rPr>
          <w:rStyle w:val="NumeroAFNegritaCaracter"/>
        </w:rPr>
        <w:lastRenderedPageBreak/>
        <w:t>4</w:t>
      </w:r>
      <w:r>
        <w:t>. Mediante escrito registrado en este tribunal el 22 de octubre de 2021, el presidente del Senado comunicó el acuerdo de la mesa de la Cámara de personarse en el procedimiento, ofreciendo su colaboración a los efectos del art. 88.1 LOTC.</w:t>
      </w:r>
    </w:p>
    <w:p w14:paraId="6AC297ED" w14:textId="77777777" w:rsidR="003754FE" w:rsidRDefault="003754FE" w:rsidP="003754FE">
      <w:pPr>
        <w:pStyle w:val="TextoNormal"/>
      </w:pPr>
    </w:p>
    <w:p w14:paraId="516F02DB" w14:textId="2ACD67F2" w:rsidR="003754FE" w:rsidRDefault="003754FE" w:rsidP="003754FE">
      <w:pPr>
        <w:pStyle w:val="TextoNormal"/>
      </w:pPr>
      <w:r w:rsidRPr="003754FE">
        <w:rPr>
          <w:rStyle w:val="NumeroAFNegritaCaracter"/>
        </w:rPr>
        <w:t>5</w:t>
      </w:r>
      <w:r>
        <w:t>. El día 29 de octubre de 2021, el abogado del Estado se personó en el procedimiento, en la representación que legalmente ostenta del Gobierno de la Nación, solicitando la prórroga del plazo para formular alegaciones por ocho días más.</w:t>
      </w:r>
    </w:p>
    <w:p w14:paraId="5F69883E" w14:textId="77777777" w:rsidR="003754FE" w:rsidRDefault="003754FE" w:rsidP="003754FE">
      <w:pPr>
        <w:pStyle w:val="TextoNormal"/>
      </w:pPr>
    </w:p>
    <w:p w14:paraId="06ECBB85" w14:textId="42E29F54" w:rsidR="003754FE" w:rsidRDefault="003754FE" w:rsidP="003754FE">
      <w:pPr>
        <w:pStyle w:val="TextoNormal"/>
      </w:pPr>
      <w:r w:rsidRPr="003754FE">
        <w:rPr>
          <w:rStyle w:val="NumeroAFNegritaCaracter"/>
        </w:rPr>
        <w:t>6</w:t>
      </w:r>
      <w:r>
        <w:t>. Por diligencia de ordenación de 2 de noviembre de 2021, se tuvo por personado al abogado del Estado, en nombre del Gobierno, y se acordó prorrogar en ocho días el plazo concedido para formular alegaciones.</w:t>
      </w:r>
    </w:p>
    <w:p w14:paraId="2E6F5A0D" w14:textId="77777777" w:rsidR="003754FE" w:rsidRDefault="003754FE" w:rsidP="003754FE">
      <w:pPr>
        <w:pStyle w:val="TextoNormal"/>
      </w:pPr>
    </w:p>
    <w:p w14:paraId="0D506A4D" w14:textId="77777777" w:rsidR="003754FE" w:rsidRDefault="003754FE" w:rsidP="003754FE">
      <w:pPr>
        <w:pStyle w:val="TextoNormal"/>
      </w:pPr>
      <w:r w:rsidRPr="003754FE">
        <w:rPr>
          <w:rStyle w:val="NumeroAFNegritaCaracter"/>
        </w:rPr>
        <w:t>7</w:t>
      </w:r>
      <w:r>
        <w:t>. Por escrito presentado el 10 de noviembre de 2021, el presidente del Parlamento de las Illes Balears se personó en el procedimiento, en representación de la Cámara, y formuló alegaciones, solicitando la terminación del proceso de inconstitucionalidad por desaparición sobrevenida de su objeto.</w:t>
      </w:r>
    </w:p>
    <w:p w14:paraId="77702D24" w14:textId="77777777" w:rsidR="003754FE" w:rsidRDefault="003754FE" w:rsidP="003754FE">
      <w:pPr>
        <w:pStyle w:val="TextoNormal"/>
      </w:pPr>
    </w:p>
    <w:p w14:paraId="43E5B50C" w14:textId="77777777" w:rsidR="003754FE" w:rsidRDefault="003754FE" w:rsidP="003754FE">
      <w:pPr>
        <w:pStyle w:val="TextoNormal"/>
      </w:pPr>
      <w:r>
        <w:t>a) El escrito comienza afirmando que para enjuiciar la constitucionalidad del Decreto-ley 5/2021, de 7 de mayo, hay que tener en cuenta que el mismo se dicta en el contexto de la pandemia mundial de la covid-19. En concreto señala que la norma se aprobó en el momento justo de finalización del segundo estado de alarma aprobado por Real Decreto 926/2020, de 25 de octubre, que fue prorrogado por seis meses por el Real Decreto 956/2020, de 3 de noviembre, y cuya duración se extendía hasta el día 9 de mayo de 2021. En esta coyuntura, se optó por la figura del decreto-ley porque aseguraba que, justo después de la finalización del segundo estado de alarma, se dispusiera de una norma jurídica que amparara y diera cobertura legal a las acciones preventivas y de contención que se habían dictado bajo el segundo estado de alarma.</w:t>
      </w:r>
    </w:p>
    <w:p w14:paraId="0F2EC85F" w14:textId="77777777" w:rsidR="003754FE" w:rsidRDefault="003754FE" w:rsidP="003754FE">
      <w:pPr>
        <w:pStyle w:val="TextoNormal"/>
      </w:pPr>
    </w:p>
    <w:p w14:paraId="2FD42142" w14:textId="77777777" w:rsidR="003754FE" w:rsidRDefault="003754FE" w:rsidP="003754FE">
      <w:pPr>
        <w:pStyle w:val="TextoNormal"/>
      </w:pPr>
      <w:r>
        <w:t>En particular, hace referencia a la legislación sanitaria estatal (la Ley Orgánica 3/1986, de 14 de abril, de medidas especiales en materia de salud pública; los arts. 26 y 28 de la Ley 14/1986, de 25 de abril, general de sanidad, y el art. 54 de la Ley 33/2011, de 4 de octubre, general de salud pública), y añade que la previsión legal del art. 3 de la Ley Orgánica 3/1986 “genérica, amplísima y de carácter generalista necesitaba de una concreción por parte de las autoridades competentes para hacer frente de forma real y efectiva a los contagios masivos de la pandemia de la covid-19”.</w:t>
      </w:r>
    </w:p>
    <w:p w14:paraId="18DE12D4" w14:textId="77777777" w:rsidR="003754FE" w:rsidRDefault="003754FE" w:rsidP="003754FE">
      <w:pPr>
        <w:pStyle w:val="TextoNormal"/>
      </w:pPr>
    </w:p>
    <w:p w14:paraId="2F21539F" w14:textId="77777777" w:rsidR="003754FE" w:rsidRDefault="003754FE" w:rsidP="003754FE">
      <w:pPr>
        <w:pStyle w:val="TextoNormal"/>
      </w:pPr>
      <w:r>
        <w:t>Afirma también que hay que tener en cuenta que estamos ante un contexto sanitario excepcional, imprevisible y nuevo. En concreto, sostiene que “por primera vez en nuestra democracia”, el Tribunal Constitucional debe valorar la conjugación de lo que se entiende por desarrollo de los derechos fundamentales en juego (derecho a la integridad física, derecho a la intimidad personal, liberad de circulación y residencia y derecho de reunión) con el derecho a la protección de la salud (art. 43 CE), cuando la salud tiene una dimensión colectiva y también individual, por afectar al derecho a la vida (art. 15 CE). Este marco inédito, desconocido y excepcional de crisis sanitaria debería presidir cualquier decisión del Tribunal Constitucional.</w:t>
      </w:r>
    </w:p>
    <w:p w14:paraId="6E9F0BC2" w14:textId="77777777" w:rsidR="003754FE" w:rsidRDefault="003754FE" w:rsidP="003754FE">
      <w:pPr>
        <w:pStyle w:val="TextoNormal"/>
      </w:pPr>
    </w:p>
    <w:p w14:paraId="44B612B6" w14:textId="77777777" w:rsidR="003754FE" w:rsidRDefault="003754FE" w:rsidP="003754FE">
      <w:pPr>
        <w:pStyle w:val="TextoNormal"/>
      </w:pPr>
      <w:r>
        <w:lastRenderedPageBreak/>
        <w:t>b) Acto seguido se refiere a la tramitación parlamentaria. Señala que el Decreto-ley 5/2021 fue convalidado por el Parlamento de las Illes Baleares, conforme a lo previsto en los arts. 49 del Estatuto de Autonomía de las Illes Balears (EAIB), aprobado por la Ley Orgánica 1/2007, de 28 de febrero, y 157 del Reglamento de la Cámara, aprobado por el Pleno el 19 de marzo de 2019, recibiendo veintinueve votos a favor de la convalidación, dieciocho en contra y tres abstenciones, y que se acordó su tramitación como proyecto de ley por el procedimiento de urgencia con cincuenta y cuatro votos a favor, ningún voto en contra y ninguna abstención.</w:t>
      </w:r>
    </w:p>
    <w:p w14:paraId="3946B18E" w14:textId="77777777" w:rsidR="003754FE" w:rsidRDefault="003754FE" w:rsidP="003754FE">
      <w:pPr>
        <w:pStyle w:val="TextoNormal"/>
      </w:pPr>
    </w:p>
    <w:p w14:paraId="290D2C8A" w14:textId="77777777" w:rsidR="003754FE" w:rsidRDefault="003754FE" w:rsidP="003754FE">
      <w:pPr>
        <w:pStyle w:val="TextoNormal"/>
      </w:pPr>
      <w:r>
        <w:t>También destaca que, durante la tramitación parlamentaria, el proyecto de ley fue objeto de modificaciones. Expone que entre la convalidación del Decreto-ley 5/2021 y la aprobación del proyecto de ley se sucedieron una serie de decisiones relevantes. Hace referencia a la sentencia 719/2021, de 24 de mayo, de la Sala de lo Contencioso-Administrativo del Tribunal Supremo, sobre las restricciones de los vuelos entre las Islas Canarias (ECLI:ES:TS:2021:2178); a la sentencia 788/2021, de 3 de junio, de la Sala de lo Contencioso-Administrativo del Tribunal Supremo, sobre determinadas restricciones sanitarias adoptadas en las Illes Balears (ECLI:ES:TS:2021:2176), y al ATC 74/2021, de 20 de julio, que mantuvo parcialmente la suspensión en el recurso de inconstitucionalidad núm. 1975-2021, interpuesto por el presidente del Gobierno contra la Ley del Parlamento de Galicia 8/2021, de 25 de febrero.</w:t>
      </w:r>
    </w:p>
    <w:p w14:paraId="371E7193" w14:textId="77777777" w:rsidR="003754FE" w:rsidRDefault="003754FE" w:rsidP="003754FE">
      <w:pPr>
        <w:pStyle w:val="TextoNormal"/>
      </w:pPr>
    </w:p>
    <w:p w14:paraId="37E835BD" w14:textId="77777777" w:rsidR="003754FE" w:rsidRDefault="003754FE" w:rsidP="003754FE">
      <w:pPr>
        <w:pStyle w:val="TextoNormal"/>
      </w:pPr>
      <w:r>
        <w:t xml:space="preserve">En particular, hace alusión al acuerdo de la Comisión Bilateral de Cooperación Administración General del Estado-Comunidad Autónoma de Illes Balears, de 31 de agosto de 2021, en el que se dieron por resueltas las discrepancias existentes entre ambas administraciones en relación con el Decreto-ley 5/2021, accediendo el Gobierno autonómico a promover una iniciativa legislativa para dar una nueva redacción al art. 49 </w:t>
      </w:r>
      <w:r w:rsidRPr="003754FE">
        <w:rPr>
          <w:i/>
        </w:rPr>
        <w:t>bis</w:t>
      </w:r>
      <w:r>
        <w:t xml:space="preserve"> 3 e) de la Ley del Parlamento de las Illes Balears 16/2010. Esta nueva redacción se incorporó durante la tramitación del proyecto de ley por el procedimiento de urgencia.</w:t>
      </w:r>
    </w:p>
    <w:p w14:paraId="7579F462" w14:textId="77777777" w:rsidR="003754FE" w:rsidRDefault="003754FE" w:rsidP="003754FE">
      <w:pPr>
        <w:pStyle w:val="TextoNormal"/>
      </w:pPr>
    </w:p>
    <w:p w14:paraId="725635BE" w14:textId="77777777" w:rsidR="003754FE" w:rsidRDefault="003754FE" w:rsidP="003754FE">
      <w:pPr>
        <w:pStyle w:val="TextoNormal"/>
      </w:pPr>
      <w:r>
        <w:t xml:space="preserve">Finalmente, se aprobó la Ley del Parlamento de las Illes Balears 2/2021, de 8 de noviembre, por la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 en la que se introdujo la nueva redacción del art. 49 </w:t>
      </w:r>
      <w:r w:rsidRPr="003754FE">
        <w:rPr>
          <w:i/>
        </w:rPr>
        <w:t>bis</w:t>
      </w:r>
      <w:r>
        <w:t>.3 e) de la Ley 16/2010, tal y como se había acordado, y cuya disposición derogatoria única estableció: “Se derogan todas las normas de rango igual o inferior a esta ley que la contradigan o se opongan a ella y, concretamente, el Decreto-ley 5/2021, de 7 de mayo, por el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w:t>
      </w:r>
    </w:p>
    <w:p w14:paraId="1435741E" w14:textId="77777777" w:rsidR="003754FE" w:rsidRDefault="003754FE" w:rsidP="003754FE">
      <w:pPr>
        <w:pStyle w:val="TextoNormal"/>
      </w:pPr>
    </w:p>
    <w:p w14:paraId="6EF0DCE9" w14:textId="77777777" w:rsidR="003754FE" w:rsidRDefault="003754FE" w:rsidP="003754FE">
      <w:pPr>
        <w:pStyle w:val="TextoNormal"/>
      </w:pPr>
      <w:r>
        <w:t>c) Al hilo de esto último, se indica que la derogación expresa del Decreto-ley 5/2021 comporta la extinción del recurso de inconstitucionalidad por pérdida sobrevenida de objeto. En este sentido, cita la doctrina constitucional sobre esta causa de terminación excepcional de los procesos constitucionales en relación con los recursos de inconstitucionalidad interpuestos contra decretos-leyes (SSTC 216/2012, de 14 de noviembre, FJ 2, y 96/2014, de 12 de junio, FJ 2, y AATC 171/2015, de 20 de octubre, y 121/2016, de 7 de junio).</w:t>
      </w:r>
    </w:p>
    <w:p w14:paraId="2858E5E9" w14:textId="77777777" w:rsidR="003754FE" w:rsidRDefault="003754FE" w:rsidP="003754FE">
      <w:pPr>
        <w:pStyle w:val="TextoNormal"/>
      </w:pPr>
    </w:p>
    <w:p w14:paraId="670FE9AC" w14:textId="77777777" w:rsidR="003754FE" w:rsidRDefault="003754FE" w:rsidP="003754FE">
      <w:pPr>
        <w:pStyle w:val="TextoNormal"/>
      </w:pPr>
      <w:r>
        <w:t>A la luz de esta jurisprudencia constitucional, señala que el recurso de inconstitucionalidad no plantea una controversia de naturaleza competencial, sino que lo que plantea es si el decreto-ley constituye un instrumento jurídico adecuado para regular las medidas de contención de la pandemia en cuanto que incidan sobre derechos fundamentales. Por lo tanto, se opone a la pervivencia del objeto del recurso de inconstitucionalidad en relación con la concurrencia de “una cuestión competencial subyacente”.</w:t>
      </w:r>
    </w:p>
    <w:p w14:paraId="3B1E50DE" w14:textId="77777777" w:rsidR="003754FE" w:rsidRDefault="003754FE" w:rsidP="003754FE">
      <w:pPr>
        <w:pStyle w:val="TextoNormal"/>
      </w:pPr>
    </w:p>
    <w:p w14:paraId="7C825AA5" w14:textId="77777777" w:rsidR="003754FE" w:rsidRDefault="003754FE" w:rsidP="003754FE">
      <w:pPr>
        <w:pStyle w:val="TextoNormal"/>
      </w:pPr>
      <w:r>
        <w:t>En todo caso, acerca de dicha cuestión competencial, afirma que la Comunidad Autónoma de las Illes Balears ostenta competencia exclusiva sobre sanidad interior (art. 30.48 EAIB) y que cuenta con habilitación legislativa estatal en materia sanitaria recogida en el art. 3 de la Ley Orgánica 3/1986, los arts. 26 y 28 de la Ley 14/1986 y el art. 54 de la Ley 33/2011.</w:t>
      </w:r>
    </w:p>
    <w:p w14:paraId="34870C20" w14:textId="77777777" w:rsidR="003754FE" w:rsidRDefault="003754FE" w:rsidP="003754FE">
      <w:pPr>
        <w:pStyle w:val="TextoNormal"/>
      </w:pPr>
    </w:p>
    <w:p w14:paraId="5F44D403" w14:textId="77777777" w:rsidR="003754FE" w:rsidRDefault="003754FE" w:rsidP="003754FE">
      <w:pPr>
        <w:pStyle w:val="TextoNormal"/>
      </w:pPr>
      <w:r>
        <w:t>Sostiene también que tanto el dictamen del Consejo de Estado 213/2021 como las SSTS 719/2021, de 24 de mayo, y 788/2021, de 3 de junio, dan a entender que las comunidades autónomas pueden legislar sobre los extremos que se impugnan, en el sentido de que ostentan competencia plena para su regulación.</w:t>
      </w:r>
    </w:p>
    <w:p w14:paraId="31E42BBF" w14:textId="77777777" w:rsidR="003754FE" w:rsidRDefault="003754FE" w:rsidP="003754FE">
      <w:pPr>
        <w:pStyle w:val="TextoNormal"/>
      </w:pPr>
    </w:p>
    <w:p w14:paraId="70516703" w14:textId="196F0B7E" w:rsidR="003754FE" w:rsidRDefault="003754FE" w:rsidP="003754FE">
      <w:pPr>
        <w:pStyle w:val="TextoNormal"/>
      </w:pPr>
      <w:r>
        <w:t>Por ello, concluye afirmando que procede la aplicación de la doctrina general del Tribunal Constitucional sobre la terminación del proceso por pérdida sobrevenida de objeto, sin que concurra la circunstancia excepcional de la cuestión competencial.</w:t>
      </w:r>
    </w:p>
    <w:p w14:paraId="4D751300" w14:textId="77777777" w:rsidR="003754FE" w:rsidRDefault="003754FE" w:rsidP="003754FE">
      <w:pPr>
        <w:pStyle w:val="TextoNormal"/>
      </w:pPr>
    </w:p>
    <w:p w14:paraId="471E3B3C" w14:textId="77777777" w:rsidR="003754FE" w:rsidRDefault="003754FE" w:rsidP="003754FE">
      <w:pPr>
        <w:pStyle w:val="TextoNormal"/>
      </w:pPr>
      <w:r w:rsidRPr="003754FE">
        <w:rPr>
          <w:rStyle w:val="NumeroAFNegritaCaracter"/>
        </w:rPr>
        <w:t>8</w:t>
      </w:r>
      <w:r>
        <w:t>. Mediante escrito registrado el 11 de noviembre de 2021, el abogado de la Comunidad Autónoma de las Illes Balears se personó en el procedimiento, en la representación que legalmente ostenta del Gobierno de las Illes Balears, y formuló alegaciones, interesando la extinción del recurso de inconstitucionalidad por pérdida sobrevenida de objeto o, subsidiariamente, su desestimación.</w:t>
      </w:r>
    </w:p>
    <w:p w14:paraId="5FCD8FEB" w14:textId="77777777" w:rsidR="003754FE" w:rsidRDefault="003754FE" w:rsidP="003754FE">
      <w:pPr>
        <w:pStyle w:val="TextoNormal"/>
      </w:pPr>
    </w:p>
    <w:p w14:paraId="77B6F918" w14:textId="77777777" w:rsidR="003754FE" w:rsidRDefault="003754FE" w:rsidP="003754FE">
      <w:pPr>
        <w:pStyle w:val="TextoNormal"/>
      </w:pPr>
      <w:r>
        <w:t>A) En primer lugar, se solicita la terminación del proceso por carencia sobrevenida de objeto. En este sentido se alega que en virtud de la disposición derogatoria única de la Ley del Parlamento de las Illes Balears 2/2021, 8 de noviembre, se ha producido la definitiva derogación expresa del completo contenido del Decreto-ley 5/2021, de 7 de mayo, quedando eliminado del mundo jurídico. Esta circunstancia determina la pérdida de objeto del recurso de inconstitucionalidad.</w:t>
      </w:r>
    </w:p>
    <w:p w14:paraId="40ADBAD8" w14:textId="77777777" w:rsidR="003754FE" w:rsidRDefault="003754FE" w:rsidP="003754FE">
      <w:pPr>
        <w:pStyle w:val="TextoNormal"/>
      </w:pPr>
    </w:p>
    <w:p w14:paraId="0E84E326" w14:textId="77777777" w:rsidR="003754FE" w:rsidRDefault="003754FE" w:rsidP="003754FE">
      <w:pPr>
        <w:pStyle w:val="TextoNormal"/>
      </w:pPr>
      <w:r>
        <w:t>Cita jurisprudencia constitucional sobre esta causa de extinción del proceso tanto en general (SSTC 150/1990, de 4 de octubre; 182/1992, de 16 de noviembre, y 136/2011, de 13 de septiembre) como en referencia a los supuestos de recursos de inconstitucionalidad interpuestos contra decretos-leyes. Respecto de estos últimos, con cita de la STC 68/2007, de 28 de marzo, explica que el análisis que ha de hacerse se debe limitar a la licitud o ilicitud constitucional del uso del decreto-ley, sin extenderse sobre los demás motivos de inconstitucionalidad material alegados por los recurrentes.</w:t>
      </w:r>
    </w:p>
    <w:p w14:paraId="090AFAD8" w14:textId="77777777" w:rsidR="003754FE" w:rsidRDefault="003754FE" w:rsidP="003754FE">
      <w:pPr>
        <w:pStyle w:val="TextoNormal"/>
      </w:pPr>
    </w:p>
    <w:p w14:paraId="4E66586A" w14:textId="77777777" w:rsidR="003754FE" w:rsidRDefault="003754FE" w:rsidP="003754FE">
      <w:pPr>
        <w:pStyle w:val="TextoNormal"/>
      </w:pPr>
      <w:r>
        <w:t xml:space="preserve">En este sentido, el abogado de la Comunidad Autónoma de las Illes Balears razona que, dado que el recurso de inconstitucionalidad no cuestiona la concurrencia del presupuesto habilitante de la situación de extraordinaria y urgente necesidad ni tampoco la conexión de sentido entre dicha situación excepcional y las medidas adoptadas, procede declarar la </w:t>
      </w:r>
      <w:r>
        <w:lastRenderedPageBreak/>
        <w:t>pérdida de objeto del procedimiento. Añade también que tras la derogación no existe ninguna posibilidad de ultraactividad de la regulación derogada.</w:t>
      </w:r>
    </w:p>
    <w:p w14:paraId="7DCE2B9D" w14:textId="77777777" w:rsidR="003754FE" w:rsidRDefault="003754FE" w:rsidP="003754FE">
      <w:pPr>
        <w:pStyle w:val="TextoNormal"/>
      </w:pPr>
    </w:p>
    <w:p w14:paraId="0F771046" w14:textId="77777777" w:rsidR="003754FE" w:rsidRDefault="003754FE" w:rsidP="003754FE">
      <w:pPr>
        <w:pStyle w:val="TextoNormal"/>
      </w:pPr>
      <w:r>
        <w:t>En consecuencia, no concurre ninguna circunstancia que impida la aplicación al caso de la regla general que conduce a declarar la terminación del proceso constitucional por desaparición sobrevenida de su objeto (SSTC 214/2014, de 18 de diciembre; 237/2015, de 19 de noviembre, y 270/2015, de 17 de diciembre), pues carece de sentido, tratándose de un recurso de inconstitucionalidad, pronunciarse sobre normas que el mismo legislador ha expulsado ya del ordenamiento sin ultraactividad.</w:t>
      </w:r>
    </w:p>
    <w:p w14:paraId="5D444A41" w14:textId="77777777" w:rsidR="003754FE" w:rsidRDefault="003754FE" w:rsidP="003754FE">
      <w:pPr>
        <w:pStyle w:val="TextoNormal"/>
      </w:pPr>
    </w:p>
    <w:p w14:paraId="7855C6B9" w14:textId="77777777" w:rsidR="003754FE" w:rsidRDefault="003754FE" w:rsidP="003754FE">
      <w:pPr>
        <w:pStyle w:val="TextoNormal"/>
      </w:pPr>
      <w:r>
        <w:t>B) Acto seguido, se expone el contexto en el que se aprobó el Decreto-ley 5/2021, objeto de impugnación. El escrito incide en que la inminente llegada del fin del estado de alarma aconsejaba tener una regulación en la legislación autonómica sobre las medidas de intervención administrativa de mayor concreción que la existente hasta el momento. Se perseguía contar con la previsibilidad normativa suficiente para que, en el marco de la Ley 16/2010, de 28 de diciembre, de salud pública de las Illes Balears, se pudiera dar respuesta adecuada a la situación epidemiológica o asistencial originada por el virus del SARS-CoV-2 cuando fuera imprescindible.</w:t>
      </w:r>
    </w:p>
    <w:p w14:paraId="0D7C91F7" w14:textId="77777777" w:rsidR="003754FE" w:rsidRDefault="003754FE" w:rsidP="003754FE">
      <w:pPr>
        <w:pStyle w:val="TextoNormal"/>
      </w:pPr>
    </w:p>
    <w:p w14:paraId="1BDB2366" w14:textId="77777777" w:rsidR="003754FE" w:rsidRDefault="003754FE" w:rsidP="003754FE">
      <w:pPr>
        <w:pStyle w:val="TextoNormal"/>
      </w:pPr>
      <w:r>
        <w:t>C) Tras citar el precepto recurrido y enumerar los motivos de impugnación alegados en el recurso de inconstitucionalidad, plantea su oposición al mismo sobre la base de las siguientes consideraciones.</w:t>
      </w:r>
    </w:p>
    <w:p w14:paraId="6505C71F" w14:textId="77777777" w:rsidR="003754FE" w:rsidRDefault="003754FE" w:rsidP="003754FE">
      <w:pPr>
        <w:pStyle w:val="TextoNormal"/>
      </w:pPr>
    </w:p>
    <w:p w14:paraId="1162030D" w14:textId="77777777" w:rsidR="003754FE" w:rsidRDefault="003754FE" w:rsidP="003754FE">
      <w:pPr>
        <w:pStyle w:val="TextoNormal"/>
      </w:pPr>
      <w:r>
        <w:t>a) En primer lugar, se parte de que la crisis sanitaria ocasionada por el virus SARS-CoV-2 y la enfermedad provocada por el mismo (la covid-19) constituyen una emergencia de salud pública a nivel mundial. Por esta razón se afirma que el enjuiciamiento constitucional ha de hacerse partiendo del principio de precaución (ATC 40/2020, de 30 de abril) al examinar las medidas sanitarias adoptadas en este contexto.</w:t>
      </w:r>
    </w:p>
    <w:p w14:paraId="5DA30343" w14:textId="77777777" w:rsidR="003754FE" w:rsidRDefault="003754FE" w:rsidP="003754FE">
      <w:pPr>
        <w:pStyle w:val="TextoNormal"/>
      </w:pPr>
    </w:p>
    <w:p w14:paraId="4687A233" w14:textId="77777777" w:rsidR="003754FE" w:rsidRDefault="003754FE" w:rsidP="003754FE">
      <w:pPr>
        <w:pStyle w:val="TextoNormal"/>
      </w:pPr>
      <w:r>
        <w:t xml:space="preserve">b) En conexión con el principio de precaución, trae a colación la máxima </w:t>
      </w:r>
      <w:r w:rsidRPr="003754FE">
        <w:rPr>
          <w:i/>
        </w:rPr>
        <w:t>salus populi suprema lex esto</w:t>
      </w:r>
      <w:r>
        <w:t>. A su juicio, este principio del derecho público romano adquiere plena virtualidad en el ámbito de una crisis sanitaria, al objeto de evitar las graves consecuencias que se han venido padeciendo (muertes, hospitalizaciones masivas, colapso sanitario, etc.) en una situación de evidente e innegable peligro para la vida y la salud pública que han puesto en peligro la vida, la salud pública y el bienestar de la comunidad en términos de bien común. En consecuencia, ese ha de ser el interés que ha de prevalecer y esa máxima ha de presidir la resolución del presente recurso de inconstitucionalidad.</w:t>
      </w:r>
    </w:p>
    <w:p w14:paraId="5AB27E57" w14:textId="77777777" w:rsidR="003754FE" w:rsidRDefault="003754FE" w:rsidP="003754FE">
      <w:pPr>
        <w:pStyle w:val="TextoNormal"/>
      </w:pPr>
    </w:p>
    <w:p w14:paraId="3352E4F9" w14:textId="77777777" w:rsidR="003754FE" w:rsidRDefault="003754FE" w:rsidP="003754FE">
      <w:pPr>
        <w:pStyle w:val="TextoNormal"/>
      </w:pPr>
      <w:r>
        <w:t>c) A continuación se refiere a los límites materiales de los decretos-leyes, exponiendo que la noción de “afectación” debe considerarse con el alcance restrictivo que le atribuye la jurisprudencia constitucional (SSTC 111/1983, de 2 de diciembre, FJ 8, y 134/2021, de 24 de junio, FJ 4). De manera que se infiere que las medidas de urgencia que se incardinan en el decreto-ley impugnado no alteran el régimen general ni los elementos esenciales de los derechos, deberes y libertades del título I de la Constitución Española y, por lo tanto, a la hora de examinar si se han podido rebasar o no esos límites constitucionales, habrá de tenerse en cuenta cuál es la naturaleza y verdadero alcance de la regulación a examinar y sus condiciones de aplicación y efectividad.</w:t>
      </w:r>
    </w:p>
    <w:p w14:paraId="0A01CF42" w14:textId="77777777" w:rsidR="003754FE" w:rsidRDefault="003754FE" w:rsidP="003754FE">
      <w:pPr>
        <w:pStyle w:val="TextoNormal"/>
      </w:pPr>
    </w:p>
    <w:p w14:paraId="5668BC10" w14:textId="77777777" w:rsidR="003754FE" w:rsidRDefault="003754FE" w:rsidP="003754FE">
      <w:pPr>
        <w:pStyle w:val="TextoNormal"/>
      </w:pPr>
      <w:r>
        <w:lastRenderedPageBreak/>
        <w:t xml:space="preserve">Así, afirma que las medidas sanitarias contenidas en los apartados 2 y 3 del art. 49 </w:t>
      </w:r>
      <w:r w:rsidRPr="003754FE">
        <w:rPr>
          <w:i/>
        </w:rPr>
        <w:t>bis</w:t>
      </w:r>
      <w:r>
        <w:t xml:space="preserve"> de la Ley del Parlamento de las Illes Balears 16/2010 se asientan sobre los siguientes fundamentos:</w:t>
      </w:r>
    </w:p>
    <w:p w14:paraId="23BAC434" w14:textId="77777777" w:rsidR="003754FE" w:rsidRDefault="003754FE" w:rsidP="003754FE">
      <w:pPr>
        <w:pStyle w:val="TextoNormal"/>
      </w:pPr>
    </w:p>
    <w:p w14:paraId="57D390C3" w14:textId="77777777" w:rsidR="003754FE" w:rsidRDefault="003754FE" w:rsidP="003754FE">
      <w:pPr>
        <w:pStyle w:val="TextoNormal"/>
      </w:pPr>
      <w:r>
        <w:t>(i) En el ordenamiento jurídico español las epidemias pueden abordarse tanto con la declaración del estado de alarma decretado por el Gobierno del Estado (art. 116 CE y Ley Orgánica 4/1981, de 1 de junio, de los estados de alarma, excepción y sitio) como mediante las potestades ordinarias atribuidas a las autoridades sanitarias competentes (Ley Orgánica 3/1986, de 14 de abril, de medidas especiales en materia de salud pública, Ley 14/1986, de 25 de abril, general de sanidad, Ley 33/2011, de 4 de octubre, general de salud pública, y las leyes autonómicas que resulten de aplicación al ámbito territorial concernido).</w:t>
      </w:r>
    </w:p>
    <w:p w14:paraId="50E323B9" w14:textId="77777777" w:rsidR="003754FE" w:rsidRDefault="003754FE" w:rsidP="003754FE">
      <w:pPr>
        <w:pStyle w:val="TextoNormal"/>
      </w:pPr>
    </w:p>
    <w:p w14:paraId="347E8C3E" w14:textId="77777777" w:rsidR="003754FE" w:rsidRDefault="003754FE" w:rsidP="003754FE">
      <w:pPr>
        <w:pStyle w:val="TextoNormal"/>
      </w:pPr>
      <w:r>
        <w:t>(ii) La declaración del estado de alarma no impide que las autoridades sanitarias de cada administración con competencias puedan acordar, al amparo de la legislación sanitaria, otras medidas distintas de las acordadas por el Gobierno en dicha declaración. Avala esta tesis el art. 12 de la Ley Orgánica 4/1981.</w:t>
      </w:r>
    </w:p>
    <w:p w14:paraId="5352ABAC" w14:textId="77777777" w:rsidR="003754FE" w:rsidRDefault="003754FE" w:rsidP="003754FE">
      <w:pPr>
        <w:pStyle w:val="TextoNormal"/>
      </w:pPr>
    </w:p>
    <w:p w14:paraId="619F41B2" w14:textId="77777777" w:rsidR="003754FE" w:rsidRDefault="003754FE" w:rsidP="003754FE">
      <w:pPr>
        <w:pStyle w:val="TextoNormal"/>
      </w:pPr>
      <w:r>
        <w:t>(iii) Al amparo de la legislación sanitaria, las autoridades sanitarias autonómicas han ido acordando medidas de prevención y control de la pandemia, que pueden implicar limitaciones de derechos fundamentales y que vienen motivadas por la protección de los derechos a la vida y la integridad física y a la protección de la salud (arts. 15 y 43 CE).</w:t>
      </w:r>
    </w:p>
    <w:p w14:paraId="0FBFCE05" w14:textId="77777777" w:rsidR="003754FE" w:rsidRDefault="003754FE" w:rsidP="003754FE">
      <w:pPr>
        <w:pStyle w:val="TextoNormal"/>
      </w:pPr>
    </w:p>
    <w:p w14:paraId="78E7264A" w14:textId="77777777" w:rsidR="003754FE" w:rsidRDefault="003754FE" w:rsidP="003754FE">
      <w:pPr>
        <w:pStyle w:val="TextoNormal"/>
      </w:pPr>
      <w:r>
        <w:t>(iv) Se trata de medidas que no son privativas de derechos fundamentales, ni los suprimen, ni niegan su existencia, ni modifican su contenido, sino que modifican durante un tiempo determinado y en unas circunstancias algunas condiciones de su ejercicio, de manera proporcionada y adecuada al fin buscado.</w:t>
      </w:r>
    </w:p>
    <w:p w14:paraId="75D66286" w14:textId="77777777" w:rsidR="003754FE" w:rsidRDefault="003754FE" w:rsidP="003754FE">
      <w:pPr>
        <w:pStyle w:val="TextoNormal"/>
      </w:pPr>
    </w:p>
    <w:p w14:paraId="6E25BC5C" w14:textId="77777777" w:rsidR="003754FE" w:rsidRDefault="003754FE" w:rsidP="003754FE">
      <w:pPr>
        <w:pStyle w:val="TextoNormal"/>
      </w:pPr>
      <w:r>
        <w:t>(v) El presupuesto legal habilitante es el art. 3 de la Ley Orgánica 3/1986, que permite adoptar medidas tanto respecto de enfermos o individuos concretos, como de alcance general. Además, dado que resulta prácticamente imposible conocer de antemano cuál será la situación excepcional que acaezca y predeterminar los medios necesarios para enfrentarla, es razonable que el legislador haya conferido una habilitación genérica y unos amplios poderes de actuación a la administración, con un también amplio margen de apreciación. Esta falta de concreción legal ha de ser suplida por la explícita motivación de las resoluciones que se adopten, de forma que se justifique su proporcionalidad y adecuación a los hechos.</w:t>
      </w:r>
    </w:p>
    <w:p w14:paraId="056AF79C" w14:textId="77777777" w:rsidR="003754FE" w:rsidRDefault="003754FE" w:rsidP="003754FE">
      <w:pPr>
        <w:pStyle w:val="TextoNormal"/>
      </w:pPr>
    </w:p>
    <w:p w14:paraId="4DF11BA3" w14:textId="77777777" w:rsidR="003754FE" w:rsidRDefault="003754FE" w:rsidP="003754FE">
      <w:pPr>
        <w:pStyle w:val="TextoNormal"/>
      </w:pPr>
      <w:r>
        <w:t xml:space="preserve">(vi) Por otra parte, hace referencia a la necesidad de autorización o ratificación judicial de las medidas, como una garantía derivada del art. 117.4 CE. De donde concluye que las medidas incluidas en los apartados 2 y 3 del art. 49 </w:t>
      </w:r>
      <w:r w:rsidRPr="003754FE">
        <w:rPr>
          <w:i/>
        </w:rPr>
        <w:t>bis</w:t>
      </w:r>
      <w:r>
        <w:t xml:space="preserve"> de la Ley 16/2010, en la redacción dada por el art. 1.1 del Decreto-ley 5/2021, de 7 de marzo, no contienen </w:t>
      </w:r>
      <w:r w:rsidRPr="003754FE">
        <w:rPr>
          <w:i/>
        </w:rPr>
        <w:t>per se</w:t>
      </w:r>
      <w:r>
        <w:t xml:space="preserve"> limitaciones esenciales al ejercicio de los derechos fundamentales pues estas medidas “carecerían […] de toda efectividad […] si no fueran autorizadas por resolución judicial dictada al efecto […] sin olvidar, en ningún momento, que la finalidad de esas medidas sanitarias positivadas y concretadas para su inclusión en una norma de rango legal que las sistematizara y regulara el procedimiento para su adopción, no es la de afectar al ejercicio de los derechos fundamentales sino, precisamente, salvaguardar bienes o valores constitucionales con el fin de hacer frente a una pandemia”.</w:t>
      </w:r>
    </w:p>
    <w:p w14:paraId="57331656" w14:textId="77777777" w:rsidR="003754FE" w:rsidRDefault="003754FE" w:rsidP="003754FE">
      <w:pPr>
        <w:pStyle w:val="TextoNormal"/>
      </w:pPr>
    </w:p>
    <w:p w14:paraId="44376752" w14:textId="5F5BB495" w:rsidR="003754FE" w:rsidRDefault="003754FE" w:rsidP="003754FE">
      <w:pPr>
        <w:pStyle w:val="TextoNormal"/>
      </w:pPr>
      <w:r>
        <w:lastRenderedPageBreak/>
        <w:t>Por lo tanto, atendida la imposibilidad de afectación directa de derechos fundamentales por causa de la regulación de medidas sanitarias que se deriva del Decreto-ley 5/2021, de 7 de mayo, ningún obstáculo existe para que puedan adoptarse mediante Decreto-ley.</w:t>
      </w:r>
    </w:p>
    <w:p w14:paraId="101B36CB" w14:textId="77777777" w:rsidR="003754FE" w:rsidRDefault="003754FE" w:rsidP="003754FE">
      <w:pPr>
        <w:pStyle w:val="TextoNormal"/>
      </w:pPr>
    </w:p>
    <w:p w14:paraId="66E861A0" w14:textId="2EFD6B77" w:rsidR="003754FE" w:rsidRDefault="003754FE" w:rsidP="003754FE">
      <w:pPr>
        <w:pStyle w:val="TextoNormal"/>
      </w:pPr>
      <w:r w:rsidRPr="003754FE">
        <w:rPr>
          <w:rStyle w:val="NumeroAFNegritaCaracter"/>
        </w:rPr>
        <w:t>9</w:t>
      </w:r>
      <w:r>
        <w:t>. Por escrito presentado el 12 de noviembre de 2021, el abogado del Estado comunicó su intención de no formular alegaciones y que su personación lo era exclusivamente a los efectos de que en su día se le notificasen las resoluciones que se dictaran en el procedimiento.</w:t>
      </w:r>
    </w:p>
    <w:p w14:paraId="5463A301" w14:textId="77777777" w:rsidR="003754FE" w:rsidRDefault="003754FE" w:rsidP="003754FE">
      <w:pPr>
        <w:pStyle w:val="TextoNormal"/>
      </w:pPr>
    </w:p>
    <w:p w14:paraId="4D0EC42A" w14:textId="4A88544D" w:rsidR="003754FE" w:rsidRDefault="003754FE" w:rsidP="003754FE">
      <w:pPr>
        <w:pStyle w:val="TextoNormal"/>
      </w:pPr>
      <w:r w:rsidRPr="003754FE">
        <w:rPr>
          <w:rStyle w:val="NumeroAFNegritaCaracter"/>
        </w:rPr>
        <w:t>10</w:t>
      </w:r>
      <w:r>
        <w:t>. Por diligencia del secretario de justicia del Pleno de 15 de noviembre de 2021, se declaró el proceso concluso y pendiente para deliberación y votación de la sentencia, sin perjuicio de lo dispuesto en el art. 84 LOTC.</w:t>
      </w:r>
    </w:p>
    <w:p w14:paraId="69B67D80" w14:textId="77777777" w:rsidR="003754FE" w:rsidRDefault="003754FE" w:rsidP="003754FE">
      <w:pPr>
        <w:pStyle w:val="TextoNormal"/>
      </w:pPr>
    </w:p>
    <w:p w14:paraId="34EB235D" w14:textId="3BB87D07" w:rsidR="003754FE" w:rsidRDefault="003754FE" w:rsidP="003754FE">
      <w:pPr>
        <w:pStyle w:val="TextoNormal"/>
      </w:pPr>
      <w:r w:rsidRPr="003754FE">
        <w:rPr>
          <w:rStyle w:val="NumeroAFNegritaCaracter"/>
        </w:rPr>
        <w:t>11</w:t>
      </w:r>
      <w:r>
        <w:t>. Mediante providencia de 19 de noviembre de 2024, se señaló ese mismo día para deliberación y votación de la presente sentencia.</w:t>
      </w:r>
    </w:p>
    <w:p w14:paraId="5AD3CFBF" w14:textId="77777777" w:rsidR="003754FE" w:rsidRDefault="003754FE" w:rsidP="003754FE">
      <w:pPr>
        <w:pStyle w:val="TextoNormal"/>
      </w:pPr>
    </w:p>
    <w:p w14:paraId="28959075" w14:textId="77777777" w:rsidR="003754FE" w:rsidRDefault="003754FE" w:rsidP="003754FE">
      <w:pPr>
        <w:pStyle w:val="TextoNormalNegritaCentrado"/>
        <w:keepNext/>
      </w:pPr>
      <w:r>
        <w:t>II. Fundamentos jurídicos</w:t>
      </w:r>
    </w:p>
    <w:p w14:paraId="438D4F9C" w14:textId="1F33FD9F" w:rsidR="003754FE" w:rsidRDefault="003754FE" w:rsidP="003754FE">
      <w:pPr>
        <w:pStyle w:val="TextoNormalNegritaCentrado"/>
        <w:keepNext/>
      </w:pPr>
    </w:p>
    <w:p w14:paraId="3628509F" w14:textId="77777777" w:rsidR="003754FE" w:rsidRDefault="003754FE" w:rsidP="003754FE">
      <w:pPr>
        <w:pStyle w:val="TextoNormal"/>
      </w:pPr>
      <w:r w:rsidRPr="003754FE">
        <w:rPr>
          <w:rStyle w:val="NumeroAFNegritaCaracter"/>
        </w:rPr>
        <w:t>1</w:t>
      </w:r>
      <w:r>
        <w:t xml:space="preserve">. </w:t>
      </w:r>
      <w:r w:rsidRPr="003754FE">
        <w:rPr>
          <w:i/>
        </w:rPr>
        <w:t>Objeto del recurso y posiciones de las partes</w:t>
      </w:r>
    </w:p>
    <w:p w14:paraId="5EF8CFDA" w14:textId="77777777" w:rsidR="003754FE" w:rsidRDefault="003754FE" w:rsidP="003754FE">
      <w:pPr>
        <w:pStyle w:val="TextoNormal"/>
      </w:pPr>
    </w:p>
    <w:p w14:paraId="5AA68467" w14:textId="77777777" w:rsidR="003754FE" w:rsidRDefault="003754FE" w:rsidP="003754FE">
      <w:pPr>
        <w:pStyle w:val="TextoNormal"/>
      </w:pPr>
      <w:r>
        <w:t xml:space="preserve">El presente recurso de inconstitucionalidad núm. 5403-2021, interpuesto por más de cincuenta diputados del Grupo Parlamentario Vox en el Congreso de los Diputados, tiene por objeto el art. 1.1 del Decreto-ley del Gobierno de las Illes Balears 5/2021, de 7 de mayo, por el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 en relación con la redacción que da a los apartados 2 y 3 del nuevo art. 49 </w:t>
      </w:r>
      <w:r w:rsidRPr="003754FE">
        <w:rPr>
          <w:i/>
        </w:rPr>
        <w:t>bis</w:t>
      </w:r>
      <w:r>
        <w:t xml:space="preserve"> de la Ley 16/2010, de 28 de diciembre, de salud pública de las Illes Balears.</w:t>
      </w:r>
    </w:p>
    <w:p w14:paraId="43EE2A67" w14:textId="77777777" w:rsidR="003754FE" w:rsidRDefault="003754FE" w:rsidP="003754FE">
      <w:pPr>
        <w:pStyle w:val="TextoNormal"/>
      </w:pPr>
    </w:p>
    <w:p w14:paraId="25D88FCF" w14:textId="77777777" w:rsidR="003754FE" w:rsidRDefault="003754FE" w:rsidP="003754FE">
      <w:pPr>
        <w:pStyle w:val="TextoNormal"/>
      </w:pPr>
      <w:r>
        <w:t xml:space="preserve">Los apartados 2 y 3 del art. 49 </w:t>
      </w:r>
      <w:r w:rsidRPr="003754FE">
        <w:rPr>
          <w:i/>
        </w:rPr>
        <w:t>bis</w:t>
      </w:r>
      <w:r>
        <w:t xml:space="preserve"> de la Ley 16/2010, en la redacción impugnada, dada por el Decreto-ley 5/2021, establecían:</w:t>
      </w:r>
    </w:p>
    <w:p w14:paraId="4418B94F" w14:textId="77777777" w:rsidR="003754FE" w:rsidRDefault="003754FE" w:rsidP="003754FE">
      <w:pPr>
        <w:pStyle w:val="TextoNormal"/>
      </w:pPr>
    </w:p>
    <w:p w14:paraId="0CDD8C4C" w14:textId="77777777" w:rsidR="003754FE" w:rsidRDefault="003754FE" w:rsidP="003754FE">
      <w:pPr>
        <w:pStyle w:val="TextoNormal"/>
      </w:pPr>
      <w:r>
        <w:t>“2. Así mismo, y de acuerdo con lo dispuesto en la Ley Orgánica 3/1986, de 14 de abril, de medidas especiales en materia de salud pública, con el fin de proteger la salud pública y prevenir su pérdida o deterioro, las autoridades sanitarias autonómicas, dentro del ámbito de sus competencias, cuando lo exijan razones sanitarias de urgencia o necesidad, pueden adoptar medidas preventivas de reconocimiento, tratamiento, hospitalización o control cuando se aprecien indicios racionales que permitan suponer la existencia de peligro para la salud de la población debido a la situación sanitaria concreta de una persona o de un grupo de personas o por las condiciones sanitarias en las que se realice una actividad.</w:t>
      </w:r>
    </w:p>
    <w:p w14:paraId="22759C97" w14:textId="77777777" w:rsidR="003754FE" w:rsidRDefault="003754FE" w:rsidP="003754FE">
      <w:pPr>
        <w:pStyle w:val="TextoNormal"/>
      </w:pPr>
    </w:p>
    <w:p w14:paraId="180DCEAF" w14:textId="77777777" w:rsidR="003754FE" w:rsidRDefault="003754FE" w:rsidP="003754FE">
      <w:pPr>
        <w:pStyle w:val="TextoNormal"/>
      </w:pPr>
      <w:r>
        <w:t xml:space="preserve">3. Para controlar las enfermedades transmisibles, además de realizar las acciones preventivas generales y de la posible adopción de las medidas preventivas previstas en los apartados anteriores, pueden adoptar las medidas oportunas para el control de las personas enfermas, de las personas que estén o hayan estado en contacto con estas y del ambiente </w:t>
      </w:r>
      <w:r>
        <w:lastRenderedPageBreak/>
        <w:t>inmediato, así como las que se estimen necesarias en caso de riesgo de carácter transmisible. En particular, se pueden adoptar las siguientes medidas preventivas:</w:t>
      </w:r>
    </w:p>
    <w:p w14:paraId="07E2BDA7" w14:textId="77777777" w:rsidR="003754FE" w:rsidRDefault="003754FE" w:rsidP="003754FE">
      <w:pPr>
        <w:pStyle w:val="TextoNormal"/>
      </w:pPr>
    </w:p>
    <w:p w14:paraId="352D462E" w14:textId="77777777" w:rsidR="003754FE" w:rsidRDefault="003754FE" w:rsidP="003754FE">
      <w:pPr>
        <w:pStyle w:val="TextoNormal"/>
      </w:pPr>
      <w:r>
        <w:t>a) Medidas de control de las personas enfermas, cuando sea procedente, como el aislamiento en el domicilio, el internamiento en un centro hospitalario o el aislamiento o internamiento en otro lugar adecuado para esta finalidad.</w:t>
      </w:r>
    </w:p>
    <w:p w14:paraId="4754480A" w14:textId="77777777" w:rsidR="003754FE" w:rsidRDefault="003754FE" w:rsidP="003754FE">
      <w:pPr>
        <w:pStyle w:val="TextoNormal"/>
      </w:pPr>
    </w:p>
    <w:p w14:paraId="0491DD1B" w14:textId="77777777" w:rsidR="003754FE" w:rsidRDefault="003754FE" w:rsidP="003754FE">
      <w:pPr>
        <w:pStyle w:val="TextoNormal"/>
      </w:pPr>
      <w:r>
        <w:t>b) Sometimiento de las personas enfermas a tratamiento adecuado.</w:t>
      </w:r>
    </w:p>
    <w:p w14:paraId="14E09996" w14:textId="77777777" w:rsidR="003754FE" w:rsidRDefault="003754FE" w:rsidP="003754FE">
      <w:pPr>
        <w:pStyle w:val="TextoNormal"/>
      </w:pPr>
    </w:p>
    <w:p w14:paraId="2BF3AC5D" w14:textId="77777777" w:rsidR="003754FE" w:rsidRDefault="003754FE" w:rsidP="003754FE">
      <w:pPr>
        <w:pStyle w:val="TextoNormal"/>
      </w:pPr>
      <w:r>
        <w:t>c) Medidas de control de las personas que estén o hayan estado en contacto con las personas enfermas, como el sometimiento a una cuarentena en el domicilio o en otro lugar adecuado para esta finalidad. A tal efecto, se entiende por cuarentena la restricción de las actividades y la separación, de las otras personas que no están enfermas, de una persona respecto a la que pueda tenerse razonablemente la sospecha de que haya estado o haya podido estar expuesta a un riesgo para la salud pública y sea una posible fuente de propagación adicional de enfermedades, de acuerdo con los principios científicos, las pruebas científicas o la información disponible.</w:t>
      </w:r>
    </w:p>
    <w:p w14:paraId="29B0808D" w14:textId="77777777" w:rsidR="003754FE" w:rsidRDefault="003754FE" w:rsidP="003754FE">
      <w:pPr>
        <w:pStyle w:val="TextoNormal"/>
      </w:pPr>
    </w:p>
    <w:p w14:paraId="3AF335B7" w14:textId="77777777" w:rsidR="003754FE" w:rsidRDefault="003754FE" w:rsidP="003754FE">
      <w:pPr>
        <w:pStyle w:val="TextoNormal"/>
      </w:pPr>
      <w:r>
        <w:t>d) Sometimiento a observación o a medidas de vigilancia del estado de salud, a examen médico o a pruebas diagnósticas de personas que presenten síntomas compatibles con la enfermedad transmisible de que se trate o de personas respecto a las que existan otros indicios objetivos que puedan suponer un riesgo de transmisión de la enfermedad. La observación, el examen o las pruebas serán lo menos intrusivos o invasivos posible para permitir conseguir el objetivo de salud pública consistente en prevenir o contener la propagación de la enfermedad.</w:t>
      </w:r>
    </w:p>
    <w:p w14:paraId="533FFCF6" w14:textId="77777777" w:rsidR="003754FE" w:rsidRDefault="003754FE" w:rsidP="003754FE">
      <w:pPr>
        <w:pStyle w:val="TextoNormal"/>
      </w:pPr>
    </w:p>
    <w:p w14:paraId="56826470" w14:textId="77777777" w:rsidR="003754FE" w:rsidRDefault="003754FE" w:rsidP="003754FE">
      <w:pPr>
        <w:pStyle w:val="TextoNormal"/>
      </w:pPr>
      <w:r>
        <w:t>e) Sometimiento a medidas profilácticas de prevención de la enfermedad, incluida la vacunación para determinados colectivos o la inmunización, con información, en todo caso, de los posibles riesgos relacionados con la adopción o la no adopción de estas medidas.</w:t>
      </w:r>
    </w:p>
    <w:p w14:paraId="27B52440" w14:textId="77777777" w:rsidR="003754FE" w:rsidRDefault="003754FE" w:rsidP="003754FE">
      <w:pPr>
        <w:pStyle w:val="TextoNormal"/>
      </w:pPr>
    </w:p>
    <w:p w14:paraId="261126EF" w14:textId="77777777" w:rsidR="003754FE" w:rsidRDefault="003754FE" w:rsidP="003754FE">
      <w:pPr>
        <w:pStyle w:val="TextoNormal"/>
      </w:pPr>
      <w:r>
        <w:t>f) Medidas de control del entorno inmediato de las personas enfermas o de las personas que estén o hayan estado en contacto con estas, así como de las zonas afectadas. A tal efecto, se entiende por zona afectada aquellos lugares geográficos en los que sean necesarias medidas sanitarias de control de la propagación de la enfermedad. La determinación de la zona afectada se efectuará de acuerdo con los principios de precaución y proporcionalidad, procurando, siempre que resulte posible y eficaz, actuar lo antes posible o con más intensidad o medida sobre las zonas concretas en las que se produzca la mayor afección, para evitar perjuicios innecesarios al resto de la población. Entre otras, estas medidas podrán consistir en:</w:t>
      </w:r>
    </w:p>
    <w:p w14:paraId="1B3327D4" w14:textId="77777777" w:rsidR="003754FE" w:rsidRDefault="003754FE" w:rsidP="003754FE">
      <w:pPr>
        <w:pStyle w:val="TextoNormal"/>
      </w:pPr>
    </w:p>
    <w:p w14:paraId="4A659CF1" w14:textId="77777777" w:rsidR="003754FE" w:rsidRDefault="003754FE" w:rsidP="003754FE">
      <w:pPr>
        <w:pStyle w:val="TextoNormal"/>
      </w:pPr>
      <w:r>
        <w:t>– Medidas que comporten la limitación o la restricción de la circulación o la movilidad de las personas dentro de la zona o la isla o las islas afectadas o en determinados lugares y espacios dentro de esta zona o en determinadas franjas horarias.</w:t>
      </w:r>
    </w:p>
    <w:p w14:paraId="11F06B99" w14:textId="77777777" w:rsidR="003754FE" w:rsidRDefault="003754FE" w:rsidP="003754FE">
      <w:pPr>
        <w:pStyle w:val="TextoNormal"/>
      </w:pPr>
    </w:p>
    <w:p w14:paraId="2D589237" w14:textId="77777777" w:rsidR="003754FE" w:rsidRDefault="003754FE" w:rsidP="003754FE">
      <w:pPr>
        <w:pStyle w:val="TextoNormal"/>
      </w:pPr>
      <w:r>
        <w:t>– Medidas de control de la salida de la zona o la isla o las islas afectadas o de entrada en estas, incluido el establecimiento de pruebas diagnósticas previas o posteriores.</w:t>
      </w:r>
    </w:p>
    <w:p w14:paraId="7BA3545A" w14:textId="77777777" w:rsidR="003754FE" w:rsidRDefault="003754FE" w:rsidP="003754FE">
      <w:pPr>
        <w:pStyle w:val="TextoNormal"/>
      </w:pPr>
    </w:p>
    <w:p w14:paraId="7817DE5D" w14:textId="77777777" w:rsidR="003754FE" w:rsidRDefault="003754FE" w:rsidP="003754FE">
      <w:pPr>
        <w:pStyle w:val="TextoNormal"/>
      </w:pPr>
      <w:r>
        <w:lastRenderedPageBreak/>
        <w:t>– Medidas de control de las tarifas y los precios máximos que deben aplicar los centros, los servicios y los establecimientos sanitarios y sociosanitarios, públicos y privados, para la realización de las pruebas diagnósticas.</w:t>
      </w:r>
    </w:p>
    <w:p w14:paraId="7ECE2004" w14:textId="77777777" w:rsidR="003754FE" w:rsidRDefault="003754FE" w:rsidP="003754FE">
      <w:pPr>
        <w:pStyle w:val="TextoNormal"/>
      </w:pPr>
    </w:p>
    <w:p w14:paraId="3972A808" w14:textId="77777777" w:rsidR="003754FE" w:rsidRDefault="003754FE" w:rsidP="003754FE">
      <w:pPr>
        <w:pStyle w:val="TextoNormal"/>
      </w:pPr>
      <w:r>
        <w:t>– Restricciones a las agrupaciones de personas, incluidas las reuniones privadas entre no convivientes, especialmente en los lugares y los espacios o con ocasión del desarrollo de actividades que comporten un mayor riesgo de propagación de la enfermedad; todo ello sin perjuicio de las competencias estatales en relación con las reuniones en lugares de tránsito público y las manifestaciones realizadas en ejercicio del derecho fundamental regulado en el artículo 21 de la Constitución española.</w:t>
      </w:r>
    </w:p>
    <w:p w14:paraId="1A84BE51" w14:textId="77777777" w:rsidR="003754FE" w:rsidRDefault="003754FE" w:rsidP="003754FE">
      <w:pPr>
        <w:pStyle w:val="TextoNormal"/>
      </w:pPr>
    </w:p>
    <w:p w14:paraId="7BAD22F6" w14:textId="77777777" w:rsidR="003754FE" w:rsidRDefault="003754FE" w:rsidP="003754FE">
      <w:pPr>
        <w:pStyle w:val="TextoNormal"/>
      </w:pPr>
      <w:r>
        <w:t>– Medidas de cribado consistentes en la realización de pruebas diagnósticas de determinados sectores o grupos de la población particularmente afectados o vulnerables.</w:t>
      </w:r>
    </w:p>
    <w:p w14:paraId="2A5A78EE" w14:textId="77777777" w:rsidR="003754FE" w:rsidRDefault="003754FE" w:rsidP="003754FE">
      <w:pPr>
        <w:pStyle w:val="TextoNormal"/>
      </w:pPr>
    </w:p>
    <w:p w14:paraId="1E4125EF" w14:textId="77777777" w:rsidR="003754FE" w:rsidRDefault="003754FE" w:rsidP="003754FE">
      <w:pPr>
        <w:pStyle w:val="TextoNormal"/>
      </w:pPr>
      <w:r>
        <w:t>Las restricciones a los desplazamientos y a las agrupaciones de personas enumeradas anteriormente nunca pueden ser absolutas, tienen que expresar con claridad y precisión los desplazamientos y las agrupaciones que se restringen, y deben actuar con preferencia sobre los desplazamientos y las agrupaciones por razones meramente recreativas y de ocio. Se deben admitir, en todo caso, los desplazamientos y las agrupaciones que se realicen por motivos esenciales o justificados compatibles con la protección de la salud, sin perjuicio, si procede, de los controles o las medidas de prevención adicionales que se puedan establecer.</w:t>
      </w:r>
    </w:p>
    <w:p w14:paraId="280BAB81" w14:textId="77777777" w:rsidR="003754FE" w:rsidRDefault="003754FE" w:rsidP="003754FE">
      <w:pPr>
        <w:pStyle w:val="TextoNormal"/>
      </w:pPr>
    </w:p>
    <w:p w14:paraId="36FCE9BD" w14:textId="77777777" w:rsidR="003754FE" w:rsidRDefault="003754FE" w:rsidP="003754FE">
      <w:pPr>
        <w:pStyle w:val="TextoNormal"/>
      </w:pPr>
      <w:r>
        <w:t>g) Las otras medidas sanitarias justificadas y necesarias que, de acuerdo con los riesgos y las circunstancias en cada caso concurrentes, se estimen adecuadas para impedir o controlar la propagación de la enfermedad, en función del estado de la ciencia y del conocimiento existente en cada momento, siempre con sujeción a los criterios y a los principios establecidos en esta ley y, en particular, de acuerdo con el principio de proporcionalidad. Estas medidas pueden ser las siguientes:</w:t>
      </w:r>
    </w:p>
    <w:p w14:paraId="4FB3BE80" w14:textId="77777777" w:rsidR="003754FE" w:rsidRDefault="003754FE" w:rsidP="003754FE">
      <w:pPr>
        <w:pStyle w:val="TextoNormal"/>
      </w:pPr>
    </w:p>
    <w:p w14:paraId="428657EE" w14:textId="77777777" w:rsidR="003754FE" w:rsidRDefault="003754FE" w:rsidP="003754FE">
      <w:pPr>
        <w:pStyle w:val="TextoNormal"/>
      </w:pPr>
      <w:r>
        <w:t>– Medidas de salud pública:</w:t>
      </w:r>
    </w:p>
    <w:p w14:paraId="01A3E30C" w14:textId="77777777" w:rsidR="003754FE" w:rsidRDefault="003754FE" w:rsidP="003754FE">
      <w:pPr>
        <w:pStyle w:val="TextoNormal"/>
      </w:pPr>
    </w:p>
    <w:p w14:paraId="3F314884" w14:textId="77777777" w:rsidR="003754FE" w:rsidRDefault="003754FE" w:rsidP="003754FE">
      <w:pPr>
        <w:pStyle w:val="TextoNormal"/>
      </w:pPr>
      <w:r>
        <w:t>• Consejos generales de salud pública.</w:t>
      </w:r>
    </w:p>
    <w:p w14:paraId="07660FAB" w14:textId="77777777" w:rsidR="003754FE" w:rsidRDefault="003754FE" w:rsidP="003754FE">
      <w:pPr>
        <w:pStyle w:val="TextoNormal"/>
      </w:pPr>
    </w:p>
    <w:p w14:paraId="03F531F8" w14:textId="77777777" w:rsidR="003754FE" w:rsidRDefault="003754FE" w:rsidP="003754FE">
      <w:pPr>
        <w:pStyle w:val="TextoNormal"/>
      </w:pPr>
      <w:r>
        <w:t>• Identificación de contactos.</w:t>
      </w:r>
    </w:p>
    <w:p w14:paraId="149B9F3F" w14:textId="77777777" w:rsidR="003754FE" w:rsidRDefault="003754FE" w:rsidP="003754FE">
      <w:pPr>
        <w:pStyle w:val="TextoNormal"/>
      </w:pPr>
    </w:p>
    <w:p w14:paraId="6FF6A21C" w14:textId="77777777" w:rsidR="003754FE" w:rsidRDefault="003754FE" w:rsidP="003754FE">
      <w:pPr>
        <w:pStyle w:val="TextoNormal"/>
      </w:pPr>
      <w:r>
        <w:t>• Pruebas diagnósticas a todas las personas que presenten síntomas.</w:t>
      </w:r>
    </w:p>
    <w:p w14:paraId="568A78B6" w14:textId="77777777" w:rsidR="003754FE" w:rsidRDefault="003754FE" w:rsidP="003754FE">
      <w:pPr>
        <w:pStyle w:val="TextoNormal"/>
      </w:pPr>
    </w:p>
    <w:p w14:paraId="2563C483" w14:textId="77777777" w:rsidR="003754FE" w:rsidRDefault="003754FE" w:rsidP="003754FE">
      <w:pPr>
        <w:pStyle w:val="TextoNormal"/>
      </w:pPr>
      <w:r>
        <w:t>• Pruebas de cribado colectivas.</w:t>
      </w:r>
    </w:p>
    <w:p w14:paraId="0207BC42" w14:textId="77777777" w:rsidR="003754FE" w:rsidRDefault="003754FE" w:rsidP="003754FE">
      <w:pPr>
        <w:pStyle w:val="TextoNormal"/>
      </w:pPr>
    </w:p>
    <w:p w14:paraId="5BCD0B25" w14:textId="77777777" w:rsidR="003754FE" w:rsidRDefault="003754FE" w:rsidP="003754FE">
      <w:pPr>
        <w:pStyle w:val="TextoNormal"/>
      </w:pPr>
      <w:r>
        <w:t>• Aislamiento y cuarentena a las personas afectadas.</w:t>
      </w:r>
    </w:p>
    <w:p w14:paraId="58705257" w14:textId="77777777" w:rsidR="003754FE" w:rsidRDefault="003754FE" w:rsidP="003754FE">
      <w:pPr>
        <w:pStyle w:val="TextoNormal"/>
      </w:pPr>
    </w:p>
    <w:p w14:paraId="50BE4254" w14:textId="77777777" w:rsidR="003754FE" w:rsidRDefault="003754FE" w:rsidP="003754FE">
      <w:pPr>
        <w:pStyle w:val="TextoNormal"/>
      </w:pPr>
      <w:r>
        <w:t>• Limitaciones de desplazamientos territoriales que protejan del riesgo de transmisión y limitación de desplazamientos personales, manteniendo en todos los niveles de alerta los desplazamientos esenciales, siempre que se realicen de forma individual o con la unidad de convivencia y con todas las medidas de precaución higiénicas y de distanciamiento. Se incluye la limitación en horario nocturno.</w:t>
      </w:r>
    </w:p>
    <w:p w14:paraId="55E5A1C7" w14:textId="77777777" w:rsidR="003754FE" w:rsidRDefault="003754FE" w:rsidP="003754FE">
      <w:pPr>
        <w:pStyle w:val="TextoNormal"/>
      </w:pPr>
    </w:p>
    <w:p w14:paraId="6AA12839" w14:textId="77777777" w:rsidR="003754FE" w:rsidRDefault="003754FE" w:rsidP="003754FE">
      <w:pPr>
        <w:pStyle w:val="TextoNormal"/>
      </w:pPr>
      <w:r>
        <w:lastRenderedPageBreak/>
        <w:t>• Limitación del número de personas que se puede reunir, tanto en espacios públicos como privados.</w:t>
      </w:r>
    </w:p>
    <w:p w14:paraId="2E309618" w14:textId="77777777" w:rsidR="003754FE" w:rsidRDefault="003754FE" w:rsidP="003754FE">
      <w:pPr>
        <w:pStyle w:val="TextoNormal"/>
      </w:pPr>
    </w:p>
    <w:p w14:paraId="2959DAE8" w14:textId="77777777" w:rsidR="003754FE" w:rsidRDefault="003754FE" w:rsidP="003754FE">
      <w:pPr>
        <w:pStyle w:val="TextoNormal"/>
      </w:pPr>
      <w:r>
        <w:t>• Coordinación sobre la estrategia, las directrices y los planes de escalada del tipo de asistencia sanitaria en atención primaria, hospitalaria y servicios sociales.</w:t>
      </w:r>
    </w:p>
    <w:p w14:paraId="7B877E06" w14:textId="77777777" w:rsidR="003754FE" w:rsidRDefault="003754FE" w:rsidP="003754FE">
      <w:pPr>
        <w:pStyle w:val="TextoNormal"/>
      </w:pPr>
    </w:p>
    <w:p w14:paraId="05440DE8" w14:textId="77777777" w:rsidR="003754FE" w:rsidRDefault="003754FE" w:rsidP="003754FE">
      <w:pPr>
        <w:pStyle w:val="TextoNormal"/>
      </w:pPr>
      <w:r>
        <w:t>• Restricciones de visitas en las instalaciones residenciales.</w:t>
      </w:r>
    </w:p>
    <w:p w14:paraId="19A37974" w14:textId="77777777" w:rsidR="003754FE" w:rsidRDefault="003754FE" w:rsidP="003754FE">
      <w:pPr>
        <w:pStyle w:val="TextoNormal"/>
      </w:pPr>
    </w:p>
    <w:p w14:paraId="144DACF4" w14:textId="77777777" w:rsidR="003754FE" w:rsidRDefault="003754FE" w:rsidP="003754FE">
      <w:pPr>
        <w:pStyle w:val="TextoNormal"/>
      </w:pPr>
      <w:r>
        <w:t>• Regulación de la situación de los espacios de trabajo en condiciones de espacio y medidas de higiene.</w:t>
      </w:r>
    </w:p>
    <w:p w14:paraId="6CD2A4DB" w14:textId="77777777" w:rsidR="003754FE" w:rsidRDefault="003754FE" w:rsidP="003754FE">
      <w:pPr>
        <w:pStyle w:val="TextoNormal"/>
      </w:pPr>
    </w:p>
    <w:p w14:paraId="167467BA" w14:textId="77777777" w:rsidR="003754FE" w:rsidRDefault="003754FE" w:rsidP="003754FE">
      <w:pPr>
        <w:pStyle w:val="TextoNormal"/>
      </w:pPr>
      <w:r>
        <w:t>• Control de apertura del comercio (aforo, cita previa u otras modalidades) de espacios de trabajo.</w:t>
      </w:r>
    </w:p>
    <w:p w14:paraId="6B2D2B96" w14:textId="77777777" w:rsidR="003754FE" w:rsidRDefault="003754FE" w:rsidP="003754FE">
      <w:pPr>
        <w:pStyle w:val="TextoNormal"/>
      </w:pPr>
    </w:p>
    <w:p w14:paraId="4D8DC84F" w14:textId="77777777" w:rsidR="003754FE" w:rsidRDefault="003754FE" w:rsidP="003754FE">
      <w:pPr>
        <w:pStyle w:val="TextoNormal"/>
      </w:pPr>
      <w:r>
        <w:t>• Priorización de gestión de horarios para promover y garantizar la conciliación familiar.</w:t>
      </w:r>
    </w:p>
    <w:p w14:paraId="642B2F36" w14:textId="77777777" w:rsidR="003754FE" w:rsidRDefault="003754FE" w:rsidP="003754FE">
      <w:pPr>
        <w:pStyle w:val="TextoNormal"/>
      </w:pPr>
    </w:p>
    <w:p w14:paraId="202DD793" w14:textId="77777777" w:rsidR="003754FE" w:rsidRDefault="003754FE" w:rsidP="003754FE">
      <w:pPr>
        <w:pStyle w:val="TextoNormal"/>
      </w:pPr>
      <w:r>
        <w:t>• Regulación de las condiciones de apertura, afluencia, personales, materiales y temporales de los centros educativos y de ocio y tiempo libre.</w:t>
      </w:r>
    </w:p>
    <w:p w14:paraId="280BF1C4" w14:textId="77777777" w:rsidR="003754FE" w:rsidRDefault="003754FE" w:rsidP="003754FE">
      <w:pPr>
        <w:pStyle w:val="TextoNormal"/>
      </w:pPr>
    </w:p>
    <w:p w14:paraId="1303EE2A" w14:textId="77777777" w:rsidR="003754FE" w:rsidRDefault="003754FE" w:rsidP="003754FE">
      <w:pPr>
        <w:pStyle w:val="TextoNormal"/>
      </w:pPr>
      <w:r>
        <w:t>• Regulación del aforo en establecimientos de restauración y hoteleros, atendiendo a condiciones de espacio y medidas de higiene (mascarilla, lavado de manos) y regulación de las condiciones de apertura materiales y temporales.</w:t>
      </w:r>
    </w:p>
    <w:p w14:paraId="281C52A7" w14:textId="77777777" w:rsidR="003754FE" w:rsidRDefault="003754FE" w:rsidP="003754FE">
      <w:pPr>
        <w:pStyle w:val="TextoNormal"/>
      </w:pPr>
    </w:p>
    <w:p w14:paraId="1F32B996" w14:textId="77777777" w:rsidR="003754FE" w:rsidRDefault="003754FE" w:rsidP="003754FE">
      <w:pPr>
        <w:pStyle w:val="TextoNormal"/>
      </w:pPr>
      <w:r>
        <w:t>• Regulación de las actividades deportivas tanto profesionales y federadas como no profesionales atendiendo al tipo de deporte, los aforos y el uso de las instalaciones.</w:t>
      </w:r>
    </w:p>
    <w:p w14:paraId="27A25AAF" w14:textId="77777777" w:rsidR="003754FE" w:rsidRDefault="003754FE" w:rsidP="003754FE">
      <w:pPr>
        <w:pStyle w:val="TextoNormal"/>
      </w:pPr>
    </w:p>
    <w:p w14:paraId="60B302BD" w14:textId="77777777" w:rsidR="003754FE" w:rsidRDefault="003754FE" w:rsidP="003754FE">
      <w:pPr>
        <w:pStyle w:val="TextoNormal"/>
      </w:pPr>
      <w:r>
        <w:t>• Otras de naturaleza análoga que resulten necesarias para la lucha contra la pandemia o la epidemia.</w:t>
      </w:r>
    </w:p>
    <w:p w14:paraId="2955C628" w14:textId="77777777" w:rsidR="003754FE" w:rsidRDefault="003754FE" w:rsidP="003754FE">
      <w:pPr>
        <w:pStyle w:val="TextoNormal"/>
      </w:pPr>
    </w:p>
    <w:p w14:paraId="74078DB3" w14:textId="77777777" w:rsidR="003754FE" w:rsidRDefault="003754FE" w:rsidP="003754FE">
      <w:pPr>
        <w:pStyle w:val="TextoNormal"/>
      </w:pPr>
      <w:r>
        <w:t>La adopción de estas medidas tiene por objeto garantizar el control de contagios y proteger la salud de las personas, y adecuarse al principio de proporcionalidad. A estos efectos, requiere la emisión de un informe por parte de la Dirección General de Salud Pública que acredite la situación de riesgo de contagio, la situación de control de la pandemia o la epidemia, la suficiencia de las medidas, y la propuesta de las medidas que se deben adoptar.</w:t>
      </w:r>
    </w:p>
    <w:p w14:paraId="431C7737" w14:textId="77777777" w:rsidR="003754FE" w:rsidRDefault="003754FE" w:rsidP="003754FE">
      <w:pPr>
        <w:pStyle w:val="TextoNormal"/>
      </w:pPr>
    </w:p>
    <w:p w14:paraId="7A6533EB" w14:textId="77777777" w:rsidR="003754FE" w:rsidRDefault="003754FE" w:rsidP="003754FE">
      <w:pPr>
        <w:pStyle w:val="TextoNormal"/>
      </w:pPr>
      <w:r>
        <w:t>El acuerdo que establezca las medidas tiene que indicar su duración, que en principio no debe ser superior a quince días, excepto que se justifique la necesidad de establecer un plazo superior, sin perjuicio de que se pueda producir la prórroga, justificando el mantenimiento de las condiciones que determinaron su adopción.</w:t>
      </w:r>
    </w:p>
    <w:p w14:paraId="7E467DAB" w14:textId="77777777" w:rsidR="003754FE" w:rsidRDefault="003754FE" w:rsidP="003754FE">
      <w:pPr>
        <w:pStyle w:val="TextoNormal"/>
      </w:pPr>
    </w:p>
    <w:p w14:paraId="6F1D8EA5" w14:textId="77777777" w:rsidR="003754FE" w:rsidRDefault="003754FE" w:rsidP="003754FE">
      <w:pPr>
        <w:pStyle w:val="TextoNormal"/>
      </w:pPr>
      <w:r>
        <w:t>El establecimiento de dichas medidas se debe realizar teniendo en cuenta siempre la menor afectación a los derechos de las personas, y, siempre que sea posible, se deben ajustar territorialmente al mínimo ámbito necesario para asegurar su efectividad”.</w:t>
      </w:r>
    </w:p>
    <w:p w14:paraId="0F3D3D81" w14:textId="77777777" w:rsidR="003754FE" w:rsidRDefault="003754FE" w:rsidP="003754FE">
      <w:pPr>
        <w:pStyle w:val="TextoNormal"/>
      </w:pPr>
    </w:p>
    <w:p w14:paraId="7FB2B76E" w14:textId="77777777" w:rsidR="003754FE" w:rsidRDefault="003754FE" w:rsidP="003754FE">
      <w:pPr>
        <w:pStyle w:val="TextoNormal"/>
      </w:pPr>
      <w:r>
        <w:t xml:space="preserve">El recurso de inconstitucionalidad se fundamenta en los siguientes motivos, expuestos en detalle en los antecedentes: (i) infracción de los arts. 86.1 y 53.1 CE, en relación con los límites materiales de los decretos-leyes por afectar, en el sentido constitucional del término, los preceptos impugnados al contenido esencial de los derechos fundamentales reconocidos </w:t>
      </w:r>
      <w:r>
        <w:lastRenderedPageBreak/>
        <w:t>en los arts. 15 (derecho a la integridad física), 17.1 (libertad personal), 18.1 (derecho a la intimidad personal), 19 (libertades de circulación y de residencia) y 21 (derecho de reunión) CE; (ii) infracción de la reserva de ley orgánica (art. 81.1 CE); (iii) infracción del art. 116 CE por regular medidas que suponen una suspensión o una intensa restricción de derechos fundamentales, propias de la legislación excepcional de los estados de crisis, sin amparo constitucional; (iv) vulneración de las competencias estatales reconocidas en el art. 149.1.1 y 16 CE; y (v) indebida reproducción de normas estatales por la ley autonómica.</w:t>
      </w:r>
    </w:p>
    <w:p w14:paraId="10C94D03" w14:textId="77777777" w:rsidR="003754FE" w:rsidRDefault="003754FE" w:rsidP="003754FE">
      <w:pPr>
        <w:pStyle w:val="TextoNormal"/>
      </w:pPr>
    </w:p>
    <w:p w14:paraId="546A0523" w14:textId="77777777" w:rsidR="003754FE" w:rsidRDefault="003754FE" w:rsidP="003754FE">
      <w:pPr>
        <w:pStyle w:val="TextoNormal"/>
      </w:pPr>
      <w:r>
        <w:t>De contrario, el Parlamento de las Illes Balears ha solicitado la terminación del proceso por pérdida sobrevenida de objeto, al haber sido derogado íntegramente el Decreto-ley 5/2021 por la disposición derogatoria única de la Ley del Parlamento de las Illes Balears 2/2021, de 8 de noviembre, por la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w:t>
      </w:r>
    </w:p>
    <w:p w14:paraId="697E4F62" w14:textId="77777777" w:rsidR="003754FE" w:rsidRDefault="003754FE" w:rsidP="003754FE">
      <w:pPr>
        <w:pStyle w:val="TextoNormal"/>
      </w:pPr>
    </w:p>
    <w:p w14:paraId="62C73C2A" w14:textId="1041555D" w:rsidR="003754FE" w:rsidRDefault="003754FE" w:rsidP="003754FE">
      <w:pPr>
        <w:pStyle w:val="TextoNormal"/>
      </w:pPr>
      <w:r>
        <w:t>Por su parte, el Gobierno de las Illes Balears ha interesado también la terminación del proceso por desaparición sobrevenida de su objeto y, subsidiariamente, la desestimación del recurso de inconstitucionalidad por las razones que se han recogido más extensamente en el relato de antecedentes de esta resolución.</w:t>
      </w:r>
    </w:p>
    <w:p w14:paraId="5164B720" w14:textId="77777777" w:rsidR="003754FE" w:rsidRDefault="003754FE" w:rsidP="003754FE">
      <w:pPr>
        <w:pStyle w:val="TextoNormal"/>
      </w:pPr>
    </w:p>
    <w:p w14:paraId="45ED3B2D" w14:textId="77777777" w:rsidR="003754FE" w:rsidRDefault="003754FE" w:rsidP="003754FE">
      <w:pPr>
        <w:pStyle w:val="TextoNormal"/>
      </w:pPr>
      <w:r w:rsidRPr="003754FE">
        <w:rPr>
          <w:rStyle w:val="NumeroAFNegritaCaracter"/>
        </w:rPr>
        <w:t>2</w:t>
      </w:r>
      <w:r>
        <w:t xml:space="preserve">. </w:t>
      </w:r>
      <w:r w:rsidRPr="003754FE">
        <w:rPr>
          <w:i/>
        </w:rPr>
        <w:t>Consideraciones previas</w:t>
      </w:r>
    </w:p>
    <w:p w14:paraId="6D718D21" w14:textId="77777777" w:rsidR="003754FE" w:rsidRDefault="003754FE" w:rsidP="003754FE">
      <w:pPr>
        <w:pStyle w:val="TextoNormal"/>
      </w:pPr>
    </w:p>
    <w:p w14:paraId="4BDA8196" w14:textId="77777777" w:rsidR="003754FE" w:rsidRDefault="003754FE" w:rsidP="003754FE">
      <w:pPr>
        <w:pStyle w:val="TextoNormal"/>
      </w:pPr>
      <w:r>
        <w:t>a) Con carácter previo a abordar el enjuiciamiento de cada uno de los motivos de impugnación invocados en el recurso de inconstitucionalidad, debemos pronunciarnos sobre la subsistencia del presente proceso constitucional, tal y como nos han solicitado el Parlamento y el Gobierno de las Illes Balears en sus respectivos escritos de alegaciones. En este sentido, resulta preciso determinar qué incidencia tiene sobre el objeto del recurso que nos ocupa la modificación operada por la Ley 2/2021.</w:t>
      </w:r>
    </w:p>
    <w:p w14:paraId="5219D3BC" w14:textId="77777777" w:rsidR="003754FE" w:rsidRDefault="003754FE" w:rsidP="003754FE">
      <w:pPr>
        <w:pStyle w:val="TextoNormal"/>
      </w:pPr>
    </w:p>
    <w:p w14:paraId="51878CAA" w14:textId="77777777" w:rsidR="003754FE" w:rsidRDefault="003754FE" w:rsidP="003754FE">
      <w:pPr>
        <w:pStyle w:val="TextoNormal"/>
      </w:pPr>
      <w:r>
        <w:t>La Ley 2/2021, en vigor desde el 9 de noviembre de 2021, es el resultado de la tramitación parlamentaria del Decreto-ley 5/2021 del Gobierno de las Illes Balears como proyecto de ley por el procedimiento de urgencia, tras su convalidación por el Parlamento de las Illes Balears. La disposición derogatoria única de la Ley 2/2021 estableció que: “Se derogan todas las normas de rango igual o inferior a esta ley que la contradigan o se opongan a ella y, concretamente, el Decreto-ley 5/2021, de 7 de mayo, por el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 La Ley 2/2021 no ha sido objeto de recurso de inconstitucionalidad.</w:t>
      </w:r>
    </w:p>
    <w:p w14:paraId="3064A6B0" w14:textId="77777777" w:rsidR="003754FE" w:rsidRDefault="003754FE" w:rsidP="003754FE">
      <w:pPr>
        <w:pStyle w:val="TextoNormal"/>
      </w:pPr>
    </w:p>
    <w:p w14:paraId="5E8145A7" w14:textId="77777777" w:rsidR="003754FE" w:rsidRDefault="003754FE" w:rsidP="003754FE">
      <w:pPr>
        <w:pStyle w:val="TextoNormal"/>
      </w:pPr>
      <w:r>
        <w:t xml:space="preserve">La doctrina constitucional ha reiterado que en los recursos de inconstitucionalidad, cuya finalidad última es la depuración objetiva del ordenamiento jurídico, la modificación, derogación o pérdida de vigencia de la norma que se recurre puede producir la extinción sobrevenida del proceso pues, como regla general, en un recurso abstracto como el de inconstitucionalidad, carece de sentido pronunciarse sobre normas que el mismo legislador ha expulsado ya del ordenamiento de modo total, sin ultraactividad [SSTC 67/2024, de 23 de </w:t>
      </w:r>
      <w:r>
        <w:lastRenderedPageBreak/>
        <w:t>abril, FJ 2, y 88/2024, de 5 de junio, FJ 3 b)]. Ahora bien, esta regla general tiene varias excepciones en nuestra jurisprudencia, tres de las cuales resultan de interés en relación con el presente recurso de inconstitucionalidad.</w:t>
      </w:r>
    </w:p>
    <w:p w14:paraId="372547CB" w14:textId="77777777" w:rsidR="003754FE" w:rsidRDefault="003754FE" w:rsidP="003754FE">
      <w:pPr>
        <w:pStyle w:val="TextoNormal"/>
      </w:pPr>
    </w:p>
    <w:p w14:paraId="7850E41D" w14:textId="77777777" w:rsidR="003754FE" w:rsidRDefault="003754FE" w:rsidP="003754FE">
      <w:pPr>
        <w:pStyle w:val="TextoNormal"/>
      </w:pPr>
      <w:r>
        <w:t>La primera de esas excepciones tiene que ver con el concreto supuesto de la impugnación de los decretos-leyes por la infracción del art. 86.1 CE, tanto en lo que se refiere a los límites formales (presupuesto habilitante y conexión de sentido) como a los límites materiales a que está sujeta la utilización de este instrumento normativo propio de la legislación de urgencia. En estos casos una reiterada jurisprudencia sostiene que la modificación legislativa posterior del decreto-ley impugnado no impide a la jurisdicción constitucional controlar si la potestad reconocida al Gobierno por el art. 86.1 CE se ejerció siguiendo los requisitos establecidos en dicho precepto. Al respecto, este tribunal ha venido señalando que la infracción del art. 86.1 CE no pierde objeto, ya que la falta de vigencia en este momento del precepto recurrido no impide controlar si el ejercicio de la potestad reconocida al Gobierno por el art. 86.1 CE se realizó siguiendo los requisitos establecidos en dicho precepto constitucional, pues este control tiene por objeto velar por el recto ejercicio de la potestad para dictar decretos-leyes, dentro del marco constitucional, decidiendo la validez o invalidez de las normas impugnadas sin atender a su vigencia o derogación en el momento en que se pronuncia el fallo [STC 9/2023, de 22 de febrero, FJ 2 b), con cita de las SSTC 137/2011, de 14 de septiembre, FJ 2; 47/2015, de 5 de marzo, FJ 2 b); 48/2015, de 5 de marzo, FJ 2; 211/2015, de 8 de octubre, FJ 2, y 150/2017, de 21 de diciembre, FJ 3].</w:t>
      </w:r>
    </w:p>
    <w:p w14:paraId="4CAB3F72" w14:textId="77777777" w:rsidR="003754FE" w:rsidRDefault="003754FE" w:rsidP="003754FE">
      <w:pPr>
        <w:pStyle w:val="TextoNormal"/>
      </w:pPr>
    </w:p>
    <w:p w14:paraId="48A6069F" w14:textId="77777777" w:rsidR="003754FE" w:rsidRDefault="003754FE" w:rsidP="003754FE">
      <w:pPr>
        <w:pStyle w:val="TextoNormal"/>
      </w:pPr>
      <w:r>
        <w:t>La segunda excepción se refiere a las impugnaciones de carácter competencial. En estos casos, como recordamos en la STC 10/2023, de 23 de febrero, FJ 2, el mantenimiento del objeto del recurso dependerá de si la nueva normativa, sustitutoria de la impugnada, viene a plantear o no los mismos problemas competenciales señalados en el recurso de inconstitucionalidad [por todas, STC 134/2011, de 20 de julio, FJ 2 b)]. Si los problemas competenciales subsisten, ello justifica la pervivencia del objeto del recurso y la competencia para resolverlo del tribunal porque “la función de preservar los ámbitos respectivos de competencias no puede quedar enervada por la sola derogación o modificación de las disposiciones cuya adopción dio lugar al litigio” (STC 18/2016, de 4 de febrero, FJ 2, y jurisprudencia allí citada).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134/2011, FJ 2 b)].</w:t>
      </w:r>
    </w:p>
    <w:p w14:paraId="01EA3DBB" w14:textId="77777777" w:rsidR="003754FE" w:rsidRDefault="003754FE" w:rsidP="003754FE">
      <w:pPr>
        <w:pStyle w:val="TextoNormal"/>
      </w:pPr>
    </w:p>
    <w:p w14:paraId="11BC51EE" w14:textId="77777777" w:rsidR="003754FE" w:rsidRDefault="003754FE" w:rsidP="003754FE">
      <w:pPr>
        <w:pStyle w:val="TextoNormal"/>
      </w:pPr>
      <w:r>
        <w:t>La tercera excepción que hemos de tener en cuenta es la relativa a los recursos de inconstitucionalidad que denuncian la infracción del art. 81.1 CE, en cuanto se refiere a la reserva de ley orgánica. En estos casos, hemos venido afirmando que “el conflicto subyacente al recurso planteado ante este tribunal pervive ya que lo que se pide es un pronunciamiento sobre la atribución de la naturaleza de ley orgánica a ciertas normas, lo que puede y debe hacerse, con independencia de cuál sea su vigencia al tiempo de dictarse el presente fallo” [SSTC 124/2003, de 19 de junio, FJ 10, y 184/2012, de 17 de octubre, FJ 2 b)]. En idéntico sentido nos hemos pronunciado recientemente en la STC 136/2024, de 5 de noviembre, FJ 2 B) (i).</w:t>
      </w:r>
    </w:p>
    <w:p w14:paraId="102A48FB" w14:textId="77777777" w:rsidR="003754FE" w:rsidRDefault="003754FE" w:rsidP="003754FE">
      <w:pPr>
        <w:pStyle w:val="TextoNormal"/>
      </w:pPr>
    </w:p>
    <w:p w14:paraId="0DC5336D" w14:textId="77777777" w:rsidR="003754FE" w:rsidRDefault="003754FE" w:rsidP="003754FE">
      <w:pPr>
        <w:pStyle w:val="TextoNormal"/>
      </w:pPr>
      <w:r>
        <w:t xml:space="preserve">En aplicación de la referida doctrina constitucional, estamos en disposición de afirmar que, a pesar de la derogación del Decreto-ley 5/2021 por la Ley 2/2021, subsiste el objeto </w:t>
      </w:r>
      <w:r>
        <w:lastRenderedPageBreak/>
        <w:t>del recurso de inconstitucionalidad en lo que se refiere a las siguientes tachas de inconstitucionalidad: (i) la vulneración del art. 86.1 CE, en relación con los límites materiales en la aprobación de decretos-leyes, y (ii) la infracción del art. 81.1 CE, en lo que atañe a la reserva de ley orgánica.</w:t>
      </w:r>
    </w:p>
    <w:p w14:paraId="395C6455" w14:textId="77777777" w:rsidR="003754FE" w:rsidRDefault="003754FE" w:rsidP="003754FE">
      <w:pPr>
        <w:pStyle w:val="TextoNormal"/>
      </w:pPr>
    </w:p>
    <w:p w14:paraId="53340AD0" w14:textId="77777777" w:rsidR="003754FE" w:rsidRDefault="003754FE" w:rsidP="003754FE">
      <w:pPr>
        <w:pStyle w:val="TextoNormal"/>
      </w:pPr>
      <w:r>
        <w:t xml:space="preserve">Tampoco ha perdido objeto la denuncia de carácter competencial deducida en el presente recurso de inconstitucionalidad en relación con la pretendida invasión de las competencias estatales previstas en los arts. 149.1.1 y 149.1.16 CE. Con la salvedad de la modificación operada en el art. 49 </w:t>
      </w:r>
      <w:r w:rsidRPr="003754FE">
        <w:rPr>
          <w:i/>
        </w:rPr>
        <w:t>bis</w:t>
      </w:r>
      <w:r>
        <w:t>.3 e) de la Ley 16/2010 por la Ley 2/2021, la nueva redacción del precepto impugnado se mantiene prácticamente idéntica en la nueva ley con respecto a su redacción originaria, dada por el Decreto-ley 5/2021, objeto de impugnación. Por lo tanto, la controversia de índole competencial se mantiene inalterada en los términos en los que fue planteada en el recurso de inconstitucionalidad. Esta consideración se ha de hacer extensiva a la denuncia de la indebida reproducción de normas estatales por el decreto-ley autonómico, que también participa del carácter de impugnación de naturaleza competencial.</w:t>
      </w:r>
    </w:p>
    <w:p w14:paraId="3901A17C" w14:textId="77777777" w:rsidR="003754FE" w:rsidRDefault="003754FE" w:rsidP="003754FE">
      <w:pPr>
        <w:pStyle w:val="TextoNormal"/>
      </w:pPr>
    </w:p>
    <w:p w14:paraId="1DE715A0" w14:textId="77777777" w:rsidR="003754FE" w:rsidRDefault="003754FE" w:rsidP="003754FE">
      <w:pPr>
        <w:pStyle w:val="TextoNormal"/>
      </w:pPr>
      <w:r>
        <w:t>A lo anterior ha de añadirse que tampoco ha lugar a apreciar la carencia sobrevenida de objeto del recurso de inconstitucionalidad en lo que se refiere a la queja relativa a la infracción del art. 116 CE, por haberse regulado medidas de suspensión o restricción de derechos fundamentales que solo cabe adoptar a través de la legislación excepcional de los estados de crisis. Por las mismas razones que han llevado a este tribunal a no declarar la pérdida de objeto en los supuestos de denuncias de infracciones de los arts. 86.1 y 81.1 CE, antes referidos, cabe aquí considerar que la derogación del Decreto-ley 5/2021 no hace desaparecer el interés constitucional en resolver la posible vulneración de los límites que la Constitución establece para la regulación propia de los estados excepcionales (arts. 55 y 116 CE), pues el pronunciamiento que con esta alegación se insta de este tribunal viene referido, como en aquellos otros casos, a “la necesidad de velar por el correcto funcionamiento del sistema de producción normativa constitucionalmente establecido” (STC 67/2024, FJ 2).</w:t>
      </w:r>
    </w:p>
    <w:p w14:paraId="2E0322D8" w14:textId="77777777" w:rsidR="003754FE" w:rsidRDefault="003754FE" w:rsidP="003754FE">
      <w:pPr>
        <w:pStyle w:val="TextoNormal"/>
      </w:pPr>
    </w:p>
    <w:p w14:paraId="5C8218D5" w14:textId="77777777" w:rsidR="003754FE" w:rsidRDefault="003754FE" w:rsidP="003754FE">
      <w:pPr>
        <w:pStyle w:val="TextoNormal"/>
      </w:pPr>
      <w:r>
        <w:t xml:space="preserve">Por lo expuesto, tan solo ha perdido objeto la impugnación de art. 49 </w:t>
      </w:r>
      <w:r w:rsidRPr="003754FE">
        <w:rPr>
          <w:i/>
        </w:rPr>
        <w:t>bis</w:t>
      </w:r>
      <w:r>
        <w:t>.3 g), en relación con la pretendida infracción por el mismo del principio de seguridad jurídica (art. 9.3 CE) pues, por más que se invoque sistemáticamente dentro del apartado de la demanda relativo a la infracción de la reserva de ley orgánica, en realidad constituye un motivo de impugnación de carácter sustantivo que ni guarda relación con dicha pretendida infracción constitucional ni resulta reconducible a ninguna de las excepciones a la regla general admitidas por nuestra jurisprudencia que acabamos de mencionar. Hecha esta salvedad, en todo lo demás no ha lugar a declarar la desaparición sobrevenida de objeto del presente recurso de inconstitucionalidad.</w:t>
      </w:r>
    </w:p>
    <w:p w14:paraId="380BA124" w14:textId="77777777" w:rsidR="003754FE" w:rsidRDefault="003754FE" w:rsidP="003754FE">
      <w:pPr>
        <w:pStyle w:val="TextoNormal"/>
      </w:pPr>
    </w:p>
    <w:p w14:paraId="332E613D" w14:textId="77777777" w:rsidR="003754FE" w:rsidRDefault="003754FE" w:rsidP="003754FE">
      <w:pPr>
        <w:pStyle w:val="TextoNormal"/>
      </w:pPr>
      <w:r>
        <w:t>b) Por otra parte, en lo que se refiere al orden de examen de las diferentes tachas de inconstitucionalidad que se formulan en la demanda, debemos recordar que corresponde a este tribunal, en función de las circunstancias concurrentes en cada supuesto concreto, determinar el orden del examen de las quejas planteadas [SSTC 37/2022, de 10 de marzo, FJ 3 b), y 146/2023, de 26 de octubre, FJ 2].</w:t>
      </w:r>
    </w:p>
    <w:p w14:paraId="7EAEC43C" w14:textId="77777777" w:rsidR="003754FE" w:rsidRDefault="003754FE" w:rsidP="003754FE">
      <w:pPr>
        <w:pStyle w:val="TextoNormal"/>
      </w:pPr>
    </w:p>
    <w:p w14:paraId="5A9BEDC1" w14:textId="6CF53AFD" w:rsidR="003754FE" w:rsidRDefault="003754FE" w:rsidP="003754FE">
      <w:pPr>
        <w:pStyle w:val="TextoNormal"/>
      </w:pPr>
      <w:r>
        <w:t xml:space="preserve">Así las cosas, analizaremos los motivos de impugnación en los que se fundamenta el recurso de inconstitucionalidad sucesivamente, siguiendo el mismo orden que propone la </w:t>
      </w:r>
      <w:r>
        <w:lastRenderedPageBreak/>
        <w:t>demanda, salvo que la eventual estimación de alguna de las quejas haga innecesario pronunciarse sobre las restantes.</w:t>
      </w:r>
    </w:p>
    <w:p w14:paraId="654A88AA" w14:textId="77777777" w:rsidR="003754FE" w:rsidRDefault="003754FE" w:rsidP="003754FE">
      <w:pPr>
        <w:pStyle w:val="TextoNormal"/>
      </w:pPr>
    </w:p>
    <w:p w14:paraId="7B158BDA" w14:textId="77777777" w:rsidR="003754FE" w:rsidRDefault="003754FE" w:rsidP="003754FE">
      <w:pPr>
        <w:pStyle w:val="TextoNormal"/>
      </w:pPr>
      <w:r w:rsidRPr="003754FE">
        <w:rPr>
          <w:rStyle w:val="NumeroAFNegritaCaracter"/>
        </w:rPr>
        <w:t>3</w:t>
      </w:r>
      <w:r>
        <w:t xml:space="preserve">. </w:t>
      </w:r>
      <w:r w:rsidRPr="003754FE">
        <w:rPr>
          <w:i/>
        </w:rPr>
        <w:t>Infracción del art. 86.1 CE en relación con los límites materiales del decreto-ley autonómico</w:t>
      </w:r>
    </w:p>
    <w:p w14:paraId="02A9DC4A" w14:textId="77777777" w:rsidR="003754FE" w:rsidRDefault="003754FE" w:rsidP="003754FE">
      <w:pPr>
        <w:pStyle w:val="TextoNormal"/>
      </w:pPr>
    </w:p>
    <w:p w14:paraId="745D4C29" w14:textId="77777777" w:rsidR="003754FE" w:rsidRDefault="003754FE" w:rsidP="003754FE">
      <w:pPr>
        <w:pStyle w:val="TextoNormal"/>
      </w:pPr>
      <w:r>
        <w:t>A) En el primero de sus motivos de impugnación, los diputados recurrentes denuncian el uso indebido por parte del Gobierno de las Illes Balears del instrumento normativo del decreto-ley. Cumple precisar que la queja se refiere únicamente al incumplimiento por parte del legislador de urgencia balear de los límites materiales del decreto-ley puesto que, como indica expresamente la demanda, “no se discute la concurrencia del presupuesto […] habilitante, es decir, la existencia de una extraordinaria y urgente necesidad, ni tampoco la conexión de sentido entre la situación excepcional que se define y las medidas que se adoptan para conseguir el objetivo que se persigue”.</w:t>
      </w:r>
    </w:p>
    <w:p w14:paraId="3B4A08F8" w14:textId="77777777" w:rsidR="003754FE" w:rsidRDefault="003754FE" w:rsidP="003754FE">
      <w:pPr>
        <w:pStyle w:val="TextoNormal"/>
      </w:pPr>
    </w:p>
    <w:p w14:paraId="51F123C3" w14:textId="77777777" w:rsidR="003754FE" w:rsidRDefault="003754FE" w:rsidP="003754FE">
      <w:pPr>
        <w:pStyle w:val="TextoNormal"/>
      </w:pPr>
      <w:r>
        <w:t>A juicio de los demandantes, la regulación contenida en el precepto impugnado afecta, en el sentido constitucional del término, al contenido esencial de los derechos fundamentales reconocidos en los arts. 15 (derecho a la integridad física), 17.1 (libertad personal), 18.1 (derecho a la intimidad personal), 19 (libertades de circulación y de residencia) y 21 (derecho de reunión) CE.</w:t>
      </w:r>
    </w:p>
    <w:p w14:paraId="30EDF967" w14:textId="77777777" w:rsidR="003754FE" w:rsidRDefault="003754FE" w:rsidP="003754FE">
      <w:pPr>
        <w:pStyle w:val="TextoNormal"/>
      </w:pPr>
    </w:p>
    <w:p w14:paraId="4F5D07B4" w14:textId="77777777" w:rsidR="003754FE" w:rsidRDefault="003754FE" w:rsidP="003754FE">
      <w:pPr>
        <w:pStyle w:val="TextoNormal"/>
      </w:pPr>
      <w:r>
        <w:t xml:space="preserve">B) Antes de examinar la cuestión de fondo resulta preciso delimitar lo que haya de constituir el objeto de nuestro enjuiciamiento. Ello se debe a que el recurso de inconstitucionalidad dirige la impugnación contra los apartados 2 y 3 del art. 49 </w:t>
      </w:r>
      <w:r w:rsidRPr="003754FE">
        <w:rPr>
          <w:i/>
        </w:rPr>
        <w:t>bis</w:t>
      </w:r>
      <w:r>
        <w:t xml:space="preserve"> de la Ley 16/2010, en la redacción dada por el Decreto-ley 5/2021, en su conjunto, y, aunque no indica expresamente a qué subapartados concretos se refieren cada una de las quejas, de la lectura de la demanda se desprende que la afectación de derechos fundamentales que se denuncia no se refiere a todas y cada una de las medidas contenidas en los apartados 2 y 3 del art. 49 </w:t>
      </w:r>
      <w:r w:rsidRPr="003754FE">
        <w:rPr>
          <w:i/>
        </w:rPr>
        <w:t>bis</w:t>
      </w:r>
      <w:r>
        <w:t xml:space="preserve"> sino solamente a una parte —considerable, eso sí— de aquellas.</w:t>
      </w:r>
    </w:p>
    <w:p w14:paraId="18BE92FD" w14:textId="77777777" w:rsidR="003754FE" w:rsidRDefault="003754FE" w:rsidP="003754FE">
      <w:pPr>
        <w:pStyle w:val="TextoNormal"/>
      </w:pPr>
    </w:p>
    <w:p w14:paraId="4A3DAE6F" w14:textId="77777777" w:rsidR="003754FE" w:rsidRDefault="003754FE" w:rsidP="003754FE">
      <w:pPr>
        <w:pStyle w:val="TextoNormal"/>
      </w:pPr>
      <w:r>
        <w:t xml:space="preserve">En efecto, esta tacha de inconstitucionalidad va dirigida contra las “medidas limitativas respecto de las personas enfermas, de las personas que estén o hayan estado en contacto con estas y del ambiente inmediato”, de suerte que cabe entender que la impugnación tiene por objeto las medidas reguladas en el art. 49 </w:t>
      </w:r>
      <w:r w:rsidRPr="003754FE">
        <w:rPr>
          <w:i/>
        </w:rPr>
        <w:t>bis</w:t>
      </w:r>
      <w:r>
        <w:t>.3. De todo el amplísimo abanico de medidas sanitarias que regula el precepto impugnado, el razonamiento de la demanda solo se centra en las siguientes:</w:t>
      </w:r>
    </w:p>
    <w:p w14:paraId="7976D98D" w14:textId="77777777" w:rsidR="003754FE" w:rsidRDefault="003754FE" w:rsidP="003754FE">
      <w:pPr>
        <w:pStyle w:val="TextoNormal"/>
      </w:pPr>
    </w:p>
    <w:p w14:paraId="5B72FEE1" w14:textId="77777777" w:rsidR="003754FE" w:rsidRDefault="003754FE" w:rsidP="003754FE">
      <w:pPr>
        <w:pStyle w:val="TextoNormal"/>
      </w:pPr>
      <w:r>
        <w:t xml:space="preserve">a) Las medidas de internamiento y aislamiento, respecto de las cuales se afirma que constituyen “una afección a la libertad personal del artículo 17.1 CE”. Esta alegación ha de entenderse referida a las letras a) (“Medidas de control de las personas enfermas, cuando sea procedente, como el aislamiento en el domicilio, el internamiento en un centro hospitalario o el aislamiento o internamiento en otro lugar adecuado para esta finalidad”) y c) (“Medidas de control de las personas que estén o hayan estado en contacto con las personas enfermas, como el sometimiento a una cuarentena en el domicilio o en otro lugar adecuado para esta finalidad. A tal efecto, se entiende por cuarentena la restricción de las actividades y la separación, de las otras personas que no están enfermas, de una persona respecto a la que pueda tenerse razonablemente la sospecha de que haya estado o haya podido estar expuesta a un riesgo para la salud pública y sea una posible fuente de propagación adicional de </w:t>
      </w:r>
      <w:r>
        <w:lastRenderedPageBreak/>
        <w:t xml:space="preserve">enfermedades, de acuerdo con los principios científicos, las pruebas científicas o la información disponible”) del art. 49 </w:t>
      </w:r>
      <w:r w:rsidRPr="003754FE">
        <w:rPr>
          <w:i/>
        </w:rPr>
        <w:t>bis</w:t>
      </w:r>
      <w:r>
        <w:t xml:space="preserve">.3. También se han de conectar estas alegaciones con las medidas de salud pública previstas en el listado del art. 49 </w:t>
      </w:r>
      <w:r w:rsidRPr="003754FE">
        <w:rPr>
          <w:i/>
        </w:rPr>
        <w:t>bis</w:t>
      </w:r>
      <w:r>
        <w:t>.3 g), que se refieren a: (i) “Aislamiento y cuarentena a las personas afectadas”; y (ii) “Limitaciones de desplazamientos territoriales que protejan del riesgo de transmisión y limitación de desplazamientos personales, manteniendo en todos los niveles de alerta los desplazamientos esenciales, siempre que se realicen de forma individual o con la unidad de convivencia y con todas las medidas de precaución higiénicas y de distanciamiento. Se incluye la limitación en horario nocturno”.</w:t>
      </w:r>
    </w:p>
    <w:p w14:paraId="1CE955D2" w14:textId="77777777" w:rsidR="003754FE" w:rsidRDefault="003754FE" w:rsidP="003754FE">
      <w:pPr>
        <w:pStyle w:val="TextoNormal"/>
      </w:pPr>
    </w:p>
    <w:p w14:paraId="614A2E7D" w14:textId="77777777" w:rsidR="003754FE" w:rsidRDefault="003754FE" w:rsidP="003754FE">
      <w:pPr>
        <w:pStyle w:val="TextoNormal"/>
      </w:pPr>
      <w:r>
        <w:t xml:space="preserve">b) Las medidas preventivas de control que comportan restricciones o limitaciones a la circulación y movilidad de las personas que, afirman, “suponen sin duda delimitar el contorno y alcance de los límites impuestos al ejercicio” del derecho a la libertad de circulación del art. 19 CE. Estas impugnaciones han de considerarse referidas a los dos párrafos segundo y tercero del art. 49 </w:t>
      </w:r>
      <w:r w:rsidRPr="003754FE">
        <w:rPr>
          <w:i/>
        </w:rPr>
        <w:t>bis</w:t>
      </w:r>
      <w:r>
        <w:t>.3 f), cuando contemplan: (i) “Medidas que comporten la limitación o la restricción de la circulación o la movilidad de las personas dentro de la zona o la isla o las islas afectadas o en determinados lugares y espacios dentro de esta zona o en determinadas franjas horarias”; y (ii) “Medidas de control de la salida de la zona o la isla o las islas afectadas o de entrada en estas, incluido el establecimiento de pruebas diagnósticas previas o posteriores”.</w:t>
      </w:r>
    </w:p>
    <w:p w14:paraId="1FD31D10" w14:textId="77777777" w:rsidR="003754FE" w:rsidRDefault="003754FE" w:rsidP="003754FE">
      <w:pPr>
        <w:pStyle w:val="TextoNormal"/>
      </w:pPr>
    </w:p>
    <w:p w14:paraId="4836DB43" w14:textId="77777777" w:rsidR="003754FE" w:rsidRDefault="003754FE" w:rsidP="003754FE">
      <w:pPr>
        <w:pStyle w:val="TextoNormal"/>
      </w:pPr>
      <w:r>
        <w:t xml:space="preserve">c) Las restricciones para celebrar reuniones privadas que, según se afirma en la demanda, “en tanto inciden en el contenido esencial del derecho de reunión constitucionalmente garantizado, vulneran el art. 86.1 CE”. Esta impugnación ha de ponerse en relación con la previsión contenida en el quinto párrafo del art. 49 </w:t>
      </w:r>
      <w:r w:rsidRPr="003754FE">
        <w:rPr>
          <w:i/>
        </w:rPr>
        <w:t>bis</w:t>
      </w:r>
      <w:r>
        <w:t xml:space="preserve">.3 f): “Restricciones a las agrupaciones de personas, incluidas las reuniones privadas entre no convivientes, especialmente en los lugares y los espacios o con ocasión del desarrollo de actividades que comporten un mayor riesgo de propagación de la enfermedad; todo ello sin perjuicio de las competencias estatales en relación con las reuniones en lugares de tránsito público y las manifestaciones realizadas en ejercicio del derecho fundamental regulado en el artículo 21 de la Constitución española”. E igualmente debe entenderse dirigida la impugnación contra la medida de salud pública prevista en el art. 49 </w:t>
      </w:r>
      <w:r w:rsidRPr="003754FE">
        <w:rPr>
          <w:i/>
        </w:rPr>
        <w:t>bis</w:t>
      </w:r>
      <w:r>
        <w:t>.3 g): “Limitación del número de personas que se puede reunir, tanto en espacios públicos como privados”.</w:t>
      </w:r>
    </w:p>
    <w:p w14:paraId="72D1DCCA" w14:textId="77777777" w:rsidR="003754FE" w:rsidRDefault="003754FE" w:rsidP="003754FE">
      <w:pPr>
        <w:pStyle w:val="TextoNormal"/>
      </w:pPr>
    </w:p>
    <w:p w14:paraId="263A252F" w14:textId="77777777" w:rsidR="003754FE" w:rsidRDefault="003754FE" w:rsidP="003754FE">
      <w:pPr>
        <w:pStyle w:val="TextoNormal"/>
      </w:pPr>
      <w:r>
        <w:t xml:space="preserve">d) Por su parte, la afectación del derecho a la integridad física (art. 15 CE) y del derecho a la intimidad personal (art. 18.1 CE), en relación con la noción de vida privada (art. 8 CEDH) se denuncia en relación con “las medidas profilácticas —entre ellas, la vacunación obligatoria— que pueden acordar las autoridades autonómicas al amparo del art. 49 </w:t>
      </w:r>
      <w:r w:rsidRPr="003754FE">
        <w:rPr>
          <w:i/>
        </w:rPr>
        <w:t>bis</w:t>
      </w:r>
      <w:r>
        <w:t xml:space="preserve"> apartado 3 e)”. En este caso, sin ningún género de dudas, el recurso se dirige exclusivamente contra el art. 4</w:t>
      </w:r>
      <w:r w:rsidRPr="003754FE">
        <w:rPr>
          <w:i/>
        </w:rPr>
        <w:t>9 b</w:t>
      </w:r>
      <w:r>
        <w:t>is.3 e).</w:t>
      </w:r>
    </w:p>
    <w:p w14:paraId="6CAAB82F" w14:textId="77777777" w:rsidR="003754FE" w:rsidRDefault="003754FE" w:rsidP="003754FE">
      <w:pPr>
        <w:pStyle w:val="TextoNormal"/>
      </w:pPr>
    </w:p>
    <w:p w14:paraId="21D39923" w14:textId="77777777" w:rsidR="003754FE" w:rsidRDefault="003754FE" w:rsidP="003754FE">
      <w:pPr>
        <w:pStyle w:val="TextoNormal"/>
      </w:pPr>
      <w:r>
        <w:t xml:space="preserve">Por lo tanto, el objeto del recurso, en lo que se refiere a la infracción de los límites materiales de los decretos-leyes, ha de quedar restringido a los apartados que acabamos de indicar. En cuanto al resto del contenido del precepto impugnado ha de quedar excluido de nuestro enjuiciamiento por no haber cumplido la demanda con la carga argumental que le incumbe ya que, como reiteramos en STC 76/2024, de 8 de mayo, FJ 2 b) (i), con cita de las SSTC 87/2017, de 4 de julio, FJ 2, y 68/2021, de 18 de marzo, FJ 2 B), “nuestro pronunciamiento debe centrarse en los aspectos señalados en la demanda ‘sin que este tribunal </w:t>
      </w:r>
      <w:r>
        <w:lastRenderedPageBreak/>
        <w:t>pueda entrar en aquellos sobre los que el recurso, no solo carece de una argumentación suficiente que permita desvirtuar la presunción de validez de las leyes aprobadas’ (STC 237/2007, de 8 de noviembre, FJ 3), sino que, además, ‘exceden de la pretensión planteada’ (STC 8/2013, de 17 de enero, FJ 2). En efecto,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43/1996, de 14 de marzo, FJ 3; 36/1994, de 10 de febrero, FJ 1, y 61/1997, de 20 de marzo, FJ 13). Ello supone que no debe estimarse una pretensión que solo descansa en la mera aseveración genérica, huérfana de toda argumentación […]’ [STC 22/2012, de 16 de febrero, FJ 2 b)]”.</w:t>
      </w:r>
    </w:p>
    <w:p w14:paraId="0C042D4A" w14:textId="77777777" w:rsidR="003754FE" w:rsidRDefault="003754FE" w:rsidP="003754FE">
      <w:pPr>
        <w:pStyle w:val="TextoNormal"/>
      </w:pPr>
    </w:p>
    <w:p w14:paraId="74AC4D81" w14:textId="77777777" w:rsidR="003754FE" w:rsidRDefault="003754FE" w:rsidP="003754FE">
      <w:pPr>
        <w:pStyle w:val="TextoNormal"/>
      </w:pPr>
      <w:r>
        <w:t>C) Una vez delimitado el objeto de enjuiciamiento, hemos de recordar la doctrina constitucional sobre los límites materiales de los decretos-leyes, en lo que atañe a la prohibición de “afectar” a los derechos, deberes y libertades de los ciudadanos regulados en el título I CE que prevé el art. 86.1 CE y que, en relación con los decretos-leyes autonómicos, contempla también, en lo que aquí interesa, el art. 49.1 EAIB.</w:t>
      </w:r>
    </w:p>
    <w:p w14:paraId="04F27AE9" w14:textId="77777777" w:rsidR="003754FE" w:rsidRDefault="003754FE" w:rsidP="003754FE">
      <w:pPr>
        <w:pStyle w:val="TextoNormal"/>
      </w:pPr>
    </w:p>
    <w:p w14:paraId="64DEF236" w14:textId="77777777" w:rsidR="003754FE" w:rsidRDefault="003754FE" w:rsidP="003754FE">
      <w:pPr>
        <w:pStyle w:val="TextoNormal"/>
      </w:pPr>
      <w:r>
        <w:t>En lo que hace a esta limitación material constitucionalmente establecida, nuestro enjuiciamiento debe partir de que “afectar” derechos constitucionales es, según nuestra doctrina, una noción restringida, pues la STC 111/1983, de 2 de diciembre, FJ 8, sostuvo que “la cláusula restrictiva del art. 86.1 de la CE (‘no podrán afectar [...]’) debe ser entendida de modo tal que ni reduzca a la nada el decreto-ley, […] ni permita que por decreto-ley se regule el régimen general de los derechos, deberes y libertades del título I, ni dé pie para que por decreto-ley se vaya en contra del contenido o elementos esenciales de alguno de tales derechos”.</w:t>
      </w:r>
    </w:p>
    <w:p w14:paraId="69F914D3" w14:textId="77777777" w:rsidR="003754FE" w:rsidRDefault="003754FE" w:rsidP="003754FE">
      <w:pPr>
        <w:pStyle w:val="TextoNormal"/>
      </w:pPr>
    </w:p>
    <w:p w14:paraId="12AC1908" w14:textId="77777777" w:rsidR="003754FE" w:rsidRDefault="003754FE" w:rsidP="003754FE">
      <w:pPr>
        <w:pStyle w:val="TextoNormal"/>
      </w:pPr>
      <w:r>
        <w:t>De conformidad con ese criterio hermenéutico, lo que le está vedado al decreto-ley, por el juego del límite material ahora examinado, es la regulación del régimen general de los derechos, deberes y libertades del título I CE o que se vaya en contra del contenido o elementos esenciales de alguno de tales derechos de modo que de aquel límite se infiere que el decreto-ley no puede alterar ni el régimen general ni los elementos esenciales de los derechos, deberes y libertades del título I CE. La misma concepción estricta de la afectación de derechos constitucionales se ha reiterado, entre otras, en las SSTC 60/1986, de 20 de mayo, FJ 4; 182/1997, de 28 de octubre, FJ 6; 137/2003, de 3 de julio, FJ 6; 108/2004, de 30 de junio, FJ 7, y 329/2005, de 15 de diciembre, FJ 8. En todas ellas, de uno u otro modo, se añade que a lo que este tribunal debe atender al interpretar el límite material del art. 86.1 CE es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(SSTC 182/1997, de 28 de octubre, FJ 8; 329/2005, de 15 de diciembre, FJ 8; 100/2012, de 8 de mayo, FJ 9; 35/2017, de 1 de marzo, FJ 5; 134/2021, de 24 de junio, y 7/2024, de 16 de enero, FJ 5, entre otras).</w:t>
      </w:r>
    </w:p>
    <w:p w14:paraId="5C42C2E5" w14:textId="77777777" w:rsidR="003754FE" w:rsidRDefault="003754FE" w:rsidP="003754FE">
      <w:pPr>
        <w:pStyle w:val="TextoNormal"/>
      </w:pPr>
    </w:p>
    <w:p w14:paraId="4761A65A" w14:textId="77777777" w:rsidR="003754FE" w:rsidRDefault="003754FE" w:rsidP="003754FE">
      <w:pPr>
        <w:pStyle w:val="TextoNormal"/>
      </w:pPr>
      <w:r>
        <w:lastRenderedPageBreak/>
        <w:t>D) A partir de estas premisas estamos ya en disposición de examinar si los preceptos enjuiciados “afectan”, en el sentido constitucional de la expresión según el art. 86.1 CE, a los derechos fundamentales previstos en los arts. 15, 17.1, 18.1, 19 y 21, tal y como sostienen los diputados recurrentes.</w:t>
      </w:r>
    </w:p>
    <w:p w14:paraId="59B5AD2E" w14:textId="77777777" w:rsidR="003754FE" w:rsidRDefault="003754FE" w:rsidP="003754FE">
      <w:pPr>
        <w:pStyle w:val="TextoNormal"/>
      </w:pPr>
    </w:p>
    <w:p w14:paraId="73D67048" w14:textId="77777777" w:rsidR="003754FE" w:rsidRDefault="003754FE" w:rsidP="003754FE">
      <w:pPr>
        <w:pStyle w:val="TextoNormal"/>
      </w:pPr>
      <w:r>
        <w:t>A la hora de examinar esta cuestión, este tribunal no puede dejar de tener en cuenta que los apartados aquí impugnados tienen una redacción casi idéntica a los apartados del art. 38.2 b) de la Ley 8/2008, de 10 de julio, de salud de Galicia, en la redacción dada por la Ley 8/2021, de 25 de febrero, que fueron declarados inconstitucionales y nulos por la STC 136/2024, de 5 de noviembre.</w:t>
      </w:r>
    </w:p>
    <w:p w14:paraId="4C47E9EF" w14:textId="77777777" w:rsidR="003754FE" w:rsidRDefault="003754FE" w:rsidP="003754FE">
      <w:pPr>
        <w:pStyle w:val="TextoNormal"/>
      </w:pPr>
    </w:p>
    <w:p w14:paraId="7C559C98" w14:textId="77777777" w:rsidR="003754FE" w:rsidRDefault="003754FE" w:rsidP="003754FE">
      <w:pPr>
        <w:pStyle w:val="TextoNormal"/>
      </w:pPr>
      <w:r>
        <w:t>En el fundamento jurídico 5.3 A) de dicha sentencia, este tribunal consideró que la regulación gallega constituía una afectación a derechos fundamentales, por las siguientes razones:</w:t>
      </w:r>
    </w:p>
    <w:p w14:paraId="7BB6C2AC" w14:textId="77777777" w:rsidR="003754FE" w:rsidRDefault="003754FE" w:rsidP="003754FE">
      <w:pPr>
        <w:pStyle w:val="TextoNormal"/>
      </w:pPr>
    </w:p>
    <w:p w14:paraId="6724AE41" w14:textId="77777777" w:rsidR="003754FE" w:rsidRDefault="003754FE" w:rsidP="003754FE">
      <w:pPr>
        <w:pStyle w:val="TextoNormal"/>
      </w:pPr>
      <w:r>
        <w:t>a) En relación con el derecho a la libertad personal (art. 17.1 CE) y a la libertad de circulación (art. 19 CE), afirmamos que “las medidas de ‘aislamiento de personas enfermas’, ‘aislamiento en domicilio’, ‘internamiento en centro hospitalario’ o ‘internamiento en otro lugar adecuado para tal fin’ […], pueden implicar, en supuestos de riesgo de transmisión de enfermedades contagiosas especialmente graves, una privación radical de la capacidad de autodeterminación de movimientos de la persona, lo que determina que dichas medidas tengan incidencia potencial en la libertad personal del art. 17 CE. Lo mismo puede llegar a ocurrir con las cuarentenas en domicilio u otro lugar adecuado […], en cuanto, de acuerdo con la propia definición legal que se da de ellas, pueden llegar, en casos extremos, a la completa privación de la posibilidad de autodeterminación de movimientos. En cambio, todas estas medidas afectarán únicamente a la libertad de circulación (art. 19 CE) cuando, por su contenido, delimiten los supuestos concretos de restricción de movilidad, salvaguardando de modo suficiente la capacidad de autodeterminación deambulatoria de las personas afectadas” [FJ 5.3 A) a)].</w:t>
      </w:r>
    </w:p>
    <w:p w14:paraId="32D6C096" w14:textId="77777777" w:rsidR="003754FE" w:rsidRDefault="003754FE" w:rsidP="003754FE">
      <w:pPr>
        <w:pStyle w:val="TextoNormal"/>
      </w:pPr>
    </w:p>
    <w:p w14:paraId="68D26EBF" w14:textId="77777777" w:rsidR="003754FE" w:rsidRDefault="003754FE" w:rsidP="003754FE">
      <w:pPr>
        <w:pStyle w:val="TextoNormal"/>
      </w:pPr>
      <w:r>
        <w:t>También explicamos entonces que “las medidas relativas a la entrada y salida en ‘zonas afectadas’ por el riesgo de propagación de una enfermedad transmisible […] implican, por concepto, un margen de libertad deambulatoria compatible con el art. 17 CE, de modo que puede considerarse que afectan exclusivamente a la libertad de circulación del art. 19 CE” [FJ 5.3 A) a)].</w:t>
      </w:r>
    </w:p>
    <w:p w14:paraId="5D53E12E" w14:textId="77777777" w:rsidR="003754FE" w:rsidRDefault="003754FE" w:rsidP="003754FE">
      <w:pPr>
        <w:pStyle w:val="TextoNormal"/>
      </w:pPr>
    </w:p>
    <w:p w14:paraId="6DF06419" w14:textId="77777777" w:rsidR="003754FE" w:rsidRDefault="003754FE" w:rsidP="003754FE">
      <w:pPr>
        <w:pStyle w:val="TextoNormal"/>
      </w:pPr>
      <w:r>
        <w:t>b) En relación con el derecho de reunión (art. 21 CE), sostuvimos que “las limitaciones de reuniones privadas entre no convivientes […] afectan, de acuerdo con la doctrina de este tribunal, a dicho derecho fundamental, si bien solo al contenido garantizado en el apartado 1 del precepto y ello en conexión directa con el derecho a la intimidad personal y familiar reconocido en el art 18.1 CE.</w:t>
      </w:r>
    </w:p>
    <w:p w14:paraId="545046E2" w14:textId="77777777" w:rsidR="003754FE" w:rsidRDefault="003754FE" w:rsidP="003754FE">
      <w:pPr>
        <w:pStyle w:val="TextoNormal"/>
      </w:pPr>
    </w:p>
    <w:p w14:paraId="5FB9031F" w14:textId="77777777" w:rsidR="003754FE" w:rsidRDefault="003754FE" w:rsidP="003754FE">
      <w:pPr>
        <w:pStyle w:val="TextoNormal"/>
      </w:pPr>
      <w:r>
        <w:t xml:space="preserve">En efecto, hemos de recordar que, según remarca la STC 183/2021, de 27 de octubre, FJ 7, el Tribunal Europeo de Derechos Humanos ha considerado que las trabas u obstáculos al mantenimiento del contacto con familiares y amigos no se encuadran en el ámbito del art. 11 CEDH, relativo a la libertad de reunión, sino en el de su art. 8.1, que garantiza la vida privada y familiar [STEDH (Gran Sala) de 12 de septiembre de 2012, asunto </w:t>
      </w:r>
      <w:r w:rsidRPr="003754FE">
        <w:rPr>
          <w:i/>
        </w:rPr>
        <w:t>Nada c. Suiza</w:t>
      </w:r>
      <w:r>
        <w:t xml:space="preserve">, § 165]. Por esta razón, en la STC 148/2021 se declaró que este ámbito ha de considerarse </w:t>
      </w:r>
      <w:r>
        <w:lastRenderedPageBreak/>
        <w:t>‘constitucionalmente protegid[o] por el juego combinado de los arts. 21.1 y 18 CE’, FJ 5 a). Estos derechos fundamentales resultan, por ello, afectados por la medida indicada, en cuanto esta limita la posibilidad de mantener reuniones privadas con no convivientes.</w:t>
      </w:r>
    </w:p>
    <w:p w14:paraId="071EE558" w14:textId="77777777" w:rsidR="003754FE" w:rsidRDefault="003754FE" w:rsidP="003754FE">
      <w:pPr>
        <w:pStyle w:val="TextoNormal"/>
      </w:pPr>
    </w:p>
    <w:p w14:paraId="624D63A0" w14:textId="77777777" w:rsidR="003754FE" w:rsidRDefault="003754FE" w:rsidP="003754FE">
      <w:pPr>
        <w:pStyle w:val="TextoNormal"/>
      </w:pPr>
      <w:r>
        <w:t>En cambio, no hay afectación, en la regulación examinada, del apartado 2 del art. 21 CE, relativo a las reuniones y manifestaciones en lugares de tránsito público, pues el precepto impugnado contiene una cláusula expresa que salvaguarda la posibilidad de que tales reuniones y manifestaciones puedan desarrollarse de acuerdo con el régimen general previsto en su ley orgánica reguladora (Ley Orgánica 9/1983, de 15 de julio, reguladora del derecho de reunión). Queda, pues, abierta la posibilidad de dirigir ‘comunicación previa a la autoridad’ para el ejercicio del derecho de reunión del art. 21.2 CE, de modo que en cada supuesto habría de ser ‘la autoridad gubernativa competente la que pudiera establecer restricciones, modificaciones o incluso prohibir su ejercicio’ (STC 183/2021, de 27 de octubre, FJ 7)” [FJ 5.3 A) b)].</w:t>
      </w:r>
    </w:p>
    <w:p w14:paraId="21BA7DFC" w14:textId="77777777" w:rsidR="003754FE" w:rsidRDefault="003754FE" w:rsidP="003754FE">
      <w:pPr>
        <w:pStyle w:val="TextoNormal"/>
      </w:pPr>
    </w:p>
    <w:p w14:paraId="1BDACEF3" w14:textId="77777777" w:rsidR="003754FE" w:rsidRDefault="003754FE" w:rsidP="003754FE">
      <w:pPr>
        <w:pStyle w:val="TextoNormal"/>
      </w:pPr>
      <w:r>
        <w:t>c) En relación con el sometimiento a “medidas profilácticas de prevención de la enfermedad, incluida la vacunación o inmunización”, este tribunal estimó que las mismas “afectan, con carácter general y sin necesidad de que conlleven riesgos especiales para la salud, al derecho a la integridad personal del art. 15 CE en su ‘dimensión positiva’, que implica, de acuerdo con nuestra doctrina, ‘una facultad de oposición a la asistencia médica, en ejercicio de un derecho de autodeterminación que tiene por objeto el propio sustrato corporal, como distinto del derecho a la salud o a la vida’ (SSTC 154/2002, de 18 de julio, FJ 9, y 38/2023, de 20 de abril, FJ 4)” [FJ 5.3 A) c)].</w:t>
      </w:r>
    </w:p>
    <w:p w14:paraId="619B6000" w14:textId="77777777" w:rsidR="003754FE" w:rsidRDefault="003754FE" w:rsidP="003754FE">
      <w:pPr>
        <w:pStyle w:val="TextoNormal"/>
      </w:pPr>
    </w:p>
    <w:p w14:paraId="391E16EB" w14:textId="77777777" w:rsidR="003754FE" w:rsidRDefault="003754FE" w:rsidP="003754FE">
      <w:pPr>
        <w:pStyle w:val="TextoNormal"/>
      </w:pPr>
      <w:r>
        <w:t>Además, en la referida sentencia sostuvimos que aquellas medidas no solamente afectaban a derechos fundamentales, sino que respondían “a las características propias de las medidas de restricción o limitación de dichos derechos” [FJ 5.3 B)] y que comportaban una “[r]egulación de aspectos esenciales” del derecho fundamental [FJ 5.3 C)].</w:t>
      </w:r>
    </w:p>
    <w:p w14:paraId="15956BD0" w14:textId="77777777" w:rsidR="003754FE" w:rsidRDefault="003754FE" w:rsidP="003754FE">
      <w:pPr>
        <w:pStyle w:val="TextoNormal"/>
      </w:pPr>
    </w:p>
    <w:p w14:paraId="211651FD" w14:textId="77777777" w:rsidR="003754FE" w:rsidRDefault="003754FE" w:rsidP="003754FE">
      <w:pPr>
        <w:pStyle w:val="TextoNormal"/>
      </w:pPr>
      <w:r>
        <w:t>Si bien todas las consideraciones antes expuestas se efectuaron desde la perspectiva de una impugnación por vulneración de la reserva de ley orgánica (art. 81.1 CE), que no es exactamente coincidente con la que aquí nos ocupa, la misma argumentación ha de conducir aquí a apreciar que los apartados objeto de enjuiciamiento en este momento, al tener por objeto la regulación de restricciones o limitaciones de derechos fundamentales que inciden en aspectos esenciales de su regulación, constituyen una afectación de los derechos regulados en los arts. 15, 17.1, 18.1, 19 y 21.1 CE. Y ello resulta vedado al decreto-ley con arreglo a lo dispuesto en los arts. 86.1 CE y 49.1 EAIB.</w:t>
      </w:r>
    </w:p>
    <w:p w14:paraId="62C62DA5" w14:textId="77777777" w:rsidR="003754FE" w:rsidRDefault="003754FE" w:rsidP="003754FE">
      <w:pPr>
        <w:pStyle w:val="TextoNormal"/>
      </w:pPr>
    </w:p>
    <w:p w14:paraId="464AE7F5" w14:textId="77777777" w:rsidR="003754FE" w:rsidRDefault="003754FE" w:rsidP="003754FE">
      <w:pPr>
        <w:pStyle w:val="TextoNormal"/>
      </w:pPr>
      <w:r>
        <w:t xml:space="preserve">En consecuencia, procede declarar inconstitucionales y nulos por vulnerar los arts. 86.1 CE y 49 EAIB, en relación con los límites materiales de los decretos-leyes, los siguientes apartados del art. 49 </w:t>
      </w:r>
      <w:r w:rsidRPr="003754FE">
        <w:rPr>
          <w:i/>
        </w:rPr>
        <w:t>bis</w:t>
      </w:r>
      <w:r>
        <w:t xml:space="preserve">.3 de la Ley 16/2010, en la redacción dada por el Decreto-ley 5/2021: las letras a), c) y e); los párrafos segundo (“Medidas que comporten la limitación o la restricción de la circulación o la movilidad de las personas dentro de la zona o la isla o las islas afectadas o en determinados lugares y espacios dentro de esta zona o en determinadas franjas horarias”), tercero (“Medidas de control de la salida de la zona o la isla o las islas afectadas o de entrada en estas, incluido el establecimiento de pruebas diagnósticas previas o posteriores”) y quinto (“Restricciones a las agrupaciones de personas, incluidas las reuniones privadas entre no convivientes, especialmente en los lugares y los espacios o con ocasión </w:t>
      </w:r>
      <w:r>
        <w:lastRenderedPageBreak/>
        <w:t>del desarrollo de actividades que comporten un mayor riesgo de propagación de la enfermedad; todo ello sin perjuicio de las competencias estatales en relación con las reuniones en lugares de tránsito público y las manifestaciones realizadas en ejercicio del derecho fundamental regulado en el artículo 21 de la Constitución española”), de la letra f); así como las medidas de salud pública recogidas en los incisos “Aislamiento y cuarentena a las personas afectadas”, “Limitaciones de desplazamientos territoriales que protejan del riesgo de transmisión y limitación de desplazamientos personales, manteniendo en todos los niveles de alerta los desplazamientos esenciales, siempre que se realicen de forma individual o con la unidad de convivencia y con todas las medidas de precaución higiénicas y de distanciamiento. Se incluye la limitación en horario nocturno” y “Limitación del número de personas que se puede reunir, tanto en espacios públicos como privados” de la letra g).</w:t>
      </w:r>
    </w:p>
    <w:p w14:paraId="2C33F2CD" w14:textId="77777777" w:rsidR="003754FE" w:rsidRDefault="003754FE" w:rsidP="003754FE">
      <w:pPr>
        <w:pStyle w:val="TextoNormal"/>
      </w:pPr>
    </w:p>
    <w:p w14:paraId="2F1AC513" w14:textId="46AD88DD" w:rsidR="003754FE" w:rsidRDefault="003754FE" w:rsidP="003754FE">
      <w:pPr>
        <w:pStyle w:val="TextoNormal"/>
      </w:pPr>
      <w:r>
        <w:t xml:space="preserve">La declaración de inconstitucionalidad de estos apartados ha de llevar aparejada, por conexión o consecuencia (art. 39.1 LOTC), la declaración de inconstitucionalidad y nulidad del último párrafo del art. 49 </w:t>
      </w:r>
      <w:r w:rsidRPr="003754FE">
        <w:rPr>
          <w:i/>
        </w:rPr>
        <w:t>bis</w:t>
      </w:r>
      <w:r>
        <w:t>.3 f), que establece que “las restricciones a los desplazamientos y a las agrupaciones de personas enumeradas anteriormente nunca pueden ser absolutas, tienen que expresar con claridad y precisión los desplazamientos y las agrupaciones que se restringen, y deben actuar con preferencia sobre los desplazamientos y las agrupaciones por razones meramente recreativas y de ocio. Se deben admitir, en todo caso, los desplazamientos y las agrupaciones que se realicen por motivos esenciales o justificados compatibles con la protección de la salud, sin perjuicio, si procede, de los controles o las medidas de prevención adicionales que se puedan establecer”.</w:t>
      </w:r>
    </w:p>
    <w:p w14:paraId="5F1A55DE" w14:textId="77777777" w:rsidR="003754FE" w:rsidRDefault="003754FE" w:rsidP="003754FE">
      <w:pPr>
        <w:pStyle w:val="TextoNormal"/>
      </w:pPr>
    </w:p>
    <w:p w14:paraId="606ECA67" w14:textId="77777777" w:rsidR="003754FE" w:rsidRDefault="003754FE" w:rsidP="003754FE">
      <w:pPr>
        <w:pStyle w:val="TextoNormal"/>
      </w:pPr>
      <w:r w:rsidRPr="003754FE">
        <w:rPr>
          <w:rStyle w:val="NumeroAFNegritaCaracter"/>
        </w:rPr>
        <w:t>4</w:t>
      </w:r>
      <w:r>
        <w:t xml:space="preserve">. </w:t>
      </w:r>
      <w:r w:rsidRPr="003754FE">
        <w:rPr>
          <w:i/>
        </w:rPr>
        <w:t>Infracción del art. 81.1 CE, en relación con la reserva de ley orgánica</w:t>
      </w:r>
    </w:p>
    <w:p w14:paraId="648798A4" w14:textId="77777777" w:rsidR="003754FE" w:rsidRDefault="003754FE" w:rsidP="003754FE">
      <w:pPr>
        <w:pStyle w:val="TextoNormal"/>
      </w:pPr>
    </w:p>
    <w:p w14:paraId="637F3DC5" w14:textId="77777777" w:rsidR="003754FE" w:rsidRDefault="003754FE" w:rsidP="003754FE">
      <w:pPr>
        <w:pStyle w:val="TextoNormal"/>
      </w:pPr>
      <w:r>
        <w:t xml:space="preserve">a) En siguiente lugar, el recurso de inconstitucionalidad denuncia la vulneración de la reserva de ley orgánica (art. 81.1 CE), respecto de: (i) los apartados a), c) y f), primer inciso, del art. 49 </w:t>
      </w:r>
      <w:r w:rsidRPr="003754FE">
        <w:rPr>
          <w:i/>
        </w:rPr>
        <w:t>bis</w:t>
      </w:r>
      <w:r>
        <w:t xml:space="preserve">.3, en relación con el art. 17.1 CE; (ii) los párrafos segundo y tercero del apartado f) del art. 49 </w:t>
      </w:r>
      <w:r w:rsidRPr="003754FE">
        <w:rPr>
          <w:i/>
        </w:rPr>
        <w:t>bis</w:t>
      </w:r>
      <w:r>
        <w:t xml:space="preserve">.3, en relación con el art. 19 CE; (iii) las “[r]estricciones a las agrupaciones de personas” previstas en el párrafo quinto del apartado f) del art. 49 </w:t>
      </w:r>
      <w:r w:rsidRPr="003754FE">
        <w:rPr>
          <w:i/>
        </w:rPr>
        <w:t>bis</w:t>
      </w:r>
      <w:r>
        <w:t xml:space="preserve">.3, en relación con el art. 21 CE; y (iv) los apartados b), d), e) y f), sexto párrafo, del art. 49 </w:t>
      </w:r>
      <w:r w:rsidRPr="003754FE">
        <w:rPr>
          <w:i/>
        </w:rPr>
        <w:t>bis</w:t>
      </w:r>
      <w:r>
        <w:t>.3, en relación con los arts. 15 y 18.1 CE.</w:t>
      </w:r>
    </w:p>
    <w:p w14:paraId="55AA6E08" w14:textId="77777777" w:rsidR="003754FE" w:rsidRDefault="003754FE" w:rsidP="003754FE">
      <w:pPr>
        <w:pStyle w:val="TextoNormal"/>
      </w:pPr>
    </w:p>
    <w:p w14:paraId="48B87D42" w14:textId="77777777" w:rsidR="003754FE" w:rsidRDefault="003754FE" w:rsidP="003754FE">
      <w:pPr>
        <w:pStyle w:val="TextoNormal"/>
      </w:pPr>
      <w:r>
        <w:t xml:space="preserve">Como consecuencia de la declaración de inconstitucionalidad acordada en el fundamento jurídico precedente, este motivo de impugnación ha perdido objeto en relación con la mayor parte de los apartados recurridos. Subsiste, sin embargo, el recurso de inconstitucionalidad en lo que se refiere a: (i) el apartado f), primer inciso, del art. 49 </w:t>
      </w:r>
      <w:r w:rsidRPr="003754FE">
        <w:rPr>
          <w:i/>
        </w:rPr>
        <w:t>bis</w:t>
      </w:r>
      <w:r>
        <w:t xml:space="preserve">.3, en relación con el art. 17.1 CE; y (ii) los apartados b), d) y f), sexto párrafo, del art. 49 </w:t>
      </w:r>
      <w:r w:rsidRPr="003754FE">
        <w:rPr>
          <w:i/>
        </w:rPr>
        <w:t>bis</w:t>
      </w:r>
      <w:r>
        <w:t>.3, en relación con los arts. 15 y 18.1 CE.</w:t>
      </w:r>
    </w:p>
    <w:p w14:paraId="6104E417" w14:textId="77777777" w:rsidR="003754FE" w:rsidRDefault="003754FE" w:rsidP="003754FE">
      <w:pPr>
        <w:pStyle w:val="TextoNormal"/>
      </w:pPr>
    </w:p>
    <w:p w14:paraId="19F84C92" w14:textId="77777777" w:rsidR="003754FE" w:rsidRDefault="003754FE" w:rsidP="003754FE">
      <w:pPr>
        <w:pStyle w:val="TextoNormal"/>
      </w:pPr>
      <w:r>
        <w:t xml:space="preserve">b) Para resolver este motivo de impugnación hemos de partir de la identidad entre los preceptos aquí impugnados y los apartados que fueron declarados inconstitucionales y nulos por la STC 136/2024, de 5 de noviembre. En concreto, el apartado f), primer inciso, del art. 49 </w:t>
      </w:r>
      <w:r w:rsidRPr="003754FE">
        <w:rPr>
          <w:i/>
        </w:rPr>
        <w:t>bis</w:t>
      </w:r>
      <w:r>
        <w:t xml:space="preserve">.3 de la ley balear tiene idéntica redacción al art. 38.2 b), apartado 6, primer inciso, de la Ley 8/2008, de 10 de julio, de salud de Galicia. Por su parte, el contenido los apartados b), d) y f) sexto párrafo del art. 49 </w:t>
      </w:r>
      <w:r w:rsidRPr="003754FE">
        <w:rPr>
          <w:i/>
        </w:rPr>
        <w:t>bis</w:t>
      </w:r>
      <w:r>
        <w:t>.3 se corresponde miméticamente con la redacción de las medidas previstas en el art. 38.2 b), apartados 2, 4 y 6 iv) de la Ley de salud de Galicia.</w:t>
      </w:r>
    </w:p>
    <w:p w14:paraId="039228C8" w14:textId="77777777" w:rsidR="003754FE" w:rsidRDefault="003754FE" w:rsidP="003754FE">
      <w:pPr>
        <w:pStyle w:val="TextoNormal"/>
      </w:pPr>
    </w:p>
    <w:p w14:paraId="0214B631" w14:textId="77777777" w:rsidR="003754FE" w:rsidRDefault="003754FE" w:rsidP="003754FE">
      <w:pPr>
        <w:pStyle w:val="TextoNormal"/>
      </w:pPr>
      <w:r>
        <w:lastRenderedPageBreak/>
        <w:t>Como quiera que los citados apartados de la ley gallega fueron declarados inconstitucionales y nulos en la citada STC 136/2024, FJ 5, por infringir la reserva de ley orgánica (art. 81.1 CE) al regular aspectos esenciales que constituyen desarrollo directo de derechos fundamentales, los apartados aquí impugnados, cuya redacción es coincidente con la de aquellos, han de correr idéntica suerte.</w:t>
      </w:r>
    </w:p>
    <w:p w14:paraId="22DBAC5F" w14:textId="77777777" w:rsidR="003754FE" w:rsidRDefault="003754FE" w:rsidP="003754FE">
      <w:pPr>
        <w:pStyle w:val="TextoNormal"/>
      </w:pPr>
    </w:p>
    <w:p w14:paraId="7F75E974" w14:textId="77777777" w:rsidR="003754FE" w:rsidRDefault="003754FE" w:rsidP="003754FE">
      <w:pPr>
        <w:pStyle w:val="TextoNormal"/>
      </w:pPr>
      <w:r>
        <w:t xml:space="preserve">En consecuencia, procede declarar que son inconstitucionales y nulos por vulneración de la reserva de ley orgánica los siguientes apartados del art. 49 </w:t>
      </w:r>
      <w:r w:rsidRPr="003754FE">
        <w:rPr>
          <w:i/>
        </w:rPr>
        <w:t>bis</w:t>
      </w:r>
      <w:r>
        <w:t>.3 de la Ley 16/2010, en redacción dada por el Decreto-ley 5/2021: las letras b), d) y f), párrafos primero (“Medidas de control del entorno inmediato de las personas enfermas o de las personas que estén o hayan estado en contacto con estas, así como de las zonas afectadas. A tal efecto, se entiende por zona afectada aquellos lugares geográficos en los que sean necesarias medidas sanitarias de control de la propagación de la enfermedad. La determinación de la zona afectada se efectuará de acuerdo con los principios de precaución y proporcionalidad, procurando, siempre que resulte posible y eficaz, actuar lo antes posible o con más intensidad o medida sobre las zonas concretas en las que se produzca la mayor afección, para evitar perjuicios innecesarios al resto de la población”) y sexto (“Medidas de cribado consistentes en la realización de pruebas diagnósticas de determinados sectores o grupos de la población particularmente afectados o vulnerables”).</w:t>
      </w:r>
    </w:p>
    <w:p w14:paraId="711D17B5" w14:textId="77777777" w:rsidR="003754FE" w:rsidRDefault="003754FE" w:rsidP="003754FE">
      <w:pPr>
        <w:pStyle w:val="TextoNormal"/>
      </w:pPr>
    </w:p>
    <w:p w14:paraId="690036D5" w14:textId="77777777" w:rsidR="003754FE" w:rsidRDefault="003754FE" w:rsidP="003754FE">
      <w:pPr>
        <w:pStyle w:val="TextoNormal"/>
      </w:pPr>
      <w:r>
        <w:t xml:space="preserve">Finalmente, dada la coincidencia entre su contenido y el de los apartados declarados inconstitucionales y nulos, dicha declaración de inconstitucionalidad y nulidad ha de extenderse, al amparo del art. 39.1 LOTC, a las medidas de salud pública previstas en los incisos del art. 49 </w:t>
      </w:r>
      <w:r w:rsidRPr="003754FE">
        <w:rPr>
          <w:i/>
        </w:rPr>
        <w:t>bis</w:t>
      </w:r>
      <w:r>
        <w:t>.3 g), que se refieren a “Pruebas diagnósticas a todas las personas que presenten síntomas” y a “Pruebas de cribado colectivas”.</w:t>
      </w:r>
    </w:p>
    <w:p w14:paraId="0698BF3D" w14:textId="77777777" w:rsidR="003754FE" w:rsidRDefault="003754FE" w:rsidP="003754FE">
      <w:pPr>
        <w:pStyle w:val="TextoNormal"/>
      </w:pPr>
    </w:p>
    <w:p w14:paraId="430174BB" w14:textId="77777777" w:rsidR="003754FE" w:rsidRDefault="003754FE" w:rsidP="003754FE">
      <w:pPr>
        <w:pStyle w:val="TextoNormal"/>
      </w:pPr>
      <w:r>
        <w:t>c) Como consecuencia de la declaración de inconstitucionalidad y nulidad de los apartados examinados hasta el momento se deriva la innecesariedad de examinar los motivos del recurso de inconstitucionalidad basados en la pretendida infracción del art. 116 CE y en una pretendida invasión de las competencias estatales previstas en los arts. 149.1.1 CE y 149.1.16 CE.</w:t>
      </w:r>
    </w:p>
    <w:p w14:paraId="41D7B7C7" w14:textId="77777777" w:rsidR="003754FE" w:rsidRDefault="003754FE" w:rsidP="003754FE">
      <w:pPr>
        <w:pStyle w:val="TextoNormal"/>
      </w:pPr>
    </w:p>
    <w:p w14:paraId="75D9C4C1" w14:textId="77777777" w:rsidR="003754FE" w:rsidRDefault="003754FE" w:rsidP="003754FE">
      <w:pPr>
        <w:pStyle w:val="TextoNormal"/>
      </w:pPr>
      <w:r>
        <w:t>En los fundamentos quinto y sexto de la demanda, los diputados recurrentes denuncian de modo genérico la infracción del art. 116 CE, en relación con los arts. 15, 17, 18, 19 y 21 CE, argumentando que “lo que se introduce en la legislación balear son medidas que suponen una suspensión o una intensa restricción de derechos fundamentales análogas a las adoptadas por el Estado al amparo de la legislación excepcional de los estados de crisis, pero sin el amparo constitucional del artículo 116 CE, a través de una norma de urgencia y con un carácter de estabilidad y permanencia incompatible con los estados de excepcionalidad constitucional previstos en […] el art. 116 CE”.</w:t>
      </w:r>
    </w:p>
    <w:p w14:paraId="3B7ADBA4" w14:textId="77777777" w:rsidR="003754FE" w:rsidRDefault="003754FE" w:rsidP="003754FE">
      <w:pPr>
        <w:pStyle w:val="TextoNormal"/>
      </w:pPr>
    </w:p>
    <w:p w14:paraId="3FFA2561" w14:textId="77777777" w:rsidR="003754FE" w:rsidRDefault="003754FE" w:rsidP="003754FE">
      <w:pPr>
        <w:pStyle w:val="TextoNormal"/>
      </w:pPr>
      <w:r>
        <w:t xml:space="preserve">Por su parte, en el fundamento jurídico séptimo de la demanda, la impugnación se fundamenta en que “ya sea desde la perspectiva del apartado 1 o del 16 del art. 149.1 CE resulta evidente que el establecimiento por razones sanitarias de supuestos en los que cabría imponer fuertes restricciones o incluso la auténtica suspensión de derechos fundamentales tan nucleares como los previstos en los artículos 15, 17, 19, 18 y 21 CE, integra una competencia exclusiva del Estado que, de ningún modo, puede abordarse desde una perspectiva </w:t>
      </w:r>
      <w:r>
        <w:lastRenderedPageBreak/>
        <w:t>puramente territorial, introduciendo insoportables desigualdades precisamente en el disfrute de derechos fundamentales en el territorio nacional”.</w:t>
      </w:r>
    </w:p>
    <w:p w14:paraId="09C2E58D" w14:textId="77777777" w:rsidR="003754FE" w:rsidRDefault="003754FE" w:rsidP="003754FE">
      <w:pPr>
        <w:pStyle w:val="TextoNormal"/>
      </w:pPr>
    </w:p>
    <w:p w14:paraId="5D0C95B3" w14:textId="5F646596" w:rsidR="003754FE" w:rsidRDefault="003754FE" w:rsidP="003754FE">
      <w:pPr>
        <w:pStyle w:val="TextoNormal"/>
      </w:pPr>
      <w:r>
        <w:t>Como quiera que los apartados de la regulación recurrida que comportaban restricciones a los derechos fundamentales reconocidos en los arts. 15, 17.1, 18.1, 19 y 21 CE han sido ya declarados inconstitucionales y nulos, bien por infringir los límites materiales de los decretos-leyes en contravención de la prohibición prevista en el art. 86.1 CE (</w:t>
      </w:r>
      <w:r w:rsidRPr="003754FE">
        <w:rPr>
          <w:i/>
        </w:rPr>
        <w:t>supra</w:t>
      </w:r>
      <w:r>
        <w:t xml:space="preserve"> FJ 3), bien por vulnerar la reserva de ley orgánica del art. 81.1 CE [</w:t>
      </w:r>
      <w:r w:rsidRPr="003754FE">
        <w:rPr>
          <w:i/>
        </w:rPr>
        <w:t>supra</w:t>
      </w:r>
      <w:r>
        <w:t xml:space="preserve"> FJ 4 b)], resulta ya innecesario pronunciarse sobre estas tachas de inconstitucionalidad. Por lo demás, en cuanto al resto de apartados del precepto impugnado no afectados por la declaración de inconstitucionalidad y nulidad, en la demanda no se efectúa argumentación alguna, desde ninguna de estas dos perspectivas impugnatorias, incurriendo con ello en un incumplimiento de la inexcusable carga alegatoria, que exime de su examen a este tribunal.</w:t>
      </w:r>
    </w:p>
    <w:p w14:paraId="19FB63CE" w14:textId="77777777" w:rsidR="003754FE" w:rsidRDefault="003754FE" w:rsidP="003754FE">
      <w:pPr>
        <w:pStyle w:val="TextoNormal"/>
      </w:pPr>
    </w:p>
    <w:p w14:paraId="5A300F78" w14:textId="77777777" w:rsidR="003754FE" w:rsidRDefault="003754FE" w:rsidP="003754FE">
      <w:pPr>
        <w:pStyle w:val="TextoNormal"/>
      </w:pPr>
      <w:r w:rsidRPr="003754FE">
        <w:rPr>
          <w:rStyle w:val="NumeroAFNegritaCaracter"/>
        </w:rPr>
        <w:t>5</w:t>
      </w:r>
      <w:r>
        <w:t xml:space="preserve">. </w:t>
      </w:r>
      <w:r w:rsidRPr="003754FE">
        <w:rPr>
          <w:i/>
        </w:rPr>
        <w:t>Impugnación basada en la indebida reproducción de la normativa estatal en la legislación autonómica: desestimación</w:t>
      </w:r>
    </w:p>
    <w:p w14:paraId="0901EADB" w14:textId="77777777" w:rsidR="003754FE" w:rsidRDefault="003754FE" w:rsidP="003754FE">
      <w:pPr>
        <w:pStyle w:val="TextoNormal"/>
      </w:pPr>
    </w:p>
    <w:p w14:paraId="1AFC5678" w14:textId="77777777" w:rsidR="003754FE" w:rsidRDefault="003754FE" w:rsidP="003754FE">
      <w:pPr>
        <w:pStyle w:val="TextoNormal"/>
      </w:pPr>
      <w:r>
        <w:t xml:space="preserve">Finalmente, la demanda impugna los apartados 2 y 3, primer párrafo, del art. 49 </w:t>
      </w:r>
      <w:r w:rsidRPr="003754FE">
        <w:rPr>
          <w:i/>
        </w:rPr>
        <w:t>bis</w:t>
      </w:r>
      <w:r>
        <w:t xml:space="preserve"> por cuanto “copian por completo” el contenido de los artículos 2 y 3 de la Ley Orgánica 3/1986, de 14 de abril, de medidas especiales en materia de salud pública, en un ámbito en el que la Comunidad Autónoma de las Illes Balears carece de competencia, incurriendo con ello en una vulneración de las competencias estatales en materia de bases y coordinación general de la sanidad (art. 149.1.16 CE) y sobre fijación de las condiciones básicas de igualdad en el ejercicio de los derechos (art. 149.1.1 CE).</w:t>
      </w:r>
    </w:p>
    <w:p w14:paraId="2D8F6661" w14:textId="77777777" w:rsidR="003754FE" w:rsidRDefault="003754FE" w:rsidP="003754FE">
      <w:pPr>
        <w:pStyle w:val="TextoNormal"/>
      </w:pPr>
    </w:p>
    <w:p w14:paraId="7C0610A4" w14:textId="77777777" w:rsidR="003754FE" w:rsidRDefault="003754FE" w:rsidP="003754FE">
      <w:pPr>
        <w:pStyle w:val="TextoNormal"/>
      </w:pPr>
      <w:r>
        <w:t xml:space="preserve">Esta misma tacha de inconstitucionalidad, respecto de un caso prácticamente idéntico, ha sido ya desestimada en la STC 136/2024, FJ 6. En dicha sentencia, tras exponer la doctrina constitucional sobre los distintos supuestos de </w:t>
      </w:r>
      <w:r w:rsidRPr="003754FE">
        <w:rPr>
          <w:i/>
        </w:rPr>
        <w:t>lex repetita</w:t>
      </w:r>
      <w:r>
        <w:t xml:space="preserve"> (por todas, STC 157/2021, de 16 de septiembre, FJ 6), el tribunal apreció que “a) la norma impugnada ha reproducido el contenido normativo de una ley estatal en un ámbito donde tanto el Estado como la comunidad autónoma tienen competencias; b) esa reproducción de normas estatales tiene la finalidad instrumental de hacer más comprensible una regulación dictada por la comunidad autónoma en el ejercicio de una competencia propia; c) la reproducción realizada es fiel y no desnaturaliza la regulación estatal reproducida”.</w:t>
      </w:r>
    </w:p>
    <w:p w14:paraId="53FF7AF4" w14:textId="77777777" w:rsidR="003754FE" w:rsidRDefault="003754FE" w:rsidP="003754FE">
      <w:pPr>
        <w:pStyle w:val="TextoNormal"/>
      </w:pPr>
    </w:p>
    <w:p w14:paraId="4F217BF0" w14:textId="6B6B8A57" w:rsidR="003754FE" w:rsidRDefault="003754FE" w:rsidP="003754FE">
      <w:pPr>
        <w:pStyle w:val="TextoNormal"/>
      </w:pPr>
      <w:r>
        <w:t>En consecuencia, por remisión al razonamiento efectuado en nuestra STC 136/2024, FJ 6, debe desestimarse este motivo de impugnación.</w:t>
      </w:r>
    </w:p>
    <w:p w14:paraId="01C46756" w14:textId="77777777" w:rsidR="003754FE" w:rsidRDefault="003754FE" w:rsidP="003754FE">
      <w:pPr>
        <w:pStyle w:val="TextoNormal"/>
      </w:pPr>
    </w:p>
    <w:p w14:paraId="3282B7A5" w14:textId="77777777" w:rsidR="003754FE" w:rsidRDefault="003754FE" w:rsidP="003754FE">
      <w:pPr>
        <w:pStyle w:val="TextoNormalCentrado"/>
        <w:keepNext/>
      </w:pPr>
      <w:r>
        <w:t>FALLO</w:t>
      </w:r>
    </w:p>
    <w:p w14:paraId="79098345" w14:textId="7CFDDFE1" w:rsidR="003754FE" w:rsidRDefault="003754FE" w:rsidP="003754FE">
      <w:pPr>
        <w:pStyle w:val="TextoNormalCentrado"/>
        <w:keepNext/>
      </w:pPr>
    </w:p>
    <w:p w14:paraId="1E8555E5" w14:textId="77777777" w:rsidR="003754FE" w:rsidRDefault="003754FE" w:rsidP="003754FE">
      <w:pPr>
        <w:pStyle w:val="TextoNormal"/>
      </w:pPr>
      <w:r>
        <w:t>En atención a todo lo expuesto, el Tribunal Constitucional, por la autoridad que le confiere la Constitución de la Nación española, ha decidido estimar en parte el presente recurso de inconstitucionalidad y, en consecuencia:</w:t>
      </w:r>
    </w:p>
    <w:p w14:paraId="47E49B8D" w14:textId="77777777" w:rsidR="003754FE" w:rsidRDefault="003754FE" w:rsidP="003754FE">
      <w:pPr>
        <w:pStyle w:val="TextoNormal"/>
      </w:pPr>
    </w:p>
    <w:p w14:paraId="4A1121D3" w14:textId="77777777" w:rsidR="003754FE" w:rsidRDefault="003754FE" w:rsidP="003754FE">
      <w:pPr>
        <w:pStyle w:val="TextoNormal"/>
      </w:pPr>
      <w:r>
        <w:t xml:space="preserve">1º Declarar inconstitucionales y nulos los siguientes apartados del art. 49 </w:t>
      </w:r>
      <w:r w:rsidRPr="003754FE">
        <w:rPr>
          <w:i/>
        </w:rPr>
        <w:t>bis</w:t>
      </w:r>
      <w:r>
        <w:t xml:space="preserve">.3 de la Ley del Parlamento de las Illes Balears 16/2010, de 28 de diciembre, de salud pública de las Illes Balears, en la redacción dada por el Decreto-ley 5/2021, de 7 de mayo: las letras a), b) c), </w:t>
      </w:r>
      <w:r>
        <w:lastRenderedPageBreak/>
        <w:t>d) y e); el primer párrafo de la letra f) (que va desde “Medidas de control del entorno inmediato” hasta “al resto de la población”); los párrafos segundo, tercero, quinto y sexto de la letra f); así como los incisos de la letra g) que se refieren a “Aislamiento y cuarentena a las personas afectadas”, “Limitaciones de desplazamientos territoriales que protejan del riesgo de transmisión y limitación de desplazamientos personales, manteniendo en todos los niveles de alerta los desplazamientos esenciales, siempre que se realicen de forma individual o con la unidad de convivencia y con todas las medidas de precaución higiénicas y de distanciamiento. Se incluye la limitación en horario nocturno” y “Limitación del número de personas que se puede reunir, tanto en espacios públicos como privados”.</w:t>
      </w:r>
    </w:p>
    <w:p w14:paraId="0168631F" w14:textId="77777777" w:rsidR="003754FE" w:rsidRDefault="003754FE" w:rsidP="003754FE">
      <w:pPr>
        <w:pStyle w:val="TextoNormal"/>
      </w:pPr>
    </w:p>
    <w:p w14:paraId="44648444" w14:textId="77777777" w:rsidR="003754FE" w:rsidRDefault="003754FE" w:rsidP="003754FE">
      <w:pPr>
        <w:pStyle w:val="TextoNormal"/>
      </w:pPr>
      <w:r>
        <w:t xml:space="preserve">2º Extender, por conexión o consecuencia, la declaración de inconstitucionalidad y nulidad al último párrafo del art. 49 </w:t>
      </w:r>
      <w:r w:rsidRPr="003754FE">
        <w:rPr>
          <w:i/>
        </w:rPr>
        <w:t>bis</w:t>
      </w:r>
      <w:r>
        <w:t xml:space="preserve">.3 f) (que va desde “Las restricciones a los desplazamientos y a las agrupaciones de personas” hasta “que se puedan establecer”); y los incisos del art. 49 </w:t>
      </w:r>
      <w:r w:rsidRPr="003754FE">
        <w:rPr>
          <w:i/>
        </w:rPr>
        <w:t>bis</w:t>
      </w:r>
      <w:r>
        <w:t>.3 g) referidos a “Pruebas diagnósticas a todas las personas que presenten síntomas” y a “Pruebas de cribado colectivas”, de la Ley del Parlamento de las Illes Balears 16/2010, de 28 de diciembre, de salud pública de las Illes Balears, en la redacción dada por el Decreto-ley 5/2021, de 7 de mayo.</w:t>
      </w:r>
    </w:p>
    <w:p w14:paraId="40D7DDA1" w14:textId="77777777" w:rsidR="003754FE" w:rsidRDefault="003754FE" w:rsidP="003754FE">
      <w:pPr>
        <w:pStyle w:val="TextoNormal"/>
      </w:pPr>
    </w:p>
    <w:p w14:paraId="448D306B" w14:textId="345E2FC6" w:rsidR="003754FE" w:rsidRDefault="003754FE" w:rsidP="003754FE">
      <w:pPr>
        <w:pStyle w:val="TextoNormal"/>
      </w:pPr>
      <w:r>
        <w:t>3º Desestimar el recurso en todo lo demás.</w:t>
      </w:r>
    </w:p>
    <w:p w14:paraId="7D6E785C" w14:textId="77777777" w:rsidR="003754FE" w:rsidRDefault="003754FE" w:rsidP="003754FE">
      <w:pPr>
        <w:pStyle w:val="TextoNormal"/>
      </w:pPr>
    </w:p>
    <w:p w14:paraId="3C7E5D07" w14:textId="77777777" w:rsidR="003754FE" w:rsidRDefault="003754FE" w:rsidP="003754FE">
      <w:pPr>
        <w:pStyle w:val="TextoNormal"/>
      </w:pPr>
      <w:r>
        <w:t>Publíquese esta sentencia en el “Boletín Oficial del Estado”.</w:t>
      </w:r>
    </w:p>
    <w:p w14:paraId="2BF8569A" w14:textId="77777777" w:rsidR="003754FE" w:rsidRDefault="003754FE" w:rsidP="003754FE">
      <w:pPr>
        <w:pStyle w:val="TextoNormal"/>
      </w:pPr>
      <w:r>
        <w:t>Dada en Madrid, a diecinueve de noviembre de dos mil veinticuatro.</w:t>
      </w:r>
    </w:p>
    <w:p w14:paraId="536C94DD" w14:textId="0797C738" w:rsidR="003754FE" w:rsidRDefault="003754FE">
      <w:pPr>
        <w:spacing w:after="160" w:line="278" w:lineRule="auto"/>
        <w:rPr>
          <w:rFonts w:ascii="Times New Roman" w:eastAsia="Times New Roman" w:hAnsi="Times New Roman" w:cs="Times New Roman"/>
          <w:sz w:val="24"/>
          <w:szCs w:val="24"/>
          <w:lang w:eastAsia="es-ES"/>
        </w:rPr>
      </w:pPr>
      <w:r>
        <w:br w:type="page"/>
      </w:r>
    </w:p>
    <w:p w14:paraId="7D9B463B" w14:textId="77777777" w:rsidR="003754FE" w:rsidRDefault="003754FE" w:rsidP="003754FE">
      <w:pPr>
        <w:pStyle w:val="TtuloResolucin"/>
      </w:pPr>
      <w:bookmarkStart w:id="51" w:name="SENTENCIA_2024_142"/>
      <w:r>
        <w:lastRenderedPageBreak/>
        <w:t>SENTENCIA 142/2024, de 20 de noviembre de 2024</w:t>
      </w:r>
    </w:p>
    <w:bookmarkEnd w:id="51"/>
    <w:p w14:paraId="4FC6DE8A" w14:textId="77777777" w:rsidR="003754FE" w:rsidRDefault="003754FE" w:rsidP="003754FE">
      <w:pPr>
        <w:pStyle w:val="TtuloResolucin"/>
      </w:pPr>
      <w:r>
        <w:t>Pleno</w:t>
      </w:r>
    </w:p>
    <w:p w14:paraId="190A2717" w14:textId="77777777" w:rsidR="003754FE" w:rsidRDefault="003754FE" w:rsidP="003754FE">
      <w:pPr>
        <w:pStyle w:val="TtuloBOE"/>
      </w:pPr>
      <w:r>
        <w:t>(BOE núm. 311, de 26 de diciembre de 2024)</w:t>
      </w:r>
    </w:p>
    <w:p w14:paraId="684EC587" w14:textId="77777777" w:rsidR="003754FE" w:rsidRDefault="003754FE" w:rsidP="003754FE">
      <w:pPr>
        <w:pStyle w:val="TextoNormalCentrado"/>
      </w:pPr>
      <w:r>
        <w:t>ECLI:ES:TC:2024:142</w:t>
      </w:r>
    </w:p>
    <w:p w14:paraId="162C2E7A" w14:textId="37FFB851" w:rsidR="003754FE" w:rsidRDefault="003754FE" w:rsidP="003754FE">
      <w:pPr>
        <w:pStyle w:val="TextoNormalCentrado"/>
      </w:pPr>
    </w:p>
    <w:p w14:paraId="35F46E8A" w14:textId="77777777" w:rsidR="003754FE" w:rsidRDefault="003754FE" w:rsidP="003754FE">
      <w:pPr>
        <w:pStyle w:val="SntesisDescriptiva"/>
      </w:pPr>
      <w:r>
        <w:t>Recurso de inconstitucionalidad 8583-2022. Interpuesto por más de cincuenta diputados del Grupo Parlamentario Vox en el Congreso de los Diputados en relación con la Ley 19/2022, de 30 de septiembre, para el reconocimiento de personalidad jurídica a la laguna del Mar Menor y su cuenca.</w:t>
      </w:r>
    </w:p>
    <w:p w14:paraId="3B0E1BE0" w14:textId="4AA84F3B" w:rsidR="003754FE" w:rsidRDefault="003754FE" w:rsidP="003754FE">
      <w:pPr>
        <w:pStyle w:val="SntesisDescriptiva"/>
      </w:pPr>
    </w:p>
    <w:p w14:paraId="43933A5A" w14:textId="77777777" w:rsidR="003754FE" w:rsidRDefault="003754FE" w:rsidP="003754FE">
      <w:pPr>
        <w:pStyle w:val="SntesisAnaltica"/>
      </w:pPr>
      <w:r>
        <w:t>Competencia sobre legislación de protección ambiental, principios de seguridad jurídica, interdicción de la arbitrariedad y legalidad sancionadora; derecho al medio ambiente: constitucionalidad de la ley estatal que atribuye personalidad jurídica a la laguna costera del Mar Menor y su cuenca. Voto particular.</w:t>
      </w:r>
    </w:p>
    <w:p w14:paraId="490B5724" w14:textId="473B28A6" w:rsidR="003754FE" w:rsidRDefault="003754FE" w:rsidP="003754FE">
      <w:pPr>
        <w:pStyle w:val="SntesisAnaltica"/>
      </w:pPr>
    </w:p>
    <w:p w14:paraId="28F2CA89" w14:textId="022E7A3C" w:rsidR="003754FE" w:rsidRDefault="003754FE" w:rsidP="003754FE">
      <w:pPr>
        <w:pStyle w:val="Extracto"/>
      </w:pPr>
      <w:r>
        <w:t>1.</w:t>
      </w:r>
      <w:r>
        <w:tab/>
        <w:t>En relación con el alcance territorial de la ley, la competencia atribuida al Estado en el art. 149.1.23 CE puede dar cobertura a leyes que tienen por objeto un ámbito físico delimitado dentro del territorio nacional, una realidad topográfica singular, a veces única, característica del conjunto, con lo que podría llamarse “personalidad ecológica”, y signo distintivo en suma que identifica a un país y con el que se identifica (SSTC 102/1995 o 194/2004) [FJ 4].</w:t>
      </w:r>
    </w:p>
    <w:p w14:paraId="34788101" w14:textId="77777777" w:rsidR="003754FE" w:rsidRDefault="003754FE" w:rsidP="003754FE">
      <w:pPr>
        <w:pStyle w:val="Extracto"/>
      </w:pPr>
    </w:p>
    <w:p w14:paraId="45434A17" w14:textId="1F4C3685" w:rsidR="003754FE" w:rsidRDefault="003754FE" w:rsidP="003754FE">
      <w:pPr>
        <w:pStyle w:val="Extracto"/>
      </w:pPr>
      <w:r>
        <w:t>2.</w:t>
      </w:r>
      <w:r>
        <w:tab/>
        <w:t xml:space="preserve">Se descarta el ejercicio de la competencia estatal, </w:t>
      </w:r>
      <w:r w:rsidRPr="003754FE">
        <w:rPr>
          <w:i/>
        </w:rPr>
        <w:t>ex</w:t>
      </w:r>
      <w:r>
        <w:t xml:space="preserve"> art. 149.1.23 CE, requiera una vocación de regulación uniforme para todas las áreas geográficas del territorio nacional, o que deba contar con una legitimación supraautonómica, expresiva del interés general (SSTC 31/2010 o 146/2013) [FJ 4].</w:t>
      </w:r>
    </w:p>
    <w:p w14:paraId="737CC86B" w14:textId="77777777" w:rsidR="003754FE" w:rsidRDefault="003754FE" w:rsidP="003754FE">
      <w:pPr>
        <w:pStyle w:val="Extracto"/>
      </w:pPr>
    </w:p>
    <w:p w14:paraId="458DBA83" w14:textId="728AD65A" w:rsidR="003754FE" w:rsidRDefault="003754FE" w:rsidP="003754FE">
      <w:pPr>
        <w:pStyle w:val="Extracto"/>
      </w:pPr>
      <w:r>
        <w:t>3.</w:t>
      </w:r>
      <w:r>
        <w:tab/>
        <w:t>A la hora de analizar cómo tiene que plasmarse el principio rector del art. 45 CE, el legislador debe determinar las técnicas apropiadas para llevar a cabo la plasmación de ese principio rector en el que la protección del medio ambiente consiste (STC 84/2013 y 233/2015). Y, desde una concepción ecocéntrica, el art. 45 CE también ofrece un amplio margen al legislador que ha de tener presente las finalidades tuitivas del precepto no solo sobre el medio natural, sino también sobre las generaciones futuras [FJ 5].</w:t>
      </w:r>
    </w:p>
    <w:p w14:paraId="7ADA5F70" w14:textId="77777777" w:rsidR="003754FE" w:rsidRDefault="003754FE" w:rsidP="003754FE">
      <w:pPr>
        <w:pStyle w:val="Extracto"/>
      </w:pPr>
    </w:p>
    <w:p w14:paraId="6D0675A4" w14:textId="34C2B23B" w:rsidR="003754FE" w:rsidRDefault="003754FE" w:rsidP="003754FE">
      <w:pPr>
        <w:pStyle w:val="Extracto"/>
      </w:pPr>
      <w:r>
        <w:t>4.</w:t>
      </w:r>
      <w:r>
        <w:tab/>
        <w:t>En el reconocimiento de la personalidad jurídica al Mar Menor y su cuenca no cabe ver un propósito de relativizar la dignidad de la persona, valor jurídico fundamental, sino de reforzarla, al conectar el art. 10 con el art. 15 y el art. 45 CE, siguiendo el sistema argumental propio del Tribunal Europeo de Derechos Humanos [FJ 5].</w:t>
      </w:r>
    </w:p>
    <w:p w14:paraId="1F75A169" w14:textId="77777777" w:rsidR="003754FE" w:rsidRDefault="003754FE" w:rsidP="003754FE">
      <w:pPr>
        <w:pStyle w:val="Extracto"/>
      </w:pPr>
    </w:p>
    <w:p w14:paraId="58FA2C9C" w14:textId="3ECD6339" w:rsidR="003754FE" w:rsidRDefault="003754FE" w:rsidP="003754FE">
      <w:pPr>
        <w:pStyle w:val="Extracto"/>
      </w:pPr>
      <w:r>
        <w:t>5.</w:t>
      </w:r>
      <w:r>
        <w:tab/>
        <w:t>Este tribunal reconoce la legitimación de las propias administraciones para interponer recursos de amparo en defensa de los derechos tutelados en el art. 24 CE, en la medida en que está litigando, no en defensa de sus potestades exorbitantes como administración, sino para la tutela de las facultades inherentes a la condición de parte en el proceso. En concreto para el restablecimiento de su derecho a un proceso con todas las garantías (SSTC 173/2002 o 1/2017) [FJ 5].</w:t>
      </w:r>
    </w:p>
    <w:p w14:paraId="6BA32C57" w14:textId="77777777" w:rsidR="003754FE" w:rsidRDefault="003754FE" w:rsidP="003754FE">
      <w:pPr>
        <w:pStyle w:val="Extracto"/>
      </w:pPr>
    </w:p>
    <w:p w14:paraId="1F4BAB0D" w14:textId="2502D58A" w:rsidR="003754FE" w:rsidRDefault="003754FE" w:rsidP="003754FE">
      <w:pPr>
        <w:pStyle w:val="Extracto"/>
      </w:pPr>
      <w:r>
        <w:lastRenderedPageBreak/>
        <w:t>6.</w:t>
      </w:r>
      <w:r>
        <w:tab/>
        <w:t>El control de constitucionalidad se detiene ante los defectos de técnica legislativa (STC 225/1998), la perfección técnica de las leyes (SSTC 226/1993 y 225/1998), en su corrección técnica (STC 341/1993), o en la oportunidad de las opciones adoptadas por el legislador (SSTC 32/2000 y 109/2001); dado que el principio de conservación de la ley opera de freno en este ámbito (STC 37/1981 y 90/2022) [FJ 6].</w:t>
      </w:r>
    </w:p>
    <w:p w14:paraId="00633B76" w14:textId="77777777" w:rsidR="003754FE" w:rsidRDefault="003754FE" w:rsidP="003754FE">
      <w:pPr>
        <w:pStyle w:val="Extracto"/>
      </w:pPr>
    </w:p>
    <w:p w14:paraId="0F5B554C" w14:textId="3DE403ED" w:rsidR="003754FE" w:rsidRDefault="003754FE" w:rsidP="003754FE">
      <w:pPr>
        <w:pStyle w:val="Extracto"/>
      </w:pPr>
      <w:r>
        <w:t>7.</w:t>
      </w:r>
      <w:r>
        <w:tab/>
        <w:t>Debe descartarse de plano la lesión de los arts. 25.1 y 81.1 CE, si la mera lectura del contenido de los preceptos impugnados evidencia que no se están tipificando infracciones, delitos, sanciones o penas [FJ 7].</w:t>
      </w:r>
    </w:p>
    <w:p w14:paraId="51D9EEDF" w14:textId="77777777" w:rsidR="003754FE" w:rsidRDefault="003754FE" w:rsidP="003754FE">
      <w:pPr>
        <w:pStyle w:val="Extracto"/>
      </w:pPr>
    </w:p>
    <w:p w14:paraId="154A7ED5" w14:textId="77777777" w:rsidR="003754FE" w:rsidRDefault="003754FE" w:rsidP="003754FE">
      <w:pPr>
        <w:pStyle w:val="Extracto"/>
      </w:pPr>
    </w:p>
    <w:p w14:paraId="7DEA7AAF"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56310B00" w14:textId="6F1E7139" w:rsidR="003754FE" w:rsidRDefault="003754FE" w:rsidP="003754FE">
      <w:pPr>
        <w:pStyle w:val="TextoNormal"/>
      </w:pPr>
    </w:p>
    <w:p w14:paraId="78A08C2F" w14:textId="77777777" w:rsidR="003754FE" w:rsidRDefault="003754FE" w:rsidP="003754FE">
      <w:pPr>
        <w:pStyle w:val="TextoNormalCentrado"/>
        <w:keepNext/>
      </w:pPr>
      <w:r>
        <w:t>EN NOMBRE DEL REY</w:t>
      </w:r>
    </w:p>
    <w:p w14:paraId="7223B31A" w14:textId="5E9AEDC5" w:rsidR="003754FE" w:rsidRDefault="003754FE" w:rsidP="003754FE">
      <w:pPr>
        <w:pStyle w:val="TextoNormalCentrado"/>
        <w:keepNext/>
      </w:pPr>
    </w:p>
    <w:p w14:paraId="1AED11D1" w14:textId="77777777" w:rsidR="003754FE" w:rsidRDefault="003754FE" w:rsidP="003754FE">
      <w:pPr>
        <w:pStyle w:val="TextoNormalCentrado"/>
        <w:keepNext/>
      </w:pPr>
    </w:p>
    <w:p w14:paraId="3AACB8C4" w14:textId="77777777" w:rsidR="003754FE" w:rsidRDefault="003754FE" w:rsidP="003754FE">
      <w:pPr>
        <w:pStyle w:val="TextoNormal"/>
      </w:pPr>
      <w:r>
        <w:t>la siguiente</w:t>
      </w:r>
    </w:p>
    <w:p w14:paraId="3E0321EB" w14:textId="1938FF74" w:rsidR="003754FE" w:rsidRDefault="003754FE" w:rsidP="003754FE">
      <w:pPr>
        <w:pStyle w:val="TextoNormal"/>
      </w:pPr>
    </w:p>
    <w:p w14:paraId="04F0EFFD" w14:textId="77777777" w:rsidR="003754FE" w:rsidRDefault="003754FE" w:rsidP="003754FE">
      <w:pPr>
        <w:pStyle w:val="TextoNormalCentrado"/>
        <w:keepNext/>
      </w:pPr>
      <w:r>
        <w:t>SENTENCIA</w:t>
      </w:r>
    </w:p>
    <w:p w14:paraId="45A0486E" w14:textId="31076D18" w:rsidR="003754FE" w:rsidRDefault="003754FE" w:rsidP="003754FE">
      <w:pPr>
        <w:pStyle w:val="TextoNormalCentrado"/>
        <w:keepNext/>
      </w:pPr>
    </w:p>
    <w:p w14:paraId="6C3EAD6F" w14:textId="77777777" w:rsidR="003754FE" w:rsidRDefault="003754FE" w:rsidP="003754FE">
      <w:pPr>
        <w:pStyle w:val="TextoNormal"/>
      </w:pPr>
      <w:r>
        <w:t>En el recurso de inconstitucionalidad núm. 8583-2022, interpuesto por cincuenta y dos diputados del Grupo Parlamentario Vox en el Congreso de los Diputados, contra la totalidad de la Ley 19/2022, de 30 de septiembre, para el reconocimiento de personalidad jurídica a la laguna del Mar Menor y su cuenca, y contra los arts. 1, 2, 3, 4, 5, 6, 7 y las disposiciones derogatoria única y final segunda. Ha sido ponente la magistrada doña María Luisa Segoviano Astaburuaga.</w:t>
      </w:r>
    </w:p>
    <w:p w14:paraId="3EEFAFA7" w14:textId="08382060" w:rsidR="003754FE" w:rsidRDefault="003754FE" w:rsidP="003754FE">
      <w:pPr>
        <w:pStyle w:val="TextoNormal"/>
      </w:pPr>
    </w:p>
    <w:p w14:paraId="76DC5BF7" w14:textId="77777777" w:rsidR="003754FE" w:rsidRDefault="003754FE" w:rsidP="003754FE">
      <w:pPr>
        <w:pStyle w:val="TextoNormalNegritaCentrado"/>
        <w:keepNext/>
      </w:pPr>
      <w:r>
        <w:t>I. Antecedentes</w:t>
      </w:r>
    </w:p>
    <w:p w14:paraId="7CA7B127" w14:textId="484414BC" w:rsidR="003754FE" w:rsidRDefault="003754FE" w:rsidP="003754FE">
      <w:pPr>
        <w:pStyle w:val="TextoNormalNegritaCentrado"/>
        <w:keepNext/>
      </w:pPr>
    </w:p>
    <w:p w14:paraId="136C03F7" w14:textId="1096AA59" w:rsidR="003754FE" w:rsidRDefault="003754FE" w:rsidP="003754FE">
      <w:pPr>
        <w:pStyle w:val="TextoNormal"/>
      </w:pPr>
      <w:r w:rsidRPr="003754FE">
        <w:rPr>
          <w:rStyle w:val="NumeroAFNegritaCaracter"/>
        </w:rPr>
        <w:t>1</w:t>
      </w:r>
      <w:r>
        <w:t>. Mediante escrito presentado en el registro general de este tribunal el día 29 de diciembre de 2022, don Antonio Ortega Fuentes, procurador de los tribunales, actuando en nombre y representación de cincuenta y dos diputados del Grupo Parlamentario Vox en el Congreso de los Diputados, interpuso recurso de inconstitucionalidad contra la totalidad de la Ley 19/2022, de 30 de septiembre, para el reconocimiento de personalidad jurídica a la laguna del Mar Menor y su cuenca, y contra los apartados y disposiciones de la misma que se citan en el encabezamiento. La ley (en adelante Ley 19/2022) había sido publicada en el “Boletín Oficial el Estado” núm. 237, de 3 de octubre de 2022.</w:t>
      </w:r>
    </w:p>
    <w:p w14:paraId="69E12911" w14:textId="77777777" w:rsidR="003754FE" w:rsidRDefault="003754FE" w:rsidP="003754FE">
      <w:pPr>
        <w:pStyle w:val="TextoNormal"/>
      </w:pPr>
    </w:p>
    <w:p w14:paraId="2B0BD795" w14:textId="77777777" w:rsidR="003754FE" w:rsidRDefault="003754FE" w:rsidP="003754FE">
      <w:pPr>
        <w:pStyle w:val="TextoNormal"/>
      </w:pPr>
      <w:r w:rsidRPr="003754FE">
        <w:rPr>
          <w:rStyle w:val="NumeroAFNegritaCaracter"/>
        </w:rPr>
        <w:t>2</w:t>
      </w:r>
      <w:r>
        <w:t>. El recurso se fundamenta en cuatro motivos, que a continuación se sintetizan siguiendo la estructura y argumentación del escrito de demanda:</w:t>
      </w:r>
    </w:p>
    <w:p w14:paraId="2240E8AF" w14:textId="77777777" w:rsidR="003754FE" w:rsidRDefault="003754FE" w:rsidP="003754FE">
      <w:pPr>
        <w:pStyle w:val="TextoNormal"/>
      </w:pPr>
    </w:p>
    <w:p w14:paraId="1EAD9851" w14:textId="77777777" w:rsidR="003754FE" w:rsidRDefault="003754FE" w:rsidP="003754FE">
      <w:pPr>
        <w:pStyle w:val="TextoNormal"/>
      </w:pPr>
      <w:r>
        <w:lastRenderedPageBreak/>
        <w:t>a) Inconstitucionalidad del conjunto de la Ley y en particular de su art. 7 y su disposición final segunda por vulneración de los arts. 148.1.9 y 149.1.23 CE, al infringir el sistema constitucional de distribución de competencias entre el Estado y las comunidades autónomas</w:t>
      </w:r>
    </w:p>
    <w:p w14:paraId="4CED4987" w14:textId="77777777" w:rsidR="003754FE" w:rsidRDefault="003754FE" w:rsidP="003754FE">
      <w:pPr>
        <w:pStyle w:val="TextoNormal"/>
      </w:pPr>
    </w:p>
    <w:p w14:paraId="6B8143AB" w14:textId="77777777" w:rsidR="003754FE" w:rsidRDefault="003754FE" w:rsidP="003754FE">
      <w:pPr>
        <w:pStyle w:val="TextoNormal"/>
      </w:pPr>
      <w:r>
        <w:t>La demanda plantea que, si bien en la Ley 19/2022 se invoca como título competencial estatal el art. 149.1.23 CE (legislación básica sobre protección del medio ambiente), no se cumple la exigencia de la jurisprudencia constitucional establecida en la STC 99/2022, de 13 de julio, FJ 3 b), según la cual “una norma es básica si ‘garantiza en todo el Estado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(STC 1/1982, de 28 de enero, FJ 1, seguida de otras muchas)”, ya que el objeto de la ley impugnada pone de manifiesto que no es aplicable a la totalidad del territorio nacional, sino referida a un área determinada de dicho territorio que, además, ya ha sido objeto de numerosas normas autonómicas de protección.</w:t>
      </w:r>
    </w:p>
    <w:p w14:paraId="02D116A3" w14:textId="77777777" w:rsidR="003754FE" w:rsidRDefault="003754FE" w:rsidP="003754FE">
      <w:pPr>
        <w:pStyle w:val="TextoNormal"/>
      </w:pPr>
    </w:p>
    <w:p w14:paraId="3C45A786" w14:textId="77777777" w:rsidR="003754FE" w:rsidRDefault="003754FE" w:rsidP="003754FE">
      <w:pPr>
        <w:pStyle w:val="TextoNormal"/>
      </w:pPr>
      <w:r>
        <w:t>b) Inconstitucionalidad de los arts. 1, 2 y 6 de la Ley 19/2022 por vulneración de los arts. 10.1, 24.1 y 45 CE</w:t>
      </w:r>
    </w:p>
    <w:p w14:paraId="2E7AF69D" w14:textId="77777777" w:rsidR="003754FE" w:rsidRDefault="003754FE" w:rsidP="003754FE">
      <w:pPr>
        <w:pStyle w:val="TextoNormal"/>
      </w:pPr>
    </w:p>
    <w:p w14:paraId="4C89304F" w14:textId="77777777" w:rsidR="003754FE" w:rsidRDefault="003754FE" w:rsidP="003754FE">
      <w:pPr>
        <w:pStyle w:val="TextoNormal"/>
      </w:pPr>
      <w:r>
        <w:t>Los demandantes argumentan que, al otorgarse personalidad jurídica a una entidad natural (art. 1), reconocérsele una serie de derechos (art. 2) y otorgar legitimación activa para su protección a cualquier persona física o jurídica (art. 6), se la está equiparando a los seres humanos y confiriéndole un estatus y una dignidad que no le corresponde en absoluto (art. 10.1 CE) y que la Constitución reserva exclusivamente al ser humano, bien actuando individualmente, bien agrupado en orden a obtener un fin común, por lo que no puede ostentar derechos que sean ejercidos ni defendidos ante los tribunales (art. 24.1 CE). Concluyen que no puede transformarse el medio ambiente en un sujeto protegido, cuando no se contempla en el texto constitucional como titular de derecho alguno, sino como objeto de uno de los principios rectores de las políticas públicas (art. 45 CE) y cuando la doctrina constitucional ha sostenido un concepto de ambiente esencialmente antropocéntrico y relativo (STC 102/1995, de 26 de junio).</w:t>
      </w:r>
    </w:p>
    <w:p w14:paraId="4E239703" w14:textId="77777777" w:rsidR="003754FE" w:rsidRDefault="003754FE" w:rsidP="003754FE">
      <w:pPr>
        <w:pStyle w:val="TextoNormal"/>
      </w:pPr>
    </w:p>
    <w:p w14:paraId="2FE7FC16" w14:textId="77777777" w:rsidR="003754FE" w:rsidRDefault="003754FE" w:rsidP="003754FE">
      <w:pPr>
        <w:pStyle w:val="TextoNormal"/>
      </w:pPr>
      <w:r>
        <w:t>c) Inconstitucionalidad del art. 2 y la disposición derogatoria única de la Ley 19/2022 por vulneración del art. 9.3 CE</w:t>
      </w:r>
    </w:p>
    <w:p w14:paraId="38383267" w14:textId="77777777" w:rsidR="003754FE" w:rsidRDefault="003754FE" w:rsidP="003754FE">
      <w:pPr>
        <w:pStyle w:val="TextoNormal"/>
      </w:pPr>
    </w:p>
    <w:p w14:paraId="4005A2A4" w14:textId="77777777" w:rsidR="003754FE" w:rsidRDefault="003754FE" w:rsidP="003754FE">
      <w:pPr>
        <w:pStyle w:val="TextoNormal"/>
      </w:pPr>
      <w:r>
        <w:t xml:space="preserve">Los demandantes afirman que el reconocimiento de una serie de derechos a la laguna y su cuenca (art. 2) y la derogación de cualquier disposición contraria a la Ley (disposición derogatoria única) infringen el principio de seguridad jurídica y de interdicción de la arbitrariedad, para todos aquellos actores públicos y privados que realicen alguna actuación en el Mar Menor o su entorno, por generar una situación de falta de certeza y certidumbre jurídicas al (i) establecer una relación de derechos de contenido inconcreto, usando conceptos vagos, difusos e indefinidos, lo que abre la puerta a la arbitrariedad; y (ii) prever una cláusula derogatoria genérica, cuando nos encontramos en un contexto de multiplicidad de normas (comunitarias, estatales y autonómicas) de protección que darán lugar a una situación de incertidumbre cuando los operadores jurídicos tengan que decidir, para cada actividad singular en la zona de referencia, si la normativa vigente está en todo o en parte </w:t>
      </w:r>
      <w:r>
        <w:lastRenderedPageBreak/>
        <w:t>tácitamente derogada. Esta situación de “amalgama de normas” hace que a juicio de los demandantes no sea aplicable a este caso la doctrina sentada en la STC 90/2022, de 30 de junio, y en cambio traen en respaldo de su argumentación las SSTC 46/1990, de 15 de marzo y 74/2022, de 14 de junio, así como alguna jurisprudencia foránea.</w:t>
      </w:r>
    </w:p>
    <w:p w14:paraId="4D910C15" w14:textId="77777777" w:rsidR="003754FE" w:rsidRDefault="003754FE" w:rsidP="003754FE">
      <w:pPr>
        <w:pStyle w:val="TextoNormal"/>
      </w:pPr>
    </w:p>
    <w:p w14:paraId="10BCF619" w14:textId="77777777" w:rsidR="003754FE" w:rsidRDefault="003754FE" w:rsidP="003754FE">
      <w:pPr>
        <w:pStyle w:val="TextoNormal"/>
      </w:pPr>
      <w:r>
        <w:t>d) Inconstitucionalidad de los arts. 4 y 5 de la Ley 19/2022 por vulneración de los arts. 9.3, 25.1 y 81.1 CE, al infringir la seguridad jurídica y los principios de legalidad sancionadora, tipicididad y taxatividad</w:t>
      </w:r>
    </w:p>
    <w:p w14:paraId="0F4543AB" w14:textId="77777777" w:rsidR="003754FE" w:rsidRDefault="003754FE" w:rsidP="003754FE">
      <w:pPr>
        <w:pStyle w:val="TextoNormal"/>
      </w:pPr>
    </w:p>
    <w:p w14:paraId="2EE2D297" w14:textId="4E556AC3" w:rsidR="003754FE" w:rsidRDefault="003754FE" w:rsidP="003754FE">
      <w:pPr>
        <w:pStyle w:val="TextoNormal"/>
      </w:pPr>
      <w:r>
        <w:t>Los demandantes alegan que, al establecerse que toda conducta que lesione los derechos reconocidos en la ley generará responsabilidad penal, civil, ambiental y administrativa (art. 4) y que cualquier actuación en ese sentido será considerada inválida y revisada en la vía administrativa o judicial (art. 5), se convierten, sin concreción, nuevas conductas, actos o actuaciones en sancionables vulnerando el principio de legalidad sancionadora (art. 25.1 CE) y la reserva de ley orgánica (art. 81.1. CE). De entender que los preceptos no tienen un carácter propio o innovador serían innecesarios, superfluos y carentes de sentido, vulnerándose entonces el art. 9.3 CE al generar confusión e incertidumbre.</w:t>
      </w:r>
    </w:p>
    <w:p w14:paraId="61590742" w14:textId="77777777" w:rsidR="003754FE" w:rsidRDefault="003754FE" w:rsidP="003754FE">
      <w:pPr>
        <w:pStyle w:val="TextoNormal"/>
      </w:pPr>
    </w:p>
    <w:p w14:paraId="34E487B8" w14:textId="284D1566" w:rsidR="003754FE" w:rsidRDefault="003754FE" w:rsidP="003754FE">
      <w:pPr>
        <w:pStyle w:val="TextoNormal"/>
      </w:pPr>
      <w:r w:rsidRPr="003754FE">
        <w:rPr>
          <w:rStyle w:val="NumeroAFNegritaCaracter"/>
        </w:rPr>
        <w:t>3</w:t>
      </w:r>
      <w:r>
        <w:t>. Por providencia de 7 de febrero de 2023, el Pleno, a propuesta de la Sección Primera, acordó admitir a trámite el recurso y dar traslado de la demanda y los documentos presentados, conforme establece el art. 34 de la Ley Orgánica del Tribunal Constitucional (LOTC), al Congreso de los Diputados y al Senado, por conducto de sus Presidencias, y al Gobierno, por conducto de la ministra de Justicia, al objeto de que, en el plazo de quince días, pudieran personarse en el procedimiento y formular alegaciones. Asimismo, se acordó publicar la incoación del procedimiento en el “Boletín Oficial del Estado”, lo que se verificó en el núm. 40, de 16 de febrero de 2023.</w:t>
      </w:r>
    </w:p>
    <w:p w14:paraId="56C25929" w14:textId="77777777" w:rsidR="003754FE" w:rsidRDefault="003754FE" w:rsidP="003754FE">
      <w:pPr>
        <w:pStyle w:val="TextoNormal"/>
      </w:pPr>
    </w:p>
    <w:p w14:paraId="43F92601" w14:textId="059FFC65" w:rsidR="003754FE" w:rsidRDefault="003754FE" w:rsidP="003754FE">
      <w:pPr>
        <w:pStyle w:val="TextoNormal"/>
      </w:pPr>
      <w:r w:rsidRPr="003754FE">
        <w:rPr>
          <w:rStyle w:val="NumeroAFNegritaCaracter"/>
        </w:rPr>
        <w:t>4</w:t>
      </w:r>
      <w:r>
        <w:t>. Mediante escrito registrado el 16 de febrero de 2023, la presidenta del Congreso de los Diputados comunicó el acuerdo de la mesa de la Cámara, por el que se persona en el proceso y ofrece su colaboración a los efectos del art. 88.1 LOTC. Lo mismo hizo el presidente del Senado, por escrito que tuvo entrada en este tribunal el día 23 del mismo mes.</w:t>
      </w:r>
    </w:p>
    <w:p w14:paraId="227D1335" w14:textId="77777777" w:rsidR="003754FE" w:rsidRDefault="003754FE" w:rsidP="003754FE">
      <w:pPr>
        <w:pStyle w:val="TextoNormal"/>
      </w:pPr>
    </w:p>
    <w:p w14:paraId="1DBC2E42" w14:textId="682ACD83" w:rsidR="003754FE" w:rsidRDefault="003754FE" w:rsidP="003754FE">
      <w:pPr>
        <w:pStyle w:val="TextoNormal"/>
      </w:pPr>
      <w:r w:rsidRPr="003754FE">
        <w:rPr>
          <w:rStyle w:val="NumeroAFNegritaCaracter"/>
        </w:rPr>
        <w:t>5</w:t>
      </w:r>
      <w:r>
        <w:t>. El abogado del Estado se personó en el proceso por escrito registrado el 2 de marzo de 2023, solicitando una prórroga del plazo inicialmente concedido para formular alegaciones. Le fue concedida por diligencia de ordenación de la Secretaría de Justicia del Pleno del mismo día.</w:t>
      </w:r>
    </w:p>
    <w:p w14:paraId="23D42FF0" w14:textId="77777777" w:rsidR="003754FE" w:rsidRDefault="003754FE" w:rsidP="003754FE">
      <w:pPr>
        <w:pStyle w:val="TextoNormal"/>
      </w:pPr>
    </w:p>
    <w:p w14:paraId="4681CB50" w14:textId="77777777" w:rsidR="003754FE" w:rsidRDefault="003754FE" w:rsidP="003754FE">
      <w:pPr>
        <w:pStyle w:val="TextoNormal"/>
      </w:pPr>
      <w:r w:rsidRPr="003754FE">
        <w:rPr>
          <w:rStyle w:val="NumeroAFNegritaCaracter"/>
        </w:rPr>
        <w:t>6</w:t>
      </w:r>
      <w:r>
        <w:t>. El escrito de alegaciones del abogado del Estado se registró en el Tribunal con fecha de 15 de marzo de 2023. En él se solicita la íntegra desestimación del recurso por las razones siguientes:</w:t>
      </w:r>
    </w:p>
    <w:p w14:paraId="46AF515E" w14:textId="77777777" w:rsidR="003754FE" w:rsidRDefault="003754FE" w:rsidP="003754FE">
      <w:pPr>
        <w:pStyle w:val="TextoNormal"/>
      </w:pPr>
    </w:p>
    <w:p w14:paraId="2DACDAE1" w14:textId="77777777" w:rsidR="003754FE" w:rsidRDefault="003754FE" w:rsidP="003754FE">
      <w:pPr>
        <w:pStyle w:val="TextoNormal"/>
      </w:pPr>
      <w:r>
        <w:t xml:space="preserve">A) La personalidad jurídica es una ficción de derecho que la ley otorga en determinados casos, en función de los fines de interés general que se tratan de alcanzar, y es una materia que cae conceptualmente dentro del margen de discrecionalidad del legislador. Aquí se ha querido crear una forma de personificación novedosa, no prevista con carácter general en el art. 35 del Código civil (CC), a través de una norma con suficiente rango y no puede </w:t>
      </w:r>
      <w:r>
        <w:lastRenderedPageBreak/>
        <w:t>olvidarse que las técnicas apropiadas para la protección del medio ambiente (art. 45 CE) corresponde elegirlas al legislador (STC 64/1982, de 4 de noviembre).</w:t>
      </w:r>
    </w:p>
    <w:p w14:paraId="02068FEB" w14:textId="77777777" w:rsidR="003754FE" w:rsidRDefault="003754FE" w:rsidP="003754FE">
      <w:pPr>
        <w:pStyle w:val="TextoNormal"/>
      </w:pPr>
    </w:p>
    <w:p w14:paraId="59787FB4" w14:textId="77777777" w:rsidR="003754FE" w:rsidRDefault="003754FE" w:rsidP="003754FE">
      <w:pPr>
        <w:pStyle w:val="TextoNormal"/>
      </w:pPr>
      <w:r>
        <w:t>B) Para el abogado del Estado es obvio que se trata de una persona jurídica de derecho público y tampoco cabe duda de que, además de los derechos constitutivos y funcionales que la Ley 19/2022 recoge, se derivará también, desde la perspectiva general del ordenamiento jurídico, la atribución de obligaciones y la imputación de responsabilidades, dada la sujeción a la Constitución española y a la ley. No hay por tanto ningún vacío legal que conduzca a una falta de seguridad jurídica. La Ley 19/2022 es una ley especial que no exime de que se apliquen las normas generales en cuestiones procesales y procedimentales, de régimen jurídico, contratación, responsabilidad, etc. Todo ello con independencia de que en el futuro hubiera de llegar a completarse un régimen especial más acabado de la regulación que del ente ofrece la Ley 19/2022.</w:t>
      </w:r>
    </w:p>
    <w:p w14:paraId="59D9149C" w14:textId="77777777" w:rsidR="003754FE" w:rsidRDefault="003754FE" w:rsidP="003754FE">
      <w:pPr>
        <w:pStyle w:val="TextoNormal"/>
      </w:pPr>
    </w:p>
    <w:p w14:paraId="16B7CF9F" w14:textId="77777777" w:rsidR="003754FE" w:rsidRDefault="003754FE" w:rsidP="003754FE">
      <w:pPr>
        <w:pStyle w:val="TextoNormal"/>
      </w:pPr>
      <w:r>
        <w:t>C) Se defiende la competencia del Estado para dictar la ley recurrida sobre tres argumentos:</w:t>
      </w:r>
    </w:p>
    <w:p w14:paraId="60D3ED73" w14:textId="77777777" w:rsidR="003754FE" w:rsidRDefault="003754FE" w:rsidP="003754FE">
      <w:pPr>
        <w:pStyle w:val="TextoNormal"/>
      </w:pPr>
    </w:p>
    <w:p w14:paraId="64EA13B9" w14:textId="77777777" w:rsidR="003754FE" w:rsidRDefault="003754FE" w:rsidP="003754FE">
      <w:pPr>
        <w:pStyle w:val="TextoNormal"/>
      </w:pPr>
      <w:r>
        <w:t>a) Es una norma básica de protección del medio ambiente, por más que tenga un carácter singular al aplicarse a un ámbito territorial determinado porque (i) se producen externalidades en el dominio público estatal (mar territorial); y (ii) debe estarse a la importancia del espacio y la excepcional gravedad de la crisis ecológica que le afecta. En este último punto el abogado del Estado transcribe parte de un informe emitido por la Secretaría General Técnica del Ministerio para la Transición Ecológica y el Reto Demográfico que se apoya en las SSTC 102/1995, de 26 de junio; 146/2013, de 11 de julio; 112/2021, de 13 de mayo, y 99/2022, de 13 de julio, insistiendo en que la Ley 19/2022 no deroga, modifica ni sustituye el sistema jurídico de protección ambiental existente, que es esencialmente autonómico; únicamente introduce un plus o complemento de protección para este ecosistema.</w:t>
      </w:r>
    </w:p>
    <w:p w14:paraId="37A76D72" w14:textId="77777777" w:rsidR="003754FE" w:rsidRDefault="003754FE" w:rsidP="003754FE">
      <w:pPr>
        <w:pStyle w:val="TextoNormal"/>
      </w:pPr>
    </w:p>
    <w:p w14:paraId="54B2E4D4" w14:textId="77777777" w:rsidR="003754FE" w:rsidRDefault="003754FE" w:rsidP="003754FE">
      <w:pPr>
        <w:pStyle w:val="TextoNormal"/>
      </w:pPr>
      <w:r>
        <w:t>b) Es el Estado quien está legitimado para regular ese plus (la atribución de personalidad jurídica), pues es una materia, a la vez, de legislación civil, de Derecho civil, como “estadio jurídico-conceptual previo” (</w:t>
      </w:r>
      <w:r w:rsidRPr="003754FE">
        <w:rPr>
          <w:i/>
        </w:rPr>
        <w:t>sic</w:t>
      </w:r>
      <w:r>
        <w:t xml:space="preserve">). Solo el Estado, en tanto que actuando sobre la materia propia de derecho civil </w:t>
      </w:r>
      <w:r w:rsidRPr="003754FE">
        <w:rPr>
          <w:i/>
        </w:rPr>
        <w:t>ex</w:t>
      </w:r>
      <w:r>
        <w:t xml:space="preserve"> art. 149.1.8 CE (el reconocimiento de personalidad jurídica más allá de lo previsto en el art. 35 CC) puede otorgar la personalidad a que se refiere la Ley 19/2022 y ese es un paso previo a la gestión del medioambiente a que se refiere el art. 148.1.9 CE, competencia autonómica asumida por la Comunidad Autónoma de la Región de Murcia a través de su estatuto de autonomía y que en nada se ve aquí afectada.</w:t>
      </w:r>
    </w:p>
    <w:p w14:paraId="4C8B4018" w14:textId="77777777" w:rsidR="003754FE" w:rsidRDefault="003754FE" w:rsidP="003754FE">
      <w:pPr>
        <w:pStyle w:val="TextoNormal"/>
      </w:pPr>
    </w:p>
    <w:p w14:paraId="4D253629" w14:textId="77777777" w:rsidR="003754FE" w:rsidRDefault="003754FE" w:rsidP="003754FE">
      <w:pPr>
        <w:pStyle w:val="TextoNormal"/>
      </w:pPr>
      <w:r>
        <w:t>c) Además, parte de la Ley 19/2022 (en concreto su art. 6) tiene un contenido que recae dentro del art. 149.1.6 CE (legislación procesal) al crearse una acción judicial, abierta a cualquier persona física o jurídica, para defender el ecosistema del Mar Menor, que será la verdadera parte interesada.</w:t>
      </w:r>
    </w:p>
    <w:p w14:paraId="18FAFCE9" w14:textId="77777777" w:rsidR="003754FE" w:rsidRDefault="003754FE" w:rsidP="003754FE">
      <w:pPr>
        <w:pStyle w:val="TextoNormal"/>
      </w:pPr>
    </w:p>
    <w:p w14:paraId="10C318C2" w14:textId="23A9648D" w:rsidR="003754FE" w:rsidRDefault="003754FE" w:rsidP="003754FE">
      <w:pPr>
        <w:pStyle w:val="TextoNormal"/>
      </w:pPr>
      <w:r>
        <w:t>D) Finalmente, el abogado del Estado concluye sus alegaciones afirmando que el art. 4 de la Ley 19/2022 es una norma “meramente programática” (</w:t>
      </w:r>
      <w:r w:rsidRPr="003754FE">
        <w:rPr>
          <w:i/>
        </w:rPr>
        <w:t>sic</w:t>
      </w:r>
      <w:r>
        <w:t xml:space="preserve">), no tipifica infracciones o sanciones específicas y la remisión que contiene al ordenamiento aplicable en cada caso no es una remisión en blanco en los términos que ha censurado la doctrina constitucional; estamos, señala literalmente, ante una “admonición general del legislador respecto de la eficacia general y aplicabilidad […] del ordenamiento en su conjunto”. El art. 5, por su parte, </w:t>
      </w:r>
      <w:r>
        <w:lastRenderedPageBreak/>
        <w:t>es un “recordatorio retórico sobre la consecuencia general de invalidez que, en mayor o menor grado y según las previsiones de la norma, conlleva la vulneración del ordenamiento”.</w:t>
      </w:r>
    </w:p>
    <w:p w14:paraId="27D40028" w14:textId="77777777" w:rsidR="003754FE" w:rsidRDefault="003754FE" w:rsidP="003754FE">
      <w:pPr>
        <w:pStyle w:val="TextoNormal"/>
      </w:pPr>
    </w:p>
    <w:p w14:paraId="03FC42C5" w14:textId="7F9A28A0" w:rsidR="003754FE" w:rsidRDefault="003754FE" w:rsidP="003754FE">
      <w:pPr>
        <w:pStyle w:val="TextoNormal"/>
      </w:pPr>
      <w:r w:rsidRPr="003754FE">
        <w:rPr>
          <w:rStyle w:val="NumeroAFNegritaCaracter"/>
        </w:rPr>
        <w:t>7</w:t>
      </w:r>
      <w:r>
        <w:t>. Mediante providencia de 19 de noviembre de 2024, se señaló para deliberación y votación de la presente sentencia el día 20 del mismo mes y año.</w:t>
      </w:r>
    </w:p>
    <w:p w14:paraId="498F40C8" w14:textId="77777777" w:rsidR="003754FE" w:rsidRDefault="003754FE" w:rsidP="003754FE">
      <w:pPr>
        <w:pStyle w:val="TextoNormal"/>
      </w:pPr>
    </w:p>
    <w:p w14:paraId="666E7638" w14:textId="77777777" w:rsidR="003754FE" w:rsidRDefault="003754FE" w:rsidP="003754FE">
      <w:pPr>
        <w:pStyle w:val="TextoNormalNegritaCentrado"/>
        <w:keepNext/>
      </w:pPr>
      <w:r>
        <w:t>II. Fundamentos jurídicos</w:t>
      </w:r>
    </w:p>
    <w:p w14:paraId="1B92E148" w14:textId="6CD94665" w:rsidR="003754FE" w:rsidRDefault="003754FE" w:rsidP="003754FE">
      <w:pPr>
        <w:pStyle w:val="TextoNormalNegritaCentrado"/>
        <w:keepNext/>
      </w:pPr>
    </w:p>
    <w:p w14:paraId="64DD4A87" w14:textId="77777777" w:rsidR="003754FE" w:rsidRDefault="003754FE" w:rsidP="003754FE">
      <w:pPr>
        <w:pStyle w:val="TextoNormal"/>
      </w:pPr>
      <w:r w:rsidRPr="003754FE">
        <w:rPr>
          <w:rStyle w:val="NumeroAFNegritaCaracter"/>
        </w:rPr>
        <w:t>1</w:t>
      </w:r>
      <w:r>
        <w:t xml:space="preserve">. </w:t>
      </w:r>
      <w:r w:rsidRPr="003754FE">
        <w:rPr>
          <w:i/>
        </w:rPr>
        <w:t>Objeto del recurso y posiciones de las partes</w:t>
      </w:r>
    </w:p>
    <w:p w14:paraId="28523957" w14:textId="77777777" w:rsidR="003754FE" w:rsidRDefault="003754FE" w:rsidP="003754FE">
      <w:pPr>
        <w:pStyle w:val="TextoNormal"/>
      </w:pPr>
    </w:p>
    <w:p w14:paraId="1977B7A9" w14:textId="77777777" w:rsidR="003754FE" w:rsidRDefault="003754FE" w:rsidP="003754FE">
      <w:pPr>
        <w:pStyle w:val="TextoNormal"/>
      </w:pPr>
      <w:r>
        <w:t>a) El recurso de inconstitucionalidad núm. 8583-2023, promovido por cincuenta y dos diputados del Grupo Parlamentario Vox en el Congreso de los Diputados, tiene por objeto en general la totalidad de la Ley 19/2022, de 30 de septiembre, para el reconocimiento de personalidad jurídica a la laguna del Mar Menor y su cuenca (en adelante, Ley 19/2022), y en concreto además algunos de sus preceptos.</w:t>
      </w:r>
    </w:p>
    <w:p w14:paraId="07C83081" w14:textId="77777777" w:rsidR="003754FE" w:rsidRDefault="003754FE" w:rsidP="003754FE">
      <w:pPr>
        <w:pStyle w:val="TextoNormal"/>
      </w:pPr>
    </w:p>
    <w:p w14:paraId="709E3B59" w14:textId="77777777" w:rsidR="003754FE" w:rsidRDefault="003754FE" w:rsidP="003754FE">
      <w:pPr>
        <w:pStyle w:val="TextoNormal"/>
      </w:pPr>
      <w:r>
        <w:t>El contenido de la ley es el siguiente:</w:t>
      </w:r>
    </w:p>
    <w:p w14:paraId="1FEB82F7" w14:textId="77777777" w:rsidR="003754FE" w:rsidRDefault="003754FE" w:rsidP="003754FE">
      <w:pPr>
        <w:pStyle w:val="TextoNormal"/>
      </w:pPr>
    </w:p>
    <w:p w14:paraId="4A457A86" w14:textId="77777777" w:rsidR="003754FE" w:rsidRDefault="003754FE" w:rsidP="003754FE">
      <w:pPr>
        <w:pStyle w:val="TextoNormal"/>
      </w:pPr>
      <w:r>
        <w:t>“Artículo 1</w:t>
      </w:r>
    </w:p>
    <w:p w14:paraId="78D8093B" w14:textId="77777777" w:rsidR="003754FE" w:rsidRDefault="003754FE" w:rsidP="003754FE">
      <w:pPr>
        <w:pStyle w:val="TextoNormal"/>
      </w:pPr>
    </w:p>
    <w:p w14:paraId="73C0BD68" w14:textId="77777777" w:rsidR="003754FE" w:rsidRDefault="003754FE" w:rsidP="003754FE">
      <w:pPr>
        <w:pStyle w:val="TextoNormal"/>
      </w:pPr>
      <w:r>
        <w:t>Se declara la personalidad jurídica de la laguna del Mar Menor y de su cuenca, que se reconoce como sujeto de derechos.</w:t>
      </w:r>
    </w:p>
    <w:p w14:paraId="6408D5DC" w14:textId="77777777" w:rsidR="003754FE" w:rsidRDefault="003754FE" w:rsidP="003754FE">
      <w:pPr>
        <w:pStyle w:val="TextoNormal"/>
      </w:pPr>
    </w:p>
    <w:p w14:paraId="46CDE8EE" w14:textId="77777777" w:rsidR="003754FE" w:rsidRDefault="003754FE" w:rsidP="003754FE">
      <w:pPr>
        <w:pStyle w:val="TextoNormal"/>
      </w:pPr>
      <w:r>
        <w:t>A los efectos de la presente ley, se entenderá que la cuenca del Mar Menor está integrada por:</w:t>
      </w:r>
    </w:p>
    <w:p w14:paraId="620A25BD" w14:textId="77777777" w:rsidR="003754FE" w:rsidRDefault="003754FE" w:rsidP="003754FE">
      <w:pPr>
        <w:pStyle w:val="TextoNormal"/>
      </w:pPr>
    </w:p>
    <w:p w14:paraId="48B5BAEE" w14:textId="77777777" w:rsidR="003754FE" w:rsidRDefault="003754FE" w:rsidP="003754FE">
      <w:pPr>
        <w:pStyle w:val="TextoNormal"/>
      </w:pPr>
      <w:r>
        <w:t>a) La unidad biogeográfica constituida por un gran plano inclinado de 1600 km2 con dirección noroeste-sureste, limitado al norte y noroeste por las últimas estribaciones orientales de las cordilleras béticas constituidas por las sierras pre-litorales (Carrascoy, Cabezos del Pericón y Sierra de los Victorias, El Puerto, Los Villares, Columbares y Escalona), y al sur y suroeste por sierras litorales (El Algarrobo, Sierra de la Muela, Pelayo, Gorda, Sierra de La Fausilla y la sierra minera de Cartagena-La Unión, con sus últimas estribaciones en el cabo de Palos), e incluyendo la cuenca hídrica y sus redes de drenaje (ramblas, cauces, humedales, criptohumedales, etc.).</w:t>
      </w:r>
    </w:p>
    <w:p w14:paraId="35B060E3" w14:textId="77777777" w:rsidR="003754FE" w:rsidRDefault="003754FE" w:rsidP="003754FE">
      <w:pPr>
        <w:pStyle w:val="TextoNormal"/>
      </w:pPr>
    </w:p>
    <w:p w14:paraId="5A7E35AD" w14:textId="77777777" w:rsidR="003754FE" w:rsidRDefault="003754FE" w:rsidP="003754FE">
      <w:pPr>
        <w:pStyle w:val="TextoNormal"/>
      </w:pPr>
      <w:r>
        <w:t>b) El conjunto de los acuíferos (Cuaternario, Plioceno, Messiniense y Tortoniense) que pueden afectar a la estabilidad ecológica de la laguna costera, incluyendo la intrusión de agua marina mediterránea.</w:t>
      </w:r>
    </w:p>
    <w:p w14:paraId="03184BBA" w14:textId="77777777" w:rsidR="003754FE" w:rsidRDefault="003754FE" w:rsidP="003754FE">
      <w:pPr>
        <w:pStyle w:val="TextoNormal"/>
      </w:pPr>
    </w:p>
    <w:p w14:paraId="53434EAF" w14:textId="77777777" w:rsidR="003754FE" w:rsidRDefault="003754FE" w:rsidP="003754FE">
      <w:pPr>
        <w:pStyle w:val="TextoNormal"/>
      </w:pPr>
      <w:r>
        <w:t>Artículo 2</w:t>
      </w:r>
    </w:p>
    <w:p w14:paraId="0A9F95E1" w14:textId="77777777" w:rsidR="003754FE" w:rsidRDefault="003754FE" w:rsidP="003754FE">
      <w:pPr>
        <w:pStyle w:val="TextoNormal"/>
      </w:pPr>
    </w:p>
    <w:p w14:paraId="5AD6BD98" w14:textId="77777777" w:rsidR="003754FE" w:rsidRDefault="003754FE" w:rsidP="003754FE">
      <w:pPr>
        <w:pStyle w:val="TextoNormal"/>
      </w:pPr>
      <w:r>
        <w:t xml:space="preserve">1. Se reconoce al Mar Menor y su cuenca los derechos a la protección, conservación, mantenimiento y, en su caso, restauración, a cargo de los gobiernos y los habitantes ribereños. Se le reconoce también el derecho a existir como ecosistema y a evolucionar naturalmente, que incluirá todas las características naturales del agua, las comunidades de </w:t>
      </w:r>
      <w:r>
        <w:lastRenderedPageBreak/>
        <w:t>organismos, el suelo y los subsistemas terrestres y acuáticos que forman parte de la laguna del Mar Menor y su cuenca.</w:t>
      </w:r>
    </w:p>
    <w:p w14:paraId="22FDF11C" w14:textId="77777777" w:rsidR="003754FE" w:rsidRDefault="003754FE" w:rsidP="003754FE">
      <w:pPr>
        <w:pStyle w:val="TextoNormal"/>
      </w:pPr>
    </w:p>
    <w:p w14:paraId="39D4AB18" w14:textId="77777777" w:rsidR="003754FE" w:rsidRDefault="003754FE" w:rsidP="003754FE">
      <w:pPr>
        <w:pStyle w:val="TextoNormal"/>
      </w:pPr>
      <w:r>
        <w:t>2. Los derechos reseñados en el párrafo anterior tendrán el siguiente contenido:</w:t>
      </w:r>
    </w:p>
    <w:p w14:paraId="5CB4AC7D" w14:textId="77777777" w:rsidR="003754FE" w:rsidRDefault="003754FE" w:rsidP="003754FE">
      <w:pPr>
        <w:pStyle w:val="TextoNormal"/>
      </w:pPr>
    </w:p>
    <w:p w14:paraId="08456A3E" w14:textId="77777777" w:rsidR="003754FE" w:rsidRDefault="003754FE" w:rsidP="003754FE">
      <w:pPr>
        <w:pStyle w:val="TextoNormal"/>
      </w:pPr>
      <w:r>
        <w:t>a) Derecho a existir y a evolucionar naturalmente: El Mar Menor está regido por un orden natural o ley ecológica que hace posible que exista como ecosistema lagunar y como ecosistema terrestre en su cuenca. El derecho a existir significa el respeto a esta ley ecológica, para asegurar el equilibro y la capacidad de regulación del ecosistema ante el desequilibrio provocado por las presiones antrópicas procedentes mayoritariamente de la cuenca vertiente.</w:t>
      </w:r>
    </w:p>
    <w:p w14:paraId="08B43ADC" w14:textId="77777777" w:rsidR="003754FE" w:rsidRDefault="003754FE" w:rsidP="003754FE">
      <w:pPr>
        <w:pStyle w:val="TextoNormal"/>
      </w:pPr>
    </w:p>
    <w:p w14:paraId="6A327D34" w14:textId="77777777" w:rsidR="003754FE" w:rsidRDefault="003754FE" w:rsidP="003754FE">
      <w:pPr>
        <w:pStyle w:val="TextoNormal"/>
      </w:pPr>
      <w:r>
        <w:t>b) Derecho a la protección: El derecho a la protección implica limitar, detener y no autorizar aquellas actividades que supongan un riesgo o perjuicio para el ecosistema.</w:t>
      </w:r>
    </w:p>
    <w:p w14:paraId="6DCAE6A5" w14:textId="77777777" w:rsidR="003754FE" w:rsidRDefault="003754FE" w:rsidP="003754FE">
      <w:pPr>
        <w:pStyle w:val="TextoNormal"/>
      </w:pPr>
    </w:p>
    <w:p w14:paraId="60464885" w14:textId="77777777" w:rsidR="003754FE" w:rsidRDefault="003754FE" w:rsidP="003754FE">
      <w:pPr>
        <w:pStyle w:val="TextoNormal"/>
      </w:pPr>
      <w:r>
        <w:t>c) Derecho a la conservación: El derecho a la conservación exige acciones de preservación de especies y hábitats terrestres y marinos y la gestión de los espacios naturales protegidos asociados.</w:t>
      </w:r>
    </w:p>
    <w:p w14:paraId="0663BBCF" w14:textId="77777777" w:rsidR="003754FE" w:rsidRDefault="003754FE" w:rsidP="003754FE">
      <w:pPr>
        <w:pStyle w:val="TextoNormal"/>
      </w:pPr>
    </w:p>
    <w:p w14:paraId="5EED11E6" w14:textId="77777777" w:rsidR="003754FE" w:rsidRDefault="003754FE" w:rsidP="003754FE">
      <w:pPr>
        <w:pStyle w:val="TextoNormal"/>
      </w:pPr>
      <w:r>
        <w:t>d) Derecho a la restauración: El derecho a la restauración requiere, una vez producido el daño, acciones de reparación en la laguna y su cuenca vertiente, que restablezcan la dinámica natural y la resiliencia, así como los servicios ecosistémicos asociados.</w:t>
      </w:r>
    </w:p>
    <w:p w14:paraId="402C8167" w14:textId="77777777" w:rsidR="003754FE" w:rsidRDefault="003754FE" w:rsidP="003754FE">
      <w:pPr>
        <w:pStyle w:val="TextoNormal"/>
      </w:pPr>
    </w:p>
    <w:p w14:paraId="25DA12B5" w14:textId="77777777" w:rsidR="003754FE" w:rsidRDefault="003754FE" w:rsidP="003754FE">
      <w:pPr>
        <w:pStyle w:val="TextoNormal"/>
      </w:pPr>
      <w:r>
        <w:t>Artículo 3</w:t>
      </w:r>
    </w:p>
    <w:p w14:paraId="0CA59574" w14:textId="77777777" w:rsidR="003754FE" w:rsidRDefault="003754FE" w:rsidP="003754FE">
      <w:pPr>
        <w:pStyle w:val="TextoNormal"/>
      </w:pPr>
    </w:p>
    <w:p w14:paraId="2BB82BBF" w14:textId="77777777" w:rsidR="003754FE" w:rsidRDefault="003754FE" w:rsidP="003754FE">
      <w:pPr>
        <w:pStyle w:val="TextoNormal"/>
      </w:pPr>
      <w:r>
        <w:t>1. La representación y gobernanza de la laguna del Mar Menor y de su cuenca, se concreta en tres figuras: Un Comité de Representantes, compuesto por representantes de las administraciones públicas que intervienen en este ámbito y de la ciudadanía de los municipios ribereños; una Comisión de Seguimiento (los guardianes o guardianas de la Laguna del Mar Menor); y un Comité Científico, del que formará parte una comisión independiente de científicos y expertos, las universidades y los centros de investigación.</w:t>
      </w:r>
    </w:p>
    <w:p w14:paraId="01F3B50E" w14:textId="77777777" w:rsidR="003754FE" w:rsidRDefault="003754FE" w:rsidP="003754FE">
      <w:pPr>
        <w:pStyle w:val="TextoNormal"/>
      </w:pPr>
    </w:p>
    <w:p w14:paraId="47EF875D" w14:textId="77777777" w:rsidR="003754FE" w:rsidRDefault="003754FE" w:rsidP="003754FE">
      <w:pPr>
        <w:pStyle w:val="TextoNormal"/>
      </w:pPr>
      <w:r>
        <w:t>Los tres órganos referidos, Comité de Representantes, Comisión de Seguimiento y Comité Científico, formarán la Tutoría del Mar Menor.</w:t>
      </w:r>
    </w:p>
    <w:p w14:paraId="7829F307" w14:textId="77777777" w:rsidR="003754FE" w:rsidRDefault="003754FE" w:rsidP="003754FE">
      <w:pPr>
        <w:pStyle w:val="TextoNormal"/>
      </w:pPr>
    </w:p>
    <w:p w14:paraId="0114A458" w14:textId="77777777" w:rsidR="003754FE" w:rsidRDefault="003754FE" w:rsidP="003754FE">
      <w:pPr>
        <w:pStyle w:val="TextoNormal"/>
      </w:pPr>
      <w:r>
        <w:t>2. El Comité de Representantes estará formado por trece miembros, tres por la administración general del Estado, tres por la comunidad autónoma y siete por la ciudadanía, que inicialmente serán los miembros del grupo promotor de la iniciativa legislativa popular. El Comité de Representantes tiene entre sus funciones la de propuesta de actuaciones de protección, conservación, mantenimiento y restauración de la laguna, y también la de vigilancia y control del cumplimiento de los derechos de la laguna y su cuenca; a partir de las aportaciones de la Comisión de Seguimiento y del Comité Científico.</w:t>
      </w:r>
    </w:p>
    <w:p w14:paraId="3CAB6BA8" w14:textId="77777777" w:rsidR="003754FE" w:rsidRDefault="003754FE" w:rsidP="003754FE">
      <w:pPr>
        <w:pStyle w:val="TextoNormal"/>
      </w:pPr>
    </w:p>
    <w:p w14:paraId="78C61230" w14:textId="77777777" w:rsidR="003754FE" w:rsidRDefault="003754FE" w:rsidP="003754FE">
      <w:pPr>
        <w:pStyle w:val="TextoNormal"/>
      </w:pPr>
      <w:r>
        <w:t xml:space="preserve">3. La Comisión de Seguimiento (guardianes y guardianas) estará formada por una persona titular y una suplente en representación de cada uno de los municipios ribereños o de cuenca (Cartagena, Los Alcázares, San Javier, San Pedro del Pinatar, Fuente Álamo, La Unión, Murcia y Torre Pacheco) designada por los respectivos ayuntamientos, que serán renovadas tras cada período de elecciones municipales. Así como por una persona titular y </w:t>
      </w:r>
      <w:r>
        <w:lastRenderedPageBreak/>
        <w:t>una suplente en representación de cada uno de los siguientes sectores económicos, sociales y de defensa medioambiental: asociaciones empresariales, sindicales, vecinales, de pesca, agrarias, ganaderas —con representación de la agricultura y ganadería ecológica y/o tradicional—, de defensa medioambiental, de lucha por la igualdad de género y juveniles.</w:t>
      </w:r>
    </w:p>
    <w:p w14:paraId="6C9AFF64" w14:textId="77777777" w:rsidR="003754FE" w:rsidRDefault="003754FE" w:rsidP="003754FE">
      <w:pPr>
        <w:pStyle w:val="TextoNormal"/>
      </w:pPr>
    </w:p>
    <w:p w14:paraId="18CC674F" w14:textId="77777777" w:rsidR="003754FE" w:rsidRDefault="003754FE" w:rsidP="003754FE">
      <w:pPr>
        <w:pStyle w:val="TextoNormal"/>
      </w:pPr>
      <w:r>
        <w:t>Estas personas, que deberán tener una trayectoria previa en la defensa del ecosistema del Mar Menor, serán designadas por acuerdo de las organizaciones más representativas de cada uno de los mencionados sectores, bajo la convocatoria y supervisión de la comisión promotora, y para un período renovable de cuatro años. La Comisión de Seguimiento se constituirá en un tiempo no superior a tres meses tras la publicación de la presente ley.</w:t>
      </w:r>
    </w:p>
    <w:p w14:paraId="50E1F271" w14:textId="77777777" w:rsidR="003754FE" w:rsidRDefault="003754FE" w:rsidP="003754FE">
      <w:pPr>
        <w:pStyle w:val="TextoNormal"/>
      </w:pPr>
    </w:p>
    <w:p w14:paraId="39B06BE6" w14:textId="77777777" w:rsidR="003754FE" w:rsidRDefault="003754FE" w:rsidP="003754FE">
      <w:pPr>
        <w:pStyle w:val="TextoNormal"/>
      </w:pPr>
      <w:r>
        <w:t>La Comisión de Seguimiento tiene entre sus actividades propias la difusión de información sobre la presente ley, el seguimiento y control del respeto a los derechos de la laguna y su cuenca, y la información periódica sobre el cumplimiento de esta ley, teniendo en cuenta los indicadores definidos por el Comité Científico para analizar el estado ecológico del Mar Menor en sus informes.</w:t>
      </w:r>
    </w:p>
    <w:p w14:paraId="5E4601D9" w14:textId="77777777" w:rsidR="003754FE" w:rsidRDefault="003754FE" w:rsidP="003754FE">
      <w:pPr>
        <w:pStyle w:val="TextoNormal"/>
      </w:pPr>
    </w:p>
    <w:p w14:paraId="7C7CA405" w14:textId="77777777" w:rsidR="003754FE" w:rsidRDefault="003754FE" w:rsidP="003754FE">
      <w:pPr>
        <w:pStyle w:val="TextoNormal"/>
      </w:pPr>
      <w:r>
        <w:t>4. El Comité Científico estará formado por científicos y expertos independientes especializados en el estudio del Mar Menor, propuestos por las Universidades de Murcia y Alicante, por el Instituto Español de Oceanografía (Centro Oceanográfico de Murcia), por la Sociedad Ibérica de Ecología y por el Consejo Superior de Investigaciones Científicas, para un periodo de cuatro años renovable.</w:t>
      </w:r>
    </w:p>
    <w:p w14:paraId="190FAF0C" w14:textId="77777777" w:rsidR="003754FE" w:rsidRDefault="003754FE" w:rsidP="003754FE">
      <w:pPr>
        <w:pStyle w:val="TextoNormal"/>
      </w:pPr>
    </w:p>
    <w:p w14:paraId="52677201" w14:textId="77777777" w:rsidR="003754FE" w:rsidRDefault="003754FE" w:rsidP="003754FE">
      <w:pPr>
        <w:pStyle w:val="TextoNormal"/>
      </w:pPr>
      <w:r>
        <w:t>La independencia del Comité Científico la garantizarán dos condiciones de sus miembros: reconocido prestigio científico y no remuneración.</w:t>
      </w:r>
    </w:p>
    <w:p w14:paraId="7D8C1A6C" w14:textId="77777777" w:rsidR="003754FE" w:rsidRDefault="003754FE" w:rsidP="003754FE">
      <w:pPr>
        <w:pStyle w:val="TextoNormal"/>
      </w:pPr>
    </w:p>
    <w:p w14:paraId="0320BAD6" w14:textId="77777777" w:rsidR="003754FE" w:rsidRDefault="003754FE" w:rsidP="003754FE">
      <w:pPr>
        <w:pStyle w:val="TextoNormal"/>
      </w:pPr>
      <w:r>
        <w:t>El Comité Científico tendrá entre sus funciones la de asesoramiento al Comité de Representantes y la Comisión de Seguimiento, e identificación de indicadores sobre el estado ecológico del ecosistema, sus riesgos y las medidas adecuadas de restauración, que comunicará a la Comisión de Seguimiento.</w:t>
      </w:r>
    </w:p>
    <w:p w14:paraId="034774C6" w14:textId="77777777" w:rsidR="003754FE" w:rsidRDefault="003754FE" w:rsidP="003754FE">
      <w:pPr>
        <w:pStyle w:val="TextoNormal"/>
      </w:pPr>
    </w:p>
    <w:p w14:paraId="21A4121D" w14:textId="77777777" w:rsidR="003754FE" w:rsidRDefault="003754FE" w:rsidP="003754FE">
      <w:pPr>
        <w:pStyle w:val="TextoNormal"/>
      </w:pPr>
      <w:r>
        <w:t>Artículo 4</w:t>
      </w:r>
    </w:p>
    <w:p w14:paraId="7666E61B" w14:textId="77777777" w:rsidR="003754FE" w:rsidRDefault="003754FE" w:rsidP="003754FE">
      <w:pPr>
        <w:pStyle w:val="TextoNormal"/>
      </w:pPr>
    </w:p>
    <w:p w14:paraId="61C14BF2" w14:textId="77777777" w:rsidR="003754FE" w:rsidRDefault="003754FE" w:rsidP="003754FE">
      <w:pPr>
        <w:pStyle w:val="TextoNormal"/>
      </w:pPr>
      <w:r>
        <w:t>Toda conducta que vulnere los derechos reconocidos y garantizados por esta ley, por cualquier autoridad pública, entidad de derecho privado, persona física o persona jurídica generará responsabilidad penal, civil, ambiental y administrativa, y será perseguida y sancionada de conformidad con las normas penales, civiles, ambientales y administrativas en sus jurisdicciones correspondientes.</w:t>
      </w:r>
    </w:p>
    <w:p w14:paraId="33748720" w14:textId="77777777" w:rsidR="003754FE" w:rsidRDefault="003754FE" w:rsidP="003754FE">
      <w:pPr>
        <w:pStyle w:val="TextoNormal"/>
      </w:pPr>
    </w:p>
    <w:p w14:paraId="3753C9B6" w14:textId="77777777" w:rsidR="003754FE" w:rsidRDefault="003754FE" w:rsidP="003754FE">
      <w:pPr>
        <w:pStyle w:val="TextoNormal"/>
      </w:pPr>
      <w:r>
        <w:t>Artículo 5</w:t>
      </w:r>
    </w:p>
    <w:p w14:paraId="30BA9A9C" w14:textId="77777777" w:rsidR="003754FE" w:rsidRDefault="003754FE" w:rsidP="003754FE">
      <w:pPr>
        <w:pStyle w:val="TextoNormal"/>
      </w:pPr>
    </w:p>
    <w:p w14:paraId="2A4C83A0" w14:textId="77777777" w:rsidR="003754FE" w:rsidRDefault="003754FE" w:rsidP="003754FE">
      <w:pPr>
        <w:pStyle w:val="TextoNormal"/>
      </w:pPr>
      <w:r>
        <w:t>Cualquier acto o actuación de cualquiera de las administraciones públicas que vulnere las disposiciones contenidas en la presente ley se considerará inválido y será revisado en la vía administrativa o judicial.</w:t>
      </w:r>
    </w:p>
    <w:p w14:paraId="5CA32EF0" w14:textId="77777777" w:rsidR="003754FE" w:rsidRDefault="003754FE" w:rsidP="003754FE">
      <w:pPr>
        <w:pStyle w:val="TextoNormal"/>
      </w:pPr>
    </w:p>
    <w:p w14:paraId="44FE4585" w14:textId="77777777" w:rsidR="003754FE" w:rsidRDefault="003754FE" w:rsidP="003754FE">
      <w:pPr>
        <w:pStyle w:val="TextoNormal"/>
      </w:pPr>
      <w:r>
        <w:t>Artículo 6</w:t>
      </w:r>
    </w:p>
    <w:p w14:paraId="353A8E71" w14:textId="77777777" w:rsidR="003754FE" w:rsidRDefault="003754FE" w:rsidP="003754FE">
      <w:pPr>
        <w:pStyle w:val="TextoNormal"/>
      </w:pPr>
    </w:p>
    <w:p w14:paraId="5E45C14C" w14:textId="77777777" w:rsidR="003754FE" w:rsidRDefault="003754FE" w:rsidP="003754FE">
      <w:pPr>
        <w:pStyle w:val="TextoNormal"/>
      </w:pPr>
      <w:r>
        <w:lastRenderedPageBreak/>
        <w:t>Cualquier persona física o jurídica está legitimada para la defensa del ecosistema del Mar Menor, y puede hacer valer los derechos y las prohibiciones de esta ley y las disposiciones que la desarrollen a través de una acción presentada en el tribunal correspondiente o administración pública.</w:t>
      </w:r>
    </w:p>
    <w:p w14:paraId="0FD9D857" w14:textId="77777777" w:rsidR="003754FE" w:rsidRDefault="003754FE" w:rsidP="003754FE">
      <w:pPr>
        <w:pStyle w:val="TextoNormal"/>
      </w:pPr>
    </w:p>
    <w:p w14:paraId="6BAF8552" w14:textId="77777777" w:rsidR="003754FE" w:rsidRDefault="003754FE" w:rsidP="003754FE">
      <w:pPr>
        <w:pStyle w:val="TextoNormal"/>
      </w:pPr>
      <w:r>
        <w:t>Dicha acción judicial se presentará en nombre del ecosistema del Mar Menor como la verdadera parte interesada. La persona que ejercite dicha acción y que vea estimada su pretensión tendrá derecho a recuperar todo el coste del litigio emprendido, incluidos, entre otros, los honorarios de abogados, procuradores, peritos y testigos, y estará eximido de las costas procesales y de las fianzas en materia de medidas cautelares.</w:t>
      </w:r>
    </w:p>
    <w:p w14:paraId="10783C9D" w14:textId="77777777" w:rsidR="003754FE" w:rsidRDefault="003754FE" w:rsidP="003754FE">
      <w:pPr>
        <w:pStyle w:val="TextoNormal"/>
      </w:pPr>
    </w:p>
    <w:p w14:paraId="4FA9B4FA" w14:textId="77777777" w:rsidR="003754FE" w:rsidRDefault="003754FE" w:rsidP="003754FE">
      <w:pPr>
        <w:pStyle w:val="TextoNormal"/>
      </w:pPr>
      <w:r>
        <w:t>Artículo 7</w:t>
      </w:r>
    </w:p>
    <w:p w14:paraId="1533574C" w14:textId="77777777" w:rsidR="003754FE" w:rsidRDefault="003754FE" w:rsidP="003754FE">
      <w:pPr>
        <w:pStyle w:val="TextoNormal"/>
      </w:pPr>
    </w:p>
    <w:p w14:paraId="33AB413B" w14:textId="77777777" w:rsidR="003754FE" w:rsidRDefault="003754FE" w:rsidP="003754FE">
      <w:pPr>
        <w:pStyle w:val="TextoNormal"/>
      </w:pPr>
      <w:r>
        <w:t>Las administraciones públicas, en todos sus niveles territoriales y a través de sus autoridades e instituciones, tienen las siguientes obligaciones:</w:t>
      </w:r>
    </w:p>
    <w:p w14:paraId="2A301F6A" w14:textId="77777777" w:rsidR="003754FE" w:rsidRDefault="003754FE" w:rsidP="003754FE">
      <w:pPr>
        <w:pStyle w:val="TextoNormal"/>
      </w:pPr>
    </w:p>
    <w:p w14:paraId="3E096415" w14:textId="77777777" w:rsidR="003754FE" w:rsidRDefault="003754FE" w:rsidP="003754FE">
      <w:pPr>
        <w:pStyle w:val="TextoNormal"/>
      </w:pPr>
      <w:r>
        <w:t>1. Desarrollar políticas públicas y acciones sistemáticas de prevención, alerta temprana, protección, precaución, para evitar que las actividades humanas conduzcan a la extinción de la biodiversidad del Mar Menor y su cuenca o la alteración de los ciclos y procesos que garantizan el equilibrio de su ecosistema.</w:t>
      </w:r>
    </w:p>
    <w:p w14:paraId="100773C0" w14:textId="77777777" w:rsidR="003754FE" w:rsidRDefault="003754FE" w:rsidP="003754FE">
      <w:pPr>
        <w:pStyle w:val="TextoNormal"/>
      </w:pPr>
    </w:p>
    <w:p w14:paraId="79D21924" w14:textId="77777777" w:rsidR="003754FE" w:rsidRDefault="003754FE" w:rsidP="003754FE">
      <w:pPr>
        <w:pStyle w:val="TextoNormal"/>
      </w:pPr>
      <w:r>
        <w:t>2. Promover campañas de concienciación social sobre los peligros ambientales a los que se enfrenta el ecosistema del Mar Menor, así como educar en los beneficios que su protección aporta a la sociedad.</w:t>
      </w:r>
    </w:p>
    <w:p w14:paraId="1240AFBC" w14:textId="77777777" w:rsidR="003754FE" w:rsidRDefault="003754FE" w:rsidP="003754FE">
      <w:pPr>
        <w:pStyle w:val="TextoNormal"/>
      </w:pPr>
    </w:p>
    <w:p w14:paraId="3355EDDE" w14:textId="77777777" w:rsidR="003754FE" w:rsidRDefault="003754FE" w:rsidP="003754FE">
      <w:pPr>
        <w:pStyle w:val="TextoNormal"/>
      </w:pPr>
      <w:r>
        <w:t>3. Realizar estudios periódicos sobre el estado del ecosistema del Mar Menor, y elaborar un mapa de los riesgos actuales y posibles.</w:t>
      </w:r>
    </w:p>
    <w:p w14:paraId="628881D1" w14:textId="77777777" w:rsidR="003754FE" w:rsidRDefault="003754FE" w:rsidP="003754FE">
      <w:pPr>
        <w:pStyle w:val="TextoNormal"/>
      </w:pPr>
    </w:p>
    <w:p w14:paraId="3862F49E" w14:textId="77777777" w:rsidR="003754FE" w:rsidRDefault="003754FE" w:rsidP="003754FE">
      <w:pPr>
        <w:pStyle w:val="TextoNormal"/>
      </w:pPr>
      <w:r>
        <w:t>4. Restringir de forma inmediata aquellas actividades que puedan conducir a la extinción de especies, la destrucción de ecosistemas o la alteración permanente de los ciclos naturales.</w:t>
      </w:r>
    </w:p>
    <w:p w14:paraId="409FB2D6" w14:textId="77777777" w:rsidR="003754FE" w:rsidRDefault="003754FE" w:rsidP="003754FE">
      <w:pPr>
        <w:pStyle w:val="TextoNormal"/>
      </w:pPr>
    </w:p>
    <w:p w14:paraId="6EB8F8E4" w14:textId="77777777" w:rsidR="003754FE" w:rsidRDefault="003754FE" w:rsidP="003754FE">
      <w:pPr>
        <w:pStyle w:val="TextoNormal"/>
      </w:pPr>
      <w:r>
        <w:t>5. Prohibir o limitar la introducción de organismos y material orgánico e inorgánico que puedan alterar de manera definitiva el patrimonio biológico del Mar Menor.</w:t>
      </w:r>
    </w:p>
    <w:p w14:paraId="7D92AD84" w14:textId="77777777" w:rsidR="003754FE" w:rsidRDefault="003754FE" w:rsidP="003754FE">
      <w:pPr>
        <w:pStyle w:val="TextoNormal"/>
      </w:pPr>
    </w:p>
    <w:p w14:paraId="46E2009F" w14:textId="77777777" w:rsidR="003754FE" w:rsidRDefault="003754FE" w:rsidP="003754FE">
      <w:pPr>
        <w:pStyle w:val="TextoNormal"/>
      </w:pPr>
      <w:r>
        <w:t>Disposición derogatoria única</w:t>
      </w:r>
    </w:p>
    <w:p w14:paraId="6CA7A6D2" w14:textId="77777777" w:rsidR="003754FE" w:rsidRDefault="003754FE" w:rsidP="003754FE">
      <w:pPr>
        <w:pStyle w:val="TextoNormal"/>
      </w:pPr>
    </w:p>
    <w:p w14:paraId="7ECE94FD" w14:textId="77777777" w:rsidR="003754FE" w:rsidRDefault="003754FE" w:rsidP="003754FE">
      <w:pPr>
        <w:pStyle w:val="TextoNormal"/>
      </w:pPr>
      <w:r>
        <w:t>Se derogan todas las disposiciones contrarias a las disposiciones recogidas en esta ley.</w:t>
      </w:r>
    </w:p>
    <w:p w14:paraId="0A552533" w14:textId="77777777" w:rsidR="003754FE" w:rsidRDefault="003754FE" w:rsidP="003754FE">
      <w:pPr>
        <w:pStyle w:val="TextoNormal"/>
      </w:pPr>
    </w:p>
    <w:p w14:paraId="0C1ECC5B" w14:textId="77777777" w:rsidR="003754FE" w:rsidRDefault="003754FE" w:rsidP="003754FE">
      <w:pPr>
        <w:pStyle w:val="TextoNormal"/>
      </w:pPr>
      <w:r>
        <w:t>Disposición final primera. Desarrollo reglamentario</w:t>
      </w:r>
    </w:p>
    <w:p w14:paraId="52043AA5" w14:textId="77777777" w:rsidR="003754FE" w:rsidRDefault="003754FE" w:rsidP="003754FE">
      <w:pPr>
        <w:pStyle w:val="TextoNormal"/>
      </w:pPr>
    </w:p>
    <w:p w14:paraId="085224A4" w14:textId="77777777" w:rsidR="003754FE" w:rsidRDefault="003754FE" w:rsidP="003754FE">
      <w:pPr>
        <w:pStyle w:val="TextoNormal"/>
      </w:pPr>
      <w:r>
        <w:t>Se habilita al Gobierno para que, en el ámbito de sus competencias, apruebe cuantas disposiciones sean necesarias para la aplicación, ejecución y desarrollo de lo establecido en esta ley.</w:t>
      </w:r>
    </w:p>
    <w:p w14:paraId="09DF9222" w14:textId="77777777" w:rsidR="003754FE" w:rsidRDefault="003754FE" w:rsidP="003754FE">
      <w:pPr>
        <w:pStyle w:val="TextoNormal"/>
      </w:pPr>
    </w:p>
    <w:p w14:paraId="50166ED6" w14:textId="77777777" w:rsidR="003754FE" w:rsidRDefault="003754FE" w:rsidP="003754FE">
      <w:pPr>
        <w:pStyle w:val="TextoNormal"/>
      </w:pPr>
      <w:r>
        <w:t>Disposición final segunda. Título competencial</w:t>
      </w:r>
    </w:p>
    <w:p w14:paraId="2967F473" w14:textId="77777777" w:rsidR="003754FE" w:rsidRDefault="003754FE" w:rsidP="003754FE">
      <w:pPr>
        <w:pStyle w:val="TextoNormal"/>
      </w:pPr>
    </w:p>
    <w:p w14:paraId="5932CE4D" w14:textId="77777777" w:rsidR="003754FE" w:rsidRDefault="003754FE" w:rsidP="003754FE">
      <w:pPr>
        <w:pStyle w:val="TextoNormal"/>
      </w:pPr>
      <w:r>
        <w:t xml:space="preserve">Esta ley se dicta al amparo de la competencia exclusiva del Estado prevista en el artículo 149.1.23 de la Constitución, de legislación básica sobre protección del medio ambiente, sin </w:t>
      </w:r>
      <w:r>
        <w:lastRenderedPageBreak/>
        <w:t>perjuicio de las facultades de las comunidades autónomas de establecer normas adicionales de protección.</w:t>
      </w:r>
    </w:p>
    <w:p w14:paraId="4ED070F1" w14:textId="77777777" w:rsidR="003754FE" w:rsidRDefault="003754FE" w:rsidP="003754FE">
      <w:pPr>
        <w:pStyle w:val="TextoNormal"/>
      </w:pPr>
    </w:p>
    <w:p w14:paraId="1AFF9B34" w14:textId="77777777" w:rsidR="003754FE" w:rsidRDefault="003754FE" w:rsidP="003754FE">
      <w:pPr>
        <w:pStyle w:val="TextoNormal"/>
      </w:pPr>
      <w:r>
        <w:t>Disposición final tercera</w:t>
      </w:r>
    </w:p>
    <w:p w14:paraId="0AEA2F1B" w14:textId="77777777" w:rsidR="003754FE" w:rsidRDefault="003754FE" w:rsidP="003754FE">
      <w:pPr>
        <w:pStyle w:val="TextoNormal"/>
      </w:pPr>
    </w:p>
    <w:p w14:paraId="75A89A36" w14:textId="77777777" w:rsidR="003754FE" w:rsidRDefault="003754FE" w:rsidP="003754FE">
      <w:pPr>
        <w:pStyle w:val="TextoNormal"/>
      </w:pPr>
      <w:r>
        <w:t>Esta ley entrará en vigor el mismo día de su publicación en el ‘Boletín Oficial del Estado’”.</w:t>
      </w:r>
    </w:p>
    <w:p w14:paraId="54A5EB36" w14:textId="77777777" w:rsidR="003754FE" w:rsidRDefault="003754FE" w:rsidP="003754FE">
      <w:pPr>
        <w:pStyle w:val="TextoNormal"/>
      </w:pPr>
    </w:p>
    <w:p w14:paraId="204CB894" w14:textId="77777777" w:rsidR="003754FE" w:rsidRDefault="003754FE" w:rsidP="003754FE">
      <w:pPr>
        <w:pStyle w:val="TextoNormal"/>
      </w:pPr>
      <w:r>
        <w:t>b) La interposición del recurso se fundamenta en cuatro motivos. El primero es de índole competencial y afecta a la totalidad de la ley y, según se indica, en particular al art. 7 y la disposición final segunda. Los otros se proyectan sobre los arts. 1, 2, 4, 5, 6 y la disposición derogatoria única, por vulneración, según el caso, de los arts. 9.3, 10.1, 24.1, 25.1, 45 y 81.1 CE, como con mayor detalle se ha expuesto en los antecedentes.</w:t>
      </w:r>
    </w:p>
    <w:p w14:paraId="6F10B09A" w14:textId="77777777" w:rsidR="003754FE" w:rsidRDefault="003754FE" w:rsidP="003754FE">
      <w:pPr>
        <w:pStyle w:val="TextoNormal"/>
      </w:pPr>
    </w:p>
    <w:p w14:paraId="0FA58D80" w14:textId="27B73CFC" w:rsidR="003754FE" w:rsidRDefault="003754FE" w:rsidP="003754FE">
      <w:pPr>
        <w:pStyle w:val="TextoNormal"/>
      </w:pPr>
      <w:r>
        <w:t>c) La Abogacía del Estado interesa la desestimación del recurso en su totalidad, sosteniendo la adecuación de la Ley 19/2022 al reparto constitucional de competencias y la inexistencia del resto de vulneraciones sustantivas y formales.</w:t>
      </w:r>
    </w:p>
    <w:p w14:paraId="38252197" w14:textId="77777777" w:rsidR="003754FE" w:rsidRDefault="003754FE" w:rsidP="003754FE">
      <w:pPr>
        <w:pStyle w:val="TextoNormal"/>
      </w:pPr>
    </w:p>
    <w:p w14:paraId="7004E2D0" w14:textId="77777777" w:rsidR="003754FE" w:rsidRDefault="003754FE" w:rsidP="003754FE">
      <w:pPr>
        <w:pStyle w:val="TextoNormal"/>
      </w:pPr>
      <w:r w:rsidRPr="003754FE">
        <w:rPr>
          <w:rStyle w:val="NumeroAFNegritaCaracter"/>
        </w:rPr>
        <w:t>2</w:t>
      </w:r>
      <w:r>
        <w:t xml:space="preserve">. </w:t>
      </w:r>
      <w:r w:rsidRPr="003754FE">
        <w:rPr>
          <w:i/>
        </w:rPr>
        <w:t>Consideraciones previas, orden de examen y óbices procesales</w:t>
      </w:r>
    </w:p>
    <w:p w14:paraId="3119F20F" w14:textId="77777777" w:rsidR="003754FE" w:rsidRDefault="003754FE" w:rsidP="003754FE">
      <w:pPr>
        <w:pStyle w:val="TextoNormal"/>
      </w:pPr>
    </w:p>
    <w:p w14:paraId="711396E3" w14:textId="77777777" w:rsidR="003754FE" w:rsidRDefault="003754FE" w:rsidP="003754FE">
      <w:pPr>
        <w:pStyle w:val="TextoNormal"/>
      </w:pPr>
      <w:r>
        <w:t>a) Desde su aprobación, la Ley 19/2022 no ha sufrido modificaciones, por lo que el objeto de este recurso permanece inalterado.</w:t>
      </w:r>
    </w:p>
    <w:p w14:paraId="1CBE19A2" w14:textId="77777777" w:rsidR="003754FE" w:rsidRDefault="003754FE" w:rsidP="003754FE">
      <w:pPr>
        <w:pStyle w:val="TextoNormal"/>
      </w:pPr>
    </w:p>
    <w:p w14:paraId="3A134388" w14:textId="77777777" w:rsidR="003754FE" w:rsidRDefault="003754FE" w:rsidP="003754FE">
      <w:pPr>
        <w:pStyle w:val="TextoNormal"/>
      </w:pPr>
      <w:r>
        <w:t>b) La interposición del recurso se fundamenta en cuatro motivos, subsumibles en dos tipologías. Una es de índole competencial y afecta a la totalidad de la ley, por lo que será analizada en primer lugar, dado que una eventual inconstitucionalidad por esta causa haría innecesario pronunciarse sobre el resto de las tachas alegadas. Indican los recurrentes que este motivo de inconstitucionalidad se plasma en particular en el art. 7 y en la disposición final segunda de la Ley 19/2022. El abogado del Estado no formula en sus alegaciones ninguna que concierna a posibles óbices procesales; sin embargo, como con más detalle ha quedado expuesto en los antecedentes de esta sentencia, nada se argumenta en el escrito de demanda sobre una impugnación particular del art. 7, pese a la mención específica en el encabezado de ese apartado del recurso. Por esa razón nuestro análisis tampoco se detendrá en él en particular.</w:t>
      </w:r>
    </w:p>
    <w:p w14:paraId="344A8382" w14:textId="77777777" w:rsidR="003754FE" w:rsidRDefault="003754FE" w:rsidP="003754FE">
      <w:pPr>
        <w:pStyle w:val="TextoNormal"/>
      </w:pPr>
    </w:p>
    <w:p w14:paraId="2ADE0B36" w14:textId="77777777" w:rsidR="003754FE" w:rsidRDefault="003754FE" w:rsidP="003754FE">
      <w:pPr>
        <w:pStyle w:val="TextoNormal"/>
      </w:pPr>
      <w:r>
        <w:t>c) El otro grupo de impugnaciones se refiere ya a ciertos preceptos (los núm. 1, 2, 4, 5, 6 y la disposición derogatoria única) y esos motivos serán analizados, en su caso, a continuación y siguiendo el orden del escrito de demanda. Este identifica como recurrido, tanto al describir su objeto como en el suplico, también el art. 3 de la Ley 19/2022, pero nada se argumenta en particular sobre él, más allá de lo que afecta al conjunto de la ley. Podría entenderse que se incluye entre los preceptos impugnados por esta última razón, pero ello resulta inconsistente por la falta de mención específica a las disposiciones finales primera y tercera. Debe concluirse, por tanto, que se incluye en el elenco de artículos recurridos en particular por error y no será aquí analizado.</w:t>
      </w:r>
    </w:p>
    <w:p w14:paraId="576BBBE4" w14:textId="77777777" w:rsidR="003754FE" w:rsidRDefault="003754FE" w:rsidP="003754FE">
      <w:pPr>
        <w:pStyle w:val="TextoNormal"/>
      </w:pPr>
    </w:p>
    <w:p w14:paraId="38446FAA" w14:textId="77777777" w:rsidR="003754FE" w:rsidRDefault="003754FE" w:rsidP="003754FE">
      <w:pPr>
        <w:pStyle w:val="TextoNormal"/>
      </w:pPr>
      <w:r>
        <w:t>d) Finalmente, es necesario realizar alguna consideración respecto de la inconstitucionalidad que se denuncia del art. 2 de la Ley 19/2022, por infracción del principio de seguridad jurídica y de interdicción de la arbitrariedad.</w:t>
      </w:r>
    </w:p>
    <w:p w14:paraId="2E57BE83" w14:textId="77777777" w:rsidR="003754FE" w:rsidRDefault="003754FE" w:rsidP="003754FE">
      <w:pPr>
        <w:pStyle w:val="TextoNormal"/>
      </w:pPr>
    </w:p>
    <w:p w14:paraId="51A817B9" w14:textId="77777777" w:rsidR="003754FE" w:rsidRDefault="003754FE" w:rsidP="003754FE">
      <w:pPr>
        <w:pStyle w:val="TextoNormal"/>
      </w:pPr>
      <w:r>
        <w:t>Los recurrentes dicen recurrir el art. 2 en su conjunto; sin embargo, sus alegaciones se dirigen en realidad al apartado segundo de ese artículo, que es el que se refiere al contenido de los derechos que reconoce el anterior (protección, conservación, mantenimiento y, en su caso, restauración), argumentando que se emplean conceptos vagos y difusos, que no especifican qué conductas concretas infringen esos derechos, que son de contenido genérico y pueden desembocar en una interpretación arbitraria de la norma.</w:t>
      </w:r>
    </w:p>
    <w:p w14:paraId="60A6B098" w14:textId="77777777" w:rsidR="003754FE" w:rsidRDefault="003754FE" w:rsidP="003754FE">
      <w:pPr>
        <w:pStyle w:val="TextoNormal"/>
      </w:pPr>
    </w:p>
    <w:p w14:paraId="1628DD78" w14:textId="77777777" w:rsidR="003754FE" w:rsidRDefault="003754FE" w:rsidP="003754FE">
      <w:pPr>
        <w:pStyle w:val="TextoNormal"/>
      </w:pPr>
      <w:r>
        <w:t>El argumento aparece desconectado del precepto que, dejando al margen los reproches o desacuerdos que pueda suscitar su contenido, no presenta una lógica reactiva, sino declarativa. Para establecer si existe una vulneración de los derechos que este precepto enuncia (a que se respete la ley ecológica de evolución natural frente a las presiones antrópicas, a que no se ponga en riesgo su existencia como ecosistema, a que se pongan en marcha acciones de preservación y a que se restablezca su dinámica natural en caso de daños) y determinar las responsabilidades que de ello se deriven, será preciso acudir al resto del ordenamiento —incluido el resto del articulado de esta misma ley— y subsumir la conducta en cuestión en los supuestos que las normas aplicables en cada caso prevean. Se trata de una técnica legislativa habitual que comporta una operación de exégesis normal que los recurrentes obvian, empleando argumentos propios de los reproches que se formulan contra otros preceptos de la ley.</w:t>
      </w:r>
    </w:p>
    <w:p w14:paraId="7B2DB103" w14:textId="77777777" w:rsidR="003754FE" w:rsidRDefault="003754FE" w:rsidP="003754FE">
      <w:pPr>
        <w:pStyle w:val="TextoNormal"/>
      </w:pPr>
    </w:p>
    <w:p w14:paraId="5529E1AF" w14:textId="23D08A76" w:rsidR="003754FE" w:rsidRDefault="003754FE" w:rsidP="003754FE">
      <w:pPr>
        <w:pStyle w:val="TextoNormal"/>
      </w:pPr>
      <w:r>
        <w:t>No analizaremos por tanto esta impugnación, que resulta preventiva o hipotética, y por ello no pertinente, porque este tribunal “debe pronunciarse, respecto a los preceptos impugnados, no sobre eventuales e hipotéticas interpretaciones de los mismos, propuestas por los recurrentes, sino sobre si se oponen a los mandatos constitucionales. Sin que procedan, por tanto, pronunciamientos preventivos referidos a posibles, y aún no producidas, aplicaciones de los preceptos legales, que no resultan necesariamente derivadas de las mismas, y que, de producirse, habrán de ser combatidas, en su caso, con los medios que ofrece nuestro ordenamiento, tanto ante este Tribunal Constitucional como ante otros órganos jurisdiccionales” (STC 77/1985, de 27 de junio, FJ 4, citada después por muchas otras).</w:t>
      </w:r>
    </w:p>
    <w:p w14:paraId="07475C5A" w14:textId="77777777" w:rsidR="003754FE" w:rsidRDefault="003754FE" w:rsidP="003754FE">
      <w:pPr>
        <w:pStyle w:val="TextoNormal"/>
      </w:pPr>
    </w:p>
    <w:p w14:paraId="62F8E206" w14:textId="77777777" w:rsidR="003754FE" w:rsidRDefault="003754FE" w:rsidP="003754FE">
      <w:pPr>
        <w:pStyle w:val="TextoNormal"/>
      </w:pPr>
      <w:r w:rsidRPr="003754FE">
        <w:rPr>
          <w:rStyle w:val="NumeroAFNegritaCaracter"/>
        </w:rPr>
        <w:t>3</w:t>
      </w:r>
      <w:r>
        <w:t xml:space="preserve">. </w:t>
      </w:r>
      <w:r w:rsidRPr="003754FE">
        <w:rPr>
          <w:i/>
        </w:rPr>
        <w:t>Algunas consideraciones generales sobre el marco constitucional de referencia</w:t>
      </w:r>
    </w:p>
    <w:p w14:paraId="107E6D90" w14:textId="77777777" w:rsidR="003754FE" w:rsidRDefault="003754FE" w:rsidP="003754FE">
      <w:pPr>
        <w:pStyle w:val="TextoNormal"/>
      </w:pPr>
    </w:p>
    <w:p w14:paraId="0C36BACE" w14:textId="77777777" w:rsidR="003754FE" w:rsidRDefault="003754FE" w:rsidP="003754FE">
      <w:pPr>
        <w:pStyle w:val="TextoNormal"/>
      </w:pPr>
      <w:r>
        <w:t xml:space="preserve">La Ley 19/2022, de 30 de septiembre, para el reconocimiento de personalidad jurídica a la laguna del Mar Menor y su cuenca, desarrolla un mecanismo específico de protección para la mayor laguna de agua salada de Europa, catalogada, junto con otros setenta y cinco espacios naturales ubicados en España, como uno de los humedales básicos del continente, en aplicación del Convenio relativo a humedales de importancia internacional, especialmente como hábitat de aves acuáticas, hecho en Ramsar el 2 de febrero de 1971 (ratificado por España el 18 de marzo de 1982 —“BOE” núm. 199, de 20 de agosto de 1982—). Además, al tratarse de un humedal costero, también resulta protegido por las previsiones de la Convención de las Naciones Unidas sobre el Derecho del mar (Convención de Montego Bay, de 10 de diciembre de 1982 y ratificada por España en 1997 —“BOE” núm. 39, de 14 de febrero de 1997—). La caracterización mixta de este ecosistema de transición con arreglo a las previsiones convencionales pone de manifiesto que cualquier regulación sobre este espacio natural se ubica, sin lugar a dudas, en el marco de la obligación, impuesta a los poderes públicos por el art. 45.2 CE, de velar “por la utilización racional de todos los recursos naturales, con el fin de proteger y mejorar la calidad de la vida y defender y restaurar el </w:t>
      </w:r>
      <w:r>
        <w:lastRenderedPageBreak/>
        <w:t>medio ambiente, apoyándose en la indispensable solidaridad colectiva”. Este precepto no contiene una previsión definida, cerrada o excluyente de los mecanismos jurídicos de protección, defensa y restauración, en su caso, de los espacios naturales, por lo que no podemos entender, como línea argumental de principio, que ningún mecanismo jurídico de los que se puedan ir desarrollando con el tiempo, y la evolución de la teoría del Derecho, quede excluido del modelo constitucional de protección del medio ambiente siempre que respete la finalidad de protección y mejora de la calidad de vida y de defensa y restauración del medio natural en que la vida se desarrolla.</w:t>
      </w:r>
    </w:p>
    <w:p w14:paraId="3869A5A3" w14:textId="77777777" w:rsidR="003754FE" w:rsidRDefault="003754FE" w:rsidP="003754FE">
      <w:pPr>
        <w:pStyle w:val="TextoNormal"/>
      </w:pPr>
    </w:p>
    <w:p w14:paraId="0FE346B5" w14:textId="77777777" w:rsidR="003754FE" w:rsidRDefault="003754FE" w:rsidP="003754FE">
      <w:pPr>
        <w:pStyle w:val="TextoNormal"/>
      </w:pPr>
      <w:r>
        <w:t xml:space="preserve">Esa conexión del cuidado del medio natural con la garantía de la calidad de vida es un elemento esencial de toda valoración constitucional sucesiva, que viene además condicionada por el mandato interpretativo contenido en el art. 10.2 CE. Que el bienestar de las personas depende del bienestar de los ecosistemas que sostienen la vida se deriva inequívocamente de la más reciente jurisprudencia del Tribunal Europeo de Derechos Humanos, cuando se conecta el incumplimiento de las obligaciones positivas de los Estados firmantes del Convenio europeo para la protección de los derechos humanos y de las libertades fundamentales (CEDH), en materia de protección del medio ambiente, con la eventual lesión de los arts. 2 y 8 CEDH (STEDH de 9 de abril de 2024, asunto </w:t>
      </w:r>
      <w:r w:rsidRPr="003754FE">
        <w:rPr>
          <w:i/>
        </w:rPr>
        <w:t>Verein Klimaseniorinnen Schweiz y otras c Suiza</w:t>
      </w:r>
      <w:r>
        <w:t>). Pero, además, el constitucionalismo medioambiental contemporáneo, cuya expresión paradigmática es el art. 21 de la Ley Fundamental de Bonn, vincula la protección del medio ambiente o del medio natural a la preservación del mismo para disfrute y garantía de la calidad de vida de las generaciones futuras (en este sentido se pronuncia el Tribunal Constitucional Federal Alemán en auto adoptado por la Sala Primera el 24 de marzo de 2021 - 1 BvR 2656/18 -, Rn. 1-270). De forma parecida, en Italia, la tutela del ambiente y la biodiversidad de los ecosistemas, también en interés de las generaciones futuras, se convirtió en principio fundamental con la reforma de su Constitución en 2022.</w:t>
      </w:r>
    </w:p>
    <w:p w14:paraId="63B6BB4C" w14:textId="77777777" w:rsidR="003754FE" w:rsidRDefault="003754FE" w:rsidP="003754FE">
      <w:pPr>
        <w:pStyle w:val="TextoNormal"/>
      </w:pPr>
    </w:p>
    <w:p w14:paraId="1673A213" w14:textId="77777777" w:rsidR="003754FE" w:rsidRDefault="003754FE" w:rsidP="003754FE">
      <w:pPr>
        <w:pStyle w:val="TextoNormal"/>
      </w:pPr>
      <w:r>
        <w:t xml:space="preserve">En suma, el art. 45 CE ofrece un marco constitucional de referencia lo suficientemente abierto como para que el legislador desarrolle las previsiones de protección del medio ambiente desde perspectivas y enfoques muy diversos que deben, en cualquier caso, tener presente y respetar: la estrecha conexión existente entre la protección de los ecosistemas, el medio natural, la vida no humana y la vida humana y el pleno desarrollo de esta última; la obligación de los poderes públicos de desarrollar mecanismos de protección y defensa del medio ambiente, pero también de mejora, restauración y recuperación de los espacios o la biodiversidad deteriorada o perdida; y la exigencia de entender la solidaridad colectiva referida en el art. 45.2 CE, no como una mera adhesión al interés común de preservar el </w:t>
      </w:r>
      <w:r w:rsidRPr="003754FE">
        <w:rPr>
          <w:i/>
        </w:rPr>
        <w:t>statu quo</w:t>
      </w:r>
      <w:r>
        <w:t xml:space="preserve"> de preservación medioambiental, sino como una obligación de solidaridad intergeneracional llamada a conservar y mejorar el entorno natural de cara a que las futuras generaciones tengan la oportunidad de disfrutar de su propio derecho a la vida, la integridad física y moral y el desarrollo de sus proyectos vitales en condiciones equivalentes a aquellas de las que disponemos en la actualidad.</w:t>
      </w:r>
    </w:p>
    <w:p w14:paraId="1C4F2484" w14:textId="77777777" w:rsidR="003754FE" w:rsidRDefault="003754FE" w:rsidP="003754FE">
      <w:pPr>
        <w:pStyle w:val="TextoNormal"/>
      </w:pPr>
    </w:p>
    <w:p w14:paraId="5B4A2DD4" w14:textId="77777777" w:rsidR="003754FE" w:rsidRDefault="003754FE" w:rsidP="003754FE">
      <w:pPr>
        <w:pStyle w:val="TextoNormal"/>
      </w:pPr>
      <w:r>
        <w:t xml:space="preserve">En este marco, y dentro de la diversidad de técnicas introducidas en los ordenamientos jurídicos de todo el mundo para la protección de los ecosistemas y para mitigar los efectos nocivos del cambio climático, y dejando de lado la demanialización de los recursos naturales, que es una herramienta más clásica y generalmente aceptada de protección de los bienes de la naturaleza, es posible identificar dos grandes lógicas en los sistemas de garantía. Así, mientras que algunos ordenamientos jurídicos atribuyen derechos a la naturaleza, </w:t>
      </w:r>
      <w:r>
        <w:lastRenderedPageBreak/>
        <w:t xml:space="preserve">definiendo a esta como titular de los mismos [art. 71 de la Constitución de Ecuador de 2008; Ley núm. 71, de 21 de diciembre de 2010 y Ley núm. 300, de 19 de octubre de 2012 de Bolivia; leyes orgánicas 1/2017, 3/2018 y 47/2019 de las municipalidades de Bonito, Paudalho y Florianópolis, en Brasil, y la </w:t>
      </w:r>
      <w:r w:rsidRPr="003754FE">
        <w:rPr>
          <w:i/>
        </w:rPr>
        <w:t>Ordinance of the City Council of the City of Santa Monica Establishing Sustainability Rights</w:t>
      </w:r>
      <w:r>
        <w:t xml:space="preserve"> (2013), en los Estados Unidos de Norteamérica], otros reconocen personalidad jurídica a ecosistemas particulares [resolución 25-21 de la Municipalité Régionale de Compté de Minganie, en Canadá; </w:t>
      </w:r>
      <w:r w:rsidRPr="003754FE">
        <w:rPr>
          <w:i/>
        </w:rPr>
        <w:t>Te Urewera Act</w:t>
      </w:r>
      <w:r>
        <w:t xml:space="preserve"> de 2014 y </w:t>
      </w:r>
      <w:r w:rsidRPr="003754FE">
        <w:rPr>
          <w:i/>
        </w:rPr>
        <w:t>Te Awa Tupua (Whanganui River Claims Settlement) Act</w:t>
      </w:r>
      <w:r>
        <w:t xml:space="preserve"> de 2017, en Nueva Zelanda y </w:t>
      </w:r>
      <w:r w:rsidRPr="003754FE">
        <w:rPr>
          <w:i/>
        </w:rPr>
        <w:t>Yarra River Protection Act</w:t>
      </w:r>
      <w:r>
        <w:t xml:space="preserve"> de 2017, en Australia]. Y junto a las previsiones normativas, la jurisprudencia comparada también va aceptando, de manera paulatina y constante, la necesaria intervención judicial a la hora de dar cumplimiento al mandato de protección del medio ambiente, siendo ejemplos paradigmáticos de tal posición la decisión ya citada de la Sala Primera del Tribunal Constitucional Federal Alemán de 24 de marzo de 2021 y la sentencia de 20 de diciembre de 2019 de la Corte de Casación Holandesa en </w:t>
      </w:r>
      <w:r w:rsidRPr="003754FE">
        <w:rPr>
          <w:i/>
        </w:rPr>
        <w:t>Stichting Urgenda c</w:t>
      </w:r>
      <w:r>
        <w:t xml:space="preserve">. </w:t>
      </w:r>
      <w:r w:rsidRPr="003754FE">
        <w:rPr>
          <w:i/>
        </w:rPr>
        <w:t>State of the Netherlands</w:t>
      </w:r>
      <w:r>
        <w:t xml:space="preserve"> (ECLI:NL:HR:2019:2007).</w:t>
      </w:r>
    </w:p>
    <w:p w14:paraId="20CE35E2" w14:textId="77777777" w:rsidR="003754FE" w:rsidRDefault="003754FE" w:rsidP="003754FE">
      <w:pPr>
        <w:pStyle w:val="TextoNormal"/>
      </w:pPr>
    </w:p>
    <w:p w14:paraId="7888854E" w14:textId="77777777" w:rsidR="003754FE" w:rsidRDefault="003754FE" w:rsidP="003754FE">
      <w:pPr>
        <w:pStyle w:val="TextoNormal"/>
      </w:pPr>
      <w:r>
        <w:t>En este contexto, la Ley 19/2022, de 30 de septiembre, para el reconocimiento de personalidad jurídica a la laguna del Mar Menor y su cuenca es la primera norma euromediterránea que se inscribe dentro del modelo que atribuye personalidad jurídica a los entes naturales, asumiendo el legislador, al tramitar y aprobar finalmente la iniciativa legislativa popular que está en el origen de esta disposición normativa, un traslado de paradigma de protección desde el antropocentrismo más tradicional, a un ecocentrismo moderado. Y es que, a pesar de la existencia de una serie de obligaciones internacionales de protección de la laguna, ni la catalogación como humedal de protección preferencial, ni las obligaciones de preservación del medio marino derivadas de la Convención de Montego Bay, conocida como “Constitución del Mar”, han impedido que durante cuarenta años este ecosistema se haya visto progresivamente deteriorado por la intervención humana. La ley se dicta, precisamente, según su preámbulo, por dos motivos: “[p]or un lado, la grave crisis que en materia socio-ambiental, ecológica y humanitaria viven el Mar Menor y los habitantes de sus municipios ribereños; por otro lado, la insuficiencia del actual sistema jurídico de protección, a pesar de las importantes figuras e instrumentos de carácter regulador que se han ido sucediendo a lo largo de los últimos veinticinco años”.</w:t>
      </w:r>
    </w:p>
    <w:p w14:paraId="46DCCE65" w14:textId="77777777" w:rsidR="003754FE" w:rsidRDefault="003754FE" w:rsidP="003754FE">
      <w:pPr>
        <w:pStyle w:val="TextoNormal"/>
      </w:pPr>
    </w:p>
    <w:p w14:paraId="62F75B25" w14:textId="37D5627E" w:rsidR="003754FE" w:rsidRDefault="003754FE" w:rsidP="003754FE">
      <w:pPr>
        <w:pStyle w:val="TextoNormal"/>
      </w:pPr>
      <w:r>
        <w:t xml:space="preserve">Para ello se acude a la herramienta técnica de la atribución de personalidad jurídica al humedal, encontrándonos ante una norma ambiental de protección de carácter transversal. Transversalidad que es nuclear en la definición del concepto de medio ambiente hecha por este tribunal y así, hemos reseñado el “carácter complejo y polifacético que presentan las cuestiones relativas al medio ambiente” (STC 102/1995, de 26 de junio, FJ 3). Por tanto, la Ley 19/2022 es una norma singular que crea un nuevo tipo de persona jurídica, una realidad natural, buscando atribuirle una serie de potestades en defensa de su propia existencia y recuperación. A pesar de tratarse de una técnica ignota hasta ahora en nuestro derecho ambiental, ya se ha expuesto que no se trata de una técnica desconocida en derecho comparado, y que se inscribe en un movimiento internacional en auge en la última década, que promueve el desarrollo de mecanismos de garantía innovadores y basados en un paradigma ecocéntrico que convive con el paradigma antropocéntrico tradicional, que se identifica en otros mecanismos y herramientas jurídicas de protección del medio ambiente. En este juego de equilibrios, el ecocentrismo no obsta la intervención humana sobre el medio en garantía, no solo de la protección de la naturaleza, sino de todos los intereses y bienes constitucionales, </w:t>
      </w:r>
      <w:r>
        <w:lastRenderedPageBreak/>
        <w:t>porque la garantía de la sostenibilidad pasa por asegurar la ponderación entre los requerimientos medioambientales, sociales y económicos.</w:t>
      </w:r>
    </w:p>
    <w:p w14:paraId="2AE3A79A" w14:textId="77777777" w:rsidR="003754FE" w:rsidRDefault="003754FE" w:rsidP="003754FE">
      <w:pPr>
        <w:pStyle w:val="TextoNormal"/>
      </w:pPr>
    </w:p>
    <w:p w14:paraId="7E9D1A40" w14:textId="77777777" w:rsidR="003754FE" w:rsidRDefault="003754FE" w:rsidP="003754FE">
      <w:pPr>
        <w:pStyle w:val="TextoNormal"/>
      </w:pPr>
      <w:r w:rsidRPr="003754FE">
        <w:rPr>
          <w:rStyle w:val="NumeroAFNegritaCaracter"/>
        </w:rPr>
        <w:t>4</w:t>
      </w:r>
      <w:r>
        <w:t xml:space="preserve">. </w:t>
      </w:r>
      <w:r w:rsidRPr="003754FE">
        <w:rPr>
          <w:i/>
        </w:rPr>
        <w:t>Impugnación del conjunto de la ley, y en particular de su disposición final segunda, por vulneración del orden constitucional de competencias: el alcance territorial de la ley</w:t>
      </w:r>
    </w:p>
    <w:p w14:paraId="18653799" w14:textId="77777777" w:rsidR="003754FE" w:rsidRDefault="003754FE" w:rsidP="003754FE">
      <w:pPr>
        <w:pStyle w:val="TextoNormal"/>
      </w:pPr>
    </w:p>
    <w:p w14:paraId="2C48FD6F" w14:textId="77777777" w:rsidR="003754FE" w:rsidRDefault="003754FE" w:rsidP="003754FE">
      <w:pPr>
        <w:pStyle w:val="TextoNormal"/>
      </w:pPr>
      <w:r>
        <w:t>Los recurrentes consideran vulnerado el art. 148.1.9 CE aunque, en realidad, de infringirse el sistema constitucional de competencias, lo que se vería vulnerado es el art. 11.3 de la Ley Orgánica 4/1982, de 9 de junio, de Estatuto de Autonomía para la Región de Murcia (EARM). Ello porque el art. 148.1.9 CE dispone únicamente que las comunidades autónomas podrán asumir competencias sobre “gestión en materia de protección del medio ambiente” siendo el Estatuto de Autonomía para la Región de Murcia el que materializa la disposición anterior, atribuyendo a la comunidad autónoma la competencia para el desarrollo legislativo y la ejecución en la materia de “Protección del medio ambiente. Normas adicionales de protección”. Sin embargo, la demanda no critica un supuesto exceso de la Ley 19/2022 sobre la legislación de desarrollo o la gestión. Lo que los recurrentes sostienen es que la ley no puede considerarse básica, que es la intervención que en protección del medio ambiente cubre el art. 149.1.23 CE, al amparo del que dice dictarse según su disposición final segunda, por no resultar aplicable a la totalidad del territorio nacional. Rebate lo anterior el abogado del Estado, fundamentalmente porque cabe atribuir “carácter básico singular” a ámbitos territoriales determinados.</w:t>
      </w:r>
    </w:p>
    <w:p w14:paraId="3FC773C0" w14:textId="77777777" w:rsidR="003754FE" w:rsidRDefault="003754FE" w:rsidP="003754FE">
      <w:pPr>
        <w:pStyle w:val="TextoNormal"/>
      </w:pPr>
    </w:p>
    <w:p w14:paraId="57C56525" w14:textId="77777777" w:rsidR="003754FE" w:rsidRDefault="003754FE" w:rsidP="003754FE">
      <w:pPr>
        <w:pStyle w:val="TextoNormal"/>
      </w:pPr>
      <w:r>
        <w:t xml:space="preserve">Este tribunal ya ha reconocido que la competencia atribuida al Estado en el art. 149.1.23 CE puede dar cobertura a leyes que tienen por objeto un ámbito físico delimitado dentro del territorio nacional, como son las leyes de declaración de parques nacionales, por ser estos “una realidad topográfica singular, a veces única, característica del conjunto, con lo que podría llamarse personalidad ecológica, y signo distintivo en suma que identifica a un país y con el [que] se identifica, como les ocurre también a ciertas instituciones o a monumentos bien conocidos, unidos indisolublemente a la imagen de una ciudad o de una nación” (STC 102/1995, de 26 de junio, FJ 21); doctrina después reiterada en la STC 194/2004, de 4 de noviembre, FJ 10. Además, también hemos descartado el argumento de que el ejercicio de la competencia estatal, </w:t>
      </w:r>
      <w:r w:rsidRPr="003754FE">
        <w:rPr>
          <w:i/>
        </w:rPr>
        <w:t>ex</w:t>
      </w:r>
      <w:r>
        <w:t xml:space="preserve"> art. 149.1.23 CE, requiera una vocación de regulación uniforme, que deba contar con una legitimación supraautonómica, expresiva del interés general, dando cobertura a una norma estatal de protección de especies que solo se encuentran en Canarias, en la STC 146/2013, de 11 de julio, que en su fundamento jurídico 4 cita, entre otras, las SSTC 31/2010, de 28 de junio, FJ 60, o 18/2011, de 3 de marzo, FJ 9. Más recientemente hemos vuelto a sintetizar esta doctrina recordando que “la ordenación básica en materia de medio ambiente no requiere necesariamente que ‘el marco básico sea exactamente uniforme e igual para todas las áreas geográficas del territorio nacional, puesto que la tesis contraria no se aviene con la lógica de la competencia básica, cuando se ejerce sobre una materia en la que existan distintas peculiaridades subsectoriales y espaciales que demanden la adaptación de la ordenación básica a esas peculiaridades’ [SSTC 147/1991, de 4 de julio, FJ 4 D), y 146/2013, de 11 de julio, FJ 4]” (STC 99/2022, de 13 de julio, FJ 3).</w:t>
      </w:r>
    </w:p>
    <w:p w14:paraId="2B6BA42D" w14:textId="77777777" w:rsidR="003754FE" w:rsidRDefault="003754FE" w:rsidP="003754FE">
      <w:pPr>
        <w:pStyle w:val="TextoNormal"/>
      </w:pPr>
    </w:p>
    <w:p w14:paraId="24246C0E" w14:textId="79C029F5" w:rsidR="003754FE" w:rsidRDefault="003754FE" w:rsidP="003754FE">
      <w:pPr>
        <w:pStyle w:val="TextoNormal"/>
      </w:pPr>
      <w:r>
        <w:t xml:space="preserve">Lo anterior es suficiente para entender que el alcance de la Ley 19/2022 no excluye un ejercicio legítimo del art. 149.1.23 CE, sin que eso suponga, como es obvio, pronunciarse sobre la oportunidad de las medidas que contiene, su calidad técnica o idoneidad, ni sobre otros aspectos competenciales no suscitados en el recurso de inconstitucionalidad. Desde la </w:t>
      </w:r>
      <w:r>
        <w:lastRenderedPageBreak/>
        <w:t>perspectiva que nos ocupa, y más allá por tanto de su acierto o de la plausibilidad de éxito en su implementación, materialmente se busca la protección ambiental y se acomete a través de una norma respaldada por el rango y la competencia adecuados. También por tanto debe descartarse la queja dirigida en particular contra la disposición final segunda de la ley.</w:t>
      </w:r>
    </w:p>
    <w:p w14:paraId="6831A911" w14:textId="77777777" w:rsidR="003754FE" w:rsidRDefault="003754FE" w:rsidP="003754FE">
      <w:pPr>
        <w:pStyle w:val="TextoNormal"/>
      </w:pPr>
    </w:p>
    <w:p w14:paraId="0EFEA49E" w14:textId="77777777" w:rsidR="003754FE" w:rsidRDefault="003754FE" w:rsidP="003754FE">
      <w:pPr>
        <w:pStyle w:val="TextoNormal"/>
      </w:pPr>
      <w:r w:rsidRPr="003754FE">
        <w:rPr>
          <w:rStyle w:val="NumeroAFNegritaCaracter"/>
        </w:rPr>
        <w:t>5</w:t>
      </w:r>
      <w:r>
        <w:t xml:space="preserve">. </w:t>
      </w:r>
      <w:r w:rsidRPr="003754FE">
        <w:rPr>
          <w:i/>
        </w:rPr>
        <w:t>Impugnación de los arts. 1, 2 y 6 por vulneración de los arts. 10.1, 24.1 y 45 CE</w:t>
      </w:r>
    </w:p>
    <w:p w14:paraId="005A1386" w14:textId="77777777" w:rsidR="003754FE" w:rsidRDefault="003754FE" w:rsidP="003754FE">
      <w:pPr>
        <w:pStyle w:val="TextoNormal"/>
      </w:pPr>
    </w:p>
    <w:p w14:paraId="45D6B5D4" w14:textId="77777777" w:rsidR="003754FE" w:rsidRDefault="003754FE" w:rsidP="003754FE">
      <w:pPr>
        <w:pStyle w:val="TextoNormal"/>
      </w:pPr>
      <w:r>
        <w:t>Los recurrentes sostienen que el reconocimiento de personalidad jurídica a una entidad natural (art. 1) y atribuirle derechos (art. 2), que se confían a una acción popular (art. 6), es insólito y desnaturaliza el concepto de “persona”, siendo absolutamente innecesario a los efectos de obtener la debida protección ambiental. Sostienen que la naturaleza debe ser objeto de protección jurídica (art. 45 CE, en la concepción de la STC 102/1995, de 26 de junio), pero no sujeto de derechos, porque es imposible desvincular la noción de derecho subjetivo de las de libertad, dignidad, conciencia, voluntad y responsabilidad. A diferencia de las personas jurídicas del Código civil, se dice, el Mar Menor no se puede asimilar a una persona física. Se sostiene que solo el ser humano puede tener dignidad (art. 10.1 CE) y, bien individualmente, bien agrupado, puede ejercer y defender sus derechos (art. 24.1 CE). Se afirma que, como la laguna no puede tener derechos propios, tampoco puede ser la verdadera parte procesal. El abogado del Estado interesa la desestimación de las quejas, sosteniendo que toda persona jurídica es una ficción, que actúa a través de órganos, integrados a su vez por personas físicas, y que la protección del medio ambiente es dinámica, correspondiendo al legislador, en su discrecionalidad, elegir las fórmulas que considera más útiles y eficaces.</w:t>
      </w:r>
    </w:p>
    <w:p w14:paraId="7C6B58FB" w14:textId="77777777" w:rsidR="003754FE" w:rsidRDefault="003754FE" w:rsidP="003754FE">
      <w:pPr>
        <w:pStyle w:val="TextoNormal"/>
      </w:pPr>
    </w:p>
    <w:p w14:paraId="158BC57B" w14:textId="77777777" w:rsidR="003754FE" w:rsidRDefault="003754FE" w:rsidP="003754FE">
      <w:pPr>
        <w:pStyle w:val="TextoNormal"/>
      </w:pPr>
      <w:r>
        <w:t>a) Vulneración del art. 45 CE</w:t>
      </w:r>
    </w:p>
    <w:p w14:paraId="2A49A152" w14:textId="77777777" w:rsidR="003754FE" w:rsidRDefault="003754FE" w:rsidP="003754FE">
      <w:pPr>
        <w:pStyle w:val="TextoNormal"/>
      </w:pPr>
    </w:p>
    <w:p w14:paraId="39F6AC78" w14:textId="77777777" w:rsidR="003754FE" w:rsidRDefault="003754FE" w:rsidP="003754FE">
      <w:pPr>
        <w:pStyle w:val="TextoNormal"/>
      </w:pPr>
      <w:r>
        <w:t>En el fundamento jurídico 3, ya dijimos que el art. 45 CE ofrece un marco constitucional de referencia lo suficientemente abierto como para que el legislador desarrolle las previsiones de protección del medio ambiente desde perspectivas y enfoques muy diversos.</w:t>
      </w:r>
    </w:p>
    <w:p w14:paraId="7DD412C4" w14:textId="77777777" w:rsidR="003754FE" w:rsidRDefault="003754FE" w:rsidP="003754FE">
      <w:pPr>
        <w:pStyle w:val="TextoNormal"/>
      </w:pPr>
    </w:p>
    <w:p w14:paraId="0CFEA3FB" w14:textId="77777777" w:rsidR="003754FE" w:rsidRDefault="003754FE" w:rsidP="003754FE">
      <w:pPr>
        <w:pStyle w:val="TextoNormal"/>
      </w:pPr>
      <w:r>
        <w:t>Es cierto, como cita el escrito de demanda, que nuestra doctrina había venido reconociendo el medio ambiente como “un concepto esencialmente antropocéntrico” (STC 102/1995, de 26 de junio, FJ 4), ahora se modera dicha concepción para abrirla a una visión más ecocéntrica, que asume la conexión innegable entre la calidad de la vida de los ecosistemas y la calidad de la vida humana, presupuesto lógico del disfrute de los derechos y la exigencia de obligaciones constitucionalmente previstas. Pero dicho cambio de paradigma interpretativo en nada afecta a las consideraciones de nuestra jurisprudencia previa, que asumía que, a la hora de analizar cómo tiene que plasmarse el principio rector del art. 45 CE, “es el legislador quien ha de determinar las técnicas apropiadas para llevar a cabo la plasmación de ese principio rector en el que la protección del medio ambiente consiste (STC 84/2013, de 11 de abril, FJ 6, y las allí citadas)” [STC 233/2015, de 5 de noviembre, FJ 2 c)]. Hemos insistido en que, desde una concepción ecocéntrica, el art. 45 CE también ofrece un amplio margen al legislador que, sin embargo, ha de tener presente las finalidades tuitivas del precepto no solo sobre el medio natural, sino también sobre las generaciones futuras.</w:t>
      </w:r>
    </w:p>
    <w:p w14:paraId="41DA63DA" w14:textId="77777777" w:rsidR="003754FE" w:rsidRDefault="003754FE" w:rsidP="003754FE">
      <w:pPr>
        <w:pStyle w:val="TextoNormal"/>
      </w:pPr>
    </w:p>
    <w:p w14:paraId="590F6C3C" w14:textId="77777777" w:rsidR="003754FE" w:rsidRDefault="003754FE" w:rsidP="003754FE">
      <w:pPr>
        <w:pStyle w:val="TextoNormal"/>
      </w:pPr>
      <w:r>
        <w:t xml:space="preserve">Con base en ello y, “siendo un principio básico para la interpretación constitucional que el legislador no ejecuta la Constitución, sino que crea Derecho con libertad dentro del marco que esta ofrece (STC 209/1987, de 22 de diciembre, FJ 3)” [STC 176/2019, de 18 de </w:t>
      </w:r>
      <w:r>
        <w:lastRenderedPageBreak/>
        <w:t>diciembre, FJ único a)], debe descartarse que exista una vulneración del art. 45 CE, porque en nada se opone al contenido de este precepto, ni a la finalidad constitucionalmente declarada del mismo, en el sentido expuesto en los fundamentos previos, la selección de la herramienta jurídica elegida por el legislador en la Ley 19/2022, atribuyendo personalidad jurídica al Mar Menor y a su cuenca. Pudiendo haberse optado por herramientas diversas, la seleccionada es tan idónea (o inidónea) como podrían haberlo sido otras, para buscar la protección, defensa y recuperación del ecosistema de la laguna, procurando la preservación del entorno para su futuro disfrute.</w:t>
      </w:r>
    </w:p>
    <w:p w14:paraId="17C9F85E" w14:textId="77777777" w:rsidR="003754FE" w:rsidRDefault="003754FE" w:rsidP="003754FE">
      <w:pPr>
        <w:pStyle w:val="TextoNormal"/>
      </w:pPr>
    </w:p>
    <w:p w14:paraId="5197D5F9" w14:textId="77777777" w:rsidR="003754FE" w:rsidRDefault="003754FE" w:rsidP="003754FE">
      <w:pPr>
        <w:pStyle w:val="TextoNormal"/>
      </w:pPr>
      <w:r>
        <w:t>Como hemos afirmado ya en ocasiones precedentes, no encontramos aquí “razones suficientes para considerar que la norma impugnada deba ser declarada inconstitucional, sin que desde luego sea tarea de este tribunal enjuiciar el mayor o menor acierto del legislador al establecer”, en este caso, este tipo de herramienta jurídica, “sino únicamente, y partiendo siempre de la presunción de constitucionalidad de las normas legales, expulsar del ordenamiento aquellas que evidentemente, y fuera de toda duda razonable, no encuentren acomodo en nuestra Constitución” (STC 206/2013, de 5 de diciembre, FJ 3).</w:t>
      </w:r>
    </w:p>
    <w:p w14:paraId="0426DBB7" w14:textId="77777777" w:rsidR="003754FE" w:rsidRDefault="003754FE" w:rsidP="003754FE">
      <w:pPr>
        <w:pStyle w:val="TextoNormal"/>
      </w:pPr>
    </w:p>
    <w:p w14:paraId="4222DA9C" w14:textId="77777777" w:rsidR="003754FE" w:rsidRDefault="003754FE" w:rsidP="003754FE">
      <w:pPr>
        <w:pStyle w:val="TextoNormal"/>
      </w:pPr>
      <w:r>
        <w:t>b) Vulneración del art. 10.1 CE</w:t>
      </w:r>
    </w:p>
    <w:p w14:paraId="274E6297" w14:textId="77777777" w:rsidR="003754FE" w:rsidRDefault="003754FE" w:rsidP="003754FE">
      <w:pPr>
        <w:pStyle w:val="TextoNormal"/>
      </w:pPr>
    </w:p>
    <w:p w14:paraId="73C182FF" w14:textId="77777777" w:rsidR="003754FE" w:rsidRDefault="003754FE" w:rsidP="003754FE">
      <w:pPr>
        <w:pStyle w:val="TextoNormal"/>
      </w:pPr>
      <w:r>
        <w:t>Desde la aproximación ecocéntrica, que entendemos más idónea en este caso, debe igualmente descartarse la vulneración del art. 10.1 CE porque lo que la ley hace es atribuir al Mar Menor y su cuenca lo único que le es dado atribuir a las normas: una personalidad jurídica que, por naturaleza, es diferente de la personalidad humana, incluso aunque asumamos la estrecha vinculación entre la vida humana y la vida de los ecosistemas o de los entornos naturales que el art. 45 CE está llamado a preservar. Frente a lo argumentando por los recurrentes, no puede verse en la opción legislativa una preterición de la dignidad humana ni de los derechos inviolables que le son inherentes, sino un refuerzo de esa dignidad asociado al reconocimiento de que la vida digna solo es posible en entornos naturales idóneos, y ello desde la consideración de la vida de las generaciones actuales y de la vida de las generaciones futuras. La idea de dignidad humana aquí presente sitúa a la persona humana en simbiosis con un entorno que puede transformar, pero que no debe destruir si desea conservar esa misma dignidad.</w:t>
      </w:r>
    </w:p>
    <w:p w14:paraId="5211382B" w14:textId="77777777" w:rsidR="003754FE" w:rsidRDefault="003754FE" w:rsidP="003754FE">
      <w:pPr>
        <w:pStyle w:val="TextoNormal"/>
      </w:pPr>
    </w:p>
    <w:p w14:paraId="20D6C4E8" w14:textId="77777777" w:rsidR="003754FE" w:rsidRDefault="003754FE" w:rsidP="003754FE">
      <w:pPr>
        <w:pStyle w:val="TextoNormal"/>
      </w:pPr>
      <w:r>
        <w:t>El Tribunal ya descartó una alegación similar en la STC 81/2020, de 15 de julio, en relación con la Ley del Parlamento de La Rioja 6/2018, de 26 de noviembre, de protección de los animales en la Comunidad Autónoma de La Rioja, en cuyo fundamento jurídico 11 recordamos que “la garantía constitucional de la dignidad de la persona deriva ciertamente un mandato de respeto dirigido principalmente a los órganos del Estado, que impide a estos emanar normas o actos que tengan un efecto degradante o envilecedor para la dignidad humana”.</w:t>
      </w:r>
    </w:p>
    <w:p w14:paraId="1DDB5B52" w14:textId="77777777" w:rsidR="003754FE" w:rsidRDefault="003754FE" w:rsidP="003754FE">
      <w:pPr>
        <w:pStyle w:val="TextoNormal"/>
      </w:pPr>
    </w:p>
    <w:p w14:paraId="44CAB3BC" w14:textId="77777777" w:rsidR="003754FE" w:rsidRDefault="003754FE" w:rsidP="003754FE">
      <w:pPr>
        <w:pStyle w:val="TextoNormal"/>
      </w:pPr>
      <w:r>
        <w:t>Con el reconocimiento de la personalidad jurídica al Mar Menor y su cuenca no cabe ver un propósito de relativizar la dignidad de la persona, valor jurídico fundamental, sino de reforzarla, al conectar el art. 10 con el art. 15 y el art. 45 CE, siguiendo el sistema argumental propio del Tribunal Europeo de Derechos Humanos al que ya nos hemos referido.</w:t>
      </w:r>
    </w:p>
    <w:p w14:paraId="45111610" w14:textId="77777777" w:rsidR="003754FE" w:rsidRDefault="003754FE" w:rsidP="003754FE">
      <w:pPr>
        <w:pStyle w:val="TextoNormal"/>
      </w:pPr>
    </w:p>
    <w:p w14:paraId="71E92169" w14:textId="77777777" w:rsidR="003754FE" w:rsidRDefault="003754FE" w:rsidP="003754FE">
      <w:pPr>
        <w:pStyle w:val="TextoNormal"/>
      </w:pPr>
      <w:r>
        <w:t>c) Vulneración del art. 24.1 CE</w:t>
      </w:r>
    </w:p>
    <w:p w14:paraId="62B835A6" w14:textId="77777777" w:rsidR="003754FE" w:rsidRDefault="003754FE" w:rsidP="003754FE">
      <w:pPr>
        <w:pStyle w:val="TextoNormal"/>
      </w:pPr>
    </w:p>
    <w:p w14:paraId="74D34178" w14:textId="77777777" w:rsidR="003754FE" w:rsidRDefault="003754FE" w:rsidP="003754FE">
      <w:pPr>
        <w:pStyle w:val="TextoNormal"/>
      </w:pPr>
      <w:r>
        <w:lastRenderedPageBreak/>
        <w:t>Finalmente, tampoco puede aceptarse que la ley suponga una vulneración de la tutela judicial efectiva. Debe tenerse en cuenta, como punto de partida, que tal derecho no está expresamente constreñido por la Constitución a determinadas categorías de personas. Nuestra doctrina ha sentado que “los derechos fundamentales rigen también para las personas jurídicas nacionales en la medida en que, por su naturaleza, resulten aplicables a ellas” (STC 23/1989, de 2 de febrero, FJ 2) y, en relación con el art. 24.1 CE, hemos indicado que “la expresión ‘todas las personas’, hay que interpretarla en relación con el ámbito del derecho de que se trata, es decir, con ‘la tutela efectiva de los jueces y tribunales’, que comprende lógicamente —en principio— a todas las personas que tienen capacidad para ser parte en un proceso” (STC 19/1983, de 14 de marzo, FJ 2).</w:t>
      </w:r>
    </w:p>
    <w:p w14:paraId="3CBAD0C1" w14:textId="77777777" w:rsidR="003754FE" w:rsidRDefault="003754FE" w:rsidP="003754FE">
      <w:pPr>
        <w:pStyle w:val="TextoNormal"/>
      </w:pPr>
    </w:p>
    <w:p w14:paraId="1AA2638B" w14:textId="77777777" w:rsidR="003754FE" w:rsidRDefault="003754FE" w:rsidP="003754FE">
      <w:pPr>
        <w:pStyle w:val="TextoNormal"/>
      </w:pPr>
      <w:r>
        <w:t>Y tal capacidad para ser parte es algo propio de las personas jurídicas, tengan naturaleza privada o pública, cuestión que la ley no precisa. La evidencia de la afirmación anterior, en relación con las personas jurídico-públicas, puede merecer atención particular dado que, según una doctrina que “se recoge fundamentalmente en la STC 175/2001, de 26 de julio, FFJJ 3 a 8, donde dijimos que solo en supuestos excepcionales disfruta una organización jurídica pública del derecho fundamental a la tutela judicial efectiva ante los órganos judiciales del Estado y solo, excepcionalmente, podemos considerar al recurso de amparo como cauce idóneo para que las personas públicas denuncien una defectuosa tutela de los jueces y tribunales. La STC 175/2001, literalmente citada después por la STC 206/2011 […] establece que ‘el derecho a la tutela judicial efectiva, como derecho fundamental, protege, antes que nada, a los individuos frente al poder, de ahí que las personas jurídico públicas solo excepcionalmente sean titulares del derecho fundamental a la tutela judicial efectiva, y por este motivo el recurso de amparo solo excepcionalmente sea un cauce idóneo para que estas organizaciones jurídico-públicas denuncien una defectuosa tutela de este derecho por parte de los jueces y tribunales’ (STC 89/2011, de 6 de junio, FJ 3). Y añade: ‘más concretamente, gozan del derecho fundamental reconocido en el art. 24.1 CE únicamente cuando la posición procesal de las personas jurídico-públicas sea equivalente a la de las personas privadas, supuesto en el que son titulares del derecho a la tutela judicial efectiva sin indefensión sin restricciones. A tal supuesto hemos añadido también el derecho de acceso al proceso (cuya protección tan solo cabe reconocer a las personas jurídico-públicas frente a las decisiones adoptadas por órganos judiciales pero no frente al legislador) y el derecho a no sufrir indefensión en el seno del proceso al que se ha accedido (y ello con independencia de qué derechos o competencias se hagan valer, quiénes sean las otras partes procesales y el orden jurisdiccional ante el que actúen)’” (STC 44/2016, de 14 de marzo, FJ 3). Este tribunal reconoce la legitimación de las propias administraciones para interponer recursos de amparo en defensa de los derechos tutelados en el art. 24 CE, “en la medida en que está litigando no en defensa de sus potestades exorbitantes como administración sino para la tutela de ‘las facultades inherentes a la condición de parte en el proceso’, en concreto para el restablecimiento de su derecho a un proceso con todas las garantías (STC 173/2002, de 9 de octubre, FJ 4, y en el mismo sentido STC 187/2012, de 29 de octubre, FJ 2)” (STC 1/2017, de 16 de enero, FJ 3).</w:t>
      </w:r>
    </w:p>
    <w:p w14:paraId="1A710316" w14:textId="77777777" w:rsidR="003754FE" w:rsidRDefault="003754FE" w:rsidP="003754FE">
      <w:pPr>
        <w:pStyle w:val="TextoNormal"/>
      </w:pPr>
    </w:p>
    <w:p w14:paraId="1B3F6E7B" w14:textId="77777777" w:rsidR="003754FE" w:rsidRDefault="003754FE" w:rsidP="003754FE">
      <w:pPr>
        <w:pStyle w:val="TextoNormal"/>
      </w:pPr>
      <w:r>
        <w:t xml:space="preserve">Cosa distinta es cómo se ejerce esa capacidad, cuestión que en general será de organización interna y sobre la que la ley no se pronuncia, sin que puedan obviarse las figuras a que se refiere el art. 3 de la Ley 19/2022, que ejercen la representación y gobernanza de la persona jurídica de la laguna; precepto que no ha sido específicamente recurrido. El art. 6 de la Ley legitima además a cualquier persona física o jurídica a presentar una acción judicial (y </w:t>
      </w:r>
      <w:r>
        <w:lastRenderedPageBreak/>
        <w:t xml:space="preserve">también administrativa) en nombre del Mar Menor, que será la verdadera parte interesada. Se trata de una especie de poder general universal, conferido </w:t>
      </w:r>
      <w:r w:rsidRPr="003754FE">
        <w:rPr>
          <w:i/>
        </w:rPr>
        <w:t>ex lege</w:t>
      </w:r>
      <w:r>
        <w:t xml:space="preserve"> para actuar en interés de la nueva persona jurídica. El precepto se combate por los recurrentes únicamente porque cuestionan la atribución de derechos a la laguna y su cuenca, afirmando que no puede ser parte porque carece de personalidad jurídica, lo cual devuelve la argumentación a los aspectos ya ventilados en esta sentencia.</w:t>
      </w:r>
    </w:p>
    <w:p w14:paraId="5F469081" w14:textId="77777777" w:rsidR="003754FE" w:rsidRDefault="003754FE" w:rsidP="003754FE">
      <w:pPr>
        <w:pStyle w:val="TextoNormal"/>
      </w:pPr>
    </w:p>
    <w:p w14:paraId="4DF88BA9" w14:textId="16D8E93C" w:rsidR="003754FE" w:rsidRDefault="003754FE" w:rsidP="003754FE">
      <w:pPr>
        <w:pStyle w:val="TextoNormal"/>
      </w:pPr>
      <w:r>
        <w:t>En conclusión, deben descartarse las tachas de inconstitucionalidad opuestas sobre la base de los arts. 10.1, 24.1 y 45 CE a los arts. 1, 2 y 6 de la Ley 19/2022.</w:t>
      </w:r>
    </w:p>
    <w:p w14:paraId="1502D392" w14:textId="77777777" w:rsidR="003754FE" w:rsidRDefault="003754FE" w:rsidP="003754FE">
      <w:pPr>
        <w:pStyle w:val="TextoNormal"/>
      </w:pPr>
    </w:p>
    <w:p w14:paraId="03BA2A7E" w14:textId="77777777" w:rsidR="003754FE" w:rsidRDefault="003754FE" w:rsidP="003754FE">
      <w:pPr>
        <w:pStyle w:val="TextoNormal"/>
      </w:pPr>
      <w:r w:rsidRPr="003754FE">
        <w:rPr>
          <w:rStyle w:val="NumeroAFNegritaCaracter"/>
        </w:rPr>
        <w:t>6</w:t>
      </w:r>
      <w:r>
        <w:t xml:space="preserve">. </w:t>
      </w:r>
      <w:r w:rsidRPr="003754FE">
        <w:rPr>
          <w:i/>
        </w:rPr>
        <w:t>Impugnación de la disposición derogatoria única por resultar contraria al principio de seguridad jurídica</w:t>
      </w:r>
    </w:p>
    <w:p w14:paraId="585F14FE" w14:textId="77777777" w:rsidR="003754FE" w:rsidRDefault="003754FE" w:rsidP="003754FE">
      <w:pPr>
        <w:pStyle w:val="TextoNormal"/>
      </w:pPr>
    </w:p>
    <w:p w14:paraId="4FF4F91B" w14:textId="77777777" w:rsidR="003754FE" w:rsidRDefault="003754FE" w:rsidP="003754FE">
      <w:pPr>
        <w:pStyle w:val="TextoNormal"/>
      </w:pPr>
      <w:r>
        <w:t>Los recurrentes conocen y aluden a la doctrina constitucional sentada en la STC 90/2022, de 30 de junio, que descartó la inconstitucionalidad de una disposición derogatoria similar a la presente (en aquel caso, en la Ley 7/2021, de 20 mayo, de cambio climático y transición energética), pero consideran que no es aplicable aquí porque (i) la Ley 19/2022 establece unos derechos para el Mar Menor y su cuenca que son de contenido inconcreto; y (ii) lo hace en un contexto de multiplicidad de normas de diverso rango que abordan la protección del mismo. La defensa del Estado rechaza la tacha de inconstitucionalidad resaltando que tiene un contenido al uso.</w:t>
      </w:r>
    </w:p>
    <w:p w14:paraId="5F08863B" w14:textId="77777777" w:rsidR="003754FE" w:rsidRDefault="003754FE" w:rsidP="003754FE">
      <w:pPr>
        <w:pStyle w:val="TextoNormal"/>
      </w:pPr>
    </w:p>
    <w:p w14:paraId="2E6F3357" w14:textId="77777777" w:rsidR="003754FE" w:rsidRDefault="003754FE" w:rsidP="003754FE">
      <w:pPr>
        <w:pStyle w:val="TextoNormal"/>
      </w:pPr>
      <w:r>
        <w:t>Basta remitirnos a lo sentado en la STC 90/2022, de 30 de junio, en particular a la doctrina allí extractada (FJ 2), para descartar la queja formulada. En efecto, si bien en esta materia no existen “‘soluciones apriorísticas o criterios de general aplicación’ (STC 147/1986, de 25 de noviembre, FJ 4), puesto ‘que cada caso problemático puede presentar facetas propias y específicas, será preciso valorar las circunstancias concurrentes’ (STC 147/1986, FJ 4). Sí puede obtenerse, vía inferencia, alguna regla que pueda facilitar dicha labor. Si el defecto es irrelevante o salvable, la seguridad jurídica no se ve concernida”, teniendo en cuenta que “[e]l control de constitucionalidad se detiene en los ‘defectos de técnica legislativa’ [STC 225/1998, de 25 de noviembre, FJ 2 A)], en ‘la perfección técnica de las leyes’ [SSTC 226/1993, de 8 de julio, FJ 4, y 225/1998, FJ 2 A)], en su ‘corrección técnica’ (STC 341/1993, de 18 de noviembre, FJ 2), en la ‘oportunidad de las opciones adoptadas por el legislador’ (SSTC 32/2000, de 3 de febrero, FJ 6, y 109/2001, de 26 de abril, FJ 6). El principio de conservación de la ley opera de freno en este ámbito (STC 37/1981, de 16 de noviembre, FJ 5)” (STC 90/2022, de 30 de junio, FJ 2).</w:t>
      </w:r>
    </w:p>
    <w:p w14:paraId="61A9DD13" w14:textId="77777777" w:rsidR="003754FE" w:rsidRDefault="003754FE" w:rsidP="003754FE">
      <w:pPr>
        <w:pStyle w:val="TextoNormal"/>
      </w:pPr>
    </w:p>
    <w:p w14:paraId="1CB7F0D5" w14:textId="6E998BAB" w:rsidR="003754FE" w:rsidRDefault="003754FE" w:rsidP="003754FE">
      <w:pPr>
        <w:pStyle w:val="TextoNormal"/>
      </w:pPr>
      <w:r>
        <w:t xml:space="preserve">Proyectando lo anterior a este caso, y más allá de que el contenido de la disposición discutida resulte, como el de la Ley 7/2021 y el de tantas otras, “equivalente a la norma subsidiaria del art. 2.2 del Código civil, por lo que difícilmente puede reprochársele falta de seguridad jurídica que produzca su inconstitucionalidad” [STC 90/2022, FJ 3 c)], es evidente que el razonamiento de los recurrentes vincula la inseguridad jurídica con el carácter inconcreto de los derechos que se confieren a la nueva persona jurídica en el art. 2 de la Ley 19/2022, lo que nos sitúa en el plano de la técnica legislativa e impide que pueda prosperar el reparo. La aplicabilidad de la disposición derogatoria única de esta ley dependerá de los métodos de interpretación ordinarios en derecho teniendo en cuenta que la multiplicidad de normas que el recurso identifica como potenciales antagonistas buscan también la protección del mismo sustrato biológico. Existe un amplio acervo normativo de tutela ambiental </w:t>
      </w:r>
      <w:r>
        <w:lastRenderedPageBreak/>
        <w:t>de la laguna y su cuenca, a los que ahora se añade, como un instrumento adicional, la Ley 19/2022. Debe negarse por tanto la vulneración del principio de seguridad jurídica (art. 9.3 CE) por parte de la disposición derogatoria única de la Ley 19/2022.</w:t>
      </w:r>
    </w:p>
    <w:p w14:paraId="1811E74D" w14:textId="77777777" w:rsidR="003754FE" w:rsidRDefault="003754FE" w:rsidP="003754FE">
      <w:pPr>
        <w:pStyle w:val="TextoNormal"/>
      </w:pPr>
    </w:p>
    <w:p w14:paraId="7A935217" w14:textId="77777777" w:rsidR="003754FE" w:rsidRDefault="003754FE" w:rsidP="003754FE">
      <w:pPr>
        <w:pStyle w:val="TextoNormal"/>
      </w:pPr>
      <w:r w:rsidRPr="003754FE">
        <w:rPr>
          <w:rStyle w:val="NumeroAFNegritaCaracter"/>
        </w:rPr>
        <w:t>7</w:t>
      </w:r>
      <w:r>
        <w:t xml:space="preserve">. </w:t>
      </w:r>
      <w:r w:rsidRPr="003754FE">
        <w:rPr>
          <w:i/>
        </w:rPr>
        <w:t>Impugnación de los arts. 4 y 5 por infracción de los arts. 9.3, 25.1 y 81.1 CE</w:t>
      </w:r>
    </w:p>
    <w:p w14:paraId="1060FA0C" w14:textId="77777777" w:rsidR="003754FE" w:rsidRDefault="003754FE" w:rsidP="003754FE">
      <w:pPr>
        <w:pStyle w:val="TextoNormal"/>
      </w:pPr>
    </w:p>
    <w:p w14:paraId="1C77876F" w14:textId="77777777" w:rsidR="003754FE" w:rsidRDefault="003754FE" w:rsidP="003754FE">
      <w:pPr>
        <w:pStyle w:val="TextoNormal"/>
      </w:pPr>
      <w:r>
        <w:t>El escrito de demanda impugna conjuntamente los arts. 4 y 5 de la Ley 19/2022 entendiendo que, al no determinar las infracciones administrativas o penales a que se refieren, vulneran los principios de legalidad sancionadora, tipicidad, taxatividad y reserva de ley orgánica generando una absoluta inseguridad jurídica. Lo niega el abogado del Estado porque los preceptos no tipifican infracciones ni sanciones, pero tampoco son remisiones en blanco.</w:t>
      </w:r>
    </w:p>
    <w:p w14:paraId="202C3333" w14:textId="77777777" w:rsidR="003754FE" w:rsidRDefault="003754FE" w:rsidP="003754FE">
      <w:pPr>
        <w:pStyle w:val="TextoNormal"/>
      </w:pPr>
    </w:p>
    <w:p w14:paraId="7466625D" w14:textId="77777777" w:rsidR="003754FE" w:rsidRDefault="003754FE" w:rsidP="003754FE">
      <w:pPr>
        <w:pStyle w:val="TextoNormal"/>
      </w:pPr>
      <w:r>
        <w:t>Ciertamente, puede descartarse de plano la lesión de los arts. 25.1 y 81.1 CE, dado que la mera lectura del contenido de los preceptos en cuestión evidencia que no se están tipificando infracciones, delitos, sanciones o penas. El art. 4 de la Ley 19/2022 dispone que toda conducta que vulnere los derechos reconocidos y garantizados por ella generará responsabilidad y será perseguida de conformidad con las normas correspondientes (penales, civiles, ambientales y administrativas), mientras que el art. 5 viene a aplicar al contenido de la Ley 19/2022 la previsión del art. 48.1 de la Ley 39/2015, de 1 de octubre, del procedimiento administrativo común de las administraciones públicas, que ya prescribe con carácter general la invalidez (en concreto, la anulabilidad) de los actos que incurran en cualquier infracción del ordenamiento jurídico, teniendo la cautela de precisar que también lo serán las “actuaciones” y que la revisión de estos procederá en vía administrativa o judicial, obviamente también de conformidad con la normativa general aplicable, dado que nada más se preceptúa en la Ley 19/2022.</w:t>
      </w:r>
    </w:p>
    <w:p w14:paraId="0AF08F25" w14:textId="77777777" w:rsidR="003754FE" w:rsidRDefault="003754FE" w:rsidP="003754FE">
      <w:pPr>
        <w:pStyle w:val="TextoNormal"/>
      </w:pPr>
    </w:p>
    <w:p w14:paraId="06DAC42E" w14:textId="12D943A3" w:rsidR="003754FE" w:rsidRDefault="003754FE" w:rsidP="003754FE">
      <w:pPr>
        <w:pStyle w:val="TextoNormal"/>
      </w:pPr>
      <w:r>
        <w:t>La quiebra del art. 9.3 CE debe excluirse igualmente, pues no acierta a verse cómo los preceptos discutidos pueden causar una situación de confusión normativa lesiva del principio de seguridad jurídica. Basta, de nuevo, una remisión a la doctrina referida en el fundamento precedente para recordar que las cuestiones de técnica legislativa son ajenas al Tribunal Constitucional, por más que las leyes puedan resultar en ocasiones superfluas o tautológicas. El “escaso rigor técnico no es, sin embargo, jurídicamente suficiente para su invalidación” (STC 162/2012, de 20 de septiembre, FJ 7). Es aplicable aquí lo que dijimos en la STC 149/1991, de 4 de julio, concluyendo que aunque “no se dota a los preceptos que integran esta regulación de mayor valor que el que intrínsecamente les corresponda, de manera que el enunciado se convierte en simple norma de reenvío de contenido tautológico […] la inocuidad misma del tenor literal del precepto hace imposible que […] pueda ser considerado contrario a la Constitución” [FJ 3 B) b)].</w:t>
      </w:r>
    </w:p>
    <w:p w14:paraId="2D4D91FF" w14:textId="77777777" w:rsidR="003754FE" w:rsidRDefault="003754FE" w:rsidP="003754FE">
      <w:pPr>
        <w:pStyle w:val="TextoNormal"/>
      </w:pPr>
    </w:p>
    <w:p w14:paraId="368F6503" w14:textId="77777777" w:rsidR="003754FE" w:rsidRDefault="003754FE" w:rsidP="003754FE">
      <w:pPr>
        <w:pStyle w:val="TextoNormalCentrado"/>
        <w:keepNext/>
      </w:pPr>
      <w:r>
        <w:t>FALLO</w:t>
      </w:r>
    </w:p>
    <w:p w14:paraId="13ACBDC4" w14:textId="64F8C44B" w:rsidR="003754FE" w:rsidRDefault="003754FE" w:rsidP="003754FE">
      <w:pPr>
        <w:pStyle w:val="TextoNormalCentrado"/>
        <w:keepNext/>
      </w:pPr>
    </w:p>
    <w:p w14:paraId="45A98B7B" w14:textId="2DD9C69E" w:rsidR="003754FE" w:rsidRDefault="003754FE" w:rsidP="003754FE">
      <w:pPr>
        <w:pStyle w:val="TextoNormal"/>
      </w:pPr>
      <w:r>
        <w:t>En atención a todo lo expuesto, el Tribunal Constitucional, por la autoridad que le confiere la Constitución de la Nación española, ha decidido desestimar íntegramente el recurso de inconstitucionalidad núm. 8583-2022, interpuesto por más de cincuenta diputados del Grupo Parlamentario Vox en el Congreso de los Diputados.</w:t>
      </w:r>
    </w:p>
    <w:p w14:paraId="64F9D20C" w14:textId="77777777" w:rsidR="003754FE" w:rsidRDefault="003754FE" w:rsidP="003754FE">
      <w:pPr>
        <w:pStyle w:val="TextoNormal"/>
      </w:pPr>
    </w:p>
    <w:p w14:paraId="79DFF604" w14:textId="77777777" w:rsidR="003754FE" w:rsidRDefault="003754FE" w:rsidP="003754FE">
      <w:pPr>
        <w:pStyle w:val="TextoNormal"/>
      </w:pPr>
      <w:r>
        <w:lastRenderedPageBreak/>
        <w:t>Publíquese esta sentencia en el “Boletín Oficial del Estado”.</w:t>
      </w:r>
    </w:p>
    <w:p w14:paraId="04E714F1" w14:textId="77777777" w:rsidR="003754FE" w:rsidRDefault="003754FE" w:rsidP="003754FE">
      <w:pPr>
        <w:pStyle w:val="TextoNormal"/>
      </w:pPr>
      <w:r>
        <w:t>Dada en Madrid, a veinte de noviembre de dos mil veinticuatro.</w:t>
      </w:r>
    </w:p>
    <w:p w14:paraId="024EC54C" w14:textId="1FEDE7EC" w:rsidR="003754FE" w:rsidRDefault="003754FE" w:rsidP="003754FE">
      <w:pPr>
        <w:pStyle w:val="ParrafoNormal"/>
      </w:pPr>
    </w:p>
    <w:p w14:paraId="0BEC708A" w14:textId="77777777" w:rsidR="003754FE" w:rsidRDefault="003754FE" w:rsidP="003754FE">
      <w:pPr>
        <w:pStyle w:val="TextoNormalNegritaCentrado"/>
        <w:keepNext/>
      </w:pPr>
      <w:r>
        <w:t>Voto particular que formulan los magistrados don Ricardo Enríquez Sancho, don Enrique Arnaldo Alcubilla, doña Concepción Espejel Jorquera, don César Tolosa Tribiño y don José María Macías Castaño a la sentencia dictada en el recurso de inconstitucionalidad núm. 8583-2022</w:t>
      </w:r>
    </w:p>
    <w:p w14:paraId="4D77908D" w14:textId="0C1B3C7E" w:rsidR="003754FE" w:rsidRDefault="003754FE" w:rsidP="003754FE">
      <w:pPr>
        <w:pStyle w:val="TextoNormalNegritaCentrado"/>
        <w:keepNext/>
      </w:pPr>
    </w:p>
    <w:p w14:paraId="76D4B3F7" w14:textId="77777777" w:rsidR="003754FE" w:rsidRDefault="003754FE" w:rsidP="003754FE">
      <w:pPr>
        <w:pStyle w:val="TextoNormal"/>
      </w:pPr>
      <w:r>
        <w:t>De conformidad con lo dispuesto en el art. 90.2 LOTC, y con el máximo respeto al criterio asumido por la mayoría del Pleno, nos vemos en la obligación de mostrar nuestra disconformidad con el sentido de la sentencia aprobada que, a nuestro juicio, debió ser estimatoria del recurso.</w:t>
      </w:r>
    </w:p>
    <w:p w14:paraId="4B2EC1FC" w14:textId="77777777" w:rsidR="003754FE" w:rsidRDefault="003754FE" w:rsidP="003754FE">
      <w:pPr>
        <w:pStyle w:val="TextoNormal"/>
      </w:pPr>
    </w:p>
    <w:p w14:paraId="3EC78F95" w14:textId="77777777" w:rsidR="003754FE" w:rsidRDefault="003754FE" w:rsidP="003754FE">
      <w:pPr>
        <w:pStyle w:val="TextoNormal"/>
      </w:pPr>
      <w:r>
        <w:t>Los motivos que fundamentan nuestra posición se estructurarán, para su mejor comprensión, en cinco apartados: la falta de justificación suficiente para modificar nuestra doctrina sobre la protección del medio ambiente derivada del art. 45 CE; la extralimitación competencial de la Ley 19/2022 que sobrepasa la condición de norma “básica” de protección del medio ambiente y cercena las competencias autonómicas en la materia (art. 149.1.23 CE); la quiebra del principio de seguridad jurídica (art. 9.3 CE) como consecuencia, por una parte, de la notoria indefinición del régimen jurídico de la nueva personalidad jurídica creada y, por otra, del impreciso contenido de la ley en cuanto a los derechos atribuidos a esa nueva “persona” y a su relación con las múltiples normas de protección medioambiental sobre el mismo espacio físico; y, finalmente, la contravención del Derecho de la Unión Europea.</w:t>
      </w:r>
    </w:p>
    <w:p w14:paraId="7E5CED9C" w14:textId="77777777" w:rsidR="003754FE" w:rsidRDefault="003754FE" w:rsidP="003754FE">
      <w:pPr>
        <w:pStyle w:val="TextoNormal"/>
      </w:pPr>
    </w:p>
    <w:p w14:paraId="359DC81E" w14:textId="77777777" w:rsidR="003754FE" w:rsidRDefault="003754FE" w:rsidP="003754FE">
      <w:pPr>
        <w:pStyle w:val="TextoNormal"/>
      </w:pPr>
      <w:r>
        <w:t xml:space="preserve">1. </w:t>
      </w:r>
      <w:r w:rsidRPr="003754FE">
        <w:rPr>
          <w:i/>
        </w:rPr>
        <w:t>El cambio de la doctrina constitucional en materia de protección del medio ambiente no está suficientemente justificado</w:t>
      </w:r>
      <w:r>
        <w:t>.</w:t>
      </w:r>
    </w:p>
    <w:p w14:paraId="4F1086D1" w14:textId="77777777" w:rsidR="003754FE" w:rsidRDefault="003754FE" w:rsidP="003754FE">
      <w:pPr>
        <w:pStyle w:val="TextoNormal"/>
      </w:pPr>
    </w:p>
    <w:p w14:paraId="48EC77EF" w14:textId="77777777" w:rsidR="003754FE" w:rsidRDefault="003754FE" w:rsidP="003754FE">
      <w:pPr>
        <w:pStyle w:val="TextoNormal"/>
      </w:pPr>
      <w:r>
        <w:t xml:space="preserve">a) </w:t>
      </w:r>
      <w:r w:rsidRPr="003754FE">
        <w:rPr>
          <w:i/>
        </w:rPr>
        <w:t>La doctrina del Tribunal Constitucional sobre el carácter antropocéntrico del concepto de medio ambiente (art. 45 CE</w:t>
      </w:r>
      <w:r>
        <w:t>)</w:t>
      </w:r>
    </w:p>
    <w:p w14:paraId="550FEB5C" w14:textId="77777777" w:rsidR="003754FE" w:rsidRDefault="003754FE" w:rsidP="003754FE">
      <w:pPr>
        <w:pStyle w:val="TextoNormal"/>
      </w:pPr>
    </w:p>
    <w:p w14:paraId="6B61AA62" w14:textId="77777777" w:rsidR="003754FE" w:rsidRDefault="003754FE" w:rsidP="003754FE">
      <w:pPr>
        <w:pStyle w:val="TextoNormal"/>
      </w:pPr>
      <w:r>
        <w:t>El denominado “derecho al medio ambiente” se encuentra regulado en el art. 45 CE, dentro de los principios rectores de la política social y económica (capítulo III del título I CE). Se trata, como es conocido, de aquellos principios que “informarán la legislación positiva, la práctica judicial y la actuación de los poderes públicos”, pero que “[s]olo podrán ser alegados ante la jurisdicción ordinaria de acuerdo con lo que dispongan las leyes que los desarrollen” (art. 53.3 CE). Nos encontramos ante objetivos que habrán de ser plasmados a través de las correspondientes iniciativas legislativas o ejecutivas, atribuyendo un amplio margen de actuación a las autoridades correspondientes.</w:t>
      </w:r>
    </w:p>
    <w:p w14:paraId="4E50F595" w14:textId="77777777" w:rsidR="003754FE" w:rsidRDefault="003754FE" w:rsidP="003754FE">
      <w:pPr>
        <w:pStyle w:val="TextoNormal"/>
      </w:pPr>
    </w:p>
    <w:p w14:paraId="7B21EDC2" w14:textId="77777777" w:rsidR="003754FE" w:rsidRDefault="003754FE" w:rsidP="003754FE">
      <w:pPr>
        <w:pStyle w:val="TextoNormal"/>
      </w:pPr>
      <w:r>
        <w:t>Conforme al marco constitucional español, el medio ambiente puede englobarse sin dificultad en los denominados bienes jurídicos mediales, es decir, aquellos valores, intereses, relaciones, derechos u objetos materiales o inmateriales que se consideran dignos de protección por ser vitales o necesarios para el desarrollo de la vida de los ciudadanos, individual o colectivamente. Más en concreto, se ha hablado de un bien o interés colectivo tutelado en beneficio directo de la comunidad (SSTC 32/1983, de 28 de abril; 84/2013, de 11 de abril, y 233/2015, de 5 de noviembre, por todas).</w:t>
      </w:r>
    </w:p>
    <w:p w14:paraId="4527AA61" w14:textId="77777777" w:rsidR="003754FE" w:rsidRDefault="003754FE" w:rsidP="003754FE">
      <w:pPr>
        <w:pStyle w:val="TextoNormal"/>
      </w:pPr>
    </w:p>
    <w:p w14:paraId="0580ED45" w14:textId="77777777" w:rsidR="003754FE" w:rsidRDefault="003754FE" w:rsidP="003754FE">
      <w:pPr>
        <w:pStyle w:val="TextoNormal"/>
      </w:pPr>
      <w:r>
        <w:t>A pesar de los términos empleados en el art. 45.1 CE (“Todos tienen el derecho a disfrutar de un medio ambiente adecuado”), su ubicación sistemática permite descartar la tutela del medio ambiente como un derecho fundamental (de los reconocidos en la sección primera del capítulo II del título I) o como un derecho ciudadano (de los recogidos en la sección segunda del capítulo II del título I). De hecho, se configura no solo como un “derecho a disfrutar” sino como un “deber de conservar” (art. 45.1 CE).</w:t>
      </w:r>
    </w:p>
    <w:p w14:paraId="34546478" w14:textId="77777777" w:rsidR="003754FE" w:rsidRDefault="003754FE" w:rsidP="003754FE">
      <w:pPr>
        <w:pStyle w:val="TextoNormal"/>
      </w:pPr>
    </w:p>
    <w:p w14:paraId="590CCE65" w14:textId="77777777" w:rsidR="003754FE" w:rsidRDefault="003754FE" w:rsidP="003754FE">
      <w:pPr>
        <w:pStyle w:val="TextoNormal"/>
      </w:pPr>
      <w:r>
        <w:t>En todo caso, ese derecho al disfrute y consiguiente deber de conservación se pone en relación de medio a fin con el “desarrollo de la persona” (art. 45.1 CE); y la obligación impuesta a los poderes públicos en el art. 45.2 CE, en orden a velar por la “utilización racional de todos los recursos naturales”, se pone igualmente al servicio de la “calidad de la vida […], apoyándose en la indispensable solidaridad colectiva”. De esta forma, el deber de protección del medio ambiente enlaza con las condiciones que hacen posible el ejercicio del derecho a la vida y a la integridad física y psíquica de las personas (art. 15 CE), lo que, inevitablemente, lo sitúa como herramienta al servicio de la persona y de la humanidad, en un plano antropocéntrico.</w:t>
      </w:r>
    </w:p>
    <w:p w14:paraId="2F02441F" w14:textId="77777777" w:rsidR="003754FE" w:rsidRDefault="003754FE" w:rsidP="003754FE">
      <w:pPr>
        <w:pStyle w:val="TextoNormal"/>
      </w:pPr>
    </w:p>
    <w:p w14:paraId="64E12DDA" w14:textId="77777777" w:rsidR="003754FE" w:rsidRDefault="003754FE" w:rsidP="003754FE">
      <w:pPr>
        <w:pStyle w:val="TextoNormal"/>
      </w:pPr>
      <w:r>
        <w:t>En ese contexto, la doctrina de este tribunal definió el medio ambiente como “el conjunto de circunstancias físicas, culturales, económicas y sociales que rodean a las personas ofreciéndoles un conjunto de posibilidades para hacer su vida”, afirmando en consecuencia su carácter “esencialmente antropocéntrico” (STC 102/1995, de 26 de junio, FJ 4). Más concretamente, la sentencia afirma que “el ambiente […] es un concepto esencialmente antropocéntrico y relativo. No hay ni puede haber una idea abstracta, intemporal y utópica del medio, fuera del tiempo y del espacio”.</w:t>
      </w:r>
    </w:p>
    <w:p w14:paraId="45DBA897" w14:textId="77777777" w:rsidR="003754FE" w:rsidRDefault="003754FE" w:rsidP="003754FE">
      <w:pPr>
        <w:pStyle w:val="TextoNormal"/>
      </w:pPr>
    </w:p>
    <w:p w14:paraId="0A2DAE2D" w14:textId="77777777" w:rsidR="003754FE" w:rsidRDefault="003754FE" w:rsidP="003754FE">
      <w:pPr>
        <w:pStyle w:val="TextoNormal"/>
      </w:pPr>
      <w:r>
        <w:t xml:space="preserve">b) </w:t>
      </w:r>
      <w:r w:rsidRPr="003754FE">
        <w:rPr>
          <w:i/>
        </w:rPr>
        <w:t>El concepto antropocéntrico del medio ambiente es perfectamente compatible con su adecuada protección</w:t>
      </w:r>
      <w:r>
        <w:t>.</w:t>
      </w:r>
    </w:p>
    <w:p w14:paraId="5DAF3750" w14:textId="77777777" w:rsidR="003754FE" w:rsidRDefault="003754FE" w:rsidP="003754FE">
      <w:pPr>
        <w:pStyle w:val="TextoNormal"/>
      </w:pPr>
    </w:p>
    <w:p w14:paraId="036C4B67" w14:textId="77777777" w:rsidR="003754FE" w:rsidRDefault="003754FE" w:rsidP="003754FE">
      <w:pPr>
        <w:pStyle w:val="TextoNormal"/>
      </w:pPr>
      <w:r>
        <w:t>El carácter conceptualmente antropocéntrico del medio ambiente no excluye su adecuada protección. Más bien, todo lo contrario. La protección del medio ambiente no es un fin en sí mismo sino en la medida en que sirve al desarrollo de la vida humana; una vida humana que, como especie, está naturalmente orientada a su supervivencia, a través de las generaciones futuras, en un entorno natural que así se lo permita.</w:t>
      </w:r>
    </w:p>
    <w:p w14:paraId="39C820A4" w14:textId="77777777" w:rsidR="003754FE" w:rsidRDefault="003754FE" w:rsidP="003754FE">
      <w:pPr>
        <w:pStyle w:val="TextoNormal"/>
      </w:pPr>
    </w:p>
    <w:p w14:paraId="60075170" w14:textId="77777777" w:rsidR="003754FE" w:rsidRDefault="003754FE" w:rsidP="003754FE">
      <w:pPr>
        <w:pStyle w:val="TextoNormal"/>
      </w:pPr>
      <w:r>
        <w:t>Nuestra doctrina ya recogía la adecuada compatibilidad entre la calidad de vida de las personas y la protección del medio ambiente, también en beneficio de las generaciones futuras.</w:t>
      </w:r>
    </w:p>
    <w:p w14:paraId="1B703226" w14:textId="77777777" w:rsidR="003754FE" w:rsidRDefault="003754FE" w:rsidP="003754FE">
      <w:pPr>
        <w:pStyle w:val="TextoNormal"/>
      </w:pPr>
    </w:p>
    <w:p w14:paraId="21CFA668" w14:textId="77777777" w:rsidR="003754FE" w:rsidRDefault="003754FE" w:rsidP="003754FE">
      <w:pPr>
        <w:pStyle w:val="TextoNormal"/>
      </w:pPr>
      <w:r>
        <w:t xml:space="preserve">Así se fijó, bien temprano, en la STC 64/1982, de 4 de noviembre, FJ 3: “El art. 45 recoge la preocupación ecológica surgida en las últimas décadas en amplios sectores de opinión que se ha plasmado también en numerosos documentos internacionales. En su virtud no puede considerarse como objetivo primordial y excluyente la explotación al máximo de los recursos naturales, el aumento de la producción a toda costa, sino que se ha de armonizar la ‘utilización racional’ de esos recursos con la protección de la naturaleza, todo ello para el mejor desarrollo de la persona y para asegurar una mejor calidad de la vida. […]. Recuérdese también que la ‘calidad de la vida’ que cita el art. 45 y uno de cuyos elementos es la obtención de un medio ambiente adecuado para promoverla está proclamada en el </w:t>
      </w:r>
      <w:r>
        <w:lastRenderedPageBreak/>
        <w:t>preámbulo de la Constitución y recogida en algún otro artículo como el 129.1. Sin embargo, debe advertirse que la Constitución impone asimismo ‘el deber de atender al desarrollo de todos los sectores económicos’ (art. 130.1) […]. Ese desarrollo es igualmente necesario para lograr aquella mejora. La conclusión que se deduce del examen de los preceptos constitucionales lleva a la necesidad de compaginar en la forma que en cada caso decida el legislador competente la protección de ambos bienes constitucionales: el medio ambiente y el desarrollo económico”.</w:t>
      </w:r>
    </w:p>
    <w:p w14:paraId="5D0C56A7" w14:textId="77777777" w:rsidR="003754FE" w:rsidRDefault="003754FE" w:rsidP="003754FE">
      <w:pPr>
        <w:pStyle w:val="TextoNormal"/>
      </w:pPr>
    </w:p>
    <w:p w14:paraId="709372BF" w14:textId="77777777" w:rsidR="003754FE" w:rsidRDefault="003754FE" w:rsidP="003754FE">
      <w:pPr>
        <w:pStyle w:val="TextoNormal"/>
      </w:pPr>
      <w:r>
        <w:t>En palabras de la STC 102/1995, FJ 4: “Se trata en definitiva del ‘desarrollo sostenible’, equilibrado y racional, que no olvida a las generaciones futuras”.</w:t>
      </w:r>
    </w:p>
    <w:p w14:paraId="71F34CCF" w14:textId="77777777" w:rsidR="003754FE" w:rsidRDefault="003754FE" w:rsidP="003754FE">
      <w:pPr>
        <w:pStyle w:val="TextoNormal"/>
      </w:pPr>
    </w:p>
    <w:p w14:paraId="4CC16C56" w14:textId="77777777" w:rsidR="003754FE" w:rsidRDefault="003754FE" w:rsidP="003754FE">
      <w:pPr>
        <w:pStyle w:val="TextoNormal"/>
      </w:pPr>
      <w:r>
        <w:t xml:space="preserve">c) </w:t>
      </w:r>
      <w:r w:rsidRPr="003754FE">
        <w:rPr>
          <w:i/>
        </w:rPr>
        <w:t>La sentencia de la mayoría plantea un cambio de paradigma injustificado hacia el “ecocentrismo”</w:t>
      </w:r>
      <w:r>
        <w:t>.</w:t>
      </w:r>
    </w:p>
    <w:p w14:paraId="6A6A884A" w14:textId="77777777" w:rsidR="003754FE" w:rsidRDefault="003754FE" w:rsidP="003754FE">
      <w:pPr>
        <w:pStyle w:val="TextoNormal"/>
      </w:pPr>
    </w:p>
    <w:p w14:paraId="1695B016" w14:textId="77777777" w:rsidR="003754FE" w:rsidRDefault="003754FE" w:rsidP="003754FE">
      <w:pPr>
        <w:pStyle w:val="TextoNormal"/>
      </w:pPr>
      <w:r>
        <w:t>La sentencia de la mayoría afirma (fundamento jurídico 3) que la norma ahora impugnada es un ejemplo de técnica legislativa que asume un “traslado de paradigma de protección desde el antropocentrismo más tradicional, a un ecocentrismo moderado”. Sin embargo, no llega a definir lo que se entiende por ecocentrismo, más que por su plasmación en un texto normativo que atribuye personalidad jurídica a un concreto ecosistema. A pesar de ello, lo considera compatible con el antropocentrismo y con el marco constitucional ofrecido por el art. 45 CE.</w:t>
      </w:r>
    </w:p>
    <w:p w14:paraId="61E2F65D" w14:textId="77777777" w:rsidR="003754FE" w:rsidRDefault="003754FE" w:rsidP="003754FE">
      <w:pPr>
        <w:pStyle w:val="TextoNormal"/>
      </w:pPr>
    </w:p>
    <w:p w14:paraId="26967514" w14:textId="77777777" w:rsidR="003754FE" w:rsidRDefault="003754FE" w:rsidP="003754FE">
      <w:pPr>
        <w:pStyle w:val="TextoNormal"/>
      </w:pPr>
      <w:r>
        <w:t>Además, la sentencia realiza una distinción entre “dos grandes lógicas en los sistemas de garantía” ecocentrista del medio ambiente que, a nuestro juicio, resultan más bien artificiales, y que recuerdan a esa “abstracta e inservible jurisprudencia de conceptos” que, según la STC 136/2024, de 5 de noviembre, FJ 4 B) c), presenta una “falta de operatividad real” para el enjuiciamiento de casos concretos. La diferencia entre atribuir derechos a la naturaleza y reconocer personalidad jurídica a un espacio natural no responde a una diferenciación conceptual relevante y, en todo caso, no tiene una exacta correspondencia con el modelo propuesto en la norma ahora impugnada. Con toda evidencia es así cuando se tiene en cuenta que si algo relevante tiene la creación de una nueva persona jurídica es precisamente generar un nuevo sujeto titular de derechos. Y aún cabe añadir que nunca mejor dicho en el presente caso (nos referimos a la creación de un sujeto meramente “titular de derechos”), en el que la ley impugnada parece haber generado un sujeto titular de derechos, pero exento de obligaciones.</w:t>
      </w:r>
    </w:p>
    <w:p w14:paraId="7307AC72" w14:textId="77777777" w:rsidR="003754FE" w:rsidRDefault="003754FE" w:rsidP="003754FE">
      <w:pPr>
        <w:pStyle w:val="TextoNormal"/>
      </w:pPr>
    </w:p>
    <w:p w14:paraId="24C9F508" w14:textId="77777777" w:rsidR="003754FE" w:rsidRDefault="003754FE" w:rsidP="003754FE">
      <w:pPr>
        <w:pStyle w:val="TextoNormal"/>
      </w:pPr>
      <w:r>
        <w:t>En efecto, es cierto que la Ley 19/2022 no atribuye derechos a la naturaleza como tal, en general, sino que reconoce una personalidad jurídica a un determinado entorno o ecosistema natural. Sin embargo, el reconocimiento de esa personalidad jurídica va indisolublemente ligado a su condición de “sujeto de derechos” (art. 1), permitiéndole el ejercicio de acciones. Por lo tanto, no se inscribe en lo que la sentencia considera “ecocentrismo moderado”, sino que equipara a un sistema natural con las personas (e incluso con potencialidad para plantear conflicto a las personas), modificando así el paradigma hasta ahora conocido sobre la titularidad de los derechos. Es decir, la sentencia no aborda una mera cuestión de técnica u opción legislativa, de entre las varias posibles, sino que pretende un cambio de paradigma que no puede dejar indiferente y que no tiene encaje en nuestra Constitución —de génesis liberal— que atribuye los derechos exclusivamente a las personas.</w:t>
      </w:r>
    </w:p>
    <w:p w14:paraId="46D56B3D" w14:textId="77777777" w:rsidR="003754FE" w:rsidRDefault="003754FE" w:rsidP="003754FE">
      <w:pPr>
        <w:pStyle w:val="TextoNormal"/>
      </w:pPr>
    </w:p>
    <w:p w14:paraId="0262A7C1" w14:textId="77777777" w:rsidR="003754FE" w:rsidRDefault="003754FE" w:rsidP="003754FE">
      <w:pPr>
        <w:pStyle w:val="TextoNormal"/>
      </w:pPr>
      <w:r>
        <w:lastRenderedPageBreak/>
        <w:t>A nuestro juicio, se debe superar un sentido aparentemente peyorativo atribuido al concepto antropocéntrico del medio ambiente (que pareciera pretender la explotación sin límites de los recursos naturales, y no su uso, disfrute y protección para la mejora de la calidad de vida humana, que es la doctrina del Tribunal Constitucional). Esta concepción es perfectamente compatible con su consideración como bien digno de protección, mejora y restauración, y no requiere —ni acepta— cambio alguno de paradigma. Precisamente, la protección constitucional de la naturaleza encuentra sentido en la concepción antropocéntrica del medio ambiente. Reconocer que el ser humano vive en un determinado entorno natural, que hace posible la propia vida humana, implica, sin duda, un imperativo moral y jurídico de protección de la naturaleza como medio para nuestra propia supervivencia como especie, pero no puede ni debe situar al ser humano en el mismo plano axiológico que su entorno. Así se ha hecho con la Ley 7/2023, de 28 de marzo, de protección de los derechos y el bienestar de los animales; norma que, a pesar de su título, no concede a los animales la condición de personas ni les otorga personalidad jurídica propia, sino que los considera como seres sintientes que merecen respeto y protección.</w:t>
      </w:r>
    </w:p>
    <w:p w14:paraId="7299CBAD" w14:textId="77777777" w:rsidR="003754FE" w:rsidRDefault="003754FE" w:rsidP="003754FE">
      <w:pPr>
        <w:pStyle w:val="TextoNormal"/>
      </w:pPr>
    </w:p>
    <w:p w14:paraId="38F20CA0" w14:textId="77777777" w:rsidR="003754FE" w:rsidRDefault="003754FE" w:rsidP="003754FE">
      <w:pPr>
        <w:pStyle w:val="TextoNormal"/>
      </w:pPr>
      <w:r>
        <w:t>En definitiva, y en pocas palabras: para otorgar la debida protección al medio ambiente no es imprescindible dotarle del mismo estatus jurídico que a una persona.</w:t>
      </w:r>
    </w:p>
    <w:p w14:paraId="4D55B6AF" w14:textId="77777777" w:rsidR="003754FE" w:rsidRDefault="003754FE" w:rsidP="003754FE">
      <w:pPr>
        <w:pStyle w:val="TextoNormal"/>
      </w:pPr>
    </w:p>
    <w:p w14:paraId="6A0619FA" w14:textId="77777777" w:rsidR="003754FE" w:rsidRDefault="003754FE" w:rsidP="003754FE">
      <w:pPr>
        <w:pStyle w:val="TextoNormal"/>
      </w:pPr>
      <w:r>
        <w:t xml:space="preserve">d) </w:t>
      </w:r>
      <w:r w:rsidRPr="003754FE">
        <w:rPr>
          <w:i/>
        </w:rPr>
        <w:t>Los precedentes de Derecho comparado no autorizan a modificar nuestra doctrina sobre el concepto antropocéntrico del medio ambiente</w:t>
      </w:r>
      <w:r>
        <w:t>.</w:t>
      </w:r>
    </w:p>
    <w:p w14:paraId="5BE7A66B" w14:textId="77777777" w:rsidR="003754FE" w:rsidRDefault="003754FE" w:rsidP="003754FE">
      <w:pPr>
        <w:pStyle w:val="TextoNormal"/>
      </w:pPr>
    </w:p>
    <w:p w14:paraId="16831852" w14:textId="77777777" w:rsidR="003754FE" w:rsidRDefault="003754FE" w:rsidP="003754FE">
      <w:pPr>
        <w:pStyle w:val="TextoNormal"/>
      </w:pPr>
      <w:r>
        <w:t>La sentencia ha pretendido justificar el rotundo y evidente cambio de paradigma en un supuesto consenso e impulso derivado del contexto internacional.</w:t>
      </w:r>
    </w:p>
    <w:p w14:paraId="0A191871" w14:textId="77777777" w:rsidR="003754FE" w:rsidRDefault="003754FE" w:rsidP="003754FE">
      <w:pPr>
        <w:pStyle w:val="TextoNormal"/>
      </w:pPr>
    </w:p>
    <w:p w14:paraId="7DB5F5B7" w14:textId="77777777" w:rsidR="003754FE" w:rsidRDefault="003754FE" w:rsidP="003754FE">
      <w:pPr>
        <w:pStyle w:val="TextoNormal"/>
      </w:pPr>
      <w:r>
        <w:t>La realidad es que, como se deduce de la propia redacción de la sentencia, las manifestaciones normativas del denominado ecocentrismo son claramente testimoniales en el panorama internacional y, en todo caso, ajenas a nuestra tradición y cultura política, social, económica y jurídica.</w:t>
      </w:r>
    </w:p>
    <w:p w14:paraId="4F712F51" w14:textId="77777777" w:rsidR="003754FE" w:rsidRDefault="003754FE" w:rsidP="003754FE">
      <w:pPr>
        <w:pStyle w:val="TextoNormal"/>
      </w:pPr>
    </w:p>
    <w:p w14:paraId="63981273" w14:textId="77777777" w:rsidR="003754FE" w:rsidRDefault="003754FE" w:rsidP="003754FE">
      <w:pPr>
        <w:pStyle w:val="TextoNormal"/>
      </w:pPr>
      <w:r>
        <w:t>En el plano estrictamente internacional, las referencias consideradas como ecocéntricas que se contemplan, por ejemplo, en las resoluciones de la ONU de 2009 (resolución 64/196, de 21 de diciembre de 2009), sobre la “armonía con la naturaleza”, y 2012, (resolución 66/288, de 27 de julio de 2012) sobre el “futuro que queremos”, apuestan por la construcción de una “ética ecológica” a fin de adoptar “medidas para restablecer la salud y la integridad del ecosistema”, pero en el marco de un “desarrollo sostenible” que permita “vivir en armonía con la naturaleza” (ap. 40 de la resolución de 2012). En estas resoluciones, no citadas en la sentencia, la ONU constata que varios países han reconocido los derechos de la naturaleza, pero no asume como propia esta solución, abogando por un “justo equilibrio entre las necesidades económicas, sociales y ambientales de las generaciones presentes y futuras” (ap. 39 de la citada resolución de 2012). En definitiva, el avance de los planteamientos ecocéntricos no supone, de entrada, el reconocimiento de derechos a la naturaleza ni la superación de la visión antropocéntrica del medio ambiente, sino la constatación de la vigencia de nuestra doctrina, que solo puede tener sentido desde la necesidad de protección del medio ambiente para la mejora de la calidad de vida del ser humano, tanto en la actualidad como en el futuro.</w:t>
      </w:r>
    </w:p>
    <w:p w14:paraId="5327F354" w14:textId="77777777" w:rsidR="003754FE" w:rsidRDefault="003754FE" w:rsidP="003754FE">
      <w:pPr>
        <w:pStyle w:val="TextoNormal"/>
      </w:pPr>
    </w:p>
    <w:p w14:paraId="4EAE9048" w14:textId="77777777" w:rsidR="003754FE" w:rsidRDefault="003754FE" w:rsidP="003754FE">
      <w:pPr>
        <w:pStyle w:val="TextoNormal"/>
      </w:pPr>
      <w:r>
        <w:lastRenderedPageBreak/>
        <w:t>En el plano nacional, la única Constitución de ámbito estatal que se refiere expresamente al reconocimiento de la naturaleza como titular de derechos es la de la República del Ecuador de 2008. En su preámbulo se destaca, entre otros principios, los siguientes: “Celebrando a la naturaleza, la Pacha Mama, de la que somos parte y que es vital para nuestra existencia” o “Invocando el nombre de Dios y reconociendo nuestras diversas formas de religiosidad y espiritualidad”. Y en su articulado se reconoce a la “naturaleza o Pacha Mama” el derecho al “mantenimiento […] de sus ciclos vitales, estructura, funciones y procesos evolutivos” (art. 71), así como la obligación estatal de aplicar “medidas de precaución y restricción para las actividades que puedan conducir a […] la alteración permanente de los ciclos naturales” (art. 73).</w:t>
      </w:r>
    </w:p>
    <w:p w14:paraId="0F70CBBF" w14:textId="77777777" w:rsidR="003754FE" w:rsidRDefault="003754FE" w:rsidP="003754FE">
      <w:pPr>
        <w:pStyle w:val="TextoNormal"/>
      </w:pPr>
    </w:p>
    <w:p w14:paraId="456361C5" w14:textId="77777777" w:rsidR="003754FE" w:rsidRDefault="003754FE" w:rsidP="003754FE">
      <w:pPr>
        <w:pStyle w:val="TextoNormal"/>
      </w:pPr>
      <w:r>
        <w:t xml:space="preserve">De este marco </w:t>
      </w:r>
      <w:r w:rsidRPr="003754FE">
        <w:rPr>
          <w:i/>
        </w:rPr>
        <w:t>animista</w:t>
      </w:r>
      <w:r>
        <w:t xml:space="preserve">, cuya absoluta lejanía respecto de nuestro entendimiento de la relación del ser humano con la naturaleza no es necesario justificar, se ha derivado una jurisprudencia, no citada en la sentencia de la mayoría, de la que son exponentes: (i) la sentencia de la Corte Provincial de Justicia de Loja, que reconoce los derechos del Río Vilcabamba (sentencia de 30 de marzo de 2011, juicio núm. 11121-2001-0010); y (ii) las sentencias de la Corte Constitucional del Ecuador sobre el reglamento ambiental de actividades mineras, que obliga a aprobar por ley cualquier alteración o desvío del curso natural de un cuerpo hídrico (caso núm. 32-17-IN, de 9 de junio de 2021); sobre los Manglares, a los que se reconoce como titular de derechos (caso núm. 22-18-IN, de 8 de septiembre de 2021); y sobre el Bosque Protector Los Cedros, a quien se aplicó el principio </w:t>
      </w:r>
      <w:r w:rsidRPr="003754FE">
        <w:rPr>
          <w:i/>
        </w:rPr>
        <w:t>in dubio pro natura</w:t>
      </w:r>
      <w:r>
        <w:t>, del art. 395.4 de la Constitución del Ecuador, así como el cambio de paradigma que implica que es el ser humano el que se tiene que adaptar a los procesos y sistemas naturales (caso núm. 1149-19-JP/20, de 10 de noviembre de 2021).</w:t>
      </w:r>
    </w:p>
    <w:p w14:paraId="7CF70B2C" w14:textId="77777777" w:rsidR="003754FE" w:rsidRDefault="003754FE" w:rsidP="003754FE">
      <w:pPr>
        <w:pStyle w:val="TextoNormal"/>
      </w:pPr>
    </w:p>
    <w:p w14:paraId="09C48F18" w14:textId="77777777" w:rsidR="003754FE" w:rsidRDefault="003754FE" w:rsidP="003754FE">
      <w:pPr>
        <w:pStyle w:val="TextoNormal"/>
      </w:pPr>
      <w:r>
        <w:t>En todos estos casos, se destaca la idea central de la protección de la “madre Naturaleza” desde posiciones divinas, inspiradas en la cosmovisión de los pueblos indígenas, en la que el ser humano es naturaleza, forma parte de ella, y con la que se encuentra en una relación de simbiosis. Se genera, así, una ruptura de la barrera conceptual entre el ser humano y el medio en el que habita.</w:t>
      </w:r>
    </w:p>
    <w:p w14:paraId="5615287D" w14:textId="77777777" w:rsidR="003754FE" w:rsidRDefault="003754FE" w:rsidP="003754FE">
      <w:pPr>
        <w:pStyle w:val="TextoNormal"/>
      </w:pPr>
    </w:p>
    <w:p w14:paraId="72BA16CE" w14:textId="77777777" w:rsidR="003754FE" w:rsidRDefault="003754FE" w:rsidP="003754FE">
      <w:pPr>
        <w:pStyle w:val="TextoNormal"/>
      </w:pPr>
      <w:r>
        <w:t>En el caso de Colombia, que tampoco se cita en la sentencia de la mayoría, la Corte Constitucional ha reconocido los derechos de la naturaleza, aunque no estén expresamente recogidos en su texto constitucional de 1991 (sentencia T-622, de 10 de noviembre de 2016, sobre el río Atrato), por la vía de la protección de los derechos fundamentales a la vida, a la salud, al agua, a la seguridad alimentaria, al medio ambiente sano, a la cultura y al territorio de las comunidades étnicas que habitan la cuenca de ese río.</w:t>
      </w:r>
    </w:p>
    <w:p w14:paraId="5DF5D46E" w14:textId="77777777" w:rsidR="003754FE" w:rsidRDefault="003754FE" w:rsidP="003754FE">
      <w:pPr>
        <w:pStyle w:val="TextoNormal"/>
      </w:pPr>
    </w:p>
    <w:p w14:paraId="52C3CD0A" w14:textId="77777777" w:rsidR="003754FE" w:rsidRDefault="003754FE" w:rsidP="003754FE">
      <w:pPr>
        <w:pStyle w:val="TextoNormal"/>
      </w:pPr>
      <w:r>
        <w:t>Por su parte, el art. 3 de la Ley núm. 71, de 21 de diciembre de 2010, de derechos de la madre Tierra, de Bolivia, citada en la sentencia, establece que la “madre Tierra es considerada sagrada, desde las cosmovisiones de las naciones y pueblos indígena originario campesinos”.</w:t>
      </w:r>
    </w:p>
    <w:p w14:paraId="0CB4883D" w14:textId="77777777" w:rsidR="003754FE" w:rsidRDefault="003754FE" w:rsidP="003754FE">
      <w:pPr>
        <w:pStyle w:val="TextoNormal"/>
      </w:pPr>
    </w:p>
    <w:p w14:paraId="78853CB1" w14:textId="77777777" w:rsidR="003754FE" w:rsidRDefault="003754FE" w:rsidP="003754FE">
      <w:pPr>
        <w:pStyle w:val="TextoNormal"/>
      </w:pPr>
      <w:r>
        <w:t>Las otras manifestaciones ecocéntricas reseñadas en la sentencia aparecen insertadas en normas de carácter regional o local que, en consecuencia, escasa o nula trascendencia pueden tener para la adecuada resolución de este recurso, y menos aún para pretender justificar un cambio de percepción de nuestra Constitución.</w:t>
      </w:r>
    </w:p>
    <w:p w14:paraId="195064B7" w14:textId="77777777" w:rsidR="003754FE" w:rsidRDefault="003754FE" w:rsidP="003754FE">
      <w:pPr>
        <w:pStyle w:val="TextoNormal"/>
      </w:pPr>
    </w:p>
    <w:p w14:paraId="718BF530" w14:textId="77777777" w:rsidR="003754FE" w:rsidRDefault="003754FE" w:rsidP="003754FE">
      <w:pPr>
        <w:pStyle w:val="TextoNormal"/>
      </w:pPr>
      <w:r>
        <w:lastRenderedPageBreak/>
        <w:t>En todo caso, y con todo el respeto que nos merecen los principios inspiradores de otras legislaciones, culturas y tradiciones, lo cierto es que la mera lectura de esos textos y de sus fundamentos ponen de manifiesto que los principios y valores que sustentan esos ordenamientos presentan notorias diferencias con los nuestros, e incompatibles con nuestra jerarquía constitucional de valores (según el preámbulo de la Constitución de 1978: la justicia, la libertad, la seguridad y el bien común; según el art. 1.1 CE “la libertad, la justicia, la igualdad y el pluralismo político”).</w:t>
      </w:r>
    </w:p>
    <w:p w14:paraId="37548604" w14:textId="77777777" w:rsidR="003754FE" w:rsidRDefault="003754FE" w:rsidP="003754FE">
      <w:pPr>
        <w:pStyle w:val="TextoNormal"/>
      </w:pPr>
    </w:p>
    <w:p w14:paraId="0F50855D" w14:textId="77777777" w:rsidR="003754FE" w:rsidRDefault="003754FE" w:rsidP="003754FE">
      <w:pPr>
        <w:pStyle w:val="TextoNormal"/>
      </w:pPr>
      <w:r>
        <w:t xml:space="preserve">e) </w:t>
      </w:r>
      <w:r w:rsidRPr="003754FE">
        <w:rPr>
          <w:i/>
        </w:rPr>
        <w:t>El concepto ecocéntrico de medio ambiente no encuentra respaldo expreso en el Derecho europeo ni el Derecho comparado de los países europeos</w:t>
      </w:r>
      <w:r>
        <w:t>.</w:t>
      </w:r>
    </w:p>
    <w:p w14:paraId="1AA7884B" w14:textId="77777777" w:rsidR="003754FE" w:rsidRDefault="003754FE" w:rsidP="003754FE">
      <w:pPr>
        <w:pStyle w:val="TextoNormal"/>
      </w:pPr>
    </w:p>
    <w:p w14:paraId="57A4D6C8" w14:textId="77777777" w:rsidR="003754FE" w:rsidRDefault="003754FE" w:rsidP="003754FE">
      <w:pPr>
        <w:pStyle w:val="TextoNormal"/>
      </w:pPr>
      <w:r>
        <w:t>Ningún instrumento normativo europeo atribuye la titularidad de derechos al medio ambiente, en general, o a un ecosistema concreto, en particular. Tampoco lo hacen las previsiones constitucionales o legales de los países con los que compartimos tradiciones culturales y jurídicas y, desde luego, no lo hacen las normas citadas en la sentencia.</w:t>
      </w:r>
    </w:p>
    <w:p w14:paraId="015848E8" w14:textId="77777777" w:rsidR="003754FE" w:rsidRDefault="003754FE" w:rsidP="003754FE">
      <w:pPr>
        <w:pStyle w:val="TextoNormal"/>
      </w:pPr>
    </w:p>
    <w:p w14:paraId="395E83E2" w14:textId="77777777" w:rsidR="003754FE" w:rsidRDefault="003754FE" w:rsidP="003754FE">
      <w:pPr>
        <w:pStyle w:val="TextoNormal"/>
      </w:pPr>
      <w:r>
        <w:t>El art. 21 [en realidad, es el 20 a)] de la Ley Fundamental de Bonn establece que “El Estado protegerá, teniendo en cuenta también su responsabilidad con las generaciones futuras, dentro del marco del orden constitucional, los fundamentos naturales de la vida y los animales a través de la legislación y, de acuerdo con la ley y el Derecho, por medio de los poderes ejecutivo y judicial”. Por su parte, el art. 9 de la Constitución italiana declara lo siguiente: “La República […] [p]rotege el paisaje y el patrimonio histórico y artístico de la nación. Protege el medio ambiente, la biodiversidad y los ecosistemas, también en interés de las generaciones futuras. La ley del Estado regula los modos y formas de protección animal”.</w:t>
      </w:r>
    </w:p>
    <w:p w14:paraId="76E9601F" w14:textId="77777777" w:rsidR="003754FE" w:rsidRDefault="003754FE" w:rsidP="003754FE">
      <w:pPr>
        <w:pStyle w:val="TextoNormal"/>
      </w:pPr>
    </w:p>
    <w:p w14:paraId="22F593BF" w14:textId="77777777" w:rsidR="003754FE" w:rsidRDefault="003754FE" w:rsidP="003754FE">
      <w:pPr>
        <w:pStyle w:val="TextoNormal"/>
      </w:pPr>
      <w:r>
        <w:t>Como se puede apreciar, ambos textos aluden a la obligación de protección del medio ambiente, haciendo hincapié también en las generaciones futuras, pero no como derechos fundamentales de los ciudadanos ni como derechos de los espacios naturales. En concreto, el art. 20a de la Ley Fundamental de Bonn lo hace dentro de la regulación de la “Federación y los Länder” (arts. 20 y ss), no en el título relativo a los derechos fundamentales (arts. 1 a 19); mientras que el art. 9 de la Constitución italiana se ubica entre los principios fundamentales (arts. 1 a 12), no como derecho o deber de los ciudadanos (arts. 13 a 54).</w:t>
      </w:r>
    </w:p>
    <w:p w14:paraId="0CFE338F" w14:textId="77777777" w:rsidR="003754FE" w:rsidRDefault="003754FE" w:rsidP="003754FE">
      <w:pPr>
        <w:pStyle w:val="TextoNormal"/>
      </w:pPr>
    </w:p>
    <w:p w14:paraId="638CF1EB" w14:textId="77777777" w:rsidR="003754FE" w:rsidRDefault="003754FE" w:rsidP="003754FE">
      <w:pPr>
        <w:pStyle w:val="TextoNormal"/>
      </w:pPr>
      <w:r>
        <w:t xml:space="preserve">Tampoco lo hace el art. 37 de la Carta de los derechos fundamentales de la Unión Europea (CDFUE), no citado en la sentencia, cuando establece que “[e]n las políticas de la Unión se integrarán y garantizarán, conforme al principio de desarrollo sostenible, un nivel elevado de protección del medio ambiente y la mejora de su calidad”. Ni siquiera el estudio denominado </w:t>
      </w:r>
      <w:r w:rsidRPr="003754FE">
        <w:rPr>
          <w:i/>
        </w:rPr>
        <w:t>Towards an EU Charter of the Fundamental Rights of Nature</w:t>
      </w:r>
      <w:r>
        <w:t xml:space="preserve">, encargado en 2019 por el Comité Económico y Social Europeo a la Universidad de Siena, a la asociación </w:t>
      </w:r>
      <w:r w:rsidRPr="003754FE">
        <w:rPr>
          <w:i/>
        </w:rPr>
        <w:t>Nature’s Rights</w:t>
      </w:r>
      <w:r>
        <w:t xml:space="preserve"> (UK) y al </w:t>
      </w:r>
      <w:r w:rsidRPr="003754FE">
        <w:rPr>
          <w:i/>
        </w:rPr>
        <w:t>Centro di Ricerca Euroamericano Sulle Politiche Constituzionali</w:t>
      </w:r>
      <w:r>
        <w:t xml:space="preserve"> de la Universidad del Salento (https://www.eesc.europa.eu/), que propone una Carta sobre los derechos de la naturaleza, plantea, en rigor, el reconocimiento de derechos a la naturaleza, sino deberes, prohibiciones y derechos para los ciudadanos, probablemente por ser consciente del desajuste que ello supondría para su aplicación en los ordenamientos jurídicos europeos.</w:t>
      </w:r>
    </w:p>
    <w:p w14:paraId="29E892C4" w14:textId="77777777" w:rsidR="003754FE" w:rsidRDefault="003754FE" w:rsidP="003754FE">
      <w:pPr>
        <w:pStyle w:val="TextoNormal"/>
      </w:pPr>
    </w:p>
    <w:p w14:paraId="056CA3CF" w14:textId="77777777" w:rsidR="003754FE" w:rsidRDefault="003754FE" w:rsidP="003754FE">
      <w:pPr>
        <w:pStyle w:val="TextoNormal"/>
      </w:pPr>
      <w:r>
        <w:lastRenderedPageBreak/>
        <w:t xml:space="preserve">Tampoco el Tribunal de Justicia de la Unión Europea otorga una legitimación abierta para la eventual tutela de intereses medioambientales (STJUE de 3 de octubre de 2013, asunto C‑583/11 P, </w:t>
      </w:r>
      <w:r w:rsidRPr="003754FE">
        <w:rPr>
          <w:i/>
        </w:rPr>
        <w:t>Inuit Tapiriit Kanatami</w:t>
      </w:r>
      <w:r>
        <w:t xml:space="preserve">,  aps. 52 a 60 y 69 a 76; STJUE de 13 de enero de 2015, asuntos acumulados C‑404/12 P y C‑405/12 P, </w:t>
      </w:r>
      <w:r w:rsidRPr="003754FE">
        <w:rPr>
          <w:i/>
        </w:rPr>
        <w:t>Consejo y Comisión/Stichting Natuur en Milieu y Pesticide Action Network Europe</w:t>
      </w:r>
      <w:r>
        <w:t xml:space="preserve">, ap. 53; STJUE de 16 de julio de 2015, asunto C‑612/13 P, </w:t>
      </w:r>
      <w:r w:rsidRPr="003754FE">
        <w:rPr>
          <w:i/>
        </w:rPr>
        <w:t>ClientEarth/Comisión</w:t>
      </w:r>
      <w:r>
        <w:t xml:space="preserve">, ap. 40; STJUE de 3 de diciembre de 2020, asunto C-352/19 P, </w:t>
      </w:r>
      <w:r w:rsidRPr="003754FE">
        <w:rPr>
          <w:i/>
        </w:rPr>
        <w:t>Région de Bruxelles-Capitale/Comisión</w:t>
      </w:r>
      <w:r>
        <w:t xml:space="preserve">, ap. 25, y STJUE de 20 de enero de 2021,asunto C‑619/19, </w:t>
      </w:r>
      <w:r w:rsidRPr="003754FE">
        <w:rPr>
          <w:i/>
        </w:rPr>
        <w:t>Land Baden-Württemberg (Comunicaciones internas</w:t>
      </w:r>
      <w:r>
        <w:t>), aps. 33, 44, 56, 58 y 69).</w:t>
      </w:r>
    </w:p>
    <w:p w14:paraId="0B4EEDC6" w14:textId="77777777" w:rsidR="003754FE" w:rsidRDefault="003754FE" w:rsidP="003754FE">
      <w:pPr>
        <w:pStyle w:val="TextoNormal"/>
      </w:pPr>
    </w:p>
    <w:p w14:paraId="41AF5853" w14:textId="77777777" w:rsidR="003754FE" w:rsidRDefault="003754FE" w:rsidP="003754FE">
      <w:pPr>
        <w:pStyle w:val="TextoNormal"/>
      </w:pPr>
      <w:r>
        <w:t>Del mismo modo, solo desde un planteamiento eminentemente voluntarista se puede siquiera atisbar un apoyo a una concepción ecocéntrica del medio ambiente en las referencias contenidas en la sentencia de la mayoría a diversas resoluciones judiciales europeas. Tan voluntarista resultan esas referencias que preocupa la percepción que esos órganos puedan tener de la comprensión de sus resoluciones.</w:t>
      </w:r>
    </w:p>
    <w:p w14:paraId="5FF12092" w14:textId="77777777" w:rsidR="003754FE" w:rsidRDefault="003754FE" w:rsidP="003754FE">
      <w:pPr>
        <w:pStyle w:val="TextoNormal"/>
      </w:pPr>
    </w:p>
    <w:p w14:paraId="7B147E40" w14:textId="77777777" w:rsidR="003754FE" w:rsidRDefault="003754FE" w:rsidP="003754FE">
      <w:pPr>
        <w:pStyle w:val="TextoNormal"/>
      </w:pPr>
      <w:r>
        <w:t xml:space="preserve">En efecto, la STEDH de 9 de abril de 2024, asunto </w:t>
      </w:r>
      <w:r w:rsidRPr="003754FE">
        <w:rPr>
          <w:i/>
        </w:rPr>
        <w:t>Verein Klimaseniorinnen Schweiz y otras c. Suiza</w:t>
      </w:r>
      <w:r>
        <w:t xml:space="preserve">, citada en la sentencia de la mayoría, no examinó la eventual lesión del art. 2 CEDH (como se expone, por error, en el fundamento jurídico 3, párrafo segundo, de la sentencia), sino que consideró vulnerado el art. 8 CEDH por el incumplimiento de las autoridades helvéticas de los objetivos sobre gases de efecto invernadero (ver, en particular, los apartados 555 a 574 de esa resolución). Como es sabido, el derecho a la vida personal y familiar reconocido en el art. 8 CEDH no tiene correspondencia simétrica con ningún precepto de nuestra CE (STC 186/2013, de 4 de noviembre, FJ 6, entre otras), sin perjuicio del valor hermenéutico de la doctrina del Tribunal Europeo de Derechos Humanos en la interpretación de nuestros derechos fundamentales, </w:t>
      </w:r>
      <w:r w:rsidRPr="003754FE">
        <w:rPr>
          <w:i/>
        </w:rPr>
        <w:t>ex</w:t>
      </w:r>
      <w:r>
        <w:t xml:space="preserve"> art. 10.2 CE. En todo caso, en esa resolución el Tribunal examina el supuesto de hecho desde la consideración del derecho de las personas a una protección eficaz por parte de las autoridades frente a los graves efectos adversos del cambio climático sobre su vida, su salud, bienestar y calidad de vida, así como desde la perspectiva de la interpretación y aplicación real y efectiva de los derechos reconocidos en el Convenio europeo de derechos humanos. Por lo tanto, la aproximación al problema se hace desde un enfoque antropocéntrico del medio ambiente.</w:t>
      </w:r>
    </w:p>
    <w:p w14:paraId="119DCB1E" w14:textId="77777777" w:rsidR="003754FE" w:rsidRDefault="003754FE" w:rsidP="003754FE">
      <w:pPr>
        <w:pStyle w:val="TextoNormal"/>
      </w:pPr>
    </w:p>
    <w:p w14:paraId="29E60C17" w14:textId="77777777" w:rsidR="003754FE" w:rsidRDefault="003754FE" w:rsidP="003754FE">
      <w:pPr>
        <w:pStyle w:val="TextoNormal"/>
      </w:pPr>
      <w:r>
        <w:t>Otro tanto se puede decir del auto de 24 de marzo de 2021, del Tribunal Constitucional Federal de Alemania (Sala Primera), dictado en el asunto “1 BvR 2656/18” (y otros acumulados), que se ubica en los mismos parámetros conceptuales.</w:t>
      </w:r>
    </w:p>
    <w:p w14:paraId="0AAC8462" w14:textId="77777777" w:rsidR="003754FE" w:rsidRDefault="003754FE" w:rsidP="003754FE">
      <w:pPr>
        <w:pStyle w:val="TextoNormal"/>
      </w:pPr>
    </w:p>
    <w:p w14:paraId="2C0D24E0" w14:textId="77777777" w:rsidR="003754FE" w:rsidRDefault="003754FE" w:rsidP="003754FE">
      <w:pPr>
        <w:pStyle w:val="TextoNormal"/>
      </w:pPr>
      <w:r>
        <w:t xml:space="preserve">Por un lado, se afirma en ese auto que el deber del Estado derivado del derecho a la vida y la integridad física (art. 2.2 de la Ley Fundamental de Bonn) abarca la protección contra los riesgos y las afecciones provocadas por el cambio climático (apartados 144 a 150). Por otro lado, el art. 20a obliga al Estado a tomar medidas de protección climática que, en cuanto impliquen una injerencia en los derechos fundamentales, ha de estar justificada desde el punto de vista constitucional, mediante su previsión legislativa y de forma proporcional (apartados 188 a 194). Sentado lo anterior, el motivo de la estimación del recurso de amparo planteado por los demandantes de ese asunto fue la necesidad de proteger el derecho a la libertad de acción (art. 2.1 de la Ley Fundamental de Bonn) que, según el Tribunal, presenta una dimensión temporal ilimitada hacia el futuro, de manera que las eventuales restricciones </w:t>
      </w:r>
      <w:r>
        <w:lastRenderedPageBreak/>
        <w:t>a la libertad que representan las medidas de control del cambio climático se distribuyan de forma proporcionada entre las distintas generaciones.</w:t>
      </w:r>
    </w:p>
    <w:p w14:paraId="017D57E7" w14:textId="77777777" w:rsidR="003754FE" w:rsidRDefault="003754FE" w:rsidP="003754FE">
      <w:pPr>
        <w:pStyle w:val="TextoNormal"/>
      </w:pPr>
    </w:p>
    <w:p w14:paraId="0F0F6343" w14:textId="77777777" w:rsidR="003754FE" w:rsidRDefault="003754FE" w:rsidP="003754FE">
      <w:pPr>
        <w:pStyle w:val="TextoNormal"/>
      </w:pPr>
      <w:r>
        <w:t>Para el Tribunal Constitucional alemán, el citado derecho fundamental brinda una protección o “efecto anticipado” (apartados 182 a 187) contra un traslado unilateral hacia el futuro de las cargas de reducción de los gases de efecto invernadero derivadas del deber de protección contenido en el art. 20a de la Ley Fundamental de Bonn. Dicho de otra forma, el Tribunal considera que los preceptos impugnados (arts. 3 y 4 de la Ley Federal de protección del clima, de 12 de diciembre de 2019) resultan “incompatibles con los derechos fundamentales, en la medida en que no exista disposición que satisfaga los requisitos constitucionales sobre la actualización de los objetivos de reducción para periodos a partir de 2031”. Es decir, la norma impugnada vulnera el derecho a la libertad de acción de las generaciones futuras, en tanto que no ha previsto con la suficiente antelación los objetivos medioambientales a cumplir a partir del año 2031, lo que podría provocar una injustificada y desproporcionada carga para las siguientes generaciones, para que “no se vean obligadas a emprender una abstinencia radical” sin una “orientación a los procesos de desarrollo e implementación necesarios para proporcionar un nivel suficiente de presión sobre estos procesos y de seguridad en su planificación”. Si algo se aprecia en la sentencia, como idea rectora, es una afirmación exacerbada del antropocentrismo que tiene en cuenta no solo el ser humano presente, sino también, y sobre todo la posibilidad de pervivencia del ser humano futuro sobre la tierra, pero nada que justifique que la “Madre Naturaleza” o la “Mama Pacha” o cualquier otra formulación divinizada del medio ambiente pueda ser un sujeto con sus propios derechos y con potencialidad para entrar en conflicto con el ser humano.</w:t>
      </w:r>
    </w:p>
    <w:p w14:paraId="5F4F4018" w14:textId="77777777" w:rsidR="003754FE" w:rsidRDefault="003754FE" w:rsidP="003754FE">
      <w:pPr>
        <w:pStyle w:val="TextoNormal"/>
      </w:pPr>
    </w:p>
    <w:p w14:paraId="3E2A677C" w14:textId="77777777" w:rsidR="003754FE" w:rsidRDefault="003754FE" w:rsidP="003754FE">
      <w:pPr>
        <w:pStyle w:val="TextoNormal"/>
      </w:pPr>
      <w:r>
        <w:t xml:space="preserve">La sentencia del Tribunal Supremo de los Países Bajos de 20 de diciembre de 2019 (asunto </w:t>
      </w:r>
      <w:r w:rsidRPr="003754FE">
        <w:rPr>
          <w:i/>
        </w:rPr>
        <w:t>Stichting Urgenda c. Países Bajos</w:t>
      </w:r>
      <w:r>
        <w:t>) tampoco altera el paradigma descrito. En su resolución, la Corte de Casación confirma las sentencias dictadas por los órganos de instancia, en las que se condena al estado neerlandés a cumplir con los objetivos de reducción de gases de efecto invernadero a los que se había comprometido de conformidad con lo establecido en el anexo I del informe del IPCC (Grupo intergubernamental de expertos sobre el cambio climático) de 2007. Según figura en la sentencia (apartados 7.4.1 a 7.5.3), la política del Estado estaba orientada a lograr la reducción del 30 por 100 en 2020 (en comparación con los datos del año 1990). Sin embargo, a partir del año 2011, y en el contexto de la Unión Europea, el objetivo de reducción se limitó al 20 por 100 sin que el Estado hubiera explicado esa disminución. La sentencia considera (apartados 5.2.1 a 5.5.3) que los arts. 2 y 8 CEDH consagran el deber de los estados de adoptar las medidas adecuadas si existe riesgo para la vida o integridad de las personas (riesgo que considera acreditado en función de los informes aportados y del consenso científico constatable), también en materia de medio ambiente, y que esas medidas pueden ser exigibles a través de los tribunales en virtud del derecho al recurso efectivo contemplado en el art. 13 CEDH.</w:t>
      </w:r>
    </w:p>
    <w:p w14:paraId="13276EF7" w14:textId="77777777" w:rsidR="003754FE" w:rsidRDefault="003754FE" w:rsidP="003754FE">
      <w:pPr>
        <w:pStyle w:val="TextoNormal"/>
      </w:pPr>
    </w:p>
    <w:p w14:paraId="645CAC25" w14:textId="77777777" w:rsidR="003754FE" w:rsidRDefault="003754FE" w:rsidP="003754FE">
      <w:pPr>
        <w:pStyle w:val="TextoNormal"/>
      </w:pPr>
      <w:r>
        <w:t xml:space="preserve">Como se puede apreciar, ninguno de los pronunciamientos judiciales reseñados hace referencia alguna al otorgamiento de personalidad jurídica a un ecosistema, ni asume como jurisprudencia propia unos conceptos tan inútiles como abstractos por su manifiesto carácter ajeno a nuestras tradiciones y entornos jurídicos De hecho, e insistimos en ello, mezclar en una misma justificación las referencias a las consideraciones indigenistas de algunas constituciones y leyes (que, además de respetables, son perfectamente comprensibles en su entorno cultural y jurídico), con la cita de las resoluciones de tribunales nacionales e </w:t>
      </w:r>
      <w:r>
        <w:lastRenderedPageBreak/>
        <w:t>internacionales europeos que no guardan la menor relación con la atribución de personalidad jurídica a la naturaleza, solo puede comprenderse desde el voluntarismo.</w:t>
      </w:r>
    </w:p>
    <w:p w14:paraId="3C434220" w14:textId="77777777" w:rsidR="003754FE" w:rsidRDefault="003754FE" w:rsidP="003754FE">
      <w:pPr>
        <w:pStyle w:val="TextoNormal"/>
      </w:pPr>
    </w:p>
    <w:p w14:paraId="42F667C7" w14:textId="77777777" w:rsidR="003754FE" w:rsidRDefault="003754FE" w:rsidP="003754FE">
      <w:pPr>
        <w:pStyle w:val="TextoNormal"/>
      </w:pPr>
      <w:r>
        <w:t>f</w:t>
      </w:r>
      <w:r w:rsidRPr="003754FE">
        <w:rPr>
          <w:i/>
        </w:rPr>
        <w:t>) El cambio de paradigma propuesto puede generar consecuencias desconocid</w:t>
      </w:r>
      <w:r>
        <w:t>as</w:t>
      </w:r>
    </w:p>
    <w:p w14:paraId="247CD1F5" w14:textId="77777777" w:rsidR="003754FE" w:rsidRDefault="003754FE" w:rsidP="003754FE">
      <w:pPr>
        <w:pStyle w:val="TextoNormal"/>
      </w:pPr>
    </w:p>
    <w:p w14:paraId="32A13146" w14:textId="77777777" w:rsidR="003754FE" w:rsidRDefault="003754FE" w:rsidP="003754FE">
      <w:pPr>
        <w:pStyle w:val="TextoNormal"/>
      </w:pPr>
      <w:r>
        <w:t>La aparente ubicación de los derechos de la naturaleza en un plano que, si no es superior, sí se coloca en una posición de equivalencia al de los derechos, valores y principios de los seres humanos, lejos de poder ser apreciada como una lectura progresiva del texto constitucional, pudiera derivar en una regresión significativa para los derechos, libertades y, en definitiva, para la calidad de vida de los seres humanos.</w:t>
      </w:r>
    </w:p>
    <w:p w14:paraId="36304B2B" w14:textId="77777777" w:rsidR="003754FE" w:rsidRDefault="003754FE" w:rsidP="003754FE">
      <w:pPr>
        <w:pStyle w:val="TextoNormal"/>
      </w:pPr>
    </w:p>
    <w:p w14:paraId="466C717E" w14:textId="77777777" w:rsidR="003754FE" w:rsidRDefault="003754FE" w:rsidP="003754FE">
      <w:pPr>
        <w:pStyle w:val="TextoNormal"/>
      </w:pPr>
      <w:r>
        <w:t>Según la sentencia de la mayoría, el cambio de paradigma que se introduce en ella supone la convivencia de un “antropocentrismo tradicional” (solo ha faltado afirmar que “trasnochado”) con un “ecocentrismo moderado” (o supuestamente moderado), aunque vista la falta de fundamento de la sentencia no es posible saber si eso es así “por el momento” o hacia dónde puede conducir esa supuesta “progresión”, porque tampoco se aprecia que en la sentencia de la mayoría se haya reflexionado sobre sus consecuencias, ni en la actualidad ni para las generaciones futuras.</w:t>
      </w:r>
    </w:p>
    <w:p w14:paraId="524A3FE0" w14:textId="77777777" w:rsidR="003754FE" w:rsidRDefault="003754FE" w:rsidP="003754FE">
      <w:pPr>
        <w:pStyle w:val="TextoNormal"/>
      </w:pPr>
    </w:p>
    <w:p w14:paraId="0E284A5B" w14:textId="77777777" w:rsidR="003754FE" w:rsidRDefault="003754FE" w:rsidP="003754FE">
      <w:pPr>
        <w:pStyle w:val="TextoNormal"/>
      </w:pPr>
      <w:r>
        <w:t>No se nos ocurre un momento más inidóneo que este, tras los recientes acontecimientos sucedidos en este país, para apostar por un cambio de paradigma en esta materia. La mera insinuación de que algunos entornos naturales pueden oponer sus derechos frente a las personas, que ello justifica que no se alteren los cauces de barrancos o arroyos en zonas ya habitadas o la proliferación de cañaverales, evitando así la adopción de medidas correctoras que pudieran evitar catástrofes naturales, no puede ser valorada desde la perspectiva de una mera cuestión de oportunidad, sino del verdadero calibrado de las consecuencias jurídicas, económicas y sociales del cambio de paradigma propuesto. Unas consecuencias que, por el momento, se desconocen.</w:t>
      </w:r>
    </w:p>
    <w:p w14:paraId="717811E2" w14:textId="77777777" w:rsidR="003754FE" w:rsidRDefault="003754FE" w:rsidP="003754FE">
      <w:pPr>
        <w:pStyle w:val="TextoNormal"/>
      </w:pPr>
    </w:p>
    <w:p w14:paraId="663616E6" w14:textId="77777777" w:rsidR="003754FE" w:rsidRDefault="003754FE" w:rsidP="003754FE">
      <w:pPr>
        <w:pStyle w:val="TextoNormal"/>
      </w:pPr>
      <w:r>
        <w:t>La evidente ineficacia de la configuración y/o de la ejecución de las medidas de protección del Mar Menor no debería conducir al desmantelamiento de estructuras jurídicas básicas que se encuentran en el origen de un sistema normativo e institucional que, a su vez, es la base firme sobre la que se asienta el progreso social, económico y político español y, por extensión, europeo. La propia creación del concepto de “derechos” como categoría jurídica está en la base del Estado de Derecho, que regula las relaciones entre el Estado y los ciudadanos, y de estos entre sí. Conviene no frivolizarlo con una mimetización paradójicamente antropomórfica de los ecosistemas.</w:t>
      </w:r>
    </w:p>
    <w:p w14:paraId="1AA5C041" w14:textId="77777777" w:rsidR="003754FE" w:rsidRDefault="003754FE" w:rsidP="003754FE">
      <w:pPr>
        <w:pStyle w:val="TextoNormal"/>
      </w:pPr>
    </w:p>
    <w:p w14:paraId="1F3A4F58" w14:textId="77777777" w:rsidR="003754FE" w:rsidRDefault="003754FE" w:rsidP="003754FE">
      <w:pPr>
        <w:pStyle w:val="TextoNormal"/>
      </w:pPr>
      <w:r>
        <w:t xml:space="preserve">La historia europea es la historia de una evolución que, con el paso de los siglos, ha avanzado desde una concepción panteísta o animista de su comprensión del mundo, a una cultura racionalista y científica que ha permitido, sin perjuicio del respeto al hecho religioso, alcanzar unas altas cotas de desarrollo a todos los niveles. No debemos cuestionar ese avance. Cierto es que, desde un planteamiento impropiamente antropocéntrico, el medio ambiente se ha concebido en ocasiones como una mera fuente de recursos. Pero, precisamente, el racionalismo y el pensamiento científico actuales no aborda la relación entre el ser humano y la naturaleza desde un enfoque instrumental, sino colaborativo, lo que no implica la equiparación jurídica entre el ser humano y la naturaleza mediante el reconocimiento de una titularidad de derechos. Desde nuestro punto de vista, la mayor o menor </w:t>
      </w:r>
      <w:r>
        <w:lastRenderedPageBreak/>
        <w:t>protección de un determinado espacio natural habrá de ser valorada desde la suficiencia, idoneidad, planificación, desarrollo y ejecución de las concretas medidas protectoras que se determinen, pero no desde la introducción de una figura jurídica que, además de no encontrar respaldo jurídico alguno, dificultará, a buen seguro, la adecuada comprensión y aplicación del marco normativo de protección vigente.</w:t>
      </w:r>
    </w:p>
    <w:p w14:paraId="514BF74E" w14:textId="77777777" w:rsidR="003754FE" w:rsidRDefault="003754FE" w:rsidP="003754FE">
      <w:pPr>
        <w:pStyle w:val="TextoNormal"/>
      </w:pPr>
    </w:p>
    <w:p w14:paraId="2440D18A" w14:textId="77777777" w:rsidR="003754FE" w:rsidRDefault="003754FE" w:rsidP="003754FE">
      <w:pPr>
        <w:pStyle w:val="TextoNormal"/>
      </w:pPr>
      <w:r>
        <w:t>La anoxia del Mar Menor no puede deslizarse hacia una no menos anoxia constitucional y legal que conduzca a la ineficacia real y efectiva de los deberes de protección impuestos por el art. 45 CE. Cuestiones como el necesario respeto al régimen competencial derivado del sistema diseñado por la CE, la indefinición de la naturaleza de la nueva persona jurídica creada, la aparente quiebra del principio de seguridad jurídica, o la nada indisimulada omisión de toda referencia al Derecho de la Unión Europea, son elementos esenciales a ponderar, en el marco de nuestro sistema institucional y legal, y que, conforme a la sentencia mayoritaria, se verán seriamente comprometidos, como se analizará seguidamente. Y, desde luego, lo que en ningún caso cabe ponderar ni debe influir en el juicio de este tribunal, y menos aún hacer suyos, son planteamientos (esos sí, puramente accidentales y de oportunidad) tales como el aparente acuerdo de partidos políticos en aceptar iniciativas de mero esnobismo jurídico no meditadas ni en su corrección jurídica y constitucional ni, menos aún, en sus consecuencias que, además de eventualmente trágicas, pueden implicar, en realidad, una regresión en la protección del medio ambiente.</w:t>
      </w:r>
    </w:p>
    <w:p w14:paraId="2C0C3AA3" w14:textId="77777777" w:rsidR="003754FE" w:rsidRDefault="003754FE" w:rsidP="003754FE">
      <w:pPr>
        <w:pStyle w:val="TextoNormal"/>
      </w:pPr>
    </w:p>
    <w:p w14:paraId="367BBF40" w14:textId="77777777" w:rsidR="003754FE" w:rsidRDefault="003754FE" w:rsidP="003754FE">
      <w:pPr>
        <w:pStyle w:val="TextoNormal"/>
      </w:pPr>
      <w:r>
        <w:t>La conclusión de quienes disentimos de la sentencia de la mayoría es que nada justifica el cambio de paradigma que ahora se introduce y que debe ser bajo las premisas de la interpretación reiterada que se ha hecho por este tribunal del art. 45 CE que se interprete la constitucionalidad de la ley impugnada.</w:t>
      </w:r>
    </w:p>
    <w:p w14:paraId="6BFDFE74" w14:textId="77777777" w:rsidR="003754FE" w:rsidRDefault="003754FE" w:rsidP="003754FE">
      <w:pPr>
        <w:pStyle w:val="TextoNormal"/>
      </w:pPr>
    </w:p>
    <w:p w14:paraId="48DB8721" w14:textId="77777777" w:rsidR="003754FE" w:rsidRDefault="003754FE" w:rsidP="003754FE">
      <w:pPr>
        <w:pStyle w:val="TextoNormal"/>
      </w:pPr>
      <w:r>
        <w:t xml:space="preserve">2. </w:t>
      </w:r>
      <w:r w:rsidRPr="003754FE">
        <w:rPr>
          <w:i/>
        </w:rPr>
        <w:t xml:space="preserve">Extralimitación competencial de la Ley 19/2022 (carácter “básico” de la competencia estatal sobre protección del medio ambiente reconocida en el art. 149.1.23 CE) </w:t>
      </w:r>
    </w:p>
    <w:p w14:paraId="14ECF345" w14:textId="77777777" w:rsidR="003754FE" w:rsidRDefault="003754FE" w:rsidP="003754FE">
      <w:pPr>
        <w:pStyle w:val="TextoNormal"/>
      </w:pPr>
    </w:p>
    <w:p w14:paraId="1DDF84A6" w14:textId="77777777" w:rsidR="003754FE" w:rsidRDefault="003754FE" w:rsidP="003754FE">
      <w:pPr>
        <w:pStyle w:val="TextoNormal"/>
      </w:pPr>
      <w:r>
        <w:t xml:space="preserve">A nuestro juicio, la ley impugnada invade las competencias de la Comunidad Autónoma de la Región de Murcia en materia de protección del medio ambiente (art. 11.3 EARM). La mayoría rechaza esta vulneración competencial aludiendo a pronunciamientos anteriores en los que hemos considerado constitucionales (es decir, básicas </w:t>
      </w:r>
      <w:r w:rsidRPr="003754FE">
        <w:rPr>
          <w:i/>
        </w:rPr>
        <w:t>ex</w:t>
      </w:r>
      <w:r>
        <w:t xml:space="preserve"> art. 149.1.23 CE) medidas de protección del medio ambiente no uniformes y aplicables solamente a una parte del territorio nacional (fundamento jurídico 4, citando, entre otras, la STC 102/1995, de 26 de junio, FJ 21, sobre la competencia del Estado para declarar parques nacionales).</w:t>
      </w:r>
    </w:p>
    <w:p w14:paraId="05419F88" w14:textId="77777777" w:rsidR="003754FE" w:rsidRDefault="003754FE" w:rsidP="003754FE">
      <w:pPr>
        <w:pStyle w:val="TextoNormal"/>
      </w:pPr>
    </w:p>
    <w:p w14:paraId="14CE76DC" w14:textId="77777777" w:rsidR="003754FE" w:rsidRDefault="003754FE" w:rsidP="003754FE">
      <w:pPr>
        <w:pStyle w:val="TextoNormal"/>
      </w:pPr>
      <w:r>
        <w:t>Sin embargo, esta misma doctrina en que se apoya la mayoría hubiera debido conducir a la estimación del motivo de vulneración competencial.</w:t>
      </w:r>
    </w:p>
    <w:p w14:paraId="11DD423E" w14:textId="77777777" w:rsidR="003754FE" w:rsidRDefault="003754FE" w:rsidP="003754FE">
      <w:pPr>
        <w:pStyle w:val="TextoNormal"/>
      </w:pPr>
    </w:p>
    <w:p w14:paraId="5EF1EF3D" w14:textId="77777777" w:rsidR="003754FE" w:rsidRDefault="003754FE" w:rsidP="003754FE">
      <w:pPr>
        <w:pStyle w:val="TextoNormal"/>
      </w:pPr>
      <w:r>
        <w:t xml:space="preserve">El art. 149.1.23 CE permite al Estado establecer la “[l]egislación básica sobre protección del medio ambiente, sin perjuicio de […] las normas adicionales de protección” que pueden aprobar las comunidades autónomas. De acuerdo con nuestra doctrina, esta “legislación básica sobre protección del medio ambiente” consiste en un “común denominador normativo para todos” o una “ordenación mediante mínimos que han de respetarse en todo caso, pero que pueden permitir que las comunidades autónomas con competencias en la materia establezcan niveles de protección más altos”; de este modo, la competencia en materia de protección del medio ambiente opera como “una estratificación de la materia por niveles, donde </w:t>
      </w:r>
      <w:r>
        <w:lastRenderedPageBreak/>
        <w:t>el estatal ha de ser suficiente y homogéneo, pero mejorable por así decirlo para adaptarlo a las circunstancias de cada comunidad autónoma” (STC 102/1995, FJ 9; y en el mismo sentido SSTC 100/2020, de 22 de julio, FJ 4, o 99/2022, de 13 de julio, FJ 3, por citar solo dos entre las más recientes).</w:t>
      </w:r>
    </w:p>
    <w:p w14:paraId="338417E0" w14:textId="77777777" w:rsidR="003754FE" w:rsidRDefault="003754FE" w:rsidP="003754FE">
      <w:pPr>
        <w:pStyle w:val="TextoNormal"/>
      </w:pPr>
    </w:p>
    <w:p w14:paraId="545AB651" w14:textId="77777777" w:rsidR="003754FE" w:rsidRDefault="003754FE" w:rsidP="003754FE">
      <w:pPr>
        <w:pStyle w:val="TextoNormal"/>
      </w:pPr>
      <w:r>
        <w:t>Este carácter “estratificado” y “mejorable” por las comunidades autónomas de la competencia sobre protección del medio ambiente nos ha llevado a considerar que la competencia del Estado para declarar parques nacionales “no significa […] ‘que le quede reservado a aquel la regulación del completo régimen jurídico relativo a esta figura de protección, pues, obvio es, ello desbordaría el reparto competencial en esta materia y no se atendría a nuestra reiterada doctrina sobre el alcance material de la normativa básica’” (STC 102/2013, de 23 de abril, FJ 11, citando la STC 331/2005, de 15 de diciembre, FJ 5).</w:t>
      </w:r>
    </w:p>
    <w:p w14:paraId="25C2F7B7" w14:textId="77777777" w:rsidR="003754FE" w:rsidRDefault="003754FE" w:rsidP="003754FE">
      <w:pPr>
        <w:pStyle w:val="TextoNormal"/>
      </w:pPr>
    </w:p>
    <w:p w14:paraId="3E012A51" w14:textId="77777777" w:rsidR="003754FE" w:rsidRDefault="003754FE" w:rsidP="003754FE">
      <w:pPr>
        <w:pStyle w:val="TextoNormal"/>
      </w:pPr>
      <w:r>
        <w:t>Esto es justamente lo que hace la ley impugnada, en abierta contradicción con nuestra doctrina: regular subrepticiamente “el completo régimen jurídico” de un espacio natural protegido que se encuentra, además, en el interior del territorio de una sola comunidad autónoma, según resulta de la delimitación efectuada en el art. 1 de la ley impugnada. Por tal motivo, nos parece que el Estado se ha extralimitado en el ejercicio de la competencia legislativa exclusivamente “básica” que le reconoce el art. 149.1.23 CE y ha menoscabado la competencia autonómica de desarrollo legislativo y aprobación de “normas adicionales de protección” del medio ambiente garantizada en el art.11.3 EARM.</w:t>
      </w:r>
    </w:p>
    <w:p w14:paraId="0BAA4E1A" w14:textId="77777777" w:rsidR="003754FE" w:rsidRDefault="003754FE" w:rsidP="003754FE">
      <w:pPr>
        <w:pStyle w:val="TextoNormal"/>
      </w:pPr>
    </w:p>
    <w:p w14:paraId="6F24BFA1" w14:textId="77777777" w:rsidR="003754FE" w:rsidRDefault="003754FE" w:rsidP="003754FE">
      <w:pPr>
        <w:pStyle w:val="TextoNormal"/>
      </w:pPr>
      <w:r>
        <w:t xml:space="preserve">3. </w:t>
      </w:r>
      <w:r w:rsidRPr="003754FE">
        <w:rPr>
          <w:i/>
        </w:rPr>
        <w:t>Vulneración del principio de seguridad jurídica (art. 9.3 CE) como consecuencia de la notoria indefinición del régimen jurídico de la nueva personalidad jurídica creada</w:t>
      </w:r>
    </w:p>
    <w:p w14:paraId="600771A2" w14:textId="77777777" w:rsidR="003754FE" w:rsidRDefault="003754FE" w:rsidP="003754FE">
      <w:pPr>
        <w:pStyle w:val="TextoNormal"/>
      </w:pPr>
    </w:p>
    <w:p w14:paraId="3EC1C950" w14:textId="77777777" w:rsidR="003754FE" w:rsidRDefault="003754FE" w:rsidP="003754FE">
      <w:pPr>
        <w:pStyle w:val="TextoNormal"/>
      </w:pPr>
      <w:r>
        <w:t>La sentencia de la que disentimos ha querido pasar por alto que la Ley 19/2022 presenta un contenido más simbólico que normativo, pues responde a uno de esos supuestos, lamentablemente cada vez más frecuentes entre nosotros, de textos legales en los que se produce un vaciamiento del contenido sustantivo propio de las leyes (al actuar el legislador como un poder omnímodo), posibilitando que estas puedan terminar acogiendo decisiones que no están inspiradas en criterios racionales de ordenación general, sino más bien de publicidad o propaganda política.</w:t>
      </w:r>
    </w:p>
    <w:p w14:paraId="6F181A86" w14:textId="77777777" w:rsidR="003754FE" w:rsidRDefault="003754FE" w:rsidP="003754FE">
      <w:pPr>
        <w:pStyle w:val="TextoNormal"/>
      </w:pPr>
    </w:p>
    <w:p w14:paraId="569560A5" w14:textId="77777777" w:rsidR="003754FE" w:rsidRDefault="003754FE" w:rsidP="003754FE">
      <w:pPr>
        <w:pStyle w:val="TextoNormal"/>
      </w:pPr>
      <w:r>
        <w:t>En todo caso, aunque no le corresponde al Tribunal Constitucional evaluar la calidad o perfectibilidad de una determinada opción legislativa, ni el escaso rigor técnico de un texto legal resulta razón bastante para su invalidación (STC 162/2012, de 20 de septiembre, FJ 7), conviene señalar que la Ley 19/2022 va más allá de presentar notorias deficiencias técnicas (acaso fruto de su origen en una iniciativa legislativa popular, no suficientemente depurada en sus aspectos técnicos en razón de su acelerado paso por las Cortes Generales, lo que sin duda merece censura), para incurrir en auténticas quiebras del principio constitucional de seguridad jurídica (art. 9.3 CE).</w:t>
      </w:r>
    </w:p>
    <w:p w14:paraId="6E475746" w14:textId="77777777" w:rsidR="003754FE" w:rsidRDefault="003754FE" w:rsidP="003754FE">
      <w:pPr>
        <w:pStyle w:val="TextoNormal"/>
      </w:pPr>
    </w:p>
    <w:p w14:paraId="19EB9FF4" w14:textId="77777777" w:rsidR="003754FE" w:rsidRDefault="003754FE" w:rsidP="003754FE">
      <w:pPr>
        <w:pStyle w:val="TextoNormal"/>
      </w:pPr>
      <w:r>
        <w:t xml:space="preserve">Esa quiebra de la seguridad jurídica exigible a todo texto legal se produce, en primer término, por el hecho de que la nueva técnica (innecesaria y perturbadora) de protección medioambiental instrumentada por la Ley 19/2022, consistente en dotar de personalidad jurídica (sin definir su naturaleza, como se ha visto) a la laguna del Mar Menor, se superpone a las técnicas de protección preexistentes de este singular ecosistema establecidas por el legislador autonómico, cuya conformidad con la Constitución, por cierto, ya ha sido </w:t>
      </w:r>
      <w:r>
        <w:lastRenderedPageBreak/>
        <w:t>declarada por este tribunal: SSTC 112/2021, de 13 de mayo, y 126/2023, de 27 de septiembre. Esa superposición de instrumentos normativos de protección provocará sin duda dificultades en el momento aplicativo, máxime si se tiene en cuenta las amplias facultades que el art. 6 de la Ley 19/2022 confiere a cualquier persona física o jurídica para actuar en defensa del ecosistema del Mar Menor.</w:t>
      </w:r>
    </w:p>
    <w:p w14:paraId="3BD3972C" w14:textId="77777777" w:rsidR="003754FE" w:rsidRDefault="003754FE" w:rsidP="003754FE">
      <w:pPr>
        <w:pStyle w:val="TextoNormal"/>
      </w:pPr>
    </w:p>
    <w:p w14:paraId="55B79F6D" w14:textId="77777777" w:rsidR="003754FE" w:rsidRDefault="003754FE" w:rsidP="003754FE">
      <w:pPr>
        <w:pStyle w:val="TextoNormal"/>
      </w:pPr>
      <w:r>
        <w:t>La Ley 19/2022 recurre a la ficción jurídica de reconocer personalidad jurídica a un accidente geográfico, la laguna del Mar Menor, buscando atribuirle una serie de potestades en defensa de su propia existencia y recuperación, que, como es obvio, no pueden ser ejercidas por aquel ecosistema marino lagunar, sino que habrán de serlo por los órganos a los que se refiere el art. 3 de la ley. Además, el art. 6 de la ley legitima a cualquier persona física o jurídica para interponer acciones judiciales y administrativas en defensa de dicho ecosistema, lo que la sentencia de la que discrepamos considera como una “especie de poder general universal, conferid</w:t>
      </w:r>
      <w:r w:rsidRPr="003754FE">
        <w:rPr>
          <w:i/>
        </w:rPr>
        <w:t>o ex le</w:t>
      </w:r>
      <w:r>
        <w:t>ge para actuar en interés de la nueva persona jurídica”.</w:t>
      </w:r>
    </w:p>
    <w:p w14:paraId="49B9136B" w14:textId="77777777" w:rsidR="003754FE" w:rsidRDefault="003754FE" w:rsidP="003754FE">
      <w:pPr>
        <w:pStyle w:val="TextoNormal"/>
      </w:pPr>
    </w:p>
    <w:p w14:paraId="191786A5" w14:textId="77777777" w:rsidR="003754FE" w:rsidRDefault="003754FE" w:rsidP="003754FE">
      <w:pPr>
        <w:pStyle w:val="TextoNormal"/>
      </w:pPr>
      <w:r>
        <w:t>Sin embargo, la Ley 19/2022 no concreta si esa originalísima persona jurídica instituida por la suprema voluntad del legislador pertenece al género de las personas jurídico-privadas, es decir, sujetas al Derecho privado, o la de las personas jurídico-públicas, sometidas al Derecho público, y si a este último tipo correspondiere, a qué administración queda adscrita. No se trata de una cuestión menor, sino más bien determinante del régimen jurídico que le es de aplicación a la nueva persona creada por la Ley 19/2022, y no parece que esa insuficiencia legislativa, cuya relevancia resulta innegable, pueda ser válidamente subsanada por un eventual desarrollo reglamentario de la Ley 19/2022 (disposición final primera), pues es al legislador al que corresponde determinar cuál sea la naturaleza de la nueva persona jurídica que ha decidido instituir. En efecto, esta ausencia de determinación legal condiciona, e incluso imposibilita, el correcto desarrollo reglamentario de la Ley 19/2022, pues sin que esta lo disponga no cabe que el reglamento pueda válidamente innovar, estableciendo si la persona jurídica creada por dicha ley se sujeta al Derecho privado o al Derecho público. En el fundamento jurídico 5 c) de la sentencia se reconoce expresamente que la Ley 19/2022 no precisa la naturaleza pública o privada de la nueva persona jurídica que crea, pero luego, sorprendentemente, no se extrae ninguna conclusión de dicha indeterminación, de manera que queda en el limbo cuestión de tamaña relevancia y trascendencia.</w:t>
      </w:r>
    </w:p>
    <w:p w14:paraId="14C7A153" w14:textId="77777777" w:rsidR="003754FE" w:rsidRDefault="003754FE" w:rsidP="003754FE">
      <w:pPr>
        <w:pStyle w:val="TextoNormal"/>
      </w:pPr>
    </w:p>
    <w:p w14:paraId="277E32F8" w14:textId="77777777" w:rsidR="003754FE" w:rsidRDefault="003754FE" w:rsidP="003754FE">
      <w:pPr>
        <w:pStyle w:val="TextoNormal"/>
      </w:pPr>
      <w:r>
        <w:t>La previsión, en el art. 3 de la ley, de tres órganos de “representación y gobernanza” de la laguna del Mar Menor, esto es, el Comité de Representantes (con prevalencia numérica de miembros de la ciudadanía, que “inicialmente” lo serán los miembros del grupo promotor de la iniciativa legislativa popular que ha dado lugar a la Ley 19/2022, en una suerte de “patrimonialización” del cargo), la Comisión de Seguimiento y el Comité Científico, no palía, como es obvio, esa insuficiencia legislativa.</w:t>
      </w:r>
    </w:p>
    <w:p w14:paraId="602C8544" w14:textId="77777777" w:rsidR="003754FE" w:rsidRDefault="003754FE" w:rsidP="003754FE">
      <w:pPr>
        <w:pStyle w:val="TextoNormal"/>
      </w:pPr>
    </w:p>
    <w:p w14:paraId="6B4AACD1" w14:textId="77777777" w:rsidR="003754FE" w:rsidRDefault="003754FE" w:rsidP="003754FE">
      <w:pPr>
        <w:pStyle w:val="TextoNormal"/>
      </w:pPr>
      <w:r>
        <w:t xml:space="preserve">Por lo demás, no podemos dejar de llamar la atención sobre la innegable conexión de la exigencia de seguridad jurídica con la interdicción de la arbitrariedad de los poderes públicos (lo que incluye al legislador), principio reconocido, junto al de legalidad, en el mismo art. 9.3 de la Constitución, lo que conduce a la exigencia de un mínimo de racionalidad legislativa. Ciertamente, como ya hemos señalado, el legislador goza de una amplia libertad de configuración, que deriva en último término de su legitimidad democrática, pero esa libertad del legislador para convertir en ley sus opciones políticas no es omnímoda, sino que debe respetar los límites constitucionales. Libertad de configuración no equivale a </w:t>
      </w:r>
      <w:r>
        <w:lastRenderedPageBreak/>
        <w:t>caprichoso arbitrio. Sin duda las exigencias dimanantes de los principios constitucionales de seguridad jurídica en las leyes y de interdicción de la arbitrariedad en la actuación del legislador imponen, conforme a la tradición ilustrada, que las leyes obedezcan a criterios de racionalidad. Por lo demás, si la Constitución en su art. 103.1 exige a las administraciones públicas (bajo la dirección del poder ejecutivo: art. 97) que sirvan con objetividad los intereses generales y actúen con eficacia y plena sujeción a la Ley y al Derecho, carecería de sentido ser menos exigentes con la labor del legislador, pues está en juego la calidad democrática.</w:t>
      </w:r>
    </w:p>
    <w:p w14:paraId="3CB8EA91" w14:textId="77777777" w:rsidR="003754FE" w:rsidRDefault="003754FE" w:rsidP="003754FE">
      <w:pPr>
        <w:pStyle w:val="TextoNormal"/>
      </w:pPr>
    </w:p>
    <w:p w14:paraId="5FBCC195" w14:textId="77777777" w:rsidR="003754FE" w:rsidRDefault="003754FE" w:rsidP="003754FE">
      <w:pPr>
        <w:pStyle w:val="TextoNormal"/>
      </w:pPr>
      <w:r>
        <w:t xml:space="preserve">4. </w:t>
      </w:r>
      <w:r w:rsidRPr="003754FE">
        <w:rPr>
          <w:i/>
        </w:rPr>
        <w:t>Vulneración del principio de seguridad jurídica (art. 9.3 CE) como consecuencia de la notoria indefinición de los “derechos” del Mar Menor (art. 2) y de la insuficiente disposición derogatoria</w:t>
      </w:r>
    </w:p>
    <w:p w14:paraId="35D62C91" w14:textId="77777777" w:rsidR="003754FE" w:rsidRDefault="003754FE" w:rsidP="003754FE">
      <w:pPr>
        <w:pStyle w:val="TextoNormal"/>
      </w:pPr>
    </w:p>
    <w:p w14:paraId="21A21F07" w14:textId="77777777" w:rsidR="003754FE" w:rsidRDefault="003754FE" w:rsidP="003754FE">
      <w:pPr>
        <w:pStyle w:val="TextoNormal"/>
      </w:pPr>
      <w:r>
        <w:t>La sentencia divide artificiosamente el motivo único de vulneración del principio de seguridad jurídica que los recurrentes dirigían contra dos preceptos conjuntamente: por un lado, el art. 2, que regula y define los “derechos” del Mar Menor, y, por otro, la disposición derogatoria, que dispone simplemente que “se derogan todas las disposiciones contrarias a las disposiciones recogidas en esta ley” (motivo tercero del recurso: págs. 10 a 14 del escrito de interposición).</w:t>
      </w:r>
    </w:p>
    <w:p w14:paraId="370102BA" w14:textId="77777777" w:rsidR="003754FE" w:rsidRDefault="003754FE" w:rsidP="003754FE">
      <w:pPr>
        <w:pStyle w:val="TextoNormal"/>
      </w:pPr>
    </w:p>
    <w:p w14:paraId="7C29BD63" w14:textId="77777777" w:rsidR="003754FE" w:rsidRDefault="003754FE" w:rsidP="003754FE">
      <w:pPr>
        <w:pStyle w:val="TextoNormal"/>
      </w:pPr>
      <w:r>
        <w:t>La sentencia inadmite la impugnación del art. 2 porque la considera una impugnación “preventiva o hipotética” [fundamento jurídico 2 d)]. Y, una vez desgajada esta parte del motivo, desestima la impugnación contra la disposición derogatoria porque la considera una cuestión de “técnica legislativa” que, además, ni siquiera le parece defectuosa, puesto que esa disposición simplemente reproduce —dicen nuestros compañeros— “la norma subsidiaria del art. 2.2 del Código civil” (fundamento jurídico 6).</w:t>
      </w:r>
    </w:p>
    <w:p w14:paraId="64179F67" w14:textId="77777777" w:rsidR="003754FE" w:rsidRDefault="003754FE" w:rsidP="003754FE">
      <w:pPr>
        <w:pStyle w:val="TextoNormal"/>
      </w:pPr>
    </w:p>
    <w:p w14:paraId="3D127557" w14:textId="77777777" w:rsidR="003754FE" w:rsidRDefault="003754FE" w:rsidP="003754FE">
      <w:pPr>
        <w:pStyle w:val="TextoNormal"/>
      </w:pPr>
      <w:r>
        <w:t>a) Como premisa, no podemos aceptar la calificación de la impugnación del art. 2 como “preventiva o hipotética” [fundamento jurídico 2 d)]. Por definición, todo recurso de inconstitucionalidad se dirige contra preceptos legales que no han sido aplicados en un caso real. El objeto de este recurso “abstracto” [por todas, STC 139/2017, de 29 de noviembre, FJ 2 c)] es contrastar esas prescripciones normativas con las establecidas en la norma de superior rango que es la Constitución. Tal como lo expresa el art. 27.1 LOTC “]m]ediante [el recurso de inconstitucionalidad] el Tribunal Constitucional garantiza la primacía de la Constitución y enjuicia la conformidad o disconformidad con ella de las leyes, disposiciones o actos impugnados”.</w:t>
      </w:r>
    </w:p>
    <w:p w14:paraId="2783F8B4" w14:textId="77777777" w:rsidR="003754FE" w:rsidRDefault="003754FE" w:rsidP="003754FE">
      <w:pPr>
        <w:pStyle w:val="TextoNormal"/>
      </w:pPr>
    </w:p>
    <w:p w14:paraId="776F9401" w14:textId="77777777" w:rsidR="003754FE" w:rsidRDefault="003754FE" w:rsidP="003754FE">
      <w:pPr>
        <w:pStyle w:val="TextoNormal"/>
      </w:pPr>
      <w:r>
        <w:t>Por lo tanto, la denuncia de que una ley contiene términos vagos o imprecisos contrarios al mandato de seguridad jurídica del art. 9.3 CE no es una denuncia preventiva “desconectada del precepto” y referida “a posibles, y aun no producidas, aplicaciones” del mismo, como dice la mayoría. Al contrario: es un reproche de inconstitucionalidad dirigido contra la redacción de un precepto legal que es, justamente, el objeto de un recurso abstracto como este enderezado a la “depuración objetiva del ordenamiento mediante la invalidación de la norma inconstitucional” (así, invariablemente desde las SSTC 84/1982, de 23 de diciembre, FJ 1, y 26/1987, de 27 de febrero, FJ 1). De no entenderse así, todos los recursos de inconstitucionalidad incurrirían en este vicio de impugnación preventiva.</w:t>
      </w:r>
    </w:p>
    <w:p w14:paraId="753E907D" w14:textId="77777777" w:rsidR="003754FE" w:rsidRDefault="003754FE" w:rsidP="003754FE">
      <w:pPr>
        <w:pStyle w:val="TextoNormal"/>
      </w:pPr>
    </w:p>
    <w:p w14:paraId="5B930B23" w14:textId="77777777" w:rsidR="003754FE" w:rsidRDefault="003754FE" w:rsidP="003754FE">
      <w:pPr>
        <w:pStyle w:val="TextoNormal"/>
      </w:pPr>
      <w:r>
        <w:lastRenderedPageBreak/>
        <w:t>b) Además, la impugnación conjunta del art. 2 y la disposición derogatoria estaba perfectamente justificada. La absoluta imprecisión de estos dos preceptos, constitutiva por sí sola de infracción constitucional, se agrava como consecuencia del contexto normativo en el que se dicta la Ley 19/2022. Como la propia sentencia reconoce (fundamento jurídico 6), “existe un amplio acervo normativo de tutela ambiental de la laguna [del Mar Menor] y su cuenca”, y, además, los recurrentes “identifican” esas normas en su escrito de interposición. Sin ánimo de exhaustividad, pueden citarse como más relevantes las siguientes:</w:t>
      </w:r>
    </w:p>
    <w:p w14:paraId="4B4D4EF4" w14:textId="77777777" w:rsidR="003754FE" w:rsidRDefault="003754FE" w:rsidP="003754FE">
      <w:pPr>
        <w:pStyle w:val="TextoNormal"/>
      </w:pPr>
    </w:p>
    <w:p w14:paraId="77B329D4" w14:textId="77777777" w:rsidR="003754FE" w:rsidRDefault="003754FE" w:rsidP="003754FE">
      <w:pPr>
        <w:pStyle w:val="TextoNormal"/>
      </w:pPr>
      <w:r>
        <w:t>(i) En primer lugar, las leyes estatales generales de aguas (texto refundido aprobado por Real Decreto Legislativo 1/2001, de 20 de julio), y costas (Ley 22/1988, de 28 de julio), y también otras como la Ley 26/2007, de 23 de octubre, de responsabilidad medioambiental, y la Ley 42/2007, de 13 de diciembre, del patrimonio natural y de la biodiversidad.</w:t>
      </w:r>
    </w:p>
    <w:p w14:paraId="765EE555" w14:textId="77777777" w:rsidR="003754FE" w:rsidRDefault="003754FE" w:rsidP="003754FE">
      <w:pPr>
        <w:pStyle w:val="TextoNormal"/>
      </w:pPr>
    </w:p>
    <w:p w14:paraId="205809F6" w14:textId="77777777" w:rsidR="003754FE" w:rsidRDefault="003754FE" w:rsidP="003754FE">
      <w:pPr>
        <w:pStyle w:val="TextoNormal"/>
      </w:pPr>
      <w:r>
        <w:t>(ii) En segundo lugar, sobre ese mismo espacio son de aplicación algunas leyes y disposiciones autonómicas.</w:t>
      </w:r>
    </w:p>
    <w:p w14:paraId="74EA9343" w14:textId="77777777" w:rsidR="003754FE" w:rsidRDefault="003754FE" w:rsidP="003754FE">
      <w:pPr>
        <w:pStyle w:val="TextoNormal"/>
      </w:pPr>
    </w:p>
    <w:p w14:paraId="5E2FA774" w14:textId="77777777" w:rsidR="003754FE" w:rsidRDefault="003754FE" w:rsidP="003754FE">
      <w:pPr>
        <w:pStyle w:val="TextoNormal"/>
      </w:pPr>
      <w:r>
        <w:t>Por un lado, la comunidad autónoma ha aprobado una ley especial sobre el mismo espacio: la Ley de la Asamblea Regional de Murcia 3/2020, de 27 de julio, de recuperación y protección del Mar Menor, que ha sido declarada constitucional por nuestras SSTC 112/2021, de 13 de mayo, y 126/2023, de 27 de septiembre (esta última desestimado el recurso interpuesto por el presidente del Gobierno contra algunas modificaciones introducidas en aquella por el Decreto-ley  del Gobierno de la Región de Murcia 5/2021, de 27 de agosto).</w:t>
      </w:r>
    </w:p>
    <w:p w14:paraId="2ED583A3" w14:textId="77777777" w:rsidR="003754FE" w:rsidRDefault="003754FE" w:rsidP="003754FE">
      <w:pPr>
        <w:pStyle w:val="TextoNormal"/>
      </w:pPr>
    </w:p>
    <w:p w14:paraId="2804E5F1" w14:textId="77777777" w:rsidR="003754FE" w:rsidRDefault="003754FE" w:rsidP="003754FE">
      <w:pPr>
        <w:pStyle w:val="TextoNormal"/>
      </w:pPr>
      <w:r>
        <w:t>Y, por otro, al amparo de los arts. 43 y 44 de la Ley 42/2007, antes citada, el Gobierno regional, que es el competente para ello, ha declarado el Mar Menor “zona especial de conservación” y “zona de especial protección para las aves” [arts. 1.1 f) y 2.1 del Decreto del Gobierno de la Región de Murcia 259/2019, de 10 de octubre, “Boletín Oficial de la Región de Murcia” (“BORM”) núm. 242, de 19 de octubre de 2019], con el régimen de protección que les es propio. Además, este mismo Decreto 259/2019 ha aprobado el “Plan de gestión integral de los espacios protegidos del Mar Menor y la franja litoral mediterránea de la Región de Murcia” (art. 4) y el “Plan rector de uso y gestión (PRUG) del Parque regional de las Salinas y Arenales de San Pedro del Pinatar” (art. 5), un espacio incluido también dentro del ámbito de aplicación de la ley impugnada y que fue declarado parque regional, al amparo del actual art. 31 de la Ley 42/2007, por la disposición adicional tercera de la Ley de la Asamblea Regional de Murcia 4/1992, de 30 de julio, de ordenación y protección del territorio de la Región de Murcia. En los anexos del Decreto 259/2019 puede apreciarse la coincidencia de estos espacios con la delimitación efectuada en el art. 1 de la Ley 19/2022 (págs. 628 y 725 del “BORM” antes citado, entre otras).</w:t>
      </w:r>
    </w:p>
    <w:p w14:paraId="218FEE80" w14:textId="77777777" w:rsidR="003754FE" w:rsidRDefault="003754FE" w:rsidP="003754FE">
      <w:pPr>
        <w:pStyle w:val="TextoNormal"/>
      </w:pPr>
    </w:p>
    <w:p w14:paraId="6B460E48" w14:textId="77777777" w:rsidR="003754FE" w:rsidRDefault="003754FE" w:rsidP="003754FE">
      <w:pPr>
        <w:pStyle w:val="TextoNormal"/>
      </w:pPr>
      <w:r>
        <w:t xml:space="preserve">(iii) Finalmente, el Mar Menor es también objeto de protección internacional: es humedal de importancia internacional (HII) conforme al Convenio sobre humedales de importancia internacional, especialmente como hábitat de aves acuáticas (Convenio Ramsar: Instrumento de adhesión de 18 de marzo de 1982, publicado en el “BOE” núm. 199, de 20 de agosto de 1982), y es zona especialmente protegida de importancia para el Mediterráneo (ZEPIM) incluida en el lugar denominado “Área del Mar Menor y zona oriental mediterránea de la costa de la Región de Murcia”, al amparo del Convenio para la protección del Mar </w:t>
      </w:r>
      <w:r>
        <w:lastRenderedPageBreak/>
        <w:t>Mediterráneo contra la contaminación y de los protocolos anejos, hecho en Barcelona el 16 de febrero de 1976 (“BOE” núm. 44, de 21 de febrero de 1978).</w:t>
      </w:r>
    </w:p>
    <w:p w14:paraId="5D826D12" w14:textId="77777777" w:rsidR="003754FE" w:rsidRDefault="003754FE" w:rsidP="003754FE">
      <w:pPr>
        <w:pStyle w:val="TextoNormal"/>
      </w:pPr>
    </w:p>
    <w:p w14:paraId="05BFF790" w14:textId="77777777" w:rsidR="003754FE" w:rsidRDefault="003754FE" w:rsidP="003754FE">
      <w:pPr>
        <w:pStyle w:val="TextoNormal"/>
      </w:pPr>
      <w:r>
        <w:t>c) Teniendo presente este entramado normativo que simplemente hemos esbozado para no alargar este voto particular más de lo necesario, constituye una vana petición de principio de la mayoría sostener que la Ley 19/2022 se integra armónicamente en el mismo como “instrumento adicional” dirigido a “la protección del mismo sustrato” (fundamento jurídico 6).</w:t>
      </w:r>
    </w:p>
    <w:p w14:paraId="115706EA" w14:textId="77777777" w:rsidR="003754FE" w:rsidRDefault="003754FE" w:rsidP="003754FE">
      <w:pPr>
        <w:pStyle w:val="TextoNormal"/>
      </w:pPr>
    </w:p>
    <w:p w14:paraId="3C7FA9EE" w14:textId="77777777" w:rsidR="003754FE" w:rsidRDefault="003754FE" w:rsidP="003754FE">
      <w:pPr>
        <w:pStyle w:val="TextoNormal"/>
      </w:pPr>
      <w:r>
        <w:t>Entre la nueva ley y las normas anteriores a ella existen evidentes e importantes contradicciones. Por ejemplo, cabe preguntarse si la Ley 19/2022, como ley especial y posterior, ha derogado las normas generales de responsabilidad medioambiental contenidas en la Ley estatal 26/2007. Puede sostenerse que sí, puesto que según esta nueva ley las obligaciones de “restauración” corren “a cargo de los gobiernos y habitantes ribereños” (art. 2), con exclusión, por tanto, de los causantes del daño, contraviniendo así el principio “quien contamina paga” [arts. 191.2 del Tratado de funcionamiento de la Unión Europea (TFUE) y 45.3 CE], el art. 19 de la Ley 26/2007 y el sentido común. Y cabe preguntarse también si, en su condición de ley estatal “básica” (declarada por su disposición final segunda y confirmada por nuestra sentencia), la Ley 19/2022 prevalece sobre la Ley regional 3/2020, antes citada, y por tanto si subsisten o no las ya de por sí limitadas posibilidades de explotación agrícola autorizadas en esta última ley. Esta Ley 3/2020 fue recurrida precisamente por contener limitaciones a los derechos de propiedad y libertad de empresa de los empresarios agrícolas excesivas y desproporcionadas, aunque tales limitaciones fueron declaradas constitucionales desde la doble perspectiva competencial y sustantiva en la STC 112/2021. A pesar de esta declaración de constitucionalidad, no cabe duda de que estas posibilidades de explotación, por limitadas que sean, vulneran el “derecho” del Mar Menor “a evolucionar naturalmente” [art. 2.2 a)] e implican además un “riesgo” para el mismo [art. 2.2 b)], por lo que parecen proscritas por los preceptos citados. ¿Debe entenderse entonces que los agricultores del Mar Menor legalmente establecidos antes de la Ley 19/2022 han quedado incursos tras su entrada en vigor en la “responsabilidad” aludida en el art. 4 a causa de esta vulneración de los “derechos” establecidos en el art. 2 de la Ley 19/2022? Ni lo resuelve la ley, ni lo explican nuestros compañeros.</w:t>
      </w:r>
    </w:p>
    <w:p w14:paraId="034EA34F" w14:textId="77777777" w:rsidR="003754FE" w:rsidRDefault="003754FE" w:rsidP="003754FE">
      <w:pPr>
        <w:pStyle w:val="TextoNormal"/>
      </w:pPr>
    </w:p>
    <w:p w14:paraId="7770D576" w14:textId="77777777" w:rsidR="003754FE" w:rsidRDefault="003754FE" w:rsidP="003754FE">
      <w:pPr>
        <w:pStyle w:val="TextoNormal"/>
      </w:pPr>
      <w:r>
        <w:t>d) La “seguridad jurídica” que garantiza el art. 9.3 CE consiste en “la certeza sobre la regulación jurídica aplicable” y “la expectativa razonablemente fundada del ciudadano en cuál ha de ser la actuación del poder en la aplicación del Derecho” (recientemente, STC 168/2023, de 22 de noviembre, FJ 6, declarando inconstitucionales varios preceptos legales autonómicos por este motivo, y también STC 135/2018, de 13 de diciembre, FJ 5, anulando por idéntica razón un precepto de la Ley Orgánica del Poder Judicial, ambas con cita de sentencias anteriores). En parecidos términos, hemos considerado que la reserva de ley para la regulación de derechos fundamentales (art. 53.1 CE) impone a las leyes delimitadoras de esos derechos la suficiente “calidad” para que la actuación de los poderes públicos “tenga bajo sus pies un suelo firme de Estado de Derecho, ajeno a la incertidumbre y la arbitrariedad” (STC 76/2019, de 22 de mayo, FFJJ 5 y 8, declarando inconstitucional un precepto de la Ley Orgánica 5/1985, de 19 de junio, del régimen electoral general que no delimitaba con la suficiente precisión las condiciones, límites y garantías de la recopilación de datos por partidos políticos).</w:t>
      </w:r>
    </w:p>
    <w:p w14:paraId="01BFA308" w14:textId="77777777" w:rsidR="003754FE" w:rsidRDefault="003754FE" w:rsidP="003754FE">
      <w:pPr>
        <w:pStyle w:val="TextoNormal"/>
      </w:pPr>
    </w:p>
    <w:p w14:paraId="6203C7AE" w14:textId="77777777" w:rsidR="003754FE" w:rsidRDefault="003754FE" w:rsidP="003754FE">
      <w:pPr>
        <w:pStyle w:val="TextoNormal"/>
      </w:pPr>
      <w:r>
        <w:lastRenderedPageBreak/>
        <w:t>Es verdad que la imprecisión de una ley es una cuestión de grado que no siempre acarrea la vulneración del principio de seguridad jurídica. El empleo de “conceptos jurídicos indeterminados […] de suyo no es contrario a la Constitución” (STC 292/2000, de 30 de noviembre, FJ 2). Y, de la misma manera, existen inevitables imprecisiones legales que pueden salvarse mediante el empleo de las técnicas interpretativas habituales en Derecho [así se entendió, por ejemplo, en el caso de la STC 126/2021, de 3 de junio, FJ 7 b)]. Ahora bien, por debajo de un determinado umbral de calidad y previsibilidad, la ley provoca una “confusión normativa” y una “perplejidad” en los operadores que sí debe conducir a su declaración de inconstitucionalidad, tal como se apreció en la STC 46/1990, de 15 de marzo, FJ 4:</w:t>
      </w:r>
    </w:p>
    <w:p w14:paraId="79066816" w14:textId="77777777" w:rsidR="003754FE" w:rsidRDefault="003754FE" w:rsidP="003754FE">
      <w:pPr>
        <w:pStyle w:val="TextoNormal"/>
      </w:pPr>
    </w:p>
    <w:p w14:paraId="2E068A2C" w14:textId="77777777" w:rsidR="003754FE" w:rsidRDefault="003754FE" w:rsidP="003754FE">
      <w:pPr>
        <w:pStyle w:val="TextoNormal"/>
      </w:pPr>
      <w:r>
        <w:t>“La exigencia del 9.3 relativa al principio de seguridad jurídica implica que el legislador debe perseguir la claridad y no la confusión normativa, debe procurar que acerca de la materia sobre la que se legisle sepan los operadores jurídicos y los ciudadanos a qué atenerse, y debe huir de provocar situaciones objetivamente confusas como la que sin duda se genera en este caso dado el complicadísimo juego de remisiones entre normas que aquí se ha producido. Hay que promover y buscar la certeza respecto a qué es Derecho y no, como en el caso ocurre, provocar juegos y relaciones entre normas como consecuencia de las cuales se introducen perplejidades difícilmente salvables respecto a la previsibilidad de cuál sea el Derecho aplicable, cuáles las consecuencias derivadas de las normas vigentes e incluso cuáles sean estas. La vulneración de la seguridad jurídica es patente y debe ser declarada la inconstitucionalidad también por este motivo”.</w:t>
      </w:r>
    </w:p>
    <w:p w14:paraId="3ED370AC" w14:textId="77777777" w:rsidR="003754FE" w:rsidRDefault="003754FE" w:rsidP="003754FE">
      <w:pPr>
        <w:pStyle w:val="TextoNormal"/>
      </w:pPr>
    </w:p>
    <w:p w14:paraId="1C20FEA4" w14:textId="77777777" w:rsidR="003754FE" w:rsidRDefault="003754FE" w:rsidP="003754FE">
      <w:pPr>
        <w:pStyle w:val="TextoNormal"/>
      </w:pPr>
      <w:r>
        <w:t>Este razonamiento nos parece perfectamente trasladable al supuesto que nos ocupa, y hubiera debido conducir a la declaración de inconstitucionalidad del art. 2 y la disposición derogatoria de la Ley 19/2022, por respetable y elevado que fuera su propósito.</w:t>
      </w:r>
    </w:p>
    <w:p w14:paraId="730FC993" w14:textId="77777777" w:rsidR="003754FE" w:rsidRDefault="003754FE" w:rsidP="003754FE">
      <w:pPr>
        <w:pStyle w:val="TextoNormal"/>
      </w:pPr>
    </w:p>
    <w:p w14:paraId="7D3AAC03" w14:textId="77777777" w:rsidR="003754FE" w:rsidRDefault="003754FE" w:rsidP="003754FE">
      <w:pPr>
        <w:pStyle w:val="TextoNormal"/>
      </w:pPr>
      <w:r>
        <w:t>e) A nuestro juicio, el art. 2 se sitúa por debajo del umbral mínimo de calidad, previsibilidad y certeza que impone el art. 9.3 CE. Este art. 2 reconoce una serie de “derechos” al Mar Menor (“a existir y evolucionar naturalmente” con “respeto a [la] ley ecológica”; a “detener y no autorizar aquellas actividades que supongan un riesgo o perjuicio para el ecosistema”; a la “preservación de especies y hábitats” y a “la gestión”, y, finalmente, “a la restauración” y “reparación” del “daño” producido que “restablezcan la dinámica natural y la resiliencia” de la laguna y sus “servicios ecosistémicos”) definidos en términos tan amplios, vagos e imprecisos que hacen imposible conocer su contenido ni, consiguientemente, planificar la propia conducta y anticipar las consecuencias jurídicas de los propios actos.</w:t>
      </w:r>
    </w:p>
    <w:p w14:paraId="680DAF7A" w14:textId="77777777" w:rsidR="003754FE" w:rsidRDefault="003754FE" w:rsidP="003754FE">
      <w:pPr>
        <w:pStyle w:val="TextoNormal"/>
      </w:pPr>
    </w:p>
    <w:p w14:paraId="5CEC8D01" w14:textId="77777777" w:rsidR="003754FE" w:rsidRDefault="003754FE" w:rsidP="003754FE">
      <w:pPr>
        <w:pStyle w:val="TextoNormal"/>
      </w:pPr>
      <w:r>
        <w:t>Esta no es una mera cuestión de técnica legislativa, como quiere hacer ver la mayoría. Tiene importantes consecuencias. Por un lado, la vulneración de estos derechos “por cualquier autoridad pública, entidad de derecho privado, persona física o persona jurídica, generará responsabilidad penal, civil, ambiental y administrativa” (art. 4), además de la invalidez del acto o actuación en cuestión, pública o privada (art. 5). Y, por otro, “[c]ualquier persona física o jurídica está legitimada” para “hacer valer” estos “derechos” ante tribunales y administraciones, según el art. 6, que obliga así a destinar recursos públicos escasos —personales y materiales— a la quimérica tarea de tutelar estos etéreos e indefinidos “derechos”.</w:t>
      </w:r>
    </w:p>
    <w:p w14:paraId="29901257" w14:textId="77777777" w:rsidR="003754FE" w:rsidRDefault="003754FE" w:rsidP="003754FE">
      <w:pPr>
        <w:pStyle w:val="TextoNormal"/>
      </w:pPr>
    </w:p>
    <w:p w14:paraId="202788B5" w14:textId="77777777" w:rsidR="003754FE" w:rsidRDefault="003754FE" w:rsidP="003754FE">
      <w:pPr>
        <w:pStyle w:val="TextoNormal"/>
      </w:pPr>
      <w:r>
        <w:t xml:space="preserve">Por lo tanto, esta absoluta falta de precisión en una ley que impone obligaciones y reconoce derechos a los ciudadanos constituye una vulneración del art. 9.3 CE (y del art. 53.1) </w:t>
      </w:r>
      <w:r>
        <w:lastRenderedPageBreak/>
        <w:t>que debe ser enjuiciada y declarada por este tribunal, y no reenviada al control de su aplicación por la administración y los tribunales ordinarios implicados, como ha hecho irresponsablemente la mayoría. Y este examen de constitucionalidad debería haber conducido, por la absoluta falta de concreción del art. 2, a su declaración de nulidad por vulneración del art. 9.3 CE.</w:t>
      </w:r>
    </w:p>
    <w:p w14:paraId="4D6FDD22" w14:textId="77777777" w:rsidR="003754FE" w:rsidRDefault="003754FE" w:rsidP="003754FE">
      <w:pPr>
        <w:pStyle w:val="TextoNormal"/>
      </w:pPr>
    </w:p>
    <w:p w14:paraId="7E6C432D" w14:textId="77777777" w:rsidR="003754FE" w:rsidRDefault="003754FE" w:rsidP="003754FE">
      <w:pPr>
        <w:pStyle w:val="TextoNormal"/>
      </w:pPr>
      <w:r>
        <w:t>f) Lo mismo sucede con la disposición derogatoria. El complejo entramado normativo descrito más arriba (internacional, estatal y autonómico; legal y reglamentario) permite poner de manifiesto una primera consideración que, nos parece, salta a la vista: en contra de lo que sugiere la sentencia (fundamento jurídico 3), el lamentable estado de conservación del Mar Menor, que nadie discute, no se debe a la inactividad del legislador o de los poderes públicos estatales o autonómicos, ni a una visión “antropocéntrica” del medio ambiente que se haya revelado insuficiente y deba ser superada por un “ecocentrismo” de cuya eficacia duda la propia mayoría a lo largo de toda la sentencia . Si el legislador estatal verdaderamente quería incrementar la protección ambiental del Mar Menor tenía a su disposición una herramienta sencilla, conocida desde antiguo en nuestro derecho y de acreditada eficacia: podía simplemente declarar el Mar Menor parque nacional, otorgándole así la superior protección ambiental que reconoce nuestro ordenamiento para espacios naturales (cfr. art. 31 de la Ley 42/2007, y Ley 30/2014, de 3 de diciembre, de parques nacionales).</w:t>
      </w:r>
    </w:p>
    <w:p w14:paraId="0E979847" w14:textId="77777777" w:rsidR="003754FE" w:rsidRDefault="003754FE" w:rsidP="003754FE">
      <w:pPr>
        <w:pStyle w:val="TextoNormal"/>
      </w:pPr>
    </w:p>
    <w:p w14:paraId="7E2E2950" w14:textId="77777777" w:rsidR="003754FE" w:rsidRDefault="003754FE" w:rsidP="003754FE">
      <w:pPr>
        <w:pStyle w:val="TextoNormal"/>
      </w:pPr>
      <w:r>
        <w:t>No lo ha hecho así, sin embargo. Ha optado por la novedosa técnica de atribuir “personalidad jurídica” y “derechos” a un espacio natural. En todo caso, esa (supuesta) elevación de la protección ambiental de un espacio sobre el que concurrían múltiples normas, ya citadas, exigía del legislador un mínimo esfuerzo normativo para clarificar la situación posterior a la entrada en vigor de la nueva ley. Así lo hizo, por ejemplo, en una ley coetánea e igualmente ambiciosa: la Ley 7/2021, de 20 de mayo, de cambio climático y transición energética. Con toda naturalidad, esta ley especifica “la norma subsidiaria del art. 2.2 del Código civil” a que alude la mayoría e incluye una serie de disposiciones transitorias sobre las situaciones existentes y consolidadas en el dominio público marítimo-terrestre que la Ley 7/2021 regula novedosamente, por elementales razones de seguridad jurídica.</w:t>
      </w:r>
    </w:p>
    <w:p w14:paraId="67C02B10" w14:textId="77777777" w:rsidR="003754FE" w:rsidRDefault="003754FE" w:rsidP="003754FE">
      <w:pPr>
        <w:pStyle w:val="TextoNormal"/>
      </w:pPr>
    </w:p>
    <w:p w14:paraId="12639770" w14:textId="77777777" w:rsidR="003754FE" w:rsidRDefault="003754FE" w:rsidP="003754FE">
      <w:pPr>
        <w:pStyle w:val="TextoNormal"/>
      </w:pPr>
      <w:r>
        <w:t>Al no hacerlo así en este caso, la Ley 19/2022 ha sumido a todos —ciudadanos, operadores, administraciones y tribunales— en la perplejidad y confusión más absolutas acerca del régimen de protección medioambiental vigente en el Mar Menor y su cuenca delimitados en el art. 1 de la Ley.</w:t>
      </w:r>
    </w:p>
    <w:p w14:paraId="748D3B8C" w14:textId="77777777" w:rsidR="003754FE" w:rsidRDefault="003754FE" w:rsidP="003754FE">
      <w:pPr>
        <w:pStyle w:val="TextoNormal"/>
      </w:pPr>
    </w:p>
    <w:p w14:paraId="59E39766" w14:textId="77777777" w:rsidR="003754FE" w:rsidRDefault="003754FE" w:rsidP="003754FE">
      <w:pPr>
        <w:pStyle w:val="TextoNormal"/>
      </w:pPr>
      <w:r>
        <w:t>g) En fin, por todo lo anterior, nos parece que el art. 2 y la disposición derogatoria de la Ley 19/2022, examinadas conjuntamente en relación con el contexto normativo en que se vienen a integrar, han dado lugar a una situación análoga a la que se apreció en la antes citada STC 46/1990, FJ 4, y que dio lugar a la declaración de inconstitucionalidad de un precepto legal por vulneración del principio de seguridad jurídica del art. 9.3 CE.</w:t>
      </w:r>
    </w:p>
    <w:p w14:paraId="63A0375F" w14:textId="77777777" w:rsidR="003754FE" w:rsidRDefault="003754FE" w:rsidP="003754FE">
      <w:pPr>
        <w:pStyle w:val="TextoNormal"/>
      </w:pPr>
    </w:p>
    <w:p w14:paraId="06C33708" w14:textId="77777777" w:rsidR="003754FE" w:rsidRDefault="003754FE" w:rsidP="003754FE">
      <w:pPr>
        <w:pStyle w:val="TextoNormal"/>
      </w:pPr>
      <w:r>
        <w:t>5</w:t>
      </w:r>
      <w:r w:rsidRPr="003754FE">
        <w:rPr>
          <w:i/>
        </w:rPr>
        <w:t>. Una obligada mirada al Derecho de la Unión Europea … que la sentencia sosla</w:t>
      </w:r>
      <w:r>
        <w:t>ya</w:t>
      </w:r>
    </w:p>
    <w:p w14:paraId="760AEB55" w14:textId="77777777" w:rsidR="003754FE" w:rsidRDefault="003754FE" w:rsidP="003754FE">
      <w:pPr>
        <w:pStyle w:val="TextoNormal"/>
      </w:pPr>
    </w:p>
    <w:p w14:paraId="2114DB38" w14:textId="77777777" w:rsidR="003754FE" w:rsidRDefault="003754FE" w:rsidP="003754FE">
      <w:pPr>
        <w:pStyle w:val="TextoNormal"/>
      </w:pPr>
      <w:r>
        <w:t xml:space="preserve">Es doctrina constitucional consolidada como recuerda, con cita de otras, la STC 81/2020, de 15 de julio, FJ 2, que “el Derecho de la Unión Europea no es en sí mismo canon directo de constitucionalidad en los procesos constitucionales, de modo que la eventual infracción de las normas de la Unión Europea por leyes estatales o autonómicas constituye un conflicto </w:t>
      </w:r>
      <w:r>
        <w:lastRenderedPageBreak/>
        <w:t>de normas que ha de resolverse en el ámbito de la jurisdicción ordinaria y, en su caso, por el Tribunal de Justicia de la Unión Europea (entre otras muchas, SSTC 28/1991, de 14 de febrero, FJ 5; 128/1999, de 1 de julio, FJ 9; 173/2005, de 23 de junio, FJ 9; 135/2012, de 19 de junio, FJ 2; 64/2013, de 14 de marzo, FJ 4, y 76/2019, de 22 de mayo, FJ 3)”.</w:t>
      </w:r>
    </w:p>
    <w:p w14:paraId="5890897A" w14:textId="77777777" w:rsidR="003754FE" w:rsidRDefault="003754FE" w:rsidP="003754FE">
      <w:pPr>
        <w:pStyle w:val="TextoNormal"/>
      </w:pPr>
    </w:p>
    <w:p w14:paraId="7DE33778" w14:textId="77777777" w:rsidR="003754FE" w:rsidRDefault="003754FE" w:rsidP="003754FE">
      <w:pPr>
        <w:pStyle w:val="TextoNormal"/>
      </w:pPr>
      <w:r>
        <w:t>Sin embargo, el respeto a la anterior doctrina constitucional no obsta a que prestar atención a lo dispuesto por el Derecho de la Unión Europea pueda no solo ser útil, sino conveniente, dada la necesidad de una interpretación de las disposiciones legales acorde con las exigenciasde ese ordenamiento. Ese análisis está completamente ausente de la sentencia de la que discrepamos.</w:t>
      </w:r>
    </w:p>
    <w:p w14:paraId="2BB60434" w14:textId="77777777" w:rsidR="003754FE" w:rsidRDefault="003754FE" w:rsidP="003754FE">
      <w:pPr>
        <w:pStyle w:val="TextoNormal"/>
      </w:pPr>
    </w:p>
    <w:p w14:paraId="74B73B7B" w14:textId="77777777" w:rsidR="003754FE" w:rsidRDefault="003754FE" w:rsidP="003754FE">
      <w:pPr>
        <w:pStyle w:val="TextoNormal"/>
      </w:pPr>
      <w:r>
        <w:t>La sentencia no toma en consideración que el art. 3 del Tratado de la Unión Europea incluye entre sus objetivos el de alcanzar un nivel elevado de protección y mejora de la calidad del medio ambiente y el art. 11 del Tratado de Funcionamiento de la Unión Europea (TFUE) recoge su carácter de competencia transversal, al establecer que “[l]as exigencias de la protección del medio ambiente deberán integrarse en la definición y la realización de las políticas y acciones de la Unión, en particular, con objeto de fomentar un desarrollo sostenible”. Así, entre los objetivos que se enumeran en el TFUE cabe citar: la conservación, la protección y la mejora de la calidad del medio ambiente; la protección de la salud de las personas; la utilización prudente y racional de los recursos naturales, y el fomento de las medidas a escala internacional destinadas a hacer frente a los problemas regionales o mundiales del medio ambiente y, en particular, a luchar contra el cambio climático. Se incluyen también algunos principios que deben inspirar el conjunto de técnicas para desarrollar, como el de cautela y acción preventiva, el de corrección de los atentados al medio ambiente y el no menos importante de “quien contamina paga”.</w:t>
      </w:r>
    </w:p>
    <w:p w14:paraId="0BBF68CE" w14:textId="77777777" w:rsidR="003754FE" w:rsidRDefault="003754FE" w:rsidP="003754FE">
      <w:pPr>
        <w:pStyle w:val="TextoNormal"/>
      </w:pPr>
    </w:p>
    <w:p w14:paraId="6EC4F9E3" w14:textId="77777777" w:rsidR="003754FE" w:rsidRDefault="003754FE" w:rsidP="003754FE">
      <w:pPr>
        <w:pStyle w:val="TextoNormal"/>
      </w:pPr>
      <w:r>
        <w:t>Particularmente relevante en este aspecto resulta lo dispuesto en los arts. 191 a 193 TFUE, en los que se desarrollan las políticas medioambientales, régimen que debe entenderse como un estándar de protección mínima, entre el que se encuentra el ya citado principio de que “quien contamina paga”, expresamente incluido en el art. 191.2 TFUE. Como es conocido, dicho principio impone al agente contaminante, por una parte, la obligación de hacer frente a los gastos derivados de la contaminación que ha causado y, por otra, también le obliga a reparar los daños causados por la ejecución de las medidas de prevención y control de la contaminación que las administraciones puedan imponer para evitar la degradación del medio ambiente. Conecta así con la imposición de deberes de reparación que deriva del art. 45.3 de la Constitución, conforme al cual la obligación de reparar el daño causado debe recaer sobre los que han llevado a cabo una utilización irracional de los recursos naturales.</w:t>
      </w:r>
    </w:p>
    <w:p w14:paraId="20E22BC9" w14:textId="77777777" w:rsidR="003754FE" w:rsidRDefault="003754FE" w:rsidP="003754FE">
      <w:pPr>
        <w:pStyle w:val="TextoNormal"/>
      </w:pPr>
    </w:p>
    <w:p w14:paraId="268A153D" w14:textId="77777777" w:rsidR="003754FE" w:rsidRDefault="003754FE" w:rsidP="003754FE">
      <w:pPr>
        <w:pStyle w:val="TextoNormal"/>
      </w:pPr>
      <w:r>
        <w:t>Como acabamos de comprobar, la protección del medioambiente ha merecido una respuesta enérgica por parte de la Unión Europea. Sin embargo, pese a su importancia, nada de esto se contempla en la sentencia de la que discrepamos y tampoco, antes al contrario, en la propia Ley 19/2022, pese a que se trata de una iniciativa legislativa sin precedentes en Europa, según la sentencia enfatiza, deslizándose hacia modelos de otros ordenamientos jurídicos absolutamente desconectados del nuestro.</w:t>
      </w:r>
    </w:p>
    <w:p w14:paraId="13760283" w14:textId="77777777" w:rsidR="003754FE" w:rsidRDefault="003754FE" w:rsidP="003754FE">
      <w:pPr>
        <w:pStyle w:val="TextoNormal"/>
      </w:pPr>
    </w:p>
    <w:p w14:paraId="73ADF954" w14:textId="77777777" w:rsidR="003754FE" w:rsidRDefault="003754FE" w:rsidP="003754FE">
      <w:pPr>
        <w:pStyle w:val="TextoNormal"/>
      </w:pPr>
      <w:r>
        <w:t xml:space="preserve">El resultado es que la perspectiva respecto al problema constitucional que debía resolverse en la sentencia queda sesgada y limitada, en tanto que no es completa, al eludir, siquiera como contexto, al Derecho de la Unión Europea y su mandato de obtención de un </w:t>
      </w:r>
      <w:r>
        <w:lastRenderedPageBreak/>
        <w:t>nivel elevado de protección ambiental (mientras que, por el contrario, en el prolijo fundamento jurídico 3, se hace referencia a normas de diversos ordenamientos extranjeros insertos en un contexto muy diferente del europeo). En particular, está ausente cualquier consideración respecto al ya mencionado principio de que “quien contamina paga”. De hecho, el art. 2.1 de la Ley 19/2022 reconoce al Mar Menor y su cuenca el derecho “a la protección, conservación, mantenimiento y, en su caso, restauración, a cargo de los gobiernos y los habitantes ribereños”. Ese derecho a la restauración implica, según el art. 2.2 d) “acciones de reparación en la laguna y su cuenca vertiente, que restablezcan la dinámica natural y la resiliencia, así como los servicios ecosistémicos asociados”. Es decir, lo que parece pretenderse es que sean los habitantes ribereños (habrá que entender que son los residentes permanentes y turistas), junto a los “gobiernos” (más precisamente las administraciones públicas competentes), los que pechen con tales obligaciones y corran con los gastos de restauración. Con ello se obvia que no todas las personas contaminan de igual manera ni se benefician en el mismo grado de la explotación ambiental y se desconoce la asignación de costes y la intervención de los poderes públicos que tal principio conlleva. De suerte que se llega, por tanto, a contravenir el Derecho de la Unión Europea en materia de responsabilidad ambiental y el propio art. 45.3 de la Constitución.</w:t>
      </w:r>
    </w:p>
    <w:p w14:paraId="47B2EB38" w14:textId="77777777" w:rsidR="003754FE" w:rsidRPr="003754FE" w:rsidRDefault="003754FE" w:rsidP="003754FE">
      <w:pPr>
        <w:pStyle w:val="TextoNormal"/>
        <w:rPr>
          <w:i/>
        </w:rPr>
      </w:pPr>
    </w:p>
    <w:p w14:paraId="50CAE7D1" w14:textId="77777777" w:rsidR="003754FE" w:rsidRDefault="003754FE" w:rsidP="003754FE">
      <w:pPr>
        <w:pStyle w:val="TextoNormal"/>
      </w:pPr>
      <w:r w:rsidRPr="003754FE">
        <w:rPr>
          <w:i/>
        </w:rPr>
        <w:t>6. Conclu</w:t>
      </w:r>
      <w:r>
        <w:t>sión</w:t>
      </w:r>
    </w:p>
    <w:p w14:paraId="1BC30247" w14:textId="77777777" w:rsidR="003754FE" w:rsidRDefault="003754FE" w:rsidP="003754FE">
      <w:pPr>
        <w:pStyle w:val="TextoNormal"/>
      </w:pPr>
    </w:p>
    <w:p w14:paraId="2CA7CF04" w14:textId="77777777" w:rsidR="003754FE" w:rsidRDefault="003754FE" w:rsidP="003754FE">
      <w:pPr>
        <w:pStyle w:val="TextoNormal"/>
      </w:pPr>
      <w:r>
        <w:t>Por todas las razones expuestas, los magistrados que suscribimos este voto consideramos:</w:t>
      </w:r>
    </w:p>
    <w:p w14:paraId="4F31C47E" w14:textId="77777777" w:rsidR="003754FE" w:rsidRDefault="003754FE" w:rsidP="003754FE">
      <w:pPr>
        <w:pStyle w:val="TextoNormal"/>
      </w:pPr>
    </w:p>
    <w:p w14:paraId="0FAFD005" w14:textId="77777777" w:rsidR="003754FE" w:rsidRDefault="003754FE" w:rsidP="003754FE">
      <w:pPr>
        <w:pStyle w:val="TextoNormal"/>
      </w:pPr>
      <w:r>
        <w:t>a) que la sentencia de la mayoría plantea un cambio de paradigma injustificado hacia un “ecocentrismo” en la interpretación del art. 45 CE que es ajeno a nuestra tradición jurídica, principios y valores (art. 1.1 CE) y puede tener además imprevisibles y peligrosas consecuencias;</w:t>
      </w:r>
    </w:p>
    <w:p w14:paraId="3B9E864E" w14:textId="77777777" w:rsidR="003754FE" w:rsidRDefault="003754FE" w:rsidP="003754FE">
      <w:pPr>
        <w:pStyle w:val="TextoNormal"/>
      </w:pPr>
    </w:p>
    <w:p w14:paraId="2533A5D3" w14:textId="77777777" w:rsidR="003754FE" w:rsidRDefault="003754FE" w:rsidP="003754FE">
      <w:pPr>
        <w:pStyle w:val="TextoNormal"/>
      </w:pPr>
      <w:r>
        <w:t>b) que la Ley 19/2022 rebasa el ámbito exclusivamente “básico” que el art. 149.1.23 CE reserva a la legislación del Estado en materia de protección del medio ambiente al regular el completo régimen jurídico de un espacio natural protegido;</w:t>
      </w:r>
    </w:p>
    <w:p w14:paraId="01250A1C" w14:textId="77777777" w:rsidR="003754FE" w:rsidRDefault="003754FE" w:rsidP="003754FE">
      <w:pPr>
        <w:pStyle w:val="TextoNormal"/>
      </w:pPr>
    </w:p>
    <w:p w14:paraId="4B17D8B9" w14:textId="77777777" w:rsidR="003754FE" w:rsidRDefault="003754FE" w:rsidP="003754FE">
      <w:pPr>
        <w:pStyle w:val="TextoNormal"/>
      </w:pPr>
      <w:r>
        <w:t>c) que la falta de concreción de la naturaleza jurídico-pública o jurídico-privada de la persona jurídica creada por la ley (art. 1), de sus órganos rectores (art. 3), del contenido de los “derechos” a ella reconocidos (art. 2) y de la relación de esta nueva ley con otras leyes, reglamentos y normas internacionales aplicables sobre el mismo espacio a los que se superpone (disposición derogatoria) vulnera el principio de seguridad jurídica (art. 9.3 CE);</w:t>
      </w:r>
    </w:p>
    <w:p w14:paraId="36530298" w14:textId="77777777" w:rsidR="003754FE" w:rsidRDefault="003754FE" w:rsidP="003754FE">
      <w:pPr>
        <w:pStyle w:val="TextoNormal"/>
      </w:pPr>
    </w:p>
    <w:p w14:paraId="50136485" w14:textId="77777777" w:rsidR="003754FE" w:rsidRDefault="003754FE" w:rsidP="003754FE">
      <w:pPr>
        <w:pStyle w:val="TextoNormal"/>
      </w:pPr>
      <w:r>
        <w:t>d) y, finalmente, que la Ley 19/2022 vulnera también el Derecho de la Unión Europea y, en particular, el principio “quien contamina paga” de los arts. 191.2 TFUE y 45.3 CE.</w:t>
      </w:r>
    </w:p>
    <w:p w14:paraId="1E406D26" w14:textId="77777777" w:rsidR="003754FE" w:rsidRDefault="003754FE" w:rsidP="003754FE">
      <w:pPr>
        <w:pStyle w:val="TextoNormal"/>
      </w:pPr>
    </w:p>
    <w:p w14:paraId="502BFDD1" w14:textId="77777777" w:rsidR="003754FE" w:rsidRDefault="003754FE" w:rsidP="003754FE">
      <w:pPr>
        <w:pStyle w:val="TextoNormal"/>
      </w:pPr>
      <w:r>
        <w:t>Y en este sentido emitimos este voto particular.</w:t>
      </w:r>
    </w:p>
    <w:p w14:paraId="3BB3294B" w14:textId="77777777" w:rsidR="003754FE" w:rsidRDefault="003754FE" w:rsidP="003754FE">
      <w:pPr>
        <w:pStyle w:val="TextoNormal"/>
      </w:pPr>
    </w:p>
    <w:p w14:paraId="079C133A" w14:textId="6343F3EB" w:rsidR="003754FE" w:rsidRDefault="003754FE" w:rsidP="003754FE">
      <w:pPr>
        <w:pStyle w:val="TextoNormal"/>
      </w:pPr>
      <w:r>
        <w:t>Madrid, a veintisiete de noviembre de dos mil veinticuatro.</w:t>
      </w:r>
    </w:p>
    <w:p w14:paraId="05C0A212" w14:textId="4A1631EE" w:rsidR="003754FE" w:rsidRDefault="003754FE">
      <w:pPr>
        <w:spacing w:after="160" w:line="278" w:lineRule="auto"/>
        <w:rPr>
          <w:rFonts w:ascii="Times New Roman" w:eastAsia="Times New Roman" w:hAnsi="Times New Roman" w:cs="Times New Roman"/>
          <w:sz w:val="24"/>
          <w:szCs w:val="24"/>
          <w:lang w:eastAsia="es-ES"/>
        </w:rPr>
      </w:pPr>
      <w:r>
        <w:br w:type="page"/>
      </w:r>
    </w:p>
    <w:p w14:paraId="31E0B58F" w14:textId="77777777" w:rsidR="003754FE" w:rsidRDefault="003754FE" w:rsidP="003754FE">
      <w:pPr>
        <w:pStyle w:val="TtuloResolucin"/>
      </w:pPr>
      <w:bookmarkStart w:id="52" w:name="SENTENCIA_2024_143"/>
      <w:r>
        <w:lastRenderedPageBreak/>
        <w:t>SENTENCIA 143/2024, de 20 de noviembre de 2024</w:t>
      </w:r>
    </w:p>
    <w:bookmarkEnd w:id="52"/>
    <w:p w14:paraId="5201AC31" w14:textId="77777777" w:rsidR="003754FE" w:rsidRDefault="003754FE" w:rsidP="003754FE">
      <w:pPr>
        <w:pStyle w:val="TtuloResolucin"/>
      </w:pPr>
      <w:r>
        <w:t>Pleno</w:t>
      </w:r>
    </w:p>
    <w:p w14:paraId="5F836848" w14:textId="77777777" w:rsidR="003754FE" w:rsidRDefault="003754FE" w:rsidP="003754FE">
      <w:pPr>
        <w:pStyle w:val="TtuloBOE"/>
      </w:pPr>
      <w:r>
        <w:t>(BOE núm. 311, de 26 de diciembre de 2024)</w:t>
      </w:r>
    </w:p>
    <w:p w14:paraId="28FCACC8" w14:textId="77777777" w:rsidR="003754FE" w:rsidRDefault="003754FE" w:rsidP="003754FE">
      <w:pPr>
        <w:pStyle w:val="TextoNormalCentrado"/>
      </w:pPr>
      <w:r>
        <w:t>ECLI:ES:TC:2024:143</w:t>
      </w:r>
    </w:p>
    <w:p w14:paraId="108DD4B0" w14:textId="2C252B58" w:rsidR="003754FE" w:rsidRDefault="003754FE" w:rsidP="003754FE">
      <w:pPr>
        <w:pStyle w:val="TextoNormalCentrado"/>
      </w:pPr>
    </w:p>
    <w:p w14:paraId="401CA356" w14:textId="77777777" w:rsidR="003754FE" w:rsidRDefault="003754FE" w:rsidP="003754FE">
      <w:pPr>
        <w:pStyle w:val="SntesisDescriptiva"/>
      </w:pPr>
      <w:r>
        <w:t>Impugnación de disposiciones autonómicas 2159-2024. Formulada por el Gobierno de la Nación en relación con el acuerdo de la mesa del Parlamento de Cataluña por el que se admite a trámite la iniciativa legislativa popular “Proposición de ley de declaración de la independencia de Cataluña”.</w:t>
      </w:r>
    </w:p>
    <w:p w14:paraId="07320AB8" w14:textId="0093C5EC" w:rsidR="003754FE" w:rsidRDefault="003754FE" w:rsidP="003754FE">
      <w:pPr>
        <w:pStyle w:val="SntesisDescriptiva"/>
      </w:pPr>
    </w:p>
    <w:p w14:paraId="5E614471" w14:textId="77777777" w:rsidR="003754FE" w:rsidRDefault="003754FE" w:rsidP="003754FE">
      <w:pPr>
        <w:pStyle w:val="SntesisAnaltica"/>
      </w:pPr>
      <w:r>
        <w:t>Reforma constitucional e iniciativa legislativa popular: incumplimiento por la mesa del Parlamento de Cataluña del deber de inadmisión de una iniciativa legislativa popular cuyo contenido no puede tener cabida a través de una iniciativa legislativa autonómica. Voto particular.</w:t>
      </w:r>
    </w:p>
    <w:p w14:paraId="3A3A5E97" w14:textId="2CD0B94B" w:rsidR="003754FE" w:rsidRDefault="003754FE" w:rsidP="003754FE">
      <w:pPr>
        <w:pStyle w:val="SntesisAnaltica"/>
      </w:pPr>
    </w:p>
    <w:p w14:paraId="4D0A7705" w14:textId="764EC6A3" w:rsidR="003754FE" w:rsidRDefault="003754FE" w:rsidP="003754FE">
      <w:pPr>
        <w:pStyle w:val="Extracto"/>
      </w:pPr>
      <w:r>
        <w:t>1.</w:t>
      </w:r>
      <w:r>
        <w:tab/>
        <w:t>Una iniciativa legislativa popular sólo puede ser admitida a trámite y, con ello, contraer sus efectos jurídicos al procedimiento parlamentario y a los sujetos legitimados a participar en el mismo, una vez que se concluye que la proposición de ley en su momento presentada por sus promotores cumple en tiempo y forma con el requisito de la legitimación para su formulación (ATC 135/2004) [FJ 2].</w:t>
      </w:r>
    </w:p>
    <w:p w14:paraId="4A109F08" w14:textId="77777777" w:rsidR="003754FE" w:rsidRDefault="003754FE" w:rsidP="003754FE">
      <w:pPr>
        <w:pStyle w:val="Extracto"/>
      </w:pPr>
    </w:p>
    <w:p w14:paraId="12EBBF05" w14:textId="063BFBEB" w:rsidR="003754FE" w:rsidRDefault="003754FE" w:rsidP="003754FE">
      <w:pPr>
        <w:pStyle w:val="Extracto"/>
      </w:pPr>
      <w:r>
        <w:t>2.</w:t>
      </w:r>
      <w:r>
        <w:tab/>
        <w:t xml:space="preserve">La inicial decisión de la Cámara, calificada de “preadmisión a trámite”, proyecta de manera diferida sus efectos </w:t>
      </w:r>
      <w:r w:rsidRPr="003754FE">
        <w:rPr>
          <w:i/>
        </w:rPr>
        <w:t xml:space="preserve">ad intra </w:t>
      </w:r>
      <w:r>
        <w:t>de la Cámara en el procedimiento parlamentario en que se inserta, pues es posteriormente cuando se certifica que ha sido suscrita por el número de ciudadanos que prevé la ley. Solo a partir de ese momento estamos propiamente ante una proposición de ley que se presenta ante los órganos de gobierno de la Cámara, sin que la mesa de la asamblea respectiva pueda hacer otra cosa, entonces, que tomar conocimiento de que la iniciativa popular se ha perfeccionado, y cumple la totalidad de los requisitos exigidos; igual que debe limitarse a verificar su regularidad formal y su viabilidad procedimental [FJ 2].</w:t>
      </w:r>
    </w:p>
    <w:p w14:paraId="09009F4B" w14:textId="77777777" w:rsidR="003754FE" w:rsidRDefault="003754FE" w:rsidP="003754FE">
      <w:pPr>
        <w:pStyle w:val="Extracto"/>
      </w:pPr>
    </w:p>
    <w:p w14:paraId="2ACA55D1" w14:textId="154E70B3" w:rsidR="003754FE" w:rsidRDefault="003754FE" w:rsidP="003754FE">
      <w:pPr>
        <w:pStyle w:val="Extracto"/>
      </w:pPr>
      <w:r>
        <w:t>3.</w:t>
      </w:r>
      <w:r>
        <w:tab/>
        <w:t>La función de admisión a trámite de las iniciativas legislativas populares que corresponde a la mesa del Parlamento autonómico despliega sus efectos en una doble dirección: de inicio, lo hace en un procedimiento previsto para el ejercicio del derecho fundamental de los ciudadanos a participar directamente en los asuntos públicos, con la implicación de órganos e instituciones ajenos al Parlamento, y dirigido a la cumplimentación del requisito de la legitimación para perfeccionar la proposición de ley fruto de esa iniciativa; y después lo hace en el seno de la cámara legislativa, una vez producido ese perfeccionamiento [FJ 2].</w:t>
      </w:r>
    </w:p>
    <w:p w14:paraId="0A357E13" w14:textId="77777777" w:rsidR="003754FE" w:rsidRDefault="003754FE" w:rsidP="003754FE">
      <w:pPr>
        <w:pStyle w:val="Extracto"/>
      </w:pPr>
    </w:p>
    <w:p w14:paraId="405BBE42" w14:textId="580A37C0" w:rsidR="003754FE" w:rsidRDefault="003754FE" w:rsidP="003754FE">
      <w:pPr>
        <w:pStyle w:val="Extracto"/>
      </w:pPr>
      <w:r>
        <w:t>4.</w:t>
      </w:r>
      <w:r>
        <w:tab/>
        <w:t>En el trámite de admisión de la iniciativa legislativa popular, la Mesa del Parlamento autonómico viene obligada a valorar el contenido de la proposición de ley para determinar si excede los límites materiales que se prevén expresamente en la normativa; además de otros límites evidentes, incluida la doctrina de este Tribunal Constitucional definida a partir de disposiciones legales con un contenido sustancialmente equiparable a la de esa proposición de ley [FJ 3].</w:t>
      </w:r>
    </w:p>
    <w:p w14:paraId="5E143B24" w14:textId="77777777" w:rsidR="003754FE" w:rsidRDefault="003754FE" w:rsidP="003754FE">
      <w:pPr>
        <w:pStyle w:val="Extracto"/>
      </w:pPr>
    </w:p>
    <w:p w14:paraId="7BFC796E" w14:textId="5C3C98EF" w:rsidR="003754FE" w:rsidRDefault="003754FE" w:rsidP="003754FE">
      <w:pPr>
        <w:pStyle w:val="Extracto"/>
      </w:pPr>
      <w:r>
        <w:lastRenderedPageBreak/>
        <w:t>5.</w:t>
      </w:r>
      <w:r>
        <w:tab/>
        <w:t>La Mesa del Parlamento autonómico puede y debe inadmitir una proposición de ley sin daño para el derecho de participación política de los proponentes de la iniciativa, si incurre ésta en contradicción palmaria y evidente con la Constitución (SSTC 109/2016, 115/2019 y 15/2022) [FJ 3].</w:t>
      </w:r>
    </w:p>
    <w:p w14:paraId="44CD0614" w14:textId="77777777" w:rsidR="003754FE" w:rsidRDefault="003754FE" w:rsidP="003754FE">
      <w:pPr>
        <w:pStyle w:val="Extracto"/>
      </w:pPr>
    </w:p>
    <w:p w14:paraId="23B5E7E9" w14:textId="77777777" w:rsidR="003754FE" w:rsidRDefault="003754FE" w:rsidP="003754FE">
      <w:pPr>
        <w:pStyle w:val="Extracto"/>
      </w:pPr>
    </w:p>
    <w:p w14:paraId="14C5445A"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3BB655DB" w14:textId="2BA5DABD" w:rsidR="003754FE" w:rsidRDefault="003754FE" w:rsidP="003754FE">
      <w:pPr>
        <w:pStyle w:val="TextoNormal"/>
      </w:pPr>
    </w:p>
    <w:p w14:paraId="5D174CD7" w14:textId="77777777" w:rsidR="003754FE" w:rsidRDefault="003754FE" w:rsidP="003754FE">
      <w:pPr>
        <w:pStyle w:val="TextoNormalCentrado"/>
        <w:keepNext/>
      </w:pPr>
      <w:r>
        <w:t>EN NOMBRE DEL REY</w:t>
      </w:r>
    </w:p>
    <w:p w14:paraId="0536596C" w14:textId="11113B29" w:rsidR="003754FE" w:rsidRDefault="003754FE" w:rsidP="003754FE">
      <w:pPr>
        <w:pStyle w:val="TextoNormalCentrado"/>
        <w:keepNext/>
      </w:pPr>
    </w:p>
    <w:p w14:paraId="29C1EB7C" w14:textId="77777777" w:rsidR="003754FE" w:rsidRDefault="003754FE" w:rsidP="003754FE">
      <w:pPr>
        <w:pStyle w:val="TextoNormalCentrado"/>
        <w:keepNext/>
      </w:pPr>
    </w:p>
    <w:p w14:paraId="61711627" w14:textId="77777777" w:rsidR="003754FE" w:rsidRDefault="003754FE" w:rsidP="003754FE">
      <w:pPr>
        <w:pStyle w:val="TextoNormal"/>
      </w:pPr>
      <w:r>
        <w:t>la siguiente</w:t>
      </w:r>
    </w:p>
    <w:p w14:paraId="0E5BFBCD" w14:textId="79D7A8BB" w:rsidR="003754FE" w:rsidRDefault="003754FE" w:rsidP="003754FE">
      <w:pPr>
        <w:pStyle w:val="TextoNormal"/>
      </w:pPr>
    </w:p>
    <w:p w14:paraId="4A01B001" w14:textId="77777777" w:rsidR="003754FE" w:rsidRDefault="003754FE" w:rsidP="003754FE">
      <w:pPr>
        <w:pStyle w:val="TextoNormalCentrado"/>
        <w:keepNext/>
      </w:pPr>
      <w:r>
        <w:t>SENTENCIA</w:t>
      </w:r>
    </w:p>
    <w:p w14:paraId="1403932A" w14:textId="68316522" w:rsidR="003754FE" w:rsidRDefault="003754FE" w:rsidP="003754FE">
      <w:pPr>
        <w:pStyle w:val="TextoNormalCentrado"/>
        <w:keepNext/>
      </w:pPr>
    </w:p>
    <w:p w14:paraId="02673148" w14:textId="77777777" w:rsidR="003754FE" w:rsidRDefault="003754FE" w:rsidP="003754FE">
      <w:pPr>
        <w:pStyle w:val="TextoNormal"/>
      </w:pPr>
      <w:r>
        <w:t>En la impugnación de disposiciones autonómicas núm. 2159-2024, promovida por el Gobierno de la Nación, en relación con el acuerdo de la mesa del Parlamento de Cataluña, de 20 de febrero de 2024, por el que se admite a trámite la iniciativa legislativa popular relativa a la “Proposición de ley de declaración de la independencia de Cataluña”. Ha sido ponente el magistrado don Enrique Arnaldo Alcubilla.</w:t>
      </w:r>
    </w:p>
    <w:p w14:paraId="38631CCD" w14:textId="45E52271" w:rsidR="003754FE" w:rsidRDefault="003754FE" w:rsidP="003754FE">
      <w:pPr>
        <w:pStyle w:val="TextoNormal"/>
      </w:pPr>
    </w:p>
    <w:p w14:paraId="48C6FC6B" w14:textId="77777777" w:rsidR="003754FE" w:rsidRDefault="003754FE" w:rsidP="003754FE">
      <w:pPr>
        <w:pStyle w:val="TextoNormalNegritaCentrado"/>
        <w:keepNext/>
      </w:pPr>
      <w:r>
        <w:t>I. Antecedentes</w:t>
      </w:r>
    </w:p>
    <w:p w14:paraId="402585FC" w14:textId="7A91DC8D" w:rsidR="003754FE" w:rsidRDefault="003754FE" w:rsidP="003754FE">
      <w:pPr>
        <w:pStyle w:val="TextoNormalNegritaCentrado"/>
        <w:keepNext/>
      </w:pPr>
    </w:p>
    <w:p w14:paraId="6A1369DE" w14:textId="77777777" w:rsidR="003754FE" w:rsidRDefault="003754FE" w:rsidP="003754FE">
      <w:pPr>
        <w:pStyle w:val="TextoNormal"/>
      </w:pPr>
      <w:r w:rsidRPr="003754FE">
        <w:rPr>
          <w:rStyle w:val="NumeroAFNegritaCaracter"/>
        </w:rPr>
        <w:t>1</w:t>
      </w:r>
      <w:r>
        <w:t>. Mediante escrito registrado en el Tribunal Constitucional el 27 de marzo de 2024, el abogado del Estado, en representación del Gobierno de la Nación, impugnó al amparo de los arts. 161.2 CE y 76 y 77 de la Ley Orgánica del Tribunal Constitucional (LOTC) el acuerdo de la mesa del Parlamento de Cataluña, de 20 de febrero de 2024 (publicado en el “Butlletí Oficial del Parlament de Catalunya” núm. 771, de 22 de febrero de 2024), que admite a trámite una iniciativa legislativa popular nominada “Proposición de ley de declaración de la independencia de Cataluña”. De acuerdo con la decisión del Consejo de Ministros, la demanda hizo expresa invocación del art. 161.2 CE y del segundo inciso del art. 77 LOTC, a efectos de la suspensión del acuerdo impugnado.</w:t>
      </w:r>
    </w:p>
    <w:p w14:paraId="49365726" w14:textId="77777777" w:rsidR="003754FE" w:rsidRDefault="003754FE" w:rsidP="003754FE">
      <w:pPr>
        <w:pStyle w:val="TextoNormal"/>
      </w:pPr>
    </w:p>
    <w:p w14:paraId="0F47D3A7" w14:textId="77777777" w:rsidR="003754FE" w:rsidRDefault="003754FE" w:rsidP="003754FE">
      <w:pPr>
        <w:pStyle w:val="TextoNormal"/>
      </w:pPr>
      <w:r>
        <w:t xml:space="preserve">El acuerdo mencionado tiene el siguiente tenor literal en el único texto oficial, en lengua catalana: </w:t>
      </w:r>
    </w:p>
    <w:p w14:paraId="04243EE7" w14:textId="77777777" w:rsidR="003754FE" w:rsidRDefault="003754FE" w:rsidP="003754FE">
      <w:pPr>
        <w:pStyle w:val="TextoNormal"/>
      </w:pPr>
    </w:p>
    <w:p w14:paraId="1FD14498" w14:textId="77777777" w:rsidR="003754FE" w:rsidRDefault="003754FE" w:rsidP="003754FE">
      <w:pPr>
        <w:pStyle w:val="TextoNormal"/>
      </w:pPr>
      <w:r>
        <w:t xml:space="preserve">“Acord: vist el que estableixen els articles del’1 al 6 de la Llei 1/2006, de 16 de febrer, de la iniciativa legislativa popular, i 111.d i concordants del Reglament s’acorda d’admetre a tràmit la iniciativa; així mateix, de conformitat amb l’article 6.5 de la Llei 1/2006, de 16 de febrer, de la iniciativa legislativa popular, s’acorda de comunicar-ho a la comissió de control i a la comissió promotora de la iniciativa legislativa popular, perquè la perfeccioni </w:t>
      </w:r>
      <w:r>
        <w:lastRenderedPageBreak/>
        <w:t>amb la recollida d’un mínim de 50 000 signatures degudament autenticades, d’acord amb el que disposa la damunt dita llei”.</w:t>
      </w:r>
    </w:p>
    <w:p w14:paraId="7335E27C" w14:textId="77777777" w:rsidR="003754FE" w:rsidRDefault="003754FE" w:rsidP="003754FE">
      <w:pPr>
        <w:pStyle w:val="TextoNormal"/>
      </w:pPr>
    </w:p>
    <w:p w14:paraId="5B4C04E2" w14:textId="77777777" w:rsidR="003754FE" w:rsidRDefault="003754FE" w:rsidP="003754FE">
      <w:pPr>
        <w:pStyle w:val="TextoNormal"/>
      </w:pPr>
      <w:r>
        <w:t>En su versión en castellano, según la traducción aportada por la Abogacía del Estado, el acuerdo impugnado dice así:</w:t>
      </w:r>
    </w:p>
    <w:p w14:paraId="375D9E0A" w14:textId="77777777" w:rsidR="003754FE" w:rsidRDefault="003754FE" w:rsidP="003754FE">
      <w:pPr>
        <w:pStyle w:val="TextoNormal"/>
      </w:pPr>
    </w:p>
    <w:p w14:paraId="7317160C" w14:textId="77777777" w:rsidR="003754FE" w:rsidRDefault="003754FE" w:rsidP="003754FE">
      <w:pPr>
        <w:pStyle w:val="TextoNormal"/>
      </w:pPr>
      <w:r>
        <w:t>“Acuerdo: visto lo que establecen los artículos 1 al 6 de la Ley 1/2006, de 16 de febrero, de la iniciativa legislativa popular, y 111.d y concordantes del Reglamento se acuerda admitir a trámite la iniciativa; asimismo, de conformidad con el artículo 6.5 de la Ley 1/2006, de 16 de febrero, de la iniciativa legislativa popular, se acuerda comunicarlo a la comisión de control y a la comisión promotora de la iniciativa legislativa popular, para que la perfeccione con la recogida de un mínimo de 50 000 firmas debidamente autenticadas, de acuerdo con lo dispuesto en dicha ley”.</w:t>
      </w:r>
    </w:p>
    <w:p w14:paraId="74A7425E" w14:textId="77777777" w:rsidR="003754FE" w:rsidRDefault="003754FE" w:rsidP="003754FE">
      <w:pPr>
        <w:pStyle w:val="TextoNormal"/>
      </w:pPr>
    </w:p>
    <w:p w14:paraId="2135B271" w14:textId="77777777" w:rsidR="003754FE" w:rsidRDefault="003754FE" w:rsidP="003754FE">
      <w:pPr>
        <w:pStyle w:val="TextoNormal"/>
      </w:pPr>
      <w:r>
        <w:t>A continuación, tras el acuerdo transcrito, se incluye en el “Butlletí Oficial del Parlament de Catalunya” núm. 771 el texto de la denominada “Proposición de ley de declaración de la independencia de Cataluña”, que tiene el siguiente contenido:</w:t>
      </w:r>
    </w:p>
    <w:p w14:paraId="6488BA6A" w14:textId="77777777" w:rsidR="003754FE" w:rsidRDefault="003754FE" w:rsidP="003754FE">
      <w:pPr>
        <w:pStyle w:val="TextoNormal"/>
      </w:pPr>
    </w:p>
    <w:p w14:paraId="622C5AD3" w14:textId="77777777" w:rsidR="003754FE" w:rsidRDefault="003754FE" w:rsidP="003754FE">
      <w:pPr>
        <w:pStyle w:val="TextoNormal"/>
      </w:pPr>
      <w:r>
        <w:t xml:space="preserve">“Proposició de llei de declaració d’independència de Catalunya </w:t>
      </w:r>
    </w:p>
    <w:p w14:paraId="11CE423C" w14:textId="77777777" w:rsidR="003754FE" w:rsidRDefault="003754FE" w:rsidP="003754FE">
      <w:pPr>
        <w:pStyle w:val="TextoNormal"/>
      </w:pPr>
    </w:p>
    <w:p w14:paraId="2C7F905C" w14:textId="77777777" w:rsidR="003754FE" w:rsidRDefault="003754FE" w:rsidP="003754FE">
      <w:pPr>
        <w:pStyle w:val="TextoNormal"/>
      </w:pPr>
      <w:r>
        <w:t xml:space="preserve">Antecedents </w:t>
      </w:r>
    </w:p>
    <w:p w14:paraId="714C529A" w14:textId="77777777" w:rsidR="003754FE" w:rsidRDefault="003754FE" w:rsidP="003754FE">
      <w:pPr>
        <w:pStyle w:val="TextoNormal"/>
      </w:pPr>
    </w:p>
    <w:p w14:paraId="282F9A5B" w14:textId="77777777" w:rsidR="003754FE" w:rsidRDefault="003754FE" w:rsidP="003754FE">
      <w:pPr>
        <w:pStyle w:val="TextoNormal"/>
      </w:pPr>
      <w:r>
        <w:t>Estableix l’article 1.2 de la Carta de l’Organització de les Nacions Unides, que els propòsits de les Nacions Unides són ‘[f]omentar entre les nacions relacions d’amistat basades en el respecte en el principi de la igualtat de drets i el de la lliure determinació dels pobles’. A l’article 55 diu: ‘Amb el propòsit de crear les condicions d’estabilitat i benestar necessàries per les relacions pacífiques i amistoses entre les nacions, basades en el respecte al principi de la igualtat de drets i el de la lliure determinació dels pobles, l’organització promourà:</w:t>
      </w:r>
    </w:p>
    <w:p w14:paraId="75D32992" w14:textId="77777777" w:rsidR="003754FE" w:rsidRDefault="003754FE" w:rsidP="003754FE">
      <w:pPr>
        <w:pStyle w:val="TextoNormal"/>
      </w:pPr>
    </w:p>
    <w:p w14:paraId="0B37731A" w14:textId="77777777" w:rsidR="003754FE" w:rsidRDefault="003754FE" w:rsidP="003754FE">
      <w:pPr>
        <w:pStyle w:val="TextoNormal"/>
      </w:pPr>
      <w:r>
        <w:t>a) Nivells de vida més elevats, treball permanent per a tothom i condicions de progrés i desenvolupament econòmic i social;</w:t>
      </w:r>
    </w:p>
    <w:p w14:paraId="75904BDD" w14:textId="77777777" w:rsidR="003754FE" w:rsidRDefault="003754FE" w:rsidP="003754FE">
      <w:pPr>
        <w:pStyle w:val="TextoNormal"/>
      </w:pPr>
    </w:p>
    <w:p w14:paraId="15EF2634" w14:textId="77777777" w:rsidR="003754FE" w:rsidRDefault="003754FE" w:rsidP="003754FE">
      <w:pPr>
        <w:pStyle w:val="TextoNormal"/>
      </w:pPr>
      <w:r>
        <w:t>b) La solució de problemes internacionals de caràcter econòmic, social i sanitari, i d’altres problemes relacionats; i la cooperació internacional en l’ordre cultural i educatiu; i</w:t>
      </w:r>
    </w:p>
    <w:p w14:paraId="20CB2487" w14:textId="77777777" w:rsidR="003754FE" w:rsidRDefault="003754FE" w:rsidP="003754FE">
      <w:pPr>
        <w:pStyle w:val="TextoNormal"/>
      </w:pPr>
    </w:p>
    <w:p w14:paraId="6E72FA81" w14:textId="77777777" w:rsidR="003754FE" w:rsidRDefault="003754FE" w:rsidP="003754FE">
      <w:pPr>
        <w:pStyle w:val="TextoNormal"/>
      </w:pPr>
      <w:r>
        <w:t>c) El respecte universal als drets humans i les llibertats fonamentals de tothom, sense distinció per motius de raça, sexe, idioma o religió, i l’efectivitat de tals drets i llibertats’.</w:t>
      </w:r>
    </w:p>
    <w:p w14:paraId="5FEBEF76" w14:textId="77777777" w:rsidR="003754FE" w:rsidRDefault="003754FE" w:rsidP="003754FE">
      <w:pPr>
        <w:pStyle w:val="TextoNormal"/>
      </w:pPr>
    </w:p>
    <w:p w14:paraId="72AEA6E4" w14:textId="77777777" w:rsidR="003754FE" w:rsidRDefault="003754FE" w:rsidP="003754FE">
      <w:pPr>
        <w:pStyle w:val="TextoNormal"/>
      </w:pPr>
      <w:r>
        <w:t xml:space="preserve">De manera reiterada, el Parlament de Catalunya ha aprovat resolucions sobre el dret d’autodeterminació de Catalunya, exercint així competència en aquesta matèria, que ha assumit com a pròpia. Per totes, cal esmentar, la primera: </w:t>
      </w:r>
    </w:p>
    <w:p w14:paraId="5007A7D3" w14:textId="77777777" w:rsidR="003754FE" w:rsidRDefault="003754FE" w:rsidP="003754FE">
      <w:pPr>
        <w:pStyle w:val="TextoNormal"/>
      </w:pPr>
    </w:p>
    <w:p w14:paraId="66DB4369" w14:textId="77777777" w:rsidR="003754FE" w:rsidRDefault="003754FE" w:rsidP="003754FE">
      <w:pPr>
        <w:pStyle w:val="TextoNormal"/>
      </w:pPr>
      <w:r>
        <w:t>Resolució 98/III sobre el dret d’autodeterminació de la Nació catalana, de 12 de desembre de 1989:</w:t>
      </w:r>
    </w:p>
    <w:p w14:paraId="58110F01" w14:textId="77777777" w:rsidR="003754FE" w:rsidRDefault="003754FE" w:rsidP="003754FE">
      <w:pPr>
        <w:pStyle w:val="TextoNormal"/>
      </w:pPr>
    </w:p>
    <w:p w14:paraId="4B342457" w14:textId="77777777" w:rsidR="003754FE" w:rsidRDefault="003754FE" w:rsidP="003754FE">
      <w:pPr>
        <w:pStyle w:val="TextoNormal"/>
      </w:pPr>
      <w:r>
        <w:t>‘El Parlament de Catalunya:</w:t>
      </w:r>
    </w:p>
    <w:p w14:paraId="2F9F3A67" w14:textId="77777777" w:rsidR="003754FE" w:rsidRDefault="003754FE" w:rsidP="003754FE">
      <w:pPr>
        <w:pStyle w:val="TextoNormal"/>
      </w:pPr>
    </w:p>
    <w:p w14:paraId="05D10767" w14:textId="77777777" w:rsidR="003754FE" w:rsidRDefault="003754FE" w:rsidP="003754FE">
      <w:pPr>
        <w:pStyle w:val="TextoNormal"/>
      </w:pPr>
      <w:r>
        <w:lastRenderedPageBreak/>
        <w:t>– Manifesta que l’acatament del marc institucional vigent, resultat del procés de transició política des de la dictadura a la democràcia, no significa la renúncia del poble català al dret a l’autodeterminació, tal com estableixen els principis dels organismes internacionals i es dedueix del preàmbul de l’Estatut d’Autonomia de Catalunya de 1979.</w:t>
      </w:r>
    </w:p>
    <w:p w14:paraId="3B86B557" w14:textId="77777777" w:rsidR="003754FE" w:rsidRDefault="003754FE" w:rsidP="003754FE">
      <w:pPr>
        <w:pStyle w:val="TextoNormal"/>
      </w:pPr>
    </w:p>
    <w:p w14:paraId="6758ADF6" w14:textId="77777777" w:rsidR="003754FE" w:rsidRDefault="003754FE" w:rsidP="003754FE">
      <w:pPr>
        <w:pStyle w:val="TextoNormal"/>
      </w:pPr>
      <w:r>
        <w:t>– Afirma, com a conseqüència, que en el moment que ho cregui oportú i a través de les actuacions previstes en el mateix ordenament constitucional, podria incrementar les cotes autogovern fins allà on cregui convenient i, en general, adequar la regulació dels drets nacionals a les circumstàncies de cada moment històric’.</w:t>
      </w:r>
    </w:p>
    <w:p w14:paraId="0F3C352F" w14:textId="77777777" w:rsidR="003754FE" w:rsidRDefault="003754FE" w:rsidP="003754FE">
      <w:pPr>
        <w:pStyle w:val="TextoNormal"/>
      </w:pPr>
    </w:p>
    <w:p w14:paraId="2466DBD7" w14:textId="77777777" w:rsidR="003754FE" w:rsidRDefault="003754FE" w:rsidP="003754FE">
      <w:pPr>
        <w:pStyle w:val="TextoNormal"/>
      </w:pPr>
      <w:r>
        <w:t>Finalment, cal tenir present la sentència del Tribunal Penal Internacional referent a Kosovo, on per primera vegada es reconeix que la declaració unilateral d’independència s’ajusta a la legalitat internacional.</w:t>
      </w:r>
    </w:p>
    <w:p w14:paraId="0F5FD0F3" w14:textId="77777777" w:rsidR="003754FE" w:rsidRDefault="003754FE" w:rsidP="003754FE">
      <w:pPr>
        <w:pStyle w:val="TextoNormal"/>
      </w:pPr>
    </w:p>
    <w:p w14:paraId="46CBA342" w14:textId="77777777" w:rsidR="003754FE" w:rsidRDefault="003754FE" w:rsidP="003754FE">
      <w:pPr>
        <w:pStyle w:val="TextoNormal"/>
      </w:pPr>
      <w:r>
        <w:t>Exposició de motius</w:t>
      </w:r>
    </w:p>
    <w:p w14:paraId="5B60B6FC" w14:textId="77777777" w:rsidR="003754FE" w:rsidRDefault="003754FE" w:rsidP="003754FE">
      <w:pPr>
        <w:pStyle w:val="TextoNormal"/>
      </w:pPr>
    </w:p>
    <w:p w14:paraId="64366E46" w14:textId="77777777" w:rsidR="003754FE" w:rsidRDefault="003754FE" w:rsidP="003754FE">
      <w:pPr>
        <w:pStyle w:val="TextoNormal"/>
      </w:pPr>
      <w:r>
        <w:t>La pertinença de Catalunya a l’Estat espanyol ha portat la Nació catalana a una profunda crisi moral, cultural, econòmica, institucional i d’identitat. L’agressió que ha significat la sentència del Tribunal Constitucional espanyol sobre l’Estatut ha confirmat que l’autonomisme condemna el país a l’extinció i que la relació amb Espanya no és fruit d’un pacte entre iguals sinó d’una situació de dominació. Després de més de quaranta anys de règim constitucional espanyol, una majoria de la societat catalana ja expressa inequívocament la seva voluntat de superar el sistema autonòmic i constituir un Estat català al si de la Unió Europea.</w:t>
      </w:r>
    </w:p>
    <w:p w14:paraId="5C3141EC" w14:textId="77777777" w:rsidR="003754FE" w:rsidRDefault="003754FE" w:rsidP="003754FE">
      <w:pPr>
        <w:pStyle w:val="TextoNormal"/>
      </w:pPr>
    </w:p>
    <w:p w14:paraId="653549FA" w14:textId="77777777" w:rsidR="003754FE" w:rsidRDefault="003754FE" w:rsidP="003754FE">
      <w:pPr>
        <w:pStyle w:val="TextoNormal"/>
      </w:pPr>
      <w:r>
        <w:t>La independència de Catalunya és l’única alternativa viable per a la continuïtat del projecte nacional català i per garantir el benestar dels catalans i les catalanes, davant d’una Espanya pètria decidida, com sempre, a uniformitzar les nacions no espanyoles i assimilar-les, i en la que qualsevol temptativa federal, de recuperació estatutària, o de concert econòmic, tenint en compte la impossibilitat de reformar la Constitució, representa una fantasia irrealitzable, una aventura irresponsable perquè depèn de la voluntat dels espanyols. Només la independència és assolible, perquè només la independència depèn exclusivament de la voluntat majoritària del poble català.</w:t>
      </w:r>
    </w:p>
    <w:p w14:paraId="3E806716" w14:textId="77777777" w:rsidR="003754FE" w:rsidRDefault="003754FE" w:rsidP="003754FE">
      <w:pPr>
        <w:pStyle w:val="TextoNormal"/>
      </w:pPr>
    </w:p>
    <w:p w14:paraId="6266715F" w14:textId="77777777" w:rsidR="003754FE" w:rsidRDefault="003754FE" w:rsidP="003754FE">
      <w:pPr>
        <w:pStyle w:val="TextoNormal"/>
      </w:pPr>
      <w:r>
        <w:t>La sentència del Tribunal Constitucional culmina la reducció de Catalunya a una comunitat autònoma de règim comú. El procés va començar amb el Cop d’Estat del 23 de febrer de 1981 i ha frustrat les esperances posades en el restabliment de la Generalitat abolida el 1714 i el retorn del seu president a l’exili des de 1939.</w:t>
      </w:r>
    </w:p>
    <w:p w14:paraId="2C72C0F9" w14:textId="77777777" w:rsidR="003754FE" w:rsidRDefault="003754FE" w:rsidP="003754FE">
      <w:pPr>
        <w:pStyle w:val="TextoNormal"/>
      </w:pPr>
    </w:p>
    <w:p w14:paraId="12DEFBB9" w14:textId="77777777" w:rsidR="003754FE" w:rsidRDefault="003754FE" w:rsidP="003754FE">
      <w:pPr>
        <w:pStyle w:val="TextoNormal"/>
      </w:pPr>
      <w:r>
        <w:t>La modificació unilateral de l’Estatut aprovat pel poble català en referèndum fa impossible restablir-lo amb cap altra llei, ni cap altra mesura. Només queda la submissió a l’acte de força espanyol i resignar-se a ser una mera regió espanyola, o acollir-se a la legalitat internacional per proclamar la independència.</w:t>
      </w:r>
    </w:p>
    <w:p w14:paraId="306B214A" w14:textId="77777777" w:rsidR="003754FE" w:rsidRDefault="003754FE" w:rsidP="003754FE">
      <w:pPr>
        <w:pStyle w:val="TextoNormal"/>
      </w:pPr>
    </w:p>
    <w:p w14:paraId="7F5A0AF5" w14:textId="77777777" w:rsidR="003754FE" w:rsidRDefault="003754FE" w:rsidP="003754FE">
      <w:pPr>
        <w:pStyle w:val="TextoNormal"/>
      </w:pPr>
      <w:r>
        <w:t xml:space="preserve">La reducció de Catalunya al règim autonòmic general s’ha aplicat, sobretot, en el finançament de la Generalitat i la manca de despesa pública estatal a Catalunya. Aquest fet ha provocat un dèficit crònic insostenible a la balança fiscal entre Catalunya i l’Estat Espanyol, </w:t>
      </w:r>
      <w:r>
        <w:lastRenderedPageBreak/>
        <w:t>al voltant del 10 per 100 del PIB anual, uns 22 000 milions d’euros (3000 € per català i any que se’n van a Espanya i no tornen a Catalunya).</w:t>
      </w:r>
    </w:p>
    <w:p w14:paraId="48205212" w14:textId="77777777" w:rsidR="003754FE" w:rsidRDefault="003754FE" w:rsidP="003754FE">
      <w:pPr>
        <w:pStyle w:val="TextoNormal"/>
      </w:pPr>
    </w:p>
    <w:p w14:paraId="06D59D9E" w14:textId="77777777" w:rsidR="003754FE" w:rsidRDefault="003754FE" w:rsidP="003754FE">
      <w:pPr>
        <w:pStyle w:val="TextoNormal"/>
      </w:pPr>
      <w:r>
        <w:t>Des de 1978 ha continuat la minorització de la llengua i la cultura catalana perquè Espanya no reconeix la territorialitat de la llengua i cultura catalana. La Constitució espanyola tracta els catalans com a minoria lingüística dins el seu propi país. Només la immersió lingüística a les escoles aplicava el principi de la territorialitat, però aquesta mesura ja ha estat invalidada per les sentències del Tribunal Suprem espanyol que ordenen la reintroducció de la llengua castellana en tot l’ensenyament.</w:t>
      </w:r>
    </w:p>
    <w:p w14:paraId="14FB7464" w14:textId="77777777" w:rsidR="003754FE" w:rsidRDefault="003754FE" w:rsidP="003754FE">
      <w:pPr>
        <w:pStyle w:val="TextoNormal"/>
      </w:pPr>
    </w:p>
    <w:p w14:paraId="3E11EBCC" w14:textId="77777777" w:rsidR="003754FE" w:rsidRDefault="003754FE" w:rsidP="003754FE">
      <w:pPr>
        <w:pStyle w:val="TextoNormal"/>
      </w:pPr>
      <w:r>
        <w:t>La llengua i la cultura catalana es troben en una situació límit que no garanteix la seva supervivència. Només un Estat propi pot invertir la tendència a la minorització a què ens aboca la dependència.</w:t>
      </w:r>
    </w:p>
    <w:p w14:paraId="35923329" w14:textId="77777777" w:rsidR="003754FE" w:rsidRDefault="003754FE" w:rsidP="003754FE">
      <w:pPr>
        <w:pStyle w:val="TextoNormal"/>
      </w:pPr>
    </w:p>
    <w:p w14:paraId="4E2C6F50" w14:textId="77777777" w:rsidR="003754FE" w:rsidRDefault="003754FE" w:rsidP="003754FE">
      <w:pPr>
        <w:pStyle w:val="TextoNormal"/>
      </w:pPr>
      <w:r>
        <w:t>Tot altre projecte que no sigui la proclamació unilateral de la independència és inviable i generarà impotència i frustració. Només la proclamació d’independència és viable perquè significa construir una nova legalitat amb el vot de seixanta-vuit diputats catalans i ha estat avalada per la Cort Internacional de Justícia de l’ONU.</w:t>
      </w:r>
    </w:p>
    <w:p w14:paraId="23D208F4" w14:textId="77777777" w:rsidR="003754FE" w:rsidRDefault="003754FE" w:rsidP="003754FE">
      <w:pPr>
        <w:pStyle w:val="TextoNormal"/>
      </w:pPr>
    </w:p>
    <w:p w14:paraId="75B6B75C" w14:textId="77777777" w:rsidR="003754FE" w:rsidRDefault="003754FE" w:rsidP="003754FE">
      <w:pPr>
        <w:pStyle w:val="TextoNormal"/>
      </w:pPr>
      <w:r>
        <w:t>Proposició de llei</w:t>
      </w:r>
    </w:p>
    <w:p w14:paraId="44A8E984" w14:textId="77777777" w:rsidR="003754FE" w:rsidRDefault="003754FE" w:rsidP="003754FE">
      <w:pPr>
        <w:pStyle w:val="TextoNormal"/>
      </w:pPr>
    </w:p>
    <w:p w14:paraId="4030FB32" w14:textId="77777777" w:rsidR="003754FE" w:rsidRDefault="003754FE" w:rsidP="003754FE">
      <w:pPr>
        <w:pStyle w:val="TextoNormal"/>
      </w:pPr>
      <w:r>
        <w:t>Article 1</w:t>
      </w:r>
    </w:p>
    <w:p w14:paraId="4BCEFCD4" w14:textId="77777777" w:rsidR="003754FE" w:rsidRDefault="003754FE" w:rsidP="003754FE">
      <w:pPr>
        <w:pStyle w:val="TextoNormal"/>
      </w:pPr>
    </w:p>
    <w:p w14:paraId="726FB05A" w14:textId="77777777" w:rsidR="003754FE" w:rsidRDefault="003754FE" w:rsidP="003754FE">
      <w:pPr>
        <w:pStyle w:val="TextoNormal"/>
      </w:pPr>
      <w:r>
        <w:t>Catalunya és una Nació.</w:t>
      </w:r>
    </w:p>
    <w:p w14:paraId="7C653883" w14:textId="77777777" w:rsidR="003754FE" w:rsidRDefault="003754FE" w:rsidP="003754FE">
      <w:pPr>
        <w:pStyle w:val="TextoNormal"/>
      </w:pPr>
    </w:p>
    <w:p w14:paraId="7A1065D6" w14:textId="77777777" w:rsidR="003754FE" w:rsidRDefault="003754FE" w:rsidP="003754FE">
      <w:pPr>
        <w:pStyle w:val="TextoNormal"/>
      </w:pPr>
      <w:r>
        <w:t>Article 2</w:t>
      </w:r>
    </w:p>
    <w:p w14:paraId="73D4DA48" w14:textId="77777777" w:rsidR="003754FE" w:rsidRDefault="003754FE" w:rsidP="003754FE">
      <w:pPr>
        <w:pStyle w:val="TextoNormal"/>
      </w:pPr>
    </w:p>
    <w:p w14:paraId="3608DB8C" w14:textId="77777777" w:rsidR="003754FE" w:rsidRDefault="003754FE" w:rsidP="003754FE">
      <w:pPr>
        <w:pStyle w:val="TextoNormal"/>
      </w:pPr>
      <w:r>
        <w:t>El poble de Catalunya és l’únic titular de la sobirania nacional.</w:t>
      </w:r>
    </w:p>
    <w:p w14:paraId="58CBAD58" w14:textId="77777777" w:rsidR="003754FE" w:rsidRDefault="003754FE" w:rsidP="003754FE">
      <w:pPr>
        <w:pStyle w:val="TextoNormal"/>
      </w:pPr>
    </w:p>
    <w:p w14:paraId="7AF9CC9A" w14:textId="77777777" w:rsidR="003754FE" w:rsidRDefault="003754FE" w:rsidP="003754FE">
      <w:pPr>
        <w:pStyle w:val="TextoNormal"/>
      </w:pPr>
      <w:r>
        <w:t>Article 3</w:t>
      </w:r>
    </w:p>
    <w:p w14:paraId="7CAFB87B" w14:textId="77777777" w:rsidR="003754FE" w:rsidRDefault="003754FE" w:rsidP="003754FE">
      <w:pPr>
        <w:pStyle w:val="TextoNormal"/>
      </w:pPr>
    </w:p>
    <w:p w14:paraId="0D4483C8" w14:textId="77777777" w:rsidR="003754FE" w:rsidRDefault="003754FE" w:rsidP="003754FE">
      <w:pPr>
        <w:pStyle w:val="TextoNormal"/>
      </w:pPr>
      <w:r>
        <w:t>El Parlament de Catalunya és el representant democràticament elegit del poble de Catalunya.</w:t>
      </w:r>
    </w:p>
    <w:p w14:paraId="0E79400C" w14:textId="77777777" w:rsidR="003754FE" w:rsidRDefault="003754FE" w:rsidP="003754FE">
      <w:pPr>
        <w:pStyle w:val="TextoNormal"/>
      </w:pPr>
    </w:p>
    <w:p w14:paraId="3B2AFEF8" w14:textId="77777777" w:rsidR="003754FE" w:rsidRDefault="003754FE" w:rsidP="003754FE">
      <w:pPr>
        <w:pStyle w:val="TextoNormal"/>
      </w:pPr>
      <w:r>
        <w:t>Article 4</w:t>
      </w:r>
    </w:p>
    <w:p w14:paraId="1E5FB8A0" w14:textId="77777777" w:rsidR="003754FE" w:rsidRDefault="003754FE" w:rsidP="003754FE">
      <w:pPr>
        <w:pStyle w:val="TextoNormal"/>
      </w:pPr>
    </w:p>
    <w:p w14:paraId="38CD4C75" w14:textId="77777777" w:rsidR="003754FE" w:rsidRDefault="003754FE" w:rsidP="003754FE">
      <w:pPr>
        <w:pStyle w:val="TextoNormal"/>
      </w:pPr>
      <w:r>
        <w:t>El poble de Catalunya no renuncia ni ha renunciat mai al dret a l’autodeterminació, a determinar lliurement el seu futur com a poble en pau, democràcia i solidaritat.</w:t>
      </w:r>
    </w:p>
    <w:p w14:paraId="55CE49B5" w14:textId="77777777" w:rsidR="003754FE" w:rsidRDefault="003754FE" w:rsidP="003754FE">
      <w:pPr>
        <w:pStyle w:val="TextoNormal"/>
      </w:pPr>
    </w:p>
    <w:p w14:paraId="0D8BF014" w14:textId="77777777" w:rsidR="003754FE" w:rsidRDefault="003754FE" w:rsidP="003754FE">
      <w:pPr>
        <w:pStyle w:val="TextoNormal"/>
      </w:pPr>
      <w:r>
        <w:t>Article 5</w:t>
      </w:r>
    </w:p>
    <w:p w14:paraId="47EDDDF8" w14:textId="77777777" w:rsidR="003754FE" w:rsidRDefault="003754FE" w:rsidP="003754FE">
      <w:pPr>
        <w:pStyle w:val="TextoNormal"/>
      </w:pPr>
    </w:p>
    <w:p w14:paraId="57489D00" w14:textId="77777777" w:rsidR="003754FE" w:rsidRDefault="003754FE" w:rsidP="003754FE">
      <w:pPr>
        <w:pStyle w:val="TextoNormal"/>
      </w:pPr>
      <w:r>
        <w:t>El Parlament de Catalunya es ratifica en la voluntat d’emprar tots els instruments jurídics vigents i polítics necessaris per tal que el poble de Catalunya pugui exercir el dret a determinar lliurement el seu futur.</w:t>
      </w:r>
    </w:p>
    <w:p w14:paraId="220D94D6" w14:textId="77777777" w:rsidR="003754FE" w:rsidRDefault="003754FE" w:rsidP="003754FE">
      <w:pPr>
        <w:pStyle w:val="TextoNormal"/>
      </w:pPr>
    </w:p>
    <w:p w14:paraId="4E7B5B67" w14:textId="77777777" w:rsidR="003754FE" w:rsidRDefault="003754FE" w:rsidP="003754FE">
      <w:pPr>
        <w:pStyle w:val="TextoNormal"/>
      </w:pPr>
      <w:r>
        <w:t>Article 6</w:t>
      </w:r>
    </w:p>
    <w:p w14:paraId="3F0898F5" w14:textId="77777777" w:rsidR="003754FE" w:rsidRDefault="003754FE" w:rsidP="003754FE">
      <w:pPr>
        <w:pStyle w:val="TextoNormal"/>
      </w:pPr>
    </w:p>
    <w:p w14:paraId="37405967" w14:textId="77777777" w:rsidR="003754FE" w:rsidRDefault="003754FE" w:rsidP="003754FE">
      <w:pPr>
        <w:pStyle w:val="TextoNormal"/>
      </w:pPr>
      <w:r>
        <w:lastRenderedPageBreak/>
        <w:t>La sobirania nacional del poble de Catalunya és el fonament del futur Estat sobirà i independent de la Nació catalana.</w:t>
      </w:r>
    </w:p>
    <w:p w14:paraId="6FD30E24" w14:textId="77777777" w:rsidR="003754FE" w:rsidRDefault="003754FE" w:rsidP="003754FE">
      <w:pPr>
        <w:pStyle w:val="TextoNormal"/>
      </w:pPr>
    </w:p>
    <w:p w14:paraId="3813160B" w14:textId="77777777" w:rsidR="003754FE" w:rsidRDefault="003754FE" w:rsidP="003754FE">
      <w:pPr>
        <w:pStyle w:val="TextoNormal"/>
      </w:pPr>
      <w:r>
        <w:t>Article 7</w:t>
      </w:r>
    </w:p>
    <w:p w14:paraId="1F3A6445" w14:textId="77777777" w:rsidR="003754FE" w:rsidRDefault="003754FE" w:rsidP="003754FE">
      <w:pPr>
        <w:pStyle w:val="TextoNormal"/>
      </w:pPr>
    </w:p>
    <w:p w14:paraId="05C224A9" w14:textId="77777777" w:rsidR="003754FE" w:rsidRDefault="003754FE" w:rsidP="003754FE">
      <w:pPr>
        <w:pStyle w:val="TextoNormal"/>
      </w:pPr>
      <w:r>
        <w:t>La decisió de declarar la independència li correspon al poble de Catalunya com a titular de la sobirania nacional, i al Parlament de Catalunya com a representant seu democràticament elegit.</w:t>
      </w:r>
    </w:p>
    <w:p w14:paraId="51BF7BE0" w14:textId="77777777" w:rsidR="003754FE" w:rsidRDefault="003754FE" w:rsidP="003754FE">
      <w:pPr>
        <w:pStyle w:val="TextoNormal"/>
      </w:pPr>
    </w:p>
    <w:p w14:paraId="30AA0546" w14:textId="77777777" w:rsidR="003754FE" w:rsidRDefault="003754FE" w:rsidP="003754FE">
      <w:pPr>
        <w:pStyle w:val="TextoNormal"/>
      </w:pPr>
      <w:r>
        <w:t>Article 8</w:t>
      </w:r>
    </w:p>
    <w:p w14:paraId="5FA4F0FF" w14:textId="77777777" w:rsidR="003754FE" w:rsidRDefault="003754FE" w:rsidP="003754FE">
      <w:pPr>
        <w:pStyle w:val="TextoNormal"/>
      </w:pPr>
    </w:p>
    <w:p w14:paraId="7FE74C8A" w14:textId="77777777" w:rsidR="003754FE" w:rsidRDefault="003754FE" w:rsidP="003754FE">
      <w:pPr>
        <w:pStyle w:val="TextoNormal"/>
      </w:pPr>
      <w:r>
        <w:t>Per mitjà d’aquesta llei es faculta al Govern de la Generalitat a negociar el reconeixement internacional de la declaració d’independència.</w:t>
      </w:r>
    </w:p>
    <w:p w14:paraId="58D26325" w14:textId="77777777" w:rsidR="003754FE" w:rsidRDefault="003754FE" w:rsidP="003754FE">
      <w:pPr>
        <w:pStyle w:val="TextoNormal"/>
      </w:pPr>
    </w:p>
    <w:p w14:paraId="1A94D61D" w14:textId="77777777" w:rsidR="003754FE" w:rsidRDefault="003754FE" w:rsidP="003754FE">
      <w:pPr>
        <w:pStyle w:val="TextoNormal"/>
      </w:pPr>
      <w:r>
        <w:t>Article 9</w:t>
      </w:r>
    </w:p>
    <w:p w14:paraId="647034C9" w14:textId="77777777" w:rsidR="003754FE" w:rsidRDefault="003754FE" w:rsidP="003754FE">
      <w:pPr>
        <w:pStyle w:val="TextoNormal"/>
      </w:pPr>
    </w:p>
    <w:p w14:paraId="553B6070" w14:textId="77777777" w:rsidR="003754FE" w:rsidRDefault="003754FE" w:rsidP="003754FE">
      <w:pPr>
        <w:pStyle w:val="TextoNormal"/>
      </w:pPr>
      <w:r>
        <w:t>En el termini de tres mesos a partir de l’aprovació de la present llei es constituirà l’Assemblea de Representants de la Nació Catalana, que treballarà perquè sigui declarada la independència al conjunt dels Països Catalans.</w:t>
      </w:r>
    </w:p>
    <w:p w14:paraId="3C528802" w14:textId="77777777" w:rsidR="003754FE" w:rsidRDefault="003754FE" w:rsidP="003754FE">
      <w:pPr>
        <w:pStyle w:val="TextoNormal"/>
      </w:pPr>
    </w:p>
    <w:p w14:paraId="261E1E36" w14:textId="77777777" w:rsidR="003754FE" w:rsidRDefault="003754FE" w:rsidP="003754FE">
      <w:pPr>
        <w:pStyle w:val="TextoNormal"/>
      </w:pPr>
      <w:r>
        <w:t>Article 10</w:t>
      </w:r>
    </w:p>
    <w:p w14:paraId="16B652EC" w14:textId="77777777" w:rsidR="003754FE" w:rsidRDefault="003754FE" w:rsidP="003754FE">
      <w:pPr>
        <w:pStyle w:val="TextoNormal"/>
      </w:pPr>
    </w:p>
    <w:p w14:paraId="3FC0CA40" w14:textId="77777777" w:rsidR="003754FE" w:rsidRDefault="003754FE" w:rsidP="003754FE">
      <w:pPr>
        <w:pStyle w:val="TextoNormal"/>
      </w:pPr>
      <w:r>
        <w:t>La declaració d’independència serà efectiva:</w:t>
      </w:r>
    </w:p>
    <w:p w14:paraId="5F0DFB94" w14:textId="77777777" w:rsidR="003754FE" w:rsidRDefault="003754FE" w:rsidP="003754FE">
      <w:pPr>
        <w:pStyle w:val="TextoNormal"/>
      </w:pPr>
    </w:p>
    <w:p w14:paraId="30EE363F" w14:textId="77777777" w:rsidR="003754FE" w:rsidRDefault="003754FE" w:rsidP="003754FE">
      <w:pPr>
        <w:pStyle w:val="TextoNormal"/>
      </w:pPr>
      <w:r>
        <w:t>– Quan sigui aprovada la present llei procedimental de declaració d’independència.</w:t>
      </w:r>
    </w:p>
    <w:p w14:paraId="50A041B8" w14:textId="77777777" w:rsidR="003754FE" w:rsidRDefault="003754FE" w:rsidP="003754FE">
      <w:pPr>
        <w:pStyle w:val="TextoNormal"/>
      </w:pPr>
    </w:p>
    <w:p w14:paraId="193207C5" w14:textId="77777777" w:rsidR="003754FE" w:rsidRDefault="003754FE" w:rsidP="003754FE">
      <w:pPr>
        <w:pStyle w:val="TextoNormal"/>
      </w:pPr>
      <w:r>
        <w:t>– Quan sigui negociada amb la comunitat internacional la forma i el moment de la declaració d’independència.</w:t>
      </w:r>
    </w:p>
    <w:p w14:paraId="3067337C" w14:textId="77777777" w:rsidR="003754FE" w:rsidRDefault="003754FE" w:rsidP="003754FE">
      <w:pPr>
        <w:pStyle w:val="TextoNormal"/>
      </w:pPr>
    </w:p>
    <w:p w14:paraId="23921AAF" w14:textId="77777777" w:rsidR="003754FE" w:rsidRDefault="003754FE" w:rsidP="003754FE">
      <w:pPr>
        <w:pStyle w:val="TextoNormal"/>
      </w:pPr>
      <w:r>
        <w:t>– Quan sigui declarada per una majoria absoluta de diputats en sessió solemne del Parlament de Catalunya convocada a tal efecte.</w:t>
      </w:r>
    </w:p>
    <w:p w14:paraId="74E0F27F" w14:textId="77777777" w:rsidR="003754FE" w:rsidRDefault="003754FE" w:rsidP="003754FE">
      <w:pPr>
        <w:pStyle w:val="TextoNormal"/>
      </w:pPr>
    </w:p>
    <w:p w14:paraId="1C8261F0" w14:textId="77777777" w:rsidR="003754FE" w:rsidRDefault="003754FE" w:rsidP="003754FE">
      <w:pPr>
        <w:pStyle w:val="TextoNormal"/>
      </w:pPr>
      <w:r>
        <w:t>Disposició transitòria</w:t>
      </w:r>
    </w:p>
    <w:p w14:paraId="3AA6186D" w14:textId="77777777" w:rsidR="003754FE" w:rsidRDefault="003754FE" w:rsidP="003754FE">
      <w:pPr>
        <w:pStyle w:val="TextoNormal"/>
      </w:pPr>
    </w:p>
    <w:p w14:paraId="5E3440F6" w14:textId="77777777" w:rsidR="003754FE" w:rsidRDefault="003754FE" w:rsidP="003754FE">
      <w:pPr>
        <w:pStyle w:val="TextoNormal"/>
      </w:pPr>
      <w:r>
        <w:t>La declaració d’independència es farà en la present legislatura quan es compleixi allò que disposa l’article 10 de la present llei”.</w:t>
      </w:r>
    </w:p>
    <w:p w14:paraId="2982E7AF" w14:textId="77777777" w:rsidR="003754FE" w:rsidRDefault="003754FE" w:rsidP="003754FE">
      <w:pPr>
        <w:pStyle w:val="TextoNormal"/>
      </w:pPr>
    </w:p>
    <w:p w14:paraId="5731276F" w14:textId="77777777" w:rsidR="003754FE" w:rsidRDefault="003754FE" w:rsidP="003754FE">
      <w:pPr>
        <w:pStyle w:val="TextoNormal"/>
      </w:pPr>
      <w:r>
        <w:t>La versión en castellano de la proposición de ley, según la traducción aportada también por la Abogacía del Estado, sin incluir los antecedentes, dice así:</w:t>
      </w:r>
    </w:p>
    <w:p w14:paraId="2F0C56FD" w14:textId="77777777" w:rsidR="003754FE" w:rsidRDefault="003754FE" w:rsidP="003754FE">
      <w:pPr>
        <w:pStyle w:val="TextoNormal"/>
      </w:pPr>
    </w:p>
    <w:p w14:paraId="3B3E59FC" w14:textId="77777777" w:rsidR="003754FE" w:rsidRDefault="003754FE" w:rsidP="003754FE">
      <w:pPr>
        <w:pStyle w:val="TextoNormal"/>
      </w:pPr>
      <w:r>
        <w:t>“Proposición de ley</w:t>
      </w:r>
    </w:p>
    <w:p w14:paraId="7033CBA1" w14:textId="77777777" w:rsidR="003754FE" w:rsidRDefault="003754FE" w:rsidP="003754FE">
      <w:pPr>
        <w:pStyle w:val="TextoNormal"/>
      </w:pPr>
    </w:p>
    <w:p w14:paraId="428356C7" w14:textId="77777777" w:rsidR="003754FE" w:rsidRDefault="003754FE" w:rsidP="003754FE">
      <w:pPr>
        <w:pStyle w:val="TextoNormal"/>
      </w:pPr>
      <w:r>
        <w:t>Artículo 1</w:t>
      </w:r>
    </w:p>
    <w:p w14:paraId="29328677" w14:textId="77777777" w:rsidR="003754FE" w:rsidRDefault="003754FE" w:rsidP="003754FE">
      <w:pPr>
        <w:pStyle w:val="TextoNormal"/>
      </w:pPr>
    </w:p>
    <w:p w14:paraId="1F27D6FC" w14:textId="77777777" w:rsidR="003754FE" w:rsidRDefault="003754FE" w:rsidP="003754FE">
      <w:pPr>
        <w:pStyle w:val="TextoNormal"/>
      </w:pPr>
      <w:r>
        <w:t>Cataluña es una Nación.</w:t>
      </w:r>
    </w:p>
    <w:p w14:paraId="0742EB76" w14:textId="77777777" w:rsidR="003754FE" w:rsidRDefault="003754FE" w:rsidP="003754FE">
      <w:pPr>
        <w:pStyle w:val="TextoNormal"/>
      </w:pPr>
    </w:p>
    <w:p w14:paraId="6959EBE3" w14:textId="77777777" w:rsidR="003754FE" w:rsidRDefault="003754FE" w:rsidP="003754FE">
      <w:pPr>
        <w:pStyle w:val="TextoNormal"/>
      </w:pPr>
      <w:r>
        <w:t>Artículo 2</w:t>
      </w:r>
    </w:p>
    <w:p w14:paraId="618A2FB8" w14:textId="77777777" w:rsidR="003754FE" w:rsidRDefault="003754FE" w:rsidP="003754FE">
      <w:pPr>
        <w:pStyle w:val="TextoNormal"/>
      </w:pPr>
    </w:p>
    <w:p w14:paraId="25EA78E9" w14:textId="77777777" w:rsidR="003754FE" w:rsidRDefault="003754FE" w:rsidP="003754FE">
      <w:pPr>
        <w:pStyle w:val="TextoNormal"/>
      </w:pPr>
      <w:r>
        <w:lastRenderedPageBreak/>
        <w:t>El pueblo de Cataluña es el único titular de la soberanía nacional.</w:t>
      </w:r>
    </w:p>
    <w:p w14:paraId="76062379" w14:textId="77777777" w:rsidR="003754FE" w:rsidRDefault="003754FE" w:rsidP="003754FE">
      <w:pPr>
        <w:pStyle w:val="TextoNormal"/>
      </w:pPr>
    </w:p>
    <w:p w14:paraId="6122CD94" w14:textId="77777777" w:rsidR="003754FE" w:rsidRDefault="003754FE" w:rsidP="003754FE">
      <w:pPr>
        <w:pStyle w:val="TextoNormal"/>
      </w:pPr>
      <w:r>
        <w:t>Artículo 3</w:t>
      </w:r>
    </w:p>
    <w:p w14:paraId="13F51C14" w14:textId="77777777" w:rsidR="003754FE" w:rsidRDefault="003754FE" w:rsidP="003754FE">
      <w:pPr>
        <w:pStyle w:val="TextoNormal"/>
      </w:pPr>
    </w:p>
    <w:p w14:paraId="29E824A1" w14:textId="77777777" w:rsidR="003754FE" w:rsidRDefault="003754FE" w:rsidP="003754FE">
      <w:pPr>
        <w:pStyle w:val="TextoNormal"/>
      </w:pPr>
      <w:r>
        <w:t>El Parlament de Cataluña es el representante democráticamente elegido del pueblo de Cataluña.</w:t>
      </w:r>
    </w:p>
    <w:p w14:paraId="1809DA62" w14:textId="77777777" w:rsidR="003754FE" w:rsidRDefault="003754FE" w:rsidP="003754FE">
      <w:pPr>
        <w:pStyle w:val="TextoNormal"/>
      </w:pPr>
    </w:p>
    <w:p w14:paraId="52B8D709" w14:textId="77777777" w:rsidR="003754FE" w:rsidRDefault="003754FE" w:rsidP="003754FE">
      <w:pPr>
        <w:pStyle w:val="TextoNormal"/>
      </w:pPr>
      <w:r>
        <w:t>Artículo 4</w:t>
      </w:r>
    </w:p>
    <w:p w14:paraId="615BEF2A" w14:textId="77777777" w:rsidR="003754FE" w:rsidRDefault="003754FE" w:rsidP="003754FE">
      <w:pPr>
        <w:pStyle w:val="TextoNormal"/>
      </w:pPr>
    </w:p>
    <w:p w14:paraId="7F54F752" w14:textId="77777777" w:rsidR="003754FE" w:rsidRDefault="003754FE" w:rsidP="003754FE">
      <w:pPr>
        <w:pStyle w:val="TextoNormal"/>
      </w:pPr>
      <w:r>
        <w:t>El pueblo de Cataluña no renuncia ni ha renunciado nunca al derecho a la autodeterminación, a determinar libremente su futuro como un pueblo en paz, democracia y solidaridad.</w:t>
      </w:r>
    </w:p>
    <w:p w14:paraId="338DFBE6" w14:textId="77777777" w:rsidR="003754FE" w:rsidRDefault="003754FE" w:rsidP="003754FE">
      <w:pPr>
        <w:pStyle w:val="TextoNormal"/>
      </w:pPr>
    </w:p>
    <w:p w14:paraId="10135749" w14:textId="77777777" w:rsidR="003754FE" w:rsidRDefault="003754FE" w:rsidP="003754FE">
      <w:pPr>
        <w:pStyle w:val="TextoNormal"/>
      </w:pPr>
      <w:r>
        <w:t>Artículo 5</w:t>
      </w:r>
    </w:p>
    <w:p w14:paraId="445A0ED3" w14:textId="77777777" w:rsidR="003754FE" w:rsidRDefault="003754FE" w:rsidP="003754FE">
      <w:pPr>
        <w:pStyle w:val="TextoNormal"/>
      </w:pPr>
    </w:p>
    <w:p w14:paraId="4644F868" w14:textId="77777777" w:rsidR="003754FE" w:rsidRDefault="003754FE" w:rsidP="003754FE">
      <w:pPr>
        <w:pStyle w:val="TextoNormal"/>
      </w:pPr>
      <w:r>
        <w:t>El Parlament de Cataluña se ratifica en la voluntad de utilizar todos los instrumentos jurídicos vigentes y políticos necesarios con la finalidad de que el pueblo de Cataluña pueda ejercer el derecho a determinar libremente su futuro.</w:t>
      </w:r>
    </w:p>
    <w:p w14:paraId="4AF85E88" w14:textId="77777777" w:rsidR="003754FE" w:rsidRDefault="003754FE" w:rsidP="003754FE">
      <w:pPr>
        <w:pStyle w:val="TextoNormal"/>
      </w:pPr>
    </w:p>
    <w:p w14:paraId="3F94F39B" w14:textId="77777777" w:rsidR="003754FE" w:rsidRDefault="003754FE" w:rsidP="003754FE">
      <w:pPr>
        <w:pStyle w:val="TextoNormal"/>
      </w:pPr>
      <w:r>
        <w:t>Artículo 6</w:t>
      </w:r>
    </w:p>
    <w:p w14:paraId="006BCA68" w14:textId="77777777" w:rsidR="003754FE" w:rsidRDefault="003754FE" w:rsidP="003754FE">
      <w:pPr>
        <w:pStyle w:val="TextoNormal"/>
      </w:pPr>
    </w:p>
    <w:p w14:paraId="452ABDD5" w14:textId="77777777" w:rsidR="003754FE" w:rsidRDefault="003754FE" w:rsidP="003754FE">
      <w:pPr>
        <w:pStyle w:val="TextoNormal"/>
      </w:pPr>
      <w:r>
        <w:t>La soberanía nacional del pueblo de Cataluña es el fundamento del futuro Estado soberano e independiente de la Nación catalana.</w:t>
      </w:r>
    </w:p>
    <w:p w14:paraId="7E2FB1B4" w14:textId="77777777" w:rsidR="003754FE" w:rsidRDefault="003754FE" w:rsidP="003754FE">
      <w:pPr>
        <w:pStyle w:val="TextoNormal"/>
      </w:pPr>
    </w:p>
    <w:p w14:paraId="3E1A59D9" w14:textId="77777777" w:rsidR="003754FE" w:rsidRDefault="003754FE" w:rsidP="003754FE">
      <w:pPr>
        <w:pStyle w:val="TextoNormal"/>
      </w:pPr>
      <w:r>
        <w:t>Artículo 7</w:t>
      </w:r>
    </w:p>
    <w:p w14:paraId="532308DB" w14:textId="77777777" w:rsidR="003754FE" w:rsidRDefault="003754FE" w:rsidP="003754FE">
      <w:pPr>
        <w:pStyle w:val="TextoNormal"/>
      </w:pPr>
    </w:p>
    <w:p w14:paraId="41971973" w14:textId="77777777" w:rsidR="003754FE" w:rsidRDefault="003754FE" w:rsidP="003754FE">
      <w:pPr>
        <w:pStyle w:val="TextoNormal"/>
      </w:pPr>
      <w:r>
        <w:t>La decisión de declarar la independencia corresponde al pueblo de Cataluña como titular de la soberanía nacional, y al Parlament de Cataluña como su representante democráticamente elegido.</w:t>
      </w:r>
    </w:p>
    <w:p w14:paraId="1D8780C2" w14:textId="77777777" w:rsidR="003754FE" w:rsidRDefault="003754FE" w:rsidP="003754FE">
      <w:pPr>
        <w:pStyle w:val="TextoNormal"/>
      </w:pPr>
    </w:p>
    <w:p w14:paraId="6742BF02" w14:textId="77777777" w:rsidR="003754FE" w:rsidRDefault="003754FE" w:rsidP="003754FE">
      <w:pPr>
        <w:pStyle w:val="TextoNormal"/>
      </w:pPr>
      <w:r>
        <w:t>Artículo 8</w:t>
      </w:r>
    </w:p>
    <w:p w14:paraId="3EB04912" w14:textId="77777777" w:rsidR="003754FE" w:rsidRDefault="003754FE" w:rsidP="003754FE">
      <w:pPr>
        <w:pStyle w:val="TextoNormal"/>
      </w:pPr>
    </w:p>
    <w:p w14:paraId="147E406A" w14:textId="77777777" w:rsidR="003754FE" w:rsidRDefault="003754FE" w:rsidP="003754FE">
      <w:pPr>
        <w:pStyle w:val="TextoNormal"/>
      </w:pPr>
      <w:r>
        <w:t>Por medio de esta ley se faculta al Govern de la Generalitat a negociar el reconocimiento internacional de la declaración de independencia.</w:t>
      </w:r>
    </w:p>
    <w:p w14:paraId="3DAE8641" w14:textId="77777777" w:rsidR="003754FE" w:rsidRDefault="003754FE" w:rsidP="003754FE">
      <w:pPr>
        <w:pStyle w:val="TextoNormal"/>
      </w:pPr>
    </w:p>
    <w:p w14:paraId="1A7C13AE" w14:textId="77777777" w:rsidR="003754FE" w:rsidRDefault="003754FE" w:rsidP="003754FE">
      <w:pPr>
        <w:pStyle w:val="TextoNormal"/>
      </w:pPr>
      <w:r>
        <w:t>Artículo 9</w:t>
      </w:r>
    </w:p>
    <w:p w14:paraId="4D749AB4" w14:textId="77777777" w:rsidR="003754FE" w:rsidRDefault="003754FE" w:rsidP="003754FE">
      <w:pPr>
        <w:pStyle w:val="TextoNormal"/>
      </w:pPr>
    </w:p>
    <w:p w14:paraId="2CD3A8FB" w14:textId="77777777" w:rsidR="003754FE" w:rsidRDefault="003754FE" w:rsidP="003754FE">
      <w:pPr>
        <w:pStyle w:val="TextoNormal"/>
      </w:pPr>
      <w:r>
        <w:t>En el plazo de tres meses a partir de la aprobación de la presente ley se constituirá la Asamblea de Representantes de la Nación Catalana, que trabajará porque sea declarada la independencia en el conjunto de los Países Catalanes.</w:t>
      </w:r>
    </w:p>
    <w:p w14:paraId="437B266F" w14:textId="77777777" w:rsidR="003754FE" w:rsidRDefault="003754FE" w:rsidP="003754FE">
      <w:pPr>
        <w:pStyle w:val="TextoNormal"/>
      </w:pPr>
    </w:p>
    <w:p w14:paraId="1706D263" w14:textId="77777777" w:rsidR="003754FE" w:rsidRDefault="003754FE" w:rsidP="003754FE">
      <w:pPr>
        <w:pStyle w:val="TextoNormal"/>
      </w:pPr>
      <w:r>
        <w:t>Artículo 10</w:t>
      </w:r>
    </w:p>
    <w:p w14:paraId="591DE216" w14:textId="77777777" w:rsidR="003754FE" w:rsidRDefault="003754FE" w:rsidP="003754FE">
      <w:pPr>
        <w:pStyle w:val="TextoNormal"/>
      </w:pPr>
    </w:p>
    <w:p w14:paraId="5B5F9F38" w14:textId="77777777" w:rsidR="003754FE" w:rsidRDefault="003754FE" w:rsidP="003754FE">
      <w:pPr>
        <w:pStyle w:val="TextoNormal"/>
      </w:pPr>
      <w:r>
        <w:t>La declaración de independencia será efectiva:</w:t>
      </w:r>
    </w:p>
    <w:p w14:paraId="1278D03D" w14:textId="77777777" w:rsidR="003754FE" w:rsidRDefault="003754FE" w:rsidP="003754FE">
      <w:pPr>
        <w:pStyle w:val="TextoNormal"/>
      </w:pPr>
    </w:p>
    <w:p w14:paraId="116135CA" w14:textId="77777777" w:rsidR="003754FE" w:rsidRDefault="003754FE" w:rsidP="003754FE">
      <w:pPr>
        <w:pStyle w:val="TextoNormal"/>
      </w:pPr>
      <w:r>
        <w:t>– Cuando sea aprobada la presente ley procedimental de declaración de independencia.</w:t>
      </w:r>
    </w:p>
    <w:p w14:paraId="4E4FC721" w14:textId="77777777" w:rsidR="003754FE" w:rsidRDefault="003754FE" w:rsidP="003754FE">
      <w:pPr>
        <w:pStyle w:val="TextoNormal"/>
      </w:pPr>
    </w:p>
    <w:p w14:paraId="70C68F83" w14:textId="77777777" w:rsidR="003754FE" w:rsidRDefault="003754FE" w:rsidP="003754FE">
      <w:pPr>
        <w:pStyle w:val="TextoNormal"/>
      </w:pPr>
      <w:r>
        <w:t>– Cuando sea negociada con la comunidad internacional la forma y el momento de la declaración de independencia.</w:t>
      </w:r>
    </w:p>
    <w:p w14:paraId="209ED5EE" w14:textId="77777777" w:rsidR="003754FE" w:rsidRDefault="003754FE" w:rsidP="003754FE">
      <w:pPr>
        <w:pStyle w:val="TextoNormal"/>
      </w:pPr>
    </w:p>
    <w:p w14:paraId="64CED954" w14:textId="77777777" w:rsidR="003754FE" w:rsidRDefault="003754FE" w:rsidP="003754FE">
      <w:pPr>
        <w:pStyle w:val="TextoNormal"/>
      </w:pPr>
      <w:r>
        <w:t>– Cuando sea declarada por una mayoría absoluta de diputados en sesión solemne del Parlament de Cataluña convocada a tal efecto.</w:t>
      </w:r>
    </w:p>
    <w:p w14:paraId="7FF6EA4F" w14:textId="77777777" w:rsidR="003754FE" w:rsidRDefault="003754FE" w:rsidP="003754FE">
      <w:pPr>
        <w:pStyle w:val="TextoNormal"/>
      </w:pPr>
    </w:p>
    <w:p w14:paraId="7DDAD92D" w14:textId="77777777" w:rsidR="003754FE" w:rsidRDefault="003754FE" w:rsidP="003754FE">
      <w:pPr>
        <w:pStyle w:val="TextoNormal"/>
      </w:pPr>
      <w:r>
        <w:t>Disposición transitoria</w:t>
      </w:r>
    </w:p>
    <w:p w14:paraId="2A5770DD" w14:textId="77777777" w:rsidR="003754FE" w:rsidRDefault="003754FE" w:rsidP="003754FE">
      <w:pPr>
        <w:pStyle w:val="TextoNormal"/>
      </w:pPr>
    </w:p>
    <w:p w14:paraId="5CBE26EC" w14:textId="28565789" w:rsidR="003754FE" w:rsidRDefault="003754FE" w:rsidP="003754FE">
      <w:pPr>
        <w:pStyle w:val="TextoNormal"/>
      </w:pPr>
      <w:r>
        <w:t>La declaración de independencia se hará en la presente legislatura cuando se cumpla lo que dispone el artículo 10 de la presente ley”.</w:t>
      </w:r>
    </w:p>
    <w:p w14:paraId="38B93782" w14:textId="77777777" w:rsidR="003754FE" w:rsidRDefault="003754FE" w:rsidP="003754FE">
      <w:pPr>
        <w:pStyle w:val="TextoNormal"/>
      </w:pPr>
    </w:p>
    <w:p w14:paraId="4C734E1B" w14:textId="77777777" w:rsidR="003754FE" w:rsidRDefault="003754FE" w:rsidP="003754FE">
      <w:pPr>
        <w:pStyle w:val="TextoNormal"/>
      </w:pPr>
      <w:r w:rsidRPr="003754FE">
        <w:rPr>
          <w:rStyle w:val="NumeroAFNegritaCaracter"/>
        </w:rPr>
        <w:t>2</w:t>
      </w:r>
      <w:r>
        <w:t>. La demanda del abogado del Estado comienza recordando que la iniciativa legislativa popular, prevista en el art. 87.3 CE, se configura como cauce de democracia directa al amparo del derecho fundamental de participación en los asuntos públicos (art. 23 CE). Esa singularidad de la iniciativa legislativa popular implica una mayor función de control de las mesas de las cámaras, que deben velar por que la iniciativa legislativa popular presentada no verse sobre materias excluidas. Tanto la ley estatal (Ley Orgánica 3/1984, de 26 de marzo, reguladora de la iniciativa legislativa popular), como las leyes autonómicas, regulan expresamente las materias que no pueden ser objeto de una iniciativa legislativa popular y determinan que en caso de que esa iniciativa verse sobre alguna de las materias excluidas debe ser inadmitida por la mesa de la Cámara. De suerte que, para evitar que la Cámara pueda entrar a debatir una materia vedada, la mesa asume una función de control material sobre la iniciativa legislativa popular que va más allá de la que ejerce sobre las proposiciones de ley, como se desprende de la doctrina constitucional (entre otras, SSTC 95/1994, de 21 de marzo; 124/1995, de 18 de julio; 19/2015, de 16 de febrero, y 71/2017, de 5 de junio; AATC 304/1996, de 28 de octubre, y 85/2006, de 15 de marzo).</w:t>
      </w:r>
    </w:p>
    <w:p w14:paraId="4C98B323" w14:textId="77777777" w:rsidR="003754FE" w:rsidRDefault="003754FE" w:rsidP="003754FE">
      <w:pPr>
        <w:pStyle w:val="TextoNormal"/>
      </w:pPr>
    </w:p>
    <w:p w14:paraId="04275CE1" w14:textId="77777777" w:rsidR="003754FE" w:rsidRDefault="003754FE" w:rsidP="003754FE">
      <w:pPr>
        <w:pStyle w:val="TextoNormal"/>
      </w:pPr>
      <w:r>
        <w:t>En suma, la función de calificación de la iniciativa legislativa popular por la mesa se extiende al control material de su contenido, dados los límites constitucionales a ese cauce de democracia directa y habida cuenta de que, admitida a trámite, no es posible evitar que la Cámara se pronuncie sobre el contenido de la iniciativa legislativa popular. Por tanto, la calificación por la mesa admitiendo la iniciativa legislativa popular implica una declaración de voluntad cierta y acabada de que esa iniciativa sea debatida en el Pleno de la Cámara, que no puede ser revocada con posterioridad, según el abogado del Estado.</w:t>
      </w:r>
    </w:p>
    <w:p w14:paraId="5678D5B3" w14:textId="77777777" w:rsidR="003754FE" w:rsidRDefault="003754FE" w:rsidP="003754FE">
      <w:pPr>
        <w:pStyle w:val="TextoNormal"/>
      </w:pPr>
    </w:p>
    <w:p w14:paraId="4E58296B" w14:textId="77777777" w:rsidR="003754FE" w:rsidRDefault="003754FE" w:rsidP="003754FE">
      <w:pPr>
        <w:pStyle w:val="TextoNormal"/>
      </w:pPr>
      <w:r>
        <w:t>Así sucedería en el caso de Cataluña, donde el procedimiento de tramitación de la iniciativa legislativa popular resulta aún más automatizado conforme a su normativa (Ley del Parlamento de Cataluña 1/2006, de 16 de febrero, de la iniciativa legislativa popular, reformada por la Ley 7/2014, de 25 de junio), ya que, una vez acordada la admisión por la mesa y producido el efecto externo a la Cámara de iniciar la recogida de firmas con intervención de la junta electoral, la intervención de la mesa y del presidente de la Cámara es obligada tanto para la notificación del plazo de cuatro meses para su debate, como para la convocatoria del Pleno de la Cámara a estos efectos por el presidente, quedando la tramitación bajo la supervisión de la comisión promotora de la iniciativa legislativa popular, que se asegura su debate en el Pleno.</w:t>
      </w:r>
    </w:p>
    <w:p w14:paraId="71B77FDE" w14:textId="77777777" w:rsidR="003754FE" w:rsidRDefault="003754FE" w:rsidP="003754FE">
      <w:pPr>
        <w:pStyle w:val="TextoNormal"/>
      </w:pPr>
    </w:p>
    <w:p w14:paraId="4C898E34" w14:textId="77777777" w:rsidR="003754FE" w:rsidRDefault="003754FE" w:rsidP="003754FE">
      <w:pPr>
        <w:pStyle w:val="TextoNormal"/>
      </w:pPr>
      <w:r>
        <w:t xml:space="preserve">Partiendo de lo expuesto, el abogado del Estado afirma la idoneidad del procedimiento de impugnación de disposiciones autonómicas regulado en el título V LOTC (arts. 76 y 77) para impugnar el acuerdo de la mesa del Parlamento de Cataluña, de 20 de febrero de 2024, que admite a trámite la iniciativa legislativa popular denominada “Proposición de ley de </w:t>
      </w:r>
      <w:r>
        <w:lastRenderedPageBreak/>
        <w:t>declaración de la independencia de Cataluña”. Señala que, conforme a la doctrina constitucional (por todas, SSTC 42/2014, 25 de marzo, y 259/2015, de 2 de diciembre), para que una resolución de una comunidad autónoma pueda ser objeto de impugnación a través del proceso constitucional regulado en el título V LOTC es necesario que posea naturaleza jurídica; que sea, además, manifestación de la voluntad institucional de la comunidad autónoma, esto es, que proceda de órganos capaces de expresar la voluntad de esta; que no se presente como un acto de trámite en el procedimiento de que se trate; y, por último, que tenga capacidad para producir efectos jurídicos. Según el abogado del Estado, el acuerdo parlamentario que se impugna cumple todos esos requisitos.</w:t>
      </w:r>
    </w:p>
    <w:p w14:paraId="1D2F8312" w14:textId="77777777" w:rsidR="003754FE" w:rsidRDefault="003754FE" w:rsidP="003754FE">
      <w:pPr>
        <w:pStyle w:val="TextoNormal"/>
      </w:pPr>
    </w:p>
    <w:p w14:paraId="301B4268" w14:textId="77777777" w:rsidR="003754FE" w:rsidRDefault="003754FE" w:rsidP="003754FE">
      <w:pPr>
        <w:pStyle w:val="TextoNormal"/>
      </w:pPr>
      <w:r>
        <w:t>Así, como se desprende del art. 6 de la Ley 1/2006, la participación de la mesa del Parlamento de Cataluña en la fase de admisión a trámite de la iniciativa legislativa popular tiene una indudable eficacia jurídica y no puede calificarse como acto de trámite, según el abogado del Estado, puesto que la inadmisión de la iniciativa supone su no tramitación, mientras que su admisión es irreversible (se cita la STC 19/2015) y pone en marcha los mecanismos necesarios para la perfección de la tramitación de la proposición de ley, con una evidente eficacia jurídica ad extra. El acuerdo impugnado posee naturaleza jurídica y es manifestación de la voluntad institucional cierta y acabada del Parlamento de Cataluña, a través de un órgano capaz de expresar su voluntad, que tiene una indudable capacidad para producir efectos jurídicos.</w:t>
      </w:r>
    </w:p>
    <w:p w14:paraId="4FF14BFC" w14:textId="77777777" w:rsidR="003754FE" w:rsidRDefault="003754FE" w:rsidP="003754FE">
      <w:pPr>
        <w:pStyle w:val="TextoNormal"/>
      </w:pPr>
    </w:p>
    <w:p w14:paraId="4E558D1D" w14:textId="77777777" w:rsidR="003754FE" w:rsidRDefault="003754FE" w:rsidP="003754FE">
      <w:pPr>
        <w:pStyle w:val="TextoNormal"/>
      </w:pPr>
      <w:r>
        <w:t>A lo anterior se añade —prosigue el abogado del Estado— que el contenido de la iniciativa legislativa popular admitida a trámite es palmaria y evidentemente inconstitucional, puesto que supone un ataque frontal a la Constitución (su objeto es declarar la independencia de Cataluña; se proclama que el pueblo de Cataluña es el único titular de la soberanía nacional; que el Parlamento de Cataluña se ratifica en la utilización de todos los instrumentos jurídicos y políticos para que el pueblo de Cataluña pueda ejercer su derecho de autodeterminación, etc.), siendo numerosas las ocasiones en las que el Tribunal Constitucional se ha pronunciado sobre la inconstitucionalidad de la pretensión de que Cataluña se convierta en un Estado soberano, por suponer una flagrante ruptura del orden constitucional (se cita por extenso, en particular, la STC 124/2017, de 8 de noviembre, que declaró la inconstitucionalidad y nulidad de la denominada “Ley de transitoriedad jurídica y fundacional de la República”).</w:t>
      </w:r>
    </w:p>
    <w:p w14:paraId="5A7B5A03" w14:textId="77777777" w:rsidR="003754FE" w:rsidRDefault="003754FE" w:rsidP="003754FE">
      <w:pPr>
        <w:pStyle w:val="TextoNormal"/>
      </w:pPr>
    </w:p>
    <w:p w14:paraId="3EC8FCE6" w14:textId="77777777" w:rsidR="003754FE" w:rsidRDefault="003754FE" w:rsidP="003754FE">
      <w:pPr>
        <w:pStyle w:val="TextoNormal"/>
      </w:pPr>
      <w:r>
        <w:t>Por otra parte, la doctrina constitucional ha declarado que las mesas de las cámaras pueden inadmitir, sin daño para el derecho de participación política de los parlamentarios, las propuestas o proposiciones cuya contradicción a Derecho sea palmaria y evidente (entre otras, SSTC 109/2016, de 7 de junio; 115/2019, de 16 de octubre, y 15/2022, de 8 de febrero). Partiendo de esa doctrina, el abogado del Estado sostiene que la mesa del Parlamento de Cataluña debió haber inadmitido a trámite la iniciativa legislativa popular denominada “Proposición de ley de declaración de la independencia de Cataluña”, por su inconstitucionalidad “palmaria y evidente”.</w:t>
      </w:r>
    </w:p>
    <w:p w14:paraId="321849C8" w14:textId="77777777" w:rsidR="003754FE" w:rsidRDefault="003754FE" w:rsidP="003754FE">
      <w:pPr>
        <w:pStyle w:val="TextoNormal"/>
      </w:pPr>
    </w:p>
    <w:p w14:paraId="739E007D" w14:textId="77777777" w:rsidR="003754FE" w:rsidRDefault="003754FE" w:rsidP="003754FE">
      <w:pPr>
        <w:pStyle w:val="TextoNormal"/>
      </w:pPr>
      <w:r>
        <w:t xml:space="preserve">Alega, en fin, que, tal como afirma el Consejo de Estado en su dictamen (que se acompaña a la demanda) sobre la impugnabilidad del acuerdo de la mesa del Parlamento de Cataluña, de 20 de febrero de 2024, por el que se admite a trámite la iniciativa legislativa popular en cuestión, ese acuerdo incurre en un incumplimiento de los mandatos establecidos </w:t>
      </w:r>
      <w:r>
        <w:lastRenderedPageBreak/>
        <w:t>en distintos pronunciamientos del Tribunal Constitucional que se citan, y que ese incumplimiento es consciente, pues la mesa fue advertida por los letrados de la Cámara.</w:t>
      </w:r>
    </w:p>
    <w:p w14:paraId="1595A927" w14:textId="77777777" w:rsidR="003754FE" w:rsidRDefault="003754FE" w:rsidP="003754FE">
      <w:pPr>
        <w:pStyle w:val="TextoNormal"/>
      </w:pPr>
    </w:p>
    <w:p w14:paraId="6A51E7E0" w14:textId="77777777" w:rsidR="003754FE" w:rsidRDefault="003754FE" w:rsidP="003754FE">
      <w:pPr>
        <w:pStyle w:val="TextoNormal"/>
      </w:pPr>
      <w:r>
        <w:t>Señala asimismo el abogado del Estado que a través del cauce impugnatorio regulado en el título V LOTC, se pueden hacer valer, conforme ha reconocido la doctrina constitucional (por todas, SSTC 32/2015, de 25 de febrero, y 136/2018, de 13 de diciembre), motivos de inconstitucionalidad tanto competenciales como sustantivos, como sucede en el presente caso.</w:t>
      </w:r>
    </w:p>
    <w:p w14:paraId="2A5F85A3" w14:textId="77777777" w:rsidR="003754FE" w:rsidRDefault="003754FE" w:rsidP="003754FE">
      <w:pPr>
        <w:pStyle w:val="TextoNormal"/>
      </w:pPr>
    </w:p>
    <w:p w14:paraId="7236223B" w14:textId="77777777" w:rsidR="003754FE" w:rsidRDefault="003754FE" w:rsidP="003754FE">
      <w:pPr>
        <w:pStyle w:val="TextoNormal"/>
      </w:pPr>
      <w:r>
        <w:t>Partiendo del referido dictamen del Consejo de Estado, sostiene el abogado del Estado que la decisión adoptada por la mesa del Parlamento de Cataluña de admitir a trámite una iniciativa legislativa popular cuyo contenido, que supone una reforma constitucional encubierta, pretende atribuir a Cataluña plena soberanía, lograr la separación de su territorio y constituirse como un Estado independiente, en términos de Derecho internacional, infringe la Constitución (en particular los arts. 1, 2, 9.1 y 3, 23, 147, 168) y también el Estatuto de Autonomía de Cataluña (EAC), como pieza integrante del bloque de la constitucionalidad. En cuanto a este, se infringe lo dispuesto en su art. 62.1 respecto de la iniciativa legislativa popular en la Comunidad Autónoma de Cataluña, regulada actualmente por la Ley del Parlamento de Cataluña 1/2006, de 16 de febrero, cuyo art. 1 excluye de la iniciativa legislativa popular las materias sobre las que la Generalitat no tiene competencias ni el Parlamento puede legislar, de acuerdo con la Constitución y el Estatuto de Autonomía, lo que es el caso, obviamente, de la declaración de independencia de Cataluña. Por eso el art. 6.1, letras a) y d), de la citada Ley 1/2006, establece como causa de inadmisión de una iniciativa legislativa popular, que tenga por objeto una materia sobre la cual la Generalitat carece de competencia o que se refiera a una materia excluida de acuerdo con el art. 1. A su vez, el art. 139.1 del Reglamento del Parlamento de Cataluña determina que la mesa de la Cámara admitirá a trámite las proposiciones de iniciativa legislativa popular si cumplen los requisitos establecidos por la ley que las regula. En consecuencia, también los arts. 1 y 6.1, letras a) y d), de la Ley 1/2006, y el art. 139.1 del Reglamento del Parlamento de Cataluña han sido infringidos por el acuerdo impugnado, según el abogado del Estado.</w:t>
      </w:r>
    </w:p>
    <w:p w14:paraId="2E74302D" w14:textId="77777777" w:rsidR="003754FE" w:rsidRDefault="003754FE" w:rsidP="003754FE">
      <w:pPr>
        <w:pStyle w:val="TextoNormal"/>
      </w:pPr>
    </w:p>
    <w:p w14:paraId="0BBD435C" w14:textId="77777777" w:rsidR="003754FE" w:rsidRDefault="003754FE" w:rsidP="003754FE">
      <w:pPr>
        <w:pStyle w:val="TextoNormal"/>
      </w:pPr>
      <w:r>
        <w:t>A modo de conclusión, en la demanda presentada por la Abogacía del Estado se precisa que no constituye objeto de la impugnación la proposición de ley de iniciativa popular referida, sino el acuerdo de la mesa del Parlamento de Cataluña que la admite a trámite, si bien se indica que es necesario examinar el contenido de esa iniciativa legislativa, como se hace en la demanda, porque pone de manifiesto su palmaria y evidente contradicción con la Constitución Española y con lo ordenado en multitud de ocasiones por el Tribunal Constitucional en muchos precedentes que se citan, algunos de ellos muy similares a este caso, que la mesa del Parlamento conocía sin duda (fue advertida expresamente por los letrados de la Cámara), lo que debería haber determinado la inadmisión de la iniciativa en cuestión. Además, lo que realmente significa esta iniciativa es una reforma constitucional encubierta, para la que la Constitución no contempla las iniciativas legislativas populares, por lo que debió también ser inadmitida por esta razón.</w:t>
      </w:r>
    </w:p>
    <w:p w14:paraId="549F89B0" w14:textId="77777777" w:rsidR="003754FE" w:rsidRDefault="003754FE" w:rsidP="003754FE">
      <w:pPr>
        <w:pStyle w:val="TextoNormal"/>
      </w:pPr>
    </w:p>
    <w:p w14:paraId="0F659107" w14:textId="34E3EB0E" w:rsidR="003754FE" w:rsidRDefault="003754FE" w:rsidP="003754FE">
      <w:pPr>
        <w:pStyle w:val="TextoNormal"/>
      </w:pPr>
      <w:r>
        <w:t xml:space="preserve">Añade el abogado del Estado que el Consejo de Estado, en su dictamen sobre la impugnabilidad del acuerdo de la mesa del Parlamento de Cataluña de 20 de febrero de 2024, concluye que ese acuerdo adolece de graves vicios de inconstitucionalidad, en la medida en que admite a trámite una proposición de ley cuyo contenido y fines encierran todo un </w:t>
      </w:r>
      <w:r>
        <w:lastRenderedPageBreak/>
        <w:t>proyecto de ruptura unilateral y de subversión del orden constitucional; que conculca específicamente preceptos vertebrales de la Constitución (como los arts. 1, 2, 9.1 y 3, 23, 147, 168), y desborda por completo el marco competencial de la Comunidad Autónoma de Cataluña de acuerdo con lo dispuesto en el capítulo II del título IV del Estatuto de Autonomía de Cataluña; y que, además, incumple abiertamente lo ya resuelto por el Tribunal Constitucional en distintas resoluciones, con pleno conocimiento de la mesa del Parlamento de Cataluña de tal incumplimiento de la doctrina constitucional, como así le fue advertido por los letrados de la Cámara.</w:t>
      </w:r>
    </w:p>
    <w:p w14:paraId="4675D45C" w14:textId="77777777" w:rsidR="003754FE" w:rsidRDefault="003754FE" w:rsidP="003754FE">
      <w:pPr>
        <w:pStyle w:val="TextoNormal"/>
      </w:pPr>
    </w:p>
    <w:p w14:paraId="61AD61A7" w14:textId="7EEC2B4D" w:rsidR="003754FE" w:rsidRDefault="003754FE" w:rsidP="003754FE">
      <w:pPr>
        <w:pStyle w:val="TextoNormal"/>
      </w:pPr>
      <w:r w:rsidRPr="003754FE">
        <w:rPr>
          <w:rStyle w:val="NumeroAFNegritaCaracter"/>
        </w:rPr>
        <w:t>3</w:t>
      </w:r>
      <w:r>
        <w:t>. El Pleno del Tribunal, por providencia de 9 de abril de 2024, acordó admitir a trámite la impugnación, dar traslado de la demanda y documentos presentados al Parlamento de Cataluña, por conducto de su presidenta, al objeto de que en el plazo de veinte días y, por medio de la representación procesal que determina el art. 82.2 LOTC, aportase cuantos documentos y alegaciones considerase convenientes; tener por invocado por el Gobierno el art. 161.2 CE, lo que, a su tenor y conforme dispone el art. 77 LOTC, produce la suspensión de la resolución impugnada desde el día 27 de marzo de 2024, fecha de interposición de la impugnación, que será comunicado a la presidenta del Parlamento de Cataluña; y, por último, publicar la incoación de la impugnación en el “Boletín Oficial del Estado” y en el “Diari Oficial de la Generalitat de Catalunya”. La publicación en el primero de ellos se produjo el 12 de abril de 2024, y en el segundo el 15 de abril de 2024.</w:t>
      </w:r>
    </w:p>
    <w:p w14:paraId="305E6CD2" w14:textId="77777777" w:rsidR="003754FE" w:rsidRDefault="003754FE" w:rsidP="003754FE">
      <w:pPr>
        <w:pStyle w:val="TextoNormal"/>
      </w:pPr>
    </w:p>
    <w:p w14:paraId="0F54B10D" w14:textId="77777777" w:rsidR="003754FE" w:rsidRDefault="003754FE" w:rsidP="003754FE">
      <w:pPr>
        <w:pStyle w:val="TextoNormal"/>
      </w:pPr>
      <w:r w:rsidRPr="003754FE">
        <w:rPr>
          <w:rStyle w:val="NumeroAFNegritaCaracter"/>
        </w:rPr>
        <w:t>4</w:t>
      </w:r>
      <w:r>
        <w:t>. Por escrito registrado en este tribunal el día 14 de mayo de 2024, el letrado del Parlamento de Cataluña, en representación y defensa de la Cámara, evacuó el trámite de alegaciones conferido que, en lo sustancial, se resume a continuación.</w:t>
      </w:r>
    </w:p>
    <w:p w14:paraId="39E66C55" w14:textId="77777777" w:rsidR="003754FE" w:rsidRDefault="003754FE" w:rsidP="003754FE">
      <w:pPr>
        <w:pStyle w:val="TextoNormal"/>
      </w:pPr>
    </w:p>
    <w:p w14:paraId="57DF663A" w14:textId="77777777" w:rsidR="003754FE" w:rsidRDefault="003754FE" w:rsidP="003754FE">
      <w:pPr>
        <w:pStyle w:val="TextoNormal"/>
      </w:pPr>
      <w:r>
        <w:t>Después de hacer mención a la doctrina constitucional sobre la vía de impugnación de disposiciones autonómicas prevista en el art. 161.2 CE y en el título V LOTC, alega que el acuerdo adoptado por la mesa de ese Parlamento no es una disposición normativa, ni puede ser considerado como una resolución a la que se refieren los arts. 161.2 CE y 76 LOTC susceptible de ser objeto de impugnación por esa vía. Para ello sería necesario que el acuerdo poseyera naturaleza jurídica, que fuera manifestación de la voluntad institucional de la comunidad autónoma, que no se presentara como un acto de trámite en el procedimiento de que se trate, y que tuviera, aunque sea indiciariamente, capacidad de producir efectos jurídicos (STC 259/2015, de 2 de diciembre).</w:t>
      </w:r>
    </w:p>
    <w:p w14:paraId="2F7B230B" w14:textId="77777777" w:rsidR="003754FE" w:rsidRDefault="003754FE" w:rsidP="003754FE">
      <w:pPr>
        <w:pStyle w:val="TextoNormal"/>
      </w:pPr>
    </w:p>
    <w:p w14:paraId="7C8741D8" w14:textId="77777777" w:rsidR="003754FE" w:rsidRDefault="003754FE" w:rsidP="003754FE">
      <w:pPr>
        <w:pStyle w:val="TextoNormal"/>
      </w:pPr>
      <w:r>
        <w:t>Sin embargo, según el letrado del Parlamento de Cataluña, el acuerdo impugnado no deja de ser un impulso del procedimiento que no prefigura la decisión final, sin que pueda ser entendido como una declaración de voluntad cierta y acabada, como un acto definitivo, como postula la Abogacía del Estado en la impugnación. La admisión de la iniciativa legislativa popular impulsa, como acto de trámite, el procedimiento, pero no produce la decisión final en el mismo; las infracciones normativas que hacen necesaria la defensa jurisdiccional del ordenamiento solo pueden ser causadas por normas, nunca por proyectos o intenciones normativas.</w:t>
      </w:r>
    </w:p>
    <w:p w14:paraId="56B38802" w14:textId="77777777" w:rsidR="003754FE" w:rsidRDefault="003754FE" w:rsidP="003754FE">
      <w:pPr>
        <w:pStyle w:val="TextoNormal"/>
      </w:pPr>
    </w:p>
    <w:p w14:paraId="6F2E25CC" w14:textId="77777777" w:rsidR="003754FE" w:rsidRDefault="003754FE" w:rsidP="003754FE">
      <w:pPr>
        <w:pStyle w:val="TextoNormal"/>
      </w:pPr>
      <w:r>
        <w:t xml:space="preserve">Continúa el letrado del Parlamento de Cataluña afirmando que los actos de calificación y admisión a trámite adoptados por los órganos rectores de las asambleas legislativas no son resoluciones a los efectos del procedimiento del título V LOTC, con referencia al pronunciamiento contenido en el ATC 135/2004, de 20 de abril, donde este Tribunal Constitucional </w:t>
      </w:r>
      <w:r>
        <w:lastRenderedPageBreak/>
        <w:t xml:space="preserve">concluía que ese tipo de actos despliegan sus efectos únicamente en el estricto ámbito del procedimiento parlamentario del que forman parte, y cuando se trata de iniciativas legislativas, su admisión a trámite carece de toda relevancia </w:t>
      </w:r>
      <w:r w:rsidRPr="003754FE">
        <w:rPr>
          <w:i/>
        </w:rPr>
        <w:t>ad extra</w:t>
      </w:r>
      <w:r>
        <w:t xml:space="preserve"> en tanto el procedimiento legislativo no concluya con la aprobación de la ley, contrayéndose los efectos jurídicos del acuerdo de admisión a los sujetos legitimados para participar en el procedimiento, por lo que tales actos pueden ser susceptibles del recurso de amparo para preservar el derecho fundamental de participación de esos sujetos, pero no del proceso impugnatorio del título V LOTC.</w:t>
      </w:r>
    </w:p>
    <w:p w14:paraId="663F472C" w14:textId="77777777" w:rsidR="003754FE" w:rsidRDefault="003754FE" w:rsidP="003754FE">
      <w:pPr>
        <w:pStyle w:val="TextoNormal"/>
      </w:pPr>
    </w:p>
    <w:p w14:paraId="1735F61E" w14:textId="77777777" w:rsidR="003754FE" w:rsidRDefault="003754FE" w:rsidP="003754FE">
      <w:pPr>
        <w:pStyle w:val="TextoNormal"/>
      </w:pPr>
      <w:r>
        <w:t>Entiende el letrado del Parlamento de Cataluña que la impugnación del Gobierno parte del grave equívoco de considerar que cualquier acto o resolución aprobada por el Parlamento, de la clase que sea, puede ser objeto idóneo del procedimiento de constitucionalidad del art. 161.2 CE, olvidando la naturaleza y alcance del acto de admisión a trámite y obviando, también, que la finalidad de la iniciativa legislativa popular es abrir un debate público sobre un asunto y forzar al Parlamento a pronunciarse. Y aduce, en fin, que no puede admitirse que, como alega el abogado del Estado, sea equiparable el acuerdo aquí impugnado con la resolución del presidente del Parlamento de Cataluña por la que se proponía candidato a la Presidencia de la Generalitat, y sobre cuya impugnabilidad por la vía del título V LOTC resolvió el ATC 49/2018, de 26 de abril.</w:t>
      </w:r>
    </w:p>
    <w:p w14:paraId="19A56ED3" w14:textId="77777777" w:rsidR="003754FE" w:rsidRDefault="003754FE" w:rsidP="003754FE">
      <w:pPr>
        <w:pStyle w:val="TextoNormal"/>
      </w:pPr>
    </w:p>
    <w:p w14:paraId="49443B92" w14:textId="77777777" w:rsidR="003754FE" w:rsidRDefault="003754FE" w:rsidP="003754FE">
      <w:pPr>
        <w:pStyle w:val="TextoNormal"/>
      </w:pPr>
      <w:r>
        <w:t>En segundo lugar, el letrado del Parlamento de Cataluña considera que la impugnación se dirige en realidad contra las ideas que se han plasmado en la propuesta legislativa y no contra un acto jurídico. Afirma que la intención política de la impugnación es impedir o bloquear el debate de un proyecto político legítimo y democrático, utilizando indebidamente la función de control de constitucionalidad que corresponde al Tribunal Constitucional, al atribuir al enunciado de una voluntad política una infracción constitucional real y efectiva, cuando el acuerdo de la mesa del Parlamento se ha limitado a iniciar los trámites que, en su caso, podrían permitir el debate de la iniciativa legislativa, de modo que la admisión a trámite no anticipa un pronunciamiento definitivo o una adhesión al contenido del texto presentado.</w:t>
      </w:r>
    </w:p>
    <w:p w14:paraId="081C5ED7" w14:textId="77777777" w:rsidR="003754FE" w:rsidRDefault="003754FE" w:rsidP="003754FE">
      <w:pPr>
        <w:pStyle w:val="TextoNormal"/>
      </w:pPr>
    </w:p>
    <w:p w14:paraId="30DF42C8" w14:textId="77777777" w:rsidR="003754FE" w:rsidRDefault="003754FE" w:rsidP="003754FE">
      <w:pPr>
        <w:pStyle w:val="TextoNormal"/>
      </w:pPr>
      <w:r>
        <w:t>Continúa el letrado del Parlamento razonando que la Constitución garantiza la libre difusión y expresión de ideas o proyectos, siempre que sea por medios políticos y de acuerdo con los principios democráticos, porque establece un marco suficientemente amplio para que en el mismo quepan y puedan defenderse opciones políticas de diferente signo, incluso las que no coincidan o encajen en los postulados constitucionales vigentes. Y añade, en relación con el contenido de la iniciativa legislativa popular, que en nuestro ordenamiento cabe la defensa de concepciones ideológicas que pretendan para una determinada colectividad la condición de comunidad nacional, incluso como principio desde el que procurar la conformación de una voluntad constitucionalmente legitimada para, mediando la oportuna e inexcusable reforma de la Constitución, traducir ese entendimiento en una realidad jurídica (con cita literal de la STC 31/2010, de 28 de junio).</w:t>
      </w:r>
    </w:p>
    <w:p w14:paraId="41F6A2D0" w14:textId="77777777" w:rsidR="003754FE" w:rsidRDefault="003754FE" w:rsidP="003754FE">
      <w:pPr>
        <w:pStyle w:val="TextoNormal"/>
      </w:pPr>
    </w:p>
    <w:p w14:paraId="1DBDFFCE" w14:textId="77777777" w:rsidR="003754FE" w:rsidRDefault="003754FE" w:rsidP="003754FE">
      <w:pPr>
        <w:pStyle w:val="TextoNormal"/>
      </w:pPr>
      <w:r>
        <w:t xml:space="preserve">La representación procesal del Parlamento concluye sus alegaciones sobre esta cuestión aludiendo a la interpretación amplia que ha fijado el Tribunal Europeo de Derechos Humanos de la libertad de opinión política y del pluralismo político derivados del art. 10 del Convenio europeo para la protección de los derechos humanos y de las libertades fundamentales (CEDH), interpretación que atribuye también a este Tribunal Constitucional; y </w:t>
      </w:r>
      <w:r>
        <w:lastRenderedPageBreak/>
        <w:t>afirma, finalmente, que la impugnación pretende someter a contraste constitucional una proposición que no ha entrado a formar parte del mundo del Derecho, impidiendo el debate de una idea política con el pretexto de que su explicitación en el acto formal de la proposición de ley es suficiente para deducir de ella efectos jurídicos.</w:t>
      </w:r>
    </w:p>
    <w:p w14:paraId="5159B79F" w14:textId="77777777" w:rsidR="003754FE" w:rsidRDefault="003754FE" w:rsidP="003754FE">
      <w:pPr>
        <w:pStyle w:val="TextoNormal"/>
      </w:pPr>
    </w:p>
    <w:p w14:paraId="1860E171" w14:textId="77777777" w:rsidR="003754FE" w:rsidRDefault="003754FE" w:rsidP="003754FE">
      <w:pPr>
        <w:pStyle w:val="TextoNormal"/>
      </w:pPr>
      <w:r>
        <w:t>A continuación, argumenta el letrado del Parlamento de Cataluña que a los actos de las mesas de los parlamentos de admisión a trámite de iniciativas les es exigible la adopción de la decisión más favorable a los derechos fundamentales implicados. En particular, razona que la iniciativa legislativa popular es un instrumento que forma parte del derecho fundamental de participación directa de los ciudadanos en los asuntos públicos; que el art. 29.3 EAC, dentro de los derechos de participación, reconoce a los ciudadanos de Cataluña el derecho a promover y presentar iniciativas legislativas al Parlamento; que las disposiciones dictadas por los poderes públicos de Cataluña sobre los derechos reconocidos en el estatuto deben interpretarse y aplicarse en el sentido más favorable para su plena efectividad (art. 37.1 EAC); y que la doctrina constitucional ha introducido un nuevo canon de control de los actos de las mesas de los parlamentos, que ha pasado de la prohibición de arbitrariedad al deber de adoptar la decisión más favorable al ejercicio del derecho invocado (con referencia a la STC 56/2022, de 5 de abril).</w:t>
      </w:r>
    </w:p>
    <w:p w14:paraId="652FA36D" w14:textId="77777777" w:rsidR="003754FE" w:rsidRDefault="003754FE" w:rsidP="003754FE">
      <w:pPr>
        <w:pStyle w:val="TextoNormal"/>
      </w:pPr>
    </w:p>
    <w:p w14:paraId="44E92861" w14:textId="77777777" w:rsidR="003754FE" w:rsidRDefault="003754FE" w:rsidP="003754FE">
      <w:pPr>
        <w:pStyle w:val="TextoNormal"/>
      </w:pPr>
      <w:r>
        <w:t>A partir de lo anterior, rebate el letrado del Parlamento de Cataluña las alegaciones de la Abogacía del Estado que entienden que las mesas de las asambleas legislativas deben realizar un mayor control sobre las proposiciones de ley de iniciativa legislativa popular, al preverse causas de inadmisibilidad de estas desde el punto de vista de su contenido, como preceptúa en concreto, respecto del acuerdo impugnado, el art. 6.2 de la Ley del Parlamento de Cataluña 1/2006, de 16 de febrero, de iniciativa legislativa popular. Entiende la representación letrada del Parlamento que, con base en la doctrina constitucional de la mencionada STC 56/2022, la mesa de esa cámara legislativa podía haber inadmitido la iniciativa siguiendo los precedentes y los informes, así como la literalidad de la normativa reguladora, pero podía optar también, como así hizo, por una alternativa más flexible, realizando una lectura amplia de las competencias de la Generalitat y del Parlamento de Cataluña, para entender que incluye las propuestas que se pueden elevar a las Cortes Generales, actuando así para ponderar y proteger el derecho afectado.</w:t>
      </w:r>
    </w:p>
    <w:p w14:paraId="186A45AB" w14:textId="77777777" w:rsidR="003754FE" w:rsidRDefault="003754FE" w:rsidP="003754FE">
      <w:pPr>
        <w:pStyle w:val="TextoNormal"/>
      </w:pPr>
    </w:p>
    <w:p w14:paraId="7AE0E6C7" w14:textId="77777777" w:rsidR="003754FE" w:rsidRDefault="003754FE" w:rsidP="003754FE">
      <w:pPr>
        <w:pStyle w:val="TextoNormal"/>
      </w:pPr>
      <w:r>
        <w:t xml:space="preserve">En este orden de cosas, razona el letrado del Parlamento de Cataluña que la autonomía parlamentaria reconocida a este en el art. 58 EAC exige otorgar a los órganos rectores de la Cámara un amplio margen de apreciación en la interpretación de la legalidad parlamentaria, aunque entiende que determinadas resoluciones del Tribunal Constitucional (cita las SSTC 24/2022, de 23 de febrero, y 46/2023, de 10 de mayo), en las que se juzgó que la admisión a trámite de algunas iniciativas parlamentarias había constituido un incumplimiento de lo previamente resuelto por aquel, en cuanto que suponen una severa limitación del debate parlamentario y colocan a la mesa, que es un órgano de garantía del buen funcionamiento de la Cámara, en un órgano que puede coartar el </w:t>
      </w:r>
      <w:r w:rsidRPr="003754FE">
        <w:rPr>
          <w:i/>
        </w:rPr>
        <w:t>ius in officium</w:t>
      </w:r>
      <w:r>
        <w:t xml:space="preserve"> de los parlamentarios, de modo que queda convertido en una réplica, a escala, del propio Tribunal Constitucional.</w:t>
      </w:r>
    </w:p>
    <w:p w14:paraId="7367D804" w14:textId="77777777" w:rsidR="003754FE" w:rsidRDefault="003754FE" w:rsidP="003754FE">
      <w:pPr>
        <w:pStyle w:val="TextoNormal"/>
      </w:pPr>
    </w:p>
    <w:p w14:paraId="288DDC91" w14:textId="77777777" w:rsidR="003754FE" w:rsidRDefault="003754FE" w:rsidP="003754FE">
      <w:pPr>
        <w:pStyle w:val="TextoNormal"/>
      </w:pPr>
      <w:r>
        <w:t xml:space="preserve">En cualquier caso, según el letrado del Parlamento de Cataluña, la Abogacía del Estado alcanza unas conclusiones equivocadas a partir de la doctrina constitucional sobre las funciones de las mesas de calificación y admisión a trámite de las iniciativas parlamentarias. A juicio de aquel, es insostenible que de esa doctrina se derive una obligación o un mandato </w:t>
      </w:r>
      <w:r>
        <w:lastRenderedPageBreak/>
        <w:t xml:space="preserve">de inadmisión de las iniciativas inconstitucionales, cuando lo que el Tribunal Constitucional ha establecido es únicamente que una mesa puede inadmitir una iniciativa con una inconstitucionalidad palmaria y evidente sin vulnerar, con ello, el derecho al </w:t>
      </w:r>
      <w:r w:rsidRPr="003754FE">
        <w:rPr>
          <w:i/>
        </w:rPr>
        <w:t>ius in officium</w:t>
      </w:r>
      <w:r>
        <w:t xml:space="preserve"> de los parlamentarios que la promueven (cita la STC 15/2022, de 8 de febrero).</w:t>
      </w:r>
    </w:p>
    <w:p w14:paraId="4E0BE9EB" w14:textId="77777777" w:rsidR="003754FE" w:rsidRDefault="003754FE" w:rsidP="003754FE">
      <w:pPr>
        <w:pStyle w:val="TextoNormal"/>
      </w:pPr>
    </w:p>
    <w:p w14:paraId="4828DCEA" w14:textId="77777777" w:rsidR="003754FE" w:rsidRDefault="003754FE" w:rsidP="003754FE">
      <w:pPr>
        <w:pStyle w:val="TextoNormal"/>
      </w:pPr>
      <w:r>
        <w:t>Todo lo anterior supone, en el criterio de la representación del Parlamento de Cataluña, la juridificación de un acto esencialmente político, pues no es fácil advertir, desde la perspectiva del derecho fundamental del art. 23 CE, que la celebración de un debate o la admisión a trámite de una iniciativa pueda afectar a los derechos de representación de los que no están de acuerdo con su contenido. Y añade que resulta indispensable la reconsideración de la doctrina contenida en las sentencias del Tribunal Constitucional dictadas en lo que se ha llamado el “proceso soberanista”, con el fin de preservar el equilibrio entre las instituciones y garantizar al Parlamento poder ejercer las funciones que le atribuye el marco constitucional y estatutario, sin que este tribunal interfiera en las mismas cuando ese ejercicio carezca del requisito necesario de juridicidad que lo legitime. Entiende el letrado del Parlamento de Cataluña que lo contrario sería admitir la existencia de un control sobre el ejercicio mismo de la función parlamentaria de impulso político, cuando se debe apelar a la necesaria autocontención del Tribunal Constitucional para evitar que invada la esfera propia de una cámara legislativa, con el riesgo de suplantar el poder de los representantes del pueblo por el gobierno de los jueces.</w:t>
      </w:r>
    </w:p>
    <w:p w14:paraId="0DFA7E35" w14:textId="77777777" w:rsidR="003754FE" w:rsidRDefault="003754FE" w:rsidP="003754FE">
      <w:pPr>
        <w:pStyle w:val="TextoNormal"/>
      </w:pPr>
    </w:p>
    <w:p w14:paraId="3121A810" w14:textId="77777777" w:rsidR="003754FE" w:rsidRDefault="003754FE" w:rsidP="003754FE">
      <w:pPr>
        <w:pStyle w:val="TextoNormal"/>
      </w:pPr>
      <w:r>
        <w:t>Finalmente, entiende el letrado del Parlamento de Cataluña que, junto con las expresiones protegidas por el contenido esencial e indisponible del derecho fundamental de participación, en su vertiente de participación directa en la función legislativa a través de la iniciativa legislativa popular, hay otras expresiones de ese derecho sobre las que se proyecta un mandato a los poderes públicos de prohibición de conductas que causen un efecto paralizador, desalentador o disuasorio, para el ejercicio del derecho, que solo podrá ser restringido de manera proporcionada. Y concluye que, con la iniciativa legislativa popular cuestionada, se ha producido una actuación que es limítrofe con el legítimo ejercicio del derecho de participación política que comparte con este su finalidad de fomentar el debate público, por lo que, aunque no esté en juego el contenido esencial de ese derecho fundamental, la inadmisión por la mesa del Parlamento de la iniciativa legislativa popular habría sido una consecuencia desmedidamente gravosa que habría desalentado el ejercicio de un derecho fundamental y estatutario.</w:t>
      </w:r>
    </w:p>
    <w:p w14:paraId="737F5161" w14:textId="77777777" w:rsidR="003754FE" w:rsidRDefault="003754FE" w:rsidP="003754FE">
      <w:pPr>
        <w:pStyle w:val="TextoNormal"/>
      </w:pPr>
    </w:p>
    <w:p w14:paraId="4E28A859" w14:textId="22D1517F" w:rsidR="003754FE" w:rsidRDefault="003754FE" w:rsidP="003754FE">
      <w:pPr>
        <w:pStyle w:val="TextoNormal"/>
      </w:pPr>
      <w:r>
        <w:t>Por todo lo anterior, la representación del Parlamento de Cataluña solicita que se dicte sentencia por la que se declare la plena constitucionalidad del acuerdo de la mesa de esa cámara objeto de este proceso constitucional, que decide admitir a trámite la iniciativa legislativa popular relativa a la “Proposición de ley de declaración de la independencia de Cataluña”.</w:t>
      </w:r>
    </w:p>
    <w:p w14:paraId="7B30CE15" w14:textId="77777777" w:rsidR="003754FE" w:rsidRDefault="003754FE" w:rsidP="003754FE">
      <w:pPr>
        <w:pStyle w:val="TextoNormal"/>
      </w:pPr>
    </w:p>
    <w:p w14:paraId="610FF605" w14:textId="77777777" w:rsidR="003754FE" w:rsidRDefault="003754FE" w:rsidP="003754FE">
      <w:pPr>
        <w:pStyle w:val="TextoNormal"/>
      </w:pPr>
      <w:r w:rsidRPr="003754FE">
        <w:rPr>
          <w:rStyle w:val="NumeroAFNegritaCaracter"/>
        </w:rPr>
        <w:t>5</w:t>
      </w:r>
      <w:r>
        <w:t>. Ante la proximidad del cumplimiento del plazo de cinco meses previsto en el art. 161.2 CE, por diligencia de ordenación del secretario de justicia del Pleno del Tribunal Constitucional de 1 de julio de 2024, se acordó oír por plazo común de tres días al abogado del Estado y al letrado del Parlamento de Cataluña antes de decidir sobre el levantamiento o la ratificación de la suspensión acordada en la providencia de admisión de la impugnación.</w:t>
      </w:r>
    </w:p>
    <w:p w14:paraId="7FD54CF4" w14:textId="77777777" w:rsidR="003754FE" w:rsidRDefault="003754FE" w:rsidP="003754FE">
      <w:pPr>
        <w:pStyle w:val="TextoNormal"/>
      </w:pPr>
    </w:p>
    <w:p w14:paraId="36160C66" w14:textId="77777777" w:rsidR="003754FE" w:rsidRDefault="003754FE" w:rsidP="003754FE">
      <w:pPr>
        <w:pStyle w:val="TextoNormal"/>
      </w:pPr>
      <w:r>
        <w:lastRenderedPageBreak/>
        <w:t>El abogado del Estado evacuó el trámite conferido mediante escrito registrado en este tribunal el 5 de julio de 2024, interesando el mantenimiento de la resolución impugnada, dada la trascendencia constitucional de la controversia suscitada.</w:t>
      </w:r>
    </w:p>
    <w:p w14:paraId="51D8BD4C" w14:textId="77777777" w:rsidR="003754FE" w:rsidRDefault="003754FE" w:rsidP="003754FE">
      <w:pPr>
        <w:pStyle w:val="TextoNormal"/>
      </w:pPr>
    </w:p>
    <w:p w14:paraId="3B7866CB" w14:textId="77777777" w:rsidR="003754FE" w:rsidRDefault="003754FE" w:rsidP="003754FE">
      <w:pPr>
        <w:pStyle w:val="TextoNormal"/>
      </w:pPr>
      <w:r>
        <w:t>El letrado del Parlamento de Cataluña, mediante escrito presentado en este tribunal el 9 de julio de 2024, interesó el alzamiento de la suspensión del acuerdo impugnado, dada la naturaleza excepcional de la institución suspensiva del art. 161.2 CE, y por no existir perjuicios reales de imposible o difícil reparación que pueda producir la aplicación del acuerdo impugnado, produciéndose más bien esos perjuicios si se mantuviese la suspensión.</w:t>
      </w:r>
    </w:p>
    <w:p w14:paraId="164583C7" w14:textId="77777777" w:rsidR="003754FE" w:rsidRDefault="003754FE" w:rsidP="003754FE">
      <w:pPr>
        <w:pStyle w:val="TextoNormal"/>
      </w:pPr>
    </w:p>
    <w:p w14:paraId="462CCBF1" w14:textId="55D355A8" w:rsidR="003754FE" w:rsidRDefault="003754FE" w:rsidP="003754FE">
      <w:pPr>
        <w:pStyle w:val="TextoNormal"/>
      </w:pPr>
      <w:r>
        <w:t>Mediante el ATC 72/2024, de 16 de julio, se acordó el mantenimiento de la suspensión del acuerdo de la mesa del Parlamento de Cataluña, al versar la impugnación sobre una cuestión de gran relieve o trascendencia constitucional, por suscitarse cuestiones que inciden en la defensa de la integridad misma de la Constitución.</w:t>
      </w:r>
    </w:p>
    <w:p w14:paraId="74A498BC" w14:textId="77777777" w:rsidR="003754FE" w:rsidRDefault="003754FE" w:rsidP="003754FE">
      <w:pPr>
        <w:pStyle w:val="TextoNormal"/>
      </w:pPr>
    </w:p>
    <w:p w14:paraId="1707B490" w14:textId="1DA6B7B4" w:rsidR="003754FE" w:rsidRDefault="003754FE" w:rsidP="003754FE">
      <w:pPr>
        <w:pStyle w:val="TextoNormal"/>
      </w:pPr>
      <w:r w:rsidRPr="003754FE">
        <w:rPr>
          <w:rStyle w:val="NumeroAFNegritaCaracter"/>
        </w:rPr>
        <w:t>6</w:t>
      </w:r>
      <w:r>
        <w:t>. Mediante providencia de 19 de noviembre de 2024 se señaló para deliberación y votación de la presente sentencia el día 20 del mismo mes y año.</w:t>
      </w:r>
    </w:p>
    <w:p w14:paraId="45F75517" w14:textId="77777777" w:rsidR="003754FE" w:rsidRDefault="003754FE" w:rsidP="003754FE">
      <w:pPr>
        <w:pStyle w:val="TextoNormal"/>
      </w:pPr>
    </w:p>
    <w:p w14:paraId="26834788" w14:textId="77777777" w:rsidR="003754FE" w:rsidRDefault="003754FE" w:rsidP="003754FE">
      <w:pPr>
        <w:pStyle w:val="TextoNormalNegritaCentrado"/>
        <w:keepNext/>
      </w:pPr>
      <w:r>
        <w:t>II. Fundamentos jurídicos</w:t>
      </w:r>
    </w:p>
    <w:p w14:paraId="50AA9848" w14:textId="3BA0E523" w:rsidR="003754FE" w:rsidRDefault="003754FE" w:rsidP="003754FE">
      <w:pPr>
        <w:pStyle w:val="TextoNormalNegritaCentrado"/>
        <w:keepNext/>
      </w:pPr>
    </w:p>
    <w:p w14:paraId="7DFE5304" w14:textId="77777777" w:rsidR="003754FE" w:rsidRDefault="003754FE" w:rsidP="003754FE">
      <w:pPr>
        <w:pStyle w:val="TextoNormal"/>
      </w:pPr>
      <w:r w:rsidRPr="003754FE">
        <w:rPr>
          <w:rStyle w:val="NumeroAFNegritaCaracter"/>
        </w:rPr>
        <w:t>1</w:t>
      </w:r>
      <w:r>
        <w:t xml:space="preserve">. </w:t>
      </w:r>
      <w:r w:rsidRPr="003754FE">
        <w:rPr>
          <w:i/>
        </w:rPr>
        <w:t>Objeto del proceso y posiciones de las partes</w:t>
      </w:r>
    </w:p>
    <w:p w14:paraId="0D84043B" w14:textId="77777777" w:rsidR="003754FE" w:rsidRDefault="003754FE" w:rsidP="003754FE">
      <w:pPr>
        <w:pStyle w:val="TextoNormal"/>
      </w:pPr>
    </w:p>
    <w:p w14:paraId="67EA1CB8" w14:textId="77777777" w:rsidR="003754FE" w:rsidRDefault="003754FE" w:rsidP="003754FE">
      <w:pPr>
        <w:pStyle w:val="TextoNormal"/>
      </w:pPr>
      <w:r>
        <w:t>El Gobierno impugna, por el cauce de los artículos 161.2 CE y 76 y 77 de la Ley Orgánica del Tribunal Constitucional (LOTC), el acuerdo de la mesa del Parlamento de Cataluña, de 20 de febrero de 2024, por el que se admite a trámite la iniciativa legislativa popular denominada “Proposición de ley de declaración de la independencia de Cataluña”. En los antecedentes de esta sentencia se ha dejado constancia del contenido de ese acuerdo en su única versión oficial, en catalán, publicada en el “Butlletí Oficial del Parlament de Catalunya” núm. 771, de 22 de febrero de 2024, así como del texto de la proposición de ley en esa misma versión oficial en lengua catalana. Para una más adecuada comprensión del objeto de la impugnación planteada, nos serviremos de la traducción al castellano del acuerdo y del articulado de la proposición de ley aportada por el abogado del Estado en su escrito rector y reproducida en los antecedentes, no cuestionada por la representación del Parlamento de Cataluña. El acuerdo tiene el siguiente contenido:</w:t>
      </w:r>
    </w:p>
    <w:p w14:paraId="4AE7285F" w14:textId="77777777" w:rsidR="003754FE" w:rsidRDefault="003754FE" w:rsidP="003754FE">
      <w:pPr>
        <w:pStyle w:val="TextoNormal"/>
      </w:pPr>
    </w:p>
    <w:p w14:paraId="39DB58E4" w14:textId="77777777" w:rsidR="003754FE" w:rsidRDefault="003754FE" w:rsidP="003754FE">
      <w:pPr>
        <w:pStyle w:val="TextoNormal"/>
      </w:pPr>
      <w:r>
        <w:t>“Acuerdo: visto lo que establecen los artículos 1 al 6 de la Ley 1/2006, de 16 de febrero, de la iniciativa legislativa popular, y 111.d y concordantes del Reglamento se acuerda admitir a trámite la iniciativa; asimismo, de conformidad con el artículo 6.5 de la Ley 1/2006, de 16 de febrero, de la iniciativa legislativa popular, se acuerda comunicarlo a la comisión de control y a la comisión promotora de la iniciativa legislativa popular, para que la perfeccione con la recogida de un mínimo de 50 000 firmas debidamente autenticadas, de acuerdo con lo dispuesto en dicha ley”.</w:t>
      </w:r>
    </w:p>
    <w:p w14:paraId="778DA59F" w14:textId="77777777" w:rsidR="003754FE" w:rsidRDefault="003754FE" w:rsidP="003754FE">
      <w:pPr>
        <w:pStyle w:val="TextoNormal"/>
      </w:pPr>
    </w:p>
    <w:p w14:paraId="1587C594" w14:textId="77777777" w:rsidR="003754FE" w:rsidRDefault="003754FE" w:rsidP="003754FE">
      <w:pPr>
        <w:pStyle w:val="TextoNormal"/>
      </w:pPr>
      <w:r>
        <w:t xml:space="preserve">En lo esencial, las alegaciones formuladas por la Abogacía del Estado afirman la idoneidad del procedimiento regulado en el título V LOTC para impugnar el acuerdo de la mesa del Parlamento de Cataluña objeto de este procedimiento, puesto que tal acuerdo expresa una voluntad institucional cierta y acabada de ese Parlamento, posee naturaleza jurídica, y </w:t>
      </w:r>
      <w:r>
        <w:lastRenderedPageBreak/>
        <w:t>tiene capacidad para producir efectos externos. A su vez, las alegaciones razonan que el contenido y los fines de la proposición de ley son contrarios de manera palmaria a la Constitución, incumpliendo abiertamente lo ya resuelto en anteriores ocasiones por este tribunal, y supone una reforma encubierta del texto constitucional, razones por las que la mesa debió haber inadmitido a trámite la iniciativa.</w:t>
      </w:r>
    </w:p>
    <w:p w14:paraId="43FBBD24" w14:textId="77777777" w:rsidR="003754FE" w:rsidRDefault="003754FE" w:rsidP="003754FE">
      <w:pPr>
        <w:pStyle w:val="TextoNormal"/>
      </w:pPr>
    </w:p>
    <w:p w14:paraId="79E4C6A9" w14:textId="0032F730" w:rsidR="003754FE" w:rsidRDefault="003754FE" w:rsidP="003754FE">
      <w:pPr>
        <w:pStyle w:val="TextoNormal"/>
      </w:pPr>
      <w:r>
        <w:t>Por su parte, el letrado del Parlamento de Cataluña aduce que el acuerdo recurrido es un acto de trámite que impulsa el procedimiento parlamentario, sin que pueda ser entendido como una declaración de voluntad cierta y acabada; y, desde este punto de vista, entiende que la impugnación se dirige en realidad contra las ideas que se han plasmado en la propuesta legislativa y no contra un acto jurídico. Además, argumenta que a la mesa del Parlamento le era exigible adoptar la decisión más favorable al derecho fundamental de participación política ejercido con la iniciativa legislativa popular, dentro del amplio margen de apreciación en la interpretación de la legalidad parlamentaria que le otorga el Estatuto de Autonomía, y que aquella no venía obligada a inadmitir la iniciativa porque su contenido fuera contrario a la Constitución, ya que lo que se desprende únicamente de la doctrina constitucional es que podía haberlo hecho sin contravenir el derecho fundamental de participación; concluyendo, en fin, que la inadmisión de la iniciativa habría sido una consecuencia desmedidamente gravosa desalentadora del ejercicio de ese derecho.</w:t>
      </w:r>
    </w:p>
    <w:p w14:paraId="771C401E" w14:textId="77777777" w:rsidR="003754FE" w:rsidRDefault="003754FE" w:rsidP="003754FE">
      <w:pPr>
        <w:pStyle w:val="TextoNormal"/>
      </w:pPr>
    </w:p>
    <w:p w14:paraId="6F023C8B" w14:textId="77777777" w:rsidR="003754FE" w:rsidRDefault="003754FE" w:rsidP="003754FE">
      <w:pPr>
        <w:pStyle w:val="TextoNormal"/>
      </w:pPr>
      <w:r w:rsidRPr="003754FE">
        <w:rPr>
          <w:rStyle w:val="NumeroAFNegritaCaracter"/>
        </w:rPr>
        <w:t>2</w:t>
      </w:r>
      <w:r>
        <w:t xml:space="preserve">. </w:t>
      </w:r>
      <w:r w:rsidRPr="003754FE">
        <w:rPr>
          <w:i/>
        </w:rPr>
        <w:t>Sobre la alegada inidoneidad del acuerdo impugnado para ser objeto de este procedimiento</w:t>
      </w:r>
    </w:p>
    <w:p w14:paraId="0CFFBB56" w14:textId="77777777" w:rsidR="003754FE" w:rsidRDefault="003754FE" w:rsidP="003754FE">
      <w:pPr>
        <w:pStyle w:val="TextoNormal"/>
      </w:pPr>
    </w:p>
    <w:p w14:paraId="1C74CEB3" w14:textId="77777777" w:rsidR="003754FE" w:rsidRDefault="003754FE" w:rsidP="003754FE">
      <w:pPr>
        <w:pStyle w:val="TextoNormal"/>
      </w:pPr>
      <w:r>
        <w:t xml:space="preserve">El letrado del Parlamento de Cataluña alega que los actos de calificación y de admisión a trámite adoptados por los órganos rectores de las asambleas legislativas no son resoluciones a los efectos del procedimiento del título V LOTC, basándose para razonar en ese sentido en la doctrina contenida en el ATC 135/2004, de 20 de abril. Entiende que el acuerdo aquí impugnado, dada su singular naturaleza, despliega sus efectos únicamente en el estricto ámbito del procedimiento legislativo del que forma parte, sin relevancia </w:t>
      </w:r>
      <w:r w:rsidRPr="003754FE">
        <w:rPr>
          <w:i/>
        </w:rPr>
        <w:t>ad extra</w:t>
      </w:r>
      <w:r>
        <w:t xml:space="preserve"> hasta que ese procedimiento no concluya, en su caso, con la aprobación de la ley, y ciñéndose sus efectos jurídicos exclusivamente </w:t>
      </w:r>
      <w:r w:rsidRPr="003754FE">
        <w:rPr>
          <w:i/>
        </w:rPr>
        <w:t>ad intra</w:t>
      </w:r>
      <w:r>
        <w:t xml:space="preserve"> de la Cámara legislativa, respecto de los sujetos llamados a participar en ese procedimiento, los cuales podrían actuar frente a ese acuerdo a través del recurso de amparo para preservar su derecho fundamental de participación.</w:t>
      </w:r>
    </w:p>
    <w:p w14:paraId="1D39C662" w14:textId="77777777" w:rsidR="003754FE" w:rsidRDefault="003754FE" w:rsidP="003754FE">
      <w:pPr>
        <w:pStyle w:val="TextoNormal"/>
      </w:pPr>
    </w:p>
    <w:p w14:paraId="6DD0CFB3" w14:textId="77777777" w:rsidR="003754FE" w:rsidRDefault="003754FE" w:rsidP="003754FE">
      <w:pPr>
        <w:pStyle w:val="TextoNormal"/>
      </w:pPr>
      <w:r>
        <w:t>Sin embargo, por las razones que se expondrán a continuación, ha de estimarse que la resolución impugnada en esta causa es objeto idóneo del procedimiento de impugnación de disposiciones autonómicas regulado en el art. 161.2 CE y en el título V LOTC.</w:t>
      </w:r>
    </w:p>
    <w:p w14:paraId="2FC26F5D" w14:textId="77777777" w:rsidR="003754FE" w:rsidRDefault="003754FE" w:rsidP="003754FE">
      <w:pPr>
        <w:pStyle w:val="TextoNormal"/>
      </w:pPr>
    </w:p>
    <w:p w14:paraId="3790AD87" w14:textId="77777777" w:rsidR="003754FE" w:rsidRDefault="003754FE" w:rsidP="003754FE">
      <w:pPr>
        <w:pStyle w:val="TextoNormal"/>
      </w:pPr>
      <w:r>
        <w:t>a) En nuestra doctrina está fuera de cuestión la posibilidad de que actos o acuerdos procedentes de las asambleas legislativas de las comunidades autónomas puedan ser objeto del proceso constitucional regulado por la vía prevista en el art. 161.2 CE y en el título V LOTC, tanto si han sido adoptados por la presidencia o la mesa, como si lo han sido por el propio Pleno de la Cámara (SSTC 16/1984, de 6 de febrero; 42/2014, de 25 de marzo, y 19/2019, de 12 de febrero; ATC 135/2004, de 20 de abril, FJ 4).</w:t>
      </w:r>
    </w:p>
    <w:p w14:paraId="61A1529A" w14:textId="77777777" w:rsidR="003754FE" w:rsidRDefault="003754FE" w:rsidP="003754FE">
      <w:pPr>
        <w:pStyle w:val="TextoNormal"/>
      </w:pPr>
    </w:p>
    <w:p w14:paraId="4E87D794" w14:textId="77777777" w:rsidR="003754FE" w:rsidRDefault="003754FE" w:rsidP="003754FE">
      <w:pPr>
        <w:pStyle w:val="TextoNormal"/>
      </w:pPr>
      <w:r>
        <w:t xml:space="preserve">Cualquiera que sea el tipo de resolución adoptada por una asamblea legislativa autonómica, para que “pueda ser objeto de impugnación a través del referido proceso constitucional es necesario que posea naturaleza jurídica; que sea, además, manifestación de la </w:t>
      </w:r>
      <w:r>
        <w:lastRenderedPageBreak/>
        <w:t>voluntad institucional de la comunidad autónoma, esto es, que proceda de órganos capaces de expresar la voluntad de esta y no se presente como un acto de trámite en el procedimiento de que se trate; y, por último, que tenga, siquiera indiciariamente, capacidad para producir efectos jurídicos” (STC 259/2015, de 2 de diciembre, FJ 2, con referencia a la STC 42/2014, FJ 2, y al ATC 135/2004).</w:t>
      </w:r>
    </w:p>
    <w:p w14:paraId="03D1D6ED" w14:textId="77777777" w:rsidR="003754FE" w:rsidRDefault="003754FE" w:rsidP="003754FE">
      <w:pPr>
        <w:pStyle w:val="TextoNormal"/>
      </w:pPr>
    </w:p>
    <w:p w14:paraId="6D5995C1" w14:textId="77777777" w:rsidR="003754FE" w:rsidRDefault="003754FE" w:rsidP="003754FE">
      <w:pPr>
        <w:pStyle w:val="TextoNormal"/>
      </w:pPr>
      <w:r>
        <w:t>En particular, la resolución de la mesa del Parlamento aquí impugnada decide sobre la admisión a trámite de una iniciativa legislativa popular, por lo que debemos verificar, además, si es de aplicación a este acuerdo lo fundamentado en el ATC 135/2004, FJ 7, donde este Tribunal Constitucional se debió pronunciar también sobre el acuerdo de la mesa de una asamblea legislativa, en aquel caso la del Parlamento Vasco, que admitía a trámite una iniciativa normativa, en concreto una propuesta de reforma del estatuto de autonomía de esa comunidad autónoma presentada por el Gobierno de la comunidad. En aquella ocasión, concluimos:</w:t>
      </w:r>
    </w:p>
    <w:p w14:paraId="5A795C58" w14:textId="77777777" w:rsidR="003754FE" w:rsidRDefault="003754FE" w:rsidP="003754FE">
      <w:pPr>
        <w:pStyle w:val="TextoNormal"/>
      </w:pPr>
    </w:p>
    <w:p w14:paraId="535DD59E" w14:textId="77777777" w:rsidR="003754FE" w:rsidRDefault="003754FE" w:rsidP="003754FE">
      <w:pPr>
        <w:pStyle w:val="TextoNormal"/>
      </w:pPr>
      <w:r>
        <w:t xml:space="preserve">“[E]l proceso impugnatorio del título V LOTC se inserta en el marco de las relaciones y mecanismos de control entre el Estado y las comunidades autónomas, no pudiendo constituir objeto del mismo los acuerdos de las mesas de la Cámara de calificación y admisión a trámite de una iniciativa legislativa, por desplegar estos sus efectos únicamente en el estricto ámbito del procedimiento parlamentario del que forman parte y para los sujetos legitimados a participar en el mismo, presentando solo relevancia </w:t>
      </w:r>
      <w:r w:rsidRPr="003754FE">
        <w:rPr>
          <w:i/>
        </w:rPr>
        <w:t>ad extra</w:t>
      </w:r>
      <w:r>
        <w:t xml:space="preserve">, si el procedimiento concluye con la aprobación de la ley […]. En otras palabras, los posibles vicios en los que puedan incurrir los actos que se insertan en la tramitación del procedimiento legislativo carecen de toda relevancia </w:t>
      </w:r>
      <w:r w:rsidRPr="003754FE">
        <w:rPr>
          <w:i/>
        </w:rPr>
        <w:t>ad extra</w:t>
      </w:r>
      <w:r>
        <w:t xml:space="preserve"> en tanto este no concluya con la aprobación de la ley que lo culmine, y, precisamente porque entre tanto sus efectos jurídicos se contraen estrictamente al procedimiento parlamentario y a los sujetos legitimados a participar en el mismo, [no] pueden constituir objeto idóneo […] del proceso impugnatorio del título V de la Ley Orgánica del Tribunal Constitucional”.</w:t>
      </w:r>
    </w:p>
    <w:p w14:paraId="09DF1780" w14:textId="77777777" w:rsidR="003754FE" w:rsidRDefault="003754FE" w:rsidP="003754FE">
      <w:pPr>
        <w:pStyle w:val="TextoNormal"/>
      </w:pPr>
    </w:p>
    <w:p w14:paraId="395D0DC6" w14:textId="77777777" w:rsidR="003754FE" w:rsidRDefault="003754FE" w:rsidP="003754FE">
      <w:pPr>
        <w:pStyle w:val="TextoNormal"/>
      </w:pPr>
      <w:r>
        <w:t>Sin embargo, frente a lo expuesto por el letrado del Parlamento de Cataluña, deben quedar al margen de nuestra consideración, por no guardar relación con el presente caso, de un lado, las resoluciones que fueron objeto de las impugnaciones resueltas en las SSTC 42/2014 y 259/2015. En estas nos enfrentábamos con una decisión plenaria que culminaba un procedimiento parlamentario en el que la asamblea legislativa autonómica, el Parlamento de Cataluña, había expresado de manera definitiva su voluntad institucional en la forma de resoluciones; y la cuestión principal que debimos abordar entonces fue si esas resoluciones, en su condición de acuerdos de impulso político de la acción de gobierno, producían auténticos efectos jurídicos.</w:t>
      </w:r>
    </w:p>
    <w:p w14:paraId="356546E2" w14:textId="77777777" w:rsidR="003754FE" w:rsidRDefault="003754FE" w:rsidP="003754FE">
      <w:pPr>
        <w:pStyle w:val="TextoNormal"/>
      </w:pPr>
    </w:p>
    <w:p w14:paraId="768E87BF" w14:textId="77777777" w:rsidR="003754FE" w:rsidRDefault="003754FE" w:rsidP="003754FE">
      <w:pPr>
        <w:pStyle w:val="TextoNormal"/>
      </w:pPr>
      <w:r>
        <w:t xml:space="preserve">Tampoco se asemeja el acuerdo de la mesa del Parlamento de Cataluña que nos ocupa al acuerdo del presidente del Parlamento de Navarra en el que proponía presidente de esa comunidad autónoma para su nombramiento por el rey, y de cuya impugnación conocimos en la STC 16/1984. En aquella ocasión, en razón del procedimiento de investidura automática que se preveía, entonces, en la Ley Orgánica de reintegración y amejoramiento del régimen foral de Navarra (Ley Orgánica 13/1982, de 10 de agosto), el presidente de ese parlamento, con aquella propuesta, expresaba de manera definitiva la voluntad de la comunidad autónoma, es decir, no realizaba un mero acto de trámite, aunque esa designación, en virtud del </w:t>
      </w:r>
      <w:r>
        <w:lastRenderedPageBreak/>
        <w:t>carácter compuesto del acto de nombramiento del presidente autonómico, debiera perfeccionarse después con el nombramiento del Rey refrendado por el presidente del Gobierno.</w:t>
      </w:r>
    </w:p>
    <w:p w14:paraId="2D726B92" w14:textId="77777777" w:rsidR="003754FE" w:rsidRDefault="003754FE" w:rsidP="003754FE">
      <w:pPr>
        <w:pStyle w:val="TextoNormal"/>
      </w:pPr>
    </w:p>
    <w:p w14:paraId="4C4BB3DB" w14:textId="77777777" w:rsidR="003754FE" w:rsidRDefault="003754FE" w:rsidP="003754FE">
      <w:pPr>
        <w:pStyle w:val="TextoNormal"/>
      </w:pPr>
      <w:r>
        <w:t>A diferencia de los supuestos que se acaban de referir, sí que constituyen antecedentes que han de ser tenidos en cuenta para determinar la idoneidad de la resolución aquí impugnada como objeto de este procedimiento constitucional, no solo el ATC 135/2004 ya mencionado, en tanto exige acreditar que la resolución de admisión de una iniciativa legislativa popular no supone un simple acto de trámite que se inserta en un procedimiento legislativo en el que la voluntad del Parlamento y, por tanto, la de la comunidad autónoma, no se ha expresado aún de manera definitiva (institucional); sino también el ATC 49/2018, de 26 de abril, en tanto concluye en su fundamento jurídico 3, que determinados actos de los órganos rectores de las asambleas legislativas autonómicas (como era en aquel caso la propuesta de candidato a la presidencia de la comunidad autónoma, para su investidura, formulada por el presidente del Parlamento), aunque tengan cierta condición de actos de trámite porque se inserten en un procedimiento parlamentario que ha de seguirse para que la Cámara exprese una voluntad definitiva —institucional— (en aquel caso, la elección del presidente autonómico por la asamblea legislativa), al mismo tiempo pueden expresar la voluntad cierta y acabada de ese órgano de la Cámara en el ejercicio de una función institucional y, por tanto, ser objeto del procedimiento constitucional del título V LOTC.</w:t>
      </w:r>
    </w:p>
    <w:p w14:paraId="17E87909" w14:textId="77777777" w:rsidR="003754FE" w:rsidRDefault="003754FE" w:rsidP="003754FE">
      <w:pPr>
        <w:pStyle w:val="TextoNormal"/>
      </w:pPr>
    </w:p>
    <w:p w14:paraId="02F3FD21" w14:textId="77777777" w:rsidR="003754FE" w:rsidRDefault="003754FE" w:rsidP="003754FE">
      <w:pPr>
        <w:pStyle w:val="TextoNormal"/>
      </w:pPr>
      <w:r>
        <w:t xml:space="preserve">b) En el marco de la doctrina constitucional que acaba de ser expuesta, debemos concluir que la resolución de la mesa del Parlamento de Cataluña que admite a trámite la iniciativa legislativa popular denominada “Proposición de ley de declaración de la independencia de Cataluña” cumple con las condiciones exigibles a las resoluciones que pueden impugnarse por el procedimiento constitucional que nos ocupa, y no incurre en la condición de ser un simple acto inserto en un procedimiento legislativo con efectos únicamente </w:t>
      </w:r>
      <w:r w:rsidRPr="003754FE">
        <w:rPr>
          <w:i/>
        </w:rPr>
        <w:t>ad intra</w:t>
      </w:r>
      <w:r>
        <w:t xml:space="preserve"> del Parlamento de Cataluña.</w:t>
      </w:r>
    </w:p>
    <w:p w14:paraId="429A3CD9" w14:textId="77777777" w:rsidR="003754FE" w:rsidRDefault="003754FE" w:rsidP="003754FE">
      <w:pPr>
        <w:pStyle w:val="TextoNormal"/>
      </w:pPr>
    </w:p>
    <w:p w14:paraId="2CC38200" w14:textId="77777777" w:rsidR="003754FE" w:rsidRDefault="003754FE" w:rsidP="003754FE">
      <w:pPr>
        <w:pStyle w:val="TextoNormal"/>
      </w:pPr>
      <w:r>
        <w:t xml:space="preserve">En este sentido, la función que corresponde a la mesa del Parlamento de Cataluña en la admisión a trámite de una iniciativa legislativa popular tiene una entidad propia, distinta a la que ejerce cuando el órgano de gobierno de una cámara legislativa decide sobre la admisión a trámite de las iniciativas de origen parlamentario o gubernamental. De este modo podríamos entender esa función como un </w:t>
      </w:r>
      <w:r w:rsidRPr="003754FE">
        <w:rPr>
          <w:i/>
        </w:rPr>
        <w:t>tertium genus</w:t>
      </w:r>
      <w:r>
        <w:t xml:space="preserve"> que, sin ser igual a la función institucional que ejerce el presidente del Parlamento al proponer un candidato a la investidura como presidente de la comunidad autónoma (ATC 49/2018), tampoco es identificable con la que lleva a cabo la mesa al pronunciarse sobre la admisión de las iniciativas legislativas del Gobierno o de las propias cámaras (ATC 135/2004).</w:t>
      </w:r>
    </w:p>
    <w:p w14:paraId="4DBA7C9E" w14:textId="77777777" w:rsidR="003754FE" w:rsidRDefault="003754FE" w:rsidP="003754FE">
      <w:pPr>
        <w:pStyle w:val="TextoNormal"/>
      </w:pPr>
    </w:p>
    <w:p w14:paraId="4C9A2A1C" w14:textId="77777777" w:rsidR="003754FE" w:rsidRDefault="003754FE" w:rsidP="003754FE">
      <w:pPr>
        <w:pStyle w:val="TextoNormal"/>
      </w:pPr>
      <w:r>
        <w:t xml:space="preserve">La función que ejercen las mesas de las cámaras en relación con la calificación y admisión a trámite de las iniciativas legislativas que tienen su origen en el seno del Gobierno o del propio Parlamento consiste en pronunciarse sobre una iniciativa legislativa ya perfeccionada, en el sentido de que ha sido presentada por quien tiene la legitimación para ello, ya se trate del gobierno respectivo, de un número de diputados o de un grupo parlamentario; al mismo tiempo, la consecuencia única de la admisión a trámite de la proposición o del proyecto de ley es que estará en condiciones de ser objeto de la tramitación legislativa de que se trate, con efectos que se despliegan solamente en el estricto ámbito del procedimiento parlamentario en el seno de la Cámara. Ese es el motivo, entre otros, de que la admisión a trámite de estas iniciativas legislativas se encuentre disciplinada en la fuente del derecho </w:t>
      </w:r>
      <w:r>
        <w:lastRenderedPageBreak/>
        <w:t>específicamente habilitada para regular los procedimientos parlamentarios, esto es, el reglamento de la Cámara.</w:t>
      </w:r>
    </w:p>
    <w:p w14:paraId="45BFE77E" w14:textId="77777777" w:rsidR="003754FE" w:rsidRDefault="003754FE" w:rsidP="003754FE">
      <w:pPr>
        <w:pStyle w:val="TextoNormal"/>
      </w:pPr>
    </w:p>
    <w:p w14:paraId="562643C2" w14:textId="77777777" w:rsidR="003754FE" w:rsidRDefault="003754FE" w:rsidP="003754FE">
      <w:pPr>
        <w:pStyle w:val="TextoNormal"/>
      </w:pPr>
      <w:r>
        <w:t>Por el contrario, la función que corresponde a las mesas de los parlamentos de admisión a trámite de las iniciativas legislativas populares es de una naturaleza o condición que presenta matices sustancialmente diferentes con la anterior. En el ejercicio de esa función, la mesa de la Cámara no decide sobre la admisión a trámite de una iniciativa legislativa (proposición de ley) en sentido propio, ya perfeccionada, puesto que esta solo puede entenderse ejercida para el caso de que haya sido suscrita por el número de ciudadanos que establezca la legislación correspondiente, y no por la simple formulación realizada por la comisión promotora. Como dispone la Ley del Parlamento de Cataluña 1/2006, de 16 de febrero, de la iniciativa legislativa popular, las personas legitimadas para ejercer la iniciativa legislativa popular son las personas que tienen la condición política de catalanes (art. 2.1), extendiendo también esa legitimación a otras personas que no disponen de esa condición (art. 2.2); y prevé, en fin, que “la iniciativa legislativa popular se ejerce por medio de la presentación en la mesa del Parlamento de una proposición de ley, con el apoyo de las firmas, debidamente autenticadas, de un mínimo de 50 000 personas, que deben cumplir las condiciones establecidas por el artículo 2”.</w:t>
      </w:r>
    </w:p>
    <w:p w14:paraId="14F3F40C" w14:textId="77777777" w:rsidR="003754FE" w:rsidRDefault="003754FE" w:rsidP="003754FE">
      <w:pPr>
        <w:pStyle w:val="TextoNormal"/>
      </w:pPr>
    </w:p>
    <w:p w14:paraId="042D1781" w14:textId="77777777" w:rsidR="003754FE" w:rsidRDefault="003754FE" w:rsidP="003754FE">
      <w:pPr>
        <w:pStyle w:val="TextoNormal"/>
      </w:pPr>
      <w:r>
        <w:t>Esta anticipación de la admisión a trámite de las proposiciones de ley de iniciativa popular, sin que se hayan perfeccionado aún por no haberse satisfecho el requisito de la legitimación para su presentación, deviene, así, en condición necesaria para que los ciudadanos puedan participar directamente en los asuntos públicos suscribiendo la proposición de ley planteada por una comisión promotora, derecho que, para el ordenamiento de Cataluña, se concreta como tal en el propio Estatuto de Autonomía de Cataluña (art. 29.3 y, en relación con el mismo, art. 62.1). Ciertamente, la formulación de una propuesta legislativa se inserta en un procedimiento que podemos identificar como parlamentario, puesto que se dirige a alcanzar que sea objeto de debate político en el seno de la Cámara (por todas, STC 19/2015, FJ 2); pero a esa admisión a trámite se anuda una consecuencia autónoma y singular, no vinculada indefectiblemente con ese procedimiento, porque, sin necesidad de que la iniciativa legislativa popular se perfeccione reuniendo el número de firmas legalmente establecido para ello y alcance así su tramitación parlamentaria, habilita de por sí, y sin la concurrencia de más consecuencias posteriores, al ejercicio de un derecho fundamental.</w:t>
      </w:r>
    </w:p>
    <w:p w14:paraId="7109D561" w14:textId="77777777" w:rsidR="003754FE" w:rsidRDefault="003754FE" w:rsidP="003754FE">
      <w:pPr>
        <w:pStyle w:val="TextoNormal"/>
      </w:pPr>
    </w:p>
    <w:p w14:paraId="3D13B83D" w14:textId="77777777" w:rsidR="003754FE" w:rsidRDefault="003754FE" w:rsidP="003754FE">
      <w:pPr>
        <w:pStyle w:val="TextoNormal"/>
      </w:pPr>
      <w:r>
        <w:t>Ese trámite de admisión previa de la iniciativa legislativa popular —que es, en realidad, una preadmisión— despliega una finalidad esencial respecto del derecho fundamental de participación política de los ciudadanos, puesto que garantiza que el derecho se ejerza dentro del marco constitucional, estatutario y legal, en que es legítimo actuarlo. Con esa admisión anticipada, en la que se deben tener en cuenta no solo los límites materiales que expresamente dispone la legislación reguladora de esas iniciativas (para el caso de Cataluña, en el art. 6.2 de la Ley 1/2006), sino otros que se deducen del ordenamiento español en su conjunto y, particularmente, de la Constitución, se pretende evitar la apertura de un complejo procedimiento de recogida de firmas que estaría abocado a la inanidad si, después de haberse completado conforme a la ley, la iniciativa debiera ser inadmitida a trámite.</w:t>
      </w:r>
    </w:p>
    <w:p w14:paraId="7FD55DE5" w14:textId="77777777" w:rsidR="003754FE" w:rsidRDefault="003754FE" w:rsidP="003754FE">
      <w:pPr>
        <w:pStyle w:val="TextoNormal"/>
      </w:pPr>
    </w:p>
    <w:p w14:paraId="26AB453C" w14:textId="77777777" w:rsidR="003754FE" w:rsidRDefault="003754FE" w:rsidP="003754FE">
      <w:pPr>
        <w:pStyle w:val="TextoNormal"/>
      </w:pPr>
      <w:r>
        <w:t xml:space="preserve">Como consecuencia de lo anterior, puede concluirse que los efectos que despliega la resolución de admisión de una iniciativa legislativa popular tienen relevancia, inicialmente, </w:t>
      </w:r>
      <w:r w:rsidRPr="003754FE">
        <w:rPr>
          <w:i/>
        </w:rPr>
        <w:t>ad extra</w:t>
      </w:r>
      <w:r>
        <w:t xml:space="preserve"> de la Cámara y al margen, aún, de la tramitación parlamentaria de la iniciativa; con </w:t>
      </w:r>
      <w:r>
        <w:lastRenderedPageBreak/>
        <w:t>esa admisión se inicia un procedimiento que se desarrolla extramuros de la asamblea legislativa en el que se ven implicados, además, sujetos, órganos e instituciones ajenos al parlamento, tanto los ciudadanos que ejercen la iniciativa legislativa popular y la comisión promotora que ejerce la representación de las personas firmantes de la iniciativa (art. 4.1 de la Ley 1/2006), como los órganos o entes administrativos que han de ejercer competencias respecto del procedimiento de recogida de firmas (art. 11 de la Ley 1/2006).</w:t>
      </w:r>
    </w:p>
    <w:p w14:paraId="780CB688" w14:textId="77777777" w:rsidR="003754FE" w:rsidRDefault="003754FE" w:rsidP="003754FE">
      <w:pPr>
        <w:pStyle w:val="TextoNormal"/>
      </w:pPr>
    </w:p>
    <w:p w14:paraId="4D5D4729" w14:textId="77777777" w:rsidR="003754FE" w:rsidRDefault="003754FE" w:rsidP="003754FE">
      <w:pPr>
        <w:pStyle w:val="TextoNormal"/>
      </w:pPr>
      <w:r>
        <w:t xml:space="preserve">Sin embargo, una iniciativa legislativa popular solo puede ser admitida a trámite y, con ello, contraer sus efectos jurídicos al procedimiento parlamentario y a los sujetos legitimados a participar en el mismo, en el sentido expresado en el ATC 135/2004, FJ 7, una vez que se concluye que la proposición de ley en su momento presentada por sus promotores cumple en tiempo y forma con el requisito de la legitimación para su formulación, no antes. Esa inicial decisión de la Cámara, que es la que ahora se examina, y antes hemos calificado como de preadmisión a trámite, proyecta solo de manera diferida sus efectos </w:t>
      </w:r>
      <w:r w:rsidRPr="003754FE">
        <w:rPr>
          <w:i/>
        </w:rPr>
        <w:t>ad intra</w:t>
      </w:r>
      <w:r>
        <w:t xml:space="preserve"> de la Cámara en el procedimiento parlamentario en que se inserta, pues es posteriormente cuando se certifica que ha sido suscrita por el número de ciudadanos que prevé la ley. Solo a partir de ese momento estamos propiamente ante una proposición de ley que se presenta ante los órganos de gobierno de la Cámara en similares condiciones a la de las iniciativas legislativas parlamentaria o gubernamental en el momento de su admisión a trámite, sin que la mesa de la asamblea respectiva pueda hacer otra cosa, entonces, que tomar conocimiento de que la iniciativa popular se ha perfeccionado, y cumple la totalidad de los requisitos exigidos, igual que debe limitarse, respecto de las otras iniciativas, por regla general, a verificar su regularidad formal y su viabilidad procedimental.</w:t>
      </w:r>
    </w:p>
    <w:p w14:paraId="57488485" w14:textId="77777777" w:rsidR="003754FE" w:rsidRDefault="003754FE" w:rsidP="003754FE">
      <w:pPr>
        <w:pStyle w:val="TextoNormal"/>
      </w:pPr>
    </w:p>
    <w:p w14:paraId="6EF0A2BF" w14:textId="77777777" w:rsidR="003754FE" w:rsidRDefault="003754FE" w:rsidP="003754FE">
      <w:pPr>
        <w:pStyle w:val="TextoNormal"/>
      </w:pPr>
      <w:r>
        <w:t>Por todo ello, la función de admisión a trámite de las iniciativas legislativas populares que corresponde a la mesa del Parlamento de Cataluña despliega sus efectos en una doble dirección: de una parte, y de inicio, lo hace en un procedimiento previsto, sustancialmente, para el ejercicio del derecho fundamental de los ciudadanos a participar directamente en los asuntos públicos, con la implicación de órganos e instituciones ajenos al Parlamento, y dirigido a la cumplimentación del requisito de la legitimación para perfeccionar la proposición de ley fruto de esa iniciativa; y posteriormente, de otra parte, lo hace en el seno de la cámara legislativa, una vez producido ese perfeccionamiento, con las obligaciones consiguientes que se derivan de la Ley 1/2006 para el Parlamento de Cataluña en orden a la tramitación parlamentaria de la proposición.</w:t>
      </w:r>
    </w:p>
    <w:p w14:paraId="4811DFD8" w14:textId="77777777" w:rsidR="003754FE" w:rsidRDefault="003754FE" w:rsidP="003754FE">
      <w:pPr>
        <w:pStyle w:val="TextoNormal"/>
      </w:pPr>
    </w:p>
    <w:p w14:paraId="0BA21E65" w14:textId="77777777" w:rsidR="003754FE" w:rsidRDefault="003754FE" w:rsidP="003754FE">
      <w:pPr>
        <w:pStyle w:val="TextoNormal"/>
      </w:pPr>
      <w:r>
        <w:t>c) Sentado lo anterior, hemos de abordar si la resolución de la mesa del Parlamento de Cataluña impugnada por el Gobierno de la Nación posee naturaleza jurídica, es manifestación de la voluntad institucional de la comunidad autónoma porque procede de órganos capaces de expresar la voluntad de esta y no se presenta como un acto de trámite en el procedimiento de que se trate, y tiene, aunque sea indiciariamente, capacidad para producir efectos jurídicos (STC 259/2015, FJ 2).</w:t>
      </w:r>
    </w:p>
    <w:p w14:paraId="4D464E0E" w14:textId="77777777" w:rsidR="003754FE" w:rsidRDefault="003754FE" w:rsidP="003754FE">
      <w:pPr>
        <w:pStyle w:val="TextoNormal"/>
      </w:pPr>
    </w:p>
    <w:p w14:paraId="50991AD8" w14:textId="77777777" w:rsidR="003754FE" w:rsidRDefault="003754FE" w:rsidP="003754FE">
      <w:pPr>
        <w:pStyle w:val="TextoNormal"/>
      </w:pPr>
      <w:r>
        <w:t xml:space="preserve">En buena medida, en los razonamientos que anteceden se ha puesto de manifiesto ya que tanto la resolución impugnada, singularmente, como la tipología de resoluciones a la que esta pertenece, de modo general, cumplen con las condiciones que se acaban de referir. En primer término, esas resoluciones tienen una evidente naturaleza jurídica que se deriva, necesariamente, del “carácter estrictamente técnico y tasado de la valoración a realizar” por la mesa del Parlamento de Cataluña cuando decide sobre la admisión a trámite de una </w:t>
      </w:r>
      <w:r>
        <w:lastRenderedPageBreak/>
        <w:t>iniciativa legislativa popular (STC 19/2015, FJ 4), en la que su actuación se circunscribe a una actuación reglada de interpretación y aplicación de las disposiciones legales que la regulan. Esa naturaleza se refleja, también, en la normativa contenida en la Ley 1/2006, cuando establece el deber de la mesa del Parlamento de Cataluña de notificar la resolución sobre la admisión o inadmisión a trámite de la iniciativa a la comisión promotora y, en su caso, a la junta electoral (en realidad a la comisión de control, según la disposición transitoria primera de la ley), y dispone la obligación de publicarla (art. 6.5); y cuando se refiere al recurso de amparo que podrá interponer la comisión promotora, en los términos establecidos en la legislación aplicable, contra la resolución de la mesa por la que se decida la inadmisión de la iniciativa popular (art. 7).</w:t>
      </w:r>
    </w:p>
    <w:p w14:paraId="6A8A8459" w14:textId="77777777" w:rsidR="003754FE" w:rsidRDefault="003754FE" w:rsidP="003754FE">
      <w:pPr>
        <w:pStyle w:val="TextoNormal"/>
      </w:pPr>
    </w:p>
    <w:p w14:paraId="7B72875E" w14:textId="77777777" w:rsidR="003754FE" w:rsidRDefault="003754FE" w:rsidP="003754FE">
      <w:pPr>
        <w:pStyle w:val="TextoNormal"/>
      </w:pPr>
      <w:r>
        <w:t>En segundo lugar, la naturaleza jurídica de estas resoluciones va íntimamente ligada a su capacidad para producir efectos jurídicos. Son evidentes los efectos jurídicos que se derivan de estas resoluciones, y que son los que tienen que ver con la notificación a la comisión promotora y con la publicación oficial que acabamos de mencionar, pero importa insistir en los efectos de carácter sustantivo que se anudan a su adopción y, en particular, cuando lo acordado es la admisión a trámite de la iniciativa. El primero de esos efectos se despliega sobre la comisión promotora que queda habilitada para ejercer cuantas facultades le atribuye la Ley 1/2006 para la recogida de firmas.</w:t>
      </w:r>
    </w:p>
    <w:p w14:paraId="2C59509E" w14:textId="77777777" w:rsidR="003754FE" w:rsidRDefault="003754FE" w:rsidP="003754FE">
      <w:pPr>
        <w:pStyle w:val="TextoNormal"/>
      </w:pPr>
    </w:p>
    <w:p w14:paraId="5DDD6061" w14:textId="77777777" w:rsidR="003754FE" w:rsidRDefault="003754FE" w:rsidP="003754FE">
      <w:pPr>
        <w:pStyle w:val="TextoNormal"/>
      </w:pPr>
      <w:r>
        <w:t>Los efectos jurídicos se proyectan también sobre los ciudadanos que pueden suscribir la iniciativa y sobre distintas entidades y poderes públicos, pero particularmente sobre el Parlamento de Cataluña, que queda vinculado, institucionalmente, en una triple dirección: por una parte, para que la comisión promotora ejerza los derechos que le atribuye la ley en la tramitación parlamentaria de la iniciativa, si llega a perfeccionarse (art. 14); por otra, en cuanto al abono de la indemnización a la que tienen derecho los miembros de esa comisión (art. 16); y, finalmente, para mantener la tramitación parlamentaria de la iniciativa perfeccionada en caso de disolución del Parlamento y el comienzo de una nueva legislatura (art. 15).</w:t>
      </w:r>
    </w:p>
    <w:p w14:paraId="499E4E55" w14:textId="77777777" w:rsidR="003754FE" w:rsidRDefault="003754FE" w:rsidP="003754FE">
      <w:pPr>
        <w:pStyle w:val="TextoNormal"/>
      </w:pPr>
    </w:p>
    <w:p w14:paraId="041B98D3" w14:textId="77777777" w:rsidR="003754FE" w:rsidRDefault="003754FE" w:rsidP="003754FE">
      <w:pPr>
        <w:pStyle w:val="TextoNormal"/>
      </w:pPr>
      <w:r>
        <w:t>Además, la admisión produce efectos jurídicos para órganos o entes administrativos llamados a ejercer funciones para acreditar que las personas firmantes de la iniciativa están inscritas en el censo electoral o en el padrón municipal, funciones que se configuran en la ley como auténticas obligaciones y que se proyectan sobre entes u órganos ajenos a la comunidad autónoma o al propio Parlamento que decide sobre la admisión (art. 11.2 de la Ley 1/2006). Así lo es para los ayuntamientos que, a través de sus secretarios, deben acreditar el empadronamiento de las personas firmantes, para el Instituto de Estadística de Cataluña, y para el órgano responsable del censo electoral en la circunscripción correspondiente (que no es otro que la delegación provincial de la oficina del censo electoral, que se integra en el Instituto Nacional de Estadística, organismo autónomo dependiente del Gobierno de la Nación).</w:t>
      </w:r>
    </w:p>
    <w:p w14:paraId="101A1B93" w14:textId="77777777" w:rsidR="003754FE" w:rsidRDefault="003754FE" w:rsidP="003754FE">
      <w:pPr>
        <w:pStyle w:val="TextoNormal"/>
      </w:pPr>
    </w:p>
    <w:p w14:paraId="775BF96B" w14:textId="77777777" w:rsidR="003754FE" w:rsidRDefault="003754FE" w:rsidP="003754FE">
      <w:pPr>
        <w:pStyle w:val="TextoNormal"/>
      </w:pPr>
      <w:r>
        <w:t>Desde esta perspectiva, en fin, el acto de admisión de la iniciativa legislativa popular no puede entenderse como un acto de trámite con meros efectos internos, al modo en que consideramos la admisión de una iniciativa gubernamental en el caso resuelto con el ATC 135/2004.</w:t>
      </w:r>
    </w:p>
    <w:p w14:paraId="2784E185" w14:textId="77777777" w:rsidR="003754FE" w:rsidRDefault="003754FE" w:rsidP="003754FE">
      <w:pPr>
        <w:pStyle w:val="TextoNormal"/>
      </w:pPr>
    </w:p>
    <w:p w14:paraId="7088E52F" w14:textId="77777777" w:rsidR="003754FE" w:rsidRDefault="003754FE" w:rsidP="003754FE">
      <w:pPr>
        <w:pStyle w:val="TextoNormal"/>
      </w:pPr>
      <w:r>
        <w:lastRenderedPageBreak/>
        <w:t>Por último, en lo que se refiere a que el acto de admisión de la iniciativa legislativa popular pueda considerarse como aquel a través del que se manifiesta la voluntad institucional de la comunidad autónoma, hemos de concluir que la resolución de la mesa del Parlamento de Cataluña aquí impugnada no dista, desde ese punto de vista, de los acuerdos del presidente de ese parlamento que hemos considerado objeto idóneo del procedimiento constitucional del título V LOTC en el ATC 49/2018. En aquella ocasión entendimos que los actos impugnados, por los que se proponía candidato a la Presidencia de la Generalitat y se convocaba la sesión plenaria para el debate y votación de su investidura, eran expresivos de la voluntad institucional de la comunidad autónoma, al haber sido adoptados por quien es capaz de expresar esa voluntad (el presidente del Parlamento), y al expresar una voluntad cierta y acabada de este (FJ 3) y hacíamos una salvedad ulterior, poniendo de manifiesto que los actos del presidente recurridos no se insertaban en un procedimiento legislativo.</w:t>
      </w:r>
    </w:p>
    <w:p w14:paraId="32EA3D67" w14:textId="77777777" w:rsidR="003754FE" w:rsidRDefault="003754FE" w:rsidP="003754FE">
      <w:pPr>
        <w:pStyle w:val="TextoNormal"/>
      </w:pPr>
    </w:p>
    <w:p w14:paraId="2EB8E308" w14:textId="77777777" w:rsidR="003754FE" w:rsidRDefault="003754FE" w:rsidP="003754FE">
      <w:pPr>
        <w:pStyle w:val="TextoNormal"/>
      </w:pPr>
      <w:r>
        <w:t>El Parlamento de Cataluña es, en fin, una de las instituciones que integran la Generalitat, que es el sistema institucional en que se organiza políticamente el autogobierno de Cataluña (art. 2 EAC); y cualquiera de los órganos a través de los que ese Parlamento expresa su voluntad, incluida su mesa y su presidencia, manifiesta la voluntad de esa institución. Por ello, con la resolución de la mesa del Parlamento de Cataluña que aquí se impugna, se estaría expresando una voluntad cierta y acabada de la voluntad institucional de la comunidad autónoma.</w:t>
      </w:r>
    </w:p>
    <w:p w14:paraId="0C54FB89" w14:textId="77777777" w:rsidR="003754FE" w:rsidRDefault="003754FE" w:rsidP="003754FE">
      <w:pPr>
        <w:pStyle w:val="TextoNormal"/>
      </w:pPr>
    </w:p>
    <w:p w14:paraId="411CE1C5" w14:textId="77777777" w:rsidR="003754FE" w:rsidRDefault="003754FE" w:rsidP="003754FE">
      <w:pPr>
        <w:pStyle w:val="TextoNormal"/>
      </w:pPr>
      <w:r>
        <w:t>d) Las anteriores consideraciones conducen a concluir que en la resolución de la mesa del Parlamento de Cataluña por la que se admite a trámite la iniciativa legislativa popular denominada “Proposición de ley de declaración de la independencia de Cataluña” se dan las condiciones para entender que se trata de una resolución adoptada por un órgano de la comunidad autónoma que es objeto idóneo para su impugnación por el procedimiento constitucional del art. 161.2 CE y del título V LOTC.</w:t>
      </w:r>
    </w:p>
    <w:p w14:paraId="16BD586D" w14:textId="77777777" w:rsidR="003754FE" w:rsidRDefault="003754FE" w:rsidP="003754FE">
      <w:pPr>
        <w:pStyle w:val="TextoNormal"/>
      </w:pPr>
    </w:p>
    <w:p w14:paraId="283B8B10" w14:textId="13AA8403" w:rsidR="003754FE" w:rsidRDefault="003754FE" w:rsidP="003754FE">
      <w:pPr>
        <w:pStyle w:val="TextoNormal"/>
      </w:pPr>
      <w:r>
        <w:t>En consecuencia, el óbice procesal planteado por la representación del Parlamento de Cataluña debe ser desestimado.</w:t>
      </w:r>
    </w:p>
    <w:p w14:paraId="3578209B" w14:textId="77777777" w:rsidR="003754FE" w:rsidRDefault="003754FE" w:rsidP="003754FE">
      <w:pPr>
        <w:pStyle w:val="TextoNormal"/>
      </w:pPr>
    </w:p>
    <w:p w14:paraId="2F3025BA" w14:textId="77777777" w:rsidR="003754FE" w:rsidRDefault="003754FE" w:rsidP="003754FE">
      <w:pPr>
        <w:pStyle w:val="TextoNormal"/>
      </w:pPr>
      <w:r w:rsidRPr="003754FE">
        <w:rPr>
          <w:rStyle w:val="NumeroAFNegritaCaracter"/>
        </w:rPr>
        <w:t>3</w:t>
      </w:r>
      <w:r>
        <w:t xml:space="preserve">. </w:t>
      </w:r>
      <w:r w:rsidRPr="003754FE">
        <w:rPr>
          <w:i/>
        </w:rPr>
        <w:t>Enjuiciamiento de la cuestión de fondo suscitada. El acuerdo de admisión a trámite de la iniciativa contraría la Constitución</w:t>
      </w:r>
    </w:p>
    <w:p w14:paraId="341D769D" w14:textId="77777777" w:rsidR="003754FE" w:rsidRDefault="003754FE" w:rsidP="003754FE">
      <w:pPr>
        <w:pStyle w:val="TextoNormal"/>
      </w:pPr>
    </w:p>
    <w:p w14:paraId="550ECAB9" w14:textId="77777777" w:rsidR="003754FE" w:rsidRDefault="003754FE" w:rsidP="003754FE">
      <w:pPr>
        <w:pStyle w:val="TextoNormal"/>
      </w:pPr>
      <w:r>
        <w:t>Hemos de ocuparnos de enjuiciar, a continuación, si el acuerdo del Parlamento de Cataluña impugnado por el Gobierno de la Nación no solo puede ser objeto de este procedimiento constitucional, como ha quedado acreditado, sino que, como sostiene el abogado del Estado y rechaza el letrado del Parlamento de Cataluña, es también contrario a la Constitución.</w:t>
      </w:r>
    </w:p>
    <w:p w14:paraId="670C4E29" w14:textId="77777777" w:rsidR="003754FE" w:rsidRDefault="003754FE" w:rsidP="003754FE">
      <w:pPr>
        <w:pStyle w:val="TextoNormal"/>
      </w:pPr>
    </w:p>
    <w:p w14:paraId="4CC4C751" w14:textId="77777777" w:rsidR="003754FE" w:rsidRDefault="003754FE" w:rsidP="003754FE">
      <w:pPr>
        <w:pStyle w:val="TextoNormal"/>
      </w:pPr>
      <w:r>
        <w:t xml:space="preserve">a) El enjuiciamiento del Tribunal Constitucional ha de ceñirse a determinar si el acuerdo de calificación y admisión a trámite de esa iniciativa ha contravenido, en sí mismo, el ordenamiento constitucional. Para ello, y dada la singular naturaleza jurídica de un acto de ese tipo adoptado por un órgano de gobierno de una cámara legislativa, habremos de estar a los efectos jurídicos que despliega tal acto para verificar si estos se ciñen a dar viabilidad a la proposición de ley sin incidir sobre el ordenamiento jurídico constitucional, de modo que no se hace necesaria su defensa jurisdiccional, como entiende la representación del Parlamento de Cataluña; o si, por el contrario, la admisión a trámite de la iniciativa legislativa </w:t>
      </w:r>
      <w:r>
        <w:lastRenderedPageBreak/>
        <w:t>popular infringe normativamente la Constitución porque sus efectos no se contraen a dar viabilidad procedimental a la proposición de ley presentada por la comisión promotora.</w:t>
      </w:r>
    </w:p>
    <w:p w14:paraId="31EA2A6F" w14:textId="77777777" w:rsidR="003754FE" w:rsidRDefault="003754FE" w:rsidP="003754FE">
      <w:pPr>
        <w:pStyle w:val="TextoNormal"/>
      </w:pPr>
    </w:p>
    <w:p w14:paraId="183826EE" w14:textId="77777777" w:rsidR="003754FE" w:rsidRDefault="003754FE" w:rsidP="003754FE">
      <w:pPr>
        <w:pStyle w:val="TextoNormal"/>
      </w:pPr>
      <w:r>
        <w:t>En cualquier caso, nuestro enjuiciamiento no puede ser ajeno al contenido de esa proposición de ley, pero no porque su simple presentación pueda entenderse como la asunción de un texto normativo que ha de cohonestarse materialmente con la Constitución y hayamos de juzgar sobre ello (lo cual quedó excluido en el ATC 135/2004, FJ 6), sino porque ese contenido puede ser determinante para dilucidar si su concreta formulación en una proposición de ley autonómica, que además se somete a la iniciativa legislativa popular de los ciudadanos, y sobre la que solo está llamado a pronunciarse el Parlamento de Cataluña con la exclusión de los órganos constitucionales del Estado, conlleva el deber de la mesa del Parlamento de Cataluña de su inadmisión a trámite por suponer, de modo directo e inmediato, una contravención de la Constitución.</w:t>
      </w:r>
    </w:p>
    <w:p w14:paraId="7E97269E" w14:textId="77777777" w:rsidR="003754FE" w:rsidRDefault="003754FE" w:rsidP="003754FE">
      <w:pPr>
        <w:pStyle w:val="TextoNormal"/>
      </w:pPr>
    </w:p>
    <w:p w14:paraId="1CD0E0EE" w14:textId="77777777" w:rsidR="003754FE" w:rsidRDefault="003754FE" w:rsidP="003754FE">
      <w:pPr>
        <w:pStyle w:val="TextoNormal"/>
      </w:pPr>
      <w:r>
        <w:t>b) La iniciativa legislativa popular de la que trae causa el acuerdo de la mesa del Parlamento de Cataluña impugnado incorpora, de manera indubitada a la luz de nuestra doctrina, una propuesta de reforma constitucional que persigue la declaración unilateral de independencia de Cataluña. Así quedó advertida la mesa del Parlamento de Cataluña por sus servicios jurídicos, como recuerda la Abogacía del Estado en sus alegaciones y no ha contradicho la representación de ese Parlamento.</w:t>
      </w:r>
    </w:p>
    <w:p w14:paraId="23432012" w14:textId="77777777" w:rsidR="003754FE" w:rsidRDefault="003754FE" w:rsidP="003754FE">
      <w:pPr>
        <w:pStyle w:val="TextoNormal"/>
      </w:pPr>
    </w:p>
    <w:p w14:paraId="1DAD15E6" w14:textId="77777777" w:rsidR="003754FE" w:rsidRDefault="003754FE" w:rsidP="003754FE">
      <w:pPr>
        <w:pStyle w:val="TextoNormal"/>
      </w:pPr>
      <w:r>
        <w:t>Lo anterior se desprende de la propia intitulación de la propuesta (“Proposición de ley de declaración de la independencia de Cataluña”), y de lo que allí se prevé con intención normativa en sus diferentes artículos, a saber, que “Cataluña es una nación” (art. 1); que “[e]l pueblo de Cataluña es el único titular de la soberanía nacional” (art. 2); que “[e]l pueblo de Cataluña no renuncia ni ha renunciado nunca al derecho a la autodeterminación, a determinar libremente su futuro como pueblo en paz, democracia y solidaridad” (art. 4); que “[l]a soberanía nacional del pueblo de Cataluña es el fundamento del futuro Estado soberano e independiente de la nación catalana” (art. 6); que “[l]a decisión de declarar la independencia le corresponde al pueblo de Cataluña como titular de la soberanía nacional, y al Parlamento de Cataluña como su representante democráticamente elegido” (art. 7); que “[p]or medio de esta ley se faculta al Govern de la Generalitat a negociar el reconocimiento internacional de la declaración de independencia” (art. 8); que “[l]a declaración de independencia será efectiva: - Cuando sea aprobada la presente ley […]. - Cuando sea negociada con la comunidad internacional la forma y el momento de la declaración de independencia. - Cuando sea declarada por una mayoría absoluta de diputados en sesión solemne del Parlament de Cataluña convocada al efecto” (art. 10); o que “[l]a declaración de independencia se hará en la presente legislatura cuando se cumpla lo que dispone el artículo 10 de la presente ley” (disposición transitoria).</w:t>
      </w:r>
    </w:p>
    <w:p w14:paraId="3E9CA230" w14:textId="77777777" w:rsidR="003754FE" w:rsidRDefault="003754FE" w:rsidP="003754FE">
      <w:pPr>
        <w:pStyle w:val="TextoNormal"/>
      </w:pPr>
    </w:p>
    <w:p w14:paraId="36BC684E" w14:textId="77777777" w:rsidR="003754FE" w:rsidRDefault="003754FE" w:rsidP="003754FE">
      <w:pPr>
        <w:pStyle w:val="TextoNormal"/>
      </w:pPr>
      <w:r>
        <w:t xml:space="preserve">En definitiva, el contenido literal, los fines y los principios que informan la iniciativa legislativa popular en su totalidad se corresponden con los de una propuesta normativa cuya tramitación y aprobación habría debido canalizarse por el procedimiento de modificación de la Constitución previsto en su art. 168, como se desprende con toda evidencia del simple hecho de que se pretende reconocer la condición de soberano, en el ámbito territorial de nuestro Estado, a un sujeto colectivo distinto a aquel reconocido como tal en el título preliminar de la Constitución (art. 1.2 CE), el pueblo español del que emanan todos los poderes del Estado, y alterando también la unidad de la Nación española que la norma suprema eleva </w:t>
      </w:r>
      <w:r>
        <w:lastRenderedPageBreak/>
        <w:t>a fundamento del ordenamiento constitucional (art. 2 CE). El artículo 1.2 CE es, así, base de todo nuestro ordenamiento jurídico de modo tal que, si “en el actual ordenamiento constitucional solo el pueblo español es soberano, y lo es de manera exclusiva e indivisible, a ningún otro sujeto u órgano del Estado o a ninguna fracción de ese pueblo puede un poder público atribuirle la cualidad de soberano. Un acto de este poder que afirme la condición de ‘sujeto jurídico’ de soberanía como atributo del pueblo de una comunidad autónoma no puede dejar de suponer la simultánea negación de la soberanía nacional que, conforme a la Constitución, reside únicamente en el conjunto del pueblo español. Por ello, no cabe atribuir su titularidad a ninguna fracción o parte del mismo” [STC 259/2015, de 2 de diciembre, FJ 4 a)].</w:t>
      </w:r>
    </w:p>
    <w:p w14:paraId="4071CE11" w14:textId="77777777" w:rsidR="003754FE" w:rsidRDefault="003754FE" w:rsidP="003754FE">
      <w:pPr>
        <w:pStyle w:val="TextoNormal"/>
      </w:pPr>
    </w:p>
    <w:p w14:paraId="097B1E12" w14:textId="77777777" w:rsidR="003754FE" w:rsidRDefault="003754FE" w:rsidP="003754FE">
      <w:pPr>
        <w:pStyle w:val="TextoNormal"/>
      </w:pPr>
      <w:r>
        <w:t>Frente al aserto del letrado del Parlamento de Cataluña, que sostiene que el contenido de la iniciativa legislativa popular no ha de reputarse contrario a la Constitución, porque tienen cabida en nuestro ordenamiento constitucional concepciones ideológicas o planteamientos políticos ajenos o no conformes con la Constitución, como el que se plasma en la proposición de ley de iniciativa legislativa popular admitida a trámite por la mesa del Parlamento de Cataluña, lo cierto es que su incorporación a disposiciones normativas debe hacerse mediando la oportuna e inexcusable reforma de la Constitución, y no mediante instrumentos normativos o mediante formulaciones técnicas incompatibles, por contrarias, al texto constitucional.</w:t>
      </w:r>
    </w:p>
    <w:p w14:paraId="744BE815" w14:textId="77777777" w:rsidR="003754FE" w:rsidRDefault="003754FE" w:rsidP="003754FE">
      <w:pPr>
        <w:pStyle w:val="TextoNormal"/>
      </w:pPr>
    </w:p>
    <w:p w14:paraId="2F6729E9" w14:textId="77777777" w:rsidR="003754FE" w:rsidRDefault="003754FE" w:rsidP="003754FE">
      <w:pPr>
        <w:pStyle w:val="TextoNormal"/>
      </w:pPr>
      <w:r>
        <w:t>c) La representación del Parlamento de Cataluña alega que la única consecuencia de la presentación de la iniciativa y de su admisión a trámite es política, y consiste en introducir en el debate una propuesta que tiene cabida en nuestro ordenamiento constitucional. Y viene a plantear que la calificación y el contenido de la propuesta, si se llegara a perfeccionar con las correspondientes firmas ciudadanas, no tendrían por qué considerarse como definitivos, porque ese contenido podría modificarse durante la tramitación parlamentaria de la proposición de ley, y porque su calificación como proposición de ley autonómica podría verse como una lectura amplia de las competencias de la Generalitat y del Parlamento de Cataluña, para entender que incluye las propuestas que se pueden elevar a las Cortes Generales.</w:t>
      </w:r>
    </w:p>
    <w:p w14:paraId="08A26512" w14:textId="77777777" w:rsidR="003754FE" w:rsidRDefault="003754FE" w:rsidP="003754FE">
      <w:pPr>
        <w:pStyle w:val="TextoNormal"/>
      </w:pPr>
    </w:p>
    <w:p w14:paraId="0FF5F3BA" w14:textId="77777777" w:rsidR="003754FE" w:rsidRDefault="003754FE" w:rsidP="003754FE">
      <w:pPr>
        <w:pStyle w:val="TextoNormal"/>
      </w:pPr>
      <w:r>
        <w:t>Sin embargo, estas apreciaciones de la representación del Parlamento de Cataluña obvian las relevantes y trascendentes consecuencias jurídicas que se derivan del acuerdo impugnado y que conducen, necesariamente, a concluir que la mesa no solo podía inadmitir la iniciativa legislativa popular que contravenía todos los límites descritos, sino que debió haberlo hecho para no infringir, como ha hecho, la Constitución, al abrir la vía para que la Comunidad Autónoma de Cataluña, al margen del procedimiento constitucional, adopte una disposición normativa que trunca, por atentar frontalmente contra él, uno de los principios constitucionales esenciales e identificadores del régimen constitucional español, como es el de unidad, proclamado en el art. 2 CE: “La Constitución se fundamenta en la indisoluble unidad de la Nación española, patria común e indivisible de todos los españoles, y reconoce y garantiza el derecho a la autonomía de las nacionalidades y regiones que la integran y la solidaridad entre todas ellas”.</w:t>
      </w:r>
    </w:p>
    <w:p w14:paraId="6AA792EE" w14:textId="77777777" w:rsidR="003754FE" w:rsidRDefault="003754FE" w:rsidP="003754FE">
      <w:pPr>
        <w:pStyle w:val="TextoNormal"/>
      </w:pPr>
    </w:p>
    <w:p w14:paraId="21E5F62C" w14:textId="77777777" w:rsidR="003754FE" w:rsidRDefault="003754FE" w:rsidP="003754FE">
      <w:pPr>
        <w:pStyle w:val="TextoNormal"/>
      </w:pPr>
      <w:r>
        <w:t xml:space="preserve">Y no puede excluirse que la admisión de la iniciativa tenga esa consecuencia jurídica. Así lo parece justificar en sus alegaciones la representación del Parlamento de Cataluña, en el sentido de que la mesa de ese Parlamento puede calificar y tramitar la iniciativa legislativa popular, una vez perfeccionada, como una propuesta de reforma constitucional sobre la que </w:t>
      </w:r>
      <w:r>
        <w:lastRenderedPageBreak/>
        <w:t>el Parlamento de Cataluña no se pronuncia definitivamente, sino que ejerce la iniciativa que atribuyen a las asambleas legislativas de las comunidades autónomas los arts. 166 y 87.2 CE.</w:t>
      </w:r>
    </w:p>
    <w:p w14:paraId="3FD2FE7C" w14:textId="77777777" w:rsidR="003754FE" w:rsidRDefault="003754FE" w:rsidP="003754FE">
      <w:pPr>
        <w:pStyle w:val="TextoNormal"/>
      </w:pPr>
    </w:p>
    <w:p w14:paraId="4596746F" w14:textId="77777777" w:rsidR="003754FE" w:rsidRDefault="003754FE" w:rsidP="003754FE">
      <w:pPr>
        <w:pStyle w:val="TextoNormal"/>
      </w:pPr>
      <w:r>
        <w:t>Por lo demás, la Constitución excluye de manera directa la iniciativa legislativa popular del procedimiento para su reforma, pero queda excluido también su ejercicio de forma indirecta, ya que “la prohibición consagrada en este artículo [art. 166 CE] implica, sin necesidad de que venga reiterada en otros preceptos, que en esta materia no cabe ejercer la iniciativa legislativa popular en modo alguno —tampoco indirectamente—; es decir, supone vetar la posibilidad de instar, por medio de una iniciativa legislativa popular, el ejercicio de las facultades de iniciativa que en aquel ámbito se reconocen, en lo que aquí interesa, al Parlamento Vasco. La Constitución ha querido reservar la iniciativa legislativa de reforma constitucional al Gobierno, al Congreso de los Diputados, al Senado y a las asambleas legislativas de las comunidades autónomas, primando los mecanismos de democracia representativa sobre los de participación directa. Si la Constitución ha prohibido expresamente que la reforma constitucional pueda incoarse como consecuencia del ejercicio de una iniciativa popular, es evidente que servirse de esta para provocar el ejercicio de una iniciativa parlamentaria, esta sí legitimada por aquel precepto para iniciar el proceso de reforma, supone contravenir la finalidad perseguida por el constituyente al prever la referida exclusión” (STC 76/1994, de 14 de marzo, FJ 5).</w:t>
      </w:r>
    </w:p>
    <w:p w14:paraId="1982EB16" w14:textId="77777777" w:rsidR="003754FE" w:rsidRDefault="003754FE" w:rsidP="003754FE">
      <w:pPr>
        <w:pStyle w:val="TextoNormal"/>
      </w:pPr>
    </w:p>
    <w:p w14:paraId="4F4B2B16" w14:textId="77777777" w:rsidR="003754FE" w:rsidRDefault="003754FE" w:rsidP="003754FE">
      <w:pPr>
        <w:pStyle w:val="TextoNormal"/>
      </w:pPr>
      <w:r>
        <w:t>El acuerdo de admisión aquí impugnado viene a ampliar esa legitimación, que la ley catalana circunscribe lógicamente a las materias sobre las que la Comunidad Autónoma de Cataluña tiene competencias y el Parlamento puede legislar (art. 1 de la Ley 1/2006), a una materia que no es de la competencia de esa comunidad autónoma y sobre la que no caben leyes autonómicas según la doctrina constitucional (STC 124/2017, de 8 de noviembre), y que es propia de la reforma de la Constitución reservada a la aprobación de las Cortes Generales y a la ratificación del pueblo español, en un procedimiento en el que no tiene cabida la iniciativa legislativa popular, la ejerza quien la ejerza. La Constitución depara la más amplia libertad para la exposición y defensa públicas, dentro o fuera de las instituciones, de cualesquiera concepciones ideológicas, incluyendo las que “pretendan para una determinada colectividad la condición de comunidad nacional, incluso como principio desde el que procurar la conformación de una voluntad constitucionalmente legitimada para, mediante la oportuna e inexcusable reforma de la Constitución, traducir ese entendimiento en una realidad jurídica” (SSTC 31/2010, de 28 de junio, FJ 12, y 259/2015, FJ 7). Pero la conversión de esos proyectos políticos o cualesquiera otros en normas o en otras determinaciones del poder público no es posible sino mediante los procedimientos de reforma constitucional, cuya observancia “es, siempre y en todo caso, inexcusable” (STC 103/2008, de  11 de septiembre, FJ 4) y respecto de las que no cabe idear métodos o técnicas alternativas.</w:t>
      </w:r>
    </w:p>
    <w:p w14:paraId="2D2BFB74" w14:textId="77777777" w:rsidR="003754FE" w:rsidRDefault="003754FE" w:rsidP="003754FE">
      <w:pPr>
        <w:pStyle w:val="TextoNormal"/>
      </w:pPr>
    </w:p>
    <w:p w14:paraId="50C5AAEA" w14:textId="77777777" w:rsidR="003754FE" w:rsidRDefault="003754FE" w:rsidP="003754FE">
      <w:pPr>
        <w:pStyle w:val="TextoNormal"/>
      </w:pPr>
      <w:r>
        <w:t>Así pues, antes de la decisión sobre la admisión a trámite de la iniciativa legislativa popular, la mesa del Parlamento debía decidir sobre su calificación teniendo en cuenta no solo la forma que adoptaba aquella (proposición de ley), sino considerando también su contenido, al tratarse de una propuesta normativa de iniciativa popular con un ámbito material limitado que aún había de perfeccionarse como tal con las firmas ciudadanas. Y la mesa debía haber concluido, en atención a ese contenido de la iniciativa, que esta no podía calificarse como una proposición de ley autonómica, por ser propio ese contenido de una reforma constitucional.</w:t>
      </w:r>
    </w:p>
    <w:p w14:paraId="4A4A7861" w14:textId="77777777" w:rsidR="003754FE" w:rsidRDefault="003754FE" w:rsidP="003754FE">
      <w:pPr>
        <w:pStyle w:val="TextoNormal"/>
      </w:pPr>
    </w:p>
    <w:p w14:paraId="7050AB64" w14:textId="77777777" w:rsidR="003754FE" w:rsidRDefault="003754FE" w:rsidP="003754FE">
      <w:pPr>
        <w:pStyle w:val="TextoNormal"/>
      </w:pPr>
      <w:r>
        <w:t>En consecuencia, la correcta calificación de la iniciativa debía haber conducido a su inadmisión, por estar vedada a la iniciativa legislativa popular la reforma constitucional, aún por vía indirecta.</w:t>
      </w:r>
    </w:p>
    <w:p w14:paraId="6F1AD8A2" w14:textId="77777777" w:rsidR="003754FE" w:rsidRDefault="003754FE" w:rsidP="003754FE">
      <w:pPr>
        <w:pStyle w:val="TextoNormal"/>
      </w:pPr>
    </w:p>
    <w:p w14:paraId="17628D2A" w14:textId="77777777" w:rsidR="003754FE" w:rsidRDefault="003754FE" w:rsidP="003754FE">
      <w:pPr>
        <w:pStyle w:val="TextoNormal"/>
      </w:pPr>
      <w:r>
        <w:t>d) En el trámite de admisión de la iniciativa legislativa popular, la mesa del Parlamento de Cataluña venía obligada a valorar el contenido de la proposición de ley para determinar si excedía de los límites materiales que se prevén expresamente en el art. 6.2 de la Ley 1/2006, además de otros límites que resultaban evidentes desde cualquier punto de vista, incluida, también, la doctrina de este Tribunal Constitucional definida a partir de disposiciones legales con un contenido sustancialmente equiparable a la de esa proposición de ley, como puede ser la que dimana de la STC 124/2017, de 8 de noviembre, que declaró la inconstitucionalidad y nulidad de la Ley denominada de transitoriedad jurídica y fundacional de la República. Cualquiera de esos límites era infranqueable para la iniciativa legislativa popular, y también lo era, de manera igualmente evidente, el límite de las materias propias de la reforma constitucional, vedada a la iniciativa legislativa popular en el art. 166 CE, y que, sin necesidad de que venga reiterada en otros preceptos, supone que sobre esa materia no se puede ejercer tal iniciativa en modo alguno, tampoco de forma indirecta, según la STC 76/1994, de 14 de marzo, FJ 5, ya citada.</w:t>
      </w:r>
    </w:p>
    <w:p w14:paraId="1456D7CF" w14:textId="77777777" w:rsidR="003754FE" w:rsidRDefault="003754FE" w:rsidP="003754FE">
      <w:pPr>
        <w:pStyle w:val="TextoNormal"/>
      </w:pPr>
    </w:p>
    <w:p w14:paraId="6893F835" w14:textId="77777777" w:rsidR="003754FE" w:rsidRDefault="003754FE" w:rsidP="003754FE">
      <w:pPr>
        <w:pStyle w:val="TextoNormal"/>
      </w:pPr>
      <w:r>
        <w:t>Todo lo anterior, en definitiva, no solo hacía posible que la mesa del Parlamento de Cataluña pudiera inadmitir la proposición de ley sin daño para el derecho de participación política de los proponentes de la iniciativa, por incurrir esta en contradicción palmaria y evidente con la Constitución, como hemos dicho en otras ocasiones para las iniciativas parlamentarias (entre otras, SSTC 109/2016, de 7 de junio; 115/2019, de 16 de octubre, y 15/2022, de 8 de febrero), sino que, además, le obligaba a hacerlo.</w:t>
      </w:r>
    </w:p>
    <w:p w14:paraId="6D9AD822" w14:textId="77777777" w:rsidR="003754FE" w:rsidRDefault="003754FE" w:rsidP="003754FE">
      <w:pPr>
        <w:pStyle w:val="TextoNormal"/>
      </w:pPr>
    </w:p>
    <w:p w14:paraId="4028B0D8" w14:textId="77777777" w:rsidR="003754FE" w:rsidRDefault="003754FE" w:rsidP="003754FE">
      <w:pPr>
        <w:pStyle w:val="TextoNormal"/>
      </w:pPr>
      <w:r>
        <w:t>Ese deber de inadmisión de la iniciativa encuentra lógica justificación por las consecuencias que tendría la admisión a trámite para otros poderes públicos e instituciones y para los ciudadanos que pudieran optar por participar en el ejercicio de la iniciativa legislativa popular, al generar la apariencia de que lo estarían haciendo en un procedimiento que se desarrolla de conformidad con el ordenamiento jurídico y en el que estarían actuando en el marco de las facultades que les atribuye la Constitución y el estatuto de autonomía. Y por las consecuencias que tendría, también, para los propios órganos constitucionales que representan al pueblo español, las Cortes Generales y las cámaras legislativas que las forman (art. 66.1 CE), así como para el conjunto de los integrantes de ese pueblo titular de la soberanía nacional (art. 1.2 CE), que quedarían preteridos de un procedimiento normativo que decide sobre materias reservadas a la Constitución y a las modificaciones de esta por el procedimiento en ella regulado, incluido el referéndum para su ratificación.</w:t>
      </w:r>
    </w:p>
    <w:p w14:paraId="6BE322EB" w14:textId="77777777" w:rsidR="003754FE" w:rsidRDefault="003754FE" w:rsidP="003754FE">
      <w:pPr>
        <w:pStyle w:val="TextoNormal"/>
      </w:pPr>
    </w:p>
    <w:p w14:paraId="31A882B5" w14:textId="77777777" w:rsidR="003754FE" w:rsidRDefault="003754FE" w:rsidP="003754FE">
      <w:pPr>
        <w:pStyle w:val="TextoNormal"/>
      </w:pPr>
      <w:r>
        <w:t>En definitiva, la mesa del Parlamento de Cataluña debió inadmitir la iniciativa de la comisión promotora, pues el contenido de la proposición que presentó no puede tener cabida a través de una iniciativa legislativa autonómica cuya admisión a trámite pone en cuestión los límites expresos, estrictamente formales o de procedimiento, a los que está sometida la revisión constitucional, al tiempo que habilita el ejercicio del derecho fundamental de participación directa en los asuntos públicos sobre el ámbito material propio de las modificaciones constitucionales, donde solo se prevé esa participación directa para el conjunto del pueblo español a través del referéndum de ratificación.</w:t>
      </w:r>
    </w:p>
    <w:p w14:paraId="4B687A12" w14:textId="77777777" w:rsidR="003754FE" w:rsidRDefault="003754FE" w:rsidP="003754FE">
      <w:pPr>
        <w:pStyle w:val="TextoNormal"/>
      </w:pPr>
    </w:p>
    <w:p w14:paraId="58F51711" w14:textId="1919B2DA" w:rsidR="003754FE" w:rsidRDefault="003754FE" w:rsidP="003754FE">
      <w:pPr>
        <w:pStyle w:val="TextoNormal"/>
      </w:pPr>
      <w:r>
        <w:t>La puesta en marcha del procedimiento previsto en la Ley de iniciativa legislativa popular que la admisión a trámite de esa proposición comporta, contraviene, en fin, lo dispuesto en los arts. 166, 168 y 23 CE, así como lo previsto, dentro del bloque de la constitucionalidad, en los arts. 29.3 y 62.1 EAC. Teniendo en cuenta el contenido de la proposición de ley admitida a trámite por la mesa del Parlamento de Cataluña, el particular procedimiento de iniciativa legislativa popular en el que se formula, y las consecuencias jurídicas irreversibles que despliega esa admisión respecto de las personas a las que legitima para el ejercicio de la iniciativa, de las instituciones y órganos públicos a los que obliga a ejercer sus competencias para dar viabilidad a la tramitación de la iniciativa, y de los órganos constitucionales a los que excluye del ejercicio de las propias atribuciones en un ámbito material como aquel del que es objeto la proposición de ley, era debido que la mesa del Parlamento de Cataluña hubiera inadmitido tal iniciativa para no contravenir el ordenamiento constitucional.</w:t>
      </w:r>
    </w:p>
    <w:p w14:paraId="3265FD92" w14:textId="77777777" w:rsidR="003754FE" w:rsidRDefault="003754FE" w:rsidP="003754FE">
      <w:pPr>
        <w:pStyle w:val="TextoNormal"/>
      </w:pPr>
    </w:p>
    <w:p w14:paraId="52EA865E" w14:textId="77777777" w:rsidR="003754FE" w:rsidRDefault="003754FE" w:rsidP="003754FE">
      <w:pPr>
        <w:pStyle w:val="TextoNormalCentrado"/>
        <w:keepNext/>
      </w:pPr>
      <w:r>
        <w:t>FALLO</w:t>
      </w:r>
    </w:p>
    <w:p w14:paraId="3E590B04" w14:textId="79086A7F" w:rsidR="003754FE" w:rsidRDefault="003754FE" w:rsidP="003754FE">
      <w:pPr>
        <w:pStyle w:val="TextoNormalCentrado"/>
        <w:keepNext/>
      </w:pPr>
    </w:p>
    <w:p w14:paraId="75244A92" w14:textId="0E4BF2CD" w:rsidR="003754FE" w:rsidRDefault="003754FE" w:rsidP="003754FE">
      <w:pPr>
        <w:pStyle w:val="TextoNormal"/>
      </w:pPr>
      <w:r>
        <w:t>En atención a todo lo expuesto, el Tribunal Constitucional, por la autoridad que le confiere la Constitución de la Nación española, ha decidido estimar la impugnación de disposiciones autonómicas (título V LOTC) núm. 2159-2024, promovida por el Gobierno de la Nación en relación con el acuerdo de la mesa del Parlamento de Cataluña, de 20 de febrero de 2024, por el que se admite a trámite la iniciativa legislativa popular relativa a la “Proposición de ley de declaración de la independencia de Cataluña” y declarar ese acuerdo inconstitucional y nulo.</w:t>
      </w:r>
    </w:p>
    <w:p w14:paraId="46494FC2" w14:textId="77777777" w:rsidR="003754FE" w:rsidRDefault="003754FE" w:rsidP="003754FE">
      <w:pPr>
        <w:pStyle w:val="TextoNormal"/>
      </w:pPr>
    </w:p>
    <w:p w14:paraId="26C8A381" w14:textId="77777777" w:rsidR="003754FE" w:rsidRDefault="003754FE" w:rsidP="003754FE">
      <w:pPr>
        <w:pStyle w:val="TextoNormal"/>
      </w:pPr>
      <w:r>
        <w:t>Publíquese esta sentencia en el “Boletín Oficial del Estado”.</w:t>
      </w:r>
    </w:p>
    <w:p w14:paraId="69C88762" w14:textId="77777777" w:rsidR="003754FE" w:rsidRDefault="003754FE" w:rsidP="003754FE">
      <w:pPr>
        <w:pStyle w:val="TextoNormal"/>
      </w:pPr>
      <w:r>
        <w:t>Dada en Madrid, a veinte de noviembre de dos mil veinticuatro.</w:t>
      </w:r>
    </w:p>
    <w:p w14:paraId="726BB607" w14:textId="7A354C99" w:rsidR="003754FE" w:rsidRDefault="003754FE" w:rsidP="003754FE">
      <w:pPr>
        <w:pStyle w:val="ParrafoNormal"/>
      </w:pPr>
    </w:p>
    <w:p w14:paraId="17970AD7" w14:textId="77777777" w:rsidR="003754FE" w:rsidRDefault="003754FE" w:rsidP="003754FE">
      <w:pPr>
        <w:pStyle w:val="TextoNormalNegritaCentrado"/>
        <w:keepNext/>
      </w:pPr>
      <w:r>
        <w:t>Voto particular que formula el magistrado don Ramón Sáez Valcárcel a la sentencia dictada en la impugnación de disposiciones autonómicas (título V LOTC) núm. 2159-2024</w:t>
      </w:r>
    </w:p>
    <w:p w14:paraId="514E0F31" w14:textId="3AA99A73" w:rsidR="003754FE" w:rsidRDefault="003754FE" w:rsidP="003754FE">
      <w:pPr>
        <w:pStyle w:val="TextoNormalNegritaCentrado"/>
        <w:keepNext/>
      </w:pPr>
    </w:p>
    <w:p w14:paraId="11FC781A" w14:textId="77777777" w:rsidR="003754FE" w:rsidRDefault="003754FE" w:rsidP="003754FE">
      <w:pPr>
        <w:pStyle w:val="TextoNormal"/>
      </w:pPr>
      <w:r>
        <w:t>En ejercicio de la facultad que me confiere el art. 90.2 LOTC, con respeto a la opinión que sustenta la decisión, formulo voto discrepante por considerar que la sentencia debió inadmitir la impugnación del acuerdo de la mesa del Parlamento de Cataluña de 20 de febrero de 2024, por no constituir objeto idóneo del procedimiento constitucional regulado en los arts. 161.2 CE y 76 y 77 LOTC, y, en ningún caso, estimarla. En lo que sigue sintetizaré las razones que expuse en el Pleno para fundar esta doble afirmación.</w:t>
      </w:r>
    </w:p>
    <w:p w14:paraId="734057E7" w14:textId="77777777" w:rsidR="003754FE" w:rsidRDefault="003754FE" w:rsidP="003754FE">
      <w:pPr>
        <w:pStyle w:val="TextoNormal"/>
      </w:pPr>
    </w:p>
    <w:p w14:paraId="722CBC0B" w14:textId="77777777" w:rsidR="003754FE" w:rsidRDefault="003754FE" w:rsidP="003754FE">
      <w:pPr>
        <w:pStyle w:val="TextoNormal"/>
      </w:pPr>
      <w:r>
        <w:t xml:space="preserve">1. </w:t>
      </w:r>
      <w:r w:rsidRPr="003754FE">
        <w:rPr>
          <w:i/>
        </w:rPr>
        <w:t>Dos cuestiones vinculadas al alcance de la jurisdicción constitucional en el control del debate parlamentario</w:t>
      </w:r>
    </w:p>
    <w:p w14:paraId="0908221B" w14:textId="77777777" w:rsidR="003754FE" w:rsidRDefault="003754FE" w:rsidP="003754FE">
      <w:pPr>
        <w:pStyle w:val="TextoNormal"/>
      </w:pPr>
    </w:p>
    <w:p w14:paraId="7DC11A5F" w14:textId="77777777" w:rsidR="003754FE" w:rsidRDefault="003754FE" w:rsidP="003754FE">
      <w:pPr>
        <w:pStyle w:val="TextoNormal"/>
      </w:pPr>
      <w:r>
        <w:t>La sentencia identifica y se organiza en torno a dos problemas constitucionales: (i) uno de carácter procesal constitucional, la idoneidad del acuerdo de la mesa que inadmitió a trámite la iniciativa legislativa popular como objeto del procedimiento del art. 161.2 CE y del título V LOTC y, por tanto, la cuestión de su admisibilidad, a la que se responde afirmativamente; y (ii) otro, de fondo, la inconstitucionalidad del acuerdo de la mesa.</w:t>
      </w:r>
    </w:p>
    <w:p w14:paraId="33DDFC1F" w14:textId="77777777" w:rsidR="003754FE" w:rsidRDefault="003754FE" w:rsidP="003754FE">
      <w:pPr>
        <w:pStyle w:val="TextoNormal"/>
      </w:pPr>
    </w:p>
    <w:p w14:paraId="53C7F6DE" w14:textId="77777777" w:rsidR="003754FE" w:rsidRDefault="003754FE" w:rsidP="003754FE">
      <w:pPr>
        <w:pStyle w:val="TextoNormal"/>
      </w:pPr>
      <w:r>
        <w:lastRenderedPageBreak/>
        <w:t>Ambas cuestiones atañen a un aspecto central, y no exento de polémica jurídica, de la actuación del Tribunal Constitucional: el control y la limitación del debate parlamentario. Tener presente esta implicación transversal resulta imprescindible para resolver sobre ambas cuestiones. La sentencia, en cambio, efectúa un análisis marcadamente formalista y desconectado del significado basal del Parlamento, de las funciones de las mesas de las cámaras y del papel del Tribunal Constitucional en el sistema democrático.</w:t>
      </w:r>
    </w:p>
    <w:p w14:paraId="46CD0F41" w14:textId="77777777" w:rsidR="003754FE" w:rsidRDefault="003754FE" w:rsidP="003754FE">
      <w:pPr>
        <w:pStyle w:val="TextoNormal"/>
      </w:pPr>
    </w:p>
    <w:p w14:paraId="3F43E136" w14:textId="77777777" w:rsidR="003754FE" w:rsidRDefault="003754FE" w:rsidP="003754FE">
      <w:pPr>
        <w:pStyle w:val="TextoNormal"/>
      </w:pPr>
      <w:r>
        <w:t>He manifestado en ocasiones anteriores, al formular votos a las SSTC 15/2022, 24/2022, 115/2022, 46/2023 y 57/2023, mi desacuerdo con la doctrina constitucional que limita las facultades de calificación y admisión a trámite de iniciativas parlamentarias de las mesas de las asambleas legislativas, que fue introducida por las SSTC 46/2018 y 47/2018, de 26 de abril, al decidir recursos de amparo sobre la actividad del Parlamento de Cataluña. Esta doctrina ha exacerbado las facultades de control de constitucionalidad por parte de las mesas, porque contempla no solo la posibilidad de que estas inadmitan iniciativas que de modo palmario contradigan la Constitución (ya las SSTC 107/2016, 108/2016 y 109/2016), sino también porque les impone el deber de hacerlo cuando la iniciativa incumple manifiestamente lo resuelto por el Tribunal, y ello como obligación refleja de un supuesto derecho de los parlamentarios —incardinado en el art. 23 CE— a esa inadmisión por afectar a sus funciones representativas. A los argumentos de esos votos me remito. La afirmación de un deber de las cámaras de inadmitir iniciativas en aras de “preservar la eficacia de las resoluciones del Tribunal Constitucional, protegiendo su ámbito jurisdiccional” ha sido asimismo determinante de la declaración de nulidad de los acuerdos de las mesas que admiten iniciativas manifiestamente incumplidoras de lo resuelto por el Tribunal cuando han sido impugnados por la vía del incidente de ejecución (AATC 123/2017 y 124/2017, de 19 de septiembre; 9/2020 y 11/2020, de 28 de enero, o 16/2020, de 11 de febrero).</w:t>
      </w:r>
    </w:p>
    <w:p w14:paraId="36362CAF" w14:textId="77777777" w:rsidR="003754FE" w:rsidRDefault="003754FE" w:rsidP="003754FE">
      <w:pPr>
        <w:pStyle w:val="TextoNormal"/>
      </w:pPr>
    </w:p>
    <w:p w14:paraId="210765D8" w14:textId="77777777" w:rsidR="003754FE" w:rsidRDefault="003754FE" w:rsidP="003754FE">
      <w:pPr>
        <w:pStyle w:val="TextoNormal"/>
      </w:pPr>
      <w:r>
        <w:t>Esta jurisprudencia, en mi opinión, supone una indebida injerencia en la función parlamentaria y en la libertad de deliberación de asambleas y parlamentarios de difícil compatibilidad con el principio democrático. No obstante, no se había trasladado hasta ahora a la impugnación por la vía del título V LOTC del acuerdo de admisión de una iniciativa legislativa. La sentencia de la que discrepo supone, por ello, un avance cualitativo en el desafortunado control y limitación del debate parlamentario, que, por añadidura, parece desconocer el sentido del procedimiento de enjuiciamiento objetivo y abstracto de constitucionalidad que representa la impugnación de disposiciones o resoluciones autonómicas que prevé el art. 161.2 CE.</w:t>
      </w:r>
    </w:p>
    <w:p w14:paraId="6D27708C" w14:textId="77777777" w:rsidR="003754FE" w:rsidRDefault="003754FE" w:rsidP="003754FE">
      <w:pPr>
        <w:pStyle w:val="TextoNormal"/>
      </w:pPr>
    </w:p>
    <w:p w14:paraId="5EC14B10" w14:textId="77777777" w:rsidR="003754FE" w:rsidRDefault="003754FE" w:rsidP="003754FE">
      <w:pPr>
        <w:pStyle w:val="TextoNormal"/>
      </w:pPr>
      <w:r>
        <w:t xml:space="preserve">2. </w:t>
      </w:r>
      <w:r w:rsidRPr="003754FE">
        <w:rPr>
          <w:i/>
        </w:rPr>
        <w:t>Admisión de la impugnación del acuerdo de la mesa por la vía del título V LOTC: inexistencia de una auténtica voluntad institucional de la comunidad autónoma</w:t>
      </w:r>
    </w:p>
    <w:p w14:paraId="46AD4A7B" w14:textId="77777777" w:rsidR="003754FE" w:rsidRDefault="003754FE" w:rsidP="003754FE">
      <w:pPr>
        <w:pStyle w:val="TextoNormal"/>
      </w:pPr>
    </w:p>
    <w:p w14:paraId="67217AAE" w14:textId="77777777" w:rsidR="003754FE" w:rsidRDefault="003754FE" w:rsidP="003754FE">
      <w:pPr>
        <w:pStyle w:val="TextoNormal"/>
      </w:pPr>
      <w:r>
        <w:t xml:space="preserve">La sentencia acierta al señalar el precedente del ATC 135/2004, de 20 de abril, para resolver la idoneidad del acuerdo impugnado como objeto de este procedimiento constitucional. Ese auto es la única ocasión en la que el Tribunal ha dirimido sobre la condición de resolución, a los efectos de los arts. 76 y 77 LOTC, del acuerdo de la mesa de una asamblea legislativa que admite a trámite una iniciativa legislativa. No puedo compartir, en cambio, las razones que sirven a la mayoría para separarse de la doctrina que sentaba aquella resolución que vino a negar que las decisiones de admisión de la mesa pudieran constituir objeto idóneo del procedimiento del título V LOTC, en tanto acto que forma parte del procedimiento legislativo (fundamento jurídico 4), “actos que se insertan en un procedimiento de </w:t>
      </w:r>
      <w:r>
        <w:lastRenderedPageBreak/>
        <w:t>gestación (incierta)” de la voluntad de la comunidad autónoma (fundamento jurídico 8). Nuestra sentencia no acepta dialogar en su fundamentación con la premisa en que el ATC 135/2004 apoya tal conclusión: “la lógica del sistema democrático parlamentario, uno de cuyos fundamentos consiste en que el Parlamento es la sede natural del debate político […]. Cómo se traduzca normativamente el fruto del debate, si es que finalmente llega a traducirse en algo, es cuestión que no debe condicionar anticipadamente la suerte de ningún debate, so pena de negar al Parlamento la facultad de arbitrar la discusión política en los términos que estime convenientes. So pena, en definitiva, de someter al Parlamento a tutelas inaceptables” [fundamento jurídico 6 a)].</w:t>
      </w:r>
    </w:p>
    <w:p w14:paraId="7B86E4A9" w14:textId="77777777" w:rsidR="003754FE" w:rsidRDefault="003754FE" w:rsidP="003754FE">
      <w:pPr>
        <w:pStyle w:val="TextoNormal"/>
      </w:pPr>
    </w:p>
    <w:p w14:paraId="2C17C536" w14:textId="77777777" w:rsidR="003754FE" w:rsidRDefault="003754FE" w:rsidP="003754FE">
      <w:pPr>
        <w:pStyle w:val="TextoNormal"/>
      </w:pPr>
      <w:r>
        <w:t xml:space="preserve">Frente a este planteamiento sistemático y material, que niega que el acto de la mesa sea manifestación de la voluntad de la comunidad autónoma, para admitir la impugnación nuestra sentencia se apoya en las peculiaridades de la tramitación de la iniciativa legislativa popular que, dice, dotan al acuerdo de la mesa de una eficacia </w:t>
      </w:r>
      <w:r w:rsidRPr="003754FE">
        <w:rPr>
          <w:i/>
        </w:rPr>
        <w:t>ad extra</w:t>
      </w:r>
      <w:r>
        <w:t xml:space="preserve"> en la que se ve involucrado el derecho de participación política, en contraste con los efectos exclusivamente </w:t>
      </w:r>
      <w:r w:rsidRPr="003754FE">
        <w:rPr>
          <w:i/>
        </w:rPr>
        <w:t>ad intra</w:t>
      </w:r>
      <w:r>
        <w:t xml:space="preserve"> de la iniciativa legislativa del gobierno que enjuició el ATC 135/2004. Se dice así en el fundamento jurídico 2 B) que, antes de desplegar efectos </w:t>
      </w:r>
      <w:r w:rsidRPr="003754FE">
        <w:rPr>
          <w:i/>
        </w:rPr>
        <w:t>ad intra</w:t>
      </w:r>
      <w:r>
        <w:t xml:space="preserve"> de la Cámara en el procedimiento parlamentario, “lo hace en un procedimiento previsto, sustancialmente, para el ejercicio del derecho fundamental de los ciudadanos a participar directamente en los asuntos públicos, con la implicación de órganos e instituciones ajenos al parlamento, y dirigido a la cumplimentación del requisito de la legitimación para perfeccionar la proposición de ley fruto de esa iniciativa”, “que se desarrolla extramuros de la asamblea legislativa”. En tal medida, el “trámite de admisión de la iniciativa legislativa popular —que es, en realidad, una preadmisión— despliega una finalidad esencial respecto del derecho fundamental de participación política de los ciudadanos, puesto que garantiza que el derecho se ejerza dentro del marco constitucional, estatutario y legal, en que es legítimo actuarlo”.</w:t>
      </w:r>
    </w:p>
    <w:p w14:paraId="314A6ED1" w14:textId="77777777" w:rsidR="003754FE" w:rsidRDefault="003754FE" w:rsidP="003754FE">
      <w:pPr>
        <w:pStyle w:val="TextoNormal"/>
      </w:pPr>
    </w:p>
    <w:p w14:paraId="4A7235EF" w14:textId="77777777" w:rsidR="003754FE" w:rsidRDefault="003754FE" w:rsidP="003754FE">
      <w:pPr>
        <w:pStyle w:val="TextoNormal"/>
      </w:pPr>
      <w:r>
        <w:t xml:space="preserve">Sin embargo, la exigencia de trámites ulteriores a la admisión por la mesa de la iniciativa legislativa popular —conforme a la Ley catalana 1/2006, de 16 de febrero—, singularmente la apertura de un plazo para que la comisión promotora proceda a la recogida y acreditación de las firmas (un mínimo de 50 000) en apoyo de la misma, con la colaboración de los ayuntamientos y el órgano responsable del censo electoral, impide que el acuerdo se pueda considerar como resolución que pone fin al procedimiento parlamentario y expresa la voluntad de la Cámara. Al contrario, que se califique la decisión de la mesa como “preadmisión”, tal y como hace la sentencia, pone de relieve que se trata de un acto preparatorio de la iniciativa, en ese momento solo un proyecto de iniciativa legislativa que, en su caso y perfeccionada con la observancia de todos los requisitos legales, podrá poner en marcha un procedimiento legislativo, este sí de gestación incierta y muy alejado de un producto normativo expresivo de la voluntad autonómica, como afirmaba nuestro ATC 135/2004. En realidad, todo acto de trámite, también de una iniciativa legislativa del Gobierno o de un grupo parlamentario, tiene naturaleza jurídica y produce efectos. No es este el requisito problemático en orden a aceptar la idoneidad del procedimiento del título V LOTC para impugnar decisiones de las mesas de admisión a trámite de iniciativas legislativas; lo que establece la diferencia con la discusión que suscitaron los recursos de amparo contra las resoluciones aprobadas por el Parlamento de Cataluña en el ejercicio de la función de control e impulso de la acción política y de gobierno, de claros efectos políticos y más inciertos efectos jurídicos (SSTC 42/2014, de 25 de marzo, y 259/2015, de 2 de diciembre). Las dudas sobre la idoneidad procesal del acuerdo de admisión de la mesa aquí residen en la exigencia </w:t>
      </w:r>
      <w:r>
        <w:lastRenderedPageBreak/>
        <w:t xml:space="preserve">de que exprese la voluntad institucional de la comunidad autónoma. Porque desde un punto de vista lógico y racional no parece que un acto de trámite del procedimiento de formación de tal voluntad institucional, que permite cumplimentar a los promotores otros actos preparatorios de la iniciativa legislativa popular, sea equiparable a una decisión plenaria que culmina la tramitación parlamentaria. Un acto, en definitiva, que no desborda en sus efectos el procedimiento legislativo y, por ello, con exclusivos efectos </w:t>
      </w:r>
      <w:r w:rsidRPr="003754FE">
        <w:rPr>
          <w:i/>
        </w:rPr>
        <w:t>ad intra</w:t>
      </w:r>
      <w:r>
        <w:t xml:space="preserve"> del mismo, más allá del dato de implicar en la tramitación de la iniciativa popular a instituciones diversas al Parlamento para verificar y acreditar las firmas.</w:t>
      </w:r>
    </w:p>
    <w:p w14:paraId="04752F17" w14:textId="77777777" w:rsidR="003754FE" w:rsidRDefault="003754FE" w:rsidP="003754FE">
      <w:pPr>
        <w:pStyle w:val="TextoNormal"/>
      </w:pPr>
    </w:p>
    <w:p w14:paraId="61490EBF" w14:textId="77777777" w:rsidR="003754FE" w:rsidRDefault="003754FE" w:rsidP="003754FE">
      <w:pPr>
        <w:pStyle w:val="TextoNormal"/>
      </w:pPr>
      <w:r>
        <w:t>La referencia, que se hace en la argumentación de nuestra sentencia, a una suerte de defensa del derecho fundamental de participación política de los ciudadanos por medio de la iniciativa legislativa popular no obsta a la conclusión sobre la inidoneidad del acuerdo de la mesa como objeto del proceso constitucional instado por el Gobierno. En primer lugar, por la aporía que supone justificar una medida impeditiva del derecho fundamental que los ciudadanos tienen de participar directamente en los asuntos públicos mediante la iniciativa legislativa popular (art. 23.1 CE), bajo la excusa de la tutela del buen ejercicio del derecho. En segundo lugar, porque tal defensa parece reducirse a “evitar la apertura de un complejo procedimiento de recogida de firmas que estaría abocado a la inanidad si, después de haberse completado conforme a la ley, la iniciativa debiera ser inadmitida a trámite”. Dejando a un lado que, una vez admitida la iniciativa, no hay ulterior trámite de admisión y solo el incumplimiento del requisito de legitimación puede impedir su tramitación parlamentaria, la finalidad práctica reseñada no identifica una afectación al derecho fundamental invocado. En tercer lugar, la pretendida incidencia en el derecho fundamental de los ciudadanos no desvirtuaría tampoco el carácter interno al procedimiento legislativo de la decisión de la mesa, del mismo modo que no lo hace la afectación que también produce en el art. 23 CE, en el ejercicio del derecho fundamental de los parlamentarios, la admisión de una iniciativa legislativa del Gobierno o de los grupos parlamentarios, que atañe y condiciona el ejercicio del derecho de representación política. Por otro lado, que los acuerdos de las mesas de las cámaras sobre calificación y admisión a trámite de una iniciativa legislativa puedan impugnarse en amparo por la vía del art. 42 LOTC no los convierte en resoluciones objeto del proceso del título V, dada su “distinta sustantividad y caracterización” (ATC 135/2004, FJ 7). En último término, el único dato que diferencia el caso con el resuelto en el ATC 135/2004 es el desarrollo extraparlamentario del proceso de recogida y acreditación de firmas, rasgo fáctico-procedimental que no alumbra un objeto procesal idóneo para la impugnación por la vía del título V LOTC.</w:t>
      </w:r>
    </w:p>
    <w:p w14:paraId="656547FC" w14:textId="77777777" w:rsidR="003754FE" w:rsidRDefault="003754FE" w:rsidP="003754FE">
      <w:pPr>
        <w:pStyle w:val="TextoNormal"/>
      </w:pPr>
    </w:p>
    <w:p w14:paraId="153EB7C7" w14:textId="77777777" w:rsidR="003754FE" w:rsidRDefault="003754FE" w:rsidP="003754FE">
      <w:pPr>
        <w:pStyle w:val="TextoNormal"/>
      </w:pPr>
      <w:r>
        <w:t xml:space="preserve">3. </w:t>
      </w:r>
      <w:r w:rsidRPr="003754FE">
        <w:rPr>
          <w:i/>
        </w:rPr>
        <w:t>Estimación de la impugnación: inexistencia de un deber de la mesa del Parlamento de Cataluña de inadmitir la proposición de ley</w:t>
      </w:r>
    </w:p>
    <w:p w14:paraId="4E237232" w14:textId="77777777" w:rsidR="003754FE" w:rsidRDefault="003754FE" w:rsidP="003754FE">
      <w:pPr>
        <w:pStyle w:val="TextoNormal"/>
      </w:pPr>
    </w:p>
    <w:p w14:paraId="1AF201EC" w14:textId="77777777" w:rsidR="003754FE" w:rsidRDefault="003754FE" w:rsidP="003754FE">
      <w:pPr>
        <w:pStyle w:val="TextoNormal"/>
      </w:pPr>
      <w:r>
        <w:t>La sentencia sostiene que el acuerdo controvertido vulnera el ordenamiento constitucional porque el contenido de la “Proposición de ley de declaración de la independencia de Cataluña” obligaba a la mesa a su inadmisión, motivo por el que estima la impugnación promovida por el Gobierno. Se ofrecen para ello dos justificaciones diversas. Ninguna me parece convincente, pero por razones distintas.</w:t>
      </w:r>
    </w:p>
    <w:p w14:paraId="33CA7182" w14:textId="77777777" w:rsidR="003754FE" w:rsidRDefault="003754FE" w:rsidP="003754FE">
      <w:pPr>
        <w:pStyle w:val="TextoNormal"/>
      </w:pPr>
    </w:p>
    <w:p w14:paraId="4DF63621" w14:textId="77777777" w:rsidR="003754FE" w:rsidRDefault="003754FE" w:rsidP="003754FE">
      <w:pPr>
        <w:pStyle w:val="TextoNormal"/>
      </w:pPr>
      <w:r>
        <w:t xml:space="preserve">a) El argumento explícito y principal es que la proposición de ley, a la luz de su título, contenido literal, los fines y los principios que la informan, constituye una propuesta de reforma constitucional encubierta, dada su incompatibilidad con la condición de soberano </w:t>
      </w:r>
      <w:r>
        <w:lastRenderedPageBreak/>
        <w:t>del pueblo español (art. 1.2 CE) y la unidad de la Nación española (art. 2 CE); y, por tanto, versa sobre una materia excluida del ámbito de la iniciativa legislativa popular, tanto directa como indirectamente, conforme al art. 166 CE (en relación con el art. 87.1 y 2 CE). La propuesta normativa, se añade, hubiera debido canalizarse por el procedimiento de modificación de la Constitución del art. 168.</w:t>
      </w:r>
    </w:p>
    <w:p w14:paraId="5997EB56" w14:textId="77777777" w:rsidR="003754FE" w:rsidRDefault="003754FE" w:rsidP="003754FE">
      <w:pPr>
        <w:pStyle w:val="TextoNormal"/>
      </w:pPr>
    </w:p>
    <w:p w14:paraId="24369F05" w14:textId="77777777" w:rsidR="003754FE" w:rsidRDefault="003754FE" w:rsidP="003754FE">
      <w:pPr>
        <w:pStyle w:val="TextoNormal"/>
      </w:pPr>
      <w:r>
        <w:t>Este argumento no es convincente porque no concurre la premisa en que se funda. No estamos ante un intento de reforma constitucional, ni directo ni indirecto, por más que el contenido de la proposición de ley sea incompatible con el texto constitucional.</w:t>
      </w:r>
    </w:p>
    <w:p w14:paraId="54FEA2A1" w14:textId="77777777" w:rsidR="003754FE" w:rsidRDefault="003754FE" w:rsidP="003754FE">
      <w:pPr>
        <w:pStyle w:val="TextoNormal"/>
      </w:pPr>
    </w:p>
    <w:p w14:paraId="68B66EA0" w14:textId="77777777" w:rsidR="003754FE" w:rsidRDefault="003754FE" w:rsidP="003754FE">
      <w:pPr>
        <w:pStyle w:val="TextoNormal"/>
      </w:pPr>
      <w:r>
        <w:t>Ciertamente la STC 76/1994, de 14 de marzo, FJ 2, advierte que las iniciativas legislativas populares permiten un control de la mesa más intenso por estar sujetas a límites materiales, de modo que la mesa “deberá necesariamente atender a ese contenido [de la proposición de ley], sin que con ello invada ninguna función jurisdiccional reservada a los jueces y tribunales”, ya que se circunscribe a verificar si ese límite material se respeta. Pero no menos cierto es que este tribunal ha negado que los acuerdos de admisión a trámite de proposiciones de ley contrarias a la Constitución constituyan reformas constitucionales. En relación con la decisión de la mesa del Congreso de los Diputados de admitir a trámite como proposición de ley la reforma de estatuto de autonomía remitida por el Parlamento de Cataluña, el ATC 85/2006, de 15 de marzo, FJ 7, señaló que “un proyecto de norma acaso inconstitucional no es como tal un proyecto inconstitucional” y que “la aprobación de una iniciativa acaso inconstitucional no convierte a esta en una reforma del texto constitucional, cuyas disposiciones no se verían modificadas, alteradas, ni derogadas como consecuencia de dicha aprobación, sino en la mera aprobación de una norma contraria a la Constitución, susceptible, por tanto, de expulsión del ordenamiento jurídico mediante la activación por los sujetos legitimados de los procedimientos para ello establecidos”.</w:t>
      </w:r>
    </w:p>
    <w:p w14:paraId="69F77C23" w14:textId="77777777" w:rsidR="003754FE" w:rsidRDefault="003754FE" w:rsidP="003754FE">
      <w:pPr>
        <w:pStyle w:val="TextoNormal"/>
      </w:pPr>
    </w:p>
    <w:p w14:paraId="7630F194" w14:textId="77777777" w:rsidR="003754FE" w:rsidRDefault="003754FE" w:rsidP="003754FE">
      <w:pPr>
        <w:pStyle w:val="TextoNormal"/>
      </w:pPr>
      <w:r>
        <w:t>b) El otro argumento que sostiene la decisión de la que discrepo es que la mesa de la Cámara venía obligada a examinar el contenido de la proposición de ley no solo para valorar si se excedían los límites materiales de la iniciativa legislativa popular, sino también “otros límites que resultaban evidentes desde cualquier punto de vista, incluida, también, la doctrina de este Tribunal Constitucional definida a partir de disposiciones legales con un contenido sustancialmente equiparable a la de esa proposición de ley, como puede ser la que dimana de la STC 124/2017, de 8 de noviembre, que declaró la inconstitucionalidad y nulidad de la Ley denominada de transitoriedad jurídica y fundacional de la República”. Se razona a continuación que el deber de inadmisión “encuentra lógica justificación por las consecuencias que tendría la admisión a trámite para otros poderes públicos e instituciones y para los ciudadanos que pudieran optar por participar en el ejercicio de la iniciativa legislativa popular, al generar la apariencia de que lo estarían haciendo en un procedimiento que se desarrolla de conformidad con el ordenamiento jurídico y en el que estarían actuando en el marco de las facultades que les atribuye la Constitución y el Estatuto de Autonomía. Y por las consecuencias que tendría, también, para los propios órganos constitucionales que representan al pueblo español, las Cortes Generales y las cámaras legislativas que las forman (art. 66.1 CE), así como para el conjunto de los integrantes de ese pueblo titular de la soberanía nacional (art. 1.2 CE), que quedarían preteridos de un procedimiento normativo que decide sobre materias reservadas a la Constitución y a las modificaciones de esta por el procedimiento en ella regulado, incluido el referéndum para su ratificación”.</w:t>
      </w:r>
    </w:p>
    <w:p w14:paraId="6D5AA9E7" w14:textId="77777777" w:rsidR="003754FE" w:rsidRDefault="003754FE" w:rsidP="003754FE">
      <w:pPr>
        <w:pStyle w:val="TextoNormal"/>
      </w:pPr>
    </w:p>
    <w:p w14:paraId="02FFFF33" w14:textId="77777777" w:rsidR="003754FE" w:rsidRDefault="003754FE" w:rsidP="003754FE">
      <w:pPr>
        <w:pStyle w:val="TextoNormal"/>
      </w:pPr>
      <w:r>
        <w:lastRenderedPageBreak/>
        <w:t xml:space="preserve">En estas consideraciones finales de la sentencia parece apuntarse, sin mayor precisión, a la doctrina a la que me refería al comienzo de este voto, la relativa al deber de inadmisión de las mesas de aquellas iniciativas parlamentarias que contravengan lo resuelto por el Tribunal Constitucional. Hasta ahora tal deber se había proyectado al ámbito del incidente de ejecución (AATC 123/2017 y 124/2017, de 19 de septiembre; 9/2020 y 11/2020, de 28 de enero, y 16/2020, de 11 de febrero) y del recurso de amparo (diversas resoluciones desde las SSTC 46/2018 y 47/2018, de 26 de abril, hasta la STC 57/2023, de 23 de mayo), en la que tal deber se vincula con la lesión del </w:t>
      </w:r>
      <w:r w:rsidRPr="003754FE">
        <w:rPr>
          <w:i/>
        </w:rPr>
        <w:t>ius in officium</w:t>
      </w:r>
      <w:r>
        <w:t xml:space="preserve"> de los parlamentarios contrarios a la tramitación (art. 23.2 CE). Al margen de mi desacuerdo con esta doctrina, la sentencia no ofrece razones que puedan justificar ese nuevo deber que se impone a las mesas y que viene a agravar una cuestionable tutela del juez constitucional sobre el libre debate político en sede parlamentaria.</w:t>
      </w:r>
    </w:p>
    <w:p w14:paraId="0FD79D28" w14:textId="77777777" w:rsidR="003754FE" w:rsidRDefault="003754FE" w:rsidP="003754FE">
      <w:pPr>
        <w:pStyle w:val="TextoNormal"/>
      </w:pPr>
    </w:p>
    <w:p w14:paraId="578F2728" w14:textId="77777777" w:rsidR="003754FE" w:rsidRDefault="003754FE" w:rsidP="003754FE">
      <w:pPr>
        <w:pStyle w:val="TextoNormal"/>
      </w:pPr>
      <w:r>
        <w:t>Por lo que se refiere a la apelación que la sentencia hace a las consecuencias que conlleva la admisión a trámite de la iniciativa legislativa popular para los ciudadanos y poderes públicos e instituciones, incluidos los órganos constitucionales, en nada justifica el deber de inadmisión de la mesa del Parlamento de Cataluña. Así, no pasa de reiterarse la existencia de una inconstitucionalidad que se considera palmaria y evidente, algo que, según la jurisprudencia constitucional (SSTC 107/2016, 108/2016 y 109/2016), solo alcanzaría a permitir a la mesa su inadmisión, pero no el deber de hacerlo; sin que se oponga —no parece posible— la lesión de derecho fundamental alguno que pudiera determinar el mentado deber.</w:t>
      </w:r>
    </w:p>
    <w:p w14:paraId="483F2223" w14:textId="77777777" w:rsidR="003754FE" w:rsidRDefault="003754FE" w:rsidP="003754FE">
      <w:pPr>
        <w:pStyle w:val="TextoNormal"/>
      </w:pPr>
    </w:p>
    <w:p w14:paraId="533B6B68" w14:textId="77777777" w:rsidR="003754FE" w:rsidRDefault="003754FE" w:rsidP="003754FE">
      <w:pPr>
        <w:pStyle w:val="TextoNormal"/>
      </w:pPr>
      <w:r>
        <w:t xml:space="preserve">4. </w:t>
      </w:r>
      <w:r w:rsidRPr="003754FE">
        <w:rPr>
          <w:i/>
        </w:rPr>
        <w:t>Conclusión: hacia el indebido deber de las mesas de efectuar un control material previo de constitucionalidad</w:t>
      </w:r>
    </w:p>
    <w:p w14:paraId="3831AB9A" w14:textId="77777777" w:rsidR="003754FE" w:rsidRDefault="003754FE" w:rsidP="003754FE">
      <w:pPr>
        <w:pStyle w:val="TextoNormal"/>
      </w:pPr>
    </w:p>
    <w:p w14:paraId="679129B1" w14:textId="77777777" w:rsidR="003754FE" w:rsidRDefault="003754FE" w:rsidP="003754FE">
      <w:pPr>
        <w:pStyle w:val="TextoNormal"/>
      </w:pPr>
      <w:r>
        <w:t>La sentencia viene a reforzar el progresivo control y la injerencia del Tribunal en el debate parlamentario, algo que ha propiciado una doctrina que establece para las mesas de las cámaras deberes de inadmitir a trámite iniciativas de todo tipo. Y lo hace, además, sometiendo a un control de constitucionalidad objetivo un proyecto normativo que no podía entenderse en modo alguno como expresión de la voluntad del Parlamento. A la luz de lo expuesto, la razón última del deber de inadmisión que impone nuestra sentencia reside en la apreciación de la radical oposición a la Constitución del contenido de la iniciativa legislativa. Lo que conlleva establecer como función de la mesa un deber de control de constitucionalidad previo a la calificación y admisión de la iniciativa, que desborda las potestades que le corresponden como órgano rector de la Cámara encargado de organizar el trabajo parlamentario, para atribuirle indebidamente funciones materialmente jurisdiccionales. Me temo que esta forma de proceder anticipa el control de constitucionalidad normativo que corresponde a esta jurisdicción a una fase precoz, frustra el natural desenvolvimiento de la deliberación parlamentaria, impide al Parlamento velar por el respeto a la Constitución e interfiere, en suma, en el funcionamiento del sistema democrático parlamentario.</w:t>
      </w:r>
    </w:p>
    <w:p w14:paraId="646E0148" w14:textId="77777777" w:rsidR="003754FE" w:rsidRDefault="003754FE" w:rsidP="003754FE">
      <w:pPr>
        <w:pStyle w:val="TextoNormal"/>
      </w:pPr>
    </w:p>
    <w:p w14:paraId="5676458E" w14:textId="6B3418AC" w:rsidR="003754FE" w:rsidRDefault="003754FE" w:rsidP="003754FE">
      <w:pPr>
        <w:pStyle w:val="TextoNormal"/>
      </w:pPr>
      <w:r>
        <w:t>Madrid, a veintiuno de noviembre de dos mil veinticuatro.</w:t>
      </w:r>
    </w:p>
    <w:p w14:paraId="3E914DB0" w14:textId="675E3865" w:rsidR="003754FE" w:rsidRDefault="003754FE">
      <w:pPr>
        <w:spacing w:after="160" w:line="278" w:lineRule="auto"/>
        <w:rPr>
          <w:rFonts w:ascii="Times New Roman" w:eastAsia="Times New Roman" w:hAnsi="Times New Roman" w:cs="Times New Roman"/>
          <w:sz w:val="24"/>
          <w:szCs w:val="24"/>
          <w:lang w:eastAsia="es-ES"/>
        </w:rPr>
      </w:pPr>
      <w:r>
        <w:br w:type="page"/>
      </w:r>
    </w:p>
    <w:p w14:paraId="181030B2" w14:textId="77777777" w:rsidR="003754FE" w:rsidRDefault="003754FE" w:rsidP="003754FE">
      <w:pPr>
        <w:pStyle w:val="TtuloResolucin"/>
      </w:pPr>
      <w:bookmarkStart w:id="53" w:name="SENTENCIA_2024_144"/>
      <w:r>
        <w:lastRenderedPageBreak/>
        <w:t>SENTENCIA 144/2024, de 2 de diciembre de 2024</w:t>
      </w:r>
    </w:p>
    <w:bookmarkEnd w:id="53"/>
    <w:p w14:paraId="266D69F7" w14:textId="77777777" w:rsidR="003754FE" w:rsidRDefault="003754FE" w:rsidP="003754FE">
      <w:pPr>
        <w:pStyle w:val="TtuloResolucin"/>
      </w:pPr>
      <w:r>
        <w:t>Sala Segunda</w:t>
      </w:r>
    </w:p>
    <w:p w14:paraId="57F811E8" w14:textId="77777777" w:rsidR="003754FE" w:rsidRDefault="003754FE" w:rsidP="003754FE">
      <w:pPr>
        <w:pStyle w:val="TtuloBOE"/>
      </w:pPr>
      <w:r>
        <w:t>(BOE núm. 5, de 6 de enero de 2025)</w:t>
      </w:r>
    </w:p>
    <w:p w14:paraId="4055BD11" w14:textId="77777777" w:rsidR="003754FE" w:rsidRDefault="003754FE" w:rsidP="003754FE">
      <w:pPr>
        <w:pStyle w:val="TextoNormalCentrado"/>
      </w:pPr>
      <w:r>
        <w:t>ECLI:ES:TC:2024:144</w:t>
      </w:r>
    </w:p>
    <w:p w14:paraId="74044055" w14:textId="6224FEF4" w:rsidR="003754FE" w:rsidRDefault="003754FE" w:rsidP="003754FE">
      <w:pPr>
        <w:pStyle w:val="TextoNormalCentrado"/>
      </w:pPr>
    </w:p>
    <w:p w14:paraId="337D8178" w14:textId="77777777" w:rsidR="003754FE" w:rsidRDefault="003754FE" w:rsidP="003754FE">
      <w:pPr>
        <w:pStyle w:val="SntesisDescriptiva"/>
      </w:pPr>
      <w:r>
        <w:t>Recurso de amparo 6446-2021. Promovido por don Manuel Montávez Vilchez en relación con las resoluciones dictadas por la Audiencia Provincial de Jaén y un juzgado de primera instancia e instrucción de Úbeda en diligencias previas abiertas tras el fallecimiento de un detenido en calabozo municipal.</w:t>
      </w:r>
    </w:p>
    <w:p w14:paraId="4EB8361B" w14:textId="0D1D2E15" w:rsidR="003754FE" w:rsidRDefault="003754FE" w:rsidP="003754FE">
      <w:pPr>
        <w:pStyle w:val="SntesisDescriptiva"/>
      </w:pPr>
    </w:p>
    <w:p w14:paraId="16EEA60D" w14:textId="77777777" w:rsidR="003754FE" w:rsidRDefault="003754FE" w:rsidP="003754FE">
      <w:pPr>
        <w:pStyle w:val="SntesisAnaltica"/>
      </w:pPr>
      <w:r>
        <w:t>Vulneración del derecho a la tutela judicial efectiva sin indefensión en relación con el derecho a la vida y a la integridad física y moral: investigación insuficiente de una muerte acaecida en dependencias policiales (STC 1/2024). Votos particulares.</w:t>
      </w:r>
    </w:p>
    <w:p w14:paraId="70F3C374" w14:textId="529E1DEB" w:rsidR="003754FE" w:rsidRDefault="003754FE" w:rsidP="003754FE">
      <w:pPr>
        <w:pStyle w:val="SntesisAnaltica"/>
      </w:pPr>
    </w:p>
    <w:p w14:paraId="6230DB15" w14:textId="63488FEC" w:rsidR="003754FE" w:rsidRDefault="003754FE" w:rsidP="003754FE">
      <w:pPr>
        <w:pStyle w:val="Extracto"/>
      </w:pPr>
      <w:r>
        <w:t>1.</w:t>
      </w:r>
      <w:r>
        <w:tab/>
        <w:t xml:space="preserve">Aplicación de la doctrina constitucional y de la doctrina del Tribunal Europeo de Derechos Humanos en materia de investigación judicial suficiente y eficaz de denuncias de malos tratos y torturas, derivada del art. 24.1 CE en relación con el art. 15 CE, especialmente en los supuestos de fallecimiento de persona bajo custodia policial (SSTC 34/2008, 1/2024 o 33/2024 y STEDH de 30 de junio de 2020, asunto </w:t>
      </w:r>
      <w:r w:rsidRPr="003754FE">
        <w:rPr>
          <w:i/>
        </w:rPr>
        <w:t>S. F. contra Suiza</w:t>
      </w:r>
      <w:r>
        <w:t>) [FFJJ 4 y 5].</w:t>
      </w:r>
    </w:p>
    <w:p w14:paraId="5C532471" w14:textId="77777777" w:rsidR="003754FE" w:rsidRDefault="003754FE" w:rsidP="003754FE">
      <w:pPr>
        <w:pStyle w:val="Extracto"/>
      </w:pPr>
    </w:p>
    <w:p w14:paraId="1CA59BD4" w14:textId="77777777" w:rsidR="003754FE" w:rsidRDefault="003754FE" w:rsidP="003754FE">
      <w:pPr>
        <w:pStyle w:val="Extracto"/>
      </w:pPr>
    </w:p>
    <w:p w14:paraId="6C4B4984"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D335FEC" w14:textId="42F280FD" w:rsidR="003754FE" w:rsidRDefault="003754FE" w:rsidP="003754FE">
      <w:pPr>
        <w:pStyle w:val="TextoNormal"/>
      </w:pPr>
    </w:p>
    <w:p w14:paraId="24D74942" w14:textId="77777777" w:rsidR="003754FE" w:rsidRDefault="003754FE" w:rsidP="003754FE">
      <w:pPr>
        <w:pStyle w:val="TextoNormalCentrado"/>
        <w:keepNext/>
      </w:pPr>
      <w:r>
        <w:t>EN NOMBRE DEL REY</w:t>
      </w:r>
    </w:p>
    <w:p w14:paraId="16B00FC1" w14:textId="7B591DC0" w:rsidR="003754FE" w:rsidRDefault="003754FE" w:rsidP="003754FE">
      <w:pPr>
        <w:pStyle w:val="TextoNormalCentrado"/>
        <w:keepNext/>
      </w:pPr>
    </w:p>
    <w:p w14:paraId="27531EA2" w14:textId="77777777" w:rsidR="003754FE" w:rsidRDefault="003754FE" w:rsidP="003754FE">
      <w:pPr>
        <w:pStyle w:val="TextoNormalCentrado"/>
        <w:keepNext/>
      </w:pPr>
    </w:p>
    <w:p w14:paraId="632D460D" w14:textId="77777777" w:rsidR="003754FE" w:rsidRDefault="003754FE" w:rsidP="003754FE">
      <w:pPr>
        <w:pStyle w:val="TextoNormal"/>
      </w:pPr>
      <w:r>
        <w:t>la siguiente</w:t>
      </w:r>
    </w:p>
    <w:p w14:paraId="6E99D5A5" w14:textId="1EA60C29" w:rsidR="003754FE" w:rsidRDefault="003754FE" w:rsidP="003754FE">
      <w:pPr>
        <w:pStyle w:val="TextoNormal"/>
      </w:pPr>
    </w:p>
    <w:p w14:paraId="764679F9" w14:textId="77777777" w:rsidR="003754FE" w:rsidRDefault="003754FE" w:rsidP="003754FE">
      <w:pPr>
        <w:pStyle w:val="TextoNormalCentrado"/>
        <w:keepNext/>
      </w:pPr>
      <w:r>
        <w:t>SENTENCIA</w:t>
      </w:r>
    </w:p>
    <w:p w14:paraId="07F4D458" w14:textId="5682E2DF" w:rsidR="003754FE" w:rsidRDefault="003754FE" w:rsidP="003754FE">
      <w:pPr>
        <w:pStyle w:val="TextoNormalCentrado"/>
        <w:keepNext/>
      </w:pPr>
    </w:p>
    <w:p w14:paraId="037B4E7E" w14:textId="77777777" w:rsidR="003754FE" w:rsidRDefault="003754FE" w:rsidP="003754FE">
      <w:pPr>
        <w:pStyle w:val="TextoNormal"/>
      </w:pPr>
      <w:r>
        <w:t>En el recurso de amparo núm. 6446-2021, promovido por don Manuel Montávez Vilchez, contra los autos de 16 de febrero y de 14 de abril de 2021, dictados por el Juzgado de Primera Instancia e Instrucción núm. 1 de Úbeda en las diligencias previas núm. 618-2020, y contra el auto núm. 455/2021, de 30 de junio, dictado por la Sección Tercera de la Audiencia Provincial de Jaén en el recurso de apelación núm. 469-2021. Ha sido parte el Ayuntamiento de Jódar y ha intervenido el Ministerio Fiscal. Ha sido ponente la magistrada doña Inmaculada Montalbán Huertas.</w:t>
      </w:r>
    </w:p>
    <w:p w14:paraId="17A20041" w14:textId="4025C174" w:rsidR="003754FE" w:rsidRDefault="003754FE" w:rsidP="003754FE">
      <w:pPr>
        <w:pStyle w:val="TextoNormal"/>
      </w:pPr>
    </w:p>
    <w:p w14:paraId="2A389323" w14:textId="77777777" w:rsidR="003754FE" w:rsidRDefault="003754FE" w:rsidP="003754FE">
      <w:pPr>
        <w:pStyle w:val="TextoNormalNegritaCentrado"/>
        <w:keepNext/>
      </w:pPr>
      <w:r>
        <w:t>I. Antecedentes</w:t>
      </w:r>
    </w:p>
    <w:p w14:paraId="1DBF28F5" w14:textId="49931279" w:rsidR="003754FE" w:rsidRDefault="003754FE" w:rsidP="003754FE">
      <w:pPr>
        <w:pStyle w:val="TextoNormalNegritaCentrado"/>
        <w:keepNext/>
      </w:pPr>
    </w:p>
    <w:p w14:paraId="31A45DED" w14:textId="5F7A5488" w:rsidR="003754FE" w:rsidRDefault="003754FE" w:rsidP="003754FE">
      <w:pPr>
        <w:pStyle w:val="TextoNormal"/>
      </w:pPr>
      <w:r w:rsidRPr="003754FE">
        <w:rPr>
          <w:rStyle w:val="NumeroAFNegritaCaracter"/>
        </w:rPr>
        <w:t>1</w:t>
      </w:r>
      <w:r>
        <w:t xml:space="preserve">. Don Manuel Montávez Vilchez, representado por el procurador de los tribunales don Juan Antonio Jaraba García y asistido del letrado don Santiago López Poyatos, interpuso </w:t>
      </w:r>
      <w:r>
        <w:lastRenderedPageBreak/>
        <w:t>recurso de amparo contra las resoluciones que se mencionan en el encabezamiento, mediante escrito presentado en el registro electrónico de este tribunal el 11 de octubre de 2021.</w:t>
      </w:r>
    </w:p>
    <w:p w14:paraId="584B21F0" w14:textId="77777777" w:rsidR="003754FE" w:rsidRDefault="003754FE" w:rsidP="003754FE">
      <w:pPr>
        <w:pStyle w:val="TextoNormal"/>
      </w:pPr>
    </w:p>
    <w:p w14:paraId="736E381D" w14:textId="77777777" w:rsidR="003754FE" w:rsidRDefault="003754FE" w:rsidP="003754FE">
      <w:pPr>
        <w:pStyle w:val="TextoNormal"/>
      </w:pPr>
      <w:r w:rsidRPr="003754FE">
        <w:rPr>
          <w:rStyle w:val="NumeroAFNegritaCaracter"/>
        </w:rPr>
        <w:t>2</w:t>
      </w:r>
      <w:r>
        <w:t>. Los antecedentes relevantes para la resolución del recurso son los siguientes:</w:t>
      </w:r>
    </w:p>
    <w:p w14:paraId="48C4BE4F" w14:textId="77777777" w:rsidR="003754FE" w:rsidRDefault="003754FE" w:rsidP="003754FE">
      <w:pPr>
        <w:pStyle w:val="TextoNormal"/>
      </w:pPr>
    </w:p>
    <w:p w14:paraId="603760A5" w14:textId="77777777" w:rsidR="003754FE" w:rsidRDefault="003754FE" w:rsidP="003754FE">
      <w:pPr>
        <w:pStyle w:val="TextoNormal"/>
      </w:pPr>
      <w:r>
        <w:t>a) En la noche del 29 de octubre de 2020, don Cristóbal Montávez Sánchez, hijo del demandante de amparo, fue detenido por agentes de la Policía Local de Jódar (Jaén) y conducido a dependencias del ayuntamiento, donde horas más tarde fue hallado sin vida.</w:t>
      </w:r>
    </w:p>
    <w:p w14:paraId="1C44EB91" w14:textId="77777777" w:rsidR="003754FE" w:rsidRDefault="003754FE" w:rsidP="003754FE">
      <w:pPr>
        <w:pStyle w:val="TextoNormal"/>
      </w:pPr>
    </w:p>
    <w:p w14:paraId="6051E3BF" w14:textId="77777777" w:rsidR="003754FE" w:rsidRDefault="003754FE" w:rsidP="003754FE">
      <w:pPr>
        <w:pStyle w:val="TextoNormal"/>
      </w:pPr>
      <w:r>
        <w:t>De acuerdo con los atestados policiales, sobre las 22:45 horas, dos agentes de la policía local detuvieron a don Cristóbal Montávez en la calle Granada de Jódar por un presunto delito de atentado y desórdenes públicos y lo trasladaron al centro de salud donde fue atendido a las 00:07 horas de pequeñas heridas en la frente y en los dedos de las manos, siéndole administrados varios medicamentos, entre ellos, y debido a su estado de gran agitación, diazepam intramuscular. Posteriormente fue conducido a dependencias del ayuntamiento, cacheado hasta en dos ocasiones y allí permaneció recluido en una habitación que hacía las funciones de calabozo, custodiado por los referidos agentes.</w:t>
      </w:r>
    </w:p>
    <w:p w14:paraId="1731C261" w14:textId="77777777" w:rsidR="003754FE" w:rsidRDefault="003754FE" w:rsidP="003754FE">
      <w:pPr>
        <w:pStyle w:val="TextoNormal"/>
      </w:pPr>
    </w:p>
    <w:p w14:paraId="78B46833" w14:textId="77777777" w:rsidR="003754FE" w:rsidRDefault="003754FE" w:rsidP="003754FE">
      <w:pPr>
        <w:pStyle w:val="TextoNormal"/>
      </w:pPr>
      <w:r>
        <w:t>A las 00:35 horas, dos agentes de la Guardia Civil se personaron en dichas dependencias y asistieron y tranquilizaron al detenido, abandonando el lugar al no estar cerrado el atestado, para regresar sobre las 02:30 horas con la intención de hacerse cargo del detenido y de las diligencias. A las 02:34 horas, los agentes actuantes pudieron comprobar que don Cristóbal Montávez yacía colgado en suspensión con un cordón a la puerta de los calabozos.</w:t>
      </w:r>
    </w:p>
    <w:p w14:paraId="11232B9C" w14:textId="77777777" w:rsidR="003754FE" w:rsidRDefault="003754FE" w:rsidP="003754FE">
      <w:pPr>
        <w:pStyle w:val="TextoNormal"/>
      </w:pPr>
    </w:p>
    <w:p w14:paraId="1AE7F105" w14:textId="77777777" w:rsidR="003754FE" w:rsidRDefault="003754FE" w:rsidP="003754FE">
      <w:pPr>
        <w:pStyle w:val="TextoNormal"/>
      </w:pPr>
      <w:r>
        <w:t>b) Por el Juzgado de Primera Instancia e Instrucción núm. 1 de Úbeda se incoaron las diligencias previas núm. 618-2020 para el esclarecimiento de estos hechos.</w:t>
      </w:r>
    </w:p>
    <w:p w14:paraId="1DA2660E" w14:textId="77777777" w:rsidR="003754FE" w:rsidRDefault="003754FE" w:rsidP="003754FE">
      <w:pPr>
        <w:pStyle w:val="TextoNormal"/>
      </w:pPr>
    </w:p>
    <w:p w14:paraId="1DCA3088" w14:textId="77777777" w:rsidR="003754FE" w:rsidRDefault="003754FE" w:rsidP="003754FE">
      <w:pPr>
        <w:pStyle w:val="TextoNormal"/>
      </w:pPr>
      <w:r>
        <w:t>Tras ser informado del fallecimiento de su hijo, el demandante de amparo presentó una denuncia inicial el 30 de octubre de 2020 y un escrito ampliatorio al día siguiente, ambos dirigidos a la Guardia Civil de Baeza. En estos escritos afirmaba que varios testigos habían visto a agentes de la policía local golpear al señor Montávez, primero en la calle Almería y posteriormente en la calle Domingo Arroquia de Jódar. Interesaba la práctica de varias diligencias de instrucción; entre ellas, la declaración de los policías locales que lo detuvieron, el requerimiento de información acerca del nombramiento del letrado del turno de oficio, la inspección ocular y recogida de muestras de sangre en los lugares anteriormente referidos, la remisión de imágenes de las cámaras del consistorio y de un bar próximo sito en la calle Domingo Arroquia, así como la toma de declaración a varios testigos.</w:t>
      </w:r>
    </w:p>
    <w:p w14:paraId="596BB77C" w14:textId="77777777" w:rsidR="003754FE" w:rsidRDefault="003754FE" w:rsidP="003754FE">
      <w:pPr>
        <w:pStyle w:val="TextoNormal"/>
      </w:pPr>
    </w:p>
    <w:p w14:paraId="2E29C85C" w14:textId="77777777" w:rsidR="003754FE" w:rsidRDefault="003754FE" w:rsidP="003754FE">
      <w:pPr>
        <w:pStyle w:val="TextoNormal"/>
      </w:pPr>
      <w:r>
        <w:t>c) La médico forense, en el informe preliminar de la autopsia de 30 de octubre de 2020, concluyó que el fallecimiento del señor Montávez tuvo naturaleza violenta y etiología médico legal más probable suicida, siendo la causa fundamental de la muerte la asfixia mecánica por ahorcadura incompleta. La facultativa solicitó, además, la práctica de pruebas complementarias consistentes en un estudio químico toxicológico y en un estudio histopatológico. Estas conclusiones fueron mantenidas en el informe de 4 de noviembre de 2020 elaborado por la misma médico forense, que detallaba además las lesiones de poca entidad que presentaba el cadáver y fijaba la hora del fallecimiento entre las 02:00 y las 02:30 horas.</w:t>
      </w:r>
    </w:p>
    <w:p w14:paraId="35D10D82" w14:textId="77777777" w:rsidR="003754FE" w:rsidRDefault="003754FE" w:rsidP="003754FE">
      <w:pPr>
        <w:pStyle w:val="TextoNormal"/>
      </w:pPr>
    </w:p>
    <w:p w14:paraId="6AE97669" w14:textId="77777777" w:rsidR="003754FE" w:rsidRDefault="003754FE" w:rsidP="003754FE">
      <w:pPr>
        <w:pStyle w:val="TextoNormal"/>
      </w:pPr>
      <w:r>
        <w:lastRenderedPageBreak/>
        <w:t>d) El Juzgado de Primera Instancia e Instrucción núm. 1 de Úbeda, por providencia de 5 de noviembre de 2020, acordó la práctica de varias de las diligencias solicitadas por la acusación particular como librar oficio al Ilustre Colegio de Abogados de Jaén para informar de la hora de petición de letrado del turno de oficio, la inspección ocular para la recogida de muestras de sangre, la aportación de las posibles grabaciones de las cámaras de seguridad de establecimientos próximos y la declaración de testigos.</w:t>
      </w:r>
    </w:p>
    <w:p w14:paraId="0B494ED9" w14:textId="77777777" w:rsidR="003754FE" w:rsidRDefault="003754FE" w:rsidP="003754FE">
      <w:pPr>
        <w:pStyle w:val="TextoNormal"/>
      </w:pPr>
    </w:p>
    <w:p w14:paraId="75F13202" w14:textId="77777777" w:rsidR="003754FE" w:rsidRDefault="003754FE" w:rsidP="003754FE">
      <w:pPr>
        <w:pStyle w:val="TextoNormal"/>
      </w:pPr>
      <w:r>
        <w:t>e) Por providencia de 13 de noviembre de 2020, el juzgado acordó la personación del Ayuntamiento de Jódar como responsable civil.</w:t>
      </w:r>
    </w:p>
    <w:p w14:paraId="60CB6EE6" w14:textId="77777777" w:rsidR="003754FE" w:rsidRDefault="003754FE" w:rsidP="003754FE">
      <w:pPr>
        <w:pStyle w:val="TextoNormal"/>
      </w:pPr>
    </w:p>
    <w:p w14:paraId="22D6BD8D" w14:textId="77777777" w:rsidR="003754FE" w:rsidRDefault="003754FE" w:rsidP="003754FE">
      <w:pPr>
        <w:pStyle w:val="TextoNormal"/>
      </w:pPr>
      <w:r>
        <w:t>f) Recabados varios informes elaborados por la policía judicial de la Guardia Civil de Baeza (incluyendo inspección ocular y acta de comparecencia de los reseñados agentes de la policía local) y practicadas varias de las diligencias interesadas por la acusación particular (como toma de declaración de varios testigos), el actor, mediante escrito de 18 de noviembre, propuso la práctica adicional de nuevas diligencias consistentes en la remisión de oficio al centro de salud para la identificación del personal sanitario que asistió al detenido, la petición de las imágenes de dicho centro y la triangulación de los teléfonos de los agentes intervinientes.</w:t>
      </w:r>
    </w:p>
    <w:p w14:paraId="673A5D97" w14:textId="77777777" w:rsidR="003754FE" w:rsidRDefault="003754FE" w:rsidP="003754FE">
      <w:pPr>
        <w:pStyle w:val="TextoNormal"/>
      </w:pPr>
    </w:p>
    <w:p w14:paraId="1EAD00EB" w14:textId="77777777" w:rsidR="003754FE" w:rsidRDefault="003754FE" w:rsidP="003754FE">
      <w:pPr>
        <w:pStyle w:val="TextoNormal"/>
      </w:pPr>
      <w:r>
        <w:t>g) El juzgado de instrucción denegó la práctica de estas diligencias por providencia de 19 de noviembre de 2020 por considerarlas innecesarias y, frente a esta decisión, la acusación particular interpuso recurso de reforma denunciando la vulneración del derecho a la tutela judicial efectiva, a un proceso con todas las garantías y a utilizar los medios de prueba pertinentes para su defensa. El recurso fue desestimado por auto de 20 de enero de 2021 que ahondaba en la innecesaridad de practicar las diligencias solicitadas.</w:t>
      </w:r>
    </w:p>
    <w:p w14:paraId="6926017B" w14:textId="77777777" w:rsidR="003754FE" w:rsidRDefault="003754FE" w:rsidP="003754FE">
      <w:pPr>
        <w:pStyle w:val="TextoNormal"/>
      </w:pPr>
    </w:p>
    <w:p w14:paraId="57B30110" w14:textId="77777777" w:rsidR="003754FE" w:rsidRDefault="003754FE" w:rsidP="003754FE">
      <w:pPr>
        <w:pStyle w:val="TextoNormal"/>
      </w:pPr>
      <w:r>
        <w:t>En el mismo auto se admitió a trámite el recurso de apelación interpuesto con carácter subsidiario respecto del cual el recurrente formuló una serie de alegaciones complementarias y con cita del art. 3 del Convenio europeo de derechos humanos (CEDH), interesó y justificó la práctica de las diligencias denegadas y añadió la petición de un peritaje informático de la base de datos de la policía local para recabar información exacta acerca de la hora de la detención y lectura de derechos al detenido y traspaso de diligencias.</w:t>
      </w:r>
    </w:p>
    <w:p w14:paraId="7469AED0" w14:textId="77777777" w:rsidR="003754FE" w:rsidRDefault="003754FE" w:rsidP="003754FE">
      <w:pPr>
        <w:pStyle w:val="TextoNormal"/>
      </w:pPr>
    </w:p>
    <w:p w14:paraId="5738380B" w14:textId="77777777" w:rsidR="003754FE" w:rsidRDefault="003754FE" w:rsidP="003754FE">
      <w:pPr>
        <w:pStyle w:val="TextoNormal"/>
      </w:pPr>
      <w:r>
        <w:t>h) Sin que conste resuelto el citado recurso por la Audiencia Provincial de Jaén y sin haber recibido varias de las diligencias acordadas (como informes periciales o información de la hora de la llamada al letrado del turno de oficio), el Juzgado de Primera Instancia e Instrucción núm. 1 de Úbeda, por auto núm. 132/2021, de 16 de febrero, acordó el sobreseimiento libre y archivo de las diligencias previas, al amparo del art. 637 de la Ley de enjuiciamiento criminal (LECrim), por no desprenderse de la instrucción que la actuación de los agentes de la Policía Local de Jódar fuera causante del fallecimiento de don Cristóbal Montávez Sánchez y ello “sin perjuicio de recibir los informes finales de autopsia y resultado de análisis de muestras biológicas”.</w:t>
      </w:r>
    </w:p>
    <w:p w14:paraId="5B007BD4" w14:textId="77777777" w:rsidR="003754FE" w:rsidRDefault="003754FE" w:rsidP="003754FE">
      <w:pPr>
        <w:pStyle w:val="TextoNormal"/>
      </w:pPr>
    </w:p>
    <w:p w14:paraId="28CCFF3C" w14:textId="77777777" w:rsidR="003754FE" w:rsidRDefault="003754FE" w:rsidP="003754FE">
      <w:pPr>
        <w:pStyle w:val="TextoNormal"/>
      </w:pPr>
      <w:r>
        <w:t xml:space="preserve">i) Frente al auto de sobreseimiento libre, el demandante de amparo interpuso recurso de reforma y subsidiario de apelación mediante escrito de 24 de febrero de 2021. La acusación particular denunciaba que los delitos de detención ilegal, destrucción de pruebas, lesiones y abuso de autoridad no habían sido investigados; que el informe pericial toxicológico no había sido aún recibido; asimismo subrayaba la falta de toma de declaración a los agentes </w:t>
      </w:r>
      <w:r>
        <w:lastRenderedPageBreak/>
        <w:t>de la policía local identificados, la denegación indebida de las diligencias solicitadas y cuestionaba las contradicciones derivadas de la instrucción.</w:t>
      </w:r>
    </w:p>
    <w:p w14:paraId="506105F7" w14:textId="77777777" w:rsidR="003754FE" w:rsidRDefault="003754FE" w:rsidP="003754FE">
      <w:pPr>
        <w:pStyle w:val="TextoNormal"/>
      </w:pPr>
    </w:p>
    <w:p w14:paraId="5BD29828" w14:textId="77777777" w:rsidR="003754FE" w:rsidRDefault="003754FE" w:rsidP="003754FE">
      <w:pPr>
        <w:pStyle w:val="TextoNormal"/>
      </w:pPr>
      <w:r>
        <w:t>El recurso de reforma fue desestimado por auto de 14 de abril de 2021, dictado por el Juzgado de Primera Instancia e Instrucción núm. 1 de Úbeda al considerar, por un lado, que las diligencias practicadas, y en particular el informe de autopsia, excluían de manera firme y absoluta la muerte por torturas y, por otro lado, la inexistencia de indicios relevantes de los delitos de abuso de autoridad, detención ilegal y destrucción de pruebas denunciados por la acusación particular.</w:t>
      </w:r>
    </w:p>
    <w:p w14:paraId="38E24F2F" w14:textId="77777777" w:rsidR="003754FE" w:rsidRDefault="003754FE" w:rsidP="003754FE">
      <w:pPr>
        <w:pStyle w:val="TextoNormal"/>
      </w:pPr>
    </w:p>
    <w:p w14:paraId="4DAD321A" w14:textId="77777777" w:rsidR="003754FE" w:rsidRDefault="003754FE" w:rsidP="003754FE">
      <w:pPr>
        <w:pStyle w:val="TextoNormal"/>
      </w:pPr>
      <w:r>
        <w:t>j) Frente a esta resolución, la acusación particular, mediante escrito de 15 de abril de 2021, formuló una serie de alegaciones complementarias al recurso de apelación interpuesto con carácter subsidiario. Destacaba que el sobreseimiento libre se había acordado antes de recibir el informe pericial del laboratorio, cuestionaba la falta de vigilancia del detenido en los calabozos, denunciaba la tardanza en la práctica de la diligencia de averiguación de restos de sangre y señalaba varias irregularidades del procedimiento (falta de nombramiento de abogado del turno del oficio al detenido e inexistencia de firma en la lectura de derechos).</w:t>
      </w:r>
    </w:p>
    <w:p w14:paraId="1492F106" w14:textId="77777777" w:rsidR="003754FE" w:rsidRDefault="003754FE" w:rsidP="003754FE">
      <w:pPr>
        <w:pStyle w:val="TextoNormal"/>
      </w:pPr>
    </w:p>
    <w:p w14:paraId="404814C9" w14:textId="77777777" w:rsidR="003754FE" w:rsidRDefault="003754FE" w:rsidP="003754FE">
      <w:pPr>
        <w:pStyle w:val="TextoNormal"/>
      </w:pPr>
      <w:r>
        <w:t>Este recurso fue desestimado por auto de 30 de junio de 2021 dictado por la Sección Tercera de la Audiencia Provincial de Jaén, que confirmaba la decisión del juez de instancia al no desprenderse de la instrucción indicio alguno de los presuntos delitos imputados a los policías locales y sin que las pruebas solicitadas fueran pertinentes ni útiles para la adopción de una resolución distinta a la recurrida. La audiencia provincial confirmó la legalidad de la detención del señor Montávez, descartó la práctica de torturas y recordó que, en todo caso, la responsabilidad penal del inductor o cooperador al suicidio exige su conducta dolosa.</w:t>
      </w:r>
    </w:p>
    <w:p w14:paraId="7693AE7A" w14:textId="77777777" w:rsidR="003754FE" w:rsidRDefault="003754FE" w:rsidP="003754FE">
      <w:pPr>
        <w:pStyle w:val="TextoNormal"/>
      </w:pPr>
    </w:p>
    <w:p w14:paraId="2412B540" w14:textId="3802C79A" w:rsidR="003754FE" w:rsidRDefault="003754FE" w:rsidP="003754FE">
      <w:pPr>
        <w:pStyle w:val="TextoNormal"/>
      </w:pPr>
      <w:r>
        <w:t>k) Con posterioridad al auto acordando el sobreseimiento libre de las actuaciones, se recibieron e incorporaron a las actuaciones los resultados de varias diligencias de instrucción; entre otras, el informe del Instituto de Medicina Legal de Jaén de ratificación de autopsia de 16 de junio de 2021 y el informe de 18 de octubre de 2021 del servicio de biología del Instituto Nacional de Toxicología y Ciencias Forenses que concluía que la muestra de sangre recogida en la calle Domingo Arroquia coincidía con el perfil genético de don Cristóbal Montávez Sánchez.</w:t>
      </w:r>
    </w:p>
    <w:p w14:paraId="4D0F0239" w14:textId="77777777" w:rsidR="003754FE" w:rsidRDefault="003754FE" w:rsidP="003754FE">
      <w:pPr>
        <w:pStyle w:val="TextoNormal"/>
      </w:pPr>
    </w:p>
    <w:p w14:paraId="297AA30D" w14:textId="77777777" w:rsidR="003754FE" w:rsidRDefault="003754FE" w:rsidP="003754FE">
      <w:pPr>
        <w:pStyle w:val="TextoNormal"/>
      </w:pPr>
      <w:r w:rsidRPr="003754FE">
        <w:rPr>
          <w:rStyle w:val="NumeroAFNegritaCaracter"/>
        </w:rPr>
        <w:t>3</w:t>
      </w:r>
      <w:r>
        <w:t>. La demanda de amparo se dirige contra el auto de sobreseimiento libre y archivo de las diligencias previas núm. 618-2020, dictado por el Juzgado de Primera Instancia e Instrucción núm. 1 de Úbeda, confirmado en apelación por la Sección Tercera de la Audiencia Provincial de Jaén. El demandante de amparo alega que tal decisión vulneró sus derechos fundamentales a la vida y a la integridad física (art. 15 CE), a la tutela judicial efectiva (art. 24.1 CE) y a un proceso con todas las garantías (art. 24.2 CE).</w:t>
      </w:r>
    </w:p>
    <w:p w14:paraId="58325697" w14:textId="77777777" w:rsidR="003754FE" w:rsidRDefault="003754FE" w:rsidP="003754FE">
      <w:pPr>
        <w:pStyle w:val="TextoNormal"/>
      </w:pPr>
    </w:p>
    <w:p w14:paraId="437B41D8" w14:textId="77777777" w:rsidR="003754FE" w:rsidRDefault="003754FE" w:rsidP="003754FE">
      <w:pPr>
        <w:pStyle w:val="TextoNormal"/>
      </w:pPr>
      <w:r>
        <w:t xml:space="preserve">Sostiene el recurrente, con cita de doctrina constitucional (entre otras, SSTC 107/2008, de 22 de septiembre; 40/2010, de 19 de julio, y 130/2016, de 18 de julio) y del Tribunal Europeo de Derechos Humanos (entre otras, SSTEDH de 28 de septiembre de 2010, asunto </w:t>
      </w:r>
      <w:r w:rsidRPr="003754FE">
        <w:rPr>
          <w:i/>
        </w:rPr>
        <w:t>San Argimiro Isasa c. España</w:t>
      </w:r>
      <w:r>
        <w:t xml:space="preserve">; de 16 de octubre de 2012, asunto </w:t>
      </w:r>
      <w:r w:rsidRPr="003754FE">
        <w:rPr>
          <w:i/>
        </w:rPr>
        <w:t>Otamendi Egiguren c. España</w:t>
      </w:r>
      <w:r>
        <w:t xml:space="preserve">, y de 31 de mayo de 2016, asunto </w:t>
      </w:r>
      <w:r w:rsidRPr="003754FE">
        <w:rPr>
          <w:i/>
        </w:rPr>
        <w:t>Beortegui Martínez c. España</w:t>
      </w:r>
      <w:r>
        <w:t xml:space="preserve">), que los hechos denunciados, un supuesto de torturas a una persona detenida con resultado de muerte, no </w:t>
      </w:r>
      <w:r>
        <w:lastRenderedPageBreak/>
        <w:t>han sido investigados de forma eficaz a pesar de existir medios accesibles y pertinentes para ello.</w:t>
      </w:r>
    </w:p>
    <w:p w14:paraId="27D02972" w14:textId="77777777" w:rsidR="003754FE" w:rsidRDefault="003754FE" w:rsidP="003754FE">
      <w:pPr>
        <w:pStyle w:val="TextoNormal"/>
      </w:pPr>
    </w:p>
    <w:p w14:paraId="358E09AA" w14:textId="6C036BDB" w:rsidR="003754FE" w:rsidRDefault="003754FE" w:rsidP="003754FE">
      <w:pPr>
        <w:pStyle w:val="TextoNormal"/>
      </w:pPr>
      <w:r>
        <w:t>Solicita por ello que se le otorgue el amparo, declarando vulnerados los derechos fundamentales alegados, y en consecuencia se anulen las resoluciones judiciales impugnadas, procediendo a la retroacción de las actuaciones para continuar la instrucción de las diligencias previas núm. 618-2020.</w:t>
      </w:r>
    </w:p>
    <w:p w14:paraId="6E0DA26B" w14:textId="77777777" w:rsidR="003754FE" w:rsidRDefault="003754FE" w:rsidP="003754FE">
      <w:pPr>
        <w:pStyle w:val="TextoNormal"/>
      </w:pPr>
    </w:p>
    <w:p w14:paraId="66B6CF92" w14:textId="77777777" w:rsidR="003754FE" w:rsidRDefault="003754FE" w:rsidP="003754FE">
      <w:pPr>
        <w:pStyle w:val="TextoNormal"/>
      </w:pPr>
      <w:r w:rsidRPr="003754FE">
        <w:rPr>
          <w:rStyle w:val="NumeroAFNegritaCaracter"/>
        </w:rPr>
        <w:t>4</w:t>
      </w:r>
      <w:r>
        <w:t>. Con posterioridad a la presentación de la demanda de amparo, el recurrente fue requerido por la secretaria de justicia de la Sección Cuarta de este tribunal para la aportación de documentación adicional relativa al auto de 30 de junio de 2021, dictado por la Audiencia Provincial de Jaén, que confirmaba el sobreseimiento libre acordado por el juzgado de instrucción. Razón por la cual y tras “previas averiguaciones”, según afirma el recurrente, tuvo noticia de que los nombres de los magistrados que habían firmado digitalmente dicho auto no coincidían con los nombres que figuraban en el encabezamiento de la resolución: uno de los magistrados firmantes de la resolución no constaba reflejado en el encabezamiento y era padre del letrado que ejercía la defensa del Ayuntamiento de Jódar. Por ello, el recurrente solicitó a la audiencia provincial, el 1 de noviembre de 2021, la rectificación del error material del auto de 30 de junio de 2021 para la correcta identificación de los magistrados integrantes de la Sala que dictó la referida resolución.</w:t>
      </w:r>
    </w:p>
    <w:p w14:paraId="2CB7F76B" w14:textId="77777777" w:rsidR="003754FE" w:rsidRDefault="003754FE" w:rsidP="003754FE">
      <w:pPr>
        <w:pStyle w:val="TextoNormal"/>
      </w:pPr>
    </w:p>
    <w:p w14:paraId="16F8F300" w14:textId="742C4A3A" w:rsidR="003754FE" w:rsidRDefault="003754FE" w:rsidP="003754FE">
      <w:pPr>
        <w:pStyle w:val="TextoNormal"/>
      </w:pPr>
      <w:r>
        <w:t>Por diligencia de ordenación de 3 de noviembre de 2021 se remitió al actor desde la audiencia provincial un nuevo testimonio del referido auto de 30 de junio de 2021, rectificado su encabezamiento y reflejando el nombre de los tres magistrados —incluyendo también quien según el recurrente era el padre del letrado del ayuntamiento— que habían firmado digitalmente la resolución como integrantes de la Sala que había resuelto el recurso de apelación.</w:t>
      </w:r>
    </w:p>
    <w:p w14:paraId="48ACA15A" w14:textId="77777777" w:rsidR="003754FE" w:rsidRDefault="003754FE" w:rsidP="003754FE">
      <w:pPr>
        <w:pStyle w:val="TextoNormal"/>
      </w:pPr>
    </w:p>
    <w:p w14:paraId="7FC98A53" w14:textId="30C2FCB8" w:rsidR="003754FE" w:rsidRDefault="003754FE" w:rsidP="003754FE">
      <w:pPr>
        <w:pStyle w:val="TextoNormal"/>
      </w:pPr>
      <w:r w:rsidRPr="003754FE">
        <w:rPr>
          <w:rStyle w:val="NumeroAFNegritaCaracter"/>
        </w:rPr>
        <w:t>5</w:t>
      </w:r>
      <w:r>
        <w:t>. El 8 de noviembre de 2021, el actor presentó en el registro de este tribunal un escrito ampliatorio de la demanda de amparo inicial alegando la vulneración del derecho a la tutela judicial efectiva (art. 24.1 CE) y al juez ordinario predeterminado por la ley (art. 24.2 CE), pudiendo verse afectado el derecho a un tribunal imparcial (art. 24.2 CE) al haber tenido conocimiento de que uno de los magistrados de la Sección Tercera de la Audiencia Provincial de Jaén y firmante del auto de 30 de junio de 2021 que confirmaba una de las resoluciones impugnada —el sobreseimiento libre de la causa— era el padre del abogado defensor del Ayuntamiento de Jódar.</w:t>
      </w:r>
    </w:p>
    <w:p w14:paraId="39DCC4EE" w14:textId="77777777" w:rsidR="003754FE" w:rsidRDefault="003754FE" w:rsidP="003754FE">
      <w:pPr>
        <w:pStyle w:val="TextoNormal"/>
      </w:pPr>
    </w:p>
    <w:p w14:paraId="52D0BC62" w14:textId="6E244D3B" w:rsidR="003754FE" w:rsidRDefault="003754FE" w:rsidP="003754FE">
      <w:pPr>
        <w:pStyle w:val="TextoNormal"/>
      </w:pPr>
      <w:r w:rsidRPr="003754FE">
        <w:rPr>
          <w:rStyle w:val="NumeroAFNegritaCaracter"/>
        </w:rPr>
        <w:t>6</w:t>
      </w:r>
      <w:r>
        <w:t>. En virtud de los arts. 2.2 y 3.2 del acuerdo del Pleno del Tribunal Constitucional de 17 de enero de 2023, publicado en el “Boletín Oficial del Estado” de 19 de enero de 2023, al haber dejado el anterior ponente de formar parte del Tribunal, se reasignó la ponencia de este recurso de amparo, que correspondió a la magistrada doña Laura Diez Bueso integrada en la Sección Tercera.</w:t>
      </w:r>
    </w:p>
    <w:p w14:paraId="67BFCCC2" w14:textId="77777777" w:rsidR="003754FE" w:rsidRDefault="003754FE" w:rsidP="003754FE">
      <w:pPr>
        <w:pStyle w:val="TextoNormal"/>
      </w:pPr>
    </w:p>
    <w:p w14:paraId="7A2C5EF2" w14:textId="0D963EB7" w:rsidR="003754FE" w:rsidRDefault="003754FE" w:rsidP="003754FE">
      <w:pPr>
        <w:pStyle w:val="TextoNormal"/>
      </w:pPr>
      <w:r w:rsidRPr="003754FE">
        <w:rPr>
          <w:rStyle w:val="NumeroAFNegritaCaracter"/>
        </w:rPr>
        <w:t>7</w:t>
      </w:r>
      <w:r>
        <w:t xml:space="preserve">. La Sección Tercera dictó providencia el 12 de septiembre de 2023 por la que acordó admitir a trámite el recurso, “apreciando que concurre en el mismo una especial trascendencia constitucional (art. 50.1 LOTC) porque el asunto suscitado trasciende del caso concreto porque plantea una cuestión jurídica de relevante y general repercusión social o económica </w:t>
      </w:r>
      <w:r>
        <w:lastRenderedPageBreak/>
        <w:t>[STC 155/2009, FJ 2 g)]”. Acordó dirigirse a la Sección Tercera de la Audiencia Provincial de Jaén para que remitiese, en plazo que no excediese de diez días, testimonio de las actuaciones correspondientes al recurso de apelación núm. 469-2021 y también al Juzgado de Primera Instancia e Instrucción núm. 1 de Úbeda a fin de que remitiese en el mismo plazo testimonio de las actuaciones correspondientes a las diligencias previas núm. 618-2020 y para que emplazase a quienes hubieran sido parte en el procedimiento, excepto la parte recurrente en amparo, a fin de que pudieran comparecer en el recurso en el plazo de diez días.</w:t>
      </w:r>
    </w:p>
    <w:p w14:paraId="483AC13C" w14:textId="77777777" w:rsidR="003754FE" w:rsidRDefault="003754FE" w:rsidP="003754FE">
      <w:pPr>
        <w:pStyle w:val="TextoNormal"/>
      </w:pPr>
    </w:p>
    <w:p w14:paraId="43CE17B5" w14:textId="760AEA23" w:rsidR="003754FE" w:rsidRDefault="003754FE" w:rsidP="003754FE">
      <w:pPr>
        <w:pStyle w:val="TextoNormal"/>
      </w:pPr>
      <w:r w:rsidRPr="003754FE">
        <w:rPr>
          <w:rStyle w:val="NumeroAFNegritaCaracter"/>
        </w:rPr>
        <w:t>8</w:t>
      </w:r>
      <w:r>
        <w:t>. Mediante escrito registrado en este tribunal el 17 de octubre de 2023, la procuradora de los tribunales doña María Jesús Sánchez Zorrilla, asistida por el abogado don Carlos Regidor Jiménez, solicitó que se la tuviera por personada en el presente recurso de amparo en nombre y representación del Ayuntamiento de Jódar.</w:t>
      </w:r>
    </w:p>
    <w:p w14:paraId="75F7101E" w14:textId="77777777" w:rsidR="003754FE" w:rsidRDefault="003754FE" w:rsidP="003754FE">
      <w:pPr>
        <w:pStyle w:val="TextoNormal"/>
      </w:pPr>
    </w:p>
    <w:p w14:paraId="7D429F16" w14:textId="04F146BE" w:rsidR="003754FE" w:rsidRDefault="003754FE" w:rsidP="003754FE">
      <w:pPr>
        <w:pStyle w:val="TextoNormal"/>
      </w:pPr>
      <w:r w:rsidRPr="003754FE">
        <w:rPr>
          <w:rStyle w:val="NumeroAFNegritaCaracter"/>
        </w:rPr>
        <w:t>9</w:t>
      </w:r>
      <w:r>
        <w:t>. El 19 de octubre de 2023, el secretario de justicia de la Sección Tercera de este tribunal dictó diligencia de ordenación por la que, de un lado, acordó tener por personada a la procuradora de los tribunales doña María Jesús Sánchez Zorrilla en nombre y representación del Ayuntamiento de Jódar y, por otro lado, conforme a lo dispuesto en el art. 52.1 de la Ley Orgánica del Tribunal Constitucional (LOTC), acordó dar vista de las actuaciones por un plazo común de veinte días a las partes personadas y al Ministerio Fiscal.</w:t>
      </w:r>
    </w:p>
    <w:p w14:paraId="5122B005" w14:textId="77777777" w:rsidR="003754FE" w:rsidRDefault="003754FE" w:rsidP="003754FE">
      <w:pPr>
        <w:pStyle w:val="TextoNormal"/>
      </w:pPr>
    </w:p>
    <w:p w14:paraId="143DC09A" w14:textId="4DB279B6" w:rsidR="003754FE" w:rsidRDefault="003754FE" w:rsidP="003754FE">
      <w:pPr>
        <w:pStyle w:val="TextoNormal"/>
      </w:pPr>
      <w:r w:rsidRPr="003754FE">
        <w:rPr>
          <w:rStyle w:val="NumeroAFNegritaCaracter"/>
        </w:rPr>
        <w:t>10</w:t>
      </w:r>
      <w:r>
        <w:t>. El Ayuntamiento de Jódar se opuso al recurso de amparo por escrito presentado en el registro de este tribunal el día 16 de noviembre de 2023 e interesó su desestimación. Tras realizar un resumen de los hechos y enumerar las diligencias de prueba practicadas durante la instrucción, descarta cualquier vulneración del derecho a la vida y a la integridad física y el sometimiento a torturas y tratos inhumanos o degradantes del detenido, e insiste en la suficiencia de la instrucción habiéndose realizado todas las diligencias necesarias, útiles y pertinentes para el esclarecimiento de los hechos.</w:t>
      </w:r>
    </w:p>
    <w:p w14:paraId="7761FD5B" w14:textId="77777777" w:rsidR="003754FE" w:rsidRDefault="003754FE" w:rsidP="003754FE">
      <w:pPr>
        <w:pStyle w:val="TextoNormal"/>
      </w:pPr>
    </w:p>
    <w:p w14:paraId="3DCBA23B" w14:textId="481B771E" w:rsidR="003754FE" w:rsidRDefault="003754FE" w:rsidP="003754FE">
      <w:pPr>
        <w:pStyle w:val="TextoNormal"/>
      </w:pPr>
      <w:r w:rsidRPr="003754FE">
        <w:rPr>
          <w:rStyle w:val="NumeroAFNegritaCaracter"/>
        </w:rPr>
        <w:t>11</w:t>
      </w:r>
      <w:r>
        <w:t>. El recurrente, mediante escrito presentado el 18 de noviembre de 2023, se ratificó en el contenido de su demanda de amparo y en el escrito ampliatorio presentado.</w:t>
      </w:r>
    </w:p>
    <w:p w14:paraId="3084503F" w14:textId="77777777" w:rsidR="003754FE" w:rsidRDefault="003754FE" w:rsidP="003754FE">
      <w:pPr>
        <w:pStyle w:val="TextoNormal"/>
      </w:pPr>
    </w:p>
    <w:p w14:paraId="3DB47FD5" w14:textId="77777777" w:rsidR="003754FE" w:rsidRDefault="003754FE" w:rsidP="003754FE">
      <w:pPr>
        <w:pStyle w:val="TextoNormal"/>
      </w:pPr>
      <w:r w:rsidRPr="003754FE">
        <w:rPr>
          <w:rStyle w:val="NumeroAFNegritaCaracter"/>
        </w:rPr>
        <w:t>12</w:t>
      </w:r>
      <w:r>
        <w:t>. El fiscal ante el Tribunal Constitucional, en su escrito de alegaciones de 12 de diciembre de 2023, tras resumir los antecedentes del proceso, solicitó la inadmisión del recurso de amparo por haber sido presentado extemporáneamente, transcurrido el plazo de treinta días previsto por la ley (art. 44.2 LOTC).</w:t>
      </w:r>
    </w:p>
    <w:p w14:paraId="16CF09F9" w14:textId="77777777" w:rsidR="003754FE" w:rsidRDefault="003754FE" w:rsidP="003754FE">
      <w:pPr>
        <w:pStyle w:val="TextoNormal"/>
      </w:pPr>
    </w:p>
    <w:p w14:paraId="58FAD29C" w14:textId="77777777" w:rsidR="003754FE" w:rsidRDefault="003754FE" w:rsidP="003754FE">
      <w:pPr>
        <w:pStyle w:val="TextoNormal"/>
      </w:pPr>
      <w:r>
        <w:t>Con carácter subsidiario, el fiscal solicitó la estimación parcial de la demanda e interesó la declaración de nulidad de los autos impugnados y la retroacción de las actuaciones al momento inmediatamente anterior al dictado del auto de sobreseimiento libre de 16 de febrero de 2021 para que el Juzgado de Primera Instancia e Instrucción núm. 1 de Úbeda proceda en términos respetuosos con el derecho fundamental vulnerado (art. 24.1 CE).</w:t>
      </w:r>
    </w:p>
    <w:p w14:paraId="12178DA9" w14:textId="77777777" w:rsidR="003754FE" w:rsidRDefault="003754FE" w:rsidP="003754FE">
      <w:pPr>
        <w:pStyle w:val="TextoNormal"/>
      </w:pPr>
    </w:p>
    <w:p w14:paraId="351E95C2" w14:textId="77777777" w:rsidR="003754FE" w:rsidRDefault="003754FE" w:rsidP="003754FE">
      <w:pPr>
        <w:pStyle w:val="TextoNormal"/>
      </w:pPr>
      <w:r>
        <w:t>En primer lugar, el fiscal afirma que la vulneración del derecho a la vida (art. 15 CE) incurre en causa de inadmisión por no cumplir con el requisito de haber sido formalmente denunciado en el proceso judicial tan pronto hubo oportunidad para ello una vez conocida la violación de la que ahora se queja el recurrente en la demanda de amparo [art. 44.1 c) LOTC].</w:t>
      </w:r>
    </w:p>
    <w:p w14:paraId="258537EE" w14:textId="77777777" w:rsidR="003754FE" w:rsidRDefault="003754FE" w:rsidP="003754FE">
      <w:pPr>
        <w:pStyle w:val="TextoNormal"/>
      </w:pPr>
    </w:p>
    <w:p w14:paraId="3897DE96" w14:textId="20C1B2E7" w:rsidR="003754FE" w:rsidRDefault="003754FE" w:rsidP="003754FE">
      <w:pPr>
        <w:pStyle w:val="TextoNormal"/>
      </w:pPr>
      <w:r>
        <w:t xml:space="preserve">En segundo lugar, y tras la exposición de la doctrina constitucional relativa al derecho fundamental a la tutela judicial efectiva (art. 24.1 CE) en su doble dimensión de exigencia de motivación de las resoluciones judiciales y derecho a una investigación suficiente y eficaz (resumida en la STC 131/2023, de 23 de octubre, FJ 2) en el contexto de la doctrina desarrollada por el Tribunal Europeo de Derechos Humanos (entre otras, SSTEDH de 2 de noviembre de 2004, asunto </w:t>
      </w:r>
      <w:r w:rsidRPr="003754FE">
        <w:rPr>
          <w:i/>
        </w:rPr>
        <w:t>Martínez Sala y otros c. España</w:t>
      </w:r>
      <w:r>
        <w:t xml:space="preserve">; de 28 de septiembre de 2010, asunto </w:t>
      </w:r>
      <w:r w:rsidRPr="003754FE">
        <w:rPr>
          <w:i/>
        </w:rPr>
        <w:t>San Argimiro Isasa c. España</w:t>
      </w:r>
      <w:r>
        <w:t xml:space="preserve">, y de 19 de enero de 2021, asunto </w:t>
      </w:r>
      <w:r w:rsidRPr="003754FE">
        <w:rPr>
          <w:i/>
        </w:rPr>
        <w:t>González Etayo c. España</w:t>
      </w:r>
      <w:r>
        <w:t>), el fiscal considera que la investigación de los hechos presentó carencias sustanciales para reconstruir con una mínima sustanciación lógica las circunstancias en las que resultó posible el fallecimiento por suicidio del señor Montávez. Destaca que la instrucción no despeja las dudas sobre la muerte de una persona que, “siendo detenida en un lugar dejó rastros de sangre en otro distinto, que fue atendida de su visible estado de alteración mental mediante una asistencia médica de cuya concreta práctica y resultado —aparentemente nulo— poco o nada se sabe, que fue cacheada dos veces, sin encontrar una papelina de cocaína la primera vez y sin hallar en ninguna de las dos ocasiones el cordón con el que se ahorcó, sin que nadie haya sido capaz de explicar su posible procedencia alternativa […], y que, aparentemente en el mismo estado de grave alteración con que había entrado y salido del centro de salud, fue recluida en una celda donde los mismos agentes afirman haberlo vigilado de forma ininterrumpida, lo que, de ser exactamente cierto, exigiría comprobar cómo no fue posible evitar, si no la tentativa de suicidio, al menos su consumación o como mínimo no fue posible un descubrimiento más temprano del cadáver”. Estos aspectos no fueron esclarecidos por el juzgado de instrucción, que no atendió a las diversas peticiones formuladas por la acusación particular que interesó, entre otras diligencias, la toma de declaración de los denunciados o la investigación de la ubicación de los teléfonos móviles de los implicados.</w:t>
      </w:r>
    </w:p>
    <w:p w14:paraId="0D1DE653" w14:textId="77777777" w:rsidR="003754FE" w:rsidRDefault="003754FE" w:rsidP="003754FE">
      <w:pPr>
        <w:pStyle w:val="TextoNormal"/>
      </w:pPr>
    </w:p>
    <w:p w14:paraId="2963EC48" w14:textId="49AC3959" w:rsidR="003754FE" w:rsidRDefault="003754FE" w:rsidP="003754FE">
      <w:pPr>
        <w:pStyle w:val="TextoNormal"/>
      </w:pPr>
      <w:r w:rsidRPr="003754FE">
        <w:rPr>
          <w:rStyle w:val="NumeroAFNegritaCaracter"/>
        </w:rPr>
        <w:t>13</w:t>
      </w:r>
      <w:r>
        <w:t>. Por acuerdo de la Sala Segunda de 21 de octubre de 2024, habiendo declinado la ponencia la magistrada doña Laura Díez Bueso, se designó nueva ponente a la magistrada doña Inmaculada Montalbán Huertas [arts. 80 LOTC y 206 de la Ley Orgánica del Poder Judicial (LOPJ)].</w:t>
      </w:r>
    </w:p>
    <w:p w14:paraId="5D5D8B23" w14:textId="77777777" w:rsidR="003754FE" w:rsidRDefault="003754FE" w:rsidP="003754FE">
      <w:pPr>
        <w:pStyle w:val="TextoNormal"/>
      </w:pPr>
    </w:p>
    <w:p w14:paraId="33EB6D89" w14:textId="69D5E3AE" w:rsidR="003754FE" w:rsidRDefault="003754FE" w:rsidP="003754FE">
      <w:pPr>
        <w:pStyle w:val="TextoNormal"/>
      </w:pPr>
      <w:r w:rsidRPr="003754FE">
        <w:rPr>
          <w:rStyle w:val="NumeroAFNegritaCaracter"/>
        </w:rPr>
        <w:t>14</w:t>
      </w:r>
      <w:r>
        <w:t>. Por providencia de 28 de noviembre de 2024, se señaló para deliberación y votación de la presente sentencia el día 2 de diciembre de 2024.</w:t>
      </w:r>
    </w:p>
    <w:p w14:paraId="1F14EAD1" w14:textId="77777777" w:rsidR="003754FE" w:rsidRDefault="003754FE" w:rsidP="003754FE">
      <w:pPr>
        <w:pStyle w:val="TextoNormal"/>
      </w:pPr>
    </w:p>
    <w:p w14:paraId="41959DC1" w14:textId="77777777" w:rsidR="003754FE" w:rsidRDefault="003754FE" w:rsidP="003754FE">
      <w:pPr>
        <w:pStyle w:val="TextoNormalNegritaCentrado"/>
        <w:keepNext/>
      </w:pPr>
      <w:r>
        <w:t>II. Fundamentos jurídicos</w:t>
      </w:r>
    </w:p>
    <w:p w14:paraId="75193D24" w14:textId="644B8E0E" w:rsidR="003754FE" w:rsidRDefault="003754FE" w:rsidP="003754FE">
      <w:pPr>
        <w:pStyle w:val="TextoNormalNegritaCentrado"/>
        <w:keepNext/>
      </w:pPr>
    </w:p>
    <w:p w14:paraId="3A5A8233" w14:textId="77777777" w:rsidR="003754FE" w:rsidRDefault="003754FE" w:rsidP="003754FE">
      <w:pPr>
        <w:pStyle w:val="TextoNormal"/>
      </w:pPr>
      <w:r w:rsidRPr="003754FE">
        <w:rPr>
          <w:rStyle w:val="NumeroAFNegritaCaracter"/>
        </w:rPr>
        <w:t>1</w:t>
      </w:r>
      <w:r>
        <w:t xml:space="preserve">. </w:t>
      </w:r>
      <w:r w:rsidRPr="003754FE">
        <w:rPr>
          <w:i/>
        </w:rPr>
        <w:t>Objeto del recurso y pretensiones de las partes</w:t>
      </w:r>
    </w:p>
    <w:p w14:paraId="1E30B57A" w14:textId="77777777" w:rsidR="003754FE" w:rsidRDefault="003754FE" w:rsidP="003754FE">
      <w:pPr>
        <w:pStyle w:val="TextoNormal"/>
      </w:pPr>
    </w:p>
    <w:p w14:paraId="312CF2F6" w14:textId="77777777" w:rsidR="003754FE" w:rsidRDefault="003754FE" w:rsidP="003754FE">
      <w:pPr>
        <w:pStyle w:val="TextoNormal"/>
      </w:pPr>
      <w:r>
        <w:t>a) El presente recurso de amparo tiene por objeto determinar si las resoluciones judiciales impugnadas vulneraron el derecho del recurrente a la tutela judicial efectiva (art. 24.1 CE), en relación con el derecho a la vida y a la integridad física (art. 15 CE), a consecuencia del sobreseimiento libre del proceso penal incoado a raíz del fallecimiento de don Cristóbal Montávez cuando se encontraba bajo custodia policial.</w:t>
      </w:r>
    </w:p>
    <w:p w14:paraId="345C75C8" w14:textId="77777777" w:rsidR="003754FE" w:rsidRDefault="003754FE" w:rsidP="003754FE">
      <w:pPr>
        <w:pStyle w:val="TextoNormal"/>
      </w:pPr>
    </w:p>
    <w:p w14:paraId="77CC8626" w14:textId="77777777" w:rsidR="003754FE" w:rsidRDefault="003754FE" w:rsidP="003754FE">
      <w:pPr>
        <w:pStyle w:val="TextoNormal"/>
      </w:pPr>
      <w:r>
        <w:t xml:space="preserve">b) El recurrente considera que la decisión de sobreseimiento libre vulneró su derecho a la tutela judicial efectiva (art. 24.1 CE), al no haberse investigado mínimamente el </w:t>
      </w:r>
      <w:r>
        <w:lastRenderedPageBreak/>
        <w:t>fallecimiento de una persona detenida en un calabozo municipal y haberse denegado la práctica de las diligencias solicitadas. Señala, en apoyo de sus pretensiones, la falta de toma de declaración judicial a los agentes denunciados y a la enfermera que atendió al detenido, insiste en el desajuste horario que resulta de la instrucción de los hechos y destaca que los resultados de los análisis de sangre recogidos en la vía pública fueron recibidos por el juez instructor una vez archivado el procedimiento. Estas alegaciones se relacionan directamente con la vulneración del derecho a la vida y a la integridad física y con la prohibición de sometimiento a torturas y tratos inhumanos o degradantes (art. 15 CE) en su vertiente sustantiva y procesal, al encontrarse detenido y custodiado por agentes de la autoridad en el momento de su fallecimiento. Además, el recurrente considera que el auto dictado por la Audiencia Provincial de Jaén, confirmatorio de la decisión de sobreseimiento libre, vulnera el derecho a un proceso con todas las garantías en relación con el derecho a un juez imparcial, por ser el padre del letrado de la defensa del ayuntamiento, magistrado integrante de la Sala que dictó dicha resolución.</w:t>
      </w:r>
    </w:p>
    <w:p w14:paraId="3DEF93AF" w14:textId="77777777" w:rsidR="003754FE" w:rsidRDefault="003754FE" w:rsidP="003754FE">
      <w:pPr>
        <w:pStyle w:val="TextoNormal"/>
      </w:pPr>
    </w:p>
    <w:p w14:paraId="12BF3FE9" w14:textId="77777777" w:rsidR="003754FE" w:rsidRDefault="003754FE" w:rsidP="003754FE">
      <w:pPr>
        <w:pStyle w:val="TextoNormal"/>
      </w:pPr>
      <w:r>
        <w:t>El Ayuntamiento de Jódar solicita la desestimación del recurso a tenor de las conclusiones del informe de autopsia que determinó la causa del fallecimiento del detenido de etiología más probable suicida, descartando cualquier tipo de agresión. Además, insiste en que durante la instrucción de la causa se practicaron todas aquellas diligencias necesarias, útiles y pertinentes para el esclarecimiento de los hechos.</w:t>
      </w:r>
    </w:p>
    <w:p w14:paraId="7B31E941" w14:textId="77777777" w:rsidR="003754FE" w:rsidRDefault="003754FE" w:rsidP="003754FE">
      <w:pPr>
        <w:pStyle w:val="TextoNormal"/>
      </w:pPr>
    </w:p>
    <w:p w14:paraId="544A53C4" w14:textId="183AD773" w:rsidR="003754FE" w:rsidRDefault="003754FE" w:rsidP="003754FE">
      <w:pPr>
        <w:pStyle w:val="TextoNormal"/>
      </w:pPr>
      <w:r>
        <w:t>El fiscal defiende la inadmisión del recurso de amparo por extemporaneidad en su presentación (art. 44.2 LOTC). Subsidiariamente, sostiene que debe inadmitirse el motivo de amparo basado en la alegada vulneración del derecho a la vida (art. 15 CE) por concurrir el óbice procesal insubsanable de no haberse invocado formalmente en el proceso la vulneración denunciada en la demanda de amparo [art. 44.1 c) LOTC]; así como la estimación parcial de la demanda por vulneración del derecho a la tutela judicial efectiva (art. 24.1 CE) en la doble vertiente del derecho a una resolución motivada y fundada en Derecho y del derecho a una investigación suficiente y eficaz. En este sentido, razona que ni se han visto respetadas las exigencias de agotamiento de la investigación judicial eficaz, ni las resoluciones impugnadas cumplen con el canon constitucional de la debida motivación.</w:t>
      </w:r>
    </w:p>
    <w:p w14:paraId="481E9D1C" w14:textId="77777777" w:rsidR="003754FE" w:rsidRDefault="003754FE" w:rsidP="003754FE">
      <w:pPr>
        <w:pStyle w:val="TextoNormal"/>
      </w:pPr>
    </w:p>
    <w:p w14:paraId="10B3F497" w14:textId="77777777" w:rsidR="003754FE" w:rsidRDefault="003754FE" w:rsidP="003754FE">
      <w:pPr>
        <w:pStyle w:val="TextoNormal"/>
      </w:pPr>
      <w:r w:rsidRPr="003754FE">
        <w:rPr>
          <w:rStyle w:val="NumeroAFNegritaCaracter"/>
        </w:rPr>
        <w:t>2</w:t>
      </w:r>
      <w:r>
        <w:t xml:space="preserve">. </w:t>
      </w:r>
      <w:r w:rsidRPr="003754FE">
        <w:rPr>
          <w:i/>
        </w:rPr>
        <w:t>Desestimación de los óbices planteados: extemporaneidad en la presentación de la demanda de amparo y falta de invocación formal del derecho fundamental vulnerado en el proceso judicial</w:t>
      </w:r>
    </w:p>
    <w:p w14:paraId="38B073BE" w14:textId="77777777" w:rsidR="003754FE" w:rsidRDefault="003754FE" w:rsidP="003754FE">
      <w:pPr>
        <w:pStyle w:val="TextoNormal"/>
      </w:pPr>
    </w:p>
    <w:p w14:paraId="7DED6F74" w14:textId="77777777" w:rsidR="003754FE" w:rsidRDefault="003754FE" w:rsidP="003754FE">
      <w:pPr>
        <w:pStyle w:val="TextoNormal"/>
      </w:pPr>
      <w:r>
        <w:t>a) El fiscal sostiene que el recurso de amparo incumple el requisito procesal de admisión del art. 44.2 LOTC, según el cual el plazo para interponer el recurso de amparo es de treinta días, a partir de la notificación de la resolución recaída en el proceso judicial.</w:t>
      </w:r>
    </w:p>
    <w:p w14:paraId="6FBEC8CA" w14:textId="77777777" w:rsidR="003754FE" w:rsidRDefault="003754FE" w:rsidP="003754FE">
      <w:pPr>
        <w:pStyle w:val="TextoNormal"/>
      </w:pPr>
    </w:p>
    <w:p w14:paraId="04D470C2" w14:textId="77777777" w:rsidR="003754FE" w:rsidRDefault="003754FE" w:rsidP="003754FE">
      <w:pPr>
        <w:pStyle w:val="TextoNormal"/>
      </w:pPr>
      <w:r>
        <w:t xml:space="preserve">Como expone el fiscal, el plazo para la interposición del recurso de amparo debe comenzar a computarse desde el día siguiente a la notificación, el 12 de julio de 2021, del auto de 30 de junio de 2021 dictado por la Sección Tercera de la Audiencia Provincial de Jaén que confirmaba la decisión de sobreseimiento libre de las actuaciones acordado por el juzgado de instrucción, y ello a pesar de que, tras el dictado de estas resoluciones se remitió al juzgado de instrucción, incorporó a la causa y dio traslado a la parte, del resultado de varias diligencias de instrucción. En este sentido, la demanda de amparo registrada en este tribunal </w:t>
      </w:r>
      <w:r>
        <w:lastRenderedPageBreak/>
        <w:t>el 11 de octubre de 2021, fue presentada transcurrido el plazo estipulado en la ley, que finalizaba el 23 de septiembre de 2021.</w:t>
      </w:r>
    </w:p>
    <w:p w14:paraId="5F96321C" w14:textId="77777777" w:rsidR="003754FE" w:rsidRDefault="003754FE" w:rsidP="003754FE">
      <w:pPr>
        <w:pStyle w:val="TextoNormal"/>
      </w:pPr>
    </w:p>
    <w:p w14:paraId="16A83611" w14:textId="77777777" w:rsidR="003754FE" w:rsidRDefault="003754FE" w:rsidP="003754FE">
      <w:pPr>
        <w:pStyle w:val="TextoNormal"/>
      </w:pPr>
      <w:r>
        <w:t>No obstante, el óbice invocado no puede prosperar puesto que, con posterioridad a la presentación de esta demanda inicial, y como queda reflejado en los antecedentes expuestos, la parte recurrente tuvo conocimiento de un hecho novedoso, independiente de su voluntad, del que no pudo tener constancia previa, consistente en que uno de los magistrados de la audiencia provincial firmantes del referido auto fuese el padre del letrado del ayuntamiento, responsable civil en la causa, lo cual podría afectar a la composición del Tribunal y a la garantía de independencia judicial. Es por ello que, una vez notificado el auto dictado por la audiencia provincial incorporando el nombre del referido magistrado por diligencia de ordenación de 3 de noviembre de 2021, se inició nuevamente el cómputo de los plazos para la interposición de los correspondientes recursos. Haciendo uso de tal derecho, el recurrente presentó ante este tribunal, el 8 de noviembre de 2021 y, por lo tanto, dentro del plazo previsto por la ley (arts. 267.9 LOPJ y 161 LECrim en relación con el art. 44.2 LOTC) un nuevo escrito ampliatorio del primer recurso de amparo.</w:t>
      </w:r>
    </w:p>
    <w:p w14:paraId="7883EF9E" w14:textId="77777777" w:rsidR="003754FE" w:rsidRDefault="003754FE" w:rsidP="003754FE">
      <w:pPr>
        <w:pStyle w:val="TextoNormal"/>
      </w:pPr>
    </w:p>
    <w:p w14:paraId="713B3D02" w14:textId="77777777" w:rsidR="003754FE" w:rsidRDefault="003754FE" w:rsidP="003754FE">
      <w:pPr>
        <w:pStyle w:val="TextoNormal"/>
      </w:pPr>
      <w:r>
        <w:t>Analizado el caso en su conjunto y atendidas sus particularidades procesales, carecería de toda lógica afirmar que el auto de rectificación dictado por la audiencia provincial puede servir para abrir la vía para la interposición de un nuevo recurso de amparo, pero se repute insuficiente para remediar el incorrecto cálculo del plazo de la parte recurrente en la interposición inicial de la demanda de amparo. Exigir a la parte renunciar a la demanda inicial para presentar un nuevo recurso de amparo una vez efectuada la rectificación por la audiencia provincial no sería ajustado al carácter antiformalista que rige la admisión de las demandas de amparo en nuestra doctrina constitucional (ATC 436/1986, de 21 de mayo, FJ único, y STC 8/2004, de 9 de febrero, FJ 2).</w:t>
      </w:r>
    </w:p>
    <w:p w14:paraId="0DBC69F0" w14:textId="77777777" w:rsidR="003754FE" w:rsidRDefault="003754FE" w:rsidP="003754FE">
      <w:pPr>
        <w:pStyle w:val="TextoNormal"/>
      </w:pPr>
    </w:p>
    <w:p w14:paraId="216E6C8B" w14:textId="77777777" w:rsidR="003754FE" w:rsidRDefault="003754FE" w:rsidP="003754FE">
      <w:pPr>
        <w:pStyle w:val="TextoNormal"/>
      </w:pPr>
      <w:r>
        <w:t>b) Subsidiariamente, el fiscal considera que la vulneración del concreto derecho fundamental a la vida (art. 15 CE) “no fue invocada previamente frente a las decisiones judiciales impugnadas en amparo” incumpliendo así el requisito procesal insubsanable del art. 44.1 c) LOTC de conformidad con el cual las violaciones de los derechos y libertades susceptibles de amparo constitucional atribuibles a un órgano judicial podrán dar lugar a este recurso siempre que “se haya denunciado formalmente en el proceso, si hubo oportunidad, la vulneración del derecho constitucional tan pronto como, una vez conocida, hubiera lugar para ello”. Por el contrario, expone que, a pesar de las reiteradas menciones a lo largo del procedimiento de la prohibición de torturas y tratos inhumanos y degradantes (art. 15 CE) vinculadas con la existencia de una investigación eficaz (art. 24.1 CE), paradójicamente dicha argumentación queda huérfana de desarrollo en la demanda de amparo.</w:t>
      </w:r>
    </w:p>
    <w:p w14:paraId="4E3726D2" w14:textId="77777777" w:rsidR="003754FE" w:rsidRDefault="003754FE" w:rsidP="003754FE">
      <w:pPr>
        <w:pStyle w:val="TextoNormal"/>
      </w:pPr>
    </w:p>
    <w:p w14:paraId="41A04B74" w14:textId="77777777" w:rsidR="003754FE" w:rsidRDefault="003754FE" w:rsidP="003754FE">
      <w:pPr>
        <w:pStyle w:val="TextoNormal"/>
      </w:pPr>
      <w:r>
        <w:t xml:space="preserve">La respuesta a esta argumentación exige recordar que este tribunal ha reiterado, desde sus primeras sentencias, que el requisito del art. 44.1 c) LOTC no es un mero formalismo inocuo y que su interpretación debe efectuarse atendiendo a su finalidad, que es, por un lado, permitir que los juzgados y tribunales puedan cumplir con su función primigenia de tutelar los derechos y libertades susceptibles de amparo constitucional (arts. 53.2 CE y 7 LOPJ), reparando las vulneraciones que sus resoluciones hubieran podido causar y, por otro, preservar el principio de subsidiariedad de la jurisdicción constitucional de amparo frente a violaciones atribuibles a los órganos judiciales, principio que resultaría desvirtuado si se planteasen en esta sede cuestiones sobre las que previamente los órganos de la jurisdicción </w:t>
      </w:r>
      <w:r>
        <w:lastRenderedPageBreak/>
        <w:t xml:space="preserve">ordinaria no hubiesen tenido ocasión de pronunciarse. Con este criterio finalista, el cumplimiento de este requisito se flexibiliza, de modo que no resulta “precisa la cita específica de un concreto precepto del texto constitucional, es decir, no se requiere una especie de </w:t>
      </w:r>
      <w:r w:rsidRPr="003754FE">
        <w:rPr>
          <w:i/>
        </w:rPr>
        <w:t>editio actionis</w:t>
      </w:r>
      <w:r>
        <w:t>, sino que basta para entenderlo cumplido con que se ofrezca base argumental suficiente a fin de que el órgano judicial pueda conocer la vulneración aducida y pronunciarse sobre ella” (STC 69/1997, de 8 de abril, FJ 3; también, entre otras muchas, SSTC 116/2002, de 20 de mayo, FJ 2; 111/2022, de 26 de septiembre, FJ 2, y 39/2024, de 11 de marzo, FJ 2).</w:t>
      </w:r>
    </w:p>
    <w:p w14:paraId="43D3B03F" w14:textId="77777777" w:rsidR="003754FE" w:rsidRDefault="003754FE" w:rsidP="003754FE">
      <w:pPr>
        <w:pStyle w:val="TextoNormal"/>
      </w:pPr>
    </w:p>
    <w:p w14:paraId="414B5CA9" w14:textId="77777777" w:rsidR="003754FE" w:rsidRDefault="003754FE" w:rsidP="003754FE">
      <w:pPr>
        <w:pStyle w:val="TextoNormal"/>
      </w:pPr>
      <w:r>
        <w:t>En el presente caso, debe admitirse que ni en el recurso de reforma y subsidiario de apelación ni en las alegaciones complementarias a este último recurso interpuesto contra la decisión de sobreseer el procedimiento, se denunció expresamente la vulneración del derecho a la vida ni del derecho a la integridad física y moral (art. 15 CE). Desde una perspectiva estrictamente formalista, el recurrente denunció en ambas instancias únicamente la vulneración del derecho a la tutela judicial efectiva (art. 24.1 CE) por la falta de investigación de los hechos acaecidos y denunciados. No obstante, dichos hechos, que no son otros que el fallecimiento de una persona bajo custodia policial y las circunstancias previas a la muerte, es decir, las condiciones en que se produjo la detención y la custodia policial, son extensamente narrados en los recursos presentados y directamente relacionados con el derecho a una investigación exhaustiva y suficiente. Expresamente, el demandante de amparo denunció, en las instancias previas, el incumplimiento del canon de investigación reforzada “por imputarse un delito de torturas por parte de cuerpos y fuerzas de seguridad del Estado, con vulneración del art. 3 del Convenio de Europa” y expuso su disconformidad con el archivo “respecto de la denuncia del presunto homicidio”.</w:t>
      </w:r>
    </w:p>
    <w:p w14:paraId="2E4BFDE0" w14:textId="77777777" w:rsidR="003754FE" w:rsidRDefault="003754FE" w:rsidP="003754FE">
      <w:pPr>
        <w:pStyle w:val="TextoNormal"/>
      </w:pPr>
    </w:p>
    <w:p w14:paraId="564C1680" w14:textId="3DB3353B" w:rsidR="003754FE" w:rsidRDefault="003754FE" w:rsidP="003754FE">
      <w:pPr>
        <w:pStyle w:val="TextoNormal"/>
      </w:pPr>
      <w:r>
        <w:t>Lo cierto es que las quejas relacionadas con el derecho a la vida y a la integridad física y moral y con la prohibición de torturas y malos tratos se realizan tanto a lo largo del proceso como en la demanda de amparo sin excesiva concisión, confundiendo ambos derechos, e interrelacionándolos con el derecho a la tutela efectiva y en particular con el derecho a una investigación suficiente y eficaz. Sin embargo, partiendo de las consideraciones expuestas, debe concluirse que el recurrente ofreció una base argumental suficiente para que los órganos judiciales, tanto el juzgado de instrucción como la audiencia provincial, pudieran conocer y pronunciarse sobre la lesión del derecho a la tutela judicial efectiva sin indefensión (art. 24.1 CE) en relación con el derecho a la vida y a la integridad física y moral (art. 15 CE). En consecuencia, investigándose las condiciones en que se produjo la detención y el fallecimiento de una persona bajo custodia policial, y habiéndose reiterado a lo largo del procedimiento estas circunstancias, el óbice procesal planteado por el fiscal pierde su fuerza.</w:t>
      </w:r>
    </w:p>
    <w:p w14:paraId="76A3C71F" w14:textId="77777777" w:rsidR="003754FE" w:rsidRDefault="003754FE" w:rsidP="003754FE">
      <w:pPr>
        <w:pStyle w:val="TextoNormal"/>
      </w:pPr>
    </w:p>
    <w:p w14:paraId="1C4AFBCF" w14:textId="77777777" w:rsidR="003754FE" w:rsidRDefault="003754FE" w:rsidP="003754FE">
      <w:pPr>
        <w:pStyle w:val="TextoNormal"/>
      </w:pPr>
      <w:r w:rsidRPr="003754FE">
        <w:rPr>
          <w:rStyle w:val="NumeroAFNegritaCaracter"/>
        </w:rPr>
        <w:t>3</w:t>
      </w:r>
      <w:r>
        <w:t xml:space="preserve">. </w:t>
      </w:r>
      <w:r w:rsidRPr="003754FE">
        <w:rPr>
          <w:i/>
        </w:rPr>
        <w:t>Orden de examen de las quejas</w:t>
      </w:r>
    </w:p>
    <w:p w14:paraId="4E5B8B75" w14:textId="77777777" w:rsidR="003754FE" w:rsidRDefault="003754FE" w:rsidP="003754FE">
      <w:pPr>
        <w:pStyle w:val="TextoNormal"/>
      </w:pPr>
    </w:p>
    <w:p w14:paraId="18DB3328" w14:textId="6B4F9091" w:rsidR="003754FE" w:rsidRDefault="003754FE" w:rsidP="003754FE">
      <w:pPr>
        <w:pStyle w:val="TextoNormal"/>
      </w:pPr>
      <w:r>
        <w:t xml:space="preserve">Conforme al criterio de mayor retroacción que viene empleando este tribunal (entre otras, SSTC 180/2015, de 7 de septiembre, FJ 3, y 41/2020, de 9 de marzo) y que implica conceder prioridad al examen de aquellas causas que, de prosperar, determinarían la retroacción a un momento procesal anterior, lo que haría innecesario un pronunciamiento sobre las restantes (SSTC 90/2010, de 15 de noviembre, FJ 2, y 25/2012, de 27 de febrero, FJ 2, y las que en ellas se citan), procede examinar en primer término, la vulneración del derecho a la tutela judicial efectiva (art. 24.1 CE) en relación con el derecho a la vida y a la integridad física y moral (art. 15 CE) atribuida a la decisión de sobreseimiento libre acordado por el juez </w:t>
      </w:r>
      <w:r>
        <w:lastRenderedPageBreak/>
        <w:t>instructor y confirmado por la audiencia provincial, cuya estimación haría innecesario entrar a analizar el resto de vulneraciones que se atribuyen al auto dictado en segunda instancia.</w:t>
      </w:r>
    </w:p>
    <w:p w14:paraId="0A0886D5" w14:textId="77777777" w:rsidR="003754FE" w:rsidRDefault="003754FE" w:rsidP="003754FE">
      <w:pPr>
        <w:pStyle w:val="TextoNormal"/>
      </w:pPr>
    </w:p>
    <w:p w14:paraId="14B6F040" w14:textId="77777777" w:rsidR="003754FE" w:rsidRDefault="003754FE" w:rsidP="003754FE">
      <w:pPr>
        <w:pStyle w:val="TextoNormal"/>
      </w:pPr>
      <w:r w:rsidRPr="003754FE">
        <w:rPr>
          <w:rStyle w:val="NumeroAFNegritaCaracter"/>
        </w:rPr>
        <w:t>4</w:t>
      </w:r>
      <w:r>
        <w:t xml:space="preserve">. </w:t>
      </w:r>
      <w:r w:rsidRPr="003754FE">
        <w:rPr>
          <w:i/>
        </w:rPr>
        <w:t>Doctrina constitucional aplicable en materia de investigación judicial derivada del art. 24.1 CE en relación con el art. 15 CE y doctrina del Tribunal Europeo de Derecho Humanos derivada de los arts. 2 y 3 CEDH</w:t>
      </w:r>
    </w:p>
    <w:p w14:paraId="2443C0EB" w14:textId="77777777" w:rsidR="003754FE" w:rsidRDefault="003754FE" w:rsidP="003754FE">
      <w:pPr>
        <w:pStyle w:val="TextoNormal"/>
      </w:pPr>
    </w:p>
    <w:p w14:paraId="337ACD48" w14:textId="77777777" w:rsidR="003754FE" w:rsidRDefault="003754FE" w:rsidP="003754FE">
      <w:pPr>
        <w:pStyle w:val="TextoNormal"/>
      </w:pPr>
      <w:r>
        <w:t>La respuesta a las quejas formuladas por el demandante de amparo requiere, en primer lugar, el examen de la doctrina de este tribunal en materia de investigación suficiente y eficaz de las denuncias de delitos de torturas y malos tratos de personas detenidas o bajo custodia de agentes estatales, desarrollada en paralelo con la doctrina del Tribunal Europeo de Derechos Humanos respecto del art. 3 CEDH que prohíbe precisamente las torturas y los tratos inhumanos o degradantes. Además, en segundo lugar, se hace necesario un análisis de los pronunciamientos de este tribunal extendiendo estas exigencias a la investigación de los supuestos de fallecimientos de personas detenidas, en el mismo sentido que ha venido realizando la jurisprudencia europea en aplicación del derecho a la vida del art. 2 CEDH.</w:t>
      </w:r>
    </w:p>
    <w:p w14:paraId="7A2A120D" w14:textId="77777777" w:rsidR="003754FE" w:rsidRDefault="003754FE" w:rsidP="003754FE">
      <w:pPr>
        <w:pStyle w:val="TextoNormal"/>
      </w:pPr>
    </w:p>
    <w:p w14:paraId="0E1BF606" w14:textId="77777777" w:rsidR="003754FE" w:rsidRDefault="003754FE" w:rsidP="003754FE">
      <w:pPr>
        <w:pStyle w:val="TextoNormal"/>
      </w:pPr>
      <w:r>
        <w:t>a) Investigación judicial suficiente y eficaz en los supuestos de denuncias de malos tratos y torturas</w:t>
      </w:r>
    </w:p>
    <w:p w14:paraId="35F45E7D" w14:textId="77777777" w:rsidR="003754FE" w:rsidRDefault="003754FE" w:rsidP="003754FE">
      <w:pPr>
        <w:pStyle w:val="TextoNormal"/>
      </w:pPr>
    </w:p>
    <w:p w14:paraId="6DD0CFDE" w14:textId="77777777" w:rsidR="003754FE" w:rsidRDefault="003754FE" w:rsidP="003754FE">
      <w:pPr>
        <w:pStyle w:val="TextoNormal"/>
      </w:pPr>
      <w:r>
        <w:t>El Tribunal Constitucional ha establecido una consolidada doctrina acerca de las exigencias constitucionales del derecho a la tutela judicial efectiva (art. 24.1 CE) en relación con el derecho a no ser sometido a torturas ni a tratos inhumanos o degradantes (art. 15 CE), en los supuestos de sobreseimiento y archivo del procedimiento instructor incoado por denuncias de haber sufrido torturas o malos tratos bajo custodia policial o en el contexto de actuaciones de agentes estatales (entre otras muchas, SSTC 34/2008, de 25 de febrero; 1/2024, de 15 de enero, y 33/2024 y 35/2024, de 11 de marzo).</w:t>
      </w:r>
    </w:p>
    <w:p w14:paraId="27A6A850" w14:textId="77777777" w:rsidR="003754FE" w:rsidRDefault="003754FE" w:rsidP="003754FE">
      <w:pPr>
        <w:pStyle w:val="TextoNormal"/>
      </w:pPr>
    </w:p>
    <w:p w14:paraId="59433D0B" w14:textId="77777777" w:rsidR="003754FE" w:rsidRDefault="003754FE" w:rsidP="003754FE">
      <w:pPr>
        <w:pStyle w:val="TextoNormal"/>
      </w:pPr>
      <w:r>
        <w:t xml:space="preserve">Esta jurisprudencia constitucional, inevitablemente ligada con la doctrina del Tribunal Europeo de Derechos Humanos, impone a los órganos judiciales una diligencia reforzada en la investigación de estos delitos. La exigencia de una investigación suficiente y eficaz deriva del art. 3 CEDH que, en términos prácticamente idénticos al art. 15 CE, dispone que “nadie podrá ser sometido a tortura ni a penas o tratos inhumanos o degradantes”, precepto que consagra uno de los valores fundamentales de las sociedades democráticas y un derecho absoluto e inalienable estrechamente vinculado con el respeto de la dignidad humana (SSTEDH de 1 de junio de 2010, asunto </w:t>
      </w:r>
      <w:r w:rsidRPr="003754FE">
        <w:rPr>
          <w:i/>
        </w:rPr>
        <w:t>Gäfgen c. Alemania</w:t>
      </w:r>
      <w:r>
        <w:t xml:space="preserve">, § 107, y de 28 de septiembre de 2015, asunto </w:t>
      </w:r>
      <w:r w:rsidRPr="003754FE">
        <w:rPr>
          <w:i/>
        </w:rPr>
        <w:t>Bouyid c. Bélgica</w:t>
      </w:r>
      <w:r>
        <w:t>, § 81).</w:t>
      </w:r>
    </w:p>
    <w:p w14:paraId="534FC937" w14:textId="77777777" w:rsidR="003754FE" w:rsidRDefault="003754FE" w:rsidP="003754FE">
      <w:pPr>
        <w:pStyle w:val="TextoNormal"/>
      </w:pPr>
    </w:p>
    <w:p w14:paraId="4C626C86" w14:textId="77777777" w:rsidR="003754FE" w:rsidRDefault="003754FE" w:rsidP="003754FE">
      <w:pPr>
        <w:pStyle w:val="TextoNormal"/>
      </w:pPr>
      <w:r>
        <w:t xml:space="preserve">En nuestra doctrina, la exigencia de llevar a cabo una investigación suficiente y eficaz de esta clase de denuncias “tienen su encuadre constitucional más preciso en el derecho a la tutela judicial efectiva (art. 24.1 CE), pero su relación con el derecho a no ser sometido a tortura o tratos inhumanos o degradantes (art. 15 CE) impone que la valoración constitucional sobre la suficiencia de la indagación judicial dependa no solo de que las decisiones de sobreseimiento y archivo de las diligencias penales estén motivadas y jurídicamente fundadas, sino además, de que sean acordes con la prohibición absoluta de las conductas denunciadas, según un parámetro de control constitucional reforzado. La función del Tribunal Constitucional tiene por objeto la protección de los derechos fundamentales afectados, sin </w:t>
      </w:r>
      <w:r>
        <w:lastRenderedPageBreak/>
        <w:t>perjuicio de la calificación jurídico-penal que corresponde realizar a la jurisdicción ordinaria” [SSTC 12/2022, de 7 de febrero, FJ 2 (i), y 33/2024, de 11 de marzo, FJ 2 (i)].</w:t>
      </w:r>
    </w:p>
    <w:p w14:paraId="112BB975" w14:textId="77777777" w:rsidR="003754FE" w:rsidRDefault="003754FE" w:rsidP="003754FE">
      <w:pPr>
        <w:pStyle w:val="TextoNormal"/>
      </w:pPr>
    </w:p>
    <w:p w14:paraId="47CF4A3E" w14:textId="77777777" w:rsidR="003754FE" w:rsidRDefault="003754FE" w:rsidP="003754FE">
      <w:pPr>
        <w:pStyle w:val="TextoNormal"/>
      </w:pPr>
      <w:r>
        <w:t>Este tribunal ha reiterado que “[e]xiste una especial exigencia de desarrollar una exhaustiva investigación en relación con las denuncias de este tipo de conductas contrarias al art. 15 CE, agotando cuantas posibilidades de indagación resulten útiles para aclarar los hechos, ya que es necesario acentuar las garantías por concurrir una situación especial en la que el ciudadano se encuentra provisionalmente bajo la custodia física del Estado. Este mandato, si bien no comporta la realización de todas las diligencias de investigación posibles, sí impone que no se clausure la instrucción judicial penal cuando existan sospechas razonables de que se ha podido cometer el delito de torturas o de tratos inhumanos o degradantes denunciado y cuando tales sospechas se revelen como susceptibles de ser despejadas a través de la actividad investigadora” [SSTC 12/2022, de 7 de febrero, FJ 2 (ii), y 33/2024, de 11 de marzo, FJ 2 (iii)].</w:t>
      </w:r>
    </w:p>
    <w:p w14:paraId="5AD5C6FE" w14:textId="77777777" w:rsidR="003754FE" w:rsidRDefault="003754FE" w:rsidP="003754FE">
      <w:pPr>
        <w:pStyle w:val="TextoNormal"/>
      </w:pPr>
    </w:p>
    <w:p w14:paraId="5668DFEB" w14:textId="77777777" w:rsidR="003754FE" w:rsidRDefault="003754FE" w:rsidP="003754FE">
      <w:pPr>
        <w:pStyle w:val="TextoNormal"/>
      </w:pPr>
      <w:r>
        <w:t xml:space="preserve">La suficiencia y efectividad de la instrucción judicial y la necesidad de perseverar en la práctica de nuevas diligencias de investigación, “deben evaluarse atendiendo a las circunstancias concretas de la denuncia y de lo denunciado, y desde la gravedad de lo denunciado y su previa opacidad, rasgos ambos que afectan al grado de esfuerzo judicial exigido por el art. 24.1 CE” [SSTC 12/2022, de 7 de febrero, FJ 2 (iii), y 33/2024, de 11 de marzo, FJ 2 (ii)]. La exigencia de investigación eficaz y suficiente no debe suponer la práctica de todas y cada una de las diligencias solicitadas o imaginables, sino “que en un contexto aún de incertidumbre acerca de lo acaecido se practiquen aquellas que </w:t>
      </w:r>
      <w:r w:rsidRPr="003754FE">
        <w:rPr>
          <w:i/>
        </w:rPr>
        <w:t>a priori</w:t>
      </w:r>
      <w:r>
        <w:t xml:space="preserve"> se revelen susceptibles de despejar tales dudas fácticas. Si hay sospechas razonables de maltrato y modo aún de despejarlas no puede considerarse investigación oficial eficaz la que proceda al archivo de las actuaciones” (STC 34/2008, de 25 de febrero, FJ 8).</w:t>
      </w:r>
    </w:p>
    <w:p w14:paraId="47E520EE" w14:textId="77777777" w:rsidR="003754FE" w:rsidRDefault="003754FE" w:rsidP="003754FE">
      <w:pPr>
        <w:pStyle w:val="TextoNormal"/>
      </w:pPr>
    </w:p>
    <w:p w14:paraId="18511055" w14:textId="77777777" w:rsidR="003754FE" w:rsidRDefault="003754FE" w:rsidP="003754FE">
      <w:pPr>
        <w:pStyle w:val="TextoNormal"/>
      </w:pPr>
      <w:r>
        <w:t>La casuística de este tribunal, resumida en las SSTC 13/2022, de 7 de febrero, FJ 2; 34/2022, de 7 de marzo, FJ 3; 124/2022, de 10 de octubre, FJ 3, y 35/2024, de 11 de marzo, FJ 2, evidencia que se ha estimado la pretensión de amparo en supuestos en que, existiendo sospechas razonables de delito y siendo útil continuar la instrucción practicando diligencias para despejar las sospechas de tratos prohibidos por el art. 15 CE, se decreta el sobreseimiento provisional sin tomar declaración a la persona denunciante; sin oír al letrado de oficio que asistió a la persona detenida en dependencias policiales; sin recibir declaración a los profesionales que le prestaron asistencia sanitaria; sin identificar ni tomar declaración a los funcionarios y agentes de las fuerzas y cuerpos de seguridad del Estado encargados de la custodia; sin oír a las personas identificadas como posibles testigos; o cuando únicamente obra como diligencia de investigación el informe del cuerpo policial al que se le imputan los hechos al cuestionar la independencia de la investigación.</w:t>
      </w:r>
    </w:p>
    <w:p w14:paraId="1E1C8A50" w14:textId="77777777" w:rsidR="003754FE" w:rsidRDefault="003754FE" w:rsidP="003754FE">
      <w:pPr>
        <w:pStyle w:val="TextoNormal"/>
      </w:pPr>
    </w:p>
    <w:p w14:paraId="4DDF17A0" w14:textId="77777777" w:rsidR="003754FE" w:rsidRDefault="003754FE" w:rsidP="003754FE">
      <w:pPr>
        <w:pStyle w:val="TextoNormal"/>
      </w:pPr>
      <w:r>
        <w:t>b) Investigación suficiente y efectiva en los supuestos de fallecimiento de persona bajo custodia policial en el contexto de denuncias de malos tratos y torturas</w:t>
      </w:r>
    </w:p>
    <w:p w14:paraId="71CEB6F7" w14:textId="77777777" w:rsidR="003754FE" w:rsidRDefault="003754FE" w:rsidP="003754FE">
      <w:pPr>
        <w:pStyle w:val="TextoNormal"/>
      </w:pPr>
    </w:p>
    <w:p w14:paraId="58B01505" w14:textId="77777777" w:rsidR="003754FE" w:rsidRDefault="003754FE" w:rsidP="003754FE">
      <w:pPr>
        <w:pStyle w:val="TextoNormal"/>
      </w:pPr>
      <w:r>
        <w:t xml:space="preserve">Por su parte, el Tribunal Europeo de Derechos Humanos se ha pronunciado acerca del deber de investigación suficiente y eficaz no solo desde la perspectiva de las obligaciones derivadas del art. 3 CEDH sino también del art. 2 CEDH que reconoce y protege el derecho a la vida, tanto en su vertiente material como procesal (STEDH de 30 de junio de 2020, asunto </w:t>
      </w:r>
      <w:r w:rsidRPr="003754FE">
        <w:rPr>
          <w:i/>
        </w:rPr>
        <w:t>S.F. c. Suiza</w:t>
      </w:r>
      <w:r>
        <w:t xml:space="preserve">). El examen de esta doctrina resulta especialmente relevante en un </w:t>
      </w:r>
      <w:r>
        <w:lastRenderedPageBreak/>
        <w:t>supuesto como el presente, en el que se analiza la investigación de las circunstancias de la detención y custodia de una persona por agentes estatales, así como de las condiciones en las que se produce su fallecimiento.</w:t>
      </w:r>
    </w:p>
    <w:p w14:paraId="4179C619" w14:textId="77777777" w:rsidR="003754FE" w:rsidRDefault="003754FE" w:rsidP="003754FE">
      <w:pPr>
        <w:pStyle w:val="TextoNormal"/>
      </w:pPr>
    </w:p>
    <w:p w14:paraId="088B3BDB" w14:textId="77777777" w:rsidR="003754FE" w:rsidRDefault="003754FE" w:rsidP="003754FE">
      <w:pPr>
        <w:pStyle w:val="TextoNormal"/>
      </w:pPr>
      <w:r>
        <w:t xml:space="preserve">El Tribunal Europeo, en el asunto </w:t>
      </w:r>
      <w:r w:rsidRPr="003754FE">
        <w:rPr>
          <w:i/>
        </w:rPr>
        <w:t>S.F. c. Suiza</w:t>
      </w:r>
      <w:r>
        <w:t xml:space="preserve">, al resolver un caso de suicidio de una persona detenida por haber causado un accidente de tráfico en estado de embriaguez, recuerda, desde la vertiente procesal del art. 2 CEDH, que la obligación de proteger el derecho a la vida exige, en los casos de muerte en circunstancias sospechosas, una investigación suficiente (SSTEDH de 9 de abril de 2009, asunto </w:t>
      </w:r>
      <w:r w:rsidRPr="003754FE">
        <w:rPr>
          <w:i/>
        </w:rPr>
        <w:t>Šilih c. Eslovenia</w:t>
      </w:r>
      <w:r>
        <w:t xml:space="preserve">, § 157, y de 23 de octubre de 2012, asunto </w:t>
      </w:r>
      <w:r w:rsidRPr="003754FE">
        <w:rPr>
          <w:i/>
        </w:rPr>
        <w:t>Yotova c. Bulgaria</w:t>
      </w:r>
      <w:r>
        <w:t xml:space="preserve">, § 68), y ello incluso con independencia de que agentes estatales se encuentren o no implicados en el fallecimiento a través de actos u omisiones (decisiones del Tribunal Europeo de Derechos Humanos de 9 de diciembre de 2014, asunto </w:t>
      </w:r>
      <w:r w:rsidRPr="003754FE">
        <w:rPr>
          <w:i/>
        </w:rPr>
        <w:t>Taner c. Turquía</w:t>
      </w:r>
      <w:r>
        <w:t xml:space="preserve">, § 53, y de 11 de octubre de 2005, asunto </w:t>
      </w:r>
      <w:r w:rsidRPr="003754FE">
        <w:rPr>
          <w:i/>
        </w:rPr>
        <w:t>Stern c. Francia</w:t>
      </w:r>
      <w:r>
        <w:t xml:space="preserve">). Tal y como afirma el Tribunal Europeo de Derechos Humanos, los parámetros esenciales para cumplir con la exigencia procedimental del art. 2 CEDH son: una investigación adecuada, la celeridad en la investigación, la participación en la instrucción de las personas próximas al fallecido y la independencia del órgano instructor. Parámetros que se encuentran ligados entre sí y no constituyen en sí mismos una finalidad propia pero que, de manera conjunta permiten apreciar el grado de efectividad de la investigación (STEDH de 14 de abril de 2015, asunto </w:t>
      </w:r>
      <w:r w:rsidRPr="003754FE">
        <w:rPr>
          <w:i/>
        </w:rPr>
        <w:t>Mustafa Tunç y Fecire Tunç</w:t>
      </w:r>
      <w:r>
        <w:t xml:space="preserve">, § 225). Y concluye que “[e]n todos los casos, las autoridades deben haber tomado las medidas razonables a su alcance para obtener pruebas relacionadas con los hechos en cuestión, incluyendo, entre otras cosas, el testimonio de testigos presenciales, pruebas periciales y, en su caso, una autopsia que proporcione una relación completa y precisa de las lesiones y un análisis objetivo de los hallazgos clínicos, incluyendo la causa de la muerte. Cualquier deficiencia en la investigación que debilite su capacidad para establecer la causa de la muerte o la posible responsabilidad puede incumplir esta norma (véase </w:t>
      </w:r>
      <w:r w:rsidRPr="003754FE">
        <w:rPr>
          <w:i/>
        </w:rPr>
        <w:t>Taner c. Turquía</w:t>
      </w:r>
      <w:r>
        <w:t xml:space="preserve">, citada anteriormente, § 55, y </w:t>
      </w:r>
      <w:r w:rsidRPr="003754FE">
        <w:rPr>
          <w:i/>
        </w:rPr>
        <w:t>Giuliani y Gaggio c. Italia</w:t>
      </w:r>
      <w:r>
        <w:t xml:space="preserve">, § 301)” (STEDH de 30 de junio de 2020, </w:t>
      </w:r>
      <w:r w:rsidRPr="003754FE">
        <w:rPr>
          <w:i/>
        </w:rPr>
        <w:t>S.F c. Suiza</w:t>
      </w:r>
      <w:r>
        <w:t>, § 120).</w:t>
      </w:r>
    </w:p>
    <w:p w14:paraId="40EB124E" w14:textId="77777777" w:rsidR="003754FE" w:rsidRDefault="003754FE" w:rsidP="003754FE">
      <w:pPr>
        <w:pStyle w:val="TextoNormal"/>
      </w:pPr>
    </w:p>
    <w:p w14:paraId="40259758" w14:textId="6B76B1C4" w:rsidR="003754FE" w:rsidRDefault="003754FE" w:rsidP="003754FE">
      <w:pPr>
        <w:pStyle w:val="TextoNormal"/>
      </w:pPr>
      <w:r>
        <w:t>El Tribunal Constitucional, siguiendo la línea jurisprudencial expuesta, ha aplicado el canon de investigación eficaz y suficiente a casos de suicidio de personas detenidas, incluso sin invocación directa de la vulneración del derecho a la vida (art. 15 CE), por cuanto los graves hechos investigados no dejan de guardar un cierto paralelismo con los supuestos en los que se denuncian torturas o malos tratos supuestamente sufridos durante una detención policial (STC 1/2024, de 15 de enero, FJ 3, y en el mismo sentido STC 33/2024, de 11 de marzo, FJ 2).</w:t>
      </w:r>
    </w:p>
    <w:p w14:paraId="52FA6938" w14:textId="77777777" w:rsidR="003754FE" w:rsidRDefault="003754FE" w:rsidP="003754FE">
      <w:pPr>
        <w:pStyle w:val="TextoNormal"/>
      </w:pPr>
    </w:p>
    <w:p w14:paraId="5ACE28B7" w14:textId="77777777" w:rsidR="003754FE" w:rsidRDefault="003754FE" w:rsidP="003754FE">
      <w:pPr>
        <w:pStyle w:val="TextoNormal"/>
      </w:pPr>
      <w:r w:rsidRPr="003754FE">
        <w:rPr>
          <w:rStyle w:val="NumeroAFNegritaCaracter"/>
        </w:rPr>
        <w:t>5</w:t>
      </w:r>
      <w:r>
        <w:t xml:space="preserve">. </w:t>
      </w:r>
      <w:r w:rsidRPr="003754FE">
        <w:rPr>
          <w:i/>
        </w:rPr>
        <w:t>Aplicación de la doctrina al análisis de la queja de incumplimiento de las exigencias de una investigación judicial suficiente y eficaz</w:t>
      </w:r>
    </w:p>
    <w:p w14:paraId="4DCE2B91" w14:textId="77777777" w:rsidR="003754FE" w:rsidRDefault="003754FE" w:rsidP="003754FE">
      <w:pPr>
        <w:pStyle w:val="TextoNormal"/>
      </w:pPr>
    </w:p>
    <w:p w14:paraId="4AC90545" w14:textId="77777777" w:rsidR="003754FE" w:rsidRDefault="003754FE" w:rsidP="003754FE">
      <w:pPr>
        <w:pStyle w:val="TextoNormal"/>
      </w:pPr>
      <w:r>
        <w:t xml:space="preserve">A la luz de la doctrina referida, este tribunal considera que la investigación de los hechos denunciados, tanto de los posibles malos tratos y torturas durante la detención y custodia de don Cristóbal Montávez Sánchez como de las circunstancias en las que se produjo su muerte en dependencias policiales, no cumple con las exigencias constitucionales de una investigación suficiente y eficaz. La respuesta a las quejas del recurrente exige analizar el caso planteado por el demandante de amparo, sin caer en automatismos, atendidas las circunstancias concretas del caso, los hechos denunciados, la disponibilidad o dificultad probatoria y la </w:t>
      </w:r>
      <w:r>
        <w:lastRenderedPageBreak/>
        <w:t>respuesta ofrecida por la jurisdicción ordinaria, a la que corresponde la calificación jurídico-penal de los hechos.</w:t>
      </w:r>
    </w:p>
    <w:p w14:paraId="40DFE055" w14:textId="77777777" w:rsidR="003754FE" w:rsidRDefault="003754FE" w:rsidP="003754FE">
      <w:pPr>
        <w:pStyle w:val="TextoNormal"/>
      </w:pPr>
    </w:p>
    <w:p w14:paraId="7164325C" w14:textId="77777777" w:rsidR="003754FE" w:rsidRDefault="003754FE" w:rsidP="003754FE">
      <w:pPr>
        <w:pStyle w:val="TextoNormal"/>
      </w:pPr>
      <w:r>
        <w:t>Como quedó consignado en los antecedentes, don Cristóbal Montávez fue detenido por dos agentes de la Policía Local de Jódar por la posible comisión de un delito de atentado a la autoridad y desórdenes públicos en la calle Granada del municipio. El detenido fue asistido en el centro de salud y conducido por los mismos agentes hasta dependencias del ayuntamiento donde, tras los oportunos cacheos de seguridad, fue asegurado y custodiado por los agentes en una habitación habilitada a tal efecto. Horas más tarde y tras personarse dos agentes de la Guardia Civil en el edificio municipal, los agentes de la autoridad comprobaron que el detenido yacía colgado en suspensión de un cordón dentro de la habitación. El padre del fallecido, una vez tuvo conocimiento de estos hechos, presentó la correspondiente denuncia y el Juzgado de Primera Instancia e Instrucción núm. 1 de Úbeda incoó diligencias previas para el esclarecimiento de los hechos.</w:t>
      </w:r>
    </w:p>
    <w:p w14:paraId="3D48077E" w14:textId="77777777" w:rsidR="003754FE" w:rsidRDefault="003754FE" w:rsidP="003754FE">
      <w:pPr>
        <w:pStyle w:val="TextoNormal"/>
      </w:pPr>
    </w:p>
    <w:p w14:paraId="4C06BAEB" w14:textId="77777777" w:rsidR="003754FE" w:rsidRDefault="003754FE" w:rsidP="003754FE">
      <w:pPr>
        <w:pStyle w:val="TextoNormal"/>
      </w:pPr>
      <w:r>
        <w:t>La suficiencia y efectividad de la investigación de este tipo de delitos solo puede evaluarse valorando las concretas circunstancias de la denuncia y de lo denunciado, así como la gravedad de lo denunciado y su previa opacidad (SSTC 34/2008, FJ 4; 26/2018, de 5 de marzo, FJ 3, y 53/2022, de 4 de abril, FJ 3). En este caso, los hechos denunciados —constitutivos de un presunto delito de homicidio, detención ilegal, obstrucción a la justicia, lesiones y abuso de autoridad por los agentes de la policía local— resultan de especial gravedad y su investigación, que debe abarcar desde las circunstancias en que se produjo la detención y custodia hasta las condiciones del fallecimiento del detenido, exige mayor diligencia que la observada, pues al habitual contexto relativamente opaco de los delitos cometidos bajo supervisión de agentes estatales, se añade la imposibilidad de recabar el testimonio de la víctima, lo que dificulta, aún más, la reconstrucción de los hechos.</w:t>
      </w:r>
    </w:p>
    <w:p w14:paraId="0D437970" w14:textId="77777777" w:rsidR="003754FE" w:rsidRDefault="003754FE" w:rsidP="003754FE">
      <w:pPr>
        <w:pStyle w:val="TextoNormal"/>
      </w:pPr>
    </w:p>
    <w:p w14:paraId="5FE757F6" w14:textId="77777777" w:rsidR="003754FE" w:rsidRDefault="003754FE" w:rsidP="003754FE">
      <w:pPr>
        <w:pStyle w:val="TextoNormal"/>
      </w:pPr>
      <w:r>
        <w:t>El juzgado de instrucción, tras la investigación de lo sucedido, acordó el sobreseimiento libre y archivo de las actuaciones por auto de 16 de febrero de 2021, basando dicha decisión fundamentalmente en los atestados elaborados por cuerpos policiales y en la autopsia realizada que concluía que se trataba de una muerte de naturaleza violenta y etiología médico legal más probable suicida. Tras la desestimación del recurso de reforma interpuesto, la audiencia provincial, por auto de 30 de junio de 2021, también confirmó la decisión de clausurar el procedimiento al no considerar pertinentes ni útiles las diligencias de prueba solicitadas y entender que “[n]o cabe duda de que el único sujeto activo del hecho fue el propio Cristóbal, pues quedó probado que se trató de un suicidio, al ser él quien, voluntariamente y sin la intervención de nadie más, se quitó la vida”. Estas resoluciones evidencian los déficits de la instrucción pues las circunstancias del caso, independientemente de la naturaleza del fallecimiento, exigen una investigación adecuada al canon constitucional y especialmente aconsejan una valoración ponderada de las diligencias de instrucción practicadas.</w:t>
      </w:r>
    </w:p>
    <w:p w14:paraId="60D8AE25" w14:textId="77777777" w:rsidR="003754FE" w:rsidRDefault="003754FE" w:rsidP="003754FE">
      <w:pPr>
        <w:pStyle w:val="TextoNormal"/>
      </w:pPr>
    </w:p>
    <w:p w14:paraId="17912328" w14:textId="77777777" w:rsidR="003754FE" w:rsidRDefault="003754FE" w:rsidP="003754FE">
      <w:pPr>
        <w:pStyle w:val="TextoNormal"/>
      </w:pPr>
      <w:r>
        <w:t xml:space="preserve">La exigida diligencia del órgano judicial no impone la realización de todas las diligencias de investigación posibles; sin embargo sí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(por todas, SSTC 34/2008, FJ 6, y 40/2010, FJ 2) ya que, respecto a la investigación de indicios </w:t>
      </w:r>
      <w:r>
        <w:lastRenderedPageBreak/>
        <w:t>de tortura o tratos crueles, inhumanos o degradantes sufridos bajo la custodia de autoridades policiales, de los tratados internacionales firmados por España y del propio tenor del art. 15 CE se desprende un especial mandato de agotar cuantas posibilidades razonables de indagación resulten útiles para aclarar los hechos (STC 1/2024, de 15 de enero, FJ 4).</w:t>
      </w:r>
    </w:p>
    <w:p w14:paraId="7F53BDC3" w14:textId="77777777" w:rsidR="003754FE" w:rsidRDefault="003754FE" w:rsidP="003754FE">
      <w:pPr>
        <w:pStyle w:val="TextoNormal"/>
      </w:pPr>
    </w:p>
    <w:p w14:paraId="5C9AB1A1" w14:textId="77777777" w:rsidR="003754FE" w:rsidRDefault="003754FE" w:rsidP="003754FE">
      <w:pPr>
        <w:pStyle w:val="TextoNormal"/>
      </w:pPr>
      <w:r>
        <w:t>El juez instructor denegó, o dejó de atender, varias de las diligencias solicitadas a lo largo del procedimiento por la acusación particular (entre otras la declaración judicial de los agentes de la policía local, del denunciante y del personal auxiliar del centro de salud o la geolocalización de los teléfonos móviles), llegando a acordar el sobreseimiento libre de las actuaciones sin esperar siquiera al resultado de diligencias previamente acordadas. Así, tras el archivo del procedimiento se recibieron varios informes periciales (el informe final de la autopsia y el resultado de las muestras biológicas) dejándose inalterada la clausura del procedimiento por la jueza instructora.</w:t>
      </w:r>
    </w:p>
    <w:p w14:paraId="700AD910" w14:textId="77777777" w:rsidR="003754FE" w:rsidRDefault="003754FE" w:rsidP="003754FE">
      <w:pPr>
        <w:pStyle w:val="TextoNormal"/>
      </w:pPr>
    </w:p>
    <w:p w14:paraId="40B998BE" w14:textId="77777777" w:rsidR="003754FE" w:rsidRDefault="003754FE" w:rsidP="003754FE">
      <w:pPr>
        <w:pStyle w:val="TextoNormal"/>
      </w:pPr>
      <w:r>
        <w:t>De este modo, la insuficiente actividad probatoria desplegada por el órgano instructor no permite mínimamente colmar las lagunas en la reconstrucción de lo sucedido, quedando sin respuesta aspectos elementales y decisivos de la instrucción como las propias circunstancias en que se produjo la muerte, el origen del cordón con el que se produjo el ahorcamiento, el concreto recorrido y las condiciones en que se produjo la detención y, en particular, las razones por las que se localizaron restos de sangre del fallecido en lugar distinto del de la detención o la corrección en las labores de atención o vigilancia del detenido atendido su estado.</w:t>
      </w:r>
    </w:p>
    <w:p w14:paraId="5AABEDB0" w14:textId="77777777" w:rsidR="003754FE" w:rsidRDefault="003754FE" w:rsidP="003754FE">
      <w:pPr>
        <w:pStyle w:val="TextoNormal"/>
      </w:pPr>
    </w:p>
    <w:p w14:paraId="75887A99" w14:textId="357C6F84" w:rsidR="003754FE" w:rsidRDefault="003754FE" w:rsidP="003754FE">
      <w:pPr>
        <w:pStyle w:val="TextoNormal"/>
      </w:pPr>
      <w:r>
        <w:t>La acusación particular ofreció la posibilidad de despejar las dudas o sospechas de la instrucción, proponiendo e insistiendo en la práctica de las diligencias citadas. Diligencias que hubieran podido contribuir al esclarecimiento de los hechos y respecto de las cuales este tribunal ha recordado su utilidad para una investigación suficiente y eficaz en estos casos, como la toma de declaración a los agentes actuantes y denunciados o la declaración del denunciante, padre del fallecido (por todas, STC 33/2024, de 11 de marzo). No obstante, los órganos judiciales las descartaron sin argumentación, omitieron responder a su petición o, una vez acordadas, se desentendieron de su práctica, llegando a archivar el procedimiento antes de conocer su resultado.</w:t>
      </w:r>
    </w:p>
    <w:p w14:paraId="7A640EFE" w14:textId="77777777" w:rsidR="003754FE" w:rsidRDefault="003754FE" w:rsidP="003754FE">
      <w:pPr>
        <w:pStyle w:val="TextoNormal"/>
      </w:pPr>
    </w:p>
    <w:p w14:paraId="6D7C7E08" w14:textId="77777777" w:rsidR="003754FE" w:rsidRDefault="003754FE" w:rsidP="003754FE">
      <w:pPr>
        <w:pStyle w:val="TextoNormal"/>
      </w:pPr>
      <w:r w:rsidRPr="003754FE">
        <w:rPr>
          <w:rStyle w:val="NumeroAFNegritaCaracter"/>
        </w:rPr>
        <w:t>6</w:t>
      </w:r>
      <w:r>
        <w:t xml:space="preserve">. </w:t>
      </w:r>
      <w:r w:rsidRPr="003754FE">
        <w:rPr>
          <w:i/>
        </w:rPr>
        <w:t>Otorgamiento del amparo solicitado</w:t>
      </w:r>
    </w:p>
    <w:p w14:paraId="679CD206" w14:textId="77777777" w:rsidR="003754FE" w:rsidRDefault="003754FE" w:rsidP="003754FE">
      <w:pPr>
        <w:pStyle w:val="TextoNormal"/>
      </w:pPr>
    </w:p>
    <w:p w14:paraId="4CE1A382" w14:textId="77777777" w:rsidR="003754FE" w:rsidRDefault="003754FE" w:rsidP="003754FE">
      <w:pPr>
        <w:pStyle w:val="TextoNormal"/>
      </w:pPr>
      <w:r>
        <w:t>Por lo expuesto, procede otorgar el amparo solicitado por vulneración del derecho a la tutela judicial efectiva (art. 24.1 CE) en relación con el derecho a la vida y a la integridad física y moral (art. 15 CE).</w:t>
      </w:r>
    </w:p>
    <w:p w14:paraId="52B290EC" w14:textId="77777777" w:rsidR="003754FE" w:rsidRDefault="003754FE" w:rsidP="003754FE">
      <w:pPr>
        <w:pStyle w:val="TextoNormal"/>
      </w:pPr>
    </w:p>
    <w:p w14:paraId="7B7ACD59" w14:textId="7E858C09" w:rsidR="003754FE" w:rsidRDefault="003754FE" w:rsidP="003754FE">
      <w:pPr>
        <w:pStyle w:val="TextoNormal"/>
      </w:pPr>
      <w:r>
        <w:t>El restablecimiento del recurrente en la integridad de su derecho exige, tal como se viene razonando en la jurisprudencia constitucional sobre la materia, la anulación de los autos impugnados y la retroacción de actuaciones para que se le dispense la tutela judicial demandada (por todas, SSTC 131/2012, de 18 de junio, FJ 6; 144/2016, de 19 de septiembre, FJ 5, y 33/2024, de 11 de marzo, FJ 5).</w:t>
      </w:r>
    </w:p>
    <w:p w14:paraId="715550A3" w14:textId="77777777" w:rsidR="003754FE" w:rsidRDefault="003754FE" w:rsidP="003754FE">
      <w:pPr>
        <w:pStyle w:val="TextoNormal"/>
      </w:pPr>
    </w:p>
    <w:p w14:paraId="624A6941" w14:textId="77777777" w:rsidR="003754FE" w:rsidRDefault="003754FE" w:rsidP="003754FE">
      <w:pPr>
        <w:pStyle w:val="TextoNormalCentrado"/>
        <w:keepNext/>
      </w:pPr>
      <w:r>
        <w:lastRenderedPageBreak/>
        <w:t>FALLO</w:t>
      </w:r>
    </w:p>
    <w:p w14:paraId="2A548D35" w14:textId="08B9FDCD" w:rsidR="003754FE" w:rsidRDefault="003754FE" w:rsidP="003754FE">
      <w:pPr>
        <w:pStyle w:val="TextoNormalCentrado"/>
        <w:keepNext/>
      </w:pPr>
    </w:p>
    <w:p w14:paraId="3B512DD6"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don Manuel Montávez Vilchez y, en su virtud:</w:t>
      </w:r>
    </w:p>
    <w:p w14:paraId="36497C76" w14:textId="77777777" w:rsidR="003754FE" w:rsidRDefault="003754FE" w:rsidP="003754FE">
      <w:pPr>
        <w:pStyle w:val="TextoNormal"/>
      </w:pPr>
    </w:p>
    <w:p w14:paraId="44BAC874" w14:textId="77777777" w:rsidR="003754FE" w:rsidRDefault="003754FE" w:rsidP="003754FE">
      <w:pPr>
        <w:pStyle w:val="TextoNormal"/>
      </w:pPr>
      <w:r>
        <w:t>1º Declarar que ha sido vulnerado su derecho a la tutela judicial efectiva sin indefensión (art. 24.1 CE) en relación con el derecho a la vida y a la integridad física y moral (art. 15 CE).</w:t>
      </w:r>
    </w:p>
    <w:p w14:paraId="03DAA168" w14:textId="77777777" w:rsidR="003754FE" w:rsidRDefault="003754FE" w:rsidP="003754FE">
      <w:pPr>
        <w:pStyle w:val="TextoNormal"/>
      </w:pPr>
    </w:p>
    <w:p w14:paraId="4FAA8D2D" w14:textId="77777777" w:rsidR="003754FE" w:rsidRDefault="003754FE" w:rsidP="003754FE">
      <w:pPr>
        <w:pStyle w:val="TextoNormal"/>
      </w:pPr>
      <w:r>
        <w:t>2º Restablecerlo en su derecho y, a tal fin, declarar la nulidad de los autos de 16 de febrero y de 14 de abril de 2021, dictados por el Juzgado de Primera Instancia e Instrucción núm. 1 de Úbeda (diligencias previas núm. 618-2020), y del auto núm. 455/2021, de 30 de junio, dictado por la Sección Tercera de la Audiencia Provincial de Jaén (rollo de apelación núm. 469-2021).</w:t>
      </w:r>
    </w:p>
    <w:p w14:paraId="01E6C595" w14:textId="77777777" w:rsidR="003754FE" w:rsidRDefault="003754FE" w:rsidP="003754FE">
      <w:pPr>
        <w:pStyle w:val="TextoNormal"/>
      </w:pPr>
    </w:p>
    <w:p w14:paraId="2B556B15" w14:textId="0180CFE3" w:rsidR="003754FE" w:rsidRDefault="003754FE" w:rsidP="003754FE">
      <w:pPr>
        <w:pStyle w:val="TextoNormal"/>
      </w:pPr>
      <w:r>
        <w:t>3º Retrotraer las actuaciones al momento anterior al dictado del primero de los autos anulados para que el Juzgado de Primera Instancia e Instrucción núm. 1 de Úbeda proceda en términos respetuosos con los derechos fundamentales vulnerados.</w:t>
      </w:r>
    </w:p>
    <w:p w14:paraId="1F3D984A" w14:textId="77777777" w:rsidR="003754FE" w:rsidRDefault="003754FE" w:rsidP="003754FE">
      <w:pPr>
        <w:pStyle w:val="TextoNormal"/>
      </w:pPr>
    </w:p>
    <w:p w14:paraId="61FB4F28" w14:textId="77777777" w:rsidR="003754FE" w:rsidRDefault="003754FE" w:rsidP="003754FE">
      <w:pPr>
        <w:pStyle w:val="TextoNormal"/>
      </w:pPr>
      <w:r>
        <w:t>Publíquese esta sentencia en el “Boletín Oficial del Estado”.</w:t>
      </w:r>
    </w:p>
    <w:p w14:paraId="27E67352" w14:textId="77777777" w:rsidR="003754FE" w:rsidRDefault="003754FE" w:rsidP="003754FE">
      <w:pPr>
        <w:pStyle w:val="TextoNormal"/>
      </w:pPr>
      <w:r>
        <w:t>Dada en Madrid, a dos de diciembre de dos mil veinticuatro.</w:t>
      </w:r>
    </w:p>
    <w:p w14:paraId="6665D187" w14:textId="01189A5C" w:rsidR="003754FE" w:rsidRDefault="003754FE" w:rsidP="003754FE">
      <w:pPr>
        <w:pStyle w:val="ParrafoNormal"/>
      </w:pPr>
    </w:p>
    <w:p w14:paraId="230CD4CB" w14:textId="77777777" w:rsidR="003754FE" w:rsidRDefault="003754FE" w:rsidP="003754FE">
      <w:pPr>
        <w:pStyle w:val="TextoNormalNegritaCentrado"/>
        <w:keepNext/>
      </w:pPr>
      <w:r>
        <w:t>Voto particular que formula el magistrado don Enrique Arnaldo Alcubilla a la sentencia dictada por la Sala Segunda del Tribunal Constitucional en el recurso de amparo núm. 6446-2021</w:t>
      </w:r>
    </w:p>
    <w:p w14:paraId="701C13AC" w14:textId="002B9557" w:rsidR="003754FE" w:rsidRDefault="003754FE" w:rsidP="003754FE">
      <w:pPr>
        <w:pStyle w:val="TextoNormalNegritaCentrado"/>
        <w:keepNext/>
      </w:pPr>
    </w:p>
    <w:p w14:paraId="127B4D1C" w14:textId="77777777" w:rsidR="003754FE" w:rsidRDefault="003754FE" w:rsidP="003754FE">
      <w:pPr>
        <w:pStyle w:val="TextoNormal"/>
      </w:pPr>
      <w:r>
        <w:t>Con respeto a la opinión de mis compañeros que han conformado la mayoría de la Sala (con el voto doble de la vicepresidenta del Tribunal) y en uso de la facultad que me confiere el art. 90.2 LOTC, expreso mi discrepancia con la decisión de estimación del recurso de amparo, por las razones ya defendidas en su momento durante la deliberación y que expongo a continuación, pues considero que debió acordarse la inadmisión del recurso, al haber sido interpuesto fuera del plazo legalmente establecido. En todo caso, previamente he de exponer mi interpretación sobre el art. 90.1 LOTC, en cuya virtud concluyo que la sentencia de la que discrepo no ha sido aprobada conforme a las exigencias de nuestra Ley Orgánica, como consecuencia de que el resultado de la votación en la Sala fue de empate a tres, por lo que debió elevarse al Pleno para su deliberación y aprobación, en su caso.</w:t>
      </w:r>
    </w:p>
    <w:p w14:paraId="6FB2FAB1" w14:textId="77777777" w:rsidR="003754FE" w:rsidRDefault="003754FE" w:rsidP="003754FE">
      <w:pPr>
        <w:pStyle w:val="TextoNormal"/>
      </w:pPr>
    </w:p>
    <w:p w14:paraId="2E1FB096" w14:textId="77777777" w:rsidR="003754FE" w:rsidRDefault="003754FE" w:rsidP="003754FE">
      <w:pPr>
        <w:pStyle w:val="TextoNormal"/>
      </w:pPr>
      <w:r>
        <w:t xml:space="preserve">1. </w:t>
      </w:r>
      <w:r w:rsidRPr="003754FE">
        <w:rPr>
          <w:i/>
        </w:rPr>
        <w:t>Improcedencia del voto de calidad en las decisiones de Sala</w:t>
      </w:r>
    </w:p>
    <w:p w14:paraId="1EB17FA7" w14:textId="77777777" w:rsidR="003754FE" w:rsidRDefault="003754FE" w:rsidP="003754FE">
      <w:pPr>
        <w:pStyle w:val="TextoNormal"/>
      </w:pPr>
    </w:p>
    <w:p w14:paraId="63FCD5E5" w14:textId="77777777" w:rsidR="003754FE" w:rsidRDefault="003754FE" w:rsidP="003754FE">
      <w:pPr>
        <w:pStyle w:val="TextoNormal"/>
      </w:pPr>
      <w:r>
        <w:t>La presente sentencia, tras declinar la ponencia la magistrada a la que inicialmente le había correspondido (antecedente 13), ha sido aprobada con el voto dirimente de la nueva ponente y presidenta de la Sala, acogiéndose a lo previsto en el art. 90.1 LOTC, conforme al cual las decisiones de este tribunal se adoptan por mayoría y “[e]n caso de empate, decidirá el voto del presidente”.</w:t>
      </w:r>
    </w:p>
    <w:p w14:paraId="1492BB56" w14:textId="77777777" w:rsidR="003754FE" w:rsidRDefault="003754FE" w:rsidP="003754FE">
      <w:pPr>
        <w:pStyle w:val="TextoNormal"/>
      </w:pPr>
    </w:p>
    <w:p w14:paraId="4622F748" w14:textId="77777777" w:rsidR="003754FE" w:rsidRDefault="003754FE" w:rsidP="003754FE">
      <w:pPr>
        <w:pStyle w:val="TextoNormal"/>
      </w:pPr>
      <w:r>
        <w:lastRenderedPageBreak/>
        <w:t>Aunque no desconozco que existen precedentes de sentencias de Sala de este tribunal adoptadas con el voto dirimente o voto de calidad del magistrado que la preside (así, por citar un caso reciente, la STC 76/2021, de 15 de abril, previa en todo caso a mi incorporación al Tribunal) interpretando de manera literal lo dispuesto en el citado art. 90.1 LOTC, no puedo por menos que dejar constancia de mi radical discrepancia con esta interpretación.</w:t>
      </w:r>
    </w:p>
    <w:p w14:paraId="1F9F1040" w14:textId="77777777" w:rsidR="003754FE" w:rsidRDefault="003754FE" w:rsidP="003754FE">
      <w:pPr>
        <w:pStyle w:val="TextoNormal"/>
      </w:pPr>
    </w:p>
    <w:p w14:paraId="5C1C3F7B" w14:textId="77777777" w:rsidR="003754FE" w:rsidRDefault="003754FE" w:rsidP="003754FE">
      <w:pPr>
        <w:pStyle w:val="TextoNormal"/>
      </w:pPr>
      <w:r>
        <w:t>A mi entender, la previsión del voto dirimente o voto de calidad del presidente para resolver en caso de empate es una cláusula de cierre que tiene pleno sentido en el caso del Pleno. El Tribunal no puede dejar sin resolver los asuntos sometidos a su jurisdicción, por lo que en caso de empate deviene obligado el reconocimiento al presidente del voto dirimente o de calidad para adoptar la decisión. Huelga decir que solo debería acudirse a la solución del voto de calidad para resolver el asunto cuando sea evidente que no resulta posible acordar una sentencia que concite el apoyo de la mayoría (ya que no la unanimidad) de los magistrados.</w:t>
      </w:r>
    </w:p>
    <w:p w14:paraId="4A76877A" w14:textId="77777777" w:rsidR="003754FE" w:rsidRDefault="003754FE" w:rsidP="003754FE">
      <w:pPr>
        <w:pStyle w:val="TextoNormal"/>
      </w:pPr>
    </w:p>
    <w:p w14:paraId="02848F00" w14:textId="77777777" w:rsidR="003754FE" w:rsidRDefault="003754FE" w:rsidP="003754FE">
      <w:pPr>
        <w:pStyle w:val="TextoNormal"/>
      </w:pPr>
      <w:r>
        <w:t>Cabe recordar aquí las sensatas palabras de quien fuera presidente de este tribunal, don Francisco Tomás y Valiente, que ya cité en anterior voto particular, en relación con la resolución del llamado “caso Rumasa” por STC 111/1983, de 2 de diciembre (aprobada con el voto de calidad del entonces presidente del Tribunal don Manuel García-Pelayo), advirtiendo de “la importancia de las deliberaciones”, así como de “la conveniencia de que estas se prolonguen cuanto sea necesario para aproximar criterios, integrar argumentos, enriquecer la fundamentación y de este modo evitar fracturas internas. La exhaustividad de la deliberación se alcanza cuando ya nadie tiene nada que decir y se repiten los argumentos a favor o en contra del fallo. Sacar este a votación siquiera sea un momento antes de que se produzca el punto de exhaustividad es un error psicológico y procedimental apenas disculpable por la existencia de tesones e impaciencias que el Tribunal jamás debe interiorizar” (conferencia inaugural del Coloquio internacional sobre “La Jurisdicción Constitucional en España”, celebrado en Madrid los días 13 y 14 de octubre de 1994, publicado en 1995).</w:t>
      </w:r>
    </w:p>
    <w:p w14:paraId="5A06A738" w14:textId="77777777" w:rsidR="003754FE" w:rsidRDefault="003754FE" w:rsidP="003754FE">
      <w:pPr>
        <w:pStyle w:val="TextoNormal"/>
      </w:pPr>
    </w:p>
    <w:p w14:paraId="0AA5315F" w14:textId="77777777" w:rsidR="003754FE" w:rsidRDefault="003754FE" w:rsidP="003754FE">
      <w:pPr>
        <w:pStyle w:val="TextoNormal"/>
      </w:pPr>
      <w:r>
        <w:t>Pero el recurso al voto de calidad para resolver los empates no tiene justificación en el caso de las decisiones a adoptar por las salas por la sencilla razón de que, en caso de empate en el seno de estas, todavía cabe la posibilidad de alcanzar una decisión por mayoría avocando el asunto al Pleno. La atribución de valor doble al voto de un magistrado investido como presidente de un órgano es una excepción tan extraordinaria al principio democrático que su extensión a quien preside una sala, existiendo un órgano plenario que pueda dirimir el empate —o en todo caso resolver definitivamente la controversia— carece de la mínima consistencia formal y material. Considero, en definitiva, que una interpretación de lo previsto en el art. 90.1 LOTC acorde con la finalidad que persigue la regla del desempate mediante el voto dirimente o voto de calidad del presidente solo cobra sentido cuando el asunto ha de ser decidido por el Pleno del Tribunal.</w:t>
      </w:r>
    </w:p>
    <w:p w14:paraId="5492395B" w14:textId="77777777" w:rsidR="003754FE" w:rsidRDefault="003754FE" w:rsidP="003754FE">
      <w:pPr>
        <w:pStyle w:val="TextoNormal"/>
      </w:pPr>
    </w:p>
    <w:p w14:paraId="45170AD9" w14:textId="77777777" w:rsidR="003754FE" w:rsidRDefault="003754FE" w:rsidP="003754FE">
      <w:pPr>
        <w:pStyle w:val="TextoNormal"/>
      </w:pPr>
      <w:r>
        <w:t xml:space="preserve">2. </w:t>
      </w:r>
      <w:r w:rsidRPr="003754FE">
        <w:rPr>
          <w:i/>
        </w:rPr>
        <w:t>Extemporaneidad del recurso de amparo</w:t>
      </w:r>
    </w:p>
    <w:p w14:paraId="6B6276EF" w14:textId="77777777" w:rsidR="003754FE" w:rsidRDefault="003754FE" w:rsidP="003754FE">
      <w:pPr>
        <w:pStyle w:val="TextoNormal"/>
      </w:pPr>
    </w:p>
    <w:p w14:paraId="611CB52B" w14:textId="77777777" w:rsidR="003754FE" w:rsidRDefault="003754FE" w:rsidP="003754FE">
      <w:pPr>
        <w:pStyle w:val="TextoNormal"/>
      </w:pPr>
      <w:r>
        <w:t>Sin perjuicio de lo anterior, considero, conforme defendí en la deliberación, que este tribunal no debió entrar a examinar el fondo del asunto, por haber sido interpuesto el recurso de amparo fuera de plazo.</w:t>
      </w:r>
    </w:p>
    <w:p w14:paraId="4C84847C" w14:textId="77777777" w:rsidR="003754FE" w:rsidRDefault="003754FE" w:rsidP="003754FE">
      <w:pPr>
        <w:pStyle w:val="TextoNormal"/>
      </w:pPr>
    </w:p>
    <w:p w14:paraId="69F840C8" w14:textId="77777777" w:rsidR="003754FE" w:rsidRDefault="003754FE" w:rsidP="003754FE">
      <w:pPr>
        <w:pStyle w:val="TextoNormal"/>
      </w:pPr>
      <w:r>
        <w:lastRenderedPageBreak/>
        <w:t>Como es sabido, es reiterada la doctrina de este tribunal (entre otras muchas, SSTC 129/2000, de 16 de mayo, FJ 2; 69/2004, de 19 de abril, FJ 3; 44/2013, de 25 de febrero, FJ 2; 126/2013, de 3 de junio, FJ 2; 2/2015, de 19 de enero, FJ 2; 94/2016, de 9 de mayo, FJ 2, y 69/2022, de 2 de junio, FJ 2) según la cual los defectos insubsanables de que pudiera estar afectado el recurso de amparo no resultan reparados porque haya sido inicialmente admitido a trámite,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w:t>
      </w:r>
    </w:p>
    <w:p w14:paraId="1237CA77" w14:textId="77777777" w:rsidR="003754FE" w:rsidRDefault="003754FE" w:rsidP="003754FE">
      <w:pPr>
        <w:pStyle w:val="TextoNormal"/>
      </w:pPr>
    </w:p>
    <w:p w14:paraId="0A0A3E27" w14:textId="77777777" w:rsidR="003754FE" w:rsidRDefault="003754FE" w:rsidP="003754FE">
      <w:pPr>
        <w:pStyle w:val="TextoNormal"/>
      </w:pPr>
      <w:r>
        <w:t>El art. 44.2 LOTC establece la exigencia de que el recurso de amparo se interponga dentro del plazo de treinta días a partir de la notificación de la resolución que pone fin al proceso judicial. Según reiterada doctrina constitucional, ese plazo es de caducidad, improrrogable y no susceptible de suspensión y, por consiguiente, de inexorable cumplimiento, que no consiente prolongación artificial ni puede quedar al arbitrio de las partes (por todas, SSTC 72/1991, de 8 de abril, FJ 2; 177/1995, de 11 de diciembre, FJ único; 201/1998, de 14 de octubre, FJ 3; 78/2000, de 27 de marzo, FJ 2; 69/2003, de 9 de abril, FJ 2; 85/2004, de 10 de mayo, FJ 2, y 323/2006, de 20 de noviembre, FJ 2).</w:t>
      </w:r>
    </w:p>
    <w:p w14:paraId="650CDBD8" w14:textId="77777777" w:rsidR="003754FE" w:rsidRDefault="003754FE" w:rsidP="003754FE">
      <w:pPr>
        <w:pStyle w:val="TextoNormal"/>
      </w:pPr>
    </w:p>
    <w:p w14:paraId="59C1FB3F" w14:textId="77777777" w:rsidR="003754FE" w:rsidRDefault="003754FE" w:rsidP="003754FE">
      <w:pPr>
        <w:pStyle w:val="TextoNormal"/>
      </w:pPr>
      <w:r>
        <w:t xml:space="preserve">La aplicación de esta consolidada jurisprudencia constitucional al caso que nos ocupa debió conducir, como he dicho, a apreciar la extemporaneidad del presente recurso de amparo, tal como defendía el Ministerio Fiscal en sus alegaciones. Los razonamientos esgrimidos en la sentencia para salvar este óbice resultan inconsistentes, al estar fundados no en una orientación antiformalista, como se afirma en la sentencia, sino en un mero voluntarismo que pretende obviar el cumplimiento de los requisitos procesales para la admisión de todo recurso de amparo, que son de orden público, a fin de poder entrar a resolver el fondo del asunto. Tal planteamiento me resulta inasumible, pues la gravedad de la lesión constitucional que pueda concurrir en el caso concreto no excusa al justiciable del cumplimiento de los requisitos procesales para abrir la vía del recurso de amparo (plazo, invocación tempestiva de la lesión en la vía judicial, agotamiento de esta, justificación de la especial trascendencia constitucional del recurso), ni permite a este tribunal, sujeto a su Ley Orgánica (art. 1.1 LOTC), dispensar de ese cumplimiento. La sentencia abre una espita de imprevisible alcance en relación con el trámite de admisión de los recursos de amparo. En las últimas memorias del Tribunal consta que más del cuarenta por ciento de los presentados son inadmitidos por razones formales, entre ellas la extemporaneidad, y ello aplicando una consolidada doctrina que ahora se revisa y excepciona </w:t>
      </w:r>
      <w:r w:rsidRPr="003754FE">
        <w:rPr>
          <w:i/>
        </w:rPr>
        <w:t>ad hoc</w:t>
      </w:r>
      <w:r>
        <w:t>, pero que de proyectarse en el futuro tendrá unas consecuencias que, por prudencia, no anticipo pero contravendrán inequívocamente la repetida doctrina de este tribunal en la materia.</w:t>
      </w:r>
    </w:p>
    <w:p w14:paraId="368FBE18" w14:textId="77777777" w:rsidR="003754FE" w:rsidRDefault="003754FE" w:rsidP="003754FE">
      <w:pPr>
        <w:pStyle w:val="TextoNormal"/>
      </w:pPr>
    </w:p>
    <w:p w14:paraId="2AC8B1BE" w14:textId="77777777" w:rsidR="003754FE" w:rsidRDefault="003754FE" w:rsidP="003754FE">
      <w:pPr>
        <w:pStyle w:val="TextoNormal"/>
      </w:pPr>
      <w:r>
        <w:t>Del examen de lo actuado se desprende que el auto de 30 de junio de 2021, dictado por la Sección Tercera de la Audiencia Provincial de Jaén, que confirmaba la decisión de sobreseimiento libre de las actuaciones acordada por el juzgado de instrucción, fue notificado a la representación procesal del demandante el 12 de julio de 2021. Dado que el recurso de amparo se presenta en el registro del Tribunal Constitucional el día 11 de octubre de 2021 debe considerarse extemporáneo, al haberse excedido con creces el plazo de caducidad de treinta días establecido para su interposición en el art. 44.2 LOTC, que finalizaba el 23 de septiembre de 2021.</w:t>
      </w:r>
    </w:p>
    <w:p w14:paraId="68586419" w14:textId="77777777" w:rsidR="003754FE" w:rsidRDefault="003754FE" w:rsidP="003754FE">
      <w:pPr>
        <w:pStyle w:val="TextoNormal"/>
      </w:pPr>
    </w:p>
    <w:p w14:paraId="5A8AA8DF" w14:textId="77777777" w:rsidR="003754FE" w:rsidRDefault="003754FE" w:rsidP="003754FE">
      <w:pPr>
        <w:pStyle w:val="TextoNormal"/>
      </w:pPr>
      <w:r>
        <w:t>Frente a ello no cabe oponer, como se sostiene en la sentencia, que los hechos acaecidos con posterioridad a la interposición del recurso de amparo permiten entender que este no ha sido interpuesto fuera de plazo. La rectificación de error material que corrige el encabezamiento del auto de 30 de junio de 2021 reabre el plazo para interponer los recursos que procedan (art. 267.9 LOPJ) a partir de la notificación de la resolución que rectifica el error (diligencia de ordenación de 3 de noviembre de 2021), pero no permite subsanar ni eliminar con efecto retroactivo el carácter extemporáneo del presente recurso de amparo.</w:t>
      </w:r>
    </w:p>
    <w:p w14:paraId="27222B8C" w14:textId="77777777" w:rsidR="003754FE" w:rsidRDefault="003754FE" w:rsidP="003754FE">
      <w:pPr>
        <w:pStyle w:val="TextoNormal"/>
      </w:pPr>
    </w:p>
    <w:p w14:paraId="111D1E31" w14:textId="77777777" w:rsidR="003754FE" w:rsidRDefault="003754FE" w:rsidP="003754FE">
      <w:pPr>
        <w:pStyle w:val="TextoNormal"/>
      </w:pPr>
      <w:r>
        <w:t>Dicho de otro modo, tras la rectificación del error material, el recurrente podría haber interpuesto un nuevo recurso de amparo, pero optó por presentar un nuevo escrito ante este tribunal el 8 de noviembre de 2021, ampliatorio de la demanda de amparo ya presentada, el que denuncia una nueva vulneración (derecho al juez imparcial), ante lo que procede recordar que este tribunal, en doctrina reiterada, ha venido rechazando la posibilidad de ampliar la demanda de amparo (STC 52/2021, de 15 de marzo, FJ 2, y las allí citadas).</w:t>
      </w:r>
    </w:p>
    <w:p w14:paraId="3D3D545E" w14:textId="77777777" w:rsidR="003754FE" w:rsidRDefault="003754FE" w:rsidP="003754FE">
      <w:pPr>
        <w:pStyle w:val="TextoNormal"/>
      </w:pPr>
    </w:p>
    <w:p w14:paraId="439962DA" w14:textId="77777777" w:rsidR="003754FE" w:rsidRDefault="003754FE" w:rsidP="003754FE">
      <w:pPr>
        <w:pStyle w:val="TextoNormal"/>
      </w:pPr>
      <w:r>
        <w:t xml:space="preserve">Sin perjuicio de lo indicado procede advertir que del examen de las actuaciones también resulta que, de forma simultánea a la presentación ante este tribunal el 8 de noviembre de 2021 del escrito ampliando la demanda de amparo, el recurrente promovió un incidente de nulidad de actuaciones contra la resolución que rectifica el error material (incidente que resultó finalmente inadmitido por providencia de 3 de diciembre de 2021). De suerte que, si se entendiera su escrito de 8 de noviembre de 2021 como un nuevo recurso de amparo, este incurriría en el óbice de falta de agotamiento de la vía judicial previa </w:t>
      </w:r>
      <w:r w:rsidRPr="003754FE">
        <w:rPr>
          <w:i/>
        </w:rPr>
        <w:t>ex</w:t>
      </w:r>
      <w:r>
        <w:t xml:space="preserve"> art. 44.1 a) LOTC (entre otras muchas, SSTC 13/2005, de 31 de enero, FJ 3; 52/2021, de 15 de marzo, FJ 2, y 123/2023, de 25 de septiembre, FJ 2), lo que conduciría igualmente a la inadmisión.</w:t>
      </w:r>
    </w:p>
    <w:p w14:paraId="2AA1D381" w14:textId="77777777" w:rsidR="003754FE" w:rsidRDefault="003754FE" w:rsidP="003754FE">
      <w:pPr>
        <w:pStyle w:val="TextoNormal"/>
      </w:pPr>
    </w:p>
    <w:p w14:paraId="44DE8112" w14:textId="77777777" w:rsidR="003754FE" w:rsidRDefault="003754FE" w:rsidP="003754FE">
      <w:pPr>
        <w:pStyle w:val="TextoNormal"/>
      </w:pPr>
      <w:r>
        <w:t>Procedía, en suma, inadmitir el recurso de amparo, en aplicación de los arts. 50.1 a) y 44.2 LOTC, sin pronunciamiento alguno sobre el fondo de las pretensiones del recurrente.</w:t>
      </w:r>
    </w:p>
    <w:p w14:paraId="5400F0DA" w14:textId="77777777" w:rsidR="003754FE" w:rsidRDefault="003754FE" w:rsidP="003754FE">
      <w:pPr>
        <w:pStyle w:val="TextoNormal"/>
      </w:pPr>
    </w:p>
    <w:p w14:paraId="2F372A18" w14:textId="4324B75B" w:rsidR="003754FE" w:rsidRDefault="003754FE" w:rsidP="003754FE">
      <w:pPr>
        <w:pStyle w:val="TextoNormal"/>
      </w:pPr>
      <w:r>
        <w:t>Madrid, a dos de diciembre de dos mil veinticuatro.</w:t>
      </w:r>
    </w:p>
    <w:p w14:paraId="408C288D" w14:textId="77777777" w:rsidR="003754FE" w:rsidRDefault="003754FE" w:rsidP="003754FE">
      <w:pPr>
        <w:pStyle w:val="TextoNormal"/>
      </w:pPr>
    </w:p>
    <w:p w14:paraId="2EB04AEA" w14:textId="77777777" w:rsidR="003754FE" w:rsidRDefault="003754FE" w:rsidP="003754FE">
      <w:pPr>
        <w:pStyle w:val="TextoNormalNegritaCentrado"/>
        <w:keepNext/>
      </w:pPr>
      <w:r>
        <w:t>Voto particular que formula el magistrado don César Tolosa Tribiño a la sentencia dictada en el recurso de amparo núm. 6446-2021</w:t>
      </w:r>
    </w:p>
    <w:p w14:paraId="013CCE7D" w14:textId="14CA4470" w:rsidR="003754FE" w:rsidRDefault="003754FE" w:rsidP="003754FE">
      <w:pPr>
        <w:pStyle w:val="TextoNormalNegritaCentrado"/>
        <w:keepNext/>
      </w:pPr>
    </w:p>
    <w:p w14:paraId="52BE086C" w14:textId="77777777" w:rsidR="003754FE" w:rsidRDefault="003754FE" w:rsidP="003754FE">
      <w:pPr>
        <w:pStyle w:val="TextoNormal"/>
      </w:pPr>
      <w:r>
        <w:t>La discrepancia que sostengo en el presente voto particular con la sentencia mayoritaria, compatible con el máximo respeto a la opinión que ha prevalecido, se concreta exclusivamente al fundamento jurídico 2 a) por el que se desestima el óbice de extemporaneidad en la presentación del recurso de amparo que fue advertido de modo atinado por el Ministerio Fiscal.</w:t>
      </w:r>
    </w:p>
    <w:p w14:paraId="01BA58CC" w14:textId="77777777" w:rsidR="003754FE" w:rsidRDefault="003754FE" w:rsidP="003754FE">
      <w:pPr>
        <w:pStyle w:val="TextoNormal"/>
      </w:pPr>
    </w:p>
    <w:p w14:paraId="5DB1A44B" w14:textId="77777777" w:rsidR="003754FE" w:rsidRDefault="003754FE" w:rsidP="003754FE">
      <w:pPr>
        <w:pStyle w:val="TextoNormal"/>
      </w:pPr>
      <w:r>
        <w:t>1. Adelanto en tal sentido que el recurso de amparo debió ser inadmitido por aplicación de lo dispuesto en el art. 44.2 LOTC, cuyo tenor literal dispone: “El plazo para interponer el recurso de amparo será de treinta días, a partir de la notificación de la resolución recaída en el proceso judicial”. La razón es clara: la resolución impugnada, el auto dictado por la Sección Tercera de la Audiencia Provincial de Jaén de 30 de junio de 2021 —que confirma los dos autos del juez de instrucción, también impugnados— fue notificada el 12 de julio de 2021 y la demanda de amparo se presentó el 11 de octubre de 2021, esto es, cuarenta y un días hábiles después.</w:t>
      </w:r>
    </w:p>
    <w:p w14:paraId="1C5A538A" w14:textId="77777777" w:rsidR="003754FE" w:rsidRDefault="003754FE" w:rsidP="003754FE">
      <w:pPr>
        <w:pStyle w:val="TextoNormal"/>
      </w:pPr>
    </w:p>
    <w:p w14:paraId="572BD54C" w14:textId="77777777" w:rsidR="003754FE" w:rsidRDefault="003754FE" w:rsidP="003754FE">
      <w:pPr>
        <w:pStyle w:val="TextoNormal"/>
      </w:pPr>
      <w:r>
        <w:t>Debo indicar que no es fácil exteriorizar la discrepancia cuando la misma supone dejar sin reparar la evidente ausencia de una investigación suficiente y eficaz de las circunstancias en que se produjo la muerte por ahorcamiento de un detenido en situación de custodia policial y además quien reclama el esclarecimiento es el padre del fallecido.</w:t>
      </w:r>
    </w:p>
    <w:p w14:paraId="43D67CC3" w14:textId="77777777" w:rsidR="003754FE" w:rsidRDefault="003754FE" w:rsidP="003754FE">
      <w:pPr>
        <w:pStyle w:val="TextoNormal"/>
      </w:pPr>
    </w:p>
    <w:p w14:paraId="23AC4835" w14:textId="77777777" w:rsidR="003754FE" w:rsidRDefault="003754FE" w:rsidP="003754FE">
      <w:pPr>
        <w:pStyle w:val="TextoNormal"/>
      </w:pPr>
      <w:r>
        <w:t>Dicha dificultad, a la que entiendo no ha sido ajena la sentencia cuando utiliza la locución “[a]nalizado el caso en su conjunto”, solo puede superarse desde la firme convicción de que la salvaguarda de las garantías esenciales que encarnan los principios de seguridad jurídica y de igualdad en la aplicación de la ley se sustenta en el respeto a la exigencia del requisito de la tempestividad del recurso, que a su vez asegura la propia equidad del proceso.</w:t>
      </w:r>
    </w:p>
    <w:p w14:paraId="7149C71D" w14:textId="77777777" w:rsidR="003754FE" w:rsidRDefault="003754FE" w:rsidP="003754FE">
      <w:pPr>
        <w:pStyle w:val="TextoNormal"/>
      </w:pPr>
    </w:p>
    <w:p w14:paraId="2E5E7BEB" w14:textId="77777777" w:rsidR="003754FE" w:rsidRDefault="003754FE" w:rsidP="003754FE">
      <w:pPr>
        <w:pStyle w:val="TextoNormal"/>
      </w:pPr>
      <w:r>
        <w:t xml:space="preserve">No superar esa dificultad y no apreciar la clara extemporaneidad del recurso supone, además de diluir los principios que la exigencia del plazo preserva y asegura, obviar el derecho a un juicio justo (art. 6.1 CEDH), que alcanza a “las fases desarrolladas antes del juicio” (STEDH de 16 diciembre de 1997, asunto </w:t>
      </w:r>
      <w:r w:rsidRPr="003754FE">
        <w:rPr>
          <w:i/>
        </w:rPr>
        <w:t>Tejedor García c. España</w:t>
      </w:r>
      <w:r>
        <w:t>, § 27) y del que son titulares los policías denunciados, a quienes la preterición del art. 44.2 LOTC produce el efecto de la reapertura de un procedimiento penal cuyo sobreseimiento libre fue confirmado definitivamente por la resolución firme impugnada y que la autoridad judicial se dirija contra los mismos como investigados por diversos delitos tres años y medio después de que su causa fuera sobreseída, de modo firme, por no haberse interpuesto en plazo el recurso extraordinario de amparo.</w:t>
      </w:r>
    </w:p>
    <w:p w14:paraId="0C67C549" w14:textId="77777777" w:rsidR="003754FE" w:rsidRDefault="003754FE" w:rsidP="003754FE">
      <w:pPr>
        <w:pStyle w:val="TextoNormal"/>
      </w:pPr>
    </w:p>
    <w:p w14:paraId="20CB731E" w14:textId="77777777" w:rsidR="003754FE" w:rsidRDefault="003754FE" w:rsidP="003754FE">
      <w:pPr>
        <w:pStyle w:val="TextoNormal"/>
      </w:pPr>
      <w:r>
        <w:t>El respeto a la intangibilidad de las resoluciones judiciales firmes y a la cosa juzgada material facilitan sortear el conflicto (ATC 264/2002, de 9 de diciembre, FJ 3).</w:t>
      </w:r>
    </w:p>
    <w:p w14:paraId="3E67C9AD" w14:textId="77777777" w:rsidR="003754FE" w:rsidRDefault="003754FE" w:rsidP="003754FE">
      <w:pPr>
        <w:pStyle w:val="TextoNormal"/>
      </w:pPr>
    </w:p>
    <w:p w14:paraId="69D0955B" w14:textId="77777777" w:rsidR="003754FE" w:rsidRDefault="003754FE" w:rsidP="003754FE">
      <w:pPr>
        <w:pStyle w:val="TextoNormal"/>
      </w:pPr>
      <w:r>
        <w:t xml:space="preserve">En efecto, la reapertura de un proceso penal terminado por una decisión de sobreseimiento libre que participa de la cosa juzgada (AATC 246/1992, de 25 de agosto, FJ 1, y 264/2002, FJ 4), arrinconando las normas procesales de orden público, viola el derecho a un juicio justo (SSTEDH de 28 de febrero de 2006, asunto </w:t>
      </w:r>
      <w:r w:rsidRPr="003754FE">
        <w:rPr>
          <w:i/>
        </w:rPr>
        <w:t>Savinski c. Ucrania</w:t>
      </w:r>
      <w:r>
        <w:t xml:space="preserve">, núm. 6965/02, § 25; de 24 de mayo de 2007, asunto </w:t>
      </w:r>
      <w:r w:rsidRPr="003754FE">
        <w:rPr>
          <w:i/>
        </w:rPr>
        <w:t>Radchikov c. Rusia</w:t>
      </w:r>
      <w:r>
        <w:t xml:space="preserve">, núm. 65582/01, § 48, y de 6 de abril de 2010, asunto </w:t>
      </w:r>
      <w:r w:rsidRPr="003754FE">
        <w:rPr>
          <w:i/>
        </w:rPr>
        <w:t>Ştefan c. Rumanía</w:t>
      </w:r>
      <w:r>
        <w:t>, núm. 28319/03, § 18) y compromete seriamente el derecho a la tutela judicial efectiva (art. 24.1 CE), que actúa como límite que impide a los jueces y tribunales —y a este tribunal— variar o revisar las resoluciones judiciales definitivas y firmes al margen de los supuestos y casos taxativamente previstos por la Ley, incluso en la hipótesis de que con posterioridad entendiesen que la decisión judicial no se ajusta a la legalidad (SSTC 231/1991, de 10 de diciembre, FJ 5; 19/1995, de 24 de enero, FJ 2; 48/1999, de 22 de marzo, FJ 2; 69/2000, de 13 de marzo, FJ 2; 140/2001, de 18 de junio, FJ 3, y 23/2005, de 14 de febrero, FJ 4).</w:t>
      </w:r>
    </w:p>
    <w:p w14:paraId="234F2BF3" w14:textId="77777777" w:rsidR="003754FE" w:rsidRDefault="003754FE" w:rsidP="003754FE">
      <w:pPr>
        <w:pStyle w:val="TextoNormal"/>
      </w:pPr>
    </w:p>
    <w:p w14:paraId="1FE63EFE" w14:textId="77777777" w:rsidR="003754FE" w:rsidRDefault="003754FE" w:rsidP="003754FE">
      <w:pPr>
        <w:pStyle w:val="TextoNormal"/>
      </w:pPr>
      <w:r>
        <w:t>No es anecdótica la apreciación por este tribunal del óbice procesal que el Ministerio Fiscal aflora con atinado esmero y que pasó inadvertida en la providencia de admisión del recurso —hay que decir que con la ayuda del recurrente que hizo constar como fecha de notificación el 30 de julio de 2021—. Las cifras obtenidas de las memorias publicadas por el Tribunal lo avalan.</w:t>
      </w:r>
    </w:p>
    <w:p w14:paraId="52FBAFAD" w14:textId="77777777" w:rsidR="003754FE" w:rsidRDefault="003754FE" w:rsidP="003754FE">
      <w:pPr>
        <w:pStyle w:val="TextoNormal"/>
      </w:pPr>
    </w:p>
    <w:p w14:paraId="4AA4F170" w14:textId="77777777" w:rsidR="003754FE" w:rsidRDefault="003754FE" w:rsidP="003754FE">
      <w:pPr>
        <w:pStyle w:val="TextoNormal"/>
      </w:pPr>
      <w:r>
        <w:t xml:space="preserve">El Tribunal Constitucional ha apreciado la extemporaneidad como motivo de inadmisión de los recursos de amparo en mil doscientas treinta y una ocasiones en los últimos cinco </w:t>
      </w:r>
      <w:r>
        <w:lastRenderedPageBreak/>
        <w:t>años y no me es posible afirmar que en tales supuestos la cuestión suscitada no revistiera la importancia necesaria para merecer un pronunciamiento de fondo o que al recurrente no se le hubiera vulnerado algún derecho procesal o sustantivo. En dichos casos fue la atención a los referidos derechos y garantías la que determinó la inadmisibilidad del recurso extemporáneamente presentado.</w:t>
      </w:r>
    </w:p>
    <w:p w14:paraId="0BACBC3A" w14:textId="77777777" w:rsidR="003754FE" w:rsidRDefault="003754FE" w:rsidP="003754FE">
      <w:pPr>
        <w:pStyle w:val="TextoNormal"/>
      </w:pPr>
    </w:p>
    <w:p w14:paraId="28F023F4" w14:textId="77777777" w:rsidR="003754FE" w:rsidRDefault="003754FE" w:rsidP="003754FE">
      <w:pPr>
        <w:pStyle w:val="TextoNormal"/>
      </w:pPr>
      <w:r>
        <w:t>En esos supuestos, el rechazo del recurso ha sido la respuesta al carácter “insubsanable” de dicho motivo de inadmisión, pues atendidas las importantes razones de seguridad jurídica y de igualdad en la aplicación de la ley, así como el respeto a un proceso equitativo y a la tutela judicial efectiva de los beneficiados por la resolución impugnada, el citado plazo no es disponible ni por el Tribunal ni por las partes (STC 197/2007, de 11 de septiembre).</w:t>
      </w:r>
    </w:p>
    <w:p w14:paraId="59460A7D" w14:textId="77777777" w:rsidR="003754FE" w:rsidRDefault="003754FE" w:rsidP="003754FE">
      <w:pPr>
        <w:pStyle w:val="TextoNormal"/>
      </w:pPr>
    </w:p>
    <w:p w14:paraId="6A1BDD6C" w14:textId="77777777" w:rsidR="003754FE" w:rsidRDefault="003754FE" w:rsidP="003754FE">
      <w:pPr>
        <w:pStyle w:val="TextoNormal"/>
      </w:pPr>
      <w:r>
        <w:t xml:space="preserve">La doctrina constitucional en este aspecto es clara. El plazo de treinta días de interposición del recurso de amparo (art. 44.2 LOTC), es “un plazo de caducidad […] por lo que no es admisible pretender alargarlo y, sobre todo, reabrirlo fraudulentamente mediante la prolongación, asimismo, artificial de las actuaciones judiciales previas o la utilización de recursos inexistentes en la ley o manifiestamente improcedentes contra una resolución firme” (STC 120/1986, de 22 de octubre, FJ 1). Y, tal y como constata el Tribunal Europeo de Derechos Humanos, “la falta de respeto por parte de los demandantes del plazo legal para presentar el recurso de amparo, constituye una falta de naturaleza objetiva e irreparable, que hace inútil la posibilidad de presentar las alegaciones con el fin de repararlo” (decisión de 14 de junio de 2011, asunto </w:t>
      </w:r>
      <w:r w:rsidRPr="003754FE">
        <w:rPr>
          <w:i/>
        </w:rPr>
        <w:t>del Pino García y Ortín Méndez c. España</w:t>
      </w:r>
      <w:r>
        <w:t>, § 33).</w:t>
      </w:r>
    </w:p>
    <w:p w14:paraId="0F1A0E18" w14:textId="77777777" w:rsidR="003754FE" w:rsidRDefault="003754FE" w:rsidP="003754FE">
      <w:pPr>
        <w:pStyle w:val="TextoNormal"/>
      </w:pPr>
    </w:p>
    <w:p w14:paraId="3AD1347A" w14:textId="77777777" w:rsidR="003754FE" w:rsidRDefault="003754FE" w:rsidP="003754FE">
      <w:pPr>
        <w:pStyle w:val="TextoNormal"/>
      </w:pPr>
      <w:r>
        <w:t>La exigencia de interposición del recurso de amparo en plazo es pues una regla de “orden público procesal, no disponible para las partes ni para el propio Tribunal, y su incumplimiento no queda subsanado por la simple admisión inicial a trámite de la demanda (SSTC 2/1984, de 18 de enero; 156/1986, de 9 de diciembre; 90/1987, de 3 de junio; 50/1991, de 11 de marzo; 205/2007, de 24 de septiembre, FJ 2, y 228/2007, de 5 de noviembre, FJ 2).</w:t>
      </w:r>
    </w:p>
    <w:p w14:paraId="00483943" w14:textId="77777777" w:rsidR="003754FE" w:rsidRDefault="003754FE" w:rsidP="003754FE">
      <w:pPr>
        <w:pStyle w:val="TextoNormal"/>
      </w:pPr>
    </w:p>
    <w:p w14:paraId="760EDB19" w14:textId="77777777" w:rsidR="003754FE" w:rsidRDefault="003754FE" w:rsidP="003754FE">
      <w:pPr>
        <w:pStyle w:val="TextoNormal"/>
      </w:pPr>
      <w:r>
        <w:t>En efecto, este tribunal ha declarado repetidamente que los defectos insubsanables de que pudiera estar afectado el recurso de amparo no resultan sanados porque la demanda haya sido inicialmente admitida. La comprobación de los presupuestos procesales para la viabilidad de la acción puede siempre abordarse en la sentencia, de oficio o a instancia de parte, pudiendo dar lugar a un pronunciamiento de inadmisión por falta de tales presupuestos, sin que sea obstáculo para ello el carácter tasado de los pronunciamientos previstos en el art. 53 LOTC (entre otras SSTC 318/1994, de 28 de noviembre, FJ 4; 146/2016, de 19 de septiembre, FJ 2, y 123/2023, de 25 de septiembre, FJ 2).</w:t>
      </w:r>
    </w:p>
    <w:p w14:paraId="796A6913" w14:textId="77777777" w:rsidR="003754FE" w:rsidRDefault="003754FE" w:rsidP="003754FE">
      <w:pPr>
        <w:pStyle w:val="TextoNormal"/>
      </w:pPr>
    </w:p>
    <w:p w14:paraId="680AFF1C" w14:textId="77777777" w:rsidR="003754FE" w:rsidRDefault="003754FE" w:rsidP="003754FE">
      <w:pPr>
        <w:pStyle w:val="TextoNormal"/>
      </w:pPr>
      <w:r>
        <w:t>2. Como he adelantado, el presente recurso de amparo ha incumplido el requisito procesal de admisión del art. 44.2 LOTC, que establece que el plazo para interponer el recurso de amparo es de treinta días a partir de la notificación de la resolución recaída en el proceso judicial, y la inobservancia por la sentencia de la que discrepo de la exigencia de dicho plazo (art. 44.2 LOTC) compromete seriamente los derechos y garantías aludidas.</w:t>
      </w:r>
    </w:p>
    <w:p w14:paraId="0BBE9BB1" w14:textId="77777777" w:rsidR="003754FE" w:rsidRDefault="003754FE" w:rsidP="003754FE">
      <w:pPr>
        <w:pStyle w:val="TextoNormal"/>
      </w:pPr>
    </w:p>
    <w:p w14:paraId="39F6C0BE" w14:textId="77777777" w:rsidR="003754FE" w:rsidRDefault="003754FE" w:rsidP="003754FE">
      <w:pPr>
        <w:pStyle w:val="TextoNormal"/>
      </w:pPr>
      <w:r>
        <w:t xml:space="preserve">Dicho plazo debe comenzar a computarse desde el día siguiente a la notificación, producida el 12 de julio de 2021, del auto de 30 de junio de 2021 dictado por la Sección Tercera de la Audiencia Provincial de Jaén que confirmaba la decisión de sobreseimiento libre de las actuaciones acordada por el juzgado de instrucción. Por lo tanto, la demanda de amparo </w:t>
      </w:r>
      <w:r>
        <w:lastRenderedPageBreak/>
        <w:t>registrada ante este tribunal el 11 de octubre de 2021 fue presentada una vez transcurridos once días hábiles desde que expiró el plazo estipulado en la ley, que finalizaba el 23 de septiembre de 2021, e incurrió en insalvable extemporaneidad.</w:t>
      </w:r>
    </w:p>
    <w:p w14:paraId="076C95E5" w14:textId="77777777" w:rsidR="003754FE" w:rsidRDefault="003754FE" w:rsidP="003754FE">
      <w:pPr>
        <w:pStyle w:val="TextoNormal"/>
      </w:pPr>
    </w:p>
    <w:p w14:paraId="197E43D0" w14:textId="77777777" w:rsidR="003754FE" w:rsidRDefault="003754FE" w:rsidP="003754FE">
      <w:pPr>
        <w:pStyle w:val="TextoNormal"/>
      </w:pPr>
      <w:r>
        <w:t>A esta conclusión no empecen los hechos acaecidos con posterioridad a que hubiera transcurrido el plazo de treinta días para la interposición del recurso de amparo (art. 44.2 LOTC), acontecimientos procesales que lejos de tener virtualidad rehabilitadora del fenecido y caducado plazo refuerzan la necesaria inadmisión del recurso de amparo, como seguidamente pasamos a exponer.</w:t>
      </w:r>
    </w:p>
    <w:p w14:paraId="395B0525" w14:textId="77777777" w:rsidR="003754FE" w:rsidRDefault="003754FE" w:rsidP="003754FE">
      <w:pPr>
        <w:pStyle w:val="TextoNormal"/>
      </w:pPr>
    </w:p>
    <w:p w14:paraId="7787F55A" w14:textId="77777777" w:rsidR="003754FE" w:rsidRDefault="003754FE" w:rsidP="003754FE">
      <w:pPr>
        <w:pStyle w:val="TextoNormal"/>
      </w:pPr>
      <w:r>
        <w:t>Para empezar, si bien es cierto que la rectificación de error material (producida por diligencia de ordenación de 3 de noviembre de 2021 y que corrige el encabezamiento del auto identificando los magistrados integrantes de la Sala) supone la reactivación de “los plazos para los recursos que procedan” [art. 267.9 LOPJ y STC 34/2020, de 24 de febrero, FJ 2 a)], esta reanudación solo produce efectos a futuro, reabriendo el plazo para interponer tales recursos a partir de la notificación de la resolución rectificando el error material, pero ello no permite subsanar ni eliminar con efecto retroactivo el carácter extemporáneo del presente recurso de amparo.</w:t>
      </w:r>
    </w:p>
    <w:p w14:paraId="684C617D" w14:textId="77777777" w:rsidR="003754FE" w:rsidRDefault="003754FE" w:rsidP="003754FE">
      <w:pPr>
        <w:pStyle w:val="TextoNormal"/>
      </w:pPr>
    </w:p>
    <w:p w14:paraId="69D43C23" w14:textId="77777777" w:rsidR="003754FE" w:rsidRDefault="003754FE" w:rsidP="003754FE">
      <w:pPr>
        <w:pStyle w:val="TextoNormal"/>
      </w:pPr>
      <w:r>
        <w:t>Los rasgos de insubsanabilidad, caducidad, perentoriedad y orden público procesal que caracterizan el plazo de interposición de la demanda de amparo lo impiden. El error advertido mediante la diligencia de ordenación en el encabezamiento de la resolución impugnada no podía obrar el milagro de resucitar el fenecido plazo de caducidad para promover el recurso de amparo, previamente interpuesto contra la decisión de sobreseimiento libre. El recurso de amparo era o no era extemporáneo con independencia de las vicisitudes procesales posteriores, incidencias que, de reabrir el proceso, por voluntad de la parte —como luego indicaré— convertirían el recurso de amparo además en prematuro.</w:t>
      </w:r>
    </w:p>
    <w:p w14:paraId="31EDEB4E" w14:textId="77777777" w:rsidR="003754FE" w:rsidRDefault="003754FE" w:rsidP="003754FE">
      <w:pPr>
        <w:pStyle w:val="TextoNormal"/>
      </w:pPr>
    </w:p>
    <w:p w14:paraId="4E9488E3" w14:textId="77777777" w:rsidR="003754FE" w:rsidRDefault="003754FE" w:rsidP="003754FE">
      <w:pPr>
        <w:pStyle w:val="TextoNormal"/>
      </w:pPr>
      <w:r>
        <w:t>En nada empece a ello la apelación que la sentencia efectúa a la necesidad de realizar interpretaciones antiformalistas salvo que se pretenda identificar el antiformalismo con la preterición de la exigencia de interposición del recurso de amparo en el plazo que prevé el art. 44.2 LOTC y consiguientemente con la inaplicación del citado precepto y de las garantías de quienes se verán afectados por la improcedente reapertura del proceso. El riesgo de inseguridad jurídica es evidente y el sacrificio del principio de igualdad en la aplicación de la ley es perceptible, pudiendo caer en la tentación de “flexibilizar o no” el plazo de treinta días en función del asunto de fondo planteado con olvido de los derechos en liza.</w:t>
      </w:r>
    </w:p>
    <w:p w14:paraId="41D51E9F" w14:textId="77777777" w:rsidR="003754FE" w:rsidRDefault="003754FE" w:rsidP="003754FE">
      <w:pPr>
        <w:pStyle w:val="TextoNormal"/>
      </w:pPr>
    </w:p>
    <w:p w14:paraId="14A0AF7F" w14:textId="77777777" w:rsidR="003754FE" w:rsidRDefault="003754FE" w:rsidP="003754FE">
      <w:pPr>
        <w:pStyle w:val="TextoNormal"/>
      </w:pPr>
      <w:r>
        <w:t>En este punto y a los meros efectos dialécticos, cabe afirmar que, tras la rectificación del error material advertido en el encabezamiento, el recurrente podría haber interpuesto un nuevo recurso de amparo invocando entonces su queja relativa a la vulneración del derecho a un juez imparcial (art. 24.2 CE) y solicitar su acumulación al recurso de amparo interpuesto al afectar a la misma resolución ya impugnada, pero en modo alguno revivir el recurso de amparo interpuesto borrando la caducidad producida. Y, para ello, a fin de preservar la subsidiariedad del recurso de amparo, debía promover —como así hizo— un incidente de nulidad de actuaciones contra la resolución que declaró la firmeza del sobreseimiento libre de la causa en el que invocara la lesión del derecho a un juez imparcial, incidente que interpuso y que resultó finalmente inadmitido por providencia de 3 de diciembre de 2021.</w:t>
      </w:r>
    </w:p>
    <w:p w14:paraId="11D7CE0C" w14:textId="77777777" w:rsidR="003754FE" w:rsidRDefault="003754FE" w:rsidP="003754FE">
      <w:pPr>
        <w:pStyle w:val="TextoNormal"/>
      </w:pPr>
    </w:p>
    <w:p w14:paraId="5A172283" w14:textId="77777777" w:rsidR="003754FE" w:rsidRDefault="003754FE" w:rsidP="003754FE">
      <w:pPr>
        <w:pStyle w:val="TextoNormal"/>
      </w:pPr>
      <w:r>
        <w:lastRenderedPageBreak/>
        <w:t>Sucede que, simultáneamente a la interposición del incidente de nulidad de actuaciones, presentó un escrito ante este tribunal, y dirigido a este mismo procedimiento de amparo, el 8 de noviembre de 2021, denunciando esta nueva vulneración. Dicho escrito, por su forma y contenido, no reunía los requisitos de claridad y concisión necesarios para ser considerado una demanda de amparo. No ejercitaba una pretensión propia de un recurso de amparo. Se limitaba a solicitar que se “acuerde continuar la tramitación del recurso de amparo”, a modo de eventual, inconcreta y prohibida ampliación de la demanda de amparo, instando de modo simultáneo la reparación del derecho ante la Audiencia Provincial.</w:t>
      </w:r>
    </w:p>
    <w:p w14:paraId="77BD1FA1" w14:textId="77777777" w:rsidR="003754FE" w:rsidRDefault="003754FE" w:rsidP="003754FE">
      <w:pPr>
        <w:pStyle w:val="TextoNormal"/>
      </w:pPr>
    </w:p>
    <w:p w14:paraId="77A8D3E0" w14:textId="77777777" w:rsidR="003754FE" w:rsidRDefault="003754FE" w:rsidP="003754FE">
      <w:pPr>
        <w:pStyle w:val="TextoNormal"/>
      </w:pPr>
      <w:r>
        <w:t xml:space="preserve">Como señaló la STC 52/2021, de 15 de marzo, FJ 2 c), “[e]n efecto, según reiterada jurisprudencia de este tribunal, el objeto procesal queda fijado en la demanda de amparo, definiendo y delimitando la pretensión (SSTC 235/1994, de 20 de julio, FJ 1; 26/1995, de 6 de febrero, FJ 3; 124/1999, de 28 de junio, FJ 1, y 205/1999, de 8 de noviembre, FJ 4), pues en ella ha de individualizarse el acto o la disposición cuya nulidad se pretenda, con indicación de la razón para pedirla o </w:t>
      </w:r>
      <w:r w:rsidRPr="003754FE">
        <w:rPr>
          <w:i/>
        </w:rPr>
        <w:t>causa petendi</w:t>
      </w:r>
      <w:r>
        <w:t xml:space="preserve"> (STC 185/1996, de 25 de noviembre, FJ 1), sin que sean viables las alteraciones introducidas con posteriores alegaciones (SSTC 109/1997, de 2 de junio, FJ 1, y 39/1999, de 22 de marzo, FJ 2), cuya razón de ser es completar y, en su caso, reforzar la fundamentación del recurso, mas no ampliarlo o variarlo sustancialmente (STC 85/1999, de 10 de mayo, FJ 2)”.</w:t>
      </w:r>
    </w:p>
    <w:p w14:paraId="67EE42B0" w14:textId="77777777" w:rsidR="003754FE" w:rsidRDefault="003754FE" w:rsidP="003754FE">
      <w:pPr>
        <w:pStyle w:val="TextoNormal"/>
      </w:pPr>
    </w:p>
    <w:p w14:paraId="2025492A" w14:textId="77777777" w:rsidR="003754FE" w:rsidRDefault="003754FE" w:rsidP="003754FE">
      <w:pPr>
        <w:pStyle w:val="TextoNormal"/>
      </w:pPr>
      <w:r>
        <w:t xml:space="preserve">Y, a mayor abundamiento, el recurrente intentó infructuosamente agregar a este proceso de amparo constitucional una nueva lesión de un derecho fundamental (derecho a un juez imparcial) en lo que pretendió ser una ampliación de la demanda de amparo (inadmisible según la doctrina constitucional) sin haber agotado la vía judicial previa </w:t>
      </w:r>
      <w:r w:rsidRPr="003754FE">
        <w:rPr>
          <w:i/>
        </w:rPr>
        <w:t>ex</w:t>
      </w:r>
      <w:r>
        <w:t xml:space="preserve"> art. 44.1 a) LOTC y sin respetar el carácter subsidiario de esta jurisdicción de amparo (entre otras, SSTC 13/2005, de 31 de enero, FJ 3; 52/2021, de 15 de marzo, FJ 2, y 123/2023, de 25 de septiembre, FJ 2).</w:t>
      </w:r>
    </w:p>
    <w:p w14:paraId="7D8FB93C" w14:textId="77777777" w:rsidR="003754FE" w:rsidRDefault="003754FE" w:rsidP="003754FE">
      <w:pPr>
        <w:pStyle w:val="TextoNormal"/>
      </w:pPr>
    </w:p>
    <w:p w14:paraId="2E41A040" w14:textId="77777777" w:rsidR="003754FE" w:rsidRDefault="003754FE" w:rsidP="003754FE">
      <w:pPr>
        <w:pStyle w:val="TextoNormal"/>
      </w:pPr>
      <w:r>
        <w:t>3. En definitiva, el recurso de amparo debió ser inadmitido por ser claramente extemporáneo (art. 44.2 LOTC) al haberse interpuesto el 11 de octubre de 2021, esto es, una vez trascurrido el plazo legal de treinta días establecido para promover recurso de amparo, que comenzó a computarse el 12 de julio de 2021, con la notificación del auto dictado por la Sección Tercera de la Audiencia Provincial de Jaén y que expiró el 23 de septiembre de 2021. En ese momento, al no haberse interpuesto recurso extraordinario alguno, el auto núm. 455/2021, de 30 de junio de 2021, de sobreseimiento libre, dictado por la Audiencia Provincial de Jaén alcanzó fuerza de cosa juzgada material.</w:t>
      </w:r>
    </w:p>
    <w:p w14:paraId="6A733EBC" w14:textId="77777777" w:rsidR="003754FE" w:rsidRDefault="003754FE" w:rsidP="003754FE">
      <w:pPr>
        <w:pStyle w:val="TextoNormal"/>
      </w:pPr>
    </w:p>
    <w:p w14:paraId="370732FE" w14:textId="77777777" w:rsidR="003754FE" w:rsidRDefault="003754FE" w:rsidP="003754FE">
      <w:pPr>
        <w:pStyle w:val="TextoNormal"/>
      </w:pPr>
      <w:r>
        <w:t>La indebida admisión del recurso de amparo extemporáneo, la declaración de la nulidad de los autos de 16 de febrero y de 14 de abril de 2021, dictados por el Juzgado de Primera Instancia e Instrucción núm. 1 de Úbeda, y del auto núm. 455/2021, de 30 de junio, dictado por la Sección Tercera de la Audiencia Provincial de Jaén y consiguientemente la reapertura de las diligencias previas núm. 618-2020 para que se lleve a cabo una investigación suficiente y eficaz, en virtud de un recurso de amparo claramente extemporáneo, ha desplazado la garantía de la intangibilidad de las resoluciones judiciales firmes incardinada en el derecho a la tutela judicial efectiva y la fuerza de la cosa juzgada material (art. 24.1 CE), así como el derecho a un proceso equitativo (art. 6.1 CEDH), que presume el respeto del principio de la preeminencia del Derecho y de intangibilidad de las resoluciones judiciales firmes (STEDH de 16 de enero de 2007, asunt</w:t>
      </w:r>
      <w:r w:rsidRPr="003754FE">
        <w:rPr>
          <w:i/>
        </w:rPr>
        <w:t>o Bujnita c. Moldav</w:t>
      </w:r>
      <w:r>
        <w:t>ia, § 20).</w:t>
      </w:r>
    </w:p>
    <w:p w14:paraId="5A729585" w14:textId="77777777" w:rsidR="003754FE" w:rsidRDefault="003754FE" w:rsidP="003754FE">
      <w:pPr>
        <w:pStyle w:val="TextoNormal"/>
      </w:pPr>
    </w:p>
    <w:p w14:paraId="245984E9" w14:textId="1E580A87" w:rsidR="003754FE" w:rsidRDefault="003754FE" w:rsidP="003754FE">
      <w:pPr>
        <w:pStyle w:val="TextoNormal"/>
      </w:pPr>
      <w:r>
        <w:t>Madrid, a dos de diciembre de dos mil veinticuatro.</w:t>
      </w:r>
    </w:p>
    <w:p w14:paraId="25066C4C" w14:textId="02756020" w:rsidR="003754FE" w:rsidRDefault="003754FE">
      <w:pPr>
        <w:spacing w:after="160" w:line="278" w:lineRule="auto"/>
        <w:rPr>
          <w:rFonts w:ascii="Times New Roman" w:eastAsia="Times New Roman" w:hAnsi="Times New Roman" w:cs="Times New Roman"/>
          <w:sz w:val="24"/>
          <w:szCs w:val="24"/>
          <w:lang w:eastAsia="es-ES"/>
        </w:rPr>
      </w:pPr>
      <w:r>
        <w:br w:type="page"/>
      </w:r>
    </w:p>
    <w:p w14:paraId="4C61A550" w14:textId="77777777" w:rsidR="003754FE" w:rsidRDefault="003754FE" w:rsidP="003754FE">
      <w:pPr>
        <w:pStyle w:val="TtuloResolucin"/>
      </w:pPr>
      <w:bookmarkStart w:id="54" w:name="SENTENCIA_2024_145"/>
      <w:r>
        <w:lastRenderedPageBreak/>
        <w:t>SENTENCIA 145/2024, de 2 de diciembre de 2024</w:t>
      </w:r>
    </w:p>
    <w:bookmarkEnd w:id="54"/>
    <w:p w14:paraId="4ABD971D" w14:textId="77777777" w:rsidR="003754FE" w:rsidRDefault="003754FE" w:rsidP="003754FE">
      <w:pPr>
        <w:pStyle w:val="TtuloResolucin"/>
      </w:pPr>
      <w:r>
        <w:t>Sala Segunda</w:t>
      </w:r>
    </w:p>
    <w:p w14:paraId="19B570AC" w14:textId="77777777" w:rsidR="003754FE" w:rsidRDefault="003754FE" w:rsidP="003754FE">
      <w:pPr>
        <w:pStyle w:val="TtuloBOE"/>
      </w:pPr>
      <w:r>
        <w:t>(BOE núm. 5, de 6 de enero de 2025)</w:t>
      </w:r>
    </w:p>
    <w:p w14:paraId="51D4EAC9" w14:textId="77777777" w:rsidR="003754FE" w:rsidRDefault="003754FE" w:rsidP="003754FE">
      <w:pPr>
        <w:pStyle w:val="TextoNormalCentrado"/>
      </w:pPr>
      <w:r>
        <w:t>ECLI:ES:TC:2024:145</w:t>
      </w:r>
    </w:p>
    <w:p w14:paraId="62044B80" w14:textId="59D169CE" w:rsidR="003754FE" w:rsidRDefault="003754FE" w:rsidP="003754FE">
      <w:pPr>
        <w:pStyle w:val="TextoNormalCentrado"/>
      </w:pPr>
    </w:p>
    <w:p w14:paraId="47C9992C" w14:textId="77777777" w:rsidR="003754FE" w:rsidRDefault="003754FE" w:rsidP="003754FE">
      <w:pPr>
        <w:pStyle w:val="SntesisDescriptiva"/>
      </w:pPr>
      <w:r>
        <w:t>Recurso de amparo 7684-2021. Promovido por doña V.F.C., en relación con los autos dictados por la Audiencia Provincial de Gipuzkoa y un juzgado de violencia sobre la mujer de San Sebastián en proceso de divorcio.</w:t>
      </w:r>
    </w:p>
    <w:p w14:paraId="60611D82" w14:textId="08B5F6CC" w:rsidR="003754FE" w:rsidRDefault="003754FE" w:rsidP="003754FE">
      <w:pPr>
        <w:pStyle w:val="SntesisDescriptiva"/>
      </w:pPr>
    </w:p>
    <w:p w14:paraId="0672FE67" w14:textId="77777777" w:rsidR="003754FE" w:rsidRDefault="003754FE" w:rsidP="003754FE">
      <w:pPr>
        <w:pStyle w:val="SntesisAnaltica"/>
      </w:pPr>
      <w:r>
        <w:t>Vulneración del derecho a la tutela judicial efectiva (motivación): resoluciones judiciales que no satisfacen la obligación de motivación reforzada al pronunciarse sobre el régimen de visitas en un contexto de violencia de género (STC 115/2024). Votos particulares.</w:t>
      </w:r>
    </w:p>
    <w:p w14:paraId="112F45DF" w14:textId="34178C6D" w:rsidR="003754FE" w:rsidRDefault="003754FE" w:rsidP="003754FE">
      <w:pPr>
        <w:pStyle w:val="SntesisAnaltica"/>
      </w:pPr>
    </w:p>
    <w:p w14:paraId="528852EE" w14:textId="4F6F8B4F" w:rsidR="003754FE" w:rsidRDefault="003754FE" w:rsidP="003754FE">
      <w:pPr>
        <w:pStyle w:val="Extracto"/>
      </w:pPr>
      <w:r>
        <w:t>1.</w:t>
      </w:r>
      <w:r>
        <w:tab/>
        <w:t>De acuerdo con la transversalidad del principio de igualdad de trato entre mujeres y hombres que nuestras leyes proyectan sobre todos los poderes públicos, y de conformidad con el Derecho internacional de los derechos humanos que por imperativo del art. 10.2 CE opera como parámetro interpretativo insoslayable de nuestro sistema de derechos y libertades, los delitos de violencia de género constituyen la forma más grave de discriminación contra la mujer  (STC 115/2024) [FJ 4].</w:t>
      </w:r>
    </w:p>
    <w:p w14:paraId="08D7450B" w14:textId="77777777" w:rsidR="003754FE" w:rsidRDefault="003754FE" w:rsidP="003754FE">
      <w:pPr>
        <w:pStyle w:val="Extracto"/>
      </w:pPr>
    </w:p>
    <w:p w14:paraId="6B47CCB4" w14:textId="562A761A" w:rsidR="003754FE" w:rsidRDefault="003754FE" w:rsidP="003754FE">
      <w:pPr>
        <w:pStyle w:val="Extracto"/>
      </w:pPr>
      <w:r>
        <w:t>2.</w:t>
      </w:r>
      <w:r>
        <w:tab/>
        <w:t>En un contexto de violencia de género, las resoluciones de nuestros órganos judiciales, al afectar al derecho a la igualdad y a la prohibición de la discriminación por razón de sexo ex art. 14 CE, han de cumplir con un canon reforzado de motivación (STC 115/2024) [FJ 4].</w:t>
      </w:r>
    </w:p>
    <w:p w14:paraId="7ACA3F59" w14:textId="77777777" w:rsidR="003754FE" w:rsidRDefault="003754FE" w:rsidP="003754FE">
      <w:pPr>
        <w:pStyle w:val="Extracto"/>
      </w:pPr>
    </w:p>
    <w:p w14:paraId="144F8AC4" w14:textId="77777777" w:rsidR="003754FE" w:rsidRDefault="003754FE" w:rsidP="003754FE">
      <w:pPr>
        <w:pStyle w:val="Extracto"/>
      </w:pPr>
    </w:p>
    <w:p w14:paraId="0A2994CD"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C64C6DE" w14:textId="02DD9855" w:rsidR="003754FE" w:rsidRDefault="003754FE" w:rsidP="003754FE">
      <w:pPr>
        <w:pStyle w:val="TextoNormal"/>
      </w:pPr>
    </w:p>
    <w:p w14:paraId="25EB5E4F" w14:textId="77777777" w:rsidR="003754FE" w:rsidRDefault="003754FE" w:rsidP="003754FE">
      <w:pPr>
        <w:pStyle w:val="TextoNormalCentrado"/>
        <w:keepNext/>
      </w:pPr>
      <w:r>
        <w:t>EN NOMBRE DEL REY</w:t>
      </w:r>
    </w:p>
    <w:p w14:paraId="5EA1C5CC" w14:textId="7F2E1512" w:rsidR="003754FE" w:rsidRDefault="003754FE" w:rsidP="003754FE">
      <w:pPr>
        <w:pStyle w:val="TextoNormalCentrado"/>
        <w:keepNext/>
      </w:pPr>
    </w:p>
    <w:p w14:paraId="45F6E5A3" w14:textId="77777777" w:rsidR="003754FE" w:rsidRDefault="003754FE" w:rsidP="003754FE">
      <w:pPr>
        <w:pStyle w:val="TextoNormalCentrado"/>
        <w:keepNext/>
      </w:pPr>
    </w:p>
    <w:p w14:paraId="5FEB5069" w14:textId="77777777" w:rsidR="003754FE" w:rsidRDefault="003754FE" w:rsidP="003754FE">
      <w:pPr>
        <w:pStyle w:val="TextoNormal"/>
      </w:pPr>
      <w:r>
        <w:t>la siguiente</w:t>
      </w:r>
    </w:p>
    <w:p w14:paraId="47FC6B94" w14:textId="39B7EC26" w:rsidR="003754FE" w:rsidRDefault="003754FE" w:rsidP="003754FE">
      <w:pPr>
        <w:pStyle w:val="TextoNormal"/>
      </w:pPr>
    </w:p>
    <w:p w14:paraId="177E5353" w14:textId="77777777" w:rsidR="003754FE" w:rsidRDefault="003754FE" w:rsidP="003754FE">
      <w:pPr>
        <w:pStyle w:val="TextoNormalCentrado"/>
        <w:keepNext/>
      </w:pPr>
      <w:r>
        <w:t>SENTENCIA</w:t>
      </w:r>
    </w:p>
    <w:p w14:paraId="5FDF9DA7" w14:textId="20AFE8AF" w:rsidR="003754FE" w:rsidRDefault="003754FE" w:rsidP="003754FE">
      <w:pPr>
        <w:pStyle w:val="TextoNormalCentrado"/>
        <w:keepNext/>
      </w:pPr>
    </w:p>
    <w:p w14:paraId="19DF7A05" w14:textId="77777777" w:rsidR="003754FE" w:rsidRDefault="003754FE" w:rsidP="003754FE">
      <w:pPr>
        <w:pStyle w:val="TextoNormal"/>
      </w:pPr>
      <w:r>
        <w:t>En el recurso de amparo núm. 7684-2021, promovido por doña V.F.C., representada por la procuradora de los tribunales doña Estrella Moyano Cabrera y bajo la asistencia letrada de doña María del Rosario Cañete Aguado, contra los autos de 2 de abril y de 18 de junio de 2020, del Juzgado de Violencia sobre la Mujer de San Sebastián, y contra los autos de 6 de mayo y de 15 de octubre de 2021, este último con núm. 147/2021, de la Audiencia Provincial de Gipuzkoa, todos ellos en el procedimiento de divorcio contencioso núm. 53-2017. Ha sido ponente la magistrada doña María Luisa Balaguer Callejón.</w:t>
      </w:r>
    </w:p>
    <w:p w14:paraId="6BA9BA62" w14:textId="382FB92B" w:rsidR="003754FE" w:rsidRDefault="003754FE" w:rsidP="003754FE">
      <w:pPr>
        <w:pStyle w:val="TextoNormal"/>
      </w:pPr>
    </w:p>
    <w:p w14:paraId="375BE67D" w14:textId="77777777" w:rsidR="003754FE" w:rsidRDefault="003754FE" w:rsidP="003754FE">
      <w:pPr>
        <w:pStyle w:val="TextoNormalNegritaCentrado"/>
        <w:keepNext/>
      </w:pPr>
      <w:r>
        <w:lastRenderedPageBreak/>
        <w:t>I. Antecedentes</w:t>
      </w:r>
    </w:p>
    <w:p w14:paraId="4C334F4D" w14:textId="6776104A" w:rsidR="003754FE" w:rsidRDefault="003754FE" w:rsidP="003754FE">
      <w:pPr>
        <w:pStyle w:val="TextoNormalNegritaCentrado"/>
        <w:keepNext/>
      </w:pPr>
    </w:p>
    <w:p w14:paraId="150F16B6" w14:textId="7D567828" w:rsidR="003754FE" w:rsidRDefault="003754FE" w:rsidP="003754FE">
      <w:pPr>
        <w:pStyle w:val="TextoNormal"/>
      </w:pPr>
      <w:r w:rsidRPr="003754FE">
        <w:rPr>
          <w:rStyle w:val="NumeroAFNegritaCaracter"/>
        </w:rPr>
        <w:t>1</w:t>
      </w:r>
      <w:r>
        <w:t>. Mediante escrito registrado en este tribunal el 2 de diciembre de 2021, la procuradora de los tribunales doña Estrella Moyano Cabrera, en nombre y representación de doña V.F.C., bajo la asistencia letrada de doña María del Rosario Cañete Aguado, interpuso recurso de amparo contra las resoluciones judiciales citadas en el encabezamiento de esta sentencia.</w:t>
      </w:r>
    </w:p>
    <w:p w14:paraId="07935AD4" w14:textId="77777777" w:rsidR="003754FE" w:rsidRDefault="003754FE" w:rsidP="003754FE">
      <w:pPr>
        <w:pStyle w:val="TextoNormal"/>
      </w:pPr>
    </w:p>
    <w:p w14:paraId="529884F7" w14:textId="77777777" w:rsidR="003754FE" w:rsidRDefault="003754FE" w:rsidP="003754FE">
      <w:pPr>
        <w:pStyle w:val="TextoNormal"/>
      </w:pPr>
      <w:r w:rsidRPr="003754FE">
        <w:rPr>
          <w:rStyle w:val="NumeroAFNegritaCaracter"/>
        </w:rPr>
        <w:t>2</w:t>
      </w:r>
      <w:r>
        <w:t>. Los antecedentes procesales relevantes para resolver las pretensiones planteadas en la demanda de amparo, son los siguientes:</w:t>
      </w:r>
    </w:p>
    <w:p w14:paraId="52EB3814" w14:textId="77777777" w:rsidR="003754FE" w:rsidRDefault="003754FE" w:rsidP="003754FE">
      <w:pPr>
        <w:pStyle w:val="TextoNormal"/>
      </w:pPr>
    </w:p>
    <w:p w14:paraId="142F9CA7" w14:textId="77777777" w:rsidR="003754FE" w:rsidRDefault="003754FE" w:rsidP="003754FE">
      <w:pPr>
        <w:pStyle w:val="TextoNormal"/>
      </w:pPr>
      <w:r>
        <w:t>a) Doña V.F.C., contrajo matrimonio con don F.L.D.B., el 21 de octubre de 2016, con quien tuvo una hija el 20 de febrero de 2017. El padre abandonó el domicilio familiar el día 27 de febrero de este último año, fecha a partir de la cual, y hasta la interposición de la demanda de divorcio, ni don F.L.D.B., ni ningún miembro de su familia habrían, según doña V.F.C., contactado con ella.</w:t>
      </w:r>
    </w:p>
    <w:p w14:paraId="754F46D8" w14:textId="77777777" w:rsidR="003754FE" w:rsidRDefault="003754FE" w:rsidP="003754FE">
      <w:pPr>
        <w:pStyle w:val="TextoNormal"/>
      </w:pPr>
    </w:p>
    <w:p w14:paraId="7D15E433" w14:textId="77777777" w:rsidR="003754FE" w:rsidRDefault="003754FE" w:rsidP="003754FE">
      <w:pPr>
        <w:pStyle w:val="TextoNormal"/>
      </w:pPr>
      <w:r>
        <w:t>El 8 de marzo de 2017, alegando malos tratos físicos y psicológicos hacia ella y su hija menor de edad y justificando la ausencia de denuncia de su condición (y de la de su hija) de víctima de violencia de género “por el amor y a la vez el temor” que en ese momento sentía frente a su marido, doña V.F.C., presentó demanda de divorcio en la que solicitó la patria potestad exclusiva, la guarda y custodia de la menor, y un régimen de visitas para el padre de dos horas en fines de semanas alternos bajo la supervisión de un miembro de la familia materna. De la demanda conoció el Juzgado de Primera Instancia núm. 6 de San Sebastián.</w:t>
      </w:r>
    </w:p>
    <w:p w14:paraId="7E9E2301" w14:textId="77777777" w:rsidR="003754FE" w:rsidRDefault="003754FE" w:rsidP="003754FE">
      <w:pPr>
        <w:pStyle w:val="TextoNormal"/>
      </w:pPr>
    </w:p>
    <w:p w14:paraId="1A5594A1" w14:textId="77777777" w:rsidR="003754FE" w:rsidRDefault="003754FE" w:rsidP="003754FE">
      <w:pPr>
        <w:pStyle w:val="TextoNormal"/>
      </w:pPr>
      <w:r>
        <w:t>b) En fecha 30 de marzo de 2017, se incoaron diligencias de investigación núm. 86-2017 en la Fiscalía Provincial de Gipuzkoa a raíz de la citación del Ministerio Fiscal por el Juzgado de Primera Instancia núm. 6 de San Sebastián para comparecer en el juicio de divorcio. Según el escrito de denuncia del Ministerio Fiscal, tanto en la demanda como en su comparecencia, doña V.F.C., manifestó que había sido objeto de varios actos de violencia de género “consistentes en agresiones físicas, vejaciones, insultos [y] coacciones”. El 31 de marzo de 2017 el fiscal interpuso denuncia ante el Juzgado de Violencia sobre la Mujer núm. 1 de San Sebastián contra don F.L.D.B.</w:t>
      </w:r>
    </w:p>
    <w:p w14:paraId="36FD8908" w14:textId="77777777" w:rsidR="003754FE" w:rsidRDefault="003754FE" w:rsidP="003754FE">
      <w:pPr>
        <w:pStyle w:val="TextoNormal"/>
      </w:pPr>
    </w:p>
    <w:p w14:paraId="705FEE56" w14:textId="77777777" w:rsidR="003754FE" w:rsidRDefault="003754FE" w:rsidP="003754FE">
      <w:pPr>
        <w:pStyle w:val="TextoNormal"/>
      </w:pPr>
      <w:r>
        <w:t>c) Don F.L.D.B., presentó ante el Juzgado de Primera Instancia núm. 6 de San Sebastián solicitud de medidas previas a la presentación de la demanda, que quedaron registradas con el núm. 408-2017. Las partes discreparon respecto de las medidas provisionales a adoptar. Doña V.F.C., solicitó que se privara de la patria potestad a don F.L.D.B., alegando que había incurrido en graves actuaciones de violencia de género contra su persona. La solicitud de medidas provisionales se resolvió por auto núm. 297/2017, de 31 de marzo.</w:t>
      </w:r>
    </w:p>
    <w:p w14:paraId="6B0E5E6F" w14:textId="77777777" w:rsidR="003754FE" w:rsidRDefault="003754FE" w:rsidP="003754FE">
      <w:pPr>
        <w:pStyle w:val="TextoNormal"/>
      </w:pPr>
    </w:p>
    <w:p w14:paraId="57C145A4" w14:textId="77777777" w:rsidR="003754FE" w:rsidRDefault="003754FE" w:rsidP="003754FE">
      <w:pPr>
        <w:pStyle w:val="TextoNormal"/>
      </w:pPr>
      <w:r>
        <w:t>Aduciendo la falta de competencia para decidir si los hechos invocados eran ciertos y si, en su caso, constituían infracciones penales que justificaran la privación de la patria potestad, el juzgado se la otorgó a ambos progenitores, encomendando la guarda y custodia de la menor a doña V.F.C.</w:t>
      </w:r>
    </w:p>
    <w:p w14:paraId="19B5C7F9" w14:textId="77777777" w:rsidR="003754FE" w:rsidRDefault="003754FE" w:rsidP="003754FE">
      <w:pPr>
        <w:pStyle w:val="TextoNormal"/>
      </w:pPr>
    </w:p>
    <w:p w14:paraId="6511C1D2" w14:textId="77777777" w:rsidR="003754FE" w:rsidRDefault="003754FE" w:rsidP="003754FE">
      <w:pPr>
        <w:pStyle w:val="TextoNormal"/>
      </w:pPr>
      <w:r>
        <w:lastRenderedPageBreak/>
        <w:t>En cuanto al régimen de estancias de la menor con el progenitor no custodio, el juzgado estableció un régimen corto, fijando la estancia libre el sábado de la primera semana del mes y el domingo de la última, en ambos casos desde las 17:00 hasta las 19:00 horas. La fijación del régimen de estancias se fundamentó en la apreciación de una situación de conflictividad extrema entre los progenitores de la menor y sus respectivas familias, en la inexistencia en ese momento de prueba objetiva alguna que implicara inhabilidad parental por parte de don F.L.D.B., en la edad de la menor y su condición de lactante en exclusiva, y en el hecho de que la residencia habitual del padre se encontrara en la ciudad de Vitoria.</w:t>
      </w:r>
    </w:p>
    <w:p w14:paraId="07A4CA0C" w14:textId="77777777" w:rsidR="003754FE" w:rsidRDefault="003754FE" w:rsidP="003754FE">
      <w:pPr>
        <w:pStyle w:val="TextoNormal"/>
      </w:pPr>
    </w:p>
    <w:p w14:paraId="3762F7D6" w14:textId="77777777" w:rsidR="003754FE" w:rsidRDefault="003754FE" w:rsidP="003754FE">
      <w:pPr>
        <w:pStyle w:val="TextoNormal"/>
      </w:pPr>
      <w:r>
        <w:t>d) Por providencia de 31 de marzo de 2017, el Juzgado de Primera Instancia núm. 6 de San Sebastián acordó continuar el procedimiento hasta que fuera requerido de inhibición por el Juzgado de Violencia sobre la Mujer.</w:t>
      </w:r>
    </w:p>
    <w:p w14:paraId="77A55EFE" w14:textId="77777777" w:rsidR="003754FE" w:rsidRDefault="003754FE" w:rsidP="003754FE">
      <w:pPr>
        <w:pStyle w:val="TextoNormal"/>
      </w:pPr>
    </w:p>
    <w:p w14:paraId="398540DD" w14:textId="77777777" w:rsidR="003754FE" w:rsidRDefault="003754FE" w:rsidP="003754FE">
      <w:pPr>
        <w:pStyle w:val="TextoNormal"/>
      </w:pPr>
      <w:r>
        <w:t>Por oficio de 24 de abril de 2017, el Juzgado de Violencia sobre la Mujer de San Sebastián solicitó la inhibición al Juzgado de Primera Instancia núm. 6, requerimiento que fue aceptado por auto núm. 345/2017, de 25 de abril.</w:t>
      </w:r>
    </w:p>
    <w:p w14:paraId="146EB817" w14:textId="77777777" w:rsidR="003754FE" w:rsidRDefault="003754FE" w:rsidP="003754FE">
      <w:pPr>
        <w:pStyle w:val="TextoNormal"/>
      </w:pPr>
    </w:p>
    <w:p w14:paraId="080AB2A4" w14:textId="77777777" w:rsidR="003754FE" w:rsidRDefault="003754FE" w:rsidP="003754FE">
      <w:pPr>
        <w:pStyle w:val="TextoNormal"/>
      </w:pPr>
      <w:r>
        <w:t>e) El 22 de diciembre de 2017, el Juzgado de Violencia sobre la Mujer de San Sebastián resolvió el procedimiento de divorcio en sentencia núm. 71/2017, que acordó la disolución del matrimonio y la adopción de medidas reguladoras en relación con la hija menor de edad.</w:t>
      </w:r>
    </w:p>
    <w:p w14:paraId="05B103B7" w14:textId="77777777" w:rsidR="003754FE" w:rsidRDefault="003754FE" w:rsidP="003754FE">
      <w:pPr>
        <w:pStyle w:val="TextoNormal"/>
      </w:pPr>
    </w:p>
    <w:p w14:paraId="0229C957" w14:textId="77777777" w:rsidR="003754FE" w:rsidRDefault="003754FE" w:rsidP="003754FE">
      <w:pPr>
        <w:pStyle w:val="TextoNormal"/>
      </w:pPr>
      <w:r>
        <w:t>El proceso de disolución del matrimonio fue resuelto, en lo relativo a la pretensión de divorcio, en aplicación de los artículos preceptivos del Código civil (CC), y en lo que hace a las relaciones parentales y a las medidas respecto de la hija menor de edad en común, en aplicación de la Ley del Parlamento Vasco 7/2015, de 30 de junio, de relaciones familiares en supuestos de separación o ruptura de los progenitores (en adelante, Ley del Parlamento Vasco 7/2015).</w:t>
      </w:r>
    </w:p>
    <w:p w14:paraId="46A048D7" w14:textId="77777777" w:rsidR="003754FE" w:rsidRDefault="003754FE" w:rsidP="003754FE">
      <w:pPr>
        <w:pStyle w:val="TextoNormal"/>
      </w:pPr>
    </w:p>
    <w:p w14:paraId="3776B678" w14:textId="77777777" w:rsidR="003754FE" w:rsidRDefault="003754FE" w:rsidP="003754FE">
      <w:pPr>
        <w:pStyle w:val="TextoNormal"/>
      </w:pPr>
      <w:r>
        <w:t>En aplicación del art. 9.6 de la mencionada Ley del Parlamento Vasco 7/2015, el Juzgado de Violencia sobre la Mujer de San Sebastián otorgó la guarda y custodia de la hija en exclusiva a doña V.F.C., por entender que así lo exigía el interés superior de la menor en ese momento, habida cuenta de su corta edad (diez días de vida durante los que había cohabitado en exclusiva con la madre); que hasta ese momento la menor solo se había relacionado con su padre durante dos horas cada catorce días; que la menor se alimentaba en exclusiva mediante lactancia materna; que la madre contaba con capacidades y habilidades para gestionar las necesidades de la menor; que el padre parecía carecer de suficientes aptitudes a tales efectos y que don F.L.D.B., había manifestado su conformidad.</w:t>
      </w:r>
    </w:p>
    <w:p w14:paraId="00A79BD9" w14:textId="77777777" w:rsidR="003754FE" w:rsidRDefault="003754FE" w:rsidP="003754FE">
      <w:pPr>
        <w:pStyle w:val="TextoNormal"/>
      </w:pPr>
    </w:p>
    <w:p w14:paraId="2E50A020" w14:textId="77777777" w:rsidR="003754FE" w:rsidRDefault="003754FE" w:rsidP="003754FE">
      <w:pPr>
        <w:pStyle w:val="TextoNormal"/>
      </w:pPr>
      <w:r>
        <w:t>Por su parte, la sentencia de 22 de diciembre de 2017 resolvió que la patria potestad se ejerciera de forma conjunta por ambos progenitores. Para fundamentar su decisión, el Juzgado de Violencia sobre la Mujer de San Sebastián adujo que “si bien es cierto [que] existe un proceso penal en trámite por presunto delito de maltrato del padre a la madre, lo cierto es que, en la actualidad, este procedimiento se encuentra en fase de investigación sin que se hayan dictado medidas de protección de la madre y sin que, a fecha actual, se haya apreciado una base indiciaria contundente de personalidad agresiva, controladora, machista y violenta en el investigado, […] no existe en este instante ninguna imputación formal contra él dirigida en el proceso penal”.</w:t>
      </w:r>
    </w:p>
    <w:p w14:paraId="52173C0A" w14:textId="77777777" w:rsidR="003754FE" w:rsidRDefault="003754FE" w:rsidP="003754FE">
      <w:pPr>
        <w:pStyle w:val="TextoNormal"/>
      </w:pPr>
    </w:p>
    <w:p w14:paraId="2B2ECB3E" w14:textId="77777777" w:rsidR="003754FE" w:rsidRDefault="003754FE" w:rsidP="003754FE">
      <w:pPr>
        <w:pStyle w:val="TextoNormal"/>
      </w:pPr>
      <w:r>
        <w:lastRenderedPageBreak/>
        <w:t>De conformidad con el informe del equipo psicosocial judicial fechado el 20 de octubre de 2017, el juzgado estableció además un régimen de visitas y estancias del padre no custodio con la menor de modo supervisado, con previsión de progresión hacia un régimen abierto en la medida que las circunstancias así lo aconsejaran.</w:t>
      </w:r>
    </w:p>
    <w:p w14:paraId="22F7E585" w14:textId="77777777" w:rsidR="003754FE" w:rsidRDefault="003754FE" w:rsidP="003754FE">
      <w:pPr>
        <w:pStyle w:val="TextoNormal"/>
      </w:pPr>
    </w:p>
    <w:p w14:paraId="04B098BD" w14:textId="77777777" w:rsidR="003754FE" w:rsidRDefault="003754FE" w:rsidP="003754FE">
      <w:pPr>
        <w:pStyle w:val="TextoNormal"/>
      </w:pPr>
      <w:r>
        <w:t>Según la sentencia núm. 71/2017, de 22 de diciembre, del Juzgado de Violencia sobre la Mujer de San Sebastián, del referido informe pericial se concluía que en ese momento no era razonable apreciar la concurrencia de un riesgo para la menor procedente de conductas deliberadamente dañinas de su padre o de la familia de este, aunque del mismo sí podía deducirse que don F.L.D.B., adolecía de una cierta falta de habilidades parentales como consecuencia de una personalidad dependiente, un escaso conocimiento de la menor, y una falta de destrezas naturales para gestionar las necesidades emocionales e instrumentales de la menor. A ello añadía un contexto de elevada conflictividad, de todo lo que se deducía la pertinencia, por ser más adecuada y beneficiosa para la menor, de una supervisión profesional, aunque fuera provisional, de las estancias. Consecuentemente, en la sentencia de divorcio se ordenó que: A) hasta el mes de junio de 2018 (incluido) el padre y la menor estarían juntos los sábados alternos en el punto de encuentro familiar de San Sebastián, desde las 17:00 hasta las 19:00 horas, de modo supervisado; B) a partir del mes de julio de 2018 y hasta el mes de diciembre (incluido) de ese mismo año, si los informes del punto de encuentro familiar eran favorables, las estancias se realizarían los sábados alternos desde las 16:30 hasta las 19:30 horas, con entregas y recogidas en el punto de encuentro familiar pero siendo la estancia libre; C) a partir del mes de enero de 2019 y hasta el mes de agosto (incluido) de ese mismo año, nuevamente si los informes del punto de encuentro familiar resultaban favorables, las estancias de los sábados alternos se realizarían en jornada entera, desde las 11:00 hasta las 19:30 horas, realizándose los intercambios en el punto de encuentro familiar, siendo las estancias de carácter libre; y D) en el mes de septiembre de 2019, cuando la menor contara ya con dos años y medio de edad, se recabaría informe del equipo psicosocial para que, a la vista de los informes del punto de encuentro familiar y de una nueva valoración integral de la situación, se informara sobre la conveniencia de introducir las pernoctas o, en general, sobre el régimen paternofilial de estancias más conveniente para la menor “en función de las circunstancias que entonces existan”, de modo que, tras su traslado a las partes y al Ministerio Fiscal, se concretaría judicialmente el régimen de estancias, ordinario y vacacional, de carácter definitivo.</w:t>
      </w:r>
    </w:p>
    <w:p w14:paraId="04BCF8E8" w14:textId="77777777" w:rsidR="003754FE" w:rsidRDefault="003754FE" w:rsidP="003754FE">
      <w:pPr>
        <w:pStyle w:val="TextoNormal"/>
      </w:pPr>
    </w:p>
    <w:p w14:paraId="0C4D35C5" w14:textId="77777777" w:rsidR="003754FE" w:rsidRDefault="003754FE" w:rsidP="003754FE">
      <w:pPr>
        <w:pStyle w:val="TextoNormal"/>
      </w:pPr>
      <w:r>
        <w:t>f) Por las representaciones de ambas partes se interpusieron contra dicha sentencia sendos recursos de apelación. Doña V.F.C., recurrió entonces la atribución de la patria potestad y el régimen de visitas y comunicaciones. Ambos recursos fueron desestimados por sentencia núm. 539/2018, de 18 de octubre, de la Sección Segunda de la Audiencia Provincial de Gipuzkoa.</w:t>
      </w:r>
    </w:p>
    <w:p w14:paraId="70C0537E" w14:textId="77777777" w:rsidR="003754FE" w:rsidRDefault="003754FE" w:rsidP="003754FE">
      <w:pPr>
        <w:pStyle w:val="TextoNormal"/>
      </w:pPr>
    </w:p>
    <w:p w14:paraId="70C116AB" w14:textId="77777777" w:rsidR="003754FE" w:rsidRDefault="003754FE" w:rsidP="003754FE">
      <w:pPr>
        <w:pStyle w:val="TextoNormal"/>
      </w:pPr>
      <w:r>
        <w:t xml:space="preserve">g) Con fecha de 7 de noviembre de 2018 se dictó, en las diligencias previas núm. 200-2017, auto de transformación en procedimiento abreviado, en cuyo antecedente de hecho segundo se hizo constar que de lo actuado en el procedimiento se desprendía, al menos con carácter provisional, un relato fáctico de conformidad con el cual doña V.F.C., habría sufrido una contractura cervical y múltiples hematomas en los brazos, resultado todo ello de una serie de episodios de violencia transcurridos en el seno de la relación de pareja entre los meses de febrero de 2016 y febrero de 2017. Haciendo constar que según la unidad de valoración forense integral, don F.L.D.B., presentaba “elementos psicológicos de riesgo para </w:t>
      </w:r>
      <w:r>
        <w:lastRenderedPageBreak/>
        <w:t>la manifestación de conductas impulsivas ocasionales” más compatibles con un contexto de elevada conflictividad en la pareja, el Juzgado de Violencia sobre la Mujer de San Sebastián acordó, no obstante, seguir las diligencias por los trámites de los arts. 780 y ss. de la Ley de enjuiciamiento criminal por un delito leve continuado de vejaciones injustas y cinco delitos de maltrato no habitual, todo ello en el ámbito de la violencia de género.</w:t>
      </w:r>
    </w:p>
    <w:p w14:paraId="31AE5401" w14:textId="77777777" w:rsidR="003754FE" w:rsidRDefault="003754FE" w:rsidP="003754FE">
      <w:pPr>
        <w:pStyle w:val="TextoNormal"/>
      </w:pPr>
    </w:p>
    <w:p w14:paraId="7C1BDC48" w14:textId="77777777" w:rsidR="003754FE" w:rsidRDefault="003754FE" w:rsidP="003754FE">
      <w:pPr>
        <w:pStyle w:val="TextoNormal"/>
      </w:pPr>
      <w:r>
        <w:t>h) En el ATS 7491/2019, de 3 de julio (ECLI:ES:TS:2019:7491A), el Tribunal Supremo inadmitió los correspondientes recursos extraordinarios por infracción de ley y de casación, declarando firme la sentencia núm. 71/2017, de 22 de diciembre, del Juzgado de Violencia sobre la Mujer de San Sebastián.</w:t>
      </w:r>
    </w:p>
    <w:p w14:paraId="1F8B75D4" w14:textId="77777777" w:rsidR="003754FE" w:rsidRDefault="003754FE" w:rsidP="003754FE">
      <w:pPr>
        <w:pStyle w:val="TextoNormal"/>
      </w:pPr>
    </w:p>
    <w:p w14:paraId="1BC4E7AB" w14:textId="77777777" w:rsidR="003754FE" w:rsidRDefault="003754FE" w:rsidP="003754FE">
      <w:pPr>
        <w:pStyle w:val="TextoNormal"/>
      </w:pPr>
      <w:r>
        <w:t>En su recurso de casación, doña V.F.C., reclamó la exclusividad del ejercicio de la patria potestad y alegó el carácter gravemente perjudicial del régimen de comunicaciones y visitas del padre no custodio con la menor, aduciendo que no se habían tenido en cuenta “todos los medios de prueba ni incluso los datos para valorar en toda su inmensidad ‘la actividad delictiva del demandado’”.</w:t>
      </w:r>
    </w:p>
    <w:p w14:paraId="2E6C3AE9" w14:textId="77777777" w:rsidR="003754FE" w:rsidRDefault="003754FE" w:rsidP="003754FE">
      <w:pPr>
        <w:pStyle w:val="TextoNormal"/>
      </w:pPr>
    </w:p>
    <w:p w14:paraId="2BB1CD92" w14:textId="77777777" w:rsidR="003754FE" w:rsidRDefault="003754FE" w:rsidP="003754FE">
      <w:pPr>
        <w:pStyle w:val="TextoNormal"/>
      </w:pPr>
      <w:r>
        <w:t xml:space="preserve">El Tribunal Supremo inadmitió el referido recurso con fundamento en una apreciada “carencia manifiesta de fundamento” </w:t>
      </w:r>
      <w:r w:rsidRPr="003754FE">
        <w:rPr>
          <w:i/>
        </w:rPr>
        <w:t>ex</w:t>
      </w:r>
      <w:r>
        <w:t xml:space="preserve"> art. 483.2.4 de la Ley de enjuiciamiento civil. Para el alto tribunal, fue el interés superior de la menor el que presidió la sentencia recurrida de acuerdo con las circunstancias concurrentes que resultaron acreditadas. La inadmisión de la casación llevó además aparejada la del recurso extraordinario por infracción procesal, que se interpuso juntamente con el primero.</w:t>
      </w:r>
    </w:p>
    <w:p w14:paraId="23D1169F" w14:textId="77777777" w:rsidR="003754FE" w:rsidRDefault="003754FE" w:rsidP="003754FE">
      <w:pPr>
        <w:pStyle w:val="TextoNormal"/>
      </w:pPr>
    </w:p>
    <w:p w14:paraId="437DCEAD" w14:textId="77777777" w:rsidR="003754FE" w:rsidRDefault="003754FE" w:rsidP="003754FE">
      <w:pPr>
        <w:pStyle w:val="TextoNormal"/>
      </w:pPr>
      <w:r>
        <w:t>i) Habiéndose iniciado la fase D) del régimen de estancias y visitas, por providencia de 16 de octubre de 2019, el Juzgado de Violencia sobre la Mujer de San Sebastián acordó recabar informe del equipo psicosocial, que fue presentado el 25 de febrero de 2020.</w:t>
      </w:r>
    </w:p>
    <w:p w14:paraId="4CE7E1CE" w14:textId="77777777" w:rsidR="003754FE" w:rsidRDefault="003754FE" w:rsidP="003754FE">
      <w:pPr>
        <w:pStyle w:val="TextoNormal"/>
      </w:pPr>
    </w:p>
    <w:p w14:paraId="74711F7F" w14:textId="77777777" w:rsidR="003754FE" w:rsidRDefault="003754FE" w:rsidP="003754FE">
      <w:pPr>
        <w:pStyle w:val="TextoNormal"/>
      </w:pPr>
      <w:r>
        <w:t>Según el equipo psicosocial judicial, de conformidad con el informe del punto de encuentro familiar de 23 de enero de 2020, desde el mes de noviembre se habían programado ocho visitas, de las que solo se había realizado una, con fecha 11 de enero de 2020, habiéndose suspendido el resto a criterio educativo ante la negativa de la menor de acceder al encuentro. En cuanto al ejercicio de la coparentalidad, el informe subraya que doña V.F.C., verbalizó en la entrevista preocupación y desconfianza por los cuidados paternos hacia la menor en el contexto del proceso penal abierto contra don F.L.D.B., por presunta violencia de género. Y en lo referente a las valoraciones de los progenitores, una vez advertida la dificultad para obtener “información válida y fiable sobre la dinámica” (de la relación de pareja) dada la disparidad de versiones del relato, el equipo psicosocial infiere de su análisis la existencia de obstáculos evidentes para el ejercicio de la coparentalidad, “pudiéndose afirmar que la situación de conflicto, con un procedimiento penal abierto por presunta violencia de género, así como la actitud de desconfianza por parte de la madre, no facilitan una predisposición de la niña hacia el contacto con su padre”. Se concluye por ello la conveniencia de “continuar con el régimen establecido hasta que se consiga normalizar las estancias con el padre, antes de incorporar las pernoctas”, ya señalada por el informe del punto de encuentro familiar de 23 de octubre de 2019, así como el deber de “establecer medios para facilitar la aceptación por parte de la niña de dichas estancias, incluyendo si se viera necesario, la intervención socioeducativa”.</w:t>
      </w:r>
    </w:p>
    <w:p w14:paraId="4711A355" w14:textId="77777777" w:rsidR="003754FE" w:rsidRDefault="003754FE" w:rsidP="003754FE">
      <w:pPr>
        <w:pStyle w:val="TextoNormal"/>
      </w:pPr>
    </w:p>
    <w:p w14:paraId="572F5FE3" w14:textId="77777777" w:rsidR="003754FE" w:rsidRDefault="003754FE" w:rsidP="003754FE">
      <w:pPr>
        <w:pStyle w:val="TextoNormal"/>
      </w:pPr>
      <w:r>
        <w:lastRenderedPageBreak/>
        <w:t>j) Por auto de 2 de abril de 2020, el Juzgado de Violencia sobre la Mujer de San Sebastián fijó el mes de agosto de 2020 como fecha de inicio de la incorporación de las pernoctas en el régimen de estancias del padre con la menor a través de una serie de etapas que se extenderían hasta el mes de diciembre de ese mismo año, y acordó la realización de una intervención familiar socioeducativa por los servicios sociales del Ayuntamiento de San Sebastián.</w:t>
      </w:r>
    </w:p>
    <w:p w14:paraId="3E8A3D75" w14:textId="77777777" w:rsidR="003754FE" w:rsidRDefault="003754FE" w:rsidP="003754FE">
      <w:pPr>
        <w:pStyle w:val="TextoNormal"/>
      </w:pPr>
    </w:p>
    <w:p w14:paraId="4C8E6A0D" w14:textId="77777777" w:rsidR="003754FE" w:rsidRDefault="003754FE" w:rsidP="003754FE">
      <w:pPr>
        <w:pStyle w:val="TextoNormal"/>
      </w:pPr>
      <w:r>
        <w:t>Según la literalidad de la mencionada resolución, de conformidad con los informes tanto del punto de encuentro familiar como del equipo psicosocial judicial, el retraso en la ejecución del régimen de visitas advertido hasta el momento no se debía a causas imputables al padre, sino achacables al contexto de conflictividad entre los progenitores y sus respectivas familias. Para el juzgado, “la causa de la negativa de la menor a acceder en el punto de encuentro a las estancias con el padre durante los meses de noviembre, diciembre y parte de enero de 2020 no parece hallarse en modo alguno, ni en factores relacionados con la falta de habilidad o capacidad parental del padre, ni en un sentimiento de rechazo íntimo y real de la menor al padre, pareciendo hallarse, por el contrario, tal y como apunta el referido informe del equipo psicosocial judicial, en un contexto de conflictividad entre progenitores y respectivas familias y en la actitud de desconfianza de la madre y de la familia materna hacia el padre y su familia”. Contexto al que el auto atribuye la negativa de la menor a acceder a los encuentros con el progenitor no custodio en el punto de encuentro familiar entre noviembre de 2019 y enero de 2020. Esta conclusión estaría avalada, en opinión del juzgado, por el hecho de que la negativa de la menor a acceder al punto de encuentro familiar comenzó en un momento “cercano en el tiempo a aquel en que comenzaron a realizarse estancias con los abuelos paternos”, no apreciando así “razones o causas fundadas que desaconsejen una progresión en el régimen de estancias del padre con la hija ni, por ende, una introducción progresiva de las pernoctas”.</w:t>
      </w:r>
    </w:p>
    <w:p w14:paraId="7A0E42C3" w14:textId="77777777" w:rsidR="003754FE" w:rsidRDefault="003754FE" w:rsidP="003754FE">
      <w:pPr>
        <w:pStyle w:val="TextoNormal"/>
      </w:pPr>
    </w:p>
    <w:p w14:paraId="13EB6F38" w14:textId="77777777" w:rsidR="003754FE" w:rsidRDefault="003754FE" w:rsidP="003754FE">
      <w:pPr>
        <w:pStyle w:val="TextoNormal"/>
      </w:pPr>
      <w:r>
        <w:t xml:space="preserve">k) Contra el auto de 2 de abril de 2020, doña V.F.C., planteó recurso de reposición invocando la infracción del derecho a la tutela judicial efectiva </w:t>
      </w:r>
      <w:r w:rsidRPr="003754FE">
        <w:rPr>
          <w:i/>
        </w:rPr>
        <w:t>ex</w:t>
      </w:r>
      <w:r>
        <w:t xml:space="preserve"> art. 24 CE y el criterio del beneficio del meno</w:t>
      </w:r>
      <w:r w:rsidRPr="003754FE">
        <w:rPr>
          <w:i/>
        </w:rPr>
        <w:t xml:space="preserve">r </w:t>
      </w:r>
      <w:r>
        <w:t>ex art. 39 CE.</w:t>
      </w:r>
    </w:p>
    <w:p w14:paraId="587D126D" w14:textId="77777777" w:rsidR="003754FE" w:rsidRDefault="003754FE" w:rsidP="003754FE">
      <w:pPr>
        <w:pStyle w:val="TextoNormal"/>
      </w:pPr>
    </w:p>
    <w:p w14:paraId="466FE272" w14:textId="77777777" w:rsidR="003754FE" w:rsidRDefault="003754FE" w:rsidP="003754FE">
      <w:pPr>
        <w:pStyle w:val="TextoNormal"/>
      </w:pPr>
      <w:r>
        <w:t xml:space="preserve">En opinión de doña V.F.C., la resolución impugnada, en incumplimiento de la sentencia de divorcio de 22 de diciembre de 2017, no tuvo en cuenta las circunstancias concurrentes en el momento de decidirse la introducción de las pernoctas. Más concretamente, se alegó que con fecha 7 de noviembre de 2018 se había dictado un auto de transformación en procedimiento abreviado en las diligencias previas núm. 200-2017, en el que se acordaba seguir las diligencias contra el progenitor no custodio por un delito leve continuado de vejaciones injustas [arts. 173.4 y 174 del Código penal (CP)], un delito de maltrato no habitual (art. 153.1 CP) y cuatro delitos de maltrato no habitual (art. 153.1 y 3 CP), “todo ello en el ámbito de la violencia de género”, y se indicaba además que el informe emitido por la unidad de valoración forense apreciaba “elementos psicológicos de riesgo para la manifestación de conductas impulsivas ocasionales”. Se adujo también entonces por doña V.F.C., que la resolución impugnada tampoco había tenido en cuenta que la negativa de la menor a mantener los encuentros con el padre habría tenido lugar a partir de la ampliación del régimen de visitas para su desarrollo en la ciudad de residencia del padre (Vitoria), circunstancia objetivada, a entender de la recurrente, por los informes de la pediatra y de la psicóloga de la menor, recomendando esta última expresamente que las visitas se realizaran en el entorno de la menor y con una menor duración. Para doña V.F.C., el auto de 2 de abril de 2020 habría igualmente desconocido los informes del equipo psicosocial y del punto de encuentro </w:t>
      </w:r>
      <w:r>
        <w:lastRenderedPageBreak/>
        <w:t>familiar, que recomendaban la continuación con el régimen establecido de visitas antes de incorporar las pernoctas.</w:t>
      </w:r>
    </w:p>
    <w:p w14:paraId="699651A4" w14:textId="77777777" w:rsidR="003754FE" w:rsidRDefault="003754FE" w:rsidP="003754FE">
      <w:pPr>
        <w:pStyle w:val="TextoNormal"/>
      </w:pPr>
    </w:p>
    <w:p w14:paraId="57DB13D7" w14:textId="77777777" w:rsidR="003754FE" w:rsidRDefault="003754FE" w:rsidP="003754FE">
      <w:pPr>
        <w:pStyle w:val="TextoNormal"/>
      </w:pPr>
      <w:r>
        <w:t>l) El recurso de reposición fue desestimado por auto de 18 de junio de 2020 dictado por el Juzgado de Violencia sobre la Mujer de San Sebastián.</w:t>
      </w:r>
    </w:p>
    <w:p w14:paraId="12D3EE6C" w14:textId="77777777" w:rsidR="003754FE" w:rsidRDefault="003754FE" w:rsidP="003754FE">
      <w:pPr>
        <w:pStyle w:val="TextoNormal"/>
      </w:pPr>
    </w:p>
    <w:p w14:paraId="115DD9E6" w14:textId="77777777" w:rsidR="003754FE" w:rsidRDefault="003754FE" w:rsidP="003754FE">
      <w:pPr>
        <w:pStyle w:val="TextoNormal"/>
      </w:pPr>
      <w:r>
        <w:t>Según el juzgado, “tal y como se establece en el referido informe del equipo psicosocial, no se detectan en este caso ni factores de riesgo en el padre que desaconsejen la citada progresión, ni la existencia de ningún tipo de rechazo o temor en la menor”. Advierte asimismo que para dictar su resolución tomó en consideración “tanto el contenido y la información existente en el proceso penal que se sigue entre las partes, como los informes de la pediatra y de la psicóloga”. Más concretamente, en lo que al proceso penal se refiere, sin mención alguna al auto de transformación en procedimiento abreviado, el juzgado aduce la consideración de los informes de la unidad de valoración forense integral en los que se afirmaba que los posibles actos impulsivos ocasionales de don F.L.D.B., “no se concretan en el marco de una situación de desigualdad característica de la violencia de género”. Por su parte, en lo que a los informes de la pediatra y la psicóloga de la menor concierne, se arguye por el juzgado que los mismos “se emiten en un momento concreto que no se relaciona con las estancias de la menor con el padre, sino […] con la introducció</w:t>
      </w:r>
      <w:r w:rsidRPr="003754FE">
        <w:rPr>
          <w:i/>
        </w:rPr>
        <w:t>n ex no</w:t>
      </w:r>
      <w:r>
        <w:t>vo de unas estancias con la abuela paterna”.</w:t>
      </w:r>
    </w:p>
    <w:p w14:paraId="5111E693" w14:textId="77777777" w:rsidR="003754FE" w:rsidRDefault="003754FE" w:rsidP="003754FE">
      <w:pPr>
        <w:pStyle w:val="TextoNormal"/>
      </w:pPr>
    </w:p>
    <w:p w14:paraId="3F377EB5" w14:textId="77777777" w:rsidR="003754FE" w:rsidRDefault="003754FE" w:rsidP="003754FE">
      <w:pPr>
        <w:pStyle w:val="TextoNormal"/>
      </w:pPr>
      <w:r>
        <w:t>m) Contra el auto de 18 de junio de 2020, doña V.F.C., interpuso recurso de apelación por el que solicitó su anulación “acogiendo íntegramente el escrito de esta parte consistente en no ampliar el régimen actual de visitas, anulando el calendario que se contiene en dicho auto y posponiendo, en su caso, la ampliación al resultado de los informes de la intervención de los servicios sociales del ayuntamiento, todo ello en base al interés supremo de la menor”.</w:t>
      </w:r>
    </w:p>
    <w:p w14:paraId="016E1BF8" w14:textId="77777777" w:rsidR="003754FE" w:rsidRDefault="003754FE" w:rsidP="003754FE">
      <w:pPr>
        <w:pStyle w:val="TextoNormal"/>
      </w:pPr>
    </w:p>
    <w:p w14:paraId="0331AAD2" w14:textId="77777777" w:rsidR="003754FE" w:rsidRDefault="003754FE" w:rsidP="003754FE">
      <w:pPr>
        <w:pStyle w:val="TextoNormal"/>
      </w:pPr>
      <w:r>
        <w:t>Reiterando, en esencia, los argumentos esgrimidos en reposición, doña V.F.C., fundamentó su recurso en el desconocimiento por la resolución impugnada de las circunstancias concretas concurrentes en el momento de introducirse las pernoctas, a saber, la imputación del progenitor no custodio como presunto autor de seis delitos mediante auto de transformación en procedimiento abreviado, la inevitable conexión de dicha imputación con la constatación en la persona del padre de elementos psicológicos de riego de conductas compulsivas y la recomendación del punto de encuentro familiar y del equipo psicosocial judicial de continuar el régimen de visitas hasta la normalización de las estancias, antes de introducir las pernoctas.</w:t>
      </w:r>
    </w:p>
    <w:p w14:paraId="0B96C431" w14:textId="77777777" w:rsidR="003754FE" w:rsidRDefault="003754FE" w:rsidP="003754FE">
      <w:pPr>
        <w:pStyle w:val="TextoNormal"/>
      </w:pPr>
    </w:p>
    <w:p w14:paraId="3B12BC6E" w14:textId="77777777" w:rsidR="003754FE" w:rsidRDefault="003754FE" w:rsidP="003754FE">
      <w:pPr>
        <w:pStyle w:val="TextoNormal"/>
      </w:pPr>
      <w:r>
        <w:t xml:space="preserve">En el escrito de interposición del recurso de apelación, doña V.F.C., solicitó la incorporación como medio de prueba de los informes psiquiátricos del padre obrantes en autos, y ello por entender que, al estar acreditadas, al menos de forma indiciaria, las agresiones, y al haber estado ingresado por motivos psiquiátricos, el progenitor no custodio debía haber sido examinado por un psiquiatra forense, habiendo sido únicamente evaluado por la psicóloga del juzgado. Se recuerdan, a estos efectos, agresiones presuntamente sufridas por la madre custodia cuando se encontraba en estado de gestación y un episodio violento que, en opinión de la recurrente, puso en riesgo la integridad física de la menor cuando esta contaba tan solo con cuatro días de vida. Hechos de los que se dejó constancia en la demanda y que reprodujo la sentencia de divorcio. Así mismo, en respuesta a la referida disociación entre los “actos impulsivos ocasionales” y “una situación de desigualdad característica de la violencia de </w:t>
      </w:r>
      <w:r>
        <w:lastRenderedPageBreak/>
        <w:t>género”, doña V.F.C., interesó la incorporación tanto del informe emitido por su psiquiatra, de fecha 26 de octubre de 2018, en el que se concluía que había sido víctima de violencia de género, como del escrito de acusación del Ministerio Fiscal y de los informes psicosociales emitidos en el procedimiento relativos a la relación de dependencia entre el padre no custodio y la abuela paterna. En opinión de la recurrente, el auto impugnado banalizó la conducta de don F.L.D.B., que iba a ser juzgada penalmente, en un contexto en el que tendría que haber prevalecido “el criterio del beneficio del menor proclamado en los arts. 92 y 94 CC, en consonancia con el art. 39 de la Constitución Española y la Declaración de derechos del niño”, para evitar cualquier riesgo para la menor.</w:t>
      </w:r>
    </w:p>
    <w:p w14:paraId="4B90F485" w14:textId="77777777" w:rsidR="003754FE" w:rsidRDefault="003754FE" w:rsidP="003754FE">
      <w:pPr>
        <w:pStyle w:val="TextoNormal"/>
      </w:pPr>
    </w:p>
    <w:p w14:paraId="73217B81" w14:textId="77777777" w:rsidR="003754FE" w:rsidRDefault="003754FE" w:rsidP="003754FE">
      <w:pPr>
        <w:pStyle w:val="TextoNormal"/>
      </w:pPr>
      <w:r>
        <w:t>La admisión de las pruebas fue denegada por auto de la Audiencia Provincial de Gipuzkoa de fecha 6 de mayo de 2021, por considerar que dichos medios no eran necesarios para el fallo, resolución frente a la que doña V.F.C., interpuso recurso de reposición desestimado con fundamento en la siguiente argumentación: “La prueba documental que la parte recurrente solicita, no se considera por esta sala fundamental para resolver las cuestiones que se intentan dirimir en el presente procedimiento (puesto que en algún momento llegaremos, esperemos, realmente a poder dirimir el fondo de la cuestión), puesto que ya se considera suficiente para la resolución del recurso de apelación interpuesto, las diligencias practicadas y las pruebas admitidas”.</w:t>
      </w:r>
    </w:p>
    <w:p w14:paraId="232EC13D" w14:textId="77777777" w:rsidR="003754FE" w:rsidRDefault="003754FE" w:rsidP="003754FE">
      <w:pPr>
        <w:pStyle w:val="TextoNormal"/>
      </w:pPr>
    </w:p>
    <w:p w14:paraId="3C225AAB" w14:textId="77777777" w:rsidR="003754FE" w:rsidRDefault="003754FE" w:rsidP="003754FE">
      <w:pPr>
        <w:pStyle w:val="TextoNormal"/>
      </w:pPr>
      <w:r>
        <w:t>Desestimado el recurso de reposición por auto de la Audiencia Provincial de Gipuzkoa de fecha 3 de junio de 2021, el recurso de apelación fue finalmente desestimado por auto de la Sección Segunda de la misma Audiencia Provincial núm. 147/2021, de 15 de octubre.</w:t>
      </w:r>
    </w:p>
    <w:p w14:paraId="64FCEB86" w14:textId="77777777" w:rsidR="003754FE" w:rsidRDefault="003754FE" w:rsidP="003754FE">
      <w:pPr>
        <w:pStyle w:val="TextoNormal"/>
      </w:pPr>
    </w:p>
    <w:p w14:paraId="6497100D" w14:textId="77777777" w:rsidR="003754FE" w:rsidRDefault="003754FE" w:rsidP="003754FE">
      <w:pPr>
        <w:pStyle w:val="TextoNormal"/>
      </w:pPr>
      <w:r>
        <w:t>Una vez transcritas las conclusiones del informe del equipo psicosocial de 25 de febrero de 2020 relativas a la conveniencia de continuar con el régimen de visitas y a la posibilidad de una intervención socioeducativa de cara a dotar a ambos progenitores de habilidades para el ejercicio de la coparentalidad, y resumido el contenido del auto impugnado en cuanto a la conexión entre la negativa de la menor a acceder al punto de encuentro familiar y el contexto de conflictividad familiar y la actitud de desconfianza de la madre y su familia frente al padre y la suya, la Audiencia desestimó la apelación con fundamento en la inexistencia de una resolución firme en el proceso penal contra el padre no custodio y en el cumplimiento por el auto recurrido de la sentencia de divorcio al incorporar las pernoctas.</w:t>
      </w:r>
    </w:p>
    <w:p w14:paraId="1624503C" w14:textId="77777777" w:rsidR="003754FE" w:rsidRDefault="003754FE" w:rsidP="003754FE">
      <w:pPr>
        <w:pStyle w:val="TextoNormal"/>
      </w:pPr>
    </w:p>
    <w:p w14:paraId="74B9C6C6" w14:textId="122BDCE7" w:rsidR="003754FE" w:rsidRDefault="003754FE" w:rsidP="003754FE">
      <w:pPr>
        <w:pStyle w:val="TextoNormal"/>
      </w:pPr>
      <w:r>
        <w:t xml:space="preserve">n) Habiéndose dictado el auto de apertura del juicio oral contra don F.L.D.B., el 7 de octubre de 2019, el Juzgado de lo Penal núm. 2 de San Sebastián dictó sentencia núm. 28/2022, de 21 de enero, por la que se condenó al acusado como autor responsable de un delito de maltrato no habitual del art. 153.1 CP, dos delitos de maltrato no habitual del art. 153.1 y 3 CP, un delito leve continuado de vejaciones injustas del art. 173.4 CP, siendo absuelto de dos delitos de maltrato no habitual del art. 153.1 y 3, y de un delito de maltrato habitual del art. 173.2 CP. Doña V.F.C., recurrió la referida sentencia por entender que el delito leve de vejaciones por el que se condenó al encausado integraba un delito de maltrato psíquico habitual </w:t>
      </w:r>
      <w:r w:rsidRPr="003754FE">
        <w:rPr>
          <w:i/>
        </w:rPr>
        <w:t>ex</w:t>
      </w:r>
      <w:r>
        <w:t xml:space="preserve"> art. 173.2 CP. El recurso fue desestimado por la sentencia núm. 245/2022, de 8 de noviembre, de la Sección Tercera de la Audiencia Provincial de Gipuzkoa.</w:t>
      </w:r>
    </w:p>
    <w:p w14:paraId="4AC3C226" w14:textId="77777777" w:rsidR="003754FE" w:rsidRDefault="003754FE" w:rsidP="003754FE">
      <w:pPr>
        <w:pStyle w:val="TextoNormal"/>
      </w:pPr>
    </w:p>
    <w:p w14:paraId="478A5165" w14:textId="77777777" w:rsidR="003754FE" w:rsidRDefault="003754FE" w:rsidP="003754FE">
      <w:pPr>
        <w:pStyle w:val="TextoNormal"/>
      </w:pPr>
      <w:r w:rsidRPr="003754FE">
        <w:rPr>
          <w:rStyle w:val="NumeroAFNegritaCaracter"/>
        </w:rPr>
        <w:t>3</w:t>
      </w:r>
      <w:r>
        <w:t xml:space="preserve">. La recurrente en amparo considera que las resoluciones dictadas en primera instancia y apelación, que incorporaron las pernoctas en el régimen de estancias de su hija menor con </w:t>
      </w:r>
      <w:r>
        <w:lastRenderedPageBreak/>
        <w:t xml:space="preserve">don F.L.D.B., y de las que trae causa el amparo que aquí se resuelve, vulneraron su derecho fundamental a la tutela judicial efectiva </w:t>
      </w:r>
      <w:r w:rsidRPr="003754FE">
        <w:rPr>
          <w:i/>
        </w:rPr>
        <w:t>ex</w:t>
      </w:r>
      <w:r>
        <w:t xml:space="preserve"> art. 24 CE.</w:t>
      </w:r>
    </w:p>
    <w:p w14:paraId="5334626C" w14:textId="77777777" w:rsidR="003754FE" w:rsidRDefault="003754FE" w:rsidP="003754FE">
      <w:pPr>
        <w:pStyle w:val="TextoNormal"/>
      </w:pPr>
    </w:p>
    <w:p w14:paraId="07991322" w14:textId="77777777" w:rsidR="003754FE" w:rsidRDefault="003754FE" w:rsidP="003754FE">
      <w:pPr>
        <w:pStyle w:val="TextoNormal"/>
      </w:pPr>
      <w:r>
        <w:t>La argumentación de la ahora demandante de amparo parte del hecho de que en el momento de dictarse el fallo en apelación ya se encontraba vigente la nueva redacción del art. 94 CC, dada por la Ley 8/2021, de 2 de junio, por la que se reforma la legislación civil y procesal para el apoyo a las personas con discapacidad en el ejercicio de su capacidad jurídica (en adelante, Ley 8/2021, de 2 de junio), en virtud de la cual no procede o, en su caso, habrá de suspenderse, el régimen de visitas respecto del progenitor que se encuentre incurso en un proceso penal iniciado por atentar contra la vida, la integridad física, la libertad, la integridad moral o la libertad e indemnidad sexual del otro cónyuge o sus hijos. Considera por ello doña V.F.C., que, incurriendo las resoluciones del Juzgado de Violencia sobre la Mujer de San Sebastián en arbitrariedad e irrazonabilidad por apartarse de las recomendaciones de los técnicos de no incorporar las pernoctas en el régimen de visitas, el auto de la Audiencia Provincial de Gipuzkoa núm. 147/2021, de 15 de octubre, chocaría además frontalmente con la nueva dicción del mencionado precepto legal. Se alude, a este respecto, a una presunta vulneración del art. 25 CE que, como se concretará después, debe obviarse en esta sentencia por carecer de fundamentación jurídica alguna que la sustente.</w:t>
      </w:r>
    </w:p>
    <w:p w14:paraId="3C77DB21" w14:textId="77777777" w:rsidR="003754FE" w:rsidRDefault="003754FE" w:rsidP="003754FE">
      <w:pPr>
        <w:pStyle w:val="TextoNormal"/>
      </w:pPr>
    </w:p>
    <w:p w14:paraId="293ABF12" w14:textId="210CC6A5" w:rsidR="003754FE" w:rsidRDefault="003754FE" w:rsidP="003754FE">
      <w:pPr>
        <w:pStyle w:val="TextoNormal"/>
      </w:pPr>
      <w:r>
        <w:t xml:space="preserve">Por otra parte, aduce también la demandante de amparo la contravención por la Audiencia Provincial de Gipuzkoa del derecho a utilizar todos los medios de prueba pertinentes </w:t>
      </w:r>
      <w:r w:rsidRPr="003754FE">
        <w:rPr>
          <w:i/>
        </w:rPr>
        <w:t>ex</w:t>
      </w:r>
      <w:r>
        <w:t xml:space="preserve"> art. 24.2 CE con motivo de la inadmisión de los informes psiquiátricos del padre de la menor que obraban en los autos principales del divorcio cuando los mismos, arguye doña V.F.C., sirvieron como fundamento para la resolución de la apelación al ser utilizados para concluir la inexistencia de indicadores de psicopatologías o limitaciones cognitivas del progenitor no custodio.</w:t>
      </w:r>
    </w:p>
    <w:p w14:paraId="243DC555" w14:textId="77777777" w:rsidR="003754FE" w:rsidRDefault="003754FE" w:rsidP="003754FE">
      <w:pPr>
        <w:pStyle w:val="TextoNormal"/>
      </w:pPr>
    </w:p>
    <w:p w14:paraId="009BA916" w14:textId="77777777" w:rsidR="003754FE" w:rsidRDefault="003754FE" w:rsidP="003754FE">
      <w:pPr>
        <w:pStyle w:val="TextoNormal"/>
      </w:pPr>
      <w:r w:rsidRPr="003754FE">
        <w:rPr>
          <w:rStyle w:val="NumeroAFNegritaCaracter"/>
        </w:rPr>
        <w:t>4</w:t>
      </w:r>
      <w:r>
        <w:t>. Mediante providencia de 14 de noviembre de 2022, la Sección Primera del Tribunal Constitucional acordó admitir a trámite el recurso de amparo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14:paraId="4DC7D5A0" w14:textId="77777777" w:rsidR="003754FE" w:rsidRDefault="003754FE" w:rsidP="003754FE">
      <w:pPr>
        <w:pStyle w:val="TextoNormal"/>
      </w:pPr>
    </w:p>
    <w:p w14:paraId="49246C78" w14:textId="0BB6DCFC" w:rsidR="003754FE" w:rsidRDefault="003754FE" w:rsidP="003754FE">
      <w:pPr>
        <w:pStyle w:val="TextoNormal"/>
      </w:pPr>
      <w:r>
        <w:t>En aplicación de lo dispuesto en el art. 51 LOTC, constando ya remitidas las actuaciones por la Sección Segunda de la Audiencia Provincial de Gipuzkoa, correspondientes al recurso de apelación núm. 21184-2020 y por el Juzgado de Violencia sobre la Mujer núm. 1 de San Sebastián, divorcio contencioso núm. 53-2017, se acordó remitir atento oficio a este último órgano jurisdiccional a fin de que procediera a emplazar a quienes hubieran sido parte en el procedimiento, excepto la parte recurrente en amparo, para que en el plazo de diez días pudieran comparecer, si lo deseaban, en el recurso de amparo.</w:t>
      </w:r>
    </w:p>
    <w:p w14:paraId="4EE3C7AE" w14:textId="77777777" w:rsidR="003754FE" w:rsidRDefault="003754FE" w:rsidP="003754FE">
      <w:pPr>
        <w:pStyle w:val="TextoNormal"/>
      </w:pPr>
    </w:p>
    <w:p w14:paraId="56A9BF40" w14:textId="7F836532" w:rsidR="003754FE" w:rsidRDefault="003754FE" w:rsidP="003754FE">
      <w:pPr>
        <w:pStyle w:val="TextoNormal"/>
      </w:pPr>
      <w:r w:rsidRPr="003754FE">
        <w:rPr>
          <w:rStyle w:val="NumeroAFNegritaCaracter"/>
        </w:rPr>
        <w:t>5</w:t>
      </w:r>
      <w:r>
        <w:t>. Mediante diligencia de ordenación del secretario de justicia de la Sala Primera del Tribunal Constitucional de 2 de enero de 2023, se acordó tener por personado y parte en el procedimiento al procurador de los tribunales don Manuel Díaz Alfonso, en nombre y representación de don F.L.D.B., y dar vista de las actuaciones recibidas a las partes personadas y al Ministerio Fiscal por plazo común de veinte días, dentro de los cuales podrían presentar las alegaciones que estimasen pertinentes, conforme determina el art. 52.1 LOTC.</w:t>
      </w:r>
    </w:p>
    <w:p w14:paraId="76A5BEC6" w14:textId="77777777" w:rsidR="003754FE" w:rsidRDefault="003754FE" w:rsidP="003754FE">
      <w:pPr>
        <w:pStyle w:val="TextoNormal"/>
      </w:pPr>
    </w:p>
    <w:p w14:paraId="13077C31" w14:textId="6922914C" w:rsidR="003754FE" w:rsidRDefault="003754FE" w:rsidP="003754FE">
      <w:pPr>
        <w:pStyle w:val="TextoNormal"/>
      </w:pPr>
      <w:r w:rsidRPr="003754FE">
        <w:rPr>
          <w:rStyle w:val="NumeroAFNegritaCaracter"/>
        </w:rPr>
        <w:t>6</w:t>
      </w:r>
      <w:r>
        <w:t>. Mediante diligencia de ordenación del secretario de justicia de la Sala Segunda del Tribunal Constitucional de 19 de enero de 2023, y en virtud de lo acordado por el Pleno del Tribunal Constitucional del día 17 de enero de 2023, publicado en el “Boletín Oficial del Estado” de 19 de enero del mismo año, el presente recurso de amparo fue turnado a la Sala Segunda del Tribunal Constitucional, lo que se puso en conocimiento de las partes y del Ministerio Fiscal a los efectos oportunos.</w:t>
      </w:r>
    </w:p>
    <w:p w14:paraId="4CBDA8DA" w14:textId="77777777" w:rsidR="003754FE" w:rsidRDefault="003754FE" w:rsidP="003754FE">
      <w:pPr>
        <w:pStyle w:val="TextoNormal"/>
      </w:pPr>
    </w:p>
    <w:p w14:paraId="5D37820E" w14:textId="007A3E1F" w:rsidR="003754FE" w:rsidRDefault="003754FE" w:rsidP="003754FE">
      <w:pPr>
        <w:pStyle w:val="TextoNormal"/>
      </w:pPr>
      <w:r w:rsidRPr="003754FE">
        <w:rPr>
          <w:rStyle w:val="NumeroAFNegritaCaracter"/>
        </w:rPr>
        <w:t>7</w:t>
      </w:r>
      <w:r>
        <w:t xml:space="preserve">. Por escrito registrado con fecha 7 de febrero de 2023, don F.L.D.B., manifestó su conformidad con todas las resoluciones recurridas, solicitando su íntegra confirmación por ser ajustadas a derecho. Alega que la letrada de doña V.F.C., es su madre y que, a su juicio, esta ha hecho un ejercicio totalmente abusivo del derecho a la tutela judicial efectiva, advirtiendo que la recurrente no ha cumplido ni un solo día del régimen de visitas desde el 17 de febrero de 2020, fecha en que vio a su hija por última vez con motivo de las entrevistas llevadas a cabo por el equipo psicosocial judicial adscrito al juzgado. Además, tras aducir falta de agotamiento de la vía judicial previa (aunque sin identificar ni la lesión respecto de la que se aprecia tal óbice procesal, ni la vía a la que tendría que haberse acudido para evitarlo), la representación procesal de don F.L.D.B., alega que no puede considerarse infringido el art. 94 CC en su nueva redacción dada por la Ley 8/2021, de 2 de junio, en cuanto, de conformidad con la STC 106/2022, de 13 de septiembre, dicho precepto no priva de forma automática al progenitor no custodio del régimen de visitas o estancias, sino que solo atribuye a la autoridad judicial la decisión sobre su establecimiento o no, incluso en los supuestos en los que esté incurso en un proceso penal. Así mismo, se arguye por esta parte la futilidad, impertinencia y el carácter innecesario para el fallo de los medios de prueba cuya incorporación fue interesada por la recurrente de amparo, no apreciando por ello vulneración alguna de su derecho a la defensa </w:t>
      </w:r>
      <w:r w:rsidRPr="003754FE">
        <w:rPr>
          <w:i/>
        </w:rPr>
        <w:t>ex</w:t>
      </w:r>
      <w:r>
        <w:t xml:space="preserve"> art. 24.2 CE.</w:t>
      </w:r>
    </w:p>
    <w:p w14:paraId="62DCC623" w14:textId="77777777" w:rsidR="003754FE" w:rsidRDefault="003754FE" w:rsidP="003754FE">
      <w:pPr>
        <w:pStyle w:val="TextoNormal"/>
      </w:pPr>
    </w:p>
    <w:p w14:paraId="7A036DA6" w14:textId="06F03DA3" w:rsidR="003754FE" w:rsidRDefault="003754FE" w:rsidP="003754FE">
      <w:pPr>
        <w:pStyle w:val="TextoNormal"/>
      </w:pPr>
      <w:r w:rsidRPr="003754FE">
        <w:rPr>
          <w:rStyle w:val="NumeroAFNegritaCaracter"/>
        </w:rPr>
        <w:t>8</w:t>
      </w:r>
      <w:r>
        <w:t>. Por escrito presentado en el registro de este tribunal el 15 de febrero de 2023, la procuradora de los tribunales de la recurrente en amparo aportó para su unión a autos la sentencia testimoniada dictada por el Juzgado de lo Penal núm. 2 de San Sebastián por la que se condenó a don F.L.D.B., por tres delitos de maltrato no habitual y un delito leve de vejaciones injustas. Igualmente, se aportó la sentencia núm. 245/2022, de 8 de noviembre, dictada por la Sección Tercera de la Audiencia Provincial de Gipuzkoa, que desestimó el recurso de apelación interpuesto por la demandante contra la sentencia dictada por el Juzgado de lo Penal núm. 2 de San Sebastián.</w:t>
      </w:r>
    </w:p>
    <w:p w14:paraId="4F2664CA" w14:textId="77777777" w:rsidR="003754FE" w:rsidRDefault="003754FE" w:rsidP="003754FE">
      <w:pPr>
        <w:pStyle w:val="TextoNormal"/>
      </w:pPr>
    </w:p>
    <w:p w14:paraId="21AE2728" w14:textId="77777777" w:rsidR="003754FE" w:rsidRDefault="003754FE" w:rsidP="003754FE">
      <w:pPr>
        <w:pStyle w:val="TextoNormal"/>
      </w:pPr>
      <w:r w:rsidRPr="003754FE">
        <w:rPr>
          <w:rStyle w:val="NumeroAFNegritaCaracter"/>
        </w:rPr>
        <w:t>9</w:t>
      </w:r>
      <w:r>
        <w:t>. Por escrito registrado ante el Tribunal Constitucional el 1 de marzo de 2023, la fiscal interesó: (i) Estimación parcial del amparo en relación con la falta de motivación del auto de fecha 15 de octubre de 2021 de la Audiencia Provincial de Gipuzkoa y desestimación del resto de los motivos. (ii) Reconocer que se ha vulnerado su derecho fundamental a la tutela judicial efectiva (art. 24.1 CE) desde la perspectiva de obtener una resolución motivada y fundada en Derecho.</w:t>
      </w:r>
    </w:p>
    <w:p w14:paraId="597CF157" w14:textId="77777777" w:rsidR="003754FE" w:rsidRDefault="003754FE" w:rsidP="003754FE">
      <w:pPr>
        <w:pStyle w:val="TextoNormal"/>
      </w:pPr>
    </w:p>
    <w:p w14:paraId="0D85FE02" w14:textId="77777777" w:rsidR="003754FE" w:rsidRDefault="003754FE" w:rsidP="003754FE">
      <w:pPr>
        <w:pStyle w:val="TextoNormal"/>
      </w:pPr>
      <w:r>
        <w:t xml:space="preserve">El Ministerio Fiscal, recordando la posible reconsideración por este tribunal, una vez admitida a trámite la demanda, de los presupuestos procesales que determinan la viabilidad del recurso de amparo, recuerda que el primero de los requisitos exigidos por el art. 44 LOTC es el agotamiento de la vía judicial previa. Requisito que, a entender de la Fiscalía, </w:t>
      </w:r>
      <w:r>
        <w:lastRenderedPageBreak/>
        <w:t>habría sido incumplido por la demandante de amparo en lo que respecta a la queja relativa a la inaplicación, por el auto núm. 147/2021 de la Audiencia Provincial de Gipuzkoa, del art. 94 CC en su redacción dada por la Ley 8/2021, de 2 de junio.</w:t>
      </w:r>
    </w:p>
    <w:p w14:paraId="69938A0B" w14:textId="77777777" w:rsidR="003754FE" w:rsidRDefault="003754FE" w:rsidP="003754FE">
      <w:pPr>
        <w:pStyle w:val="TextoNormal"/>
      </w:pPr>
    </w:p>
    <w:p w14:paraId="3C286252" w14:textId="77777777" w:rsidR="003754FE" w:rsidRDefault="003754FE" w:rsidP="003754FE">
      <w:pPr>
        <w:pStyle w:val="TextoNormal"/>
      </w:pPr>
      <w:r>
        <w:t xml:space="preserve">Advirtiendo, acertadamente, la confusión en la que incurre la representación procesal de doña V.F.C., al referirse a la Ley Orgánica 8/2021, de 4 de junio, de protección integral a la infancia y la adolescencia frente a la violencia, en vez de a la mencionada Ley 8/2021, de 2 de junio, el Ministerio Fiscal considera que la ahora demandante de amparo debería haber acudido al incidente de nulidad de actuaciones </w:t>
      </w:r>
      <w:r w:rsidRPr="003754FE">
        <w:rPr>
          <w:i/>
        </w:rPr>
        <w:t>ex</w:t>
      </w:r>
      <w:r>
        <w:t xml:space="preserve"> art. 241 de la Ley Orgánica del Poder Judicial para dar oportunidad a la Audiencia Provincial de Gipuzkoa a pronunciarse sobre lo que considera una vulneración de derechos autónoma respecto de las demás imputadas a las resoluciones impugnadas. Consecuentemente con lo anterior, para la Fiscalía, el amparo debiera inadmitirse en lo que a las alegaciones relativas a la inaplicación del art. 94 CC respecta, pues si la presunta vulneración de derechos se imputa al auto dictado en apelación, su denuncia hubiera procedido por la vía del incidente de nulidad, mientras que si la demandante consideraba que la vulneración tuvo origen en las resoluciones precedentes, entonces se tendría que haber invocado en el momento procesal oportuno, no pudiéndose deducir dicha invocación del debate en la vía judicial ordinaria.</w:t>
      </w:r>
    </w:p>
    <w:p w14:paraId="562ED630" w14:textId="77777777" w:rsidR="003754FE" w:rsidRDefault="003754FE" w:rsidP="003754FE">
      <w:pPr>
        <w:pStyle w:val="TextoNormal"/>
      </w:pPr>
    </w:p>
    <w:p w14:paraId="78BF89F9" w14:textId="34217BE9" w:rsidR="003754FE" w:rsidRDefault="003754FE" w:rsidP="003754FE">
      <w:pPr>
        <w:pStyle w:val="TextoNormal"/>
      </w:pPr>
      <w:r>
        <w:t>No obstante lo anterior, para el caso de que este tribunal no apreciara el óbice procesal aducido, la Fiscalía advierte que en el momento de dictarse el auto que resolvió el recurso de apelación ya estaba en vigor la Ley 8/2021, de 2 de junio, no entendiéndose por ello que la Audiencia Provincial de Gipuzkoa no aplicara el art. 94 CC, en vez de la Ley del Parlamento Vasco 7/2015. Se interesa así que, en caso de no apreciar la falta de agotamiento de la vía judicial previa, se estime la vulneración del art. 24.1 CE por el auto dictado en apelación, al no haber explicado este la aplicación de la Ley del Parlamento Vasco 7/2015 y la incorporación de las pernoctas.</w:t>
      </w:r>
    </w:p>
    <w:p w14:paraId="7D1D540D" w14:textId="77777777" w:rsidR="003754FE" w:rsidRDefault="003754FE" w:rsidP="003754FE">
      <w:pPr>
        <w:pStyle w:val="TextoNormal"/>
      </w:pPr>
    </w:p>
    <w:p w14:paraId="38080316" w14:textId="266B41DA" w:rsidR="003754FE" w:rsidRDefault="003754FE" w:rsidP="003754FE">
      <w:pPr>
        <w:pStyle w:val="TextoNormal"/>
      </w:pPr>
      <w:r w:rsidRPr="003754FE">
        <w:rPr>
          <w:rStyle w:val="NumeroAFNegritaCaracter"/>
        </w:rPr>
        <w:t>10</w:t>
      </w:r>
      <w:r>
        <w:t>. Por providencia de 28 de noviembre de 2024 se señaló para deliberación y votación de la presente sentencia el día 2 de diciembre del mismo año.</w:t>
      </w:r>
    </w:p>
    <w:p w14:paraId="144947CA" w14:textId="77777777" w:rsidR="003754FE" w:rsidRDefault="003754FE" w:rsidP="003754FE">
      <w:pPr>
        <w:pStyle w:val="TextoNormal"/>
      </w:pPr>
    </w:p>
    <w:p w14:paraId="1AD05366" w14:textId="77777777" w:rsidR="003754FE" w:rsidRDefault="003754FE" w:rsidP="003754FE">
      <w:pPr>
        <w:pStyle w:val="TextoNormalNegritaCentrado"/>
        <w:keepNext/>
      </w:pPr>
      <w:r>
        <w:t>II. Fundamentos jurídicos</w:t>
      </w:r>
    </w:p>
    <w:p w14:paraId="5C930950" w14:textId="0FD934EE" w:rsidR="003754FE" w:rsidRDefault="003754FE" w:rsidP="003754FE">
      <w:pPr>
        <w:pStyle w:val="TextoNormalNegritaCentrado"/>
        <w:keepNext/>
      </w:pPr>
    </w:p>
    <w:p w14:paraId="074F5CAD" w14:textId="77777777" w:rsidR="003754FE" w:rsidRDefault="003754FE" w:rsidP="003754FE">
      <w:pPr>
        <w:pStyle w:val="TextoNormal"/>
      </w:pPr>
      <w:r w:rsidRPr="003754FE">
        <w:rPr>
          <w:rStyle w:val="NumeroAFNegritaCaracter"/>
        </w:rPr>
        <w:t>1</w:t>
      </w:r>
      <w:r>
        <w:t xml:space="preserve">. </w:t>
      </w:r>
      <w:r w:rsidRPr="003754FE">
        <w:rPr>
          <w:i/>
        </w:rPr>
        <w:t>Objeto del recurso de amparo y pretensiones de las partes</w:t>
      </w:r>
    </w:p>
    <w:p w14:paraId="2BA3E342" w14:textId="77777777" w:rsidR="003754FE" w:rsidRDefault="003754FE" w:rsidP="003754FE">
      <w:pPr>
        <w:pStyle w:val="TextoNormal"/>
      </w:pPr>
    </w:p>
    <w:p w14:paraId="05FE57DA" w14:textId="77777777" w:rsidR="003754FE" w:rsidRDefault="003754FE" w:rsidP="003754FE">
      <w:pPr>
        <w:pStyle w:val="TextoNormal"/>
      </w:pPr>
      <w:r>
        <w:t>El presente recurso de amparo se interpone contra los autos de 2 de abril y de 18 de junio de 2020 del Juzgado de Violencia sobre la Mujer de San Sebastián y contra el auto núm. 147/2021, de 15 de octubre, de la Audiencia Provincial de Gipuzkoa, dictados todos ellos en el procedimiento de divorcio contencioso núm. 53-2017, por los que se introdujeron las pernoctas en el régimen de estancias de la hija menor de edad de doña V.F.C., ahora demandante de amparo, y don F.L.D.B. Simultáneamente, se interpone también contra el auto de 6 de mayo de 2021 de la Audiencia Provincial de Gipuzkoa que inadmitió los medios de prueba solicitados por doña V.F.C., en el contexto de su recurso de apelación.</w:t>
      </w:r>
    </w:p>
    <w:p w14:paraId="1C51D856" w14:textId="77777777" w:rsidR="003754FE" w:rsidRDefault="003754FE" w:rsidP="003754FE">
      <w:pPr>
        <w:pStyle w:val="TextoNormal"/>
      </w:pPr>
    </w:p>
    <w:p w14:paraId="41EFC7BE" w14:textId="77777777" w:rsidR="003754FE" w:rsidRDefault="003754FE" w:rsidP="003754FE">
      <w:pPr>
        <w:pStyle w:val="TextoNormal"/>
      </w:pPr>
      <w:r>
        <w:t xml:space="preserve">Como se ha expuesto con detalle en los antecedentes de esta sentencia, la demandante en amparo alega, por un lado, la vulneración del art. 24.1 CE por las resoluciones dictadas por el Juzgado de Violencia sobre la Mujer de San Sebastián que introdujeron las pernoctas de </w:t>
      </w:r>
      <w:r>
        <w:lastRenderedPageBreak/>
        <w:t xml:space="preserve">la menor con el progenitor no custodio. En su opinión, las resoluciones de instancia, al apartarse de los informes obrantes en autos, que recomendaban la progresión en el régimen de visitas evitando la incorporación de las pernoctas hasta que se hubieran normalizado las estancias de la menor con el padre, son irrazonables y arbitrarias. Irrazonabilidad y arbitrariedad en las que habría igualmente incurrido el auto dictado en apelación por la Audiencia Provincial de Gipuzkoa que, al haber desconocido la nueva redacción dada al art. 94 CC por la Ley 8/2021, de 2 de junio, en virtud de la cual no procede o, en su caso, habrá de suspenderse, el régimen de visitas respecto del progenitor que se encuentre incurso en un proceso penal por violencia de género, vulneraría no solo el art. 24.1 CE, sino también el art. 25 CE. Por otro lado, doña V.F.C., alega que se habría igualmente vulnerado su derecho a utilizar los medios de prueba pertinentes para su defensa </w:t>
      </w:r>
      <w:r w:rsidRPr="003754FE">
        <w:rPr>
          <w:i/>
        </w:rPr>
        <w:t>ex</w:t>
      </w:r>
      <w:r>
        <w:t xml:space="preserve"> art. 24.2 CE al inadmitir la misma Audiencia Provincial, por auto de 6 de mayo de 2021, los informes psiquiátricos sobre el padre de la menor que obraban en los autos principales del divorcio y que fueron utilizados como argumento en la apelación para descartar la existencia de psicopatologías y limitaciones cognitivas de don F.L.D.B.</w:t>
      </w:r>
    </w:p>
    <w:p w14:paraId="5E1829A3" w14:textId="77777777" w:rsidR="003754FE" w:rsidRDefault="003754FE" w:rsidP="003754FE">
      <w:pPr>
        <w:pStyle w:val="TextoNormal"/>
      </w:pPr>
    </w:p>
    <w:p w14:paraId="70A02EFA" w14:textId="77777777" w:rsidR="003754FE" w:rsidRDefault="003754FE" w:rsidP="003754FE">
      <w:pPr>
        <w:pStyle w:val="TextoNormal"/>
      </w:pPr>
      <w:r>
        <w:t>Por su parte, la representación procesal de don F.L.D.B., aduce que no se ha vulnerado ninguno de los derechos invocados. Arguye en este sentido que la demandante de amparo está haciendo un uso abusivo del derecho a la tutela judicial efectiva; que no se han agotado todos los medios impugnatorios disponibles en la vía judicial ordinaria; que de conformidad con la STC 106/2022, el no establecimiento o la suspensión del régimen de visitas previstos en el art. 94 CC, en su redacción dada por la Ley 8/2021, de 2 de junio, no es automático sino decisión del juez competente; y que los medios de prueba propuestos por la demandante de amparo no eran determinantes para la decisión sobre la incorporación de las pernoctas en el régimen de visitas y estancias.</w:t>
      </w:r>
    </w:p>
    <w:p w14:paraId="777D0253" w14:textId="77777777" w:rsidR="003754FE" w:rsidRDefault="003754FE" w:rsidP="003754FE">
      <w:pPr>
        <w:pStyle w:val="TextoNormal"/>
      </w:pPr>
    </w:p>
    <w:p w14:paraId="3D58D5BC" w14:textId="77777777" w:rsidR="003754FE" w:rsidRDefault="003754FE" w:rsidP="003754FE">
      <w:pPr>
        <w:pStyle w:val="TextoNormal"/>
      </w:pPr>
      <w:r>
        <w:t>Para la fiscal, de no apreciarse el óbice procesal de falta de agotamiento de la vía judicial previa respecto del desconocimiento por la Audiencia Provincial de Gipuzkoa del art. 94 CC, en su nueva redacción dada por la Ley 8/2021, de 2 de junio, este tribunal debería estimar parcialmente el presente recurso de amparo por no haber motivado el mencionado órgano jurisdiccional la aplicación de la Ley del Parlamento Vasco 7/2015, y no el Derecho civil común, y haber optado por la incorporación de las pernoctas en el régimen de visitas y estancias de la menor con el progenitor no custodio. Entiende, sin embargo, que el recurso de amparo debe desestimarse en todo lo demás, por no haber “justificado adecuadamente [la recurrente en amparo] la relación entre la prueba propuesta y la pretensión deducida, así como el perjuicio que le ha ocasionado”.</w:t>
      </w:r>
    </w:p>
    <w:p w14:paraId="3C41EB5A" w14:textId="77777777" w:rsidR="003754FE" w:rsidRDefault="003754FE" w:rsidP="003754FE">
      <w:pPr>
        <w:pStyle w:val="TextoNormal"/>
      </w:pPr>
    </w:p>
    <w:p w14:paraId="42944C26" w14:textId="77777777" w:rsidR="003754FE" w:rsidRDefault="003754FE" w:rsidP="003754FE">
      <w:pPr>
        <w:pStyle w:val="TextoNormal"/>
      </w:pPr>
      <w:r>
        <w:t xml:space="preserve">Antes de proseguir, debemos comenzar por excluir de nuestro análisis de fondo la invocación que la recurrente realiza sobre la vulneración del principio de legalidad (art. 25 CE), por cuanto dicha invocación (dejando a un lado lo acertado o no de su alegación en este caso) aparece en la demanda carente de una argumentación propia en la que pudiera sostenerse dialécticamente la denuncia de su eventual vulneración, no habiendo cumplido la recurrente, por tanto, la carga que sobre ella pesa de fundamentar, siquiera sea mínimamente, las vulneraciones constitucionales denunciadas. Como hemos señalado reiteradamente, no le corresponde a este tribunal reconstruir de oficio la demanda de amparo, ni suplir las razones de las partes —sobre las que recae la carga de la argumentación— cuando aquellas no se aportan al recurso (por todas, STC 33/2021, de 15 de febrero, FJ 2). Por este motivo, el objeto del proceso en lo concerniente a la incorporación de las pernoctas en instancia, y </w:t>
      </w:r>
      <w:r>
        <w:lastRenderedPageBreak/>
        <w:t>su confirmación en apelación, queda limitado al estudio de los argumentos vertidos respecto de la lesión del art. 24.1 CE, en su vertiente de derecho a una resolución motivada y fundada en Derecho, no arbitraria, manifiestamente irrazonada o irrazonable.</w:t>
      </w:r>
    </w:p>
    <w:p w14:paraId="27889CB2" w14:textId="77777777" w:rsidR="003754FE" w:rsidRDefault="003754FE" w:rsidP="003754FE">
      <w:pPr>
        <w:pStyle w:val="TextoNormal"/>
      </w:pPr>
    </w:p>
    <w:p w14:paraId="0D45B89D" w14:textId="6B5A850F" w:rsidR="003754FE" w:rsidRDefault="003754FE" w:rsidP="003754FE">
      <w:pPr>
        <w:pStyle w:val="TextoNormal"/>
      </w:pPr>
      <w:r>
        <w:t>Ya que los hechos que conforman los antecedentes del recurso de amparo al que da respuesta esta sentencia hacen referencia a una persona menor de edad, y con ánimo de preservar su intimidad, la presente sentencia no incluye la identificación completa de esta ni la de sus parientes inmediatos que aparecen mencionados en las actuaciones, por aplicación de las potestades atribuidas a este tribunal por el art. 86.3 LOTC y el acuerdo de 23 de julio de 2015, del Pleno del Tribunal Constitucional, por el que se regula la exclusión de los datos de identidad personal en la publicación de las resoluciones jurisdiccionales (“BOE” núm. 178, de 27 de julio de 2015).</w:t>
      </w:r>
    </w:p>
    <w:p w14:paraId="0BA0B02E" w14:textId="77777777" w:rsidR="003754FE" w:rsidRDefault="003754FE" w:rsidP="003754FE">
      <w:pPr>
        <w:pStyle w:val="TextoNormal"/>
      </w:pPr>
    </w:p>
    <w:p w14:paraId="774AAC97" w14:textId="77777777" w:rsidR="003754FE" w:rsidRDefault="003754FE" w:rsidP="003754FE">
      <w:pPr>
        <w:pStyle w:val="TextoNormal"/>
      </w:pPr>
      <w:r w:rsidRPr="003754FE">
        <w:rPr>
          <w:rStyle w:val="NumeroAFNegritaCaracter"/>
        </w:rPr>
        <w:t>2</w:t>
      </w:r>
      <w:r>
        <w:t xml:space="preserve">. </w:t>
      </w:r>
      <w:r w:rsidRPr="003754FE">
        <w:rPr>
          <w:i/>
        </w:rPr>
        <w:t>Orden de enjuiciamiento de las vulneraciones invocadas: doctrina de la mayor retroacción</w:t>
      </w:r>
    </w:p>
    <w:p w14:paraId="5DE2E3F3" w14:textId="77777777" w:rsidR="003754FE" w:rsidRDefault="003754FE" w:rsidP="003754FE">
      <w:pPr>
        <w:pStyle w:val="TextoNormal"/>
      </w:pPr>
    </w:p>
    <w:p w14:paraId="1473181C" w14:textId="77777777" w:rsidR="003754FE" w:rsidRDefault="003754FE" w:rsidP="003754FE">
      <w:pPr>
        <w:pStyle w:val="TextoNormal"/>
      </w:pPr>
      <w:r>
        <w:t>Antes de examinar las quejas planteadas en la demanda de amparo, hemos de determinar el orden apropiado para su enjuiciamiento constitucional, que debe ajustarse al criterio de la mayor retroacción. Así, en las SSTC 90/2010, de 15 de noviembre, FJ 2; 25/2012, de 27 de febrero, FJ 2; 41/2020, de 9 de marzo, FJ 2, y 92/2023, de 11 de septiembre, FJ 3, entre otras muchas, este tribunal ha subrayado la prioridad que debe concederse al examen de aquellas quejas que, de prosperar, determinen la retroacción a un momento procesal anterior, haciendo innecesario un pronunciamiento sobre las restantes.</w:t>
      </w:r>
    </w:p>
    <w:p w14:paraId="653C6E5B" w14:textId="77777777" w:rsidR="003754FE" w:rsidRDefault="003754FE" w:rsidP="003754FE">
      <w:pPr>
        <w:pStyle w:val="TextoNormal"/>
      </w:pPr>
    </w:p>
    <w:p w14:paraId="2AF3607F" w14:textId="77777777" w:rsidR="003754FE" w:rsidRDefault="003754FE" w:rsidP="003754FE">
      <w:pPr>
        <w:pStyle w:val="TextoNormal"/>
      </w:pPr>
      <w:r>
        <w:t xml:space="preserve">La aplicación de esta doctrina al caso nos lleva a examinar, en primer término, la pretendida lesión del derecho a la tutela judicial efectiva </w:t>
      </w:r>
      <w:r w:rsidRPr="003754FE">
        <w:rPr>
          <w:i/>
        </w:rPr>
        <w:t>ex</w:t>
      </w:r>
      <w:r>
        <w:t xml:space="preserve"> art. 24.1 CE, en su vertiente de derecho a una resolución motivada y fundada en Derecho, no arbitraria, manifiestamente irrazonada o irrazonable, que se imputa a las resoluciones del Juzgado de Violencia sobre la Mujer de San Sebastián por apartarse de los informes técnicos que aconsejaban continuar con el régimen de visitas hasta su normalización, antes de incorporar las pernoctas. Más concretamente, y teniendo en cuenta que no es objeto de impugnación en el presente recurso la sentencia núm. 71/2017, de 22 de diciembre, que resolvió el procedimiento de divorcio, corresponde aquí examinar la invocada lesión que se imputa al auto de 2 de abril de 2020, por el que el Juzgado de Violencia sobre la Mujer de San Sebastián fijó el mes de agosto de 2020 como fecha de inicio de incorporación de las pernoctas.</w:t>
      </w:r>
    </w:p>
    <w:p w14:paraId="348E6EC0" w14:textId="77777777" w:rsidR="003754FE" w:rsidRDefault="003754FE" w:rsidP="003754FE">
      <w:pPr>
        <w:pStyle w:val="TextoNormal"/>
      </w:pPr>
    </w:p>
    <w:p w14:paraId="6AA62496" w14:textId="0E16C24C" w:rsidR="003754FE" w:rsidRDefault="003754FE" w:rsidP="003754FE">
      <w:pPr>
        <w:pStyle w:val="TextoNormal"/>
      </w:pPr>
      <w:r>
        <w:t>La estimación de este motivo, caso de entenderse que el referido auto del Juzgado de Violencia sobre la Mujer de San Sebastián ha vulnerado el derecho a la tutela judicial efectiva de doña V.F.C., en cuanto determinante también de su nulidad, haría innecesario el análisis de las alegadas vulneraciones del art. 24 CE que la demandante de amparo imputa al auto dictado en apelación por la Audiencia Provincial de Gipuzkoa por inaplicación del art. 94 CC en su redacción vigente y al auto de la misma Audiencia Provincial, de 6 de mayo de 2021, por el que se inadmitieron los medios de prueba propuestos por doña V.F.C., en el marco de su recurso de apelación.</w:t>
      </w:r>
    </w:p>
    <w:p w14:paraId="24D0C272" w14:textId="77777777" w:rsidR="003754FE" w:rsidRDefault="003754FE" w:rsidP="003754FE">
      <w:pPr>
        <w:pStyle w:val="TextoNormal"/>
      </w:pPr>
    </w:p>
    <w:p w14:paraId="06A89626" w14:textId="77777777" w:rsidR="003754FE" w:rsidRDefault="003754FE" w:rsidP="003754FE">
      <w:pPr>
        <w:pStyle w:val="TextoNormal"/>
      </w:pPr>
      <w:r w:rsidRPr="003754FE">
        <w:rPr>
          <w:rStyle w:val="NumeroAFNegritaCaracter"/>
        </w:rPr>
        <w:t>3</w:t>
      </w:r>
      <w:r>
        <w:t xml:space="preserve">. </w:t>
      </w:r>
      <w:r w:rsidRPr="003754FE">
        <w:rPr>
          <w:i/>
        </w:rPr>
        <w:t xml:space="preserve">El derecho a una resolución judicial motivada y fundada en Derecho: el canon reforzado de motivación (art. 24.1 CE) </w:t>
      </w:r>
    </w:p>
    <w:p w14:paraId="48614180" w14:textId="77777777" w:rsidR="003754FE" w:rsidRDefault="003754FE" w:rsidP="003754FE">
      <w:pPr>
        <w:pStyle w:val="TextoNormal"/>
      </w:pPr>
    </w:p>
    <w:p w14:paraId="404C4EF9" w14:textId="77777777" w:rsidR="003754FE" w:rsidRDefault="003754FE" w:rsidP="003754FE">
      <w:pPr>
        <w:pStyle w:val="TextoNormal"/>
      </w:pPr>
      <w:r>
        <w:lastRenderedPageBreak/>
        <w:t>Una vez determinado el objeto de este amparo, y establecido el orden de enjuiciamiento de las vulneraciones invocadas, debemos delimitar el canon de enjuiciamiento para proceder, posteriormente, a su aplicación al caso concreto que se nos plantea en este recurso. Así, debe recordarse que este tribunal “ha reiterado en innumerables ocasiones que el derecho a la tutela judicial efectiva comprende, entre otros, el derecho a obtener una resolución que, salvo que concurra causa legal que prevea la inadmisión, resolverá el fondo del asunto mediante el dictado de una resolución congruente con los pedimentos de las partes, motivada y fundada en Derecho, no incursa en arbitrariedad, irrazonabilidad o error patente” (entre las más recientes, SSTC 28/2024, de 27 de febrero, FJ 4, y 115/2024, de 23 de septiembre, FJ 2).</w:t>
      </w:r>
    </w:p>
    <w:p w14:paraId="741AD49D" w14:textId="77777777" w:rsidR="003754FE" w:rsidRDefault="003754FE" w:rsidP="003754FE">
      <w:pPr>
        <w:pStyle w:val="TextoNormal"/>
      </w:pPr>
    </w:p>
    <w:p w14:paraId="26EF98E0" w14:textId="77777777" w:rsidR="003754FE" w:rsidRDefault="003754FE" w:rsidP="003754FE">
      <w:pPr>
        <w:pStyle w:val="TextoNormal"/>
      </w:pPr>
      <w:r>
        <w:t>Como hemos recordado en nuestra STC 115/2024, FJ 2, que dio respuesta a otro recurso de amparo interpuesto por doña V.F.C., en relación con la fase de ejecución de la sentencia de divorcio dictada en el mismo procedimiento del que trae causa el que ahora resolvemos, la obligación de motivación de las resoluciones judiciales “aparte de venir impuesta en el art. 120.3 CE, es una exigencia derivada del art. 24.1 CE […] como garantía frente a la arbitrariedad y a la irrazonabilidad”. Así, de conformidad con el art. 24.1 CE, “la resolución ha de contener los elementos y razones de juicio que permitan conocer cuáles han sido los criterios jurídicos que fundamentan la decisión y que la motivación ha de estar fundada en Derecho”, no pudiendo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De este modo, “tanto si la aplicación de la legalidad es fruto de error patente, como si fuere arbitraria, manifiestamente irrazonada o irrazonable no podría considerarse fundada en Derecho, dado que la aplicación de la legalidad sería tan solo una mera apariencia”.</w:t>
      </w:r>
    </w:p>
    <w:p w14:paraId="396FC614" w14:textId="77777777" w:rsidR="003754FE" w:rsidRDefault="003754FE" w:rsidP="003754FE">
      <w:pPr>
        <w:pStyle w:val="TextoNormal"/>
      </w:pPr>
    </w:p>
    <w:p w14:paraId="75C5F4E6" w14:textId="77777777" w:rsidR="003754FE" w:rsidRDefault="003754FE" w:rsidP="003754FE">
      <w:pPr>
        <w:pStyle w:val="TextoNormal"/>
      </w:pPr>
      <w:r>
        <w:t xml:space="preserve">Este deber de motivación resulta además reforzado “[c]uando lo que está en juego son los valores superiores del ordenamiento constitucional o los derechos fundamentales sustantivos”, supuestos en los que “el canon de motivación de las resoluciones judiciales que se deriva del art. 24.1 CE no se reduce a la mera expresión de las razones que permitan conocer cuáles han sido los criterios jurídicos esenciales fundamentadores de la decisión sin incurrir en arbitrariedad, irrazonabilidad o error patente”, exigiendo nuestra jurisprudencia “motivaciones concordantes con los supuestos en los que la Constitución permite la afectación del valor o derecho en liza” (STC 115/2024, FJ 3). Así, “en el caso en que la pretensión objeto de respuesta esté vinculada a derechos fundamentales sustantivos o intereses de relevancia constitucional, […] la obligación de que se exteriorice el nexo de coherencia entre la decisión adoptada, la norma que le sirve de fundamento y los fines que justifican la institución”, aparece reforzada. En estos casos, “[n]o cabe una motivación estereotipada ni la mera constatación apodíctica de que ‘no se cumplen las circunstancias’ que la ley exige ni la justificación en el carácter discrecional de la potestad que se ejerce, pues las potestades discrecionales deben también ejercerse motivadamente” [SSTC 81/2018, de 16 de julio, FJ 3, y 113/2021, de 31 de mayo, FJ 2 a ii)]. Constituye, de este modo, doctrina consolidada de este tribunal que “las exigencias del derecho a la tutela judicial efectiva serán distintas y más estrictas, ‘reforzadas’ […], cuando, a pesar de que la decisión judicial no se refiera directamente a la preservación o a los límites de un derecho fundamental, uno de estos derechos, distinto al de la propia tutela judicial, esté implicado […], vinculado […], en juego </w:t>
      </w:r>
      <w:r>
        <w:lastRenderedPageBreak/>
        <w:t>[…] o quede afectado […] por tal decisión” (STC 115/2024, FJ 3, y jurisprudencia allí citada).</w:t>
      </w:r>
    </w:p>
    <w:p w14:paraId="3126ED47" w14:textId="77777777" w:rsidR="003754FE" w:rsidRDefault="003754FE" w:rsidP="003754FE">
      <w:pPr>
        <w:pStyle w:val="TextoNormal"/>
      </w:pPr>
    </w:p>
    <w:p w14:paraId="2928B018" w14:textId="682A0941" w:rsidR="003754FE" w:rsidRDefault="003754FE" w:rsidP="003754FE">
      <w:pPr>
        <w:pStyle w:val="TextoNormal"/>
      </w:pPr>
      <w:r>
        <w:t>Consecuentemente con lo hasta aquí dicho, este tribunal ha exigido el cumplimiento del canon reforzado de motivación cuando se trata de limitar el derecho fundamental a la no discriminación por razón de sexo del art. 14 CE (STC 173/2013, de 10 de octubre, FJ 3). Y los delitos relacionados con la violencia de género constituyen la forma más grave de discriminación contra la mujer (SSTC 48/2024, de 8 de abril, FJ 5, y 115/2024, FJ 3).</w:t>
      </w:r>
    </w:p>
    <w:p w14:paraId="5A372833" w14:textId="77777777" w:rsidR="003754FE" w:rsidRDefault="003754FE" w:rsidP="003754FE">
      <w:pPr>
        <w:pStyle w:val="TextoNormal"/>
      </w:pPr>
    </w:p>
    <w:p w14:paraId="09869E2B" w14:textId="77777777" w:rsidR="003754FE" w:rsidRDefault="003754FE" w:rsidP="003754FE">
      <w:pPr>
        <w:pStyle w:val="TextoNormal"/>
      </w:pPr>
      <w:r w:rsidRPr="003754FE">
        <w:rPr>
          <w:rStyle w:val="NumeroAFNegritaCaracter"/>
        </w:rPr>
        <w:t>4</w:t>
      </w:r>
      <w:r>
        <w:t xml:space="preserve">. </w:t>
      </w:r>
      <w:r w:rsidRPr="003754FE">
        <w:rPr>
          <w:i/>
        </w:rPr>
        <w:t>Motivación reforzada en contextos de violencia de género</w:t>
      </w:r>
    </w:p>
    <w:p w14:paraId="08E383DC" w14:textId="77777777" w:rsidR="003754FE" w:rsidRDefault="003754FE" w:rsidP="003754FE">
      <w:pPr>
        <w:pStyle w:val="TextoNormal"/>
      </w:pPr>
    </w:p>
    <w:p w14:paraId="2C52FC7E" w14:textId="77777777" w:rsidR="003754FE" w:rsidRDefault="003754FE" w:rsidP="003754FE">
      <w:pPr>
        <w:pStyle w:val="TextoNormal"/>
      </w:pPr>
      <w:r>
        <w:t xml:space="preserve">Como hemos declarado en la reciente STC 115/2024, que dio respuesta a otro recurso de amparo interpuesto por doña V.F.C., en relación con la arbitrariedad e irrazonabilidad de las resoluciones judiciales que le obligaban a mantener una actitud proactiva y colaboradora en el cumplimiento del mismo régimen de visitas y estancias al que se refiere la presente sentencia, cuando los procesos judiciales se desarrollan en un contexto de violencia de género las exigencias del derecho a la tutela judicial efectiva </w:t>
      </w:r>
      <w:r w:rsidRPr="003754FE">
        <w:rPr>
          <w:i/>
        </w:rPr>
        <w:t>ex</w:t>
      </w:r>
      <w:r>
        <w:t xml:space="preserve"> art. 24.1 CE son reforzadas. De acuerdo con la transversalidad del principio de igualdad de trato entre mujeres y hombres, que nuestras leyes proyectan sobre todos los poderes públicos, y de conformidad con el Derecho internacional de los derechos humanos, que por imperativo del art. 10.2 CE opera como parámetro interpretativo insoslayable de nuestro sistema de derechos y libertades, los delitos de violencia de género constituyen la forma más grave de discriminación contra la mujer. Por ello, en un contexto de violencia de género, las resoluciones de nuestros órganos judiciales, al afectar al derecho a la igualdad y a la prohibición de la discriminación por razón de sexo </w:t>
      </w:r>
      <w:r w:rsidRPr="003754FE">
        <w:rPr>
          <w:i/>
        </w:rPr>
        <w:t>ex</w:t>
      </w:r>
      <w:r>
        <w:t xml:space="preserve"> art. 14 CE, han de cumplir con un canon reforzado de motivación (STC 115/2024, FFJJ 2 y 3).</w:t>
      </w:r>
    </w:p>
    <w:p w14:paraId="3F53B2B6" w14:textId="77777777" w:rsidR="003754FE" w:rsidRDefault="003754FE" w:rsidP="003754FE">
      <w:pPr>
        <w:pStyle w:val="TextoNormal"/>
      </w:pPr>
    </w:p>
    <w:p w14:paraId="281884AA" w14:textId="77777777" w:rsidR="003754FE" w:rsidRDefault="003754FE" w:rsidP="003754FE">
      <w:pPr>
        <w:pStyle w:val="TextoNormal"/>
      </w:pPr>
      <w:r>
        <w:t>En la STC 115/2024, FJ 3, recordamos la existencia en nuestro ordenamiento de un “deber legal de interpretación y aplicación de las normas jurídicas que busque la igualdad real entre mujeres y hombres y la ruptura con la perpetuación de los roles de género”. Como señalamos entonces, este deber legal se desprende de: la Ley Orgánica 1/2004, de 28 de diciembre, de medidas de protección integral contra la violencia de género; la Ley Orgánica 3/2007, de 22 de marzo, para la igualdad efectiva de mujeres y hombres; y la Ley 15/2022, de 12 de julio, integral para la igualdad de trato y la no discriminación. Y en la delimitación del contenido y alcance de este mandato habremos de estar, en cumplimiento de la cláusula hermenéutica del art. 10.2 de nuestra Constitución, a lo previsto en el Derecho internacional de los derechos humanos.</w:t>
      </w:r>
    </w:p>
    <w:p w14:paraId="33EE259E" w14:textId="77777777" w:rsidR="003754FE" w:rsidRDefault="003754FE" w:rsidP="003754FE">
      <w:pPr>
        <w:pStyle w:val="TextoNormal"/>
      </w:pPr>
    </w:p>
    <w:p w14:paraId="64DD9788" w14:textId="77777777" w:rsidR="003754FE" w:rsidRDefault="003754FE" w:rsidP="003754FE">
      <w:pPr>
        <w:pStyle w:val="TextoNormal"/>
      </w:pPr>
      <w:r>
        <w:t xml:space="preserve">De conformidad con la Convención sobre la eliminación de todas las formas de discriminación contra la mujer, aprobada en el seno de las Naciones Unidas en 1979 y ratificado por España en 1983 (CEDAW, por sus siglas en inglés) y el Convenio del Consejo de Europa sobre prevención y lucha contra la violencia contra las mujeres y la violencia doméstica, firmado en 2011 y en vigor en España desde 2014 (Convenio de Estambul), en la aplicación del régimen de custodia y visitas, las autoridades nacionales deben tener en cuenta los incidentes de violencia de género, “debiéndose abordar los mismos desde la perspectiva de la prevalente desigualdad entre hombres y mujeres”. Un enfoque que, asumido por el art. 94 CC según la redacción dada por la Ley 8/2021, de 2 de junio, y por la Ley del Parlamento Vasco 7/2015, es “contrario a la práctica de aquellos Estados que tienden a dar prioridad a </w:t>
      </w:r>
      <w:r>
        <w:lastRenderedPageBreak/>
        <w:t>un interés superior del niño que se equipara con mantener el contacto con ambos progenitores, independientemente de que su padre sea un maltratador —o presunto maltratador— y de la exposición del niño a la violencia”. En contextos de violencia de género, “no cabe que el personal implicado en la ejecución del régimen de visitas adopte como principal objetivo la normalización de las relaciones entre los y las menores y sus padres”, debiendo alejarse de “una concepción estereotipada del derecho de visita basado en la igualdad formal”. Los jueces deben así “ser muy conscientes de las dinámicas de sometimiento inherentes a la violencia de género que impactan negativamente en las mujeres que han sido víctimas, no pudiendo asumir que el interés superior del menor es equivalente siempre a mantener relaciones con ambos progenitores” (STC 115/2024, FJ 3).</w:t>
      </w:r>
    </w:p>
    <w:p w14:paraId="5A94A736" w14:textId="77777777" w:rsidR="003754FE" w:rsidRDefault="003754FE" w:rsidP="003754FE">
      <w:pPr>
        <w:pStyle w:val="TextoNormal"/>
      </w:pPr>
    </w:p>
    <w:p w14:paraId="66ABE10E" w14:textId="319982AC" w:rsidR="003754FE" w:rsidRDefault="003754FE" w:rsidP="003754FE">
      <w:pPr>
        <w:pStyle w:val="TextoNormal"/>
      </w:pPr>
      <w:r>
        <w:t>Este enfoque es el que deberían haber adoptado todas las resoluciones impugnadas, objeto de este recurso, incluido el auto de 2 de abril de 2020 del Juzgado de Violencia sobre la Mujer de San Sebastián que incorporó el régimen de pernoctas de la hija menor de edad de doña V.F.C., con el padre no custodio. En este caso, como ocurrió en el resuelto por la STC 115/2024, se requería, por parte de nuestros órganos jurisdiccionales, una motivación reforzada que, en el ejercicio de su función aplicativa de la legalidad vigente, evidenciara, sin ningún tipo de duda, que en la decisión de incorporar las pernoctas en el régimen de estancias de la menor con don F.L.D.B., se tuvo en cuenta el contexto de violencia en el que se adoptaba esta decisión, y su conexión con el derecho a la igualdad y la no discriminación. En caso contrario este tribunal, en el ejercicio legítimo de su competencia, estimará, como hicimos entonces, la alegada vulneración del art. 24.1 CE.</w:t>
      </w:r>
    </w:p>
    <w:p w14:paraId="77D2BA4A" w14:textId="77777777" w:rsidR="003754FE" w:rsidRDefault="003754FE" w:rsidP="003754FE">
      <w:pPr>
        <w:pStyle w:val="TextoNormal"/>
      </w:pPr>
    </w:p>
    <w:p w14:paraId="4F306090" w14:textId="77777777" w:rsidR="003754FE" w:rsidRDefault="003754FE" w:rsidP="003754FE">
      <w:pPr>
        <w:pStyle w:val="TextoNormal"/>
      </w:pPr>
      <w:r w:rsidRPr="003754FE">
        <w:rPr>
          <w:rStyle w:val="NumeroAFNegritaCaracter"/>
        </w:rPr>
        <w:t>5</w:t>
      </w:r>
      <w:r>
        <w:t xml:space="preserve">. </w:t>
      </w:r>
      <w:r w:rsidRPr="003754FE">
        <w:rPr>
          <w:i/>
        </w:rPr>
        <w:t>Aplicación al caso de la jurisprudencia constitucional sobre el deber de motivación reforzada de las resoluciones judiciales en contextos de violencia de género</w:t>
      </w:r>
    </w:p>
    <w:p w14:paraId="176D9836" w14:textId="77777777" w:rsidR="003754FE" w:rsidRDefault="003754FE" w:rsidP="003754FE">
      <w:pPr>
        <w:pStyle w:val="TextoNormal"/>
      </w:pPr>
    </w:p>
    <w:p w14:paraId="514A7A11" w14:textId="77777777" w:rsidR="003754FE" w:rsidRDefault="003754FE" w:rsidP="003754FE">
      <w:pPr>
        <w:pStyle w:val="TextoNormal"/>
      </w:pPr>
      <w:r>
        <w:t>En opinión de doña V.F.C., ahora demandante de amparo, las resoluciones dictadas en instancia que acordaron la incorporación de las pernoctas, y la dictada en apelación que las confirmó, habrían vulnerado el art. 24.1 CE al ignorar los informes periciales que aconsejaban continuar con el régimen establecido hasta la normalización de las estancias de la menor con el padre. Informes que, como se adujo a lo largo de la vía judicial previa a este amparo, la demandante siempre vinculó a la apreciación, en la persona del progenitor no custodio, de elementos psicológicos de riesgo de conductas compulsivas. Apreciación que estaría a su vez directamente relacionada con la apertura de diligencias penales, y el posterior auto de transformación en procedimiento abreviado, que finalmente dieron lugar a la condena de don F.L.D.B., por tres delitos de maltrato no habitual y un delito leve de vejaciones injustas.</w:t>
      </w:r>
    </w:p>
    <w:p w14:paraId="10E1C5C5" w14:textId="77777777" w:rsidR="003754FE" w:rsidRDefault="003754FE" w:rsidP="003754FE">
      <w:pPr>
        <w:pStyle w:val="TextoNormal"/>
      </w:pPr>
    </w:p>
    <w:p w14:paraId="4D73A3B3" w14:textId="77777777" w:rsidR="003754FE" w:rsidRDefault="003754FE" w:rsidP="003754FE">
      <w:pPr>
        <w:pStyle w:val="TextoNormal"/>
      </w:pPr>
      <w:r>
        <w:t>En este caso, como hiciéramos en la STC 115/2024, nuestro enjuiciamiento de las resoluciones impugnadas a través del canon reforzado de motivación que impone el art. 24.1 CE, debe así comenzar recordando el deber de las autoridades competentes de abordar la regulación y aplicación de los regímenes de custodia, estancias y visitas teniendo en cuenta los incidentes de violencia de género desde la perspectiva de la prevalente desigualdad entre hombres y mujeres. Un enfoque que, debemos recordar, siendo contrario a una equiparación en abstracto de la garantía del interés superior del menor con el mantenimiento del contacto con ambos progenitores, ha sido acogido tanto por el art. 94 CC en su redacción dada por la Ley 8/2021, de 2 de junio, como por el art. 11.3 de la Ley del Parlamento Vasco 7/2015.</w:t>
      </w:r>
    </w:p>
    <w:p w14:paraId="265EA30D" w14:textId="77777777" w:rsidR="003754FE" w:rsidRDefault="003754FE" w:rsidP="003754FE">
      <w:pPr>
        <w:pStyle w:val="TextoNormal"/>
      </w:pPr>
    </w:p>
    <w:p w14:paraId="318D093F" w14:textId="77777777" w:rsidR="003754FE" w:rsidRDefault="003754FE" w:rsidP="003754FE">
      <w:pPr>
        <w:pStyle w:val="TextoNormal"/>
      </w:pPr>
      <w:r>
        <w:lastRenderedPageBreak/>
        <w:t>Siendo objeto del presente recurso los autos dictados por el Juzgado de Violencia sobre la Mujer de San Sebastián el 2 de abril y el 18 de junio de 2020, y los de la Audiencia Provincial de Gipuzkoa de 6 de mayo y de 15 de octubre de 2021 (núm. 147-2021), todos ellos dictados en el procedimiento de divorcio contencioso núm. 53-2017, debemos ahora analizar bajo el parámetro constitucional sentado en los anteriores fundamentos jurídicos, la resolución que introdujo en instancia las pernoctas en el régimen de estancias de la hija menor de doña V.F.C., con don F.L.D.B.</w:t>
      </w:r>
    </w:p>
    <w:p w14:paraId="7F81E588" w14:textId="77777777" w:rsidR="003754FE" w:rsidRDefault="003754FE" w:rsidP="003754FE">
      <w:pPr>
        <w:pStyle w:val="TextoNormal"/>
      </w:pPr>
    </w:p>
    <w:p w14:paraId="09A96908" w14:textId="77777777" w:rsidR="003754FE" w:rsidRDefault="003754FE" w:rsidP="003754FE">
      <w:pPr>
        <w:pStyle w:val="TextoNormal"/>
      </w:pPr>
      <w:r>
        <w:t>En el enjuiciamiento del auto de 2 de abril de 2020 del Juzgado de Violencia sobre la Mujer de San Sebastián bajo el canon de motivación reforzada del art. 24.1 CE que opera en este caso debemos, por tanto, valorar si dicha resolución tuvo suficientemente en cuenta los indicios fundados de violencia de género, no pudiendo por ello ni asumir que el interés superior del menor es equivalente a mantener relaciones con ambos progenitores, ni promover la perpetuación de funciones estereotipadas tradicionalmente atribuidas a las mujeres (STC 115/2024, FFJJ 2 y 3).</w:t>
      </w:r>
    </w:p>
    <w:p w14:paraId="7D2273CC" w14:textId="77777777" w:rsidR="003754FE" w:rsidRDefault="003754FE" w:rsidP="003754FE">
      <w:pPr>
        <w:pStyle w:val="TextoNormal"/>
      </w:pPr>
    </w:p>
    <w:p w14:paraId="6BE737CD" w14:textId="77777777" w:rsidR="003754FE" w:rsidRDefault="003754FE" w:rsidP="003754FE">
      <w:pPr>
        <w:pStyle w:val="TextoNormal"/>
      </w:pPr>
      <w:r>
        <w:t>En este sentido debemos advertir que el auto controvertido concluye la inexistencia de “razones o causas fundadas que desaconsejen una progresión en el régimen de estancias del padre con la hija ni, por ende, una introducción progresiva de las pernoctas”. Y que para llegar a tal aseveración, la resolución impugnada se basa en el informe remitido el 25 de febrero de 2020 por el equipo psicosocial judicial en cumplimiento de su sentencia núm. 71/2017, de 22 de diciembre, apartado D), en virtud de la cual, en septiembre de 2019, cuando la menor contara ya con dos años y medio de edad, se recabaría informe del equipo psicosocial para que, a la vista de los informes del punto de encuentro familiar y de una nueva valoración integral de la situación, se informara sobre la conveniencia de introducir las pernoctas o, en general, sobre el régimen paternofilial de estancias más conveniente para la menor en función de las circunstancias que entonces existieran, de modo que, tras su traslado a las partes y al Ministerio Fiscal, se concretaría el régimen de estancias, ordinario y vacacional, de carácter definitivo.</w:t>
      </w:r>
    </w:p>
    <w:p w14:paraId="6A8F5BD6" w14:textId="77777777" w:rsidR="003754FE" w:rsidRDefault="003754FE" w:rsidP="003754FE">
      <w:pPr>
        <w:pStyle w:val="TextoNormal"/>
      </w:pPr>
    </w:p>
    <w:p w14:paraId="3C61DF21" w14:textId="77777777" w:rsidR="003754FE" w:rsidRDefault="003754FE" w:rsidP="003754FE">
      <w:pPr>
        <w:pStyle w:val="TextoNormal"/>
      </w:pPr>
      <w:r>
        <w:t>En opinión del juzgado, del informe del equipo psicosocial judicial de referencia, y del propio del punto de encuentro familiar, se deduce que la negativa de la menor a acceder al punto de encuentro familiar para el cumplimiento del régimen de visitas y estancias desde noviembre de 2019, es imputable al contexto de conflictividad entre los progenitores y sus respectivas familias y a “la actitud de desconfianza de la madre y de la familia materna hacia el padre y su familia”. Acuerda así la incorporación de las pernoctas a partir del mes de agosto de 2020, y ello a pesar de que, como advierte doña V.F.C., en su posterior recurso de reposición, tanto uno como otro informe concluyen la conveniencia de avanzar en la progresión del régimen de visitas hasta la normalización de las estancias, y de que ya con fecha 7 de noviembre de 2018 se había dictado, en las diligencias previas núm. 200-2017, auto de transformación en procedimiento abreviado contra don F.L.D.B.</w:t>
      </w:r>
    </w:p>
    <w:p w14:paraId="1E96FFD4" w14:textId="77777777" w:rsidR="003754FE" w:rsidRDefault="003754FE" w:rsidP="003754FE">
      <w:pPr>
        <w:pStyle w:val="TextoNormal"/>
      </w:pPr>
    </w:p>
    <w:p w14:paraId="1DF1982E" w14:textId="77777777" w:rsidR="003754FE" w:rsidRDefault="003754FE" w:rsidP="003754FE">
      <w:pPr>
        <w:pStyle w:val="TextoNormal"/>
      </w:pPr>
      <w:r>
        <w:t xml:space="preserve">Desde su recurso de reposición contra el auto de 2 de abril de 2020 del Juzgado de Violencia sobre la Mujer de San Sebastián, por el que se acordó el mes de agosto de 2020 como fecha para la incorporación de las pernoctas, la ahora demandante de amparo ha sostenido que, en incumplimiento de la sentencia de divorcio de 22 de diciembre de 2017, los órganos judiciales han desatendido las circunstancias concurrentes en el momento de adoptar dicha decisión. Circunstancias que, de conformidad con el propio escrito de interposición del </w:t>
      </w:r>
      <w:r>
        <w:lastRenderedPageBreak/>
        <w:t>presente recurso de amparo y el resto de antecedentes de hecho de esta sentencia, resultan fácilmente reconducibles a la existencia de indicios de violencia de género, debiendo por ello aplicar este tribunal el canon reforzado de motivación que el art. 24.1 de nuestra Constitución impone a nuestros órganos judiciales cuando sus resoluciones impactan sobre los valores superiores de nuestro ordenamiento y nuestros derechos fundamentales (entre otras, SSTC 9/2020, de 28 de enero, FJ 6; 113/2021 y 28/2024, FJ 4).</w:t>
      </w:r>
    </w:p>
    <w:p w14:paraId="23AFFBD5" w14:textId="77777777" w:rsidR="003754FE" w:rsidRDefault="003754FE" w:rsidP="003754FE">
      <w:pPr>
        <w:pStyle w:val="TextoNormal"/>
      </w:pPr>
    </w:p>
    <w:p w14:paraId="70FEC638" w14:textId="77777777" w:rsidR="003754FE" w:rsidRDefault="003754FE" w:rsidP="003754FE">
      <w:pPr>
        <w:pStyle w:val="TextoNormal"/>
      </w:pPr>
      <w:r>
        <w:t>Siendo así, no podemos sino reiterar que el auto de 2 de abril de 2020 basa la incorporación de las pernoctas en la conexión que el informe del equipo psicosocial judicial establece entre la negativa de la menor de acceder a las estancias con el progenitor no custodio y el contexto de conflictividad familiar en el que dicha negativa se produce, con especial mención a la actitud de desconfianza mostrada por doña V.F.C., frente a don F.L.D.B., y su familia. En otros términos, el auto aquí enjuiciado, y las resoluciones que después lo confirmaron, basan la incorporación de las pernoctas en la imputación a la madre de al menos parte de la responsabilidad por la negativa de la menor a realizar las estancias con el padre, ignorando que dicha “actitud de desconfianza” de la madre hacia el padre y su familia bien pudiera encontrar su origen y causa en un contexto de violencia de género, cuyos indicios habían sido ya aducidos por doña V.F.C., en su previo escrito de alegaciones al referido informe de 25 de febrero de 2020 que, a pesar de no apreciar “indicadores de psicopatología ni limitaciones cognitivas” en el momento de realizarse la valoración del padre, efectivamente recomendaba, como alega reiteradamente la ahora demandante de amparo, la continuación del régimen establecido hasta que se normalizaran las estancias de la menor con el padre.</w:t>
      </w:r>
    </w:p>
    <w:p w14:paraId="266FD3C8" w14:textId="77777777" w:rsidR="003754FE" w:rsidRDefault="003754FE" w:rsidP="003754FE">
      <w:pPr>
        <w:pStyle w:val="TextoNormal"/>
      </w:pPr>
    </w:p>
    <w:p w14:paraId="4D8B3237" w14:textId="77777777" w:rsidR="003754FE" w:rsidRDefault="003754FE" w:rsidP="003754FE">
      <w:pPr>
        <w:pStyle w:val="TextoNormal"/>
      </w:pPr>
      <w:r>
        <w:t>Partimos así de una resolución judicial que, desatendiendo los indicios de violencia, evidentes desde el dictado del auto de transformación en procedimiento abreviado el 7 de noviembre de 2018, contribuye a la perpetuación de roles estereotipados de la mujer, como es el de impulsora y favorecedora de los vínculos filiales, desconociendo con ello el impacto negativo de la violencia de género en las víctimas. Opción que replica el auto de 18 de junio de 2020, que desestimó el recurso de reposición contra el de 2 de abril de 2020, de nuevo con fundamento en el argumento de la conexión causal entre la negativa de la menor a acceder a las estancias con el padre y el contexto de conflictividad familiar, con especial mención a la actitud de desconfianza de la madre hacia el padre y su familia.</w:t>
      </w:r>
    </w:p>
    <w:p w14:paraId="0AD2402B" w14:textId="77777777" w:rsidR="003754FE" w:rsidRDefault="003754FE" w:rsidP="003754FE">
      <w:pPr>
        <w:pStyle w:val="TextoNormal"/>
      </w:pPr>
    </w:p>
    <w:p w14:paraId="241B0506" w14:textId="77777777" w:rsidR="003754FE" w:rsidRDefault="003754FE" w:rsidP="003754FE">
      <w:pPr>
        <w:pStyle w:val="TextoNormal"/>
      </w:pPr>
      <w:r>
        <w:t>El Juzgado de Violencia sobre la Mujer de San Sebastián introdujo de este modo las pernoctas en atención a un argumento, el de la conexión entre la negativa de la menor a realizar las estancias con el padre y la actitud de desconfianza de la madre hacia el padre y su familia que, al obviar la existencia de indicios fundados de violencia de género contra don F.L.D.B., conculca el deber de motivación reforzado que impone el art. 24.1 CE a nuestros órganos judiciales en contextos de violencia de género. Un deber que, atendiendo al art. 11 de la Ley del Parlamento Vasco 7/2015, de 30 de junio, el art. 94 CC según redacción dada por la Ley 8/2021, de 2 de junio, y al Derecho internacional de los derechos humanos, exige la consideración de la existencia de tales indicios en la regulación y aplicación del régimen de visitas, estancias y comunicación. Siendo así, debemos por ello estimar la invocada lesión del art. 24.1 CE que la demandante de amparo imputa al auto de 2 de abril de 2020 del Juzgado de Violencia sobre la Mujer de San Sebastián por el que se introdujeron las pernoctas en el régimen de estancias de la hija menor de edad de doña V.F.C., con don F.L.D.B., sin considerar la existencia de indicios fundados de violencia de género.</w:t>
      </w:r>
    </w:p>
    <w:p w14:paraId="7F7D099B" w14:textId="77777777" w:rsidR="003754FE" w:rsidRDefault="003754FE" w:rsidP="003754FE">
      <w:pPr>
        <w:pStyle w:val="TextoNormal"/>
      </w:pPr>
    </w:p>
    <w:p w14:paraId="7051AD28" w14:textId="20274E6B" w:rsidR="003754FE" w:rsidRDefault="003754FE" w:rsidP="003754FE">
      <w:pPr>
        <w:pStyle w:val="TextoNormal"/>
      </w:pPr>
      <w:r>
        <w:t>Habiéndose apreciado la vulneración constitucional del derecho a la tutela judicial efectiva, en su vertiente del derecho a una resolución motivada y fundada en Derecho, no arbitraria, manifiestamente irrazonada o irrazonable, que doña V.F.C., imputa al auto de 2 de abril de 2020 del Juzgado de Violencia sobre la Mujer de San Sebastián, resulta improcedente entrar a examinar las otras dos quejas planteadas en la demanda, referidas: la primera, a la lesión del mismo art. 24.1 CE, en igual vertiente, por el auto núm. 147/2021 dictado en apelación por la Audiencia Provincial de Gipuzkoa con motivo de la inaplicación del art. 94 CC en la redacción dada por la Ley 8/2021, de 2 de junio; y, la segunda, a la lesión que del art. 24.2 CE se habría producido, según la recurrente, con motivo de la inadmisión por la Audiencia Provincial de Gipuzkoa de los medios de prueba cuya admisión interesó doña V.F.C., en el marco de su recurso de apelación.</w:t>
      </w:r>
    </w:p>
    <w:p w14:paraId="2EBF282D" w14:textId="77777777" w:rsidR="003754FE" w:rsidRDefault="003754FE" w:rsidP="003754FE">
      <w:pPr>
        <w:pStyle w:val="TextoNormal"/>
      </w:pPr>
    </w:p>
    <w:p w14:paraId="46582A4A" w14:textId="77777777" w:rsidR="003754FE" w:rsidRDefault="003754FE" w:rsidP="003754FE">
      <w:pPr>
        <w:pStyle w:val="TextoNormal"/>
      </w:pPr>
      <w:r w:rsidRPr="003754FE">
        <w:rPr>
          <w:rStyle w:val="NumeroAFNegritaCaracter"/>
        </w:rPr>
        <w:t>6</w:t>
      </w:r>
      <w:r>
        <w:t xml:space="preserve">. </w:t>
      </w:r>
      <w:r w:rsidRPr="003754FE">
        <w:rPr>
          <w:i/>
        </w:rPr>
        <w:t>Efectos de la estimación del recurso</w:t>
      </w:r>
    </w:p>
    <w:p w14:paraId="28203B9B" w14:textId="77777777" w:rsidR="003754FE" w:rsidRDefault="003754FE" w:rsidP="003754FE">
      <w:pPr>
        <w:pStyle w:val="TextoNormal"/>
      </w:pPr>
    </w:p>
    <w:p w14:paraId="3C022F24" w14:textId="77777777" w:rsidR="003754FE" w:rsidRDefault="003754FE" w:rsidP="003754FE">
      <w:pPr>
        <w:pStyle w:val="TextoNormal"/>
      </w:pPr>
      <w:r>
        <w:t>Como efectos derivados de la estimación de la queja de la demanda procede, en primer lugar, declarar vulnerado el derecho a la tutela judicial efectiva de la recurrente en su vertiente de obtener una resolución judicial motivada y fundada en Derecho (art. 24.1 CE). Esta lesión se ha producido porque el auto dictado por el Juzgado de Violencia sobre la Mujer de San Sebastián con fecha 2 de abril de 2020 no tuvo en cuenta, en su argumentación, que el conflicto respecto de la introducción de las pernoctas en el régimen de estancias de la hija común menor de edad se produjo en el contexto de violencia de género sobre doña V.F.C., por don F.L.D.B.</w:t>
      </w:r>
    </w:p>
    <w:p w14:paraId="6F634D94" w14:textId="77777777" w:rsidR="003754FE" w:rsidRDefault="003754FE" w:rsidP="003754FE">
      <w:pPr>
        <w:pStyle w:val="TextoNormal"/>
      </w:pPr>
    </w:p>
    <w:p w14:paraId="055DEEC1" w14:textId="4528387B" w:rsidR="003754FE" w:rsidRDefault="003754FE" w:rsidP="003754FE">
      <w:pPr>
        <w:pStyle w:val="TextoNormal"/>
      </w:pPr>
      <w:r>
        <w:t>El restablecimiento en el derecho vulnerado conlleva la declaración de nulidad de la resolución cuestionada. Sin embargo, visto el tiempo transcurrido desde que se dictó el auto impugnado, es obvio que las circunstancias relevantes para resolver sobre el régimen de estancias ha cambiado —edad de la menor y condena del padre—, por lo que, en aras de preservar la seguridad jurídica y los derechos de las personas afectadas, debemos limitar el alcance de la estimación a la declaración de lesión del derecho fundamental a la tutela judicial efectiva (art. 24.1 CE), sin ordenar, en cambio, la retroacción de las actuaciones.</w:t>
      </w:r>
    </w:p>
    <w:p w14:paraId="61DD520C" w14:textId="77777777" w:rsidR="003754FE" w:rsidRDefault="003754FE" w:rsidP="003754FE">
      <w:pPr>
        <w:pStyle w:val="TextoNormal"/>
      </w:pPr>
    </w:p>
    <w:p w14:paraId="30CD185E" w14:textId="77777777" w:rsidR="003754FE" w:rsidRDefault="003754FE" w:rsidP="003754FE">
      <w:pPr>
        <w:pStyle w:val="TextoNormalCentrado"/>
        <w:keepNext/>
      </w:pPr>
      <w:r>
        <w:t>FALLO</w:t>
      </w:r>
    </w:p>
    <w:p w14:paraId="070F3E0E" w14:textId="6ECC5B07" w:rsidR="003754FE" w:rsidRDefault="003754FE" w:rsidP="003754FE">
      <w:pPr>
        <w:pStyle w:val="TextoNormalCentrado"/>
        <w:keepNext/>
      </w:pPr>
    </w:p>
    <w:p w14:paraId="583EBBA6"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doña V.F.C., y, en consecuencia:</w:t>
      </w:r>
    </w:p>
    <w:p w14:paraId="3372D6EB" w14:textId="77777777" w:rsidR="003754FE" w:rsidRDefault="003754FE" w:rsidP="003754FE">
      <w:pPr>
        <w:pStyle w:val="TextoNormal"/>
      </w:pPr>
    </w:p>
    <w:p w14:paraId="4A664626" w14:textId="77777777" w:rsidR="003754FE" w:rsidRDefault="003754FE" w:rsidP="003754FE">
      <w:pPr>
        <w:pStyle w:val="TextoNormal"/>
      </w:pPr>
      <w:r>
        <w:t>1º Declarar que ha sido vulnerado el derecho fundamental de la demandante de amparo a la tutela judicial efectiva (art. 24.1 CE).</w:t>
      </w:r>
    </w:p>
    <w:p w14:paraId="58E93051" w14:textId="77777777" w:rsidR="003754FE" w:rsidRDefault="003754FE" w:rsidP="003754FE">
      <w:pPr>
        <w:pStyle w:val="TextoNormal"/>
      </w:pPr>
    </w:p>
    <w:p w14:paraId="4793DA6F" w14:textId="72DA7D5E" w:rsidR="003754FE" w:rsidRDefault="003754FE" w:rsidP="003754FE">
      <w:pPr>
        <w:pStyle w:val="TextoNormal"/>
      </w:pPr>
      <w:r>
        <w:t>2º Restablecerle en su derecho y, a tal fin, declarar la nulidad del auto de 2 de abril de 2020, dictado por el Juzgado de Violencia sobre la Mujer de San Sebastián, en el procedimiento de divorcio contencioso núm. 53-2017.</w:t>
      </w:r>
    </w:p>
    <w:p w14:paraId="386C2D0C" w14:textId="77777777" w:rsidR="003754FE" w:rsidRDefault="003754FE" w:rsidP="003754FE">
      <w:pPr>
        <w:pStyle w:val="TextoNormal"/>
      </w:pPr>
    </w:p>
    <w:p w14:paraId="3721AD84" w14:textId="77777777" w:rsidR="003754FE" w:rsidRDefault="003754FE" w:rsidP="003754FE">
      <w:pPr>
        <w:pStyle w:val="TextoNormal"/>
      </w:pPr>
      <w:r>
        <w:t>Publíquese esta sentencia en el “Boletín Oficial del Estado”.</w:t>
      </w:r>
    </w:p>
    <w:p w14:paraId="03191D55" w14:textId="77777777" w:rsidR="003754FE" w:rsidRDefault="003754FE" w:rsidP="003754FE">
      <w:pPr>
        <w:pStyle w:val="TextoNormal"/>
      </w:pPr>
      <w:r>
        <w:t>Dada en Madrid, a dos de diciembre de dos mil veinticuatro.</w:t>
      </w:r>
    </w:p>
    <w:p w14:paraId="566D1924" w14:textId="220A6032" w:rsidR="003754FE" w:rsidRDefault="003754FE" w:rsidP="003754FE">
      <w:pPr>
        <w:pStyle w:val="ParrafoNormal"/>
      </w:pPr>
    </w:p>
    <w:p w14:paraId="26F8479C" w14:textId="77777777" w:rsidR="003754FE" w:rsidRDefault="003754FE" w:rsidP="003754FE">
      <w:pPr>
        <w:pStyle w:val="TextoNormalNegritaCentrado"/>
        <w:keepNext/>
      </w:pPr>
      <w:r>
        <w:t>Voto particular que formula el magistrado don Enrique Arnaldo Alcubilla a la sentencia dictada por la Sala Segunda del Tribunal Constitucional en el recurso de amparo núm. 7684-2021</w:t>
      </w:r>
    </w:p>
    <w:p w14:paraId="31DA6773" w14:textId="22BF7BAC" w:rsidR="003754FE" w:rsidRDefault="003754FE" w:rsidP="003754FE">
      <w:pPr>
        <w:pStyle w:val="TextoNormalNegritaCentrado"/>
        <w:keepNext/>
      </w:pPr>
    </w:p>
    <w:p w14:paraId="0F4BE772" w14:textId="77777777" w:rsidR="003754FE" w:rsidRDefault="003754FE" w:rsidP="003754FE">
      <w:pPr>
        <w:pStyle w:val="TextoNormal"/>
      </w:pPr>
      <w:r>
        <w:t>En el ejercicio de la facultad conferida por el artículo 90.2 LOTC y con respeto a la opinión de mis compañeros, formulo el presente voto particular por las razones que defendí durante la deliberación en la Sala y que expongo a continuación.</w:t>
      </w:r>
    </w:p>
    <w:p w14:paraId="469D3A72" w14:textId="77777777" w:rsidR="003754FE" w:rsidRDefault="003754FE" w:rsidP="003754FE">
      <w:pPr>
        <w:pStyle w:val="TextoNormal"/>
      </w:pPr>
    </w:p>
    <w:p w14:paraId="66DCCBAB" w14:textId="77777777" w:rsidR="003754FE" w:rsidRDefault="003754FE" w:rsidP="003754FE">
      <w:pPr>
        <w:pStyle w:val="TextoNormal"/>
      </w:pPr>
      <w:r>
        <w:t>Las razones de mi discrepancia son sustancialmente las mismas de las que ya dejé constancia en el voto particular que formulé a la STC 115/2024, al que me remito ahora en su integridad.</w:t>
      </w:r>
    </w:p>
    <w:p w14:paraId="68986452" w14:textId="77777777" w:rsidR="003754FE" w:rsidRDefault="003754FE" w:rsidP="003754FE">
      <w:pPr>
        <w:pStyle w:val="TextoNormal"/>
      </w:pPr>
    </w:p>
    <w:p w14:paraId="743EB4DE" w14:textId="77777777" w:rsidR="003754FE" w:rsidRDefault="003754FE" w:rsidP="003754FE">
      <w:pPr>
        <w:pStyle w:val="TextoNormal"/>
      </w:pPr>
      <w:r>
        <w:t xml:space="preserve">De nuevo, al igual que entonces, la sentencia modifica el problema constitucional que se plantea en la demanda de amparo, pues, conforme a la queja que se planteaba, la decisión de la Sala debería haberse centrado en determinar si las resoluciones judiciales recurridas han vulnerado el derecho a la tutela judicial efectiva de la demandante de amparo, en su vertiente de obtención de una resolución debidamente motivada, por ser irrazonables y arbitrarias. Sin embargo, la sentencia, como ya hiciera la STC 115/2024, trata la cuestión desde la perspectiva del no alegado derecho fundamental a la no discriminación por razón de sexo del art. 14 CE, que se plantea en un contexto que considera vinculado a delitos relacionados con la violencia de género, para así construir un canon </w:t>
      </w:r>
      <w:r w:rsidRPr="003754FE">
        <w:rPr>
          <w:i/>
        </w:rPr>
        <w:t>ad hoc</w:t>
      </w:r>
      <w:r>
        <w:t xml:space="preserve"> para aplicar en el proceso, basado en la exigencia de motivación reforzada en contextos de violencia de género, que le lleva directamente a estimar el presente recurso de amparo. Algo que se hace obviando que solo mediante una artificiosa construcción cabe tildar de irrazonables o arbitrarias aquellas decisiones judiciales que se fundamentan, como en el caso, en los informes del equipo psicosocial judicial. La valoración de las pruebas practicadas en el proceso es cuestión de legalidad ordinaria, reservada a los órganos judiciales conforme al art. 117.3 CE y no a este tribunal que, nuevamente, convierte su intervención en un nuevo escalón judicial, en una nueva instancia.</w:t>
      </w:r>
    </w:p>
    <w:p w14:paraId="33A3F6D8" w14:textId="77777777" w:rsidR="003754FE" w:rsidRDefault="003754FE" w:rsidP="003754FE">
      <w:pPr>
        <w:pStyle w:val="TextoNormal"/>
      </w:pPr>
    </w:p>
    <w:p w14:paraId="28C70AD5" w14:textId="77777777" w:rsidR="003754FE" w:rsidRDefault="003754FE" w:rsidP="003754FE">
      <w:pPr>
        <w:pStyle w:val="TextoNormal"/>
      </w:pPr>
      <w:r>
        <w:t>Finalmente, no puedo dejar de advertir que la decisión de la Sala implica cambiar la inmediación de la decisión judicial por un juicio abstracto, ajeno a las circunstancias del caso concreto, en una peligrosa deriva que deja sin efecto lo decidido por la jurisdicción ordinaria, al sustituir un juicio por otro, pero sin ninguna consecuencia ni efectos para el caso, en la medida en que el pronunciamiento de la sentencia es meramente declarativo.</w:t>
      </w:r>
    </w:p>
    <w:p w14:paraId="08C768FB" w14:textId="77777777" w:rsidR="003754FE" w:rsidRDefault="003754FE" w:rsidP="003754FE">
      <w:pPr>
        <w:pStyle w:val="TextoNormal"/>
      </w:pPr>
    </w:p>
    <w:p w14:paraId="29B410E9" w14:textId="77777777" w:rsidR="003754FE" w:rsidRDefault="003754FE" w:rsidP="003754FE">
      <w:pPr>
        <w:pStyle w:val="TextoNormal"/>
      </w:pPr>
      <w:r>
        <w:t>Por todo ello considero que el recurso de amparo debió ser desestimado.</w:t>
      </w:r>
    </w:p>
    <w:p w14:paraId="302131F6" w14:textId="77777777" w:rsidR="003754FE" w:rsidRDefault="003754FE" w:rsidP="003754FE">
      <w:pPr>
        <w:pStyle w:val="TextoNormal"/>
      </w:pPr>
    </w:p>
    <w:p w14:paraId="0A20CF75" w14:textId="04868483" w:rsidR="003754FE" w:rsidRDefault="003754FE" w:rsidP="003754FE">
      <w:pPr>
        <w:pStyle w:val="TextoNormal"/>
      </w:pPr>
      <w:r>
        <w:t>Madrid, a dos de diciembre de dos mil veinticuatro.</w:t>
      </w:r>
    </w:p>
    <w:p w14:paraId="18B2230D" w14:textId="77777777" w:rsidR="003754FE" w:rsidRDefault="003754FE" w:rsidP="003754FE">
      <w:pPr>
        <w:pStyle w:val="TextoNormal"/>
      </w:pPr>
    </w:p>
    <w:p w14:paraId="403D020A" w14:textId="77777777" w:rsidR="003754FE" w:rsidRDefault="003754FE" w:rsidP="003754FE">
      <w:pPr>
        <w:pStyle w:val="TextoNormalNegritaCentrado"/>
        <w:keepNext/>
      </w:pPr>
      <w:r>
        <w:t>Voto particular concurrente que formula la magistrada doña Laura Díez Bueso a la sentencia dictada en el recurso de amparo núm. 7684-2021</w:t>
      </w:r>
    </w:p>
    <w:p w14:paraId="24FAEE72" w14:textId="499A51B2" w:rsidR="003754FE" w:rsidRDefault="003754FE" w:rsidP="003754FE">
      <w:pPr>
        <w:pStyle w:val="TextoNormalNegritaCentrado"/>
        <w:keepNext/>
      </w:pPr>
    </w:p>
    <w:p w14:paraId="1CA3AC39" w14:textId="77777777" w:rsidR="003754FE" w:rsidRDefault="003754FE" w:rsidP="003754FE">
      <w:pPr>
        <w:pStyle w:val="TextoNormal"/>
      </w:pPr>
      <w:r>
        <w:t xml:space="preserve">En el ejercicio de la facultad conferida por el artículo 90.2 LOTC, y con respeto a la opinión de mis compañeros, formulo el presente voto particular concurrente por cuanto, </w:t>
      </w:r>
      <w:r>
        <w:lastRenderedPageBreak/>
        <w:t>pese a que comparto el fallo estimatorio del recurso, disiento en parte de la argumentación de la sentencia.</w:t>
      </w:r>
    </w:p>
    <w:p w14:paraId="41A835C9" w14:textId="77777777" w:rsidR="003754FE" w:rsidRDefault="003754FE" w:rsidP="003754FE">
      <w:pPr>
        <w:pStyle w:val="TextoNormal"/>
      </w:pPr>
    </w:p>
    <w:p w14:paraId="2B29965D" w14:textId="77777777" w:rsidR="003754FE" w:rsidRDefault="003754FE" w:rsidP="003754FE">
      <w:pPr>
        <w:pStyle w:val="TextoNormal"/>
      </w:pPr>
      <w:r>
        <w:t>La sentencia estima el recurso de amparo por remisión a lo razonado en la STC 115/2024, que resolvió el recurso interpuesto por esta misma recurrente. Las razones de mi discrepancia son las mismas que ya quedaron expresadas en mi voto particular concurrente a la citada sentencia, por lo que me remito a lo allí expuesto.</w:t>
      </w:r>
    </w:p>
    <w:p w14:paraId="6A43AE89" w14:textId="77777777" w:rsidR="003754FE" w:rsidRDefault="003754FE" w:rsidP="003754FE">
      <w:pPr>
        <w:pStyle w:val="TextoNormal"/>
      </w:pPr>
    </w:p>
    <w:p w14:paraId="66961778" w14:textId="418BA2B3" w:rsidR="003754FE" w:rsidRDefault="003754FE" w:rsidP="003754FE">
      <w:pPr>
        <w:pStyle w:val="TextoNormal"/>
      </w:pPr>
      <w:r>
        <w:t>Madrid, a tres de diciembre de dos mil veinticuatro.</w:t>
      </w:r>
    </w:p>
    <w:p w14:paraId="4575FA2D" w14:textId="5A0B6FA8" w:rsidR="003754FE" w:rsidRDefault="003754FE">
      <w:pPr>
        <w:spacing w:after="160" w:line="278" w:lineRule="auto"/>
        <w:rPr>
          <w:rFonts w:ascii="Times New Roman" w:eastAsia="Times New Roman" w:hAnsi="Times New Roman" w:cs="Times New Roman"/>
          <w:sz w:val="24"/>
          <w:szCs w:val="24"/>
          <w:lang w:eastAsia="es-ES"/>
        </w:rPr>
      </w:pPr>
      <w:r>
        <w:br w:type="page"/>
      </w:r>
    </w:p>
    <w:p w14:paraId="39AEAD57" w14:textId="77777777" w:rsidR="003754FE" w:rsidRDefault="003754FE" w:rsidP="003754FE">
      <w:pPr>
        <w:pStyle w:val="TtuloResolucin"/>
      </w:pPr>
      <w:bookmarkStart w:id="55" w:name="SENTENCIA_2024_146"/>
      <w:r>
        <w:lastRenderedPageBreak/>
        <w:t>SENTENCIA 146/2024, de 2 de diciembre de 2024</w:t>
      </w:r>
    </w:p>
    <w:bookmarkEnd w:id="55"/>
    <w:p w14:paraId="721FE299" w14:textId="77777777" w:rsidR="003754FE" w:rsidRDefault="003754FE" w:rsidP="003754FE">
      <w:pPr>
        <w:pStyle w:val="TtuloResolucin"/>
      </w:pPr>
      <w:r>
        <w:t>Sala Primera</w:t>
      </w:r>
    </w:p>
    <w:p w14:paraId="4C9AD93F" w14:textId="77777777" w:rsidR="003754FE" w:rsidRDefault="003754FE" w:rsidP="003754FE">
      <w:pPr>
        <w:pStyle w:val="TtuloBOE"/>
      </w:pPr>
      <w:r>
        <w:t>(BOE núm. 5, de 6 de enero de 2025)</w:t>
      </w:r>
    </w:p>
    <w:p w14:paraId="2F63F43A" w14:textId="77777777" w:rsidR="003754FE" w:rsidRDefault="003754FE" w:rsidP="003754FE">
      <w:pPr>
        <w:pStyle w:val="TextoNormalCentrado"/>
      </w:pPr>
      <w:r>
        <w:t>ECLI:ES:TC:2024:146</w:t>
      </w:r>
    </w:p>
    <w:p w14:paraId="1FB397FF" w14:textId="47DAC929" w:rsidR="003754FE" w:rsidRDefault="003754FE" w:rsidP="003754FE">
      <w:pPr>
        <w:pStyle w:val="TextoNormalCentrado"/>
      </w:pPr>
    </w:p>
    <w:p w14:paraId="4A84C5A2" w14:textId="77777777" w:rsidR="003754FE" w:rsidRDefault="003754FE" w:rsidP="003754FE">
      <w:pPr>
        <w:pStyle w:val="SntesisDescriptiva"/>
      </w:pPr>
      <w:r>
        <w:t>Recurso de amparo 921-2022. Promovido por Auro New Transport Concept, S.L., respecto de la sentencia de la Sala de lo Civil y Penal del Tribunal Superior de Justicia de Madrid estimatoria de la acción de anulación de laudo arbitral.</w:t>
      </w:r>
    </w:p>
    <w:p w14:paraId="27EDD9CD" w14:textId="6AC9606A" w:rsidR="003754FE" w:rsidRDefault="003754FE" w:rsidP="003754FE">
      <w:pPr>
        <w:pStyle w:val="SntesisDescriptiva"/>
      </w:pPr>
    </w:p>
    <w:p w14:paraId="58C378EC" w14:textId="77777777" w:rsidR="003754FE" w:rsidRDefault="003754FE" w:rsidP="003754FE">
      <w:pPr>
        <w:pStyle w:val="SntesisAnaltica"/>
      </w:pPr>
      <w:r>
        <w:t>Vulneración del derecho a la tutela judicial efectiva (motivación): resolución judicial que, ignorando los límites propios de la acción de anulación del laudo y extendiendo irrazonablemente la noción de orden público, lleva a cabo una revisión del fondo (STC 46/2020).</w:t>
      </w:r>
    </w:p>
    <w:p w14:paraId="2BE7EF28" w14:textId="40C821BF" w:rsidR="003754FE" w:rsidRDefault="003754FE" w:rsidP="003754FE">
      <w:pPr>
        <w:pStyle w:val="SntesisAnaltica"/>
      </w:pPr>
    </w:p>
    <w:p w14:paraId="7F577354" w14:textId="1A05B99F" w:rsidR="003754FE" w:rsidRDefault="003754FE" w:rsidP="003754FE">
      <w:pPr>
        <w:pStyle w:val="Extracto"/>
      </w:pPr>
      <w:r>
        <w:t>1.</w:t>
      </w:r>
      <w:r>
        <w:tab/>
        <w:t>Por orden público material se entiende el conjunto de principios jurídicos públicos, privados, políticos, morales y económicos, que son absolutamente obligatorios para la conservación de la sociedad en un pueblo y en una época determinada (SSTC 15/1987 o 54/1989) [FJ 4].</w:t>
      </w:r>
    </w:p>
    <w:p w14:paraId="16803368" w14:textId="77777777" w:rsidR="003754FE" w:rsidRDefault="003754FE" w:rsidP="003754FE">
      <w:pPr>
        <w:pStyle w:val="Extracto"/>
      </w:pPr>
    </w:p>
    <w:p w14:paraId="06F20997" w14:textId="0F3AD8E5" w:rsidR="003754FE" w:rsidRDefault="003754FE" w:rsidP="003754FE">
      <w:pPr>
        <w:pStyle w:val="Extracto"/>
      </w:pPr>
      <w:r>
        <w:t>2.</w:t>
      </w:r>
      <w:r>
        <w:tab/>
        <w:t>Desde el punto de vista procesal, el orden público se configura como el conjunto de formalidades y principios necesarios de nuestro ordenamiento jurídico procesal; y el arbitraje que contradiga alguno o algunos de tales principios podrá ser tachado de nulo por vulneración del orden público (SSTC 46/2020 o 79/2022) [FJ 4].</w:t>
      </w:r>
    </w:p>
    <w:p w14:paraId="02D7F0CF" w14:textId="77777777" w:rsidR="003754FE" w:rsidRDefault="003754FE" w:rsidP="003754FE">
      <w:pPr>
        <w:pStyle w:val="Extracto"/>
      </w:pPr>
    </w:p>
    <w:p w14:paraId="2DCF3523" w14:textId="1B84005E" w:rsidR="003754FE" w:rsidRDefault="003754FE" w:rsidP="003754FE">
      <w:pPr>
        <w:pStyle w:val="Extracto"/>
      </w:pPr>
      <w:r>
        <w:t>3.</w:t>
      </w:r>
      <w:r>
        <w:tab/>
        <w:t>Dado que el concepto de orden público es poco nítido se multiplica el riesgo de que se convierta en un mero pretexto para que el órgano judicial reexamine las cuestiones debatidas en el procedimiento arbitral desnaturalizando la institución arbitral y vulnerando al final la autonomía de la voluntad de las partes. El órgano judicial no puede, con la excusa de una pretendida vulneración del orden público, revisar el fondo de un asunto sometido a arbitraje (SSTC 46/2020 o 65/2021) [FJ 5].</w:t>
      </w:r>
    </w:p>
    <w:p w14:paraId="7C821A7C" w14:textId="77777777" w:rsidR="003754FE" w:rsidRDefault="003754FE" w:rsidP="003754FE">
      <w:pPr>
        <w:pStyle w:val="Extracto"/>
      </w:pPr>
    </w:p>
    <w:p w14:paraId="5A410CE4" w14:textId="3C9CD17A" w:rsidR="003754FE" w:rsidRDefault="003754FE" w:rsidP="003754FE">
      <w:pPr>
        <w:pStyle w:val="Extracto"/>
      </w:pPr>
      <w:r>
        <w:t>4.</w:t>
      </w:r>
      <w:r>
        <w:tab/>
        <w:t>El posible control judicial del laudo y su conformidad con el orden público no puede traer como consecuencia que el órgano judicial supla al tribunal arbitral en su función de aplicación del Derecho. Tampoco es una segunda instancia revisora de los hechos y los derechos aplicados en el laudo, ni un mecanismo de control de la correcta aplicación de la jurisprudencia. Por consiguiente, si la resolución arbitral no puede tacharse de arbitraria, ilógica, absurda o irracional, no cabe declarar su nulidad amparándose en la noción de orden público (STC 17/2021) [FJ 5].</w:t>
      </w:r>
    </w:p>
    <w:p w14:paraId="5FAAB746" w14:textId="77777777" w:rsidR="003754FE" w:rsidRDefault="003754FE" w:rsidP="003754FE">
      <w:pPr>
        <w:pStyle w:val="Extracto"/>
      </w:pPr>
    </w:p>
    <w:p w14:paraId="1AC859E9" w14:textId="132E010F" w:rsidR="003754FE" w:rsidRDefault="003754FE" w:rsidP="003754FE">
      <w:pPr>
        <w:pStyle w:val="Extracto"/>
      </w:pPr>
      <w:r>
        <w:t>5.</w:t>
      </w:r>
      <w:r>
        <w:tab/>
        <w:t>El debate sobre el contenido de las pruebas practicadas en el proceso arbitral, sobre la eficacia probatoria de las mismas, o sobre su fuerza acreditativa, está, en principio, vedado al órgano judicial (STC 79/2022) [FJ 5].</w:t>
      </w:r>
    </w:p>
    <w:p w14:paraId="6FB042E0" w14:textId="77777777" w:rsidR="003754FE" w:rsidRDefault="003754FE" w:rsidP="003754FE">
      <w:pPr>
        <w:pStyle w:val="Extracto"/>
      </w:pPr>
    </w:p>
    <w:p w14:paraId="71E5BEC9" w14:textId="2D9466EF" w:rsidR="003754FE" w:rsidRDefault="003754FE" w:rsidP="003754FE">
      <w:pPr>
        <w:pStyle w:val="Extracto"/>
      </w:pPr>
      <w:r>
        <w:t>6.</w:t>
      </w:r>
      <w:r>
        <w:tab/>
        <w:t xml:space="preserve">Como modo heterónomo de resolución de conflictos, al arbitraje le es consustancial la mínima intervención de los órganos jurisdiccionales por virtud y a favor de la autonomía de la voluntad de las partes, que han decidido sustraer de la </w:t>
      </w:r>
      <w:r>
        <w:lastRenderedPageBreak/>
        <w:t>jurisdicción la resolución de sus posibles controversias y deferir a los árbitros el conocimiento y solución de sus conflictos (STC 17/2021 o 79/2022) [FJ 6].</w:t>
      </w:r>
    </w:p>
    <w:p w14:paraId="27274BD6" w14:textId="77777777" w:rsidR="003754FE" w:rsidRDefault="003754FE" w:rsidP="003754FE">
      <w:pPr>
        <w:pStyle w:val="Extracto"/>
      </w:pPr>
    </w:p>
    <w:p w14:paraId="5A6449BD" w14:textId="12B1C579" w:rsidR="003754FE" w:rsidRDefault="003754FE" w:rsidP="003754FE">
      <w:pPr>
        <w:pStyle w:val="Extracto"/>
      </w:pPr>
      <w:r>
        <w:t>7.</w:t>
      </w:r>
      <w:r>
        <w:tab/>
        <w:t>Las normas declaradas de orden público por la jurisprudencia interpretativa del Tribunal de Justicia de la Unión Europea deben ser tomadas en consideración para valorar la supuesta contrariedad al orden público nacional del laudo arbitral, al delimitar su ámbito de control judicial [FJ 7].</w:t>
      </w:r>
    </w:p>
    <w:p w14:paraId="7001E159" w14:textId="77777777" w:rsidR="003754FE" w:rsidRDefault="003754FE" w:rsidP="003754FE">
      <w:pPr>
        <w:pStyle w:val="Extracto"/>
      </w:pPr>
    </w:p>
    <w:p w14:paraId="0CE584EF" w14:textId="084B9A44" w:rsidR="003754FE" w:rsidRDefault="003754FE" w:rsidP="003754FE">
      <w:pPr>
        <w:pStyle w:val="Extracto"/>
      </w:pPr>
      <w:r>
        <w:t>8.</w:t>
      </w:r>
      <w:r>
        <w:tab/>
        <w:t>Ni la Constitución, ni en el art. 5.1 de la LOPJ, ni el art. 40.2 LOTC contemplan que pueda plantearse una “discrepancia razonada” de un órgano de la jurisdicción ordinaria con una doctrina de este Tribunal Constitucional, dejando de aplicar tal doctrina pertinente porque no le parezca adecuada. De hecho, al hacerlo así de manera deliberada, nos obliga, no a que cambiemos nuestra doctrina, sino a que admitamos a trámite el amparo por existir una negativa manifiesta del deber de acatar la doctrina constitucional establecida (STC 155/2009) [FJ 8].</w:t>
      </w:r>
    </w:p>
    <w:p w14:paraId="147DDB0A" w14:textId="77777777" w:rsidR="003754FE" w:rsidRDefault="003754FE" w:rsidP="003754FE">
      <w:pPr>
        <w:pStyle w:val="Extracto"/>
      </w:pPr>
    </w:p>
    <w:p w14:paraId="70E9C23D" w14:textId="77777777" w:rsidR="003754FE" w:rsidRDefault="003754FE" w:rsidP="003754FE">
      <w:pPr>
        <w:pStyle w:val="Extracto"/>
      </w:pPr>
    </w:p>
    <w:p w14:paraId="66BB87EE" w14:textId="77777777" w:rsidR="003754FE" w:rsidRDefault="003754FE" w:rsidP="003754FE">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33303F54" w14:textId="09FDC000" w:rsidR="003754FE" w:rsidRDefault="003754FE" w:rsidP="003754FE">
      <w:pPr>
        <w:pStyle w:val="TextoNormal"/>
      </w:pPr>
    </w:p>
    <w:p w14:paraId="79775953" w14:textId="77777777" w:rsidR="003754FE" w:rsidRDefault="003754FE" w:rsidP="003754FE">
      <w:pPr>
        <w:pStyle w:val="TextoNormalCentrado"/>
        <w:keepNext/>
      </w:pPr>
      <w:r>
        <w:t>EN NOMBRE DEL REY</w:t>
      </w:r>
    </w:p>
    <w:p w14:paraId="1899570A" w14:textId="4DACCE68" w:rsidR="003754FE" w:rsidRDefault="003754FE" w:rsidP="003754FE">
      <w:pPr>
        <w:pStyle w:val="TextoNormalCentrado"/>
        <w:keepNext/>
      </w:pPr>
    </w:p>
    <w:p w14:paraId="19D86309" w14:textId="77777777" w:rsidR="003754FE" w:rsidRDefault="003754FE" w:rsidP="003754FE">
      <w:pPr>
        <w:pStyle w:val="TextoNormalCentrado"/>
        <w:keepNext/>
      </w:pPr>
    </w:p>
    <w:p w14:paraId="23471713" w14:textId="77777777" w:rsidR="003754FE" w:rsidRDefault="003754FE" w:rsidP="003754FE">
      <w:pPr>
        <w:pStyle w:val="TextoNormal"/>
      </w:pPr>
      <w:r>
        <w:t>la siguiente</w:t>
      </w:r>
    </w:p>
    <w:p w14:paraId="4CE3950B" w14:textId="51D99572" w:rsidR="003754FE" w:rsidRDefault="003754FE" w:rsidP="003754FE">
      <w:pPr>
        <w:pStyle w:val="TextoNormal"/>
      </w:pPr>
    </w:p>
    <w:p w14:paraId="591DBCA6" w14:textId="77777777" w:rsidR="003754FE" w:rsidRDefault="003754FE" w:rsidP="003754FE">
      <w:pPr>
        <w:pStyle w:val="TextoNormalCentrado"/>
        <w:keepNext/>
      </w:pPr>
      <w:r>
        <w:t>SENTENCIA</w:t>
      </w:r>
    </w:p>
    <w:p w14:paraId="20AF4958" w14:textId="7F9D85AA" w:rsidR="003754FE" w:rsidRDefault="003754FE" w:rsidP="003754FE">
      <w:pPr>
        <w:pStyle w:val="TextoNormalCentrado"/>
        <w:keepNext/>
      </w:pPr>
    </w:p>
    <w:p w14:paraId="493D85C0" w14:textId="77777777" w:rsidR="003754FE" w:rsidRDefault="003754FE" w:rsidP="003754FE">
      <w:pPr>
        <w:pStyle w:val="TextoNormal"/>
      </w:pPr>
      <w:r>
        <w:t>En el recurso de amparo núm. 921-2022, promovido por Auro New Transport Concept, S.L., contra: (i) la sentencia de la Sala de lo Civil y Penal del Tribunal Superior de Justicia de Madrid, núm. 66/2021, de 22 de octubre, recaída en el asunto civil núm. 24-2021, procedimiento de anulación de laudo arbitral núm. 17-2021; y (ii) el auto de la misma Sala de 11 de enero de 2022, que desestimó el incidente de nulidad de actuaciones formulado frente a aquella sentencia (mediante auto de 25 de enero de 2022 se denegó completar o corregir el anterior). Han intervenido Maxi Mobility Spain, S.L.U. (Cabify España, S.L.), y el Ministerio Fiscal. Ha sido ponente el magistrado don Ricardo Enríquez Sancho.</w:t>
      </w:r>
    </w:p>
    <w:p w14:paraId="560F4C0E" w14:textId="3B51B946" w:rsidR="003754FE" w:rsidRDefault="003754FE" w:rsidP="003754FE">
      <w:pPr>
        <w:pStyle w:val="TextoNormal"/>
      </w:pPr>
    </w:p>
    <w:p w14:paraId="5C997D8B" w14:textId="77777777" w:rsidR="003754FE" w:rsidRDefault="003754FE" w:rsidP="003754FE">
      <w:pPr>
        <w:pStyle w:val="TextoNormalNegritaCentrado"/>
        <w:keepNext/>
      </w:pPr>
      <w:r>
        <w:t>I. Antecedentes</w:t>
      </w:r>
    </w:p>
    <w:p w14:paraId="117A64EE" w14:textId="1F7EC007" w:rsidR="003754FE" w:rsidRDefault="003754FE" w:rsidP="003754FE">
      <w:pPr>
        <w:pStyle w:val="TextoNormalNegritaCentrado"/>
        <w:keepNext/>
      </w:pPr>
    </w:p>
    <w:p w14:paraId="1C8C129B" w14:textId="0FC0D3A4" w:rsidR="003754FE" w:rsidRDefault="003754FE" w:rsidP="003754FE">
      <w:pPr>
        <w:pStyle w:val="TextoNormal"/>
      </w:pPr>
      <w:r w:rsidRPr="003754FE">
        <w:rPr>
          <w:rStyle w:val="NumeroAFNegritaCaracter"/>
        </w:rPr>
        <w:t>1</w:t>
      </w:r>
      <w:r>
        <w:t>. Mediante escrito presentado en el registro general de este tribunal el 11 de febrero de 2022, el procurador de los tribunales don Ramón Rodríguez Nogueira, actuando en nombre y representación de Auro New Transport Concept, S.L., bajo la defensa del abogado don Miguel Moscardó Morales-Vara del Rey y la abogada doña María Luisa García Blanco, interpuso demanda de amparo contra las resoluciones arriba mencionadas.</w:t>
      </w:r>
    </w:p>
    <w:p w14:paraId="275BE03E" w14:textId="77777777" w:rsidR="003754FE" w:rsidRDefault="003754FE" w:rsidP="003754FE">
      <w:pPr>
        <w:pStyle w:val="TextoNormal"/>
      </w:pPr>
    </w:p>
    <w:p w14:paraId="35074BFF" w14:textId="77777777" w:rsidR="003754FE" w:rsidRDefault="003754FE" w:rsidP="003754FE">
      <w:pPr>
        <w:pStyle w:val="TextoNormal"/>
      </w:pPr>
      <w:r w:rsidRPr="003754FE">
        <w:rPr>
          <w:rStyle w:val="NumeroAFNegritaCaracter"/>
        </w:rPr>
        <w:lastRenderedPageBreak/>
        <w:t>2</w:t>
      </w:r>
      <w:r>
        <w:t>. Los hechos con relevancia para la resolución del presente recurso de amparo, y a los que se refiere la demanda presentada, son los siguientes:</w:t>
      </w:r>
    </w:p>
    <w:p w14:paraId="0C444010" w14:textId="77777777" w:rsidR="003754FE" w:rsidRDefault="003754FE" w:rsidP="003754FE">
      <w:pPr>
        <w:pStyle w:val="TextoNormal"/>
      </w:pPr>
    </w:p>
    <w:p w14:paraId="73902D00" w14:textId="77777777" w:rsidR="003754FE" w:rsidRDefault="003754FE" w:rsidP="003754FE">
      <w:pPr>
        <w:pStyle w:val="TextoNormal"/>
      </w:pPr>
      <w:r>
        <w:t>A) Laudo arbitral definitivo</w:t>
      </w:r>
    </w:p>
    <w:p w14:paraId="18D8E414" w14:textId="77777777" w:rsidR="003754FE" w:rsidRDefault="003754FE" w:rsidP="003754FE">
      <w:pPr>
        <w:pStyle w:val="TextoNormal"/>
      </w:pPr>
    </w:p>
    <w:p w14:paraId="48C853E4" w14:textId="77777777" w:rsidR="003754FE" w:rsidRDefault="003754FE" w:rsidP="003754FE">
      <w:pPr>
        <w:pStyle w:val="TextoNormal"/>
      </w:pPr>
      <w:r>
        <w:t>La entidad entonces denominada Maxi Mobility Spain, S.L.U. (en adelante, Cabify), empresa española dedicada a poner en contacto a usuarios particulares y empresas de alquiler de vehículos con conductor bajo licencia VTC (vehículos de turismo con conductor) a través de una plataforma tecnológica (plataforma Cabify) y la entidad Gestaxi (posteriormente Auro New Transport Concept, S.L., en adelante Auro), sociedad española proveedora de servicios de arrendamiento de vehículos con conductor bajo licencia VTC, suscribieron el 15 de febrero de 2017 un contrato de prestación de servicios para el transporte de terceros, con duración inicial de dos años, prorrogables, y un contrato de arrendamiento de vehículos con conductor, con la misma duración que aquel y prorrogable con otras condiciones. Posteriormente, el 21 de julio de 2017, las dos entidades suscribieron un primer contrato de colaboración y desarrollo de negocio (o contrato inicial, a efectos del conflicto de arbitraje al que ahora se aludirá), así como un contrato de crédito por importe de 32 900 000 €, ampliable hasta 45 240 000 €, por el que Cabify financió la adquisición de licencias VTC por Gestaxi que debían operar a través de la plataforma Cabify, además de servir al pago de un préstamo concedido a Auro el 16 de junio de 2017 por importe de 4 000 000 €. Ambos contratos fueron novados por ambas sociedades por contratos firmados el 10 de noviembre de 2017. Un año después, el 5 de diciembre de 2018, Cabify y Auro suscribieron un acuerdo de refinanciación y de modificación (no extintiva) de un contrato de crédito así como una segunda novación modificativa (no extintiva) del contrato de colaboración inicial, suscrito entre Cabify, por un lado, y Auro y la entidad La Lanzada, por el otro. El cumplimiento de este contrato de novación del de colaboración es el que da lugar a la controversia arbitral, por algunas condiciones que impone a Auro y que esta considera restrictivas de la competencia.</w:t>
      </w:r>
    </w:p>
    <w:p w14:paraId="6D3232FD" w14:textId="77777777" w:rsidR="003754FE" w:rsidRDefault="003754FE" w:rsidP="003754FE">
      <w:pPr>
        <w:pStyle w:val="TextoNormal"/>
      </w:pPr>
    </w:p>
    <w:p w14:paraId="55B77951" w14:textId="77777777" w:rsidR="003754FE" w:rsidRDefault="003754FE" w:rsidP="003754FE">
      <w:pPr>
        <w:pStyle w:val="TextoNormal"/>
      </w:pPr>
      <w:r>
        <w:t xml:space="preserve">De este modo, Cabify formuló una solicitud de arbitraje contra Auro, que obtuvo respuesta de esta última anunciando reconvención, sometiendo su controversia a arbitraje conforme a la cláusula 17.2 del contrato de colaboración y desarrollo de negocio ya mencionado; se designó para su resolución un tribunal arbitral compuesto por tres árbitros de la Corte de Arbitraje de la Cámara Oficial de Comercio, Industria y Servicios de Madrid. La primera de dichas entidades (Cabify) presentó demanda de arbitraje contra la segunda de ellas el 3 de diciembre de 2019, mientras que la entidad demandada (Auro) presentó el 23 de enero de 2020 un escrito de contestación a la demanda y reconvención (actualizando luego el </w:t>
      </w:r>
      <w:r w:rsidRPr="003754FE">
        <w:rPr>
          <w:i/>
        </w:rPr>
        <w:t>petitum</w:t>
      </w:r>
      <w:r>
        <w:t xml:space="preserve"> de la reconvención por escrito de 2 de junio de 2020). El 20 de febrero de 2020, Cabify presentó escrito de contestación a la reconvención, oponiéndose a ella.</w:t>
      </w:r>
    </w:p>
    <w:p w14:paraId="34ED4068" w14:textId="77777777" w:rsidR="003754FE" w:rsidRDefault="003754FE" w:rsidP="003754FE">
      <w:pPr>
        <w:pStyle w:val="TextoNormal"/>
      </w:pPr>
    </w:p>
    <w:p w14:paraId="3258AA8E" w14:textId="77777777" w:rsidR="003754FE" w:rsidRDefault="003754FE" w:rsidP="003754FE">
      <w:pPr>
        <w:pStyle w:val="TextoNormal"/>
      </w:pPr>
      <w:r>
        <w:t>Una vez tramitado el procedimiento, el 29 de diciembre de 2020 el tribunal arbitral constituido para resolver el asunto CAM 2956-19/AM-SG planteado entre las dos entidades ya identificadas, dictó un laudo final por mayoría de dos de los tres árbitros designados, al que se acompañó un voto particular discrepante del tercer árbitro designado.</w:t>
      </w:r>
    </w:p>
    <w:p w14:paraId="583E38A7" w14:textId="77777777" w:rsidR="003754FE" w:rsidRDefault="003754FE" w:rsidP="003754FE">
      <w:pPr>
        <w:pStyle w:val="TextoNormal"/>
      </w:pPr>
    </w:p>
    <w:p w14:paraId="16C4EB5E" w14:textId="77777777" w:rsidR="003754FE" w:rsidRDefault="003754FE" w:rsidP="003754FE">
      <w:pPr>
        <w:pStyle w:val="TextoNormal"/>
      </w:pPr>
      <w:r>
        <w:t>a) Parte dispositiva</w:t>
      </w:r>
    </w:p>
    <w:p w14:paraId="06E23C01" w14:textId="77777777" w:rsidR="003754FE" w:rsidRDefault="003754FE" w:rsidP="003754FE">
      <w:pPr>
        <w:pStyle w:val="TextoNormal"/>
      </w:pPr>
    </w:p>
    <w:p w14:paraId="0A42AC0A" w14:textId="77777777" w:rsidR="003754FE" w:rsidRDefault="003754FE" w:rsidP="003754FE">
      <w:pPr>
        <w:pStyle w:val="TextoNormal"/>
      </w:pPr>
      <w:r>
        <w:t>El laudo tiene esta parte dispositiva:</w:t>
      </w:r>
    </w:p>
    <w:p w14:paraId="24A527EB" w14:textId="77777777" w:rsidR="003754FE" w:rsidRDefault="003754FE" w:rsidP="003754FE">
      <w:pPr>
        <w:pStyle w:val="TextoNormal"/>
      </w:pPr>
    </w:p>
    <w:p w14:paraId="72167BD9" w14:textId="77777777" w:rsidR="003754FE" w:rsidRDefault="003754FE" w:rsidP="003754FE">
      <w:pPr>
        <w:pStyle w:val="TextoNormal"/>
      </w:pPr>
      <w:r>
        <w:t xml:space="preserve">“404. Por las razones expuestas, el tribunal arbitral resuelve, por mayoría, tomando en cuenta los respectivos </w:t>
      </w:r>
      <w:r w:rsidRPr="003754FE">
        <w:rPr>
          <w:i/>
        </w:rPr>
        <w:t>petita</w:t>
      </w:r>
      <w:r>
        <w:t xml:space="preserve"> de las partes, lo siguiente:</w:t>
      </w:r>
    </w:p>
    <w:p w14:paraId="2B21CDBE" w14:textId="77777777" w:rsidR="003754FE" w:rsidRDefault="003754FE" w:rsidP="003754FE">
      <w:pPr>
        <w:pStyle w:val="TextoNormal"/>
      </w:pPr>
    </w:p>
    <w:p w14:paraId="3D79A700" w14:textId="77777777" w:rsidR="003754FE" w:rsidRDefault="003754FE" w:rsidP="003754FE">
      <w:pPr>
        <w:pStyle w:val="TextoNormal"/>
      </w:pPr>
      <w:r>
        <w:t>1. Declarar la nulidad de pleno derecho de las cláusulas 2.2 y 10 g) e (i) del contrato, por infringir el artículo 1.1 LDC [Ley 15/2007, de 3 de julio, de defensa de la competencia], estimando que dicha nulidad tiene efecto desde la firma de dicho contrato, el día 5 de diciembre de 2018, no habiendo lugar a restitución de las obligaciones de las partes en relación con las obligaciones de ambas surgidas al amparo de estas dos cláusulas.</w:t>
      </w:r>
    </w:p>
    <w:p w14:paraId="036D0E56" w14:textId="77777777" w:rsidR="003754FE" w:rsidRDefault="003754FE" w:rsidP="003754FE">
      <w:pPr>
        <w:pStyle w:val="TextoNormal"/>
      </w:pPr>
    </w:p>
    <w:p w14:paraId="5A2B4C35" w14:textId="77777777" w:rsidR="003754FE" w:rsidRDefault="003754FE" w:rsidP="003754FE">
      <w:pPr>
        <w:pStyle w:val="TextoNormal"/>
      </w:pPr>
      <w:r>
        <w:t>2. Como consecuencia del pronunciamiento anterior, estimatorio de la pretensión principal de Auro en la contestación a la demanda, no procede pronunciamiento alguno respecto de las pretensiones formuladas por Cabify consistentes en (i) la declaración de incumplimiento por Auro de la obligación de no competencia establecida en la cláusula 2.2 del contrato, (ii) la condena a Auro a cesar inmediatamente de operar las licencias VTC adscritas a la plataforma Cabify a través de Auro Travel y (iii) la condena a Auro a abonar a Cabify la cuantía de 41 796 713,22 € en concepto de penalización prevista en la cláusula 10 del contrato; y decaen también las pretensiones subsidiarias formuladas por Auro.</w:t>
      </w:r>
    </w:p>
    <w:p w14:paraId="01F431B3" w14:textId="77777777" w:rsidR="003754FE" w:rsidRDefault="003754FE" w:rsidP="003754FE">
      <w:pPr>
        <w:pStyle w:val="TextoNormal"/>
      </w:pPr>
    </w:p>
    <w:p w14:paraId="5C526A23" w14:textId="77777777" w:rsidR="003754FE" w:rsidRDefault="003754FE" w:rsidP="003754FE">
      <w:pPr>
        <w:pStyle w:val="TextoNormal"/>
      </w:pPr>
      <w:r>
        <w:t xml:space="preserve">3. Declarar su competencia para decidir exclusivamente acerca de los incumplimientos contractuales imputados Cabify consistentes en ‘la falta de pago del </w:t>
      </w:r>
      <w:r w:rsidRPr="003754FE">
        <w:rPr>
          <w:i/>
        </w:rPr>
        <w:t>service fee</w:t>
      </w:r>
      <w:r>
        <w:t>’ y ‘la incorporación de nuevos vehículos. Expansión geográfica’.</w:t>
      </w:r>
    </w:p>
    <w:p w14:paraId="0C27C0A8" w14:textId="77777777" w:rsidR="003754FE" w:rsidRDefault="003754FE" w:rsidP="003754FE">
      <w:pPr>
        <w:pStyle w:val="TextoNormal"/>
      </w:pPr>
    </w:p>
    <w:p w14:paraId="54649B09" w14:textId="77777777" w:rsidR="003754FE" w:rsidRDefault="003754FE" w:rsidP="003754FE">
      <w:pPr>
        <w:pStyle w:val="TextoNormal"/>
      </w:pPr>
      <w:r>
        <w:t xml:space="preserve">4. Rechazar la declaración de incumplimientos contractuales formulados por Auro frente a Cabify en relación con ‘la falta de pago del </w:t>
      </w:r>
      <w:r w:rsidRPr="003754FE">
        <w:rPr>
          <w:i/>
        </w:rPr>
        <w:t>service</w:t>
      </w:r>
      <w:r>
        <w:t xml:space="preserve"> </w:t>
      </w:r>
      <w:r w:rsidRPr="003754FE">
        <w:rPr>
          <w:i/>
        </w:rPr>
        <w:t>fee</w:t>
      </w:r>
      <w:r>
        <w:t>’ y ‘la incorporación de nuevos vehículos. Expansión geográfica’ y, en consecuencia, rechazar la declaración de resolución del contrato y la indemnización de los daños y perjuicios por estos conceptos.</w:t>
      </w:r>
    </w:p>
    <w:p w14:paraId="38FBE08F" w14:textId="77777777" w:rsidR="003754FE" w:rsidRDefault="003754FE" w:rsidP="003754FE">
      <w:pPr>
        <w:pStyle w:val="TextoNormal"/>
      </w:pPr>
    </w:p>
    <w:p w14:paraId="50C220CF" w14:textId="77777777" w:rsidR="003754FE" w:rsidRDefault="003754FE" w:rsidP="003754FE">
      <w:pPr>
        <w:pStyle w:val="TextoNormal"/>
      </w:pPr>
      <w:r>
        <w:t>5. Rechazar la condena a Cabify al abono de los intereses.</w:t>
      </w:r>
    </w:p>
    <w:p w14:paraId="16AAB9BD" w14:textId="77777777" w:rsidR="003754FE" w:rsidRDefault="003754FE" w:rsidP="003754FE">
      <w:pPr>
        <w:pStyle w:val="TextoNormal"/>
      </w:pPr>
    </w:p>
    <w:p w14:paraId="48F6B65D" w14:textId="77777777" w:rsidR="003754FE" w:rsidRDefault="003754FE" w:rsidP="003754FE">
      <w:pPr>
        <w:pStyle w:val="TextoNormal"/>
      </w:pPr>
      <w:r>
        <w:t>6. No hacer imposición de las costas del arbitraje, debiendo satisfacer las partes los gastos comunes del arbitraje a partes iguales y haciéndose cargo cada parte de sus propios gastos de defensa. A tales efectos, se deja constancia de que Auro adeuda a Cabify 6 086,40 € en concepto de gastos comunes del arbitraje que deberán ser reintegrados a Cabify por Auro.</w:t>
      </w:r>
    </w:p>
    <w:p w14:paraId="26EDE99C" w14:textId="77777777" w:rsidR="003754FE" w:rsidRDefault="003754FE" w:rsidP="003754FE">
      <w:pPr>
        <w:pStyle w:val="TextoNormal"/>
      </w:pPr>
    </w:p>
    <w:p w14:paraId="1E7697F6" w14:textId="77777777" w:rsidR="003754FE" w:rsidRDefault="003754FE" w:rsidP="003754FE">
      <w:pPr>
        <w:pStyle w:val="TextoNormal"/>
      </w:pPr>
      <w:r>
        <w:t>7. Rechazar cualesquiera otras pretensiones principales y/o subsidiarias de cualesquiera de las partes que no hayan sido expresamente acogidas y estimadas en la parte dispositiva de este laudo final”.</w:t>
      </w:r>
    </w:p>
    <w:p w14:paraId="7E0E369F" w14:textId="77777777" w:rsidR="003754FE" w:rsidRDefault="003754FE" w:rsidP="003754FE">
      <w:pPr>
        <w:pStyle w:val="TextoNormal"/>
      </w:pPr>
    </w:p>
    <w:p w14:paraId="302CFF94" w14:textId="77777777" w:rsidR="003754FE" w:rsidRDefault="003754FE" w:rsidP="003754FE">
      <w:pPr>
        <w:pStyle w:val="TextoNormal"/>
      </w:pPr>
      <w:r>
        <w:t>b) Fundamentación</w:t>
      </w:r>
    </w:p>
    <w:p w14:paraId="75CF8CDF" w14:textId="77777777" w:rsidR="003754FE" w:rsidRDefault="003754FE" w:rsidP="003754FE">
      <w:pPr>
        <w:pStyle w:val="TextoNormal"/>
      </w:pPr>
    </w:p>
    <w:p w14:paraId="092588C5" w14:textId="77777777" w:rsidR="003754FE" w:rsidRDefault="003754FE" w:rsidP="003754FE">
      <w:pPr>
        <w:pStyle w:val="TextoNormal"/>
      </w:pPr>
      <w:r>
        <w:t>En lo que importa al presente recurso de amparo, en el laudo final se incluyen los siguientes razonamientos:</w:t>
      </w:r>
    </w:p>
    <w:p w14:paraId="1C197962" w14:textId="77777777" w:rsidR="003754FE" w:rsidRDefault="003754FE" w:rsidP="003754FE">
      <w:pPr>
        <w:pStyle w:val="TextoNormal"/>
      </w:pPr>
    </w:p>
    <w:p w14:paraId="5617226D" w14:textId="77777777" w:rsidR="003754FE" w:rsidRDefault="003754FE" w:rsidP="003754FE">
      <w:pPr>
        <w:pStyle w:val="TextoNormal"/>
      </w:pPr>
      <w:r>
        <w:t>“XI. Sobre el fondo de la disputa: decisión sobre las pretensiones de las partes.</w:t>
      </w:r>
    </w:p>
    <w:p w14:paraId="55C9EA47" w14:textId="77777777" w:rsidR="003754FE" w:rsidRDefault="003754FE" w:rsidP="003754FE">
      <w:pPr>
        <w:pStyle w:val="TextoNormal"/>
      </w:pPr>
    </w:p>
    <w:p w14:paraId="75467BD6" w14:textId="77777777" w:rsidR="003754FE" w:rsidRDefault="003754FE" w:rsidP="003754FE">
      <w:pPr>
        <w:pStyle w:val="TextoNormal"/>
      </w:pPr>
      <w:r>
        <w:t>A. La nulidad de la cláusula 2.2 y cláusulas vinculadas del contrato solicitada por Auro</w:t>
      </w:r>
    </w:p>
    <w:p w14:paraId="0B560B98" w14:textId="77777777" w:rsidR="003754FE" w:rsidRDefault="003754FE" w:rsidP="003754FE">
      <w:pPr>
        <w:pStyle w:val="TextoNormal"/>
      </w:pPr>
    </w:p>
    <w:p w14:paraId="5FBCF1D7" w14:textId="77777777" w:rsidR="003754FE" w:rsidRDefault="003754FE" w:rsidP="003754FE">
      <w:pPr>
        <w:pStyle w:val="TextoNormal"/>
      </w:pPr>
      <w:r>
        <w:lastRenderedPageBreak/>
        <w:t>[…]</w:t>
      </w:r>
    </w:p>
    <w:p w14:paraId="2453B077" w14:textId="77777777" w:rsidR="003754FE" w:rsidRDefault="003754FE" w:rsidP="003754FE">
      <w:pPr>
        <w:pStyle w:val="TextoNormal"/>
      </w:pPr>
    </w:p>
    <w:p w14:paraId="206457C4" w14:textId="77777777" w:rsidR="003754FE" w:rsidRDefault="003754FE" w:rsidP="003754FE">
      <w:pPr>
        <w:pStyle w:val="TextoNormal"/>
      </w:pPr>
      <w:r>
        <w:t>ii. Análisis del tribunal arbitral:</w:t>
      </w:r>
    </w:p>
    <w:p w14:paraId="285D4D00" w14:textId="77777777" w:rsidR="003754FE" w:rsidRDefault="003754FE" w:rsidP="003754FE">
      <w:pPr>
        <w:pStyle w:val="TextoNormal"/>
      </w:pPr>
    </w:p>
    <w:p w14:paraId="599BFCA5" w14:textId="77777777" w:rsidR="003754FE" w:rsidRDefault="003754FE" w:rsidP="003754FE">
      <w:pPr>
        <w:pStyle w:val="TextoNormal"/>
      </w:pPr>
      <w:r>
        <w:t>[…]</w:t>
      </w:r>
    </w:p>
    <w:p w14:paraId="13C651BA" w14:textId="77777777" w:rsidR="003754FE" w:rsidRDefault="003754FE" w:rsidP="003754FE">
      <w:pPr>
        <w:pStyle w:val="TextoNormal"/>
      </w:pPr>
    </w:p>
    <w:p w14:paraId="4458FC14" w14:textId="77777777" w:rsidR="003754FE" w:rsidRDefault="003754FE" w:rsidP="003754FE">
      <w:pPr>
        <w:pStyle w:val="TextoNormal"/>
      </w:pPr>
      <w:r>
        <w:t>261. La razón para analizar en primer término el mercado relevante es doble: de una parte porque es la realidad sobre la que debe operar el análisis jurídico relativo a la defensa de la competencia en sentido amplio [se abre la nota al pie 149 con el siguiente texto: ‘Comisión Europea, comunicación de la Comisión relativa a la definición de mercado de referencia a efectos de la normativa comunitaria en materia de competencia (Diario Oficial C372 de 9.12.1997). https://eur-lex.europa.eu/legal-content/ES/TXT/?uri=LEGISSUM:l26073’]; y de otra, porque es imprescindible, a efectos de la toma de decisión en este laudo final, deslindar claramente qué operadores forman parte del mismo, entre los diversos operadores que, a través de la prestación de los diferentes modos de transporte urbano, coinciden en el mercado geográfico de referencia. No es lo mismo evidentemente referir el mercado de referencia a 80 000 vehículos que a 16 500, ni es lo mismo considerar que cualquier vehículo de transporte colectivo, esté o no conectado a una plataforma tecnológica, constituye uno de los miles de operadores de un mercado casi que absolutamente diseminado.</w:t>
      </w:r>
    </w:p>
    <w:p w14:paraId="2BC159A9" w14:textId="77777777" w:rsidR="003754FE" w:rsidRDefault="003754FE" w:rsidP="003754FE">
      <w:pPr>
        <w:pStyle w:val="TextoNormal"/>
      </w:pPr>
    </w:p>
    <w:p w14:paraId="64172926" w14:textId="77777777" w:rsidR="003754FE" w:rsidRDefault="003754FE" w:rsidP="003754FE">
      <w:pPr>
        <w:pStyle w:val="TextoNormal"/>
      </w:pPr>
      <w:r>
        <w:t xml:space="preserve">262. A este respecto, entiende el tribunal arbitral por mayoría que es pertinente traer a colación algunas de las conclusiones a las que llega la Comisión Europea en su informe final </w:t>
      </w:r>
      <w:r w:rsidRPr="003754FE">
        <w:rPr>
          <w:i/>
        </w:rPr>
        <w:t>Competition policy for the digital era</w:t>
      </w:r>
      <w:r>
        <w:t xml:space="preserve"> publicado en 2019.</w:t>
      </w:r>
    </w:p>
    <w:p w14:paraId="78E9B0BF" w14:textId="77777777" w:rsidR="003754FE" w:rsidRDefault="003754FE" w:rsidP="003754FE">
      <w:pPr>
        <w:pStyle w:val="TextoNormal"/>
      </w:pPr>
    </w:p>
    <w:p w14:paraId="261E3346" w14:textId="77777777" w:rsidR="003754FE" w:rsidRDefault="003754FE" w:rsidP="003754FE">
      <w:pPr>
        <w:pStyle w:val="TextoNormal"/>
      </w:pPr>
      <w:r>
        <w:t>[Los fundamentos 263 a 270 analizan diversos aspectos del citado informe sobre el mercado de las plataformas tecnológicas. En el apartado 270 se afirma que lo anterior sirve] no como fundamento de la decisión de la mayoría, pero sí como encuadramiento de la cuestión planteada dentro del marco al que las partes han llevado la discusión.</w:t>
      </w:r>
    </w:p>
    <w:p w14:paraId="2C7A758A" w14:textId="77777777" w:rsidR="003754FE" w:rsidRDefault="003754FE" w:rsidP="003754FE">
      <w:pPr>
        <w:pStyle w:val="TextoNormal"/>
      </w:pPr>
    </w:p>
    <w:p w14:paraId="0B733DDD" w14:textId="77777777" w:rsidR="003754FE" w:rsidRDefault="003754FE" w:rsidP="003754FE">
      <w:pPr>
        <w:pStyle w:val="TextoNormal"/>
      </w:pPr>
      <w:r>
        <w:t>[…]</w:t>
      </w:r>
    </w:p>
    <w:p w14:paraId="5C1F5F19" w14:textId="77777777" w:rsidR="003754FE" w:rsidRDefault="003754FE" w:rsidP="003754FE">
      <w:pPr>
        <w:pStyle w:val="TextoNormal"/>
      </w:pPr>
    </w:p>
    <w:p w14:paraId="4EB1F233" w14:textId="77777777" w:rsidR="003754FE" w:rsidRDefault="003754FE" w:rsidP="003754FE">
      <w:pPr>
        <w:pStyle w:val="TextoNormal"/>
      </w:pPr>
      <w:r>
        <w:t>284. La conducta analizada por la resolución se enmarca en las regiones en las cuales operan las demandadas, e incluyen Madrid, Barcelona, Valencia, Sevilla, Málaga y Alicante por parte de Cabify. Uber no está presente en el momento de la resolución ni en Valencia ni en Alicante. Por su parte, Mytaxi está presente en Barcelona, Madrid, Valencia y Sevilla. Por todo ello, la resolución indica que el mercado geográfico relevante sería autonómico, ‘abarcando la conducta denunciada a varias comunidades autónomas’, si bien resulta apropiado dejar la definición de mercado abierta ya que las conclusiones del análisis no varían en virtud de la definición de mercado establecida.</w:t>
      </w:r>
    </w:p>
    <w:p w14:paraId="33DE0D1B" w14:textId="77777777" w:rsidR="003754FE" w:rsidRDefault="003754FE" w:rsidP="003754FE">
      <w:pPr>
        <w:pStyle w:val="TextoNormal"/>
      </w:pPr>
    </w:p>
    <w:p w14:paraId="4CAE49B2" w14:textId="77777777" w:rsidR="003754FE" w:rsidRDefault="003754FE" w:rsidP="003754FE">
      <w:pPr>
        <w:pStyle w:val="TextoNormal"/>
      </w:pPr>
      <w:r>
        <w:t>[…]</w:t>
      </w:r>
    </w:p>
    <w:p w14:paraId="2C6A1911" w14:textId="77777777" w:rsidR="003754FE" w:rsidRDefault="003754FE" w:rsidP="003754FE">
      <w:pPr>
        <w:pStyle w:val="TextoNormal"/>
      </w:pPr>
    </w:p>
    <w:p w14:paraId="04D90A6A" w14:textId="77777777" w:rsidR="003754FE" w:rsidRDefault="003754FE" w:rsidP="003754FE">
      <w:pPr>
        <w:pStyle w:val="TextoNormal"/>
      </w:pPr>
      <w:r>
        <w:t xml:space="preserve">286. Sobre el mercado relevante, y en especial sobre su conformación fáctica, las partes han debatido a lo largo del procedimiento intensamente, sin perjuicio de que, en todo caso, el tribunal arbitral estaba obligado a determinarlo incluso de oficio para poder llegar a la solución del problema, que es lo que exige la redacción debida de este laudo final. Ello porque para decidir sobre la nulidad de la cláusula 2.2 solicitada, es inevitable decidir sobre la realidad en la que la cláusula se aplica. Además, no conviene olvidar que en materia de </w:t>
      </w:r>
      <w:r>
        <w:lastRenderedPageBreak/>
        <w:t>nulidad, la cuestión es de Derecho imperativo y en buena medida de orden público. A este respecto, el tribunal arbitral, por unanimidad o por mayoría, debe decidir sobre la nulidad invocada con la misma fuerza con la que lo haría la jurisdicción ordinaria o el regulador. El deber de control de oficio además hace irrelevante el juicio sobre la conducta, oportunista o no, de la parte que plantea la nulidad.</w:t>
      </w:r>
    </w:p>
    <w:p w14:paraId="34832473" w14:textId="77777777" w:rsidR="003754FE" w:rsidRDefault="003754FE" w:rsidP="003754FE">
      <w:pPr>
        <w:pStyle w:val="TextoNormal"/>
      </w:pPr>
    </w:p>
    <w:p w14:paraId="711818C1" w14:textId="77777777" w:rsidR="003754FE" w:rsidRDefault="003754FE" w:rsidP="003754FE">
      <w:pPr>
        <w:pStyle w:val="TextoNormal"/>
      </w:pPr>
      <w:r>
        <w:t xml:space="preserve">287. […] 6. El elemento clave para determinar la extensión del mercado relevante de producto, lo constituye la sustituibilidad, que debe existir desde el lado de la oferta y del de la demanda [se abre la nota al pie 169 con el siguiente texto: ‘Comisión Europea, comunicación de la Comisión relativa a la definición del mercado de referencia a efectos de la normativa comunitaria en materia de competencia (D.O. C372 de 9.12.1997) https://eurlex.europa.eu/legal-content/ES/TXT/?uri=LEGISSUM:l26073’]. De ese mercado relevante deben ser excluidos los operadores carentes de la aplicación informática, clave para su exclusión porque aquellos no son sustituibles por los que la tienen, lo que deja fuera cualquier modo de transporte urbano colectivo que carezca de dicha aplicación, algo que también afecta a los taxis contratables telefónicamente. Desde el punto de vista de la demanda constituida por los usuarios, solo los que disponen de la app correspondiente en su móvil pueden considerarse usuarios de ese mercado relevante. Es cierto que pueden sustituir un VTC por un taxi o por otro vehículo de transporte público urbano, pero en tal caso lo que harán es cambiar de mercado relevante, yéndose al mercado no tecnológico. Por último, desde el punto de la sustituibilidad de la oferta se llega a la misma conclusión, los operadores sin app quedarían fuera del mercado relevante en la medida en que, entre otras consideraciones, es evidente que no disponen de la tecnología y el </w:t>
      </w:r>
      <w:r w:rsidRPr="003754FE">
        <w:rPr>
          <w:i/>
        </w:rPr>
        <w:t>know-how</w:t>
      </w:r>
      <w:r>
        <w:t xml:space="preserve"> para prestar el servicio en condiciones competitivas con los VTC con plataforma tecnológica en un plazo y a un coste razonable.</w:t>
      </w:r>
    </w:p>
    <w:p w14:paraId="2B8C3C63" w14:textId="77777777" w:rsidR="003754FE" w:rsidRDefault="003754FE" w:rsidP="003754FE">
      <w:pPr>
        <w:pStyle w:val="TextoNormal"/>
      </w:pPr>
    </w:p>
    <w:p w14:paraId="0BEF12C8" w14:textId="77777777" w:rsidR="003754FE" w:rsidRDefault="003754FE" w:rsidP="003754FE">
      <w:pPr>
        <w:pStyle w:val="TextoNormal"/>
      </w:pPr>
      <w:r>
        <w:t>[…]</w:t>
      </w:r>
    </w:p>
    <w:p w14:paraId="1C10E86A" w14:textId="77777777" w:rsidR="003754FE" w:rsidRDefault="003754FE" w:rsidP="003754FE">
      <w:pPr>
        <w:pStyle w:val="TextoNormal"/>
      </w:pPr>
    </w:p>
    <w:p w14:paraId="5B108878" w14:textId="77777777" w:rsidR="003754FE" w:rsidRDefault="003754FE" w:rsidP="003754FE">
      <w:pPr>
        <w:pStyle w:val="TextoNormal"/>
      </w:pPr>
      <w:r>
        <w:t>288. Por tanto, el tribunal arbitral por mayoría entiende que el mercado de producto relevante en este supuesto, en el que lo que se discute es si la conducta de Cabify implica una restricción de la competencia respecto de quienes pueden ser o son ya operadores, no tiene en este caso la extensión que pretende darle el profesor Alfaro [experto], que incluye los 63 989 taxis que circulan en España, sino solo aquellos de los 16 500 VTC a que también se refiere el propio profesor, junto a aquellos taxis conectados a una plataforma tecnológica que además operen en las ciudades en que operan Cabify y su flota, y Uber y, en su caso, Mytaxi u otra plataforma de VTC, tesis esta más cercana a lo que sostiene el profesor Illescas [experto], si bien incluyendo los taxis con app, y no solo a los dos claros operadores significativos de este mercado, Cabify y Uber.</w:t>
      </w:r>
    </w:p>
    <w:p w14:paraId="39598E92" w14:textId="77777777" w:rsidR="003754FE" w:rsidRDefault="003754FE" w:rsidP="003754FE">
      <w:pPr>
        <w:pStyle w:val="TextoNormal"/>
      </w:pPr>
    </w:p>
    <w:p w14:paraId="6257AF89" w14:textId="77777777" w:rsidR="003754FE" w:rsidRDefault="003754FE" w:rsidP="003754FE">
      <w:pPr>
        <w:pStyle w:val="TextoNormal"/>
      </w:pPr>
      <w:r>
        <w:t xml:space="preserve">289. Teniendo en cuenta el tamaño de la flota propia o arrendada de Cabify, que rebasa los 3800 VTC, así como las cuotas por trayectos que arroja la medición hecha por la resolución precisamente en los meses en que se produce entre las partes la novación que da lugar al contrato, y que tiene su origen en las respuestas proporcionadas por los operadores implicados en el expediente, ello significa que Cabify mantiene entre un 30 por 100 y un 50 por 100 del total atribuible a dichos operadores. Es un operador significativo en el mercado de transporte en que se mueven los vehículos intermediados por plataformas tecnológicas. Y, además, por el número de vehículos a su disposición, es un verdadero </w:t>
      </w:r>
      <w:r w:rsidRPr="003754FE">
        <w:rPr>
          <w:i/>
        </w:rPr>
        <w:t>incumbent</w:t>
      </w:r>
      <w:r>
        <w:t xml:space="preserve">, es decir </w:t>
      </w:r>
      <w:r>
        <w:lastRenderedPageBreak/>
        <w:t>uno de los operadores establecidos que marcan el funcionamiento y la evolución del mercado.</w:t>
      </w:r>
    </w:p>
    <w:p w14:paraId="6F3450A7" w14:textId="77777777" w:rsidR="003754FE" w:rsidRDefault="003754FE" w:rsidP="003754FE">
      <w:pPr>
        <w:pStyle w:val="TextoNormal"/>
      </w:pPr>
    </w:p>
    <w:p w14:paraId="1937AC04" w14:textId="77777777" w:rsidR="003754FE" w:rsidRDefault="003754FE" w:rsidP="003754FE">
      <w:pPr>
        <w:pStyle w:val="TextoNormal"/>
      </w:pPr>
      <w:r>
        <w:t xml:space="preserve">290. Así expuesto, el tribunal arbitral por mayoría estima que el mercado relevante de producto así definido en cuanto a los operadores que se mueven en el mismo, carece de sentido si se reduce a una mera actividad de intermediación, de ‘mera reserva de taxi’ en palabras del Tribunal de Justicia de la Unión Europea. Se trata de una actividad sofisticada y específica para entrar en la parte alta de los servicios de transporte, ofreciendo como producto nuevas fórmulas imaginativas de utilización del automóvil en un entorno económico y social aceleradamente cambiante. La actividad no es la de un puro </w:t>
      </w:r>
      <w:r w:rsidRPr="003754FE">
        <w:rPr>
          <w:i/>
        </w:rPr>
        <w:t>broker</w:t>
      </w:r>
      <w:r>
        <w:t xml:space="preserve"> que se desentiende del resultado de su intermediación, sino la de un operador a largo plazo que se mantiene en un mercado que en buena medida conforma y opera y que además ayuda a evolucionar, como demuestran los datos económicos de Cabify [se abre la nota al pie 170 con el siguiente texto: ‘Cabify es la segunda </w:t>
      </w:r>
      <w:r w:rsidRPr="003754FE">
        <w:rPr>
          <w:i/>
        </w:rPr>
        <w:t>start-up</w:t>
      </w:r>
      <w:r>
        <w:t xml:space="preserve"> española por capitalización. Es lo que el sector denomina un ‘unicornio’, es decir, una empresa de esta clase que vale más de mil millones. Su valoración se sitúa entre 1200 y 1 500 millones de euros, sus ingresos anuales han sido 202 millones de euros, el Ebitda es de 7,8 millones de euros, la deuda neta es de 19 millones de euros y la proyección de ingresos para 2028 es de 7835 millones de euros, todo ello según datos recogidos en el estudio sobre </w:t>
      </w:r>
      <w:r w:rsidRPr="003754FE">
        <w:rPr>
          <w:i/>
        </w:rPr>
        <w:t>startups</w:t>
      </w:r>
      <w:r>
        <w:t xml:space="preserve"> españolas llevado a cabo por el banco de inversión Closa y publicado en la revista semanal ‘Actualidad Económica’ (revista semanal</w:t>
      </w:r>
      <w:r w:rsidRPr="003754FE">
        <w:rPr>
          <w:i/>
        </w:rPr>
        <w:t xml:space="preserve"> de El M</w:t>
      </w:r>
      <w:r>
        <w:t>undo) del 6 al 12 de diciembre de 2020].</w:t>
      </w:r>
    </w:p>
    <w:p w14:paraId="26B3C748" w14:textId="77777777" w:rsidR="003754FE" w:rsidRDefault="003754FE" w:rsidP="003754FE">
      <w:pPr>
        <w:pStyle w:val="TextoNormal"/>
      </w:pPr>
    </w:p>
    <w:p w14:paraId="0879CBFE" w14:textId="77777777" w:rsidR="003754FE" w:rsidRDefault="003754FE" w:rsidP="003754FE">
      <w:pPr>
        <w:pStyle w:val="TextoNormal"/>
      </w:pPr>
      <w:r>
        <w:t>[…]</w:t>
      </w:r>
    </w:p>
    <w:p w14:paraId="0DDDA7FC" w14:textId="77777777" w:rsidR="003754FE" w:rsidRDefault="003754FE" w:rsidP="003754FE">
      <w:pPr>
        <w:pStyle w:val="TextoNormal"/>
      </w:pPr>
    </w:p>
    <w:p w14:paraId="71DB768A" w14:textId="77777777" w:rsidR="003754FE" w:rsidRDefault="003754FE" w:rsidP="003754FE">
      <w:pPr>
        <w:pStyle w:val="TextoNormal"/>
      </w:pPr>
      <w:r>
        <w:t xml:space="preserve">293. Centrado el punto del mercado relevante, y pasando al análisis del Derecho de la competencia, es claro que la legislación aplicable para analizar la posible infracción en materia de restricción de la competencia es la legislación española, no la comunitaria, sin perjuicio del carácter orientador que esta última tiene siempre y, por supuesto, teniendo en cuenta, en su caso, su función subsidiaria o supletoria cuando así se establezca o proceda. Existe un consenso doctrinal generalizado sobre el hecho de que el criterio que sirve para delimitar el ámbito de aplicación de las normas en materia de control de conductas es el elemento de la afectación del comercio, siendo claro en este caso que la conducta que se le imputa a Cabify afectaría en todo caso exclusivamente al mercado nacional, por lo que decaería el problema de la dualidad normativa [se abre la nota al pie 174 con el siguiente texto: ‘Alonso Soto, </w:t>
      </w:r>
      <w:r w:rsidRPr="003754FE">
        <w:rPr>
          <w:i/>
        </w:rPr>
        <w:t>Las relaciones entre los Derechos comunitario europeo y español de la competencia, Tratado de Derecho de la Competencia</w:t>
      </w:r>
      <w:r>
        <w:t>, J.M. Beneyto Pérez (director) y J. Maillo González Orús (coordinador), Bosch, tomo 1, 2005, págs. 61-74’].</w:t>
      </w:r>
    </w:p>
    <w:p w14:paraId="6AB47B21" w14:textId="77777777" w:rsidR="003754FE" w:rsidRDefault="003754FE" w:rsidP="003754FE">
      <w:pPr>
        <w:pStyle w:val="TextoNormal"/>
      </w:pPr>
    </w:p>
    <w:p w14:paraId="5F745071" w14:textId="77777777" w:rsidR="003754FE" w:rsidRDefault="003754FE" w:rsidP="003754FE">
      <w:pPr>
        <w:pStyle w:val="TextoNormal"/>
      </w:pPr>
      <w:r>
        <w:t>294. Por lo tanto, serán la LDC y el RDC [Real Decreto 261/2008, de 22 de febrero, por el que se aprueba el Reglamento de defensa de la competencia] y la LCD [Ley 3/1991, de 10 de enero, de competencia desleal] las normas básicas a tener en cuenta para formar el criterio mayoritario del tribunal arbitral. Aunque las partes y los expertos han debatido extensamente este extremo, no parece que la cuestión requiera mayor fundamentación. El carácter orientador y de guía interpretativa del Derecho europeo en cuestiones de Derecho interno de la competencia no puede ser puesto en duda. Su alcance obviamente dependerá de la cuestión de que se trate, como se verá.</w:t>
      </w:r>
    </w:p>
    <w:p w14:paraId="62CB6C39" w14:textId="77777777" w:rsidR="003754FE" w:rsidRDefault="003754FE" w:rsidP="003754FE">
      <w:pPr>
        <w:pStyle w:val="TextoNormal"/>
      </w:pPr>
    </w:p>
    <w:p w14:paraId="435AEA2C" w14:textId="77777777" w:rsidR="003754FE" w:rsidRDefault="003754FE" w:rsidP="003754FE">
      <w:pPr>
        <w:pStyle w:val="TextoNormal"/>
      </w:pPr>
      <w:r>
        <w:lastRenderedPageBreak/>
        <w:t>295. Son dos las infracciones de la competencia en las que Auro entiende que ha incurrido Cabify. La primera es la infracción del artículo 1.2 LDC, que implica una restricción indebida de la competencia, al impedir que Auro pueda operar independientemente en el mismo mercado que Cabify, lo que lleva a analizar si la cláusula 2.2 del contrato restringe la competencia, bien por su objeto, bien por sus efectos; y, en segundo lugar, si, de acuerdo con el artículo 16.2 LCD, Auro se encuentra en una situación de dependencia económica respecto de Cabify que constituye un supuesto de competencia desleal de esta respecto de aquella.</w:t>
      </w:r>
    </w:p>
    <w:p w14:paraId="683AD8F2" w14:textId="77777777" w:rsidR="003754FE" w:rsidRDefault="003754FE" w:rsidP="003754FE">
      <w:pPr>
        <w:pStyle w:val="TextoNormal"/>
      </w:pPr>
    </w:p>
    <w:p w14:paraId="69880705" w14:textId="77777777" w:rsidR="003754FE" w:rsidRDefault="003754FE" w:rsidP="003754FE">
      <w:pPr>
        <w:pStyle w:val="TextoNormal"/>
      </w:pPr>
      <w:r>
        <w:t>296. Respecto del primero de los dos posibles motivos —la actuación contraria a la competencia por parte de Cabify— procede señalar que para que la misma sea apreciada debemos estar ante prácticas colusorias en los términos del artículo 1.1 LDC:</w:t>
      </w:r>
    </w:p>
    <w:p w14:paraId="776B9FB0" w14:textId="77777777" w:rsidR="003754FE" w:rsidRDefault="003754FE" w:rsidP="003754FE">
      <w:pPr>
        <w:pStyle w:val="TextoNormal"/>
      </w:pPr>
    </w:p>
    <w:p w14:paraId="20AF7F2C" w14:textId="77777777" w:rsidR="003754FE" w:rsidRDefault="003754FE" w:rsidP="003754FE">
      <w:pPr>
        <w:pStyle w:val="TextoNormal"/>
      </w:pPr>
      <w:r>
        <w:t>‘Se prohíbe todo acuerdo, decisión o recomendación colectiva, o práctica concertada o conscientemente paralela, que tenga por objeto, produzca o pueda producir el efecto de impedir, restringir o falsear la competencia en todo o parte del mercado nacional y, en particular, los que consistan en:</w:t>
      </w:r>
    </w:p>
    <w:p w14:paraId="4EC9DD3F" w14:textId="77777777" w:rsidR="003754FE" w:rsidRDefault="003754FE" w:rsidP="003754FE">
      <w:pPr>
        <w:pStyle w:val="TextoNormal"/>
      </w:pPr>
    </w:p>
    <w:p w14:paraId="2642A780" w14:textId="77777777" w:rsidR="003754FE" w:rsidRDefault="003754FE" w:rsidP="003754FE">
      <w:pPr>
        <w:pStyle w:val="TextoNormal"/>
      </w:pPr>
      <w:r>
        <w:t>a) La fijación, de forma directa o indirecta, de precios o de otras condiciones comerciales o de servicio.</w:t>
      </w:r>
    </w:p>
    <w:p w14:paraId="0DD23632" w14:textId="77777777" w:rsidR="003754FE" w:rsidRDefault="003754FE" w:rsidP="003754FE">
      <w:pPr>
        <w:pStyle w:val="TextoNormal"/>
      </w:pPr>
    </w:p>
    <w:p w14:paraId="49B97513" w14:textId="77777777" w:rsidR="003754FE" w:rsidRDefault="003754FE" w:rsidP="003754FE">
      <w:pPr>
        <w:pStyle w:val="TextoNormal"/>
      </w:pPr>
      <w:r>
        <w:t>b) La limitación o el control de la producción, la distribución, el desarrollo técnico o las inversiones.</w:t>
      </w:r>
    </w:p>
    <w:p w14:paraId="5BF3A0F4" w14:textId="77777777" w:rsidR="003754FE" w:rsidRDefault="003754FE" w:rsidP="003754FE">
      <w:pPr>
        <w:pStyle w:val="TextoNormal"/>
      </w:pPr>
    </w:p>
    <w:p w14:paraId="4508B662" w14:textId="77777777" w:rsidR="003754FE" w:rsidRDefault="003754FE" w:rsidP="003754FE">
      <w:pPr>
        <w:pStyle w:val="TextoNormal"/>
      </w:pPr>
      <w:r>
        <w:t>c) El reparto del mercado o de las fuentes de aprovisionamiento.</w:t>
      </w:r>
    </w:p>
    <w:p w14:paraId="79558CF1" w14:textId="77777777" w:rsidR="003754FE" w:rsidRDefault="003754FE" w:rsidP="003754FE">
      <w:pPr>
        <w:pStyle w:val="TextoNormal"/>
      </w:pPr>
    </w:p>
    <w:p w14:paraId="00FF92A6" w14:textId="77777777" w:rsidR="003754FE" w:rsidRDefault="003754FE" w:rsidP="003754FE">
      <w:pPr>
        <w:pStyle w:val="TextoNormal"/>
      </w:pPr>
      <w:r>
        <w:t>d) La aplicación, en las relaciones comerciales o de servicio, de condiciones desiguales para prestaciones equivalentes que coloquen a unos competidores en situación desventajosa frente a otros.</w:t>
      </w:r>
    </w:p>
    <w:p w14:paraId="6F5C273E" w14:textId="77777777" w:rsidR="003754FE" w:rsidRDefault="003754FE" w:rsidP="003754FE">
      <w:pPr>
        <w:pStyle w:val="TextoNormal"/>
      </w:pPr>
    </w:p>
    <w:p w14:paraId="489D516D" w14:textId="77777777" w:rsidR="003754FE" w:rsidRDefault="003754FE" w:rsidP="003754FE">
      <w:pPr>
        <w:pStyle w:val="TextoNormal"/>
      </w:pPr>
      <w:r>
        <w:t>e) La subordinación de la celebración de contratos a la aceptación de prestaciones suplementarias que, por su naturaleza o con arreglo a los usos de comercio, no guarden relación con el objeto de tales contratos’.</w:t>
      </w:r>
    </w:p>
    <w:p w14:paraId="60231072" w14:textId="77777777" w:rsidR="003754FE" w:rsidRDefault="003754FE" w:rsidP="003754FE">
      <w:pPr>
        <w:pStyle w:val="TextoNormal"/>
      </w:pPr>
    </w:p>
    <w:p w14:paraId="6DFBC322" w14:textId="77777777" w:rsidR="003754FE" w:rsidRDefault="003754FE" w:rsidP="003754FE">
      <w:pPr>
        <w:pStyle w:val="TextoNormal"/>
      </w:pPr>
      <w:r>
        <w:t>297. En definitiva, la actuación es contraria a la competencia si, aparte de encajar en las citadas categorías del artículo 1.1 LDC, conlleva una afectación a la competencia en tanto en cuanto tenga por objeto o por efecto (‘produzcan o puedan producir el efecto’ en los términos del artículo 1.1 LDC) impedir, restringir o falsear la competencia en todo o en parte del mercado nacional, no estando por otra parte incursa en una excepción por categorías a las que alude el artículo 1.4 LDC, que se refiere a las contempladas por el apartado 3 del artículo 81 del Tratado CE, o cuando no se trate de una conducta de menor importancia a las que alude el artículo 5 LDC (re</w:t>
      </w:r>
      <w:r w:rsidRPr="003754FE">
        <w:rPr>
          <w:i/>
        </w:rPr>
        <w:t>gla de min</w:t>
      </w:r>
      <w:r>
        <w:t>imis).</w:t>
      </w:r>
    </w:p>
    <w:p w14:paraId="54F6A2C8" w14:textId="77777777" w:rsidR="003754FE" w:rsidRDefault="003754FE" w:rsidP="003754FE">
      <w:pPr>
        <w:pStyle w:val="TextoNormal"/>
      </w:pPr>
    </w:p>
    <w:p w14:paraId="7DBD59F2" w14:textId="77777777" w:rsidR="003754FE" w:rsidRDefault="003754FE" w:rsidP="003754FE">
      <w:pPr>
        <w:pStyle w:val="TextoNormal"/>
      </w:pPr>
      <w:r>
        <w:t>[…]</w:t>
      </w:r>
    </w:p>
    <w:p w14:paraId="3421CBAB" w14:textId="77777777" w:rsidR="003754FE" w:rsidRDefault="003754FE" w:rsidP="003754FE">
      <w:pPr>
        <w:pStyle w:val="TextoNormal"/>
      </w:pPr>
    </w:p>
    <w:p w14:paraId="542208AC" w14:textId="77777777" w:rsidR="003754FE" w:rsidRDefault="003754FE" w:rsidP="003754FE">
      <w:pPr>
        <w:pStyle w:val="TextoNormal"/>
      </w:pPr>
      <w:r>
        <w:t xml:space="preserve">309. El resultado final es que en términos prácticos, desde el punto de vista del mercado de producto relevante, nadie que no utilice la plataforma Cabify puede contratar un vehículo con licencia VTC de Auro, y Auro no puede penetrar en el lado de la oferta del mercado </w:t>
      </w:r>
      <w:r>
        <w:lastRenderedPageBreak/>
        <w:t>relevante en que se mueve Cabify más que a través de la plataforma de su competidor Cabify, algo que, como se ha señalado más arriba, deja vacío de contenido el cuarto párrafo de la cláusula 2.2 del contrato, que teóricamente permite un 5 por 100 de actividad propia de Auro, siempre y cuando no sea a través de plataformas de intermediación. Por otra parte, Cabify no tiene limitación respecto de Auro en la oferta de VTC ya que puede operar con sus propios vehículos, con otros que no sean los de Auro e incluso con los vehículos que prestan servicio a Uber.</w:t>
      </w:r>
    </w:p>
    <w:p w14:paraId="5E0B2116" w14:textId="77777777" w:rsidR="003754FE" w:rsidRDefault="003754FE" w:rsidP="003754FE">
      <w:pPr>
        <w:pStyle w:val="TextoNormal"/>
      </w:pPr>
    </w:p>
    <w:p w14:paraId="037F6D19" w14:textId="77777777" w:rsidR="003754FE" w:rsidRDefault="003754FE" w:rsidP="003754FE">
      <w:pPr>
        <w:pStyle w:val="TextoNormal"/>
      </w:pPr>
      <w:r>
        <w:t>[…]</w:t>
      </w:r>
    </w:p>
    <w:p w14:paraId="04EF513F" w14:textId="77777777" w:rsidR="003754FE" w:rsidRDefault="003754FE" w:rsidP="003754FE">
      <w:pPr>
        <w:pStyle w:val="TextoNormal"/>
      </w:pPr>
    </w:p>
    <w:p w14:paraId="376DFC49" w14:textId="77777777" w:rsidR="003754FE" w:rsidRDefault="003754FE" w:rsidP="003754FE">
      <w:pPr>
        <w:pStyle w:val="TextoNormal"/>
      </w:pPr>
      <w:r>
        <w:t xml:space="preserve">315. De todo lo anterior deriva que el tribunal arbitral por mayoría estima que la cláusula 2.2 del contrato, así como la 10 g) y (i), constituyen una restricción de la competencia por razón de su objeto desde el momento en que Cabify pasó a ser no solo proveedor de la plataforma sino competidor horizontal, fijando precios y cantidades de VTC. En aras de la claridad, hemos de precisar que en principio no se aprecia restricción por razón de los efectos, dado que, pese a la posición significativa de Cabify en el mercado relevante, no queda probado que su conducta implique un cierre de dicho mercado, sino de una cláusula de ‘inhibición de la competencia’ tendente a evitar la entrada de nuevos competidores y a que los ya establecidos no aumenten su cuota. La </w:t>
      </w:r>
      <w:r w:rsidRPr="003754FE">
        <w:rPr>
          <w:i/>
        </w:rPr>
        <w:t>ratio iuris</w:t>
      </w:r>
      <w:r>
        <w:t xml:space="preserve"> de la infracción del Derecho de la competencia que se aprecia es una restricción por razón del objeto. […]</w:t>
      </w:r>
    </w:p>
    <w:p w14:paraId="35EE46EF" w14:textId="77777777" w:rsidR="003754FE" w:rsidRDefault="003754FE" w:rsidP="003754FE">
      <w:pPr>
        <w:pStyle w:val="TextoNormal"/>
      </w:pPr>
    </w:p>
    <w:p w14:paraId="0353CF54" w14:textId="77777777" w:rsidR="003754FE" w:rsidRDefault="003754FE" w:rsidP="003754FE">
      <w:pPr>
        <w:pStyle w:val="TextoNormal"/>
      </w:pPr>
      <w:r>
        <w:t>316. A la vista de todo ello, el tribunal arbitral declara por mayoría que estima que la cláusula 2.2 del contrato, así como la 10 g) y (i), son contrarias al artículo 1.1 LDC y, en consecuencia, en aplicación del artículo 1.2 LDC, son nulas de pleno derecho, con eficaci</w:t>
      </w:r>
      <w:r w:rsidRPr="003754FE">
        <w:rPr>
          <w:i/>
        </w:rPr>
        <w:t>a ex tu</w:t>
      </w:r>
      <w:r>
        <w:t>nc.</w:t>
      </w:r>
    </w:p>
    <w:p w14:paraId="2279E6B5" w14:textId="77777777" w:rsidR="003754FE" w:rsidRDefault="003754FE" w:rsidP="003754FE">
      <w:pPr>
        <w:pStyle w:val="TextoNormal"/>
      </w:pPr>
    </w:p>
    <w:p w14:paraId="7FB9A529" w14:textId="77777777" w:rsidR="003754FE" w:rsidRDefault="003754FE" w:rsidP="003754FE">
      <w:pPr>
        <w:pStyle w:val="TextoNormal"/>
      </w:pPr>
      <w:r>
        <w:t>317. Por lo que respecta a la situación de dependencia económica argumentada por Auro en virtud de lo dispuesto por el artículo 16.2 LCD [se abre la nota al pie 182 para reproducir el art. 16.2 LCD] la misma deviene ociosa con la anulación acordada por mayoría por el tribunal arbitral de los apartados referidos de las cláusulas 2.2 y 10 del contrato. Por tanto, el mismo tribunal arbitral no entrará en consideraciones respecto de aquella situación.</w:t>
      </w:r>
    </w:p>
    <w:p w14:paraId="388CEC0F" w14:textId="77777777" w:rsidR="003754FE" w:rsidRDefault="003754FE" w:rsidP="003754FE">
      <w:pPr>
        <w:pStyle w:val="TextoNormal"/>
      </w:pPr>
    </w:p>
    <w:p w14:paraId="2EFDCE28" w14:textId="77777777" w:rsidR="003754FE" w:rsidRDefault="003754FE" w:rsidP="003754FE">
      <w:pPr>
        <w:pStyle w:val="TextoNormal"/>
      </w:pPr>
      <w:r>
        <w:t>[…]</w:t>
      </w:r>
    </w:p>
    <w:p w14:paraId="31DC8CAA" w14:textId="77777777" w:rsidR="003754FE" w:rsidRDefault="003754FE" w:rsidP="003754FE">
      <w:pPr>
        <w:pStyle w:val="TextoNormal"/>
      </w:pPr>
    </w:p>
    <w:p w14:paraId="40BD90D6" w14:textId="77777777" w:rsidR="003754FE" w:rsidRDefault="003754FE" w:rsidP="003754FE">
      <w:pPr>
        <w:pStyle w:val="TextoNormal"/>
      </w:pPr>
      <w:r>
        <w:t>D. Los incumplimientos contractuales imputados a Cabify, la indemnización de los daños y perjuicios y la resolución del contrato:</w:t>
      </w:r>
    </w:p>
    <w:p w14:paraId="5D1DB911" w14:textId="77777777" w:rsidR="003754FE" w:rsidRDefault="003754FE" w:rsidP="003754FE">
      <w:pPr>
        <w:pStyle w:val="TextoNormal"/>
      </w:pPr>
    </w:p>
    <w:p w14:paraId="50C576D1" w14:textId="77777777" w:rsidR="003754FE" w:rsidRDefault="003754FE" w:rsidP="003754FE">
      <w:pPr>
        <w:pStyle w:val="TextoNormal"/>
      </w:pPr>
      <w:r>
        <w:t>[…]</w:t>
      </w:r>
    </w:p>
    <w:p w14:paraId="498DEA09" w14:textId="77777777" w:rsidR="003754FE" w:rsidRDefault="003754FE" w:rsidP="003754FE">
      <w:pPr>
        <w:pStyle w:val="TextoNormal"/>
      </w:pPr>
    </w:p>
    <w:p w14:paraId="2F9DB0C0" w14:textId="77777777" w:rsidR="003754FE" w:rsidRDefault="003754FE" w:rsidP="003754FE">
      <w:pPr>
        <w:pStyle w:val="TextoNormal"/>
      </w:pPr>
      <w:r>
        <w:t>362. En todo caso, Auro sostiene que Cabify no tenía que ofrecer a Auro estas posibilidades de expansión porque, de una parte, Auro, que había iniciado la explotación de Auro Travel estaba en flagrante incumplimiento de sus obligaciones de no competencia por lo que, de acuerdo con la cláusula 2.3.5 del contrato, no estaba en condiciones de exigir el cumplimiento de la obligación de Cabify; y, por otro lado, Auro no estaba en disposición de concurrir a ninguna de las dos comunidades por cuanto que no tiene presencia en las mismas, siendo de aplicación el artículo 91 de la Ley 16/1987, de 30 de julio, de ordenación de los transportes, que textualmente señala:</w:t>
      </w:r>
    </w:p>
    <w:p w14:paraId="40629627" w14:textId="77777777" w:rsidR="003754FE" w:rsidRDefault="003754FE" w:rsidP="003754FE">
      <w:pPr>
        <w:pStyle w:val="TextoNormal"/>
      </w:pPr>
    </w:p>
    <w:p w14:paraId="38E4F73C" w14:textId="77777777" w:rsidR="003754FE" w:rsidRDefault="003754FE" w:rsidP="003754FE">
      <w:pPr>
        <w:pStyle w:val="TextoNormal"/>
      </w:pPr>
      <w:r>
        <w:lastRenderedPageBreak/>
        <w:t>‘[L]os servicios de arrendamiento de vehículos con conductor deberán iniciarse en el territorio de la comunidad autónoma en que se encuentre domiciliada la correspondiente autorización. A tal efecto, se entenderá que el origen o inicio del transporte se produce en el lugar en el que son recogidos los pasajeros de forma efectiva’”.</w:t>
      </w:r>
    </w:p>
    <w:p w14:paraId="2CC963CA" w14:textId="77777777" w:rsidR="003754FE" w:rsidRDefault="003754FE" w:rsidP="003754FE">
      <w:pPr>
        <w:pStyle w:val="TextoNormal"/>
      </w:pPr>
    </w:p>
    <w:p w14:paraId="11B8469D" w14:textId="77777777" w:rsidR="003754FE" w:rsidRDefault="003754FE" w:rsidP="003754FE">
      <w:pPr>
        <w:pStyle w:val="TextoNormal"/>
      </w:pPr>
      <w:r>
        <w:t>B) Laudo de complemento y subsidiaria aclaración</w:t>
      </w:r>
    </w:p>
    <w:p w14:paraId="05B00D5F" w14:textId="77777777" w:rsidR="003754FE" w:rsidRDefault="003754FE" w:rsidP="003754FE">
      <w:pPr>
        <w:pStyle w:val="TextoNormal"/>
      </w:pPr>
    </w:p>
    <w:p w14:paraId="0E54D76B" w14:textId="77777777" w:rsidR="003754FE" w:rsidRDefault="003754FE" w:rsidP="003754FE">
      <w:pPr>
        <w:pStyle w:val="TextoNormal"/>
      </w:pPr>
      <w:r>
        <w:t>Notificado el laudo de 29 de diciembre de 2020, la entidad Auro formuló solicitud de complemento y subsidiaria aclaración de dicha resolución, al entender que incurría en incongruencia omisiva en cuanto a pronunciarse sobre un incumplimiento por la entidad Cabify de las retenciones en la facturación realizadas por esta última. A dicha solicitud de complemento y subsidiaria aclaración se opuso la entidad Cabify, “por entender que lo que persigue es la modificación de su parte dispositiva, lo que vulneraría el principio de invariabilidad del laudo y sería asimismo causa de nulidad por incongruencia y vulneración de la cosa juzgada del laudo parcial al ser una cuestión de orden público” (apartado 41 del laudo de complemento y subsidiaria aclaración).</w:t>
      </w:r>
    </w:p>
    <w:p w14:paraId="05799B1E" w14:textId="77777777" w:rsidR="003754FE" w:rsidRDefault="003754FE" w:rsidP="003754FE">
      <w:pPr>
        <w:pStyle w:val="TextoNormal"/>
      </w:pPr>
    </w:p>
    <w:p w14:paraId="2AF43EDE" w14:textId="77777777" w:rsidR="003754FE" w:rsidRDefault="003754FE" w:rsidP="003754FE">
      <w:pPr>
        <w:pStyle w:val="TextoNormal"/>
      </w:pPr>
      <w:r>
        <w:t>En consecuencia, el 24 de febrero de 2021 los dos árbitros que habían emitido por mayoría el laudo final de 29 de diciembre de 2020 dictaron a instancia de la parte demandada y aquí recurrente en amparo un laudo de complemento y subsidiaria aclaración de aquel primer laudo, con la siguiente parte dispositiva:</w:t>
      </w:r>
    </w:p>
    <w:p w14:paraId="2027295C" w14:textId="77777777" w:rsidR="003754FE" w:rsidRDefault="003754FE" w:rsidP="003754FE">
      <w:pPr>
        <w:pStyle w:val="TextoNormal"/>
      </w:pPr>
    </w:p>
    <w:p w14:paraId="1F5BDFEB" w14:textId="77777777" w:rsidR="003754FE" w:rsidRDefault="003754FE" w:rsidP="003754FE">
      <w:pPr>
        <w:pStyle w:val="TextoNormal"/>
      </w:pPr>
      <w:r>
        <w:t>“71. Por las razones expuestas, el tribunal arbitral resuelve, por mayoría, tomando en cuenta los respectivo</w:t>
      </w:r>
      <w:r w:rsidRPr="003754FE">
        <w:rPr>
          <w:i/>
        </w:rPr>
        <w:t>s peti</w:t>
      </w:r>
      <w:r>
        <w:t>ta de las partes, lo siguiente:</w:t>
      </w:r>
    </w:p>
    <w:p w14:paraId="6C474D4E" w14:textId="77777777" w:rsidR="003754FE" w:rsidRDefault="003754FE" w:rsidP="003754FE">
      <w:pPr>
        <w:pStyle w:val="TextoNormal"/>
      </w:pPr>
    </w:p>
    <w:p w14:paraId="333CBC70" w14:textId="77777777" w:rsidR="003754FE" w:rsidRDefault="003754FE" w:rsidP="003754FE">
      <w:pPr>
        <w:pStyle w:val="TextoNormal"/>
      </w:pPr>
      <w:r>
        <w:t>1. Rechazar la solicitud de complemento y subsidiaria aclaración del laudo final formulada por Auro.</w:t>
      </w:r>
    </w:p>
    <w:p w14:paraId="2D2DC817" w14:textId="77777777" w:rsidR="003754FE" w:rsidRDefault="003754FE" w:rsidP="003754FE">
      <w:pPr>
        <w:pStyle w:val="TextoNormal"/>
      </w:pPr>
    </w:p>
    <w:p w14:paraId="42013A46" w14:textId="77777777" w:rsidR="003754FE" w:rsidRDefault="003754FE" w:rsidP="003754FE">
      <w:pPr>
        <w:pStyle w:val="TextoNormal"/>
      </w:pPr>
      <w:r>
        <w:t>2. Rechazar cualesquiera otras pretensiones principales y/o subsidiarias de cualesquiera de las partes que no hayan sido expresamente acogidas y estimadas en la parte dispositiva de este laudo de complemento y subsidiaria aclaración del laudo final.</w:t>
      </w:r>
    </w:p>
    <w:p w14:paraId="697B16CA" w14:textId="77777777" w:rsidR="003754FE" w:rsidRDefault="003754FE" w:rsidP="003754FE">
      <w:pPr>
        <w:pStyle w:val="TextoNormal"/>
      </w:pPr>
    </w:p>
    <w:p w14:paraId="435F1F33" w14:textId="77777777" w:rsidR="003754FE" w:rsidRDefault="003754FE" w:rsidP="003754FE">
      <w:pPr>
        <w:pStyle w:val="TextoNormal"/>
      </w:pPr>
      <w:r>
        <w:t>3. No hacer imposición de las costas de este incidente, debiendo hacerse cargo cada parte de sus propios gastos de defensa”.</w:t>
      </w:r>
    </w:p>
    <w:p w14:paraId="3E31B50B" w14:textId="77777777" w:rsidR="003754FE" w:rsidRDefault="003754FE" w:rsidP="003754FE">
      <w:pPr>
        <w:pStyle w:val="TextoNormal"/>
      </w:pPr>
    </w:p>
    <w:p w14:paraId="2846AB2D" w14:textId="77777777" w:rsidR="003754FE" w:rsidRDefault="003754FE" w:rsidP="003754FE">
      <w:pPr>
        <w:pStyle w:val="TextoNormal"/>
      </w:pPr>
      <w:r>
        <w:t>Lo resuelto por el laudo de 24 de febrero de 2021 resulta irrelevante para la cuestión planteada en este recurso de amparo.</w:t>
      </w:r>
    </w:p>
    <w:p w14:paraId="373BE39D" w14:textId="77777777" w:rsidR="003754FE" w:rsidRDefault="003754FE" w:rsidP="003754FE">
      <w:pPr>
        <w:pStyle w:val="TextoNormal"/>
      </w:pPr>
    </w:p>
    <w:p w14:paraId="501074BC" w14:textId="77777777" w:rsidR="003754FE" w:rsidRDefault="003754FE" w:rsidP="003754FE">
      <w:pPr>
        <w:pStyle w:val="TextoNormal"/>
      </w:pPr>
      <w:r>
        <w:t>C) Demanda de anulación del laudo arbitral definitivo</w:t>
      </w:r>
    </w:p>
    <w:p w14:paraId="1FE20194" w14:textId="77777777" w:rsidR="003754FE" w:rsidRDefault="003754FE" w:rsidP="003754FE">
      <w:pPr>
        <w:pStyle w:val="TextoNormal"/>
      </w:pPr>
    </w:p>
    <w:p w14:paraId="696BA53E" w14:textId="77777777" w:rsidR="003754FE" w:rsidRDefault="003754FE" w:rsidP="003754FE">
      <w:pPr>
        <w:pStyle w:val="TextoNormal"/>
      </w:pPr>
      <w:r>
        <w:t>El 27 de abril de 2021 la representación procesal de la entidad Cabify interpuso ante la Sala de lo Civil y Penal del Tribunal Superior de Justicia de Madrid escrito por el que dicha parte ejercitó acción de anulación contra los pronunciamientos 1 y 2 de la parte dispositiva del laudo final de 29 de diciembre de 2020, al amparo de lo previsto en los apartados c) y f) del art. 41.1 de la Ley 60/2003, de 23 de diciembre, de arbitraje (LA). El escrito basó su impugnación en dos motivos:</w:t>
      </w:r>
    </w:p>
    <w:p w14:paraId="17E13F48" w14:textId="77777777" w:rsidR="003754FE" w:rsidRDefault="003754FE" w:rsidP="003754FE">
      <w:pPr>
        <w:pStyle w:val="TextoNormal"/>
      </w:pPr>
    </w:p>
    <w:p w14:paraId="6F001EA7" w14:textId="77777777" w:rsidR="003754FE" w:rsidRDefault="003754FE" w:rsidP="003754FE">
      <w:pPr>
        <w:pStyle w:val="TextoNormal"/>
      </w:pPr>
      <w:r>
        <w:lastRenderedPageBreak/>
        <w:t>a) En primer lugar, porque en los pronunciamientos 1 y 2 de la parte dispositiva del laudo definitivo se resuelve la controversia sobre la validez de la cláusula 2.2 del contrato de colaboración novado en términos distintos de aquellos en los que las partes del arbitraje la sometieron al tribunal arbitral, lo que es determinante de su nulidad conforme al artículo 41.1 c) LA:</w:t>
      </w:r>
    </w:p>
    <w:p w14:paraId="3B230424" w14:textId="77777777" w:rsidR="003754FE" w:rsidRDefault="003754FE" w:rsidP="003754FE">
      <w:pPr>
        <w:pStyle w:val="TextoNormal"/>
      </w:pPr>
    </w:p>
    <w:p w14:paraId="4327FE87" w14:textId="77777777" w:rsidR="003754FE" w:rsidRDefault="003754FE" w:rsidP="003754FE">
      <w:pPr>
        <w:pStyle w:val="TextoNormal"/>
      </w:pPr>
      <w:r>
        <w:t>Se alega al respecto que el laudo definitivo incurrió en la “incongruencia [del] artículo 41.1 c) LA y, como resultado de esta, [en la] vulneración de los principios de audiencia y contradicción, con resultado de indefensión [artículo 41.1 b) LA]”, por cuanto “[l]os pronunciamientos 1 y 2 de la parte dispositiva del laudo final deben ser declarados nulos porque declaran la nulidad de la cláusula 2.2 del contrato de colaboración novado a partir de una motivación que incluye premisas fácticas introducidas de oficio por la mayoría del tribunal arbitral que lo suscribe y resultan determinantes del sentido de su decisión sobre la controversia relativa a la validez de la cláusula. Al proceder así, decidiendo la controversia a partir de datos fácticos no alegados por las partes, el tribunal arbitral ha provocado que el laudo final esté, en ese concreto extremo, viciado de incongruencia y sea, en consecuencia, nul</w:t>
      </w:r>
      <w:r w:rsidRPr="003754FE">
        <w:rPr>
          <w:i/>
        </w:rPr>
        <w:t xml:space="preserve">o </w:t>
      </w:r>
      <w:r>
        <w:t>ex artículo 41.1 c) LA”.</w:t>
      </w:r>
    </w:p>
    <w:p w14:paraId="20FDAE73" w14:textId="77777777" w:rsidR="003754FE" w:rsidRDefault="003754FE" w:rsidP="003754FE">
      <w:pPr>
        <w:pStyle w:val="TextoNormal"/>
      </w:pPr>
    </w:p>
    <w:p w14:paraId="602AD91F" w14:textId="77777777" w:rsidR="003754FE" w:rsidRDefault="003754FE" w:rsidP="003754FE">
      <w:pPr>
        <w:pStyle w:val="TextoNormal"/>
      </w:pPr>
      <w:r>
        <w:t xml:space="preserve">Tras identificar “[l]os concretos datos de hecho que la mayoría del tribunal arbitral introdujo </w:t>
      </w:r>
      <w:r w:rsidRPr="003754FE">
        <w:rPr>
          <w:i/>
        </w:rPr>
        <w:t>ex novo</w:t>
      </w:r>
      <w:r>
        <w:t xml:space="preserve"> en el laudo final” y por qué estos habrían resultado relevantes para resolver la controversia en los términos que declara el laudo, se insiste en que dicha resolución es incongruente, causando además “vulneración de los principios de audiencia y contradicción enunciados en el artículo 24.1 LA, con el resultado de indefensión para mi representada”, pues “si los hechos introducidos de manera sobrevenida en el laudo final hubieran formado parte, cuando correspondía, de la controversia, mi mandante podría haber ejercido su derecho de defensa respecto a los mismos, habiendo podido poner de manifiesto” argumentos de oposición, de los que ejemplifica algunos.</w:t>
      </w:r>
    </w:p>
    <w:p w14:paraId="19635E77" w14:textId="77777777" w:rsidR="003754FE" w:rsidRDefault="003754FE" w:rsidP="003754FE">
      <w:pPr>
        <w:pStyle w:val="TextoNormal"/>
      </w:pPr>
    </w:p>
    <w:p w14:paraId="45B1FDFC" w14:textId="77777777" w:rsidR="003754FE" w:rsidRDefault="003754FE" w:rsidP="003754FE">
      <w:pPr>
        <w:pStyle w:val="TextoNormal"/>
      </w:pPr>
      <w:r>
        <w:t>b) En segundo lugar, porque la motivación empleada por la mayoría del tribunal arbitral para concluir que la cláusula 2.2 del contrato de colaboración novado es contraria al artículo 1.1 de la Ley de defensa de la competencia no solo es errónea y arbitraria, sino que vulnera principios esenciales del Derecho de la competencia, que son de orden público, lo que es igualmente determinante de la nulidad de los pronunciamientos impugnados por mandato de lo dispuesto en el artículo 41.1 e) LA.</w:t>
      </w:r>
    </w:p>
    <w:p w14:paraId="61CE6739" w14:textId="77777777" w:rsidR="003754FE" w:rsidRDefault="003754FE" w:rsidP="003754FE">
      <w:pPr>
        <w:pStyle w:val="TextoNormal"/>
      </w:pPr>
    </w:p>
    <w:p w14:paraId="5DBA82E8" w14:textId="77777777" w:rsidR="003754FE" w:rsidRDefault="003754FE" w:rsidP="003754FE">
      <w:pPr>
        <w:pStyle w:val="TextoNormal"/>
      </w:pPr>
      <w:r>
        <w:t>En concreto, los pronunciamientos contenidos en los apartados 1 y 2 de la parte dispositiva del laudo definitivo que declaran la nulidad de la cláusula 2.2 del contrato de colaboración novado por infringir el artículo 1 LDC, evidencian su “contravención del orden público [artículo 41.1 f) LA], por aplicación arbitraria e ilógica del artículo 1 de la Ley de defensa de la competencia y, como consecuencia de esta, de los principios de libre iniciativa privada y libertad económica reconocidos en el artículo 38 de la Constitución como fundamento del orden público-económico constitucional”.</w:t>
      </w:r>
    </w:p>
    <w:p w14:paraId="55DCBC2E" w14:textId="77777777" w:rsidR="003754FE" w:rsidRDefault="003754FE" w:rsidP="003754FE">
      <w:pPr>
        <w:pStyle w:val="TextoNormal"/>
      </w:pPr>
    </w:p>
    <w:p w14:paraId="106F3584" w14:textId="77777777" w:rsidR="003754FE" w:rsidRDefault="003754FE" w:rsidP="003754FE">
      <w:pPr>
        <w:pStyle w:val="TextoNormal"/>
      </w:pPr>
      <w:r>
        <w:t>Dentro de este segundo motivo de la demanda se argumenta sobre una omisión indebida de enjuiciamiento por parte del laudo definitivo, al no aplicar el Derecho de la Unión Europea. Dice el escrito de anulación:</w:t>
      </w:r>
    </w:p>
    <w:p w14:paraId="533929AB" w14:textId="77777777" w:rsidR="003754FE" w:rsidRDefault="003754FE" w:rsidP="003754FE">
      <w:pPr>
        <w:pStyle w:val="TextoNormal"/>
      </w:pPr>
    </w:p>
    <w:p w14:paraId="153AC672" w14:textId="77777777" w:rsidR="003754FE" w:rsidRDefault="003754FE" w:rsidP="003754FE">
      <w:pPr>
        <w:pStyle w:val="TextoNormal"/>
      </w:pPr>
      <w:r>
        <w:lastRenderedPageBreak/>
        <w:t>“61. […] el laudo final incurre en la misma tacha de arbitrariedad en cuanto a la selección del Derecho aplicable, que realiza excluyendo la aplicabilidad, junto al artículo 1 de la Ley de defensa de la competencia, del artículo 101 del Tratado de funcionamiento de la Unión Europea [TFUE], con el argumento de que ‘Existe un consenso doctrinal generalizado sobre el hecho de que el criterio que sirve para delimitar el ámbito de aplicación de las normas en materia de control de conductas es el elemento de la afectación del comercio, siendo claro en este caso que la conducta que se le imputa a Cabify afectaría en todo caso exclusivamente al mercado nacional, por lo que decaería el problema de la dualidad normativa’.</w:t>
      </w:r>
    </w:p>
    <w:p w14:paraId="2AC791B5" w14:textId="77777777" w:rsidR="003754FE" w:rsidRDefault="003754FE" w:rsidP="003754FE">
      <w:pPr>
        <w:pStyle w:val="TextoNormal"/>
      </w:pPr>
    </w:p>
    <w:p w14:paraId="25D83A7B" w14:textId="77777777" w:rsidR="003754FE" w:rsidRDefault="003754FE" w:rsidP="003754FE">
      <w:pPr>
        <w:pStyle w:val="TextoNormal"/>
      </w:pPr>
      <w:r>
        <w:t>62. No hay una sola palabra de verdad en esa frase: el ‘consenso doctrinal’ al que se refiere de un modo absolutamente críptico, sin mencionar un solo exponente de esa doctrina, no existe. Es más: el problema jurídico que se plantea está resuelto, pero en sentido contrario, por la Comisión Europea, quien tiene declarado que si una cláusula de exclusividad vertical despliega efectos de exclusión en un mercado relevante de ámbito nacional, es perfectamente posible y parece hasta cierto punto inevitable que afecte el comercio intra-UE, es decir, que obstaculice la entrada en el mercado español por parte de nuevos competidores (Directrices de la CE relativas al concepto de efecto sobre el comercio en el art 101 TFUE).</w:t>
      </w:r>
    </w:p>
    <w:p w14:paraId="368F7D57" w14:textId="77777777" w:rsidR="003754FE" w:rsidRDefault="003754FE" w:rsidP="003754FE">
      <w:pPr>
        <w:pStyle w:val="TextoNormal"/>
      </w:pPr>
    </w:p>
    <w:p w14:paraId="004BC465" w14:textId="77777777" w:rsidR="003754FE" w:rsidRDefault="003754FE" w:rsidP="003754FE">
      <w:pPr>
        <w:pStyle w:val="TextoNormal"/>
      </w:pPr>
      <w:r>
        <w:t>63. El razonamiento jurídico que conduce a la declaración de nulidad de la cláusula 2.2 del contrato de colaboración contiene errores de Derecho tan gruesos que lo hacen contrario al orden público por arbitrariedad. Los árbitros no han decidido conforme a Derecho porque su decisión es el resultado de una selección y aplicación puramente caprichosa de las normas aplicables para la resolución de este concreto objeto de la controversia, que se aparta abiertamente de cualquier interpretación razonable del artículo 1 de la Ley de defensa de la competencia, así como del abundante cuerpo de doctrina que el Derecho europeo ha elaborado sobre la materia y que, como es bien sabido, resulta de plena aplicación aquí, siquiera sea porque nuestro Derecho de la competencia es un mero trasunto del Derecho Comunitario y el artículo 101 del Tratado de funcionamiento de la Unión europea es en todo equivalente al artículo 1 de la Ley de defensa de la competencia.</w:t>
      </w:r>
    </w:p>
    <w:p w14:paraId="7CE5A823" w14:textId="77777777" w:rsidR="003754FE" w:rsidRDefault="003754FE" w:rsidP="003754FE">
      <w:pPr>
        <w:pStyle w:val="TextoNormal"/>
      </w:pPr>
    </w:p>
    <w:p w14:paraId="19CB093A" w14:textId="77777777" w:rsidR="003754FE" w:rsidRDefault="003754FE" w:rsidP="003754FE">
      <w:pPr>
        <w:pStyle w:val="TextoNormal"/>
      </w:pPr>
      <w:r>
        <w:t>[…]</w:t>
      </w:r>
    </w:p>
    <w:p w14:paraId="7D01C3B1" w14:textId="77777777" w:rsidR="003754FE" w:rsidRDefault="003754FE" w:rsidP="003754FE">
      <w:pPr>
        <w:pStyle w:val="TextoNormal"/>
      </w:pPr>
    </w:p>
    <w:p w14:paraId="3672A772" w14:textId="77777777" w:rsidR="003754FE" w:rsidRDefault="003754FE" w:rsidP="003754FE">
      <w:pPr>
        <w:pStyle w:val="TextoNormal"/>
      </w:pPr>
      <w:r>
        <w:t>65. Cuanto acaba de decirse se resume, por tanto, en una manifiesta vulneración por el laudo final del artículo 1 de la Ley de defensa de la competencia (y 101 TFUE), que se produce por aplicarlo indebidamente para declarar nula una cláusula que no lo es. Esta indebida aplicación del artículo 1 de la Ley de defensa de la competencia no es solo la vulneración de una norma legal, sino más que eso, una vulneración del orden público, porque la norma en cuestión, como todas las reguladoras del Derecho de la competencia participan de esta naturaleza. Así está perfectamente establecido en el Derecho europeo por el Tribunal de Justicia de la Unión y no hay razón alguna para entender que pueda ocurrir otra cosa con una norma nacional que no es sino trasunto de la comunitaria.</w:t>
      </w:r>
    </w:p>
    <w:p w14:paraId="635091D6" w14:textId="77777777" w:rsidR="003754FE" w:rsidRDefault="003754FE" w:rsidP="003754FE">
      <w:pPr>
        <w:pStyle w:val="TextoNormal"/>
      </w:pPr>
    </w:p>
    <w:p w14:paraId="5BE66D94" w14:textId="77777777" w:rsidR="003754FE" w:rsidRDefault="003754FE" w:rsidP="003754FE">
      <w:pPr>
        <w:pStyle w:val="TextoNormal"/>
      </w:pPr>
      <w:r>
        <w:t xml:space="preserve">66. Que las normas del Derecho de la competencia forman parte del orden público, no solo comunitario, sino también nacional de los Estados miembros quedó primeramente establecido en la sentencia de 1 de junio de 1999 (asunto C-126/97, </w:t>
      </w:r>
      <w:r w:rsidRPr="003754FE">
        <w:rPr>
          <w:i/>
        </w:rPr>
        <w:t>Eco Swiss China Time Ltd. c. Benetton International NV</w:t>
      </w:r>
      <w:r>
        <w:t xml:space="preserve">), que, tras reconocer (implícitamente) la arbitrabilidad del Derecho de la competencia de la Unión Europea, declaró que debe considerarse que estas normas forman parte del orden público interno de los Estados miembros y pueden acarrear </w:t>
      </w:r>
      <w:r>
        <w:lastRenderedPageBreak/>
        <w:t>la anulación del laudo que no las tenga en cuenta. Y así lo ha recogido también la práctica española, cuyo mejor exponente se encuentra en la sentencia de la Audiencia Nacional de Barcelona de 7 de junio de 2000, que anuló un laudo arbitral dictado sobre un pacto de no competencia por entender la Audiencia que la aplicación que los árbitros habían hecho del Derecho de la competencia no era ajustada a Derecho y ello suponía necesariamente una contravención del orden público. Y el propio laudo final lo reconoce (parágrafo 286):</w:t>
      </w:r>
    </w:p>
    <w:p w14:paraId="46FB0190" w14:textId="77777777" w:rsidR="003754FE" w:rsidRDefault="003754FE" w:rsidP="003754FE">
      <w:pPr>
        <w:pStyle w:val="TextoNormal"/>
      </w:pPr>
    </w:p>
    <w:p w14:paraId="094FBB46" w14:textId="77777777" w:rsidR="003754FE" w:rsidRDefault="003754FE" w:rsidP="003754FE">
      <w:pPr>
        <w:pStyle w:val="TextoNormal"/>
      </w:pPr>
      <w:r>
        <w:t>[Se reproduce dicho parágrafo 286, y también los parágrafos 106 a 108 de un laudo parcial anterior al definitivo donde el tribunal arbitral declaraba su competencia para conocer de los temas de Derecho de la competencia]</w:t>
      </w:r>
    </w:p>
    <w:p w14:paraId="1813DA0C" w14:textId="77777777" w:rsidR="003754FE" w:rsidRDefault="003754FE" w:rsidP="003754FE">
      <w:pPr>
        <w:pStyle w:val="TextoNormal"/>
      </w:pPr>
    </w:p>
    <w:p w14:paraId="0E7DD410" w14:textId="77777777" w:rsidR="003754FE" w:rsidRDefault="003754FE" w:rsidP="003754FE">
      <w:pPr>
        <w:pStyle w:val="TextoNormal"/>
      </w:pPr>
      <w:r>
        <w:t>68. Y estas conclusiones no son desvirtuadas por las recientes sentencias del Tribunal Constitucional, que claramente han puesto de relieve que ‘el orden público comprende los derechos fundamentales y las libertades garantizados por la Constitución, así como otros principios esenciales indisponibles para el legislador por exigencia constitucional o de la aplicación de principios admitidos internacionalmente’ (STC 46/2020, de 15 de junio, FJ 4). La acción de anulación, por consiguiente, solo puede tener como objeto el análisis de los posibles errores procesales en que haya podido incurrir el proceso arbitral, referidos al cumplimiento de las garantías fundamentales, como lo son, por ejemplo, el derecho de defensa, igualdad, bilateralidad, contradicción y prueba, o cuando el laudo carezca de motivación, sea incongruente, infrinja normas legales imperativas o vulnere la intangibilidad de una resolución firme anterior. Y si la resolución arbitral puede tacharse de arbitraria, ilógica, absurda o irracional, cabe declarar su nulidad amparándose en la noción de orden público.</w:t>
      </w:r>
    </w:p>
    <w:p w14:paraId="1FDB8E95" w14:textId="77777777" w:rsidR="003754FE" w:rsidRDefault="003754FE" w:rsidP="003754FE">
      <w:pPr>
        <w:pStyle w:val="TextoNormal"/>
      </w:pPr>
    </w:p>
    <w:p w14:paraId="43E64806" w14:textId="77777777" w:rsidR="003754FE" w:rsidRDefault="003754FE" w:rsidP="003754FE">
      <w:pPr>
        <w:pStyle w:val="TextoNormal"/>
      </w:pPr>
      <w:r>
        <w:t>69. En el presente caso, los errores denunciados en el laudo final son tan graves y fundamentales que es necesario anularlo por cuanto puede tacharse de “arbitrario, ilógico, absurdo o irracional”, porque, como ya se ha señalado, se ha incurrido en arbitrariedad respecto a ley aplicable (no se aplica el artículo 101 TFUE), respecto al propio concepto de afectación del comercio intracomunitario (ligado a la premisa anterior), y respecto al propio concepto de mercado relevante (el laudo final dice que hace falta substituibilidad en ambos lados del mercado).</w:t>
      </w:r>
    </w:p>
    <w:p w14:paraId="06434551" w14:textId="77777777" w:rsidR="003754FE" w:rsidRDefault="003754FE" w:rsidP="003754FE">
      <w:pPr>
        <w:pStyle w:val="TextoNormal"/>
      </w:pPr>
    </w:p>
    <w:p w14:paraId="0990CF21" w14:textId="77777777" w:rsidR="003754FE" w:rsidRDefault="003754FE" w:rsidP="003754FE">
      <w:pPr>
        <w:pStyle w:val="TextoNormal"/>
      </w:pPr>
      <w:r>
        <w:t>70. No puede olvidarse, y esto ha de ser necesariamente destacado, que no es solo la inaplicación del Derecho de la competencia lo que comporta la anulación del laudo, sino también —y por fuerza— la aplicación indebida, errónea o arbitraria de esa normativa.</w:t>
      </w:r>
    </w:p>
    <w:p w14:paraId="6ACA8791" w14:textId="77777777" w:rsidR="003754FE" w:rsidRDefault="003754FE" w:rsidP="003754FE">
      <w:pPr>
        <w:pStyle w:val="TextoNormal"/>
      </w:pPr>
    </w:p>
    <w:p w14:paraId="3168707D" w14:textId="77777777" w:rsidR="003754FE" w:rsidRDefault="003754FE" w:rsidP="003754FE">
      <w:pPr>
        <w:pStyle w:val="TextoNormal"/>
      </w:pPr>
      <w:r>
        <w:t>[…]</w:t>
      </w:r>
    </w:p>
    <w:p w14:paraId="1C37F018" w14:textId="77777777" w:rsidR="003754FE" w:rsidRDefault="003754FE" w:rsidP="003754FE">
      <w:pPr>
        <w:pStyle w:val="TextoNormal"/>
      </w:pPr>
    </w:p>
    <w:p w14:paraId="49D987FE" w14:textId="77777777" w:rsidR="003754FE" w:rsidRDefault="003754FE" w:rsidP="003754FE">
      <w:pPr>
        <w:pStyle w:val="TextoNormal"/>
      </w:pPr>
      <w:r>
        <w:t>77. Quiere todo ello decir que la infracción del orden público que se denuncia alcanza también al orden público económico constitucional, representado por el principio de autonomía privada del que deriva el principio de libertad de contratación, cuya vulneración debe determinar igualmente la anulación de los pronunciamientos impugnados”.</w:t>
      </w:r>
    </w:p>
    <w:p w14:paraId="57B6D73C" w14:textId="77777777" w:rsidR="003754FE" w:rsidRDefault="003754FE" w:rsidP="003754FE">
      <w:pPr>
        <w:pStyle w:val="TextoNormal"/>
      </w:pPr>
    </w:p>
    <w:p w14:paraId="35E9DEB4" w14:textId="77777777" w:rsidR="003754FE" w:rsidRDefault="003754FE" w:rsidP="003754FE">
      <w:pPr>
        <w:pStyle w:val="TextoNormal"/>
      </w:pPr>
      <w:r>
        <w:t>Cerrada la fundamentación jurídica, en el suplico del escrito de anulación se solicitó que se tuviera por formulada “demanda en ejercicio de la acción de anulación, respecto de los puntos 1 y 2 de la parte dispositiva del laudo final y, en su día, previo recibimiento del pleito a prueba y celebración de vista, dicte sentencia que estime la demanda y, en consecuencia, anule los pronunciamientos impugnados, con costas”.</w:t>
      </w:r>
    </w:p>
    <w:p w14:paraId="016D3DB9" w14:textId="77777777" w:rsidR="003754FE" w:rsidRDefault="003754FE" w:rsidP="003754FE">
      <w:pPr>
        <w:pStyle w:val="TextoNormal"/>
      </w:pPr>
    </w:p>
    <w:p w14:paraId="3EC0A25D" w14:textId="77777777" w:rsidR="003754FE" w:rsidRDefault="003754FE" w:rsidP="003754FE">
      <w:pPr>
        <w:pStyle w:val="TextoNormal"/>
      </w:pPr>
      <w:r>
        <w:t>D) Sentencia resolutoria de la acción de anulación</w:t>
      </w:r>
    </w:p>
    <w:p w14:paraId="4695198F" w14:textId="77777777" w:rsidR="003754FE" w:rsidRDefault="003754FE" w:rsidP="003754FE">
      <w:pPr>
        <w:pStyle w:val="TextoNormal"/>
      </w:pPr>
    </w:p>
    <w:p w14:paraId="5AB49100" w14:textId="77777777" w:rsidR="003754FE" w:rsidRDefault="003754FE" w:rsidP="003754FE">
      <w:pPr>
        <w:pStyle w:val="TextoNormal"/>
      </w:pPr>
      <w:r>
        <w:t>La Sala de lo Civil y Penal del Tribunal Superior de Justicia de Madrid admitió la demanda por decreto del letrado de la administración de justicia de 10 de mayo de 2022. Tras la tramitación del procedimiento (asunto civil núm. 24-2021, procedimiento de anulación de laudo arbitral núm. 17-2021), en el que se admitió la prueba documental propuesta y se denegó la celebración de vista pública por auto de 19 de julio de 2021, la Sala dictó la sentencia núm. 66/2021, de 22 de octubre.</w:t>
      </w:r>
    </w:p>
    <w:p w14:paraId="0F369CE1" w14:textId="77777777" w:rsidR="003754FE" w:rsidRDefault="003754FE" w:rsidP="003754FE">
      <w:pPr>
        <w:pStyle w:val="TextoNormal"/>
      </w:pPr>
    </w:p>
    <w:p w14:paraId="0994FFFA" w14:textId="77777777" w:rsidR="003754FE" w:rsidRDefault="003754FE" w:rsidP="003754FE">
      <w:pPr>
        <w:pStyle w:val="TextoNormal"/>
      </w:pPr>
      <w:r>
        <w:t>a) Parte dispositiva</w:t>
      </w:r>
    </w:p>
    <w:p w14:paraId="38E60A97" w14:textId="77777777" w:rsidR="003754FE" w:rsidRDefault="003754FE" w:rsidP="003754FE">
      <w:pPr>
        <w:pStyle w:val="TextoNormal"/>
      </w:pPr>
    </w:p>
    <w:p w14:paraId="7581F68A" w14:textId="77777777" w:rsidR="003754FE" w:rsidRDefault="003754FE" w:rsidP="003754FE">
      <w:pPr>
        <w:pStyle w:val="TextoNormal"/>
      </w:pPr>
      <w:r>
        <w:t>“Estimamos la demanda de anulación parcial del laudo arbitral formulada por el procurador de los tribunales don Ignacio López Chocarro, en nombre y representación de Maxi Mobility Spain, S.L.U., contra Auro New Transport Concept, S.L., y en su virtud anulamos los puntos 1 y 2 de la parte dispositiva del laudo final de 29 de diciembre de 2020 —cuya aclaración y complemento se deniega por laudo de 24 de febrero de 2021— […]”.</w:t>
      </w:r>
    </w:p>
    <w:p w14:paraId="33DDE77E" w14:textId="77777777" w:rsidR="003754FE" w:rsidRDefault="003754FE" w:rsidP="003754FE">
      <w:pPr>
        <w:pStyle w:val="TextoNormal"/>
      </w:pPr>
    </w:p>
    <w:p w14:paraId="10668FE4" w14:textId="77777777" w:rsidR="003754FE" w:rsidRDefault="003754FE" w:rsidP="003754FE">
      <w:pPr>
        <w:pStyle w:val="TextoNormal"/>
      </w:pPr>
      <w:r>
        <w:t>b) Fundamentos de la sentencia</w:t>
      </w:r>
    </w:p>
    <w:p w14:paraId="3CB5E645" w14:textId="77777777" w:rsidR="003754FE" w:rsidRDefault="003754FE" w:rsidP="003754FE">
      <w:pPr>
        <w:pStyle w:val="TextoNormal"/>
      </w:pPr>
    </w:p>
    <w:p w14:paraId="7961055C" w14:textId="77777777" w:rsidR="003754FE" w:rsidRDefault="003754FE" w:rsidP="003754FE">
      <w:pPr>
        <w:pStyle w:val="TextoNormal"/>
      </w:pPr>
      <w:r>
        <w:t xml:space="preserve">b) 1. En cuanto al primero de los motivos de la demanda, la alegada incongruencia </w:t>
      </w:r>
      <w:r w:rsidRPr="003754FE">
        <w:rPr>
          <w:i/>
        </w:rPr>
        <w:t>extra petita</w:t>
      </w:r>
      <w:r>
        <w:t xml:space="preserve"> causante de indefensión con base en las causas de anulación de los apartados c) (“Que los árbitros han resuelto sobre cuestiones no sometidas a su decisión”) y f) (“Que el laudo es contrario al orden público”) del art. 41.1 de la Ley de arbitraje, la sentencia lo desestima en su fundamento de Derecho segundo, al no haber intentado la parte interesada la reparación de la falta ante el propio tribunal arbitral, en concreto mediante el incidente de rectificación de la extralimitación parcial del laudo previsto en el art. 39.1 d) de la Ley de arbitraje. Por ello, dice el Tribunal Superior de Justicia de Madrid, “la eventual indefensión ocasionada por dicho exceso no tendría relevancia constitucional al ser también imputable a la negligencia de la parte que de ella se queja”; además y “a mayor abundamiento —pues lo que antecede excluye la viabilidad del motivo—”, la sentencia da sus razones para poner en duda que tal incongruencia se hubiere producido.</w:t>
      </w:r>
    </w:p>
    <w:p w14:paraId="16600034" w14:textId="77777777" w:rsidR="003754FE" w:rsidRDefault="003754FE" w:rsidP="003754FE">
      <w:pPr>
        <w:pStyle w:val="TextoNormal"/>
      </w:pPr>
    </w:p>
    <w:p w14:paraId="1CCD16F6" w14:textId="77777777" w:rsidR="003754FE" w:rsidRDefault="003754FE" w:rsidP="003754FE">
      <w:pPr>
        <w:pStyle w:val="TextoNormal"/>
      </w:pPr>
      <w:r>
        <w:t>b) 2. El segundo motivo de la demanda de anulación, el cual plantea la vulneración de principios rectores del Derecho de la competencia que serían de orden público [art. 41.1 f) de la Ley de arbitraje], se examina a su vez por la sentencia en un extenso fundamento de Derecho cuarto que procedemos a resumir y que se inicia con la siguiente declaración de principio:</w:t>
      </w:r>
    </w:p>
    <w:p w14:paraId="4A1D2BC2" w14:textId="77777777" w:rsidR="003754FE" w:rsidRDefault="003754FE" w:rsidP="003754FE">
      <w:pPr>
        <w:pStyle w:val="TextoNormal"/>
      </w:pPr>
    </w:p>
    <w:p w14:paraId="293BD49A" w14:textId="77777777" w:rsidR="003754FE" w:rsidRDefault="003754FE" w:rsidP="003754FE">
      <w:pPr>
        <w:pStyle w:val="TextoNormal"/>
      </w:pPr>
      <w:r>
        <w:t>“[A]ntes de analizar el contenido del laudo y la infracción del orden público que se le achaca, es preciso sentar con la debida claridad los parámetros que han de delimitar nuestro enjuiciamiento tanto por lo que concierne al Derecho aplicable, como en lo que toca a si este tribunal ha de verificar, más allá de un control puramente formal o externo, si la motivación del laudo se acomoda a normas imperativas del Derecho de la competencia tal y como son entendidas por los Supremos Tribunales llamados a interpretarlas y, de modo particular, por el Tribunal de Justicia de la Unión Europea”.</w:t>
      </w:r>
    </w:p>
    <w:p w14:paraId="009AB386" w14:textId="77777777" w:rsidR="003754FE" w:rsidRDefault="003754FE" w:rsidP="003754FE">
      <w:pPr>
        <w:pStyle w:val="TextoNormal"/>
      </w:pPr>
    </w:p>
    <w:p w14:paraId="0FC4C928" w14:textId="77777777" w:rsidR="003754FE" w:rsidRDefault="003754FE" w:rsidP="003754FE">
      <w:pPr>
        <w:pStyle w:val="TextoNormal"/>
      </w:pPr>
      <w:r>
        <w:lastRenderedPageBreak/>
        <w:t>(i) Referencia al marco normativo aplicable como condicionante del inexcusable deber de análisis del tribunal arbitral: la insoslayable aplicación al caso del Derecho de la Unión Europea</w:t>
      </w:r>
    </w:p>
    <w:p w14:paraId="597AEA44" w14:textId="77777777" w:rsidR="003754FE" w:rsidRDefault="003754FE" w:rsidP="003754FE">
      <w:pPr>
        <w:pStyle w:val="TextoNormal"/>
      </w:pPr>
    </w:p>
    <w:p w14:paraId="59F95996" w14:textId="77777777" w:rsidR="003754FE" w:rsidRDefault="003754FE" w:rsidP="003754FE">
      <w:pPr>
        <w:pStyle w:val="TextoNormal"/>
      </w:pPr>
      <w:r>
        <w:t>La sentencia empieza por reproducir el art. 1 LDC, incluyendo el apartado 4 en el que se precisa que la prohibición del apartado 1 (definición y ejemplos de conductas colusorias) no se aplica “a los acuerdos, decisiones, o recomendaciones colectivas, o prácticas concertadas o conscientemente paralelas que cumplan las disposiciones establecidas en los reglamentos comunitarios relativos a la aplicación del apartado 3 del artículo 81 del Tratado CE —hoy art. 101.3 TFUE— a determinadas categorías de acuerdos, decisiones de asociaciones de empresa y prácticas concertadas, incluso cuando las correspondientes conductas no puedan afectar al comercio entre los Estados miembros de la UE” (la aclaración entre guiones es de la sentencia). Continúa diciendo:</w:t>
      </w:r>
    </w:p>
    <w:p w14:paraId="59D9FCEB" w14:textId="77777777" w:rsidR="003754FE" w:rsidRDefault="003754FE" w:rsidP="003754FE">
      <w:pPr>
        <w:pStyle w:val="TextoNormal"/>
      </w:pPr>
    </w:p>
    <w:p w14:paraId="0A0EFC94" w14:textId="77777777" w:rsidR="003754FE" w:rsidRDefault="003754FE" w:rsidP="003754FE">
      <w:pPr>
        <w:pStyle w:val="TextoNormal"/>
      </w:pPr>
      <w:r>
        <w:t>“Este último apartado —art. 1.4 LDC— es expresión genuina del calificativo que la común doctrina ha dado a nuestro ordenamiento de defensa de la competencia como ‘sistema de espejo’ o ‘de doble barrera’, consistente en verificar que los acuerdos a los que se haya de aplicar el Derecho español respeten la normativa de la Unión, aunque solo afecten a nuestro mercado interior. El sistema español de defensa de la competencia se caracteriza, pues, por que aquellos acuerdos que respeten la normativa comunitaria, aunque solo se proyecten sobre el mercado interior español, se reputan válidos (art. 1.4 LDC).</w:t>
      </w:r>
    </w:p>
    <w:p w14:paraId="21111181" w14:textId="77777777" w:rsidR="003754FE" w:rsidRDefault="003754FE" w:rsidP="003754FE">
      <w:pPr>
        <w:pStyle w:val="TextoNormal"/>
      </w:pPr>
    </w:p>
    <w:p w14:paraId="4915CC8B" w14:textId="77777777" w:rsidR="003754FE" w:rsidRDefault="003754FE" w:rsidP="003754FE">
      <w:pPr>
        <w:pStyle w:val="TextoNormal"/>
      </w:pPr>
      <w:r>
        <w:t>Por consiguiente, para determinar si un acuerdo, práctica concertada o conscientemente paralela es contraria a la normativa de defensa de la competencia (aun cuando ataña únicamente al mercado español y no real ni potencialmente al comercio entre los Estados miembros de la UE) se ha de acudir a la normativa comunitaria: la posibilidad de establecer restricciones a la libre competencia viene autorizada por el Reglamento (UE) 330/2010, de la Comisión de 20 de abril, de aplicación del artículo 101, apartado 3, del Tratado de funcionamiento de la Unión Europea, aplicable a determinadas categorías de acuerdos verticales y prácticas concertadas —Reglamento también denominado ‘de restricciones verticales’; para la correcta interpretación de este Reglamento la Comisión publicó las llamadas ‘Directrices relativas a las restricciones verticales 2010/C 130/01’”.</w:t>
      </w:r>
    </w:p>
    <w:p w14:paraId="2195D16E" w14:textId="77777777" w:rsidR="003754FE" w:rsidRDefault="003754FE" w:rsidP="003754FE">
      <w:pPr>
        <w:pStyle w:val="TextoNormal"/>
      </w:pPr>
    </w:p>
    <w:p w14:paraId="6702DACD" w14:textId="77777777" w:rsidR="003754FE" w:rsidRDefault="003754FE" w:rsidP="003754FE">
      <w:pPr>
        <w:pStyle w:val="TextoNormal"/>
      </w:pPr>
      <w:r>
        <w:t>Luego de unas consideraciones sobre el contenido del Reglamento (UE) 330/2010, de 20 de abril, de la Comisión Europea, la cita de algunas comunicaciones dictadas por esta última sobre acuerdos restrictivos de la competencia (“comunicación d</w:t>
      </w:r>
      <w:r w:rsidRPr="003754FE">
        <w:rPr>
          <w:i/>
        </w:rPr>
        <w:t>e minim</w:t>
      </w:r>
      <w:r>
        <w:t>is”), la traslación de estas reglas al art. 5 LDC y su desarrollo por los arts. 1 a 3 RDC, sostiene la sentencia que:</w:t>
      </w:r>
    </w:p>
    <w:p w14:paraId="14C7D73A" w14:textId="77777777" w:rsidR="003754FE" w:rsidRDefault="003754FE" w:rsidP="003754FE">
      <w:pPr>
        <w:pStyle w:val="TextoNormal"/>
      </w:pPr>
    </w:p>
    <w:p w14:paraId="17C605F2" w14:textId="77777777" w:rsidR="003754FE" w:rsidRDefault="003754FE" w:rsidP="003754FE">
      <w:pPr>
        <w:pStyle w:val="TextoNormal"/>
      </w:pPr>
      <w:r>
        <w:t>“De lo expuesto se sigue, con expreso y terminante fundamento legal, que la ley aplicable española incorpora ineluctablemente, por remisión legal expresa y más allá del ámbito de aplicación territorial de la normativa comunitaria, esa misma normativa de la UE: si un pacto restrictivo de la competencia está autorizado por el Derecho de la Unión el legislador español, lo repetimos, de un modo explícito y terminante, lo reputa asimismo lícito, siempre, claro está, a salvo de la eventual existencia de previsiones más estrictas de nuestro Derecho interno.</w:t>
      </w:r>
    </w:p>
    <w:p w14:paraId="5A3E5908" w14:textId="77777777" w:rsidR="003754FE" w:rsidRDefault="003754FE" w:rsidP="003754FE">
      <w:pPr>
        <w:pStyle w:val="TextoNormal"/>
      </w:pPr>
    </w:p>
    <w:p w14:paraId="261296FF" w14:textId="77777777" w:rsidR="003754FE" w:rsidRDefault="003754FE" w:rsidP="003754FE">
      <w:pPr>
        <w:pStyle w:val="TextoNormal"/>
      </w:pPr>
      <w:r>
        <w:t xml:space="preserve">Y lo que es tan importante: el mero hecho de que el pacto de exclusiva aquí litigioso pudiese no estar amparado por las exenciones del precitado Reglamento 330/2010 de la </w:t>
      </w:r>
      <w:r>
        <w:lastRenderedPageBreak/>
        <w:t>Comisión —a todas luces aplicable al caso—, tampoco presuponía necesariamente su invalidez; ahora bien, ello obligaba a verificar si, en las circunstancias del caso, ese pacto falseaba o alteraba significativamente la libre competencia”.</w:t>
      </w:r>
    </w:p>
    <w:p w14:paraId="1481FC9D" w14:textId="77777777" w:rsidR="003754FE" w:rsidRDefault="003754FE" w:rsidP="003754FE">
      <w:pPr>
        <w:pStyle w:val="TextoNormal"/>
      </w:pPr>
    </w:p>
    <w:p w14:paraId="66884960" w14:textId="77777777" w:rsidR="003754FE" w:rsidRDefault="003754FE" w:rsidP="003754FE">
      <w:pPr>
        <w:pStyle w:val="TextoNormal"/>
      </w:pPr>
      <w:r>
        <w:t>Se hace cita a continuación de la sentencia del Tribunal Supremo 899/2007, de 31 de julio (ECLI:ES:TS:2007:5808); de las directrices de la Comisión Europea “relativas al concepto de efecto sobre el comercio en el art. 101 TFUE”, reproduciendo algunas de ellas; y se afirma a continuación lo siguiente:</w:t>
      </w:r>
    </w:p>
    <w:p w14:paraId="18E34CBA" w14:textId="77777777" w:rsidR="003754FE" w:rsidRDefault="003754FE" w:rsidP="003754FE">
      <w:pPr>
        <w:pStyle w:val="TextoNormal"/>
      </w:pPr>
    </w:p>
    <w:p w14:paraId="63B21A91" w14:textId="77777777" w:rsidR="003754FE" w:rsidRDefault="003754FE" w:rsidP="003754FE">
      <w:pPr>
        <w:pStyle w:val="TextoNormal"/>
      </w:pPr>
      <w:r>
        <w:t xml:space="preserve">“La mera lectura de lo que antecede justifica, sin necesidad de mayor comentario, que, a diferencia de lo que con suma parquedad postula el laudo —§ 293 y 294— en relación con el Derecho aplicable, es insoslayable no excluir la aplicación del Derecho de la competencia de la Unión Europea respecto de un pacto restrictivo que el propio laudo califica como de colusorio por razón del objeto, con incidencia </w:t>
      </w:r>
      <w:r w:rsidRPr="003754FE">
        <w:rPr>
          <w:i/>
        </w:rPr>
        <w:t>per se</w:t>
      </w:r>
      <w:r>
        <w:t xml:space="preserve"> en la libertad de competencia, y máxime cuando se repara en que estamos ante un mercado emergente con pocos operadores, alguno de los cuales actúa a su vez en otros Estados de la Unión —como es, este sí, notoriamente, el caso de Uber—, de modo que resulta evidente que el pacto de exclusiva litigioso podría ocasionar un cambio apreciable en las corrientes comerciales entre Estados miembros desde el prisma de la libertad de establecimiento de empresas nacionales o de otros Estados de la Unión en el mercado de referencia considerado.</w:t>
      </w:r>
    </w:p>
    <w:p w14:paraId="432F41EF" w14:textId="77777777" w:rsidR="003754FE" w:rsidRDefault="003754FE" w:rsidP="003754FE">
      <w:pPr>
        <w:pStyle w:val="TextoNormal"/>
      </w:pPr>
    </w:p>
    <w:p w14:paraId="0F3F2ADB" w14:textId="77777777" w:rsidR="003754FE" w:rsidRDefault="003754FE" w:rsidP="003754FE">
      <w:pPr>
        <w:pStyle w:val="TextoNormal"/>
      </w:pPr>
      <w:r>
        <w:t xml:space="preserve">El laudo determina arbitrariamente la selección del Derecho aplicable, cuando, </w:t>
      </w:r>
      <w:r w:rsidRPr="003754FE">
        <w:rPr>
          <w:i/>
        </w:rPr>
        <w:t>in casu</w:t>
      </w:r>
      <w:r>
        <w:t>, se limita a considerar ‘que el criterio que sirve para delimitar el ámbito de aplicación de las normas en materia de control de conductas es el elemento de la afectación del comercio, siendo claro en este caso que la conducta que se le imputa a Cabify afectaría en todo caso exclusivamente al mercado nacional, por lo que decaería el problema de la dualidad normativa’ (§ 293). Sobre esta base —que afirma ser expresión de un consenso doctrinal generalizado— entiende que ‘es claro que la legislación aplicable es la española, no la comunitaria’ —la LDC y el RDC—, sin perjuicio ‘de su función subsidiaria o supletoria cuando así se establezca o proceda’ (§ 293), y ‘del carácter orientador y de guía interpretativa del Derecho europeo’ (§ 294). A lo que añade el laudo: ‘no parece que la cuestión —pese a que las partes han debatido extensamente sobre este extremo— requiera mayor fundamentación’ (§ 294).</w:t>
      </w:r>
    </w:p>
    <w:p w14:paraId="2B5D080C" w14:textId="77777777" w:rsidR="003754FE" w:rsidRDefault="003754FE" w:rsidP="003754FE">
      <w:pPr>
        <w:pStyle w:val="TextoNormal"/>
      </w:pPr>
    </w:p>
    <w:p w14:paraId="1108FBD9" w14:textId="77777777" w:rsidR="003754FE" w:rsidRDefault="003754FE" w:rsidP="003754FE">
      <w:pPr>
        <w:pStyle w:val="TextoNormal"/>
      </w:pPr>
      <w:r>
        <w:t xml:space="preserve">Ni la fundamentación ni la conclusión del laudo sobre esta cuestión básica pueden ser compartidas. Lo expuesto sobre las directrices de la Comisión, sustentadas en jurisprudencia específica del Tribunal de Justicia de la Unión Europea, revela, sin lugar a dudas, que el marco geográfico de aplicación de la cláusula de exclusiva en absoluto permite excluir, sin más, la aplicación del Derecho de la Unión. Derecho cuya aplicabilidad no puede ser desechada de un modo axiomático —como el laudo hace—, sin considerar los aspectos definitorios del mercado implicado, cuando precisamente la naturaleza que se atribuye a la práctica restrictiva y los rasgos del mercado en el que esta opera patentizan lo contrario, esto es, que más allá del ámbito geográfico del pacto de exclusiva, la entidad de los operadores concernidos —el laudo califica a Cabify de </w:t>
      </w:r>
      <w:r w:rsidRPr="003754FE">
        <w:rPr>
          <w:i/>
        </w:rPr>
        <w:t>incumbent</w:t>
      </w:r>
      <w:r>
        <w:t xml:space="preserve">, esto es, ‘como uno de los operadores que marcan el funcionamiento y la evolución del mercado’ (§ 289)—, su limitado número en España para la actividad implicada y la actuación en varios países de la Unión de Uber —principal competidor de Cabify en España—, son elementos reveladores de cómo el pacto restrictivo controvertido puede en pura hipótesis contribuir a cerrar el mercado nacional con incidencia evidente en el mercado interior de la Unión. En este </w:t>
      </w:r>
      <w:r>
        <w:lastRenderedPageBreak/>
        <w:t xml:space="preserve">sentido llama la atención la inmotivada selección del Derecho aplicable que adopta el laudo cuando, solo por citar un ejemplo, poco antes, en su nota 170, dice lo siguiente sobre Cabify: ‘Cabify es la segunda </w:t>
      </w:r>
      <w:r w:rsidRPr="003754FE">
        <w:rPr>
          <w:i/>
        </w:rPr>
        <w:t>start-up</w:t>
      </w:r>
      <w:r>
        <w:t xml:space="preserve"> española por capitalización. Es lo que el sector denomina un unicornio, es decir, una empresa de esta clase que vale más de mil millones. Su valoración se sitúa entre 1 200 y 1 500 millones de euros, sus ingresos anuales han sido 202 millones de euros, el Ebitda es de 7,8 millones de euros, la deuda neta es de 19 millones de euros y la proyección de ingresos para 2028 es de 7 835 millones de euros, todo ello según datos recogidos en el estudio sobr</w:t>
      </w:r>
      <w:r w:rsidRPr="003754FE">
        <w:rPr>
          <w:i/>
        </w:rPr>
        <w:t>e startu</w:t>
      </w:r>
      <w:r>
        <w:t>ps españolas llevado a cabo por el banco de inversión Closa y publicado en la revista semanal Actualidad Económica (revista semanal de El Mundo) del 6 al 12 de diciembre de 2020’.</w:t>
      </w:r>
    </w:p>
    <w:p w14:paraId="76C4D848" w14:textId="77777777" w:rsidR="003754FE" w:rsidRDefault="003754FE" w:rsidP="003754FE">
      <w:pPr>
        <w:pStyle w:val="TextoNormal"/>
      </w:pPr>
    </w:p>
    <w:p w14:paraId="170E571F" w14:textId="77777777" w:rsidR="003754FE" w:rsidRDefault="003754FE" w:rsidP="003754FE">
      <w:pPr>
        <w:pStyle w:val="TextoNormal"/>
      </w:pPr>
      <w:r>
        <w:t>En esta misma línea argumentativa la sola lectura de la cláusula 2.3.5 del contrato entre Cabify y Auro, de la que el propio laudo da cuenta en su § 153, no hace sino ratificar la conclusión que se viene defendiendo de que resulta ineludible la aplicación</w:t>
      </w:r>
      <w:r w:rsidRPr="003754FE">
        <w:rPr>
          <w:i/>
        </w:rPr>
        <w:t>, in ca</w:t>
      </w:r>
      <w:r>
        <w:t>su, del art. 101 TFUE y de la jurisprudencia del Tribunal de Justicia de la Unión Europea que lo interpreta de forma auténtica”.</w:t>
      </w:r>
    </w:p>
    <w:p w14:paraId="1DB88330" w14:textId="77777777" w:rsidR="003754FE" w:rsidRDefault="003754FE" w:rsidP="003754FE">
      <w:pPr>
        <w:pStyle w:val="TextoNormal"/>
      </w:pPr>
    </w:p>
    <w:p w14:paraId="624CDE15" w14:textId="77777777" w:rsidR="003754FE" w:rsidRDefault="003754FE" w:rsidP="003754FE">
      <w:pPr>
        <w:pStyle w:val="TextoNormal"/>
      </w:pPr>
      <w:r>
        <w:t>(ii) La “infracción del orden público” y el llamado “control de fondo” en la acción de anulación: especial referencia a la necesaria verificación por el tribunal competente de que el laudo observa las reglas imperativas y, en particular, las normas esenciales del Derecho de la competencia de la Unión Europea, tal y como son entendidas por el Tribunal de Justicia de la Unión Europea</w:t>
      </w:r>
    </w:p>
    <w:p w14:paraId="61870D10" w14:textId="77777777" w:rsidR="003754FE" w:rsidRDefault="003754FE" w:rsidP="003754FE">
      <w:pPr>
        <w:pStyle w:val="TextoNormal"/>
      </w:pPr>
    </w:p>
    <w:p w14:paraId="20FB7802" w14:textId="77777777" w:rsidR="003754FE" w:rsidRDefault="003754FE" w:rsidP="003754FE">
      <w:pPr>
        <w:pStyle w:val="TextoNormal"/>
      </w:pPr>
      <w:r>
        <w:t xml:space="preserve">Avanza el fundamento de Derecho cuarto de la sentencia para tratar sobre el alcance del control judicial de los Tribunales Superiores de Justicia al resolver las acciones de anulación de laudos arbitrales, trayendo a colación pronunciamientos de este Tribunal Constitucional. Si bien reconoce la sentencia que la acción de anulación “no abre una segunda instancia, un </w:t>
      </w:r>
      <w:r w:rsidRPr="003754FE">
        <w:rPr>
          <w:i/>
        </w:rPr>
        <w:t>novum iudicium</w:t>
      </w:r>
      <w:r>
        <w:t xml:space="preserve"> en el que se pueda revisar sin limitaciones, con ‘plenitud de jurisdicción’ —en locución del Tribunal Europeo de Derechos Humanos— el juicio de hecho y el razonamiento de Derecho efectuado por el tribunal arbitral”, ni es tampoco una “suerte de casación”, ello no implica sin embargo, continúa diciendo la sentencia, que esté excluido de su ámbito de jurisdicción todo análisis del fondo de la controversia, como por ejemplo “la naturaleza disponible, o no, de la materia controvertida, su régimen jurídico”, siendo que “no pocas materias son disponibles, perfectamente susceptibles de arbitraje, pese a que aspectos de su ordenación estén regulados por normas imperativas, lo que no excusa el deber de los árbitros de aplicar dichas normas, so pena de infringir el orden público”. Sobre esta base, asegura la sentencia, tras hacer una cita de doctrina científica:</w:t>
      </w:r>
    </w:p>
    <w:p w14:paraId="72554EDF" w14:textId="77777777" w:rsidR="003754FE" w:rsidRDefault="003754FE" w:rsidP="003754FE">
      <w:pPr>
        <w:pStyle w:val="TextoNormal"/>
      </w:pPr>
    </w:p>
    <w:p w14:paraId="5A1C6142" w14:textId="77777777" w:rsidR="003754FE" w:rsidRDefault="003754FE" w:rsidP="003754FE">
      <w:pPr>
        <w:pStyle w:val="TextoNormal"/>
      </w:pPr>
      <w:r>
        <w:t>“[A] la vez que se postula que el respeto de las normas imperativas es un deber del árbitro que, si incumplido, vulnera el orden público, se afirma un incomprensible ‘exceso de jurisdicción’ cuando el tribunal llamado a juzgar, precisamente, si el laudo ha infringido dicho orden público se decide a comprobar si, al dictarlo, se han observado, o no, esas mismas normas imperativas.</w:t>
      </w:r>
    </w:p>
    <w:p w14:paraId="64CC7C52" w14:textId="77777777" w:rsidR="003754FE" w:rsidRDefault="003754FE" w:rsidP="003754FE">
      <w:pPr>
        <w:pStyle w:val="TextoNormal"/>
      </w:pPr>
    </w:p>
    <w:p w14:paraId="1068DF4B" w14:textId="77777777" w:rsidR="003754FE" w:rsidRDefault="003754FE" w:rsidP="003754FE">
      <w:pPr>
        <w:pStyle w:val="TextoNormal"/>
      </w:pPr>
      <w:r>
        <w:t xml:space="preserve">De lo que venimos diciendo —y de lo transcrito— se sigue con igual claridad que el concepto de orden público no se limita a la infracción de derechos fundamentales y/o de garantías de índole procesal, ni en las normas internacionales (Ley Modelo Uncitral o Convenio de Nueva York) ni en las internas que son trasunto de aquellas; criterio que deriva de </w:t>
      </w:r>
      <w:r>
        <w:lastRenderedPageBreak/>
        <w:t>una exégesis lógica de tales normas legales y convencionales, por lo demás asumida por la jurisprudencia patria, que siempre ha hablado —lo habremos de reiterar— de que ‘por orden público han de estimarse aquel conjunto de principios, normas rectoras generales y derechos fundamentales constitucionalizados en el ordenamiento jurídico español, siendo sus normas jurídicas básicas e inderogables por la voluntad de las partes, tanto en lo social como en lo económico (STC 54/1989, de 23 de febrero, Sala Segunda)’ [entre muchas, sentencia de esta Sala 58/2015, de 21 de julio, FJ 2]”.</w:t>
      </w:r>
    </w:p>
    <w:p w14:paraId="3251FC69" w14:textId="77777777" w:rsidR="003754FE" w:rsidRDefault="003754FE" w:rsidP="003754FE">
      <w:pPr>
        <w:pStyle w:val="TextoNormal"/>
      </w:pPr>
    </w:p>
    <w:p w14:paraId="410387DF" w14:textId="77777777" w:rsidR="003754FE" w:rsidRDefault="003754FE" w:rsidP="003754FE">
      <w:pPr>
        <w:pStyle w:val="TextoNormal"/>
      </w:pPr>
      <w:r>
        <w:t>Párrafo que, añade, reiteran otras sentencias de la misma Sala de lo Civil y Penal del Tribunal Superior de Justicia de Madrid en las que también se precisa:</w:t>
      </w:r>
    </w:p>
    <w:p w14:paraId="3AC8D5BE" w14:textId="77777777" w:rsidR="003754FE" w:rsidRDefault="003754FE" w:rsidP="003754FE">
      <w:pPr>
        <w:pStyle w:val="TextoNormal"/>
      </w:pPr>
    </w:p>
    <w:p w14:paraId="72E0739A" w14:textId="77777777" w:rsidR="003754FE" w:rsidRDefault="003754FE" w:rsidP="003754FE">
      <w:pPr>
        <w:pStyle w:val="TextoNormal"/>
      </w:pPr>
      <w:r>
        <w:t>“‘[P]or ende, a los efectos previstos en el citado artículo, debe considerarse contrario al orden público, aquel laudo que vulnere los derechos y libertades fundamentales reconocidos en el capítulo II, título I de la Constitución, garantizados a través de lo dispuesto en términos de generalidad en el artículo 24 de la misma, incluyendo la arbitrariedad patente referida en el art. 9.3 de la Constitución, y desde luego, quedando fuera de este concepto la posible justicia del laudo, las deficiencias del fallo o el modo más o menos acertado de resolver la cuestión’.</w:t>
      </w:r>
    </w:p>
    <w:p w14:paraId="06808FF8" w14:textId="77777777" w:rsidR="003754FE" w:rsidRDefault="003754FE" w:rsidP="003754FE">
      <w:pPr>
        <w:pStyle w:val="TextoNormal"/>
      </w:pPr>
    </w:p>
    <w:p w14:paraId="529C2424" w14:textId="77777777" w:rsidR="003754FE" w:rsidRDefault="003754FE" w:rsidP="003754FE">
      <w:pPr>
        <w:pStyle w:val="TextoNormal"/>
      </w:pPr>
      <w:r>
        <w:t>Al orden público económico se refiere explícitamente el Tribunal Constitucional en la precitada STC 54/1989, e implícita, pero inequívocamente, en sus SSTC 46/2020, 17/2021, 55/2021 y 65/2021, cuando dice: que el orden público comprende los derechos fundamentales y las libertades garantizados por la Constitución, así como otros principios esenciales indisponibles para el legislador por exigencia constitucional o de la aplicación de principios admitidos internacionalmente. Entre esos principios se incluyen, evidentemente, las libertades fundamentales de la Unión, la interpretación y aplicación que del Derecho primario y derivado hacen el Tribunal de Justicia de la Unión Europea y, en su seguimiento y adaptación al Derecho interno, la Sala Primera del Tribunal Supremo, que en los últimos años viene desarrollando una labor encomiable de traslación y aplicación de ese orden público europeo, de preeminente —aunque no exclusiva—, naturaleza económica. Supremacía exegética del Tribunal de Justicia de la Unión Europea en el ámbito del Derecho de la Unión asumida convencionalmente por España y reconocida en numerosas ocasiones de forma expresa y categórica por el propio Tribunal Constitucional”.</w:t>
      </w:r>
    </w:p>
    <w:p w14:paraId="2398A569" w14:textId="77777777" w:rsidR="003754FE" w:rsidRDefault="003754FE" w:rsidP="003754FE">
      <w:pPr>
        <w:pStyle w:val="TextoNormal"/>
      </w:pPr>
    </w:p>
    <w:p w14:paraId="5C301728" w14:textId="77777777" w:rsidR="003754FE" w:rsidRDefault="003754FE" w:rsidP="003754FE">
      <w:pPr>
        <w:pStyle w:val="TextoNormal"/>
      </w:pPr>
      <w:r>
        <w:t>Continúa refiriéndose al orden público económico diciendo:</w:t>
      </w:r>
    </w:p>
    <w:p w14:paraId="483C5B22" w14:textId="77777777" w:rsidR="003754FE" w:rsidRDefault="003754FE" w:rsidP="003754FE">
      <w:pPr>
        <w:pStyle w:val="TextoNormal"/>
      </w:pPr>
    </w:p>
    <w:p w14:paraId="78484241" w14:textId="77777777" w:rsidR="003754FE" w:rsidRDefault="003754FE" w:rsidP="003754FE">
      <w:pPr>
        <w:pStyle w:val="TextoNormal"/>
      </w:pPr>
      <w:r>
        <w:t xml:space="preserve">“Hoy no cabe dudar, a la vista de la jurisprudencia del Tribunal de Justicia de la Unión Europea y del Pleno de la Sala Primera del Tribunal Supremo, </w:t>
      </w:r>
      <w:r w:rsidRPr="003754FE">
        <w:rPr>
          <w:i/>
        </w:rPr>
        <w:t>v.gr</w:t>
      </w:r>
      <w:r>
        <w:t>., desde sus sentencias de 20 de enero de 2014 […] y 265/2015, de 22 de abril […], de que, dentro de ese concepto jurídico indeterminado denominado ‘orden público’, ha de incluirse el ‘orden público económico’, que se prevé en normas imperativas y en principios básicos de inexcusable observancia en supuestos necesitados de especial protección por las más variopintas razones: protección del consumidor, salvaguarda del pequeño o mediano inversor o, más ampliamente, tutela de las libertades fundamentales que conforman la Unión Europea.</w:t>
      </w:r>
    </w:p>
    <w:p w14:paraId="5996A2CF" w14:textId="77777777" w:rsidR="003754FE" w:rsidRDefault="003754FE" w:rsidP="003754FE">
      <w:pPr>
        <w:pStyle w:val="TextoNormal"/>
      </w:pPr>
    </w:p>
    <w:p w14:paraId="086961CA" w14:textId="77777777" w:rsidR="003754FE" w:rsidRDefault="003754FE" w:rsidP="003754FE">
      <w:pPr>
        <w:pStyle w:val="TextoNormal"/>
      </w:pPr>
      <w:r>
        <w:t>Viene, al caso, como ejemplo señero de esas normas imperativas las que regulan con carácter estructural las libertades fundamentales del Derecho de la Unión (</w:t>
      </w:r>
      <w:r w:rsidRPr="003754FE">
        <w:rPr>
          <w:i/>
        </w:rPr>
        <w:t>v.gr</w:t>
      </w:r>
      <w:r>
        <w:t xml:space="preserve">., la libre competencia). Así, la STJCE de 1 de junio de 1999 (asunto C-126/97, </w:t>
      </w:r>
      <w:r w:rsidRPr="003754FE">
        <w:rPr>
          <w:i/>
        </w:rPr>
        <w:t xml:space="preserve">Eco Swiss c. </w:t>
      </w:r>
      <w:r w:rsidRPr="003754FE">
        <w:rPr>
          <w:i/>
        </w:rPr>
        <w:lastRenderedPageBreak/>
        <w:t>Benetton</w:t>
      </w:r>
      <w:r>
        <w:t>), declara expresamente (</w:t>
      </w:r>
      <w:r w:rsidRPr="003754FE">
        <w:rPr>
          <w:i/>
        </w:rPr>
        <w:t>cfr</w:t>
      </w:r>
      <w:r>
        <w:t>. § 36 y 39) que el art. 81.1 del Tratado Constitutivo CE —hoy art. 101.1 TFUE— relativo, como es sabido, a la libre competencia, es una disposición fundamental para el funcionamiento del mercado cuya inobservancia justifica la anulación o el no reconocimiento de un laudo precisamente por infracción del orden público; criterio confirmado, entre otras, por la senten</w:t>
      </w:r>
      <w:r w:rsidRPr="003754FE">
        <w:rPr>
          <w:i/>
        </w:rPr>
        <w:t>cia Gaz</w:t>
      </w:r>
      <w:r>
        <w:t>prom, de 13 de mayo de 2015 (C-536/13 […]).</w:t>
      </w:r>
    </w:p>
    <w:p w14:paraId="23EAE874" w14:textId="77777777" w:rsidR="003754FE" w:rsidRDefault="003754FE" w:rsidP="003754FE">
      <w:pPr>
        <w:pStyle w:val="TextoNormal"/>
      </w:pPr>
    </w:p>
    <w:p w14:paraId="2885DE6E" w14:textId="77777777" w:rsidR="003754FE" w:rsidRDefault="003754FE" w:rsidP="003754FE">
      <w:pPr>
        <w:pStyle w:val="TextoNormal"/>
      </w:pPr>
      <w:r>
        <w:t>[…]</w:t>
      </w:r>
    </w:p>
    <w:p w14:paraId="13FD60FB" w14:textId="77777777" w:rsidR="003754FE" w:rsidRDefault="003754FE" w:rsidP="003754FE">
      <w:pPr>
        <w:pStyle w:val="TextoNormal"/>
      </w:pPr>
    </w:p>
    <w:p w14:paraId="26603E6A" w14:textId="77777777" w:rsidR="003754FE" w:rsidRDefault="003754FE" w:rsidP="003754FE">
      <w:pPr>
        <w:pStyle w:val="TextoNormal"/>
      </w:pPr>
      <w:r>
        <w:t>Es comúnmente admitido, también en el ámbito del arbitraje internacional, que la normativa de defensa de la competencia forma parte del orden público transnacional, siendo singular exponente de ello el art. 81 TCE, —hoy art. 101 TFUE— y la normativa de la Unión que lo desarrolla.</w:t>
      </w:r>
    </w:p>
    <w:p w14:paraId="246DFFB2" w14:textId="77777777" w:rsidR="003754FE" w:rsidRDefault="003754FE" w:rsidP="003754FE">
      <w:pPr>
        <w:pStyle w:val="TextoNormal"/>
      </w:pPr>
    </w:p>
    <w:p w14:paraId="70011306" w14:textId="77777777" w:rsidR="003754FE" w:rsidRDefault="003754FE" w:rsidP="003754FE">
      <w:pPr>
        <w:pStyle w:val="TextoNormal"/>
      </w:pPr>
      <w:r>
        <w:t xml:space="preserve">[…] la indebida inaplicación de las mismas entraña una patente lesión del orden público económico, y </w:t>
      </w:r>
      <w:r w:rsidRPr="003754FE">
        <w:rPr>
          <w:i/>
        </w:rPr>
        <w:t>a fortiori</w:t>
      </w:r>
      <w:r>
        <w:t>, como veremos más adelante, cuando esa no aplicación se sustenta en una motivación que no subviene a las exigencias que dimanan de doctrina jurisprudencial clara del Tribunal de Justicia de la Unión Europea, con la consiguiente infracción del orden público por imperativo constitucional</w:t>
      </w:r>
      <w:r w:rsidRPr="003754FE">
        <w:rPr>
          <w:i/>
        </w:rPr>
        <w:t xml:space="preserve"> —</w:t>
      </w:r>
      <w:r>
        <w:t>ex art. 24.1—.</w:t>
      </w:r>
    </w:p>
    <w:p w14:paraId="678CE162" w14:textId="77777777" w:rsidR="003754FE" w:rsidRDefault="003754FE" w:rsidP="003754FE">
      <w:pPr>
        <w:pStyle w:val="TextoNormal"/>
      </w:pPr>
    </w:p>
    <w:p w14:paraId="462B007B" w14:textId="77777777" w:rsidR="003754FE" w:rsidRDefault="003754FE" w:rsidP="003754FE">
      <w:pPr>
        <w:pStyle w:val="TextoNormal"/>
      </w:pPr>
      <w:r>
        <w:t>En este sentido no cabe olvidar que esta Sala ha afirmado en alguna ocasión que ‘[…] nuestro ordenamiento ha evolucionado hacia un entendimiento cada vez más acusado de su efecto vinculante sobre los tribunales funcionalmente inferiores —</w:t>
      </w:r>
      <w:r w:rsidRPr="003754FE">
        <w:rPr>
          <w:i/>
        </w:rPr>
        <w:t>v.gr</w:t>
      </w:r>
      <w:r>
        <w:t xml:space="preserve">., STC 37/2012, de 19 de marzo, FJ 7—, con declaración incluso de vulneración del art. 24.1 CE en determinados casos: </w:t>
      </w:r>
      <w:r w:rsidRPr="003754FE">
        <w:rPr>
          <w:i/>
        </w:rPr>
        <w:t>v.gr</w:t>
      </w:r>
      <w:r>
        <w:t xml:space="preserve">., no está de más traer a colación —además del supuesto analizado por la STC 37/2012—, cómo la propia doctrina del Tribunal Constitucional —con los requisitos que en ella se contienen— anuda la lesión del derecho a la tutela judicial efectiva del art. 24.1 CE a la ignorancia de postulados claros bien de la normativa de la Unión —principio de primacía en conexión con el de eficacia directa—, bien de la jurisprudencia conteste del Tribunal de Justicia de la Unión Europea (SSTC 232/2015, 148/2016, 206/2016, 207/2016, 208/2016, 209/2016, 218/2016, 221/2016, 223/2016, 3/2017 y 4/2017). Y ello por no hablar, de nuevo a título de ejemplo, de lo expresamente dispuesto en el art. 5.1 LOPJ respecto de la doctrina del Tribunal Constitucional, y del hecho de que la manifiesta negativa al deber de acatamiento de dicha doctrina por los tribunales confiera especial trascendencia constitucional al recurso de amparo (STC 155/2009)’ —FJ </w:t>
      </w:r>
      <w:r w:rsidRPr="003754FE">
        <w:rPr>
          <w:i/>
        </w:rPr>
        <w:t>3 in limi</w:t>
      </w:r>
      <w:r>
        <w:t>ne de la precitada sentencia 61/2017 en autos de anulación de laudo arbitral núm. 37-2017.</w:t>
      </w:r>
    </w:p>
    <w:p w14:paraId="71782845" w14:textId="77777777" w:rsidR="003754FE" w:rsidRDefault="003754FE" w:rsidP="003754FE">
      <w:pPr>
        <w:pStyle w:val="TextoNormal"/>
      </w:pPr>
    </w:p>
    <w:p w14:paraId="73D833ED" w14:textId="77777777" w:rsidR="003754FE" w:rsidRDefault="003754FE" w:rsidP="003754FE">
      <w:pPr>
        <w:pStyle w:val="TextoNormal"/>
      </w:pPr>
      <w:r>
        <w:t>Dicho sea esto en un contexto en que la doctrina constitucional es muy clara: al Tribunal Constitucional le corresponde velar, siempre subsidiariamente respecto de los tribunales ordinarios, por el respeto al principio de primacía del Derecho de la Unión y de su exégesis auténtica efectuada por el Tribunal de Justicia de la Unión Europea. Sería una exégesis contextualmente inadmisible de la jurisprudencia del Tribunal Constitucional sobre el ámbito de la acción de anulación aquella que, en la práctica, impidiese que el órgano judicial conocedor de dicha acción no pudiese hacer efectivo ese principio de primacía [sigue la cita de un pasaje de la STC 37/2019, de 26 de marzo, FJ 4, sobre el concepto de ‘acto aclarado’ y el control del principio de primacía por este Tribunal Constitucional].</w:t>
      </w:r>
    </w:p>
    <w:p w14:paraId="4F2495CE" w14:textId="77777777" w:rsidR="003754FE" w:rsidRDefault="003754FE" w:rsidP="003754FE">
      <w:pPr>
        <w:pStyle w:val="TextoNormal"/>
      </w:pPr>
    </w:p>
    <w:p w14:paraId="6220BD1A" w14:textId="77777777" w:rsidR="003754FE" w:rsidRDefault="003754FE" w:rsidP="003754FE">
      <w:pPr>
        <w:pStyle w:val="TextoNormal"/>
      </w:pPr>
      <w:r>
        <w:lastRenderedPageBreak/>
        <w:t>No obsta, pues, a lo que decimos el hecho de que, en general, la Ley de arbitraje interna establezca un ámbito limitado de enjuiciamiento en la acción de anulación, pues el orden público reviste en cada caso el alcance que le es propio. Esta objeción, que el ámbito limitado de la acción de anulación impide al Tribunal verificar el acierto del árbitro a la hora de aplicar las normas de defensa de la competencia —el control de su motivación sería meramente formal o externo—, ha sido expresamente planteada en el asunto C-567/14</w:t>
      </w:r>
      <w:r w:rsidRPr="003754FE">
        <w:rPr>
          <w:i/>
        </w:rPr>
        <w:t>, Genentech Inc. c. Hoechst GmbH y Sanofi-Aventis Deutschland Gm</w:t>
      </w:r>
      <w:r>
        <w:t>bH, resuelto por la STJUE de 7 de julio de 2016, que rechaza ese planteamiento y entra a analizar en sentido propio el fondo del asunto.</w:t>
      </w:r>
    </w:p>
    <w:p w14:paraId="29AA28D4" w14:textId="77777777" w:rsidR="003754FE" w:rsidRDefault="003754FE" w:rsidP="003754FE">
      <w:pPr>
        <w:pStyle w:val="TextoNormal"/>
      </w:pPr>
    </w:p>
    <w:p w14:paraId="11478FAD" w14:textId="77777777" w:rsidR="003754FE" w:rsidRDefault="003754FE" w:rsidP="003754FE">
      <w:pPr>
        <w:pStyle w:val="TextoNormal"/>
      </w:pPr>
      <w:r>
        <w:t xml:space="preserve">Y ello con independencia de que, como también hemos dicho tras la doctrina sentada por el Tribunal Constitucional en sus SSTC 46/2020, 17/2021, 55/2021 y 65/2021, ‘no se trata de que esta Sala deba exigir del árbitro el acierto en su decisión; pero sí debemos demandarle, por imperativo constitucional, que su decisión sea expresión de una genuina motivación, acertada o no, pero en ningún caso arbitraria o fruto de la mera expresión de un acto de voluntad. Los tribunales de justicia, genuinos poderes públicos, infringiríamos la Constitución si no verificásemos que el razonamiento de los laudos, en la interpretación normativa y en la valoración probatoria, no es arbitrario, irrazonable, absurdo, patentemente errado, meramente aparente o inexistente, concerniendo también tales exigencias a la motivación del juicio de hecho, esto es, a la ponderación de la prueba directamente conectada con la </w:t>
      </w:r>
      <w:r w:rsidRPr="003754FE">
        <w:rPr>
          <w:i/>
        </w:rPr>
        <w:t>ratio decidendi</w:t>
      </w:r>
      <w:r>
        <w:t>. Da igual cuál sea el origen o la raíz, legal o constitucional, del deber de motivación del laudo: lo que no es cuestionable —y no lo es tampoco por la más reciente jurisprudencia constitucional— es que un tribunal de justicia que no repara un déficit de motivación constitucionalmente relevante infringe él mismo el art. 24.1 CE. Y los parámetros de esa verificación jurisdiccional han de ser, a todas luces, los que conforman el contenido esencial del derecho fundamental implicado y, más ampliamente aún, el contenido constitucionalmente declarado de ese derecho fundamental, precepto o principio constitucional concernido, o principio internacionalmente admitido; en este sentid</w:t>
      </w:r>
      <w:r w:rsidRPr="003754FE">
        <w:rPr>
          <w:i/>
        </w:rPr>
        <w:t>o expressis verb</w:t>
      </w:r>
      <w:r>
        <w:t>is, la STC 65/2021, FJ 5’ —auto 11/2021, de 21 de septiembre—”.</w:t>
      </w:r>
    </w:p>
    <w:p w14:paraId="49EE90F9" w14:textId="77777777" w:rsidR="003754FE" w:rsidRDefault="003754FE" w:rsidP="003754FE">
      <w:pPr>
        <w:pStyle w:val="TextoNormal"/>
      </w:pPr>
    </w:p>
    <w:p w14:paraId="236311E3" w14:textId="77777777" w:rsidR="003754FE" w:rsidRDefault="003754FE" w:rsidP="003754FE">
      <w:pPr>
        <w:pStyle w:val="TextoNormal"/>
      </w:pPr>
      <w:r>
        <w:t xml:space="preserve">Tras detenerse en transcribir extensamente las conclusiones del abogado general en el asunto resuelto por la STJUE de 7 de julio de 2016 previamente indicada, el parágrafo 26 de esa STJUE, y las conclusiones de la abogada general en el asunto C-109/20, </w:t>
      </w:r>
      <w:r w:rsidRPr="003754FE">
        <w:rPr>
          <w:i/>
        </w:rPr>
        <w:t>República de Polonia c. PL Holdings</w:t>
      </w:r>
      <w:r>
        <w:t xml:space="preserve"> Sàrl, la sentencia impugnada recuerda que en el apartado 286 del laudo definitivo se asevera que la materia controvertida es de Derecho imperativo y en buena medida de orden público, lo que conlleva el deber de control de oficio del tribunal arbitral tal y como lo haría la jurisdicción ordinaria o el regulador, “[c]riterio que no puede sino ser compartido, salvo en aquellos aspectos de defensa de la competencia, claro está, que no sean susceptibles de arbitraje”. Colige además de las citas de SSTJUE que son premisas aplicables en este ámbito la “aplicación del Derecho de la competencia de la Unión y plenitud de la revisión de este tribunal respecto de la motivación </w:t>
      </w:r>
      <w:r w:rsidRPr="003754FE">
        <w:rPr>
          <w:i/>
        </w:rPr>
        <w:t>in iure</w:t>
      </w:r>
      <w:r>
        <w:t xml:space="preserve"> del laudo cuando aparecen concernidas normas imperativas de defensa de la competencia”, y comenta luego la sentencia algunos ejemplos de pactos restrictivos de la competencia y su tratamiento por la jurisprudencia del Tribunal de Justicia de la Unión Europea, citando las sentencias de 11 de septiembre de 2014, asunto C 67/13-P</w:t>
      </w:r>
      <w:r w:rsidRPr="003754FE">
        <w:rPr>
          <w:i/>
        </w:rPr>
        <w:t>, Groupement des cartes bancaires (CB) c. Comisión Europ</w:t>
      </w:r>
      <w:r>
        <w:t>ea, y 2 de abril de 2020, asunto C-228/18</w:t>
      </w:r>
      <w:r w:rsidRPr="003754FE">
        <w:rPr>
          <w:i/>
        </w:rPr>
        <w:t>, Gazdasági Versenyhivatal c. Budapest Bank Nyrt. y otr</w:t>
      </w:r>
      <w:r>
        <w:t>os, cerrando con ello su fundamento de Derecho cuarto.</w:t>
      </w:r>
    </w:p>
    <w:p w14:paraId="07B9AB6E" w14:textId="77777777" w:rsidR="003754FE" w:rsidRDefault="003754FE" w:rsidP="003754FE">
      <w:pPr>
        <w:pStyle w:val="TextoNormal"/>
      </w:pPr>
    </w:p>
    <w:p w14:paraId="00E7FA5A" w14:textId="77777777" w:rsidR="003754FE" w:rsidRDefault="003754FE" w:rsidP="003754FE">
      <w:pPr>
        <w:pStyle w:val="TextoNormal"/>
      </w:pPr>
      <w:r>
        <w:lastRenderedPageBreak/>
        <w:t>b) 3. Resolución del caso: la Sala del Tribunal Superior de Justicia de Madrid, tras todo lo anterior, pasa a resolver en el fundamento de Derecho quinto el motivo de impugnación planteado:</w:t>
      </w:r>
    </w:p>
    <w:p w14:paraId="55555033" w14:textId="77777777" w:rsidR="003754FE" w:rsidRDefault="003754FE" w:rsidP="003754FE">
      <w:pPr>
        <w:pStyle w:val="TextoNormal"/>
      </w:pPr>
    </w:p>
    <w:p w14:paraId="1786DCD7" w14:textId="77777777" w:rsidR="003754FE" w:rsidRDefault="003754FE" w:rsidP="003754FE">
      <w:pPr>
        <w:pStyle w:val="TextoNormal"/>
      </w:pPr>
      <w:r>
        <w:t>“En total congruencia con lo que antecede, visto de modo particular cuanto hemos dicho en el fundamento precedente sobre el marco normativo aplicable y sobre el principio de primacía del Derecho de la Unión como integrados en el orden público tutelado por esta Sala en el seno de la acción de anulación, es palmario que el tribunal arbitral ha excluido sin el menor fundamento la aplicación del Derecho de la Unión Europea. Al proceder así ha incurrido realmente en un déficit de motivación constitucionalmente relevante; podría decirse que estamos ante una carencia absoluta de motivación, que esta es más aparente que real al sustentarse en unas premisas de enjuiciamiento equivocadas.</w:t>
      </w:r>
    </w:p>
    <w:p w14:paraId="54F56629" w14:textId="77777777" w:rsidR="003754FE" w:rsidRDefault="003754FE" w:rsidP="003754FE">
      <w:pPr>
        <w:pStyle w:val="TextoNormal"/>
      </w:pPr>
    </w:p>
    <w:p w14:paraId="3F179A5D" w14:textId="77777777" w:rsidR="003754FE" w:rsidRDefault="003754FE" w:rsidP="003754FE">
      <w:pPr>
        <w:pStyle w:val="TextoNormal"/>
      </w:pPr>
      <w:r>
        <w:t>El laudo incurre en un error manifiesto en la selección del Derecho aplicable, sin que a ello se oponga —es evidente de toda evidencia— que las partes hayan pactado la aplicación del Derecho español, en el que no puede dejar de incluirse el Derecho convencional y el Derecho de la Unión Europea. Lo anterior tiene como consecuencia que los principios de primacía y efecto directo del Derecho de la Unión se han visto preteridos desde el punto y hora en que el laudo no repara, debiendo haberlo hecho, en el art. 101 TFUE expresamente invocado —y demás normas con él concordantes—, ni en la jurisprudencia del Tribunal de Justicia de la Unión Europea que interpreta de forma auténtica esa normativa y precisa qué es lo que el tribunal, sea jurisdiccional o arbitral, ha de verificar y razonar antes de concluir que un pacto es colusorio por razón de su objeto. Jurisprudencia del Tribunal de Justicia de la Unión Europea que, una vez emitida con la suficiente claridad en su contenido y aplicabilidad al caso —como aquí sucede—, goza de una especial fuerza vinculante, pues se constituye en garante principal de los precitados principios de primacía y efecto directo. Dicho sea esto sin perjuicio, claro está, del deber que asiste a los tribunales nacionales de plantear en su caso la correspondiente cuestión prejudicial.</w:t>
      </w:r>
    </w:p>
    <w:p w14:paraId="4B5FAA3E" w14:textId="77777777" w:rsidR="003754FE" w:rsidRDefault="003754FE" w:rsidP="003754FE">
      <w:pPr>
        <w:pStyle w:val="TextoNormal"/>
      </w:pPr>
    </w:p>
    <w:p w14:paraId="57899C27" w14:textId="77777777" w:rsidR="003754FE" w:rsidRDefault="003754FE" w:rsidP="003754FE">
      <w:pPr>
        <w:pStyle w:val="TextoNormal"/>
      </w:pPr>
      <w:r>
        <w:t xml:space="preserve">En definitiva, el laudo final ha de ser anulado parcialmente en los términos que interesa la actora —ceñidos a los dos primeros apartados del fallo, pues el punto segundo de la parte dispositiva es indisociable de su apartado primero—; anulación por infracción del orden público [art. 41.1 f) LA] que trae causa de que el </w:t>
      </w:r>
      <w:r w:rsidRPr="003754FE">
        <w:rPr>
          <w:i/>
        </w:rPr>
        <w:t>error iuris</w:t>
      </w:r>
      <w:r>
        <w:t xml:space="preserve"> en la selección del Derecho aplicable vicia de raíz las premisas de enjuiciamiento asumidas por el tribunal arbitral y lleva aparejado como consecuencia un déficit absoluto de motivación, derivado de la exclusión del Derecho preferente de la Unión Europea y de la doctrina del Tribunal de Justicia de la Unión Europea aplicable al caso, y de no haber justificado dicha exclusión normativa y jurisprudencial”.</w:t>
      </w:r>
    </w:p>
    <w:p w14:paraId="70F967AF" w14:textId="77777777" w:rsidR="003754FE" w:rsidRDefault="003754FE" w:rsidP="003754FE">
      <w:pPr>
        <w:pStyle w:val="TextoNormal"/>
      </w:pPr>
    </w:p>
    <w:p w14:paraId="11E9801F" w14:textId="77777777" w:rsidR="003754FE" w:rsidRDefault="003754FE" w:rsidP="003754FE">
      <w:pPr>
        <w:pStyle w:val="TextoNormal"/>
      </w:pPr>
      <w:r>
        <w:t>c) Voto particular</w:t>
      </w:r>
    </w:p>
    <w:p w14:paraId="791088AC" w14:textId="77777777" w:rsidR="003754FE" w:rsidRDefault="003754FE" w:rsidP="003754FE">
      <w:pPr>
        <w:pStyle w:val="TextoNormal"/>
      </w:pPr>
    </w:p>
    <w:p w14:paraId="61000BF4" w14:textId="77777777" w:rsidR="003754FE" w:rsidRDefault="003754FE" w:rsidP="003754FE">
      <w:pPr>
        <w:pStyle w:val="TextoNormal"/>
      </w:pPr>
      <w:r>
        <w:t>La sentencia se acompaña de un voto particular del magistrado presidente de la Sala, donde sostiene que la resolución mayoritaria es contraria a la jurisprudencia de este Tribunal Constitucional “en torno al alcance de la función de control de los laudos arbitrales por parte de los tribunales de justicia, así como en la apreciación indebida de lo que puede ser considerado un déficit de motivación de los laudos arbitrales y cuestión de orden público”.</w:t>
      </w:r>
    </w:p>
    <w:p w14:paraId="3D152A62" w14:textId="77777777" w:rsidR="003754FE" w:rsidRDefault="003754FE" w:rsidP="003754FE">
      <w:pPr>
        <w:pStyle w:val="TextoNormal"/>
      </w:pPr>
    </w:p>
    <w:p w14:paraId="68018960" w14:textId="77777777" w:rsidR="003754FE" w:rsidRDefault="003754FE" w:rsidP="003754FE">
      <w:pPr>
        <w:pStyle w:val="TextoNormal"/>
      </w:pPr>
      <w:r>
        <w:t>E) Incidente de nulidad de actuaciones contra la sentencia de 22 de octubre de 2021</w:t>
      </w:r>
    </w:p>
    <w:p w14:paraId="05706B90" w14:textId="77777777" w:rsidR="003754FE" w:rsidRDefault="003754FE" w:rsidP="003754FE">
      <w:pPr>
        <w:pStyle w:val="TextoNormal"/>
      </w:pPr>
    </w:p>
    <w:p w14:paraId="411F1BF5" w14:textId="77777777" w:rsidR="003754FE" w:rsidRDefault="003754FE" w:rsidP="003754FE">
      <w:pPr>
        <w:pStyle w:val="TextoNormal"/>
      </w:pPr>
      <w:r>
        <w:t>a) El representante procesal de la mercantil Auro New Transport Concept, S.L., presentó escrito de incidente de nulidad de actuaciones contra la sentencia dictada, alegando la vulneración del derecho fundamental a la tutela judicial efectiva (art. 24.1 CE), en la doble faceta o vertiente del derecho a una resolución motivada y a una resolución que sea fundada en Derecho por no incurrir en falta de razonabilidad, “al realizar la resolución impugnada un ensanchamiento del concepto de orden público para revisar el fondo del litigio, excediendo el alcance de la acción de anulación y, a su vez, desconociendo el poder de enjuiciamiento de los árbitros y la autonomía de la voluntad de las partes, por lo que la vulneración del artículo 24.1 CE se lleva a cabo en conexión con el artículo 10.1 del texto constitucional”.</w:t>
      </w:r>
    </w:p>
    <w:p w14:paraId="14A7961E" w14:textId="77777777" w:rsidR="003754FE" w:rsidRDefault="003754FE" w:rsidP="003754FE">
      <w:pPr>
        <w:pStyle w:val="TextoNormal"/>
      </w:pPr>
    </w:p>
    <w:p w14:paraId="61057D49" w14:textId="77777777" w:rsidR="003754FE" w:rsidRDefault="003754FE" w:rsidP="003754FE">
      <w:pPr>
        <w:pStyle w:val="TextoNormal"/>
      </w:pPr>
      <w:r>
        <w:t>Se concreta más adelante en el escrito que la sentencia incurre en defecto de motivación “ya que la anulación del laudo arbitral se ha fundamentado en una interpretación irrazonable de la concurrencia de la causa de nulidad de orden público establecido en el artículo 41.1 f) LA, pues la exigencia de motivación de los laudos arbitrales no resulta equivalente al deber de motivación propio de la tutela judicial efectiva”. Luego de recordar que este Tribunal Constitucional ha dictado las SSTC 46/2020, de 15 de junio; 17/2021, de 15 de febrero, y 55/2021 y 65/2021, de 15 de marzo, estimando recursos de amparo contra sentencias de la Sala de lo Civil y Penal del Tribunal Superior de Justicia de Madrid, estimatorias de acciones de anulación de laudos arbitrales, se sostiene que la ahora impugnada proviene de la misma Sala y adolece de una “motivación irrazonable generada, a nuestro juicio, otra vez, por la pertinaz voluntad del órgano judicial de sustituir al tribunal arbitral en su decisión de fondo”, añadiendo la cita del ATC 149/2020, de 26 de noviembre, FJ 4 c), acerca de cuándo concurre la causa de especial trascendencia constitucional del recurso por negativa manifiesta implícita a acatar la doctrina del Tribunal Constitucional.</w:t>
      </w:r>
    </w:p>
    <w:p w14:paraId="7AFC6371" w14:textId="77777777" w:rsidR="003754FE" w:rsidRDefault="003754FE" w:rsidP="003754FE">
      <w:pPr>
        <w:pStyle w:val="TextoNormal"/>
      </w:pPr>
    </w:p>
    <w:p w14:paraId="686DF52E" w14:textId="77777777" w:rsidR="003754FE" w:rsidRDefault="003754FE" w:rsidP="003754FE">
      <w:pPr>
        <w:pStyle w:val="TextoNormal"/>
      </w:pPr>
      <w:r>
        <w:t>A continuación el escrito hace un recordatorio de diversos aspectos de la jurisprudencia de este Tribunal Constitucional sobre la actividad arbitral y su control en esta jurisdicción, haciendo hincapié: (i) en la distinta naturaleza de los procedimientos judiciales y arbitrales (con cita de las SSTC 46/2020, FJ 4; 17/2021, FJ 2, y 65/2021, FJ 4); (ii) en la excepcionalidad del control judicial de las actuaciones arbitrales, siempre en los términos que señale la ley de arbitraje (con cita de las SSTC 9/2005, de 17 de enero, FJ 5; 17/2021, FJ 2, y 65/2021, FFJJ 4 y 5), excluyendo la posibilidad de que los tribunales conozcan del fondo del asunto (con cita de las SSTC 174/1995, de 23 de noviembre, y 75/1996, de 30 de abril, citadas por la 46/2020, de 15 de junio, FJ 4); (iii) en se recogen también diversas referencias de la doctrina constitucional al concepto de orden público del art. 41.1 f) LA (con cita de las SSTC 46/2020, FJ 4, y 65/2021, FJ 2) y a la necesidad de su interpretación restrictiva para evitar que se convierta en un pretexto del órgano judicial a fin de revisar la cuestión de fondo (con cita de las SSTC 46/2020, FJ 4 —se indica por error la 46/2021—; 17/2021, FJ 2, y 65/2021, FJ 3).</w:t>
      </w:r>
    </w:p>
    <w:p w14:paraId="5A0B2F9D" w14:textId="77777777" w:rsidR="003754FE" w:rsidRDefault="003754FE" w:rsidP="003754FE">
      <w:pPr>
        <w:pStyle w:val="TextoNormal"/>
      </w:pPr>
    </w:p>
    <w:p w14:paraId="487332D9" w14:textId="77777777" w:rsidR="003754FE" w:rsidRDefault="003754FE" w:rsidP="003754FE">
      <w:pPr>
        <w:pStyle w:val="TextoNormal"/>
      </w:pPr>
      <w:r>
        <w:t xml:space="preserve">b) Sobre esta base, en el escrito de nulidad se alega que la sentencia supone una “intromisión del órgano judicial en la decisión de fondo del órgano arbitral pues es —obviamente— una valoración por parte de la mayoría de la Sala de las conclusiones alcanzadas por el tribunal arbitral, que considera nulas, erróneas o insuficientes”, pronunciamiento corrector este que resulta “a todas luces, vulnerador del derecho a la tutela judicial efectiva en </w:t>
      </w:r>
      <w:r>
        <w:lastRenderedPageBreak/>
        <w:t>su vertiente de derecho a una resolución motivada no incursa en irrazonabilidad”. Señala como ejemplos de esta vulneración:</w:t>
      </w:r>
    </w:p>
    <w:p w14:paraId="70DB5835" w14:textId="77777777" w:rsidR="003754FE" w:rsidRDefault="003754FE" w:rsidP="003754FE">
      <w:pPr>
        <w:pStyle w:val="TextoNormal"/>
      </w:pPr>
    </w:p>
    <w:p w14:paraId="18BFAB31" w14:textId="77777777" w:rsidR="003754FE" w:rsidRDefault="003754FE" w:rsidP="003754FE">
      <w:pPr>
        <w:pStyle w:val="TextoNormal"/>
      </w:pPr>
      <w:r>
        <w:t>(i) El criterio de la Sala del Tribunal Superior de Justicia de que debe aplicarse un doble estándar o dualidad normativa del Derecho nacional y del de la Unión Europea –dualidad que el apartado 293 del laudo rechaza—, lo que cuestiona el escrito de nulidad tratándose de acuerdos o prácticas concertadas que resulten colusorias conforme con el art. 101 TFUE, puesto que “lo que está permitido en el Derecho de la Unión tiene que estar permitido en el Derecho nacional” y por tanto este último no puede prohibir lo que no esté prohibido por el Derecho de la Unión Europea “como dispone el Reglamento (CE) núm. 1/2003 del Consejo, de 16 de diciembre de 2002, considerando núm. 8”, y señaló el voto particular del presidente de la propia Sala. Cuestión distinta es si se hablara de prácticas unilaterales, donde sí es necesario el doble estándar. Este debate en todo caso “forma parte del fondo del asunto y, en consecuencia, quedaba extramuros de las competencias que ostenta en virtud de la acción de anulación de un laudo arbitral”.</w:t>
      </w:r>
    </w:p>
    <w:p w14:paraId="6EF76063" w14:textId="77777777" w:rsidR="003754FE" w:rsidRDefault="003754FE" w:rsidP="003754FE">
      <w:pPr>
        <w:pStyle w:val="TextoNormal"/>
      </w:pPr>
    </w:p>
    <w:p w14:paraId="518C3457" w14:textId="77777777" w:rsidR="003754FE" w:rsidRDefault="003754FE" w:rsidP="003754FE">
      <w:pPr>
        <w:pStyle w:val="TextoNormal"/>
      </w:pPr>
      <w:r>
        <w:t>(ii) El considerar el Tribunal Superior de Justicia que la nulidad de la cláusula del contrato en litigio no debía examinarse solo en virtud de su encaje en alguna de las prácticas colusorias descritas en el art. 1 LDC, sino que esta es una regla de mínimos y también se sujetaba al control del Reglamento relativo a las exenciones por categorías, es un razonamiento que también “forma parte del fondo del asunto, quedaba extramuros de su competencia y resulta contrario a la reciente jurisprudencia del Tribunal Constitucional, extractada”.</w:t>
      </w:r>
    </w:p>
    <w:p w14:paraId="21B5C652" w14:textId="77777777" w:rsidR="003754FE" w:rsidRDefault="003754FE" w:rsidP="003754FE">
      <w:pPr>
        <w:pStyle w:val="TextoNormal"/>
      </w:pPr>
    </w:p>
    <w:p w14:paraId="22221A08" w14:textId="77777777" w:rsidR="003754FE" w:rsidRDefault="003754FE" w:rsidP="003754FE">
      <w:pPr>
        <w:pStyle w:val="TextoNormal"/>
      </w:pPr>
      <w:r>
        <w:t>(iii) Enjuiciar si la cláusula controvertida podía constituir una restricción de la competencia, como afirmó positivamente el laudo, confrontando la sentencia dicha cláusula con la jurisprudencia del Tribunal de Justicia de la Unión Europea, supone un “juego de intentar recalificar las posiciones del tribunal arbitral, que sin duda constituyen un exceso de intervención del Tribunal Superior de Justicia de Madrid, también son traídas a colación por el presidente de la Sala en su voto particular”.</w:t>
      </w:r>
    </w:p>
    <w:p w14:paraId="62DF2FC2" w14:textId="77777777" w:rsidR="003754FE" w:rsidRDefault="003754FE" w:rsidP="003754FE">
      <w:pPr>
        <w:pStyle w:val="TextoNormal"/>
      </w:pPr>
    </w:p>
    <w:p w14:paraId="36D5EEE7" w14:textId="77777777" w:rsidR="003754FE" w:rsidRDefault="003754FE" w:rsidP="003754FE">
      <w:pPr>
        <w:pStyle w:val="TextoNormal"/>
      </w:pPr>
      <w:r>
        <w:t>(iv) También entraña una intromisión en el fondo el epígrafe del fundamento de Derecho 4 de la sentencia, que abarca dieciocho páginas, dedicado a “la ‘infracción del orden público’ y el llamado ‘control de fondo’ en la acción de anulación: especial referencia a la necesaria verificación por el Tribunal competente [para resolver la acción de anulación] de que el laudo observa las reglas imperativas” y donde la Sala de lo Civil y Penal concluye que el tribunal arbitral ha vulnerado el principio de primacía del Derecho de la Unión Europea, al haber aplicado el Derecho nacional de la competencia. Sostiene que la Sala une “con poco rigor […] primacía, normas legales de carácter imperativo y el orden público, en un esfuerzo por reunir las piezas que le encajen en el concepto de orden público recién confirmado por el Tribunal Constitucional”. Acota el escrito de nulidad que el principio de primacía “se activa solo cuando existe en el ordenamiento nacional una norma que es contradictoria con el Derecho de la Unión”, no cuando hay “armonía” entre los dos ordenamientos, como sucede justamente en el ámbito de los pactos colusorios. Si no hay conflicto, “cualquier mención en el asunto al principio de primacía resulta banal y poco riguroso”.</w:t>
      </w:r>
    </w:p>
    <w:p w14:paraId="166CCC69" w14:textId="77777777" w:rsidR="003754FE" w:rsidRDefault="003754FE" w:rsidP="003754FE">
      <w:pPr>
        <w:pStyle w:val="TextoNormal"/>
      </w:pPr>
    </w:p>
    <w:p w14:paraId="7CFB4DF6" w14:textId="77777777" w:rsidR="003754FE" w:rsidRDefault="003754FE" w:rsidP="003754FE">
      <w:pPr>
        <w:pStyle w:val="TextoNormal"/>
      </w:pPr>
      <w:r>
        <w:t xml:space="preserve">(v) Finalmente, “existe una tensión patente y palmaria sobre el concepto de orden público entre el Tribunal Constitucional español y el Tribunal Superior de Justicia de Madrid. […] </w:t>
      </w:r>
      <w:r>
        <w:lastRenderedPageBreak/>
        <w:t>El Tribunal Constitucional afirma en su sentencia 17/2021 que, precisamente porque el orden público es un concepto poco nítido se multiplica el riesgo de que se convierta en un mero pretexto para que el órgano judicial reexamine las cuestiones debatidas en el procedimiento arbitral desnaturalizando la institución arbitral y vulnerando al final la autonomía de la voluntad de las partes y el Tribunal Superior de Justicia de Madrid debe acatar esta jurisprudencia y no retarla, so pena de incurrir sucesivamente en vulneraciones del artículo 24.1 CE en relación con el 10 del mismo texto legal”.</w:t>
      </w:r>
    </w:p>
    <w:p w14:paraId="7F58EF3B" w14:textId="77777777" w:rsidR="003754FE" w:rsidRDefault="003754FE" w:rsidP="003754FE">
      <w:pPr>
        <w:pStyle w:val="TextoNormal"/>
      </w:pPr>
    </w:p>
    <w:p w14:paraId="008CA033" w14:textId="77777777" w:rsidR="003754FE" w:rsidRDefault="003754FE" w:rsidP="003754FE">
      <w:pPr>
        <w:pStyle w:val="TextoNormal"/>
      </w:pPr>
      <w:r>
        <w:t>c) El escrito suplica que con estimación de lo solicitado la Sala del Tribunal Superior de Justicia declare vulnerado el derecho de la recurrente a la tutela judicial efectiva (art. 24.1 CE), en su vertiente de motivación irrazonable, “acatando la jurisprudencia de nuestro Tribunal Constitucional”, y por ello declare nula la sentencia de 22 de octubre de 2021, con retroacción de las actuaciones para que dicte nueva resolución que, conforme al derecho fundamental vulnerado, desestime la acción de anulación interpuesta.</w:t>
      </w:r>
    </w:p>
    <w:p w14:paraId="18803F3A" w14:textId="77777777" w:rsidR="003754FE" w:rsidRDefault="003754FE" w:rsidP="003754FE">
      <w:pPr>
        <w:pStyle w:val="TextoNormal"/>
      </w:pPr>
    </w:p>
    <w:p w14:paraId="0CCF5222" w14:textId="77777777" w:rsidR="003754FE" w:rsidRDefault="003754FE" w:rsidP="003754FE">
      <w:pPr>
        <w:pStyle w:val="TextoNormal"/>
      </w:pPr>
      <w:r>
        <w:t>F) Desestimación del incidente de nulidad</w:t>
      </w:r>
    </w:p>
    <w:p w14:paraId="5F6BDAE4" w14:textId="77777777" w:rsidR="003754FE" w:rsidRDefault="003754FE" w:rsidP="003754FE">
      <w:pPr>
        <w:pStyle w:val="TextoNormal"/>
      </w:pPr>
    </w:p>
    <w:p w14:paraId="27396E6B" w14:textId="77777777" w:rsidR="003754FE" w:rsidRDefault="003754FE" w:rsidP="003754FE">
      <w:pPr>
        <w:pStyle w:val="TextoNormal"/>
      </w:pPr>
      <w:r>
        <w:t>El 11 de enero de 2022 la Sala de lo Civil y Penal del mismo Tribunal Superior de Justicia dictó auto desestimando el incidente de nulidad, condenando en las costas del incidente a la aquí demandante de amparo y denegando asimismo la suspensión de la eficacia de la sentencia impugnada.</w:t>
      </w:r>
    </w:p>
    <w:p w14:paraId="7EBC9B1C" w14:textId="77777777" w:rsidR="003754FE" w:rsidRDefault="003754FE" w:rsidP="003754FE">
      <w:pPr>
        <w:pStyle w:val="TextoNormal"/>
      </w:pPr>
    </w:p>
    <w:p w14:paraId="385F606A" w14:textId="77777777" w:rsidR="003754FE" w:rsidRDefault="003754FE" w:rsidP="003754FE">
      <w:pPr>
        <w:pStyle w:val="TextoNormal"/>
      </w:pPr>
      <w:r>
        <w:t>a) En el fundamento de Derecho segundo la Sala, sin resolver todavía la pretensión de nulidad, adelanta su valoración sobre algunas afirmaciones contenidas en el escrito de la aquí recurrente y cómo entiende que ha sido su actuación jurisdiccional:</w:t>
      </w:r>
    </w:p>
    <w:p w14:paraId="01803EAF" w14:textId="77777777" w:rsidR="003754FE" w:rsidRDefault="003754FE" w:rsidP="003754FE">
      <w:pPr>
        <w:pStyle w:val="TextoNormal"/>
      </w:pPr>
    </w:p>
    <w:p w14:paraId="51A82E17" w14:textId="77777777" w:rsidR="003754FE" w:rsidRDefault="003754FE" w:rsidP="003754FE">
      <w:pPr>
        <w:pStyle w:val="TextoNormal"/>
      </w:pPr>
      <w:r>
        <w:t>(i) Respecto a la invocación por el escrito de nulidad de la doctrina de este Tribunal Constitucional sobre el alcance revisor de la acción de nulidad de laudos arbitrales, doctrina que el escrito pedía a la Sala acatar, dice el auto:</w:t>
      </w:r>
    </w:p>
    <w:p w14:paraId="75D3D81E" w14:textId="77777777" w:rsidR="003754FE" w:rsidRDefault="003754FE" w:rsidP="003754FE">
      <w:pPr>
        <w:pStyle w:val="TextoNormal"/>
      </w:pPr>
    </w:p>
    <w:p w14:paraId="7F765741" w14:textId="77777777" w:rsidR="003754FE" w:rsidRDefault="003754FE" w:rsidP="003754FE">
      <w:pPr>
        <w:pStyle w:val="TextoNormal"/>
      </w:pPr>
      <w:r>
        <w:t>“Sabedor de que para que un eventual recurso de amparo sea admisible desde el prisma de su trascendencia constitucional por infracción consciente de la doctrina del Tribunal Constitucional es necesario apreciar un elemento intencional en el tribunal del Poder Judicial, el incidente rememora lo que denomina ‘contenido esencial del derecho fundamental a una resolución motivada, en el marco de una causa de nulidad de laudos arbitrales”, según las precitadas sentencias (§ 39 y 42)”.</w:t>
      </w:r>
    </w:p>
    <w:p w14:paraId="2D040E40" w14:textId="77777777" w:rsidR="003754FE" w:rsidRDefault="003754FE" w:rsidP="003754FE">
      <w:pPr>
        <w:pStyle w:val="TextoNormal"/>
      </w:pPr>
    </w:p>
    <w:p w14:paraId="582A3F2B" w14:textId="77777777" w:rsidR="003754FE" w:rsidRDefault="003754FE" w:rsidP="003754FE">
      <w:pPr>
        <w:pStyle w:val="TextoNormal"/>
      </w:pPr>
      <w:r>
        <w:t xml:space="preserve">(ii) “Hemos de reiterar lo que ya expresa la sentencia con toda claridad: en ningún momento esta Sala ha dicho cuál hubiera sido el resultado de haber aplicado el Derecho de la Unión —sin que ello signifique, como veremos, que en su función de garantizar los principios de primacía y eficacia directa este tribunal no esté llamado a verificar el cumplimiento material de normas imperativas del Derecho de la Unión; lo que sí hemos reprochado al laudo adoptado por mayoría, en un estadio previo, es que, con ignorancia patente de la doctrina del Tribunal de Justicia de la Unión Europea sobre cuándo se ha de aplicar el Derecho de la Unión en materia de libre competencia y de qué se entiende a tal fin por ‘afectación del mercado interior’, haya excluido la aplicabilidad al caso del art. 101 TFUE en relación con lo que sean las prácticas colusorias por razón del objeto, y ello con la subsiguiente ignorancia también de la jurisprudencia específica del Tribunal de Justicia de la Unión </w:t>
      </w:r>
      <w:r>
        <w:lastRenderedPageBreak/>
        <w:t>Europea en la materia, que, para apreciar cuándo un pacto es colusorio por su objeto, obligaba a analizar una serie de extremos que el laudo anulado ha obviado por completo.</w:t>
      </w:r>
    </w:p>
    <w:p w14:paraId="39363370" w14:textId="77777777" w:rsidR="003754FE" w:rsidRDefault="003754FE" w:rsidP="003754FE">
      <w:pPr>
        <w:pStyle w:val="TextoNormal"/>
      </w:pPr>
    </w:p>
    <w:p w14:paraId="53C1D8C5" w14:textId="77777777" w:rsidR="003754FE" w:rsidRDefault="003754FE" w:rsidP="003754FE">
      <w:pPr>
        <w:pStyle w:val="TextoNormal"/>
      </w:pPr>
      <w:r>
        <w:t>[…]</w:t>
      </w:r>
    </w:p>
    <w:p w14:paraId="4DBDE600" w14:textId="77777777" w:rsidR="003754FE" w:rsidRDefault="003754FE" w:rsidP="003754FE">
      <w:pPr>
        <w:pStyle w:val="TextoNormal"/>
      </w:pPr>
    </w:p>
    <w:p w14:paraId="587C8C18" w14:textId="77777777" w:rsidR="003754FE" w:rsidRDefault="003754FE" w:rsidP="003754FE">
      <w:pPr>
        <w:pStyle w:val="TextoNormal"/>
      </w:pPr>
      <w:r>
        <w:t>Hemos de decirlo con toda contundencia: esta Sala no ha confrontado al razonamiento de los árbitros una lectura ‘concreta’ de la jurisprudencia europea, como si con el adjetivo ‘concreta’ se quisiera enfatizar la constatación sesgada o parcial de lo que el Tribunal de Justicia de la Unión Europea dice. La Sala ha constatado en términos literales la doctrina de las sentencias específicas del Tribunal de Justicia de la Unión Europea sobre pactos colusorios por razón del objeto no para censurar las conclusiones a que llegan los árbitros —que por supuesto pueden contravenir normas imperativas de la Unión con infracción del orden público—, sino que esa constatación, en un estadio previo, ha respondido a la finalidad de destacar lo que de por sí es evidente: que, a la hora de laudar, la mayoría del colegio arbitral ha obviado las labores de enjuiciamiento que demanda el Tribunal de Justicia de la Unión Europea, partiendo de unas premisas de análisis contrarias a la doctrina del Tribunal de Justicia de la Unión Europea, con la ineluctable consecuencia de que ese yerro ha viciado de raíz la posterior labor de enjuiciamiento”.</w:t>
      </w:r>
    </w:p>
    <w:p w14:paraId="43A064F0" w14:textId="77777777" w:rsidR="003754FE" w:rsidRDefault="003754FE" w:rsidP="003754FE">
      <w:pPr>
        <w:pStyle w:val="TextoNormal"/>
      </w:pPr>
    </w:p>
    <w:p w14:paraId="3963811F" w14:textId="77777777" w:rsidR="003754FE" w:rsidRDefault="003754FE" w:rsidP="003754FE">
      <w:pPr>
        <w:pStyle w:val="TextoNormal"/>
      </w:pPr>
      <w:r>
        <w:t>b) En el fundamento de Derecho tercero, el auto entra a resolver el incidente planteado. Acerca del deber de acatamiento de la doctrina constitucional ya referenciada, se formula la siguiente declaración de principio:</w:t>
      </w:r>
    </w:p>
    <w:p w14:paraId="4AF42207" w14:textId="77777777" w:rsidR="003754FE" w:rsidRDefault="003754FE" w:rsidP="003754FE">
      <w:pPr>
        <w:pStyle w:val="TextoNormal"/>
      </w:pPr>
    </w:p>
    <w:p w14:paraId="24A0DA70" w14:textId="77777777" w:rsidR="003754FE" w:rsidRDefault="003754FE" w:rsidP="003754FE">
      <w:pPr>
        <w:pStyle w:val="TextoNormal"/>
      </w:pPr>
      <w:r>
        <w:t>«El deber de acatamiento que consagra el art. 5.1 LOPJ no excluye la “discrepancia razonada”, inherente a la independencia judicial, que responde, además, a una necesidad reiteradamente puesta de manifiesto por el propio Tribunal Constitucional: la de evitar la petrificación del ordenamiento</w:t>
      </w:r>
      <w:r w:rsidRPr="003754FE">
        <w:rPr>
          <w:i/>
        </w:rPr>
        <w:t xml:space="preserve"> —v.</w:t>
      </w:r>
      <w:r>
        <w:t>gr., SSTC 242/1992, 141/1994, 205/1994…—; razón imperiosa de la que da cuenta por cierto el art. 3.1 CC [Código civil], cuando establece la interpretación de las normas conforme a la realidad social del tiempo en que han de ser aplicadas.</w:t>
      </w:r>
    </w:p>
    <w:p w14:paraId="016250EC" w14:textId="77777777" w:rsidR="003754FE" w:rsidRDefault="003754FE" w:rsidP="003754FE">
      <w:pPr>
        <w:pStyle w:val="TextoNormal"/>
      </w:pPr>
    </w:p>
    <w:p w14:paraId="21751CFD" w14:textId="77777777" w:rsidR="003754FE" w:rsidRDefault="003754FE" w:rsidP="003754FE">
      <w:pPr>
        <w:pStyle w:val="TextoNormal"/>
      </w:pPr>
      <w:r>
        <w:t>Esta evidencia resulta del mismo art. 50.1 b) LOTC, tal y como es interpretado por el Tribunal Constitucional, quien atribuye especial trascendencia constitucional a un recurso de amparo para la determinación del contenido y alcance de los derechos fundamentales, cuando el Tribunal Constitucional considera que debe aclarar, precisar o incluso cambiar su precedente doctrina —entre muchas, SSTC 155/2009, FJ 2 b), y 132/2020, FJ 2. Ítem más: el Tribunal Constitucional, cuando examina la aplicación de su doctrina por los tribunales ordinarios, verifica siempre “si en el caso concurre algún elemento distintivo que obligue a una fundamentación o resultado diferente a lo declarado (hasta) entonces” (</w:t>
      </w:r>
      <w:r w:rsidRPr="003754FE">
        <w:rPr>
          <w:i/>
        </w:rPr>
        <w:t>v.gr</w:t>
      </w:r>
      <w:r>
        <w:t>., STC 64/2021, de 15 de marzo, FJ 3). Esto ha de ser así no ya solo porque el Tribunal Constitucional puede aclarar, precisar o variar su jurisprudencia, sino también porque lo exige la naturaleza concreta del recurso de amparo: justamente porque su función es servir de cauce al enjuiciamiento de actos u omisiones que se pretenden contrarios a derechos y libertades fundamentales, el Tribunal Constitucional, como un juez más del caso concreto, tiene que aplicar, cuando no adaptar, sus formulaciones teóricas, su, digamos, “doctrina general”, a las singulares características del objeto que enjuicia en cada caso.</w:t>
      </w:r>
    </w:p>
    <w:p w14:paraId="1E7FCBBC" w14:textId="77777777" w:rsidR="003754FE" w:rsidRDefault="003754FE" w:rsidP="003754FE">
      <w:pPr>
        <w:pStyle w:val="TextoNormal"/>
      </w:pPr>
    </w:p>
    <w:p w14:paraId="63DCF9FD" w14:textId="77777777" w:rsidR="003754FE" w:rsidRDefault="003754FE" w:rsidP="003754FE">
      <w:pPr>
        <w:pStyle w:val="TextoNormal"/>
      </w:pPr>
      <w:r>
        <w:t>Hilando con lo que acabamos de decir —</w:t>
      </w:r>
      <w:r w:rsidRPr="003754FE">
        <w:rPr>
          <w:i/>
        </w:rPr>
        <w:t>cfr</w:t>
      </w:r>
      <w:r>
        <w:t xml:space="preserve">. también </w:t>
      </w:r>
      <w:r w:rsidRPr="003754FE">
        <w:rPr>
          <w:i/>
        </w:rPr>
        <w:t>infra</w:t>
      </w:r>
      <w:r>
        <w:t xml:space="preserve"> § 4, penúltimo párrafo, de este mismo fundamento— menos aún impide el deber de acatamiento una exégesis </w:t>
      </w:r>
      <w:r>
        <w:lastRenderedPageBreak/>
        <w:t>sistemática de la doctrina constitucional que precise el sentido y alcance de sus distintas decisiones poniendo de relieve su intrínseca compatibilidad. Tal es, justamente, lo que este tribunal ha verificado de forma explícita en la sentencia cuya nulidad se pretende. Cumple recordar que el FJ 4.2 B), se intitula “el orden público económico de la Unión Europea: especial referencia a la necesidad de observar las normas de defensa de la competencia (art. 101 TFUE y concordantes), tal y como son entendidas por el Tribunal de Justicia de la Unión Europea, también cuando su aplicación tenga lugar al laudar; compatibilidad con la reciente doctrina del Tribunal Constitucional sobre el ámbito de la acción de anulación”.</w:t>
      </w:r>
    </w:p>
    <w:p w14:paraId="59680958" w14:textId="77777777" w:rsidR="003754FE" w:rsidRDefault="003754FE" w:rsidP="003754FE">
      <w:pPr>
        <w:pStyle w:val="TextoNormal"/>
      </w:pPr>
    </w:p>
    <w:p w14:paraId="497E6DCA" w14:textId="77777777" w:rsidR="003754FE" w:rsidRDefault="003754FE" w:rsidP="003754FE">
      <w:pPr>
        <w:pStyle w:val="TextoNormal"/>
      </w:pPr>
      <w:r>
        <w:t>Claro que el recurso de amparo adquiere trascendencia constituciona</w:t>
      </w:r>
      <w:r w:rsidRPr="003754FE">
        <w:rPr>
          <w:i/>
        </w:rPr>
        <w:t>l ope leg</w:t>
      </w:r>
      <w:r>
        <w:t>is, con toda lógica por cierto, cuando el órgano judicial revele una consciente, deliberada e inmotivada oposición a la observancia de lo que el Tribunal Constitucional ha dicho sobre una cuestión específica.</w:t>
      </w:r>
    </w:p>
    <w:p w14:paraId="405ADA41" w14:textId="77777777" w:rsidR="003754FE" w:rsidRDefault="003754FE" w:rsidP="003754FE">
      <w:pPr>
        <w:pStyle w:val="TextoNormal"/>
      </w:pPr>
    </w:p>
    <w:p w14:paraId="0208B0C5" w14:textId="77777777" w:rsidR="003754FE" w:rsidRDefault="003754FE" w:rsidP="003754FE">
      <w:pPr>
        <w:pStyle w:val="TextoNormal"/>
      </w:pPr>
      <w:r>
        <w:t>Pero en absoluto es el caso: antes al contrario, esta Sala, sin la menor elusión motivadora en la respuesta debida a los alegatos de las partes, ha entendido razonadamente en su sentencia que la doctrina del Tribunal Constitucional sobre el ámbito objetivo de la acción de anulación y su referencia a “que el orden público comprende los derechos fundamentales y las libertades garantizados por la Constitución, así como otros principios esenciales indisponibles para el legislador por exigencia constitucional o de la aplicación de principios admitidos internacionalmente”, no puede dejar de entenderse como que entre esos principios admitidos internacionalmente se incluyen, con toda evidencia, los principios de primacía y eficacia directa del Derecho de la Unión, sus libertades fundamentales y la interpretación y aplicación que del Derecho primario y derivado hacen el Tribunal de Justicia de la Unión Europea y, en su seguimiento y adaptación al Derecho interno, la Sala Primera del Tribunal Supremo, que en los últimos años viene desarrollando una labor encomiable de traslación y aplicación de ese orden público europeo, de preeminente —aunque no exclusiva—, naturaleza económica. Supremacía exegética del Tribunal de Justicia de la Unión Europea en el ámbito del Derecho de la Unión asumida convencionalmente por España y reconocida en numerosas ocasiones de forma expresa y categórica por el propio Tribunal Constitucional”</w:t>
      </w:r>
      <w:r w:rsidRPr="003754FE">
        <w:rPr>
          <w:i/>
        </w:rPr>
        <w:t xml:space="preserve"> —c</w:t>
      </w:r>
      <w:r>
        <w:t>fr</w:t>
      </w:r>
      <w:r w:rsidRPr="003754FE">
        <w:rPr>
          <w:i/>
        </w:rPr>
        <w:t>. sup</w:t>
      </w:r>
      <w:r>
        <w:t xml:space="preserve">ra FJ </w:t>
      </w:r>
      <w:r w:rsidRPr="003754FE">
        <w:rPr>
          <w:i/>
        </w:rPr>
        <w:t>1 in fi</w:t>
      </w:r>
      <w:r>
        <w:t>ne—; supremacía exegética del Tribunal de Justicia de la Unión Europea también evidenciada por el hecho mismo de que el Tribunal Constitucional ha planteado la cuestión prejudicial ante el Tribunal de Justicia de la Unión Europea (ATC 86/2011, en el recurso de amparo 6922-2008).</w:t>
      </w:r>
    </w:p>
    <w:p w14:paraId="0FA347ED" w14:textId="77777777" w:rsidR="003754FE" w:rsidRDefault="003754FE" w:rsidP="003754FE">
      <w:pPr>
        <w:pStyle w:val="TextoNormal"/>
      </w:pPr>
    </w:p>
    <w:p w14:paraId="5AB30902" w14:textId="77777777" w:rsidR="003754FE" w:rsidRDefault="003754FE" w:rsidP="003754FE">
      <w:pPr>
        <w:pStyle w:val="TextoNormal"/>
      </w:pPr>
      <w:r>
        <w:t>En este sentido, no está de más reiterar que el Tribunal Constitucional ha afirmado que, si bien no le corresponde controlar la adecuación de la actividad de los jueces nacionales al Derecho de la Unión Europea (STC 75/2017, FJ 2), sí debe velar por el respeto del principio de primacía en los casos en los que el Tribunal de Justicia de la Unión Europea haya efectuado una interpretación auténtica de la norma concurrida:</w:t>
      </w:r>
    </w:p>
    <w:p w14:paraId="7FE0D308" w14:textId="77777777" w:rsidR="003754FE" w:rsidRDefault="003754FE" w:rsidP="003754FE">
      <w:pPr>
        <w:pStyle w:val="TextoNormal"/>
      </w:pPr>
    </w:p>
    <w:p w14:paraId="21B18065" w14:textId="77777777" w:rsidR="003754FE" w:rsidRDefault="003754FE" w:rsidP="003754FE">
      <w:pPr>
        <w:pStyle w:val="TextoNormal"/>
      </w:pPr>
      <w:r>
        <w:t>(i) “a este Tribunal ‘corresponde […] velar por el respeto del principio de primacía del Derecho de la Unión cuando […] exista una interpretación auténtica efectuada por el propio Tribunal de Justicia de la Unión Europea’ [FJ 5 c)].</w:t>
      </w:r>
    </w:p>
    <w:p w14:paraId="1A0D308A" w14:textId="77777777" w:rsidR="003754FE" w:rsidRDefault="003754FE" w:rsidP="003754FE">
      <w:pPr>
        <w:pStyle w:val="TextoNormal"/>
      </w:pPr>
    </w:p>
    <w:p w14:paraId="0490D68C" w14:textId="77777777" w:rsidR="003754FE" w:rsidRDefault="003754FE" w:rsidP="003754FE">
      <w:pPr>
        <w:pStyle w:val="TextoNormal"/>
      </w:pPr>
      <w:r>
        <w:t xml:space="preserve">(ii) el desconocimiento y preterición de una norma de Derecho de la Unión, tal y como ha sido interpretada por el Tribunal de Justicia, ‘puede suponer una selección irrazonable y </w:t>
      </w:r>
      <w:r>
        <w:lastRenderedPageBreak/>
        <w:t>arbitraria de una norma aplicable al proceso, lo cual puede dar lugar a una vulneración del derecho a la tutela judicial efectiva (STC 145/2012, de 2 de julio, FFJJ 5 y 6)’ [FJ 5 c)].</w:t>
      </w:r>
    </w:p>
    <w:p w14:paraId="21872BF2" w14:textId="77777777" w:rsidR="003754FE" w:rsidRDefault="003754FE" w:rsidP="003754FE">
      <w:pPr>
        <w:pStyle w:val="TextoNormal"/>
      </w:pPr>
    </w:p>
    <w:p w14:paraId="7BA686C9" w14:textId="77777777" w:rsidR="003754FE" w:rsidRDefault="003754FE" w:rsidP="003754FE">
      <w:pPr>
        <w:pStyle w:val="TextoNormal"/>
      </w:pPr>
      <w:r>
        <w:t>(iii)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[FJ 6 b)]”.</w:t>
      </w:r>
    </w:p>
    <w:p w14:paraId="60715C2D" w14:textId="77777777" w:rsidR="003754FE" w:rsidRDefault="003754FE" w:rsidP="003754FE">
      <w:pPr>
        <w:pStyle w:val="TextoNormal"/>
      </w:pPr>
    </w:p>
    <w:p w14:paraId="6C07E50F" w14:textId="77777777" w:rsidR="003754FE" w:rsidRDefault="003754FE" w:rsidP="003754FE">
      <w:pPr>
        <w:pStyle w:val="TextoNormal"/>
      </w:pPr>
      <w:r>
        <w:t>Son palabras de la STC 31/2019, FJ 4, en línea con la doctrina sentada en la STC 232/2015.</w:t>
      </w:r>
    </w:p>
    <w:p w14:paraId="30F4EEF5" w14:textId="77777777" w:rsidR="003754FE" w:rsidRDefault="003754FE" w:rsidP="003754FE">
      <w:pPr>
        <w:pStyle w:val="TextoNormal"/>
      </w:pPr>
    </w:p>
    <w:p w14:paraId="7726D8DB" w14:textId="77777777" w:rsidR="003754FE" w:rsidRDefault="003754FE" w:rsidP="003754FE">
      <w:pPr>
        <w:pStyle w:val="TextoNormal"/>
      </w:pPr>
      <w:r>
        <w:t>Añádase a lo anterior que la sentencia cuya nulidad se pretende se cuida de explicar, con jurisprudencia categórica del Tribunal de Justicia de la Unión Europea, cómo los tribunales internos deben controlar que, al laudar, los árbitros respetan normas imperativas del Derecho de la Unión, tal y como son entendidas por el Tribunal de Justicia de la Unión Europea, y máxime si estas normas conciernen a, concretan y/o desarrollan las libertades fundamentales de la Unión».</w:t>
      </w:r>
    </w:p>
    <w:p w14:paraId="2B59692D" w14:textId="77777777" w:rsidR="003754FE" w:rsidRDefault="003754FE" w:rsidP="003754FE">
      <w:pPr>
        <w:pStyle w:val="TextoNormal"/>
      </w:pPr>
    </w:p>
    <w:p w14:paraId="0C6134FB" w14:textId="77777777" w:rsidR="003754FE" w:rsidRDefault="003754FE" w:rsidP="003754FE">
      <w:pPr>
        <w:pStyle w:val="TextoNormal"/>
      </w:pPr>
      <w:r>
        <w:t>El auto entra luego a resumir algunas de las sentencias del Tribunal de Justicia europeo. Tras ello señala:</w:t>
      </w:r>
    </w:p>
    <w:p w14:paraId="3DDA73DB" w14:textId="77777777" w:rsidR="003754FE" w:rsidRDefault="003754FE" w:rsidP="003754FE">
      <w:pPr>
        <w:pStyle w:val="TextoNormal"/>
      </w:pPr>
    </w:p>
    <w:p w14:paraId="10F4A094" w14:textId="77777777" w:rsidR="003754FE" w:rsidRDefault="003754FE" w:rsidP="003754FE">
      <w:pPr>
        <w:pStyle w:val="TextoNormal"/>
      </w:pPr>
      <w:r>
        <w:t>“Nuestra sentencia 66/2021 entiende, sin atisbo de arbitrariedad lesiva del derecho a la tutela judicial efectiva, que el control de la motivación de los laudos, en casos como el que nos ocupa —normas imperativas, así declaradas por el Tribunal de Justicia de la Unión Europea, sobre libertades fundamentales de la Unión—, exige, si se ha de respetar el principio de primacía, salvaguardar la observancia de la exégesis clara, inequívoca y auténtica que el Tribunal de Justicia de la Unión Europea haya efectuado de las normas aplicables al caso. Conclusión que no solo es compatible con la doctrina constitucional, sino que se acomoda a su dicción explícita —</w:t>
      </w:r>
      <w:r w:rsidRPr="003754FE">
        <w:rPr>
          <w:i/>
        </w:rPr>
        <w:t>v.gr</w:t>
      </w:r>
      <w:r>
        <w:t xml:space="preserve">. SSTC </w:t>
      </w:r>
      <w:r w:rsidRPr="003754FE">
        <w:rPr>
          <w:i/>
        </w:rPr>
        <w:t>supra</w:t>
      </w:r>
      <w:r>
        <w:t xml:space="preserve"> citadas 232/2015, 31/2019 y concordantes—, resultando avalada también por las SSTC 46/2020, 17/2021, 55/2021 y 65/2021, cuando declaran que el orden público controlable por las Salas de lo Civil y Penal de los Tribunales Superiores de Justicia comprende la salvaguarda de la aplicación de principios admitidos internacionalmente; aserto que tiene que ser entendido en conexión con la expresa y categórica inclusión en el principio de primacía del deber de observar la doctrina sentada por el Tribunal de Justicia de la Unión Europea en la interpretación de una norma europea, aseverando el Tribunal Constituciona</w:t>
      </w:r>
      <w:r w:rsidRPr="003754FE">
        <w:rPr>
          <w:i/>
        </w:rPr>
        <w:t>l expressis verb</w:t>
      </w:r>
      <w:r>
        <w:t>is que el Tribunal de Justicia de la Unión Europea es el órgano competente para imponer esa exégesis con carácter vinculante.</w:t>
      </w:r>
    </w:p>
    <w:p w14:paraId="71DA50D8" w14:textId="77777777" w:rsidR="003754FE" w:rsidRDefault="003754FE" w:rsidP="003754FE">
      <w:pPr>
        <w:pStyle w:val="TextoNormal"/>
      </w:pPr>
    </w:p>
    <w:p w14:paraId="7C7B07B1" w14:textId="77777777" w:rsidR="003754FE" w:rsidRDefault="003754FE" w:rsidP="003754FE">
      <w:pPr>
        <w:pStyle w:val="TextoNormal"/>
      </w:pPr>
      <w:r>
        <w:t>Ante esta incontrovertible realidad sobre el alcance del orden público cuando resulta concernido el Derecho imperativo de la UE, no parece discutible que la motivación del laudo haya de ser examinada por el tribunal que conoce de la acción de anulación y/o de la solicitud de reconocimiento en España de un laudo extranjero. Y es que la infracción del orden público como causa de anulación ha de comprender la verificación de que el laudo colma aquellos deberes de motivación declarados inexcusables bien por ministerio de la ley, bien, en nuestro caso, por determinación de los Tribunales Constitucional y de Justicia de la Unión Europea, y ello haciendo cuestión aparte de que tal control exceda con toda evidencia el análisis de un er</w:t>
      </w:r>
      <w:r w:rsidRPr="003754FE">
        <w:rPr>
          <w:i/>
        </w:rPr>
        <w:t>ror in proced</w:t>
      </w:r>
      <w:r>
        <w:t>endo”.</w:t>
      </w:r>
    </w:p>
    <w:p w14:paraId="1DA53053" w14:textId="77777777" w:rsidR="003754FE" w:rsidRDefault="003754FE" w:rsidP="003754FE">
      <w:pPr>
        <w:pStyle w:val="TextoNormal"/>
      </w:pPr>
    </w:p>
    <w:p w14:paraId="330EB792" w14:textId="77777777" w:rsidR="003754FE" w:rsidRDefault="003754FE" w:rsidP="003754FE">
      <w:pPr>
        <w:pStyle w:val="TextoNormal"/>
      </w:pPr>
      <w:r>
        <w:lastRenderedPageBreak/>
        <w:t>Critica el auto a continuación lo afirmado en el escrito de nulidad sobre la no necesidad de aplicar el principio de primacía del Derecho de la Unión Europea en el asunto controvertido, afirmación que tacha de “visión fragmentaria y parcial del principio en cuestión”, pues también integra este último:</w:t>
      </w:r>
    </w:p>
    <w:p w14:paraId="19F71716" w14:textId="77777777" w:rsidR="003754FE" w:rsidRDefault="003754FE" w:rsidP="003754FE">
      <w:pPr>
        <w:pStyle w:val="TextoNormal"/>
      </w:pPr>
    </w:p>
    <w:p w14:paraId="70A87579" w14:textId="77777777" w:rsidR="003754FE" w:rsidRDefault="003754FE" w:rsidP="003754FE">
      <w:pPr>
        <w:pStyle w:val="TextoNormal"/>
      </w:pPr>
      <w:r>
        <w:t>“[E]l deber de observar la interpretación vinculante y auténtica que de esas normas haya efectuado el Tribunal de Justicia de la Unión Europea […]; con independencia de la elaboración normativa del Estado miembro, al margen de que el Estado regule o no regule en contra del Derecho de la Unión, este ha de ser observado en el ámbito de aplicación que le es propio, y ha de serlo tal y como ese Derecho sea entendido de manera clara y conteste por el Tribunal de Justicia de la Unión Europea; y esto es así con mayor razón, si cabe, cuando aparecen concernidas normas imperativas delimitadoras del contenido esencial de las libertades fundamentales de la Unión”.</w:t>
      </w:r>
    </w:p>
    <w:p w14:paraId="2E9DD57A" w14:textId="77777777" w:rsidR="003754FE" w:rsidRDefault="003754FE" w:rsidP="003754FE">
      <w:pPr>
        <w:pStyle w:val="TextoNormal"/>
      </w:pPr>
    </w:p>
    <w:p w14:paraId="648DC479" w14:textId="77777777" w:rsidR="003754FE" w:rsidRDefault="003754FE" w:rsidP="003754FE">
      <w:pPr>
        <w:pStyle w:val="TextoNormal"/>
      </w:pPr>
      <w:r>
        <w:t>Así se desprende también de “la reiterada doctrina del Tribunal de Justicia de la Unión Europea sobre la eficacia inmediata de las directivas no traspuestas o insuficientemente traspuestas […]; el principio de efecto directo —como el de primacía de construcción jurisprudencial—, rige también cuando no exista norma nacional —no solo cuando esta se opone a la directiva— o cuando la norma nacional traspone deficiente o insuficientemente la directiva: principio de eficacia directa que es concreción de la prevalencia del Derecho de la Unión Europea, que responde a la necesidad imperiosa de que el Derecho de la Unión goce de autonomía y sea, en su seno, uniformemente entendido y aplicado. […]</w:t>
      </w:r>
    </w:p>
    <w:p w14:paraId="695803C5" w14:textId="77777777" w:rsidR="003754FE" w:rsidRDefault="003754FE" w:rsidP="003754FE">
      <w:pPr>
        <w:pStyle w:val="TextoNormal"/>
      </w:pPr>
    </w:p>
    <w:p w14:paraId="79B933E9" w14:textId="77777777" w:rsidR="003754FE" w:rsidRDefault="003754FE" w:rsidP="003754FE">
      <w:pPr>
        <w:pStyle w:val="TextoNormal"/>
      </w:pPr>
      <w:r>
        <w:t>Pues bien, la primera y más evidente manifestación del principio de primacía ha de ser, en términos lógicos y jurídicos, la que consagra un deber inexcusable del juez nacional: verificar, de acuerdo con la jurisprudencia del Tribunal de Justicia de la Unión Europea, si el Derecho de la Unión resulta aplicable al caso. […] dejar el principio de primacía en manos de quienes no tienen los medios para preservarlo —</w:t>
      </w:r>
      <w:r w:rsidRPr="003754FE">
        <w:rPr>
          <w:i/>
        </w:rPr>
        <w:t>v.gr</w:t>
      </w:r>
      <w:r>
        <w:t>., los árbitros adolecen de legitimación para plantear la cuestión prejudicial— es de todo punto insostenible por contrario a una lógica jurídica elemental; lógica jurídica de la que hace gala la reiterada jurisprudencia del Tribunal de Justicia de la Unión Europea y del Tribunal Constitucional a que nos hemos referido cumplidamente”.</w:t>
      </w:r>
    </w:p>
    <w:p w14:paraId="7105934D" w14:textId="77777777" w:rsidR="003754FE" w:rsidRDefault="003754FE" w:rsidP="003754FE">
      <w:pPr>
        <w:pStyle w:val="TextoNormal"/>
      </w:pPr>
    </w:p>
    <w:p w14:paraId="2CD93402" w14:textId="77777777" w:rsidR="003754FE" w:rsidRDefault="003754FE" w:rsidP="003754FE">
      <w:pPr>
        <w:pStyle w:val="TextoNormal"/>
      </w:pPr>
      <w:r>
        <w:t>Tras defender que la sentencia actuó dentro del marco de su competencia, reprocha al laudo que no haya reparado “en el art. 101 TFUE expresamente invocado por Cabify —ni en las demás normas con él concordantes—, ni en la jurisprudencia del Tribunal de Justicia de la Unión Europea que interpreta de forma auténtica esa normativa”, y señala algunos ejemplos de lo que el laudo debía haber analizado y no lo hizo, con cita de la sentencia del Tribunal de Justicia de la Unión Europea de 2 de abril de 2020, § 76, 78 y 79. Se ratifica en la conclusión alcanzada en la sentencia, en el sentido de que el laudo impugnado incurrió en</w:t>
      </w:r>
      <w:r w:rsidRPr="003754FE">
        <w:rPr>
          <w:i/>
        </w:rPr>
        <w:t xml:space="preserve"> “err</w:t>
      </w:r>
      <w:r>
        <w:t>o</w:t>
      </w:r>
      <w:r w:rsidRPr="003754FE">
        <w:rPr>
          <w:i/>
        </w:rPr>
        <w:t>r iur</w:t>
      </w:r>
      <w:r>
        <w:t>is en la selección del Derecho aplicable [que] ha viciado de raíz las premisas de enjuiciamiento asumidas por el tribunal arbitral, con el consecuente déficit radical de motivación”; y continúa razonando:</w:t>
      </w:r>
    </w:p>
    <w:p w14:paraId="3EAF430A" w14:textId="77777777" w:rsidR="003754FE" w:rsidRDefault="003754FE" w:rsidP="003754FE">
      <w:pPr>
        <w:pStyle w:val="TextoNormal"/>
      </w:pPr>
    </w:p>
    <w:p w14:paraId="451E7658" w14:textId="77777777" w:rsidR="003754FE" w:rsidRDefault="003754FE" w:rsidP="003754FE">
      <w:pPr>
        <w:pStyle w:val="TextoNormal"/>
      </w:pPr>
      <w:r>
        <w:t xml:space="preserve">“[E]l arbitraje, como equivalente jurisdiccional que es —por la fuerza de cosa juzgada de sus decisiones, tal y como precisa la reciente doctrina del Tribunal Constitucional—, no puede sustraerse a los preceptos, principios y derechos constitucionales, entre ellos los derechos fundamentales que son de inexcusable observancia y de insoslayable control, real y </w:t>
      </w:r>
      <w:r>
        <w:lastRenderedPageBreak/>
        <w:t>efectivo, por parte de los tribunales llamados a conocer de la acción de anulación; o que el arbitraje ha de respetar el Derecho imperativo de la Unión y/o sus principios esenciales, entre ellos los de eficacia directa y primacía. Tribunales de justicia que inconcusamente estarían infringiendo el art. 24.1 CE al conocer de la acción de anulación si, verbigracia, no impidiesen mediante la declaración de nulidad que la motivación de un laudo dé carta de naturaleza a déficits de motivación constitucionalmente relevantes […].</w:t>
      </w:r>
    </w:p>
    <w:p w14:paraId="1F1669D2" w14:textId="77777777" w:rsidR="003754FE" w:rsidRDefault="003754FE" w:rsidP="003754FE">
      <w:pPr>
        <w:pStyle w:val="TextoNormal"/>
      </w:pPr>
    </w:p>
    <w:p w14:paraId="1EFFFD2E" w14:textId="77777777" w:rsidR="003754FE" w:rsidRDefault="003754FE" w:rsidP="003754FE">
      <w:pPr>
        <w:pStyle w:val="TextoNormal"/>
      </w:pPr>
      <w:r>
        <w:t>Ya hemos dejado clara constancia en la sentencia y en el auto que ahora dictamos de que la propia doctrina del Tribunal Constitucional —con los requisitos que en ella se contienen— anuda la lesión del derecho a la tutela judicial efectiva del art. 24.1 CE a la ignorancia de postulados claros bien de la normativa de la Unión —principio de primacía en conexión con el de eficacia directa—, bien de la jurisprudencia conteste del Tribunal de Justicia de la Unión Europea. También queda dicho que esa doctrina constitucional ha de ser compatibilizada con la que define —en un plano de legalidad ordinaria— el ámbito de la acción de anulación: no entenderlo así, excluir de raíz la verificación de que el laudo se acomoda a la jurisprudencia que define en cada caso en qué consista el orden público, sería tanto como intentar la cuadratura del círculo. Sería un entendimiento maximalista y errado de la jurisprudencia constitucional, amén de generador de una insoportable inseguridad jurídica en el ámbito del arbitraje nacional e internacional desarrollado en España, estimar —dicho sea a modo de ejemplo— que si un laudo infringe abiertamente la doctrina, clara y estable, del Tribunal de Justicia de la Unión Europea sobre las reglas estructurales de la libre competencia, de la libertad de establecimiento…, o sobre los derechos irrenunciables de los consumidores y/o de los inversores no profesionales (Directivas MiFid), no se estaría vulnerando el orden público económico de la Unión, como causa de anulación de un laudo.</w:t>
      </w:r>
    </w:p>
    <w:p w14:paraId="72635647" w14:textId="77777777" w:rsidR="003754FE" w:rsidRDefault="003754FE" w:rsidP="003754FE">
      <w:pPr>
        <w:pStyle w:val="TextoNormal"/>
      </w:pPr>
    </w:p>
    <w:p w14:paraId="06B7F926" w14:textId="77777777" w:rsidR="003754FE" w:rsidRDefault="003754FE" w:rsidP="003754FE">
      <w:pPr>
        <w:pStyle w:val="TextoNormal"/>
      </w:pPr>
      <w:r>
        <w:t>En esta línea de pensamiento, no hay que entender fuera de su contexto algunas afirmaciones de la reciente doctrina constitucional, como cuando, en un momento dado, dice la STC 17/2021 ‘que la acción de anulación no es un mecanismo de control de la correcta aplicación de la jurisprudencia’. Este aserto está emitido en un contexto muy claro: que la acción de anulación no es una nueva instancia revisora de los hechos y del Derecho aplicado por el laudo. Pero ello en el bien entendido de que el control del orden público afecta a lo que afecta: a veces no quedará más remedio, para verificar el ámbito material y procesal del orden público —tal y como ha sido declarado por el propio Tribunal Constitucional—, que acudir a la jurisprudencia en sentido estricto (y más si esta es la de los Tribunales Constitucional y de Justicia de la Unión) para verificar si se ha infringido una norma o un principio imperativos, un derecho fundamental. En este punto, en verdad delicado, una cosa es la independencia de criterio del árbitro —que, como la del juez, ha de ser respetada— y otra que ese criterio no se acomode ostensiblemente al contenido constitucionalmente declarado de un derecho fundamental, o a la interpretación clara y conteste que del Derecho imperativo de la Unión haga el Tribunal de Justicia de la Unión Europea, en cuyos casos ese orden público que es causa de anulación sí puede entenderse conculcado por la contravención de la doctrina jurisprudencial. Decimos esto sin perjuicio de que el árbitro —como el juez— justifique su criterio e incluso razone, ante una eventual acción de anulación, la procedencia de que el tribunal llamado a conocerla suscite una cuestión prejudicial o una cuestión de inconstitucionalidad, para cuyo planteamiento el árbitro adolece de legitimación; y sin menoscabo, también, por supuesto, de que el tribunal de justicia pueda rectificar su propia jurisprudencia a la vista de lo argüido por el árbitro y/o cumplir con el deber que le pueda asistir de plantear la correspondiente cuestión prejudicial y/o de inconstitucionalidad”.</w:t>
      </w:r>
    </w:p>
    <w:p w14:paraId="0B4576C1" w14:textId="77777777" w:rsidR="003754FE" w:rsidRDefault="003754FE" w:rsidP="003754FE">
      <w:pPr>
        <w:pStyle w:val="TextoNormal"/>
      </w:pPr>
    </w:p>
    <w:p w14:paraId="54D12104" w14:textId="77777777" w:rsidR="003754FE" w:rsidRDefault="003754FE" w:rsidP="003754FE">
      <w:pPr>
        <w:pStyle w:val="TextoNormal"/>
      </w:pPr>
      <w:r>
        <w:t>Finaliza el auto su argumentación para desestimar el incidente de nulidad, diciendo:</w:t>
      </w:r>
    </w:p>
    <w:p w14:paraId="0A6BF820" w14:textId="77777777" w:rsidR="003754FE" w:rsidRDefault="003754FE" w:rsidP="003754FE">
      <w:pPr>
        <w:pStyle w:val="TextoNormal"/>
      </w:pPr>
    </w:p>
    <w:p w14:paraId="2DCE9321" w14:textId="77777777" w:rsidR="003754FE" w:rsidRDefault="003754FE" w:rsidP="003754FE">
      <w:pPr>
        <w:pStyle w:val="TextoNormal"/>
      </w:pPr>
      <w:r>
        <w:t>“Qué sea o deje de ser el orden público, precisamente por su carácter imperativo, en cierto modo extraordinario y restrictivo de la libertad individual y colectiva, no puede quedar al albur de la inseguridad jurídica que derivaría de que, por el hecho de someterse a arbitraje, no cupiese una aplicación y definición mínimamente unitarias de ese orden público. Para eso, precisamente, está la acción de anulación”.</w:t>
      </w:r>
    </w:p>
    <w:p w14:paraId="38338695" w14:textId="77777777" w:rsidR="003754FE" w:rsidRDefault="003754FE" w:rsidP="003754FE">
      <w:pPr>
        <w:pStyle w:val="TextoNormal"/>
      </w:pPr>
    </w:p>
    <w:p w14:paraId="2F2F1FAF" w14:textId="77777777" w:rsidR="003754FE" w:rsidRDefault="003754FE" w:rsidP="003754FE">
      <w:pPr>
        <w:pStyle w:val="TextoNormal"/>
      </w:pPr>
      <w:r>
        <w:t>c) El auto resolutorio del incidente de nulidad se acompaña también de un voto particular formulado por el magistrado presidente de la Sala, en el que sostiene que debió acordarse la nulidad y que el auto, en cuanto ratifica los “planteamientos” de la sentencia, “se aparta de los criterios claramente establecidos por el Tribunal Constitucional en cuanto a la delimitación del alcance de la intervención de los tribunales de justicia en la acción de anulación de los laudos arbitrales”.</w:t>
      </w:r>
    </w:p>
    <w:p w14:paraId="3B4DDA54" w14:textId="77777777" w:rsidR="003754FE" w:rsidRDefault="003754FE" w:rsidP="003754FE">
      <w:pPr>
        <w:pStyle w:val="TextoNormal"/>
      </w:pPr>
    </w:p>
    <w:p w14:paraId="68A2FEE5" w14:textId="77777777" w:rsidR="003754FE" w:rsidRDefault="003754FE" w:rsidP="003754FE">
      <w:pPr>
        <w:pStyle w:val="TextoNormal"/>
      </w:pPr>
      <w:r>
        <w:t>G) Solicitud de complemento y rectificación del auto de 11 de enero de 2022</w:t>
      </w:r>
    </w:p>
    <w:p w14:paraId="7D765607" w14:textId="77777777" w:rsidR="003754FE" w:rsidRDefault="003754FE" w:rsidP="003754FE">
      <w:pPr>
        <w:pStyle w:val="TextoNormal"/>
      </w:pPr>
    </w:p>
    <w:p w14:paraId="28FDF844" w14:textId="77777777" w:rsidR="003754FE" w:rsidRDefault="003754FE" w:rsidP="003754FE">
      <w:pPr>
        <w:pStyle w:val="TextoNormal"/>
      </w:pPr>
      <w:r>
        <w:t>Por escrito del representante procesal de la aquí demandante de amparo que tuvo entrada en la Sala del Tribunal Superior de Justicia el 18 de enero de 2022, se formalizó solicitud de complemento y corrección del auto de 11 de enero de 2022. La Sala dictó auto el 25 de enero de 2022 acordando no haber lugar a lo solicitado, al entender que no se ha cometido ningún error que deba ser rectificado porque:</w:t>
      </w:r>
    </w:p>
    <w:p w14:paraId="13347A6D" w14:textId="77777777" w:rsidR="003754FE" w:rsidRDefault="003754FE" w:rsidP="003754FE">
      <w:pPr>
        <w:pStyle w:val="TextoNormal"/>
      </w:pPr>
    </w:p>
    <w:p w14:paraId="1921960B" w14:textId="77777777" w:rsidR="003754FE" w:rsidRDefault="003754FE" w:rsidP="003754FE">
      <w:pPr>
        <w:pStyle w:val="TextoNormal"/>
      </w:pPr>
      <w:r>
        <w:t xml:space="preserve">“Esta Sala en todo momento ha tenido en cuenta y ha analizado la doctrina del Tribunal Constitucional que la representación de Auro reputa infringida, concretada fundamentalmente en sus SSTC 46/2020, 17/2021 y 65/2021, y lo ha hecho desde la misma sentencia cuya nulidad se ha pretendido. Tan es así que, si bien por mayoría, hemos argumentado con extensión —en epígrafe específico— cómo dicha doctrina es perfectamente compatible con la también doctrina constitucional relativa a la necesidad de preservar el principio de primacía del Derecho de la Unión. En este contexto, afirmada esa compatibilidad, la Sala —con voto particular discrepante del Excmo. señor presidente—, tanto en la sentencia como en el auto resolutorio del incidente de nulidad ha analizado y explicado y en esa medida respondido a los argumentos que sustentaban la pretensión anulatoria —entendiendo en favor del solicitante que la </w:t>
      </w:r>
      <w:r w:rsidRPr="003754FE">
        <w:rPr>
          <w:i/>
        </w:rPr>
        <w:t>causa petendi</w:t>
      </w:r>
      <w:r>
        <w:t xml:space="preserve"> de la pretensión anulatoria, al formar parte de ella, ha de ser objeto del debido análisis. Pues bien, la Sala ha argumentado su parecer mayoritario de que reiterada doctrina del Tribunal de Justicia de la Unión Europea impide reputar inaplicable al caso de autos el Derecho de la Unión y de cómo la exclusión de esa inexcusable aplicación se ha traducido en un déficit de motivación del laudo anulado constitucionalmente relevante, dado que la no ponderación del Derecho de la Unión, tal y como es entendido por el Tribunal de Justicia de la Unión Europea, ha viciado de raíz la argumentación del tribunal arbitral, que no ha analizado extremos que la doctrina, clara y conteste, del Tribunal de Justicia de la Unión Europea obligaba a examinar antes de poder concluir que un pacto de exclusiva es colusorio por razón de su objeto”.</w:t>
      </w:r>
    </w:p>
    <w:p w14:paraId="00ED370A" w14:textId="77777777" w:rsidR="003754FE" w:rsidRDefault="003754FE" w:rsidP="003754FE">
      <w:pPr>
        <w:pStyle w:val="TextoNormal"/>
      </w:pPr>
    </w:p>
    <w:p w14:paraId="147CD26E" w14:textId="6F7B9BC8" w:rsidR="003754FE" w:rsidRDefault="003754FE" w:rsidP="003754FE">
      <w:pPr>
        <w:pStyle w:val="TextoNormal"/>
      </w:pPr>
      <w:r>
        <w:t>H) Notificada esta última resolución judicial se interpone el presente recurso de amparo.</w:t>
      </w:r>
    </w:p>
    <w:p w14:paraId="48818B4B" w14:textId="77777777" w:rsidR="003754FE" w:rsidRDefault="003754FE" w:rsidP="003754FE">
      <w:pPr>
        <w:pStyle w:val="TextoNormal"/>
      </w:pPr>
    </w:p>
    <w:p w14:paraId="09A41DC0" w14:textId="77777777" w:rsidR="003754FE" w:rsidRDefault="003754FE" w:rsidP="003754FE">
      <w:pPr>
        <w:pStyle w:val="TextoNormal"/>
      </w:pPr>
      <w:r w:rsidRPr="003754FE">
        <w:rPr>
          <w:rStyle w:val="NumeroAFNegritaCaracter"/>
        </w:rPr>
        <w:lastRenderedPageBreak/>
        <w:t>3</w:t>
      </w:r>
      <w:r>
        <w:t>. La demanda de amparo, dirigida contra las dos resoluciones judiciales a las que se ha hecho mención en el encabezamiento del presente auto, alega que ambas han vulnerado el derecho fundamental de la entidad recurrente a la tutela judicial efectiva (art. 24.1 CE).</w:t>
      </w:r>
    </w:p>
    <w:p w14:paraId="0162C599" w14:textId="77777777" w:rsidR="003754FE" w:rsidRDefault="003754FE" w:rsidP="003754FE">
      <w:pPr>
        <w:pStyle w:val="TextoNormal"/>
      </w:pPr>
    </w:p>
    <w:p w14:paraId="3C858AE7" w14:textId="77777777" w:rsidR="003754FE" w:rsidRDefault="003754FE" w:rsidP="003754FE">
      <w:pPr>
        <w:pStyle w:val="TextoNormal"/>
      </w:pPr>
      <w:r>
        <w:t>A) Fundamentación</w:t>
      </w:r>
    </w:p>
    <w:p w14:paraId="154F815F" w14:textId="77777777" w:rsidR="003754FE" w:rsidRDefault="003754FE" w:rsidP="003754FE">
      <w:pPr>
        <w:pStyle w:val="TextoNormal"/>
      </w:pPr>
    </w:p>
    <w:p w14:paraId="60ABFC4E" w14:textId="77777777" w:rsidR="003754FE" w:rsidRDefault="003754FE" w:rsidP="003754FE">
      <w:pPr>
        <w:pStyle w:val="TextoNormal"/>
      </w:pPr>
      <w:r>
        <w:t>Se hace ante todo cita de las sentencias que ha dictado este tribunal en relación con sentencias de la Sala de lo Civil y Penal del Tribunal Superior de Justicia de Madrid, anulatorias de laudos arbitrales (SSTC 46/2020, de 15 de junio; 17/2021, de 15 de febrero, y 55/2021 y 65/2021, de 15 de marzo), órgano judicial que, dice la demanda, “persiste en una inconcebible resistencia a aplicar la jurisprudencia constitucional llegando a apelar en su auto de 11 de enero de 2022 a un supuesto derecho de la Sala a mantener una ‘discrepancia razonada’ con la doctrina del Alto Tribunal”, obligando además al presidente de dicho órgano a dictar votos particulares discrepantes. El escrito hace un recordatorio y reproducción parcial de algunos fundamentos de las sentencias que conforman la doctrina constitucional a la que se hace referencia, en concreto en cuanto a la naturaleza del arbitraje y su reconocimiento constitucional (con cita de la STC 65/2021, FJ 4); el deber de motivación de los laudos (STC 65/2021, FJ 5); la infracción del orden público como motivo de anulación de los laudos arbitrales y su proyección sobre el derecho a la tutela judicial efectiva (STC 65/2021, FJ 3); y sobre la censura que merecía en aquel caso la decisión del Tribunal Superior de Justicia de Madrid de entrar en el fondo del debate (STC 65/2021, FJ 6).</w:t>
      </w:r>
    </w:p>
    <w:p w14:paraId="7F82607E" w14:textId="77777777" w:rsidR="003754FE" w:rsidRDefault="003754FE" w:rsidP="003754FE">
      <w:pPr>
        <w:pStyle w:val="TextoNormal"/>
      </w:pPr>
    </w:p>
    <w:p w14:paraId="27924937" w14:textId="77777777" w:rsidR="003754FE" w:rsidRDefault="003754FE" w:rsidP="003754FE">
      <w:pPr>
        <w:pStyle w:val="TextoNormal"/>
      </w:pPr>
      <w:r>
        <w:t>Señala que la sentencia y auto aquí impugnados “se presentan como una verdadera enmienda a la jurisprudencia constitucional”, al argumentar en su fundamento de Derecho cuarto que debía “verificar, más allá de un control puramente formal o externo, si la motivación del laudo se acomoda a normas imperativas del Derecho de la competencia tal y como son entendidas por los supremos tribunales llamados a interpretarlas y, de modo particular, por el Tribunal de Justicia de la Unión Europea”; cuando precisamente la doctrina constitucional dice que debe ser un “mero control externo”. Pese a que el laudo está motivado, porque la Sala entiende su razón de decidir, entra sin embargo en el fondo y realiza un nuevo enjuiciamiento, “con la excusa de una pretendida vulneración del orden público […] imponiendo las propias conclusiones y valoraciones sobre las alcanzadas por el colegio arbitral”.</w:t>
      </w:r>
    </w:p>
    <w:p w14:paraId="1770EA78" w14:textId="77777777" w:rsidR="003754FE" w:rsidRDefault="003754FE" w:rsidP="003754FE">
      <w:pPr>
        <w:pStyle w:val="TextoNormal"/>
      </w:pPr>
    </w:p>
    <w:p w14:paraId="77564454" w14:textId="77777777" w:rsidR="003754FE" w:rsidRDefault="003754FE" w:rsidP="003754FE">
      <w:pPr>
        <w:pStyle w:val="TextoNormal"/>
      </w:pPr>
      <w:r>
        <w:t>Explica la demanda que esto se evidencia desde una cuádruple constatación:</w:t>
      </w:r>
    </w:p>
    <w:p w14:paraId="5CF53A0B" w14:textId="77777777" w:rsidR="003754FE" w:rsidRDefault="003754FE" w:rsidP="003754FE">
      <w:pPr>
        <w:pStyle w:val="TextoNormal"/>
      </w:pPr>
    </w:p>
    <w:p w14:paraId="65DB2293" w14:textId="77777777" w:rsidR="003754FE" w:rsidRDefault="003754FE" w:rsidP="003754FE">
      <w:pPr>
        <w:pStyle w:val="TextoNormal"/>
      </w:pPr>
      <w:r>
        <w:t>a) La Sala del Tribunal Superior de Justicia “ha sustituido el criterio del tribunal arbitral, con puro pretexto de velar por el cumplimiento del principio de primacía del Derecho de la Unión Europea”.</w:t>
      </w:r>
    </w:p>
    <w:p w14:paraId="4626CA7A" w14:textId="77777777" w:rsidR="003754FE" w:rsidRDefault="003754FE" w:rsidP="003754FE">
      <w:pPr>
        <w:pStyle w:val="TextoNormal"/>
      </w:pPr>
    </w:p>
    <w:p w14:paraId="6F091540" w14:textId="77777777" w:rsidR="003754FE" w:rsidRDefault="003754FE" w:rsidP="003754FE">
      <w:pPr>
        <w:pStyle w:val="TextoNormal"/>
      </w:pPr>
      <w:r>
        <w:t xml:space="preserve">En este apartado la demanda discrepa de la aseveración de principio de la sentencia, referente a que la defensa de la competencia se articula en un sistema de espejo o doble barrera que exige comprobar que también se respeta la normativa de la Unión Europea aunque los acuerdos solo afecten al mercado interior. Entiende la recurrente que eso no es así, como explicó el laudo definitivo, y que la legislación aplicable es solo la española (LDC, RDC y LCD). Reitera luego argumentos ya vertidos en el anterior escrito de solicitud de nulidad de actuaciones: el principio de primacía resulta forzado por la sentencia impugnada para poder afirmar esta la vulneración —por el laudo— de una norma imperativa; el citado principio </w:t>
      </w:r>
      <w:r>
        <w:lastRenderedPageBreak/>
        <w:t xml:space="preserve">de primacía solo existe si el ordenamiento nacional es contradictorio con el Derecho de la Unión; y ni la sentencia ni el auto posterior —que deniega el incidente de nulidad— se percatan de que existe armonía entre ambos ordenamientos en materia de pactos colusorios, a cuyo efecto la demanda coteja el tenor del art. 101 TFUE y el del art. 1 LDC. No se vulneró por el laudo el principio de primacía, sigue diciendo la entidad recurrente, sino que opera la “interpretación conforme del Derecho nacional con el ordenamiento jurídico de la Unión”, salvo que en aplicación de todas las técnicas hermenéuticas se llegara a un resultado contrario al tenor literal de la norma nacional (se cita la STJUE de 16 de junio de 2005, asunto C-105/03, </w:t>
      </w:r>
      <w:r w:rsidRPr="003754FE">
        <w:rPr>
          <w:i/>
        </w:rPr>
        <w:t>Pupino</w:t>
      </w:r>
      <w:r>
        <w:t>, § 44 y 47), lo que no ha sucedido en este caso.</w:t>
      </w:r>
    </w:p>
    <w:p w14:paraId="5699B757" w14:textId="77777777" w:rsidR="003754FE" w:rsidRDefault="003754FE" w:rsidP="003754FE">
      <w:pPr>
        <w:pStyle w:val="TextoNormal"/>
      </w:pPr>
    </w:p>
    <w:p w14:paraId="6A3BB59E" w14:textId="77777777" w:rsidR="003754FE" w:rsidRDefault="003754FE" w:rsidP="003754FE">
      <w:pPr>
        <w:pStyle w:val="TextoNormal"/>
      </w:pPr>
      <w:r>
        <w:t>b) La Sala referida “no respeta el canon de control constitucional de la acción de anulación cuando aplica la jurisprudencia del Tribunal Constitucional relativa al principio de primacía del Derecho de la Unión Europea y el artículo 24 CE”:</w:t>
      </w:r>
    </w:p>
    <w:p w14:paraId="71BDDA94" w14:textId="77777777" w:rsidR="003754FE" w:rsidRDefault="003754FE" w:rsidP="003754FE">
      <w:pPr>
        <w:pStyle w:val="TextoNormal"/>
      </w:pPr>
    </w:p>
    <w:p w14:paraId="21130E19" w14:textId="77777777" w:rsidR="003754FE" w:rsidRDefault="003754FE" w:rsidP="003754FE">
      <w:pPr>
        <w:pStyle w:val="TextoNormal"/>
      </w:pPr>
      <w:r>
        <w:t>En una primera reflexión, la demanda afirma que la Sala incluye en sus resoluciones la cita de doctrina constitucional sobre el derecho fundamental a la tutela judicial efectiva y su supuesta aplicación al ámbito del arbitraje (en concreto la Sala cita las SSTC 232/2015, de 5 de noviembre; 148/2016, de 19 de septiembre; 206/2016, 207/2016, 208/2016 y 209/2016, de 12 de diciembre; 218/2016, 221/2016 y 223/2016, de 19 de diciembre, y 3/2017 y 4/2017, de 16 de enero), ignorando sin embargo al hacerlo el mandato de este Tribunal Constitucional relativo a que el arbitraje se asienta en los artículos 1 y 10 CE y no en el artículo 24 CE (con cita, en apoyo de este último aserto, de las SSTC 9/2005, de 17 de enero, FJ 5; 17/2021, FJ 2, y 65/2021, FFJJ 4 y 5). Se refiere después a pasajes de la sentencia recurrida que achacan al laudo arbitral la vulneración del principio de primacía del Derecho de la Unión Europea, lo que además, conforme al auto posterior que desestima el incidente de nulidad supondría una infracción del art. 24.1 CE. De todas las sentencias de este Tribunal Constitucional que trae a colación la misma Sala, advierte la demanda, solo dos se refieren al principio de primacía (las SSTC 232/2015 y 148/2016); la mayoría restante no, lo que revela un “uso poco serio de la jurisprudencia” constitucional, ignorando a la par aquella que sí le resultaba directamente aplicable (la de las SSTC 46/2020, 17/2021, 55/2021 y 65/2021). En todo caso tampoco las dos sentencias antes citadas resultan relevantes, ambas referidas al planteamiento de cuestiones prejudiciales ante el Tribunal de Justicia de la Unión Europea, pues como ya se ha dicho el arbitraje queda al margen del art. 24 CE, conforme también a la doctrina de este tribunal, y porque además en ellas se plantean supuestos de incompatibilidad entre el Derecho nacional y el de la Unión Europea, lo que aquí no sucede.</w:t>
      </w:r>
    </w:p>
    <w:p w14:paraId="5D2B3DEC" w14:textId="77777777" w:rsidR="003754FE" w:rsidRDefault="003754FE" w:rsidP="003754FE">
      <w:pPr>
        <w:pStyle w:val="TextoNormal"/>
      </w:pPr>
    </w:p>
    <w:p w14:paraId="588AD702" w14:textId="77777777" w:rsidR="003754FE" w:rsidRDefault="003754FE" w:rsidP="003754FE">
      <w:pPr>
        <w:pStyle w:val="TextoNormal"/>
      </w:pPr>
      <w:r>
        <w:t>c) La Sala “ha llevado a cabo una interpretación extensiva del orden público presuntamente justificada en la jurisprudencia del Tribunal de Justicia en el asunt</w:t>
      </w:r>
      <w:r w:rsidRPr="003754FE">
        <w:rPr>
          <w:i/>
        </w:rPr>
        <w:t>o Eco Swi</w:t>
      </w:r>
      <w:r>
        <w:t>ss”:</w:t>
      </w:r>
    </w:p>
    <w:p w14:paraId="5364B12A" w14:textId="77777777" w:rsidR="003754FE" w:rsidRDefault="003754FE" w:rsidP="003754FE">
      <w:pPr>
        <w:pStyle w:val="TextoNormal"/>
      </w:pPr>
    </w:p>
    <w:p w14:paraId="18AB9C4B" w14:textId="77777777" w:rsidR="003754FE" w:rsidRDefault="003754FE" w:rsidP="003754FE">
      <w:pPr>
        <w:pStyle w:val="TextoNormal"/>
      </w:pPr>
      <w:r>
        <w:t>Aclara de entrada el escrito de demanda a este respecto, que el Tribunal de Justicia de la Unión Europea, en el asunto “</w:t>
      </w:r>
      <w:r w:rsidRPr="003754FE">
        <w:rPr>
          <w:i/>
        </w:rPr>
        <w:t>Eco Swiss</w:t>
      </w:r>
      <w:r>
        <w:t xml:space="preserve"> se limitó a declarar que la prohibición de determinadas conductas en el artículo 101 TFUE actual (antiguo 85 TCE) debía considerarse orden público”. Las consideraciones que, no obstante, vierte la Sala del Tribunal Superior de Justicia en el auto desestimatorio del incidente de nulidad sobre esa sentencia del Alto Tribunal europeo, suponen tergiversar esta última, motivo por el cual pasa la demanda a realizar su propio análisis de ella. Más adelante observa el escrito de la recurrente que el laudo definitivo, a diferencia de lo que sostiene la Sala autora de las resoluciones impugnadas, sí aplicó </w:t>
      </w:r>
      <w:r>
        <w:lastRenderedPageBreak/>
        <w:t>las causas de nulidad del art. 101 TFUE porque estas tienen una redacción “casi idéntica” a la del art. 1 LDC, alcanzando sin embargo la Sala resultado contrario al del laudo.</w:t>
      </w:r>
    </w:p>
    <w:p w14:paraId="759234CF" w14:textId="77777777" w:rsidR="003754FE" w:rsidRDefault="003754FE" w:rsidP="003754FE">
      <w:pPr>
        <w:pStyle w:val="TextoNormal"/>
      </w:pPr>
    </w:p>
    <w:p w14:paraId="7BDA0681" w14:textId="77777777" w:rsidR="003754FE" w:rsidRDefault="003754FE" w:rsidP="003754FE">
      <w:pPr>
        <w:pStyle w:val="TextoNormal"/>
      </w:pPr>
      <w:r>
        <w:t>d) El órgano judicial “se ha introducido en la revisión del fondo del asunto y lleva a cabo un enjuiciamiento paralelo al realizado por el tribunal arbitral”:</w:t>
      </w:r>
    </w:p>
    <w:p w14:paraId="70ACF90F" w14:textId="77777777" w:rsidR="003754FE" w:rsidRDefault="003754FE" w:rsidP="003754FE">
      <w:pPr>
        <w:pStyle w:val="TextoNormal"/>
      </w:pPr>
    </w:p>
    <w:p w14:paraId="26AB7532" w14:textId="77777777" w:rsidR="003754FE" w:rsidRDefault="003754FE" w:rsidP="003754FE">
      <w:pPr>
        <w:pStyle w:val="TextoNormal"/>
      </w:pPr>
      <w:r>
        <w:t xml:space="preserve">Se ataca la sentencia del Tribunal Superior de Justicia rescatando más argumentos del previo escrito de nulidad de actuaciones, como el de ser dicha resolución una “verdadera enmienda” a la doctrina constitucional en cuanto al alcance del control de fondo de ese órgano judicial en materia de acción de anulación de laudos arbitrales, postulando la Sala la “plenitud de la revisión […] respecto de la motivación </w:t>
      </w:r>
      <w:r w:rsidRPr="003754FE">
        <w:rPr>
          <w:i/>
        </w:rPr>
        <w:t>in iure</w:t>
      </w:r>
      <w:r>
        <w:t xml:space="preserve"> del laudo cuando aparecen concernidas normas imperativas de defensa de la competencia”; e imputa a la sentencia haber realizado una implícita crítica a la jurisprudencia constitucional —a propósito de recoger un comentario de doctrina científica—. Para la recurrente, en línea con lo opinado en el voto particular del presidente de la Sala, la sentencia mayoritaria ha entrado en el fondo y contradicho así la doctrina de este Tribunal Constitucional, haciendo una lectura alternativa a la del laudo sobre los pactos restrictivos de la competencia por su objeto, y aplicando el art. 101 TFUE y sentencias del Tribunal de Justicia de la Unión Europea.</w:t>
      </w:r>
    </w:p>
    <w:p w14:paraId="2F451DCB" w14:textId="77777777" w:rsidR="003754FE" w:rsidRDefault="003754FE" w:rsidP="003754FE">
      <w:pPr>
        <w:pStyle w:val="TextoNormal"/>
      </w:pPr>
    </w:p>
    <w:p w14:paraId="30720F30" w14:textId="77777777" w:rsidR="003754FE" w:rsidRDefault="003754FE" w:rsidP="003754FE">
      <w:pPr>
        <w:pStyle w:val="TextoNormal"/>
      </w:pPr>
      <w:r>
        <w:t>Finaliza sus consideraciones la demanda haciendo referencia “al mayor reto que la mayoría de la Sala del Tribunal Superior de Justicia de Madrid lanza al Tribunal Constitucional en el auto de 11 de enero de 2022 desestimatorio del incidente de nulidad de actuaciones”, como es la afirmación de un derecho de la Sala en cuestión a la “discrepancia razonada, inherente a la independencia judicial” lo que, según la recurrente, supone reconocer por los magistrados de la mayoría que su sentencia conculca dicha doctrina constitucional; y que al hablar además aquella Sala —en el auto desestimatorio de la nulidad— del carácter evolutivo y cambiante de la jurisprudencia constitucional, parece querer indicarle a este tribunal que debe cambiarla y así permitir a la Sala de lo Civil y Penal “persistir en su flagrante vulneración del artículo 24.1 CE”.</w:t>
      </w:r>
    </w:p>
    <w:p w14:paraId="5B181629" w14:textId="77777777" w:rsidR="003754FE" w:rsidRDefault="003754FE" w:rsidP="003754FE">
      <w:pPr>
        <w:pStyle w:val="TextoNormal"/>
      </w:pPr>
    </w:p>
    <w:p w14:paraId="7E46034C" w14:textId="77777777" w:rsidR="003754FE" w:rsidRDefault="003754FE" w:rsidP="003754FE">
      <w:pPr>
        <w:pStyle w:val="TextoNormal"/>
      </w:pPr>
      <w:r>
        <w:t>B) Suplico</w:t>
      </w:r>
    </w:p>
    <w:p w14:paraId="2328B7E7" w14:textId="77777777" w:rsidR="003754FE" w:rsidRDefault="003754FE" w:rsidP="003754FE">
      <w:pPr>
        <w:pStyle w:val="TextoNormal"/>
      </w:pPr>
    </w:p>
    <w:p w14:paraId="5722C4B5" w14:textId="77777777" w:rsidR="003754FE" w:rsidRDefault="003754FE" w:rsidP="003754FE">
      <w:pPr>
        <w:pStyle w:val="TextoNormal"/>
      </w:pPr>
      <w:r>
        <w:t>El escrito de demanda solicitó que este tribunal dictase sentencia otorgando el amparo pretendido, reconociendo el derecho fundamental violado, con nulidad de las dos resoluciones impugnadas y la retroacción de las actuaciones “al momento anterior al dictado de la sentencia 66/2021 para que por el órgano judicial se resuelva de forma respetuosa con los derechos fundamentales vulnerados”.</w:t>
      </w:r>
    </w:p>
    <w:p w14:paraId="377F7ED3" w14:textId="77777777" w:rsidR="003754FE" w:rsidRDefault="003754FE" w:rsidP="003754FE">
      <w:pPr>
        <w:pStyle w:val="TextoNormal"/>
      </w:pPr>
    </w:p>
    <w:p w14:paraId="47B04B09" w14:textId="77777777" w:rsidR="003754FE" w:rsidRDefault="003754FE" w:rsidP="003754FE">
      <w:pPr>
        <w:pStyle w:val="TextoNormal"/>
      </w:pPr>
      <w:r>
        <w:t>C) Petición de la medida de suspensión de las resoluciones judiciales impugnadas</w:t>
      </w:r>
    </w:p>
    <w:p w14:paraId="6E45487B" w14:textId="77777777" w:rsidR="003754FE" w:rsidRDefault="003754FE" w:rsidP="003754FE">
      <w:pPr>
        <w:pStyle w:val="TextoNormal"/>
      </w:pPr>
    </w:p>
    <w:p w14:paraId="78DB4D7D" w14:textId="77777777" w:rsidR="003754FE" w:rsidRDefault="003754FE" w:rsidP="003754FE">
      <w:pPr>
        <w:pStyle w:val="TextoNormal"/>
      </w:pPr>
      <w:r>
        <w:t>Por medio de otrosí, en el propio escrito de demanda, la mercantil recurrente solicitó que se acordara la suspensión de la sentencia y el auto de nulidad atacados, mientras se tramitara este proceso de amparo.</w:t>
      </w:r>
    </w:p>
    <w:p w14:paraId="66C40767" w14:textId="77777777" w:rsidR="003754FE" w:rsidRDefault="003754FE" w:rsidP="003754FE">
      <w:pPr>
        <w:pStyle w:val="TextoNormal"/>
      </w:pPr>
    </w:p>
    <w:p w14:paraId="4A567545" w14:textId="4B4EC5E1" w:rsidR="003754FE" w:rsidRDefault="003754FE" w:rsidP="003754FE">
      <w:pPr>
        <w:pStyle w:val="TextoNormal"/>
      </w:pPr>
      <w:r>
        <w:t xml:space="preserve">D) El 20 de febrero de 2023 el representante procesal de la entidad recurrente presentó en el registro de este tribunal un escrito de manifestaciones reiterando que el recurso tiene especial trascendencia constitucional e informando de los perjuicios que a dicha mercantil </w:t>
      </w:r>
      <w:r>
        <w:lastRenderedPageBreak/>
        <w:t>se le ocasionaban con la apertura de un nuevo procedimiento de arbitraje, acordada tras haber sido anulado el laudo ya dictado por la sentencia que se impugna.</w:t>
      </w:r>
    </w:p>
    <w:p w14:paraId="28CECE93" w14:textId="77777777" w:rsidR="003754FE" w:rsidRDefault="003754FE" w:rsidP="003754FE">
      <w:pPr>
        <w:pStyle w:val="TextoNormal"/>
      </w:pPr>
    </w:p>
    <w:p w14:paraId="0E69D987" w14:textId="36489C2A" w:rsidR="003754FE" w:rsidRDefault="003754FE" w:rsidP="003754FE">
      <w:pPr>
        <w:pStyle w:val="TextoNormal"/>
      </w:pPr>
      <w:r w:rsidRPr="003754FE">
        <w:rPr>
          <w:rStyle w:val="NumeroAFNegritaCaracter"/>
        </w:rPr>
        <w:t>4</w:t>
      </w:r>
      <w:r>
        <w:t>. La Secretaría de Justicia de la Sección Segunda de este tribunal, dictó diligencia el 12 de abril de 2023 para hacer constar que “en virtud del acuerdo adoptado por el Pleno del Tribunal Constitucional el día 17 de enero de 2023, publicado en el ‘BOE’ de 19 de enero, el presente recurso de amparo ha sido turnado a la Sección Segunda de la Sala Primera del Tribunal Constitucional, lo que se pone en conocimiento de las partes y del Ministerio Fiscal a los efectos oportunos”.</w:t>
      </w:r>
    </w:p>
    <w:p w14:paraId="62956D16" w14:textId="77777777" w:rsidR="003754FE" w:rsidRDefault="003754FE" w:rsidP="003754FE">
      <w:pPr>
        <w:pStyle w:val="TextoNormal"/>
      </w:pPr>
    </w:p>
    <w:p w14:paraId="62F53D64" w14:textId="77777777" w:rsidR="003754FE" w:rsidRDefault="003754FE" w:rsidP="003754FE">
      <w:pPr>
        <w:pStyle w:val="TextoNormal"/>
      </w:pPr>
      <w:r w:rsidRPr="003754FE">
        <w:rPr>
          <w:rStyle w:val="NumeroAFNegritaCaracter"/>
        </w:rPr>
        <w:t>5</w:t>
      </w:r>
      <w:r>
        <w:t xml:space="preserve">. La Sección Segunda de este tribunal dictó providencia el 22 de mayo de 2023, del siguiente tenor: </w:t>
      </w:r>
    </w:p>
    <w:p w14:paraId="5B55D199" w14:textId="77777777" w:rsidR="003754FE" w:rsidRDefault="003754FE" w:rsidP="003754FE">
      <w:pPr>
        <w:pStyle w:val="TextoNormal"/>
      </w:pPr>
    </w:p>
    <w:p w14:paraId="46A83540" w14:textId="77777777" w:rsidR="003754FE" w:rsidRDefault="003754FE" w:rsidP="003754FE">
      <w:pPr>
        <w:pStyle w:val="TextoNormal"/>
      </w:pPr>
      <w:r>
        <w:t>“La Sección Segunda ha examinado el recurso de amparo y ha acordado admitirlo a trámite, apreciando que concurre en el mismo una especial trascendencia constitucional (art. 50.1 LOTC) porque el recurso puede dar ocasión al Tribunal para aclarar o cambiar su doctrina, como consecuencia de un proceso de reflexión interna [STC 155/2009, FJ 2, b)] y el órgano judicial pudiera haber incurrido en una negativa manifiesta del deber de acatamiento de la doctrina de este tribunal [STC 155/2009, FJ 2 f)].</w:t>
      </w:r>
    </w:p>
    <w:p w14:paraId="7A1BFA70" w14:textId="77777777" w:rsidR="003754FE" w:rsidRDefault="003754FE" w:rsidP="003754FE">
      <w:pPr>
        <w:pStyle w:val="TextoNormal"/>
      </w:pPr>
    </w:p>
    <w:p w14:paraId="033C0B2D" w14:textId="77777777" w:rsidR="003754FE" w:rsidRDefault="003754FE" w:rsidP="003754FE">
      <w:pPr>
        <w:pStyle w:val="TextoNormal"/>
      </w:pPr>
      <w:r>
        <w:t>Por ello, en aplicación de lo dispuesto en el art. 51 LOTC, diríjase atenta comunicación a la Sala de lo Civil y Penal del Tribunal Superior de Justicia de Madrid a fin de que, en el plazo que no exceda de diez días, remita certificación o fotocopia adverada de las actuaciones correspondientes al procedimiento asunto civil 24-2021 dimanante del procedimiento de laudo arbitral 17-2021; debiendo previamente emplazarse, para que en el plazo de diez días puedan comparecer, si lo desean, en el recurso de amparo a quienes hubieran sido parte en el procedimiento, excepto la parte recurrente en amparo.</w:t>
      </w:r>
    </w:p>
    <w:p w14:paraId="646EE10B" w14:textId="77777777" w:rsidR="003754FE" w:rsidRDefault="003754FE" w:rsidP="003754FE">
      <w:pPr>
        <w:pStyle w:val="TextoNormal"/>
      </w:pPr>
    </w:p>
    <w:p w14:paraId="63142EE0" w14:textId="30DD7CB8" w:rsidR="003754FE" w:rsidRDefault="003754FE" w:rsidP="003754FE">
      <w:pPr>
        <w:pStyle w:val="TextoNormal"/>
      </w:pPr>
      <w:r>
        <w:t>De conformidad con la solicitud de la parte actora, fórmese la correspondiente pieza separada de suspensión”.</w:t>
      </w:r>
    </w:p>
    <w:p w14:paraId="5E9E6B43" w14:textId="77777777" w:rsidR="003754FE" w:rsidRDefault="003754FE" w:rsidP="003754FE">
      <w:pPr>
        <w:pStyle w:val="TextoNormal"/>
      </w:pPr>
    </w:p>
    <w:p w14:paraId="7EF72B7C" w14:textId="77777777" w:rsidR="003754FE" w:rsidRDefault="003754FE" w:rsidP="003754FE">
      <w:pPr>
        <w:pStyle w:val="TextoNormal"/>
      </w:pPr>
      <w:r w:rsidRPr="003754FE">
        <w:rPr>
          <w:rStyle w:val="NumeroAFNegritaCaracter"/>
        </w:rPr>
        <w:t>6</w:t>
      </w:r>
      <w:r>
        <w:t>. Por nueva providencia dictada por la Sección Segunda de este tribunal en la misma fecha —22 de mayo de 2023—, se dispuso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en relación con la petición de suspensión interesada”.</w:t>
      </w:r>
    </w:p>
    <w:p w14:paraId="621C13FF" w14:textId="77777777" w:rsidR="003754FE" w:rsidRDefault="003754FE" w:rsidP="003754FE">
      <w:pPr>
        <w:pStyle w:val="TextoNormal"/>
      </w:pPr>
    </w:p>
    <w:p w14:paraId="7057E272" w14:textId="0411A779" w:rsidR="003754FE" w:rsidRDefault="003754FE" w:rsidP="003754FE">
      <w:pPr>
        <w:pStyle w:val="TextoNormal"/>
      </w:pPr>
      <w:r>
        <w:t>Presentado escrito de alegaciones en la pieza únicamente por el fiscal ante este tribunal, en el que defendió que no procedía acordar la suspensión solicitada, la Sala Primera del Tribunal dictó el ATC 334/2023, de 3 de julio, denegando la medida cautelar.</w:t>
      </w:r>
    </w:p>
    <w:p w14:paraId="5D18A85B" w14:textId="77777777" w:rsidR="003754FE" w:rsidRDefault="003754FE" w:rsidP="003754FE">
      <w:pPr>
        <w:pStyle w:val="TextoNormal"/>
      </w:pPr>
    </w:p>
    <w:p w14:paraId="0871A805" w14:textId="5273E558" w:rsidR="003754FE" w:rsidRDefault="003754FE" w:rsidP="003754FE">
      <w:pPr>
        <w:pStyle w:val="TextoNormal"/>
      </w:pPr>
      <w:r w:rsidRPr="003754FE">
        <w:rPr>
          <w:rStyle w:val="NumeroAFNegritaCaracter"/>
        </w:rPr>
        <w:t>7</w:t>
      </w:r>
      <w:r>
        <w:t>. El procurador de los tribunales don Ignacio López Chocarro, actuando en representación de la entidad Maxi Mobility Spain, S.L.U. (Cabify España, S.L.), defendida por los abogados don Jesús Remón Peñalver y don Manuel Vélez Fraga, presentó un escrito el 23 de junio de 2023 por el que manifestó comparecer y personarse en nombre de su poderdante, y solicitó que se tenga a dicha entidad por personada “en calidad de demandada”.</w:t>
      </w:r>
    </w:p>
    <w:p w14:paraId="7C59C296" w14:textId="77777777" w:rsidR="003754FE" w:rsidRDefault="003754FE" w:rsidP="003754FE">
      <w:pPr>
        <w:pStyle w:val="TextoNormal"/>
      </w:pPr>
    </w:p>
    <w:p w14:paraId="60F3D5BC" w14:textId="60587461" w:rsidR="003754FE" w:rsidRDefault="003754FE" w:rsidP="003754FE">
      <w:pPr>
        <w:pStyle w:val="TextoNormal"/>
      </w:pPr>
      <w:r w:rsidRPr="003754FE">
        <w:rPr>
          <w:rStyle w:val="NumeroAFNegritaCaracter"/>
        </w:rPr>
        <w:t>8</w:t>
      </w:r>
      <w:r>
        <w:t>. El 26 de junio de 2023, la Secretaría de Justicia de la Sala Primera de este tribunal dictó diligencia de ordenación por la que, de un lado, decidió tener por personado y parte al procurador don Ignacio López Chocarro en nombre y representación de Maxi Mobility Spain, S.L.U. (Cabify España, S.L.), y de otro lado acordó dar vista de las actuaciones a las partes personadas y al Ministerio Fiscal, por plazo común de veinte días, a fin de que pudieran presentar las alegaciones que estimasen pertinentes conforme a lo previsto en el art. 52 LOTC.</w:t>
      </w:r>
    </w:p>
    <w:p w14:paraId="09075FAD" w14:textId="77777777" w:rsidR="003754FE" w:rsidRDefault="003754FE" w:rsidP="003754FE">
      <w:pPr>
        <w:pStyle w:val="TextoNormal"/>
      </w:pPr>
    </w:p>
    <w:p w14:paraId="53203CAA" w14:textId="77777777" w:rsidR="003754FE" w:rsidRDefault="003754FE" w:rsidP="003754FE">
      <w:pPr>
        <w:pStyle w:val="TextoNormal"/>
      </w:pPr>
      <w:r w:rsidRPr="003754FE">
        <w:rPr>
          <w:rStyle w:val="NumeroAFNegritaCaracter"/>
        </w:rPr>
        <w:t>9</w:t>
      </w:r>
      <w:r>
        <w:t>. El representante procesal de Cabify presentó escrito de alegaciones el 25 de julio de 2023, por el que interesó que se desestimase el recurso interpuesto por Auro New Transport Concept, S.L.</w:t>
      </w:r>
    </w:p>
    <w:p w14:paraId="7B64D49D" w14:textId="77777777" w:rsidR="003754FE" w:rsidRDefault="003754FE" w:rsidP="003754FE">
      <w:pPr>
        <w:pStyle w:val="TextoNormal"/>
      </w:pPr>
    </w:p>
    <w:p w14:paraId="0B848963" w14:textId="77777777" w:rsidR="003754FE" w:rsidRDefault="003754FE" w:rsidP="003754FE">
      <w:pPr>
        <w:pStyle w:val="TextoNormal"/>
      </w:pPr>
      <w:r>
        <w:t xml:space="preserve">Ante todo, la entidad personada recuerda qué es lo que plantea en esencia la demanda de amparo en relación a las resoluciones impugnadas, discrepando de este planteamiento pues en opinión de aquella la Sala de lo Civil y Penal del Tribunal Superior de Justicia de Madrid se atuvo a la jurisprudencia constitucional en cuanto al control de un laudo arbitral por supuesta infracción del orden público a través de la acción de anulación. Afirma que este Tribunal Constitucional “no ha podido fijar una doctrina explícita: la relativa a la crucial incidencia que, en la definición del orden público, tiene el control de la recta aplicación del Derecho de la Unión Europea en materias tan relevantes como la aplicación del artículo 101 del Tratado de funcionamiento de la Unión Europea (‘TFUE’). […] sí ha de considerarse que la correcta selección del artículo 101 TFUE como norma aplicable ha de formar parte del orden público según ha declarado, por todas, la sentencia del Tribunal de Justicia de las Comunidades Europeas de 1 de junio de 1999 (asunto C-126/97, </w:t>
      </w:r>
      <w:r w:rsidRPr="003754FE">
        <w:rPr>
          <w:i/>
        </w:rPr>
        <w:t>Eco Swiss c. Benetton</w:t>
      </w:r>
      <w:r>
        <w:t>, […])”. Y añade que las resoluciones impugnadas han establecido que el laudo dictado incurrió en “error patente y manifiesto en cuanto a la determinación de la aplicabilidad del Derecho de la Unión”, al asimilar de manera errónea la noción de “mercado relevante” con la de “afectación al comercio comunitario”, pues según las directrices de la Comisión Europea relativas al concepto de efecto sobre el comercio contenido en los artículos 81 y 82 del Tratado, el comercio entre Estados también puede verse afectado en caso de que el mercado pertinente sea nacional o subnacional.</w:t>
      </w:r>
    </w:p>
    <w:p w14:paraId="290D2FAB" w14:textId="77777777" w:rsidR="003754FE" w:rsidRDefault="003754FE" w:rsidP="003754FE">
      <w:pPr>
        <w:pStyle w:val="TextoNormal"/>
      </w:pPr>
    </w:p>
    <w:p w14:paraId="2745773E" w14:textId="77777777" w:rsidR="003754FE" w:rsidRDefault="003754FE" w:rsidP="003754FE">
      <w:pPr>
        <w:pStyle w:val="TextoNormal"/>
      </w:pPr>
      <w:r>
        <w:t xml:space="preserve">Cita después jurisprudencia del Tribunal de Justicia de la Unión Europea y se centra luego en la doctrina dictada por este Tribunal Constitucional en cuanto a los límites del control judicial del laudo arbitral en la acción de anulación por conculcar el orden público, </w:t>
      </w:r>
      <w:r w:rsidRPr="003754FE">
        <w:rPr>
          <w:i/>
        </w:rPr>
        <w:t>ex</w:t>
      </w:r>
      <w:r>
        <w:t xml:space="preserve"> art. 41.1 f) de la Ley 60/2003, de arbitraje, identificando varias de las sentencias pronunciadas al respecto. Entiende así la entidad personada que la Sala de lo Civil y Penal ha respetado la función de control externo que le asigna esta doctrina, como revela que el auto que desestima el incidente de nulidad de actuaciones contra la sentencia previa afirme que la Sala en ningún momento ha prejuzgado el resultado de la controversia, de haberse aplicado el Derecho de la Unión. Las resoluciones impugnadas, por tanto —sigue diciendo el escrito de alegaciones—, no han entrado en el fondo del asunto ni han declarado si la cláusula en litigio era válida o no. Sosteniendo que la sentencia de anulación solo rebate la afirmación del laudo en su apartado 293 de que el art. 101 TFUE no sería aplicable, incurriendo así en un “error patente manifiesto” al desplazar una norma de orden público y convertir la motivación del laudo en “meramente aparente”. Destaca el escrito aquellos pasajes de la sentencia que aluden a la doctrina constitucional en la materia, y cree “fuera de contexto” </w:t>
      </w:r>
      <w:r>
        <w:lastRenderedPageBreak/>
        <w:t>la crítica de la demandante de amparo a la expresión “discrepancia razonada” contenida en el auto que rechaza el incidente de nulidad de actuaciones, el cual se reafirma en el acatamiento de la doctrina constitucional.</w:t>
      </w:r>
    </w:p>
    <w:p w14:paraId="1D5D0416" w14:textId="77777777" w:rsidR="003754FE" w:rsidRDefault="003754FE" w:rsidP="003754FE">
      <w:pPr>
        <w:pStyle w:val="TextoNormal"/>
      </w:pPr>
    </w:p>
    <w:p w14:paraId="4F936CF2" w14:textId="77777777" w:rsidR="003754FE" w:rsidRDefault="003754FE" w:rsidP="003754FE">
      <w:pPr>
        <w:pStyle w:val="TextoNormal"/>
      </w:pPr>
      <w:r>
        <w:t xml:space="preserve">Prosigue el escrito comentando la sentencia </w:t>
      </w:r>
      <w:r w:rsidRPr="003754FE">
        <w:rPr>
          <w:i/>
        </w:rPr>
        <w:t>Eco Swiss</w:t>
      </w:r>
      <w:r>
        <w:t xml:space="preserve">, que vendría a ser confirmada por las SSTJUE de 7 de julio de 2016, asunto C-567/14, </w:t>
      </w:r>
      <w:r w:rsidRPr="003754FE">
        <w:rPr>
          <w:i/>
        </w:rPr>
        <w:t>Genentech Inc. c. Hoechst</w:t>
      </w:r>
      <w:r>
        <w:t xml:space="preserve"> </w:t>
      </w:r>
      <w:r w:rsidRPr="003754FE">
        <w:rPr>
          <w:i/>
        </w:rPr>
        <w:t>Gmbh y Sanofi-Aventis Deutschland Gmbh</w:t>
      </w:r>
      <w:r>
        <w:t xml:space="preserve">, y de 6 de marzo de 2018, asunto C-284/16, </w:t>
      </w:r>
      <w:r w:rsidRPr="003754FE">
        <w:rPr>
          <w:i/>
        </w:rPr>
        <w:t>Achmea</w:t>
      </w:r>
      <w:r>
        <w:t>, de las que extrae la conclusión de que las resoluciones impugnadas no han ensanchado el concepto de orden público. Cita a continuación la STC 37/2019, de 26 de marzo, FJ 4 —con reseña de otras anteriores—, en la que se declara que el desconocimiento y preterición de una norma del Derecho de la Unión Europea, como ha sido interpretada por el Tribunal de Justicia de la Unión, puede suponer una “selección irrazonable y arbitraria de una norma aplicable al proceso”, con vulneración del derecho a la tutela judicial efectiva (art. 24.1 CE). Profundiza en la diferencia que encuentra entre los conceptos de mercado relevante y afectación al comercio entre los Estados miembros, invocando de nuevo las directrices de la Comisión Europea sobre los arts. 81 y 82 del Tratado (hoy arts. 101 y 102 TFUE), y añade que conforme con el art. 3 del Reglamento (CE) 1/2003, del Consejo, de 16 de diciembre de 2002, relativo a la aplicación de las normas sobre competencia previstas en los artículos 81 y 82 del Tratado, la aplicación del Derecho nacional no puede determinar la prohibición de conductas no prohibidas por el artículo 101 TFUE cuando exista una afectación al comercio intracomunitario.</w:t>
      </w:r>
    </w:p>
    <w:p w14:paraId="2BD6A946" w14:textId="77777777" w:rsidR="003754FE" w:rsidRDefault="003754FE" w:rsidP="003754FE">
      <w:pPr>
        <w:pStyle w:val="TextoNormal"/>
      </w:pPr>
    </w:p>
    <w:p w14:paraId="1C667D7C" w14:textId="479E3C59" w:rsidR="003754FE" w:rsidRDefault="003754FE" w:rsidP="003754FE">
      <w:pPr>
        <w:pStyle w:val="TextoNormal"/>
      </w:pPr>
      <w:r>
        <w:t>Más adelante sostiene que la doctrina constitucional refiere que la motivación de las resoluciones arbitrales no ha de incurrir en “irrazonabilidad, arbitrariedad o error patente” (cita la STC 17/2021), lo que adquiere “una dimensión particularmente intensa cuando deja de aplicarse una norma sustantiva perteneciente al orden público socioeconómico europeo, como es el art. 101 TFUE”, convirtiendo la motivación del laudo aquí dictado en “solo aparente”; no ha habido control de fondo, sino externo, del Tribunal Superior de Justicia de Madrid. Se ocupa luego el escrito de detallar pasajes de las sentencias dictadas por este Tribunal Constitucional sobre el control de orden público de los laudos arbitrales, aludiendo al orden público material y procesal, siendo del primer tipo el art. 101 TFUE, y del segundo la constatación judicial de que el laudo tiene motivación solo aparente, citando entre otras la STC 17/2021, FFJJ 2 y 3, sobre el deber de motivación de dichas resoluciones, lo que no comprende, y cuándo un laudo ha de considerarse irrazonable, como a su parecer sería este caso. El resto del escrito continúa detallando las afirmaciones que ya se han recogido en este resumen, añadiendo la cita de las SSTC 148/2016, de 19 de septiembre, FJ 5, y 75/2017, de 19 de junio, FJ 2, sobre el control judicial del principio de primacía del Derecho de la Unión Europea, el cual habría sido correctamente ejercitado a su juicio por las resoluciones impugnadas en este amparo.</w:t>
      </w:r>
    </w:p>
    <w:p w14:paraId="29A185C0" w14:textId="77777777" w:rsidR="003754FE" w:rsidRDefault="003754FE" w:rsidP="003754FE">
      <w:pPr>
        <w:pStyle w:val="TextoNormal"/>
      </w:pPr>
    </w:p>
    <w:p w14:paraId="1E38DF3C" w14:textId="77777777" w:rsidR="003754FE" w:rsidRDefault="003754FE" w:rsidP="003754FE">
      <w:pPr>
        <w:pStyle w:val="TextoNormal"/>
      </w:pPr>
      <w:r w:rsidRPr="003754FE">
        <w:rPr>
          <w:rStyle w:val="NumeroAFNegritaCaracter"/>
        </w:rPr>
        <w:t>10</w:t>
      </w:r>
      <w:r>
        <w:t>. El 6 de septiembre de 2023 el fiscal ante este tribunal presentó su escrito de alegaciones por el que interesó se dictara sentencia con los siguientes pronunciamientos:</w:t>
      </w:r>
    </w:p>
    <w:p w14:paraId="43A2666D" w14:textId="77777777" w:rsidR="003754FE" w:rsidRDefault="003754FE" w:rsidP="003754FE">
      <w:pPr>
        <w:pStyle w:val="TextoNormal"/>
      </w:pPr>
    </w:p>
    <w:p w14:paraId="2D1A1802" w14:textId="77777777" w:rsidR="003754FE" w:rsidRDefault="003754FE" w:rsidP="003754FE">
      <w:pPr>
        <w:pStyle w:val="TextoNormal"/>
      </w:pPr>
      <w:r>
        <w:t>“1. Otorgar el amparo solicitado por Auro New Transport Concept, S.L., y, en consecuencia:</w:t>
      </w:r>
    </w:p>
    <w:p w14:paraId="77C51237" w14:textId="77777777" w:rsidR="003754FE" w:rsidRDefault="003754FE" w:rsidP="003754FE">
      <w:pPr>
        <w:pStyle w:val="TextoNormal"/>
      </w:pPr>
    </w:p>
    <w:p w14:paraId="0E552CCA" w14:textId="77777777" w:rsidR="003754FE" w:rsidRDefault="003754FE" w:rsidP="003754FE">
      <w:pPr>
        <w:pStyle w:val="TextoNormal"/>
      </w:pPr>
      <w:r>
        <w:t>2. Reconocer que se ha vulnerado su derecho fundamental a la tutela judicial efectiva sin indefensión (art. 24.1 CE), con reconocimiento de tal derecho.</w:t>
      </w:r>
    </w:p>
    <w:p w14:paraId="506893EE" w14:textId="77777777" w:rsidR="003754FE" w:rsidRDefault="003754FE" w:rsidP="003754FE">
      <w:pPr>
        <w:pStyle w:val="TextoNormal"/>
      </w:pPr>
    </w:p>
    <w:p w14:paraId="24B0EB1E" w14:textId="77777777" w:rsidR="003754FE" w:rsidRDefault="003754FE" w:rsidP="003754FE">
      <w:pPr>
        <w:pStyle w:val="TextoNormal"/>
      </w:pPr>
      <w:r>
        <w:t>3. Declarar la nulidad de la sentencia núm. 66/2021, de 22 de octubre, y el auto de 11 de enero de 2022, ambos dictados por la Sala de lo Civil y Penal del Tribunal Superior de Justicia de Madrid, recaídos en el procedimiento de anulación de laudo arbitral núm. 17-2021.</w:t>
      </w:r>
    </w:p>
    <w:p w14:paraId="44BCC188" w14:textId="77777777" w:rsidR="003754FE" w:rsidRDefault="003754FE" w:rsidP="003754FE">
      <w:pPr>
        <w:pStyle w:val="TextoNormal"/>
      </w:pPr>
    </w:p>
    <w:p w14:paraId="10010DBB" w14:textId="77777777" w:rsidR="003754FE" w:rsidRDefault="003754FE" w:rsidP="003754FE">
      <w:pPr>
        <w:pStyle w:val="TextoNormal"/>
      </w:pPr>
      <w:r>
        <w:t>4. Retrotraer las actuaciones al momento anterior al dictado de la primera resolución citada para que se resuelva de forma respetuosa con el derecho fundamental reconocido”.</w:t>
      </w:r>
    </w:p>
    <w:p w14:paraId="0D76C715" w14:textId="77777777" w:rsidR="003754FE" w:rsidRDefault="003754FE" w:rsidP="003754FE">
      <w:pPr>
        <w:pStyle w:val="TextoNormal"/>
      </w:pPr>
    </w:p>
    <w:p w14:paraId="10026452" w14:textId="77777777" w:rsidR="003754FE" w:rsidRDefault="003754FE" w:rsidP="003754FE">
      <w:pPr>
        <w:pStyle w:val="TextoNormal"/>
      </w:pPr>
      <w:r>
        <w:t>En tal sentido, y luego de hacer en los antecedentes de su escrito un resumen del procedimiento arbitral y judicial previo, reproducir pasajes de las resoluciones aquí impugnadas con referencia también a los votos particulares del presidente de la Sala de lo Civil y Penal a la sentencia y al posterior auto de desestimación del incidente de nulidad de actuaciones, realiza el fiscal una síntesis de la demanda de amparo y de la tramitación de este proceso constitucional, delimitando cuál es el objeto del recurso (si las resoluciones impugnadas lesionan el derecho a la tutela judicial de la entidad actora al apreciar que el laudo dictado infringió el orden público) y explicitando que a su parecer no concurre óbice de inadmisibilidad alguno del art. 44 LOTC sobre la demanda (en concreto, que existe un correcto agotamiento de la vía judicial previa; la lesión se denunció oportunamente en el incidente de nulidad de actuaciones; la demanda se presentó en plazo; y la empresa recurrente ostenta legitimación activa para interponer el recurso, al haber sido parte en el procedimiento de arbitraje y en el posterior procedimiento judicial de anulación del laudo), pudiendo abordarse con ello el examen de la cuestión de fondo planteada.</w:t>
      </w:r>
    </w:p>
    <w:p w14:paraId="1950DC2E" w14:textId="77777777" w:rsidR="003754FE" w:rsidRDefault="003754FE" w:rsidP="003754FE">
      <w:pPr>
        <w:pStyle w:val="TextoNormal"/>
      </w:pPr>
    </w:p>
    <w:p w14:paraId="21F8D478" w14:textId="77777777" w:rsidR="003754FE" w:rsidRDefault="003754FE" w:rsidP="003754FE">
      <w:pPr>
        <w:pStyle w:val="TextoNormal"/>
      </w:pPr>
      <w:r>
        <w:t>Con este último propósito procede el fiscal a recapitular la doctrina sentada por este tribunal en materia de control de orden público del art. 41.1 f) de la Ley de arbitraje en el recurso de anulación contra laudos arbitrales, a la vista de varias resoluciones adoptadas por la Sala de lo Civil y Penal del Tribunal Superior de Justicia de Madrid y que han merecido en todos los casos la estimación de las correspondientes demandas de amparo, con cita de la STC 79/2022, de 27 de junio, FJ 2, —en la que se mencionan otras sentencias anteriores— acerca de la importancia de la institución del arbitraje como mecanismo heterónomo de resolución de conflictos, los límites del control judicial sobre el laudo en el marco de la acción de anulación y el alcance del deber de motivación de los laudos, reproduciendo dicho fundamento jurídico. Cita luego el escrito del fiscal la STC 17/2021, de 15 de febrero, FJ 2, sobre el concepto de orden público, material y procesal, y que su control no permite sustituir el criterio del árbitro por el de los jueces que conocen de la anulación.</w:t>
      </w:r>
    </w:p>
    <w:p w14:paraId="13D1A005" w14:textId="77777777" w:rsidR="003754FE" w:rsidRDefault="003754FE" w:rsidP="003754FE">
      <w:pPr>
        <w:pStyle w:val="TextoNormal"/>
      </w:pPr>
    </w:p>
    <w:p w14:paraId="62843847" w14:textId="77777777" w:rsidR="003754FE" w:rsidRDefault="003754FE" w:rsidP="003754FE">
      <w:pPr>
        <w:pStyle w:val="TextoNormal"/>
      </w:pPr>
      <w:r>
        <w:t xml:space="preserve">Expuesta la doctrina constitucional, en su aplicación al caso sostiene el fiscal ante este tribunal que “pocas dudas surgen sobre la estimación del presente recurso de amparo ante la claridad, contundencia y rotundidad de [aquella] y la postura contraria a su aplicación mantenida en las distintas resoluciones dictadas por la Sala de lo Civil y Penal del Tribunal Superior de Justicia de Madrid que comportan la vulneración del derecho a la tutela judicial efectiva sin indefensión, art. 24.1 CE, por motivación manifiestamente errónea de las resoluciones judiciales”. Deja claro que ninguna tacha al procedimiento arbitral adujeron las partes del proceso de anulación, solo la incongruencia </w:t>
      </w:r>
      <w:r w:rsidRPr="003754FE">
        <w:rPr>
          <w:i/>
        </w:rPr>
        <w:t>extra petitum</w:t>
      </w:r>
      <w:r>
        <w:t xml:space="preserve"> del laudo, rechazada por la sentencia del Tribunal Superior de Justicia por no haber hecho uso en plazo del incidente de rectificación del laudo por extralimitación, y la infracción del orden público. Sobre esto segundo, entiende el fiscal que tanto la sentencia como el posterior auto cuestionados </w:t>
      </w:r>
      <w:r>
        <w:lastRenderedPageBreak/>
        <w:t>“insisten en un concepto de orden público, que extienden a lo que denominan ‘orden público económico’, que trasciende del establecido por la doctrina constitucional —el conjunto de principios jurídicos públicos, privados, políticos, morales y económicos, que son absolutamente obligatorios para la conservación de la sociedad en un pueblo y en una época determinada (SSTC 15/1987, de 11 de febrero; 116/1988, de 20 de junio, y 54/1989, de 23 de febrero)— y en el supuesto concreto lo vincula a lo que se considera, ‘la insoslayable aplicación al caso del Derecho de la Unión Europea’. A partir de ese argumento, continúa, el tribunal analiza el Derecho que considera aplicable y el que se ha aplicado en el laudo, rechazando que su función consista en un mero control formal o externo del mismo y entra a examinar la motivación del laudo”, concluyendo que “es palmario que el tribunal arbitral ha excluido sin el menor fundamento la aplicación del Derecho de la Unión Europea”, que el laudo ha incurrido en un “error manifiesto en la selección del Derecho aplicable” y en un “déficit de motivación constitucionalmente relevante”, por lo que a su parecer las resoluciones “desbordan” el concepto de orden público como causa de anulación de laudos arbitrales, “y no realizan una interpretación restrictiva” de aquel, vulnerando con ello “la autonomía de la voluntad de las partes (art. 10 CE) y su renuncia puntual a la tutela jurisdiccional (art. 24 CE)”.</w:t>
      </w:r>
    </w:p>
    <w:p w14:paraId="2E6C1923" w14:textId="77777777" w:rsidR="003754FE" w:rsidRDefault="003754FE" w:rsidP="003754FE">
      <w:pPr>
        <w:pStyle w:val="TextoNormal"/>
      </w:pPr>
    </w:p>
    <w:p w14:paraId="17BAC588" w14:textId="77777777" w:rsidR="003754FE" w:rsidRDefault="003754FE" w:rsidP="003754FE">
      <w:pPr>
        <w:pStyle w:val="TextoNormal"/>
      </w:pPr>
      <w:r>
        <w:t xml:space="preserve">Añade que la decisión del Tribunal Superior de Justicia “es contraria al canon constitucional de razonabilidad de las resoluciones judiciales (art. 24.1 CE), que entran en el fondo del asunto sobrepasando los límites constitucionales del deber de motivación y congruencia”; y precisa que el órgano judicial “ha revisado la aplicación del Derecho sustantivo realizada por los árbitros, lo que está vedado a su función”; la sentencia y el auto “son manifiestamente irrazonables y claramente arbitrarios al pretender incluir en la noción de orden público </w:t>
      </w:r>
      <w:r w:rsidRPr="003754FE">
        <w:rPr>
          <w:i/>
        </w:rPr>
        <w:t>ex</w:t>
      </w:r>
      <w:r>
        <w:t xml:space="preserve"> art. 41.1 f) LA lo que constituye una razonada opción de los árbitros por el Derecho nacional en materia de competencia en atención a una serie de criterios y argumentos expuestos”.</w:t>
      </w:r>
    </w:p>
    <w:p w14:paraId="620980B3" w14:textId="77777777" w:rsidR="003754FE" w:rsidRDefault="003754FE" w:rsidP="003754FE">
      <w:pPr>
        <w:pStyle w:val="TextoNormal"/>
      </w:pPr>
    </w:p>
    <w:p w14:paraId="4F941166" w14:textId="21EF2180" w:rsidR="003754FE" w:rsidRDefault="003754FE" w:rsidP="003754FE">
      <w:pPr>
        <w:pStyle w:val="TextoNormal"/>
      </w:pPr>
      <w:r>
        <w:t>Considera finalmente el fiscal que es correcta la aseveración del voto particular del presidente de la Sala de que las resoluciones impugnadas desoyen el mandato del art. 5.1 de la Ley Orgánica del Poder Judicial (LOPJ), el cual “atribuye a la jurisprudencia constitucional un carácter verdaderamente vinculante sobre el que deben interpretar y aplicar las leyes y reglamentos los órganos jurisdiccionales”; y concluye que la demanda de amparo debe estimarse, reconociendo el derecho de la empresa recurrente a la tutela judicial efectiva sin indefensión, al haberse producido su lesión, pasando así a formular el suplico que se ha reproducido al principio de este antecedente.</w:t>
      </w:r>
    </w:p>
    <w:p w14:paraId="02E8B05D" w14:textId="77777777" w:rsidR="003754FE" w:rsidRDefault="003754FE" w:rsidP="003754FE">
      <w:pPr>
        <w:pStyle w:val="TextoNormal"/>
      </w:pPr>
    </w:p>
    <w:p w14:paraId="372EA674" w14:textId="77777777" w:rsidR="003754FE" w:rsidRDefault="003754FE" w:rsidP="003754FE">
      <w:pPr>
        <w:pStyle w:val="TextoNormal"/>
      </w:pPr>
      <w:r w:rsidRPr="003754FE">
        <w:rPr>
          <w:rStyle w:val="NumeroAFNegritaCaracter"/>
        </w:rPr>
        <w:t>11</w:t>
      </w:r>
      <w:r>
        <w:t>. Mediante diligencia de la Secretaría de Justicia de 7 de septiembre de 2023 se hizo constar la presentación, dentro del trámite del art. 52 LOTC, de escritos de alegaciones por el Ministerio Fiscal y el procurador don Ignacio López Chocarro, “no habiendo presentado escrito de alegaciones el procurador don Ramón Rodríguez Nogueira”.</w:t>
      </w:r>
    </w:p>
    <w:p w14:paraId="0C8C1CFC" w14:textId="77777777" w:rsidR="003754FE" w:rsidRDefault="003754FE" w:rsidP="003754FE">
      <w:pPr>
        <w:pStyle w:val="TextoNormal"/>
      </w:pPr>
    </w:p>
    <w:p w14:paraId="4A5EC59A" w14:textId="456CA9DE" w:rsidR="003754FE" w:rsidRDefault="003754FE" w:rsidP="003754FE">
      <w:pPr>
        <w:pStyle w:val="TextoNormal"/>
      </w:pPr>
      <w:r>
        <w:t xml:space="preserve">Posteriormente, el representante procesal de la entidad recurrente en amparo presentó un mismo escrito por tres veces el día 26 de enero de 2024 (a las 17:18, a las 17:24 y a las 17:32 horas) solicitando se le facilitase copia del informe emitido por el Ministerio Fiscal “ya que desde la web esta parte carece de acceso al mismo”. La Secretaría de Justicia de la Sección Segunda del Tribunal dictó diligencia de ordenación el 29 de enero de 2024, teniendo por presentados dichos escritos y manifestando que “visto su contenido, se comunica </w:t>
      </w:r>
      <w:r>
        <w:lastRenderedPageBreak/>
        <w:t>al procurador antes citado que tiene a su disposición en la Secretaría de este tribunal dentro de las horas de oficina, la documentación solicitada en formato CD”.</w:t>
      </w:r>
    </w:p>
    <w:p w14:paraId="27F3C6DB" w14:textId="77777777" w:rsidR="003754FE" w:rsidRDefault="003754FE" w:rsidP="003754FE">
      <w:pPr>
        <w:pStyle w:val="TextoNormal"/>
      </w:pPr>
    </w:p>
    <w:p w14:paraId="520042DE" w14:textId="6F121424" w:rsidR="003754FE" w:rsidRDefault="003754FE" w:rsidP="003754FE">
      <w:pPr>
        <w:pStyle w:val="TextoNormal"/>
      </w:pPr>
      <w:r w:rsidRPr="003754FE">
        <w:rPr>
          <w:rStyle w:val="NumeroAFNegritaCaracter"/>
        </w:rPr>
        <w:t>12</w:t>
      </w:r>
      <w:r>
        <w:t>. Mediante providencia de 28 de noviembre de 2024, se señaló para deliberación y votación de la presente sentencia el día 2 de diciembre de 2024.</w:t>
      </w:r>
    </w:p>
    <w:p w14:paraId="216D125D" w14:textId="77777777" w:rsidR="003754FE" w:rsidRDefault="003754FE" w:rsidP="003754FE">
      <w:pPr>
        <w:pStyle w:val="TextoNormal"/>
      </w:pPr>
    </w:p>
    <w:p w14:paraId="2ABD535E" w14:textId="77777777" w:rsidR="003754FE" w:rsidRDefault="003754FE" w:rsidP="003754FE">
      <w:pPr>
        <w:pStyle w:val="TextoNormalNegritaCentrado"/>
        <w:keepNext/>
      </w:pPr>
      <w:r>
        <w:t>II. Fundamentos jurídicos</w:t>
      </w:r>
    </w:p>
    <w:p w14:paraId="1BA3CC59" w14:textId="75E3443A" w:rsidR="003754FE" w:rsidRDefault="003754FE" w:rsidP="003754FE">
      <w:pPr>
        <w:pStyle w:val="TextoNormalNegritaCentrado"/>
        <w:keepNext/>
      </w:pPr>
    </w:p>
    <w:p w14:paraId="3799672B" w14:textId="77777777" w:rsidR="003754FE" w:rsidRDefault="003754FE" w:rsidP="003754FE">
      <w:pPr>
        <w:pStyle w:val="TextoNormal"/>
      </w:pPr>
      <w:r w:rsidRPr="003754FE">
        <w:rPr>
          <w:rStyle w:val="NumeroAFNegritaCaracter"/>
        </w:rPr>
        <w:t>1</w:t>
      </w:r>
      <w:r>
        <w:t xml:space="preserve">. </w:t>
      </w:r>
      <w:r w:rsidRPr="003754FE">
        <w:rPr>
          <w:i/>
        </w:rPr>
        <w:t>Objeto del recurso</w:t>
      </w:r>
    </w:p>
    <w:p w14:paraId="0D35FBC5" w14:textId="77777777" w:rsidR="003754FE" w:rsidRDefault="003754FE" w:rsidP="003754FE">
      <w:pPr>
        <w:pStyle w:val="TextoNormal"/>
      </w:pPr>
    </w:p>
    <w:p w14:paraId="54ECEAA5" w14:textId="77777777" w:rsidR="003754FE" w:rsidRDefault="003754FE" w:rsidP="003754FE">
      <w:pPr>
        <w:pStyle w:val="TextoNormal"/>
      </w:pPr>
      <w:r>
        <w:t>Se interpone la demanda de amparo, en primer lugar, contra la sentencia de la Sala de lo Civil y Penal del Tribunal Superior de Justicia de Madrid, núm. 66/2021, de 22 de octubre, que estimando la acción de anulación ejercitada por la entidad personada en este recurso de amparo, declaró la anulación, por infracción del orden público, de los puntos 1 y 2 de la parte dispositiva del laudo arbitral final dictado el 29 de diciembre de 2020 (aclarado por laudo posterior de 24 de febrero de 2021) por el tribunal arbitral de la Corte de Arbitraje de la Cámara Oficial de Comercio, Industria y Servicios de Madrid, designado para resolver el asunto CAM 2956-19/AM-SG planteado entre Maxi Mobility Spain, S.L.U. (Cabify), como demandante y Auro New Transport Concept, S.L. (Auro) como demandada. En segundo lugar, se impugna también en este amparo el auto de la misma Sala de 11 de enero de 2022, que desestimó el incidente de nulidad de actuaciones interpuesto contra la antedicha sentencia.</w:t>
      </w:r>
    </w:p>
    <w:p w14:paraId="37E5F33F" w14:textId="77777777" w:rsidR="003754FE" w:rsidRDefault="003754FE" w:rsidP="003754FE">
      <w:pPr>
        <w:pStyle w:val="TextoNormal"/>
      </w:pPr>
    </w:p>
    <w:p w14:paraId="33DCAAA6" w14:textId="77777777" w:rsidR="003754FE" w:rsidRDefault="003754FE" w:rsidP="003754FE">
      <w:pPr>
        <w:pStyle w:val="TextoNormal"/>
      </w:pPr>
      <w:r>
        <w:t xml:space="preserve">La </w:t>
      </w:r>
      <w:r w:rsidRPr="003754FE">
        <w:rPr>
          <w:i/>
        </w:rPr>
        <w:t>ratio decidendi</w:t>
      </w:r>
      <w:r>
        <w:t xml:space="preserve"> de ambas resoluciones (de las que se ha hecho amplio resumen y reproducción en los antecedentes de esta sentencia, así como de las pretensiones de las partes en la vía previa y también en este proceso de amparo) descansa en la convicción de que el laudo arbitral ha incurrido en un error al resolver la controversia dejando de aplicar el art. 101 del Tratado de funcionamiento de la Unión Europea y aplicando únicamente el art. 1 de la Ley de defensa de la competencia, acudiendo para ello a criterios de ponderación sobre el carácter restrictivo de los pactos sobre competencia, que no son los utilizados por la normativa de la Unión Europea ni por el Tribunal de Justicia de la Unión Europea.</w:t>
      </w:r>
    </w:p>
    <w:p w14:paraId="07EFF716" w14:textId="77777777" w:rsidR="003754FE" w:rsidRDefault="003754FE" w:rsidP="003754FE">
      <w:pPr>
        <w:pStyle w:val="TextoNormal"/>
      </w:pPr>
    </w:p>
    <w:p w14:paraId="697B6DBB" w14:textId="77777777" w:rsidR="003754FE" w:rsidRDefault="003754FE" w:rsidP="003754FE">
      <w:pPr>
        <w:pStyle w:val="TextoNormal"/>
      </w:pPr>
      <w:r>
        <w:t xml:space="preserve">La entidad Auro, que fue la promotora del incidente de nulidad y luego del presente recurso de amparo, atribuye a ambas resoluciones judiciales la vulneración de su derecho fundamental a la tutela judicial efectiva (art. 24.1 CE), al haberse excedido la Sala de los límites de control reconocidos por la doctrina constitucional a los Tribunales Superiores de Justicia de las comunidades autónomas al resolver sobre la infracción del orden público como motivo de la acción de anulación de laudos arbitrales, </w:t>
      </w:r>
      <w:r w:rsidRPr="003754FE">
        <w:rPr>
          <w:i/>
        </w:rPr>
        <w:t>ex</w:t>
      </w:r>
      <w:r>
        <w:t xml:space="preserve"> art. 41.1 f) de la Ley 60/2003, de arbitraje. A criterio de la recurrente lo que hizo la Sala, yendo más allá de un control externo que era lo permitido, fue entrar en el examen de la cuestión de fondo y sustituir al colegio arbitral con la “excusa de la pretendida vulneración del orden público”, mediante una interpretación extensiva de este concepto, por un supuesto incumplimiento del principio de primacía del Derecho de la Unión Europea que no se había producido, no respetando así el canon de control fijado por la doctrina de este Tribunal Constitucional en varias sentencias, dictadas precisamente a propósito de resoluciones emanadas de la misma Sala de lo Civil y Penal del Tribunal Superior de Justicia de Madrid que incurrieron en el mismo exceso.</w:t>
      </w:r>
    </w:p>
    <w:p w14:paraId="4F650B41" w14:textId="77777777" w:rsidR="003754FE" w:rsidRDefault="003754FE" w:rsidP="003754FE">
      <w:pPr>
        <w:pStyle w:val="TextoNormal"/>
      </w:pPr>
    </w:p>
    <w:p w14:paraId="46C19FCF" w14:textId="77777777" w:rsidR="003754FE" w:rsidRDefault="003754FE" w:rsidP="003754FE">
      <w:pPr>
        <w:pStyle w:val="TextoNormal"/>
      </w:pPr>
      <w:r>
        <w:t>Por su parte, ha formulado alegaciones en el trámite del art. 52 LOTC la entidad Cabify España, S.L., solicitando la desestimación del recurso de amparo pues a su parecer las resoluciones impugnadas son respetuosas de la doctrina constitucional en la materia, destacando por qué considera que el laudo arbitral es irrazonable, tal y como postula la Sala autora de aquellas; mientras que el fiscal ante este tribunal ha interesado que se otorgue el amparo a la actora, por vulneración de su derecho a la tutela judicial efectiva (art. 24.1 CE), vista la “inadecuada e irrazonable” motivación de dichas resoluciones judiciales, con relación a los límites del control judicial en la acción de anulación de laudos arbitrales.</w:t>
      </w:r>
    </w:p>
    <w:p w14:paraId="1EB4E8FB" w14:textId="77777777" w:rsidR="003754FE" w:rsidRDefault="003754FE" w:rsidP="003754FE">
      <w:pPr>
        <w:pStyle w:val="TextoNormal"/>
      </w:pPr>
    </w:p>
    <w:p w14:paraId="17C74514" w14:textId="77777777" w:rsidR="003754FE" w:rsidRDefault="003754FE" w:rsidP="003754FE">
      <w:pPr>
        <w:pStyle w:val="TextoNormal"/>
      </w:pPr>
      <w:r>
        <w:t>Así trabado el debate constitucional, ha de decirse que este tribunal tiene fijada doctrina en procesos de amparo sobre el alcance y los límites del control judicial de los laudos arbitrales en la acción de anulación prevista en los arts. 40 a 43 de la Ley de arbitraje, específicamente con relación al control del orden público [art. 41.1 f)], desde la perspectiva de la vulneración del derecho fundamental a la tutela judicial efectiva (art. 24.1 CE) en su vertiente de derecho a una resolución jurídicamente fundada. Tal doctrina está integrada por las SSTC 46/2020, de 15 de junio; 17/2021, de 15 de febrero; 55/2021 y 65/2021, de 15 de marzo; 50/2022, de 4 de abril, y 79/2022, de 27 de junio, todas ellas estimatorias y que declararon la nulidad de resoluciones dictadas por la Sala de lo Civil y Penal del Tribunal Superior de Justicia de Madrid por haber causado la vulneración de aquel derecho fundamental. Esas sentencias también hacen cita de otras anteriores en las que este tribunal se ha pronunciado sobre la no contradicción de la institución del arbitraje con el derecho fundamental de acceso a la justicia (art. 24.1 CE). Se ha dictado también el ATC 1/2023, de 4 de enero, de aplicación de la misma doctrina, que inadmitió el recurso por falta de especial trascendencia constitucional.</w:t>
      </w:r>
    </w:p>
    <w:p w14:paraId="08BD810D" w14:textId="77777777" w:rsidR="003754FE" w:rsidRDefault="003754FE" w:rsidP="003754FE">
      <w:pPr>
        <w:pStyle w:val="TextoNormal"/>
      </w:pPr>
    </w:p>
    <w:p w14:paraId="644A15A8" w14:textId="22AA0F54" w:rsidR="003754FE" w:rsidRDefault="003754FE" w:rsidP="003754FE">
      <w:pPr>
        <w:pStyle w:val="TextoNormal"/>
      </w:pPr>
      <w:r>
        <w:t>Para la correcta resolución de este recurso de amparo procede por tanto hacer ante todo un recordatorio de aquella doctrina, en sus declaraciones más relevantes:</w:t>
      </w:r>
    </w:p>
    <w:p w14:paraId="2AD10270" w14:textId="77777777" w:rsidR="003754FE" w:rsidRDefault="003754FE" w:rsidP="003754FE">
      <w:pPr>
        <w:pStyle w:val="TextoNormal"/>
      </w:pPr>
    </w:p>
    <w:p w14:paraId="57650707" w14:textId="77777777" w:rsidR="003754FE" w:rsidRDefault="003754FE" w:rsidP="003754FE">
      <w:pPr>
        <w:pStyle w:val="TextoNormal"/>
      </w:pPr>
      <w:r w:rsidRPr="003754FE">
        <w:rPr>
          <w:rStyle w:val="NumeroAFNegritaCaracter"/>
        </w:rPr>
        <w:t>2</w:t>
      </w:r>
      <w:r>
        <w:t xml:space="preserve">. </w:t>
      </w:r>
      <w:r w:rsidRPr="003754FE">
        <w:rPr>
          <w:i/>
        </w:rPr>
        <w:t>Doctrina sobre las relaciones entre arbitraje y jurisdicción</w:t>
      </w:r>
    </w:p>
    <w:p w14:paraId="6F4D714D" w14:textId="77777777" w:rsidR="003754FE" w:rsidRDefault="003754FE" w:rsidP="003754FE">
      <w:pPr>
        <w:pStyle w:val="TextoNormal"/>
      </w:pPr>
    </w:p>
    <w:p w14:paraId="2409A03C" w14:textId="77777777" w:rsidR="003754FE" w:rsidRDefault="003754FE" w:rsidP="003754FE">
      <w:pPr>
        <w:pStyle w:val="TextoNormal"/>
      </w:pPr>
      <w:r>
        <w:t>a) Constitucionalidad del arbitraje como mecanismo heterónomo de resolución de conflictos intersubjetivos, gracias a la posibilidad ulterior de acceder a la acción de anulación contra laudos arbitrales, bien que dentro de los estrictos términos con que esta se diseña legalmente</w:t>
      </w:r>
    </w:p>
    <w:p w14:paraId="722F2D9D" w14:textId="77777777" w:rsidR="003754FE" w:rsidRDefault="003754FE" w:rsidP="003754FE">
      <w:pPr>
        <w:pStyle w:val="TextoNormal"/>
      </w:pPr>
    </w:p>
    <w:p w14:paraId="5F293029" w14:textId="77777777" w:rsidR="003754FE" w:rsidRDefault="003754FE" w:rsidP="003754FE">
      <w:pPr>
        <w:pStyle w:val="TextoNormal"/>
      </w:pPr>
      <w:r>
        <w:t xml:space="preserve">«No huelga recordar ahora que, recientemente, este tribunal ha declarado en su STC 1/2018, de 11 de enero, FJ 3, que “el mecanismo arbitral, la renuncia al ejercicio del derecho fundamental proviene de la legítima autonomía de la voluntad de las partes, que, libre y voluntariamente, se someten a la decisión de un tercero ajeno a los tribunales de justicia para resolver su conflicto, y ello, correctamente entendido, no implica una renuncia general al derecho fundamental del artículo 24 CE, sino a su ejercicio en un determinado momento, no quebrantándose principio constitucional alguno (SSTC 174/1995, 75/1996 y 176/1996)”. También se ha subrayado que “la impugnación del laudo arbitral es únicamente posible por motivos formales (arts. 40 y ss., de la Ley 60/2003, de 23 de diciembre, de arbitraje), con la consiguiente falta de control judicial sobre la cuestión de fondo. En este sentido, no cabe duda de que una mera revisión formal solo puede ser compatible con las exigencias del artículo 24 CE cuando la decisión arbitral es consecuencia de un verdadero y real convenio </w:t>
      </w:r>
      <w:r>
        <w:lastRenderedPageBreak/>
        <w:t>arbitral, entendido este como la manifestación expresa de la voluntad de ambas partes de someterse a él y en consecuencia al laudo que se obtenga. Así se afirmó en la STC 174/1995, FJ 3, y se reiteró en la STC 75/1996, FJ 2, ‘ese control excluye las cuestiones de fondo, ya que al estar tasadas las causas de revisión […], y limitarse estas a las garantías formales sin poderse pronunciar el órgano judicial sobre el fondo del asunto, nos hallamos frente a un juicio externo (STC 43/1988 y sentencias del Tribunal Supremo que en ella se citan) que, como tal, resulta insuficiente para entender que el control judicial así concebido cubre el derecho a obtener la tutela judicial efectiva que consagra el art. 24.1 CE’” (STC 1/2018, FJ 4).</w:t>
      </w:r>
    </w:p>
    <w:p w14:paraId="3227DC5B" w14:textId="77777777" w:rsidR="003754FE" w:rsidRDefault="003754FE" w:rsidP="003754FE">
      <w:pPr>
        <w:pStyle w:val="TextoNormal"/>
      </w:pPr>
    </w:p>
    <w:p w14:paraId="09B38D1C" w14:textId="77777777" w:rsidR="003754FE" w:rsidRDefault="003754FE" w:rsidP="003754FE">
      <w:pPr>
        <w:pStyle w:val="TextoNormal"/>
      </w:pPr>
      <w:r>
        <w:t>Efectivamente, la Ley 60/2003, de 23 de diciembre, de arbitraje, configura la institución arbitral como un mecanismo heterónomo de resolución de conflictos, al que es consustancial la mínima intervención de los órganos jurisdiccionales por virtud y a favor de la autonomía de la voluntad de las partes, que han decidido en virtud de un convenio arbitral sustraer de la jurisdicción la resolución de sus posibles controversias y deferir a los árbitros el conocimiento y solución de sus conflictos, que desde ese momento quedan vedados a la jurisdicción por expresa voluntad de las partes.</w:t>
      </w:r>
    </w:p>
    <w:p w14:paraId="52E391C5" w14:textId="77777777" w:rsidR="003754FE" w:rsidRDefault="003754FE" w:rsidP="003754FE">
      <w:pPr>
        <w:pStyle w:val="TextoNormal"/>
      </w:pPr>
    </w:p>
    <w:p w14:paraId="590D328D" w14:textId="77777777" w:rsidR="003754FE" w:rsidRDefault="003754FE" w:rsidP="003754FE">
      <w:pPr>
        <w:pStyle w:val="TextoNormal"/>
      </w:pPr>
      <w:r>
        <w:t xml:space="preserve">Por consiguiente, es claro que la acción de anulación debe ser entendida como un proceso de control externo sobre la validez del laudo que no permite una revisión del fondo de la decisión de los árbitros, “al estar tasadas las causas de revisión […], y limitarse estas a las garantías formales sin poderse pronunciar el órgano judicial sobre el fondo del asunto, nos hallamos frente a un juicio externo” (SSTC 174/1995, de 23 de noviembre, FJ 3, y 75/1996, de 30 de abril, FJ 2). Por todo ello, ninguna de las causas de anulación previstas en el art. 41.1 de la Ley de arbitraje puede ser interpretada en un sentido que subvierta esta limitación, pues “la finalidad última del arbitraje, que no es otra que la de alcanzar la pronta solución extrajudicial de un conflicto, se vería inevitablemente desnaturalizada ante la eventualidad de que la decisión arbitral pudiera ser objeto de revisión en cuanto al fondo” (ATC 231/1994, de 18 de julio, FJ 3). A ello hay que añadir —a diferencia de lo afirmado por el órgano judicial— que es doctrina del Tribunal de Justicia de la Unión Europea que las “exigencias relativas a la eficacia del procedimiento arbitral justifican que el control de los laudos arbitrales tenga carácter limitado y que solo pueda obtenerse la anulación de un laudo en casos excepcionales” (STJCE de 26 de octubre de 2006, asunto </w:t>
      </w:r>
      <w:r w:rsidRPr="003754FE">
        <w:rPr>
          <w:i/>
        </w:rPr>
        <w:t>Mostaza Claro</w:t>
      </w:r>
      <w:r>
        <w:t>, C-168/05)» (STC 46/2020, FJ 4. En el mismo sentido, SSTC 17/2021, FJ 2, y 50/2022, FJ 3).</w:t>
      </w:r>
    </w:p>
    <w:p w14:paraId="780F7292" w14:textId="77777777" w:rsidR="003754FE" w:rsidRDefault="003754FE" w:rsidP="003754FE">
      <w:pPr>
        <w:pStyle w:val="TextoNormal"/>
      </w:pPr>
    </w:p>
    <w:p w14:paraId="59CF052C" w14:textId="77777777" w:rsidR="003754FE" w:rsidRDefault="003754FE" w:rsidP="003754FE">
      <w:pPr>
        <w:pStyle w:val="TextoNormal"/>
      </w:pPr>
      <w:r>
        <w:t>b) El arbitraje no es un “equivalente jurisdiccional” salvo en los efectos de cosa juzgada y ejecutividad del laudo</w:t>
      </w:r>
    </w:p>
    <w:p w14:paraId="69190C01" w14:textId="77777777" w:rsidR="003754FE" w:rsidRDefault="003754FE" w:rsidP="003754FE">
      <w:pPr>
        <w:pStyle w:val="TextoNormal"/>
      </w:pPr>
    </w:p>
    <w:p w14:paraId="6CA4E06C" w14:textId="77777777" w:rsidR="003754FE" w:rsidRDefault="003754FE" w:rsidP="003754FE">
      <w:pPr>
        <w:pStyle w:val="TextoNormal"/>
      </w:pPr>
      <w:r>
        <w:t>(i) «Puede que la confusión que este tribunal viene observando en algunas sentencias, como la que ahora se ha recurrido en amparo, haya sido originada por la utilización en nuestros primeros pronunciamientos (SSTC 15/1989, de 26 de enero; 62/1991, de 22 de marzo; 288/1993, de 4 de octubre; 174/1995, de 23 de noviembre, y 176/1996, de 11 de noviembre) —y luego reiterada en posteriores— de la expresión “equivalente jurisdiccional” para referirnos al arbitraje. Si esa fuera la causa, es necesario aclarar desde este momento que tal equivalencia hace referencia especialmente al efecto de cosa juzgada que se produce en ambos tipos de procesos, jurisdiccional y arbitral.</w:t>
      </w:r>
    </w:p>
    <w:p w14:paraId="6FB0D700" w14:textId="77777777" w:rsidR="003754FE" w:rsidRDefault="003754FE" w:rsidP="003754FE">
      <w:pPr>
        <w:pStyle w:val="TextoNormal"/>
      </w:pPr>
    </w:p>
    <w:p w14:paraId="31B9C722" w14:textId="77777777" w:rsidR="003754FE" w:rsidRDefault="003754FE" w:rsidP="003754FE">
      <w:pPr>
        <w:pStyle w:val="TextoNormal"/>
      </w:pPr>
      <w:r>
        <w:lastRenderedPageBreak/>
        <w:t>Efectivamente, a lo largo de nuestra jurisprudencia constitucional sobre el arbitraje hemos señalado que “ha de partirse de la idea de que la configuración del arbitraje como vía extrajudicial de resolución de las controversias existentes entre las partes es un ‘equivalente jurisdiccional’, dado que las partes obtienen los mismos resultados que accediendo a la jurisdicción civil, es decir, una decisión al conflicto con efectos de cosa juzgada. La exclusividad jurisdiccional a que alude el art. 117.3 CE no afecta a la validez constitucional del arbitraje, ni vulnera el art. 24 CE. En relación con el sometimiento de controversias al arbitraje, este tribunal ha reiterado que, si bien el derecho a la tutela judicial efectiva tiene carácter irrenunciable e indisponible, ello no impide que pueda reputarse constitucionalmente legítima la voluntaria y transitoria renuncia al ejercicio de las acciones en pos de unos beneficios cuyo eventual logro es para el interesado más ventajoso que el que pudiera resultar de aquel ejercicio” (STC 1/2018, de 11 de enero, FJ 3). Porque —como también se ha explicado— “el arbitraje en cuanto equivalente jurisdiccional, se sustenta en la autonomía de la voluntad de las partes plasmada en el convenio arbitral. Es ‘un medio heterónomo de arreglo de controversias que se fundamenta en la autonomía de la voluntad de los sujetos privados (art. 1.1 CE)’ (STC 176/1996, de 11 de noviembre, FJ 1). De manera que no cabe entender que, por el hecho de someter voluntariamente determinada cuestión litigiosa al arbitraje de un tercero, quede menoscabado y padezca el derecho a la tutela judicial efectiva que la Constitución reconoce a todos. Una vez elegida dicha vía, ello supone tan solo que en la misma ha de alcanzarse el arreglo de las cuestiones litigiosas mediante la decisión del árbitro y que el acceso a la jurisdicción —pero no su ‘equivalente jurisdiccional’ arbitral, SSTC 15/1989, 62/1991 y 174/1995— legalmente establecido será solo el recurso por nulidad del laudo arbitral y no cualquier otro proceso ordinario en el que sea posible volver a plantear el fondo del litigio tal y como antes fue debatido en el proceso arbitral. Pues como ha declarado reiteradamente este tribunal, el derecho a la tutela judicial efectiva no es un derecho de libertad, ejercitable sin más y directamente a partir de la Constitución, sino un derecho prestacional, solo ejercitable por los cauces procesales existentes y con sujeción a su concreta ordenación legal (SSTC 99/1985, 50/1990 y 149/1995, entre otras)” (STC 1/2018, de 11 de enero, FJ 3).</w:t>
      </w:r>
    </w:p>
    <w:p w14:paraId="43A6F0FE" w14:textId="77777777" w:rsidR="003754FE" w:rsidRDefault="003754FE" w:rsidP="003754FE">
      <w:pPr>
        <w:pStyle w:val="TextoNormal"/>
      </w:pPr>
    </w:p>
    <w:p w14:paraId="36588D73" w14:textId="77777777" w:rsidR="003754FE" w:rsidRDefault="003754FE" w:rsidP="003754FE">
      <w:pPr>
        <w:pStyle w:val="TextoNormal"/>
      </w:pPr>
      <w:r>
        <w:t>Es decir, quienes se someten voluntariamente a un procedimiento arbitral tienen derecho, claro está, a que las actuaciones arbitrales sean controladas por los motivos de impugnación legalmente admitidos, pero dicha facultad deriva de la misma configuración legal del arbitraje como forma de heterocomposición de los conflictos entre ellos y no del art. 24 CE “cuyas exigencias solo rigen […], en lo que atañe para el proceso —actuaciones jurisdiccionales— en el que se pretende la anulación del laudo y para el órgano judicial que lo resuelve” (STC 9/2005, de 17 de enero, FJ 5)» (STC 17/2021, FJ 2. En el mismo sentido, STC 79/2022, FJ 2).</w:t>
      </w:r>
    </w:p>
    <w:p w14:paraId="2B3D1028" w14:textId="77777777" w:rsidR="003754FE" w:rsidRDefault="003754FE" w:rsidP="003754FE">
      <w:pPr>
        <w:pStyle w:val="TextoNormal"/>
      </w:pPr>
    </w:p>
    <w:p w14:paraId="20DDB3BA" w14:textId="77777777" w:rsidR="003754FE" w:rsidRDefault="003754FE" w:rsidP="003754FE">
      <w:pPr>
        <w:pStyle w:val="TextoNormal"/>
      </w:pPr>
      <w:r>
        <w:t>(ii) “Como acertadamente sostiene el Ministerio Fiscal, hay que advertir que extender la idea del arbitraje como ‘equivalente jurisdiccional’ más allá de su equivalencia en cuanto a sus efectos, es decir, a la cosa juzgada y a su ejecutividad, es tanto como hablar de identidad entre resoluciones judiciales y arbitrales. Esta afirmación es inaceptable, pues ambos tipos de resolución de conflictos descansan sobre preceptos constitucionales distintos.</w:t>
      </w:r>
    </w:p>
    <w:p w14:paraId="07100D73" w14:textId="77777777" w:rsidR="003754FE" w:rsidRDefault="003754FE" w:rsidP="003754FE">
      <w:pPr>
        <w:pStyle w:val="TextoNormal"/>
      </w:pPr>
    </w:p>
    <w:p w14:paraId="5D69D66D" w14:textId="77777777" w:rsidR="003754FE" w:rsidRDefault="003754FE" w:rsidP="003754FE">
      <w:pPr>
        <w:pStyle w:val="TextoNormal"/>
      </w:pPr>
      <w:r>
        <w:t xml:space="preserve">Por ello, y por la confusión que pudiera generar la expresión ‘equivalente jurisdiccional’, a la que se hace referencia en la citada STC 17/2021, el Tribunal insiste en que la semejanza entre ambos tipos de decisión —judicial y arbitral— no alcanza más allá de aquellos efectos </w:t>
      </w:r>
      <w:r>
        <w:lastRenderedPageBreak/>
        <w:t>y en que el procedimiento arbitral no se puede ver sometido a las exigencias propias del derecho a la tutela judicial efectiva (art. 24 CE), puesto que no es un procedimiento judicial, como tampoco los árbitros ejercen la jurisdicción, cometido de la competencia exclusiva de quienes integran el Poder Judicial (art. 117 CE). Por tanto, no están sujetos a los deberes y garantías que impone el art. 24 CE. Al contrario: cuando las partes de una controversia, en ejercicio de la autonomía de la libertad (art. 10 CE), deciden acudir al procedimiento arbitral, eligen sustraerse de las normas que rigen el procedimiento judicial (art. 24 CE) y también, claro está, al enjuiciamiento y valoración de los órganos judiciales, a quienes desde ese momento les está vedado el conocimiento del asunto.</w:t>
      </w:r>
    </w:p>
    <w:p w14:paraId="6FD12775" w14:textId="77777777" w:rsidR="003754FE" w:rsidRDefault="003754FE" w:rsidP="003754FE">
      <w:pPr>
        <w:pStyle w:val="TextoNormal"/>
      </w:pPr>
    </w:p>
    <w:p w14:paraId="423E1E7A" w14:textId="7EE19698" w:rsidR="003754FE" w:rsidRDefault="003754FE" w:rsidP="003754FE">
      <w:pPr>
        <w:pStyle w:val="TextoNormal"/>
      </w:pPr>
      <w:r>
        <w:t>Quienes se someten libre, expresa y voluntariamente a un arbitraje, como método heterónomo de solución de su conflicto, eligen dejar al margen de su controversia las garantías inherentes al art. 24 CE y regirse por las normas establecidas en la Ley de arbitraje. De esto se infiere que, si las partes del arbitraje tienen derecho a que las actuaciones arbitrales sean controladas judicialmente, es así porque de este modo está previsto en la norma rectora del procedimiento arbitral y solo por los motivos de impugnación legalmente admitidos para salvaguardar los principios constitucionales a que se ha hecho referencia (art. 41 LA). En consecuencia, la facultad excepcional de control del procedimiento arbitral y de anulación del laudo deriva de la misma configuración legal del arbitraje como forma de heterocomposición de conflictos y no del art. 24 CE, del derecho a la tutela judicial efectiva, ‘cuyas exigencias solo rigen, en lo que atañe para el proceso —actuaciones jurisdiccionales— en el que se pretende la anulación del laudo y para el órgano judicial que lo resuelve’ (STC 9/2005, de 17 de enero, FJ 5)” (STC 65/2021, FJ 4).</w:t>
      </w:r>
    </w:p>
    <w:p w14:paraId="58E2703E" w14:textId="77777777" w:rsidR="003754FE" w:rsidRDefault="003754FE" w:rsidP="003754FE">
      <w:pPr>
        <w:pStyle w:val="TextoNormal"/>
      </w:pPr>
    </w:p>
    <w:p w14:paraId="30665041" w14:textId="77777777" w:rsidR="003754FE" w:rsidRDefault="003754FE" w:rsidP="003754FE">
      <w:pPr>
        <w:pStyle w:val="TextoNormal"/>
      </w:pPr>
      <w:r w:rsidRPr="003754FE">
        <w:rPr>
          <w:rStyle w:val="NumeroAFNegritaCaracter"/>
        </w:rPr>
        <w:t>3</w:t>
      </w:r>
      <w:r>
        <w:t xml:space="preserve">. </w:t>
      </w:r>
      <w:r w:rsidRPr="003754FE">
        <w:rPr>
          <w:i/>
        </w:rPr>
        <w:t>Doctrina sobre la motivación del laudo y su control judicial en la acción de anulación. La motivación carece de incidencia en el concepto de orden público</w:t>
      </w:r>
    </w:p>
    <w:p w14:paraId="060ADFDA" w14:textId="77777777" w:rsidR="003754FE" w:rsidRDefault="003754FE" w:rsidP="003754FE">
      <w:pPr>
        <w:pStyle w:val="TextoNormal"/>
      </w:pPr>
    </w:p>
    <w:p w14:paraId="4577CFE3" w14:textId="77777777" w:rsidR="003754FE" w:rsidRDefault="003754FE" w:rsidP="003754FE">
      <w:pPr>
        <w:pStyle w:val="TextoNormal"/>
      </w:pPr>
      <w:r>
        <w:t>(i) “[R]especto a la motivación de los laudos ha de aclararse que tan siquiera se requiere una argumentación exhaustiva y pormenorizada de todos los aspectos y perspectivas que las partes puedan tener de la cuestión que se decide, pues el derecho a obtener una resolución fundada, favorable o adversa, es garantía frente a la arbitrariedad e irrazonabilidad y ello, en materia de arbitraje, implica que la resolución ha de contener los elementos y razones de juicio que permitan conocer cuáles han sido los criterios jurídicos o de equidad que fundamentan la decisión, que no deben resultar arbitrarios. En tal sentido, conviene señalar que ‘la validez de un razonamiento desde el plano puramente lógico es independiente de la verdad o falsedad de sus premisas y de su conclusión, pues, en lógica, la noción fundamental es la coherencia y no la verdad del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basarse en ninguna de las razones aducidas’ (STC 164/2002, de 17 septiembre).</w:t>
      </w:r>
    </w:p>
    <w:p w14:paraId="5D31AEF3" w14:textId="77777777" w:rsidR="003754FE" w:rsidRDefault="003754FE" w:rsidP="003754FE">
      <w:pPr>
        <w:pStyle w:val="TextoNormal"/>
      </w:pPr>
    </w:p>
    <w:p w14:paraId="0243D2CD" w14:textId="77777777" w:rsidR="003754FE" w:rsidRDefault="003754FE" w:rsidP="003754FE">
      <w:pPr>
        <w:pStyle w:val="TextoNormal"/>
      </w:pPr>
      <w:r>
        <w:lastRenderedPageBreak/>
        <w:t xml:space="preserve">Aunque es obvio que, desde la perspectiva constitucional, la semejanza entre las resoluciones judiciales y los laudos arbitrales no es desde luego absoluta, ello no significa que cuando hablamos del deber de motivación de unas y otras no se pueda enjuiciar su cumplimiento con parecido canon de control. Decimos que el deber de motivación no posee la misma naturaleza en ambos tipos de resolución, porque tratándose de resoluciones judiciales es una exigencia inherente al derecho a la tutela judicial efectiva </w:t>
      </w:r>
      <w:r w:rsidRPr="003754FE">
        <w:rPr>
          <w:i/>
        </w:rPr>
        <w:t>ex</w:t>
      </w:r>
      <w:r>
        <w:t xml:space="preserve"> art. 24 CE. Sin embargo, para las resoluciones arbitrales, dicha obligación aparece recogida en el art. 37.4 LA, siempre con la salvedad de que las partes, además, no hayan alcanzado un pacto sobre los términos en que deba pronunciarse el laudo. En las primeras, la motivación forma parte del contenido del derecho fundamental citado. En las segundas es un requisito de exclusiva configuración legal, por lo que resulta indudable que podría ser prescindible a instancias del legislador” (STC 17/2021, FJ 2. En el mismo sentido, SSTC 65/2021, FJ 5, y 79/2022, FJ 2).</w:t>
      </w:r>
    </w:p>
    <w:p w14:paraId="746AAE35" w14:textId="77777777" w:rsidR="003754FE" w:rsidRDefault="003754FE" w:rsidP="003754FE">
      <w:pPr>
        <w:pStyle w:val="TextoNormal"/>
      </w:pPr>
    </w:p>
    <w:p w14:paraId="0ADF8EA6" w14:textId="77777777" w:rsidR="003754FE" w:rsidRDefault="003754FE" w:rsidP="003754FE">
      <w:pPr>
        <w:pStyle w:val="TextoNormal"/>
      </w:pPr>
      <w:r>
        <w:t>(ii) “[N]o cabe duda de que la operación de enjuiciamiento de la motivación de ambos tipos de resoluciones [arbitral y judicial] debe valerse de parecidos criterios, de modo que se puede afirmar que solo a aquel laudo que sea irrazonable, arbitrario o haya incurrido en error patente podrá imputársele un defecto de motivación vulnerador del art. 37.4 LA (y reiteramos, no del art. 24.1 CE)” (STC 17/2021, FJ 2).</w:t>
      </w:r>
    </w:p>
    <w:p w14:paraId="15CB6F21" w14:textId="77777777" w:rsidR="003754FE" w:rsidRDefault="003754FE" w:rsidP="003754FE">
      <w:pPr>
        <w:pStyle w:val="TextoNormal"/>
      </w:pPr>
    </w:p>
    <w:p w14:paraId="6F4784AA" w14:textId="77777777" w:rsidR="003754FE" w:rsidRDefault="003754FE" w:rsidP="003754FE">
      <w:pPr>
        <w:pStyle w:val="TextoNormal"/>
      </w:pPr>
      <w:r>
        <w:t>(iii) “[C]onviene dejar sentado que el art. 37.4 LA únicamente dispone que ‘el laudo será siempre motivado’, pero no impone expresamente que el árbitro deba decidir sobre todos los argumentos presentados por las partes o que deba indicar las pruebas en las que se ha basado para tomar su decisión sobre los hechos, o motivar su preferencia de una prueba sobre otra. Las únicas precisiones legales sobre el contenido del laudo que se encuentran en la Ley de arbitraje son negativas, en cuanto se refieren a las limitaciones que se imponen a la decisión arbitral, derivadas de lo establecido en el art. 41.1 LA sobre los motivos de anulación del laudo, particularmente no resolver sobre cuestiones no sometidas a su decisión o no susceptibles de arbitraje, y no contrariar el orden público. Es decir, de la regulación legal tan solo se sigue que el laudo ha de contener la exposición de los fundamentos que sustentan la decisión, pero no que la motivación deba ser convincente o suficiente, o que deba extenderse necesariamente a determinados extremos. […]</w:t>
      </w:r>
    </w:p>
    <w:p w14:paraId="51135DB5" w14:textId="77777777" w:rsidR="003754FE" w:rsidRDefault="003754FE" w:rsidP="003754FE">
      <w:pPr>
        <w:pStyle w:val="TextoNormal"/>
      </w:pPr>
    </w:p>
    <w:p w14:paraId="521ADF67" w14:textId="77777777" w:rsidR="003754FE" w:rsidRDefault="003754FE" w:rsidP="003754FE">
      <w:pPr>
        <w:pStyle w:val="TextoNormal"/>
      </w:pPr>
      <w:r>
        <w:t xml:space="preserve">Para respaldar esta conclusión sobre la extensión del deber de motivación del laudo, basta considerar que, aunque, como hemos señalado anteriormente, ese deber de motivación de los laudos es un aspecto de pura determinación legal, y que no deriva del art. 24.1 CE, quedaría fuera de toda lógica entender que esa escueta previsión legal contiene un mandato más exigente que el que impone a los órganos judiciales, en cuanto al deber de motivación de sus resoluciones, el derecho fundamental a la tutela judicial efectiva sin indefensión reconocido en dicho precepto constitucional, en la medida que para la satisfacción de ese derecho no se les exige ‘un razonamiento exhaustivo y pormenorizado de todos los aspectos y perspectivas que las partes puedan tener de la cuestión que se debate, sino que deben considerarse suficientemente motivadas aquellas resoluciones judiciales que vengan apoyadas en razones que permitan conocer cuáles han sido los criterios jurídicos esenciales fundamentadores de la decisión o, lo que es lo mismo, la </w:t>
      </w:r>
      <w:r w:rsidRPr="003754FE">
        <w:rPr>
          <w:i/>
        </w:rPr>
        <w:t>ratio decidendi</w:t>
      </w:r>
      <w:r>
        <w:t xml:space="preserve">, de manera que no existe un derecho fundamental del justiciable a una determinada extensión de la motivación judicial’ (entre otras muchas, STC 3/2019, de 14 de enero, FJ 6). Y tampoco se incluye en el derecho a la tutela judicial efectiva un derecho al acierto judicial en la selección, interpretación y aplicación de las normas, ya que, ‘según es consolidada doctrina constitucional, </w:t>
      </w:r>
      <w:r>
        <w:lastRenderedPageBreak/>
        <w:t>el derecho reconocido en el art. 24.1 CE no garantiza la corrección jurídica de la interpretación y aplicación del Derecho llevada a cabo por los jueces y tribunales’ (STC 46/2020, de 15 de junio, FJ 3)” (STC 17/2021, FJ 3).</w:t>
      </w:r>
    </w:p>
    <w:p w14:paraId="587EB429" w14:textId="77777777" w:rsidR="003754FE" w:rsidRDefault="003754FE" w:rsidP="003754FE">
      <w:pPr>
        <w:pStyle w:val="TextoNormal"/>
      </w:pPr>
    </w:p>
    <w:p w14:paraId="41AE552D" w14:textId="77777777" w:rsidR="003754FE" w:rsidRDefault="003754FE" w:rsidP="003754FE">
      <w:pPr>
        <w:pStyle w:val="TextoNormal"/>
      </w:pPr>
      <w:r>
        <w:t>(iv) “Asentado, por consiguiente, el arbitraje en la autonomía de la voluntad y la libertad de los particulares (arts. 1 y 10 CE), el deber de motivación del laudo no se integra en el orden público exigido en el art. 24 CE para la resolución judicial, sino que se ajusta a un parámetro propio, definido en función del art. 10 CE. Este parámetro deberán configurarlo, ante todo, las propias partes sometidas a arbitraje a las que corresponde, al igual que pactan las normas arbitrales, el número de árbitros, la naturaleza del arbitraje o las reglas de prueba, pactar si el laudo debe estar motivado (art. 37.4 LA) y en qué términos. En consecuencia, la motivación de los laudos arbitrales carece de incidencia en el orden público” (STC 65/2021, FJ 5. En el mismo sentido, STC 50/2022, FJ 3).</w:t>
      </w:r>
    </w:p>
    <w:p w14:paraId="0A9DA109" w14:textId="77777777" w:rsidR="003754FE" w:rsidRDefault="003754FE" w:rsidP="003754FE">
      <w:pPr>
        <w:pStyle w:val="TextoNormal"/>
      </w:pPr>
    </w:p>
    <w:p w14:paraId="5BF97B8C" w14:textId="77777777" w:rsidR="003754FE" w:rsidRDefault="003754FE" w:rsidP="003754FE">
      <w:pPr>
        <w:pStyle w:val="TextoNormal"/>
      </w:pPr>
      <w:r>
        <w:t>(v) En particular, en el arbitraje de equidad:</w:t>
      </w:r>
    </w:p>
    <w:p w14:paraId="27695DE6" w14:textId="77777777" w:rsidR="003754FE" w:rsidRDefault="003754FE" w:rsidP="003754FE">
      <w:pPr>
        <w:pStyle w:val="TextoNormal"/>
      </w:pPr>
    </w:p>
    <w:p w14:paraId="43BB1127" w14:textId="4FFC921A" w:rsidR="003754FE" w:rsidRDefault="003754FE" w:rsidP="003754FE">
      <w:pPr>
        <w:pStyle w:val="TextoNormal"/>
      </w:pPr>
      <w:r>
        <w:t xml:space="preserve">“[C]uando las partes se someten a un arbitraje de equidad, aunque ello no excluya necesariamente la posibilidad de que los árbitros refuercen ‘su saber y entender’ con conocimientos jurídicos, pueden prescindir de las normas jurídicas y recurrir a un razonamiento diferente al que se desprende de su aplicación, porque lo que se resuelve </w:t>
      </w:r>
      <w:r w:rsidRPr="003754FE">
        <w:rPr>
          <w:i/>
        </w:rPr>
        <w:t>ex</w:t>
      </w:r>
      <w:r>
        <w:t xml:space="preserve"> </w:t>
      </w:r>
      <w:r w:rsidRPr="003754FE">
        <w:rPr>
          <w:i/>
        </w:rPr>
        <w:t>aequo et bono</w:t>
      </w:r>
      <w:r>
        <w:t xml:space="preserve"> debe ser decidido por consideraciones relativas a lo justo o equitativo. Y aquí también debe quedar meridianamente claro que es el tribunal arbitral el único legitimado para optar por la solución que considere más justa y equitativa, teniendo en cuenta todas las circunstancias del caso, incluso si tal solución es incompatible con la que resultaría de la aplicación de las normas del Derecho material. El canon de motivación, en este caso, es más tenue, si bien es imprescindible que se plasmen en el laudo los fundamentos —no necesariamente jurídicos— que permitan conocer cuáles son las razones, incluso sucintamente expuestas, por las que el árbitro se ha inclinado por una de las posiciones opuestas de los litigantes” (STC 17/2021, FJ 2).</w:t>
      </w:r>
    </w:p>
    <w:p w14:paraId="1DB15D70" w14:textId="77777777" w:rsidR="003754FE" w:rsidRDefault="003754FE" w:rsidP="003754FE">
      <w:pPr>
        <w:pStyle w:val="TextoNormal"/>
      </w:pPr>
    </w:p>
    <w:p w14:paraId="0089F5C2" w14:textId="77777777" w:rsidR="003754FE" w:rsidRDefault="003754FE" w:rsidP="003754FE">
      <w:pPr>
        <w:pStyle w:val="TextoNormal"/>
      </w:pPr>
      <w:r w:rsidRPr="003754FE">
        <w:rPr>
          <w:rStyle w:val="NumeroAFNegritaCaracter"/>
        </w:rPr>
        <w:t>4</w:t>
      </w:r>
      <w:r>
        <w:t xml:space="preserve">. </w:t>
      </w:r>
      <w:r w:rsidRPr="003754FE">
        <w:rPr>
          <w:i/>
        </w:rPr>
        <w:t>Doctrina sobre el significado de la noción de orden público como causa de la acción de anulación. Distinción entre orden público material y orden público procesal</w:t>
      </w:r>
    </w:p>
    <w:p w14:paraId="3D9D7283" w14:textId="77777777" w:rsidR="003754FE" w:rsidRDefault="003754FE" w:rsidP="003754FE">
      <w:pPr>
        <w:pStyle w:val="TextoNormal"/>
      </w:pPr>
    </w:p>
    <w:p w14:paraId="019EE3E7" w14:textId="77777777" w:rsidR="003754FE" w:rsidRDefault="003754FE" w:rsidP="003754FE">
      <w:pPr>
        <w:pStyle w:val="TextoNormal"/>
      </w:pPr>
      <w:r>
        <w:t>“Es cierto que la contravención del ‘orden público’ se establece en el art. 41.1 f) de la Ley de arbitraje como motivo de anulación y en el art. V.2 B) del Convenio de Nueva York de 1958 como causa de denegación del reconocimiento de laudos extranjeros. […]</w:t>
      </w:r>
    </w:p>
    <w:p w14:paraId="73308AC6" w14:textId="77777777" w:rsidR="003754FE" w:rsidRDefault="003754FE" w:rsidP="003754FE">
      <w:pPr>
        <w:pStyle w:val="TextoNormal"/>
      </w:pPr>
    </w:p>
    <w:p w14:paraId="7CC84F26" w14:textId="14E216FB" w:rsidR="003754FE" w:rsidRDefault="003754FE" w:rsidP="003754FE">
      <w:pPr>
        <w:pStyle w:val="TextoNormal"/>
      </w:pPr>
      <w:r>
        <w:t xml:space="preserve">Es jurisprudencia reiterada de este tribunal la de que por orden público material se entiende el conjunto de principios jurídicos públicos, privados, políticos, morales y económicos, que son absolutamente obligatorios para la conservación de la sociedad en un pueblo y en una época determinada (SSTC 15/1987, de 11 febrero; 116/1988, de 20 junio, y 54/1989, de 23 febrero), y, desde el punto de vista procesal, el orden público se configura como el conjunto de formalidades y principios necesarios de nuestro ordenamiento jurídico procesal, y solo el arbitraje que contradiga alguno o algunos de tales principios podrá ser tachado de nulo por vulneración del orden público. Puede decirse que el orden público comprende los derechos fundamentales y las libertades garantizados por la Constitución, así como otros principios esenciales indisponibles para el legislador por exigencia constitucional o de la </w:t>
      </w:r>
      <w:r>
        <w:lastRenderedPageBreak/>
        <w:t>aplicación de principios admitidos internacionalmente” (STC 46/2020, FJ 4. En el mismo sentido, SSTC 17/2021, FJ 2; 65/2021, FJ 3; 50/2022, FJ 3, y 79/2022, FJ 2).</w:t>
      </w:r>
    </w:p>
    <w:p w14:paraId="2E8175E5" w14:textId="77777777" w:rsidR="003754FE" w:rsidRDefault="003754FE" w:rsidP="003754FE">
      <w:pPr>
        <w:pStyle w:val="TextoNormal"/>
      </w:pPr>
    </w:p>
    <w:p w14:paraId="33F957B8" w14:textId="77777777" w:rsidR="003754FE" w:rsidRDefault="003754FE" w:rsidP="003754FE">
      <w:pPr>
        <w:pStyle w:val="TextoNormal"/>
      </w:pPr>
      <w:r w:rsidRPr="003754FE">
        <w:rPr>
          <w:rStyle w:val="NumeroAFNegritaCaracter"/>
        </w:rPr>
        <w:t>5</w:t>
      </w:r>
      <w:r>
        <w:t xml:space="preserve">. </w:t>
      </w:r>
      <w:r w:rsidRPr="003754FE">
        <w:rPr>
          <w:i/>
        </w:rPr>
        <w:t xml:space="preserve">Doctrina sobre el alcance y los límites de la revisión judicial del laudo por contradicción con el orden público en la acción de anulación [art. 41.1 f) de la Ley de arbitraje] </w:t>
      </w:r>
    </w:p>
    <w:p w14:paraId="46A7CD31" w14:textId="77777777" w:rsidR="003754FE" w:rsidRDefault="003754FE" w:rsidP="003754FE">
      <w:pPr>
        <w:pStyle w:val="TextoNormal"/>
      </w:pPr>
    </w:p>
    <w:p w14:paraId="428C0836" w14:textId="77777777" w:rsidR="003754FE" w:rsidRDefault="003754FE" w:rsidP="003754FE">
      <w:pPr>
        <w:pStyle w:val="TextoNormal"/>
      </w:pPr>
      <w:r>
        <w:t>A) Alcance de su control (lo que puede revisar el órgano judicial)</w:t>
      </w:r>
    </w:p>
    <w:p w14:paraId="288AE178" w14:textId="77777777" w:rsidR="003754FE" w:rsidRDefault="003754FE" w:rsidP="003754FE">
      <w:pPr>
        <w:pStyle w:val="TextoNormal"/>
      </w:pPr>
    </w:p>
    <w:p w14:paraId="2AD0177B" w14:textId="77777777" w:rsidR="003754FE" w:rsidRDefault="003754FE" w:rsidP="003754FE">
      <w:pPr>
        <w:pStyle w:val="TextoNormal"/>
      </w:pPr>
      <w:r>
        <w:t>a) Dicho control está sujeto a interpretación restrictiva</w:t>
      </w:r>
    </w:p>
    <w:p w14:paraId="01EFB8D4" w14:textId="77777777" w:rsidR="003754FE" w:rsidRDefault="003754FE" w:rsidP="003754FE">
      <w:pPr>
        <w:pStyle w:val="TextoNormal"/>
      </w:pPr>
    </w:p>
    <w:p w14:paraId="3C534204" w14:textId="77777777" w:rsidR="003754FE" w:rsidRDefault="003754FE" w:rsidP="003754FE">
      <w:pPr>
        <w:pStyle w:val="TextoNormal"/>
      </w:pPr>
      <w:r>
        <w:t>“[Se impone al órgano judicial] la necesidad de llevar a cabo una interpretación restrictiva del mismo [concepto de orden público], so pena de vulnerar la autonomía de la voluntad de las partes (art. 10 CE) y su renuncia puntual a la tutela jurisdiccional (art. 24 CE)” (STC 17/2021, FJ 2. En el mismo sentido, STC 50/2022, FJ 3).</w:t>
      </w:r>
    </w:p>
    <w:p w14:paraId="7EDE222B" w14:textId="77777777" w:rsidR="003754FE" w:rsidRDefault="003754FE" w:rsidP="003754FE">
      <w:pPr>
        <w:pStyle w:val="TextoNormal"/>
      </w:pPr>
    </w:p>
    <w:p w14:paraId="4C575D0E" w14:textId="77777777" w:rsidR="003754FE" w:rsidRDefault="003754FE" w:rsidP="003754FE">
      <w:pPr>
        <w:pStyle w:val="TextoNormal"/>
      </w:pPr>
      <w:r>
        <w:t>b) Comprende los supuestos de procedencia del arbitraje y la regularidad y garantías del procedimiento arbitral</w:t>
      </w:r>
    </w:p>
    <w:p w14:paraId="78ABFD35" w14:textId="77777777" w:rsidR="003754FE" w:rsidRDefault="003754FE" w:rsidP="003754FE">
      <w:pPr>
        <w:pStyle w:val="TextoNormal"/>
      </w:pPr>
    </w:p>
    <w:p w14:paraId="7C4A75F7" w14:textId="77777777" w:rsidR="003754FE" w:rsidRDefault="003754FE" w:rsidP="003754FE">
      <w:pPr>
        <w:pStyle w:val="TextoNormal"/>
      </w:pPr>
      <w:r>
        <w:t>(i) “[La valoración del órgano judicial] debe ceñirse al enjuiciamiento respecto de la legalidad del convenio arbitral, la arbitrabilidad de la materia y la regularidad procedimental del desarrollo del arbitraje” (STC 17/2021, FJ 2. En el mismo sentido, SSTC 50/2022, FJ 3, y 79/2022, FJ 2).</w:t>
      </w:r>
    </w:p>
    <w:p w14:paraId="41CA2066" w14:textId="77777777" w:rsidR="003754FE" w:rsidRDefault="003754FE" w:rsidP="003754FE">
      <w:pPr>
        <w:pStyle w:val="TextoNormal"/>
      </w:pPr>
    </w:p>
    <w:p w14:paraId="14999BC0" w14:textId="77777777" w:rsidR="003754FE" w:rsidRDefault="003754FE" w:rsidP="003754FE">
      <w:pPr>
        <w:pStyle w:val="TextoNormal"/>
      </w:pPr>
      <w:r>
        <w:t>(ii) “La acción de anulación, por consiguiente, solo puede tener como objeto el análisis de los posibles errores procesales en que haya podido incurrir el proceso arbitral, referidos al cumplimiento de las garantías fundamentales, como lo son, por ejemplo, el derecho de defensa, igualdad, bilateralidad, contradicción y prueba, o cuando el laudo carezca de motivación, sea incongruente, infrinja normas legales imperativas o vulnere la intangibilidad de una resolución firme anterior” [STC 17/2021, FJ 2. En el mismo sentido, SSTC 65/2021, FJ 3, y 50/2022, FJ 3, y ATC 1/2023, FJ 4 b)].</w:t>
      </w:r>
    </w:p>
    <w:p w14:paraId="5E2B3C71" w14:textId="77777777" w:rsidR="003754FE" w:rsidRDefault="003754FE" w:rsidP="003754FE">
      <w:pPr>
        <w:pStyle w:val="TextoNormal"/>
      </w:pPr>
    </w:p>
    <w:p w14:paraId="02FC9D54" w14:textId="77777777" w:rsidR="003754FE" w:rsidRDefault="003754FE" w:rsidP="003754FE">
      <w:pPr>
        <w:pStyle w:val="TextoNormal"/>
      </w:pPr>
      <w:r>
        <w:t>c) También la existencia de motivación en el laudo pero no su suficiencia, salvo excepción</w:t>
      </w:r>
    </w:p>
    <w:p w14:paraId="2E257B36" w14:textId="77777777" w:rsidR="003754FE" w:rsidRDefault="003754FE" w:rsidP="003754FE">
      <w:pPr>
        <w:pStyle w:val="TextoNormal"/>
      </w:pPr>
    </w:p>
    <w:p w14:paraId="0F23A100" w14:textId="77777777" w:rsidR="003754FE" w:rsidRDefault="003754FE" w:rsidP="003754FE">
      <w:pPr>
        <w:pStyle w:val="TextoNormal"/>
      </w:pPr>
      <w:r>
        <w:t>(i) “De esto se sigue que el órgano judicial que tiene atribuida la facultad de control del laudo arbitral, como resultado del ejercicio de una acción extraordinaria de anulación, no puede examinar la idoneidad, suficiencia o la adecuación de la motivación, sino únicamente comprobar su existencia, porque, salvo que las partes hubieren pactado unas determinadas exigencias o un contenido específico respecto a la motivación, su insuficiencia o inadecuación, el alcance o la suficiencia de la motivación no puede desprenderse de la voluntad de las partes (art. 10 CE). Cabe, pues, exigir la motivación del laudo establecida en el art. 37.4 LA, pues las partes tienen derecho a conocer las razones de la decisión” (STC 65/2021, FJ 5. En el mismo sentido, STC 50/2022, FJ 3).</w:t>
      </w:r>
    </w:p>
    <w:p w14:paraId="21F380AF" w14:textId="77777777" w:rsidR="003754FE" w:rsidRDefault="003754FE" w:rsidP="003754FE">
      <w:pPr>
        <w:pStyle w:val="TextoNormal"/>
      </w:pPr>
    </w:p>
    <w:p w14:paraId="1EE1F28E" w14:textId="77777777" w:rsidR="003754FE" w:rsidRDefault="003754FE" w:rsidP="003754FE">
      <w:pPr>
        <w:pStyle w:val="TextoNormal"/>
      </w:pPr>
      <w:r>
        <w:t xml:space="preserve">(ii) “De ese modo, las posibilidades de control judicial sobre la motivación del laudo son en cierto modo similares a las que el tribunal reconoce cuando revisa en amparo las decisiones judiciales, insistiendo desde antiguo en que ‘este tribunal no es una tercera instancia casacional en la que se pueda entrar a valorar las pruebas, sustituyendo a los jueces y </w:t>
      </w:r>
      <w:r>
        <w:lastRenderedPageBreak/>
        <w:t>tribunales ordinarios en la función exclusiva que les atribuye el art. 117.3 CE, quedando limitada su función a comprobar que haya habido una actividad probatoria de cargo válida y que la resolución judicial no haya sido arbitraria, irracional o absurda (SSTC 96/2000, de 10 de abril, FJ 5, y 12/2004, de 9 de febrero, FJ 2), o lo que es lo mismo, debe controlar únicamente la razonabilidad del discurso que une la actividad probatoria y el relato fáctico que de ella resulta (por todas, SSTC 123/2006, de 24 de abril, FJ 5; 245/2007, de 10 de diciembre, FJ 7, y 147/2009, de 15 de junio)’. En este caso, la Sala de lo Civil y Penal del Tribunal Superior de Justicia de Madrid no es una tercera instancia y solo debe controlar que se han cumplido las garantías del procedimiento arbitral y el respeto a los derechos y principios de defensa, igualdad, bilateralidad, contradicción y prueba; así como que la resolución arbitral no sea arbitraria, irracional o absurda desde un mero control externo, lo que significa que no lo sea sin entrar a valorar el fondo del asunto” (STC 65/2021, FJ 5).</w:t>
      </w:r>
    </w:p>
    <w:p w14:paraId="1E728BB8" w14:textId="77777777" w:rsidR="003754FE" w:rsidRDefault="003754FE" w:rsidP="003754FE">
      <w:pPr>
        <w:pStyle w:val="TextoNormal"/>
      </w:pPr>
    </w:p>
    <w:p w14:paraId="248C5FD8" w14:textId="77777777" w:rsidR="003754FE" w:rsidRDefault="003754FE" w:rsidP="003754FE">
      <w:pPr>
        <w:pStyle w:val="TextoNormal"/>
      </w:pPr>
      <w:r>
        <w:t>d) La infracción de normas imperativas</w:t>
      </w:r>
    </w:p>
    <w:p w14:paraId="65C53C27" w14:textId="77777777" w:rsidR="003754FE" w:rsidRDefault="003754FE" w:rsidP="003754FE">
      <w:pPr>
        <w:pStyle w:val="TextoNormal"/>
      </w:pPr>
    </w:p>
    <w:p w14:paraId="23BFE28B" w14:textId="77777777" w:rsidR="003754FE" w:rsidRDefault="003754FE" w:rsidP="003754FE">
      <w:pPr>
        <w:pStyle w:val="TextoNormal"/>
      </w:pPr>
      <w:r>
        <w:t>“[Procede el control judicial] cuando […] se hayan infirngido normas legales imperativas” [STC 17/2021, FJ 2. En el mismo sentido, SSTC 65/2021, FJ 3, y 50/2022, FJ 3, y ATC 1/2023, FJ 4 b)].</w:t>
      </w:r>
    </w:p>
    <w:p w14:paraId="4CDDBD3F" w14:textId="77777777" w:rsidR="003754FE" w:rsidRDefault="003754FE" w:rsidP="003754FE">
      <w:pPr>
        <w:pStyle w:val="TextoNormal"/>
      </w:pPr>
    </w:p>
    <w:p w14:paraId="51FA0296" w14:textId="77777777" w:rsidR="003754FE" w:rsidRDefault="003754FE" w:rsidP="003754FE">
      <w:pPr>
        <w:pStyle w:val="TextoNormal"/>
      </w:pPr>
      <w:r>
        <w:t>e) Los presupuestos de una institución procesal</w:t>
      </w:r>
    </w:p>
    <w:p w14:paraId="278AFDC1" w14:textId="77777777" w:rsidR="003754FE" w:rsidRDefault="003754FE" w:rsidP="003754FE">
      <w:pPr>
        <w:pStyle w:val="TextoNormal"/>
      </w:pPr>
    </w:p>
    <w:p w14:paraId="613EAE08" w14:textId="77777777" w:rsidR="003754FE" w:rsidRDefault="003754FE" w:rsidP="003754FE">
      <w:pPr>
        <w:pStyle w:val="TextoNormal"/>
      </w:pPr>
      <w:r>
        <w:t>“[L]a acreditación de la concurrencia de los presupuestos procesales que llevan a la apreciación del instituto de la prejudicialidad penal es una cuestión que ha de valorarse por el tribunal arbitral, en cuanto que ese juicio no excede del ámbito de la legalidad ordinaria (STC 224/1988, de 25 de noviembre, FJ 5), correspondiendo al órgano judicial únicamente controlar si esa decisión es respetuosa con las exigencias del orden público (STC 46/2020, FJ 4)” (STC 50/2022, FJ 5).</w:t>
      </w:r>
    </w:p>
    <w:p w14:paraId="7B72C01E" w14:textId="77777777" w:rsidR="003754FE" w:rsidRDefault="003754FE" w:rsidP="003754FE">
      <w:pPr>
        <w:pStyle w:val="TextoNormal"/>
      </w:pPr>
    </w:p>
    <w:p w14:paraId="6FFBC4B9" w14:textId="77777777" w:rsidR="003754FE" w:rsidRDefault="003754FE" w:rsidP="003754FE">
      <w:pPr>
        <w:pStyle w:val="TextoNormal"/>
      </w:pPr>
      <w:r>
        <w:t>B) Límites del control (lo que le está vedado hacer al órgano judicial)</w:t>
      </w:r>
    </w:p>
    <w:p w14:paraId="08F3129B" w14:textId="77777777" w:rsidR="003754FE" w:rsidRDefault="003754FE" w:rsidP="003754FE">
      <w:pPr>
        <w:pStyle w:val="TextoNormal"/>
      </w:pPr>
    </w:p>
    <w:p w14:paraId="73C155FA" w14:textId="77777777" w:rsidR="003754FE" w:rsidRDefault="003754FE" w:rsidP="003754FE">
      <w:pPr>
        <w:pStyle w:val="TextoNormal"/>
      </w:pPr>
      <w:r>
        <w:t>a) No puede revisar el fondo del asunto sometido a arbitraje ni sustituir la decisión del árbitro por la suya propia</w:t>
      </w:r>
    </w:p>
    <w:p w14:paraId="7F69803D" w14:textId="77777777" w:rsidR="003754FE" w:rsidRDefault="003754FE" w:rsidP="003754FE">
      <w:pPr>
        <w:pStyle w:val="TextoNormal"/>
      </w:pPr>
    </w:p>
    <w:p w14:paraId="7F50E0F9" w14:textId="77777777" w:rsidR="003754FE" w:rsidRDefault="003754FE" w:rsidP="003754FE">
      <w:pPr>
        <w:pStyle w:val="TextoNormal"/>
      </w:pPr>
      <w:r>
        <w:t>(i) “Precisamente porque el concepto de orden público es poco nítido se multiplica el riesgo de que se convierta en un mero pretexto para que el órgano judicial reexamine las cuestiones debatidas en el procedimiento arbitral desnaturalizando la institución arbitral y vulnerando al final la autonomía de la voluntad de las partes. El órgano judicial no puede, con la excusa de una pretendida vulneración del orden público, revisar el fondo de un asunto sometido a arbitraje y mostrar lo que es una mera discrepancia con el ejercicio del derecho de desistimiento de las partes” (STC 46/2020, FJ 4. En el mismo sentido, STC 65/2021, FJ 3).</w:t>
      </w:r>
    </w:p>
    <w:p w14:paraId="3FB17AA1" w14:textId="77777777" w:rsidR="003754FE" w:rsidRDefault="003754FE" w:rsidP="003754FE">
      <w:pPr>
        <w:pStyle w:val="TextoNormal"/>
      </w:pPr>
    </w:p>
    <w:p w14:paraId="15C3607D" w14:textId="77777777" w:rsidR="003754FE" w:rsidRDefault="003754FE" w:rsidP="003754FE">
      <w:pPr>
        <w:pStyle w:val="TextoNormal"/>
      </w:pPr>
      <w:r>
        <w:t xml:space="preserve">(ii) “[D]e acuerdo con la doctrina anteriormente reproducida, entiende este tribunal que debe reputarse contrario al derecho a la tutela judicial efectiva de los recurrentes el razonamiento del órgano judicial que niega virtualidad a un acuerdo basado en el poder dispositivo de las partes sin que medie norma prohibitiva que así lo autorice, imponiendo una decisión que subvierte el sentido del proceso civil y niega los principios en que se basa, en concreto, </w:t>
      </w:r>
      <w:r>
        <w:lastRenderedPageBreak/>
        <w:t>el principio dispositivo o de justicia rogada” (STC 46/2020, FJ 4. En el mismo sentido, STC 55/2021, FJ 3).</w:t>
      </w:r>
    </w:p>
    <w:p w14:paraId="18223EE0" w14:textId="77777777" w:rsidR="003754FE" w:rsidRDefault="003754FE" w:rsidP="003754FE">
      <w:pPr>
        <w:pStyle w:val="TextoNormal"/>
      </w:pPr>
    </w:p>
    <w:p w14:paraId="70C17E51" w14:textId="77777777" w:rsidR="003754FE" w:rsidRDefault="003754FE" w:rsidP="003754FE">
      <w:pPr>
        <w:pStyle w:val="TextoNormal"/>
      </w:pPr>
      <w:r>
        <w:t>(iii) “[L]a valoración del órgano judicial competente sobre una posible contradicción del laudo con el orden público, no puede consistir en un nuevo análisis del asunto sometido a arbitraje, sustituyendo el papel del árbitro en la solución de la controversia” (STC 17/2021, FJ 2. En el mismo sentido, STC 50/2022, FJ 3).</w:t>
      </w:r>
    </w:p>
    <w:p w14:paraId="127EB668" w14:textId="77777777" w:rsidR="003754FE" w:rsidRDefault="003754FE" w:rsidP="003754FE">
      <w:pPr>
        <w:pStyle w:val="TextoNormal"/>
      </w:pPr>
    </w:p>
    <w:p w14:paraId="398CFE24" w14:textId="77777777" w:rsidR="003754FE" w:rsidRDefault="003754FE" w:rsidP="003754FE">
      <w:pPr>
        <w:pStyle w:val="TextoNormal"/>
      </w:pPr>
      <w:r>
        <w:t>(iv) “Debe quedar, por tanto, firme la idea de que el motivo previsto en el apartado 1, letra f) del art. 41 LA no permite sustituir el criterio alcanzado por el árbitro por parte de los jueces que conocen de la anulación del laudo, así como que la noción de orden público no puede ser tomada como un cajón de sastre o una puerta falsa —en palabras del propio Tribunal Superior de Justicia de Madrid (sentencia de 21 mayo de 2013)— que permita el control de la decisión arbitral” (STC 17/2021, FJ 2. En el mismo sentido, SSTC 65/2021, FJ 3, y 79/2022, FJ 2).</w:t>
      </w:r>
    </w:p>
    <w:p w14:paraId="6C164162" w14:textId="77777777" w:rsidR="003754FE" w:rsidRDefault="003754FE" w:rsidP="003754FE">
      <w:pPr>
        <w:pStyle w:val="TextoNormal"/>
      </w:pPr>
    </w:p>
    <w:p w14:paraId="5EA6DFF2" w14:textId="77777777" w:rsidR="003754FE" w:rsidRDefault="003754FE" w:rsidP="003754FE">
      <w:pPr>
        <w:pStyle w:val="TextoNormal"/>
      </w:pPr>
      <w:r>
        <w:t>(v) “Dicho de otro modo, el posible control judicial del laudo y su conformidad con el orden público no puede traer como consecuencia que el órgano judicial supla al tribunal arbitral en su función de aplicación del Derecho. Tampoco es una segunda instancia revisora de los hechos y los derechos aplicados en el laudo, ni un mecanismo de control de la correcta aplicación de la jurisprudencia. Por consiguiente, debe subrayarse una vez más que si la resolución arbitral no puede tacharse de arbitraria, ilógica, absurda o irracional, no cabe declarar su nulidad amparándose en la noción de orden público” (STC 17/2021, FJ 2).</w:t>
      </w:r>
    </w:p>
    <w:p w14:paraId="2D27E491" w14:textId="77777777" w:rsidR="003754FE" w:rsidRDefault="003754FE" w:rsidP="003754FE">
      <w:pPr>
        <w:pStyle w:val="TextoNormal"/>
      </w:pPr>
    </w:p>
    <w:p w14:paraId="11CAC04C" w14:textId="77777777" w:rsidR="003754FE" w:rsidRDefault="003754FE" w:rsidP="003754FE">
      <w:pPr>
        <w:pStyle w:val="TextoNormal"/>
      </w:pPr>
      <w:r>
        <w:t>(vi) “No cabe deducir de la previsión legal la necesidad de que el árbitro analice en el laudo todas las pruebas y argumentos de las partes, sino tan solo que consten las razones de la decisión” (STC 17/2021, FJ 3).</w:t>
      </w:r>
    </w:p>
    <w:p w14:paraId="6EA6D31A" w14:textId="77777777" w:rsidR="003754FE" w:rsidRDefault="003754FE" w:rsidP="003754FE">
      <w:pPr>
        <w:pStyle w:val="TextoNormal"/>
      </w:pPr>
    </w:p>
    <w:p w14:paraId="68C0EE86" w14:textId="77777777" w:rsidR="003754FE" w:rsidRDefault="003754FE" w:rsidP="003754FE">
      <w:pPr>
        <w:pStyle w:val="TextoNormal"/>
      </w:pPr>
      <w:r>
        <w:t>(vii) “[S]in que tampoco se obligue a que tales razones [que fundan la decisión del laudo] deban ser correctas, según el criterio del juez que deba resolver su impugnación” (STC 17/2021, FJ 3).</w:t>
      </w:r>
    </w:p>
    <w:p w14:paraId="1DBB300A" w14:textId="77777777" w:rsidR="003754FE" w:rsidRDefault="003754FE" w:rsidP="003754FE">
      <w:pPr>
        <w:pStyle w:val="TextoNormal"/>
      </w:pPr>
    </w:p>
    <w:p w14:paraId="4EAC5820" w14:textId="77777777" w:rsidR="003754FE" w:rsidRDefault="003754FE" w:rsidP="003754FE">
      <w:pPr>
        <w:pStyle w:val="TextoNormal"/>
      </w:pPr>
      <w:r>
        <w:t>(viii) “[N]o es lícito anular un laudo arbitral, como máxima expresión de la autonomía de las partes (art. 10 CE) y del ejercicio de su libertad (art. 1 CE) por el solo hecho de que las conclusiones alcanzadas por el árbitro o por el colegio arbitral sean consideradas, a ojos del órgano judicial, erróneas o insuficientes, o, simplemente, porque de haber sido sometida la controversia a su valoración, hubiera llegado a otras bien diferentes” (STC 65/2021, FJ 3; en el mismo sentido, STC 50/2022, FJ 3).</w:t>
      </w:r>
    </w:p>
    <w:p w14:paraId="37EA3FF1" w14:textId="77777777" w:rsidR="003754FE" w:rsidRDefault="003754FE" w:rsidP="003754FE">
      <w:pPr>
        <w:pStyle w:val="TextoNormal"/>
      </w:pPr>
    </w:p>
    <w:p w14:paraId="6CE3B7C6" w14:textId="77777777" w:rsidR="003754FE" w:rsidRDefault="003754FE" w:rsidP="003754FE">
      <w:pPr>
        <w:pStyle w:val="TextoNormal"/>
      </w:pPr>
      <w:r>
        <w:t>(ix) “El Tribunal reitera, pues, que el control que pueden desplegar los jueces y tribunales que conocen de una pretensión anulatoria del laudo es muy limitado, y que no están legitimados para entrar en la cuestión de fondo ni para valorar la prueba practicada, los razonamientos jurídicos y las conclusiones alcanzadas por el árbitro” (STC 65/2021, FJ 4; en el mismo sentido, STC 50/2022, FJ 3).</w:t>
      </w:r>
    </w:p>
    <w:p w14:paraId="6FFE0EC6" w14:textId="77777777" w:rsidR="003754FE" w:rsidRDefault="003754FE" w:rsidP="003754FE">
      <w:pPr>
        <w:pStyle w:val="TextoNormal"/>
      </w:pPr>
    </w:p>
    <w:p w14:paraId="0F3F52DA" w14:textId="77777777" w:rsidR="003754FE" w:rsidRDefault="003754FE" w:rsidP="003754FE">
      <w:pPr>
        <w:pStyle w:val="TextoNormal"/>
      </w:pPr>
      <w:r>
        <w:t xml:space="preserve">(x) “En consecuencia, en aquellos supuestos en los que el árbitro razona y argumenta su decisión, habrá visto cumplida la exigencia de motivación, sin que el órgano judicial pueda revisar su adecuación al Derecho aplicable o entrar a juzgar sobre la correcta valoración de </w:t>
      </w:r>
      <w:r>
        <w:lastRenderedPageBreak/>
        <w:t>las pruebas, por más que de haber sido él quien tuviera encomendado el enjuiciamiento del asunto, las hubiera razonado y valorado de diversa manera” (STC 65/2021, FJ 5; en el mismo sentido, STC 50/2022, FJ 3).</w:t>
      </w:r>
    </w:p>
    <w:p w14:paraId="1E8EEC5F" w14:textId="77777777" w:rsidR="003754FE" w:rsidRDefault="003754FE" w:rsidP="003754FE">
      <w:pPr>
        <w:pStyle w:val="TextoNormal"/>
      </w:pPr>
    </w:p>
    <w:p w14:paraId="37B60291" w14:textId="77777777" w:rsidR="003754FE" w:rsidRDefault="003754FE" w:rsidP="003754FE">
      <w:pPr>
        <w:pStyle w:val="TextoNormal"/>
      </w:pPr>
      <w:r>
        <w:t xml:space="preserve">(xi) “El tribunal no comparte el criterio de la sentencia, no solo porque aplica las exigencias de motivación propias de las resoluciones judiciales (art. 24.1 CE) a los laudos arbitrales, ensanchando así la noción de orden público del art. 41.1 f) LA —pues como se declara </w:t>
      </w:r>
      <w:r w:rsidRPr="003754FE">
        <w:rPr>
          <w:i/>
        </w:rPr>
        <w:t>supra</w:t>
      </w:r>
      <w:r>
        <w:t xml:space="preserve">, unos y otros se asientan en derechos constitucionales diferentes (arts. 10 y 24 CE)—; sino, especialmente, porque entra en el fondo del debate de la cuestión controvertida, en vez de limitar su actuación de fiscalización a comprobar los posibles errores </w:t>
      </w:r>
      <w:r w:rsidRPr="003754FE">
        <w:rPr>
          <w:i/>
        </w:rPr>
        <w:t>in procedendo</w:t>
      </w:r>
      <w:r>
        <w:t xml:space="preserve"> o a la ausencia de motivación” (STC 65/2021, FJ 6).</w:t>
      </w:r>
    </w:p>
    <w:p w14:paraId="3201A709" w14:textId="77777777" w:rsidR="003754FE" w:rsidRDefault="003754FE" w:rsidP="003754FE">
      <w:pPr>
        <w:pStyle w:val="TextoNormal"/>
      </w:pPr>
    </w:p>
    <w:p w14:paraId="03414725" w14:textId="77777777" w:rsidR="003754FE" w:rsidRDefault="003754FE" w:rsidP="003754FE">
      <w:pPr>
        <w:pStyle w:val="TextoNormal"/>
      </w:pPr>
      <w:r>
        <w:t>(xii) “El interés, por tanto, que subyace en el rechazo [judicial] del desistimiento [formalizado por la parte demandante de la acción de anulación] se contrae al propio interés de esta Sala de pronunciarse sobre las cuestiones debatidas por las partes, a pesar de la nula intención de estas, lo que no puede considerarse un interés público legítimo, y más aún cuando contaría las reglas de disposición del proceso civil y puede incluso crear un conflicto entre los litigantes, más que solucionarlo, como es el fin del proceso, al alterar los acuerdos a los que han llegado e imponer a una de las partes las costas del contrario” (STC 55/2021, FJ 3).</w:t>
      </w:r>
    </w:p>
    <w:p w14:paraId="60AD1727" w14:textId="77777777" w:rsidR="003754FE" w:rsidRDefault="003754FE" w:rsidP="003754FE">
      <w:pPr>
        <w:pStyle w:val="TextoNormal"/>
      </w:pPr>
    </w:p>
    <w:p w14:paraId="03772842" w14:textId="77777777" w:rsidR="003754FE" w:rsidRDefault="003754FE" w:rsidP="003754FE">
      <w:pPr>
        <w:pStyle w:val="TextoNormal"/>
      </w:pPr>
      <w:r>
        <w:t>(xiii) “[N]o permite una revisión del fondo de la cuestión decidida por el árbitro, ni debe ser considerada como una segunda instancia, pudiendo fundarse exclusivamente en las causas tasadas establecidas en la ley, sin que ninguna de ellas —tampoco la relativa al orden público— pueda ser interpretada de modo que subvierta esta limitación” (STC 17/2021, FJ 2. En el mismo sentido, SSTC 50/2022, FJ 3, y 79/2022, FJ 2).</w:t>
      </w:r>
    </w:p>
    <w:p w14:paraId="53CE0E17" w14:textId="77777777" w:rsidR="003754FE" w:rsidRDefault="003754FE" w:rsidP="003754FE">
      <w:pPr>
        <w:pStyle w:val="TextoNormal"/>
      </w:pPr>
    </w:p>
    <w:p w14:paraId="7493383C" w14:textId="77777777" w:rsidR="003754FE" w:rsidRDefault="003754FE" w:rsidP="003754FE">
      <w:pPr>
        <w:pStyle w:val="TextoNormal"/>
      </w:pPr>
      <w:r>
        <w:t>(xiv) “En estos casos, el órgano judicial no es una nueva instancia dado que la acción de anulación contra el laudo habilita un control judicial meramente externo y no de fondo sobre la cuestión sometida a arbitraje. Por tanto, solo debe controlar que se han cumplido las garantías del procedimiento arbitral y el respeto a los derechos y principios de defensa, igualdad, bilateralidad, contradicción y prueba” (STC 50/2022, FJ 3).</w:t>
      </w:r>
    </w:p>
    <w:p w14:paraId="3231F7D7" w14:textId="77777777" w:rsidR="003754FE" w:rsidRDefault="003754FE" w:rsidP="003754FE">
      <w:pPr>
        <w:pStyle w:val="TextoNormal"/>
      </w:pPr>
    </w:p>
    <w:p w14:paraId="3DA134A2" w14:textId="77777777" w:rsidR="003754FE" w:rsidRDefault="003754FE" w:rsidP="003754FE">
      <w:pPr>
        <w:pStyle w:val="TextoNormal"/>
      </w:pPr>
      <w:r>
        <w:t>b) En particular, el debate sobre las pruebas</w:t>
      </w:r>
    </w:p>
    <w:p w14:paraId="2DEC6561" w14:textId="77777777" w:rsidR="003754FE" w:rsidRDefault="003754FE" w:rsidP="003754FE">
      <w:pPr>
        <w:pStyle w:val="TextoNormal"/>
      </w:pPr>
    </w:p>
    <w:p w14:paraId="4929ABE9" w14:textId="77777777" w:rsidR="003754FE" w:rsidRDefault="003754FE" w:rsidP="003754FE">
      <w:pPr>
        <w:pStyle w:val="TextoNormal"/>
      </w:pPr>
      <w:r>
        <w:t>“El debate sobre el contenido de las pruebas practicadas en el proceso arbitral, sobre la eficacia probatoria de las mismas, sobre su fuerza acreditativa, está, en principio, vedado al órgano judicial” (STC 79/2022, FJ 3).</w:t>
      </w:r>
    </w:p>
    <w:p w14:paraId="5E034CA5" w14:textId="77777777" w:rsidR="003754FE" w:rsidRDefault="003754FE" w:rsidP="003754FE">
      <w:pPr>
        <w:pStyle w:val="TextoNormal"/>
      </w:pPr>
    </w:p>
    <w:p w14:paraId="03FBE7CB" w14:textId="77777777" w:rsidR="003754FE" w:rsidRDefault="003754FE" w:rsidP="003754FE">
      <w:pPr>
        <w:pStyle w:val="TextoNormal"/>
      </w:pPr>
      <w:r>
        <w:t>c) En particular, la selección e interpretación de la norma sustantiva aplicable y en su caso la subsunción de los hechos en aquella</w:t>
      </w:r>
    </w:p>
    <w:p w14:paraId="50E41E73" w14:textId="77777777" w:rsidR="003754FE" w:rsidRDefault="003754FE" w:rsidP="003754FE">
      <w:pPr>
        <w:pStyle w:val="TextoNormal"/>
      </w:pPr>
    </w:p>
    <w:p w14:paraId="34A52CB8" w14:textId="77777777" w:rsidR="003754FE" w:rsidRDefault="003754FE" w:rsidP="003754FE">
      <w:pPr>
        <w:pStyle w:val="TextoNormal"/>
      </w:pPr>
      <w:r>
        <w:t xml:space="preserve">(i) “Como puede observarse, el órgano judicial, a pesar de reconocer expresamente la labor desplegada por el colegio arbitral en el enjuiciamiento y redacción del laudo, sin embargo, califica como arbitraria y errónea su decisión y, por ello, vulneradora del orden público. Para este tribunal, el ensanchamiento del concepto de orden público que realiza la resolución impugnada para revisar el fondo del litigio, excede del alcance de la acción de anulación, al margen de desconocer el poder de enjuiciamiento de los árbitros y la </w:t>
      </w:r>
      <w:r>
        <w:lastRenderedPageBreak/>
        <w:t xml:space="preserve">autonomía de la voluntad de las partes vulnerando el art. 24.1 CE. Aunque pudiera existir duda sobre la necesidad de que cualquier incumplimiento contractual conlleve la causación de daños y por ende la obligación de indemnizar, hay que subrayar que el derecho a la motivación del laudo, cuando sea preceptiva, no comporta la garantía de acierto del colegio arbitral ni de estimación de las pretensiones deducidas, ni un concreto entendimiento del sentido y alcance de la legislación aplicable al caso concreto (como acaece, </w:t>
      </w:r>
      <w:r w:rsidRPr="003754FE">
        <w:rPr>
          <w:i/>
        </w:rPr>
        <w:t>mutatis mutandis</w:t>
      </w:r>
      <w:r>
        <w:t>, con las resoluciones judiciales y se declara en las SSTC 50/1997, FJ 3, y 45/2005, FJ 3, entre otras muchas).</w:t>
      </w:r>
    </w:p>
    <w:p w14:paraId="14E7294A" w14:textId="77777777" w:rsidR="003754FE" w:rsidRDefault="003754FE" w:rsidP="003754FE">
      <w:pPr>
        <w:pStyle w:val="TextoNormal"/>
      </w:pPr>
    </w:p>
    <w:p w14:paraId="68CFB586" w14:textId="77777777" w:rsidR="003754FE" w:rsidRDefault="003754FE" w:rsidP="003754FE">
      <w:pPr>
        <w:pStyle w:val="TextoNormal"/>
      </w:pPr>
      <w:r>
        <w:t>Por consiguiente, el Tribunal aprecia que en el presente caso el órgano judicial ha incurrido en la vulneración del derecho a la tutela judicial efectiva, como consecuencia de un entendimiento extensivo del concepto de ‘orden público’ del art. 41.1 f) LA, que lo ha llevado a imponer a los árbitros una valoración distinta acerca de la obligación indemnizatoria en materia de incumplimiento contractual. El laudo impugnado no incurrió en irrazonabilidad o arbitrariedad, ni partió de premisas inexistentes o siguió un desarrollo argumental que incurriera en quiebras lógicas de tal magnitud que las conclusiones alcanzadas no puedan considerarse basadas en ninguna de las razones aducidas” (STC 65/2021, FJ 6. En el mismo sentido, STC 50/2022, FJ 5).</w:t>
      </w:r>
    </w:p>
    <w:p w14:paraId="0B406F0A" w14:textId="77777777" w:rsidR="003754FE" w:rsidRDefault="003754FE" w:rsidP="003754FE">
      <w:pPr>
        <w:pStyle w:val="TextoNormal"/>
      </w:pPr>
    </w:p>
    <w:p w14:paraId="34CDC720" w14:textId="77777777" w:rsidR="003754FE" w:rsidRDefault="003754FE" w:rsidP="003754FE">
      <w:pPr>
        <w:pStyle w:val="TextoNormal"/>
      </w:pPr>
      <w:r>
        <w:t>(ii) “Pero lo que el órgano judicial tiene vedado es, bajo pretexto de la realización del anterior examen externo, sustituir la valoración y motivación del tribunal arbitral por la suya propia, pues con ello excede sus atribuciones realizando una interpretación extensiva e injustificada de sus facultades de control del concepto de orden público del art. 41.1 f) de la Ley 60/2003 que supera el alcance de la acción de anulación.</w:t>
      </w:r>
    </w:p>
    <w:p w14:paraId="681D66F0" w14:textId="77777777" w:rsidR="003754FE" w:rsidRDefault="003754FE" w:rsidP="003754FE">
      <w:pPr>
        <w:pStyle w:val="TextoNormal"/>
      </w:pPr>
    </w:p>
    <w:p w14:paraId="49F90CC8" w14:textId="77777777" w:rsidR="003754FE" w:rsidRDefault="003754FE" w:rsidP="003754FE">
      <w:pPr>
        <w:pStyle w:val="TextoNormal"/>
      </w:pPr>
      <w:r>
        <w:t>Eso es lo que ha sucedido en el presente caso. […]</w:t>
      </w:r>
    </w:p>
    <w:p w14:paraId="3B578EC6" w14:textId="77777777" w:rsidR="003754FE" w:rsidRDefault="003754FE" w:rsidP="003754FE">
      <w:pPr>
        <w:pStyle w:val="TextoNormal"/>
      </w:pPr>
    </w:p>
    <w:p w14:paraId="1A4EEC1E" w14:textId="77777777" w:rsidR="003754FE" w:rsidRDefault="003754FE" w:rsidP="003754FE">
      <w:pPr>
        <w:pStyle w:val="TextoNormal"/>
      </w:pPr>
      <w:r>
        <w:t>El resultado es que, a través del juicio de anulación, se ha sustituido la decisión de los árbitros por la de los jueces, cambiando, como pone de manifiesto el fiscal, la valoración que hace el laudo por la de la sentencia. […]</w:t>
      </w:r>
    </w:p>
    <w:p w14:paraId="0010527F" w14:textId="77777777" w:rsidR="003754FE" w:rsidRDefault="003754FE" w:rsidP="003754FE">
      <w:pPr>
        <w:pStyle w:val="TextoNormal"/>
      </w:pPr>
    </w:p>
    <w:p w14:paraId="1453A10B" w14:textId="77777777" w:rsidR="003754FE" w:rsidRDefault="003754FE" w:rsidP="003754FE">
      <w:pPr>
        <w:pStyle w:val="TextoNormal"/>
      </w:pPr>
      <w:r>
        <w:t xml:space="preserve">La sentencia entra así en el fondo del debate de la cuestión controvertida, en vez de limitar su actuación de fiscalización a comprobar los posibles errores </w:t>
      </w:r>
      <w:r w:rsidRPr="003754FE">
        <w:rPr>
          <w:i/>
        </w:rPr>
        <w:t>in procedendo</w:t>
      </w:r>
      <w:r>
        <w:t xml:space="preserve"> o a la ausencia de motivación. Aprecia que el laudo está motivado pero la motivación del tribunal arbitral no le resulta convincente o, simplemente, no la comparte y, en virtud de ello, la sustituye por la suya, es decir, por un entendimiento distinto del alcanzado por el tribunal arbitral sobre la concurrencia o no de la prejudicialidad penal. […]</w:t>
      </w:r>
    </w:p>
    <w:p w14:paraId="631A513D" w14:textId="77777777" w:rsidR="003754FE" w:rsidRDefault="003754FE" w:rsidP="003754FE">
      <w:pPr>
        <w:pStyle w:val="TextoNormal"/>
      </w:pPr>
    </w:p>
    <w:p w14:paraId="7E359C96" w14:textId="77777777" w:rsidR="003754FE" w:rsidRDefault="003754FE" w:rsidP="003754FE">
      <w:pPr>
        <w:pStyle w:val="TextoNormal"/>
      </w:pPr>
      <w:r>
        <w:t>Que no se obtengan las mismas conclusiones no significa otra cosa que la existencia de una mera discrepancia de pareceres entre el árbitro y el órgano judicial, pero en absoluto puede hablarse de una vulneración del deber de motivar el laudo o de una decisión irracional por parte de quien fue encargado de dirimir la controversia” (STC 50/2022, FJ 5).</w:t>
      </w:r>
    </w:p>
    <w:p w14:paraId="4B928A9A" w14:textId="77777777" w:rsidR="003754FE" w:rsidRDefault="003754FE" w:rsidP="003754FE">
      <w:pPr>
        <w:pStyle w:val="TextoNormal"/>
      </w:pPr>
    </w:p>
    <w:p w14:paraId="5BD25503" w14:textId="0C329B64" w:rsidR="003754FE" w:rsidRDefault="003754FE" w:rsidP="003754FE">
      <w:pPr>
        <w:pStyle w:val="TextoNormal"/>
      </w:pPr>
      <w:r>
        <w:t>(iii) “Lo mismo cabe decir de la selección de la norma jurídica aplicable, su interpretación y subsunción en ella de los hechos probados, porque es una facultad que le corresponde exclusivamente al colegio arbitral designado por las partes y al que han encomendado, en virtud de su autonomía de la voluntad, la decisión de su controversia, con exclusión de los tribunales de justicia ordinarios” [STC 79/2022, FJ 3].</w:t>
      </w:r>
    </w:p>
    <w:p w14:paraId="258734B3" w14:textId="77777777" w:rsidR="003754FE" w:rsidRDefault="003754FE" w:rsidP="003754FE">
      <w:pPr>
        <w:pStyle w:val="TextoNormal"/>
      </w:pPr>
    </w:p>
    <w:p w14:paraId="6295CA7B" w14:textId="77777777" w:rsidR="003754FE" w:rsidRDefault="003754FE" w:rsidP="003754FE">
      <w:pPr>
        <w:pStyle w:val="TextoNormal"/>
      </w:pPr>
      <w:r w:rsidRPr="003754FE">
        <w:rPr>
          <w:rStyle w:val="NumeroAFNegritaCaracter"/>
        </w:rPr>
        <w:t>6</w:t>
      </w:r>
      <w:r>
        <w:t xml:space="preserve">. </w:t>
      </w:r>
      <w:r w:rsidRPr="003754FE">
        <w:rPr>
          <w:i/>
        </w:rPr>
        <w:t>Doctrina sobre el canon de control constitucional de las resoluciones judiciales que resuelven la acción de anulación de laudos arbitrales</w:t>
      </w:r>
    </w:p>
    <w:p w14:paraId="4E33851E" w14:textId="77777777" w:rsidR="003754FE" w:rsidRDefault="003754FE" w:rsidP="003754FE">
      <w:pPr>
        <w:pStyle w:val="TextoNormal"/>
      </w:pPr>
    </w:p>
    <w:p w14:paraId="1C65C3B9" w14:textId="77777777" w:rsidR="003754FE" w:rsidRDefault="003754FE" w:rsidP="003754FE">
      <w:pPr>
        <w:pStyle w:val="TextoNormal"/>
      </w:pPr>
      <w:r>
        <w:t>En las sentencias que conforman la doctrina de referencia, la faceta del derecho fundamental a la tutela judicial efectiva (art. 24.1 CE) concernida es la del derecho a una resolución motivada y que esté fundada en Derecho, aplicando un canon externo de control para verificar si la resolución impugnada es arbitraria, irrazonable o incurre en un error fáctico patente, partiendo en concreto de los límites impuestos al órgano judicial que resuelve la acción de anulación por contradicción del laudo con el orden público. Este es también el canon que hemos de aplicar para resolver el presente recurso de amparo.</w:t>
      </w:r>
    </w:p>
    <w:p w14:paraId="65114758" w14:textId="77777777" w:rsidR="003754FE" w:rsidRDefault="003754FE" w:rsidP="003754FE">
      <w:pPr>
        <w:pStyle w:val="TextoNormal"/>
      </w:pPr>
    </w:p>
    <w:p w14:paraId="4DF4B36E" w14:textId="77777777" w:rsidR="003754FE" w:rsidRDefault="003754FE" w:rsidP="003754FE">
      <w:pPr>
        <w:pStyle w:val="TextoNormal"/>
      </w:pPr>
      <w:r>
        <w:t xml:space="preserve">(i) “[D]ebemos dilucidar ahora si la motivación dada por el órgano judicial para anular el laudo arbitral es conforme con nuestro canon de motivación </w:t>
      </w:r>
      <w:r w:rsidRPr="003754FE">
        <w:rPr>
          <w:i/>
        </w:rPr>
        <w:t>ex</w:t>
      </w:r>
      <w:r>
        <w:t xml:space="preserve"> art. 24.1 CE. Dicho de otra manera, al igual que en otros supuestos semejantes, debe insistirse también ahora en que únicamente nos corresponde comprobar si la interpretación efectuada por las resoluciones impugnadas es o no respetuosa con el derecho a la tutela judicial efectiva de las demandantes de amparo y, en particular, como antes se ha subrayado, si esa interpretación revela un rigor o formalismo exagerado en relación con los fines que trata de preservar y el sacrificio que comporta y, en consecuencia, acaba por convertir en impracticable el arbitraje como modo heterónomo de resolución de conflictos, al que —recordemos de nuevo— es consustancial la mínima intervención de los órganos jurisdiccionales por virtud y a favor de la autonomía de la voluntad de las partes, que han decidido sustraer de la jurisdicción la resolución de sus posibles controversias y deferir a los árbitros el conocimiento y solución de sus conflictos, que desde ese momento quedan vedados a la jurisdicción por expresa voluntad de las partes” (STC 17/2021, FJ 3; en el mismo sentido, STC 79/2022, FJ 2).</w:t>
      </w:r>
    </w:p>
    <w:p w14:paraId="3C035BC3" w14:textId="77777777" w:rsidR="003754FE" w:rsidRDefault="003754FE" w:rsidP="003754FE">
      <w:pPr>
        <w:pStyle w:val="TextoNormal"/>
      </w:pPr>
    </w:p>
    <w:p w14:paraId="7FAFBBB3" w14:textId="77777777" w:rsidR="003754FE" w:rsidRDefault="003754FE" w:rsidP="003754FE">
      <w:pPr>
        <w:pStyle w:val="TextoNormal"/>
      </w:pPr>
      <w:r>
        <w:t>(ii) “En conclusión, este tribunal entiende que la decisión del órgano judicial […] fue contraria al canon de razonabilidad de las resoluciones judiciales y, por ello, vulneró el derecho fundamental de la demandante de amparo […] a la tutela judicial efectiva (art. 24.1 CE)” (STC 55/2021, FJ 3).</w:t>
      </w:r>
    </w:p>
    <w:p w14:paraId="65BCD99C" w14:textId="77777777" w:rsidR="003754FE" w:rsidRDefault="003754FE" w:rsidP="003754FE">
      <w:pPr>
        <w:pStyle w:val="TextoNormal"/>
      </w:pPr>
    </w:p>
    <w:p w14:paraId="6DB48876" w14:textId="29832F60" w:rsidR="003754FE" w:rsidRDefault="003754FE" w:rsidP="003754FE">
      <w:pPr>
        <w:pStyle w:val="TextoNormal"/>
      </w:pPr>
      <w:r>
        <w:t>(iii) “Tampoco es soslayable —a nuestro juicio— la relevante y general repercusión social o económica de la cuestión que en estos recursos ha suscitado, pues el mantenimiento de la tesis del órgano judicial puede afectar a un gran número de asuntos en los que las partes han acordado someter a arbitraje la resolución de sus diferencias, cuando no puede llegar a desincentivar el recurso a este sistema de solución de conflictos ante la eventualidad de que lo decidido por los árbitros a los que hayan acudido las partes en ejercicio de su autonomía de la voluntad, pueda ser objeto de una íntegra revisión en cuanto al fondo por los órganos judiciales, abocando a la inutilidad el referido sistema” (STC 79/2022, FJ 3).</w:t>
      </w:r>
    </w:p>
    <w:p w14:paraId="0082BE59" w14:textId="77777777" w:rsidR="003754FE" w:rsidRDefault="003754FE" w:rsidP="003754FE">
      <w:pPr>
        <w:pStyle w:val="TextoNormal"/>
      </w:pPr>
    </w:p>
    <w:p w14:paraId="6985B939" w14:textId="77777777" w:rsidR="003754FE" w:rsidRDefault="003754FE" w:rsidP="003754FE">
      <w:pPr>
        <w:pStyle w:val="TextoNormal"/>
      </w:pPr>
      <w:r w:rsidRPr="003754FE">
        <w:rPr>
          <w:rStyle w:val="NumeroAFNegritaCaracter"/>
        </w:rPr>
        <w:t>7</w:t>
      </w:r>
      <w:r>
        <w:t xml:space="preserve">. </w:t>
      </w:r>
      <w:r w:rsidRPr="003754FE">
        <w:rPr>
          <w:i/>
        </w:rPr>
        <w:t>Aplicación de la doctrina al caso planteado</w:t>
      </w:r>
    </w:p>
    <w:p w14:paraId="3EFE0039" w14:textId="77777777" w:rsidR="003754FE" w:rsidRDefault="003754FE" w:rsidP="003754FE">
      <w:pPr>
        <w:pStyle w:val="TextoNormal"/>
      </w:pPr>
    </w:p>
    <w:p w14:paraId="5C621D81" w14:textId="77777777" w:rsidR="003754FE" w:rsidRDefault="003754FE" w:rsidP="003754FE">
      <w:pPr>
        <w:pStyle w:val="TextoNormal"/>
      </w:pPr>
      <w:r>
        <w:t xml:space="preserve">La sentencia de la Sala de lo Civil y Penal del Tribunal Superior de Justicia de Madrid anula parcialmente el laudo impugnado en la acción de anulación promovida por la parte actora del procedimiento arbitral, al entender que comete un error en la selección de la normativa aplicable, puesto que la mayoría del colegio arbitral sustenta su decisión, según se desprende de los apartados 293 y 294 del laudo, en el examen exclusivo de las conductas </w:t>
      </w:r>
      <w:r>
        <w:lastRenderedPageBreak/>
        <w:t>colusorias previstas en el art. 1.1 LDC, obviando que el apartado 4 de dicho precepto señala que: “La prohibición del apartado 1 no se aplicará a los acuerdos, decisiones, o recomendaciones colectivas, o prácticas concertadas o conscientemente paralelas que cumplan las disposiciones establecidas en los reglamentos comunitarios relativos a la aplicación del apartado 3 del artículo 81 del Tratado CE [hoy, art. 101 TFUE] a determinadas categorías de acuerdos, decisiones de asociaciones de empresa y prácticas concertadas, incluso cuando las correspondientes conductas no puedan afectar al comercio entre los Estados miembros”. De la necesaria aplicación de este apartado se deriva, según la sentencia, que la defensa de la competencia se basa en un sistema de doble espejo o doble barrera de control, y por lo tanto para esclarecer si los pactos celebrados entre las dos empresas enfrentadas en el proceso arbitral son incompatibles con la normativa de defensa de la competencia, tenía que haber analizado el laudo el art. 101 TFUE y otros instrumentos de interpretación de este; así como también la jurisprudencia del Tribunal de Justicia de la Unión Europea, donde este ha ido fijando los aspectos definitorios del mercado interior; sin que el marco geográfico de aplicación de la cláusula de exclusiva permita excluir el Derecho de la Unión, “cuya aplicabilidad no puede ser desechada de un modo axiomático —como el laudo hace—”, teniendo además en cuenta el valor económico de una de esas empresas (Cabify).</w:t>
      </w:r>
    </w:p>
    <w:p w14:paraId="5C6854A9" w14:textId="77777777" w:rsidR="003754FE" w:rsidRDefault="003754FE" w:rsidP="003754FE">
      <w:pPr>
        <w:pStyle w:val="TextoNormal"/>
      </w:pPr>
    </w:p>
    <w:p w14:paraId="7CAE8568" w14:textId="77777777" w:rsidR="003754FE" w:rsidRDefault="003754FE" w:rsidP="003754FE">
      <w:pPr>
        <w:pStyle w:val="TextoNormal"/>
      </w:pPr>
      <w:r>
        <w:t xml:space="preserve">A partir de esta premisa, la sentencia entiende que está incluida en la función de control del Tribunal Superior de Justicia, en este ámbito de la acción de anulación por contravención del orden público, “la naturaleza disponible, o no, de la materia controvertida, su régimen jurídico”, la aplicación de normas imperativas —aunque sean relaciones materiales disponibles— y, conforme a la doctrina de este Tribunal Constitucional, los “principios admitidos internacionalmente”, como serían los de primacía y efecto directo del Derecho de la Unión Europea, aquí indebidamente inaplicados por el laudo impugnado. Señala que el Tribunal de Justicia de las Comunidades Europeas dictó la sentencia de 1 de junio de 1999, asunto C-126/97, </w:t>
      </w:r>
      <w:r w:rsidRPr="003754FE">
        <w:rPr>
          <w:i/>
        </w:rPr>
        <w:t>Eco Swiss c. Benetton</w:t>
      </w:r>
      <w:r>
        <w:t xml:space="preserve">, donde declara que el art. 81.1 del Tratado Constitutivo CE (hoy art. 101 TFUE), es una disposición fundamental del mercado y forma parte del orden público económico del Derecho comunitario. Y así, en ejercicio de esta competencia jurisdiccional, la sentencia del Tribunal Superior de Justicia de Madrid pasa a exponer en detalle cuáles son las pautas del Tribunal de Justicia de la Unión Europea para determinar si un acuerdo es contrario a la competencia dentro del mercado interior y la doctrina de este Tribunal Constitucional acerca de la vulneración del derecho a la tutela judicial efectiva (art. 24.1 CE) por el desconocimiento de los principios de primacía y efecto directo del Derecho de la Unión, por lo que, concluye, tienen que ser anulados los dos primeros puntos de la parte dispositiva del laudo dictado, por infracción del orden público </w:t>
      </w:r>
      <w:r w:rsidRPr="003754FE">
        <w:rPr>
          <w:i/>
        </w:rPr>
        <w:t>ex</w:t>
      </w:r>
      <w:r>
        <w:t xml:space="preserve"> art. 41.1 f) de la Ley de arbitraje, lo que “trae causa de que el </w:t>
      </w:r>
      <w:r w:rsidRPr="003754FE">
        <w:rPr>
          <w:i/>
        </w:rPr>
        <w:t>error iuris</w:t>
      </w:r>
      <w:r>
        <w:t xml:space="preserve"> en la selección del Derecho aplicable vicia de raíz las premisas de enjuiciamiento asumidas por el tribunal arbitral y lleva aparejado como consecuencia un déficit absoluto de motivación, derivado de la exclusión del Derecho preferente de la Unión Europea y de la doctrina del Tribunal de Justicia de la Unión Europea aplicable al caso, y de no haber justificado dicha exclusión normativa y jurisprudencial”. El posterior auto de 11 de enero de 2022 defiende la corrección del enjuiciamiento efectuado en la sentencia, afirmando que con ello no ha dejado de acatar la doctrina de este Tribunal Constitucional en la materia, si bien habla de la posibilidad de manifestar una “discrepancia razonada”. Estas reflexiones de la Sala del Tribunal Superior de Justicia serán objeto de consideración en el fundamento jurídico 8 de la presente sentencia.</w:t>
      </w:r>
    </w:p>
    <w:p w14:paraId="27E7C5F4" w14:textId="77777777" w:rsidR="003754FE" w:rsidRDefault="003754FE" w:rsidP="003754FE">
      <w:pPr>
        <w:pStyle w:val="TextoNormal"/>
      </w:pPr>
    </w:p>
    <w:p w14:paraId="4D273C94" w14:textId="77777777" w:rsidR="003754FE" w:rsidRDefault="003754FE" w:rsidP="003754FE">
      <w:pPr>
        <w:pStyle w:val="TextoNormal"/>
      </w:pPr>
      <w:r>
        <w:lastRenderedPageBreak/>
        <w:t xml:space="preserve">Para resolver la queja que aduce la supuesta vulneración del derecho a una resolución judicial motivada y fundada en Derecho (art. 24.1 CE) planteada por la entidad promotora de este recurso de amparo, ha de darse respuesta a un primer interrogante, a saber: si el Tribunal Superior de Justicia podía controlar la alegada inaplicación del art. 101 TFUE por parte de los árbitros, a fin de determinar si se había contradicho el orden público por el laudo impugnado. En caso afirmativo, hemos de enjuiciar a continuación si el examen emprendido a este respecto por la Sala </w:t>
      </w:r>
      <w:r w:rsidRPr="003754FE">
        <w:rPr>
          <w:i/>
        </w:rPr>
        <w:t>a quo</w:t>
      </w:r>
      <w:r>
        <w:t xml:space="preserve"> resultó o no respetuoso con los límites marcados por nuestra doctrina constitucional, de la que ya se hizo detallado recordatorio en los fundamentos jurídicos anteriores.</w:t>
      </w:r>
    </w:p>
    <w:p w14:paraId="7BC7B309" w14:textId="77777777" w:rsidR="003754FE" w:rsidRDefault="003754FE" w:rsidP="003754FE">
      <w:pPr>
        <w:pStyle w:val="TextoNormal"/>
      </w:pPr>
    </w:p>
    <w:p w14:paraId="01B88326" w14:textId="77777777" w:rsidR="003754FE" w:rsidRDefault="003754FE" w:rsidP="003754FE">
      <w:pPr>
        <w:pStyle w:val="TextoNormal"/>
      </w:pPr>
      <w:r>
        <w:t>A) Con relación a la primera cuestión, procede realizar las siguientes consideraciones</w:t>
      </w:r>
    </w:p>
    <w:p w14:paraId="7AA2301B" w14:textId="77777777" w:rsidR="003754FE" w:rsidRDefault="003754FE" w:rsidP="003754FE">
      <w:pPr>
        <w:pStyle w:val="TextoNormal"/>
      </w:pPr>
    </w:p>
    <w:p w14:paraId="0E1CD7E7" w14:textId="77777777" w:rsidR="003754FE" w:rsidRDefault="003754FE" w:rsidP="003754FE">
      <w:pPr>
        <w:pStyle w:val="TextoNormal"/>
      </w:pPr>
      <w:r>
        <w:t>a) Hemos reconocido dentro del ámbito de control judicial ya indicado la posible infracción por el laudo de normas legales imperativas [SSTC 17/2021, FJ 2; 65/2021, FJ 3, y 50/2022, FJ 3, y ATC 1/2023, FJ 4 b)]; naturaleza de la que participa el art. 1 LDC en todos sus apartados, al contemplar el elenco de acuerdos y prácticas prohibidas por afectar a la competencia, así como sus excepciones; siendo que el apartado 4 remite a su vez a lo dispuesto en el art. 81.3 del Tratado CE (hoy, art. 101.3 TFUE). El propio laudo arbitral señala en el apartado 286 que “en materia de nulidad, la cuestión es de Derecho imperativo y en buena medida de orden público”.</w:t>
      </w:r>
    </w:p>
    <w:p w14:paraId="48FD1883" w14:textId="77777777" w:rsidR="003754FE" w:rsidRDefault="003754FE" w:rsidP="003754FE">
      <w:pPr>
        <w:pStyle w:val="TextoNormal"/>
      </w:pPr>
    </w:p>
    <w:p w14:paraId="0A228E7C" w14:textId="77777777" w:rsidR="003754FE" w:rsidRDefault="003754FE" w:rsidP="003754FE">
      <w:pPr>
        <w:pStyle w:val="TextoNormal"/>
      </w:pPr>
      <w:r>
        <w:t>b) La doctrina de este Tribunal Constitucional ha venido identificando la existencia de un orden público económico constitucionalizado, concretamente en aquellas normas de nuestra Carta Magna que “en materia de contratos, al ser el contrato un instrumento jurídico al servicio de la economía, ha de orientarse al cumplimiento de los principios de unidad de mercado y libre circulación de personas y bienes (art. 139 CE), solidaridad y equilibrio económico (arts. 2 y 138 CE) y planificación general de la actividad económica (art. 131 CE). Todas estas normas constitucionales persiguen la ordenación general del orden público económico y son reglas esenciales en el orden jurídico global al ser las normas que determinan la estructura y el sistema económico de la sociedad” (SSTC 132/2019, de 13 de noviembre, FJ 6; 157/2021, de 16 de septiembre, FJ 9, y 120/2024, de 8 de octubre, FJ 5).</w:t>
      </w:r>
    </w:p>
    <w:p w14:paraId="0508A224" w14:textId="77777777" w:rsidR="003754FE" w:rsidRDefault="003754FE" w:rsidP="003754FE">
      <w:pPr>
        <w:pStyle w:val="TextoNormal"/>
      </w:pPr>
    </w:p>
    <w:p w14:paraId="03442554" w14:textId="77777777" w:rsidR="003754FE" w:rsidRDefault="003754FE" w:rsidP="003754FE">
      <w:pPr>
        <w:pStyle w:val="TextoNormal"/>
      </w:pPr>
      <w:r>
        <w:t xml:space="preserve">Ese mismo papel cabe atribuirlo al art. 101 TFUE. En la sentencia de 1 de junio de 1999 del Tribunal de Justicia de las Comunidades Europeas (hoy Tribunal de Justicia de la Unión Europea), asunto C-126/97, </w:t>
      </w:r>
      <w:r w:rsidRPr="003754FE">
        <w:rPr>
          <w:i/>
        </w:rPr>
        <w:t>Eco Swiss China Time Ltd. c. Benetton International NV</w:t>
      </w:r>
      <w:r>
        <w:t>, a propósito del entonces vigente art. 85 del Tratado Constitutivo de la Comunidad Europea (en el texto anterior a la versión consolidada tras la firma del Tratado de Amsterdam el 2 de octubre de 1997, momento en el que pasó a ser el art. 81; y posteriormente el art. 101 del Tratado de funcionamiento de la Unión Europea en 2009, como resultado de la firma del Tratado de Lisboa), afirmó claramente que el mencionado precepto es una disposición fundamental para el funcionamiento del mercado interior dentro de la Comunidad Económica Europea, y que su aplicación debe ser objeto de control judicial en un recurso de anulación contra un laudo arbitral previsto en alguno de los Estados miembros, basado en concreto en la inobservancia del orden público, porque la norma señalada participa de esta naturaleza:</w:t>
      </w:r>
    </w:p>
    <w:p w14:paraId="2D80A5AB" w14:textId="77777777" w:rsidR="003754FE" w:rsidRDefault="003754FE" w:rsidP="003754FE">
      <w:pPr>
        <w:pStyle w:val="TextoNormal"/>
      </w:pPr>
    </w:p>
    <w:p w14:paraId="6D41FA4B" w14:textId="77777777" w:rsidR="003754FE" w:rsidRDefault="003754FE" w:rsidP="003754FE">
      <w:pPr>
        <w:pStyle w:val="TextoNormal"/>
      </w:pPr>
      <w:r>
        <w:t xml:space="preserve">Apartado 36: “No obstante, con arreglo al artículo 3, letra g), del Tratado CE [actualmente, artículo 3 CE, apartado 1, letra g)], el artículo 85 del Tratado constituye una disposición fundamental indispensable para el cumplimiento de las misiones confiadas a la </w:t>
      </w:r>
      <w:r>
        <w:lastRenderedPageBreak/>
        <w:t>Comunidad, especialmente para el funcionamiento del mercado interior. La importancia de dicha disposición hizo que los autores del Tratado establecieran expresamente en el apartado segundo del artículo 85 del Tratado, que los acuerdos y decisiones prohibidos por este artículo son nulos de pleno Derecho”.</w:t>
      </w:r>
    </w:p>
    <w:p w14:paraId="0D7101F3" w14:textId="77777777" w:rsidR="003754FE" w:rsidRDefault="003754FE" w:rsidP="003754FE">
      <w:pPr>
        <w:pStyle w:val="TextoNormal"/>
      </w:pPr>
    </w:p>
    <w:p w14:paraId="203305B4" w14:textId="77777777" w:rsidR="003754FE" w:rsidRDefault="003754FE" w:rsidP="003754FE">
      <w:pPr>
        <w:pStyle w:val="TextoNormal"/>
      </w:pPr>
      <w:r>
        <w:t>Apartado 37: “De ello se deduce que, en la medida en que un órgano jurisdiccional nacional deba, en aplicación de sus normas procesales internas, estimar un recurso de anulación de un laudo arbitral basado en la inobservancia de normas nacionales de orden público, también debe estimar tal recurso basado en la inobservancia de la prohibición impuesta en el apartado 1 del artículo 85 del Tratado”.</w:t>
      </w:r>
    </w:p>
    <w:p w14:paraId="0CF60743" w14:textId="77777777" w:rsidR="003754FE" w:rsidRDefault="003754FE" w:rsidP="003754FE">
      <w:pPr>
        <w:pStyle w:val="TextoNormal"/>
      </w:pPr>
    </w:p>
    <w:p w14:paraId="5A1A097C" w14:textId="77777777" w:rsidR="003754FE" w:rsidRDefault="003754FE" w:rsidP="003754FE">
      <w:pPr>
        <w:pStyle w:val="TextoNormal"/>
      </w:pPr>
      <w:r>
        <w:t>Apartado 39: “En efecto, por los motivos mencionados en el apartado 36 de la presente sentencia, el artículo 85 del Tratado puede considerarse una disposición de orden público en el sentido de dicho Convenio”.</w:t>
      </w:r>
    </w:p>
    <w:p w14:paraId="4D23A739" w14:textId="77777777" w:rsidR="003754FE" w:rsidRDefault="003754FE" w:rsidP="003754FE">
      <w:pPr>
        <w:pStyle w:val="TextoNormal"/>
      </w:pPr>
    </w:p>
    <w:p w14:paraId="222FE164" w14:textId="77777777" w:rsidR="003754FE" w:rsidRDefault="003754FE" w:rsidP="003754FE">
      <w:pPr>
        <w:pStyle w:val="TextoNormal"/>
      </w:pPr>
      <w:r>
        <w:t>Apartado 41: “Por consiguiente, procede responder a la segunda cuestión que un órgano jurisdiccional nacional al que se ha presentado un recurso de anulación de un laudo arbitral debe estimarlo cuando considere que el laudo es efectivamente contrario al artículo 85 del Tratado, si conforme a las normas procesales internas debe estimar un recurso de anulación basado en el incumplimiento de normas nacionales de orden público”.</w:t>
      </w:r>
    </w:p>
    <w:p w14:paraId="25105126" w14:textId="77777777" w:rsidR="003754FE" w:rsidRDefault="003754FE" w:rsidP="003754FE">
      <w:pPr>
        <w:pStyle w:val="TextoNormal"/>
      </w:pPr>
    </w:p>
    <w:p w14:paraId="365C2B53" w14:textId="77777777" w:rsidR="003754FE" w:rsidRDefault="003754FE" w:rsidP="003754FE">
      <w:pPr>
        <w:pStyle w:val="TextoNormal"/>
      </w:pPr>
      <w:r>
        <w:t>Este último apartado es llevado como punto 1) del fallo del Tribunal en dicha sentencia.</w:t>
      </w:r>
    </w:p>
    <w:p w14:paraId="7F3BF925" w14:textId="77777777" w:rsidR="003754FE" w:rsidRDefault="003754FE" w:rsidP="003754FE">
      <w:pPr>
        <w:pStyle w:val="TextoNormal"/>
      </w:pPr>
    </w:p>
    <w:p w14:paraId="1DE2CB4E" w14:textId="77777777" w:rsidR="003754FE" w:rsidRDefault="003754FE" w:rsidP="003754FE">
      <w:pPr>
        <w:pStyle w:val="TextoNormal"/>
      </w:pPr>
      <w:r>
        <w:t>c) Procede por tanto aclarar nuestra doctrina sobre el control judicial en la acción de anulación contra laudos arbitrales, respecto de la infracción del orden público material, diciendo que tienen esta condición no solamente las normas de nuestra Constitución que ha reconocido este Tribunal Constitucional como integrantes del orden público económico, sino también las normas materiales de orden público así declaradas por el Tribunal de Justicia en el ámbito del Derecho de la Unión Europea, de conformidad con nuestras tradiciones constitucionales comunes (art. 6.3 del Tratado de la Unión Europea).</w:t>
      </w:r>
    </w:p>
    <w:p w14:paraId="6FBE1F4E" w14:textId="77777777" w:rsidR="003754FE" w:rsidRDefault="003754FE" w:rsidP="003754FE">
      <w:pPr>
        <w:pStyle w:val="TextoNormal"/>
      </w:pPr>
    </w:p>
    <w:p w14:paraId="580C5F53" w14:textId="77777777" w:rsidR="003754FE" w:rsidRDefault="003754FE" w:rsidP="003754FE">
      <w:pPr>
        <w:pStyle w:val="TextoNormal"/>
      </w:pPr>
      <w:r>
        <w:t>En este caso, tiene dicha naturaleza el art. 101 TFUE, que no ha sufrido cambios de redacción con sus distintas versiones.</w:t>
      </w:r>
    </w:p>
    <w:p w14:paraId="5928FCE9" w14:textId="77777777" w:rsidR="003754FE" w:rsidRDefault="003754FE" w:rsidP="003754FE">
      <w:pPr>
        <w:pStyle w:val="TextoNormal"/>
      </w:pPr>
    </w:p>
    <w:p w14:paraId="200DFA5A" w14:textId="77777777" w:rsidR="003754FE" w:rsidRDefault="003754FE" w:rsidP="003754FE">
      <w:pPr>
        <w:pStyle w:val="TextoNormal"/>
      </w:pPr>
      <w:r>
        <w:t xml:space="preserve">La anterior conclusión deriva de la aplicación en este caso de los principios de equivalencia y efectividad del Derecho de la Unión Europea para casos como el presente, en el que regulaciones normativas semejantes inciden sobre la cuestión planteada en la controversia sometida a arbitraje, que imponen que las normas declaradas de orden público por la jurisprudencia interpretativa del Tribunal de Justicia de la Unión Europea sean tomadas en consideración para valorar la supuesta contrariedad al orden público nacional del laudo arbitral, al delimitar su ámbito de control judicial. De esta forma, si bien los requisitos establecidos por las legislaciones nacionales en materia de limitación de prácticas restrictivas de la competencia y sus excepciones no pueden ser menos favorables que los que se aplican al resolver controversias semejantes de naturaleza interna (principio de equivalencia) tampoco pueden interpretarse ni articularse de manera que hagan en la práctica imposible o excesivamente difícil la aplicación de la normativa del Derecho de la Unión Europea declarada principio de orden público (principio de efectividad) [sobre el significado de ambos principios, entre otras, SSTJUE de 26 de enero de 2010, asunto C‑118/08, </w:t>
      </w:r>
      <w:r w:rsidRPr="003754FE">
        <w:rPr>
          <w:i/>
        </w:rPr>
        <w:t xml:space="preserve">Transportes Urbanos y </w:t>
      </w:r>
      <w:r w:rsidRPr="003754FE">
        <w:rPr>
          <w:i/>
        </w:rPr>
        <w:lastRenderedPageBreak/>
        <w:t>Servicios Generales, S.A.L. c. Administración del Estado</w:t>
      </w:r>
      <w:r>
        <w:t xml:space="preserve">, apartado 31 y jurisprudencia citada, y de 28 de junio de 2022 (Gran Sala), asunto C‑278/20, </w:t>
      </w:r>
      <w:r w:rsidRPr="003754FE">
        <w:rPr>
          <w:i/>
        </w:rPr>
        <w:t>Comisión Europea c. Reino de España</w:t>
      </w:r>
      <w:r>
        <w:t>, apartado 33.</w:t>
      </w:r>
    </w:p>
    <w:p w14:paraId="5AD4918D" w14:textId="77777777" w:rsidR="003754FE" w:rsidRDefault="003754FE" w:rsidP="003754FE">
      <w:pPr>
        <w:pStyle w:val="TextoNormal"/>
      </w:pPr>
    </w:p>
    <w:p w14:paraId="7008F409" w14:textId="77777777" w:rsidR="003754FE" w:rsidRDefault="003754FE" w:rsidP="003754FE">
      <w:pPr>
        <w:pStyle w:val="TextoNormal"/>
      </w:pPr>
      <w:r>
        <w:t>En consecuencia, la respuesta al primer interrogante ha de ser afirmativa, pues habiendo sido declarado por el Tribunal de Justicia de la Unión Europea que las previsiones del art. 101 TFUE constituyen principios de orden público, formaba parte de la potestad de jurisdicción de la Sala de lo Civil y Penal del Tribunal Superior de Justicia de Madrid el control de su supuesta inaplicación. Para ello, lógicamente, era necesario que la Sala hubiera podido apreciar, en un examen externo del contenido del laudo arbitral impugnado, que tal alegada inaplicación se había producido. Pasamos con ello a la segunda cuestión planteada</w:t>
      </w:r>
    </w:p>
    <w:p w14:paraId="3043B64B" w14:textId="77777777" w:rsidR="003754FE" w:rsidRDefault="003754FE" w:rsidP="003754FE">
      <w:pPr>
        <w:pStyle w:val="TextoNormal"/>
      </w:pPr>
    </w:p>
    <w:p w14:paraId="534A4870" w14:textId="77777777" w:rsidR="003754FE" w:rsidRDefault="003754FE" w:rsidP="003754FE">
      <w:pPr>
        <w:pStyle w:val="TextoNormal"/>
      </w:pPr>
      <w:r>
        <w:t>B) Al respecto, este tribunal estima que la Sala del Tribunal Superior de Justicia incurrió en exceso de jurisdicción, con inobservancia de la doctrina constitucional dictada en esta materia, al resolver la estimación parcial de la acción de anulación intentada contra el laudo dictado por el tribunal arbitral de la Corte de Arbitraje de la Cámara Oficial de Comercio, Industria y Servicios de Madrid en el asunto CAM 2956-19/AM-SG; estimación parcial fundada, como ya se ha venido diciendo, en que dicho laudo había prescindido del art. 1.4 LCD, el cual remitía al art. 101 TFUE, también inaplicado, y las normas comunitarias de interpretación de este último precepto.</w:t>
      </w:r>
    </w:p>
    <w:p w14:paraId="52BB6890" w14:textId="77777777" w:rsidR="003754FE" w:rsidRDefault="003754FE" w:rsidP="003754FE">
      <w:pPr>
        <w:pStyle w:val="TextoNormal"/>
      </w:pPr>
    </w:p>
    <w:p w14:paraId="284725D8" w14:textId="77777777" w:rsidR="003754FE" w:rsidRDefault="003754FE" w:rsidP="003754FE">
      <w:pPr>
        <w:pStyle w:val="TextoNormal"/>
      </w:pPr>
      <w:r>
        <w:t>Por tal motivo adelantamos que debe estimarse la demanda de amparo. Las razones son las siguientes:</w:t>
      </w:r>
    </w:p>
    <w:p w14:paraId="6E6B36C1" w14:textId="77777777" w:rsidR="003754FE" w:rsidRDefault="003754FE" w:rsidP="003754FE">
      <w:pPr>
        <w:pStyle w:val="TextoNormal"/>
      </w:pPr>
    </w:p>
    <w:p w14:paraId="31A5DFBD" w14:textId="77777777" w:rsidR="003754FE" w:rsidRDefault="003754FE" w:rsidP="003754FE">
      <w:pPr>
        <w:pStyle w:val="TextoNormal"/>
      </w:pPr>
      <w:r>
        <w:t xml:space="preserve">a) Ante todo, llama la atención que si el problema suscitado no era que el laudo hubiera aplicado el Derecho nacional —lo que está fuera de duda—, sino que además debía aplicar normas del Derecho de la Unión Europea, la parte demandante del procedimiento arbitral no hubiera acudido al trámite de complemento del laudo previsto en el art. 39.1 c) de la Ley de arbitraje (“[e]l complemento del laudo respecto de peticiones formuladas y no resueltas en él”), trámite que solo fue utilizado por la parte demandada a otros efectos —sin éxito—. En vez de eso, una vez firme el laudo, Cabify interpuso la acción de anulación denunciando la incongruencia </w:t>
      </w:r>
      <w:r w:rsidRPr="003754FE">
        <w:rPr>
          <w:i/>
        </w:rPr>
        <w:t>extra petita</w:t>
      </w:r>
      <w:r>
        <w:t xml:space="preserve"> del laudo —desestimado por la Sala— y la contradicción del orden público.</w:t>
      </w:r>
    </w:p>
    <w:p w14:paraId="672B96CA" w14:textId="77777777" w:rsidR="003754FE" w:rsidRDefault="003754FE" w:rsidP="003754FE">
      <w:pPr>
        <w:pStyle w:val="TextoNormal"/>
      </w:pPr>
    </w:p>
    <w:p w14:paraId="4C9507DE" w14:textId="77777777" w:rsidR="003754FE" w:rsidRDefault="003754FE" w:rsidP="003754FE">
      <w:pPr>
        <w:pStyle w:val="TextoNormal"/>
      </w:pPr>
      <w:r>
        <w:t>Por otro lado, y también con carácter previo, resulta evidente que no se puede reprochar al laudo que carezca de motivación, ni en general (404 apartados incluyendo la parte dispositiva y 99 páginas) ni en lo referente a la aplicación o no del Derecho de la Unión, como ahora se verá.</w:t>
      </w:r>
    </w:p>
    <w:p w14:paraId="31AA874B" w14:textId="77777777" w:rsidR="003754FE" w:rsidRDefault="003754FE" w:rsidP="003754FE">
      <w:pPr>
        <w:pStyle w:val="TextoNormal"/>
      </w:pPr>
    </w:p>
    <w:p w14:paraId="2D22CD13" w14:textId="77777777" w:rsidR="003754FE" w:rsidRDefault="003754FE" w:rsidP="003754FE">
      <w:pPr>
        <w:pStyle w:val="TextoNormal"/>
      </w:pPr>
      <w:r>
        <w:t>b) Centrándonos en la supuesta vulneración del orden público, la sentencia señala que el laudo impugnado ha desechado la aplicación del art. 1.4 LDC y el art. 101 TFUE de un modo “axiomático”, lo cual deduce de la lectura de los apartados 293 y 294 del laudo. Pues bien, desde nuestra esfera de control externo (derecho a una resolución jurídicamente fundada, art. 24.1 CE) de la sentencia traída en amparo, confirmada por el ulterior auto que rechazó el incidente de nulidad de actuaciones, esa afirmación se revela contraria a la realidad:</w:t>
      </w:r>
    </w:p>
    <w:p w14:paraId="543DA003" w14:textId="77777777" w:rsidR="003754FE" w:rsidRDefault="003754FE" w:rsidP="003754FE">
      <w:pPr>
        <w:pStyle w:val="TextoNormal"/>
      </w:pPr>
    </w:p>
    <w:p w14:paraId="2561E408" w14:textId="77777777" w:rsidR="003754FE" w:rsidRDefault="003754FE" w:rsidP="003754FE">
      <w:pPr>
        <w:pStyle w:val="TextoNormal"/>
      </w:pPr>
      <w:r>
        <w:lastRenderedPageBreak/>
        <w:t xml:space="preserve">(i) Si bien el apartado 293 del laudo sienta la idea de principio de que “la posible infracción en materia de restricción de la competencia es la legislación española, no la comunitaria”, porque la conducta que se imputa a Cabify afecta “en todo caso exclusivamente al mercado nacional” y tal afirmación la refuerza con una cita de doctrina científica sobre la dualidad normativa en este ámbito, advierte en el apartado 294 que “[e]l carácter orientador y de guía interpretativa del Derecho europeo en cuestiones de Derecho interno de la competencia no puede ser puesto en duda”, aunque su alcance “dependerá de la cuestión de que se trate, como se verá”. Previamente, en los apartados 262 a 270, el laudo se ocupó extensamente de comentar un informe de la Comisión Europea de 2019, titulado </w:t>
      </w:r>
      <w:r w:rsidRPr="003754FE">
        <w:rPr>
          <w:i/>
        </w:rPr>
        <w:t>Competition Policy for the digital era</w:t>
      </w:r>
      <w:r>
        <w:t>, sobre el que afirma que aporta datos para encuadrar el caso (apartado 270). Más adelante, en el apartado 287.6 (nota al pie 169), se menciona como instrumento de análisis una comunicación de la Comisión Europea relativa al mercado de referencia a efectos de la normativa comunitaria sobre competencia, en la que se determina que el elemento clave para el mercado relevante es la sustituibilidad del producto o servicio; criterio que emplea el laudo para dilucidar la controversia.</w:t>
      </w:r>
    </w:p>
    <w:p w14:paraId="4024D218" w14:textId="77777777" w:rsidR="003754FE" w:rsidRDefault="003754FE" w:rsidP="003754FE">
      <w:pPr>
        <w:pStyle w:val="TextoNormal"/>
      </w:pPr>
    </w:p>
    <w:p w14:paraId="7F56E8AD" w14:textId="77777777" w:rsidR="003754FE" w:rsidRDefault="003754FE" w:rsidP="003754FE">
      <w:pPr>
        <w:pStyle w:val="TextoNormal"/>
      </w:pPr>
      <w:r>
        <w:t>(ii) Si lo dicho resulta ilustrativo de que el laudo no desprecia de modo “axiomático” el Derecho de la Unión, lo que ya sí deviene determinante de la aplicación de este es el razonamiento del apartado 297 del propio laudo, donde se expresa —ya lo hemos reproducido en los antecedentes, pero procede traerlo a colación de nuevo— lo siguiente (las cursivas son nuestras):</w:t>
      </w:r>
    </w:p>
    <w:p w14:paraId="7B8629CF" w14:textId="77777777" w:rsidR="003754FE" w:rsidRDefault="003754FE" w:rsidP="003754FE">
      <w:pPr>
        <w:pStyle w:val="TextoNormal"/>
      </w:pPr>
    </w:p>
    <w:p w14:paraId="746D27A2" w14:textId="77777777" w:rsidR="003754FE" w:rsidRDefault="003754FE" w:rsidP="003754FE">
      <w:pPr>
        <w:pStyle w:val="TextoNormal"/>
      </w:pPr>
      <w:r>
        <w:t xml:space="preserve">“En definitiva, la actuación es contraria a la competencia si, aparte de encajar en las citadas categorías del artículo 1.1 LDC, conlleva una afectación a la competencia en tanto en cuanto tenga por objeto o por efecto (‘produzcan o puedan producir el efecto’ en los términos del artículo 1.1 LDC) impedir, restringir o falsear la competencia en todo o en parte del mercado nacional, </w:t>
      </w:r>
      <w:r w:rsidRPr="003754FE">
        <w:rPr>
          <w:i/>
        </w:rPr>
        <w:t>no estando por otra parte incursa en una excepción por categorías a las que alude el artículo 1.4 LDC, que se refiere a las contempladas por el apartado 3 del artículo 81 del Tratado CE</w:t>
      </w:r>
      <w:r>
        <w:t>, o cuando no se trate de una conducta de menor importancia a las que alude el artículo 5 LDC (regl</w:t>
      </w:r>
      <w:r w:rsidRPr="003754FE">
        <w:rPr>
          <w:i/>
        </w:rPr>
        <w:t>a de minim</w:t>
      </w:r>
      <w:r>
        <w:t>is)”.</w:t>
      </w:r>
    </w:p>
    <w:p w14:paraId="182F5A02" w14:textId="77777777" w:rsidR="003754FE" w:rsidRDefault="003754FE" w:rsidP="003754FE">
      <w:pPr>
        <w:pStyle w:val="TextoNormal"/>
      </w:pPr>
    </w:p>
    <w:p w14:paraId="65E7122D" w14:textId="77777777" w:rsidR="003754FE" w:rsidRDefault="003754FE" w:rsidP="003754FE">
      <w:pPr>
        <w:pStyle w:val="TextoNormal"/>
      </w:pPr>
      <w:r>
        <w:t>Es claro, por tanto, y no ofrece dificultad dialéctica, que el laudo votado mayoritariamente sí tuvo en cuenta lo dispuesto en el art. 1.4 LDC, que revisó las excepciones contempladas en el apartado 3 del artículo 85 del Tratado CE (art. 101 TFUE), y que no encontró ninguna que permitiera afirmar que pese a haber incurrido la empresa demandante del procedimiento arbitral en prácticas colusorias del art. 1 LDC referidas al mercado nacional, las mismas estarían amparadas por no tener la misma consideración por el ordenamiento de la Unión Europea. La afirmación de la Sala del Tribunal Superior de Justicia de que el laudo había inaplicado los mencionados arts. 1.4 LDC y 101 TFUE es incorrecta y en ella, precisamente, fundamenta todo su discurso parcialmente anulatorio del laudo.</w:t>
      </w:r>
    </w:p>
    <w:p w14:paraId="6481A5B3" w14:textId="77777777" w:rsidR="003754FE" w:rsidRDefault="003754FE" w:rsidP="003754FE">
      <w:pPr>
        <w:pStyle w:val="TextoNormal"/>
      </w:pPr>
    </w:p>
    <w:p w14:paraId="44231242" w14:textId="77777777" w:rsidR="003754FE" w:rsidRDefault="003754FE" w:rsidP="003754FE">
      <w:pPr>
        <w:pStyle w:val="TextoNormal"/>
      </w:pPr>
      <w:r>
        <w:t>(iii) También desde una perspectiva de control externo cabe constatar, tras un simple cotejo entre el art. 1.1 LDC y el art. 101.1 TFUE, que ambas disposiciones —no por casualidad, desde luego en cuanto a la LDC— recogen un listado similar de acuerdos que pueden afectar al comercio, en el primer caso nacional y en el segundo entre los Estados miembros, cuando tengan por objeto o efecto impedir, restringir o falsear el juego de la competencia; acuerdos que de tal guisa están prohibidos (de allí su carácter de normas imperativas) y son nulos de pleno Derecho (art. 1.2 LDC y art. 101.2 TFUE).</w:t>
      </w:r>
    </w:p>
    <w:p w14:paraId="25BCFE2D" w14:textId="77777777" w:rsidR="003754FE" w:rsidRDefault="003754FE" w:rsidP="003754FE">
      <w:pPr>
        <w:pStyle w:val="TextoNormal"/>
      </w:pPr>
    </w:p>
    <w:p w14:paraId="00E8B470" w14:textId="77777777" w:rsidR="003754FE" w:rsidRDefault="003754FE" w:rsidP="003754FE">
      <w:pPr>
        <w:pStyle w:val="TextoNormal"/>
      </w:pPr>
      <w:r>
        <w:t>El art. 101.3 TFUE, al que se remite el art. 1.4 LDC, señala que el apartado 1 podrá ser declarado inaplicable a (las cursivas son nuestras):</w:t>
      </w:r>
    </w:p>
    <w:p w14:paraId="24A51E9D" w14:textId="77777777" w:rsidR="003754FE" w:rsidRDefault="003754FE" w:rsidP="003754FE">
      <w:pPr>
        <w:pStyle w:val="TextoNormal"/>
      </w:pPr>
    </w:p>
    <w:p w14:paraId="6AA3E5BD" w14:textId="77777777" w:rsidR="003754FE" w:rsidRDefault="003754FE" w:rsidP="003754FE">
      <w:pPr>
        <w:pStyle w:val="TextoNormal"/>
      </w:pPr>
      <w:r>
        <w:t>“— cualquier acuerdo o categoría de acuerdos entre empresas,</w:t>
      </w:r>
    </w:p>
    <w:p w14:paraId="2C653D46" w14:textId="77777777" w:rsidR="003754FE" w:rsidRDefault="003754FE" w:rsidP="003754FE">
      <w:pPr>
        <w:pStyle w:val="TextoNormal"/>
      </w:pPr>
    </w:p>
    <w:p w14:paraId="4B8D8A25" w14:textId="77777777" w:rsidR="003754FE" w:rsidRDefault="003754FE" w:rsidP="003754FE">
      <w:pPr>
        <w:pStyle w:val="TextoNormal"/>
      </w:pPr>
      <w:r>
        <w:t>— cualquier decisión o categoría de decisiones de asociaciones de empresas,</w:t>
      </w:r>
    </w:p>
    <w:p w14:paraId="741237F4" w14:textId="77777777" w:rsidR="003754FE" w:rsidRDefault="003754FE" w:rsidP="003754FE">
      <w:pPr>
        <w:pStyle w:val="TextoNormal"/>
      </w:pPr>
    </w:p>
    <w:p w14:paraId="735D2752" w14:textId="77777777" w:rsidR="003754FE" w:rsidRDefault="003754FE" w:rsidP="003754FE">
      <w:pPr>
        <w:pStyle w:val="TextoNormal"/>
      </w:pPr>
      <w:r>
        <w:t>— cualquier práctica concertada o categoría de prácticas concertadas,</w:t>
      </w:r>
    </w:p>
    <w:p w14:paraId="279A00D9" w14:textId="77777777" w:rsidR="003754FE" w:rsidRDefault="003754FE" w:rsidP="003754FE">
      <w:pPr>
        <w:pStyle w:val="TextoNormal"/>
      </w:pPr>
    </w:p>
    <w:p w14:paraId="3FCDFB07" w14:textId="77777777" w:rsidR="003754FE" w:rsidRDefault="003754FE" w:rsidP="003754FE">
      <w:pPr>
        <w:pStyle w:val="TextoNormal"/>
      </w:pPr>
      <w:r>
        <w:t>que contribuyan a mejorar la producción o la distribución de los productos o a fomentar el progreso técnico o económico, y reserven al mismo tiempo a los usuarios una participación equitativa en el beneficio resultante</w:t>
      </w:r>
      <w:r w:rsidRPr="003754FE">
        <w:rPr>
          <w:i/>
        </w:rPr>
        <w:t>, y sin q</w:t>
      </w:r>
      <w:r>
        <w:t>ue:</w:t>
      </w:r>
    </w:p>
    <w:p w14:paraId="6FB11E22" w14:textId="77777777" w:rsidR="003754FE" w:rsidRDefault="003754FE" w:rsidP="003754FE">
      <w:pPr>
        <w:pStyle w:val="TextoNormal"/>
      </w:pPr>
    </w:p>
    <w:p w14:paraId="74E63D13" w14:textId="77777777" w:rsidR="003754FE" w:rsidRDefault="003754FE" w:rsidP="003754FE">
      <w:pPr>
        <w:pStyle w:val="TextoNormal"/>
      </w:pPr>
      <w:r>
        <w:t>a) impongan a las empresas interesadas restricciones que no sean indispensables para alcanzar tales objetivos;</w:t>
      </w:r>
    </w:p>
    <w:p w14:paraId="10255F94" w14:textId="77777777" w:rsidR="003754FE" w:rsidRDefault="003754FE" w:rsidP="003754FE">
      <w:pPr>
        <w:pStyle w:val="TextoNormal"/>
      </w:pPr>
    </w:p>
    <w:p w14:paraId="7DC90B10" w14:textId="77777777" w:rsidR="003754FE" w:rsidRDefault="003754FE" w:rsidP="003754FE">
      <w:pPr>
        <w:pStyle w:val="TextoNormal"/>
      </w:pPr>
      <w:r>
        <w:t>b) ofrezcan a dichas empresas la posibilidad de eliminar la competencia respecto de una parte sustancial de los productos de que se trate”.</w:t>
      </w:r>
    </w:p>
    <w:p w14:paraId="1CE1E64A" w14:textId="77777777" w:rsidR="003754FE" w:rsidRDefault="003754FE" w:rsidP="003754FE">
      <w:pPr>
        <w:pStyle w:val="TextoNormal"/>
      </w:pPr>
    </w:p>
    <w:p w14:paraId="2741DC7F" w14:textId="77777777" w:rsidR="003754FE" w:rsidRDefault="003754FE" w:rsidP="003754FE">
      <w:pPr>
        <w:pStyle w:val="TextoNormal"/>
      </w:pPr>
      <w:r>
        <w:t>Por lo tanto, la exención de ilicitud está sujeta a que dichas prácticas no produzcan restricciones no indispensables para lograr sus objetivos de mejorar la producción o distribución de productos o servicios y no supongan la posibilidad de eliminar la competencia respecto de una parte sustancial de lo que ofrece. A su vez, el art. 3.2 del Reglamento (CE) 1/2003, del Consejo, de 16 de diciembre de 2002, relativo a la aplicación de las normas sobre competencia previstas en los artículos 81 y 82 del Tratado CE, permite aquellos acuerdos entre empresas siempre que “no restrinjan la competencia en el sentido del apartado 1 del artículo 81 del Tratado, o que reúnan las condiciones del apartado 3 del artículo 81 del Tratado o que estén cubiertos por un reglamento de aplicación del apartado 3 del artículo 81 del Tratado”.</w:t>
      </w:r>
    </w:p>
    <w:p w14:paraId="45A554A2" w14:textId="77777777" w:rsidR="003754FE" w:rsidRDefault="003754FE" w:rsidP="003754FE">
      <w:pPr>
        <w:pStyle w:val="TextoNormal"/>
      </w:pPr>
    </w:p>
    <w:p w14:paraId="3BB92ECD" w14:textId="77777777" w:rsidR="003754FE" w:rsidRDefault="003754FE" w:rsidP="003754FE">
      <w:pPr>
        <w:pStyle w:val="TextoNormal"/>
      </w:pPr>
      <w:r>
        <w:t>Nada de esto se deriva ni de la lectura del laudo ni de la sentencia; todo lo contrario, el laudo sostiene que a raíz del acuerdo de refinanciación entre ambas empresas en 2018, Cabify, aprovechándose de su nueva situación en varias provincias españolas al adquirir centenares de licencias VTC, restringió la competencia de Auro que se dedicaba al mismo negocio (tenían un acuerdo de comercialización) imponiendo a aquella los precios y controlando la adjudicación de vehículos de Auro a los clientes. Las alusiones que hace la sentencia al valor económico de Cabify como empresa española, tomadas del propio laudo, de ningún modo proyectan la controversia al nivel comunitario que colige la Sala del Tribunal Superior de Justicia.</w:t>
      </w:r>
    </w:p>
    <w:p w14:paraId="5DC06492" w14:textId="77777777" w:rsidR="003754FE" w:rsidRDefault="003754FE" w:rsidP="003754FE">
      <w:pPr>
        <w:pStyle w:val="TextoNormal"/>
      </w:pPr>
    </w:p>
    <w:p w14:paraId="343CB014" w14:textId="77777777" w:rsidR="003754FE" w:rsidRDefault="003754FE" w:rsidP="003754FE">
      <w:pPr>
        <w:pStyle w:val="TextoNormal"/>
      </w:pPr>
      <w:r>
        <w:t>c) La sentencia recurrida en amparo debió, por tanto, tras la atenta lectura del laudo arbitral, y no solo de algunos de sus apartados, y del cotejo de las normas concernidas, art. 1.4 LDC y art. 101 TFUE, haber desestimado la acción de anulación por supuesta contradicción con el orden público, porque ni se inaplicaron ambos preceptos (se respetó el control de doble barrera), ni se conculcó la doctrina constitucional o la del Tribunal de Justicia de la Unión Europea sobre los principios de primacía y efecto directo.</w:t>
      </w:r>
    </w:p>
    <w:p w14:paraId="6B628532" w14:textId="77777777" w:rsidR="003754FE" w:rsidRDefault="003754FE" w:rsidP="003754FE">
      <w:pPr>
        <w:pStyle w:val="TextoNormal"/>
      </w:pPr>
    </w:p>
    <w:p w14:paraId="6A62D8A3" w14:textId="77777777" w:rsidR="003754FE" w:rsidRDefault="003754FE" w:rsidP="003754FE">
      <w:pPr>
        <w:pStyle w:val="TextoNormal"/>
      </w:pPr>
      <w:r>
        <w:lastRenderedPageBreak/>
        <w:t>Con inobservancia, sin embargo, de los límites de su jurisdicción en este ámbito, trazados por nuestra doctrina reproducida en los fundamentos jurídicos anteriores, la sentencia recurrida en amparo reprocha al laudo el haber incurrido en una “inmotivada selección del Derecho aplicable” o en un “error manifiesto” en dicha labor de selección, lanzándose sin motivo a disertar sobre la jurisprudencia del Tribunal de Justicia de la Unión Europea en materia de competencia dentro del mercado comunitario, sustituyendo indebidamente al colegio arbitral en su tarea de sentar las premisas de Derecho material sobre las cuales se debía resolver la controversia. Menos defendible todavía, si cabe, es que la sentencia tache la motivación del laudo como de “déficit absoluto de motivación”.</w:t>
      </w:r>
    </w:p>
    <w:p w14:paraId="2C172CA7" w14:textId="77777777" w:rsidR="003754FE" w:rsidRDefault="003754FE" w:rsidP="003754FE">
      <w:pPr>
        <w:pStyle w:val="TextoNormal"/>
      </w:pPr>
    </w:p>
    <w:p w14:paraId="0B3DE6E5" w14:textId="77777777" w:rsidR="003754FE" w:rsidRDefault="003754FE" w:rsidP="003754FE">
      <w:pPr>
        <w:pStyle w:val="TextoNormal"/>
      </w:pPr>
      <w:r>
        <w:t>Advierte esta Sala, en fin, que el laudo no ha infringido la doctrina constitucional solo porque no se haya pronunciado sobre “cuál hubiera sido el resultado de haber aplicado el Derecho de la Unión”, esto es, si las cláusulas declaradas nulas por el laudo debían serlo o no. Lo cierto es que esto último es irrelevante, porque lo que determina la transgresión de los límites del control judicial en la acción de anulación no es dejar resuelta la controversia de arbitraje —que lógicamente también, si tal cosa se hace— sino haberse inmiscuido en el debate sobre el fondo, para lo que basta proponer su propia selección de las normas aplicables y dar su interpretación propia sobre ellas, de manera discrepante a como lo ha hecho el laudo, que es lo que aquí ha sucedido [véase la doctrina citada en el fundamento jurídico 5 B) c)].</w:t>
      </w:r>
    </w:p>
    <w:p w14:paraId="17E108C9" w14:textId="77777777" w:rsidR="003754FE" w:rsidRDefault="003754FE" w:rsidP="003754FE">
      <w:pPr>
        <w:pStyle w:val="TextoNormal"/>
      </w:pPr>
    </w:p>
    <w:p w14:paraId="7F93CD7D" w14:textId="2F09848C" w:rsidR="003754FE" w:rsidRDefault="003754FE" w:rsidP="003754FE">
      <w:pPr>
        <w:pStyle w:val="TextoNormal"/>
      </w:pPr>
      <w:r>
        <w:t>Por tanto, con arreglo a nuestro canon de control externo (fundamento jurídico 6), ha de otorgarse el amparo por resultar, tanto la sentencia impugnada en amparo como el auto posterior que reafirma sus criterios al rechazar el incidente de nulidad contra aquella, vulneradores del derecho a la tutela judicial efectiva (art. 24.1 CE) de la entidad demandante, en su vertiente de derecho a una resolución jurídicamente fundada.</w:t>
      </w:r>
    </w:p>
    <w:p w14:paraId="6B04A1A6" w14:textId="77777777" w:rsidR="003754FE" w:rsidRDefault="003754FE" w:rsidP="003754FE">
      <w:pPr>
        <w:pStyle w:val="TextoNormal"/>
      </w:pPr>
    </w:p>
    <w:p w14:paraId="5D4949C4" w14:textId="77777777" w:rsidR="003754FE" w:rsidRDefault="003754FE" w:rsidP="003754FE">
      <w:pPr>
        <w:pStyle w:val="TextoNormal"/>
      </w:pPr>
      <w:r w:rsidRPr="003754FE">
        <w:rPr>
          <w:rStyle w:val="NumeroAFNegritaCaracter"/>
        </w:rPr>
        <w:t>8</w:t>
      </w:r>
      <w:r>
        <w:t xml:space="preserve">. </w:t>
      </w:r>
      <w:r w:rsidRPr="003754FE">
        <w:rPr>
          <w:i/>
        </w:rPr>
        <w:t>Sobre el derecho del órgano judicial a manifestar su “discrepancia razonada” con la doctrina constitucional</w:t>
      </w:r>
    </w:p>
    <w:p w14:paraId="0FEB4AEB" w14:textId="77777777" w:rsidR="003754FE" w:rsidRDefault="003754FE" w:rsidP="003754FE">
      <w:pPr>
        <w:pStyle w:val="TextoNormal"/>
      </w:pPr>
    </w:p>
    <w:p w14:paraId="2C34DEA0" w14:textId="77777777" w:rsidR="003754FE" w:rsidRDefault="003754FE" w:rsidP="003754FE">
      <w:pPr>
        <w:pStyle w:val="TextoNormal"/>
      </w:pPr>
      <w:r>
        <w:t>No podemos finalizar nuestro enjuiciamiento de las resoluciones impugnadas en este amparo sin hacer una referencia a determinadas alusiones contenidas en el auto de 11 de enero de 2022, donde la Sala del Tribunal Superior de Justicia de Madrid, al tiempo que afirma haber sido respetuosa con la doctrina constitucional de referencia, reivindica que el deber de acatamiento de los tribunales ordinarios —y por ende, de dicha Sala— a la doctrina de este Tribunal Constitucional:</w:t>
      </w:r>
    </w:p>
    <w:p w14:paraId="4A111B28" w14:textId="77777777" w:rsidR="003754FE" w:rsidRDefault="003754FE" w:rsidP="003754FE">
      <w:pPr>
        <w:pStyle w:val="TextoNormal"/>
      </w:pPr>
    </w:p>
    <w:p w14:paraId="0E61B762" w14:textId="77777777" w:rsidR="003754FE" w:rsidRDefault="003754FE" w:rsidP="003754FE">
      <w:pPr>
        <w:pStyle w:val="TextoNormal"/>
      </w:pPr>
      <w:r>
        <w:t>“[N]o excluye la ‘discrepancia razonada’, inherente a la independencia judicial, que responde, además, a una necesidad reiteradamente puesta de manifiesto por el propio Tribunal Constitucional: la de evitar la petrificación del ordenamiento —</w:t>
      </w:r>
      <w:r w:rsidRPr="003754FE">
        <w:rPr>
          <w:i/>
        </w:rPr>
        <w:t>v.gr</w:t>
      </w:r>
      <w:r>
        <w:t>., SSTC 242/1992, 141/1994, 205/1994…—; razón imperiosa de la que da cuenta por cierto el art. 3.1 CC [Código civil], cuando establece la interpretación de las normas conforme a la realidad social del tiempo en que han de ser aplicadas.</w:t>
      </w:r>
    </w:p>
    <w:p w14:paraId="7B3B05F0" w14:textId="77777777" w:rsidR="003754FE" w:rsidRDefault="003754FE" w:rsidP="003754FE">
      <w:pPr>
        <w:pStyle w:val="TextoNormal"/>
      </w:pPr>
    </w:p>
    <w:p w14:paraId="7D3C5643" w14:textId="77777777" w:rsidR="003754FE" w:rsidRDefault="003754FE" w:rsidP="003754FE">
      <w:pPr>
        <w:pStyle w:val="TextoNormal"/>
      </w:pPr>
      <w:r>
        <w:t xml:space="preserve">Esta evidencia resulta del mismo art. 50.1 b) LOTC, tal y como es interpretado por el Tribunal Constitucional, quien atribuye especial trascendencia constitucional a un recurso [cuando] considera que debe aclarar, precisar o incluso cambiar su precedente doctrina —entre muchas, SSTC 155/2009, FJ 2 b), y 132/2020, FJ 2. Ítem más: el Tribunal </w:t>
      </w:r>
      <w:r>
        <w:lastRenderedPageBreak/>
        <w:t>Constitucional, cuando examina la aplicación de su doctrina por los tribunales ordinarios, verifica siempre ‘si en el caso concurre algún elemento distintivo que obligue a una fundamentación o resultado diferente a lo declarado (hasta) entonces’ (</w:t>
      </w:r>
      <w:r w:rsidRPr="003754FE">
        <w:rPr>
          <w:i/>
        </w:rPr>
        <w:t>v.gr</w:t>
      </w:r>
      <w:r>
        <w:t>., STC 64/2021, de 15 de marzo, FJ 3)”.</w:t>
      </w:r>
    </w:p>
    <w:p w14:paraId="65250D7C" w14:textId="77777777" w:rsidR="003754FE" w:rsidRDefault="003754FE" w:rsidP="003754FE">
      <w:pPr>
        <w:pStyle w:val="TextoNormal"/>
      </w:pPr>
    </w:p>
    <w:p w14:paraId="157EBBA7" w14:textId="77777777" w:rsidR="003754FE" w:rsidRDefault="003754FE" w:rsidP="003754FE">
      <w:pPr>
        <w:pStyle w:val="TextoNormal"/>
      </w:pPr>
      <w:r>
        <w:t>Se impone entonces aclarar, visto el tenor del párrafo anterior, que la circunstancia de que un órgano judicial pueda cambiar sus criterios como resultado de la aplicación del art. 3.1 CC o sencillamente por percatarse de que el anteriormente empleado por él era erróneo (discrepar razonadamente consigo mismo), no solo es posible sino que siempre que sea un cambio motivado, resulta respetuoso con el derecho fundamental a la igualdad en la aplicación de la ley (art. 14 CE), como enseñan entre otras las sentencias que invoca dicha Sala. Que, a su vez, este Tribunal Constitucional asimismo pueda considerar necesario aclarar o cambiar en algún punto una doctrina anterior, producto de una reflexión interna o como recepción de la jurisprudencia del Tribunal de Justicia de la Unión Europea o del Tribunal Europeo de Derechos Humanos en materia de derechos, es también una evidencia.</w:t>
      </w:r>
    </w:p>
    <w:p w14:paraId="08099593" w14:textId="77777777" w:rsidR="003754FE" w:rsidRDefault="003754FE" w:rsidP="003754FE">
      <w:pPr>
        <w:pStyle w:val="TextoNormal"/>
      </w:pPr>
    </w:p>
    <w:p w14:paraId="506E4674" w14:textId="77777777" w:rsidR="003754FE" w:rsidRDefault="003754FE" w:rsidP="003754FE">
      <w:pPr>
        <w:pStyle w:val="TextoNormal"/>
      </w:pPr>
      <w:r>
        <w:t>Ahora bien, lo que no está reconocido en el art. 123 de la Constitución o en los demás preceptos del título VI relativo al Poder Judicial; ni en el título IX de aquella, dedicado a las competencias de este tribunal; ni en el art. 5.1 de la LOPJ [“[l]a Constitución es la norma suprema del ordenamiento jurídico, y vincula a todos los jueces y tribunales, quienes interpretarán y aplicarán las leyes y los reglamentos según los preceptos y principios constitucionales, conforme a la interpretación de los mismos que resulte de las resoluciones dictadas por el Tribunal Constitucional en todo tipo de procesos”]; ni, en fin, en el art. 40.2 de nuestra Ley Orgánica reguladora [“[e]n todo caso, la jurisprudencia de los tribunales de justicia recaída sobre leyes, disposiciones o actos enjuiciados por el Tribunal Constitucional habrá de entenderse corregida por la doctrina derivada de las sentencias y autos que resuelvan los procesos constitucionales”] es que pueda plantearse una “discrepancia razonada” de un órgano de la jurisdicción ordinaria con una doctrina de este Tribunal Constitucional, dejando de aplicar tal doctrina pertinente porque no le parezca adecuada. De hecho, al hacerlo así de manera deliberada, nos obliga, no a que cambiemos nuestra doctrina, sino a que admitamos a trámite el amparo por existir una negativa manifiesta del deber de acatar la que está establecida [STC 155/2009, FJ 2 f)].</w:t>
      </w:r>
    </w:p>
    <w:p w14:paraId="3AD143C3" w14:textId="77777777" w:rsidR="003754FE" w:rsidRDefault="003754FE" w:rsidP="003754FE">
      <w:pPr>
        <w:pStyle w:val="TextoNormal"/>
      </w:pPr>
    </w:p>
    <w:p w14:paraId="493C973B" w14:textId="77777777" w:rsidR="003754FE" w:rsidRDefault="003754FE" w:rsidP="003754FE">
      <w:pPr>
        <w:pStyle w:val="TextoNormal"/>
      </w:pPr>
      <w:r>
        <w:t>Dicho con otras palabras: no corresponde a un órgano judicial el sugerir o proponer a este Tribunal Constitucional un cambio o abandono de una determinada doctrina, mediante el expediente de resolver a espaldas de ella.</w:t>
      </w:r>
    </w:p>
    <w:p w14:paraId="0D973EC3" w14:textId="77777777" w:rsidR="003754FE" w:rsidRDefault="003754FE" w:rsidP="003754FE">
      <w:pPr>
        <w:pStyle w:val="TextoNormal"/>
      </w:pPr>
    </w:p>
    <w:p w14:paraId="61B07B1F" w14:textId="77777777" w:rsidR="003754FE" w:rsidRDefault="003754FE" w:rsidP="003754FE">
      <w:pPr>
        <w:pStyle w:val="TextoNormal"/>
      </w:pPr>
      <w:r>
        <w:t xml:space="preserve">La independencia judicial (art. 117.1 CE) está salvaguardada en el ámbito que le es propio, que es el de la potestad jurisdiccional (art. 117.3 CE), limitada por mandato del legislador en el art. 41 de la Ley de arbitraje y por la doctrina fijada por este tribunal para permitir el ejercicio de la autonomía de la voluntad (arts. 1 y 10 CE) en aquellas materias disponibles en un procedimiento de arbitraje. Doctrina, repetimos una vez más, precisamente dictada a propósito de resoluciones emanadas de la misma Sala de lo Civil y Penal, en las que cambiando la materia sometida a debate (finalización anticipada del arbitraje por acuerdo de una o ambas partes, incumplimiento contractual en litigio, prejudicialidad penal y, ahora, supuesta inaplicación del Derecho de la Unión Europea), sigue cometiéndose el mismo error de base de enjuiciamiento: la intromisión de la Sala en la autonomía de la voluntad de las partes o en la cuestión de fondo resuelta por el laudo arbitral, sustituyendo a los árbitros. De </w:t>
      </w:r>
      <w:r>
        <w:lastRenderedPageBreak/>
        <w:t>ahí que debamos apreciar que las resoluciones impugnadas en este amparo incurren en una negativa manifiesta del deber de acatar la doctrina de las SSTC 46/2020 y concordantes de este tribunal.</w:t>
      </w:r>
    </w:p>
    <w:p w14:paraId="4FFB26B5" w14:textId="77777777" w:rsidR="003754FE" w:rsidRDefault="003754FE" w:rsidP="003754FE">
      <w:pPr>
        <w:pStyle w:val="TextoNormal"/>
      </w:pPr>
    </w:p>
    <w:p w14:paraId="24213E53" w14:textId="79597E54" w:rsidR="003754FE" w:rsidRDefault="003754FE" w:rsidP="003754FE">
      <w:pPr>
        <w:pStyle w:val="TextoNormal"/>
      </w:pPr>
      <w:r>
        <w:t>Ya en la STC 79/2022 advertimos de los perniciosos efectos de mantener esta actitud, en cuanto puede afectar a la efectividad del sistema arbitral como sistema de solución de conflictos, ante la eventualidad de una indebida íntegra revisión judicial so pretexto de la contravención con el orden público, lo que puede abocar a su inutilidad (véase el fundamento jurídico 6). No nos queda sino reiterarnos en esa admonición.</w:t>
      </w:r>
    </w:p>
    <w:p w14:paraId="17643A3C" w14:textId="77777777" w:rsidR="003754FE" w:rsidRDefault="003754FE" w:rsidP="003754FE">
      <w:pPr>
        <w:pStyle w:val="TextoNormal"/>
      </w:pPr>
    </w:p>
    <w:p w14:paraId="6735EB0B" w14:textId="77777777" w:rsidR="003754FE" w:rsidRDefault="003754FE" w:rsidP="003754FE">
      <w:pPr>
        <w:pStyle w:val="TextoNormal"/>
      </w:pPr>
      <w:r w:rsidRPr="003754FE">
        <w:rPr>
          <w:rStyle w:val="NumeroAFNegritaCaracter"/>
        </w:rPr>
        <w:t>9</w:t>
      </w:r>
      <w:r>
        <w:t xml:space="preserve">. </w:t>
      </w:r>
      <w:r w:rsidRPr="003754FE">
        <w:rPr>
          <w:i/>
        </w:rPr>
        <w:t>Efectos de la estimación del recurso</w:t>
      </w:r>
    </w:p>
    <w:p w14:paraId="47E81252" w14:textId="77777777" w:rsidR="003754FE" w:rsidRDefault="003754FE" w:rsidP="003754FE">
      <w:pPr>
        <w:pStyle w:val="TextoNormal"/>
      </w:pPr>
    </w:p>
    <w:p w14:paraId="512333AA" w14:textId="3D7CBF44" w:rsidR="003754FE" w:rsidRDefault="003754FE" w:rsidP="003754FE">
      <w:pPr>
        <w:pStyle w:val="TextoNormal"/>
      </w:pPr>
      <w:r>
        <w:t>Como consecuencia de la estimación de la demanda, y tal y como hemos acordado en otras sentencias sobre esta misma materia y respecto, por cierto, de la misma Sala (SSTC 46/2020, FJ 4 y fallo; 17/2021, FJ 3 y fallo; 55/2021, FJ 3 y fallo; 65/2021, FJ 6; 50/2022, FJ 6, y 79/2022, FJ 3 y fallo), procede junto con la declaración del derecho vulnerado (tutela judicial efectiva), declarar la nulidad de las dos resoluciones impugnadas, con retroacción de las actuaciones al momento inmediatamente anterior al de haberse dictado la sentencia núm. 66/2021, de 22 de octubre, de la Sala de lo Civil y Penal del Tribunal Superior de Justicia de Madrid, para que en su lugar se dicte otra que resulte respetuosa con el derecho fundamental declarado.</w:t>
      </w:r>
    </w:p>
    <w:p w14:paraId="3EDA4034" w14:textId="77777777" w:rsidR="003754FE" w:rsidRDefault="003754FE" w:rsidP="003754FE">
      <w:pPr>
        <w:pStyle w:val="TextoNormal"/>
      </w:pPr>
    </w:p>
    <w:p w14:paraId="2DADFBD8" w14:textId="77777777" w:rsidR="003754FE" w:rsidRDefault="003754FE" w:rsidP="003754FE">
      <w:pPr>
        <w:pStyle w:val="TextoNormalCentrado"/>
        <w:keepNext/>
      </w:pPr>
      <w:r>
        <w:t>FALLO</w:t>
      </w:r>
    </w:p>
    <w:p w14:paraId="3BC2356F" w14:textId="2488C302" w:rsidR="003754FE" w:rsidRDefault="003754FE" w:rsidP="003754FE">
      <w:pPr>
        <w:pStyle w:val="TextoNormalCentrado"/>
        <w:keepNext/>
      </w:pPr>
    </w:p>
    <w:p w14:paraId="394E57DB"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Auro New Transport Concept, S.L., y, en consecuencia:</w:t>
      </w:r>
    </w:p>
    <w:p w14:paraId="7C79EF43" w14:textId="77777777" w:rsidR="003754FE" w:rsidRDefault="003754FE" w:rsidP="003754FE">
      <w:pPr>
        <w:pStyle w:val="TextoNormal"/>
      </w:pPr>
    </w:p>
    <w:p w14:paraId="6085FDF4" w14:textId="77777777" w:rsidR="003754FE" w:rsidRDefault="003754FE" w:rsidP="003754FE">
      <w:pPr>
        <w:pStyle w:val="TextoNormal"/>
      </w:pPr>
      <w:r>
        <w:t>1º Declarar que ha sido vulnerado el derecho fundamental de la demandante de amparo a la tutela judicial efectiva sin indefensión (art. 24.1 CE).</w:t>
      </w:r>
    </w:p>
    <w:p w14:paraId="4E3DB424" w14:textId="77777777" w:rsidR="003754FE" w:rsidRDefault="003754FE" w:rsidP="003754FE">
      <w:pPr>
        <w:pStyle w:val="TextoNormal"/>
      </w:pPr>
    </w:p>
    <w:p w14:paraId="28BD10E7" w14:textId="77777777" w:rsidR="003754FE" w:rsidRDefault="003754FE" w:rsidP="003754FE">
      <w:pPr>
        <w:pStyle w:val="TextoNormal"/>
      </w:pPr>
      <w:r>
        <w:t>2º Restablecerle en su derecho y, a tal fin, declarar la nulidad de la sentencia de la Sala de lo Civil y Penal del Tribunal Superior de Justicia de Madrid núm. 66/2021, de 22 de octubre, recaída en el asunto civil núm. 24-2021, procedimiento de anulación de laudo arbitral núm. 17-2021; así como la nulidad del auto de la misma Sala, de 11 de enero de 2022, dictado en el mismo procedimiento.</w:t>
      </w:r>
    </w:p>
    <w:p w14:paraId="069BE2F0" w14:textId="77777777" w:rsidR="003754FE" w:rsidRDefault="003754FE" w:rsidP="003754FE">
      <w:pPr>
        <w:pStyle w:val="TextoNormal"/>
      </w:pPr>
    </w:p>
    <w:p w14:paraId="66924F96" w14:textId="1BC1233D" w:rsidR="003754FE" w:rsidRDefault="003754FE" w:rsidP="003754FE">
      <w:pPr>
        <w:pStyle w:val="TextoNormal"/>
      </w:pPr>
      <w:r>
        <w:t>3º Retrotraer el procedimiento al momento inmediatamente anterior al de dictarse la sentencia núm. 66/2021 indicada, para que la Sala de lo Civil y Penal del Tribunal Superior de Justicia de Madrid dicte en su lugar otra sentencia que resulte respetuosa con el derecho fundamental declarado.</w:t>
      </w:r>
    </w:p>
    <w:p w14:paraId="31C12F20" w14:textId="77777777" w:rsidR="003754FE" w:rsidRDefault="003754FE" w:rsidP="003754FE">
      <w:pPr>
        <w:pStyle w:val="TextoNormal"/>
      </w:pPr>
    </w:p>
    <w:p w14:paraId="54AB0696" w14:textId="77777777" w:rsidR="003754FE" w:rsidRDefault="003754FE" w:rsidP="003754FE">
      <w:pPr>
        <w:pStyle w:val="TextoNormal"/>
      </w:pPr>
      <w:r>
        <w:t>Publíquese esta sentencia en el “Boletín Oficial del Estado”.</w:t>
      </w:r>
    </w:p>
    <w:p w14:paraId="6FAC2B10" w14:textId="77777777" w:rsidR="003754FE" w:rsidRDefault="003754FE" w:rsidP="003754FE">
      <w:pPr>
        <w:pStyle w:val="TextoNormal"/>
      </w:pPr>
      <w:r>
        <w:t>Dada en Madrid, a dos de diciembre de dos mil veinticuatro.</w:t>
      </w:r>
    </w:p>
    <w:p w14:paraId="14D09D92" w14:textId="22399919" w:rsidR="003754FE" w:rsidRDefault="003754FE">
      <w:pPr>
        <w:spacing w:after="160" w:line="278" w:lineRule="auto"/>
        <w:rPr>
          <w:rFonts w:ascii="Times New Roman" w:eastAsia="Times New Roman" w:hAnsi="Times New Roman" w:cs="Times New Roman"/>
          <w:sz w:val="24"/>
          <w:szCs w:val="24"/>
          <w:lang w:eastAsia="es-ES"/>
        </w:rPr>
      </w:pPr>
      <w:r>
        <w:br w:type="page"/>
      </w:r>
    </w:p>
    <w:p w14:paraId="4591F337" w14:textId="77777777" w:rsidR="003754FE" w:rsidRDefault="003754FE" w:rsidP="003754FE">
      <w:pPr>
        <w:pStyle w:val="TtuloResolucin"/>
      </w:pPr>
      <w:bookmarkStart w:id="56" w:name="SENTENCIA_2024_147"/>
      <w:r>
        <w:lastRenderedPageBreak/>
        <w:t>SENTENCIA 147/2024, de 2 de diciembre de 2024</w:t>
      </w:r>
    </w:p>
    <w:bookmarkEnd w:id="56"/>
    <w:p w14:paraId="0CF54AFA" w14:textId="77777777" w:rsidR="003754FE" w:rsidRDefault="003754FE" w:rsidP="003754FE">
      <w:pPr>
        <w:pStyle w:val="TtuloResolucin"/>
      </w:pPr>
      <w:r>
        <w:t>Sala Primera</w:t>
      </w:r>
    </w:p>
    <w:p w14:paraId="206E52A3" w14:textId="77777777" w:rsidR="003754FE" w:rsidRDefault="003754FE" w:rsidP="003754FE">
      <w:pPr>
        <w:pStyle w:val="TtuloBOE"/>
      </w:pPr>
      <w:r>
        <w:t>(BOE núm. 5, de 6 de enero de 2025)</w:t>
      </w:r>
    </w:p>
    <w:p w14:paraId="311E605C" w14:textId="77777777" w:rsidR="003754FE" w:rsidRDefault="003754FE" w:rsidP="003754FE">
      <w:pPr>
        <w:pStyle w:val="TextoNormalCentrado"/>
      </w:pPr>
      <w:r>
        <w:t>ECLI:ES:TC:2024:147</w:t>
      </w:r>
    </w:p>
    <w:p w14:paraId="11F3D552" w14:textId="524B62E9" w:rsidR="003754FE" w:rsidRDefault="003754FE" w:rsidP="003754FE">
      <w:pPr>
        <w:pStyle w:val="TextoNormalCentrado"/>
      </w:pPr>
    </w:p>
    <w:p w14:paraId="6D06DEA3" w14:textId="77777777" w:rsidR="003754FE" w:rsidRDefault="003754FE" w:rsidP="003754FE">
      <w:pPr>
        <w:pStyle w:val="SntesisDescriptiva"/>
      </w:pPr>
      <w:r>
        <w:t>Recurso de amparo 6078-2023. Promovido por doña Laura Yoldi Sada en relación con las resoluciones administrativas y judiciales que desestimaron su petición de revisión y ampliación de la prestación por nacimiento y cuidado de hijo menor, como madre biológica de familia monoparental.</w:t>
      </w:r>
    </w:p>
    <w:p w14:paraId="455E1DE7" w14:textId="1A0C82E9" w:rsidR="003754FE" w:rsidRDefault="003754FE" w:rsidP="003754FE">
      <w:pPr>
        <w:pStyle w:val="SntesisDescriptiva"/>
      </w:pPr>
    </w:p>
    <w:p w14:paraId="396B802A" w14:textId="77777777" w:rsidR="003754FE" w:rsidRDefault="003754FE" w:rsidP="003754FE">
      <w:pPr>
        <w:pStyle w:val="SntesisAnaltica"/>
      </w:pPr>
      <w:r>
        <w:t>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0E2ED401" w14:textId="37E07815" w:rsidR="003754FE" w:rsidRDefault="003754FE" w:rsidP="003754FE">
      <w:pPr>
        <w:pStyle w:val="SntesisAnaltica"/>
      </w:pPr>
    </w:p>
    <w:p w14:paraId="28BC5BA7" w14:textId="5D14DB20" w:rsidR="003754FE" w:rsidRDefault="003754FE" w:rsidP="003754FE">
      <w:pPr>
        <w:pStyle w:val="Extracto"/>
      </w:pPr>
      <w:r>
        <w:t>1.</w:t>
      </w:r>
      <w:r>
        <w:tab/>
        <w:t>Aplicación de la doctrina recogida en la STC 140/2024 en materias de permiso por nacimiento y cuidado de menor, y de la correspondiente prestación de la Seguridad Social [FJ 3].</w:t>
      </w:r>
    </w:p>
    <w:p w14:paraId="714511AE" w14:textId="77777777" w:rsidR="003754FE" w:rsidRDefault="003754FE" w:rsidP="003754FE">
      <w:pPr>
        <w:pStyle w:val="Extracto"/>
      </w:pPr>
    </w:p>
    <w:p w14:paraId="61245176" w14:textId="77777777" w:rsidR="003754FE" w:rsidRDefault="003754FE" w:rsidP="003754FE">
      <w:pPr>
        <w:pStyle w:val="Extracto"/>
      </w:pPr>
    </w:p>
    <w:p w14:paraId="489D6417" w14:textId="77777777" w:rsidR="003754FE" w:rsidRDefault="003754FE" w:rsidP="003754FE">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05F5F8EF" w14:textId="0039E89C" w:rsidR="003754FE" w:rsidRDefault="003754FE" w:rsidP="003754FE">
      <w:pPr>
        <w:pStyle w:val="TextoNormal"/>
      </w:pPr>
    </w:p>
    <w:p w14:paraId="3506FF2D" w14:textId="77777777" w:rsidR="003754FE" w:rsidRDefault="003754FE" w:rsidP="003754FE">
      <w:pPr>
        <w:pStyle w:val="TextoNormalCentrado"/>
        <w:keepNext/>
      </w:pPr>
      <w:r>
        <w:t>EN NOMBRE DEL REY</w:t>
      </w:r>
    </w:p>
    <w:p w14:paraId="54086BD7" w14:textId="621E0732" w:rsidR="003754FE" w:rsidRDefault="003754FE" w:rsidP="003754FE">
      <w:pPr>
        <w:pStyle w:val="TextoNormalCentrado"/>
        <w:keepNext/>
      </w:pPr>
    </w:p>
    <w:p w14:paraId="67FF0C8C" w14:textId="77777777" w:rsidR="003754FE" w:rsidRDefault="003754FE" w:rsidP="003754FE">
      <w:pPr>
        <w:pStyle w:val="TextoNormalCentrado"/>
        <w:keepNext/>
      </w:pPr>
    </w:p>
    <w:p w14:paraId="69B2E409" w14:textId="77777777" w:rsidR="003754FE" w:rsidRDefault="003754FE" w:rsidP="003754FE">
      <w:pPr>
        <w:pStyle w:val="TextoNormal"/>
      </w:pPr>
      <w:r>
        <w:t>la siguiente</w:t>
      </w:r>
    </w:p>
    <w:p w14:paraId="73EF3D6B" w14:textId="3C141693" w:rsidR="003754FE" w:rsidRDefault="003754FE" w:rsidP="003754FE">
      <w:pPr>
        <w:pStyle w:val="TextoNormal"/>
      </w:pPr>
    </w:p>
    <w:p w14:paraId="7C133F2F" w14:textId="77777777" w:rsidR="003754FE" w:rsidRDefault="003754FE" w:rsidP="003754FE">
      <w:pPr>
        <w:pStyle w:val="TextoNormalCentrado"/>
        <w:keepNext/>
      </w:pPr>
      <w:r>
        <w:t>SENTENCIA</w:t>
      </w:r>
    </w:p>
    <w:p w14:paraId="622459EE" w14:textId="279AE36B" w:rsidR="003754FE" w:rsidRDefault="003754FE" w:rsidP="003754FE">
      <w:pPr>
        <w:pStyle w:val="TextoNormalCentrado"/>
        <w:keepNext/>
      </w:pPr>
    </w:p>
    <w:p w14:paraId="24569818" w14:textId="77777777" w:rsidR="003754FE" w:rsidRDefault="003754FE" w:rsidP="003754FE">
      <w:pPr>
        <w:pStyle w:val="TextoNormal"/>
      </w:pPr>
      <w:r>
        <w:t>En el recurso de amparo núm. 6078-2023, promovido por doña Laura Yoldi Sada, representada por la procuradora de los tribunales doña Alicia Suau Casado y asistida por la letrada doña Aida Casanova Pérez, contra la resolución de 2 de septiembre de 2021 del Instituto Nacional de la Seguridad Social (INSS) que desestimó la petición de revisión y ampliación de la prestación por nacimiento y cuidado de hijo menor, como madre biológica de familia monoparental; la sentencia 169/2022, de 6 de abril, del Juzgado de lo Social núm. 2 de Pamplona (autos núm. 886-2021); la sentencia 271/2022, de 21 de julio, de la Sala de lo Social del Tribunal Superior de Justicia de Navarra (recurso de suplicación núm. 263-2022); y el auto de 12 de julio de 2023, de la Sala de lo Social del Tribunal Supremo (recurso de casación para la unificación de doctrina núm. 4255-2022) que inadmitió a trámite el recurso presentado. Han intervenido la letrada de la administración de la Seguridad Social, en nombre del INSS y la Tesorería General de la Seguridad Social (TGSS), y el Ministerio Fiscal. Ha sido ponente el magistrado don Juan Carlos Campo Moreno.</w:t>
      </w:r>
    </w:p>
    <w:p w14:paraId="2C8EF5A9" w14:textId="543C31FD" w:rsidR="003754FE" w:rsidRDefault="003754FE" w:rsidP="003754FE">
      <w:pPr>
        <w:pStyle w:val="TextoNormal"/>
      </w:pPr>
    </w:p>
    <w:p w14:paraId="5F94BA21" w14:textId="77777777" w:rsidR="003754FE" w:rsidRDefault="003754FE" w:rsidP="003754FE">
      <w:pPr>
        <w:pStyle w:val="TextoNormalNegritaCentrado"/>
        <w:keepNext/>
      </w:pPr>
      <w:r>
        <w:lastRenderedPageBreak/>
        <w:t>I. Antecedentes</w:t>
      </w:r>
    </w:p>
    <w:p w14:paraId="20D02D9D" w14:textId="6D729395" w:rsidR="003754FE" w:rsidRDefault="003754FE" w:rsidP="003754FE">
      <w:pPr>
        <w:pStyle w:val="TextoNormalNegritaCentrado"/>
        <w:keepNext/>
      </w:pPr>
    </w:p>
    <w:p w14:paraId="267F4C65" w14:textId="7FD1BAFB" w:rsidR="003754FE" w:rsidRDefault="003754FE" w:rsidP="003754FE">
      <w:pPr>
        <w:pStyle w:val="TextoNormal"/>
      </w:pPr>
      <w:r w:rsidRPr="003754FE">
        <w:rPr>
          <w:rStyle w:val="NumeroAFNegritaCaracter"/>
        </w:rPr>
        <w:t>1</w:t>
      </w:r>
      <w:r>
        <w:t>. Mediante escrito registrado en este tribunal el 22 de septiembre de 2023, la representante procesal de doña Laura Yoldi Sada, bajo la dirección letrada de doña Aida Casanova Pérez, interpuso recurso de amparo contra la decisión administrativa y resoluciones judiciales a las que se ha hecho referencia en el encabezamiento de esta sentencia.</w:t>
      </w:r>
    </w:p>
    <w:p w14:paraId="77E6796A" w14:textId="77777777" w:rsidR="003754FE" w:rsidRDefault="003754FE" w:rsidP="003754FE">
      <w:pPr>
        <w:pStyle w:val="TextoNormal"/>
      </w:pPr>
    </w:p>
    <w:p w14:paraId="3250FC17" w14:textId="77777777" w:rsidR="003754FE" w:rsidRDefault="003754FE" w:rsidP="003754FE">
      <w:pPr>
        <w:pStyle w:val="TextoNormal"/>
      </w:pPr>
      <w:r w:rsidRPr="003754FE">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2BB01EEA" w14:textId="77777777" w:rsidR="003754FE" w:rsidRDefault="003754FE" w:rsidP="003754FE">
      <w:pPr>
        <w:pStyle w:val="TextoNormal"/>
      </w:pPr>
    </w:p>
    <w:p w14:paraId="0591F335" w14:textId="77777777" w:rsidR="003754FE" w:rsidRDefault="003754FE" w:rsidP="003754FE">
      <w:pPr>
        <w:pStyle w:val="TextoNormal"/>
      </w:pPr>
      <w:r>
        <w:t>a) La señora Yoldi Sala es madre biológica de una niña, nacida en marzo de 2021, con quien forma una familia monoparental. El 17 de mayo de 2021 solicitó ante el INSS y obtuvo la prestación por hospitalización, nacimiento y cuidado de la menor durante diecisiete semanas [art. 177 del texto refundido de la Ley general de la Seguridad Social aprobado por el Real Decreto Legislativo 8/2015, de 30 de octubre (en adelante LGSS)]. El 2 de julio siguiente solicitó la revisión de la prestación ya obtenida, reclamando su ampliación por dieciséis semanas más, es decir, añadiendo al período ya reconocido uno idéntico al que hubiera correspondido al segundo progenitor en el supuesto de una familia biparental. La solicitud de revisión y ampliación de la prestación fue denegada por el INSS mediante resolución de 2 de septiembre de 2021, frente a la cual la demandante de amparo formuló reclamación administrativa previa, que ha de entenderse denegada por silencio administrativo.</w:t>
      </w:r>
    </w:p>
    <w:p w14:paraId="6CA0B1E4" w14:textId="77777777" w:rsidR="003754FE" w:rsidRDefault="003754FE" w:rsidP="003754FE">
      <w:pPr>
        <w:pStyle w:val="TextoNormal"/>
      </w:pPr>
    </w:p>
    <w:p w14:paraId="3DD78942" w14:textId="77777777" w:rsidR="003754FE" w:rsidRDefault="003754FE" w:rsidP="003754FE">
      <w:pPr>
        <w:pStyle w:val="TextoNormal"/>
      </w:pPr>
      <w:r>
        <w:t>b) Sintiéndose discriminada por la respuesta recibida, el 11 de octubre de 2021 la demandante cuestionó las decisiones administrativas ante el Juzgado de lo Social núm. 2 de Pamplona (autos núm. 866-2021) que, mediante sentencia de 6 de abril de 2022, desestimó la demanda. La sentencia consideró que ni el texto refundido de la Ley del estatuto de los trabajadores, aprobado por Real Decreto Legislativo 2/2015, de 23 de octubre (en lo sucesivo, LET), ni la Ley general de la Seguridad Social prevén o justifican la ampliación de la prestación que había sido solicitada (art. 177 LGSS), en tanto la misma viene asociada a la suspensión temporal del contrato de trabajo (art. 48.4 LET) que, en todo caso, constituye un derecho personal e intransferible. Apreció que las normas alegadas no establecen diferencia de trato, o regulación menos favorable en función del sexo, ni tampoco una particular desventaja, dado que la regulación del permiso para cuidado del menor reconocido al progenitor no biológico se regula en igualdad de términos y condiciones con independencia de que este sea hombre y mujer. De igual modo, el progenitor distinto de la madre biológica tan solo tendrá derecho al permiso cuestionado cuando se cumplan los requisitos normativamente establecidos de alta o situación asimilada al alta y periodo mínimo de cotización, y no siempre y en todo caso.</w:t>
      </w:r>
    </w:p>
    <w:p w14:paraId="36DC891C" w14:textId="77777777" w:rsidR="003754FE" w:rsidRDefault="003754FE" w:rsidP="003754FE">
      <w:pPr>
        <w:pStyle w:val="TextoNormal"/>
      </w:pPr>
    </w:p>
    <w:p w14:paraId="64AC49D1" w14:textId="77777777" w:rsidR="003754FE" w:rsidRDefault="003754FE" w:rsidP="003754FE">
      <w:pPr>
        <w:pStyle w:val="TextoNormal"/>
      </w:pPr>
      <w:r>
        <w:t>c) La señora Yoldi Sala interpuso recurso de suplicación ante la Sala de lo Social del Tribunal Superior de Justicia de Navarra. Alegó en él que la interpretación administrativa y judicial de los preceptos legales aplicables era contraria a los arts. 10, 14 y 39.2 de la Constitución, diversas directivas de la Unión Europea y la Carta de los derechos fundamentales de la Unión Europea, la Ley 3/2005, de 18 de febrero, de atención y  protección de la infancia y la adolescencia, así como a diversos tratados y acuerdos internacionales que citaba.</w:t>
      </w:r>
    </w:p>
    <w:p w14:paraId="41962944" w14:textId="77777777" w:rsidR="003754FE" w:rsidRDefault="003754FE" w:rsidP="003754FE">
      <w:pPr>
        <w:pStyle w:val="TextoNormal"/>
      </w:pPr>
    </w:p>
    <w:p w14:paraId="1F579E6C" w14:textId="77777777" w:rsidR="003754FE" w:rsidRDefault="003754FE" w:rsidP="003754FE">
      <w:pPr>
        <w:pStyle w:val="TextoNormal"/>
      </w:pPr>
      <w:r>
        <w:t>El recurso fue desestimado en sentencia 271/2022, de 21 de julio. Al justificar su decisión la sala señaló que, atendida su naturaleza de prestación profesional y de nivel contributivo, pese a que viene legalmente reconocida en favor del progenitor distinto de la madre biológica, la prestación cuya acumulación se pretendía se dirige a cumplir los deberes de cuidado de los nacidos establecidos en el art. 68 del Código civil (CC), fomentar la corresponsabilidad y reforzar los vínculos entre padre e hijo, por lo que constituye un derecho individual y exclusivo del progenitor que no se puede transferir a aquella. No obstante, la sala apreciaba la necesidad de una regulación legal específica sobre esta materia, dado que el trato diferenciado pretendido, en tanto supone que el progenitor de la familia monoparental tuviera acceso a una prestación superior y distinta a la que se reconoce a cada uno de los que conforman la familia biparental, “reclama una regulación que así lo establezca de manera explícita, lo que no se desprende de la en vigor al tiempo de la solicitud”.</w:t>
      </w:r>
    </w:p>
    <w:p w14:paraId="6C3E78CE" w14:textId="77777777" w:rsidR="003754FE" w:rsidRDefault="003754FE" w:rsidP="003754FE">
      <w:pPr>
        <w:pStyle w:val="TextoNormal"/>
      </w:pPr>
    </w:p>
    <w:p w14:paraId="49F63314" w14:textId="77777777" w:rsidR="003754FE" w:rsidRDefault="003754FE" w:rsidP="003754FE">
      <w:pPr>
        <w:pStyle w:val="TextoNormal"/>
      </w:pPr>
      <w:r>
        <w:t>d) La demandante interpuso recurso de casación para la unificación de doctrina frente a la mencionada sentencia de suplicación que, en esencia, vino fundado en los mismos argumentos que el recurso previo, aun añadiendo que la única sentencia del Tribunal Supremo que hay sobre esta cuestión fue consecuencia de un recurso del Ministerio Fiscal.</w:t>
      </w:r>
    </w:p>
    <w:p w14:paraId="3005DA90" w14:textId="77777777" w:rsidR="003754FE" w:rsidRDefault="003754FE" w:rsidP="003754FE">
      <w:pPr>
        <w:pStyle w:val="TextoNormal"/>
      </w:pPr>
    </w:p>
    <w:p w14:paraId="51090C74" w14:textId="172D127C" w:rsidR="003754FE" w:rsidRDefault="003754FE" w:rsidP="003754FE">
      <w:pPr>
        <w:pStyle w:val="TextoNormal"/>
      </w:pPr>
      <w:r>
        <w:t>e) El recurso de casación para la unificación de doctrina fue inadmitido mediante auto de 12 de julio de 2023 en el que se argumenta que la cuestión planteada carece de contenido casacional por cuanto la respuesta recibida y cuestionada se adecuaba a la anterior STS 169/2023, de 2 de marzo (ECLI:ES:TS:2023:783), que reconocía la inexistencia de previsión legal que apoyara la pretensión de la madre recurrente, por lo que no era dado a los órganos judiciales sustituir al legislador en la adopción de soluciones como las que fundamentaban su reclamación inicial y la cadena de recursos formulados en la vía judicial.</w:t>
      </w:r>
    </w:p>
    <w:p w14:paraId="01BB6645" w14:textId="77777777" w:rsidR="003754FE" w:rsidRDefault="003754FE" w:rsidP="003754FE">
      <w:pPr>
        <w:pStyle w:val="TextoNormal"/>
      </w:pPr>
    </w:p>
    <w:p w14:paraId="1249C216" w14:textId="77777777" w:rsidR="003754FE" w:rsidRDefault="003754FE" w:rsidP="003754FE">
      <w:pPr>
        <w:pStyle w:val="TextoNormal"/>
      </w:pPr>
      <w:r w:rsidRPr="003754FE">
        <w:rPr>
          <w:rStyle w:val="NumeroAFNegritaCaracter"/>
        </w:rPr>
        <w:t>3</w:t>
      </w:r>
      <w:r>
        <w:t>. Dos son los motivos por los que se solicita el amparo, ambos por infracción del art. 14 CE, tanto de forma directa por su estado civil, en tanto integra una familia monoparental, como indirectamente por su condición de mujer.</w:t>
      </w:r>
    </w:p>
    <w:p w14:paraId="6114EDDC" w14:textId="77777777" w:rsidR="003754FE" w:rsidRDefault="003754FE" w:rsidP="003754FE">
      <w:pPr>
        <w:pStyle w:val="TextoNormal"/>
      </w:pPr>
    </w:p>
    <w:p w14:paraId="71363DC9" w14:textId="77777777" w:rsidR="003754FE" w:rsidRDefault="003754FE" w:rsidP="003754FE">
      <w:pPr>
        <w:pStyle w:val="TextoNormal"/>
      </w:pPr>
      <w:r>
        <w:t>a) Discriminación directa por su estado civil, derivada de su condición de integrante de una familia monoparental. Afirma que la diferencia de trato legislativo por su condición de integrante de una familia monoparental debe ser apreciada como una de las causas de discriminación incluidas en el inciso del art. 14 CE, conforme al cual, lo es “cualquier otra condición o circunstancia personal o social” a las citadas por la Constitución. Entiende afectado su derecho al libre desarrollo de la personalidad en cuanto su decisión de formar una familia monoparental está vinculada con las convicciones y creencias más íntimas de la persona (art. 16 CE), y resulta amparada por el derecho a la vida familiar que reconoce el art. 8 del Convenio europeo para la protección de los derechos humanos y de las libertades fundamentales (CEDH).</w:t>
      </w:r>
    </w:p>
    <w:p w14:paraId="4FE79C40" w14:textId="77777777" w:rsidR="003754FE" w:rsidRDefault="003754FE" w:rsidP="003754FE">
      <w:pPr>
        <w:pStyle w:val="TextoNormal"/>
      </w:pPr>
    </w:p>
    <w:p w14:paraId="2EF06E5C" w14:textId="77777777" w:rsidR="003754FE" w:rsidRDefault="003754FE" w:rsidP="003754FE">
      <w:pPr>
        <w:pStyle w:val="TextoNormal"/>
      </w:pPr>
      <w:r>
        <w:t>Sostiene que tanto la actuación administrativa como la judicial que cuestiona se apoyan en la decisión de la recurrente en amparo de ser la única progenitora de su hija, pues este ha sido el criterio rector que ha llevado a denegar la petición de extensión de la duración de las prestaciones por nacimiento de un hijo, lo que constituye un criterio diferenciador manifiestamente irrazonable, contrario al art. 39 CE, y a la propia doctrina del Tribunal Constitucional recogida en la STC 26/2011, de 14 de marzo, FJ 6.</w:t>
      </w:r>
    </w:p>
    <w:p w14:paraId="54012762" w14:textId="77777777" w:rsidR="003754FE" w:rsidRDefault="003754FE" w:rsidP="003754FE">
      <w:pPr>
        <w:pStyle w:val="TextoNormal"/>
      </w:pPr>
    </w:p>
    <w:p w14:paraId="0A8D54D0" w14:textId="77777777" w:rsidR="003754FE" w:rsidRDefault="003754FE" w:rsidP="003754FE">
      <w:pPr>
        <w:pStyle w:val="TextoNormal"/>
      </w:pPr>
      <w:r>
        <w:t>Alega en su favor las previsiones del Real Decreto-ley 5/2023, de 28 de junio (art. 127), que ha transpuesto la Directiva (UE) 2019/1158 del Parlamento Europeo y del Consejo, de 20 de junio de 2019, relativa a la conciliación de la vida familiar y la vida profesional de los progenitores y los cuidadores, ampliando las causas de no discriminación reguladas en el art. 4.2 c) LET, incluyendo expresamente el trato desfavorable dispensado a mujeres u hombres por el ejercicio de los derechos de conciliación de la vida familiar y laboral. Considera también aplicable la doctrina establecida en la STC 198/2012, de 6 de noviembre, FJ 5, que declara dignos de protección constitucional a los matrimonios sin descendencia, a las familias extramatrimoniales o monoparentales y, sobre todo, a los hijos, a quienes el art. 39 CE protege con independencia de las circunstancias de sus progenitores.</w:t>
      </w:r>
    </w:p>
    <w:p w14:paraId="495E04F1" w14:textId="77777777" w:rsidR="003754FE" w:rsidRDefault="003754FE" w:rsidP="003754FE">
      <w:pPr>
        <w:pStyle w:val="TextoNormal"/>
      </w:pPr>
    </w:p>
    <w:p w14:paraId="3A00C8D5" w14:textId="77777777" w:rsidR="003754FE" w:rsidRDefault="003754FE" w:rsidP="003754FE">
      <w:pPr>
        <w:pStyle w:val="TextoNormal"/>
      </w:pPr>
      <w:r>
        <w:t>Indica que para el caso de que este tribunal no apreciase la vulneración del principio de igualdad y la prohibición de toda forma de discriminación, su pretensión de amparo debiera estimarse por vulneración del derecho a la igualdad ante la ley (art. 14 CE), dado que las decisiones impugnadas se han basado en una interpretación carente de justificación objetiva y razonable, siendo sus consecuencias jurídicas especialmente gravosas o desmedidas tanto para la recurrente como para su hija recién nacida.</w:t>
      </w:r>
    </w:p>
    <w:p w14:paraId="72B6F339" w14:textId="77777777" w:rsidR="003754FE" w:rsidRDefault="003754FE" w:rsidP="003754FE">
      <w:pPr>
        <w:pStyle w:val="TextoNormal"/>
      </w:pPr>
    </w:p>
    <w:p w14:paraId="1C30C190" w14:textId="77777777" w:rsidR="003754FE" w:rsidRDefault="003754FE" w:rsidP="003754FE">
      <w:pPr>
        <w:pStyle w:val="TextoNormal"/>
      </w:pPr>
      <w:r>
        <w:t>b) En el segundo motivo de queja, afirma la recurrente que, como consecuencia de la razón de exclusión que justifica las resoluciones impugnadas en amparo, se habría producido adicionalmente una discriminación por razón de sexo debido a que, en la mayoría de las familias monoparentales, el progenitor único es una mujer; situación esta a la que se debe aplicar el concepto de discriminación indirecta por razón de sexo que ha sido acogido por la doctrina constitucional. Por último, la demanda traslada a este tribunal la posibilidad de acudir a la previsión orgánica que le permite plantearse cuestión interna de inconstitucionalidad sobre el art. 48.4 LET.</w:t>
      </w:r>
    </w:p>
    <w:p w14:paraId="2E9F7787" w14:textId="77777777" w:rsidR="003754FE" w:rsidRDefault="003754FE" w:rsidP="003754FE">
      <w:pPr>
        <w:pStyle w:val="TextoNormal"/>
      </w:pPr>
    </w:p>
    <w:p w14:paraId="2C2E7809" w14:textId="1501130A" w:rsidR="003754FE" w:rsidRDefault="003754FE" w:rsidP="003754FE">
      <w:pPr>
        <w:pStyle w:val="TextoNormal"/>
      </w:pPr>
      <w:r>
        <w:t>Para la demandante, su recurso plantea un problema o se refiere a una faceta de un derecho fundamental susceptible de amparo sobre el que no hay doctrina del Tribunal Constitucional; y puede dar ocasión al Tribunal para aclarar o modificar su doctrina mediante un proceso de reflexión interna, y como consecuencia de cambios normativos relevantes para la configuración del contenido del derecho fundamental [STC 155/2009, de 25 de junio, FJ 2 a) y b)]; poniendo de manifiesto, además, que la posible vulneración del derecho fundamental que se denuncia pudiera provenir de la ley (art. 48.4 LET) [STC 155/2009, FJ 2 c)]. Estas circunstancias le llevan a defender que el recurso de amparo presenta especial trascendencia constitucional.</w:t>
      </w:r>
    </w:p>
    <w:p w14:paraId="00349B26" w14:textId="77777777" w:rsidR="003754FE" w:rsidRDefault="003754FE" w:rsidP="003754FE">
      <w:pPr>
        <w:pStyle w:val="TextoNormal"/>
      </w:pPr>
    </w:p>
    <w:p w14:paraId="52C2C5D6" w14:textId="2D9ABAFE" w:rsidR="003754FE" w:rsidRDefault="003754FE" w:rsidP="003754FE">
      <w:pPr>
        <w:pStyle w:val="TextoNormal"/>
      </w:pPr>
      <w:r w:rsidRPr="003754FE">
        <w:rPr>
          <w:rStyle w:val="NumeroAFNegritaCaracter"/>
        </w:rPr>
        <w:t>4</w:t>
      </w:r>
      <w:r>
        <w:t>. Mediante providencia de 3 de junio de 2024, la Sección Segunda de este tribunal acordó admitir a trámite el presente recurso apreciando que concurría en él la especial trascendencia constitucional que exige el 50.1 de la Ley Orgánica del Tribunal Constitucional (LOTC), como consecuencia de que la posible vulneración del derecho fundamental que se denuncia pudiera provenir de la ley o de otra disposición de carácter general [STC 155/2009, FJ 2 c)]. Asimismo, se acordó en la misma providencia recabar de los órganos judiciales copia adverada de las actuaciones, ordenando se procediera a emplazar a quienes fueron parte en las distintas instancias (Juzgado de lo Social, Sala del Tribunal Superior de Justicia y del Tribunal Supremo) para que, en el plazo de diez días, si lo desearan, pudieran comparecer en este proceso constitucional.</w:t>
      </w:r>
    </w:p>
    <w:p w14:paraId="56F865CC" w14:textId="77777777" w:rsidR="003754FE" w:rsidRDefault="003754FE" w:rsidP="003754FE">
      <w:pPr>
        <w:pStyle w:val="TextoNormal"/>
      </w:pPr>
    </w:p>
    <w:p w14:paraId="756E058C" w14:textId="7E5A5E1B" w:rsidR="003754FE" w:rsidRDefault="003754FE" w:rsidP="003754FE">
      <w:pPr>
        <w:pStyle w:val="TextoNormal"/>
      </w:pPr>
      <w:r w:rsidRPr="003754FE">
        <w:rPr>
          <w:rStyle w:val="NumeroAFNegritaCaracter"/>
        </w:rPr>
        <w:t>5</w:t>
      </w:r>
      <w:r>
        <w:t>. Una vez la letrada de la administración de la Seguridad Social solicitó su personación en nombre del INSS y la TGSS, mediante diligencia de ordenación de 24 de junio de 2024, la Sala Primera del Tribunal Constitucional acordó; (i) tenerla por personada y parte en el procedimiento; y (ii) dar vista de las actuaciones recibidas a las partes personadas y al Ministerio Fiscal, por plazo común de veinte días, dentro de los cuales podrán presentar las alegaciones que estimen pertinentes, conforme determina el artículo 52.1 de la Ley Orgánica de este tribunal.</w:t>
      </w:r>
    </w:p>
    <w:p w14:paraId="046C4558" w14:textId="77777777" w:rsidR="003754FE" w:rsidRDefault="003754FE" w:rsidP="003754FE">
      <w:pPr>
        <w:pStyle w:val="TextoNormal"/>
      </w:pPr>
    </w:p>
    <w:p w14:paraId="2D615424" w14:textId="3326D9F1" w:rsidR="003754FE" w:rsidRDefault="003754FE" w:rsidP="003754FE">
      <w:pPr>
        <w:pStyle w:val="TextoNormal"/>
      </w:pPr>
      <w:r w:rsidRPr="003754FE">
        <w:rPr>
          <w:rStyle w:val="NumeroAFNegritaCaracter"/>
        </w:rPr>
        <w:t>6</w:t>
      </w:r>
      <w:r>
        <w:t>. La Asociacion de madres solteras por elección, representada por el procurador don David García Riquelme, con la asistencia letrada de doña Lourdes Ruiz Esquerra, presentó escrito en el registro de este tribunal el 16 de julio de 2024 solicitando su personación en el presente procedimiento de amparo. Alegaba en él ostentar interés legítimo sobre la cuestión de fondo planteada. Una vez acreditado que la citada asociación no había sido parte en ninguna de las instancias seguidas en la vía judicial previa, la Sala, mediante providencia de 9 de septiembre de 2024, acordó no admitir la personación solicitada en aplicación de doctrina precedente (ATC 47/2013, de 25 de febrero).</w:t>
      </w:r>
    </w:p>
    <w:p w14:paraId="7AE0FC90" w14:textId="77777777" w:rsidR="003754FE" w:rsidRDefault="003754FE" w:rsidP="003754FE">
      <w:pPr>
        <w:pStyle w:val="TextoNormal"/>
      </w:pPr>
    </w:p>
    <w:p w14:paraId="0FF2E932" w14:textId="77777777" w:rsidR="003754FE" w:rsidRDefault="003754FE" w:rsidP="003754FE">
      <w:pPr>
        <w:pStyle w:val="TextoNormal"/>
      </w:pPr>
      <w:r w:rsidRPr="003754FE">
        <w:rPr>
          <w:rStyle w:val="NumeroAFNegritaCaracter"/>
        </w:rPr>
        <w:t>7</w:t>
      </w:r>
      <w:r>
        <w:t>. Previamente, con fecha 19 de julio de 2024, la letrada de la administración de la Seguridad Social presentó sus alegaciones postulando la desestimación de la demanda de amparo. Su pretensión se apoya en los siguientes argumentos, sintéticamente expuestos:</w:t>
      </w:r>
    </w:p>
    <w:p w14:paraId="21BEB76D" w14:textId="77777777" w:rsidR="003754FE" w:rsidRDefault="003754FE" w:rsidP="003754FE">
      <w:pPr>
        <w:pStyle w:val="TextoNormal"/>
      </w:pPr>
    </w:p>
    <w:p w14:paraId="04C5D4E8" w14:textId="77777777" w:rsidR="003754FE" w:rsidRDefault="003754FE" w:rsidP="003754FE">
      <w:pPr>
        <w:pStyle w:val="TextoNormal"/>
      </w:pPr>
      <w:r>
        <w:t>a) Según se expresa, la demanda de amparo no justifica la especial trascendencia constitucional de la pretensión de amparo. Apoya dicha afirmación exclusivamente en su discordancia con los argumentos expresados por la demandante para justificar la supuesta vulneración de derechos fundamentales que denuncia. Entiende que no hay ningún derecho fundamental vulnerado como consecuencia de la interpretación administrativa y judicial de la pretensión formulada en la vía previa, por lo cual las previsiones normativas han sido correcta y legítimamente aplicadas en su caso. Según su opinión, tanto la naturaleza como el fundamento de la suspensión temporal del contrato de trabajo como de la prestación económica prevista en la ley impiden apreciar las supuestas vulneraciones denunciadas, negando el carácter discriminatorio de las normas reguladoras aplicadas.</w:t>
      </w:r>
    </w:p>
    <w:p w14:paraId="0225996B" w14:textId="77777777" w:rsidR="003754FE" w:rsidRDefault="003754FE" w:rsidP="003754FE">
      <w:pPr>
        <w:pStyle w:val="TextoNormal"/>
      </w:pPr>
    </w:p>
    <w:p w14:paraId="7DF4317A" w14:textId="77777777" w:rsidR="003754FE" w:rsidRDefault="003754FE" w:rsidP="003754FE">
      <w:pPr>
        <w:pStyle w:val="TextoNormal"/>
      </w:pPr>
      <w:r>
        <w:t xml:space="preserve">b) A continuación, identifica y describe el contenido de las normas legales aplicables para la resolución de su pretensión (Ley general de la Seguridad Social, Ley del estatuto de los trabajadores y Ley de estatuto básico del empleado público) para señalar cuál es el sentido y alcance del permiso y la prestación por nacimiento y cuidado del menor tras su nacimiento, poniendo especial atención en su finalidad, tal y como la describe la exposición de motivos del Real Decreto-ley 6/2019, de 1 de marzo, de medidas urgentes para garantía de la igualdad de trato y de oportunidades entre mujeres y hombres en el empleo y la ocupación, a cuyo tenor no es sino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también en la idea de que los permisos de paternidad y maternidad hoy reconocidos legalmente vienen configurados </w:t>
      </w:r>
      <w:r>
        <w:lastRenderedPageBreak/>
        <w:t>como un derecho individual, personal e intransferible de cada progenitor, lo que impide su acumulación en uno de los mismos.</w:t>
      </w:r>
    </w:p>
    <w:p w14:paraId="57D8D30C" w14:textId="77777777" w:rsidR="003754FE" w:rsidRDefault="003754FE" w:rsidP="003754FE">
      <w:pPr>
        <w:pStyle w:val="TextoNormal"/>
      </w:pPr>
    </w:p>
    <w:p w14:paraId="0C7DE008" w14:textId="77777777" w:rsidR="003754FE" w:rsidRDefault="003754FE" w:rsidP="003754FE">
      <w:pPr>
        <w:pStyle w:val="TextoNormal"/>
      </w:pPr>
      <w:r>
        <w:t>c) Añade que esta es la interpretación jurisprudencial constante y unificada de la Sala de lo Social del Tribunal Supremo, que tuvo oportunidad de pronunciarse expresamente en la STS 169/2023, de 2 de marzo, con una doctrina que contradice el fundamento de fondo de la pretensión de amparo.</w:t>
      </w:r>
    </w:p>
    <w:p w14:paraId="5E4CDA94" w14:textId="77777777" w:rsidR="003754FE" w:rsidRDefault="003754FE" w:rsidP="003754FE">
      <w:pPr>
        <w:pStyle w:val="TextoNormal"/>
      </w:pPr>
    </w:p>
    <w:p w14:paraId="2FB3A088" w14:textId="77777777" w:rsidR="003754FE" w:rsidRDefault="003754FE" w:rsidP="003754FE">
      <w:pPr>
        <w:pStyle w:val="TextoNormal"/>
      </w:pPr>
      <w:r>
        <w:t>d) Considera que su alegación en favor de la desestimación del amparo pretendido es también concorde con la doctrina del Tribunal Constitucional fijada en las SSTC 75/2011, de 19 de mayo, y 111/2018, de 17 de octubre, que, resolviendo casos distintos, bajo condiciones normativas distintas, desestimó las pretensiones de amparo entonces planteadas a partir del diferente régimen y finalidad de las prestaciones por paternidad y maternidad, y del hecho de no venir asociadas legalmente dichas prestaciones al requisito único del nacimiento de un hijo o hija común, sino al cumplimiento de los requisitos de afiliación y contribución que las caracterizan.</w:t>
      </w:r>
    </w:p>
    <w:p w14:paraId="52C357B5" w14:textId="77777777" w:rsidR="003754FE" w:rsidRDefault="003754FE" w:rsidP="003754FE">
      <w:pPr>
        <w:pStyle w:val="TextoNormal"/>
      </w:pPr>
    </w:p>
    <w:p w14:paraId="5122B3D5" w14:textId="77777777" w:rsidR="003754FE" w:rsidRDefault="003754FE" w:rsidP="003754FE">
      <w:pPr>
        <w:pStyle w:val="TextoNormal"/>
      </w:pPr>
      <w:r>
        <w:t>e) Señala, en fin, que la interpretación administrativa y judicial del precepto aplicado para denegar a la demandante su petición de extensión de la suspensión del contrato de trabajo con la correspondiente prestación económica (específicamente el art. 48.4 LET), es acorde con la normativa vinculante del Derecho de la Unión Europea y la interpretación que de la misma ha hecho su Tribunal de Justicia, que reconoce también distinto fundamento y finalidad a los permisos de paternidad y maternidad, lo que permite atribuírseles un carácter personal y no transferible, aún en los supuestos en que estos no pudieran disfrutarse o ser reconocidos a uno de los progenitores. En sus alegaciones se analizan también los tratados y acuerdos internacionales citados por la demandante, y otros, para concluir que de ellos no deriva la pretensión de extensión y reconocimiento que solicita.</w:t>
      </w:r>
    </w:p>
    <w:p w14:paraId="0083406E" w14:textId="77777777" w:rsidR="003754FE" w:rsidRDefault="003754FE" w:rsidP="003754FE">
      <w:pPr>
        <w:pStyle w:val="TextoNormal"/>
      </w:pPr>
    </w:p>
    <w:p w14:paraId="314EBA38" w14:textId="71B8D7FD" w:rsidR="003754FE" w:rsidRDefault="003754FE" w:rsidP="003754FE">
      <w:pPr>
        <w:pStyle w:val="TextoNormal"/>
      </w:pPr>
      <w:r>
        <w:t>f) En conclusión, la letrada sostiene que ni el principio general de igualdad, ni la alegada discriminación directa por razón de estado civil, o indirecta por razón de sexo se han producido en este caso; ni derivan de la ley rectamente aplicada, ni son consecuencia de una interpretación de esta que no esté atenta a los principios y derechos fundamentales que han sido alegados. La madre biológica trabajadora, por razón de parto, tiene iguales derechos reconocidos por la ley cualquiera que sea el modelo de familia que decida constituir, ya que no todos los hijos nacidos en familias biparentales disfrutan del derecho a que madre y padre les atiendan por igual espacio de tiempo, con la cobertura económica correspondiente por suspensión del contrato de trabajo, ya que tal situación solo se produce cuando los progenitores satisfacen los requisitos establecidos por el legislador, una vez producido el evento que los justifica, el parto de un descendiente común.</w:t>
      </w:r>
    </w:p>
    <w:p w14:paraId="34C63FAE" w14:textId="77777777" w:rsidR="003754FE" w:rsidRDefault="003754FE" w:rsidP="003754FE">
      <w:pPr>
        <w:pStyle w:val="TextoNormal"/>
      </w:pPr>
    </w:p>
    <w:p w14:paraId="0B85C02B" w14:textId="2529DC08" w:rsidR="003754FE" w:rsidRDefault="003754FE" w:rsidP="003754FE">
      <w:pPr>
        <w:pStyle w:val="TextoNormal"/>
      </w:pPr>
      <w:r w:rsidRPr="003754FE">
        <w:rPr>
          <w:rStyle w:val="NumeroAFNegritaCaracter"/>
        </w:rPr>
        <w:t>8</w:t>
      </w:r>
      <w:r>
        <w:t>. El siguiente 23 de julio de 2024, la representación procesal de la demandante presentó sus alegaciones en las que ratificó el fundamento de su pretensión de amparo mediante remisión al contenido de la demanda.</w:t>
      </w:r>
    </w:p>
    <w:p w14:paraId="3D3BD5BC" w14:textId="77777777" w:rsidR="003754FE" w:rsidRDefault="003754FE" w:rsidP="003754FE">
      <w:pPr>
        <w:pStyle w:val="TextoNormal"/>
      </w:pPr>
    </w:p>
    <w:p w14:paraId="6729F3C2" w14:textId="77777777" w:rsidR="003754FE" w:rsidRDefault="003754FE" w:rsidP="003754FE">
      <w:pPr>
        <w:pStyle w:val="TextoNormal"/>
      </w:pPr>
      <w:r w:rsidRPr="003754FE">
        <w:rPr>
          <w:rStyle w:val="NumeroAFNegritaCaracter"/>
        </w:rPr>
        <w:t>9</w:t>
      </w:r>
      <w:r>
        <w:t>. El 5 de septiembre de 2024, el Ministerio Fiscal interesó también la desestimación del recurso de amparo. No aprecia que se hayan producido las vulneraciones de derechos fundamentales aducidas, lo que justifica con base en los siguientes argumentos, que se exponen de forma resumida:</w:t>
      </w:r>
    </w:p>
    <w:p w14:paraId="7C89645B" w14:textId="77777777" w:rsidR="003754FE" w:rsidRDefault="003754FE" w:rsidP="003754FE">
      <w:pPr>
        <w:pStyle w:val="TextoNormal"/>
      </w:pPr>
    </w:p>
    <w:p w14:paraId="555F5DBA" w14:textId="77777777" w:rsidR="003754FE" w:rsidRDefault="003754FE" w:rsidP="003754FE">
      <w:pPr>
        <w:pStyle w:val="TextoNormal"/>
      </w:pPr>
      <w:r>
        <w:t>a) Tras identificar el art. 48.4 LET (en relación con el art. 177 LGSS) como preceptos aplicados y aplicables a la cuestión planteada en el recurso de amparo, y describir la consolidada doctrina constitucional sobre los distintos contenidos protegidos del art. 14 CE y sus diversos cánones de control constitucional, pone de manifiesto que, en su regulación del tratamiento de las madres biológicas con contrato de trabajo, la Ley del estatuto de los trabajadores no distingue para reconocerles la suspensión temporal del mismo por razón de parto en función de que constituyan o no una familia monoparental. Añade que la prestación reconocida en ese mismo supuesto por el art. 177 LGSS se concede a quien esté incluido en el régimen general de cotización, cualquiera que sea su sexo, siempre que acredite haber cubierto un periodo mínimo de cotización.</w:t>
      </w:r>
    </w:p>
    <w:p w14:paraId="5720453B" w14:textId="77777777" w:rsidR="003754FE" w:rsidRDefault="003754FE" w:rsidP="003754FE">
      <w:pPr>
        <w:pStyle w:val="TextoNormal"/>
      </w:pPr>
    </w:p>
    <w:p w14:paraId="63740657" w14:textId="77777777" w:rsidR="003754FE" w:rsidRDefault="003754FE" w:rsidP="003754FE">
      <w:pPr>
        <w:pStyle w:val="TextoNormal"/>
      </w:pPr>
      <w:r>
        <w:t>A partir de dichas previsiones legales, entiende que la supuesta vulneración de derechos fundamentales que se denuncia derivaría de la ausencia de una previsión expresa en la ley sobre las familias monoparentales; lo que no constituye una laguna del legislador sino supondría una inconstitucionalidad por omisión si la pretensión de la demandante pudiera derivarse razonadamente de un mandato constitucional.</w:t>
      </w:r>
    </w:p>
    <w:p w14:paraId="04A9C97C" w14:textId="77777777" w:rsidR="003754FE" w:rsidRDefault="003754FE" w:rsidP="003754FE">
      <w:pPr>
        <w:pStyle w:val="TextoNormal"/>
      </w:pPr>
    </w:p>
    <w:p w14:paraId="7C906706" w14:textId="77777777" w:rsidR="003754FE" w:rsidRDefault="003754FE" w:rsidP="003754FE">
      <w:pPr>
        <w:pStyle w:val="TextoNormal"/>
      </w:pPr>
      <w:r>
        <w:t>b) Coincide el fiscal con el razonamiento que llevó al Tribunal Supremo (Sala de lo Social) a rechazar una pretensión similar a la analizada (STS 169/2023, de 2 de octubre), pues, entendiendo que la regulación vigente no es contraria a la Constitución, imponer la solución que propugna la recurrente significaría una indebida creación legislativa, tarea que no corresponde al Tribunal Constitucional.</w:t>
      </w:r>
    </w:p>
    <w:p w14:paraId="411E253B" w14:textId="77777777" w:rsidR="003754FE" w:rsidRDefault="003754FE" w:rsidP="003754FE">
      <w:pPr>
        <w:pStyle w:val="TextoNormal"/>
      </w:pPr>
    </w:p>
    <w:p w14:paraId="39FB5391" w14:textId="77777777" w:rsidR="003754FE" w:rsidRDefault="003754FE" w:rsidP="003754FE">
      <w:pPr>
        <w:pStyle w:val="TextoNormal"/>
      </w:pPr>
      <w:r>
        <w:t>c) A continuación, expresa el fiscal su discrepancia en relación con las supuestas vulneraciones del art. 14 CE que fundamentan la demanda de amparo:</w:t>
      </w:r>
    </w:p>
    <w:p w14:paraId="17469402" w14:textId="77777777" w:rsidR="003754FE" w:rsidRDefault="003754FE" w:rsidP="003754FE">
      <w:pPr>
        <w:pStyle w:val="TextoNormal"/>
      </w:pPr>
    </w:p>
    <w:p w14:paraId="491B5FE3" w14:textId="77777777" w:rsidR="003754FE" w:rsidRDefault="003754FE" w:rsidP="003754FE">
      <w:pPr>
        <w:pStyle w:val="TextoNormal"/>
      </w:pPr>
      <w:r>
        <w:t>(i) Considera el fiscal que bajo la aducida vulneración de la cláusula general de igualdad reconocida en el art. 14 CE, el planteamiento de la demanda lo que realmente afirma es la existencia de una discriminación por indiferenciación, pues se le otorga el mismo tratamiento jurídico, como consecuencia del parto, a las familias monoparentales y a las que no lo son, en tanto las segundas reciben el reconocimiento legal de dos periodos de suspensión temporal del contrato de trabajo, con la correspondiente prestación económica asociada, si cumplen los requisitos de afiliación y cotización exigidos en la ley, mientas que la familia monoparental solo recibiría un periodo, dado el carácter intransferible del permiso y prestación reconocidos en favor del progenitor distinto de la madre biológica. Pero tal supuesta inconstitucionalidad por indiferenciación ya ha sido rechazada por la doctrina constitucional que no admite las pretensiones de trato desigual en supuestos desiguales; es decir, el art. 14 CE no ampara el derecho a una desigualdad de trato (SSTC 16/1994, de 20 de enero; 114/1995, de 6 de julio, o 181/2000, de 29 de junio).</w:t>
      </w:r>
    </w:p>
    <w:p w14:paraId="6F90BE07" w14:textId="77777777" w:rsidR="003754FE" w:rsidRDefault="003754FE" w:rsidP="003754FE">
      <w:pPr>
        <w:pStyle w:val="TextoNormal"/>
      </w:pPr>
    </w:p>
    <w:p w14:paraId="5982ACED" w14:textId="77777777" w:rsidR="003754FE" w:rsidRDefault="003754FE" w:rsidP="003754FE">
      <w:pPr>
        <w:pStyle w:val="TextoNormal"/>
      </w:pPr>
      <w:r>
        <w:t xml:space="preserve">En tal medida entiende que la vulneración denunciada no concurre en este supuesto, ni expresa una situación de inconstitucionalidad por omisión pues, conforme estableció la STC 5/1981, de 13 de febrero, '“[e]l Tribunal Constitucional es intérprete supremo de la Constitución, no legislador, y solo cabe solicitar de él el pronunciamiento sobre adecuación o inadecuación de los preceptos a la Constitución”. “De modo que en la arquitectura constitucional no es este tribunal quien debe dar respuesta positiva a las (supuestas) demandas de la sociedad. Esta tiene otros cauces y otros órganos para expresarlas. Por tanto, únicamente </w:t>
      </w:r>
      <w:r>
        <w:lastRenderedPageBreak/>
        <w:t>cuando la omisión del legislador sea equivalente a la negación de la eficacia directa y plena de un mandato o derecho concreto de la Constitución puede este tribunal apreciarlo así y declarar, o más bien reiterar, la eficacia de ese precepto constitucional silenciado o desconocido”. Para el fiscal, la situación denunciada no expresa una laguna u omisión involuntaria del legislador, ni se estima que exista un mandato directo del art. 14 o del 39 CE, que permitan hacer una interpretación creativa de las normas legales para suplir dicha supuesta omisión o laguna, ampliando al doble la prestación en favor de la madre biológica que se otorga en los arts. 177 al 179 LGSS con relación al art. 48.4 LET.</w:t>
      </w:r>
    </w:p>
    <w:p w14:paraId="3D67E665" w14:textId="77777777" w:rsidR="003754FE" w:rsidRDefault="003754FE" w:rsidP="003754FE">
      <w:pPr>
        <w:pStyle w:val="TextoNormal"/>
      </w:pPr>
    </w:p>
    <w:p w14:paraId="294AF161" w14:textId="77777777" w:rsidR="003754FE" w:rsidRDefault="003754FE" w:rsidP="003754FE">
      <w:pPr>
        <w:pStyle w:val="TextoNormal"/>
      </w:pPr>
      <w:r>
        <w:t>(ii) Añade que la reforma realizada por el Real Decreto-ley 6/2019, de 1 de marzo (la regulación actual), en cuanto establece el carácter individual del derecho a la suspensión del contrato de trabajo por nacimiento y cuidado del menor, sin posibilidad de transferencia o cesión, no provoca “un efecto no deseado de desprotección de los menores nacidos en familias monoparentales” ni supone que los hijos nacidos en dicho modelo familiar vean reducido el alcance temporal de su derecho a la atención y cuidado en sus primeros meses de vida, como dice la demanda de amparo, sino que tienen la misma protección y el mismo alcance temporal que antes de la reforma. Tomando en consideración la prestación económica asociada a la suspensión temporal del contrato de trabajo en favor de ambos progenitores de una familia biparental, reitera en sus alegaciones que se trata de una situación diferente a la de la familia monoparental. Pone el acento en que la demandante reitera que se le atribuya la prestación económica correspondiente al progenitor no conocido, pero no vincula dicha reclamación a los intereses de cuidado del recién nacido. Rechaza también que exista una discriminación por razón de estado civil, pues este no es un parámetro que se tome en cuenta en el art. 48.4 LET para declarar personal e intransferible el periodo de suspensión del contrato de trabajo, que es lo que impide, de hecho, estimar la pretensión ejercitada ante la administración y los órganos judiciales, que ahora se reitera en amparo.</w:t>
      </w:r>
    </w:p>
    <w:p w14:paraId="107C6357" w14:textId="77777777" w:rsidR="003754FE" w:rsidRDefault="003754FE" w:rsidP="003754FE">
      <w:pPr>
        <w:pStyle w:val="TextoNormal"/>
      </w:pPr>
    </w:p>
    <w:p w14:paraId="117E8651" w14:textId="77777777" w:rsidR="003754FE" w:rsidRDefault="003754FE" w:rsidP="003754FE">
      <w:pPr>
        <w:pStyle w:val="TextoNormal"/>
      </w:pPr>
      <w:r>
        <w:t xml:space="preserve">(iii) Tampoco aprecia que se produzca una discriminación indirecta por razón de sexo. Reitera que el Real Decreto-ley 6/2019 no empeoró la situación de las madres biológicas al equiparar el permiso por nacimiento de un menor de ambos progenitores; muy al contrario, el objeto del carácter intransferible de dicha previsión en favor del progenitor distinto de la madre biológica es favorecer la participación de estos en el cuidado de los hijos, lo que significa favorecer la eliminación de roles de genero en la atención a los recién nacidos y de aquellas barreras que dificultan el acceso equitativo de las mujeres al mercado laboral; efecto este que se promueve mediante la equiparación del tratamiento de ambos progenitores en caso de parto de un menor común. Recuerda el fiscal, en fin, que el Derecho de la Unión Europea ha alertado contra la adopción de medidas que, si bien contienen un trato favorable para la mujer, en la práctica tienden a perpetuar los roles de género (STJUE de 30 de septiembre de 2010, </w:t>
      </w:r>
      <w:r w:rsidRPr="003754FE">
        <w:rPr>
          <w:i/>
        </w:rPr>
        <w:t>Roca Álvarez</w:t>
      </w:r>
      <w:r>
        <w:t>, asunto C-104/09, especialmente el parágrafo 36 en relación con el 24 y el 25), lo que ha expresado en un caso en que la medida controvertida en el litigio principal establecía una diferencia de trato por razón de sexo favorable a la mujer, entre las madres que tenían la condición de trabajadoras por cuenta ajena y los padres que tenían esa misma condición. Estos efectos contrarios a la equiparación del tratamiento jurídico de las personas de distinto sexo pueden producirse para el caso de que se atienda la pretensión de la demandante, pues las madres biológicas que conformen una familia monoparental van a disfrutar de doble duración del periodo de suspensión temporal del contrato de trabajo, lo que puede favorecer conductas contrarias a su contratación.</w:t>
      </w:r>
    </w:p>
    <w:p w14:paraId="421BE524" w14:textId="77777777" w:rsidR="003754FE" w:rsidRDefault="003754FE" w:rsidP="003754FE">
      <w:pPr>
        <w:pStyle w:val="TextoNormal"/>
      </w:pPr>
    </w:p>
    <w:p w14:paraId="384F9B76" w14:textId="1772A7DD" w:rsidR="003754FE" w:rsidRDefault="003754FE" w:rsidP="003754FE">
      <w:pPr>
        <w:pStyle w:val="TextoNormal"/>
      </w:pPr>
      <w:r>
        <w:lastRenderedPageBreak/>
        <w:t>Y finaliza su alegato señalando que su oposición a la pretensión de amparo no pretende negar que las familias monoparentales merecen una protección específica (como la que ofrece el art. 182 LGSS), especialmente si se pretende algo tan importante como aumentar el índice de natalidad; protección que será claramente necesaria si sus ingresos son bajos, porque el menor cuenta con una persona menos a la que reclamar alimentos y cuidado.</w:t>
      </w:r>
    </w:p>
    <w:p w14:paraId="6FA0C7F3" w14:textId="77777777" w:rsidR="003754FE" w:rsidRDefault="003754FE" w:rsidP="003754FE">
      <w:pPr>
        <w:pStyle w:val="TextoNormal"/>
      </w:pPr>
    </w:p>
    <w:p w14:paraId="23B978A3" w14:textId="1D55D9E3" w:rsidR="003754FE" w:rsidRDefault="003754FE" w:rsidP="003754FE">
      <w:pPr>
        <w:pStyle w:val="TextoNormal"/>
      </w:pPr>
      <w:r w:rsidRPr="003754FE">
        <w:rPr>
          <w:rStyle w:val="NumeroAFNegritaCaracter"/>
        </w:rPr>
        <w:t>10</w:t>
      </w:r>
      <w:r>
        <w:t>. Mediante providencia de 28 de noviembre de 2024, se señaló para deliberación y votación de la presente sentencia el día 2 de diciembre de 2024.</w:t>
      </w:r>
    </w:p>
    <w:p w14:paraId="3C657A69" w14:textId="77777777" w:rsidR="003754FE" w:rsidRDefault="003754FE" w:rsidP="003754FE">
      <w:pPr>
        <w:pStyle w:val="TextoNormal"/>
      </w:pPr>
    </w:p>
    <w:p w14:paraId="1434AF3B" w14:textId="77777777" w:rsidR="003754FE" w:rsidRDefault="003754FE" w:rsidP="003754FE">
      <w:pPr>
        <w:pStyle w:val="TextoNormalNegritaCentrado"/>
        <w:keepNext/>
      </w:pPr>
      <w:r>
        <w:t>II. Fundamentos jurídicos</w:t>
      </w:r>
    </w:p>
    <w:p w14:paraId="0F940A22" w14:textId="3D5580A3" w:rsidR="003754FE" w:rsidRDefault="003754FE" w:rsidP="003754FE">
      <w:pPr>
        <w:pStyle w:val="TextoNormalNegritaCentrado"/>
        <w:keepNext/>
      </w:pPr>
    </w:p>
    <w:p w14:paraId="11C1FB48" w14:textId="77777777" w:rsidR="003754FE" w:rsidRDefault="003754FE" w:rsidP="003754FE">
      <w:pPr>
        <w:pStyle w:val="TextoNormal"/>
      </w:pPr>
      <w:r w:rsidRPr="003754FE">
        <w:rPr>
          <w:rStyle w:val="NumeroAFNegritaCaracter"/>
        </w:rPr>
        <w:t>1</w:t>
      </w:r>
      <w:r>
        <w:t xml:space="preserve">. </w:t>
      </w:r>
      <w:r w:rsidRPr="003754FE">
        <w:rPr>
          <w:i/>
        </w:rPr>
        <w:t>Objeto del recurso</w:t>
      </w:r>
    </w:p>
    <w:p w14:paraId="5AE9FF42" w14:textId="77777777" w:rsidR="003754FE" w:rsidRDefault="003754FE" w:rsidP="003754FE">
      <w:pPr>
        <w:pStyle w:val="TextoNormal"/>
      </w:pPr>
    </w:p>
    <w:p w14:paraId="5875EBF0" w14:textId="40119954" w:rsidR="003754FE" w:rsidRDefault="003754FE" w:rsidP="003754FE">
      <w:pPr>
        <w:pStyle w:val="TextoNormal"/>
      </w:pPr>
      <w:r>
        <w:t>El objeto del presente proceso es dilucidar si las resoluciones administrativas y judiciales impugnadas han ocasionado a la demandante una discriminación por razón de nacimiento, contraria al art. 14 CE, en relación con el art. 39 CE, al aplicar el art. 48.4 del texto refundido de la Ley del estatuto de los trabajadores (LET), en relación con el art. 177 del texto refundido de la Ley general de la Seguridad Social (LGSS), en la redacción dada a los mismos por el Real Decreto-ley 6/2019, de 1 de marzo, de medidas urgentes para garantía de la igualdad de trato y de oportunidades entre mujeres y hombres en el empleo y la ocupación.</w:t>
      </w:r>
    </w:p>
    <w:p w14:paraId="2E00373F" w14:textId="77777777" w:rsidR="003754FE" w:rsidRDefault="003754FE" w:rsidP="003754FE">
      <w:pPr>
        <w:pStyle w:val="TextoNormal"/>
      </w:pPr>
    </w:p>
    <w:p w14:paraId="59A3A42D" w14:textId="77777777" w:rsidR="003754FE" w:rsidRDefault="003754FE" w:rsidP="003754FE">
      <w:pPr>
        <w:pStyle w:val="TextoNormal"/>
      </w:pPr>
      <w:r w:rsidRPr="003754FE">
        <w:rPr>
          <w:rStyle w:val="NumeroAFNegritaCaracter"/>
        </w:rPr>
        <w:t>2</w:t>
      </w:r>
      <w:r>
        <w:t xml:space="preserve">. </w:t>
      </w:r>
      <w:r w:rsidRPr="003754FE">
        <w:rPr>
          <w:i/>
        </w:rPr>
        <w:t>Sobre la especial trascendencia de la cuestión planteada y su justificación en la demanda</w:t>
      </w:r>
    </w:p>
    <w:p w14:paraId="6A03E012" w14:textId="77777777" w:rsidR="003754FE" w:rsidRDefault="003754FE" w:rsidP="003754FE">
      <w:pPr>
        <w:pStyle w:val="TextoNormal"/>
      </w:pPr>
    </w:p>
    <w:p w14:paraId="43957778" w14:textId="77777777" w:rsidR="003754FE" w:rsidRDefault="003754FE" w:rsidP="003754FE">
      <w:pPr>
        <w:pStyle w:val="TextoNormal"/>
      </w:pPr>
      <w:r>
        <w:t>A tenor de la fundamentación de la demanda de amparo y del debate planteado y resuelto en la vía judicial previa sobre el alcance y contenido de los arts. 48.4 LET y 177 LGSS, el presente recurso de amparo fue admitido a trámite tras apreciar que la posible vulneración del derecho fundamental que se denuncia pudiera provenir de la ley [STC 155/2009, FJ 2 c)], en tanto las decisiones administrativas y judiciales cuestionadas justificaban en cada caso la desestimación de la pretensión planteada en el tenor literal de la regulación jurídica aplicable y aplicada al caso.</w:t>
      </w:r>
    </w:p>
    <w:p w14:paraId="3A948A77" w14:textId="77777777" w:rsidR="003754FE" w:rsidRDefault="003754FE" w:rsidP="003754FE">
      <w:pPr>
        <w:pStyle w:val="TextoNormal"/>
      </w:pPr>
    </w:p>
    <w:p w14:paraId="10CA44D5" w14:textId="33661F25" w:rsidR="003754FE" w:rsidRDefault="003754FE" w:rsidP="003754FE">
      <w:pPr>
        <w:pStyle w:val="TextoNormal"/>
      </w:pPr>
      <w:r>
        <w:t>La letrada de la administración de la Seguridad Social cuestiona en sus alegaciones que la demandante haya justificado de forma debida la especial trascendencia constitucional de la cuestión planteada en la demanda de amparo. Sin embargo, tal objeción no puede ser compartida como óbice procesal que conllevaría la inadmisión de la demanda pues, a través de dicha alegación, no se hace sino discrepar de la fundamentación que justifica la queja, anticipando la representante de la administración que no se ha producido vulneración alguna del derecho a la igualdad ante la ley sin que haya lugar a discriminación. Este argumento habrá de ser analizado al resolver la cuestión de fondo lo que, cabe anticipar, se hará en los mismos términos en que ha sido expresado en la reciente STC 140/2024, de 6 de noviembre (del Pleno), a la que, por coincidir su objeto, habremos de remitirnos.</w:t>
      </w:r>
    </w:p>
    <w:p w14:paraId="0BDB8F15" w14:textId="77777777" w:rsidR="003754FE" w:rsidRDefault="003754FE" w:rsidP="003754FE">
      <w:pPr>
        <w:pStyle w:val="TextoNormal"/>
      </w:pPr>
    </w:p>
    <w:p w14:paraId="10693E78" w14:textId="77777777" w:rsidR="003754FE" w:rsidRDefault="003754FE" w:rsidP="003754FE">
      <w:pPr>
        <w:pStyle w:val="TextoNormal"/>
      </w:pPr>
      <w:r w:rsidRPr="003754FE">
        <w:rPr>
          <w:rStyle w:val="NumeroAFNegritaCaracter"/>
        </w:rPr>
        <w:t>3</w:t>
      </w:r>
      <w:r>
        <w:t xml:space="preserve">. </w:t>
      </w:r>
      <w:r w:rsidRPr="003754FE">
        <w:rPr>
          <w:i/>
        </w:rPr>
        <w:t>Aplicación de la doctrina constitucional fijada en la STC 140/2024, de 6 de noviembre</w:t>
      </w:r>
    </w:p>
    <w:p w14:paraId="5E3D122E" w14:textId="77777777" w:rsidR="003754FE" w:rsidRDefault="003754FE" w:rsidP="003754FE">
      <w:pPr>
        <w:pStyle w:val="TextoNormal"/>
      </w:pPr>
    </w:p>
    <w:p w14:paraId="7329057A" w14:textId="77777777" w:rsidR="003754FE" w:rsidRDefault="003754FE" w:rsidP="003754FE">
      <w:pPr>
        <w:pStyle w:val="TextoNormal"/>
      </w:pPr>
      <w:r>
        <w:lastRenderedPageBreak/>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073F706F" w14:textId="77777777" w:rsidR="003754FE" w:rsidRDefault="003754FE" w:rsidP="003754FE">
      <w:pPr>
        <w:pStyle w:val="TextoNormal"/>
      </w:pPr>
    </w:p>
    <w:p w14:paraId="5C5790BA" w14:textId="77777777" w:rsidR="003754FE" w:rsidRDefault="003754FE" w:rsidP="003754FE">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1A73928F" w14:textId="77777777" w:rsidR="003754FE" w:rsidRDefault="003754FE" w:rsidP="003754FE">
      <w:pPr>
        <w:pStyle w:val="TextoNormal"/>
      </w:pPr>
    </w:p>
    <w:p w14:paraId="77C7C3CE" w14:textId="77777777" w:rsidR="003754FE" w:rsidRDefault="003754FE" w:rsidP="003754FE">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3754FE">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00941336" w14:textId="77777777" w:rsidR="003754FE" w:rsidRDefault="003754FE" w:rsidP="003754FE">
      <w:pPr>
        <w:pStyle w:val="TextoNormal"/>
      </w:pPr>
    </w:p>
    <w:p w14:paraId="64ED633C" w14:textId="0AE6BB01" w:rsidR="003754FE" w:rsidRDefault="003754FE" w:rsidP="003754FE">
      <w:pPr>
        <w:pStyle w:val="TextoNormal"/>
      </w:pPr>
      <w:r>
        <w:t>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45CC74AE" w14:textId="77777777" w:rsidR="003754FE" w:rsidRDefault="003754FE" w:rsidP="003754FE">
      <w:pPr>
        <w:pStyle w:val="TextoNormal"/>
      </w:pPr>
    </w:p>
    <w:p w14:paraId="50B695FF" w14:textId="77777777" w:rsidR="003754FE" w:rsidRDefault="003754FE" w:rsidP="003754FE">
      <w:pPr>
        <w:pStyle w:val="TextoNormalCentrado"/>
        <w:keepNext/>
      </w:pPr>
      <w:r>
        <w:lastRenderedPageBreak/>
        <w:t>FALLO</w:t>
      </w:r>
    </w:p>
    <w:p w14:paraId="09809D6D" w14:textId="26241140" w:rsidR="003754FE" w:rsidRDefault="003754FE" w:rsidP="003754FE">
      <w:pPr>
        <w:pStyle w:val="TextoNormalCentrado"/>
        <w:keepNext/>
      </w:pPr>
    </w:p>
    <w:p w14:paraId="774D17CF" w14:textId="77777777" w:rsidR="003754FE" w:rsidRDefault="003754FE" w:rsidP="003754FE">
      <w:pPr>
        <w:pStyle w:val="TextoNormal"/>
      </w:pPr>
      <w:r>
        <w:t>En atención a todo lo expuesto, el Tribunal Constitucional, por la autoridad que le confiere la Constitución de la Nación española, ha decidido:</w:t>
      </w:r>
    </w:p>
    <w:p w14:paraId="3E1886AB" w14:textId="77777777" w:rsidR="003754FE" w:rsidRDefault="003754FE" w:rsidP="003754FE">
      <w:pPr>
        <w:pStyle w:val="TextoNormal"/>
      </w:pPr>
    </w:p>
    <w:p w14:paraId="402BCAFB" w14:textId="77777777" w:rsidR="003754FE" w:rsidRDefault="003754FE" w:rsidP="003754FE">
      <w:pPr>
        <w:pStyle w:val="TextoNormal"/>
      </w:pPr>
      <w:r>
        <w:t>1º Estimar la demanda presentada por doña Laura Yoldi Sada por vulneración del derecho fundamental a la igualdad ante la ley sin discriminación por razón de nacimiento (art. 14 CE), con reconocimiento de tal derecho.</w:t>
      </w:r>
    </w:p>
    <w:p w14:paraId="6856B86A" w14:textId="77777777" w:rsidR="003754FE" w:rsidRDefault="003754FE" w:rsidP="003754FE">
      <w:pPr>
        <w:pStyle w:val="TextoNormal"/>
      </w:pPr>
    </w:p>
    <w:p w14:paraId="3052921C" w14:textId="77777777" w:rsidR="003754FE" w:rsidRDefault="003754FE" w:rsidP="003754FE">
      <w:pPr>
        <w:pStyle w:val="TextoNormal"/>
      </w:pPr>
      <w:r>
        <w:t>2º Declarar la nulidad de la resolución de 2 de septiembre de 2021 del Instituto Nacional de la Seguridad Social (INSS) que desestimó la petición de revisión y ampliación de la prestación por nacimiento y cuidado de su hija menor; de la sentencia núm. 169/2022, de 6 de abril, del Juzgado de lo Social núm. 2 de Pamplona (autos núm. 886-2021); de la sentencia núm. 271/2022, de 21 de julio, de la Sala de lo Social del Tribunal Superior de Justicia de Navarra (recurso de suplicación núm. 263-2022); y del auto de 12 de julio de 2023, de la Sala de lo Social del Tribunal Supremo (recurso de casación para la unificación de doctrina núm. 4255-2022) que inadmitió a trámite el recurso presentado.</w:t>
      </w:r>
    </w:p>
    <w:p w14:paraId="483E8318" w14:textId="77777777" w:rsidR="003754FE" w:rsidRDefault="003754FE" w:rsidP="003754FE">
      <w:pPr>
        <w:pStyle w:val="TextoNormal"/>
      </w:pPr>
    </w:p>
    <w:p w14:paraId="298BC4A0" w14:textId="7EB97A46" w:rsidR="003754FE" w:rsidRDefault="003754FE" w:rsidP="003754FE">
      <w:pPr>
        <w:pStyle w:val="TextoNormal"/>
      </w:pPr>
      <w:r>
        <w:t>3º Retrotraer las actuaciones al momento previo al dictado de la resolución de 2 de septiembre de 2021 (INSS), a fin de que, en los términos expuestos en el último párrafo del fundamento jurídico 3, se dicte otra respetuosa con el derecho de la recurrente cuya vulneración ha sido declarada.</w:t>
      </w:r>
    </w:p>
    <w:p w14:paraId="607333B0" w14:textId="77777777" w:rsidR="003754FE" w:rsidRDefault="003754FE" w:rsidP="003754FE">
      <w:pPr>
        <w:pStyle w:val="TextoNormal"/>
      </w:pPr>
    </w:p>
    <w:p w14:paraId="0882F85B" w14:textId="77777777" w:rsidR="003754FE" w:rsidRDefault="003754FE" w:rsidP="003754FE">
      <w:pPr>
        <w:pStyle w:val="TextoNormal"/>
      </w:pPr>
      <w:r>
        <w:t>Publíquese esta sentencia en el “Boletín Oficial del Estado”.</w:t>
      </w:r>
    </w:p>
    <w:p w14:paraId="47518DB0" w14:textId="77777777" w:rsidR="003754FE" w:rsidRDefault="003754FE" w:rsidP="003754FE">
      <w:pPr>
        <w:pStyle w:val="TextoNormal"/>
      </w:pPr>
      <w:r>
        <w:t>Dada en Madrid, a dos de diciembre de dos mil veinticuatro.</w:t>
      </w:r>
    </w:p>
    <w:p w14:paraId="31B93133" w14:textId="28A13EDB" w:rsidR="003754FE" w:rsidRDefault="003754FE">
      <w:pPr>
        <w:spacing w:after="160" w:line="278" w:lineRule="auto"/>
        <w:rPr>
          <w:rFonts w:ascii="Times New Roman" w:eastAsia="Times New Roman" w:hAnsi="Times New Roman" w:cs="Times New Roman"/>
          <w:sz w:val="24"/>
          <w:szCs w:val="24"/>
          <w:lang w:eastAsia="es-ES"/>
        </w:rPr>
      </w:pPr>
      <w:r>
        <w:br w:type="page"/>
      </w:r>
    </w:p>
    <w:p w14:paraId="03E6D294" w14:textId="77777777" w:rsidR="003754FE" w:rsidRDefault="003754FE" w:rsidP="003754FE">
      <w:pPr>
        <w:pStyle w:val="TtuloResolucin"/>
      </w:pPr>
      <w:bookmarkStart w:id="57" w:name="SENTENCIA_2024_148"/>
      <w:r>
        <w:lastRenderedPageBreak/>
        <w:t>SENTENCIA 148/2024, de 2 de diciembre de 2024</w:t>
      </w:r>
    </w:p>
    <w:bookmarkEnd w:id="57"/>
    <w:p w14:paraId="3E7FE029" w14:textId="77777777" w:rsidR="003754FE" w:rsidRDefault="003754FE" w:rsidP="003754FE">
      <w:pPr>
        <w:pStyle w:val="TtuloResolucin"/>
      </w:pPr>
      <w:r>
        <w:t>Sala Segunda</w:t>
      </w:r>
    </w:p>
    <w:p w14:paraId="548EB2E0" w14:textId="77777777" w:rsidR="003754FE" w:rsidRDefault="003754FE" w:rsidP="003754FE">
      <w:pPr>
        <w:pStyle w:val="TtuloBOE"/>
      </w:pPr>
      <w:r>
        <w:t>(BOE núm. 5, de 6 de enero de 2025)</w:t>
      </w:r>
    </w:p>
    <w:p w14:paraId="5210419F" w14:textId="77777777" w:rsidR="003754FE" w:rsidRDefault="003754FE" w:rsidP="003754FE">
      <w:pPr>
        <w:pStyle w:val="TextoNormalCentrado"/>
      </w:pPr>
      <w:r>
        <w:t>ECLI:ES:TC:2024:148</w:t>
      </w:r>
    </w:p>
    <w:p w14:paraId="6BA0A122" w14:textId="0C5272F1" w:rsidR="003754FE" w:rsidRDefault="003754FE" w:rsidP="003754FE">
      <w:pPr>
        <w:pStyle w:val="TextoNormalCentrado"/>
      </w:pPr>
    </w:p>
    <w:p w14:paraId="6D2389AB" w14:textId="77777777" w:rsidR="003754FE" w:rsidRDefault="003754FE" w:rsidP="003754FE">
      <w:pPr>
        <w:pStyle w:val="SntesisDescriptiva"/>
      </w:pPr>
      <w:r>
        <w:t>Recurso de amparo 420-2024. Promovido por doña Natividad Jáuregui Espina respecto de los autos de la Sección Segunda de la Sala de lo Penal de la Audiencia Nacional en causa por atentado terrorista.</w:t>
      </w:r>
    </w:p>
    <w:p w14:paraId="7AFE58E2" w14:textId="0AA4BE41" w:rsidR="003754FE" w:rsidRDefault="003754FE" w:rsidP="003754FE">
      <w:pPr>
        <w:pStyle w:val="SntesisDescriptiva"/>
      </w:pPr>
    </w:p>
    <w:p w14:paraId="215B2E8A" w14:textId="77777777" w:rsidR="003754FE" w:rsidRDefault="003754FE" w:rsidP="003754FE">
      <w:pPr>
        <w:pStyle w:val="SntesisAnaltica"/>
      </w:pPr>
      <w:r>
        <w:t>Vulneración del derecho a la libertad personal: resoluciones judiciales que acordaron la adopción de medidas cautelares una vez declarada extinta la responsabilidad criminal y sin habilitación legal previa.</w:t>
      </w:r>
    </w:p>
    <w:p w14:paraId="5DF040C4" w14:textId="64F18A80" w:rsidR="003754FE" w:rsidRDefault="003754FE" w:rsidP="003754FE">
      <w:pPr>
        <w:pStyle w:val="SntesisAnaltica"/>
      </w:pPr>
    </w:p>
    <w:p w14:paraId="1B59FD64" w14:textId="3FDDE364" w:rsidR="003754FE" w:rsidRDefault="003754FE" w:rsidP="003754FE">
      <w:pPr>
        <w:pStyle w:val="Extracto"/>
      </w:pPr>
      <w:r>
        <w:t>1.</w:t>
      </w:r>
      <w:r>
        <w:tab/>
        <w:t>Nuestra legislación procesal no prevé la posibilidad de adoptar medidas cautelares durante la tramitación de un recurso interpuesto frente a una decisión de archivo; lejos de ello, lo proscribe directamente al señalar que el efecto natural y jurídico de dicha decisión de archivo (ya sea vía del art. 637 o 641 LECrim) es la automática e inmediata puesta en libertad y el alzamiento de las medidas cautelares personales previamente adoptadas (arts. 675, 861 bis, 782.1, y 983 LECrim) [FJ 4].</w:t>
      </w:r>
    </w:p>
    <w:p w14:paraId="69AB11D1" w14:textId="77777777" w:rsidR="003754FE" w:rsidRDefault="003754FE" w:rsidP="003754FE">
      <w:pPr>
        <w:pStyle w:val="Extracto"/>
      </w:pPr>
    </w:p>
    <w:p w14:paraId="7C1BB5DC" w14:textId="4019253C" w:rsidR="003754FE" w:rsidRDefault="003754FE" w:rsidP="003754FE">
      <w:pPr>
        <w:pStyle w:val="Extracto"/>
      </w:pPr>
      <w:r>
        <w:t>2.</w:t>
      </w:r>
      <w:r>
        <w:tab/>
        <w:t xml:space="preserve">Tras el dictado de una resolución de archivo -ya adopte la forma de sentencia o de auto- se desvanecen los fundamentos mismos de la medida cautelar adoptada por el órgano judicial, no solo desde la perspectiva de su finalidad, sino también desde la perspectiva del </w:t>
      </w:r>
      <w:r w:rsidRPr="003754FE">
        <w:rPr>
          <w:i/>
        </w:rPr>
        <w:t>fumus boni iuris</w:t>
      </w:r>
      <w:r>
        <w:t>, pieza angular de aquella [FJ 4].</w:t>
      </w:r>
    </w:p>
    <w:p w14:paraId="2FD97DB5" w14:textId="77777777" w:rsidR="003754FE" w:rsidRDefault="003754FE" w:rsidP="003754FE">
      <w:pPr>
        <w:pStyle w:val="Extracto"/>
      </w:pPr>
    </w:p>
    <w:p w14:paraId="49FF3D2E" w14:textId="6C9B7643" w:rsidR="003754FE" w:rsidRDefault="003754FE" w:rsidP="003754FE">
      <w:pPr>
        <w:pStyle w:val="Extracto"/>
      </w:pPr>
      <w:r>
        <w:t>3.</w:t>
      </w:r>
      <w:r>
        <w:tab/>
        <w:t>Las resoluciones judiciales que adoptan medidas cautelares personales, fuera de toda cobertura legal y contra la normativa general establecida al respecto por la Ley de enjuiciamiento criminal, vulneran el derecho a la libertad (art. 17.1 CE); en cuya virtud, nadie puede ser privado de su libertad, sino con observancia de lo establecido en este artículo y en los casos y en la forma previstos en la ley [FJ 4].</w:t>
      </w:r>
    </w:p>
    <w:p w14:paraId="72276551" w14:textId="77777777" w:rsidR="003754FE" w:rsidRDefault="003754FE" w:rsidP="003754FE">
      <w:pPr>
        <w:pStyle w:val="Extracto"/>
      </w:pPr>
    </w:p>
    <w:p w14:paraId="3B774A2C" w14:textId="77777777" w:rsidR="003754FE" w:rsidRDefault="003754FE" w:rsidP="003754FE">
      <w:pPr>
        <w:pStyle w:val="Extracto"/>
      </w:pPr>
    </w:p>
    <w:p w14:paraId="5E31FB36"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9063D16" w14:textId="4B823B83" w:rsidR="003754FE" w:rsidRDefault="003754FE" w:rsidP="003754FE">
      <w:pPr>
        <w:pStyle w:val="TextoNormal"/>
      </w:pPr>
    </w:p>
    <w:p w14:paraId="127D4F76" w14:textId="77777777" w:rsidR="003754FE" w:rsidRDefault="003754FE" w:rsidP="003754FE">
      <w:pPr>
        <w:pStyle w:val="TextoNormalCentrado"/>
        <w:keepNext/>
      </w:pPr>
      <w:r>
        <w:t>EN NOMBRE DEL REY</w:t>
      </w:r>
    </w:p>
    <w:p w14:paraId="3DE36728" w14:textId="57F94FF5" w:rsidR="003754FE" w:rsidRDefault="003754FE" w:rsidP="003754FE">
      <w:pPr>
        <w:pStyle w:val="TextoNormalCentrado"/>
        <w:keepNext/>
      </w:pPr>
    </w:p>
    <w:p w14:paraId="700F6685" w14:textId="77777777" w:rsidR="003754FE" w:rsidRDefault="003754FE" w:rsidP="003754FE">
      <w:pPr>
        <w:pStyle w:val="TextoNormalCentrado"/>
        <w:keepNext/>
      </w:pPr>
    </w:p>
    <w:p w14:paraId="4508A94D" w14:textId="77777777" w:rsidR="003754FE" w:rsidRDefault="003754FE" w:rsidP="003754FE">
      <w:pPr>
        <w:pStyle w:val="TextoNormal"/>
      </w:pPr>
      <w:r>
        <w:t>la siguiente</w:t>
      </w:r>
    </w:p>
    <w:p w14:paraId="143CEA2C" w14:textId="7FF06968" w:rsidR="003754FE" w:rsidRDefault="003754FE" w:rsidP="003754FE">
      <w:pPr>
        <w:pStyle w:val="TextoNormal"/>
      </w:pPr>
    </w:p>
    <w:p w14:paraId="4E63C9B7" w14:textId="77777777" w:rsidR="003754FE" w:rsidRDefault="003754FE" w:rsidP="003754FE">
      <w:pPr>
        <w:pStyle w:val="TextoNormalCentrado"/>
        <w:keepNext/>
      </w:pPr>
      <w:r>
        <w:t>SENTENCIA</w:t>
      </w:r>
    </w:p>
    <w:p w14:paraId="643BDF4B" w14:textId="67F21D88" w:rsidR="003754FE" w:rsidRDefault="003754FE" w:rsidP="003754FE">
      <w:pPr>
        <w:pStyle w:val="TextoNormalCentrado"/>
        <w:keepNext/>
      </w:pPr>
    </w:p>
    <w:p w14:paraId="35C2DF4A" w14:textId="77777777" w:rsidR="003754FE" w:rsidRDefault="003754FE" w:rsidP="003754FE">
      <w:pPr>
        <w:pStyle w:val="TextoNormal"/>
      </w:pPr>
      <w:r>
        <w:t xml:space="preserve">En el recurso de amparo núm. 420-2024, promovido por doña Natividad Jáuregui Espina, representada por el procurador de los tribunales don Javier Cuevas Rivas y bajo la dirección letrada de don Alfonso Zenón Castro, contra los autos de la Sección Segunda de la Sala de </w:t>
      </w:r>
      <w:r>
        <w:lastRenderedPageBreak/>
        <w:t>lo Penal de la Audiencia Nacional, de 2 de noviembre de 2023, que acordaban la adopción de medidas cautelares una vez declarada la extinción de la responsabilidad criminal por razón de prescripción (art. 131.1 del Código penal) y de 20 de noviembre de 2023, que lo confirmó. Ha intervenido el Ministerio Fiscal. Ha sido ponente la magistrada doña María Luisa Balaguer Callejón.</w:t>
      </w:r>
    </w:p>
    <w:p w14:paraId="36FA4912" w14:textId="2FA706F6" w:rsidR="003754FE" w:rsidRDefault="003754FE" w:rsidP="003754FE">
      <w:pPr>
        <w:pStyle w:val="TextoNormal"/>
      </w:pPr>
    </w:p>
    <w:p w14:paraId="097E981D" w14:textId="77777777" w:rsidR="003754FE" w:rsidRDefault="003754FE" w:rsidP="003754FE">
      <w:pPr>
        <w:pStyle w:val="TextoNormalNegritaCentrado"/>
        <w:keepNext/>
      </w:pPr>
      <w:r>
        <w:t>I. Antecedentes</w:t>
      </w:r>
    </w:p>
    <w:p w14:paraId="1C274BE5" w14:textId="2A974D56" w:rsidR="003754FE" w:rsidRDefault="003754FE" w:rsidP="003754FE">
      <w:pPr>
        <w:pStyle w:val="TextoNormalNegritaCentrado"/>
        <w:keepNext/>
      </w:pPr>
    </w:p>
    <w:p w14:paraId="45D8E53E" w14:textId="11A38263" w:rsidR="003754FE" w:rsidRDefault="003754FE" w:rsidP="003754FE">
      <w:pPr>
        <w:pStyle w:val="TextoNormal"/>
      </w:pPr>
      <w:r w:rsidRPr="003754FE">
        <w:rPr>
          <w:rStyle w:val="NumeroAFNegritaCaracter"/>
        </w:rPr>
        <w:t>1</w:t>
      </w:r>
      <w:r>
        <w:t>. El procurador de los tribunales don Javier Cuevas Rivas, en nombre y representación de doña Natividad Jáuregui Espina, y bajo la dirección letrada de don Alfonso Zenón Castro, interpuso recurso de amparo contra las resoluciones judiciales que se mencionan en el encabezamiento de esta sentencia mediante escrito registrado en este tribunal el 22 de enero de 2024.</w:t>
      </w:r>
    </w:p>
    <w:p w14:paraId="1ACF40B5" w14:textId="77777777" w:rsidR="003754FE" w:rsidRDefault="003754FE" w:rsidP="003754FE">
      <w:pPr>
        <w:pStyle w:val="TextoNormal"/>
      </w:pPr>
    </w:p>
    <w:p w14:paraId="3E4965F7" w14:textId="77777777" w:rsidR="003754FE" w:rsidRDefault="003754FE" w:rsidP="003754FE">
      <w:pPr>
        <w:pStyle w:val="TextoNormal"/>
      </w:pPr>
      <w:r w:rsidRPr="003754FE">
        <w:rPr>
          <w:rStyle w:val="NumeroAFNegritaCaracter"/>
        </w:rPr>
        <w:t>2</w:t>
      </w:r>
      <w:r>
        <w:t>. El recurso tiene su origen en los siguientes antecedentes:</w:t>
      </w:r>
    </w:p>
    <w:p w14:paraId="548750FD" w14:textId="77777777" w:rsidR="003754FE" w:rsidRDefault="003754FE" w:rsidP="003754FE">
      <w:pPr>
        <w:pStyle w:val="TextoNormal"/>
      </w:pPr>
    </w:p>
    <w:p w14:paraId="04231C59" w14:textId="77777777" w:rsidR="003754FE" w:rsidRDefault="003754FE" w:rsidP="003754FE">
      <w:pPr>
        <w:pStyle w:val="TextoNormal"/>
      </w:pPr>
      <w:r>
        <w:t xml:space="preserve">a) En fecha 2 de noviembre de 2023, la Sección Segunda de la Sala de lo Penal de la Audiencia Nacional declaró, en el seno del procedimiento por sumario núm. 105-1983 y previo planteamiento de un artículo de previo pronunciamiento, el sobreseimiento libre (art. 637 de la Ley de enjuiciamiento criminal: LECrim) por razón de la prescripción (art. 131.1 del Código penal: CP) del procedimiento penal seguido frente a la demandante de amparo, por su presunta participación en un delito de atentado terrorista con resultado de muerte acaecido el 19 de marzo de 1981 en la localidad de Bilbao (Vizcaya). Tras ordenar la puesta en libertad de la señora Jáuregui Espina, la resolución acordaba la imposición a la demandante de amparo de la medida cautelar de “obligación </w:t>
      </w:r>
      <w:r w:rsidRPr="003754FE">
        <w:rPr>
          <w:i/>
        </w:rPr>
        <w:t>apud acta</w:t>
      </w:r>
      <w:r>
        <w:t xml:space="preserve"> de comparecer los días 3 de cada mes, con designación de domicilio, y prohibición de salida de territorio español con retirada de pasaporte, librándose para ello los oportunos mandamientos al centro penitenciario de Madrid I-Alcalá Meco”.</w:t>
      </w:r>
    </w:p>
    <w:p w14:paraId="61002EB0" w14:textId="77777777" w:rsidR="003754FE" w:rsidRDefault="003754FE" w:rsidP="003754FE">
      <w:pPr>
        <w:pStyle w:val="TextoNormal"/>
      </w:pPr>
    </w:p>
    <w:p w14:paraId="71A76DED" w14:textId="77777777" w:rsidR="003754FE" w:rsidRDefault="003754FE" w:rsidP="003754FE">
      <w:pPr>
        <w:pStyle w:val="TextoNormal"/>
      </w:pPr>
      <w:r>
        <w:t>b) La demandante, por escrito fechado el 7 de noviembre de 2023, presentó recurso de súplica frente a la anterior resolución solicitando el alzamiento de las medidas cautelares acordadas. En dicho recurso afirmaba que la adopción de medidas cautelares se había efectuado fuera de cualquier amparo legal, dado que el auto de 2 de noviembre de 2023 debía limitarse a resolver los artículos de previo pronunciamiento planteados y que las medidas cautelares no habían sido solicitadas por ninguna de las partes personadas. Refuerza este argumentario aduciendo que el art. 675 LECrim no reconoce la facultad de adoptar medidas cautelares con ocasión de la apreciación de alguna de las excepciones de los apartados segundo, tercero y cuarto del art. 666 LECrim, y que, además, el art. 530 LECrim tampoco daría amparo a esta posibilidad, habida cuenta que el citado precepto se refiere a supuestos en que las medidas cautelares son acordadas tras la puesta en libertad provisional del investigado, escenario que difiere notablemente del presente supuesto, en que la libertad acordada por la resolución impugnada obedece a una previa declaración de sobreseimiento libre y archivo definitivo (art. 637 LECrim).</w:t>
      </w:r>
    </w:p>
    <w:p w14:paraId="55BD38A7" w14:textId="77777777" w:rsidR="003754FE" w:rsidRDefault="003754FE" w:rsidP="003754FE">
      <w:pPr>
        <w:pStyle w:val="TextoNormal"/>
      </w:pPr>
    </w:p>
    <w:p w14:paraId="0BC1828C" w14:textId="77777777" w:rsidR="003754FE" w:rsidRDefault="003754FE" w:rsidP="003754FE">
      <w:pPr>
        <w:pStyle w:val="TextoNormal"/>
      </w:pPr>
      <w:r>
        <w:t xml:space="preserve">Para la demandante, en definitiva, la resolución impugnada habría supuesto una vulneración del derecho a la tutela judicial efectiva (art. 24.1 CE) y del derecho a la libertad personal (art. 17 CE), habida cuenta que “se acuerdan unas medidas cautelares personales </w:t>
      </w:r>
      <w:r>
        <w:lastRenderedPageBreak/>
        <w:t>que restringen su libertad, verdaderas medidas cautelares encaminadas a asegurar los fines del proceso que ya no existe, puesto que se ha decretado ya la extinción de la responsabilidad de mi patrocinada y el archivo de las actuaciones”.</w:t>
      </w:r>
    </w:p>
    <w:p w14:paraId="0F1DF9DF" w14:textId="77777777" w:rsidR="003754FE" w:rsidRDefault="003754FE" w:rsidP="003754FE">
      <w:pPr>
        <w:pStyle w:val="TextoNormal"/>
      </w:pPr>
    </w:p>
    <w:p w14:paraId="379993E8" w14:textId="77777777" w:rsidR="003754FE" w:rsidRDefault="003754FE" w:rsidP="003754FE">
      <w:pPr>
        <w:pStyle w:val="TextoNormal"/>
      </w:pPr>
      <w:r>
        <w:t>c) El recurso de súplica fue desestimado finalmente por auto de la Sección Segunda de la Sala de lo Penal de la Audiencia Nacional, de 20 de noviembre de 2023, cuyo razonamiento jurídico único contiene la siguiente argumentación:</w:t>
      </w:r>
    </w:p>
    <w:p w14:paraId="43660281" w14:textId="77777777" w:rsidR="003754FE" w:rsidRDefault="003754FE" w:rsidP="003754FE">
      <w:pPr>
        <w:pStyle w:val="TextoNormal"/>
      </w:pPr>
    </w:p>
    <w:p w14:paraId="036E1EB6" w14:textId="77777777" w:rsidR="003754FE" w:rsidRDefault="003754FE" w:rsidP="003754FE">
      <w:pPr>
        <w:pStyle w:val="TextoNormal"/>
      </w:pPr>
      <w:r>
        <w:t>“El artículo 539 de la LECrim establece que la prisión provisional podrá ser modificada en cualquier momento de la duración del proceso y el último párrafo del referido articulo otorga al Juez la facultad de modificar la situación de prisión, en este caso, por cualquier medida que resulte más favorable al sometido a la misma, de oficio o sin someterse a petición de parte; con lo que la alegación expresada por la defensa de la recurrente en suplica, debe rechazarse de plano; el Tribunal de oficio y ante la decisión que acordó , en congruencia con ella, adoptó la libertad de la recurrente sometiéndole a las medidas cautelares que estimó oportunos, de oficio, dentro de sus competencias, y toda vez que la resolución no era firme.</w:t>
      </w:r>
    </w:p>
    <w:p w14:paraId="45439286" w14:textId="77777777" w:rsidR="003754FE" w:rsidRDefault="003754FE" w:rsidP="003754FE">
      <w:pPr>
        <w:pStyle w:val="TextoNormal"/>
      </w:pPr>
    </w:p>
    <w:p w14:paraId="3999030F" w14:textId="77777777" w:rsidR="003754FE" w:rsidRDefault="003754FE" w:rsidP="003754FE">
      <w:pPr>
        <w:pStyle w:val="TextoNormal"/>
      </w:pPr>
      <w:r>
        <w:t xml:space="preserve">Cuestión distinta es si la decisión acordada al amparo del artículo 666 de la LECrim implica la interpretación que expone el Ministerio Fiscal respecto de la libertad acordada, en el sentido literal de lo que expresa el artículo 861 </w:t>
      </w:r>
      <w:r w:rsidRPr="003754FE">
        <w:rPr>
          <w:i/>
        </w:rPr>
        <w:t>bis</w:t>
      </w:r>
      <w:r>
        <w:t xml:space="preserve"> b) de la LECrim último párrafo ‘[s]i la sentencia recurrida fuere absolutoria y el reo estuviere preso, será puesto en libertad’, es decir entendiendo la puesta en libertad sin la adopción de ninguna medida cautelar, en íntima relación con el artículo 675 que expresa que ‘[c]uando se declare haber lugar a cualquiera de las excepciones comprendidas en los números 2, 3 y 4 del artículo 666, se sobreseerá libremente, mandando que se ponga en libertad al procesado o procesados que no estén presos por otra causa’, precepto que alude a la inmediata puesta en libertad en los mismos términos.</w:t>
      </w:r>
    </w:p>
    <w:p w14:paraId="1BB29AC9" w14:textId="77777777" w:rsidR="003754FE" w:rsidRDefault="003754FE" w:rsidP="003754FE">
      <w:pPr>
        <w:pStyle w:val="TextoNormal"/>
      </w:pPr>
    </w:p>
    <w:p w14:paraId="301518E7" w14:textId="20159C08" w:rsidR="003754FE" w:rsidRDefault="003754FE" w:rsidP="003754FE">
      <w:pPr>
        <w:pStyle w:val="TextoNormal"/>
      </w:pPr>
      <w:r>
        <w:t>La Sala difiere de la interpretación que sostiene el Ministerio Fiscal y la defensa sobre la libertad en los referidos preceptos, que implicaría el levantamiento de las medidas cautelares o la no adopción de las mismas, puesto que tal tesis procedería en caso de que la resolución fuera firme, lo que no ocurre en este caso a la vista de haber instado al presente Tribunal, tener por preparado recuso de casación tanto el Ministerio Fiscal como la acusación particular. Tales circunstancias unidas a la existencia del riesgo de no estar a disposición del Tribunal toda vez que la recurrente doña Natividad ha estado residiendo en los últimos años en Bélgica, y hubo que emitir una OEDE [Orden Europea de Detención y Entrega] para que estuviera a disposición de los Tribunales españoles, es motivo más que suficiente para mantener las medidas cautelares fijadas siempre hasta que sea firme la resolución recurrida”.</w:t>
      </w:r>
    </w:p>
    <w:p w14:paraId="08F6A533" w14:textId="77777777" w:rsidR="003754FE" w:rsidRDefault="003754FE" w:rsidP="003754FE">
      <w:pPr>
        <w:pStyle w:val="TextoNormal"/>
      </w:pPr>
    </w:p>
    <w:p w14:paraId="21F50A8A" w14:textId="77777777" w:rsidR="003754FE" w:rsidRDefault="003754FE" w:rsidP="003754FE">
      <w:pPr>
        <w:pStyle w:val="TextoNormal"/>
      </w:pPr>
      <w:r w:rsidRPr="003754FE">
        <w:rPr>
          <w:rStyle w:val="NumeroAFNegritaCaracter"/>
        </w:rPr>
        <w:t>3</w:t>
      </w:r>
      <w:r>
        <w:t>. La recurrente aduce en su demanda de amparo que se ha vulnerado su derecho a la tutela judicial efectiva (art. 24.1 CE), a un proceso con todas las garantías (art. 24.2 CE) y a la libertad personal (art. 17 CE).</w:t>
      </w:r>
    </w:p>
    <w:p w14:paraId="74AA6FBC" w14:textId="77777777" w:rsidR="003754FE" w:rsidRDefault="003754FE" w:rsidP="003754FE">
      <w:pPr>
        <w:pStyle w:val="TextoNormal"/>
      </w:pPr>
    </w:p>
    <w:p w14:paraId="13F91145" w14:textId="77777777" w:rsidR="003754FE" w:rsidRDefault="003754FE" w:rsidP="003754FE">
      <w:pPr>
        <w:pStyle w:val="TextoNormal"/>
      </w:pPr>
      <w:r>
        <w:t xml:space="preserve">A lo largo del cuerpo de recurso, la demandante alega que las resoluciones impugnadas habrían acordado la adopción de medidas cautelares fuera de cualquier previsión legal y excediéndose de la regulación establecida en la Ley de enjuiciamiento criminal para los artículos de previo pronunciamiento. Aunque al respecto la Sala de lo Penal de la Audiencia </w:t>
      </w:r>
      <w:r>
        <w:lastRenderedPageBreak/>
        <w:t>Nacional considera que el amparo legal para la adopción de las medidas cautelares residiría en el art. 539 LECrim, este precepto no sería aplicable al presente caso toda vez que: (i) habiéndose acordado el sobreseimiento libre el proceso judicial sería materialmente inexistente; y (ii) el recurso de casación interpuesto por el Ministerio Fiscal carecería de efectos suspensivos.</w:t>
      </w:r>
    </w:p>
    <w:p w14:paraId="1C76A86A" w14:textId="77777777" w:rsidR="003754FE" w:rsidRDefault="003754FE" w:rsidP="003754FE">
      <w:pPr>
        <w:pStyle w:val="TextoNormal"/>
      </w:pPr>
    </w:p>
    <w:p w14:paraId="22ACD201" w14:textId="77777777" w:rsidR="003754FE" w:rsidRDefault="003754FE" w:rsidP="003754FE">
      <w:pPr>
        <w:pStyle w:val="TextoNormal"/>
      </w:pPr>
      <w:r>
        <w:t>Considera que las medidas cautelares a las que se refiere el art. 530 LECrim son susceptibles de ser acordadas solamente cuando se decrete la libertad provisional y el proceso judicial permanece supérstite, circunstancia que no coincide con el caso presente donde la libertad de la señora Jáuregui ha sido acordada, no de manera provisional, sino en razón de la extinción de la responsabilidad criminal derivada de la declaración de sobreseimiento libre (art. 637.1 LECrim), lo que conlleva el archivo del procedimiento.</w:t>
      </w:r>
    </w:p>
    <w:p w14:paraId="59693701" w14:textId="77777777" w:rsidR="003754FE" w:rsidRDefault="003754FE" w:rsidP="003754FE">
      <w:pPr>
        <w:pStyle w:val="TextoNormal"/>
      </w:pPr>
    </w:p>
    <w:p w14:paraId="5BF4A756" w14:textId="77777777" w:rsidR="003754FE" w:rsidRDefault="003754FE" w:rsidP="003754FE">
      <w:pPr>
        <w:pStyle w:val="TextoNormal"/>
      </w:pPr>
      <w:r>
        <w:t>La demandante justifica la especial trascendencia constitucional del recurso de amparo alegando que otorga al Tribunal Constitucional la oportunidad para pronunciarse sobre un problema o faceta de derecho fundamental sobre el que no hay doctrina de este tribunal [STC 155/2009, de 25 de junio, FJ 2 a)]. Concretamente, sobre la posibilidad de adopción de medidas cautelares limitativas de la libertad en supuestos en los que el pronunciamiento judicial ha concluido por sobreseimiento libre (art. 637.1 LECrim) y este ha sido recurrido en casación. En segundo lugar, considera que se estaría ante un incumplimiento generalizado de la doctrina de este tribunal [STC 155/2009, FJ 2 e)] sobre dos materias: por un lado, sobre la exigencia de que solo pueden ser adoptadas medidas cautelares en base a una expresa previsión legal al respecto (SSTC 127/1984, de 26 de diciembre, FJ 2; 128/1995, de 26 de julio, FJ 2; 305/2000, de 11 de diciembre, FJ 3, y 210/2013, de 16 de diciembre, FJ 2) y, por otro, sobre la necesidad de una motivación reforzada en la aplicación de las medidas cautelares, que implique comprobar la concordancia de las razones dadas por el órgano judicial con los fines de la norma aplicada (STC 163/2002, de 16 de septiembre, FJ 4).</w:t>
      </w:r>
    </w:p>
    <w:p w14:paraId="33916001" w14:textId="77777777" w:rsidR="003754FE" w:rsidRDefault="003754FE" w:rsidP="003754FE">
      <w:pPr>
        <w:pStyle w:val="TextoNormal"/>
      </w:pPr>
    </w:p>
    <w:p w14:paraId="32A340EB" w14:textId="4DC67D14" w:rsidR="003754FE" w:rsidRDefault="003754FE" w:rsidP="003754FE">
      <w:pPr>
        <w:pStyle w:val="TextoNormal"/>
      </w:pPr>
      <w:r>
        <w:t>Considerando lo anteriormente expuesto, la recurrente en amparo interesa que se estime su pretensión dejando sin efecto las resoluciones judiciales impugnadas, así como que se restablezca en su derecho a la libertad (art. 17 CE) mediante el alzamiento de la medida cautelar.</w:t>
      </w:r>
    </w:p>
    <w:p w14:paraId="2A96BB8C" w14:textId="77777777" w:rsidR="003754FE" w:rsidRDefault="003754FE" w:rsidP="003754FE">
      <w:pPr>
        <w:pStyle w:val="TextoNormal"/>
      </w:pPr>
    </w:p>
    <w:p w14:paraId="381549ED" w14:textId="131903BD" w:rsidR="003754FE" w:rsidRDefault="003754FE" w:rsidP="003754FE">
      <w:pPr>
        <w:pStyle w:val="TextoNormal"/>
      </w:pPr>
      <w:r w:rsidRPr="003754FE">
        <w:rPr>
          <w:rStyle w:val="NumeroAFNegritaCaracter"/>
        </w:rPr>
        <w:t>4</w:t>
      </w:r>
      <w:r>
        <w:t>. La Sección Cuarta de este tribunal, por providencia de 3 de junio de 2024, acordó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En consecuencia, se dirige atenta comunicación a la Sección Segunda de la Sala de lo Penal de la Audiencia Nacional, a fin de que remitiesen testimonio de las actuaciones correspondientes al sumario núm. 105-1983. En la misma resolución se emplazó a quienes hubieran sido parte en el procedimiento, a excepción de la recurrente, para que pudiesen comparecer en el plazo de diez días en el presente proceso de amparo. Se ordenó también formar pieza separada de suspensión y en ella conceder un plazo común de tres días al Ministerio Fiscal y al solicitante de amparo para que efectuasen alegaciones sobre dicha cuestión.</w:t>
      </w:r>
    </w:p>
    <w:p w14:paraId="44BA223D" w14:textId="77777777" w:rsidR="003754FE" w:rsidRDefault="003754FE" w:rsidP="003754FE">
      <w:pPr>
        <w:pStyle w:val="TextoNormal"/>
      </w:pPr>
    </w:p>
    <w:p w14:paraId="739B3993" w14:textId="10046AD0" w:rsidR="003754FE" w:rsidRDefault="003754FE" w:rsidP="003754FE">
      <w:pPr>
        <w:pStyle w:val="TextoNormal"/>
      </w:pPr>
      <w:r w:rsidRPr="003754FE">
        <w:rPr>
          <w:rStyle w:val="NumeroAFNegritaCaracter"/>
        </w:rPr>
        <w:t>5</w:t>
      </w:r>
      <w:r>
        <w:t xml:space="preserve">. Mediante escrito de fecha 27 de junio de 2024, la procuradora de los tribunales doña María Esperanza Álvaro Mateo, en nombre y representación de doña Montserrat Romeo </w:t>
      </w:r>
      <w:r>
        <w:lastRenderedPageBreak/>
        <w:t>Castaño, doña María de la Paz Romeo Castaño, don Juan José Romeo Castaño, doña María del Carmen Romeo Castaño y don Ramón Romeo Castaño, y bajo la dirección letrada de doña Carmen Ladrón de Guevara Pascual, interesó que se le tuviera por personado en el procedimiento.</w:t>
      </w:r>
    </w:p>
    <w:p w14:paraId="6A781B4B" w14:textId="77777777" w:rsidR="003754FE" w:rsidRDefault="003754FE" w:rsidP="003754FE">
      <w:pPr>
        <w:pStyle w:val="TextoNormal"/>
      </w:pPr>
    </w:p>
    <w:p w14:paraId="7098FE99" w14:textId="2A88B8AC" w:rsidR="003754FE" w:rsidRDefault="003754FE" w:rsidP="003754FE">
      <w:pPr>
        <w:pStyle w:val="TextoNormal"/>
      </w:pPr>
      <w:r w:rsidRPr="003754FE">
        <w:rPr>
          <w:rStyle w:val="NumeroAFNegritaCaracter"/>
        </w:rPr>
        <w:t>6</w:t>
      </w:r>
      <w:r>
        <w:t>. La Secretaría de Justicia de la Sala Segunda de este tribunal, por diligencia de 3 de octubre de 2024, acordó tener por personada y parte en el procedimiento a la procuradora de los tribunales doña María Esperanza Álvaro Mateo, en nombre y representación de doña Montserrat Romeo Castaño, doña María de la Paz Romeo Castaño, don Juan José Romeo Castaño, doña María del Carmen Romeo Castaño y don Ramón Romeo Castaño. En la misma resolución se acordó dar vista de las actuaciones recibidas a las partes personadas, y al Ministerio Fiscal, para que pudiesen presentar las alegaciones que a su derecho convenga, por un plazo de veinte días, de conformidad con el art. 52 LOTC.</w:t>
      </w:r>
    </w:p>
    <w:p w14:paraId="4C54D066" w14:textId="77777777" w:rsidR="003754FE" w:rsidRDefault="003754FE" w:rsidP="003754FE">
      <w:pPr>
        <w:pStyle w:val="TextoNormal"/>
      </w:pPr>
    </w:p>
    <w:p w14:paraId="5F7237A7" w14:textId="6592C311" w:rsidR="003754FE" w:rsidRDefault="003754FE" w:rsidP="003754FE">
      <w:pPr>
        <w:pStyle w:val="TextoNormal"/>
      </w:pPr>
      <w:r w:rsidRPr="003754FE">
        <w:rPr>
          <w:rStyle w:val="NumeroAFNegritaCaracter"/>
        </w:rPr>
        <w:t>7</w:t>
      </w:r>
      <w:r>
        <w:t xml:space="preserve">. Por ATC 86/2024, de 23 de septiembre, la Sala Segunda de este tribunal, tras recibir las alegaciones de la recurrente y del Ministerio Fiscal, acordó la suspensión provisional de las medidas cautelares acordadas por la Sección Segunda de la Audiencia Nacional y consistentes en comparecencias </w:t>
      </w:r>
      <w:r w:rsidRPr="003754FE">
        <w:rPr>
          <w:i/>
        </w:rPr>
        <w:t>apud acta</w:t>
      </w:r>
      <w:r>
        <w:t>, designación de domicilio, prohibición de salida de territorio nacional y retirada de pasaporte.</w:t>
      </w:r>
    </w:p>
    <w:p w14:paraId="52123C12" w14:textId="77777777" w:rsidR="003754FE" w:rsidRDefault="003754FE" w:rsidP="003754FE">
      <w:pPr>
        <w:pStyle w:val="TextoNormal"/>
      </w:pPr>
    </w:p>
    <w:p w14:paraId="6931D264" w14:textId="37613599" w:rsidR="003754FE" w:rsidRDefault="003754FE" w:rsidP="003754FE">
      <w:pPr>
        <w:pStyle w:val="TextoNormal"/>
      </w:pPr>
      <w:r w:rsidRPr="003754FE">
        <w:rPr>
          <w:rStyle w:val="NumeroAFNegritaCaracter"/>
        </w:rPr>
        <w:t>8</w:t>
      </w:r>
      <w:r>
        <w:t>. La demandante de amparo, por escrito registrado en fecha 30 de octubre de 2024 presentó sus alegaciones ratificándose, en esencia, en los fundamentos ya invocados en su demanda.</w:t>
      </w:r>
    </w:p>
    <w:p w14:paraId="0F95DA5E" w14:textId="77777777" w:rsidR="003754FE" w:rsidRDefault="003754FE" w:rsidP="003754FE">
      <w:pPr>
        <w:pStyle w:val="TextoNormal"/>
      </w:pPr>
    </w:p>
    <w:p w14:paraId="75217A55" w14:textId="79F7DFB2" w:rsidR="003754FE" w:rsidRDefault="003754FE" w:rsidP="003754FE">
      <w:pPr>
        <w:pStyle w:val="TextoNormal"/>
      </w:pPr>
      <w:r w:rsidRPr="003754FE">
        <w:rPr>
          <w:rStyle w:val="NumeroAFNegritaCaracter"/>
        </w:rPr>
        <w:t>9</w:t>
      </w:r>
      <w:r>
        <w:t>. La representación procesal de doña Montserrat Romeo Castaño, doña María de la Paz Romeo Castaño, don Juan José Romeo Castaño, doña María del Carmen Romeo Castaño y don Ramón Romeo Castaño, por escrito registrado en fecha 30 de octubre de 2024, renunció a efectuar alegaciones dado que “el recurso de amparo ya fue resuelto por auto de este tribunal de 23 de septiembre de 2024, y las medidas cautelares ya han sido levantadas por parte de la Audiencia Nacional”.</w:t>
      </w:r>
    </w:p>
    <w:p w14:paraId="7DB7681E" w14:textId="77777777" w:rsidR="003754FE" w:rsidRDefault="003754FE" w:rsidP="003754FE">
      <w:pPr>
        <w:pStyle w:val="TextoNormal"/>
      </w:pPr>
    </w:p>
    <w:p w14:paraId="0D756D9C" w14:textId="77777777" w:rsidR="003754FE" w:rsidRDefault="003754FE" w:rsidP="003754FE">
      <w:pPr>
        <w:pStyle w:val="TextoNormal"/>
      </w:pPr>
      <w:r w:rsidRPr="003754FE">
        <w:rPr>
          <w:rStyle w:val="NumeroAFNegritaCaracter"/>
        </w:rPr>
        <w:t>10</w:t>
      </w:r>
      <w:r>
        <w:t>. El Ministerio Fiscal, en escrito registrado el 7 de noviembre de 2024, interesó que se estimara el recurso de amparo.</w:t>
      </w:r>
    </w:p>
    <w:p w14:paraId="6A4C9FE5" w14:textId="77777777" w:rsidR="003754FE" w:rsidRDefault="003754FE" w:rsidP="003754FE">
      <w:pPr>
        <w:pStyle w:val="TextoNormal"/>
      </w:pPr>
    </w:p>
    <w:p w14:paraId="01458A77" w14:textId="77777777" w:rsidR="003754FE" w:rsidRDefault="003754FE" w:rsidP="003754FE">
      <w:pPr>
        <w:pStyle w:val="TextoNormal"/>
      </w:pPr>
      <w:r>
        <w:t>La Fiscalía parte de la base de que una lectura sistemática de la ley procesal penal (ampliamente desgranada en su escrito) permite concluir que no existe previsión legal alguna que permita adoptar medidas cautelares respecto de una persona contra la que —en el momento de la adopción de tales medidas— ya no se sigue procedimiento penal alguno al haberse declarado la extinción de la responsabilidad criminal y, en consecuencia, el sobreseimiento libre y archivo definitivo de las actuaciones. Ello es así porque, como ya se sostenía en el inicial informe presentado en la pieza separada de suspensión, “por su propia naturaleza la resolución judicial impugnada no necesita, más bien al contrario, de ninguna medida cautelar para asegurar su cumplimiento”.</w:t>
      </w:r>
    </w:p>
    <w:p w14:paraId="4946DACC" w14:textId="77777777" w:rsidR="003754FE" w:rsidRDefault="003754FE" w:rsidP="003754FE">
      <w:pPr>
        <w:pStyle w:val="TextoNormal"/>
      </w:pPr>
    </w:p>
    <w:p w14:paraId="70CCF400" w14:textId="77777777" w:rsidR="003754FE" w:rsidRDefault="003754FE" w:rsidP="003754FE">
      <w:pPr>
        <w:pStyle w:val="TextoNormal"/>
      </w:pPr>
      <w:r>
        <w:t xml:space="preserve">Desde esta perspectiva, sostiene el Ministerio Fiscal que las resoluciones judiciales habrían lesionado el derecho a la libertad personal por ausencia de motivación y de previsión legal, al imponer unas medidas cautelares restrictivas del derecho fundamental a la libertad </w:t>
      </w:r>
      <w:r>
        <w:lastRenderedPageBreak/>
        <w:t>personal que carecerían de soporte legal. De esta manera, los autos no habrían satisfecho la garantía de legalidad, no existiendo una norma en la Ley de enjuiciamiento criminal que de forma clara y terminante permita la adopción de dichas medidas, lo que es, por sí solo, motivo de nulidad (cita a estos efectos la STC 145/2014, de 22 de septiembre, FJ 7).</w:t>
      </w:r>
    </w:p>
    <w:p w14:paraId="4736CF28" w14:textId="77777777" w:rsidR="003754FE" w:rsidRDefault="003754FE" w:rsidP="003754FE">
      <w:pPr>
        <w:pStyle w:val="TextoNormal"/>
      </w:pPr>
    </w:p>
    <w:p w14:paraId="3078FA0B" w14:textId="77777777" w:rsidR="003754FE" w:rsidRDefault="003754FE" w:rsidP="003754FE">
      <w:pPr>
        <w:pStyle w:val="TextoNormal"/>
      </w:pPr>
      <w:r>
        <w:t>Concluye señalando que las resoluciones jurisdiccionales tampoco habrían satisfecho la garantía de jurisdiccionalidad toda vez que “[la] completa falta de motivación impide conocer los fines legítimos de las medidas cautelares impuestas e incumple no solo el deber genérico de motivación de las resoluciones judiciales, sino con el deber reforzado de motivación exigido por la doctrina constitucional cuando se imponen medidas que inciden en los derechos fundamentales”. Aunque el auto de 20 de noviembre de 2023 si efectúa una cierta argumentación al respecto, dicha motivación sería irrazonable e insuficiente pues no se explicaría “la justificación de la legitimidad constitucional de las medidas cautelares y el fin constitucionalmente legítimo perseguido en el caso concreto en el que ya se ha dictado una resolución que pone fin al proceso, no existe una persona investigada o encausada y objetivamente no hay que adoptar ninguna medida cautelar para el aseguramiento de la resolución dictada que insistimos es de sobreseimiento libre y archivo de las actuaciones”.</w:t>
      </w:r>
    </w:p>
    <w:p w14:paraId="77D9FE73" w14:textId="77777777" w:rsidR="003754FE" w:rsidRDefault="003754FE" w:rsidP="003754FE">
      <w:pPr>
        <w:pStyle w:val="TextoNormal"/>
      </w:pPr>
    </w:p>
    <w:p w14:paraId="3CF7AED0" w14:textId="7FF17CAB" w:rsidR="003754FE" w:rsidRDefault="003754FE" w:rsidP="003754FE">
      <w:pPr>
        <w:pStyle w:val="TextoNormal"/>
      </w:pPr>
      <w:r>
        <w:t>Con base en lo anteriormente expuesto, la Fiscalía ante el Tribunal Constitucional solicita la estimación del amparo solicitado por doña Natividad Jáuregui Espina y, en consecuencia, que se declare que se ha vulnerado su derecho a la libertad (art. 17.1 CE) y se declare la nulidad de los autos de 2 y 20 de noviembre de 2023 dictados por la Sección Segunda de la Sala de lo Penal de la Audiencia Nacional.</w:t>
      </w:r>
    </w:p>
    <w:p w14:paraId="721F4ADB" w14:textId="77777777" w:rsidR="003754FE" w:rsidRDefault="003754FE" w:rsidP="003754FE">
      <w:pPr>
        <w:pStyle w:val="TextoNormal"/>
      </w:pPr>
    </w:p>
    <w:p w14:paraId="30CBDFD0" w14:textId="185607E1" w:rsidR="003754FE" w:rsidRDefault="003754FE" w:rsidP="003754FE">
      <w:pPr>
        <w:pStyle w:val="TextoNormal"/>
      </w:pPr>
      <w:r w:rsidRPr="003754FE">
        <w:rPr>
          <w:rStyle w:val="NumeroAFNegritaCaracter"/>
        </w:rPr>
        <w:t>11</w:t>
      </w:r>
      <w:r>
        <w:t>. Por providencia de 28 de noviembre de 2024 se señaló para la deliberación y votación de la presente sentencia el día 2 de diciembre del mismo año.</w:t>
      </w:r>
    </w:p>
    <w:p w14:paraId="39814B83" w14:textId="77777777" w:rsidR="003754FE" w:rsidRDefault="003754FE" w:rsidP="003754FE">
      <w:pPr>
        <w:pStyle w:val="TextoNormal"/>
      </w:pPr>
    </w:p>
    <w:p w14:paraId="06FF493A" w14:textId="77777777" w:rsidR="003754FE" w:rsidRDefault="003754FE" w:rsidP="003754FE">
      <w:pPr>
        <w:pStyle w:val="TextoNormalNegritaCentrado"/>
        <w:keepNext/>
      </w:pPr>
      <w:r>
        <w:t>II. Fundamentos jurídicos</w:t>
      </w:r>
    </w:p>
    <w:p w14:paraId="55ECB834" w14:textId="75638C03" w:rsidR="003754FE" w:rsidRDefault="003754FE" w:rsidP="003754FE">
      <w:pPr>
        <w:pStyle w:val="TextoNormalNegritaCentrado"/>
        <w:keepNext/>
      </w:pPr>
    </w:p>
    <w:p w14:paraId="60616FDF" w14:textId="77777777" w:rsidR="003754FE" w:rsidRDefault="003754FE" w:rsidP="003754FE">
      <w:pPr>
        <w:pStyle w:val="TextoNormal"/>
      </w:pPr>
      <w:r w:rsidRPr="003754FE">
        <w:rPr>
          <w:rStyle w:val="NumeroAFNegritaCaracter"/>
        </w:rPr>
        <w:t>1</w:t>
      </w:r>
      <w:r>
        <w:t xml:space="preserve">. </w:t>
      </w:r>
      <w:r w:rsidRPr="003754FE">
        <w:rPr>
          <w:i/>
        </w:rPr>
        <w:t>Objeto del recurso y pretensiones de las partes</w:t>
      </w:r>
    </w:p>
    <w:p w14:paraId="46564E8E" w14:textId="77777777" w:rsidR="003754FE" w:rsidRDefault="003754FE" w:rsidP="003754FE">
      <w:pPr>
        <w:pStyle w:val="TextoNormal"/>
      </w:pPr>
    </w:p>
    <w:p w14:paraId="43647317" w14:textId="77777777" w:rsidR="003754FE" w:rsidRDefault="003754FE" w:rsidP="003754FE">
      <w:pPr>
        <w:pStyle w:val="TextoNormal"/>
      </w:pPr>
      <w:r>
        <w:t xml:space="preserve">El objeto del presente recurso de amparo es determinar si las resoluciones judiciales dictadas por la Sección Segunda de la Sala de lo Penal de la Audiencia Nacional de 2 y 20 de noviembre de 2023 han vulnerado los derechos de la recurrente a la tutela judicial efectiva (art. 24.1 CE) y a la libertad personal (art. 17.1 CE) por haber acordado medidas cautelares restrictivas de la libertad —obligación de comparecer </w:t>
      </w:r>
      <w:r w:rsidRPr="003754FE">
        <w:rPr>
          <w:i/>
        </w:rPr>
        <w:t>apud acta</w:t>
      </w:r>
      <w:r>
        <w:t xml:space="preserve"> los días 3 de cada mes, con designación de domicilio y prohibición de salida de territorio nacional con retirada de pasaporte— una vez acordado el sobreseimiento libre (art. 637.1 LECrim) y mientras se tramita el recurso de casación interpuesto por el Ministerio Fiscal.</w:t>
      </w:r>
    </w:p>
    <w:p w14:paraId="39584A7F" w14:textId="77777777" w:rsidR="003754FE" w:rsidRDefault="003754FE" w:rsidP="003754FE">
      <w:pPr>
        <w:pStyle w:val="TextoNormal"/>
      </w:pPr>
    </w:p>
    <w:p w14:paraId="143FB373" w14:textId="1838CC80" w:rsidR="003754FE" w:rsidRDefault="003754FE" w:rsidP="003754FE">
      <w:pPr>
        <w:pStyle w:val="TextoNormal"/>
      </w:pPr>
      <w:r>
        <w:t>El Ministerio Fiscal interesa que se estime el amparo solicitado en los términos ya expuestos.</w:t>
      </w:r>
    </w:p>
    <w:p w14:paraId="5A8358EB" w14:textId="77777777" w:rsidR="003754FE" w:rsidRDefault="003754FE" w:rsidP="003754FE">
      <w:pPr>
        <w:pStyle w:val="TextoNormal"/>
      </w:pPr>
    </w:p>
    <w:p w14:paraId="30F7156B" w14:textId="77777777" w:rsidR="003754FE" w:rsidRDefault="003754FE" w:rsidP="003754FE">
      <w:pPr>
        <w:pStyle w:val="TextoNormal"/>
      </w:pPr>
      <w:r w:rsidRPr="003754FE">
        <w:rPr>
          <w:rStyle w:val="NumeroAFNegritaCaracter"/>
        </w:rPr>
        <w:t>2</w:t>
      </w:r>
      <w:r>
        <w:t xml:space="preserve">. </w:t>
      </w:r>
      <w:r w:rsidRPr="003754FE">
        <w:rPr>
          <w:i/>
        </w:rPr>
        <w:t>Especial trascendencia constitucional del recurso</w:t>
      </w:r>
    </w:p>
    <w:p w14:paraId="4162E073" w14:textId="77777777" w:rsidR="003754FE" w:rsidRDefault="003754FE" w:rsidP="003754FE">
      <w:pPr>
        <w:pStyle w:val="TextoNormal"/>
      </w:pPr>
    </w:p>
    <w:p w14:paraId="527C0802" w14:textId="78DDC2DC" w:rsidR="003754FE" w:rsidRDefault="003754FE" w:rsidP="003754FE">
      <w:pPr>
        <w:pStyle w:val="TextoNormal"/>
      </w:pPr>
      <w:r>
        <w:t xml:space="preserve">La cuestión planteada en este recurso de amparo tiene especial trascendencia constitucional (art. 50.1 LOTC) porque el recurso plantea un problema o afecta a una faceta de un </w:t>
      </w:r>
      <w:r>
        <w:lastRenderedPageBreak/>
        <w:t xml:space="preserve">derecho fundamental sobre el que no hay doctrina de este tribunal [STC 155/2009, FJ 2 a)]. Así, aunque la doctrina de este tribunal sobre las medidas cautelares restrictivas de libertad es extensa (por todas, SSTC 29/2019, de 28 de febrero, FJ 3; 305/2000, de 11 de diciembre, FJ 3; 210/2013, de 16 de diciembre, FJ 2, y 217/2015, de 22 de octubre, FJ 2), el problema concreto planteado en el presente recurso de amparo se refiere a la determinación de si es respetuosa con el derecho a la tutela judicial efectiva (art. 24.1 CE) y, particularmente, con el derecho a la libertad personal (art. 17.1 CE), la adopción de medidas cautelares de naturaleza penal una vez acordado el sobreseimiento libre (art. 637 LECrim) y archivo definitivo del procedimiento. O, dicho de otra manera, si la existencia de unos fines </w:t>
      </w:r>
      <w:r w:rsidRPr="003754FE">
        <w:rPr>
          <w:i/>
        </w:rPr>
        <w:t>a priori</w:t>
      </w:r>
      <w:r>
        <w:t xml:space="preserve"> legítimos para la adopción de medidas cautelares puede justificar que se adopten medidas cautelares restrictivas de libertad, por parte del órgano judicial, aunque el proceso sea materialmente inexistente, al haber sido clausurado mediante un auto de sobreseimiento libre (art. 637 LECrim).</w:t>
      </w:r>
    </w:p>
    <w:p w14:paraId="2ABAFE10" w14:textId="77777777" w:rsidR="003754FE" w:rsidRDefault="003754FE" w:rsidP="003754FE">
      <w:pPr>
        <w:pStyle w:val="TextoNormal"/>
      </w:pPr>
    </w:p>
    <w:p w14:paraId="3ADA1577" w14:textId="77777777" w:rsidR="003754FE" w:rsidRDefault="003754FE" w:rsidP="003754FE">
      <w:pPr>
        <w:pStyle w:val="TextoNormal"/>
      </w:pPr>
      <w:r w:rsidRPr="003754FE">
        <w:rPr>
          <w:rStyle w:val="NumeroAFNegritaCaracter"/>
        </w:rPr>
        <w:t>3</w:t>
      </w:r>
      <w:r>
        <w:t xml:space="preserve">. </w:t>
      </w:r>
      <w:r w:rsidRPr="003754FE">
        <w:rPr>
          <w:i/>
        </w:rPr>
        <w:t>Doctrina de este tribunal sobre la libertad personal (art. 17 CE) y su restricción a través de medidas cautelares de naturaleza penal</w:t>
      </w:r>
    </w:p>
    <w:p w14:paraId="65520F8E" w14:textId="77777777" w:rsidR="003754FE" w:rsidRDefault="003754FE" w:rsidP="003754FE">
      <w:pPr>
        <w:pStyle w:val="TextoNormal"/>
      </w:pPr>
    </w:p>
    <w:p w14:paraId="7BB47F8F" w14:textId="77777777" w:rsidR="003754FE" w:rsidRDefault="003754FE" w:rsidP="003754FE">
      <w:pPr>
        <w:pStyle w:val="TextoNormal"/>
      </w:pPr>
      <w:r>
        <w:t xml:space="preserve">La jurisprudencia previa de este tribunal ya ha señalado que la libertad provisional, como medida cautelar de naturaleza personal, implica una restricción de la libertad personal (por todas, STC 14/2000, de 17 de enero, FJ 7, y ATC 312/2003, de 29 de septiembre, FJ 4). Concretamente, la STC 85/1989, de 10 de mayo, reconocía que las comparecencias </w:t>
      </w:r>
      <w:r w:rsidRPr="003754FE">
        <w:rPr>
          <w:i/>
        </w:rPr>
        <w:t>apud acta</w:t>
      </w:r>
      <w:r>
        <w:t xml:space="preserve"> constituyen “una medida cautelar intermedia entre la prisión provisional y la completa libertad, que trata de evitar la ausencia del imputado, que queda así a disposición de la autoridad judicial y a las resultas del proceso, obligándole a comparecer periódicamente […] debiendo el inculpado prestar obligación […] de comparecer en los días que le fueren señalados por la resolución correspondiente y, además, cuantas veces más fuere llamado por el juez o tribunal que conozca de la causa (art. 530 LECrim)” (FJ 2).</w:t>
      </w:r>
    </w:p>
    <w:p w14:paraId="3854A078" w14:textId="77777777" w:rsidR="003754FE" w:rsidRDefault="003754FE" w:rsidP="003754FE">
      <w:pPr>
        <w:pStyle w:val="TextoNormal"/>
      </w:pPr>
    </w:p>
    <w:p w14:paraId="51F5B946" w14:textId="77777777" w:rsidR="003754FE" w:rsidRDefault="003754FE" w:rsidP="003754FE">
      <w:pPr>
        <w:pStyle w:val="TextoNormal"/>
      </w:pPr>
      <w:r>
        <w:t xml:space="preserve">Este carácter aflictivo del derecho a la libertad aparece también reconocido respecto a las medidas cautelares de prohibición de salida de territorio nacional y retirada de pasaporte. Así, en el ATC 474/2004, de 29 de noviembre, se reconoció que la adopción de la libertad provisional quedaba configurada como una medida —en aquel caso— sustitutiva de la prisión provisional previamente adoptada y cuya condición “es la obligación del imputado de comparecer </w:t>
      </w:r>
      <w:r w:rsidRPr="003754FE">
        <w:rPr>
          <w:i/>
        </w:rPr>
        <w:t>apud acta</w:t>
      </w:r>
      <w:r>
        <w:t xml:space="preserve"> ante el juez de lo penal para poder comprobar el cumplimiento de la medida impuesta. Es evidente que el imputado en situación de libertad ha de fijar un domicilio en España (así, lo exige además el art. 775.1 LECrim), pues, de lo contrario, existiría un riesgo de fuga al ser un ciudadano extranjero que carece de vínculo alguno en el territorio español, lo que, a su vez, haría aparecer la sombra de la conveniencia de la adopción de la prisión provisional por la posible existencia del </w:t>
      </w:r>
      <w:r w:rsidRPr="003754FE">
        <w:rPr>
          <w:i/>
        </w:rPr>
        <w:t>periculum in mora</w:t>
      </w:r>
      <w:r>
        <w:t>. Similar argumentación puede utilizarse respecto de la prohibición de salir del territorio nacional, pues es la lógica consecuencia de la medida consistente en la ‘retención de su pasaporte’” (FJ 3).</w:t>
      </w:r>
    </w:p>
    <w:p w14:paraId="33470D04" w14:textId="77777777" w:rsidR="003754FE" w:rsidRDefault="003754FE" w:rsidP="003754FE">
      <w:pPr>
        <w:pStyle w:val="TextoNormal"/>
      </w:pPr>
    </w:p>
    <w:p w14:paraId="62FE9404" w14:textId="77777777" w:rsidR="003754FE" w:rsidRDefault="003754FE" w:rsidP="003754FE">
      <w:pPr>
        <w:pStyle w:val="TextoNormal"/>
      </w:pPr>
      <w:r>
        <w:t xml:space="preserve">Por lo tanto, no existiendo dudas de que, al referirnos a medidas cautelares de naturaleza penal, nos movemos en el ámbito de los límites del derecho a la libertad personal, debemos analizar la configuración constitucional de este derecho. Pues bien, el art. 17 CE, lejos de limitarse al reconocimiento en abstracto del derecho a la libertad personal, ha incorporado una serie de garantías específicas de aquella. Es el caso, por ejemplo, de la determinación de los plazos máximos de detención gubernativa (art. 17.2 CE), del derecho a la información </w:t>
      </w:r>
      <w:r>
        <w:lastRenderedPageBreak/>
        <w:t xml:space="preserve">de las razones de detención (art. 17.3 CE), de la garantía del </w:t>
      </w:r>
      <w:r w:rsidRPr="003754FE">
        <w:rPr>
          <w:i/>
        </w:rPr>
        <w:t>habeas corpus</w:t>
      </w:r>
      <w:r>
        <w:t xml:space="preserve"> (art. 17.4 CE), o de la necesaria regulación legal de plazo máximo de duración de la prisión provisional (art. 17.4 CE). Sin embargo, por medio del inciso primero del citado art. 17.1 CE “[n]adie puede ser privado de su libertad, sino con observancia de lo establecido en este artículo y en los casos y en la forma previstos en la ley”, la Constitución se ha ocupado de exigir la necesaria previsión legal en la adopción de cualquier medida cautelar restrictiva de la libertad personal. Esta exigencia es desarrollada ampliamente en la STC 29/2019, de 28 de febrero, FJ 3, donde, respecto de una medida cautelar de naturaleza personal (en este caso, la prisión provisional) se realizaba una larga exposición sobre la doctrina general en relación con el derecho fundamental a la libertad y a los principios de legalidad, jurisdiccionalidad, excepcionalidad, modificabilidad y limitación temporal, al presupuesto de aquella —que es la existencia de indicios racionales de la comisión de un hecho delictivo—, y, finalmente, a la imprescindible presencia de fines constitucionalmente legítimos, como pueden ser los de evitación del riesgo de fuga o sustracción de la acción de la administración de justicia, la prevención del riesgo de obstrucción en la instrucción del proceso y la necesidad de conjurar el peligro de reiteración delictiva.</w:t>
      </w:r>
    </w:p>
    <w:p w14:paraId="0AED5EFC" w14:textId="77777777" w:rsidR="003754FE" w:rsidRDefault="003754FE" w:rsidP="003754FE">
      <w:pPr>
        <w:pStyle w:val="TextoNormal"/>
      </w:pPr>
    </w:p>
    <w:p w14:paraId="6C89D3C1" w14:textId="77777777" w:rsidR="003754FE" w:rsidRDefault="003754FE" w:rsidP="003754FE">
      <w:pPr>
        <w:pStyle w:val="TextoNormal"/>
      </w:pPr>
      <w:r>
        <w:t>En dicha resolución se consideraba que uno de los principios a tener en cuenta de cara a la adopción de la medida cautelar de prisión provisional era el principio de legalidad y de reserva de ley orgánica, el cual operaba como elemento habilitante de la privación de libertad. Por lo tanto, la ley que regule los supuestos en que cabe acordar prisión provisional y su duración máxima ha de adoptar la forma de ley orgánica “‘ya que al limitar el derecho a la libertad personal constituye un desarrollo del derecho fundamental, de conformidad con lo dispuesto en el art. 81.1 CE’ [STC 147/2000, de 29 de mayo FJ 4 a)]. Nuestra jurisprudencia ha considerado también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se haya reiterado que el derecho a la libertad personal puede verse lesionado cuando se actúa bajo la cobertura improcedente de la ley y también cuando se actúa contra lo que la ley dispone (así, SSTC 305/2000, de 11 de diciembre, FJ 3; 210/2013, de 16 de diciembre, FJ 2, y 217/2015, de 22 de octubre, FJ 2)” (STC 29/2019, de 28 de febrero, FJ 3).</w:t>
      </w:r>
    </w:p>
    <w:p w14:paraId="188D19D9" w14:textId="77777777" w:rsidR="003754FE" w:rsidRDefault="003754FE" w:rsidP="003754FE">
      <w:pPr>
        <w:pStyle w:val="TextoNormal"/>
      </w:pPr>
    </w:p>
    <w:p w14:paraId="1AE9D85D" w14:textId="77777777" w:rsidR="003754FE" w:rsidRDefault="003754FE" w:rsidP="003754FE">
      <w:pPr>
        <w:pStyle w:val="TextoNormal"/>
      </w:pPr>
      <w:r>
        <w:t xml:space="preserve">Este principio de legalidad, además, debe ser interpretado conforme al principio de </w:t>
      </w:r>
      <w:r w:rsidRPr="003754FE">
        <w:rPr>
          <w:i/>
        </w:rPr>
        <w:t>favor libertatis</w:t>
      </w:r>
      <w:r>
        <w:t xml:space="preserve"> o de </w:t>
      </w:r>
      <w:r w:rsidRPr="003754FE">
        <w:rPr>
          <w:i/>
        </w:rPr>
        <w:t>in dubio pro libertatis</w:t>
      </w:r>
      <w:r>
        <w:t xml:space="preserve"> en virtud del cual la interpretación y aplicación de las normas reguladoras de toda medida cautelar de naturaleza personal “deben hacerse con carácter restrictivo y a favor del derecho fundamental que tales normas restringen, lo cual ha de conducir a la elección y aplicación, en caso de duda, de la norma menos restrictiva de libertad” (SSTC 88/1988, de 9 de mayo, FJ 1; 98/2002, de 29 de abril, FJ 3, y 95/2007, de 7 de mayo, FJ 4).</w:t>
      </w:r>
    </w:p>
    <w:p w14:paraId="58C32B96" w14:textId="77777777" w:rsidR="003754FE" w:rsidRDefault="003754FE" w:rsidP="003754FE">
      <w:pPr>
        <w:pStyle w:val="TextoNormal"/>
      </w:pPr>
    </w:p>
    <w:p w14:paraId="3773926F" w14:textId="77777777" w:rsidR="003754FE" w:rsidRDefault="003754FE" w:rsidP="003754FE">
      <w:pPr>
        <w:pStyle w:val="TextoNormal"/>
      </w:pPr>
      <w:r>
        <w:t xml:space="preserve">La aplicación de esta doctrina ha llevado a la estimación del recurso de amparo en diferentes casos que merecen ser reseñados. En la STC 217/2015, de 22 de octubre, en relación con la prórroga de una medida de prisión provisional tras el dictado de una sentencia absolutoria por concurrir una eximente completa, el Tribunal acabó afirmando que se había actuado fuera de cualquier cobertura legal pues la norma aplicada al caso (art. 504.2 </w:t>
      </w:r>
      <w:r w:rsidRPr="003754FE">
        <w:rPr>
          <w:i/>
        </w:rPr>
        <w:t>in fine</w:t>
      </w:r>
      <w:r>
        <w:t xml:space="preserve"> LECrim) exigía que el imputado “fuere condenado” y fijaba como límite de la prórroga “la </w:t>
      </w:r>
      <w:r>
        <w:lastRenderedPageBreak/>
        <w:t xml:space="preserve">mitad de la pena efectivamente impuesta en sentencia”, lo que ponía de relevancia su incompatibilidad con el caso que se planteaba pues “el recurrente de amparo no fue condenado al cumplimiento de pena de prisión alguna, sino al de una medida de internamiento en centro adecuado al tipo de trastorno psiquiátrico que el acusado padecía”. De esta manera “[l]a norma utilizada para prorrogar la prisión provisional del actor no contiene ninguna referencia formal a dicho supuesto. Es más, su dicción literal es manifiestamente incompatible con éste, ya que, de acuerdo con el art. 504.2 </w:t>
      </w:r>
      <w:r w:rsidRPr="003754FE">
        <w:rPr>
          <w:i/>
        </w:rPr>
        <w:t>in fine</w:t>
      </w:r>
      <w:r>
        <w:t xml:space="preserve"> solo puede prorrogarse la prisión preventiva cuando la Sentencia dictada y recurrida haya impuesto una pena de prisión. Como afirmamos en la STC 145/2014, de 22 de septiembre, FJ 7, ‘no estamos por lo tanto ante un defecto por insuficiencia de la ley, ante un juicio sobre la calidad de la ley, sino que se debate el efecto asociado a una ausencia total y completa de ley’” (STC 217/2015, FJ 4).</w:t>
      </w:r>
    </w:p>
    <w:p w14:paraId="1F628ED0" w14:textId="77777777" w:rsidR="003754FE" w:rsidRDefault="003754FE" w:rsidP="003754FE">
      <w:pPr>
        <w:pStyle w:val="TextoNormal"/>
      </w:pPr>
    </w:p>
    <w:p w14:paraId="4C254E96" w14:textId="3A2EA6E7" w:rsidR="003754FE" w:rsidRDefault="003754FE" w:rsidP="003754FE">
      <w:pPr>
        <w:pStyle w:val="TextoNormal"/>
      </w:pPr>
      <w:r>
        <w:t>En la STC 84/2018, de 16 de julio, se otorgó el amparo en un supuesto en que se acordó el aplazamiento de la excarcelación tras el dictado de sentencia absolutoria, por aplicación de una eximente completa, y mientras se tramitaba el recurso de casación interpuesto frente a la citada sentencia. En dicho caso este tribunal consideró que los preceptos aducidos por las resoluciones judiciales (particularmente, el art. 983 LECrim) no resultaban base normativa suficiente para justificar el aplazamiento de la excarcelación. En consecuencia, se concluía que “la demanda de amparo y el Ministerio Fiscal llevan razón cuando califican la situación del recurrente, hasta su reciente traslado al hospital psiquiátrico penitenciario de Sevilla el 8 de marzo de este año (cuando ha empezado a cumplir con la medida de seguridad impuesta, tras desestimarse su recurso de casación), como una prisión encubierta, carente de absoluta cobertura legal, y por ello vulneradora de su derecho a la libertad (art. 17.1 CE), lo que determina la estimación de la demanda de amparo. Corresponde únicamente al legislador, en el marco de sus potestades constitucionales (art. 66.2 CE), poner fin a este delicado vacío normativo, regulando de manera pertinente la medida cautelar penal de internamiento en centro psiquiátrico” (STC 84/2018, FJ 5).</w:t>
      </w:r>
    </w:p>
    <w:p w14:paraId="01ECC1E2" w14:textId="77777777" w:rsidR="003754FE" w:rsidRDefault="003754FE" w:rsidP="003754FE">
      <w:pPr>
        <w:pStyle w:val="TextoNormal"/>
      </w:pPr>
    </w:p>
    <w:p w14:paraId="0681EAF7" w14:textId="77777777" w:rsidR="003754FE" w:rsidRDefault="003754FE" w:rsidP="003754FE">
      <w:pPr>
        <w:pStyle w:val="TextoNormal"/>
      </w:pPr>
      <w:r w:rsidRPr="003754FE">
        <w:rPr>
          <w:rStyle w:val="NumeroAFNegritaCaracter"/>
        </w:rPr>
        <w:t>4</w:t>
      </w:r>
      <w:r>
        <w:t xml:space="preserve">. </w:t>
      </w:r>
      <w:r w:rsidRPr="003754FE">
        <w:rPr>
          <w:i/>
        </w:rPr>
        <w:t>Aplicación de la jurisprudencia al presente supuesto de hecho</w:t>
      </w:r>
    </w:p>
    <w:p w14:paraId="7BD4181C" w14:textId="77777777" w:rsidR="003754FE" w:rsidRDefault="003754FE" w:rsidP="003754FE">
      <w:pPr>
        <w:pStyle w:val="TextoNormal"/>
      </w:pPr>
    </w:p>
    <w:p w14:paraId="2670AA9D" w14:textId="77777777" w:rsidR="003754FE" w:rsidRDefault="003754FE" w:rsidP="003754FE">
      <w:pPr>
        <w:pStyle w:val="TextoNormal"/>
      </w:pPr>
      <w:r>
        <w:t>La demanda de amparo se centra en la vulneración conexa del derecho fundamental a la tutela judicial efectiva (art. 24.1 CE) y a la libertad personal (art. 17.1 CE), sobre la base dos motivos de impugnación autónomos: de un lado, la falta de cobertura legal de las medidas cautelares adoptadas, y de otro, la vulneración del principio de motivación por no haberse tenido en consideración las circunstancias personales del demandante de amparo.</w:t>
      </w:r>
    </w:p>
    <w:p w14:paraId="0C2D24A0" w14:textId="77777777" w:rsidR="003754FE" w:rsidRDefault="003754FE" w:rsidP="003754FE">
      <w:pPr>
        <w:pStyle w:val="TextoNormal"/>
      </w:pPr>
    </w:p>
    <w:p w14:paraId="58711389" w14:textId="77777777" w:rsidR="003754FE" w:rsidRDefault="003754FE" w:rsidP="003754FE">
      <w:pPr>
        <w:pStyle w:val="TextoNormal"/>
      </w:pPr>
      <w:r>
        <w:t xml:space="preserve">Las resoluciones judiciales impugnadas, como ya se ha dejado constancia en los antecedentes, levantaron la prisión provisional que pesaba sobre la demandante, acordando en su lugar la medida cautelar de “obligación </w:t>
      </w:r>
      <w:r w:rsidRPr="003754FE">
        <w:rPr>
          <w:i/>
        </w:rPr>
        <w:t>apud acta</w:t>
      </w:r>
      <w:r>
        <w:t xml:space="preserve"> de comparecer los días 3 de cada mes, con designación de domicilio y prohibición de salida de territorio nacional con retirada de pasaporte, librándose para ello los oportunos mandamientos al centro penitenciario de Madrid I-Alcalá Meco”. El auto que resuelve el recurso de súplica contra la resolución de 2 de noviembre de 2023 (de fecha 20 de noviembre de 2023) invocaba como base para la adopción de esta medida el art. 539 LECrim —</w:t>
      </w:r>
      <w:r w:rsidRPr="003754FE">
        <w:rPr>
          <w:i/>
        </w:rPr>
        <w:t>in fine</w:t>
      </w:r>
      <w:r>
        <w:t xml:space="preserve">— a cuyo tenor “[s]iempre que el juez o tribunal entienda que procede la libertad o la modificación de la libertad provisional en términos más favorables al sometido a la medida, podrá acordarla, en cualquier momento, de oficio y sin someterse a la petición de parte”, así como que la resolución de archivo no era firme al haberse interpuesto recurso de casación frente aquella. Ello llevaba a la Sala de </w:t>
      </w:r>
      <w:r>
        <w:lastRenderedPageBreak/>
        <w:t>lo Penal de la Audiencia Nacional a afirmar que “[t]ales circunstancias unidas a la existencia del riesgo de no estar a disposición del Tribunal toda vez que la recurrente doña Natividad ha estado residiendo en los últimos años en Bélgica, y hubo que emitir una OEDE para que estuviera a disposición de los tribunales españoles, es motivo más que suficiente para mantener las medidas cautelares fijadas siempre hasta que sea firme la resolución recurrida”.</w:t>
      </w:r>
    </w:p>
    <w:p w14:paraId="07FCE65C" w14:textId="77777777" w:rsidR="003754FE" w:rsidRDefault="003754FE" w:rsidP="003754FE">
      <w:pPr>
        <w:pStyle w:val="TextoNormal"/>
      </w:pPr>
    </w:p>
    <w:p w14:paraId="19D53B2F" w14:textId="77777777" w:rsidR="003754FE" w:rsidRDefault="003754FE" w:rsidP="003754FE">
      <w:pPr>
        <w:pStyle w:val="TextoNormal"/>
      </w:pPr>
      <w:r>
        <w:t xml:space="preserve">Como se ha señalado anteriormente, la exigencia de una cobertura legal expresa de la injerencia del poder público en la libertad individual es un requisito previo e insoslayable para la validez de la medida cautelar acordada. De este modo, y solo cuando haya sido verificado la existencia de dicha previsión normativa, el tribunal puede pasar, en un segundo momento, a valorar si su concreta aplicación resulta proporcionada, ponderando el sacrificio generado en la esfera del recurrente por la medida cautelar con los fines públicos que se pretenden garantizar. Examen o ponderación en el que debe tenerse en cuenta, obviamente, el anteriormente citado principio </w:t>
      </w:r>
      <w:r w:rsidRPr="003754FE">
        <w:rPr>
          <w:i/>
        </w:rPr>
        <w:t>favor libertatis o in dubio pro libertate</w:t>
      </w:r>
      <w:r>
        <w:t>. Ello lleva, consecuentemente, a iniciar el examen del caso planteado desde la perspectiva del presupuesto de garantía de la legalidad, toda vez que “el derecho a la libertad puede verse conculcado, tanto cuando se actúa bajo la cobertura improcedente de la ley, como contra lo que la ley dispone” (así, SSTC 305/2000, de 11 de diciembre, FJ 3; 210/2013, de 16 de diciembre, FJ 2, y 217/2015, de 22 de octubre, FJ 2).</w:t>
      </w:r>
    </w:p>
    <w:p w14:paraId="1B455756" w14:textId="77777777" w:rsidR="003754FE" w:rsidRDefault="003754FE" w:rsidP="003754FE">
      <w:pPr>
        <w:pStyle w:val="TextoNormal"/>
      </w:pPr>
    </w:p>
    <w:p w14:paraId="146A6394" w14:textId="77777777" w:rsidR="003754FE" w:rsidRDefault="003754FE" w:rsidP="003754FE">
      <w:pPr>
        <w:pStyle w:val="TextoNormal"/>
      </w:pPr>
      <w:r>
        <w:t>Pues bien, desde esta perspectiva este tribunal no puede compartir la tesis de las resoluciones recurridas. Aunque es cierto que el art. 539 LECrim permite al juez o tribunal modificar de oficio las medidas cautelares acordadas, ello queda supeditado —como se desprende de la utilización de las locuciones “durante todo el curso de la causa” (art. 539.1 LECrim)— a la existencia y continuación misma del procedimiento. La razón es que la finalidad de estas medidas cautelares de naturaleza personal no es otra que garantizar la presencia del investigado durante el desarrollo del proceso penal, propósito que, de ordinario, no concurrirá cuando aquel haya finalizado mediante una resolución de archivo.</w:t>
      </w:r>
    </w:p>
    <w:p w14:paraId="131A1BF5" w14:textId="77777777" w:rsidR="003754FE" w:rsidRDefault="003754FE" w:rsidP="003754FE">
      <w:pPr>
        <w:pStyle w:val="TextoNormal"/>
      </w:pPr>
    </w:p>
    <w:p w14:paraId="2B89378C" w14:textId="77777777" w:rsidR="003754FE" w:rsidRDefault="003754FE" w:rsidP="003754FE">
      <w:pPr>
        <w:pStyle w:val="TextoNormal"/>
      </w:pPr>
      <w:r>
        <w:t>Una interpretación como la alcanzada por las resoluciones judiciales impugnadas se opondría a la normativa general establecida en nuestra Ley de enjuiciamiento criminal, donde son múltiples las disposiciones legales que instan a un inmediato alzamiento de las medidas cautelares en casos de resolución de archivo. Es el caso del art. 983 LECrim donde se indica que “todo procesado absuelto por la sentencia será puesto en libertad inmediatamente a menos que el ejercicio de un recurso que produzca efectos suspensivos o la existencia de otros motivos legales hagan necesario el aplazamiento de la excarcelación, lo cual se ordenará por auto motivado”, del art. 782.1 LECrim que, al regular las cuestiones previas en el procedimiento abreviado, establece que “[a]l acordar el sobreseimiento, el juez de instrucción dejará sin efecto la prisión y demás medidas cautelares acordadas”, o del art. 675 LECrim que, en relación con la estimación de los artículos de previo pronunciamiento de los apartados segundo, tercero y cuarto del art. 666, señala que “se sobreseerá libremente, mandando que se ponga en libertad al procesado o procesados que no estén presos por otra causa”. Este efecto de alzamiento, de hecho, se prevé también para el caso de sentencias absolutorias donde el art. 861 LECrim prescribe que, aun cuando se interponga recurso de casación, “si la sentencia es absolutoria y el reo estuviera preso, será puesto inmediatamente en libertad”.</w:t>
      </w:r>
    </w:p>
    <w:p w14:paraId="010FF9E7" w14:textId="77777777" w:rsidR="003754FE" w:rsidRDefault="003754FE" w:rsidP="003754FE">
      <w:pPr>
        <w:pStyle w:val="TextoNormal"/>
      </w:pPr>
    </w:p>
    <w:p w14:paraId="4C1EE76B" w14:textId="77777777" w:rsidR="003754FE" w:rsidRDefault="003754FE" w:rsidP="003754FE">
      <w:pPr>
        <w:pStyle w:val="TextoNormal"/>
      </w:pPr>
      <w:r>
        <w:lastRenderedPageBreak/>
        <w:t xml:space="preserve">De lo expuesto se infiere que la regulación establecida en nuestra legislación procesal no solamente no prevé la posibilidad de adoptar medidas cautelares durante la tramitación de un recurso interpuesto frente a una decisión de archivo, sino que, lejos de ello, lo proscribe directamente al señalar que el efecto natural y jurídico de aquella (ya sea vía del art. 637 o 641 LECrim) es la automática e inmediata puesta en libertad y el alzamiento de las medidas cautelares personales previamente adoptadas (arts. 675, 861 </w:t>
      </w:r>
      <w:r w:rsidRPr="003754FE">
        <w:rPr>
          <w:i/>
        </w:rPr>
        <w:t>bis</w:t>
      </w:r>
      <w:r>
        <w:t xml:space="preserve">, 782.1, y 983 LECrim). Ello resulta obvio, pues, como ya se ha señalado, tras el dictado de una resolución de archivo (ya adopté la forma de sentencia o de auto), se desvanecen los fundamentos mismos de la medida cautelar, no solo desde la perspectiva de su finalidad como hemos previamente señalado, sino también desde la perspectiva del </w:t>
      </w:r>
      <w:r w:rsidRPr="003754FE">
        <w:rPr>
          <w:i/>
        </w:rPr>
        <w:t>fumus boni iuris</w:t>
      </w:r>
      <w:r>
        <w:t>, pieza angular de aquella.</w:t>
      </w:r>
    </w:p>
    <w:p w14:paraId="2EE06FAF" w14:textId="77777777" w:rsidR="003754FE" w:rsidRDefault="003754FE" w:rsidP="003754FE">
      <w:pPr>
        <w:pStyle w:val="TextoNormal"/>
      </w:pPr>
    </w:p>
    <w:p w14:paraId="6F42F68B" w14:textId="77777777" w:rsidR="003754FE" w:rsidRDefault="003754FE" w:rsidP="003754FE">
      <w:pPr>
        <w:pStyle w:val="TextoNormal"/>
      </w:pPr>
      <w:r>
        <w:t>Por todo ello, este tribunal concluye que las resoluciones impugnadas vulneraron el derecho a la libertad (art. 17.1 CE) —“[n]adie puede ser privado de su libertad, sino con observancia de lo establecido en este artículo y en los casos y en la forma previstos en la ley”— al adoptar unas medidas cautelares personales no solo fuera de toda cobertura legal, sino en contra de la normativa general establecida al respecto por la Ley de enjuiciamiento criminal.</w:t>
      </w:r>
    </w:p>
    <w:p w14:paraId="4F4EE377" w14:textId="77777777" w:rsidR="003754FE" w:rsidRDefault="003754FE" w:rsidP="003754FE">
      <w:pPr>
        <w:pStyle w:val="TextoNormal"/>
      </w:pPr>
    </w:p>
    <w:p w14:paraId="30DA569B" w14:textId="64C73A6A" w:rsidR="003754FE" w:rsidRDefault="003754FE" w:rsidP="003754FE">
      <w:pPr>
        <w:pStyle w:val="TextoNormal"/>
      </w:pPr>
      <w:r>
        <w:t>Estimado el recurso de amparo por este motivo, deviene innecesario nuestro análisis acerca de la posible vulneración del principio de motivación por no haberse tenido en consideración las circunstancias personales del demandante de amparo.</w:t>
      </w:r>
    </w:p>
    <w:p w14:paraId="35F8AF43" w14:textId="77777777" w:rsidR="003754FE" w:rsidRDefault="003754FE" w:rsidP="003754FE">
      <w:pPr>
        <w:pStyle w:val="TextoNormal"/>
      </w:pPr>
    </w:p>
    <w:p w14:paraId="44E424BC" w14:textId="77777777" w:rsidR="003754FE" w:rsidRDefault="003754FE" w:rsidP="003754FE">
      <w:pPr>
        <w:pStyle w:val="TextoNormal"/>
      </w:pPr>
      <w:r w:rsidRPr="003754FE">
        <w:rPr>
          <w:rStyle w:val="NumeroAFNegritaCaracter"/>
        </w:rPr>
        <w:t>5</w:t>
      </w:r>
      <w:r>
        <w:t xml:space="preserve">. </w:t>
      </w:r>
      <w:r w:rsidRPr="003754FE">
        <w:rPr>
          <w:i/>
        </w:rPr>
        <w:t>Efectos de la estimación del amparo</w:t>
      </w:r>
    </w:p>
    <w:p w14:paraId="702192F0" w14:textId="77777777" w:rsidR="003754FE" w:rsidRDefault="003754FE" w:rsidP="003754FE">
      <w:pPr>
        <w:pStyle w:val="TextoNormal"/>
      </w:pPr>
    </w:p>
    <w:p w14:paraId="61358274" w14:textId="41F3BEB1" w:rsidR="003754FE" w:rsidRDefault="003754FE" w:rsidP="003754FE">
      <w:pPr>
        <w:pStyle w:val="TextoNormal"/>
      </w:pPr>
      <w:r>
        <w:t xml:space="preserve">Los criterios expuestos conducen, en conclusión, a declarar vulnerado el derecho fundamental a la libertad personal (art. 17.1 CE) de la recurrente por haberle sido impuestas las medidas cautelares de comparecencias </w:t>
      </w:r>
      <w:r w:rsidRPr="003754FE">
        <w:rPr>
          <w:i/>
        </w:rPr>
        <w:t>apud acta</w:t>
      </w:r>
      <w:r>
        <w:t>, retirada de pasaporte y prohibición de salida de territorio nacional, sin haber sido aquellas previstas específicamente por el legislador. A tal efecto, con el fin de restablecer a la demandante en la integridad de su derecho, habrán de ser anulados los autos de la Sección Segunda de la Sala de lo Penal de la Audiencia Nacional de 2 y 20 de noviembre de 2023, sin que ello conlleve modificación alguna de la decisión de archivo por razón de la prescripción.</w:t>
      </w:r>
    </w:p>
    <w:p w14:paraId="5000FF38" w14:textId="77777777" w:rsidR="003754FE" w:rsidRDefault="003754FE" w:rsidP="003754FE">
      <w:pPr>
        <w:pStyle w:val="TextoNormal"/>
      </w:pPr>
    </w:p>
    <w:p w14:paraId="1F35BAC6" w14:textId="77777777" w:rsidR="003754FE" w:rsidRDefault="003754FE" w:rsidP="003754FE">
      <w:pPr>
        <w:pStyle w:val="TextoNormalCentrado"/>
        <w:keepNext/>
      </w:pPr>
      <w:r>
        <w:t>FALLO</w:t>
      </w:r>
    </w:p>
    <w:p w14:paraId="68E20489" w14:textId="41D4E3D8" w:rsidR="003754FE" w:rsidRDefault="003754FE" w:rsidP="003754FE">
      <w:pPr>
        <w:pStyle w:val="TextoNormalCentrado"/>
        <w:keepNext/>
      </w:pPr>
    </w:p>
    <w:p w14:paraId="748BCEFF"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doña Natividad Jáuregui Espina y, en su virtud:</w:t>
      </w:r>
    </w:p>
    <w:p w14:paraId="7E818A0F" w14:textId="77777777" w:rsidR="003754FE" w:rsidRDefault="003754FE" w:rsidP="003754FE">
      <w:pPr>
        <w:pStyle w:val="TextoNormal"/>
      </w:pPr>
    </w:p>
    <w:p w14:paraId="36B0CBDA" w14:textId="77777777" w:rsidR="003754FE" w:rsidRDefault="003754FE" w:rsidP="003754FE">
      <w:pPr>
        <w:pStyle w:val="TextoNormal"/>
      </w:pPr>
      <w:r>
        <w:t>1º Declarar que ha sido vulnerado el derecho fundamental a la libertad (art. 17.1 CE) de la recurrente.</w:t>
      </w:r>
    </w:p>
    <w:p w14:paraId="266BB14F" w14:textId="77777777" w:rsidR="003754FE" w:rsidRDefault="003754FE" w:rsidP="003754FE">
      <w:pPr>
        <w:pStyle w:val="TextoNormal"/>
      </w:pPr>
    </w:p>
    <w:p w14:paraId="2437AE65" w14:textId="54191AFB" w:rsidR="003754FE" w:rsidRDefault="003754FE" w:rsidP="003754FE">
      <w:pPr>
        <w:pStyle w:val="TextoNormal"/>
      </w:pPr>
      <w:r>
        <w:t>2º Declarar la nulidad de los autos de 2 y 20 de noviembre de 2023, dictados por la Sección Segunda de la Sala de lo Penal de la Audiencia Nacional, sin que ello conlleve modificación alguna de la decisión de archivo alcanzada por el auto de 2 noviembre de 2023.</w:t>
      </w:r>
    </w:p>
    <w:p w14:paraId="73CB709F" w14:textId="77777777" w:rsidR="003754FE" w:rsidRDefault="003754FE" w:rsidP="003754FE">
      <w:pPr>
        <w:pStyle w:val="TextoNormal"/>
      </w:pPr>
    </w:p>
    <w:p w14:paraId="4B07E374" w14:textId="77777777" w:rsidR="003754FE" w:rsidRDefault="003754FE" w:rsidP="003754FE">
      <w:pPr>
        <w:pStyle w:val="TextoNormal"/>
      </w:pPr>
      <w:r>
        <w:t>Publíquese esta sentencia en el “Boletín Oficial del Estado”.</w:t>
      </w:r>
    </w:p>
    <w:p w14:paraId="0A19FFF9" w14:textId="77777777" w:rsidR="003754FE" w:rsidRDefault="003754FE" w:rsidP="003754FE">
      <w:pPr>
        <w:pStyle w:val="TextoNormal"/>
      </w:pPr>
      <w:r>
        <w:lastRenderedPageBreak/>
        <w:t>Dada en Madrid, a dos de diciembre de dos mil veinticuatro.</w:t>
      </w:r>
    </w:p>
    <w:p w14:paraId="48E1975A" w14:textId="11782553" w:rsidR="003754FE" w:rsidRDefault="003754FE">
      <w:pPr>
        <w:spacing w:after="160" w:line="278" w:lineRule="auto"/>
        <w:rPr>
          <w:rFonts w:ascii="Times New Roman" w:eastAsia="Times New Roman" w:hAnsi="Times New Roman" w:cs="Times New Roman"/>
          <w:sz w:val="24"/>
          <w:szCs w:val="24"/>
          <w:lang w:eastAsia="es-ES"/>
        </w:rPr>
      </w:pPr>
      <w:r>
        <w:br w:type="page"/>
      </w:r>
    </w:p>
    <w:p w14:paraId="3A8D2A3A" w14:textId="77777777" w:rsidR="003754FE" w:rsidRDefault="003754FE" w:rsidP="003754FE">
      <w:pPr>
        <w:pStyle w:val="TtuloResolucin"/>
      </w:pPr>
      <w:bookmarkStart w:id="58" w:name="SENTENCIA_2024_149"/>
      <w:r>
        <w:lastRenderedPageBreak/>
        <w:t>SENTENCIA 149/2024, de 2 de diciembre de 2024</w:t>
      </w:r>
    </w:p>
    <w:bookmarkEnd w:id="58"/>
    <w:p w14:paraId="4A9A6A2E" w14:textId="77777777" w:rsidR="003754FE" w:rsidRDefault="003754FE" w:rsidP="003754FE">
      <w:pPr>
        <w:pStyle w:val="TtuloResolucin"/>
      </w:pPr>
      <w:r>
        <w:t>Sala Primera</w:t>
      </w:r>
    </w:p>
    <w:p w14:paraId="549D1070" w14:textId="77777777" w:rsidR="003754FE" w:rsidRDefault="003754FE" w:rsidP="003754FE">
      <w:pPr>
        <w:pStyle w:val="TtuloBOE"/>
      </w:pPr>
      <w:r>
        <w:t>(BOE núm. 5, de 6 de enero de 2025)</w:t>
      </w:r>
    </w:p>
    <w:p w14:paraId="280AF4A0" w14:textId="77777777" w:rsidR="003754FE" w:rsidRDefault="003754FE" w:rsidP="003754FE">
      <w:pPr>
        <w:pStyle w:val="TextoNormalCentrado"/>
      </w:pPr>
      <w:r>
        <w:t>ECLI:ES:TC:2024:149</w:t>
      </w:r>
    </w:p>
    <w:p w14:paraId="2DEA6F80" w14:textId="15C45559" w:rsidR="003754FE" w:rsidRDefault="003754FE" w:rsidP="003754FE">
      <w:pPr>
        <w:pStyle w:val="TextoNormalCentrado"/>
      </w:pPr>
    </w:p>
    <w:p w14:paraId="7C1D1E83" w14:textId="77777777" w:rsidR="003754FE" w:rsidRDefault="003754FE" w:rsidP="003754FE">
      <w:pPr>
        <w:pStyle w:val="SntesisDescriptiva"/>
      </w:pPr>
      <w:r>
        <w:t>Recurso de amparo 1084-2024. Promovido por doña Irakusne Goiriena Ugarte en relación con las resoluciones administrativas y judiciales que desestimaron su petición de revisión y ampliación de la prestación por nacimiento y cuidado de hijo menor, como madre biológica de familia monoparental.</w:t>
      </w:r>
    </w:p>
    <w:p w14:paraId="4365801B" w14:textId="4F1BE496" w:rsidR="003754FE" w:rsidRDefault="003754FE" w:rsidP="003754FE">
      <w:pPr>
        <w:pStyle w:val="SntesisDescriptiva"/>
      </w:pPr>
    </w:p>
    <w:p w14:paraId="2EA77D5C" w14:textId="77777777" w:rsidR="003754FE" w:rsidRDefault="003754FE" w:rsidP="003754FE">
      <w:pPr>
        <w:pStyle w:val="SntesisAnaltica"/>
      </w:pPr>
      <w:r>
        <w:t>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6674A3A4" w14:textId="369C8BAF" w:rsidR="003754FE" w:rsidRDefault="003754FE" w:rsidP="003754FE">
      <w:pPr>
        <w:pStyle w:val="SntesisAnaltica"/>
      </w:pPr>
    </w:p>
    <w:p w14:paraId="4EBF16A0" w14:textId="13D3C84D" w:rsidR="003754FE" w:rsidRDefault="003754FE" w:rsidP="003754FE">
      <w:pPr>
        <w:pStyle w:val="Extracto"/>
      </w:pPr>
      <w:r>
        <w:t>1.</w:t>
      </w:r>
      <w:r>
        <w:tab/>
        <w:t>Aplicación de la doctrina recogida en la STC 140/2024 en materias de permiso por nacimiento y cuidado de menor, y de la correspondiente prestación de la Seguridad Social [FJ 3].</w:t>
      </w:r>
    </w:p>
    <w:p w14:paraId="31F566EA" w14:textId="77777777" w:rsidR="003754FE" w:rsidRDefault="003754FE" w:rsidP="003754FE">
      <w:pPr>
        <w:pStyle w:val="Extracto"/>
      </w:pPr>
    </w:p>
    <w:p w14:paraId="151093C1" w14:textId="77777777" w:rsidR="003754FE" w:rsidRDefault="003754FE" w:rsidP="003754FE">
      <w:pPr>
        <w:pStyle w:val="Extracto"/>
      </w:pPr>
    </w:p>
    <w:p w14:paraId="0D5178F5" w14:textId="77777777" w:rsidR="003754FE" w:rsidRDefault="003754FE" w:rsidP="003754FE">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19F96572" w14:textId="40796CD8" w:rsidR="003754FE" w:rsidRDefault="003754FE" w:rsidP="003754FE">
      <w:pPr>
        <w:pStyle w:val="TextoNormal"/>
      </w:pPr>
    </w:p>
    <w:p w14:paraId="33E5F178" w14:textId="77777777" w:rsidR="003754FE" w:rsidRDefault="003754FE" w:rsidP="003754FE">
      <w:pPr>
        <w:pStyle w:val="TextoNormalCentrado"/>
        <w:keepNext/>
      </w:pPr>
      <w:r>
        <w:t>EN NOMBRE DEL REY</w:t>
      </w:r>
    </w:p>
    <w:p w14:paraId="79F43538" w14:textId="28AA9A15" w:rsidR="003754FE" w:rsidRDefault="003754FE" w:rsidP="003754FE">
      <w:pPr>
        <w:pStyle w:val="TextoNormalCentrado"/>
        <w:keepNext/>
      </w:pPr>
    </w:p>
    <w:p w14:paraId="592CBC17" w14:textId="77777777" w:rsidR="003754FE" w:rsidRDefault="003754FE" w:rsidP="003754FE">
      <w:pPr>
        <w:pStyle w:val="TextoNormalCentrado"/>
        <w:keepNext/>
      </w:pPr>
    </w:p>
    <w:p w14:paraId="101CE0E5" w14:textId="77777777" w:rsidR="003754FE" w:rsidRDefault="003754FE" w:rsidP="003754FE">
      <w:pPr>
        <w:pStyle w:val="TextoNormal"/>
      </w:pPr>
      <w:r>
        <w:t>la siguiente</w:t>
      </w:r>
    </w:p>
    <w:p w14:paraId="24D11CF7" w14:textId="05510441" w:rsidR="003754FE" w:rsidRDefault="003754FE" w:rsidP="003754FE">
      <w:pPr>
        <w:pStyle w:val="TextoNormal"/>
      </w:pPr>
    </w:p>
    <w:p w14:paraId="25310ED8" w14:textId="77777777" w:rsidR="003754FE" w:rsidRDefault="003754FE" w:rsidP="003754FE">
      <w:pPr>
        <w:pStyle w:val="TextoNormalCentrado"/>
        <w:keepNext/>
      </w:pPr>
      <w:r>
        <w:t>SENTENCIA</w:t>
      </w:r>
    </w:p>
    <w:p w14:paraId="4B487AD0" w14:textId="369C4C8A" w:rsidR="003754FE" w:rsidRDefault="003754FE" w:rsidP="003754FE">
      <w:pPr>
        <w:pStyle w:val="TextoNormalCentrado"/>
        <w:keepNext/>
      </w:pPr>
    </w:p>
    <w:p w14:paraId="6010DDF1" w14:textId="77777777" w:rsidR="003754FE" w:rsidRDefault="003754FE" w:rsidP="003754FE">
      <w:pPr>
        <w:pStyle w:val="TextoNormal"/>
      </w:pPr>
      <w:r>
        <w:t xml:space="preserve">En el recurso de amparo núm. 1084-2024, interpuesto por doña Irakusne Goiriena Ugarte, representada por la procuradora de los tribunales doña María Esperanza Azpeitia Calvín, bajo la dirección de la letrada doña Nerea Arroyo Bustos, contra la sentencia núm. 1296/2023, de 21 de diciembre, dictada por la Sala de lo Social del Tribunal Supremo en el recurso de casación para la unificación de doctrina núm. 5608-2022, que estima el recurso interpuesto por el Instituto Nacional de la Seguridad Social (INSS) y la Tesorería General de la Seguridad Social (TGSS) contra la sentencia núm. 2272/2022, de 7 de noviembre, dictada por la Sala de lo Social del Tribunal Superior de Justicia del País Vasco en el recurso de suplicación núm. 1708-2022, que estimó el recurso planteado por la demandante de amparo frente a la sentencia núm. 176/2022, de 3 de mayo, dictada por el Juzgado de lo Social núm. 1 de Bilbao en autos núm. 77-2021, que desestimó la demanda interpuesta por la ahora recurrente frente al INSS y la TGSS ante la resolución dictada por la Dirección Provincial de Vizcaya del primer organismo, fechada el 23 de diciembre de 2020, que a su vez desestimó la reclamación previa planteada frente a la resolución del mismo organismo fechada el </w:t>
      </w:r>
      <w:r>
        <w:lastRenderedPageBreak/>
        <w:t>8 de mayo de 2020. Ha comparecido el letrado de la administración de la Seguridad Social en nombre y representación del INSS y la TGSS, y ha intervenido el Ministerio Fiscal. Ha sido ponente la magistrada doña Concepción Espejel Jorquera.</w:t>
      </w:r>
    </w:p>
    <w:p w14:paraId="495E9DED" w14:textId="6F385B3B" w:rsidR="003754FE" w:rsidRDefault="003754FE" w:rsidP="003754FE">
      <w:pPr>
        <w:pStyle w:val="TextoNormal"/>
      </w:pPr>
    </w:p>
    <w:p w14:paraId="3334BA5F" w14:textId="77777777" w:rsidR="003754FE" w:rsidRDefault="003754FE" w:rsidP="003754FE">
      <w:pPr>
        <w:pStyle w:val="TextoNormalNegritaCentrado"/>
        <w:keepNext/>
      </w:pPr>
      <w:r>
        <w:t>I. Antecedentes</w:t>
      </w:r>
    </w:p>
    <w:p w14:paraId="4B36FF2A" w14:textId="17E7D074" w:rsidR="003754FE" w:rsidRDefault="003754FE" w:rsidP="003754FE">
      <w:pPr>
        <w:pStyle w:val="TextoNormalNegritaCentrado"/>
        <w:keepNext/>
      </w:pPr>
    </w:p>
    <w:p w14:paraId="1BBB1FE8" w14:textId="2153A138" w:rsidR="003754FE" w:rsidRDefault="003754FE" w:rsidP="003754FE">
      <w:pPr>
        <w:pStyle w:val="TextoNormal"/>
      </w:pPr>
      <w:r w:rsidRPr="003754FE">
        <w:rPr>
          <w:rStyle w:val="NumeroAFNegritaCaracter"/>
        </w:rPr>
        <w:t>1</w:t>
      </w:r>
      <w:r>
        <w:t>. Mediante escrito presentado en el registro general de este tribunal el 16 de febrero de 2024, doña Irakusne Goiriena Ugarte, representada por la procuradora de los tribunales doña María Esperanza Azpeitia Calvín y asistida por la abogada doña Nerea Arroyo Bustos, interpuso recurso de amparo contra las sentencias de la Sala de lo Social del Tribunal Supremo y del Juzgado de lo Social núm. 1 de Bilbao, así como contra las resoluciones de la Dirección Provincial de Vizcaya del INSS a las que se ha hecho mención en el encabezamiento de esta sentencia.</w:t>
      </w:r>
    </w:p>
    <w:p w14:paraId="1CD4164C" w14:textId="77777777" w:rsidR="003754FE" w:rsidRDefault="003754FE" w:rsidP="003754FE">
      <w:pPr>
        <w:pStyle w:val="TextoNormal"/>
      </w:pPr>
    </w:p>
    <w:p w14:paraId="0A31C74D" w14:textId="77777777" w:rsidR="003754FE" w:rsidRDefault="003754FE" w:rsidP="003754FE">
      <w:pPr>
        <w:pStyle w:val="TextoNormal"/>
      </w:pPr>
      <w:r w:rsidRPr="003754FE">
        <w:rPr>
          <w:rStyle w:val="NumeroAFNegritaCaracter"/>
        </w:rPr>
        <w:t>2</w:t>
      </w:r>
      <w:r>
        <w:t>. El recurso tiene su origen en los siguientes antecedentes:</w:t>
      </w:r>
    </w:p>
    <w:p w14:paraId="46A9CD8F" w14:textId="77777777" w:rsidR="003754FE" w:rsidRDefault="003754FE" w:rsidP="003754FE">
      <w:pPr>
        <w:pStyle w:val="TextoNormal"/>
      </w:pPr>
    </w:p>
    <w:p w14:paraId="04444B2C" w14:textId="77777777" w:rsidR="003754FE" w:rsidRDefault="003754FE" w:rsidP="003754FE">
      <w:pPr>
        <w:pStyle w:val="TextoNormal"/>
      </w:pPr>
      <w:r>
        <w:t>a) En resolución de fecha 8 de mayo de 2020, dictada por la Dirección Provincial de Vizcaya del INSS, se reconoce a doña Irakusne Goiriena Ugarte el derecho a la prestación de nacimiento y cuidado del menor desde el 20 de marzo de 2020 al 9 de julio de 2020 (112 días) y una base reguladora de 98,63 €.</w:t>
      </w:r>
    </w:p>
    <w:p w14:paraId="0893FECB" w14:textId="77777777" w:rsidR="003754FE" w:rsidRDefault="003754FE" w:rsidP="003754FE">
      <w:pPr>
        <w:pStyle w:val="TextoNormal"/>
      </w:pPr>
    </w:p>
    <w:p w14:paraId="0CB738BD" w14:textId="77777777" w:rsidR="003754FE" w:rsidRDefault="003754FE" w:rsidP="003754FE">
      <w:pPr>
        <w:pStyle w:val="TextoNormal"/>
      </w:pPr>
      <w:r>
        <w:t>Mediante escrito de fecha 26 de noviembre de 2020, la señora Goiriena presentó reclamación previa ante aquel organismo al considerar que constituye una familia monoparental y debe serle reconocida la ampliación de la prestación en doce semanas más, adicionales a las dieciséis ya reconocidas, al no existir otro progenitor.</w:t>
      </w:r>
    </w:p>
    <w:p w14:paraId="186C3240" w14:textId="77777777" w:rsidR="003754FE" w:rsidRDefault="003754FE" w:rsidP="003754FE">
      <w:pPr>
        <w:pStyle w:val="TextoNormal"/>
      </w:pPr>
    </w:p>
    <w:p w14:paraId="7F90FDDC" w14:textId="77777777" w:rsidR="003754FE" w:rsidRDefault="003754FE" w:rsidP="003754FE">
      <w:pPr>
        <w:pStyle w:val="TextoNormal"/>
      </w:pPr>
      <w:r>
        <w:t>La reclamación previa fue desestimada mediante resolución del director provincial de Vizcaya del INSS, fechada el 23 de diciembre de 2020.</w:t>
      </w:r>
    </w:p>
    <w:p w14:paraId="41295D58" w14:textId="77777777" w:rsidR="003754FE" w:rsidRDefault="003754FE" w:rsidP="003754FE">
      <w:pPr>
        <w:pStyle w:val="TextoNormal"/>
      </w:pPr>
    </w:p>
    <w:p w14:paraId="56B966DD" w14:textId="77777777" w:rsidR="003754FE" w:rsidRDefault="003754FE" w:rsidP="003754FE">
      <w:pPr>
        <w:pStyle w:val="TextoNormal"/>
      </w:pPr>
      <w:r>
        <w:t>b) El 20 de enero de 2021 doña Irakusne Goiriena Ugarte interpuso demanda frente al INSS y la TGSS, que fue turnada al Juzgado de lo Social núm. 1 de Bilbao, que incoó los autos núm. 77-2021, sobre prestación por nacimiento.</w:t>
      </w:r>
    </w:p>
    <w:p w14:paraId="62B845A9" w14:textId="77777777" w:rsidR="003754FE" w:rsidRDefault="003754FE" w:rsidP="003754FE">
      <w:pPr>
        <w:pStyle w:val="TextoNormal"/>
      </w:pPr>
    </w:p>
    <w:p w14:paraId="2F71853B" w14:textId="77777777" w:rsidR="003754FE" w:rsidRDefault="003754FE" w:rsidP="003754FE">
      <w:pPr>
        <w:pStyle w:val="TextoNormal"/>
      </w:pPr>
      <w:r>
        <w:t>En fecha 3 de mayo de 2022 recayó la sentencia núm. 176/2022, que desestimó la demanda con los siguientes razonamientos:</w:t>
      </w:r>
    </w:p>
    <w:p w14:paraId="741B2E67" w14:textId="77777777" w:rsidR="003754FE" w:rsidRDefault="003754FE" w:rsidP="003754FE">
      <w:pPr>
        <w:pStyle w:val="TextoNormal"/>
      </w:pPr>
    </w:p>
    <w:p w14:paraId="7389252B" w14:textId="77777777" w:rsidR="003754FE" w:rsidRDefault="003754FE" w:rsidP="003754FE">
      <w:pPr>
        <w:pStyle w:val="TextoNormal"/>
      </w:pPr>
      <w:r>
        <w:t xml:space="preserve">(i) La ampliación a doce semanas más de la prestación prestación por nacimiento y cuidado de menor solo para las familias biparentales tiende, en primer lugar, a garantizar la igualdad de trato y oportunidades entre hombres y mujeres en el empleo y la ocupación; y en lo referente al progenitor distinto de la madre biológica, obedece a favorecer la vida personal, familiar y laboral, al fomentar la corresponsabilidad de los padres en el cuidado de los hijos comunes, como destaca el Real Decreto-ley 6/2019, de 1 de marzo, de medidas urgentes para garantía de la igualdad de trato y de oportunidades entre mujeres y hombres en el empleo y la ocupación, siendo este último un derecho individual y exclusivo del progenitor distinto del de la madre biológica, que no se puede transferir a esta última como señala el art. 48.4 del texto refundido de la Ley del estatuto de los trabajadores, aprobado </w:t>
      </w:r>
      <w:r>
        <w:lastRenderedPageBreak/>
        <w:t>por Real Decreto Legislativo 2/2015, de 23 de octubre (en lo sucesivo, LET), al recalcar que se trata de un derecho individual de la persona trabajadora.</w:t>
      </w:r>
    </w:p>
    <w:p w14:paraId="6719CDD3" w14:textId="77777777" w:rsidR="003754FE" w:rsidRDefault="003754FE" w:rsidP="003754FE">
      <w:pPr>
        <w:pStyle w:val="TextoNormal"/>
      </w:pPr>
    </w:p>
    <w:p w14:paraId="042009A5" w14:textId="77777777" w:rsidR="003754FE" w:rsidRDefault="003754FE" w:rsidP="003754FE">
      <w:pPr>
        <w:pStyle w:val="TextoNormal"/>
      </w:pPr>
      <w:r>
        <w:t>(ii) Siendo evidente la falta de amparo normativo de la extensión a las familias monoparentales del permiso de doce semanas adicionales dispensado para las familias biparentales, no puede ignorarse que la concesión de este permiso supone que el progenitor distinto de la madre necesariamente se halle afiliado a la Seguridad Social y cubra un periodo mínimo de cotización, de ahí que la inexistencia de un progenitor que cumpla estos requisitos legales no puede ser suplida como una ficción por la propia madre integrante de la familia monoparental pues, además, la prestación de esas doce semanas implica que, al abonarse en función de la base reguladora diaria del beneficiario, lo lógico es que sea distinta, superior o inferior a la de la madre.</w:t>
      </w:r>
    </w:p>
    <w:p w14:paraId="1EA73BF4" w14:textId="77777777" w:rsidR="003754FE" w:rsidRDefault="003754FE" w:rsidP="003754FE">
      <w:pPr>
        <w:pStyle w:val="TextoNormal"/>
      </w:pPr>
    </w:p>
    <w:p w14:paraId="27EE921A" w14:textId="77777777" w:rsidR="003754FE" w:rsidRDefault="003754FE" w:rsidP="003754FE">
      <w:pPr>
        <w:pStyle w:val="TextoNormal"/>
      </w:pPr>
      <w:r>
        <w:t>(iii) En cuanto al argumento de la protección del menor, no existe una supuesta vulneración de un teórico derecho del menor de las familias monoparentales a ser cuidado en condiciones de igualdad con respecto a las biparentales. Antes al contrario, en el caso de las familias biparentales la prestación que corresponde al progenitor respecto de las doce semanas adicionales precisa como condición inexcusable su encuadramiento en la Seguridad Social y cubrir un periodo mínimo de carencia y, en caso contrario, no se le concede, de modo que el interés del menor no puede ser el factor decisivo en esta cuestión, sin que pueda alegarse un trato desigual de ambos tipos de familias, desigualdad que sí se daría respecto de la solicitante monoparental en el supuesto de las biparentales en que uno de los progenitores no pudiera beneficiarse de las doce semanas invocadas en la demanda.</w:t>
      </w:r>
    </w:p>
    <w:p w14:paraId="567C68DF" w14:textId="77777777" w:rsidR="003754FE" w:rsidRDefault="003754FE" w:rsidP="003754FE">
      <w:pPr>
        <w:pStyle w:val="TextoNormal"/>
      </w:pPr>
    </w:p>
    <w:p w14:paraId="6C811292" w14:textId="77777777" w:rsidR="003754FE" w:rsidRDefault="003754FE" w:rsidP="003754FE">
      <w:pPr>
        <w:pStyle w:val="TextoNormal"/>
      </w:pPr>
      <w:r>
        <w:t xml:space="preserve">(iv) El legislador podría haber regulado esta materia de un modo distinto a como lo hizo, por lo que el reconocimiento en condiciones de igualdad para la “monoparentalidad” del derecho a la prestación dispensada al otro progenitor en las familias biparentales constituye una mera argumentación </w:t>
      </w:r>
      <w:r w:rsidRPr="003754FE">
        <w:rPr>
          <w:i/>
        </w:rPr>
        <w:t>de lege ferenda</w:t>
      </w:r>
      <w:r>
        <w:t>, que cabalmente no puede ser empleada como sustento de una decisión jurisdiccional.</w:t>
      </w:r>
    </w:p>
    <w:p w14:paraId="0CA6A869" w14:textId="77777777" w:rsidR="003754FE" w:rsidRDefault="003754FE" w:rsidP="003754FE">
      <w:pPr>
        <w:pStyle w:val="TextoNormal"/>
      </w:pPr>
    </w:p>
    <w:p w14:paraId="15381CAA" w14:textId="77777777" w:rsidR="003754FE" w:rsidRDefault="003754FE" w:rsidP="003754FE">
      <w:pPr>
        <w:pStyle w:val="TextoNormal"/>
      </w:pPr>
      <w:r>
        <w:t>c) Frente a la sentencia del juzgado de lo social, la ahora demandante de amparo interpuso el 25 de mayo de 2022 recurso de suplicación ante la Sala de lo Social del Tribunal Superior de Justicia del País Vasco, en el que alegó como infringidos, entre otras disposiciones, los arts. 10.2, 14 y 39.2 CE. Arguye en la demanda, en esencia, que si a las familias monoparentales no se les reconoce el derecho a doce semanas adicionales en la persona del único progenitor de la unidad monoparental, se perpetuará la discriminación del menor nacido en el seno de dicha familia, que padecerá una vulneración de los derechos fundamentales reconocidos en los convenios internacionales ratificados por España (en particular, la Convención sobre los derechos del niño de 20 de noviembre de 1989), al disponer el menor de menos tiempo de cuidados y con menor implicación personal por parte de su progenitor.</w:t>
      </w:r>
    </w:p>
    <w:p w14:paraId="1D1CBBCE" w14:textId="77777777" w:rsidR="003754FE" w:rsidRDefault="003754FE" w:rsidP="003754FE">
      <w:pPr>
        <w:pStyle w:val="TextoNormal"/>
      </w:pPr>
    </w:p>
    <w:p w14:paraId="0CC2D75C" w14:textId="77777777" w:rsidR="003754FE" w:rsidRDefault="003754FE" w:rsidP="003754FE">
      <w:pPr>
        <w:pStyle w:val="TextoNormal"/>
      </w:pPr>
      <w:r>
        <w:t>A su juicio, otorgar un permiso inferior al que le correspondería al otro progenitor de una familia biparental supone:</w:t>
      </w:r>
    </w:p>
    <w:p w14:paraId="2BB50428" w14:textId="77777777" w:rsidR="003754FE" w:rsidRDefault="003754FE" w:rsidP="003754FE">
      <w:pPr>
        <w:pStyle w:val="TextoNormal"/>
      </w:pPr>
    </w:p>
    <w:p w14:paraId="16B64DBC" w14:textId="77777777" w:rsidR="003754FE" w:rsidRDefault="003754FE" w:rsidP="003754FE">
      <w:pPr>
        <w:pStyle w:val="TextoNormal"/>
      </w:pPr>
      <w:r>
        <w:t xml:space="preserve">(i) Una discriminación a los hijos de familias monoparentales. El permiso se concede al “otro progenitor” durante dieciséis semanas para el cuidado del menor y cumplimiento de los deberes previstos en el art. 68 del Código civil. Por lo tanto, no conceder las dieciséis </w:t>
      </w:r>
      <w:r>
        <w:lastRenderedPageBreak/>
        <w:t>semanas de este permiso del otro progenitor supone dejar al menor con dieciséis semanas menos de cuidado.</w:t>
      </w:r>
    </w:p>
    <w:p w14:paraId="6ACDE1F1" w14:textId="77777777" w:rsidR="003754FE" w:rsidRDefault="003754FE" w:rsidP="003754FE">
      <w:pPr>
        <w:pStyle w:val="TextoNormal"/>
      </w:pPr>
    </w:p>
    <w:p w14:paraId="33DC8629" w14:textId="77777777" w:rsidR="003754FE" w:rsidRDefault="003754FE" w:rsidP="003754FE">
      <w:pPr>
        <w:pStyle w:val="TextoNormal"/>
      </w:pPr>
      <w:r>
        <w:t>(ii) Una discriminación a los hijos de las familias monoparentales, que solo tienen derecho a ser cuidados dieciséis semanas, cuando las familias biparentales tienen derecho a ser cuidados treinta y dos semanas (dieciséis+dieciséis).</w:t>
      </w:r>
    </w:p>
    <w:p w14:paraId="446073C3" w14:textId="77777777" w:rsidR="003754FE" w:rsidRDefault="003754FE" w:rsidP="003754FE">
      <w:pPr>
        <w:pStyle w:val="TextoNormal"/>
      </w:pPr>
    </w:p>
    <w:p w14:paraId="68C58501" w14:textId="77777777" w:rsidR="003754FE" w:rsidRDefault="003754FE" w:rsidP="003754FE">
      <w:pPr>
        <w:pStyle w:val="TextoNormal"/>
      </w:pPr>
      <w:r>
        <w:t>(iii) Una discriminación del menor y su único progenitor por el hecho de su estado civil (soltería) y composición familiar (monoparental).</w:t>
      </w:r>
    </w:p>
    <w:p w14:paraId="2F617A90" w14:textId="77777777" w:rsidR="003754FE" w:rsidRDefault="003754FE" w:rsidP="003754FE">
      <w:pPr>
        <w:pStyle w:val="TextoNormal"/>
      </w:pPr>
    </w:p>
    <w:p w14:paraId="712C43B2" w14:textId="77777777" w:rsidR="003754FE" w:rsidRDefault="003754FE" w:rsidP="003754FE">
      <w:pPr>
        <w:pStyle w:val="TextoNormal"/>
      </w:pPr>
      <w:r>
        <w:t>(iv) Una discriminación entre la igualdad de hombres y mujeres, una brecha salarial y mayor precariedad de las familias monoparentales, mayoritariamente constituidas por mujeres. A las familias biparentales se les reconocen dos prestaciones por cuidado de menor exentas de tributación durante treinta y dos semanas y en el caso de la familia monoparental, como es el caso, solo una prestación de dieciséis semanas, debiendo reincorporarse a su trabajo antes y además tributar por el salario que percibe.</w:t>
      </w:r>
    </w:p>
    <w:p w14:paraId="6068C3A3" w14:textId="77777777" w:rsidR="003754FE" w:rsidRDefault="003754FE" w:rsidP="003754FE">
      <w:pPr>
        <w:pStyle w:val="TextoNormal"/>
      </w:pPr>
    </w:p>
    <w:p w14:paraId="0B1345F4" w14:textId="77777777" w:rsidR="003754FE" w:rsidRDefault="003754FE" w:rsidP="003754FE">
      <w:pPr>
        <w:pStyle w:val="TextoNormal"/>
      </w:pPr>
      <w:r>
        <w:t>Al recurso de suplicación se opuso la representación procesal del INSS.</w:t>
      </w:r>
    </w:p>
    <w:p w14:paraId="359C74FD" w14:textId="77777777" w:rsidR="003754FE" w:rsidRDefault="003754FE" w:rsidP="003754FE">
      <w:pPr>
        <w:pStyle w:val="TextoNormal"/>
      </w:pPr>
    </w:p>
    <w:p w14:paraId="3BE7DC4E" w14:textId="77777777" w:rsidR="003754FE" w:rsidRDefault="003754FE" w:rsidP="003754FE">
      <w:pPr>
        <w:pStyle w:val="TextoNormal"/>
      </w:pPr>
      <w:r>
        <w:t>d) La Sala de lo Social del Tribunal Superior de Justicia del País Vasco, en la sentencia núm. 2272/2022, de 7 de noviembre, estimó parcialmente el recurso de suplicación, revocó la sentencia impugnada y declaró el derecho de la recurrente a disfrutar doce semanas adicionales a las dieciséis ya reconocidas, sobre una base reguladora de 98,63 € brutos.</w:t>
      </w:r>
    </w:p>
    <w:p w14:paraId="7144F5C7" w14:textId="77777777" w:rsidR="003754FE" w:rsidRDefault="003754FE" w:rsidP="003754FE">
      <w:pPr>
        <w:pStyle w:val="TextoNormal"/>
      </w:pPr>
    </w:p>
    <w:p w14:paraId="749DE663" w14:textId="77777777" w:rsidR="003754FE" w:rsidRDefault="003754FE" w:rsidP="003754FE">
      <w:pPr>
        <w:pStyle w:val="TextoNormal"/>
      </w:pPr>
      <w:r>
        <w:t>Con remisión a sus propios precedentes, la Sala fundamenta su decisión estimatoria en lo siguiente:</w:t>
      </w:r>
    </w:p>
    <w:p w14:paraId="4ED9041D" w14:textId="77777777" w:rsidR="003754FE" w:rsidRDefault="003754FE" w:rsidP="003754FE">
      <w:pPr>
        <w:pStyle w:val="TextoNormal"/>
      </w:pPr>
    </w:p>
    <w:p w14:paraId="18FEF9B7" w14:textId="77777777" w:rsidR="003754FE" w:rsidRDefault="003754FE" w:rsidP="003754FE">
      <w:pPr>
        <w:pStyle w:val="TextoNormal"/>
      </w:pPr>
      <w:r>
        <w:t>(i) La Convención sobre los derechos del niño señala que los Estados parte respetarán los derechos enunciados en la Convención, sin distinción alguna por la condición del niño, de sus padres o de sus representantes legales, debiéndose adoptar todas las medidas para que el niño se vea protegido contra toda forma de discriminación o castigo por causa de la condición, las actividades, las opiniones expresadas o las creencias de sus padres, tutores o familiares. En segundo término, señala que todas las medidas que se adopten por las instituciones públicas o los tribunales considerarán primordialmente el interés superior del niño, precisando el art. 18 el máximo empeño en garantizar las obligaciones comunes de los padres respecto a su crianza y desarrollo, adoptándose todas las medidas para que aquellos cuyos padres trabajan tengan derecho a beneficiarse de los servicios e instalaciones de guarda de niños para los que se reúnan las condiciones requeridas; y, por último, el art. 26 recuerda que las prestaciones de seguridad social deberán reconocerse teniendo en cuenta la situación del menor y de las personas responsables de su mantenimiento.</w:t>
      </w:r>
    </w:p>
    <w:p w14:paraId="11EF71FB" w14:textId="77777777" w:rsidR="003754FE" w:rsidRDefault="003754FE" w:rsidP="003754FE">
      <w:pPr>
        <w:pStyle w:val="TextoNormal"/>
      </w:pPr>
    </w:p>
    <w:p w14:paraId="465510A8" w14:textId="77777777" w:rsidR="003754FE" w:rsidRDefault="003754FE" w:rsidP="003754FE">
      <w:pPr>
        <w:pStyle w:val="TextoNormal"/>
      </w:pPr>
      <w:r>
        <w:t>(ii) La Sala Cuarta del Tribunal Supremo ha destacado que las normas en materia de protección de la maternidad han de ser interpretadas a la luz del principio general del interés superior del menor, que se integra en el núcleo familiar con el progenitor o progenitores que le prestan atención y cuidados parentales, conforme a lo establecido en el art. 8 del Convenio europeo de derechos humanos (en adelante, CEDH) y al mandato del art. 39 CE, relativo a la protección a la familia y a la infancia, siendo este designio el que debe prevalecer y servir de orientación para la solución de cualquier duda exegética.</w:t>
      </w:r>
    </w:p>
    <w:p w14:paraId="138A2E88" w14:textId="77777777" w:rsidR="003754FE" w:rsidRDefault="003754FE" w:rsidP="003754FE">
      <w:pPr>
        <w:pStyle w:val="TextoNormal"/>
      </w:pPr>
    </w:p>
    <w:p w14:paraId="176E1D79" w14:textId="77777777" w:rsidR="003754FE" w:rsidRDefault="003754FE" w:rsidP="003754FE">
      <w:pPr>
        <w:pStyle w:val="TextoNormal"/>
      </w:pPr>
      <w:r>
        <w:t>(iii) La prestación por nacimiento y cuidado de menor por nacimiento (art. 177 del texto refundido de la Ley general de la Seguridad Social, aprobado por el Real Decreto Legislativo 8/2015, de 30 de octubre (en adelante, LGSS), y la reforma introducida en el art. 48 LET responde a tres orientaciones: la protección del menor y en general de la infancia; la introducción de una medida de igualdad de la mujer; y un elemento de conciliación de la vida familiar. La estimación del recurso se basa en la primera consideración. Si se denegara la prestación a la beneficiaria, en los términos que lo pide, existiría una conculcación del derecho de igualdad que consagra la Convención sobre los derechos del niño de 1989, por cuanto la atención, cuidado y desarrollo del menor afectado sufriría una clara merma respecto a la que reciben aquellos otros en una familiar biparental.</w:t>
      </w:r>
    </w:p>
    <w:p w14:paraId="5F61BC40" w14:textId="77777777" w:rsidR="003754FE" w:rsidRDefault="003754FE" w:rsidP="003754FE">
      <w:pPr>
        <w:pStyle w:val="TextoNormal"/>
      </w:pPr>
    </w:p>
    <w:p w14:paraId="318B149D" w14:textId="77777777" w:rsidR="003754FE" w:rsidRDefault="003754FE" w:rsidP="003754FE">
      <w:pPr>
        <w:pStyle w:val="TextoNormal"/>
      </w:pPr>
      <w:r>
        <w:t>(iv) La norma introduce un elemento importante de discriminación respecto a la mujer y a los fundamentos de la conciliación de la vida familiar. El mayor bloque de integrantes en el rango de progenitores de las familias monoparentales es el de la mujer. El tiempo de dedicación al menor por parte de ella es superior, porque no lo comparte; el tiempo de dedicación a la formación y promoción profesional también se merma; y la promoción en el empleo y al desarrollo personal se reduce. Por todo ello los hogares monoparentales e indirectamente la mujer quedan discriminados. También el estado civil de la persona se introduce como un elemento fundamentalmente determinante de una situación de facto, como son solteros, viudas, o en ruptura matrimonial frente a los que presentan una situación de matrimonio o unión.</w:t>
      </w:r>
    </w:p>
    <w:p w14:paraId="598E45BB" w14:textId="77777777" w:rsidR="003754FE" w:rsidRDefault="003754FE" w:rsidP="003754FE">
      <w:pPr>
        <w:pStyle w:val="TextoNormal"/>
      </w:pPr>
    </w:p>
    <w:p w14:paraId="100EBF28" w14:textId="77777777" w:rsidR="003754FE" w:rsidRDefault="003754FE" w:rsidP="003754FE">
      <w:pPr>
        <w:pStyle w:val="TextoNormal"/>
      </w:pPr>
      <w:r>
        <w:t>(v) Los derechos de conciliación y vida familiar reciben un trato dispar entre personas que, partiendo del mismo supuesto, quedan protegidas en mayor forma que al integrarse en dinámicas de familia monoparental. La conciliación supone la integración de la maternidad y el trabajo, que no puede ser dispar según una situación que, partiendo del mismo hecho, la infancia y los progenitores, oferten situaciones distintas para quienes se encuentran en igual coyuntura.</w:t>
      </w:r>
    </w:p>
    <w:p w14:paraId="3A0DFA8B" w14:textId="77777777" w:rsidR="003754FE" w:rsidRDefault="003754FE" w:rsidP="003754FE">
      <w:pPr>
        <w:pStyle w:val="TextoNormal"/>
      </w:pPr>
    </w:p>
    <w:p w14:paraId="09395C32" w14:textId="77777777" w:rsidR="003754FE" w:rsidRDefault="003754FE" w:rsidP="003754FE">
      <w:pPr>
        <w:pStyle w:val="TextoNormal"/>
      </w:pPr>
      <w:r>
        <w:t>(vi) Tanto los principios y derechos de conciliación de la vida personal, familiar y laboral como las evidencias de aplicación de principios de no discriminación por razón de progenitor o de no discriminación por razón de sexo, determinan la exigencia de declarar ocho semanas adicionales por prestación de nacimiento y cuidado del menor en familia monoparental, fijando un derecho idéntico que resulta de la suma de los permisos que corresponden a las familiar biparentales, pues entender lo contrario supondría infringir la normativa internacional que prohíbe la discriminación de la infancia por razón de la condición del progenitor.</w:t>
      </w:r>
    </w:p>
    <w:p w14:paraId="2C4907A8" w14:textId="77777777" w:rsidR="003754FE" w:rsidRDefault="003754FE" w:rsidP="003754FE">
      <w:pPr>
        <w:pStyle w:val="TextoNormal"/>
      </w:pPr>
    </w:p>
    <w:p w14:paraId="61FFFA44" w14:textId="77777777" w:rsidR="003754FE" w:rsidRDefault="003754FE" w:rsidP="003754FE">
      <w:pPr>
        <w:pStyle w:val="TextoNormal"/>
      </w:pPr>
      <w:r>
        <w:t>e) La letrada de la administración de la Segundad Social, actuando en nombre y representación del INSS y la TGSS, interpuso ante la Sala de lo Social del Tribunal Supremo recurso de casación para la unificación de doctrina frente a la sentencia dictada en suplicación, por inaplicación de los arts. 178 a 180 LGSS y el art. 48.4 LET, en la redacción dada a ambas normas por el Real Decreto-ley 6/2019, de 1 de marzo. La ahora demandante de amparo impugnó este recurso.</w:t>
      </w:r>
    </w:p>
    <w:p w14:paraId="5294E624" w14:textId="77777777" w:rsidR="003754FE" w:rsidRDefault="003754FE" w:rsidP="003754FE">
      <w:pPr>
        <w:pStyle w:val="TextoNormal"/>
      </w:pPr>
    </w:p>
    <w:p w14:paraId="0F2E83FE" w14:textId="77777777" w:rsidR="003754FE" w:rsidRDefault="003754FE" w:rsidP="003754FE">
      <w:pPr>
        <w:pStyle w:val="TextoNormal"/>
      </w:pPr>
      <w:r>
        <w:t xml:space="preserve">La Sala de lo Social del Tribunal Supremo en la sentencia núm. 1296/2023, de 21 de diciembre, acordó estimar el recurso interpuesto, así como casar y anular la sentencia </w:t>
      </w:r>
      <w:r>
        <w:lastRenderedPageBreak/>
        <w:t>recurrida, confirmando la sentencia dictada por el Juzgado de lo Social núm. 1 de Bilbao. La sentencia toma como punto de partida los precedentes de la Sala en esta materia a partir de la sentencia núm. 169/2023, de 2 de marzo. Considera la Sala, en esencia, que:</w:t>
      </w:r>
    </w:p>
    <w:p w14:paraId="0332FBA9" w14:textId="77777777" w:rsidR="003754FE" w:rsidRDefault="003754FE" w:rsidP="003754FE">
      <w:pPr>
        <w:pStyle w:val="TextoNormal"/>
      </w:pPr>
    </w:p>
    <w:p w14:paraId="52D50BA6" w14:textId="77777777" w:rsidR="003754FE" w:rsidRDefault="003754FE" w:rsidP="003754FE">
      <w:pPr>
        <w:pStyle w:val="TextoNormal"/>
      </w:pPr>
      <w:r>
        <w:t>(i) La prestación por “nacimiento y cuidado del menor” (art. 177 LGSS) es de naturaleza contributiva, de la que son beneficiarias las personas incluidas en el Régimen General de la Seguridad Social, cualquiera que sea su sexo, que disfruten de los descansos previstos en el artículo 48 LET, siempre que además del alta o situación legalmente asimilada, reúnan el período de carencia que se determina en el propio precepto; además, la cuantía de la prestación depende de las bases de cotización del interesado (art. 179 LGSS) y su subsistencia durante el período de disfrute se condiciona a la no realización de otro trabajo por cuenta propia o ajena (art. 180 LGSS). De ello se deduce, por un lado, que es frecuente que en las familias biparentales solo uno de los progenitores pueda disfrutar de la prestación; y, por otro, que en algunas ocasiones el disfrute de la suspensión contractual del artículo 48.4 LET no lleve aparejado necesariamente el acceso a esta prestación.</w:t>
      </w:r>
    </w:p>
    <w:p w14:paraId="1C178BF7" w14:textId="77777777" w:rsidR="003754FE" w:rsidRDefault="003754FE" w:rsidP="003754FE">
      <w:pPr>
        <w:pStyle w:val="TextoNormal"/>
      </w:pPr>
    </w:p>
    <w:p w14:paraId="11DCEAD4" w14:textId="77777777" w:rsidR="003754FE" w:rsidRDefault="003754FE" w:rsidP="003754FE">
      <w:pPr>
        <w:pStyle w:val="TextoNormal"/>
      </w:pPr>
      <w:r>
        <w:t>(ii) El art. 48.4 LET equipara la duración de la suspensión contractual entre ambos progenitores, así como la obligatoriedad de disfrute conjunto de las seis semanas posteriores al parto y la prohibición de transferencia del derecho entre progenitores, que se justificó por responder a la existencia de una clara voluntad y demanda social que los poderes públicos no pueden desatender al ser una exigencia derivada de los arts. 9.2 y 14 CE, 2 y 3.2 del Tratado de la Unión Europea y 21 y 23 de la Carta de los derechos fundamentales de la Unión Europea (en adelante, CDFUE). De esta forma se da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Por ello, desestimar el recurso y confirmar la sentencia recurrida supondría crear una prestación contributiva nueva en favor de los progenitores de familias monoparentales que, además, quedaría estrictamente limitada a la duplicación de la duración de la misma, sin modificar los condicionantes específicos en materia de período de cotización previa o del régimen jurídico de su propia concesión o subsistencia, alterando la configuración diseñada por el legislador. La Sala entiende que necesariamente su decisión modificaría el régimen jurídico de la suspensión contractual por causa de nacimiento y cuidado de hijo establecido el art. 48.4 LET, lo cual afectaría al otro sujeto de la relación contractual, que se vería obligado a soportar una duración mayor de la suspensión contractual prevista expresamente en la ley, con afectación en sus previsiones de sustitución o de reorganización de la empresa y que no le eximiría del cumplimiento de las obligaciones de cotización en materia de seguridad social.</w:t>
      </w:r>
    </w:p>
    <w:p w14:paraId="491F0784" w14:textId="77777777" w:rsidR="003754FE" w:rsidRDefault="003754FE" w:rsidP="003754FE">
      <w:pPr>
        <w:pStyle w:val="TextoNormal"/>
      </w:pPr>
    </w:p>
    <w:p w14:paraId="05294CFA" w14:textId="77777777" w:rsidR="003754FE" w:rsidRDefault="003754FE" w:rsidP="003754FE">
      <w:pPr>
        <w:pStyle w:val="TextoNormal"/>
      </w:pPr>
      <w:r>
        <w:t xml:space="preserve">(iii) Una intervención de tal calibre dista mucho de lo que la organización constitucional del Estado encomienda a los jueces y tribunales. Su función es la aplicación e interpretación de la norma, pero no la creación del Derecho. La intervención en el ordenamiento jurídico solo le corresponde al legislador, sin que la misma pueda ser suplida a través de resoluciones judiciales que vayan más allá de sus propias funciones jurisdiccionales, entre las que no se encuentran, desde luego, la modificación del régimen prestacional de la Seguridad Social, ni la modificación de la organización de la suspensión del contrato de trabajo por causas previstas en la ley, a través de la aplicación de criterios interpretativos concretos previstos legalmente que no se circunscriben a la aplicación de la norma en supuestos fácticos que, </w:t>
      </w:r>
      <w:r>
        <w:lastRenderedPageBreak/>
        <w:t>razonablemente, no parecen claramente delimitados en el ámbito de afectación de la norma interpretada.</w:t>
      </w:r>
    </w:p>
    <w:p w14:paraId="2C472C98" w14:textId="77777777" w:rsidR="003754FE" w:rsidRDefault="003754FE" w:rsidP="003754FE">
      <w:pPr>
        <w:pStyle w:val="TextoNormal"/>
      </w:pPr>
    </w:p>
    <w:p w14:paraId="48D102EB" w14:textId="77777777" w:rsidR="003754FE" w:rsidRDefault="003754FE" w:rsidP="003754FE">
      <w:pPr>
        <w:pStyle w:val="TextoNormal"/>
      </w:pPr>
      <w:r>
        <w:t>(iv) La normativa en cuestión no resulta contraria a la letra o al espíritu de la Constitución Española, ni se sitúa al margen de la normativa internacional, especialmente del derecho de la Unión Europea, ni resulta contraria a los acuerdos, pactos o convenios internacionales suscritos por España. Antes al contrario, es expresión de una voluntad normativa tendente al cumplimiento estricto y completo de los preceptos y principios constitucionales, adelantándose, incluso, a las previsiones contenidas en el Directiva de la UE 2019/1158 y es perfectamente compatible con las exigencias que derivan del resto de la normativa internacional. Aunque es cierto que dichas normas y los principios que contienen aconsejan dedicar especial atención a colectivos que, objetivamente, puedan ser socialmente vulnerables, tales requerimientos están dirigidos al legislador, que es quien tiene la capacidad y la responsabilidad de organizar el sistema de protección social con el alcance y la concreción de medidas que elija en atención a la delimitación de las necesidades que en cada momento considere más acuciantes y relevantes.</w:t>
      </w:r>
    </w:p>
    <w:p w14:paraId="16D965F7" w14:textId="77777777" w:rsidR="003754FE" w:rsidRDefault="003754FE" w:rsidP="003754FE">
      <w:pPr>
        <w:pStyle w:val="TextoNormal"/>
      </w:pPr>
    </w:p>
    <w:p w14:paraId="496DAB73" w14:textId="77777777" w:rsidR="003754FE" w:rsidRDefault="003754FE" w:rsidP="003754FE">
      <w:pPr>
        <w:pStyle w:val="TextoNormal"/>
      </w:pPr>
      <w:r>
        <w:t>(v) Respecto al interés por la protección del menor, está presente en toda la regulación de la prestación por nacimiento de hijo y cuidado del menor y no es el único al que debe atenderse. El legislador también ha prestado especial atención al principio de igualdad entre hombres y mujeres al confeccionar una normativa que tiene como finalidad lograr la corresponsabilidad entre ambos progenitores en el cuidado del menor. Las fórmulas establecidas tratan de cohonestar todos los intereses confluyentes en la regulación de esta materia y, en este ejercicio de ponderación, se ha tratado de evitar que el disfrute de los derechos de conciliación y la protección dispensada en estos casos perpetúe roles de género que no se corresponden con la situación social actual, ni con el principio de igualdad que sustenta todo el ordenamiento jurídico.</w:t>
      </w:r>
    </w:p>
    <w:p w14:paraId="22BABE58" w14:textId="77777777" w:rsidR="003754FE" w:rsidRDefault="003754FE" w:rsidP="003754FE">
      <w:pPr>
        <w:pStyle w:val="TextoNormal"/>
      </w:pPr>
    </w:p>
    <w:p w14:paraId="4E91ECB5" w14:textId="77777777" w:rsidR="003754FE" w:rsidRDefault="003754FE" w:rsidP="003754FE">
      <w:pPr>
        <w:pStyle w:val="TextoNormal"/>
      </w:pPr>
      <w:r>
        <w:t>(vi) No existe una supuesta vulneración de un teórico derecho del menor de las familias monoparentales a ser cuidado en condiciones de igualdad con respecto a las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se desconoce y se considera de especial relevancia por la Sala, no puede ser el único factor decisivo y determinante en la cuestión a resolver.</w:t>
      </w:r>
    </w:p>
    <w:p w14:paraId="67B81687" w14:textId="77777777" w:rsidR="003754FE" w:rsidRDefault="003754FE" w:rsidP="003754FE">
      <w:pPr>
        <w:pStyle w:val="TextoNormal"/>
      </w:pPr>
    </w:p>
    <w:p w14:paraId="28E388CF" w14:textId="4C5C7E4A" w:rsidR="003754FE" w:rsidRDefault="003754FE" w:rsidP="003754FE">
      <w:pPr>
        <w:pStyle w:val="TextoNormal"/>
      </w:pPr>
      <w:r>
        <w:t>(vii) Los datos estadísticos proporcionados por el Instituto Nacional de Estadística revelan que las familias monoparentales como la del caso, son únicamente el 15,8 por 100 de las que tal instituto califica como tales. Por ello, tampoco la interpretación de la norma con perspectiva de género resulta determinante para la resolución del caso, ya que lo que se pide va más allá de lo que significa “interpretar y aplicar el derecho” y se sitúa en el ámbito de su creación. La perspectiva de género no es aplicable cuando el legislador, como es el caso, es consciente de la situación que regula y de las consecuencias de la misma y establece una normativa que tiende corresponsabilizar al varón en la educación y crianza de los hijos.</w:t>
      </w:r>
    </w:p>
    <w:p w14:paraId="42BA8AE0" w14:textId="77777777" w:rsidR="003754FE" w:rsidRDefault="003754FE" w:rsidP="003754FE">
      <w:pPr>
        <w:pStyle w:val="TextoNormal"/>
      </w:pPr>
    </w:p>
    <w:p w14:paraId="70349B6A" w14:textId="77777777" w:rsidR="003754FE" w:rsidRDefault="003754FE" w:rsidP="003754FE">
      <w:pPr>
        <w:pStyle w:val="TextoNormal"/>
      </w:pPr>
      <w:r w:rsidRPr="003754FE">
        <w:rPr>
          <w:rStyle w:val="NumeroAFNegritaCaracter"/>
        </w:rPr>
        <w:t>3</w:t>
      </w:r>
      <w:r>
        <w:t xml:space="preserve">. El 16 de febrero de 2024 la representación procesal de la demandante interpuso recurso de amparo contra la sentencia núm. 1296/2023, de 21 de diciembre, dictada por la Sala de lo Social del Tribunal Supremo (recurso de casación para la unificación de doctrina </w:t>
      </w:r>
      <w:r>
        <w:lastRenderedPageBreak/>
        <w:t>núm. 5608-2022), la sentencia núm. 176/2022, de 3 de mayo, dictada por el Juzgado de lo Social núm. 1 de Bilbao (autos núm. 77-2021) y la resolución dictada por la Dirección Provincial de Vizcaya del INSS en fecha 23 de diciembre de 2020, que desestimó la reclamación previa planteada frente a la resolución del mismo organismo fechada el 8 de mayo de 2020. La demandante alega, en esencia, que las resoluciones administrativas y judiciales impugnadas que, como madre biológica de un hijo que ha constituido una familia monoparental, le deniegan la ampliación del derecho de permiso por nacimiento y cuidado de hijos, han conculcado su derecho fundamental a la igualdad, proclamado en el art.14 CE, en relación con el art. 39 CE, y a no ser discriminada por causas personales y familiares y por razón de sexo, establecido en el art. 14 CE, con proyección directa en el menor que resulta discriminado por nacer en el seno de una familia monoparental. Este planteamiento inicial es desarrollado con apoyo en sentencias de este tribunal en los siguientes términos:</w:t>
      </w:r>
    </w:p>
    <w:p w14:paraId="4FA4AAD5" w14:textId="77777777" w:rsidR="003754FE" w:rsidRDefault="003754FE" w:rsidP="003754FE">
      <w:pPr>
        <w:pStyle w:val="TextoNormal"/>
      </w:pPr>
    </w:p>
    <w:p w14:paraId="2ADFC578" w14:textId="77777777" w:rsidR="003754FE" w:rsidRDefault="003754FE" w:rsidP="003754FE">
      <w:pPr>
        <w:pStyle w:val="TextoNormal"/>
      </w:pPr>
      <w:r>
        <w:t>(i) Las resoluciones impugnadas provocan una diferencia de trato entre la demandante de amparo y las progenitoras de familias biparentales, en relación con el derecho al permiso por nacimiento y cuidado de hijos, alcanzando los efectos perjudiciales de esa discriminación al cuidado y protección del menor que resulta contraria a las exigencias del derecho a la igualdad proclamado en el primer inciso del art. 14 CE, en relación con el art. 39 CE. La denegación de la ampliación del permiso por la inexistencia de otro progenitor, apoyada en una interpretación formalista y restrictiva del art. 48.4.2 LET, está falta de justificación objetiva y razonable desde la perspectiva del art. 14 CE, y produce un resultado desproporcionado al provocar perjuicios incuestionables en el ámbito familiar consistentes en la drástica reducción hasta casi su mitad de los cuidados de los menores nacidos en familia monoparental.</w:t>
      </w:r>
    </w:p>
    <w:p w14:paraId="5EE9C656" w14:textId="77777777" w:rsidR="003754FE" w:rsidRDefault="003754FE" w:rsidP="003754FE">
      <w:pPr>
        <w:pStyle w:val="TextoNormal"/>
      </w:pPr>
    </w:p>
    <w:p w14:paraId="6A5E9B0A" w14:textId="77777777" w:rsidR="003754FE" w:rsidRDefault="003754FE" w:rsidP="003754FE">
      <w:pPr>
        <w:pStyle w:val="TextoNormal"/>
      </w:pPr>
      <w:r>
        <w:t>La Convención de las Naciones Unidas sobre los derechos del niño convierte el interés superior del menor en la consideración primordial a que han de atender cualesquiera medidas que les afecten adoptadas por las instituciones públicas o privadas de bienestar social, los tribunales, las autoridades administrativas o los órganos legislativos (art. 3.1), aludiendo en diversos preceptos al derecho del niño a los cuidados de sus padres necesarios para su bienestar (arts. 3.2 y 7.1). En esta misma línea, la demandante invoca el art. 24.2 CDFUE, la Ley Orgánica 1/1996, de 15 de enero, de protección jurídica del menor, y la jurisprudencia constitucional (por todas, la STC 40/2023, de 8 de mayo). De todo lo anterior, deduce que las decisiones administrativas y las resoluciones judiciales impugnadas han vulnerado su derecho fundamental a la igualdad (art. 14, primer inciso, CE) al provocar una desigualdad entre progenitoras de familias biparentales y monoparentales y, en consecuencia, entre los hijos que las integran, contraria a los principios y valores constitucionales contenidos en el art. 39 CE, al no reconocer el permiso por nacimiento y cuidado de su hijo en las semanas correspondientes al otro progenitor.</w:t>
      </w:r>
    </w:p>
    <w:p w14:paraId="1818B862" w14:textId="77777777" w:rsidR="003754FE" w:rsidRDefault="003754FE" w:rsidP="003754FE">
      <w:pPr>
        <w:pStyle w:val="TextoNormal"/>
      </w:pPr>
    </w:p>
    <w:p w14:paraId="1E9F003D" w14:textId="77777777" w:rsidR="003754FE" w:rsidRDefault="003754FE" w:rsidP="003754FE">
      <w:pPr>
        <w:pStyle w:val="TextoNormal"/>
      </w:pPr>
      <w:r>
        <w:t xml:space="preserve">(ii) Afirma la demandante que ha sufrido una discriminación directa por circunstancias personales y familiares (inciso segundo del art. 14 CE, en relación con el art. 39 CE), que resulta de su decisión de formar una familia monoparental, es decir, por su condición familiar tomada en ejercicio del libre desarrollo de la personalidad (art. 10.1 CE). Esta decisión se vincula a las convicciones y creencias más íntimas de la persona (art. 16 CE) y resulta amparada por el derecho a la vida familiar que reconoce el art. 8 CEDH y el art. 8 CDFUE. Esta discriminación también alcanza a su hijo, resultando así una situación radicalmente contraria a la dignidad de la persona, a su libre autodeterminación y a los derechos </w:t>
      </w:r>
      <w:r>
        <w:lastRenderedPageBreak/>
        <w:t>inviolables que le son inherentes (art. 10.1 CE) y que supone un gran perjuicio para el menor monoparental, que dispone de menos tiempo de cuidados de su familiar más directo e incrementa exponencialmente el riesgo de estos menores y de sus progenitoras de estar expuestos a pobreza.</w:t>
      </w:r>
    </w:p>
    <w:p w14:paraId="20399E58" w14:textId="77777777" w:rsidR="003754FE" w:rsidRDefault="003754FE" w:rsidP="003754FE">
      <w:pPr>
        <w:pStyle w:val="TextoNormal"/>
      </w:pPr>
    </w:p>
    <w:p w14:paraId="7827680F" w14:textId="77777777" w:rsidR="003754FE" w:rsidRDefault="003754FE" w:rsidP="003754FE">
      <w:pPr>
        <w:pStyle w:val="TextoNormal"/>
      </w:pPr>
      <w:r>
        <w:t>En conclusión, habiéndose denegado a la demandante de amparo por el INSS la ampliación de la duración de la prestación de Seguridad Social por ella solicitada, denegación que los órganos judiciales han confirmado, se ha vulnerado su derecho a la no discriminación por su circunstancia personal y familiar, de ser única progenitora, y de su estado civil, expresamente prohibida por el art. 14 CE, alcanzando los efectos perjudiciales de esa discriminación al menor cuidado de su hijo por el hecho de su nacimiento en familia monoparental, sin que las resoluciones administrativas ni las judiciales hayan tenido en cuenta el interés superior del menor, a cuyo respeto estaban obligadas por el art. 39.4 CE y por la Convención sobre los derechos del niño (art. 10.2 CE).</w:t>
      </w:r>
    </w:p>
    <w:p w14:paraId="3A521CF3" w14:textId="77777777" w:rsidR="003754FE" w:rsidRDefault="003754FE" w:rsidP="003754FE">
      <w:pPr>
        <w:pStyle w:val="TextoNormal"/>
      </w:pPr>
    </w:p>
    <w:p w14:paraId="1ED8AC3A" w14:textId="77777777" w:rsidR="003754FE" w:rsidRDefault="003754FE" w:rsidP="003754FE">
      <w:pPr>
        <w:pStyle w:val="TextoNormal"/>
      </w:pPr>
      <w:r>
        <w:t>(iii) La demandante alega asimismo que ha sufrido discriminación indirecta por razón de sexo (segundo inciso del art. 14 CE en relación con el art. 9.2 CE), dado que la libre decisión de formar una familia “monomarental” o “monoparental”, según está estadísticamente probado, es tomada mayoritariamente por mujeres, con la consecuencia de que el tratamiento peyorativo afecta mayoritariamente a las mujeres, en el ejercicio de su libre autodeterminación de formar familias “monomarentales”. La diferencia de trato causada por la interpretación del INSS y de los órganos judiciales no se justifica por una medida de política social que cumpla los requisitos exigidos por la jurisprudencia constitucional y europea.</w:t>
      </w:r>
    </w:p>
    <w:p w14:paraId="23C5B66B" w14:textId="77777777" w:rsidR="003754FE" w:rsidRDefault="003754FE" w:rsidP="003754FE">
      <w:pPr>
        <w:pStyle w:val="TextoNormal"/>
      </w:pPr>
    </w:p>
    <w:p w14:paraId="718E0441" w14:textId="21AEE7B3" w:rsidR="003754FE" w:rsidRDefault="003754FE" w:rsidP="003754FE">
      <w:pPr>
        <w:pStyle w:val="TextoNormal"/>
      </w:pPr>
      <w:r>
        <w:t>En el suplico la demandante solicita el otorgamiento del amparo y que, en consecuencia, el Tribunal (i) reconozca la vulneración de los derechos fundamentales a la igualdad en la ley y a la no discriminación directa por circunstancia personal y familiar, e indirecta por razón de sexo (art. 14 CE en relación con los arts. 39 y 9.2 CE); (ii) restablezca a la demandante en la integridad de sus derechos, y a tal fin, declare nulas las resoluciones impugnadas, y (iii) retrotraiga las actuaciones al momento previo al dictado de la resolución del INSS, de 8 de mayo de 2020, para que dicte otra que respete los derechos fundamentales de la recurrente. Por otrosí interesa que el Tribunal eleve al Pleno cuestión de inconstitucionalidad del art. 48.4 LET, para el caso de que entendiera que la estimación del presente recurso de amparo precisara de la declaración de inconstitucionalidad, por ser la ley la causante de la lesión de los derechos fundamentales a la igualdad en la ley y a la no discriminación directa por condición personal y familiar, e indirecta por sexo de la demandante de amparo (art. 14 CE).</w:t>
      </w:r>
    </w:p>
    <w:p w14:paraId="470F5C0E" w14:textId="77777777" w:rsidR="003754FE" w:rsidRDefault="003754FE" w:rsidP="003754FE">
      <w:pPr>
        <w:pStyle w:val="TextoNormal"/>
      </w:pPr>
    </w:p>
    <w:p w14:paraId="1B64F01C" w14:textId="77777777" w:rsidR="003754FE" w:rsidRDefault="003754FE" w:rsidP="003754FE">
      <w:pPr>
        <w:pStyle w:val="TextoNormal"/>
      </w:pPr>
      <w:r w:rsidRPr="003754FE">
        <w:rPr>
          <w:rStyle w:val="NumeroAFNegritaCaracter"/>
        </w:rPr>
        <w:t>4</w:t>
      </w:r>
      <w:r>
        <w:t>. La Sección Primera, de la Sala Primera, de este tribunal acordó mediante providencia de 9 de septiembre de 2024, la admisión a trámite del recurso de amparo al apreciar que concurre en el mismo una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w:t>
      </w:r>
    </w:p>
    <w:p w14:paraId="097DD591" w14:textId="77777777" w:rsidR="003754FE" w:rsidRDefault="003754FE" w:rsidP="003754FE">
      <w:pPr>
        <w:pStyle w:val="TextoNormal"/>
      </w:pPr>
    </w:p>
    <w:p w14:paraId="6CF8A21B" w14:textId="6A07025D" w:rsidR="003754FE" w:rsidRDefault="003754FE" w:rsidP="003754FE">
      <w:pPr>
        <w:pStyle w:val="TextoNormal"/>
      </w:pPr>
      <w:r>
        <w:t xml:space="preserve">En aplicación de lo dispuesto en el art. 51 LOTC, la Sección acordó dirigir comunicación a la Sala de lo Social del Tribunal Supremo y a la Sala de lo Social del Tribunal Superior de Justicia del País Vasco a fin de que, en un plazo que no exceda de diez días, remitan </w:t>
      </w:r>
      <w:r>
        <w:lastRenderedPageBreak/>
        <w:t>certificación o fotocopia adverada de las actuaciones correspondientes al recurso de casación para unificación de doctrina núm. 5608-2022 y al recurso de suplicación núm. 1708-2022, respectivamente, así como dirigir comunicación al Juzgado de lo Social núm. 1 de Bilbao a fin de que, en el mismo plazo, remita certificación o fotocopia adverada de las actuaciones correspondientes a los autos núm. 77-2021; debiendo previamente emplazarse a quienes hubieran sido parte en el procedimiento, excepto la parte recurrente en amparo, para que en el plazo de diez días puedan comparecer, si lo desean, en el presente recurso de amparo.</w:t>
      </w:r>
    </w:p>
    <w:p w14:paraId="5DAC7DDD" w14:textId="77777777" w:rsidR="003754FE" w:rsidRDefault="003754FE" w:rsidP="003754FE">
      <w:pPr>
        <w:pStyle w:val="TextoNormal"/>
      </w:pPr>
    </w:p>
    <w:p w14:paraId="7981C9CC" w14:textId="03278C00" w:rsidR="003754FE" w:rsidRDefault="003754FE" w:rsidP="003754FE">
      <w:pPr>
        <w:pStyle w:val="TextoNormal"/>
      </w:pPr>
      <w:r w:rsidRPr="003754FE">
        <w:rPr>
          <w:rStyle w:val="NumeroAFNegritaCaracter"/>
        </w:rPr>
        <w:t>5</w:t>
      </w:r>
      <w:r>
        <w:t>. Mediante escrito presentado el 24 de septiembre de 2024 en el registro general de este tribunal, el letrado de la Seguridad Social solicitó que se le tuviera por personado en el presente recurso de amparo en nombre y representación del INSS y la TGSS.</w:t>
      </w:r>
    </w:p>
    <w:p w14:paraId="73C7F532" w14:textId="77777777" w:rsidR="003754FE" w:rsidRDefault="003754FE" w:rsidP="003754FE">
      <w:pPr>
        <w:pStyle w:val="TextoNormal"/>
      </w:pPr>
    </w:p>
    <w:p w14:paraId="4E1B7697" w14:textId="78848DDC" w:rsidR="003754FE" w:rsidRDefault="003754FE" w:rsidP="003754FE">
      <w:pPr>
        <w:pStyle w:val="TextoNormal"/>
      </w:pPr>
      <w:r w:rsidRPr="003754FE">
        <w:rPr>
          <w:rStyle w:val="NumeroAFNegritaCaracter"/>
        </w:rPr>
        <w:t>6</w:t>
      </w:r>
      <w:r>
        <w:t>. Por diligencia de ordenación fechada el 2 de octubre de 2024, se tienen por recibidos los testimonios de actuaciones solicitados y el escrito del letrado de la administración de la Seguridad Social, a quien se tiene por personado y parte en nombre y representación del INSS y la TGSS, con quien se entenderán las diligencias a los solos efectos de evacuar el trámite de alegaciones del art. 52 LOTC, a cuyo tenor se da vista de todas las actuaciones del presente recurso de amparo por un plazo común de veinte días al Ministerio Fiscal y a las partes personadas, para que en de dicho plazo puedan presentar las alegaciones que a su derecho convenga.</w:t>
      </w:r>
    </w:p>
    <w:p w14:paraId="79F78A71" w14:textId="77777777" w:rsidR="003754FE" w:rsidRDefault="003754FE" w:rsidP="003754FE">
      <w:pPr>
        <w:pStyle w:val="TextoNormal"/>
      </w:pPr>
    </w:p>
    <w:p w14:paraId="5F96E8FA" w14:textId="3B74B642" w:rsidR="003754FE" w:rsidRDefault="003754FE" w:rsidP="003754FE">
      <w:pPr>
        <w:pStyle w:val="TextoNormal"/>
      </w:pPr>
      <w:r w:rsidRPr="003754FE">
        <w:rPr>
          <w:rStyle w:val="NumeroAFNegritaCaracter"/>
        </w:rPr>
        <w:t>7</w:t>
      </w:r>
      <w:r>
        <w:t>. La representación procesal de la demandante presentó escrito de alegaciones en fecha 4 de noviembre de 2024, donde se manifestó en cuanto al fondo en los mismos términos expresados en la demanda de amparo.</w:t>
      </w:r>
    </w:p>
    <w:p w14:paraId="72D19160" w14:textId="77777777" w:rsidR="003754FE" w:rsidRDefault="003754FE" w:rsidP="003754FE">
      <w:pPr>
        <w:pStyle w:val="TextoNormal"/>
      </w:pPr>
    </w:p>
    <w:p w14:paraId="5DDF64FD" w14:textId="77777777" w:rsidR="003754FE" w:rsidRDefault="003754FE" w:rsidP="003754FE">
      <w:pPr>
        <w:pStyle w:val="TextoNormal"/>
      </w:pPr>
      <w:r w:rsidRPr="003754FE">
        <w:rPr>
          <w:rStyle w:val="NumeroAFNegritaCaracter"/>
        </w:rPr>
        <w:t>8</w:t>
      </w:r>
      <w:r>
        <w:t>. El Ministerio Fiscal presentó escrito de alegaciones el 4 de noviembre de 2024 en el que, luego de resumir los hechos relevantes del caso y los términos del recurso de amparo, y de reseñar la doctrina constitucional sobre el derecho a la igualdad y prohibición de discriminación, expone los siguientes argumentos:</w:t>
      </w:r>
    </w:p>
    <w:p w14:paraId="42DFD142" w14:textId="77777777" w:rsidR="003754FE" w:rsidRDefault="003754FE" w:rsidP="003754FE">
      <w:pPr>
        <w:pStyle w:val="TextoNormal"/>
      </w:pPr>
    </w:p>
    <w:p w14:paraId="34AF11A1" w14:textId="77777777" w:rsidR="003754FE" w:rsidRDefault="003754FE" w:rsidP="003754FE">
      <w:pPr>
        <w:pStyle w:val="TextoNormal"/>
      </w:pPr>
      <w:r>
        <w:t>(i) La interpretación que realiza el Tribunal Supremo no es formalista en exceso, ni ilógica, irracional o absurda, ni vulnera el art. 14 CE. La suspensión del contrato de trabajo y la prestación vinculada a él que se reclama, se establece como un derecho intransferible del segundo progenitor, el cual no existe en la familia de la demandante y, en su caso en particular, no existe por su libre decisión de formar una familia monoparental. La única interpretación lógica es que la ley no permite trasferir a la madre de una familia monoparental esa prestación contributiva intransferible que correspondería a un progenitor legalmente inexistente; prestación que requiere para su existencia de unos requisitos que no se cumplen. Especialmente teniendo en cuenta que, en el caso de una familia biparental, no se puede transferir a la madre la prestación del progenitor que sí existe y que reúne los requisitos necesarios para obtener la prestación incluida la cotización, y que hay familias biparentales en las cuales el segundo progenitor no reúne los requisitos para acceder a la prestación y, en ese caso, la norma tampoco prevé ningún tipo de transferencia a la madre de la familia biparental de la prestación que hubiera correspondido al segundo progenitor de haber cumplido los requisitos de los arts. 177 y 178 LGSS.</w:t>
      </w:r>
    </w:p>
    <w:p w14:paraId="3CA92119" w14:textId="77777777" w:rsidR="003754FE" w:rsidRDefault="003754FE" w:rsidP="003754FE">
      <w:pPr>
        <w:pStyle w:val="TextoNormal"/>
      </w:pPr>
    </w:p>
    <w:p w14:paraId="32408E49" w14:textId="77777777" w:rsidR="003754FE" w:rsidRDefault="003754FE" w:rsidP="003754FE">
      <w:pPr>
        <w:pStyle w:val="TextoNormal"/>
      </w:pPr>
      <w:r>
        <w:lastRenderedPageBreak/>
        <w:t>El fiscal considera que, en todo caso, las resoluciones impugnadas no han hecho sino aplicar correctamente la normativa sobre prestación contributiva que por nacimiento de un hijo se otorga en los arts. 177 al 179 LGSS, en relación con el art. 48.4 LET.</w:t>
      </w:r>
    </w:p>
    <w:p w14:paraId="064CA89F" w14:textId="77777777" w:rsidR="003754FE" w:rsidRDefault="003754FE" w:rsidP="003754FE">
      <w:pPr>
        <w:pStyle w:val="TextoNormal"/>
      </w:pPr>
    </w:p>
    <w:p w14:paraId="129F853C" w14:textId="77777777" w:rsidR="003754FE" w:rsidRDefault="003754FE" w:rsidP="003754FE">
      <w:pPr>
        <w:pStyle w:val="TextoNormal"/>
      </w:pPr>
      <w:r>
        <w:t>(ii) El fiscal analiza si lo que se plantea es una discriminación por indiferenciación: la demandante de amparo considera inconstitucional que no se diferencie la duración de la prestación que se paga para las madres de las familias monoparentales (como es su caso) de la que les corresponde a las madres de las familias biparentales, y que la vulneración del art. 14 se produciría porque la prestación por nacimiento y cuidado de hijos tiene la misma duración temporal (el mismo importe) para las progenitoras gestantes en las que se den los requisitos de los arts. 177 y 178 LGSS, con independencia de que sus familias puedan ser calificadas como familias monoparentales o no. A juicio del fiscal, lo que pide la demandante es que, habiendo cotizado lo mismo que la madre de una familia biparental, se le otorgue a ella el doble de la prestación contributiva establecida en los arts. 177 a 180 LGSS y argumenta que lo contrario, es decir, si el INSS paga la misma prestación habiendo cotizado lo mismo, incurre en discriminación. De todo lo cual resulta evidente que la pretendida discriminación es una discriminación por indiferenciación. Señala que, según reiterada doctrina constitucional, el art. 14 CE no ampara la falta de distinción entre supuestos desiguales, esto es, el hipotético derecho a imponer o exigir diferencias de trato, o, en otros términos, el derecho a la igualdad no otorga un derecho a la desigualdad de trato, a ser tratado de manera diferente, de manera que no cabe alegar que se ha vulnerado el citado derecho porque la ley no distingue entre situaciones desiguales o, lo que es igual, porque trata de manera igual situaciones desiguales; al no consagrar el principio de igualdad un derecho a la desigualdad de trato no ampara la falta de distinción entre supuestos desiguales, por lo que no existe ningún derecho subjetivo al trato normativo desigual. Por consiguiente, la supuesta vulneración del art. 14 CE en este punto debe ser rechazada.</w:t>
      </w:r>
    </w:p>
    <w:p w14:paraId="4D74DDA6" w14:textId="77777777" w:rsidR="003754FE" w:rsidRDefault="003754FE" w:rsidP="003754FE">
      <w:pPr>
        <w:pStyle w:val="TextoNormal"/>
      </w:pPr>
    </w:p>
    <w:p w14:paraId="1EB554FB" w14:textId="77777777" w:rsidR="003754FE" w:rsidRDefault="003754FE" w:rsidP="003754FE">
      <w:pPr>
        <w:pStyle w:val="TextoNormal"/>
      </w:pPr>
      <w:r>
        <w:t>(iii) El fiscal trata el problema de la inconstitucionalidad por omisión, dado que lo que se imputa al art. 48.4 LET, o más bien, a los arts. 177 al 179 LGSS, es que no contiene una regulación específica para los progenitores de las familias monoparentales. Considera que no se trata de una laguna u omisión involuntaria del legislador, ni se estima que exista un mandato directo de los arts. 14 o 39 CE, que permitan hacer una interpretación creativa de las normas legales para suplir dicha omisión o laguna, ampliando al doble, en el caso de progenitores de familias monoparentales, la prestación que se establece en el art. 177 al 179 LGSS con relación al art. 48.4 LET. Por la misma razón, tampoco estima que proceda dictar una sentencia meramente declarativa de la inconstitucionalidad por omisión.</w:t>
      </w:r>
    </w:p>
    <w:p w14:paraId="1F61DE85" w14:textId="77777777" w:rsidR="003754FE" w:rsidRDefault="003754FE" w:rsidP="003754FE">
      <w:pPr>
        <w:pStyle w:val="TextoNormal"/>
      </w:pPr>
    </w:p>
    <w:p w14:paraId="124C6E46" w14:textId="77777777" w:rsidR="003754FE" w:rsidRDefault="003754FE" w:rsidP="003754FE">
      <w:pPr>
        <w:pStyle w:val="TextoNormal"/>
      </w:pPr>
      <w:r>
        <w:t xml:space="preserve">El legislador, en la normativa ahora analizada, no ha omitido ni reducido la suspensión del contrato de trabajo ni la prestación contributiva por nacimiento y cuidado de hijos a favor de las madres de familias monoparentales, pues estas tienen la misma suspensión de contrato e igual prestación que la de las madres de cualquier familia que se encuentren afiliadas al régimen general de la Seguridad Social y cumplan los requisitos de contribución del art. 178 LGSS. Lo que no ha hecho el legislador (lo que ha omitido) es establecer un beneficio específico para el progenitor (mayoritariamente, mujer) en las familias monoparentales y lo ha hecho conscientemente pues, de la regulación del art. 182 LGSS resulta que el legislador sí tiene en cuenta la especial situación de necesidad de las madres de familias monoparentales cuando no han podido cotizar lo suficiente para tener derecho a la prestación contributiva. Por tanto, a juicio del fiscal, solo cabe entender que el legislador ha </w:t>
      </w:r>
      <w:r>
        <w:lastRenderedPageBreak/>
        <w:t>considerado que es pertinente aplicar los recursos del Estado, que no son ilimitados, a otros supuestos de mayor necesidad de protección que la ampliación de la prestación a los progenitores de familias monoparentales que tienen derecho a la prestación contributiva.</w:t>
      </w:r>
    </w:p>
    <w:p w14:paraId="41A69BEF" w14:textId="77777777" w:rsidR="003754FE" w:rsidRDefault="003754FE" w:rsidP="003754FE">
      <w:pPr>
        <w:pStyle w:val="TextoNormal"/>
      </w:pPr>
    </w:p>
    <w:p w14:paraId="546E92FB" w14:textId="77777777" w:rsidR="003754FE" w:rsidRDefault="003754FE" w:rsidP="003754FE">
      <w:pPr>
        <w:pStyle w:val="TextoNormal"/>
      </w:pPr>
      <w:r>
        <w:t>Considera que la petición de la demandante supone en realidad la creación de una nueva norma que establezca una prestación complementaria para el progenitor de la familia monoparental, suprimiendo el vínculo de la prestación con la duración de la suspensión del contrato de trabajo que establece el art. 177. Lo que pide no es una verdadera interpretación, sino la creación de una norma, función que corresponde al poder legislativo.</w:t>
      </w:r>
    </w:p>
    <w:p w14:paraId="5698DE7A" w14:textId="77777777" w:rsidR="003754FE" w:rsidRDefault="003754FE" w:rsidP="003754FE">
      <w:pPr>
        <w:pStyle w:val="TextoNormal"/>
      </w:pPr>
    </w:p>
    <w:p w14:paraId="2BB95C8E" w14:textId="77777777" w:rsidR="003754FE" w:rsidRDefault="003754FE" w:rsidP="003754FE">
      <w:pPr>
        <w:pStyle w:val="TextoNormal"/>
      </w:pPr>
      <w:r>
        <w:t>(iv) En relación con concretas alegaciones de discriminación directa o vulneración del derecho a la igualdad ante la ley, el fiscal arguye que las resoluciones administrativas y judiciales impugnadas no provocan una diferencia de trato entre la demandante de amparo y las progenitoras de familias biparentales, en relación con el derecho al permiso por nacimiento y cuidado de hijos, que resulte contraria a las exigencias del derecho a la igualdad proclamado en el primer inciso del art. 14 CE, y las razones que esgrime son las siguientes:</w:t>
      </w:r>
    </w:p>
    <w:p w14:paraId="55BF4439" w14:textId="77777777" w:rsidR="003754FE" w:rsidRDefault="003754FE" w:rsidP="003754FE">
      <w:pPr>
        <w:pStyle w:val="TextoNormal"/>
      </w:pPr>
    </w:p>
    <w:p w14:paraId="0FFC8B52" w14:textId="77777777" w:rsidR="003754FE" w:rsidRDefault="003754FE" w:rsidP="003754FE">
      <w:pPr>
        <w:pStyle w:val="TextoNormal"/>
      </w:pPr>
      <w:r>
        <w:t>a) Las resoluciones impugnadas no deciden nada sobre el permiso (suspensión del contrato de trabajo) por nacimiento y cuidado de hijos, porque la demandante no pide una ampliación del permiso, luego no producen una diferencia de trato en cuanto a la suspensión del contrato de trabajo. La demandante pide una ampliación de la prestación económica que recibe de la Seguridad Social y sobre eso se pronuncian las resoluciones.</w:t>
      </w:r>
    </w:p>
    <w:p w14:paraId="609DABF9" w14:textId="77777777" w:rsidR="003754FE" w:rsidRDefault="003754FE" w:rsidP="003754FE">
      <w:pPr>
        <w:pStyle w:val="TextoNormal"/>
      </w:pPr>
    </w:p>
    <w:p w14:paraId="438A0888" w14:textId="77777777" w:rsidR="003754FE" w:rsidRDefault="003754FE" w:rsidP="003754FE">
      <w:pPr>
        <w:pStyle w:val="TextoNormal"/>
      </w:pPr>
      <w:r>
        <w:t>b) Las resoluciones impugnadas no provocan una diferencia de trato entre la demandante de amparo y las progenitoras de familias biparentales, pues es al contrario, ya que las resoluciones aplican la norma que establece el mismo trato para las progenitoras de ambas familias, y lo que la demandante quiere es que se le dé, como progenitora de una familia monoparental, un trato diferente (mejor) al de las progenitoras de las familias biparentales. Por lo demás, afirma el fiscal, el menor debe ser cuidado en todo caso, sea por su progenitor o por aquella persona en quien delegue. La obligación de que el menor esté cuidado no depende de la duración de la suspensión del contrato de trabajo y es claro que tendrá que ser cuidado más allá del tiempo de la suspensión del contrato de trabajo, por alguien distinto del progenitor o progenitores, en quien delegarán el deber de cuidado mientras estén trabajado o realicen cualquier actividad incompatible con el cuidado del menor.</w:t>
      </w:r>
    </w:p>
    <w:p w14:paraId="4986D856" w14:textId="77777777" w:rsidR="003754FE" w:rsidRDefault="003754FE" w:rsidP="003754FE">
      <w:pPr>
        <w:pStyle w:val="TextoNormal"/>
      </w:pPr>
    </w:p>
    <w:p w14:paraId="629D7329" w14:textId="77777777" w:rsidR="003754FE" w:rsidRDefault="003754FE" w:rsidP="003754FE">
      <w:pPr>
        <w:pStyle w:val="TextoNormal"/>
      </w:pPr>
      <w:r>
        <w:t xml:space="preserve">Considera el fiscal que ni la suspensión del contrato de trabajo, ni la prestación que se reclama, se otorgan a las familias, puesto que no son las familias como tales las que trabajan, ni las que cotizan, ni las que reciben la prestación. La suspensión del contrato de trabajo se da al trabajador o trabajadora, y la prestación contributiva cuya ampliación pide, se paga a la persona trabajadora que ha cotizado y cumple los demás requisitos legales, sin establecer diferencia de trato alguna por el hecho de que se trate de una progenitora de familia monoparental o biparental; y sin distinguir tampoco entre si el segundo progenitor tiene o no derecho a la suspensión del contrato de trabajo, ni si recibe o no su prestación por nacimiento y cuidado de hijos, ni el importe por el que percibe dicha prestación. Hay familias biparentales en las cuales el segundo progenitor no tiene ni permiso ni prestación, lo que demuestra que en la prestación regulada por los arts. 177 a 180 LGSS no hay diferencia de trato por el tipo de familia, sea monoparental o biparental, la prestación se cobra por el progenitor que </w:t>
      </w:r>
      <w:r>
        <w:lastRenderedPageBreak/>
        <w:t>cumpla los requisitos y por el importe que corresponda en función de la cotización, cualquiera que sea el tipo de familia del que forme parte.</w:t>
      </w:r>
    </w:p>
    <w:p w14:paraId="3E3AAD16" w14:textId="77777777" w:rsidR="003754FE" w:rsidRDefault="003754FE" w:rsidP="003754FE">
      <w:pPr>
        <w:pStyle w:val="TextoNormal"/>
      </w:pPr>
    </w:p>
    <w:p w14:paraId="688393DA" w14:textId="77777777" w:rsidR="003754FE" w:rsidRDefault="003754FE" w:rsidP="003754FE">
      <w:pPr>
        <w:pStyle w:val="TextoNormal"/>
      </w:pPr>
      <w:r>
        <w:t>Así pues, entiende el fiscal que desde el punto de vista del art. 14 CE, la interpretación del precepto que hacen las resoluciones impugnadas es correcta y no produce ninguna diferencia de trato perjudicial, ni para las progenitoras de familias monoparentales en general, ni para la demandante en particular, pues el art. 14 CE establece un derecho a la igualdad de trato y a la no discriminación y, en este caso, la demandante de amparo no ha sido tratada de forma diferente a las progenitoras de las familias biparentales, para concluir que, de acuerdo con la doctrina constitucional, el art. 14 CE no ampara la falta de distinción entre supuestos desiguales.</w:t>
      </w:r>
    </w:p>
    <w:p w14:paraId="1FC59D6E" w14:textId="77777777" w:rsidR="003754FE" w:rsidRDefault="003754FE" w:rsidP="003754FE">
      <w:pPr>
        <w:pStyle w:val="TextoNormal"/>
      </w:pPr>
    </w:p>
    <w:p w14:paraId="3A7DC6CA" w14:textId="77777777" w:rsidR="003754FE" w:rsidRDefault="003754FE" w:rsidP="003754FE">
      <w:pPr>
        <w:pStyle w:val="TextoNormal"/>
      </w:pPr>
      <w:r>
        <w:t>(v) Analiza el fiscal la alegación que formula la recurrente de discriminación directa por circunstancias personales y familiares, resultantes de su decisión de formar una familia monoparental, es decir, de su condición familiar, a lo que añade los efectos perjudiciales de esa discriminación al menor cuidado de su hijo por el hecho de su nacimiento en una familia monoparental, sin que las resoluciones administrativas ni las judiciales hayan tenido en cuenta el interés superior del menor y que esta denegación incrementa exponencialmente el riesgo de estos menores y sus progenitoras a estar expuestos a la pobreza. Reitera el fiscal que la prestación de los arts. 177 a 179 LGSS no se otorga a las familias, ni en función del tipo de familia de que se trate, pues de ser así las familias biparentales tendrían el doble de prestación en todo caso y no es así, es una prestación contributiva, ligada a la suspensión del contrato de trabajo que se da al trabajador-progenitor, que tiene la misma duración sea hombre o mujer, cualquiera que sea su estado civil, siempre que cumpla con los requisitos legalmente establecidos. La diferencia de trato entre familias que sostiene la recurrente no se produce entre familias monoparentales y biparentales, sino entre familias en las cuales el segundo progenitor tiene un contrato de trabajo y cumple los requisitos de cotización para tener derecho a la prestación y familias —sean mono o biparentales— en las cuales no hay un segundo progenitor que tenga derecho a la prestación, por ejemplo, por no tener un contrato de trabajo o no cumplir los requisitos de cotización. El criterio seguido por el INSS y después por el Tribunal Supremo para denegar la ampliación de la prestación por nacimiento y cuidado de menor, añadiendo la que podría corresponder al segundo progenitor en una familia biparental, no es la decisión de la demandante de formar una familia monoparental, y menos aún su estado civil, sino que se deniega porque con arreglo a la legislación, la prestación que correspondería al segundo progenitor es intransferible y porque no hay un segundo progenitor que cumpla los requisitos legales para conceder la prestación.</w:t>
      </w:r>
    </w:p>
    <w:p w14:paraId="5ECFDD57" w14:textId="77777777" w:rsidR="003754FE" w:rsidRDefault="003754FE" w:rsidP="003754FE">
      <w:pPr>
        <w:pStyle w:val="TextoNormal"/>
      </w:pPr>
    </w:p>
    <w:p w14:paraId="42AD4CAF" w14:textId="77777777" w:rsidR="003754FE" w:rsidRDefault="003754FE" w:rsidP="003754FE">
      <w:pPr>
        <w:pStyle w:val="TextoNormal"/>
      </w:pPr>
      <w:r>
        <w:t>En cuanto a la alegación referida al riesgo de pobreza de las familias monoparentales, el fiscal recuerda la naturaleza de la prestación que es objeto del pleito: es una prestación contributiva y por tanto el derecho a la misma y su cuantía dependen de la contribución previa a la Seguridad Social. La prestación que se reclama no tiene una finalidad asistencial, no está condicionada por las necesidades del progenitor al que se va a otorgar ni de su hijo.</w:t>
      </w:r>
    </w:p>
    <w:p w14:paraId="44DA20D8" w14:textId="77777777" w:rsidR="003754FE" w:rsidRDefault="003754FE" w:rsidP="003754FE">
      <w:pPr>
        <w:pStyle w:val="TextoNormal"/>
      </w:pPr>
    </w:p>
    <w:p w14:paraId="10667B10" w14:textId="77777777" w:rsidR="003754FE" w:rsidRDefault="003754FE" w:rsidP="003754FE">
      <w:pPr>
        <w:pStyle w:val="TextoNormal"/>
      </w:pPr>
      <w:r>
        <w:t xml:space="preserve">(vi) La reforma operada por el Real Decreto-ley 6/2019, de 1 de marzo, en cuanto establece el carácter individual del derecho a la suspensión del contrato de trabajo por nacimiento y cuidado del menor, sin posibilidad de transferencia o cesión, no provoca que los hijos nacidos en una familia monoparental vean reducido el alcance temporal de su derecho a la atención y cuidado en sus primeros meses de vida. La reforma no ha reducido ni la </w:t>
      </w:r>
      <w:r>
        <w:lastRenderedPageBreak/>
        <w:t>duración de la suspensión del contrato de trabajo ni la prestación por cuidado de hijos, lo que ha hecho es aumentarla para el segundo progenitor en el que concurran los requisitos legalmente establecidos y hacerla intransferible, para que el segundo progenitor se implique en el cuidado de los recién nacidos y no se perpetúen los roles de género.</w:t>
      </w:r>
    </w:p>
    <w:p w14:paraId="79BDE581" w14:textId="77777777" w:rsidR="003754FE" w:rsidRDefault="003754FE" w:rsidP="003754FE">
      <w:pPr>
        <w:pStyle w:val="TextoNormal"/>
      </w:pPr>
    </w:p>
    <w:p w14:paraId="4BEBDB4D" w14:textId="77777777" w:rsidR="003754FE" w:rsidRDefault="003754FE" w:rsidP="003754FE">
      <w:pPr>
        <w:pStyle w:val="TextoNormal"/>
      </w:pPr>
      <w:r>
        <w:t>(vii) Si se concediera la ampliación de la prestación tal como se solicita, la demandante tendría una suspensión del contrato de trabajo durante dieciséis semanas en la cual cobraría la prestación que ya le ha sido concedida; y durante las semanas de ampliación de la prestación, cobraría por una parte su sueldo, pues tendría que ir a trabajar al no haber sido ampliada la suspensión del contrato de trabajo y, además, la prestación de la seguridad social, es decir durante esas semanas de ampliación de la prestación cobraría dos veces, una del empresario y otra de la Seguridad Social y no tendría más tiempo libre para dedicarlo al cuidado personal de su hijo. Luego, sin ampliar la duración del permiso, no tiene justificación la ampliación de la prestación. Afirma el fiscal que el art. 14 CE no obliga a doblar sin más el importe de la prestación que se debate a las madres de las familias monoparentales.</w:t>
      </w:r>
    </w:p>
    <w:p w14:paraId="35F66BF3" w14:textId="77777777" w:rsidR="003754FE" w:rsidRDefault="003754FE" w:rsidP="003754FE">
      <w:pPr>
        <w:pStyle w:val="TextoNormal"/>
      </w:pPr>
    </w:p>
    <w:p w14:paraId="02DEA4D5" w14:textId="77777777" w:rsidR="003754FE" w:rsidRDefault="003754FE" w:rsidP="003754FE">
      <w:pPr>
        <w:pStyle w:val="TextoNormal"/>
      </w:pPr>
      <w:r>
        <w:t>(viii) La prestación que se pretende ampliar no está relacionada con el derecho de igualdad ante la ley del menor desde el punto de vista económico. Para el fiscal, la igualdad de los menores ante la ley o la ausencia de discriminación por razón de nacimiento, no obliga a que a mayor salario del progenitor (mayor cotización) más dinero perciba este para cuidar a su hijo, pues, desde este punto de vista, siendo las necesidades reales del hijo iguales, igual debería ser el pago en dinero público para cuidar del hijo; o incluso deberían recibir una prestación mayor los progenitores que tuvieran menor salario, para equilibrar el nivel de cuidados en todos los órdenes que tendrá el menor.</w:t>
      </w:r>
    </w:p>
    <w:p w14:paraId="12C5CF40" w14:textId="77777777" w:rsidR="003754FE" w:rsidRDefault="003754FE" w:rsidP="003754FE">
      <w:pPr>
        <w:pStyle w:val="TextoNormal"/>
      </w:pPr>
    </w:p>
    <w:p w14:paraId="52A14FAE" w14:textId="77777777" w:rsidR="003754FE" w:rsidRDefault="003754FE" w:rsidP="003754FE">
      <w:pPr>
        <w:pStyle w:val="TextoNormal"/>
      </w:pPr>
      <w:r>
        <w:t>El INSS y los órganos judiciales aplican las normas que han establecido la igualdad de trato de todos los progenitores en cuanto al derecho a la suspensión del contrato de trabajo (y la consiguiente prestación), pertenezcan a una familia monoparental o biparental, y que ha configurado esa suspensión del contrato de trabajo como intransferible por unos motivos legítimos, corresponsabilizar a los hombres en el cuidado de los menores y evitar los roles de género.</w:t>
      </w:r>
    </w:p>
    <w:p w14:paraId="2A51EDC4" w14:textId="77777777" w:rsidR="003754FE" w:rsidRDefault="003754FE" w:rsidP="003754FE">
      <w:pPr>
        <w:pStyle w:val="TextoNormal"/>
      </w:pPr>
    </w:p>
    <w:p w14:paraId="2D2969AB" w14:textId="77777777" w:rsidR="003754FE" w:rsidRDefault="003754FE" w:rsidP="003754FE">
      <w:pPr>
        <w:pStyle w:val="TextoNormal"/>
      </w:pPr>
      <w:r>
        <w:t>(ix) En cuanto al interés superior del menor, en toda la regulación de la prestación por nacimiento de hijo y cuidado del menor está presente la atención a ese singular interés, pero no es el único al que debe atenderse; el legislador también ha prestado especial atención al principio de igualdad entre hombres y mujeres, al aprobar una normativa que tiene como finalidad lograr la corresponsabilidad entre ambos progenitores en el cuidado del menor, lo que sin duda, a juicio del fiscal, repercute en su educación alejándolo desde su más temprana edad de los roles de género.</w:t>
      </w:r>
    </w:p>
    <w:p w14:paraId="0B9A8705" w14:textId="77777777" w:rsidR="003754FE" w:rsidRDefault="003754FE" w:rsidP="003754FE">
      <w:pPr>
        <w:pStyle w:val="TextoNormal"/>
      </w:pPr>
    </w:p>
    <w:p w14:paraId="689472C0" w14:textId="77777777" w:rsidR="003754FE" w:rsidRDefault="003754FE" w:rsidP="003754FE">
      <w:pPr>
        <w:pStyle w:val="TextoNormal"/>
      </w:pPr>
      <w:r>
        <w:t>(x) En cuanto a la discriminación por razón de estado civil, no hay en los arts. 177 al 180 LGSS ninguna referencia al estado civil de la persona a quien se concede la prestación, tampoco hay ninguna referencia al estado civil en el art. 48.4 LET, al establecer el derecho a la suspensión del contrato de trabajo por razón de nacimiento y cuidado de hijos y, por último, tampoco hay referencia alguna al estado civil en el concepto de familia monoparental del art. 182 LGSS. A la demandante no se le niega la prestación complementaria que solicita por su estado civil, puesto que la ley en ningún caso contempla el estado civil de los progenitores para otorgarles o no la prestación, ni para determinar su importe.</w:t>
      </w:r>
    </w:p>
    <w:p w14:paraId="6BDB3D46" w14:textId="77777777" w:rsidR="003754FE" w:rsidRDefault="003754FE" w:rsidP="003754FE">
      <w:pPr>
        <w:pStyle w:val="TextoNormal"/>
      </w:pPr>
    </w:p>
    <w:p w14:paraId="58CD0DC1" w14:textId="77777777" w:rsidR="003754FE" w:rsidRDefault="003754FE" w:rsidP="003754FE">
      <w:pPr>
        <w:pStyle w:val="TextoNormal"/>
      </w:pPr>
      <w:r>
        <w:t>(xi) En cuanto a la alegada discriminación indirecta por razón de sexo, considera el fiscal que el Real Decreto-ley 6/2019, de 1 de marzo, no estableció una medida perjudicial para los progenitores de las familias monoparentales, porque dicha regulación mantiene la misma prestación que le correspondería con la regulación anterior, además de ser el mismo que el derecho del primer progenitor de las familias biparentales. La suspensión de contrato con la consiguiente prestación que se introdujo a favor de los padres tiene una justificación legítima: favorecer la intervención de los hombres en el cuidado de sus hijos, la eliminación de los roles de género y suprimir barreras para el acceso de las mujeres al mercado laboral en condiciones de igualdad respecto de los hombres, para reparar la brecha laboral, pues en caso de que tengan hijos la suspensión del contrato de trabajo es de la misma duración y no supone una diferencia para el empresario que va a contratar. Por tanto, no es una prestación con finalidad asistencial ni de fomento de la natalidad, que son atendibles con otro tipo de medidas.</w:t>
      </w:r>
    </w:p>
    <w:p w14:paraId="7B28A8D4" w14:textId="77777777" w:rsidR="003754FE" w:rsidRDefault="003754FE" w:rsidP="003754FE">
      <w:pPr>
        <w:pStyle w:val="TextoNormal"/>
      </w:pPr>
    </w:p>
    <w:p w14:paraId="0FBD3E81" w14:textId="61E1B6E3" w:rsidR="003754FE" w:rsidRDefault="003754FE" w:rsidP="003754FE">
      <w:pPr>
        <w:pStyle w:val="TextoNormal"/>
      </w:pPr>
      <w:r>
        <w:t>En atención a las precedentes consideraciones, el fiscal interesa que dicte sentencia desestimatoria del recurso de amparo, porque las resoluciones impugnadas no han vulnerado el art. 14 CE.</w:t>
      </w:r>
    </w:p>
    <w:p w14:paraId="3B74A24C" w14:textId="77777777" w:rsidR="003754FE" w:rsidRDefault="003754FE" w:rsidP="003754FE">
      <w:pPr>
        <w:pStyle w:val="TextoNormal"/>
      </w:pPr>
    </w:p>
    <w:p w14:paraId="3E9FC012" w14:textId="77777777" w:rsidR="003754FE" w:rsidRDefault="003754FE" w:rsidP="003754FE">
      <w:pPr>
        <w:pStyle w:val="TextoNormal"/>
      </w:pPr>
      <w:r w:rsidRPr="003754FE">
        <w:rPr>
          <w:rStyle w:val="NumeroAFNegritaCaracter"/>
        </w:rPr>
        <w:t>9</w:t>
      </w:r>
      <w:r>
        <w:t>. El letrado de la administración de la Seguridad Social presentó sus alegaciones en fecha 5 de noviembre de 2024. En ellas resume los antecedentes del caso, cita abundantes precedentes jurisprudenciales tanto de este tribunal, como de la Sala de lo Social del Tribunal Supremo y del Tribunal de Justicia de la Unión Europea, así como de la normativa aplicable en apoyo de su pretensión desestimatoria del recurso de amparo, cuyos argumentos pueden resumirse en estos términos:</w:t>
      </w:r>
    </w:p>
    <w:p w14:paraId="19248905" w14:textId="77777777" w:rsidR="003754FE" w:rsidRDefault="003754FE" w:rsidP="003754FE">
      <w:pPr>
        <w:pStyle w:val="TextoNormal"/>
      </w:pPr>
    </w:p>
    <w:p w14:paraId="77F38EF1" w14:textId="77777777" w:rsidR="003754FE" w:rsidRDefault="003754FE" w:rsidP="003754FE">
      <w:pPr>
        <w:pStyle w:val="TextoNormal"/>
      </w:pPr>
      <w:r>
        <w:t>(i) No consta que la actora solicitara a la empresa la prórroga del permiso por nacimiento y cuidado del menor tras las dieciséis semanas reconocidas, no suspendiéndose por ello la relación laboral y habiendo percibido por ello salario derivado de la prestación de servicios, incompatible con la prestación de seguridad social. Tampoco consta que solicitase una reducción de jornada o una excedencia para cuidado de menor, cuya existencia sí que hubiera al menos justificado la petición de la prestación de Seguridad Social. Considera el alegante que la percepción de un salario tras la reincorporación al trabajo resulta incompatible con la percepción de la prestación reclamada, cuya naturaleza es ser sustitutiva de la renta dejada de percibir y, por tanto, no puede tildarse de discriminatoria ni la norma de Seguridad Social, ni la resolución administrativa rechazando una pretensión como la realizada por la actora en el procedimiento.</w:t>
      </w:r>
    </w:p>
    <w:p w14:paraId="356B6FEE" w14:textId="77777777" w:rsidR="003754FE" w:rsidRDefault="003754FE" w:rsidP="003754FE">
      <w:pPr>
        <w:pStyle w:val="TextoNormal"/>
      </w:pPr>
    </w:p>
    <w:p w14:paraId="1E0C88AC" w14:textId="77777777" w:rsidR="003754FE" w:rsidRDefault="003754FE" w:rsidP="003754FE">
      <w:pPr>
        <w:pStyle w:val="TextoNormal"/>
      </w:pPr>
      <w:r>
        <w:t>(ii) En ningún caso la hipotética estimación del presente recurso de amparo llevaría aparejado el reconocimiento de la prestación económica de Seguridad Social, al resultar esta incompatible con el salario percibido en el periodo que reclama, sin que sean compensables al haberse realizado efectivamente la prestación origen del salario. Por otra parte, para la resolución de un planteamiento como el ahora realizado, la llamada a juicio a la empresa empleadora resultaba obligada al ser sujeto pasivo relevante en la ampliación, sin una norma que lo justifique, del número de semanas en que un trabajador puede tener suspendida su relación laboral.</w:t>
      </w:r>
    </w:p>
    <w:p w14:paraId="7E468D33" w14:textId="77777777" w:rsidR="003754FE" w:rsidRDefault="003754FE" w:rsidP="003754FE">
      <w:pPr>
        <w:pStyle w:val="TextoNormal"/>
      </w:pPr>
    </w:p>
    <w:p w14:paraId="39545CBE" w14:textId="77777777" w:rsidR="003754FE" w:rsidRDefault="003754FE" w:rsidP="003754FE">
      <w:pPr>
        <w:pStyle w:val="TextoNormal"/>
      </w:pPr>
      <w:r>
        <w:lastRenderedPageBreak/>
        <w:t>(iii) Afirma que la parte demandante no ha justificado la especial trascendencia constitucional de su recurso, ya que no existe ningún derecho fundamental que resulte vulnerado por el hecho de no reconocer un periodo superior a dieciséis semanas una prestación de Seguridad Social, a quien se reincorporó sin objeción a su trabajo tras el periodo de descanso y percibió por ello salario. No parece por ello que la discriminación por razón de sexo o estado civil ni el interés jurídico del menor sea el fundamento que subyazca al recurso actual, sino solo una cuestión económica. Pero aun no incorporándose, la compañía y atención al menor tras esas dieciséis semanas no se cubre únicamente con la presencia de otro progenitor, sino con instituciones creadas para tal fin como son la reducción de jornada establecida (art. 37.6 LET) o la excedencia para cuidado de menores (art. 46.3 LET) o permisos no retribuidos para cuidado de menor. La pretensión de la recurrente es absolutamente inadecuada, ilegal y contraria al fundamento de la acción protectora del sistema público de pensiones, que es el de suplir con las prestaciones económicas las rentas dejadas de percibir como consecuencia de suspensiones o extinciones de relación laboral, o subvenir otras situaciones de necesidad derivadas del fallecimiento de un causante. Su estimación sería notoriamente inconstitucional al pretender hacer de mejor condición a las madres de familias monoparentales que a las de familias biparentales y, en general, que al resto de las personas protegidas por el Sistema de Seguridad Social. Aduce que tampoco son discriminatorias las normas denunciadas, por el contrario, la estimación del presente recurso de amparo resultaría discriminatoria para las madres biológicas de familias biparentales por las razones que expone más adelante.</w:t>
      </w:r>
    </w:p>
    <w:p w14:paraId="0829511F" w14:textId="77777777" w:rsidR="003754FE" w:rsidRDefault="003754FE" w:rsidP="003754FE">
      <w:pPr>
        <w:pStyle w:val="TextoNormal"/>
      </w:pPr>
    </w:p>
    <w:p w14:paraId="7F63C3DD" w14:textId="77777777" w:rsidR="003754FE" w:rsidRDefault="003754FE" w:rsidP="003754FE">
      <w:pPr>
        <w:pStyle w:val="TextoNormal"/>
      </w:pPr>
      <w:r>
        <w:t>(iv) Los permisos por maternidad y paternidad, denominados “permiso por nacimiento y cuidado del menor”, se han configurado como un derecho individual, personal e intransferible. El carácter del permiso se vincula a la consecución del principio de igualdad, de manera que pueda disfrutarse con independencia del género del progenitor y con el fin último de que se consiga la corresponsabilidad. La regulación operada por el Real Decreto-ley 6/2019 no atenta contra el principio de igualdad; en todo caso, favorece a las mujeres de familias monoparentales frente a los varones en el mismo tipo de familias, pero sin que ello suponga una discriminación, por cuanto la diferencia está basada en circunstancias puramente naturales: la maternidad biológica, cuya protección por motivos exclusivamente de protección de la salud de la madre, difiere notablemente de la protección dispensada tanto a los varones en familias monoparentales como a los de familias biparentales, en los que la finalidad del permiso es “la corresponsabilidad en las responsabilidades domésticas y en el cuidado y atención de los descendientes y otras personas a cargo” (art. 68 del Código civil). No existe un derecho absoluto ni a la suspensión de la relación laboral durante más tiempo del establecido legalmente, ni mucho menos a la prestación de seguridad social si no se cumplen requisitos para ello.</w:t>
      </w:r>
    </w:p>
    <w:p w14:paraId="7E9C5730" w14:textId="77777777" w:rsidR="003754FE" w:rsidRDefault="003754FE" w:rsidP="003754FE">
      <w:pPr>
        <w:pStyle w:val="TextoNormal"/>
      </w:pPr>
    </w:p>
    <w:p w14:paraId="20AB5D69" w14:textId="77777777" w:rsidR="003754FE" w:rsidRDefault="003754FE" w:rsidP="003754FE">
      <w:pPr>
        <w:pStyle w:val="TextoNormal"/>
      </w:pPr>
      <w:r>
        <w:t xml:space="preserve">(v) La prestación por nacimiento de la Seguridad Social tiene como finalidad preservar la salud de la mujer ante un hecho biológico singular, considerando que una reincorporación inmediata de la mujer a su puesto de trabajo tras el alumbramiento puede ser perjudicial para su completa recuperación; lo que hace compatible esa protección de la condición biológica y de la salud de la mujer trabajadora con la conservación de sus derechos laborales. Por el contrario, el establecimiento de un permiso por paternidad no viene impuesto hasta la fecha por ninguna norma supranacional y obedece a una finalidad tuitiva diferente: favorecer la conciliación de la vida personal, familiar y laboral, fomentando la corresponsabilidad de madres y padres en el cuidado de los hijos comunes (art. 39.3 CE). Por tanto, la </w:t>
      </w:r>
      <w:r>
        <w:lastRenderedPageBreak/>
        <w:t>decisión del legislador, de reconocer a los hombres el derecho a la suspensión del contrato de trabajo tras el nacimiento de un hijo para su cuidado, con el correlativo a percibir la prestación por paternidad de la seguridad social, tiene una finalidad diferente al supuesto tradicional de suspensión del contrato de trabajo de la mujer trabajadora por parto. Siendo diferente la finalidad de ambos permisos, no puede objetarse que la duración de la suspensión de la relación laboral de una mujer en una familia monoparental por un periodo de dieciséis semanas suponga una vulneración del principio de igualdad respecto a la de las mujeres en familias biparentales, ni respecto a los hombres de dichas familias, por cuanto la estimación de una pretensión como la articulada en el recurso de amparo las haría de mejor condición que a las madres de familias biparentales y a los padres de dichas familias.</w:t>
      </w:r>
    </w:p>
    <w:p w14:paraId="3D38BA21" w14:textId="77777777" w:rsidR="003754FE" w:rsidRDefault="003754FE" w:rsidP="003754FE">
      <w:pPr>
        <w:pStyle w:val="TextoNormal"/>
      </w:pPr>
    </w:p>
    <w:p w14:paraId="08137DAA" w14:textId="77777777" w:rsidR="003754FE" w:rsidRDefault="003754FE" w:rsidP="003754FE">
      <w:pPr>
        <w:pStyle w:val="TextoNormal"/>
      </w:pPr>
      <w:r>
        <w:t>(vi) El Sistema de la Seguridad Social y sus prestaciones son de estricta configuración legal y la doctrina constitucional tiene establecido que el legislador tiene un amplio margen de libertad para configurar el sistema en función de los recursos disponibles para atender las múltiples necesidades sociales, sin que el Tribunal Constitucional pueda interferir con decisiones susceptibles de alterar el equilibrio económico financiero del conjunto del sistema, salvo que la diferencia de tratamiento esté desprovista de toda justificación objetiva o razonable.</w:t>
      </w:r>
    </w:p>
    <w:p w14:paraId="232C4B75" w14:textId="77777777" w:rsidR="003754FE" w:rsidRDefault="003754FE" w:rsidP="003754FE">
      <w:pPr>
        <w:pStyle w:val="TextoNormal"/>
      </w:pPr>
    </w:p>
    <w:p w14:paraId="4D98B418" w14:textId="77777777" w:rsidR="003754FE" w:rsidRDefault="003754FE" w:rsidP="003754FE">
      <w:pPr>
        <w:pStyle w:val="TextoNormal"/>
      </w:pPr>
      <w:r>
        <w:t>En el caso de las familias biparentales, la prestación que corresponde al progenitor respecto las dieciséis semanas de descanso por nacimiento y cuidado del menor precisa como condición inexcusable su encuadramiento en la Seguridad Social y cubrir un periodo mínimo de carencia, pues en caso contrario no se le concede, de modo que el interés del menor no puede ser el factor decisivo en esta cuestión, sin que pueda alegarse un trato desigual de ambos tipos de familias, desigualdad que se daría respecto la recurrente monoparental en el supuesto de las biparentales, en que uno de los progenitores no pudiera beneficiarse de las dieciséis semanas interesadas.</w:t>
      </w:r>
    </w:p>
    <w:p w14:paraId="5A579503" w14:textId="77777777" w:rsidR="003754FE" w:rsidRDefault="003754FE" w:rsidP="003754FE">
      <w:pPr>
        <w:pStyle w:val="TextoNormal"/>
      </w:pPr>
    </w:p>
    <w:p w14:paraId="23866BC2" w14:textId="77777777" w:rsidR="003754FE" w:rsidRDefault="003754FE" w:rsidP="003754FE">
      <w:pPr>
        <w:pStyle w:val="TextoNormal"/>
      </w:pPr>
      <w:r>
        <w:t>(vii) La personal y libre decisión de quien decide formar una familia monoparental no resulta vulnerada por la circunstancia de que el legislador haya dotado a este tipo de familias de una protección distinta a la de las familias biparentales, tanto en el ámbito laboral referido al periodo de suspensión del contrato de trabajo, con clara repercusión en la organización de las empresas, como en el ámbito prestacional de seguridad social, con afectación también del equilibrio económico financiero del sistema.</w:t>
      </w:r>
    </w:p>
    <w:p w14:paraId="24DFA266" w14:textId="77777777" w:rsidR="003754FE" w:rsidRDefault="003754FE" w:rsidP="003754FE">
      <w:pPr>
        <w:pStyle w:val="TextoNormal"/>
      </w:pPr>
    </w:p>
    <w:p w14:paraId="7B08FBDB" w14:textId="77777777" w:rsidR="003754FE" w:rsidRDefault="003754FE" w:rsidP="003754FE">
      <w:pPr>
        <w:pStyle w:val="TextoNormal"/>
      </w:pPr>
      <w:r>
        <w:t>En relación con el ámbito laboral, no resulta igual para un empresario asumir que una trabajadora que dé a luz o adopte un menor suspenda su relación laboral treinta y dos semanas en lugar de dieciséis. Además, de cara al empleo y la ocupación, el establecimiento de un permiso de mayor duración en favor de las progenitoras biológicas en las familias monoparentales podría producir una clara desventaja en la contratación de estas mujeres, pues se ahondaría en el estereotipo de género, de manera que se produciría un efecto contrario al pretendido por el Real Decreto-ley 6/2019 y por la Directiva (UE) 2019/1158, al incrementar el sobrecoste que puede suponer para un empleador contratar a una mujer en comparación con el hombre, socavando el fin pretendido de igualdad efectiva entre ambos sexos y los derechos de conciliación de la vida personal, familiar y laboral.</w:t>
      </w:r>
    </w:p>
    <w:p w14:paraId="49369EE5" w14:textId="77777777" w:rsidR="003754FE" w:rsidRDefault="003754FE" w:rsidP="003754FE">
      <w:pPr>
        <w:pStyle w:val="TextoNormal"/>
      </w:pPr>
    </w:p>
    <w:p w14:paraId="5D75F6BF" w14:textId="77777777" w:rsidR="003754FE" w:rsidRDefault="003754FE" w:rsidP="003754FE">
      <w:pPr>
        <w:pStyle w:val="TextoNormal"/>
      </w:pPr>
      <w:r>
        <w:t xml:space="preserve">Y en relación con el ámbito prestacional, la asunción por el Sistema público de Seguridad Social del pago de dieciséis semanas de prestación relacionadas con la correspondiente </w:t>
      </w:r>
      <w:r>
        <w:lastRenderedPageBreak/>
        <w:t>cotización no es igual que la asunción del pago de prestación durante veintiocho semanas, por el mismo esfuerzo contributivo que por el que se abonan las dieciséis. Y ello al margen de que la base reguladora de la prestación en los casos de familias biparentales se calcula sobre las bases de cotización de cada uno de los progenitores, siendo así que, en la interpretación postulada por la recurrente, la base reguladora es calculada sobre las bases de cotización del o la solicitante, siendo mayoritariamente las bases de cotización del progenitor monoparental que reclama este aumento del periodo prestacional bases máximas. Si se reconociera un mayor número de semanas a una mujer de una familia monoparental, existiría una clara discriminación respecto a las mujeres en las familias biparentales, toda vez, que estas últimas disfrutarían de menos semanas que las primeras. Y en el mismo sentido, si se reconociera este derecho a la mujer de familia monoparental, habría que reconocer el mismo derecho al hombre de una familia monoparental, lo cual sería contrario a finalidad de la norma, ya que esta prevé expresamente que en caso de fallecimiento de la madre biológica el otro progenitor tiene derecho sólo a dieciséis semanas, sin poder incrementar más el periodo. En este caso, existiría una desigualdad entre hombres y mujeres, que es precisamente lo que la ley pretende combatir.</w:t>
      </w:r>
    </w:p>
    <w:p w14:paraId="271B926B" w14:textId="77777777" w:rsidR="003754FE" w:rsidRDefault="003754FE" w:rsidP="003754FE">
      <w:pPr>
        <w:pStyle w:val="TextoNormal"/>
      </w:pPr>
    </w:p>
    <w:p w14:paraId="1B6A5B5C" w14:textId="77777777" w:rsidR="003754FE" w:rsidRDefault="003754FE" w:rsidP="003754FE">
      <w:pPr>
        <w:pStyle w:val="TextoNormal"/>
      </w:pPr>
      <w:r>
        <w:t>(viii) El interés del menor no resulta tampoco afectado. Aunque pudiera ser cierto que para el menor la atención y el apego de los dos progenitores puede resultar más beneficioso, ello no es algo que pueda sustituirse, ni algo que deba ser necesariamente protegido por el Sistema de la Seguridad Social, salvo en casos excepcionales.</w:t>
      </w:r>
    </w:p>
    <w:p w14:paraId="56030467" w14:textId="77777777" w:rsidR="003754FE" w:rsidRDefault="003754FE" w:rsidP="003754FE">
      <w:pPr>
        <w:pStyle w:val="TextoNormal"/>
      </w:pPr>
    </w:p>
    <w:p w14:paraId="67E7C604" w14:textId="77777777" w:rsidR="003754FE" w:rsidRDefault="003754FE" w:rsidP="003754FE">
      <w:pPr>
        <w:pStyle w:val="TextoNormal"/>
      </w:pPr>
      <w:r>
        <w:t>Para el letrado de la administración de la Seguridad Social resulta evidente que el apego con los menores no se protege con estar las veinticuatro horas pendientes y sin separación de ellos después de las primeras dieciséis semanas de vida, sino cuando el progenitor responde a las necesidades físicas y emocionales del menor y tiene la capacidad de entender sus necesidades en sí mismas. El interés superior del menor no implica que el progenitor esté físicamente e incluso psicológicamente disponible de forma continuada, ni tampoco que el menor este firmemente vinculado a ese progenitor.</w:t>
      </w:r>
    </w:p>
    <w:p w14:paraId="5E48BCF9" w14:textId="77777777" w:rsidR="003754FE" w:rsidRDefault="003754FE" w:rsidP="003754FE">
      <w:pPr>
        <w:pStyle w:val="TextoNormal"/>
      </w:pPr>
    </w:p>
    <w:p w14:paraId="6AB9546C" w14:textId="77777777" w:rsidR="003754FE" w:rsidRDefault="003754FE" w:rsidP="003754FE">
      <w:pPr>
        <w:pStyle w:val="TextoNormal"/>
      </w:pPr>
      <w:r>
        <w:t>(ix) Frente a la alegación de la recurrente de discriminación indirecta por razón de sexo aporque la decisión de formar familias monoparentales está formada mayoritariamente por mujeres, el letrado de la administración de la Seguridad Social opone que tal decisión es asumida libremente por mujeres y hombres que desean formar este tipo de familias, sin que las empresas ni las instituciones tengan ninguna responsabilidad al respecto. La prestación de nacimiento y cuidado del menor establecida legalmente se regula sin distinción alguna para todos los menores nacidos en familias monoparentales de uno u otro género y el acceso a la maternidad desde una unidad familiar monoparental va a condicionar las circunstancias vitales del menor, pero es una decisión respetable y no exenta de consecuencias inevitables, que no pueden relacionarse ni con la condición del niño, ni de su madre, ni en sus actividades, opiniones o creencias, y la normativa legal analizada no trata de forma diferente ni a las madres biológicas de ambos tipos de familias ni a los menores nacidos en ellas.</w:t>
      </w:r>
    </w:p>
    <w:p w14:paraId="148EDD7C" w14:textId="77777777" w:rsidR="003754FE" w:rsidRDefault="003754FE" w:rsidP="003754FE">
      <w:pPr>
        <w:pStyle w:val="TextoNormal"/>
      </w:pPr>
    </w:p>
    <w:p w14:paraId="324FFDA9" w14:textId="1929A2E0" w:rsidR="003754FE" w:rsidRDefault="003754FE" w:rsidP="003754FE">
      <w:pPr>
        <w:pStyle w:val="TextoNormal"/>
      </w:pPr>
      <w:r>
        <w:t>Por lo expuesto, el letrado de la administración de la Seguridad Social solicita la desestimación del amparo solicitado.</w:t>
      </w:r>
    </w:p>
    <w:p w14:paraId="34AC2AE3" w14:textId="77777777" w:rsidR="003754FE" w:rsidRDefault="003754FE" w:rsidP="003754FE">
      <w:pPr>
        <w:pStyle w:val="TextoNormal"/>
      </w:pPr>
    </w:p>
    <w:p w14:paraId="3A3CB94A" w14:textId="469D0BCC" w:rsidR="003754FE" w:rsidRDefault="003754FE" w:rsidP="003754FE">
      <w:pPr>
        <w:pStyle w:val="TextoNormal"/>
      </w:pPr>
      <w:r w:rsidRPr="003754FE">
        <w:rPr>
          <w:rStyle w:val="NumeroAFNegritaCaracter"/>
        </w:rPr>
        <w:t>10</w:t>
      </w:r>
      <w:r>
        <w:t>. Por providencia de 28 de noviembre de 2024 se señaló para la deliberación y votación de la presente sentencia el día 2 de diciembre de 2024.</w:t>
      </w:r>
    </w:p>
    <w:p w14:paraId="02ECA1F6" w14:textId="77777777" w:rsidR="003754FE" w:rsidRDefault="003754FE" w:rsidP="003754FE">
      <w:pPr>
        <w:pStyle w:val="TextoNormal"/>
      </w:pPr>
    </w:p>
    <w:p w14:paraId="6E55CA3D" w14:textId="77777777" w:rsidR="003754FE" w:rsidRDefault="003754FE" w:rsidP="003754FE">
      <w:pPr>
        <w:pStyle w:val="TextoNormalNegritaCentrado"/>
        <w:keepNext/>
      </w:pPr>
      <w:r>
        <w:t>II. Fundamentos jurídicos</w:t>
      </w:r>
    </w:p>
    <w:p w14:paraId="770A740F" w14:textId="671366A6" w:rsidR="003754FE" w:rsidRDefault="003754FE" w:rsidP="003754FE">
      <w:pPr>
        <w:pStyle w:val="TextoNormalNegritaCentrado"/>
        <w:keepNext/>
      </w:pPr>
    </w:p>
    <w:p w14:paraId="22DDA720" w14:textId="77777777" w:rsidR="003754FE" w:rsidRDefault="003754FE" w:rsidP="003754FE">
      <w:pPr>
        <w:pStyle w:val="TextoNormal"/>
      </w:pPr>
      <w:r w:rsidRPr="003754FE">
        <w:rPr>
          <w:rStyle w:val="NumeroAFNegritaCaracter"/>
        </w:rPr>
        <w:t>1</w:t>
      </w:r>
      <w:r>
        <w:t xml:space="preserve">. </w:t>
      </w:r>
      <w:r w:rsidRPr="003754FE">
        <w:rPr>
          <w:i/>
        </w:rPr>
        <w:t>Objeto del recurso</w:t>
      </w:r>
    </w:p>
    <w:p w14:paraId="2B72C140" w14:textId="77777777" w:rsidR="003754FE" w:rsidRDefault="003754FE" w:rsidP="003754FE">
      <w:pPr>
        <w:pStyle w:val="TextoNormal"/>
      </w:pPr>
    </w:p>
    <w:p w14:paraId="5D2AD9E3" w14:textId="192CB5B5" w:rsidR="003754FE" w:rsidRDefault="003754FE" w:rsidP="003754FE">
      <w:pPr>
        <w:pStyle w:val="TextoNormal"/>
      </w:pPr>
      <w:r>
        <w:t>El objeto del presente proceso es dilucidar si las resoluciones impugnadas han ocasionado una discriminación por razón de nacimiento, contraria al art. 14 CE, en relación con el art. 39 CE, al aplicar el art. 48.4 LET, en relación con el art. 177 LGSS, en la redacción dada a los mismos por el Real-Decreto-ley 6/2019, de 1 de marzo, de medidas urgentes para garantía de la igualdad de trato y de oportunidades entre mujeres y hombres en el empleo y la ocupación.</w:t>
      </w:r>
    </w:p>
    <w:p w14:paraId="3277EEA9" w14:textId="77777777" w:rsidR="003754FE" w:rsidRDefault="003754FE" w:rsidP="003754FE">
      <w:pPr>
        <w:pStyle w:val="TextoNormal"/>
      </w:pPr>
    </w:p>
    <w:p w14:paraId="3A1660C0" w14:textId="77777777" w:rsidR="003754FE" w:rsidRDefault="003754FE" w:rsidP="003754FE">
      <w:pPr>
        <w:pStyle w:val="TextoNormal"/>
      </w:pPr>
      <w:r w:rsidRPr="003754FE">
        <w:rPr>
          <w:rStyle w:val="NumeroAFNegritaCaracter"/>
        </w:rPr>
        <w:t>2</w:t>
      </w:r>
      <w:r>
        <w:t xml:space="preserve">. </w:t>
      </w:r>
      <w:r w:rsidRPr="003754FE">
        <w:rPr>
          <w:i/>
        </w:rPr>
        <w:t>Sobre la especial trascendencia de la cuestión planteada y su justificación en la demanda</w:t>
      </w:r>
    </w:p>
    <w:p w14:paraId="64FD702B" w14:textId="77777777" w:rsidR="003754FE" w:rsidRDefault="003754FE" w:rsidP="003754FE">
      <w:pPr>
        <w:pStyle w:val="TextoNormal"/>
      </w:pPr>
    </w:p>
    <w:p w14:paraId="5B9F2112" w14:textId="77777777" w:rsidR="003754FE" w:rsidRDefault="003754FE" w:rsidP="003754FE">
      <w:pPr>
        <w:pStyle w:val="TextoNormal"/>
      </w:pPr>
      <w:r>
        <w:t>A tenor de la fundamentación de la demanda de amparo y del debate planteado y resuelto en la vía judicial previa sobre el alcance y contenido de los arts. 48.4 LET y 177 LGSS, el presente recurso de amparo fue admitido a trámite tras apreciar que la posible vulneración del derecho fundamental que se denuncia pudiera provenir de la ley [STC 155/2009, FJ 2 C)], en tanto las decisiones administrativas y judiciales cuestionadas justificaban en cada caso la desestimación de la pretensión planteada en el tenor literal de la regulación jurídica aplicable y aplicada al caso.</w:t>
      </w:r>
    </w:p>
    <w:p w14:paraId="498F17A2" w14:textId="77777777" w:rsidR="003754FE" w:rsidRDefault="003754FE" w:rsidP="003754FE">
      <w:pPr>
        <w:pStyle w:val="TextoNormal"/>
      </w:pPr>
    </w:p>
    <w:p w14:paraId="5B5A7651" w14:textId="05BC7ADB" w:rsidR="003754FE" w:rsidRDefault="003754FE" w:rsidP="003754FE">
      <w:pPr>
        <w:pStyle w:val="TextoNormal"/>
      </w:pPr>
      <w:r>
        <w:t>El letrado de la administración de la Seguridad Social cuestiona en sus alegaciones que la demandante haya justificado de forma debida la especial trascendencia constitucional de la cuestión planteada en la demanda de amparo. Sin embargo, tal objeción no puede ser compartida como óbice procesal que conllevaría la inadmisión de la demanda pues, a través de dicha alegación, no se hace sino discrepar de la fundamentación que justifica la queja, anticipando el representante de la administración que no se ha producido vulneración alguna del derecho a la igualdad ante la ley sin que haya lugar a discriminación. Este argumento habrá de ser analizado al resolver la cuestión de fondo lo que, cabe anticipar, se hará en los mismos términos en que ha sido expresado por el Pleno del Tribunal Constitucional en la reciente STC 140/2024, de 6 de noviembre, a la que, por coincidir su objeto, habremos de remitirnos.</w:t>
      </w:r>
    </w:p>
    <w:p w14:paraId="6B23B1C4" w14:textId="77777777" w:rsidR="003754FE" w:rsidRDefault="003754FE" w:rsidP="003754FE">
      <w:pPr>
        <w:pStyle w:val="TextoNormal"/>
      </w:pPr>
    </w:p>
    <w:p w14:paraId="4A6FD3A2" w14:textId="77777777" w:rsidR="003754FE" w:rsidRDefault="003754FE" w:rsidP="003754FE">
      <w:pPr>
        <w:pStyle w:val="TextoNormal"/>
      </w:pPr>
      <w:r w:rsidRPr="003754FE">
        <w:rPr>
          <w:rStyle w:val="NumeroAFNegritaCaracter"/>
        </w:rPr>
        <w:t>3</w:t>
      </w:r>
      <w:r>
        <w:t xml:space="preserve">. </w:t>
      </w:r>
      <w:r w:rsidRPr="003754FE">
        <w:rPr>
          <w:i/>
        </w:rPr>
        <w:t>Aplicación de la doctrina constitucional fijada en la STC 140/2024, de 6 de noviembre</w:t>
      </w:r>
    </w:p>
    <w:p w14:paraId="66E0CF84" w14:textId="77777777" w:rsidR="003754FE" w:rsidRDefault="003754FE" w:rsidP="003754FE">
      <w:pPr>
        <w:pStyle w:val="TextoNormal"/>
      </w:pPr>
    </w:p>
    <w:p w14:paraId="7F64950C" w14:textId="77777777" w:rsidR="003754FE" w:rsidRDefault="003754FE" w:rsidP="003754FE">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1368AEC9" w14:textId="77777777" w:rsidR="003754FE" w:rsidRDefault="003754FE" w:rsidP="003754FE">
      <w:pPr>
        <w:pStyle w:val="TextoNormal"/>
      </w:pPr>
    </w:p>
    <w:p w14:paraId="1114D231" w14:textId="77777777" w:rsidR="003754FE" w:rsidRDefault="003754FE" w:rsidP="003754FE">
      <w:pPr>
        <w:pStyle w:val="TextoNormal"/>
      </w:pPr>
      <w:r>
        <w:lastRenderedPageBreak/>
        <w:t>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5FBDC979" w14:textId="77777777" w:rsidR="003754FE" w:rsidRDefault="003754FE" w:rsidP="003754FE">
      <w:pPr>
        <w:pStyle w:val="TextoNormal"/>
      </w:pPr>
    </w:p>
    <w:p w14:paraId="306DB57A" w14:textId="77777777" w:rsidR="003754FE" w:rsidRDefault="003754FE" w:rsidP="003754FE">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3754FE">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2061198A" w14:textId="77777777" w:rsidR="003754FE" w:rsidRDefault="003754FE" w:rsidP="003754FE">
      <w:pPr>
        <w:pStyle w:val="TextoNormal"/>
      </w:pPr>
    </w:p>
    <w:p w14:paraId="46E1567B" w14:textId="3CB1222E" w:rsidR="003754FE" w:rsidRDefault="003754FE" w:rsidP="003754FE">
      <w:pPr>
        <w:pStyle w:val="TextoNormal"/>
      </w:pPr>
      <w:r>
        <w:t>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273A52BB" w14:textId="77777777" w:rsidR="003754FE" w:rsidRDefault="003754FE" w:rsidP="003754FE">
      <w:pPr>
        <w:pStyle w:val="TextoNormal"/>
      </w:pPr>
    </w:p>
    <w:p w14:paraId="2DE55CC3" w14:textId="77777777" w:rsidR="003754FE" w:rsidRDefault="003754FE" w:rsidP="003754FE">
      <w:pPr>
        <w:pStyle w:val="TextoNormalCentrado"/>
        <w:keepNext/>
      </w:pPr>
      <w:r>
        <w:t>FALLO</w:t>
      </w:r>
    </w:p>
    <w:p w14:paraId="0E251FA6" w14:textId="413BCAF1" w:rsidR="003754FE" w:rsidRDefault="003754FE" w:rsidP="003754FE">
      <w:pPr>
        <w:pStyle w:val="TextoNormalCentrado"/>
        <w:keepNext/>
      </w:pPr>
    </w:p>
    <w:p w14:paraId="4373C9F6"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doña Irakusne Goiriena Ugarte y, en su virtud:</w:t>
      </w:r>
    </w:p>
    <w:p w14:paraId="46CCC138" w14:textId="77777777" w:rsidR="003754FE" w:rsidRDefault="003754FE" w:rsidP="003754FE">
      <w:pPr>
        <w:pStyle w:val="TextoNormal"/>
      </w:pPr>
    </w:p>
    <w:p w14:paraId="24277615" w14:textId="77777777" w:rsidR="003754FE" w:rsidRDefault="003754FE" w:rsidP="003754FE">
      <w:pPr>
        <w:pStyle w:val="TextoNormal"/>
      </w:pPr>
      <w:r>
        <w:t>1º Declarar que ha sido vulnerado el derecho fundamental a la igualdad ante la ley sin discriminación por razón de nacimiento (art. 14 CE).</w:t>
      </w:r>
    </w:p>
    <w:p w14:paraId="5D3009CB" w14:textId="77777777" w:rsidR="003754FE" w:rsidRDefault="003754FE" w:rsidP="003754FE">
      <w:pPr>
        <w:pStyle w:val="TextoNormal"/>
      </w:pPr>
    </w:p>
    <w:p w14:paraId="77C0A639" w14:textId="77777777" w:rsidR="003754FE" w:rsidRDefault="003754FE" w:rsidP="003754FE">
      <w:pPr>
        <w:pStyle w:val="TextoNormal"/>
      </w:pPr>
      <w:r>
        <w:t xml:space="preserve">2º Restablecer a la demandante de amparo en su derecho y, a tal fin, declarar la nulidad de las resoluciones dictadas por la Dirección Provincial de Vizcaya del Instituto Nacional de la Seguridad Social fechadas el 8 de mayo de 2020 y el 23 de diciembre de 2020, la sentencia núm. 176/2022, de 3 de mayo, dictada por el Juzgado de lo Social núm. 1 de </w:t>
      </w:r>
      <w:r>
        <w:lastRenderedPageBreak/>
        <w:t>Bilbao en autos núm. 77-2021, y la sentencia núm. 1296/2023, de 21 de diciembre, dictada por la Sala de lo Social del Tribunal Supremo en el recurso de casación para la unificación de doctrina núm. 5608-2022.</w:t>
      </w:r>
    </w:p>
    <w:p w14:paraId="3E386103" w14:textId="77777777" w:rsidR="003754FE" w:rsidRDefault="003754FE" w:rsidP="003754FE">
      <w:pPr>
        <w:pStyle w:val="TextoNormal"/>
      </w:pPr>
    </w:p>
    <w:p w14:paraId="484F60F1" w14:textId="3FDDF044" w:rsidR="003754FE" w:rsidRDefault="003754FE" w:rsidP="003754FE">
      <w:pPr>
        <w:pStyle w:val="TextoNormal"/>
      </w:pPr>
      <w:r>
        <w:t>3º Retrotraer las actuaciones al momento previo al dictado de la resolución de 8 de mayo de 2020, a fin de que, en los términos expuestos en el último párrafo del fundamento jurídico 3 de la presente sentencia, se dicte otra respetuosa con el derecho fundamental cuya vulneración ha sido declarada.</w:t>
      </w:r>
    </w:p>
    <w:p w14:paraId="6AE13586" w14:textId="77777777" w:rsidR="003754FE" w:rsidRDefault="003754FE" w:rsidP="003754FE">
      <w:pPr>
        <w:pStyle w:val="TextoNormal"/>
      </w:pPr>
    </w:p>
    <w:p w14:paraId="3C74BBB5" w14:textId="77777777" w:rsidR="003754FE" w:rsidRDefault="003754FE" w:rsidP="003754FE">
      <w:pPr>
        <w:pStyle w:val="TextoNormal"/>
      </w:pPr>
      <w:r>
        <w:t>Publíquese esta sentencia en el “Boletín Oficial del Estado”.</w:t>
      </w:r>
    </w:p>
    <w:p w14:paraId="130718E0" w14:textId="77777777" w:rsidR="003754FE" w:rsidRDefault="003754FE" w:rsidP="003754FE">
      <w:pPr>
        <w:pStyle w:val="TextoNormal"/>
      </w:pPr>
      <w:r>
        <w:t>Dada en Madrid, a dos de diciembre de dos mil veinticuatro.</w:t>
      </w:r>
    </w:p>
    <w:p w14:paraId="7040F323" w14:textId="06BC83AC" w:rsidR="003754FE" w:rsidRDefault="003754FE">
      <w:pPr>
        <w:spacing w:after="160" w:line="278" w:lineRule="auto"/>
        <w:rPr>
          <w:rFonts w:ascii="Times New Roman" w:eastAsia="Times New Roman" w:hAnsi="Times New Roman" w:cs="Times New Roman"/>
          <w:sz w:val="24"/>
          <w:szCs w:val="24"/>
          <w:lang w:eastAsia="es-ES"/>
        </w:rPr>
      </w:pPr>
      <w:r>
        <w:br w:type="page"/>
      </w:r>
    </w:p>
    <w:p w14:paraId="30817500" w14:textId="77777777" w:rsidR="003754FE" w:rsidRDefault="003754FE" w:rsidP="003754FE">
      <w:pPr>
        <w:pStyle w:val="TtuloResolucin"/>
      </w:pPr>
      <w:bookmarkStart w:id="59" w:name="SENTENCIA_2024_150"/>
      <w:r>
        <w:lastRenderedPageBreak/>
        <w:t>SENTENCIA 150/2024, de 2 de diciembre de 2024</w:t>
      </w:r>
    </w:p>
    <w:bookmarkEnd w:id="59"/>
    <w:p w14:paraId="5C7C0B04" w14:textId="77777777" w:rsidR="003754FE" w:rsidRDefault="003754FE" w:rsidP="003754FE">
      <w:pPr>
        <w:pStyle w:val="TtuloResolucin"/>
      </w:pPr>
      <w:r>
        <w:t>Sala Primera</w:t>
      </w:r>
    </w:p>
    <w:p w14:paraId="7B5483B5" w14:textId="77777777" w:rsidR="003754FE" w:rsidRDefault="003754FE" w:rsidP="003754FE">
      <w:pPr>
        <w:pStyle w:val="TtuloBOE"/>
      </w:pPr>
      <w:r>
        <w:t>(BOE núm. 5, de 6 de enero de 2025)</w:t>
      </w:r>
    </w:p>
    <w:p w14:paraId="0A4528A1" w14:textId="77777777" w:rsidR="003754FE" w:rsidRDefault="003754FE" w:rsidP="003754FE">
      <w:pPr>
        <w:pStyle w:val="TextoNormalCentrado"/>
      </w:pPr>
      <w:r>
        <w:t>ECLI:ES:TC:2024:150</w:t>
      </w:r>
    </w:p>
    <w:p w14:paraId="632335C0" w14:textId="58D1F8DD" w:rsidR="003754FE" w:rsidRDefault="003754FE" w:rsidP="003754FE">
      <w:pPr>
        <w:pStyle w:val="TextoNormalCentrado"/>
      </w:pPr>
    </w:p>
    <w:p w14:paraId="6F2715AA" w14:textId="77777777" w:rsidR="003754FE" w:rsidRDefault="003754FE" w:rsidP="003754FE">
      <w:pPr>
        <w:pStyle w:val="SntesisDescriptiva"/>
      </w:pPr>
      <w:r>
        <w:t>Recurso de amparo 1845-2024. Promovido por doña María Gorriarán Arteaga en relación con las resoluciones administrativas y judiciales que desestimaron su petición de revisión y ampliación de la prestación por nacimiento y cuidado de hijo menor, como madre biológica de familia monoparental.</w:t>
      </w:r>
    </w:p>
    <w:p w14:paraId="57A6727C" w14:textId="61D2CD9E" w:rsidR="003754FE" w:rsidRDefault="003754FE" w:rsidP="003754FE">
      <w:pPr>
        <w:pStyle w:val="SntesisDescriptiva"/>
      </w:pPr>
    </w:p>
    <w:p w14:paraId="46D1D5E6" w14:textId="77777777" w:rsidR="003754FE" w:rsidRDefault="003754FE" w:rsidP="003754FE">
      <w:pPr>
        <w:pStyle w:val="SntesisAnaltica"/>
      </w:pPr>
      <w:r>
        <w:t>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5614A72E" w14:textId="50401E28" w:rsidR="003754FE" w:rsidRDefault="003754FE" w:rsidP="003754FE">
      <w:pPr>
        <w:pStyle w:val="SntesisAnaltica"/>
      </w:pPr>
    </w:p>
    <w:p w14:paraId="59D3FD11" w14:textId="34A0516A" w:rsidR="003754FE" w:rsidRDefault="003754FE" w:rsidP="003754FE">
      <w:pPr>
        <w:pStyle w:val="Extracto"/>
      </w:pPr>
      <w:r>
        <w:t>1.</w:t>
      </w:r>
      <w:r>
        <w:tab/>
        <w:t>Aplicación de la doctrina recogida en la STC 140/2024 en materias de permiso por nacimiento y cuidado de menor, y de la correspondiente prestación de la Seguridad Social [FJ 3].</w:t>
      </w:r>
    </w:p>
    <w:p w14:paraId="52D1C784" w14:textId="77777777" w:rsidR="003754FE" w:rsidRDefault="003754FE" w:rsidP="003754FE">
      <w:pPr>
        <w:pStyle w:val="Extracto"/>
      </w:pPr>
    </w:p>
    <w:p w14:paraId="2D9A58C6" w14:textId="77777777" w:rsidR="003754FE" w:rsidRDefault="003754FE" w:rsidP="003754FE">
      <w:pPr>
        <w:pStyle w:val="Extracto"/>
      </w:pPr>
    </w:p>
    <w:p w14:paraId="16F4D8D8" w14:textId="77777777" w:rsidR="003754FE" w:rsidRDefault="003754FE" w:rsidP="003754FE">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2F5A0495" w14:textId="49888F78" w:rsidR="003754FE" w:rsidRDefault="003754FE" w:rsidP="003754FE">
      <w:pPr>
        <w:pStyle w:val="TextoNormal"/>
      </w:pPr>
    </w:p>
    <w:p w14:paraId="2D002CEA" w14:textId="77777777" w:rsidR="003754FE" w:rsidRDefault="003754FE" w:rsidP="003754FE">
      <w:pPr>
        <w:pStyle w:val="TextoNormalCentrado"/>
        <w:keepNext/>
      </w:pPr>
      <w:r>
        <w:t>EN NOMBRE DEL REY</w:t>
      </w:r>
    </w:p>
    <w:p w14:paraId="33C8D821" w14:textId="3B184447" w:rsidR="003754FE" w:rsidRDefault="003754FE" w:rsidP="003754FE">
      <w:pPr>
        <w:pStyle w:val="TextoNormalCentrado"/>
        <w:keepNext/>
      </w:pPr>
    </w:p>
    <w:p w14:paraId="5E2A0FF5" w14:textId="77777777" w:rsidR="003754FE" w:rsidRDefault="003754FE" w:rsidP="003754FE">
      <w:pPr>
        <w:pStyle w:val="TextoNormalCentrado"/>
        <w:keepNext/>
      </w:pPr>
    </w:p>
    <w:p w14:paraId="564CA3DB" w14:textId="77777777" w:rsidR="003754FE" w:rsidRDefault="003754FE" w:rsidP="003754FE">
      <w:pPr>
        <w:pStyle w:val="TextoNormal"/>
      </w:pPr>
      <w:r>
        <w:t>la siguiente</w:t>
      </w:r>
    </w:p>
    <w:p w14:paraId="56D2D7BD" w14:textId="71AB5E46" w:rsidR="003754FE" w:rsidRDefault="003754FE" w:rsidP="003754FE">
      <w:pPr>
        <w:pStyle w:val="TextoNormal"/>
      </w:pPr>
    </w:p>
    <w:p w14:paraId="7B77696A" w14:textId="77777777" w:rsidR="003754FE" w:rsidRDefault="003754FE" w:rsidP="003754FE">
      <w:pPr>
        <w:pStyle w:val="TextoNormalCentrado"/>
        <w:keepNext/>
      </w:pPr>
      <w:r>
        <w:t>SENTENCIA</w:t>
      </w:r>
    </w:p>
    <w:p w14:paraId="7A773A77" w14:textId="4B0AE170" w:rsidR="003754FE" w:rsidRDefault="003754FE" w:rsidP="003754FE">
      <w:pPr>
        <w:pStyle w:val="TextoNormalCentrado"/>
        <w:keepNext/>
      </w:pPr>
    </w:p>
    <w:p w14:paraId="4D320244" w14:textId="77777777" w:rsidR="003754FE" w:rsidRDefault="003754FE" w:rsidP="003754FE">
      <w:pPr>
        <w:pStyle w:val="TextoNormal"/>
      </w:pPr>
      <w:r>
        <w:t>En el recurso de amparo núm. 1845-2024, promovido por doña María Gorriarán Arteaga, representada por la procuradora de los tribunales doña María Esperanza Azpeitia Calvin y asistida por el letrado don Héctor Mata Diestro, contra la resolución de 19 de mayo de 2021, del director provincial del Instituto Nacional de la Seguridad Social (INSS), que desestimó la petición de revisión y ampliación de la prestación por nacimiento y cuidado de hijo menor, como madre biológica de familia monoparental; la sentencia 498/2021, de 16 de noviembre, del Juzgado de lo Social núm. 3 de Bilbao (autos núm. 627-2021); la sentencia de 12 de julio de 2022, de la Sala de lo Social del Tribunal Superior de Justicia del País Vasco (recurso de suplicación núm. 312-2022) y la sentencia 265/2024, de 9 de febrero, de la Sala de lo Social del Tribunal Supremo (recurso de casación para la unificación de doctrina núm. 4431-2022) que estimó el recurso presentado por la representación del INSS y la Tesorería General de la Seguridad Social (TGSS). Han intervenido el letrado de la administración de la Seguridad Social, en nombre del INSS y la TGSS, y el Ministerio Fiscal. Ha sido ponente el magistrado don Juan Carlos Campo Moreno.</w:t>
      </w:r>
    </w:p>
    <w:p w14:paraId="18147D67" w14:textId="3AA7AA03" w:rsidR="003754FE" w:rsidRDefault="003754FE" w:rsidP="003754FE">
      <w:pPr>
        <w:pStyle w:val="TextoNormal"/>
      </w:pPr>
    </w:p>
    <w:p w14:paraId="0ACB0363" w14:textId="77777777" w:rsidR="003754FE" w:rsidRDefault="003754FE" w:rsidP="003754FE">
      <w:pPr>
        <w:pStyle w:val="TextoNormalNegritaCentrado"/>
        <w:keepNext/>
      </w:pPr>
      <w:r>
        <w:t>I. Antecedentes</w:t>
      </w:r>
    </w:p>
    <w:p w14:paraId="0EC613A5" w14:textId="5FEC6427" w:rsidR="003754FE" w:rsidRDefault="003754FE" w:rsidP="003754FE">
      <w:pPr>
        <w:pStyle w:val="TextoNormalNegritaCentrado"/>
        <w:keepNext/>
      </w:pPr>
    </w:p>
    <w:p w14:paraId="28C1926B" w14:textId="11BBF90A" w:rsidR="003754FE" w:rsidRDefault="003754FE" w:rsidP="003754FE">
      <w:pPr>
        <w:pStyle w:val="TextoNormal"/>
      </w:pPr>
      <w:r w:rsidRPr="003754FE">
        <w:rPr>
          <w:rStyle w:val="NumeroAFNegritaCaracter"/>
        </w:rPr>
        <w:t>1</w:t>
      </w:r>
      <w:r>
        <w:t>. Mediante escrito registrado en este Tribunal el 14 de marzo de 2024, la representante procesal de doña María Gorriarán Arteaga, bajo la dirección letrada de don Héctor Mata Diestro, interpuso recurso de amparo contra la decisión administrativa y resoluciones judiciales a las que se ha hecho referencia en el encabezamiento de esta sentencia.</w:t>
      </w:r>
    </w:p>
    <w:p w14:paraId="04C9D0C3" w14:textId="77777777" w:rsidR="003754FE" w:rsidRDefault="003754FE" w:rsidP="003754FE">
      <w:pPr>
        <w:pStyle w:val="TextoNormal"/>
      </w:pPr>
    </w:p>
    <w:p w14:paraId="438F387B" w14:textId="77777777" w:rsidR="003754FE" w:rsidRDefault="003754FE" w:rsidP="003754FE">
      <w:pPr>
        <w:pStyle w:val="TextoNormal"/>
      </w:pPr>
      <w:r w:rsidRPr="003754FE">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2BDBF0A0" w14:textId="77777777" w:rsidR="003754FE" w:rsidRDefault="003754FE" w:rsidP="003754FE">
      <w:pPr>
        <w:pStyle w:val="TextoNormal"/>
      </w:pPr>
    </w:p>
    <w:p w14:paraId="027E2D7C" w14:textId="77777777" w:rsidR="003754FE" w:rsidRDefault="003754FE" w:rsidP="003754FE">
      <w:pPr>
        <w:pStyle w:val="TextoNormal"/>
      </w:pPr>
      <w:r>
        <w:t>a) La señora Gorriarán Arteaga es madre biológica de un niño, nacido en el mes de septiembre de 2020, con quien forma una familia monoparental. Por resolución de 19 de octubre de 2020 le fue reconocido el derecho a la prestación de nacimiento y cuidado del menor por el período comprendido entre el 24 de septiembre de 2020 y el 13 de enero de 2021. El 11 de marzo de 2021 solicitó revisión de la prestación concedida alegando constituir una familia monoparental y reclamando la ampliación de la prestación en doce semanas más, añadiendo al período ya reconocido el que consideraba hubiera correspondido al segundo progenitor en el supuesto de una familia biparental. La solicitud de revisión y ampliación de la prestación fue denegada por el INSS mediante resolución de 19 de mayo de 2021, frente a la cual la demandante de amparo formuló reclamación administrativa previa, que ha de entenderse denegada por silencio administrativo.</w:t>
      </w:r>
    </w:p>
    <w:p w14:paraId="47DA75FA" w14:textId="77777777" w:rsidR="003754FE" w:rsidRDefault="003754FE" w:rsidP="003754FE">
      <w:pPr>
        <w:pStyle w:val="TextoNormal"/>
      </w:pPr>
    </w:p>
    <w:p w14:paraId="63F4C5A8" w14:textId="77777777" w:rsidR="003754FE" w:rsidRDefault="003754FE" w:rsidP="003754FE">
      <w:pPr>
        <w:pStyle w:val="TextoNormal"/>
      </w:pPr>
      <w:r>
        <w:t>b) Sintiéndose discriminada por la respuesta recibida, el 9 de junio de 2021 la demandante cuestionó las decisiones administrativas ante el Juzgado de lo Social núm. 3 de Bilbao (autos núm. 627-2021) que, mediante sentencia de 16 de noviembre de 2021, estimó parcialmente la demanda interpuesta y declaró el derecho de la actora a “complementar la prestación de maternidad con otras ocho semanas, con arreglo a las condiciones económicas ya reconocidas” quedando INSS y TGSS obligados a estar y pasar por esta declaración. La sentencia consideró que, a tenor de la extensión del permiso de paternidad acordada por el Real Decreto-ley 6/2019, de 1 de marzo, de medidas urgentes para garantía de la igualdad de trato y de oportunidades entre mujeres y hombres en el empleo y la ocupación, y la interpretación de las normas aplicables realizada por la Sala de lo Social del Tribunal Superior de Justicia del País Vasco [art. 48 del texto refundido de la Ley del estatuto de los trabajadores, aprobado por el Real Decreto Legislativo 2/2015, de 23 de octubre (en adelante LET)] y art. 177 del texto refundido de la Ley general de la Seguridad Social aprobado por el Real Decreto Legislativo 8/2015, de 30 de octubre (en adelante LGSS), a cuya doctrina se remitió literal y expresamente, la pretensión había de ser estimada en protección del interés superior del menor, lo que exigía únicamente restar, de las doce semanas de permiso y prestación económica reclamados, las cuatro primeras que, atendiendo a su finalidad, habrían de disfrutarse conjuntamente por ambos progenitores, lo que no era posible en estos supuestos. La sentencia estimatoria fue aclarada formalmente por auto de 14 de diciembre de 2021, corrigiendo un error cometido en la designación de la demandante.</w:t>
      </w:r>
    </w:p>
    <w:p w14:paraId="4D11232D" w14:textId="77777777" w:rsidR="003754FE" w:rsidRDefault="003754FE" w:rsidP="003754FE">
      <w:pPr>
        <w:pStyle w:val="TextoNormal"/>
      </w:pPr>
    </w:p>
    <w:p w14:paraId="05536E79" w14:textId="77777777" w:rsidR="003754FE" w:rsidRDefault="003754FE" w:rsidP="003754FE">
      <w:pPr>
        <w:pStyle w:val="TextoNormal"/>
      </w:pPr>
      <w:r>
        <w:t xml:space="preserve">c) La señora Gorriarán Arteaga y la representación del INSS y la TGSS recurrieron en suplicación la sentencia de instancia. La entidad gestora para sostener que la actora no tiene </w:t>
      </w:r>
      <w:r>
        <w:lastRenderedPageBreak/>
        <w:t>derecho a la prestación reconocida, en tanto que la demandante interesó que se le reconociera la ampliación del permiso y consiguiente prestación durante cuatro semanas más, hasta un total de doce, reclamando además una indemnización adicional por lesión de derechos fundamentales.</w:t>
      </w:r>
    </w:p>
    <w:p w14:paraId="61B1B27A" w14:textId="77777777" w:rsidR="003754FE" w:rsidRDefault="003754FE" w:rsidP="003754FE">
      <w:pPr>
        <w:pStyle w:val="TextoNormal"/>
      </w:pPr>
    </w:p>
    <w:p w14:paraId="3AD69939" w14:textId="77777777" w:rsidR="003754FE" w:rsidRDefault="003754FE" w:rsidP="003754FE">
      <w:pPr>
        <w:pStyle w:val="TextoNormal"/>
      </w:pPr>
      <w:r>
        <w:t>Mediante sentencia de 12 de julio de 2022 (recurso de suplicación núm. 312-2022) fue parcialmente estimado el recurso de la actora, con desestimación del formulado por la representación del INSS y la TGSS. Al justificar su decisión, la Sala de lo Social del Tribunal Superior de Justicia del País Vasco ratificó la doctrina jurisprudencial propia (sentencia de 6 de octubre de 2020) que había sido fundamento de la sentencia de instancia para admitir la ampliación del permiso y prestación por nacimiento de menor. A lo expuesto añadió que debía también estimar el recurso de la madre biológica extendiendo de ocho a doce semanas la ampliación de su permiso y prestación por nacimiento, desestimando, por el contrario, la solicitud de indemnización por daño moral.</w:t>
      </w:r>
    </w:p>
    <w:p w14:paraId="670A0357" w14:textId="77777777" w:rsidR="003754FE" w:rsidRDefault="003754FE" w:rsidP="003754FE">
      <w:pPr>
        <w:pStyle w:val="TextoNormal"/>
      </w:pPr>
    </w:p>
    <w:p w14:paraId="06EB7BF9" w14:textId="77777777" w:rsidR="003754FE" w:rsidRDefault="003754FE" w:rsidP="003754FE">
      <w:pPr>
        <w:pStyle w:val="TextoNormal"/>
      </w:pPr>
      <w:r>
        <w:t>d) El letrado de la administración de la Seguridad Social interpuso recurso de casación para la unificación de doctrina frente a la mencionada sentencia de suplicación que, en esencia, con cita de la STS 169/2023, de 2 de marzo (recurso núm. 3972-2020; ECLI:ES:TS:2023:783), vino fundado en los mismos argumentos que el recurso de suplicación previo, apegados al tenor literal de las normas reguladoras del permiso de nacimiento y la inexistencia de previsión legal que justificara la ampliación a la madre biológica del permiso que hubiera disfrutado el otro progenitor de haberse integrado en la unidad familiar. Se ofreció como sentencia de contraste otra dictada por la Sala de lo Social del Tribunal Superior de Justicia de la Comunidad Valenciana. Dicha fundamentación vino complementada por un extenso razonamiento que defendía que la regulación aplicable no contravenía la Constitución, ni los tratados y acuerdos internacionales suscritos por España que habían sido alegados de contrario y servían de fundamento a la doctrina de la Sala de lo Social del Tribunal Superior de Justicia del País Vasco.</w:t>
      </w:r>
    </w:p>
    <w:p w14:paraId="77F31BCF" w14:textId="77777777" w:rsidR="003754FE" w:rsidRDefault="003754FE" w:rsidP="003754FE">
      <w:pPr>
        <w:pStyle w:val="TextoNormal"/>
      </w:pPr>
    </w:p>
    <w:p w14:paraId="23C77C72" w14:textId="6FC96DD4" w:rsidR="003754FE" w:rsidRDefault="003754FE" w:rsidP="003754FE">
      <w:pPr>
        <w:pStyle w:val="TextoNormal"/>
      </w:pPr>
      <w:r>
        <w:t>e) El recurso de casación para la unificación de doctrina fue estimado por sentencia 265/2024, de 9 de febrero. Tras rechazar fundadamente la petición de planteamiento de una cuestión prejudicial ante el Tribunal de Justicia de la Unión Europea, se argumenta en ella que sí existe la denunciada contradicción alegada entre la doctrina aplicada en la instancia y suplicación y la fijada por la Sala de lo Social del Tribunal Supremo en la sentencia de 2 de marzo de 2023, según la cual, la naturaleza y finalidad del permiso a los progenitores por nacimiento de un hijo, la taxativa regulación normativa de este en la Ley del estatuto de los trabajadores y la Ley general de la Seguridad Social, su carácter personal e intransferible, las consecuencias que la extensión pretendida tiene sobre el empleador, su concordancia con las exigencias de igualdad y no discriminación que derivan de la Constitución, según ha interpretado la doctrina constitucional (STC 75/2011, de 19 de mayo), así como la normas internacionales alegadas, permiten sustentar la imposibilidad justificada de reconocer en favor de la madre biológica el permiso que hubiera correspondido al otro progenitor no integrado en una familia monoparental; sin que ello suponga desatender el interés en la protección del menor.</w:t>
      </w:r>
    </w:p>
    <w:p w14:paraId="69A72529" w14:textId="77777777" w:rsidR="003754FE" w:rsidRDefault="003754FE" w:rsidP="003754FE">
      <w:pPr>
        <w:pStyle w:val="TextoNormal"/>
      </w:pPr>
    </w:p>
    <w:p w14:paraId="45CB5090" w14:textId="77777777" w:rsidR="003754FE" w:rsidRDefault="003754FE" w:rsidP="003754FE">
      <w:pPr>
        <w:pStyle w:val="TextoNormal"/>
      </w:pPr>
      <w:r w:rsidRPr="003754FE">
        <w:rPr>
          <w:rStyle w:val="NumeroAFNegritaCaracter"/>
        </w:rPr>
        <w:t>3</w:t>
      </w:r>
      <w:r>
        <w:t>. Tres son los motivos por los que la demandante solicita el amparo de este tribunal, todos por infracción del art. 14 CE, tanto de forma directa por su estado civil, en tanto integra una familia monoparental, como indirectamente por su condición de mujer.</w:t>
      </w:r>
    </w:p>
    <w:p w14:paraId="2C3B1194" w14:textId="77777777" w:rsidR="003754FE" w:rsidRDefault="003754FE" w:rsidP="003754FE">
      <w:pPr>
        <w:pStyle w:val="TextoNormal"/>
      </w:pPr>
    </w:p>
    <w:p w14:paraId="6ED48220" w14:textId="77777777" w:rsidR="003754FE" w:rsidRDefault="003754FE" w:rsidP="003754FE">
      <w:pPr>
        <w:pStyle w:val="TextoNormal"/>
      </w:pPr>
      <w:r>
        <w:t>a) Considera, en primer lugar, que las resoluciones administrativa y judiciales que le han denegado la ampliación de la prestación por nacimiento y cuidado de su hijo le otorgan una diferencia de trato injustificada y desproporcionada, que extiende sus efectos a su hijo recién nacido, circunstancias y efectos que no encuentran justificación suficiente en una interpretación literal y formalista de la normativa reguladora que ha sido aplicada. Indica que su pretensión de amparo debe estimarse declarando vulnerado el derecho a la igualdad ante la ley (art. 14.1 CE), dado que las decisiones impugnadas se han basado en una interpretación carente de justificación objetiva y razonable, siendo sus consecuencias jurídicas especialmente gravosas o desmedidas tanto para la recurrente como para su hijo recién nacido.</w:t>
      </w:r>
    </w:p>
    <w:p w14:paraId="7AB0924F" w14:textId="77777777" w:rsidR="003754FE" w:rsidRDefault="003754FE" w:rsidP="003754FE">
      <w:pPr>
        <w:pStyle w:val="TextoNormal"/>
      </w:pPr>
    </w:p>
    <w:p w14:paraId="6471615E" w14:textId="77777777" w:rsidR="003754FE" w:rsidRDefault="003754FE" w:rsidP="003754FE">
      <w:pPr>
        <w:pStyle w:val="TextoNormal"/>
      </w:pPr>
      <w:r>
        <w:t>La reducción del tiempo de cuidados personales que los nacidos sufren como consecuencia de quedar integrados en una familia monoparental no es acorde con el principio general de igualdad, que ha de ponerse en relación con los principios rectores que se enuncian en el artículo 39 CE. Entiende que la debida lectura de estos principios, en conjunción con las normas internacionales sobre protección de la familia y los menores de edad debiera haber llevado a una interpretación distinta de la acordada, que sea concorde con la protección del interés superior del menor y la pretensión que ha defendido en la vía judicial previa.</w:t>
      </w:r>
    </w:p>
    <w:p w14:paraId="65178C12" w14:textId="77777777" w:rsidR="003754FE" w:rsidRDefault="003754FE" w:rsidP="003754FE">
      <w:pPr>
        <w:pStyle w:val="TextoNormal"/>
      </w:pPr>
    </w:p>
    <w:p w14:paraId="43FABC1D" w14:textId="77777777" w:rsidR="003754FE" w:rsidRDefault="003754FE" w:rsidP="003754FE">
      <w:pPr>
        <w:pStyle w:val="TextoNormal"/>
      </w:pPr>
      <w:r>
        <w:t>b) Discriminación directa por circunstancias personales y familiares (art. 14.2 en relación con el art. 39 CE). Señala que la diferencia de trato legislativo, administrativo y judicial por su condición de integrante de una familia monoparental debe ser apreciada como una de las causas de discriminación incluidas en el inciso del art. 14 CE, conforme al cual, lo es “cualquier otra condición o circunstancia personal o social” a las citadas por la Constitución. Entiende afectado su derecho al libre desarrollo de la personalidad en cuanto su decisión de formar una familia monoparental está vinculada con las convicciones y creencias más íntimas de la persona (art.16 CE), y resulta amparada por el derecho a la vida familiar que reconoce el art. 8 del Convenio europeo para la protección de los derechos humanos y de las libertades fundamentales (CEDH).</w:t>
      </w:r>
    </w:p>
    <w:p w14:paraId="3E111ED1" w14:textId="77777777" w:rsidR="003754FE" w:rsidRDefault="003754FE" w:rsidP="003754FE">
      <w:pPr>
        <w:pStyle w:val="TextoNormal"/>
      </w:pPr>
    </w:p>
    <w:p w14:paraId="0B379A87" w14:textId="77777777" w:rsidR="003754FE" w:rsidRDefault="003754FE" w:rsidP="003754FE">
      <w:pPr>
        <w:pStyle w:val="TextoNormal"/>
      </w:pPr>
      <w:r>
        <w:t>Sostiene que tanto la actuación administrativa como la judicial que cuestiona se apoyan en la decisión de la recurrente en amparo de ser la única progenitora de su hijo, pues este ha sido el criterio rector que ha llevado a denegar la petición de extensión de la duración de las prestaciones por nacimiento de un hijo, lo que constituye un criterio diferenciador manifiestamente irrazonable, contrario al art. 39 CE, y a la propia doctrina del Tribunal Constitucional recogida en las SSTC 62/2008, de 26 de mayo, FJ 5, y 26/2011, de 14 de marzo, FJ 6. En apoyo de su petición de amparo recoge y desarrolla la doctrina constitucional precedente sobre la utilización como criterio de resolución del interés superior del menor que, de forma directa, disfrutaría en este caso de un tiempo menor de cuidados personales como consecuencia del trato discriminatorio que denuncia.</w:t>
      </w:r>
    </w:p>
    <w:p w14:paraId="1AD09F79" w14:textId="77777777" w:rsidR="003754FE" w:rsidRDefault="003754FE" w:rsidP="003754FE">
      <w:pPr>
        <w:pStyle w:val="TextoNormal"/>
      </w:pPr>
    </w:p>
    <w:p w14:paraId="0899B498" w14:textId="77777777" w:rsidR="003754FE" w:rsidRDefault="003754FE" w:rsidP="003754FE">
      <w:pPr>
        <w:pStyle w:val="TextoNormal"/>
      </w:pPr>
      <w:r>
        <w:t xml:space="preserve">c) En el último motivo de queja, afirma la recurrente que, como consecuencia de la razón de exclusión que justifica las resoluciones impugnadas en amparo, se habría producido adicionalmente una discriminación por razón de sexo debido a que, como viene acreditado estadísticamente con los datos a los que se refiere en su demanda, en la mayoría de las familias monoparentales, el progenitor único es una mujer (81 por 100 en 2020); situación esta a la que se debe aplicar el concepto de discriminación indirecta por razón de sexo que </w:t>
      </w:r>
      <w:r>
        <w:lastRenderedPageBreak/>
        <w:t>ha sido acogido por la doctrina constitucional (STC 11/2023, de 23 de febrero, que se remite a lo expuesto en la STC 71/2020, de 29 de junio).</w:t>
      </w:r>
    </w:p>
    <w:p w14:paraId="41742771" w14:textId="77777777" w:rsidR="003754FE" w:rsidRDefault="003754FE" w:rsidP="003754FE">
      <w:pPr>
        <w:pStyle w:val="TextoNormal"/>
      </w:pPr>
    </w:p>
    <w:p w14:paraId="3AA35633" w14:textId="15F7920B" w:rsidR="003754FE" w:rsidRDefault="003754FE" w:rsidP="003754FE">
      <w:pPr>
        <w:pStyle w:val="TextoNormal"/>
      </w:pPr>
      <w:r>
        <w:t>Para la demandante, la posible vulneración del derecho fundamental que se denuncia pudiera provenir de la ley (art. 48.4 LET) [STC 155/2009, de 25 de junio, FJ 2 c)]; su recurso plantea un problema o se refiere a una faceta de un derecho fundamental susceptible de amparo sobre el que no hay doctrina del Tribunal Constitucional; y puede dar ocasión al Tribunal para aclarar o modificar su doctrina mediante un proceso de reflexión interna, y como consecuencia de cambios normativos relevantes para la configuración del contenido del derecho fundamental [STC 155/2009, FJ 2 a) y b)]; poniendo de manifiesto, además, que estas circunstancias le llevan a defender que el recurso de amparo presenta especial trascendencia constitucional.</w:t>
      </w:r>
    </w:p>
    <w:p w14:paraId="04CDE999" w14:textId="77777777" w:rsidR="003754FE" w:rsidRDefault="003754FE" w:rsidP="003754FE">
      <w:pPr>
        <w:pStyle w:val="TextoNormal"/>
      </w:pPr>
    </w:p>
    <w:p w14:paraId="63553695" w14:textId="6B9A14B7" w:rsidR="003754FE" w:rsidRDefault="003754FE" w:rsidP="003754FE">
      <w:pPr>
        <w:pStyle w:val="TextoNormal"/>
      </w:pPr>
      <w:r w:rsidRPr="003754FE">
        <w:rPr>
          <w:rStyle w:val="NumeroAFNegritaCaracter"/>
        </w:rPr>
        <w:t>4</w:t>
      </w:r>
      <w:r>
        <w:t>. Mediante providencia de 3 de junio de 2024, la Sección Segunda de este tribunal acordó admitir a trámite el presente recurso apreciando que concurría en él la especial trascendencia constitucional que exige el 50.1 de la Ley Orgánica del Tribunal Constitucional (LOTC), como consecuencia de que la posible vulneración del derecho fundamental que se denuncia pudiera provenir de la ley o de otra disposición de carácter general [STC 155/2009, FJ 2 c)]. Asimismo, se acordó en la misma providencia recabar de los órganos judiciales copia adverada de las actuaciones, ordenando se procediera a emplazar a quienes fueron parte en las distintas instancias (Juzgado de lo Social y salas del Tribunal Superior de Justicia y del Tribunal Supremo) para que, en el plazo de diez días, si lo desearan, pudieran comparecer en este proceso constitucional.</w:t>
      </w:r>
    </w:p>
    <w:p w14:paraId="1E3222A3" w14:textId="77777777" w:rsidR="003754FE" w:rsidRDefault="003754FE" w:rsidP="003754FE">
      <w:pPr>
        <w:pStyle w:val="TextoNormal"/>
      </w:pPr>
    </w:p>
    <w:p w14:paraId="159A9345" w14:textId="15908D4A" w:rsidR="003754FE" w:rsidRDefault="003754FE" w:rsidP="003754FE">
      <w:pPr>
        <w:pStyle w:val="TextoNormal"/>
      </w:pPr>
      <w:r w:rsidRPr="003754FE">
        <w:rPr>
          <w:rStyle w:val="NumeroAFNegritaCaracter"/>
        </w:rPr>
        <w:t>5</w:t>
      </w:r>
      <w:r>
        <w:t>. Una vez el letrado de la administración de la Seguridad Social solicitó su personación en nombre del INSS y la TGSS, mediante diligencia de ordenación de 11 de julio de 2024, la Sala Primera del Tribunal Constitucional acordó; (i) tenerle por personado y parte en el procedimiento; y (ii) dar vista de las actuaciones recibidas a las partes personadas y al Ministerio Fiscal, por plazo común de veinte días, dentro de los cuales podrán presentar las alegaciones que estimen pertinentes, conforme determina el artículo 52.1 de la Ley Orgánica de este tribunal.</w:t>
      </w:r>
    </w:p>
    <w:p w14:paraId="56DC54DD" w14:textId="77777777" w:rsidR="003754FE" w:rsidRDefault="003754FE" w:rsidP="003754FE">
      <w:pPr>
        <w:pStyle w:val="TextoNormal"/>
      </w:pPr>
    </w:p>
    <w:p w14:paraId="5AACFA39" w14:textId="200CBF24" w:rsidR="003754FE" w:rsidRDefault="003754FE" w:rsidP="003754FE">
      <w:pPr>
        <w:pStyle w:val="TextoNormal"/>
      </w:pPr>
      <w:r w:rsidRPr="003754FE">
        <w:rPr>
          <w:rStyle w:val="NumeroAFNegritaCaracter"/>
        </w:rPr>
        <w:t>6</w:t>
      </w:r>
      <w:r>
        <w:t>. La Asociacion de madres solteras por elección, representada por el procurador don David García Riquelme, con la asistencia letrada de doña Lourdes Ruiz Esquerra, presentó escrito en el registro de este tribunal el 18 de julio de 2024 solicitando su personación en el presente procedimiento de amparo. Alegaba en él ostentar interés legítimo sobre la cuestión de fondo planteada. Una vez acreditado que la citada asociación no había sido parte en ninguna de las instancias seguidas en la vía judicial previa, la Sala, mediante providencia de 22 de octubre de 2024, acordó no admitir la personación solicitada en aplicación de doctrina precedente (ATC 47/2013, de 25 de febrero).</w:t>
      </w:r>
    </w:p>
    <w:p w14:paraId="350A5F98" w14:textId="77777777" w:rsidR="003754FE" w:rsidRDefault="003754FE" w:rsidP="003754FE">
      <w:pPr>
        <w:pStyle w:val="TextoNormal"/>
      </w:pPr>
    </w:p>
    <w:p w14:paraId="34C18334" w14:textId="77777777" w:rsidR="003754FE" w:rsidRDefault="003754FE" w:rsidP="003754FE">
      <w:pPr>
        <w:pStyle w:val="TextoNormal"/>
      </w:pPr>
      <w:r w:rsidRPr="003754FE">
        <w:rPr>
          <w:rStyle w:val="NumeroAFNegritaCaracter"/>
        </w:rPr>
        <w:t>7</w:t>
      </w:r>
      <w:r>
        <w:t>. Previamente, con fecha 2 de septiembre de 2024, el letrado de la administración de la Seguridad Social presentó sus alegaciones postulando la desestimación de la demanda de amparo. Su pretensión se apoya en los siguientes argumentos, sintéticamente expuestos:</w:t>
      </w:r>
    </w:p>
    <w:p w14:paraId="080C0D98" w14:textId="77777777" w:rsidR="003754FE" w:rsidRDefault="003754FE" w:rsidP="003754FE">
      <w:pPr>
        <w:pStyle w:val="TextoNormal"/>
      </w:pPr>
    </w:p>
    <w:p w14:paraId="44C2452B" w14:textId="77777777" w:rsidR="003754FE" w:rsidRDefault="003754FE" w:rsidP="003754FE">
      <w:pPr>
        <w:pStyle w:val="TextoNormal"/>
      </w:pPr>
      <w:r>
        <w:t xml:space="preserve">a) Según se expresa, la demanda de amparo no justifica la especial trascendencia constitucional de la pretensión de amparo. Apoya dicha afirmación exclusivamente en su </w:t>
      </w:r>
      <w:r>
        <w:lastRenderedPageBreak/>
        <w:t>discordancia con los argumentos expresados por la demandante para justificar la supuesta vulneración de derechos fundamentales que denuncia. Entiende que no hay ningún derecho fundamental vulnerado como consecuencia de la interpretación administrativa y judicial de la pretensión formulada en la vía previa, por lo cual las previsiones normativas han sido correcta y legítimamente aplicadas en su caso. Según su opinión, tanto la naturaleza como el fundamento de la suspensión temporal del contrato de trabajo como de la prestación económica prevista en la ley impiden apreciar las supuestas vulneraciones denunciadas, negando el carácter discriminatorio de las normas reguladoras aplicadas.</w:t>
      </w:r>
    </w:p>
    <w:p w14:paraId="30B3A3F3" w14:textId="77777777" w:rsidR="003754FE" w:rsidRDefault="003754FE" w:rsidP="003754FE">
      <w:pPr>
        <w:pStyle w:val="TextoNormal"/>
      </w:pPr>
    </w:p>
    <w:p w14:paraId="03852CEA" w14:textId="77777777" w:rsidR="003754FE" w:rsidRDefault="003754FE" w:rsidP="003754FE">
      <w:pPr>
        <w:pStyle w:val="TextoNormal"/>
      </w:pPr>
      <w:r>
        <w:t>b) A continuación, identifica y describe el contenido de las normas legales aplicables para la resolución de su pretensión (Ley general de la Seguridad Social, Ley del estatuto de los trabajadores y Ley del estatuto básico del empleado público) para señalar cuál es el sentido y alcance del permiso y la prestación por nacimiento y cuidado del menor tras su nacimiento, poniendo especial atención en su finalidad, tal y como la describe la exposición de motivos del Real Decreto-ley 6/2019, a cuyo tenor no es sino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también en la idea de que los permisos de paternidad y maternidad hoy reconocidos legalmente vienen configurados como un derecho individual, personal e intransferible de cada progenitor, lo que impide su acumulación en uno de los mismos.</w:t>
      </w:r>
    </w:p>
    <w:p w14:paraId="7BBFA52A" w14:textId="77777777" w:rsidR="003754FE" w:rsidRDefault="003754FE" w:rsidP="003754FE">
      <w:pPr>
        <w:pStyle w:val="TextoNormal"/>
      </w:pPr>
    </w:p>
    <w:p w14:paraId="5FFADB92" w14:textId="77777777" w:rsidR="003754FE" w:rsidRDefault="003754FE" w:rsidP="003754FE">
      <w:pPr>
        <w:pStyle w:val="TextoNormal"/>
      </w:pPr>
      <w:r>
        <w:t>c) Añade que esta es la interpretación jurisprudencial constante y unificada de la Sala de lo Social del Tribunal Supremo, que tuvo oportunidad de pronunciarse expresamente en la STS 169/2023, de 2 de marzo, con una doctrina que contradice el fundamento de fondo de la pretensión de amparo.</w:t>
      </w:r>
    </w:p>
    <w:p w14:paraId="162C2A76" w14:textId="77777777" w:rsidR="003754FE" w:rsidRDefault="003754FE" w:rsidP="003754FE">
      <w:pPr>
        <w:pStyle w:val="TextoNormal"/>
      </w:pPr>
    </w:p>
    <w:p w14:paraId="3B2A3E4C" w14:textId="77777777" w:rsidR="003754FE" w:rsidRDefault="003754FE" w:rsidP="003754FE">
      <w:pPr>
        <w:pStyle w:val="TextoNormal"/>
      </w:pPr>
      <w:r>
        <w:t>d) Considera que su alegación en favor de la desestimación del amparo pretendido es también concorde con la doctrina del Tribunal Constitucional fijada en las SSTC 75/2011, de 19 de mayo, y 111/2018, de 17 de octubre, que, resolviendo casos distintos, bajo condiciones normativas distintas, desestimó las pretensiones de amparo entonces planteadas a partir del diferente régimen y finalidad de las prestaciones por paternidad y maternidad, y del hecho de no venir asociadas legalmente dichas prestaciones al requisito único del nacimiento de un hijo o hija común, sino al cumplimiento de los requisitos de afiliación y contribución que las caracterizan.</w:t>
      </w:r>
    </w:p>
    <w:p w14:paraId="7086747C" w14:textId="77777777" w:rsidR="003754FE" w:rsidRDefault="003754FE" w:rsidP="003754FE">
      <w:pPr>
        <w:pStyle w:val="TextoNormal"/>
      </w:pPr>
    </w:p>
    <w:p w14:paraId="489A17F2" w14:textId="77777777" w:rsidR="003754FE" w:rsidRDefault="003754FE" w:rsidP="003754FE">
      <w:pPr>
        <w:pStyle w:val="TextoNormal"/>
      </w:pPr>
      <w:r>
        <w:t>e) Señala, en fin, que la interpretación administrativa y judicial del precepto aplicado para denegar a la demandante su petición de extensión de la suspensión del contrato de trabajo con la correspondiente prestación económica (específicamente el art. 48.4 LET), es acorde con la normativa vinculante del Derecho de la Unión Europea y la interpretación que de la misma ha hecho su Tribunal de Justicia, que reconoce también distinto fundamento y finalidad a los permisos de paternidad y maternidad, lo que permite atribuírseles un carácter personal y no transferible, aún en los supuestos en que estos no pudieran disfrutarse o ser reconocidos a uno de los progenitores. En sus alegaciones se analizan también los tratados y acuerdos internacionales citados por la demandante, y otros, para concluir que de ellos no deriva la pretensión de extensión y reconocimiento que solicita.</w:t>
      </w:r>
    </w:p>
    <w:p w14:paraId="34D303F0" w14:textId="77777777" w:rsidR="003754FE" w:rsidRDefault="003754FE" w:rsidP="003754FE">
      <w:pPr>
        <w:pStyle w:val="TextoNormal"/>
      </w:pPr>
    </w:p>
    <w:p w14:paraId="6DFA92F5" w14:textId="19B88CC6" w:rsidR="003754FE" w:rsidRDefault="003754FE" w:rsidP="003754FE">
      <w:pPr>
        <w:pStyle w:val="TextoNormal"/>
      </w:pPr>
      <w:r>
        <w:lastRenderedPageBreak/>
        <w:t>f) En conclusión, el letrado sostiene que ni el principio general de igualdad, ni la alegada discriminación directa por razón de estado civil, o indirecta por razón de sexo se han producido en este caso; ni derivan de la ley rectamente aplicada, ni son consecuencia de una interpretación de esta que no esté atenta a los principios y derechos fundamentales que han sido alegados. La madre biológica trabajadora, por razón de parto, tiene iguales derechos reconocidos por la ley cualquiera que sea el modelo de familia que decida constituir, ya que no todos los hijos nacidos en familias biparentales disfrutan del derecho a que madre y padre les atiendan por igual espacio de tiempo, con la cobertura económica correspondiente por suspensión del contrato de trabajo, ya que tal situación solo se produce cuando los progenitores satisfacen los requisitos establecidos por el legislador, una vez producido el evento que los justifica, el parto de un descendiente común.</w:t>
      </w:r>
    </w:p>
    <w:p w14:paraId="2869DBA1" w14:textId="77777777" w:rsidR="003754FE" w:rsidRDefault="003754FE" w:rsidP="003754FE">
      <w:pPr>
        <w:pStyle w:val="TextoNormal"/>
      </w:pPr>
    </w:p>
    <w:p w14:paraId="37541C86" w14:textId="07C43666" w:rsidR="003754FE" w:rsidRDefault="003754FE" w:rsidP="003754FE">
      <w:pPr>
        <w:pStyle w:val="TextoNormal"/>
      </w:pPr>
      <w:r w:rsidRPr="003754FE">
        <w:rPr>
          <w:rStyle w:val="NumeroAFNegritaCaracter"/>
        </w:rPr>
        <w:t>8</w:t>
      </w:r>
      <w:r>
        <w:t>. El siguiente 29 de julio de 2024, la representación procesal de la demandante presentó sus alegaciones en las que ratificó los fundamentos de su pretensión de amparo mediante remisión y extracto del contenido de la demanda de amparo, solicitando el reconocimiento de la vulneración de derechos fundamentales aducida, la declaración de nulidad de las resoluciones impugnadas y la retroacción de actuaciones al momento previo a pronunciarse la administración sobre su pretensión de extensión de la prestación económica reconocida en el art. 177 LGSS.</w:t>
      </w:r>
    </w:p>
    <w:p w14:paraId="584D1FD9" w14:textId="77777777" w:rsidR="003754FE" w:rsidRDefault="003754FE" w:rsidP="003754FE">
      <w:pPr>
        <w:pStyle w:val="TextoNormal"/>
      </w:pPr>
    </w:p>
    <w:p w14:paraId="4B603F8E" w14:textId="77777777" w:rsidR="003754FE" w:rsidRDefault="003754FE" w:rsidP="003754FE">
      <w:pPr>
        <w:pStyle w:val="TextoNormal"/>
      </w:pPr>
      <w:r w:rsidRPr="003754FE">
        <w:rPr>
          <w:rStyle w:val="NumeroAFNegritaCaracter"/>
        </w:rPr>
        <w:t>9</w:t>
      </w:r>
      <w:r>
        <w:t>. El 18 de septiembre de 2024, el Ministerio Fiscal interesó también la desestimación del recurso de amparo. En sus alegaciones no aprecia que se hayan producido las vulneraciones de derechos fundamentales aducidas, lo que justifica con base en los siguientes argumentos que se exponen de forma sintética:</w:t>
      </w:r>
    </w:p>
    <w:p w14:paraId="44BFE3CE" w14:textId="77777777" w:rsidR="003754FE" w:rsidRDefault="003754FE" w:rsidP="003754FE">
      <w:pPr>
        <w:pStyle w:val="TextoNormal"/>
      </w:pPr>
    </w:p>
    <w:p w14:paraId="6DF15C90" w14:textId="77777777" w:rsidR="003754FE" w:rsidRDefault="003754FE" w:rsidP="003754FE">
      <w:pPr>
        <w:pStyle w:val="TextoNormal"/>
      </w:pPr>
      <w:r>
        <w:t>a) Tras identificar el art. 48.4 LET (en relación con el art. 177 LGSS) como preceptos aplicados y aplicables a la cuestión planteada en el recurso de amparo, y describir la consolidada doctrina constitucional sobre los distintos contenidos protegidos el art. 14 CE y sus diversos cánones de control constitucional, pone de manifiesto que, en su regulación del tratamiento de las madres biológicas con contrato de trabajo, la Ley del estatuto de los trabajadores no distingue para reconocerles la suspensión temporal del mismo por razón de parto en función de que constituyan o no una familia monoparental. Añade que la prestación reconocida en ese mismo supuesto por el art. 177 LGSS se concede a quien esté incluido en el régimen general de cotización, cualquiera que sea su sexo, siempre que acredite haber cubierto un periodo mínimo de cotización.</w:t>
      </w:r>
    </w:p>
    <w:p w14:paraId="405A9699" w14:textId="77777777" w:rsidR="003754FE" w:rsidRDefault="003754FE" w:rsidP="003754FE">
      <w:pPr>
        <w:pStyle w:val="TextoNormal"/>
      </w:pPr>
    </w:p>
    <w:p w14:paraId="4AB45C34" w14:textId="77777777" w:rsidR="003754FE" w:rsidRDefault="003754FE" w:rsidP="003754FE">
      <w:pPr>
        <w:pStyle w:val="TextoNormal"/>
      </w:pPr>
      <w:r>
        <w:t>A partir de dichas previsiones legales, entiende que la supuesta vulneración de derechos fundamentales que se denuncia derivaría de la ausencia de una previsión expresa en la ley sobre las familias monoparentales; lo que no constituye una laguna del legislador sino supondría una inconstitucionalidad por omisión si la pretensión de la demandante pudiera derivarse razonadamente de un mandato constitucional.</w:t>
      </w:r>
    </w:p>
    <w:p w14:paraId="73DF3ABE" w14:textId="77777777" w:rsidR="003754FE" w:rsidRDefault="003754FE" w:rsidP="003754FE">
      <w:pPr>
        <w:pStyle w:val="TextoNormal"/>
      </w:pPr>
    </w:p>
    <w:p w14:paraId="56E591A0" w14:textId="77777777" w:rsidR="003754FE" w:rsidRDefault="003754FE" w:rsidP="003754FE">
      <w:pPr>
        <w:pStyle w:val="TextoNormal"/>
      </w:pPr>
      <w:r>
        <w:t>b) Coincide el fiscal con el razonamiento que llevó al Tribunal Supremo (Sala de lo Social) a rechazar una pretensión similar a la analizada (STS 169/2023, de 2 de octubre) pues, entendiendo que la regulación vigente no es contraria a la Constitución, imponer la solución que propugna la recurrente significaría una indebida creación legislativa, tarea que no corresponde al Tribunal Constitucional.</w:t>
      </w:r>
    </w:p>
    <w:p w14:paraId="5452D3D9" w14:textId="77777777" w:rsidR="003754FE" w:rsidRDefault="003754FE" w:rsidP="003754FE">
      <w:pPr>
        <w:pStyle w:val="TextoNormal"/>
      </w:pPr>
    </w:p>
    <w:p w14:paraId="239B11C8" w14:textId="77777777" w:rsidR="003754FE" w:rsidRDefault="003754FE" w:rsidP="003754FE">
      <w:pPr>
        <w:pStyle w:val="TextoNormal"/>
      </w:pPr>
      <w:r>
        <w:lastRenderedPageBreak/>
        <w:t>c) A continuación, expresa el fiscal su discrepancia en relación con las supuestas vulneraciones del art. 14 CE que fundamentan la demanda de amparo:</w:t>
      </w:r>
    </w:p>
    <w:p w14:paraId="6F846938" w14:textId="77777777" w:rsidR="003754FE" w:rsidRDefault="003754FE" w:rsidP="003754FE">
      <w:pPr>
        <w:pStyle w:val="TextoNormal"/>
      </w:pPr>
    </w:p>
    <w:p w14:paraId="0DFFA15F" w14:textId="77777777" w:rsidR="003754FE" w:rsidRDefault="003754FE" w:rsidP="003754FE">
      <w:pPr>
        <w:pStyle w:val="TextoNormal"/>
      </w:pPr>
      <w:r>
        <w:t>(i) Considera el fiscal que bajo la aducida vulneración de la cláusula general de igualdad reconocida en el art. 14.1 CE, el planteamiento de la demanda lo que realmente afirma es la existencia de una discriminación por indiferenciación, pues se le otorga el mismo tratamiento jurídico, como consecuencia del parto, a las familias monoparentales y a las que no lo son, en tanto las segundas reciben el reconocimiento legal de dos periodos de suspensión temporal del contrato de trabajo, con la correspondiente prestación económica asociada, si cumplen los requisitos de afiliación y cotización exigidos en la ley, mientas que la familia monoparental solo recibiría un periodo, dado el carácter intransferible del permiso y prestación reconocidos en favor del progenitor distinto de la madre biológica. Pero tal supuesta inconstitucionalidad por indiferenciación ya ha sido rechazada por la doctrina constitucional que no admite las pretensiones de trato desigual en supuestos desiguales; es decir, el art. 14 CE no ampara el derecho a una desigualdad de trato (SSTC 16/1994, de 20 de enero; 114/1995, de 6 de julio, o 181/2000, de 29 de junio).</w:t>
      </w:r>
    </w:p>
    <w:p w14:paraId="4D57F16E" w14:textId="77777777" w:rsidR="003754FE" w:rsidRDefault="003754FE" w:rsidP="003754FE">
      <w:pPr>
        <w:pStyle w:val="TextoNormal"/>
      </w:pPr>
    </w:p>
    <w:p w14:paraId="59576475" w14:textId="77777777" w:rsidR="003754FE" w:rsidRDefault="003754FE" w:rsidP="003754FE">
      <w:pPr>
        <w:pStyle w:val="TextoNormal"/>
      </w:pPr>
      <w:r>
        <w:t>En tal medida entiende que la vulneración denunciada no concurre en este supuesto, ni expresa una situación de inconstitucionalidad por omisión pues, conforme estableció la STC 5/1981, de 13 de febrero, “[e]l Tribunal Constitucional es intérprete supremo de la Constitución, no legislador, y solo cabe solicitar de él el pronunciamiento sobre adecuación o inadecuación de los preceptos a la Constitución”. “De modo que en la arquitectura constitucional no es este tribunal quien debe dar respuesta positiva a las (supuestas) demandas de la sociedad. Esta tiene otros cauces y otros órganos para expresarlas. Por tanto, únicamente cuando la omisión del legislador sea equivalente a la negación de la eficacia directa y plena de un mandato o derecho concreto de la Constitución puede este tribunal apreciarlo así y declarar, o más bien reiterar, la eficacia de ese precepto constitucional silenciado o desconocido”. Para el fiscal, la situación denunciada no expresa una laguna u omisión involuntaria del legislador, ni se estima que exista un mandato directo del art. 14 o del art. 39 CE, que permitan hacer una interpretación creativa de las normas legales para suplir dicha supuesta omisión o laguna, ampliando al doble la prestación en favor de la madre biológica que se otorga en los arts. 177 al 179 LGSS con relación al art. 48.4 LET.</w:t>
      </w:r>
    </w:p>
    <w:p w14:paraId="3E23FF83" w14:textId="77777777" w:rsidR="003754FE" w:rsidRDefault="003754FE" w:rsidP="003754FE">
      <w:pPr>
        <w:pStyle w:val="TextoNormal"/>
      </w:pPr>
    </w:p>
    <w:p w14:paraId="034D4968" w14:textId="77777777" w:rsidR="003754FE" w:rsidRDefault="003754FE" w:rsidP="003754FE">
      <w:pPr>
        <w:pStyle w:val="TextoNormal"/>
      </w:pPr>
      <w:r>
        <w:t xml:space="preserve">(ii) Añade que la reforma realizada por el Real Decreto-ley 6/2019, de 1 de marzo (la regulación actual), en cuanto establece el carácter individual del derecho a la suspensión del contrato de trabajo por nacimiento y cuidado del menor, sin posibilidad de transferencia o cesión, no provoca “un efecto no deseado de desprotección de los menores nacidos en familias monoparentales” ni supone que los hijos nacidos en dicho modelo familiar vean reducido el alcance temporal de su derecho a la atención y cuidado en sus primeros meses de vida, como dice la demanda de amparo, sino que tienen la misma protección y el mismo alcance temporal que antes de la reforma. Tomando en consideración la prestación económica asociada a la suspensión temporal del contrato de trabajo en favor de ambos progenitores de una familia biparental, reitera en sus alegaciones que se trata de una situación diferente a la de la familia monoparental. Pone el acento en que la demandante reitera que se le atribuya la prestación económica correspondiente al progenitor no conocido, pero no vincula dicha reclamación a los intereses de cuidado del recién nacido. Rechaza también que exista una discriminación por razón de estado civil, pues este no es un parámetro que se tome en cuenta en el art. 48.4 LET para declarar personal e intransferible el periodo de </w:t>
      </w:r>
      <w:r>
        <w:lastRenderedPageBreak/>
        <w:t>suspensión del contrato de trabajo, que es lo que impide, de hecho, estimar la pretensión ejercitada ante la administración y los órganos judiciales, que ahora se reitera en amparo.</w:t>
      </w:r>
    </w:p>
    <w:p w14:paraId="456A6447" w14:textId="77777777" w:rsidR="003754FE" w:rsidRDefault="003754FE" w:rsidP="003754FE">
      <w:pPr>
        <w:pStyle w:val="TextoNormal"/>
      </w:pPr>
    </w:p>
    <w:p w14:paraId="17D3EF31" w14:textId="77777777" w:rsidR="003754FE" w:rsidRDefault="003754FE" w:rsidP="003754FE">
      <w:pPr>
        <w:pStyle w:val="TextoNormal"/>
      </w:pPr>
      <w:r>
        <w:t xml:space="preserve">(iii) Tampoco aprecia que se produzca una discriminación indirecta por razón de sexo. Reitera que el Real Decreto-ley 6/2019 no empeoró la situación de las madres biológicas al equiparar el permiso por nacimiento de un menor de ambos progenitores; muy al contrario, el objeto del carácter intransferible de dicha previsión en favor del progenitor distinto de la madre biológica es favorecer la participación de estos en el cuidado de los hijos, lo que significa favorecer la eliminación de roles de genero en la atención a los recién nacidos y de aquellas barreras que dificultan el acceso equitativo de las mujeres al mercado laboral; efecto este que se promueve mediante la equiparación del tratamiento de ambos progenitores en caso de parto de un menor común. Recuerda el fiscal, en fin, que el Derecho de la Unión Europea ha alertado contra la adopción de medidas que, si bien contienen un trato favorable para la mujer, en la práctica tienden a perpetuar los roles de género (STJUE de 30 de septiembre de 2010, </w:t>
      </w:r>
      <w:r w:rsidRPr="003754FE">
        <w:rPr>
          <w:i/>
        </w:rPr>
        <w:t>Roca Álvarez</w:t>
      </w:r>
      <w:r>
        <w:t>, asunto C-104/2009, especialmente el parágrafo 36 en relación con el 24 y el 25), lo que ha expresado en un caso en que la medida controvertida en el litigio principal establecía una diferencia de trato por razón de sexo favorable a la mujer, entre las madres que tenían la condición de trabajadoras por cuenta ajena y los padres que tenían esa misma condición. Estos efectos contrarios a la equiparación del tratamiento jurídico de las personas de distinto sexo pueden producirse para el caso de que se atienda la pretensión de la demandante, pues las madres biológicas que conformen una familia monoparental van a disfrutar de doble duración del periodo de suspensión temporal del contrato de trabajo, lo que puede favorecer conductas contrarias a su contratación.</w:t>
      </w:r>
    </w:p>
    <w:p w14:paraId="6CFFCBBE" w14:textId="77777777" w:rsidR="003754FE" w:rsidRDefault="003754FE" w:rsidP="003754FE">
      <w:pPr>
        <w:pStyle w:val="TextoNormal"/>
      </w:pPr>
    </w:p>
    <w:p w14:paraId="1D50A649" w14:textId="0014A5F6" w:rsidR="003754FE" w:rsidRDefault="003754FE" w:rsidP="003754FE">
      <w:pPr>
        <w:pStyle w:val="TextoNormal"/>
      </w:pPr>
      <w:r>
        <w:t>Y finaliza su alegato señalando que su oposición a la pretensión de amparo no pretende negar que las familias monoparentales merecen una protección específica (como la que ofrece el art. 182 LGSS), especialmente si se pretende algo tan importante como aumentar el índice de natalidad; protección que será claramente necesaria si sus ingresos son bajos, porque el menor cuenta con una persona menos a la que reclamar alimentos y cuidado.</w:t>
      </w:r>
    </w:p>
    <w:p w14:paraId="414A24FF" w14:textId="77777777" w:rsidR="003754FE" w:rsidRDefault="003754FE" w:rsidP="003754FE">
      <w:pPr>
        <w:pStyle w:val="TextoNormal"/>
      </w:pPr>
    </w:p>
    <w:p w14:paraId="6A666A0E" w14:textId="75FF8063" w:rsidR="003754FE" w:rsidRDefault="003754FE" w:rsidP="003754FE">
      <w:pPr>
        <w:pStyle w:val="TextoNormal"/>
      </w:pPr>
      <w:r w:rsidRPr="003754FE">
        <w:rPr>
          <w:rStyle w:val="NumeroAFNegritaCaracter"/>
        </w:rPr>
        <w:t>10</w:t>
      </w:r>
      <w:r>
        <w:t>. Mediante providencia de 28 de noviembre de 2024 se señaló para deliberación y votación de la presente sentencia el día 2 de diciembre de 2024.</w:t>
      </w:r>
    </w:p>
    <w:p w14:paraId="5AA29D4D" w14:textId="77777777" w:rsidR="003754FE" w:rsidRDefault="003754FE" w:rsidP="003754FE">
      <w:pPr>
        <w:pStyle w:val="TextoNormal"/>
      </w:pPr>
    </w:p>
    <w:p w14:paraId="71EEB263" w14:textId="77777777" w:rsidR="003754FE" w:rsidRDefault="003754FE" w:rsidP="003754FE">
      <w:pPr>
        <w:pStyle w:val="TextoNormalNegritaCentrado"/>
        <w:keepNext/>
      </w:pPr>
      <w:r>
        <w:t>II. Fundamentos jurídicos</w:t>
      </w:r>
    </w:p>
    <w:p w14:paraId="6E754088" w14:textId="23398D4E" w:rsidR="003754FE" w:rsidRDefault="003754FE" w:rsidP="003754FE">
      <w:pPr>
        <w:pStyle w:val="TextoNormalNegritaCentrado"/>
        <w:keepNext/>
      </w:pPr>
    </w:p>
    <w:p w14:paraId="6B7F840E" w14:textId="77777777" w:rsidR="003754FE" w:rsidRDefault="003754FE" w:rsidP="003754FE">
      <w:pPr>
        <w:pStyle w:val="TextoNormal"/>
      </w:pPr>
      <w:r w:rsidRPr="003754FE">
        <w:rPr>
          <w:rStyle w:val="NumeroAFNegritaCaracter"/>
        </w:rPr>
        <w:t>1</w:t>
      </w:r>
      <w:r>
        <w:t xml:space="preserve">. </w:t>
      </w:r>
      <w:r w:rsidRPr="003754FE">
        <w:rPr>
          <w:i/>
        </w:rPr>
        <w:t>Objeto del recurso</w:t>
      </w:r>
    </w:p>
    <w:p w14:paraId="3313961E" w14:textId="77777777" w:rsidR="003754FE" w:rsidRDefault="003754FE" w:rsidP="003754FE">
      <w:pPr>
        <w:pStyle w:val="TextoNormal"/>
      </w:pPr>
    </w:p>
    <w:p w14:paraId="78BC026E" w14:textId="4D2C2A71" w:rsidR="003754FE" w:rsidRDefault="003754FE" w:rsidP="003754FE">
      <w:pPr>
        <w:pStyle w:val="TextoNormal"/>
      </w:pPr>
      <w:r>
        <w:t>El objeto del presente proceso es dilucidar si las resoluciones administrativas y judiciales impugnadas han ocasionado a la demandante una discriminación por razón de nacimiento, contraria al art. 14 CE, en relación con el art. 39 CE, al aplicar el art. 48.4 del texto refundido de la Ley del estatuto de los trabajadores (LET), en relación con el art. 177 del texto refundido de la Ley general de la Seguridad Social (LGSS), en la redacción dada a los mismos por el Real Decreto-ley 6/2019, de 1 de marzo, de medidas urgentes para garantía de la igualdad de trato y de oportunidades entre mujeres y hombres en el empleo y la ocupación.</w:t>
      </w:r>
    </w:p>
    <w:p w14:paraId="69991BE9" w14:textId="77777777" w:rsidR="003754FE" w:rsidRDefault="003754FE" w:rsidP="003754FE">
      <w:pPr>
        <w:pStyle w:val="TextoNormal"/>
      </w:pPr>
    </w:p>
    <w:p w14:paraId="2BDBB437" w14:textId="77777777" w:rsidR="003754FE" w:rsidRDefault="003754FE" w:rsidP="003754FE">
      <w:pPr>
        <w:pStyle w:val="TextoNormal"/>
      </w:pPr>
      <w:r w:rsidRPr="003754FE">
        <w:rPr>
          <w:rStyle w:val="NumeroAFNegritaCaracter"/>
        </w:rPr>
        <w:t>2</w:t>
      </w:r>
      <w:r>
        <w:t xml:space="preserve">. </w:t>
      </w:r>
      <w:r w:rsidRPr="003754FE">
        <w:rPr>
          <w:i/>
        </w:rPr>
        <w:t>Sobre la especial trascendencia de la cuestión planteada y su justificación en la demanda</w:t>
      </w:r>
    </w:p>
    <w:p w14:paraId="7DCFF091" w14:textId="77777777" w:rsidR="003754FE" w:rsidRDefault="003754FE" w:rsidP="003754FE">
      <w:pPr>
        <w:pStyle w:val="TextoNormal"/>
      </w:pPr>
    </w:p>
    <w:p w14:paraId="1153D6B1" w14:textId="77777777" w:rsidR="003754FE" w:rsidRDefault="003754FE" w:rsidP="003754FE">
      <w:pPr>
        <w:pStyle w:val="TextoNormal"/>
      </w:pPr>
      <w:r>
        <w:t>A tenor de la fundamentación de la demanda de amparo y del debate planteado y resuelto en la vía judicial previa sobre el alcance y contenido de los arts. 48.4 LET y 177 LGSS, el presente recurso de amparo fue admitido a trámite tras apreciar que la posible vulneración del derecho fundamental que se denuncia pudiera provenir de la ley [STC 155/2009, FJ 2 c)], en tanto las decisiones administrativas y judiciales cuestionadas justificaban la desestimación de la pretensión planteada, en cada caso, en el tenor literal de la regulación jurídica aplicable y aplicada al caso.</w:t>
      </w:r>
    </w:p>
    <w:p w14:paraId="77ED39B7" w14:textId="77777777" w:rsidR="003754FE" w:rsidRDefault="003754FE" w:rsidP="003754FE">
      <w:pPr>
        <w:pStyle w:val="TextoNormal"/>
      </w:pPr>
    </w:p>
    <w:p w14:paraId="2E8AD61C" w14:textId="0F8B675E" w:rsidR="003754FE" w:rsidRDefault="003754FE" w:rsidP="003754FE">
      <w:pPr>
        <w:pStyle w:val="TextoNormal"/>
      </w:pPr>
      <w:r>
        <w:t>El letrado de la administración de la Seguridad Social cuestiona en sus alegaciones que la demandante haya justificado de forma debida la especial trascendencia constitucional de la cuestión planteada en la demanda de amparo. Sin embargo, tal objeción no puede ser compartida como óbice procesal que justificaría la inadmisión de la demanda pues, a través de dicha alegación, no se hace sino discrepar de la fundamentación que justifica la queja, anticipando el representante de la administración que no se ha producido vulneración alguna del derecho a la igualdad ante la ley sin que haya lugar a discriminación (art. 14 CE). Este argumento habrá de ser analizado al resolver la cuestión de fondo lo que, cabe anticipar, se llevará a cabo en los mismos términos en que ha sido expresado en la reciente STC 140/2024, de 6 de noviembre (del Pleno), a la que, por coincidir su objeto, habremos de remitirnos.</w:t>
      </w:r>
    </w:p>
    <w:p w14:paraId="699308FF" w14:textId="77777777" w:rsidR="003754FE" w:rsidRDefault="003754FE" w:rsidP="003754FE">
      <w:pPr>
        <w:pStyle w:val="TextoNormal"/>
      </w:pPr>
    </w:p>
    <w:p w14:paraId="75B6358A" w14:textId="77777777" w:rsidR="003754FE" w:rsidRDefault="003754FE" w:rsidP="003754FE">
      <w:pPr>
        <w:pStyle w:val="TextoNormal"/>
      </w:pPr>
      <w:r w:rsidRPr="003754FE">
        <w:rPr>
          <w:rStyle w:val="NumeroAFNegritaCaracter"/>
        </w:rPr>
        <w:t>3</w:t>
      </w:r>
      <w:r>
        <w:t xml:space="preserve">. </w:t>
      </w:r>
      <w:r w:rsidRPr="003754FE">
        <w:rPr>
          <w:i/>
        </w:rPr>
        <w:t>Aplicación de la doctrina constitucional fijada en la STC 140/2024, de 6 de noviembre</w:t>
      </w:r>
    </w:p>
    <w:p w14:paraId="7163531C" w14:textId="77777777" w:rsidR="003754FE" w:rsidRDefault="003754FE" w:rsidP="003754FE">
      <w:pPr>
        <w:pStyle w:val="TextoNormal"/>
      </w:pPr>
    </w:p>
    <w:p w14:paraId="1C2BFD58" w14:textId="77777777" w:rsidR="003754FE" w:rsidRDefault="003754FE" w:rsidP="003754FE">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29C8BDB6" w14:textId="77777777" w:rsidR="003754FE" w:rsidRDefault="003754FE" w:rsidP="003754FE">
      <w:pPr>
        <w:pStyle w:val="TextoNormal"/>
      </w:pPr>
    </w:p>
    <w:p w14:paraId="316EF3B1" w14:textId="77777777" w:rsidR="003754FE" w:rsidRDefault="003754FE" w:rsidP="003754FE">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5820D65E" w14:textId="77777777" w:rsidR="003754FE" w:rsidRDefault="003754FE" w:rsidP="003754FE">
      <w:pPr>
        <w:pStyle w:val="TextoNormal"/>
      </w:pPr>
    </w:p>
    <w:p w14:paraId="0DB5A85B" w14:textId="77777777" w:rsidR="003754FE" w:rsidRDefault="003754FE" w:rsidP="003754FE">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3754FE">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17D45748" w14:textId="77777777" w:rsidR="003754FE" w:rsidRDefault="003754FE" w:rsidP="003754FE">
      <w:pPr>
        <w:pStyle w:val="TextoNormal"/>
      </w:pPr>
    </w:p>
    <w:p w14:paraId="7ECBFF4B" w14:textId="38CD5892" w:rsidR="003754FE" w:rsidRDefault="003754FE" w:rsidP="003754FE">
      <w:pPr>
        <w:pStyle w:val="TextoNormal"/>
      </w:pPr>
      <w:r>
        <w:t>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79F06F87" w14:textId="77777777" w:rsidR="003754FE" w:rsidRDefault="003754FE" w:rsidP="003754FE">
      <w:pPr>
        <w:pStyle w:val="TextoNormal"/>
      </w:pPr>
    </w:p>
    <w:p w14:paraId="297E0C8A" w14:textId="77777777" w:rsidR="003754FE" w:rsidRDefault="003754FE" w:rsidP="003754FE">
      <w:pPr>
        <w:pStyle w:val="TextoNormalCentrado"/>
        <w:keepNext/>
      </w:pPr>
      <w:r>
        <w:t>FALLO</w:t>
      </w:r>
    </w:p>
    <w:p w14:paraId="744BE826" w14:textId="1F15FC55" w:rsidR="003754FE" w:rsidRDefault="003754FE" w:rsidP="003754FE">
      <w:pPr>
        <w:pStyle w:val="TextoNormalCentrado"/>
        <w:keepNext/>
      </w:pPr>
    </w:p>
    <w:p w14:paraId="0EF3BE80" w14:textId="77777777" w:rsidR="003754FE" w:rsidRDefault="003754FE" w:rsidP="003754FE">
      <w:pPr>
        <w:pStyle w:val="TextoNormal"/>
      </w:pPr>
      <w:r>
        <w:t>En atención a todo lo expuesto, el Tribunal Constitucional, por la autoridad que le confiere la Constitución de la Nación española, ha decidido:</w:t>
      </w:r>
    </w:p>
    <w:p w14:paraId="223825FD" w14:textId="77777777" w:rsidR="003754FE" w:rsidRDefault="003754FE" w:rsidP="003754FE">
      <w:pPr>
        <w:pStyle w:val="TextoNormal"/>
      </w:pPr>
    </w:p>
    <w:p w14:paraId="0CDDFA09" w14:textId="77777777" w:rsidR="003754FE" w:rsidRDefault="003754FE" w:rsidP="003754FE">
      <w:pPr>
        <w:pStyle w:val="TextoNormal"/>
      </w:pPr>
      <w:r>
        <w:t>1º Estimar la demanda presentada por doña María Gorriarán Arteaga por vulneración del derecho fundamental a la igualdad ante la ley sin discriminación por razón de nacimiento (art. 14 CE), con reconocimiento de tal derecho.</w:t>
      </w:r>
    </w:p>
    <w:p w14:paraId="09767993" w14:textId="77777777" w:rsidR="003754FE" w:rsidRDefault="003754FE" w:rsidP="003754FE">
      <w:pPr>
        <w:pStyle w:val="TextoNormal"/>
      </w:pPr>
    </w:p>
    <w:p w14:paraId="3A9F1C44" w14:textId="77777777" w:rsidR="003754FE" w:rsidRDefault="003754FE" w:rsidP="003754FE">
      <w:pPr>
        <w:pStyle w:val="TextoNormal"/>
      </w:pPr>
      <w:r>
        <w:t>2º Declarar la nulidad de la resolución de 19 de mayo de 2021 del director provincial del Instituto Nacional de la Seguridad Social, que desestimó la petición de revisión y ampliación de la prestación por nacimiento y cuidado de su hijo menor; la sentencia núm. 498/2021, de 16 de noviembre, del Juzgado de lo Social núm. 3 de Bilbao (autos núm. 627-2021); la sentencia de 12 de julio de 2022, de la Sala de lo Social del Tribunal Superior de Justicia del País Vasco (recurso de suplicación núm. 312-2022); y la sentencia núm. 265/2024, de 9 de febrero, de la Sala de lo Social del Tribunal Supremo (recurso de casación para la unificación de doctrina núm. 4431-2022) que estimó el recurso presentado por la representación del INSS y la Tesorería General de la Seguridad Social, desestimando la demanda inicial presentada.</w:t>
      </w:r>
    </w:p>
    <w:p w14:paraId="3E25803B" w14:textId="77777777" w:rsidR="003754FE" w:rsidRDefault="003754FE" w:rsidP="003754FE">
      <w:pPr>
        <w:pStyle w:val="TextoNormal"/>
      </w:pPr>
    </w:p>
    <w:p w14:paraId="094DA9B3" w14:textId="26E7E851" w:rsidR="003754FE" w:rsidRDefault="003754FE" w:rsidP="003754FE">
      <w:pPr>
        <w:pStyle w:val="TextoNormal"/>
      </w:pPr>
      <w:r>
        <w:t>3º Retrotraer las actuaciones al momento previo al dictado de la resolución de 19 de mayo de 2021 (INSS), a fin de que, en los términos expuestos en el último párrafo del fundamento jurídico 3, se dicte otra respetuosa con el derecho de la recurrente cuya vulneración ha sido declarada.</w:t>
      </w:r>
    </w:p>
    <w:p w14:paraId="0083D0FF" w14:textId="77777777" w:rsidR="003754FE" w:rsidRDefault="003754FE" w:rsidP="003754FE">
      <w:pPr>
        <w:pStyle w:val="TextoNormal"/>
      </w:pPr>
    </w:p>
    <w:p w14:paraId="3517F7AC" w14:textId="77777777" w:rsidR="003754FE" w:rsidRDefault="003754FE" w:rsidP="003754FE">
      <w:pPr>
        <w:pStyle w:val="TextoNormal"/>
      </w:pPr>
      <w:r>
        <w:t>Publíquese esta sentencia en el “Boletín Oficial del Estado”.</w:t>
      </w:r>
    </w:p>
    <w:p w14:paraId="5C9A8181" w14:textId="77777777" w:rsidR="003754FE" w:rsidRDefault="003754FE" w:rsidP="003754FE">
      <w:pPr>
        <w:pStyle w:val="TextoNormal"/>
      </w:pPr>
      <w:r>
        <w:t>Dada en Madrid, a dos de diciembre de dos mil veinticuatro.</w:t>
      </w:r>
    </w:p>
    <w:p w14:paraId="471851EF" w14:textId="0B0C25C1" w:rsidR="003754FE" w:rsidRDefault="003754FE">
      <w:pPr>
        <w:spacing w:after="160" w:line="278" w:lineRule="auto"/>
        <w:rPr>
          <w:rFonts w:ascii="Times New Roman" w:eastAsia="Times New Roman" w:hAnsi="Times New Roman" w:cs="Times New Roman"/>
          <w:sz w:val="24"/>
          <w:szCs w:val="24"/>
          <w:lang w:eastAsia="es-ES"/>
        </w:rPr>
      </w:pPr>
      <w:r>
        <w:lastRenderedPageBreak/>
        <w:br w:type="page"/>
      </w:r>
    </w:p>
    <w:p w14:paraId="650F681D" w14:textId="77777777" w:rsidR="003754FE" w:rsidRDefault="003754FE" w:rsidP="003754FE">
      <w:pPr>
        <w:pStyle w:val="TtuloResolucin"/>
      </w:pPr>
      <w:bookmarkStart w:id="60" w:name="SENTENCIA_2024_151"/>
      <w:r>
        <w:lastRenderedPageBreak/>
        <w:t>SENTENCIA 151/2024, de 2 de diciembre de 2024</w:t>
      </w:r>
    </w:p>
    <w:bookmarkEnd w:id="60"/>
    <w:p w14:paraId="325F6944" w14:textId="77777777" w:rsidR="003754FE" w:rsidRDefault="003754FE" w:rsidP="003754FE">
      <w:pPr>
        <w:pStyle w:val="TtuloResolucin"/>
      </w:pPr>
      <w:r>
        <w:t>Sala Primera</w:t>
      </w:r>
    </w:p>
    <w:p w14:paraId="37C8DA5E" w14:textId="77777777" w:rsidR="003754FE" w:rsidRDefault="003754FE" w:rsidP="003754FE">
      <w:pPr>
        <w:pStyle w:val="TtuloBOE"/>
      </w:pPr>
      <w:r>
        <w:t>(BOE núm. 5, de 6 de enero de 2025)</w:t>
      </w:r>
    </w:p>
    <w:p w14:paraId="7195EAA5" w14:textId="77777777" w:rsidR="003754FE" w:rsidRDefault="003754FE" w:rsidP="003754FE">
      <w:pPr>
        <w:pStyle w:val="TextoNormalCentrado"/>
      </w:pPr>
      <w:r>
        <w:t>ECLI:ES:TC:2024:151</w:t>
      </w:r>
    </w:p>
    <w:p w14:paraId="2C49390B" w14:textId="101E32F7" w:rsidR="003754FE" w:rsidRDefault="003754FE" w:rsidP="003754FE">
      <w:pPr>
        <w:pStyle w:val="TextoNormalCentrado"/>
      </w:pPr>
    </w:p>
    <w:p w14:paraId="33631A80" w14:textId="77777777" w:rsidR="003754FE" w:rsidRDefault="003754FE" w:rsidP="003754FE">
      <w:pPr>
        <w:pStyle w:val="SntesisDescriptiva"/>
      </w:pPr>
      <w:r>
        <w:t>Recurso de amparo 1880-2024. Promovido por doña Esther Hernández Medina en relación con las resoluciones administrativas y judiciales que desestimaron su petición de revisión y ampliación de la prestación por nacimiento y cuidado de hijo menor, como madre biológica de familia monoparental.</w:t>
      </w:r>
    </w:p>
    <w:p w14:paraId="25977E77" w14:textId="5EA3222E" w:rsidR="003754FE" w:rsidRDefault="003754FE" w:rsidP="003754FE">
      <w:pPr>
        <w:pStyle w:val="SntesisDescriptiva"/>
      </w:pPr>
    </w:p>
    <w:p w14:paraId="03E9EF47" w14:textId="77777777" w:rsidR="003754FE" w:rsidRDefault="003754FE" w:rsidP="003754FE">
      <w:pPr>
        <w:pStyle w:val="SntesisAnaltica"/>
      </w:pPr>
      <w:r>
        <w:t>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2F94D447" w14:textId="552191F9" w:rsidR="003754FE" w:rsidRDefault="003754FE" w:rsidP="003754FE">
      <w:pPr>
        <w:pStyle w:val="SntesisAnaltica"/>
      </w:pPr>
    </w:p>
    <w:p w14:paraId="6069DDD3" w14:textId="586FCF6D" w:rsidR="003754FE" w:rsidRDefault="003754FE" w:rsidP="003754FE">
      <w:pPr>
        <w:pStyle w:val="Extracto"/>
      </w:pPr>
      <w:r>
        <w:t>1.</w:t>
      </w:r>
      <w:r>
        <w:tab/>
        <w:t>Aplicación de la doctrina recogida en la STC 140/2024 en materias de permiso por nacimiento y cuidado de menor, y de la correspondiente prestación de la Seguridad Social [FJ 3].</w:t>
      </w:r>
    </w:p>
    <w:p w14:paraId="39986E78" w14:textId="77777777" w:rsidR="003754FE" w:rsidRDefault="003754FE" w:rsidP="003754FE">
      <w:pPr>
        <w:pStyle w:val="Extracto"/>
      </w:pPr>
    </w:p>
    <w:p w14:paraId="5A077332" w14:textId="77777777" w:rsidR="003754FE" w:rsidRDefault="003754FE" w:rsidP="003754FE">
      <w:pPr>
        <w:pStyle w:val="Extracto"/>
      </w:pPr>
    </w:p>
    <w:p w14:paraId="30787963" w14:textId="77777777" w:rsidR="003754FE" w:rsidRDefault="003754FE" w:rsidP="003754FE">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777CEA47" w14:textId="11E59B03" w:rsidR="003754FE" w:rsidRDefault="003754FE" w:rsidP="003754FE">
      <w:pPr>
        <w:pStyle w:val="TextoNormal"/>
      </w:pPr>
    </w:p>
    <w:p w14:paraId="6C939B48" w14:textId="77777777" w:rsidR="003754FE" w:rsidRDefault="003754FE" w:rsidP="003754FE">
      <w:pPr>
        <w:pStyle w:val="TextoNormalCentrado"/>
        <w:keepNext/>
      </w:pPr>
      <w:r>
        <w:t>EN NOMBRE DEL REY</w:t>
      </w:r>
    </w:p>
    <w:p w14:paraId="0EA488E6" w14:textId="59249C78" w:rsidR="003754FE" w:rsidRDefault="003754FE" w:rsidP="003754FE">
      <w:pPr>
        <w:pStyle w:val="TextoNormalCentrado"/>
        <w:keepNext/>
      </w:pPr>
    </w:p>
    <w:p w14:paraId="55E9D461" w14:textId="77777777" w:rsidR="003754FE" w:rsidRDefault="003754FE" w:rsidP="003754FE">
      <w:pPr>
        <w:pStyle w:val="TextoNormalCentrado"/>
        <w:keepNext/>
      </w:pPr>
    </w:p>
    <w:p w14:paraId="3548868C" w14:textId="77777777" w:rsidR="003754FE" w:rsidRDefault="003754FE" w:rsidP="003754FE">
      <w:pPr>
        <w:pStyle w:val="TextoNormal"/>
      </w:pPr>
      <w:r>
        <w:t>la siguiente</w:t>
      </w:r>
    </w:p>
    <w:p w14:paraId="3AF3F8F2" w14:textId="3CA23142" w:rsidR="003754FE" w:rsidRDefault="003754FE" w:rsidP="003754FE">
      <w:pPr>
        <w:pStyle w:val="TextoNormal"/>
      </w:pPr>
    </w:p>
    <w:p w14:paraId="13A89DDB" w14:textId="77777777" w:rsidR="003754FE" w:rsidRDefault="003754FE" w:rsidP="003754FE">
      <w:pPr>
        <w:pStyle w:val="TextoNormalCentrado"/>
        <w:keepNext/>
      </w:pPr>
      <w:r>
        <w:t>SENTENCIA</w:t>
      </w:r>
    </w:p>
    <w:p w14:paraId="3137C64C" w14:textId="43BF0ED3" w:rsidR="003754FE" w:rsidRDefault="003754FE" w:rsidP="003754FE">
      <w:pPr>
        <w:pStyle w:val="TextoNormalCentrado"/>
        <w:keepNext/>
      </w:pPr>
    </w:p>
    <w:p w14:paraId="78FEBBE5" w14:textId="77777777" w:rsidR="003754FE" w:rsidRDefault="003754FE" w:rsidP="003754FE">
      <w:pPr>
        <w:pStyle w:val="TextoNormal"/>
      </w:pPr>
      <w:r>
        <w:t xml:space="preserve">En el recurso de amparo núm. 1880-2024, promovido por doña Esther Hernández Medina, representada por la procuradora de los tribunales doña Isabel Cañedo Vega y asistida por la letrada doña Yolanda Vidal Giménez, contra las resoluciones administrativas presuntas del Instituto Nacional de la Seguridad Social (INSS) denegatorias de la solicitud de ampliación de la prestación por nacimiento y cuidado de hija menor a la madre biológica de familia monoparental, confirmadas por sentencia de 9 de febrero de 2024, de la Sala de lo Social del Tribunal Supremo en recurso de casación en unificación de doctrina núm. 1741-2023, interpuesto por la entidad gestora de la Seguridad Social contra la sentencia de 20 de enero de 2023 de la Sala de lo Social del Tribunal Superior de Justicia de Cataluña, en recurso de suplicación num. 3889-2022, interpuesto a su vez por la misma entidad contra la sentencia de 5 de julio de 2021 recaída en procedimiento especial de Seguridad Social, del Juzgado de lo Social núm. 29 de Barcelona, promovido por la demandante de amparo contra el Instituto Nacional de la Seguridad Social (INSS) y la Tesorería General de la Seguridad </w:t>
      </w:r>
      <w:r>
        <w:lastRenderedPageBreak/>
        <w:t>Social ( TGSS ). Han intervenido la letrada de la administración de la Seguridad Social, y el Ministerio Fiscal. Ha sido ponente el magistrado don Ricardo Enríquez Sancho.</w:t>
      </w:r>
    </w:p>
    <w:p w14:paraId="2BD1CC36" w14:textId="7CF5B3C6" w:rsidR="003754FE" w:rsidRDefault="003754FE" w:rsidP="003754FE">
      <w:pPr>
        <w:pStyle w:val="TextoNormal"/>
      </w:pPr>
    </w:p>
    <w:p w14:paraId="5E07AFF3" w14:textId="77777777" w:rsidR="003754FE" w:rsidRDefault="003754FE" w:rsidP="003754FE">
      <w:pPr>
        <w:pStyle w:val="TextoNormalNegritaCentrado"/>
        <w:keepNext/>
      </w:pPr>
      <w:r>
        <w:t>I. Antecedentes</w:t>
      </w:r>
    </w:p>
    <w:p w14:paraId="7D601384" w14:textId="69D9A7CF" w:rsidR="003754FE" w:rsidRDefault="003754FE" w:rsidP="003754FE">
      <w:pPr>
        <w:pStyle w:val="TextoNormalNegritaCentrado"/>
        <w:keepNext/>
      </w:pPr>
    </w:p>
    <w:p w14:paraId="3D2FB793" w14:textId="60236151" w:rsidR="003754FE" w:rsidRDefault="003754FE" w:rsidP="003754FE">
      <w:pPr>
        <w:pStyle w:val="TextoNormal"/>
      </w:pPr>
      <w:r w:rsidRPr="003754FE">
        <w:rPr>
          <w:rStyle w:val="NumeroAFNegritaCaracter"/>
        </w:rPr>
        <w:t>1</w:t>
      </w:r>
      <w:r>
        <w:t>. El día 15 de marzo de 2024, la procuradora de los tribunales doña Isabel Cañedo Vega, bajo la dirección de la letrada doña Yolanda Vidal Giménez, interpuso recurso de amparo contra la sentencia de la Sala de lo Social del Tribunal Supremo de 9 de febrero de 2024, estimatoria del recurso de casación en unificación de doctrina interpuesto por el Instituto Nacional de la Seguridad Social (INSS), confirmatoria de las resoluciones administrativas denegatorias en virtud del silencio administrativo de la ampliación del permiso por nacimiento y cuidado de hija solicitado por la madre biológica, de familia monoparental.</w:t>
      </w:r>
    </w:p>
    <w:p w14:paraId="222893DC" w14:textId="77777777" w:rsidR="003754FE" w:rsidRDefault="003754FE" w:rsidP="003754FE">
      <w:pPr>
        <w:pStyle w:val="TextoNormal"/>
      </w:pPr>
    </w:p>
    <w:p w14:paraId="5E91E195" w14:textId="77777777" w:rsidR="003754FE" w:rsidRDefault="003754FE" w:rsidP="003754FE">
      <w:pPr>
        <w:pStyle w:val="TextoNormal"/>
      </w:pPr>
      <w:r w:rsidRPr="003754FE">
        <w:rPr>
          <w:rStyle w:val="NumeroAFNegritaCaracter"/>
        </w:rPr>
        <w:t>2</w:t>
      </w:r>
      <w:r>
        <w:t>. El presente recurso de amparo trae causa de los siguientes antecedentes:</w:t>
      </w:r>
    </w:p>
    <w:p w14:paraId="0481646C" w14:textId="77777777" w:rsidR="003754FE" w:rsidRDefault="003754FE" w:rsidP="003754FE">
      <w:pPr>
        <w:pStyle w:val="TextoNormal"/>
      </w:pPr>
    </w:p>
    <w:p w14:paraId="4BEFDCF3" w14:textId="77777777" w:rsidR="003754FE" w:rsidRDefault="003754FE" w:rsidP="003754FE">
      <w:pPr>
        <w:pStyle w:val="TextoNormal"/>
      </w:pPr>
      <w:r>
        <w:t>a) A la recurrente en amparo, madre biológica de una menor nacida el 9 de junio de 2020, soltera y constituyendo una familia monoparental le fue reconocido en resolución de la Dirección Provincial del Instituto Nacional de la Seguridad Social de 30 de junio de 2020, un permiso por nacimiento y cuidado de aquella menor, de dieciséis semanas de duración (para el periodo comprendido entre el 9 de junio y el 28 de septiembre de 2020 con la prestación correspondiente del 100 por 100 de la base reguladora diaria reconocida). La recurrente dirigió escrito a la entidad gestora de la Seguridad Social, en fecha 13 de noviembre de 2020, solicitando la ampliación del permiso reconocido, en el sentido de sumar a las semanas que le fueron reconocidas como madre biológica, las que corresponden al progenitor distinto de la madre del art. 48.4 del texto refundido de la Ley del estatuto de los trabajadores, aprobado por el Real Decreto Legislativo 2/2015, de 23 de octubre (en adelante LET), alegando que dicha ampliación tenía por fin el cuidado de la menor en igualdad de condiciones que las familias biparentales; solicitud que reiteró el 30 de noviembre 2020. Su pretensión fue desestimada por resolución administrativa presunta de la entidad gestora de la Seguridad Social (silencio administrativo). Se interpuso entonces por la recurrente reclamación previa, que tampoco fue contestada por la administración competente, confirmándose así la denegación.</w:t>
      </w:r>
    </w:p>
    <w:p w14:paraId="25F3F362" w14:textId="77777777" w:rsidR="003754FE" w:rsidRDefault="003754FE" w:rsidP="003754FE">
      <w:pPr>
        <w:pStyle w:val="TextoNormal"/>
      </w:pPr>
    </w:p>
    <w:p w14:paraId="144D313D" w14:textId="77777777" w:rsidR="003754FE" w:rsidRDefault="003754FE" w:rsidP="003754FE">
      <w:pPr>
        <w:pStyle w:val="TextoNormal"/>
      </w:pPr>
      <w:r>
        <w:t>b) Interpuesta demanda ante los juzgados de lo social en fecha 23 de abril de 2021, alegando la recurrente discriminación (art. 14 CE) por negar el INSS la ampliación del permiso solicitado, se tramitó el procedimiento especial de seguridad social (autos núm. 313-2021), ante el Juzgado de lo Social núm. 29 de Barcelona, recayendo sentencia de 5 de julio de 2021 estimatoria de las pretensiones de la actora, cuya parte dispositiva declaró el derecho de la madre biológica a la ampliación del permiso en las doce semanas adicionales que habrían correspondido al otro progenitor.</w:t>
      </w:r>
    </w:p>
    <w:p w14:paraId="2DB84806" w14:textId="77777777" w:rsidR="003754FE" w:rsidRDefault="003754FE" w:rsidP="003754FE">
      <w:pPr>
        <w:pStyle w:val="TextoNormal"/>
      </w:pPr>
    </w:p>
    <w:p w14:paraId="5D9B3F21" w14:textId="77777777" w:rsidR="003754FE" w:rsidRDefault="003754FE" w:rsidP="003754FE">
      <w:pPr>
        <w:pStyle w:val="TextoNormal"/>
      </w:pPr>
      <w:r>
        <w:t xml:space="preserve">Para ello la sentencia formula una remisión, con exposición parcial de los fundamentos recogidos en la sentencia de la Sala de lo Social del Tribunal Superior de Justicia del País Vasco, de 6 de octubre de 2020 [recurso 941-2020 (ECLI:ES:TSJPV:2020:396)], que reconoce la acumulación de prestaciones sociales solicitada, la cual a su vez cita los tratados y convenios internacionales válidamente celebrados por España en la materia, con invocación de los arts. 10.2 y 96 CE y publicados oficialmente en España, y que por ello forman parte </w:t>
      </w:r>
      <w:r>
        <w:lastRenderedPageBreak/>
        <w:t>de nuestro ordenamiento jurídico. La juzgadora hace suyos los razonamientos de la sentencia citada, estimando la demanda y reconociendo a la actora el derecho a disfrutar de las doce semanas que hubieran correspondido al otro progenitor para el nacimiento y cuidado de la menor, si bien, dado que ya transcurrió el primero que le fue concedido y no puede ser continuo a aquel, procedió a declarar el derecho de la actora a disfrutarlas desde la fecha de la notificación de dicha sentencia, condenando a las entidades codemandadas a estar y pasar por dicha declaración.</w:t>
      </w:r>
    </w:p>
    <w:p w14:paraId="347CF20C" w14:textId="77777777" w:rsidR="003754FE" w:rsidRDefault="003754FE" w:rsidP="003754FE">
      <w:pPr>
        <w:pStyle w:val="TextoNormal"/>
      </w:pPr>
    </w:p>
    <w:p w14:paraId="79C8A3C9" w14:textId="77777777" w:rsidR="003754FE" w:rsidRDefault="003754FE" w:rsidP="003754FE">
      <w:pPr>
        <w:pStyle w:val="TextoNormal"/>
      </w:pPr>
      <w:r>
        <w:t>c) La sentencia del Juzgado de lo Social fue recurrida en suplicación por el INSS ante la Sala de lo Social del Tribunal Superior de Justicia de Cataluña (recurso 3889-2022), la cual desestimó el recurso en sentencia núm. 320/2023, de 20 de enero, confirmando así la de instancia.</w:t>
      </w:r>
    </w:p>
    <w:p w14:paraId="3C2FFAC4" w14:textId="77777777" w:rsidR="003754FE" w:rsidRDefault="003754FE" w:rsidP="003754FE">
      <w:pPr>
        <w:pStyle w:val="TextoNormal"/>
      </w:pPr>
    </w:p>
    <w:p w14:paraId="0E50D10A" w14:textId="77777777" w:rsidR="003754FE" w:rsidRDefault="003754FE" w:rsidP="003754FE">
      <w:pPr>
        <w:pStyle w:val="TextoNormal"/>
      </w:pPr>
      <w:r>
        <w:t>Afirma al respecto la Sala que lo único trascendente en este caso es el derecho del menor a disfrutar de los cuidados y atención de su progenitor o progenitores por un tiempo determinado, y que para evitar un trato discriminatorio por razón de nacimiento y de la condición personal, garantizando un trato igualitario, la progenitora única que se ocupa del cuidado de la menor tiene derecho a un disfrute del permiso equivalente al que hubiese correspondido de existir el otro progenitor. La sentencia de suplicación viene a reiterar doctrina de la Sala, recogida en sentencia de Pleno de la Sala de lo Social del Tribunal Superior de Justicia de Cataluña, de 29 de noviembre de 2022 (ECLI:ES:TSJCAT:2022:9227), profundizando en la línea de la de 17 de octubre de 2022 (ECLI:ES:TSJCAT:2022:8212), en la que se reconoció la ampliación del permiso citado, teniendo en cuenta esencialmente la evolución legislativa en la materia, con un último escalón en el Real Decreto-ley 6/2019, de 1 de marzo, de medidas urgentes para garantía de la igualdad de trato y de oportunidades entre mujeres y hombres en el empleo y la ocupación, atendiendo a la finalidad triple de la prestación: a saber: (i) se persigue la protección de la salud de la madre biológica en las primeras seis semanas; (ii) así como también la atención y cuidado del menor de doce meses; y (iii) la promoción de la plena igualdad entre sexos (art. 14 CE), mediante el ejercicio corresponsable de los deberes de atención y cuidado. Sobre esto último, cita el “considerando 19 de la Directiva ( UE) 2019/1158 del Parlamento Europeo y del Consejo, de 20 de junio [relativa a la conciliación de la vida familiar y la vida profesional de los progenitores y los cuidadores, y por la que se deroga la Directiva 2010/18/UE del Consejo]” y “la doctrina de la Sala [de lo Social] del Tribunal Supremo, contenida entre otras en la sentencia núm. 881/2016, de [2]5 de octubre [ECLI:ES:TS:2016:5375]”, según la cual “la protección que la seguridad social dispone a la ‘maternidad’ va mucho más allá del descanso asociado al alumbramiento, y tiene como uno de sus principales fundamentos ‘la necesidad de convivencia y contacto permanente entre madre e hijo’, y ‘subraya que el art. 39 CE proporciona diversos principios que han de presidir nuestra interpretación de las leyes vigentes (artículo 53.3 CE), procurar la protección social de la familia, la protección integral de los hijos y velar por los derechos de los niños’”. La Sala mantiene dicha doctrina, desestimando el recurso de suplicación, confirmando la sentencia de instancia recurrida.</w:t>
      </w:r>
    </w:p>
    <w:p w14:paraId="5FD1F7C2" w14:textId="77777777" w:rsidR="003754FE" w:rsidRDefault="003754FE" w:rsidP="003754FE">
      <w:pPr>
        <w:pStyle w:val="TextoNormal"/>
      </w:pPr>
    </w:p>
    <w:p w14:paraId="49ED5331" w14:textId="77777777" w:rsidR="003754FE" w:rsidRDefault="003754FE" w:rsidP="003754FE">
      <w:pPr>
        <w:pStyle w:val="TextoNormal"/>
      </w:pPr>
      <w:r>
        <w:t xml:space="preserve">d) Formalizado contra la anterior sentencia un recurso de casación en unificación de doctrina por el INSS (recurso 1741-2023), el mismo se resolvió por sentencia 268/2024, de 9 de febrero, de la Sala de lo Social del Tribunal Supremo, que estimó el recurso, y en su consecuencia casó y anuló la sentencia de la Sala de lo Social del Tribunal Superior de Justicia de Cataluña y, resolviendo el debate en suplicación, estimó el recurso de tal clase </w:t>
      </w:r>
      <w:r>
        <w:lastRenderedPageBreak/>
        <w:t>interpuesto por el Instituto Nacional de la Seguridad Social, revocando la sentencia del Juzgado de lo Social núm. 29 de Barcelona, con desestimación de la demanda, absolviendo a la demandada y confirmando las resoluciones administrativas recurridas denegatorias de la ampliación del permiso.</w:t>
      </w:r>
    </w:p>
    <w:p w14:paraId="2280592C" w14:textId="77777777" w:rsidR="003754FE" w:rsidRDefault="003754FE" w:rsidP="003754FE">
      <w:pPr>
        <w:pStyle w:val="TextoNormal"/>
      </w:pPr>
    </w:p>
    <w:p w14:paraId="38ADBFBD" w14:textId="3A2BD565" w:rsidR="003754FE" w:rsidRDefault="003754FE" w:rsidP="003754FE">
      <w:pPr>
        <w:pStyle w:val="TextoNormal"/>
      </w:pPr>
      <w:r>
        <w:t>La sentencia de casación aplica en tal sentido la doctrina fijada por la sentencia de Pleno de la misma Sala de lo Social, de 2 de marzo de 2023 (ECLI:ES:TS:2023:783), que sostuvo que la función de jueces y tribunales es la interpretación y aplicación de la norma y no la creación del derecho; que lo pretendido por la actora en la instancia solo le corresponde al legislador no pudiendo ser suplida su función por resoluciones judiciales, ya que supondría modificar el régimen prestacional de la Seguridad Social y la regulación de la suspensión del contrato de trabajo por causas no previstas en la ley. Razona la Sala del Alto Tribunal que la norma impugnada no es contraria a la Constitución, sino expresión de la voluntad legislativa tendente al cumplimiento estricto y completo de los principios que rigen esta materia. Añade que no solo es el interés del menor el que está en juego, sino que el derecho de los hijos de las familias monoparentales a ser cuidados en condiciones iguales con respecto a las parentales, exige tener en cuenta que en estas la prestación del otro progenitor (que en las monoparentales no existe) precisa del alta en la Seguridad Social y cubrir un periodo mínimo de carencia. Por último, considera la sentencia que la perspectiva de género resulta determinante porque lo que se pide se sitúa en el ámbito de la creación del derecho, y en el caso se estaría ante un eventual déficit de protección querido y consentido por el legislador. Resuelve en definitiva este caso con la misma doctrina aplicada en supuestos anteriormente resueltos, y sustancialmente iguales.</w:t>
      </w:r>
    </w:p>
    <w:p w14:paraId="0DC6CE72" w14:textId="77777777" w:rsidR="003754FE" w:rsidRDefault="003754FE" w:rsidP="003754FE">
      <w:pPr>
        <w:pStyle w:val="TextoNormal"/>
      </w:pPr>
    </w:p>
    <w:p w14:paraId="3DC0E68F" w14:textId="77777777" w:rsidR="003754FE" w:rsidRDefault="003754FE" w:rsidP="003754FE">
      <w:pPr>
        <w:pStyle w:val="TextoNormal"/>
      </w:pPr>
      <w:r w:rsidRPr="003754FE">
        <w:rPr>
          <w:rStyle w:val="NumeroAFNegritaCaracter"/>
        </w:rPr>
        <w:t>3</w:t>
      </w:r>
      <w:r>
        <w:t>. En la demanda de amparo la recurrente invoca la vulneración del derecho de igualdad del art 14 CE, en una doble vertiente: a) por trato discriminatorio directo debido a circunstancias personales y familiares por razón de nacimiento, puesto que se está discriminando al menor nacido en una familia monoparental, al contar con menor número de semanas de prestación (se mantiene en dieciséis semanas), produciendo un resultado desproporcionado al reducir hasta su mitad los cuidados de los menores de doce meses).; y b) en segundo lugar, por discriminación indirecta por razón de sexo, por constituir una familia monoparental donde en su mayoría, estadísticamente, el progenitor es una mujer, perjudicando así a estas sin una justificación objetiva y razonable.</w:t>
      </w:r>
    </w:p>
    <w:p w14:paraId="0A15BE78" w14:textId="77777777" w:rsidR="003754FE" w:rsidRDefault="003754FE" w:rsidP="003754FE">
      <w:pPr>
        <w:pStyle w:val="TextoNormal"/>
      </w:pPr>
    </w:p>
    <w:p w14:paraId="2B42D277" w14:textId="58564218" w:rsidR="003754FE" w:rsidRDefault="003754FE" w:rsidP="003754FE">
      <w:pPr>
        <w:pStyle w:val="TextoNormal"/>
      </w:pPr>
      <w:r>
        <w:t>Las resoluciones recurridas, sigue diciendo la demanda, han ocasionado una desigualdad provocando un daño desproporcionado en su deber constitucional de cuidado y en el derecho a la protección de la hija recién nacida de la recurrente, de conformidad con los acuerdos internacionales en la materia (lesión del art. 14 CE en relación con el art. 39, apartados 1, 3 y 4 CE).</w:t>
      </w:r>
    </w:p>
    <w:p w14:paraId="2B7284FE" w14:textId="77777777" w:rsidR="003754FE" w:rsidRDefault="003754FE" w:rsidP="003754FE">
      <w:pPr>
        <w:pStyle w:val="TextoNormal"/>
      </w:pPr>
    </w:p>
    <w:p w14:paraId="1FAA542D" w14:textId="77777777" w:rsidR="003754FE" w:rsidRDefault="003754FE" w:rsidP="003754FE">
      <w:pPr>
        <w:pStyle w:val="TextoNormal"/>
      </w:pPr>
      <w:r w:rsidRPr="003754FE">
        <w:rPr>
          <w:rStyle w:val="NumeroAFNegritaCaracter"/>
        </w:rPr>
        <w:t>4</w:t>
      </w:r>
      <w:r>
        <w:t>. Por providencia de 3 de junio de 2024, la Sección Segunda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14:paraId="1C43F704" w14:textId="77777777" w:rsidR="003754FE" w:rsidRDefault="003754FE" w:rsidP="003754FE">
      <w:pPr>
        <w:pStyle w:val="TextoNormal"/>
      </w:pPr>
    </w:p>
    <w:p w14:paraId="2B00F444" w14:textId="6527730E" w:rsidR="003754FE" w:rsidRDefault="003754FE" w:rsidP="003754FE">
      <w:pPr>
        <w:pStyle w:val="TextoNormal"/>
      </w:pPr>
      <w:r>
        <w:lastRenderedPageBreak/>
        <w:t>En aplicación de lo previsto en el art. 51 LOTC dispuso requerir a la Sala de lo Social del Tribunal Supremo y a la Sala de lo Social del Tribunal Superior de Justicia de Cataluña, a fin de que, en el plazo que no excediera de diez días, remitiesen certificación o fotocopia adverada de las actuaciones correspondientes, al recurso de casación para la unificación de doctrina núm. 1741-23, y al recurso de suplicación núm. 3889-22 respectivamente. Asimismo, acordó dirigir atenta comunicación al Juzgado de lo Social núm. 29 de Barcelona a fin de que, en plazo que no excediera de diez días, remitiese certificación o fotocopia adverada de las actuaciones, emplazando a quienes hubieran sido parte en el procedimiento, excepto la parte recurrente en amparo, para que, si lo deseaban, pudieran comparecer en el presente recurso.</w:t>
      </w:r>
    </w:p>
    <w:p w14:paraId="00BDE706" w14:textId="77777777" w:rsidR="003754FE" w:rsidRDefault="003754FE" w:rsidP="003754FE">
      <w:pPr>
        <w:pStyle w:val="TextoNormal"/>
      </w:pPr>
    </w:p>
    <w:p w14:paraId="14B71B1D" w14:textId="1147F1DA" w:rsidR="003754FE" w:rsidRDefault="003754FE" w:rsidP="003754FE">
      <w:pPr>
        <w:pStyle w:val="TextoNormal"/>
      </w:pPr>
      <w:r w:rsidRPr="003754FE">
        <w:rPr>
          <w:rStyle w:val="NumeroAFNegritaCaracter"/>
        </w:rPr>
        <w:t>5</w:t>
      </w:r>
      <w:r>
        <w:t>. Mediante escrito presentado el día 24 de junio 2024, la letrada de la administración de la Seguridad Social, actuando en nombre y representación del Instituto Nacional de la Seguridad Social y la Tesorería General de la Seguridad Social, interesó su personación en el presente recurso de amparo.</w:t>
      </w:r>
    </w:p>
    <w:p w14:paraId="3782AEAE" w14:textId="77777777" w:rsidR="003754FE" w:rsidRDefault="003754FE" w:rsidP="003754FE">
      <w:pPr>
        <w:pStyle w:val="TextoNormal"/>
      </w:pPr>
    </w:p>
    <w:p w14:paraId="1DCB456E" w14:textId="17A10373" w:rsidR="003754FE" w:rsidRDefault="003754FE" w:rsidP="003754FE">
      <w:pPr>
        <w:pStyle w:val="TextoNormal"/>
      </w:pPr>
      <w:r w:rsidRPr="003754FE">
        <w:rPr>
          <w:rStyle w:val="NumeroAFNegritaCaracter"/>
        </w:rPr>
        <w:t>6</w:t>
      </w:r>
      <w:r>
        <w:t>. Por diligencia de ordenación de la secretaría de Justicia de la Sala Primera de este tribunal, de 16 de julio de 2024, se tuvieron por recibidos los testimonios de actuaciones remitidos por la Sala de lo Social del Tribunal Supremo, por la Sala de lo Social del Tribunal Superior de Justicia de Cataluña y por el Juzgado de lo Social núm. 29 de Barcelona, y acordó tener por personada y parte en el presente procedimiento a la letrada de la administración de la Seguridad Social, en nombre y representación del Instituto Nacional de la Seguridad Social. Asimismo, de conformidad con lo establecido en el art. 52.1 LOTC se dispuso a dar vista de las actuaciones en la sede electrónica de este tribunal a la recurrente, al Ministerio Fiscal y a la parte personada, por plazo común de veinte días, para que pudieran presentar las alegaciones que estimaran pertinentes.</w:t>
      </w:r>
    </w:p>
    <w:p w14:paraId="11E18877" w14:textId="77777777" w:rsidR="003754FE" w:rsidRDefault="003754FE" w:rsidP="003754FE">
      <w:pPr>
        <w:pStyle w:val="TextoNormal"/>
      </w:pPr>
    </w:p>
    <w:p w14:paraId="212910C1" w14:textId="77777777" w:rsidR="003754FE" w:rsidRDefault="003754FE" w:rsidP="003754FE">
      <w:pPr>
        <w:pStyle w:val="TextoNormal"/>
      </w:pPr>
      <w:r w:rsidRPr="003754FE">
        <w:rPr>
          <w:rStyle w:val="NumeroAFNegritaCaracter"/>
        </w:rPr>
        <w:t>7</w:t>
      </w:r>
      <w:r>
        <w:t>. La entidad Asociación de Madres Solteras por elección, presentó escrito en el registro de este tribunal el día 18 de julio de 2024, representada por su presidenta, y procesalmente por el procurador don David García Riquelme, asistido de la letrada doña Lourdes Ruiz Ezquerra, solicitando su personación como parte coadyuvante de la recurrente en el presente procedimiento de amparo, alegando ostentar interés legítimo sobre la cuestión de fondo planteada. Tras requerimiento a dicha entidad por diligencia de ordenación de la Secretaría de Justicia de la Sección Segunda de este tribunal, de 22 de julio de 2024, a fin de saber si la misma había sido parte en el proceso previo, aportando en su caso la documentación acreditativa, la citada asociación presentó escrito el 26 de julio manifestando que no lo había sido.</w:t>
      </w:r>
    </w:p>
    <w:p w14:paraId="7636887C" w14:textId="77777777" w:rsidR="003754FE" w:rsidRDefault="003754FE" w:rsidP="003754FE">
      <w:pPr>
        <w:pStyle w:val="TextoNormal"/>
      </w:pPr>
    </w:p>
    <w:p w14:paraId="04E79385" w14:textId="2CCA4155" w:rsidR="003754FE" w:rsidRDefault="003754FE" w:rsidP="003754FE">
      <w:pPr>
        <w:pStyle w:val="TextoNormal"/>
      </w:pPr>
      <w:r>
        <w:t>La Sala Primera de este tribunal proveyó a lo solicitado mediante providencia de 21 de octubre de 2024, acordando no admitir la personación solicitada, al no haber sido parte en la vía judicial previa tal como exige el art. 51.2 LOTC, en aplicación de doctrina de este tribunal (ATC 47/2013, de 25 de febrero, FJ único, y los anteriores que en él se citan).</w:t>
      </w:r>
    </w:p>
    <w:p w14:paraId="388DED87" w14:textId="77777777" w:rsidR="003754FE" w:rsidRDefault="003754FE" w:rsidP="003754FE">
      <w:pPr>
        <w:pStyle w:val="TextoNormal"/>
      </w:pPr>
    </w:p>
    <w:p w14:paraId="2DB52C98" w14:textId="77777777" w:rsidR="003754FE" w:rsidRDefault="003754FE" w:rsidP="003754FE">
      <w:pPr>
        <w:pStyle w:val="TextoNormal"/>
      </w:pPr>
      <w:r w:rsidRPr="003754FE">
        <w:rPr>
          <w:rStyle w:val="NumeroAFNegritaCaracter"/>
        </w:rPr>
        <w:t>8</w:t>
      </w:r>
      <w:r>
        <w:t xml:space="preserve">. A través de escrito presentado el 17 de septiembre de 2024, la letrada de la administración de la Seguridad Social formuló alegaciones en representación del Instituto Nacional de la Seguridad Social y la Tesorería General de la Seguridad Social, postulando la </w:t>
      </w:r>
      <w:r>
        <w:lastRenderedPageBreak/>
        <w:t>desestimación del recurso de amparo, basando su pretensión en los siguientes argumentos que se sintetizan:</w:t>
      </w:r>
    </w:p>
    <w:p w14:paraId="372F84B4" w14:textId="77777777" w:rsidR="003754FE" w:rsidRDefault="003754FE" w:rsidP="003754FE">
      <w:pPr>
        <w:pStyle w:val="TextoNormal"/>
      </w:pPr>
    </w:p>
    <w:p w14:paraId="4D578D0E" w14:textId="77777777" w:rsidR="003754FE" w:rsidRDefault="003754FE" w:rsidP="003754FE">
      <w:pPr>
        <w:pStyle w:val="TextoNormal"/>
      </w:pPr>
      <w:r>
        <w:t>a) Antes de entrar en el fondo, el escrito de alegaciones aduce que la demanda de amparo incurre en el defecto de “[n]o justificación de la trascendencia constitucional”, porque “no existe ningún derecho fundamental que resulte vulnerado, por el hecho de no reconocer durante un periodo superior a dieciséis semanas una prestación de Seguridad Social” para el cuidado de la hija menor de la recurrente, ni ha habido por ello “la discriminación por razón de sexo o estado civil ni el interés jurídico del menor sea el fundamento que subyazca al recurso actual, sino solo una cuestión económica”; empleando al respecto argumentos que luego utiliza en el mismo escrito para pedir la desestimación del recurso. Por ello entiende que la pretensión de la demanda es “absolutamente inadecuada, ilegal y contraria al fundamento de la acción protectora del sistema público de pensiones”, y que “no existe trascendencia constitucional al menos en el presente caso”.</w:t>
      </w:r>
    </w:p>
    <w:p w14:paraId="389D268B" w14:textId="77777777" w:rsidR="003754FE" w:rsidRDefault="003754FE" w:rsidP="003754FE">
      <w:pPr>
        <w:pStyle w:val="TextoNormal"/>
      </w:pPr>
    </w:p>
    <w:p w14:paraId="22F3472A" w14:textId="77777777" w:rsidR="003754FE" w:rsidRDefault="003754FE" w:rsidP="003754FE">
      <w:pPr>
        <w:pStyle w:val="TextoNormal"/>
      </w:pPr>
      <w:r>
        <w:t>Pasa luego la letrada del INSS a identificar la normativa nacional e internacional, y la doctrina constitucional y de otros tribunales, centrándose a continuación en el examen de la cuestión de fondo de este recurso. Niega que exista en las resoluciones administrativas presuntas denegatorias de la ampliación, situación que fue confirmada judicialmente, una discriminación de la menor nacida en una familia monoparental. Advierte que el sistema de Seguridad Social y sus prestaciones son de estricta configuración legal, como ha determinado en reiteradas ocasiones el Tribunal Constitucional al analizar el contenido y la ubicación del art. 41 CE, dentro de los principios rectores de la política económica y social.</w:t>
      </w:r>
    </w:p>
    <w:p w14:paraId="4A72C8F9" w14:textId="77777777" w:rsidR="003754FE" w:rsidRDefault="003754FE" w:rsidP="003754FE">
      <w:pPr>
        <w:pStyle w:val="TextoNormal"/>
      </w:pPr>
    </w:p>
    <w:p w14:paraId="2E79BE5A" w14:textId="77777777" w:rsidR="003754FE" w:rsidRDefault="003754FE" w:rsidP="003754FE">
      <w:pPr>
        <w:pStyle w:val="TextoNormal"/>
      </w:pPr>
      <w:r>
        <w:t>Señala que la doctrina constitucional tiene establecido que el legislador tiene un amplio margen de libertad para configurar el sistema en función de los recursos disponibles para atender las múltiples necesidades sociales, sin que este tribunal pueda interferir con decisiones susceptibles de alterar el equilibrio económico financiero del conjunto del sistema, salvo que la diferencia de tratamiento esté desprovista de toda justificación objetiva o razonable (STC 78/2004, de 29 de abril).</w:t>
      </w:r>
    </w:p>
    <w:p w14:paraId="7B7B5AA6" w14:textId="77777777" w:rsidR="003754FE" w:rsidRDefault="003754FE" w:rsidP="003754FE">
      <w:pPr>
        <w:pStyle w:val="TextoNormal"/>
      </w:pPr>
    </w:p>
    <w:p w14:paraId="6481987F" w14:textId="77777777" w:rsidR="003754FE" w:rsidRDefault="003754FE" w:rsidP="003754FE">
      <w:pPr>
        <w:pStyle w:val="TextoNormal"/>
      </w:pPr>
      <w:r>
        <w:t>b) En relación con la controversia del presente recurso de amparo, la legislación vigente (Ley general de la Seguridad Social, Ley del estatuto de los trabajadores y Ley del estatuto básico del empleado público) no contempla un disfrute adicional del derecho al permiso cuando existe un único progenitor y, no cabe realizar una interpretación extensiva. Se configura como un derecho individual de cada progenitor-trabajador-beneficiario. El actual sistema diseñado atribuye a cada progenitor un derecho de forma individualizada para cada persona trabajadora y como obligación de cada uno es intransferible impidiendo, tras la aprobación del Real Decreto-ley 6/2019, la acumulación, en uno de los progenitores.</w:t>
      </w:r>
    </w:p>
    <w:p w14:paraId="30649AA6" w14:textId="77777777" w:rsidR="003754FE" w:rsidRDefault="003754FE" w:rsidP="003754FE">
      <w:pPr>
        <w:pStyle w:val="TextoNormal"/>
      </w:pPr>
    </w:p>
    <w:p w14:paraId="5F2FCA34" w14:textId="77777777" w:rsidR="003754FE" w:rsidRDefault="003754FE" w:rsidP="003754FE">
      <w:pPr>
        <w:pStyle w:val="TextoNormal"/>
      </w:pPr>
      <w:r>
        <w:t xml:space="preserve">c) Afirma asimismo el escrito, que aquel permiso se configura legalmente como una prestación contributiva y no genera protección en el supuesto de que alguno de los progenitores de una familia biparental no reúna los requisitos, sea por no estar en situación de alta o por no reunir el periodo mínimo de cotización exigible. La prestación que corresponde al progenitor en caso de familia biparental respecto de las dieciséis semanas de descanso por nacimiento y cuidado del menor, precisa como condición inexcusable para otorgarse, su encuadramiento en la Seguridad Social y cubrir un periodo mínimo de carencia, pues en caso contrario no se concede, de modo que el interés del menor no puede ser el factor </w:t>
      </w:r>
      <w:r>
        <w:lastRenderedPageBreak/>
        <w:t>decisivo en esta cuestión, sin que pueda alegarse un trato desigual de ambos tipos de familias, que se daría en las monoparentales al no poderse beneficiar uno de los progenitores de las dieciséis semanas invocadas. No cabe desconfigurar la prestación y extenderla a las familias monoparentales. Está condicionada como toda prestación económica contributiva al cumplimiento de los requisitos legales, se trate de una familia monoparental o biparental.</w:t>
      </w:r>
    </w:p>
    <w:p w14:paraId="3C93E683" w14:textId="77777777" w:rsidR="003754FE" w:rsidRDefault="003754FE" w:rsidP="003754FE">
      <w:pPr>
        <w:pStyle w:val="TextoNormal"/>
      </w:pPr>
    </w:p>
    <w:p w14:paraId="60865F6D" w14:textId="77777777" w:rsidR="003754FE" w:rsidRDefault="003754FE" w:rsidP="003754FE">
      <w:pPr>
        <w:pStyle w:val="TextoNormal"/>
      </w:pPr>
      <w:r>
        <w:t>En tal sentido, considera que no es acorde al derecho constitucional a la igualdad y no discriminación contemplada en el art. 14 CE, que los progenitores de familias monoparentales que cumplen los requisitos del art. 178 LGSS vean automáticamente incrementada la duración de la prestación por nacimiento y cuidado de menor en diez semanas más ( no doce como se pretende por la recurrente), cuando al segundo progenitor de la familia biparental se le exige estar de alta en el sistema de la Seguridad Social y tener un determinado número de días cotizados. Considera la representante de la entidad personada que no es inconstitucional el art. 48.4 LET, ni el art. 49 a) y c) de la  Ley del estatuto básico del empleado público, de idéntico contenido tras la redacción dada por el Real Decreto-ley 6/2919, de medidas urgentes para la garantía de la igualdad de trato y de oportunidades entre mujeres y hombres en el empleo y la ocupación”.</w:t>
      </w:r>
    </w:p>
    <w:p w14:paraId="28C27F72" w14:textId="77777777" w:rsidR="003754FE" w:rsidRDefault="003754FE" w:rsidP="003754FE">
      <w:pPr>
        <w:pStyle w:val="TextoNormal"/>
      </w:pPr>
    </w:p>
    <w:p w14:paraId="2B434F81" w14:textId="77777777" w:rsidR="003754FE" w:rsidRDefault="003754FE" w:rsidP="003754FE">
      <w:pPr>
        <w:pStyle w:val="TextoNormal"/>
      </w:pPr>
      <w:r>
        <w:t>d) Mantiene la letrada de la Seguridad Social, por otro lado, que la interpretación administrativa y judicial del precepto aplicado, negando la ampliación del permiso, no vulnera el art. 14 CE, afirmando que no se atisba ningún viso de discriminación ni por sexo ni por estado civil en el hecho de que no se reconozca un aumento de la duración de los días del permiso de nacimiento y cuidado del menor a la madre biológica de una familia monoparental. Tras esas dieciséis semanas, afirma, pudo acudir a medidas legalmente creadas para cubrir la compañía y atención del menor ante la ausencia del otro progenitor, apuntando la reducción de jornada prevista en el art. 37.6 LET, lactancia o la excedencia para cuidado de menores prevista en el art. 46.3 del mismo texto legal o, en su caso permisos no retribuidos para el cuidado del menor, a los que no consta que hiciera uso la recurrente. Considera que la denegación es acorde con la normativa vinculante del Derecho de la Unión Europea e interpretación que de la misma ha hecho el Tribunal de Justicia de la Unión Europea, que reconoce distinta finalidad a los permisos de paternidad y maternidad, lo que permite atribuirles un carácter personal e intransferible, aun en los supuestos en que no pudieran disfrutarse o ser reconocidos por uno de los progenitores.</w:t>
      </w:r>
    </w:p>
    <w:p w14:paraId="56B8E97C" w14:textId="77777777" w:rsidR="003754FE" w:rsidRDefault="003754FE" w:rsidP="003754FE">
      <w:pPr>
        <w:pStyle w:val="TextoNormal"/>
      </w:pPr>
    </w:p>
    <w:p w14:paraId="62F498DD" w14:textId="2D4FBD98" w:rsidR="003754FE" w:rsidRDefault="003754FE" w:rsidP="003754FE">
      <w:pPr>
        <w:pStyle w:val="TextoNormal"/>
      </w:pPr>
      <w:r>
        <w:t>e) Advierte, por último el escrito de alegaciones, que en su caso solo podrían reconocerse diez semanas más, y no dieciséis como se pretende, por ser seis semanas coincidentes para ambos progenitores aunque con finalidad distinta: para la madre biológica responde a la recuperación después del parto en protección de su salud, mientras que para el otro progenitor la finalidad es la de repartir las cargas familiares e indirectamente, evitar un distinto trato laboral entre hombres y mujeres evitando o aliviando las consecuencias del estereotipo de género.</w:t>
      </w:r>
    </w:p>
    <w:p w14:paraId="33701120" w14:textId="77777777" w:rsidR="003754FE" w:rsidRDefault="003754FE" w:rsidP="003754FE">
      <w:pPr>
        <w:pStyle w:val="TextoNormal"/>
      </w:pPr>
    </w:p>
    <w:p w14:paraId="397DE699" w14:textId="77777777" w:rsidR="003754FE" w:rsidRDefault="003754FE" w:rsidP="003754FE">
      <w:pPr>
        <w:pStyle w:val="TextoNormal"/>
      </w:pPr>
      <w:r w:rsidRPr="003754FE">
        <w:rPr>
          <w:rStyle w:val="NumeroAFNegritaCaracter"/>
        </w:rPr>
        <w:t>9</w:t>
      </w:r>
      <w:r>
        <w:t>. El fiscal ante este Tribunal Constitucional presentó escrito el día 1 de octubre de 2024, en el que vierte sus alegaciones interesando la desestimación del recurso de amparo.</w:t>
      </w:r>
    </w:p>
    <w:p w14:paraId="76792B79" w14:textId="77777777" w:rsidR="003754FE" w:rsidRDefault="003754FE" w:rsidP="003754FE">
      <w:pPr>
        <w:pStyle w:val="TextoNormal"/>
      </w:pPr>
    </w:p>
    <w:p w14:paraId="100FE492" w14:textId="77777777" w:rsidR="003754FE" w:rsidRDefault="003754FE" w:rsidP="003754FE">
      <w:pPr>
        <w:pStyle w:val="TextoNormal"/>
      </w:pPr>
      <w:r>
        <w:t xml:space="preserve">a) En un primer apartado, resume los antecedentes más relevantes de los que trae causa el presente recurso de amparo, entre los que destacan los hechos probados de la sentencia del Juzgado de lo Social y el fallo estimatorio de la pretensión actora, que fue confirmado </w:t>
      </w:r>
      <w:r>
        <w:lastRenderedPageBreak/>
        <w:t>en suplicación por el Tribunal Superior de Justicia de Cataluña, siendo estimado el recurso de casación en unificación de doctrina interpuesto por el INSS, de modo que la Sala de lo Social del Tribunal Supremo casó y anuló la dictada por el Tribunal Superior, confirmando la denegación de la ampliación del permiso de la madre por familia monoparental que se desprendía de las resoluciones administrativas presuntas, cuya impugnación fue el objeto del procedimiento laboral.</w:t>
      </w:r>
    </w:p>
    <w:p w14:paraId="0AEF7338" w14:textId="77777777" w:rsidR="003754FE" w:rsidRDefault="003754FE" w:rsidP="003754FE">
      <w:pPr>
        <w:pStyle w:val="TextoNormal"/>
      </w:pPr>
    </w:p>
    <w:p w14:paraId="11DC2C4B" w14:textId="77777777" w:rsidR="003754FE" w:rsidRDefault="003754FE" w:rsidP="003754FE">
      <w:pPr>
        <w:pStyle w:val="TextoNormal"/>
      </w:pPr>
      <w:r>
        <w:t>Refiere el fiscal la doctrina jurisprudencial iniciada a raíz de la sentencia del Pleno de la Sala de lo Social del Tribunal Supremo de 2 de marzo de 2023, aclarada por ATS de 22 de marzo de 2023 (ECLI:ES:TS:2023:3279AA), concluyendo que no existe una supuesta vulneración de un teórico derecho de los menores de las familias monoparentales a ser cuidados en condiciones de igualdad con respecto a los nacidos en familias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desconoce la Sala y considera de especial relevancia, no puede sin embargo ser el único factor determinante en esta cuestión. Recalca el escrito de alegaciones que el legislador no ha olvidado a las familias monoparentales en materia de protección social, optando por utilizar fórmulas que no consisten necesariamente en la prolongación de la suspensión del contrato de trabajo de la mujer y que permiten darle un efectivo papel en la integración profesional, excluyéndola de la perpetuación de roles que venía a implicar la exclusión de su carrera profesional por la dedicación al cuidado de los hijos, evitando así estereotipos de género, y dando cumplimiento de este modo a lo establecido en el art. 11 de la Directiva (UE) 2010/1158, del Parlamento europeo y del Consejo, de 20 de junio de 2019, relativa a la conciliación de la vida familiar y la vida profesional de los progenitores y los cuidadores, y por la que se deroga la Directiva 2010/18/UE del Consejo.</w:t>
      </w:r>
    </w:p>
    <w:p w14:paraId="6AC6397C" w14:textId="77777777" w:rsidR="003754FE" w:rsidRDefault="003754FE" w:rsidP="003754FE">
      <w:pPr>
        <w:pStyle w:val="TextoNormal"/>
      </w:pPr>
    </w:p>
    <w:p w14:paraId="0086CFE4" w14:textId="77777777" w:rsidR="003754FE" w:rsidRDefault="003754FE" w:rsidP="003754FE">
      <w:pPr>
        <w:pStyle w:val="TextoNormal"/>
      </w:pPr>
      <w:r>
        <w:t>b) Posteriormente, el fiscal sintetiza los aspectos esenciales de la demanda de amparo, refiriendo la doctrina constitucional sobre el derecho de igualdad y prohibición de discriminación que se desprende del art. 14 CE, acogiendo este precepto dos contenidos claramente diferenciados: el derecho a la igualdad y las prohibiciones de discriminación. Cita doctrina constitucional recogida en la STC 91/2019 de 3 de julio, FJ 4, en el sentido de que se puede decir que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(STC 200/2001, de 4 de octubre FJ 4)”.</w:t>
      </w:r>
    </w:p>
    <w:p w14:paraId="4ED070C3" w14:textId="77777777" w:rsidR="003754FE" w:rsidRDefault="003754FE" w:rsidP="003754FE">
      <w:pPr>
        <w:pStyle w:val="TextoNormal"/>
      </w:pPr>
    </w:p>
    <w:p w14:paraId="50E7F8FD" w14:textId="77777777" w:rsidR="003754FE" w:rsidRDefault="003754FE" w:rsidP="003754FE">
      <w:pPr>
        <w:pStyle w:val="TextoNormal"/>
      </w:pPr>
      <w:r>
        <w:t xml:space="preserve">También señala que “los rasgos esenciales del derecho a la igualdad del art. 14 CE se pueden resumir así: a) no toda desigualdad de trato en la ley supone una infracción del art. 14 CE, sino que dicha infracción la produce solo aquella desigualdad que introduce una diferencia entre situaciones que pueden considerarse iguales y que carece de una justificación objetiva y razonable; b) el derecho a la igualdad exige que a iguales supuestos de hecho se apliquen iguales consecuencias jurídicas, debiendo considerarse iguales dos supuestos de </w:t>
      </w:r>
      <w:r>
        <w:lastRenderedPageBreak/>
        <w:t>hecho cuando la utilización o introducción de elementos diferenciadores sea arbitraria o carezca de fundamento racional; c) el derecho a la igualdad no prohíbe al legislador cualquier desigualdad de trato, sino solo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(STC 253/2004, de 22 de diciembre, FJ 5; 61/2013, FJ 4 a); y 156/2014, FJ 4)” [STC 91/2019, de 3 de julio, FJ 4 a) último párrafo].</w:t>
      </w:r>
    </w:p>
    <w:p w14:paraId="57589451" w14:textId="77777777" w:rsidR="003754FE" w:rsidRDefault="003754FE" w:rsidP="003754FE">
      <w:pPr>
        <w:pStyle w:val="TextoNormal"/>
      </w:pPr>
    </w:p>
    <w:p w14:paraId="569D2BAF" w14:textId="77777777" w:rsidR="003754FE" w:rsidRDefault="003754FE" w:rsidP="003754FE">
      <w:pPr>
        <w:pStyle w:val="TextoNormal"/>
      </w:pPr>
      <w:r>
        <w:t>La doctrina constitucional, prosigue diciendo el fiscal, aborda los supuestos en que, más allá de una vulneración genérica del derecho de igualdad ante la ley que recoge el art. 14 CE, puede existir un supuesto de discriminación de los específicamente prohibidos en este mismo artículo, de tal manera que, a diferencia del principio genérico de igualdad, que no postula ni como fin ni como medio la paridad y solo exige la razonabilidad de la diferencia normativa de trato, las prohibiciones de discriminación contenidas en el art. 14 CE implican un juicio de falta de razonabilidad de la diferenciación, establecido ya en la propia Constitución, que impone como fin y generalmente como medio la parificación, de modo que la distinción entre los sexos, razas, religiones, y demás criterios solo puede ser utilizada excepcionalmente por el legislador para su diferenciación jurídica. Esto último implica la necesidad de usar en el juicio de legitimidad constitucional un canon mucho más estricto, así como un mayor rigor respecto a las exigencias materiales de proporcionalidad.</w:t>
      </w:r>
    </w:p>
    <w:p w14:paraId="6454BD88" w14:textId="77777777" w:rsidR="003754FE" w:rsidRDefault="003754FE" w:rsidP="003754FE">
      <w:pPr>
        <w:pStyle w:val="TextoNormal"/>
      </w:pPr>
    </w:p>
    <w:p w14:paraId="5190E6B7" w14:textId="77777777" w:rsidR="003754FE" w:rsidRDefault="003754FE" w:rsidP="003754FE">
      <w:pPr>
        <w:pStyle w:val="TextoNormal"/>
      </w:pPr>
      <w:r>
        <w:t>c) No considera además el fiscal ante este tribunal que se produzca en estos casos una discriminación indirecta por razón de sexo. Recuerda que junto a la discriminación directa se ha establecido la existencia de una forma de discriminación por razón de sexo indirecta, cuyo concepto legal se recoge incluso en el art. 6.2 de la Ley Orgánica 3/2007, de 22 de marzo, para la igualdad efectiva de mujeres y hombres. Considerando así por la doctrina constitucional que la discriminación indirecta supone un “tratamiento formalmente neutro o no discriminatorio del que se deriva, por las diversas condiciones fácticas que se dan entre trabajadores de uno y otro sexo, un impacto adverso sobre los miembros de un determinado sexo” [STC 79/2020, de 2 de julio, FJ 4, con cita de las SSTC 145/1991, de 1 de julio, FJ 2, y 91/2019, de 3 de julio, FJ 4 c)]. Precisamente esta última relaciona aquel concepto con la doctrina del Tribunal de Justicia de la Unión Europea y la regulación por los instrumentos del Derecho de la Unión.</w:t>
      </w:r>
    </w:p>
    <w:p w14:paraId="145A60D0" w14:textId="77777777" w:rsidR="003754FE" w:rsidRDefault="003754FE" w:rsidP="003754FE">
      <w:pPr>
        <w:pStyle w:val="TextoNormal"/>
      </w:pPr>
    </w:p>
    <w:p w14:paraId="4EA4FCE8" w14:textId="77777777" w:rsidR="003754FE" w:rsidRDefault="003754FE" w:rsidP="003754FE">
      <w:pPr>
        <w:pStyle w:val="TextoNormal"/>
      </w:pPr>
      <w:r>
        <w:t xml:space="preserve">d) Refiriéndose a la demanda de amparo, dice el fiscal que las lesiones del art. 14 CE que invoca la recurrente parten de considerar que las resoluciones impugnadas podían interpretar el art. 48 LET y arts. 177 a 180 LGSS de un modo diferente a como lo hicieron y por tanto su interpretación supone una vulneración del art. 14 CE en la faceta del derecho a la igualdad ante la ley, o bien una discriminación directa por razón de pertenencia a familia monoparental o por estado civil; o en su caso una discriminación indirecta por razón de sexo. Solo subsidiariamente —sigue recordando el fiscal— para el caso en que se estime que la discriminación procede de la ley, la demandante de amparo “interesa al Tribunal que </w:t>
      </w:r>
      <w:r>
        <w:lastRenderedPageBreak/>
        <w:t>eleve al Pleno cuestión de inconstitucionalidad, de acuerdo con el art. 55.2 LOTC”, respecto del art. 48 apartados 4, 5 y 6 LET.</w:t>
      </w:r>
    </w:p>
    <w:p w14:paraId="20CBFD64" w14:textId="77777777" w:rsidR="003754FE" w:rsidRDefault="003754FE" w:rsidP="003754FE">
      <w:pPr>
        <w:pStyle w:val="TextoNormal"/>
      </w:pPr>
    </w:p>
    <w:p w14:paraId="0793F372" w14:textId="77777777" w:rsidR="003754FE" w:rsidRDefault="003754FE" w:rsidP="003754FE">
      <w:pPr>
        <w:pStyle w:val="TextoNormal"/>
      </w:pPr>
      <w:r>
        <w:t>Sin embargo, expone el Ministerio Fiscal que el Tribunal Supremo en su misión de unificar la interpretación de las normas legales, en las sentencias de 2 de marzo de 2023, de Pleno (recurso 3972-2020), 14 de junio de 2023 [recurso 1642-2022 (ECLI:ES:TS:2023:3053)] y las demás citadas en la sentencia recurrida, ha establecido que la interpretación correcta de la normativa aplicable a la prestación contributiva establecida en los arts. 177 al 179 LGSS es la que realizó el Instituto Nacional de la Seguridad Social, y que la normativa legal no puede ser interpretada en el sentido de que si se trata de una familia monoparental, y por tanto legalmente no existe el segundo progenitor, también le correspondería a la madre la prestación contributiva que está prevista para el progenitor distinto de la madre biológica, pues la de este tiene carácter de intransferible. Afirma asimismo la Sala en esta sentencia unificadora, acota el fiscal, que lo pretendido por la demandante supondría la creación de una normativa nueva que no es labor de los órganos judiciales sino del legislativo.</w:t>
      </w:r>
    </w:p>
    <w:p w14:paraId="59E2BF47" w14:textId="77777777" w:rsidR="003754FE" w:rsidRDefault="003754FE" w:rsidP="003754FE">
      <w:pPr>
        <w:pStyle w:val="TextoNormal"/>
      </w:pPr>
    </w:p>
    <w:p w14:paraId="59BE60F8" w14:textId="77777777" w:rsidR="003754FE" w:rsidRDefault="003754FE" w:rsidP="003754FE">
      <w:pPr>
        <w:pStyle w:val="TextoNormal"/>
      </w:pPr>
      <w:r>
        <w:t>El fiscal se opone a la pretensión de amparo, pues aclara que con las argumentaciones vertidas en su escrito no se pretende negar que las familias monoparentales merezcan una protección específica, máxime si se pretende aumentar el índice de natalidad, protección que será claramente necesaria si sus ingresos son bajos, porque el menor cuenta con una persona menos a la que reclamar alimentos y cuidado.</w:t>
      </w:r>
    </w:p>
    <w:p w14:paraId="0F34F653" w14:textId="77777777" w:rsidR="003754FE" w:rsidRDefault="003754FE" w:rsidP="003754FE">
      <w:pPr>
        <w:pStyle w:val="TextoNormal"/>
      </w:pPr>
    </w:p>
    <w:p w14:paraId="0C888251" w14:textId="77777777" w:rsidR="003754FE" w:rsidRDefault="003754FE" w:rsidP="003754FE">
      <w:pPr>
        <w:pStyle w:val="TextoNormal"/>
      </w:pPr>
      <w:r>
        <w:t>Considera que la interpretación que realiza el Tribunal Supremo no es excesivamente formalista ni ilógica, irracional o absurda, ni vulnera el art. 14 CE. No aprecia discriminación por razón de estado civil, ni discriminación directa por su condición de familia monoparental o por afectación del interés superior del menor, lesión que imputa la demanda a las resoluciones administrativas de la entidad gestora de la Seguridad Social, y a la resolución judicial que las confirma. En todo caso, de existir discriminación sería por indiferenciación, rechazada por la doctrina constitucional que no admite las pretensiones de trato desigual en supuestos desiguales; es decir, el art. 14 CE no ampara el derecho a una diferencia de trato (SSTC 16/1994, de 20 de enero;114/1995, de 6 de julio, o 181/2000, de 29 de junio).</w:t>
      </w:r>
    </w:p>
    <w:p w14:paraId="420FA959" w14:textId="77777777" w:rsidR="003754FE" w:rsidRDefault="003754FE" w:rsidP="003754FE">
      <w:pPr>
        <w:pStyle w:val="TextoNormal"/>
      </w:pPr>
    </w:p>
    <w:p w14:paraId="7CEEFBE3" w14:textId="77777777" w:rsidR="003754FE" w:rsidRDefault="003754FE" w:rsidP="003754FE">
      <w:pPr>
        <w:pStyle w:val="TextoNormal"/>
      </w:pPr>
      <w:r>
        <w:t>e) Por último, afirma el fiscal que de haber existido inconstitucionalidad se habría producido por omisión del legislador, y ello no se puede salvar con una interpretación de las normas, y tampoco hay una norma cuya nulidad por inconstitucionalidad dé lugar a lo que pretende la demandante de amparo. Advierte que no se ha impugnado ningún párrafo de la norma (art. 48.4 LET, ni de los arts. 177 a 179 LGSS), sino que la vulneración del derecho de igualdad se produciría porque ninguno de ellos contempla una regulación específica para el progenitor de las familias monoparentales que suponga una ampliación de la prestación contributiva, planteando el recurso una inconstitucionalidad por omisión. Cita la reciente STC 34/2023, de 18 de abril, FJ 8 h).</w:t>
      </w:r>
    </w:p>
    <w:p w14:paraId="40F8E1FA" w14:textId="77777777" w:rsidR="003754FE" w:rsidRDefault="003754FE" w:rsidP="003754FE">
      <w:pPr>
        <w:pStyle w:val="TextoNormal"/>
      </w:pPr>
    </w:p>
    <w:p w14:paraId="5D0BB6DA" w14:textId="0AB4F900" w:rsidR="003754FE" w:rsidRDefault="003754FE" w:rsidP="003754FE">
      <w:pPr>
        <w:pStyle w:val="TextoNormal"/>
      </w:pPr>
      <w:r>
        <w:t xml:space="preserve">En esta última apreciación, añade que no se trata de una omisión involuntaria, sino que de acuerdo con la doctrina constitucional relativa al art. 41 CE, entre muchas otras la STC 41/2013, de 14 de febrero, FJ 3, el legislador dispone de un amplio margen de libertad en la configuración del sistema de Seguridad Social, en la apreciación de circunstancias socio económicas de cada momento a la hora de administrar recursos limitados para atender a un </w:t>
      </w:r>
      <w:r>
        <w:lastRenderedPageBreak/>
        <w:t>gran número de necesidades sociales ( SSTC 65/1987, de 21 de mayo, FJ 7; 134/1987, de 21 de julio, FJ 5, y 97/1990, de 24 de mayo, FJ 3), siendo responsabilidad del legislador regular las prestaciones de la Seguridad Social que correspondan a las familias monoparentales.</w:t>
      </w:r>
    </w:p>
    <w:p w14:paraId="1AFB905A" w14:textId="77777777" w:rsidR="003754FE" w:rsidRDefault="003754FE" w:rsidP="003754FE">
      <w:pPr>
        <w:pStyle w:val="TextoNormal"/>
      </w:pPr>
    </w:p>
    <w:p w14:paraId="2F098F7A" w14:textId="1CD20E58" w:rsidR="003754FE" w:rsidRDefault="003754FE" w:rsidP="003754FE">
      <w:pPr>
        <w:pStyle w:val="TextoNormal"/>
      </w:pPr>
      <w:r w:rsidRPr="003754FE">
        <w:rPr>
          <w:rStyle w:val="NumeroAFNegritaCaracter"/>
        </w:rPr>
        <w:t>10</w:t>
      </w:r>
      <w:r>
        <w:t>. Por providencia de 28 de noviembre de 2024 se señaló para deliberación y votación del presente recurso el día 2 de diciembre de 2024.</w:t>
      </w:r>
    </w:p>
    <w:p w14:paraId="73F5CB03" w14:textId="77777777" w:rsidR="003754FE" w:rsidRDefault="003754FE" w:rsidP="003754FE">
      <w:pPr>
        <w:pStyle w:val="TextoNormal"/>
      </w:pPr>
    </w:p>
    <w:p w14:paraId="05BB8517" w14:textId="77777777" w:rsidR="003754FE" w:rsidRDefault="003754FE" w:rsidP="003754FE">
      <w:pPr>
        <w:pStyle w:val="TextoNormalNegritaCentrado"/>
        <w:keepNext/>
      </w:pPr>
      <w:r>
        <w:t>II. Fundamentos jurídicos</w:t>
      </w:r>
    </w:p>
    <w:p w14:paraId="64CE85AA" w14:textId="61EABF58" w:rsidR="003754FE" w:rsidRDefault="003754FE" w:rsidP="003754FE">
      <w:pPr>
        <w:pStyle w:val="TextoNormalNegritaCentrado"/>
        <w:keepNext/>
      </w:pPr>
    </w:p>
    <w:p w14:paraId="4559EA60" w14:textId="77777777" w:rsidR="003754FE" w:rsidRDefault="003754FE" w:rsidP="003754FE">
      <w:pPr>
        <w:pStyle w:val="TextoNormal"/>
      </w:pPr>
      <w:r w:rsidRPr="003754FE">
        <w:rPr>
          <w:rStyle w:val="NumeroAFNegritaCaracter"/>
        </w:rPr>
        <w:t>1</w:t>
      </w:r>
      <w:r>
        <w:t xml:space="preserve">. </w:t>
      </w:r>
      <w:r w:rsidRPr="003754FE">
        <w:rPr>
          <w:i/>
        </w:rPr>
        <w:t>Objeto del recurso</w:t>
      </w:r>
    </w:p>
    <w:p w14:paraId="6A94C10C" w14:textId="77777777" w:rsidR="003754FE" w:rsidRDefault="003754FE" w:rsidP="003754FE">
      <w:pPr>
        <w:pStyle w:val="TextoNormal"/>
      </w:pPr>
    </w:p>
    <w:p w14:paraId="04100041" w14:textId="388853F5" w:rsidR="003754FE" w:rsidRDefault="003754FE" w:rsidP="003754FE">
      <w:pPr>
        <w:pStyle w:val="TextoNormal"/>
      </w:pPr>
      <w:r>
        <w:t>El objeto del presente proceso es dilucidar si la sentencia del Tribunal Supremo que revocando la resolución del Tribunal Superior de Justicia de Cataluña, desestimó la demanda y confirmó las resoluciones administrativas del INSS con absolución de las demandadas, ha ocasionado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4B6BDBD3" w14:textId="77777777" w:rsidR="003754FE" w:rsidRDefault="003754FE" w:rsidP="003754FE">
      <w:pPr>
        <w:pStyle w:val="TextoNormal"/>
      </w:pPr>
    </w:p>
    <w:p w14:paraId="27A6110B" w14:textId="77777777" w:rsidR="003754FE" w:rsidRDefault="003754FE" w:rsidP="003754FE">
      <w:pPr>
        <w:pStyle w:val="TextoNormal"/>
      </w:pPr>
      <w:r w:rsidRPr="003754FE">
        <w:rPr>
          <w:rStyle w:val="NumeroAFNegritaCaracter"/>
        </w:rPr>
        <w:t>2</w:t>
      </w:r>
      <w:r>
        <w:t xml:space="preserve">. </w:t>
      </w:r>
      <w:r w:rsidRPr="003754FE">
        <w:rPr>
          <w:i/>
        </w:rPr>
        <w:t>Sobre la objeción de “no justificación de la especial trascendencia constitucional” del recurso</w:t>
      </w:r>
    </w:p>
    <w:p w14:paraId="0091C70C" w14:textId="77777777" w:rsidR="003754FE" w:rsidRDefault="003754FE" w:rsidP="003754FE">
      <w:pPr>
        <w:pStyle w:val="TextoNormal"/>
      </w:pPr>
    </w:p>
    <w:p w14:paraId="3D513F99" w14:textId="77777777" w:rsidR="003754FE" w:rsidRDefault="003754FE" w:rsidP="003754FE">
      <w:pPr>
        <w:pStyle w:val="TextoNormal"/>
      </w:pPr>
      <w:r>
        <w:t>Antes de entrar a examinar las quejas de fondo de la demanda, la letrada del INSS advierte en su escrito de alegaciones del trámite del art. 52 LOTC que la demanda había incurrido en el defecto de “no justificación de la especial trascendencia constitucional”, señalando más adelante que “no existe trascendencia constitucional” en el recurso, todo ello porque no se había producido la vulneración del derecho fundamental que denuncia la demanda, empleando al respecto argumentos que luego utiliza en el mismo escrito para pedir la desestimación del recurso.</w:t>
      </w:r>
    </w:p>
    <w:p w14:paraId="65F419ED" w14:textId="77777777" w:rsidR="003754FE" w:rsidRDefault="003754FE" w:rsidP="003754FE">
      <w:pPr>
        <w:pStyle w:val="TextoNormal"/>
      </w:pPr>
    </w:p>
    <w:p w14:paraId="509228A9" w14:textId="1F5B85A5" w:rsidR="003754FE" w:rsidRDefault="003754FE" w:rsidP="003754FE">
      <w:pPr>
        <w:pStyle w:val="TextoNormal"/>
      </w:pPr>
      <w:r>
        <w:t xml:space="preserve">Resulta así palmario que el escrito de alegaciones confunde como una misma cosa, tres conceptos distintos como son la falta de justificación de la especial trascendencia constitucional (óbice formal </w:t>
      </w:r>
      <w:r w:rsidRPr="003754FE">
        <w:rPr>
          <w:i/>
        </w:rPr>
        <w:t>ex</w:t>
      </w:r>
      <w:r>
        <w:t xml:space="preserve"> art. 49.1 </w:t>
      </w:r>
      <w:r w:rsidRPr="003754FE">
        <w:rPr>
          <w:i/>
        </w:rPr>
        <w:t>in fine</w:t>
      </w:r>
      <w:r>
        <w:t xml:space="preserve"> LOTC); la falta material de este requisito [art. 50.1 b) LOTC y nuestra STC 155/2009, de 25 de junio, FJ 2], y la inexistencia de la vulneración del derecho fundamental invocado como infringido, es decir, el propio tema de fondo planteado, lo que relevaría de más contestación. Lo cierto, en cualquier caso, es que el escrito de la representante del INSS no ofrece razón alguna para reconsiderar el juicio positivo sobre la especial trascendencia constitucional que quedó expresado en la providencia de admisión del presente recurso, mientras que en lo que concierne a la cuestión de fondo se resuelve en el próximo fundamento jurídico.</w:t>
      </w:r>
    </w:p>
    <w:p w14:paraId="73C43FF3" w14:textId="77777777" w:rsidR="003754FE" w:rsidRDefault="003754FE" w:rsidP="003754FE">
      <w:pPr>
        <w:pStyle w:val="TextoNormal"/>
      </w:pPr>
    </w:p>
    <w:p w14:paraId="3D071861" w14:textId="77777777" w:rsidR="003754FE" w:rsidRDefault="003754FE" w:rsidP="003754FE">
      <w:pPr>
        <w:pStyle w:val="TextoNormal"/>
      </w:pPr>
      <w:r w:rsidRPr="003754FE">
        <w:rPr>
          <w:rStyle w:val="NumeroAFNegritaCaracter"/>
        </w:rPr>
        <w:t>3</w:t>
      </w:r>
      <w:r>
        <w:t xml:space="preserve">. </w:t>
      </w:r>
      <w:r w:rsidRPr="003754FE">
        <w:rPr>
          <w:i/>
        </w:rPr>
        <w:t>Aplicación de la doctrina constitucional fijada en la STC 140/2024, de 6 de noviembre</w:t>
      </w:r>
    </w:p>
    <w:p w14:paraId="111EC10C" w14:textId="77777777" w:rsidR="003754FE" w:rsidRDefault="003754FE" w:rsidP="003754FE">
      <w:pPr>
        <w:pStyle w:val="TextoNormal"/>
      </w:pPr>
    </w:p>
    <w:p w14:paraId="18A0C5CF" w14:textId="77777777" w:rsidR="003754FE" w:rsidRDefault="003754FE" w:rsidP="003754FE">
      <w:pPr>
        <w:pStyle w:val="TextoNormal"/>
      </w:pPr>
      <w:r>
        <w:lastRenderedPageBreak/>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14:paraId="7E2EB389" w14:textId="77777777" w:rsidR="003754FE" w:rsidRDefault="003754FE" w:rsidP="003754FE">
      <w:pPr>
        <w:pStyle w:val="TextoNormal"/>
      </w:pPr>
    </w:p>
    <w:p w14:paraId="54151C48" w14:textId="77777777" w:rsidR="003754FE" w:rsidRDefault="003754FE" w:rsidP="003754FE">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71F849CA" w14:textId="77777777" w:rsidR="003754FE" w:rsidRDefault="003754FE" w:rsidP="003754FE">
      <w:pPr>
        <w:pStyle w:val="TextoNormal"/>
      </w:pPr>
    </w:p>
    <w:p w14:paraId="0173C70E" w14:textId="77777777" w:rsidR="003754FE" w:rsidRDefault="003754FE" w:rsidP="003754FE">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3754FE">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399F7559" w14:textId="77777777" w:rsidR="003754FE" w:rsidRDefault="003754FE" w:rsidP="003754FE">
      <w:pPr>
        <w:pStyle w:val="TextoNormal"/>
      </w:pPr>
    </w:p>
    <w:p w14:paraId="19EE7EDD" w14:textId="719E9AAA" w:rsidR="003754FE" w:rsidRDefault="003754FE" w:rsidP="003754FE">
      <w:pPr>
        <w:pStyle w:val="TextoNormal"/>
      </w:pPr>
      <w:r>
        <w:t>En consecuencia, debe estimarse la demanda y otorgar el amparo solicitado, con nulidad de las tres sentencias dictadas, así como la nulidad de las resoluciones presuntas de la administración competente. Como concretamos en nuestra STC 140/2024, de 6 de noviembre, FJ 7, en tanto el legislador no lleve a cabo la consiguiente reforma normativa, en las familias monoparentales el permiso a que hace referencia el art. 48.4 LET, y en relación con el art. 177 LGSS, ha de ser interpretado para evitar la discriminación de los menores recién nacidos y teniendo en cuenta el interés superior de los mismos reconocido constitucionalmente, en el sentido de adicionarse al permiso del primer párrafo para la madre biológica (dieciséis semanas), el previsto en el segundo para el progenitor distinto, de diez semanas, al excluirse las seis primeras que necesariamente deben disfrutarse de forma ininterrumpida e inmediatamente posterior al parto.</w:t>
      </w:r>
    </w:p>
    <w:p w14:paraId="5DC2B77F" w14:textId="77777777" w:rsidR="003754FE" w:rsidRDefault="003754FE" w:rsidP="003754FE">
      <w:pPr>
        <w:pStyle w:val="TextoNormal"/>
      </w:pPr>
    </w:p>
    <w:p w14:paraId="1E761543" w14:textId="77777777" w:rsidR="003754FE" w:rsidRDefault="003754FE" w:rsidP="003754FE">
      <w:pPr>
        <w:pStyle w:val="TextoNormalCentrado"/>
        <w:keepNext/>
      </w:pPr>
      <w:r>
        <w:lastRenderedPageBreak/>
        <w:t>FALLO</w:t>
      </w:r>
    </w:p>
    <w:p w14:paraId="1C4E9049" w14:textId="0D01F08D" w:rsidR="003754FE" w:rsidRDefault="003754FE" w:rsidP="003754FE">
      <w:pPr>
        <w:pStyle w:val="TextoNormalCentrado"/>
        <w:keepNext/>
      </w:pPr>
    </w:p>
    <w:p w14:paraId="5F13CFEF" w14:textId="77777777" w:rsidR="003754FE" w:rsidRDefault="003754FE" w:rsidP="003754FE">
      <w:pPr>
        <w:pStyle w:val="TextoNormal"/>
      </w:pPr>
      <w:r>
        <w:t>En atención a todo lo expuesto, el Tribunal Constitucional, por la autoridad que le confiere la Constitución de la Nación española, ha decidido:</w:t>
      </w:r>
    </w:p>
    <w:p w14:paraId="6FEE8C35" w14:textId="77777777" w:rsidR="003754FE" w:rsidRDefault="003754FE" w:rsidP="003754FE">
      <w:pPr>
        <w:pStyle w:val="TextoNormal"/>
      </w:pPr>
    </w:p>
    <w:p w14:paraId="52BA503E" w14:textId="77777777" w:rsidR="003754FE" w:rsidRDefault="003754FE" w:rsidP="003754FE">
      <w:pPr>
        <w:pStyle w:val="TextoNormal"/>
      </w:pPr>
      <w:r>
        <w:t>1º Estimar la demanda presentada por doña Esther Hernández Medina por vulneración del derecho fundamental de igualdad ante la ley sin discriminación por razón de nacimiento (art. 14 CE) de una hija menor en una familia monoparental.</w:t>
      </w:r>
    </w:p>
    <w:p w14:paraId="704BFD9F" w14:textId="77777777" w:rsidR="003754FE" w:rsidRDefault="003754FE" w:rsidP="003754FE">
      <w:pPr>
        <w:pStyle w:val="TextoNormal"/>
      </w:pPr>
    </w:p>
    <w:p w14:paraId="2F15351B" w14:textId="77777777" w:rsidR="003754FE" w:rsidRDefault="003754FE" w:rsidP="003754FE">
      <w:pPr>
        <w:pStyle w:val="TextoNormal"/>
      </w:pPr>
      <w:r>
        <w:t>2º Declarar la nulidad de las siguientes resoluciones: (i) la sentencia núm. 268/2024 de la Sala de lo Social del Tribunal Supremo de fecha 9 de febrero de 2024, recaída en recuso de casación para unificación de doctrina núm. 1741-2023; (ii) las resoluciones del INSS que por vía de silencio administrativo denegaron la solicitud de la recurrente; (iii) la sentencia del Juzgado de lo Social núm. 29 de Barcelona, de 5 de julio de 2021 (procedimiento de Seguridad Social en materia prestacional 313-2021-E); y (iv) la sentencia de la Sala de lo Social del Tribunal Superior de Justicia de Cataluña, de 20 de enero de 2023 (recurso de suplicación núm. 3889-2022).</w:t>
      </w:r>
    </w:p>
    <w:p w14:paraId="199EE78E" w14:textId="77777777" w:rsidR="003754FE" w:rsidRDefault="003754FE" w:rsidP="003754FE">
      <w:pPr>
        <w:pStyle w:val="TextoNormal"/>
      </w:pPr>
    </w:p>
    <w:p w14:paraId="6B4C1661" w14:textId="4828CECC" w:rsidR="003754FE" w:rsidRDefault="003754FE" w:rsidP="003754FE">
      <w:pPr>
        <w:pStyle w:val="TextoNormal"/>
      </w:pPr>
      <w:r>
        <w:t>3º Retrotraer las actuaciones al momento previo a las resoluciones administrativas mencionadas en el apartado anterior, para que el Instituto Nacional de la Seguridad Social dicte resolución expresa que resulte ser respetuosa con el derecho fundamental reconocido a la recurrente, con el alcance fijado en el último párrafo del fundamento jurídico 3 de esta sentencia.</w:t>
      </w:r>
    </w:p>
    <w:p w14:paraId="6460B9B3" w14:textId="77777777" w:rsidR="003754FE" w:rsidRDefault="003754FE" w:rsidP="003754FE">
      <w:pPr>
        <w:pStyle w:val="TextoNormal"/>
      </w:pPr>
    </w:p>
    <w:p w14:paraId="0349A0D9" w14:textId="77777777" w:rsidR="003754FE" w:rsidRDefault="003754FE" w:rsidP="003754FE">
      <w:pPr>
        <w:pStyle w:val="TextoNormal"/>
      </w:pPr>
      <w:r>
        <w:t>Publíquese esta sentencia en el “Boletín Oficial del Estado”.</w:t>
      </w:r>
    </w:p>
    <w:p w14:paraId="00406654" w14:textId="77777777" w:rsidR="003754FE" w:rsidRDefault="003754FE" w:rsidP="003754FE">
      <w:pPr>
        <w:pStyle w:val="TextoNormal"/>
      </w:pPr>
      <w:r>
        <w:t>Dada en Madrid, a dos de diciembre de dos mil veinticuatro.</w:t>
      </w:r>
    </w:p>
    <w:p w14:paraId="0961BC1E" w14:textId="057A880B" w:rsidR="003754FE" w:rsidRDefault="003754FE">
      <w:pPr>
        <w:spacing w:after="160" w:line="278" w:lineRule="auto"/>
        <w:rPr>
          <w:rFonts w:ascii="Times New Roman" w:eastAsia="Times New Roman" w:hAnsi="Times New Roman" w:cs="Times New Roman"/>
          <w:sz w:val="24"/>
          <w:szCs w:val="24"/>
          <w:lang w:eastAsia="es-ES"/>
        </w:rPr>
      </w:pPr>
      <w:r>
        <w:br w:type="page"/>
      </w:r>
    </w:p>
    <w:p w14:paraId="76E11DA1" w14:textId="77777777" w:rsidR="003754FE" w:rsidRDefault="003754FE" w:rsidP="003754FE">
      <w:pPr>
        <w:pStyle w:val="TtuloResolucin"/>
      </w:pPr>
      <w:bookmarkStart w:id="61" w:name="SENTENCIA_2024_152"/>
      <w:r>
        <w:lastRenderedPageBreak/>
        <w:t>SENTENCIA 152/2024, de 16 de diciembre de 2024</w:t>
      </w:r>
    </w:p>
    <w:bookmarkEnd w:id="61"/>
    <w:p w14:paraId="7CE24E5C" w14:textId="77777777" w:rsidR="003754FE" w:rsidRDefault="003754FE" w:rsidP="003754FE">
      <w:pPr>
        <w:pStyle w:val="TtuloResolucin"/>
      </w:pPr>
      <w:r>
        <w:t>Sala Primera</w:t>
      </w:r>
    </w:p>
    <w:p w14:paraId="24107128" w14:textId="77777777" w:rsidR="003754FE" w:rsidRDefault="003754FE" w:rsidP="003754FE">
      <w:pPr>
        <w:pStyle w:val="TtuloBOE"/>
      </w:pPr>
      <w:r>
        <w:t>(BOE núm. 21, de 24 de enero de 2025)</w:t>
      </w:r>
    </w:p>
    <w:p w14:paraId="1368B023" w14:textId="77777777" w:rsidR="003754FE" w:rsidRDefault="003754FE" w:rsidP="003754FE">
      <w:pPr>
        <w:pStyle w:val="TextoNormalCentrado"/>
      </w:pPr>
      <w:r>
        <w:t>ECLI:ES:TC:2024:152</w:t>
      </w:r>
    </w:p>
    <w:p w14:paraId="7C00D13B" w14:textId="4667B3C7" w:rsidR="003754FE" w:rsidRDefault="003754FE" w:rsidP="003754FE">
      <w:pPr>
        <w:pStyle w:val="TextoNormalCentrado"/>
      </w:pPr>
    </w:p>
    <w:p w14:paraId="095B5846" w14:textId="77777777" w:rsidR="003754FE" w:rsidRDefault="003754FE" w:rsidP="003754FE">
      <w:pPr>
        <w:pStyle w:val="SntesisDescriptiva"/>
      </w:pPr>
      <w:r>
        <w:t>Recurso de amparo 6056-2021. Promovido por don Joaquim Torra i Pla respecto de la sentencia de la Sala de lo Contencioso-Administrativo del Tribunal Supremo y las resoluciones dictadas por las juntas electorales Central y de Barcelona que lo declararon incurso en causa de inelegibilidad sobrevenida.</w:t>
      </w:r>
    </w:p>
    <w:p w14:paraId="34FF94B2" w14:textId="10042064" w:rsidR="003754FE" w:rsidRDefault="003754FE" w:rsidP="003754FE">
      <w:pPr>
        <w:pStyle w:val="SntesisDescriptiva"/>
      </w:pPr>
    </w:p>
    <w:p w14:paraId="4D6D3422" w14:textId="77777777" w:rsidR="003754FE" w:rsidRDefault="003754FE" w:rsidP="003754FE">
      <w:pPr>
        <w:pStyle w:val="SntesisAnaltica"/>
      </w:pPr>
      <w:r>
        <w:t>Supuesta vulneración de los derechos a la igualdad, de participación política, a la presunción de inocencia y a la legalidad penal; libertades ideológica y de expresión; alegada vulneración del derecho a la tutela judicial efectiva: resoluciones de la administración electoral que aprecian, en el ámbito de su competencia, la concurrencia de una causa de inelegibilidad sobrevenida que lo es también de incompatibilidad y que no constituye una pena autónoma ni vulnera la presunción de inocencia; rechazo del planteamiento de cuestión prejudicial.</w:t>
      </w:r>
    </w:p>
    <w:p w14:paraId="1EBB6894" w14:textId="52F99F9D" w:rsidR="003754FE" w:rsidRDefault="003754FE" w:rsidP="003754FE">
      <w:pPr>
        <w:pStyle w:val="SntesisAnaltica"/>
      </w:pPr>
    </w:p>
    <w:p w14:paraId="4A3A0763" w14:textId="3C0E559D" w:rsidR="003754FE" w:rsidRDefault="003754FE" w:rsidP="003754FE">
      <w:pPr>
        <w:pStyle w:val="Extracto"/>
      </w:pPr>
      <w:r>
        <w:t>1.</w:t>
      </w:r>
      <w:r>
        <w:tab/>
        <w:t>En cuanto a la aplicabilidad del art. 6.2 b) LOREG, la determinación de las incompatibilidades de los parlamentarios le corresponde al legislador electoral, por previsión expresa de la Constitución. Y las causas de inelegibilidad de los parlamentarios establecidas en el art. 6 LOREG rigen también para los procesos electorales autonómicos, en aplicación de lo dispuesto en la disposición adicional primera, apartado segundo, de esta norma (STC 155/2014); aun cuando un concreto supuesto de inelegibilidad no aparezca recogido en el Reglamento del Parlamento autonómico [FJ 4].</w:t>
      </w:r>
    </w:p>
    <w:p w14:paraId="05115B44" w14:textId="77777777" w:rsidR="003754FE" w:rsidRDefault="003754FE" w:rsidP="003754FE">
      <w:pPr>
        <w:pStyle w:val="Extracto"/>
      </w:pPr>
    </w:p>
    <w:p w14:paraId="08201C7B" w14:textId="0FAC1CEC" w:rsidR="003754FE" w:rsidRDefault="003754FE" w:rsidP="003754FE">
      <w:pPr>
        <w:pStyle w:val="Extracto"/>
      </w:pPr>
      <w:r>
        <w:t>2.</w:t>
      </w:r>
      <w:r>
        <w:tab/>
        <w:t>Debe motivarse expresa, suficiente y adecuadamente la aplicación de las normas cuando pueda resultar de la misma una limitación al ejercicio de los derechos y facultades que integran el estatuto constitucionalmente relevante de los representantes políticos (SSTC 38/1999 o 40/2003) [FJ 4].</w:t>
      </w:r>
    </w:p>
    <w:p w14:paraId="60D0B2EF" w14:textId="77777777" w:rsidR="003754FE" w:rsidRDefault="003754FE" w:rsidP="003754FE">
      <w:pPr>
        <w:pStyle w:val="Extracto"/>
      </w:pPr>
    </w:p>
    <w:p w14:paraId="1D5B0CA5" w14:textId="4900CCF0" w:rsidR="003754FE" w:rsidRDefault="003754FE" w:rsidP="003754FE">
      <w:pPr>
        <w:pStyle w:val="Extracto"/>
      </w:pPr>
      <w:r>
        <w:t>3.</w:t>
      </w:r>
      <w:r>
        <w:tab/>
        <w:t>De la falta de regulación explícita en el régimen interno parlamentario no se puede deducir, de plano, la inaplicabilidad de una norma jurídica con rango orgánico y carácter básico [FJ 4].</w:t>
      </w:r>
    </w:p>
    <w:p w14:paraId="58E921BF" w14:textId="77777777" w:rsidR="003754FE" w:rsidRDefault="003754FE" w:rsidP="003754FE">
      <w:pPr>
        <w:pStyle w:val="Extracto"/>
      </w:pPr>
    </w:p>
    <w:p w14:paraId="2D6A5666" w14:textId="38FBEFDE" w:rsidR="003754FE" w:rsidRDefault="003754FE" w:rsidP="003754FE">
      <w:pPr>
        <w:pStyle w:val="Extracto"/>
      </w:pPr>
      <w:r>
        <w:t>4.</w:t>
      </w:r>
      <w:r>
        <w:tab/>
        <w:t>La incompatibilidad del parlamentario definida en el art. 6.2 b) LOREG comporta una restricción a la permanencia en el cargo público, que está anudada a la existencia en una sentencia penal no firme de condena por delitos contra la administración pública cuando la misma haya establecido la pena de inhabilitación para el ejercicio del derecho de sufragio pasivo o la de inhabilitación absoluta o especial o de suspensión para empleo o cargo público en los términos previstos en la legislación penal. Y la restricción que supone el citado artículo es acorde con el derecho a la presunción de inocencia [FJ 5].</w:t>
      </w:r>
    </w:p>
    <w:p w14:paraId="5FD5AE41" w14:textId="77777777" w:rsidR="003754FE" w:rsidRDefault="003754FE" w:rsidP="003754FE">
      <w:pPr>
        <w:pStyle w:val="Extracto"/>
      </w:pPr>
    </w:p>
    <w:p w14:paraId="2342BB69" w14:textId="2AE18C53" w:rsidR="003754FE" w:rsidRDefault="003754FE" w:rsidP="003754FE">
      <w:pPr>
        <w:pStyle w:val="Extracto"/>
      </w:pPr>
      <w:r>
        <w:t>5.</w:t>
      </w:r>
      <w:r>
        <w:tab/>
        <w:t xml:space="preserve">Es preciso que los gestores públicos gocen de la confianza y del respeto de la gente. Para ello, si es exigible una cierta ejemplaridad social a quien ejerce cualquier función pública, con más intensidad debe hacerse respecto de aquellos cargos cuya </w:t>
      </w:r>
      <w:r>
        <w:lastRenderedPageBreak/>
        <w:t>función consiste -precisamente por ser representantes de los ciudadanos- en actuar de manera directa en los asuntos públicos (STC 151/1999) [FJ 5].</w:t>
      </w:r>
    </w:p>
    <w:p w14:paraId="552D2FA8" w14:textId="77777777" w:rsidR="003754FE" w:rsidRDefault="003754FE" w:rsidP="003754FE">
      <w:pPr>
        <w:pStyle w:val="Extracto"/>
      </w:pPr>
    </w:p>
    <w:p w14:paraId="691DDC8B" w14:textId="33D8A3ED" w:rsidR="003754FE" w:rsidRDefault="003754FE" w:rsidP="003754FE">
      <w:pPr>
        <w:pStyle w:val="Extracto"/>
      </w:pPr>
      <w:r>
        <w:t>6.</w:t>
      </w:r>
      <w:r>
        <w:tab/>
        <w:t xml:space="preserve">El planteamiento de una cuestión prejudicial ante el Tribunal de Justicia de la Unión Europea sólo será pertinente en los supuestos de duda de interpretación del Derecho de la Unión Europea. (STCCEE de 6 de octubre de 1982, asunto C-283/81, </w:t>
      </w:r>
      <w:r w:rsidRPr="003754FE">
        <w:rPr>
          <w:i/>
        </w:rPr>
        <w:t>Srl Cilfit y Lanificio di Gavardo SpA c. Ministero della Sanità</w:t>
      </w:r>
      <w:r>
        <w:t>) [FJ 5].</w:t>
      </w:r>
    </w:p>
    <w:p w14:paraId="6839B850" w14:textId="77777777" w:rsidR="003754FE" w:rsidRDefault="003754FE" w:rsidP="003754FE">
      <w:pPr>
        <w:pStyle w:val="Extracto"/>
      </w:pPr>
    </w:p>
    <w:p w14:paraId="5D9B6028" w14:textId="149F46A2" w:rsidR="003754FE" w:rsidRDefault="003754FE" w:rsidP="003754FE">
      <w:pPr>
        <w:pStyle w:val="Extracto"/>
      </w:pPr>
      <w:r>
        <w:t>7.</w:t>
      </w:r>
      <w:r>
        <w:tab/>
        <w:t xml:space="preserve">En relación con el principio de legalidad en materia penal, los postulados del art. 25 CE no pueden aplicarse a ámbitos que no sean los específicos del ilícito penal o sancionador, siendo improcedente su aplicación extensiva o analógica a supuestos distintos o a actos por su mera condición de ser restrictivos de derechos, si no representan el efectivo ejercicio del </w:t>
      </w:r>
      <w:r w:rsidRPr="003754FE">
        <w:rPr>
          <w:i/>
        </w:rPr>
        <w:t xml:space="preserve">ius puniendi </w:t>
      </w:r>
      <w:r>
        <w:t>del Estado o no tienen un verdadero sentido sancionador (SSTC 34/2003 o 185/2016) [FJ 5].</w:t>
      </w:r>
    </w:p>
    <w:p w14:paraId="75187EED" w14:textId="77777777" w:rsidR="003754FE" w:rsidRDefault="003754FE" w:rsidP="003754FE">
      <w:pPr>
        <w:pStyle w:val="Extracto"/>
      </w:pPr>
    </w:p>
    <w:p w14:paraId="37EA2E33" w14:textId="1AAFD954" w:rsidR="003754FE" w:rsidRDefault="003754FE" w:rsidP="003754FE">
      <w:pPr>
        <w:pStyle w:val="Extracto"/>
      </w:pPr>
      <w:r>
        <w:t>8.</w:t>
      </w:r>
      <w:r>
        <w:tab/>
        <w:t>Las causas de abstención y recusación aplicables a los vocales de las Juntas electorales son las de la legislación del procedimiento administrativo común, conforme al art. 120 LOREG, que dispone que “en todo lo no expresamente regulado por esta ley en materia de procedimiento será de aplicación la Ley de procedimiento administrativo”. Otros motivos que imputen falta de imparcialidad a los vocales de la Junta carecen de base legal [FJ 5].</w:t>
      </w:r>
    </w:p>
    <w:p w14:paraId="66197E6E" w14:textId="77777777" w:rsidR="003754FE" w:rsidRDefault="003754FE" w:rsidP="003754FE">
      <w:pPr>
        <w:pStyle w:val="Extracto"/>
      </w:pPr>
    </w:p>
    <w:p w14:paraId="5063D7A6" w14:textId="77777777" w:rsidR="003754FE" w:rsidRDefault="003754FE" w:rsidP="003754FE">
      <w:pPr>
        <w:pStyle w:val="Extracto"/>
      </w:pPr>
    </w:p>
    <w:p w14:paraId="61808EC9" w14:textId="77777777" w:rsidR="003754FE" w:rsidRDefault="003754FE" w:rsidP="003754FE">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4F78F2FE" w14:textId="487C3EC3" w:rsidR="003754FE" w:rsidRDefault="003754FE" w:rsidP="003754FE">
      <w:pPr>
        <w:pStyle w:val="TextoNormal"/>
      </w:pPr>
    </w:p>
    <w:p w14:paraId="31224851" w14:textId="77777777" w:rsidR="003754FE" w:rsidRDefault="003754FE" w:rsidP="003754FE">
      <w:pPr>
        <w:pStyle w:val="TextoNormalCentrado"/>
        <w:keepNext/>
      </w:pPr>
      <w:r>
        <w:t>EN NOMBRE DEL REY</w:t>
      </w:r>
    </w:p>
    <w:p w14:paraId="498FEA0B" w14:textId="31129671" w:rsidR="003754FE" w:rsidRDefault="003754FE" w:rsidP="003754FE">
      <w:pPr>
        <w:pStyle w:val="TextoNormalCentrado"/>
        <w:keepNext/>
      </w:pPr>
    </w:p>
    <w:p w14:paraId="3F6A65D0" w14:textId="77777777" w:rsidR="003754FE" w:rsidRDefault="003754FE" w:rsidP="003754FE">
      <w:pPr>
        <w:pStyle w:val="TextoNormalCentrado"/>
        <w:keepNext/>
      </w:pPr>
    </w:p>
    <w:p w14:paraId="57312832" w14:textId="77777777" w:rsidR="003754FE" w:rsidRDefault="003754FE" w:rsidP="003754FE">
      <w:pPr>
        <w:pStyle w:val="TextoNormal"/>
      </w:pPr>
      <w:r>
        <w:t>la siguiente</w:t>
      </w:r>
    </w:p>
    <w:p w14:paraId="78C9372F" w14:textId="5A570394" w:rsidR="003754FE" w:rsidRDefault="003754FE" w:rsidP="003754FE">
      <w:pPr>
        <w:pStyle w:val="TextoNormal"/>
      </w:pPr>
    </w:p>
    <w:p w14:paraId="0D640928" w14:textId="77777777" w:rsidR="003754FE" w:rsidRDefault="003754FE" w:rsidP="003754FE">
      <w:pPr>
        <w:pStyle w:val="TextoNormalCentrado"/>
        <w:keepNext/>
      </w:pPr>
      <w:r>
        <w:t>SENTENCIA</w:t>
      </w:r>
    </w:p>
    <w:p w14:paraId="0C0A577A" w14:textId="03CA9287" w:rsidR="003754FE" w:rsidRDefault="003754FE" w:rsidP="003754FE">
      <w:pPr>
        <w:pStyle w:val="TextoNormalCentrado"/>
        <w:keepNext/>
      </w:pPr>
    </w:p>
    <w:p w14:paraId="5A8FF73B" w14:textId="77777777" w:rsidR="003754FE" w:rsidRDefault="003754FE" w:rsidP="003754FE">
      <w:pPr>
        <w:pStyle w:val="TextoNormal"/>
      </w:pPr>
      <w:r>
        <w:t>En el recurso de amparo núm. 6056-2021, promovido por don Joaquim Torra i Pla contra el acuerdo de la Junta Electoral Central de 3 de enero de 2020, los acuerdos de la Junta Electoral Provincial de Barcelona de 10 y 27 de enero de 2020 y la sentencia de la Sala de lo Contencioso-Administrativo del Tribunal Supremo núm. 1061/2021, de 20 de julio, por la que se desestima el recurso contencioso administrativo núm. 8-2020, planteado contra el acuerdo de la Junta Electoral Central referido. Han intervenido el letrado de las Cortes Generales en representación de la Junta Electoral Central, los partidos políticos Ciudadanos, Vox y Popular a través de sus respectivas representaciones procesales, y el Ministerio Fiscal. Ha sido ponente la magistrada doña Concepción Espejel Jorquera.</w:t>
      </w:r>
    </w:p>
    <w:p w14:paraId="528A7A32" w14:textId="55668F30" w:rsidR="003754FE" w:rsidRDefault="003754FE" w:rsidP="003754FE">
      <w:pPr>
        <w:pStyle w:val="TextoNormal"/>
      </w:pPr>
    </w:p>
    <w:p w14:paraId="7FC0FEA8" w14:textId="77777777" w:rsidR="003754FE" w:rsidRDefault="003754FE" w:rsidP="003754FE">
      <w:pPr>
        <w:pStyle w:val="TextoNormalNegritaCentrado"/>
        <w:keepNext/>
      </w:pPr>
      <w:r>
        <w:lastRenderedPageBreak/>
        <w:t>I. Antecedentes</w:t>
      </w:r>
    </w:p>
    <w:p w14:paraId="248262FB" w14:textId="391BEF88" w:rsidR="003754FE" w:rsidRDefault="003754FE" w:rsidP="003754FE">
      <w:pPr>
        <w:pStyle w:val="TextoNormalNegritaCentrado"/>
        <w:keepNext/>
      </w:pPr>
    </w:p>
    <w:p w14:paraId="62EA204F" w14:textId="39546FCA" w:rsidR="003754FE" w:rsidRDefault="003754FE" w:rsidP="003754FE">
      <w:pPr>
        <w:pStyle w:val="TextoNormal"/>
      </w:pPr>
      <w:r w:rsidRPr="003754FE">
        <w:rPr>
          <w:rStyle w:val="NumeroAFNegritaCaracter"/>
        </w:rPr>
        <w:t>1</w:t>
      </w:r>
      <w:r>
        <w:t>. Mediante escrito presentado el 24 de septiembre de 2021, don Javier Fernández Estrada, procurador de los tribunales y de don Joaquim Torra i Pla, formuló demanda de amparo contra el acuerdo de la Junta Electoral Central de 3 de enero de 2020, los acuerdos de la Junta Electoral Provincial de Barcelona de 10 y 27 de enero de 2020 y la sentencia de la Sala de lo Contencioso-Administrativo del Tribunal Supremo núm. 1061/2021, de 20 de julio, por la que se desestimó el recurso contencioso administrativo núm. 8-2020, planteado contra el mencionado acuerdo de la Junta Electoral Central.</w:t>
      </w:r>
    </w:p>
    <w:p w14:paraId="07226E37" w14:textId="77777777" w:rsidR="003754FE" w:rsidRDefault="003754FE" w:rsidP="003754FE">
      <w:pPr>
        <w:pStyle w:val="TextoNormal"/>
      </w:pPr>
    </w:p>
    <w:p w14:paraId="2AF2B0FF" w14:textId="77777777" w:rsidR="003754FE" w:rsidRDefault="003754FE" w:rsidP="003754FE">
      <w:pPr>
        <w:pStyle w:val="TextoNormal"/>
      </w:pPr>
      <w:r w:rsidRPr="003754FE">
        <w:rPr>
          <w:rStyle w:val="NumeroAFNegritaCaracter"/>
        </w:rPr>
        <w:t>2</w:t>
      </w:r>
      <w:r>
        <w:t>. Los hechos relevantes para el presente recurso de amparo son los siguientes:</w:t>
      </w:r>
    </w:p>
    <w:p w14:paraId="454E9C94" w14:textId="77777777" w:rsidR="003754FE" w:rsidRDefault="003754FE" w:rsidP="003754FE">
      <w:pPr>
        <w:pStyle w:val="TextoNormal"/>
      </w:pPr>
    </w:p>
    <w:p w14:paraId="029549EF" w14:textId="77777777" w:rsidR="003754FE" w:rsidRDefault="003754FE" w:rsidP="003754FE">
      <w:pPr>
        <w:pStyle w:val="TextoNormal"/>
      </w:pPr>
      <w:r>
        <w:t>a) El demandante de amparo, señor Torra i Pla, fue elegido diputado en las elecciones al Parlamento de Cataluña de 21 de diciembre de 2017.</w:t>
      </w:r>
    </w:p>
    <w:p w14:paraId="615DC3D2" w14:textId="77777777" w:rsidR="003754FE" w:rsidRDefault="003754FE" w:rsidP="003754FE">
      <w:pPr>
        <w:pStyle w:val="TextoNormal"/>
      </w:pPr>
    </w:p>
    <w:p w14:paraId="11B434EB" w14:textId="77777777" w:rsidR="003754FE" w:rsidRDefault="003754FE" w:rsidP="003754FE">
      <w:pPr>
        <w:pStyle w:val="TextoNormal"/>
      </w:pPr>
      <w:r>
        <w:t>b) Por sentencia de 19 de diciembre de 2019, dictada por la Sala de lo Civil y Penal del Tribunal Superior de Justicia de Cataluña, el recurrente fue condenado “como autor penalmente responsable de un delito de desobediencia cometido por autoridad o funcionario público, ya definido, sin la concurrencia de circunstancias modificativas de la responsabilidad criminal, a las penas de multa de diez (10) meses con una cuota diaria de cien (100) euros y una responsabilidad personal subsidiaria de un día de privación de libertad por cada dos cuotas no abonadas, e inhabilitación especial para el ejercicio de cargos públicos electivos, ya sean de ámbito local, autonómico, estatal o europeo, así como para el desempeño de funciones de gobierno en los ámbitos local, autonómico y del Estado, por tiempo de un (1) año y seis (6) meses”.</w:t>
      </w:r>
    </w:p>
    <w:p w14:paraId="5734B55A" w14:textId="77777777" w:rsidR="003754FE" w:rsidRDefault="003754FE" w:rsidP="003754FE">
      <w:pPr>
        <w:pStyle w:val="TextoNormal"/>
      </w:pPr>
    </w:p>
    <w:p w14:paraId="3A079827" w14:textId="77777777" w:rsidR="003754FE" w:rsidRDefault="003754FE" w:rsidP="003754FE">
      <w:pPr>
        <w:pStyle w:val="TextoNormal"/>
      </w:pPr>
      <w:r>
        <w:t>c) Esta sentencia no devino firme hasta que el Tribunal Supremo, mediante STS 477/2020, de 28 de septiembre (ECLI:ES:TS:2020:2986), dictada por la Sala de lo Penal, desestimó el recurso de casación interpuesto por el recurrente. Posteriormente, promovido recurso de amparo núm. 4586-2020 frente a la sentencia dictada por el Tribunal Supremo, fue desestimado por la STC 25/2022, de 23 de febrero, que consideró que en la condena del recurrente no se había vulnerado ningún derecho fundamental.</w:t>
      </w:r>
    </w:p>
    <w:p w14:paraId="4A04E550" w14:textId="77777777" w:rsidR="003754FE" w:rsidRDefault="003754FE" w:rsidP="003754FE">
      <w:pPr>
        <w:pStyle w:val="TextoNormal"/>
      </w:pPr>
    </w:p>
    <w:p w14:paraId="36D0226A" w14:textId="77777777" w:rsidR="003754FE" w:rsidRDefault="003754FE" w:rsidP="003754FE">
      <w:pPr>
        <w:pStyle w:val="TextoNormal"/>
      </w:pPr>
      <w:r>
        <w:t>d) Como consecuencia de la sentencia condenatoria dictada por el Tribunal Superior de Justicia de Cataluña, las formaciones políticas Partido Popular, Ciudadanos-Partido de la Ciudadanía y Vox solicitaron a la Junta Electoral Provincial de Barcelona que procediera al cese del recurrente en amparo, don Joaquim Torra i Pla, como diputado electo del Parlamento de Cataluña, por “inelegibilidad sobrevenida”, en aplicación del art. 6.2 b) de la Ley Orgánica 5/1985, de 19 de junio, del régimen electoral general (LOREG). Por acuerdo de 24 de diciembre de 2019, la Junta Electoral Provincial de Barcelona desestimó dichas solicitudes.</w:t>
      </w:r>
    </w:p>
    <w:p w14:paraId="451A527E" w14:textId="77777777" w:rsidR="003754FE" w:rsidRDefault="003754FE" w:rsidP="003754FE">
      <w:pPr>
        <w:pStyle w:val="TextoNormal"/>
      </w:pPr>
    </w:p>
    <w:p w14:paraId="054F1996" w14:textId="77777777" w:rsidR="003754FE" w:rsidRDefault="003754FE" w:rsidP="003754FE">
      <w:pPr>
        <w:pStyle w:val="TextoNormal"/>
      </w:pPr>
      <w:r>
        <w:t xml:space="preserve">e) Dicho acuerdo fue recurrido, tanto por el recurrente y por la coalición electoral </w:t>
      </w:r>
      <w:r w:rsidRPr="003754FE">
        <w:rPr>
          <w:i/>
        </w:rPr>
        <w:t>Junts per Catalunya</w:t>
      </w:r>
      <w:r>
        <w:t>, como por las formaciones políticas señaladas en el apartado anterior, ante la Junta Electoral Central, que el 3 de enero de 2020 resolvió estimar el recurso interpuesto por el Partido Popular, y parcialmente los interpuestos por Ciudadanos-Partido de la Ciudadanía y Vox.</w:t>
      </w:r>
    </w:p>
    <w:p w14:paraId="69701C28" w14:textId="77777777" w:rsidR="003754FE" w:rsidRDefault="003754FE" w:rsidP="003754FE">
      <w:pPr>
        <w:pStyle w:val="TextoNormal"/>
      </w:pPr>
    </w:p>
    <w:p w14:paraId="73B4B10B" w14:textId="77777777" w:rsidR="003754FE" w:rsidRDefault="003754FE" w:rsidP="003754FE">
      <w:pPr>
        <w:pStyle w:val="TextoNormal"/>
      </w:pPr>
      <w:r>
        <w:t xml:space="preserve">La Junta Electoral Central en su resolución comenzaba explicando que la causa de inelegibilidad “prevista en el artículo 6.2 b) LOREG, al igual que ocurriría con la incluida en el artículo 6.2 a), son causas de inelegibilidad por previsión expresa de la LOREG, es decir, tienen eficacia </w:t>
      </w:r>
      <w:r w:rsidRPr="003754FE">
        <w:rPr>
          <w:i/>
        </w:rPr>
        <w:t>ex lege</w:t>
      </w:r>
      <w:r>
        <w:t xml:space="preserve"> y, por tanto, como consecuencia automática de la pena impuesta por sentencia judicial firme [caso de la pena privativa de libertad del artículo 6.2 a)] o no firme [supuesto de las penas de inhabilitación absoluta y especial y de suspensión, por los delitos que se enumeran, del artículo 6.2 b)] […] el órgano competente, sea cual fuere, no puede ya emitir juicio alguno sobre su existencia y debe limitarse a constatar su producción y a dar los pasos necesarios para llevarlo a efecto”.</w:t>
      </w:r>
    </w:p>
    <w:p w14:paraId="6A7CDE83" w14:textId="77777777" w:rsidR="003754FE" w:rsidRDefault="003754FE" w:rsidP="003754FE">
      <w:pPr>
        <w:pStyle w:val="TextoNormal"/>
      </w:pPr>
    </w:p>
    <w:p w14:paraId="2C0E3401" w14:textId="77777777" w:rsidR="003754FE" w:rsidRDefault="003754FE" w:rsidP="003754FE">
      <w:pPr>
        <w:pStyle w:val="TextoNormal"/>
      </w:pPr>
      <w:r>
        <w:t>Además, recordaba lo que el Tribunal Constitucional dijo ya en su STC 144/1999, de 22 de julio, FJ 4, en relación con esta concreta incompatibilidad: “no se trata de una causa ordinaria de incompatibilidad, que permite al cargo electo optar entre este y el puesto considerado incompatible sino ‘ante la ausencia, lisa y llana de capacidad jurídica para ser elegible […]’ y, […] la causa sobrevenida opera así como supuesto de incompatibilidad, generadora, no de la invalidez de la elección, sino de impedimento para asumir el cargo electivo o de cese, si se hubiera accedido al escaño (STC 45/1983, de 25 de mayo, FJ 5)”.</w:t>
      </w:r>
    </w:p>
    <w:p w14:paraId="39EB8C7F" w14:textId="77777777" w:rsidR="003754FE" w:rsidRDefault="003754FE" w:rsidP="003754FE">
      <w:pPr>
        <w:pStyle w:val="TextoNormal"/>
      </w:pPr>
    </w:p>
    <w:p w14:paraId="113DF55B" w14:textId="77777777" w:rsidR="003754FE" w:rsidRDefault="003754FE" w:rsidP="003754FE">
      <w:pPr>
        <w:pStyle w:val="TextoNormal"/>
      </w:pPr>
      <w:r>
        <w:t>Analizando las quejas del recurrente, la Junta Electoral Central advertía que “[a]unque en vía de recurso no se reproduce la alegación realizada ante la Junta Electoral Provincial de Barcelona” descartaba la indefensión alegada por el plazo que se concedió a los recurrentes para presentar las alegaciones. Consideró que “[l]os escritos presentados son clara prueba de que han ejercitado sus derechos de manera efectiva, realizando alegaciones en su defensa, tanto de tipo formal como sustantivo”.</w:t>
      </w:r>
    </w:p>
    <w:p w14:paraId="72A60A47" w14:textId="77777777" w:rsidR="003754FE" w:rsidRDefault="003754FE" w:rsidP="003754FE">
      <w:pPr>
        <w:pStyle w:val="TextoNormal"/>
      </w:pPr>
    </w:p>
    <w:p w14:paraId="214AE72F" w14:textId="77777777" w:rsidR="003754FE" w:rsidRDefault="003754FE" w:rsidP="003754FE">
      <w:pPr>
        <w:pStyle w:val="TextoNormal"/>
      </w:pPr>
      <w:r>
        <w:t>En segundo término, para defender la competencia de la administración electoral para ocuparse de la casusa de inelegibilidad en la que incurrió el recurrente, la Junta Electoral Central explica que las incompatibilidades funcionales son de ámbito parlamentario y de competencia parlamentaria, pero la incompatibilidad por inelegibilidad es propia del ámbito electoral y competencia de la administración electoral. Explica que “[e]sta diferenciación entre la incompatibilidad por inelegibilidad y la incompatibilidad parlamentaria se desprende de las sentencias del Tribunal Constitucional […] que se citaban en apoyo de esa alegación (STC 7/1992, de 16 de enero, y 155/2014, de 25 de septiembre)”.</w:t>
      </w:r>
    </w:p>
    <w:p w14:paraId="29AB4E96" w14:textId="77777777" w:rsidR="003754FE" w:rsidRDefault="003754FE" w:rsidP="003754FE">
      <w:pPr>
        <w:pStyle w:val="TextoNormal"/>
      </w:pPr>
    </w:p>
    <w:p w14:paraId="794DB51C" w14:textId="77777777" w:rsidR="003754FE" w:rsidRDefault="003754FE" w:rsidP="003754FE">
      <w:pPr>
        <w:pStyle w:val="TextoNormal"/>
      </w:pPr>
      <w:r>
        <w:t xml:space="preserve">Se refiere a la STC 155/2014, que resolvía un recurso de inconstitucionalidad referido a la modificación del régimen jurídico de las incompatibilidades parlamentarias aplicable a los diputados del Parlamento de Andalucía. Explicaba la Junta Electoral Central que esta sentencia “establece claramente la distinción que describe el acuerdo impugnado cuando diferencia entre causa de incompatibilidad por inelegibilidad (impedimento para asumir el cargo electivo o de cese, si se hubiera accedido al escaño) y causas de incompatibilidad parlamentaria (desempeño simultáneo con el mandato parlamentario de los cargos, actividades o situaciones, ya sean públicos o privados, declarados incompatibles por la norma), situando las primeras en el ámbito del Derecho electoral y las segundas en el del Derecho parlamentario pues afectan a la organización interna del órgano parlamentario y, además, declarando que mientras la concreción de los distintos supuestos corresponde al legislador electoral, la articulación del procedimiento y órganos parlamentarios encargados de verificar que los representantes políticos no se encuentren incursos en este tipo de tachas (debe </w:t>
      </w:r>
      <w:r>
        <w:lastRenderedPageBreak/>
        <w:t>entenderse, incompatibilidades funcionales) y, en caso contrario, declararlos incompatibles, se contiene habitualmente en el correspondiente reglamento parlamentario. Citaba para ello y a continuación, en el caso andaluz, artículos 16 y 17 del Reglamento del Parlamento de Andalucía (en su redacción original, que luego pasó a los artículos 18 y 19), referidos a las incompatibilidades funcionales, aprobado por Resolución de 29 de septiembre de 2005 [de la Presidencia] del Parlamento de Andalucía (‘Boletín Oficial de la Junta de Andalucía’ núm. 198, de 10 de octubre de 2005)”.</w:t>
      </w:r>
    </w:p>
    <w:p w14:paraId="21B3065B" w14:textId="77777777" w:rsidR="003754FE" w:rsidRDefault="003754FE" w:rsidP="003754FE">
      <w:pPr>
        <w:pStyle w:val="TextoNormal"/>
      </w:pPr>
    </w:p>
    <w:p w14:paraId="72892902" w14:textId="77777777" w:rsidR="003754FE" w:rsidRDefault="003754FE" w:rsidP="003754FE">
      <w:pPr>
        <w:pStyle w:val="TextoNormal"/>
      </w:pPr>
      <w:r>
        <w:t>La citada sentencia afirmaba también que “[e]l derecho de sufragio pasivo guarda íntima conexión con la inelegibilidad; es más, esta sí que guarda relación con el derecho electoral y, por ende, con el ejercicio del derecho de sufragio pasivo, pero la incompatibilidad, sustancialmente, no guarda relación con el Derecho electoral, sino más bien con el Derecho parlamentario, por cuanto afecta a la propia organización interna del órgano parlamentario”.</w:t>
      </w:r>
    </w:p>
    <w:p w14:paraId="2DFEA355" w14:textId="77777777" w:rsidR="003754FE" w:rsidRDefault="003754FE" w:rsidP="003754FE">
      <w:pPr>
        <w:pStyle w:val="TextoNormal"/>
      </w:pPr>
    </w:p>
    <w:p w14:paraId="213AABF0" w14:textId="77777777" w:rsidR="003754FE" w:rsidRDefault="003754FE" w:rsidP="003754FE">
      <w:pPr>
        <w:pStyle w:val="TextoNormal"/>
      </w:pPr>
      <w:r>
        <w:t>Aclara la Junta Electoral Central que para explicar “la diferencia entre incompatibilidad por inelegibilidad e incompatibilidad funcional, es preciso indicar que aunque el legislador señale que ‘las causas de inelegibilidad lo son también de incompatibilidad’, y como tal deben tratarse las previstas en el apartado primero del art. 6 LOREG, esto es las funcionales, debiendo ser las cámaras respectivas las que las examinen, no sucede así con las del apartado segundo. Estas no pierden su naturaleza de causas de incapacidad electoral pasiva que de manera automática se imponen frente a la voluntad del parlamentario y que le privan del escaño. Por eso en estos casos la administración electoral tiene competencia, porque se refiere al derecho de sufragio pasivo del cargo electo”.</w:t>
      </w:r>
    </w:p>
    <w:p w14:paraId="33BAF546" w14:textId="77777777" w:rsidR="003754FE" w:rsidRDefault="003754FE" w:rsidP="003754FE">
      <w:pPr>
        <w:pStyle w:val="TextoNormal"/>
      </w:pPr>
    </w:p>
    <w:p w14:paraId="14A20835" w14:textId="77777777" w:rsidR="003754FE" w:rsidRDefault="003754FE" w:rsidP="003754FE">
      <w:pPr>
        <w:pStyle w:val="TextoNormal"/>
      </w:pPr>
      <w:r>
        <w:t>En cuanto a la aplicabilidad del precepto en cuestión, señala que “[e]l hecho de que este supuesto de inelegibilidad no aparezca recogido en el Reglamento del Parlamento de Cataluña, como aduce en su escrito el letrado mayor de dicha institución y como también se viene a indicar en los escritos de los recurrentes, no es un impedimento para que resulte aplicable el artículo 6.2 b) LOREG, en la medida en que, conforme a su disposición adicional primera, este precepto resulta aplicable a las elecciones a las asambleas legislativas de las comunidades autónomas; y que corresponde al Estado la competencia exclusiva en materia de régimen electoral general (art. 81.1 CE), así como para la regulación de las condiciones básicas que garanticen la igualdad de todos los españoles en el ejercicio de los derechos y en el cumplimiento de los deberes constitucionales (art. 149.1.1 CE)”.</w:t>
      </w:r>
    </w:p>
    <w:p w14:paraId="4CB37885" w14:textId="77777777" w:rsidR="003754FE" w:rsidRDefault="003754FE" w:rsidP="003754FE">
      <w:pPr>
        <w:pStyle w:val="TextoNormal"/>
      </w:pPr>
    </w:p>
    <w:p w14:paraId="1C8430A4" w14:textId="77777777" w:rsidR="003754FE" w:rsidRDefault="003754FE" w:rsidP="003754FE">
      <w:pPr>
        <w:pStyle w:val="TextoNormal"/>
      </w:pPr>
      <w:r>
        <w:t>Continúa argumentando la Junta Electoral Central que “[l]a condición de elegible o inelegible es la esencia o núcleo central del derecho de sufragio pasivo consagrado en el artículo 23.2 de la Constitución Española. Tal condición es la base de todo proceso electoral y su aplicación forma parte del Derecho electoral, siendo los órganos de la administración electoral los que están llamados, los competentes, para su aplicación con carácter de generalidad, por razón de especialidad, y sin perjuicio de las previsiones normativas sobre los recursos pertinentes, ya sean electorales o contencioso electorales. El artículo 19 LOREG realiza una enumeración no cerrada de las competencias y no impide una interpretación no expansiva de sus previsiones”.</w:t>
      </w:r>
    </w:p>
    <w:p w14:paraId="4D1AF1B6" w14:textId="77777777" w:rsidR="003754FE" w:rsidRDefault="003754FE" w:rsidP="003754FE">
      <w:pPr>
        <w:pStyle w:val="TextoNormal"/>
      </w:pPr>
    </w:p>
    <w:p w14:paraId="2E643777" w14:textId="77777777" w:rsidR="003754FE" w:rsidRDefault="003754FE" w:rsidP="003754FE">
      <w:pPr>
        <w:pStyle w:val="TextoNormal"/>
      </w:pPr>
      <w:r>
        <w:t xml:space="preserve">El criterio de la Junta Electoral Central es que la causa de inelegibilidad establecida en el art. 6.2 b) LOREG debe entenderse en el sentido de que afecta a los condenados por los delitos de rebelión, terrorismo, contra la administración pública o contra las instituciones </w:t>
      </w:r>
      <w:r>
        <w:lastRenderedPageBreak/>
        <w:t>del Estado, cuando la sentencia, aunque no sea firme, haya impuesto la pena de inhabilitación especial o de suspensión para empleo o cargo público, cualesquiera que sean los empleos o cargos públicos a los que se refiera dicha pena.</w:t>
      </w:r>
    </w:p>
    <w:p w14:paraId="740C36A2" w14:textId="77777777" w:rsidR="003754FE" w:rsidRDefault="003754FE" w:rsidP="003754FE">
      <w:pPr>
        <w:pStyle w:val="TextoNormal"/>
      </w:pPr>
    </w:p>
    <w:p w14:paraId="21649463" w14:textId="77777777" w:rsidR="003754FE" w:rsidRDefault="003754FE" w:rsidP="003754FE">
      <w:pPr>
        <w:pStyle w:val="TextoNormal"/>
      </w:pPr>
      <w:r>
        <w:t>En cuanto a la valoración del art. 6.2 b) LOREG, se remite a la STS 438/2019, de 1 de abril (ECLI:ES:TS:2019:1060), de la Sala de lo Contencioso-Administrativo del Tribunal Supremo, que resolvió la siguiente cuestión de interés casacional: “Precisar que la cuestión en la que se entiende que existe interés casacional objetivo para la formación de jurisprudencia es si, la causa de inelegibilidad e incompatibilidad establecida en el artículo 6.2 b) en relación con el artículo 6.4 LOREG debe ser entendida en el sentido de que afecta a los condenados por los delitos de rebelión, terrorismo, contra la administración pública o contra las instituciones del Estado, cuando la sentencia, aunque no sea firme, haya impuesto la pena de inhabilitación especial o de suspensión para empleo o cargo público, cualesquiera los empleos o cargos públicos a los que se refiera dicha pena, o si, por el contrario, solo afecta a los empleos o cargos públicos especificados en la sentencia penal en virtud de la remisión que efectúa el art. 6.2 b) LOREG cuando se refiere a ‘en los términos previstos en la legislación penal’”.</w:t>
      </w:r>
    </w:p>
    <w:p w14:paraId="74C11F65" w14:textId="77777777" w:rsidR="003754FE" w:rsidRDefault="003754FE" w:rsidP="003754FE">
      <w:pPr>
        <w:pStyle w:val="TextoNormal"/>
      </w:pPr>
    </w:p>
    <w:p w14:paraId="60E46A5E" w14:textId="77777777" w:rsidR="003754FE" w:rsidRDefault="003754FE" w:rsidP="003754FE">
      <w:pPr>
        <w:pStyle w:val="TextoNormal"/>
      </w:pPr>
      <w:r>
        <w:t>La decisión del Tribunal Supremo se condensaba en su fundamento de Derecho décimo con el siguiente tenor literal:</w:t>
      </w:r>
    </w:p>
    <w:p w14:paraId="4164ADAF" w14:textId="77777777" w:rsidR="003754FE" w:rsidRDefault="003754FE" w:rsidP="003754FE">
      <w:pPr>
        <w:pStyle w:val="TextoNormal"/>
      </w:pPr>
    </w:p>
    <w:p w14:paraId="01DA47B9" w14:textId="77777777" w:rsidR="003754FE" w:rsidRDefault="003754FE" w:rsidP="003754FE">
      <w:pPr>
        <w:pStyle w:val="TextoNormal"/>
      </w:pPr>
      <w:r>
        <w:t>“Décimo.- El juicio de la Sala. Inexistencia violación art. 23.1 CE</w:t>
      </w:r>
    </w:p>
    <w:p w14:paraId="0A04A4C6" w14:textId="77777777" w:rsidR="003754FE" w:rsidRDefault="003754FE" w:rsidP="003754FE">
      <w:pPr>
        <w:pStyle w:val="TextoNormal"/>
      </w:pPr>
    </w:p>
    <w:p w14:paraId="4CD19EFE" w14:textId="77777777" w:rsidR="003754FE" w:rsidRDefault="003754FE" w:rsidP="003754FE">
      <w:pPr>
        <w:pStyle w:val="TextoNormal"/>
      </w:pPr>
      <w:r>
        <w:t>Ya hemos dejado consignado en el fundamento anterior lo vertido por el Tribunal Constitucional en su STC 151/1999, de 14 de septiembre, acerca de la ejemplaridad social exigible a quien ejerce función pública, máxime si es representante de los ciudadanos.</w:t>
      </w:r>
    </w:p>
    <w:p w14:paraId="02D7340F" w14:textId="77777777" w:rsidR="003754FE" w:rsidRDefault="003754FE" w:rsidP="003754FE">
      <w:pPr>
        <w:pStyle w:val="TextoNormal"/>
      </w:pPr>
    </w:p>
    <w:p w14:paraId="7F62D513" w14:textId="77777777" w:rsidR="003754FE" w:rsidRDefault="003754FE" w:rsidP="003754FE">
      <w:pPr>
        <w:pStyle w:val="TextoNormal"/>
      </w:pPr>
      <w:r>
        <w:t xml:space="preserve">Lo dicho por el Tribunal Constitucional no es cuestión novedosa en nuestro marco jurídico europeo y su herencia cultural. Si bien los regímenes de los Estados miembros de la Unión Europea sobre inelegibilidad reflejan tradiciones jurídicas distintas suelen coincidir en que una condena penal inhabilita para ocupar un cargo público. Incluso, en algún Estado haber incurrido en quiebra o ser indigno de ocupar un cargo público por otro motivo también es causa de inelegibilidad. En Dinamarca, una persona no puede ser elegible si ha sido condenada por realizar actos que según la opinión general la hagan indigna de pertenecer al Parlamento Europeo o al </w:t>
      </w:r>
      <w:r w:rsidRPr="003754FE">
        <w:rPr>
          <w:i/>
        </w:rPr>
        <w:t>Folketing</w:t>
      </w:r>
      <w:r>
        <w:t>, Parlamento danés (www Comisión Europea).</w:t>
      </w:r>
    </w:p>
    <w:p w14:paraId="2DC6B374" w14:textId="77777777" w:rsidR="003754FE" w:rsidRDefault="003754FE" w:rsidP="003754FE">
      <w:pPr>
        <w:pStyle w:val="TextoNormal"/>
      </w:pPr>
    </w:p>
    <w:p w14:paraId="74F932EE" w14:textId="77777777" w:rsidR="003754FE" w:rsidRDefault="003754FE" w:rsidP="003754FE">
      <w:pPr>
        <w:pStyle w:val="TextoNormal"/>
      </w:pPr>
      <w:r>
        <w:t>Debemos, pues, interpretar el art. 6.2 LOREG en su reforma [de] 2011 —condenados por delitos contra la administración pública o contra las instituciones del Estado— que, eso es significativo, amplió la reforma de 2003 —condenados por delitos contra las instituciones del Estado— no establecida en la redacción originaria de la Ley Orgánica del régimen electoral general.</w:t>
      </w:r>
    </w:p>
    <w:p w14:paraId="55FB3FFC" w14:textId="77777777" w:rsidR="003754FE" w:rsidRDefault="003754FE" w:rsidP="003754FE">
      <w:pPr>
        <w:pStyle w:val="TextoNormal"/>
      </w:pPr>
    </w:p>
    <w:p w14:paraId="681697F8" w14:textId="77777777" w:rsidR="003754FE" w:rsidRDefault="003754FE" w:rsidP="003754FE">
      <w:pPr>
        <w:pStyle w:val="TextoNormal"/>
      </w:pPr>
      <w:r>
        <w:t>Constatamos en esa reforma un sentido omnicomprensivo no limitativo en lo que concierne al art. 23.2 CE en aras a una mayor protección de las instituciones públicas haciendo emerger una orientación más cercenadora respecto a condenados a la pena de inhabilitación especial de empleo o cargo público.</w:t>
      </w:r>
    </w:p>
    <w:p w14:paraId="798F594A" w14:textId="77777777" w:rsidR="003754FE" w:rsidRDefault="003754FE" w:rsidP="003754FE">
      <w:pPr>
        <w:pStyle w:val="TextoNormal"/>
      </w:pPr>
    </w:p>
    <w:p w14:paraId="1EF2AE0F" w14:textId="77777777" w:rsidR="003754FE" w:rsidRDefault="003754FE" w:rsidP="003754FE">
      <w:pPr>
        <w:pStyle w:val="TextoNormal"/>
      </w:pPr>
      <w:r>
        <w:lastRenderedPageBreak/>
        <w:t>La sociedad contemporánea reclama que empleos y cargos públicos de base representativa no puedan ser ocupados por sujetos que hubieren sido objeto de inhabilitación especial tras una condena penal independientemente del ámbito de la administración pública en que hubiera tenido lugar la comisión del delito”.</w:t>
      </w:r>
    </w:p>
    <w:p w14:paraId="743113BC" w14:textId="77777777" w:rsidR="003754FE" w:rsidRDefault="003754FE" w:rsidP="003754FE">
      <w:pPr>
        <w:pStyle w:val="TextoNormal"/>
      </w:pPr>
    </w:p>
    <w:p w14:paraId="3C5529FF" w14:textId="77777777" w:rsidR="003754FE" w:rsidRDefault="003754FE" w:rsidP="003754FE">
      <w:pPr>
        <w:pStyle w:val="TextoNormal"/>
      </w:pPr>
      <w:r>
        <w:t>Critica también la Junta Electoral Central la argumentación desplegada para hacer una aplicación armonizada de la Ley Orgánica del régimen electoral general y de la Ley Orgánica 6/2006, de 19 de julio, de reforma del Estatuto de Autonomía de Cataluña (EAC). Explica que lo que la Junta Electoral Provincial de Barcelona debía decidir, pues hasta allí se extendía su competencia, era simplemente si la condena impuesta al señor Torra i Pla integraba o no un supuesto de inelegibilidad sobrevenida y si ello determinaba la pérdida de su condición de diputado electo del Parlamento de Cataluña. No le correspondía examinar, y menos para modular e incluso condicionar su decisión, si con ello se produciría o no la pérdida de la condición de presidente de la Generalitat de Cataluña a tenor del art. 67.7 EAC.</w:t>
      </w:r>
    </w:p>
    <w:p w14:paraId="6359BB95" w14:textId="77777777" w:rsidR="003754FE" w:rsidRDefault="003754FE" w:rsidP="003754FE">
      <w:pPr>
        <w:pStyle w:val="TextoNormal"/>
      </w:pPr>
    </w:p>
    <w:p w14:paraId="758063E2" w14:textId="77777777" w:rsidR="003754FE" w:rsidRDefault="003754FE" w:rsidP="003754FE">
      <w:pPr>
        <w:pStyle w:val="TextoNormal"/>
      </w:pPr>
      <w:r>
        <w:t>En definitiva, la Junta Electoral Central acordó:</w:t>
      </w:r>
    </w:p>
    <w:p w14:paraId="569EF29A" w14:textId="77777777" w:rsidR="003754FE" w:rsidRDefault="003754FE" w:rsidP="003754FE">
      <w:pPr>
        <w:pStyle w:val="TextoNormal"/>
      </w:pPr>
    </w:p>
    <w:p w14:paraId="363527AF" w14:textId="77777777" w:rsidR="003754FE" w:rsidRDefault="003754FE" w:rsidP="003754FE">
      <w:pPr>
        <w:pStyle w:val="TextoNormal"/>
      </w:pPr>
      <w:r>
        <w:t xml:space="preserve">“1º. La anulación del acuerdo adoptado por la Junta Electoral Provincial de Barcelona el día 24 de diciembre de 2019, […]. </w:t>
      </w:r>
    </w:p>
    <w:p w14:paraId="29B030D0" w14:textId="77777777" w:rsidR="003754FE" w:rsidRDefault="003754FE" w:rsidP="003754FE">
      <w:pPr>
        <w:pStyle w:val="TextoNormal"/>
      </w:pPr>
    </w:p>
    <w:p w14:paraId="01C0CC90" w14:textId="77777777" w:rsidR="003754FE" w:rsidRDefault="003754FE" w:rsidP="003754FE">
      <w:pPr>
        <w:pStyle w:val="TextoNormal"/>
      </w:pPr>
      <w:r>
        <w:t>2º. Declarar que concurre en don Joaquim Torra i Pla la causa de inelegibilidad sobrevenida del art. 6.2 b) LOREG en razón de haber sido condenado por sentencia no firme dictada el día 19 de diciembre de 2019 (procedimiento abreviado 1-2019) por la Sala de lo Civil y Penal del Tribunal Superior de Justicia de Cataluña, imponiéndole, además de una pena de multa, la pena de inhabilitación especial para el ejercicio de cargos públicos electivos, ya sean de ámbito local, autonómico, estatal o europeo, así como para el desempeño de funciones de gobierno en los ámbitos local, autonómico y del Estado, por tiempo de un año y seis meses, por considerarle autor de un delito de desobediencia tipificada en el art. 410.1 del [Código penal] (CP), precepto incluido en el título XIX del Código penal, cuya rúbrica es la de ‘[d]elitos contra la administración pública’.</w:t>
      </w:r>
    </w:p>
    <w:p w14:paraId="7758F73C" w14:textId="77777777" w:rsidR="003754FE" w:rsidRDefault="003754FE" w:rsidP="003754FE">
      <w:pPr>
        <w:pStyle w:val="TextoNormal"/>
      </w:pPr>
    </w:p>
    <w:p w14:paraId="25982DB8" w14:textId="77777777" w:rsidR="003754FE" w:rsidRDefault="003754FE" w:rsidP="003754FE">
      <w:pPr>
        <w:pStyle w:val="TextoNormal"/>
      </w:pPr>
      <w:r>
        <w:t>3º. Dejar sin efecto la credencial de diputado electo al Parlamento de Cataluña por la circunscripción electoral de Barcelona de don Joaquim Torra i Pla efectuada por la Junta Electoral Provincial de Barcelona tras las elecciones celebradas el 21 de diciembre de 2017, todo ello con efectos de la fecha de este acuerdo.</w:t>
      </w:r>
    </w:p>
    <w:p w14:paraId="67A4327D" w14:textId="77777777" w:rsidR="003754FE" w:rsidRDefault="003754FE" w:rsidP="003754FE">
      <w:pPr>
        <w:pStyle w:val="TextoNormal"/>
      </w:pPr>
    </w:p>
    <w:p w14:paraId="0C42881D" w14:textId="77777777" w:rsidR="003754FE" w:rsidRDefault="003754FE" w:rsidP="003754FE">
      <w:pPr>
        <w:pStyle w:val="TextoNormal"/>
      </w:pPr>
      <w:r>
        <w:t xml:space="preserve">4º. Ordenar a la Junta Electoral Provincial de Barcelona que a la recepción de este acuerdo y de modo inmediato declare la vacante como diputado del Parlamento de Cataluña, por la circunscripción electoral de Barcelona, de don Joaquim Torra i Pla, expidiendo la credencial al siguiente candidato de la lista de </w:t>
      </w:r>
      <w:r w:rsidRPr="003754FE">
        <w:rPr>
          <w:i/>
        </w:rPr>
        <w:t>Junts per Catalunya</w:t>
      </w:r>
      <w:r>
        <w:t>, con que concurrió a las citadas elecciones de 21 de diciembre de 2017, a los efectos procedentes”.</w:t>
      </w:r>
    </w:p>
    <w:p w14:paraId="2D6F36FD" w14:textId="77777777" w:rsidR="003754FE" w:rsidRDefault="003754FE" w:rsidP="003754FE">
      <w:pPr>
        <w:pStyle w:val="TextoNormal"/>
      </w:pPr>
    </w:p>
    <w:p w14:paraId="159C615B" w14:textId="77777777" w:rsidR="003754FE" w:rsidRDefault="003754FE" w:rsidP="003754FE">
      <w:pPr>
        <w:pStyle w:val="TextoNormal"/>
      </w:pPr>
      <w:r>
        <w:t>La resolución contenía un voto particular discrepante firmado por seis miembros de la Junta Electoral Central.</w:t>
      </w:r>
    </w:p>
    <w:p w14:paraId="2B0ED013" w14:textId="77777777" w:rsidR="003754FE" w:rsidRDefault="003754FE" w:rsidP="003754FE">
      <w:pPr>
        <w:pStyle w:val="TextoNormal"/>
      </w:pPr>
    </w:p>
    <w:p w14:paraId="0D824E2D" w14:textId="77777777" w:rsidR="003754FE" w:rsidRDefault="003754FE" w:rsidP="003754FE">
      <w:pPr>
        <w:pStyle w:val="TextoNormal"/>
      </w:pPr>
      <w:r>
        <w:t xml:space="preserve">f) Contra la citada resolución de la Junta Electoral Central de 3 de enero de 2020, el recurrente en amparo interpuso recurso contencioso administrativo para la protección de los </w:t>
      </w:r>
      <w:r>
        <w:lastRenderedPageBreak/>
        <w:t>derechos fundamentales ante el Tribunal Supremo, en el que alegaba la vulneración de los derechos previstos en el artículo 23.1 y 2 CE, en relación con los artículos 14, 16.1, 20 y 21 de la Constitución. También alegaba el recurrente la falta de imparcialidad de algunos miembros de la Junta Electoral Central. La demanda fundamentaba dichas vulneraciones, entre otros motivos, insistiendo en la falta de competencia objetiva de la administración electoral.</w:t>
      </w:r>
    </w:p>
    <w:p w14:paraId="562C8CB6" w14:textId="77777777" w:rsidR="003754FE" w:rsidRDefault="003754FE" w:rsidP="003754FE">
      <w:pPr>
        <w:pStyle w:val="TextoNormal"/>
      </w:pPr>
    </w:p>
    <w:p w14:paraId="77D70306" w14:textId="77777777" w:rsidR="003754FE" w:rsidRDefault="003754FE" w:rsidP="003754FE">
      <w:pPr>
        <w:pStyle w:val="TextoNormal"/>
      </w:pPr>
      <w:r>
        <w:t>El objeto del recurso fue posteriormente ampliado por ATS de 4 de marzo de 2020 (ECLI:ES:TS:2020:2130A), en el que se accedió a lo solicitado por la parte actora, extendiéndolo a los acuerdos de la Junta Electoral Provincial de Barcelona de 10 y 27 de enero de 2020, que traen causa del anterior, en los que se declara vacante el escaño del señor Torra i Pla, y se expide credencial de diputado, primero al señor Ferran Mascarell i Canalda, y después a la señora Maria Senserrich i Guitart. En dicho recurso se interesó mediante otrosí digo la adopción de la medida cautelar provisionalísima con el fin de evitar un efecto grave e irreparable no solo al recurrente sino también a la Cámara en su conjunto (art.135.1 de la Ley 29/1998, de 13 de julio, reguladora de la jurisdicción contencioso-administrativa). La solicitud fue desestimada por ATS de 10 de enero de 2020 (ECLI:ES:TS:2020:5A), dando lugar al recurso de amparo núm. 3476-2020, que fue desestimado por el Pleno de este tribunal mediante STC 62/2024, de 10 de abril.</w:t>
      </w:r>
    </w:p>
    <w:p w14:paraId="0E04706E" w14:textId="77777777" w:rsidR="003754FE" w:rsidRDefault="003754FE" w:rsidP="003754FE">
      <w:pPr>
        <w:pStyle w:val="TextoNormal"/>
      </w:pPr>
    </w:p>
    <w:p w14:paraId="3A886BDA" w14:textId="77777777" w:rsidR="003754FE" w:rsidRDefault="003754FE" w:rsidP="003754FE">
      <w:pPr>
        <w:pStyle w:val="TextoNormal"/>
      </w:pPr>
      <w:r>
        <w:t>g) Por sentencia de 20 de julio de 2021, la Sala de lo Contencioso-Administrativo del Tribunal Supremo desestimó dicho recurso, confirmando la competencia de la Junta Electoral Central para adoptar dicho acuerdo y su conformidad a Derecho con la fundamentación que se sintetiza a continuación.</w:t>
      </w:r>
    </w:p>
    <w:p w14:paraId="3DEEF940" w14:textId="77777777" w:rsidR="003754FE" w:rsidRDefault="003754FE" w:rsidP="003754FE">
      <w:pPr>
        <w:pStyle w:val="TextoNormal"/>
      </w:pPr>
    </w:p>
    <w:p w14:paraId="26D023EC" w14:textId="77777777" w:rsidR="003754FE" w:rsidRDefault="003754FE" w:rsidP="003754FE">
      <w:pPr>
        <w:pStyle w:val="TextoNormal"/>
      </w:pPr>
      <w:r>
        <w:t>Descarta la sentencia del Tribunal Supremo que el recurso contencioso administrativo planteado por el ahora solicitante de amparo haya perdido objeto a pesar de que, con posterioridad a la presentación de la demanda, la condena a pena de inhabilitación especial devino firme al haber resuelto la Sala de lo Penal del Tribunal Supremo el recurso de casación interpuesto contra la misma. Además, aclara que aquí no estamos, por más que el actor lo pretenda, ante un procedimiento penal, ni tampoco sancionador, sino pura y simplemente ante la declaración de una condición de inelegibilidad, que lo es también de incompatibilidad, como consecuencia o efecto extrapenal de una condena penal. Tampoco resulta atendible la pretensión de ubicar en el ámbito del Derecho de la Unión Europea la controversia sobre la base de un futurible efecto de inelegibilidad del actor.</w:t>
      </w:r>
    </w:p>
    <w:p w14:paraId="6227C530" w14:textId="77777777" w:rsidR="003754FE" w:rsidRDefault="003754FE" w:rsidP="003754FE">
      <w:pPr>
        <w:pStyle w:val="TextoNormal"/>
      </w:pPr>
    </w:p>
    <w:p w14:paraId="58809A9D" w14:textId="77777777" w:rsidR="003754FE" w:rsidRDefault="003754FE" w:rsidP="003754FE">
      <w:pPr>
        <w:pStyle w:val="TextoNormal"/>
      </w:pPr>
      <w:r>
        <w:t>Sobre la competencia de la Junta Electoral Provincial de Barcelona y la funcional de la Junta Electoral Central, recuerda el Tribunal Supremo que “sin que sea cuestionable que las juntas electorales de zona y provinciales se constituyen con ocasión del desarrollo de los concretos procesos electorales (art. 14.1 LOREG), ello no significa que su competencia quede exclusivamente limitada a dichos procesos electorales, pues obviamente, en ausencia de un mandato legal que disponga explícitamente tal limitación al concreto proceso electoral que motivó su constitución, nada impide que deban ejercer sus competencias en relación a situaciones que dimanen de otros procesos electorales previos y que hagan necesaria su resolución en el periodo en que estén constituidas las juntas electorales de nivel inferior a la central, como con frecuencia ocurre en la resolución de recursos pendientes o ejecuciones de sentencias, referidas a previos procesos electorales”.</w:t>
      </w:r>
    </w:p>
    <w:p w14:paraId="32FF8529" w14:textId="77777777" w:rsidR="003754FE" w:rsidRDefault="003754FE" w:rsidP="003754FE">
      <w:pPr>
        <w:pStyle w:val="TextoNormal"/>
      </w:pPr>
    </w:p>
    <w:p w14:paraId="7EEF5E47" w14:textId="77777777" w:rsidR="003754FE" w:rsidRDefault="003754FE" w:rsidP="003754FE">
      <w:pPr>
        <w:pStyle w:val="TextoNormal"/>
      </w:pPr>
      <w:r>
        <w:lastRenderedPageBreak/>
        <w:t>En cuanto a la supuesta falta de competencia funcional de la Junta Electoral Central, que, a juicio del recurrente, vulneraría las previsiones del Estatuto de Autonomía de Cataluña, recuerda la sentencia la especial reserva de ley orgánica que se atribuye a la Ley Orgánica del régimen electoral general desde la STC 72/1984, de 14 de junio, «</w:t>
      </w:r>
      <w:r w:rsidRPr="003754FE">
        <w:rPr>
          <w:i/>
        </w:rPr>
        <w:t>ex</w:t>
      </w:r>
      <w:r>
        <w:t xml:space="preserve"> art. 70 de la Constitución Española, cuando declara que “[e]l texto constitucional es suficientemente explícito cuando dice en su art. 70 que la Ley electoral determinará las causas de inelegibilidad e incompatibilidad de diputados y senadores, con el sentido y la significación por nadie discutida de que tales materias solo pueden ser reguladas por la referida ley. El propio legislador lo confiesa así, cuando habla de ‘anticipar’ la regulación de las incompatibilidades y cuando, en el preámbulo y en la disposición adicional, explicita el mandato de que las normas se integren en la ‘futura Ley electoral’”. En definitiva, en esta materia resulta aplicable la Ley Orgánica del régimen electoral general, por la reserva de ley orgánica reforzada establecida en el art. 81.1 de la Constitución y, además, por lo que dispone en forma inequívoca la disposición adicional primera.2 LOREG, que en los aspectos que se discuten enerva, por principio, que se le oponga, en nuestro sistema de fuentes del Derecho, la normativa contradictoria que se invoca. Pues bien, bajo este marco normativo que es el aplicable, el art. 21 LOREG permite recurrir ante la junta electoral de superior categoría, cualquier decisión de una junta electoral inferior, a no ser que exista un procedimiento específico de revisión, lo que no sucede en el presente caso ya que estos procedimientos se ciñen a las reclamaciones en materia censal (art. 40 LOREG), a los acuerdos sobre proclamación de candidaturas (art. 49 LOREG) y al recurso contencioso-electoral (art. 109 y ss. LOREG)».</w:t>
      </w:r>
    </w:p>
    <w:p w14:paraId="7A26C3CF" w14:textId="77777777" w:rsidR="003754FE" w:rsidRDefault="003754FE" w:rsidP="003754FE">
      <w:pPr>
        <w:pStyle w:val="TextoNormal"/>
      </w:pPr>
    </w:p>
    <w:p w14:paraId="11E6C07D" w14:textId="77777777" w:rsidR="003754FE" w:rsidRDefault="003754FE" w:rsidP="003754FE">
      <w:pPr>
        <w:pStyle w:val="TextoNormal"/>
      </w:pPr>
      <w:r>
        <w:t>En cuanto a la competencia de la Junta Electoral Central para declarar la inelegibilidad derivada de la condena por sentencia no firme, expone el Tribunal Supremo que este problema ha recibido solución en su constante jurisprudencia, por todas, STS 572/2021, de 28 de abril (ECLI:ES:TS:2021:1485), que desestimó la impugnación del mismo acuerdo de la Junta Electoral Central aquí recurrido, efectuada por el Parlamento de Cataluña, en la que se consideró “que existen efectos extrapenales que operan en virtud de lo establecido en la LOREG, plenamente aplicable al caso de autos. No conviene olvidar que su disposición adicional segunda establece que el art. 6, entre otros, concierne también a las elecciones a asambleas legislativas de comunidades autónomas convocadas por estas”.</w:t>
      </w:r>
    </w:p>
    <w:p w14:paraId="498A0FC2" w14:textId="77777777" w:rsidR="003754FE" w:rsidRDefault="003754FE" w:rsidP="003754FE">
      <w:pPr>
        <w:pStyle w:val="TextoNormal"/>
      </w:pPr>
    </w:p>
    <w:p w14:paraId="12D50818" w14:textId="77777777" w:rsidR="003754FE" w:rsidRDefault="003754FE" w:rsidP="003754FE">
      <w:pPr>
        <w:pStyle w:val="TextoNormal"/>
      </w:pPr>
      <w:r>
        <w:t>Respecto a la indiscutible aplicación de la LOREG recuerda el Tribunal Supremo su STS 1187/2018, de 10 de julio (ECLI:ES:TS:2018:2696), en la que ya dijo que “Cataluña carece de una propia ley electoral y que las elecciones a su Parlamento se siguen rigiendo en lo sustancial y, desde luego, en lo que ahora se discute, por la disposición transitoria cuarta del derogado Estatuto de Autonomía de 1979 […], [en este caso impugnación del] Real Decreto 946/2017 [de 27 de octubre, de convocatoria de elecciones al Parlamento de Cataluña y de su disolución]”. Además, entiende que es la LOREG la que hace entrar en juego el efecto extrapenal de la sentencia condenatoria. No hay necesidad de la intervención del Parlamento autonómico ni de que su reglamento de funcionamiento prevea o no tal causa de pérdida de la condición de diputado.</w:t>
      </w:r>
    </w:p>
    <w:p w14:paraId="61CCA6D8" w14:textId="77777777" w:rsidR="003754FE" w:rsidRDefault="003754FE" w:rsidP="003754FE">
      <w:pPr>
        <w:pStyle w:val="TextoNormal"/>
      </w:pPr>
    </w:p>
    <w:p w14:paraId="1BC9C298" w14:textId="77777777" w:rsidR="003754FE" w:rsidRDefault="003754FE" w:rsidP="003754FE">
      <w:pPr>
        <w:pStyle w:val="TextoNormal"/>
      </w:pPr>
      <w:r>
        <w:t xml:space="preserve">Conviene no olvidar, afirma el Tribunal Supremo, que mientras las causas de inelegibilidad lo son también de incompatibilidad, no lo es a la inversa, como recuerda la STC 155/2014, FJ 2, que trascribe. De esta sentencia cabe colegir que se puede sustanciar ante la Cámara parlamentaria la inelegibilidad sobrevenida, mas no es una competencia exclusiva suya, ya que, bien ante su inactividad o por cualquier otra razón, puede actuar la </w:t>
      </w:r>
      <w:r>
        <w:lastRenderedPageBreak/>
        <w:t>administración electoral en aplicación directa de la Ley Orgánica del régimen electoral general, a fin de hacer efectiva la prescripción legal examinada y así restablecer la composición del Parlamento mediante la expedición de la credencial al candidato correspondiente de la lista del cesado por haber perdido su capacidad electoral.</w:t>
      </w:r>
    </w:p>
    <w:p w14:paraId="4034520B" w14:textId="77777777" w:rsidR="003754FE" w:rsidRDefault="003754FE" w:rsidP="003754FE">
      <w:pPr>
        <w:pStyle w:val="TextoNormal"/>
      </w:pPr>
    </w:p>
    <w:p w14:paraId="5B162117" w14:textId="77777777" w:rsidR="003754FE" w:rsidRDefault="003754FE" w:rsidP="003754FE">
      <w:pPr>
        <w:pStyle w:val="TextoNormal"/>
      </w:pPr>
      <w:r>
        <w:t>Concluye el Tribunal Supremo afirmando que “[l]a proporcionalidad y legitimidad de esta medida en relación a los requisitos de elegibilidad no ofrece dudas. En la STC 151/1999, de 14 de septiembre, que desestima un recurso de amparo de un alcalde condenado a la pena de inhabilitación especial para todo cargo público electivo, se dijo en el penúltimo párrafo del fundamento tercero: ‘Pocas dudas pueden albergarse respecto de la necesidad de que los gestores públicos gocen de la confianza y del respeto de la gente. Para ello, si es exigible una cierta ejemplaridad social a quien ejerce cualquier función pública, con más intensidad debe hacerse respecto de aquellos cargos cuya función consiste precisamente, por ser representantes de los ciudadanos, en actuar de manera directa en los asuntos públicos’”.</w:t>
      </w:r>
    </w:p>
    <w:p w14:paraId="552FF2E5" w14:textId="77777777" w:rsidR="003754FE" w:rsidRDefault="003754FE" w:rsidP="003754FE">
      <w:pPr>
        <w:pStyle w:val="TextoNormal"/>
      </w:pPr>
    </w:p>
    <w:p w14:paraId="0624E7D1" w14:textId="77777777" w:rsidR="003754FE" w:rsidRDefault="003754FE" w:rsidP="003754FE">
      <w:pPr>
        <w:pStyle w:val="TextoNormal"/>
      </w:pPr>
      <w:r>
        <w:t>Recuerda el Tribunal Supremo su STS 438/2019, en la que, a propósito de la impugnación de un acto de aplicación de la previsión del art. 6.2 b) LOREG, afirmó: “Si bien los regímenes de los Estados miembros de la Unión Europea sobre inelegibilidad reflejan tradiciones jurídicas distintas suelen coincidir en que una condena penal inhabilita para ocupar un cargo público. Incluso, en algún Estado haber incurrido en quiebra o ser indigno de ocupar un cargo público por otro motivo también es causa de inelegibilidad. En Dinamarca, una persona no puede ser elegible si ha sido condenada por realizar actos que según la opinión general la hagan indigna de pertenecer al Parlamento Europeo o a</w:t>
      </w:r>
      <w:r w:rsidRPr="003754FE">
        <w:rPr>
          <w:i/>
        </w:rPr>
        <w:t>l Folketi</w:t>
      </w:r>
      <w:r>
        <w:t>ng, Parlamento danés (www Comisión Europea)”.</w:t>
      </w:r>
    </w:p>
    <w:p w14:paraId="6FE333FD" w14:textId="77777777" w:rsidR="003754FE" w:rsidRDefault="003754FE" w:rsidP="003754FE">
      <w:pPr>
        <w:pStyle w:val="TextoNormal"/>
      </w:pPr>
    </w:p>
    <w:p w14:paraId="42D1A9F6" w14:textId="77777777" w:rsidR="003754FE" w:rsidRDefault="003754FE" w:rsidP="003754FE">
      <w:pPr>
        <w:pStyle w:val="TextoNormal"/>
      </w:pPr>
      <w:r>
        <w:t>Por consiguiente, considera que no se ha producido vulneración del derecho de participación política del art. 23.2 CE en los acuerdos impugnados. Por otra parte, afirma el Tribunal Supremo, las menciones a las consecuencias que la pérdida de la condición de diputado del Parlamento de Cataluña pudiera producir respecto al cargo de presidente de la Comunidad Autónoma de Cataluña son por completo ajenas al acuerdo recurrido. Se trata de una cuestión regulada en el Estatuto de Autonomía de Cataluña que ni podía ni le correspondía ponderar a la Junta Electoral Central.</w:t>
      </w:r>
    </w:p>
    <w:p w14:paraId="3529A97F" w14:textId="77777777" w:rsidR="003754FE" w:rsidRDefault="003754FE" w:rsidP="003754FE">
      <w:pPr>
        <w:pStyle w:val="TextoNormal"/>
      </w:pPr>
    </w:p>
    <w:p w14:paraId="32A78F9C" w14:textId="77777777" w:rsidR="003754FE" w:rsidRDefault="003754FE" w:rsidP="003754FE">
      <w:pPr>
        <w:pStyle w:val="TextoNormal"/>
      </w:pPr>
      <w:r>
        <w:t>En cuanto a la supuesta falta de imparcialidad de algunos miembros de la Junta Electoral Central, recuerda el Tribunal Supremo que el recurrente formuló un escrito de recusación de ciertos vocales, recusación que fue rechazada de manera fundada por acuerdo de la Junta Electoral Central de 3 de enero de 2020, en el que, sin formar parte de la sesión en que se adoptó ninguno de los recusados, se inadmitió por su manifiesta ausencia de fundamento. Considera el Tribunal Supremo que “[l]a manifiesta falta de fundamento de la recusación intentada en vía administrativa se admite implícitamente por la demanda, pues en lugar de argumentar que era procedente aceptar la recusación planteada —como es lógico si considerase correctamente fundamentada tal pretensión—, se dedica a argumentar un supuesto deber de abstención que entiende incumplido”.</w:t>
      </w:r>
    </w:p>
    <w:p w14:paraId="03EDC1EB" w14:textId="77777777" w:rsidR="003754FE" w:rsidRDefault="003754FE" w:rsidP="003754FE">
      <w:pPr>
        <w:pStyle w:val="TextoNormal"/>
      </w:pPr>
    </w:p>
    <w:p w14:paraId="792CDC13" w14:textId="77777777" w:rsidR="003754FE" w:rsidRDefault="003754FE" w:rsidP="003754FE">
      <w:pPr>
        <w:pStyle w:val="TextoNormal"/>
      </w:pPr>
      <w:r>
        <w:t xml:space="preserve">Continua afirmando que “[l]a demanda intenta equiparar las causas de abstención y recusación previstas en la Ley Orgánica 6/1985, del Poder Judicial, para jueces y magistrados, a las causas de recusación previstas en el art. 23.2 de la Ley 40/2015, de 1 de octubre, </w:t>
      </w:r>
      <w:r>
        <w:lastRenderedPageBreak/>
        <w:t>aplicables a los miembros del órgano de la administración electoral, siendo obvio que se trata de funciones diferentes, sometidas a un régimen legal distinto, mucho más exigente en el caso de las que afectan a jueces y magistrados en el proceso judicial […]. La posición de los órganos administrativos no es equiparable en modo alguno a la de los miembros del Poder Judicial y, por ello, las causas de abstención y recusación que deben observarse en los procesos judiciales son más extensas y exigentes que las de los órganos administrativos, también los de la administración electoral […]. En definitiva, la participación de los vocales y del presidente de la Junta Electoral Central en la adopción del acuerdo de la Junta Electoral Central recurrido es conforme a Derecho, y además el acuerdo se adoptó con expresión tanto de las argumentaciones del acuerdo, como de las discrepancias mediante la incorporación del voto particular de cuatro vocales, lo que permite conocer el conjunto de posiciones del debate que se produjo en el seno de la reunión, tanto la de los favorables al acuerdo finalmente adoptado, como la de los contrarios. Luego no se ha producido tampoco indefensión alguna por el contenido del acta que, en conjunción con el acuerdo y el voto particular formulado, expresa por completo el contenido de lo debatido”.</w:t>
      </w:r>
    </w:p>
    <w:p w14:paraId="31FADF8E" w14:textId="77777777" w:rsidR="003754FE" w:rsidRDefault="003754FE" w:rsidP="003754FE">
      <w:pPr>
        <w:pStyle w:val="TextoNormal"/>
      </w:pPr>
    </w:p>
    <w:p w14:paraId="7DC3FDBF" w14:textId="77777777" w:rsidR="003754FE" w:rsidRDefault="003754FE" w:rsidP="003754FE">
      <w:pPr>
        <w:pStyle w:val="TextoNormal"/>
      </w:pPr>
      <w:r>
        <w:t>En cuanto a la regularidad del procedimiento seguido ante la Junta Electoral Provincial de Barcelona y ante la Junta Electoral Central, considera que ninguna indefensión efectiva se causó al recurrente por la extensión de los plazos temporales que dispuso, primero para formular alegaciones ante la Junta Electoral Provincial de Barcelona, y después para interponer recurso ante la Junta Electoral Central.</w:t>
      </w:r>
    </w:p>
    <w:p w14:paraId="585373F3" w14:textId="77777777" w:rsidR="003754FE" w:rsidRDefault="003754FE" w:rsidP="003754FE">
      <w:pPr>
        <w:pStyle w:val="TextoNormal"/>
      </w:pPr>
    </w:p>
    <w:p w14:paraId="703E8FAD" w14:textId="77777777" w:rsidR="003754FE" w:rsidRDefault="003754FE" w:rsidP="003754FE">
      <w:pPr>
        <w:pStyle w:val="TextoNormal"/>
      </w:pPr>
      <w:r>
        <w:t>También entiende que ha de rechazarse la alegación de vulneración del principio de exclusividad jurisdiccional, y del principio de presunción de inocencia. Razona el Tribunal Supremo afirmando que “[e]l acuerdo de la Junta Electoral Central recurrido no supone ni implica, como pretende la demanda, una declaración de culpabilidad del recurrente, y desde luego el acuerdo de la Junta Electoral Central no está bajo el ámbito de la Directiva (UE) 2016/343, de cuyo art. 4.1 se sirve el recurrente para construir su argumento. Ocurre que la declaración de culpabilidad no es realizada por el acuerdo de la Junta Electoral Central recurrido, sino por la sentencia condenatoria de la Sala de lo Civil y Penal del Tribunal Superior de Justicia de Cataluña que impuso al recurrente la pena de inhabilitación especial, y que constituye el presupuesto legal para el acuerdo de la Junta Electoral Central. Sin embargo, ese ‘efecto extrapenal de la sentencia condenatoria’ no es una ejecución anticipada de la misma realizada por un órgano distinto al Tribunal penal competente, ni constituye una declaración de culpabilidad que realice la Junta Electoral Central, sino una consecuencia, a los solos efectos del régimen electoral, de aquella sentencia aún no firme”.</w:t>
      </w:r>
    </w:p>
    <w:p w14:paraId="4048ED86" w14:textId="77777777" w:rsidR="003754FE" w:rsidRDefault="003754FE" w:rsidP="003754FE">
      <w:pPr>
        <w:pStyle w:val="TextoNormal"/>
      </w:pPr>
    </w:p>
    <w:p w14:paraId="25314001" w14:textId="14DBE0B0" w:rsidR="003754FE" w:rsidRDefault="003754FE" w:rsidP="003754FE">
      <w:pPr>
        <w:pStyle w:val="TextoNormal"/>
      </w:pPr>
      <w:r>
        <w:t xml:space="preserve">Descarta también la vulneración del principio </w:t>
      </w:r>
      <w:r w:rsidRPr="003754FE">
        <w:rPr>
          <w:i/>
        </w:rPr>
        <w:t>non bis in idem</w:t>
      </w:r>
      <w:r>
        <w:t>, al no estar ante un acto de naturaleza penal o sancionadora. Tampoco cabe, concluye el Tribunal Supremo, compartir que tenga relevancia alguna aquí la invocación de una supuesta afectación del derecho a la doble instancia en el proceso penal. La aplicación del art. 6 LOREG no impide recurrir la sentencia penal, como ha hecho el recurrente, si bien ha obtenido una sentencia confirmatoria de la de condena.</w:t>
      </w:r>
    </w:p>
    <w:p w14:paraId="1AFDF15A" w14:textId="77777777" w:rsidR="003754FE" w:rsidRDefault="003754FE" w:rsidP="003754FE">
      <w:pPr>
        <w:pStyle w:val="TextoNormal"/>
      </w:pPr>
    </w:p>
    <w:p w14:paraId="3ACE7956" w14:textId="77777777" w:rsidR="003754FE" w:rsidRDefault="003754FE" w:rsidP="003754FE">
      <w:pPr>
        <w:pStyle w:val="TextoNormal"/>
      </w:pPr>
      <w:r w:rsidRPr="003754FE">
        <w:rPr>
          <w:rStyle w:val="NumeroAFNegritaCaracter"/>
        </w:rPr>
        <w:t>3</w:t>
      </w:r>
      <w:r>
        <w:t>. La demanda de amparo, que contiene las mismas alegaciones que el recurso contencioso administrativo que el recurrente planteó ante el Tribunal Supremo, expone de manera reiterativa y confusa una serie de violaciones de derechos fundamentales que pueden sistematizarse como sigue:</w:t>
      </w:r>
    </w:p>
    <w:p w14:paraId="27CA02BA" w14:textId="77777777" w:rsidR="003754FE" w:rsidRDefault="003754FE" w:rsidP="003754FE">
      <w:pPr>
        <w:pStyle w:val="TextoNormal"/>
      </w:pPr>
    </w:p>
    <w:p w14:paraId="73433A98" w14:textId="77777777" w:rsidR="003754FE" w:rsidRDefault="003754FE" w:rsidP="003754FE">
      <w:pPr>
        <w:pStyle w:val="TextoNormal"/>
      </w:pPr>
      <w:r>
        <w:t>En primer lugar, realiza el recurrente una primera afirmación sobre los preceptos constitucionales que considera violados: alega la violación de los arts. 14, 20, 23, 24 y 25 CE que atribuye a la resolución de la Junta Electoral Central y a la sentencia del Tribunal Supremo en tanto que no remedió las violaciones denunciadas. Asimismo, atribuye también una lesión autónoma del art. 24.1 CE a la sentencia del Tribunal Supremo por vulneración del derecho a la tutela judicial efectiva en su vertiente de derecho a una resolución motivada y fundada en Derecho. Considera también que se ha vulnerado el art. 3 del Protocolo núm. 1 al Convenio europeo para la protección de los derechos humanos y de las libertades fundamentales (CEDH), y el art. 1 del Protocolo núm. 12 al CEDH, en relación con los arts. 6 y 13 de dicho convenio.</w:t>
      </w:r>
    </w:p>
    <w:p w14:paraId="2DC25BAC" w14:textId="77777777" w:rsidR="003754FE" w:rsidRDefault="003754FE" w:rsidP="003754FE">
      <w:pPr>
        <w:pStyle w:val="TextoNormal"/>
      </w:pPr>
    </w:p>
    <w:p w14:paraId="3F08F9BA" w14:textId="77777777" w:rsidR="003754FE" w:rsidRDefault="003754FE" w:rsidP="003754FE">
      <w:pPr>
        <w:pStyle w:val="TextoNormal"/>
      </w:pPr>
      <w:r>
        <w:t>El núcleo de su demanda es la vulneración del derecho al ejercicio en condiciones de igualdad del cargo de diputado al Parlamento de Cataluña, en relación con los derechos fundamentales antes señalados, por la incompetencia de la administración electoral para determinar su inelegibilidad sobrevenida.</w:t>
      </w:r>
    </w:p>
    <w:p w14:paraId="6A552E46" w14:textId="77777777" w:rsidR="003754FE" w:rsidRDefault="003754FE" w:rsidP="003754FE">
      <w:pPr>
        <w:pStyle w:val="TextoNormal"/>
      </w:pPr>
    </w:p>
    <w:p w14:paraId="1D3B8BC1" w14:textId="77777777" w:rsidR="003754FE" w:rsidRDefault="003754FE" w:rsidP="003754FE">
      <w:pPr>
        <w:pStyle w:val="TextoNormal"/>
      </w:pPr>
      <w:r>
        <w:t>Los argumentos desarrollados en la demanda pueden sistematizarse en los siguientes:</w:t>
      </w:r>
    </w:p>
    <w:p w14:paraId="4968A86B" w14:textId="77777777" w:rsidR="003754FE" w:rsidRDefault="003754FE" w:rsidP="003754FE">
      <w:pPr>
        <w:pStyle w:val="TextoNormal"/>
      </w:pPr>
    </w:p>
    <w:p w14:paraId="0B136412" w14:textId="77777777" w:rsidR="003754FE" w:rsidRDefault="003754FE" w:rsidP="003754FE">
      <w:pPr>
        <w:pStyle w:val="TextoNormal"/>
      </w:pPr>
      <w:r>
        <w:t>a) Se queja de la falta de competencia temporal de la administración electoral. Considera que la Junta Electoral Central incurrió en incompetencia manifiesta porque solo durante el período electoral las juntas electorales están habilitadas legalmente para apreciar si concurre en un determinado candidato una causa de inelegibilidad prevista legalmente en relación con ese concreto proceso electoral (invoca a tales efectos el art. 7.1 LOREG).</w:t>
      </w:r>
    </w:p>
    <w:p w14:paraId="5AE1FA14" w14:textId="77777777" w:rsidR="003754FE" w:rsidRDefault="003754FE" w:rsidP="003754FE">
      <w:pPr>
        <w:pStyle w:val="TextoNormal"/>
      </w:pPr>
    </w:p>
    <w:p w14:paraId="4116EACA" w14:textId="77777777" w:rsidR="003754FE" w:rsidRDefault="003754FE" w:rsidP="003754FE">
      <w:pPr>
        <w:pStyle w:val="TextoNormal"/>
      </w:pPr>
      <w:r>
        <w:t>Alega además que “quien ha resultado elegido no puede devenir inelegible en relación con un proceso que ha concluido, ni siquiera sobrevenidamente”. Explica que una vez proclamada electa una persona respecto de la que, en el momento de su proclamación, no concurría causa alguna de inelegibilidad, esa persona se integra de pleno derecho e irrevocablemente en la Cámara o corporación para la que ha sido elegida.</w:t>
      </w:r>
    </w:p>
    <w:p w14:paraId="7AE28B55" w14:textId="77777777" w:rsidR="003754FE" w:rsidRDefault="003754FE" w:rsidP="003754FE">
      <w:pPr>
        <w:pStyle w:val="TextoNormal"/>
      </w:pPr>
    </w:p>
    <w:p w14:paraId="03E9A9A6" w14:textId="77777777" w:rsidR="003754FE" w:rsidRDefault="003754FE" w:rsidP="003754FE">
      <w:pPr>
        <w:pStyle w:val="TextoNormal"/>
      </w:pPr>
      <w:r>
        <w:t>Además, estima que es la propia Junta Electoral Central la que en su acuerdo de 27 de febrero de 2014 reconoció que es incompetente una vez se ha accedido de pleno derecho al cargo representativo. Por ello, considera que la Junta Electoral Central no era competente para dictar el acuerdo impugnado. Entiende que la declaración de inelegibilidad de un diputado en ejercicio llevada a cabo con posterioridad a la celebración de las elecciones por la Junta Electoral Central es manifiestamente contraria a Derecho.</w:t>
      </w:r>
    </w:p>
    <w:p w14:paraId="33EFA415" w14:textId="77777777" w:rsidR="003754FE" w:rsidRDefault="003754FE" w:rsidP="003754FE">
      <w:pPr>
        <w:pStyle w:val="TextoNormal"/>
      </w:pPr>
    </w:p>
    <w:p w14:paraId="097BEF95" w14:textId="77777777" w:rsidR="003754FE" w:rsidRDefault="003754FE" w:rsidP="003754FE">
      <w:pPr>
        <w:pStyle w:val="TextoNormal"/>
      </w:pPr>
      <w:r>
        <w:t>b) Asimismo, considera que la administración electoral es manifiestamente incompetente para el enjuiciamiento de las eventuales situaciones de incompatibilidad de los diputados al Parlamento de Cataluña o de cualquier otra asamblea legislativa, y la Junta Electoral Central ha incurrido en desviación de poder para “cesar” a los cargos electos (término este que, señala la demanda, utiliza el acuerdo de la Junta Electoral Central y que denota tal desviación de poder para privar de sus derechos políticos al señor Torra i Pla). Cita el voto particular que formulan seis de los trece miembros de la Junta Electoral Central en relación con el acuerdo impugnado que dispone:</w:t>
      </w:r>
    </w:p>
    <w:p w14:paraId="6F3000E1" w14:textId="77777777" w:rsidR="003754FE" w:rsidRDefault="003754FE" w:rsidP="003754FE">
      <w:pPr>
        <w:pStyle w:val="TextoNormal"/>
      </w:pPr>
    </w:p>
    <w:p w14:paraId="27C3B807" w14:textId="77777777" w:rsidR="003754FE" w:rsidRDefault="003754FE" w:rsidP="003754FE">
      <w:pPr>
        <w:pStyle w:val="TextoNormal"/>
      </w:pPr>
      <w:r>
        <w:lastRenderedPageBreak/>
        <w:t>“Es cierto que la Junta Electoral Central constituye un órgano permanente de la administración electoral (art. 9.1 LOREG); pero eso no significa que toda cuestión regulada en la legislación electoral pueda ser conocida por ella.</w:t>
      </w:r>
    </w:p>
    <w:p w14:paraId="7D095BB4" w14:textId="77777777" w:rsidR="003754FE" w:rsidRDefault="003754FE" w:rsidP="003754FE">
      <w:pPr>
        <w:pStyle w:val="TextoNormal"/>
      </w:pPr>
    </w:p>
    <w:p w14:paraId="55CF2C46" w14:textId="77777777" w:rsidR="003754FE" w:rsidRDefault="003754FE" w:rsidP="003754FE">
      <w:pPr>
        <w:pStyle w:val="TextoNormal"/>
      </w:pPr>
      <w:r>
        <w:t>La propia Ley Orgánica del régimen electoral general contempla, con naturalidad, la aplicación de sus previsiones normativas por parte de los tribunales de justicia cuando se produce un delito electoral (arts. 139 y ss. LOREG) o cuando un acuerdo de las juntas es impugnado jurisdiccionalmente en los casos establecidos en las leyes (arts. 109 y ss. LOREG), o de las delegaciones provinciales de la Oficina del Censo Electoral (arts. 35 y ss.), o de los medios de comunicación, estableciendo garantías o restricciones, etc.</w:t>
      </w:r>
    </w:p>
    <w:p w14:paraId="12C936E9" w14:textId="77777777" w:rsidR="003754FE" w:rsidRDefault="003754FE" w:rsidP="003754FE">
      <w:pPr>
        <w:pStyle w:val="TextoNormal"/>
      </w:pPr>
    </w:p>
    <w:p w14:paraId="62FE57A3" w14:textId="77777777" w:rsidR="003754FE" w:rsidRDefault="003754FE" w:rsidP="003754FE">
      <w:pPr>
        <w:pStyle w:val="TextoNormal"/>
      </w:pPr>
      <w:r>
        <w:t>En consecuencia, que ahora se trate de aquilatar el alcance del artículo 6.2 b) LOREG en relación con el mandato del señor Torra y que para tal menester sea imprescindible adoptar decisiones interpretativas sobre la legislación electoral no puede constituir argumento para atribuir competencia para ello a la administración electoral. Ni toda interpretación sobre la Ley Orgánica del régimen electoral general es competencia de la Junta Electoral Central, ni la adopción de un criterio de fondo sobre el asunto debatido tendría que prescindir de tomar en consideración otras posibles normas, pues así lo exige la unidad del ordenamiento jurídico (art. 9.1 CE)”.</w:t>
      </w:r>
    </w:p>
    <w:p w14:paraId="6D4CB400" w14:textId="77777777" w:rsidR="003754FE" w:rsidRDefault="003754FE" w:rsidP="003754FE">
      <w:pPr>
        <w:pStyle w:val="TextoNormal"/>
      </w:pPr>
    </w:p>
    <w:p w14:paraId="545767FB" w14:textId="77777777" w:rsidR="003754FE" w:rsidRDefault="003754FE" w:rsidP="003754FE">
      <w:pPr>
        <w:pStyle w:val="TextoNormal"/>
      </w:pPr>
      <w:r>
        <w:t>Se remite el recurrente al acuerdo de 3 de febrero de 2016, donde, a su juicio, la Junta Electoral Central ya había afirmado con rotundidad: “No corresponde a esta junta proceder al enjuiciamiento de situaciones de incompatibilidad de los parlamentarios ya que corresponde al ámbito de competencias de las correspondientes cámaras legislativas”.</w:t>
      </w:r>
    </w:p>
    <w:p w14:paraId="12561640" w14:textId="77777777" w:rsidR="003754FE" w:rsidRDefault="003754FE" w:rsidP="003754FE">
      <w:pPr>
        <w:pStyle w:val="TextoNormal"/>
      </w:pPr>
    </w:p>
    <w:p w14:paraId="2C34B9BE" w14:textId="77777777" w:rsidR="003754FE" w:rsidRDefault="003754FE" w:rsidP="003754FE">
      <w:pPr>
        <w:pStyle w:val="TextoNormal"/>
      </w:pPr>
      <w:r>
        <w:t>De hecho, afirma el recurrente, el acuerdo de la Junta Electoral Central de 3 de enero de 2020, como antes el acuerdo de la Junta Electoral Provincial de Barcelona de 24 de diciembre de 2019, es la primera ocasión en que, por la Junta Electoral Central, se procede a resolver sobre la eventual situación de incompatibilidad de un parlamentario, sentando no solo un peligroso precedente sino invadiendo, claramente, competencias de una institución que goza de una autonomía estatutariamente reconocida como es el Parlamento de Cataluña.</w:t>
      </w:r>
    </w:p>
    <w:p w14:paraId="41999A83" w14:textId="77777777" w:rsidR="003754FE" w:rsidRDefault="003754FE" w:rsidP="003754FE">
      <w:pPr>
        <w:pStyle w:val="TextoNormal"/>
      </w:pPr>
    </w:p>
    <w:p w14:paraId="1444E3D7" w14:textId="77777777" w:rsidR="003754FE" w:rsidRDefault="003754FE" w:rsidP="003754FE">
      <w:pPr>
        <w:pStyle w:val="TextoNormal"/>
      </w:pPr>
      <w:r>
        <w:t>Entiende que el enjuiciamiento de las incompatibilidades en que puedan incurrir los diputados al Parlamento de Cataluña, así como cualquier cuestión que afecte al estatuto de los diputados (incluido su cese), no es competencia de la administración electoral, y que esta invadió competencias de una institución que goza de una autonomía estatutariamente reconocida como es el Parlamento de Cataluña (con cita de la STC 155/2014).</w:t>
      </w:r>
    </w:p>
    <w:p w14:paraId="48823A1C" w14:textId="77777777" w:rsidR="003754FE" w:rsidRDefault="003754FE" w:rsidP="003754FE">
      <w:pPr>
        <w:pStyle w:val="TextoNormal"/>
      </w:pPr>
    </w:p>
    <w:p w14:paraId="495EF73F" w14:textId="77777777" w:rsidR="003754FE" w:rsidRDefault="003754FE" w:rsidP="003754FE">
      <w:pPr>
        <w:pStyle w:val="TextoNormal"/>
      </w:pPr>
      <w:r>
        <w:t xml:space="preserve">Expone que, a diferencia de lo que dispone el artículo 70.1 CE, el Estatuto de Autonomía de Cataluña no obliga a que el régimen de incompatibilidades de los diputados al Parlamento de Cataluña se regule por la legislación electoral. La Generalitat de Cataluña ha ejercido su competencia para establecer un sistema propio de incompatibilidades parlamentarias por medio del art. 11 de la Ley del Parlamento de Cataluña 3/1982, de 23 de marzo, del Parlamento, del presidente y del Consejo Ejecutivo de la Generalitat. En el caso del Parlamento de Cataluña, la pérdida de la condición de diputado viene regulada por el art. 17 de su Reglamento, que dispone como causa de la pérdida de condición de miembro del Parlamento: “e) condena a una pena de inhabilitación impuesta por una sentencia judicial firme”. De </w:t>
      </w:r>
      <w:r>
        <w:lastRenderedPageBreak/>
        <w:t>modo que solo una sentencia judicial firme puede anular la elección o proclamación de un miembro del Parlamento de Cataluña.</w:t>
      </w:r>
    </w:p>
    <w:p w14:paraId="40961459" w14:textId="77777777" w:rsidR="003754FE" w:rsidRDefault="003754FE" w:rsidP="003754FE">
      <w:pPr>
        <w:pStyle w:val="TextoNormal"/>
      </w:pPr>
    </w:p>
    <w:p w14:paraId="6255434C" w14:textId="77777777" w:rsidR="003754FE" w:rsidRDefault="003754FE" w:rsidP="003754FE">
      <w:pPr>
        <w:pStyle w:val="TextoNormal"/>
      </w:pPr>
      <w:r>
        <w:t>En este sentido, recuerda que la STC 7/1992, en su día, se pronunció en relación con un supuesto que guarda, a juicio del recurrente, una evidente semejanza con el del presente asunto. En aquel supuesto, en particular, el Tribunal Constitucional se pronunció sobre la posibilidad de declarar la alegada situación de incompatibilidad de un parlamentario prescindiendo del procedimiento legalmente previsto para ello. Este precedente resulta especialmente relevante por cuanto la causa de incompatibilidad que se había pretendido aplicar en aquel caso guardaba también relación con una sentencia penal. En aquel supuesto, señaló el Tribunal Constitucional:</w:t>
      </w:r>
    </w:p>
    <w:p w14:paraId="32627A6E" w14:textId="77777777" w:rsidR="003754FE" w:rsidRDefault="003754FE" w:rsidP="003754FE">
      <w:pPr>
        <w:pStyle w:val="TextoNormal"/>
      </w:pPr>
    </w:p>
    <w:p w14:paraId="1D074587" w14:textId="77777777" w:rsidR="003754FE" w:rsidRDefault="003754FE" w:rsidP="003754FE">
      <w:pPr>
        <w:pStyle w:val="TextoNormal"/>
      </w:pPr>
      <w:r>
        <w:t>“En otro orden de cosas, además, el derecho constitucional de los titulares de cargos de representación política a permanecer en ellos solamente puede ser extinguido, en virtud del art. 23.2, por las causas y de acuerdo con los procedimientos legalmente previstos (STC 28/1984, de 28 de febrero, antes citada), por lo que, en cualquier caso, en el supuesto ahora enjuiciado no se siguieron los trámites previstos por el art. 160 LOREG y sus concordantes del Reglamento de la Asamblea Regional de Cantabria (especialmente sus arts. 17 y 46). En efecto, la existencia de una hipotética situación de incompatibilidad, con arreglo a tales preceptos, no puede ser efectuada unilateralmente por la Presidencia de la Asamblea, haya oído o no a la mesa y a la junta de portavoces. Esta tarea queda reservada a una comisión parlamentaria, que en la Asamblea Cántabra es la del estatuto del diputado; la cual, además, queda relegada a unas atribuciones de mera propuesta, pues el Reglamento de la Asamblea de Cantabria reserva al Pleno la declaración final de incompatibilidad, que constituye al afectado en la obligación de optar o de renunciar al escaño, por lo que, aun si los preceptos legales en vigor hubieran configurado a la pena de suspensión de cargo público como una causa de incompatibilidad generadora del cese del diputado, y no de su mera suspensión, el acto impugnado hubiera sido nulo por prescindir de los trámites esenciales del procedimiento legalmente establecido para declarar este tipo de incompatibilidades”.</w:t>
      </w:r>
    </w:p>
    <w:p w14:paraId="010AF536" w14:textId="77777777" w:rsidR="003754FE" w:rsidRDefault="003754FE" w:rsidP="003754FE">
      <w:pPr>
        <w:pStyle w:val="TextoNormal"/>
      </w:pPr>
    </w:p>
    <w:p w14:paraId="6CBEB110" w14:textId="77777777" w:rsidR="003754FE" w:rsidRDefault="003754FE" w:rsidP="003754FE">
      <w:pPr>
        <w:pStyle w:val="TextoNormal"/>
      </w:pPr>
      <w:r>
        <w:t>Esta sentencia es, a juicio del recurrente, perfectamente clara en el sentido de que también las causas de incompatibilidad, en su caso, asociadas a la existencia de una condena penal que puedan ser eventualmente determinantes, en su caso, del cese de un parlamentario conforme a los preceptos legales en vigor, deben someterse en todo caso al procedimiento legalmente establecido para declarar las incompatibilidades, que en este caso no es otro que el previsto en el artículo 18 del Reglamento del Parlamento de Cataluña, aprobado por el Pleno del Parlamento, en sesión celebrada el día 22 de diciembre de 2005 (RPC).</w:t>
      </w:r>
    </w:p>
    <w:p w14:paraId="6E4FBEE4" w14:textId="77777777" w:rsidR="003754FE" w:rsidRDefault="003754FE" w:rsidP="003754FE">
      <w:pPr>
        <w:pStyle w:val="TextoNormal"/>
      </w:pPr>
    </w:p>
    <w:p w14:paraId="28D432CF" w14:textId="77777777" w:rsidR="003754FE" w:rsidRDefault="003754FE" w:rsidP="003754FE">
      <w:pPr>
        <w:pStyle w:val="TextoNormal"/>
      </w:pPr>
      <w:r>
        <w:t>En definitiva, a juicio del recurrente, la administración electoral es manifiestamente incompetente para resolver sobre la pérdida de su condición de los diputados al Parlamento de Cataluña. De la propia definición legal de lo que debe ser la administración electoral se desprende con claridad que esta interviene en la elección y proclamación de los miembros de las cámaras legislativas, pero nunca en su cese.</w:t>
      </w:r>
    </w:p>
    <w:p w14:paraId="7FFCF490" w14:textId="77777777" w:rsidR="003754FE" w:rsidRDefault="003754FE" w:rsidP="003754FE">
      <w:pPr>
        <w:pStyle w:val="TextoNormal"/>
      </w:pPr>
    </w:p>
    <w:p w14:paraId="5A4AB963" w14:textId="77777777" w:rsidR="003754FE" w:rsidRDefault="003754FE" w:rsidP="003754FE">
      <w:pPr>
        <w:pStyle w:val="TextoNormal"/>
      </w:pPr>
      <w:r>
        <w:t>c) Defiende que el acuerdo de dejar sin efecto su credencial de diputado con orden a la Junta Electoral Provincial de Barcelona de declarar vacante su escaño, así como de expedir la credencial al siguiente candidato, es radicalmente nulo e ineficaz.</w:t>
      </w:r>
    </w:p>
    <w:p w14:paraId="27B0B649" w14:textId="77777777" w:rsidR="003754FE" w:rsidRDefault="003754FE" w:rsidP="003754FE">
      <w:pPr>
        <w:pStyle w:val="TextoNormal"/>
      </w:pPr>
    </w:p>
    <w:p w14:paraId="06A737BE" w14:textId="77777777" w:rsidR="003754FE" w:rsidRDefault="003754FE" w:rsidP="003754FE">
      <w:pPr>
        <w:pStyle w:val="TextoNormal"/>
      </w:pPr>
      <w:r>
        <w:lastRenderedPageBreak/>
        <w:t>Argumenta que, en modo alguno es competente la administración electoral para dejar sin efecto dichas credenciales o para declarar las vacantes que se puedan producir en los parlamentos. Alega que en su acuerdo de 3 de enero de 2020, lo que pretende la Junta Electoral Central es, sin base legal alguna, obviando incluso sus propios precedentes, usurpar al Parlamento de Cataluña su competencia para regular las causas de pérdida de la condición de diputado, así como para enjuiciar las eventuales situaciones de incompatibilidad de los diputados al Parlamento de Cataluña, con el objetivo político de apartar a un diputado al Parlamento de Cataluña, que es, además, el presidente de la Generalitat. Afirma, asimismo, que el acuerdo originario fue dictado por un órgano, la Junta Electoral Provincial de Barcelona, que carecía manifiestamente de competencia en relación con esta cuestión por hallarse constituida a los exclusivos efectos de las elecciones a Cortes Generales de 10 de noviembre de 2019. Añade además que no hay motivación jurídica válida.</w:t>
      </w:r>
    </w:p>
    <w:p w14:paraId="4E36EC01" w14:textId="77777777" w:rsidR="003754FE" w:rsidRDefault="003754FE" w:rsidP="003754FE">
      <w:pPr>
        <w:pStyle w:val="TextoNormal"/>
      </w:pPr>
    </w:p>
    <w:p w14:paraId="69B9C8F8" w14:textId="77777777" w:rsidR="003754FE" w:rsidRDefault="003754FE" w:rsidP="003754FE">
      <w:pPr>
        <w:pStyle w:val="TextoNormal"/>
      </w:pPr>
      <w:r>
        <w:t>d) También considera que existe una incompetencia funcional, ya que la Junta Electoral Central no era competente para resolver los recursos interpuestos contra el acuerdo de la Junta Electoral Provincial de 24 de diciembre de 2019, puesto que el apartado cuarto de la disposición transitoria cuarta de la Ley Orgánica 4/1979, de 18 de diciembre, del Estatuto de Autonomía de Cataluña (que el recurrente considera vigente en virtud de la disposición transitoria segunda del vigente Estatuto de Cataluña), relativa a las elecciones al Parlamento de Cataluña, establece que será el Tribunal Superior de Justicia de Cataluña quien conozca de los recursos o impugnaciones que procedan contra los acuerdos de las juntas electorales provinciales. En este sentido, se ha privado también al recurrente del derecho al juez ordinario predeterminado por la ley, que no es otro que el Tribunal Superior de Justicia de Cataluña, de conformidad con lo dispuesto en la disposición transitoria cuarta de la Ley Orgánica 4/1979.</w:t>
      </w:r>
    </w:p>
    <w:p w14:paraId="4DBDF133" w14:textId="77777777" w:rsidR="003754FE" w:rsidRDefault="003754FE" w:rsidP="003754FE">
      <w:pPr>
        <w:pStyle w:val="TextoNormal"/>
      </w:pPr>
    </w:p>
    <w:p w14:paraId="70F8937A" w14:textId="77777777" w:rsidR="003754FE" w:rsidRDefault="003754FE" w:rsidP="003754FE">
      <w:pPr>
        <w:pStyle w:val="TextoNormal"/>
      </w:pPr>
      <w:r>
        <w:t>e) Defiende que no se halla incurso en supuesto alguno de incompatibilidad aplicable a los diputados al Parlamento de Cataluña y que el régimen de las incompatibilidades parlamentarias es una cuestión ajena al Derecho electoral, y que compete regular a la comunidad autónoma.</w:t>
      </w:r>
    </w:p>
    <w:p w14:paraId="7B0F2565" w14:textId="77777777" w:rsidR="003754FE" w:rsidRDefault="003754FE" w:rsidP="003754FE">
      <w:pPr>
        <w:pStyle w:val="TextoNormal"/>
      </w:pPr>
    </w:p>
    <w:p w14:paraId="1DEA5A0E" w14:textId="77777777" w:rsidR="003754FE" w:rsidRDefault="003754FE" w:rsidP="003754FE">
      <w:pPr>
        <w:pStyle w:val="TextoNormal"/>
      </w:pPr>
      <w:r>
        <w:t xml:space="preserve">La demanda cita en apoyo de este argumento la STC 155/2014, FJ 4, según la cual “así como las causas de inelegibilidad establecidas en el art. 6 LOREG rigen para los procesos electorales autonómicos, en aplicación de lo dispuesto en la disposición adicional primera, apartado segundo, de esta norma, no sucede lo mismo con el sistema de incompatibilidades parlamentarias, cuyo establecimiento sí corresponde, en exclusiva, al legislador de cada comunidad autónoma de acuerdo, en su caso, con las previsiones que se contengan en el estatuto de autonomía respectivo”. Alega que en el caso de la Generalitat esta ha ejercido esta competencia exclusiva para establecer un sistema propio de incompatibilidades parlamentarias en los términos arriba expuestos. De modo que el art. 6.4 LOREG, introducido por la Ley Orgánica 3/2011, de 28 de enero, por la que se modifica la Ley Orgánica 5/1985, de 19 de junio, del régimen electoral general, no puede resultar, en consecuencia, de aplicación a los diputados al Parlamento de Cataluña. Considera además que cualquier interpretación extensiva de este precepto, desde el punto de vista sustantivo, vulnera el Derecho de la Unión Europea en lo relativo al respeto del derecho a la presunción de inocencia que reconoce el artículo 48.1 de la Carta de los derechos fundamentales de la Unión Europea (CDFUE), desarrollado por la Directiva (UE) 2016/343, del Parlamento Europeo y del Consejo, de 9 de marzo de 2016, lo que obligaba también a su inaplicación, incluso, por la </w:t>
      </w:r>
      <w:r>
        <w:lastRenderedPageBreak/>
        <w:t>administración electoral, de acuerdo con el principio de primacía del Derecho de la Unión Europea. Estima que si este tribunal albergara dudas sobre la interpretación de la referida directiva, vendría obligada al planteamiento, en su caso, de la correspondiente cuestión prejudicial ante el Tribunal de Justicia de la Unión Europea de conformidad con lo previsto en el artículo 267 del Tratado de funcionamiento de la Unión Europea (TFUE).</w:t>
      </w:r>
    </w:p>
    <w:p w14:paraId="4E3C526F" w14:textId="77777777" w:rsidR="003754FE" w:rsidRDefault="003754FE" w:rsidP="003754FE">
      <w:pPr>
        <w:pStyle w:val="TextoNormal"/>
      </w:pPr>
    </w:p>
    <w:p w14:paraId="035AF18B" w14:textId="77777777" w:rsidR="003754FE" w:rsidRDefault="003754FE" w:rsidP="003754FE">
      <w:pPr>
        <w:pStyle w:val="TextoNormal"/>
      </w:pPr>
      <w:r>
        <w:t>f) Considera que también vulnera el art. 23 CE, en relación con los derechos reconocidos en los arts. 16, 20 y 21 CE, el haber sido privado de su cargo por medio de un acto nulo de pleno Derecho.</w:t>
      </w:r>
    </w:p>
    <w:p w14:paraId="04A4B2CF" w14:textId="77777777" w:rsidR="003754FE" w:rsidRDefault="003754FE" w:rsidP="003754FE">
      <w:pPr>
        <w:pStyle w:val="TextoNormal"/>
      </w:pPr>
    </w:p>
    <w:p w14:paraId="59D6B54B" w14:textId="77777777" w:rsidR="003754FE" w:rsidRDefault="003754FE" w:rsidP="003754FE">
      <w:pPr>
        <w:pStyle w:val="TextoNormal"/>
      </w:pPr>
      <w:r>
        <w:t>Argumenta que la declaración de incompatibilidad de un diputado prescindiendo del procedimiento legalmente establecido para ello vulnera, no solamente los derechos del recurrente en tanto que diputado, que reconoce el art. 23.2 CE sino también el del resto de los diputados del Parlamento llamados a participar, en su caso, en el procedimiento legalmente previsto por el art. 18 RPC (con cita de la STC 7/1992). Reitera una vez más que el art. 24 RPC establece que únicamente la condena a una pena de inhabilitación impuesta por una sentencia judicial firme, o la anulación de la elección o proclamación por el mismo cauce, pueden dar lugar, en su caso, a la pérdida de la condición de parlamentario de un diputado al Parlamento de Cataluña.</w:t>
      </w:r>
    </w:p>
    <w:p w14:paraId="22A8650A" w14:textId="77777777" w:rsidR="003754FE" w:rsidRDefault="003754FE" w:rsidP="003754FE">
      <w:pPr>
        <w:pStyle w:val="TextoNormal"/>
      </w:pPr>
    </w:p>
    <w:p w14:paraId="08F6E568" w14:textId="77777777" w:rsidR="003754FE" w:rsidRDefault="003754FE" w:rsidP="003754FE">
      <w:pPr>
        <w:pStyle w:val="TextoNormal"/>
      </w:pPr>
      <w:r>
        <w:t>g) Se queja también el recurrente de la vulneración del derecho a la presunción de inocencia, el derecho a la legalidad penal, el derecho a la tutela judicial efectiva, así como el derecho a un proceso con todas las garantías, en particular en lo relativo al derecho a la doble instancia penal.</w:t>
      </w:r>
    </w:p>
    <w:p w14:paraId="51521C57" w14:textId="77777777" w:rsidR="003754FE" w:rsidRDefault="003754FE" w:rsidP="003754FE">
      <w:pPr>
        <w:pStyle w:val="TextoNormal"/>
      </w:pPr>
    </w:p>
    <w:p w14:paraId="3AE7C783" w14:textId="77777777" w:rsidR="003754FE" w:rsidRDefault="003754FE" w:rsidP="003754FE">
      <w:pPr>
        <w:pStyle w:val="TextoNormal"/>
      </w:pPr>
      <w:r>
        <w:t>El recurrente, que niega haber cometido delito alguno, argumenta que la ejecución anticipada de la pena de inhabilitación acordada por la sentencia del Tribunal Superior de Justicia de Cataluña de 19 de diciembre de 2019, por el acuerdo de la Junta Electoral Central de 3 de enero de 2020, supone, en la práctica, una declaración pública de culpabilidad, pese a que estaba obligada a seguir tratando al recurrente como inocente en tanto esa resolución no deviniera firme.</w:t>
      </w:r>
    </w:p>
    <w:p w14:paraId="1B71C568" w14:textId="77777777" w:rsidR="003754FE" w:rsidRDefault="003754FE" w:rsidP="003754FE">
      <w:pPr>
        <w:pStyle w:val="TextoNormal"/>
      </w:pPr>
    </w:p>
    <w:p w14:paraId="4425E5EE" w14:textId="77777777" w:rsidR="003754FE" w:rsidRDefault="003754FE" w:rsidP="003754FE">
      <w:pPr>
        <w:pStyle w:val="TextoNormal"/>
      </w:pPr>
      <w:r>
        <w:t>Alega también vulneración del derecho a la tutela judicial, a un proceso con todas las garantías, a la legalidad penal, así como a la doble instancia penal sobre la base de que el art. 6.2 b) LOREG tiene “naturaleza penal”. Y que esta naturaleza penal excluye cualquier interpretación extensiva a supuestos no previstos legalmente. Lo contrario considera que vulnera el Derecho de la Unión Europea en lo relativo al respeto del derecho a la presunción de inocencia que reconoce el artículo 48.1 CDFUE.</w:t>
      </w:r>
    </w:p>
    <w:p w14:paraId="07E28879" w14:textId="77777777" w:rsidR="003754FE" w:rsidRDefault="003754FE" w:rsidP="003754FE">
      <w:pPr>
        <w:pStyle w:val="TextoNormal"/>
      </w:pPr>
    </w:p>
    <w:p w14:paraId="3371BF2D" w14:textId="77777777" w:rsidR="003754FE" w:rsidRDefault="003754FE" w:rsidP="003754FE">
      <w:pPr>
        <w:pStyle w:val="TextoNormal"/>
      </w:pPr>
      <w:r>
        <w:t>Añade que si el acuerdo de 3 de enero de 2020 de la Junta Electoral Central fuera el resultado querido por el art. 6.2 b) LOREG, en relación con su art. 6.4, entonces dichos preceptos resultarían absolutamente incompatibles tanto con el Derecho de la Unión Europea como con la Constitución, lo que a su vez obligaría al planteamiento de la correspondiente cuestión prejudicial ante el Tribunal de Justicia de la Unión Europea, conforme al artículo 267, párrafo tercero TFUE, así como, en su caso, de la cuestión de inconstitucionalidad ante el Tribunal Constitucional.</w:t>
      </w:r>
    </w:p>
    <w:p w14:paraId="37EC1F6E" w14:textId="77777777" w:rsidR="003754FE" w:rsidRDefault="003754FE" w:rsidP="003754FE">
      <w:pPr>
        <w:pStyle w:val="TextoNormal"/>
      </w:pPr>
    </w:p>
    <w:p w14:paraId="4886A9EA" w14:textId="77777777" w:rsidR="003754FE" w:rsidRDefault="003754FE" w:rsidP="003754FE">
      <w:pPr>
        <w:pStyle w:val="TextoNormal"/>
      </w:pPr>
      <w:r>
        <w:lastRenderedPageBreak/>
        <w:t>El acuerdo de la Junta Electoral Central de 3 de enero de 2020 vulnera también el derecho a la tutela judicial efectiva, a un proceso con todas las garantías y al juez ordinario predeterminado por la ley, en la medida que usurpa la competencia de los tribunales para la ejecución de las resoluciones judiciales que establece el art. 117.3 CE, en relación con su art. 118, que cabe recordar que únicamente establece la obligación de cumplimiento “de las sentencias y demás resoluciones judiciales firmes”. Y ello también en aplicación del artículo 24 RPC, que reconoce exclusivamente a los tribunales, únicamente por sentencia firme, la potestad de privar a un diputado de su condición.</w:t>
      </w:r>
    </w:p>
    <w:p w14:paraId="0CAB7FAE" w14:textId="77777777" w:rsidR="003754FE" w:rsidRDefault="003754FE" w:rsidP="003754FE">
      <w:pPr>
        <w:pStyle w:val="TextoNormal"/>
      </w:pPr>
    </w:p>
    <w:p w14:paraId="4218BA32" w14:textId="77777777" w:rsidR="003754FE" w:rsidRDefault="003754FE" w:rsidP="003754FE">
      <w:pPr>
        <w:pStyle w:val="TextoNormal"/>
      </w:pPr>
      <w:r>
        <w:t>Es evidente que la ejecución provisional de una sentencia penal no firme (de ser posible) implicaría, igualmente, una vulneración palmaria del derecho a la doble instancia penal. La pretensión de la Junta Electoral Central, mediante su acuerdo de 3 de enero de 2020, de ampliar por la vía de los hechos, anticipadamente, la pena de inhabilitación prevista en el artículo 410.1 CP, así como de aplicarla sin existir una sentencia firme condenatoria, es también incompatible con el principio de legalidad penal.</w:t>
      </w:r>
    </w:p>
    <w:p w14:paraId="61938D2C" w14:textId="77777777" w:rsidR="003754FE" w:rsidRDefault="003754FE" w:rsidP="003754FE">
      <w:pPr>
        <w:pStyle w:val="TextoNormal"/>
      </w:pPr>
    </w:p>
    <w:p w14:paraId="43EBA5C7" w14:textId="77777777" w:rsidR="003754FE" w:rsidRDefault="003754FE" w:rsidP="003754FE">
      <w:pPr>
        <w:pStyle w:val="TextoNormal"/>
      </w:pPr>
      <w:r>
        <w:t xml:space="preserve">Menciona también el recurrente que el acuerdo de la Junta Electoral Central vulnera el principio de </w:t>
      </w:r>
      <w:r w:rsidRPr="003754FE">
        <w:rPr>
          <w:i/>
        </w:rPr>
        <w:t>non bis in idem</w:t>
      </w:r>
      <w:r>
        <w:t xml:space="preserve"> por su naturaleza de sanción anticipada que supone que esta parte se ve obligada a seguir dos procedimientos paralelos, en dos salas distintas del Tribunal Supremo, que traen causa de unos mismos hechos que, por sí mismos, ponen de manifiesto la absoluta desproporción de cuanto se pretende tanto en uno como en otro procedimiento: privar de todo cargo público al recurrente por el ejercicio legítimo de su derecho a la libertad de expresión.</w:t>
      </w:r>
    </w:p>
    <w:p w14:paraId="36B6759C" w14:textId="77777777" w:rsidR="003754FE" w:rsidRDefault="003754FE" w:rsidP="003754FE">
      <w:pPr>
        <w:pStyle w:val="TextoNormal"/>
      </w:pPr>
    </w:p>
    <w:p w14:paraId="4D519935" w14:textId="77777777" w:rsidR="003754FE" w:rsidRDefault="003754FE" w:rsidP="003754FE">
      <w:pPr>
        <w:pStyle w:val="TextoNormal"/>
      </w:pPr>
      <w:r>
        <w:t>h) Se queja de la vulneración del derecho a la defensa por la manifiesta insuficiencia de los plazos concedidos.</w:t>
      </w:r>
    </w:p>
    <w:p w14:paraId="24782B5B" w14:textId="77777777" w:rsidR="003754FE" w:rsidRDefault="003754FE" w:rsidP="003754FE">
      <w:pPr>
        <w:pStyle w:val="TextoNormal"/>
      </w:pPr>
    </w:p>
    <w:p w14:paraId="0D3844C6" w14:textId="77777777" w:rsidR="003754FE" w:rsidRDefault="003754FE" w:rsidP="003754FE">
      <w:pPr>
        <w:pStyle w:val="TextoNormal"/>
      </w:pPr>
      <w:r>
        <w:t>Considera que los plazos fueron insuficientes y que “resulta difícilmente imaginable un asunto en que resulte más procedente la ampliación de esos plazos que la pretensión de que se inhabilite, prescindiendo absolutamente del procedimiento establecido, a quien representa a los ciudadanos en un Parlamento democrático”.</w:t>
      </w:r>
    </w:p>
    <w:p w14:paraId="6A7254A9" w14:textId="77777777" w:rsidR="003754FE" w:rsidRDefault="003754FE" w:rsidP="003754FE">
      <w:pPr>
        <w:pStyle w:val="TextoNormal"/>
      </w:pPr>
    </w:p>
    <w:p w14:paraId="442D9CE4" w14:textId="77777777" w:rsidR="003754FE" w:rsidRDefault="003754FE" w:rsidP="003754FE">
      <w:pPr>
        <w:pStyle w:val="TextoNormal"/>
      </w:pPr>
      <w:r>
        <w:t>i) Aduce motivos de nulidad en que incurren los acuerdos de la Junta Electoral Central en relación con la falta de imparcialidad de este órgano, vinculados a la vulneración del derecho al ejercicio en condiciones de igualdad del cargo de diputado al Parlamento de Cataluña.</w:t>
      </w:r>
    </w:p>
    <w:p w14:paraId="103865FE" w14:textId="77777777" w:rsidR="003754FE" w:rsidRDefault="003754FE" w:rsidP="003754FE">
      <w:pPr>
        <w:pStyle w:val="TextoNormal"/>
      </w:pPr>
    </w:p>
    <w:p w14:paraId="24D3DA89" w14:textId="77777777" w:rsidR="003754FE" w:rsidRDefault="003754FE" w:rsidP="003754FE">
      <w:pPr>
        <w:pStyle w:val="TextoNormal"/>
      </w:pPr>
      <w:r>
        <w:t xml:space="preserve">La evidente parcialidad de cuatro vocales de la Junta Electoral Central vulnera el derecho de sufragio pasivo del recurrente. El acuerdo de la Junta Electoral Central de 3 de enero de 2020 debe ser declarado nulo de pleno Derecho al haber sido adoptado por un órgano que, en su composición, carecía manifiestamente de la imprescindible imparcialidad para resolver. La Junta Electoral Central aprobó su acuerdo de 3 de enero de 2020 por una exigua mayoría, de siete votos contra seis, que no habría existido de haberse respetado, por cuatro vocales de dicha Junta Electoral Central, su obligación de abstenerse de tomar parte en la decisión de los recursos interpuestos, imprescindible para garantizar la necesaria imparcialidad de los integrantes de la Junta Electoral Central. El motivo por el que deberían haberse abstenido los vocales don Antonio Jesús Fonseca-Herrero Raimundo, don Carlos Vidal Prado y doña Inés Olaizola Nogales, sería porque habían formado parte de la Junta Electoral </w:t>
      </w:r>
      <w:r>
        <w:lastRenderedPageBreak/>
        <w:t>Central que dio origen al traslado del testimonio al Ministerio Fiscal, efectuado mediante acuerdo de la Junta Electoral Central de 21 de marzo de 2019, que provocó las actuaciones penales contra el recurrente y desembocaron en la sentencia del Tribunal Superior de Justicia de Cataluña de 19 de diciembre de 2019. Igualmente, participaron en la adopción de los acuerdos de la Junta Electoral Central de 11 y 18 de marzo de 2019, que dieron lugar a la posterior denuncia.</w:t>
      </w:r>
    </w:p>
    <w:p w14:paraId="62B63C0F" w14:textId="77777777" w:rsidR="003754FE" w:rsidRDefault="003754FE" w:rsidP="003754FE">
      <w:pPr>
        <w:pStyle w:val="TextoNormal"/>
      </w:pPr>
    </w:p>
    <w:p w14:paraId="01B2FFAC" w14:textId="77777777" w:rsidR="003754FE" w:rsidRDefault="003754FE" w:rsidP="003754FE">
      <w:pPr>
        <w:pStyle w:val="TextoNormal"/>
      </w:pPr>
      <w:r>
        <w:t>En cuanto a la vocal doña Ana María Ferrer García, explica que, “[a] diferencia de lo sucedido en relación con la Excma. Sra. Teso Gamella, el Excma. Sr. Fonseca-Herrero Raimundo, el Sr. Vidal Prado y la Sra. Olaizola Nogales, la Sra. Ferrer García no participó en las decisiones de referencia en que sí participaron aquellos. Ahora bien, lo decisivo para entender por qué debía abstenerse la Excma. Sra. Ferrer García, es la razón por la que no participó en aquellas decisiones. Y es que la Excma. Sra. Ferrer García no dejó de participar en aquellas decisiones porque aquellos días padeciera un repentino resfriado. No participó en ellas porque, acertadamente, entendió que pesaba sobre ella la obligación de abstenerse”.</w:t>
      </w:r>
    </w:p>
    <w:p w14:paraId="6C5BEA9D" w14:textId="77777777" w:rsidR="003754FE" w:rsidRDefault="003754FE" w:rsidP="003754FE">
      <w:pPr>
        <w:pStyle w:val="TextoNormal"/>
      </w:pPr>
    </w:p>
    <w:p w14:paraId="2A82346A" w14:textId="77777777" w:rsidR="003754FE" w:rsidRDefault="003754FE" w:rsidP="003754FE">
      <w:pPr>
        <w:pStyle w:val="TextoNormal"/>
      </w:pPr>
      <w:r>
        <w:t>Por último, considera que determinadas declaraciones públicas de don Carlos Vidal Prado deberían haber llevado a su no participación en el acuerdo impugnado. Adjunta documento titulado “¿Se enfrenta España a un movimiento prefascista?” referido en particular a la elección del molt honorable don Joaquim Torra i Pla como presidente de la Generalitat y suscrito por el señor Vidal Prado, que pone de manifiesto, a juicio del recurrente, que no concurre en él la imprescindible imparcialidad tanto subjetiva como objetiva, necesaria para conocer sobre este recurso. A esto cabría añadir que el día 26 de marzo de 2018, el señor Vidal Prado publicó en la red social Twitter un mensaje en el que manifestaba su interés en que el molt honorable don Carles Puigdemont i Casamajó, miembro de la misma candidatura que el molt honorable don Joaquim Torra i Pla en las pasadas elecciones al Parlamento de Cataluña, fuera encarcelado.</w:t>
      </w:r>
    </w:p>
    <w:p w14:paraId="0159D2D1" w14:textId="77777777" w:rsidR="003754FE" w:rsidRDefault="003754FE" w:rsidP="003754FE">
      <w:pPr>
        <w:pStyle w:val="TextoNormal"/>
      </w:pPr>
    </w:p>
    <w:p w14:paraId="20F59AD6" w14:textId="77777777" w:rsidR="003754FE" w:rsidRDefault="003754FE" w:rsidP="003754FE">
      <w:pPr>
        <w:pStyle w:val="TextoNormal"/>
      </w:pPr>
      <w:r>
        <w:t>j) Vulneración autónoma de la sentencia del Tribunal Supremo del derecho a una resolución judicial fundada en Derecho (art. 24 CE) en relación con las siguientes cuestiones.</w:t>
      </w:r>
    </w:p>
    <w:p w14:paraId="3C6EAADD" w14:textId="77777777" w:rsidR="003754FE" w:rsidRDefault="003754FE" w:rsidP="003754FE">
      <w:pPr>
        <w:pStyle w:val="TextoNormal"/>
      </w:pPr>
    </w:p>
    <w:p w14:paraId="56C31C14" w14:textId="5FA9AD1E" w:rsidR="003754FE" w:rsidRDefault="003754FE" w:rsidP="003754FE">
      <w:pPr>
        <w:pStyle w:val="TextoNormal"/>
      </w:pPr>
      <w:r>
        <w:t>La sentencia fundamenta la supuesta competencia de la Junta Electoral Central en un precepto (art. 21 LOREG) que solo resulta aplicable “fuera de los casos en que esta ley prevea un procedimiento específico de revisión judicial”. Sin embargo, sostiene el recurrente que sí existe tal procedimiento específico para el acuerdo de la Junta Electoral Provincial de Barcelona de 24 de diciembre de 2019, anulado por el acuerdo de la Junta Electoral Central de 3 de enero de 2020. Reitera que la disposición transitoria cuarta de la Ley Orgánica 4/1979, de 18 de diciembre, del Estatuto de Autonomía de Cataluña, que mantiene vigente la Ley Orgánica 6/2006, que aprobó el nuevo estatuto de autonomía, dispone expresamente que los acuerdos de la Junta Electoral Provincial corresponden al Tribunal Superior de Justicia de Cataluña.</w:t>
      </w:r>
    </w:p>
    <w:p w14:paraId="7A3B1184" w14:textId="77777777" w:rsidR="003754FE" w:rsidRDefault="003754FE" w:rsidP="003754FE">
      <w:pPr>
        <w:pStyle w:val="TextoNormal"/>
      </w:pPr>
    </w:p>
    <w:p w14:paraId="1414EE40" w14:textId="2C36B5C9" w:rsidR="003754FE" w:rsidRDefault="003754FE" w:rsidP="003754FE">
      <w:pPr>
        <w:pStyle w:val="TextoNormal"/>
      </w:pPr>
      <w:r w:rsidRPr="003754FE">
        <w:rPr>
          <w:rStyle w:val="NumeroAFNegritaCaracter"/>
        </w:rPr>
        <w:t>4</w:t>
      </w:r>
      <w:r>
        <w:t xml:space="preserve">. La Sección Tercera del Tribunal, mediante providencia de 14 de noviembre de 2022, acordó admitir a trámite la demanda, apreciando que concurrían dos motivos de especial trascendencia constitucional, ya que se plantea un problema o afecta a una faceta de un derecho fundamental sobre el que no hay doctrina de este tribunal y, además, el asunto trasciende del caso concreto porque pudiera tener consecuencias políticas generales [STC 155/2009, de 25 de junio, FJ 2 a) y g)]. Asimismo, se acordó, en aplicación de lo dispuesto </w:t>
      </w:r>
      <w:r>
        <w:lastRenderedPageBreak/>
        <w:t>en el art. 51 de la Ley Orgánica del Tribunal Constitucional (LOTC), dirigir atenta comunicación a la Sección Cuarta de la Sala de lo Contencioso-Administrativo del Tribunal Supremo a fin de que, en plazo que no excediera de diez días, remitiera testimonio de las actuaciones correspondientes al recurso ordinario núm. 8-2020; debiendo previamente emplazarse, para que en el plazo de diez días puedan comparecer, si lo desean, en el recurso de amparo a quienes hubieran sido parte en el procedimiento, excepto la parte recurrente en amparo.</w:t>
      </w:r>
    </w:p>
    <w:p w14:paraId="7C0BBE3F" w14:textId="77777777" w:rsidR="003754FE" w:rsidRDefault="003754FE" w:rsidP="003754FE">
      <w:pPr>
        <w:pStyle w:val="TextoNormal"/>
      </w:pPr>
    </w:p>
    <w:p w14:paraId="19E5DA3F" w14:textId="751EC4D5" w:rsidR="003754FE" w:rsidRDefault="003754FE" w:rsidP="003754FE">
      <w:pPr>
        <w:pStyle w:val="TextoNormal"/>
      </w:pPr>
      <w:r w:rsidRPr="003754FE">
        <w:rPr>
          <w:rStyle w:val="NumeroAFNegritaCaracter"/>
        </w:rPr>
        <w:t>5</w:t>
      </w:r>
      <w:r>
        <w:t>. Mediante diligencia de ordenación de 15 de diciembre de 2022, se tuvo por personados y parte en el procedimiento a las procuradoras de los tribunales doña María Ángeles Oliva Yanes en nombre y representación del partido político Ciudadanos-Partido de la Ciudadanía y a doña María del Pilar Hidalgo López en nombre y representación del partido político Vox, así como al letrado de las Cortes Generales y de la Junta Electoral Central, en nombre de dicha junta electoral, acordándose entender con ellos esta y las sucesivas actuaciones. Asimismo, se acordó dar vista de las actuaciones recibidas a las partes personadas y al Ministerio Fiscal por plazo común de veinte días, para que presentaran las alegaciones que estimaran pertinentes, conforme determina el art. 52.1 LOTC.</w:t>
      </w:r>
    </w:p>
    <w:p w14:paraId="0D24099A" w14:textId="77777777" w:rsidR="003754FE" w:rsidRDefault="003754FE" w:rsidP="003754FE">
      <w:pPr>
        <w:pStyle w:val="TextoNormal"/>
      </w:pPr>
    </w:p>
    <w:p w14:paraId="68F28447" w14:textId="5DBCFE26" w:rsidR="003754FE" w:rsidRDefault="003754FE" w:rsidP="003754FE">
      <w:pPr>
        <w:pStyle w:val="TextoNormal"/>
      </w:pPr>
      <w:r w:rsidRPr="003754FE">
        <w:rPr>
          <w:rStyle w:val="NumeroAFNegritaCaracter"/>
        </w:rPr>
        <w:t>6</w:t>
      </w:r>
      <w:r>
        <w:t>. Por diligencia de ordenación de 6 de febrero de 2023, se tuvo por personado al procurador de los tribunales don Manuel Sánchez-Puelles y González-Carvajal en nombre y representación del Partido Popular. Asimismo, en virtud del art. 52 LOTC se acordó dar vista a dicha parte de las actuaciones recibidas para que en el plazo de veinte días pudiera alegar lo que a su derecho conviniera.</w:t>
      </w:r>
    </w:p>
    <w:p w14:paraId="5966DF52" w14:textId="77777777" w:rsidR="003754FE" w:rsidRDefault="003754FE" w:rsidP="003754FE">
      <w:pPr>
        <w:pStyle w:val="TextoNormal"/>
      </w:pPr>
    </w:p>
    <w:p w14:paraId="5004FE50" w14:textId="77777777" w:rsidR="003754FE" w:rsidRDefault="003754FE" w:rsidP="003754FE">
      <w:pPr>
        <w:pStyle w:val="TextoNormal"/>
      </w:pPr>
      <w:r w:rsidRPr="003754FE">
        <w:rPr>
          <w:rStyle w:val="NumeroAFNegritaCaracter"/>
        </w:rPr>
        <w:t>7</w:t>
      </w:r>
      <w:r>
        <w:t>. El letrado de las Cortes Generales, en representación de la Junta Electoral Central, efectuó sus alegaciones en escrito de 27 de enero de 2023, solicitando la desestimación del recurso planteado.</w:t>
      </w:r>
    </w:p>
    <w:p w14:paraId="275987E1" w14:textId="77777777" w:rsidR="003754FE" w:rsidRDefault="003754FE" w:rsidP="003754FE">
      <w:pPr>
        <w:pStyle w:val="TextoNormal"/>
      </w:pPr>
    </w:p>
    <w:p w14:paraId="2C6DA9A9" w14:textId="77777777" w:rsidR="003754FE" w:rsidRDefault="003754FE" w:rsidP="003754FE">
      <w:pPr>
        <w:pStyle w:val="TextoNormal"/>
      </w:pPr>
      <w:r>
        <w:t>El letrado de las Cortes Generales defiende la competencia de la Junta Electoral Central para dictar el acuerdo impugnado. Recuerda que la decisión de la Junta Electoral Central se adoptó sobre la base de la competencia de las juntas electorales para expedir credenciales de los representantes electos en caso de vacante por fallecimiento, incapacidad o renuncia (art. 19.1.l LOREG). Considera que dicho precepto no confiere explícitamente a la administración electoral la facultad de declarar la inelegibilidad sobrevenida concluido el proceso electoral, pero cabe considerarla como inherente o necesaria a la de expedir las credenciales. Cita el letrado de las Cortes Generales precedentes de acuerdos de la Junta Electoral Central en este sentido. La circunstancia nueva en el presente asunto es que se planteó directamente ante la administración electoral, ante la inactividad de la Cámara afectada, lo que llevó a que las juntas electorales competentes tuvieran que resolver el asunto.</w:t>
      </w:r>
    </w:p>
    <w:p w14:paraId="119AB84F" w14:textId="77777777" w:rsidR="003754FE" w:rsidRDefault="003754FE" w:rsidP="003754FE">
      <w:pPr>
        <w:pStyle w:val="TextoNormal"/>
      </w:pPr>
    </w:p>
    <w:p w14:paraId="63B67EBA" w14:textId="77777777" w:rsidR="003754FE" w:rsidRDefault="003754FE" w:rsidP="003754FE">
      <w:pPr>
        <w:pStyle w:val="TextoNormal"/>
      </w:pPr>
      <w:r>
        <w:t xml:space="preserve">Se opone a la afirmación del recurrente según la cual las competencias de las juntas electorales concluyen con el proceso electoral. Explica el letrado de la Cortes Generales que hay atribuciones que se mantienen durante todo el mandato de los electos, en particular la ya citada del art. 19.l.l LOREG, a efectos de proceder a las sustituciones que puedan producirse en los supuestos legales establecidos. En segundo lugar, subraya la peculiar naturaleza de estas inelegibilidades derivadas de resoluciones judiciales que se extienden más allá del proceso electoral. Las causas de inelegibilidad del apartado segundo del art. 6 LOREG se </w:t>
      </w:r>
      <w:r>
        <w:lastRenderedPageBreak/>
        <w:t>refieren a resoluciones judiciales adoptadas por la jurisdicción penal, que se imponen frente a la voluntad del candidato y que le impiden ser considerado como tal. No se trata de renuncia alguna, sino que lo que se produce es un supuesto de incapacidad electoral absoluta.</w:t>
      </w:r>
    </w:p>
    <w:p w14:paraId="0F58A688" w14:textId="77777777" w:rsidR="003754FE" w:rsidRDefault="003754FE" w:rsidP="003754FE">
      <w:pPr>
        <w:pStyle w:val="TextoNormal"/>
      </w:pPr>
    </w:p>
    <w:p w14:paraId="52802CC8" w14:textId="77777777" w:rsidR="003754FE" w:rsidRDefault="003754FE" w:rsidP="003754FE">
      <w:pPr>
        <w:pStyle w:val="TextoNormal"/>
      </w:pPr>
      <w:r>
        <w:t xml:space="preserve">Sucede, por otra parte, que el apartado cuarto del mismo art. 6 convierte las causas de inelegibilidad de los tres apartados anteriores (tanto las inelegibilidades ordinarias como los supuestos de incapacidad absoluta) en causas de incompatibilidad, al señalar que “[l]as causas de inelegibilidad lo son también de incompatibilidad”. No se trata aquí de una causa de incompatibilidad ordinaria, se trata de que, en los supuestos del apartado segundo del art. 6, la sentencia judicial penal produce el efecto </w:t>
      </w:r>
      <w:r w:rsidRPr="003754FE">
        <w:rPr>
          <w:i/>
        </w:rPr>
        <w:t>ope legis</w:t>
      </w:r>
      <w:r>
        <w:t xml:space="preserve"> de la privación del cargo representativo. De todo ello se infiere que, aunque la Ley Orgánica del régimen electoral general hable de inelegibilidad e incompatibilidad, en los supuestos del apartado segundo del art. 6 se produce un supuesto de incapacidad absoluta para adquirir el cargo electo, o de cese en el mismo si ya hubiese accedido al escaño. Esta naturaleza de incapacidad electoral absoluta es lo que justifica la intervención de las juntas electorales, a diferencia de lo que sucede en las incompatibilidades parlamentarias, en las que es la Cámara legislativa correspondiente la que debe declararlas.</w:t>
      </w:r>
    </w:p>
    <w:p w14:paraId="0E9FBF55" w14:textId="77777777" w:rsidR="003754FE" w:rsidRDefault="003754FE" w:rsidP="003754FE">
      <w:pPr>
        <w:pStyle w:val="TextoNormal"/>
      </w:pPr>
    </w:p>
    <w:p w14:paraId="0FE5128F" w14:textId="77777777" w:rsidR="003754FE" w:rsidRDefault="003754FE" w:rsidP="003754FE">
      <w:pPr>
        <w:pStyle w:val="TextoNormal"/>
      </w:pPr>
      <w:r>
        <w:t xml:space="preserve">Lo que hizo la Junta Electoral Central en la resolución impugnada no es, como sostiene la parte recurrente, inhabilitarle, sino constatar, declarándolo así, la consecuencia automática de la pena impuesta mediante la resolución judicial adoptada por el Tribunal Superior de Justicia de Cataluña. Fue dicha resolución judicial la que creó esa inelegibilidad y luego incompatibilidad sobrevenida, que fue después declarada por la Junta Electoral Central. Ello explica también que estas causas puedan no aparecer en los reglamentos parlamentarios —como sucede con el Reglamento del Parlamento de Cataluña—, sin que de ello pueda colegirse que no resulta aplicable a los miembros de esa Cámara. Su aplicación es indubitada puesto que es la Ley Orgánica del régimen electoral general —materia con reserva reforzada de ley orgánica </w:t>
      </w:r>
      <w:r w:rsidRPr="003754FE">
        <w:rPr>
          <w:i/>
        </w:rPr>
        <w:t>ex</w:t>
      </w:r>
      <w:r>
        <w:t xml:space="preserve"> art. 81.l CE como ha declarado el Tribunal Constitucional desde las SSTC 38/1983, de 16 de mayo, y 72/1984— la que lo establece y esta previsión es aplicable a las elecciones autonómicas, en virtud de lo dispuesto en su disposición adicional primera de la citada Ley Orgánica del régimen electoral general.</w:t>
      </w:r>
    </w:p>
    <w:p w14:paraId="1062D131" w14:textId="77777777" w:rsidR="003754FE" w:rsidRDefault="003754FE" w:rsidP="003754FE">
      <w:pPr>
        <w:pStyle w:val="TextoNormal"/>
      </w:pPr>
    </w:p>
    <w:p w14:paraId="10B24EAB" w14:textId="77777777" w:rsidR="003754FE" w:rsidRDefault="003754FE" w:rsidP="003754FE">
      <w:pPr>
        <w:pStyle w:val="TextoNormal"/>
      </w:pPr>
      <w:r>
        <w:t xml:space="preserve">Esta interpretación permite salvar además la contradicción que puede representar la exigencia de que esta competencia corresponda en exclusiva a las cámaras parlamentarias y a la vez defender que dicha Cámara no puede declarar una incompatibilidad no prevista en el estatuto de autonomía, en la legislación autonómica de desarrollo o en el reglamento parlamentario. Esto es lo que sucedió en el presente caso. La inelegibilidad se produce </w:t>
      </w:r>
      <w:r w:rsidRPr="003754FE">
        <w:rPr>
          <w:i/>
        </w:rPr>
        <w:t>ex lege</w:t>
      </w:r>
      <w:r>
        <w:t xml:space="preserve"> y como consecuencia de una resolución judicial y su declaración puede ser realizada tanto por la Cámara o Corporación como por la administración electoral competente, correspondiendo a esta última su ejecución, expidiendo la credencial a su sustituto.</w:t>
      </w:r>
    </w:p>
    <w:p w14:paraId="1AC8FAD1" w14:textId="77777777" w:rsidR="003754FE" w:rsidRDefault="003754FE" w:rsidP="003754FE">
      <w:pPr>
        <w:pStyle w:val="TextoNormal"/>
      </w:pPr>
    </w:p>
    <w:p w14:paraId="7C2C67D1" w14:textId="77777777" w:rsidR="003754FE" w:rsidRDefault="003754FE" w:rsidP="003754FE">
      <w:pPr>
        <w:pStyle w:val="TextoNormal"/>
      </w:pPr>
      <w:r>
        <w:t>Por otra parte, no hay ningún precepto en la LOREG que establezca la restricción de las competencias de las juntas electorales provinciales cuando se constituyen para un proceso determinado. En este sentido, en el proceso contencioso administrativo previo, se recordaron diversos precedentes que confirman este criterio.</w:t>
      </w:r>
    </w:p>
    <w:p w14:paraId="2CCC9D7F" w14:textId="77777777" w:rsidR="003754FE" w:rsidRDefault="003754FE" w:rsidP="003754FE">
      <w:pPr>
        <w:pStyle w:val="TextoNormal"/>
      </w:pPr>
    </w:p>
    <w:p w14:paraId="0DE2405E" w14:textId="77777777" w:rsidR="003754FE" w:rsidRDefault="003754FE" w:rsidP="003754FE">
      <w:pPr>
        <w:pStyle w:val="TextoNormal"/>
      </w:pPr>
      <w:r>
        <w:t xml:space="preserve">Tampoco puede acogerse la supuesta falta de competencia funcional de la Junta Electoral Central, puesto que el art. 21 LOREG permite recurrir cualquier decisión de una junta </w:t>
      </w:r>
      <w:r>
        <w:lastRenderedPageBreak/>
        <w:t>electoral inferior, a no ser que exista un procedimiento específico de revisión, lo que no sucede en el presente caso ya que estos procedimientos se ciñen a las reclamaciones en materia censal (art. 40 LOREG), a los acuerdos sobre proclamación de candidaturas (art. 49 LOREG) y al recurso contencioso electoral (art. 109 y ss. LOREG).</w:t>
      </w:r>
    </w:p>
    <w:p w14:paraId="1C833D58" w14:textId="77777777" w:rsidR="003754FE" w:rsidRDefault="003754FE" w:rsidP="003754FE">
      <w:pPr>
        <w:pStyle w:val="TextoNormal"/>
      </w:pPr>
    </w:p>
    <w:p w14:paraId="0AD5EF9C" w14:textId="77777777" w:rsidR="003754FE" w:rsidRDefault="003754FE" w:rsidP="003754FE">
      <w:pPr>
        <w:pStyle w:val="TextoNormal"/>
      </w:pPr>
      <w:r>
        <w:t xml:space="preserve">En suma, el criterio de que la administración electoral tiene competencia para declarar la inelegibilidad y posterior incompatibilidad de un cargo electo por incurrir en el supuesto previsto en el art. 6.2 b) LOREG, de no hacerlo la cámara o corporación a la que pertenezca, no resulta contrario a nuestro ordenamiento constitucional, pues se limita a constatar el efecto que producen </w:t>
      </w:r>
      <w:r w:rsidRPr="003754FE">
        <w:rPr>
          <w:i/>
        </w:rPr>
        <w:t>ope legis</w:t>
      </w:r>
      <w:r>
        <w:t xml:space="preserve"> determinadas resoluciones judiciales penales.</w:t>
      </w:r>
    </w:p>
    <w:p w14:paraId="161B93C8" w14:textId="77777777" w:rsidR="003754FE" w:rsidRDefault="003754FE" w:rsidP="003754FE">
      <w:pPr>
        <w:pStyle w:val="TextoNormal"/>
      </w:pPr>
    </w:p>
    <w:p w14:paraId="1470B4B4" w14:textId="77777777" w:rsidR="003754FE" w:rsidRDefault="003754FE" w:rsidP="003754FE">
      <w:pPr>
        <w:pStyle w:val="TextoNormal"/>
      </w:pPr>
      <w:r>
        <w:t>En cuanto a la afirmación del recurrente de que no estaba incurso en ningún supuesto de incompatibilidad aplicable a los diputados del Parlamento de Cataluña por no estar prevista la causa de inelegibilidad que aplicó la Junta Electoral Central en la legislación autonómica o en el Reglamento del Parlamento de Cataluña, el letrado de la Cortes Generales entiende, como subrayó la resolución impugnada, que la causa de inelegibilidad prevista en el art. 6.2 b) LOREG resulta aplicable con independencia de que no esté prevista explícitamente en la legislación autonómica o en el reglamento parlamentario de la Cámara correspondiente.</w:t>
      </w:r>
    </w:p>
    <w:p w14:paraId="68B4CF80" w14:textId="77777777" w:rsidR="003754FE" w:rsidRDefault="003754FE" w:rsidP="003754FE">
      <w:pPr>
        <w:pStyle w:val="TextoNormal"/>
      </w:pPr>
    </w:p>
    <w:p w14:paraId="01D5EC0C" w14:textId="77777777" w:rsidR="003754FE" w:rsidRDefault="003754FE" w:rsidP="003754FE">
      <w:pPr>
        <w:pStyle w:val="TextoNormal"/>
      </w:pPr>
      <w:r>
        <w:t>La parte demandante concluye sosteniendo que con la interpretación que la Junta Electoral Central dio al art. 6.2 b) LOREG y su aplicación a su representado, se vulneraron diferentes derechos fundamentales. En cuanto al derecho de participación política reconocido en el artículo 23 CE, el letrado de las Cortes Generales señala que la STS 438/2019, de la Sala de lo Contencioso-Administrativo del Tribunal Supremo, ya declaró doctrina de la Sala que la previsión del art. 6.2 LOREG no vulnera el derecho de participación política consagrado en el artículo 23 CE.</w:t>
      </w:r>
    </w:p>
    <w:p w14:paraId="083E6C49" w14:textId="77777777" w:rsidR="003754FE" w:rsidRDefault="003754FE" w:rsidP="003754FE">
      <w:pPr>
        <w:pStyle w:val="TextoNormal"/>
      </w:pPr>
    </w:p>
    <w:p w14:paraId="76F83D0A" w14:textId="77777777" w:rsidR="003754FE" w:rsidRDefault="003754FE" w:rsidP="003754FE">
      <w:pPr>
        <w:pStyle w:val="TextoNormal"/>
      </w:pPr>
      <w:r>
        <w:t>En cuanto a la afirmación del recurrente de que “no ha cometido delito alguno” y que por ello se ha vulnerado el derecho a la presunción de inocencia, el letrado considera que esta afirmación, además de no ser cierta, nada tiene que ver con lo aquí planteado puesto que la administración electoral no ha hecho calificación penal alguna, sino que se ha limitado a extraer la consecuencia legal de la condena penal establecida por el Tribunal Superior de Justicia de Cataluña.</w:t>
      </w:r>
    </w:p>
    <w:p w14:paraId="44FD055B" w14:textId="77777777" w:rsidR="003754FE" w:rsidRDefault="003754FE" w:rsidP="003754FE">
      <w:pPr>
        <w:pStyle w:val="TextoNormal"/>
      </w:pPr>
    </w:p>
    <w:p w14:paraId="3E9A4DD0" w14:textId="77777777" w:rsidR="003754FE" w:rsidRDefault="003754FE" w:rsidP="003754FE">
      <w:pPr>
        <w:pStyle w:val="TextoNormal"/>
      </w:pPr>
      <w:r>
        <w:t>Por otra parte, la Junta Electoral Central no ha podido vulnerar el derecho a la doble instancia penal, puesto que estamos ante un proceso contencioso administrativo; ni tampoco la Junta Electoral Central ha usurpado las competencias de los órganos de la jurisdicción penal, sino que se ha limitado a aplicar lo dispuesto en la legislación electoral.</w:t>
      </w:r>
    </w:p>
    <w:p w14:paraId="07A9892A" w14:textId="77777777" w:rsidR="003754FE" w:rsidRDefault="003754FE" w:rsidP="003754FE">
      <w:pPr>
        <w:pStyle w:val="TextoNormal"/>
      </w:pPr>
    </w:p>
    <w:p w14:paraId="2253EFDC" w14:textId="77777777" w:rsidR="003754FE" w:rsidRDefault="003754FE" w:rsidP="003754FE">
      <w:pPr>
        <w:pStyle w:val="TextoNormal"/>
      </w:pPr>
      <w:r>
        <w:t>Tampoco puede acogerse la supuesta vulneración del derecho a la defensa por los plazos perentorios previstos en el art. 21 LOREG, en la medida en que se trata de un plazo legal establecido con carácter general aplicable a todos los supuestos. En todo caso, el recurrente ha dispuesto de un plazo mucho mayor para ejercer esa defensa en el proceso contencioso administrativo posterior, como subrayó la sentencia 1061/2021, que puso fin al mismo.</w:t>
      </w:r>
    </w:p>
    <w:p w14:paraId="00BF0617" w14:textId="77777777" w:rsidR="003754FE" w:rsidRDefault="003754FE" w:rsidP="003754FE">
      <w:pPr>
        <w:pStyle w:val="TextoNormal"/>
      </w:pPr>
    </w:p>
    <w:p w14:paraId="713A8485" w14:textId="77777777" w:rsidR="003754FE" w:rsidRDefault="003754FE" w:rsidP="003754FE">
      <w:pPr>
        <w:pStyle w:val="TextoNormal"/>
      </w:pPr>
      <w:r>
        <w:t xml:space="preserve">En un fundamento jurídico específico la parte actora considera que la Junta Electoral Central infringió su deber de imparcialidad por no haberse abstenido cuatro de sus vocales en la adopción del acuerdo de 3 de enero de 2020. El motivo es que esos cuatro vocales </w:t>
      </w:r>
      <w:r>
        <w:lastRenderedPageBreak/>
        <w:t>habían participado en las decisiones de la Junta Electoral Central cuya desobediencia por el recurrente dio lugar al proceso penal por el que le condenó el Tribunal Superior de Justicia de Cataluña.</w:t>
      </w:r>
    </w:p>
    <w:p w14:paraId="70CAEEE2" w14:textId="77777777" w:rsidR="003754FE" w:rsidRDefault="003754FE" w:rsidP="003754FE">
      <w:pPr>
        <w:pStyle w:val="TextoNormal"/>
      </w:pPr>
    </w:p>
    <w:p w14:paraId="423F320E" w14:textId="77777777" w:rsidR="003754FE" w:rsidRDefault="003754FE" w:rsidP="003754FE">
      <w:pPr>
        <w:pStyle w:val="TextoNormal"/>
      </w:pPr>
      <w:r>
        <w:t>Sobre ello el letrado de las Cortes Generales señala que la parte actora confunde el deber de abstención de un juez con el de los miembros de un órgano administrativo. Si bien es cierto que constituye causa de abstención de un juez el “haber participado en la instrucción de la causa penal o haber resuelto el pleito o causa en la anterior instancia” (art. 219.1.1 de la Ley Orgánica del Poder Judicial (LOPJ), este supuesto no es aplicable a los órganos administrativos, como se desprende de la lectura del art. 23.2 de la Ley 40/2015, de 1 de octubre, de régimen jurídico del sector público, precepto aplicable a la Junta Electoral Central conforme a lo dispuesto en el art. 120 LOREG.</w:t>
      </w:r>
    </w:p>
    <w:p w14:paraId="235CE764" w14:textId="77777777" w:rsidR="003754FE" w:rsidRDefault="003754FE" w:rsidP="003754FE">
      <w:pPr>
        <w:pStyle w:val="TextoNormal"/>
      </w:pPr>
    </w:p>
    <w:p w14:paraId="2AF81955" w14:textId="77777777" w:rsidR="003754FE" w:rsidRDefault="003754FE" w:rsidP="003754FE">
      <w:pPr>
        <w:pStyle w:val="TextoNormal"/>
      </w:pPr>
      <w:r>
        <w:t>Respecto de la recusación del presidente y del resto de vocales que en su día tomaron parte en los acuerdos cuya desobediencia constituyó el presupuesto de la condena impuesta por la sentencia del Tribunal Superior de Justicia de Cataluña, la Junta Electoral Central la inadmitió por su manifiesta ausencia de fundamento. El recurrente no ha hecho tampoco aquí ningún esfuerzo adicional que exija una respuesta distinta de la que dio la Junta Electoral Central en ese momento, por lo que procede reiterar lo indicado entonces.</w:t>
      </w:r>
    </w:p>
    <w:p w14:paraId="490D7C29" w14:textId="77777777" w:rsidR="003754FE" w:rsidRDefault="003754FE" w:rsidP="003754FE">
      <w:pPr>
        <w:pStyle w:val="TextoNormal"/>
      </w:pPr>
    </w:p>
    <w:p w14:paraId="1FB70C4C" w14:textId="77777777" w:rsidR="003754FE" w:rsidRDefault="003754FE" w:rsidP="003754FE">
      <w:pPr>
        <w:pStyle w:val="TextoNormal"/>
      </w:pPr>
      <w:r>
        <w:t>De manera más concreta se aduce que la vocal señora Ferrer García, debía haberse abstenido en la adopción del acuerdo de 3 de enero de 2020 por haber participado como integrante de la Sala de lo Penal del Tribunal Supremo en la causa penal núm. 20907-2017. Este alegato olvida que el señor Torra i Pla no fue procesado en esa causa, razón por la que no existía motivo alguno para que la señora Ferrer García se excusase de intervenir en este proceso.</w:t>
      </w:r>
    </w:p>
    <w:p w14:paraId="09F08991" w14:textId="77777777" w:rsidR="003754FE" w:rsidRDefault="003754FE" w:rsidP="003754FE">
      <w:pPr>
        <w:pStyle w:val="TextoNormal"/>
      </w:pPr>
    </w:p>
    <w:p w14:paraId="25906A46" w14:textId="77777777" w:rsidR="003754FE" w:rsidRDefault="003754FE" w:rsidP="003754FE">
      <w:pPr>
        <w:pStyle w:val="TextoNormal"/>
      </w:pPr>
      <w:r>
        <w:t>Respecto a la recusación hecha al vocal señor Vidal Prado, también fue desestimada por la Junta Electoral Central en el mismo acuerdo, “puesto que, de una parte, se hace referencia a un documento que no se adjunta, a pesar de afirmar lo contrario, ni se dan datos de identificación, ni se argumenta en qué medida el contenido de ese escrito puede suponer interés personal en el asunto o amistad o enemistad íntima con alguna de las personas mencionadas, que son las causas de abstención a las que se refiere en su escrito; y de otra parte porque se incluyen tres tuits dirigidos a otra persona, el señor Puigdemont i Casamajó, sin que se aporte argumentación alguna que permita apreciar enemistad manifiesta con el señor Torra i Pla que permita dudar de la apariencia de imparcialidad, subjetiva u objetiva, de su actuación como vocal de la Junta Electoral Central”.</w:t>
      </w:r>
    </w:p>
    <w:p w14:paraId="1946DE97" w14:textId="77777777" w:rsidR="003754FE" w:rsidRDefault="003754FE" w:rsidP="003754FE">
      <w:pPr>
        <w:pStyle w:val="TextoNormal"/>
      </w:pPr>
    </w:p>
    <w:p w14:paraId="21D3A8C1" w14:textId="77777777" w:rsidR="003754FE" w:rsidRDefault="003754FE" w:rsidP="003754FE">
      <w:pPr>
        <w:pStyle w:val="TextoNormal"/>
      </w:pPr>
      <w:r>
        <w:t>Finalmente, debe aclararse que los cuatro vocales a los que se hace referencia no fueron denunciantes del recurrente en el proceso penal que desembocó en la sentencia condenatoria, como se sostiene en la demanda, sino que, ante una actuación patente y reiterada de desobediencia, la Junta Electoral Central, además de abrir expediente sancionador al recurrente, dio cuenta al Ministerio Fiscal de los hechos por si pudieran ser constitutivos de delito, y fue esta institución la que entendió que procedía plantear la consiguiente acción procesal. La Junta Electoral Central ejerció una facultad que tiene todo órgano público, sin que ello pueda suponer impedimento alguno para poder adoptar decisiones posteriores relacionadas con el demandante. Ni ese supuesto está previsto en la Ley 40/2015, ni con ello se vulnera el principio de imparcialidad.</w:t>
      </w:r>
    </w:p>
    <w:p w14:paraId="539FA02B" w14:textId="77777777" w:rsidR="003754FE" w:rsidRDefault="003754FE" w:rsidP="003754FE">
      <w:pPr>
        <w:pStyle w:val="TextoNormal"/>
      </w:pPr>
    </w:p>
    <w:p w14:paraId="24925390" w14:textId="77777777" w:rsidR="003754FE" w:rsidRDefault="003754FE" w:rsidP="003754FE">
      <w:pPr>
        <w:pStyle w:val="TextoNormal"/>
      </w:pPr>
      <w:r>
        <w:t>La única vulneración autónoma distinta de las invocadas por la parte actora en relación con los acuerdos de la Junta Electoral Central es la hipotética lesión del derecho a una resolución judicial fundada en Derecho. La parquedad de estas afirmaciones y la ausencia de un razonamiento lógico en apoyo de lo afirmado, son fiel reflejo de su inconsistencia.</w:t>
      </w:r>
    </w:p>
    <w:p w14:paraId="39DCDB56" w14:textId="77777777" w:rsidR="003754FE" w:rsidRDefault="003754FE" w:rsidP="003754FE">
      <w:pPr>
        <w:pStyle w:val="TextoNormal"/>
      </w:pPr>
    </w:p>
    <w:p w14:paraId="362E05A6" w14:textId="281E2154" w:rsidR="003754FE" w:rsidRDefault="003754FE" w:rsidP="003754FE">
      <w:pPr>
        <w:pStyle w:val="TextoNormal"/>
      </w:pPr>
      <w:r>
        <w:t>Respecto a la presunción de inocencia, recuerda el letrado de la Cortes Generales que no estamos ni ante un procedimiento penal ni ante un procedimiento administrativo sancionador, sino ante la consecuencia extrapenal derivada de la condena penal por determinados delitos que dieron lugar a penas de inhabilitación especial para cargo público.</w:t>
      </w:r>
    </w:p>
    <w:p w14:paraId="1190AC33" w14:textId="77777777" w:rsidR="003754FE" w:rsidRDefault="003754FE" w:rsidP="003754FE">
      <w:pPr>
        <w:pStyle w:val="TextoNormal"/>
      </w:pPr>
    </w:p>
    <w:p w14:paraId="2CA7856C" w14:textId="77777777" w:rsidR="003754FE" w:rsidRDefault="003754FE" w:rsidP="003754FE">
      <w:pPr>
        <w:pStyle w:val="TextoNormal"/>
      </w:pPr>
      <w:r w:rsidRPr="003754FE">
        <w:rPr>
          <w:rStyle w:val="NumeroAFNegritaCaracter"/>
        </w:rPr>
        <w:t>8</w:t>
      </w:r>
      <w:r>
        <w:t>. El Ministerio Fiscal formuló sus alegaciones mediante escrito que tuvo entrada en el registro del Tribunal el 2 de febrero de 2023. Solicitaba la desestimación del recurso de amparo y su inadmisión parcial en relación con la queja dirigida contra la sentencia del Tribunal Supremo.</w:t>
      </w:r>
    </w:p>
    <w:p w14:paraId="392399AC" w14:textId="77777777" w:rsidR="003754FE" w:rsidRDefault="003754FE" w:rsidP="003754FE">
      <w:pPr>
        <w:pStyle w:val="TextoNormal"/>
      </w:pPr>
    </w:p>
    <w:p w14:paraId="375C7EA6" w14:textId="77777777" w:rsidR="003754FE" w:rsidRDefault="003754FE" w:rsidP="003754FE">
      <w:pPr>
        <w:pStyle w:val="TextoNormal"/>
      </w:pPr>
      <w:r>
        <w:t>En primer lugar, el fiscal entiende que, a pesar de que la condena del recurrente ya es firme al recaer sentencia desestimatoria de su recurso, el recurso no ha perdido su objeto. Pone en duda el carácter mixto del recurso de amparo, pero al haber sido interpuesto dentro del plazo de veinte días desde la notificación de la sentencia, ninguna consecuencia extrae de esa duda. Ahora bien, considera que las lesiones meramente formales que le imputa a la sentencia del Tribunal Supremo deben ser rechazadas por falta de agotamiento de la vía judicial previa al no haber planteado incidente de nulidad.</w:t>
      </w:r>
    </w:p>
    <w:p w14:paraId="51223E7B" w14:textId="77777777" w:rsidR="003754FE" w:rsidRDefault="003754FE" w:rsidP="003754FE">
      <w:pPr>
        <w:pStyle w:val="TextoNormal"/>
      </w:pPr>
    </w:p>
    <w:p w14:paraId="6A35C2B4" w14:textId="77777777" w:rsidR="003754FE" w:rsidRDefault="003754FE" w:rsidP="003754FE">
      <w:pPr>
        <w:pStyle w:val="TextoNormal"/>
      </w:pPr>
      <w:r>
        <w:t>La primera vulneración de derechos fundamentales que concreta la demanda se refiere al derecho de participación política en condiciones de igualdad del art. 23 CE, en relación con los derechos reconocidos en los arts. 16, 20 y 21 CE.</w:t>
      </w:r>
    </w:p>
    <w:p w14:paraId="3587F403" w14:textId="77777777" w:rsidR="003754FE" w:rsidRDefault="003754FE" w:rsidP="003754FE">
      <w:pPr>
        <w:pStyle w:val="TextoNormal"/>
      </w:pPr>
    </w:p>
    <w:p w14:paraId="251A53D8" w14:textId="77777777" w:rsidR="003754FE" w:rsidRDefault="003754FE" w:rsidP="003754FE">
      <w:pPr>
        <w:pStyle w:val="TextoNormal"/>
      </w:pPr>
      <w:r>
        <w:t>El Ministerio Fiscal, debido a lo confuso de la demanda, estructura los argumentos del recurrente en los siguientes postulados: (i) que la Junta Electoral Central y, en general, la administración electoral son incompetentes para decidir sobre la inelegibilidad de un diputado que ya oficia como tal; (ii) que esa incompetencia se debe, además, a que corresponde a las cámaras legislativas, y en este caso al Parlamento catalán, la competencia exclusiva para apreciar las incompatibilidades de sus miembros; (iii) que, en todo caso, la Junta Electoral Provincial de Barcelona y la Junta Electoral Central no eran competentes, desde el punto de vista material y funcional, para adoptar las decisiones que impugna; y (iv) que el artículo 6.4 LOREG no es aplicable a las comunidades autónomas, y su aplicación sería en todo caso contraria al principio de primacía del Derecho de la Unión Europea.</w:t>
      </w:r>
    </w:p>
    <w:p w14:paraId="2DD6B63C" w14:textId="77777777" w:rsidR="003754FE" w:rsidRDefault="003754FE" w:rsidP="003754FE">
      <w:pPr>
        <w:pStyle w:val="TextoNormal"/>
      </w:pPr>
    </w:p>
    <w:p w14:paraId="7751E17A" w14:textId="77777777" w:rsidR="003754FE" w:rsidRDefault="003754FE" w:rsidP="003754FE">
      <w:pPr>
        <w:pStyle w:val="TextoNormal"/>
      </w:pPr>
      <w:r>
        <w:t>En primer lugar, la pretensión de atribuir en exclusiva al Estatuto de Autonomía de Cataluña la competencia para fijar las incompatibilidades de los miembros del Parlamento de esa comunidad autónoma, como factor excluyente de la aplicación del art. 6.2 b) LOREG, a juicio del fiscal, carece de sustento constitucional alguno.</w:t>
      </w:r>
    </w:p>
    <w:p w14:paraId="1C0A920D" w14:textId="77777777" w:rsidR="003754FE" w:rsidRDefault="003754FE" w:rsidP="003754FE">
      <w:pPr>
        <w:pStyle w:val="TextoNormal"/>
      </w:pPr>
    </w:p>
    <w:p w14:paraId="52BBAD65" w14:textId="77777777" w:rsidR="003754FE" w:rsidRDefault="003754FE" w:rsidP="003754FE">
      <w:pPr>
        <w:pStyle w:val="TextoNormal"/>
      </w:pPr>
      <w:r>
        <w:t xml:space="preserve">El recurrente esgrime en defensa de su tesis una lectura fragmentaria y descontextualizada de la STC 155/2014. Sin embargo, esa sentencia argumenta lo contrario de lo que defiende el recurrente. En efecto, la fundamentación jurídica de esa sentencia parte de la base —fundamento jurídico 2 a)— de que “en nuestro ordenamiento jurídico, todas las </w:t>
      </w:r>
      <w:r>
        <w:lastRenderedPageBreak/>
        <w:t>causas de inelegibilidad lo son también de incompatibilidad, pero no a la inversa o, en términos de este tribunal ‘nuestro sistema es el de la concurrencia de supuestos de inelegibilidad, que impiden el convertirse, en quien concurran, en sujeto pasivo de la relación electoral, y de supuestos de incompatibilidad, en los que se transforman las de inelegibilidad que dicen los arts. 4, 5 y 6, operando, en su caso, impidiendo el acceso al cargo o el cese en el mismo, de modo que aquellos, proclamados y aun elegidos, que han quedado posteriormente afectados por tales causas, incurren en incompatibilidad. La causa sobrevenida opera así, como supuesto de incompatibilidad, generadora, no de la invalidez de la elección, sino de impedimento para asumir el cargo electivo o de cese, si se hubiera accedido al escaño’”.</w:t>
      </w:r>
    </w:p>
    <w:p w14:paraId="33A20A40" w14:textId="77777777" w:rsidR="003754FE" w:rsidRDefault="003754FE" w:rsidP="003754FE">
      <w:pPr>
        <w:pStyle w:val="TextoNormal"/>
      </w:pPr>
    </w:p>
    <w:p w14:paraId="02030C38" w14:textId="77777777" w:rsidR="003754FE" w:rsidRDefault="003754FE" w:rsidP="003754FE">
      <w:pPr>
        <w:pStyle w:val="TextoNormal"/>
      </w:pPr>
      <w:r>
        <w:t>Y a ello añade que “[a]sí sucede en el ordenamiento jurídico andaluz, por expresa previsión del artículo 6.1 de la Ley del Parlamento de Andalucía 1/1986, de 2 de enero, electoral de Andalucía, con las causas de inelegibilidad previstas en el artículo 4, apartados segundo a cuarto, de la misma ley y con los supuestos previstos en el artículo 6 de la Ley Orgánica 5/1985, de 19 de junio, del régimen electoral general (en adelante, LOREG), que resultan de aplicación en las comunidades autónomas a tenor de lo prevenido por la disposición adicional primera, apartado segundo, de la misma norma”. Resulta clara, por tanto, la aplicación de dicha norma de la Ley del régimen electoral general a los parlamentarios autonómicos. Esa es la verdadera asignación de ámbitos de aplicación de la norma —y competencias para ello— que, principalmente por razón del carácter básico de la LOREG en este punto (disposición adicional primera), se desprende de la sentencia citada. Si, como parece pretender la parte actora, dicha sentencia viniera a establecer que la competencia autonómica exclusiva para regular las incompatibilidades parlamentarias incluye la facultad excluyente de impedir la eficacia del régimen de inelegibilidad de la LOREG cuando este debiera determinar el cese del cargo público ya electo, el Tribunal Constitucional estaría afirmando una cosa y su contraria en la misma sentencia.</w:t>
      </w:r>
    </w:p>
    <w:p w14:paraId="59246C1F" w14:textId="77777777" w:rsidR="003754FE" w:rsidRDefault="003754FE" w:rsidP="003754FE">
      <w:pPr>
        <w:pStyle w:val="TextoNormal"/>
      </w:pPr>
    </w:p>
    <w:p w14:paraId="68CAB250" w14:textId="77777777" w:rsidR="003754FE" w:rsidRDefault="003754FE" w:rsidP="003754FE">
      <w:pPr>
        <w:pStyle w:val="TextoNormal"/>
      </w:pPr>
      <w:r>
        <w:t>La STC 7/1992, invocada igualmente por el demandante, no aporta tampoco ningún argumento de peso: se trataba de que para declarar la incompatibilidad de un parlamentario “no se siguieron los trámites previstos por el art. 160 LOREG y sus concordantes en el Reglamento de la Asamblea Regional”, sino que tal declaración de incompatibilidad fue “efectuada unilateralmente por la Presidencia de la Asamblea”. Se enjuiciaba, por tanto, una actuación de un órgano incompetente llevada a cabo al margen del procedimiento legalmente establecido, en un supuesto en el que el motivo del cese y el referido procedimiento sí estaban previstos y regulados en la normativa parlamentaria.</w:t>
      </w:r>
    </w:p>
    <w:p w14:paraId="61D5DE0E" w14:textId="77777777" w:rsidR="003754FE" w:rsidRDefault="003754FE" w:rsidP="003754FE">
      <w:pPr>
        <w:pStyle w:val="TextoNormal"/>
      </w:pPr>
    </w:p>
    <w:p w14:paraId="0378CA0A" w14:textId="77777777" w:rsidR="003754FE" w:rsidRDefault="003754FE" w:rsidP="003754FE">
      <w:pPr>
        <w:pStyle w:val="TextoNormal"/>
      </w:pPr>
      <w:r>
        <w:t>En el presente caso concurre una circunstancia diferente y determinante: como el mismo actor señala, el Reglamento del Parlamento de Cataluña no regula el procedimiento para poder hacer efectivo lo dispuesto en la LOREG sobre la incompatibilidad por inelegibilidad que resulta de las normas repetidamente mencionadas. Pero, de la falta de regulación explícita en el régimen interno parlamentario no se puede deducir de plano, la inaplicabilidad de una norma jurídica estatal con rango orgánico y carácter básico. La propia STC 155/2014 señala, como se ha visto, que el art. 6 LOREG es aplicable en todas las comunidades autónomas, sin perjuicio de que sus normativas parlamentarias puedan recoger las causas de inelegibilidad que aquel tipifica.</w:t>
      </w:r>
    </w:p>
    <w:p w14:paraId="2936F42A" w14:textId="77777777" w:rsidR="003754FE" w:rsidRDefault="003754FE" w:rsidP="003754FE">
      <w:pPr>
        <w:pStyle w:val="TextoNormal"/>
      </w:pPr>
    </w:p>
    <w:p w14:paraId="188546DC" w14:textId="77777777" w:rsidR="003754FE" w:rsidRDefault="003754FE" w:rsidP="003754FE">
      <w:pPr>
        <w:pStyle w:val="TextoNormal"/>
      </w:pPr>
      <w:r>
        <w:t xml:space="preserve">En conclusión, ninguno de los argumentos que facilita el recurso conduce a dar por cierto que la legislación en materia de inelegibilidades se halle reservada al Derecho </w:t>
      </w:r>
      <w:r>
        <w:lastRenderedPageBreak/>
        <w:t>parlamentario. A mayor abundamiento, la jurisprudencia constitucional ha descartado que el derecho de los parlamentarios a permanecer en el cargo se halle exclusiva y excluyentemente vinculado a la normativa reglamentaria de las propias cámaras, con desplazamiento, por tanto, del resto del ordenamiento jurídico, como parece sostener el recurrente.</w:t>
      </w:r>
    </w:p>
    <w:p w14:paraId="242D2FC9" w14:textId="77777777" w:rsidR="003754FE" w:rsidRDefault="003754FE" w:rsidP="003754FE">
      <w:pPr>
        <w:pStyle w:val="TextoNormal"/>
      </w:pPr>
    </w:p>
    <w:p w14:paraId="5C67CE32" w14:textId="77777777" w:rsidR="003754FE" w:rsidRDefault="003754FE" w:rsidP="003754FE">
      <w:pPr>
        <w:pStyle w:val="TextoNormal"/>
      </w:pPr>
      <w:r>
        <w:t>En definitiva, considera que, ni es cierto que el art. 6.2 b) no se aplique a —o en— las comunidades autónomas, ni, desde luego, cabe esperar, como ya advirtió el Tribunal Supremo, que la solución provenga del principio de primacía del Derecho de la Unión Europea, cuya aplicación exige como premisa —que parece olvidar el actor— que la materia controvertida se rija precisamente por normas de dicho ordenamiento europeo.</w:t>
      </w:r>
    </w:p>
    <w:p w14:paraId="59E6A4B9" w14:textId="77777777" w:rsidR="003754FE" w:rsidRDefault="003754FE" w:rsidP="003754FE">
      <w:pPr>
        <w:pStyle w:val="TextoNormal"/>
      </w:pPr>
    </w:p>
    <w:p w14:paraId="45CC536E" w14:textId="77777777" w:rsidR="003754FE" w:rsidRDefault="003754FE" w:rsidP="003754FE">
      <w:pPr>
        <w:pStyle w:val="TextoNormal"/>
      </w:pPr>
      <w:r>
        <w:t>En cuanto a la competencia para aplicar las normas de incompatibilidad por inelegibilidad sobrevenida, señala el fiscal que la sentencia de la Sala de lo Contencioso-Administrativo del Tribunal Supremo contra la que se promueve el recurso de amparo aborda puntualmente (fundamento jurídico 9), en la misma línea apuntada por la STC 155/2014, esta cuestión: “La legislación autonómica de algunas comunidades (a título de ejemplo: Ley del Parlamento de Andalucía 1/1986, de 2 de enero, electoral de Andalucía; Ley de la Asamblea de Madrid 11/1986, de 16 de diciembre, electoral de la Comunidad de Madrid; Ley de las Cortes de Castilla-La Mancha 5/1986, de 23 de diciembre, electoral de Castilla-La Mancha) reputan inelegibles los incursos en algunas de las causas de inelegibilidad recogidas en las disposiciones comunes para las elecciones por sufragio universal directo de la LOREG. Y, a mayor abundamiento, resulta oportuno poner de relieve que otros parlamentos autonómicos no cuestionan la redacción del artículo 6.2 b), sino que, en lugar de proceder a una remisión a la LOREG o a su aplicación directa, la han incorporado expresamente a su propia legislación”.</w:t>
      </w:r>
    </w:p>
    <w:p w14:paraId="60AA52B9" w14:textId="77777777" w:rsidR="003754FE" w:rsidRDefault="003754FE" w:rsidP="003754FE">
      <w:pPr>
        <w:pStyle w:val="TextoNormal"/>
      </w:pPr>
    </w:p>
    <w:p w14:paraId="53F953EE" w14:textId="77777777" w:rsidR="003754FE" w:rsidRDefault="003754FE" w:rsidP="003754FE">
      <w:pPr>
        <w:pStyle w:val="TextoNormal"/>
      </w:pPr>
      <w:r>
        <w:t>Y añade más adelante: “No estamos frente a una hipotética aplicación supletoria de las normas de funcionamiento de las Cortes Generales inviable en nuestro sistema constitucional (STC 179/1989, de 2 de noviembre) sino frente a unas normas que resultan de aplicación directa en las comunidades autónomas a tenor de lo prevenido por la disposición adicional primera, apartado segundo, de la LOREG. Caso de reproducir la normativa estatal, como hace la Ley electoral vasca, comparte la Cámara autonómica tal competencia con la administración electoral que la ostenta en razón de lo establecido en el art. 19.1 LOREG”.</w:t>
      </w:r>
    </w:p>
    <w:p w14:paraId="1E67AE7E" w14:textId="77777777" w:rsidR="003754FE" w:rsidRDefault="003754FE" w:rsidP="003754FE">
      <w:pPr>
        <w:pStyle w:val="TextoNormal"/>
      </w:pPr>
    </w:p>
    <w:p w14:paraId="61EA2F2A" w14:textId="77777777" w:rsidR="003754FE" w:rsidRDefault="003754FE" w:rsidP="003754FE">
      <w:pPr>
        <w:pStyle w:val="TextoNormal"/>
      </w:pPr>
      <w:r>
        <w:t>Ninguno de los precedentes que menciona el actor es realmente incompatible con esa apreciación.</w:t>
      </w:r>
    </w:p>
    <w:p w14:paraId="1F1AA87F" w14:textId="77777777" w:rsidR="003754FE" w:rsidRDefault="003754FE" w:rsidP="003754FE">
      <w:pPr>
        <w:pStyle w:val="TextoNormal"/>
      </w:pPr>
    </w:p>
    <w:p w14:paraId="5F2CC5F6" w14:textId="77777777" w:rsidR="003754FE" w:rsidRDefault="003754FE" w:rsidP="003754FE">
      <w:pPr>
        <w:pStyle w:val="TextoNormal"/>
      </w:pPr>
      <w:r>
        <w:t>En conclusión, la aplicabilidad de una norma como la que contiene el art. 6.2 b) LOREG a sus destinatarios, y su plena eficacia, no resultan impedidas por el hecho de que los reglamentos parlamentarios no hayan previsto el supuesto y el efecto que dicha norma contempla. Y tampoco existe un inconveniente de índole competencial entre el Estado y las comunidades autónomas, puesto que la disposición adicional primera de la propia LOREG es clara acerca del carácter básico de la norma en cuestión.</w:t>
      </w:r>
    </w:p>
    <w:p w14:paraId="2183D84E" w14:textId="77777777" w:rsidR="003754FE" w:rsidRDefault="003754FE" w:rsidP="003754FE">
      <w:pPr>
        <w:pStyle w:val="TextoNormal"/>
      </w:pPr>
    </w:p>
    <w:p w14:paraId="5B44796C" w14:textId="77777777" w:rsidR="003754FE" w:rsidRDefault="003754FE" w:rsidP="003754FE">
      <w:pPr>
        <w:pStyle w:val="TextoNormal"/>
      </w:pPr>
      <w:r>
        <w:t xml:space="preserve">Sobre la falta de competencia de la Junta Electoral Provincial de Barcelona por tratarse de un órgano que solo se constituye en relación con un determinado proceso electoral, y carecía de competencia para resolver una cuestión como la planteada, estima que la conducta del propio recurrente en el procedimiento administrativo electoral desarticula su queja </w:t>
      </w:r>
      <w:r>
        <w:lastRenderedPageBreak/>
        <w:t>en sede de amparo: no solo no alegó en ningún momento (por ejemplo, al impugnar los recursos de los partidos solicitantes) dicha falta de competencia de la Junta Electoral Provincial de Barcelona, sino que incluso, en su propio recurso —interpuesto, como ya se ha dicho, ante la Junta Electoral Central— planteó expresamente la retroacción de actuaciones ante la propia Junta Electoral Provincial de Barcelona, para que acordase remitir el expediente al Parlamento.</w:t>
      </w:r>
    </w:p>
    <w:p w14:paraId="40D07329" w14:textId="77777777" w:rsidR="003754FE" w:rsidRDefault="003754FE" w:rsidP="003754FE">
      <w:pPr>
        <w:pStyle w:val="TextoNormal"/>
      </w:pPr>
    </w:p>
    <w:p w14:paraId="42CB619C" w14:textId="77777777" w:rsidR="003754FE" w:rsidRDefault="003754FE" w:rsidP="003754FE">
      <w:pPr>
        <w:pStyle w:val="TextoNormal"/>
      </w:pPr>
      <w:r>
        <w:t>Y respecto de la falta de competencia funcional de la Junta Electoral Central para conocer de los recursos contra la Junta Electoral Provincial de Barcelona, partiendo de la base de lo ya dicho sobre la aplicación del Derecho estatal, solo cabe recordar el contenido del art. 19.1 e) LOREG, que atribuye a la Junta Electoral Central la competencia para “[r]evocar de oficio en cualquier tiempo o, a instancia de parte interesada [...] las decisiones de las juntas electorales provinciales”.</w:t>
      </w:r>
    </w:p>
    <w:p w14:paraId="517EF3C0" w14:textId="77777777" w:rsidR="003754FE" w:rsidRDefault="003754FE" w:rsidP="003754FE">
      <w:pPr>
        <w:pStyle w:val="TextoNormal"/>
      </w:pPr>
    </w:p>
    <w:p w14:paraId="24A40C4B" w14:textId="77777777" w:rsidR="003754FE" w:rsidRDefault="003754FE" w:rsidP="003754FE">
      <w:pPr>
        <w:pStyle w:val="TextoNormal"/>
      </w:pPr>
      <w:r>
        <w:t>La Fiscalía descarta que la combinación del art. 6.2 b) y 6.4 LOREG presente, en general y en el presente caso, problemas de constitucionalidad relacionados con su ámbito material de aplicación o con la competencia de la administración electoral para hacer efectivo su contenido. Tampoco ve ningún problema de proporcionalidad de la medida. La sentencia impugnada en amparo contiene en su fundamento jurídico noveno un razonamiento sobre la cuestión que hace suyo el Ministerio Fiscal.</w:t>
      </w:r>
    </w:p>
    <w:p w14:paraId="593203B3" w14:textId="77777777" w:rsidR="003754FE" w:rsidRDefault="003754FE" w:rsidP="003754FE">
      <w:pPr>
        <w:pStyle w:val="TextoNormal"/>
      </w:pPr>
    </w:p>
    <w:p w14:paraId="28120053" w14:textId="77777777" w:rsidR="003754FE" w:rsidRDefault="003754FE" w:rsidP="003754FE">
      <w:pPr>
        <w:pStyle w:val="TextoNormal"/>
      </w:pPr>
      <w:r>
        <w:t>Considera además el fiscal que resulta evidente que ni la voluntad del legislador ni la finalidad objetiva del complejo normativo formado —en este caso— por los apartados 2 b) y 4 del art. 6 LOREG, que determina la incompatibilidad para el cargo representativo de quien resulta afectado por su aplicación, se corresponden con un propósito y una función de carácter sancionador. Así lo pone de manifiesto el hecho mismo de su tratamiento normativo como causas de inelegibilidad, y cuando el electo ya está ocupando el cargo, como causas de incompatibilidad sobrevenida.</w:t>
      </w:r>
    </w:p>
    <w:p w14:paraId="747445C7" w14:textId="77777777" w:rsidR="003754FE" w:rsidRDefault="003754FE" w:rsidP="003754FE">
      <w:pPr>
        <w:pStyle w:val="TextoNormal"/>
      </w:pPr>
    </w:p>
    <w:p w14:paraId="682D03D8" w14:textId="77777777" w:rsidR="003754FE" w:rsidRDefault="003754FE" w:rsidP="003754FE">
      <w:pPr>
        <w:pStyle w:val="TextoNormal"/>
      </w:pPr>
      <w:r>
        <w:t>No es menos obvio, que, en mayor o menor medida, todas esas incompatibilidades suponen o determinan, por definición, una restricción del derecho reconocido por el art. 23 CE. Pero esa restricción es la consecuencia —no la finalidad— del citado juicio de idoneidad, con independencia de cuál sea su concreta razón de ser en cada caso, y, desde luego, sin que quepa excluir en algunos de esos supuestos (no solo en los del art. 6.2 LOREG), una base ética —en el sentido más amplio del término— y política, vinculada la exigencia de una imagen de probidad o de ejemplaridad y dignidad en el desempeño de los cargos públicos, muy especialmente cuando se trata del ejercicio del derecho de representación en virtud de una legitimación democrática directa a través del sufragio popular.</w:t>
      </w:r>
    </w:p>
    <w:p w14:paraId="77893728" w14:textId="77777777" w:rsidR="003754FE" w:rsidRDefault="003754FE" w:rsidP="003754FE">
      <w:pPr>
        <w:pStyle w:val="TextoNormal"/>
      </w:pPr>
    </w:p>
    <w:p w14:paraId="7C39FCD5" w14:textId="77777777" w:rsidR="003754FE" w:rsidRDefault="003754FE" w:rsidP="003754FE">
      <w:pPr>
        <w:pStyle w:val="TextoNormal"/>
      </w:pPr>
      <w:r>
        <w:t>Pues bien, en el supuesto del art. 6.2 b) LOREG, más allá incluso de esa carga infamante genéricamente proyectada sobre un representante público —o quien aspira a serlo— al que se ha impuesto una pena de cierta entidad, la consecuencia extrapenal se vincula a un fundamento específico como es el de la naturaleza del delito objeto de condena, y más concretamente aún, tras la reforma por la Ley Orgánica 3/2011, cuando se trata, como en el presente supuesto, de un delito contra la administración pública.</w:t>
      </w:r>
    </w:p>
    <w:p w14:paraId="012309E1" w14:textId="77777777" w:rsidR="003754FE" w:rsidRDefault="003754FE" w:rsidP="003754FE">
      <w:pPr>
        <w:pStyle w:val="TextoNormal"/>
      </w:pPr>
    </w:p>
    <w:p w14:paraId="54D7CA39" w14:textId="77777777" w:rsidR="003754FE" w:rsidRDefault="003754FE" w:rsidP="003754FE">
      <w:pPr>
        <w:pStyle w:val="TextoNormal"/>
      </w:pPr>
      <w:r>
        <w:t xml:space="preserve">También rechaza, por falta de argumentación por parte del recurrente, el alcance de su invocación de los arts. 16, 20 y 21 CE. A falta de alguna aclaración que no consta en el </w:t>
      </w:r>
      <w:r>
        <w:lastRenderedPageBreak/>
        <w:t>escrito de demanda, nada permite deducir que la aplicación del art. 6.2 b) LOREG, con la consecuencia de la pérdida de su acta de diputado autonómico, haya podido vulnerar su libertad ideológica, religiosa o de culto (ni siquiera su actividad política ni el ejercicio de otros cargos públicos: ya reconoce la propia demanda que siguió siendo presidente de la Generalitat), ni su libertad de expresar sus ideas y opiniones mediante la palabra, el escrito o cualquier otro medio de reproducción, ni su derecho a la producción y creación literaria, artística, científica y técnica, ni a 1a libertad de cátedra, ni a comunicar o recibir libremente información veraz por cualquier medio de difusión, ni a la reunión pacífica y sin armas.</w:t>
      </w:r>
    </w:p>
    <w:p w14:paraId="4303D262" w14:textId="77777777" w:rsidR="003754FE" w:rsidRDefault="003754FE" w:rsidP="003754FE">
      <w:pPr>
        <w:pStyle w:val="TextoNormal"/>
      </w:pPr>
    </w:p>
    <w:p w14:paraId="5D1D4D04" w14:textId="77777777" w:rsidR="003754FE" w:rsidRDefault="003754FE" w:rsidP="003754FE">
      <w:pPr>
        <w:pStyle w:val="TextoNormal"/>
      </w:pPr>
      <w:r>
        <w:t>Descarta el fiscal también, la queja sobre la vulneración del art. 23 CE por falta de imparcialidad de la Junta Electoral Central. El demandante articula su queja sobre la base de un presupuesto hipotético sustentado sobre un cálculo aritmético de probabilidades, acerca del posible sentido del acuerdo de la Junta Electoral Central si se hubiera aceptado la recusación de los cuatro vocales cuya imparcialidad cuestiona, puesto que —viene a sostener— habría sido mayoritaria la posición del voto particular a favor de declarar la falta de competencia de la Junta Electoral Provincial de Barcelona y que correspondía al Parlamento de Cataluña aplicar las consecuencias de la sentencia condenatoria dictada por el Tribunal Superior de Justicia de Cataluña.</w:t>
      </w:r>
    </w:p>
    <w:p w14:paraId="2142EFC3" w14:textId="77777777" w:rsidR="003754FE" w:rsidRDefault="003754FE" w:rsidP="003754FE">
      <w:pPr>
        <w:pStyle w:val="TextoNormal"/>
      </w:pPr>
    </w:p>
    <w:p w14:paraId="01600E7D" w14:textId="77777777" w:rsidR="003754FE" w:rsidRDefault="003754FE" w:rsidP="003754FE">
      <w:pPr>
        <w:pStyle w:val="TextoNormal"/>
      </w:pPr>
      <w:r>
        <w:t>Considera el fiscal que la demanda de amparo omite cualquier reflexión o aclaración explícita o meramente deducible respecto del modo en que esos precarios argumentos dirigidos a cuestionar la imparcialidad de algunos de los miembros de la Junta Electoral Central podrían ayudar en la estimación del recurso de amparo por su supuesta “vinculación” a “la vulneración del derecho al ejercicio en condiciones de igualdad del cargo de diputado al Parlamento de Cataluña”. Nada alega que permita intuir a qué aspecto del principio de igualdad se refiere, ni en relación con quién o con qué lo considera vulnerado, y aun prescindiendo de ese matiz, cuál es la razón por la que el Tribunal Constitucional debería descartar en sede de amparo la respuesta fundada que en su momento obtuvo tanto de la Junta Electoral como del Tribunal Supremo a sus quejas de falta de imparcialidad del órgano administrativo electoral.</w:t>
      </w:r>
    </w:p>
    <w:p w14:paraId="114CE307" w14:textId="77777777" w:rsidR="003754FE" w:rsidRDefault="003754FE" w:rsidP="003754FE">
      <w:pPr>
        <w:pStyle w:val="TextoNormal"/>
      </w:pPr>
    </w:p>
    <w:p w14:paraId="3FF1447C" w14:textId="77777777" w:rsidR="003754FE" w:rsidRDefault="003754FE" w:rsidP="003754FE">
      <w:pPr>
        <w:pStyle w:val="TextoNormal"/>
      </w:pPr>
      <w:r>
        <w:t>En cuanto a la alegación sobre la presunción de inocencia, el recurrente invoca la Directiva (UE) 2016/343, del Parlamento Europeo y del Consejo, de 9 de marzo de 2016, por la que se refuerzan en el proceso penal determinados aspectos de la presunción de inocencia y el derecho a estar presente en el juicio, que no es aplicable en modo alguno al presente caso, puesto que circunscribe su ámbito al proceso penal. El actor parece evocar, en realidad, aunque con un apoyo normativo patentemente inidóneo, una dimensión extraprocesal de la presunción de inocencia que ha sido reconocida por este tribunal y por el Tribunal Europeo de Derechos Humanos, que consiste en “el derecho a recibir la consideración y el trato de no autor o no partícipe en hechos de carácter delictivo o análogos a estos y determina por ende el derecho a que no se apliquen las consecuencias o los efectos jurídicos anudados a hechos de tal naturaleza en las relaciones jurídicas de todo tipo”.</w:t>
      </w:r>
    </w:p>
    <w:p w14:paraId="2D9646E6" w14:textId="77777777" w:rsidR="003754FE" w:rsidRDefault="003754FE" w:rsidP="003754FE">
      <w:pPr>
        <w:pStyle w:val="TextoNormal"/>
      </w:pPr>
    </w:p>
    <w:p w14:paraId="63AFF5B2" w14:textId="77777777" w:rsidR="003754FE" w:rsidRDefault="003754FE" w:rsidP="003754FE">
      <w:pPr>
        <w:pStyle w:val="TextoNormal"/>
      </w:pPr>
      <w:r>
        <w:t xml:space="preserve">Entiende el fiscal que, aunque el Tribunal Constitucional aceptara —lo que, como se ha visto, no es obvio— la inclusión directa, plena y sin matices de la vertiente extraprocesal de la presunción de inocencia en el marco de tutela del art. 24.2 CE, de ningún modo podría entenderse que en el presente caso el demandante haya acreditado la lesión de tal derecho mediante un razonamiento que descarta </w:t>
      </w:r>
      <w:r w:rsidRPr="003754FE">
        <w:rPr>
          <w:i/>
        </w:rPr>
        <w:t>a priori</w:t>
      </w:r>
      <w:r>
        <w:t xml:space="preserve"> y sin matices ni excepciones la existencia </w:t>
      </w:r>
      <w:r>
        <w:lastRenderedPageBreak/>
        <w:t>de cualquier otro posible interés constitucional cuya ponderación pudiera exigir una modulación del ámbito de aplicación y el grado de intensidad de dicha presunción.</w:t>
      </w:r>
    </w:p>
    <w:p w14:paraId="52D79E73" w14:textId="77777777" w:rsidR="003754FE" w:rsidRDefault="003754FE" w:rsidP="003754FE">
      <w:pPr>
        <w:pStyle w:val="TextoNormal"/>
      </w:pPr>
    </w:p>
    <w:p w14:paraId="69BCAFAD" w14:textId="77777777" w:rsidR="003754FE" w:rsidRDefault="003754FE" w:rsidP="003754FE">
      <w:pPr>
        <w:pStyle w:val="TextoNormal"/>
      </w:pPr>
      <w:r>
        <w:t>Constata el fiscal que el escrito de demanda mezcla en un mismo apartado la invocación de tres derechos (a un proceso con todas las garantías, a la legalidad penal y a la doble instancia penal), partiendo de una invocación de los principios de equivalencia y eficacia del Derecho de la Unión Europea que carece de todo sentido en un contexto de estricta aplicación de la normativa interna en materia electoral y penal. El escrito de recurso no desarrolla en absoluto, en dicho apartado, la argumentación que debería acreditar la existencia de las lesiones constitucionales enunciadas.</w:t>
      </w:r>
    </w:p>
    <w:p w14:paraId="1F272D86" w14:textId="77777777" w:rsidR="003754FE" w:rsidRDefault="003754FE" w:rsidP="003754FE">
      <w:pPr>
        <w:pStyle w:val="TextoNormal"/>
      </w:pPr>
    </w:p>
    <w:p w14:paraId="79B06865" w14:textId="77777777" w:rsidR="003754FE" w:rsidRDefault="003754FE" w:rsidP="003754FE">
      <w:pPr>
        <w:pStyle w:val="TextoNormal"/>
      </w:pPr>
      <w:r>
        <w:t>Rechaza también la alegación relativa a que el acuerdo de la Junta Electoral Central de 3 de enero de 2020 recurrido en amparo usurpa la competencia de los tribunales para la ejecución de las resoluciones judiciales que establece el art. 117.3 CE. Podría entenderse, por la mención del art.117.3 CE, que se refiere al derecho al juez ordinario predeterminado por la ley (art. 24.2 CE), que, desde luego, no parece una norma constitucional apta para resolver un supuesto conflicto entre el Poder Judicial, la administración electoral y la autonomía del Parlamento catalán, que es lo que parece sugerir el planteamiento del actor.</w:t>
      </w:r>
    </w:p>
    <w:p w14:paraId="00B1D10B" w14:textId="77777777" w:rsidR="003754FE" w:rsidRDefault="003754FE" w:rsidP="003754FE">
      <w:pPr>
        <w:pStyle w:val="TextoNormal"/>
      </w:pPr>
    </w:p>
    <w:p w14:paraId="4C980F19" w14:textId="77777777" w:rsidR="003754FE" w:rsidRDefault="003754FE" w:rsidP="003754FE">
      <w:pPr>
        <w:pStyle w:val="TextoNormal"/>
      </w:pPr>
      <w:r>
        <w:t xml:space="preserve">En definitiva, considera el fiscal que estas quejas, incluida la tímida alegación del principio del </w:t>
      </w:r>
      <w:r w:rsidRPr="003754FE">
        <w:rPr>
          <w:i/>
        </w:rPr>
        <w:t>non bis in idem</w:t>
      </w:r>
      <w:r>
        <w:t>, carecen de contenido puesto que parten de un presupuesto que no es cierto, como es el alegado carácter penal o sancionador del acuerdo impugnado.</w:t>
      </w:r>
    </w:p>
    <w:p w14:paraId="7F6EE0B2" w14:textId="77777777" w:rsidR="003754FE" w:rsidRDefault="003754FE" w:rsidP="003754FE">
      <w:pPr>
        <w:pStyle w:val="TextoNormal"/>
      </w:pPr>
    </w:p>
    <w:p w14:paraId="165A291E" w14:textId="77777777" w:rsidR="003754FE" w:rsidRDefault="003754FE" w:rsidP="003754FE">
      <w:pPr>
        <w:pStyle w:val="TextoNormal"/>
      </w:pPr>
      <w:r>
        <w:t xml:space="preserve">La última queja formulada, en el marco del art. 43 LOTC, contra las resoluciones de la administración electoral que impugna el demandante, se refiere al plazo que le otorgó la Junta Provincial de Barcelona para oponerse al recurso que interpusieron los tres partidos políticos solicitantes contra la resolución de dicho órgano que desestimó, </w:t>
      </w:r>
      <w:r w:rsidRPr="003754FE">
        <w:rPr>
          <w:i/>
        </w:rPr>
        <w:t>ab initio</w:t>
      </w:r>
      <w:r>
        <w:t>, la pretensión de retirada de la credencial parlamentaria del señor Torra i Pla. Dando en este caso por buena la habilitación de ese recurso, en abierta contradicción con otras alegaciones formuladas a lo largo de las distintas instancias administrativas y judiciales acerca de la competencia material y funcional de la Junta Provincial de Barcelona y la Junta Electoral Central, el recurrente se limita a señalar que el plazo de un día era manifiestamente insuficiente. La absoluta orfandad de los argumentos o referencias normativas que, según el actor, permitirían considerar vulnerados los derechos fundamentales que invoca, impide cualquier análisis de esta pretensión. En cualquier caso, y en la medida o con el alcance que pudieran hallarse legalmente reconocidos tales derechos en el contexto del recurso contra un acuerdo de una junta electoral provincial, cuestión sobre la que la demanda no arroja luz alguna, es obvio que su posible lesión se hallaría sobradamente reparada por el hecho de haberlo podido ejercer posteriormente el recurrente, con la abundante extensión que presentan los alegatos de su abogado, en la vía jurisdiccional que ha agotado antes de acudir al amparo.</w:t>
      </w:r>
    </w:p>
    <w:p w14:paraId="34A9EEF5" w14:textId="77777777" w:rsidR="003754FE" w:rsidRDefault="003754FE" w:rsidP="003754FE">
      <w:pPr>
        <w:pStyle w:val="TextoNormal"/>
      </w:pPr>
    </w:p>
    <w:p w14:paraId="63592471" w14:textId="45C877B2" w:rsidR="003754FE" w:rsidRDefault="003754FE" w:rsidP="003754FE">
      <w:pPr>
        <w:pStyle w:val="TextoNormal"/>
      </w:pPr>
      <w:r>
        <w:t xml:space="preserve">Como ya se ha puesto de manifiesto, el demandante atribuye a la sentencia de la Sala de lo Contencioso-Administrativo del Tribunal Supremo de 20 de julio de 2021, además de la vulneración —por no haberla reparado— de los mismos derechos fundamentales que afirma que le fueron lesionados, una vulneración autónoma de su derecho a la tutela judicial efectiva. También se ha observado, al examinar los aspectos procesales del recurso, que al plantear directamente ante el Tribunal Constitucional esa concreta queja, el actor desconoce la naturaleza subsidiaria del recurso de amparo, puesto que no dio ocasión al órgano </w:t>
      </w:r>
      <w:r>
        <w:lastRenderedPageBreak/>
        <w:t>sentenciador de pronunciarse sobre tales vulneraciones, y en su caso proceder a su reparación. La demanda incumple por consiguiente el requisito no subsanable de agotamiento de la vía judicial previa [art. 44.1 a) LOTC]. Por ello, como también se ha expuesto, esta concreta pretensión de amparo incurre en motivo de inadmisión [art. 50.1 a) LOTC], que puede ser apreciado en la sentencia (SSTC 94/2006, de 27 de marzo, y 39/2020, de 25 de febrero). No obstante, el fiscal entiende que esta queja carece de fundamento.</w:t>
      </w:r>
    </w:p>
    <w:p w14:paraId="671980A2" w14:textId="77777777" w:rsidR="003754FE" w:rsidRDefault="003754FE" w:rsidP="003754FE">
      <w:pPr>
        <w:pStyle w:val="TextoNormal"/>
      </w:pPr>
    </w:p>
    <w:p w14:paraId="16CB077C" w14:textId="77777777" w:rsidR="003754FE" w:rsidRDefault="003754FE" w:rsidP="003754FE">
      <w:pPr>
        <w:pStyle w:val="TextoNormal"/>
      </w:pPr>
      <w:r w:rsidRPr="003754FE">
        <w:rPr>
          <w:rStyle w:val="NumeroAFNegritaCaracter"/>
        </w:rPr>
        <w:t>9</w:t>
      </w:r>
      <w:r>
        <w:t>. Mediante escrito de 15 de enero de 2023, doña María del Pilar Hidalgo López, procuradora de los tribunales y del partido político Vox, formuló sus alegaciones.</w:t>
      </w:r>
    </w:p>
    <w:p w14:paraId="1DE3E04B" w14:textId="77777777" w:rsidR="003754FE" w:rsidRDefault="003754FE" w:rsidP="003754FE">
      <w:pPr>
        <w:pStyle w:val="TextoNormal"/>
      </w:pPr>
    </w:p>
    <w:p w14:paraId="2684959D" w14:textId="77777777" w:rsidR="003754FE" w:rsidRDefault="003754FE" w:rsidP="003754FE">
      <w:pPr>
        <w:pStyle w:val="TextoNormal"/>
      </w:pPr>
      <w:r>
        <w:t>Comienza recordando que es doctrina consolidada del Tribunal Constitucional la de que el recurso de amparo no puede convertirse en un cauce para discutir sobre infracciones de la legalidad parlamentaria que no produzcan lesiones reales y efectivas de los derechos fundamentales. Por tanto, habiéndose ya resuelto por el Tribunal Supremo que no existe vulneración de derechos del recurrente, ni siquiera procedería la admisión del presente recurso.</w:t>
      </w:r>
    </w:p>
    <w:p w14:paraId="23A91AA2" w14:textId="77777777" w:rsidR="003754FE" w:rsidRDefault="003754FE" w:rsidP="003754FE">
      <w:pPr>
        <w:pStyle w:val="TextoNormal"/>
      </w:pPr>
    </w:p>
    <w:p w14:paraId="357C4CC3" w14:textId="77777777" w:rsidR="003754FE" w:rsidRDefault="003754FE" w:rsidP="003754FE">
      <w:pPr>
        <w:pStyle w:val="TextoNormal"/>
      </w:pPr>
      <w:r>
        <w:t>Recuerda que es un hecho notorio que las juntas electorales no circunscriben su competencia de forma exclusiva a los procesos electorales, sino que se extiende a todas aquellas cuestiones y mandatos que traen causa de los procesos electorales para los que fueron constituidas, al amparo del art. 14 LOREG. Así lo entendió la sentencia del Tribunal Supremo, que confirma la resolución de la Junta Electoral Central de 3 de enero de 2020.</w:t>
      </w:r>
    </w:p>
    <w:p w14:paraId="2F2DF69E" w14:textId="77777777" w:rsidR="003754FE" w:rsidRDefault="003754FE" w:rsidP="003754FE">
      <w:pPr>
        <w:pStyle w:val="TextoNormal"/>
      </w:pPr>
    </w:p>
    <w:p w14:paraId="54A96434" w14:textId="77777777" w:rsidR="003754FE" w:rsidRDefault="003754FE" w:rsidP="003754FE">
      <w:pPr>
        <w:pStyle w:val="TextoNormal"/>
      </w:pPr>
      <w:r>
        <w:t>También el Tribunal Constitucional se ha pronunciado al respecto de la misma forma en la STC 72/1984, en la que se reconoce la competencia de la Junta Electoral Central para resolver sobre las causas de inelegibilidad e incompatibilidad a través de la aplicación de la reserva de ley orgánica de la LOREG que se establece en el artículo 81 de la Constitución. Por último, el art. 21 LOREG establece la posibilidad de recurrir ante la junta electoral de superior categoría, cualquier decisión de una junta electoral inferior.</w:t>
      </w:r>
    </w:p>
    <w:p w14:paraId="29DEC10D" w14:textId="77777777" w:rsidR="003754FE" w:rsidRDefault="003754FE" w:rsidP="003754FE">
      <w:pPr>
        <w:pStyle w:val="TextoNormal"/>
      </w:pPr>
    </w:p>
    <w:p w14:paraId="197FB551" w14:textId="77777777" w:rsidR="003754FE" w:rsidRDefault="003754FE" w:rsidP="003754FE">
      <w:pPr>
        <w:pStyle w:val="TextoNormal"/>
      </w:pPr>
      <w:r>
        <w:t>En definitiva, las juntas electorales que intervinieron en el procedimiento son competentes para resolver sobre las cuestiones planteadas. Por tanto, no existe la vulneración de ningún derecho fundamental del recurrente.</w:t>
      </w:r>
    </w:p>
    <w:p w14:paraId="7FEA1C07" w14:textId="77777777" w:rsidR="003754FE" w:rsidRDefault="003754FE" w:rsidP="003754FE">
      <w:pPr>
        <w:pStyle w:val="TextoNormal"/>
      </w:pPr>
    </w:p>
    <w:p w14:paraId="70CBBA11" w14:textId="77777777" w:rsidR="003754FE" w:rsidRDefault="003754FE" w:rsidP="003754FE">
      <w:pPr>
        <w:pStyle w:val="TextoNormal"/>
      </w:pPr>
      <w:r>
        <w:t>Rechaza también las quejas relativas a la presunción de inocencia. Insiste en que el recurrente fue condenado por sentencia de la Sala de lo Civil y Penal del Tribunal Superior de Justicia de Cataluña de 19 de diciembre de 2019, cuyo fallo le ha inhabilitado para el ejercicio de cargo público. La existencia de una sentencia que condena al recurrente, en la que se recogen unos hechos probados, excluye invocar vulneración del derecho a la presunción de inocencia, pues la condena se produce en un procedimiento en el que se han salvaguardado todas las garantías.</w:t>
      </w:r>
    </w:p>
    <w:p w14:paraId="7B82CFFC" w14:textId="77777777" w:rsidR="003754FE" w:rsidRDefault="003754FE" w:rsidP="003754FE">
      <w:pPr>
        <w:pStyle w:val="TextoNormal"/>
      </w:pPr>
    </w:p>
    <w:p w14:paraId="1E0C7A64" w14:textId="77777777" w:rsidR="003754FE" w:rsidRDefault="003754FE" w:rsidP="003754FE">
      <w:pPr>
        <w:pStyle w:val="TextoNormal"/>
      </w:pPr>
      <w:r>
        <w:t xml:space="preserve">Tampoco, a su juicio, ha habido un supuesto de </w:t>
      </w:r>
      <w:r w:rsidRPr="003754FE">
        <w:rPr>
          <w:i/>
        </w:rPr>
        <w:t>non bis in idem</w:t>
      </w:r>
      <w:r>
        <w:t xml:space="preserve">. No hay identidad fáctica en el presupuesto de aplicación, porque la sanción penal es consecuencia de la declaración de condena por el hecho delictivo, cuyo enjuiciamiento, incluida la prueba, en todos los aspectos objetivos y subjetivos determinantes de la responsabilidad penal, se ha de obtener a través de un proceso penal con todas las garantías en el que resuelve un órgano judicial penal, mientras que la aplicación de la regla de inelegibilidad electoral se anuda, de forma directa y exclusiva, al hecho puramente objetivo de que existe una sentencia condenatoria </w:t>
      </w:r>
      <w:r>
        <w:lastRenderedPageBreak/>
        <w:t>por determinados delitos. Tampoco cabe compartir que tenga relevancia alguna aquí la invocación de una supuesta afectación del derecho a la doble instancia en el proceso penal. La aplicación del art. 6 LOREG no impide recurrir la sentencia penal, como ha hecho el recurrente, si bien ha obtenido una sentencia confirmatoria de la de condena, según se reseñó anteriormente.</w:t>
      </w:r>
    </w:p>
    <w:p w14:paraId="66A17005" w14:textId="77777777" w:rsidR="003754FE" w:rsidRDefault="003754FE" w:rsidP="003754FE">
      <w:pPr>
        <w:pStyle w:val="TextoNormal"/>
      </w:pPr>
    </w:p>
    <w:p w14:paraId="41D24D7F" w14:textId="4B17A2DB" w:rsidR="003754FE" w:rsidRDefault="003754FE" w:rsidP="003754FE">
      <w:pPr>
        <w:pStyle w:val="TextoNormal"/>
      </w:pPr>
      <w:r>
        <w:t>En definitiva, no procede acoger la tesis de vulneración de derechos fundamentales relativos a la presunción de inocencia, o doble instancia penal toda vez que lo que en este procedimiento se cuestiona es, en el fondo, la legalidad de una resolución administrativa, sin ninguna justificación, motivo por el que no deberá otorgarse el amparo solicitado.</w:t>
      </w:r>
    </w:p>
    <w:p w14:paraId="06887F63" w14:textId="77777777" w:rsidR="003754FE" w:rsidRDefault="003754FE" w:rsidP="003754FE">
      <w:pPr>
        <w:pStyle w:val="TextoNormal"/>
      </w:pPr>
    </w:p>
    <w:p w14:paraId="2C0DA2A8" w14:textId="77777777" w:rsidR="003754FE" w:rsidRDefault="003754FE" w:rsidP="003754FE">
      <w:pPr>
        <w:pStyle w:val="TextoNormal"/>
      </w:pPr>
      <w:r w:rsidRPr="003754FE">
        <w:rPr>
          <w:rStyle w:val="NumeroAFNegritaCaracter"/>
        </w:rPr>
        <w:t>10</w:t>
      </w:r>
      <w:r>
        <w:t>. La representación procesal del partido político Ciudadanos-Partido de la Ciudadanía, formuló sus alegaciones mediante escrito registrado el 30 de enero de 2023.</w:t>
      </w:r>
    </w:p>
    <w:p w14:paraId="20D7AC34" w14:textId="77777777" w:rsidR="003754FE" w:rsidRDefault="003754FE" w:rsidP="003754FE">
      <w:pPr>
        <w:pStyle w:val="TextoNormal"/>
      </w:pPr>
    </w:p>
    <w:p w14:paraId="52338AAE" w14:textId="77777777" w:rsidR="003754FE" w:rsidRDefault="003754FE" w:rsidP="003754FE">
      <w:pPr>
        <w:pStyle w:val="TextoNormal"/>
      </w:pPr>
      <w:r>
        <w:t>Comienza poniendo de manifiesto que la presunta vulneración de derechos por la administración electoral planteada por el recurrente se trata de una mera reproducción literal de las consideraciones empleadas en la demanda formalizada ante el Tribunal Supremo. El subrayado carácter subsidiario del recurso de amparo excluye la admisibilidad del recurso basado en la mera reproducción textual de los argumentos empleados en sede judicial. En cualquier caso, solicita la desestimación íntegra de la demanda.</w:t>
      </w:r>
    </w:p>
    <w:p w14:paraId="4E9761ED" w14:textId="77777777" w:rsidR="003754FE" w:rsidRDefault="003754FE" w:rsidP="003754FE">
      <w:pPr>
        <w:pStyle w:val="TextoNormal"/>
      </w:pPr>
    </w:p>
    <w:p w14:paraId="6C40B59E" w14:textId="77777777" w:rsidR="003754FE" w:rsidRDefault="003754FE" w:rsidP="003754FE">
      <w:pPr>
        <w:pStyle w:val="TextoNormal"/>
      </w:pPr>
      <w:r>
        <w:t>En cuanto a la competencia de la Junta Electoral Central y la inexistencia de lesión a derecho fundamental alguno, explica que el art. 6.2 c) LOREG en relación con el art. 6.4 LOREG establece que son inelegibles “los condenados por sentencia, aunque no sea firme, por delitos […] contra la administración pública o contra las instituciones del Estado cuando la misma haya establecido la pena de inhabilitación para el ejercicio del derecho de sufragio pasivo o la de inhabilitación absoluta o especial o de suspensión para empleo o cargo público en los términos previstos en la legislación penal” [art. 6.2 c)] y que “las causas de inelegibilidad lo son también de incompatibilidad” (art. 6.4).</w:t>
      </w:r>
    </w:p>
    <w:p w14:paraId="357A7F63" w14:textId="77777777" w:rsidR="003754FE" w:rsidRDefault="003754FE" w:rsidP="003754FE">
      <w:pPr>
        <w:pStyle w:val="TextoNormal"/>
      </w:pPr>
    </w:p>
    <w:p w14:paraId="051D176C" w14:textId="77777777" w:rsidR="003754FE" w:rsidRDefault="003754FE" w:rsidP="003754FE">
      <w:pPr>
        <w:pStyle w:val="TextoNormal"/>
      </w:pPr>
      <w:r>
        <w:t>Recuerda que, de conformidad con lo establecido en la disposición adicional primera LOREG, se aplican a las elecciones de las asambleas legislativas de las comunidades autónomas, entre otros, los artículos 1 a 42 (apartado segundo). Refleja así la ley orgánica la delimitación que efectúa el artículo 81 CE, al establecer que son leyes orgánicas, entre otras, las que aprueban el régimen electoral general, concepto que, conforme explicó el Tribunal Constitucional, comprende no solo la regulación completa de las elecciones generales, sino también los principios y la regulación precisa de todos los procesos electorales. Desde esta perspectiva, se explica con facilidad que las determinaciones contenidas en el art. 6 LOREG reclaman su aplicación sin que se produzcan interferencias competenciales con ninguna regulación autonómica. El acuerdo recurrido aplica, por lo tanto, una regulación estatal plenamente válida, que regula las causas de inelegibilidad que son, a su vez, causas de incompatibilidad. Por la razón competencial ya indicada, ninguna norma autonómica puede modificar, desplazar o sustituir el contenido de la LOREG que nos ocupa.</w:t>
      </w:r>
    </w:p>
    <w:p w14:paraId="62F91853" w14:textId="77777777" w:rsidR="003754FE" w:rsidRDefault="003754FE" w:rsidP="003754FE">
      <w:pPr>
        <w:pStyle w:val="TextoNormal"/>
      </w:pPr>
    </w:p>
    <w:p w14:paraId="62D37754" w14:textId="77777777" w:rsidR="003754FE" w:rsidRDefault="003754FE" w:rsidP="003754FE">
      <w:pPr>
        <w:pStyle w:val="TextoNormal"/>
      </w:pPr>
      <w:r>
        <w:t xml:space="preserve">La STS 477/2020 se ha pronunciado también sobre la competencia de la junta electoral en el caso: “La competencia de la Junta Electoral Central se ajusta al ordenamiento electoral”. La sentencia impugnada explicó, además, que existían numerosos precedentes bien recientes que reconocen y aplican la competencia de la junta electoral. Razonó con </w:t>
      </w:r>
      <w:r>
        <w:lastRenderedPageBreak/>
        <w:t>detenimiento respecto a la significación de la especial reserva de ley orgánica que se atribuye a la LOREG desde la STC 72/1984, y que el art. 21 LOREG permite recurrir ante la junta electoral de superior categoría cualquier decisión de una junta inferior a no ser que exista un procedimiento específico de revisión, que en el caso no concurre. Y explicó (fundamento jurídico noveno) que corresponde a la Junta Electoral Central la competencia para declarar la inelegibilidad derivada de una condena por sentencia no firme, como se ha declarado en la jurisprudencia de la propia Sala, allí citada, aplicable igualmente al supuesto de hecho, además, por razones de seguridad jurídica y de igualdad.</w:t>
      </w:r>
    </w:p>
    <w:p w14:paraId="3DACE7C3" w14:textId="77777777" w:rsidR="003754FE" w:rsidRDefault="003754FE" w:rsidP="003754FE">
      <w:pPr>
        <w:pStyle w:val="TextoNormal"/>
      </w:pPr>
    </w:p>
    <w:p w14:paraId="0D6D4872" w14:textId="77777777" w:rsidR="003754FE" w:rsidRDefault="003754FE" w:rsidP="003754FE">
      <w:pPr>
        <w:pStyle w:val="TextoNormal"/>
      </w:pPr>
      <w:r>
        <w:t>Destaca igualmente que no se trata en el caso de un procedimiento penal ni sancionador, “sino pura y simplemente ante la declaración de una condición de inelegibilidad, que lo es también de incompatibilidad, como consecuencia o efecto extrapenal de una condena penal”.</w:t>
      </w:r>
    </w:p>
    <w:p w14:paraId="5069FABA" w14:textId="77777777" w:rsidR="003754FE" w:rsidRDefault="003754FE" w:rsidP="003754FE">
      <w:pPr>
        <w:pStyle w:val="TextoNormal"/>
      </w:pPr>
    </w:p>
    <w:p w14:paraId="73E82A3F" w14:textId="77777777" w:rsidR="003754FE" w:rsidRDefault="003754FE" w:rsidP="003754FE">
      <w:pPr>
        <w:pStyle w:val="TextoNormal"/>
      </w:pPr>
      <w:r>
        <w:t>No existe lesión de los derechos fundamentales protegidos por los arts. 16, 20 y 21 CE. No existe, ni remotamente, no ya lesión, sino ni siquiera afectación de ningún tipo a ninguno de los derechos protegidos por aquellos preceptos constitucionales: la libertad ideológica del recurrente, su libertad de expresión ni el derecho de reunión se han visto afectados.</w:t>
      </w:r>
    </w:p>
    <w:p w14:paraId="03AD3D86" w14:textId="77777777" w:rsidR="003754FE" w:rsidRDefault="003754FE" w:rsidP="003754FE">
      <w:pPr>
        <w:pStyle w:val="TextoNormal"/>
      </w:pPr>
    </w:p>
    <w:p w14:paraId="0843DF68" w14:textId="77777777" w:rsidR="003754FE" w:rsidRDefault="003754FE" w:rsidP="003754FE">
      <w:pPr>
        <w:pStyle w:val="TextoNormal"/>
      </w:pPr>
      <w:r>
        <w:t>No se ha vulnerado el derecho fundamental a la presunción de inocencia: la condena penal en sentencia no firme constituye una causa de inelegibilidad (que lo es de incompatibilidad) expresamente prevista en la Ley Orgánica del régimen electoral general; la aplicación de una causa expresamente prevista en la legislación no tiene que ver con la ejecución anticipada de una sentencia no firme, sino con la aplicación de una causa legal expresamente fijada, de forma clara, precisa y previsible. No se trata de un asunto de Derecho penal, sino de los efectos legalmente previstos de una condena penal. Entiende también que la invocación de la Directiva (UE) 2016/343 (“aplicable a todas las fases del proceso penal”, como recuerda el propio recurrente) en un procedimiento de naturaleza no penal resulta, manifiestamente, extravagante e irrelevante.</w:t>
      </w:r>
    </w:p>
    <w:p w14:paraId="2400308B" w14:textId="77777777" w:rsidR="003754FE" w:rsidRDefault="003754FE" w:rsidP="003754FE">
      <w:pPr>
        <w:pStyle w:val="TextoNormal"/>
      </w:pPr>
    </w:p>
    <w:p w14:paraId="2888423C" w14:textId="77777777" w:rsidR="003754FE" w:rsidRDefault="003754FE" w:rsidP="003754FE">
      <w:pPr>
        <w:pStyle w:val="TextoNormal"/>
      </w:pPr>
      <w:r>
        <w:t>El recurrente ha planteado que, en su particular visión de las cosas, la Junta Electoral Central carecía de la “obligada imparcialidad”. Realmente no sostiene tal cosa, aunque lo manifieste en el título del motivo de impugnación, ya que en su formulación afirma que cuatro vocales de la Junta Electoral Central actuaron con parcialidad, lo que vulneraría su derecho de sufragio pasivo. No consta que el recurrente hubiese formulado recusación frente a ninguno de los miembros de la Junta Electoral Central, salvo en lo que se refiere al vocal señor Vidal Prado, que fue desestimada por acuerdo de la Junta Electoral Central de 3 de enero de 2020, que no consta impugnado por lo que constituye un acto firme y consentido.</w:t>
      </w:r>
    </w:p>
    <w:p w14:paraId="560B160C" w14:textId="77777777" w:rsidR="003754FE" w:rsidRDefault="003754FE" w:rsidP="003754FE">
      <w:pPr>
        <w:pStyle w:val="TextoNormal"/>
      </w:pPr>
    </w:p>
    <w:p w14:paraId="316FA069" w14:textId="77777777" w:rsidR="003754FE" w:rsidRDefault="003754FE" w:rsidP="003754FE">
      <w:pPr>
        <w:pStyle w:val="TextoNormal"/>
      </w:pPr>
      <w:r>
        <w:t>La jurisprudencia, antigua y estable, tiene declarado que no puede admitirse la crítica a la imparcialidad de los titulares del órgano administrativo, autor del acto recurrido ante la jurisdicción, cuando no se ha planteado la recusación en la vía administrativa. Es lo que sucede en el caso, de forma que el propio comportamiento del recurrente determina la desestimación del motivo.</w:t>
      </w:r>
    </w:p>
    <w:p w14:paraId="4CA27447" w14:textId="77777777" w:rsidR="003754FE" w:rsidRDefault="003754FE" w:rsidP="003754FE">
      <w:pPr>
        <w:pStyle w:val="TextoNormal"/>
      </w:pPr>
    </w:p>
    <w:p w14:paraId="46246AE6" w14:textId="77777777" w:rsidR="003754FE" w:rsidRDefault="003754FE" w:rsidP="003754FE">
      <w:pPr>
        <w:pStyle w:val="TextoNormal"/>
      </w:pPr>
      <w:r>
        <w:t xml:space="preserve">Por otro lado, no existe explicitado ni justificado en la demanda ningún motivo o razón que respalde la gratuita imputación de parcialidad que se predica de cuatro vocales de la Junta Electoral Central. Constituye un requisito imprescindible para declarar no solo la </w:t>
      </w:r>
      <w:r>
        <w:lastRenderedPageBreak/>
        <w:t>parcialidad, sino el incumplimiento de la obligación de abstención, cuando existe una inequívoca presunción de imparcialidad de los miembros de aquel órgano de la administración electoral. Esta circunstancia determina, por una razón más, la procedencia de la desestimación del motivo de impugnación.</w:t>
      </w:r>
    </w:p>
    <w:p w14:paraId="0BB017EE" w14:textId="77777777" w:rsidR="003754FE" w:rsidRDefault="003754FE" w:rsidP="003754FE">
      <w:pPr>
        <w:pStyle w:val="TextoNormal"/>
      </w:pPr>
    </w:p>
    <w:p w14:paraId="3434E7C6" w14:textId="02F58808" w:rsidR="003754FE" w:rsidRDefault="003754FE" w:rsidP="003754FE">
      <w:pPr>
        <w:pStyle w:val="TextoNormal"/>
      </w:pPr>
      <w:r>
        <w:t>Por último, considera que la sentencia impugnada no incurre en vulneración alguna del derecho a una resolución judicial motivada y fundada en Derecho ya que respeta manifiestamente las exigencias de congruencia, exhaustividad y motivación.</w:t>
      </w:r>
    </w:p>
    <w:p w14:paraId="11983EF7" w14:textId="77777777" w:rsidR="003754FE" w:rsidRDefault="003754FE" w:rsidP="003754FE">
      <w:pPr>
        <w:pStyle w:val="TextoNormal"/>
      </w:pPr>
    </w:p>
    <w:p w14:paraId="271DCE65" w14:textId="77777777" w:rsidR="003754FE" w:rsidRDefault="003754FE" w:rsidP="003754FE">
      <w:pPr>
        <w:pStyle w:val="TextoNormal"/>
      </w:pPr>
      <w:r w:rsidRPr="003754FE">
        <w:rPr>
          <w:rStyle w:val="NumeroAFNegritaCaracter"/>
        </w:rPr>
        <w:t>11</w:t>
      </w:r>
      <w:r>
        <w:t>. La representación procesal del Partido Popular formuló sus alegaciones mediante escrito de 6 de marzo de 2023.</w:t>
      </w:r>
    </w:p>
    <w:p w14:paraId="007C1345" w14:textId="77777777" w:rsidR="003754FE" w:rsidRDefault="003754FE" w:rsidP="003754FE">
      <w:pPr>
        <w:pStyle w:val="TextoNormal"/>
      </w:pPr>
    </w:p>
    <w:p w14:paraId="35AB1511" w14:textId="77777777" w:rsidR="003754FE" w:rsidRDefault="003754FE" w:rsidP="003754FE">
      <w:pPr>
        <w:pStyle w:val="TextoNormal"/>
      </w:pPr>
      <w:r>
        <w:t>Frente a la tesis del recurrente sobre que las juntas electorales carecen de la facultad para declarar una inelegibilidad sobrevenida o posterior a los comicios para los cuales se constituyeron, el Partido Popular sostiene lo contrario. Entiende que, sin perjuicio de que las juntas electorales se constituyen con causa en unos específicos comicios, nada en la ley establece acerca de que su competencia haya de quedar exclusivamente circunscrita a dichos procesos electorales para los que fueron constituidas. Manifiestan, igualmente, que, como mantiene la sentencia recurrida, la competencia parlamentaria y la de la propia administración electoral para valorar supuestos de inelegibilidad sobrevenida resulta ser una competencia en todo caso compartida entre ambas, sin que una excluya a la otra como sostiene en su recurso la representación procesal del recurrente.</w:t>
      </w:r>
    </w:p>
    <w:p w14:paraId="516526C0" w14:textId="77777777" w:rsidR="003754FE" w:rsidRDefault="003754FE" w:rsidP="003754FE">
      <w:pPr>
        <w:pStyle w:val="TextoNormal"/>
      </w:pPr>
    </w:p>
    <w:p w14:paraId="6C6BBF4A" w14:textId="77777777" w:rsidR="003754FE" w:rsidRDefault="003754FE" w:rsidP="003754FE">
      <w:pPr>
        <w:pStyle w:val="TextoNormal"/>
      </w:pPr>
      <w:r>
        <w:t>Respecto del debate sobre la normativa a aplicar en un escenario de inelegibilidad sobrevenida o incompatibilidad, defiende que esta será la LOREG. Ello no infringe las previsiones del Estatuto de Autonomía de Cataluña, como argumenta el recurrente en amparo. La Constitución Española señala en su art. 70 que la ley electoral determinará las causas de inelegibilidad e incompatibilidad de diputados y senadores, con el sentido y la significación por nadie discutida de que tales materias solo pueden ser reguladas por la referida ley.</w:t>
      </w:r>
    </w:p>
    <w:p w14:paraId="31C58789" w14:textId="77777777" w:rsidR="003754FE" w:rsidRDefault="003754FE" w:rsidP="003754FE">
      <w:pPr>
        <w:pStyle w:val="TextoNormal"/>
      </w:pPr>
    </w:p>
    <w:p w14:paraId="13D5AF8A" w14:textId="77777777" w:rsidR="003754FE" w:rsidRDefault="003754FE" w:rsidP="003754FE">
      <w:pPr>
        <w:pStyle w:val="TextoNormal"/>
      </w:pPr>
      <w:r>
        <w:t xml:space="preserve">Como bien establece la sentencia recurrida, el art. 21 LOREG permite recurrir ante la junta electoral de superior rango, cualquier decisión de una junta electoral inferior, a no ser que exista un procedimiento específico de revisión, lo que no sucede en el asunto que nos ocupa. Defiende, frente a la tesis del recurrente, la especial reserva de ley orgánica que se atribuye a la LOREG desde la STC 72/1984, </w:t>
      </w:r>
      <w:r w:rsidRPr="003754FE">
        <w:rPr>
          <w:i/>
        </w:rPr>
        <w:t>ex</w:t>
      </w:r>
      <w:r>
        <w:t xml:space="preserve"> art. 70 CE, citada por la sentencia que se recurre y que pone de manifiesto que el texto constitucional es suficientemente explícito cuando dice en el aludido precepto que la ley electoral determinará las causas de inelegibilidad e incompatibilidad de diputados y senadores, con el sentido y la significación por nadie discutida de que tales materias solo pueden ser reguladas por la referida ley.</w:t>
      </w:r>
    </w:p>
    <w:p w14:paraId="53167A26" w14:textId="77777777" w:rsidR="003754FE" w:rsidRDefault="003754FE" w:rsidP="003754FE">
      <w:pPr>
        <w:pStyle w:val="TextoNormal"/>
      </w:pPr>
    </w:p>
    <w:p w14:paraId="3230A371" w14:textId="77777777" w:rsidR="003754FE" w:rsidRDefault="003754FE" w:rsidP="003754FE">
      <w:pPr>
        <w:pStyle w:val="TextoNormal"/>
      </w:pPr>
      <w:r>
        <w:t xml:space="preserve">La parte recurrente mantiene en su recurso de amparo la tesis de que el art. 6.2 b) LOREG no es susceptible de ser tratado como una verdadera causa de incompatibilidad a los efectos del art. 6.4 de dicho cuerpo legal. No obstante ello, el citado art. 6.2 b) no deja lugar a la duda al establecer que son inelegibles los condenados por sentencia, aunque no sea firme, por delitos de rebelión, de terrorismo, contra la administración pública o contra las instituciones del Estado cuando la misma haya establecido la pena de inhabilitación para el ejercicio del derecho de sufragio pasivo o la de inhabilitación absoluta o especial o de suspensión para empleo o cargo público en los términos previstos en la legislación penal. La mera </w:t>
      </w:r>
      <w:r>
        <w:lastRenderedPageBreak/>
        <w:t>lectura del precepto transcrito hace más que evidente que lo que contiene es una causa de incompatibilidad pues impide que un diputado condenado por delito contra la administración pública resulte elegible debido a la pena de inhabilitación que comporta, ello aunque, como es el caso, la sentencia condenatoria no sea aún firme.</w:t>
      </w:r>
    </w:p>
    <w:p w14:paraId="4B01847D" w14:textId="77777777" w:rsidR="003754FE" w:rsidRDefault="003754FE" w:rsidP="003754FE">
      <w:pPr>
        <w:pStyle w:val="TextoNormal"/>
      </w:pPr>
    </w:p>
    <w:p w14:paraId="7E5F8BD6" w14:textId="77777777" w:rsidR="003754FE" w:rsidRDefault="003754FE" w:rsidP="003754FE">
      <w:pPr>
        <w:pStyle w:val="TextoNormal"/>
      </w:pPr>
      <w:r>
        <w:t>Por otra parte, se descarta que el art. 6.2 b) LOREG lesione el principio de presunción de inocencia. Los acuerdos impugnados en este recurso no suponen transgresión, o vulneración alguna del derecho fundamental reconocido en el art. 23.2 CE, en relación con lo previsto en su art. 23.1 ni tampoco han vulnerado el derecho a la presunción de inocencia, junto con el resto de los derechos fundamentales invocados por la adversa como transgredidos por la sentencia recurrida en amparo.</w:t>
      </w:r>
    </w:p>
    <w:p w14:paraId="23FB572E" w14:textId="77777777" w:rsidR="003754FE" w:rsidRDefault="003754FE" w:rsidP="003754FE">
      <w:pPr>
        <w:pStyle w:val="TextoNormal"/>
      </w:pPr>
    </w:p>
    <w:p w14:paraId="65CA8BDF" w14:textId="77777777" w:rsidR="003754FE" w:rsidRDefault="003754FE" w:rsidP="003754FE">
      <w:pPr>
        <w:pStyle w:val="TextoNormal"/>
      </w:pPr>
      <w:r>
        <w:t>Sobre la constitucionalidad del art. 6.2 b) LOREG, entiende el partido alegante que el derecho a la presunción de inocencia del recurrente ha sido respetado por el Tribunal Superior de Justicia de Cataluña en el procedimiento penal que condujo a la sentencia de la que deriva para el recurrente la pena de inhabilitación absoluta, sentencia que ha sido confirmada por la Sala de lo Penal del Tribunal Supremo.</w:t>
      </w:r>
    </w:p>
    <w:p w14:paraId="06048DFB" w14:textId="77777777" w:rsidR="003754FE" w:rsidRDefault="003754FE" w:rsidP="003754FE">
      <w:pPr>
        <w:pStyle w:val="TextoNormal"/>
      </w:pPr>
    </w:p>
    <w:p w14:paraId="10139FAF" w14:textId="77777777" w:rsidR="003754FE" w:rsidRDefault="003754FE" w:rsidP="003754FE">
      <w:pPr>
        <w:pStyle w:val="TextoNormal"/>
      </w:pPr>
      <w:r>
        <w:t>En cuanto a las alegaciones sobre la vulneración de derechos fundamentales al entender que los procedimientos de los que tales resoluciones dimanan tienen la naturaleza de sancionadores, entiende el Partido Popular que esa interpretación constituye un entendimiento muy sesgado para, a continuación, poner de manifiesto la colisión de tales resoluciones con derechos fundamentales. La resolución que tiene alcance punitivo o sancionador en cualquier caso es la sentencia de la Sala de lo Civil y Penal del Tribunal Superior de Justicia de Barcelona que condena al recurrente por un delito de desobediencia a la pena de inhabilitación, que le impide el desempeño y ejercicio como diputado al Parlamento de Cataluña.</w:t>
      </w:r>
    </w:p>
    <w:p w14:paraId="7E67BAA8" w14:textId="77777777" w:rsidR="003754FE" w:rsidRDefault="003754FE" w:rsidP="003754FE">
      <w:pPr>
        <w:pStyle w:val="TextoNormal"/>
      </w:pPr>
    </w:p>
    <w:p w14:paraId="00C35D60" w14:textId="77777777" w:rsidR="003754FE" w:rsidRDefault="003754FE" w:rsidP="003754FE">
      <w:pPr>
        <w:pStyle w:val="TextoNormal"/>
      </w:pPr>
      <w:r>
        <w:t>Resulta obvio que la Junta Electoral Central, al conocer el contenido de la sentencia penal que condena al recurrente, no ha revisado ni tampoco podría hacerlo, los hechos y circunstancias que llevan al Tribunal Superior de Justicia de Cataluña a pronunciar la sentencia condenatoria. Por lo tanto, no parece acertado jurídicamente aducir que las resoluciones de la Junta Electoral Provincial de Barcelona, de la Junta Electoral Central y la sentencia dictada por la Sala de lo Contencioso-Administrativo del Tribunal Supremo sean resoluciones punitivas y que los procedimientos de que tales acuerdos o resoluciones dimanan tengan el carácter de sancionadores. Los hechos que condujeron al dictado de la sentencia penal contra el recurrente ya fueron probados, examinados y valorados por el Tribunal Superior de Justicia de Cataluña, con todas las garantías que establece nuestro ordenamiento jurídico y, especialmente, el derecho a la defensa, a la presunción de inocencia y a la doble instancia penal.</w:t>
      </w:r>
    </w:p>
    <w:p w14:paraId="336A388A" w14:textId="77777777" w:rsidR="003754FE" w:rsidRDefault="003754FE" w:rsidP="003754FE">
      <w:pPr>
        <w:pStyle w:val="TextoNormal"/>
      </w:pPr>
    </w:p>
    <w:p w14:paraId="538FAD4B" w14:textId="77777777" w:rsidR="003754FE" w:rsidRDefault="003754FE" w:rsidP="003754FE">
      <w:pPr>
        <w:pStyle w:val="TextoNormal"/>
      </w:pPr>
      <w:r>
        <w:t>Por lo tanto, no tiene ningún sentido decir que los acuerdos de las juntas electorales, la Provincial de Barcelona y la Central, junto con la sentencia de la Sala de lo Contencioso-Administrativo del Tribunal Supremo, desoigan o contravengan el derecho a la presunción de inocencia. La misma consideración merece la alegación sobre la doble instancia penal.</w:t>
      </w:r>
    </w:p>
    <w:p w14:paraId="47CDDB88" w14:textId="77777777" w:rsidR="003754FE" w:rsidRDefault="003754FE" w:rsidP="003754FE">
      <w:pPr>
        <w:pStyle w:val="TextoNormal"/>
      </w:pPr>
    </w:p>
    <w:p w14:paraId="4B63F3D8" w14:textId="77777777" w:rsidR="003754FE" w:rsidRDefault="003754FE" w:rsidP="003754FE">
      <w:pPr>
        <w:pStyle w:val="TextoNormal"/>
      </w:pPr>
      <w:r>
        <w:t xml:space="preserve">En cuanto a la recusación por parte del recurrente de determinados vocales adscritos a la Junta Electoral Central, consideran que el recurrente se limita a atribuir supuestos prejuicios ideológicos a una parte de quienes componían la Junta Electoral Central, sin que exista una </w:t>
      </w:r>
      <w:r>
        <w:lastRenderedPageBreak/>
        <w:t>mínima acreditación o prueba de que tales vocales debían abstenerse; de hecho, la recusación planteada por el recurrente ante la Junta Electoral Central fue desoída por su manifiesta falta de fundamento.</w:t>
      </w:r>
    </w:p>
    <w:p w14:paraId="7B323A4C" w14:textId="77777777" w:rsidR="003754FE" w:rsidRDefault="003754FE" w:rsidP="003754FE">
      <w:pPr>
        <w:pStyle w:val="TextoNormal"/>
      </w:pPr>
    </w:p>
    <w:p w14:paraId="2478BEAF" w14:textId="77777777" w:rsidR="003754FE" w:rsidRDefault="003754FE" w:rsidP="003754FE">
      <w:pPr>
        <w:pStyle w:val="TextoNormal"/>
      </w:pPr>
      <w:r>
        <w:t>Como afirma la sentencia recurrida, no cabe aceptar tal deber de abstención por falta de base legal. Resulta muy claro, a juicio del Partido Popular, que los miembros de la Junta Electoral Central que participaron en la elaboración y dictado de la resolución de 20 de enero de 2020, objeto del recurso de amparo, no se encontraban “contaminados” por prejuicio ideológico alguno.</w:t>
      </w:r>
    </w:p>
    <w:p w14:paraId="4C20011B" w14:textId="77777777" w:rsidR="003754FE" w:rsidRDefault="003754FE" w:rsidP="003754FE">
      <w:pPr>
        <w:pStyle w:val="TextoNormal"/>
      </w:pPr>
    </w:p>
    <w:p w14:paraId="57DEB1EE" w14:textId="5F5F10F9" w:rsidR="003754FE" w:rsidRDefault="003754FE" w:rsidP="003754FE">
      <w:pPr>
        <w:pStyle w:val="TextoNormal"/>
      </w:pPr>
      <w:r>
        <w:t>Sobre la supuesta vulneración del derecho a una resolución judicial motivada y fundada en Derecho que denuncia el recurrente en su recurso de amparo, el partido alegante sostiene que los acuerdos de las juntas electorales y la sentencia de la Sala de lo Contencioso-Administrativo del Tribunal Supremo cumplen sobradamente con los estándares de razonabilidad, lógica y motivación que vienen siendo establecidos por la jurisprudencia del Tribunal Constitucional. Cuestión distinta es que el recurrente en amparo no esté de acuerdo con la justificación argumental de las resoluciones que impugna mediante el recurso al que se contrae el presente escrito de alegaciones.</w:t>
      </w:r>
    </w:p>
    <w:p w14:paraId="72793F51" w14:textId="77777777" w:rsidR="003754FE" w:rsidRDefault="003754FE" w:rsidP="003754FE">
      <w:pPr>
        <w:pStyle w:val="TextoNormal"/>
      </w:pPr>
    </w:p>
    <w:p w14:paraId="13004DE4" w14:textId="5EF3C9CC" w:rsidR="003754FE" w:rsidRDefault="003754FE" w:rsidP="003754FE">
      <w:pPr>
        <w:pStyle w:val="TextoNormal"/>
      </w:pPr>
      <w:r w:rsidRPr="003754FE">
        <w:rPr>
          <w:rStyle w:val="NumeroAFNegritaCaracter"/>
        </w:rPr>
        <w:t>12</w:t>
      </w:r>
      <w:r>
        <w:t xml:space="preserve">. El día 3 de diciembre de 2021, el recurrente y otros presentaron escrito promoviendo la recusación del magistrado don Enrique Arnaldo Alcubilla y de la magistrada doña Concepción Espejel Jorquera, con fundamento en la causa prevista en el apartado décimo del art. 219 LOPJ, y que fue inadmitido </w:t>
      </w:r>
      <w:r w:rsidRPr="003754FE">
        <w:rPr>
          <w:i/>
        </w:rPr>
        <w:t>a limine</w:t>
      </w:r>
      <w:r>
        <w:t xml:space="preserve"> junto con las presentadas en distintos recursos de amparo relacionados con el </w:t>
      </w:r>
      <w:r w:rsidRPr="003754FE">
        <w:rPr>
          <w:i/>
        </w:rPr>
        <w:t>procés</w:t>
      </w:r>
      <w:r>
        <w:t>, por ATC 107/2021, de 15 de diciembre, por apoyarse en meras afirmaciones huérfanas de todo sustento en hechos concretos.</w:t>
      </w:r>
    </w:p>
    <w:p w14:paraId="708C338F" w14:textId="77777777" w:rsidR="003754FE" w:rsidRDefault="003754FE" w:rsidP="003754FE">
      <w:pPr>
        <w:pStyle w:val="TextoNormal"/>
      </w:pPr>
    </w:p>
    <w:p w14:paraId="0083E0D5" w14:textId="08449479" w:rsidR="003754FE" w:rsidRDefault="003754FE" w:rsidP="003754FE">
      <w:pPr>
        <w:pStyle w:val="TextoNormal"/>
      </w:pPr>
      <w:r w:rsidRPr="003754FE">
        <w:rPr>
          <w:rStyle w:val="NumeroAFNegritaCaracter"/>
        </w:rPr>
        <w:t>13</w:t>
      </w:r>
      <w:r>
        <w:t xml:space="preserve">. El demandante de amparo y otros plantearon solicitudes de aclaración y recursos de súplica respecto del ATC 107/2021. Por ATC 17/2022, de 25 de enero, se inadmitieron las solicitudes de aclaración porque fueron planteadas al margen de los supuestos contemplados en la ley. Los recursos de súplica se desestimaron con base en la fundamentación del propio auto controvertido, reiterando que la decisión de inadmisión </w:t>
      </w:r>
      <w:r w:rsidRPr="003754FE">
        <w:rPr>
          <w:i/>
        </w:rPr>
        <w:t>a limine</w:t>
      </w:r>
      <w:r>
        <w:t xml:space="preserve"> se puede adoptar por todos los componentes del Tribunal, incluidos los magistrados recusados y abstenidos, sin incurrir en vicio de parcialidad si, como ocurre en este caso, los motivos de recusación invocados se apoyan en meras afirmaciones huérfanas de todo sustento en hechos concretos y comportan un uso abusivo de la recusación que pretenda impedir el normal ejercicio de la jurisdicción constitucional.</w:t>
      </w:r>
    </w:p>
    <w:p w14:paraId="1535FB8D" w14:textId="77777777" w:rsidR="003754FE" w:rsidRDefault="003754FE" w:rsidP="003754FE">
      <w:pPr>
        <w:pStyle w:val="TextoNormal"/>
      </w:pPr>
    </w:p>
    <w:p w14:paraId="418C87DB" w14:textId="4744B9B2" w:rsidR="003754FE" w:rsidRDefault="003754FE" w:rsidP="003754FE">
      <w:pPr>
        <w:pStyle w:val="TextoNormal"/>
      </w:pPr>
      <w:r w:rsidRPr="003754FE">
        <w:rPr>
          <w:rStyle w:val="NumeroAFNegritaCaracter"/>
        </w:rPr>
        <w:t>14</w:t>
      </w:r>
      <w:r>
        <w:t>. Por providencia de 12 de diciembre 2024 se señaló para deliberación y votación de la presente sentencia el día 16 del mismo mes y año.</w:t>
      </w:r>
    </w:p>
    <w:p w14:paraId="0DA54427" w14:textId="77777777" w:rsidR="003754FE" w:rsidRDefault="003754FE" w:rsidP="003754FE">
      <w:pPr>
        <w:pStyle w:val="TextoNormal"/>
      </w:pPr>
    </w:p>
    <w:p w14:paraId="284ABF01" w14:textId="77777777" w:rsidR="003754FE" w:rsidRDefault="003754FE" w:rsidP="003754FE">
      <w:pPr>
        <w:pStyle w:val="TextoNormalNegritaCentrado"/>
        <w:keepNext/>
      </w:pPr>
      <w:r>
        <w:t>II. Fundamentos jurídicos</w:t>
      </w:r>
    </w:p>
    <w:p w14:paraId="28354635" w14:textId="1ED33952" w:rsidR="003754FE" w:rsidRDefault="003754FE" w:rsidP="003754FE">
      <w:pPr>
        <w:pStyle w:val="TextoNormalNegritaCentrado"/>
        <w:keepNext/>
      </w:pPr>
    </w:p>
    <w:p w14:paraId="55114B25" w14:textId="77777777" w:rsidR="003754FE" w:rsidRDefault="003754FE" w:rsidP="003754FE">
      <w:pPr>
        <w:pStyle w:val="TextoNormal"/>
      </w:pPr>
      <w:r w:rsidRPr="003754FE">
        <w:rPr>
          <w:rStyle w:val="NumeroAFNegritaCaracter"/>
        </w:rPr>
        <w:t>1</w:t>
      </w:r>
      <w:r>
        <w:t xml:space="preserve">. </w:t>
      </w:r>
      <w:r w:rsidRPr="003754FE">
        <w:rPr>
          <w:i/>
        </w:rPr>
        <w:t>Objeto del recurso de amparo y pretensión del recurrente</w:t>
      </w:r>
    </w:p>
    <w:p w14:paraId="2EC2DAD2" w14:textId="77777777" w:rsidR="003754FE" w:rsidRDefault="003754FE" w:rsidP="003754FE">
      <w:pPr>
        <w:pStyle w:val="TextoNormal"/>
      </w:pPr>
    </w:p>
    <w:p w14:paraId="5760B49D" w14:textId="77777777" w:rsidR="003754FE" w:rsidRDefault="003754FE" w:rsidP="003754FE">
      <w:pPr>
        <w:pStyle w:val="TextoNormal"/>
      </w:pPr>
      <w:r>
        <w:t xml:space="preserve">a) El objeto del presente recurso de amparo lo constituyen las siguientes resoluciones: el acuerdo de la Junta Electoral Central de 3 de enero de 2020, los acuerdos de la Junta </w:t>
      </w:r>
      <w:r>
        <w:lastRenderedPageBreak/>
        <w:t>Electoral Provincial de Barcelona de 10 y 27 de enero de 2020 y la sentencia de la Sala de lo Contencioso-Administrativo del Tribunal Supremo núm. 1061/2021, de 20 de julio, por la que se desestima el recurso contencioso administrativo núm. 8-2020 interpuesto frente a dichos acuerdos.</w:t>
      </w:r>
    </w:p>
    <w:p w14:paraId="29A774DA" w14:textId="77777777" w:rsidR="003754FE" w:rsidRDefault="003754FE" w:rsidP="003754FE">
      <w:pPr>
        <w:pStyle w:val="TextoNormal"/>
      </w:pPr>
    </w:p>
    <w:p w14:paraId="645204BF" w14:textId="77777777" w:rsidR="003754FE" w:rsidRDefault="003754FE" w:rsidP="003754FE">
      <w:pPr>
        <w:pStyle w:val="TextoNormal"/>
      </w:pPr>
      <w:r>
        <w:t>Como se ha puesto de manifiesto en los antecedentes de esta sentencia, la Junta Electoral Central mediante acuerdo de 3 de enero de 2020, declaró que el recurrente estaba incurso en la causa de inelegibilidad sobrevenida del art. 6.2 b) LOREG en razón de haber sido condenado “como autor penalmente responsable de un delito de desobediencia” a las penas de multa de diez meses con una cuota diaria de cien euros y una responsabilidad personal subsidiaria de un día de privación de libertad por cada dos cuotas no abonadas, e “inhabilitación especial para el ejercicio de cargos públicos electivos, ya sean de ámbito local, autonómico, estatal o europeo, así como para el desempeño de funciones de gobierno en los ámbitos local, autonómico y del Estado, por tiempo de un (1) año y seis (6) meses” por sentencia, no firme, dictada el día 19 de diciembre de 2019 (procedimiento abreviado núm. 1-2019) por la Sala de lo Civil y Penal del Tribunal Superior de Justicia de Cataluña.</w:t>
      </w:r>
    </w:p>
    <w:p w14:paraId="6ECBD7DC" w14:textId="77777777" w:rsidR="003754FE" w:rsidRDefault="003754FE" w:rsidP="003754FE">
      <w:pPr>
        <w:pStyle w:val="TextoNormal"/>
      </w:pPr>
    </w:p>
    <w:p w14:paraId="4AF06DFD" w14:textId="77777777" w:rsidR="003754FE" w:rsidRDefault="003754FE" w:rsidP="003754FE">
      <w:pPr>
        <w:pStyle w:val="TextoNormal"/>
      </w:pPr>
      <w:r>
        <w:t>La Junta Electoral Central, acordó en la misma resolución dejar sin efecto la credencial de diputado electo al Parlamento de Cataluña por la circunscripción electoral de Barcelona del recurrente.</w:t>
      </w:r>
    </w:p>
    <w:p w14:paraId="323227BF" w14:textId="77777777" w:rsidR="003754FE" w:rsidRDefault="003754FE" w:rsidP="003754FE">
      <w:pPr>
        <w:pStyle w:val="TextoNormal"/>
      </w:pPr>
    </w:p>
    <w:p w14:paraId="2A9D506A" w14:textId="77777777" w:rsidR="003754FE" w:rsidRDefault="003754FE" w:rsidP="003754FE">
      <w:pPr>
        <w:pStyle w:val="TextoNormal"/>
      </w:pPr>
      <w:r>
        <w:t>La Junta Electoral Provincial de Barcelona, mediante acuerdos de 10 y de 27 de enero de 2020, llevó a efecto lo ordenado por la Junta Electoral Central en el anterior acuerdo.</w:t>
      </w:r>
    </w:p>
    <w:p w14:paraId="0048B80E" w14:textId="77777777" w:rsidR="003754FE" w:rsidRDefault="003754FE" w:rsidP="003754FE">
      <w:pPr>
        <w:pStyle w:val="TextoNormal"/>
      </w:pPr>
    </w:p>
    <w:p w14:paraId="2779046E" w14:textId="77777777" w:rsidR="003754FE" w:rsidRDefault="003754FE" w:rsidP="003754FE">
      <w:pPr>
        <w:pStyle w:val="TextoNormal"/>
      </w:pPr>
      <w:r>
        <w:t>La sentencia de la Sala de lo Contencioso-Administrativo del Tribunal Supremo núm. 1061/2021, de 20 de julio, desestimó el recurso contencioso administrativo interpuesto por el demandante contra los anteriores acuerdos.</w:t>
      </w:r>
    </w:p>
    <w:p w14:paraId="1E6A11AD" w14:textId="77777777" w:rsidR="003754FE" w:rsidRDefault="003754FE" w:rsidP="003754FE">
      <w:pPr>
        <w:pStyle w:val="TextoNormal"/>
      </w:pPr>
    </w:p>
    <w:p w14:paraId="168FAE78" w14:textId="77777777" w:rsidR="003754FE" w:rsidRDefault="003754FE" w:rsidP="003754FE">
      <w:pPr>
        <w:pStyle w:val="TextoNormal"/>
      </w:pPr>
      <w:r>
        <w:t>Todas estas resoluciones son el objeto del presente recurso.</w:t>
      </w:r>
    </w:p>
    <w:p w14:paraId="20468BC6" w14:textId="77777777" w:rsidR="003754FE" w:rsidRDefault="003754FE" w:rsidP="003754FE">
      <w:pPr>
        <w:pStyle w:val="TextoNormal"/>
      </w:pPr>
    </w:p>
    <w:p w14:paraId="55D0D247" w14:textId="77777777" w:rsidR="003754FE" w:rsidRDefault="003754FE" w:rsidP="003754FE">
      <w:pPr>
        <w:pStyle w:val="TextoNormal"/>
      </w:pPr>
      <w:r>
        <w:t>b) El demandante de amparo, como ha quedado reflejado en los antecedentes de esta sentencia, alega la violación de los arts. 14, 16, 20, 23, 24 y 25 CE que atribuye a la resolución de la Junta Electoral Central y también, de manera subsidiaria, a la sentencia del Tribunal Supremo, en tanto que no remedió las violaciones denunciadas. Asimismo, imputa una lesión autónoma del art. 24.1 CE a la sentencia del Tribunal Supremo por vulneración del derecho a la tutela judicial efectiva (art. 24.1 CE) en su vertiente de derecho a una resolución motivada y fundada en Derecho. Considera también que se ha vulnerado el art. 3 del Protocolo núm. 1 al CEDH, y el art. 1 del Protocolo núm. 12 al CEDH, en relación con los artículos 6 y 13 de dicho convenio.</w:t>
      </w:r>
    </w:p>
    <w:p w14:paraId="2B458BFD" w14:textId="77777777" w:rsidR="003754FE" w:rsidRDefault="003754FE" w:rsidP="003754FE">
      <w:pPr>
        <w:pStyle w:val="TextoNormal"/>
      </w:pPr>
    </w:p>
    <w:p w14:paraId="2631951D" w14:textId="77777777" w:rsidR="003754FE" w:rsidRDefault="003754FE" w:rsidP="003754FE">
      <w:pPr>
        <w:pStyle w:val="TextoNormal"/>
      </w:pPr>
      <w:r>
        <w:t>Todas las demás partes personadas, Cortes Generales, Ministerio Fiscal, partidos políticos de Ciudadanos-Partido de la Ciudadanía, Vox y Partido Popular, han solicitado la desestimación íntegra de la demanda de amparo.</w:t>
      </w:r>
    </w:p>
    <w:p w14:paraId="400BC32D" w14:textId="77777777" w:rsidR="003754FE" w:rsidRDefault="003754FE" w:rsidP="003754FE">
      <w:pPr>
        <w:pStyle w:val="TextoNormal"/>
      </w:pPr>
    </w:p>
    <w:p w14:paraId="445838F1" w14:textId="50D56083" w:rsidR="003754FE" w:rsidRDefault="003754FE" w:rsidP="003754FE">
      <w:pPr>
        <w:pStyle w:val="TextoNormal"/>
      </w:pPr>
      <w:r>
        <w:t>Además, el Ministerio Fiscal solicita su inadmisión parcial por falta de agotamiento de la vía judicial previa, en relación con las quejas que el recurrente imputa a la sentencia dictada por el Tribunal Supremo, al no haber interpuesto incidente de nulidad contra la citada resolución.</w:t>
      </w:r>
    </w:p>
    <w:p w14:paraId="67DC3966" w14:textId="77777777" w:rsidR="003754FE" w:rsidRDefault="003754FE" w:rsidP="003754FE">
      <w:pPr>
        <w:pStyle w:val="TextoNormal"/>
      </w:pPr>
    </w:p>
    <w:p w14:paraId="5CA9EA80" w14:textId="77777777" w:rsidR="003754FE" w:rsidRDefault="003754FE" w:rsidP="003754FE">
      <w:pPr>
        <w:pStyle w:val="TextoNormal"/>
      </w:pPr>
      <w:r w:rsidRPr="003754FE">
        <w:rPr>
          <w:rStyle w:val="NumeroAFNegritaCaracter"/>
        </w:rPr>
        <w:t>2</w:t>
      </w:r>
      <w:r>
        <w:t xml:space="preserve">. </w:t>
      </w:r>
      <w:r w:rsidRPr="003754FE">
        <w:rPr>
          <w:i/>
        </w:rPr>
        <w:t>Consideraciones iniciales</w:t>
      </w:r>
    </w:p>
    <w:p w14:paraId="026A8283" w14:textId="77777777" w:rsidR="003754FE" w:rsidRDefault="003754FE" w:rsidP="003754FE">
      <w:pPr>
        <w:pStyle w:val="TextoNormal"/>
      </w:pPr>
    </w:p>
    <w:p w14:paraId="6EB06700" w14:textId="77777777" w:rsidR="003754FE" w:rsidRDefault="003754FE" w:rsidP="003754FE">
      <w:pPr>
        <w:pStyle w:val="TextoNormal"/>
      </w:pPr>
      <w:r>
        <w:t>La complejidad del asunto planteado y, especialmente, la falta de una exposición clara de las quejas contenidas en la demanda de amparo, que entremezclan argumentos con pretensiones de una manera especialmente confusa, obliga a sistematizar los diferentes derechos fundamentales supuestamente vulnerados con las alegaciones planteadas en el recurso.</w:t>
      </w:r>
    </w:p>
    <w:p w14:paraId="55ECEE97" w14:textId="77777777" w:rsidR="003754FE" w:rsidRDefault="003754FE" w:rsidP="003754FE">
      <w:pPr>
        <w:pStyle w:val="TextoNormal"/>
      </w:pPr>
    </w:p>
    <w:p w14:paraId="49F2652F" w14:textId="77777777" w:rsidR="003754FE" w:rsidRDefault="003754FE" w:rsidP="003754FE">
      <w:pPr>
        <w:pStyle w:val="TextoNormal"/>
      </w:pPr>
      <w:r>
        <w:t>Sin perjuicio de que en los antecedentes de esta sentencia se han expuesto las quejas y alegaciones del recurrente según el orden contenido en la demanda de amparo, es oportuno para su correcto análisis, sistematizar las vulneraciones alegadas de la siguiente manera:</w:t>
      </w:r>
    </w:p>
    <w:p w14:paraId="429A3566" w14:textId="77777777" w:rsidR="003754FE" w:rsidRDefault="003754FE" w:rsidP="003754FE">
      <w:pPr>
        <w:pStyle w:val="TextoNormal"/>
      </w:pPr>
    </w:p>
    <w:p w14:paraId="414E219E" w14:textId="77777777" w:rsidR="003754FE" w:rsidRDefault="003754FE" w:rsidP="003754FE">
      <w:pPr>
        <w:pStyle w:val="TextoNormal"/>
      </w:pPr>
      <w:r>
        <w:t xml:space="preserve">A) La principal pretensión del recurrente es que se declare la violación del art. 23 CE, que relaciona a lo largo de la demanda con los arts. 14, 16 y 20 CE, si bien sobre estos últimos preceptos y los derechos fundamentales en ellos contenidos, el recurrente no ha realizado ningún desarrollo argumentativo. Debe recordarse que este tribunal ha afirmado, por todas, STC 90/2024, de 17 de junio, FJ 2, que “[u]no de los requisitos de la demanda de amparo es la aportación de una argumentación suficiente sobre la pretensión que se formula y la </w:t>
      </w:r>
      <w:r w:rsidRPr="003754FE">
        <w:rPr>
          <w:i/>
        </w:rPr>
        <w:t>causa petendi</w:t>
      </w:r>
      <w:r>
        <w:t xml:space="preserve"> en la que se sustenta (art. 49.1 LOTC). Ha señalado al respecto este tribunal que sobre quien impetra el amparo constitucional pesa, no solamente la carga de abrir la vía para que este tribunal pueda pronunciarse sobre las vulneraciones de la Constitución que se aleguen, sino además la de proporcionar la fundamentación jurídica y fáctica que razonablemente cabe esperar, y que se integra en el deber de colaborar con la jurisdicción constitucional, sin que le corresponda a este tribunal reconstruir de oficio las demandas, suplir los razonamientos de las partes, ni suscitar la eventual existencia de los motivos relevantes para el amparo fuera de la vía prevista en el art. 84 LOTC”. Por ello, y puesto que el recurrente se limita a citar los preceptos constitucionales mencionados sin mayor desarrollo, en el análisis de esta queja se analizará, exclusivamente, la alegada vulneración del art. 23 CE, única queja que desarrolla.</w:t>
      </w:r>
    </w:p>
    <w:p w14:paraId="75901B8C" w14:textId="77777777" w:rsidR="003754FE" w:rsidRDefault="003754FE" w:rsidP="003754FE">
      <w:pPr>
        <w:pStyle w:val="TextoNormal"/>
      </w:pPr>
    </w:p>
    <w:p w14:paraId="570E6CF5" w14:textId="77777777" w:rsidR="003754FE" w:rsidRDefault="003754FE" w:rsidP="003754FE">
      <w:pPr>
        <w:pStyle w:val="TextoNormal"/>
      </w:pPr>
      <w:r>
        <w:t>Dentro de la aducida lesión del art. 23 CE, el demandante basa sus argumentos en los siguientes:</w:t>
      </w:r>
    </w:p>
    <w:p w14:paraId="6D3E1963" w14:textId="77777777" w:rsidR="003754FE" w:rsidRDefault="003754FE" w:rsidP="003754FE">
      <w:pPr>
        <w:pStyle w:val="TextoNormal"/>
      </w:pPr>
    </w:p>
    <w:p w14:paraId="64DC2F4A" w14:textId="77777777" w:rsidR="003754FE" w:rsidRDefault="003754FE" w:rsidP="003754FE">
      <w:pPr>
        <w:pStyle w:val="TextoNormal"/>
      </w:pPr>
      <w:r>
        <w:t>a) La no aplicabilidad de la Ley Orgánica del régimen electoral general, en concreto, de su art. 6.2 b), con relación a los diputados del Parlamento catalán, y por tanto el reconocimiento de que el recurrente no se halla incurso en ningún supuesto legal aplicable de incompatibilidad o inelegibilidad;</w:t>
      </w:r>
    </w:p>
    <w:p w14:paraId="51E07870" w14:textId="77777777" w:rsidR="003754FE" w:rsidRDefault="003754FE" w:rsidP="003754FE">
      <w:pPr>
        <w:pStyle w:val="TextoNormal"/>
      </w:pPr>
    </w:p>
    <w:p w14:paraId="18F957F6" w14:textId="77777777" w:rsidR="003754FE" w:rsidRDefault="003754FE" w:rsidP="003754FE">
      <w:pPr>
        <w:pStyle w:val="TextoNormal"/>
      </w:pPr>
      <w:r>
        <w:t>b) La falta de competencia de la Junta Electoral Central: (i) falta de competencia objetiva o material de la administración electoral, en concreto de la Junta Electoral Central para decretar la inelegibilidad del recurrente, así como, (ii) la falta de competencia funcional de la Junta Electoral Central para conocer los recursos frente a las resoluciones de la juntas provinciales y, por último dentro de este apartado y (iii) la falta de competencia temporal de las juntas electorales para actuar una vez finalizado el proceso electoral para el que se constituyeron.</w:t>
      </w:r>
    </w:p>
    <w:p w14:paraId="73F5F376" w14:textId="77777777" w:rsidR="003754FE" w:rsidRDefault="003754FE" w:rsidP="003754FE">
      <w:pPr>
        <w:pStyle w:val="TextoNormal"/>
      </w:pPr>
    </w:p>
    <w:p w14:paraId="70B1E248" w14:textId="77777777" w:rsidR="003754FE" w:rsidRDefault="003754FE" w:rsidP="003754FE">
      <w:pPr>
        <w:pStyle w:val="TextoNormal"/>
      </w:pPr>
      <w:r>
        <w:t>c) La nulidad del acuerdo de la Junta Electoral Central impugnado por obviar el procedimiento legalmente establecido.</w:t>
      </w:r>
    </w:p>
    <w:p w14:paraId="693983FD" w14:textId="77777777" w:rsidR="003754FE" w:rsidRDefault="003754FE" w:rsidP="003754FE">
      <w:pPr>
        <w:pStyle w:val="TextoNormal"/>
      </w:pPr>
    </w:p>
    <w:p w14:paraId="32D9FD35" w14:textId="77777777" w:rsidR="003754FE" w:rsidRDefault="003754FE" w:rsidP="003754FE">
      <w:pPr>
        <w:pStyle w:val="TextoNormal"/>
      </w:pPr>
      <w:r>
        <w:t>B) Alega también la vulneración de algunos derechos contenidos en el art. 24 CE, con base en los siguientes argumentos:</w:t>
      </w:r>
    </w:p>
    <w:p w14:paraId="262CBFDA" w14:textId="77777777" w:rsidR="003754FE" w:rsidRDefault="003754FE" w:rsidP="003754FE">
      <w:pPr>
        <w:pStyle w:val="TextoNormal"/>
      </w:pPr>
    </w:p>
    <w:p w14:paraId="3C8F1491" w14:textId="77777777" w:rsidR="003754FE" w:rsidRDefault="003754FE" w:rsidP="003754FE">
      <w:pPr>
        <w:pStyle w:val="TextoNormal"/>
      </w:pPr>
      <w:r>
        <w:t>a) Vulneración de su derecho a la presunción de inocencia, art. 24.2 CE, por la aplicación del art. 6.2 b) LOREG que presume su culpabilidad a pesar de no existir una resolución judicial firme que le condene.</w:t>
      </w:r>
    </w:p>
    <w:p w14:paraId="324A570F" w14:textId="77777777" w:rsidR="003754FE" w:rsidRDefault="003754FE" w:rsidP="003754FE">
      <w:pPr>
        <w:pStyle w:val="TextoNormal"/>
      </w:pPr>
    </w:p>
    <w:p w14:paraId="049A5D37" w14:textId="77777777" w:rsidR="003754FE" w:rsidRDefault="003754FE" w:rsidP="003754FE">
      <w:pPr>
        <w:pStyle w:val="TextoNormal"/>
      </w:pPr>
      <w:r>
        <w:t>b) Dentro de esta queja considera que dicho precepto es contrario a la Constitución y al Derecho europeo y, por tanto, procedería el planteamiento de una cuestión interna de inconstitucionalidad y/o de una cuestión prejudicial ante el Tribunal de Justicia de la Unión Europea.</w:t>
      </w:r>
    </w:p>
    <w:p w14:paraId="062AB75C" w14:textId="77777777" w:rsidR="003754FE" w:rsidRDefault="003754FE" w:rsidP="003754FE">
      <w:pPr>
        <w:pStyle w:val="TextoNormal"/>
      </w:pPr>
    </w:p>
    <w:p w14:paraId="0B0F0DA1" w14:textId="77777777" w:rsidR="003754FE" w:rsidRDefault="003754FE" w:rsidP="003754FE">
      <w:pPr>
        <w:pStyle w:val="TextoNormal"/>
      </w:pPr>
      <w:r>
        <w:t>c) Vulneración del principio de legalidad penal por la aplicación del citado artículo de la Ley Orgánica del régimen electoral general y de su derecho a una doble instancia penal, alegando también una supuesta lesión del principi</w:t>
      </w:r>
      <w:r w:rsidRPr="003754FE">
        <w:rPr>
          <w:i/>
        </w:rPr>
        <w:t>o non bis in id</w:t>
      </w:r>
      <w:r>
        <w:t>em.</w:t>
      </w:r>
    </w:p>
    <w:p w14:paraId="6E402689" w14:textId="77777777" w:rsidR="003754FE" w:rsidRDefault="003754FE" w:rsidP="003754FE">
      <w:pPr>
        <w:pStyle w:val="TextoNormal"/>
      </w:pPr>
    </w:p>
    <w:p w14:paraId="36A24588" w14:textId="77777777" w:rsidR="003754FE" w:rsidRDefault="003754FE" w:rsidP="003754FE">
      <w:pPr>
        <w:pStyle w:val="TextoNormal"/>
      </w:pPr>
      <w:r>
        <w:t>d) Aduce la supuesta falta de imparcialidad de algunos miembros de la Junta Electoral Central.</w:t>
      </w:r>
    </w:p>
    <w:p w14:paraId="12DC37B5" w14:textId="77777777" w:rsidR="003754FE" w:rsidRDefault="003754FE" w:rsidP="003754FE">
      <w:pPr>
        <w:pStyle w:val="TextoNormal"/>
      </w:pPr>
    </w:p>
    <w:p w14:paraId="50138B94" w14:textId="77777777" w:rsidR="003754FE" w:rsidRDefault="003754FE" w:rsidP="003754FE">
      <w:pPr>
        <w:pStyle w:val="TextoNormal"/>
      </w:pPr>
      <w:r>
        <w:t>e) Finalmente, alega también una supuesta indefensión por insuficiencia de plazo para defender su derecho.</w:t>
      </w:r>
    </w:p>
    <w:p w14:paraId="2A88A95F" w14:textId="77777777" w:rsidR="003754FE" w:rsidRDefault="003754FE" w:rsidP="003754FE">
      <w:pPr>
        <w:pStyle w:val="TextoNormal"/>
      </w:pPr>
    </w:p>
    <w:p w14:paraId="4C2EC9D1" w14:textId="58F6AC7F" w:rsidR="003754FE" w:rsidRDefault="003754FE" w:rsidP="003754FE">
      <w:pPr>
        <w:pStyle w:val="TextoNormal"/>
      </w:pPr>
      <w:r>
        <w:t>C) Por último, en relación con la sentencia dictada por el Tribunal Supremo, alega la vulneración de su derecho a la tutela judicial efectiva, art. 24 CE, por su falta de motivación.</w:t>
      </w:r>
    </w:p>
    <w:p w14:paraId="7F094CA1" w14:textId="77777777" w:rsidR="003754FE" w:rsidRDefault="003754FE" w:rsidP="003754FE">
      <w:pPr>
        <w:pStyle w:val="TextoNormal"/>
      </w:pPr>
    </w:p>
    <w:p w14:paraId="63FBDD91" w14:textId="77777777" w:rsidR="003754FE" w:rsidRDefault="003754FE" w:rsidP="003754FE">
      <w:pPr>
        <w:pStyle w:val="TextoNormal"/>
      </w:pPr>
      <w:r w:rsidRPr="003754FE">
        <w:rPr>
          <w:rStyle w:val="NumeroAFNegritaCaracter"/>
        </w:rPr>
        <w:t>3</w:t>
      </w:r>
      <w:r>
        <w:t xml:space="preserve">. </w:t>
      </w:r>
      <w:r w:rsidRPr="003754FE">
        <w:rPr>
          <w:i/>
        </w:rPr>
        <w:t>Óbices procesales</w:t>
      </w:r>
    </w:p>
    <w:p w14:paraId="6F413ABC" w14:textId="77777777" w:rsidR="003754FE" w:rsidRDefault="003754FE" w:rsidP="003754FE">
      <w:pPr>
        <w:pStyle w:val="TextoNormal"/>
      </w:pPr>
    </w:p>
    <w:p w14:paraId="34A154B7" w14:textId="77777777" w:rsidR="003754FE" w:rsidRDefault="003754FE" w:rsidP="003754FE">
      <w:pPr>
        <w:pStyle w:val="TextoNormal"/>
      </w:pPr>
      <w:r>
        <w:t>Como se ha señalado antes, el Ministerio Fiscal subraya que el demandante atribuye a la sentencia de la Sala de lo Contencioso-Administrativo del Tribunal Supremo de 20 de julio de 2021, además de las alegadas vulneraciones —por no haberlas reparado— de los mismos derechos fundamentales que considera que le fueron lesionados por la administración electoral, una vulneración autónoma de su derecho a la tutela judicial efectiva, art. 24 CE.</w:t>
      </w:r>
    </w:p>
    <w:p w14:paraId="0AD953F8" w14:textId="77777777" w:rsidR="003754FE" w:rsidRDefault="003754FE" w:rsidP="003754FE">
      <w:pPr>
        <w:pStyle w:val="TextoNormal"/>
      </w:pPr>
    </w:p>
    <w:p w14:paraId="59850132" w14:textId="77777777" w:rsidR="003754FE" w:rsidRDefault="003754FE" w:rsidP="003754FE">
      <w:pPr>
        <w:pStyle w:val="TextoNormal"/>
      </w:pPr>
      <w:r>
        <w:t>Considera el Ministerio Fiscal que al plantear directamente el demandante ante el Tribunal Constitucional esa concreta queja, desconoce la naturaleza subsidiaria del recurso de amparo, puesto que no dio ocasión al órgano sentenciador de pronunciarse sobre tales vulneraciones, y en su caso proceder a su reparación. La demanda incumple, a su juicio, el requisito no subsanable de agotamiento de la vía judicial previa [art. 44.1 a) LOTC].</w:t>
      </w:r>
    </w:p>
    <w:p w14:paraId="349F8B83" w14:textId="77777777" w:rsidR="003754FE" w:rsidRDefault="003754FE" w:rsidP="003754FE">
      <w:pPr>
        <w:pStyle w:val="TextoNormal"/>
      </w:pPr>
    </w:p>
    <w:p w14:paraId="7C95BBB5" w14:textId="77777777" w:rsidR="003754FE" w:rsidRDefault="003754FE" w:rsidP="003754FE">
      <w:pPr>
        <w:pStyle w:val="TextoNormal"/>
      </w:pPr>
      <w:r>
        <w:t xml:space="preserve">Debemos compartir el criterio del Ministerio Público. Este tribunal ha reiterado de manera constante, por todas, STC 112/2019, de 3 de octubre, FJ 3, que “la exigencia de agotar la vía judicial, ‘lejos de constituir una formalidad vacía, supone un elemento esencial para respetar la subsidiariedad del recurso de amparo y, en última instancia, para garantizar la correcta articulación entre este tribunal y los órganos integrantes del Poder Judicial’, pues son a los órganos judiciales a quienes ‘primeramente corresponde la reparación de las posibles lesiones de derechos invocadas por los ciudadanos’. Por esta razón, la sentencia citada sostiene que ‘cuando existe un recurso susceptible de ser utilizado y adecuado por su </w:t>
      </w:r>
      <w:r>
        <w:lastRenderedPageBreak/>
        <w:t>carácter y naturaleza para tutelar la libertad o derecho que se entiende vulnerado, tal recurso ha de interponerse antes de acudir a este tribunal’”.</w:t>
      </w:r>
    </w:p>
    <w:p w14:paraId="50B56AE3" w14:textId="77777777" w:rsidR="003754FE" w:rsidRDefault="003754FE" w:rsidP="003754FE">
      <w:pPr>
        <w:pStyle w:val="TextoNormal"/>
      </w:pPr>
    </w:p>
    <w:p w14:paraId="4BF1AB6C" w14:textId="252CB682" w:rsidR="003754FE" w:rsidRDefault="003754FE" w:rsidP="003754FE">
      <w:pPr>
        <w:pStyle w:val="TextoNormal"/>
      </w:pPr>
      <w:r>
        <w:t>En el presente caso, como ha puesto de manifiesto el Ministerio Fiscal, las quejas que el recurrente imputa a la sentencia del Tribunal Supremo —violaciones de derechos fundamentales autónomas, supuestamente ocasionadas por dicho tribunal—, deben ser inadmitidas al no haber interpuesto el recurrente un incidente de nulidad, que hubiera sido el remedio procesal oportuno para una posible reparación de las violaciones aducidas. Por ello, la queja que encuadra el recurrente dentro del art. 24 CE y que se refiere a la falta de motivación de la sentencia del Tribunal Supremo, es inadmitida.</w:t>
      </w:r>
    </w:p>
    <w:p w14:paraId="3CE85BBD" w14:textId="77777777" w:rsidR="003754FE" w:rsidRDefault="003754FE" w:rsidP="003754FE">
      <w:pPr>
        <w:pStyle w:val="TextoNormal"/>
      </w:pPr>
    </w:p>
    <w:p w14:paraId="146A3992" w14:textId="77777777" w:rsidR="003754FE" w:rsidRDefault="003754FE" w:rsidP="003754FE">
      <w:pPr>
        <w:pStyle w:val="TextoNormal"/>
      </w:pPr>
      <w:r w:rsidRPr="003754FE">
        <w:rPr>
          <w:rStyle w:val="NumeroAFNegritaCaracter"/>
        </w:rPr>
        <w:t>4</w:t>
      </w:r>
      <w:r>
        <w:t xml:space="preserve">. </w:t>
      </w:r>
      <w:r w:rsidRPr="003754FE">
        <w:rPr>
          <w:i/>
        </w:rPr>
        <w:t>Sobre la vulneración de art. 23 CE por la aplicabilidad de las causas de incompatibilidad e inelegibilidad de diputados autonómicos; sobre las competencias de la administración electoral en relación con las mismas y sobre la regularidad del procedimiento</w:t>
      </w:r>
    </w:p>
    <w:p w14:paraId="13B997E7" w14:textId="77777777" w:rsidR="003754FE" w:rsidRDefault="003754FE" w:rsidP="003754FE">
      <w:pPr>
        <w:pStyle w:val="TextoNormal"/>
      </w:pPr>
    </w:p>
    <w:p w14:paraId="2DD515B9" w14:textId="77777777" w:rsidR="003754FE" w:rsidRDefault="003754FE" w:rsidP="003754FE">
      <w:pPr>
        <w:pStyle w:val="TextoNormal"/>
      </w:pPr>
      <w:r>
        <w:t xml:space="preserve">a) </w:t>
      </w:r>
      <w:r w:rsidRPr="003754FE">
        <w:rPr>
          <w:i/>
        </w:rPr>
        <w:t>Sobre la aplicabilidad del art. 6.2 b) LOREG a los diputados autonómicos del Parlamento Catalán</w:t>
      </w:r>
    </w:p>
    <w:p w14:paraId="759D8B57" w14:textId="77777777" w:rsidR="003754FE" w:rsidRDefault="003754FE" w:rsidP="003754FE">
      <w:pPr>
        <w:pStyle w:val="TextoNormal"/>
      </w:pPr>
    </w:p>
    <w:p w14:paraId="7994EDCB" w14:textId="77777777" w:rsidR="003754FE" w:rsidRDefault="003754FE" w:rsidP="003754FE">
      <w:pPr>
        <w:pStyle w:val="TextoNormal"/>
      </w:pPr>
      <w:r>
        <w:t>Dentro de la queja relativa al art. 23 CE, es preciso analizar, en primer lugar, uno de los principales argumentos del recurrente: la no aplicabilidad de la Ley Orgánica del régimen electoral general, en concreto de su art. 6.2 b), a los diputados del Parlamento catalán, y, por tanto, el reconocimiento de que no se halla incurso en ningún supuesto legal aplicable de incompatibilidad o inelegibilidad.</w:t>
      </w:r>
    </w:p>
    <w:p w14:paraId="28EB2293" w14:textId="77777777" w:rsidR="003754FE" w:rsidRDefault="003754FE" w:rsidP="003754FE">
      <w:pPr>
        <w:pStyle w:val="TextoNormal"/>
      </w:pPr>
    </w:p>
    <w:p w14:paraId="0B33C6F3" w14:textId="77777777" w:rsidR="003754FE" w:rsidRDefault="003754FE" w:rsidP="003754FE">
      <w:pPr>
        <w:pStyle w:val="TextoNormal"/>
      </w:pPr>
      <w:r>
        <w:t>En cuanto a la aplicabilidad del art. 6.2 b) LOREG al recurrente, debe recordarse que, como este tribunal ha afirmado en diversas ocasiones, por todas, STC 155/2014, FJ 2, “[l]a determinación de las incompatibilidades le corresponde al legislador electoral, por previsión expresa de la Constitución”. Expresamente en la citada sentencia dijimos que “las causas de inelegibilidad establecidas en el art. 6 LOREG rigen para los procesos electorales autonómicos, en aplicación de lo dispuesto en la disposición adicional primera, apartado segundo, de esta norma”.</w:t>
      </w:r>
    </w:p>
    <w:p w14:paraId="062C30E4" w14:textId="77777777" w:rsidR="003754FE" w:rsidRDefault="003754FE" w:rsidP="003754FE">
      <w:pPr>
        <w:pStyle w:val="TextoNormal"/>
      </w:pPr>
    </w:p>
    <w:p w14:paraId="295C9635" w14:textId="77777777" w:rsidR="003754FE" w:rsidRDefault="003754FE" w:rsidP="003754FE">
      <w:pPr>
        <w:pStyle w:val="TextoNormal"/>
      </w:pPr>
      <w:r>
        <w:t xml:space="preserve">Además, afirmábamos que “[e]n cuanto a las concretas causas de incompatibilidad, interesa destacar que, en nuestro ordenamiento jurídico, todas las causas de inelegibilidad lo son también de incompatibilidad, pero no a la inversa o, en términos de este tribunal ‘nuestro sistema es el de la concurrencia de supuestos de inelegibilidad, que impiden el convertirse, en quien concurran, en sujeto pasivo de la relación electoral, y de supuestos de incompatibilidad, en los que se transforman las de inelegibilidad que dicen los arts. 4, 5 y 6 [LOREG], operando, en su caso, impidiendo el acceso al cargo o el cese en el mismo, de modo que aquellos, proclamados y aun elegidos, que han quedado posteriormente afectados por tales causas, incurren en incompatibilidad. La causa sobrevenida opera así como supuesto de incompatibilidad, generadora, no de la invalidez de la elección, sino de impedimento para asumir el cargo electivo o de cese, si se hubiera accedido al escaño’ (STC 45/1983, de 25 de mayo, FJ 5). De esta forma, los supuestos de inelegibilidad se transforman en causas de incompatibilidad por expresa previsión del legislador si, aun no concurriendo la tacha cuando el representante concurrió a las elecciones como candidato, una vez electo y, mientras ostente la condición de parlamentario, pretendiera acceder a algunos de los cargos </w:t>
      </w:r>
      <w:r>
        <w:lastRenderedPageBreak/>
        <w:t>calificados como inelegibles que, en ese momento, se transformarían en causas de incompatibilidad” (STC 155/2014, FJ 2).</w:t>
      </w:r>
    </w:p>
    <w:p w14:paraId="40E04C90" w14:textId="77777777" w:rsidR="003754FE" w:rsidRDefault="003754FE" w:rsidP="003754FE">
      <w:pPr>
        <w:pStyle w:val="TextoNormal"/>
      </w:pPr>
    </w:p>
    <w:p w14:paraId="440D8159" w14:textId="77777777" w:rsidR="003754FE" w:rsidRDefault="003754FE" w:rsidP="003754FE">
      <w:pPr>
        <w:pStyle w:val="TextoNormal"/>
      </w:pPr>
      <w:r>
        <w:t>Por tanto, las causas de incompatibilidad e inelegibilidad establecidas en la LOREG se aplican a las elecciones autonómicas, no solo en el ámbito estatal, como así se recoge expresamente en la disposición adicional primera, punto segundo de la mencionada norma. Ello sin perjuicio de que los estatutos de autonomía o los propios reglamentos parlamentarios puedan regular otras causas de incompatibilidad (STC 155/2014, FJ 2).</w:t>
      </w:r>
    </w:p>
    <w:p w14:paraId="7C7163F2" w14:textId="77777777" w:rsidR="003754FE" w:rsidRDefault="003754FE" w:rsidP="003754FE">
      <w:pPr>
        <w:pStyle w:val="TextoNormal"/>
      </w:pPr>
    </w:p>
    <w:p w14:paraId="5C8E39CD" w14:textId="77777777" w:rsidR="003754FE" w:rsidRDefault="003754FE" w:rsidP="003754FE">
      <w:pPr>
        <w:pStyle w:val="TextoNormal"/>
      </w:pPr>
      <w:r>
        <w:t>No cabe olvidar que corresponde al Estado la competencia exclusiva en materia de régimen electoral general (art. 81.1 CE), así como para la regulación de las condiciones básicas que garanticen la igualdad de todos los españoles en el ejercicio de los derechos y en el cumplimiento de los deberes constitucionales (art. 149.1.1 CE).</w:t>
      </w:r>
    </w:p>
    <w:p w14:paraId="23C8E034" w14:textId="77777777" w:rsidR="003754FE" w:rsidRDefault="003754FE" w:rsidP="003754FE">
      <w:pPr>
        <w:pStyle w:val="TextoNormal"/>
      </w:pPr>
    </w:p>
    <w:p w14:paraId="4B464B1E" w14:textId="77777777" w:rsidR="003754FE" w:rsidRDefault="003754FE" w:rsidP="003754FE">
      <w:pPr>
        <w:pStyle w:val="TextoNormal"/>
      </w:pPr>
      <w:r>
        <w:t>Por otra parte, este tribunal no puede compartir, como defiende el recurrente, que una causa de incompatibilidad expresamente recogida en la norma electoral estatal, en este caso en el art. 6.2 b) LOREG, carezca de eficacia en el ámbito de un parlamento autonómico por el hecho de no estar recogida en el reglamento de dicho parlamento. En efecto, el hecho de que este supuesto de inelegibilidad no aparezca recogido en el Reglamento del Parlamento de Cataluña, como se aduce, no es un impedimento para que resulte aplicable el art. 6.2 b) LOREG, en la medida en que, reiteramos, conforme a su disposición adicional primera, este precepto resulta aplicable a las elecciones a las asambleas legislativas de las comunidades autónomas.</w:t>
      </w:r>
    </w:p>
    <w:p w14:paraId="771BEA95" w14:textId="77777777" w:rsidR="003754FE" w:rsidRDefault="003754FE" w:rsidP="003754FE">
      <w:pPr>
        <w:pStyle w:val="TextoNormal"/>
      </w:pPr>
    </w:p>
    <w:p w14:paraId="6AD5C9A3" w14:textId="77777777" w:rsidR="003754FE" w:rsidRDefault="003754FE" w:rsidP="003754FE">
      <w:pPr>
        <w:pStyle w:val="TextoNormal"/>
      </w:pPr>
      <w:r>
        <w:t>En definitiva, la aplicabilidad del art. 6.2 b) LOREG al recurrente es clara por propio mandato legal.</w:t>
      </w:r>
    </w:p>
    <w:p w14:paraId="2F43BCBF" w14:textId="77777777" w:rsidR="003754FE" w:rsidRDefault="003754FE" w:rsidP="003754FE">
      <w:pPr>
        <w:pStyle w:val="TextoNormal"/>
      </w:pPr>
    </w:p>
    <w:p w14:paraId="5D8AE00A" w14:textId="77777777" w:rsidR="003754FE" w:rsidRDefault="003754FE" w:rsidP="003754FE">
      <w:pPr>
        <w:pStyle w:val="TextoNormal"/>
      </w:pPr>
      <w:r>
        <w:t>El recurrente negaba estar incurso en causa de incompatibilidad alguna sobre la base de la inaplicabilidad de la Ley Orgánica del régimen electoral general y en el hecho de que la causa de incompatibilidad que se le ha aplicado no está recogida en el Reglamento del Parlamento de Cataluña. Sin embargo, una vez constatado que el mencionado artículo y las causas de incompatibilidad en él recogidas son aplicables al recurrente como diputado autonómico, queda sin efecto su afirmación de que no está incurso en ninguna causa de incompatibilidad.</w:t>
      </w:r>
    </w:p>
    <w:p w14:paraId="2A45A502" w14:textId="77777777" w:rsidR="003754FE" w:rsidRDefault="003754FE" w:rsidP="003754FE">
      <w:pPr>
        <w:pStyle w:val="TextoNormal"/>
      </w:pPr>
    </w:p>
    <w:p w14:paraId="18F028A5" w14:textId="77777777" w:rsidR="003754FE" w:rsidRDefault="003754FE" w:rsidP="003754FE">
      <w:pPr>
        <w:pStyle w:val="TextoNormal"/>
      </w:pPr>
      <w:r>
        <w:t xml:space="preserve">b) </w:t>
      </w:r>
      <w:r w:rsidRPr="003754FE">
        <w:rPr>
          <w:i/>
        </w:rPr>
        <w:t>Sobre la competencia de la administración electoral para apreciar la causa de incompatibilidad del recurrente</w:t>
      </w:r>
    </w:p>
    <w:p w14:paraId="4056D768" w14:textId="77777777" w:rsidR="003754FE" w:rsidRDefault="003754FE" w:rsidP="003754FE">
      <w:pPr>
        <w:pStyle w:val="TextoNormal"/>
      </w:pPr>
    </w:p>
    <w:p w14:paraId="3B98A3DD" w14:textId="77777777" w:rsidR="003754FE" w:rsidRDefault="003754FE" w:rsidP="003754FE">
      <w:pPr>
        <w:pStyle w:val="TextoNormal"/>
      </w:pPr>
      <w:r>
        <w:t>En segundo término, se queja el demandante, dentro de su alegación sobre la lesión de sus derechos recogidos en el art. 23 CE, de la falta de competencia objetiva, temporal y funcional de la administración electoral para declarar la incompatibilidad en la que incurrió.</w:t>
      </w:r>
    </w:p>
    <w:p w14:paraId="629BF4A3" w14:textId="77777777" w:rsidR="003754FE" w:rsidRDefault="003754FE" w:rsidP="003754FE">
      <w:pPr>
        <w:pStyle w:val="TextoNormal"/>
      </w:pPr>
    </w:p>
    <w:p w14:paraId="2B274123" w14:textId="77777777" w:rsidR="003754FE" w:rsidRDefault="003754FE" w:rsidP="003754FE">
      <w:pPr>
        <w:pStyle w:val="TextoNormal"/>
      </w:pPr>
      <w:r>
        <w:t xml:space="preserve">(i) </w:t>
      </w:r>
      <w:r w:rsidRPr="003754FE">
        <w:rPr>
          <w:i/>
        </w:rPr>
        <w:t>Competencia objetiva de la Junta Electoral Central</w:t>
      </w:r>
    </w:p>
    <w:p w14:paraId="7995B6F7" w14:textId="77777777" w:rsidR="003754FE" w:rsidRDefault="003754FE" w:rsidP="003754FE">
      <w:pPr>
        <w:pStyle w:val="TextoNormal"/>
      </w:pPr>
    </w:p>
    <w:p w14:paraId="6056C5A8" w14:textId="77777777" w:rsidR="003754FE" w:rsidRDefault="003754FE" w:rsidP="003754FE">
      <w:pPr>
        <w:pStyle w:val="TextoNormal"/>
      </w:pPr>
      <w:r>
        <w:t>En cuanto a las competencias de la administración electoral, al resolver el recurso de amparo del recurrente en relación con la condena penal de la que trae causa el presente recurso de amparo, en la STC 25/2022, FJ 7.3.3.1 A), ya recordamos que hemos definido la administración electoral como:</w:t>
      </w:r>
    </w:p>
    <w:p w14:paraId="4B2C3AEB" w14:textId="77777777" w:rsidR="003754FE" w:rsidRDefault="003754FE" w:rsidP="003754FE">
      <w:pPr>
        <w:pStyle w:val="TextoNormal"/>
      </w:pPr>
    </w:p>
    <w:p w14:paraId="5BA0BEE1" w14:textId="77777777" w:rsidR="003754FE" w:rsidRDefault="003754FE" w:rsidP="003754FE">
      <w:pPr>
        <w:pStyle w:val="TextoNormal"/>
      </w:pPr>
      <w:r>
        <w:t>«“Una ‘administración de garantía (STC 197/1988, de 24 de octubre, FJ 4) del proceso electoral’ (STC 80/2002, de 8 de abril, FJ 7). Se trata de uno de los ‘ejes sobre los que se articula nuestro sistema electoral (STC 24/1990, de 15 de febrero, FJ 2), que tiene por finalidad garantizar la transparencia y objetividad del proceso electoral y el principio de igualdad (art. 8 LOREG)’ (STC 83/2003, de 5 de mayo, FJ 4). Esta administración especializada se encuentra integrada por juntas que, precisamente por su ‘misión trascendental […] presentan, en su composición y funciones, notables peculiaridades’ (STC 83/2003, de 5 de mayo, FJ 4). Así, están compuestas en su mayoría por magistrados y jueces, y en todo caso presididas por ellos, designados siempre por insaculación (arts. 9 y ss. LOREG)” (STC 24/1990, de 15 de febrero, FJ 2), para ‘asegurar su independencia en el ejercicio de esta función’ (STC 168/1991, de 19 de julio, FJ 2). A ello se une el hecho de que ‘sus miembros son inamovibles [art. 16 LOREG] durante los periodos para los que son elegidos, sin que guarden relación alguna de dependencia con la administración, y que, en su funcionamiento, están protegidos por una serie de garantías tendentes a asegurar su imparcialidad y objetividad en el cumplimiento de la misión’ atribuida por la ley (STC 197/1988, de 24 de octubre, FJ 2).</w:t>
      </w:r>
    </w:p>
    <w:p w14:paraId="445C76F2" w14:textId="77777777" w:rsidR="003754FE" w:rsidRDefault="003754FE" w:rsidP="003754FE">
      <w:pPr>
        <w:pStyle w:val="TextoNormal"/>
      </w:pPr>
    </w:p>
    <w:p w14:paraId="43B6350B" w14:textId="77777777" w:rsidR="003754FE" w:rsidRDefault="003754FE" w:rsidP="003754FE">
      <w:pPr>
        <w:pStyle w:val="TextoNormal"/>
      </w:pPr>
      <w:r>
        <w:t>De lo anterior se deduce que la administración electoral es la administración que garantiza unas elecciones libres, abiertas y competitivas. En la cúspide de esta administración se sitúa la Junta Electoral Central [art. 19.1 c) LOREG]. Se trata de un órgano que, aunque no tenga el carácter de órgano constitucional, se configura como un elemento central del Estado social y democrático de Derecho (art. 1.1 CE), en cuanto que cumple una función de relevancia constitucional. Se instituye como la máxima autoridad competente para la interpretación y aplicación de la normativa electoral, además de otras actuaciones de dirección y gestión, en todos los procesos electorales de carácter político, es decir, en todas las elecciones representativas. Esta centralidad de la Junta Electoral Central en materia electoral es, pues, consecuencia de su trascendente misión en la democracia representativa. Y es precisamente esta misión institucional la que explica el esmero del legislador electoral de asegurar la independencia de este órgano, perfectamente separado e independiente del Ejecutivo, y ajeno a cualquier tutela de los poderes públicos”».</w:t>
      </w:r>
    </w:p>
    <w:p w14:paraId="51AC55B4" w14:textId="77777777" w:rsidR="003754FE" w:rsidRDefault="003754FE" w:rsidP="003754FE">
      <w:pPr>
        <w:pStyle w:val="TextoNormal"/>
      </w:pPr>
    </w:p>
    <w:p w14:paraId="492E4D84" w14:textId="77777777" w:rsidR="003754FE" w:rsidRDefault="003754FE" w:rsidP="003754FE">
      <w:pPr>
        <w:pStyle w:val="TextoNormal"/>
      </w:pPr>
      <w:r>
        <w:t xml:space="preserve">En cuanto a la competencia de las juntas electorales, afirmamos en la citada sentencia: “No cabe duda alguna que las elecciones representativas forman parte del ámbito competencial de una administración especializada como es la electoral, cuyo órgano superior es la Junta Electoral Central [art. 19.1 c) LOREG]. El art. 8.1 LOREG señala que la ‘administración electoral tiene por finalidad garantizar en los términos de la presente ley la transparencia y objetividad del proceso electoral y del principio de igualdad’, mientras que el apartado segundo de ese mismo precepto [en relación con el art. 19.1 c) LOREG] estructura la administración electoral como una administración jerarquizada que está integrada por la Junta Electoral Central —con competencia en todo el territorio nacional (art. 19.2 LOREG, </w:t>
      </w:r>
      <w:r w:rsidRPr="003754FE">
        <w:rPr>
          <w:i/>
        </w:rPr>
        <w:t>sensu contrario</w:t>
      </w:r>
      <w:r>
        <w:t>)— y además por las juntas electorales provinciales y de zona y, en su caso, por las juntas electorales de las comunidades autónomas”.</w:t>
      </w:r>
    </w:p>
    <w:p w14:paraId="6655A173" w14:textId="77777777" w:rsidR="003754FE" w:rsidRDefault="003754FE" w:rsidP="003754FE">
      <w:pPr>
        <w:pStyle w:val="TextoNormal"/>
      </w:pPr>
    </w:p>
    <w:p w14:paraId="14C4387F" w14:textId="77777777" w:rsidR="003754FE" w:rsidRDefault="003754FE" w:rsidP="003754FE">
      <w:pPr>
        <w:pStyle w:val="TextoNormal"/>
      </w:pPr>
      <w:r>
        <w:t xml:space="preserve">En suma, según se desprende de esta jurisprudencia, la administración electoral se constituye en nuestro ordenamiento jurídico como una “administración de garantía”, siendo el eje sobre el que se articula nuestro sistema electoral para garantizar la transparencia y objetividad del proceso electoral. Se trata de una administración especializada, compuesta en su </w:t>
      </w:r>
      <w:r>
        <w:lastRenderedPageBreak/>
        <w:t>mayoría por magistrados y jueces, designados por insaculación, independientes e inamovibles, sin que guarden relación alguna de dependencia con la administración. Es una administración jerarquizada en cuya cúspide se sitúa la Junta Electoral Central, un órgano que, aunque no tenga el carácter de órgano constitucional, se configura como un elemento central del Estado social y democrático de Derecho, en cuanto que cumple una función de relevancia constitucional.</w:t>
      </w:r>
    </w:p>
    <w:p w14:paraId="227E558D" w14:textId="77777777" w:rsidR="003754FE" w:rsidRDefault="003754FE" w:rsidP="003754FE">
      <w:pPr>
        <w:pStyle w:val="TextoNormal"/>
      </w:pPr>
    </w:p>
    <w:p w14:paraId="133D3442" w14:textId="77777777" w:rsidR="003754FE" w:rsidRDefault="003754FE" w:rsidP="003754FE">
      <w:pPr>
        <w:pStyle w:val="TextoNormal"/>
      </w:pPr>
      <w:r>
        <w:t xml:space="preserve">Del art. 47 LOREG se desprende que es la administración electoral la competente para proclamar las candidaturas en los procesos electorales y analizar aquellas para evitar la proclamación de candidatos que no cumplan los requisitos establecidos en la ley, como sería el caso de alguien incurso en una causa de inelegibilidad. Los supuestos de candidatos incursos en causas de inelegibilidad, por lógica, se detectan y se evita su proclamación durante la fase previa a las correspondientes elecciones. No obstante, el legislador orgánico ha regulado en el art. 6.2 b) LOREG, un motivo excepcional que da lugar, aun con posterioridad a la celebración de las elecciones, a un supuesto de “inelegibilidad sobrevenida”, que supone que un candidato que era, en principio elegible, deviene incompatible y, por tanto, inelegible, por una causa sobrevenida, como es, según el citado precepto, la condena, incluso no firme, por la comisión de alguno de los delitos establecidos en dicho artículo. En definitiva, estando legalmente atribuida a la administración electoral </w:t>
      </w:r>
      <w:r w:rsidRPr="003754FE">
        <w:rPr>
          <w:i/>
        </w:rPr>
        <w:t>ex</w:t>
      </w:r>
      <w:r>
        <w:t xml:space="preserve"> art. 47 LOREG, la competencia para declarar las inelegibilidades y, por tanto, la no proclamación de las candidaturas incursas en causas de inelegibilidad, la recta interpretación del citado precepto conduce a la conclusión de que esa misma administración electoral será la competente para apreciar la inelegibilidad sobrevenida regulada en el art. 6.2 b) LOREG.</w:t>
      </w:r>
    </w:p>
    <w:p w14:paraId="645F951A" w14:textId="77777777" w:rsidR="003754FE" w:rsidRDefault="003754FE" w:rsidP="003754FE">
      <w:pPr>
        <w:pStyle w:val="TextoNormal"/>
      </w:pPr>
    </w:p>
    <w:p w14:paraId="3905C6D1" w14:textId="77777777" w:rsidR="003754FE" w:rsidRDefault="003754FE" w:rsidP="003754FE">
      <w:pPr>
        <w:pStyle w:val="TextoNormal"/>
      </w:pPr>
      <w:r>
        <w:t>Si bien el recurrente defiende que debió ser, en su caso, el Parlamento catalán, el órgano competente para aplicar la causa de inelegibilidad y no la Junta Electoral Central, debe señalarse que, como ha manifestado el Ministerio Fiscal en sus alegaciones, lo que no puede aceptarse es que se defienda por un lado la competencia del Parlamento de Cataluña para, simultáneamente, argumentar que la causa de inelegibilidad en cuestión, al no estar prevista en el Reglamento del Parlamento de Cataluña, no puede ser aplicada. Acoger la tesis del recurrente sería asumir que la sentencia de condena, dictada por el Tribunal Superior de Justicia de Cataluña es parcialmente imposible de ejecutar, ya que el art. 6.2 b) LOREG no podría ser aplicado a los diputados del Parlamento de Cataluña.</w:t>
      </w:r>
    </w:p>
    <w:p w14:paraId="4BE3BF26" w14:textId="77777777" w:rsidR="003754FE" w:rsidRDefault="003754FE" w:rsidP="003754FE">
      <w:pPr>
        <w:pStyle w:val="TextoNormal"/>
      </w:pPr>
    </w:p>
    <w:p w14:paraId="43EBF2E7" w14:textId="77777777" w:rsidR="003754FE" w:rsidRDefault="003754FE" w:rsidP="003754FE">
      <w:pPr>
        <w:pStyle w:val="TextoNormal"/>
      </w:pPr>
      <w:r>
        <w:t>En definitiva, por lo que refiere a la competencia material para dictar la resolución de la Junta Electoral Central impugnada, ninguna lesión de los derechos del art. 23 CE puede ser apreciada.</w:t>
      </w:r>
    </w:p>
    <w:p w14:paraId="1953B44B" w14:textId="77777777" w:rsidR="003754FE" w:rsidRDefault="003754FE" w:rsidP="003754FE">
      <w:pPr>
        <w:pStyle w:val="TextoNormal"/>
      </w:pPr>
    </w:p>
    <w:p w14:paraId="7A705660" w14:textId="77777777" w:rsidR="003754FE" w:rsidRDefault="003754FE" w:rsidP="003754FE">
      <w:pPr>
        <w:pStyle w:val="TextoNormal"/>
      </w:pPr>
      <w:r>
        <w:t xml:space="preserve">(ii) </w:t>
      </w:r>
      <w:r w:rsidRPr="003754FE">
        <w:rPr>
          <w:i/>
        </w:rPr>
        <w:t>Competencia funcional de la Junta Electoral Central</w:t>
      </w:r>
    </w:p>
    <w:p w14:paraId="41A83F87" w14:textId="77777777" w:rsidR="003754FE" w:rsidRDefault="003754FE" w:rsidP="003754FE">
      <w:pPr>
        <w:pStyle w:val="TextoNormal"/>
      </w:pPr>
    </w:p>
    <w:p w14:paraId="1C0FFFA7" w14:textId="77777777" w:rsidR="003754FE" w:rsidRDefault="003754FE" w:rsidP="003754FE">
      <w:pPr>
        <w:pStyle w:val="TextoNormal"/>
      </w:pPr>
      <w:r>
        <w:t xml:space="preserve">Tampoco cabe inferir lesión alguna del art. 23 CE, como consecuencia de la competencia funcional de la Junta Electoral Central, que ha sido también puesta en duda por el recurrente. Frente a la consideración de que la Junta Electoral Central no era competente para corregir lo acordado por la Junta Electoral Provincial de Barcelona, debe simplemente recordarse que el art. 21 LOREG establecen esa competencia con claridad al disponer que “[f]uera de los casos en que esta ley prevea un procedimiento especifico de revisión judicial, los acuerdos de las juntas provinciales de zona y, en su caso, de comunidad autónoma, son recurribles ante la junta de superior categoría”. También el art. 19.1 e) LOREG establece la </w:t>
      </w:r>
      <w:r>
        <w:lastRenderedPageBreak/>
        <w:t>competencia de la Junta Electoral Central para “[r]evocar de oficio en cualquier tiempo o, a instancia de parte interesada dentro de los plazos previstos en el artículo 21 de esta ley, las decisiones de las juntas electorales provinciales y, en su caso, de comunidad autónoma, cuando se opongan a la interpretación de la normativa electoral realizada por la Junta Electoral Central.” Como ya afirmamos anteriormente, la administración electoral es una administración jerarquizada, cuya cúspide es ocupada por la Junta Electoral Central.</w:t>
      </w:r>
    </w:p>
    <w:p w14:paraId="2E70D55C" w14:textId="77777777" w:rsidR="003754FE" w:rsidRDefault="003754FE" w:rsidP="003754FE">
      <w:pPr>
        <w:pStyle w:val="TextoNormal"/>
      </w:pPr>
    </w:p>
    <w:p w14:paraId="747AE3FC" w14:textId="77777777" w:rsidR="003754FE" w:rsidRDefault="003754FE" w:rsidP="003754FE">
      <w:pPr>
        <w:pStyle w:val="TextoNormal"/>
      </w:pPr>
      <w:r>
        <w:t>Por tanto, una vez constatada la competencia de la Junta Electoral Central para conocer del recurso interpuesto contra el acuerdo de la Junta Electoral Provincial de Barcelona, carece de sentido una queja que, parcamente, aduce el recurrente sobre su derecho al juez ordinario predeterminado por la ley. Esta queja adolece de una carga argumentativa mínima, por lo que, en virtud de nuestra doctrina sobre los requisitos de la demanda de amparo, establecida, por todas, en la STC 90/2024, FJ 2, esta queja debe ser rechazada.</w:t>
      </w:r>
    </w:p>
    <w:p w14:paraId="0E46E49B" w14:textId="77777777" w:rsidR="003754FE" w:rsidRDefault="003754FE" w:rsidP="003754FE">
      <w:pPr>
        <w:pStyle w:val="TextoNormal"/>
      </w:pPr>
    </w:p>
    <w:p w14:paraId="38D1680C" w14:textId="77777777" w:rsidR="003754FE" w:rsidRDefault="003754FE" w:rsidP="003754FE">
      <w:pPr>
        <w:pStyle w:val="TextoNormal"/>
      </w:pPr>
      <w:r>
        <w:t>En cualquier caso, frente a la escueta afirmación contenida en la demanda de amparo considerando que debió ser, en su caso, el Tribunal Superior de Justicia de Cataluña el órgano competente para conocer del recurso contra el acuerdo de la Junta Electoral Provincial de Barcelona debe reiterase que es la Ley Orgánica del régimen electoral general, como antes se ha señalado, la que dispone la competencia de la Junta Electoral Central para conocer de este tipo de impugnaciones.</w:t>
      </w:r>
    </w:p>
    <w:p w14:paraId="69B09289" w14:textId="77777777" w:rsidR="003754FE" w:rsidRDefault="003754FE" w:rsidP="003754FE">
      <w:pPr>
        <w:pStyle w:val="TextoNormal"/>
      </w:pPr>
    </w:p>
    <w:p w14:paraId="3189E0A9" w14:textId="77777777" w:rsidR="003754FE" w:rsidRDefault="003754FE" w:rsidP="003754FE">
      <w:pPr>
        <w:pStyle w:val="TextoNormal"/>
      </w:pPr>
      <w:r>
        <w:t xml:space="preserve">(iii) </w:t>
      </w:r>
      <w:r w:rsidRPr="003754FE">
        <w:rPr>
          <w:i/>
        </w:rPr>
        <w:t>Competencia temporal de la Junta Electoral Central</w:t>
      </w:r>
    </w:p>
    <w:p w14:paraId="73039FCD" w14:textId="77777777" w:rsidR="003754FE" w:rsidRDefault="003754FE" w:rsidP="003754FE">
      <w:pPr>
        <w:pStyle w:val="TextoNormal"/>
      </w:pPr>
    </w:p>
    <w:p w14:paraId="256F1E7B" w14:textId="77777777" w:rsidR="003754FE" w:rsidRDefault="003754FE" w:rsidP="003754FE">
      <w:pPr>
        <w:pStyle w:val="TextoNormal"/>
      </w:pPr>
      <w:r>
        <w:t>Por último, en este apartado, alega el recurrente también la afectación de sus derechos del art. 23 CE, como consecuencia de la supuesta actuación intempestiva de la administración electoral, que actuó una vez que el proceso electoral había finalizado.</w:t>
      </w:r>
    </w:p>
    <w:p w14:paraId="689E4758" w14:textId="77777777" w:rsidR="003754FE" w:rsidRDefault="003754FE" w:rsidP="003754FE">
      <w:pPr>
        <w:pStyle w:val="TextoNormal"/>
      </w:pPr>
    </w:p>
    <w:p w14:paraId="314BB1BC" w14:textId="77777777" w:rsidR="003754FE" w:rsidRDefault="003754FE" w:rsidP="003754FE">
      <w:pPr>
        <w:pStyle w:val="TextoNormal"/>
      </w:pPr>
      <w:r>
        <w:t>En primer lugar, debe descartarse cualquier alegación sobre la competencia temporal de la Junta Electoral Central, puesto que el propio recurrente reconoce el carácter permanente de dicho órgano de la administración electoral, como dispone el art. 9.1 LOREG.</w:t>
      </w:r>
    </w:p>
    <w:p w14:paraId="30E7A634" w14:textId="77777777" w:rsidR="003754FE" w:rsidRDefault="003754FE" w:rsidP="003754FE">
      <w:pPr>
        <w:pStyle w:val="TextoNormal"/>
      </w:pPr>
    </w:p>
    <w:p w14:paraId="2C7A461D" w14:textId="77777777" w:rsidR="003754FE" w:rsidRDefault="003754FE" w:rsidP="003754FE">
      <w:pPr>
        <w:pStyle w:val="TextoNormal"/>
      </w:pPr>
      <w:r>
        <w:t>Sobre la competencia temporal de la Junta Electoral Provincial de Barcelona y de la Junta Electoral Central, como acertadamente ha considerado el Tribunal Supremo en la sentencia recurrida, “sin que sea cuestionable que las juntas electorales de zona y provinciales se constituyen con ocasión del desarrollo de los concretos procesos electorales (art. 14.1 LOREG), ello no significa que su competencia quede exclusivamente limitada a dichos procesos electorales, pues obviamente, en ausencia de un mandato legal que disponga explícitamente tal limitación al concreto proceso electoral que motivó su constitución, nada impide que deban ejercer sus competencias en relación a situaciones que dimanen de otros procesos electorales previos y que hagan necesaria su resolución en el periodo en que estén constituidas las juntas electorales de nivel inferior a la Central, como con frecuencia ocurre en la resolución del recursos pendientes o ejecuciones de sentencias, referidas a previos procesos electorales”.</w:t>
      </w:r>
    </w:p>
    <w:p w14:paraId="69CB90AA" w14:textId="77777777" w:rsidR="003754FE" w:rsidRDefault="003754FE" w:rsidP="003754FE">
      <w:pPr>
        <w:pStyle w:val="TextoNormal"/>
      </w:pPr>
    </w:p>
    <w:p w14:paraId="3552C526" w14:textId="77777777" w:rsidR="003754FE" w:rsidRDefault="003754FE" w:rsidP="003754FE">
      <w:pPr>
        <w:pStyle w:val="TextoNormal"/>
      </w:pPr>
      <w:r>
        <w:t xml:space="preserve">También tenemos que compartir el criterio mantenido por el Tribunal Supremo en la sentencia impugnada donde se citan diversos precedentes en los que la Junta Electoral Central ha reconocido expresamente la competencia de las juntas electorales provinciales o de zona para resolver asuntos relativos a procesos electorales previos. Con base en estos </w:t>
      </w:r>
      <w:r>
        <w:lastRenderedPageBreak/>
        <w:t>precedentes, debemos concluir que la actuación de la Junta Electoral Provincial de Barcelona se acomodaba al criterio uniforme mantenido por la Junta Electoral Central.</w:t>
      </w:r>
    </w:p>
    <w:p w14:paraId="24FA82BD" w14:textId="77777777" w:rsidR="003754FE" w:rsidRDefault="003754FE" w:rsidP="003754FE">
      <w:pPr>
        <w:pStyle w:val="TextoNormal"/>
      </w:pPr>
    </w:p>
    <w:p w14:paraId="7C6E5712" w14:textId="77777777" w:rsidR="003754FE" w:rsidRDefault="003754FE" w:rsidP="003754FE">
      <w:pPr>
        <w:pStyle w:val="TextoNormal"/>
      </w:pPr>
      <w:r>
        <w:t>En cualquier caso, esta alegación sobre la supuesta actuación intempestiva de la administración electoral debe ser rechazada puesto que, sin perjuicio de que el recurrente argumenta en la demanda de amparo contra la actuación temporal de la Junta Provincial, lo cierto es que la resolución impugnada es solamente la resolución de la Junta Electoral Central, que es la única resolución que, a su juicio, habría lesionado sus derechos fundamentales, ya que la resolución dictada en su día por la Junta Electoral Provincial de Barcelona en nada afectó a los derechos de los que ahora se queja el recurrente.</w:t>
      </w:r>
    </w:p>
    <w:p w14:paraId="5811CDBB" w14:textId="77777777" w:rsidR="003754FE" w:rsidRDefault="003754FE" w:rsidP="003754FE">
      <w:pPr>
        <w:pStyle w:val="TextoNormal"/>
      </w:pPr>
    </w:p>
    <w:p w14:paraId="475696C4" w14:textId="77777777" w:rsidR="003754FE" w:rsidRDefault="003754FE" w:rsidP="003754FE">
      <w:pPr>
        <w:pStyle w:val="TextoNormal"/>
      </w:pPr>
      <w:r>
        <w:t xml:space="preserve">c) </w:t>
      </w:r>
      <w:r w:rsidRPr="003754FE">
        <w:rPr>
          <w:i/>
        </w:rPr>
        <w:t>Sobre la regularidad del procedimiento llevado a cabo y la nulidad del acuerdo impugnado</w:t>
      </w:r>
    </w:p>
    <w:p w14:paraId="1752D5A5" w14:textId="77777777" w:rsidR="003754FE" w:rsidRDefault="003754FE" w:rsidP="003754FE">
      <w:pPr>
        <w:pStyle w:val="TextoNormal"/>
      </w:pPr>
    </w:p>
    <w:p w14:paraId="767DD230" w14:textId="77777777" w:rsidR="003754FE" w:rsidRDefault="003754FE" w:rsidP="003754FE">
      <w:pPr>
        <w:pStyle w:val="TextoNormal"/>
      </w:pPr>
      <w:r>
        <w:t>Aduce también el demandante la nulidad del acuerdo de la Junta Electoral Central por haberse dictado fuera del procedimiento legalmente previsto, lo que habría infringido, también, el art. 23 CE.</w:t>
      </w:r>
    </w:p>
    <w:p w14:paraId="0B8994D9" w14:textId="77777777" w:rsidR="003754FE" w:rsidRDefault="003754FE" w:rsidP="003754FE">
      <w:pPr>
        <w:pStyle w:val="TextoNormal"/>
      </w:pPr>
    </w:p>
    <w:p w14:paraId="70EBA793" w14:textId="77777777" w:rsidR="003754FE" w:rsidRDefault="003754FE" w:rsidP="003754FE">
      <w:pPr>
        <w:pStyle w:val="TextoNormal"/>
      </w:pPr>
      <w:r>
        <w:t>Esta queja debe también ser rechazada. Además de que se constata la regularidad del procedimiento llevado a cabo, donde el recurrente pudo, como así hizo, impugnar en primer lugar la resolución de la Junta Electoral Provincial de Barcelona ante la Junta Electoral Central, presentar cuantas alegaciones convinieran a su derecho, y, posteriormente, recurrir en vía judicial contencioso administrativa ante el Tribunal Supremo, las resoluciones de la Junta Electoral Central, dos circunstancias relevantes deben ser destacadas.</w:t>
      </w:r>
    </w:p>
    <w:p w14:paraId="6313DA44" w14:textId="77777777" w:rsidR="003754FE" w:rsidRDefault="003754FE" w:rsidP="003754FE">
      <w:pPr>
        <w:pStyle w:val="TextoNormal"/>
      </w:pPr>
    </w:p>
    <w:p w14:paraId="180D3570" w14:textId="77777777" w:rsidR="003754FE" w:rsidRDefault="003754FE" w:rsidP="003754FE">
      <w:pPr>
        <w:pStyle w:val="TextoNormal"/>
      </w:pPr>
      <w:r>
        <w:t>En primer lugar, es cierto que las resoluciones de la administración electoral que limitaran derechos fundamentales deben estar correctamente motivadas. En la STC 11/2020, de 28 de enero, FJ 8 —si bien en relación con resoluciones judiciales pero aplicable también al caso ahora analizado referido a una resolución de la administración electoral—, recordábamos que “se ha venido exigiendo también ese deber específico de motivación en relación con las limitaciones del ejercicio de cargos públicos representativos (</w:t>
      </w:r>
      <w:r w:rsidRPr="003754FE">
        <w:rPr>
          <w:i/>
        </w:rPr>
        <w:t>ius in officium ex</w:t>
      </w:r>
      <w:r>
        <w:t xml:space="preserve"> art. 23.2 CE). Como recuerda la STC 10/2018, de 5 de febrero, FJ 3, la naturaleza de la representación y la igualdad de representantes ‘imponen […]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solo de vulnerar el derecho fundamental del representante de los ciudadanos a ejercer su cargo (art. 23.2 CE), sino también de infringir el de estos a participar en los asuntos públicos </w:t>
      </w:r>
      <w:r w:rsidRPr="003754FE">
        <w:rPr>
          <w:i/>
        </w:rPr>
        <w:t>ex</w:t>
      </w:r>
      <w:r>
        <w:t xml:space="preserve"> art. 23.1 CE (SSTC 38/1999, FJ 2; 107/2001, FJ 3, y 40/2003, FJ 2, entre otras muchas)’ (SSTC 1/2015, de 19 de enero, FJ 3, y 23/2015, de 16 de febrero, FJ 3)”.</w:t>
      </w:r>
    </w:p>
    <w:p w14:paraId="05F8202C" w14:textId="77777777" w:rsidR="003754FE" w:rsidRDefault="003754FE" w:rsidP="003754FE">
      <w:pPr>
        <w:pStyle w:val="TextoNormal"/>
      </w:pPr>
    </w:p>
    <w:p w14:paraId="5F613D91" w14:textId="77777777" w:rsidR="003754FE" w:rsidRDefault="003754FE" w:rsidP="003754FE">
      <w:pPr>
        <w:pStyle w:val="TextoNormal"/>
      </w:pPr>
      <w:r>
        <w:t>Es exigible, por tanto, un deber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177/2002, de 14 de octubre, FJ 5; y ATC 118/1999, de 10 de mayo, FJ 5)” (STC 40/2003, de 27 de febrero, FJ 6).</w:t>
      </w:r>
    </w:p>
    <w:p w14:paraId="4B93E566" w14:textId="77777777" w:rsidR="003754FE" w:rsidRDefault="003754FE" w:rsidP="003754FE">
      <w:pPr>
        <w:pStyle w:val="TextoNormal"/>
      </w:pPr>
    </w:p>
    <w:p w14:paraId="5F32EFD2" w14:textId="77777777" w:rsidR="003754FE" w:rsidRDefault="003754FE" w:rsidP="003754FE">
      <w:pPr>
        <w:pStyle w:val="TextoNormal"/>
      </w:pPr>
      <w:r>
        <w:lastRenderedPageBreak/>
        <w:t xml:space="preserve">No obstante, es importante subrayar que, en el caso del recurrente, nos encontramos ante una aplicación automática de una consecuencia prevista en la ley, sin que exista margen de apreciación por el órgano que la debe adoptar. Como ya señalamos en la STC 97/2020, de 21 de julio, FJ 5 C), para los supuestos de los preceptos de aplicación inmediata, en el caso de la referida sentencia, el art. 384 </w:t>
      </w:r>
      <w:r w:rsidRPr="003754FE">
        <w:rPr>
          <w:i/>
        </w:rPr>
        <w:t>bis</w:t>
      </w:r>
      <w:r>
        <w:t xml:space="preserve"> de la Ley de enjuiciamiento criminal (LECrim), en el supuesto que ahora nos ocupa, el art. 6.2 b) LOREG, el órgano encargado de aplicar estas causas no tiene margen de apreciación. Estos casos “son de aplicación inmediata y necesaria cuando concurran los presupuestos en él fijados, presupuestos que deben ser conformes al ordenamiento y, en primer lugar, a la Constitución y a la presunción de inocencia”. Aclaramos en la citada sentencia que “[d]esde luego que tal conformidad puede, en su caso, ser controvertida y enjuiciada en vía judicial y, cuando proceda, en amparo constitucional (art. 44 LOTC), pero en modo alguno controlada por el órgano que ha de llevar a término, sin más, lo prescrito en la norma legal y prestarle así efectividad, so pena de dar lugar con ello a una espuria fiscalización, no jurisdiccional, de decisiones judiciales vedada por el artículo 118 CE y de privar de toda eficacia a una disposición de ley que demanda, cuando sus condiciones se cumplan, ejecución terminante”.</w:t>
      </w:r>
    </w:p>
    <w:p w14:paraId="39C24969" w14:textId="77777777" w:rsidR="003754FE" w:rsidRDefault="003754FE" w:rsidP="003754FE">
      <w:pPr>
        <w:pStyle w:val="TextoNormal"/>
      </w:pPr>
    </w:p>
    <w:p w14:paraId="164C0FAC" w14:textId="77777777" w:rsidR="003754FE" w:rsidRDefault="003754FE" w:rsidP="003754FE">
      <w:pPr>
        <w:pStyle w:val="TextoNormal"/>
      </w:pPr>
      <w:r>
        <w:t>Por ello, concluíamos afirmando que “[m]ás allá de la constatación de si estas condiciones han quedado debidamente acreditadas, el órgano en cada caso llamado a dar curso, en línea directa de ejecución, a lo prescrito en la norma no puede, ni desoír ni, como se advirtió en la STC 11/2020, FJ 8, modular su mandato, y de ello se sigue, con claridad plena, que, recurridos tales actos de cumplimiento en vía constitucional, no es posible tampoco imputar a los mismos infracciones de derechos fundamentales en que pudieran haber incurrido las resoluciones judiciales […] [o en el presente caso, la resolución impugnada de la Junta Electoral Central]; vulneraciones nunca achacables —en general— a un ‘acto debido, puramente reglado’ [STC 2/2020, de 15 de enero, FJ 3 c)], por más que dicho acto hubiera de decaer, si alguno de sus presupuestos resultara finalmente anulado”.</w:t>
      </w:r>
    </w:p>
    <w:p w14:paraId="06F5362A" w14:textId="77777777" w:rsidR="003754FE" w:rsidRDefault="003754FE" w:rsidP="003754FE">
      <w:pPr>
        <w:pStyle w:val="TextoNormal"/>
      </w:pPr>
    </w:p>
    <w:p w14:paraId="0F0282CC" w14:textId="77777777" w:rsidR="003754FE" w:rsidRDefault="003754FE" w:rsidP="003754FE">
      <w:pPr>
        <w:pStyle w:val="TextoNormal"/>
      </w:pPr>
      <w:r>
        <w:t xml:space="preserve">La peculiaridad que presenta la medida que ahora nos ocupa reside en que surge automáticamente </w:t>
      </w:r>
      <w:r w:rsidRPr="003754FE">
        <w:rPr>
          <w:i/>
        </w:rPr>
        <w:t>ex lege</w:t>
      </w:r>
      <w:r>
        <w:t>, sin dejar margen alguno en su aplicación más allá de la verificación de la concurrencia de los presupuestos a los que la norma liga tal medida. De ello se sigue que la exigencia de motivación de los actos aplicativos se proyecta únicamente sobre el juicio relativo a la existencia de dichos presupuestos legales.</w:t>
      </w:r>
    </w:p>
    <w:p w14:paraId="06F47034" w14:textId="77777777" w:rsidR="003754FE" w:rsidRDefault="003754FE" w:rsidP="003754FE">
      <w:pPr>
        <w:pStyle w:val="TextoNormal"/>
      </w:pPr>
    </w:p>
    <w:p w14:paraId="6075EB44" w14:textId="77777777" w:rsidR="003754FE" w:rsidRDefault="003754FE" w:rsidP="003754FE">
      <w:pPr>
        <w:pStyle w:val="TextoNormal"/>
      </w:pPr>
      <w:r>
        <w:t xml:space="preserve">En el supuesto enjuiciado, como hemos visto, la resolución de la Junta Electoral Central se limita a constatar la concurrencia de los presupuestos legales de la norma aplicada. Por tanto, partiendo de que la medida nace </w:t>
      </w:r>
      <w:r w:rsidRPr="003754FE">
        <w:rPr>
          <w:i/>
        </w:rPr>
        <w:t>ope legis</w:t>
      </w:r>
      <w:r>
        <w:t xml:space="preserve"> y, como veremos a continuación, es legítima y adecuada proporcionalmente a la finalidad perseguida por el legislador, únicamente el pronunciamiento sobre la existencia de los presupuestos legales determinantes de la suspensión que llevan a cabo las resoluciones recurridas puede ser sometido al control de este tribunal. Y ese control constitucional es meramente externo, limitado, por la razón antes señalada, a la comprobación de si la motivación existe, es suficiente y no incurre en error material patente, en arbitrariedad o en manifiesta irrazonabilidad.</w:t>
      </w:r>
    </w:p>
    <w:p w14:paraId="001633E5" w14:textId="77777777" w:rsidR="003754FE" w:rsidRDefault="003754FE" w:rsidP="003754FE">
      <w:pPr>
        <w:pStyle w:val="TextoNormal"/>
      </w:pPr>
    </w:p>
    <w:p w14:paraId="62425E73" w14:textId="77777777" w:rsidR="003754FE" w:rsidRDefault="003754FE" w:rsidP="003754FE">
      <w:pPr>
        <w:pStyle w:val="TextoNormal"/>
      </w:pPr>
      <w:r>
        <w:t xml:space="preserve">Por otra parte, como acertadamente señala el Ministerio Fiscal, la STC 7/1992, invocada por el demandante, no aporta tampoco ningún argumento de peso: se trataba de que para declarar la incompatibilidad de un parlamentario “no se siguieron los trámites previstos por el art. 160 LOREG y sus concordantes en el Reglamento de la Asamblea Regional”, sino </w:t>
      </w:r>
      <w:r>
        <w:lastRenderedPageBreak/>
        <w:t>que tal declaración de incompatibilidad fue “efectuada unilateralmente por la Presidencia de la Asamblea”. Se enjuiciaba, por tanto, una actuación de órgano incompetente llevada a cabo al margen del procedimiento legalmente establecido, en un supuesto en el que el motivo del cese y el referido procedimiento sí estaban previstos y regulados en la normativa parlamentaria.</w:t>
      </w:r>
    </w:p>
    <w:p w14:paraId="345B8671" w14:textId="77777777" w:rsidR="003754FE" w:rsidRDefault="003754FE" w:rsidP="003754FE">
      <w:pPr>
        <w:pStyle w:val="TextoNormal"/>
      </w:pPr>
    </w:p>
    <w:p w14:paraId="69E699C1" w14:textId="77777777" w:rsidR="003754FE" w:rsidRDefault="003754FE" w:rsidP="003754FE">
      <w:pPr>
        <w:pStyle w:val="TextoNormal"/>
      </w:pPr>
      <w:r>
        <w:t>En el presente caso concurre una circunstancia diferente y determinante: como el mismo actor señala, el Reglamento del Parlamento de Cataluña no regula el procedimiento para poder hacer efectivo lo dispuesto en la Ley Orgánica del régimen electoral general sobre la incompatibilidad por inelegibilidad que resulta de las normas repetidamente mencionadas. Pero, de la falta de regulación explícita en el régimen interno parlamentario no se puede deducir de plano, la inaplicabilidad de una norma jurídica con rango orgánico y carácter básico.</w:t>
      </w:r>
    </w:p>
    <w:p w14:paraId="3EBDADD5" w14:textId="77777777" w:rsidR="003754FE" w:rsidRDefault="003754FE" w:rsidP="003754FE">
      <w:pPr>
        <w:pStyle w:val="TextoNormal"/>
      </w:pPr>
    </w:p>
    <w:p w14:paraId="583E4F0B" w14:textId="0DC288DE" w:rsidR="003754FE" w:rsidRDefault="003754FE" w:rsidP="003754FE">
      <w:pPr>
        <w:pStyle w:val="TextoNormal"/>
      </w:pPr>
      <w:r>
        <w:t>En definitiva, ninguna irregularidad con relevancia constitucional puede apreciarse en el procedimiento llevado a cabo.</w:t>
      </w:r>
    </w:p>
    <w:p w14:paraId="31D63C01" w14:textId="77777777" w:rsidR="003754FE" w:rsidRDefault="003754FE" w:rsidP="003754FE">
      <w:pPr>
        <w:pStyle w:val="TextoNormal"/>
      </w:pPr>
    </w:p>
    <w:p w14:paraId="716026B2" w14:textId="77777777" w:rsidR="003754FE" w:rsidRDefault="003754FE" w:rsidP="003754FE">
      <w:pPr>
        <w:pStyle w:val="TextoNormal"/>
      </w:pPr>
      <w:r w:rsidRPr="003754FE">
        <w:rPr>
          <w:rStyle w:val="NumeroAFNegritaCaracter"/>
        </w:rPr>
        <w:t>5</w:t>
      </w:r>
      <w:r>
        <w:t xml:space="preserve">. </w:t>
      </w:r>
      <w:r w:rsidRPr="003754FE">
        <w:rPr>
          <w:i/>
        </w:rPr>
        <w:t>Sobre las alegaciones relativas a los arts. 24 y 25 CE</w:t>
      </w:r>
    </w:p>
    <w:p w14:paraId="336CADD9" w14:textId="77777777" w:rsidR="003754FE" w:rsidRDefault="003754FE" w:rsidP="003754FE">
      <w:pPr>
        <w:pStyle w:val="TextoNormal"/>
      </w:pPr>
    </w:p>
    <w:p w14:paraId="622A5B1E" w14:textId="77777777" w:rsidR="003754FE" w:rsidRDefault="003754FE" w:rsidP="003754FE">
      <w:pPr>
        <w:pStyle w:val="TextoNormal"/>
      </w:pPr>
      <w:r>
        <w:t xml:space="preserve">a) </w:t>
      </w:r>
      <w:r w:rsidRPr="003754FE">
        <w:rPr>
          <w:i/>
        </w:rPr>
        <w:t>Sobre la alegada vulneración de la presunción de inocencia por la aplicación del art. 6.2 b) LOREG</w:t>
      </w:r>
    </w:p>
    <w:p w14:paraId="4204C32D" w14:textId="77777777" w:rsidR="003754FE" w:rsidRDefault="003754FE" w:rsidP="003754FE">
      <w:pPr>
        <w:pStyle w:val="TextoNormal"/>
      </w:pPr>
    </w:p>
    <w:p w14:paraId="276B1FB0" w14:textId="77777777" w:rsidR="003754FE" w:rsidRDefault="003754FE" w:rsidP="003754FE">
      <w:pPr>
        <w:pStyle w:val="TextoNormal"/>
      </w:pPr>
      <w:r>
        <w:t>Alega también la vulneración de algunos derechos contenidos en el art. 24 CE, con base en los siguientes argumentos.</w:t>
      </w:r>
    </w:p>
    <w:p w14:paraId="6FFC4838" w14:textId="77777777" w:rsidR="003754FE" w:rsidRDefault="003754FE" w:rsidP="003754FE">
      <w:pPr>
        <w:pStyle w:val="TextoNormal"/>
      </w:pPr>
    </w:p>
    <w:p w14:paraId="634D3168" w14:textId="77777777" w:rsidR="003754FE" w:rsidRDefault="003754FE" w:rsidP="003754FE">
      <w:pPr>
        <w:pStyle w:val="TextoNormal"/>
      </w:pPr>
      <w:r>
        <w:t>En primer lugar, alega la vulneración de su derecho a la presunción de inocencia por la aplicación del art. 6.2 b) LOREG, precepto que presume su culpabilidad a pesar de no existir una resolución judicial firme que le condene por un hecho delictivo. Esta alegación debe encuadrarse dentro del derecho a la presunción de inocencia en su vertiente extraprocesal que hemos reconocido, por todas, en la STC 77/2023, de 20 de junio, en la que recordamos que “una de las dimensiones del derecho a la presunción de inocencia la constituye ‘el derecho a recibir la consideración y el trato de no autor o no partícipe en hechos de carácter delictivo o análogos a estos y determina por ende el derecho a que no se apliquen las consecuencias o los efectos jurídicos anudados a hechos de tal naturaleza en las relaciones jurídicas de todo tipo’ (STC 109/1986, de 24 de septiembre, FJ 1). Si bien es cierto, […] que con carácter general este tribunal ha venido proporcionando tutela a esta vertiente del derecho a la presunción de inocencia a través de la tutela del derecho al honor (SSTC 139/2007, de 4 de junio; 133/2018, de 13 de diciembre, y 184/2021, de 28 de octubre, FJ 9.4), en algunos pronunciamientos ha dotado ya de autonomía a dicho derecho, aproximando así su doctrina al modo en que el Tribunal Europeo de Derechos Humanos ha interpretado el art. 6.2 del Convenio europeo para la protección de los derechos humanos y de las libertades fundamentales (CEDH)”.</w:t>
      </w:r>
    </w:p>
    <w:p w14:paraId="34B7E386" w14:textId="77777777" w:rsidR="003754FE" w:rsidRDefault="003754FE" w:rsidP="003754FE">
      <w:pPr>
        <w:pStyle w:val="TextoNormal"/>
      </w:pPr>
    </w:p>
    <w:p w14:paraId="5AE29FFD" w14:textId="77777777" w:rsidR="003754FE" w:rsidRDefault="003754FE" w:rsidP="003754FE">
      <w:pPr>
        <w:pStyle w:val="TextoNormal"/>
      </w:pPr>
      <w:r>
        <w:t>Como analizaremos a continuación, esta alegación debe ser rechazada, puesto que el recurrente fue condenado a través de un proceso con todas las garantías y la consecuencia extraprocesal que se le ha aplicado, viene establecida en la ley sin que pueda considerarse lesiva de su derecho a la presunción de inocencia.</w:t>
      </w:r>
    </w:p>
    <w:p w14:paraId="54DAE305" w14:textId="77777777" w:rsidR="003754FE" w:rsidRDefault="003754FE" w:rsidP="003754FE">
      <w:pPr>
        <w:pStyle w:val="TextoNormal"/>
      </w:pPr>
    </w:p>
    <w:p w14:paraId="6958ADDC" w14:textId="77777777" w:rsidR="003754FE" w:rsidRDefault="003754FE" w:rsidP="003754FE">
      <w:pPr>
        <w:pStyle w:val="TextoNormal"/>
      </w:pPr>
      <w:r>
        <w:lastRenderedPageBreak/>
        <w:t>En efecto, una de las características del derecho garantizado en el art. 23.2 CE es “el amplio margen de libertad que confiere al legislador para regular el ejercicio de tal derecho, esto es, para configurar el sistema mediante el que se produce en la práctica el acceso y la permanencia en tales cargos públicos” y que “el legislador puede establecer libremente las condiciones que estime más adecuadas, si bien su libertad tiene limitaciones que son, de una parte, las generales que imponen el principio de igualdad y los derechos fundamentales que la Constitución garantiza, y, de otra, cuando se trata de cargos públicos de carácter representativo, la necesidad de salvaguardar su naturaleza [SSTC 10/1983, de 21 de febrero, FJ 2; 24/1990, de 15 de febrero, FJ 2; 185/1999, de 11 de octubre, FJ 4 a); 154/2003, de 17 de julio, FJ 6 a)]” (STC 114/2014, de 7 de julio, FJ 4).</w:t>
      </w:r>
    </w:p>
    <w:p w14:paraId="0DBCD802" w14:textId="77777777" w:rsidR="003754FE" w:rsidRDefault="003754FE" w:rsidP="003754FE">
      <w:pPr>
        <w:pStyle w:val="TextoNormal"/>
      </w:pPr>
    </w:p>
    <w:p w14:paraId="4BC35B8C" w14:textId="77777777" w:rsidR="003754FE" w:rsidRDefault="003754FE" w:rsidP="003754FE">
      <w:pPr>
        <w:pStyle w:val="TextoNormal"/>
      </w:pPr>
      <w:r>
        <w:t>El Tribunal ha precisado además (STC 71/1994, de 3 de marzo, FJ 6), que “el derecho de acceso a las funciones y cargos públicos representativos se impone también, en su contenido esencial, al legislador, de tal manera que el legislador no podrá imponer restricciones a la permanencia en los mismos que, más allá de los imperativos del principio de igualdad, y desde la perspectiva constitucional, no se ordenen a un fin legítimo, en términos proporcionados a dicha válida finalidad”.</w:t>
      </w:r>
    </w:p>
    <w:p w14:paraId="17869B2F" w14:textId="77777777" w:rsidR="003754FE" w:rsidRDefault="003754FE" w:rsidP="003754FE">
      <w:pPr>
        <w:pStyle w:val="TextoNormal"/>
      </w:pPr>
    </w:p>
    <w:p w14:paraId="61284158" w14:textId="77777777" w:rsidR="003754FE" w:rsidRDefault="003754FE" w:rsidP="003754FE">
      <w:pPr>
        <w:pStyle w:val="TextoNormal"/>
      </w:pPr>
      <w:r>
        <w:t>La incompatibilidad definida en el art. 6.2 b) LOREG comporta una restricción a la permanencia en el cargo público que deriva de la propia naturaleza del instituto de la incompatibilidad y, en este caso, está anudada a la existencia en una sentencia penal no firme de condena por delitos contra la administración pública cuando la misma haya establecido la pena de inhabilitación para el ejercicio del derecho de sufragio pasivo o la de inhabilitación absoluta o especial o de suspensión para empleo o cargo público en los términos previstos en la legislación penal.</w:t>
      </w:r>
    </w:p>
    <w:p w14:paraId="52BCCBC8" w14:textId="77777777" w:rsidR="003754FE" w:rsidRDefault="003754FE" w:rsidP="003754FE">
      <w:pPr>
        <w:pStyle w:val="TextoNormal"/>
      </w:pPr>
    </w:p>
    <w:p w14:paraId="36A3C878" w14:textId="77777777" w:rsidR="003754FE" w:rsidRDefault="003754FE" w:rsidP="003754FE">
      <w:pPr>
        <w:pStyle w:val="TextoNormal"/>
      </w:pPr>
      <w:r>
        <w:t>Sin embargo, la restricción que supone el citado artículo es acorde con el derecho a la presunción de inocencia. No podemos olvidar los bienes, valores o finalidades constitucionales a las que dicha provisión pretende servir: en este caso se incluyen la de un mejor funcionamiento de las instituciones representativas y, en su caso, la necesidad de garantizar la ejemplaridad social de los representantes de los ciudadanos que han de ser merecedores de la confianza para participar en las manifestaciones más importantes de la voluntad popular y del ejercicio del control político. En la STC 151/1999, FJ 3, declaramos que “[p]ocas dudas pueden albergarse respecto de la necesidad de que los gestores públicos gocen de la confianza y del respeto de la gente. Para ello, si es exigible una cierta ejemplaridad social a quien ejerce cualquier función pública, con más intensidad debe hacerse respecto de aquellos cargos cuya función consiste precisamente, por ser representantes de los ciudadanos, en actuar de manera directa en los asuntos públicos”.</w:t>
      </w:r>
    </w:p>
    <w:p w14:paraId="1193A3FC" w14:textId="77777777" w:rsidR="003754FE" w:rsidRDefault="003754FE" w:rsidP="003754FE">
      <w:pPr>
        <w:pStyle w:val="TextoNormal"/>
      </w:pPr>
    </w:p>
    <w:p w14:paraId="6052F164" w14:textId="77777777" w:rsidR="003754FE" w:rsidRDefault="003754FE" w:rsidP="003754FE">
      <w:pPr>
        <w:pStyle w:val="TextoNormal"/>
      </w:pPr>
      <w:r>
        <w:t>En cualquier caso, para aplicar esta causa de incompatibilidad sobrevenida, se exige que medie una sentencia penal que se dicte en el marco de un proceso con todas las garantías, aunque no haya devenido firme, factor este que también permite considerar que la medida no es desproporcionada.</w:t>
      </w:r>
    </w:p>
    <w:p w14:paraId="45B1EFBF" w14:textId="77777777" w:rsidR="003754FE" w:rsidRDefault="003754FE" w:rsidP="003754FE">
      <w:pPr>
        <w:pStyle w:val="TextoNormal"/>
      </w:pPr>
    </w:p>
    <w:p w14:paraId="40935A34" w14:textId="77777777" w:rsidR="003754FE" w:rsidRDefault="003754FE" w:rsidP="003754FE">
      <w:pPr>
        <w:pStyle w:val="TextoNormal"/>
      </w:pPr>
      <w:r>
        <w:t xml:space="preserve">b) </w:t>
      </w:r>
      <w:r w:rsidRPr="003754FE">
        <w:rPr>
          <w:i/>
        </w:rPr>
        <w:t>Sobre el planteamiento de una cuestión interna de inconstitucionalidad y/o de una cuestión prejudicial ante el Tribunal de Justicia de la Unión Europea</w:t>
      </w:r>
    </w:p>
    <w:p w14:paraId="24BC9A43" w14:textId="77777777" w:rsidR="003754FE" w:rsidRDefault="003754FE" w:rsidP="003754FE">
      <w:pPr>
        <w:pStyle w:val="TextoNormal"/>
      </w:pPr>
    </w:p>
    <w:p w14:paraId="1FC6E504" w14:textId="77777777" w:rsidR="003754FE" w:rsidRDefault="003754FE" w:rsidP="003754FE">
      <w:pPr>
        <w:pStyle w:val="TextoNormal"/>
      </w:pPr>
      <w:r>
        <w:lastRenderedPageBreak/>
        <w:t>A lo largo de la demanda de amparo, aunque no expresamente en su suplico, afirma el recurrente que sería necesario cuestionar la constitucionalidad del art. 6.2 b) LOREG, así como su adecuación al Derecho europeo.</w:t>
      </w:r>
    </w:p>
    <w:p w14:paraId="0F95ED78" w14:textId="77777777" w:rsidR="003754FE" w:rsidRDefault="003754FE" w:rsidP="003754FE">
      <w:pPr>
        <w:pStyle w:val="TextoNormal"/>
      </w:pPr>
    </w:p>
    <w:p w14:paraId="532BD487" w14:textId="77777777" w:rsidR="003754FE" w:rsidRDefault="003754FE" w:rsidP="003754FE">
      <w:pPr>
        <w:pStyle w:val="TextoNormal"/>
      </w:pPr>
      <w:r>
        <w:t>Constatado en el apartado anterior que el citado precepto no vulnera la presunción de inocencia del recurrente, vulneración por la que entendía que era preciso el planteamiento de una cuestión de constitucionalidad sobre el mismo, no procede añadir nada más sobre esta petición.</w:t>
      </w:r>
    </w:p>
    <w:p w14:paraId="361810C1" w14:textId="77777777" w:rsidR="003754FE" w:rsidRDefault="003754FE" w:rsidP="003754FE">
      <w:pPr>
        <w:pStyle w:val="TextoNormal"/>
      </w:pPr>
    </w:p>
    <w:p w14:paraId="36164CE3" w14:textId="77777777" w:rsidR="003754FE" w:rsidRDefault="003754FE" w:rsidP="003754FE">
      <w:pPr>
        <w:pStyle w:val="TextoNormal"/>
      </w:pPr>
      <w:r>
        <w:t>También considera el recurrente que dicho precepto es contrario al Derecho europeo y, por tanto, procedería el planteamiento de una cuestión prejudicial ante el Tribunal de Justicia de la Unión Europea.</w:t>
      </w:r>
    </w:p>
    <w:p w14:paraId="11E1B1D0" w14:textId="77777777" w:rsidR="003754FE" w:rsidRDefault="003754FE" w:rsidP="003754FE">
      <w:pPr>
        <w:pStyle w:val="TextoNormal"/>
      </w:pPr>
    </w:p>
    <w:p w14:paraId="6C95A35E" w14:textId="77777777" w:rsidR="003754FE" w:rsidRDefault="003754FE" w:rsidP="003754FE">
      <w:pPr>
        <w:pStyle w:val="TextoNormal"/>
      </w:pPr>
      <w:r>
        <w:t xml:space="preserve">En este punto debemos recordar que en la STC 25/2022, FJ 8.4.1 </w:t>
      </w:r>
      <w:r w:rsidRPr="003754FE">
        <w:rPr>
          <w:i/>
        </w:rPr>
        <w:t>in fine</w:t>
      </w:r>
      <w:r>
        <w:t xml:space="preserve">, ya dijimos en relación con el planteamiento de la cuestión prejudicial solicitada también por el recurrente, que “la propia doctrina del Tribunal de Justicia de la Unión Europea es la que determina que los presupuestos y los requisitos para el ejercicio del derecho de sufragio pasivo son competencia de cada Estado, y lo mismo puede decirse respecto de la legislación penal. Por lo tanto, ninguna duda cabía albergar sobre el Derecho aplicable, que era el Derecho español, por lo que el planteamiento de la cuestión prejudicial no era procedente, </w:t>
      </w:r>
      <w:r w:rsidRPr="003754FE">
        <w:rPr>
          <w:i/>
        </w:rPr>
        <w:t>ex</w:t>
      </w:r>
      <w:r>
        <w:t xml:space="preserve"> art. 267 TFUE (STJUE de 6 de octubre de 1982, § 10)”. Las cuestiones planteadas en la demanda no versan sobre dudas de interpretación o validez de las disposiciones de la Unión Europea (art. 267 TFUE), sino sobre aspectos cuya relevancia de constitucionalidad ya ha sido desestimada en los fundamentos jurídicos correspondientes de esta resolución.</w:t>
      </w:r>
    </w:p>
    <w:p w14:paraId="4C07411F" w14:textId="77777777" w:rsidR="003754FE" w:rsidRDefault="003754FE" w:rsidP="003754FE">
      <w:pPr>
        <w:pStyle w:val="TextoNormal"/>
      </w:pPr>
    </w:p>
    <w:p w14:paraId="7277C83C" w14:textId="77777777" w:rsidR="003754FE" w:rsidRDefault="003754FE" w:rsidP="003754FE">
      <w:pPr>
        <w:pStyle w:val="TextoNormal"/>
      </w:pPr>
      <w:r>
        <w:t xml:space="preserve">En la STC 97/2020, FJ 5, afirmamos con relación al art. 384 </w:t>
      </w:r>
      <w:r w:rsidRPr="003754FE">
        <w:rPr>
          <w:i/>
        </w:rPr>
        <w:t>bis</w:t>
      </w:r>
      <w:r>
        <w:t xml:space="preserve"> LECrim, afirmación plenamente aplicable al precepto ahora discutido, art. 6.2 b) LOREG, que “aquella norma, obviamente, ni su singular aplicación por la mesa en este caso incorporaron alusión o duda alguna sobre la inocencia o culpabilidad de los afectados, el recurrente entre ellos, en lo que aquí interesa, limitándose las resoluciones recurridas a apreciar la concurrencia de los presupuestos que el precepto exige para declarar la suspensión que en él se impone. Dicho queda con ello que no procede plantear ante el Tribunal de Justicia de la Unión Europea cuestión prejudicial de interpretación sobre el artículo 48 CDFUE ni sobre el artículo 4 de la Directiva de referencia [2016/343], interpretación que no tendría ‘relación alguna con la realidad o con el objeto del litigio principal’ (SSTJUE, entre otras, de 4 de diciembre de 2018, asunto </w:t>
      </w:r>
      <w:r w:rsidRPr="003754FE">
        <w:rPr>
          <w:i/>
        </w:rPr>
        <w:t>Minister for Justice and Equality y Commissioner of the Garda Síochána c. Workplace Relations Commission</w:t>
      </w:r>
      <w:r>
        <w:t xml:space="preserve">, C-378/17, § 27, y de 17 de octubre de 2019, asunto </w:t>
      </w:r>
      <w:r w:rsidRPr="003754FE">
        <w:rPr>
          <w:i/>
        </w:rPr>
        <w:t>Caseificio Cirigliana Srl. y otros c. Ministero delle Politiche agricole, alimentari e forestali y otros</w:t>
      </w:r>
      <w:r>
        <w:t>, C-569/18, § 24)”.</w:t>
      </w:r>
    </w:p>
    <w:p w14:paraId="3D833389" w14:textId="77777777" w:rsidR="003754FE" w:rsidRDefault="003754FE" w:rsidP="003754FE">
      <w:pPr>
        <w:pStyle w:val="TextoNormal"/>
      </w:pPr>
    </w:p>
    <w:p w14:paraId="2091BDE2" w14:textId="77777777" w:rsidR="003754FE" w:rsidRDefault="003754FE" w:rsidP="003754FE">
      <w:pPr>
        <w:pStyle w:val="TextoNormal"/>
      </w:pPr>
      <w:r>
        <w:t xml:space="preserve">En definitiva, no procede en el presente caso el planteamiento de una cuestión prejudicial ante el Tribunal de Justicia de la Unión Europea, puesto que, según la reiterada doctrina que se inicia en la sentencia del Tribunal de Justicia de las Comunidades Europeas de 6 de octubre de 1982, asunto C-283/81, </w:t>
      </w:r>
      <w:r w:rsidRPr="003754FE">
        <w:rPr>
          <w:i/>
        </w:rPr>
        <w:t>Srl Cilfit y Lanificio di Gavardo SpA c. Ministero della Sanità</w:t>
      </w:r>
      <w:r>
        <w:t>, solo será pertinente en los supuestos de duda de interpretación del Derecho de la Unión Europea. En este caso, como ya puso de manifiesto el Tribunal Supremo en la sentencia impugnada, para resolver el objeto del recurso no es aplicable el Derecho de la Unión Europea, por lo que carece de sentido el planteamiento de una cuestión prejudicial.</w:t>
      </w:r>
    </w:p>
    <w:p w14:paraId="175B39F6" w14:textId="77777777" w:rsidR="003754FE" w:rsidRDefault="003754FE" w:rsidP="003754FE">
      <w:pPr>
        <w:pStyle w:val="TextoNormal"/>
      </w:pPr>
    </w:p>
    <w:p w14:paraId="0DB6677B" w14:textId="77777777" w:rsidR="003754FE" w:rsidRDefault="003754FE" w:rsidP="003754FE">
      <w:pPr>
        <w:pStyle w:val="TextoNormal"/>
      </w:pPr>
      <w:r>
        <w:t xml:space="preserve">c) </w:t>
      </w:r>
      <w:r w:rsidRPr="003754FE">
        <w:rPr>
          <w:i/>
        </w:rPr>
        <w:t>Sobre el principio de legalidad, la doble instancia penal y el principio</w:t>
      </w:r>
      <w:r>
        <w:t xml:space="preserve"> non bis in idem</w:t>
      </w:r>
    </w:p>
    <w:p w14:paraId="5D22FEE2" w14:textId="77777777" w:rsidR="003754FE" w:rsidRDefault="003754FE" w:rsidP="003754FE">
      <w:pPr>
        <w:pStyle w:val="TextoNormal"/>
      </w:pPr>
    </w:p>
    <w:p w14:paraId="002A76E6" w14:textId="77777777" w:rsidR="003754FE" w:rsidRDefault="003754FE" w:rsidP="003754FE">
      <w:pPr>
        <w:pStyle w:val="TextoNormal"/>
      </w:pPr>
      <w:r>
        <w:t xml:space="preserve">A lo largo de la demanda de amparo, el recurrente plantea, de manera muy parca y sin mayor desarrollo argumental, quejas sobre la vulneración del principio de legalidad penal por la aplicación del citado art. 6.2 b) LOREG y de su derecho a una doble instancia penal, alegando también una supuesta lesión del principio </w:t>
      </w:r>
      <w:r w:rsidRPr="003754FE">
        <w:rPr>
          <w:i/>
        </w:rPr>
        <w:t>non bis in idem</w:t>
      </w:r>
      <w:r>
        <w:t>. Estas alegaciones deben rechazarse puesto que no estamos ante una actuación de los poderes públicos encuadrable en el ámbito penal.</w:t>
      </w:r>
    </w:p>
    <w:p w14:paraId="7D106BB8" w14:textId="77777777" w:rsidR="003754FE" w:rsidRDefault="003754FE" w:rsidP="003754FE">
      <w:pPr>
        <w:pStyle w:val="TextoNormal"/>
      </w:pPr>
    </w:p>
    <w:p w14:paraId="1C6186D7" w14:textId="77777777" w:rsidR="003754FE" w:rsidRDefault="003754FE" w:rsidP="003754FE">
      <w:pPr>
        <w:pStyle w:val="TextoNormal"/>
      </w:pPr>
      <w:r>
        <w:t xml:space="preserve">La actuación de la Junta Electoral Central, de ninguna manera puede calificarse como sancionadora. Como antes hemos dicho, la Junta se limita a aplicar una causa de incompatibilidad que es consecuencia automática que el legislador ha dispuesto para los casos en los que se cometan determinados delitos. La resolución impugnada no impone una sanción, en su caso, restringiría el derecho del recurrente. A este respecto, es doctrina constitucional reiterada, por todas, STC 185/2016, de 3 de noviembre, FJ 13, que las garantías que la Constitución prevé para los actos de contenido punitivo no resultan, sin más, exigibles a los actos restrictivos de derechos (SSTC 34/2003, de 25 de febrero, FJ 2, y 181/2014, de 6 de noviembre, FJ 5). Así, en relación con el principio de legalidad en materia penal este tribunal tiene declarado que “los postulados del art. 25 CE no pueden aplicarse a ámbitos que no sean los específicos del ilícito penal o administrativo, siendo improcedente su aplicación extensiva o analógica […] a supuestos distintos o a actos por su mera condición de ser restrictivos de derechos, si no representan el efectivo ejercicio del </w:t>
      </w:r>
      <w:r w:rsidRPr="003754FE">
        <w:rPr>
          <w:i/>
        </w:rPr>
        <w:t>ius puniendi</w:t>
      </w:r>
      <w:r>
        <w:t xml:space="preserve"> del Estado o no tienen un verdadero sentido sancionador” (STC 48/2003, de 12 de marzo, FJ 9, y doctrina allí citada).</w:t>
      </w:r>
    </w:p>
    <w:p w14:paraId="6AADFA14" w14:textId="77777777" w:rsidR="003754FE" w:rsidRDefault="003754FE" w:rsidP="003754FE">
      <w:pPr>
        <w:pStyle w:val="TextoNormal"/>
      </w:pPr>
    </w:p>
    <w:p w14:paraId="7FB5A72C" w14:textId="77777777" w:rsidR="003754FE" w:rsidRDefault="003754FE" w:rsidP="003754FE">
      <w:pPr>
        <w:pStyle w:val="TextoNormal"/>
      </w:pPr>
      <w:r>
        <w:t xml:space="preserve">Debe reiterarse que el precepto aplicado al demandante no tiene carácter penal o sancionador. Se trata de la aplicación automática de una causa de incompatibilidad que, si bien restringe sus derechos, no le sanciona. El art. 6.2 b) LOREG no constituye una pena aplicable a un supuesto de hecho delictivo. La vertiente penal en el caso en el que el recurrente estuvo afectado, se ventiló ante la jurisdicción penal, a través de un proceso con todas las garantías y que fue recurrido en su día ante este tribunal y desestimadas sus pretensiones en la STC 25/2022. Esa vertiente penal, ya finalizada, no supone que la causa de incompatibilidad aplicada al recurrente por haber sido condenado penalmente traslade al procedimiento administrativo de aplicación </w:t>
      </w:r>
      <w:r w:rsidRPr="003754FE">
        <w:rPr>
          <w:i/>
        </w:rPr>
        <w:t>ex lege</w:t>
      </w:r>
      <w:r>
        <w:t xml:space="preserve"> una causa de incompatibilidad de un supuesto carácter penal que atribuya al demandante las garantías y derechos propios de la jurisdicción penal.</w:t>
      </w:r>
    </w:p>
    <w:p w14:paraId="517FF5C9" w14:textId="77777777" w:rsidR="003754FE" w:rsidRDefault="003754FE" w:rsidP="003754FE">
      <w:pPr>
        <w:pStyle w:val="TextoNormal"/>
      </w:pPr>
    </w:p>
    <w:p w14:paraId="3A13DFC6" w14:textId="77777777" w:rsidR="003754FE" w:rsidRDefault="003754FE" w:rsidP="003754FE">
      <w:pPr>
        <w:pStyle w:val="TextoNormal"/>
      </w:pPr>
      <w:r>
        <w:t xml:space="preserve">No cabe hablar en el procedimiento de aplicación de la causa de incompatibilidad, ni del derecho a la doble instancia penal, ni del principio de legalidad penal (derechos, por cierto, que él efectivamente gozó en el proceso penal tramitado). Por último, por carecer de naturaleza penal o sancionadora la aplicación de la causa de incompatibilidad, procede descartar también la alegada vulneración de su derecho </w:t>
      </w:r>
      <w:r w:rsidRPr="003754FE">
        <w:rPr>
          <w:i/>
        </w:rPr>
        <w:t>a non bis in id</w:t>
      </w:r>
      <w:r>
        <w:t>em.</w:t>
      </w:r>
    </w:p>
    <w:p w14:paraId="6EB1C995" w14:textId="77777777" w:rsidR="003754FE" w:rsidRDefault="003754FE" w:rsidP="003754FE">
      <w:pPr>
        <w:pStyle w:val="TextoNormal"/>
      </w:pPr>
    </w:p>
    <w:p w14:paraId="54FBBF4D" w14:textId="77777777" w:rsidR="003754FE" w:rsidRDefault="003754FE" w:rsidP="003754FE">
      <w:pPr>
        <w:pStyle w:val="TextoNormal"/>
      </w:pPr>
      <w:r>
        <w:t xml:space="preserve">d) </w:t>
      </w:r>
      <w:r w:rsidRPr="003754FE">
        <w:rPr>
          <w:i/>
        </w:rPr>
        <w:t>Sobre la supuesta falta de imparcialidad de algunos miembros de la Junta Electoral Central</w:t>
      </w:r>
    </w:p>
    <w:p w14:paraId="294EC0C3" w14:textId="77777777" w:rsidR="003754FE" w:rsidRDefault="003754FE" w:rsidP="003754FE">
      <w:pPr>
        <w:pStyle w:val="TextoNormal"/>
      </w:pPr>
    </w:p>
    <w:p w14:paraId="699E7366" w14:textId="77777777" w:rsidR="003754FE" w:rsidRDefault="003754FE" w:rsidP="003754FE">
      <w:pPr>
        <w:pStyle w:val="TextoNormal"/>
      </w:pPr>
      <w:r>
        <w:lastRenderedPageBreak/>
        <w:t>El recurrente pone en relación la falta de imparcialidad de los miembros de la Junta Electoral Central con el derecho de acceso a los cargos públicos en condiciones de igualdad (art. 23.2 CE).</w:t>
      </w:r>
    </w:p>
    <w:p w14:paraId="57863F11" w14:textId="77777777" w:rsidR="003754FE" w:rsidRDefault="003754FE" w:rsidP="003754FE">
      <w:pPr>
        <w:pStyle w:val="TextoNormal"/>
      </w:pPr>
    </w:p>
    <w:p w14:paraId="48E16E87" w14:textId="77777777" w:rsidR="003754FE" w:rsidRDefault="003754FE" w:rsidP="003754FE">
      <w:pPr>
        <w:pStyle w:val="TextoNormal"/>
      </w:pPr>
      <w:r>
        <w:t>Defiende el demandante que el acuerdo impugnado de la Junta Electoral Central, lo fue por una exigua mayoría, de siete votos contra seis, que no habría existido de haberse respetado, por cuatro vocales de dicha Junta Electoral Central, su obligación de abstenerse de tomar parte en la decisión de los recursos interpuestos.</w:t>
      </w:r>
    </w:p>
    <w:p w14:paraId="1926A8DA" w14:textId="77777777" w:rsidR="003754FE" w:rsidRDefault="003754FE" w:rsidP="003754FE">
      <w:pPr>
        <w:pStyle w:val="TextoNormal"/>
      </w:pPr>
    </w:p>
    <w:p w14:paraId="4ABDECDD" w14:textId="77777777" w:rsidR="003754FE" w:rsidRDefault="003754FE" w:rsidP="003754FE">
      <w:pPr>
        <w:pStyle w:val="TextoNormal"/>
      </w:pPr>
      <w:r>
        <w:t>El motivo por el que deberían haberse abstenido los vocales don Antonio Jesús Fonseca-Herrero Raimundo, don Carlos Vidal Prado y doña Inés Olaizola Nogales, sería que habían formado parte de la Junta Electoral Central que dio origen al traslado del expediente al Ministerio Fiscal, efectuado mediante acuerdo de la Junta Electoral Central de 21 de marzo de 2019, que provocó las actuaciones penales contra el recurrente y desembocaron en la sentencia del Tribunal Superior de Justicia de Cataluña de 19 de diciembre de 2019. Igualmente, participaron en la adopción de los acuerdos de la Junta Electoral Central de 11 y 18 de marzo de 2019, que dieron lugar a la posterior denuncia.</w:t>
      </w:r>
    </w:p>
    <w:p w14:paraId="491713FA" w14:textId="77777777" w:rsidR="003754FE" w:rsidRDefault="003754FE" w:rsidP="003754FE">
      <w:pPr>
        <w:pStyle w:val="TextoNormal"/>
      </w:pPr>
    </w:p>
    <w:p w14:paraId="6B9F7232" w14:textId="77777777" w:rsidR="003754FE" w:rsidRDefault="003754FE" w:rsidP="003754FE">
      <w:pPr>
        <w:pStyle w:val="TextoNormal"/>
      </w:pPr>
      <w:r>
        <w:t>En cuanto a la vocal doña Ana María Ferrer García, explica que, “[a] diferencia de lo sucedido en relación con la Excma. Sra. Teso Gamella, el Excmo. Sr. Fonseca-Herrero Raimundo, el Sr. Vidal Prado y la Sra. Olaizola Nogales, la Sra. Ferrer García no participó en las decisiones de referencia en que sí participaron aquellos. Ahora bien, lo decisivo para entender por qué debía abstenerse la Excma. Sra. Ferrer García, es la razón por la que no participó en aquellas decisiones. Y es que la Excma. Sra. Ferrer García no dejó de participar en aquellas decisiones porque aquellos días padeciera un repentino resfriado. No participó en ellas porque, acertadamente, entendió que pesaba sobre ella la obligación de abstenerse”.</w:t>
      </w:r>
    </w:p>
    <w:p w14:paraId="3C8DAA18" w14:textId="77777777" w:rsidR="003754FE" w:rsidRDefault="003754FE" w:rsidP="003754FE">
      <w:pPr>
        <w:pStyle w:val="TextoNormal"/>
      </w:pPr>
    </w:p>
    <w:p w14:paraId="588D9198" w14:textId="77777777" w:rsidR="003754FE" w:rsidRDefault="003754FE" w:rsidP="003754FE">
      <w:pPr>
        <w:pStyle w:val="TextoNormal"/>
      </w:pPr>
      <w:r>
        <w:t>Por último, considera que determinadas declaraciones públicas de don Carlos Vidal Prado deberían haber llevado a su no participación en el acuerdo impugnado.</w:t>
      </w:r>
    </w:p>
    <w:p w14:paraId="7C8496D3" w14:textId="77777777" w:rsidR="003754FE" w:rsidRDefault="003754FE" w:rsidP="003754FE">
      <w:pPr>
        <w:pStyle w:val="TextoNormal"/>
      </w:pPr>
    </w:p>
    <w:p w14:paraId="000F94FF" w14:textId="77777777" w:rsidR="003754FE" w:rsidRDefault="003754FE" w:rsidP="003754FE">
      <w:pPr>
        <w:pStyle w:val="TextoNormal"/>
      </w:pPr>
      <w:r>
        <w:t>Este tribunal comparte el criterio de la Junta Electoral Central y del Tribunal Supremo. Los motivos por los que, según el recurrente, los miembros aludidos habrían perdido su imparcialidad no son consistentes. La Junta Electoral Central no es un órgano jurisdiccional por lo que, en su caso, se aplicarían las normas de abstención y de recusación aplicables a los de naturaleza no jurisdiccional.</w:t>
      </w:r>
    </w:p>
    <w:p w14:paraId="05CB0931" w14:textId="77777777" w:rsidR="003754FE" w:rsidRDefault="003754FE" w:rsidP="003754FE">
      <w:pPr>
        <w:pStyle w:val="TextoNormal"/>
      </w:pPr>
    </w:p>
    <w:p w14:paraId="2FDB9C82" w14:textId="77777777" w:rsidR="003754FE" w:rsidRDefault="003754FE" w:rsidP="003754FE">
      <w:pPr>
        <w:pStyle w:val="TextoNormal"/>
      </w:pPr>
      <w:r>
        <w:t>El recurrente formuló un escrito de recusación contra los citados vocales que fue rechazado de manera fundada por acuerdo de la Junta Electoral Central de 3 de enero de 2020 en el que, sin formar parte de la sesión en que se adoptó ninguno de los recusados, se inadmitió por su manifiesta ausencia de fundamento, justificando esa decisión en que se trata de una solicitud genérica, que no invocaba ninguno de los motivos de abstención previstos en el art. 23.2 de la Ley 40/2015.</w:t>
      </w:r>
    </w:p>
    <w:p w14:paraId="5BEEBBE1" w14:textId="77777777" w:rsidR="003754FE" w:rsidRDefault="003754FE" w:rsidP="003754FE">
      <w:pPr>
        <w:pStyle w:val="TextoNormal"/>
      </w:pPr>
    </w:p>
    <w:p w14:paraId="2E6FF1D2" w14:textId="77777777" w:rsidR="003754FE" w:rsidRDefault="003754FE" w:rsidP="003754FE">
      <w:pPr>
        <w:pStyle w:val="TextoNormal"/>
      </w:pPr>
      <w:r>
        <w:t xml:space="preserve">Los motivos por los que imputa falta de imparcialidad a los vocales de la Junta carecen de base legal. Las causas de abstención y recusación aplicables a los vocales de las juntas electorales son las de la legislación del procedimiento administrativo común, conforme al art. 120 LOREG, que dispone que “[e]n todo lo no expresamente regulado por esta ley en materia de procedimiento será de aplicación la Ley de procedimiento administrativo”. Entre </w:t>
      </w:r>
      <w:r>
        <w:lastRenderedPageBreak/>
        <w:t>esas causas, enumeradas en el art. 23.2 de la Ley 40/2015, no se encuentran las que pretende hacer valer el recurrente, que sostiene que debieron abstenerse los cuatro vocales de la Junta Electoral Central que habían participado en las decisiones de dicha junta cuya desobediencia por el recurrente dio lugar al proceso penal por el que le condenó el Tribunal Superior de Justicia de Cataluña.</w:t>
      </w:r>
    </w:p>
    <w:p w14:paraId="77906D83" w14:textId="77777777" w:rsidR="003754FE" w:rsidRDefault="003754FE" w:rsidP="003754FE">
      <w:pPr>
        <w:pStyle w:val="TextoNormal"/>
      </w:pPr>
    </w:p>
    <w:p w14:paraId="79B7C862" w14:textId="77777777" w:rsidR="003754FE" w:rsidRDefault="003754FE" w:rsidP="003754FE">
      <w:pPr>
        <w:pStyle w:val="TextoNormal"/>
      </w:pPr>
      <w:r>
        <w:t>La demanda intenta equiparar las causas de abstención y recusación previstas en la Ley Orgánica 6/1985, de 1 de julio, del Poder Judicial, para jueces y magistrados, a las causas de recusación previstas en el art. 23.2 de la Ley 40/2015, aplicables a los miembros del órgano de la administración electoral, siendo obvio que se trata de funciones diferentes, sometidas a un régimen legal distinto, mucho más exigente en el caso de las que afectan a jueces y magistrados en el proceso judicial.</w:t>
      </w:r>
    </w:p>
    <w:p w14:paraId="05372D78" w14:textId="77777777" w:rsidR="003754FE" w:rsidRDefault="003754FE" w:rsidP="003754FE">
      <w:pPr>
        <w:pStyle w:val="TextoNormal"/>
      </w:pPr>
    </w:p>
    <w:p w14:paraId="525F558B" w14:textId="77777777" w:rsidR="003754FE" w:rsidRDefault="003754FE" w:rsidP="003754FE">
      <w:pPr>
        <w:pStyle w:val="TextoNormal"/>
      </w:pPr>
      <w:r>
        <w:t>No cabe comparar la decisión de abstención de una magistrada integrante de la Sala, con la situación de los miembros de un órgano de la administración electoral. La posición de los órganos administrativos no es equiparable en modo alguno a la de los miembros del Poder Judicial y, por ello, las causas de abstención y recusación que deben observarse en los procesos judiciales son más extensas y exigentes que las de los órganos administrativos, también los de la administración electoral. De ello deriva que la situación que puede dar lugar a una abstención debida en el proceso judicial no constituya un motivo de abstención en el procedimiento administrativo, aun de las especiales características del procedimiento electoral.</w:t>
      </w:r>
    </w:p>
    <w:p w14:paraId="6F79EB46" w14:textId="77777777" w:rsidR="003754FE" w:rsidRDefault="003754FE" w:rsidP="003754FE">
      <w:pPr>
        <w:pStyle w:val="TextoNormal"/>
      </w:pPr>
    </w:p>
    <w:p w14:paraId="7AAEB3D4" w14:textId="77777777" w:rsidR="003754FE" w:rsidRDefault="003754FE" w:rsidP="003754FE">
      <w:pPr>
        <w:pStyle w:val="TextoNormal"/>
      </w:pPr>
      <w:r>
        <w:t>En cuanto a las alegaciones sobre la abstención supuestamente debida de la vocal de la Junta Electoral Central, señora Ferrer García, por haber formado parte de la Sala de lo Penal del Tribunal Supremo en la causa especial núm. 20907-2017, como señala la sentencia recurrida, decaen, ya que el recurrente no fue parte en dicha causa especial, ni existe vínculo directo ni indirecto entre dicha causa y la actuación de la Junta Electoral Central en la resolución aquí recurrida que se debe a la declaración de un efecto extrapenal de una sentencia condenatoria a pena de inhabilitación especial que impone, sin ninguna otra consideración, la declaración de inelegibilidad y, por consiguiente, de incompatibilidad del recurrente.</w:t>
      </w:r>
    </w:p>
    <w:p w14:paraId="783365BF" w14:textId="77777777" w:rsidR="003754FE" w:rsidRDefault="003754FE" w:rsidP="003754FE">
      <w:pPr>
        <w:pStyle w:val="TextoNormal"/>
      </w:pPr>
    </w:p>
    <w:p w14:paraId="50E4C3EA" w14:textId="77777777" w:rsidR="003754FE" w:rsidRDefault="003754FE" w:rsidP="003754FE">
      <w:pPr>
        <w:pStyle w:val="TextoNormal"/>
      </w:pPr>
      <w:r>
        <w:t>Por último, respecto a las alegaciones relativas al pretendido deber de abstención del vocal señor Vidal Prado, el actor se limita a insistir en el contenido de declaraciones públicas y artículos de opinión que aporta con la demanda.</w:t>
      </w:r>
    </w:p>
    <w:p w14:paraId="7CA91637" w14:textId="77777777" w:rsidR="003754FE" w:rsidRDefault="003754FE" w:rsidP="003754FE">
      <w:pPr>
        <w:pStyle w:val="TextoNormal"/>
      </w:pPr>
    </w:p>
    <w:p w14:paraId="6548464C" w14:textId="77777777" w:rsidR="003754FE" w:rsidRDefault="003754FE" w:rsidP="003754FE">
      <w:pPr>
        <w:pStyle w:val="TextoNormal"/>
      </w:pPr>
      <w:r>
        <w:t>Como señala el Tribunal Supremo en la sentencia impugnada, se trata de hechos de fecha muy anterior al expediente que constituye el objeto de este proceso, y que además nada tienen que ver con la persona del demandante, que, en realidad, basa su alegación en un supuesto prejuicio ideológico de dicho vocal sobre el contexto político general en que se produjeron los actos enjuiciados por la Sala de lo Civil y Penal del Tribunal Superior de Justicia de Cataluña. Sin embargo, la concurrencia de la recusación o abstención que pretende el recurrente exige que se acredite la ausencia de imparcialidad objetiva por un interés personal en el objeto del procedimiento y es obvio que la acreditación de un interés directo o indirecto en un procedimiento concreto no puede basarse, de ninguna manera, en el hecho de la expresión pública de ideas o pensamientos no coincidentes o incluso críticos con la posición política o ideológica con la que se pudiera sentir identificado el recurrente.</w:t>
      </w:r>
    </w:p>
    <w:p w14:paraId="2B77BDA3" w14:textId="77777777" w:rsidR="003754FE" w:rsidRDefault="003754FE" w:rsidP="003754FE">
      <w:pPr>
        <w:pStyle w:val="TextoNormal"/>
      </w:pPr>
    </w:p>
    <w:p w14:paraId="7A791828" w14:textId="77777777" w:rsidR="003754FE" w:rsidRDefault="003754FE" w:rsidP="003754FE">
      <w:pPr>
        <w:pStyle w:val="TextoNormal"/>
      </w:pPr>
      <w:r>
        <w:lastRenderedPageBreak/>
        <w:t>En definitiva, la participación de los vocales y del presidente de la Junta Electoral Central en la adopción del acuerdo de la Junta Electoral Central recurrido es conforme a Derecho.</w:t>
      </w:r>
    </w:p>
    <w:p w14:paraId="3BBCEE64" w14:textId="77777777" w:rsidR="003754FE" w:rsidRDefault="003754FE" w:rsidP="003754FE">
      <w:pPr>
        <w:pStyle w:val="TextoNormal"/>
      </w:pPr>
    </w:p>
    <w:p w14:paraId="09549291" w14:textId="77777777" w:rsidR="003754FE" w:rsidRDefault="003754FE" w:rsidP="003754FE">
      <w:pPr>
        <w:pStyle w:val="TextoNormal"/>
      </w:pPr>
      <w:r>
        <w:t>e</w:t>
      </w:r>
      <w:r w:rsidRPr="003754FE">
        <w:rPr>
          <w:i/>
        </w:rPr>
        <w:t>) Sobre la supuesta indefensión sufri</w:t>
      </w:r>
      <w:r>
        <w:t>da</w:t>
      </w:r>
    </w:p>
    <w:p w14:paraId="4410A23A" w14:textId="77777777" w:rsidR="003754FE" w:rsidRDefault="003754FE" w:rsidP="003754FE">
      <w:pPr>
        <w:pStyle w:val="TextoNormal"/>
      </w:pPr>
    </w:p>
    <w:p w14:paraId="6BD03E40" w14:textId="2B520C64" w:rsidR="003754FE" w:rsidRDefault="003754FE" w:rsidP="003754FE">
      <w:pPr>
        <w:pStyle w:val="TextoNormal"/>
      </w:pPr>
      <w:r>
        <w:t>Por último, dentro de las quejas genéricas que dirige el recurrente contra la actuación de la Junta Electoral Central, alega, también sin la suficiente carga argumentativa, una supuesta indefensión por insuficiencia de plazo para defender su derecho. Esta parca alegación debe ser rechazada puesto que el recurrente no concreta en qué se materializó la supuesta indefensión padecida. Lo cierto es que tuvo la ocasión de plantear todas las alegaciones que estimó oportunas, así como impugnar, administrativa y jurisdiccionalmente, todas las actuaciones que consideró lesivas, por lo que no cabe apreciar la indefensión material que alega.</w:t>
      </w:r>
    </w:p>
    <w:p w14:paraId="20720AD7" w14:textId="77777777" w:rsidR="003754FE" w:rsidRDefault="003754FE" w:rsidP="003754FE">
      <w:pPr>
        <w:pStyle w:val="TextoNormal"/>
      </w:pPr>
    </w:p>
    <w:p w14:paraId="63FCF209" w14:textId="77777777" w:rsidR="003754FE" w:rsidRDefault="003754FE" w:rsidP="003754FE">
      <w:pPr>
        <w:pStyle w:val="TextoNormal"/>
      </w:pPr>
      <w:r w:rsidRPr="003754FE">
        <w:rPr>
          <w:rStyle w:val="NumeroAFNegritaCaracter"/>
        </w:rPr>
        <w:t>6</w:t>
      </w:r>
      <w:r>
        <w:t xml:space="preserve">. </w:t>
      </w:r>
      <w:r w:rsidRPr="003754FE">
        <w:rPr>
          <w:i/>
        </w:rPr>
        <w:t>Conclusión</w:t>
      </w:r>
    </w:p>
    <w:p w14:paraId="59B36579" w14:textId="77777777" w:rsidR="003754FE" w:rsidRDefault="003754FE" w:rsidP="003754FE">
      <w:pPr>
        <w:pStyle w:val="TextoNormal"/>
      </w:pPr>
    </w:p>
    <w:p w14:paraId="45F4C24B" w14:textId="5248A7B3" w:rsidR="003754FE" w:rsidRDefault="003754FE" w:rsidP="003754FE">
      <w:pPr>
        <w:pStyle w:val="TextoNormal"/>
      </w:pPr>
      <w:r>
        <w:t>En definitiva, a la vista de las circunstancias expuestas, procede la desestimación de la demanda, al no poder apreciarse ninguna de las violaciones alegadas de los derechos del recurrente.</w:t>
      </w:r>
    </w:p>
    <w:p w14:paraId="35F6B47B" w14:textId="77777777" w:rsidR="003754FE" w:rsidRDefault="003754FE" w:rsidP="003754FE">
      <w:pPr>
        <w:pStyle w:val="TextoNormal"/>
      </w:pPr>
    </w:p>
    <w:p w14:paraId="65CA9DAA" w14:textId="77777777" w:rsidR="003754FE" w:rsidRDefault="003754FE" w:rsidP="003754FE">
      <w:pPr>
        <w:pStyle w:val="TextoNormalCentrado"/>
        <w:keepNext/>
      </w:pPr>
      <w:r>
        <w:t>FALLO</w:t>
      </w:r>
    </w:p>
    <w:p w14:paraId="67F64027" w14:textId="6D07F839" w:rsidR="003754FE" w:rsidRDefault="003754FE" w:rsidP="003754FE">
      <w:pPr>
        <w:pStyle w:val="TextoNormalCentrado"/>
        <w:keepNext/>
      </w:pPr>
    </w:p>
    <w:p w14:paraId="1F407A4C" w14:textId="07A06EA2" w:rsidR="003754FE" w:rsidRDefault="003754FE" w:rsidP="003754FE">
      <w:pPr>
        <w:pStyle w:val="TextoNormal"/>
      </w:pPr>
      <w:r>
        <w:t>En atención a todo lo expuesto, el Tribunal Constitucional, por la autoridad que le confiere la Constitución de la Nación española, ha decidido desestimar el recurso de amparo interpuesto por don Joaquim Torra i Pla.</w:t>
      </w:r>
    </w:p>
    <w:p w14:paraId="7620E90E" w14:textId="77777777" w:rsidR="003754FE" w:rsidRDefault="003754FE" w:rsidP="003754FE">
      <w:pPr>
        <w:pStyle w:val="TextoNormal"/>
      </w:pPr>
    </w:p>
    <w:p w14:paraId="50D98A9B" w14:textId="77777777" w:rsidR="003754FE" w:rsidRDefault="003754FE" w:rsidP="003754FE">
      <w:pPr>
        <w:pStyle w:val="TextoNormal"/>
      </w:pPr>
      <w:r>
        <w:t>Publíquese esta sentencia en el “Boletín Oficial del Estado”.</w:t>
      </w:r>
    </w:p>
    <w:p w14:paraId="5D598709" w14:textId="77777777" w:rsidR="003754FE" w:rsidRDefault="003754FE" w:rsidP="003754FE">
      <w:pPr>
        <w:pStyle w:val="TextoNormal"/>
      </w:pPr>
      <w:r>
        <w:t>Dada en Madrid, a dieciséis de diciembre de dos mil veinticuatro.</w:t>
      </w:r>
    </w:p>
    <w:p w14:paraId="2B3F81A0" w14:textId="3E5CA0DB" w:rsidR="003754FE" w:rsidRDefault="003754FE">
      <w:pPr>
        <w:spacing w:after="160" w:line="278" w:lineRule="auto"/>
        <w:rPr>
          <w:rFonts w:ascii="Times New Roman" w:eastAsia="Times New Roman" w:hAnsi="Times New Roman" w:cs="Times New Roman"/>
          <w:sz w:val="24"/>
          <w:szCs w:val="24"/>
          <w:lang w:eastAsia="es-ES"/>
        </w:rPr>
      </w:pPr>
      <w:r>
        <w:br w:type="page"/>
      </w:r>
    </w:p>
    <w:p w14:paraId="22BB4CD6" w14:textId="77777777" w:rsidR="003754FE" w:rsidRDefault="003754FE" w:rsidP="003754FE">
      <w:pPr>
        <w:pStyle w:val="TtuloResolucin"/>
      </w:pPr>
      <w:bookmarkStart w:id="62" w:name="SENTENCIA_2024_153"/>
      <w:r>
        <w:t>SENTENCIA 153/2024, de 16 de diciembre de 2024</w:t>
      </w:r>
    </w:p>
    <w:bookmarkEnd w:id="62"/>
    <w:p w14:paraId="0700DE74" w14:textId="77777777" w:rsidR="003754FE" w:rsidRDefault="003754FE" w:rsidP="003754FE">
      <w:pPr>
        <w:pStyle w:val="TtuloResolucin"/>
      </w:pPr>
      <w:r>
        <w:t>Sala Segunda</w:t>
      </w:r>
    </w:p>
    <w:p w14:paraId="1468A03C" w14:textId="77777777" w:rsidR="003754FE" w:rsidRDefault="003754FE" w:rsidP="003754FE">
      <w:pPr>
        <w:pStyle w:val="TtuloBOE"/>
      </w:pPr>
      <w:r>
        <w:t>(BOE núm. 21, de 24 de enero de 2025)</w:t>
      </w:r>
    </w:p>
    <w:p w14:paraId="091E735F" w14:textId="77777777" w:rsidR="003754FE" w:rsidRDefault="003754FE" w:rsidP="003754FE">
      <w:pPr>
        <w:pStyle w:val="TextoNormalCentrado"/>
      </w:pPr>
      <w:r>
        <w:t>ECLI:ES:TC:2024:153</w:t>
      </w:r>
    </w:p>
    <w:p w14:paraId="4DB5456A" w14:textId="3E34C2B5" w:rsidR="003754FE" w:rsidRDefault="003754FE" w:rsidP="003754FE">
      <w:pPr>
        <w:pStyle w:val="TextoNormalCentrado"/>
      </w:pPr>
    </w:p>
    <w:p w14:paraId="4F2E38D8" w14:textId="77777777" w:rsidR="003754FE" w:rsidRDefault="003754FE" w:rsidP="003754FE">
      <w:pPr>
        <w:pStyle w:val="SntesisDescriptiva"/>
      </w:pPr>
      <w:r>
        <w:t>Recurso de amparo 8026-2022. Promovido por doña Concepción Gamarra Ruiz-Clavijo y otros doce diputados del Grupo Parlamentario Popular en el Congreso en relación con los acuerdos de la mesa de la Cámara que rechazaron la solicitud de informes sobre proposición de ley de modificación parcial de la Ley Orgánica del Poder Judicial.</w:t>
      </w:r>
    </w:p>
    <w:p w14:paraId="3DD60F6D" w14:textId="110A3209" w:rsidR="003754FE" w:rsidRDefault="003754FE" w:rsidP="003754FE">
      <w:pPr>
        <w:pStyle w:val="SntesisDescriptiva"/>
      </w:pPr>
    </w:p>
    <w:p w14:paraId="361CEFD0" w14:textId="77777777" w:rsidR="003754FE" w:rsidRDefault="003754FE" w:rsidP="003754FE">
      <w:pPr>
        <w:pStyle w:val="SntesisAnaltica"/>
      </w:pPr>
      <w:r>
        <w:t>Supuesta vulneración del derecho al ejercicio de las funciones representativas: ausencia de informes del Consejo General del Poder Judicial y de la Comisión de Venecia que no vicia el procedimiento legislativo de urgencia que tiene su origen legítimo en una proposición de ley (STC 139/2024). Votos particulares.</w:t>
      </w:r>
    </w:p>
    <w:p w14:paraId="360D67F7" w14:textId="0F547519" w:rsidR="003754FE" w:rsidRDefault="003754FE" w:rsidP="003754FE">
      <w:pPr>
        <w:pStyle w:val="SntesisAnaltica"/>
      </w:pPr>
    </w:p>
    <w:p w14:paraId="49EB9EFE" w14:textId="3EE9830E" w:rsidR="003754FE" w:rsidRDefault="003754FE" w:rsidP="003754FE">
      <w:pPr>
        <w:pStyle w:val="Extracto"/>
      </w:pPr>
      <w:r>
        <w:t>1.</w:t>
      </w:r>
      <w:r>
        <w:tab/>
        <w:t>De la jurisprudencia del TJUE no se deduce la exigencia a los Estados miembros de la Unión Europea de que utilicen un determinado procedimiento legislativo -proyecto de ley o proposición de ley- para tramitar reformas legislativas de la Administración de justicia o del órgano de gobierno del Poder Judicial. De la mencionada jurisprudencia sí se deriva que las exigencias a las que queda sujeta la tramitación de las normas con rango de ley a nivel nacional vienen íntegramente reguladas por el Derecho interno, igual que las normas que afectan a la organización de la administración de justicia, que es una competencia que los Estados no han cedido en los tratados constitutivos (SSTC 15/2024 y 139/2024) [FJ 2].</w:t>
      </w:r>
    </w:p>
    <w:p w14:paraId="319E837E" w14:textId="77777777" w:rsidR="003754FE" w:rsidRDefault="003754FE" w:rsidP="003754FE">
      <w:pPr>
        <w:pStyle w:val="Extracto"/>
      </w:pPr>
    </w:p>
    <w:p w14:paraId="629979BA" w14:textId="04D3BC94" w:rsidR="003754FE" w:rsidRDefault="003754FE" w:rsidP="003754FE">
      <w:pPr>
        <w:pStyle w:val="Extracto"/>
      </w:pPr>
      <w:r>
        <w:t>2.</w:t>
      </w:r>
      <w:r>
        <w:tab/>
        <w:t>El 561.1 LOPJ se refiere a que se someterán a informe del Consejo los anteproyectos de ley que versen sobre modificaciones de la Ley Orgánica del Poder Judicial; por lo que, en virtud de esta regulación, carece de relieve jurídico-constitucional la ausencia del mencionado informe durante la tramitación parlamentaria de las proposiciones de ley (SSTC 128/2023, 15/2023 o 139/2024) [FJ 2].</w:t>
      </w:r>
    </w:p>
    <w:p w14:paraId="040A3703" w14:textId="77777777" w:rsidR="003754FE" w:rsidRDefault="003754FE" w:rsidP="003754FE">
      <w:pPr>
        <w:pStyle w:val="Extracto"/>
      </w:pPr>
    </w:p>
    <w:p w14:paraId="1F422AFA" w14:textId="2809B6B7" w:rsidR="003754FE" w:rsidRDefault="003754FE" w:rsidP="003754FE">
      <w:pPr>
        <w:pStyle w:val="Extracto"/>
      </w:pPr>
      <w:r>
        <w:t>3.</w:t>
      </w:r>
      <w:r>
        <w:tab/>
        <w:t>No merece reproche constitucional la ausencia del informe de la Comisión de Venecia en la tramitación de las proposiciones de ley; esta tramitación se rige, exclusivamente, por los reglamentos parlamentarios respectivos (art. 89.1 CE), en los que no se prevé informe preceptivo alguno a cargo de otros órganos (SSTC 128/2023, 15/2023 o 139/2024) [FJ 2].</w:t>
      </w:r>
    </w:p>
    <w:p w14:paraId="553C9091" w14:textId="77777777" w:rsidR="003754FE" w:rsidRDefault="003754FE" w:rsidP="003754FE">
      <w:pPr>
        <w:pStyle w:val="Extracto"/>
      </w:pPr>
    </w:p>
    <w:p w14:paraId="2E540D4B" w14:textId="77777777" w:rsidR="003754FE" w:rsidRDefault="003754FE" w:rsidP="003754FE">
      <w:pPr>
        <w:pStyle w:val="Extracto"/>
      </w:pPr>
    </w:p>
    <w:p w14:paraId="241E3FC1" w14:textId="77777777" w:rsidR="003754FE" w:rsidRDefault="003754FE" w:rsidP="003754FE">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14:paraId="279524DF" w14:textId="62EFC9D1" w:rsidR="003754FE" w:rsidRDefault="003754FE" w:rsidP="003754FE">
      <w:pPr>
        <w:pStyle w:val="TextoNormal"/>
      </w:pPr>
    </w:p>
    <w:p w14:paraId="686F2A47" w14:textId="77777777" w:rsidR="003754FE" w:rsidRDefault="003754FE" w:rsidP="003754FE">
      <w:pPr>
        <w:pStyle w:val="TextoNormalCentrado"/>
        <w:keepNext/>
      </w:pPr>
      <w:r>
        <w:t>EN NOMBRE DEL REY</w:t>
      </w:r>
    </w:p>
    <w:p w14:paraId="4AC13C83" w14:textId="723B4FBE" w:rsidR="003754FE" w:rsidRDefault="003754FE" w:rsidP="003754FE">
      <w:pPr>
        <w:pStyle w:val="TextoNormalCentrado"/>
        <w:keepNext/>
      </w:pPr>
    </w:p>
    <w:p w14:paraId="56E73720" w14:textId="77777777" w:rsidR="003754FE" w:rsidRDefault="003754FE" w:rsidP="003754FE">
      <w:pPr>
        <w:pStyle w:val="TextoNormalCentrado"/>
        <w:keepNext/>
      </w:pPr>
    </w:p>
    <w:p w14:paraId="27A97B7D" w14:textId="77777777" w:rsidR="003754FE" w:rsidRDefault="003754FE" w:rsidP="003754FE">
      <w:pPr>
        <w:pStyle w:val="TextoNormal"/>
      </w:pPr>
      <w:r>
        <w:t>la siguiente</w:t>
      </w:r>
    </w:p>
    <w:p w14:paraId="2D0FF88B" w14:textId="58BEB819" w:rsidR="003754FE" w:rsidRDefault="003754FE" w:rsidP="003754FE">
      <w:pPr>
        <w:pStyle w:val="TextoNormal"/>
      </w:pPr>
    </w:p>
    <w:p w14:paraId="3C28A512" w14:textId="77777777" w:rsidR="003754FE" w:rsidRDefault="003754FE" w:rsidP="003754FE">
      <w:pPr>
        <w:pStyle w:val="TextoNormalCentrado"/>
        <w:keepNext/>
      </w:pPr>
      <w:r>
        <w:t>SENTENCIA</w:t>
      </w:r>
    </w:p>
    <w:p w14:paraId="082F1267" w14:textId="10E1A94D" w:rsidR="003754FE" w:rsidRDefault="003754FE" w:rsidP="003754FE">
      <w:pPr>
        <w:pStyle w:val="TextoNormalCentrado"/>
        <w:keepNext/>
      </w:pPr>
    </w:p>
    <w:p w14:paraId="1FE12FED" w14:textId="77777777" w:rsidR="003754FE" w:rsidRDefault="003754FE" w:rsidP="003754FE">
      <w:pPr>
        <w:pStyle w:val="TextoNormal"/>
      </w:pPr>
      <w:r>
        <w:t>En el recurso de amparo núm. 8026-2022, promovido por doña Concepción Gamarra Ruiz-Clavijo y otros doce diputados y diputadas del Grupo Parlamentario Popular en el Congreso de los Diputados contra los acuerdos de la mesa del Congreso de los Diputados, de 8 de septiembre y 18 de octubre de 2022, que desestimaron, respectivamente, la solicitud planteada por el Grupo Parlamentario Popular, por la que se solicitaba la remisión de la proposición de ley orgánica al Consejo General del Poder Judicial, a la Comisión Europea para la Democracia por el Derecho (Comisión de Venecia) y al resto de afectados por la reforma, y la reconsideración planteada. Estos acuerdos fueron adoptados en relación con la tramitación de la proposición de Ley Orgánica 8/2022, de 27 de julio, de modificación de los artículos 570 bis y 599 de la Ley Orgánica 6/1985, de 1 de julio, del Poder Judicial, para el establecimiento del régimen jurídico aplicable al Consejo General del Poder Judicial en funciones. Han intervenido la letrada de las Cortes Generales en la representación que ostenta y el Ministerio Fiscal. Ha sido ponente la magistrada doña María Luisa Balaguer Callejón.</w:t>
      </w:r>
    </w:p>
    <w:p w14:paraId="4EBAA580" w14:textId="0EEC7214" w:rsidR="003754FE" w:rsidRDefault="003754FE" w:rsidP="003754FE">
      <w:pPr>
        <w:pStyle w:val="TextoNormal"/>
      </w:pPr>
    </w:p>
    <w:p w14:paraId="1B9F5E58" w14:textId="77777777" w:rsidR="003754FE" w:rsidRDefault="003754FE" w:rsidP="003754FE">
      <w:pPr>
        <w:pStyle w:val="TextoNormalNegritaCentrado"/>
        <w:keepNext/>
      </w:pPr>
      <w:r>
        <w:t>I. Antecedentes</w:t>
      </w:r>
    </w:p>
    <w:p w14:paraId="21449648" w14:textId="5F4600F3" w:rsidR="003754FE" w:rsidRDefault="003754FE" w:rsidP="003754FE">
      <w:pPr>
        <w:pStyle w:val="TextoNormalNegritaCentrado"/>
        <w:keepNext/>
      </w:pPr>
    </w:p>
    <w:p w14:paraId="34697057" w14:textId="57ADC53C" w:rsidR="003754FE" w:rsidRDefault="003754FE" w:rsidP="003754FE">
      <w:pPr>
        <w:pStyle w:val="TextoNormal"/>
      </w:pPr>
      <w:r w:rsidRPr="003754FE">
        <w:rPr>
          <w:rStyle w:val="NumeroAFNegritaCaracter"/>
        </w:rPr>
        <w:t>1</w:t>
      </w:r>
      <w:r>
        <w:t>. Mediante escrito registrado en este tribunal el día 2 de diciembre de 2022, la representación procesal de doña Concepción Gamarra Ruiz-Clavijo y otros doce diputados y diputadas del Grupo Parlamentario Popular en el Congreso de los Diputados, interpusieron recurso de amparo contra los acuerdos citados en el encabezamiento.</w:t>
      </w:r>
    </w:p>
    <w:p w14:paraId="4E1E1888" w14:textId="77777777" w:rsidR="003754FE" w:rsidRDefault="003754FE" w:rsidP="003754FE">
      <w:pPr>
        <w:pStyle w:val="TextoNormal"/>
      </w:pPr>
    </w:p>
    <w:p w14:paraId="192A6B34" w14:textId="77777777" w:rsidR="003754FE" w:rsidRDefault="003754FE" w:rsidP="003754FE">
      <w:pPr>
        <w:pStyle w:val="TextoNormal"/>
      </w:pPr>
      <w:r w:rsidRPr="003754FE">
        <w:rPr>
          <w:rStyle w:val="NumeroAFNegritaCaracter"/>
        </w:rPr>
        <w:t>2</w:t>
      </w:r>
      <w:r>
        <w:t xml:space="preserve">. Los hechos relevantes para la resolución del presente recurso de amparo son los siguientes y se refieren a la tramitación de la modificación de la Ley Orgánica del Poder Judicial (LOPJ) llevada a cabo por la Ley Orgánica 8/2022, de 27 de julio, por la que se modifican los arts. 570 </w:t>
      </w:r>
      <w:r w:rsidRPr="003754FE">
        <w:rPr>
          <w:i/>
        </w:rPr>
        <w:t>bis</w:t>
      </w:r>
      <w:r>
        <w:t xml:space="preserve"> y 599 LOPJ:</w:t>
      </w:r>
    </w:p>
    <w:p w14:paraId="642075BC" w14:textId="77777777" w:rsidR="003754FE" w:rsidRDefault="003754FE" w:rsidP="003754FE">
      <w:pPr>
        <w:pStyle w:val="TextoNormal"/>
      </w:pPr>
    </w:p>
    <w:p w14:paraId="68C3E080" w14:textId="77777777" w:rsidR="003754FE" w:rsidRDefault="003754FE" w:rsidP="003754FE">
      <w:pPr>
        <w:pStyle w:val="TextoNormal"/>
      </w:pPr>
      <w:r>
        <w:t>a) Mediante escrito fechado el 24 de junio de 2022, el Grupo Parlamentario Socialista presentó una proposición de ley orgánica, y al amparo de lo dispuesto en el artículo 150.1 del Reglamento del Congreso de los Diputados (RCD), “solicita que la mesa […] oída la junta de portavoces, proponga al Pleno que acuerde su tramitación directa y en lectura única”. En consecuencia la mesa adoptó, en su reunión de 1 de julio, el siguiente acuerdo: “1. Admitir a trámite, trasladar al Gobierno a los efectos del artículo 126 del Reglamento, publicar en el “Boletín Oficial de las Cortes Generales” y notificar al autor de la iniciativa. 2. En cuanto a la solicitud de tramitación por el procedimiento de lectura única, trasladar a la junta de portavoces, a los efectos de lo previsto en el artículo 150.1 del Reglamento”.</w:t>
      </w:r>
    </w:p>
    <w:p w14:paraId="37428152" w14:textId="77777777" w:rsidR="003754FE" w:rsidRDefault="003754FE" w:rsidP="003754FE">
      <w:pPr>
        <w:pStyle w:val="TextoNormal"/>
      </w:pPr>
    </w:p>
    <w:p w14:paraId="0B6128C7" w14:textId="77777777" w:rsidR="003754FE" w:rsidRDefault="003754FE" w:rsidP="003754FE">
      <w:pPr>
        <w:pStyle w:val="TextoNormal"/>
      </w:pPr>
      <w:r>
        <w:t>b) El 7 de julio de 2022 el Grupo Parlamentario Popular, al que pertenecen los recurrentes, dirigió a la mesa del Congreso de los Diputados un escrito en el que subrayaba que “la naturaleza de la reforma [de un poder del Estado como es el Poder Judicial] llama a un debate sosegado, amplio y, por encima de todo, suficiente”, lo cual “además de los oportunos informes, recomendaría […] la apertura de un trámite de consultas y comparecencias parlamentarias de expertos e interesados”. Por consiguiente, solicitaba:</w:t>
      </w:r>
    </w:p>
    <w:p w14:paraId="4987631F" w14:textId="77777777" w:rsidR="003754FE" w:rsidRDefault="003754FE" w:rsidP="003754FE">
      <w:pPr>
        <w:pStyle w:val="TextoNormal"/>
      </w:pPr>
    </w:p>
    <w:p w14:paraId="3987380B" w14:textId="77777777" w:rsidR="003754FE" w:rsidRDefault="003754FE" w:rsidP="003754FE">
      <w:pPr>
        <w:pStyle w:val="TextoNormal"/>
      </w:pPr>
      <w:r>
        <w:t xml:space="preserve">Primero. “Que en aplicación del artículo 561.1.9 de la Ley del Poder Judicial, se solicite informe del Consejo General del Poder Judicial” sobre la proposición de ley orgánica por la que se modifica el artículo 570 </w:t>
      </w:r>
      <w:r w:rsidRPr="003754FE">
        <w:rPr>
          <w:i/>
        </w:rPr>
        <w:t>bis</w:t>
      </w:r>
      <w:r>
        <w:t xml:space="preserve"> LOPJ”, facultando al Consejo General del Poder Judicial “en funciones” para “proponer el nombramiento de dos magistrados del Tribunal Constitucional”. Tal petición se fundaba “en la defensa de la posición constitucional que el CGPJ tiene en nuestro Estado de Derecho como garante de la independencia judicial”.</w:t>
      </w:r>
    </w:p>
    <w:p w14:paraId="5E1E7ACB" w14:textId="77777777" w:rsidR="003754FE" w:rsidRDefault="003754FE" w:rsidP="003754FE">
      <w:pPr>
        <w:pStyle w:val="TextoNormal"/>
      </w:pPr>
    </w:p>
    <w:p w14:paraId="5B402CBD" w14:textId="77777777" w:rsidR="003754FE" w:rsidRDefault="003754FE" w:rsidP="003754FE">
      <w:pPr>
        <w:pStyle w:val="TextoNormal"/>
      </w:pPr>
      <w:r>
        <w:t>Segundo. Asimismo, “y a tenor de lo previsto en el artículo 3.2 del Estatuto y reglas de procedimiento de la Comisión de Venecia”, que se instase a la misma para “que evalúe si esa propuesta de reforma está en línea con sus exigencias sobre el Estado de Derecho […] por su incidencia en la independencia del poder judicial español”.</w:t>
      </w:r>
    </w:p>
    <w:p w14:paraId="72EE0077" w14:textId="77777777" w:rsidR="003754FE" w:rsidRDefault="003754FE" w:rsidP="003754FE">
      <w:pPr>
        <w:pStyle w:val="TextoNormal"/>
      </w:pPr>
    </w:p>
    <w:p w14:paraId="39CEAFEF" w14:textId="77777777" w:rsidR="003754FE" w:rsidRDefault="003754FE" w:rsidP="003754FE">
      <w:pPr>
        <w:pStyle w:val="TextoNormal"/>
      </w:pPr>
      <w:r>
        <w:t>Tercero. Finalmente, pedía que “como establece el artículo 44.4 RCD, se dé audiencia a todos los agentes afectados por la reforma propuesta, en particular al Consejo General del Poder Judicial, las asociaciones de jueces y fiscales, así como a las demás entidades representativas e instituciones públicas del ámbito de la justicia en España”.</w:t>
      </w:r>
    </w:p>
    <w:p w14:paraId="3DE13315" w14:textId="77777777" w:rsidR="003754FE" w:rsidRDefault="003754FE" w:rsidP="003754FE">
      <w:pPr>
        <w:pStyle w:val="TextoNormal"/>
      </w:pPr>
    </w:p>
    <w:p w14:paraId="40B99B93" w14:textId="77777777" w:rsidR="003754FE" w:rsidRDefault="003754FE" w:rsidP="003754FE">
      <w:pPr>
        <w:pStyle w:val="TextoNormal"/>
      </w:pPr>
      <w:r>
        <w:t>c) El 13 de julio el Pleno acordó “tomar en consideración” dicha proposición de ley, así como su “tramitación directa y en lectura única”. El mismo día 13 de julio, la mesa acordó “disponer […] su tramitación por el procedimiento de urgencia y publicar [</w:t>
      </w:r>
      <w:r w:rsidRPr="003754FE">
        <w:rPr>
          <w:i/>
        </w:rPr>
        <w:t>sic</w:t>
      </w:r>
      <w:r>
        <w:t>] en el ‘Boletín Oficial de las Cortes Generales’, así como, teniendo en cuenta la solicitud del Gobierno de celebración de una sesión plenaria extraordinaria y al amparo de lo dispuesto en los artículos 90.2 y 91 del Reglamento, establecer un plazo de presentación de enmiendas […] que finalizará el [mismo] día 13 de julio de 2022, a las 21:15 horas. Asimismo, adaptar el plazo previsto en el artículo 69 del Reglamento en los términos que resulten necesarios para la celebración del debate correspondiente”. Así pues, al día siguiente (14 de julio) tuvieron lugar el debate y las votaciones, primero sobre las enmiendas presentadas y luego sobre el conjunto del texto, desembocando en su aprobación y posterior envío al Senado. La proposición de ley orgánica fue aprobada por el Pleno del Congreso de los Diputados, el día 14 de julio, y por el Pleno del Senado el 20 de julio. El 28 de julio se publicó en el “Boletín Oficial del Estado”.</w:t>
      </w:r>
    </w:p>
    <w:p w14:paraId="246B1403" w14:textId="77777777" w:rsidR="003754FE" w:rsidRDefault="003754FE" w:rsidP="003754FE">
      <w:pPr>
        <w:pStyle w:val="TextoNormal"/>
      </w:pPr>
    </w:p>
    <w:p w14:paraId="5253F551" w14:textId="77777777" w:rsidR="003754FE" w:rsidRDefault="003754FE" w:rsidP="003754FE">
      <w:pPr>
        <w:pStyle w:val="TextoNormal"/>
      </w:pPr>
      <w:r>
        <w:t>d) El 8 de septiembre, la mesa respondió a la solicitud de los recurrentes de 7 de julio, adoptando uno de los acuerdos aquí impugnados, cuyo tenor es el siguiente:</w:t>
      </w:r>
    </w:p>
    <w:p w14:paraId="14B03AEE" w14:textId="77777777" w:rsidR="003754FE" w:rsidRDefault="003754FE" w:rsidP="003754FE">
      <w:pPr>
        <w:pStyle w:val="TextoNormal"/>
      </w:pPr>
    </w:p>
    <w:p w14:paraId="6BAB925E" w14:textId="77777777" w:rsidR="003754FE" w:rsidRDefault="003754FE" w:rsidP="003754FE">
      <w:pPr>
        <w:pStyle w:val="TextoNormal"/>
      </w:pPr>
      <w:r>
        <w:t>“Comunicar al grupo parlamentario autor del presente escrito que, considerando que la iniciativa de referencia fue aprobada por el Pleno de la Cámara en su sesión extraordinaria del pasado 14 de julio y definitivamente por el Senado en su sesión plenaria extraordinaria del día 20 de julio, no procede un pronunciamiento de la mesa a este respecto”.</w:t>
      </w:r>
    </w:p>
    <w:p w14:paraId="1A8CDBB1" w14:textId="77777777" w:rsidR="003754FE" w:rsidRDefault="003754FE" w:rsidP="003754FE">
      <w:pPr>
        <w:pStyle w:val="TextoNormal"/>
      </w:pPr>
    </w:p>
    <w:p w14:paraId="6A2B0120" w14:textId="77777777" w:rsidR="003754FE" w:rsidRDefault="003754FE" w:rsidP="003754FE">
      <w:pPr>
        <w:pStyle w:val="TextoNormal"/>
      </w:pPr>
      <w:r>
        <w:t>e) Mediante escrito fechado el 21 de septiembre, el grupo parlamentario promotor de la solicitud instó a la reconsideración del acuerdo anteriormente citado. En síntesis, arguye el escrito que “[u]na negativa a rectificar por la mesa supone la convalidación de un modo de actuar inaceptable, en tanto configura un modelo de imposición, por una determinada mayoría parlamentaria puntual, de modificación ‘por la puerta de atrás’, de nuevo y atendiendo a los exclusivos intereses del Gobierno, de la Ley Orgánica del Poder Judicial. Un proceder despótico e inaceptable, por contravenir deliberada y voluntariamente los criterios europeos expresamente expuestos al efecto”.</w:t>
      </w:r>
    </w:p>
    <w:p w14:paraId="6A4F97D9" w14:textId="77777777" w:rsidR="003754FE" w:rsidRDefault="003754FE" w:rsidP="003754FE">
      <w:pPr>
        <w:pStyle w:val="TextoNormal"/>
      </w:pPr>
    </w:p>
    <w:p w14:paraId="145280AF" w14:textId="77777777" w:rsidR="003754FE" w:rsidRDefault="003754FE" w:rsidP="003754FE">
      <w:pPr>
        <w:pStyle w:val="TextoNormal"/>
      </w:pPr>
      <w:r>
        <w:t xml:space="preserve">A continuación, denuncia que el acuerdo cuya reconsideración se solicita no refleja, “en realidad, motivación […] alguna por la que no pudiera reconocerse, incluso tras la publicación de la norma, la vulneración de los derechos de los parlamentarios como único medio para el restablecimiento de su derecho fundamental </w:t>
      </w:r>
      <w:r w:rsidRPr="003754FE">
        <w:rPr>
          <w:i/>
        </w:rPr>
        <w:t>ex</w:t>
      </w:r>
      <w:r>
        <w:t xml:space="preserve"> art. 23.2 CE”. Añadiendo que tampoco existe motivación alguna “respecto de la dilatación en la respuesta […] sencillamente no se comprende (pues no se explica) la negativa de la mesa a otorgar una respuesta en el momento en que podría haberse aceptado la solicitud, y tanto más atendiendo a la envergadura de la iniciativa, a la solicitud expresa de audiencia del CGPJ […] y, en fin, al hecho de encontrarnos ante una propuesta de relevancia máxima”. Un tercer argumento trata de mostrar “la imperatividad de los informes solicitados”.</w:t>
      </w:r>
    </w:p>
    <w:p w14:paraId="1B1D8F1D" w14:textId="77777777" w:rsidR="003754FE" w:rsidRDefault="003754FE" w:rsidP="003754FE">
      <w:pPr>
        <w:pStyle w:val="TextoNormal"/>
      </w:pPr>
    </w:p>
    <w:p w14:paraId="2EE94FC3" w14:textId="77777777" w:rsidR="003754FE" w:rsidRDefault="003754FE" w:rsidP="003754FE">
      <w:pPr>
        <w:pStyle w:val="TextoNormal"/>
      </w:pPr>
      <w:r>
        <w:t>f) Esta solicitud fue desestimada, previa audiencia de la junta de portavoces, por acuerdo de 18 de octubre de 2022, donde se indica:</w:t>
      </w:r>
    </w:p>
    <w:p w14:paraId="3925695B" w14:textId="77777777" w:rsidR="003754FE" w:rsidRDefault="003754FE" w:rsidP="003754FE">
      <w:pPr>
        <w:pStyle w:val="TextoNormal"/>
      </w:pPr>
    </w:p>
    <w:p w14:paraId="6A4D7A11" w14:textId="77777777" w:rsidR="003754FE" w:rsidRDefault="003754FE" w:rsidP="003754FE">
      <w:pPr>
        <w:pStyle w:val="TextoNormal"/>
      </w:pPr>
      <w:r>
        <w:t xml:space="preserve">(i) La tramitación de la proposición de ley orgánica por el procedimiento de urgencia se hizo con estricto respeto a “las previsiones reglamentarias” y a la jurisprudencia constitucional que “es clara” al considerar que “la reducción del tiempo de tramitación no supone </w:t>
      </w:r>
      <w:r w:rsidRPr="003754FE">
        <w:rPr>
          <w:i/>
        </w:rPr>
        <w:t>per se</w:t>
      </w:r>
      <w:r>
        <w:t xml:space="preserve"> merma alguna de los principios constitucionales que han de informar el procedimiento legislativo”, citando las SSTC 136/2011, de 13 de septiembre, FJ 10, y 185/2016, de 3 de noviembre, FJ 5.</w:t>
      </w:r>
    </w:p>
    <w:p w14:paraId="6BC3DFB0" w14:textId="77777777" w:rsidR="003754FE" w:rsidRDefault="003754FE" w:rsidP="003754FE">
      <w:pPr>
        <w:pStyle w:val="TextoNormal"/>
      </w:pPr>
    </w:p>
    <w:p w14:paraId="664A1673" w14:textId="77777777" w:rsidR="003754FE" w:rsidRDefault="003754FE" w:rsidP="003754FE">
      <w:pPr>
        <w:pStyle w:val="TextoNormal"/>
      </w:pPr>
      <w:r>
        <w:t>(ii) En cuanto a la alegada “necesidad de haber recabado” los informes del Consejo General del Poder Judicial y de la Comisión de Venecia “y haber dado audiencia a los sectores afectados, constituyendo un fraude de ley la regulación de esta materia a través de una proposición de ley”, se reitera, por una parte, que “la iniciativa legislativa se tramitó de forma ajustada al Reglamento”, ya que “la Cámara tiene una capacidad de iniciativa legislativa que no cabe limitar salvo en los casos expresamente previstos”. Por otra, que “la solicitud de tales informes no es preceptiva para la mesa”, y que, “en lo que se refiere a la audiencia a los sectores afectados, estamos ante una decisión que es de mera oportunidad política”, citando algunos precedentes en que la mesa “acordó que no procedía acceder a lo solicitado, de acuerdo con el carácter potestativo con que se prevé la solicitud de informe y una vez ponderadas las circunstancias concurrentes”. En este punto, además, afirma que ni el Derecho de la Unión Europea ni otras normas internas (como los principios de buena regulación recogidos en la Ley 39/2015, de 1 de octubre, del procedimiento administrativo común de las administraciones públicas) permiten considerar preceptivos tales informes.</w:t>
      </w:r>
    </w:p>
    <w:p w14:paraId="5BD540D3" w14:textId="77777777" w:rsidR="003754FE" w:rsidRDefault="003754FE" w:rsidP="003754FE">
      <w:pPr>
        <w:pStyle w:val="TextoNormal"/>
      </w:pPr>
    </w:p>
    <w:p w14:paraId="5AA2654A" w14:textId="6FA16B55" w:rsidR="003754FE" w:rsidRDefault="003754FE" w:rsidP="003754FE">
      <w:pPr>
        <w:pStyle w:val="TextoNormal"/>
      </w:pPr>
      <w:r>
        <w:t>(iii) Un último punto se dedica a rechazar “las alegaciones que se hacen en cuanto a que la falta de motivación del acuerdo impugnado y la dilación en su adopción comportan una lesión del derecho fundamental de participación política”. En él, y “en lo que respecta a la motivación del acuerdo”, recuerda —con cita de varias sentencias— que la jurisprudencia de este tribunal permite que la misma sea “expresada tanto en el acuerdo inicial, como en la contestación a la solicitud de reconsideración”. En definitiva, el acuerdo concluye que “la mesa, en el ejercicio de sus propias competencias y en aplicación estricta del Reglamento ha actuado conforme a Derecho, siendo así que no cabe inferir del acuerdo recurrido ninguna vulneración del derecho fundamental del artículo 23 CE”.</w:t>
      </w:r>
    </w:p>
    <w:p w14:paraId="67DE154B" w14:textId="77777777" w:rsidR="003754FE" w:rsidRDefault="003754FE" w:rsidP="003754FE">
      <w:pPr>
        <w:pStyle w:val="TextoNormal"/>
      </w:pPr>
    </w:p>
    <w:p w14:paraId="5E3FDD95" w14:textId="77777777" w:rsidR="003754FE" w:rsidRDefault="003754FE" w:rsidP="003754FE">
      <w:pPr>
        <w:pStyle w:val="TextoNormal"/>
      </w:pPr>
      <w:r w:rsidRPr="003754FE">
        <w:rPr>
          <w:rStyle w:val="NumeroAFNegritaCaracter"/>
        </w:rPr>
        <w:t>3</w:t>
      </w:r>
      <w:r>
        <w:t xml:space="preserve">. La demanda de amparo contiene en su motivo único que los acuerdos controvertidos vulneraron “el derecho fundamental al ejercicio del cargo representativo conforme a la ley, o </w:t>
      </w:r>
      <w:r w:rsidRPr="003754FE">
        <w:rPr>
          <w:i/>
        </w:rPr>
        <w:t>ius in officium</w:t>
      </w:r>
      <w:r>
        <w:t xml:space="preserve"> de los parlamentarios” (art. 23.2 CE); “así como, indirectamente, el derecho de los ciudadanos a la representación política </w:t>
      </w:r>
      <w:r w:rsidRPr="003754FE">
        <w:rPr>
          <w:i/>
        </w:rPr>
        <w:t>ex</w:t>
      </w:r>
      <w:r>
        <w:t xml:space="preserve"> artículo 23.1 CE, cercenando sus derechos sin motivación alguna”.</w:t>
      </w:r>
    </w:p>
    <w:p w14:paraId="3967D498" w14:textId="77777777" w:rsidR="003754FE" w:rsidRDefault="003754FE" w:rsidP="003754FE">
      <w:pPr>
        <w:pStyle w:val="TextoNormal"/>
      </w:pPr>
    </w:p>
    <w:p w14:paraId="4206ACDB" w14:textId="77777777" w:rsidR="003754FE" w:rsidRDefault="003754FE" w:rsidP="003754FE">
      <w:pPr>
        <w:pStyle w:val="TextoNormal"/>
      </w:pPr>
      <w:r>
        <w:t>A tal efecto, además de reiterar en gran medida los argumentos expuestos en sede parlamentaria, se invoca la jurisprudencia de este tribunal sobre el “derecho al ejercicio del cargo representativo conforme a la ley”, incluyendo la obligación de los órganos parlamentarios de “interpretar restrictivamente ‘todas aquellas normas que puedan suponer una limitación al ejercicio de aquellos derechos o atribuciones’, y, asimismo, […] a motivar suficiente y adecuadamente las decisiones restrictivas” de los mismos.</w:t>
      </w:r>
    </w:p>
    <w:p w14:paraId="5B177CAC" w14:textId="77777777" w:rsidR="003754FE" w:rsidRDefault="003754FE" w:rsidP="003754FE">
      <w:pPr>
        <w:pStyle w:val="TextoNormal"/>
      </w:pPr>
    </w:p>
    <w:p w14:paraId="1ECB66CE" w14:textId="77777777" w:rsidR="003754FE" w:rsidRDefault="003754FE" w:rsidP="003754FE">
      <w:pPr>
        <w:pStyle w:val="TextoNormal"/>
      </w:pPr>
      <w:r>
        <w:t xml:space="preserve">A juicio de los recurrentes, los acuerdos impugnados vulneran diversos aspectos de ese derecho, tal y como viene legal y jurisprudencialmente definido, en tanto que: </w:t>
      </w:r>
    </w:p>
    <w:p w14:paraId="63D64C04" w14:textId="77777777" w:rsidR="003754FE" w:rsidRDefault="003754FE" w:rsidP="003754FE">
      <w:pPr>
        <w:pStyle w:val="TextoNormal"/>
      </w:pPr>
    </w:p>
    <w:p w14:paraId="777274A6" w14:textId="77777777" w:rsidR="003754FE" w:rsidRDefault="003754FE" w:rsidP="003754FE">
      <w:pPr>
        <w:pStyle w:val="TextoNormal"/>
      </w:pPr>
      <w:r>
        <w:t>A) “[D]esconocen la existencia de una obligación jurídica de otorgar audiencia tanto al CGPJ […] como a la Comisión de Venecia y a los agentes afectados por la reforma, de tal forma que, impidiendo a los parlamentarios contar con el trámite de audiencia pública exigible conforme al ordenamiento jurídico, se infringe el derecho a ejercer el cargo representativo ‘de conformidad con lo que la ley disponga’”.</w:t>
      </w:r>
    </w:p>
    <w:p w14:paraId="68034AAB" w14:textId="77777777" w:rsidR="003754FE" w:rsidRDefault="003754FE" w:rsidP="003754FE">
      <w:pPr>
        <w:pStyle w:val="TextoNormal"/>
      </w:pPr>
    </w:p>
    <w:p w14:paraId="015B7EC9" w14:textId="77777777" w:rsidR="003754FE" w:rsidRDefault="003754FE" w:rsidP="003754FE">
      <w:pPr>
        <w:pStyle w:val="TextoNormal"/>
      </w:pPr>
      <w:r>
        <w:t>En desarrollo de esta alegación, se afirma que tanto el ordenamiento jurídico español como el Derecho de la Unión Europea imponen la audiencia de los órganos cuyos informes solicitaron los recurrentes. Tal “exigencia” deriva, en primer lugar, del art. 561.1 LOPJ, obviado por “la mesa siguiendo un criterio de mera oportunidad política” que le ha llevado a blindar expresamente el “evidente fraude de ley” cometido mediante la utilización de la proposición de ley.</w:t>
      </w:r>
    </w:p>
    <w:p w14:paraId="71F4EE04" w14:textId="77777777" w:rsidR="003754FE" w:rsidRDefault="003754FE" w:rsidP="003754FE">
      <w:pPr>
        <w:pStyle w:val="TextoNormal"/>
      </w:pPr>
    </w:p>
    <w:p w14:paraId="23A92301" w14:textId="77777777" w:rsidR="003754FE" w:rsidRDefault="003754FE" w:rsidP="003754FE">
      <w:pPr>
        <w:pStyle w:val="TextoNormal"/>
      </w:pPr>
      <w:r>
        <w:t>Argumenta la demanda que la referencia del art. 561.1 LOPJ a “anteproyectos de ley y disposiciones generales” que modifiquen la Ley Orgánica del Poder Judicial ha de interpretarse teleológicamente, en tanto la preceptividad de los informes se deriva del “mayor grado de prosperabilidad” de las iniciativas gubernamentales; por lo que “es claro que una iniciativa de reforma de la LOPJ que en realidad, provenía del Gobierno —que ha invocado y defendido la misma en reiteradas ocasiones […]—, debió haberse conducido por tal cauce, y no por el de la proposición de ley”. El recurso a esta última vía responde, pues, a la “más que evidente intención de reducir plazos y trámites, pero, en especial, de argüir el carácter potestativo del informe del CGPJ [Consejo General del Poder Judicial] para después prescindir del mismo”, incurriendo así en el fraude de ley que se denuncia, y que “supone ciertamente una vulneración del derecho al ejercicio del cargo representativo ‘conforme a la ley’”.</w:t>
      </w:r>
    </w:p>
    <w:p w14:paraId="5412E9DF" w14:textId="77777777" w:rsidR="003754FE" w:rsidRDefault="003754FE" w:rsidP="003754FE">
      <w:pPr>
        <w:pStyle w:val="TextoNormal"/>
      </w:pPr>
    </w:p>
    <w:p w14:paraId="4572CDC9" w14:textId="77777777" w:rsidR="003754FE" w:rsidRDefault="003754FE" w:rsidP="003754FE">
      <w:pPr>
        <w:pStyle w:val="TextoNormal"/>
      </w:pPr>
      <w:r>
        <w:t>Por todo lo cual, a juicio de los recurrentes, la mesa (especialmente tras la solicitud del Grupo Parlamentario Popular) “debió aplicar correctamente el artículo 561.1.1 LOPJ, solicitando del CGPJ su informe sobre la reforma, y no indicándose que se trata de una decisión que debe tomar discrecionalmente la mesa de la Cámara al tratarse de ‘un informe potestativo, no preceptivo’”. Esta misma conclusión se refuerza en la demanda invocando, por una parte, el Derecho de la Unión Europea y el principio de interpretación conforme desarrollado por el Tribunal de Justicia de la Unión Europea, en tanto exigen que se garantice la independencia del Poder Judicial, y se consulte a los órganos y sectores afectados; y, por otra, los citados principios de buena regulación incorporados al ordenamiento español a través de la Ley del procedimiento administrativo común de las administraciones públicas.</w:t>
      </w:r>
    </w:p>
    <w:p w14:paraId="18D3370A" w14:textId="77777777" w:rsidR="003754FE" w:rsidRDefault="003754FE" w:rsidP="003754FE">
      <w:pPr>
        <w:pStyle w:val="TextoNormal"/>
      </w:pPr>
    </w:p>
    <w:p w14:paraId="25ABB2DA" w14:textId="77777777" w:rsidR="003754FE" w:rsidRDefault="003754FE" w:rsidP="003754FE">
      <w:pPr>
        <w:pStyle w:val="TextoNormal"/>
      </w:pPr>
      <w:r>
        <w:t>B) Asimismo, los acuerdos “aplican de forma restrictiva el ordenamiento jurídico para limitar el derecho fundamental, al (1) dilatarse en el tiempo lo suficiente para impedir una respuesta efectiva a la solicitud formulada, (2) no amparar la solicitud […] de recabar los informes […] así como (3) tramitar la concreta reforma, sin causa alguna, por el procedimiento de urgencia, desconociendo por tanto su obligación de interpretar restrictivamente ‘todas aquellas normas que puedan suponer una limitación al ejercicio de aquellos derechos o atribuciones’ (STC 208/2003, de 1 de diciembre), como también incurren en un claro y evidente […] defecto de motivación suficiente, adecuada y no arbitraria sobre las razones que llevan a tomar dichas medidas”.</w:t>
      </w:r>
    </w:p>
    <w:p w14:paraId="5B5E50B1" w14:textId="77777777" w:rsidR="003754FE" w:rsidRDefault="003754FE" w:rsidP="003754FE">
      <w:pPr>
        <w:pStyle w:val="TextoNormal"/>
      </w:pPr>
    </w:p>
    <w:p w14:paraId="0F8FD5D2" w14:textId="77777777" w:rsidR="003754FE" w:rsidRDefault="003754FE" w:rsidP="003754FE">
      <w:pPr>
        <w:pStyle w:val="TextoNormal"/>
      </w:pPr>
      <w:r>
        <w:t>Dentro de este punto, son varios los reproches que los recurrentes hacen a la mesa:</w:t>
      </w:r>
    </w:p>
    <w:p w14:paraId="5F3C650B" w14:textId="77777777" w:rsidR="003754FE" w:rsidRDefault="003754FE" w:rsidP="003754FE">
      <w:pPr>
        <w:pStyle w:val="TextoNormal"/>
      </w:pPr>
    </w:p>
    <w:p w14:paraId="620536F5" w14:textId="77777777" w:rsidR="003754FE" w:rsidRDefault="003754FE" w:rsidP="003754FE">
      <w:pPr>
        <w:pStyle w:val="TextoNormal"/>
      </w:pPr>
      <w:r>
        <w:t xml:space="preserve">a) En cuanto a la “dilación deliberada […] que produjo la imposibilidad —al haber concluido el procedimiento legislativo— de restablecer íntegramente los derechos fundamentales de los diputados”: subrayan los solicitantes de amparo que “[s]i bien no se trata de un acuerdo expreso y notificado a los diputados, es innegable que la decisión de la mesa de no atender a la solicitud planteada el día 7 de julio sino hasta el 8 de septiembre (momento en que había ya concluido la tramitación parlamentaria) es, en sí misma, una decisión adoptada por la mesa del Congreso. Una decisión que tiene como consecuencia directa y automática, injusta e incorregible para los solicitantes, la imposibilidad de restablecer íntegramente” sus derechos fundamentales </w:t>
      </w:r>
      <w:r w:rsidRPr="003754FE">
        <w:rPr>
          <w:i/>
        </w:rPr>
        <w:t>ex</w:t>
      </w:r>
      <w:r>
        <w:t xml:space="preserve"> art. 23.2 CE. Y una decisión sobre la cual, “sencillamente, de forma total y absoluta, no ha existido motivación alguna”.</w:t>
      </w:r>
    </w:p>
    <w:p w14:paraId="735B256B" w14:textId="77777777" w:rsidR="003754FE" w:rsidRDefault="003754FE" w:rsidP="003754FE">
      <w:pPr>
        <w:pStyle w:val="TextoNormal"/>
      </w:pPr>
    </w:p>
    <w:p w14:paraId="7B6A982D" w14:textId="77777777" w:rsidR="003754FE" w:rsidRDefault="003754FE" w:rsidP="003754FE">
      <w:pPr>
        <w:pStyle w:val="TextoNormal"/>
      </w:pPr>
      <w:r>
        <w:t>b) Respecto de la “negativa […] a reconocer que debió haberse acordado la audiencia del CGPJ y el resto de interesados, así como […] que debió rectificarse la decisión de tramitar por el procedimiento de urgencia una proposición cuya naturaleza y circunstancias no solo evidenciaban la inexistencia de urgencia alguna sino que, antes al contrario, exigían un debate sosegado y suficiente”, constituyen, a juicio de los recurrentes, “claros ejemplos de una aplicación restrictiva y limitativa por la mesa del Derecho. Y ello para impedir una adecuada respuesta a la solicitud, así como para rechazar la solicitud de los parlamentarios de informes para el ejercicio de la función legislativa (arts. 561.1.9 LOPJ y 7 RCD), o, en fin, de la tramitación ordinaria y ‘no urgente’ de la iniciativa legislativa (art. 93.1 RCD)”, lo que produce “una vulneración del derecho fundamental mediante una interpretación restrictiva y limitativa del ordenamiento aplicable o, lo que es lo mismo, una interpretación extensiva y no restrictiva” de normas limitativas de los derechos que integran el estatus de representante público (con cita de la STC 90/2005, de 18 de abril).</w:t>
      </w:r>
    </w:p>
    <w:p w14:paraId="604312C7" w14:textId="77777777" w:rsidR="003754FE" w:rsidRDefault="003754FE" w:rsidP="003754FE">
      <w:pPr>
        <w:pStyle w:val="TextoNormal"/>
      </w:pPr>
    </w:p>
    <w:p w14:paraId="69D2309D" w14:textId="77777777" w:rsidR="003754FE" w:rsidRDefault="003754FE" w:rsidP="003754FE">
      <w:pPr>
        <w:pStyle w:val="TextoNormal"/>
      </w:pPr>
      <w:r>
        <w:t>c) Adicionalmente, se apunta que el acuerdo inicial carece de motivación, limitándose a “comunicar” que “no procede pronunciamiento” alguno de la mesa. Mientras que el segundo desestima la reconsideración “con base en el […] nimio argumento” de que “se trata de un informe potestativo, no preceptivo, correspondiendo a la mesa de la Cámara la decisión discrecional sobre la pertinencia y oportunidad de la solicitud”. Argumento que, dicen los recurrentes, “en modo alguno puede equivaler a una adecuada motivación”. Asimismo, el escrito de demanda desecha el valor de los precedentes invocados por este último acuerdo, en los que la mesa decidió no recabar informes del Consejo General del Poder Judicial ante proposiciones de reforma de la Ley Orgánica del Poder Judicial. A tal fin, recuerda que este tribunal tiene declarado que la práctica parlamentaria no puede obstaculizar “desproporcionadamente las facultades reconocidas a los parlamentarios”, por todo lo cual estima que este último acuerdo (en el que, además, no existe ninguna “ponderación” de las circunstancias concurrentes) supone “un rechazo arbitrario y no motivado de dicha solicitud por la mesa, en abierta vulneración de las exigencias configuradas por la doctrina de este Tribunal Constitucional”.</w:t>
      </w:r>
    </w:p>
    <w:p w14:paraId="737E57A0" w14:textId="77777777" w:rsidR="003754FE" w:rsidRDefault="003754FE" w:rsidP="003754FE">
      <w:pPr>
        <w:pStyle w:val="TextoNormal"/>
      </w:pPr>
    </w:p>
    <w:p w14:paraId="5CEAA66F" w14:textId="77777777" w:rsidR="003754FE" w:rsidRDefault="003754FE" w:rsidP="003754FE">
      <w:pPr>
        <w:pStyle w:val="TextoNormal"/>
      </w:pPr>
      <w:r>
        <w:t>Se reitera asimismo que la mesa, “al rechazar […] la existencia de una vulneración de los derechos de los parlamentarios mediante la tramitación de la proposición de ley por el procedimiento de urgencia [...] infringe tanto (a) el deber de interpretar restrictivamente las normas limitativas de los derechos de los parlamentarios, como (b) el deber de motivar debidamente, existiendo al principio una ausencia de motivación” y, después, “una eficiente y arbitraria motivación”.</w:t>
      </w:r>
    </w:p>
    <w:p w14:paraId="631D7AD9" w14:textId="77777777" w:rsidR="003754FE" w:rsidRDefault="003754FE" w:rsidP="003754FE">
      <w:pPr>
        <w:pStyle w:val="TextoNormal"/>
      </w:pPr>
    </w:p>
    <w:p w14:paraId="03F5A1CE" w14:textId="77777777" w:rsidR="003754FE" w:rsidRDefault="003754FE" w:rsidP="003754FE">
      <w:pPr>
        <w:pStyle w:val="TextoNormal"/>
      </w:pPr>
      <w:r>
        <w:t>De una parte, se dice que la mesa, al afirmar que tiene reglamentariamente reconocida “la facultad de acordar la tramitación [de urgencia], sin […] ningún otro requisito […] más que […] la petición de los sujetos legitimados al efecto” confunde “la discrecionalidad […] con una pretendida capacidad de tomar tal decisión sin sujeción a límite o requisito alguno”, que no exige siquiera “un juicio de ponderación entre los derechos de los […] [parlamentarios] y las razones que aconsejan la tramitación acelerada de la iniciativa parlamentaria. Lo que constituye una indudable limitación de derechos de los parlamentarios” que se interpreta, además, extensiva y no restrictivamente. Además, considera que tampoco se cumple el deber de motivar por cuanto “la mesa se limita a recordar la existencia de la potestad para tomar la decisión, pretendiendo sustituirse la necesaria ponderación de intereses y motivación de la decisión restrictiva por el recurso a la mera autoafirmación de la competencia para decidir, lo que, nuevamente, resulta tan inaceptable como si un órgano jurisdiccional sustituyera la imperativa motivación de su decisión jurisdiccional por la estereotipada fórmula ‘la presente sentencia se dicta ejercicio de la potestad de juzgar y hacer ejecutar lo juzgado, al amparo de lo dispuesto por el artículo 117.3 CE’”.</w:t>
      </w:r>
    </w:p>
    <w:p w14:paraId="0570B4CE" w14:textId="77777777" w:rsidR="003754FE" w:rsidRDefault="003754FE" w:rsidP="003754FE">
      <w:pPr>
        <w:pStyle w:val="TextoNormal"/>
      </w:pPr>
    </w:p>
    <w:p w14:paraId="25F8E9B5" w14:textId="77777777" w:rsidR="003754FE" w:rsidRDefault="003754FE" w:rsidP="003754FE">
      <w:pPr>
        <w:pStyle w:val="TextoNormal"/>
      </w:pPr>
      <w:r>
        <w:t>C) Finalmente, la demanda considera que la motivación con que la mesa justifica la tramitación urgente es incompatible con la doctrina constitucional, citando la STC 185/2016, de 3 de noviembre, FJ 5. En este caso, sostiene que “mediante dicha tramitación urgente se altera de forma sustancial el proceso de formación de la voluntad del Congreso cuando a la misma se acumulan, como aquí ocurre, otras circunstancias”, como “[l]a total y absoluta inexistencia” de audiencia a los órganos y sectores afectados; “[l]a reforma de un elemento de máxima relevancia constitucional, como es el régimen competencial del CGPJ”; y “[l]as eminentes dudas sobre la constitucionalidad de la iniciativa propuesta”.</w:t>
      </w:r>
    </w:p>
    <w:p w14:paraId="5263A6C7" w14:textId="77777777" w:rsidR="003754FE" w:rsidRDefault="003754FE" w:rsidP="003754FE">
      <w:pPr>
        <w:pStyle w:val="TextoNormal"/>
      </w:pPr>
    </w:p>
    <w:p w14:paraId="6F78EF9E" w14:textId="77777777" w:rsidR="003754FE" w:rsidRDefault="003754FE" w:rsidP="003754FE">
      <w:pPr>
        <w:pStyle w:val="TextoNormal"/>
      </w:pPr>
      <w:r>
        <w:t xml:space="preserve">También se denuncia que los acuerdos cuestionados “ignoran la posibilidad de restablecer parcialmente el derecho fundamental […] incluso tras la conclusión del procedimiento legislativo, mediante la declaración de vulneración del </w:t>
      </w:r>
      <w:r w:rsidRPr="003754FE">
        <w:rPr>
          <w:i/>
        </w:rPr>
        <w:t>ius in officium</w:t>
      </w:r>
      <w:r>
        <w:t xml:space="preserve"> de los diputados, de conformidad con la jurisprudencia sentada por […] [la] STC 361/2006, de 18 de diciembre, pudiendo las resoluciones de la mesa ‘tener un contenido exclusivamente declarativo’”. En efecto, señala el escrito que las resoluciones recurridas sostienen que la mesa no pudo sino rechazar las solicitudes formuladas en tanto “el procedimiento legislativo había ya concluido”. Un argumento que, dice, “puede y debe rechazarse tajantemente […] por cuanto no es imputable a los diputados solicitantes que la mesa haya decidido omitir toda respuesta a su solicitud durante la tramitación legislativa de la norma (como pudo hacerse) careciendo de todo fundamento pretender imputar las consecuencias negativas de tal dilación a los perjudicados por la misma: los propios solicitantes”. Pero que, además, produce “una vulneración autónoma del derecho fundamental del artículo 23.2 CE”, por cuanto “contraviene […] la doctrina jurisprudencial” de este tribunal establecida en la STC 361/2006, de 18 de diciembre: “constatada la vulneración pero también la imposibilidad material de restituir en su plenitud el derecho vulnerado […] nada impediría un pronunciamiento del Tribunal ya que en tal caso procedería, cuando menos, el restablecimiento parcial mediante una sentencia declarativa de la vulneración del derecho”. Por tanto, afirma la demanda, “incluso si la mesa no hubiera podido, al haber concluido el procedimiento legislativo, restablecer plenamente el derecho, sí pudo innegablemente restablecer parcialmente el mismo mediante el reconocimiento de la previa vulneración del derecho”, de manera que “la negativa a hacerlo vulneró a su vez […] el derecho fundamental de los solicitante</w:t>
      </w:r>
      <w:r w:rsidRPr="003754FE">
        <w:rPr>
          <w:i/>
        </w:rPr>
        <w:t xml:space="preserve">s </w:t>
      </w:r>
      <w:r>
        <w:t>ex art. 23.2 CE y 23.1 CE”.</w:t>
      </w:r>
    </w:p>
    <w:p w14:paraId="04BFD168" w14:textId="77777777" w:rsidR="003754FE" w:rsidRDefault="003754FE" w:rsidP="003754FE">
      <w:pPr>
        <w:pStyle w:val="TextoNormal"/>
      </w:pPr>
    </w:p>
    <w:p w14:paraId="37C02BA2" w14:textId="552A83F7" w:rsidR="003754FE" w:rsidRDefault="003754FE" w:rsidP="003754FE">
      <w:pPr>
        <w:pStyle w:val="TextoNormal"/>
      </w:pPr>
      <w:r>
        <w:t>En definitiva, para los recurrentes todas estas vulneraciones presentan una “inobjetable” relevancia constitucional, en tanto afectan a uno de los elementos nucleares de la función parlamentaria, como es la función legislativa (con cita nuevamente de la STC 208/2003, de 1 de diciembre). De ahí que el escrito concluya que los acuerdos impugnados, “muy especialmente, por su existencia y proyección acumulada” vulneran “el derecho de los recurrentes al ejercicio de la función representativa sin impedimentos ilegítimos”, como los producidos cuando “los propios órganos de las asambleas impiden o coartan su práctica o adoptan decisiones que contraríen la naturaleza de la representación o la igualdad de los representantes”, desconociéndose la exigencia de “una interpretación restrictiva de todas aquellas normas que puedan suponer una limitación al ejercicio de aquellos derechos o atribuciones que integran el status constitucionalmente relevante del representante público y el deber de motivar las razones de su aplicación” (con cita literal de la STC 90/2005, de 18 de abril).</w:t>
      </w:r>
    </w:p>
    <w:p w14:paraId="621A2BB7" w14:textId="77777777" w:rsidR="003754FE" w:rsidRDefault="003754FE" w:rsidP="003754FE">
      <w:pPr>
        <w:pStyle w:val="TextoNormal"/>
      </w:pPr>
    </w:p>
    <w:p w14:paraId="655733AF" w14:textId="08E035DA" w:rsidR="003754FE" w:rsidRDefault="003754FE" w:rsidP="003754FE">
      <w:pPr>
        <w:pStyle w:val="TextoNormal"/>
      </w:pPr>
      <w:r w:rsidRPr="003754FE">
        <w:rPr>
          <w:rStyle w:val="NumeroAFNegritaCaracter"/>
        </w:rPr>
        <w:t>4</w:t>
      </w:r>
      <w:r>
        <w:t>. La Sección Tercera del Tribunal, mediante providencia de 5 de junio 2023, decidió admitir a trámite el recurso de amparo, considerando que el recurso plantea un problema o afecta a una faceta de un derecho fundamental sobre el que no hay doctrina de este tribunal [STC 155/2009, de 25 de junio, FJ 2 a)], y el asunto suscitado trasciende del caso concreto porque pudiera tener unas consecuencias policitas generales [STC 155/2009, FJ 2 g)]. Se acordó en aplicación del art. 51 de la Ley Orgánica del Tribunal Constitucional (LOTC) dirigir atenta comunicación al Congreso de los Diputados a fin de que, en un plazo no superior a diez días, remitiera certificación copia adverada de las actuaciones correspondiente a los acuerdos de la mesa de 8 de septiembre y de 18 de octubre de 2022, debiendo previamente emplazarse para que en el plazo de diez días puedan comparecer, si lo desea, quienes hubieran sido parte en el procedimiento.</w:t>
      </w:r>
    </w:p>
    <w:p w14:paraId="3E8FD460" w14:textId="77777777" w:rsidR="003754FE" w:rsidRDefault="003754FE" w:rsidP="003754FE">
      <w:pPr>
        <w:pStyle w:val="TextoNormal"/>
      </w:pPr>
    </w:p>
    <w:p w14:paraId="7907A26B" w14:textId="48DB207C" w:rsidR="003754FE" w:rsidRDefault="003754FE" w:rsidP="003754FE">
      <w:pPr>
        <w:pStyle w:val="TextoNormal"/>
      </w:pPr>
      <w:r w:rsidRPr="003754FE">
        <w:rPr>
          <w:rStyle w:val="NumeroAFNegritaCaracter"/>
        </w:rPr>
        <w:t>5</w:t>
      </w:r>
      <w:r>
        <w:t>. Por diligencia de ordenación de 29 de junio de 2023, se tuvo por personada en representación de la mesa de la Diputación Permanente a la letrada doña Paloma Martínez Santa María. Asimismo, se acordó dar vista de las actuaciones a las partes personadas y al Ministerio Fiscal para que en el plazo común de veinte días alegaran lo que a su derecho conviniera, conforme al art. 52.1 LOTC.</w:t>
      </w:r>
    </w:p>
    <w:p w14:paraId="78A8A282" w14:textId="77777777" w:rsidR="003754FE" w:rsidRDefault="003754FE" w:rsidP="003754FE">
      <w:pPr>
        <w:pStyle w:val="TextoNormal"/>
      </w:pPr>
    </w:p>
    <w:p w14:paraId="5FB7AAF4" w14:textId="24264043" w:rsidR="003754FE" w:rsidRDefault="003754FE" w:rsidP="003754FE">
      <w:pPr>
        <w:pStyle w:val="TextoNormal"/>
      </w:pPr>
      <w:r w:rsidRPr="003754FE">
        <w:rPr>
          <w:rStyle w:val="NumeroAFNegritaCaracter"/>
        </w:rPr>
        <w:t>6</w:t>
      </w:r>
      <w:r>
        <w:t>. Mediante escrito de 25 de julio de 2023, la representación procesal de los recurrentes se ratificó en su demanda de amparo.</w:t>
      </w:r>
    </w:p>
    <w:p w14:paraId="36067B96" w14:textId="77777777" w:rsidR="003754FE" w:rsidRDefault="003754FE" w:rsidP="003754FE">
      <w:pPr>
        <w:pStyle w:val="TextoNormal"/>
      </w:pPr>
    </w:p>
    <w:p w14:paraId="44FE7909" w14:textId="77777777" w:rsidR="003754FE" w:rsidRDefault="003754FE" w:rsidP="003754FE">
      <w:pPr>
        <w:pStyle w:val="TextoNormal"/>
      </w:pPr>
      <w:r w:rsidRPr="003754FE">
        <w:rPr>
          <w:rStyle w:val="NumeroAFNegritaCaracter"/>
        </w:rPr>
        <w:t>7</w:t>
      </w:r>
      <w:r>
        <w:t>. En escrito de 28 de julio de 2023, la letrada de las Cortes Generales solicitó la desestimación del recurso de amparo planteado.</w:t>
      </w:r>
    </w:p>
    <w:p w14:paraId="5B276047" w14:textId="77777777" w:rsidR="003754FE" w:rsidRDefault="003754FE" w:rsidP="003754FE">
      <w:pPr>
        <w:pStyle w:val="TextoNormal"/>
      </w:pPr>
    </w:p>
    <w:p w14:paraId="4797CA20" w14:textId="77777777" w:rsidR="003754FE" w:rsidRDefault="003754FE" w:rsidP="003754FE">
      <w:pPr>
        <w:pStyle w:val="TextoNormal"/>
      </w:pPr>
      <w:r>
        <w:t>A) El argumento principal de la demanda para sostener la existencia de un vicio de procedimiento y la vulneración del artículo 23 CE se basa en la existencia de un fraude de ley respecto al tipo de procedimiento legislativo que se ha utilizado para la tramitación de la ley impugnada. Tras detallar los diferentes requisitos de los proyectos de ley y de las proposiciones de ley que tienen su origen en el Congreso de los Diputados, considera que la figura del fraude de ley no resulta de aplicación en el ámbito del ejercicio de la iniciativa legislativa, ya que, para que exista fraude, la denominada ley de cobertura (en este caso, las normas que regulan la tramitación de las proposiciones de ley parlamentarias), debería responder a una finalidad distinta a la de la norma que se pretende evitar (en este caso, las normas que regulan la tramitación de los proyectos de ley). Sin embargo, esto no es así en este caso. Las dos normas tienen una misma finalidad, el ejercicio de la iniciativa legislativa. Recuerda la letrada que las normas reguladoras de la iniciativa legislativa permiten que su ejercicio provenga de distintos sujetos (el Gobierno, o los grupos parlamentarios o diputados), por ello, que la iniciativa sea ejercida por uno de estos autores no puede suponer nunca un fraude respecto a la posibilidad de que la iniciativa pueda ser ejercida por otros autores.</w:t>
      </w:r>
    </w:p>
    <w:p w14:paraId="0DA83723" w14:textId="77777777" w:rsidR="003754FE" w:rsidRDefault="003754FE" w:rsidP="003754FE">
      <w:pPr>
        <w:pStyle w:val="TextoNormal"/>
      </w:pPr>
    </w:p>
    <w:p w14:paraId="2E60D2D7" w14:textId="77777777" w:rsidR="003754FE" w:rsidRDefault="003754FE" w:rsidP="003754FE">
      <w:pPr>
        <w:pStyle w:val="TextoNormal"/>
      </w:pPr>
      <w:r>
        <w:t>Para los demandantes, mediante la presentación de la proposición de ley el resultado ilícito que se persigue es la evitación de los informes preceptivos que se exigen para los proyectos de ley. Sin embargo, no puede haber resultado ilícito desde el momento en que se permiten dos formas distintas de ejercer la iniciativa legislativa. Es más, al ejercer la iniciativa legislativa parlamentaria conforme a sus propios requisitos, los diputados o grupos no solo no están vulnerando ninguna norma, sino que están ejerciendo un derecho fundamental que, por repetida jurisprudencia de este tribunal, ha sido reconocido como parte integrante del derecho establecido en el artículo 23 de la Constitución.</w:t>
      </w:r>
    </w:p>
    <w:p w14:paraId="3D4AAE6A" w14:textId="77777777" w:rsidR="003754FE" w:rsidRDefault="003754FE" w:rsidP="003754FE">
      <w:pPr>
        <w:pStyle w:val="TextoNormal"/>
      </w:pPr>
    </w:p>
    <w:p w14:paraId="4D99101A" w14:textId="77777777" w:rsidR="003754FE" w:rsidRDefault="003754FE" w:rsidP="003754FE">
      <w:pPr>
        <w:pStyle w:val="TextoNormal"/>
      </w:pPr>
      <w:r>
        <w:t xml:space="preserve">Tampoco considera correcto decir, como plantea la demanda, que la única vía correcta para regular una determinada materia, en este caso las facultades del Consejo General del Poder Judicial en relación con la propuesta de nombramiento de magistrados del Tribunal Constitucional, solo pueda ser la iniciativa legislativa gubernamental (el proyecto de ley). Esta interpretación que pretenden los recurrentes sí colisionaría con la protección otorgada por el artículo 23 de la Constitución, y no el hecho de que estas materias se puedan regular mediante proposición de ley. Plantear que la regulación de esos dos órganos (Consejo General del Poder Judicial y Tribunal Constitucional) se tiene que hacer necesariamente mediante un proyecto de ley, cuando por la materia no hay ninguna reserva </w:t>
      </w:r>
      <w:r w:rsidRPr="003754FE">
        <w:rPr>
          <w:i/>
        </w:rPr>
        <w:t>in toto</w:t>
      </w:r>
      <w:r>
        <w:t xml:space="preserve"> al Gobierno, supondría una restricción ilegítima al uso de la iniciativa legislativa parlamentaria.</w:t>
      </w:r>
    </w:p>
    <w:p w14:paraId="4A7935B5" w14:textId="77777777" w:rsidR="003754FE" w:rsidRDefault="003754FE" w:rsidP="003754FE">
      <w:pPr>
        <w:pStyle w:val="TextoNormal"/>
      </w:pPr>
    </w:p>
    <w:p w14:paraId="6A51CF36" w14:textId="77777777" w:rsidR="003754FE" w:rsidRDefault="003754FE" w:rsidP="003754FE">
      <w:pPr>
        <w:pStyle w:val="TextoNormal"/>
      </w:pPr>
      <w:r>
        <w:t>En definitiva, la diferencia de los requisitos de uno u otro tipo de iniciativa legislativa responde a la diferente posición de los órganos constitucionales implicados, pero las dos vías son legítimas.</w:t>
      </w:r>
    </w:p>
    <w:p w14:paraId="644E2BF6" w14:textId="77777777" w:rsidR="003754FE" w:rsidRDefault="003754FE" w:rsidP="003754FE">
      <w:pPr>
        <w:pStyle w:val="TextoNormal"/>
      </w:pPr>
    </w:p>
    <w:p w14:paraId="7B202D04" w14:textId="77777777" w:rsidR="003754FE" w:rsidRDefault="003754FE" w:rsidP="003754FE">
      <w:pPr>
        <w:pStyle w:val="TextoNormal"/>
      </w:pPr>
      <w:r>
        <w:t>También considera ajustada a la Constitución la tramitación de la proposición de ley a través del procedimiento de urgencia. Considera que no hay nada de anómalo, sino que es perfectamente legítimo, como ha dicho este tribunal, que la mesa adopte esta decisión sobre la tramitación urgente por criterios de oportunidad política, aunque los recurrentes consideran que la urgencia solo se puede adoptar cuando responda a un “perjuicio o inconveniencia”. De otra parte, afirma que no es necesaria la justificación sobre la aplicación del procedimiento de urgencia y que no hay nada de anómalo respecto al hecho señalado por la demanda relativo a que se aplicase la urgencia para modificar la Ley Orgánica del Poder Judicial cuando esta había sido ya modificada hacía tan solo un año y medio.</w:t>
      </w:r>
    </w:p>
    <w:p w14:paraId="72EFF84B" w14:textId="77777777" w:rsidR="003754FE" w:rsidRDefault="003754FE" w:rsidP="003754FE">
      <w:pPr>
        <w:pStyle w:val="TextoNormal"/>
      </w:pPr>
    </w:p>
    <w:p w14:paraId="11578265" w14:textId="77777777" w:rsidR="003754FE" w:rsidRDefault="003754FE" w:rsidP="003754FE">
      <w:pPr>
        <w:pStyle w:val="TextoNormal"/>
      </w:pPr>
      <w:r>
        <w:t>Explica la letrada que, si se dan los requisitos exigidos por el Reglamento para aplicar la urgencia, es una decisión discrecional de la mesa acordarla, sin que suponga ningún impedimento el número de veces que la norma en cuestión haya podido ser modificada antes o la proximidad en el tiempo de tales modificaciones. El Tribunal establece un solo límite: tal reducción del tiempo de tramitación solo podrá llegar a tener relevancia constitucional cuando su alcance sea de tal magnitud que haya alterado, no de cualquier manera, sino de forma sustancial, el proceso de formación de la voluntad de una Cámara, habiendo afectado, en consecuencia, al ejercicio de la función representativa inherente al estatuto del parlamentario. En el caso analizado, la reducción de los plazos no mermó la función representativa de ninguno de los diputados de los grupos parlamentarios, incluyendo al recurrente, que pudieron participar en cada una de las fases. En este plazo el grupo recurrente pudo presentar una enmienda a la totalidad de texto alternativo y sobre dicho plazo no formuló queja específica en la reconsideración solicitada de la decisión de la mesa de 8 de septiembre de 2022 ni se ha formulado oposición alguna en la demanda, más allá de indicar que el plazo fue reducido.</w:t>
      </w:r>
    </w:p>
    <w:p w14:paraId="4BFC5ACB" w14:textId="77777777" w:rsidR="003754FE" w:rsidRDefault="003754FE" w:rsidP="003754FE">
      <w:pPr>
        <w:pStyle w:val="TextoNormal"/>
      </w:pPr>
    </w:p>
    <w:p w14:paraId="51A3583D" w14:textId="77777777" w:rsidR="003754FE" w:rsidRDefault="003754FE" w:rsidP="003754FE">
      <w:pPr>
        <w:pStyle w:val="TextoNormal"/>
      </w:pPr>
      <w:r>
        <w:t>Reiteradamente, los demandantes pretenden establecer el siguiente criterio: cuando los contenidos de las iniciativas son “sensibles”, la mesa de la Cámara debe aplicar tramitaciones más garantistas. La letrada considera que, en contra de lo afirmado por los demandantes, la sensibilidad o trascendencia constitucional, jurídica o de cualquier tipo, de una iniciativa no determina el tipo de iniciativa legislativa ni el procedimiento de tramitación. El propio Tribunal lo ha entendido de la misma forma en sentencias anteriores, como en su STC 96/2019, de 15 de julio, FJ 5, siguiendo la STC 45/2019, de 27 de marzo.</w:t>
      </w:r>
    </w:p>
    <w:p w14:paraId="10FB9865" w14:textId="77777777" w:rsidR="003754FE" w:rsidRDefault="003754FE" w:rsidP="003754FE">
      <w:pPr>
        <w:pStyle w:val="TextoNormal"/>
      </w:pPr>
    </w:p>
    <w:p w14:paraId="4A0BBA99" w14:textId="77777777" w:rsidR="003754FE" w:rsidRDefault="003754FE" w:rsidP="003754FE">
      <w:pPr>
        <w:pStyle w:val="TextoNormal"/>
      </w:pPr>
      <w:r>
        <w:t>B) El argumento de la demanda pretende que los acuerdos de la mesa del Congreso vulneran la doctrina que se cita incluida en la STC 90/2005, por dos motivos: (i) la aplicación en exceso restrictiva y limitadora del ordenamiento que despliegan los referidos órganos parlamentarios en los acuerdos recurridos; y (ii) los defectos de motivación de los actos recurridos, mediante una motivación casi inexistente y después inadecuada y arbitraria.</w:t>
      </w:r>
    </w:p>
    <w:p w14:paraId="580237D8" w14:textId="77777777" w:rsidR="003754FE" w:rsidRDefault="003754FE" w:rsidP="003754FE">
      <w:pPr>
        <w:pStyle w:val="TextoNormal"/>
      </w:pPr>
    </w:p>
    <w:p w14:paraId="234D2556" w14:textId="77777777" w:rsidR="003754FE" w:rsidRDefault="003754FE" w:rsidP="003754FE">
      <w:pPr>
        <w:pStyle w:val="TextoNormal"/>
      </w:pPr>
      <w:r>
        <w:t>a) La letrada estima, en primer lugar, que no ha habido una dilación, y menos “deliberada”, de la mesa en la adopción de ninguno de sus dos acuerdos impugnados, sino que la mesa resolvió sobre este asunto en el tiempo adecuado, teniendo en cuenta las fechas de presentación de los escritos, los órdenes del día del Pleno y las fechas de reunión de la mesa, conforme a lo que es su frecuencia habitual de reunión.</w:t>
      </w:r>
    </w:p>
    <w:p w14:paraId="0A9A417B" w14:textId="77777777" w:rsidR="003754FE" w:rsidRDefault="003754FE" w:rsidP="003754FE">
      <w:pPr>
        <w:pStyle w:val="TextoNormal"/>
      </w:pPr>
    </w:p>
    <w:p w14:paraId="6F99450A" w14:textId="77777777" w:rsidR="003754FE" w:rsidRDefault="003754FE" w:rsidP="003754FE">
      <w:pPr>
        <w:pStyle w:val="TextoNormal"/>
      </w:pPr>
      <w:r>
        <w:t>El acuerdo de 8 de septiembre de 2022 recoge expresamente que, al haberse aprobado la iniciativa por el Pleno de la Cámara y por el Senado, no procede un pronunciamiento de la mesa, ya que, como explicó el secretario general del Congreso de los Diputados en la reunión de la mesa de 8 de septiembre de 2022, la solicitud, por dicha aprobación, había perdido su objeto.</w:t>
      </w:r>
    </w:p>
    <w:p w14:paraId="56151033" w14:textId="77777777" w:rsidR="003754FE" w:rsidRDefault="003754FE" w:rsidP="003754FE">
      <w:pPr>
        <w:pStyle w:val="TextoNormal"/>
      </w:pPr>
    </w:p>
    <w:p w14:paraId="4E1810C3" w14:textId="77777777" w:rsidR="003754FE" w:rsidRDefault="003754FE" w:rsidP="003754FE">
      <w:pPr>
        <w:pStyle w:val="TextoNormal"/>
      </w:pPr>
      <w:r>
        <w:t>b) También considera motivado el acuerdo de la mesa de 18 de octubre de 2022. En el considerando octavo, después de haber ido rechazando en los anteriores considerandos todas las alegaciones de los recurrentes con la motivación correspondiente, se explican las razones por las que han de rechazarse las alegaciones en cuanto que la falta de motivación del acuerdo impugnado y la dilación en su adopción comporten una lesión del derecho fundamental de participación política, al decirse que “la iniciativa se tramitó de forma ajustada al Reglamento sin que, por tanto, quepa apreciar vulneración alguna del derecho de participación política”.</w:t>
      </w:r>
    </w:p>
    <w:p w14:paraId="3DE5625E" w14:textId="77777777" w:rsidR="003754FE" w:rsidRDefault="003754FE" w:rsidP="003754FE">
      <w:pPr>
        <w:pStyle w:val="TextoNormal"/>
      </w:pPr>
    </w:p>
    <w:p w14:paraId="0DE064E2" w14:textId="77777777" w:rsidR="003754FE" w:rsidRDefault="003754FE" w:rsidP="003754FE">
      <w:pPr>
        <w:pStyle w:val="TextoNormal"/>
      </w:pPr>
      <w:r>
        <w:t>Examinado el acuerdo de 18 de octubre de 2022, subraya que recoge en los considerandos primero a séptimo una extensa motivación sobre las razones por las que se deniegan las distintas solicitudes de los recurrentes y, en concreto, el amplio considerando cuarto recoge las razones para rechazar la audiencia al Consejo General del Poder Judicial, sin que tal motivación, que ocupa casi dos páginas de cinco páginas de considerandos, pueda considerase “nimia”, como lo califican los demandantes.</w:t>
      </w:r>
    </w:p>
    <w:p w14:paraId="0F5F92E6" w14:textId="77777777" w:rsidR="003754FE" w:rsidRDefault="003754FE" w:rsidP="003754FE">
      <w:pPr>
        <w:pStyle w:val="TextoNormal"/>
      </w:pPr>
    </w:p>
    <w:p w14:paraId="04D88801" w14:textId="77777777" w:rsidR="003754FE" w:rsidRDefault="003754FE" w:rsidP="003754FE">
      <w:pPr>
        <w:pStyle w:val="TextoNormal"/>
      </w:pPr>
      <w:r>
        <w:t>Por tanto, sí que se ofrece una extensa motivación adicional, además de la referida a la conclusión del procedimiento y, a la vista de tal motivación, se debe rechazar la afirmación de la demanda de que la mesa haya renunciado “de forma automática” a solicitar la audiencia del Consejo General del Poder Judicial, así como que los acuerdos recurridos incurran en un “claro y evidente” defecto de motivación, todo lo cual es desmentido por los documentos que operan en el expediente.</w:t>
      </w:r>
    </w:p>
    <w:p w14:paraId="7A6A1BE9" w14:textId="77777777" w:rsidR="003754FE" w:rsidRDefault="003754FE" w:rsidP="003754FE">
      <w:pPr>
        <w:pStyle w:val="TextoNormal"/>
      </w:pPr>
    </w:p>
    <w:p w14:paraId="2A223588" w14:textId="305BE4D6" w:rsidR="003754FE" w:rsidRDefault="003754FE" w:rsidP="003754FE">
      <w:pPr>
        <w:pStyle w:val="TextoNormal"/>
      </w:pPr>
      <w:r>
        <w:t>En conclusión, la letrada de las Cortes solicita la desestimación de la demanda.</w:t>
      </w:r>
    </w:p>
    <w:p w14:paraId="0F01BDA0" w14:textId="77777777" w:rsidR="003754FE" w:rsidRDefault="003754FE" w:rsidP="003754FE">
      <w:pPr>
        <w:pStyle w:val="TextoNormal"/>
      </w:pPr>
    </w:p>
    <w:p w14:paraId="4522AA29" w14:textId="77777777" w:rsidR="003754FE" w:rsidRDefault="003754FE" w:rsidP="003754FE">
      <w:pPr>
        <w:pStyle w:val="TextoNormal"/>
      </w:pPr>
      <w:r w:rsidRPr="003754FE">
        <w:rPr>
          <w:rStyle w:val="NumeroAFNegritaCaracter"/>
        </w:rPr>
        <w:t>8</w:t>
      </w:r>
      <w:r>
        <w:t>. El Ministerio Fiscal, por escrito registrado el 14 de septiembre de 2023, interesa que se dicte sentencia desestimando el recurso de amparo.</w:t>
      </w:r>
    </w:p>
    <w:p w14:paraId="76ADF2CA" w14:textId="77777777" w:rsidR="003754FE" w:rsidRDefault="003754FE" w:rsidP="003754FE">
      <w:pPr>
        <w:pStyle w:val="TextoNormal"/>
      </w:pPr>
    </w:p>
    <w:p w14:paraId="087C4036" w14:textId="77777777" w:rsidR="003754FE" w:rsidRDefault="003754FE" w:rsidP="003754FE">
      <w:pPr>
        <w:pStyle w:val="TextoNormal"/>
      </w:pPr>
      <w:r>
        <w:t>A) La primera de las infracciones consistiría, según los recurrentes, en el incumplimiento de lo dispuesto por el artículo 561.1 LOPJ. Ahora bien, explica el fiscal que la propia parte actora reconoce que dicha norma no es (directamente) aplicable cuando no se trata de un anteproyecto de ley sino de una proposición de ley formulada por un grupo parlamentario. Consideran los recurrentes que se trata de un fraude de ley, pero el fiscal constata que la parte actora no cita concretamente ninguna norma jurídica que prohíba, ni explícita ni implícitamente, ese resultado, como exige el artículo 6.4 del Código civil al desgranar los requisitos del fraude de ley. Tampoco la jurisprudencia constitucional ha establecido distinción alguna a la hora de definir el contenido del derecho de representación política de los parlamentarios, que restrinja su capacidad de formular proposiciones de ley atendiendo a su mayor o menor coincidencia de oportunidad o de fondo con la política legislativa del Gobierno.</w:t>
      </w:r>
    </w:p>
    <w:p w14:paraId="2E1277EF" w14:textId="77777777" w:rsidR="003754FE" w:rsidRDefault="003754FE" w:rsidP="003754FE">
      <w:pPr>
        <w:pStyle w:val="TextoNormal"/>
      </w:pPr>
    </w:p>
    <w:p w14:paraId="4B38F271" w14:textId="77777777" w:rsidR="003754FE" w:rsidRDefault="003754FE" w:rsidP="003754FE">
      <w:pPr>
        <w:pStyle w:val="TextoNormal"/>
      </w:pPr>
      <w:r>
        <w:t>Las mismas consideraciones son extensivas a la alegación de infracción de una obligación jurídica de la mesa de la Cámara derivada de la supuesta exigencia legal de solicitud de informe de la denominada Comisión de Venecia. Los recurrentes invocan a tal efecto, de modo genérico e impreciso, “el Derecho comunitario” y el “principio de interpretación conforme desarrollado por el Tribunal de Justicia de la Unión Europea”, pero no concretan en ningún momento —en particular a los efectos de determinar la norma cuya elusión constituiría el fraude de ley que alegan— cual es la disposición específica del Derecho de la Unión Europea que ha resultado inaplicada o conforme a cuyo contenido debía aplicarse la normativa reguladora del ejercicio de la iniciativa legislativa mediante proposición de ley, que ya ha sido mencionada.</w:t>
      </w:r>
    </w:p>
    <w:p w14:paraId="087B2D3B" w14:textId="77777777" w:rsidR="003754FE" w:rsidRDefault="003754FE" w:rsidP="003754FE">
      <w:pPr>
        <w:pStyle w:val="TextoNormal"/>
      </w:pPr>
    </w:p>
    <w:p w14:paraId="518BB87B" w14:textId="77777777" w:rsidR="003754FE" w:rsidRDefault="003754FE" w:rsidP="003754FE">
      <w:pPr>
        <w:pStyle w:val="TextoNormal"/>
      </w:pPr>
      <w:r>
        <w:t>La argumentación de la demanda no alcanza a acreditar, por tanto, que “el ejercicio del cargo representativo conforme a la ley exigía también, conforme al Derecho comunitario —y, más concretamente, conforme a las exigencias derivadas del principio de interpretación conforme y los artículos 19.1 y 2 TUE— la audiencia no solo del Consejo General del Poder Judicial, sino también de la Comisión de Venecia y de todos los agentes o sectores afectados por la reforma”, sino que confunde a tal efecto una legítima y sin duda razonable aspiración institucional y política con una “ley” que ni la parte actora es capaz de concretar ni realmente existe.</w:t>
      </w:r>
    </w:p>
    <w:p w14:paraId="0E29F855" w14:textId="77777777" w:rsidR="003754FE" w:rsidRDefault="003754FE" w:rsidP="003754FE">
      <w:pPr>
        <w:pStyle w:val="TextoNormal"/>
      </w:pPr>
    </w:p>
    <w:p w14:paraId="0B993503" w14:textId="77777777" w:rsidR="003754FE" w:rsidRDefault="003754FE" w:rsidP="003754FE">
      <w:pPr>
        <w:pStyle w:val="TextoNormal"/>
      </w:pPr>
      <w:r>
        <w:t>En este punto subraya que, lo que en definitiva vienen a pretender los recurrentes es que las normas del Reglamento del Congreso sean interpretadas por la mesa de la Cámara —y en última instancia, por el Tribunal Constitucional— con un efecto excluyente o restrictivo del derecho de otros diputados y grupos parlamentarios a formular proposiciones de ley, invocando únicamente a tal propósito la aplicación —ni siquiera jurídicamente vinculante— de determinados principios generales del Derecho de la Unión Europea en supuestos netamente distintos.</w:t>
      </w:r>
    </w:p>
    <w:p w14:paraId="257D3167" w14:textId="77777777" w:rsidR="003754FE" w:rsidRDefault="003754FE" w:rsidP="003754FE">
      <w:pPr>
        <w:pStyle w:val="TextoNormal"/>
      </w:pPr>
    </w:p>
    <w:p w14:paraId="40CF57F1" w14:textId="77777777" w:rsidR="003754FE" w:rsidRDefault="003754FE" w:rsidP="003754FE">
      <w:pPr>
        <w:pStyle w:val="TextoNormal"/>
      </w:pPr>
      <w:r>
        <w:t>Por tanto, concluye el fiscal que no se acredita en el presente caso, a los efectos de interpretación y aplicación del artículo 23.2 CE, la existencia de “requisitos que señalen las leyes” —al menos procedentes del Derecho de la Unión Europea— que condicionasen, en los términos que pretende la demanda, el ejercicio del derecho a la iniciativa legislativa de los miembros del Congreso que formularon la proposición de ley orgánica controvertida, ni por tanto la capacidad decisoria de la mesa de la Cámara a la hora de admitir su tramitación y conducirla con arreglo a las disposiciones del Reglamento.</w:t>
      </w:r>
    </w:p>
    <w:p w14:paraId="1C4E7DC4" w14:textId="77777777" w:rsidR="003754FE" w:rsidRDefault="003754FE" w:rsidP="003754FE">
      <w:pPr>
        <w:pStyle w:val="TextoNormal"/>
      </w:pPr>
    </w:p>
    <w:p w14:paraId="2286B86C" w14:textId="77777777" w:rsidR="003754FE" w:rsidRDefault="003754FE" w:rsidP="003754FE">
      <w:pPr>
        <w:pStyle w:val="TextoNormal"/>
      </w:pPr>
      <w:r>
        <w:t xml:space="preserve">La demanda de amparo alude reiteradamente, en defensa de sus pretensiones, a la necesidad de formular una interpretación conforme del Derecho de la Unión Europea frente al planteamiento de “reformas que puedan afectar a la independencia del Poder Judicial”, y más concretamente a “una reforma súbita e </w:t>
      </w:r>
      <w:r w:rsidRPr="003754FE">
        <w:rPr>
          <w:i/>
        </w:rPr>
        <w:t>inaudita parte</w:t>
      </w:r>
      <w:r>
        <w:t xml:space="preserve"> del régimen del máximo órgano de gobierno del Poder Judicial para devolver de forma parcial e injustificada competencias previamente hurtadas al mismo en contravención de la letra y el espíritu de la Constitución”. Sin embargo, al margen de cualquier juicio de fondo sobre la parte final de esta última afirmación, que como se explica en la parte introductoria del propio escrito de recurso es objeto de otros procedimientos pendientes ante el Tribunal Constitucional, cabe en este punto recordar, en primer lugar, la matizada doctrina del propio Tribunal según la cual, salvo en supuestos excepcionales —que, según se desprende nítidamente de dicha doctrina, no hacen al presente caso— “como regla general, la inconstitucionalidad de la iniciativa admitida a trámite no incide en el ejercicio de [las] funciones representativas” de los parlamentarios (STC 96/2019 , de 15 de julio, FJ 6, y, muy recientemente, STC 65/2023, de 6 de junio, FJ 3). Y aun prescindiendo de esa consideración previa, es inevitable añadir que los recurrentes no aclaran en qué consiste exactamente la infracción del principio de independencia judicial que generaba la proposición de ley desencadenante de su queja.</w:t>
      </w:r>
    </w:p>
    <w:p w14:paraId="1C2ED77C" w14:textId="77777777" w:rsidR="003754FE" w:rsidRDefault="003754FE" w:rsidP="003754FE">
      <w:pPr>
        <w:pStyle w:val="TextoNormal"/>
      </w:pPr>
    </w:p>
    <w:p w14:paraId="08C4201B" w14:textId="77777777" w:rsidR="003754FE" w:rsidRDefault="003754FE" w:rsidP="003754FE">
      <w:pPr>
        <w:pStyle w:val="TextoNormal"/>
      </w:pPr>
      <w:r>
        <w:t xml:space="preserve">Señala el fiscal la aparente contradicción argumental que, en relación con este aspecto, encierra el propio planteamiento del recurso, no solo por el hecho de considerar —sin explicar por qué— contraria a la Constitución la devolución al Consejo General del Poder Judicial de una competencia cuya previa privación también se califica, simétricamente, de inconstitucional, sino porque además, como se verá, en el procedimiento legislativo el grupo parlamentario en el que se integran los diputados aquí recurrentes hizo uso de su derecho de presentar enmiendas, proponiendo la supresión del art. 570 </w:t>
      </w:r>
      <w:r w:rsidRPr="003754FE">
        <w:rPr>
          <w:i/>
        </w:rPr>
        <w:t>bis</w:t>
      </w:r>
      <w:r>
        <w:t xml:space="preserve"> LOPJ, que precisamente había restringido las facultades del Consejo General del Poder Judicial que la iniciativa legislativa cuestionada en este procedimiento le “devuelve”.</w:t>
      </w:r>
    </w:p>
    <w:p w14:paraId="7BFBAFFB" w14:textId="77777777" w:rsidR="003754FE" w:rsidRDefault="003754FE" w:rsidP="003754FE">
      <w:pPr>
        <w:pStyle w:val="TextoNormal"/>
      </w:pPr>
    </w:p>
    <w:p w14:paraId="35F06D6D" w14:textId="77777777" w:rsidR="003754FE" w:rsidRDefault="003754FE" w:rsidP="003754FE">
      <w:pPr>
        <w:pStyle w:val="TextoNormal"/>
      </w:pPr>
      <w:r>
        <w:t>Alegan también los demandantes como objeto de la infracción normativa que serviría de presupuesto a la vulneración de su derecho fundamental, la inaplicación, en la iniciativa legislativa del Grupo Parlamentario Socialista, de los principios de buena legislación. En opinión del fiscal, el hecho mismo de que, a tal efecto, invoquen la Ley 39/2015, de 1 de octubre, del procedimiento administrativo común de las administraciones públicas, conduce de modo inevitable a un escenario similar al que ya se ha examinado en relación con sus alegaciones sobre el Derecho europeo. Es obvio que la citada ley, como de su propia denominación resulta, se aplica a las administraciones públicas en el ejercicio de sus funciones en el marco —que la propia exposición de motivos de dicha ley delimita expresamente— del título IV de la Constitución (“Del Gobierno y la Administración”).</w:t>
      </w:r>
    </w:p>
    <w:p w14:paraId="7397A8E5" w14:textId="77777777" w:rsidR="003754FE" w:rsidRDefault="003754FE" w:rsidP="003754FE">
      <w:pPr>
        <w:pStyle w:val="TextoNormal"/>
      </w:pPr>
    </w:p>
    <w:p w14:paraId="05A72E0D" w14:textId="77777777" w:rsidR="003754FE" w:rsidRDefault="003754FE" w:rsidP="003754FE">
      <w:pPr>
        <w:pStyle w:val="TextoNormal"/>
      </w:pPr>
      <w:r>
        <w:t>B) El segundo bloque argumental en el que trata de apoyarse la solicitud de amparo se refiere, precisamente, a la supuesta aplicación restrictiva y limitativa de los límites al pleno ejercicio de las funciones representativas, a través de una motivación primero inexistente y luego inadecuada y arbitraria.</w:t>
      </w:r>
    </w:p>
    <w:p w14:paraId="48E83D5B" w14:textId="77777777" w:rsidR="003754FE" w:rsidRDefault="003754FE" w:rsidP="003754FE">
      <w:pPr>
        <w:pStyle w:val="TextoNormal"/>
      </w:pPr>
    </w:p>
    <w:p w14:paraId="7A73E1DD" w14:textId="77777777" w:rsidR="003754FE" w:rsidRDefault="003754FE" w:rsidP="003754FE">
      <w:pPr>
        <w:pStyle w:val="TextoNormal"/>
      </w:pPr>
      <w:r>
        <w:t>a) En primer lugar, alegan los demandantes la dilación deliberada de la mesa como elemento determinante de la imposibilidad de restablecimiento de los derechos que considera vulnerados, al haber concluido ya el procedimiento legislativo en el momento en que dicho órgano rector abordó su solicitud, mediante el acuerdo de 8 de septiembre, en el que “en ningún momento se justifica por qué se adopta la decisión cuando ya resulta imposible restablecer en su plenitud los derechos de los diputados”.</w:t>
      </w:r>
    </w:p>
    <w:p w14:paraId="6405A0D0" w14:textId="77777777" w:rsidR="003754FE" w:rsidRDefault="003754FE" w:rsidP="003754FE">
      <w:pPr>
        <w:pStyle w:val="TextoNormal"/>
      </w:pPr>
    </w:p>
    <w:p w14:paraId="023A3096" w14:textId="77777777" w:rsidR="003754FE" w:rsidRDefault="003754FE" w:rsidP="003754FE">
      <w:pPr>
        <w:pStyle w:val="TextoNormal"/>
      </w:pPr>
      <w:r>
        <w:t xml:space="preserve">Aunque de la solicitud inicialmente dirigida a la mesa se deducía la pretensión de impedir la admisión a trámite y la tramitación misma de la proposición de ley orgánica, el Reglamento del Congreso no contiene ninguna disposición relativa a plazos o procedimientos habilitados para forzar la convocatoria de la mesa, que corresponde como competencia exclusiva al presidente (art. 35 RCD). Aun en el caso de que se considere que, no tanto en función de los plazos como de la necesidad de ejercicio de dicha competencia para permitir el normal funcionamiento de la Cámara, del Reglamento se desprende una obligación </w:t>
      </w:r>
      <w:r w:rsidRPr="003754FE">
        <w:rPr>
          <w:i/>
        </w:rPr>
        <w:t>ex lege</w:t>
      </w:r>
      <w:r>
        <w:t xml:space="preserve"> para el presidente, esto no significa que recíprocamente exista un derecho subjetivo —inserto, además, en el contenido esencial del </w:t>
      </w:r>
      <w:r w:rsidRPr="003754FE">
        <w:rPr>
          <w:i/>
        </w:rPr>
        <w:t>ius in officium</w:t>
      </w:r>
      <w:r>
        <w:t>— que permita a los diputados o grupos parlamentarios exigir o imponer la convocatoria de la mesa, y menos aún fuera de los específicos supuestos que contempla el citado art. 35 RCD, ninguno de los cuales se refiere a la posibilidad de revisar o rectificar, a instancia de quien no es su autor, la calificación de una iniciativa parlamentaria.</w:t>
      </w:r>
    </w:p>
    <w:p w14:paraId="356ADD66" w14:textId="77777777" w:rsidR="003754FE" w:rsidRDefault="003754FE" w:rsidP="003754FE">
      <w:pPr>
        <w:pStyle w:val="TextoNormal"/>
      </w:pPr>
    </w:p>
    <w:p w14:paraId="6AA6F749" w14:textId="77777777" w:rsidR="003754FE" w:rsidRDefault="003754FE" w:rsidP="003754FE">
      <w:pPr>
        <w:pStyle w:val="TextoNormal"/>
      </w:pPr>
      <w:r>
        <w:t>Por otra parte, podría deducirse del planteamiento de la demanda que los recurrentes sugieren la posibilidad de una lesión autónoma de su derecho fundamental basada en el hecho mismo de la dilación producida en la respuesta que, en virtud del propio retraso, impidió la reparación de la vulneración denunciada. Esta queja exigiría contemplar un derecho a un procedimiento parlamentario sin dilaciones indebidas, a modo de trasunto del derecho proclamado en el artículo 24.2 CE en el ámbito del proceso judicial, que a juicio de la Fiscalía carece de todo sustento, no solo porque —a diferencia de esa previsión constitucional explícita— tal derecho se mostraría huérfano de soporte normativo alguno, sino principalmente porque, como se ha señalado, el procedimiento de convocatoria de la mesa del Congreso no está sujeto a plazos, trámites preclusivos o límites temporales legalmente previstos cuya paralización o retraso contravenga un específico derecho del interesado, entre otras razones porque no existe legitimación para instar dicha convocatoria que exclusivamente compete al titular de la Presidencia de la Cámara.</w:t>
      </w:r>
    </w:p>
    <w:p w14:paraId="48C2E2D7" w14:textId="77777777" w:rsidR="003754FE" w:rsidRDefault="003754FE" w:rsidP="003754FE">
      <w:pPr>
        <w:pStyle w:val="TextoNormal"/>
      </w:pPr>
    </w:p>
    <w:p w14:paraId="6EF43A33" w14:textId="77777777" w:rsidR="003754FE" w:rsidRDefault="003754FE" w:rsidP="003754FE">
      <w:pPr>
        <w:pStyle w:val="TextoNormal"/>
      </w:pPr>
      <w:r>
        <w:t>De modo que el hecho de celebrarse la sesión de la mesa y adoptarse el acuerdo cuando la iniciativa legislativa ya había sido aprobada podrá afectar a las posibilidades o modalidades de reparación efectiva del derecho fundamental lesionado, si realmente ha sido lesionado, pero no constituye una forma autónoma de vulneración de ese derecho, por lo que dicho retraso en la respuesta resulta inocuo si tal respuesta justifica debidamente que la decisión adoptada cuya reconsideración se insta fue ajustada a la Constitución y al Reglamento.</w:t>
      </w:r>
    </w:p>
    <w:p w14:paraId="32944CB4" w14:textId="77777777" w:rsidR="003754FE" w:rsidRDefault="003754FE" w:rsidP="003754FE">
      <w:pPr>
        <w:pStyle w:val="TextoNormal"/>
      </w:pPr>
    </w:p>
    <w:p w14:paraId="6D7E4AF6" w14:textId="77777777" w:rsidR="003754FE" w:rsidRDefault="003754FE" w:rsidP="003754FE">
      <w:pPr>
        <w:pStyle w:val="TextoNormal"/>
      </w:pPr>
      <w:r>
        <w:t>b) En segundo lugar, los recurrentes afirman que tanto el acuerdo de la mesa de 8 de septiembre como el de 18 de octubre “infringen el deber de interpretar restrictivamente las normas limitativas de los derechos parlamentarios” y “adolecen de una ausencia de motivación, seguida posteriormente de una motivación arbitraria”.</w:t>
      </w:r>
    </w:p>
    <w:p w14:paraId="4A03E1F6" w14:textId="77777777" w:rsidR="003754FE" w:rsidRDefault="003754FE" w:rsidP="003754FE">
      <w:pPr>
        <w:pStyle w:val="TextoNormal"/>
      </w:pPr>
    </w:p>
    <w:p w14:paraId="30F916D0" w14:textId="77777777" w:rsidR="003754FE" w:rsidRDefault="003754FE" w:rsidP="003754FE">
      <w:pPr>
        <w:pStyle w:val="TextoNormal"/>
      </w:pPr>
      <w:r>
        <w:t>La demanda reprocha a la resolución de 8 de septiembre una ausencia de motivación alguna, ya que la respuesta ofrecida en ella mencionaba tan solo que “la iniciativa de referencia fue aprobada por el Pleno de la Cámara en su sesión extraordinaria del pasado 14 de julio y definitivamente por el Senado en su sesión plenaria extraordinaria del día 20 de julio” , razón por la cual “no procede un pronunciamiento de la mesa a este respecto”, sin ninguna otra “motivación adicional [...]; por ejemplo, para examinar por qué no era exigible la audiencia en adición a dicho argumento formal”.</w:t>
      </w:r>
    </w:p>
    <w:p w14:paraId="428C1BEA" w14:textId="77777777" w:rsidR="003754FE" w:rsidRDefault="003754FE" w:rsidP="003754FE">
      <w:pPr>
        <w:pStyle w:val="TextoNormal"/>
      </w:pPr>
    </w:p>
    <w:p w14:paraId="2ED0E243" w14:textId="77777777" w:rsidR="003754FE" w:rsidRDefault="003754FE" w:rsidP="003754FE">
      <w:pPr>
        <w:pStyle w:val="TextoNormal"/>
      </w:pPr>
      <w:r>
        <w:t>Respecto de la solicitud de reconsideración, la parte actora alega que el acuerdo de la mesa de 18 de octubre se apoya en un “nimio argumento”, consistente en ofrecer dos ejemplos de supuestos anteriores. Considera el Ministerio Fiscal que estas quejas de los demandantes no pueden ser acogidas. La hipotética insuficiencia de motivación de la primera de las resoluciones impugnadas —el acuerdo de 8 de septiembre— solo sería relevante, en sede de amparo, si tal insuficiencia no hubiera sido subsanada al resolver la petición de reconsideración. Por tanto, si examinados los términos de esta última cabe llegar a la conclusión de que la motivación ofrecida por la mesa se ajusta a las exigencias de tutela del art. 23 CE.</w:t>
      </w:r>
    </w:p>
    <w:p w14:paraId="6DE18A59" w14:textId="77777777" w:rsidR="003754FE" w:rsidRDefault="003754FE" w:rsidP="003754FE">
      <w:pPr>
        <w:pStyle w:val="TextoNormal"/>
      </w:pPr>
    </w:p>
    <w:p w14:paraId="6E145845" w14:textId="77777777" w:rsidR="003754FE" w:rsidRDefault="003754FE" w:rsidP="003754FE">
      <w:pPr>
        <w:pStyle w:val="TextoNormal"/>
      </w:pPr>
      <w:r>
        <w:t>Pues bien, del examen detenido de dicho acuerdo de 18 de octubre de 2022 se desprende que la decisión desestimatoria de la pretensión de reconsideración se apoyó en argumentos suficientes desde el punto de vista constitucional.</w:t>
      </w:r>
    </w:p>
    <w:p w14:paraId="037FB686" w14:textId="77777777" w:rsidR="003754FE" w:rsidRDefault="003754FE" w:rsidP="003754FE">
      <w:pPr>
        <w:pStyle w:val="TextoNormal"/>
      </w:pPr>
    </w:p>
    <w:p w14:paraId="3B68BF03" w14:textId="77777777" w:rsidR="003754FE" w:rsidRDefault="003754FE" w:rsidP="003754FE">
      <w:pPr>
        <w:pStyle w:val="TextoNormal"/>
      </w:pPr>
      <w:r>
        <w:t>C) En tercer lugar se refieren los recurrentes a las “[v]ulneraciones producidas [...] mediante la convalidación de la decisión de la tramitación de la reforma por el procedimiento de urgencia así como el no reconocimiento de la vulneración de derechos de los parlamentarios”, aunque nuevamente el enunciado no coincide de forma plena con el desarrollo argumental posterior, que en este apartado se limita a insistir en la cuestión, ya mencionada, de la tramitación por el procedimiento legislativo de urgencia. En este aspecto, denuncia la parte actora que la mesa ha contundido la discrecionalidad que le otorga el art. 93.1 RCD con una pretendida capacidad de tomar tal decisión sin sujeción a límite o requisito alguno ni ponderación de las razones que aconsejan la tramitación acelerada de una iniciativa parlamentaria, y reitera la queja de falta de motivación idónea de la decisión adoptada, preguntándose por qué ha de prevalecer esa decisión acerca de la tramitación sobre los derechos de los parlamentarios.</w:t>
      </w:r>
    </w:p>
    <w:p w14:paraId="646E450B" w14:textId="77777777" w:rsidR="003754FE" w:rsidRDefault="003754FE" w:rsidP="003754FE">
      <w:pPr>
        <w:pStyle w:val="TextoNormal"/>
      </w:pPr>
    </w:p>
    <w:p w14:paraId="4C2C5E56" w14:textId="77777777" w:rsidR="003754FE" w:rsidRDefault="003754FE" w:rsidP="003754FE">
      <w:pPr>
        <w:pStyle w:val="TextoNormal"/>
      </w:pPr>
      <w:r>
        <w:t>Las razones expresadas por la mesa del Congreso pusieron de manifiesto que la decisión de tramitar el procedimiento por la vía de urgencia se ajustó al Reglamento de la Cámara. La respuesta a la cuestión planteada sobre la prevalencia de esa decisión sobre “los derechos de los parlamentarios” tiene respuesta en el propio acuerdo de la mesa de 18 de octubre, que hace mención a la regla parlamentaria de la mayoría. En efecto, como recuerda el acuerdo impugnado, el Reglamento del Congreso sujeta la decisión sobre la tramitación urgente de una iniciativa legislativa a la previa solicitud de quien tiene legitimación para instarla, y esa pretensión se aprueba mediante una decisión soberana —evidentemente por mayoría— del Pleno. De modo que no se trata de que una decisión irregular de la mesa prevalezca sobre los derechos de los parlamentarios, sino de una decisión apoyada y aprobada por la mayoría de los parlamentarios.</w:t>
      </w:r>
    </w:p>
    <w:p w14:paraId="790C5EC7" w14:textId="77777777" w:rsidR="003754FE" w:rsidRDefault="003754FE" w:rsidP="003754FE">
      <w:pPr>
        <w:pStyle w:val="TextoNormal"/>
      </w:pPr>
    </w:p>
    <w:p w14:paraId="5A0DF9FE" w14:textId="77777777" w:rsidR="003754FE" w:rsidRDefault="003754FE" w:rsidP="003754FE">
      <w:pPr>
        <w:pStyle w:val="TextoNormal"/>
      </w:pPr>
      <w:r>
        <w:t xml:space="preserve">Aducen en un tercer y último apartado los diputados y diputadas recurrentes la vulneración de su derecho fundamental “mediante la total omisión, por los acuerdos, de la posibilidad de restablecer parcialmente el derecho fundamental </w:t>
      </w:r>
      <w:r w:rsidRPr="003754FE">
        <w:rPr>
          <w:i/>
        </w:rPr>
        <w:t>ex</w:t>
      </w:r>
      <w:r>
        <w:t xml:space="preserve"> art. 23.2 CE, de conformidad con la jurisprudencia sentada por el Tribunal Constitucional”.</w:t>
      </w:r>
    </w:p>
    <w:p w14:paraId="588CA808" w14:textId="77777777" w:rsidR="003754FE" w:rsidRDefault="003754FE" w:rsidP="003754FE">
      <w:pPr>
        <w:pStyle w:val="TextoNormal"/>
      </w:pPr>
    </w:p>
    <w:p w14:paraId="3730F2B6" w14:textId="77777777" w:rsidR="003754FE" w:rsidRDefault="003754FE" w:rsidP="003754FE">
      <w:pPr>
        <w:pStyle w:val="TextoNormal"/>
      </w:pPr>
      <w:r>
        <w:t>Con arreglo a la misma lógica que ya se ha apuntado al abordar la aparente alegación de una especie de derecho a un procedimiento parlamentario sin dilaciones indebidas, la pretensión de una eventual lesión autónoma del derecho del art. 23 CE basada en el hecho de no haber reconocido la mesa, aunque sea a efectos meramente declarativos, la lesión del derecho fundamental, carece de autonomía alguna respecto de la supuesta infracción de dicha norma constitucional que se denuncia en los apartados anteriores de la demanda. La pretensión incurre, por lo demás, en una contradicción patente, puesto que si la mesa no reconoce que sus decisiones iniciales hayan vulnerado el derecho fundamental, difícilmente podrá declarar que se ha producido tal vulneración por la imposibilidad de reparar de forma efectiva una lesión que no existe; y si, por el contrario, hubiera estimado procedente la reconsideración, el único alcance posible de tal reconocimiento, ya concluso el trámite legislativo, habría consistido inexorablemente en la mera manifestación de la existencia de la infracción, al resultar ya inviable la reparación material.</w:t>
      </w:r>
    </w:p>
    <w:p w14:paraId="7068F0DA" w14:textId="77777777" w:rsidR="003754FE" w:rsidRDefault="003754FE" w:rsidP="003754FE">
      <w:pPr>
        <w:pStyle w:val="TextoNormal"/>
      </w:pPr>
    </w:p>
    <w:p w14:paraId="7EABF0DD" w14:textId="09205E0E" w:rsidR="003754FE" w:rsidRDefault="003754FE" w:rsidP="003754FE">
      <w:pPr>
        <w:pStyle w:val="TextoNormal"/>
      </w:pPr>
      <w:r>
        <w:t>Concluye el Ministerio Fiscal solicitando la desestimación de la demanda.</w:t>
      </w:r>
    </w:p>
    <w:p w14:paraId="511F0C91" w14:textId="77777777" w:rsidR="003754FE" w:rsidRDefault="003754FE" w:rsidP="003754FE">
      <w:pPr>
        <w:pStyle w:val="TextoNormal"/>
      </w:pPr>
    </w:p>
    <w:p w14:paraId="28553B9A" w14:textId="686A81FE" w:rsidR="003754FE" w:rsidRDefault="003754FE" w:rsidP="003754FE">
      <w:pPr>
        <w:pStyle w:val="TextoNormal"/>
      </w:pPr>
      <w:r w:rsidRPr="003754FE">
        <w:rPr>
          <w:rStyle w:val="NumeroAFNegritaCaracter"/>
        </w:rPr>
        <w:t>9</w:t>
      </w:r>
      <w:r>
        <w:t>. Por ATC 18/2024, de 26 de febrero, se tuvo por abstenido al magistrado don Cesar Tolosa Tribiño, quien había solicitado la abstención al haber sido nombrado magistrado del Tribunal Constitucional conforme a la reforma legislativa a la que se refiere el presente recurso de amparo.</w:t>
      </w:r>
    </w:p>
    <w:p w14:paraId="696A3B36" w14:textId="77777777" w:rsidR="003754FE" w:rsidRDefault="003754FE" w:rsidP="003754FE">
      <w:pPr>
        <w:pStyle w:val="TextoNormal"/>
      </w:pPr>
    </w:p>
    <w:p w14:paraId="46BEBFEC" w14:textId="1ED5A18B" w:rsidR="003754FE" w:rsidRDefault="003754FE" w:rsidP="003754FE">
      <w:pPr>
        <w:pStyle w:val="TextoNormal"/>
      </w:pPr>
      <w:r w:rsidRPr="003754FE">
        <w:rPr>
          <w:rStyle w:val="NumeroAFNegritaCaracter"/>
        </w:rPr>
        <w:t>10</w:t>
      </w:r>
      <w:r>
        <w:t>. Mediante providencia de 12 de diciembre de 2024, se señaló para deliberación y votación de la presente sentencia el día 16 del mismo mes y año.</w:t>
      </w:r>
    </w:p>
    <w:p w14:paraId="00EAE921" w14:textId="77777777" w:rsidR="003754FE" w:rsidRDefault="003754FE" w:rsidP="003754FE">
      <w:pPr>
        <w:pStyle w:val="TextoNormal"/>
      </w:pPr>
    </w:p>
    <w:p w14:paraId="66E72B2D" w14:textId="77777777" w:rsidR="003754FE" w:rsidRDefault="003754FE" w:rsidP="003754FE">
      <w:pPr>
        <w:pStyle w:val="TextoNormalNegritaCentrado"/>
        <w:keepNext/>
      </w:pPr>
      <w:r>
        <w:t>II. Fundamentos jurídicos</w:t>
      </w:r>
    </w:p>
    <w:p w14:paraId="0A36E308" w14:textId="76B05CDB" w:rsidR="003754FE" w:rsidRDefault="003754FE" w:rsidP="003754FE">
      <w:pPr>
        <w:pStyle w:val="TextoNormalNegritaCentrado"/>
        <w:keepNext/>
      </w:pPr>
    </w:p>
    <w:p w14:paraId="21319CE4" w14:textId="77777777" w:rsidR="003754FE" w:rsidRDefault="003754FE" w:rsidP="003754FE">
      <w:pPr>
        <w:pStyle w:val="TextoNormal"/>
      </w:pPr>
      <w:r w:rsidRPr="003754FE">
        <w:rPr>
          <w:rStyle w:val="NumeroAFNegritaCaracter"/>
        </w:rPr>
        <w:t>1</w:t>
      </w:r>
      <w:r>
        <w:t xml:space="preserve">. </w:t>
      </w:r>
      <w:r w:rsidRPr="003754FE">
        <w:rPr>
          <w:i/>
        </w:rPr>
        <w:t>Objeto del recurso y posiciones de las partes</w:t>
      </w:r>
    </w:p>
    <w:p w14:paraId="08713320" w14:textId="77777777" w:rsidR="003754FE" w:rsidRDefault="003754FE" w:rsidP="003754FE">
      <w:pPr>
        <w:pStyle w:val="TextoNormal"/>
      </w:pPr>
    </w:p>
    <w:p w14:paraId="317A8DCC" w14:textId="77777777" w:rsidR="003754FE" w:rsidRDefault="003754FE" w:rsidP="003754FE">
      <w:pPr>
        <w:pStyle w:val="TextoNormal"/>
      </w:pPr>
      <w:r>
        <w:t xml:space="preserve">El objeto del presente recurso de amparo es determinar si los acuerdos parlamentarios impugnados, adoptados en relación con la tramitación de la proposición de Ley Orgánica 8/2022, de 27 de julio, de modificación de los artículos 570 </w:t>
      </w:r>
      <w:r w:rsidRPr="003754FE">
        <w:rPr>
          <w:i/>
        </w:rPr>
        <w:t>bis</w:t>
      </w:r>
      <w:r>
        <w:t xml:space="preserve"> y 599 de la Ley Orgánica 6/1985, de 1 de julio, del Poder Judicial, para el establecimiento del régimen jurídico aplicable al Consejo General del Poder Judicial en funciones, han vulnerado el derecho de representación política (art. 23.2 CE) de los demandantes de amparo. Se cuestiona la conformidad de estos acuerdos con la normativa aplicable, a resultas de una interpretación restrictiva de preceptos realizada por la mesa del Congreso que puede suponer una limitación al ejercicio del art. 23.2 CE y que incumpliría el deber de motivación suficiente y adecuada. Los acuerdos impugnados son el acuerdo de la mesa 8 de septiembre de 2022, por medio del cual se desestimaba la solicitud planteada por el Grupo Parlamentario Popular de 7 de julio, por la que se solicitaba la remisión de la proposición de ley orgánica al Consejo General del Poder Judicial, a la Comisión Europea para la Democracia por el Derecho (Comisión de Venecia) y al resto de afectados por la reforma; y el acuerdo de la mesa del Congreso de los Diputados de 18 de octubre de 2022, por medio del cual se desestimó la solicitud de reconsideración planteada por el Grupo Parlamentario Popular frente al anterior acuerdo de 8 de septiembre de 2022.</w:t>
      </w:r>
    </w:p>
    <w:p w14:paraId="712AFB75" w14:textId="77777777" w:rsidR="003754FE" w:rsidRDefault="003754FE" w:rsidP="003754FE">
      <w:pPr>
        <w:pStyle w:val="TextoNormal"/>
      </w:pPr>
    </w:p>
    <w:p w14:paraId="2652DC97" w14:textId="5D2BDE3E" w:rsidR="003754FE" w:rsidRDefault="003754FE" w:rsidP="003754FE">
      <w:pPr>
        <w:pStyle w:val="TextoNormal"/>
      </w:pPr>
      <w:r>
        <w:t>Como se ha reflejado en los antecedentes, los demandantes consideran que la tramitación de la reforma legal en cuestión ha sido irregular y que ha vulnerado su derecho de representación política (art. 23.2 CE). Por su parte, tanto la letrada de las Cortes Generales como el Ministerio Fiscal han solicitado la desestimación de la demanda.</w:t>
      </w:r>
    </w:p>
    <w:p w14:paraId="6A5EC63A" w14:textId="77777777" w:rsidR="003754FE" w:rsidRDefault="003754FE" w:rsidP="003754FE">
      <w:pPr>
        <w:pStyle w:val="TextoNormal"/>
      </w:pPr>
    </w:p>
    <w:p w14:paraId="05B5A9F6" w14:textId="77777777" w:rsidR="003754FE" w:rsidRDefault="003754FE" w:rsidP="003754FE">
      <w:pPr>
        <w:pStyle w:val="TextoNormal"/>
      </w:pPr>
      <w:r w:rsidRPr="003754FE">
        <w:rPr>
          <w:rStyle w:val="NumeroAFNegritaCaracter"/>
        </w:rPr>
        <w:t>2</w:t>
      </w:r>
      <w:r>
        <w:t xml:space="preserve">. </w:t>
      </w:r>
      <w:r w:rsidRPr="003754FE">
        <w:rPr>
          <w:i/>
        </w:rPr>
        <w:t>Aplicación de la doctrina de la STC 139/2024, de 6 de noviembre, al caso</w:t>
      </w:r>
    </w:p>
    <w:p w14:paraId="093722A9" w14:textId="77777777" w:rsidR="003754FE" w:rsidRDefault="003754FE" w:rsidP="003754FE">
      <w:pPr>
        <w:pStyle w:val="TextoNormal"/>
      </w:pPr>
    </w:p>
    <w:p w14:paraId="5D387391" w14:textId="77777777" w:rsidR="003754FE" w:rsidRDefault="003754FE" w:rsidP="003754FE">
      <w:pPr>
        <w:pStyle w:val="TextoNormal"/>
      </w:pPr>
      <w:r>
        <w:t xml:space="preserve">Debe ponerse de manifiesto que representantes del mismo partido político al que pertenecen los ahora recurrentes, interpusieron recurso de inconstitucionalidad contra la Ley Orgánica 8/2022, de 27 de julio, de modificación de los artículos 570 </w:t>
      </w:r>
      <w:r w:rsidRPr="003754FE">
        <w:rPr>
          <w:i/>
        </w:rPr>
        <w:t>bis</w:t>
      </w:r>
      <w:r>
        <w:t xml:space="preserve"> y 599 de la Ley Orgánica 6/1985, de 1 de julio, del Poder Judicial, cuya tramitación es objeto del presente recurso de amparo. Este tribunal en la reciente STC 139/2024, ha desestimado dicho recurso en cuanto al fondo de las quejas planteadas y también, por lo que ahora interesa, en relación con las quejas que sobre el procedimiento parlamentario realizaron los recurrentes, coincidentes con las planteadas ahora en el recurso de amparo.</w:t>
      </w:r>
    </w:p>
    <w:p w14:paraId="48AD2868" w14:textId="77777777" w:rsidR="003754FE" w:rsidRDefault="003754FE" w:rsidP="003754FE">
      <w:pPr>
        <w:pStyle w:val="TextoNormal"/>
      </w:pPr>
    </w:p>
    <w:p w14:paraId="52528A46" w14:textId="77777777" w:rsidR="003754FE" w:rsidRDefault="003754FE" w:rsidP="003754FE">
      <w:pPr>
        <w:pStyle w:val="TextoNormal"/>
      </w:pPr>
      <w:r>
        <w:t>A su vez, la STC 139/2024, se basa en anteriores pronunciamientos (SSTC 128/2023, de 2 de octubre; 15/2024, de 30 de enero, y 30/2024, de 28 de febrero) que se referían a supuestos similares al presente, en los que se impugnaba, por los mismos motivos que ahora, determinada tramitación parlamentaria de la reforma de la Ley Orgánica del Poder Judicial.</w:t>
      </w:r>
    </w:p>
    <w:p w14:paraId="72CFF65D" w14:textId="77777777" w:rsidR="003754FE" w:rsidRDefault="003754FE" w:rsidP="003754FE">
      <w:pPr>
        <w:pStyle w:val="TextoNormal"/>
      </w:pPr>
    </w:p>
    <w:p w14:paraId="1E609A6C" w14:textId="77777777" w:rsidR="003754FE" w:rsidRDefault="003754FE" w:rsidP="003754FE">
      <w:pPr>
        <w:pStyle w:val="TextoNormal"/>
      </w:pPr>
      <w:r>
        <w:t>La doctrina ya establecida en estas sentencias, especialmente en la STC 139/2024, es aplicable para resolver las quejas planteadas por los recurrentes que, como se ha expuesto detalladamente en los antecedentes de esta sentencia, se basan en la supuesta lesión del art. 23 CE, y que, sintéticamente, son las siguientes: (i) la tramitación de la reforma ha supuesto un fraude de ley, al llevarse a cabo a través de una proposición de ley y no a través de un proyecto de ley; (ii) como consecuencia de dicha forma de procedimiento legislativo, se ha producido la ausencia de informes del Consejo General del Poder Judicial y de la audiencia a los sectores afectados por la reforma; en particular, ha faltado la opinión de la Comisión de Venecia; (iii) la tramitación a través de procedimiento de urgencia ha sido lesiva de sus derechos; (iv) la tramitación se ha producido en contra de los principios aplicables del Derecho de la Unión Europea; y (v) por último, existe una falta de motivación de los acuerdos impugnados y una dilaciones en la respuesta de la mesa de la Cámara que hicieron imposible el restablecimiento de sus derechos.</w:t>
      </w:r>
    </w:p>
    <w:p w14:paraId="53FE8AC6" w14:textId="77777777" w:rsidR="003754FE" w:rsidRDefault="003754FE" w:rsidP="003754FE">
      <w:pPr>
        <w:pStyle w:val="TextoNormal"/>
      </w:pPr>
    </w:p>
    <w:p w14:paraId="1ECC7407" w14:textId="77777777" w:rsidR="003754FE" w:rsidRDefault="003754FE" w:rsidP="003754FE">
      <w:pPr>
        <w:pStyle w:val="TextoNormal"/>
      </w:pPr>
      <w:r>
        <w:t>Estas quejas no pueden prosperar atendiendo a lo afirmado en la STC 139/2024.</w:t>
      </w:r>
    </w:p>
    <w:p w14:paraId="2632FFEE" w14:textId="77777777" w:rsidR="003754FE" w:rsidRDefault="003754FE" w:rsidP="003754FE">
      <w:pPr>
        <w:pStyle w:val="TextoNormal"/>
      </w:pPr>
    </w:p>
    <w:p w14:paraId="6FE97882" w14:textId="77777777" w:rsidR="003754FE" w:rsidRDefault="003754FE" w:rsidP="003754FE">
      <w:pPr>
        <w:pStyle w:val="TextoNormal"/>
      </w:pPr>
      <w:r>
        <w:t>(i) La STC 139/2024, FJ 4 D), se remite a la STC 15/2024, FJ 3 a), en la que dijimos que ‘“no se vulnera el procedimiento legislativo por el hecho de que la norma impugnada tenga su origen en una proposición de ley y no en un proyecto de ley, porque no existe obstáculo alguno en ninguna disposición del bloque de la constitucionalidad, para que la disposición normativa impugnada pudiera tener su origen en una u otra iniciativa legislativa’ [STC 128/2023, FJ 3 B)]”. También dijimos en la STC 128/2023, FJ 3 B), que “no puede apreciarse la existencia de un fraude de ley cuando uno o más grupos parlamentarios ejercen la iniciativa legislativa que la Constitución les reconoce, y que no se limita por razón material cuando se trata de regular materias propias de la Ley Orgánica del Poder Judicial. El hecho de que la mayoría gubernamental, a través de su o sus grupos parlamentarios, sea quien ejerce la iniciativa legislativa responde a criterios de tramitación distintos a los que se prevén cuando quien ejerce la iniciativa es el Gobierno”.</w:t>
      </w:r>
    </w:p>
    <w:p w14:paraId="08B1FBB7" w14:textId="77777777" w:rsidR="003754FE" w:rsidRDefault="003754FE" w:rsidP="003754FE">
      <w:pPr>
        <w:pStyle w:val="TextoNormal"/>
      </w:pPr>
    </w:p>
    <w:p w14:paraId="0C28BDBE" w14:textId="77777777" w:rsidR="003754FE" w:rsidRDefault="003754FE" w:rsidP="003754FE">
      <w:pPr>
        <w:pStyle w:val="TextoNormal"/>
      </w:pPr>
      <w:r>
        <w:t>(ii) En cuanto a la ausencia del informe del Consejo General del Poder Judicial, debe recordarse que, como hemos afirmado recientemente en la STC 139/2024, FJ 4 E) b), “carece de relieve jurídico-constitucional la ausencia, durante la tramitación parlamentaria de la proposición de ley, del informe del Consejo General del Poder Judicial contemplado en el art. 561.1 LOPJ, que establece que se someterán a informe del Consejo los anteproyectos de ley que versen sobre modificaciones de la Ley Orgánica del Poder Judicial, por las razones expuestas en la citada STC 15/2024, FJ 3 a), y en la STC 128/2023, FJ 3 A), a las que nos remitimos”.</w:t>
      </w:r>
    </w:p>
    <w:p w14:paraId="3A80E5E2" w14:textId="77777777" w:rsidR="003754FE" w:rsidRDefault="003754FE" w:rsidP="003754FE">
      <w:pPr>
        <w:pStyle w:val="TextoNormal"/>
      </w:pPr>
    </w:p>
    <w:p w14:paraId="24FEA1A3" w14:textId="77777777" w:rsidR="003754FE" w:rsidRDefault="003754FE" w:rsidP="003754FE">
      <w:pPr>
        <w:pStyle w:val="TextoNormal"/>
      </w:pPr>
      <w:r>
        <w:t>Considerábamos también que “[t]ampoco merece ningún reproche la ausencia del informe de la Comisión de Venecia solicitado por los recurrentes ya que la tramitación de las proposiciones de ley se rige, exclusivamente, por los reglamentos respectivos (art. 89.1 CE), en los que no se prevé informe preceptivo alguno a cargo de otros órganos [SSTC 128/2023, FJ 3 A), y 15/2024, FJ 3 a)]” [STC 139/2024, de 6 de noviembre, FJ 4 E) c)].</w:t>
      </w:r>
    </w:p>
    <w:p w14:paraId="245B07E3" w14:textId="77777777" w:rsidR="003754FE" w:rsidRDefault="003754FE" w:rsidP="003754FE">
      <w:pPr>
        <w:pStyle w:val="TextoNormal"/>
      </w:pPr>
    </w:p>
    <w:p w14:paraId="6743DC7E" w14:textId="77777777" w:rsidR="003754FE" w:rsidRDefault="003754FE" w:rsidP="003754FE">
      <w:pPr>
        <w:pStyle w:val="TextoNormal"/>
      </w:pPr>
      <w:r>
        <w:t>En cuanto a la solicitud de comparecencias, recordamos que «la STC 94/2023, de 12 de septiembre, FJ 2 B) b), con cita de la STC 19/2023, de 22 de marzo, FJ 3 B) b), afirmó que “[e]l legislador, que obviamente no queda ‘sujeto a las determinaciones o valoraciones técnicas que puedan ofrecer expertos o peritos en la materia sobre la que pretende legislar’ (STC 112/2021, de 13 de mayo, FJ 5), ni siquiera viene obligado, en lo que ahora importa, a recabar tales valoraciones, por más que pueda llegar a hacerlo. Imponer lo contrario supondría dar lugar a una participación preceptiva de otros órganos o instancias, a título consultivo, en el ejercicio de la potestad legislativa del Estado, que corresponde en exclusiva a las Cortes Generales (art. 66.2 CE)”» [STC 139/2024, FJ 4 E) d)].</w:t>
      </w:r>
    </w:p>
    <w:p w14:paraId="01D84D65" w14:textId="77777777" w:rsidR="003754FE" w:rsidRDefault="003754FE" w:rsidP="003754FE">
      <w:pPr>
        <w:pStyle w:val="TextoNormal"/>
      </w:pPr>
    </w:p>
    <w:p w14:paraId="15EEEF89" w14:textId="77777777" w:rsidR="003754FE" w:rsidRDefault="003754FE" w:rsidP="003754FE">
      <w:pPr>
        <w:pStyle w:val="TextoNormal"/>
      </w:pPr>
      <w:r>
        <w:t>(iii) En cuanto a la tramitación por el procedimiento de urgencia, en la STC 139/2024, FJ 4 E) a), reiteramos que “[n]o se puede oponer ninguna tacha a la tramitación parlamentaria por el procedimiento de urgencia de la proposición de ley que dio lugar a la Ley Orgánica 8/2022. En este caso, la declaración de urgencia ha seguido los cauces previstos en los artículos 93 y 94 RCD. El requisito que dichos preceptos imponen es su solicitud por los sujetos legitimados. En concreto, el artículo 93.1 RCD dispone que ‘a petición del Gobierno, de dos grupos parlamentarios o de una quinta parte de los diputados, la mesa del Congreso podrá acordar que un asunto se tramite por procedimiento de urgencia’ y, como consta en los antecedentes de esta sentencia, la solicitud de tramitación por el procedimiento de urgencia fue firmada por noventa y tres diputados del Grupo Parlamentario Socialista.” En este caso puede afirmarse que la tramitación urgente no ha impedido a los recurrentes ejercer las facultades que les corresponden como diputados en el procedimiento legislativo, notablemente la facultad de presentación de enmiendas. A este respecto, tal y como consta en los antecedentes de esta sentencia, el grupo político al que pertenecen los recurrentes pudo presentar, y efectivamente así lo hizo, una enmienda al articulado presentado.</w:t>
      </w:r>
    </w:p>
    <w:p w14:paraId="5678873A" w14:textId="77777777" w:rsidR="003754FE" w:rsidRDefault="003754FE" w:rsidP="003754FE">
      <w:pPr>
        <w:pStyle w:val="TextoNormal"/>
      </w:pPr>
    </w:p>
    <w:p w14:paraId="51934D58" w14:textId="77777777" w:rsidR="003754FE" w:rsidRDefault="003754FE" w:rsidP="003754FE">
      <w:pPr>
        <w:pStyle w:val="TextoNormal"/>
      </w:pPr>
      <w:r>
        <w:t>(iv) Tampoco en la tramitación de la reforma encontramos colisión con el Derecho de la Unión Europea. La STC 139/2024, se remite a lo afirmado en la STC 15/2024, FJ 3 c), donde dijimos que de la jurisprudencia del Tribunal de Justicia de la Unión Europea “no se deduce la exigencia a los Estados miembros de la Unión Europea de un determinado procedimiento legislativo para tramitar reformas legislativas de la administración de justicia o del órgano de gobierno del Poder Judicial. Tampoco que la intervención de los consejos judiciales en ese procedimiento sea preceptiva para garantizar la independencia. De la jurisprudencia del Tribunal de Justicia de la Unión Europea se deriva que las exigencias a las que queda sujeta la tramitación de las normas con rango de ley a nivel nacional vienen íntegramente reguladas por el Derecho interno, igual que las normas que afectan a la organización de la administración de justicia, que es una competencia que los Estados no han cedido en los tratados constitutivos”.</w:t>
      </w:r>
    </w:p>
    <w:p w14:paraId="11AB2309" w14:textId="77777777" w:rsidR="003754FE" w:rsidRDefault="003754FE" w:rsidP="003754FE">
      <w:pPr>
        <w:pStyle w:val="TextoNormal"/>
      </w:pPr>
    </w:p>
    <w:p w14:paraId="37106981" w14:textId="77777777" w:rsidR="003754FE" w:rsidRDefault="003754FE" w:rsidP="003754FE">
      <w:pPr>
        <w:pStyle w:val="TextoNormal"/>
      </w:pPr>
      <w:r>
        <w:t>(v) Por último, los recurrentes se quejan de que en la tramitación parlamentaria de la Ley Orgánica 8/2022 la mesa no se pronunció sobre las solicitudes de informe y de comparecencias, que presentó la portavoz del Grupo Parlamentario Popular el día 7 de julio de 2022, hasta el día 8 de septiembre, una vez que había sido aprobada la citada ley orgánica, aspecto al que la demanda, anuda, también la vulneración del artículo 23 CE.</w:t>
      </w:r>
    </w:p>
    <w:p w14:paraId="690EE05C" w14:textId="77777777" w:rsidR="003754FE" w:rsidRDefault="003754FE" w:rsidP="003754FE">
      <w:pPr>
        <w:pStyle w:val="TextoNormal"/>
      </w:pPr>
    </w:p>
    <w:p w14:paraId="12B9D1E3" w14:textId="77777777" w:rsidR="003754FE" w:rsidRDefault="003754FE" w:rsidP="003754FE">
      <w:pPr>
        <w:pStyle w:val="TextoNormal"/>
      </w:pPr>
      <w:r>
        <w:t xml:space="preserve">La demora en la respuesta de la mesa de la Cámara a una solicitud de un grupo parlamentario de informes o solicitudes de comparecencia en un procedimiento legislativo, produciéndose dicha contestación cuando este ha finalizado, puede comportar un incumplimiento de las funciones y obligaciones que corresponden a este órgano rector, que puede determinar, en determinados casos, que algunas de las facultades que integran el </w:t>
      </w:r>
      <w:r w:rsidRPr="003754FE">
        <w:rPr>
          <w:i/>
        </w:rPr>
        <w:t>ius in officium</w:t>
      </w:r>
      <w:r>
        <w:t xml:space="preserve"> de los diputados devengan ineficaces.</w:t>
      </w:r>
    </w:p>
    <w:p w14:paraId="3D06DD67" w14:textId="77777777" w:rsidR="003754FE" w:rsidRDefault="003754FE" w:rsidP="003754FE">
      <w:pPr>
        <w:pStyle w:val="TextoNormal"/>
      </w:pPr>
    </w:p>
    <w:p w14:paraId="6F0F9219" w14:textId="77777777" w:rsidR="003754FE" w:rsidRDefault="003754FE" w:rsidP="003754FE">
      <w:pPr>
        <w:pStyle w:val="TextoNormal"/>
      </w:pPr>
      <w:r>
        <w:t>A dicho respecto se ha de notar que la mesa del Congreso de los Diputados tiene, entre sus funciones, la de “[c]alificar, con arreglo al Reglamento, los escritos y documentos de índole parlamentaria, así como declarar la admisibilidad o inadmisibilidad de los mismos” y “[d]ecidir la tramitación de todos los escritos y documentos de índole parlamentaria, de acuerdo con las normas establecidas en este Reglamento” (art. 31.1.4 y 5 RCD). Para su ejercicio, como afirma la letrada de las Cortes Generales, el Reglamento del Congreso de los Diputados no ha establecido plazo. Sin embargo, el adecuado ejercicio de sus funciones requerirá que se ejerzan dentro del procedimiento en el que se han presentado las solicitudes de ejercicio de los correspondientes derechos, para que los mismos, como se ha indicado, no devengan ineficaces.</w:t>
      </w:r>
    </w:p>
    <w:p w14:paraId="0AA4FD33" w14:textId="77777777" w:rsidR="003754FE" w:rsidRDefault="003754FE" w:rsidP="003754FE">
      <w:pPr>
        <w:pStyle w:val="TextoNormal"/>
      </w:pPr>
    </w:p>
    <w:p w14:paraId="5FDC4D01" w14:textId="77777777" w:rsidR="003754FE" w:rsidRDefault="003754FE" w:rsidP="003754FE">
      <w:pPr>
        <w:pStyle w:val="TextoNormal"/>
      </w:pPr>
      <w:r>
        <w:t>Con todo, en este caso, la dilación en la respuesta no puede considerarse lesiva del art. 23.2 CE, a la vista de las concretas circunstancias del caso: los recurrentes realizaron su solicitud el 7 de julio, cuando la proposición de ley fue representada el 24 de junio; el procedimiento para la tramitación de la reforma fue, como antes se ha señalado, el procedimiento de urgencia; no existe en el Reglamento del Congreso una regulación sobre el plazo del que la mesa dispone para dar contestación a solicitudes como la realizada por los recurrentes.</w:t>
      </w:r>
    </w:p>
    <w:p w14:paraId="3CEEDFE7" w14:textId="77777777" w:rsidR="003754FE" w:rsidRDefault="003754FE" w:rsidP="003754FE">
      <w:pPr>
        <w:pStyle w:val="TextoNormal"/>
      </w:pPr>
    </w:p>
    <w:p w14:paraId="415B3638" w14:textId="77777777" w:rsidR="003754FE" w:rsidRDefault="003754FE" w:rsidP="003754FE">
      <w:pPr>
        <w:pStyle w:val="TextoNormal"/>
      </w:pPr>
      <w:r>
        <w:t>Por todo ello, en este caso y desde el punto de vista de los derechos fundamentales de los recurrentes, debe señalarse que, si bien la tardanza en denegar lo solicitado comporta un claro incumplimiento de las funciones y obligaciones de la mesa, en este caso se trata de una irregularidad procedimental de carácter formal que no conlleva una lesión del artículo 23 CE, puesto que, a la vista de las circunstancias, si no lesiona el derecho recogido en dicho artículo la denegación de lo pedido, no puede lesionarlo la respuesta tardía.</w:t>
      </w:r>
    </w:p>
    <w:p w14:paraId="0A190D26" w14:textId="77777777" w:rsidR="003754FE" w:rsidRDefault="003754FE" w:rsidP="003754FE">
      <w:pPr>
        <w:pStyle w:val="TextoNormal"/>
      </w:pPr>
    </w:p>
    <w:p w14:paraId="0AF51D47" w14:textId="77777777" w:rsidR="003754FE" w:rsidRDefault="003754FE" w:rsidP="003754FE">
      <w:pPr>
        <w:pStyle w:val="TextoNormal"/>
      </w:pPr>
      <w:r>
        <w:t xml:space="preserve">Por último, sobre la motivación de los acuerdos impugnados, recordamos en la STC 30/2024, FJ 4, que “el principio de autonomía parlamentaria (art. 72.1 CE) incluye como una de sus manifestaciones la autonomía normativa, que comporta el reconocimiento de que sus órganos están dotados de un margen de interpretación suficiente de su reglamentación que cuenta con ciertos límites como son, entre otros, que debe hacerse una exégesis restrictiva de las normas limitativas de los derechos o atribuciones del representante público y motivar las razones de su aplicación y la necesidad de que aquellos acuerdos que sean restrictivos del </w:t>
      </w:r>
      <w:r w:rsidRPr="003754FE">
        <w:rPr>
          <w:i/>
        </w:rPr>
        <w:t>ius in officium</w:t>
      </w:r>
      <w:r>
        <w:t xml:space="preserve"> no resulten decisiones arbitrarias o manifiestamente irrazonables, para lo que deben incorporar una motivación expresa, suficiente y adecuada, que permita determinar si la decisión adoptada entraña en sí misma el desconocimiento de la facultad que se ha querido ejercitar y que no se manifiesta desprovista de razonabilidad en atención al fin institucional propio de la función que quiso ejercerse y los motivos aducidos para impedir su ejercicio”. Además, la doctrina constitucional no exige motivación del acuerdo inicial del órgano rector, dado que ha considerado que dicha motivación ha podido ser expresada tanto en el acuerdo inicial, como en la contestación a la solicitud de reconsideración (por todas, STC 97/2022, de 12 de julio, FJ 5).</w:t>
      </w:r>
    </w:p>
    <w:p w14:paraId="1E164035" w14:textId="77777777" w:rsidR="003754FE" w:rsidRDefault="003754FE" w:rsidP="003754FE">
      <w:pPr>
        <w:pStyle w:val="TextoNormal"/>
      </w:pPr>
    </w:p>
    <w:p w14:paraId="374EB062" w14:textId="77777777" w:rsidR="003754FE" w:rsidRDefault="003754FE" w:rsidP="003754FE">
      <w:pPr>
        <w:pStyle w:val="TextoNormal"/>
      </w:pPr>
      <w:r>
        <w:t>A partir de esta doctrina, debemos compartir la opinión, tanto de la letrada de las Cortes Generales como del Ministerio Fiscal, que defienden que el acuerdo de 18 de octubre, por el que se deniega la reconsideración planteada por los recurrentes, contiene una extensa motivación sobre las razones por las que se denegó lo pedido por los recurrentes.</w:t>
      </w:r>
    </w:p>
    <w:p w14:paraId="6043892D" w14:textId="77777777" w:rsidR="003754FE" w:rsidRDefault="003754FE" w:rsidP="003754FE">
      <w:pPr>
        <w:pStyle w:val="TextoNormal"/>
      </w:pPr>
    </w:p>
    <w:p w14:paraId="5F2CA53D" w14:textId="74C685BE" w:rsidR="003754FE" w:rsidRDefault="003754FE" w:rsidP="003754FE">
      <w:pPr>
        <w:pStyle w:val="TextoNormal"/>
      </w:pPr>
      <w:r>
        <w:t>En definitiva, el Tribunal rechaza por las razones expuestas las alegaciones de los demandantes de amparo para fundamentar que los acuerdos parlamentarios impugnados hayan vulnerado su derecho de representación política (art. 23.2 CE), lo que determina que deba denegarse el amparo solicitado y la íntegra desestimación del presente recurso.</w:t>
      </w:r>
    </w:p>
    <w:p w14:paraId="19858357" w14:textId="77777777" w:rsidR="003754FE" w:rsidRDefault="003754FE" w:rsidP="003754FE">
      <w:pPr>
        <w:pStyle w:val="TextoNormal"/>
      </w:pPr>
    </w:p>
    <w:p w14:paraId="2F4E3E5A" w14:textId="77777777" w:rsidR="003754FE" w:rsidRDefault="003754FE" w:rsidP="003754FE">
      <w:pPr>
        <w:pStyle w:val="TextoNormalCentrado"/>
        <w:keepNext/>
      </w:pPr>
      <w:r>
        <w:t>FALLO</w:t>
      </w:r>
    </w:p>
    <w:p w14:paraId="2104D8A5" w14:textId="51F7ED0F" w:rsidR="003754FE" w:rsidRDefault="003754FE" w:rsidP="003754FE">
      <w:pPr>
        <w:pStyle w:val="TextoNormalCentrado"/>
        <w:keepNext/>
      </w:pPr>
    </w:p>
    <w:p w14:paraId="3ECE9585" w14:textId="53D0EA57" w:rsidR="003754FE" w:rsidRDefault="003754FE" w:rsidP="003754FE">
      <w:pPr>
        <w:pStyle w:val="TextoNormal"/>
      </w:pPr>
      <w:r>
        <w:t>En atención a todo lo expuesto, el Tribunal Constitucional, por la autoridad que le confiere la Constitución de la Nación española, ha decidido desestimar el recurso de amparo interpuesto por doña Concepción Gamarra Ruiz-Clavijo y otros doce diputados y diputadas del Grupo Parlamentario Popular en el Congreso de los Diputados.</w:t>
      </w:r>
    </w:p>
    <w:p w14:paraId="6CCD5A69" w14:textId="77777777" w:rsidR="003754FE" w:rsidRDefault="003754FE" w:rsidP="003754FE">
      <w:pPr>
        <w:pStyle w:val="TextoNormal"/>
      </w:pPr>
    </w:p>
    <w:p w14:paraId="5773CD1E" w14:textId="77777777" w:rsidR="003754FE" w:rsidRDefault="003754FE" w:rsidP="003754FE">
      <w:pPr>
        <w:pStyle w:val="TextoNormal"/>
      </w:pPr>
      <w:r>
        <w:t>Publíquese esta sentencia en el “Boletín Oficial del Estado”.</w:t>
      </w:r>
    </w:p>
    <w:p w14:paraId="2099DC83" w14:textId="77777777" w:rsidR="003754FE" w:rsidRDefault="003754FE" w:rsidP="003754FE">
      <w:pPr>
        <w:pStyle w:val="TextoNormal"/>
      </w:pPr>
      <w:r>
        <w:t>Dada en Madrid, a dieciséis de diciembre de dos mil veinticuatro.</w:t>
      </w:r>
    </w:p>
    <w:p w14:paraId="66AD2340" w14:textId="1090DDCE" w:rsidR="003754FE" w:rsidRDefault="003754FE" w:rsidP="003754FE">
      <w:pPr>
        <w:pStyle w:val="ParrafoNormal"/>
      </w:pPr>
    </w:p>
    <w:p w14:paraId="3EE67588" w14:textId="77777777" w:rsidR="003754FE" w:rsidRDefault="003754FE" w:rsidP="003754FE">
      <w:pPr>
        <w:pStyle w:val="TextoNormalNegritaCentrado"/>
        <w:keepNext/>
      </w:pPr>
      <w:r>
        <w:t>Voto particular concurrente que formula el magistrado don Enrique Arnaldo Alcubilla a la sentencia dictada por la Sala Segunda en el recurso de amparo núm. 8026-2022</w:t>
      </w:r>
    </w:p>
    <w:p w14:paraId="213B00EB" w14:textId="6F9EEC91" w:rsidR="003754FE" w:rsidRDefault="003754FE" w:rsidP="003754FE">
      <w:pPr>
        <w:pStyle w:val="TextoNormalNegritaCentrado"/>
        <w:keepNext/>
      </w:pPr>
    </w:p>
    <w:p w14:paraId="40C13458" w14:textId="77777777" w:rsidR="003754FE" w:rsidRDefault="003754FE" w:rsidP="003754FE">
      <w:pPr>
        <w:pStyle w:val="TextoNormal"/>
      </w:pPr>
      <w:r>
        <w:t>En el ejercicio de la facultad conferida por el art. 90.2 LOTC y con respeto a la opinión de mis compañeros, formulo el presente voto particular concurrente, por las razones defendidas durante la deliberación y que expongo a continuación.</w:t>
      </w:r>
    </w:p>
    <w:p w14:paraId="1909E47E" w14:textId="77777777" w:rsidR="003754FE" w:rsidRDefault="003754FE" w:rsidP="003754FE">
      <w:pPr>
        <w:pStyle w:val="TextoNormal"/>
      </w:pPr>
    </w:p>
    <w:p w14:paraId="43E87F0D" w14:textId="77777777" w:rsidR="003754FE" w:rsidRDefault="003754FE" w:rsidP="003754FE">
      <w:pPr>
        <w:pStyle w:val="TextoNormal"/>
      </w:pPr>
      <w:r>
        <w:t xml:space="preserve">Las razones de nuestra disconformidad son sustancialmente las mismas de las que ya dejé constancia en el voto concurrente que formulé, junto con la magistrada doña Concepción Espejel Jorquera, a la STC 139/2024, de 6 de noviembre, que desestimó el recurso de inconstitucionalidad interpuesto contra la Ley Orgánica 8/2022, de 27 de julio, de modificación de los arts. 570 </w:t>
      </w:r>
      <w:r w:rsidRPr="003754FE">
        <w:rPr>
          <w:i/>
        </w:rPr>
        <w:t>bis</w:t>
      </w:r>
      <w:r>
        <w:t xml:space="preserve"> y 599 LOPJ. En la fundamentación de aquella STC 139/2024 se apoya la presente sentencia para denegar a los diputados recurrentes el amparo solicitado. Procedente será, en consecuencia, que me remita a dicho voto.</w:t>
      </w:r>
    </w:p>
    <w:p w14:paraId="5CCE0548" w14:textId="77777777" w:rsidR="003754FE" w:rsidRDefault="003754FE" w:rsidP="003754FE">
      <w:pPr>
        <w:pStyle w:val="TextoNormal"/>
      </w:pPr>
    </w:p>
    <w:p w14:paraId="3BCFE652" w14:textId="77777777" w:rsidR="003754FE" w:rsidRDefault="003754FE" w:rsidP="003754FE">
      <w:pPr>
        <w:pStyle w:val="TextoNormal"/>
      </w:pPr>
      <w:r>
        <w:t>En todo caso, baste recordar que, como entonces señalé, la STC 139/2024 es la última de la serie de sentencias recaídas sobre reformas coyunturales de la Ley Orgánica del Poder Judicial respecto de las que, en su momento, ya expresé mi voto contrario. La STC 139/2024 desestima el recurso de inconstitucionalidad interpuesto contra la Ley Orgánica 8/2022, que restituye al Consejo General del Poder Judicial “en funciones” una facultad (la de designar dos magistrados del Tribunal Constitucional) de la que había sido privado previamente en clara e inequívoca contravención del art. 159 de la Constitución. Ese recurso alegaba, además de otros, motivos de inconstitucionalidad procedimental anudados a la tramitación parlamentaria de la Ley Orgánica 8/2022 (cuyo origen es una proposición de ley presentada por los grupos parlamentarios que dan sustento a la coalición de gobierno, tramitada por el procedimiento de urgencia, lo que comporta excluir tanto los informes previos como un auténtico debate parlamentario), que los diputados recurrentes reproducen en la demanda de amparo desestimada por la sentencia a la que formulo el presente voto.</w:t>
      </w:r>
    </w:p>
    <w:p w14:paraId="3857A3A1" w14:textId="77777777" w:rsidR="003754FE" w:rsidRDefault="003754FE" w:rsidP="003754FE">
      <w:pPr>
        <w:pStyle w:val="TextoNormal"/>
      </w:pPr>
    </w:p>
    <w:p w14:paraId="18320863" w14:textId="77777777" w:rsidR="003754FE" w:rsidRDefault="003754FE" w:rsidP="003754FE">
      <w:pPr>
        <w:pStyle w:val="TextoNormal"/>
      </w:pPr>
      <w:r>
        <w:t>Como dije en mi voto concurrente a la STC 139/2024, la proposición de ley debería entenderse, en principio, como forma de iniciativa legislativa al servicio de las minorías parlamentarias y en ningún caso ser utilizada para eludir consultas, informes o dictámenes que, en otro caso, serían preceptivos. Menos aún si además se acude para su tramitación al procedimiento de urgencia, que comporta la radical reducción de los plazos de análisis, estudio y deliberación de una iniciativa legislativa, impidiendo pues que el Parlamento cumple su función deliberante. A lo anterior se añade que la mesa del Congreso de los Diputados no es que no accediera a las solicitudes de informe y comparecencias pedidas por el Grupo Parlamentario Popular, sino que no dio respuesta alguna hasta el 8 de septiembre a las solicitudes formuladas el 7 de julio de 2022, sin justificar la dilación y sin motivación adicional de ningún tipo, limitándose a afirmar que no procedía pronunciamiento alguno por haber terminado el procedimiento legislativo. Aunque se entienda que la ausencia de informes y comparecencias en este caso, dado el limitado alcance de la reforma legal, no afectó a la formación de la voluntad de la Cámara, resulta indiscutible que la falta de actuación de la mesa de la Cámara evidencia, a todas luces, tanto un incumplimiento de las funciones de calificación, admisión a trámite y decisión de la tramitación de los escritos de índole parlamentaria que le corresponden conforme al art. 31 del Reglamento del Congreso de los Diputados, como una evidente desatención y desconsideración hacia los derechos de la minoría parlamentaria.</w:t>
      </w:r>
    </w:p>
    <w:p w14:paraId="7592E075" w14:textId="77777777" w:rsidR="003754FE" w:rsidRDefault="003754FE" w:rsidP="003754FE">
      <w:pPr>
        <w:pStyle w:val="TextoNormal"/>
      </w:pPr>
    </w:p>
    <w:p w14:paraId="24ED0EF4" w14:textId="1EB9D155" w:rsidR="003754FE" w:rsidRDefault="003754FE" w:rsidP="003754FE">
      <w:pPr>
        <w:pStyle w:val="TextoNormal"/>
      </w:pPr>
      <w:r>
        <w:t>Madrid, a dieciséis de diciembre de dos mil veinticuatro.</w:t>
      </w:r>
    </w:p>
    <w:p w14:paraId="78D6B5F8" w14:textId="77777777" w:rsidR="003754FE" w:rsidRDefault="003754FE" w:rsidP="003754FE">
      <w:pPr>
        <w:pStyle w:val="TextoNormal"/>
      </w:pPr>
    </w:p>
    <w:p w14:paraId="10794E88" w14:textId="77777777" w:rsidR="003754FE" w:rsidRDefault="003754FE" w:rsidP="003754FE">
      <w:pPr>
        <w:pStyle w:val="TextoNormalNegritaCentrado"/>
        <w:keepNext/>
      </w:pPr>
      <w:r>
        <w:t>Voto particular concurrente que formula la magistrada doña Laura Díez Bueso a la sentencia dictada en el recurso de amparo núm. 8026-2022</w:t>
      </w:r>
    </w:p>
    <w:p w14:paraId="5B21F29E" w14:textId="40657D00" w:rsidR="003754FE" w:rsidRDefault="003754FE" w:rsidP="003754FE">
      <w:pPr>
        <w:pStyle w:val="TextoNormalNegritaCentrado"/>
        <w:keepNext/>
      </w:pPr>
    </w:p>
    <w:p w14:paraId="3790620C" w14:textId="77777777" w:rsidR="003754FE" w:rsidRDefault="003754FE" w:rsidP="003754FE">
      <w:pPr>
        <w:pStyle w:val="TextoNormal"/>
      </w:pPr>
      <w:r>
        <w:t>En el ejercicio de la facultad que me confiere el artículo 90.2 de la Ley Orgánica del Tribunal Constitucional, y con máximo respeto a la opinión de los magistrados que han conformado la mayoría de la Sala, formulo el presente voto particular concurrente por discrepar de la fundamentación de la sentencia recaída en el recurso de amparo núm. 8026-2022.</w:t>
      </w:r>
    </w:p>
    <w:p w14:paraId="727139D1" w14:textId="77777777" w:rsidR="003754FE" w:rsidRDefault="003754FE" w:rsidP="003754FE">
      <w:pPr>
        <w:pStyle w:val="TextoNormal"/>
      </w:pPr>
    </w:p>
    <w:p w14:paraId="1F168EF3" w14:textId="77777777" w:rsidR="003754FE" w:rsidRDefault="003754FE" w:rsidP="003754FE">
      <w:pPr>
        <w:pStyle w:val="TextoNormal"/>
      </w:pPr>
      <w:r>
        <w:t xml:space="preserve">Cabe comenzar apuntando que los argumentos esgrimidos en la STC 139/2024, de 6 de noviembre, que desestimó el recurso de inconstitucionalidad núm. 6914-2022 interpuesto contra la Ley Orgánica 8/2022, de 27 de julio, de modificación de los artículos 570 </w:t>
      </w:r>
      <w:r w:rsidRPr="003754FE">
        <w:rPr>
          <w:i/>
        </w:rPr>
        <w:t>bis</w:t>
      </w:r>
      <w:r>
        <w:t xml:space="preserve"> y 599 de la Ley Orgánica 6/1985, de 1 de julio, del Poder Judicial, son aplicables solo en parte para resolver el presente recurso de amparo.</w:t>
      </w:r>
    </w:p>
    <w:p w14:paraId="4C2D72FF" w14:textId="77777777" w:rsidR="003754FE" w:rsidRDefault="003754FE" w:rsidP="003754FE">
      <w:pPr>
        <w:pStyle w:val="TextoNormal"/>
      </w:pPr>
    </w:p>
    <w:p w14:paraId="1B139B55" w14:textId="77777777" w:rsidR="003754FE" w:rsidRDefault="003754FE" w:rsidP="003754FE">
      <w:pPr>
        <w:pStyle w:val="TextoNormal"/>
      </w:pPr>
      <w:r>
        <w:t>En el fundamento jurídico 4 E) d) de la citada STC 139/2024 se sostuvo lo siguiente:</w:t>
      </w:r>
    </w:p>
    <w:p w14:paraId="19F16190" w14:textId="77777777" w:rsidR="003754FE" w:rsidRDefault="003754FE" w:rsidP="003754FE">
      <w:pPr>
        <w:pStyle w:val="TextoNormal"/>
      </w:pPr>
    </w:p>
    <w:p w14:paraId="1B27AAC3" w14:textId="77777777" w:rsidR="003754FE" w:rsidRDefault="003754FE" w:rsidP="003754FE">
      <w:pPr>
        <w:pStyle w:val="TextoNormal"/>
      </w:pPr>
      <w:r>
        <w:t>“[E]n la tramitación parlamentaria de la Ley Orgánica 8/2022 la mesa no se pronunció sobre las solicitudes de informe y de comparecencias que presentó la portavoz del Grupo Parlamentario Popular el día 8 de julio de 2022, hasta el día 8 de septiembre, una vez que había sido aprobada la citada ley orgánica, aspecto al que la demanda anuda también la vulneración del artículo 23 CE. Este proceder del Congreso de los Diputados no provoca, en sí mismo considerado, la inconstitucionalidad de la Ley Orgánica 8/2022 [en un sentido similar, STC 155/2017, de 21 de diciembre, FJ 7 b)]. La falta de contestación de la mesa a dicha solicitud durante el tiempo en que transcurrió la tramitación de la ley orgánica y, en su caso, la motivación de los acuerdos de la mesa, no tienen trascendencia constitucional en la resolución de los vicios de procedimiento legislativo aducidos en este concreto proceso constitucional.</w:t>
      </w:r>
    </w:p>
    <w:p w14:paraId="27BF3486" w14:textId="77777777" w:rsidR="003754FE" w:rsidRDefault="003754FE" w:rsidP="003754FE">
      <w:pPr>
        <w:pStyle w:val="TextoNormal"/>
      </w:pPr>
    </w:p>
    <w:p w14:paraId="6D7A8A1E" w14:textId="77777777" w:rsidR="003754FE" w:rsidRDefault="003754FE" w:rsidP="003754FE">
      <w:pPr>
        <w:pStyle w:val="TextoNormal"/>
      </w:pPr>
      <w:r>
        <w:t>En efecto, la ausencia del informe del Consejo General del Poder Judicial, del informe de la Comisión de Venecia y de la celebración de comparecencias de expertos no determina, como se ha expuesto con anterioridad, que se incurra en un vicio del procedimiento legislativo. Por lo tanto, la motivación de los acuerdos de la mesa, cualquiera que esta sea, y la dilación en la repuesta tampoco podrían afectar en este caso, por sí mismas, a la formación de la voluntad de la Cámara ni ser consideradas, en consecuencia, un vicio determinante de la inconstitucionalidad de la ley”.</w:t>
      </w:r>
    </w:p>
    <w:p w14:paraId="6C19374B" w14:textId="77777777" w:rsidR="003754FE" w:rsidRDefault="003754FE" w:rsidP="003754FE">
      <w:pPr>
        <w:pStyle w:val="TextoNormal"/>
      </w:pPr>
    </w:p>
    <w:p w14:paraId="58FFC363" w14:textId="77777777" w:rsidR="003754FE" w:rsidRDefault="003754FE" w:rsidP="003754FE">
      <w:pPr>
        <w:pStyle w:val="TextoNormal"/>
      </w:pPr>
      <w:r>
        <w:t>No obstante, la circunstancia de que no se afecte sustancialmente la formación de la voluntad de la Cámara como para constituir un vicio determinante de la inconstitucionalidad de la ley no significa que no exista una vulneración del art. 23.2 CE desde la perspectiva del diputado o de los diputados individualmente considerados. En otros términos, la perspectiva de enjuiciamiento constitucional difiere en los recursos contra normas y en los recursos de amparo: en el recurso de inconstitucionalidad prima el principio de conservación de la ley y, por ello, los vicios del procedimiento legislativo no determinan necesariamente la inconstitucionalidad de la norma, salvo cuando afectan a la formación de la voluntad de las Cámaras; en el recurso de amparo prima el interés en la vertiente subjetiva de tutela del derecho fundamental previsto en el artículo 23.2 CE.</w:t>
      </w:r>
    </w:p>
    <w:p w14:paraId="453FAD5D" w14:textId="77777777" w:rsidR="003754FE" w:rsidRDefault="003754FE" w:rsidP="003754FE">
      <w:pPr>
        <w:pStyle w:val="TextoNormal"/>
      </w:pPr>
    </w:p>
    <w:p w14:paraId="3B59CD0F" w14:textId="77777777" w:rsidR="003754FE" w:rsidRDefault="003754FE" w:rsidP="003754FE">
      <w:pPr>
        <w:pStyle w:val="TextoNormal"/>
      </w:pPr>
      <w:r>
        <w:t>Ese es el motivo por el cual la presente sentencia, para resolver sobre si hubo o no lesión del derecho previsto en el artículo 23 CE tras la solicitud de comparecencias e informes, no se remite como en el resto de las cuestiones procedimentales a lo resuelto ya en la STC 139/2024 o a anteriores pronunciamientos de este tribunal que han resuelto recursos de inconstitucionalidad contra las reformas de la Ley Orgánica 6/1985 relativas a las facultades del Consejo General del Poder Judicial en funciones. Por el contrario, la presente sentencia resuelve esta concreta queja planteada por los recurrentes de forma expresa e independiente en su fundamento jurídico 2 apartado (v).</w:t>
      </w:r>
    </w:p>
    <w:p w14:paraId="02F77728" w14:textId="77777777" w:rsidR="003754FE" w:rsidRDefault="003754FE" w:rsidP="003754FE">
      <w:pPr>
        <w:pStyle w:val="TextoNormal"/>
      </w:pPr>
    </w:p>
    <w:p w14:paraId="5E3BEE94" w14:textId="77777777" w:rsidR="003754FE" w:rsidRDefault="003754FE" w:rsidP="003754FE">
      <w:pPr>
        <w:pStyle w:val="TextoNormal"/>
      </w:pPr>
      <w:r>
        <w:t>Realizada esta precisión, mi discrepancia consiste en considerar que debe desestimarse también esta concreta queja planteada en el recurso de amparo, pero por motivos distintos a los argumentados en la sentencia.</w:t>
      </w:r>
    </w:p>
    <w:p w14:paraId="7A0CD98F" w14:textId="77777777" w:rsidR="003754FE" w:rsidRDefault="003754FE" w:rsidP="003754FE">
      <w:pPr>
        <w:pStyle w:val="TextoNormal"/>
      </w:pPr>
    </w:p>
    <w:p w14:paraId="2A557157" w14:textId="77777777" w:rsidR="003754FE" w:rsidRDefault="003754FE" w:rsidP="003754FE">
      <w:pPr>
        <w:pStyle w:val="TextoNormal"/>
      </w:pPr>
      <w:r>
        <w:t>La razón por la cual considero que no hubo vulneración del derecho reconocido a los diputados en el artículo 23 CE es que, desde el momento en que el Pleno del Congreso de los Diputados decidió tramitar la reforma legal por el procedimiento de lectura única, no existe posibilidad de realizar comparecencias ni de realizar informes.</w:t>
      </w:r>
    </w:p>
    <w:p w14:paraId="69CBAD54" w14:textId="77777777" w:rsidR="003754FE" w:rsidRDefault="003754FE" w:rsidP="003754FE">
      <w:pPr>
        <w:pStyle w:val="TextoNormal"/>
      </w:pPr>
    </w:p>
    <w:p w14:paraId="1F4A52A3" w14:textId="77777777" w:rsidR="003754FE" w:rsidRDefault="003754FE" w:rsidP="003754FE">
      <w:pPr>
        <w:pStyle w:val="TextoNormal"/>
      </w:pPr>
      <w:r>
        <w:t>En relación con la realización de comparecencias, esta posibilidad decae puesto que toda la tramitación parlamentaria se sustancia en sede plenaria. Respecto de la petición de informes, los reducidos plazos de la tramitación hacen materialmente imposible su realización. Así, en ninguno de los dos casos hubo vulneración constitucional posible de un derecho fundamental de los diputados puesto que no existía ningún derecho constitucionalmente protegido para que se atendieran sus peticiones.</w:t>
      </w:r>
    </w:p>
    <w:p w14:paraId="1CCBE5FC" w14:textId="77777777" w:rsidR="003754FE" w:rsidRDefault="003754FE" w:rsidP="003754FE">
      <w:pPr>
        <w:pStyle w:val="TextoNormal"/>
      </w:pPr>
    </w:p>
    <w:p w14:paraId="72BC8EA5" w14:textId="77777777" w:rsidR="003754FE" w:rsidRDefault="003754FE" w:rsidP="003754FE">
      <w:pPr>
        <w:pStyle w:val="TextoNormal"/>
      </w:pPr>
      <w:r>
        <w:t>A ello debe añadirse que, desde el momento en que se aprobó por el Pleno del Congreso de los Diputados la tramitación por el procedimiento de lectura única de la proposición de ley, el Grupo Parlamentario Popular fue conocedor de ambas circunstancias, es decir, de la imposibilidad de realizar comparecencias en el Pleno y de la imposibilidad fáctica de realizar informes.</w:t>
      </w:r>
    </w:p>
    <w:p w14:paraId="4F1363E0" w14:textId="77777777" w:rsidR="003754FE" w:rsidRDefault="003754FE" w:rsidP="003754FE">
      <w:pPr>
        <w:pStyle w:val="TextoNormal"/>
      </w:pPr>
    </w:p>
    <w:p w14:paraId="2F4FFBE5" w14:textId="77777777" w:rsidR="003754FE" w:rsidRDefault="003754FE" w:rsidP="003754FE">
      <w:pPr>
        <w:pStyle w:val="TextoNormal"/>
      </w:pPr>
      <w:r>
        <w:t>Y solo me resta por añadir que, la ausencia de respuesta de la mesa a la petición del Grupo Parlamentario Popular en el Congreso entre el día 7 de julio, momento de la solicitud, y el día 13 de julio se debió a que, en su caso, no se prevén comparecencias ni se solicitan informes antes de la toma en consideración de una proposición de ley. En el presente caso, la toma en consideración se produjo el día 13 de julio y, ese mismo día, se acordó el procedimiento de lectura única, que impide la posibilidad de acordar comparecencias y de realizar informes.</w:t>
      </w:r>
    </w:p>
    <w:p w14:paraId="6DDC8E0E" w14:textId="77777777" w:rsidR="003754FE" w:rsidRDefault="003754FE" w:rsidP="003754FE">
      <w:pPr>
        <w:pStyle w:val="TextoNormal"/>
      </w:pPr>
    </w:p>
    <w:p w14:paraId="78FD1DED" w14:textId="77777777" w:rsidR="003754FE" w:rsidRDefault="003754FE" w:rsidP="003754FE">
      <w:pPr>
        <w:pStyle w:val="TextoNormal"/>
      </w:pPr>
      <w:r>
        <w:t>En este sentido emito mi voto particular concurrente.</w:t>
      </w:r>
    </w:p>
    <w:p w14:paraId="2FCB50D7" w14:textId="77777777" w:rsidR="003754FE" w:rsidRDefault="003754FE" w:rsidP="003754FE">
      <w:pPr>
        <w:pStyle w:val="TextoNormal"/>
      </w:pPr>
    </w:p>
    <w:p w14:paraId="559B9ECA" w14:textId="25E91FEC" w:rsidR="003754FE" w:rsidRDefault="003754FE" w:rsidP="003754FE">
      <w:pPr>
        <w:pStyle w:val="TextoNormal"/>
      </w:pPr>
      <w:r>
        <w:t>Madrid, a veintitrés de diciembre de dos mil veinticuatro.</w:t>
      </w:r>
    </w:p>
    <w:p w14:paraId="2410B2D6" w14:textId="2FA98001" w:rsidR="003754FE" w:rsidRDefault="003754FE">
      <w:pPr>
        <w:spacing w:after="160" w:line="278" w:lineRule="auto"/>
        <w:rPr>
          <w:rFonts w:ascii="Times New Roman" w:eastAsia="Times New Roman" w:hAnsi="Times New Roman" w:cs="Times New Roman"/>
          <w:sz w:val="24"/>
          <w:szCs w:val="24"/>
          <w:lang w:eastAsia="es-ES"/>
        </w:rPr>
      </w:pPr>
      <w:r>
        <w:br w:type="page"/>
      </w:r>
    </w:p>
    <w:p w14:paraId="514E551D" w14:textId="77777777" w:rsidR="003754FE" w:rsidRDefault="003754FE" w:rsidP="003754FE">
      <w:pPr>
        <w:pStyle w:val="TtuloResolucin"/>
      </w:pPr>
      <w:bookmarkStart w:id="63" w:name="SENTENCIA_2024_154"/>
      <w:r>
        <w:t>SENTENCIA 154/2024, de 16 de diciembre de 2024</w:t>
      </w:r>
    </w:p>
    <w:bookmarkEnd w:id="63"/>
    <w:p w14:paraId="4DDFE3C6" w14:textId="77777777" w:rsidR="003754FE" w:rsidRDefault="003754FE" w:rsidP="003754FE">
      <w:pPr>
        <w:pStyle w:val="TtuloResolucin"/>
      </w:pPr>
      <w:r>
        <w:t>Sala Primera</w:t>
      </w:r>
    </w:p>
    <w:p w14:paraId="4614B583" w14:textId="77777777" w:rsidR="003754FE" w:rsidRDefault="003754FE" w:rsidP="003754FE">
      <w:pPr>
        <w:pStyle w:val="TtuloBOE"/>
      </w:pPr>
      <w:r>
        <w:t>(BOE núm. 21, de 24 de enero de 2025)</w:t>
      </w:r>
    </w:p>
    <w:p w14:paraId="31D42FA6" w14:textId="77777777" w:rsidR="003754FE" w:rsidRDefault="003754FE" w:rsidP="003754FE">
      <w:pPr>
        <w:pStyle w:val="TextoNormalCentrado"/>
      </w:pPr>
      <w:r>
        <w:t>ECLI:ES:TC:2024:154</w:t>
      </w:r>
    </w:p>
    <w:p w14:paraId="24458BAB" w14:textId="1B0BE16F" w:rsidR="003754FE" w:rsidRDefault="003754FE" w:rsidP="003754FE">
      <w:pPr>
        <w:pStyle w:val="TextoNormalCentrado"/>
      </w:pPr>
    </w:p>
    <w:p w14:paraId="00360AC5" w14:textId="77777777" w:rsidR="003754FE" w:rsidRDefault="003754FE" w:rsidP="003754FE">
      <w:pPr>
        <w:pStyle w:val="SntesisDescriptiva"/>
      </w:pPr>
      <w:r>
        <w:t>Recurso de amparo 2024-2024. Promovido por don Salvador Illa Roca y otros veintinueve diputados del Parlamento de Cataluña respecto de los acuerdos de la mesa de la Cámara admitiendo a trámite la iniciativa legislativa popular “Proposición de ley de declaración de la independencia de Cataluña”.</w:t>
      </w:r>
    </w:p>
    <w:p w14:paraId="120C0821" w14:textId="138569BC" w:rsidR="003754FE" w:rsidRDefault="003754FE" w:rsidP="003754FE">
      <w:pPr>
        <w:pStyle w:val="SntesisDescriptiva"/>
      </w:pPr>
    </w:p>
    <w:p w14:paraId="105F3C59" w14:textId="77777777" w:rsidR="003754FE" w:rsidRDefault="003754FE" w:rsidP="003754FE">
      <w:pPr>
        <w:pStyle w:val="SntesisAnaltica"/>
      </w:pPr>
      <w:r>
        <w:t>Vulneración del derecho al ejercicio de las funciones representativas: STC 143/2024 (incumplimiento por la mesa del Parlamento de Cataluña del deber de inadmisión de una iniciativa legislativa popular cuyo contenido no puede tener cabida a través de una iniciativa legislativa autonómica).</w:t>
      </w:r>
    </w:p>
    <w:p w14:paraId="28851309" w14:textId="479092DE" w:rsidR="003754FE" w:rsidRDefault="003754FE" w:rsidP="003754FE">
      <w:pPr>
        <w:pStyle w:val="SntesisAnaltica"/>
      </w:pPr>
    </w:p>
    <w:p w14:paraId="29ED9889" w14:textId="1B017EF0" w:rsidR="003754FE" w:rsidRDefault="003754FE" w:rsidP="003754FE">
      <w:pPr>
        <w:pStyle w:val="Extracto"/>
      </w:pPr>
      <w:r>
        <w:t>1.</w:t>
      </w:r>
      <w:r>
        <w:tab/>
        <w:t>Se aplica la doctrina de la STC 143/2024, en materia de acuerdo parlamentario de admisión a trámite de una iniciativa legislativa popular que contraviene, entre otros, el derecho fundamental a la representación política [FJ único]</w:t>
      </w:r>
    </w:p>
    <w:p w14:paraId="05F71349" w14:textId="77777777" w:rsidR="003754FE" w:rsidRDefault="003754FE" w:rsidP="003754FE">
      <w:pPr>
        <w:pStyle w:val="Extracto"/>
      </w:pPr>
    </w:p>
    <w:p w14:paraId="3B44FBB2" w14:textId="77777777" w:rsidR="003754FE" w:rsidRDefault="003754FE" w:rsidP="003754FE">
      <w:pPr>
        <w:pStyle w:val="Extracto"/>
      </w:pPr>
    </w:p>
    <w:p w14:paraId="04C773F9" w14:textId="77777777" w:rsidR="003754FE" w:rsidRDefault="003754FE" w:rsidP="003754FE">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10FD715E" w14:textId="3100BFB6" w:rsidR="003754FE" w:rsidRDefault="003754FE" w:rsidP="003754FE">
      <w:pPr>
        <w:pStyle w:val="TextoNormal"/>
      </w:pPr>
    </w:p>
    <w:p w14:paraId="5E15138E" w14:textId="77777777" w:rsidR="003754FE" w:rsidRDefault="003754FE" w:rsidP="003754FE">
      <w:pPr>
        <w:pStyle w:val="TextoNormalCentrado"/>
        <w:keepNext/>
      </w:pPr>
      <w:r>
        <w:t>EN NOMBRE DEL REY</w:t>
      </w:r>
    </w:p>
    <w:p w14:paraId="706169C9" w14:textId="6424426C" w:rsidR="003754FE" w:rsidRDefault="003754FE" w:rsidP="003754FE">
      <w:pPr>
        <w:pStyle w:val="TextoNormalCentrado"/>
        <w:keepNext/>
      </w:pPr>
    </w:p>
    <w:p w14:paraId="2648FDBD" w14:textId="77777777" w:rsidR="003754FE" w:rsidRDefault="003754FE" w:rsidP="003754FE">
      <w:pPr>
        <w:pStyle w:val="TextoNormalCentrado"/>
        <w:keepNext/>
      </w:pPr>
    </w:p>
    <w:p w14:paraId="224A36E6" w14:textId="77777777" w:rsidR="003754FE" w:rsidRDefault="003754FE" w:rsidP="003754FE">
      <w:pPr>
        <w:pStyle w:val="TextoNormal"/>
      </w:pPr>
      <w:r>
        <w:t>la siguiente</w:t>
      </w:r>
    </w:p>
    <w:p w14:paraId="7113E714" w14:textId="2394E60D" w:rsidR="003754FE" w:rsidRDefault="003754FE" w:rsidP="003754FE">
      <w:pPr>
        <w:pStyle w:val="TextoNormal"/>
      </w:pPr>
    </w:p>
    <w:p w14:paraId="60E596C9" w14:textId="77777777" w:rsidR="003754FE" w:rsidRDefault="003754FE" w:rsidP="003754FE">
      <w:pPr>
        <w:pStyle w:val="TextoNormalCentrado"/>
        <w:keepNext/>
      </w:pPr>
      <w:r>
        <w:t>SENTENCIA</w:t>
      </w:r>
    </w:p>
    <w:p w14:paraId="5067BA9E" w14:textId="366F24DA" w:rsidR="003754FE" w:rsidRDefault="003754FE" w:rsidP="003754FE">
      <w:pPr>
        <w:pStyle w:val="TextoNormalCentrado"/>
        <w:keepNext/>
      </w:pPr>
    </w:p>
    <w:p w14:paraId="30F8E670" w14:textId="77777777" w:rsidR="003754FE" w:rsidRDefault="003754FE" w:rsidP="003754FE">
      <w:pPr>
        <w:pStyle w:val="TextoNormal"/>
      </w:pPr>
      <w:r>
        <w:t>En el recurso de amparo núm. 2024-2024, promovido por don Salvador Illa Roca, doña Alicia Romero Llano, don Raúl Moreno Montaña, doña María Asunción Escarp Gibert, don Ferrán Pedret Santos, don Ramon Espadaler Parcerisas, doña Judit Alcalá González, don Óscar Aparicio Pedrosa, doña Helena Bayo Delgado, doña Eva Candela López, doña María dels Dolors Carreras Casany, doña Elena Díaz Torrevejano, don Mario García Gómez, doña Rocío García Pérez, don Pol Gibert Horcas, don Cristóbal Gimeno Iglesias, don David González Chanca, doña Rosa María Ibarra Ollé, doña Gemma Lienas Massot, doña Marta Moreta Rovira, doña Esther Niubó Cidoncha, don Óscar Ordeig Molist, don Joaquín Paladella Curto, doña Silvia Paneque Sureda, don David Pérez Ibáñez, don Jordi Riba Colom, doña Mónica Ríos García, doña Silvia Romero Galera, doña Beatriz Silva Gallardo y don Jordi Terrades Santacreu, contra los acuerdos de la mesa del Parlamento de Cataluña de 20 y 22 de febrero de 2024. Ha comparecido el Parlamento de Cataluña. Ha intervenido el Ministerio Fiscal. Ha sido ponente la magistrada doña María Luisa Segoviano Astaburuaga.</w:t>
      </w:r>
    </w:p>
    <w:p w14:paraId="531FA0FA" w14:textId="66C1B991" w:rsidR="003754FE" w:rsidRDefault="003754FE" w:rsidP="003754FE">
      <w:pPr>
        <w:pStyle w:val="TextoNormal"/>
      </w:pPr>
    </w:p>
    <w:p w14:paraId="0EB7B1C3" w14:textId="77777777" w:rsidR="003754FE" w:rsidRDefault="003754FE" w:rsidP="003754FE">
      <w:pPr>
        <w:pStyle w:val="TextoNormalNegritaCentrado"/>
        <w:keepNext/>
      </w:pPr>
      <w:r>
        <w:t>I. Antecedentes</w:t>
      </w:r>
    </w:p>
    <w:p w14:paraId="0589ABE6" w14:textId="0D945619" w:rsidR="003754FE" w:rsidRDefault="003754FE" w:rsidP="003754FE">
      <w:pPr>
        <w:pStyle w:val="TextoNormalNegritaCentrado"/>
        <w:keepNext/>
      </w:pPr>
    </w:p>
    <w:p w14:paraId="37C27259" w14:textId="43B00296" w:rsidR="003754FE" w:rsidRDefault="003754FE" w:rsidP="003754FE">
      <w:pPr>
        <w:pStyle w:val="TextoNormal"/>
      </w:pPr>
      <w:r w:rsidRPr="003754FE">
        <w:rPr>
          <w:rStyle w:val="NumeroAFNegritaCaracter"/>
        </w:rPr>
        <w:t>1</w:t>
      </w:r>
      <w:r>
        <w:t>. Mediante escrito registrado en el Tribunal el 21 de marzo de 2024, don Salvador Illa Roca, doña Alicia Romero Llano, don Raúl Moreno Montaña, doña María Asunción Escarp Gibert, don Ferrán Pedret Santos, don Ramon Espadaler Parcerisas, doña Judit Alcalá González, don Óscar Aparicio Pedrosa, doña Helena Bayo Delgado, doña Eva Candela López, doña María dels Dolors Carreras Casany, doña Elena Díaz Torrevejano, don Mario García Gómez, doña Rocío García Pérez, don Pol Gibert Horcas, don Cristóbal Gimeno Iglesias, don David González Chanca, doña Rosa María Ibarra Ollé, doña Gemma Lienas Massot, doña Marta Moreta Rovira, doña Esther Niubó Cidoncha, don Óscar Ordeig Molist, don Joaquín Paladella Curto, doña Silvia Paneque Sureda, don David Pérez Ibáñez, don Jordi Riba Colom, doña Mónica Ríos García, doña Silvia Romero Galera, doña Beatriz Silva Gallardo y don Jordi Terrades Santacreu, entonces diputados y diputadas de Grupo Parlamentario Socialistes i Units per Avançar, representados por la procuradora de los tribunales doña Virginia Aragón Segura, bajo la dirección del letrado don Alberto Cachinero Capitán, interpusieron recurso de amparo contra los acuerdos de la mesa del Parlamento de Cataluña de 20 de febrero de 2024, por el que se admite a trámite la iniciativa legislativa popular relativa a la “Proposición de ley de declaración de la independencia de Cataluña”; y de 22 de febrero de 2024, por el que se desestima la petición de reconsideración del anterior.</w:t>
      </w:r>
    </w:p>
    <w:p w14:paraId="4BD5F03F" w14:textId="77777777" w:rsidR="003754FE" w:rsidRDefault="003754FE" w:rsidP="003754FE">
      <w:pPr>
        <w:pStyle w:val="TextoNormal"/>
      </w:pPr>
    </w:p>
    <w:p w14:paraId="644CAE01" w14:textId="77777777" w:rsidR="003754FE" w:rsidRDefault="003754FE" w:rsidP="003754FE">
      <w:pPr>
        <w:pStyle w:val="TextoNormal"/>
      </w:pPr>
      <w:r w:rsidRPr="003754FE">
        <w:rPr>
          <w:rStyle w:val="NumeroAFNegritaCaracter"/>
        </w:rPr>
        <w:t>2</w:t>
      </w:r>
      <w:r>
        <w:t>. El recurso tiene su origen en los siguientes antecedentes:</w:t>
      </w:r>
    </w:p>
    <w:p w14:paraId="105AA24F" w14:textId="77777777" w:rsidR="003754FE" w:rsidRDefault="003754FE" w:rsidP="003754FE">
      <w:pPr>
        <w:pStyle w:val="TextoNormal"/>
      </w:pPr>
    </w:p>
    <w:p w14:paraId="11DFDA8F" w14:textId="77777777" w:rsidR="003754FE" w:rsidRDefault="003754FE" w:rsidP="003754FE">
      <w:pPr>
        <w:pStyle w:val="TextoNormal"/>
      </w:pPr>
      <w:r>
        <w:t>a) El 2 de febrero de 2024 fue registrado en el Parlamento de Cataluña la solicitud de admisión a trámite de una proposición de ley de declaración de independencia de Cataluña, presentada al amparo de la Ley del Parlamento de Cataluña 1/2006, de 16 de febrero, de la iniciativa legislativa popular.</w:t>
      </w:r>
    </w:p>
    <w:p w14:paraId="7C311657" w14:textId="77777777" w:rsidR="003754FE" w:rsidRDefault="003754FE" w:rsidP="003754FE">
      <w:pPr>
        <w:pStyle w:val="TextoNormal"/>
      </w:pPr>
    </w:p>
    <w:p w14:paraId="4EA1930A" w14:textId="77777777" w:rsidR="003754FE" w:rsidRDefault="003754FE" w:rsidP="003754FE">
      <w:pPr>
        <w:pStyle w:val="TextoNormal"/>
      </w:pPr>
      <w:r>
        <w:t>El letrado secretario de la comisión de control de la iniciativa legislativa popular del Parlamento de Cataluña, mediante informe de 14 de febrero de 2024, concluye que no se cumplen las condiciones de contenido material que se establecen en el art. 6.2 de la Ley 1/2006, de la iniciativa legislativa popular, para que la mesa del Parlamento pueda admitir a trámite la iniciativa, ya que se trata de una materia que no se circunscribe al ámbito estricto de las competencias de la Generalitat requiriendo una previa reforma constitucional, y dicho incumplimiento no puede ser subsanado de acuerdo a lo dispuesto en el artículo 6.4 de la Ley 1/2006. También se destaca que se trata de una iniciativa con un objeto que ya ha sido planteado en otras ocasiones y ha sido inadmitida a trámite por acuerdos de la mesa de 17 de enero de 2008, 1 de abril de 2008, 25 de junio de 2019 y 13 de septiembre de 2022.</w:t>
      </w:r>
    </w:p>
    <w:p w14:paraId="42175FD7" w14:textId="77777777" w:rsidR="003754FE" w:rsidRDefault="003754FE" w:rsidP="003754FE">
      <w:pPr>
        <w:pStyle w:val="TextoNormal"/>
      </w:pPr>
    </w:p>
    <w:p w14:paraId="53AE5637" w14:textId="77777777" w:rsidR="003754FE" w:rsidRDefault="003754FE" w:rsidP="003754FE">
      <w:pPr>
        <w:pStyle w:val="TextoNormal"/>
      </w:pPr>
      <w:r>
        <w:t>b) La mesa del Parlamento de Cataluña acordó el 20 de febrero de 2024 su admisión a trámite.</w:t>
      </w:r>
    </w:p>
    <w:p w14:paraId="29BE4703" w14:textId="77777777" w:rsidR="003754FE" w:rsidRDefault="003754FE" w:rsidP="003754FE">
      <w:pPr>
        <w:pStyle w:val="TextoNormal"/>
      </w:pPr>
    </w:p>
    <w:p w14:paraId="423ECE41" w14:textId="77777777" w:rsidR="003754FE" w:rsidRDefault="003754FE" w:rsidP="003754FE">
      <w:pPr>
        <w:pStyle w:val="TextoNormal"/>
      </w:pPr>
      <w:r>
        <w:t>El Grupo Parlamentario de Socialistes i Units per Avançar, entre otros, presentó el 20 de febrero de 2024 una solicitud de reconsideración de ese acuerdo, con invocación del art. 23.2 CE, alegando que la materia objeto de la iniciativa está excluida de las que legalmente son propias de la iniciativa legislativa popular de conformidad con el art. 6.2 de la Ley 1/2006, al no ser competencia de la Generalitat, y requeriría, además, una reforma constitucional cuya iniciativa, de acuerdo con lo establecido en la STC 76/1994, de 14 de marzo, queda reservada a los mecanismos de la democracia representativa con exclusión de los de la democracia directa. También se alega, en segundo lugar, que el contenido de la iniciativa es manifiestamente contrario a principios básicos constitucionales y estatutarios, como ha sido reiterado por la jurisprudencia constitucional en las SSTC 114/2011, de 4 de julio, y 138/2015, de 11 de junio, en relación con las previas consultas populares.</w:t>
      </w:r>
    </w:p>
    <w:p w14:paraId="61EEB81E" w14:textId="77777777" w:rsidR="003754FE" w:rsidRDefault="003754FE" w:rsidP="003754FE">
      <w:pPr>
        <w:pStyle w:val="TextoNormal"/>
      </w:pPr>
    </w:p>
    <w:p w14:paraId="4F1C1B18" w14:textId="164F9FE6" w:rsidR="003754FE" w:rsidRDefault="003754FE" w:rsidP="003754FE">
      <w:pPr>
        <w:pStyle w:val="TextoNormal"/>
      </w:pPr>
      <w:r>
        <w:t>c) La mesa, por acuerdo de 22 de febrero de 2024, rechazó la reconsideración argumentando que se ha dado prioridad al derecho de participación política de los ciudadanos y que, si bien la jurisprudencia constitucional ha reconocido a las mesas de las cámaras la facultad de inadmitir iniciativas que de manera palmaria y evidente contradigan la Constitución, se trata de una mera facultad que solo en el caso en que haya un requerimiento directo a los miembros de la mesa o un incumplimiento patente de una resolución de Tribunal Constitucional (STC 46/2018, de 26 de abril), implica la obligatoriedad de la inadmisión a trámite. Sin embargo, en el presente caso no ha habido ningún requerimiento a los miembros de la mesa en el sentido indicado ni se ha identificado ninguna resolución del Tribunal Constitucional de la que pueda desprenderse la obligación de inadmitir a trámite una iniciativa legislativa popular como la que es objeto de las peticiones de reconsideración.</w:t>
      </w:r>
    </w:p>
    <w:p w14:paraId="6ADDEA8A" w14:textId="77777777" w:rsidR="003754FE" w:rsidRDefault="003754FE" w:rsidP="003754FE">
      <w:pPr>
        <w:pStyle w:val="TextoNormal"/>
      </w:pPr>
    </w:p>
    <w:p w14:paraId="6CD604B3" w14:textId="77777777" w:rsidR="003754FE" w:rsidRDefault="003754FE" w:rsidP="003754FE">
      <w:pPr>
        <w:pStyle w:val="TextoNormal"/>
      </w:pPr>
      <w:r w:rsidRPr="003754FE">
        <w:rPr>
          <w:rStyle w:val="NumeroAFNegritaCaracter"/>
        </w:rPr>
        <w:t>3</w:t>
      </w:r>
      <w:r>
        <w:t>. Los demandantes de amparo solicitan que se estime el recurso declarando que se ha vulnerado su derecho a la representación política (art. 23.2 CE), para cuyo restablecimiento consideran necesario anular los acuerdos impugnados.</w:t>
      </w:r>
    </w:p>
    <w:p w14:paraId="4E89C60C" w14:textId="77777777" w:rsidR="003754FE" w:rsidRDefault="003754FE" w:rsidP="003754FE">
      <w:pPr>
        <w:pStyle w:val="TextoNormal"/>
      </w:pPr>
    </w:p>
    <w:p w14:paraId="061D1A37" w14:textId="77777777" w:rsidR="003754FE" w:rsidRDefault="003754FE" w:rsidP="003754FE">
      <w:pPr>
        <w:pStyle w:val="TextoNormal"/>
      </w:pPr>
      <w:r>
        <w:t xml:space="preserve">Los demandantes de amparo alegan que los acuerdos parlamentarios impugnados han vulnerado su derecho de representación política (art. 23.2 CE) al haberse visto afectado su </w:t>
      </w:r>
      <w:r w:rsidRPr="003754FE">
        <w:rPr>
          <w:i/>
        </w:rPr>
        <w:t>ius in officium</w:t>
      </w:r>
      <w:r>
        <w:t>, ya que la admisión a trámite de la iniciativa se ha producido en contravención con la normativa en la materia, pues el art. 6.2 de la Ley 1/2006 excluye de este tipo de iniciativas aquellas que no se ajustan al ámbito estricto de las competencias de la Generalitat, como sería el caso, al suponer su objeto una modificación sustancial de la forma de Estado y de Gobierno establecida y definida en la Constitución. Esta modificación haría necesaria una reforma constitucional previa, de acuerdo con los procedimientos previstos en la Constitución, que no admite la iniciativa legislativa popular, tal y como se ha establecido en la STC 76/1994, de 14 de marzo. También se pone de manifiesto las reiteradas ocasiones en las que el Tribunal Constitucional ha advertido a la mesa del Parlamento, en sus diferentes composiciones, de su obligación de no dar curso o tramitar iniciativas que pretendan desarrollar o quieran ejecutar resoluciones anuladas por el propio Tribunal Constitucional o que pretendan eludir lo que este haya resuelto.</w:t>
      </w:r>
    </w:p>
    <w:p w14:paraId="3DFB409F" w14:textId="77777777" w:rsidR="003754FE" w:rsidRDefault="003754FE" w:rsidP="003754FE">
      <w:pPr>
        <w:pStyle w:val="TextoNormal"/>
      </w:pPr>
    </w:p>
    <w:p w14:paraId="483FFAF9" w14:textId="5308AED7" w:rsidR="003754FE" w:rsidRDefault="003754FE" w:rsidP="003754FE">
      <w:pPr>
        <w:pStyle w:val="TextoNormal"/>
      </w:pPr>
      <w:r>
        <w:t>Los demandantes de amparo justifican la especial trascendencia constitucional del recurso afirmando que plantea unas consecuencias políticas generales por su naturaleza parlamentaria, promoviéndose sin poder contar con una vía judicial previa en la que defender los derechos fundamentales de los representantes políticos.</w:t>
      </w:r>
    </w:p>
    <w:p w14:paraId="16B06859" w14:textId="77777777" w:rsidR="003754FE" w:rsidRDefault="003754FE" w:rsidP="003754FE">
      <w:pPr>
        <w:pStyle w:val="TextoNormal"/>
      </w:pPr>
    </w:p>
    <w:p w14:paraId="78BEE728" w14:textId="4116857B" w:rsidR="003754FE" w:rsidRDefault="003754FE" w:rsidP="003754FE">
      <w:pPr>
        <w:pStyle w:val="TextoNormal"/>
      </w:pPr>
      <w:r w:rsidRPr="003754FE">
        <w:rPr>
          <w:rStyle w:val="NumeroAFNegritaCaracter"/>
        </w:rPr>
        <w:t>4</w:t>
      </w:r>
      <w:r>
        <w:t>. La Sección Primera del Tribunal, por providencia de 9 de septiembre de 2024, acordó la admisión a trámite de la demanda de amparo, apreciando que concurre una especial trascendencia constitucional, ya que el asunto trasciende del caso concreto porque pudiera tener unas consecuencias políticas generales [STC 155/2009, de 25 de junio, FJ 2 g)] y dirigir atenta comunicación al Parlamento de Cataluña, para la remisión de testimonio de las actuaciones y a los efectos de su personación en el presente proceso constitucional.</w:t>
      </w:r>
    </w:p>
    <w:p w14:paraId="11BCA7F5" w14:textId="77777777" w:rsidR="003754FE" w:rsidRDefault="003754FE" w:rsidP="003754FE">
      <w:pPr>
        <w:pStyle w:val="TextoNormal"/>
      </w:pPr>
    </w:p>
    <w:p w14:paraId="1E80E9A2" w14:textId="6FD6B206" w:rsidR="003754FE" w:rsidRDefault="003754FE" w:rsidP="003754FE">
      <w:pPr>
        <w:pStyle w:val="TextoNormal"/>
      </w:pPr>
      <w:r w:rsidRPr="003754FE">
        <w:rPr>
          <w:rStyle w:val="NumeroAFNegritaCaracter"/>
        </w:rPr>
        <w:t>5</w:t>
      </w:r>
      <w:r>
        <w:t>. La Secretaría de Justicia de la Sala Primera del Tribunal, por diligencia de ordenación de 16 de octubre de 2024, tuvo por recibido el testimonio de las actuaciones, por personado y parte al Parlamento de Cataluña y acordó dar vista de las actuaciones a las partes personadas y al Ministerio Fiscal, por plazo común de veinte días, a fin de que, conforme con lo previsto en el art. 52 de la Ley Orgánica del Tribunal Constitucional (en adelante, LOTC), pudieran presentar alegaciones.</w:t>
      </w:r>
    </w:p>
    <w:p w14:paraId="1B7371F1" w14:textId="77777777" w:rsidR="003754FE" w:rsidRDefault="003754FE" w:rsidP="003754FE">
      <w:pPr>
        <w:pStyle w:val="TextoNormal"/>
      </w:pPr>
    </w:p>
    <w:p w14:paraId="3508CAFA" w14:textId="77777777" w:rsidR="003754FE" w:rsidRDefault="003754FE" w:rsidP="003754FE">
      <w:pPr>
        <w:pStyle w:val="TextoNormal"/>
      </w:pPr>
      <w:r w:rsidRPr="003754FE">
        <w:rPr>
          <w:rStyle w:val="NumeroAFNegritaCaracter"/>
        </w:rPr>
        <w:t>6</w:t>
      </w:r>
      <w:r>
        <w:t>. El Ministerio Fiscal, mediante escrito registrado el 27 de noviembre de 2024, presentó alegaciones interesando la estimación del amparo por vulneración del derecho de los recurrentes a ejercer las funciones representativas con los requisitos que señalan las leyes (art. 23.2 CE), en relación con el derecho de los ciudadanos a participar en los asuntos públicos a través de sus representantes (art. 23.1 CE), para cuyo restablecimiento insta solo la nulidad del acuerdo de 22 de febrero de 2024 desestimatorio de la reconsideración, toda vez que el acuerdo de 20 de febrero de 2024 ya ha sido declarado nulo por el tribunal en la STC 143/2024, de 20 de noviembre, pronunciada en la impugnación de disposiciones autonómicas núm. 2159-2024.</w:t>
      </w:r>
    </w:p>
    <w:p w14:paraId="4C6F8264" w14:textId="77777777" w:rsidR="003754FE" w:rsidRDefault="003754FE" w:rsidP="003754FE">
      <w:pPr>
        <w:pStyle w:val="TextoNormal"/>
      </w:pPr>
    </w:p>
    <w:p w14:paraId="5342144F" w14:textId="3531D41C" w:rsidR="003754FE" w:rsidRDefault="003754FE" w:rsidP="003754FE">
      <w:pPr>
        <w:pStyle w:val="TextoNormal"/>
      </w:pPr>
      <w:r>
        <w:t xml:space="preserve">El Ministerio Fiscal argumenta que “la mesa del Parlamento de Cataluña ha admitido a trámite la ‘Proposición de ley de declaración de independencia de Cataluña’, presentada a través del mecanismo de iniciativa legislativa popular, con infracción de su obligación de no admitir o dar curso a iniciativas parlamentarias que se opongan a las resoluciones del Tribunal Constitucional y, siendo consciente de que se está eludiendo con la admisión la efectividad de aquellas, habiéndose vulnerado, con ello, el derecho fundamental de los recurrentes en amparo al ejercicio del cargo parlamentario </w:t>
      </w:r>
      <w:r w:rsidRPr="003754FE">
        <w:rPr>
          <w:i/>
        </w:rPr>
        <w:t>ex</w:t>
      </w:r>
      <w:r>
        <w:t xml:space="preserve"> art. 23.2 CE y, correlativamente, el derecho de los ciudadanos a participar en los asuntos públicos a través de sus legítimos representantes del art. 23.1 CE”.</w:t>
      </w:r>
    </w:p>
    <w:p w14:paraId="314B3908" w14:textId="77777777" w:rsidR="003754FE" w:rsidRDefault="003754FE" w:rsidP="003754FE">
      <w:pPr>
        <w:pStyle w:val="TextoNormal"/>
      </w:pPr>
    </w:p>
    <w:p w14:paraId="5AEF5BDE" w14:textId="77777777" w:rsidR="003754FE" w:rsidRDefault="003754FE" w:rsidP="003754FE">
      <w:pPr>
        <w:pStyle w:val="TextoNormal"/>
      </w:pPr>
      <w:r w:rsidRPr="003754FE">
        <w:rPr>
          <w:rStyle w:val="NumeroAFNegritaCaracter"/>
        </w:rPr>
        <w:t>7</w:t>
      </w:r>
      <w:r>
        <w:t>. El Parlamento de Cataluña, por escrito registrado el 26 de noviembre de 2024, presentó alegaciones solicitando la desestimación del recurso.</w:t>
      </w:r>
    </w:p>
    <w:p w14:paraId="57BF000F" w14:textId="77777777" w:rsidR="003754FE" w:rsidRDefault="003754FE" w:rsidP="003754FE">
      <w:pPr>
        <w:pStyle w:val="TextoNormal"/>
      </w:pPr>
    </w:p>
    <w:p w14:paraId="46818CF8" w14:textId="0FF2130E" w:rsidR="003754FE" w:rsidRDefault="003754FE" w:rsidP="003754FE">
      <w:pPr>
        <w:pStyle w:val="TextoNormal"/>
      </w:pPr>
      <w:r>
        <w:t>El Parlamento de Cataluña argumenta que (i) no se ha producido “como consecuencia de la admisión a trámite de la Proposición de ley de declaración de independencia de Cataluña, la vulneración de ninguna facultad parlamentaria concreta de los recurrentes en amparo que pueda ser reconocida por el Tribunal Constitucional, por lo que el recurso de amparo debiera haber sido inadmitido, como decidió el ATC 262/2007 o, en cualquier caso, desestimado, como decidieron las SSTC 173/2020 y 66/2021”; y (ii) la verdadera intención de la impugnación es “la de dificultar o impedir el debate parlamentario de una idea política con el pretexto de que su explicitación en un acto formal (aunque sea en el texto de una proposición de ley fruto de la iniciativa legislativa popular) es suficiente para ‘deducir’ de ella efectos jurídicos sobre los grupos parlamentarios y convertirla así en objeto de un procedimiento de protección de derechos fundamentales a través del recurso de amparo”. A ello añade que, habiendo tenido conocimiento de la anulación del acuerdo impugnado en el contexto de la impugnación de disposiciones autonómicas núm. 2159-2024, se discrepa respetuosamente de dicha anulación, existiendo margen para hacer una interpretación del acuerdo de 20 de febrero de 2024 que fuera lo más favorable para los promotores del derecho a la iniciativa legislativa popular.</w:t>
      </w:r>
    </w:p>
    <w:p w14:paraId="0DDC563A" w14:textId="77777777" w:rsidR="003754FE" w:rsidRDefault="003754FE" w:rsidP="003754FE">
      <w:pPr>
        <w:pStyle w:val="TextoNormal"/>
      </w:pPr>
    </w:p>
    <w:p w14:paraId="56B56119" w14:textId="075AE835" w:rsidR="003754FE" w:rsidRDefault="003754FE" w:rsidP="003754FE">
      <w:pPr>
        <w:pStyle w:val="TextoNormal"/>
      </w:pPr>
      <w:r w:rsidRPr="003754FE">
        <w:rPr>
          <w:rStyle w:val="NumeroAFNegritaCaracter"/>
        </w:rPr>
        <w:t>8</w:t>
      </w:r>
      <w:r>
        <w:t>. Los demandantes de amparo no han presentado alegaciones.</w:t>
      </w:r>
    </w:p>
    <w:p w14:paraId="7E46AC7D" w14:textId="77777777" w:rsidR="003754FE" w:rsidRDefault="003754FE" w:rsidP="003754FE">
      <w:pPr>
        <w:pStyle w:val="TextoNormal"/>
      </w:pPr>
    </w:p>
    <w:p w14:paraId="525C2E67" w14:textId="356D15BD" w:rsidR="003754FE" w:rsidRDefault="003754FE" w:rsidP="003754FE">
      <w:pPr>
        <w:pStyle w:val="TextoNormal"/>
      </w:pPr>
      <w:r w:rsidRPr="003754FE">
        <w:rPr>
          <w:rStyle w:val="NumeroAFNegritaCaracter"/>
        </w:rPr>
        <w:t>9</w:t>
      </w:r>
      <w:r>
        <w:t>. Por providencia de 12 de diciembre de 2024 se señaló para deliberación y votación de la presente sentencia el 16 del mismo mes y año.</w:t>
      </w:r>
    </w:p>
    <w:p w14:paraId="379EC8E5" w14:textId="77777777" w:rsidR="003754FE" w:rsidRDefault="003754FE" w:rsidP="003754FE">
      <w:pPr>
        <w:pStyle w:val="TextoNormal"/>
      </w:pPr>
    </w:p>
    <w:p w14:paraId="6478C407" w14:textId="77777777" w:rsidR="003754FE" w:rsidRDefault="003754FE" w:rsidP="003754FE">
      <w:pPr>
        <w:pStyle w:val="TextoNormalNegritaCentrado"/>
        <w:keepNext/>
      </w:pPr>
      <w:r>
        <w:t>II. Fundamentos jurídicos</w:t>
      </w:r>
    </w:p>
    <w:p w14:paraId="16C0A448" w14:textId="776B2509" w:rsidR="003754FE" w:rsidRDefault="003754FE" w:rsidP="003754FE">
      <w:pPr>
        <w:pStyle w:val="TextoNormalNegritaCentrado"/>
        <w:keepNext/>
      </w:pPr>
    </w:p>
    <w:p w14:paraId="2C6BD3C3" w14:textId="77777777" w:rsidR="003754FE" w:rsidRDefault="003754FE" w:rsidP="003754FE">
      <w:pPr>
        <w:pStyle w:val="TextoNormal"/>
      </w:pPr>
      <w:r w:rsidRPr="003754FE">
        <w:rPr>
          <w:rStyle w:val="TextoNormalNegritaCaracter"/>
        </w:rPr>
        <w:t xml:space="preserve">Único. </w:t>
      </w:r>
      <w:r w:rsidRPr="003754FE">
        <w:rPr>
          <w:i/>
        </w:rPr>
        <w:t>Objeto del recurso</w:t>
      </w:r>
    </w:p>
    <w:p w14:paraId="1E0A16BA" w14:textId="77777777" w:rsidR="003754FE" w:rsidRDefault="003754FE" w:rsidP="003754FE">
      <w:pPr>
        <w:pStyle w:val="TextoNormal"/>
      </w:pPr>
    </w:p>
    <w:p w14:paraId="2A9C4C78" w14:textId="77777777" w:rsidR="003754FE" w:rsidRDefault="003754FE" w:rsidP="003754FE">
      <w:pPr>
        <w:pStyle w:val="TextoNormal"/>
      </w:pPr>
      <w:r>
        <w:t>El objeto de este recurso es determinar si vulnera el derecho a la representación política de los demandantes de amparo los acuerdos de la mesa del Parlamento de Cataluña de 20 de febrero de 2024, por el que se admite a trámite la iniciativa legislativa popular relativa a la “Proposición de ley de declaración de la independencia de Cataluña”; y de 22 de febrero de 2024, por el que se desestima la petición de reconsideración del anterior efectuada por su grupo parlamentario.</w:t>
      </w:r>
    </w:p>
    <w:p w14:paraId="126427CC" w14:textId="77777777" w:rsidR="003754FE" w:rsidRDefault="003754FE" w:rsidP="003754FE">
      <w:pPr>
        <w:pStyle w:val="TextoNormal"/>
      </w:pPr>
    </w:p>
    <w:p w14:paraId="33E01DC0" w14:textId="77777777" w:rsidR="003754FE" w:rsidRDefault="003754FE" w:rsidP="003754FE">
      <w:pPr>
        <w:pStyle w:val="TextoNormal"/>
      </w:pPr>
      <w:r>
        <w:t>El Tribunal, en la STC 143/2024, de 20 de noviembre, dictada en el procedimiento de impugnación de disposiciones autonómicas (título V LOTC) núm. 2159-2024, ya ha declarado inconstitucional y nulo el citado acuerdo de 20 de febrero de 2024, por considerar que la admisión a trámite de esta iniciativa contraviene lo dispuesto, entre otros, en el art. 23 CE [FJ 3 d)]. Por tanto, con remisión a lo expuesto en la citada sentencia debe ahora declararse que dicho acuerdo ha vulnerado el derecho a la representación política de los demandantes de amparo, así como el acuerdo de 22 de febrero de 2024, en tanto que confirmó aquel.</w:t>
      </w:r>
    </w:p>
    <w:p w14:paraId="77AF77E2" w14:textId="77777777" w:rsidR="003754FE" w:rsidRDefault="003754FE" w:rsidP="003754FE">
      <w:pPr>
        <w:pStyle w:val="TextoNormal"/>
      </w:pPr>
    </w:p>
    <w:p w14:paraId="6D4C40F3" w14:textId="3917E0AC" w:rsidR="003754FE" w:rsidRDefault="003754FE" w:rsidP="003754FE">
      <w:pPr>
        <w:pStyle w:val="TextoNormal"/>
      </w:pPr>
      <w:r>
        <w:t>No resulta necesario para el restablecimiento de este derecho la anulación del acuerdo de 20 de febrero de 2024, por haber sido anulado ya por este tribunal, pero sí del acuerdo de 22 de febrero de 2024, que confirmó el primero al desestimar su reconsideración.</w:t>
      </w:r>
    </w:p>
    <w:p w14:paraId="470BECD1" w14:textId="77777777" w:rsidR="003754FE" w:rsidRDefault="003754FE" w:rsidP="003754FE">
      <w:pPr>
        <w:pStyle w:val="TextoNormal"/>
      </w:pPr>
    </w:p>
    <w:p w14:paraId="38A5FECC" w14:textId="77777777" w:rsidR="003754FE" w:rsidRDefault="003754FE" w:rsidP="003754FE">
      <w:pPr>
        <w:pStyle w:val="TextoNormalCentrado"/>
        <w:keepNext/>
      </w:pPr>
      <w:r>
        <w:t>FALLO</w:t>
      </w:r>
    </w:p>
    <w:p w14:paraId="32DF73FD" w14:textId="41717518" w:rsidR="003754FE" w:rsidRDefault="003754FE" w:rsidP="003754FE">
      <w:pPr>
        <w:pStyle w:val="TextoNormalCentrado"/>
        <w:keepNext/>
      </w:pPr>
    </w:p>
    <w:p w14:paraId="357DF054"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don Salvador Illa Roca, doña Alicia Romero Llano, don Raúl Moreno Montaña, doña María Asunción Escarp Gibert, don Ferrán Pedret Santos, don Ramon Espadaler Parcerisas, doña Judit Alcalá González, don Óscar Aparicio Pedrosa, doña Helena Bayo Delgado, doña Eva Candela López, doña María dels Dolors Carreras Casany, doña Elena Díaz Torrevejano, don Mario García Gómez, doña Rocío García Pérez, don Pol Gibert Horcas, don Cristóbal Gimeno Iglesias, don David González Chanca, doña Rosa María Ibarra Ollé, doña Gemma Lienas Massot, doña Marta Moreta Rovira, doña Esther Niubó Cidoncha, don Óscar Ordeig Molist, don Joaquín Paladella Curto, doña Silvia Paneque Sureda, don David Pérez Ibáñez, don Jordi Riba Colom, doña Mónica Ríos García, doña Silvia Romero Galera, doña Beatriz Silva Gallardo y don Jordi Terrades Santacreu, y, en su virtud:</w:t>
      </w:r>
    </w:p>
    <w:p w14:paraId="43CD3772" w14:textId="77777777" w:rsidR="003754FE" w:rsidRDefault="003754FE" w:rsidP="003754FE">
      <w:pPr>
        <w:pStyle w:val="TextoNormal"/>
      </w:pPr>
    </w:p>
    <w:p w14:paraId="53D32B3E" w14:textId="77777777" w:rsidR="003754FE" w:rsidRDefault="003754FE" w:rsidP="003754FE">
      <w:pPr>
        <w:pStyle w:val="TextoNormal"/>
      </w:pPr>
      <w:r>
        <w:t>1º Declarar que se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14:paraId="0790DDE4" w14:textId="77777777" w:rsidR="003754FE" w:rsidRDefault="003754FE" w:rsidP="003754FE">
      <w:pPr>
        <w:pStyle w:val="TextoNormal"/>
      </w:pPr>
    </w:p>
    <w:p w14:paraId="286CE0F2" w14:textId="39D98BE7" w:rsidR="003754FE" w:rsidRDefault="003754FE" w:rsidP="003754FE">
      <w:pPr>
        <w:pStyle w:val="TextoNormal"/>
      </w:pPr>
      <w:r>
        <w:t>2º Restablecer a los recurrentes en su derecho y, a tal fin, declarar la nulidad del acuerdo de la mesa del Parlamento de Cataluña de 22 de febrero de 2024, por el que se desestima la reconsideración del acuerdo de 20 de febrero de 2024, por el que se admite a trámite la iniciativa legislativa popular relativa a la “Proposición de ley de declaración de la independencia de Cataluña”.</w:t>
      </w:r>
    </w:p>
    <w:p w14:paraId="408E2408" w14:textId="77777777" w:rsidR="003754FE" w:rsidRDefault="003754FE" w:rsidP="003754FE">
      <w:pPr>
        <w:pStyle w:val="TextoNormal"/>
      </w:pPr>
    </w:p>
    <w:p w14:paraId="11A26520" w14:textId="77777777" w:rsidR="003754FE" w:rsidRDefault="003754FE" w:rsidP="003754FE">
      <w:pPr>
        <w:pStyle w:val="TextoNormal"/>
      </w:pPr>
      <w:r>
        <w:t>Publíquese esta sentencia en el “Boletín Oficial del Estado”.</w:t>
      </w:r>
    </w:p>
    <w:p w14:paraId="214CA7A3" w14:textId="77777777" w:rsidR="003754FE" w:rsidRDefault="003754FE" w:rsidP="003754FE">
      <w:pPr>
        <w:pStyle w:val="TextoNormal"/>
      </w:pPr>
      <w:r>
        <w:t>Dada en Madrid, a dieciséis de diciembre de dos mil veinticuatro.</w:t>
      </w:r>
    </w:p>
    <w:p w14:paraId="52453B4C" w14:textId="4500AC73" w:rsidR="003754FE" w:rsidRDefault="003754FE">
      <w:pPr>
        <w:spacing w:after="160" w:line="278" w:lineRule="auto"/>
        <w:rPr>
          <w:rFonts w:ascii="Times New Roman" w:eastAsia="Times New Roman" w:hAnsi="Times New Roman" w:cs="Times New Roman"/>
          <w:sz w:val="24"/>
          <w:szCs w:val="24"/>
          <w:lang w:eastAsia="es-ES"/>
        </w:rPr>
      </w:pPr>
      <w:r>
        <w:br w:type="page"/>
      </w:r>
    </w:p>
    <w:p w14:paraId="3CB371D9" w14:textId="77777777" w:rsidR="003754FE" w:rsidRDefault="003754FE" w:rsidP="003754FE">
      <w:pPr>
        <w:pStyle w:val="TtuloResolucin"/>
      </w:pPr>
      <w:bookmarkStart w:id="64" w:name="SENTENCIA_2024_155"/>
      <w:r>
        <w:t>SENTENCIA 155/2024, de 16 de diciembre de 2024</w:t>
      </w:r>
    </w:p>
    <w:bookmarkEnd w:id="64"/>
    <w:p w14:paraId="5CB5CFD7" w14:textId="77777777" w:rsidR="003754FE" w:rsidRDefault="003754FE" w:rsidP="003754FE">
      <w:pPr>
        <w:pStyle w:val="TtuloResolucin"/>
      </w:pPr>
      <w:r>
        <w:t>Sala Primera</w:t>
      </w:r>
    </w:p>
    <w:p w14:paraId="348F18F9" w14:textId="77777777" w:rsidR="003754FE" w:rsidRDefault="003754FE" w:rsidP="003754FE">
      <w:pPr>
        <w:pStyle w:val="TtuloBOE"/>
      </w:pPr>
      <w:r>
        <w:t>(BOE núm. 21, de 24 de enero de 2025)</w:t>
      </w:r>
    </w:p>
    <w:p w14:paraId="78C36F4D" w14:textId="77777777" w:rsidR="003754FE" w:rsidRDefault="003754FE" w:rsidP="003754FE">
      <w:pPr>
        <w:pStyle w:val="TextoNormalCentrado"/>
      </w:pPr>
      <w:r>
        <w:t>ECLI:ES:TC:2024:155</w:t>
      </w:r>
    </w:p>
    <w:p w14:paraId="3E51DE49" w14:textId="65C95B60" w:rsidR="003754FE" w:rsidRDefault="003754FE" w:rsidP="003754FE">
      <w:pPr>
        <w:pStyle w:val="TextoNormalCentrado"/>
      </w:pPr>
    </w:p>
    <w:p w14:paraId="0460DBFE" w14:textId="77777777" w:rsidR="003754FE" w:rsidRDefault="003754FE" w:rsidP="003754FE">
      <w:pPr>
        <w:pStyle w:val="SntesisDescriptiva"/>
      </w:pPr>
      <w:r>
        <w:t>Recurso de amparo 2068-2024. Promovido por doña Eva María Bueno Flores en relación con las resoluciones administrativas y judiciales que desestimaron su petición de revisión y ampliación de la prestación por nacimiento y cuidado de hijo menor, como madre biológica de familia monoparental.</w:t>
      </w:r>
    </w:p>
    <w:p w14:paraId="0054A624" w14:textId="3B5D465B" w:rsidR="003754FE" w:rsidRDefault="003754FE" w:rsidP="003754FE">
      <w:pPr>
        <w:pStyle w:val="SntesisDescriptiva"/>
      </w:pPr>
    </w:p>
    <w:p w14:paraId="0E310094" w14:textId="77777777" w:rsidR="003754FE" w:rsidRDefault="003754FE" w:rsidP="003754FE">
      <w:pPr>
        <w:pStyle w:val="SntesisAnaltica"/>
      </w:pPr>
      <w:r>
        <w:t>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6AAF340A" w14:textId="7C8179F7" w:rsidR="003754FE" w:rsidRDefault="003754FE" w:rsidP="003754FE">
      <w:pPr>
        <w:pStyle w:val="SntesisAnaltica"/>
      </w:pPr>
    </w:p>
    <w:p w14:paraId="0F39D2BD" w14:textId="38564E0A" w:rsidR="003754FE" w:rsidRDefault="003754FE" w:rsidP="003754FE">
      <w:pPr>
        <w:pStyle w:val="Extracto"/>
      </w:pPr>
      <w:r>
        <w:t>1.</w:t>
      </w:r>
      <w:r>
        <w:tab/>
        <w:t>Aplicación de la doctrina recogida en la STC 140/2024 en materias de permiso por nacimiento y cuidado de menor, y de la correspondiente prestación de la Seguridad Social [FJ 3].</w:t>
      </w:r>
    </w:p>
    <w:p w14:paraId="342CBA6B" w14:textId="77777777" w:rsidR="003754FE" w:rsidRDefault="003754FE" w:rsidP="003754FE">
      <w:pPr>
        <w:pStyle w:val="Extracto"/>
      </w:pPr>
    </w:p>
    <w:p w14:paraId="7D5241F0" w14:textId="77777777" w:rsidR="003754FE" w:rsidRDefault="003754FE" w:rsidP="003754FE">
      <w:pPr>
        <w:pStyle w:val="Extracto"/>
      </w:pPr>
    </w:p>
    <w:p w14:paraId="612780DC" w14:textId="77777777" w:rsidR="003754FE" w:rsidRDefault="003754FE" w:rsidP="003754FE">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5D47477D" w14:textId="7B7F63E0" w:rsidR="003754FE" w:rsidRDefault="003754FE" w:rsidP="003754FE">
      <w:pPr>
        <w:pStyle w:val="TextoNormal"/>
      </w:pPr>
    </w:p>
    <w:p w14:paraId="27324EDE" w14:textId="77777777" w:rsidR="003754FE" w:rsidRDefault="003754FE" w:rsidP="003754FE">
      <w:pPr>
        <w:pStyle w:val="TextoNormalCentrado"/>
        <w:keepNext/>
      </w:pPr>
      <w:r>
        <w:t>EN NOMBRE DEL REY</w:t>
      </w:r>
    </w:p>
    <w:p w14:paraId="6B57B484" w14:textId="1EB52AA9" w:rsidR="003754FE" w:rsidRDefault="003754FE" w:rsidP="003754FE">
      <w:pPr>
        <w:pStyle w:val="TextoNormalCentrado"/>
        <w:keepNext/>
      </w:pPr>
    </w:p>
    <w:p w14:paraId="6B7E7E37" w14:textId="77777777" w:rsidR="003754FE" w:rsidRDefault="003754FE" w:rsidP="003754FE">
      <w:pPr>
        <w:pStyle w:val="TextoNormalCentrado"/>
        <w:keepNext/>
      </w:pPr>
    </w:p>
    <w:p w14:paraId="7901E0B2" w14:textId="77777777" w:rsidR="003754FE" w:rsidRDefault="003754FE" w:rsidP="003754FE">
      <w:pPr>
        <w:pStyle w:val="TextoNormal"/>
      </w:pPr>
      <w:r>
        <w:t>la siguiente</w:t>
      </w:r>
    </w:p>
    <w:p w14:paraId="614B4240" w14:textId="1F396C71" w:rsidR="003754FE" w:rsidRDefault="003754FE" w:rsidP="003754FE">
      <w:pPr>
        <w:pStyle w:val="TextoNormal"/>
      </w:pPr>
    </w:p>
    <w:p w14:paraId="29ED0F47" w14:textId="77777777" w:rsidR="003754FE" w:rsidRDefault="003754FE" w:rsidP="003754FE">
      <w:pPr>
        <w:pStyle w:val="TextoNormalCentrado"/>
        <w:keepNext/>
      </w:pPr>
      <w:r>
        <w:t>SENTENCIA</w:t>
      </w:r>
    </w:p>
    <w:p w14:paraId="16421B82" w14:textId="0126007B" w:rsidR="003754FE" w:rsidRDefault="003754FE" w:rsidP="003754FE">
      <w:pPr>
        <w:pStyle w:val="TextoNormalCentrado"/>
        <w:keepNext/>
      </w:pPr>
    </w:p>
    <w:p w14:paraId="0063AD62" w14:textId="77777777" w:rsidR="003754FE" w:rsidRDefault="003754FE" w:rsidP="003754FE">
      <w:pPr>
        <w:pStyle w:val="TextoNormal"/>
      </w:pPr>
      <w:r>
        <w:t>En el recurso de amparo núm. 2068-2024, promovido por doña Eva María Bueno Flores, representada por la procuradora de los tribunales doña Gloria María Llorente de la Torre y asistida por la letrada doña María de los Ángeles Calzadilla Gamero, contra las resoluciones del Instituto Nacional de la Seguridad Social de 3 de agosto y 17 de octubre de 2022, y el silencio administrativo negativo del Servicio Extremeño de Salud, que desestimaron su petición de acumulación al permiso y prestación por nacimiento y cuidado de su hija que le fueron reconocidos, los que hubieran correspondido al progenitor distinto de la madre biológica en el ámbito de una familia monoparental; la sentencia 261/2023, de 19 de septiembre, dictada por el Juzgado de lo Social núm. 5 de Badajoz en los autos núm. 797-2022, desestimatoria de la demanda interpuesta contra las meritadas resoluciones administrativas, y la sentencia 106/2024, de 23 de febrero, dictada por la Sala de lo Social del Tribunal Superior de Justicia de Extremadura en el recurso de suplicación núm. 589-2023, desestimatoria del recurso interpuesto contra aquella sentencia. Han intervenido la letrada de la administración de la Seguridad Social, en nombre del Instituto Nacional de la Seguridad Social (INSS) y de la Tesorería General de la Seguridad Social, la letrada de la Junta de Extremadura y el Ministerio Fiscal. Ha sido ponente el presidente, don Cándido Conde-Pumpido Tourón.</w:t>
      </w:r>
    </w:p>
    <w:p w14:paraId="0E302E67" w14:textId="67068686" w:rsidR="003754FE" w:rsidRDefault="003754FE" w:rsidP="003754FE">
      <w:pPr>
        <w:pStyle w:val="TextoNormal"/>
      </w:pPr>
    </w:p>
    <w:p w14:paraId="0CCDE314" w14:textId="77777777" w:rsidR="003754FE" w:rsidRDefault="003754FE" w:rsidP="003754FE">
      <w:pPr>
        <w:pStyle w:val="TextoNormalNegritaCentrado"/>
        <w:keepNext/>
      </w:pPr>
      <w:r>
        <w:t>I. Antecedentes</w:t>
      </w:r>
    </w:p>
    <w:p w14:paraId="26456F8A" w14:textId="50D4BFC6" w:rsidR="003754FE" w:rsidRDefault="003754FE" w:rsidP="003754FE">
      <w:pPr>
        <w:pStyle w:val="TextoNormalNegritaCentrado"/>
        <w:keepNext/>
      </w:pPr>
    </w:p>
    <w:p w14:paraId="6876AA7C" w14:textId="193EC7BF" w:rsidR="003754FE" w:rsidRDefault="003754FE" w:rsidP="003754FE">
      <w:pPr>
        <w:pStyle w:val="TextoNormal"/>
      </w:pPr>
      <w:r w:rsidRPr="003754FE">
        <w:rPr>
          <w:rStyle w:val="NumeroAFNegritaCaracter"/>
        </w:rPr>
        <w:t>1</w:t>
      </w:r>
      <w:r>
        <w:t>. Mediante escrito registrado en este tribunal el 22 de marzo de 2024 la representante procesal de doña Eva María Bueno Flores, bajo la dirección letrada de doña María de los Ángeles Calzadilla Gamero, interpuso recurso de amparo contra las resoluciones administrativas y judiciales referidas en el encabezamiento de esta sentencia.</w:t>
      </w:r>
    </w:p>
    <w:p w14:paraId="43D927AF" w14:textId="77777777" w:rsidR="003754FE" w:rsidRDefault="003754FE" w:rsidP="003754FE">
      <w:pPr>
        <w:pStyle w:val="TextoNormal"/>
      </w:pPr>
    </w:p>
    <w:p w14:paraId="66B3D9E6" w14:textId="77777777" w:rsidR="003754FE" w:rsidRDefault="003754FE" w:rsidP="003754FE">
      <w:pPr>
        <w:pStyle w:val="TextoNormal"/>
      </w:pPr>
      <w:r w:rsidRPr="003754FE">
        <w:rPr>
          <w:rStyle w:val="NumeroAFNegritaCaracter"/>
        </w:rPr>
        <w:t>2</w:t>
      </w:r>
      <w:r>
        <w:t>. Son hechos relevantes para dirimir el presente recurso de amparo los que a continuación se exponen:</w:t>
      </w:r>
    </w:p>
    <w:p w14:paraId="57B06954" w14:textId="77777777" w:rsidR="003754FE" w:rsidRDefault="003754FE" w:rsidP="003754FE">
      <w:pPr>
        <w:pStyle w:val="TextoNormal"/>
      </w:pPr>
    </w:p>
    <w:p w14:paraId="7447FEDC" w14:textId="77777777" w:rsidR="003754FE" w:rsidRDefault="003754FE" w:rsidP="003754FE">
      <w:pPr>
        <w:pStyle w:val="TextoNormal"/>
      </w:pPr>
      <w:r>
        <w:t>a) La señora Bueno Flores, empleada del Servicio Extremeño de Salud (SES) y madre biológica de una niña nacida el 21 de julio de 2022, solicitó el 2 de agosto de 2022 al INSS la prestación por nacimiento y cuidado de la menor, que le fue reconocida por resolución dictada al día siguiente por el periodo de 21 de julio a 9 de noviembre de 2022. El 9 de septiembre de 2022, la señora Bueno Flores interpuso reclamación previa a la vía judicial contra la anterior resolución, y contra el silencio administrativo en que incurrió el SES al no dar contestación a la petición del permiso, solicitando que se acumulara al permiso que le fue reconocido el permiso del otro progenitor distinto de la madre biológica, al formar ella y su hija una familia monoparental. Invocaba la sentencia de la Sala de lo Social del Tribunal Superior de Justicia del País Vasco núm. 1217/2020 de 6 de octubre (ECLI:ES:TSJPV:2020:396), que reconocía la acumulación de los permisos de maternidad y paternidad a una trabajadora en el ámbito de una familia monoparental interpretando la normativa reguladora bajo el principio de no discriminación y de interés superior del menor. Por resolución de 17 de octubre de 2022 el INSS desestimó esta reclamación.</w:t>
      </w:r>
    </w:p>
    <w:p w14:paraId="3F8AA6DD" w14:textId="77777777" w:rsidR="003754FE" w:rsidRDefault="003754FE" w:rsidP="003754FE">
      <w:pPr>
        <w:pStyle w:val="TextoNormal"/>
      </w:pPr>
    </w:p>
    <w:p w14:paraId="24E1660A" w14:textId="77777777" w:rsidR="003754FE" w:rsidRDefault="003754FE" w:rsidP="003754FE">
      <w:pPr>
        <w:pStyle w:val="TextoNormal"/>
      </w:pPr>
      <w:r>
        <w:t>b) La señora Bueno Flores presentó demanda contra el INSS y el SES en impugnación de sus resoluciones interesando la ampliación del permiso y prestación correspondiente en los términos indicados. La demanda que fue turnada al Juzgado de lo Social núm. 5 de Badajoz y tras el trámite procesal oportuno seguido en los autos núm. 797-2022, resultó íntegramente desestimada en sentencia núm. 261/2023, de 19 de septiembre. Funda el juzgado su decisión en que la cuestión planteada por la demandante había sido unificada en sentido desfavorable a su pretensión por la STS 169/2023, de 2 de marzo (ECLI:ES:TS:2023:783), del Pleno de la Sala de lo Social del Tribunal Supremo, en la que “tras analizar con rigor las exigencias derivadas del Derecho de la Unión Europea, de la Constitución Española y de los acuerdos y tratados internacionales vigentes en España, concluye que la Ley general de la Seguridad Social cumple con todas las exigencias de dicho grupo normativo, y considera, como último apunte, que es al Poder Legislativo y no al Judicial (creando la norma que no existe) a quien corresponde determinar el alcance y contenido de la protección que debe dispensarse a este tipo de familias”. En virtud de ello, la sentencia confirmó las resoluciones del INSS de 3 de agosto y de 17 de octubre de 2022 y absolvió a dicho organismo y al SES de todas las pretensiones instadas en su contra.</w:t>
      </w:r>
    </w:p>
    <w:p w14:paraId="04DE6E48" w14:textId="77777777" w:rsidR="003754FE" w:rsidRDefault="003754FE" w:rsidP="003754FE">
      <w:pPr>
        <w:pStyle w:val="TextoNormal"/>
      </w:pPr>
    </w:p>
    <w:p w14:paraId="59088ADA" w14:textId="77777777" w:rsidR="003754FE" w:rsidRDefault="003754FE" w:rsidP="003754FE">
      <w:pPr>
        <w:pStyle w:val="TextoNormal"/>
      </w:pPr>
      <w:r>
        <w:t>c) La demandante de amparo interpuso contra esta sentencia recurso de suplicación en el que alegó que la interpretación de la ley verificada en la misma suponía la infracción de preceptos constitucionales, como los arts. 14 y 39 CE, así como de diversas normas nacionales, europeas e internacionales, entre ellas los artículos 3, 4 y 6.2 de la Ley Orgánica 3/2007, de 22 de marzo, para la igualdad efectiva de mujeres y hombres; la Directiva (UE) 2019/1158 del Parlamento Europeo y del Consejo, de 20 de junio de 2019, relativa a la conciliación de la vida familiar y la vida profesional de los progenitores y los cuidadores, y por la que se deroga la Directiva 2010/18/UE del Consejo, en su considerando décimo primero; el art. 1 de la Convención sobre la eliminación de todas las formas de discriminación contra la mujer, de Naciones Unidas de 1979; el artículo 2.2 de la Convención sobre los derechos del niño de 20 de noviembre de 1989, y el artículo 2.1 de la Ley Orgánica 1/1996, de 15 de enero, de protección jurídica del menor, de modificación parcial del Código civil y de la Ley de enjuiciamiento civil; invocaba asimismo la existencia de un vacío en la regulación del artículo 48 del texto refundido de la Ley del estatuto de los trabajadores, aprobado por el Real Decreto Legislativo 2/2015, de 23 de octubre (LET), que generaba desigualdad.</w:t>
      </w:r>
    </w:p>
    <w:p w14:paraId="6C63E278" w14:textId="77777777" w:rsidR="003754FE" w:rsidRDefault="003754FE" w:rsidP="003754FE">
      <w:pPr>
        <w:pStyle w:val="TextoNormal"/>
      </w:pPr>
    </w:p>
    <w:p w14:paraId="45E6125F" w14:textId="77777777" w:rsidR="003754FE" w:rsidRDefault="003754FE" w:rsidP="003754FE">
      <w:pPr>
        <w:pStyle w:val="TextoNormal"/>
      </w:pPr>
      <w:r>
        <w:t xml:space="preserve">El recurso fue desestimado en la sentencia 106/2024, de 23 de febrero, dictada por la Sala de lo Social del Tribunal Superior de Justicia de Extremadura en los autos de suplicación núm. 589-2023. La Sala reitera que la cuestión planteada por la actora en el proceso había sido unificada por la STS 169/2023, de 2 de marzo, concluyendo que el reconocimiento al único progenitor de una familia monoparental de la prestación por nacimiento y cuidado de menor que le hubiera correspondido al otro progenitor en supuestos en los que ya se le ha reconocido dicha prestación propia no resulta una exigencia que derive ni de la Constitución Española, ni de ninguna norma de la Unión Europea, ni de ningún acuerdo o tratado internacional ratificado por España, constituyendo un postulado de </w:t>
      </w:r>
      <w:r w:rsidRPr="003754FE">
        <w:rPr>
          <w:i/>
        </w:rPr>
        <w:t>lege ferenda</w:t>
      </w:r>
      <w:r>
        <w:t xml:space="preserve"> cuya realización correspondería, llegado el caso, al legislador, no a los tribunales. En cuanto a la protección del menor, dice la Sala, constituye un interés que el legislador debe ponderar de modo conjunto con el resto de los derechos e intereses en juego, señalando que el legislador ha efectuado en este caso la ponderación que ha estimado más oportuna y conveniente, entre las muchas posibles, en función de los recursos financieros disponibles y en atención a la prioridad de las necesidades que un Estado social y democrático de Derecho tiene que atender, concluyendo que no existe una vulneración de un teórico derecho del menor de las familias monoparentales a ser cuidado en condiciones de igualdad con respecto a las biparentales, en las que la prestación que corresponde al otro progenitor precisa como condición inexcusable su encuadramiento y alta en la Seguridad Social y cubrir un periodo mínimo de carencia. El interés del menor no ha sido desconocido en la regulación vigente, y no puede ser el único factor decisivo y determinante en esta cuestión.</w:t>
      </w:r>
    </w:p>
    <w:p w14:paraId="239C5473" w14:textId="77777777" w:rsidR="003754FE" w:rsidRDefault="003754FE" w:rsidP="003754FE">
      <w:pPr>
        <w:pStyle w:val="TextoNormal"/>
      </w:pPr>
    </w:p>
    <w:p w14:paraId="4B0189C6" w14:textId="77777777" w:rsidR="003754FE" w:rsidRDefault="003754FE" w:rsidP="003754FE">
      <w:pPr>
        <w:pStyle w:val="TextoNormal"/>
      </w:pPr>
      <w:r>
        <w:t xml:space="preserve">Añade la Sala que la situación de la actora no constituye el único modelo de familia monoparental que existe, siendo uno más de los múltiples supuestos que pueden darse, señalando, sin ánimo de exhaustividad, la maternidad biológica por inseminación artificial, la derivada de una gestación subrogada, la formada por adopción efectuada por un solo progenitor, la derivada de separación o divorcio, o la derivada del fallecimiento de uno de los progenitores, de modo que tampoco la interpretación con perspectiva de género resulta determinante para la resolución del caso, destacando asimismo que algunas familias biparentales, en función del carácter contributivo de la prestación discutida, pueden encontrase </w:t>
      </w:r>
      <w:r w:rsidRPr="003754FE">
        <w:rPr>
          <w:i/>
        </w:rPr>
        <w:t>de facto</w:t>
      </w:r>
      <w:r>
        <w:t xml:space="preserve"> en igual o peor situación que la reclamante.</w:t>
      </w:r>
    </w:p>
    <w:p w14:paraId="09325C88" w14:textId="77777777" w:rsidR="003754FE" w:rsidRDefault="003754FE" w:rsidP="003754FE">
      <w:pPr>
        <w:pStyle w:val="TextoNormal"/>
      </w:pPr>
    </w:p>
    <w:p w14:paraId="75C4562B" w14:textId="6B806098" w:rsidR="003754FE" w:rsidRDefault="003754FE" w:rsidP="003754FE">
      <w:pPr>
        <w:pStyle w:val="TextoNormal"/>
      </w:pPr>
      <w:r>
        <w:t>Notificada que fue la sentencia el 26 de febrero de 2024, la demandante de amparo presentó escrito anunciando su voluntad de interponer recurso de casación para unificación de doctrina. El recurso se tuvo por preparado en virtud de diligencia de ordenación de 11 de marzo de 2024, si bien la demandante desistió del mismo mediante escrito presentado el 22 de marzo de 2024, lo que motivó que la Sala de lo Social del Tribunal Superior de Justicia de Extremadura dictara auto por el que la tuvo por desistida y decretó la firmeza de la resolución recurrida.</w:t>
      </w:r>
    </w:p>
    <w:p w14:paraId="13F5DBB5" w14:textId="77777777" w:rsidR="003754FE" w:rsidRDefault="003754FE" w:rsidP="003754FE">
      <w:pPr>
        <w:pStyle w:val="TextoNormal"/>
      </w:pPr>
    </w:p>
    <w:p w14:paraId="3DCC530C" w14:textId="77777777" w:rsidR="003754FE" w:rsidRDefault="003754FE" w:rsidP="003754FE">
      <w:pPr>
        <w:pStyle w:val="TextoNormal"/>
      </w:pPr>
      <w:r w:rsidRPr="003754FE">
        <w:rPr>
          <w:rStyle w:val="NumeroAFNegritaCaracter"/>
        </w:rPr>
        <w:t>3</w:t>
      </w:r>
      <w:r>
        <w:t>. La demanda de amparo denuncia la vulneración del derecho fundamental a la igualdad y a no sufrir discriminación indirecta por razón de sexo (art. 14 CE) y del interés superior del menor (art. 39 CE).</w:t>
      </w:r>
    </w:p>
    <w:p w14:paraId="68E701E0" w14:textId="77777777" w:rsidR="003754FE" w:rsidRDefault="003754FE" w:rsidP="003754FE">
      <w:pPr>
        <w:pStyle w:val="TextoNormal"/>
      </w:pPr>
    </w:p>
    <w:p w14:paraId="5A3C0E48" w14:textId="77777777" w:rsidR="003754FE" w:rsidRDefault="003754FE" w:rsidP="003754FE">
      <w:pPr>
        <w:pStyle w:val="TextoNormal"/>
      </w:pPr>
      <w:r>
        <w:t>Aduce que el litigio debió resolverse conforme al principio general de no discriminación, y que se ha vulnerado el derecho a la igualdad que consagra la Convención sobre los derechos del niño, de 20 de noviembre de 1989, por cuanto que la atención, cuidado y desarrollo del menor afectado va a sufrir una clara merma respecto del que van a recibir aquellos otros que están encuadrados dentro de un modelo familiar biparental. Se incurre así en discriminación del menor por su propia condición, o por el estado civil o situación de su progenitor, introduciéndose un sesgo que quebranta el desarrollo del niño nacido en el seno de una familia monoparental al quedar atendido menos tiempo y con menor implicación personal de quien ha sido considerado su progenitor.</w:t>
      </w:r>
    </w:p>
    <w:p w14:paraId="19E4F5DE" w14:textId="77777777" w:rsidR="003754FE" w:rsidRDefault="003754FE" w:rsidP="003754FE">
      <w:pPr>
        <w:pStyle w:val="TextoNormal"/>
      </w:pPr>
    </w:p>
    <w:p w14:paraId="2816007E" w14:textId="77777777" w:rsidR="003754FE" w:rsidRDefault="003754FE" w:rsidP="003754FE">
      <w:pPr>
        <w:pStyle w:val="TextoNormal"/>
      </w:pPr>
      <w:r>
        <w:t xml:space="preserve">Aduce asimismo que el mayor número de integrantes de familias monoparentales corresponde a la mujer, por lo que dispensar un trato dispar a los hogares monoparentales representa una discriminación indirecta de la mujer. También supone introducir el estado civil de la persona como elemento determinante de una situación </w:t>
      </w:r>
      <w:r w:rsidRPr="003754FE">
        <w:rPr>
          <w:i/>
        </w:rPr>
        <w:t>de facto</w:t>
      </w:r>
      <w:r>
        <w:t xml:space="preserve"> (solteros, viudas o rupturas matrimoniales) y redunda en un trato dispar en los derechos de conciliación y a la vida familiar.</w:t>
      </w:r>
    </w:p>
    <w:p w14:paraId="5DD0DFF6" w14:textId="77777777" w:rsidR="003754FE" w:rsidRDefault="003754FE" w:rsidP="003754FE">
      <w:pPr>
        <w:pStyle w:val="TextoNormal"/>
      </w:pPr>
    </w:p>
    <w:p w14:paraId="732F1940" w14:textId="77777777" w:rsidR="003754FE" w:rsidRDefault="003754FE" w:rsidP="003754FE">
      <w:pPr>
        <w:pStyle w:val="TextoNormal"/>
      </w:pPr>
      <w:r>
        <w:t>Aun reconociendo que la suspensión del contrato de trabajo tiene repercusión en la actividad empresarial, la acumulación de todo el periodo de suspensión en un solo trabajador no deja de ser equivalente al periodo que se aplica cuando nos encontramos ante una dualidad de trabajadores.</w:t>
      </w:r>
    </w:p>
    <w:p w14:paraId="25193EC2" w14:textId="77777777" w:rsidR="003754FE" w:rsidRDefault="003754FE" w:rsidP="003754FE">
      <w:pPr>
        <w:pStyle w:val="TextoNormal"/>
      </w:pPr>
    </w:p>
    <w:p w14:paraId="7C8025AA" w14:textId="77777777" w:rsidR="003754FE" w:rsidRDefault="003754FE" w:rsidP="003754FE">
      <w:pPr>
        <w:pStyle w:val="TextoNormal"/>
      </w:pPr>
      <w:r>
        <w:t>Afirma asimismo que la ley debe ser interpretada conforme a la primacía del interés superior del menor reconocida en nuestra Constitución (art. 39), la legislación nacional sectorial (Ley Orgánica 8/2015, de 22 de julio, de modificación del sistema de protección a la infancia y a la adolescencia), el Derecho de la Unión Europea [Directiva (UE) 2019/1158 del Parlamento Europeo y del Consejo, de 20 de junio de 2019] y los instrumentos internacionales ratificados por nuestro país, en atención a lo cual insta a que se verifique una interpretación integrada de los artículos 177 y concordantes de la Ley general de la Seguridad Social (LGSS) y del artículo 48.4 LET, a la luz de los artículos 39 CE, 24.2 de la Carta de los derechos fundamentales de la Unión Europea, 3.1 de la Convención sobre los derechos del niño, y 2 de la Ley Orgánica 1/1996, de 15 de enero, de protección jurídica del menor, así como del artículo 3 del Código civil (CC), esgrimiendo como argumento de refuerzo determinados pronunciamientos de la Sala de lo Social del Tribunal Supremo que realizaron interpretaciones integradoras de la normativa sobre suspensión contractual y prestación por maternidad basadas en el interés superior del menor en el contexto de la “gestación por sustitución”. También invoca precedentes en los que la misma Sala ha interpretado la legislación protectora de la Seguridad Social con perspectiva de género.</w:t>
      </w:r>
    </w:p>
    <w:p w14:paraId="2177DA80" w14:textId="77777777" w:rsidR="003754FE" w:rsidRDefault="003754FE" w:rsidP="003754FE">
      <w:pPr>
        <w:pStyle w:val="TextoNormal"/>
      </w:pPr>
    </w:p>
    <w:p w14:paraId="4D9D35A8" w14:textId="77777777" w:rsidR="003754FE" w:rsidRDefault="003754FE" w:rsidP="003754FE">
      <w:pPr>
        <w:pStyle w:val="TextoNormal"/>
      </w:pPr>
      <w:r>
        <w:t>En atención a lo expuesto la demanda de amparo solicita que se declare la nulidad de la sentencia 106/2024, de 23 de febrero, dictada por la Sala de lo Social del Tribunal Superior de Justicia de Extremadura y, en consecuencia, que se reconozca el derecho de la demandante a disfrutar de diez semanas adicionales a la prestación por nacimiento y cuidado de hijo en familia monoparental, con los efectos inherentes a dicho reconocimiento.</w:t>
      </w:r>
    </w:p>
    <w:p w14:paraId="2ADEEBC0" w14:textId="77777777" w:rsidR="003754FE" w:rsidRDefault="003754FE" w:rsidP="003754FE">
      <w:pPr>
        <w:pStyle w:val="TextoNormal"/>
      </w:pPr>
    </w:p>
    <w:p w14:paraId="7799CBF4" w14:textId="38BC5E63" w:rsidR="003754FE" w:rsidRDefault="003754FE" w:rsidP="003754FE">
      <w:pPr>
        <w:pStyle w:val="TextoNormal"/>
      </w:pPr>
      <w:r>
        <w:t>En el otrosí primero de la demanda de amparo se aduce, en términos de justificación de la especial trascendencia constitucional, que se está planteando un problema o una faceta de un derecho fundamental susceptible de amparo sobre el que no hay doctrina del Tribunal Constitucional, pues “lo cierto [es] que no hemos encontrado ningún pronunciamiento de nuestro más Alto Tribunal que resuelva si, en caso de una familia monoparental, se le conceda la prestación por nacimiento y cuidado de hijo, acumulándose al periodo del otro progenitor”. Señala que existen numerosos casos, de los que cita sentencias de las salas de lo social de tribunales superiores de justicia de varias comunidades autónomas, en los que se ha resuelto la misma cuestión de manera divergente, estimando unos la pretensión deducida, y desestimándola otros, observándose las mismas contradicciones en el orden contencioso-administrativo, por lo que considera que es necesario dejar zanjada esta controversia.</w:t>
      </w:r>
    </w:p>
    <w:p w14:paraId="4DE50400" w14:textId="77777777" w:rsidR="003754FE" w:rsidRDefault="003754FE" w:rsidP="003754FE">
      <w:pPr>
        <w:pStyle w:val="TextoNormal"/>
      </w:pPr>
    </w:p>
    <w:p w14:paraId="11D48BA2" w14:textId="614DADE3" w:rsidR="003754FE" w:rsidRDefault="003754FE" w:rsidP="003754FE">
      <w:pPr>
        <w:pStyle w:val="TextoNormal"/>
      </w:pPr>
      <w:r w:rsidRPr="003754FE">
        <w:rPr>
          <w:rStyle w:val="NumeroAFNegritaCaracter"/>
        </w:rPr>
        <w:t>4</w:t>
      </w:r>
      <w:r>
        <w:t>. Mediante providencia de 9 de septiembre de 2024 la Sección Primera de este tribunal acordó admitir a trámite el presente recurso de amparo apreciando que concurría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recabar de la Sala de lo Social del Tribunal Superior de Justicia de Extremadura la remisión de certificación o fotocopia adverada de las actuaciones correspondientes al recurso de suplicación núm. 589-2023, y del Juzgado de lo Social núm. 5 de Badajoz la remisión de certificación o fotocopia adverada de las actuaciones correspondientes a los autos de Seguridad Social núm. 797-2022, debiendo previamente emplazarse, para que en el plazo de diez días pudieran comparecer, si lo desearan, en el recurso de amparo a quienes hubieran sido parte en el procedimiento, excepto la parte recurrente en amparo.</w:t>
      </w:r>
    </w:p>
    <w:p w14:paraId="45D3CE73" w14:textId="77777777" w:rsidR="003754FE" w:rsidRDefault="003754FE" w:rsidP="003754FE">
      <w:pPr>
        <w:pStyle w:val="TextoNormal"/>
      </w:pPr>
    </w:p>
    <w:p w14:paraId="526A48DC" w14:textId="300BFAF0" w:rsidR="003754FE" w:rsidRDefault="003754FE" w:rsidP="003754FE">
      <w:pPr>
        <w:pStyle w:val="TextoNormal"/>
      </w:pPr>
      <w:r w:rsidRPr="003754FE">
        <w:rPr>
          <w:rStyle w:val="NumeroAFNegritaCaracter"/>
        </w:rPr>
        <w:t>5</w:t>
      </w:r>
      <w:r>
        <w:t>. Por diligencia de ordenación de 7 de octubre de 2024 se tuvieron por recibidos los testimonios de las actuaciones remitidos por el Juzgado de lo Social núm. 5 de Badajoz y la Sala de lo Social del Tribunal Superior de Justicia de Extremadura, así como los escritos de la letrada de la administración de la Seguridad Social, que se persona en nombre del Instituto Nacional de la Seguridad Social, que tuvieron entrada en el registro del Tribunal el 27 de septiembre de 2024, y del letrado de la Junta de Extremadura, que se persona en nombre de la Abogacía General de la Junta de Extremadura, que tuvieron entrada en el Tribunal Constitucional el 4 de octubre de 2024, teniéndoles por personados y partes, y en virtud del art. 52 LOTC, se acordó dar vista de todas las actuaciones al Ministerio Fiscal y a las partes por un plazo común de veinte días para que presentaran las alegaciones que a su derecho conviniera.</w:t>
      </w:r>
    </w:p>
    <w:p w14:paraId="4D230AC1" w14:textId="77777777" w:rsidR="003754FE" w:rsidRDefault="003754FE" w:rsidP="003754FE">
      <w:pPr>
        <w:pStyle w:val="TextoNormal"/>
      </w:pPr>
    </w:p>
    <w:p w14:paraId="14272ECB" w14:textId="3E3AEDA6" w:rsidR="003754FE" w:rsidRDefault="003754FE" w:rsidP="003754FE">
      <w:pPr>
        <w:pStyle w:val="TextoNormal"/>
      </w:pPr>
      <w:r w:rsidRPr="003754FE">
        <w:rPr>
          <w:rStyle w:val="NumeroAFNegritaCaracter"/>
        </w:rPr>
        <w:t>6</w:t>
      </w:r>
      <w:r>
        <w:t>. El 14 de octubre de 2024 la parte demandante presentó alegaciones en las que afirmó y ratificó íntegramente el escrito de demanda.</w:t>
      </w:r>
    </w:p>
    <w:p w14:paraId="41A2E3FC" w14:textId="77777777" w:rsidR="003754FE" w:rsidRDefault="003754FE" w:rsidP="003754FE">
      <w:pPr>
        <w:pStyle w:val="TextoNormal"/>
      </w:pPr>
    </w:p>
    <w:p w14:paraId="38BE28E7" w14:textId="77777777" w:rsidR="003754FE" w:rsidRDefault="003754FE" w:rsidP="003754FE">
      <w:pPr>
        <w:pStyle w:val="TextoNormal"/>
      </w:pPr>
      <w:r w:rsidRPr="003754FE">
        <w:rPr>
          <w:rStyle w:val="NumeroAFNegritaCaracter"/>
        </w:rPr>
        <w:t>7</w:t>
      </w:r>
      <w:r>
        <w:t>. El 31 de octubre de 2024 la letrada de la administración de la Seguridad Social presentó alegaciones en las que solicitó la desestimación del recurso de amparo, declarando ajustadas a la Constitución las resoluciones administrativas del INSS y las sentencias que confirmaron dicha actuación administrativa: (i) por no haber sufrido la recurrente discriminación alguna; (ii) por no ser inconstitucional el art. 48.4 LET; (iii) porque la regulación establecida en el Real Decreto-ley 5/2023, de 28 de junio, por el que se adoptan y prorrogan determinadas medidas de respuesta a las consecuencias económicas y sociales de la guerra de Ucrania, de apoyo a la reconstrucción de la isla de La Palma y a otras situaciones de vulnerabilidad, al transponer la Directiva (UE) 2019/1158 del Parlamento Europeo y del Consejo, de 20 de junio de 2019, es coincidente con esta solución; (iv) porque el Real Decreto-ley 7/2023, de 19 de diciembre, por el que se adoptan medidas urgentes, para completar la transposición de la Directiva (UE) 2019/1158, tampoco incluyó modificación alguna en materia prestacional ni contractual respecto de las familias monoparentales y (v) por no ser inconstitucional el art. 177 LGSS.</w:t>
      </w:r>
    </w:p>
    <w:p w14:paraId="4F7A4C10" w14:textId="77777777" w:rsidR="003754FE" w:rsidRDefault="003754FE" w:rsidP="003754FE">
      <w:pPr>
        <w:pStyle w:val="TextoNormal"/>
      </w:pPr>
    </w:p>
    <w:p w14:paraId="6B32311D" w14:textId="77777777" w:rsidR="003754FE" w:rsidRDefault="003754FE" w:rsidP="003754FE">
      <w:pPr>
        <w:pStyle w:val="TextoNormal"/>
      </w:pPr>
      <w:r>
        <w:t>El escrito de alegaciones aduce en primer lugar, tras exponer de manera sintética los antecedentes del caso, que en la demanda de amparo no se ha justificado la especial trascendencia constitucional, porque no hay ningún derecho fundamental que resulte vulnerado por el hecho de no reconocer una ampliación de dieciséis semanas de una prestación de la Seguridad Social. Sostiene que el verdadero fundamento del recurso no es la discriminación por razón de sexo o estado civil, sino una cuestión económica. La protección social, económica y jurídica de la familia y la protección integral de los hijos regulada en el art. 39 CE, y el régimen público de Seguridad Social contemplado en el art. 41 CE, preceptos invocados por la actora, no son derechos fundamentales protegidos por el recurso de amparo, sino principios rectores de la política social. Sobre la alegada vulneración del derecho de igualdad por haber sido discriminada por razón de su estado civil y por sus circunstancias personales y familiares, manifiesta que carece de fundamento, al no atentar una norma como la del art. 48.4 LET contra ninguno de esos dos derechos. La igualdad ante la ley solo es posible predicarla en situaciones iguales y la situación de la actora no es parangonable con la de las familias biparentales.</w:t>
      </w:r>
    </w:p>
    <w:p w14:paraId="474D212C" w14:textId="77777777" w:rsidR="003754FE" w:rsidRDefault="003754FE" w:rsidP="003754FE">
      <w:pPr>
        <w:pStyle w:val="TextoNormal"/>
      </w:pPr>
    </w:p>
    <w:p w14:paraId="7500ED7F" w14:textId="77777777" w:rsidR="003754FE" w:rsidRDefault="003754FE" w:rsidP="003754FE">
      <w:pPr>
        <w:pStyle w:val="TextoNormal"/>
      </w:pPr>
      <w:r>
        <w:t>Hace a continuación diversas consideraciones sobre la regulación de la prestación por nacimiento y cuidado del menor del art. 177 LGSS, concluyendo que la misma sigue el curso de la suspensión del contrato de trabajo de acuerdo con lo previsto en el art. 48 LET, y no al revés. Se reconoce un permiso de dieciséis semanas a la madre biológica, para asegurar la protección de la salud de la madre, y otro permiso de dieciséis semanas al progenitor distinto de la madre biológica, de las que seis semanas deberán coincidir obligatoriamente con las de la madre biológica, para el cumplimiento de los deberes de cuidado previstos en el art. 68 CC, de lo que se colige, por un lado, que en ningún caso podrían reconocerse dieciséis semanas adicionales a las dieciséis primeras, so pena de infringirse lo dispuesto en el art. 48.4. LET al deberse prescindir de las seis semanas coincidentes en el caso de la existencia de dos progenitores, y que solo podrían reconocerse diez semanas más y no dieciséis como se pretende. Por otro lado la finalidad del permiso para la madre y para progenitor distinto de la madre biológica no es la misma, lo que justifica un diferente tratamiento.</w:t>
      </w:r>
    </w:p>
    <w:p w14:paraId="12D1641F" w14:textId="77777777" w:rsidR="003754FE" w:rsidRDefault="003754FE" w:rsidP="003754FE">
      <w:pPr>
        <w:pStyle w:val="TextoNormal"/>
      </w:pPr>
    </w:p>
    <w:p w14:paraId="5643AF70" w14:textId="77777777" w:rsidR="003754FE" w:rsidRDefault="003754FE" w:rsidP="003754FE">
      <w:pPr>
        <w:pStyle w:val="TextoNormal"/>
      </w:pPr>
      <w:r>
        <w:t>En nuestro ordenamiento jurídico se ha previsto que la retribución en las suspensiones del contrato de trabajo derivadas de los permisos de maternidad y paternidad, y en algunos supuestos de permisos parentales, se realice a través de prestaciones del sistema de la Seguridad Social. Lo que no se ha previsto es el pago de estas prestaciones cuando no existe suspensión de la relación laboral, y aún menos cuando no se cumplen los requisitos de alta y cotización para que puedan ser causadas. Se han previsto ampliaciones del permiso en determinadas situaciones, como el nacimiento de hijos a partir del segundo, en supuestos en que el menor presente discapacidad, o en que el menor precise de hospitalización tras el parto. El carácter del permiso, en la regulación vigente, emanada del Real Decreto-ley 6/2019, de 1 de marzo, de medidas urgentes para garantía de la igualdad de trato y de oportunidades entre mujeres y hombres en el empleo y la ocupación, “no atenta en modo alguno contra el principio de igualdad. En todo caso, favorece a las mujeres de familias monoparentales frente a los varones en el mismo tipo de familias, pero sin que ello suponga una discriminación, por cuanto la diferencia está basada en circunstancias puramente naturales: la maternidad biológica, cuya protección por motivos exclusivamente de protección de la salud de la madre difiere notablemente de la protección dispensada tanto a los varones en familias monoparentales como a los de familias biparentales, en los que la finalidad del permiso es ‘la corresponsabilidad en las responsabilidades domésticas y en el cuidado y atención de los descendientes y otras personas a cargo’, como reza el art. 68 CC”.</w:t>
      </w:r>
    </w:p>
    <w:p w14:paraId="202883A1" w14:textId="77777777" w:rsidR="003754FE" w:rsidRDefault="003754FE" w:rsidP="003754FE">
      <w:pPr>
        <w:pStyle w:val="TextoNormal"/>
      </w:pPr>
    </w:p>
    <w:p w14:paraId="5B921910" w14:textId="77777777" w:rsidR="003754FE" w:rsidRDefault="003754FE" w:rsidP="003754FE">
      <w:pPr>
        <w:pStyle w:val="TextoNormal"/>
      </w:pPr>
      <w:r>
        <w:t xml:space="preserve">La letrada de la administración de la Seguridad Social, en apoyo de su planteamiento del carácter no discriminatorio de la normativa española, cita seguidamente jurisprudencia emanada de la Sala de lo Social del Tribunal Supremo que en asuntos semejantes ha dado respuesta adversa a la pretensión de ampliación de las prestaciones de maternidad en el ámbito de familias monoparentales [entre ellas, las SSTS 169/2023, de 2 de marzo; 434/2023, de 14 de junio (ECLI:ES:TS:2023:3053), y 1051/2023, de 29 de noviembre (ECLI:ES:TS:2023:5500)], así como doctrina constitucional que no reconoció carácter discriminatorio a la posibilidad de dar un tratamiento dispar a mujeres y hombres en esta materia (SSTC 75/2011, de 19 de mayo; 111/2018, de 17 de octubre, y 2/2019, de 14 de enero) así como doctrina del Tribunal de Justicia de la Unión Europea [STJUE de 19 de septiembre de 2013, asunto C-5/12, </w:t>
      </w:r>
      <w:r w:rsidRPr="003754FE">
        <w:rPr>
          <w:i/>
        </w:rPr>
        <w:t>Marc Betriu Montull c. Instituto Nacional de la Seguridad Social (INSS)</w:t>
      </w:r>
      <w:r>
        <w:t>] que establece unos estándares de protección de la trabajadora en caso de nacimiento de hijo que son holgadamente cumplidos por la legislación española. Cita asimismo normativa de la Unión Europea, como la Directiva (UE) 2019/1158 del Parlamento Europeo y del Consejo, de 20 de junio de 2019, relativa a la conciliación de la vida familiar y la vida profesional de los progenitores y los cuidadores. Aduce que de los tratados internacionales ratificados por España cuyo objeto es la protección de las mujeres trabajadoras y de los niños no se desprende la obligación de reconocer prestaciones al margen de los requisitos establecidos en la ley, imponiendo únicamente que estos requisitos se exijan a todos los beneficiarios, y que el establecimiento de un permiso por paternidad no viene impuesto hasta la fecha por ninguna norma de Derecho internacional que obligue a nuestro país, ni por el Derecho de la Unión Europea, dado que obedece a una finalidad tuitiva diferente: favorecer la conciliación de la vida personal, familiar y laboral, fomentando la corresponsabilidad de madres y padres en el cuidado de los hijos comunes (art. 39.3 CE). No se trata, como es obvio, de proteger la salud del progenitor distinto a la madre biológica, sino de contribuir a un reparto más equilibrado de las responsabilidades familiares en el cuidado de los hijos.</w:t>
      </w:r>
    </w:p>
    <w:p w14:paraId="1C2FF592" w14:textId="77777777" w:rsidR="003754FE" w:rsidRDefault="003754FE" w:rsidP="003754FE">
      <w:pPr>
        <w:pStyle w:val="TextoNormal"/>
      </w:pPr>
    </w:p>
    <w:p w14:paraId="405206C4" w14:textId="77777777" w:rsidR="003754FE" w:rsidRDefault="003754FE" w:rsidP="003754FE">
      <w:pPr>
        <w:pStyle w:val="TextoNormal"/>
      </w:pPr>
      <w:r>
        <w:t xml:space="preserve">Al abordar la alegada vulneración del principio de igualdad, la letrada de la administración de la Seguridad Social reitera doctrina constitucional que al analizar el contenido y ubicación del art. 41 CE declara que el sistema de Seguridad Social y sus prestaciones son de estricta configuración legal, reconociéndose al legislador un amplio margen de libertad para configurarlo en función de los recursos disponibles para atender las múltiples necesidades sociales, sin que este tribunal pueda interferir con decisiones susceptibles de alterar el equilibrio económico financiero del conjunto del sistema, salvo que la diferencia de tratamiento esté desprovista de toda justificación objetiva o razonable (STC 78/2004, de 29 de abril). En definitiva, “como advierte la STC 197/2003, de 30 de octubre, en su fundamento jurídico 6 </w:t>
      </w:r>
      <w:r w:rsidRPr="003754FE">
        <w:rPr>
          <w:i/>
        </w:rPr>
        <w:t>in fine</w:t>
      </w:r>
      <w:r>
        <w:t>, si bien la cobertura de las situaciones de necesidad de los colectivos sociales ‘es un ideal claramente deseable a la luz de los principios rectores de la política social y económica que nuestra Constitución asume en sus arts. 41 y 50 y que han de informar la legislación positiva —art.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 FJ 6)”.</w:t>
      </w:r>
    </w:p>
    <w:p w14:paraId="44FAF653" w14:textId="77777777" w:rsidR="003754FE" w:rsidRDefault="003754FE" w:rsidP="003754FE">
      <w:pPr>
        <w:pStyle w:val="TextoNormal"/>
      </w:pPr>
    </w:p>
    <w:p w14:paraId="78122669" w14:textId="77777777" w:rsidR="003754FE" w:rsidRDefault="003754FE" w:rsidP="003754FE">
      <w:pPr>
        <w:pStyle w:val="TextoNormal"/>
      </w:pPr>
      <w:r>
        <w:t>Descarta igualmente que se haya producido discriminación por razón de estado civil, por la condición de familia monoparental, ni que se haya afectado el interés superior del menor. La personal y libre decisión de quien decide formar una familia monoparental no resulta vulnerada por la circunstancia de que el legislador haya dotado a este tipo de familias de una protección distinta a la de las familias biparentales en el ámbito laboral y prestacional de la Seguridad Social. El establecimiento de un permiso de mayor duración en favor de las progenitoras biológicas en las familias monoparentales podría introducir incluso una clara desventaja en la contratación de estas mujeres pues se ahondaría en el estereotipo de género que produciría un efecto contrario al pretendido por el Real Decreto-ley 6/2019 y por la Directiva (UE) 2019/1158, al incrementar el sobrecoste que puede suponer para un empleador contratar a una mujer en comparación con el hombre, socavando el fin pretendido de igualdad efectiva entre ambos sexos y los derechos de conciliación de la vida personal, familiar y laboral. Si se reconociera un mayor número de semanas a una mujer de una familia monoparental, existiría una clara discriminación respecto a las mujeres en las familias biparentales, toda vez, que estas últimas disfrutarían de menos semanas que las primeras. Y en el mismo sentido, si se reconociera este derecho a la mujer de familia monoparental, habría que reconocer el mismo derecho al hombre de una familia monoparental, lo cual sería contrario a la finalidad de la norma.</w:t>
      </w:r>
    </w:p>
    <w:p w14:paraId="3FB49F03" w14:textId="77777777" w:rsidR="003754FE" w:rsidRDefault="003754FE" w:rsidP="003754FE">
      <w:pPr>
        <w:pStyle w:val="TextoNormal"/>
      </w:pPr>
    </w:p>
    <w:p w14:paraId="72ABECA6" w14:textId="77777777" w:rsidR="003754FE" w:rsidRDefault="003754FE" w:rsidP="003754FE">
      <w:pPr>
        <w:pStyle w:val="TextoNormal"/>
      </w:pPr>
      <w:r>
        <w:t>El interés superior del menor tampoco resulta afectado por las decisiones impugnadas, pues aunque pudiera ser cierto que para el menor la atención y el apego de los dos progenitores puede resultar más beneficioso, no es algo que pueda sustituirse, ni algo que deba ser necesariamente protegido por el sistema de la Seguridad Social, salvo en circunstancias excepcionales. Las familias o los hogares “biparentales” o “monoparentales”, no son en principio los titulares de los derechos, siéndolo única y exclusivamente las personas, que con plena libertad pueden adoptar las decisiones vitales que consideren pertinentes con las consecuencias jurídicas que les sean de aplicación.</w:t>
      </w:r>
    </w:p>
    <w:p w14:paraId="1CFFAB27" w14:textId="77777777" w:rsidR="003754FE" w:rsidRDefault="003754FE" w:rsidP="003754FE">
      <w:pPr>
        <w:pStyle w:val="TextoNormal"/>
      </w:pPr>
    </w:p>
    <w:p w14:paraId="075AF7EC" w14:textId="77777777" w:rsidR="003754FE" w:rsidRDefault="003754FE" w:rsidP="003754FE">
      <w:pPr>
        <w:pStyle w:val="TextoNormal"/>
      </w:pPr>
      <w:r>
        <w:t>Descarta asimismo la discriminación por razón de sexo, que la demanda de amparo funda en que las familias monoparentales están formadas mayoritariamente por mujeres, pues tal decisión es asumida libremente por mujeres y hombres que desean formar este tipo de familias, como lo es la decisión de formar familias biparentales entre personas del mismo o distinto sexo, sin que ni las empresas ni las instituciones tengan ni deban tener ninguna responsabilidad al respecto. La prestación de nacimiento y cuidado del menor establecida legalmente se regula sin distinción alguna para todos los menores nacidos en familias monoparentales de uno u otro género.</w:t>
      </w:r>
    </w:p>
    <w:p w14:paraId="55D2458C" w14:textId="77777777" w:rsidR="003754FE" w:rsidRDefault="003754FE" w:rsidP="003754FE">
      <w:pPr>
        <w:pStyle w:val="TextoNormal"/>
      </w:pPr>
    </w:p>
    <w:p w14:paraId="269B7366" w14:textId="4BB87975" w:rsidR="003754FE" w:rsidRDefault="003754FE" w:rsidP="003754FE">
      <w:pPr>
        <w:pStyle w:val="TextoNormal"/>
      </w:pPr>
      <w:r>
        <w:t>En conclusión, manifiesta la letrada de la administración de la Seguridad Social que no es acorde al derecho constitucional, a la igualdad y no discriminación contemplado en el artículo 14 CE, que los progenitores de familias monoparentales vean automáticamente incrementada la duración de la prestación por nacimiento y cuidado de menor en diez semanas más (no dieciséis como solicita la recurrente), cuando al segundo progenitor de una familia biparental se le exige para ello estar de alta en el sistema de la Seguridad Social y tener un determinado número de días cotizados. Tampoco es acorde al derecho constitucional a la igualdad y no discriminación contemplada en el artículo 14 CE y a los principios rectores de la política social y económica a que se refiere el artículo 39.2 CE, garantizar, fuera del nivel asistencial, a las familias monoparentales una protección contributiva que no tienen las familias biparentales. No puede considerarse inconstitucional un precepto como el art. 48.4 LET, o el artículo 49 a) y c) de la Ley del estatuto básico del empleado público, de idéntico contenido, en la redacción dada por el Real Decreto-ley 6/2019, que no suprime derecho alguno a los progenitores de familias monoparentales, ni perjudica en modo alguno al menor pudiendo únicamente beneficiarle, y cuyo principal objetivo es intentar garantizar la efectividad de la igualdad de trato y de oportunidades entre mujeres y hombres en el empleo y la ocupación, a la vez de promover la conciliación de la vida laboral y familiar de las personas trabajadoras y fomentar la corresponsabilidad de mujeres y hombres en el cuidado y atención de los hijos menores.</w:t>
      </w:r>
    </w:p>
    <w:p w14:paraId="665C9FCD" w14:textId="77777777" w:rsidR="003754FE" w:rsidRDefault="003754FE" w:rsidP="003754FE">
      <w:pPr>
        <w:pStyle w:val="TextoNormal"/>
      </w:pPr>
    </w:p>
    <w:p w14:paraId="1A9749A8" w14:textId="77777777" w:rsidR="003754FE" w:rsidRDefault="003754FE" w:rsidP="003754FE">
      <w:pPr>
        <w:pStyle w:val="TextoNormal"/>
      </w:pPr>
      <w:r w:rsidRPr="003754FE">
        <w:rPr>
          <w:rStyle w:val="NumeroAFNegritaCaracter"/>
        </w:rPr>
        <w:t>8</w:t>
      </w:r>
      <w:r>
        <w:t>. El 6 de noviembre de 2024 la letrada de la Junta de Extremadura presentó alegaciones en las que solicitó con carácter principal la inadmisión del recurso de amparo por falta de agotamiento de la vía judicial previa, y subsidiariamente su desestimación íntegra por razones de fondo.</w:t>
      </w:r>
    </w:p>
    <w:p w14:paraId="1FA4DFD7" w14:textId="77777777" w:rsidR="003754FE" w:rsidRDefault="003754FE" w:rsidP="003754FE">
      <w:pPr>
        <w:pStyle w:val="TextoNormal"/>
      </w:pPr>
    </w:p>
    <w:p w14:paraId="7C324FB2" w14:textId="77777777" w:rsidR="003754FE" w:rsidRDefault="003754FE" w:rsidP="003754FE">
      <w:pPr>
        <w:pStyle w:val="TextoNormal"/>
      </w:pPr>
      <w:r>
        <w:t>En efecto, la letrada opone, en primer lugar, el óbice procesal de falta de agotamiento de la vía judicial previa por haber desistido la demandante del recurso de casación para unificación de doctrina que había anunciado, y se le había tenido por preparado, contra la sentencia 106/2024, de la Sala de lo Social del Tribunal Superior de Justicia de Extremadura. En el escrito de preparación citaba sentencias de distintos tribunales superiores de justicia en los que se daba respuesta contradictoria a la cuestión de la ampliación de la prestación de nacimiento y cuidado del menor en familia monoparental a través de la acumulación en la madre biológica de los permisos por cuidado y nacimiento por hijo que hubieran correspondido al otro progenitor. La existencia de estas sentencias contradictorias acreditaría la necesidad de agotar la vía impugnativa que había emprendido.</w:t>
      </w:r>
    </w:p>
    <w:p w14:paraId="74883E41" w14:textId="77777777" w:rsidR="003754FE" w:rsidRDefault="003754FE" w:rsidP="003754FE">
      <w:pPr>
        <w:pStyle w:val="TextoNormal"/>
      </w:pPr>
    </w:p>
    <w:p w14:paraId="4A64256E" w14:textId="77777777" w:rsidR="003754FE" w:rsidRDefault="003754FE" w:rsidP="003754FE">
      <w:pPr>
        <w:pStyle w:val="TextoNormal"/>
      </w:pPr>
      <w:r>
        <w:t>Argumenta asimismo que desde una perspectiva jurídico material procedería la desestimación de la demanda de amparo, partiendo de que la prestación por maternidad es una prestación contributiva de la que serán beneficiarias las personas incluidas en el régimen general de la Seguridad Social, cualquiera que sea su sexo, que disfruten de los descansos previstos en el artículo 48 LET, siempre que además del alta o situación legalmente asimilada, reúnan el periodo de carencia que se determina en el propio precepto. Además, la cuantía de la prestación depende de las bases de cotización del empleado (art. 179 LGSS) y su subsistencia se condiciona a la no realización de otro trabajo por cuenta propia o ajena (art. 180 LGSS).</w:t>
      </w:r>
    </w:p>
    <w:p w14:paraId="40FF15D1" w14:textId="77777777" w:rsidR="003754FE" w:rsidRDefault="003754FE" w:rsidP="003754FE">
      <w:pPr>
        <w:pStyle w:val="TextoNormal"/>
      </w:pPr>
    </w:p>
    <w:p w14:paraId="73308015" w14:textId="77777777" w:rsidR="003754FE" w:rsidRDefault="003754FE" w:rsidP="003754FE">
      <w:pPr>
        <w:pStyle w:val="TextoNormal"/>
      </w:pPr>
      <w:r>
        <w:t>Cita doctrina constitucional sobre el derecho a la igualdad en la aplicación de la ley (art. 14 CE), que exige que el órgano judicial no trate o juzgue de forma diferente sin justificación suficiente y razonable supuestos de hecho idénticos. La verificación de la igualdad ha de partir necesariamente, en primer lugar, de la identidad de supuestos y, en segundo lugar, de la discrepancia de juicios o resoluciones, para lo que la fundamentación debe servir como elemento para deducir la no arbitrariedad de los juicios discrepantes. Por lo tanto, para sustentar la referida infracción, debe existir una diferencia de trato a personas en situaciones relevantemente similares, y la diferencia de trato es discriminatoria si no persigue una finalidad legítima o no hay una relación de proporcionalidad razonable entre los medios empleados y la finalidad perseguida.</w:t>
      </w:r>
    </w:p>
    <w:p w14:paraId="132B6494" w14:textId="77777777" w:rsidR="003754FE" w:rsidRDefault="003754FE" w:rsidP="003754FE">
      <w:pPr>
        <w:pStyle w:val="TextoNormal"/>
      </w:pPr>
    </w:p>
    <w:p w14:paraId="24806D70" w14:textId="77777777" w:rsidR="003754FE" w:rsidRDefault="003754FE" w:rsidP="003754FE">
      <w:pPr>
        <w:pStyle w:val="TextoNormal"/>
      </w:pPr>
      <w:r>
        <w:t xml:space="preserve">En el caso que nos ocupa no existe identidad entre los supuestos comparados por la actora ya que, a diferencia de la familia biparental, no existen dos progenitores con derecho a las referidas prestaciones. Como ya ha sido señalado por el Tribunal Supremo, Sala de lo Social en las SSTS 169/2023, y 1106/2024, de 12 de septiembre (ECLI:ES:TS:2024:5018), la situación de la actora en el presente procedimiento no constituye el único modelo de familia monoparental existente; al contrario, es uno más de los múltiples supuestos que pueden dar lugar a la existencia de una familia monoparental, teniendo en cuenta, además, que algunas familias biparentales, en función del carácter contributivo de la prestación discutida, pueden encontrase </w:t>
      </w:r>
      <w:r w:rsidRPr="003754FE">
        <w:rPr>
          <w:i/>
        </w:rPr>
        <w:t>de facto</w:t>
      </w:r>
      <w:r>
        <w:t xml:space="preserve"> en igual o peor situación que la de la reclamante.</w:t>
      </w:r>
    </w:p>
    <w:p w14:paraId="23B60474" w14:textId="77777777" w:rsidR="003754FE" w:rsidRDefault="003754FE" w:rsidP="003754FE">
      <w:pPr>
        <w:pStyle w:val="TextoNormal"/>
      </w:pPr>
    </w:p>
    <w:p w14:paraId="1E2CEF26" w14:textId="77777777" w:rsidR="003754FE" w:rsidRDefault="003754FE" w:rsidP="003754FE">
      <w:pPr>
        <w:pStyle w:val="TextoNormal"/>
      </w:pPr>
      <w:r>
        <w:t>La recurrente ha disfrutado de la prestación por nacimiento y cuidado de la menor conforme a lo dispuesto en la legislación aplicable a la fecha del hecho causante. La pretensión deducida en la demanda de amparo no puede ser acogida, pues supondría reconocer una prestación contributiva nueva, sin cumplimiento de los requisitos y modificar el régimen jurídico de la suspensión contractual en lo que afectaría al otro sujeto de la relación contractual que se vería obligado a soportar una duración mayor de la suspensión contractual prevista expresamente en la ley.</w:t>
      </w:r>
    </w:p>
    <w:p w14:paraId="59F4FA09" w14:textId="77777777" w:rsidR="003754FE" w:rsidRDefault="003754FE" w:rsidP="003754FE">
      <w:pPr>
        <w:pStyle w:val="TextoNormal"/>
      </w:pPr>
    </w:p>
    <w:p w14:paraId="510DD7C4" w14:textId="77777777" w:rsidR="003754FE" w:rsidRDefault="003754FE" w:rsidP="003754FE">
      <w:pPr>
        <w:pStyle w:val="TextoNormal"/>
      </w:pPr>
      <w:r>
        <w:t>La prestación que corresponde al otro progenitor necesita como condición su encuadramiento y alta en la Seguridad Social y cubrir un periodo mínimo de carencia. Por lo tanto, la aparición de una nueva prestación a favor de la misma persona exige una modificación de la normativa aplicable por parte del legislador.</w:t>
      </w:r>
    </w:p>
    <w:p w14:paraId="04DDFFDE" w14:textId="77777777" w:rsidR="003754FE" w:rsidRDefault="003754FE" w:rsidP="003754FE">
      <w:pPr>
        <w:pStyle w:val="TextoNormal"/>
      </w:pPr>
    </w:p>
    <w:p w14:paraId="3FBD0813" w14:textId="77777777" w:rsidR="003754FE" w:rsidRDefault="003754FE" w:rsidP="003754FE">
      <w:pPr>
        <w:pStyle w:val="TextoNormal"/>
      </w:pPr>
      <w:r>
        <w:t>La desestimación por el INSS de la petición de la demandante de amparo no infringe ninguno de los preceptos constitucionales cuya vulneración se denuncia, pues la entidad gestora no podía reconocer una prestación no prevista en la legislación aplicable, ni los tribunales reconocerla, como estableció la Sala de lo Social del Tribunal Supremo en la STS 169/2023, reproducida por la misma Sala en las sentencias de 4 de junio de 2024, de las que hace cita expresa.</w:t>
      </w:r>
    </w:p>
    <w:p w14:paraId="54C7B1C6" w14:textId="77777777" w:rsidR="003754FE" w:rsidRDefault="003754FE" w:rsidP="003754FE">
      <w:pPr>
        <w:pStyle w:val="TextoNormal"/>
      </w:pPr>
    </w:p>
    <w:p w14:paraId="3FC081F5" w14:textId="77777777" w:rsidR="003754FE" w:rsidRDefault="003754FE" w:rsidP="003754FE">
      <w:pPr>
        <w:pStyle w:val="TextoNormal"/>
      </w:pPr>
      <w:r>
        <w:t>Respecto al interés superior del menor, alegado como núcleo central del recurso, reproduce argumentos tomados de la STS 1106/2024, de la Sala de lo Social del Tribunal Supremo, en los que se recuerda que en toda la regulación de la prestación por nacimiento de hijo y cuidado del menor está, sin duda presente, la atención a ese singular interés, que no es el único al que debe atenderse, razón por la que el legislador también ha prestado especial atención al principio de igualdad entre hombres y mujeres al confeccionar una normativa que, asimismo, tiene como finalidad lograr la corresponsabilidad entre ambos progenitores en el cuidado del menor. Al efecto, las fórmulas establecidas por el legislador tratan de cohonestar todos los intereses que deben considerarse en la regulación de tan delicada materia y en este ejercicio de ponderación han considerado que el disfrute de los derechos de conciliación y la protección dispensada en estos casos eviten que el ejercicio de aquellos perpetúe roles de género que no se corresponden con la situación social actual ni mucho menos con el principio de igualdad que sustenta todo el ordenamiento jurídico. En definitiva, el legislador ha hecho una ponderación de los derechos e intereses en juego que no puede ser obviada por el intérprete y aplicador de la ley, si se tiene en cuenta que estamos en presencia de una regulación concreta que respeta la letra y el espíritu de la Constitución y el resto de normas internacionales aplicables.</w:t>
      </w:r>
    </w:p>
    <w:p w14:paraId="4460E419" w14:textId="77777777" w:rsidR="003754FE" w:rsidRDefault="003754FE" w:rsidP="003754FE">
      <w:pPr>
        <w:pStyle w:val="TextoNormal"/>
      </w:pPr>
    </w:p>
    <w:p w14:paraId="6A9E7753" w14:textId="77777777" w:rsidR="003754FE" w:rsidRDefault="003754FE" w:rsidP="003754FE">
      <w:pPr>
        <w:pStyle w:val="TextoNormal"/>
      </w:pPr>
      <w:r>
        <w:t>No existe una supuesta vulneración de un teórico derecho del menor de las familias monoparentales a ser cuidado en condiciones de igualdad con respecto a las biparentales, como alega la recurrente de amparo, sino un derecho del progenitor trabajador, que cumple con las exigencias legales con independencia de conformar una familia monoparental o biparental. Ni la Constitución Española, ni la Convención sobre los derechos del niño, imponen a los Estados ninguna obligación que pueda traducirse en derechos subjetivos ejercitables de manera individual y directa, sino en los términos establecidos en la ley de cada uno de ellos, siendo cada Estado, soberano para reglar los derechos a las prestaciones contributivas de la Seguridad Social.</w:t>
      </w:r>
    </w:p>
    <w:p w14:paraId="32003020" w14:textId="77777777" w:rsidR="003754FE" w:rsidRDefault="003754FE" w:rsidP="003754FE">
      <w:pPr>
        <w:pStyle w:val="TextoNormal"/>
      </w:pPr>
    </w:p>
    <w:p w14:paraId="05E35EF2" w14:textId="77777777" w:rsidR="003754FE" w:rsidRDefault="003754FE" w:rsidP="003754FE">
      <w:pPr>
        <w:pStyle w:val="TextoNormal"/>
      </w:pPr>
      <w:r>
        <w:t>El Real Decreto-ley 6/2019, de 1 de marzo, equiparó la duración de la suspensión contractual entre ambos progenitores, así como la obligatoriedad del disfrute conjunto de las seis semanas posteriores al parto, por lo que la solicitud de treinta y dos semanas que realiza la recurrente de amparo, supera incluso la de aquellos casos de familia en la que ambos progenitores ostentan el derecho al permiso.</w:t>
      </w:r>
    </w:p>
    <w:p w14:paraId="60AADDC8" w14:textId="77777777" w:rsidR="003754FE" w:rsidRDefault="003754FE" w:rsidP="003754FE">
      <w:pPr>
        <w:pStyle w:val="TextoNormal"/>
      </w:pPr>
    </w:p>
    <w:p w14:paraId="52E86D68" w14:textId="50A8002F" w:rsidR="003754FE" w:rsidRDefault="003754FE" w:rsidP="003754FE">
      <w:pPr>
        <w:pStyle w:val="TextoNormal"/>
      </w:pPr>
      <w:r>
        <w:t>En definitiva, el reconocimiento a la actora, como único progenitor de una familia monoparental, de la prestación por nacimiento y cuidado del menor que le hubiera correspondido al otro progenitor en supuestos en los que ya se les ha reconocido dicha prestación propia no resulta una exigencia que derive ni de la Constitución Española, ni de ninguna norma de la Unión Europea, ni de ningún acuerdo o tratado internacional ratificado por España.</w:t>
      </w:r>
    </w:p>
    <w:p w14:paraId="40A85C80" w14:textId="77777777" w:rsidR="003754FE" w:rsidRDefault="003754FE" w:rsidP="003754FE">
      <w:pPr>
        <w:pStyle w:val="TextoNormal"/>
      </w:pPr>
    </w:p>
    <w:p w14:paraId="6D1CC50F" w14:textId="77777777" w:rsidR="003754FE" w:rsidRDefault="003754FE" w:rsidP="003754FE">
      <w:pPr>
        <w:pStyle w:val="TextoNormal"/>
      </w:pPr>
      <w:r w:rsidRPr="003754FE">
        <w:rPr>
          <w:rStyle w:val="NumeroAFNegritaCaracter"/>
        </w:rPr>
        <w:t>9</w:t>
      </w:r>
      <w:r>
        <w:t>. El 27 de noviembre de 2024 el fiscal ante el Tribunal Constitucional presentó alegaciones en las que solicitó la estimación del recurso de amparo por vulneración del derecho fundamental de la demandante y de su hijo a no sufrir discriminación (art. 14 CE) procediendo la declaración de nulidad de las sentencias de la Sala de lo Social del Tribunal Superior de Justicia de Extremadura, del Juzgado de lo Social núm. 5 de Badajoz, y de las resoluciones dictadas por el INSS el 17 de octubre y el 3 de octubre (en realidad, 3 de agosto) de 2022, para que por el INSS se dicte una nueva resolución conforme al derecho a la no discriminación tal como se establece en la doctrina constitucional establecida en la STC 140/2024, de 6 de noviembre.</w:t>
      </w:r>
    </w:p>
    <w:p w14:paraId="159319B1" w14:textId="77777777" w:rsidR="003754FE" w:rsidRDefault="003754FE" w:rsidP="003754FE">
      <w:pPr>
        <w:pStyle w:val="TextoNormal"/>
      </w:pPr>
    </w:p>
    <w:p w14:paraId="4CF6C9D3" w14:textId="77777777" w:rsidR="003754FE" w:rsidRDefault="003754FE" w:rsidP="003754FE">
      <w:pPr>
        <w:pStyle w:val="TextoNormal"/>
      </w:pPr>
      <w:r>
        <w:t>Tras una somera exposición de los antecedentes del procedimiento, el fiscal ante el Tribunal Constitucional considera que el objeto del recurso de amparo no se limita a las resoluciones judiciales dictadas en el procedimiento social antecedente, sino que se extiende igualmente a las resoluciones administrativas que fueron impugnadas ante la jurisdicción social, de modo que no habiendo un motivo de amparo específicamente predicable de las resoluciones judiciales, al limitarse a no corregir la vulneración constitucional producida en vía administrativa, nos encontramos ante un recurso de amparo del art. 43 LOTC.</w:t>
      </w:r>
    </w:p>
    <w:p w14:paraId="2B45DC30" w14:textId="77777777" w:rsidR="003754FE" w:rsidRDefault="003754FE" w:rsidP="003754FE">
      <w:pPr>
        <w:pStyle w:val="TextoNormal"/>
      </w:pPr>
    </w:p>
    <w:p w14:paraId="66050426" w14:textId="77777777" w:rsidR="003754FE" w:rsidRDefault="003754FE" w:rsidP="003754FE">
      <w:pPr>
        <w:pStyle w:val="TextoNormal"/>
      </w:pPr>
      <w:r>
        <w:t>El fiscal se cuestiona, seguidamente, si la demandante, al desistir del recurso de casación para unificación de doctrina que había anunciado contra la sentencia del Tribunal Superior de Justicia de Extremadura, pudo haber incurrido en el óbice procesal de falta de agotamiento de la vía judicial previa, óbice que descarta ateniéndose al criterio de flexibilidad auspiciado por abundante doctrina constitucional que ha declarado que el requisito de agotamiento de la vía judicial previa no exige utilizar todos los recursos imaginables, y que no es necesario para entenderlo cumplido interponer los recursos de dudosa procedencia [por todas, STC 112/2019, de 3 de octubre, FJ 3 d)]. Aunque desde el punto de vista procesal no había en este caso ningún óbice para interponer el recurso de casación para la unificación de doctrina, es cierto que habiéndose dictado ya por el Tribunal Supremo varias sentencias (entre ellas, las SSTS 1296/2023, de 21 de diciembre (ECLI:ES:TS:2023:5979); 169/2023 y 434/2023) que unificaron la doctrina precisamente respecto a la misma cuestión que se debatía en el proceso laboral previo a este recurso, en las que se establecía que la interpretación correcta de la normativa aplicable era la que había realizado la sentencia del Tribunal Superior de Justicia de Extremadura, el recurso de casación contra esta iba a ser sin duda inadmitido, en aplicación de la doctrina expuesta (por todos) en el ATS 6931/2018, de 14 de junio, recurso núm. 837-2017 (ECLI:ES:TS:2018:6931A).</w:t>
      </w:r>
    </w:p>
    <w:p w14:paraId="7DC99331" w14:textId="77777777" w:rsidR="003754FE" w:rsidRDefault="003754FE" w:rsidP="003754FE">
      <w:pPr>
        <w:pStyle w:val="TextoNormal"/>
      </w:pPr>
    </w:p>
    <w:p w14:paraId="03311C03" w14:textId="77777777" w:rsidR="003754FE" w:rsidRDefault="003754FE" w:rsidP="003754FE">
      <w:pPr>
        <w:pStyle w:val="TextoNormal"/>
      </w:pPr>
      <w:r>
        <w:t>Sobre la cuestión de fondo, el fiscal señala que la STC 140/2024, dictada en la cuestión de inconstitucionalidad núm. 6694-2023, ha establecido una doctrina constitucional específica aplicable a la misma pues ha declarado inconstitucional los arts. 48.4 LET y 177 LGSS, precisamente por la vulneración del derecho establecido en el art. 14 CE en relación con el art. 39 CE, discriminación por razón de nacimiento, de la que hace cita expresa. En aplicación del criterio constitucional establecido en la mencionada STC 140/2024, sobre la regulación de la suspensión del contrato de trabajo —y la correspondiente prestación de la Seguridad Social— por nacimiento y cuidado de hijos que se contiene en los arts. 48.4 LET y 177 LGSS, el fiscal considera que procede la estimación del recurso, pues al aplicar los mencionados artículos las resoluciones impugnadas han producido la discriminación prohibida por el art. 14 CE, tanto de la demandante de amparo por constituir una familia monoparental (por razón del modelo de familia), como del hijo por razón de nacimiento, por haber nacido en una familia monoparental.</w:t>
      </w:r>
    </w:p>
    <w:p w14:paraId="09E23531" w14:textId="77777777" w:rsidR="003754FE" w:rsidRDefault="003754FE" w:rsidP="003754FE">
      <w:pPr>
        <w:pStyle w:val="TextoNormal"/>
      </w:pPr>
    </w:p>
    <w:p w14:paraId="6A036B0B" w14:textId="5B1169A6" w:rsidR="003754FE" w:rsidRDefault="003754FE" w:rsidP="003754FE">
      <w:pPr>
        <w:pStyle w:val="TextoNormal"/>
      </w:pPr>
      <w:r>
        <w:t>Sobre los efectos de la estimación del recurso de amparo, el fiscal considera que no sería procedente que el Tribunal Constitucional concretase la prestación que la demandante debe percibir, porque esta prestación se vincula a la duración de la suspensión del contrato de trabajo y esta, que es la razón de ser de la declaración de inconstitucionalidad del art. 48.4 LET, no ha sido objeto del proceso laboral previo. Sostiene que lo procedente es que por el INSS se dicte una nueva resolución respetando el derecho fundamental vulnerado y aplicando la normativa de acuerdo con el criterio de la STC 140/2024.</w:t>
      </w:r>
    </w:p>
    <w:p w14:paraId="461D02E3" w14:textId="77777777" w:rsidR="003754FE" w:rsidRDefault="003754FE" w:rsidP="003754FE">
      <w:pPr>
        <w:pStyle w:val="TextoNormal"/>
      </w:pPr>
    </w:p>
    <w:p w14:paraId="63AA4D25" w14:textId="175E804D" w:rsidR="003754FE" w:rsidRDefault="003754FE" w:rsidP="003754FE">
      <w:pPr>
        <w:pStyle w:val="TextoNormal"/>
      </w:pPr>
      <w:r w:rsidRPr="003754FE">
        <w:rPr>
          <w:rStyle w:val="NumeroAFNegritaCaracter"/>
        </w:rPr>
        <w:t>10</w:t>
      </w:r>
      <w:r>
        <w:t>. Mediante providencia de 12 de diciembre de 2024 se señaló para deliberación y votación de la presente sentencia el día 16 del mismo mes y año.</w:t>
      </w:r>
    </w:p>
    <w:p w14:paraId="2B1F85C5" w14:textId="77777777" w:rsidR="003754FE" w:rsidRDefault="003754FE" w:rsidP="003754FE">
      <w:pPr>
        <w:pStyle w:val="TextoNormal"/>
      </w:pPr>
    </w:p>
    <w:p w14:paraId="42DC6345" w14:textId="77777777" w:rsidR="003754FE" w:rsidRDefault="003754FE" w:rsidP="003754FE">
      <w:pPr>
        <w:pStyle w:val="TextoNormalNegritaCentrado"/>
        <w:keepNext/>
      </w:pPr>
      <w:r>
        <w:t>II. Fundamentos jurídicos</w:t>
      </w:r>
    </w:p>
    <w:p w14:paraId="1A8C3101" w14:textId="0F40C543" w:rsidR="003754FE" w:rsidRDefault="003754FE" w:rsidP="003754FE">
      <w:pPr>
        <w:pStyle w:val="TextoNormalNegritaCentrado"/>
        <w:keepNext/>
      </w:pPr>
    </w:p>
    <w:p w14:paraId="615CDEB6" w14:textId="77777777" w:rsidR="003754FE" w:rsidRDefault="003754FE" w:rsidP="003754FE">
      <w:pPr>
        <w:pStyle w:val="TextoNormal"/>
      </w:pPr>
      <w:r w:rsidRPr="003754FE">
        <w:rPr>
          <w:rStyle w:val="NumeroAFNegritaCaracter"/>
        </w:rPr>
        <w:t>1</w:t>
      </w:r>
      <w:r>
        <w:t xml:space="preserve">. </w:t>
      </w:r>
      <w:r w:rsidRPr="003754FE">
        <w:rPr>
          <w:i/>
        </w:rPr>
        <w:t>Objeto del recurso</w:t>
      </w:r>
    </w:p>
    <w:p w14:paraId="1473940B" w14:textId="77777777" w:rsidR="003754FE" w:rsidRDefault="003754FE" w:rsidP="003754FE">
      <w:pPr>
        <w:pStyle w:val="TextoNormal"/>
      </w:pPr>
    </w:p>
    <w:p w14:paraId="460C6A23" w14:textId="63BEAC63" w:rsidR="003754FE" w:rsidRDefault="003754FE" w:rsidP="003754FE">
      <w:pPr>
        <w:pStyle w:val="TextoNormal"/>
      </w:pPr>
      <w:r>
        <w:t>El objeto del presente proceso es dilucidar si las resoluciones impugnadas han ocasionado una discriminación por razón de nacimiento, contraria al art. 14 CE, en relación con el art. 39 CE, al aplicar el art. 48.4 LET, en relación con el art. 177 LGSS, en la redacción dada a los mismos por el Real Decreto-ley 6/2019, de 1 de marzo.</w:t>
      </w:r>
    </w:p>
    <w:p w14:paraId="7F2F3297" w14:textId="77777777" w:rsidR="003754FE" w:rsidRDefault="003754FE" w:rsidP="003754FE">
      <w:pPr>
        <w:pStyle w:val="TextoNormal"/>
      </w:pPr>
    </w:p>
    <w:p w14:paraId="50A0E3A6" w14:textId="77777777" w:rsidR="003754FE" w:rsidRDefault="003754FE" w:rsidP="003754FE">
      <w:pPr>
        <w:pStyle w:val="TextoNormal"/>
      </w:pPr>
      <w:r w:rsidRPr="003754FE">
        <w:rPr>
          <w:rStyle w:val="NumeroAFNegritaCaracter"/>
        </w:rPr>
        <w:t>2</w:t>
      </w:r>
      <w:r>
        <w:t xml:space="preserve">. </w:t>
      </w:r>
      <w:r w:rsidRPr="003754FE">
        <w:rPr>
          <w:i/>
        </w:rPr>
        <w:t>Óbice procesal de falta de agotamiento. Sobre la especial trascendencia de la cuestión planteada y su justificación en la demanda</w:t>
      </w:r>
    </w:p>
    <w:p w14:paraId="05577E17" w14:textId="77777777" w:rsidR="003754FE" w:rsidRDefault="003754FE" w:rsidP="003754FE">
      <w:pPr>
        <w:pStyle w:val="TextoNormal"/>
      </w:pPr>
    </w:p>
    <w:p w14:paraId="726EEE8E" w14:textId="77777777" w:rsidR="003754FE" w:rsidRDefault="003754FE" w:rsidP="003754FE">
      <w:pPr>
        <w:pStyle w:val="TextoNormal"/>
      </w:pPr>
      <w:r>
        <w:t>A tenor de la fundamentación de la demanda de amparo y del debate planteado y resuelto en la vía judicial previa sobre el alcance y contenido de los arts. 48.4 LET y 177 LGSS, el presente recurso de amparo fue admitido a trámite tras apreciar que la posible vulneración del derecho fundamental que se denuncia pudiera provenir de la ley [STC 155/2009, FJ 2 c)], en tanto las decisiones administrativas y judiciales cuestionadas justificaban la desestimación de la pretensión planteada, en cada caso, en el tenor literal de la regulación jurídica aplicable y aplicada al caso.</w:t>
      </w:r>
    </w:p>
    <w:p w14:paraId="5C627270" w14:textId="77777777" w:rsidR="003754FE" w:rsidRDefault="003754FE" w:rsidP="003754FE">
      <w:pPr>
        <w:pStyle w:val="TextoNormal"/>
      </w:pPr>
    </w:p>
    <w:p w14:paraId="671BC2B4" w14:textId="77777777" w:rsidR="003754FE" w:rsidRDefault="003754FE" w:rsidP="003754FE">
      <w:pPr>
        <w:pStyle w:val="TextoNormal"/>
      </w:pPr>
      <w:r>
        <w:t>La letrada de la Junta de Extremadura opuso el óbice procesal de falta de agotamiento de la vía judicial previa por haber desistido la actora del recurso de casación para unificación de doctrina que había preparado contra la sentencia 106/2024, de 23 de febrero, dictada por la Sala de lo Social del Tribunal Superior de Justicia de Extremadura en el recurso de suplicación núm. 589-2023. En este punto hemos de convenir con el Ministerio Fiscal en que se trataba de un recurso de dudosa procedencia, y como tal inexigible para tener por cumplido el requisito de agotamiento de la vía judicial previa, requisito que “no obliga a utilizar en cada caso todos los medios de impugnación posibles, sino tan solo aquellos normales que, de manera clara, se manifiestan como ejercitables, de forma que no quepa duda respecto de la procedencia y la posibilidad real y efectiva de interponer el recurso” [STC 112/2019, FJ 3 d)]. Hay que tener en cuenta que la Sala de lo Social del Tribunal Supremo había unificado su doctrina con anterioridad al pronunciamiento de las resoluciones judiciales impugnadas en este recurso de amparo, y precisamente en sentido adverso a la pretensión de la demandante, de lo que es exponente la sentencia 169/2023, a la que remiten expresamente ambas resoluciones.</w:t>
      </w:r>
    </w:p>
    <w:p w14:paraId="17AA4B25" w14:textId="77777777" w:rsidR="003754FE" w:rsidRDefault="003754FE" w:rsidP="003754FE">
      <w:pPr>
        <w:pStyle w:val="TextoNormal"/>
      </w:pPr>
    </w:p>
    <w:p w14:paraId="45209620" w14:textId="39DECE6A" w:rsidR="003754FE" w:rsidRDefault="003754FE" w:rsidP="003754FE">
      <w:pPr>
        <w:pStyle w:val="TextoNormal"/>
      </w:pPr>
      <w:r>
        <w:t>La letrada de la administración de la Seguridad Social, por su parte, cuestionó en sus alegaciones que la demandante haya justificado de forma debida la especial trascendencia constitucional de la cuestión planteada en la demanda de amparo. Sin embargo, tal objeción no puede ser compartida como óbice procesal que justificaría la inadmisión de la demanda pues, a través de dicha alegación, no se hace sino discrepar de la fundamentación que justifica la queja, anticipando el representante de la administración que no se ha producido vulneración alguna del derecho a la igualdad ante la ley sin que haya lugar a discriminación (art. 14 CE). Este argumento habrá de ser analizado al resolver la cuestión de fondo lo que, cabe anticipar, se llevará a cabo en los mismos términos en que ha sido expresado en la reciente STC 140/2024 (del Pleno), a la que, por coincidir su objeto, habremos de remitirnos.</w:t>
      </w:r>
    </w:p>
    <w:p w14:paraId="56B7C62D" w14:textId="77777777" w:rsidR="003754FE" w:rsidRDefault="003754FE" w:rsidP="003754FE">
      <w:pPr>
        <w:pStyle w:val="TextoNormal"/>
      </w:pPr>
    </w:p>
    <w:p w14:paraId="449707FF" w14:textId="77777777" w:rsidR="003754FE" w:rsidRDefault="003754FE" w:rsidP="003754FE">
      <w:pPr>
        <w:pStyle w:val="TextoNormal"/>
      </w:pPr>
      <w:r w:rsidRPr="003754FE">
        <w:rPr>
          <w:rStyle w:val="NumeroAFNegritaCaracter"/>
        </w:rPr>
        <w:t>3</w:t>
      </w:r>
      <w:r>
        <w:t xml:space="preserve">. </w:t>
      </w:r>
      <w:r w:rsidRPr="003754FE">
        <w:rPr>
          <w:i/>
        </w:rPr>
        <w:t>Aplicación de la doctrina constitucional fijada en la STC140/2024</w:t>
      </w:r>
    </w:p>
    <w:p w14:paraId="224D45B4" w14:textId="77777777" w:rsidR="003754FE" w:rsidRDefault="003754FE" w:rsidP="003754FE">
      <w:pPr>
        <w:pStyle w:val="TextoNormal"/>
      </w:pPr>
    </w:p>
    <w:p w14:paraId="1822B4DF" w14:textId="77777777" w:rsidR="003754FE" w:rsidRDefault="003754FE" w:rsidP="003754FE">
      <w:pPr>
        <w:pStyle w:val="TextoNormal"/>
      </w:pPr>
      <w:r>
        <w:t>La cuestión de fondo planteada en este recurso de amparo es coincidente con la resuelta por la STC 140/2024,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35D314E8" w14:textId="77777777" w:rsidR="003754FE" w:rsidRDefault="003754FE" w:rsidP="003754FE">
      <w:pPr>
        <w:pStyle w:val="TextoNormal"/>
      </w:pPr>
    </w:p>
    <w:p w14:paraId="38D89699" w14:textId="77777777" w:rsidR="003754FE" w:rsidRDefault="003754FE" w:rsidP="003754FE">
      <w:pPr>
        <w:pStyle w:val="TextoNormal"/>
      </w:pPr>
      <w:r>
        <w:t>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35A95D7D" w14:textId="77777777" w:rsidR="003754FE" w:rsidRDefault="003754FE" w:rsidP="003754FE">
      <w:pPr>
        <w:pStyle w:val="TextoNormal"/>
      </w:pPr>
    </w:p>
    <w:p w14:paraId="09329BBE" w14:textId="77777777" w:rsidR="003754FE" w:rsidRDefault="003754FE" w:rsidP="003754FE">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3754FE">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52E10B7A" w14:textId="77777777" w:rsidR="003754FE" w:rsidRDefault="003754FE" w:rsidP="003754FE">
      <w:pPr>
        <w:pStyle w:val="TextoNormal"/>
      </w:pPr>
    </w:p>
    <w:p w14:paraId="5B84BFB5" w14:textId="1DE20D18" w:rsidR="003754FE" w:rsidRDefault="003754FE" w:rsidP="003754FE">
      <w:pPr>
        <w:pStyle w:val="TextoNormal"/>
      </w:pPr>
      <w:r>
        <w:t>En consecuencia, debe estimarse la demanda y otorgar el amparo solicitado, con nulidad de las resoluciones impugnadas y, como concretamos en la referida STC 140/2024, FJ 7,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68CD3BCA" w14:textId="77777777" w:rsidR="003754FE" w:rsidRDefault="003754FE" w:rsidP="003754FE">
      <w:pPr>
        <w:pStyle w:val="TextoNormal"/>
      </w:pPr>
    </w:p>
    <w:p w14:paraId="3D9AADA5" w14:textId="77777777" w:rsidR="003754FE" w:rsidRDefault="003754FE" w:rsidP="003754FE">
      <w:pPr>
        <w:pStyle w:val="TextoNormalCentrado"/>
        <w:keepNext/>
      </w:pPr>
      <w:r>
        <w:t>FALLO</w:t>
      </w:r>
    </w:p>
    <w:p w14:paraId="37A39D7C" w14:textId="1ADD79E9" w:rsidR="003754FE" w:rsidRDefault="003754FE" w:rsidP="003754FE">
      <w:pPr>
        <w:pStyle w:val="TextoNormalCentrado"/>
        <w:keepNext/>
      </w:pPr>
    </w:p>
    <w:p w14:paraId="208D9D28"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doña Eva María Bueno Flores y, en su virtud:</w:t>
      </w:r>
    </w:p>
    <w:p w14:paraId="78067A41" w14:textId="77777777" w:rsidR="003754FE" w:rsidRDefault="003754FE" w:rsidP="003754FE">
      <w:pPr>
        <w:pStyle w:val="TextoNormal"/>
      </w:pPr>
    </w:p>
    <w:p w14:paraId="3B68FF98" w14:textId="77777777" w:rsidR="003754FE" w:rsidRDefault="003754FE" w:rsidP="003754FE">
      <w:pPr>
        <w:pStyle w:val="TextoNormal"/>
      </w:pPr>
      <w:r>
        <w:t>1º Declarar que ha sido vulnerado el derecho fundamental a la igualdad ante la ley sin discriminación por razón de nacimiento (art. 14 CE).</w:t>
      </w:r>
    </w:p>
    <w:p w14:paraId="2BF0013E" w14:textId="77777777" w:rsidR="003754FE" w:rsidRDefault="003754FE" w:rsidP="003754FE">
      <w:pPr>
        <w:pStyle w:val="TextoNormal"/>
      </w:pPr>
    </w:p>
    <w:p w14:paraId="023DD217" w14:textId="77777777" w:rsidR="003754FE" w:rsidRDefault="003754FE" w:rsidP="003754FE">
      <w:pPr>
        <w:pStyle w:val="TextoNormal"/>
      </w:pPr>
      <w:r>
        <w:t>2º Restablecer a la demandante de amparo en su derecho y, a tal fin, declarar la nulidad de las resoluciones del INSS de 3 de agosto y 17 de octubre de 2022, de la sentencia 261/2023, de 19 de septiembre, dictada por el Juzgado de lo Social núm. 5 de Badajoz en los autos núm. 797-2022, y de la sentencia 106/2024, de 23 de febrero, dictada por la Sala de lo Social del Tribunal Superior de Justicia de Extremadura en el recurso de suplicación núm. 589-2023.</w:t>
      </w:r>
    </w:p>
    <w:p w14:paraId="6816A754" w14:textId="77777777" w:rsidR="003754FE" w:rsidRDefault="003754FE" w:rsidP="003754FE">
      <w:pPr>
        <w:pStyle w:val="TextoNormal"/>
      </w:pPr>
    </w:p>
    <w:p w14:paraId="22849481" w14:textId="4B5BE68F" w:rsidR="003754FE" w:rsidRDefault="003754FE" w:rsidP="003754FE">
      <w:pPr>
        <w:pStyle w:val="TextoNormal"/>
      </w:pPr>
      <w:r>
        <w:t>3º Retrotraer las actuaciones al momento previo al dictado de la resolución del INSS de 3 de agosto de 2022 a fin de que, en los términos expuestos en el último párrafo del fundamento jurídico 3 de la presente sentencia, se dicte otra respetuosa con el derecho fundamental cuya vulneración ha sido declarada.</w:t>
      </w:r>
    </w:p>
    <w:p w14:paraId="2C240C4A" w14:textId="77777777" w:rsidR="003754FE" w:rsidRDefault="003754FE" w:rsidP="003754FE">
      <w:pPr>
        <w:pStyle w:val="TextoNormal"/>
      </w:pPr>
    </w:p>
    <w:p w14:paraId="7F52E15E" w14:textId="77777777" w:rsidR="003754FE" w:rsidRDefault="003754FE" w:rsidP="003754FE">
      <w:pPr>
        <w:pStyle w:val="TextoNormal"/>
      </w:pPr>
      <w:r>
        <w:t>Publíquese esta sentencia en el “Boletín Oficial del Estado”.</w:t>
      </w:r>
    </w:p>
    <w:p w14:paraId="7DA1D541" w14:textId="77777777" w:rsidR="003754FE" w:rsidRDefault="003754FE" w:rsidP="003754FE">
      <w:pPr>
        <w:pStyle w:val="TextoNormal"/>
      </w:pPr>
      <w:r>
        <w:t>Dada en Madrid, a dieciséis de diciembre de dos mil veinticuatro.</w:t>
      </w:r>
    </w:p>
    <w:p w14:paraId="597B045E" w14:textId="5F636C9A" w:rsidR="003754FE" w:rsidRDefault="003754FE">
      <w:pPr>
        <w:spacing w:after="160" w:line="278" w:lineRule="auto"/>
        <w:rPr>
          <w:rFonts w:ascii="Times New Roman" w:eastAsia="Times New Roman" w:hAnsi="Times New Roman" w:cs="Times New Roman"/>
          <w:sz w:val="24"/>
          <w:szCs w:val="24"/>
          <w:lang w:eastAsia="es-ES"/>
        </w:rPr>
      </w:pPr>
      <w:r>
        <w:br w:type="page"/>
      </w:r>
    </w:p>
    <w:p w14:paraId="1A0ADEDD" w14:textId="77777777" w:rsidR="003754FE" w:rsidRDefault="003754FE" w:rsidP="003754FE">
      <w:pPr>
        <w:pStyle w:val="TtuloResolucin"/>
      </w:pPr>
      <w:bookmarkStart w:id="65" w:name="SENTENCIA_2024_156"/>
      <w:r>
        <w:t>SENTENCIA 156/2024, de 16 de diciembre de 2024</w:t>
      </w:r>
    </w:p>
    <w:bookmarkEnd w:id="65"/>
    <w:p w14:paraId="147D2252" w14:textId="77777777" w:rsidR="003754FE" w:rsidRDefault="003754FE" w:rsidP="003754FE">
      <w:pPr>
        <w:pStyle w:val="TtuloResolucin"/>
      </w:pPr>
      <w:r>
        <w:t>Sala Primera</w:t>
      </w:r>
    </w:p>
    <w:p w14:paraId="7E768566" w14:textId="77777777" w:rsidR="003754FE" w:rsidRDefault="003754FE" w:rsidP="003754FE">
      <w:pPr>
        <w:pStyle w:val="TtuloBOE"/>
      </w:pPr>
      <w:r>
        <w:t>(BOE núm. 21, de 24 de enero de 2025)</w:t>
      </w:r>
    </w:p>
    <w:p w14:paraId="5FBB62B0" w14:textId="77777777" w:rsidR="003754FE" w:rsidRDefault="003754FE" w:rsidP="003754FE">
      <w:pPr>
        <w:pStyle w:val="TextoNormalCentrado"/>
      </w:pPr>
      <w:r>
        <w:t>ECLI:ES:TC:2024:156</w:t>
      </w:r>
    </w:p>
    <w:p w14:paraId="2E55BD95" w14:textId="2A56D1CD" w:rsidR="003754FE" w:rsidRDefault="003754FE" w:rsidP="003754FE">
      <w:pPr>
        <w:pStyle w:val="TextoNormalCentrado"/>
      </w:pPr>
    </w:p>
    <w:p w14:paraId="7C1650C9" w14:textId="77777777" w:rsidR="003754FE" w:rsidRDefault="003754FE" w:rsidP="003754FE">
      <w:pPr>
        <w:pStyle w:val="SntesisDescriptiva"/>
      </w:pPr>
      <w:r>
        <w:t>Recurso de amparo 2151-2024. Promovido por don Carlos Carrizosa Torres y otros cinco diputados del Parlamento de Cataluña respecto de los acuerdos de la mesa de la Cámara admitiendo a trámite la iniciativa legislativa popular “Proposición de ley de declaración de la independencia de Cataluña”.</w:t>
      </w:r>
    </w:p>
    <w:p w14:paraId="669F1034" w14:textId="74BC6FB4" w:rsidR="003754FE" w:rsidRDefault="003754FE" w:rsidP="003754FE">
      <w:pPr>
        <w:pStyle w:val="SntesisDescriptiva"/>
      </w:pPr>
    </w:p>
    <w:p w14:paraId="46431BF1" w14:textId="77777777" w:rsidR="003754FE" w:rsidRDefault="003754FE" w:rsidP="003754FE">
      <w:pPr>
        <w:pStyle w:val="SntesisAnaltica"/>
      </w:pPr>
      <w:r>
        <w:t>Vulneración del derecho al ejercicio de las funciones representativas: STC 143/2024 (incumplimiento por la mesa del Parlamento de Cataluña del deber de inadmisión de una iniciativa legislativa popular cuyo contenido no puede tener cabida a través de una iniciativa legislativa autonómica).</w:t>
      </w:r>
    </w:p>
    <w:p w14:paraId="6B1EB57E" w14:textId="0057E043" w:rsidR="003754FE" w:rsidRDefault="003754FE" w:rsidP="003754FE">
      <w:pPr>
        <w:pStyle w:val="SntesisAnaltica"/>
      </w:pPr>
    </w:p>
    <w:p w14:paraId="47D9201C" w14:textId="6FB1A9C3" w:rsidR="003754FE" w:rsidRDefault="003754FE" w:rsidP="003754FE">
      <w:pPr>
        <w:pStyle w:val="Extracto"/>
      </w:pPr>
      <w:r>
        <w:t>1.</w:t>
      </w:r>
      <w:r>
        <w:tab/>
        <w:t>Se aplica la doctrina de la STC 143/2024, en materia de acuerdo parlamentario de admisión a trámite de una iniciativa legislativa popular que contraviene, entre otros, el derecho fundamental a la representación política [FJ único]</w:t>
      </w:r>
    </w:p>
    <w:p w14:paraId="2D4F6983" w14:textId="77777777" w:rsidR="003754FE" w:rsidRDefault="003754FE" w:rsidP="003754FE">
      <w:pPr>
        <w:pStyle w:val="Extracto"/>
      </w:pPr>
    </w:p>
    <w:p w14:paraId="4F9DB514" w14:textId="77777777" w:rsidR="003754FE" w:rsidRDefault="003754FE" w:rsidP="003754FE">
      <w:pPr>
        <w:pStyle w:val="Extracto"/>
      </w:pPr>
    </w:p>
    <w:p w14:paraId="01E68DC6" w14:textId="77777777" w:rsidR="003754FE" w:rsidRDefault="003754FE" w:rsidP="003754FE">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450FBFE8" w14:textId="65156C3F" w:rsidR="003754FE" w:rsidRDefault="003754FE" w:rsidP="003754FE">
      <w:pPr>
        <w:pStyle w:val="TextoNormal"/>
      </w:pPr>
    </w:p>
    <w:p w14:paraId="42F5A032" w14:textId="77777777" w:rsidR="003754FE" w:rsidRDefault="003754FE" w:rsidP="003754FE">
      <w:pPr>
        <w:pStyle w:val="TextoNormalCentrado"/>
        <w:keepNext/>
      </w:pPr>
      <w:r>
        <w:t>EN NOMBRE DEL REY</w:t>
      </w:r>
    </w:p>
    <w:p w14:paraId="047E5390" w14:textId="7D5863B2" w:rsidR="003754FE" w:rsidRDefault="003754FE" w:rsidP="003754FE">
      <w:pPr>
        <w:pStyle w:val="TextoNormalCentrado"/>
        <w:keepNext/>
      </w:pPr>
    </w:p>
    <w:p w14:paraId="3FDA9747" w14:textId="77777777" w:rsidR="003754FE" w:rsidRDefault="003754FE" w:rsidP="003754FE">
      <w:pPr>
        <w:pStyle w:val="TextoNormalCentrado"/>
        <w:keepNext/>
      </w:pPr>
    </w:p>
    <w:p w14:paraId="134F80CC" w14:textId="77777777" w:rsidR="003754FE" w:rsidRDefault="003754FE" w:rsidP="003754FE">
      <w:pPr>
        <w:pStyle w:val="TextoNormal"/>
      </w:pPr>
      <w:r>
        <w:t>la siguiente</w:t>
      </w:r>
    </w:p>
    <w:p w14:paraId="571E272B" w14:textId="3AD187B2" w:rsidR="003754FE" w:rsidRDefault="003754FE" w:rsidP="003754FE">
      <w:pPr>
        <w:pStyle w:val="TextoNormal"/>
      </w:pPr>
    </w:p>
    <w:p w14:paraId="68610B8B" w14:textId="77777777" w:rsidR="003754FE" w:rsidRDefault="003754FE" w:rsidP="003754FE">
      <w:pPr>
        <w:pStyle w:val="TextoNormalCentrado"/>
        <w:keepNext/>
      </w:pPr>
      <w:r>
        <w:t>SENTENCIA</w:t>
      </w:r>
    </w:p>
    <w:p w14:paraId="2A5F2479" w14:textId="1F06F13A" w:rsidR="003754FE" w:rsidRDefault="003754FE" w:rsidP="003754FE">
      <w:pPr>
        <w:pStyle w:val="TextoNormalCentrado"/>
        <w:keepNext/>
      </w:pPr>
    </w:p>
    <w:p w14:paraId="44B07614" w14:textId="77777777" w:rsidR="003754FE" w:rsidRDefault="003754FE" w:rsidP="003754FE">
      <w:pPr>
        <w:pStyle w:val="TextoNormal"/>
      </w:pPr>
      <w:r>
        <w:t>En el recurso de amparo núm. 2151-2024, promovido por don Carlos Carrizosa Torres, doña Anna Grau Arias, don Joan García González, doña Marina Bravo Sobrino, don Matías Alonso Ruiz y doña Noemí de la Calle Sifré, contra los acuerdos de la mesa del Parlamento de Cataluña de 20 y 22 de febrero de 2024. Ha comparecido el Parlamento de Cataluña. Ha intervenido el Ministerio Fiscal. Ha sido ponente la magistrada doña María Luisa Segoviano Astaburuaga.</w:t>
      </w:r>
    </w:p>
    <w:p w14:paraId="6C2CC309" w14:textId="0468D498" w:rsidR="003754FE" w:rsidRDefault="003754FE" w:rsidP="003754FE">
      <w:pPr>
        <w:pStyle w:val="TextoNormal"/>
      </w:pPr>
    </w:p>
    <w:p w14:paraId="2827B5DE" w14:textId="77777777" w:rsidR="003754FE" w:rsidRDefault="003754FE" w:rsidP="003754FE">
      <w:pPr>
        <w:pStyle w:val="TextoNormalNegritaCentrado"/>
        <w:keepNext/>
      </w:pPr>
      <w:r>
        <w:t>I. Antecedentes</w:t>
      </w:r>
    </w:p>
    <w:p w14:paraId="1C649C96" w14:textId="5AD7E98D" w:rsidR="003754FE" w:rsidRDefault="003754FE" w:rsidP="003754FE">
      <w:pPr>
        <w:pStyle w:val="TextoNormalNegritaCentrado"/>
        <w:keepNext/>
      </w:pPr>
    </w:p>
    <w:p w14:paraId="6CE93C23" w14:textId="29CF42B6" w:rsidR="003754FE" w:rsidRDefault="003754FE" w:rsidP="003754FE">
      <w:pPr>
        <w:pStyle w:val="TextoNormal"/>
      </w:pPr>
      <w:r w:rsidRPr="003754FE">
        <w:rPr>
          <w:rStyle w:val="NumeroAFNegritaCaracter"/>
        </w:rPr>
        <w:t>1</w:t>
      </w:r>
      <w:r>
        <w:t>. Mediante escrito registrado en el Tribunal el 26 de marzo de 2024, don Carlos Carrizosa Torres, doña Anna Grau Arias, don Joan García González, doña Marina Bravo Sobrino, don Matías Alonso Ruiz y doña Noemí de la Calle Sifré, entonces diputados y diputadas del Grupo Parlamentario Ciutadans en el Parlamento de Cataluña, representados por el procurador de los tribunales don José Luis García Guardia, bajo la dirección del letrado don Carlos Carrizosa Torres, interpusieron recurso de amparo contra el acuerdo de la mesa del Parlamento de Cataluña de 22 de febrero de 2024, por el que se desestima la petición de reconsideración contra los acuerdos de la mesa del Parlamento de Cataluña de 20 de febrero de 2024, por el que se admite a trámite la iniciativa legislativa popular relativa a la “Proposición de ley de declaración de la independencia de Cataluña”; y de 22 de febrero de 2024, por el que se desestima la petición de reconsideración del anterior.</w:t>
      </w:r>
    </w:p>
    <w:p w14:paraId="7E13B461" w14:textId="77777777" w:rsidR="003754FE" w:rsidRDefault="003754FE" w:rsidP="003754FE">
      <w:pPr>
        <w:pStyle w:val="TextoNormal"/>
      </w:pPr>
    </w:p>
    <w:p w14:paraId="66F12F2D" w14:textId="77777777" w:rsidR="003754FE" w:rsidRDefault="003754FE" w:rsidP="003754FE">
      <w:pPr>
        <w:pStyle w:val="TextoNormal"/>
      </w:pPr>
      <w:r w:rsidRPr="003754FE">
        <w:rPr>
          <w:rStyle w:val="NumeroAFNegritaCaracter"/>
        </w:rPr>
        <w:t>2</w:t>
      </w:r>
      <w:r>
        <w:t>. El recurso tiene su origen en los siguientes antecedentes:</w:t>
      </w:r>
    </w:p>
    <w:p w14:paraId="50FADDC5" w14:textId="77777777" w:rsidR="003754FE" w:rsidRDefault="003754FE" w:rsidP="003754FE">
      <w:pPr>
        <w:pStyle w:val="TextoNormal"/>
      </w:pPr>
    </w:p>
    <w:p w14:paraId="5FE7C792" w14:textId="77777777" w:rsidR="003754FE" w:rsidRDefault="003754FE" w:rsidP="003754FE">
      <w:pPr>
        <w:pStyle w:val="TextoNormal"/>
      </w:pPr>
      <w:r>
        <w:t>a) El 2 de febrero de 2024 fue registrado en el Parlamento de Cataluña la solicitud de admisión a trámite de una proposición de ley de declaración de independencia de Cataluña, presentada al amparo de la Ley del Parlamento de Cataluña 1/2006, de 16 de febrero, de la iniciativa legislativa popular.</w:t>
      </w:r>
    </w:p>
    <w:p w14:paraId="0664AB57" w14:textId="77777777" w:rsidR="003754FE" w:rsidRDefault="003754FE" w:rsidP="003754FE">
      <w:pPr>
        <w:pStyle w:val="TextoNormal"/>
      </w:pPr>
    </w:p>
    <w:p w14:paraId="52E0A371" w14:textId="77777777" w:rsidR="003754FE" w:rsidRDefault="003754FE" w:rsidP="003754FE">
      <w:pPr>
        <w:pStyle w:val="TextoNormal"/>
      </w:pPr>
      <w:r>
        <w:t>El letrado secretario de la comisión de control de la iniciativa legislativa popular del Parlamento de Cataluña, mediante informe de 14 de febrero de 2024, concluye que no se cumplen las condiciones de contenido material que se establecen en el art. 6.2 de la Ley 1/2006, de la iniciativa legislativa popular, para que la mesa del Parlamento pueda admitir a trámite la iniciativa, ya que se trata de una materia que no se circunscribe al ámbito estricto de las competencias de la Generalitat requiriendo una previa reforma constitucional, y dicho incumplimiento no puede ser subsanado de acuerdo a lo dispuesto en el artículo 6.4 de la Ley 1/2006. También se destaca que se trata de una iniciativa con un objeto que ya ha sido planteado en otras ocasiones y ha sido inadmitida a trámite por acuerdos de la mesa de 17 de enero de 2008, 1 de abril de 2008, 25 de junio de 2019 y 13 de septiembre de 2022.</w:t>
      </w:r>
    </w:p>
    <w:p w14:paraId="67340D56" w14:textId="77777777" w:rsidR="003754FE" w:rsidRDefault="003754FE" w:rsidP="003754FE">
      <w:pPr>
        <w:pStyle w:val="TextoNormal"/>
      </w:pPr>
    </w:p>
    <w:p w14:paraId="6469EF5B" w14:textId="77777777" w:rsidR="003754FE" w:rsidRDefault="003754FE" w:rsidP="003754FE">
      <w:pPr>
        <w:pStyle w:val="TextoNormal"/>
      </w:pPr>
      <w:r>
        <w:t>b) La mesa del Parlamento de Cataluña acordó el 20 de febrero de 2024 su admisión a trámite.</w:t>
      </w:r>
    </w:p>
    <w:p w14:paraId="4076F4FC" w14:textId="77777777" w:rsidR="003754FE" w:rsidRDefault="003754FE" w:rsidP="003754FE">
      <w:pPr>
        <w:pStyle w:val="TextoNormal"/>
      </w:pPr>
    </w:p>
    <w:p w14:paraId="14D577C6" w14:textId="77777777" w:rsidR="003754FE" w:rsidRDefault="003754FE" w:rsidP="003754FE">
      <w:pPr>
        <w:pStyle w:val="TextoNormal"/>
      </w:pPr>
      <w:r>
        <w:t>El Grupo Parlamentario Ciutadans, entre otros, presentó el 20 de febrero de 2024 una solicitud de reconsideración de ese acuerdo, con invocación del art. 23.2 CE, alegando que resulta contrario a reiterada jurisprudencia constitucional la admisión de iniciativas parlamentarias que pretenden la autoatribución de facultades y/o competencias sobre un derecho a la autodeterminación no reconocido en la Constitucion no solo por privar al conjunto de los ciudadanos de su soberanía sino, además, por ser lesivas del art. 23.2 CE al verse los diputados obligados a participar en una actividad parlamentaria inconstitucional.</w:t>
      </w:r>
    </w:p>
    <w:p w14:paraId="01A2F2DD" w14:textId="77777777" w:rsidR="003754FE" w:rsidRDefault="003754FE" w:rsidP="003754FE">
      <w:pPr>
        <w:pStyle w:val="TextoNormal"/>
      </w:pPr>
    </w:p>
    <w:p w14:paraId="5C869FC3" w14:textId="33F62DB4" w:rsidR="003754FE" w:rsidRDefault="003754FE" w:rsidP="003754FE">
      <w:pPr>
        <w:pStyle w:val="TextoNormal"/>
      </w:pPr>
      <w:r>
        <w:t>c) La mesa, por acuerdo de 22 de febrero de 2024, rechazó la reconsideración argumentando que se ha dado prioridad al derecho de participación política de los ciudadanos y que, si bien la jurisprudencia constitucional ha reconocido a las mesas de las cámaras la facultad de inadmitir iniciativas que de manera palmaria y evidente contradigan la Constitución, se trata de una mera facultad que solo en el caso en que haya un requerimiento directo a los miembros de la mesa o un incumplimiento patente de una resolución de Tribunal Constitucional (STC 46/2018, de 26 de abril), implica la obligatoriedad de la inadmisión a trámite. Sin embargo, en el presente caso no ha habido ningún requerimiento a los miembros de la mesa en el sentido indicado ni se ha identificado ninguna resolución del Tribunal Constitucional de la que pueda desprenderse la obligación de inadmitir a trámite una iniciativa legislativa popular como la que es objeto de las peticiones de reconsideración.</w:t>
      </w:r>
    </w:p>
    <w:p w14:paraId="7C6AF2C1" w14:textId="77777777" w:rsidR="003754FE" w:rsidRDefault="003754FE" w:rsidP="003754FE">
      <w:pPr>
        <w:pStyle w:val="TextoNormal"/>
      </w:pPr>
    </w:p>
    <w:p w14:paraId="710BF9A6" w14:textId="77777777" w:rsidR="003754FE" w:rsidRDefault="003754FE" w:rsidP="003754FE">
      <w:pPr>
        <w:pStyle w:val="TextoNormal"/>
      </w:pPr>
      <w:r w:rsidRPr="003754FE">
        <w:rPr>
          <w:rStyle w:val="NumeroAFNegritaCaracter"/>
        </w:rPr>
        <w:t>3</w:t>
      </w:r>
      <w:r>
        <w:t>. Los demandantes de amparo solicitan que se estime el recurso declarando que se ha vulnerado su derecho a la representación política (art. 23.2 CE), para cuyo restablecimiento consideran necesario anular los acuerdos impugnados.</w:t>
      </w:r>
    </w:p>
    <w:p w14:paraId="77109163" w14:textId="77777777" w:rsidR="003754FE" w:rsidRDefault="003754FE" w:rsidP="003754FE">
      <w:pPr>
        <w:pStyle w:val="TextoNormal"/>
      </w:pPr>
    </w:p>
    <w:p w14:paraId="5BE2E012" w14:textId="77777777" w:rsidR="003754FE" w:rsidRDefault="003754FE" w:rsidP="003754FE">
      <w:pPr>
        <w:pStyle w:val="TextoNormal"/>
      </w:pPr>
      <w:r>
        <w:t xml:space="preserve">Los demandantes de amparo alegan que los acuerdos parlamentarios impugnados han vulnerado su derecho de representación política (art. 23.2 CE) al haberse visto afectado su </w:t>
      </w:r>
      <w:r w:rsidRPr="003754FE">
        <w:rPr>
          <w:i/>
        </w:rPr>
        <w:t>ius in officium</w:t>
      </w:r>
      <w:r>
        <w:t>, pues ha supuesto la admisión a trámite de una iniciativa legislativa popular cuyo contenido supone una vulneración palmaria del orden constitucional en contravención expresa de la Constitución y de lo resuelto reiteradamente por el Tribunal Constitucional. Destacan que, con esta decisión de admisión, los diputados se ven en la tesitura de tener que optar entre atender al mandato representativo de los ciudadanos por los que han resultado elegidos, para lo cual tendrían que asistir a un Pleno en el que se debatiría esa iniciativa manifiestamente inconstitucional, otorgándole una apariencia de legitimidad democrática; o no asistir a la sesión plenaria, lo que les llevaría a tener que ausentarse del Pleno para desvincularse de aquellas iniciativas prohibidas, desatendiendo de ese modo sus funciones como representantes políticos.</w:t>
      </w:r>
    </w:p>
    <w:p w14:paraId="07C82057" w14:textId="77777777" w:rsidR="003754FE" w:rsidRDefault="003754FE" w:rsidP="003754FE">
      <w:pPr>
        <w:pStyle w:val="TextoNormal"/>
      </w:pPr>
    </w:p>
    <w:p w14:paraId="6476992D" w14:textId="28CD569B" w:rsidR="003754FE" w:rsidRDefault="003754FE" w:rsidP="003754FE">
      <w:pPr>
        <w:pStyle w:val="TextoNormal"/>
      </w:pPr>
      <w:r>
        <w:t>Los demandantes de amparo justifican la especial trascendencia constitucional del recurso afirmando que parlamentaria plantea unas consecuencias políticas generales por su naturaleza, promoviéndose sin poder contar con una vía judicial previa en la que defender los derechos fundamentales de los representantes políticos. Inciden también en que los acuerdos impugnados son susceptibles de generar un grave perjuicio al interés general por la cuestión de fondo regulada en esta iniciativa legislativa popular.</w:t>
      </w:r>
    </w:p>
    <w:p w14:paraId="1DBF8EC6" w14:textId="77777777" w:rsidR="003754FE" w:rsidRDefault="003754FE" w:rsidP="003754FE">
      <w:pPr>
        <w:pStyle w:val="TextoNormal"/>
      </w:pPr>
    </w:p>
    <w:p w14:paraId="7D336450" w14:textId="4A0B4C48" w:rsidR="003754FE" w:rsidRDefault="003754FE" w:rsidP="003754FE">
      <w:pPr>
        <w:pStyle w:val="TextoNormal"/>
      </w:pPr>
      <w:r w:rsidRPr="003754FE">
        <w:rPr>
          <w:rStyle w:val="NumeroAFNegritaCaracter"/>
        </w:rPr>
        <w:t>4</w:t>
      </w:r>
      <w:r>
        <w:t>. La Sección Primera del Tribunal, por providencia de 9 de septiembre de 2024, acordó la admisión a trámite de la demanda de amparo, apreciando que concurre una especial trascendencia constitucional, ya que el asunto trasciende del caso concreto porque pudiera tener unas consecuencias políticas generales [STC 155/2009, de 25 de junio, FJ 2 g)]; dirigir atenta comunicación al Parlamento de Cataluña para la remisión de testimonio de las actuaciones y a los efectos de su personación en el presente proceso constitucional; y formar la oportuna pieza de suspensión, que fue resuelta por el ATC 98/2024, de 21 de octubre.</w:t>
      </w:r>
    </w:p>
    <w:p w14:paraId="24EFE2EF" w14:textId="77777777" w:rsidR="003754FE" w:rsidRDefault="003754FE" w:rsidP="003754FE">
      <w:pPr>
        <w:pStyle w:val="TextoNormal"/>
      </w:pPr>
    </w:p>
    <w:p w14:paraId="6D034246" w14:textId="28C9FE89" w:rsidR="003754FE" w:rsidRDefault="003754FE" w:rsidP="003754FE">
      <w:pPr>
        <w:pStyle w:val="TextoNormal"/>
      </w:pPr>
      <w:r w:rsidRPr="003754FE">
        <w:rPr>
          <w:rStyle w:val="NumeroAFNegritaCaracter"/>
        </w:rPr>
        <w:t>5</w:t>
      </w:r>
      <w:r>
        <w:t>. La Secretaría de Justicia de la Sala Primera del Tribunal, por diligencia de ordenación de 16 de octubre de 2024, tuvo por recibido el testimonio de las actuaciones, por personado y parte al Parlamento de Cataluña y acordó dar vista de las actuaciones a las partes personadas y al Ministerio Fiscal, por plazo común de veinte días, a fin de que, conforme con lo previsto en el art. 52 de la Ley Orgánica del Tribunal Constitucional (en adelante, LOTC), pudieran presentar alegaciones.</w:t>
      </w:r>
    </w:p>
    <w:p w14:paraId="12D48857" w14:textId="77777777" w:rsidR="003754FE" w:rsidRDefault="003754FE" w:rsidP="003754FE">
      <w:pPr>
        <w:pStyle w:val="TextoNormal"/>
      </w:pPr>
    </w:p>
    <w:p w14:paraId="138360FC" w14:textId="77777777" w:rsidR="003754FE" w:rsidRDefault="003754FE" w:rsidP="003754FE">
      <w:pPr>
        <w:pStyle w:val="TextoNormal"/>
      </w:pPr>
      <w:r w:rsidRPr="003754FE">
        <w:rPr>
          <w:rStyle w:val="NumeroAFNegritaCaracter"/>
        </w:rPr>
        <w:t>6</w:t>
      </w:r>
      <w:r>
        <w:t>. El Ministerio Fiscal, mediante escrito registrado el 29 de noviembre de 2024, presentó alegaciones interesando la estimación del amparo por vulneración del derecho de los recurrentes a ejercer las funciones representativas con los requisitos que señalan las leyes (art. 23.2 CE), en relación con el derecho de los ciudadanos a participar en los asuntos públicos a través de sus representantes (art. 23.1 CE), para cuyo restablecimiento insta solo la nulidad del acuerdo de 22 de febrero de 2024 desestimatorio de la reconsideración, toda vez que el acuerdo de 20 de febrero de 2024 ya ha sido declarado nulo por el tribunal en la STC 143/2024, de 20 de noviembre, pronunciada en la impugnación de disposiciones autonómicas núm. 2159-2024.</w:t>
      </w:r>
    </w:p>
    <w:p w14:paraId="6C9FD57E" w14:textId="77777777" w:rsidR="003754FE" w:rsidRDefault="003754FE" w:rsidP="003754FE">
      <w:pPr>
        <w:pStyle w:val="TextoNormal"/>
      </w:pPr>
    </w:p>
    <w:p w14:paraId="6F6DC069" w14:textId="3F124152" w:rsidR="003754FE" w:rsidRDefault="003754FE" w:rsidP="003754FE">
      <w:pPr>
        <w:pStyle w:val="TextoNormal"/>
      </w:pPr>
      <w:r>
        <w:t xml:space="preserve">El Ministerio Fiscal argumenta que “la mesa del Parlamento de Cataluña ha admitido a trámite la ‘Proposición de ley de declaración de independencia de Cataluña’, presentada a través del mecanismo de iniciativa legislativa popular, con infracción de su obligación de no admitir o dar curso a iniciativas parlamentarias que se opongan a las resoluciones del Tribunal Constitucional y, siendo consciente de que se está eludiendo con la admisión la efectividad de aquellas, habiéndose vulnerado, con ello, el derecho fundamental de los recurrentes en amparo al ejercicio del cargo parlamentario </w:t>
      </w:r>
      <w:r w:rsidRPr="003754FE">
        <w:rPr>
          <w:i/>
        </w:rPr>
        <w:t>ex</w:t>
      </w:r>
      <w:r>
        <w:t xml:space="preserve"> art. 23.2 CE y, correlativamente, el derecho de los ciudadanos a participar en los asuntos públicos a través de sus legítimos representantes del art. 23.1 CE”.</w:t>
      </w:r>
    </w:p>
    <w:p w14:paraId="2E548072" w14:textId="77777777" w:rsidR="003754FE" w:rsidRDefault="003754FE" w:rsidP="003754FE">
      <w:pPr>
        <w:pStyle w:val="TextoNormal"/>
      </w:pPr>
    </w:p>
    <w:p w14:paraId="038F341D" w14:textId="77777777" w:rsidR="003754FE" w:rsidRDefault="003754FE" w:rsidP="003754FE">
      <w:pPr>
        <w:pStyle w:val="TextoNormal"/>
      </w:pPr>
      <w:r w:rsidRPr="003754FE">
        <w:rPr>
          <w:rStyle w:val="NumeroAFNegritaCaracter"/>
        </w:rPr>
        <w:t>7</w:t>
      </w:r>
      <w:r>
        <w:t>. El Parlamento de Cataluña, por escrito registrado el 26 de noviembre de 2024, presentó alegaciones solicitando la desestimación del recurso.</w:t>
      </w:r>
    </w:p>
    <w:p w14:paraId="47818448" w14:textId="77777777" w:rsidR="003754FE" w:rsidRDefault="003754FE" w:rsidP="003754FE">
      <w:pPr>
        <w:pStyle w:val="TextoNormal"/>
      </w:pPr>
    </w:p>
    <w:p w14:paraId="2518B287" w14:textId="4721BBE1" w:rsidR="003754FE" w:rsidRDefault="003754FE" w:rsidP="003754FE">
      <w:pPr>
        <w:pStyle w:val="TextoNormal"/>
      </w:pPr>
      <w:r>
        <w:t>El Parlamento de Cataluña argumenta que (i) no se ha producido “como consecuencia de la admisión a trámite de la Proposición de ley de declaración de independencia de Cataluña, la vulneración de ninguna facultad parlamentaria concreta de los recurrentes en amparo que pueda ser reconocida por el Tribunal Constitucional, por lo que el recurso de amparo debiera haber sido inadmitido, como decidió el ATC 262/2007 o, en cualquier caso, desestimado, como decidieron las SSTC 173/2020 y 66/2021”; y (ii) la verdadera intención de la impugnación es “la de dificultar o impedir el debate parlamentario de una idea política con el pretexto de que su explicitación en un acto formal (aunque sea en el texto de una proposición de ley fruto de la iniciativa legislativa popular) es suficiente para ‘deducir’ de ella efectos jurídicos sobre los grupos parlamentarios y convertirla así en objeto de un procedimiento de protección de derechos fundamentales a través del recursos de amparo”. A ello añade que, habiendo tenido conocimiento de la anulación del acuerdo impugnado en el contexto de la impugnación de disposiciones autonómicas núm. 2159-2024, se discrepa respetuosamente de dicha anulación, existiendo margen para hacer una interpretación del acuerdo de 20 de febrero de 2024 que fuera lo más favorable para los promotores del derecho a la iniciativa legislativa popular.</w:t>
      </w:r>
    </w:p>
    <w:p w14:paraId="2B047518" w14:textId="77777777" w:rsidR="003754FE" w:rsidRDefault="003754FE" w:rsidP="003754FE">
      <w:pPr>
        <w:pStyle w:val="TextoNormal"/>
      </w:pPr>
    </w:p>
    <w:p w14:paraId="39732E74" w14:textId="12C9F4D4" w:rsidR="003754FE" w:rsidRDefault="003754FE" w:rsidP="003754FE">
      <w:pPr>
        <w:pStyle w:val="TextoNormal"/>
      </w:pPr>
      <w:r w:rsidRPr="003754FE">
        <w:rPr>
          <w:rStyle w:val="NumeroAFNegritaCaracter"/>
        </w:rPr>
        <w:t>8</w:t>
      </w:r>
      <w:r>
        <w:t>. Los demandantes de amparo no han presentado alegaciones.</w:t>
      </w:r>
    </w:p>
    <w:p w14:paraId="7DC291CA" w14:textId="77777777" w:rsidR="003754FE" w:rsidRDefault="003754FE" w:rsidP="003754FE">
      <w:pPr>
        <w:pStyle w:val="TextoNormal"/>
      </w:pPr>
    </w:p>
    <w:p w14:paraId="784ED1C9" w14:textId="02D2FC91" w:rsidR="003754FE" w:rsidRDefault="003754FE" w:rsidP="003754FE">
      <w:pPr>
        <w:pStyle w:val="TextoNormal"/>
      </w:pPr>
      <w:r w:rsidRPr="003754FE">
        <w:rPr>
          <w:rStyle w:val="NumeroAFNegritaCaracter"/>
        </w:rPr>
        <w:t>9</w:t>
      </w:r>
      <w:r>
        <w:t>. Por providencia de 12 de diciembre de 2024 se señaló para deliberación y votación de la presente sentencia el día 16 del mismo mes y año.</w:t>
      </w:r>
    </w:p>
    <w:p w14:paraId="119F873A" w14:textId="77777777" w:rsidR="003754FE" w:rsidRDefault="003754FE" w:rsidP="003754FE">
      <w:pPr>
        <w:pStyle w:val="TextoNormal"/>
      </w:pPr>
    </w:p>
    <w:p w14:paraId="3EA6ADDF" w14:textId="77777777" w:rsidR="003754FE" w:rsidRDefault="003754FE" w:rsidP="003754FE">
      <w:pPr>
        <w:pStyle w:val="TextoNormalNegritaCentrado"/>
        <w:keepNext/>
      </w:pPr>
      <w:r>
        <w:t>II. Fundamentos jurídicos</w:t>
      </w:r>
    </w:p>
    <w:p w14:paraId="74EA5CAF" w14:textId="5DF29764" w:rsidR="003754FE" w:rsidRDefault="003754FE" w:rsidP="003754FE">
      <w:pPr>
        <w:pStyle w:val="TextoNormalNegritaCentrado"/>
        <w:keepNext/>
      </w:pPr>
    </w:p>
    <w:p w14:paraId="61D33ECC" w14:textId="77777777" w:rsidR="003754FE" w:rsidRDefault="003754FE" w:rsidP="003754FE">
      <w:pPr>
        <w:pStyle w:val="TextoNormal"/>
      </w:pPr>
      <w:r w:rsidRPr="003754FE">
        <w:rPr>
          <w:rStyle w:val="TextoNormalNegritaCaracter"/>
        </w:rPr>
        <w:t xml:space="preserve">Único. </w:t>
      </w:r>
      <w:r w:rsidRPr="003754FE">
        <w:rPr>
          <w:i/>
        </w:rPr>
        <w:t>Objeto del recurso</w:t>
      </w:r>
    </w:p>
    <w:p w14:paraId="73E4CD24" w14:textId="77777777" w:rsidR="003754FE" w:rsidRDefault="003754FE" w:rsidP="003754FE">
      <w:pPr>
        <w:pStyle w:val="TextoNormal"/>
      </w:pPr>
    </w:p>
    <w:p w14:paraId="706B6296" w14:textId="77777777" w:rsidR="003754FE" w:rsidRDefault="003754FE" w:rsidP="003754FE">
      <w:pPr>
        <w:pStyle w:val="TextoNormal"/>
      </w:pPr>
      <w:r>
        <w:t>El objeto de este recurso es determinar si vulnera el derecho a la representación política de los demandantes de amparo los acuerdos de la mesa del Parlamento de Cataluña de 20 de febrero de 2024, por el que se admite a trámite la iniciativa legislativa popular relativa a la “Proposición de ley de declaración de la independencia de Cataluña”; y de 22 de febrero de 2024, por el que se desestima la petición de reconsideración del anterior efectuada por su grupo parlamentario.</w:t>
      </w:r>
    </w:p>
    <w:p w14:paraId="6224A130" w14:textId="77777777" w:rsidR="003754FE" w:rsidRDefault="003754FE" w:rsidP="003754FE">
      <w:pPr>
        <w:pStyle w:val="TextoNormal"/>
      </w:pPr>
    </w:p>
    <w:p w14:paraId="739D4BC5" w14:textId="77777777" w:rsidR="003754FE" w:rsidRDefault="003754FE" w:rsidP="003754FE">
      <w:pPr>
        <w:pStyle w:val="TextoNormal"/>
      </w:pPr>
      <w:r>
        <w:t>El Tribunal, en la STC 143/2024, de 20 de noviembre, dictada en el procedimiento de impugnación de disposiciones autonómicas (título V LOTC) núm. 2159-2024, ya ha declarado inconstitucional y nulo el citado acuerdo de 20 de febrero de 2024, por considerar que la admisión a trámite de esta iniciativa contraviene lo dispuesto, entre otros, en el art. 23 CE [fundamento jurídico 3 d)]. Por tanto, con remisión a lo expuesto en la citada sentencia debe ahora declararse que dicho acuerdo ha vulnerado el derecho a la representación política de los demandantes de amparo, así como el acuerdo de 22 de febrero de 2024, en tanto que confirmó aquel.</w:t>
      </w:r>
    </w:p>
    <w:p w14:paraId="2614017C" w14:textId="77777777" w:rsidR="003754FE" w:rsidRDefault="003754FE" w:rsidP="003754FE">
      <w:pPr>
        <w:pStyle w:val="TextoNormal"/>
      </w:pPr>
    </w:p>
    <w:p w14:paraId="76EE3B90" w14:textId="096B149F" w:rsidR="003754FE" w:rsidRDefault="003754FE" w:rsidP="003754FE">
      <w:pPr>
        <w:pStyle w:val="TextoNormal"/>
      </w:pPr>
      <w:r>
        <w:t>No resulta necesario para el restablecimiento de este derecho la anulación del acuerdo de 20 de febrero de 2024, por haber sido anulado ya por este tribunal, pero sí del acuerdo de 22 de febrero de 2024, que confirmó el primero al desestimar su reconsideración.</w:t>
      </w:r>
    </w:p>
    <w:p w14:paraId="4571CFD8" w14:textId="77777777" w:rsidR="003754FE" w:rsidRDefault="003754FE" w:rsidP="003754FE">
      <w:pPr>
        <w:pStyle w:val="TextoNormal"/>
      </w:pPr>
    </w:p>
    <w:p w14:paraId="6BE7A7B8" w14:textId="77777777" w:rsidR="003754FE" w:rsidRDefault="003754FE" w:rsidP="003754FE">
      <w:pPr>
        <w:pStyle w:val="TextoNormalCentrado"/>
        <w:keepNext/>
      </w:pPr>
      <w:r>
        <w:t>FALLO</w:t>
      </w:r>
    </w:p>
    <w:p w14:paraId="2F8B75C9" w14:textId="14326209" w:rsidR="003754FE" w:rsidRDefault="003754FE" w:rsidP="003754FE">
      <w:pPr>
        <w:pStyle w:val="TextoNormalCentrado"/>
        <w:keepNext/>
      </w:pPr>
    </w:p>
    <w:p w14:paraId="2D5E40DF" w14:textId="77777777" w:rsidR="003754FE" w:rsidRDefault="003754FE" w:rsidP="003754FE">
      <w:pPr>
        <w:pStyle w:val="TextoNormal"/>
      </w:pPr>
      <w:r>
        <w:t>En atención a todo lo expuesto, el Tribunal Constitucional, por la autoridad que le confiere la Constitución de la Nación española, ha decidido estimar el recurso de amparo interpuesto por don Carlos Carrizosa Torres, doña Anna Grau Arias, don Joan García González, doña Marina Bravo Sobrino, don Matías Alonso Ruiz y doña Noemí de la Calle Sifré, y, en su virtud:</w:t>
      </w:r>
    </w:p>
    <w:p w14:paraId="4D8B0E69" w14:textId="77777777" w:rsidR="003754FE" w:rsidRDefault="003754FE" w:rsidP="003754FE">
      <w:pPr>
        <w:pStyle w:val="TextoNormal"/>
      </w:pPr>
    </w:p>
    <w:p w14:paraId="1C3F76B0" w14:textId="77777777" w:rsidR="003754FE" w:rsidRDefault="003754FE" w:rsidP="003754FE">
      <w:pPr>
        <w:pStyle w:val="TextoNormal"/>
      </w:pPr>
      <w:r>
        <w:t>1º Declarar que se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14:paraId="59906478" w14:textId="77777777" w:rsidR="003754FE" w:rsidRDefault="003754FE" w:rsidP="003754FE">
      <w:pPr>
        <w:pStyle w:val="TextoNormal"/>
      </w:pPr>
    </w:p>
    <w:p w14:paraId="505BA351" w14:textId="4B2DD027" w:rsidR="003754FE" w:rsidRDefault="003754FE" w:rsidP="003754FE">
      <w:pPr>
        <w:pStyle w:val="TextoNormal"/>
      </w:pPr>
      <w:r>
        <w:t>2º Restablecer a los recurrentes en su derecho y, a tal fin, declarar la nulidad del acuerdo de la mesa del Parlamento de Cataluña de 22 de febrero de 2024, por el que se desestima la reconsideración del acuerdo de 20 de febrero de 2024, por el que se admite a trámite la iniciativa legislativa popular relativa a la “Proposición de ley de declaración de la independencia de Cataluña”.</w:t>
      </w:r>
    </w:p>
    <w:p w14:paraId="43195DE3" w14:textId="77777777" w:rsidR="003754FE" w:rsidRDefault="003754FE" w:rsidP="003754FE">
      <w:pPr>
        <w:pStyle w:val="TextoNormal"/>
      </w:pPr>
    </w:p>
    <w:p w14:paraId="421D1CAD" w14:textId="77777777" w:rsidR="003754FE" w:rsidRDefault="003754FE" w:rsidP="003754FE">
      <w:pPr>
        <w:pStyle w:val="TextoNormal"/>
      </w:pPr>
      <w:r>
        <w:t>Publíquese esta sentencia en el “Boletín Oficial del Estado”.</w:t>
      </w:r>
    </w:p>
    <w:p w14:paraId="0544AECF" w14:textId="77777777" w:rsidR="003754FE" w:rsidRDefault="003754FE" w:rsidP="003754FE">
      <w:pPr>
        <w:pStyle w:val="TextoNormal"/>
      </w:pPr>
      <w:r>
        <w:t>Dada en Madrid, a dieciséis de diciembre de dos mil veinticuatro.</w:t>
      </w:r>
    </w:p>
    <w:p w14:paraId="22C65CFC" w14:textId="2EE9F3CF" w:rsidR="003754FE" w:rsidRDefault="003754FE">
      <w:pPr>
        <w:spacing w:after="160" w:line="278" w:lineRule="auto"/>
        <w:rPr>
          <w:rFonts w:ascii="Times New Roman" w:eastAsia="Times New Roman" w:hAnsi="Times New Roman" w:cs="Times New Roman"/>
          <w:sz w:val="24"/>
          <w:szCs w:val="24"/>
          <w:lang w:eastAsia="es-ES"/>
        </w:rPr>
      </w:pPr>
      <w:r>
        <w:br w:type="page"/>
      </w:r>
    </w:p>
    <w:p w14:paraId="42D38823" w14:textId="77777777" w:rsidR="003754FE" w:rsidRDefault="003754FE" w:rsidP="003754FE">
      <w:pPr>
        <w:pStyle w:val="TtuloResolucin"/>
      </w:pPr>
      <w:bookmarkStart w:id="66" w:name="SENTENCIA_2024_157"/>
      <w:r>
        <w:t>SENTENCIA 157/2024, de 17 de diciembre de 2024</w:t>
      </w:r>
    </w:p>
    <w:bookmarkEnd w:id="66"/>
    <w:p w14:paraId="06E5F5AD" w14:textId="77777777" w:rsidR="003754FE" w:rsidRDefault="003754FE" w:rsidP="003754FE">
      <w:pPr>
        <w:pStyle w:val="TtuloResolucin"/>
      </w:pPr>
      <w:r>
        <w:t>Pleno</w:t>
      </w:r>
    </w:p>
    <w:p w14:paraId="04FCDC4A" w14:textId="77777777" w:rsidR="003754FE" w:rsidRDefault="003754FE" w:rsidP="003754FE">
      <w:pPr>
        <w:pStyle w:val="TtuloBOE"/>
      </w:pPr>
      <w:r>
        <w:t>(BOE núm. 21, de 24 de enero de 2025)</w:t>
      </w:r>
    </w:p>
    <w:p w14:paraId="40BB410A" w14:textId="77777777" w:rsidR="003754FE" w:rsidRDefault="003754FE" w:rsidP="003754FE">
      <w:pPr>
        <w:pStyle w:val="TextoNormalCentrado"/>
      </w:pPr>
      <w:r>
        <w:t>ECLI:ES:TC:2024:157</w:t>
      </w:r>
    </w:p>
    <w:p w14:paraId="38E62B21" w14:textId="71115372" w:rsidR="003754FE" w:rsidRDefault="003754FE" w:rsidP="003754FE">
      <w:pPr>
        <w:pStyle w:val="TextoNormalCentrado"/>
      </w:pPr>
    </w:p>
    <w:p w14:paraId="50C74323" w14:textId="77777777" w:rsidR="003754FE" w:rsidRDefault="003754FE" w:rsidP="003754FE">
      <w:pPr>
        <w:pStyle w:val="SntesisDescriptiva"/>
      </w:pPr>
      <w:r>
        <w:t>Recurso de inconstitucionalidad 1302-2022. Interpuesto por más de cincuenta diputados de los grupos parlamentarios Confederal Unidas Podemos, Plural y Republicano en el Congreso de los Diputados respecto del artículo 225 (“De la retirada de las iniciativas ante las Cortes Generales”) del Reglamento de la Asamblea Regional de Murcia, introducido mediante la reforma parcial del mismo publicada en el “Boletín Oficial de la Asamblea Regional de Murcia” el 1 de diciembre de 2021.</w:t>
      </w:r>
    </w:p>
    <w:p w14:paraId="0EFEA0DF" w14:textId="74072299" w:rsidR="003754FE" w:rsidRDefault="003754FE" w:rsidP="003754FE">
      <w:pPr>
        <w:pStyle w:val="SntesisDescriptiva"/>
      </w:pPr>
    </w:p>
    <w:p w14:paraId="5C38F6D1" w14:textId="77777777" w:rsidR="003754FE" w:rsidRDefault="003754FE" w:rsidP="003754FE">
      <w:pPr>
        <w:pStyle w:val="SntesisAnaltica"/>
      </w:pPr>
      <w:r>
        <w:t>Alegada vulneración de los principios de seguridad jurídica e interdicción de la arbitrariedad y del derecho al ejercicio de las funciones representativas: inadmisión al no haberse acreditado la representación de once de los cincuenta y un diputados que se dicen promotores del recurso de inconstitucionalidad.</w:t>
      </w:r>
    </w:p>
    <w:p w14:paraId="5EDFF01E" w14:textId="6A691434" w:rsidR="003754FE" w:rsidRDefault="003754FE" w:rsidP="003754FE">
      <w:pPr>
        <w:pStyle w:val="SntesisAnaltica"/>
      </w:pPr>
    </w:p>
    <w:p w14:paraId="2B6BB5BD" w14:textId="5E27E089" w:rsidR="003754FE" w:rsidRDefault="003754FE" w:rsidP="003754FE">
      <w:pPr>
        <w:pStyle w:val="Extracto"/>
      </w:pPr>
      <w:r>
        <w:t>1.</w:t>
      </w:r>
      <w:r>
        <w:tab/>
        <w:t>El requisito de legitimación establecido en los artículos 162.1 a) CE y 32.1 c) LOTC exige que hayan de ser al menos cincuenta los diputados debidamente representados y legitimados para interponer el recurso de inconstitucionalidad [FJ 2].</w:t>
      </w:r>
    </w:p>
    <w:p w14:paraId="6A6FF749" w14:textId="77777777" w:rsidR="003754FE" w:rsidRDefault="003754FE" w:rsidP="003754FE">
      <w:pPr>
        <w:pStyle w:val="Extracto"/>
      </w:pPr>
    </w:p>
    <w:p w14:paraId="04CA295E" w14:textId="77777777" w:rsidR="003754FE" w:rsidRDefault="003754FE" w:rsidP="003754FE">
      <w:pPr>
        <w:pStyle w:val="Extracto"/>
      </w:pPr>
    </w:p>
    <w:p w14:paraId="75981E14" w14:textId="77777777" w:rsidR="003754FE" w:rsidRDefault="003754FE" w:rsidP="003754FE">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052B5F07" w14:textId="7043D6E6" w:rsidR="003754FE" w:rsidRDefault="003754FE" w:rsidP="003754FE">
      <w:pPr>
        <w:pStyle w:val="TextoNormal"/>
      </w:pPr>
    </w:p>
    <w:p w14:paraId="3A91D1A9" w14:textId="77777777" w:rsidR="003754FE" w:rsidRDefault="003754FE" w:rsidP="003754FE">
      <w:pPr>
        <w:pStyle w:val="TextoNormalCentrado"/>
        <w:keepNext/>
      </w:pPr>
      <w:r>
        <w:t>EN NOMBRE DEL REY</w:t>
      </w:r>
    </w:p>
    <w:p w14:paraId="6B822192" w14:textId="7A4EC2BD" w:rsidR="003754FE" w:rsidRDefault="003754FE" w:rsidP="003754FE">
      <w:pPr>
        <w:pStyle w:val="TextoNormalCentrado"/>
        <w:keepNext/>
      </w:pPr>
    </w:p>
    <w:p w14:paraId="320DE845" w14:textId="77777777" w:rsidR="003754FE" w:rsidRDefault="003754FE" w:rsidP="003754FE">
      <w:pPr>
        <w:pStyle w:val="TextoNormalCentrado"/>
        <w:keepNext/>
      </w:pPr>
    </w:p>
    <w:p w14:paraId="26B53379" w14:textId="77777777" w:rsidR="003754FE" w:rsidRDefault="003754FE" w:rsidP="003754FE">
      <w:pPr>
        <w:pStyle w:val="TextoNormal"/>
      </w:pPr>
      <w:r>
        <w:t>la siguiente</w:t>
      </w:r>
    </w:p>
    <w:p w14:paraId="72EAE69E" w14:textId="389E29C5" w:rsidR="003754FE" w:rsidRDefault="003754FE" w:rsidP="003754FE">
      <w:pPr>
        <w:pStyle w:val="TextoNormal"/>
      </w:pPr>
    </w:p>
    <w:p w14:paraId="7CD1937E" w14:textId="77777777" w:rsidR="003754FE" w:rsidRDefault="003754FE" w:rsidP="003754FE">
      <w:pPr>
        <w:pStyle w:val="TextoNormalCentrado"/>
        <w:keepNext/>
      </w:pPr>
      <w:r>
        <w:t>SENTENCIA</w:t>
      </w:r>
    </w:p>
    <w:p w14:paraId="4FD8DE36" w14:textId="4DD1986E" w:rsidR="003754FE" w:rsidRDefault="003754FE" w:rsidP="003754FE">
      <w:pPr>
        <w:pStyle w:val="TextoNormalCentrado"/>
        <w:keepNext/>
      </w:pPr>
    </w:p>
    <w:p w14:paraId="11C8F380" w14:textId="77777777" w:rsidR="003754FE" w:rsidRDefault="003754FE" w:rsidP="003754FE">
      <w:pPr>
        <w:pStyle w:val="TextoNormal"/>
      </w:pPr>
      <w:r>
        <w:t>En el recurso de inconstitucionalidad núm. 1302-2022, interpuesto por más de cincuenta diputados de los grupos parlamentarios Confederal Unidas Podemos, Plural y Republicano en el Congreso de los Diputados contra el artículo 225 (“De la retirada de las iniciativas ante las Cortes Generales”) del Reglamento de la Asamblea Regional de Murcia, introducido mediante la reforma parcial del mismo publicada en el “Boletín Oficial de la Asamblea Regional de Murcia” el 1 de diciembre de 2021. Han comparecido y formulado alegaciones el Gobierno de la Región de Murcia y la Asamblea Regional de Murcia. Ha sido ponente la magistrada doña Inmaculada Montalbán Huertas.</w:t>
      </w:r>
    </w:p>
    <w:p w14:paraId="03E351E4" w14:textId="451D5815" w:rsidR="003754FE" w:rsidRDefault="003754FE" w:rsidP="003754FE">
      <w:pPr>
        <w:pStyle w:val="TextoNormal"/>
      </w:pPr>
    </w:p>
    <w:p w14:paraId="6790EAC7" w14:textId="77777777" w:rsidR="003754FE" w:rsidRDefault="003754FE" w:rsidP="003754FE">
      <w:pPr>
        <w:pStyle w:val="TextoNormalNegritaCentrado"/>
        <w:keepNext/>
      </w:pPr>
      <w:r>
        <w:t>I. Antecedentes</w:t>
      </w:r>
    </w:p>
    <w:p w14:paraId="0CAB091D" w14:textId="1889550F" w:rsidR="003754FE" w:rsidRDefault="003754FE" w:rsidP="003754FE">
      <w:pPr>
        <w:pStyle w:val="TextoNormalNegritaCentrado"/>
        <w:keepNext/>
      </w:pPr>
    </w:p>
    <w:p w14:paraId="2A02CCD1" w14:textId="77777777" w:rsidR="003754FE" w:rsidRDefault="003754FE" w:rsidP="003754FE">
      <w:pPr>
        <w:pStyle w:val="TextoNormal"/>
      </w:pPr>
      <w:r w:rsidRPr="003754FE">
        <w:rPr>
          <w:rStyle w:val="NumeroAFNegritaCaracter"/>
        </w:rPr>
        <w:t>1</w:t>
      </w:r>
      <w:r>
        <w:t>. Mediante escrito registrado en este Tribunal el 28 de febrero de 2022, el procurador de los tribunales don José Miguel Martínez-Fresneda Gambra, en nombre y representación de don Javier Sánchez Serna, quien a su vez ejerce como comisionado en nombre y representación de cincuenta y un diputados y diputadas de los grupos parlamentarios Confederal Unidas Podemos, Plural y Republicano en el Congreso de los Diputados, ha interpuesto recurso de inconstitucionalidad contra el precepto arriba referido (artículo 225) del Reglamento de la Asamblea Regional de Murcia, publicado en el “Boletín Oficial de la Asamblea Regional de Murcia “núm. 96, de 1 de diciembre de 2021.</w:t>
      </w:r>
    </w:p>
    <w:p w14:paraId="441938EB" w14:textId="77777777" w:rsidR="003754FE" w:rsidRDefault="003754FE" w:rsidP="003754FE">
      <w:pPr>
        <w:pStyle w:val="TextoNormal"/>
      </w:pPr>
    </w:p>
    <w:p w14:paraId="5816F9B1" w14:textId="77777777" w:rsidR="003754FE" w:rsidRDefault="003754FE" w:rsidP="003754FE">
      <w:pPr>
        <w:pStyle w:val="TextoNormal"/>
      </w:pPr>
      <w:r>
        <w:t>El 1 de marzo de 2022 se registra un segundo escrito en este tribunal presentado por el mismo procurador de los tribunales, don José Miguel Martínez-Fresneda Gambra, que actúa directamente (sin que se designe comisionado alguno) en nombre y representación de los mismos cincuenta y un diputados y diputadas del Grupo Parlamentario Confederal Unidas Podemos, Grupo Parlamentario Plural y Grupo Parlamentario Republicano en el Congreso de los Diputados, y que tiene idéntico contenido que el anterior.</w:t>
      </w:r>
    </w:p>
    <w:p w14:paraId="395322AC" w14:textId="77777777" w:rsidR="003754FE" w:rsidRDefault="003754FE" w:rsidP="003754FE">
      <w:pPr>
        <w:pStyle w:val="TextoNormal"/>
      </w:pPr>
    </w:p>
    <w:p w14:paraId="7141965A" w14:textId="77777777" w:rsidR="003754FE" w:rsidRDefault="003754FE" w:rsidP="003754FE">
      <w:pPr>
        <w:pStyle w:val="TextoNormal"/>
      </w:pPr>
      <w:r>
        <w:t>El precepto impugnado es del siguiente tenor:</w:t>
      </w:r>
    </w:p>
    <w:p w14:paraId="228D513C" w14:textId="77777777" w:rsidR="003754FE" w:rsidRDefault="003754FE" w:rsidP="003754FE">
      <w:pPr>
        <w:pStyle w:val="TextoNormal"/>
      </w:pPr>
    </w:p>
    <w:p w14:paraId="15858B69" w14:textId="77777777" w:rsidR="003754FE" w:rsidRDefault="003754FE" w:rsidP="003754FE">
      <w:pPr>
        <w:pStyle w:val="TextoNormal"/>
      </w:pPr>
      <w:r>
        <w:t>“Artículo 225. De la retirada de las iniciativas ante las Cortes Generales.</w:t>
      </w:r>
    </w:p>
    <w:p w14:paraId="60C7EBC9" w14:textId="77777777" w:rsidR="003754FE" w:rsidRDefault="003754FE" w:rsidP="003754FE">
      <w:pPr>
        <w:pStyle w:val="TextoNormal"/>
      </w:pPr>
    </w:p>
    <w:p w14:paraId="049645BC" w14:textId="70AD577B" w:rsidR="003754FE" w:rsidRDefault="003754FE" w:rsidP="003754FE">
      <w:pPr>
        <w:pStyle w:val="TextoNormal"/>
      </w:pPr>
      <w:r>
        <w:t>En cualquier momento de la tramitación ante las Cortes Generales, el Pleno de la Asamblea Regional podrá adoptar el acuerdo de retirada de una iniciativa legislativa que hubiere sido remitido a estas”.</w:t>
      </w:r>
    </w:p>
    <w:p w14:paraId="798FE33A" w14:textId="77777777" w:rsidR="003754FE" w:rsidRDefault="003754FE" w:rsidP="003754FE">
      <w:pPr>
        <w:pStyle w:val="TextoNormal"/>
      </w:pPr>
    </w:p>
    <w:p w14:paraId="18A87354" w14:textId="77777777" w:rsidR="003754FE" w:rsidRDefault="003754FE" w:rsidP="003754FE">
      <w:pPr>
        <w:pStyle w:val="TextoNormal"/>
      </w:pPr>
      <w:r w:rsidRPr="003754FE">
        <w:rPr>
          <w:rStyle w:val="NumeroAFNegritaCaracter"/>
        </w:rPr>
        <w:t>2</w:t>
      </w:r>
      <w:r>
        <w:t>. Los motivos que fundamentan el recurso de inconstitucionalidad, sucintamente expuestos, son los siguientes:</w:t>
      </w:r>
    </w:p>
    <w:p w14:paraId="3DF0E8F3" w14:textId="77777777" w:rsidR="003754FE" w:rsidRDefault="003754FE" w:rsidP="003754FE">
      <w:pPr>
        <w:pStyle w:val="TextoNormal"/>
      </w:pPr>
    </w:p>
    <w:p w14:paraId="63101009" w14:textId="77777777" w:rsidR="003754FE" w:rsidRDefault="003754FE" w:rsidP="003754FE">
      <w:pPr>
        <w:pStyle w:val="TextoNormal"/>
      </w:pPr>
      <w:r>
        <w:t>A) En primer lugar, los recurrentes, tras alegar que el precepto recurrido atenta contra los principios de seguridad jurídica e interdicción de la arbitrariedad, consagrados ambos en el artículo 9.3 CE, proceden a contextualizar las circunstancias en que se llevó a efecto la reforma del Reglamento de la Asamblea Regional de Murcia:</w:t>
      </w:r>
    </w:p>
    <w:p w14:paraId="20600204" w14:textId="77777777" w:rsidR="003754FE" w:rsidRDefault="003754FE" w:rsidP="003754FE">
      <w:pPr>
        <w:pStyle w:val="TextoNormal"/>
      </w:pPr>
    </w:p>
    <w:p w14:paraId="35C97730" w14:textId="77777777" w:rsidR="003754FE" w:rsidRDefault="003754FE" w:rsidP="003754FE">
      <w:pPr>
        <w:pStyle w:val="TextoNormal"/>
      </w:pPr>
      <w:r>
        <w:t>a) El 2 de abril de 2019 se aprobó por parte de esta el proyecto de reforma del Estatuto de Autonomía de la Región de Murcia, por la mayoría de tres quintos de los diputados autonómicos que exige el artículo 55.2 del Estatuto de Autonomía [así como el art. 145.2 a) del Reglamento de la Asamblea Regional].</w:t>
      </w:r>
    </w:p>
    <w:p w14:paraId="295BE260" w14:textId="77777777" w:rsidR="003754FE" w:rsidRDefault="003754FE" w:rsidP="003754FE">
      <w:pPr>
        <w:pStyle w:val="TextoNormal"/>
      </w:pPr>
    </w:p>
    <w:p w14:paraId="71592E78" w14:textId="77777777" w:rsidR="003754FE" w:rsidRDefault="003754FE" w:rsidP="003754FE">
      <w:pPr>
        <w:pStyle w:val="TextoNormal"/>
      </w:pPr>
      <w:r>
        <w:t>b) Siguiendo el trámite parlamentario oportuno, este proyecto de reforma estatutaria se remitió al Congreso de los Diputados el 3 de diciembre de 2019.</w:t>
      </w:r>
    </w:p>
    <w:p w14:paraId="36B53057" w14:textId="77777777" w:rsidR="003754FE" w:rsidRDefault="003754FE" w:rsidP="003754FE">
      <w:pPr>
        <w:pStyle w:val="TextoNormal"/>
      </w:pPr>
    </w:p>
    <w:p w14:paraId="0A9637ED" w14:textId="77777777" w:rsidR="003754FE" w:rsidRDefault="003754FE" w:rsidP="003754FE">
      <w:pPr>
        <w:pStyle w:val="TextoNormal"/>
      </w:pPr>
      <w:r>
        <w:t>c)El 29 de noviembre de 2021 la Asamblea Regional aprobó el proyecto de reforma del Reglamento de la Asamblea, a fin de incluir un nuevo artículo 225, con el contenido arriba referido, que ahora se impugna.</w:t>
      </w:r>
    </w:p>
    <w:p w14:paraId="65A768B1" w14:textId="77777777" w:rsidR="003754FE" w:rsidRDefault="003754FE" w:rsidP="003754FE">
      <w:pPr>
        <w:pStyle w:val="TextoNormal"/>
      </w:pPr>
    </w:p>
    <w:p w14:paraId="64920C02" w14:textId="77777777" w:rsidR="003754FE" w:rsidRDefault="003754FE" w:rsidP="003754FE">
      <w:pPr>
        <w:pStyle w:val="TextoNormal"/>
      </w:pPr>
      <w:r>
        <w:t>d) El 2 de diciembre de 2021 la Asamblea Regional aprueba por mayoría absoluta, en concreto con el voto favorable de veinticuatro de los cuarenta y cinco diputados que integran la Asamblea (esto es, el 53 por 100 de los diputados), una propuesta de resolución para retirar el proyecto de reforma del estatuto de autonomía, que ya había superado el trámite de toma en consideración por la mesa del Congreso de los Diputados y estaba pendiente de informe de ponencia en la Comisión Constitucional.</w:t>
      </w:r>
    </w:p>
    <w:p w14:paraId="20E97CC8" w14:textId="77777777" w:rsidR="003754FE" w:rsidRDefault="003754FE" w:rsidP="003754FE">
      <w:pPr>
        <w:pStyle w:val="TextoNormal"/>
      </w:pPr>
    </w:p>
    <w:p w14:paraId="7AEC9E9B" w14:textId="77777777" w:rsidR="003754FE" w:rsidRDefault="003754FE" w:rsidP="003754FE">
      <w:pPr>
        <w:pStyle w:val="TextoNormal"/>
      </w:pPr>
      <w:r>
        <w:t>e) Dada la omisión estatutaria y reglamentaria sobre la mayoría que precisa el Pleno de la cámara autonómica para instar la retirada del proyecto de reforma que se encuentra en tramitación en las Cortes Generales, los diputados del Grupo Parlamentario Confederal Unidas Podemos entendieron que tal mayoría debía ser de tres quintos, es decir, la misma que se precisa para aprobarlo, pues lo contrario implicaría, en su opinión, una intolerable discriminación entre diputados (y, por ende, entre los ciudadanos que les eligieron) en función de su posición política e ideológica, ya que quien apoye el proyecto necesitará una amplia mayoría para sacarlo adelante en la cámara autonómica, pero quien quiera acabar con él, retirándolo de su tramitación en el Congreso de los Diputados, solo precisará una mayoría absoluta, o, incluso simple, pues dado el total silencio del artículo reformado cualquier interpretación es posible. De hecho, la mesa de la Asamblea Regional consideró que el nuevo artículo 225 permitía que la mera mayoría simple era suficiente para instar al Congreso de los Diputados su retirada; y así lo hizo.</w:t>
      </w:r>
    </w:p>
    <w:p w14:paraId="6F450878" w14:textId="77777777" w:rsidR="003754FE" w:rsidRDefault="003754FE" w:rsidP="003754FE">
      <w:pPr>
        <w:pStyle w:val="TextoNormal"/>
      </w:pPr>
    </w:p>
    <w:p w14:paraId="0A11F197" w14:textId="77777777" w:rsidR="003754FE" w:rsidRDefault="003754FE" w:rsidP="003754FE">
      <w:pPr>
        <w:pStyle w:val="TextoNormal"/>
      </w:pPr>
      <w:r>
        <w:t>B) Según los recurrentes, es radicalmente contrario al principio de seguridad jurídica consagrado en el art. 9.3 CE que un reglamento parlamentario no especifique qué mayoría será precisa para realizar un acto de tanta relevancia como la retirada de una iniciativa legislativa ante las Cortes Generales, dando pie a las interpretaciones más dispares y arbitrarias. La manifiesta inseguridad jurídica que provoca ese silencio coloca a los diputados en un estado de indefensión mayúsculo, al permitir que mayorías puntuales de la mesa de la Asamblea Regional realicen interpretaciones contradictorias y arbitrarias acerca del número de votos precisos para retirar una iniciativa legislativa, tal y como sucedió en el caso presente, donde se asumió que la mera mayoría simple era bastante para retirar un proyecto de reforma del estatuto de autonomía aprobado, por imperativo legal, por una mayoría de tres quintos.</w:t>
      </w:r>
    </w:p>
    <w:p w14:paraId="2A19FAAF" w14:textId="77777777" w:rsidR="003754FE" w:rsidRDefault="003754FE" w:rsidP="003754FE">
      <w:pPr>
        <w:pStyle w:val="TextoNormal"/>
      </w:pPr>
    </w:p>
    <w:p w14:paraId="06E5B8D9" w14:textId="77777777" w:rsidR="003754FE" w:rsidRDefault="003754FE" w:rsidP="003754FE">
      <w:pPr>
        <w:pStyle w:val="TextoNormal"/>
      </w:pPr>
      <w:r>
        <w:t>En opinión de los recurrentes, se infringe el artículo 9.3 CE no solo porque el silencio de una ley sobre aspectos clave a regular por la misma es sinónimo de radical inseguridad jurídica, sino también porque, como consecuencia de dicho silencio, se sitúa a la mesa ante la posibilidad de realizar interpretaciones irrazonables acerca de las mayorías idóneas para retirar las iniciativas legislativas, susceptibles de vulnerar el principio de interdicción de la arbitrariedad.</w:t>
      </w:r>
    </w:p>
    <w:p w14:paraId="7E391F47" w14:textId="77777777" w:rsidR="003754FE" w:rsidRDefault="003754FE" w:rsidP="003754FE">
      <w:pPr>
        <w:pStyle w:val="TextoNormal"/>
      </w:pPr>
    </w:p>
    <w:p w14:paraId="71F52804" w14:textId="77777777" w:rsidR="003754FE" w:rsidRDefault="003754FE" w:rsidP="003754FE">
      <w:pPr>
        <w:pStyle w:val="TextoNormal"/>
      </w:pPr>
      <w:r>
        <w:t>C) Rechazan, asimismo, los recurrentes que se pueda llevar a cabo una interpretación del artículo 225 del Reglamento de la Asamblea Regional, en virtud de la cual se niegue que el mismo guarda silencio sobre la cuestión controvertida, en la medida en que cabría entender que se remite tácitamente al artículo 100.1 del mismo reglamento, donde se establece que “[s]alvo que el Estatuto de Autonomía, una ley o este Reglamento exijan mayorías distintas, los acuerdos de la Asamblea o de cualquiera de sus órganos se adoptarán por mayoría simple de los miembros presentes”. Esta interpretación resulta, en su opinión, impensable, ya que consideran “inconcebible que una mayoría simple pueda tumbar iniciativas legislativas que precisan tres quintos para su aprobación”.</w:t>
      </w:r>
    </w:p>
    <w:p w14:paraId="424CED2A" w14:textId="77777777" w:rsidR="003754FE" w:rsidRDefault="003754FE" w:rsidP="003754FE">
      <w:pPr>
        <w:pStyle w:val="TextoNormal"/>
      </w:pPr>
    </w:p>
    <w:p w14:paraId="29CA7CCD" w14:textId="77777777" w:rsidR="003754FE" w:rsidRDefault="003754FE" w:rsidP="003754FE">
      <w:pPr>
        <w:pStyle w:val="TextoNormal"/>
      </w:pPr>
      <w:r>
        <w:t>D) No obstante, y ante la posibilidad de que se entendiese colmado el silencio del artículo 225 del Reglamento por remisión al artículo 100.1 de la misma norma, los recurrentes alegan también la vulneración del derecho fundamental de los promotores de las iniciativas legislativas afectadas por la reforma a ejercer las funciones representativas con los requisitos que señalan las leyes y en igualdad (art. 23.2 CE), en conexión con el derecho de los ciudadanos a participar en los asuntos públicos, a través de sus representantes (art. 23.1 CE). Dicha vulneración se produce, tal y como sostienen, en la medida en que de aceptar esa interpretación se estaría discriminando a los diputados promotores de la iniciativa legislativa respecto de los diputados que sean contrarios a tal proyecto.</w:t>
      </w:r>
    </w:p>
    <w:p w14:paraId="421D8060" w14:textId="77777777" w:rsidR="003754FE" w:rsidRDefault="003754FE" w:rsidP="003754FE">
      <w:pPr>
        <w:pStyle w:val="TextoNormal"/>
      </w:pPr>
    </w:p>
    <w:p w14:paraId="23D32C4F" w14:textId="77777777" w:rsidR="003754FE" w:rsidRDefault="003754FE" w:rsidP="003754FE">
      <w:pPr>
        <w:pStyle w:val="TextoNormal"/>
      </w:pPr>
      <w:r>
        <w:t>Según los recurrentes, “[t]anto si el silencio se interpreta como un vacío normativo que habilita a la mesa para decidir qué mayorías serán precisas para retirar la iniciativa legislativa, como si se interpreta en el sentido de que tal silencio equivale a asumir que cualquier mayoría, simple o absoluta (en todo caso menor a la que se precisa para la aprobación de la iniciativa legislativa), está habilitada para retirarla, la vulneración del derecho fundamental consagrado en el art. 23.2 CE resulta palmaria”. A su juicio, la lógica jurídica más elemental evidencia que si una iniciativa precisa legalmente para su aprobación el apoyo de tres quintas partes de los diputados, solo idéntica mayoría podrá retirarla sobrevenidamente. Lo contrario supone privilegiar a la minoría frente a la mayoría, con la correlativa discriminación de los diputados partidarios del proyecto de reforma (y, consiguientemente, de sus electores).</w:t>
      </w:r>
    </w:p>
    <w:p w14:paraId="74CE91FD" w14:textId="77777777" w:rsidR="003754FE" w:rsidRDefault="003754FE" w:rsidP="003754FE">
      <w:pPr>
        <w:pStyle w:val="TextoNormal"/>
      </w:pPr>
    </w:p>
    <w:p w14:paraId="11C9FD22" w14:textId="77777777" w:rsidR="003754FE" w:rsidRDefault="003754FE" w:rsidP="003754FE">
      <w:pPr>
        <w:pStyle w:val="TextoNormal"/>
      </w:pPr>
      <w:r>
        <w:t>E) Para los recurrentes, “resulta inherente a las reglas para la formación de la voluntad de todo órgano colegiado, establecer unas normas sobre las mayorías precisas para la adopción de sus acuerdos. Dependiendo de la relevancia de la materia a la que se refieran, tales mayorías serán simples, reforzadas o ultra reforzadas. No cabe duda de que la reforma del estatuto de autonomía tiene una relevancia capital y, por ende, precisa una mayoría ultra reforzada de tres quintos, como efectivamente se logró al aprobar el proyecto de reforma en 2019. […] En síntesis, un proyecto de reforma del estatuto de autonomía posee una entidad política y jurídica de extraordinaria relevancia que obliga a su aprobación por la mayoría ultra reforzada de tres quintos. Una vez aprobado, solo idéntica mayoría tendrá legitimidad para alterar el statu quo fruto de su aprobación. […] Negar lo anterior afecta al núcleo esencial del derecho fundamental de los diputados defensores del proyecto de reforma (y de los electores que tienen detrás) consagrado en el art. 23.2 CE”.</w:t>
      </w:r>
    </w:p>
    <w:p w14:paraId="721718CD" w14:textId="77777777" w:rsidR="003754FE" w:rsidRDefault="003754FE" w:rsidP="003754FE">
      <w:pPr>
        <w:pStyle w:val="TextoNormal"/>
      </w:pPr>
    </w:p>
    <w:p w14:paraId="7F29F742" w14:textId="77777777" w:rsidR="003754FE" w:rsidRDefault="003754FE" w:rsidP="003754FE">
      <w:pPr>
        <w:pStyle w:val="TextoNormal"/>
      </w:pPr>
      <w:r>
        <w:t xml:space="preserve">Y para reforzar sus alegaciones, citan doctrina de este tribunal sobre el artículo 23.2 CE: “‘[N]o cualquier acto del órgano parlamentario que infrinja la legalidad del </w:t>
      </w:r>
      <w:r w:rsidRPr="003754FE">
        <w:rPr>
          <w:i/>
        </w:rPr>
        <w:t>ius in officium</w:t>
      </w:r>
      <w:r>
        <w:t xml:space="preserve"> resulta lesivo del derecho fundamental, pues solo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solo de vulnerar el derecho fundamental del representante de los ciudadanos a ejercer su cargo (art. 23.2 CE), sino también de infringir el de estos a participar en los asuntos públicos </w:t>
      </w:r>
      <w:r w:rsidRPr="003754FE">
        <w:rPr>
          <w:i/>
        </w:rPr>
        <w:t>ex</w:t>
      </w:r>
      <w:r>
        <w:t xml:space="preserve"> art. 23.1 CE (SSTC 38/1999, FJ 2, y 107/2001 , FJ 3; 40/2003 , FJ 2, entre otras muchas)’ (STC 1/2015 , FJ 3; también, SSTC 23/2015 , de 16 de febrero, FJ 3, y 10/2018 , de 5 de febrero, FJ 3)”.</w:t>
      </w:r>
    </w:p>
    <w:p w14:paraId="748A7974" w14:textId="77777777" w:rsidR="003754FE" w:rsidRDefault="003754FE" w:rsidP="003754FE">
      <w:pPr>
        <w:pStyle w:val="TextoNormal"/>
      </w:pPr>
    </w:p>
    <w:p w14:paraId="32D4C25B" w14:textId="5122D545" w:rsidR="003754FE" w:rsidRDefault="003754FE" w:rsidP="003754FE">
      <w:pPr>
        <w:pStyle w:val="TextoNormal"/>
      </w:pPr>
      <w:r>
        <w:t>F) Por todo ello, concluyen solicitando a este tribunal que “dicte sentencia por la que declare la inconstitucionalidad del art. 225 del Reglamento de la Asamblea Regional de la Comunidad Autónoma de la Región de Murcia por vulnerar el art. 9.3 y el art. 23.2 CE, declarando igualmente que solo por idéntica mayoría a la estatutaria y reglamentariamente marcada para aprobar cada iniciativa legislativa remitida por la Asamblea Regional a las Cortes Generales, podrá acordarse su retirada”.</w:t>
      </w:r>
    </w:p>
    <w:p w14:paraId="3D4D20D0" w14:textId="77777777" w:rsidR="003754FE" w:rsidRDefault="003754FE" w:rsidP="003754FE">
      <w:pPr>
        <w:pStyle w:val="TextoNormal"/>
      </w:pPr>
    </w:p>
    <w:p w14:paraId="72E40AA9" w14:textId="781F9228" w:rsidR="003754FE" w:rsidRDefault="003754FE" w:rsidP="003754FE">
      <w:pPr>
        <w:pStyle w:val="TextoNormal"/>
      </w:pPr>
      <w:r w:rsidRPr="003754FE">
        <w:rPr>
          <w:rStyle w:val="NumeroAFNegritaCaracter"/>
        </w:rPr>
        <w:t>3</w:t>
      </w:r>
      <w:r>
        <w:t>. Por providencia de 2 de junio de 2022, el Pleno, a propuesta de la Sección Segunda, acordó admitir a trámite el recurso de inconstitucionalidad promovido por más de cincuenta diputados y diputadas de los grupos parlamentarios Confederal Unidas Podemos, Plural y Republicano en el Congreso, y, en su representación, por el procurador don José Miguel Martínez-Fresneda Gambra, en relación con la reforma del Reglamento de la Asamblea Regional de Murcia, publicada en el “Boletín Oficial de la Asamblea Regional de Murcia” de 1 de diciembre de 2021; dar traslado de la demanda y documentos presentados, conforme establece el artículo 34 de la Ley Orgánica del Tribunal Constitucional (en adelante, LOTC), al Congreso de los Diputados y al Senado, por conducto de sus presidentes, y al Gobierno, a través de la ministra de Justicia, así como al Consejo de Gobierno y a la Asamblea Regional de Murcia, por conducto de sus presidentes, al objeto de que, en el plazo de quince días, puedan personarse en el proceso y formular las alegaciones que estimaren convenientes; y publicar la incoación del recurso en el “Boletín Oficial del Estado” y en el “Boletín Oficial de la Región de Murcia”.</w:t>
      </w:r>
    </w:p>
    <w:p w14:paraId="50346798" w14:textId="77777777" w:rsidR="003754FE" w:rsidRDefault="003754FE" w:rsidP="003754FE">
      <w:pPr>
        <w:pStyle w:val="TextoNormal"/>
      </w:pPr>
    </w:p>
    <w:p w14:paraId="45BCCE9A" w14:textId="21A31FC0" w:rsidR="003754FE" w:rsidRDefault="003754FE" w:rsidP="003754FE">
      <w:pPr>
        <w:pStyle w:val="TextoNormal"/>
      </w:pPr>
      <w:r w:rsidRPr="003754FE">
        <w:rPr>
          <w:rStyle w:val="NumeroAFNegritaCaracter"/>
        </w:rPr>
        <w:t>4</w:t>
      </w:r>
      <w:r>
        <w:t>. El abogado del Estado se personó en el proceso por escrito registrado el día 9 de junio de 2022, indicando que no va a formular alegaciones y que se persona exclusivamente a los efectos de que en su día se le notifiquen las resoluciones que en él se dicten.</w:t>
      </w:r>
    </w:p>
    <w:p w14:paraId="18E4D0D0" w14:textId="77777777" w:rsidR="003754FE" w:rsidRDefault="003754FE" w:rsidP="003754FE">
      <w:pPr>
        <w:pStyle w:val="TextoNormal"/>
      </w:pPr>
    </w:p>
    <w:p w14:paraId="2A60357E" w14:textId="7DEDA032" w:rsidR="003754FE" w:rsidRDefault="003754FE" w:rsidP="003754FE">
      <w:pPr>
        <w:pStyle w:val="TextoNormal"/>
      </w:pPr>
      <w:r w:rsidRPr="003754FE">
        <w:rPr>
          <w:rStyle w:val="NumeroAFNegritaCaracter"/>
        </w:rPr>
        <w:t>5</w:t>
      </w:r>
      <w:r>
        <w:t>. El letrado de la Comunidad Autónoma de la Región de Murcia se personó en el proceso, en nombre del Gobierno de la Región de Murcia, mediante escrito registrado el 14 de junio de 2022, solicitando prórroga por el máximo legal del plazo concedido para formular alegaciones.</w:t>
      </w:r>
    </w:p>
    <w:p w14:paraId="2783B579" w14:textId="77777777" w:rsidR="003754FE" w:rsidRDefault="003754FE" w:rsidP="003754FE">
      <w:pPr>
        <w:pStyle w:val="TextoNormal"/>
      </w:pPr>
    </w:p>
    <w:p w14:paraId="57354F47" w14:textId="332F4CBC" w:rsidR="003754FE" w:rsidRDefault="003754FE" w:rsidP="003754FE">
      <w:pPr>
        <w:pStyle w:val="TextoNormal"/>
      </w:pPr>
      <w:r w:rsidRPr="003754FE">
        <w:rPr>
          <w:rStyle w:val="NumeroAFNegritaCaracter"/>
        </w:rPr>
        <w:t>6</w:t>
      </w:r>
      <w:r>
        <w:t>. Mediante diligencia de ordenación del secretario de justicia del Pleno del Tribunal Constitucional de 15 de junio de 2022 se le prorroga al Gobierno de la Región de Murcia en ocho días más el plazo concedido para formular alegaciones.</w:t>
      </w:r>
    </w:p>
    <w:p w14:paraId="5C3EEB5D" w14:textId="77777777" w:rsidR="003754FE" w:rsidRDefault="003754FE" w:rsidP="003754FE">
      <w:pPr>
        <w:pStyle w:val="TextoNormal"/>
      </w:pPr>
    </w:p>
    <w:p w14:paraId="25CBDA95" w14:textId="7D26FE22" w:rsidR="003754FE" w:rsidRDefault="003754FE" w:rsidP="003754FE">
      <w:pPr>
        <w:pStyle w:val="TextoNormal"/>
      </w:pPr>
      <w:r w:rsidRPr="003754FE">
        <w:rPr>
          <w:rStyle w:val="NumeroAFNegritaCaracter"/>
        </w:rPr>
        <w:t>7</w:t>
      </w:r>
      <w:r>
        <w:t>. Mediante escrito registrado el día 16 de junio de 2022, la presidenta del Congreso de los Diputados comunicó el acuerdo de la mesa de la Cámara por el que esta se persona en el proceso y ofrece su colaboración a los efectos del artículo 88.1 LOTC. Lo mismo hizo el presidente del Senado por escrito que tuvo entrada en este tribunal en idéntica fecha.</w:t>
      </w:r>
    </w:p>
    <w:p w14:paraId="2D40582A" w14:textId="77777777" w:rsidR="003754FE" w:rsidRDefault="003754FE" w:rsidP="003754FE">
      <w:pPr>
        <w:pStyle w:val="TextoNormal"/>
      </w:pPr>
    </w:p>
    <w:p w14:paraId="77D24754" w14:textId="0CC66FCD" w:rsidR="003754FE" w:rsidRDefault="003754FE" w:rsidP="003754FE">
      <w:pPr>
        <w:pStyle w:val="TextoNormal"/>
      </w:pPr>
      <w:r w:rsidRPr="003754FE">
        <w:rPr>
          <w:rStyle w:val="NumeroAFNegritaCaracter"/>
        </w:rPr>
        <w:t>8</w:t>
      </w:r>
      <w:r>
        <w:t>. Mediante escrito registrado el 17 de junio de 2022, la letrada de la Asamblea Regional de Murcia comunica el acuerdo de la Comisión de Asuntos Generales e Institucionales, de la Unión Europea y de Derechos Humanos de personación de la Asamblea Regional de Murcia en el proceso, solicitando prórroga por el máximo legal del plazo concedido para formular alegaciones.</w:t>
      </w:r>
    </w:p>
    <w:p w14:paraId="4628CFF9" w14:textId="77777777" w:rsidR="003754FE" w:rsidRDefault="003754FE" w:rsidP="003754FE">
      <w:pPr>
        <w:pStyle w:val="TextoNormal"/>
      </w:pPr>
    </w:p>
    <w:p w14:paraId="16BE5A89" w14:textId="1FA3E861" w:rsidR="003754FE" w:rsidRDefault="003754FE" w:rsidP="003754FE">
      <w:pPr>
        <w:pStyle w:val="TextoNormal"/>
      </w:pPr>
      <w:r w:rsidRPr="003754FE">
        <w:rPr>
          <w:rStyle w:val="NumeroAFNegritaCaracter"/>
        </w:rPr>
        <w:t>9</w:t>
      </w:r>
      <w:r>
        <w:t>. Mediante diligencia de ordenación del secretario de justicia del Pleno del Tribunal Constitucional de 20 de junio de 2022 se le prorroga a la Asamblea Regional de Murcia en ocho días más el plazo concedido para formular alegaciones.</w:t>
      </w:r>
    </w:p>
    <w:p w14:paraId="70D17371" w14:textId="77777777" w:rsidR="003754FE" w:rsidRDefault="003754FE" w:rsidP="003754FE">
      <w:pPr>
        <w:pStyle w:val="TextoNormal"/>
      </w:pPr>
    </w:p>
    <w:p w14:paraId="336A7CC7" w14:textId="77777777" w:rsidR="003754FE" w:rsidRDefault="003754FE" w:rsidP="003754FE">
      <w:pPr>
        <w:pStyle w:val="TextoNormal"/>
      </w:pPr>
      <w:r w:rsidRPr="003754FE">
        <w:rPr>
          <w:rStyle w:val="NumeroAFNegritaCaracter"/>
        </w:rPr>
        <w:t>10</w:t>
      </w:r>
      <w:r>
        <w:t>. El letrado de la Comunidad Autónoma de la Región de Murcia, en la representación que por derecho ostenta al amparo de los artículos 551.3 de la Ley Orgánica 6/1985, de 1 de julio, del Poder Judicial, y 1.1 de la Ley 4/2004, de 22 de octubre, de asistencia jurídica de la Comunidad Autónoma de la Región de Murcia, comparece ante este tribunal y formula las siguientes alegaciones:</w:t>
      </w:r>
    </w:p>
    <w:p w14:paraId="4B92EC71" w14:textId="77777777" w:rsidR="003754FE" w:rsidRDefault="003754FE" w:rsidP="003754FE">
      <w:pPr>
        <w:pStyle w:val="TextoNormal"/>
      </w:pPr>
    </w:p>
    <w:p w14:paraId="38EA65F1" w14:textId="77777777" w:rsidR="003754FE" w:rsidRDefault="003754FE" w:rsidP="003754FE">
      <w:pPr>
        <w:pStyle w:val="TextoNormal"/>
      </w:pPr>
      <w:r>
        <w:t>En el presente recurso de inconstitucionalidad promovido por cincuenta y un diputados pertenecientes a tres grupos parlamentarios distintos, nos encontramos con dos escritos de recurso de inconstitucionalidad. El primero, de fecha 25 de enero; y el segundo, de fecha 28 de febrero de 2022. Pese a que el contenido de los recursos es idéntico, difieren en la representación. En el primero se refiere que don José Miguel Martínez-Fresneda Gambra, procurador de los tribunales, actúa en nombre y representación del diputado don Javier Sánchez Serna, quien a su vez ejerce como comisionado en nombre y representación de cincuenta diputadas y diputados, cuyas identidades se relacionan a continuación. Sin embargo, no se aporta documento alguno que acredite la voluntad de estos cincuenta diputados de atribuir la representación a don Javier Sánchez Serna. En el segundo escrito se refiere que se designa procurador representante de los diputados a don José Miguel Martínez-Fresneda Gambra. No obstante, analizados los poderes de representación obrantes en autos, solo consta que han atribuido válidamente el poder de representación los treinta y cuatro diputados pertenecientes al Grupo Parlamentario Confederal Unidas Podemos y los cuatro diputados del Grupo Parlamentario Plural, así como dos de los trece diputados del Grupo Parlamentario Republicano (doña María Carvalho Dantas y don Francesc Xavier Eritja Ciuró). No consta poder de representación de los siguientes diputados del Grupo Parlamentario Republicano: don Gerard Álvarez i García, doña Montserrat Bassa Coll, don Joan Capdevila i Esteve, doña Inés Granollers Cunillera, don Joan Margall Sastre, doña Norma Pujol i Farré, doña Marta Rosique i Saltor, don Gabriel Rufián Romero, don Jordi Salvador i Duch, doña Carolina Telechea i Lozano y doña Pilar Vallugera Balañana. Por tanto, once de los cincuenta y un diputados que suscriben el recurso de inconstitucionalidad se encuentran indebidamente representados, y, en consecuencia, se incumple con el requisito del artículo 32.1 c) LOTC, por lo que se debe declarar la inadmisión del recurso.</w:t>
      </w:r>
    </w:p>
    <w:p w14:paraId="59210AE0" w14:textId="77777777" w:rsidR="003754FE" w:rsidRDefault="003754FE" w:rsidP="003754FE">
      <w:pPr>
        <w:pStyle w:val="TextoNormal"/>
      </w:pPr>
    </w:p>
    <w:p w14:paraId="55A4C389" w14:textId="77777777" w:rsidR="003754FE" w:rsidRDefault="003754FE" w:rsidP="003754FE">
      <w:pPr>
        <w:pStyle w:val="TextoNormal"/>
      </w:pPr>
      <w:r>
        <w:t>La reforma del Reglamento de la Asamblea Regional de Murcia, mediante la que se introdujo el artículo 225 impugnado, constituye el objeto del presente recurso de amparo. Dicha reforma fue aprobada por mayoría absoluta en el Pleno celebrado el 1 de diciembre de 2021, siguiendo los trámites previstos en el título XIII, artículos 222 a 224 del propio Reglamento.</w:t>
      </w:r>
    </w:p>
    <w:p w14:paraId="4C31F0FF" w14:textId="77777777" w:rsidR="003754FE" w:rsidRDefault="003754FE" w:rsidP="003754FE">
      <w:pPr>
        <w:pStyle w:val="TextoNormal"/>
      </w:pPr>
    </w:p>
    <w:p w14:paraId="6BCC2716" w14:textId="77777777" w:rsidR="003754FE" w:rsidRDefault="003754FE" w:rsidP="003754FE">
      <w:pPr>
        <w:pStyle w:val="TextoNormal"/>
      </w:pPr>
      <w:r>
        <w:t>En relación con la alegada vulneración del principio de seguridad jurídica, y tras recordar la doctrina de este tribunal al respecto (SSTC 136/2011, de 13 de septiembre, FJ 9, y 37/2022, de 10 de marzo, FJ 6), cabe concluir que el contenido del artículo 225 del Reglamento de la Asamblea Regional de Murcia no vulnera ni la Constitución (art. 9.3) ni la jurisprudencia constitucional, pues, como ha establecido este tribunal, se debe acudir a las reglas de interpretación admisibles en Derecho, lo que, en este caso, significa poner en relación dicho precepto con lo dispuesto en el artículo 100.1 del mismo Reglamento, en el que se dispone lo siguiente:</w:t>
      </w:r>
    </w:p>
    <w:p w14:paraId="4EF35B35" w14:textId="77777777" w:rsidR="003754FE" w:rsidRDefault="003754FE" w:rsidP="003754FE">
      <w:pPr>
        <w:pStyle w:val="TextoNormal"/>
      </w:pPr>
    </w:p>
    <w:p w14:paraId="11510C3B" w14:textId="77777777" w:rsidR="003754FE" w:rsidRDefault="003754FE" w:rsidP="003754FE">
      <w:pPr>
        <w:pStyle w:val="TextoNormal"/>
      </w:pPr>
      <w:r>
        <w:t>“Salvo que el Estatuto de Autonomía, una ley o este Reglamento exijan mayorías distintas, los acuerdos de la Asamblea o de cualquiera de sus órganos se adoptarán por mayoría simple de los miembros presentes.</w:t>
      </w:r>
    </w:p>
    <w:p w14:paraId="0844FB94" w14:textId="77777777" w:rsidR="003754FE" w:rsidRDefault="003754FE" w:rsidP="003754FE">
      <w:pPr>
        <w:pStyle w:val="TextoNormal"/>
      </w:pPr>
    </w:p>
    <w:p w14:paraId="53247D44" w14:textId="77777777" w:rsidR="003754FE" w:rsidRDefault="003754FE" w:rsidP="003754FE">
      <w:pPr>
        <w:pStyle w:val="TextoNormal"/>
      </w:pPr>
      <w:r>
        <w:t>Se entenderá que hay mayoría simple cuando el número de votos afirmativos es superior al de negativos”.</w:t>
      </w:r>
    </w:p>
    <w:p w14:paraId="59E2A20B" w14:textId="77777777" w:rsidR="003754FE" w:rsidRDefault="003754FE" w:rsidP="003754FE">
      <w:pPr>
        <w:pStyle w:val="TextoNormal"/>
      </w:pPr>
    </w:p>
    <w:p w14:paraId="7EA06652" w14:textId="77777777" w:rsidR="003754FE" w:rsidRDefault="003754FE" w:rsidP="003754FE">
      <w:pPr>
        <w:pStyle w:val="TextoNormal"/>
      </w:pPr>
      <w:r>
        <w:t>En consecuencia, cuando una iniciativa legislativa se encuentre en tramitación en las Cortes Generales, el Pleno de la Asamblea Regional podrá acordar su retirada a través de la mayoría que en cada caso establezca el Estatuto de Autonomía o el Reglamento de la Asamblea Regional. Supletoriamente, si no se regula una mayoría específica, se aplicará el artículo 100 del Reglamento, ya que si el legislador autonómico hubiera querido fijar una mayoría reforzada para la retirada de un proyecto de reforma del Estatuto de Autonomía lo hubiera regulado expresamente. En este caso, tanto el propio Estatuto de Autonomía de la Región de Murcia (art. 55) como el Reglamento de la Asamblea Regional de Murcia (art. 145) solo prevén mayorías reforzadas para el acto de aprobación del proyecto de reforma. Esto, además, se encuentra en sintonía con la jurisprudencia de este tribunal, que reconoce que “la norma generalmente seguida en los procedimientos parlamentarios es la del recurso a la mayoría simple, siendo la excepción la previsión de mayorías cualificadas” [STC 238/2012, de 13 de diciembre, FJ 4)]; “nuestra Constitución ha instaurado una democracia basada en el juego de las mayorías, previendo tan solo para supuestos tasados y excepcionales una democracia basada en mayorías cualificadas o reforzadas” (STC 5/1981, de 13 de febrero, FJ 21). Y tampoco es algo extraño a otros estatutos de autonomía (Galicia, País Vasco, Cantabria o Castilla-La Mancha) que tampoco regulan mayorías especiales para la retirada de proyectos de reforma estatutaria, ni en los propios estatutos ni en los reglamentos parlamentarios.</w:t>
      </w:r>
    </w:p>
    <w:p w14:paraId="223D8210" w14:textId="77777777" w:rsidR="003754FE" w:rsidRDefault="003754FE" w:rsidP="003754FE">
      <w:pPr>
        <w:pStyle w:val="TextoNormal"/>
      </w:pPr>
    </w:p>
    <w:p w14:paraId="52A4F101" w14:textId="77777777" w:rsidR="003754FE" w:rsidRDefault="003754FE" w:rsidP="003754FE">
      <w:pPr>
        <w:pStyle w:val="TextoNormal"/>
      </w:pPr>
      <w:r>
        <w:t>Por lo que se refiere al principio de interdicción de la arbitrariedad de los poderes públicos (art. 9.3 CE), y tras recordar la doctrina constitucional [STC 238/2012, FJ 6 b)], sostiene la representación del Gobierno de la Región de Murcia que es contrario a la lógica jurídica pensar que se ha vulnerado dicho principio con la aprobación de la reforma del Reglamento de la Cámara, por mayoría absoluta de esta, sin que pueda confundirse “lo que es arbitrio legítimo con capricho, inconsecuencia o incoherencia” (STC 96/2002, de 25 de abril, FJ 6).</w:t>
      </w:r>
    </w:p>
    <w:p w14:paraId="5635EA4F" w14:textId="77777777" w:rsidR="003754FE" w:rsidRDefault="003754FE" w:rsidP="003754FE">
      <w:pPr>
        <w:pStyle w:val="TextoNormal"/>
      </w:pPr>
    </w:p>
    <w:p w14:paraId="31927AE1" w14:textId="77777777" w:rsidR="003754FE" w:rsidRDefault="003754FE" w:rsidP="003754FE">
      <w:pPr>
        <w:pStyle w:val="TextoNormal"/>
      </w:pPr>
      <w:r>
        <w:t xml:space="preserve">Finalmente, en relación con la alegada vulneración del </w:t>
      </w:r>
      <w:r w:rsidRPr="003754FE">
        <w:rPr>
          <w:i/>
        </w:rPr>
        <w:t>ius in officium</w:t>
      </w:r>
      <w:r>
        <w:t xml:space="preserve">, el Gobierno de la Región de Murcia, tras recordar la doctrina constitucional (STC 10/2018, FJ 3), sostiene que no se ha producido ninguna vulneración del mismo en relación con ningún diputado de la Asamblea Regional por la aprobación de la mencionada reforma del Reglamento, dado que esta se hizo por los trámites previstos legalmente y con aprobación de la misma por mayoría absoluta, </w:t>
      </w:r>
      <w:r w:rsidRPr="003754FE">
        <w:rPr>
          <w:i/>
        </w:rPr>
        <w:t>ex</w:t>
      </w:r>
      <w:r>
        <w:t xml:space="preserve"> artículo 224.3 del Reglamento de la Asamblea, sin que, por supuesto, se impidiese a ningún diputado regional la asistencia al Pleno y el ejercicio del derecho al voto.</w:t>
      </w:r>
    </w:p>
    <w:p w14:paraId="76C4E32E" w14:textId="77777777" w:rsidR="003754FE" w:rsidRDefault="003754FE" w:rsidP="003754FE">
      <w:pPr>
        <w:pStyle w:val="TextoNormal"/>
      </w:pPr>
    </w:p>
    <w:p w14:paraId="6A26A938" w14:textId="5F54E768" w:rsidR="003754FE" w:rsidRDefault="003754FE" w:rsidP="003754FE">
      <w:pPr>
        <w:pStyle w:val="TextoNormal"/>
      </w:pPr>
      <w:r>
        <w:t>En definitiva, por todos estos motivos, el Gobierno de la Región de Murcia solicita que se dicte sentencia desestimatoria del recurso de inconstitucionalidad.</w:t>
      </w:r>
    </w:p>
    <w:p w14:paraId="117A3128" w14:textId="77777777" w:rsidR="003754FE" w:rsidRDefault="003754FE" w:rsidP="003754FE">
      <w:pPr>
        <w:pStyle w:val="TextoNormal"/>
      </w:pPr>
    </w:p>
    <w:p w14:paraId="19F1FA83" w14:textId="77777777" w:rsidR="003754FE" w:rsidRDefault="003754FE" w:rsidP="003754FE">
      <w:pPr>
        <w:pStyle w:val="TextoNormal"/>
      </w:pPr>
      <w:r w:rsidRPr="003754FE">
        <w:rPr>
          <w:rStyle w:val="NumeroAFNegritaCaracter"/>
        </w:rPr>
        <w:t>11</w:t>
      </w:r>
      <w:r>
        <w:t>. La letrada de los servicios jurídicos de la Asamblea Regional de Murcia, por su parte, formula las siguientes alegaciones:</w:t>
      </w:r>
    </w:p>
    <w:p w14:paraId="50A49EB0" w14:textId="77777777" w:rsidR="003754FE" w:rsidRDefault="003754FE" w:rsidP="003754FE">
      <w:pPr>
        <w:pStyle w:val="TextoNormal"/>
      </w:pPr>
    </w:p>
    <w:p w14:paraId="4B6BD5BB" w14:textId="77777777" w:rsidR="003754FE" w:rsidRDefault="003754FE" w:rsidP="003754FE">
      <w:pPr>
        <w:pStyle w:val="TextoNormal"/>
      </w:pPr>
      <w:r>
        <w:t>Con carácter previo, solicita la inadmisión del recurso por concurrir defectos en la legitimación y representación de los recurrentes. A tal efecto, recuerda que, como ha establecido este tribunal en relación con la facultad para interponer el recurso de inconstitucionalidad, atribuida, entre otros, a cincuenta diputados, “la decisión de recurrir debe ir acompañada de la satisfacción de determinados requisitos formales cuyo incumplimiento determina la existencia de un vicio en la legitimación misma que se erige en causa de inadmisibilidad del recurso” (ATC 55/2011, de 17 de mayo. FJ 2). En relación con estos requisitos formales, el artículo 82.1 LOTC dispone que el conjunto de diputados investidos por la Constitución [art. 161.1 a)] y por la propia Ley Orgánica del Tribunal Constitucional, para promover procesos constitucionales, ha de actuar representados por el miembro o miembros que designen o por un comisionado nombrado al efecto, “habiendo reiterado la doctrina del Tribunal que se ha de aportar el poder que acredite la representación procesal de la agrupación de diputados conformada”.</w:t>
      </w:r>
    </w:p>
    <w:p w14:paraId="4B58E2F6" w14:textId="77777777" w:rsidR="003754FE" w:rsidRDefault="003754FE" w:rsidP="003754FE">
      <w:pPr>
        <w:pStyle w:val="TextoNormal"/>
      </w:pPr>
    </w:p>
    <w:p w14:paraId="73E6B793" w14:textId="77777777" w:rsidR="003754FE" w:rsidRDefault="003754FE" w:rsidP="003754FE">
      <w:pPr>
        <w:pStyle w:val="TextoNormal"/>
      </w:pPr>
      <w:r>
        <w:t>En el presente recurso, los demandantes han presentado al Tribunal dos distintos escritos. En el primero, registrado ante el Tribunal Constitucional el día 28 de febrero de 2022, se comunica la designación del diputado don Javier Sánchez Serna, del Grupo Parlamentario Confederal de Unidas Podemos, como comisionado de los cincuenta y un diputados que promueven el recurso, a fin de que ostente la representación de todos ellos, lo que no se acredita en modo alguno. En el segundo, registrado el día siguiente, 1 de marzo de 2022, se manifiesta que los cincuenta y un diputados están representados por el procurador de los tribunales don José Miguel Martínez-Fresneda Cambra, y así se acredita mediante la presentación de los poderes otorgados al efecto respecto de cuarenta de ellos, sin que conste la justificación del apoderamiento de los siguientes once diputados del Grupo Parlamentario Republicano: don Gerard Alvarez i García; doña Monserrat Bassa Coll; don Joan Capdevila i Esteve; doña Inés Granollers Cunillera; don Joan Margall Sastre; doña Norma Pujol i Ferré; doña Marta Rosique i Saltar; don Gabriel Rufián Romero; don Jordi Salvador i Duch; doña Carolina Telechea i Lozano y doña Pilar Vallugera Balaña.</w:t>
      </w:r>
    </w:p>
    <w:p w14:paraId="0792CCC9" w14:textId="77777777" w:rsidR="003754FE" w:rsidRDefault="003754FE" w:rsidP="003754FE">
      <w:pPr>
        <w:pStyle w:val="TextoNormal"/>
      </w:pPr>
    </w:p>
    <w:p w14:paraId="6B1942EF" w14:textId="77777777" w:rsidR="003754FE" w:rsidRDefault="003754FE" w:rsidP="003754FE">
      <w:pPr>
        <w:pStyle w:val="TextoNormal"/>
      </w:pPr>
      <w:r>
        <w:t>Aunque este tribunal tiene declarado que “la falta de presentación del poder que acredite la representación de un diputado en el momento de interposición del recurso es, en principio, un defecto subsanable”, lo cierto es que a fecha de formulación de estas alegaciones tal apoderamiento no se ha efectuado, sin que haya quedado acreditado en las actuaciones que ha sido subsanado dicho defecto de postulación producido, habiendo concluido sobradamente el plazo de caducidad para la interposición del presente recurso de inconstitucionalidad, que expiraba el 1 de marzo de 2022.</w:t>
      </w:r>
    </w:p>
    <w:p w14:paraId="35759C42" w14:textId="77777777" w:rsidR="003754FE" w:rsidRDefault="003754FE" w:rsidP="003754FE">
      <w:pPr>
        <w:pStyle w:val="TextoNormal"/>
      </w:pPr>
    </w:p>
    <w:p w14:paraId="34C3AA15" w14:textId="77777777" w:rsidR="003754FE" w:rsidRDefault="003754FE" w:rsidP="003754FE">
      <w:pPr>
        <w:pStyle w:val="TextoNormal"/>
      </w:pPr>
      <w:r>
        <w:t>Sostiene, asimismo, la representación de la Asamblea Regional que considerar que, constando la voluntad impugnatoria de la reforma del Reglamento de la Asamblea Regional de Murcia que se cuestiona en este recurso de inconstitucionalidad, no resulta exigible el otorgamiento de la representación, sería tanto como autorizar que son cuarenta, y no cincuenta, los diputados a los que el artículo 32 c) LOTC legitima para la interposición de recurso de inconstitucionalidad. A tal efecto, recuerda que, como ha declarado este tribunal, el derecho de acceso a la jurisdicción constitucional no es incondicionado, sino que se encuentra sometido al cumplimiento de los requisitos procesales establecidos “legalmente” (STC 301/2000, de 11 de diciembre), debiendo tenerse en cuenta la falta de diligencia procesal de los recurrentes en orden a subsanar, cuanto antes, la falta de representación, que es patente, pues, como el Tribunal ha dicho reiteradamente, “es de esperar que quienes se hallan constitucionalmente legitimados para interponer el recurso de inconstitucionalidad, posibilitando con ello que el Tribunal Constitucional desarrolle su función de intérprete supremo de la Constitución mediante el control de la ley impugnada, extremen el cuidado en el cumplimiento de los requisitos formales exigidos” (ATC 98/2011, de 22 de junio).</w:t>
      </w:r>
    </w:p>
    <w:p w14:paraId="091B9C90" w14:textId="77777777" w:rsidR="003754FE" w:rsidRDefault="003754FE" w:rsidP="003754FE">
      <w:pPr>
        <w:pStyle w:val="TextoNormal"/>
      </w:pPr>
    </w:p>
    <w:p w14:paraId="67C2B6C8" w14:textId="77777777" w:rsidR="003754FE" w:rsidRDefault="003754FE" w:rsidP="003754FE">
      <w:pPr>
        <w:pStyle w:val="TextoNormal"/>
      </w:pPr>
      <w:r>
        <w:t>En consecuencia, la representación procesal de la Asamblea Regional de Murcia concluye que, al no haber quedado acreditado el otorgamiento de dicha representación, como exige el artículo 81.1 LOTC, no se cumple el requisito de legitimación para interponer el presente recurso de inconstitucionalidad, por lo que el mismo debe de ser inadmitido.</w:t>
      </w:r>
    </w:p>
    <w:p w14:paraId="58D975A2" w14:textId="77777777" w:rsidR="003754FE" w:rsidRDefault="003754FE" w:rsidP="003754FE">
      <w:pPr>
        <w:pStyle w:val="TextoNormal"/>
      </w:pPr>
    </w:p>
    <w:p w14:paraId="4A1CA3FC" w14:textId="77777777" w:rsidR="003754FE" w:rsidRDefault="003754FE" w:rsidP="003754FE">
      <w:pPr>
        <w:pStyle w:val="TextoNormal"/>
      </w:pPr>
      <w:r>
        <w:t>Por otra parte, alega que en el presente recurso no se lleva a cabo una identificación y análisis pormenorizado de los vicios de inconstitucionalidad que los recurrentes achacan al precepto impugnado, alegando con carácter genérico una presunta violación de los principios de seguridad jurídica e interdicción de la arbitrariedad consagrados en el artículo 9.3 CE, que no se concreta ni fundamenta claramente, en contra de lo que exige la jurisprudencia de este tribunal (SSTC 237/2007, de 8 de noviembre, FJ 3, y 98/2018, de 19 de septiembre, FJ 2).</w:t>
      </w:r>
    </w:p>
    <w:p w14:paraId="707A78D3" w14:textId="77777777" w:rsidR="003754FE" w:rsidRDefault="003754FE" w:rsidP="003754FE">
      <w:pPr>
        <w:pStyle w:val="TextoNormal"/>
      </w:pPr>
    </w:p>
    <w:p w14:paraId="7FC1F65C" w14:textId="77777777" w:rsidR="003754FE" w:rsidRDefault="003754FE" w:rsidP="003754FE">
      <w:pPr>
        <w:pStyle w:val="TextoNormal"/>
      </w:pPr>
      <w:r>
        <w:t>Además, según la representación de la Asamblea Regional, únicamente debe constituir objeto del presente recurso resolver sobre la constitucionalidad, o no, del artículo 225 del Reglamento de la Asamblea, es decir, determinar la compatibilidad o, en su caso, incompatibilidad del mismo con la Constitución, sin que proceda determinar aquí si la aplicación concreta y/o específica que se haya podido hacer del precepto recurrido hubiera podido vulnerar derechos individuales de los diputados, que no son parte en este proceso, y que, en su caso, habrían de acudir a la defensa de esos derechos presuntamente vulnerados a través del recurso de amparo constitucional, sin que, por lo demás, los recurrentes se hayan visto afectados por la modificación reglamentaria que recurren.</w:t>
      </w:r>
    </w:p>
    <w:p w14:paraId="773C9249" w14:textId="77777777" w:rsidR="003754FE" w:rsidRDefault="003754FE" w:rsidP="003754FE">
      <w:pPr>
        <w:pStyle w:val="TextoNormal"/>
      </w:pPr>
    </w:p>
    <w:p w14:paraId="33177DB9" w14:textId="77777777" w:rsidR="003754FE" w:rsidRDefault="003754FE" w:rsidP="003754FE">
      <w:pPr>
        <w:pStyle w:val="TextoNormal"/>
      </w:pPr>
      <w:r>
        <w:t xml:space="preserve">Tras resumir cuál es el significado y alcance de la autonomía reglamentaria, tal y como ha sido entendida por este tribunal (SSTC 44/1995, de 13 de febrero; 227/2004, de 29 de noviembre; 141/2007, de 18 de junio, y 49/2008, de 9 de abril, entre otras muchas), señala la representación procesal de la Asamblea de la Región de Murcia que el precepto objeto del presente recurso de inconstitucionalidad (art. 225 del Reglamento de la Asamblea Regional de Murcia) fue aprobado con el </w:t>
      </w:r>
      <w:r w:rsidRPr="003754FE">
        <w:rPr>
          <w:i/>
        </w:rPr>
        <w:t>quorum</w:t>
      </w:r>
      <w:r>
        <w:t xml:space="preserve"> reforzado que exigen el estatuto de autonomía y el propio Reglamento (mayoría absoluta de las diputadas y diputados de la Cámara murciana), sin que infrinja en nada la Constitución ni el propio Estatuto de Autonomía de Murcia, “toda vez que en ninguna de estas normas se contiene previsión alguna respecto del </w:t>
      </w:r>
      <w:r w:rsidRPr="003754FE">
        <w:rPr>
          <w:i/>
        </w:rPr>
        <w:t>quorum</w:t>
      </w:r>
      <w:r>
        <w:t xml:space="preserve"> que ha de exigirse para la adopción, por parte de la Asamblea, de la decisión de retirar la propuesta de ley que hubiera enviado al Congreso. Como tampoco existe precepto alguno que establezca que, cuando se exige para la aprobación de una propuesta legislativa —que es eso, una propuesta— un </w:t>
      </w:r>
      <w:r w:rsidRPr="003754FE">
        <w:rPr>
          <w:i/>
        </w:rPr>
        <w:t>quorum</w:t>
      </w:r>
      <w:r>
        <w:t xml:space="preserve"> reforzado en la votación, ha de exigirse ese mismo </w:t>
      </w:r>
      <w:r w:rsidRPr="003754FE">
        <w:rPr>
          <w:i/>
        </w:rPr>
        <w:t>quorum</w:t>
      </w:r>
      <w:r>
        <w:t xml:space="preserve"> para volver de aquella inicial decisión”. Y, a tal efecto, recuerda que, como ha señalado este tribunal, “la rigidez del ordenamiento jurídico no puede llevarse más allá de los supuestos específicamente tasados” (STC 76/1983, de 5 de agosto); la Constitución “‘ha instaurado una democracia basada en el juego de las mayorías y previendo tan solo para supuestos tasados y excepcionales una democracia de acuerdo basada en mayorías cualificadas o reforzadas [SSTC 5/1981, de 13 de febrero, FJ 2.1); 127/1994, de 5 de mayo, FJ 3 A), y 124/2003, de 19 de junio, FJ 11] de modo tal que el procedimiento legislativo se ha ordenado con arreglo al denominado principio mayoritario que constituye una afirmación del principio democrático, respecto del cual toda mayoría cualificada debe mantenerse en términos de excepción a la regla’ [SSTC 160/1987, de 27 de octubre, FJ 2, y 127/1994, de 5 de mayo, FJ 3 A)]”.</w:t>
      </w:r>
    </w:p>
    <w:p w14:paraId="36E223D3" w14:textId="77777777" w:rsidR="003754FE" w:rsidRDefault="003754FE" w:rsidP="003754FE">
      <w:pPr>
        <w:pStyle w:val="TextoNormal"/>
      </w:pPr>
    </w:p>
    <w:p w14:paraId="43E36CD5" w14:textId="77777777" w:rsidR="003754FE" w:rsidRDefault="003754FE" w:rsidP="003754FE">
      <w:pPr>
        <w:pStyle w:val="TextoNormal"/>
      </w:pPr>
      <w:r>
        <w:t>Según la representación procesal de la Asamblea Regional, “[e]l nuevo precepto reglamentario lo que viene es a levantar […] la limitación que el antiguo artículo 221.2 del Reglamento de la Asamblea establecía, en cuanto que dicho precepto, incardinado en el título XII bajo la rúbrica: ‘De los asuntos en trámite a la terminación del mandato de la Asamblea Regional’, solo permitía a la Cámara abordar ‘al inicio de cada legislatura’ la posibilidad de acordar retirar de su tramitación ante el Congreso iniciativas legislativas que en la anterior legislatura se hubiesen enviado a aquel, obligando así a su mantenimiento si la decisión no se acordaba en la fase inicial de la legislatura y ello aunque esa fuera la voluntad de la Asamblea.</w:t>
      </w:r>
    </w:p>
    <w:p w14:paraId="66E87E44" w14:textId="77777777" w:rsidR="003754FE" w:rsidRDefault="003754FE" w:rsidP="003754FE">
      <w:pPr>
        <w:pStyle w:val="TextoNormal"/>
      </w:pPr>
    </w:p>
    <w:p w14:paraId="14E88761" w14:textId="77777777" w:rsidR="003754FE" w:rsidRDefault="003754FE" w:rsidP="003754FE">
      <w:pPr>
        <w:pStyle w:val="TextoNormal"/>
      </w:pPr>
      <w:r>
        <w:t>El precepto reglamentario recurrido viene pues a introducir, en todo caso, un elemento de certeza en orden a hacer posible, cuando la Cámara lo considere conveniente, la adopción de una libre decisión de volver del anterior acuerdo de ejercer la iniciativa legislativa ante las Cortes Generales que la Constitución le reconoce, haya sido la remisión a las Cortes acordada en otra anterior o en la legislatura en que la retirada se decida.</w:t>
      </w:r>
    </w:p>
    <w:p w14:paraId="4D1B35B2" w14:textId="77777777" w:rsidR="003754FE" w:rsidRDefault="003754FE" w:rsidP="003754FE">
      <w:pPr>
        <w:pStyle w:val="TextoNormal"/>
      </w:pPr>
    </w:p>
    <w:p w14:paraId="2ED5E14F" w14:textId="77777777" w:rsidR="003754FE" w:rsidRDefault="003754FE" w:rsidP="003754FE">
      <w:pPr>
        <w:pStyle w:val="TextoNormal"/>
      </w:pPr>
      <w:r>
        <w:t>Se trata, por tanto, de un precepto que trae causa en la libertad de configuración legal que a la Asamblea Regional de Murcia corresponde en ejercicio de su derecho a la autonomía reglamentaria que el estatuto de autonomía establece”.</w:t>
      </w:r>
    </w:p>
    <w:p w14:paraId="27C2EA23" w14:textId="77777777" w:rsidR="003754FE" w:rsidRDefault="003754FE" w:rsidP="003754FE">
      <w:pPr>
        <w:pStyle w:val="TextoNormal"/>
      </w:pPr>
    </w:p>
    <w:p w14:paraId="75DA700A" w14:textId="77777777" w:rsidR="003754FE" w:rsidRDefault="003754FE" w:rsidP="003754FE">
      <w:pPr>
        <w:pStyle w:val="TextoNormal"/>
      </w:pPr>
      <w:r>
        <w:t>Niega, asimismo, la representación legal de la Asamblea Regional que el referido artículo 225 del Reglamento sea contrario al principio de seguridad jurídica del artículo 9.3 CE, tal y como ha sido entendido por la jurisprudencia constitucional [recopilada en la STC 136/2011, de 13 de septiembre, FJ 9; y, más recientemente, en la STC 81/2020, de 15 de julio, FJ 14 b)], sin que el mismo genere incertidumbre alguna, por el juego de la remisión de dicho precepto reglamentario impugnado al artículo 100.1 del propio Reglamento.</w:t>
      </w:r>
    </w:p>
    <w:p w14:paraId="702FDC82" w14:textId="77777777" w:rsidR="003754FE" w:rsidRDefault="003754FE" w:rsidP="003754FE">
      <w:pPr>
        <w:pStyle w:val="TextoNormal"/>
      </w:pPr>
    </w:p>
    <w:p w14:paraId="0E687034" w14:textId="77777777" w:rsidR="003754FE" w:rsidRDefault="003754FE" w:rsidP="003754FE">
      <w:pPr>
        <w:pStyle w:val="TextoNormal"/>
      </w:pPr>
      <w:r>
        <w:t>De igual modo, tampoco cabe apreciar —en su opinión— vulneración del principio de interdicción de la arbitrariedad, recogido en el mismo artículo 9.3 CE, tal y como ha sido entendido por la jurisprudencia constitucional (SSTC 108/1986, de 27 de julio, y 49/2006, de 9 de abril, FJ 5), ya que el artículo 225 del Reglamento no establece discriminación alguna ni carece de explicación racional.</w:t>
      </w:r>
    </w:p>
    <w:p w14:paraId="7A9C9387" w14:textId="77777777" w:rsidR="003754FE" w:rsidRDefault="003754FE" w:rsidP="003754FE">
      <w:pPr>
        <w:pStyle w:val="TextoNormal"/>
      </w:pPr>
    </w:p>
    <w:p w14:paraId="606FBFFE" w14:textId="77777777" w:rsidR="003754FE" w:rsidRDefault="003754FE" w:rsidP="003754FE">
      <w:pPr>
        <w:pStyle w:val="TextoNormal"/>
      </w:pPr>
      <w:r>
        <w:t xml:space="preserve">Por lo que se refiere a la alegada inconstitucionalidad del artículo 225 del Reglamento de la Asamblea Regional de Murcia por vulneración del artículo 23.2 CE, al quedar lesionado el derecho fundamental a la participación de los diputados defensores del proyecto de reforma del Estatuto de Autonomía de Murcia, por cuanto estos se habrían visto ilícitamente discriminados al haber acordado la mayoría en la Cámara murciana retirar de su tramitación dicha reforma, cuando, en su opinión, dicho acuerdo debía requerir mayoría reforzada y no mayoría absoluta, según la representación procesal de la Asamblea Regional el presente recurso de inconstitucionalidad se ha de limitar al examen de la posible violación de la Constitución por el precepto impugnado y no a los actos realizados en aplicación del mismo, susceptibles, en su caso, de otra clase de recurso. Además, los recurrentes no especifican cuál es el concreto derecho individual integrante del núcleo esencial del </w:t>
      </w:r>
      <w:r w:rsidRPr="003754FE">
        <w:rPr>
          <w:i/>
        </w:rPr>
        <w:t>ius in officium</w:t>
      </w:r>
      <w:r>
        <w:t xml:space="preserve">, cuyo ejercicio se ha visto impedido a consecuencia de la reforma reglamentaria que impugnan, alegando de forma genérica que existe una discriminación de los “diputados promotores” de la reforma estatutaria retirada. Este razonamiento parece querer concluir que los diputados están sujetos a una suerte de mandato imperativo, sin que sea posible, ante un cambio de circunstancias o tras la ponderación de razones de índole política o incluso jurídica, que pudieran volver de una decisión anterior. Los diputados que promovieron la propuesta de reforma del Estatuto de Autonomía de Murcia lo eran en la IX Legislatura, y los que han acordado su retirada son los diputados de la X Legislatura, y ha de tenerse en cuenta, además, que no existe un derecho del “diputado promotor” a que su propuesta salga adelante, ni tampoco se produce vulneración del derecho de participación de los ciudadanos cuando diputados que han apoyado inicialmente una propuesta cambian de parecer y optan por votar a favor de su retirada. Tampoco cabe apreciar un fraude a los electores, dado que la retirada de una iniciativa legislativa en tramitación no tiene efecto jurídico alguno sobre los ciudadanos, por lo que no resulta necesario exigir el mismo </w:t>
      </w:r>
      <w:r w:rsidRPr="003754FE">
        <w:rPr>
          <w:i/>
        </w:rPr>
        <w:t>quorum</w:t>
      </w:r>
      <w:r>
        <w:t xml:space="preserve"> que para su aprobación.</w:t>
      </w:r>
    </w:p>
    <w:p w14:paraId="44346166" w14:textId="77777777" w:rsidR="003754FE" w:rsidRDefault="003754FE" w:rsidP="003754FE">
      <w:pPr>
        <w:pStyle w:val="TextoNormal"/>
      </w:pPr>
    </w:p>
    <w:p w14:paraId="367AF4BA" w14:textId="0F52A23E" w:rsidR="003754FE" w:rsidRDefault="003754FE" w:rsidP="003754FE">
      <w:pPr>
        <w:pStyle w:val="TextoNormal"/>
      </w:pPr>
      <w:r>
        <w:t>En definitiva, según la representación procesal de la Asamblea de la Región de Murcia, “[l]a reforma se efectuó de acuerdo con los trámites reglamentariamente establecidos: se propuso por los legitimados para hacerlo, se admitió, publicó y debatió y fue aprobada por el Pleno con la mayoría absoluta que al efecto exige el artículo 224.3 del Reglamento de la Asamblea Regional de Murcia, por lo que no se cercenó derecho alguno de los diputados de la Cámara murciana que pudieron expresar su parecer y votar a favor o en contra de la misma. […] El recurso de inconstitucionalidad no tiene como objeto la defensa de derechos individuales de los diputados, sino la del interés general que representa el mantenimiento de la legalidad, y los recurrentes no alegan razón jurídica alguna ni explicación argumental consistente que pueda fundamentar su pretensión”. Por todo ello, suplica al Tribunal Constitucional que dicte sentencia declarando la inadmisión del recurso de inconstitucionalidad y, subsidiariamente, que desestime el mismo.</w:t>
      </w:r>
    </w:p>
    <w:p w14:paraId="1FBA4CD6" w14:textId="77777777" w:rsidR="003754FE" w:rsidRDefault="003754FE" w:rsidP="003754FE">
      <w:pPr>
        <w:pStyle w:val="TextoNormal"/>
      </w:pPr>
    </w:p>
    <w:p w14:paraId="24D25A0F" w14:textId="77777777" w:rsidR="003754FE" w:rsidRDefault="003754FE" w:rsidP="003754FE">
      <w:pPr>
        <w:pStyle w:val="TextoNormal"/>
      </w:pPr>
      <w:r w:rsidRPr="003754FE">
        <w:rPr>
          <w:rStyle w:val="NumeroAFNegritaCaracter"/>
        </w:rPr>
        <w:t>12</w:t>
      </w:r>
      <w:r>
        <w:t>. A la vista de las alegaciones del letrado de la Comunidad Autónoma de la Región de Murcia y de la letrada de la Asamblea Regional de Murcia, mediante diligencia de ordenación del secretario de justicia del Pleno de 30 de octubre de 2024 se acuerda requerir al procurador don José Miguel Martínez-Fresneda Gambra para que en el plazo de diez días:</w:t>
      </w:r>
    </w:p>
    <w:p w14:paraId="08B98980" w14:textId="77777777" w:rsidR="003754FE" w:rsidRDefault="003754FE" w:rsidP="003754FE">
      <w:pPr>
        <w:pStyle w:val="TextoNormal"/>
      </w:pPr>
    </w:p>
    <w:p w14:paraId="39B15101" w14:textId="77777777" w:rsidR="003754FE" w:rsidRDefault="003754FE" w:rsidP="003754FE">
      <w:pPr>
        <w:pStyle w:val="TextoNormal"/>
      </w:pPr>
      <w:r>
        <w:t>- Acredite la representación que dice ostentar de don Javier Sánchez Serna, así como la condición de comisionado de don Javier Sánchez Serna;</w:t>
      </w:r>
    </w:p>
    <w:p w14:paraId="00E194EC" w14:textId="77777777" w:rsidR="003754FE" w:rsidRDefault="003754FE" w:rsidP="003754FE">
      <w:pPr>
        <w:pStyle w:val="TextoNormal"/>
      </w:pPr>
    </w:p>
    <w:p w14:paraId="472C30B0" w14:textId="414EA276" w:rsidR="003754FE" w:rsidRDefault="003754FE" w:rsidP="003754FE">
      <w:pPr>
        <w:pStyle w:val="TextoNormal"/>
      </w:pPr>
      <w:r>
        <w:t>- o, alternativamente, acredite la representación de los siguientes diputados del Grupo Parlamentario Republicano: (1) don Gerard Álvarez i García, (2) doña Montserrat Bassa Coll, (3) don Joan Capdevila i Esteve, (4) doña Inés Granollers Cunillera, (5) don Joan Margall Sastre, (6) doña Norma Pujol i Farré, (7) doña Marta Rosique i Saltor, (8) don Gabriel Rufián Romero, (9) don Jordi Salvador i Duch, (10) Carolina Telechea i Lozano y (11) doña Pilar Vallugera Balañana.</w:t>
      </w:r>
    </w:p>
    <w:p w14:paraId="2E4DFC5E" w14:textId="77777777" w:rsidR="003754FE" w:rsidRDefault="003754FE" w:rsidP="003754FE">
      <w:pPr>
        <w:pStyle w:val="TextoNormal"/>
      </w:pPr>
    </w:p>
    <w:p w14:paraId="66159213" w14:textId="6491BE47" w:rsidR="003754FE" w:rsidRDefault="003754FE" w:rsidP="003754FE">
      <w:pPr>
        <w:pStyle w:val="TextoNormal"/>
      </w:pPr>
      <w:r w:rsidRPr="003754FE">
        <w:rPr>
          <w:rStyle w:val="NumeroAFNegritaCaracter"/>
        </w:rPr>
        <w:t>13</w:t>
      </w:r>
      <w:r>
        <w:t>. Por providencia de 17 de diciembre de 2024, se señaló ese mismo día para deliberación y votación de la presente sentencia.</w:t>
      </w:r>
    </w:p>
    <w:p w14:paraId="42B8BAF6" w14:textId="77777777" w:rsidR="003754FE" w:rsidRDefault="003754FE" w:rsidP="003754FE">
      <w:pPr>
        <w:pStyle w:val="TextoNormal"/>
      </w:pPr>
    </w:p>
    <w:p w14:paraId="2299581B" w14:textId="77777777" w:rsidR="003754FE" w:rsidRDefault="003754FE" w:rsidP="003754FE">
      <w:pPr>
        <w:pStyle w:val="TextoNormalNegritaCentrado"/>
        <w:keepNext/>
      </w:pPr>
      <w:r>
        <w:t>II. Fundamentos jurídicos</w:t>
      </w:r>
    </w:p>
    <w:p w14:paraId="67232E01" w14:textId="4BA8B7A0" w:rsidR="003754FE" w:rsidRDefault="003754FE" w:rsidP="003754FE">
      <w:pPr>
        <w:pStyle w:val="TextoNormalNegritaCentrado"/>
        <w:keepNext/>
      </w:pPr>
    </w:p>
    <w:p w14:paraId="10BDBB4F" w14:textId="77777777" w:rsidR="003754FE" w:rsidRDefault="003754FE" w:rsidP="003754FE">
      <w:pPr>
        <w:pStyle w:val="TextoNormal"/>
      </w:pPr>
      <w:r w:rsidRPr="003754FE">
        <w:rPr>
          <w:rStyle w:val="NumeroAFNegritaCaracter"/>
        </w:rPr>
        <w:t>1</w:t>
      </w:r>
      <w:r>
        <w:t xml:space="preserve">. </w:t>
      </w:r>
      <w:r w:rsidRPr="003754FE">
        <w:rPr>
          <w:i/>
        </w:rPr>
        <w:t>Objeto del recurso de inconstitucionalidad</w:t>
      </w:r>
    </w:p>
    <w:p w14:paraId="53417360" w14:textId="77777777" w:rsidR="003754FE" w:rsidRDefault="003754FE" w:rsidP="003754FE">
      <w:pPr>
        <w:pStyle w:val="TextoNormal"/>
      </w:pPr>
    </w:p>
    <w:p w14:paraId="394CAA50" w14:textId="4251F57A" w:rsidR="003754FE" w:rsidRDefault="003754FE" w:rsidP="003754FE">
      <w:pPr>
        <w:pStyle w:val="TextoNormal"/>
      </w:pPr>
      <w:r>
        <w:t>La presente resolución tiene por objeto resolver el recurso de inconstitucionalidad núm. 1302-2022, interpuesto por más de cincuenta diputados de los grupos parlamentarios Confederal Unidas Podemos, Plural y Republicano en el Congreso de los Diputados contra el artículo 225 del Reglamento de la Asamblea Regional de Murcia, introducido mediante la reforma parcial del mismo publicada en el “Boletín Oficial de la Asamblea Regional de Murcia” núm. 96, el 1 de diciembre de 2021.</w:t>
      </w:r>
    </w:p>
    <w:p w14:paraId="75241C7E" w14:textId="77777777" w:rsidR="003754FE" w:rsidRDefault="003754FE" w:rsidP="003754FE">
      <w:pPr>
        <w:pStyle w:val="TextoNormal"/>
      </w:pPr>
    </w:p>
    <w:p w14:paraId="14348781" w14:textId="77777777" w:rsidR="003754FE" w:rsidRDefault="003754FE" w:rsidP="003754FE">
      <w:pPr>
        <w:pStyle w:val="TextoNormal"/>
      </w:pPr>
      <w:r w:rsidRPr="003754FE">
        <w:rPr>
          <w:rStyle w:val="NumeroAFNegritaCaracter"/>
        </w:rPr>
        <w:t>2</w:t>
      </w:r>
      <w:r>
        <w:t xml:space="preserve">. </w:t>
      </w:r>
      <w:r w:rsidRPr="003754FE">
        <w:rPr>
          <w:i/>
        </w:rPr>
        <w:t>Óbices procesales</w:t>
      </w:r>
    </w:p>
    <w:p w14:paraId="1881B7FE" w14:textId="77777777" w:rsidR="003754FE" w:rsidRDefault="003754FE" w:rsidP="003754FE">
      <w:pPr>
        <w:pStyle w:val="TextoNormal"/>
      </w:pPr>
    </w:p>
    <w:p w14:paraId="17670E40" w14:textId="77777777" w:rsidR="003754FE" w:rsidRDefault="003754FE" w:rsidP="003754FE">
      <w:pPr>
        <w:pStyle w:val="TextoNormal"/>
      </w:pPr>
      <w:r>
        <w:t>Como ha sido expuesto en los antecedentes, se han registrado ante este tribunal dos escritos presentados por el mismo procurador de los tribunales, don José Miguel Martínez-Fresneda Gambra; en el primero (registrado el 28 de febrero de 2022) este actúa en nombre y representación de don Javier Sánchez Serna, quien, a su vez, según se afirma, ejerce como comisionado en nombre y representación de cincuenta y un diputados y diputadas del Grupo Parlamentario Confederal Unidas Podemos, Grupo Parlamentario Plural y Grupo Parlamentario Republicano en el Congreso de los Diputados; en el segundo (registrado el 1 de marzo de 2022), dicho procurador actúa directamente, esto es, sin que se designe comisionado alguno, en nombre y representación de los mismos cincuenta y un diputados y diputadas. En lo demás, el contenido de ambos escritos es idéntico.</w:t>
      </w:r>
    </w:p>
    <w:p w14:paraId="2CEFDE08" w14:textId="77777777" w:rsidR="003754FE" w:rsidRDefault="003754FE" w:rsidP="003754FE">
      <w:pPr>
        <w:pStyle w:val="TextoNormal"/>
      </w:pPr>
    </w:p>
    <w:p w14:paraId="5AD367AA" w14:textId="77777777" w:rsidR="003754FE" w:rsidRDefault="003754FE" w:rsidP="003754FE">
      <w:pPr>
        <w:pStyle w:val="TextoNormal"/>
      </w:pPr>
      <w:r>
        <w:t>Tal y como han puesto de relieve el letrado de la Comunidad Autónoma de la Región de Murcia y la letrada de los servicios jurídicos de la Asamblea Regional de Murcia, en relación con el primero de los escritos, no se aporta documento alguno que acredite la voluntad de estos cincuenta y un diputados de atribuir la representación a don Javier Sánchez Serna, en su calidad de comisionado; mientras que en el segundo de ellos, analizados los poderes de representación obrantes en autos, solo consta que han atribuido válidamente el poder de representación a favor del procurador de los tribunales don José Miguel Martínez-Fresneda Gambra, los treinta y cuatro diputados pertenecientes al Grupo Parlamentario Confederal Unidas Podemos, los cuatro diputados del Grupo Parlamentario Plural, y dos de los trece diputados del Grupo Parlamentario Republicano (doña María Carvalho Dantas y don Francesc Xavier Eritja Ciuró). Es decir, no consta poder de representación de los restantes once diputados del Grupo Parlamentario Republicano: (1) don Gerard Álvarez i García, (2) doña Montserrat Bassa Coll, (3) don Joan Capdevila i Esteve, (4) doña Inés Granollers Cunillera, (5) don Joan Margall Sastre, (6) doña Norma Pujol i Farré, (7) doña Marta Rosique i Saltor, (8) don Gabriel Rufián Romero, (9) don Jordi Salvador i Duch, (10) doña Carolina Telechea i Lozano y (11) doña Pilar Vallugera Balañana.</w:t>
      </w:r>
    </w:p>
    <w:p w14:paraId="66265135" w14:textId="77777777" w:rsidR="003754FE" w:rsidRDefault="003754FE" w:rsidP="003754FE">
      <w:pPr>
        <w:pStyle w:val="TextoNormal"/>
      </w:pPr>
    </w:p>
    <w:p w14:paraId="2B6766D6" w14:textId="77777777" w:rsidR="003754FE" w:rsidRDefault="003754FE" w:rsidP="003754FE">
      <w:pPr>
        <w:pStyle w:val="TextoNormal"/>
      </w:pPr>
      <w:r>
        <w:t xml:space="preserve">En atención a estas concretas circunstancias y a la doctrina de este tribunal favorecedora de la vigencia del principio </w:t>
      </w:r>
      <w:r w:rsidRPr="003754FE">
        <w:rPr>
          <w:i/>
        </w:rPr>
        <w:t>pro actione</w:t>
      </w:r>
      <w:r>
        <w:t>, aplicable también a la interpretación y aplicación de las causas de inadmisibilidad del recurso de inconstitucionalidad (STC 48/2003, de 12 de marzo, FJ 2), mediante diligencia de ordenación del secretario de justicia del Pleno de 30 de octubre de 2024, tal y como se señaló en los antecedentes, se acordó requerir al procurador don José Miguel Martínez-Fresneda Gambra para que el plazo de diez días acreditase o bien la representación que dice ostentar de don Javier Sánchez Serna, así como la condición de comisionado de este, o bien, alternativamente, la representación de los once diputados del Grupo Parlamentario Republicano arriba referidos que afirma ostentar.</w:t>
      </w:r>
    </w:p>
    <w:p w14:paraId="280A8F5E" w14:textId="77777777" w:rsidR="003754FE" w:rsidRDefault="003754FE" w:rsidP="003754FE">
      <w:pPr>
        <w:pStyle w:val="TextoNormal"/>
      </w:pPr>
    </w:p>
    <w:p w14:paraId="36194E3E" w14:textId="5AF7B345" w:rsidR="003754FE" w:rsidRDefault="003754FE" w:rsidP="003754FE">
      <w:pPr>
        <w:pStyle w:val="TextoNormal"/>
      </w:pPr>
      <w:r>
        <w:t>Transcurrido dicho plazo sin que haya habido respuesta alguna al requerimiento efectuado, cabe concluir que once de los cincuenta y un diputados que suscriben el recurso de inconstitucionalidad se encuentran indebidamente representados, lo que se traduce en un incumplimiento del requisito de legitimación establecido en los artículos 162.1 a) CE y 32.1 c) LOTC, que exigen que hayan de ser al menos cincuenta los diputados legitimados para interponer el recurso de inconstitucionalidad.</w:t>
      </w:r>
    </w:p>
    <w:p w14:paraId="3DAEE1D3" w14:textId="77777777" w:rsidR="003754FE" w:rsidRDefault="003754FE" w:rsidP="003754FE">
      <w:pPr>
        <w:pStyle w:val="TextoNormal"/>
      </w:pPr>
    </w:p>
    <w:p w14:paraId="5C1DBADB" w14:textId="77777777" w:rsidR="003754FE" w:rsidRDefault="003754FE" w:rsidP="003754FE">
      <w:pPr>
        <w:pStyle w:val="TextoNormalCentrado"/>
        <w:keepNext/>
      </w:pPr>
      <w:r>
        <w:t>FALLO</w:t>
      </w:r>
    </w:p>
    <w:p w14:paraId="7A301AB9" w14:textId="227E2352" w:rsidR="003754FE" w:rsidRDefault="003754FE" w:rsidP="003754FE">
      <w:pPr>
        <w:pStyle w:val="TextoNormalCentrado"/>
        <w:keepNext/>
      </w:pPr>
    </w:p>
    <w:p w14:paraId="19E8BE8F" w14:textId="6D053B95" w:rsidR="003754FE" w:rsidRDefault="003754FE" w:rsidP="003754FE">
      <w:pPr>
        <w:pStyle w:val="TextoNormal"/>
      </w:pPr>
      <w:r>
        <w:t>En atención a todo lo expuesto, el Tribunal Constitucional, por la autoridad que le confiere la Constitución de la Nación española, ha decidido declarar inadmisible el recurso de inconstitucionalidad interpuesto por cincuenta y un diputados del Grupo Parlamentario Confederal Unidas Podemos, Grupo Parlamentario Plural y Grupo Parlamentario Republicano en el Congreso de los Diputados contra el artículo 225 (“De la retirada de las iniciativas ante las Cortes Generales”) del Reglamento de la Asamblea Regional Murcia, introducido mediante la reforma parcial del mismo publicada en el “Boletín Oficial de la Asamblea Regional de Murcia” el 1 de diciembre de 2021.</w:t>
      </w:r>
    </w:p>
    <w:p w14:paraId="3039A3D1" w14:textId="77777777" w:rsidR="003754FE" w:rsidRDefault="003754FE" w:rsidP="003754FE">
      <w:pPr>
        <w:pStyle w:val="TextoNormal"/>
      </w:pPr>
    </w:p>
    <w:p w14:paraId="61BD06F5" w14:textId="77777777" w:rsidR="003754FE" w:rsidRDefault="003754FE" w:rsidP="003754FE">
      <w:pPr>
        <w:pStyle w:val="TextoNormal"/>
      </w:pPr>
      <w:r>
        <w:t>Publíquese esta sentencia en el “Boletín Oficial del Estado”.</w:t>
      </w:r>
    </w:p>
    <w:p w14:paraId="1DC4E65E" w14:textId="77777777" w:rsidR="003754FE" w:rsidRDefault="003754FE" w:rsidP="00C04533">
      <w:pPr>
        <w:pStyle w:val="TextoNormal"/>
      </w:pPr>
      <w:r>
        <w:t>Dada en Madrid, a diecisiete de diciembre de dos mil veinticuatro.</w:t>
      </w:r>
    </w:p>
    <w:p w14:paraId="5E52A0FA" w14:textId="22F68531" w:rsidR="00C04533" w:rsidRDefault="00C04533">
      <w:pPr>
        <w:spacing w:after="160" w:line="278" w:lineRule="auto"/>
        <w:rPr>
          <w:rFonts w:ascii="Times New Roman" w:eastAsia="Times New Roman" w:hAnsi="Times New Roman" w:cs="Times New Roman"/>
          <w:sz w:val="24"/>
          <w:szCs w:val="24"/>
          <w:lang w:eastAsia="es-ES"/>
        </w:rPr>
      </w:pPr>
      <w:r>
        <w:br w:type="page"/>
      </w:r>
    </w:p>
    <w:p w14:paraId="666071A1" w14:textId="77777777" w:rsidR="00C04533" w:rsidRDefault="00C04533" w:rsidP="003754FE">
      <w:pPr>
        <w:pStyle w:val="ParrafoNormal"/>
      </w:pPr>
    </w:p>
    <w:p w14:paraId="5BFA4E75" w14:textId="77777777" w:rsidR="00C04533" w:rsidRDefault="00C04533" w:rsidP="00C04533">
      <w:pPr>
        <w:pStyle w:val="ParrafoNormal"/>
      </w:pPr>
    </w:p>
    <w:p w14:paraId="2F8FF9D4" w14:textId="77777777" w:rsidR="00C04533" w:rsidRDefault="00C04533" w:rsidP="00C04533">
      <w:pPr>
        <w:pStyle w:val="ParrafoNormal"/>
      </w:pPr>
    </w:p>
    <w:p w14:paraId="0132A734" w14:textId="77777777" w:rsidR="00C04533" w:rsidRDefault="00C04533" w:rsidP="00C04533">
      <w:pPr>
        <w:pStyle w:val="ParrafoNormal"/>
      </w:pPr>
    </w:p>
    <w:p w14:paraId="6B9B8975" w14:textId="77777777" w:rsidR="00C04533" w:rsidRDefault="00C04533" w:rsidP="00C04533">
      <w:pPr>
        <w:pStyle w:val="ParrafoNormal"/>
      </w:pPr>
    </w:p>
    <w:p w14:paraId="02CBDBF9" w14:textId="77777777" w:rsidR="00C04533" w:rsidRDefault="00C04533" w:rsidP="00C04533">
      <w:pPr>
        <w:pStyle w:val="ParrafoNormal"/>
      </w:pPr>
    </w:p>
    <w:p w14:paraId="00B6CA90" w14:textId="77777777" w:rsidR="00C04533" w:rsidRDefault="00C04533" w:rsidP="00C04533">
      <w:pPr>
        <w:pStyle w:val="ParrafoNormal"/>
      </w:pPr>
    </w:p>
    <w:p w14:paraId="45ACFD9C" w14:textId="77777777" w:rsidR="00C04533" w:rsidRDefault="00C04533" w:rsidP="00C04533">
      <w:pPr>
        <w:pStyle w:val="ParrafoNormal"/>
      </w:pPr>
    </w:p>
    <w:p w14:paraId="04144633" w14:textId="77777777" w:rsidR="00C04533" w:rsidRDefault="00C04533" w:rsidP="00C04533">
      <w:pPr>
        <w:pStyle w:val="ParrafoNormal"/>
      </w:pPr>
    </w:p>
    <w:p w14:paraId="5D33995C" w14:textId="77777777" w:rsidR="00C04533" w:rsidRDefault="00C04533" w:rsidP="00C04533">
      <w:pPr>
        <w:pStyle w:val="ParrafoNormal"/>
      </w:pPr>
    </w:p>
    <w:p w14:paraId="5714957D" w14:textId="77777777" w:rsidR="00C04533" w:rsidRDefault="00C04533" w:rsidP="00C04533">
      <w:pPr>
        <w:pStyle w:val="ParrafoNormal"/>
      </w:pPr>
    </w:p>
    <w:p w14:paraId="65809CC2" w14:textId="77777777" w:rsidR="00C04533" w:rsidRDefault="00C04533" w:rsidP="00C04533">
      <w:pPr>
        <w:pStyle w:val="ParrafoNormal"/>
      </w:pPr>
    </w:p>
    <w:p w14:paraId="4113ECF4" w14:textId="77777777" w:rsidR="00C04533" w:rsidRDefault="00C04533" w:rsidP="00C04533">
      <w:pPr>
        <w:pStyle w:val="ParrafoNormal"/>
      </w:pPr>
    </w:p>
    <w:p w14:paraId="37361597" w14:textId="77777777" w:rsidR="00C04533" w:rsidRDefault="00C04533" w:rsidP="00C04533">
      <w:pPr>
        <w:pStyle w:val="CabeceraApartado"/>
      </w:pPr>
      <w:r>
        <w:t>AUTOS</w:t>
      </w:r>
    </w:p>
    <w:p w14:paraId="29AEB4E9" w14:textId="2E5F2317" w:rsidR="00C04533" w:rsidRDefault="00C04533">
      <w:pPr>
        <w:spacing w:after="160" w:line="278" w:lineRule="auto"/>
        <w:rPr>
          <w:rFonts w:ascii="Times New Roman" w:eastAsia="Times New Roman" w:hAnsi="Times New Roman" w:cs="Times New Roman"/>
          <w:sz w:val="48"/>
          <w:szCs w:val="24"/>
          <w:lang w:eastAsia="es-ES"/>
        </w:rPr>
      </w:pPr>
      <w:r>
        <w:br w:type="page"/>
      </w:r>
    </w:p>
    <w:p w14:paraId="5667576C" w14:textId="77777777" w:rsidR="00C04533" w:rsidRDefault="00C04533" w:rsidP="00C04533">
      <w:pPr>
        <w:pStyle w:val="TtuloResolucin"/>
      </w:pPr>
      <w:bookmarkStart w:id="67" w:name="AUTO_2024_61"/>
      <w:r>
        <w:t>AUTO 61/2024, de 2 de julio de 2024</w:t>
      </w:r>
    </w:p>
    <w:bookmarkEnd w:id="67"/>
    <w:p w14:paraId="02D4211E" w14:textId="77777777" w:rsidR="00C04533" w:rsidRDefault="00C04533" w:rsidP="00C04533">
      <w:pPr>
        <w:pStyle w:val="TtuloResolucin"/>
      </w:pPr>
      <w:r>
        <w:t>Sala Segunda</w:t>
      </w:r>
    </w:p>
    <w:p w14:paraId="440EBABA" w14:textId="77777777" w:rsidR="00C04533" w:rsidRDefault="00C04533" w:rsidP="00C04533">
      <w:pPr>
        <w:pStyle w:val="TextoNormalCentrado"/>
      </w:pPr>
      <w:r>
        <w:t>ECLI:ES:TC:2024:61A</w:t>
      </w:r>
    </w:p>
    <w:p w14:paraId="732136FE" w14:textId="5C47A841" w:rsidR="00C04533" w:rsidRDefault="00C04533" w:rsidP="00C04533">
      <w:pPr>
        <w:pStyle w:val="TextoNormalCentrado"/>
      </w:pPr>
    </w:p>
    <w:p w14:paraId="7B9412CB" w14:textId="77777777" w:rsidR="00C04533" w:rsidRDefault="00C04533" w:rsidP="00C04533">
      <w:pPr>
        <w:pStyle w:val="SntesisDescriptiva"/>
      </w:pPr>
      <w:r>
        <w:t>Excms. Srs. doña Inmaculada Montalbán Huertas, don Ramón Sáez Valcárcel, don Enrique Arnaldo Alcubilla, don César Tolosa Tribiño y doña Laura Díez Bueso.</w:t>
      </w:r>
    </w:p>
    <w:p w14:paraId="079E62B8" w14:textId="623DE557" w:rsidR="00C04533" w:rsidRDefault="00C04533" w:rsidP="00C04533">
      <w:pPr>
        <w:pStyle w:val="SntesisDescriptiva"/>
      </w:pPr>
    </w:p>
    <w:p w14:paraId="74A37441" w14:textId="77777777" w:rsidR="00C04533" w:rsidRDefault="00C04533" w:rsidP="00C04533">
      <w:pPr>
        <w:pStyle w:val="SntesisDescriptiva"/>
      </w:pPr>
      <w:r>
        <w:t>Acuerda la suspensión en el recurso de amparo 7493-2023, promovido por don Alberto Mengual Vallecillo en proceso militar.</w:t>
      </w:r>
    </w:p>
    <w:p w14:paraId="7DE33B84" w14:textId="116F447F" w:rsidR="00C04533" w:rsidRDefault="00C04533" w:rsidP="00C04533">
      <w:pPr>
        <w:pStyle w:val="SntesisDescriptiva"/>
      </w:pPr>
    </w:p>
    <w:p w14:paraId="1FBEBD5E" w14:textId="77777777" w:rsidR="00C04533" w:rsidRDefault="00C04533" w:rsidP="00C04533">
      <w:pPr>
        <w:pStyle w:val="SntesisDescriptiva"/>
      </w:pPr>
    </w:p>
    <w:p w14:paraId="30BEC1C1" w14:textId="77777777" w:rsidR="00C04533" w:rsidRDefault="00C04533" w:rsidP="00C04533">
      <w:pPr>
        <w:pStyle w:val="SntesisDescriptiva"/>
      </w:pPr>
    </w:p>
    <w:p w14:paraId="1DABEA85" w14:textId="77777777" w:rsidR="00C04533" w:rsidRDefault="00C04533" w:rsidP="00C04533">
      <w:pPr>
        <w:pStyle w:val="TextoNormalNegritaCentrado"/>
      </w:pPr>
      <w:r>
        <w:t>AUTO</w:t>
      </w:r>
    </w:p>
    <w:p w14:paraId="696165D4" w14:textId="588C692E" w:rsidR="00C04533" w:rsidRDefault="00C04533" w:rsidP="00C04533">
      <w:pPr>
        <w:pStyle w:val="TextoNormalNegritaCentrado"/>
      </w:pPr>
    </w:p>
    <w:p w14:paraId="05499F62" w14:textId="77777777" w:rsidR="00C04533" w:rsidRDefault="00C04533" w:rsidP="00C04533">
      <w:pPr>
        <w:pStyle w:val="TextoNormalNegritaCentrado"/>
        <w:keepNext/>
      </w:pPr>
      <w:r>
        <w:t>I. Antecedentes</w:t>
      </w:r>
    </w:p>
    <w:p w14:paraId="5AC50D20" w14:textId="549578D6" w:rsidR="00C04533" w:rsidRDefault="00C04533" w:rsidP="00C04533">
      <w:pPr>
        <w:pStyle w:val="TextoNormalNegritaCentrado"/>
        <w:keepNext/>
      </w:pPr>
    </w:p>
    <w:p w14:paraId="64D460CE" w14:textId="77777777" w:rsidR="00C04533" w:rsidRDefault="00C04533" w:rsidP="00C04533">
      <w:pPr>
        <w:pStyle w:val="TextoNormal"/>
      </w:pPr>
      <w:r w:rsidRPr="00C04533">
        <w:rPr>
          <w:rStyle w:val="NumeroAFNegritaCaracter"/>
        </w:rPr>
        <w:t>1</w:t>
      </w:r>
      <w:r>
        <w:t>. Mediante escrito presentado el 28 de noviembre de 2023, el procurador de los tribunales don Felipe Bermejo Valiente, en nombre y representación de don Alberto Mengual Vallecillo, interpuso recurso de amparo contra la sentencia núm. 54/2023, de 15 de junio, dictada por la Sala de lo Militar del Tribunal Supremo en el recurso de casación núm. 2-2023 (ratificada por auto de 5 de octubre de 2023), que declaró la nulidad de la sentencia absolutoria núm. 35/2022, de 29 de octubre, dictada por el Tribunal Militar Territorial Primero (sumario núm. 11-15-13) en lo que al enjuiciamiento de la participación del ahora demandante de amparo se refiere, ordenando la celebración de nueva vista oral y el dictado de una nueva sentencia por el tribunal de instancia con distinta composición.</w:t>
      </w:r>
    </w:p>
    <w:p w14:paraId="10592F98" w14:textId="77777777" w:rsidR="00C04533" w:rsidRDefault="00C04533" w:rsidP="00C04533">
      <w:pPr>
        <w:pStyle w:val="TextoNormal"/>
      </w:pPr>
    </w:p>
    <w:p w14:paraId="7A050400" w14:textId="77777777" w:rsidR="00C04533" w:rsidRDefault="00C04533" w:rsidP="00C04533">
      <w:pPr>
        <w:pStyle w:val="TextoNormal"/>
      </w:pPr>
      <w:r>
        <w:t>En la demanda se alega la vulneración del derecho fundamental a la tutela judicial efectiva del art 24.1 CE por haberse revocado la absolución de instancia al estimarse el motivo del recurso de casación interpuesto por la Abogacía del Estado que alegaba la vulneración de su derecho a la tutela judicial efectiva. El recurrente sostiene, en síntesis, que la estimación se apoya en una revalorización de la prueba prohibida y desborda los límites legales y constitucionales de la revocación de sentencias absolutorias.</w:t>
      </w:r>
    </w:p>
    <w:p w14:paraId="5A02689A" w14:textId="77777777" w:rsidR="00C04533" w:rsidRDefault="00C04533" w:rsidP="00C04533">
      <w:pPr>
        <w:pStyle w:val="TextoNormal"/>
      </w:pPr>
    </w:p>
    <w:p w14:paraId="5581CC3D" w14:textId="2973B21D" w:rsidR="00C04533" w:rsidRDefault="00C04533" w:rsidP="00C04533">
      <w:pPr>
        <w:pStyle w:val="TextoNormal"/>
      </w:pPr>
      <w:r>
        <w:t>Mediante otrosí el demandante solicitó la suspensión cautelar del señalamiento del juicio oral hasta tanto no se resuelva por el Tribunal Constitucional el recurso de amparo.</w:t>
      </w:r>
    </w:p>
    <w:p w14:paraId="4160680C" w14:textId="77777777" w:rsidR="00C04533" w:rsidRDefault="00C04533" w:rsidP="00C04533">
      <w:pPr>
        <w:pStyle w:val="TextoNormal"/>
      </w:pPr>
    </w:p>
    <w:p w14:paraId="36C65DB7" w14:textId="014AB3BF" w:rsidR="00C04533" w:rsidRDefault="00C04533" w:rsidP="00C04533">
      <w:pPr>
        <w:pStyle w:val="TextoNormal"/>
      </w:pPr>
      <w:r w:rsidRPr="00C04533">
        <w:rPr>
          <w:rStyle w:val="NumeroAFNegritaCaracter"/>
        </w:rPr>
        <w:t>2</w:t>
      </w:r>
      <w:r>
        <w:t>. Por providencia de 6 de mayo de 2024, la Sección Cuarta acordó admitir a trámite el recurso de amparo apreciando que concurre en el mismo una especial trascendencia constitucional [art. 50.1 de la Ley Orgánica del Tribunal Constitucional (LOTC)] porque puede dar ocasión al Tribunal para aclarar o cambiar su doctrina, como consecuencia de cambios normativos relevantes para la configuración del contenido de los derechos fundamentales alegados [STC 155/2009, de 25 de junio, FJ 2 b)]. En la misma resolución se ordenó que fueran emplazadas ante este tribunal las partes que hubieren participado en el proceso previo y se formara pieza separada de suspensión, concediéndose por providencia de 6 de mayo de 2024, en aplicación de lo dispuesto en el art. 56 LOTC, un plazo común de tres días al recurrente y al Ministerio Fiscal para que alegaran lo que estimasen pertinente sobre la petición de suspensión interesada.</w:t>
      </w:r>
    </w:p>
    <w:p w14:paraId="502A9BFA" w14:textId="77777777" w:rsidR="00C04533" w:rsidRDefault="00C04533" w:rsidP="00C04533">
      <w:pPr>
        <w:pStyle w:val="TextoNormal"/>
      </w:pPr>
    </w:p>
    <w:p w14:paraId="018A1D04" w14:textId="77DD493A" w:rsidR="00C04533" w:rsidRDefault="00C04533" w:rsidP="00C04533">
      <w:pPr>
        <w:pStyle w:val="TextoNormal"/>
      </w:pPr>
      <w:r w:rsidRPr="00C04533">
        <w:rPr>
          <w:rStyle w:val="NumeroAFNegritaCaracter"/>
        </w:rPr>
        <w:t>3</w:t>
      </w:r>
      <w:r>
        <w:t>. Mediante escrito registrado en este tribunal el 10 de mayo de 2024, la representación procesal del demandante reiteró su solicitud de suspensión del señalamiento para el acto del juicio oral hasta el momento en el que recaiga resolución del Tribunal Constitucional. Con apoyo en la previsión del art. 56.2 LOTC razona tanto sobre la pérdida de finalidad del amparo en caso de procederse a la celebración de un nuevo juicio, ya que el recurso pretende que se alce la orden de repetición del mismo por considerar que obedece a una lesión de sus derechos fundamentales, como sobre la ausencia de perturbación grave de un interés constitucionalmente protegido o de los derechos fundamentales o libertades de otra persona derivada de acordar la suspensión solicitada. En apoyo de su pretensión y los anteriores argumentos trae lo razonado en el ATC 4/2024, de 29 de enero, en el que se habría acordado la suspensión en un caso análogo.</w:t>
      </w:r>
    </w:p>
    <w:p w14:paraId="1E4C1CE2" w14:textId="77777777" w:rsidR="00C04533" w:rsidRDefault="00C04533" w:rsidP="00C04533">
      <w:pPr>
        <w:pStyle w:val="TextoNormal"/>
      </w:pPr>
    </w:p>
    <w:p w14:paraId="46AABE47" w14:textId="09229B7B" w:rsidR="00C04533" w:rsidRDefault="00C04533" w:rsidP="00C04533">
      <w:pPr>
        <w:pStyle w:val="TextoNormal"/>
      </w:pPr>
      <w:r w:rsidRPr="00C04533">
        <w:rPr>
          <w:rStyle w:val="NumeroAFNegritaCaracter"/>
        </w:rPr>
        <w:t>4</w:t>
      </w:r>
      <w:r>
        <w:t>. En su escrito de alegaciones, presentado el 22 de mayo de 2024, el fiscal no se opuso a la suspensión cautelar interesada. Tras exponer la doctrina del Tribunal Constitucional sobre la posibilidad de obtener tutela cautelar mediante la suspensión de la ejecución de las resoluciones judiciales firmes cuestionadas en amparo y, específicamente, sobre la suspensión de las sentencias que acuerdan la repetición del juicio. En ella se pone el acento en que la medida tiende a preservar el interés general conjurando el riesgo de contradicción entre resoluciones judiciales y el rechazo de la suspensión determinaría la ausencia de efectividad de una eventual estimación, porque lo que se pretende es evitar la repetición del juicio oral. El fiscal puntualiza que no obsta a la existencia de los presupuestos de la suspensión el hecho de que el órgano judicial no hubiera acordado el correspondiente señalamiento (ATC 96/2021, de 28 de octubre). A la luz de tal doctrina considera que concurren en el caso los presupuestos del art. 56.2 LOTC para acordar la suspensión solicitada, por más que la solicitud en la demanda de amparo careciera del necesario desarrollo alegatorio, ya que sí se ha efectuado en las alegaciones formuladas en la pieza separada de suspensión y la medida puede solicitarse en cualquier tiempo antes de resolverse el amparo (art. 56.4 LOTC).</w:t>
      </w:r>
    </w:p>
    <w:p w14:paraId="745EE8AA" w14:textId="77777777" w:rsidR="00C04533" w:rsidRDefault="00C04533" w:rsidP="00C04533">
      <w:pPr>
        <w:pStyle w:val="TextoNormal"/>
      </w:pPr>
    </w:p>
    <w:p w14:paraId="41D37A43" w14:textId="77777777" w:rsidR="00C04533" w:rsidRDefault="00C04533" w:rsidP="00C04533">
      <w:pPr>
        <w:pStyle w:val="TextoNormalNegritaCentrado"/>
        <w:keepNext/>
      </w:pPr>
      <w:r>
        <w:t>II. Fundamentos jurídicos</w:t>
      </w:r>
    </w:p>
    <w:p w14:paraId="33E2A3A7" w14:textId="18AD0CDF" w:rsidR="00C04533" w:rsidRDefault="00C04533" w:rsidP="00C04533">
      <w:pPr>
        <w:pStyle w:val="TextoNormalNegritaCentrado"/>
        <w:keepNext/>
      </w:pPr>
    </w:p>
    <w:p w14:paraId="6DA6F648" w14:textId="77777777" w:rsidR="00C04533" w:rsidRDefault="00C04533" w:rsidP="00C04533">
      <w:pPr>
        <w:pStyle w:val="TextoNormal"/>
      </w:pPr>
      <w:r w:rsidRPr="00C04533">
        <w:rPr>
          <w:rStyle w:val="NumeroAFNegritaCaracter"/>
        </w:rPr>
        <w:t>1</w:t>
      </w:r>
      <w:r>
        <w:t>. Al igual que en los supuestos abordados en los AATC 27/2021, de 15 de marzo; 26/2023, de 6 de febrero, y 4/2024, de 29 de enero, el objeto de esta pieza de suspensión consiste en resolver sobre la procedencia de la medida cautelar de suspensión instada por la parte recurrente en amparo, que se dirige contra la efectividad de la sentencia núm. 54/2023, de 15 de junio, de la Sala de lo Militar del Tribunal Supremo, que estimó el recurso de casación núm. 2-2023 formulado contra la sentencia absolutoria núm. 35/2022, de 29 de octubre, dictada por el Tribunal Militar Territorial Primero (sumario núm. 11-15-13) en cuanto revoca la absolución y ordena la repetición del juicio. Se impugna también el posterior auto del Tribunal Supremo de 5 de octubre de 2023 que desestimó el incidente de nulidad de actuaciones formulado contra la sentencia de casación.</w:t>
      </w:r>
    </w:p>
    <w:p w14:paraId="5FCC4A9D" w14:textId="77777777" w:rsidR="00C04533" w:rsidRDefault="00C04533" w:rsidP="00C04533">
      <w:pPr>
        <w:pStyle w:val="TextoNormal"/>
      </w:pPr>
    </w:p>
    <w:p w14:paraId="268113A5" w14:textId="2067DD9F" w:rsidR="00C04533" w:rsidRDefault="00C04533" w:rsidP="00C04533">
      <w:pPr>
        <w:pStyle w:val="TextoNormal"/>
      </w:pPr>
      <w:r>
        <w:t>El Ministerio Fiscal no se opone a la concesión de la tutela cautelar interesada con argumentos que coinciden sustancialmente con los expresados por el demandante de amparo en sus alegaciones en la pieza separada de suspensión, como se expone más detalladamente en el apartado de antecedentes.</w:t>
      </w:r>
    </w:p>
    <w:p w14:paraId="6B30AB3F" w14:textId="77777777" w:rsidR="00C04533" w:rsidRDefault="00C04533" w:rsidP="00C04533">
      <w:pPr>
        <w:pStyle w:val="TextoNormal"/>
      </w:pPr>
    </w:p>
    <w:p w14:paraId="18516551" w14:textId="77777777" w:rsidR="00C04533" w:rsidRDefault="00C04533" w:rsidP="00C04533">
      <w:pPr>
        <w:pStyle w:val="TextoNormal"/>
      </w:pPr>
      <w:r w:rsidRPr="00C04533">
        <w:rPr>
          <w:rStyle w:val="NumeroAFNegritaCaracter"/>
        </w:rPr>
        <w:t>2</w:t>
      </w:r>
      <w:r>
        <w:t>. En cuanto a la posibilidad de adoptar decisiones cautelares en el proceso de amparo,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14:paraId="2E38D1AB" w14:textId="77777777" w:rsidR="00C04533" w:rsidRDefault="00C04533" w:rsidP="00C04533">
      <w:pPr>
        <w:pStyle w:val="TextoNormal"/>
      </w:pPr>
    </w:p>
    <w:p w14:paraId="6F92E0CB" w14:textId="67C17267" w:rsidR="00C04533" w:rsidRDefault="00C04533" w:rsidP="00C04533">
      <w:pPr>
        <w:pStyle w:val="TextoNormal"/>
      </w:pPr>
      <w:r>
        <w:t>Adicionalmente, para otorgar la tutela cautelar que prevé el art. 56 LOTC, este tribunal viene exigiendo a quien la solicita que, ofreciendo un principio razonable de prueba, alegue o justifique la irreparabilidad o dificultad de reparación de los perjuicios que se producirían de seguirse la ejecución del acto impugnado. Tal exigencia tiene por objeto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y 147/2017, de 13 de noviembre, FJ 1].</w:t>
      </w:r>
    </w:p>
    <w:p w14:paraId="007017ED" w14:textId="77777777" w:rsidR="00C04533" w:rsidRDefault="00C04533" w:rsidP="00C04533">
      <w:pPr>
        <w:pStyle w:val="TextoNormal"/>
      </w:pPr>
    </w:p>
    <w:p w14:paraId="440441AB" w14:textId="77777777" w:rsidR="00C04533" w:rsidRDefault="00C04533" w:rsidP="00C04533">
      <w:pPr>
        <w:pStyle w:val="TextoNormal"/>
      </w:pPr>
      <w:r w:rsidRPr="00C04533">
        <w:rPr>
          <w:rStyle w:val="NumeroAFNegritaCaracter"/>
        </w:rPr>
        <w:t>3</w:t>
      </w:r>
      <w:r>
        <w:t>. El demandante considera que la decisión de repetición del juicio oral por el órgano judicial de instancia, con otra composición, se funda en una revaloración indebida de las pruebas practicadas en la instancia que desborda los límites legales y constitucionales de revocación de sentencias absolutorias. Entiende la parte recurrente que la repetición del juicio oral consumaría la vulneración de su derecho a la tutela judicial efectiva, causándole un perjuicio irreparable.</w:t>
      </w:r>
    </w:p>
    <w:p w14:paraId="378717C6" w14:textId="77777777" w:rsidR="00C04533" w:rsidRDefault="00C04533" w:rsidP="00C04533">
      <w:pPr>
        <w:pStyle w:val="TextoNormal"/>
      </w:pPr>
    </w:p>
    <w:p w14:paraId="3D912BE0" w14:textId="77777777" w:rsidR="00C04533" w:rsidRDefault="00C04533" w:rsidP="00C04533">
      <w:pPr>
        <w:pStyle w:val="TextoNormal"/>
      </w:pPr>
      <w:r>
        <w:t>De acuerdo con el art. 56.2 LOTC y los precedentes que hemos reseñado, incluido el ATC 4/2024 citado por el recurrente para fundamentar su pretensión, en atención a las circunstancias concurrentes en el presente caso, debemos apreciar, como hemos hecho en anteriores ocasiones (AATC 103/2001, de 3 de mayo; 170/2001, de 22 de junio; 277/2001, de 29 de octubre; 311/2001, de 18 de diciembre, y 174/2013, de 9 de septiembre), que la suspensión es el medio adecuado para mantener el procedimiento penal en una situación que permita, cuando proceda, dar respuesta con plena eficacia a la denuncia de conculcación de derechos fundamentales formulada en este proceso constitucional, tanto en relación con la decisión revocatoria de una absolución previa como con los efectos procesales que a esta se anudan de repetición del juicio oral con una composición distinta del órgano judicial de instancia.</w:t>
      </w:r>
    </w:p>
    <w:p w14:paraId="76A7BBFF" w14:textId="77777777" w:rsidR="00C04533" w:rsidRDefault="00C04533" w:rsidP="00C04533">
      <w:pPr>
        <w:pStyle w:val="TextoNormal"/>
      </w:pPr>
    </w:p>
    <w:p w14:paraId="62D15C78" w14:textId="7808FB89" w:rsidR="00C04533" w:rsidRDefault="00C04533" w:rsidP="00C04533">
      <w:pPr>
        <w:pStyle w:val="TextoNormal"/>
      </w:pPr>
      <w:r>
        <w:t>No se aprecia que esta medida pueda afectar, perturbándolos gravemente, a intereses constitucionalmente protegidos o a derechos fundamentales o libertades públicas de terceras personas. Antes bien, tiende a preservar el interés general, conjurando el riesgo de contradicción entre resoluciones judiciales, una absolutoria —la dictada por el Tribunal Militar Territorial Primero—, que podría recobrar su eficacia si llegara a estimarse el recurso de amparo, y otra condenatoria —la que, en su caso, podría llegar a dictarse tras la reapertura del juicio oral cuya suspensión solicita el recurrente— (en un sentido similar, los AATC 27/2021, 96/2021, 26/2023 y 4/2024). De otro lado, si se rechazase la suspensión solicitada, la eventual estimación del recurso de amparo quedaría privada de efectividad, pues lo que el demandante pretende es precisamente impedir la repetición del juicio con distinto tribunal; de esta manera, su simple celebración constituiría, en sí misma, un perjuicio irreparable.</w:t>
      </w:r>
    </w:p>
    <w:p w14:paraId="13E07623" w14:textId="77777777" w:rsidR="00C04533" w:rsidRDefault="00C04533" w:rsidP="00C04533">
      <w:pPr>
        <w:pStyle w:val="TextoNormal"/>
      </w:pPr>
    </w:p>
    <w:p w14:paraId="6D0FB912" w14:textId="77777777" w:rsidR="00C04533" w:rsidRDefault="00C04533" w:rsidP="00C04533">
      <w:pPr>
        <w:pStyle w:val="TextoNormal"/>
      </w:pPr>
      <w:r>
        <w:t>Por lo expuesto, la Sala</w:t>
      </w:r>
    </w:p>
    <w:p w14:paraId="79C837F9" w14:textId="11185208" w:rsidR="00C04533" w:rsidRDefault="00C04533" w:rsidP="00C04533">
      <w:pPr>
        <w:pStyle w:val="TextoNormal"/>
      </w:pPr>
    </w:p>
    <w:p w14:paraId="1F3DA279" w14:textId="77777777" w:rsidR="00C04533" w:rsidRDefault="00C04533" w:rsidP="00C04533">
      <w:pPr>
        <w:pStyle w:val="TextoNormalCentrado"/>
      </w:pPr>
      <w:r>
        <w:t>ACUERDA</w:t>
      </w:r>
    </w:p>
    <w:p w14:paraId="44C9274A" w14:textId="73F52948" w:rsidR="00C04533" w:rsidRDefault="00C04533" w:rsidP="00C04533">
      <w:pPr>
        <w:pStyle w:val="TextoNormalCentrado"/>
      </w:pPr>
    </w:p>
    <w:p w14:paraId="3BFA199E" w14:textId="6CF5D589" w:rsidR="00C04533" w:rsidRDefault="00C04533" w:rsidP="00C04533">
      <w:pPr>
        <w:pStyle w:val="TextoNormal"/>
      </w:pPr>
      <w:r>
        <w:t>Otorgar, en tanto se resuelva por este tribunal el presente recurso de amparo núm. 7493-2023, la suspensión solicitada en relación con la sentencia núm. 54/2023, de 15 de junio, de la Sala de lo Militar del Tribunal Supremo, que declaró la nulidad de la sentencia absolutoria dictada por el Tribunal Militar Territorial Primero el 29 de octubre de 2022 (sumario núm. 11-15-13) en lo que al enjuiciamiento del recurrente atañe y ordenó la celebración de una nueva vista oral y el dictado de una nueva sentencia por el tribunal de instancia con distinta composición.</w:t>
      </w:r>
    </w:p>
    <w:p w14:paraId="62655B9B" w14:textId="77777777" w:rsidR="00C04533" w:rsidRDefault="00C04533" w:rsidP="00C04533">
      <w:pPr>
        <w:pStyle w:val="TextoNormal"/>
      </w:pPr>
    </w:p>
    <w:p w14:paraId="479A80A2" w14:textId="77777777" w:rsidR="00C04533" w:rsidRDefault="00C04533" w:rsidP="00C04533">
      <w:pPr>
        <w:pStyle w:val="TextoNormal"/>
      </w:pPr>
      <w:r>
        <w:t>Madrid, a dos de julio de dos mil veinticuatro.</w:t>
      </w:r>
    </w:p>
    <w:p w14:paraId="4329D85C" w14:textId="375E272D" w:rsidR="00C04533" w:rsidRDefault="00C04533">
      <w:pPr>
        <w:spacing w:after="160" w:line="278" w:lineRule="auto"/>
        <w:rPr>
          <w:rFonts w:ascii="Times New Roman" w:eastAsia="Times New Roman" w:hAnsi="Times New Roman" w:cs="Times New Roman"/>
          <w:sz w:val="24"/>
          <w:szCs w:val="24"/>
          <w:lang w:eastAsia="es-ES"/>
        </w:rPr>
      </w:pPr>
      <w:r>
        <w:br w:type="page"/>
      </w:r>
    </w:p>
    <w:p w14:paraId="18EEEC27" w14:textId="77777777" w:rsidR="00C04533" w:rsidRDefault="00C04533" w:rsidP="00C04533">
      <w:pPr>
        <w:pStyle w:val="TtuloResolucin"/>
      </w:pPr>
      <w:bookmarkStart w:id="68" w:name="AUTO_2024_62"/>
      <w:r>
        <w:t>AUTO 62/2024, de 2 de julio de 2024</w:t>
      </w:r>
    </w:p>
    <w:bookmarkEnd w:id="68"/>
    <w:p w14:paraId="6D9ACDE0" w14:textId="77777777" w:rsidR="00C04533" w:rsidRDefault="00C04533" w:rsidP="00C04533">
      <w:pPr>
        <w:pStyle w:val="TtuloResolucin"/>
      </w:pPr>
      <w:r>
        <w:t>Sala Segunda</w:t>
      </w:r>
    </w:p>
    <w:p w14:paraId="27EFE54C" w14:textId="77777777" w:rsidR="00C04533" w:rsidRDefault="00C04533" w:rsidP="00C04533">
      <w:pPr>
        <w:pStyle w:val="TextoNormalCentrado"/>
      </w:pPr>
      <w:r>
        <w:t>ECLI:ES:TC:2024:62A</w:t>
      </w:r>
    </w:p>
    <w:p w14:paraId="2E4CAEF7" w14:textId="4EE0FA51" w:rsidR="00C04533" w:rsidRDefault="00C04533" w:rsidP="00C04533">
      <w:pPr>
        <w:pStyle w:val="TextoNormalCentrado"/>
      </w:pPr>
    </w:p>
    <w:p w14:paraId="22CE334C" w14:textId="77777777" w:rsidR="00C04533" w:rsidRDefault="00C04533" w:rsidP="00C04533">
      <w:pPr>
        <w:pStyle w:val="SntesisDescriptiva"/>
      </w:pPr>
      <w:r>
        <w:t>Excms. Srs. doña Inmaculada Montalbán Huertas, don Ramón Sáez Valcárcel, don Enrique Arnaldo Alcubilla, don César Tolosa Tribiño y doña Laura Díez Bueso.</w:t>
      </w:r>
    </w:p>
    <w:p w14:paraId="3EB837B3" w14:textId="3C3D9D74" w:rsidR="00C04533" w:rsidRDefault="00C04533" w:rsidP="00C04533">
      <w:pPr>
        <w:pStyle w:val="SntesisDescriptiva"/>
      </w:pPr>
    </w:p>
    <w:p w14:paraId="0D49904F" w14:textId="77777777" w:rsidR="00C04533" w:rsidRDefault="00C04533" w:rsidP="00C04533">
      <w:pPr>
        <w:pStyle w:val="SntesisDescriptiva"/>
      </w:pPr>
      <w:r>
        <w:t>Acuerda la suspensión en el recurso de amparo 7868-2023, promovido por don Oswaldo Vivas Aregall en causa penal.</w:t>
      </w:r>
    </w:p>
    <w:p w14:paraId="11151189" w14:textId="704E7774" w:rsidR="00C04533" w:rsidRDefault="00C04533" w:rsidP="00C04533">
      <w:pPr>
        <w:pStyle w:val="SntesisDescriptiva"/>
      </w:pPr>
    </w:p>
    <w:p w14:paraId="4699F5DD" w14:textId="77777777" w:rsidR="00C04533" w:rsidRDefault="00C04533" w:rsidP="00C04533">
      <w:pPr>
        <w:pStyle w:val="SntesisDescriptiva"/>
      </w:pPr>
    </w:p>
    <w:p w14:paraId="30B6198A" w14:textId="77777777" w:rsidR="00C04533" w:rsidRDefault="00C04533" w:rsidP="00C04533">
      <w:pPr>
        <w:pStyle w:val="SntesisDescriptiva"/>
      </w:pPr>
    </w:p>
    <w:p w14:paraId="0364A96A" w14:textId="77777777" w:rsidR="00C04533" w:rsidRDefault="00C04533" w:rsidP="00C04533">
      <w:pPr>
        <w:pStyle w:val="TextoNormalNegritaCentrado"/>
      </w:pPr>
      <w:r>
        <w:t>AUTO</w:t>
      </w:r>
    </w:p>
    <w:p w14:paraId="7D9C74DE" w14:textId="763C53B8" w:rsidR="00C04533" w:rsidRDefault="00C04533" w:rsidP="00C04533">
      <w:pPr>
        <w:pStyle w:val="TextoNormalNegritaCentrado"/>
      </w:pPr>
    </w:p>
    <w:p w14:paraId="1C769409" w14:textId="77777777" w:rsidR="00C04533" w:rsidRDefault="00C04533" w:rsidP="00C04533">
      <w:pPr>
        <w:pStyle w:val="TextoNormalNegritaCentrado"/>
        <w:keepNext/>
      </w:pPr>
      <w:r>
        <w:t>I. Antecedentes</w:t>
      </w:r>
    </w:p>
    <w:p w14:paraId="17BC92C9" w14:textId="3857D441" w:rsidR="00C04533" w:rsidRDefault="00C04533" w:rsidP="00C04533">
      <w:pPr>
        <w:pStyle w:val="TextoNormalNegritaCentrado"/>
        <w:keepNext/>
      </w:pPr>
    </w:p>
    <w:p w14:paraId="13394A36" w14:textId="77777777" w:rsidR="00C04533" w:rsidRDefault="00C04533" w:rsidP="00C04533">
      <w:pPr>
        <w:pStyle w:val="TextoNormal"/>
      </w:pPr>
      <w:r w:rsidRPr="00C04533">
        <w:rPr>
          <w:rStyle w:val="NumeroAFNegritaCaracter"/>
        </w:rPr>
        <w:t>1</w:t>
      </w:r>
      <w:r>
        <w:t>. Mediante escrito registrado en este tribunal el 14 de diciembre de 2023, el procurador de los tribunales don Ignacio Argos Linares, en nombre y representación de don Oswaldo Vivas Aregall, interpuso recurso de amparo contra la sentencia de 20 de septiembre de 2023 dictada por la Sección Sexta de la Audiencia Provincial de Barcelona en el rollo de apelación núm. 161-2023, mediante la que fue estimado el recurso de apelación presentado frente a la sentencia absolutoria del Juzgado de lo Penal núm. 7 de Barcelona dictada el 22 de mayo de 2023 (procedimiento abreviado núm. 158-2023), y la providencia de 26 de octubre de 2023 de dicha sección sexta que inadmitió el subsiguiente incidente de nulidad de actuaciones.</w:t>
      </w:r>
    </w:p>
    <w:p w14:paraId="23BBC81B" w14:textId="77777777" w:rsidR="00C04533" w:rsidRDefault="00C04533" w:rsidP="00C04533">
      <w:pPr>
        <w:pStyle w:val="TextoNormal"/>
      </w:pPr>
    </w:p>
    <w:p w14:paraId="34EE1F3B" w14:textId="77777777" w:rsidR="00C04533" w:rsidRDefault="00C04533" w:rsidP="00C04533">
      <w:pPr>
        <w:pStyle w:val="TextoNormal"/>
      </w:pPr>
      <w:r>
        <w:t xml:space="preserve">En la demanda se alega la vulneración del derecho a la tutela judicial efectiva (art 24.1 CE), en sus vertientes de derecho a obtener una resolución fundada en Derecho y de acceso a la jurisdicción; del derecho a un proceso con todas las garantías (art. 24.2 CE), en sus vertientes de derecho a la presunción de inocencia y al juez predeterminado por la ley; y del principio de legalidad penal (art. 25.1 CE), en su vertiente de interdicción del doble enjuiciamiento. En síntesis, el actor considera que se acordó la nulidad de la sentencia absolutoria con inobservancia de la legislación aplicable, la jurisprudencia del Tribunal Constitucional y el deber de motivación de las resoluciones judiciales y tras una valoración de la prueba que no correspondía al órgano de apelación, sin que, por lo demás, se hubiera pedido expresamente la repetición del juicio ante el mismo órgano judicial con una composición distinta acordada, lo que supone la infracción del principio </w:t>
      </w:r>
      <w:r w:rsidRPr="00C04533">
        <w:rPr>
          <w:i/>
        </w:rPr>
        <w:t>non bis in idem</w:t>
      </w:r>
      <w:r>
        <w:t>. Subsidiariamente denuncia la vulneración del derecho al juez predeterminado por la ley y el derecho a la tutela judicial efectiva fruto de la inadmisión que juzga rigurosa del incidente de nulidad de actuaciones por un tribunal con distinta composición que aquel que resolvió el recurso de apelación.</w:t>
      </w:r>
    </w:p>
    <w:p w14:paraId="24BF2E22" w14:textId="77777777" w:rsidR="00C04533" w:rsidRDefault="00C04533" w:rsidP="00C04533">
      <w:pPr>
        <w:pStyle w:val="TextoNormal"/>
      </w:pPr>
    </w:p>
    <w:p w14:paraId="0E019AE0" w14:textId="4628E25D" w:rsidR="00C04533" w:rsidRDefault="00C04533" w:rsidP="00C04533">
      <w:pPr>
        <w:pStyle w:val="TextoNormal"/>
      </w:pPr>
      <w:r>
        <w:t xml:space="preserve">Mediante otrosí, el demandante solicitó la suspensión cautelar de los efectos de las resoluciones impugnadas conforme al art. 56 de la Ley Orgánica del Tribunal Constitucional (LOTC), con expresa alusión a la posibilidad de adoptar la medida cautelar </w:t>
      </w:r>
      <w:r w:rsidRPr="00C04533">
        <w:rPr>
          <w:i/>
        </w:rPr>
        <w:t>inaudita parte</w:t>
      </w:r>
      <w:r>
        <w:t xml:space="preserve"> que prevé ese precepto dada la inminencia de la fecha señalada para la celebración del juicio oral. Razona que la celebración de un nuevo juicio supondría un daño irreparable aun cuando se estimase el recurso de amparo y que la suspensión solicitada no causará una perturbación grave a un interés constitucionalmente protegido, ya que no hay pena que suspender y la que pudiera ponerse no excedería de los cinco años.</w:t>
      </w:r>
    </w:p>
    <w:p w14:paraId="5089A438" w14:textId="77777777" w:rsidR="00C04533" w:rsidRDefault="00C04533" w:rsidP="00C04533">
      <w:pPr>
        <w:pStyle w:val="TextoNormal"/>
      </w:pPr>
    </w:p>
    <w:p w14:paraId="501F3B7E" w14:textId="3ECB0C46" w:rsidR="00C04533" w:rsidRDefault="00C04533" w:rsidP="00C04533">
      <w:pPr>
        <w:pStyle w:val="TextoNormal"/>
      </w:pPr>
      <w:r w:rsidRPr="00C04533">
        <w:rPr>
          <w:rStyle w:val="NumeroAFNegritaCaracter"/>
        </w:rPr>
        <w:t>2</w:t>
      </w:r>
      <w:r>
        <w:t xml:space="preserve">. Por providencia de 6 de mayo de 2024, la Sección Cuarta de este tribunal acordó admitir a trámite el recurso de amparo apreciando que concurre en él una especial trascendencia constitucional (art. 50.1 LOTC) porque puede dar ocasión al Tribunal para aclarar o cambiar su doctrina, como consecuencia de cambios normativos relevantes para la configuración del contenido de los derechos fundamentales alegados [STC 155/2009, de 25 de junio, FJ 2 b)]. En la misma resolución (i) se ordenó que fueran emplazadas ante este tribunal las partes que hubieren participado en el proceso previo; (ii) se rechazó la petición de suspensión </w:t>
      </w:r>
      <w:r w:rsidRPr="00C04533">
        <w:rPr>
          <w:i/>
        </w:rPr>
        <w:t>inaudita parte</w:t>
      </w:r>
      <w:r>
        <w:t>, dado que no se aprecia la urgencia excepcional a la que se refiere el art. 56.6 LOTC, en tanto el nuevo juicio está señalado para el día 8 de julio de 2024; y (iii) se acordó formar pieza separada de suspensión, concediéndose por providencia de la misma fecha, en aplicación de lo dispuesto en el art. 56 LOTC, un plazo común de tres días al recurrente y al Ministerio Fiscal para que alegaran lo que estimasen pertinente sobre la petición de suspensión interesada.</w:t>
      </w:r>
    </w:p>
    <w:p w14:paraId="125CB466" w14:textId="77777777" w:rsidR="00C04533" w:rsidRDefault="00C04533" w:rsidP="00C04533">
      <w:pPr>
        <w:pStyle w:val="TextoNormal"/>
      </w:pPr>
    </w:p>
    <w:p w14:paraId="428C5CA6" w14:textId="67CF1440" w:rsidR="00C04533" w:rsidRDefault="00C04533" w:rsidP="00C04533">
      <w:pPr>
        <w:pStyle w:val="TextoNormal"/>
      </w:pPr>
      <w:r w:rsidRPr="00C04533">
        <w:rPr>
          <w:rStyle w:val="NumeroAFNegritaCaracter"/>
        </w:rPr>
        <w:t>3</w:t>
      </w:r>
      <w:r>
        <w:t>. Mediante escrito presentado el 13 de mayo de 2024, la representación procesal del demandante reiteró su solicitud de suspensión de los efectos de las resoluciones impugnadas. Insiste en que la continuación de la tramitación comportaría un daño material irreparable en los derechos cuya vulneración se ha denunciado, singularmente, de la prohibición de doble enjuiciamiento, que una eventual estimación del recurso, que, a la vista de los tiempos habituales de resolución de los recursos de amparo, no se produciría antes de la fecha de señalamiento de 8 de julio de 2024, no podría reparar haciendo perder al amparo su finalidad, como refiere el art. 56 LOTC. Suma a ello la situación de salud del recurrente, que presenta un diagnóstico de trastorno de ansiedad y depresión mayor. Asimismo, razona sobre la ausencia de perturbación grave de un interés constitucionalmente protegido o de los derechos fundamentales o libertades de otra persona derivada de acordar la suspensión solicitada que exige el art. 56.2 LOTC, argumentando que la posibilidad de suspender la ejecución de penas privativas de libertad de hasta cinco años de duración que muestra la jurisprudencia constitucional pone de relieve que tal perturbación no existe cuando se trata de suspender la celebración de un juicio que, en su caso, puede terminar con la imposición de una pena máxima de cinco años.</w:t>
      </w:r>
    </w:p>
    <w:p w14:paraId="19EA1BE8" w14:textId="77777777" w:rsidR="00C04533" w:rsidRDefault="00C04533" w:rsidP="00C04533">
      <w:pPr>
        <w:pStyle w:val="TextoNormal"/>
      </w:pPr>
    </w:p>
    <w:p w14:paraId="59D35D87" w14:textId="43F483C0" w:rsidR="00C04533" w:rsidRDefault="00C04533" w:rsidP="00C04533">
      <w:pPr>
        <w:pStyle w:val="TextoNormal"/>
      </w:pPr>
      <w:r w:rsidRPr="00C04533">
        <w:rPr>
          <w:rStyle w:val="NumeroAFNegritaCaracter"/>
        </w:rPr>
        <w:t>4</w:t>
      </w:r>
      <w:r>
        <w:t>. En su escrito de alegaciones, presentado el 22 de mayo de 2024, el fiscal interesó la estimación de la pretensión cautelar en aplicación de la doctrina constitucional sobre la posibilidad de obtener tutela cautelar mediante la suspensión de la ejecución de las resoluciones judiciales firmes cuestionadas en amparo y, específicamente, sobre la suspensión de sentencias recurridas en amparo que habían acordado la repetición del juicio tras una absolución. Considera que los perjuicios alegados por el recurrente serían efectivamente irreparables de celebrarse de nuevo el juicio oral antes de haber sido resuelto el recurso de amparo, para el caso de que fuera estimado el cuestionamiento de su absolución y sus efectos. En apoyo de su posición cita el ATC 96/2021, de 28 de octubre, en el que se apreció que la suspensión temporal de la celebración de un nuevo juicio debe imponerse al interés general en el cumplimiento de las resoluciones firmes, garantizando así que, de ser estimada, la pretensión de amparo sea efectiva, dado que el riesgo de sufrir un perjuicio irreparable no solo es justificado, sino también actual, dada la posibilidad de que el recurso no se resuelva con anterioridad a la celebración del nuevo.</w:t>
      </w:r>
    </w:p>
    <w:p w14:paraId="415AA9E0" w14:textId="77777777" w:rsidR="00C04533" w:rsidRDefault="00C04533" w:rsidP="00C04533">
      <w:pPr>
        <w:pStyle w:val="TextoNormal"/>
      </w:pPr>
    </w:p>
    <w:p w14:paraId="51BF2922" w14:textId="77777777" w:rsidR="00C04533" w:rsidRDefault="00C04533" w:rsidP="00C04533">
      <w:pPr>
        <w:pStyle w:val="TextoNormalNegritaCentrado"/>
        <w:keepNext/>
      </w:pPr>
      <w:r>
        <w:t>II. Fundamentos jurídicos</w:t>
      </w:r>
    </w:p>
    <w:p w14:paraId="3506DCCF" w14:textId="6351BCA6" w:rsidR="00C04533" w:rsidRDefault="00C04533" w:rsidP="00C04533">
      <w:pPr>
        <w:pStyle w:val="TextoNormalNegritaCentrado"/>
        <w:keepNext/>
      </w:pPr>
    </w:p>
    <w:p w14:paraId="7425D146" w14:textId="77777777" w:rsidR="00C04533" w:rsidRDefault="00C04533" w:rsidP="00C04533">
      <w:pPr>
        <w:pStyle w:val="TextoNormal"/>
      </w:pPr>
      <w:r w:rsidRPr="00C04533">
        <w:rPr>
          <w:rStyle w:val="NumeroAFNegritaCaracter"/>
        </w:rPr>
        <w:t>1</w:t>
      </w:r>
      <w:r>
        <w:t>. Al igual que en los supuestos abordados en los AATC 27/2021, de 15 de marzo; 26/2023, de 6 de febrero, y 4/2024, de 29 de enero, el objeto de esta pieza sobre suspensión consiste en resolver sobre la procedencia de la medida cautelar de suspensión instada por la parte recurrente en amparo, que se dirige contra la efectividad de la sentencia de 20 de septiembre de 2023 dictada por la Sección Sexta de la Audiencia Provincial de Barcelona en el rollo de apelación núm. 161-2023, mediante la que fue estimado el recurso de apelación presentado frente a la sentencia absolutoria del Juzgado de lo Penal núm. 7 de Barcelona dictada el 22 de mayo de 2023 (procedimiento abreviado núm. 158-2023), y contra la providencia de 26 de octubre de 2023 de dicha sección sexta que inadmitió el subsiguiente incidente de nulidad de actuaciones.</w:t>
      </w:r>
    </w:p>
    <w:p w14:paraId="7C7E6BE8" w14:textId="77777777" w:rsidR="00C04533" w:rsidRDefault="00C04533" w:rsidP="00C04533">
      <w:pPr>
        <w:pStyle w:val="TextoNormal"/>
      </w:pPr>
    </w:p>
    <w:p w14:paraId="1F4A173A" w14:textId="18FE9DB8" w:rsidR="00C04533" w:rsidRDefault="00C04533" w:rsidP="00C04533">
      <w:pPr>
        <w:pStyle w:val="TextoNormal"/>
      </w:pPr>
      <w:r>
        <w:t>El Ministerio Fiscal considera procedente acordar la tutela cautelar interesada con argumentos que coinciden sustancialmente con los expresados por el demandante de amparo.</w:t>
      </w:r>
    </w:p>
    <w:p w14:paraId="2ED15B65" w14:textId="77777777" w:rsidR="00C04533" w:rsidRDefault="00C04533" w:rsidP="00C04533">
      <w:pPr>
        <w:pStyle w:val="TextoNormal"/>
      </w:pPr>
    </w:p>
    <w:p w14:paraId="30A09386" w14:textId="77777777" w:rsidR="00C04533" w:rsidRDefault="00C04533" w:rsidP="00C04533">
      <w:pPr>
        <w:pStyle w:val="TextoNormal"/>
      </w:pPr>
      <w:r w:rsidRPr="00C04533">
        <w:rPr>
          <w:rStyle w:val="NumeroAFNegritaCaracter"/>
        </w:rPr>
        <w:t>2</w:t>
      </w:r>
      <w:r>
        <w:t>. En cuanto a la posibilidad de adoptar decisiones cautelares en el proceso de amparo, el art.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14:paraId="3CE6B074" w14:textId="77777777" w:rsidR="00C04533" w:rsidRDefault="00C04533" w:rsidP="00C04533">
      <w:pPr>
        <w:pStyle w:val="TextoNormal"/>
      </w:pPr>
    </w:p>
    <w:p w14:paraId="51BC43AA" w14:textId="58EFC257" w:rsidR="00C04533" w:rsidRDefault="00C04533" w:rsidP="00C04533">
      <w:pPr>
        <w:pStyle w:val="TextoNormal"/>
      </w:pPr>
      <w:r>
        <w:t>Adicionalmente, para otorgar la tutela cautelar que prevé el art. 56 LOTC este tribunal viene exigiendo a quien la solicita que, ofreciendo un principio razonable de prueba, alegue o justifique la irreparabilidad o dificultad de la reparación de los perjuicios que se produciría de seguirse la ejecución del acto impugnado. Tal exigencia tiene por objeto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14:paraId="6096A5BD" w14:textId="77777777" w:rsidR="00C04533" w:rsidRDefault="00C04533" w:rsidP="00C04533">
      <w:pPr>
        <w:pStyle w:val="TextoNormal"/>
      </w:pPr>
    </w:p>
    <w:p w14:paraId="22BFC710" w14:textId="77777777" w:rsidR="00C04533" w:rsidRDefault="00C04533" w:rsidP="00C04533">
      <w:pPr>
        <w:pStyle w:val="TextoNormal"/>
      </w:pPr>
      <w:r w:rsidRPr="00C04533">
        <w:rPr>
          <w:rStyle w:val="NumeroAFNegritaCaracter"/>
        </w:rPr>
        <w:t>3</w:t>
      </w:r>
      <w:r>
        <w:t xml:space="preserve">. El demandante considera que la decisión de repetición del juicio oral con distinto magistrado se funda en una revaloración indebida de las pruebas practicadas en la instancia que desborda los límites legales y constitucionales de revocación de sentencias absolutorias que, además, no resulta congruente con lo solicitado en apelación e infringe el principio </w:t>
      </w:r>
      <w:r w:rsidRPr="00C04533">
        <w:rPr>
          <w:i/>
        </w:rPr>
        <w:t>non bis in idem</w:t>
      </w:r>
      <w:r>
        <w:t>. Entiende la parte recurrente que la repetición del juicio oral consumaría la vulneración de su derecho a no sufrir un doble enjuiciamiento a la tutela judicial efectiva, causándole un perjuicio irreparable.</w:t>
      </w:r>
    </w:p>
    <w:p w14:paraId="09C76302" w14:textId="77777777" w:rsidR="00C04533" w:rsidRDefault="00C04533" w:rsidP="00C04533">
      <w:pPr>
        <w:pStyle w:val="TextoNormal"/>
      </w:pPr>
    </w:p>
    <w:p w14:paraId="2B80F835" w14:textId="77777777" w:rsidR="00C04533" w:rsidRDefault="00C04533" w:rsidP="00C04533">
      <w:pPr>
        <w:pStyle w:val="TextoNormal"/>
      </w:pPr>
      <w:r>
        <w:t>De acuerdo con el art. 56.2 LOTC, y los precedentes que hemos reseñado, en atención a las circunstancias concurrentes en el presente caso, debemos apreciar, como hemos hecho en anteriores ocasiones (AATC 103/2001, de 3 de mayo; 170/2001, de 22 de junio; 277/2001, de 29 de octubre; 311/2001, de 18 de diciembre, y 174/2013, de 9 de septiembre), que la suspensión es el medio adecuado para mantener el procedimiento penal en una situación que permita, cuando proceda, dar respuesta con plena eficacia a las denuncias de conculcación de derechos fundamentales formuladas en este proceso constitucional, tanto en relación con la decisión revocatoria de una absolución previa como con los efectos procesales que se anudan a ella de repetición del juicio oral ante un juez distinto.</w:t>
      </w:r>
    </w:p>
    <w:p w14:paraId="6CE77ABC" w14:textId="77777777" w:rsidR="00C04533" w:rsidRDefault="00C04533" w:rsidP="00C04533">
      <w:pPr>
        <w:pStyle w:val="TextoNormal"/>
      </w:pPr>
    </w:p>
    <w:p w14:paraId="40FA3A83" w14:textId="7EDBFE85" w:rsidR="00C04533" w:rsidRDefault="00C04533" w:rsidP="00C04533">
      <w:pPr>
        <w:pStyle w:val="TextoNormal"/>
      </w:pPr>
      <w:r>
        <w:t>No se aprecia que esta medida pueda afectar, perturbándolos gravemente, a intereses constitucionalmente protegidos o a derechos fundamentales o libertades públicas de terceras personas. Antes bien, tiende a preservar el interés general, conjurando el riesgo de contradicción entre resoluciones judiciales, una absolutoria —la dictada por el Juzgado de lo Penal núm. 7 de Barcelona—, que podría recobrar su eficacia si llegara a estimarse el recurso de amparo, y otra condenatoria —la que, en su caso, podría llegar a dictarse tras la reapertura del juicio oral cuya suspensión solicita el recurrente— (en un sentido similar, los AATC 27/2021, de 15 de marzo; 96/2021, de 28 de octubre; 26/2023, de 6 de febrero, y 4/2024, de 29 de enero). De otro lado, si se rechazase la suspensión solicitada, la eventual estimación del recurso de amparo quedaría privada de efectividad, pues lo que el demandante pretende es precisamente impedir la repetición del juicio con distinto juzgador; de esta manera, su simple celebración constituiría, en sí misma, un perjuicio irreparable.</w:t>
      </w:r>
    </w:p>
    <w:p w14:paraId="5DC3257B" w14:textId="77777777" w:rsidR="00C04533" w:rsidRDefault="00C04533" w:rsidP="00C04533">
      <w:pPr>
        <w:pStyle w:val="TextoNormal"/>
      </w:pPr>
    </w:p>
    <w:p w14:paraId="65CE8F5D" w14:textId="77777777" w:rsidR="00C04533" w:rsidRDefault="00C04533" w:rsidP="00C04533">
      <w:pPr>
        <w:pStyle w:val="TextoNormal"/>
      </w:pPr>
      <w:r>
        <w:t>Por lo expuesto, la Sala</w:t>
      </w:r>
    </w:p>
    <w:p w14:paraId="6A6005AE" w14:textId="00C6CDB7" w:rsidR="00C04533" w:rsidRDefault="00C04533" w:rsidP="00C04533">
      <w:pPr>
        <w:pStyle w:val="TextoNormal"/>
      </w:pPr>
    </w:p>
    <w:p w14:paraId="1850ABDC" w14:textId="77777777" w:rsidR="00C04533" w:rsidRDefault="00C04533" w:rsidP="00C04533">
      <w:pPr>
        <w:pStyle w:val="TextoNormalCentrado"/>
      </w:pPr>
      <w:r>
        <w:t>ACUERDA</w:t>
      </w:r>
    </w:p>
    <w:p w14:paraId="06535BC3" w14:textId="46F3F6D2" w:rsidR="00C04533" w:rsidRDefault="00C04533" w:rsidP="00C04533">
      <w:pPr>
        <w:pStyle w:val="TextoNormalCentrado"/>
      </w:pPr>
    </w:p>
    <w:p w14:paraId="23E16CAF" w14:textId="6E9BAC8D" w:rsidR="00C04533" w:rsidRDefault="00C04533" w:rsidP="00C04533">
      <w:pPr>
        <w:pStyle w:val="TextoNormal"/>
      </w:pPr>
      <w:r>
        <w:t>Otorgar, en tanto se resuelva por este tribunal el presente recurso de amparo núm. 7868-2023, la suspensión solicitada de la sentencia de 20 de septiembre de 2023 dictada por la Sección Sexta de la Audiencia Provincial de Barcelona en el rollo de apelación núm. 161-2023, que declara la nulidad de la sentencia absolutoria dictada por el Juzgado de lo Penal núm. 7 de Barcelona dictada el 22 de mayo de 2023 (procedimiento abreviado núm. 158-2023) y ordena la repetición del juicio oral con distinto juzgador.</w:t>
      </w:r>
    </w:p>
    <w:p w14:paraId="21D00E13" w14:textId="77777777" w:rsidR="00C04533" w:rsidRDefault="00C04533" w:rsidP="00C04533">
      <w:pPr>
        <w:pStyle w:val="TextoNormal"/>
      </w:pPr>
    </w:p>
    <w:p w14:paraId="65553053" w14:textId="77777777" w:rsidR="00C04533" w:rsidRDefault="00C04533" w:rsidP="00C04533">
      <w:pPr>
        <w:pStyle w:val="TextoNormal"/>
      </w:pPr>
      <w:r>
        <w:t>Madrid, a dos de julio de dos mil veinticuatro.</w:t>
      </w:r>
    </w:p>
    <w:p w14:paraId="789F3609" w14:textId="0EE9008B" w:rsidR="00C04533" w:rsidRDefault="00C04533">
      <w:pPr>
        <w:spacing w:after="160" w:line="278" w:lineRule="auto"/>
        <w:rPr>
          <w:rFonts w:ascii="Times New Roman" w:eastAsia="Times New Roman" w:hAnsi="Times New Roman" w:cs="Times New Roman"/>
          <w:sz w:val="24"/>
          <w:szCs w:val="24"/>
          <w:lang w:eastAsia="es-ES"/>
        </w:rPr>
      </w:pPr>
      <w:r>
        <w:br w:type="page"/>
      </w:r>
    </w:p>
    <w:p w14:paraId="55DD817F" w14:textId="77777777" w:rsidR="00C04533" w:rsidRDefault="00C04533" w:rsidP="00C04533">
      <w:pPr>
        <w:pStyle w:val="TtuloResolucin"/>
      </w:pPr>
      <w:bookmarkStart w:id="69" w:name="AUTO_2024_63"/>
      <w:r>
        <w:t>AUTO 63/2024, de 2 de julio de 2024</w:t>
      </w:r>
    </w:p>
    <w:bookmarkEnd w:id="69"/>
    <w:p w14:paraId="0F538D08" w14:textId="77777777" w:rsidR="00C04533" w:rsidRDefault="00C04533" w:rsidP="00C04533">
      <w:pPr>
        <w:pStyle w:val="TtuloResolucin"/>
      </w:pPr>
      <w:r>
        <w:t>Pleno</w:t>
      </w:r>
    </w:p>
    <w:p w14:paraId="0EE8B23B" w14:textId="77777777" w:rsidR="00C04533" w:rsidRDefault="00C04533" w:rsidP="00C04533">
      <w:pPr>
        <w:pStyle w:val="TextoNormalCentrado"/>
      </w:pPr>
      <w:r>
        <w:t>ECLI:ES:TC:2024:63A</w:t>
      </w:r>
    </w:p>
    <w:p w14:paraId="69A5A848" w14:textId="1335B836" w:rsidR="00C04533" w:rsidRDefault="00C04533" w:rsidP="00C04533">
      <w:pPr>
        <w:pStyle w:val="TextoNormalCentrado"/>
      </w:pPr>
    </w:p>
    <w:p w14:paraId="02510940" w14:textId="77777777" w:rsidR="00C04533" w:rsidRDefault="00C04533" w:rsidP="00C04533">
      <w:pPr>
        <w:pStyle w:val="SntesisDescriptiva"/>
      </w:pPr>
      <w:r>
        <w:t>Excms. Srs. don Cándido Conde-Pumpido Tourón,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w:t>
      </w:r>
    </w:p>
    <w:p w14:paraId="4FCA0DFA" w14:textId="7B72E891" w:rsidR="00C04533" w:rsidRDefault="00C04533" w:rsidP="00C04533">
      <w:pPr>
        <w:pStyle w:val="SntesisDescriptiva"/>
      </w:pPr>
    </w:p>
    <w:p w14:paraId="58AC6BCC" w14:textId="77777777" w:rsidR="00C04533" w:rsidRDefault="00C04533" w:rsidP="00C04533">
      <w:pPr>
        <w:pStyle w:val="SntesisDescriptiva"/>
      </w:pPr>
      <w:r>
        <w:t>Desestima el recurso de súplica interpuesto en relación con el ATC 31/2024, de 9 de abril, que inadmitió la recusación formulada en el recurso de amparo 551-2024, promovido por don Antonio López Navidad en litigio social.</w:t>
      </w:r>
    </w:p>
    <w:p w14:paraId="381D09EC" w14:textId="4D1278AD" w:rsidR="00C04533" w:rsidRDefault="00C04533" w:rsidP="00C04533">
      <w:pPr>
        <w:pStyle w:val="SntesisDescriptiva"/>
      </w:pPr>
    </w:p>
    <w:p w14:paraId="2E8537EE" w14:textId="77777777" w:rsidR="00C04533" w:rsidRDefault="00C04533" w:rsidP="00C04533">
      <w:pPr>
        <w:pStyle w:val="SntesisDescriptiva"/>
      </w:pPr>
    </w:p>
    <w:p w14:paraId="1519A5F6" w14:textId="77777777" w:rsidR="00C04533" w:rsidRDefault="00C04533" w:rsidP="00C04533">
      <w:pPr>
        <w:pStyle w:val="SntesisDescriptiva"/>
      </w:pPr>
    </w:p>
    <w:p w14:paraId="1C1772FE" w14:textId="77777777" w:rsidR="00C04533" w:rsidRDefault="00C04533" w:rsidP="00C04533">
      <w:pPr>
        <w:pStyle w:val="TextoNormalNegritaCentrado"/>
      </w:pPr>
      <w:r>
        <w:t>AUTO</w:t>
      </w:r>
    </w:p>
    <w:p w14:paraId="0507E7D0" w14:textId="1B54B7AF" w:rsidR="00C04533" w:rsidRDefault="00C04533" w:rsidP="00C04533">
      <w:pPr>
        <w:pStyle w:val="TextoNormalNegritaCentrado"/>
      </w:pPr>
    </w:p>
    <w:p w14:paraId="67CD0BB8" w14:textId="77777777" w:rsidR="00C04533" w:rsidRDefault="00C04533" w:rsidP="00C04533">
      <w:pPr>
        <w:pStyle w:val="TextoNormalNegritaCentrado"/>
        <w:keepNext/>
      </w:pPr>
      <w:r>
        <w:t>I. Antecedentes</w:t>
      </w:r>
    </w:p>
    <w:p w14:paraId="02285057" w14:textId="5F9EBD32" w:rsidR="00C04533" w:rsidRDefault="00C04533" w:rsidP="00C04533">
      <w:pPr>
        <w:pStyle w:val="TextoNormalNegritaCentrado"/>
        <w:keepNext/>
      </w:pPr>
    </w:p>
    <w:p w14:paraId="606B0D73" w14:textId="77777777" w:rsidR="00C04533" w:rsidRDefault="00C04533" w:rsidP="00C04533">
      <w:pPr>
        <w:pStyle w:val="TextoNormal"/>
      </w:pPr>
      <w:r w:rsidRPr="00C04533">
        <w:rPr>
          <w:rStyle w:val="NumeroAFNegritaCaracter"/>
        </w:rPr>
        <w:t>1</w:t>
      </w:r>
      <w:r>
        <w:t>. Mediante escrito presentado el 26 de enero de 2024 en el registro general del Tribunal, el procurador de los tribunales don Guzmán de la Villa de la Serna, en nombre y representación de don Antonio López Navidad, interpuso recurso de amparo contra el auto de 26 de junio de 2023 de la Sala de Gobierno del Tribunal Supremo que desestima el recurso de alzada interpuesto por el recurrente (expediente gubernativo núm. 34-2023) contra diversos autos dictados por la Sala de lo Social del Tribunal Supremo en el procedimiento de declaración de error judicial núm. 8-2020, y frente al acuerdo de 3 de mayo de 2023 de la misma Sala de Gobierno por el que se inadmite la recusación de determinados magistrados del Tribunal Supremo (expediente núm. 47-2023). En su demanda de amparo el recurrente invoca la vulneración de sus derechos a la tutela judicial efectiva (art. 24.1 CE) y a un proceso con todas las garantías, en cuanto comprende el derecho a un juez imparcial (art. 24.2 CE).</w:t>
      </w:r>
    </w:p>
    <w:p w14:paraId="5D3DA4E7" w14:textId="77777777" w:rsidR="00C04533" w:rsidRDefault="00C04533" w:rsidP="00C04533">
      <w:pPr>
        <w:pStyle w:val="TextoNormal"/>
      </w:pPr>
    </w:p>
    <w:p w14:paraId="3B160388" w14:textId="2486B8D1" w:rsidR="00C04533" w:rsidRDefault="00C04533" w:rsidP="00C04533">
      <w:pPr>
        <w:pStyle w:val="TextoNormal"/>
      </w:pPr>
      <w:r>
        <w:t>El recurso de amparo, registrado con el núm. 551-2024, fue turnado, a efectos de adoptar la decisión correspondiente sobre su admisibilidad, a la Sección Tercera del Tribunal Constitucional, siendo designada ponente la magistrada doña Inmaculada Montalbán Huertas, lo que fue comunicado al procurador del recurrente mediante diligencia de ordenación del secretario de justicia de 30 de enero de 2024, notificada el 1 de febrero de 2024.</w:t>
      </w:r>
    </w:p>
    <w:p w14:paraId="715668FB" w14:textId="77777777" w:rsidR="00C04533" w:rsidRDefault="00C04533" w:rsidP="00C04533">
      <w:pPr>
        <w:pStyle w:val="TextoNormal"/>
      </w:pPr>
    </w:p>
    <w:p w14:paraId="23E7CF20" w14:textId="77777777" w:rsidR="00C04533" w:rsidRDefault="00C04533" w:rsidP="00C04533">
      <w:pPr>
        <w:pStyle w:val="TextoNormal"/>
      </w:pPr>
      <w:r w:rsidRPr="00C04533">
        <w:rPr>
          <w:rStyle w:val="NumeroAFNegritaCaracter"/>
        </w:rPr>
        <w:t>2</w:t>
      </w:r>
      <w:r>
        <w:t>. El 20 de febrero de 2024, la representación procesal del recurrente de amparo presentó en este tribunal un escrito en el que promovía incidente de recusación frente a los magistrados don Cándido Conde-Pumpido Tourón y don Juan Carlos Campo Moreno y las magistradas doña María Luisa Segoviano Astaburuaga y doña Inmaculada Montalbán Huertas.</w:t>
      </w:r>
    </w:p>
    <w:p w14:paraId="51B2633E" w14:textId="77777777" w:rsidR="00C04533" w:rsidRDefault="00C04533" w:rsidP="00C04533">
      <w:pPr>
        <w:pStyle w:val="TextoNormal"/>
      </w:pPr>
    </w:p>
    <w:p w14:paraId="52F3B034" w14:textId="77777777" w:rsidR="00C04533" w:rsidRDefault="00C04533" w:rsidP="00C04533">
      <w:pPr>
        <w:pStyle w:val="TextoNormal"/>
      </w:pPr>
      <w:r>
        <w:t>En cuanto al magistrado don Cándido Conde-Pumpido Tourón, en el escrito de recusación se argumenta que está incurso en la causa 8 del art. 219 de la Ley Orgánica del Poder Judicial (LOPJ) (“tener pleito pendiente con alguna” de las partes), así como en la causa 11 del art. 219 LOPJ (“haber resuelto el pleito o causa en anterior instancia”), por tener la condición de “codemandado” en el recurso de amparo, en la medida en que dicho magistrado habría sido ponente de un auto de 11 de marzo de 2016, dictado por la sala del art. 61 LOPJ, que disponía, según se afirma, la inadmisión de una previa demanda de error judicial (procedimiento núm. 9-2015) presentada por el recurrente frente a una sentencia dictada el 24 de junio de 2015 por la Sala de lo Social del Tribunal Supremo en el recurso de casación para la unificación de doctrina núm. 3125-2012.</w:t>
      </w:r>
    </w:p>
    <w:p w14:paraId="5FDD7238" w14:textId="77777777" w:rsidR="00C04533" w:rsidRDefault="00C04533" w:rsidP="00C04533">
      <w:pPr>
        <w:pStyle w:val="TextoNormal"/>
      </w:pPr>
    </w:p>
    <w:p w14:paraId="132B9C44" w14:textId="77777777" w:rsidR="00C04533" w:rsidRDefault="00C04533" w:rsidP="00C04533">
      <w:pPr>
        <w:pStyle w:val="TextoNormal"/>
      </w:pPr>
      <w:r>
        <w:t>Respecto de la magistrada doña María Luisa Segoviano Astaburuaga, se alegan las mismas causas de recusación en relación, esta vez, con la ya citada sentencia de 24 de junio de 2015 de la Sala de lo Social del Tribunal Supremo, pues la magistrada recusada habría formado parte, según se alega, del colegio de magistrados que inadmitió el referido recurso de casación para la unificación de doctrina núm. 3125-2012.</w:t>
      </w:r>
    </w:p>
    <w:p w14:paraId="7B97A707" w14:textId="77777777" w:rsidR="00C04533" w:rsidRDefault="00C04533" w:rsidP="00C04533">
      <w:pPr>
        <w:pStyle w:val="TextoNormal"/>
      </w:pPr>
    </w:p>
    <w:p w14:paraId="5C7B3A98" w14:textId="7665E90E" w:rsidR="00C04533" w:rsidRDefault="00C04533" w:rsidP="00C04533">
      <w:pPr>
        <w:pStyle w:val="TextoNormal"/>
      </w:pPr>
      <w:r>
        <w:t>Respecto de la magistrada doña Inmaculada Montalbán Huertas y del magistrado don Juan Carlos Campo Moreno se alega que están incursos en la causa de recusación 11 del art. 219 LOPJ, porque “[a]mbos han intervenido como principales protagonistas” en el incidente de recusación promovido por el recurrente el 27 de julio de 2023 contra el magistrado don Cándido Conde-Pumpido Tourón y la magistrada doña María Luisa Segoviano Astaburuaga en el recurso de amparo núm. 4811-2023, la primera como presidenta del Pleno del Tribunal Constitucional que dictó el ATC 488/2023, de 24 de octubre, por el que se inadmiten a trámite esas recusaciones, y el segundo como magistrado ponente de dicho incidente de recusación.</w:t>
      </w:r>
    </w:p>
    <w:p w14:paraId="36F9D291" w14:textId="77777777" w:rsidR="00C04533" w:rsidRDefault="00C04533" w:rsidP="00C04533">
      <w:pPr>
        <w:pStyle w:val="TextoNormal"/>
      </w:pPr>
    </w:p>
    <w:p w14:paraId="21165D6A" w14:textId="77777777" w:rsidR="00C04533" w:rsidRDefault="00C04533" w:rsidP="00C04533">
      <w:pPr>
        <w:pStyle w:val="TextoNormal"/>
      </w:pPr>
      <w:r w:rsidRPr="00C04533">
        <w:rPr>
          <w:rStyle w:val="NumeroAFNegritaCaracter"/>
        </w:rPr>
        <w:t>3</w:t>
      </w:r>
      <w:r>
        <w:t>. Por ATC 31/2024, de 9 de abril, el Pleno del Tribunal acordó la inadmisión de las recusaciones promovidas en el recurso de amparo núm. 551-2024.</w:t>
      </w:r>
    </w:p>
    <w:p w14:paraId="16C4AEDD" w14:textId="77777777" w:rsidR="00C04533" w:rsidRDefault="00C04533" w:rsidP="00C04533">
      <w:pPr>
        <w:pStyle w:val="TextoNormal"/>
      </w:pPr>
    </w:p>
    <w:p w14:paraId="1E4EE96A" w14:textId="77777777" w:rsidR="00C04533" w:rsidRDefault="00C04533" w:rsidP="00C04533">
      <w:pPr>
        <w:pStyle w:val="TextoNormal"/>
      </w:pPr>
      <w:r>
        <w:t>La recusación de la magistrada doña Inmaculada Montalbán Huertas se inadmite por extemporánea, al haber sido planteada una vez superado el plazo de diez días al que se refiere el art. 223.1 LOPJ [aplicable en virtud de la remisión del art. 80 de la Ley Orgánica del Tribunal Constitucional (LOTC)], desde el momento en que el recusante tuvo conocimiento efectivo de que dicha magistrada formaba parte de la sección del Tribunal que debe decidir sobre la admisión del presente recurso de amparo (Sección Tercera).</w:t>
      </w:r>
    </w:p>
    <w:p w14:paraId="1C80AF9C" w14:textId="77777777" w:rsidR="00C04533" w:rsidRDefault="00C04533" w:rsidP="00C04533">
      <w:pPr>
        <w:pStyle w:val="TextoNormal"/>
      </w:pPr>
    </w:p>
    <w:p w14:paraId="5CED0CC2" w14:textId="22D69B1A" w:rsidR="00C04533" w:rsidRDefault="00C04533" w:rsidP="00C04533">
      <w:pPr>
        <w:pStyle w:val="TextoNormal"/>
      </w:pPr>
      <w:r>
        <w:t>La recusación de los magistrados don Cándido Conde-Pumpido Tourón y don Juan Carlos Campo Moreno y de la magistrada doña María Luisa Segoviano Astaburuaga se inadmite por resultar improcedente en este momento procesal, ya que estos magistrados no forman parte de la Sección Tercera del Tribunal, a la que por turno ha correspondido decidir sobre la admisión del presente recurso de amparo.</w:t>
      </w:r>
    </w:p>
    <w:p w14:paraId="5AA14D45" w14:textId="77777777" w:rsidR="00C04533" w:rsidRDefault="00C04533" w:rsidP="00C04533">
      <w:pPr>
        <w:pStyle w:val="TextoNormal"/>
      </w:pPr>
    </w:p>
    <w:p w14:paraId="29E81635" w14:textId="77777777" w:rsidR="00C04533" w:rsidRDefault="00C04533" w:rsidP="00C04533">
      <w:pPr>
        <w:pStyle w:val="TextoNormal"/>
      </w:pPr>
      <w:r w:rsidRPr="00C04533">
        <w:rPr>
          <w:rStyle w:val="NumeroAFNegritaCaracter"/>
        </w:rPr>
        <w:t>4</w:t>
      </w:r>
      <w:r>
        <w:t xml:space="preserve">. Contra el ATC 31/2024, de 9 de abril, ha interpuesto el demandante de amparo recurso de súplica, alegando como motivos de impugnación frente al auto de inadmisión </w:t>
      </w:r>
      <w:r w:rsidRPr="00C04533">
        <w:rPr>
          <w:i/>
        </w:rPr>
        <w:t>a limine</w:t>
      </w:r>
      <w:r>
        <w:t xml:space="preserve"> de la recusación, la infracción del procedimiento aplicable a la recusación y la infracción procesal y sustantiva de la resolución, con cita de los apartados 3 y 4 del art. 6 del Código civil, de los arts. 80 y 101 LOTC y de los arts. 11.2 y 3, 217, 223, 227 y 238.1 y 3 LOPJ, así como de los arts. 14, 24.1 y 2 y 120.3 CE, como preceptos supuestamente infringidos. Aporta asimismo diversos documentos referidos al procedimiento seguido ante la Sala de Gobierno del Tribunal Supremo y ante la Sala de lo Social del Tribunal Supremo.</w:t>
      </w:r>
    </w:p>
    <w:p w14:paraId="2FA221A0" w14:textId="77777777" w:rsidR="00C04533" w:rsidRDefault="00C04533" w:rsidP="00C04533">
      <w:pPr>
        <w:pStyle w:val="TextoNormal"/>
      </w:pPr>
    </w:p>
    <w:p w14:paraId="181779FA" w14:textId="0E4BC64A" w:rsidR="00C04533" w:rsidRDefault="00C04533" w:rsidP="00C04533">
      <w:pPr>
        <w:pStyle w:val="TextoNormal"/>
      </w:pPr>
      <w:r>
        <w:t xml:space="preserve">Afirma que el Tribunal Constitucional ha incurrido “en un manifiesto y flagrante fraude de ley en toda regla” al haber inadmitido las recusaciones mediante una composición en la que figuraban los cuatro magistrados recusados, por considerar el recurrente que con los siete magistrados restantes del Tribunal quedaba constituido el </w:t>
      </w:r>
      <w:r w:rsidRPr="00C04533">
        <w:rPr>
          <w:i/>
        </w:rPr>
        <w:t>quorum</w:t>
      </w:r>
      <w:r>
        <w:t xml:space="preserve"> válido para poder resolver el Pleno la recusación planteada (art. 14 LOTC). Insiste en que los magistrados don Cándido Conde-Pumpido y don Juan Carlos Campo y las magistradas doña María Luisa Segoviano y doña Inmaculada Montalbán deben ser apartados del conocimiento del presente recurso de amparo, por las razones expresadas en el escrito de recusación.</w:t>
      </w:r>
    </w:p>
    <w:p w14:paraId="6081266B" w14:textId="77777777" w:rsidR="00C04533" w:rsidRDefault="00C04533" w:rsidP="00C04533">
      <w:pPr>
        <w:pStyle w:val="TextoNormal"/>
      </w:pPr>
    </w:p>
    <w:p w14:paraId="394D6945" w14:textId="69CC47F7" w:rsidR="00C04533" w:rsidRDefault="00C04533" w:rsidP="00C04533">
      <w:pPr>
        <w:pStyle w:val="TextoNormal"/>
      </w:pPr>
      <w:r w:rsidRPr="00C04533">
        <w:rPr>
          <w:rStyle w:val="NumeroAFNegritaCaracter"/>
        </w:rPr>
        <w:t>5</w:t>
      </w:r>
      <w:r>
        <w:t>. Por diligencia de ordenación dictada el 7 de mayo de 2024 se dio traslado del recurso de súplica al Ministerio Fiscal para que, en el plazo de tres días, pudiera exponer lo que estimase procedente en relación con dicho recurso.</w:t>
      </w:r>
    </w:p>
    <w:p w14:paraId="439F585E" w14:textId="77777777" w:rsidR="00C04533" w:rsidRDefault="00C04533" w:rsidP="00C04533">
      <w:pPr>
        <w:pStyle w:val="TextoNormal"/>
      </w:pPr>
    </w:p>
    <w:p w14:paraId="56DA4E78" w14:textId="1B084F2D" w:rsidR="00C04533" w:rsidRDefault="00C04533" w:rsidP="00C04533">
      <w:pPr>
        <w:pStyle w:val="TextoNormal"/>
      </w:pPr>
      <w:r w:rsidRPr="00C04533">
        <w:rPr>
          <w:rStyle w:val="NumeroAFNegritaCaracter"/>
        </w:rPr>
        <w:t>6</w:t>
      </w:r>
      <w:r>
        <w:t>. Mediante escrito que tuvo entrada en el registro del Tribunal el 27 de mayo de 2024, el Ministerio Fiscal presentó sus alegaciones manifestando su conformidad con el contenido del ATC 31/2024, de 9 de abril, en todos sus extremos y razonamientos, que las alegaciones del recurrente no han desvirtuado, por lo que interesa la desestimación del recurso de súplica.</w:t>
      </w:r>
    </w:p>
    <w:p w14:paraId="223194F0" w14:textId="77777777" w:rsidR="00C04533" w:rsidRDefault="00C04533" w:rsidP="00C04533">
      <w:pPr>
        <w:pStyle w:val="TextoNormal"/>
      </w:pPr>
    </w:p>
    <w:p w14:paraId="3CE61A36" w14:textId="77777777" w:rsidR="00C04533" w:rsidRDefault="00C04533" w:rsidP="00C04533">
      <w:pPr>
        <w:pStyle w:val="TextoNormalNegritaCentrado"/>
        <w:keepNext/>
      </w:pPr>
      <w:r>
        <w:t>II. Fundamentos jurídicos</w:t>
      </w:r>
    </w:p>
    <w:p w14:paraId="156F13DA" w14:textId="615960DE" w:rsidR="00C04533" w:rsidRDefault="00C04533" w:rsidP="00C04533">
      <w:pPr>
        <w:pStyle w:val="TextoNormalNegritaCentrado"/>
        <w:keepNext/>
      </w:pPr>
    </w:p>
    <w:p w14:paraId="33FD2B9A" w14:textId="77777777" w:rsidR="00C04533" w:rsidRDefault="00C04533" w:rsidP="00C04533">
      <w:pPr>
        <w:pStyle w:val="TextoNormal"/>
      </w:pPr>
      <w:r w:rsidRPr="00C04533">
        <w:rPr>
          <w:rStyle w:val="TextoNormalNegritaCaracter"/>
        </w:rPr>
        <w:t xml:space="preserve">Único. </w:t>
      </w:r>
      <w:r w:rsidRPr="00C04533">
        <w:rPr>
          <w:i/>
        </w:rPr>
        <w:t>Desestimación del recurso de súplica</w:t>
      </w:r>
    </w:p>
    <w:p w14:paraId="1C254A1B" w14:textId="77777777" w:rsidR="00C04533" w:rsidRDefault="00C04533" w:rsidP="00C04533">
      <w:pPr>
        <w:pStyle w:val="TextoNormal"/>
      </w:pPr>
    </w:p>
    <w:p w14:paraId="4D832137" w14:textId="77777777" w:rsidR="00C04533" w:rsidRDefault="00C04533" w:rsidP="00C04533">
      <w:pPr>
        <w:pStyle w:val="TextoNormal"/>
      </w:pPr>
      <w:r>
        <w:t>El demandante interpone recurso de súplica contra el ATC 31/2024, de 9 de abril, del Pleno de este tribunal, por el que se acordó la inadmisión a trámite de las recusaciones promovidas por aquel contra los magistrados don Cándido Conde-Pumpido Tourón y don Juan Carlos Campo Moreno y las magistradas doña María Luisa Segoviano Astaburuaga y doña Inmaculada Montalbán Huertas para conocer del recurso de amparo núm. 551-2024, que está pendiente de la decisión sobre su admisibilidad en la Sección Tercera.</w:t>
      </w:r>
    </w:p>
    <w:p w14:paraId="5E830319" w14:textId="77777777" w:rsidR="00C04533" w:rsidRDefault="00C04533" w:rsidP="00C04533">
      <w:pPr>
        <w:pStyle w:val="TextoNormal"/>
      </w:pPr>
    </w:p>
    <w:p w14:paraId="75CA7723" w14:textId="77777777" w:rsidR="00C04533" w:rsidRDefault="00C04533" w:rsidP="00C04533">
      <w:pPr>
        <w:pStyle w:val="TextoNormal"/>
      </w:pPr>
      <w:r>
        <w:t xml:space="preserve">En el recurso de súplica se sostiene que el Tribunal Constitucional ha incurrido “en un manifiesto y flagrante fraude de ley en toda regla” al haber inadmitido las recusaciones mediante una composición en la que figuraban los cuatro magistrados recusados, pues entiende el recurrente que con los siete magistrados restantes del Tribunal quedaba constituido el </w:t>
      </w:r>
      <w:r w:rsidRPr="00C04533">
        <w:rPr>
          <w:i/>
        </w:rPr>
        <w:t>quorum</w:t>
      </w:r>
      <w:r>
        <w:t xml:space="preserve"> válido para poder resolver el Pleno la recusación planteada (art. 14 LOTC).</w:t>
      </w:r>
    </w:p>
    <w:p w14:paraId="6216BDE0" w14:textId="77777777" w:rsidR="00C04533" w:rsidRDefault="00C04533" w:rsidP="00C04533">
      <w:pPr>
        <w:pStyle w:val="TextoNormal"/>
      </w:pPr>
    </w:p>
    <w:p w14:paraId="08B7578A" w14:textId="77777777" w:rsidR="00C04533" w:rsidRDefault="00C04533" w:rsidP="00C04533">
      <w:pPr>
        <w:pStyle w:val="TextoNormal"/>
      </w:pPr>
      <w:r>
        <w:t xml:space="preserve">Tal alegato ha de ser rechazado. Aunque en la actualidad el Tribunal lo componen once miembros, ya que se encuentra vacante una plaza correspondiente al turno de nombramientos del Senado, es notorio que el </w:t>
      </w:r>
      <w:r w:rsidRPr="00C04533">
        <w:rPr>
          <w:i/>
        </w:rPr>
        <w:t>quorum</w:t>
      </w:r>
      <w:r>
        <w:t xml:space="preserve"> para adoptar acuerdos sigue siendo de ocho magistrados (art. 14 LOTC), por lo que al ser cuatro los recusados solamente siete podrían formar sala para resolver el incidente de acuerdo con la regla general del art. 227 LOPJ, de aplicación supletoria ante esta jurisdicción (art. 80 LOTC), lo cual, conforme a reiterada jurisprudencia constitucional, que en el ATC 31/2024 se cita, determina que la composición del Pleno para conocer de la recusación deba incluir a los magistrados recusados.</w:t>
      </w:r>
    </w:p>
    <w:p w14:paraId="061DE6C1" w14:textId="77777777" w:rsidR="00C04533" w:rsidRDefault="00C04533" w:rsidP="00C04533">
      <w:pPr>
        <w:pStyle w:val="TextoNormal"/>
      </w:pPr>
    </w:p>
    <w:p w14:paraId="08AF80F6" w14:textId="77777777" w:rsidR="00C04533" w:rsidRDefault="00C04533" w:rsidP="00C04533">
      <w:pPr>
        <w:pStyle w:val="TextoNormal"/>
      </w:pPr>
      <w:r>
        <w:t xml:space="preserve">En lo restante, el recurrente se limita a invocar de manera genérica la pretendida infracción de diferentes preceptos legales y constitucionales y a manifestar su discrepancia con la decisión de inadmitir </w:t>
      </w:r>
      <w:r w:rsidRPr="00C04533">
        <w:rPr>
          <w:i/>
        </w:rPr>
        <w:t>a limine</w:t>
      </w:r>
      <w:r>
        <w:t xml:space="preserve"> la recusación planteada, pero sin exponer razón alguna dirigida a refutar los motivos en los que se fundamenta esa decisión: la extemporaneidad de la recusación, en cuanto se refiere a la magistrada doña Inmaculada Montalbán, y su improcedencia en este momento procesal, en cuanto se refiere a los magistrados don Cándido Conde-Pumpido y don Juan Carlos Campo y a la magistrada doña María Luisa Segoviano, ya que no forman parte de la Sección Tercera del Tribunal, a la que por turno ha correspondido decidir sobre la admisión del presente recurso de amparo.</w:t>
      </w:r>
    </w:p>
    <w:p w14:paraId="3DD97D9C" w14:textId="77777777" w:rsidR="00C04533" w:rsidRDefault="00C04533" w:rsidP="00C04533">
      <w:pPr>
        <w:pStyle w:val="TextoNormal"/>
      </w:pPr>
    </w:p>
    <w:p w14:paraId="3C14A447" w14:textId="371B9695" w:rsidR="00C04533" w:rsidRDefault="00C04533" w:rsidP="00C04533">
      <w:pPr>
        <w:pStyle w:val="TextoNormal"/>
      </w:pPr>
      <w:r>
        <w:t xml:space="preserve">No se han desvirtuado por el recurrente, por tanto, las razones que llevaron a acordar la inadmisión </w:t>
      </w:r>
      <w:r w:rsidRPr="00C04533">
        <w:rPr>
          <w:i/>
        </w:rPr>
        <w:t>a limine</w:t>
      </w:r>
      <w:r>
        <w:t xml:space="preserve"> de la recusación que pretendía de los cuatro magistrados referidos, decisión que ha de ser confirmada. Concurre, en efecto, la extemporaneidad de la recusación planteada respecto de la magistrada doña Inmaculada Montalbán, al haberse promovido una vez superado el plazo de diez días desde que el recurrente conoció la Sección del Tribunal a la que fue turnado su recurso de amparo y la designación de la magistrada recusada como ponente (arts. 80 LOTC y 223.1 LOPJ). Resulta improcedente, en el estado en que se encuentra el recurso de amparo núm. 551-2024, pendiente de decisión sobre su admisión en la Sección Tercera, plantear una recusación respecto de los magistrados don Cándido Conde-Pumpido y don Juan Carlos Campo y de la magistrada doña María Luisa Segoviano, que no forman parte de esa Sección.</w:t>
      </w:r>
    </w:p>
    <w:p w14:paraId="381A484A" w14:textId="77777777" w:rsidR="00C04533" w:rsidRDefault="00C04533" w:rsidP="00C04533">
      <w:pPr>
        <w:pStyle w:val="TextoNormal"/>
      </w:pPr>
    </w:p>
    <w:p w14:paraId="36354A88" w14:textId="77777777" w:rsidR="00C04533" w:rsidRDefault="00C04533" w:rsidP="00C04533">
      <w:pPr>
        <w:pStyle w:val="TextoNormal"/>
      </w:pPr>
      <w:r>
        <w:t>Por lo expuesto, la Sección</w:t>
      </w:r>
    </w:p>
    <w:p w14:paraId="2B201012" w14:textId="08155A49" w:rsidR="00C04533" w:rsidRDefault="00C04533" w:rsidP="00C04533">
      <w:pPr>
        <w:pStyle w:val="TextoNormal"/>
      </w:pPr>
    </w:p>
    <w:p w14:paraId="22711EB0" w14:textId="77777777" w:rsidR="00C04533" w:rsidRDefault="00C04533" w:rsidP="00C04533">
      <w:pPr>
        <w:pStyle w:val="TextoNormalCentrado"/>
      </w:pPr>
      <w:r>
        <w:t>ACUERDA</w:t>
      </w:r>
    </w:p>
    <w:p w14:paraId="08B8656E" w14:textId="2517F079" w:rsidR="00C04533" w:rsidRDefault="00C04533" w:rsidP="00C04533">
      <w:pPr>
        <w:pStyle w:val="TextoNormalCentrado"/>
      </w:pPr>
    </w:p>
    <w:p w14:paraId="3EE4EAAC" w14:textId="6F0B943C" w:rsidR="00C04533" w:rsidRDefault="00C04533" w:rsidP="00C04533">
      <w:pPr>
        <w:pStyle w:val="TextoNormal"/>
      </w:pPr>
      <w:r>
        <w:t>Desestimar el recurso de súplica interpuesto contra el ATC 31/2024, de 9 de abril.</w:t>
      </w:r>
    </w:p>
    <w:p w14:paraId="5C0583BF" w14:textId="77777777" w:rsidR="00C04533" w:rsidRDefault="00C04533" w:rsidP="00C04533">
      <w:pPr>
        <w:pStyle w:val="TextoNormal"/>
      </w:pPr>
    </w:p>
    <w:p w14:paraId="1AFCE40E" w14:textId="77777777" w:rsidR="00C04533" w:rsidRDefault="00C04533" w:rsidP="00C04533">
      <w:pPr>
        <w:pStyle w:val="TextoNormal"/>
      </w:pPr>
      <w:r>
        <w:t>Madrid, a dos de julio de dos mil veinticuatro.</w:t>
      </w:r>
    </w:p>
    <w:p w14:paraId="232080D0" w14:textId="30FA79B7" w:rsidR="00C04533" w:rsidRDefault="00C04533">
      <w:pPr>
        <w:spacing w:after="160" w:line="278" w:lineRule="auto"/>
        <w:rPr>
          <w:rFonts w:ascii="Times New Roman" w:eastAsia="Times New Roman" w:hAnsi="Times New Roman" w:cs="Times New Roman"/>
          <w:sz w:val="24"/>
          <w:szCs w:val="24"/>
          <w:lang w:eastAsia="es-ES"/>
        </w:rPr>
      </w:pPr>
      <w:r>
        <w:br w:type="page"/>
      </w:r>
    </w:p>
    <w:p w14:paraId="48AE6EFB" w14:textId="77777777" w:rsidR="00C04533" w:rsidRDefault="00C04533" w:rsidP="00C04533">
      <w:pPr>
        <w:pStyle w:val="TtuloResolucin"/>
      </w:pPr>
      <w:bookmarkStart w:id="70" w:name="AUTO_2024_64"/>
      <w:r>
        <w:t>AUTO 64/2024, de 2 de julio de 2024</w:t>
      </w:r>
    </w:p>
    <w:bookmarkEnd w:id="70"/>
    <w:p w14:paraId="229A87DA" w14:textId="77777777" w:rsidR="00C04533" w:rsidRDefault="00C04533" w:rsidP="00C04533">
      <w:pPr>
        <w:pStyle w:val="TtuloResolucin"/>
      </w:pPr>
      <w:r>
        <w:t>Pleno</w:t>
      </w:r>
    </w:p>
    <w:p w14:paraId="37D9C2BF" w14:textId="77777777" w:rsidR="00C04533" w:rsidRDefault="00C04533" w:rsidP="00C04533">
      <w:pPr>
        <w:pStyle w:val="TextoNormalCentrado"/>
      </w:pPr>
      <w:r>
        <w:t>ECLI:ES:TC:2024:64A</w:t>
      </w:r>
    </w:p>
    <w:p w14:paraId="356305CE" w14:textId="32E28A20" w:rsidR="00C04533" w:rsidRDefault="00C04533" w:rsidP="00C04533">
      <w:pPr>
        <w:pStyle w:val="TextoNormalCentrado"/>
      </w:pPr>
    </w:p>
    <w:p w14:paraId="784C0549" w14:textId="77777777" w:rsidR="00C04533" w:rsidRDefault="00C04533" w:rsidP="00C04533">
      <w:pPr>
        <w:pStyle w:val="SntesisDescriptiva"/>
      </w:pPr>
      <w:r>
        <w:t>Excms. Srs. don Cándido Conde-Pumpido Tourón,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w:t>
      </w:r>
    </w:p>
    <w:p w14:paraId="092C07AF" w14:textId="2B265307" w:rsidR="00C04533" w:rsidRDefault="00C04533" w:rsidP="00C04533">
      <w:pPr>
        <w:pStyle w:val="SntesisDescriptiva"/>
      </w:pPr>
    </w:p>
    <w:p w14:paraId="797E168F" w14:textId="77777777" w:rsidR="00C04533" w:rsidRDefault="00C04533" w:rsidP="00C04533">
      <w:pPr>
        <w:pStyle w:val="SntesisDescriptiva"/>
      </w:pPr>
      <w:r>
        <w:t>Desestima el recurso de súplica interpuesto en relación con el ATC 42/2024, de 7 de mayo, que inadmitió las recusaciones formuladas en el recurso de amparo 907-2024, promovido por don Fernando Argote Pons y doña Miren Garbiñe Garagarza Echaniz en causa penal.</w:t>
      </w:r>
    </w:p>
    <w:p w14:paraId="0DBFA1A4" w14:textId="628A94DF" w:rsidR="00C04533" w:rsidRDefault="00C04533" w:rsidP="00C04533">
      <w:pPr>
        <w:pStyle w:val="SntesisDescriptiva"/>
      </w:pPr>
    </w:p>
    <w:p w14:paraId="774E241A" w14:textId="77777777" w:rsidR="00C04533" w:rsidRDefault="00C04533" w:rsidP="00C04533">
      <w:pPr>
        <w:pStyle w:val="SntesisDescriptiva"/>
      </w:pPr>
    </w:p>
    <w:p w14:paraId="294C7D0A" w14:textId="77777777" w:rsidR="00C04533" w:rsidRDefault="00C04533" w:rsidP="00C04533">
      <w:pPr>
        <w:pStyle w:val="SntesisDescriptiva"/>
      </w:pPr>
    </w:p>
    <w:p w14:paraId="52AE1D74" w14:textId="77777777" w:rsidR="00C04533" w:rsidRDefault="00C04533" w:rsidP="00C04533">
      <w:pPr>
        <w:pStyle w:val="TextoNormalNegritaCentrado"/>
      </w:pPr>
      <w:r>
        <w:t>AUTO</w:t>
      </w:r>
    </w:p>
    <w:p w14:paraId="5C1744D4" w14:textId="03B85C00" w:rsidR="00C04533" w:rsidRDefault="00C04533" w:rsidP="00C04533">
      <w:pPr>
        <w:pStyle w:val="TextoNormalNegritaCentrado"/>
      </w:pPr>
    </w:p>
    <w:p w14:paraId="56319765" w14:textId="77777777" w:rsidR="00C04533" w:rsidRDefault="00C04533" w:rsidP="00C04533">
      <w:pPr>
        <w:pStyle w:val="TextoNormalNegritaCentrado"/>
        <w:keepNext/>
      </w:pPr>
      <w:r>
        <w:t>I. Antecedentes</w:t>
      </w:r>
    </w:p>
    <w:p w14:paraId="18752015" w14:textId="605C7641" w:rsidR="00C04533" w:rsidRDefault="00C04533" w:rsidP="00C04533">
      <w:pPr>
        <w:pStyle w:val="TextoNormalNegritaCentrado"/>
        <w:keepNext/>
      </w:pPr>
    </w:p>
    <w:p w14:paraId="6813F88E" w14:textId="4FFA9A16" w:rsidR="00C04533" w:rsidRDefault="00C04533" w:rsidP="00C04533">
      <w:pPr>
        <w:pStyle w:val="TextoNormal"/>
      </w:pPr>
      <w:r w:rsidRPr="00C04533">
        <w:rPr>
          <w:rStyle w:val="NumeroAFNegritaCaracter"/>
        </w:rPr>
        <w:t>1</w:t>
      </w:r>
      <w:r>
        <w:t>. Don Fernando Argote Pons y doña Miren Garbiñe Garagarza Echaniz, representados por la procuradora de los tribunales doña Silvia Albaladejo Díaz-Alabart y bajo la dirección letrada del primero, interpusieron recurso de amparo contra la diligencia de ordenación de la Sección Primera de la Audiencia Provincial de Gipuzkoa de 15 de diciembre de 2023 pronunciada en el rollo de apelación núm. 513-2023, mediante escrito registrado en este tribunal el 9 de febrero de 2024, dando lugar al recurso de amparo núm. 907-2024 turnado a la Sección Cuarta del Tribunal para la decisión sobre su admisibilidad, lo que fue comunicado a los demandantes por diligencia de ordenación de 14 de febrero de 2024.</w:t>
      </w:r>
    </w:p>
    <w:p w14:paraId="0CEE61AE" w14:textId="77777777" w:rsidR="00C04533" w:rsidRDefault="00C04533" w:rsidP="00C04533">
      <w:pPr>
        <w:pStyle w:val="TextoNormal"/>
      </w:pPr>
    </w:p>
    <w:p w14:paraId="64E746C4" w14:textId="77777777" w:rsidR="00C04533" w:rsidRDefault="00C04533" w:rsidP="00C04533">
      <w:pPr>
        <w:pStyle w:val="TextoNormal"/>
      </w:pPr>
      <w:r w:rsidRPr="00C04533">
        <w:rPr>
          <w:rStyle w:val="NumeroAFNegritaCaracter"/>
        </w:rPr>
        <w:t>2</w:t>
      </w:r>
      <w:r>
        <w:t>. Los demandantes, por escrito registrado en el Tribunal el 21 de febrero de 2024, entre otros extremos, instaron la recusación de los magistrados y magistrada de la Sección Cuarta del Tribunal Constitucional, doña María Luisa Balaguer Callejón, don Ramón Sáez Valcárcel y don Enrique Arnaldo Alcubilla, con fundamento en la pérdida de la apariencia de su imparcialidad judicial por las tres razones siguientes:</w:t>
      </w:r>
    </w:p>
    <w:p w14:paraId="72C58425" w14:textId="77777777" w:rsidR="00C04533" w:rsidRDefault="00C04533" w:rsidP="00C04533">
      <w:pPr>
        <w:pStyle w:val="TextoNormal"/>
      </w:pPr>
    </w:p>
    <w:p w14:paraId="6B6D86A1" w14:textId="77777777" w:rsidR="00C04533" w:rsidRDefault="00C04533" w:rsidP="00C04533">
      <w:pPr>
        <w:pStyle w:val="TextoNormal"/>
      </w:pPr>
      <w:r>
        <w:t>a) No se ha producido una comunicación previa de la composición del Tribunal, lo que “determina la infracción del derecho a un tribunal independiente e imparcial y produce indefensión a la parte recurrente”.</w:t>
      </w:r>
    </w:p>
    <w:p w14:paraId="2802BD0D" w14:textId="77777777" w:rsidR="00C04533" w:rsidRDefault="00C04533" w:rsidP="00C04533">
      <w:pPr>
        <w:pStyle w:val="TextoNormal"/>
      </w:pPr>
    </w:p>
    <w:p w14:paraId="3CE7D117" w14:textId="77777777" w:rsidR="00C04533" w:rsidRDefault="00C04533" w:rsidP="00C04533">
      <w:pPr>
        <w:pStyle w:val="TextoNormal"/>
      </w:pPr>
      <w:r>
        <w:t>b) Su vinculación política, ya que, siendo objeto del recurso de amparo denuncias por corrupción de determinados políticos del Partido Nacionalista Vasco (PNV), se da la circunstancia de que los dos primeros “han sido promovidos a su cargo por el PSOE, cuyo socio preferente en el Gobierno es el PNV” y el tercero “ha sido promovido por el Partido Popular, partido que aspira a obtener el apoyo del PNV para formar Gobierno”.</w:t>
      </w:r>
    </w:p>
    <w:p w14:paraId="417E2600" w14:textId="77777777" w:rsidR="00C04533" w:rsidRDefault="00C04533" w:rsidP="00C04533">
      <w:pPr>
        <w:pStyle w:val="TextoNormal"/>
      </w:pPr>
    </w:p>
    <w:p w14:paraId="3FBB4DD7" w14:textId="3EE597C1" w:rsidR="00C04533" w:rsidRDefault="00C04533" w:rsidP="00C04533">
      <w:pPr>
        <w:pStyle w:val="TextoNormal"/>
      </w:pPr>
      <w:r>
        <w:t>c) La Sección Cuarta del Tribunal, con la misma composición subjetiva, “acordó inadmitir a trámite dos recursos de esta representación por motivos arbitrarios y parciales”, que son los referidos a los recursos de amparo núm. 192-2024 y 216-2024.</w:t>
      </w:r>
    </w:p>
    <w:p w14:paraId="353E4623" w14:textId="77777777" w:rsidR="00C04533" w:rsidRDefault="00C04533" w:rsidP="00C04533">
      <w:pPr>
        <w:pStyle w:val="TextoNormal"/>
      </w:pPr>
    </w:p>
    <w:p w14:paraId="205F3834" w14:textId="7BB4C1CF" w:rsidR="00C04533" w:rsidRDefault="00C04533" w:rsidP="00C04533">
      <w:pPr>
        <w:pStyle w:val="TextoNormal"/>
      </w:pPr>
      <w:r w:rsidRPr="00C04533">
        <w:rPr>
          <w:rStyle w:val="NumeroAFNegritaCaracter"/>
        </w:rPr>
        <w:t>3</w:t>
      </w:r>
      <w:r>
        <w:t>. La Secretaría de Justicia del Pleno del Tribunal, mediante diligencia de ordenación de 17 de abril de 2024, tuvo por recibido el anterior escrito en el que se formulan las mencionadas recusaciones y acuerda designar a la magistrada doña María Luisa Segoviano Astaburuaga, a la que por turno corresponde, para que proponga al Pleno la resolución que proceda.</w:t>
      </w:r>
    </w:p>
    <w:p w14:paraId="134C71AC" w14:textId="77777777" w:rsidR="00C04533" w:rsidRDefault="00C04533" w:rsidP="00C04533">
      <w:pPr>
        <w:pStyle w:val="TextoNormal"/>
      </w:pPr>
    </w:p>
    <w:p w14:paraId="12C74639" w14:textId="33AFAFE1" w:rsidR="00C04533" w:rsidRDefault="00C04533" w:rsidP="00C04533">
      <w:pPr>
        <w:pStyle w:val="TextoNormal"/>
      </w:pPr>
      <w:r w:rsidRPr="00C04533">
        <w:rPr>
          <w:rStyle w:val="NumeroAFNegritaCaracter"/>
        </w:rPr>
        <w:t>4</w:t>
      </w:r>
      <w:r>
        <w:t>. Los demandantes de amparo, por escrito registrado en el Tribunal el 18 de abril de 2024, entre otros extremos, instaron la recusación de la magistrada doña María Luisa Segoviano Astaburuaga, con fundamento en las mismas razones alegadas en relación con los magistrados de la Sección Cuarta, al reproducir lo expuesto en un escrito presentado en el recurso de amparo núm. 2909-2023, cuando el mismo ya había sido inadmitido a trámite de forma firme, lo que motivó su rechazo.</w:t>
      </w:r>
    </w:p>
    <w:p w14:paraId="3EF66798" w14:textId="77777777" w:rsidR="00C04533" w:rsidRDefault="00C04533" w:rsidP="00C04533">
      <w:pPr>
        <w:pStyle w:val="TextoNormal"/>
      </w:pPr>
    </w:p>
    <w:p w14:paraId="75A75341" w14:textId="2F31D1C9" w:rsidR="00C04533" w:rsidRDefault="00C04533" w:rsidP="00C04533">
      <w:pPr>
        <w:pStyle w:val="TextoNormal"/>
      </w:pPr>
      <w:r w:rsidRPr="00C04533">
        <w:rPr>
          <w:rStyle w:val="NumeroAFNegritaCaracter"/>
        </w:rPr>
        <w:t>5</w:t>
      </w:r>
      <w:r>
        <w:t>. El Pleno del Tribunal, mediante ATC 42/2024, de 7 de mayo, acordó la inadmisión de las citadas recusaciones.</w:t>
      </w:r>
    </w:p>
    <w:p w14:paraId="1D04519E" w14:textId="77777777" w:rsidR="00C04533" w:rsidRDefault="00C04533" w:rsidP="00C04533">
      <w:pPr>
        <w:pStyle w:val="TextoNormal"/>
      </w:pPr>
    </w:p>
    <w:p w14:paraId="4576D4CE" w14:textId="01AB9F3E" w:rsidR="00C04533" w:rsidRDefault="00C04533" w:rsidP="00C04533">
      <w:pPr>
        <w:pStyle w:val="TextoNormal"/>
      </w:pPr>
      <w:r w:rsidRPr="00C04533">
        <w:rPr>
          <w:rStyle w:val="NumeroAFNegritaCaracter"/>
        </w:rPr>
        <w:t>6</w:t>
      </w:r>
      <w:r>
        <w:t>. Los demandantes de amparo, por escrito registrado en el Tribunal el 16 de mayo de 2024, alegan en relación con la decisión de inadmisión que (i) no consta su régimen de recurso; (ii) en los recursos de amparo núm. 192-2024 y 216-2024 no fueron identificados los magistrados que iban a decidir sobre su admisibilidad como tampoco lo han sido los que iban a dictar el auto de 7 de mayo de 2024; (iii) la decisión de inadmisión en esos recursos y de los núms. 2909-2023 y 7178-2023 pone de manifiesto la pérdida de imparcialidad de los magistrados recusados; y (iv) existe una vinculación de los magistrados con los partidos políticos socios de aquel al que pertenece quien había sido denunciado en el procedimiento que ha dado lugar al presente recurso de amparo.</w:t>
      </w:r>
    </w:p>
    <w:p w14:paraId="585A2BC5" w14:textId="77777777" w:rsidR="00C04533" w:rsidRDefault="00C04533" w:rsidP="00C04533">
      <w:pPr>
        <w:pStyle w:val="TextoNormal"/>
      </w:pPr>
    </w:p>
    <w:p w14:paraId="4D80FB46" w14:textId="6834921B" w:rsidR="00C04533" w:rsidRDefault="00C04533" w:rsidP="00C04533">
      <w:pPr>
        <w:pStyle w:val="TextoNormal"/>
      </w:pPr>
      <w:r w:rsidRPr="00C04533">
        <w:rPr>
          <w:rStyle w:val="NumeroAFNegritaCaracter"/>
        </w:rPr>
        <w:t>7</w:t>
      </w:r>
      <w:r>
        <w:t>. La Secretaría de Justicia del Pleno del Tribunal, mediante diligencia de ordenación de 20 de mayo de 2024, dio traslado del anterior escrito al Ministerio Fiscal para que, en el plazo de tres días, pudiera exponer lo que estimara procedente.</w:t>
      </w:r>
    </w:p>
    <w:p w14:paraId="042344C7" w14:textId="77777777" w:rsidR="00C04533" w:rsidRDefault="00C04533" w:rsidP="00C04533">
      <w:pPr>
        <w:pStyle w:val="TextoNormal"/>
      </w:pPr>
    </w:p>
    <w:p w14:paraId="4FA09C55" w14:textId="1EDB35EB" w:rsidR="00C04533" w:rsidRDefault="00C04533" w:rsidP="00C04533">
      <w:pPr>
        <w:pStyle w:val="TextoNormal"/>
      </w:pPr>
      <w:r w:rsidRPr="00C04533">
        <w:rPr>
          <w:rStyle w:val="NumeroAFNegritaCaracter"/>
        </w:rPr>
        <w:t>8</w:t>
      </w:r>
      <w:r>
        <w:t>. El Ministerio Fiscal, por escrito registrado en el Tribunal el 12 de junio de 2024, presentó sus alegaciones interesando la desestimación de lo que considera que es un recurso de súplica planteado contra el auto de inadmisión de las recusaciones con fundamento en que (i) ninguna relevancia tiene la omisión de indicación del régimen de recurso al haberse reaccionado procesalmente; y (ii) se ha dado cumplida respuesta a los motivos de recusación alegados tanto relativos a la supuesta falta de identificación de los magistrados en determinados recursos como a la relevancia que tendría la decisión de inadmisión adoptado en ellos y la supuesta vinculación política de los magistrados en atención a su modo de nombramiento.</w:t>
      </w:r>
    </w:p>
    <w:p w14:paraId="36DC0F7C" w14:textId="77777777" w:rsidR="00C04533" w:rsidRDefault="00C04533" w:rsidP="00C04533">
      <w:pPr>
        <w:pStyle w:val="TextoNormal"/>
      </w:pPr>
    </w:p>
    <w:p w14:paraId="3E96BF65" w14:textId="77777777" w:rsidR="00C04533" w:rsidRDefault="00C04533" w:rsidP="00C04533">
      <w:pPr>
        <w:pStyle w:val="TextoNormalNegritaCentrado"/>
        <w:keepNext/>
      </w:pPr>
      <w:r>
        <w:t>II. Fundamentos jurídicos</w:t>
      </w:r>
    </w:p>
    <w:p w14:paraId="575EBA73" w14:textId="6823C057" w:rsidR="00C04533" w:rsidRDefault="00C04533" w:rsidP="00C04533">
      <w:pPr>
        <w:pStyle w:val="TextoNormalNegritaCentrado"/>
        <w:keepNext/>
      </w:pPr>
    </w:p>
    <w:p w14:paraId="5192B839" w14:textId="77777777" w:rsidR="00C04533" w:rsidRDefault="00C04533" w:rsidP="00C04533">
      <w:pPr>
        <w:pStyle w:val="TextoNormal"/>
      </w:pPr>
      <w:r w:rsidRPr="00C04533">
        <w:rPr>
          <w:rStyle w:val="TextoNormalNegritaCaracter"/>
        </w:rPr>
        <w:t xml:space="preserve">Único. </w:t>
      </w:r>
      <w:r>
        <w:t>El objeto de la presente resolución es dar respuesta a la impugnación que dirigen los recurrentes contra el ATC 42/2024, de 7 de mayo, por el que se acuerda la inadmisión de las recusaciones formuladas en este recurso y que se fundamenta en las razones expuestas en el antecedente 6 de la presente resolución.</w:t>
      </w:r>
    </w:p>
    <w:p w14:paraId="47EB9473" w14:textId="77777777" w:rsidR="00C04533" w:rsidRDefault="00C04533" w:rsidP="00C04533">
      <w:pPr>
        <w:pStyle w:val="TextoNormal"/>
      </w:pPr>
    </w:p>
    <w:p w14:paraId="54AC6967" w14:textId="3D53CE70" w:rsidR="00C04533" w:rsidRDefault="00C04533" w:rsidP="00C04533">
      <w:pPr>
        <w:pStyle w:val="TextoNormal"/>
      </w:pPr>
      <w:r>
        <w:t>El Tribunal rechaza cualquier relevancia de la alegada omisión de la indicación del régimen de recurso procedente contra el auto ahora impugnado, al quedar acreditado que se ha reaccionado procesalmente y se está dando resolución al mismo mediante el presente auto. Por otra parte, el Tribunal desestima la impugnación efectuada, al constatar que en ella se insiste en las mismas razones a las que ya se dio cumplida respuesta en el auto de inadmisión de las recusaciones a las que procede ahora remitirse, reiterando, (i) en cuanto a la composición subjetiva de los órganos del Tribunal que han de resolver sobre las diversas pretensiones, que esta es pública en atención a la publicación en el “Boletín Oficial del Estado” de los respectivos acuerdos del Pleno del Tribunal Constitucional por el que se dispone la composición de las salas y secciones del Tribunal Constitucional; (ii) en cuanto a la participación de los magistrados constitucionales en anteriores procesos en esta jurisdicción de amparo, responde al cumplimiento de sus funciones constitucionales y no permite sustentar la concurrencia de ninguna causa de recusación; y (iii) por lo que se refiere a la alegación de la existencia de una vinculación política de los magistrados constitucionales con determinados partidos políticos, que ello no puede derivarse del proceso de su elección como magistrados constitucionales.</w:t>
      </w:r>
    </w:p>
    <w:p w14:paraId="10A8DDAE" w14:textId="77777777" w:rsidR="00C04533" w:rsidRDefault="00C04533" w:rsidP="00C04533">
      <w:pPr>
        <w:pStyle w:val="TextoNormal"/>
      </w:pPr>
    </w:p>
    <w:p w14:paraId="7F5F3D0A" w14:textId="77777777" w:rsidR="00C04533" w:rsidRDefault="00C04533" w:rsidP="00C04533">
      <w:pPr>
        <w:pStyle w:val="TextoNormal"/>
      </w:pPr>
      <w:r>
        <w:t>Por lo expuesto, el Pleno</w:t>
      </w:r>
    </w:p>
    <w:p w14:paraId="5AC4971A" w14:textId="42E5A7B2" w:rsidR="00C04533" w:rsidRDefault="00C04533" w:rsidP="00C04533">
      <w:pPr>
        <w:pStyle w:val="TextoNormal"/>
      </w:pPr>
    </w:p>
    <w:p w14:paraId="02D845A2" w14:textId="77777777" w:rsidR="00C04533" w:rsidRDefault="00C04533" w:rsidP="00C04533">
      <w:pPr>
        <w:pStyle w:val="TextoNormalCentrado"/>
      </w:pPr>
      <w:r>
        <w:t>ACUERDA</w:t>
      </w:r>
    </w:p>
    <w:p w14:paraId="6F582ED6" w14:textId="2509C506" w:rsidR="00C04533" w:rsidRDefault="00C04533" w:rsidP="00C04533">
      <w:pPr>
        <w:pStyle w:val="TextoNormalCentrado"/>
      </w:pPr>
    </w:p>
    <w:p w14:paraId="2A9A0EFE" w14:textId="733DE56F" w:rsidR="00C04533" w:rsidRDefault="00C04533" w:rsidP="00C04533">
      <w:pPr>
        <w:pStyle w:val="TextoNormal"/>
      </w:pPr>
      <w:r>
        <w:t>Desestimar el recurso de súplica interpuesto por los recurrentes contra el auto de 7 de mayo de 2024 por el que se inadmiten las recusaciones formuladas en el presente recurso de amparo.</w:t>
      </w:r>
    </w:p>
    <w:p w14:paraId="644FCBB7" w14:textId="77777777" w:rsidR="00C04533" w:rsidRDefault="00C04533" w:rsidP="00C04533">
      <w:pPr>
        <w:pStyle w:val="TextoNormal"/>
      </w:pPr>
    </w:p>
    <w:p w14:paraId="5C7012D4" w14:textId="77777777" w:rsidR="00C04533" w:rsidRDefault="00C04533" w:rsidP="00C04533">
      <w:pPr>
        <w:pStyle w:val="TextoNormal"/>
      </w:pPr>
      <w:r>
        <w:t>Madrid, a dos de julio de dos mil veinticuatro.</w:t>
      </w:r>
    </w:p>
    <w:p w14:paraId="5A303EF1" w14:textId="07EB9B71" w:rsidR="00C04533" w:rsidRDefault="00C04533">
      <w:pPr>
        <w:spacing w:after="160" w:line="278" w:lineRule="auto"/>
        <w:rPr>
          <w:rFonts w:ascii="Times New Roman" w:eastAsia="Times New Roman" w:hAnsi="Times New Roman" w:cs="Times New Roman"/>
          <w:sz w:val="24"/>
          <w:szCs w:val="24"/>
          <w:lang w:eastAsia="es-ES"/>
        </w:rPr>
      </w:pPr>
      <w:r>
        <w:br w:type="page"/>
      </w:r>
    </w:p>
    <w:p w14:paraId="2BB27004" w14:textId="77777777" w:rsidR="00C04533" w:rsidRDefault="00C04533" w:rsidP="00C04533">
      <w:pPr>
        <w:pStyle w:val="TtuloResolucin"/>
      </w:pPr>
      <w:bookmarkStart w:id="71" w:name="AUTO_2024_65"/>
      <w:r>
        <w:t>AUTO 65/2024, de 2 de julio de 2024</w:t>
      </w:r>
    </w:p>
    <w:bookmarkEnd w:id="71"/>
    <w:p w14:paraId="02C5BF63" w14:textId="77777777" w:rsidR="00C04533" w:rsidRDefault="00C04533" w:rsidP="00C04533">
      <w:pPr>
        <w:pStyle w:val="TtuloResolucin"/>
      </w:pPr>
      <w:r>
        <w:t>Pleno</w:t>
      </w:r>
    </w:p>
    <w:p w14:paraId="622A25B2" w14:textId="77777777" w:rsidR="00C04533" w:rsidRDefault="00C04533" w:rsidP="00C04533">
      <w:pPr>
        <w:pStyle w:val="TextoNormalCentrado"/>
      </w:pPr>
      <w:r>
        <w:t>ECLI:ES:TC:2024:65A</w:t>
      </w:r>
    </w:p>
    <w:p w14:paraId="359B09A9" w14:textId="17CE589C" w:rsidR="00C04533" w:rsidRDefault="00C04533" w:rsidP="00C04533">
      <w:pPr>
        <w:pStyle w:val="TextoNormalCentrado"/>
      </w:pPr>
    </w:p>
    <w:p w14:paraId="06043D74" w14:textId="77777777" w:rsidR="00C04533" w:rsidRDefault="00C04533" w:rsidP="00C04533">
      <w:pPr>
        <w:pStyle w:val="SntesisDescriptiva"/>
      </w:pPr>
      <w:r>
        <w:t>Excms. Srs. don Cándido Conde-Pumpido Tourón,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w:t>
      </w:r>
    </w:p>
    <w:p w14:paraId="2B8A648D" w14:textId="762F0CA0" w:rsidR="00C04533" w:rsidRDefault="00C04533" w:rsidP="00C04533">
      <w:pPr>
        <w:pStyle w:val="SntesisDescriptiva"/>
      </w:pPr>
    </w:p>
    <w:p w14:paraId="7CF15AB7" w14:textId="77777777" w:rsidR="00C04533" w:rsidRDefault="00C04533" w:rsidP="00C04533">
      <w:pPr>
        <w:pStyle w:val="SntesisDescriptiva"/>
      </w:pPr>
      <w:r>
        <w:t>Inadmite a trámite la cuestión de inconstitucionalidad 1475-2024, planteada por la Sección Cuarta de la Sala de lo Contencioso-Administrativo del Tribunal Supremo en relación con el inciso tercero del artículo 67.3 de la Ley 50/1981, de 30 de diciembre, por la que se regula el Estatuto orgánico del Ministerio Fiscal.</w:t>
      </w:r>
    </w:p>
    <w:p w14:paraId="07D556B8" w14:textId="421D667B" w:rsidR="00C04533" w:rsidRDefault="00C04533" w:rsidP="00C04533">
      <w:pPr>
        <w:pStyle w:val="SntesisDescriptiva"/>
      </w:pPr>
    </w:p>
    <w:p w14:paraId="6793941C" w14:textId="77777777" w:rsidR="00C04533" w:rsidRDefault="00C04533" w:rsidP="00C04533">
      <w:pPr>
        <w:pStyle w:val="SntesisDescriptiva"/>
      </w:pPr>
    </w:p>
    <w:p w14:paraId="2EA7CC8B" w14:textId="77777777" w:rsidR="00C04533" w:rsidRDefault="00C04533" w:rsidP="00C04533">
      <w:pPr>
        <w:pStyle w:val="SntesisDescriptiva"/>
      </w:pPr>
    </w:p>
    <w:p w14:paraId="21928DF1" w14:textId="77777777" w:rsidR="00C04533" w:rsidRDefault="00C04533" w:rsidP="00C04533">
      <w:pPr>
        <w:pStyle w:val="TextoNormalNegritaCentrado"/>
      </w:pPr>
      <w:r>
        <w:t>AUTO</w:t>
      </w:r>
    </w:p>
    <w:p w14:paraId="3BE7E38E" w14:textId="4A11A277" w:rsidR="00C04533" w:rsidRDefault="00C04533" w:rsidP="00C04533">
      <w:pPr>
        <w:pStyle w:val="TextoNormalNegritaCentrado"/>
      </w:pPr>
    </w:p>
    <w:p w14:paraId="3F663EEF" w14:textId="77777777" w:rsidR="00C04533" w:rsidRDefault="00C04533" w:rsidP="00C04533">
      <w:pPr>
        <w:pStyle w:val="TextoNormalNegritaCentrado"/>
        <w:keepNext/>
      </w:pPr>
      <w:r>
        <w:t>I. Antecedentes</w:t>
      </w:r>
    </w:p>
    <w:p w14:paraId="08332375" w14:textId="2CE3EF76" w:rsidR="00C04533" w:rsidRDefault="00C04533" w:rsidP="00C04533">
      <w:pPr>
        <w:pStyle w:val="TextoNormalNegritaCentrado"/>
        <w:keepNext/>
      </w:pPr>
    </w:p>
    <w:p w14:paraId="69A7F2C5" w14:textId="6C6256C2" w:rsidR="00C04533" w:rsidRDefault="00C04533" w:rsidP="00C04533">
      <w:pPr>
        <w:pStyle w:val="TextoNormal"/>
      </w:pPr>
      <w:r w:rsidRPr="00C04533">
        <w:rPr>
          <w:rStyle w:val="NumeroAFNegritaCaracter"/>
        </w:rPr>
        <w:t>1</w:t>
      </w:r>
      <w:r>
        <w:t>. El 1 de marzo de 2024 tuvo entrada en el registro de este tribunal certificación de la letrada de la administración de Justicia de la Sección Cuarta de la Sala de lo Contencioso-Administrativo del Tribunal Supremo, al que se acompañaba, además del testimonio de las actuaciones seguidas en el recurso contencioso administrativo núm. 2-88-2023, el auto de dicha sección, de 12 de febrero de 2024, por el que se acuerda plantear cuestión de inconstitucionalidad en relación con el inciso tercero del apartado tercero del art. 67 de la Ley 50/1981, de 30 de diciembre, por la que se regula el Estatuto orgánico del Ministerio Fiscal (en adelante EOMF), por estimar que podría ser contrario a los arts. 24 y 124.4 CE, y el auto de aclaración de 13 de febrero de 2024, por el que se rectifica la parte dispositiva del anterior, en el sentido de añadir la contradicción del precepto con el art. 124.2 CE.</w:t>
      </w:r>
    </w:p>
    <w:p w14:paraId="136A84FF" w14:textId="77777777" w:rsidR="00C04533" w:rsidRDefault="00C04533" w:rsidP="00C04533">
      <w:pPr>
        <w:pStyle w:val="TextoNormal"/>
      </w:pPr>
    </w:p>
    <w:p w14:paraId="67E0BD01" w14:textId="77777777" w:rsidR="00C04533" w:rsidRDefault="00C04533" w:rsidP="00C04533">
      <w:pPr>
        <w:pStyle w:val="TextoNormal"/>
      </w:pPr>
      <w:r w:rsidRPr="00C04533">
        <w:rPr>
          <w:rStyle w:val="NumeroAFNegritaCaracter"/>
        </w:rPr>
        <w:t>2</w:t>
      </w:r>
      <w:r>
        <w:t>. Los hechos de los que trae causa la presente cuestión de inconstitucionalidad son, sucintamente expuestos, los siguientes:</w:t>
      </w:r>
    </w:p>
    <w:p w14:paraId="5E9F3576" w14:textId="77777777" w:rsidR="00C04533" w:rsidRDefault="00C04533" w:rsidP="00C04533">
      <w:pPr>
        <w:pStyle w:val="TextoNormal"/>
      </w:pPr>
    </w:p>
    <w:p w14:paraId="71A03EFA" w14:textId="77777777" w:rsidR="00C04533" w:rsidRDefault="00C04533" w:rsidP="00C04533">
      <w:pPr>
        <w:pStyle w:val="TextoNormal"/>
      </w:pPr>
      <w:r>
        <w:t>a) Mediante decreto de 19 de octubre de 2021 de la fiscal jefa inspectora de la Fiscalía General del Estado se incoaron diligencias informativas, registradas con el núm. 6-2021, a la abogada fiscal doña M.L.C.R., por si su actuación pudiera estar incursa en la falta disciplinaria de retraso injustificado (art. 63.8 EOMF).</w:t>
      </w:r>
    </w:p>
    <w:p w14:paraId="3DACC312" w14:textId="77777777" w:rsidR="00C04533" w:rsidRDefault="00C04533" w:rsidP="00C04533">
      <w:pPr>
        <w:pStyle w:val="TextoNormal"/>
      </w:pPr>
    </w:p>
    <w:p w14:paraId="467A8162" w14:textId="77777777" w:rsidR="00C04533" w:rsidRDefault="00C04533" w:rsidP="00C04533">
      <w:pPr>
        <w:pStyle w:val="TextoNormal"/>
      </w:pPr>
      <w:r>
        <w:t>b) Por decreto de 22 de marzo de 2022 de la fiscal jefa inspectora se declararon conclusas las diligencias informativas y se formuló propuesta de incoación de expediente disciplinario a la fiscal general del Estado.</w:t>
      </w:r>
    </w:p>
    <w:p w14:paraId="12DAB7F7" w14:textId="77777777" w:rsidR="00C04533" w:rsidRDefault="00C04533" w:rsidP="00C04533">
      <w:pPr>
        <w:pStyle w:val="TextoNormal"/>
      </w:pPr>
    </w:p>
    <w:p w14:paraId="00ABC728" w14:textId="77777777" w:rsidR="00C04533" w:rsidRDefault="00C04533" w:rsidP="00C04533">
      <w:pPr>
        <w:pStyle w:val="TextoNormal"/>
      </w:pPr>
      <w:r>
        <w:t>c) El 9 de mayo de 2022, por la teniente fiscal del Tribunal Supremo, en sustitución de la fiscal general del Estado, se dictó decreto por el que se acordó la apertura de expediente disciplinario por una falta disciplinaria de grave retraso injustificado en el despacho de los asuntos del art. 63.8 EOMF, que se registró con el núm. 3-2022 y se designó instructor y secretario.</w:t>
      </w:r>
    </w:p>
    <w:p w14:paraId="07C65625" w14:textId="77777777" w:rsidR="00C04533" w:rsidRDefault="00C04533" w:rsidP="00C04533">
      <w:pPr>
        <w:pStyle w:val="TextoNormal"/>
      </w:pPr>
    </w:p>
    <w:p w14:paraId="2D170C8A" w14:textId="77777777" w:rsidR="00C04533" w:rsidRDefault="00C04533" w:rsidP="00C04533">
      <w:pPr>
        <w:pStyle w:val="TextoNormal"/>
      </w:pPr>
      <w:r>
        <w:t>d) Tras la correspondiente tramitación, por decreto del fiscal general del Estado de 19 de octubre de 2022 se declaró a doña M.L.C.R., autora responsable de una falta disciplinaria grave consistente en retrasar injustificadamente el despacho de los asuntos (art. 63.8 EOMF), imponiéndole la sanción de 1500 €. Se indicaba que “[c]ontra este acuerdo cabe interponer recurso de alzada por tiempo de un mes ante el ministro de Justicia (art. 67 EOMF)”.</w:t>
      </w:r>
    </w:p>
    <w:p w14:paraId="4BB5834A" w14:textId="77777777" w:rsidR="00C04533" w:rsidRDefault="00C04533" w:rsidP="00C04533">
      <w:pPr>
        <w:pStyle w:val="TextoNormal"/>
      </w:pPr>
    </w:p>
    <w:p w14:paraId="6A46AB06" w14:textId="77777777" w:rsidR="00C04533" w:rsidRDefault="00C04533" w:rsidP="00C04533">
      <w:pPr>
        <w:pStyle w:val="TextoNormal"/>
      </w:pPr>
      <w:r>
        <w:t>e) Por el presidente de la Asociación Profesional Independiente de Fiscales (APIF) y por la representación de la sancionada se interpusieron sendos recursos de alzada contra el anterior decreto, que fueron desestimados por sendas resoluciones de 16 y 17 de enero de 2023 del secretario de Estado de Justicia (por delegación de la ministra de Justicia).</w:t>
      </w:r>
    </w:p>
    <w:p w14:paraId="2DCE82E7" w14:textId="77777777" w:rsidR="00C04533" w:rsidRDefault="00C04533" w:rsidP="00C04533">
      <w:pPr>
        <w:pStyle w:val="TextoNormal"/>
      </w:pPr>
    </w:p>
    <w:p w14:paraId="2461D49D" w14:textId="77777777" w:rsidR="00C04533" w:rsidRDefault="00C04533" w:rsidP="00C04533">
      <w:pPr>
        <w:pStyle w:val="TextoNormal"/>
      </w:pPr>
      <w:r>
        <w:t>f) Por la representación procesal de doña M.L.C.R., se interpuso recurso contencioso administrativo contra la sanción de multa impuesta por decreto de 19 de octubre de 2022 del fiscal general del Estado y contra la resolución de 17 de enero de 2023 del secretario de Estado de Justicia (por delegación de la ministra de Justicia) desestimatoria del recurso de alzada. El recurso fue admitido a trámite por diligencia de ordenación de la letrada de la administración de Justicia de la Sección Cuarta de la Sala de lo Contencioso-Administrativo del Tribunal Supremo de 8 de febrero de 2023. Una vez reclamado el expediente administrativo, se presentó la demanda el 23 de marzo de 2023, en la que solicitó la anulación de las referidas resoluciones.</w:t>
      </w:r>
    </w:p>
    <w:p w14:paraId="5021A347" w14:textId="77777777" w:rsidR="00C04533" w:rsidRDefault="00C04533" w:rsidP="00C04533">
      <w:pPr>
        <w:pStyle w:val="TextoNormal"/>
      </w:pPr>
    </w:p>
    <w:p w14:paraId="3B631160" w14:textId="77777777" w:rsidR="00C04533" w:rsidRDefault="00C04533" w:rsidP="00C04533">
      <w:pPr>
        <w:pStyle w:val="TextoNormal"/>
      </w:pPr>
      <w:r>
        <w:t>g) El abogado del Estado presentó escrito el 13 de abril de 2023, previo a la contestación a la demanda, en el que interesó que se declarara la competencia de la Sala de lo Contencioso-Administrativo de la Audiencia Nacional. Indicaba en sus alegaciones:</w:t>
      </w:r>
    </w:p>
    <w:p w14:paraId="74302D4B" w14:textId="77777777" w:rsidR="00C04533" w:rsidRDefault="00C04533" w:rsidP="00C04533">
      <w:pPr>
        <w:pStyle w:val="TextoNormal"/>
      </w:pPr>
    </w:p>
    <w:p w14:paraId="791A1643" w14:textId="77777777" w:rsidR="00C04533" w:rsidRDefault="00C04533" w:rsidP="00C04533">
      <w:pPr>
        <w:pStyle w:val="TextoNormal"/>
      </w:pPr>
      <w:r>
        <w:t>“Tal como establece el art. 67 de la Ley 50/1981, de 30 de diciembre, por la que se regula el Estatuto orgánico del Ministerio Fiscal y el art. 155 del Real Decreto 305/2022, por el que se aprueba el Reglamento del Ministerio Fiscal, las resoluciones sancionadoras del fiscal jefe serán recurribles ante el Consejo Fiscal y las del fiscal general de Estado serán recurribles en alzada ante el ministro de Justicia y ՙlas resoluciones del Consejo Fiscal y del ministro de Justicia que agoten la vía administrativa, serán susceptibles de recurso contencioso administrativo ante la Sala correspondiente de la Audiencia Nacional՚.</w:t>
      </w:r>
    </w:p>
    <w:p w14:paraId="1BFB392E" w14:textId="77777777" w:rsidR="00C04533" w:rsidRDefault="00C04533" w:rsidP="00C04533">
      <w:pPr>
        <w:pStyle w:val="TextoNormal"/>
      </w:pPr>
    </w:p>
    <w:p w14:paraId="348BA0C4" w14:textId="77777777" w:rsidR="00C04533" w:rsidRDefault="00C04533" w:rsidP="00C04533">
      <w:pPr>
        <w:pStyle w:val="TextoNormal"/>
      </w:pPr>
      <w:r>
        <w:t>La nueva redacción del art. 12 b) LJCA dada por la Ley 16/2022 se refiere a los actos y disposiciones del fiscal general del Estado que agotan la vía administrativa no a aquellos en que la vía administrativa es agotada por el Consejo Fiscal o —como en el presente caso— por la ministra de Justicia”.</w:t>
      </w:r>
    </w:p>
    <w:p w14:paraId="73E6B4D0" w14:textId="77777777" w:rsidR="00C04533" w:rsidRDefault="00C04533" w:rsidP="00C04533">
      <w:pPr>
        <w:pStyle w:val="TextoNormal"/>
      </w:pPr>
    </w:p>
    <w:p w14:paraId="07F95983" w14:textId="77777777" w:rsidR="00C04533" w:rsidRDefault="00C04533" w:rsidP="00C04533">
      <w:pPr>
        <w:pStyle w:val="TextoNormal"/>
      </w:pPr>
      <w:r>
        <w:t xml:space="preserve">h) Efectuado el correspondiente traslado a la parte demandante, esta presentó escrito en el que solicitó que se declarara la competencia del Tribunal Supremo. En el mismo se alude al art. 12.1 b) de la Ley 29/1998, de 13 de julio, reguladora de la jurisdicción contencioso-administrativa (LJCA), modificado por la Ley 16/2022, de 5 de septiembre, de reforma del texto refundido de la Ley concursal, para atribuir a la Sala de lo Contencioso-Administrativo del Tribunal Supremo en única instancia el conocimiento de los recursos que se deduzcan en relación con los actos y disposiciones del fiscal general del Estado. Considera que esa reforma ha supuesto una derogación tácita del art. 67 </w:t>
      </w:r>
      <w:r w:rsidRPr="00C04533">
        <w:rPr>
          <w:i/>
        </w:rPr>
        <w:t>in fine</w:t>
      </w:r>
      <w:r>
        <w:t xml:space="preserve"> EOMF. Sostiene que el art. 12.1 b) LJCA no distingue entre actos del fiscal general del Estado recurribles o no recurribles, esto es, entre que el acto agote o no la vía administrativa, siendo la importancia del órgano del que emana el acto para fijar la competencia jurisdiccional en el Tribunal Supremo. Afirma que el art. 11.1 LJCA excluye la competencia de la Audiencia Nacional para los actos dictados por el fiscal general del Estado.</w:t>
      </w:r>
    </w:p>
    <w:p w14:paraId="048EACD7" w14:textId="77777777" w:rsidR="00C04533" w:rsidRDefault="00C04533" w:rsidP="00C04533">
      <w:pPr>
        <w:pStyle w:val="TextoNormal"/>
      </w:pPr>
    </w:p>
    <w:p w14:paraId="448CFBB3" w14:textId="77777777" w:rsidR="00C04533" w:rsidRDefault="00C04533" w:rsidP="00C04533">
      <w:pPr>
        <w:pStyle w:val="TextoNormal"/>
      </w:pPr>
      <w:r>
        <w:t>i) Por auto de 28 de abril de 2023, el Tribunal Supremo decidió no resolver sobre la falta de competencia denunciada. Reprobó la previsión de un recurso de alzada ante el ministro frente a las resoluciones del fiscal general del Estado a la vista del art. 124.4 CE. Recordó, a tal fin, pronunciamientos previos de esa misma sala (STS 3600/2015, de 20 de julio —recurso de casación núm. 2099-2014— ECLI:ES:TS:2015:3600). Criticó la información variable de recursos que se daban en las resoluciones dictadas por el fiscal general del Estado —ante supuestos iguales— en relación con el agotamiento de la vía administrativa. Reconoció que el artículo 11.1 b) LJCA no era aplicable al referirse a las resoluciones en que un ministro en vía de recurso rectifica un acto de un órgano con competencia en todo el territorio nacional. Además, interpretó que la retirada de la enmienda núm. 603 de modificación del art. 67 EOMF, determinaba que el art. 12.1 b) LJCA solo se debía aplicar a los actos del fiscal general del Estado que agotaran la vía administrativa.</w:t>
      </w:r>
    </w:p>
    <w:p w14:paraId="094223C6" w14:textId="77777777" w:rsidR="00C04533" w:rsidRDefault="00C04533" w:rsidP="00C04533">
      <w:pPr>
        <w:pStyle w:val="TextoNormal"/>
      </w:pPr>
    </w:p>
    <w:p w14:paraId="61F50D26" w14:textId="77777777" w:rsidR="00C04533" w:rsidRDefault="00C04533" w:rsidP="00C04533">
      <w:pPr>
        <w:pStyle w:val="TextoNormal"/>
      </w:pPr>
      <w:r>
        <w:t>Finalmente, sostuvo que a la vista de lo argumentado procedía aplazar la resolución sobre la competencia de la Audiencia Nacional al momento de dictar sentencia en el presente recurso contencioso administrativo por entender que “en el actual existen suficientes elementos para continuar este tribunal la tramitación del procedimiento”.</w:t>
      </w:r>
    </w:p>
    <w:p w14:paraId="39C07163" w14:textId="77777777" w:rsidR="00C04533" w:rsidRDefault="00C04533" w:rsidP="00C04533">
      <w:pPr>
        <w:pStyle w:val="TextoNormal"/>
      </w:pPr>
    </w:p>
    <w:p w14:paraId="63A96D77" w14:textId="77777777" w:rsidR="00C04533" w:rsidRDefault="00C04533" w:rsidP="00C04533">
      <w:pPr>
        <w:pStyle w:val="TextoNormal"/>
      </w:pPr>
      <w:r>
        <w:t>j) El 27 de junio de 2023, el abogado del Estado presentó escrito de contestación a la demanda en la que refiere que la Ley 16/2022, no tiene carácter retroactivo, no se aplica a procedimientos iniciados cuando entró en vigor, como es el caso. Con cita del art. 7.3 LJCA afirma que “procede que esa sala dicte auto declarando la competencia de la Sala de lo Contencioso-Administrativo de la Audiencia Nacional para el conocimiento de este recurso incluida la decisión sobre el recibimiento a prueba”.</w:t>
      </w:r>
    </w:p>
    <w:p w14:paraId="2EDF077C" w14:textId="77777777" w:rsidR="00C04533" w:rsidRDefault="00C04533" w:rsidP="00C04533">
      <w:pPr>
        <w:pStyle w:val="TextoNormal"/>
      </w:pPr>
    </w:p>
    <w:p w14:paraId="6EB7BF80" w14:textId="77777777" w:rsidR="00C04533" w:rsidRDefault="00C04533" w:rsidP="00C04533">
      <w:pPr>
        <w:pStyle w:val="TextoNormal"/>
      </w:pPr>
      <w:r>
        <w:t>k) Por auto de 20 de julio de 2023, se acordó recibir el recurso a prueba, resolviéndose sobre la prueba propuesta por la recurrente. Una vez practicada la prueba, se dictó providencia el 16 de octubre de 2023 declarando terminado y concluso el periodo de prueba, quedando pendiente el señalamiento para votación y fallo. Si bien, posteriormente, por diligencias de ordenación de 23 y 25 de octubre de 2023, se concedió diez días a la representación de la demandante y a la Fiscalía General del Estado, para que presentaran conclusiones.</w:t>
      </w:r>
    </w:p>
    <w:p w14:paraId="533100EE" w14:textId="77777777" w:rsidR="00C04533" w:rsidRDefault="00C04533" w:rsidP="00C04533">
      <w:pPr>
        <w:pStyle w:val="TextoNormal"/>
      </w:pPr>
    </w:p>
    <w:p w14:paraId="30641A61" w14:textId="77777777" w:rsidR="00C04533" w:rsidRDefault="00C04533" w:rsidP="00C04533">
      <w:pPr>
        <w:pStyle w:val="TextoNormal"/>
      </w:pPr>
      <w:r>
        <w:t>l) Por providencia de 11 de enero de 2024, la Sección Cuarta de la Sala de lo Contencioso-Administrativo del Tribunal Supremo acordó conceder el plazo de diez días a las partes y al Ministerio Fiscal para que alegaran lo que a su derecho conviniera sobre el posible planteamiento de cuestión de inconstitucionalidad del art. 67 EOMF, en lo que se refiere a “[l]as resoluciones del fiscal general del Estado serán recurribles en alzada ante el ministro de Justicia”. Indicó en la providencia:</w:t>
      </w:r>
    </w:p>
    <w:p w14:paraId="4C9F7E8E" w14:textId="77777777" w:rsidR="00C04533" w:rsidRDefault="00C04533" w:rsidP="00C04533">
      <w:pPr>
        <w:pStyle w:val="TextoNormal"/>
      </w:pPr>
    </w:p>
    <w:p w14:paraId="7D27BDF2" w14:textId="77777777" w:rsidR="00C04533" w:rsidRDefault="00C04533" w:rsidP="00C04533">
      <w:pPr>
        <w:pStyle w:val="TextoNormal"/>
      </w:pPr>
      <w:r>
        <w:t>“Acontece que, tras la reforma [de la Ley reguladora de la jurisdicción contencioso-administrativa] por la Ley 16/2022, su artículo 12 b) atribuye al Tribunal Supremo la competencia para conocer de los actos del fiscal general del Estado, mientras que el articulo 11 b) atribuye a la Audiencia Nacional la competencia para conocer de los actos de los ministros que rectifiquen el acto impugnado. Aunque la resolución aquí recurrida no modificó la resolución del fiscal general del Estado, sí dio pie de recurso para su impugnación ante la Audiencia Nacional.</w:t>
      </w:r>
    </w:p>
    <w:p w14:paraId="68139D81" w14:textId="77777777" w:rsidR="00C04533" w:rsidRDefault="00C04533" w:rsidP="00C04533">
      <w:pPr>
        <w:pStyle w:val="TextoNormal"/>
      </w:pPr>
    </w:p>
    <w:p w14:paraId="0A094909" w14:textId="77777777" w:rsidR="00C04533" w:rsidRDefault="00C04533" w:rsidP="00C04533">
      <w:pPr>
        <w:pStyle w:val="TextoNormal"/>
      </w:pPr>
      <w:r>
        <w:t>Tal regulación puede vulnerar el artículo 24 CE en relación con el artículo 124.4 CE”.</w:t>
      </w:r>
    </w:p>
    <w:p w14:paraId="362D15BA" w14:textId="77777777" w:rsidR="00C04533" w:rsidRDefault="00C04533" w:rsidP="00C04533">
      <w:pPr>
        <w:pStyle w:val="TextoNormal"/>
      </w:pPr>
    </w:p>
    <w:p w14:paraId="15AD32E6" w14:textId="77777777" w:rsidR="00C04533" w:rsidRDefault="00C04533" w:rsidP="00C04533">
      <w:pPr>
        <w:pStyle w:val="TextoNormal"/>
      </w:pPr>
      <w:r>
        <w:t>m) Mediante escrito presentado el 17 de enero de 2024, la representación de la recurrente manifestó su oposición al planteamiento de la cuestión de inconstitucionalidad, al entender que se trata de una cuestión de “derogación tácita del art. 67.3.3 EOMF por el más nuevo art. 12 b) LJCA”. Alude a las dilaciones indebidas (art. 24 CE) que ocasionaría el planteamiento de la cuestión de inconstitucionalidad y que, conforme a la doctrina constitucional, en el caso de que existan interpretaciones alternativas que permitan la constitucionalidad de la norma no procede la cuestión de inconstitucionalidad.</w:t>
      </w:r>
    </w:p>
    <w:p w14:paraId="2E53303E" w14:textId="77777777" w:rsidR="00C04533" w:rsidRDefault="00C04533" w:rsidP="00C04533">
      <w:pPr>
        <w:pStyle w:val="TextoNormal"/>
      </w:pPr>
    </w:p>
    <w:p w14:paraId="6D83ACF9" w14:textId="77777777" w:rsidR="00C04533" w:rsidRDefault="00C04533" w:rsidP="00C04533">
      <w:pPr>
        <w:pStyle w:val="TextoNormal"/>
      </w:pPr>
      <w:r>
        <w:t>Añade que la ley aplicable no es la vigente cuando se inicia el expediente, sino la que se encontraba en vigor cuando se dictó el acto sancionador. Entiende que sería extraño que el art. 12.2 LJCA someta al control del Tribunal Supremo las sanciones dictadas por el Consejo General del Poder Judicial y las del fiscal general del Estado a la Audiencia Nacional.</w:t>
      </w:r>
    </w:p>
    <w:p w14:paraId="764FF351" w14:textId="77777777" w:rsidR="00C04533" w:rsidRDefault="00C04533" w:rsidP="00C04533">
      <w:pPr>
        <w:pStyle w:val="TextoNormal"/>
      </w:pPr>
    </w:p>
    <w:p w14:paraId="00DF931A" w14:textId="77777777" w:rsidR="00C04533" w:rsidRDefault="00C04533" w:rsidP="00C04533">
      <w:pPr>
        <w:pStyle w:val="TextoNormal"/>
      </w:pPr>
      <w:r>
        <w:t>Sostiene que constituiría una disonancia absoluta que de haber recurrido directamente por el cauce de derechos fundamentales (arts. 114 y ss. LJCA), que no exige el agotamiento de la alzada, fuera competente directamente el Tribunal Supremo, al no ser de aplicación el art. 67 EOMF (que solo prevé la competencia de la Audiencia Nacional cuando se haya agotado la alzada) y, en caso de acudir al procedimiento ordinario la competencia fuera de la Audiencia Nacional, siguiendo el criterio de la Abogacía del Estado.</w:t>
      </w:r>
    </w:p>
    <w:p w14:paraId="500A32BD" w14:textId="77777777" w:rsidR="00C04533" w:rsidRDefault="00C04533" w:rsidP="00C04533">
      <w:pPr>
        <w:pStyle w:val="TextoNormal"/>
      </w:pPr>
    </w:p>
    <w:p w14:paraId="435B84B4" w14:textId="77777777" w:rsidR="00C04533" w:rsidRDefault="00C04533" w:rsidP="00C04533">
      <w:pPr>
        <w:pStyle w:val="TextoNormal"/>
      </w:pPr>
      <w:r>
        <w:t>n) El abogado del Estado, mediante escrito presentado el 19 de enero de 2024, se opuso al planteamiento de la cuestión de inconstitucionalidad.</w:t>
      </w:r>
    </w:p>
    <w:p w14:paraId="523C27F3" w14:textId="77777777" w:rsidR="00C04533" w:rsidRDefault="00C04533" w:rsidP="00C04533">
      <w:pPr>
        <w:pStyle w:val="TextoNormal"/>
      </w:pPr>
    </w:p>
    <w:p w14:paraId="66304BD4" w14:textId="77777777" w:rsidR="00C04533" w:rsidRDefault="00C04533" w:rsidP="00C04533">
      <w:pPr>
        <w:pStyle w:val="TextoNormal"/>
      </w:pPr>
      <w:r>
        <w:t>Considera que no es aplicable el precepto cuestionado al ser procedente la aplicación de la normativa anterior a la Ley 16/2022, que atribuye al Tribunal Supremo la competencia para conocer en la jurisdicción contencioso-administrativa de los actos del fiscal general del Estado [el modificado art. 12.1 b) LJCA]. Por tanto, en los presentes autos existe un debate de aplicabilidad de derecho transitorio, pero no de cuestión respecto a la contradicción del art. 67 EOMF.</w:t>
      </w:r>
    </w:p>
    <w:p w14:paraId="76933904" w14:textId="77777777" w:rsidR="00C04533" w:rsidRDefault="00C04533" w:rsidP="00C04533">
      <w:pPr>
        <w:pStyle w:val="TextoNormal"/>
      </w:pPr>
    </w:p>
    <w:p w14:paraId="50883000" w14:textId="77777777" w:rsidR="00C04533" w:rsidRDefault="00C04533" w:rsidP="00C04533">
      <w:pPr>
        <w:pStyle w:val="TextoNormal"/>
      </w:pPr>
      <w:r>
        <w:t>Entiende que la Ley 16/2022, de 5 de septiembre, no tiene carácter retroactivo (art. 2.3 del Código civil) por lo que no se aplica a las resoluciones dictadas en procedimientos iniciados a su entrada en vigor. En el presente caso, la incoación del expediente disciplinario se había acordado mediante decreto de la teniente fiscal del Tribunal Supremo de 9 de mayo de 2022, por lo que a la resolución del fiscal general del Estado no le era aplicable la Ley 16/2022, sino la normativa anterior con arreglo a la cual contra su decisión cabía recurso de alzada ante la ministra de Justicia y, contra la resolución de esta, recurso contencioso administrativo ante la Audiencia Nacional. Indica que en la resolución impugnada se indicó que la misma era susceptible de recurso ante la Sala de lo Contencioso-Administrativo de la Audiencia Nacional.</w:t>
      </w:r>
    </w:p>
    <w:p w14:paraId="6D828DBE" w14:textId="77777777" w:rsidR="00C04533" w:rsidRDefault="00C04533" w:rsidP="00C04533">
      <w:pPr>
        <w:pStyle w:val="TextoNormal"/>
      </w:pPr>
    </w:p>
    <w:p w14:paraId="3FB43FAE" w14:textId="77777777" w:rsidR="00C04533" w:rsidRDefault="00C04533" w:rsidP="00C04533">
      <w:pPr>
        <w:pStyle w:val="TextoNormal"/>
      </w:pPr>
      <w:r>
        <w:t>Añade que para casos posteriores en que sea de aplicación la Ley 16/2022, por tratarse de expedientes incoados con posterioridad a su vigencia, existe una aparente contradicción con el art. 67 EOMF, por lo que debe resolverse en el sentido del principio general de que ley posterior deroga a la anterior, resultando de este modo derogado el inciso tercero del apartado tercero del art. 67 EOMF, no siendo posible actualmente el recurso de alzada ante el Ministerio de Justicia, al considerar que las resoluciones del fiscal general del Estado agotan la vía administrativa y por ello son impugnables ante el Tribunal Supremo.</w:t>
      </w:r>
    </w:p>
    <w:p w14:paraId="57F90DED" w14:textId="77777777" w:rsidR="00C04533" w:rsidRDefault="00C04533" w:rsidP="00C04533">
      <w:pPr>
        <w:pStyle w:val="TextoNormal"/>
      </w:pPr>
    </w:p>
    <w:p w14:paraId="4BE040F9" w14:textId="77777777" w:rsidR="00C04533" w:rsidRDefault="00C04533" w:rsidP="00C04533">
      <w:pPr>
        <w:pStyle w:val="TextoNormal"/>
      </w:pPr>
      <w:r>
        <w:t>ñ) Por escrito presentado el 25 de enero de 2024, el fiscal de Sala jefe evacuó el trámite de audiencia concedido en el que manifiesta que no se opone al planteamiento de la cuestión de inconstitucionalidad.</w:t>
      </w:r>
    </w:p>
    <w:p w14:paraId="52DF6043" w14:textId="77777777" w:rsidR="00C04533" w:rsidRDefault="00C04533" w:rsidP="00C04533">
      <w:pPr>
        <w:pStyle w:val="TextoNormal"/>
      </w:pPr>
    </w:p>
    <w:p w14:paraId="2185B2CA" w14:textId="77777777" w:rsidR="00C04533" w:rsidRDefault="00C04533" w:rsidP="00C04533">
      <w:pPr>
        <w:pStyle w:val="TextoNormal"/>
      </w:pPr>
      <w:r>
        <w:t>Afirma que la nueva regla del art. 12.1 b) LJCA ha posibilitado que el presente recurso se debata sobre la competencia de la Sala de lo Contencioso-Administrativo del Tribunal Supremo y ha agudizado la esencia e incidencia constitucional del conflicto normativo al introducirse en el ordenamiento jurídico una nueva norma que precisamente obedece a la relevancia constitucional del órgano involucrado y al fortalecimiento de la autonomía del Ministerio Fiscal ínsita en el art. 124 CE.</w:t>
      </w:r>
    </w:p>
    <w:p w14:paraId="2F4FFFD8" w14:textId="77777777" w:rsidR="00C04533" w:rsidRDefault="00C04533" w:rsidP="00C04533">
      <w:pPr>
        <w:pStyle w:val="TextoNormal"/>
      </w:pPr>
    </w:p>
    <w:p w14:paraId="28B1DEF7" w14:textId="77777777" w:rsidR="00C04533" w:rsidRDefault="00C04533" w:rsidP="00C04533">
      <w:pPr>
        <w:pStyle w:val="TextoNormal"/>
      </w:pPr>
      <w:r>
        <w:t>Entiende que pese al efecto distorsionador de la disposición cuestionada sobre el ejercicio efectivo de las potestades disciplinarias del fiscal general del Estado, esta no ha sufrido quebranto porque prácticamente la totalidad de sus decisiones han sido confirmadas por quien ostentó en cada momento la titularidad del Ministerio de Justicia, salvándose de este modo pragmático el déficit que suscita desde la perspectiva constitucional y los inconvenientes que el precepto genera sobre el proceder ordinario del Ministerio Fiscal, lo que ha posibilitado una relativa normalidad en el funcionamiento institucional.</w:t>
      </w:r>
    </w:p>
    <w:p w14:paraId="474E0439" w14:textId="77777777" w:rsidR="00C04533" w:rsidRDefault="00C04533" w:rsidP="00C04533">
      <w:pPr>
        <w:pStyle w:val="TextoNormal"/>
      </w:pPr>
    </w:p>
    <w:p w14:paraId="2E54675A" w14:textId="77777777" w:rsidR="00C04533" w:rsidRDefault="00C04533" w:rsidP="00C04533">
      <w:pPr>
        <w:pStyle w:val="TextoNormal"/>
      </w:pPr>
      <w:r>
        <w:t>El Ministerio Fiscal muestra su conformidad con la apreciación de la Sala —ya formulada en la STS 3600/2015, FD 7, y de nuevo destacada en el ATS 5381/2023, de 28 de abril, ECLI:ES:TS:2023:5381ª, dictado en el presente recurso núm. 2-88-2023— de que un recurso jerárquico como es el de alzada, contra los actos del fiscal general del Estado, a resolver por el ministro de Justicia, “no encaja en el ordenamiento constitucional del Ministerio Fiscal, pues no parece compatible con ninguna de las proyecciones legales de su autonomía, la que hace referencia al Poder Judicial y la que tiene por razón [de] sus cometidos constitucionales”.</w:t>
      </w:r>
    </w:p>
    <w:p w14:paraId="61096D04" w14:textId="77777777" w:rsidR="00C04533" w:rsidRDefault="00C04533" w:rsidP="00C04533">
      <w:pPr>
        <w:pStyle w:val="TextoNormal"/>
      </w:pPr>
    </w:p>
    <w:p w14:paraId="2AC47252" w14:textId="77777777" w:rsidR="00C04533" w:rsidRDefault="00C04533" w:rsidP="00C04533">
      <w:pPr>
        <w:pStyle w:val="TextoNormal"/>
      </w:pPr>
      <w:r>
        <w:t>Adelanta que “conscientes de la trascendencia de procurar un planteamiento efectivo que satisfaga el rigor que el Pleno del Tribunal Constitucional muestra en el examen de admisibilidad que precede a su eventual pronunciamiento sobre el fondo de la cuestión”, pretende contribuir a reforzar la viabilidad de la cuestión, no con otro objetivo que el de colaborar con la Sala.</w:t>
      </w:r>
    </w:p>
    <w:p w14:paraId="56734718" w14:textId="77777777" w:rsidR="00C04533" w:rsidRDefault="00C04533" w:rsidP="00C04533">
      <w:pPr>
        <w:pStyle w:val="TextoNormal"/>
      </w:pPr>
    </w:p>
    <w:p w14:paraId="6106530A" w14:textId="77777777" w:rsidR="00C04533" w:rsidRDefault="00C04533" w:rsidP="00C04533">
      <w:pPr>
        <w:pStyle w:val="TextoNormal"/>
      </w:pPr>
      <w:r>
        <w:t>En tal sentido indica que el alcance de las alegaciones del Ministerio Fiscal se extenderán a: (i) explorar la concurrencia de los debidos presupuestos y requisitos procesales para la admisión de la cuestión con especial incidencia en los juicios de aplicabilidad y relevancia de la disposición cuestionada; (ii) justificar la procedencia de ampliar el objeto de la presente cuestión, en concreto focalizando y centrando sustancial y primordialmente los parámetros de constitucionalidad en el art. 124.2 CE, precepto sobre el que no se ha dado a las partes concreta audiencia; y (iii) evidenciar la necesidad de proceder —en derivación del extremo anterior— a conceder a las partes un específico trámite de audiencia sobre la posible contradicción de la disposición cuestionada del art. 67 EOMF con el referido art. 124.2 CE, con objeto de que puedan pronunciarse sobre el incremento de dudas propuesto.</w:t>
      </w:r>
    </w:p>
    <w:p w14:paraId="566A97E5" w14:textId="77777777" w:rsidR="00C04533" w:rsidRDefault="00C04533" w:rsidP="00C04533">
      <w:pPr>
        <w:pStyle w:val="TextoNormal"/>
      </w:pPr>
    </w:p>
    <w:p w14:paraId="6377211C" w14:textId="77777777" w:rsidR="00C04533" w:rsidRDefault="00C04533" w:rsidP="00C04533">
      <w:pPr>
        <w:pStyle w:val="TextoNormal"/>
      </w:pPr>
      <w:r>
        <w:t>Sobre los juicios de aplicabilidad y relevancia afirma que, atendido el argumento de la derogación tácita, deslizado por la representación de la recurrente, no faltaría quien se abonara a la tesis de que lo que anida en el conflicto es una mera cuestión de legalidad ordinaria sobre la competencia objetiva para resolver el asunto, que podría solucionarse simplemente bajo el principio de que ley posterior deroga la anterior. Como tal norma derogada, el reseñado inciso ni siquiera sería aplicable ni —por ende— relevante.</w:t>
      </w:r>
    </w:p>
    <w:p w14:paraId="2636C3DF" w14:textId="77777777" w:rsidR="00C04533" w:rsidRDefault="00C04533" w:rsidP="00C04533">
      <w:pPr>
        <w:pStyle w:val="TextoNormal"/>
      </w:pPr>
    </w:p>
    <w:p w14:paraId="03C4375D" w14:textId="77777777" w:rsidR="00C04533" w:rsidRDefault="00C04533" w:rsidP="00C04533">
      <w:pPr>
        <w:pStyle w:val="TextoNormal"/>
      </w:pPr>
      <w:r>
        <w:t>Sin embargo, amén de la dimensión constitucional de la cuestión, la derogación tácita vendría obstada porque: (i) se retiró la enmienda núm. 603 presentada al proyecto de ley correspondiente que preveía la desaparición expresa de la actual previsión del recurso de alzada y su sustitución por una nueva disposición que indicaba que “[l]as resoluciones del fiscal general del Estado ponen fin a la vía administrativa y solo serán recurribles ante la jurisdicción contencioso-administrativa”; (ii) en el art. 155 del Real Decreto 305/2022, de 3 de mayo, por el que se aprueba el Reglamento del Ministerio Fiscal se ha reproducido la misma previsión cuestionada, aunque es cierto que una norma reglamentaria no podía hacer otra cosa; (iii) en todas las hipótesis sostenidas por el abogado del Estado el precepto es aplicable y relevante. Así, en su escrito de 13 de abril de 2023, considera que el art. 12.1 b) LJCA es aplicable a los actos que agotan la vía administrativa, y en consecuencia, al no agotar el decreto impugnado la vía administrativa era susceptible de recurso ante el Tribunal Supremo, lo que comporta la aplicabilidad y relevancia de la norma. Posteriormente, al contestar la demanda cambia los términos y entiende que el precepto aplicable es el cuestionado penúltimo inciso del art. 67 EOMF, al ser el vigente en el momento de la incoación del expediente disciplinario; y (iv) el art. 67 EOMF es una regla especial por la materia sustantiva identificada, por tipo de actuación, de modo que cuando determina la competencia judicial prevalece —por su especialidad— sobre las normas generales de competencia objetiva.</w:t>
      </w:r>
    </w:p>
    <w:p w14:paraId="42164838" w14:textId="77777777" w:rsidR="00C04533" w:rsidRDefault="00C04533" w:rsidP="00C04533">
      <w:pPr>
        <w:pStyle w:val="TextoNormal"/>
      </w:pPr>
    </w:p>
    <w:p w14:paraId="038616B0" w14:textId="77777777" w:rsidR="00C04533" w:rsidRDefault="00C04533" w:rsidP="00C04533">
      <w:pPr>
        <w:pStyle w:val="TextoNormal"/>
      </w:pPr>
      <w:r>
        <w:t>En definitiva, sostiene que no cabe salvar, por vía interpretativa, una hipotética incoherencia o contradicción entre el art. 67 EOMF y el art. 12.1 b) LJCA, con el simple argumento de que se habría producido una derogación tácita de la disposición del Estatuto orgánico del Ministerio Fiscal por ley posterior por obra de la disposición final cuarta de la Ley 16/2022.</w:t>
      </w:r>
    </w:p>
    <w:p w14:paraId="740FE55F" w14:textId="77777777" w:rsidR="00C04533" w:rsidRDefault="00C04533" w:rsidP="00C04533">
      <w:pPr>
        <w:pStyle w:val="TextoNormal"/>
      </w:pPr>
    </w:p>
    <w:p w14:paraId="4D67269F" w14:textId="77777777" w:rsidR="00C04533" w:rsidRDefault="00C04533" w:rsidP="00C04533">
      <w:pPr>
        <w:pStyle w:val="TextoNormal"/>
      </w:pPr>
      <w:r>
        <w:t xml:space="preserve">Refiere que al confirmarse el decreto del fiscal general del Estado no es aplicable el art. 11.1 a) LJCA, pese al pie de recurso de la resolución ministerial de 17 de enero de 2023 impugnada, ya que la precisión contenida sobre la materia de personal, al circunscribirse exclusivamente al nacimiento y extinción de la relación de servicio de funcionarios de carrera (de nuevo una regla especial por materia), entraña que el resto de las cuestiones de personal —entre ellas, el tipo de sanciones del art. 67.2 EOMF para cuya imposición es competente el fiscal general del Estado: multa, traslado forzoso y suspensión— quede fuera del precepto. Y por todo ello, atendiendo tales fallas, la competencia vendría atribuida, residualmente, a la Sala de lo Contencioso-Administrativo del Tribunal Superior de Justicia </w:t>
      </w:r>
      <w:r w:rsidRPr="00C04533">
        <w:rPr>
          <w:i/>
        </w:rPr>
        <w:t>ex</w:t>
      </w:r>
      <w:r>
        <w:t xml:space="preserve"> art. 10.1 n) LJCA, de no acudirse al juego de los incisos penúltimo e </w:t>
      </w:r>
      <w:r w:rsidRPr="00C04533">
        <w:rPr>
          <w:i/>
        </w:rPr>
        <w:t>in fine</w:t>
      </w:r>
      <w:r>
        <w:t xml:space="preserve"> del art. 67 EOMF. Ello determinaría una distinción de tratamiento respecto del resto de los actos y disposiciones del fiscal general del Estado que —por disposición del art. 12.1 b) LJCA— sí serían directamente objeto de conocimiento por la Sala de lo Contencioso-Administrativo del Tribunal Supremo.</w:t>
      </w:r>
    </w:p>
    <w:p w14:paraId="30CACDA3" w14:textId="77777777" w:rsidR="00C04533" w:rsidRDefault="00C04533" w:rsidP="00C04533">
      <w:pPr>
        <w:pStyle w:val="TextoNormal"/>
      </w:pPr>
    </w:p>
    <w:p w14:paraId="68045756" w14:textId="77777777" w:rsidR="00C04533" w:rsidRDefault="00C04533" w:rsidP="00C04533">
      <w:pPr>
        <w:pStyle w:val="TextoNormal"/>
      </w:pPr>
      <w:r>
        <w:t>Insiste en que “[e]n el parecer de este Ministerio Fiscal […], el esquema argumental del auto de planteamiento sobre la aplicabilidad y relevancia de la norma debería recoger e incluso incidir en las anteriores consideraciones para evitar una eventual apreciación por parte del Pleno del Tribunal Constitucional de déficits determinantes de inadmisión”.</w:t>
      </w:r>
    </w:p>
    <w:p w14:paraId="12A15B2F" w14:textId="77777777" w:rsidR="00C04533" w:rsidRDefault="00C04533" w:rsidP="00C04533">
      <w:pPr>
        <w:pStyle w:val="TextoNormal"/>
      </w:pPr>
    </w:p>
    <w:p w14:paraId="09639DBB" w14:textId="77777777" w:rsidR="00C04533" w:rsidRDefault="00C04533" w:rsidP="00C04533">
      <w:pPr>
        <w:pStyle w:val="TextoNormal"/>
      </w:pPr>
      <w:r>
        <w:t>A continuación, afirma que debe extenderse el trámite de audiencia especificando la concreta vertiente que la Sala considera afectada del elenco de garantías, principios y derechos del art. 24 CE y ampliando el planteamiento al art. 124.2 CE.</w:t>
      </w:r>
    </w:p>
    <w:p w14:paraId="0F693FBF" w14:textId="77777777" w:rsidR="00C04533" w:rsidRDefault="00C04533" w:rsidP="00C04533">
      <w:pPr>
        <w:pStyle w:val="TextoNormal"/>
      </w:pPr>
    </w:p>
    <w:p w14:paraId="3C68B5F1" w14:textId="77777777" w:rsidR="00C04533" w:rsidRDefault="00C04533" w:rsidP="00C04533">
      <w:pPr>
        <w:pStyle w:val="TextoNormal"/>
      </w:pPr>
      <w:r>
        <w:t>En la medida en que el art. 124.2 CE proclama que el Ministerio Fiscal ejerce sus funciones por medio de órganos propios, con sujeción, en todo caso, a los principios de legalidad e imparcialidad, lo que exige, comporta y entraña natural y lógico-jurídicamente desde la perspectiva constitucional —como poco— disposición de autonomía orgánica y funcional, erigiéndose en el fundamento constitucional esencial y razón de ser de la definición estatutaria del art. 2 EOMF como “órgano de relevancia constitucional dotado de personalidad jurídica y que actúa con órganos propios”, también manejada por la Sala en su resolución de 28 de abril de 2023. El recurso de alzada ante quien sea titular del Ministerio de Justicia que establece el art. 67 EOMF resultaría una reminiscencia anómala del modelo preconstitucional, pues el recurso de alzada, en la configuración de la Ley 39/2015, de 1 de octubre, del procedimiento administrativo común de las administraciones públicas (LPACAP), se basa indefectiblemente en una relación jerárquica entre un órgano inferior, cuyo acto es objeto de impugnación, y un órgano superior jerárquico al que lo dictó, que lo resuelve. Este esquema lógico-jurídico que es esencia nuclear del recurso de alzada conforme a la Ley 39/2015 es absolutamente inaplicable en la relación constitucional y orgánica entre el ministro de Justicia y el fiscal general del Estado.</w:t>
      </w:r>
    </w:p>
    <w:p w14:paraId="0552DDEE" w14:textId="77777777" w:rsidR="00C04533" w:rsidRDefault="00C04533" w:rsidP="00C04533">
      <w:pPr>
        <w:pStyle w:val="TextoNormal"/>
      </w:pPr>
    </w:p>
    <w:p w14:paraId="26036D70" w14:textId="77777777" w:rsidR="00C04533" w:rsidRDefault="00C04533" w:rsidP="00C04533">
      <w:pPr>
        <w:pStyle w:val="TextoNormal"/>
      </w:pPr>
      <w:r>
        <w:t>El fiscal general del Estado, ya desde la Constitución y sus preceptos, no es órgano inferior al ministro, ni expresa ni implícitamente ni —en consecuencia, acorde con dicha lógica jurídica y fundamento constitucional— puede estar sometido en ninguno de sus actos y resoluciones a su revisión en alzada jerárquica en la vía administrativa. La propia ubicación sistemática de los preceptos constitucionales sobre el Ministerio Fiscal y, por ende de su máxima autoridad, el fiscal general del Estado, en el título VI del Poder Judicial, a diferencia de la regulación constitucional del Gobierno y sus ministros integrantes (nombrados a propuesta del presidente) en el título IV del Gobierno y de la Administración, revela la imposibilidad de una concepción constitucional que soporte una relación jerárquica sobre la que construir, articular y basar un recurso de alzada como el que dispone el art. 67 EOMF.</w:t>
      </w:r>
    </w:p>
    <w:p w14:paraId="0CCD0AB8" w14:textId="77777777" w:rsidR="00C04533" w:rsidRDefault="00C04533" w:rsidP="00C04533">
      <w:pPr>
        <w:pStyle w:val="TextoNormal"/>
      </w:pPr>
    </w:p>
    <w:p w14:paraId="59D7E336" w14:textId="77777777" w:rsidR="00C04533" w:rsidRDefault="00C04533" w:rsidP="00C04533">
      <w:pPr>
        <w:pStyle w:val="TextoNormal"/>
      </w:pPr>
      <w:r>
        <w:t>La relevancia constitucional del órgano es un criterio manejado en materia de competencia por la Sala de lo Contencioso-Administrativo del Tribunal Supremo que le ha llevado a afirmar su competencia objetiva sobre otros relevantes órganos constitucionales como el Consejo de Estado y el Defensor del Pueblo, pese a su falta de mención expresa en los arts. 8 a 12 LJCA, obviando así —en especial— la regla residual de la letra m) del art. 10.1 LJCA. Así, entre otros, los AATS 5227/2023, de 26 de abril (cuestión de competencia núm. 163-2022, ECLI:ES:TS:2023:5227A); 10625/2017, de 25 de octubre (cuestión de competencia núm. 31-2017, ECLI:ES:TS:2017:10625A); y antes los AATS 1858/2000, de 6 de octubre, ECLI:ES:TS:2000:1858A; 2595/2000, de 13 de octubre, ECLI:ES:TS:2000:2595A, y 8147/2003, de 18 de julio, ECLI:ES:TS:2003:8147A, dictados en las cuestiones de competencia núm. 918-2000, 1231-2000 y 29-2003, respectivamente.</w:t>
      </w:r>
    </w:p>
    <w:p w14:paraId="5A89404B" w14:textId="77777777" w:rsidR="00C04533" w:rsidRDefault="00C04533" w:rsidP="00C04533">
      <w:pPr>
        <w:pStyle w:val="TextoNormal"/>
      </w:pPr>
    </w:p>
    <w:p w14:paraId="59C50ECF" w14:textId="77777777" w:rsidR="00C04533" w:rsidRDefault="00C04533" w:rsidP="00C04533">
      <w:pPr>
        <w:pStyle w:val="TextoNormal"/>
      </w:pPr>
      <w:r>
        <w:t>Un cabal entendimiento de los principios que la Constitución proclama en su art. 124.2 CE como rectores de la actuación del Ministerio Fiscal efectivamente comportan su autonomía por ejercer sus funciones por órganos propios conforme a los principios de unidad de actuación y dependencia jerárquica y con sujeción, en todo caso, a los de legalidad e imparcialidad.</w:t>
      </w:r>
    </w:p>
    <w:p w14:paraId="6603D3DB" w14:textId="77777777" w:rsidR="00C04533" w:rsidRDefault="00C04533" w:rsidP="00C04533">
      <w:pPr>
        <w:pStyle w:val="TextoNormal"/>
      </w:pPr>
    </w:p>
    <w:p w14:paraId="454AC31B" w14:textId="77777777" w:rsidR="00C04533" w:rsidRDefault="00C04533" w:rsidP="00C04533">
      <w:pPr>
        <w:pStyle w:val="TextoNormal"/>
      </w:pPr>
      <w:r>
        <w:t>o) Por providencia de 30 de enero de 2024, de la Sección Cuarta de la Sala de lo Contencioso-Administrativo del Tribunal Supremo, se abrió nuevo plazo común e improrrogable de tres días para que las partes y el Ministerio Fiscal alegaran lo oportuno sobre la pertinencia de ampliar la cuestión de inconstitucionalidad sobre el inciso tercero del apartado tercero del art. 67 EOMF, en relación con el art. 124.2 CE, respecto a quiénes son competentes para la imposición de sanciones y sobre la impugnabilidad de las mismas en lo que se refiere a que: “Las resoluciones del Fiscal General del Estado serán recurribles en alzada ante el ministro de Justicia. […] Tal regulación puede vulnerar el artículo 24 CE en relación con el artículo 124.4 CE y 124.2 CE”.</w:t>
      </w:r>
    </w:p>
    <w:p w14:paraId="0AA30A74" w14:textId="77777777" w:rsidR="00C04533" w:rsidRDefault="00C04533" w:rsidP="00C04533">
      <w:pPr>
        <w:pStyle w:val="TextoNormal"/>
      </w:pPr>
    </w:p>
    <w:p w14:paraId="193EE976" w14:textId="77777777" w:rsidR="00C04533" w:rsidRDefault="00C04533" w:rsidP="00C04533">
      <w:pPr>
        <w:pStyle w:val="TextoNormal"/>
      </w:pPr>
      <w:r>
        <w:t>p) Mediante escrito de 30 de enero de 2024, la representación de la recurrente se remitió al escrito de alegaciones presentado el 17 de enero de 2024.</w:t>
      </w:r>
    </w:p>
    <w:p w14:paraId="1788F98F" w14:textId="77777777" w:rsidR="00C04533" w:rsidRDefault="00C04533" w:rsidP="00C04533">
      <w:pPr>
        <w:pStyle w:val="TextoNormal"/>
      </w:pPr>
    </w:p>
    <w:p w14:paraId="0CC8069D" w14:textId="77777777" w:rsidR="00C04533" w:rsidRDefault="00C04533" w:rsidP="00C04533">
      <w:pPr>
        <w:pStyle w:val="TextoNormal"/>
      </w:pPr>
      <w:r>
        <w:t>q) Por escrito de 1 de febrero de 2024, el Ministerio Fiscal se reafirmó en la consideración de que la presencia en el Estatuto orgánico del Ministerio Fiscal del cuestionado inciso penúltimo del art. 67, además de distorsionador en clave de seguridad jurídica y severamente criticado por instancias internacionales desde la perspectiva de la autonomía e independencia del Ministerio Fiscal, resulta una reminiscencia obsoleta del modelo preconstitucional del Ministerio Fiscal, plantea fundadas y consistentes dudas de colisión frontal con los preceptos constitucionales contenidos en el art. 124.2 y 4 CE con base en los razonamientos, fundamentos, extremos y términos ya expresados en las alegaciones formuladas en la presente pieza preliminar del posterior proceso constitucional.</w:t>
      </w:r>
    </w:p>
    <w:p w14:paraId="0A0C5C7C" w14:textId="77777777" w:rsidR="00C04533" w:rsidRDefault="00C04533" w:rsidP="00C04533">
      <w:pPr>
        <w:pStyle w:val="TextoNormal"/>
      </w:pPr>
    </w:p>
    <w:p w14:paraId="6C334FBE" w14:textId="1744C4B6" w:rsidR="00C04533" w:rsidRDefault="00C04533" w:rsidP="00C04533">
      <w:pPr>
        <w:pStyle w:val="TextoNormal"/>
      </w:pPr>
      <w:r>
        <w:t>r) El abogado del Estado no presentó alegación alguna.</w:t>
      </w:r>
    </w:p>
    <w:p w14:paraId="2D709078" w14:textId="77777777" w:rsidR="00C04533" w:rsidRDefault="00C04533" w:rsidP="00C04533">
      <w:pPr>
        <w:pStyle w:val="TextoNormal"/>
      </w:pPr>
    </w:p>
    <w:p w14:paraId="04823DCB" w14:textId="77777777" w:rsidR="00C04533" w:rsidRDefault="00C04533" w:rsidP="00C04533">
      <w:pPr>
        <w:pStyle w:val="TextoNormal"/>
      </w:pPr>
      <w:r w:rsidRPr="00C04533">
        <w:rPr>
          <w:rStyle w:val="NumeroAFNegritaCaracter"/>
        </w:rPr>
        <w:t>3</w:t>
      </w:r>
      <w:r>
        <w:t>. Por ATS 1155/2024, de 12 de febrero, ECLI:ES:TS:2024:1155A, la Sección Cuarta de la Sala Contencioso-Administrativo del Tribunal Supremo acordó plantear cuestión de inconstitucionalidad del inciso tercero del art. 67.3 EOMF: “[l]as resoluciones del fiscal general del Estado serán recurribles en alzada ante el ministro de Justicia” por si pudiera resultar contrario a los arts. 24 y 124.4 de la Constitución.</w:t>
      </w:r>
    </w:p>
    <w:p w14:paraId="139090CC" w14:textId="77777777" w:rsidR="00C04533" w:rsidRDefault="00C04533" w:rsidP="00C04533">
      <w:pPr>
        <w:pStyle w:val="TextoNormal"/>
      </w:pPr>
    </w:p>
    <w:p w14:paraId="4EC670CF" w14:textId="77777777" w:rsidR="00C04533" w:rsidRDefault="00C04533" w:rsidP="00C04533">
      <w:pPr>
        <w:pStyle w:val="TextoNormal"/>
      </w:pPr>
      <w:r>
        <w:t>a) El auto refiere que el art. 12.1 b) LJCA, tras la redacción que le ha dado la Ley 16/2022, confía al Tribunal Supremo el conocimiento de los actos y disposiciones del fiscal general del Estado que agotan la vía administrativa. Afirma que el art. 11.1 b) LJCA no es aplicable.</w:t>
      </w:r>
    </w:p>
    <w:p w14:paraId="68C136DA" w14:textId="77777777" w:rsidR="00C04533" w:rsidRDefault="00C04533" w:rsidP="00C04533">
      <w:pPr>
        <w:pStyle w:val="TextoNormal"/>
      </w:pPr>
    </w:p>
    <w:p w14:paraId="03CE1029" w14:textId="77777777" w:rsidR="00C04533" w:rsidRDefault="00C04533" w:rsidP="00C04533">
      <w:pPr>
        <w:pStyle w:val="TextoNormal"/>
      </w:pPr>
      <w:r>
        <w:t>Indica que no puede pronunciarse la Sala sobre la pretendida derogación tácita del art. 67.3 EOMF por razón de la nueva regulación del art. 12.1 b) LJCA. Considera que una norma procesal, el art. 12.1 b) LJCA, no modifica una norma sustantiva específica como es el art. 67.3 EOMF, y justifica la no derogación por la retirada de la enmienda núm. 603 que modificaba el precepto impugnado. Ninguna duda tiene de la vigencia legal del precepto cuestionado. La derogación del artículo del 67.3 EOMF difícilmente puede presumirse tácitamente, sino que ha de ser expresa, salvo que una norma establezca una regulación contradictoria. Si el precepto fuera conforme a la Constitución determinaría la competencia para conocer del recurso contencioso administrativo en el caso de autos.</w:t>
      </w:r>
    </w:p>
    <w:p w14:paraId="4BBAD4E4" w14:textId="77777777" w:rsidR="00C04533" w:rsidRDefault="00C04533" w:rsidP="00C04533">
      <w:pPr>
        <w:pStyle w:val="TextoNormal"/>
      </w:pPr>
    </w:p>
    <w:p w14:paraId="6EF266F2" w14:textId="77777777" w:rsidR="00C04533" w:rsidRDefault="00C04533" w:rsidP="00C04533">
      <w:pPr>
        <w:pStyle w:val="TextoNormal"/>
      </w:pPr>
      <w:r>
        <w:t>Advierte que la recurrente hizo uso de las facultades conferidas por el art. 88.3 LPACAP, siguiendo las indicaciones del decreto sancionador.</w:t>
      </w:r>
    </w:p>
    <w:p w14:paraId="73792B11" w14:textId="77777777" w:rsidR="00C04533" w:rsidRDefault="00C04533" w:rsidP="00C04533">
      <w:pPr>
        <w:pStyle w:val="TextoNormal"/>
      </w:pPr>
    </w:p>
    <w:p w14:paraId="37AED4CB" w14:textId="77777777" w:rsidR="00C04533" w:rsidRDefault="00C04533" w:rsidP="00C04533">
      <w:pPr>
        <w:pStyle w:val="TextoNormal"/>
      </w:pPr>
      <w:r>
        <w:t>Refiriéndose a las alegaciones del fiscal, alude al dispar tratamiento competencial de los recientes recursos contencioso administrativos contra resoluciones sancionadoras del fiscal general del Estado (de algunos ha conocido el Tribunal Superior de Justicia, de otros la Audiencia Nacional), lo que afecta de modo notable a la seguridad jurídica (art. 9.3 CE). No puede quedar al arbitrio de un órgano la concesión de un recurso de reposición o de un recurso de alzada, determinando la competencia del órgano judicial.</w:t>
      </w:r>
    </w:p>
    <w:p w14:paraId="5E5A6039" w14:textId="77777777" w:rsidR="00C04533" w:rsidRDefault="00C04533" w:rsidP="00C04533">
      <w:pPr>
        <w:pStyle w:val="TextoNormal"/>
      </w:pPr>
    </w:p>
    <w:p w14:paraId="5A20799D" w14:textId="77777777" w:rsidR="00C04533" w:rsidRDefault="00C04533" w:rsidP="00C04533">
      <w:pPr>
        <w:pStyle w:val="TextoNormal"/>
      </w:pPr>
      <w:r>
        <w:t>b) Recuerda que el abogado del Estado ha defendido la competencia de la Audiencia Nacional con base en el art. 11.1 b) LJCA y que la recurrente ha sostenido que el conocimiento le corresponde al Tribunal Supremo con fundamento en el art. 12.1 b) LJCA, obviando la existencia de la resolución de un recurso de alzada por el secretario de Estado de Justicia por delegación de la ministra de Justicia. Apunta que no es aplicable el art. 11.1 a) y b) LJCA.</w:t>
      </w:r>
    </w:p>
    <w:p w14:paraId="64CEFDA3" w14:textId="77777777" w:rsidR="00C04533" w:rsidRDefault="00C04533" w:rsidP="00C04533">
      <w:pPr>
        <w:pStyle w:val="TextoNormal"/>
      </w:pPr>
    </w:p>
    <w:p w14:paraId="58D0C2E2" w14:textId="77777777" w:rsidR="00C04533" w:rsidRDefault="00C04533" w:rsidP="00C04533">
      <w:pPr>
        <w:pStyle w:val="TextoNormal"/>
      </w:pPr>
      <w:r>
        <w:t>Insiste en que la actuación impugnada en esta causa deriva de la regulación del art. 67.3 EOMF que fue reproducida por el Real Decreto 305/2022 de 3 de mayo, que derogó el preconstitucional Decreto 437/1969, de 27 de febrero, por el que se aprueba el Reglamento orgánico del Estatuto del Ministerio Fiscal. Expone la justificación que en su preámbulo se efectúa de la reforma del reglamento anterior por no tener fácil acomodo en la Constitución española. Alude al derogado art. 130 del Decreto 437/1969, que preveía un recurso ante el Ministerio de Justicia de las correcciones impuestas por el fiscal del Tribunal Supremo. Y añade que sobre el Decreto 437/1969, se pronunció la Sala de lo Contencioso-Administrativo por STS 1746/2019, de 21 de mayo, ECLI:ES:TS:2019:1746, en su fundamento quinto.</w:t>
      </w:r>
    </w:p>
    <w:p w14:paraId="06A6177F" w14:textId="77777777" w:rsidR="00C04533" w:rsidRDefault="00C04533" w:rsidP="00C04533">
      <w:pPr>
        <w:pStyle w:val="TextoNormal"/>
      </w:pPr>
    </w:p>
    <w:p w14:paraId="72F4668B" w14:textId="77777777" w:rsidR="00C04533" w:rsidRDefault="00C04533" w:rsidP="00C04533">
      <w:pPr>
        <w:pStyle w:val="TextoNormal"/>
      </w:pPr>
      <w:r>
        <w:t>Constata que el Grupo Parlamentario Socialista presentó la enmienda núm. 605 a la Ley16/2022, reforma de la Ley concursal (“Boletín Oficial de las Cortes Generales”, Congreso de los Diputados, 20 de abril de 2022, serie A, pág. 447), modificando la letra b) del apartado primero del artículo 12 LJCA, que prosperó con la redacción actualmente vigente. De ella resulta que confiere al Tribunal Supremo el conocimiento de los actos del fiscal general del Estado en pie de igualdad con los actos emanados del Consejo General del Poder Judicial.</w:t>
      </w:r>
    </w:p>
    <w:p w14:paraId="47667B69" w14:textId="77777777" w:rsidR="00C04533" w:rsidRDefault="00C04533" w:rsidP="00C04533">
      <w:pPr>
        <w:pStyle w:val="TextoNormal"/>
      </w:pPr>
    </w:p>
    <w:p w14:paraId="15F962A7" w14:textId="77777777" w:rsidR="00C04533" w:rsidRDefault="00C04533" w:rsidP="00C04533">
      <w:pPr>
        <w:pStyle w:val="TextoNormal"/>
      </w:pPr>
      <w:r>
        <w:t>Sin embargo, la enmienda núm. 603 presentada por el mismo grupo, fue retirada y entre las modificaciones pretendidas se encontraba la del art. 67 EOMF, en el sentido de que “las resoluciones del fiscal general del Estado ponen fin a la vía administrativa y solo serán recurribles ante la jurisdicción contencioso-administrativa”. Dicha enmienda se justificaba, al igual que la núm. 605 —que modificó la letra b) del art. 12.1 EOMF— en que “[l]a nueva regulación persigue adaptar el Estatuto del Ministerio Fiscal en nuestro país a las previsiones del segundo informe de cumplimiento de la IV ronda de evaluación del grupo de Estados contra la corrupción del Consejo de Europa, informe relativo a España, fortaleciendo la autonomía e independencia del fiscal general”.</w:t>
      </w:r>
    </w:p>
    <w:p w14:paraId="0D6862AB" w14:textId="77777777" w:rsidR="00C04533" w:rsidRDefault="00C04533" w:rsidP="00C04533">
      <w:pPr>
        <w:pStyle w:val="TextoNormal"/>
      </w:pPr>
    </w:p>
    <w:p w14:paraId="0F73CB7B" w14:textId="77777777" w:rsidR="00C04533" w:rsidRDefault="00C04533" w:rsidP="00C04533">
      <w:pPr>
        <w:pStyle w:val="TextoNormal"/>
      </w:pPr>
      <w:r>
        <w:t>Afirma que no consta en el aludido segundo informe ninguna mención a la existencia de recurso de alzada ante el ministro de Justicia respecto de las sanciones que imponga el fiscal general del Estado y reproduce los apartados 68 a 73 de la Recomendación XI del referido informe.</w:t>
      </w:r>
    </w:p>
    <w:p w14:paraId="28B34E02" w14:textId="77777777" w:rsidR="00C04533" w:rsidRDefault="00C04533" w:rsidP="00C04533">
      <w:pPr>
        <w:pStyle w:val="TextoNormal"/>
      </w:pPr>
    </w:p>
    <w:p w14:paraId="6B68CD0A" w14:textId="77777777" w:rsidR="00C04533" w:rsidRDefault="00C04533" w:rsidP="00C04533">
      <w:pPr>
        <w:pStyle w:val="TextoNormal"/>
      </w:pPr>
      <w:r>
        <w:t>c) Finalmente en el fundamento cuarto se refiere a los preceptos constitucionales que se entiende pueden haber sido infringidos: arts. 24 y 124 apartados 2 y 4.</w:t>
      </w:r>
    </w:p>
    <w:p w14:paraId="38FF1430" w14:textId="77777777" w:rsidR="00C04533" w:rsidRDefault="00C04533" w:rsidP="00C04533">
      <w:pPr>
        <w:pStyle w:val="TextoNormal"/>
      </w:pPr>
    </w:p>
    <w:p w14:paraId="468CBF32" w14:textId="77777777" w:rsidR="00C04533" w:rsidRDefault="00C04533" w:rsidP="00C04533">
      <w:pPr>
        <w:pStyle w:val="TextoNormal"/>
      </w:pPr>
      <w:r>
        <w:t>Razona que es un hecho notorio que en el sistema administrativo español el recurso de alzada se suscita ante el órgano superior jerárquico del que dictó el acto impugnado. Se ha considerado el presupuesto procesal cuando el acto objeto de impugnación emana de un órgano que dependa de un superior jerárquico (arts. 121.1 de la Ley 39/2015; 114 de la derogada Ley 30/1992, de 26 de noviembre, de régimen jurídico de las administraciones públicas y del procedimiento administrativo común, y 122.1 de la derogada Ley de 17 de julio de 1958, sobre procedimiento administrativo, vigente al tiempo de promulgarse el Estatuto orgánico del Ministerio Fiscal).</w:t>
      </w:r>
    </w:p>
    <w:p w14:paraId="439317B8" w14:textId="77777777" w:rsidR="00C04533" w:rsidRDefault="00C04533" w:rsidP="00C04533">
      <w:pPr>
        <w:pStyle w:val="TextoNormal"/>
      </w:pPr>
    </w:p>
    <w:p w14:paraId="2B7CDAFE" w14:textId="77777777" w:rsidR="00C04533" w:rsidRDefault="00C04533" w:rsidP="00C04533">
      <w:pPr>
        <w:pStyle w:val="TextoNormal"/>
      </w:pPr>
      <w:r>
        <w:t>La regulación del art. 67.3 EOMF resulta sorprendente a la vista de que el art. 124.4 CE es reiterado por el art. 29 EOMF.</w:t>
      </w:r>
    </w:p>
    <w:p w14:paraId="7E23B14E" w14:textId="77777777" w:rsidR="00C04533" w:rsidRDefault="00C04533" w:rsidP="00C04533">
      <w:pPr>
        <w:pStyle w:val="TextoNormal"/>
      </w:pPr>
    </w:p>
    <w:p w14:paraId="117891B5" w14:textId="77777777" w:rsidR="00C04533" w:rsidRDefault="00C04533" w:rsidP="00C04533">
      <w:pPr>
        <w:pStyle w:val="TextoNormal"/>
      </w:pPr>
      <w:r>
        <w:t>Señala que es irrazonable y no parece respetar el art. 124.2 y 4 engarzado con el art. 24 CE que los actos en materia disciplinaria de un órgano, el nombramiento de cuyo titular se confía al Gobierno sean revisados por un solo miembro del Consejo de ministros, que constituye el órgano colegiado del Gobierno, según el artículo 5 de la Ley 50/1997, de 27 de noviembre, del Gobierno. No existe disposición alguna que confiera al ministro de Justicia el carácter de superior jerárquico del fiscal general del Estado, a salvo claro está, de la disposición del Estatuto orgánico del Ministerio Fiscal que se cuestiona.</w:t>
      </w:r>
    </w:p>
    <w:p w14:paraId="4A5CD734" w14:textId="77777777" w:rsidR="00C04533" w:rsidRDefault="00C04533" w:rsidP="00C04533">
      <w:pPr>
        <w:pStyle w:val="TextoNormal"/>
      </w:pPr>
    </w:p>
    <w:p w14:paraId="196246A1" w14:textId="77777777" w:rsidR="00C04533" w:rsidRDefault="00C04533" w:rsidP="00C04533">
      <w:pPr>
        <w:pStyle w:val="TextoNormal"/>
      </w:pPr>
      <w:r>
        <w:t>La Sala en su sentencia de 20 de julio de 2015 (recurso de casación núm. 2099-2014) indicó que “la previsión de un recurso jerárquico, como es el de alzada, contra los actos del fiscal general del Estado, a resolver por el ministro de Justicia, no encaja en el ordenamiento constitucional del Ministerio Fiscal, pues no parece compatible con ninguna de las proyecciones legales de su autonomía, la que hace referencia al Poder Judicial y la que tiene por razón sus cometidos constitucionales”, en tanto que en el Estatuto orgánico del Ministerio Fiscal se califica al Ministerio Fiscal como “órgano de relevancia constitucional dotado de personalidad jurídica y que actúa con órganos propios”. En tal sentido dispone el art. 2 EOMF que “[e]l Ministerio Fiscal es un órgano de relevancia constitucional con personalidad jurídica propia, integrado con autonomía funcional en el Poder Judicial, y ejerce su misión por medio de órganos propios, conforme a los principios de unidad de actuación y dependencia jerárquica y con sujeción, en todo caso, a los de legalidad e imparcialidad”.</w:t>
      </w:r>
    </w:p>
    <w:p w14:paraId="2844E9AB" w14:textId="77777777" w:rsidR="00C04533" w:rsidRDefault="00C04533" w:rsidP="00C04533">
      <w:pPr>
        <w:pStyle w:val="TextoNormal"/>
      </w:pPr>
    </w:p>
    <w:p w14:paraId="1A4F9E26" w14:textId="77777777" w:rsidR="00C04533" w:rsidRDefault="00C04533" w:rsidP="00C04533">
      <w:pPr>
        <w:pStyle w:val="TextoNormal"/>
      </w:pPr>
      <w:r>
        <w:t>Dicho precepto parte del artículo 124.2 CE que encuadra al Ministerio Fiscal en el título VI, del Poder Judicial, atribuyéndole “órganos propios”, por lo que deben ser esos órganos propios los que resuelvan los conflictos en este caso en el ámbito disciplinario sin interferencia del ministro de Justicia.</w:t>
      </w:r>
    </w:p>
    <w:p w14:paraId="0199508B" w14:textId="77777777" w:rsidR="00C04533" w:rsidRDefault="00C04533" w:rsidP="00C04533">
      <w:pPr>
        <w:pStyle w:val="TextoNormal"/>
      </w:pPr>
    </w:p>
    <w:p w14:paraId="4B8FCB92" w14:textId="77777777" w:rsidR="00C04533" w:rsidRDefault="00C04533" w:rsidP="00C04533">
      <w:pPr>
        <w:pStyle w:val="TextoNormal"/>
      </w:pPr>
      <w:r>
        <w:t>El art. 24.2 CE garantiza el derecho a la tutela judicial efectiva mediante el enjuiciamiento de los asuntos por el juez predeterminado por la ley. En tal sentido, el fundamento jurídico 4 de la STC 101/1984, de 8 de noviembre, reiterado en el fundamento jurídico 6 b) de la STC 106/2022, de 13 de septiembre, sentó que:</w:t>
      </w:r>
    </w:p>
    <w:p w14:paraId="10195F52" w14:textId="77777777" w:rsidR="00C04533" w:rsidRDefault="00C04533" w:rsidP="00C04533">
      <w:pPr>
        <w:pStyle w:val="TextoNormal"/>
      </w:pPr>
    </w:p>
    <w:p w14:paraId="7E4C72CE" w14:textId="77777777" w:rsidR="00C04533" w:rsidRDefault="00C04533" w:rsidP="00C04533">
      <w:pPr>
        <w:pStyle w:val="TextoNormal"/>
      </w:pPr>
      <w:r>
        <w:t>“La predeterminación legal del juez significa que la ley, con generalidad y con anterioridad al caso, ha de contener los criterios de determinación competencial cuya aplicación a cada supuesto litigioso permita determinar cuál es el juzgado o tribunal llamado a conocer del caso”.</w:t>
      </w:r>
    </w:p>
    <w:p w14:paraId="21D27E37" w14:textId="77777777" w:rsidR="00C04533" w:rsidRDefault="00C04533" w:rsidP="00C04533">
      <w:pPr>
        <w:pStyle w:val="TextoNormal"/>
      </w:pPr>
    </w:p>
    <w:p w14:paraId="0643643D" w14:textId="77777777" w:rsidR="00C04533" w:rsidRDefault="00C04533" w:rsidP="00C04533">
      <w:pPr>
        <w:pStyle w:val="TextoNormal"/>
      </w:pPr>
      <w:r>
        <w:t>Por último, indica:</w:t>
      </w:r>
    </w:p>
    <w:p w14:paraId="77404372" w14:textId="77777777" w:rsidR="00C04533" w:rsidRDefault="00C04533" w:rsidP="00C04533">
      <w:pPr>
        <w:pStyle w:val="TextoNormal"/>
      </w:pPr>
    </w:p>
    <w:p w14:paraId="30BA6C11" w14:textId="77777777" w:rsidR="00C04533" w:rsidRDefault="00C04533" w:rsidP="00C04533">
      <w:pPr>
        <w:pStyle w:val="TextoNormal"/>
      </w:pPr>
      <w:r>
        <w:t>“Lo hasta ahora expuesto muestra que: (i) la reforma operada en el artículo 12 b) LJCA atribuye al Tribunal Supremo la competencia para conocer de los actos emanados del fiscal general del Estado en línea con los otros órganos constitucionales o de relevancia constitucional comprendidos en el artículo 12 c) LJCA; (ii) el Estatuto orgánico del Ministerio Fiscal reconoce un recurso de alzada ante el ministro de Justicia en el ámbito disciplinario del Ministerio Fiscal sin que conste la naturaleza de superior jerárquico del ministro de Justicia respecto al fiscal general del Estado; (iii) tal contradicción debe ser resuelta por el Tribunal Constitucional al no poder quedar a disposición del fiscal general del Estado la decisión de la concesión, en ocasiones, de recurso de alzada ante el ministro de Justicia o de reposición ante el propio órgano, en contradicción con lo regulado en el Estatuto orgánico del Ministerio Fiscal.</w:t>
      </w:r>
    </w:p>
    <w:p w14:paraId="2E748131" w14:textId="77777777" w:rsidR="00C04533" w:rsidRDefault="00C04533" w:rsidP="00C04533">
      <w:pPr>
        <w:pStyle w:val="TextoNormal"/>
      </w:pPr>
    </w:p>
    <w:p w14:paraId="2872698D" w14:textId="77777777" w:rsidR="00C04533" w:rsidRDefault="00C04533" w:rsidP="00C04533">
      <w:pPr>
        <w:pStyle w:val="TextoNormal"/>
      </w:pPr>
      <w:r>
        <w:t>La misma perplejidad produce que este artículo 67.3 mantenga en el ministro de Justicia la infracción de la sanción de separación”.</w:t>
      </w:r>
    </w:p>
    <w:p w14:paraId="0ED27C37" w14:textId="77777777" w:rsidR="00C04533" w:rsidRDefault="00C04533" w:rsidP="00C04533">
      <w:pPr>
        <w:pStyle w:val="TextoNormal"/>
      </w:pPr>
    </w:p>
    <w:p w14:paraId="3F8351CD" w14:textId="1D296254" w:rsidR="00C04533" w:rsidRDefault="00C04533" w:rsidP="00C04533">
      <w:pPr>
        <w:pStyle w:val="TextoNormal"/>
      </w:pPr>
      <w:r>
        <w:t>En la parte dispositiva del auto se acuerda plantear la cuestión de inconstitucionalidad sobre si el art. 67.3 EOMF (“Las resoluciones del fiscal general del Estado serán recurribles en alzada ante el ministro de Justicia”) puede resultar contrario a los arts. 24 y 124.4 CE.</w:t>
      </w:r>
    </w:p>
    <w:p w14:paraId="491B2A63" w14:textId="77777777" w:rsidR="00C04533" w:rsidRDefault="00C04533" w:rsidP="00C04533">
      <w:pPr>
        <w:pStyle w:val="TextoNormal"/>
      </w:pPr>
    </w:p>
    <w:p w14:paraId="5C5BE88E" w14:textId="0138A57A" w:rsidR="00C04533" w:rsidRDefault="00C04533" w:rsidP="00C04533">
      <w:pPr>
        <w:pStyle w:val="TextoNormal"/>
      </w:pPr>
      <w:r w:rsidRPr="00C04533">
        <w:rPr>
          <w:rStyle w:val="NumeroAFNegritaCaracter"/>
        </w:rPr>
        <w:t>4</w:t>
      </w:r>
      <w:r>
        <w:t>. Por otro auto de la misma sección de 13 de febrero de 2024, se acordó rectificar la parte dispositiva del auto de 12 de febrero de 2024 dictado en el recurso núm. 2-88-2023, en el sentido de que donde dice “puede resultar contrario a los artículos 24 y 124.4 de la Constitución” diga “puede resultar contrario a los artículos 24 y 124.2 y 4 de la Constitución”.</w:t>
      </w:r>
    </w:p>
    <w:p w14:paraId="6F9A6F8F" w14:textId="77777777" w:rsidR="00C04533" w:rsidRDefault="00C04533" w:rsidP="00C04533">
      <w:pPr>
        <w:pStyle w:val="TextoNormal"/>
      </w:pPr>
    </w:p>
    <w:p w14:paraId="04A1AF02" w14:textId="71A7C464" w:rsidR="00C04533" w:rsidRDefault="00C04533" w:rsidP="00C04533">
      <w:pPr>
        <w:pStyle w:val="TextoNormal"/>
      </w:pPr>
      <w:r w:rsidRPr="00C04533">
        <w:rPr>
          <w:rStyle w:val="NumeroAFNegritaCaracter"/>
        </w:rPr>
        <w:t>5</w:t>
      </w:r>
      <w:r>
        <w:t>. Por providencia de 23 de abril de 2024, el Pleno del Tribunal Constitucional acordó, a los efectos que determina el art. 37.1 de la Ley Orgánica del Tribunal Constitucional (LOTC), oír al fiscal general del Estado para que, en el plazo de diez días, alegue lo que considere conveniente acerca de la admisibilidad de la presente cuestión de inconstitucionalidad en relación con el cumplimiento de los requisitos procesales.</w:t>
      </w:r>
    </w:p>
    <w:p w14:paraId="70B33CA1" w14:textId="77777777" w:rsidR="00C04533" w:rsidRDefault="00C04533" w:rsidP="00C04533">
      <w:pPr>
        <w:pStyle w:val="TextoNormal"/>
      </w:pPr>
    </w:p>
    <w:p w14:paraId="562BB39F" w14:textId="77777777" w:rsidR="00C04533" w:rsidRDefault="00C04533" w:rsidP="00C04533">
      <w:pPr>
        <w:pStyle w:val="TextoNormal"/>
      </w:pPr>
      <w:r w:rsidRPr="00C04533">
        <w:rPr>
          <w:rStyle w:val="NumeroAFNegritaCaracter"/>
        </w:rPr>
        <w:t>6</w:t>
      </w:r>
      <w:r>
        <w:t>. Mediante escrito registrado el día 6 de junio de 2024, el fiscal de Sala jefe de la Fiscalía ante el Tribunal Constitucional, por delegación del fiscal general del Estado, presentó sus alegaciones en las que se pronunciaba a favor de la inadmisión de la cuestión de inconstitucionalidad.</w:t>
      </w:r>
    </w:p>
    <w:p w14:paraId="63B7B14D" w14:textId="77777777" w:rsidR="00C04533" w:rsidRDefault="00C04533" w:rsidP="00C04533">
      <w:pPr>
        <w:pStyle w:val="TextoNormal"/>
      </w:pPr>
    </w:p>
    <w:p w14:paraId="7986E852" w14:textId="77777777" w:rsidR="00C04533" w:rsidRDefault="00C04533" w:rsidP="00C04533">
      <w:pPr>
        <w:pStyle w:val="TextoNormal"/>
      </w:pPr>
      <w:r>
        <w:t>El fiscal considera que la escasa duración del plazo otorgado a las partes para efectuar sus alegaciones en la segunda providencia dictada, de tan solo tres días, es una anomalía que debe abocar a la inadmisión a trámite de la cuestión de inconstitucionalidad y cita en su apoyo el ATC 133/2006, de 4 de abril, FJ 2. Constata que la Abogacía del Estado no formuló alegaciones, por lo que se declaró caducado el trámite mediante diligencia de ordenación de 8 de febrero de 2024. Considera que no puede presumirse la inacción —al no recurrir la providencia— o el silencio —al no formular alegaciones— de la Administración como una mera renuncia a valorar la ampliación de la duda planteada por la Sala de lo Contencioso-Administrativo del Tribunal Supremo, ni tampoco como una reiteración de sus manifestaciones anteriores.</w:t>
      </w:r>
    </w:p>
    <w:p w14:paraId="4DF70B44" w14:textId="77777777" w:rsidR="00C04533" w:rsidRDefault="00C04533" w:rsidP="00C04533">
      <w:pPr>
        <w:pStyle w:val="TextoNormal"/>
      </w:pPr>
    </w:p>
    <w:p w14:paraId="61F168A4" w14:textId="77777777" w:rsidR="00C04533" w:rsidRDefault="00C04533" w:rsidP="00C04533">
      <w:pPr>
        <w:pStyle w:val="TextoNormal"/>
      </w:pPr>
      <w:r>
        <w:t>Añade como segundo motivo de inadmisión a trámite de la cuestión de inconstitucionalidad, las significativas insuficiencias que se advierten en el auto de planteamiento. En tal sentido el auto afirma que no puede pronunciarse sobre la pretendida derogación tácita del art. 67.3 EOMF por lo que el juicio de aplicabilidad deviene por definición inviable. La adopción de un criterio sobre la vigencia de la norma es un presupuesto inexcusable de la existencia misma de la cuestión que se trata de plantear.</w:t>
      </w:r>
    </w:p>
    <w:p w14:paraId="41079B15" w14:textId="77777777" w:rsidR="00C04533" w:rsidRDefault="00C04533" w:rsidP="00C04533">
      <w:pPr>
        <w:pStyle w:val="TextoNormal"/>
      </w:pPr>
    </w:p>
    <w:p w14:paraId="0DAF3C88" w14:textId="17CEF3FA" w:rsidR="00C04533" w:rsidRDefault="00C04533" w:rsidP="00C04533">
      <w:pPr>
        <w:pStyle w:val="TextoNormal"/>
      </w:pPr>
      <w:r>
        <w:t>Sostiene que la duda planteada se concreta a una norma (el art. 67.3 EOMF) que ya ha sido aplicada y se extiende a la determinación de la competencia judicial, pero por aplicación de otra norma, no cuestionada, que es —sin duda— la directamente aplicable. Ese planteamiento presenta una discordancia lógico-formal entre la norma que cuestiona —la que establece el recurso de alzada— y la que el Tribunal Supremo ha de aplicar para determinar o rechazar su propia competencia judicial (la que señala la competencia de la Audiencia Nacional), pero que no se cuestiona. Al no cuestionar la norma que atribuye la competencia a la Audiencia Nacional, no se entiende cuál es el soporte normativo por el que la Sala retiene la competencia para asumir y tramitar el pleito, pues lo coherente con su tesis sería ceder el conocimiento del asunto a la Audiencia Nacional, cuya norma de competencia judicial no cuestiona, y que fuera este órgano judicial el que, en su caso, valorase la inconstitucionalidad de la norma administrativa. La inexistencia de una explicación sobre este punto no solo arroja un velo de incertidumbre sobre el juicio de aplicabilidad y relevancia, sino que revela un déficit de congruencia en la justificación del planteamiento de la cuestión. El precepto señalado por el Tribunal Supremo no identifica por sí mismo, por sí solo y directamente, la norma aplicable y relevante de la que depende la competencia judicial para conocer del recurso contencioso administrativo del que surge la cuestión de inconstitucionalidad.</w:t>
      </w:r>
    </w:p>
    <w:p w14:paraId="35D62045" w14:textId="77777777" w:rsidR="00C04533" w:rsidRDefault="00C04533" w:rsidP="00C04533">
      <w:pPr>
        <w:pStyle w:val="TextoNormal"/>
      </w:pPr>
    </w:p>
    <w:p w14:paraId="55CCE1A4" w14:textId="77777777" w:rsidR="00C04533" w:rsidRDefault="00C04533" w:rsidP="00C04533">
      <w:pPr>
        <w:pStyle w:val="TextoNormalNegritaCentrado"/>
        <w:keepNext/>
      </w:pPr>
      <w:r>
        <w:t>II. Fundamentos jurídicos</w:t>
      </w:r>
    </w:p>
    <w:p w14:paraId="1BEBC371" w14:textId="3EB58C1C" w:rsidR="00C04533" w:rsidRDefault="00C04533" w:rsidP="00C04533">
      <w:pPr>
        <w:pStyle w:val="TextoNormalNegritaCentrado"/>
        <w:keepNext/>
      </w:pPr>
    </w:p>
    <w:p w14:paraId="2FA3B831" w14:textId="77777777" w:rsidR="00C04533" w:rsidRDefault="00C04533" w:rsidP="00C04533">
      <w:pPr>
        <w:pStyle w:val="TextoNormal"/>
      </w:pPr>
      <w:r w:rsidRPr="00C04533">
        <w:rPr>
          <w:rStyle w:val="NumeroAFNegritaCaracter"/>
        </w:rPr>
        <w:t>1</w:t>
      </w:r>
      <w:r>
        <w:t>. La Sección Cuarta de la Sala de lo Contencioso-Administrativo del Tribunal Supremo plantea cuestión de inconstitucionalidad en relación con el inciso tercero del apartado tercero del art. 67 de la Ley 50/1981, de 30 de diciembre, por la que se regula el Estatuto orgánico del Ministerio Fiscal (EOMF) por estimar que podría ser contrario a los arts. 24 y 124 en sus apartados 2 y 4 CE.</w:t>
      </w:r>
    </w:p>
    <w:p w14:paraId="7A5381BA" w14:textId="77777777" w:rsidR="00C04533" w:rsidRDefault="00C04533" w:rsidP="00C04533">
      <w:pPr>
        <w:pStyle w:val="TextoNormal"/>
      </w:pPr>
    </w:p>
    <w:p w14:paraId="0C72405E" w14:textId="77777777" w:rsidR="00C04533" w:rsidRDefault="00C04533" w:rsidP="00C04533">
      <w:pPr>
        <w:pStyle w:val="TextoNormal"/>
      </w:pPr>
      <w:r>
        <w:t>El apartado tercero del art. 67 EOMF tiene la siguiente redacción, y se resalta en cursiva el concreto inciso tercero cuestionado:</w:t>
      </w:r>
    </w:p>
    <w:p w14:paraId="4E0E80C3" w14:textId="77777777" w:rsidR="00C04533" w:rsidRDefault="00C04533" w:rsidP="00C04533">
      <w:pPr>
        <w:pStyle w:val="TextoNormal"/>
      </w:pPr>
    </w:p>
    <w:p w14:paraId="341544DF" w14:textId="77777777" w:rsidR="00C04533" w:rsidRDefault="00C04533" w:rsidP="00C04533">
      <w:pPr>
        <w:pStyle w:val="TextoNormal"/>
      </w:pPr>
      <w:r>
        <w:t>“Serán competentes para la imposición de sanciones:</w:t>
      </w:r>
    </w:p>
    <w:p w14:paraId="28AAC688" w14:textId="77777777" w:rsidR="00C04533" w:rsidRDefault="00C04533" w:rsidP="00C04533">
      <w:pPr>
        <w:pStyle w:val="TextoNormal"/>
      </w:pPr>
    </w:p>
    <w:p w14:paraId="1CCD1A00" w14:textId="77777777" w:rsidR="00C04533" w:rsidRDefault="00C04533" w:rsidP="00C04533">
      <w:pPr>
        <w:pStyle w:val="TextoNormal"/>
      </w:pPr>
      <w:r>
        <w:t>[…]</w:t>
      </w:r>
    </w:p>
    <w:p w14:paraId="3FDD12C1" w14:textId="77777777" w:rsidR="00C04533" w:rsidRDefault="00C04533" w:rsidP="00C04533">
      <w:pPr>
        <w:pStyle w:val="TextoNormal"/>
      </w:pPr>
    </w:p>
    <w:p w14:paraId="72377AD0" w14:textId="77777777" w:rsidR="00C04533" w:rsidRDefault="00C04533" w:rsidP="00C04533">
      <w:pPr>
        <w:pStyle w:val="TextoNormal"/>
      </w:pPr>
      <w:r>
        <w:t>3. Para imponer la de separación del servicio, el ministro de Justicia, a propuesta del fiscal general del Estado, previo informe favorable del Consejo Fiscal.</w:t>
      </w:r>
    </w:p>
    <w:p w14:paraId="320790A4" w14:textId="77777777" w:rsidR="00C04533" w:rsidRDefault="00C04533" w:rsidP="00C04533">
      <w:pPr>
        <w:pStyle w:val="TextoNormal"/>
      </w:pPr>
    </w:p>
    <w:p w14:paraId="16FCBA7D" w14:textId="77777777" w:rsidR="00C04533" w:rsidRDefault="00C04533" w:rsidP="00C04533">
      <w:pPr>
        <w:pStyle w:val="TextoNormal"/>
      </w:pPr>
      <w:r>
        <w:t>Las resoluciones del fiscal jefe serán recurribles ante el Consejo Fiscal.</w:t>
      </w:r>
    </w:p>
    <w:p w14:paraId="06F5DE6B" w14:textId="77777777" w:rsidR="00C04533" w:rsidRDefault="00C04533" w:rsidP="00C04533">
      <w:pPr>
        <w:pStyle w:val="TextoNormal"/>
      </w:pPr>
    </w:p>
    <w:p w14:paraId="55A04ACC" w14:textId="77777777" w:rsidR="00C04533" w:rsidRDefault="00C04533" w:rsidP="00C04533">
      <w:pPr>
        <w:pStyle w:val="TextoNormal"/>
      </w:pPr>
      <w:r w:rsidRPr="00C04533">
        <w:rPr>
          <w:i/>
        </w:rPr>
        <w:t>Las resoluciones del fiscal general del Estado serán recurribles en alzada ante el ministro de Justicia</w:t>
      </w:r>
      <w:r>
        <w:t>.</w:t>
      </w:r>
    </w:p>
    <w:p w14:paraId="3504618D" w14:textId="77777777" w:rsidR="00C04533" w:rsidRDefault="00C04533" w:rsidP="00C04533">
      <w:pPr>
        <w:pStyle w:val="TextoNormal"/>
      </w:pPr>
    </w:p>
    <w:p w14:paraId="32CA2495" w14:textId="77777777" w:rsidR="00C04533" w:rsidRDefault="00C04533" w:rsidP="00C04533">
      <w:pPr>
        <w:pStyle w:val="TextoNormal"/>
      </w:pPr>
      <w:r>
        <w:t>Las resoluciones del Consejo Fiscal y del ministro de Justicia que agoten la vía administrativa serán susceptibles del recurso contencioso administrativo ante la Sala correspondiente de la Audiencia Nacional”.</w:t>
      </w:r>
    </w:p>
    <w:p w14:paraId="296D3335" w14:textId="77777777" w:rsidR="00C04533" w:rsidRDefault="00C04533" w:rsidP="00C04533">
      <w:pPr>
        <w:pStyle w:val="TextoNormal"/>
      </w:pPr>
    </w:p>
    <w:p w14:paraId="21A1402F" w14:textId="77777777" w:rsidR="00C04533" w:rsidRDefault="00C04533" w:rsidP="00C04533">
      <w:pPr>
        <w:pStyle w:val="TextoNormal"/>
      </w:pPr>
      <w:r>
        <w:t>El órgano judicial entiende que el precepto no respeta el contenido del art. 124.2 y 4 CE en relación con el art. 24 CE al determinar que los actos del fiscal general del Estado, nombrado por el Gobierno, sean revisables por un miembro del Consejo de ministros. La previsión de un recurso jerárquico, como lo es el recurso de alzada, no encaja en el ordenamiento constitucional del Ministerio Fiscal, al no parecer compatible con ninguna de las proyecciones legales de su autonomía y con la atribución de órganos propios con los que debe resolver los conflictos, en este caso, en el ámbito disciplinario sin interferencia del ministro de Justicia. Añade que el art. 24.2 CE garantiza el derecho a la tutela judicial efectiva mediante el enjuiciamiento de lo asuntos por el juez predeterminado por la ley.</w:t>
      </w:r>
    </w:p>
    <w:p w14:paraId="15208498" w14:textId="77777777" w:rsidR="00C04533" w:rsidRDefault="00C04533" w:rsidP="00C04533">
      <w:pPr>
        <w:pStyle w:val="TextoNormal"/>
      </w:pPr>
    </w:p>
    <w:p w14:paraId="346F6BC9" w14:textId="1B29EFBF" w:rsidR="00C04533" w:rsidRDefault="00C04533" w:rsidP="00C04533">
      <w:pPr>
        <w:pStyle w:val="TextoNormal"/>
      </w:pPr>
      <w:r>
        <w:t>El fiscal general del Estado, en el trámite previsto en el art. 37.1 LOTC, se ha opuesto a la admisión de la presente cuestión de inconstitucionalidad al entender que no se ha respetado el plazo previsto en el art. 35.2 LOTC, el carácter inviable del juicio de aplicabilidad al no pronunciarse el Tribunal Supremo sobre la derogación tácita del art. 67.3 EOMF y finalmente por no cuestionar ni identificar, la norma aplicable y relevante que determina la competencia de la Audiencia Nacional.</w:t>
      </w:r>
    </w:p>
    <w:p w14:paraId="37884C44" w14:textId="77777777" w:rsidR="00C04533" w:rsidRDefault="00C04533" w:rsidP="00C04533">
      <w:pPr>
        <w:pStyle w:val="TextoNormal"/>
      </w:pPr>
    </w:p>
    <w:p w14:paraId="2A9CDBEA" w14:textId="77777777" w:rsidR="00C04533" w:rsidRDefault="00C04533" w:rsidP="00C04533">
      <w:pPr>
        <w:pStyle w:val="TextoNormal"/>
      </w:pPr>
      <w:r w:rsidRPr="00C04533">
        <w:rPr>
          <w:rStyle w:val="NumeroAFNegritaCaracter"/>
        </w:rPr>
        <w:t>2</w:t>
      </w:r>
      <w:r>
        <w:t>.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14:paraId="3E062414" w14:textId="77777777" w:rsidR="00C04533" w:rsidRDefault="00C04533" w:rsidP="00C04533">
      <w:pPr>
        <w:pStyle w:val="TextoNormal"/>
      </w:pPr>
    </w:p>
    <w:p w14:paraId="180976AE" w14:textId="77777777" w:rsidR="00C04533" w:rsidRDefault="00C04533" w:rsidP="00C04533">
      <w:pPr>
        <w:pStyle w:val="TextoNormal"/>
      </w:pPr>
      <w:r>
        <w:t>Como resulta de los antecedentes, el órgano judicial incumplió el requisito de dar audiencia a las partes en el proceso y al Ministerio Fiscal previsto en el art. 35.2 LOTC, pues incumplió el plazo de diez días que el precepto señala y, por otra parte, la apertura del trámite de audiencia no sirvió para poner de manifiesto cuáles eran las dudas de constitucionalidad que albergaba el órgano judicial. Tales defectos en el trámite de audiencia se exponen a continuación:</w:t>
      </w:r>
    </w:p>
    <w:p w14:paraId="1EA2CBD2" w14:textId="77777777" w:rsidR="00C04533" w:rsidRDefault="00C04533" w:rsidP="00C04533">
      <w:pPr>
        <w:pStyle w:val="TextoNormal"/>
      </w:pPr>
    </w:p>
    <w:p w14:paraId="796B206E" w14:textId="77777777" w:rsidR="00C04533" w:rsidRDefault="00C04533" w:rsidP="00C04533">
      <w:pPr>
        <w:pStyle w:val="TextoNormal"/>
      </w:pPr>
      <w:r>
        <w:t>a) En primer lugar, el órgano judicial, como afirma el fiscal de Sala jefe de la Fiscalía ante el Tribunal Constitucional, incumplió el plazo señalado en el art. 35.2 LOTC (ATC 104/2011, de 5 de julio, FJ 2, entre otros). En efecto no dio a las partes el plazo de diez días para efectuar alegaciones como exige el precepto mencionado, sin que en modo alguno pueda entenderse que se dio satisfacción a esta exigencia legal de audiencia sustituyendo el plazo de diez días, que prevé el art. 35.2 LOTC, por el de tres días que fue el que efectivamente se concedió (ATC 133/2006, FJ 2).</w:t>
      </w:r>
    </w:p>
    <w:p w14:paraId="2001939D" w14:textId="77777777" w:rsidR="00C04533" w:rsidRDefault="00C04533" w:rsidP="00C04533">
      <w:pPr>
        <w:pStyle w:val="TextoNormal"/>
      </w:pPr>
    </w:p>
    <w:p w14:paraId="4E671F83" w14:textId="77777777" w:rsidR="00C04533" w:rsidRDefault="00C04533" w:rsidP="00C04533">
      <w:pPr>
        <w:pStyle w:val="TextoNormal"/>
      </w:pPr>
      <w:r>
        <w:t>Actuando de este modo incumplió tanto la letra como el sentido mismo de lo dispuesto en los arts. 35.2 y 36 LOTC (ATC 104/2011, FJ 2, con cita del ATC 108/1993, de 30 de marzo, FJ 2). Se infringió el texto del art. 35.2 LOTC porque lo que la Ley Orgánica demanda es que se oiga a las partes y al Ministerio Fiscal “para que en el plazo común e improrrogable de diez días puedan alegar lo que deseen sobre la pertinencia de plantear la cuestión de inconstitucionalidad” y la inobservancia de este trámite previo al proceso constitucional no puede calificarse de trivial, si se tiene presente que las alegaciones en el incidente de que se trata deben incorporarse, cuando existan, a la documentación remitida al Tribunal Constitucional (art. 36 LOTC) y puedan ser tenidas en cuenta por este a fin de examinar tanto la viabilidad de la cuestión misma como el alcance del problema constitucional en ella planteado (ATC 184/2011, de 20 de diciembre, FJ 2).</w:t>
      </w:r>
    </w:p>
    <w:p w14:paraId="1D36AEE8" w14:textId="77777777" w:rsidR="00C04533" w:rsidRDefault="00C04533" w:rsidP="00C04533">
      <w:pPr>
        <w:pStyle w:val="TextoNormal"/>
      </w:pPr>
    </w:p>
    <w:p w14:paraId="058B4246" w14:textId="77777777" w:rsidR="00C04533" w:rsidRDefault="00C04533" w:rsidP="00C04533">
      <w:pPr>
        <w:pStyle w:val="TextoNormal"/>
      </w:pPr>
      <w:r>
        <w:t>La reducción del plazo legal a tres días determinó que las posibilidades de las partes de alegar y de exponer sus respectivos pareceres quedaron constreñidas, desfigurando, con ello, este trámite previo al proceso constitucional (AATC 108/1993, FJ 2, y 104/2011, FJ 2), lo que a la postre condujo a la intrascendencia del referido traslado, al punto de que una de las partes ni tan siquiera formuló sus alegaciones, sin que dicha omisión pueda considerarse una renuncia a valorar la ampliación de la duda planteada por la Sala de lo Contencioso-Administrativo del Tribunal Supremo.</w:t>
      </w:r>
    </w:p>
    <w:p w14:paraId="4C179497" w14:textId="77777777" w:rsidR="00C04533" w:rsidRDefault="00C04533" w:rsidP="00C04533">
      <w:pPr>
        <w:pStyle w:val="TextoNormal"/>
      </w:pPr>
    </w:p>
    <w:p w14:paraId="740AD95A" w14:textId="77777777" w:rsidR="00C04533" w:rsidRDefault="00C04533" w:rsidP="00C04533">
      <w:pPr>
        <w:pStyle w:val="TextoNormal"/>
      </w:pPr>
      <w:r>
        <w:t>Todo ello ha afectado indudablemente al adecuado desarrollo del trámite de audiencia y al doble objetivo que el mismo pretende, esto es, que las partes y el Ministerio Fiscal puedan pronunciarse ante una eventual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(ATC 104/2011, FJ 2, con cita del ATC 173/2006, de 2 de junio).</w:t>
      </w:r>
    </w:p>
    <w:p w14:paraId="64CADA83" w14:textId="77777777" w:rsidR="00C04533" w:rsidRDefault="00C04533" w:rsidP="00C04533">
      <w:pPr>
        <w:pStyle w:val="TextoNormal"/>
      </w:pPr>
    </w:p>
    <w:p w14:paraId="6C15587F" w14:textId="77777777" w:rsidR="00C04533" w:rsidRDefault="00C04533" w:rsidP="00C04533">
      <w:pPr>
        <w:pStyle w:val="TextoNormal"/>
      </w:pPr>
      <w:r>
        <w:t>b) Por otra parte, tal y como hemos expuesto, la Sección Cuarta de la Sala de lo Contencioso-Administrativo del Tribunal Supremo dictó dos providencias de 11 y 30 de enero de 2024, en las que respectivamente consideró infringidos “el artículo 24 CE en relación con el artículo 124.4 CE” y el “artículo 24 CE en relación con el artículo 124.4 CE y 124.2 CE”.</w:t>
      </w:r>
    </w:p>
    <w:p w14:paraId="7D817D1B" w14:textId="77777777" w:rsidR="00C04533" w:rsidRDefault="00C04533" w:rsidP="00C04533">
      <w:pPr>
        <w:pStyle w:val="TextoNormal"/>
      </w:pPr>
    </w:p>
    <w:p w14:paraId="1C7B2628" w14:textId="77777777" w:rsidR="00C04533" w:rsidRDefault="00C04533" w:rsidP="00C04533">
      <w:pPr>
        <w:pStyle w:val="TextoNormal"/>
      </w:pPr>
      <w:r>
        <w:t>En ninguna de las dos providencias se identificó el aspecto del art. 24 CE (tutela judicial efectiva, prohibición de indefensión, derecho al juez ordinario predeterminado por la ley, a la defensa y a la asistencia de letrado, a ser informados de la acusación formulada contra ellos, a un proceso público sin dilaciones indebidas y con todas las garantías, a utilizar los medios de prueba pertinentes para su defensa, a no declarar contra sí mismos, a no confesarse culpables y a la presunción de inocencia) que era contravenido por el precepto cuestionado y que debía ponerse en relación con los específicos preceptos que regulan la institución del Ministerio Fiscal (arts. 124.2 y 4 CE).</w:t>
      </w:r>
    </w:p>
    <w:p w14:paraId="5B3BC4CA" w14:textId="77777777" w:rsidR="00C04533" w:rsidRDefault="00C04533" w:rsidP="00C04533">
      <w:pPr>
        <w:pStyle w:val="TextoNormal"/>
      </w:pPr>
    </w:p>
    <w:p w14:paraId="5C3BB1A7" w14:textId="77777777" w:rsidR="00C04533" w:rsidRDefault="00C04533" w:rsidP="00C04533">
      <w:pPr>
        <w:pStyle w:val="TextoNormal"/>
      </w:pPr>
      <w:r>
        <w:t>Tampoco la genérica llamada a los arts. 124.2 y 4 CE en relación con el art. 24 CE, permitía concretar el derecho o principio de este último precepto que se podía ver quebrantado por la previsión del recurso de alzada que la norma cuestionada contenía. Ninguno de ambos preceptos permitía perfilar en el trámite de audiencia qué aspecto del art. 24 CE se veía menoscabado por norma cuestionada y se debía relacionar con los otros dos preceptos aludidos (art. 124.2 y 4 CE). La mera cita de estos preceptos tampoco salvaba la referida indeterminación ni permitía descubrir la duda de constitucionalidad que el órgano judicial albergaba, por lo que el trámite de audiencia no podía servir al fin para el que está configurado. Tan es así que ni el abogado del Estado ni el representante de la fiscal sancionada efectuaron argumentación alguna relacionada con la contraposición del precepto cuestionado y el art. 24 CE. No fue hasta el auto de planteamiento definitivo de la cuestión cuando pudo conocerse la concreta duda que albergaba el órgano judicial y no antes.</w:t>
      </w:r>
    </w:p>
    <w:p w14:paraId="226B88E0" w14:textId="77777777" w:rsidR="00C04533" w:rsidRDefault="00C04533" w:rsidP="00C04533">
      <w:pPr>
        <w:pStyle w:val="TextoNormal"/>
      </w:pPr>
    </w:p>
    <w:p w14:paraId="4AF6C15C" w14:textId="126EBE89" w:rsidR="00C04533" w:rsidRDefault="00C04533" w:rsidP="00C04533">
      <w:pPr>
        <w:pStyle w:val="TextoNormal"/>
      </w:pPr>
      <w:r>
        <w:t>En definitiva, las circunstancias descritas, por sí solas y sin necesidad de entrar en el fondo, determinan la inadmisión a trámite de la presente cuestión de inconstitucionalidad, en aplicación de lo dispuesto en el art. 37.1 LOTC.</w:t>
      </w:r>
    </w:p>
    <w:p w14:paraId="65E6D43B" w14:textId="77777777" w:rsidR="00C04533" w:rsidRDefault="00C04533" w:rsidP="00C04533">
      <w:pPr>
        <w:pStyle w:val="TextoNormal"/>
      </w:pPr>
    </w:p>
    <w:p w14:paraId="61762DFC" w14:textId="77777777" w:rsidR="00C04533" w:rsidRDefault="00C04533" w:rsidP="00C04533">
      <w:pPr>
        <w:pStyle w:val="TextoNormal"/>
      </w:pPr>
      <w:r>
        <w:t>Por lo expuesto, el Pleno</w:t>
      </w:r>
    </w:p>
    <w:p w14:paraId="48C1ADC2" w14:textId="4933C0BF" w:rsidR="00C04533" w:rsidRDefault="00C04533" w:rsidP="00C04533">
      <w:pPr>
        <w:pStyle w:val="TextoNormal"/>
      </w:pPr>
    </w:p>
    <w:p w14:paraId="13D727BE" w14:textId="77777777" w:rsidR="00C04533" w:rsidRDefault="00C04533" w:rsidP="00C04533">
      <w:pPr>
        <w:pStyle w:val="TextoNormalCentrado"/>
      </w:pPr>
      <w:r>
        <w:t>ACUERDA</w:t>
      </w:r>
    </w:p>
    <w:p w14:paraId="14E12BB4" w14:textId="1D5653BC" w:rsidR="00C04533" w:rsidRDefault="00C04533" w:rsidP="00C04533">
      <w:pPr>
        <w:pStyle w:val="TextoNormalCentrado"/>
      </w:pPr>
    </w:p>
    <w:p w14:paraId="06CCAAB5" w14:textId="74BDA124" w:rsidR="00C04533" w:rsidRDefault="00C04533" w:rsidP="00C04533">
      <w:pPr>
        <w:pStyle w:val="TextoNormal"/>
      </w:pPr>
      <w:r>
        <w:t>Inadmitir a trámite la cuestión de inconstitucionalidad núm. 1475-2024 planteada por la Sección Cuarta de la Sala de lo Contencioso-Administrativo del Tribunal Supremo.</w:t>
      </w:r>
    </w:p>
    <w:p w14:paraId="719C0BE3" w14:textId="77777777" w:rsidR="00C04533" w:rsidRDefault="00C04533" w:rsidP="00C04533">
      <w:pPr>
        <w:pStyle w:val="TextoNormal"/>
      </w:pPr>
    </w:p>
    <w:p w14:paraId="1FC1BAF0" w14:textId="77777777" w:rsidR="00C04533" w:rsidRDefault="00C04533" w:rsidP="00C04533">
      <w:pPr>
        <w:pStyle w:val="TextoNormal"/>
      </w:pPr>
      <w:r>
        <w:t>Madrid, a dos de julio de dos mil veinticuatro.</w:t>
      </w:r>
    </w:p>
    <w:p w14:paraId="7279E089" w14:textId="48A7E6FF" w:rsidR="00C04533" w:rsidRDefault="00C04533">
      <w:pPr>
        <w:spacing w:after="160" w:line="278" w:lineRule="auto"/>
        <w:rPr>
          <w:rFonts w:ascii="Times New Roman" w:eastAsia="Times New Roman" w:hAnsi="Times New Roman" w:cs="Times New Roman"/>
          <w:sz w:val="24"/>
          <w:szCs w:val="24"/>
          <w:lang w:eastAsia="es-ES"/>
        </w:rPr>
      </w:pPr>
      <w:r>
        <w:br w:type="page"/>
      </w:r>
    </w:p>
    <w:p w14:paraId="7E970CC1" w14:textId="77777777" w:rsidR="00C04533" w:rsidRDefault="00C04533" w:rsidP="00C04533">
      <w:pPr>
        <w:pStyle w:val="TtuloResolucin"/>
      </w:pPr>
      <w:bookmarkStart w:id="72" w:name="AUTO_2024_66"/>
      <w:r>
        <w:t>AUTO 66/2024, de 2 de julio de 2024</w:t>
      </w:r>
    </w:p>
    <w:bookmarkEnd w:id="72"/>
    <w:p w14:paraId="0DF846AA" w14:textId="77777777" w:rsidR="00C04533" w:rsidRDefault="00C04533" w:rsidP="00C04533">
      <w:pPr>
        <w:pStyle w:val="TtuloResolucin"/>
      </w:pPr>
      <w:r>
        <w:t>Pleno</w:t>
      </w:r>
    </w:p>
    <w:p w14:paraId="39EF3256" w14:textId="77777777" w:rsidR="00C04533" w:rsidRDefault="00C04533" w:rsidP="00C04533">
      <w:pPr>
        <w:pStyle w:val="TextoNormalCentrado"/>
      </w:pPr>
      <w:r>
        <w:t>ECLI:ES:TC:2024:66A</w:t>
      </w:r>
    </w:p>
    <w:p w14:paraId="1F47E998" w14:textId="24D92863" w:rsidR="00C04533" w:rsidRDefault="00C04533" w:rsidP="00C04533">
      <w:pPr>
        <w:pStyle w:val="TextoNormalCentrado"/>
      </w:pPr>
    </w:p>
    <w:p w14:paraId="6A52E3C9" w14:textId="77777777" w:rsidR="00C04533" w:rsidRDefault="00C04533" w:rsidP="00C04533">
      <w:pPr>
        <w:pStyle w:val="SntesisDescriptiva"/>
      </w:pPr>
      <w:r>
        <w:t>Excms. Srs. don Cándido Conde-Pumpido Tourón,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w:t>
      </w:r>
    </w:p>
    <w:p w14:paraId="78F755F0" w14:textId="3EA2102A" w:rsidR="00C04533" w:rsidRDefault="00C04533" w:rsidP="00C04533">
      <w:pPr>
        <w:pStyle w:val="SntesisDescriptiva"/>
      </w:pPr>
    </w:p>
    <w:p w14:paraId="7EBBF637" w14:textId="77777777" w:rsidR="00C04533" w:rsidRDefault="00C04533" w:rsidP="00C04533">
      <w:pPr>
        <w:pStyle w:val="SntesisDescriptiva"/>
      </w:pPr>
      <w:r>
        <w:t>Inadmite a trámite la cuestión de inconstitucionalidad 2672-2024, planteada por la Sección Tercera de la Sala de lo Contencioso-Administrativo del Tribunal Superior de Justicia de Cataluña, en relación con los artículos 6 y 9 de la Ley del Parlamento de Cataluña 24/2015, de 29 de julio, de medidas urgentes para afrontar la emergencia en el ámbito de la vivienda y la pobreza energética.</w:t>
      </w:r>
    </w:p>
    <w:p w14:paraId="5B2920DE" w14:textId="2754E402" w:rsidR="00C04533" w:rsidRDefault="00C04533" w:rsidP="00C04533">
      <w:pPr>
        <w:pStyle w:val="SntesisDescriptiva"/>
      </w:pPr>
    </w:p>
    <w:p w14:paraId="6AA45810" w14:textId="77777777" w:rsidR="00C04533" w:rsidRDefault="00C04533" w:rsidP="00C04533">
      <w:pPr>
        <w:pStyle w:val="SntesisDescriptiva"/>
      </w:pPr>
    </w:p>
    <w:p w14:paraId="6BCB6AAC" w14:textId="77777777" w:rsidR="00C04533" w:rsidRDefault="00C04533" w:rsidP="00C04533">
      <w:pPr>
        <w:pStyle w:val="SntesisDescriptiva"/>
      </w:pPr>
    </w:p>
    <w:p w14:paraId="5556D928" w14:textId="77777777" w:rsidR="00C04533" w:rsidRDefault="00C04533" w:rsidP="00C04533">
      <w:pPr>
        <w:pStyle w:val="TextoNormalNegritaCentrado"/>
      </w:pPr>
      <w:r>
        <w:t>AUTO</w:t>
      </w:r>
    </w:p>
    <w:p w14:paraId="640D8136" w14:textId="7522DBCA" w:rsidR="00C04533" w:rsidRDefault="00C04533" w:rsidP="00C04533">
      <w:pPr>
        <w:pStyle w:val="TextoNormalNegritaCentrado"/>
      </w:pPr>
    </w:p>
    <w:p w14:paraId="628014B8" w14:textId="77777777" w:rsidR="00C04533" w:rsidRDefault="00C04533" w:rsidP="00C04533">
      <w:pPr>
        <w:pStyle w:val="TextoNormalNegritaCentrado"/>
        <w:keepNext/>
      </w:pPr>
      <w:r>
        <w:t>I. Antecedentes</w:t>
      </w:r>
    </w:p>
    <w:p w14:paraId="3DD94869" w14:textId="53BBB0F2" w:rsidR="00C04533" w:rsidRDefault="00C04533" w:rsidP="00C04533">
      <w:pPr>
        <w:pStyle w:val="TextoNormalNegritaCentrado"/>
        <w:keepNext/>
      </w:pPr>
    </w:p>
    <w:p w14:paraId="29766D95" w14:textId="36B6CC00" w:rsidR="00C04533" w:rsidRDefault="00C04533" w:rsidP="00C04533">
      <w:pPr>
        <w:pStyle w:val="TextoNormal"/>
      </w:pPr>
      <w:r w:rsidRPr="00C04533">
        <w:rPr>
          <w:rStyle w:val="NumeroAFNegritaCaracter"/>
        </w:rPr>
        <w:t>1</w:t>
      </w:r>
      <w:r>
        <w:t>. El 17 de abril de 2024 tuvo entrada en el registro de este tribunal testimonio de las actuaciones referidas al recurso de apelación núm. 1783-2022 del que conoce la Sección Tercera de la Sala de lo Contencioso-Administrativo del Tribunal Superior de Justicia de Cataluña, interpuesto contra la sentencia núm. 3/2022, de 11 de enero, dictada por el Juzgado de lo Contencioso-Administrativo núm. 4 de Barcelona, en el procedimiento ordinario núm. 77-2017. En el testimonio constaba el auto dictado por dicha Sección, el 12 de marzo de 2024, por el que se acuerda plantear cuestión de inconstitucionalidad en relación con los apartados cuarto de los arts. 6 y 9 de la Ley del Parlamento de Cataluña 24/2015, de 29 de julio, de medidas urgentes para afrontar la emergencia en el ámbito de la vivienda y la pobreza energética, por estimar que podrían ser contrarios a las competencias del Estado sobre bases y coordinación de la planificación general de la actividad económica (art. 149.1.13 CE) y bases del régimen minero y energético (art. 149.1.25 CE).</w:t>
      </w:r>
    </w:p>
    <w:p w14:paraId="73DCDA09" w14:textId="77777777" w:rsidR="00C04533" w:rsidRDefault="00C04533" w:rsidP="00C04533">
      <w:pPr>
        <w:pStyle w:val="TextoNormal"/>
      </w:pPr>
    </w:p>
    <w:p w14:paraId="681DE3D9" w14:textId="77777777" w:rsidR="00C04533" w:rsidRDefault="00C04533" w:rsidP="00C04533">
      <w:pPr>
        <w:pStyle w:val="TextoNormal"/>
      </w:pPr>
      <w:r w:rsidRPr="00C04533">
        <w:rPr>
          <w:rStyle w:val="NumeroAFNegritaCaracter"/>
        </w:rPr>
        <w:t>2</w:t>
      </w:r>
      <w:r>
        <w:t>. Los hechos de los que trae causa la presente cuestión de inconstitucionalidad son, sucintamente expuestos, los siguientes:</w:t>
      </w:r>
    </w:p>
    <w:p w14:paraId="658123B0" w14:textId="77777777" w:rsidR="00C04533" w:rsidRDefault="00C04533" w:rsidP="00C04533">
      <w:pPr>
        <w:pStyle w:val="TextoNormal"/>
      </w:pPr>
    </w:p>
    <w:p w14:paraId="49A09B5F" w14:textId="77777777" w:rsidR="00C04533" w:rsidRDefault="00C04533" w:rsidP="00C04533">
      <w:pPr>
        <w:pStyle w:val="TextoNormal"/>
      </w:pPr>
      <w:r>
        <w:t>a) El 23 de diciembre de 2016 el gerente de Derechos Sociales del Ayuntamiento de Barcelona en el expediente núm. 20160365 dictó dos resoluciones de contenido similar.</w:t>
      </w:r>
    </w:p>
    <w:p w14:paraId="02811F8F" w14:textId="77777777" w:rsidR="00C04533" w:rsidRDefault="00C04533" w:rsidP="00C04533">
      <w:pPr>
        <w:pStyle w:val="TextoNormal"/>
      </w:pPr>
    </w:p>
    <w:p w14:paraId="46C6B077" w14:textId="77777777" w:rsidR="00C04533" w:rsidRDefault="00C04533" w:rsidP="00C04533">
      <w:pPr>
        <w:pStyle w:val="TextoNormal"/>
      </w:pPr>
      <w:r>
        <w:t>En la primera de ellas requería a las compañías comercializadoras de suministros básicos de electricidad, de gas y agua potable que operan en el municipio de Barcelona para que, en cumplimiento del art. 6.4 de la Ley 24/2015, de 29 de julio, con carácter previo a realizar un corte de suministro dentro del término municipal de Barcelona, solicitaran un informe al Instituto Municipal de Servicios Sociales del Ayuntamiento de Barcelona mediante correo electrónico según el modelo anexo. Se advertía en la misma que el incumplimiento de la resolución comportaría su ejecución a través de la imposición de multas coercitivas y también que, de acuerdo con el art. 6 de la Ley 24/2015, existe la obligación de garantía de los suministros básicos asumida por las administraciones públicas, a los efectos de que como compañía suministradora de servicios básicos no procedan a la suspensión del suministro.</w:t>
      </w:r>
    </w:p>
    <w:p w14:paraId="14D48A94" w14:textId="77777777" w:rsidR="00C04533" w:rsidRDefault="00C04533" w:rsidP="00C04533">
      <w:pPr>
        <w:pStyle w:val="TextoNormal"/>
      </w:pPr>
    </w:p>
    <w:p w14:paraId="7F95A519" w14:textId="77777777" w:rsidR="00C04533" w:rsidRDefault="00C04533" w:rsidP="00C04533">
      <w:pPr>
        <w:pStyle w:val="TextoNormal"/>
      </w:pPr>
      <w:r>
        <w:t>La segunda resolución requería a dichas compañías para que a partir del mes de enero de 2017 comuniquen al referido instituto y por el mismo cauce, con una periodicidad mensual dentro de los días comprendidos entre el 15 y 20 del mes, los datos que figuran en el documento anexo con objeto de hacer efectiva la garantía del derecho de acceso a los suministros básicos a las personas y unidades familiares en situación de riesgo de exclusión residencial y de pobreza energética.</w:t>
      </w:r>
    </w:p>
    <w:p w14:paraId="2E5837F5" w14:textId="77777777" w:rsidR="00C04533" w:rsidRDefault="00C04533" w:rsidP="00C04533">
      <w:pPr>
        <w:pStyle w:val="TextoNormal"/>
      </w:pPr>
    </w:p>
    <w:p w14:paraId="3ED4CB7C" w14:textId="77777777" w:rsidR="00C04533" w:rsidRDefault="00C04533" w:rsidP="00C04533">
      <w:pPr>
        <w:pStyle w:val="TextoNormal"/>
      </w:pPr>
      <w:r>
        <w:t>b) La entidad EDP Comercializadora S.A.U., interpuso recurso contencioso-administrativo contra dichas resoluciones en el que solicitaba que se declarara su nulidad al considerar que le impiden suspender el suministro. Afirma que dichas resoluciones se sustentan en el art. 9.4 de la Ley 24/2015, en relación con su art. 6.4, que son contrarios a la regulación estatal básica relativa a la suspensión del suministro eléctrico y de gas natural en todo el territorio español. Consecuentemente solicita del órgano judicial que plantee una cuestión de inconstitucionalidad de los mismos al considerarlos contrarios a los arts. 149.1.13 y 25 CE (aunque por error cita el 24, pero identifica el título como “bases del régimen minero y energético”).</w:t>
      </w:r>
    </w:p>
    <w:p w14:paraId="047B6828" w14:textId="77777777" w:rsidR="00C04533" w:rsidRDefault="00C04533" w:rsidP="00C04533">
      <w:pPr>
        <w:pStyle w:val="TextoNormal"/>
      </w:pPr>
    </w:p>
    <w:p w14:paraId="78ECE1C3" w14:textId="77777777" w:rsidR="00C04533" w:rsidRDefault="00C04533" w:rsidP="00C04533">
      <w:pPr>
        <w:pStyle w:val="TextoNormal"/>
      </w:pPr>
      <w:r>
        <w:t>c) Repartido el recurso contencioso-administrativo al Juzgado de lo Contencioso-Administrativo núm. 4 de Barcelona, una vez tramitado, dicho juzgado dictó sentencia el 11 de enero de 2022. La sentencia razona que las resoluciones impugnadas se apoyan en el art. 6 de la Ley 24/2015 y sintetiza el contenido de las SSTC 62/2016, de 17 de marzo; 54/2018, de 24 de mayo, y 13/2019, de 31 de enero. Descarta el planteamiento de la cuestión de inconstitucionalidad atendido el pronunciamiento de la sentencia de la Sección Tercera del Tribunal Superior de Justicia de Cataluña de 29 de diciembre de 2020 que consideró que la obligación de solicitar un informe de los servicios sociales no impide que, en ausencia de ayudas a las personas y unidades en esa situación por parte de las administraciones públicas obligadas a garantizar el suministro o de las compañías suministradoras que libremente hayan suscrito acuerdos o convenios conforme al art. 6.2 Ley 24/2005, las compañías suministradoras puedan interrumpir el suministro conforme al art. 52 de la Ley del sector eléctrico (LSE) y el art. 88.3 de la Ley del sector de hidrocarburos (LSH).</w:t>
      </w:r>
    </w:p>
    <w:p w14:paraId="70457DB4" w14:textId="77777777" w:rsidR="00C04533" w:rsidRDefault="00C04533" w:rsidP="00C04533">
      <w:pPr>
        <w:pStyle w:val="TextoNormal"/>
      </w:pPr>
    </w:p>
    <w:p w14:paraId="50535C1E" w14:textId="77777777" w:rsidR="00C04533" w:rsidRDefault="00C04533" w:rsidP="00C04533">
      <w:pPr>
        <w:pStyle w:val="TextoNormal"/>
      </w:pPr>
      <w:r>
        <w:t>Sostiene que la primera de las resoluciones impone a las compañías suministradoras de servicios básicos que no procedan a la suspensión del suministro. Del resto del contenido de tales resoluciones resulta que las mismas son requerimientos de ejecución de lo previsto en los arts. VII, VIII y IX de la instrucción municipal que fue anulada por la sentencia núm. 284/2017, de 29 de noviembre, de la Sección Tercera de la Sala de lo Contencioso-Administrativo del Tribunal Superior de Justicia de Cataluña, por lo que procede declarar la invalidez de las resoluciones.</w:t>
      </w:r>
    </w:p>
    <w:p w14:paraId="4297E755" w14:textId="77777777" w:rsidR="00C04533" w:rsidRDefault="00C04533" w:rsidP="00C04533">
      <w:pPr>
        <w:pStyle w:val="TextoNormal"/>
      </w:pPr>
    </w:p>
    <w:p w14:paraId="079992D5" w14:textId="77777777" w:rsidR="00C04533" w:rsidRDefault="00C04533" w:rsidP="00C04533">
      <w:pPr>
        <w:pStyle w:val="TextoNormal"/>
      </w:pPr>
      <w:r>
        <w:t>d) Frente a dicha sentencia se interpuso recurso de apelación por EDP Comercializadora S.A.U., en el que considera infringido el art. 5.1 de la Ley Orgánica del Poder Judicial al no haber planteado la cuestión de inconstitucionalidad. Entiende que, conforme a los pronunciamientos del Tribunal Constitucional, el apartado cuarto de los arts. 6 y 9 son inconstitucionales. En segundo lugar, afirma que la sentencia era incongruente al no haber resuelto sobre la pretensión de que le sea abonada por el Ayuntamiento de Barcelona, la deuda acumulada con los clientes cuyo punto de suministro está ubicado en ese municipio.</w:t>
      </w:r>
    </w:p>
    <w:p w14:paraId="63370892" w14:textId="77777777" w:rsidR="00C04533" w:rsidRDefault="00C04533" w:rsidP="00C04533">
      <w:pPr>
        <w:pStyle w:val="TextoNormal"/>
      </w:pPr>
    </w:p>
    <w:p w14:paraId="07DB26AE" w14:textId="77777777" w:rsidR="00C04533" w:rsidRDefault="00C04533" w:rsidP="00C04533">
      <w:pPr>
        <w:pStyle w:val="TextoNormal"/>
      </w:pPr>
      <w:r>
        <w:t>e) El Ayuntamiento de Barcelona también interpuso recurso de apelación al entender que las resoluciones impugnadas no contienen una prohibición de corte del suministro y no se apoyan en la instrucción declarada nula, sino que aplican lo dispuesto en el art. 6.4 de la Ley 24/2015 en relación con la obligación de solicitar un informe de vulnerabilidad.</w:t>
      </w:r>
    </w:p>
    <w:p w14:paraId="0B4CA3C4" w14:textId="77777777" w:rsidR="00C04533" w:rsidRDefault="00C04533" w:rsidP="00C04533">
      <w:pPr>
        <w:pStyle w:val="TextoNormal"/>
      </w:pPr>
    </w:p>
    <w:p w14:paraId="2F6B9B4F" w14:textId="77777777" w:rsidR="00C04533" w:rsidRDefault="00C04533" w:rsidP="00C04533">
      <w:pPr>
        <w:pStyle w:val="TextoNormal"/>
      </w:pPr>
      <w:r>
        <w:t>f) Una vez tramitados los recursos de apelación interpuestos, por diligencia de ordenación del letrado de la administración de Justicia de 22 de junio de 2022 se elevaron los autos y el expediente administrativo a la Sala de lo Contencioso-Administrativo del Tribunal Superior de Justicia para resolver el recurso de apelación. Recibido el testimonio, se dictó diligencia de ordenación por la que se declaraban conclusas las actuaciones.</w:t>
      </w:r>
    </w:p>
    <w:p w14:paraId="6C5F22BF" w14:textId="77777777" w:rsidR="00C04533" w:rsidRDefault="00C04533" w:rsidP="00C04533">
      <w:pPr>
        <w:pStyle w:val="TextoNormal"/>
      </w:pPr>
    </w:p>
    <w:p w14:paraId="560C67F6" w14:textId="77777777" w:rsidR="00C04533" w:rsidRDefault="00C04533" w:rsidP="00C04533">
      <w:pPr>
        <w:pStyle w:val="TextoNormal"/>
      </w:pPr>
      <w:r>
        <w:t>g) El 2 de octubre de 2023, la Sección Tercera de la Sala de lo Contencioso-Administrativo del Tribunal Superior de Justicia, dictó providencia con el siguiente tenor literal:</w:t>
      </w:r>
    </w:p>
    <w:p w14:paraId="6E9A56F9" w14:textId="77777777" w:rsidR="00C04533" w:rsidRDefault="00C04533" w:rsidP="00C04533">
      <w:pPr>
        <w:pStyle w:val="TextoNormal"/>
      </w:pPr>
    </w:p>
    <w:p w14:paraId="673DB809" w14:textId="77777777" w:rsidR="00C04533" w:rsidRDefault="00C04533" w:rsidP="00C04533">
      <w:pPr>
        <w:pStyle w:val="TextoNormal"/>
      </w:pPr>
      <w:r>
        <w:t>“En Barcelona, a dos de octubre de dos mil veintitrés.</w:t>
      </w:r>
    </w:p>
    <w:p w14:paraId="767FFBA8" w14:textId="77777777" w:rsidR="00C04533" w:rsidRDefault="00C04533" w:rsidP="00C04533">
      <w:pPr>
        <w:pStyle w:val="TextoNormal"/>
      </w:pPr>
    </w:p>
    <w:p w14:paraId="33A1FEBB" w14:textId="77777777" w:rsidR="00C04533" w:rsidRDefault="00C04533" w:rsidP="00C04533">
      <w:pPr>
        <w:pStyle w:val="TextoNormal"/>
      </w:pPr>
      <w:r>
        <w:t>Diferentes trámites han dado lugar a la necesidad de dejar sin efecto el señalamiento fijado, que se realiza formalmente en este resolución, con la finalidad de dar traslado a las partes y al Ministerio Fiscal de la posibilidad de plantear una cuestión de inconstitucionalidad sobre los diferentes artículos de la Ley catalana 24/2015, de 29 de julio, que ellas citan en sus escritos, y que realicen las alegaciones que tengan por conveniente sobre ello por diez días, a los efectos previstos en el artículo 35.2 LOTC”</w:t>
      </w:r>
      <w:r w:rsidRPr="00C04533">
        <w:rPr>
          <w:i/>
        </w:rPr>
        <w:t xml:space="preserve"> (s</w:t>
      </w:r>
      <w:r>
        <w:t>ic).</w:t>
      </w:r>
    </w:p>
    <w:p w14:paraId="2B0B3A30" w14:textId="77777777" w:rsidR="00C04533" w:rsidRDefault="00C04533" w:rsidP="00C04533">
      <w:pPr>
        <w:pStyle w:val="TextoNormal"/>
      </w:pPr>
    </w:p>
    <w:p w14:paraId="45DAA488" w14:textId="77777777" w:rsidR="00C04533" w:rsidRDefault="00C04533" w:rsidP="00C04533">
      <w:pPr>
        <w:pStyle w:val="TextoNormal"/>
      </w:pPr>
      <w:r>
        <w:t>h) La representación procesal de EDP Comercializadora S.A.U., mediante escrito de 16 de octubre de 2023, solicitó el planteamiento de la cuestión de inconstitucionalidad de los apartados cuatro de los arts. 6 y 9 de la Ley 24/2015, con sustento en los pronunciamientos del Tribunal Constitucional contenidos principalmente en la STC 80/2018, de 5 de julio, y también en las SSTC 62/2016 y 54/2018. Argumenta que la negativa reiterada de la Sala a plantear la cuestión de inconstitucionalidad de los indicados preceptos se ha fundado en razones que no resultan trasladables al caso.</w:t>
      </w:r>
    </w:p>
    <w:p w14:paraId="02031415" w14:textId="77777777" w:rsidR="00C04533" w:rsidRDefault="00C04533" w:rsidP="00C04533">
      <w:pPr>
        <w:pStyle w:val="TextoNormal"/>
      </w:pPr>
    </w:p>
    <w:p w14:paraId="4B30E8C9" w14:textId="77777777" w:rsidR="00C04533" w:rsidRDefault="00C04533" w:rsidP="00C04533">
      <w:pPr>
        <w:pStyle w:val="TextoNormal"/>
      </w:pPr>
      <w:r>
        <w:t>Sostiene que la sentencia del Tribunal Superior de Justicia de Cataluña de 29 de diciembre de 2020 se amparó en el dictamen del Consejo de Estado núm. 149-2016, de 21 de abril, pero dicho criterio fue modificado por los dictámenes 890-2017, de 2 de noviembre y 922-2017, de 2 de noviembre, que reflejaban la doctrina de la STC 62/2016. Añade que posteriormente las SSTC 54/2018 y 80/2018, dejaron claro que la Generalitat no puede modificar la regulación básica estatal en materia de suspensión del suministro y declararon la inconstitucionalidad de la obligación de las empresas suministradoras, que deban realizar un corte del suministro, de que previamente soliciten un informe de vulnerabilidad a los servicios sociales. Alega que la finalidad de ambos preceptos es prohibir el corte de suministro a las empresas comercializadoras, como ha reconocido el Tribunal Supremo en pluralidad de sentencias, por lo que son inconstitucionales, al vulnerar la regulación material y formalmente básica del Estado amparada en los títulos competenciales previstos en el art. 149.1.13 y 25 CE.</w:t>
      </w:r>
    </w:p>
    <w:p w14:paraId="14F5045E" w14:textId="77777777" w:rsidR="00C04533" w:rsidRDefault="00C04533" w:rsidP="00C04533">
      <w:pPr>
        <w:pStyle w:val="TextoNormal"/>
      </w:pPr>
    </w:p>
    <w:p w14:paraId="2604770C" w14:textId="77777777" w:rsidR="00C04533" w:rsidRDefault="00C04533" w:rsidP="00C04533">
      <w:pPr>
        <w:pStyle w:val="TextoNormal"/>
      </w:pPr>
      <w:r>
        <w:t>i) El Ministerio Fiscal, mediante escrito presentado el 18 de octubre de 2023, extractó los antecedentes del procedimiento y sostuvo que, atendidos los términos de la providencia de apertura del trámite de audiencia, la norma con fuerza de ley cuya constitucionalidad pudiera cuestionarse se concreta en los arts. 6.4 y 9.4 de la Ley 24/2015 y los preceptos que se consideran infringidos son los arts. 149.1. 13 y 25 CE (aunque por error arrastrado del recurso de apelación interpuesto por EDP Comercializadora S.A.U., cita el ordinal 24 del art. 149.1 CE).</w:t>
      </w:r>
    </w:p>
    <w:p w14:paraId="05179060" w14:textId="77777777" w:rsidR="00C04533" w:rsidRDefault="00C04533" w:rsidP="00C04533">
      <w:pPr>
        <w:pStyle w:val="TextoNormal"/>
      </w:pPr>
    </w:p>
    <w:p w14:paraId="37CFD70F" w14:textId="77777777" w:rsidR="00C04533" w:rsidRDefault="00C04533" w:rsidP="00C04533">
      <w:pPr>
        <w:pStyle w:val="TextoNormal"/>
      </w:pPr>
      <w:r>
        <w:t>Señala que “no se cumplen los presupuestos relativos a la correcta identificación de la norma que suscita las dudas de constitucionalidad y de los preceptos constitucionales que esta pudiera infringir, así como la realización del juicio de aplicabilidad y relevancia. Según lo expuesto, y lo argumentado en la sentencia apelada, en congruencia con la doctrina constitucional y el criterio de la Sala al respecto, la fiscal considera que no concurren los requisitos para el planteamiento de la cuestión de inconstitucionalidad. Subsidiariamente, y únicamente en el caso de que el planteamiento de la cuestión que pretende efectuar la Sala coincida con lo anterior, puede entenderse, que cabría plantear la cuestión, excluyendo, por tanto, cualquier otro planteamiento que pueda afectar a otras normas o se apoye en un juicio de aplicabilidad y relevancia diferente”.</w:t>
      </w:r>
    </w:p>
    <w:p w14:paraId="5A0C8E5D" w14:textId="77777777" w:rsidR="00C04533" w:rsidRDefault="00C04533" w:rsidP="00C04533">
      <w:pPr>
        <w:pStyle w:val="TextoNormal"/>
      </w:pPr>
    </w:p>
    <w:p w14:paraId="2C8DC150" w14:textId="77777777" w:rsidR="00C04533" w:rsidRDefault="00C04533" w:rsidP="00C04533">
      <w:pPr>
        <w:pStyle w:val="TextoNormal"/>
      </w:pPr>
      <w:r>
        <w:t>j) La representación del Ayuntamiento de Barcelona presentó sus alegaciones el 19 de octubre de 2023. Apunta que la providencia que abre el trámite de audiencia parece señalar que la posible cuestión de inconstitucionalidad se plantea a instancia de parte y que se refiere a las normas de la Ley 24/2015 que han sido citadas por los intervinientes. Razona, que la actora en la demanda plantea la inconstitucionalidad del art. 9.4 de la Ley 24/2015 y excluye la del art. 6.4 de la misma, que se cita solo por la relación con el primero. Censura que el art. 6.4 de la Ley 24/2015 se añade en las conclusiones lo cual es inadmisible al haberse sustraído del debate.</w:t>
      </w:r>
    </w:p>
    <w:p w14:paraId="40A985CB" w14:textId="77777777" w:rsidR="00C04533" w:rsidRDefault="00C04533" w:rsidP="00C04533">
      <w:pPr>
        <w:pStyle w:val="TextoNormal"/>
      </w:pPr>
    </w:p>
    <w:p w14:paraId="636FEB6C" w14:textId="77777777" w:rsidR="00C04533" w:rsidRDefault="00C04533" w:rsidP="00C04533">
      <w:pPr>
        <w:pStyle w:val="TextoNormal"/>
      </w:pPr>
      <w:r>
        <w:t>Refiere que esta misma Sección de la Sala Contencioso-Administrativo del Tribunal Superior de Justicia en la sentencia de 29 de diciembre de 2020 resolvió que el art. 6.4 de la Ley 24/2015 cuando impone la solicitud de informe de los servicios sociales no tiene por finalidad impedir el corte del suministro, sino evitarlo mediante el otorgamiento de ayudas a las personas o unidades en riesgo de exclusión residencial. El precepto no impide que en ausencia de ayudas las compañías suministradoras puedan interrumpir el suministro de acuerdo con los arts. 52.3 LSE y 88.3 LSH. Concluye que el art. 6.4 de la Ley 24/2015 entra dentro de las competencias autonómicas en materia de defensa y protección de los consumidores y usuarios. Por otra parte, la sentencia de 19 de mayo de 2021 de esa misma Sección descartó la inconstitucionalidad del art. 9.4 de la Ley 24/2015 al no inferirse en modo alguno que su contenido afecte a competencias en materia del sector eléctrico y limitarse a establecer un plazo para la emisión del informe de vulnerabilidad y a determinar una presunción de riesgo de exclusión residencial.</w:t>
      </w:r>
    </w:p>
    <w:p w14:paraId="4CFA0AF2" w14:textId="77777777" w:rsidR="00C04533" w:rsidRDefault="00C04533" w:rsidP="00C04533">
      <w:pPr>
        <w:pStyle w:val="TextoNormal"/>
      </w:pPr>
    </w:p>
    <w:p w14:paraId="3340AE13" w14:textId="77777777" w:rsidR="00C04533" w:rsidRDefault="00C04533" w:rsidP="00C04533">
      <w:pPr>
        <w:pStyle w:val="TextoNormal"/>
      </w:pPr>
      <w:r>
        <w:t>Postula que los dos preceptos citados se dictan con sustento en la competencia autonómica en materia de vivienda, sin que sea proyectable la doctrina de la STC 80/2018 al ser la materia regulada encuadrable en vivienda y servicios sociales no en energía. Aun aceptando que la regulación tiene que ver con energía, y que la regulación estatal que se ocupa de proteger al vulnerable es básica, sería posible un desarrollo autonómico.</w:t>
      </w:r>
    </w:p>
    <w:p w14:paraId="14E66E6E" w14:textId="77777777" w:rsidR="00C04533" w:rsidRDefault="00C04533" w:rsidP="00C04533">
      <w:pPr>
        <w:pStyle w:val="TextoNormal"/>
      </w:pPr>
    </w:p>
    <w:p w14:paraId="39F608F3" w14:textId="213486FE" w:rsidR="00C04533" w:rsidRDefault="00C04533" w:rsidP="00C04533">
      <w:pPr>
        <w:pStyle w:val="TextoNormal"/>
      </w:pPr>
      <w:r>
        <w:t>k) La representación de Naturgy Iberia, S.A., presentó sus alegaciones mediante escrito de 19 de octubre de 2023. Interesó que se planteara la cuestión de inconstitucionalidad de los apartados cuarto de los arts. 6 y 9 de la Ley 24/2015 al contravenir el art. 45 y 52.3 LSE y 57 LSH dictados al amparo de las competencias del Estado reconocidas en los arts. 149.1.13 y 25 CE.</w:t>
      </w:r>
    </w:p>
    <w:p w14:paraId="5DF8E7E5" w14:textId="77777777" w:rsidR="00C04533" w:rsidRDefault="00C04533" w:rsidP="00C04533">
      <w:pPr>
        <w:pStyle w:val="TextoNormal"/>
      </w:pPr>
    </w:p>
    <w:p w14:paraId="720F67FA" w14:textId="77777777" w:rsidR="00C04533" w:rsidRDefault="00C04533" w:rsidP="00C04533">
      <w:pPr>
        <w:pStyle w:val="TextoNormal"/>
      </w:pPr>
      <w:r w:rsidRPr="00C04533">
        <w:rPr>
          <w:rStyle w:val="NumeroAFNegritaCaracter"/>
        </w:rPr>
        <w:t>3</w:t>
      </w:r>
      <w:r>
        <w:t>. Por auto de 12 de marzo de 2024, la Sección Tercera de la Sala Contencioso-Administrativo del Tribunal Superior de Justicia de Cataluña acordó plantear cuestión de inconstitucionalidad sobre los arts. 6 y 9 en sus apartados cuatro, de la Ley del Parlamento de Cataluña 24/2015, de 29 de julio, de medidas urgentes para afrontar la emergencia en el ámbito de la vivienda y la pobreza energética, en su versión inicial, por vulneración de los arts. 149.1.13 —bases y coordinación de la planificación general de la actividad económica— y 25 —bases del régimen minero y energético— de la Constitución.</w:t>
      </w:r>
    </w:p>
    <w:p w14:paraId="411007D7" w14:textId="77777777" w:rsidR="00C04533" w:rsidRDefault="00C04533" w:rsidP="00C04533">
      <w:pPr>
        <w:pStyle w:val="TextoNormal"/>
      </w:pPr>
    </w:p>
    <w:p w14:paraId="085F2E96" w14:textId="77777777" w:rsidR="00C04533" w:rsidRDefault="00C04533" w:rsidP="00C04533">
      <w:pPr>
        <w:pStyle w:val="TextoNormal"/>
      </w:pPr>
      <w:r>
        <w:t>a) La fundamentación del auto se inicia mediante la reproducción de los arts. 163 CE, 35 LOTC, y del contenido de los arts. 6.4 y 9.4 Ley 24/2015, identificándolos como los preceptos cuestionados.</w:t>
      </w:r>
    </w:p>
    <w:p w14:paraId="5758C9C9" w14:textId="77777777" w:rsidR="00C04533" w:rsidRDefault="00C04533" w:rsidP="00C04533">
      <w:pPr>
        <w:pStyle w:val="TextoNormal"/>
      </w:pPr>
    </w:p>
    <w:p w14:paraId="640A0FD7" w14:textId="77777777" w:rsidR="00C04533" w:rsidRDefault="00C04533" w:rsidP="00C04533">
      <w:pPr>
        <w:pStyle w:val="TextoNormal"/>
      </w:pPr>
      <w:r>
        <w:t>Razona que el art. 6.4 de la Ley 24/2015 ha sido objeto de reforma por la Ley del Parlamento de Cataluña 3/2023, de 16 de marzo, y que la regla general es que la derogación de la norma extingue el proceso, “ya que la finalidad de este proceso abstracto no es otro que la depuración del ordenamiento jurídico, algo innecesario cuando el propio legislador ha expulsado la norma del ordenamiento. El propio Tribunal Constitucional ha manifestado que dicha regla tiene como excepciones, entre otras, como en el caso que nos ocupa, que el pleito tenga carácter competencial y que tal controversia no pueda entenderse resuelta con la derogación de la norma […] Así sucede en este caso, ya que, además, los preceptos derogados han sido sustituidos por otra redacción que plantearía similares problemas de constitucionalidad. En consecuencia, el proceso no ha perdido objeto, subsistiendo los motivos impugnatorios”.</w:t>
      </w:r>
    </w:p>
    <w:p w14:paraId="57A9EB95" w14:textId="77777777" w:rsidR="00C04533" w:rsidRDefault="00C04533" w:rsidP="00C04533">
      <w:pPr>
        <w:pStyle w:val="TextoNormal"/>
      </w:pPr>
    </w:p>
    <w:p w14:paraId="58D45206" w14:textId="77777777" w:rsidR="00C04533" w:rsidRDefault="00C04533" w:rsidP="00C04533">
      <w:pPr>
        <w:pStyle w:val="TextoNormal"/>
      </w:pPr>
      <w:r>
        <w:t>Entiende que se produce un conflicto entre el ejercicio de las competencias autonómicas en materia de vivienda (art. 137 del Estatuto de Autonomía de Cataluña) “y las estatales exclusivas básicas en materia de coordinación de la planificación general de la actividad económica (art. 149.1.13 CE) y del régimen energético (art. 149.1.25 CE)”. Identifica la normativa básica estatal en materia energética: arts. 45 y 52 LSE y el Real Decreto 897/2017, de 6 de octubre, por el que se regula la figura del consumidor vulnerable, el bono social y otras medidas de protección para los consumidores domésticos de energía eléctrica, que la desarrolla, del que reproduce su art. 19.3. Transcribe parte del fundamento jurídico 3 c) e i) de la STC 80/2018 y concluye que la contradicción que dicha sentencia afirma entre el apartado quinto del art. 23 de la Ley del Consell de la Generalitat Valenciana 2/2017, de 3 de febrero, por la función social de la vivienda de la Comunitat Valenciana y el apartado tercero del artículo 19 del Real Decreto 897/2017 —que tiene carácter básico, y que determina su inconstitucionalidad y nulidad— se debe aplicar a los artículos cuestionados.</w:t>
      </w:r>
    </w:p>
    <w:p w14:paraId="28BEDCFD" w14:textId="77777777" w:rsidR="00C04533" w:rsidRDefault="00C04533" w:rsidP="00C04533">
      <w:pPr>
        <w:pStyle w:val="TextoNormal"/>
      </w:pPr>
    </w:p>
    <w:p w14:paraId="63ACD2FC" w14:textId="319B2D9C" w:rsidR="00C04533" w:rsidRDefault="00C04533" w:rsidP="00C04533">
      <w:pPr>
        <w:pStyle w:val="TextoNormal"/>
      </w:pPr>
      <w:r>
        <w:t>b) En relación con el juicio de aplicabilidad y relevancia expone que las resoluciones administrativas impugnadas no indican —pese a lo reflejado en la sentencia de instancia— que su sustento sea la norma reglamentaria del Ayuntamiento de Barcelona que ha sido anulada. Asevera que dichas resoluciones aplican directamente la ley cuestionada, que ha sido interpretada por reiteradas sentencias del Tribunal Supremo en el sentido de que impide el corte del suministro eléctrico hasta que se haya emitido el informe correspondiente (SSTS 1165/2023, de 21 de septiembre, ECLI:ES:TS:2023:3665); 209/2023, de 21 de febrero, ECLI:ES:TS:2023:504, y 956/2022, de 7 de julio, ECLI:ES:TS:2022:2715, entre otras). De esta manera, refiere que “podemos concluir que el motivo de impugnación judicial de las resoluciones administrativas objeto de esta causa tiene un engarce directo en la aplicación de los preceptos legales cuya constitucionalidad se pone en duda, y su validez o no es determinante de que la decisión a adoptar en la presente causa derive en uno u otro sentido”.</w:t>
      </w:r>
    </w:p>
    <w:p w14:paraId="6DF1FA63" w14:textId="77777777" w:rsidR="00C04533" w:rsidRDefault="00C04533" w:rsidP="00C04533">
      <w:pPr>
        <w:pStyle w:val="TextoNormal"/>
      </w:pPr>
    </w:p>
    <w:p w14:paraId="151024F5" w14:textId="263C5640" w:rsidR="00C04533" w:rsidRDefault="00C04533" w:rsidP="00C04533">
      <w:pPr>
        <w:pStyle w:val="TextoNormal"/>
      </w:pPr>
      <w:r w:rsidRPr="00C04533">
        <w:rPr>
          <w:rStyle w:val="NumeroAFNegritaCaracter"/>
        </w:rPr>
        <w:t>4</w:t>
      </w:r>
      <w:r>
        <w:t>. Por providencia de 7 de mayo de 2024, el Pleno del Tribunal Constitucional acordó, a los efectos que determina el art. 37.1 de la Ley Orgánica del Tribunal Constitucional (LOTC), oír al fiscal general del Estado para que, en plazo de diez días, alegue lo que considere conveniente acerca de la admisibilidad de la presente cuestión de inconstitucionalidad en relación el cumplimiento de los requisitos procesales.</w:t>
      </w:r>
    </w:p>
    <w:p w14:paraId="7C43576E" w14:textId="77777777" w:rsidR="00C04533" w:rsidRDefault="00C04533" w:rsidP="00C04533">
      <w:pPr>
        <w:pStyle w:val="TextoNormal"/>
      </w:pPr>
    </w:p>
    <w:p w14:paraId="78456BC6" w14:textId="77777777" w:rsidR="00C04533" w:rsidRDefault="00C04533" w:rsidP="00C04533">
      <w:pPr>
        <w:pStyle w:val="TextoNormal"/>
      </w:pPr>
      <w:r w:rsidRPr="00C04533">
        <w:rPr>
          <w:rStyle w:val="NumeroAFNegritaCaracter"/>
        </w:rPr>
        <w:t>5</w:t>
      </w:r>
      <w:r>
        <w:t>. Mediante escrito registrado el día 6 de mayo de 2024, el fiscal ante el Tribunal Constitucional, por delegación del fiscal general del Estado, presentó sus alegaciones en las que se pronuncia a favor de la inadmisión de la cuestión de inconstitucionalidad.</w:t>
      </w:r>
    </w:p>
    <w:p w14:paraId="5338820F" w14:textId="77777777" w:rsidR="00C04533" w:rsidRDefault="00C04533" w:rsidP="00C04533">
      <w:pPr>
        <w:pStyle w:val="TextoNormal"/>
      </w:pPr>
    </w:p>
    <w:p w14:paraId="03549A27" w14:textId="3EAB7928" w:rsidR="00C04533" w:rsidRDefault="00C04533" w:rsidP="00C04533">
      <w:pPr>
        <w:pStyle w:val="TextoNormal"/>
      </w:pPr>
      <w:r>
        <w:t>El fiscal, a la vista de la providencia de 2 de octubre de 2023 que abrió el trámite del art. 35.2 LOTC considera que se ha incumplido lo exigido en dicho artículo, puesto que no identifica directamente las normas legales que posteriormente va a cuestionar, sino que se limita a remitirse a lo alegado por alguna de las partes. Tampoco realiza la menor referencia a la norma o normas constitucionales a las que deberían confrontarse aquellas, de modo que se ha producido un simple traslado procedimental, y no ha permitido al Ministerio Fiscal ni a las partes personadas una adecuada identificación del problema constitucional que se ha suscitado al órgano judicial.</w:t>
      </w:r>
    </w:p>
    <w:p w14:paraId="507C0CE0" w14:textId="77777777" w:rsidR="00C04533" w:rsidRDefault="00C04533" w:rsidP="00C04533">
      <w:pPr>
        <w:pStyle w:val="TextoNormal"/>
      </w:pPr>
    </w:p>
    <w:p w14:paraId="50C15A12" w14:textId="77777777" w:rsidR="00C04533" w:rsidRDefault="00C04533" w:rsidP="00C04533">
      <w:pPr>
        <w:pStyle w:val="TextoNormalNegritaCentrado"/>
        <w:keepNext/>
      </w:pPr>
      <w:r>
        <w:t>II. Fundamentos jurídicos</w:t>
      </w:r>
    </w:p>
    <w:p w14:paraId="1771AD89" w14:textId="7F1B2E04" w:rsidR="00C04533" w:rsidRDefault="00C04533" w:rsidP="00C04533">
      <w:pPr>
        <w:pStyle w:val="TextoNormalNegritaCentrado"/>
        <w:keepNext/>
      </w:pPr>
    </w:p>
    <w:p w14:paraId="1B1226B8" w14:textId="77777777" w:rsidR="00C04533" w:rsidRDefault="00C04533" w:rsidP="00C04533">
      <w:pPr>
        <w:pStyle w:val="TextoNormal"/>
      </w:pPr>
      <w:r w:rsidRPr="00C04533">
        <w:rPr>
          <w:rStyle w:val="NumeroAFNegritaCaracter"/>
        </w:rPr>
        <w:t>1</w:t>
      </w:r>
      <w:r>
        <w:t>. La Sección Tercera de la Sala de lo Contencioso-Administrativo del Tribunal Superior de Justicia de Cataluña plantea cuestión de inconstitucionalidad en relación con los apartados cuarto de los arts. 6 y 9 de la Ley de Cataluña 24/2015, de 29 de julio, de medidas urgentes para afrontar la emergencia en el ámbito de la vivienda y la pobreza energética, por estimar que podría ser contrario a las competencias del Estado sobre bases y coordinación de la planificación general de la actividad económica (art. 149.1.13 CE) y bases de régimen minero y energético (art. 149.1.25 CE).</w:t>
      </w:r>
    </w:p>
    <w:p w14:paraId="758332EA" w14:textId="77777777" w:rsidR="00C04533" w:rsidRDefault="00C04533" w:rsidP="00C04533">
      <w:pPr>
        <w:pStyle w:val="TextoNormal"/>
      </w:pPr>
    </w:p>
    <w:p w14:paraId="09821506" w14:textId="77777777" w:rsidR="00C04533" w:rsidRDefault="00C04533" w:rsidP="00C04533">
      <w:pPr>
        <w:pStyle w:val="TextoNormal"/>
      </w:pPr>
      <w:r>
        <w:t>El apartado cuarto del art. 6 de la Ley 24/2015 tiene la siguiente redacción:</w:t>
      </w:r>
    </w:p>
    <w:p w14:paraId="1FF72AA1" w14:textId="77777777" w:rsidR="00C04533" w:rsidRDefault="00C04533" w:rsidP="00C04533">
      <w:pPr>
        <w:pStyle w:val="TextoNormal"/>
      </w:pPr>
    </w:p>
    <w:p w14:paraId="579D5A69" w14:textId="77777777" w:rsidR="00C04533" w:rsidRDefault="00C04533" w:rsidP="00C04533">
      <w:pPr>
        <w:pStyle w:val="TextoNormal"/>
      </w:pPr>
      <w:r>
        <w:t>“Artículo 6. Medidas para evitar la pobreza energética</w:t>
      </w:r>
    </w:p>
    <w:p w14:paraId="5084EB23" w14:textId="77777777" w:rsidR="00C04533" w:rsidRDefault="00C04533" w:rsidP="00C04533">
      <w:pPr>
        <w:pStyle w:val="TextoNormal"/>
      </w:pPr>
    </w:p>
    <w:p w14:paraId="51E09492" w14:textId="77777777" w:rsidR="00C04533" w:rsidRDefault="00C04533" w:rsidP="00C04533">
      <w:pPr>
        <w:pStyle w:val="TextoNormal"/>
      </w:pPr>
      <w:r>
        <w:t>[…]</w:t>
      </w:r>
    </w:p>
    <w:p w14:paraId="24DA430E" w14:textId="77777777" w:rsidR="00C04533" w:rsidRDefault="00C04533" w:rsidP="00C04533">
      <w:pPr>
        <w:pStyle w:val="TextoNormal"/>
      </w:pPr>
    </w:p>
    <w:p w14:paraId="5AD8B132" w14:textId="77777777" w:rsidR="00C04533" w:rsidRDefault="00C04533" w:rsidP="00C04533">
      <w:pPr>
        <w:pStyle w:val="TextoNormal"/>
      </w:pPr>
      <w:r>
        <w:t>4. Para que se aplique el principio de precaución establecido por el apartado 2, cuando la empresa suministradora tenga que realizar un corte de suministro debe solicitar previamente un informe a los servicios sociales municipales, o al órgano de la administración que se determine por reglamento, para determinar si la persona o la unidad familiar se encuentra en una de las situaciones de riesgo de exclusión residencial determinadas por el artículo 5.10. En el supuesto de que se cumplan estos requisitos deben garantizarse los suministros básicos de acuerdo con lo establecido por el apartado 1 y deben aplicarse las ayudas necesarias establecidas por el apartado 3 para no generar deuda alguna a la persona o la unidad familiar”.</w:t>
      </w:r>
    </w:p>
    <w:p w14:paraId="56C94C95" w14:textId="77777777" w:rsidR="00C04533" w:rsidRDefault="00C04533" w:rsidP="00C04533">
      <w:pPr>
        <w:pStyle w:val="TextoNormal"/>
      </w:pPr>
    </w:p>
    <w:p w14:paraId="40C980B2" w14:textId="77777777" w:rsidR="00C04533" w:rsidRDefault="00C04533" w:rsidP="00C04533">
      <w:pPr>
        <w:pStyle w:val="TextoNormal"/>
      </w:pPr>
      <w:r>
        <w:t>El apartado cuarto del art. 9 de la Ley 24/2015 tiene la siguiente redacción:</w:t>
      </w:r>
    </w:p>
    <w:p w14:paraId="75101752" w14:textId="77777777" w:rsidR="00C04533" w:rsidRDefault="00C04533" w:rsidP="00C04533">
      <w:pPr>
        <w:pStyle w:val="TextoNormal"/>
      </w:pPr>
    </w:p>
    <w:p w14:paraId="272BDD94" w14:textId="77777777" w:rsidR="00C04533" w:rsidRDefault="00C04533" w:rsidP="00C04533">
      <w:pPr>
        <w:pStyle w:val="TextoNormal"/>
      </w:pPr>
      <w:r>
        <w:t>“Artículo 9. Plazos</w:t>
      </w:r>
    </w:p>
    <w:p w14:paraId="2CA16899" w14:textId="77777777" w:rsidR="00C04533" w:rsidRDefault="00C04533" w:rsidP="00C04533">
      <w:pPr>
        <w:pStyle w:val="TextoNormal"/>
      </w:pPr>
    </w:p>
    <w:p w14:paraId="1370D0AD" w14:textId="77777777" w:rsidR="00C04533" w:rsidRDefault="00C04533" w:rsidP="00C04533">
      <w:pPr>
        <w:pStyle w:val="TextoNormal"/>
      </w:pPr>
      <w:r>
        <w:t>[…]</w:t>
      </w:r>
    </w:p>
    <w:p w14:paraId="72C23DC7" w14:textId="77777777" w:rsidR="00C04533" w:rsidRDefault="00C04533" w:rsidP="00C04533">
      <w:pPr>
        <w:pStyle w:val="TextoNormal"/>
      </w:pPr>
    </w:p>
    <w:p w14:paraId="0CD18DA8" w14:textId="77777777" w:rsidR="00C04533" w:rsidRDefault="00C04533" w:rsidP="00C04533">
      <w:pPr>
        <w:pStyle w:val="TextoNormal"/>
      </w:pPr>
      <w:r>
        <w:t>4. La solicitud de un informe a los servicios sociales para determinar si una unidad familiar se encuentra en una de las situaciones de riesgo de exclusión residencial determinadas por el artículo 6.4 obliga a la administración a emitir el informe en un plazo de quince días. Si transcurre dicho plazo y no se ha emitido el informe, se entiende que la unidad familiar se encuentra efectivamente en situación de riesgo de exclusión residencial”.</w:t>
      </w:r>
    </w:p>
    <w:p w14:paraId="11FC884C" w14:textId="77777777" w:rsidR="00C04533" w:rsidRDefault="00C04533" w:rsidP="00C04533">
      <w:pPr>
        <w:pStyle w:val="TextoNormal"/>
      </w:pPr>
    </w:p>
    <w:p w14:paraId="2DC6C9D5" w14:textId="77777777" w:rsidR="00C04533" w:rsidRDefault="00C04533" w:rsidP="00C04533">
      <w:pPr>
        <w:pStyle w:val="TextoNormal"/>
      </w:pPr>
      <w:r>
        <w:t>El órgano judicial entiende que los preceptos cuestionados son contrarios a los arts. 45 y 52 de la Ley del sector eléctrico y al art. 19.3 del Real Decreto 897/2017, que la desarrolla, dictados por el Estado con sustento en las competencias previstas en los arts. 149.1.13 y 25 CE y cuyo carácter básico fue declarado por la STC 80/2018, de 5 de julio.</w:t>
      </w:r>
    </w:p>
    <w:p w14:paraId="493521D8" w14:textId="77777777" w:rsidR="00C04533" w:rsidRDefault="00C04533" w:rsidP="00C04533">
      <w:pPr>
        <w:pStyle w:val="TextoNormal"/>
      </w:pPr>
    </w:p>
    <w:p w14:paraId="7E207F8C" w14:textId="04CA1F4A" w:rsidR="00C04533" w:rsidRDefault="00C04533" w:rsidP="00C04533">
      <w:pPr>
        <w:pStyle w:val="TextoNormal"/>
      </w:pPr>
      <w:r>
        <w:t>El fiscal general del Estado, en el trámite previsto en el art. 37.1 LOTC, se ha opuesto a la admisión de la presente cuestión de inconstitucionalidad por entender que la providencia que abre el trámite de audiencia no cumple con los requisitos del art. 35.2 LOTC.</w:t>
      </w:r>
    </w:p>
    <w:p w14:paraId="15116DF6" w14:textId="77777777" w:rsidR="00C04533" w:rsidRDefault="00C04533" w:rsidP="00C04533">
      <w:pPr>
        <w:pStyle w:val="TextoNormal"/>
      </w:pPr>
    </w:p>
    <w:p w14:paraId="334BF757" w14:textId="77777777" w:rsidR="00C04533" w:rsidRDefault="00C04533" w:rsidP="00C04533">
      <w:pPr>
        <w:pStyle w:val="TextoNormal"/>
      </w:pPr>
      <w:r w:rsidRPr="00C04533">
        <w:rPr>
          <w:rStyle w:val="NumeroAFNegritaCaracter"/>
        </w:rPr>
        <w:t>2</w:t>
      </w:r>
      <w:r>
        <w:t>.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14:paraId="6E4043B7" w14:textId="77777777" w:rsidR="00C04533" w:rsidRDefault="00C04533" w:rsidP="00C04533">
      <w:pPr>
        <w:pStyle w:val="TextoNormal"/>
      </w:pPr>
    </w:p>
    <w:p w14:paraId="23040DF0" w14:textId="77777777" w:rsidR="00C04533" w:rsidRDefault="00C04533" w:rsidP="00C04533">
      <w:pPr>
        <w:pStyle w:val="TextoNormal"/>
      </w:pPr>
      <w:r>
        <w:t>De los antecedentes resulta que el órgano judicial incumplió el requisito de dar audiencia a las partes en el proceso y al Ministerio Fiscal previsto en el art. 35.2 LOTC, pues la apertura del trámite de audiencia no sirvió para poner de manifiesto cuales eran las dudas de constitucionalidad que albergaba el órgano judicial.</w:t>
      </w:r>
    </w:p>
    <w:p w14:paraId="6644267E" w14:textId="77777777" w:rsidR="00C04533" w:rsidRDefault="00C04533" w:rsidP="00C04533">
      <w:pPr>
        <w:pStyle w:val="TextoNormal"/>
      </w:pPr>
    </w:p>
    <w:p w14:paraId="04212597" w14:textId="77777777" w:rsidR="00C04533" w:rsidRDefault="00C04533" w:rsidP="00C04533">
      <w:pPr>
        <w:pStyle w:val="TextoNormal"/>
      </w:pPr>
      <w:r>
        <w:t>a) El órgano judicial abrió el trámite de audiencia del art. 35.2 LOTC, mediante la providencia de 2 de octubre de 2023, por la que se dio traslado, por diez días, a las partes y al Ministerio Fiscal para que realizaran las alegaciones que tuvieran por conveniente acerca de “la posibilidad de plantear una cuestión de inconstitucionalidad sobre los diferentes artículos de la Ley catalana 24/2015, de 29 de julio, que ellas citan en sus escritos”.</w:t>
      </w:r>
    </w:p>
    <w:p w14:paraId="04233D8F" w14:textId="77777777" w:rsidR="00C04533" w:rsidRDefault="00C04533" w:rsidP="00C04533">
      <w:pPr>
        <w:pStyle w:val="TextoNormal"/>
      </w:pPr>
    </w:p>
    <w:p w14:paraId="47656E67" w14:textId="77777777" w:rsidR="00C04533" w:rsidRDefault="00C04533" w:rsidP="00C04533">
      <w:pPr>
        <w:pStyle w:val="TextoNormal"/>
      </w:pPr>
      <w:r>
        <w:t xml:space="preserve">El fiscal advirtió en el procedimiento </w:t>
      </w:r>
      <w:r w:rsidRPr="00C04533">
        <w:rPr>
          <w:i/>
        </w:rPr>
        <w:t>a quo</w:t>
      </w:r>
      <w:r>
        <w:t xml:space="preserve"> que en el contenido de dicha providencia no se hacía mención expresa, ni se especificaba, la norma cuestionada ni el precepto constitucional infringido. Señaló que “no se cumplen los presupuestos relativos a la correcta identificación de la norma que suscita las dudas de constitucionalidad y de los preceptos constitucionales que esta pudiera infringir, así como la realización del juicio de aplicabilidad y relevancia”. Por ello, concluyó que no concurrían los requisitos para el planteamiento de la cuestión de inconstitucionalidad. Dicho criterio, como se ha expuesto, es compartido por el fiscal ante este tribunal en sus alegaciones.</w:t>
      </w:r>
    </w:p>
    <w:p w14:paraId="293DA1F6" w14:textId="77777777" w:rsidR="00C04533" w:rsidRDefault="00C04533" w:rsidP="00C04533">
      <w:pPr>
        <w:pStyle w:val="TextoNormal"/>
      </w:pPr>
    </w:p>
    <w:p w14:paraId="444F7B6F" w14:textId="77777777" w:rsidR="00C04533" w:rsidRDefault="00C04533" w:rsidP="00C04533">
      <w:pPr>
        <w:pStyle w:val="TextoNormal"/>
      </w:pPr>
      <w:r>
        <w:t>b) Debe recordarse que la relevancia del trámite de audiencia a las partes en la correcta formulación del proceso constitucional que se plantea al Tribunal Constitucional “exige un estricto y adecuado cumplimiento de los presupuestos procesales, entre los que se encuentra la identificación de los preceptos constitucionales que el órgano judicial considera infringidos por la norma legal” (ATC 63/2019, de 18 de junio, FJ 2). Tal exigencia tiene como finalidad que las partes puedan pronunciarse debidamente sobre “la vinculación entre la norma citada y apreciada por el órgano judicial como cuestionable y los supuestos de hecho que se dan en el caso sometido a su resolución, así como sobre el juicio de conformidad entre la norma y la Constitución, lo que requiere de manera inexcusable, como ya se ha dicho, que la providencia que otorga la audiencia especifique los preceptos legales cuestionados y las normas constitucionales que el órgano judicial estima de posible vulneración por aquellos, quedando vinculado el órgano judicial por los términos en que se haya planteado dicho trámite a la hora de elevar la cuestión de inconstitucionalidad (por todos, AATC 29/2003, de 28 de enero, FJ único; 60/2004, de 24 de febrero, FJ 2, y 96/2004, de 23 de marzo, FJ 2)”.</w:t>
      </w:r>
    </w:p>
    <w:p w14:paraId="6B0B948E" w14:textId="77777777" w:rsidR="00C04533" w:rsidRDefault="00C04533" w:rsidP="00C04533">
      <w:pPr>
        <w:pStyle w:val="TextoNormal"/>
      </w:pPr>
    </w:p>
    <w:p w14:paraId="4F677C56" w14:textId="77777777" w:rsidR="00C04533" w:rsidRDefault="00C04533" w:rsidP="00C04533">
      <w:pPr>
        <w:pStyle w:val="TextoNormal"/>
      </w:pPr>
      <w:r>
        <w:t>Y, por otra parte “[l]a duda de constitucionalidad sometida a debate de las partes ha de ser necesariamente del órgano judicial, que no se puede limitar, a la hora de promover una cuestión de inconstitucionalidad, a remitirse a las dudas que sobre la constitucionalidad de una norma hayan expresado las partes” [ATC 604/2023, de 21 de noviembre, FJ 2 e)].</w:t>
      </w:r>
    </w:p>
    <w:p w14:paraId="082FDD36" w14:textId="77777777" w:rsidR="00C04533" w:rsidRDefault="00C04533" w:rsidP="00C04533">
      <w:pPr>
        <w:pStyle w:val="TextoNormal"/>
      </w:pPr>
    </w:p>
    <w:p w14:paraId="48107A37" w14:textId="77777777" w:rsidR="00C04533" w:rsidRDefault="00C04533" w:rsidP="00C04533">
      <w:pPr>
        <w:pStyle w:val="TextoNormal"/>
      </w:pPr>
      <w:r>
        <w:t>c) Aplicando esta doctrina, conforme al criterio también expuesto por el Ministerio Fiscal, procede inadmitir la cuestión planteada. El órgano judicial no especifica los preceptos legales cuestionados ni las normas constitucionales que estima de posible vulneración por aquellos, impidiendo de este modo que al elevar la cuestión quede vinculado por los términos en los que se ha planteado dicho trámite. La Sección se limita a referirse a los preceptos cuestionados como “los diferentes artículos de la Ley catalana 24/2015, de 29 de julio, que ellas [las partes] citan en sus escritos” y obliga a los intervinientes en el proceso a indagar en la pluralidad de escritos, los artículos de la Ley 24/2015 que han sido citados, así como a elucubrar sobre las normas constitucionales que aquellos vulneran.</w:t>
      </w:r>
    </w:p>
    <w:p w14:paraId="58B469C9" w14:textId="77777777" w:rsidR="00C04533" w:rsidRDefault="00C04533" w:rsidP="00C04533">
      <w:pPr>
        <w:pStyle w:val="TextoNormal"/>
      </w:pPr>
    </w:p>
    <w:p w14:paraId="0ED398AE" w14:textId="77777777" w:rsidR="00C04533" w:rsidRDefault="00C04533" w:rsidP="00C04533">
      <w:pPr>
        <w:pStyle w:val="TextoNormal"/>
      </w:pPr>
      <w:r>
        <w:t>La indeterminación de los preceptos cuestionados se refuerza por la indefinición de los escritos de las partes a los que quiere referirse el órgano judicial, lo que a la postre ocasionó incertidumbre en quienes formularon alegaciones —como es el caso del Ayuntamiento de Barcelona— sobre el concreto precepto cuestionado, o que las alegaciones efectuadas se realizaran a modo de hipótesis o de elucubración —como es el caso del Ministerio Fiscal—, tal y como resulta del contenido de sus escritos que ha sido expuesto en los antecedentes.</w:t>
      </w:r>
    </w:p>
    <w:p w14:paraId="7DC4AE8E" w14:textId="77777777" w:rsidR="00C04533" w:rsidRDefault="00C04533" w:rsidP="00C04533">
      <w:pPr>
        <w:pStyle w:val="TextoNormal"/>
      </w:pPr>
    </w:p>
    <w:p w14:paraId="69FE2C56" w14:textId="77777777" w:rsidR="00C04533" w:rsidRDefault="00C04533" w:rsidP="00C04533">
      <w:pPr>
        <w:pStyle w:val="TextoNormal"/>
      </w:pPr>
      <w:r>
        <w:t>Las partes no pudieron conocer el planteamiento de la inconstitucionalidad realizado por el órgano judicial y situarlo en sus exactos términos constitucionales para pronunciarse sobre él haciendo de este modo posible cumplir con total garantía la finalidad del trámite previsto en el art. 35.2 LOTC (STC 123/2021, de 3 de junio, FJ 2). El órgano judicial no expresó su propia duda de constitucionalidad, sin que pudiera colmar tal déficit por una remisión implícita a las eventuales dudas que sobre la constitucionalidad de la norma hubiera expresado alguna de las partes en sus escritos (ATC 104/2011, de 5 de julio, FJ 2).</w:t>
      </w:r>
    </w:p>
    <w:p w14:paraId="7C41613B" w14:textId="77777777" w:rsidR="00C04533" w:rsidRDefault="00C04533" w:rsidP="00C04533">
      <w:pPr>
        <w:pStyle w:val="TextoNormal"/>
      </w:pPr>
    </w:p>
    <w:p w14:paraId="156DB5D9" w14:textId="642F94AE" w:rsidR="00C04533" w:rsidRDefault="00C04533" w:rsidP="00C04533">
      <w:pPr>
        <w:pStyle w:val="TextoNormal"/>
      </w:pPr>
      <w:r>
        <w:t>En definitiva, las circunstancias descritas, por sí solas y sin necesidad de entrar en el fondo, determinan la inadmisión a trámite de la presente cuestión de inconstitucionalidad, en aplicación de lo dispuesto en el art. 37.1 LOTC.</w:t>
      </w:r>
    </w:p>
    <w:p w14:paraId="777874F1" w14:textId="77777777" w:rsidR="00C04533" w:rsidRDefault="00C04533" w:rsidP="00C04533">
      <w:pPr>
        <w:pStyle w:val="TextoNormal"/>
      </w:pPr>
    </w:p>
    <w:p w14:paraId="7D5E5358" w14:textId="77777777" w:rsidR="00C04533" w:rsidRDefault="00C04533" w:rsidP="00C04533">
      <w:pPr>
        <w:pStyle w:val="TextoNormal"/>
      </w:pPr>
      <w:r>
        <w:t>Por lo expuesto, el Pleno</w:t>
      </w:r>
    </w:p>
    <w:p w14:paraId="09D1C58B" w14:textId="4F940A5C" w:rsidR="00C04533" w:rsidRDefault="00C04533" w:rsidP="00C04533">
      <w:pPr>
        <w:pStyle w:val="TextoNormal"/>
      </w:pPr>
    </w:p>
    <w:p w14:paraId="529C0790" w14:textId="77777777" w:rsidR="00C04533" w:rsidRDefault="00C04533" w:rsidP="00C04533">
      <w:pPr>
        <w:pStyle w:val="TextoNormalCentrado"/>
      </w:pPr>
      <w:r>
        <w:t>ACUERDA</w:t>
      </w:r>
    </w:p>
    <w:p w14:paraId="34B3CC8D" w14:textId="70BB0AD9" w:rsidR="00C04533" w:rsidRDefault="00C04533" w:rsidP="00C04533">
      <w:pPr>
        <w:pStyle w:val="TextoNormalCentrado"/>
      </w:pPr>
    </w:p>
    <w:p w14:paraId="468FC545" w14:textId="148FC701" w:rsidR="00C04533" w:rsidRDefault="00C04533" w:rsidP="00C04533">
      <w:pPr>
        <w:pStyle w:val="TextoNormal"/>
      </w:pPr>
      <w:r>
        <w:t>Inadmitir a trámite la cuestión de inconstitucionalidad núm. 2672-2024 planteada por la Sección Tercera de la Sala Contencioso-Administrativo del Tribunal Superior de Justicia de Cataluña.</w:t>
      </w:r>
    </w:p>
    <w:p w14:paraId="1BA83499" w14:textId="77777777" w:rsidR="00C04533" w:rsidRDefault="00C04533" w:rsidP="00C04533">
      <w:pPr>
        <w:pStyle w:val="TextoNormal"/>
      </w:pPr>
    </w:p>
    <w:p w14:paraId="4DC0D2AF" w14:textId="77777777" w:rsidR="00C04533" w:rsidRDefault="00C04533" w:rsidP="00C04533">
      <w:pPr>
        <w:pStyle w:val="TextoNormal"/>
      </w:pPr>
      <w:r>
        <w:t>Madrid, a dos de julio de dos mil veinticuatro.</w:t>
      </w:r>
    </w:p>
    <w:p w14:paraId="59112E61" w14:textId="032D23B9" w:rsidR="00C04533" w:rsidRDefault="00C04533">
      <w:pPr>
        <w:spacing w:after="160" w:line="278" w:lineRule="auto"/>
        <w:rPr>
          <w:rFonts w:ascii="Times New Roman" w:eastAsia="Times New Roman" w:hAnsi="Times New Roman" w:cs="Times New Roman"/>
          <w:sz w:val="24"/>
          <w:szCs w:val="24"/>
          <w:lang w:eastAsia="es-ES"/>
        </w:rPr>
      </w:pPr>
      <w:r>
        <w:br w:type="page"/>
      </w:r>
    </w:p>
    <w:p w14:paraId="1176ECCA" w14:textId="77777777" w:rsidR="00C04533" w:rsidRDefault="00C04533" w:rsidP="00C04533">
      <w:pPr>
        <w:pStyle w:val="TtuloResolucin"/>
      </w:pPr>
      <w:bookmarkStart w:id="73" w:name="AUTO_2024_67"/>
      <w:r>
        <w:t>AUTO 67/2024, de 2 de julio de 2024</w:t>
      </w:r>
    </w:p>
    <w:bookmarkEnd w:id="73"/>
    <w:p w14:paraId="5AF4998F" w14:textId="77777777" w:rsidR="00C04533" w:rsidRDefault="00C04533" w:rsidP="00C04533">
      <w:pPr>
        <w:pStyle w:val="TtuloResolucin"/>
      </w:pPr>
      <w:r>
        <w:t>Pleno</w:t>
      </w:r>
    </w:p>
    <w:p w14:paraId="2BC56CD6" w14:textId="77777777" w:rsidR="00C04533" w:rsidRDefault="00C04533" w:rsidP="00C04533">
      <w:pPr>
        <w:pStyle w:val="TextoNormalCentrado"/>
      </w:pPr>
      <w:r>
        <w:t>ECLI:ES:TC:2024:67A</w:t>
      </w:r>
    </w:p>
    <w:p w14:paraId="333E2227" w14:textId="71B0EEC8" w:rsidR="00C04533" w:rsidRDefault="00C04533" w:rsidP="00C04533">
      <w:pPr>
        <w:pStyle w:val="TextoNormalCentrado"/>
      </w:pPr>
    </w:p>
    <w:p w14:paraId="1DB1039C" w14:textId="77777777" w:rsidR="00C04533" w:rsidRDefault="00C04533" w:rsidP="00C04533">
      <w:pPr>
        <w:pStyle w:val="SntesisDescriptiva"/>
      </w:pPr>
      <w:r>
        <w:t>Excms. Srs. don Cándido Conde-Pumpido Tourón, doña Inmaculada Montalbán Huertas, don Ricardo Enríquez Sancho, don Ramón Sáez Valcárcel, don Enrique Arnaldo Alcubilla, doña Concepción Espejel Jorquera, doña María Luisa Segoviano Astaburuaga, don César Tolosa Tribiño y doña Laura Díez Bueso.</w:t>
      </w:r>
    </w:p>
    <w:p w14:paraId="02A79D59" w14:textId="49495790" w:rsidR="00C04533" w:rsidRDefault="00C04533" w:rsidP="00C04533">
      <w:pPr>
        <w:pStyle w:val="SntesisDescriptiva"/>
      </w:pPr>
    </w:p>
    <w:p w14:paraId="0B40FA4D" w14:textId="77777777" w:rsidR="00C04533" w:rsidRDefault="00C04533" w:rsidP="00C04533">
      <w:pPr>
        <w:pStyle w:val="SntesisDescriptiva"/>
      </w:pPr>
      <w:r>
        <w:t>Acepta una abstención en la cuestión de inconstitucionalidad 2840-2024, planteada por la Sección Tercera de la Sala de lo Contencioso-Administrativo del Tribunal Superior de Justicia de la Comunidad Valenciana, en relación con la disposición adicional decimocuarta de la Ley 27/2014, de 27 de noviembre, del impuesto sobre sociedades.</w:t>
      </w:r>
    </w:p>
    <w:p w14:paraId="0E6D373C" w14:textId="2AD011A0" w:rsidR="00C04533" w:rsidRDefault="00C04533" w:rsidP="00C04533">
      <w:pPr>
        <w:pStyle w:val="SntesisDescriptiva"/>
      </w:pPr>
    </w:p>
    <w:p w14:paraId="5E62D989" w14:textId="77777777" w:rsidR="00C04533" w:rsidRDefault="00C04533" w:rsidP="00C04533">
      <w:pPr>
        <w:pStyle w:val="SntesisDescriptiva"/>
      </w:pPr>
    </w:p>
    <w:p w14:paraId="6C3E9982" w14:textId="77777777" w:rsidR="00C04533" w:rsidRDefault="00C04533" w:rsidP="00C04533">
      <w:pPr>
        <w:pStyle w:val="SntesisDescriptiva"/>
      </w:pPr>
    </w:p>
    <w:p w14:paraId="37A60AF8" w14:textId="77777777" w:rsidR="00C04533" w:rsidRDefault="00C04533" w:rsidP="00C04533">
      <w:pPr>
        <w:pStyle w:val="TextoNormalNegritaCentrado"/>
      </w:pPr>
      <w:r>
        <w:t>AUTO</w:t>
      </w:r>
    </w:p>
    <w:p w14:paraId="0F964DA7" w14:textId="142DAF2D" w:rsidR="00C04533" w:rsidRDefault="00C04533" w:rsidP="00C04533">
      <w:pPr>
        <w:pStyle w:val="TextoNormalNegritaCentrado"/>
      </w:pPr>
    </w:p>
    <w:p w14:paraId="1485CDB9" w14:textId="77777777" w:rsidR="00C04533" w:rsidRDefault="00C04533" w:rsidP="00C04533">
      <w:pPr>
        <w:pStyle w:val="TextoNormalNegritaCentrado"/>
        <w:keepNext/>
      </w:pPr>
      <w:r>
        <w:t>I. Antecedentes</w:t>
      </w:r>
    </w:p>
    <w:p w14:paraId="46370016" w14:textId="470B3890" w:rsidR="00C04533" w:rsidRDefault="00C04533" w:rsidP="00C04533">
      <w:pPr>
        <w:pStyle w:val="TextoNormalNegritaCentrado"/>
        <w:keepNext/>
      </w:pPr>
    </w:p>
    <w:p w14:paraId="521F7D8C" w14:textId="79EE820F" w:rsidR="00C04533" w:rsidRDefault="00C04533" w:rsidP="00C04533">
      <w:pPr>
        <w:pStyle w:val="TextoNormal"/>
      </w:pPr>
      <w:r w:rsidRPr="00C04533">
        <w:rPr>
          <w:rStyle w:val="NumeroAFNegritaCaracter"/>
        </w:rPr>
        <w:t>1</w:t>
      </w:r>
      <w:r>
        <w:t>. Por escrito fechado el día 20 de junio de 2024, el magistrado don Juan Carlos Campo Moreno comunicó al señor presidente, a los efectos oportunos, su voluntad de abstenerse de intervenir en el conocimiento de la cuestión de inconstitucionalidad núm. 2840-2024.</w:t>
      </w:r>
    </w:p>
    <w:p w14:paraId="7F5F7A6B" w14:textId="77777777" w:rsidR="00C04533" w:rsidRDefault="00C04533" w:rsidP="00C04533">
      <w:pPr>
        <w:pStyle w:val="TextoNormal"/>
      </w:pPr>
    </w:p>
    <w:p w14:paraId="46687757" w14:textId="7BCFF051" w:rsidR="00C04533" w:rsidRDefault="00C04533" w:rsidP="00C04533">
      <w:pPr>
        <w:pStyle w:val="TextoNormal"/>
      </w:pPr>
      <w:r w:rsidRPr="00C04533">
        <w:rPr>
          <w:rStyle w:val="NumeroAFNegritaCaracter"/>
        </w:rPr>
        <w:t>2</w:t>
      </w:r>
      <w:r>
        <w:t>. La solicitud de abstención se vincula al hecho de haber participado el magistrado, en la condición de diputado, en la votación del Pleno del Congreso de los Diputados de 28 de junio de 2018, en la que se aprobó la Ley 6/2018, de 3 de julio, de presupuestos generales del Estado, que da redacción a la disposición adicional decimocuarta de la Ley 27/2014, de 27 de noviembre, del impuesto de sociedades.</w:t>
      </w:r>
    </w:p>
    <w:p w14:paraId="770C0EC1" w14:textId="77777777" w:rsidR="00C04533" w:rsidRDefault="00C04533" w:rsidP="00C04533">
      <w:pPr>
        <w:pStyle w:val="TextoNormal"/>
      </w:pPr>
    </w:p>
    <w:p w14:paraId="7365B1C6" w14:textId="77777777" w:rsidR="00C04533" w:rsidRDefault="00C04533" w:rsidP="00C04533">
      <w:pPr>
        <w:pStyle w:val="TextoNormalNegritaCentrado"/>
        <w:keepNext/>
      </w:pPr>
      <w:r>
        <w:t>II. Fundamentos jurídicos</w:t>
      </w:r>
    </w:p>
    <w:p w14:paraId="02C133D5" w14:textId="48EE2747" w:rsidR="00C04533" w:rsidRDefault="00C04533" w:rsidP="00C04533">
      <w:pPr>
        <w:pStyle w:val="TextoNormalNegritaCentrado"/>
        <w:keepNext/>
      </w:pPr>
    </w:p>
    <w:p w14:paraId="5DDD641D" w14:textId="20BB2531" w:rsidR="00C04533" w:rsidRDefault="00C04533" w:rsidP="00C04533">
      <w:pPr>
        <w:pStyle w:val="TextoNormal"/>
      </w:pPr>
      <w:r w:rsidRPr="00C04533">
        <w:rPr>
          <w:rStyle w:val="TextoNormalNegritaCaracter"/>
        </w:rPr>
        <w:t xml:space="preserve">Único. </w:t>
      </w:r>
      <w:r>
        <w:t>Visto el contenido de la comunicación efectuada por el magistrado don Juan Carlos Campo Moreno, en virtud de lo previsto en los arts. 80 de la Ley Orgánica del Tribunal Constitucional (LOTC) y 221.4 de la Ley Orgánica del Poder Judicial (LOPJ), se estima justificada la causa de abstención formulada, pues la participación del magistrado, en su anterior condición de diputado, en la votación del Pleno de 28 de junio de 2018, en la que se aprobó la Ley 6/2018, de 3 de julio, de presupuestos generales del Estado, que da redacción a la disposición adicional decimocuarta de la Ley 27/2014, de 27 de noviembre (objeto de la cuestión de inconstitucionalidad  núm. 2840-2024), integra la causa de abstención recogida en el art. 219.13 LOPJ, según la cual lo es “haber ocupado cargo público, desempeñado empleo o ejercido profesión con ocasión de los cuales haya participado directa o indirectamente en el asunto objeto del pleito o causa o en otro relacionado con el mismo”.</w:t>
      </w:r>
    </w:p>
    <w:p w14:paraId="6602C1C7" w14:textId="77777777" w:rsidR="00C04533" w:rsidRDefault="00C04533" w:rsidP="00C04533">
      <w:pPr>
        <w:pStyle w:val="TextoNormal"/>
      </w:pPr>
    </w:p>
    <w:p w14:paraId="1BA92ED1" w14:textId="77777777" w:rsidR="00C04533" w:rsidRDefault="00C04533" w:rsidP="00C04533">
      <w:pPr>
        <w:pStyle w:val="TextoNormal"/>
      </w:pPr>
      <w:r>
        <w:t>Por lo expuesto, el Pleno</w:t>
      </w:r>
    </w:p>
    <w:p w14:paraId="729AE2A9" w14:textId="3AF67311" w:rsidR="00C04533" w:rsidRDefault="00C04533" w:rsidP="00C04533">
      <w:pPr>
        <w:pStyle w:val="TextoNormal"/>
      </w:pPr>
    </w:p>
    <w:p w14:paraId="70F1B157" w14:textId="77777777" w:rsidR="00C04533" w:rsidRDefault="00C04533" w:rsidP="00C04533">
      <w:pPr>
        <w:pStyle w:val="TextoNormalCentrado"/>
      </w:pPr>
      <w:r>
        <w:t>ACUERDA</w:t>
      </w:r>
    </w:p>
    <w:p w14:paraId="6822DBD1" w14:textId="1C57D777" w:rsidR="00C04533" w:rsidRDefault="00C04533" w:rsidP="00C04533">
      <w:pPr>
        <w:pStyle w:val="TextoNormalCentrado"/>
      </w:pPr>
    </w:p>
    <w:p w14:paraId="7EF0175A" w14:textId="77777777" w:rsidR="00C04533" w:rsidRDefault="00C04533" w:rsidP="00C04533">
      <w:pPr>
        <w:pStyle w:val="TextoNormal"/>
      </w:pPr>
      <w:r>
        <w:t>Estimar justificada la abstención formulada por el magistrado don Juan Carlos Campo Moreno, apartándole definitivamente del conocimiento de la cuestión de inconstitucionalidad núm. 2840-2024.</w:t>
      </w:r>
    </w:p>
    <w:p w14:paraId="789EEE42" w14:textId="77777777" w:rsidR="00C04533" w:rsidRDefault="00C04533" w:rsidP="00C04533">
      <w:pPr>
        <w:pStyle w:val="TextoNormal"/>
      </w:pPr>
    </w:p>
    <w:p w14:paraId="0DF1FCB5" w14:textId="04275982" w:rsidR="00C04533" w:rsidRDefault="00C04533" w:rsidP="00C04533">
      <w:pPr>
        <w:pStyle w:val="TextoNormal"/>
      </w:pPr>
      <w:r>
        <w:t>Notifíquese a las partes.</w:t>
      </w:r>
    </w:p>
    <w:p w14:paraId="742C57B7" w14:textId="77777777" w:rsidR="00C04533" w:rsidRDefault="00C04533" w:rsidP="00C04533">
      <w:pPr>
        <w:pStyle w:val="TextoNormal"/>
      </w:pPr>
    </w:p>
    <w:p w14:paraId="40C70575" w14:textId="77777777" w:rsidR="00C04533" w:rsidRDefault="00C04533" w:rsidP="00C04533">
      <w:pPr>
        <w:pStyle w:val="TextoNormal"/>
      </w:pPr>
      <w:r>
        <w:t>Madrid, a dos de julio de dos mil veinticuatro.</w:t>
      </w:r>
    </w:p>
    <w:p w14:paraId="7D2ACE12" w14:textId="6E30758F" w:rsidR="00C04533" w:rsidRDefault="00C04533">
      <w:pPr>
        <w:spacing w:after="160" w:line="278" w:lineRule="auto"/>
        <w:rPr>
          <w:rFonts w:ascii="Times New Roman" w:eastAsia="Times New Roman" w:hAnsi="Times New Roman" w:cs="Times New Roman"/>
          <w:sz w:val="24"/>
          <w:szCs w:val="24"/>
          <w:lang w:eastAsia="es-ES"/>
        </w:rPr>
      </w:pPr>
      <w:r>
        <w:br w:type="page"/>
      </w:r>
    </w:p>
    <w:p w14:paraId="26876D2B" w14:textId="77777777" w:rsidR="00C04533" w:rsidRDefault="00C04533" w:rsidP="00C04533">
      <w:pPr>
        <w:pStyle w:val="TtuloResolucin"/>
      </w:pPr>
      <w:bookmarkStart w:id="74" w:name="AUTO_2024_68"/>
      <w:r>
        <w:t>AUTO 68/2024, de 2 de julio de 2024</w:t>
      </w:r>
    </w:p>
    <w:bookmarkEnd w:id="74"/>
    <w:p w14:paraId="5EEC1DBD" w14:textId="77777777" w:rsidR="00C04533" w:rsidRDefault="00C04533" w:rsidP="00C04533">
      <w:pPr>
        <w:pStyle w:val="TtuloResolucin"/>
      </w:pPr>
      <w:r>
        <w:t>Pleno</w:t>
      </w:r>
    </w:p>
    <w:p w14:paraId="33B2A513" w14:textId="77777777" w:rsidR="00C04533" w:rsidRDefault="00C04533" w:rsidP="00C04533">
      <w:pPr>
        <w:pStyle w:val="TextoNormalCentrado"/>
      </w:pPr>
      <w:r>
        <w:t>ECLI:ES:TC:2024:68A</w:t>
      </w:r>
    </w:p>
    <w:p w14:paraId="114C0278" w14:textId="2C076B78" w:rsidR="00C04533" w:rsidRDefault="00C04533" w:rsidP="00C04533">
      <w:pPr>
        <w:pStyle w:val="TextoNormalCentrado"/>
      </w:pPr>
    </w:p>
    <w:p w14:paraId="2039C247" w14:textId="77777777" w:rsidR="00C04533" w:rsidRDefault="00C04533" w:rsidP="00C04533">
      <w:pPr>
        <w:pStyle w:val="SntesisDescriptiva"/>
      </w:pPr>
      <w:r>
        <w:t>Excms. Srs. don Cándido Conde-Pumpido Tourón, doña Inmaculada Montalbán Huertas, don Ricardo Enríquez Sancho, don Ramón Sáez Valcárcel, don Enrique Arnaldo Alcubilla, doña Concepción Espejel Jorquera, doña María Luisa Segoviano Astaburuaga, don César Tolosa Tribiño y doña Laura Díez Bueso.</w:t>
      </w:r>
    </w:p>
    <w:p w14:paraId="1A65CFAD" w14:textId="0CEDF76D" w:rsidR="00C04533" w:rsidRDefault="00C04533" w:rsidP="00C04533">
      <w:pPr>
        <w:pStyle w:val="SntesisDescriptiva"/>
      </w:pPr>
    </w:p>
    <w:p w14:paraId="38B39A65" w14:textId="77777777" w:rsidR="00C04533" w:rsidRDefault="00C04533" w:rsidP="00C04533">
      <w:pPr>
        <w:pStyle w:val="SntesisDescriptiva"/>
      </w:pPr>
      <w:r>
        <w:t>Inadmite una recusación formulada en el recurso de amparo 2930-2024, promovido por don Enric Xavier Morera i Catalá en procedimiento parlamentario.</w:t>
      </w:r>
    </w:p>
    <w:p w14:paraId="622CD65A" w14:textId="6D2828D6" w:rsidR="00C04533" w:rsidRDefault="00C04533" w:rsidP="00C04533">
      <w:pPr>
        <w:pStyle w:val="SntesisDescriptiva"/>
      </w:pPr>
    </w:p>
    <w:p w14:paraId="1EB77119" w14:textId="77777777" w:rsidR="00C04533" w:rsidRDefault="00C04533" w:rsidP="00C04533">
      <w:pPr>
        <w:pStyle w:val="SntesisDescriptiva"/>
      </w:pPr>
    </w:p>
    <w:p w14:paraId="4036B7AF" w14:textId="77777777" w:rsidR="00C04533" w:rsidRDefault="00C04533" w:rsidP="00C04533">
      <w:pPr>
        <w:pStyle w:val="SntesisDescriptiva"/>
      </w:pPr>
    </w:p>
    <w:p w14:paraId="1EFA8D6C" w14:textId="77777777" w:rsidR="00C04533" w:rsidRDefault="00C04533" w:rsidP="00C04533">
      <w:pPr>
        <w:pStyle w:val="TextoNormalNegritaCentrado"/>
      </w:pPr>
      <w:r>
        <w:t>AUTO</w:t>
      </w:r>
    </w:p>
    <w:p w14:paraId="57DA75BC" w14:textId="72E38F3A" w:rsidR="00C04533" w:rsidRDefault="00C04533" w:rsidP="00C04533">
      <w:pPr>
        <w:pStyle w:val="TextoNormalNegritaCentrado"/>
      </w:pPr>
    </w:p>
    <w:p w14:paraId="653789C8" w14:textId="77777777" w:rsidR="00C04533" w:rsidRDefault="00C04533" w:rsidP="00C04533">
      <w:pPr>
        <w:pStyle w:val="TextoNormalNegritaCentrado"/>
        <w:keepNext/>
      </w:pPr>
      <w:r>
        <w:t>I. Antecedentes</w:t>
      </w:r>
    </w:p>
    <w:p w14:paraId="1FC49EB6" w14:textId="55096A15" w:rsidR="00C04533" w:rsidRDefault="00C04533" w:rsidP="00C04533">
      <w:pPr>
        <w:pStyle w:val="TextoNormalNegritaCentrado"/>
        <w:keepNext/>
      </w:pPr>
    </w:p>
    <w:p w14:paraId="0CC8B4DC" w14:textId="77777777" w:rsidR="00C04533" w:rsidRDefault="00C04533" w:rsidP="00C04533">
      <w:pPr>
        <w:pStyle w:val="TextoNormal"/>
      </w:pPr>
      <w:r w:rsidRPr="00C04533">
        <w:rPr>
          <w:rStyle w:val="NumeroAFNegritaCaracter"/>
        </w:rPr>
        <w:t>1</w:t>
      </w:r>
      <w:r>
        <w:t>. Mediante escrito presentado el 24 de abril de 2024 en el registro general del Tribunal Constitucional, don Enric Xavier Morera i Catalá, senador del Grupo Parlamentario Izquierda Confederal, representado por la procuradora de los tribunales doña Nuria Juan Muñoz y bajo la asistencia del letrado don José Ramón Chirivella Vila, interpuso recurso de amparo, registrado con el núm. 2930-2024, contra el acuerdo de la mesa del Senado de 24 de enero de 2024 por el que se inadmitió, entre otras, la enmienda número uno presentada a la proposición de reforma del artículo 49 de la Constitución española, y contra el acuerdo de la mesa del Senado de 25 de enero de 2024 por el que se desestimó la solicitud de reconsideración promovida frente al anterior.</w:t>
      </w:r>
    </w:p>
    <w:p w14:paraId="479C6A8D" w14:textId="77777777" w:rsidR="00C04533" w:rsidRDefault="00C04533" w:rsidP="00C04533">
      <w:pPr>
        <w:pStyle w:val="TextoNormal"/>
      </w:pPr>
    </w:p>
    <w:p w14:paraId="6C5A6599" w14:textId="77777777" w:rsidR="00C04533" w:rsidRDefault="00C04533" w:rsidP="00C04533">
      <w:pPr>
        <w:pStyle w:val="TextoNormal"/>
      </w:pPr>
      <w:r>
        <w:t>En concreto, la enmienda número uno presentada por el senador demandante de amparo, proponía la adición de un nuevo párrafo en la disposición adicional segunda de la Constitución, con el siguiente tenor: “La competencia legislativa civil de las comunidades autónomas, asumida en sus propios estatutos conforme al artículo 149.1.8 de la Constitución, se extenderá a la recuperación y la actualización de su derecho privado histórico de acuerdo con los valores y los principios constitucionales”. Los acuerdos impugnados acordaron la inadmisión de la citada enmienda por no guardar relación directa con la materia regulada por el art. 49 CE, por lo que, según el criterio de la mesa del Senado excedía de modo manifiesto el objeto y la finalidad de la proposición, tratándose de una iniciativa de reforma constitucional distinta, que debería seguir el procedimiento correspondiente.</w:t>
      </w:r>
    </w:p>
    <w:p w14:paraId="72614B45" w14:textId="77777777" w:rsidR="00C04533" w:rsidRDefault="00C04533" w:rsidP="00C04533">
      <w:pPr>
        <w:pStyle w:val="TextoNormal"/>
      </w:pPr>
    </w:p>
    <w:p w14:paraId="2279ABA1" w14:textId="7FFF9517" w:rsidR="00C04533" w:rsidRDefault="00C04533" w:rsidP="00C04533">
      <w:pPr>
        <w:pStyle w:val="TextoNormal"/>
      </w:pPr>
      <w:r>
        <w:t>El recurso de amparo fue turnado, a efectos de adoptar la decisión correspondiente sobre su admisibilidad, a la Sala Primera, Sección Segunda, del Tribunal Constitucional, correspondiendo la ponencia al magistrado don Juan Carlos Campo Moreno.</w:t>
      </w:r>
    </w:p>
    <w:p w14:paraId="3C334C97" w14:textId="77777777" w:rsidR="00C04533" w:rsidRDefault="00C04533" w:rsidP="00C04533">
      <w:pPr>
        <w:pStyle w:val="TextoNormal"/>
      </w:pPr>
    </w:p>
    <w:p w14:paraId="139A900E" w14:textId="72E66012" w:rsidR="00C04533" w:rsidRDefault="00C04533" w:rsidP="00C04533">
      <w:pPr>
        <w:pStyle w:val="TextoNormal"/>
      </w:pPr>
      <w:r w:rsidRPr="00C04533">
        <w:rPr>
          <w:rStyle w:val="NumeroAFNegritaCaracter"/>
        </w:rPr>
        <w:t>2</w:t>
      </w:r>
      <w:r>
        <w:t>. Por diligencia de ordenación de la Secretaría de justicia de la Sección Segunda de 26 de abril de 2024, remitida en esa misma fecha y que se tiene por notificada el 29 de abril de 2024, se requirió al demandante, de conformidad con el art. 49.4 de la Ley Orgánica del Tribunal Constitucional (LOTC), para que aportara escrito de demanda ajustado a la extensión y forma establecidos en la regla cuarta del acuerdo del Pleno del Tribunal Constitucional de 15 de marzo de 2023 [“Boletín Oficial del Estado” (“BOE”) núm. 70, de 23 de marzo de 2023], por exceder la demanda presentada del máximo de caracteres permitidos.</w:t>
      </w:r>
    </w:p>
    <w:p w14:paraId="2DD12E61" w14:textId="77777777" w:rsidR="00C04533" w:rsidRDefault="00C04533" w:rsidP="00C04533">
      <w:pPr>
        <w:pStyle w:val="TextoNormal"/>
      </w:pPr>
    </w:p>
    <w:p w14:paraId="3BAEEB0E" w14:textId="7B546ECB" w:rsidR="00C04533" w:rsidRDefault="00C04533" w:rsidP="00C04533">
      <w:pPr>
        <w:pStyle w:val="TextoNormal"/>
      </w:pPr>
      <w:r w:rsidRPr="00C04533">
        <w:rPr>
          <w:rStyle w:val="NumeroAFNegritaCaracter"/>
        </w:rPr>
        <w:t>3</w:t>
      </w:r>
      <w:r>
        <w:t>. Mediante escrito presentado el 3 de mayo de 2024, el recurrente en amparo atendió el requerimiento efectuado por diligencia de ordenación de 26 de abril de 2024, aportando el escrito de demanda ajustado a los requisitos de extensión y forma establecidos.</w:t>
      </w:r>
    </w:p>
    <w:p w14:paraId="2839DA60" w14:textId="77777777" w:rsidR="00C04533" w:rsidRDefault="00C04533" w:rsidP="00C04533">
      <w:pPr>
        <w:pStyle w:val="TextoNormal"/>
      </w:pPr>
    </w:p>
    <w:p w14:paraId="2B858747" w14:textId="77777777" w:rsidR="00C04533" w:rsidRDefault="00C04533" w:rsidP="00C04533">
      <w:pPr>
        <w:pStyle w:val="TextoNormal"/>
      </w:pPr>
      <w:r w:rsidRPr="00C04533">
        <w:rPr>
          <w:rStyle w:val="NumeroAFNegritaCaracter"/>
        </w:rPr>
        <w:t>4</w:t>
      </w:r>
      <w:r>
        <w:t>. El 10 de junio de 2024 tuvo entrada escrito del demandante de amparo por el que formulaba recusación del magistrado don Juan Carlos Campo Moreno.</w:t>
      </w:r>
    </w:p>
    <w:p w14:paraId="673971FB" w14:textId="77777777" w:rsidR="00C04533" w:rsidRDefault="00C04533" w:rsidP="00C04533">
      <w:pPr>
        <w:pStyle w:val="TextoNormal"/>
      </w:pPr>
    </w:p>
    <w:p w14:paraId="2307AB37" w14:textId="77777777" w:rsidR="00C04533" w:rsidRDefault="00C04533" w:rsidP="00C04533">
      <w:pPr>
        <w:pStyle w:val="TextoNormal"/>
      </w:pPr>
      <w:r>
        <w:t>La recusación se funda en las causas 13 (“haber ocupado cargo público, desempeñado empleo o ejercido profesión con ocasión de los cuales haya participado directa o indirectamente en el asunto objeto del pleito o causa o en otro relacionado con el mismo”) y 16 (“haber ocupado el juez o magistrado cargo público o administrativo con ocasión del cual haya podido tener conocimiento del objeto del litigio y formar criterio en detrimento de la debida imparcialidad”) del art. 219 de la Ley Orgánica 6/1985, de 1 de julio, del Poder Judicial (en adelante, LOPJ), en las que habría incurrido el magistrado señor Campo Moreno por haber desempeñado los cargos de secretario de Estado de Justicia (entre los años 2009 y 2011) y de ministro de Justicia (entre los años 2020 y 2021).</w:t>
      </w:r>
    </w:p>
    <w:p w14:paraId="5186F357" w14:textId="77777777" w:rsidR="00C04533" w:rsidRDefault="00C04533" w:rsidP="00C04533">
      <w:pPr>
        <w:pStyle w:val="TextoNormal"/>
      </w:pPr>
    </w:p>
    <w:p w14:paraId="113E8E10" w14:textId="77777777" w:rsidR="00C04533" w:rsidRDefault="00C04533" w:rsidP="00C04533">
      <w:pPr>
        <w:pStyle w:val="TextoNormal"/>
      </w:pPr>
      <w:r>
        <w:t>En el escrito afirma no haber recibido notificación alguna en la que se determine la composición completa de la Sala ni de la Sección competente para conocer de su recurso de amparo, si bien reconoce que la identidad del magistrado ponente le fue notificada el 26 de abril de 2024. No obstante, defiende haber promovido la recusación tan pronto como ha tenido conocimiento de los hechos en los que se funda, lo que habría tenido lugar a raíz de una noticia publicada el 3 de junio de 2024 en el diario “Valencia Plaza”.</w:t>
      </w:r>
    </w:p>
    <w:p w14:paraId="56888F36" w14:textId="77777777" w:rsidR="00C04533" w:rsidRDefault="00C04533" w:rsidP="00C04533">
      <w:pPr>
        <w:pStyle w:val="TextoNormal"/>
      </w:pPr>
    </w:p>
    <w:p w14:paraId="53F41BF0" w14:textId="77777777" w:rsidR="00C04533" w:rsidRDefault="00C04533" w:rsidP="00C04533">
      <w:pPr>
        <w:pStyle w:val="TextoNormal"/>
      </w:pPr>
      <w:r>
        <w:t>Según se expone en el escrito de recusación, en su condición de secretario de Estado de Justicia, en el período comprendido entre los años 2009 y 2011, tenía bajo su dependencia orgánica a la Abogacía General del Estado-Dirección del Servicio Jurídico del Estado, razón por la cual habría tenido una participación directa o indirecta tanto en la interposición del recurso de inconstitucionalidad núm. 3859-2011, promovido por el presidente del Gobierno contra la Ley de les Corts Valencianes 5/2011, de 1 de abril, de relaciones familiares de los hijos e hijas cuyos progenitores no conviven (que resultó estimado por STC 192/2016, de 16 de noviembre), como en la decisión de no desistir del recurso de inconstitucionalidad núm. 9888-2007, interpuesto por el presidente del Gobierno contra la Ley de les Corts Valencianes 10/2007, de 20 de marzo, de régimen económico matrimonial valenciano (finalmente estimado por STC 82/2016, de 28 de abril), y ello a pesar del pacto político que se habría alcanzado al respecto. Igualmente, se afirma que, en su condición de secretario de Estado de Justicia, formaba parte de la Comisión General de Secretarios de Estado y de Subsecretarios, que conoce de los asuntos que se someten a la aprobación por parte del Consejo de Ministros.</w:t>
      </w:r>
    </w:p>
    <w:p w14:paraId="04CF228B" w14:textId="77777777" w:rsidR="00C04533" w:rsidRDefault="00C04533" w:rsidP="00C04533">
      <w:pPr>
        <w:pStyle w:val="TextoNormal"/>
      </w:pPr>
    </w:p>
    <w:p w14:paraId="52132D77" w14:textId="77777777" w:rsidR="00C04533" w:rsidRDefault="00C04533" w:rsidP="00C04533">
      <w:pPr>
        <w:pStyle w:val="TextoNormal"/>
      </w:pPr>
      <w:r>
        <w:t>Al decir del demandante de amparo, estos hechos determinan la participación del magistrado objeto de la recusación en otros pleitos relacionados con el objeto del presente recurso de amparo, que la parte promotora de este incidente identifica con la “capacidad legislativa civil valenciana”, incurriendo de esta manera en la causa de recusación prevista en el art. 219.13 LOPJ.</w:t>
      </w:r>
    </w:p>
    <w:p w14:paraId="2F1340B6" w14:textId="77777777" w:rsidR="00C04533" w:rsidRDefault="00C04533" w:rsidP="00C04533">
      <w:pPr>
        <w:pStyle w:val="TextoNormal"/>
      </w:pPr>
    </w:p>
    <w:p w14:paraId="3BD74544" w14:textId="77777777" w:rsidR="00C04533" w:rsidRDefault="00C04533" w:rsidP="00C04533">
      <w:pPr>
        <w:pStyle w:val="TextoNormal"/>
      </w:pPr>
      <w:r>
        <w:t>Por otra parte, a juicio del recurrente, en su condición de secretario de Estado de Justicia durante los años 2009 y 2011, y por razones sustancialmente coincidentes con las antes expuestas, el magistrado señor Campo Moreno “ha podido tener conocimiento del objeto del litigio” y “ha podido formar criterio” al respecto, por lo que incurriría en el motivo de recusación previsto en el art. 219.16 LOPJ.</w:t>
      </w:r>
    </w:p>
    <w:p w14:paraId="40C7AE21" w14:textId="77777777" w:rsidR="00C04533" w:rsidRDefault="00C04533" w:rsidP="00C04533">
      <w:pPr>
        <w:pStyle w:val="TextoNormal"/>
      </w:pPr>
    </w:p>
    <w:p w14:paraId="56E617BE" w14:textId="77777777" w:rsidR="00C04533" w:rsidRDefault="00C04533" w:rsidP="00C04533">
      <w:pPr>
        <w:pStyle w:val="TextoNormal"/>
      </w:pPr>
      <w:r>
        <w:t>Por último, también se invoca la causa de recusación prevista en el art. 219.16 LOPJ, en relación con su etapa como ministro de Justicia (años 2020 y 2021), al ser titular del departamento al que correspondía la propuesta y ejecución de la política del Gobierno para el desarrollo del ordenamiento jurídico, en materia de derecho civil.</w:t>
      </w:r>
    </w:p>
    <w:p w14:paraId="625DF6A6" w14:textId="77777777" w:rsidR="00C04533" w:rsidRDefault="00C04533" w:rsidP="00C04533">
      <w:pPr>
        <w:pStyle w:val="TextoNormal"/>
      </w:pPr>
    </w:p>
    <w:p w14:paraId="3039E136" w14:textId="77777777" w:rsidR="00C04533" w:rsidRDefault="00C04533" w:rsidP="00C04533">
      <w:pPr>
        <w:pStyle w:val="TextoNormal"/>
      </w:pPr>
      <w:r>
        <w:t>En este sentido, se afirma en el escrito de recusación que, según una noticia de prensa publicada el 13 de octubre de 2020, el día anterior habría intervenido en una conferencia en la que al ser preguntado por la reivindicación de recuperar el Derecho civil valenciano, en relación con la propuesta de reforma constitucional planteada al Congreso de los Diputados por les Corts Valencianes, habría afirmado que “[n]adie duda de que es un tema importante y se tramitará, pero existe un importante refrendo constitucional sobre la competencia exclusiva del Estado. Creo que es el momento de hablar porque es un asunto que merece reflexión”.</w:t>
      </w:r>
    </w:p>
    <w:p w14:paraId="005466A0" w14:textId="77777777" w:rsidR="00C04533" w:rsidRDefault="00C04533" w:rsidP="00C04533">
      <w:pPr>
        <w:pStyle w:val="TextoNormal"/>
      </w:pPr>
    </w:p>
    <w:p w14:paraId="6B906AFC" w14:textId="370A42E1" w:rsidR="00C04533" w:rsidRDefault="00C04533" w:rsidP="00C04533">
      <w:pPr>
        <w:pStyle w:val="TextoNormal"/>
      </w:pPr>
      <w:r>
        <w:t>A mayor abundamiento, el demandante de amparo apunta como “datos reveladores” que: (i) durante el período en que ostentó el cargo de ministro de Justicia, la propuesta de reforma constitucional planteada por les Corts Valencianes para la recuperación efectiva del Derecho civil valenciano apenas avanzó en su tramitación parlamentaria; (ii) sobre este extremo fue preguntado en la Comisión de Justicia del Senado el 21 de mayo de 2020; y (iii) según una noticia de prensa, se reunió en mayo de 2021 con el entonces alcalde de Valencia, quien le habría manifestado su interés “en la necesidad de recuperar el Derecho civil valenciano en todo su desarrollo”.</w:t>
      </w:r>
    </w:p>
    <w:p w14:paraId="6C5E5E4E" w14:textId="77777777" w:rsidR="00C04533" w:rsidRDefault="00C04533" w:rsidP="00C04533">
      <w:pPr>
        <w:pStyle w:val="TextoNormal"/>
      </w:pPr>
    </w:p>
    <w:p w14:paraId="0007E5D9" w14:textId="4A0965B6" w:rsidR="00C04533" w:rsidRDefault="00C04533" w:rsidP="00C04533">
      <w:pPr>
        <w:pStyle w:val="TextoNormal"/>
      </w:pPr>
      <w:r w:rsidRPr="00C04533">
        <w:rPr>
          <w:rStyle w:val="NumeroAFNegritaCaracter"/>
        </w:rPr>
        <w:t>5</w:t>
      </w:r>
      <w:r>
        <w:t>. Por diligencia de ordenación del secretario de justicia del Pleno de 13 de junio de 2024 se acordó formar pieza separada y designar ponente del incidente de recusación a la magistrada doña Laura Díez Bueso, a la que por turno correspondía.</w:t>
      </w:r>
    </w:p>
    <w:p w14:paraId="59B4C1C9" w14:textId="77777777" w:rsidR="00C04533" w:rsidRDefault="00C04533" w:rsidP="00C04533">
      <w:pPr>
        <w:pStyle w:val="TextoNormal"/>
      </w:pPr>
    </w:p>
    <w:p w14:paraId="58CE96B4" w14:textId="77777777" w:rsidR="00C04533" w:rsidRDefault="00C04533" w:rsidP="00C04533">
      <w:pPr>
        <w:pStyle w:val="TextoNormalNegritaCentrado"/>
        <w:keepNext/>
      </w:pPr>
      <w:r>
        <w:t>II. Fundamentos jurídicos</w:t>
      </w:r>
    </w:p>
    <w:p w14:paraId="3CA8F795" w14:textId="392EF089" w:rsidR="00C04533" w:rsidRDefault="00C04533" w:rsidP="00C04533">
      <w:pPr>
        <w:pStyle w:val="TextoNormalNegritaCentrado"/>
        <w:keepNext/>
      </w:pPr>
    </w:p>
    <w:p w14:paraId="55DD0AFB" w14:textId="77777777" w:rsidR="00C04533" w:rsidRDefault="00C04533" w:rsidP="00C04533">
      <w:pPr>
        <w:pStyle w:val="TextoNormal"/>
      </w:pPr>
      <w:r w:rsidRPr="00C04533">
        <w:rPr>
          <w:rStyle w:val="NumeroAFNegritaCaracter"/>
        </w:rPr>
        <w:t>1</w:t>
      </w:r>
      <w:r>
        <w:t xml:space="preserve">. </w:t>
      </w:r>
      <w:r w:rsidRPr="00C04533">
        <w:rPr>
          <w:i/>
        </w:rPr>
        <w:t>Objeto de la recusación</w:t>
      </w:r>
    </w:p>
    <w:p w14:paraId="0EB901CA" w14:textId="77777777" w:rsidR="00C04533" w:rsidRDefault="00C04533" w:rsidP="00C04533">
      <w:pPr>
        <w:pStyle w:val="TextoNormal"/>
      </w:pPr>
    </w:p>
    <w:p w14:paraId="3FD7BC3D" w14:textId="77777777" w:rsidR="00C04533" w:rsidRDefault="00C04533" w:rsidP="00C04533">
      <w:pPr>
        <w:pStyle w:val="TextoNormal"/>
      </w:pPr>
      <w:r>
        <w:t>En el recurso de amparo núm. 2930-2024 se ha presentado escrito por el demandante de amparo, por el que se promueve la recusación del magistrado de este tribunal y ponente del asunto, don Juan Carlos Campo Moreno.</w:t>
      </w:r>
    </w:p>
    <w:p w14:paraId="604B8F67" w14:textId="77777777" w:rsidR="00C04533" w:rsidRDefault="00C04533" w:rsidP="00C04533">
      <w:pPr>
        <w:pStyle w:val="TextoNormal"/>
      </w:pPr>
    </w:p>
    <w:p w14:paraId="21C82827" w14:textId="414016EB" w:rsidR="00C04533" w:rsidRDefault="00C04533" w:rsidP="00C04533">
      <w:pPr>
        <w:pStyle w:val="TextoNormal"/>
      </w:pPr>
      <w:r>
        <w:t>Tal y como se ha expuesto con mayor detalle en los antecedentes, en el incidente formulado se invocan como causas de recusación las previstas en los apartados decimotercero y decimosexto del art. 219 LOPJ, cuya concurrencia se fundaría en que el magistrado recusado, en su condición de secretario de Estado de Justicia (años 2009 a 2011) y de ministro de Justicia (años 2020 y 2021), habría participado directa o indirectamente en asuntos relacionados con el objeto del presente recurso de amparo y se habría formado un criterio sobre el mismo.</w:t>
      </w:r>
    </w:p>
    <w:p w14:paraId="1272A0E0" w14:textId="77777777" w:rsidR="00C04533" w:rsidRDefault="00C04533" w:rsidP="00C04533">
      <w:pPr>
        <w:pStyle w:val="TextoNormal"/>
      </w:pPr>
    </w:p>
    <w:p w14:paraId="5E46871A" w14:textId="77777777" w:rsidR="00C04533" w:rsidRDefault="00C04533" w:rsidP="00C04533">
      <w:pPr>
        <w:pStyle w:val="TextoNormal"/>
      </w:pPr>
      <w:r w:rsidRPr="00C04533">
        <w:rPr>
          <w:rStyle w:val="NumeroAFNegritaCaracter"/>
        </w:rPr>
        <w:t>2</w:t>
      </w:r>
      <w:r>
        <w:t xml:space="preserve">. </w:t>
      </w:r>
      <w:r w:rsidRPr="00C04533">
        <w:rPr>
          <w:i/>
        </w:rPr>
        <w:t>Consideraciones previas</w:t>
      </w:r>
    </w:p>
    <w:p w14:paraId="3D839954" w14:textId="77777777" w:rsidR="00C04533" w:rsidRDefault="00C04533" w:rsidP="00C04533">
      <w:pPr>
        <w:pStyle w:val="TextoNormal"/>
      </w:pPr>
    </w:p>
    <w:p w14:paraId="6F3F09EF" w14:textId="77777777" w:rsidR="00C04533" w:rsidRDefault="00C04533" w:rsidP="00C04533">
      <w:pPr>
        <w:pStyle w:val="TextoNormal"/>
      </w:pPr>
      <w:r>
        <w:t>De acuerdo con el art. 22 LOTC, los magistrados del Tribunal Constitucional ejercerán su función de acuerdo, entre otros principios, con el de imparcialidad, a cuyo aseguramiento obedecen precisamente las causas de recusación y abstención. No obstante, la Ley Orgánica del Tribunal Constitucional no establece por sí misma las causas de abstención y de recusación de los magistrados de este tribunal, sino que se remite a las que son aplicables a los jueces y magistrados de la jurisdicción ordinaria. En efecto, el art. 80 LOTC se remite, en materia de recusación y abstención, a falta de una regulación expresa, a la Ley Orgánica del Poder Judicial y a la Ley de enjuiciamiento civil. Así pues, las causas de abstención y de recusación de los magistrados del Tribunal Constitucional son, en la actualidad, las enumeradas en el art. 219 LOPJ, debiendo ajustarse su tramitación a las previsiones de los arts. 223 y ss. LOPJ, moduladas en atención a la específica naturaleza y composición de este tribunal (ATC 82/2022, de 11 de mayo, FJ 2).</w:t>
      </w:r>
    </w:p>
    <w:p w14:paraId="4FF38A54" w14:textId="77777777" w:rsidR="00C04533" w:rsidRDefault="00C04533" w:rsidP="00C04533">
      <w:pPr>
        <w:pStyle w:val="TextoNormal"/>
      </w:pPr>
    </w:p>
    <w:p w14:paraId="287A4C62" w14:textId="77777777" w:rsidR="00C04533" w:rsidRDefault="00C04533" w:rsidP="00C04533">
      <w:pPr>
        <w:pStyle w:val="TextoNormal"/>
      </w:pPr>
      <w:r>
        <w:t xml:space="preserve">Debe reseñarse, además, que la recusación formulada contra alguno o algunos de los magistrados integrantes de este tribunal no conlleva, inexcusablemente, la necesidad de proceder a su completa tramitación y resolución, pudiendo producirse su rechazo inicial. Como afirmamos, entre otros, en el ATC 82/2022, FJ 2,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w:t>
      </w:r>
      <w:r w:rsidRPr="00C04533">
        <w:rPr>
          <w:i/>
        </w:rPr>
        <w:t>a limine</w:t>
      </w:r>
      <w:r>
        <w:t xml:space="preserv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 (ATC 383/2006, de 2 de noviembre, FJ 2)».</w:t>
      </w:r>
    </w:p>
    <w:p w14:paraId="4D041AD9" w14:textId="77777777" w:rsidR="00C04533" w:rsidRDefault="00C04533" w:rsidP="00C04533">
      <w:pPr>
        <w:pStyle w:val="TextoNormal"/>
      </w:pPr>
    </w:p>
    <w:p w14:paraId="5561CECC" w14:textId="1CDA9E54" w:rsidR="00C04533" w:rsidRDefault="00C04533" w:rsidP="00C04533">
      <w:pPr>
        <w:pStyle w:val="TextoNormal"/>
      </w:pPr>
      <w:r>
        <w:t>Pues bien, en el presente caso, concurre una causa de inadmisión de la recusación, que afecta al momento de su planteamiento y a la que nos referiremos en el siguiente fundamento.</w:t>
      </w:r>
    </w:p>
    <w:p w14:paraId="29417E5F" w14:textId="77777777" w:rsidR="00C04533" w:rsidRDefault="00C04533" w:rsidP="00C04533">
      <w:pPr>
        <w:pStyle w:val="TextoNormal"/>
      </w:pPr>
    </w:p>
    <w:p w14:paraId="2F0BB5AC" w14:textId="77777777" w:rsidR="00C04533" w:rsidRDefault="00C04533" w:rsidP="00C04533">
      <w:pPr>
        <w:pStyle w:val="TextoNormal"/>
      </w:pPr>
      <w:r w:rsidRPr="00C04533">
        <w:rPr>
          <w:rStyle w:val="NumeroAFNegritaCaracter"/>
        </w:rPr>
        <w:t>3</w:t>
      </w:r>
      <w:r>
        <w:t xml:space="preserve">. </w:t>
      </w:r>
      <w:r w:rsidRPr="00C04533">
        <w:rPr>
          <w:i/>
        </w:rPr>
        <w:t>Extemporaneidad de la recusación: inadmisión</w:t>
      </w:r>
      <w:r>
        <w:t xml:space="preserve"> a limine</w:t>
      </w:r>
    </w:p>
    <w:p w14:paraId="527D0CCA" w14:textId="77777777" w:rsidR="00C04533" w:rsidRDefault="00C04533" w:rsidP="00C04533">
      <w:pPr>
        <w:pStyle w:val="TextoNormal"/>
      </w:pPr>
    </w:p>
    <w:p w14:paraId="6DCDE410" w14:textId="77777777" w:rsidR="00C04533" w:rsidRDefault="00C04533" w:rsidP="00C04533">
      <w:pPr>
        <w:pStyle w:val="TextoNormal"/>
      </w:pPr>
      <w:r>
        <w:t xml:space="preserve">El art. 223.1 LOPJ, de aplicación supletoria en los procesos constitucionales conforme a la remisión efectuada por el art. 80 LOTC, establece: </w:t>
      </w:r>
    </w:p>
    <w:p w14:paraId="08EE696F" w14:textId="77777777" w:rsidR="00C04533" w:rsidRDefault="00C04533" w:rsidP="00C04533">
      <w:pPr>
        <w:pStyle w:val="TextoNormal"/>
      </w:pPr>
    </w:p>
    <w:p w14:paraId="07EADFF9" w14:textId="77777777" w:rsidR="00C04533" w:rsidRDefault="00C04533" w:rsidP="00C04533">
      <w:pPr>
        <w:pStyle w:val="TextoNormal"/>
      </w:pPr>
      <w:r>
        <w:t>“1. La recusación deberá proponerse tan pronto como se tenga conocimiento de la causa en que se funde, pues, en otro caso, no se admitirá a trámite.</w:t>
      </w:r>
    </w:p>
    <w:p w14:paraId="693880B7" w14:textId="77777777" w:rsidR="00C04533" w:rsidRDefault="00C04533" w:rsidP="00C04533">
      <w:pPr>
        <w:pStyle w:val="TextoNormal"/>
      </w:pPr>
    </w:p>
    <w:p w14:paraId="4C0E4F01" w14:textId="77777777" w:rsidR="00C04533" w:rsidRDefault="00C04533" w:rsidP="00C04533">
      <w:pPr>
        <w:pStyle w:val="TextoNormal"/>
      </w:pPr>
      <w:r>
        <w:t>Concretamente, se inadmitirán las recusaciones:</w:t>
      </w:r>
    </w:p>
    <w:p w14:paraId="17DAC6DB" w14:textId="77777777" w:rsidR="00C04533" w:rsidRDefault="00C04533" w:rsidP="00C04533">
      <w:pPr>
        <w:pStyle w:val="TextoNormal"/>
      </w:pPr>
    </w:p>
    <w:p w14:paraId="4E444C11" w14:textId="77777777" w:rsidR="00C04533" w:rsidRDefault="00C04533" w:rsidP="00C04533">
      <w:pPr>
        <w:pStyle w:val="TextoNormal"/>
      </w:pPr>
      <w:r>
        <w:t>1. Cuando no se propongan en el plazo de diez días desde la notificación de la primera resolución por la que se conozca la identidad del juez o magistrado a recusar, si el conocimiento de la concurrencia de la causa de recusación fuese anterior a aquel.</w:t>
      </w:r>
    </w:p>
    <w:p w14:paraId="4ED26A9D" w14:textId="77777777" w:rsidR="00C04533" w:rsidRDefault="00C04533" w:rsidP="00C04533">
      <w:pPr>
        <w:pStyle w:val="TextoNormal"/>
      </w:pPr>
    </w:p>
    <w:p w14:paraId="204906AF" w14:textId="77777777" w:rsidR="00C04533" w:rsidRDefault="00C04533" w:rsidP="00C04533">
      <w:pPr>
        <w:pStyle w:val="TextoNormal"/>
      </w:pPr>
      <w:r>
        <w:t>2. Cuando se propusieren, pendiente ya un proceso, si la causa de recusación se conociese con anterioridad al momento procesal en que la recusación se proponga”.</w:t>
      </w:r>
    </w:p>
    <w:p w14:paraId="003DC432" w14:textId="77777777" w:rsidR="00C04533" w:rsidRDefault="00C04533" w:rsidP="00C04533">
      <w:pPr>
        <w:pStyle w:val="TextoNormal"/>
      </w:pPr>
    </w:p>
    <w:p w14:paraId="75AF44DD" w14:textId="77777777" w:rsidR="00C04533" w:rsidRDefault="00C04533" w:rsidP="00C04533">
      <w:pPr>
        <w:pStyle w:val="TextoNormal"/>
      </w:pPr>
      <w:r>
        <w:t>Sobre esta exigencia de denuncia inmediata de las causas de recusación, la doctrina constitucional ha venido reiterando:</w:t>
      </w:r>
    </w:p>
    <w:p w14:paraId="5847D80F" w14:textId="77777777" w:rsidR="00C04533" w:rsidRDefault="00C04533" w:rsidP="00C04533">
      <w:pPr>
        <w:pStyle w:val="TextoNormal"/>
      </w:pPr>
    </w:p>
    <w:p w14:paraId="62BBBF24" w14:textId="77777777" w:rsidR="00C04533" w:rsidRDefault="00C04533" w:rsidP="00C04533">
      <w:pPr>
        <w:pStyle w:val="TextoNormal"/>
      </w:pPr>
      <w:r>
        <w:t xml:space="preserve">“La exigencia de una actitud proactiva de la parte que propone la recusación está íntimamente vinculada con la necesidad de evitar la posibilidad de utilizar el instrumento de la recusación como un mecanismo intimidatorio que sobrevuele la intervención de un magistrado en la tramitación de un procedimiento, a modo de condicionante de su actuación. Como recordamos en nuestro ATC 180/2013, de 17 de septiembre, FJ 2 f), la regla general plasmada en el primer párrafo del art. 223.1 LOPJ ‘está inspirada en evitar que la posibilidad de recusación de cualquier juez llegue a convertirse en una suerte de amenaza o presión para el juzgador, erigiéndose en un instrumento que la parte pudiera interesar a su conveniencia, </w:t>
      </w:r>
      <w:r w:rsidRPr="00C04533">
        <w:rPr>
          <w:i/>
        </w:rPr>
        <w:t>sine die</w:t>
      </w:r>
      <w:r>
        <w:t>, amparado en la indeterminación —o difícil probanza— del momento de la citada toma de conocimiento’.</w:t>
      </w:r>
    </w:p>
    <w:p w14:paraId="48EF005A" w14:textId="77777777" w:rsidR="00C04533" w:rsidRDefault="00C04533" w:rsidP="00C04533">
      <w:pPr>
        <w:pStyle w:val="TextoNormal"/>
      </w:pPr>
    </w:p>
    <w:p w14:paraId="02596053" w14:textId="77777777" w:rsidR="00C04533" w:rsidRDefault="00C04533" w:rsidP="00C04533">
      <w:pPr>
        <w:pStyle w:val="TextoNormal"/>
      </w:pPr>
      <w:r>
        <w:t>Por otro lado, la doctrina de este tribunal sobre el derecho al juez imparcial reconocido en el art. 24.2 CE parte de la base de que la imparcialidad se presume (por todas, STC 91/2021, de 22 de abril, FJ 5.1.1, y la jurisprudencia del Tribunal Europeo de Derechos Humanos allí citada). Este principio se configura como una garantía para el juez o magistrado frente a recusaciones objetivamente infundadas, pero también para todas las partes implicadas en el proceso. Ninguno de los intervinientes debe verse sometido a una permanente incertidumbre en sus legítimas expectativas sobre la apariencia de imparcialidad de quien ha de resolver su causa. El derecho al juez imparcial debe hacerse valer a través del instrumento de la recusación, pero el resto de las partes debe tener la garantía de que cualquier duda sobre esa imparcialidad ha de ser despejada tan pronto como sea posible, precisamente en garantía de ese derecho, y no en función de una mera estrategia procesal de otra de las partes” [AATC 17/2022, de 25 de enero, FJ 3 b), y 72/2022, de 27 de abril, FJ 2 A)].</w:t>
      </w:r>
    </w:p>
    <w:p w14:paraId="2493117F" w14:textId="77777777" w:rsidR="00C04533" w:rsidRDefault="00C04533" w:rsidP="00C04533">
      <w:pPr>
        <w:pStyle w:val="TextoNormal"/>
      </w:pPr>
    </w:p>
    <w:p w14:paraId="4478FD19" w14:textId="77777777" w:rsidR="00C04533" w:rsidRDefault="00C04533" w:rsidP="00C04533">
      <w:pPr>
        <w:pStyle w:val="TextoNormal"/>
      </w:pPr>
      <w:r>
        <w:t>Tratándose de un recurso de amparo en trámite de admisibilidad, el plazo de diez días a que se refiere el art. 223.1 LOPJ comienza a contarse desde el momento en que el recusante tuvo conocimiento efectivo de la composición de la sección que debe decidir sobre la admisión del recurso de amparo [ATC 31/2024, de 9 de abril, FJ 3 a)].</w:t>
      </w:r>
    </w:p>
    <w:p w14:paraId="418BD584" w14:textId="77777777" w:rsidR="00C04533" w:rsidRDefault="00C04533" w:rsidP="00C04533">
      <w:pPr>
        <w:pStyle w:val="TextoNormal"/>
      </w:pPr>
    </w:p>
    <w:p w14:paraId="634A0ADF" w14:textId="77777777" w:rsidR="00C04533" w:rsidRDefault="00C04533" w:rsidP="00C04533">
      <w:pPr>
        <w:pStyle w:val="TextoNormal"/>
      </w:pPr>
      <w:r>
        <w:t>Como ya hemos sostenido en otras ocasiones, “[c]uando nos encontramos ante recursos de amparo en trámite de admisibilidad, como es el caso que ahora nos ocupa, siendo competente la sección para conocer de ese trámite (</w:t>
      </w:r>
      <w:r w:rsidRPr="00C04533">
        <w:rPr>
          <w:i/>
        </w:rPr>
        <w:t>ex</w:t>
      </w:r>
      <w:r>
        <w:t xml:space="preserve"> art. 50.1 LOTC), el momento determinante para el cómputo del plazo de recusación viene dado por la fecha en que se hace pública la composición de la sección siempre y cuando, con posterioridad a esa fecha, no se produzcan alteraciones en la atribución del conocimiento del asunto a otra sección por cualquiera de las causas previstas en la ley” [AATC 665/2023, de 12 de diciembre, FJ 2, y, en términos sustancialmente idénticos 31/2024, FJ 3 a)].</w:t>
      </w:r>
    </w:p>
    <w:p w14:paraId="6D758C6B" w14:textId="77777777" w:rsidR="00C04533" w:rsidRDefault="00C04533" w:rsidP="00C04533">
      <w:pPr>
        <w:pStyle w:val="TextoNormal"/>
      </w:pPr>
    </w:p>
    <w:p w14:paraId="3DC40BD7" w14:textId="77777777" w:rsidR="00C04533" w:rsidRDefault="00C04533" w:rsidP="00C04533">
      <w:pPr>
        <w:pStyle w:val="TextoNormal"/>
      </w:pPr>
      <w:r>
        <w:t>Pues bien, como ha quedado reflejado en los antecedentes, en el presente caso, por diligencia de ordenación de 26 de abril de 2024, que se tiene por notificada el 29 de abril de 2024, el demandante de amparo, a través de su representación procesal en estos autos, fue requerido para subsanar los defectos formales advertidos en la demanda inicialmente presentada. En dicha resolución se hizo constar no solo que el recurso había correspondido a la Sección Segunda de la Sala Primera del Tribunal Constitucional, sino también la identidad del magistrado ponente, contra el que se promueve el presente incidente de recusación.</w:t>
      </w:r>
    </w:p>
    <w:p w14:paraId="18E01F95" w14:textId="77777777" w:rsidR="00C04533" w:rsidRDefault="00C04533" w:rsidP="00C04533">
      <w:pPr>
        <w:pStyle w:val="TextoNormal"/>
      </w:pPr>
    </w:p>
    <w:p w14:paraId="3EFA2F42" w14:textId="77777777" w:rsidR="00C04533" w:rsidRDefault="00C04533" w:rsidP="00C04533">
      <w:pPr>
        <w:pStyle w:val="TextoNormal"/>
      </w:pPr>
      <w:r>
        <w:t>Por otra parte, como explicamos detalladamente en el ATC 72/2022, FJ 2 B), la composición de las salas y secciones de este tribunal goza de publicidad a través de su publicación en el “Boletín Oficial del Estado”, a fin de asegurar su conocimiento por las partes, sus abogados y procuradores, los letrados defensores de las administraciones públicas y los órganos constitucionales que intervienen en los procesos constitucionales. En este sentido, una vez producida la última renovación del Tribunal Constitucional, por acuerdo de 17 de enero de 2023, del Pleno del Tribunal Constitucional (“BOE” núm. 16, de 19 de enero de 2023) se dispuso la composición de sus salas y secciones. En concreto, el art. 1.3 del referido acuerdo del Pleno establece que “[l]a Sección Segunda, de la Sala Primera, presidida por don Ricardo Enríquez Sancho, estará integrada por don Ricardo Enríquez Sancho y por don Juan Carlos Campo Moreno”. Por esta razón, no puede prosperar la alegación efectuada por el demandante de amparo de que nunca ha recibido notificación alguna en la cual se determine la composición de la sección competente para conocer del recurso de amparo.</w:t>
      </w:r>
    </w:p>
    <w:p w14:paraId="07FE11DD" w14:textId="77777777" w:rsidR="00C04533" w:rsidRDefault="00C04533" w:rsidP="00C04533">
      <w:pPr>
        <w:pStyle w:val="TextoNormal"/>
      </w:pPr>
    </w:p>
    <w:p w14:paraId="0A0103FC" w14:textId="77777777" w:rsidR="00C04533" w:rsidRDefault="00C04533" w:rsidP="00C04533">
      <w:pPr>
        <w:pStyle w:val="TextoNormal"/>
      </w:pPr>
      <w:r>
        <w:t>De lo hasta aquí dicho se desprende que desde el 29 de abril de 2024 el recusante tuvo conocimiento tanto de la identidad del ponente recusado, como el propio recurrente reconoce en el escrito por el que formula la recusación, como de que el asunto había correspondido por turno a la Sección Segunda de la Sala Primera de este tribunal. De esta manera, el plazo de diez días, previsto en el art. 223.1 LOPJ, debe comenzar a contarse a partir de dicha fecha.</w:t>
      </w:r>
    </w:p>
    <w:p w14:paraId="52E99883" w14:textId="77777777" w:rsidR="00C04533" w:rsidRDefault="00C04533" w:rsidP="00C04533">
      <w:pPr>
        <w:pStyle w:val="TextoNormal"/>
      </w:pPr>
    </w:p>
    <w:p w14:paraId="0C02F820" w14:textId="77777777" w:rsidR="00C04533" w:rsidRDefault="00C04533" w:rsidP="00C04533">
      <w:pPr>
        <w:pStyle w:val="TextoNormal"/>
      </w:pPr>
      <w:r>
        <w:t>Por ello, procede apreciar la extemporaneidad de la recusación del magistrado don Juan Carlos Campo Moreno, por cuanto el incidente ha sido planteado el 10 de junio de 2024, esto es, más de un mes después desde la notificación a la representación procesal del recurrente de la primera resolución de este tribunal en la que figuraba que el conocimiento del recurso de amparo había correspondido a la Sección Segunda del Tribunal y, en todo caso, una vez sobrepasado con creces el plazo de diez días legalmente establecido al efecto.</w:t>
      </w:r>
    </w:p>
    <w:p w14:paraId="32142236" w14:textId="77777777" w:rsidR="00C04533" w:rsidRDefault="00C04533" w:rsidP="00C04533">
      <w:pPr>
        <w:pStyle w:val="TextoNormal"/>
      </w:pPr>
    </w:p>
    <w:p w14:paraId="37AD5121" w14:textId="15F9CAD9" w:rsidR="00C04533" w:rsidRDefault="00C04533" w:rsidP="00C04533">
      <w:pPr>
        <w:pStyle w:val="TextoNormal"/>
      </w:pPr>
      <w:r>
        <w:t xml:space="preserve">Por lo demás, frente a lo anterior no puede prosperar la tesis del actor de que el plazo para plantear la recusación deba computarse a partir del 3 de junio de 2024, con ocasión de la publicación de una noticia de prensa, puesto que todos los hechos en los que se funda la recusación son muy anteriores en el tiempo no solo a la interposición del recurso de amparo y a la publicación de la composición de las salas y secciones del Tribunal, sino incluso al nombramiento y la toma de posesión del recusado como magistrado del Tribunal Constitucional [en idéntico sentido, ATC 72/2022, FJ 2) C) b) ii) </w:t>
      </w:r>
      <w:r w:rsidRPr="00C04533">
        <w:rPr>
          <w:i/>
        </w:rPr>
        <w:t>in fine</w:t>
      </w:r>
      <w:r>
        <w:t>]. Además, todos estos hechos gozaban de publicidad y notoriedad, razón por la cual no puede pretender diferirse su conocimiento al día 3 de junio de 2024. Esto puede predicarse respecto del desempeño de los cargos de secretario de Estado de Justicia (entre los años 2009 y 2011) y de ministro de Justicia (entre los años 2020 y 2021) y de las funciones inherentes a los mismos, pues todo ello es y ha sido objeto de publicidad general a través de las correspondientes publicaciones en el “Boletín Oficial del Estado”, aportadas junto con el escrito de recusación. E igualmente puede afirmarse en relación con el resto de los hechos alegados para fundamentar los motivos de recusación, pues todos ellos estaban reflejados tanto en las noticias de prensa como en los diarios de sesiones del Congreso de los Diputados, del Senado y de les Corts Valencianes, también acompañados junto con el escrito de recusación y que habían sido objeto de publicación en todos los casos mucho tiempo antes de la interposición del recurso de amparo.</w:t>
      </w:r>
    </w:p>
    <w:p w14:paraId="1647CA23" w14:textId="77777777" w:rsidR="00C04533" w:rsidRDefault="00C04533" w:rsidP="00C04533">
      <w:pPr>
        <w:pStyle w:val="TextoNormal"/>
      </w:pPr>
    </w:p>
    <w:p w14:paraId="18C9503F" w14:textId="77777777" w:rsidR="00C04533" w:rsidRDefault="00C04533" w:rsidP="00C04533">
      <w:pPr>
        <w:pStyle w:val="TextoNormal"/>
      </w:pPr>
      <w:r>
        <w:t>Por lo expuesto, el Pleno</w:t>
      </w:r>
    </w:p>
    <w:p w14:paraId="4E8ED2C6" w14:textId="5838DED4" w:rsidR="00C04533" w:rsidRDefault="00C04533" w:rsidP="00C04533">
      <w:pPr>
        <w:pStyle w:val="TextoNormal"/>
      </w:pPr>
    </w:p>
    <w:p w14:paraId="00D21951" w14:textId="77777777" w:rsidR="00C04533" w:rsidRDefault="00C04533" w:rsidP="00C04533">
      <w:pPr>
        <w:pStyle w:val="TextoNormalCentrado"/>
      </w:pPr>
      <w:r>
        <w:t>ACUERDA</w:t>
      </w:r>
    </w:p>
    <w:p w14:paraId="57BC6273" w14:textId="7119AB6B" w:rsidR="00C04533" w:rsidRDefault="00C04533" w:rsidP="00C04533">
      <w:pPr>
        <w:pStyle w:val="TextoNormalCentrado"/>
      </w:pPr>
    </w:p>
    <w:p w14:paraId="1C72CC13" w14:textId="7B0BB2F1" w:rsidR="00C04533" w:rsidRDefault="00C04533" w:rsidP="00C04533">
      <w:pPr>
        <w:pStyle w:val="TextoNormal"/>
      </w:pPr>
      <w:r>
        <w:t>Inadmitir la recusación promovida en el recurso de amparo núm. 2930-2024.</w:t>
      </w:r>
    </w:p>
    <w:p w14:paraId="4F72B0B1" w14:textId="77777777" w:rsidR="00C04533" w:rsidRDefault="00C04533" w:rsidP="00C04533">
      <w:pPr>
        <w:pStyle w:val="TextoNormal"/>
      </w:pPr>
    </w:p>
    <w:p w14:paraId="403BD6BD" w14:textId="77777777" w:rsidR="00C04533" w:rsidRDefault="00C04533" w:rsidP="00C04533">
      <w:pPr>
        <w:pStyle w:val="TextoNormal"/>
      </w:pPr>
      <w:r>
        <w:t>Madrid, a dos de julio de dos mil veinticuatro.</w:t>
      </w:r>
    </w:p>
    <w:p w14:paraId="58B62347" w14:textId="5E74475D" w:rsidR="00C04533" w:rsidRDefault="00C04533">
      <w:pPr>
        <w:spacing w:after="160" w:line="278" w:lineRule="auto"/>
        <w:rPr>
          <w:rFonts w:ascii="Times New Roman" w:eastAsia="Times New Roman" w:hAnsi="Times New Roman" w:cs="Times New Roman"/>
          <w:sz w:val="24"/>
          <w:szCs w:val="24"/>
          <w:lang w:eastAsia="es-ES"/>
        </w:rPr>
      </w:pPr>
      <w:r>
        <w:br w:type="page"/>
      </w:r>
    </w:p>
    <w:p w14:paraId="299D2575" w14:textId="77777777" w:rsidR="00C04533" w:rsidRDefault="00C04533" w:rsidP="00C04533">
      <w:pPr>
        <w:pStyle w:val="TtuloResolucin"/>
      </w:pPr>
      <w:bookmarkStart w:id="75" w:name="AUTO_2024_69"/>
      <w:r>
        <w:t>AUTO 69/2024, de 10 de julio de 2024</w:t>
      </w:r>
    </w:p>
    <w:bookmarkEnd w:id="75"/>
    <w:p w14:paraId="06055B79" w14:textId="77777777" w:rsidR="00C04533" w:rsidRDefault="00C04533" w:rsidP="00C04533">
      <w:pPr>
        <w:pStyle w:val="TtuloResolucin"/>
      </w:pPr>
      <w:r>
        <w:t>Sección Primera</w:t>
      </w:r>
    </w:p>
    <w:p w14:paraId="5E80DE7C" w14:textId="77777777" w:rsidR="00C04533" w:rsidRDefault="00C04533" w:rsidP="00C04533">
      <w:pPr>
        <w:pStyle w:val="TextoNormalCentrado"/>
      </w:pPr>
      <w:r>
        <w:t>ECLI:ES:TC:2024:69A</w:t>
      </w:r>
    </w:p>
    <w:p w14:paraId="1F3DA660" w14:textId="1B24669A" w:rsidR="00C04533" w:rsidRDefault="00C04533" w:rsidP="00C04533">
      <w:pPr>
        <w:pStyle w:val="TextoNormalCentrado"/>
      </w:pPr>
    </w:p>
    <w:p w14:paraId="31BA727C" w14:textId="77777777" w:rsidR="00C04533" w:rsidRDefault="00C04533" w:rsidP="00C04533">
      <w:pPr>
        <w:pStyle w:val="SntesisDescriptiva"/>
      </w:pPr>
      <w:r>
        <w:t>Excms. Srs. don Cándido Conde-Pumpido Tourón, doña Concepción Espejel Jorquera y doña María Luisa Segoviano Astaburuaga.</w:t>
      </w:r>
    </w:p>
    <w:p w14:paraId="42E6CB85" w14:textId="2B1A79AC" w:rsidR="00C04533" w:rsidRDefault="00C04533" w:rsidP="00C04533">
      <w:pPr>
        <w:pStyle w:val="SntesisDescriptiva"/>
      </w:pPr>
    </w:p>
    <w:p w14:paraId="47CD0587" w14:textId="77777777" w:rsidR="00C04533" w:rsidRDefault="00C04533" w:rsidP="00C04533">
      <w:pPr>
        <w:pStyle w:val="SntesisDescriptiva"/>
      </w:pPr>
      <w:r>
        <w:t>Desestima el recurso de súplica interpuesto por el Ministerio Fiscal en relación con la providencia de inadmisión del recurso de amparo 7205-2021, promovido por don David Suárez Puente en causa penal.</w:t>
      </w:r>
    </w:p>
    <w:p w14:paraId="5D7569E0" w14:textId="7C6B9F59" w:rsidR="00C04533" w:rsidRDefault="00C04533" w:rsidP="00C04533">
      <w:pPr>
        <w:pStyle w:val="SntesisDescriptiva"/>
      </w:pPr>
    </w:p>
    <w:p w14:paraId="587E4DA2" w14:textId="77777777" w:rsidR="00C04533" w:rsidRDefault="00C04533" w:rsidP="00C04533">
      <w:pPr>
        <w:pStyle w:val="SntesisDescriptiva"/>
      </w:pPr>
    </w:p>
    <w:p w14:paraId="27EBA707" w14:textId="77777777" w:rsidR="00C04533" w:rsidRDefault="00C04533" w:rsidP="00C04533">
      <w:pPr>
        <w:pStyle w:val="SntesisDescriptiva"/>
      </w:pPr>
    </w:p>
    <w:p w14:paraId="65641237" w14:textId="77777777" w:rsidR="00C04533" w:rsidRDefault="00C04533" w:rsidP="00C04533">
      <w:pPr>
        <w:pStyle w:val="TextoNormalNegritaCentrado"/>
      </w:pPr>
      <w:r>
        <w:t>AUTO</w:t>
      </w:r>
    </w:p>
    <w:p w14:paraId="51893DD1" w14:textId="191568D9" w:rsidR="00C04533" w:rsidRDefault="00C04533" w:rsidP="00C04533">
      <w:pPr>
        <w:pStyle w:val="TextoNormalNegritaCentrado"/>
      </w:pPr>
    </w:p>
    <w:p w14:paraId="468AEEB6" w14:textId="77777777" w:rsidR="00C04533" w:rsidRDefault="00C04533" w:rsidP="00C04533">
      <w:pPr>
        <w:pStyle w:val="TextoNormalNegritaCentrado"/>
        <w:keepNext/>
      </w:pPr>
      <w:r>
        <w:t>I. Antecedentes</w:t>
      </w:r>
    </w:p>
    <w:p w14:paraId="6CA16975" w14:textId="075798BB" w:rsidR="00C04533" w:rsidRDefault="00C04533" w:rsidP="00C04533">
      <w:pPr>
        <w:pStyle w:val="TextoNormalNegritaCentrado"/>
        <w:keepNext/>
      </w:pPr>
    </w:p>
    <w:p w14:paraId="69E65B22" w14:textId="10E9558E" w:rsidR="00C04533" w:rsidRDefault="00C04533" w:rsidP="00C04533">
      <w:pPr>
        <w:pStyle w:val="TextoNormal"/>
      </w:pPr>
      <w:r w:rsidRPr="00C04533">
        <w:rPr>
          <w:rStyle w:val="NumeroAFNegritaCaracter"/>
        </w:rPr>
        <w:t>1</w:t>
      </w:r>
      <w:r>
        <w:t>. Mediante escrito registrado en este tribunal el 15 de noviembre de 2021, don David Suárez Puente, representado por la procuradora de los tribunales doña Gema Fernández-Blanco San Miguel, con la asistencia de la letrada doña Raquel Asensio Calvo, interpuso recurso de amparo contra el auto de 24 de septiembre de 2021, de la Sección Segunda de la Audiencia Provincial de Ourense, que desestimó el incidente de nulidad de actuaciones planteado frente a la sentencia de 23 de abril de 2021, del mismo órgano judicial, que desestimó el recurso de apelación interpuesto frente a la sentencia de 16 de octubre de 2020, del Juzgado de lo Penal núm. 2 de Ourense que, con la conformidad del recurrente y su letrado, le condenó tras declararle autor de dos delitos consumados de robo con violencia e intimidación en local abierto al público, con instrumento peligroso [arts. 242.1, 2 y 3 del Código penal (CP)], apreciando en ambas infracciones la circunstancia agravante de reincidencia (art. 22.8 CP) y la atenuante analógica de anomalía psíquica (art. 21.7 en relación con los arts. 21.1 y 20.1 CP). Por cada uno de los dos delitos le fue impuesta la pena de prisión de cuatro años, tres meses y un día, con inhabilitación especial para el derecho de sufragio pasivo durante el tiempo de la condena, con la responsabilidad civil correspondiente.</w:t>
      </w:r>
    </w:p>
    <w:p w14:paraId="7A27C641" w14:textId="77777777" w:rsidR="00C04533" w:rsidRDefault="00C04533" w:rsidP="00C04533">
      <w:pPr>
        <w:pStyle w:val="TextoNormal"/>
      </w:pPr>
    </w:p>
    <w:p w14:paraId="02248A95" w14:textId="77777777" w:rsidR="00C04533" w:rsidRDefault="00C04533" w:rsidP="00C04533">
      <w:pPr>
        <w:pStyle w:val="TextoNormal"/>
      </w:pPr>
      <w:r w:rsidRPr="00C04533">
        <w:rPr>
          <w:rStyle w:val="NumeroAFNegritaCaracter"/>
        </w:rPr>
        <w:t>2</w:t>
      </w:r>
      <w:r>
        <w:t>. En la demanda de amparo se aduce la vulneración del derecho a la tutela judicial efectiva sin indefensión y a la igualdad en la aplicación de la ley (arts. 24.1 y 14 CE) que se anuda en ambos casos a “la falta de adopción de garantías adicionales y ajustes de procedimiento necesarios en el proceso penal en que participó [el recurrente], como persona con discapacidad”, con el fin de que pudiera prestar su conformidad con la acusación y para la celebración de la vista oral de forma telemática mediante videoconferencia.</w:t>
      </w:r>
    </w:p>
    <w:p w14:paraId="4A45DC4A" w14:textId="77777777" w:rsidR="00C04533" w:rsidRDefault="00C04533" w:rsidP="00C04533">
      <w:pPr>
        <w:pStyle w:val="TextoNormal"/>
      </w:pPr>
    </w:p>
    <w:p w14:paraId="01A9D146" w14:textId="77777777" w:rsidR="00C04533" w:rsidRDefault="00C04533" w:rsidP="00C04533">
      <w:pPr>
        <w:pStyle w:val="TextoNormal"/>
      </w:pPr>
      <w:r>
        <w:t>a) En la demanda se afirma que, cuando fue sometido a juicio, el recurrente se encontraba diagnosticado de discapacidad intelectual leve que se manifestaba en las áreas relacionadas con la comprensión y expresión verbal, por lo que presentaba dificultades para entender la información recibida y actuar conforme a ella. Se alega que dichas dificultades de comprensión repercutieron sobre su capacidad de prestar conformidad a la pretensión acusatoria, debido al hecho de que la previa relación con su abogado y el juicio oral se habían realizado por medio de videoconferencia: tanto los hechos enjuiciados, como la iniciación, tramitación del proceso y el juicio oral en primera instancia se desarrollaron entre marzo y octubre de 2020, bajo las limitaciones del derecho de circulación dirigidas a prevenir la difusión generalizada de la covid-19.</w:t>
      </w:r>
    </w:p>
    <w:p w14:paraId="7DBA9D58" w14:textId="77777777" w:rsidR="00C04533" w:rsidRDefault="00C04533" w:rsidP="00C04533">
      <w:pPr>
        <w:pStyle w:val="TextoNormal"/>
      </w:pPr>
    </w:p>
    <w:p w14:paraId="7B2C2355" w14:textId="77777777" w:rsidR="00C04533" w:rsidRDefault="00C04533" w:rsidP="00C04533">
      <w:pPr>
        <w:pStyle w:val="TextoNormal"/>
      </w:pPr>
      <w:r>
        <w:t>El recurso de amparo se articula alrededor de cuatro motivos. En los tres primeros se denuncia la vulneración del articulo 24.1 y 2 CE: (i) por la falta de adopción de garantías adicionales y ajustes de procedimiento en el proceso penal en que participó el interesado, como persona con discapacidad, especialmente para que pudiera prestar su conformidad con la acusación y para la celebración de la vista oral mediante la utilización del sistema de videoconferencia, generándole todo ello indefensión (motivo primero); (ii) por la falta de adopción de garantías adicionales a la hora de acordar y celebrar la vista oral y el acto de conformidad con el que esta culminó a través del sistema de videoconferencia, sin garantizar su participación efectiva en el proceso y generándole por ello indefensión (motivo segundo); (iii) por la falta de adopción de medidas para asegurar el derecho del demandante a una defensa efectiva y a una asistencia letrada con las garantías necesarias por motivo de su discapacidad, así como por la falta de actividad del juzgador al no velar por la efectividad de la defensa del turno de oficio (motivo tercero); y de forma separada se alega (iv) la vulneración del artículo 14 CE (derecho a la igualdad y a la no discriminación) debido a la falta de adopción de ajustes procedimentales que le permitieran el acceso a la justicia en condiciones de igualdad.</w:t>
      </w:r>
    </w:p>
    <w:p w14:paraId="2C3E4F3D" w14:textId="77777777" w:rsidR="00C04533" w:rsidRDefault="00C04533" w:rsidP="00C04533">
      <w:pPr>
        <w:pStyle w:val="TextoNormal"/>
      </w:pPr>
    </w:p>
    <w:p w14:paraId="0C936FDF" w14:textId="77777777" w:rsidR="00C04533" w:rsidRDefault="00C04533" w:rsidP="00C04533">
      <w:pPr>
        <w:pStyle w:val="TextoNormal"/>
      </w:pPr>
      <w:r>
        <w:t>b) El relato de hechos probados que es presupuesto de la condena penal del recurrente es el siguiente:</w:t>
      </w:r>
    </w:p>
    <w:p w14:paraId="5BF8865E" w14:textId="77777777" w:rsidR="00C04533" w:rsidRDefault="00C04533" w:rsidP="00C04533">
      <w:pPr>
        <w:pStyle w:val="TextoNormal"/>
      </w:pPr>
    </w:p>
    <w:p w14:paraId="19B05EC8" w14:textId="77777777" w:rsidR="00C04533" w:rsidRDefault="00C04533" w:rsidP="00C04533">
      <w:pPr>
        <w:pStyle w:val="TextoNormal"/>
      </w:pPr>
      <w:r>
        <w:t>“Por conformidad se declara probado que David Suárez Puente mayor de edad nacido el 25 de junio de 1970, con DNI 10871508Y, y con antecedentes computables al haber sido condenado por sentencia firme de fecha 21 de diciembre de 2015 por el Juzgado de lo Penal núm. 3 de Gijón, en la causa núm. 333-2015, por un delito de robo con violencia o intimidación a la pena de cuatro años de prisión, a pesar de lo cual el día 31 de marzo de 2020, sobre las 19:30 horas, se dirigió con ánimo de beneficio ilícito hasta el establecimiento Alegría sito en la calle Curros Enríquez núm. 34 de la ciudad de Ourense, donde tras colocar un cuchillo de cocina encima del mostrador se dirigió a la dependienta del local, al tiempo que le decía ‘dame el dinero de la caja solo billetes’, petición ante la cual la victima atemorizada procedió [a] hacer entrega al mismo de cincuenta euros, abandonando luego el local.</w:t>
      </w:r>
    </w:p>
    <w:p w14:paraId="54A6553E" w14:textId="77777777" w:rsidR="00C04533" w:rsidRDefault="00C04533" w:rsidP="00C04533">
      <w:pPr>
        <w:pStyle w:val="TextoNormal"/>
      </w:pPr>
    </w:p>
    <w:p w14:paraId="513BD5D0" w14:textId="6F0DAA49" w:rsidR="00C04533" w:rsidRDefault="00C04533" w:rsidP="00C04533">
      <w:pPr>
        <w:pStyle w:val="TextoNormal"/>
      </w:pPr>
      <w:r>
        <w:t>Tras los hechos descritos, al día siguiente 1 de abril de 2020, sobre las 15:36 horas, se dirigió con igual propósito hasta el mismo local, donde tras colocar un cuchillo de cocina de nuevo encima del mostrador, se dirigió a la dependienta al tiempo que le dijo ‘vengo a que me des el dinero que tienes en la caja, solo billetes’, petición ante la cual la víctima atemorizada procedió a hacer entrega al mismo de treinta y cinco euros, abandonando de nuevo el local. Indicar [</w:t>
      </w:r>
      <w:r w:rsidRPr="00C04533">
        <w:rPr>
          <w:i/>
        </w:rPr>
        <w:t>sic</w:t>
      </w:r>
      <w:r>
        <w:t>] que el cuchillo ocupado al acusado el mismo día 1 de abril, era un cuchillo de mango de madera con una hoja de diez centímetros”.</w:t>
      </w:r>
    </w:p>
    <w:p w14:paraId="1EA315C9" w14:textId="77777777" w:rsidR="00C04533" w:rsidRDefault="00C04533" w:rsidP="00C04533">
      <w:pPr>
        <w:pStyle w:val="TextoNormal"/>
      </w:pPr>
    </w:p>
    <w:p w14:paraId="78AAEFA9" w14:textId="1C8F807A" w:rsidR="00C04533" w:rsidRDefault="00C04533" w:rsidP="00C04533">
      <w:pPr>
        <w:pStyle w:val="TextoNormal"/>
      </w:pPr>
      <w:r w:rsidRPr="00C04533">
        <w:rPr>
          <w:rStyle w:val="NumeroAFNegritaCaracter"/>
        </w:rPr>
        <w:t>3</w:t>
      </w:r>
      <w:r>
        <w:t>. La demanda de amparo justifica la especial trascendencia constitucional de la pretensión de amparo señalando que no existe normativa legal ni doctrina constitucional alguna sobre la situación de hecho planteada en este caso, esto es, sobre la forma de desarrollar un juicio oral por videoconferencia en el supuesto de que se alegue la discapacidad intelectual del acusado, a fin de garantizar debidamente la efectividad del derecho de defensa y las garantías de un juicio justo en los supuestos en que la defensa sea designada de oficio. Iguales déficits detecta el recurrente en cuanto a la prestación de conformidad frente a una acusación que incluye penas privativas de libertad. En tal medida, considera que el recurso de amparo plantea cuestiones jurídicas relevantes y de general repercusión social ya que afectan a un colectivo social muy numeroso, como es el de las personas con discapacidad intelectual y de desarrollo personal.</w:t>
      </w:r>
    </w:p>
    <w:p w14:paraId="6C6FB790" w14:textId="77777777" w:rsidR="00C04533" w:rsidRDefault="00C04533" w:rsidP="00C04533">
      <w:pPr>
        <w:pStyle w:val="TextoNormal"/>
      </w:pPr>
    </w:p>
    <w:p w14:paraId="3F436F15" w14:textId="15D8B554" w:rsidR="00C04533" w:rsidRDefault="00C04533" w:rsidP="00C04533">
      <w:pPr>
        <w:pStyle w:val="TextoNormal"/>
      </w:pPr>
      <w:r w:rsidRPr="00C04533">
        <w:rPr>
          <w:rStyle w:val="NumeroAFNegritaCaracter"/>
        </w:rPr>
        <w:t>4</w:t>
      </w:r>
      <w:r>
        <w:t>. La Sección Tercera del Tribunal, mediante providencia de fecha 10 de mayo de 2022, acordó por unanimidad no admitir a trámite el recurso de amparo “por no apreciar en el mismo la especial trascendencia constitucional que, como condición para su admisión, requiere el art. 50.1 b) de la Ley Orgánica del Tribunal Constitucional (STC 155/2009, de 25 de junio FJ 2)”.</w:t>
      </w:r>
    </w:p>
    <w:p w14:paraId="662A4AFC" w14:textId="77777777" w:rsidR="00C04533" w:rsidRDefault="00C04533" w:rsidP="00C04533">
      <w:pPr>
        <w:pStyle w:val="TextoNormal"/>
      </w:pPr>
    </w:p>
    <w:p w14:paraId="0CA11485" w14:textId="77777777" w:rsidR="00C04533" w:rsidRDefault="00C04533" w:rsidP="00C04533">
      <w:pPr>
        <w:pStyle w:val="TextoNormal"/>
      </w:pPr>
      <w:r w:rsidRPr="00C04533">
        <w:rPr>
          <w:rStyle w:val="NumeroAFNegritaCaracter"/>
        </w:rPr>
        <w:t>5</w:t>
      </w:r>
      <w:r>
        <w:t>. El Ministerio Fiscal, por escrito registrado el 26 de mayo de 2022, interpuso recurso de súplica contra dicha providencia, solicitando a este tribunal que reconsiderase el criterio que había justificado la decisión de inadmisión a trámite, la dejara sin efecto y apreciase la especial trascendencia constitucional de la cuestión planteada que, en su opinión, consiste en determinar si, dadas las dificultades de comprensión y expresión verbal que el recurrente presentaba —y sigue presentando—, que hacen que precise de apoyo para lograr comunicarse con los demás de una forma apropiada, y dado que se celebró mediante el sistema de videoconferencia el acto del juicio oral en el que la conformidad fue solicitada por su letrado y aceptada por el recurrente, puede afirmarse que su consentimiento con la petición de condena del Ministerio Fiscal no fue emitido con plena conciencia de su alcance y trascendencia, así como de las consecuencias que se derivarían para él.</w:t>
      </w:r>
    </w:p>
    <w:p w14:paraId="114AC15C" w14:textId="77777777" w:rsidR="00C04533" w:rsidRDefault="00C04533" w:rsidP="00C04533">
      <w:pPr>
        <w:pStyle w:val="TextoNormal"/>
      </w:pPr>
    </w:p>
    <w:p w14:paraId="271B59B2" w14:textId="3F358EC6" w:rsidR="00C04533" w:rsidRDefault="00C04533" w:rsidP="00C04533">
      <w:pPr>
        <w:pStyle w:val="TextoNormal"/>
      </w:pPr>
      <w:r>
        <w:t>Para el fiscal la cuestión suscitada por la representación procesal de don David Suárez Puente presenta especial trascendencia constitucional, en cuanto permitiría a este Tribunal Constitucional perfilar aún más el haz de garantías que corresponden al investigado o al acusado en el seno del procedimiento penal en los casos en que padezca algún tipo de limitación intelectual y, especialmente, a la hora de prestar su conformidad con la acusación o las acusaciones formuladas en su contra.</w:t>
      </w:r>
    </w:p>
    <w:p w14:paraId="63C7A28F" w14:textId="77777777" w:rsidR="00C04533" w:rsidRDefault="00C04533" w:rsidP="00C04533">
      <w:pPr>
        <w:pStyle w:val="TextoNormal"/>
      </w:pPr>
    </w:p>
    <w:p w14:paraId="34BFD68D" w14:textId="77777777" w:rsidR="00C04533" w:rsidRDefault="00C04533" w:rsidP="00C04533">
      <w:pPr>
        <w:pStyle w:val="TextoNormal"/>
      </w:pPr>
      <w:r w:rsidRPr="00C04533">
        <w:rPr>
          <w:rStyle w:val="NumeroAFNegritaCaracter"/>
        </w:rPr>
        <w:t>6</w:t>
      </w:r>
      <w:r>
        <w:t>. La Secretaría de Justicia, por diligencia de ordenación de 27 de mayo de 2022, acordó dar traslado del recurso de súplica al demandante para alegaciones, quien por escrito registrado el 3 de junio de 2022, se adhirió a los argumentos esgrimidos y las peticiones contenidas en dicho recurso.</w:t>
      </w:r>
    </w:p>
    <w:p w14:paraId="33C2B4F7" w14:textId="77777777" w:rsidR="00C04533" w:rsidRDefault="00C04533" w:rsidP="00C04533">
      <w:pPr>
        <w:pStyle w:val="TextoNormal"/>
      </w:pPr>
    </w:p>
    <w:p w14:paraId="2875120B" w14:textId="0F954973" w:rsidR="00C04533" w:rsidRDefault="00C04533" w:rsidP="00C04533">
      <w:pPr>
        <w:pStyle w:val="TextoNormal"/>
      </w:pPr>
      <w:r>
        <w:t>En virtud del acuerdo adoptado por el Pleno del Tribunal Constitucional el día l7 de enero de 2023, publicado en el “Boletín Oficial del Estado” del día 19 siguiente, el presente recurso de amparo ha sido turnado a la Sección Primera de la Sala Primera del Tribunal Constitucional.</w:t>
      </w:r>
    </w:p>
    <w:p w14:paraId="52A53B1A" w14:textId="77777777" w:rsidR="00C04533" w:rsidRDefault="00C04533" w:rsidP="00C04533">
      <w:pPr>
        <w:pStyle w:val="TextoNormal"/>
      </w:pPr>
    </w:p>
    <w:p w14:paraId="36D780E3" w14:textId="77777777" w:rsidR="00C04533" w:rsidRDefault="00C04533" w:rsidP="00C04533">
      <w:pPr>
        <w:pStyle w:val="TextoNormalNegritaCentrado"/>
        <w:keepNext/>
      </w:pPr>
      <w:r>
        <w:t>II. Fundamentos jurídicos</w:t>
      </w:r>
    </w:p>
    <w:p w14:paraId="5141BEA8" w14:textId="623C1AA8" w:rsidR="00C04533" w:rsidRDefault="00C04533" w:rsidP="00C04533">
      <w:pPr>
        <w:pStyle w:val="TextoNormalNegritaCentrado"/>
        <w:keepNext/>
      </w:pPr>
    </w:p>
    <w:p w14:paraId="0A9A568E" w14:textId="77777777" w:rsidR="00C04533" w:rsidRDefault="00C04533" w:rsidP="00C04533">
      <w:pPr>
        <w:pStyle w:val="TextoNormal"/>
      </w:pPr>
      <w:r w:rsidRPr="00C04533">
        <w:rPr>
          <w:rStyle w:val="NumeroAFNegritaCaracter"/>
        </w:rPr>
        <w:t>1</w:t>
      </w:r>
      <w:r>
        <w:t xml:space="preserve">. </w:t>
      </w:r>
      <w:r w:rsidRPr="00C04533">
        <w:rPr>
          <w:i/>
        </w:rPr>
        <w:t>Recurso de súplica del Ministerio Fiscal y posición del demandante</w:t>
      </w:r>
    </w:p>
    <w:p w14:paraId="6EE4FD09" w14:textId="77777777" w:rsidR="00C04533" w:rsidRDefault="00C04533" w:rsidP="00C04533">
      <w:pPr>
        <w:pStyle w:val="TextoNormal"/>
      </w:pPr>
    </w:p>
    <w:p w14:paraId="28B68567" w14:textId="77777777" w:rsidR="00C04533" w:rsidRDefault="00C04533" w:rsidP="00C04533">
      <w:pPr>
        <w:pStyle w:val="TextoNormal"/>
      </w:pPr>
      <w:r>
        <w:t>Como con más detalle ha quedado expuesto en los antecedentes, es objeto del presente recurso de súplica la providencia de fecha 10 de mayo de 2022 por la que la Sección acordó, por unanimidad, no admitir a trámite el recurso de amparo presentado “por no apreciar en el mismo la especial trascendencia constitucional que, como condición para su admisión, requiere el art. 50.1 b) LOTC (STC 155/2009, de 25 de junio FJ 2)”.</w:t>
      </w:r>
    </w:p>
    <w:p w14:paraId="1590D73E" w14:textId="77777777" w:rsidR="00C04533" w:rsidRDefault="00C04533" w:rsidP="00C04533">
      <w:pPr>
        <w:pStyle w:val="TextoNormal"/>
      </w:pPr>
    </w:p>
    <w:p w14:paraId="5079BA3D" w14:textId="1BB56EC3" w:rsidR="00C04533" w:rsidRDefault="00C04533" w:rsidP="00C04533">
      <w:pPr>
        <w:pStyle w:val="TextoNormal"/>
      </w:pPr>
      <w:r>
        <w:t>El fiscal ante el Tribunal Constitucional impugna en súplica la decisión de inadmisión adoptada al entender que la cuestión que se suscita en el recurso de amparo permitiría al Tribunal perfilar el haz de garantías que corresponden al investigado o acusado en el seno de un procedimiento penal en los casos en que padezca algún tipo de limitación intelectual y, especialmente, a la hora de prestar su conformidad con la acusación o las acusaciones formuladas en su contra. El recurrente coincide plenamente con el Ministerio Fiscal en esta apreciación.</w:t>
      </w:r>
    </w:p>
    <w:p w14:paraId="78022F39" w14:textId="77777777" w:rsidR="00C04533" w:rsidRDefault="00C04533" w:rsidP="00C04533">
      <w:pPr>
        <w:pStyle w:val="TextoNormal"/>
      </w:pPr>
    </w:p>
    <w:p w14:paraId="7876B315" w14:textId="77777777" w:rsidR="00C04533" w:rsidRDefault="00C04533" w:rsidP="00C04533">
      <w:pPr>
        <w:pStyle w:val="TextoNormal"/>
      </w:pPr>
      <w:r w:rsidRPr="00C04533">
        <w:rPr>
          <w:rStyle w:val="NumeroAFNegritaCaracter"/>
        </w:rPr>
        <w:t>2</w:t>
      </w:r>
      <w:r>
        <w:t xml:space="preserve">. </w:t>
      </w:r>
      <w:r w:rsidRPr="00C04533">
        <w:rPr>
          <w:i/>
        </w:rPr>
        <w:t>Precedentes en la doctrina constitucional sobre la cuestión planteada en el recurso de amparo</w:t>
      </w:r>
    </w:p>
    <w:p w14:paraId="1AA81021" w14:textId="77777777" w:rsidR="00C04533" w:rsidRDefault="00C04533" w:rsidP="00C04533">
      <w:pPr>
        <w:pStyle w:val="TextoNormal"/>
      </w:pPr>
    </w:p>
    <w:p w14:paraId="08FF1B14" w14:textId="77777777" w:rsidR="00C04533" w:rsidRDefault="00C04533" w:rsidP="00C04533">
      <w:pPr>
        <w:pStyle w:val="TextoNormal"/>
      </w:pPr>
      <w:r>
        <w:t>En tanto se postula en el recurso de súplica apreciar la especial trascendencia constitucional de la cuestión planteada en la demanda de amparo, en cuanto permitiría a este tribunal perfilar su doctrina sobre la efectividad del derecho de defensa del acusado cuando se alegan circunstancias que cuestionan su capacidad para participar directa e indirectamente en los procedimientos judiciales, debemos destacar, ya inicialmente, que la cuestión que se plantea en este caso no es ajena a la doctrina constitucional preexistente. Dicho de otra manera, no constituye una faceta nueva del derecho de defensa asociado a situaciones de discapacidad mental, por más que se trate de una situación de hecho y procesal distinta a las ya analizadas en cuanto conecta, esta vez, con la prestación de anuencia por parte del acusado a la conformidad procesal ofrecida por su defensa letrada en el juicio oral.</w:t>
      </w:r>
    </w:p>
    <w:p w14:paraId="4E875E96" w14:textId="77777777" w:rsidR="00C04533" w:rsidRDefault="00C04533" w:rsidP="00C04533">
      <w:pPr>
        <w:pStyle w:val="TextoNormal"/>
      </w:pPr>
    </w:p>
    <w:p w14:paraId="333AF834" w14:textId="77777777" w:rsidR="00C04533" w:rsidRDefault="00C04533" w:rsidP="00C04533">
      <w:pPr>
        <w:pStyle w:val="TextoNormal"/>
      </w:pPr>
      <w:r>
        <w:t>Resulta indudable, y así lo ha reiterado este tribunal en su jurisprudencia, que entre el haz de garantías que integran el derecho a un proceso justo se incluyen los derechos a la defensa y a la asistencia letrada (art. 24.2 CE), que deben ser reconocidos no solo para el proceso penal sino también para el resto de los procesos. Su finalidad es asegurar la efectiva realización de los principios de igualdad de las partes y de contradicción; lo que impone a los órganos judiciales el deber positivo de evitar desequilibrios entre la respectiva posición procesal de las partes o limitaciones en la defensa que puedan producir a alguna de ellas un resultado de indefensión.</w:t>
      </w:r>
    </w:p>
    <w:p w14:paraId="4D763752" w14:textId="77777777" w:rsidR="00C04533" w:rsidRDefault="00C04533" w:rsidP="00C04533">
      <w:pPr>
        <w:pStyle w:val="TextoNormal"/>
      </w:pPr>
    </w:p>
    <w:p w14:paraId="1684CC5A" w14:textId="77777777" w:rsidR="00C04533" w:rsidRDefault="00C04533" w:rsidP="00C04533">
      <w:pPr>
        <w:pStyle w:val="TextoNormal"/>
      </w:pPr>
      <w:r>
        <w:t>Tal actitud proactiva del órgano judicial dirigida a favorecer la efectividad del derecho de defensa ha sido declarada especialmente relevante en los supuestos en que se aduce la supuesta discapacidad de quien interviene en el proceso penal, ya sea como sospechoso o víctima de los hechos enjuiciados. En este aspecto la doctrina constitucional se encuentra en línea con el art. 13 de la Convención sobre los derechos de las personas con discapacidad, de 13 de diciembre de 2006 (“Boletín Oficial del Estado” de  21 de abril de 2008), en cuyo apartado primero, a los efectos de garantizar que las personas con discapacidad tengan acceso a la justicia en igualdad de condiciones, se prevé la posibilidad de acordar ajustes de procedimiento para facilitar el desempeño de las funciones efectivas de estas personas como participantes directos e indirectos en todos los procedimientos judiciales (STC 7/2011, de 14 de febrero, FJ 4, cuyos pronunciamientos son reiterados en la STC 31/2017, de 27 de febrero).</w:t>
      </w:r>
    </w:p>
    <w:p w14:paraId="42831212" w14:textId="77777777" w:rsidR="00C04533" w:rsidRDefault="00C04533" w:rsidP="00C04533">
      <w:pPr>
        <w:pStyle w:val="TextoNormal"/>
      </w:pPr>
    </w:p>
    <w:p w14:paraId="68B3D873" w14:textId="77777777" w:rsidR="00C04533" w:rsidRDefault="00C04533" w:rsidP="00C04533">
      <w:pPr>
        <w:pStyle w:val="TextoNormal"/>
      </w:pPr>
      <w:r>
        <w:t>También en la STC 77/2014, de 22 de mayo, FJ 2, al analizar un supuesto déficit de comprensión del sentido de una citación a juicio de una persona cuya discapacidad mental fue apreciada en fase de instrucción (proceso que concluyó con su enjuiciamiento en ausencia), hemos destacado que “[e]l deber de realizar diligencias complementarias de las estrictamente legales para despejar cualquier duda en relación con la participación de personas con discapacidad mental en el proceso penal tiene sustento, en nuestro Derecho, en el mandato del artículo 9.2 CE, que obliga a los poderes públicos a promover las condiciones para que la igualdad de los individuos sea efectiva, removiendo los obstáculos que impidan o dificulten su plenitud, y se ampara en el especial deber de protección y apoyo de que gozan las personas con discapacidad”.</w:t>
      </w:r>
    </w:p>
    <w:p w14:paraId="14BF1FD1" w14:textId="77777777" w:rsidR="00C04533" w:rsidRDefault="00C04533" w:rsidP="00C04533">
      <w:pPr>
        <w:pStyle w:val="TextoNormal"/>
      </w:pPr>
    </w:p>
    <w:p w14:paraId="2486DC27" w14:textId="77777777" w:rsidR="00C04533" w:rsidRDefault="00C04533" w:rsidP="00C04533">
      <w:pPr>
        <w:pStyle w:val="TextoNormal"/>
      </w:pPr>
      <w:r>
        <w:t>Se trata de obligaciones positivas que hemos desarrollado y tomado en consideración también al apreciar una discriminación por razón de discapacidad en la STC 51/2021, de 15 de marzo, relativa a la sanción disciplinaria impuesta a una persona diagnosticada con síndrome de Asperger. Por último, en la STC 161/2021, de 4 de octubre, hemos tenido oportunidad de aplicar y desarrollar dicha doctrina constitucional en relación con la alegación de discapacidad cognitiva de quien fue demandado y ejecutado en un proceso de desahucio por impago de la renta, exigiendo la ya reseñada actitud positiva en favor de la efectividad del derecho de defensa.</w:t>
      </w:r>
    </w:p>
    <w:p w14:paraId="14CFBB3C" w14:textId="77777777" w:rsidR="00C04533" w:rsidRDefault="00C04533" w:rsidP="00C04533">
      <w:pPr>
        <w:pStyle w:val="TextoNormal"/>
      </w:pPr>
    </w:p>
    <w:p w14:paraId="0C759EFC" w14:textId="2E4CF2EA" w:rsidR="00C04533" w:rsidRDefault="00C04533" w:rsidP="00C04533">
      <w:pPr>
        <w:pStyle w:val="TextoNormal"/>
      </w:pPr>
      <w:r>
        <w:t>En consecuencia, la doctrina constitucional ha abordado en ocasiones anteriores los intereses en juego y los parámetros de resolución del caso planteado, identificando los criterios que deben presidir la actuación del juzgador en garantía del derecho de defensa de quienes, con una supuesta discapacidad mental, participan en los procesos judiciales. En tal medida, no corresponde a este tribunal en sede de amparo establecer la concreta actuación que, en el caso presente garantizaría debidamente el derecho de defensa del recurrente sino, de forma más limitada, analizar la actuación judicial cuestionada a la vista de las circunstancias del caso para determinar si se ha ajustado a la doctrina constitucional que ha sido reseñada.</w:t>
      </w:r>
    </w:p>
    <w:p w14:paraId="4BB0C52E" w14:textId="77777777" w:rsidR="00C04533" w:rsidRDefault="00C04533" w:rsidP="00C04533">
      <w:pPr>
        <w:pStyle w:val="TextoNormal"/>
      </w:pPr>
    </w:p>
    <w:p w14:paraId="61FF1EC6" w14:textId="77777777" w:rsidR="00C04533" w:rsidRDefault="00C04533" w:rsidP="00C04533">
      <w:pPr>
        <w:pStyle w:val="TextoNormal"/>
      </w:pPr>
      <w:r w:rsidRPr="00C04533">
        <w:rPr>
          <w:rStyle w:val="NumeroAFNegritaCaracter"/>
        </w:rPr>
        <w:t>3</w:t>
      </w:r>
      <w:r>
        <w:t xml:space="preserve">. </w:t>
      </w:r>
      <w:r w:rsidRPr="00C04533">
        <w:rPr>
          <w:i/>
        </w:rPr>
        <w:t>Garantías legales de la conformidad del acusado</w:t>
      </w:r>
    </w:p>
    <w:p w14:paraId="7636B194" w14:textId="77777777" w:rsidR="00C04533" w:rsidRDefault="00C04533" w:rsidP="00C04533">
      <w:pPr>
        <w:pStyle w:val="TextoNormal"/>
      </w:pPr>
    </w:p>
    <w:p w14:paraId="62D5B6AF" w14:textId="77777777" w:rsidR="00C04533" w:rsidRDefault="00C04533" w:rsidP="00C04533">
      <w:pPr>
        <w:pStyle w:val="TextoNormal"/>
      </w:pPr>
      <w:r>
        <w:t>Al regular con detalle la prestación de conformidad con la acusación penal, el legislador no ha permanecido pasivo al juego de valores e intereses en liza. Así, el art. 787 de la Ley de enjuiciamiento criminal (LECrim) establece diversos mecanismos de garantía dirigidos a asegurar que la conformidad con la acusación sea prestada de forma libre y consciente.</w:t>
      </w:r>
    </w:p>
    <w:p w14:paraId="7169F43F" w14:textId="77777777" w:rsidR="00C04533" w:rsidRDefault="00C04533" w:rsidP="00C04533">
      <w:pPr>
        <w:pStyle w:val="TextoNormal"/>
      </w:pPr>
    </w:p>
    <w:p w14:paraId="6ADA54C7" w14:textId="77777777" w:rsidR="00C04533" w:rsidRDefault="00C04533" w:rsidP="00C04533">
      <w:pPr>
        <w:pStyle w:val="TextoNormal"/>
      </w:pPr>
      <w:r>
        <w:t>De esta forma, es la defensa letrada del acusado quien, con el conocimiento y aquiescencia de este, ha de solicitar al juez del caso, durante el desarrollo del juicio oral, que proceda a dictar sentencia de conformidad con el escrito de acusación (art. 787.1 LECrim). El juez debe valorar si la pretensión acusatoria de condena aceptada es jurídicamente correcta, tanto su calificación como la pena que se le anude (art. 787.2 LECrim). El juez o tribunal está obligado, en todo caso, a oír al acusado acerca de si su conformidad ha sido prestada libremente y con conocimiento de sus consecuencias. Si pese a la corrección jurídica de la pretensión acusatoria, el juez o tribunal alberga dudas sobre si el acusado ha prestado libremente su conformidad, no la aceptará y acordará la continuación del juicio (art. 787.4 LECrim). En todo caso, si el defensor del acusado se opone fundadamente a la conformidad prestada, el juzgador recupera la posibilidad de rechazarla y ordenar la continuación del juicio.</w:t>
      </w:r>
    </w:p>
    <w:p w14:paraId="15220522" w14:textId="77777777" w:rsidR="00C04533" w:rsidRDefault="00C04533" w:rsidP="00C04533">
      <w:pPr>
        <w:pStyle w:val="TextoNormal"/>
      </w:pPr>
    </w:p>
    <w:p w14:paraId="1E556138" w14:textId="77777777" w:rsidR="00C04533" w:rsidRDefault="00C04533" w:rsidP="00C04533">
      <w:pPr>
        <w:pStyle w:val="TextoNormal"/>
      </w:pPr>
      <w:r>
        <w:t>La iniciativa, por tanto, es del letrado defensor; la propuesta de conformidad debe contar con la aquiescencia del acusado, a quien el juez ha de informar de las consecuencias de esta, pudiendo incluso no aceptarla y ordenar la continuación del juicio cuando dude sobre si la conformidad prestada ha sido libre y conscientemente, o cuando el defensor se oponga a la voluntad manifestada por el acusado.</w:t>
      </w:r>
    </w:p>
    <w:p w14:paraId="4CC8E3BE" w14:textId="77777777" w:rsidR="00C04533" w:rsidRDefault="00C04533" w:rsidP="00C04533">
      <w:pPr>
        <w:pStyle w:val="TextoNormal"/>
      </w:pPr>
    </w:p>
    <w:p w14:paraId="4C4188ED" w14:textId="1490B3B9" w:rsidR="00C04533" w:rsidRDefault="00C04533" w:rsidP="00C04533">
      <w:pPr>
        <w:pStyle w:val="TextoNormal"/>
      </w:pPr>
      <w:r>
        <w:t>Como veremos a continuación, dichas garantías han sido tomadas en consideración en el presente caso, apreciando razonadamente los órganos jurisdiccionales, en las diversas instancias, que no existían razones para dudar del asentimiento libre y consciente del acusado a la conformidad ofrecida por su defensa.</w:t>
      </w:r>
    </w:p>
    <w:p w14:paraId="01D25908" w14:textId="77777777" w:rsidR="00C04533" w:rsidRDefault="00C04533" w:rsidP="00C04533">
      <w:pPr>
        <w:pStyle w:val="TextoNormal"/>
      </w:pPr>
    </w:p>
    <w:p w14:paraId="3B740112" w14:textId="77777777" w:rsidR="00C04533" w:rsidRDefault="00C04533" w:rsidP="00C04533">
      <w:pPr>
        <w:pStyle w:val="TextoNormal"/>
      </w:pPr>
      <w:r w:rsidRPr="00C04533">
        <w:rPr>
          <w:rStyle w:val="NumeroAFNegritaCaracter"/>
        </w:rPr>
        <w:t>4</w:t>
      </w:r>
      <w:r>
        <w:t xml:space="preserve">. </w:t>
      </w:r>
      <w:r w:rsidRPr="00C04533">
        <w:rPr>
          <w:i/>
        </w:rPr>
        <w:t>Las circunstancias del caso: resolución del recurso de súplica</w:t>
      </w:r>
    </w:p>
    <w:p w14:paraId="4EC89204" w14:textId="77777777" w:rsidR="00C04533" w:rsidRDefault="00C04533" w:rsidP="00C04533">
      <w:pPr>
        <w:pStyle w:val="TextoNormal"/>
      </w:pPr>
    </w:p>
    <w:p w14:paraId="639C090C" w14:textId="77777777" w:rsidR="00C04533" w:rsidRDefault="00C04533" w:rsidP="00C04533">
      <w:pPr>
        <w:pStyle w:val="TextoNormal"/>
      </w:pPr>
      <w:r>
        <w:t>En el presente supuesto, según se deduce de la sentencia de instancia de 16 de octubre de 2020, fueron observadas las garantías procedimentales legalmente establecidas, lo que dio lugar a que fuera judicialmente aceptada la conformidad prestada por el acusado. En consecuencia, como se pretendía por el Ministerio Fiscal, la condena impuesta apreció la existencia de dos delitos de robo con intimidación, con la agravante de reincidencia, y tomó en consideración la discapacidad cognitiva del acusado que fue alegada, dado que la sentencia condenatoria apreció en su conducta la atenuante analógica de anomalía psíquica.</w:t>
      </w:r>
    </w:p>
    <w:p w14:paraId="40AD9617" w14:textId="77777777" w:rsidR="00C04533" w:rsidRDefault="00C04533" w:rsidP="00C04533">
      <w:pPr>
        <w:pStyle w:val="TextoNormal"/>
      </w:pPr>
    </w:p>
    <w:p w14:paraId="4DB851F8" w14:textId="77777777" w:rsidR="00C04533" w:rsidRDefault="00C04533" w:rsidP="00C04533">
      <w:pPr>
        <w:pStyle w:val="TextoNormal"/>
      </w:pPr>
      <w:r>
        <w:t>En relación con esta última apreciación, la juzgadora expresó en la sentencia de condena que no había observado “anomalía alguna que pudiese viciar la voluntad conteste del acusado en la aceptación de la calificación jurídica de los hechos, su presupuesto fáctico, y la consecuencia penológica”. Cabe destacar que, ni el acusado, ni el Ministerio Fiscal ni su defensa letrada pusieron en duda ante la juzgadora de instancia la capacidad del acusado para prestar conformidad a los hechos y la calificación jurídica que justificaron la pretensión acusatoria.</w:t>
      </w:r>
    </w:p>
    <w:p w14:paraId="70555DE0" w14:textId="77777777" w:rsidR="00C04533" w:rsidRDefault="00C04533" w:rsidP="00C04533">
      <w:pPr>
        <w:pStyle w:val="TextoNormal"/>
      </w:pPr>
    </w:p>
    <w:p w14:paraId="6B5A8232" w14:textId="77777777" w:rsidR="00C04533" w:rsidRDefault="00C04533" w:rsidP="00C04533">
      <w:pPr>
        <w:pStyle w:val="TextoNormal"/>
      </w:pPr>
      <w:r>
        <w:t>Fue únicamente en el recurso de apelación (suscrito por diferente abogada a la que había participado en las fases anteriores) donde se plantearon expresamente por primera vez en la vía judicial previa las mismas cuestiones que justifican la presente pretensión de amparo. Pues bien, el análisis de la sentencia de apelación de 23 de abril de 2021, dictada por la Sección Segunda de la Audiencia Provincial de Ourense, pone de manifiesto un tercer factor que fue tomado en consideración para acordar la decisión de inadmisión que ahora debemos ratificar. Dicha circunstancia tiene que ver con la falta de acreditación en vía judicial del presupuesto fáctico de la queja que ahora fundamenta la demanda de amparo.</w:t>
      </w:r>
    </w:p>
    <w:p w14:paraId="1176B782" w14:textId="77777777" w:rsidR="00C04533" w:rsidRDefault="00C04533" w:rsidP="00C04533">
      <w:pPr>
        <w:pStyle w:val="TextoNormal"/>
      </w:pPr>
    </w:p>
    <w:p w14:paraId="1CF99A57" w14:textId="77777777" w:rsidR="00C04533" w:rsidRDefault="00C04533" w:rsidP="00C04533">
      <w:pPr>
        <w:pStyle w:val="TextoNormal"/>
      </w:pPr>
      <w:r>
        <w:t>Como hemos dicho, en el recurso de apelación se puso de manifiesto por primera vez la alegada influencia que, sobre la conformidad prestada, pudo tener la discapacidad mental del acusado. Se alegó entonces que el acusado tenía diagnosticada y reconocida una discapacidad intelectual leve o ligera (lo que aparecía recogido en su certificado de discapacidad), como consecuencia de la cual tiene la necesidad de necesidad de “recibir apoyo para lograr comunicarse con los demás de una forma apropiada, asegurándose de que entiende la información recibida y de que se le proporciona el tiempo necesario para poder asimilarla y actuar conforme a las circunstancias”. De esta valoración deduce su representación letrada que el recurrente no fue plenamente consciente de lo que estaba consintiendo cuando prestaba conformidad, debido a que los contactos con la juzgadora y con su letrado se realizaron mediante videoconferencia.</w:t>
      </w:r>
    </w:p>
    <w:p w14:paraId="33629BF2" w14:textId="77777777" w:rsidR="00C04533" w:rsidRDefault="00C04533" w:rsidP="00C04533">
      <w:pPr>
        <w:pStyle w:val="TextoNormal"/>
      </w:pPr>
    </w:p>
    <w:p w14:paraId="20654D90" w14:textId="6C7413CC" w:rsidR="00C04533" w:rsidRDefault="00C04533" w:rsidP="00C04533">
      <w:pPr>
        <w:pStyle w:val="TextoNormal"/>
      </w:pPr>
      <w:r>
        <w:t>Pero dicha valoración, que fundamenta el recurso de apelación y ahora el de amparo, se apoya en un presupuesto fáctico que no fue no acreditado de forma contradictoria en la vía judicial previa, pues únicamente se recoge en un informe de parte adjuntado al recurso de apelación que no fue sometido a contradicción ante la Audiencia Provincial dadas las limitaciones probatorias que dicho recurso presenta en nuestro ordenamiento jurídico.</w:t>
      </w:r>
    </w:p>
    <w:p w14:paraId="77DF8283" w14:textId="77777777" w:rsidR="00C04533" w:rsidRDefault="00C04533" w:rsidP="00C04533">
      <w:pPr>
        <w:pStyle w:val="TextoNormal"/>
      </w:pPr>
    </w:p>
    <w:p w14:paraId="6DEFA614" w14:textId="4C236540" w:rsidR="00C04533" w:rsidRDefault="00C04533" w:rsidP="00C04533">
      <w:pPr>
        <w:pStyle w:val="TextoNormal"/>
      </w:pPr>
      <w:r w:rsidRPr="00C04533">
        <w:rPr>
          <w:rStyle w:val="NumeroAFNegritaCaracter"/>
        </w:rPr>
        <w:t>5</w:t>
      </w:r>
      <w:r>
        <w:t>. A la vista de las circunstancias expuestas, debemos confirmar la decisión de no admitir a trámite el presente recurso de amparo con fundamento en que, en los términos que ha sido planteado, no es posible apreciar en él la especial trascendencia constitucional que ha sido alegada, pues ni expresa una faceta nueva del derecho fundamental alegado, ni se aprecia que hayan sido obviadas las garantías legales que, en la prestación de conformidad, se dirigen a asegurar que la misma haya sido prestada libre y conscientemente ni, por último, ha sido contradictoriamente acreditado ante los órganos judiciales que el déficit de comprensión intelectual diagnosticado le impidiera prestar conformidad con la acusación.</w:t>
      </w:r>
    </w:p>
    <w:p w14:paraId="0BF3D70C" w14:textId="77777777" w:rsidR="00C04533" w:rsidRDefault="00C04533" w:rsidP="00C04533">
      <w:pPr>
        <w:pStyle w:val="TextoNormal"/>
      </w:pPr>
    </w:p>
    <w:p w14:paraId="10E88540" w14:textId="77777777" w:rsidR="00C04533" w:rsidRDefault="00C04533" w:rsidP="00C04533">
      <w:pPr>
        <w:pStyle w:val="TextoNormal"/>
      </w:pPr>
      <w:r>
        <w:t>Por lo expuesto, la Sección</w:t>
      </w:r>
    </w:p>
    <w:p w14:paraId="688DC8FF" w14:textId="2264D267" w:rsidR="00C04533" w:rsidRDefault="00C04533" w:rsidP="00C04533">
      <w:pPr>
        <w:pStyle w:val="TextoNormal"/>
      </w:pPr>
    </w:p>
    <w:p w14:paraId="6999F691" w14:textId="77777777" w:rsidR="00C04533" w:rsidRDefault="00C04533" w:rsidP="00C04533">
      <w:pPr>
        <w:pStyle w:val="TextoNormalCentrado"/>
      </w:pPr>
      <w:r>
        <w:t>ACUERDA</w:t>
      </w:r>
    </w:p>
    <w:p w14:paraId="6336C3A7" w14:textId="46FCC18C" w:rsidR="00C04533" w:rsidRDefault="00C04533" w:rsidP="00C04533">
      <w:pPr>
        <w:pStyle w:val="TextoNormalCentrado"/>
      </w:pPr>
    </w:p>
    <w:p w14:paraId="4DF855D2" w14:textId="4B0128A3" w:rsidR="00C04533" w:rsidRDefault="00C04533" w:rsidP="00C04533">
      <w:pPr>
        <w:pStyle w:val="TextoNormal"/>
      </w:pPr>
      <w:r>
        <w:t>Desestimar el recurso de súplica interpuesto por el Ministerio Fiscal contra la providencia de 10 de mayo de 2022 que acordó la inadmisión del presente recurso de amparo.</w:t>
      </w:r>
    </w:p>
    <w:p w14:paraId="18A22618" w14:textId="77777777" w:rsidR="00C04533" w:rsidRDefault="00C04533" w:rsidP="00C04533">
      <w:pPr>
        <w:pStyle w:val="TextoNormal"/>
      </w:pPr>
    </w:p>
    <w:p w14:paraId="0547C0D9" w14:textId="77777777" w:rsidR="00C04533" w:rsidRDefault="00C04533" w:rsidP="00C04533">
      <w:pPr>
        <w:pStyle w:val="TextoNormal"/>
      </w:pPr>
      <w:r>
        <w:t>Madrid, a diez de julio de dos mil veinticuatro.</w:t>
      </w:r>
    </w:p>
    <w:p w14:paraId="0F9B187C" w14:textId="4C07113B" w:rsidR="00C04533" w:rsidRDefault="00C04533">
      <w:pPr>
        <w:spacing w:after="160" w:line="278" w:lineRule="auto"/>
        <w:rPr>
          <w:rFonts w:ascii="Times New Roman" w:eastAsia="Times New Roman" w:hAnsi="Times New Roman" w:cs="Times New Roman"/>
          <w:sz w:val="24"/>
          <w:szCs w:val="24"/>
          <w:lang w:eastAsia="es-ES"/>
        </w:rPr>
      </w:pPr>
      <w:r>
        <w:br w:type="page"/>
      </w:r>
    </w:p>
    <w:p w14:paraId="60A4CB6F" w14:textId="77777777" w:rsidR="00C04533" w:rsidRDefault="00C04533" w:rsidP="00C04533">
      <w:pPr>
        <w:pStyle w:val="TtuloResolucin"/>
      </w:pPr>
      <w:bookmarkStart w:id="76" w:name="AUTO_2024_70"/>
      <w:r>
        <w:t>AUTO 70/2024, de 16 de julio de 2024</w:t>
      </w:r>
    </w:p>
    <w:bookmarkEnd w:id="76"/>
    <w:p w14:paraId="5B543440" w14:textId="77777777" w:rsidR="00C04533" w:rsidRDefault="00C04533" w:rsidP="00C04533">
      <w:pPr>
        <w:pStyle w:val="TtuloResolucin"/>
      </w:pPr>
      <w:r>
        <w:t>Pleno</w:t>
      </w:r>
    </w:p>
    <w:p w14:paraId="37AD0E78" w14:textId="77777777" w:rsidR="00C04533" w:rsidRDefault="00C04533" w:rsidP="00C04533">
      <w:pPr>
        <w:pStyle w:val="TextoNormalCentrado"/>
      </w:pPr>
      <w:r>
        <w:t>ECLI:ES:TC:2024:70A</w:t>
      </w:r>
    </w:p>
    <w:p w14:paraId="7292441F" w14:textId="704C3C2A" w:rsidR="00C04533" w:rsidRDefault="00C04533" w:rsidP="00C04533">
      <w:pPr>
        <w:pStyle w:val="TextoNormalCentrado"/>
      </w:pPr>
    </w:p>
    <w:p w14:paraId="456885AC" w14:textId="77777777" w:rsidR="00C04533" w:rsidRDefault="00C04533" w:rsidP="00C04533">
      <w:pPr>
        <w:pStyle w:val="SntesisDescriptiva"/>
      </w:pPr>
      <w:r>
        <w:t>Excms. Srs. don Cándido Conde-Pumpido Tourón, don Ricardo Enríquez Sancho, don Ramón Sáez Valcárcel, don Enrique Arnaldo Alcubilla, doña Concepción Espejel Jorquera, doña María Luisa Segoviano Astaburuaga, don César Tolosa Tribiño, don Juan Carlos Campo Moreno y doña Laura Díez Bueso.</w:t>
      </w:r>
    </w:p>
    <w:p w14:paraId="5ABC4C08" w14:textId="7C0ACD07" w:rsidR="00C04533" w:rsidRDefault="00C04533" w:rsidP="00C04533">
      <w:pPr>
        <w:pStyle w:val="SntesisDescriptiva"/>
      </w:pPr>
    </w:p>
    <w:p w14:paraId="25A60D8F" w14:textId="77777777" w:rsidR="00C04533" w:rsidRDefault="00C04533" w:rsidP="00C04533">
      <w:pPr>
        <w:pStyle w:val="SntesisDescriptiva"/>
      </w:pPr>
      <w:r>
        <w:t>Inadmite las recusaciones formuladas en el recurso de amparo 7007-2022 y otros cuatro más, promovidos por don Manuel Chaves González en causa penal.</w:t>
      </w:r>
    </w:p>
    <w:p w14:paraId="57D121AB" w14:textId="0D0576AA" w:rsidR="00C04533" w:rsidRDefault="00C04533" w:rsidP="00C04533">
      <w:pPr>
        <w:pStyle w:val="SntesisDescriptiva"/>
      </w:pPr>
    </w:p>
    <w:p w14:paraId="63C97D98" w14:textId="77777777" w:rsidR="00C04533" w:rsidRDefault="00C04533" w:rsidP="00C04533">
      <w:pPr>
        <w:pStyle w:val="SntesisDescriptiva"/>
      </w:pPr>
    </w:p>
    <w:p w14:paraId="1E62B320" w14:textId="77777777" w:rsidR="00C04533" w:rsidRDefault="00C04533" w:rsidP="00C04533">
      <w:pPr>
        <w:pStyle w:val="SntesisDescriptiva"/>
      </w:pPr>
    </w:p>
    <w:p w14:paraId="39456161" w14:textId="77777777" w:rsidR="00C04533" w:rsidRDefault="00C04533" w:rsidP="00C04533">
      <w:pPr>
        <w:pStyle w:val="TextoNormalNegritaCentrado"/>
      </w:pPr>
      <w:r>
        <w:t>AUTO</w:t>
      </w:r>
    </w:p>
    <w:p w14:paraId="540E48E4" w14:textId="430F33DC" w:rsidR="00C04533" w:rsidRDefault="00C04533" w:rsidP="00C04533">
      <w:pPr>
        <w:pStyle w:val="TextoNormalNegritaCentrado"/>
      </w:pPr>
    </w:p>
    <w:p w14:paraId="6758750D" w14:textId="77777777" w:rsidR="00C04533" w:rsidRDefault="00C04533" w:rsidP="00C04533">
      <w:pPr>
        <w:pStyle w:val="TextoNormalNegritaCentrado"/>
        <w:keepNext/>
      </w:pPr>
      <w:r>
        <w:t>I. Antecedentes</w:t>
      </w:r>
    </w:p>
    <w:p w14:paraId="04C8FA56" w14:textId="2D3863C6" w:rsidR="00C04533" w:rsidRDefault="00C04533" w:rsidP="00C04533">
      <w:pPr>
        <w:pStyle w:val="TextoNormalNegritaCentrado"/>
        <w:keepNext/>
      </w:pPr>
    </w:p>
    <w:p w14:paraId="0E32D3C6" w14:textId="77777777" w:rsidR="00C04533" w:rsidRDefault="00C04533" w:rsidP="00C04533">
      <w:pPr>
        <w:pStyle w:val="TextoNormal"/>
      </w:pPr>
      <w:r w:rsidRPr="00C04533">
        <w:rPr>
          <w:rStyle w:val="NumeroAFNegritaCaracter"/>
        </w:rPr>
        <w:t>1</w:t>
      </w:r>
      <w:r>
        <w:t>. Con fecha 27 de octubre de 2022 el procurador de los tribunales don Fernando Martínez Nosti, actuando en nombre y representación de don Manuel Chaves González, interpuso recurso de amparo contra las siguientes resoluciones judiciales: (i) la sentencia de la Sección Primera de la Audiencia Provincial de Sevilla dictada el 19 de noviembre de 2019 (rollo núm. 1965-2017), que condenó al recurrente por un delito continuado de malversación; (ii) la sentencia de la Sala de lo Penal del Tribunal Supremo, de 13 de septiembre de 2022 (rec. casación núm. 601-2020), que desestimó entre otros el recurso de casación del aquí recurrente contra la anterior sentencia; y (iii) el auto de la misma Sala de lo Penal del Tribunal Supremo, de 16 de febrero de 2023, que inadmitió a trámite entre otros el incidente de nulidad de actuaciones del aquí recurrente, promovido contra la sentencia de casación.</w:t>
      </w:r>
    </w:p>
    <w:p w14:paraId="5DDC0359" w14:textId="77777777" w:rsidR="00C04533" w:rsidRDefault="00C04533" w:rsidP="00C04533">
      <w:pPr>
        <w:pStyle w:val="TextoNormal"/>
      </w:pPr>
    </w:p>
    <w:p w14:paraId="622EC786" w14:textId="3D462944" w:rsidR="00C04533" w:rsidRDefault="00C04533" w:rsidP="00C04533">
      <w:pPr>
        <w:pStyle w:val="TextoNormal"/>
      </w:pPr>
      <w:r>
        <w:t>Con los argumentos que a bien tuvo desarrollar en el escrito de demanda, el recurrente alega que las resoluciones impugnadas vulneraron su derecho fundamental a la legalidad penal (art. 25.1 CE). En el suplico solicitó que con admisión de su recurso este tribunal dictase sentencia otorgándole el amparo, declarando con ello la vulneración del derecho fundamental mencionado y la nulidad de las resoluciones judiciales recurridas.</w:t>
      </w:r>
    </w:p>
    <w:p w14:paraId="5A243E06" w14:textId="77777777" w:rsidR="00C04533" w:rsidRDefault="00C04533" w:rsidP="00C04533">
      <w:pPr>
        <w:pStyle w:val="TextoNormal"/>
      </w:pPr>
    </w:p>
    <w:p w14:paraId="473F3787" w14:textId="104BA85B" w:rsidR="00C04533" w:rsidRDefault="00C04533" w:rsidP="00C04533">
      <w:pPr>
        <w:pStyle w:val="TextoNormal"/>
      </w:pPr>
      <w:r w:rsidRPr="00C04533">
        <w:rPr>
          <w:rStyle w:val="NumeroAFNegritaCaracter"/>
        </w:rPr>
        <w:t>2</w:t>
      </w:r>
      <w:r>
        <w:t>. Por ATC 285/2023, de 5 de junio, la Sala Segunda de este tribunal acordó: (i) avocar a la Sala “la decisión de admisibilidad de este recurso de amparo”; (ii) admitirlo a trámite “apreciando que concurre en el mismo una especial trascendencia constitucional [art. 50.1 b) de la Ley Orgánica del Tribunal Constitucional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y tiene unas consecuencias políticas generales [STC 155/2009, FJ 2 g)]”; (iii) dirigir atenta comunicación a la Sección Primera de la Audiencia Provincial de Sevilla y a la Sala Segunda del Tribunal Supremo para que remitieran certificación o fotocopia adverada de las actuaciones correspondientes, respectivamente al rollo 1965-2017 y al recurso de casación 601-2020; (iv) requerir al primero de ambos órganos judiciales para que emplazase a quienes hubieren sido parte en el procedimiento, excepto al recurrente en amparo, por si deseasen comparecer en el plazo de diez días ante este tribunal; y (v) avocar al Pleno “el conocimiento de este recurso de amparo”.</w:t>
      </w:r>
    </w:p>
    <w:p w14:paraId="5B587A44" w14:textId="77777777" w:rsidR="00C04533" w:rsidRDefault="00C04533" w:rsidP="00C04533">
      <w:pPr>
        <w:pStyle w:val="TextoNormal"/>
      </w:pPr>
    </w:p>
    <w:p w14:paraId="727FA462" w14:textId="0E468A2C" w:rsidR="00C04533" w:rsidRDefault="00C04533" w:rsidP="00C04533">
      <w:pPr>
        <w:pStyle w:val="TextoNormal"/>
      </w:pPr>
      <w:r w:rsidRPr="00C04533">
        <w:rPr>
          <w:rStyle w:val="NumeroAFNegritaCaracter"/>
        </w:rPr>
        <w:t>3</w:t>
      </w:r>
      <w:r>
        <w:t>. El Pleno de este tribunal, por providencia de 20 de junio de 2023, “conforme establece el artículo 10.1 n) de la Ley Orgánica del Tribunal, a propuesta de la Sala Segunda, acuerda recabar para sí el conocimiento del recurso de amparo que se tramita en dicha Sala con el número 7007-2022, interpuesto por don Manuel María Chaves González”.</w:t>
      </w:r>
    </w:p>
    <w:p w14:paraId="0F5BA476" w14:textId="77777777" w:rsidR="00C04533" w:rsidRDefault="00C04533" w:rsidP="00C04533">
      <w:pPr>
        <w:pStyle w:val="TextoNormal"/>
      </w:pPr>
    </w:p>
    <w:p w14:paraId="0D779FF6" w14:textId="59F78CFF" w:rsidR="00C04533" w:rsidRDefault="00C04533" w:rsidP="00C04533">
      <w:pPr>
        <w:pStyle w:val="TextoNormal"/>
      </w:pPr>
      <w:r w:rsidRPr="00C04533">
        <w:rPr>
          <w:rStyle w:val="NumeroAFNegritaCaracter"/>
        </w:rPr>
        <w:t>4</w:t>
      </w:r>
      <w:r>
        <w:t>. Con fecha 25 de julio de 2023, el procurador de los tribunales don Manuel Sánchez-Puelles González-Carvajal, actuando en nombre y representación procesal del Partido Popular, conforme a la escritura de poder que adjunta, bajo la dirección de los letrados don Ángel Márquez Prieto y don Alfonso Martínez Escribano, cumpliendo con el emplazamiento ordenado por este tribunal, solicitó su personación en el presente recurso de amparo 7007-2022, prosiguiendo los trámites con su intervención.</w:t>
      </w:r>
    </w:p>
    <w:p w14:paraId="6B96AC8D" w14:textId="77777777" w:rsidR="00C04533" w:rsidRDefault="00C04533" w:rsidP="00C04533">
      <w:pPr>
        <w:pStyle w:val="TextoNormal"/>
      </w:pPr>
    </w:p>
    <w:p w14:paraId="7D9AABD6" w14:textId="77777777" w:rsidR="00C04533" w:rsidRDefault="00C04533" w:rsidP="00C04533">
      <w:pPr>
        <w:pStyle w:val="TextoNormal"/>
      </w:pPr>
      <w:r w:rsidRPr="00C04533">
        <w:rPr>
          <w:rStyle w:val="NumeroAFNegritaCaracter"/>
        </w:rPr>
        <w:t>5</w:t>
      </w:r>
      <w:r>
        <w:t>. En virtud de diligencia de ordenación de la Secretaría de Justicia del Pleno de este tribunal, de 27 de julio de 2023, se acordó tener por personado y parte en el procedimiento al procurador mencionado, y conforme a lo dispuesto en el art. 52 de nuestra Ley Orgánica reguladora, dar vista de las actuaciones del presente recurso por un plazo común de veinte días al recurrente, al Partido Popular y al Ministerio Fiscal para que pudieran presentar las alegaciones que tuviesen por convenientes.</w:t>
      </w:r>
    </w:p>
    <w:p w14:paraId="0FC27A49" w14:textId="77777777" w:rsidR="00C04533" w:rsidRDefault="00C04533" w:rsidP="00C04533">
      <w:pPr>
        <w:pStyle w:val="TextoNormal"/>
      </w:pPr>
    </w:p>
    <w:p w14:paraId="0CCA08F0" w14:textId="3C85C061" w:rsidR="00C04533" w:rsidRDefault="00C04533" w:rsidP="00C04533">
      <w:pPr>
        <w:pStyle w:val="TextoNormal"/>
      </w:pPr>
      <w:r>
        <w:t xml:space="preserve">Asimismo, por diligencia de ordenación de la misma Secretaría de Justicia, de 23 de octubre de 2023, se acordó “tener por personados y parte en el proceso a la procuradora doña Virginia Aragón Segura, en nombre y representación de don Gaspar Zarrías Arévalo, a la procuradora doña Patricia Rosch Iglesias, en nombre y representación de don Francisco Vallejo Serrano, a la misma procuradora señora Rosch Iglesias, en nombre y representación de don Jesús María Rodríguez Román, al procurador don Roberto Granizo Palomeque, en nombre y representación de don Antonio Vicente Lozano Peña y don José Antonio Griñán Martínez, y a la procuradora doña Olga Coca Alonso, en nombre y representación de doña Carmen Martínez Aguayo” dando vista a dichas partes por plazo común de veinte días para formulación de alegaciones </w:t>
      </w:r>
      <w:r w:rsidRPr="00C04533">
        <w:rPr>
          <w:i/>
        </w:rPr>
        <w:t>ex</w:t>
      </w:r>
      <w:r>
        <w:t xml:space="preserve"> art. 52 LOTC.</w:t>
      </w:r>
    </w:p>
    <w:p w14:paraId="05BB277F" w14:textId="77777777" w:rsidR="00C04533" w:rsidRDefault="00C04533" w:rsidP="00C04533">
      <w:pPr>
        <w:pStyle w:val="TextoNormal"/>
      </w:pPr>
    </w:p>
    <w:p w14:paraId="7154D941" w14:textId="7A572877" w:rsidR="00C04533" w:rsidRDefault="00C04533" w:rsidP="00C04533">
      <w:pPr>
        <w:pStyle w:val="TextoNormal"/>
      </w:pPr>
      <w:r w:rsidRPr="00C04533">
        <w:rPr>
          <w:rStyle w:val="NumeroAFNegritaCaracter"/>
        </w:rPr>
        <w:t>6</w:t>
      </w:r>
      <w:r>
        <w:t>. Por diligencia de la Secretaría de Justicia del Pleno, de 9 de enero de 2024, se hizo constar“que dentro del plazo conferido en la diligencia de ordenación de 27 de julio de 2023 ha formulado escrito de alegaciones el procurador don Manuel Sánchez-Puelles González-Carvajal, en representación del Partido Popular; así mismo, ha formulado alegaciones en su escrito de personación la procuradora doña Virginia Aragón Segura, en representación de don Gaspar Zarrías Arévalo. Igualmente han presentado escrito de alegaciones, dentro del plazo concedido por diligencia de ordenación de 23 de octubre de 2023, el procurador don Roberto Primitivo Granizo Palomeque, en representación de don Antonio Vicente Lozano Peña y de don José Antonio Griñán Martínez, la procuradora doña Olga Coca Alonso, en representación de doña Carmen Martínez Aguayo, y la procuradora doña Patricia Rosch Iglesias, en representación de don Jesús María Rodríguez Román y de don Francisco Vallejo Serrano. Se hace constar, por último, que el Ministerio Fiscal ha formulado alegaciones dentro del plazo concedido en diligencia de ordenación de 27 de julio de 2023, que fue prorrogado por diligencia de ordenación de 30 de octubre de 2023, quedando el presente recurso de amparo pendiente para deliberación cuando por turno corresponda, sin perjuicio de lo dispuesto en el art. 84 LOTC”.</w:t>
      </w:r>
    </w:p>
    <w:p w14:paraId="48CB32BA" w14:textId="77777777" w:rsidR="00C04533" w:rsidRDefault="00C04533" w:rsidP="00C04533">
      <w:pPr>
        <w:pStyle w:val="TextoNormal"/>
      </w:pPr>
    </w:p>
    <w:p w14:paraId="7BAC7C32" w14:textId="77777777" w:rsidR="00C04533" w:rsidRDefault="00C04533" w:rsidP="00C04533">
      <w:pPr>
        <w:pStyle w:val="TextoNormal"/>
      </w:pPr>
      <w:r w:rsidRPr="00C04533">
        <w:rPr>
          <w:rStyle w:val="NumeroAFNegritaCaracter"/>
        </w:rPr>
        <w:t>7</w:t>
      </w:r>
      <w:r>
        <w:t>. Con fecha 15 de julio de 2024, el representante procesal del Partido Popular presentó escrito por el que formalizó incidente de recusación contra las magistradas de este tribunal doña Inmaculada Montalbán Huertas, vicepresidenta, y “doña María Luisa Balaguer Cepellón” (ha de entenderse que la referencia se hace a la magistrada de este tribunal doña María Luisa Balaguer Callejón), por considerarlas incursas en las causas de abstención y/o recusación  décima (“Tener interés directo o indirecto en el pleito o causa”) y decimotercera (“Haber ocupado cargo público, desempeñado empleo o ejercido profesión con ocasión de los cuales haya participado directa o indirectamente en el asunto objeto del pleito o causa o en otro relacionado con el mismo”) del art. 219 de la Ley Orgánica del Poder Judicial (LOPJ) (aplicable a este ámbito de manera supletoria de acuerdo con lo previsto a su vez en el art. 80 LOTC), “lo que alegamos expresando nuestra más alta consideración a las Excmas. señoras magistradas”. Las circunstancias que fundamentan su pretensión son las siguientes:</w:t>
      </w:r>
    </w:p>
    <w:p w14:paraId="742E3364" w14:textId="77777777" w:rsidR="00C04533" w:rsidRDefault="00C04533" w:rsidP="00C04533">
      <w:pPr>
        <w:pStyle w:val="TextoNormal"/>
      </w:pPr>
    </w:p>
    <w:p w14:paraId="79A14C9B" w14:textId="77777777" w:rsidR="00C04533" w:rsidRDefault="00C04533" w:rsidP="00C04533">
      <w:pPr>
        <w:pStyle w:val="TextoNormal"/>
      </w:pPr>
      <w:r>
        <w:t>A) En cuanto a los requisitos procesales, han de destacarse dos apartados:</w:t>
      </w:r>
    </w:p>
    <w:p w14:paraId="1EC06745" w14:textId="77777777" w:rsidR="00C04533" w:rsidRDefault="00C04533" w:rsidP="00C04533">
      <w:pPr>
        <w:pStyle w:val="TextoNormal"/>
      </w:pPr>
    </w:p>
    <w:p w14:paraId="1CBF16C0" w14:textId="77777777" w:rsidR="00C04533" w:rsidRDefault="00C04533" w:rsidP="00C04533">
      <w:pPr>
        <w:pStyle w:val="TextoNormal"/>
      </w:pPr>
      <w:r>
        <w:t>(i) El referido al plazo para promover el incidente, donde se indica que “se formula dentro del breve plazo del art. 223 LOPJ, computado, conforme al citado precepto, desde que se ha tenido conocimiento de las causas indicadas con la publicación de noticia de prensa del día 11 de julio de 2024 del periódico ‘El Mundo’, que acompañamos como documento núm. 2, noticia difundida por otros medios en fechas posteriores (difusión posterior que consideramos hecho notorio). Tras dicha publicación, se ha procedido a la comprobación de las bases de datos accesibles en que pudieran encontrarse los documentos que se alude en la noticia, los cuales detallamos más adelante y acompañamos como documentos 3 y siguientes”.</w:t>
      </w:r>
    </w:p>
    <w:p w14:paraId="336ADAD3" w14:textId="77777777" w:rsidR="00C04533" w:rsidRDefault="00C04533" w:rsidP="00C04533">
      <w:pPr>
        <w:pStyle w:val="TextoNormal"/>
      </w:pPr>
    </w:p>
    <w:p w14:paraId="7BD7767A" w14:textId="77777777" w:rsidR="00C04533" w:rsidRDefault="00C04533" w:rsidP="00C04533">
      <w:pPr>
        <w:pStyle w:val="TextoNormal"/>
      </w:pPr>
      <w:r>
        <w:t>(ii) Y en un apartado que se titula “Tramitación unificada o acumulada de la petición de recusación referida a distintos recursos de amparo”, el escrito señala:</w:t>
      </w:r>
    </w:p>
    <w:p w14:paraId="71977E83" w14:textId="77777777" w:rsidR="00C04533" w:rsidRDefault="00C04533" w:rsidP="00C04533">
      <w:pPr>
        <w:pStyle w:val="TextoNormal"/>
      </w:pPr>
    </w:p>
    <w:p w14:paraId="310B7BBA" w14:textId="77777777" w:rsidR="00C04533" w:rsidRDefault="00C04533" w:rsidP="00C04533">
      <w:pPr>
        <w:pStyle w:val="TextoNormal"/>
      </w:pPr>
      <w:r>
        <w:t>“Conforme al art. 83 LOTC, esta parte formula con el presente escrito la petición de acumulación o, propiamente, la tramitación acumulada en lo que se refiere a estos incidentes de recusación, dada la conexidad de objetos, pues —además de que todos los recursos se refieren a la impugnación de unas mismas sentencias y al auto sobre nulidad de actuaciones— los incidentes de recusación se fundan, igualmente, en las mismas causas, tanto desde el punto de vista fáctico como jurídico.</w:t>
      </w:r>
    </w:p>
    <w:p w14:paraId="4441C08D" w14:textId="77777777" w:rsidR="00C04533" w:rsidRDefault="00C04533" w:rsidP="00C04533">
      <w:pPr>
        <w:pStyle w:val="TextoNormal"/>
      </w:pPr>
    </w:p>
    <w:p w14:paraId="329BF7CC" w14:textId="77777777" w:rsidR="00C04533" w:rsidRDefault="00C04533" w:rsidP="00C04533">
      <w:pPr>
        <w:pStyle w:val="TextoNormal"/>
      </w:pPr>
      <w:r>
        <w:t>De acuerdo con dicha petición, esta parte formula un escrito de recusación referido a todos los recursos de amparo, para su tramitación unificada o acumulada.</w:t>
      </w:r>
    </w:p>
    <w:p w14:paraId="122B3DAF" w14:textId="77777777" w:rsidR="00C04533" w:rsidRDefault="00C04533" w:rsidP="00C04533">
      <w:pPr>
        <w:pStyle w:val="TextoNormal"/>
      </w:pPr>
    </w:p>
    <w:p w14:paraId="718D5C7C" w14:textId="77777777" w:rsidR="00C04533" w:rsidRDefault="00C04533" w:rsidP="00C04533">
      <w:pPr>
        <w:pStyle w:val="TextoNormal"/>
      </w:pPr>
      <w:r>
        <w:t>Por otro lado, en los escritos de personación de cada recurso de amparo se ha interesado la acumulación de los procesos principales”.</w:t>
      </w:r>
    </w:p>
    <w:p w14:paraId="4B9FE823" w14:textId="77777777" w:rsidR="00C04533" w:rsidRDefault="00C04533" w:rsidP="00C04533">
      <w:pPr>
        <w:pStyle w:val="TextoNormal"/>
      </w:pPr>
    </w:p>
    <w:p w14:paraId="2A24F636" w14:textId="77777777" w:rsidR="00C04533" w:rsidRDefault="00C04533" w:rsidP="00C04533">
      <w:pPr>
        <w:pStyle w:val="TextoNormal"/>
      </w:pPr>
      <w:r>
        <w:t>B) En cuanto a las causas materiales de recusación, alega el escrito lo siguiente:</w:t>
      </w:r>
    </w:p>
    <w:p w14:paraId="776DF552" w14:textId="77777777" w:rsidR="00C04533" w:rsidRDefault="00C04533" w:rsidP="00C04533">
      <w:pPr>
        <w:pStyle w:val="TextoNormal"/>
      </w:pPr>
    </w:p>
    <w:p w14:paraId="1C4BF117" w14:textId="77777777" w:rsidR="00C04533" w:rsidRDefault="00C04533" w:rsidP="00C04533">
      <w:pPr>
        <w:pStyle w:val="TextoNormal"/>
      </w:pPr>
      <w:r>
        <w:t>a) Respecto de la magistrada doña Inmaculada Montalbán Huertas, con invocación de la causa decimotercera del art. 219 LOPJ se esgrime la [p]articipación de la Excma. Sra. Montalbán Huertas como magistrada de la Sala de lo Contencioso-Administrativo del Tribunal Superior de Justicia de Andalucía, con sede en Granada, en procesos judiciales referidos a ayudas sociolaborales o a empresas, objeto de las actuaciones penales en que se han dictado las sentencias del orden penal impugnadas en los recursos de amparo. Este hecho se refiere a que, en su alta labor jurisdiccional, la Excma. Srª. Montalbán hubo de intervenir en la deliberación y aprobación, en diversos casos, de sentencias relativas [a] las ayudas sociolaborales o a empresas objeto de las actuaciones penales en que se han dictado las sentencias del orden penal impugnadas en los recursos de amparo”.</w:t>
      </w:r>
    </w:p>
    <w:p w14:paraId="6F430DF5" w14:textId="77777777" w:rsidR="00C04533" w:rsidRDefault="00C04533" w:rsidP="00C04533">
      <w:pPr>
        <w:pStyle w:val="TextoNormal"/>
      </w:pPr>
    </w:p>
    <w:p w14:paraId="27F3ED57" w14:textId="77777777" w:rsidR="00C04533" w:rsidRDefault="00C04533" w:rsidP="00C04533">
      <w:pPr>
        <w:pStyle w:val="TextoNormal"/>
      </w:pPr>
      <w:r>
        <w:t>El escrito especifica que se refiere a sentencias que resolvieron recursos contencioso-administrativos respecto de actos de la Consejería de Empleo “o su sucesora en la administración autonómica de Andalucía”, respecto de las ayudas previstas “en aplicación del Decreto-ley 4/2012, de 16 de octubre, de medidas extraordinarias y urgentes en materia de protección sociolaboral a extrabajadores y extrabajadoras andaluces afectados por procesos de reestructuración de empresas y sectores en crisis”. Decreto Ley 4/2012, prosigue diciendo el escrito, el cual “se cita y estudia en la sentencia del Tribunal Supremo impugnada en estos recursos de amparo, así en su FJ 1, al referirse a la ‘tercera etapa’ del sistema de ayudas enjuiciado”; además de que “encontramos diversas invocaciones del sentido y alcance del Decreto-ley citado en los distintos escritos de alegaciones y recursos de las diversas partes” personadas en los recursos de amparo que impugnan las mismas resoluciones judiciales que en el presente 7007-2022. Añade que las copias de esas sentencias, extraídas de la base de datos del Centro de Documentación Judicial (CENDOJ), se aportan ahora como “principio de prueba”, y más adelante si el incidente se admite a trámite y se abre la fase de prueba, adelanta que solicitará del Tribunal Superior de Justicia de Andalucía “copia íntegra y autenticada de todas” esas sentencias.</w:t>
      </w:r>
    </w:p>
    <w:p w14:paraId="11CC9D90" w14:textId="77777777" w:rsidR="00C04533" w:rsidRDefault="00C04533" w:rsidP="00C04533">
      <w:pPr>
        <w:pStyle w:val="TextoNormal"/>
      </w:pPr>
    </w:p>
    <w:p w14:paraId="663BECC2" w14:textId="77777777" w:rsidR="00C04533" w:rsidRDefault="00C04533" w:rsidP="00C04533">
      <w:pPr>
        <w:pStyle w:val="TextoNormal"/>
      </w:pPr>
      <w:r>
        <w:t>Defiende asimismo el escrito la existencia de la causa de recusación que aduce, por la intervención de la magistrada Montalbán Huertas “en numerosos procesos judiciales sobre ayudas sociolaborales, de la cual derivan los recursos de amparo actuales, [que] supone la participación directa en asunto relacionado con el pleito penal que es antecedente de estos procesos constitucionales”. Reconoce que “[n]o existiría, en sentido preciso, identidad entre las sentencias anteriores y [el] ‘asunto objeto del pleito’, pero sí concurre la identidad entre los recursos de amparo a que nos referimos en este incidente y ‘otro (asunto) relacionado con el mismo’, siendo amplia la fórmula legal en búsqueda de la máxima garantía de las reglas de imparcialidad y apariencia de la misma”.</w:t>
      </w:r>
    </w:p>
    <w:p w14:paraId="48EBD9DD" w14:textId="77777777" w:rsidR="00C04533" w:rsidRDefault="00C04533" w:rsidP="00C04533">
      <w:pPr>
        <w:pStyle w:val="TextoNormal"/>
      </w:pPr>
    </w:p>
    <w:p w14:paraId="5E6A684F" w14:textId="77777777" w:rsidR="00C04533" w:rsidRDefault="00C04533" w:rsidP="00C04533">
      <w:pPr>
        <w:pStyle w:val="TextoNormal"/>
      </w:pPr>
      <w:r>
        <w:t>b) Respecto de la magistrada doña María Luisa Balaguer Callejón, también con invocación de la causa decimotercera del art. 219 LOPJ, se alega la [p]articipación de la Excma. señora Balaguer Callejón como vocal del Consejo Consultivo de la Junta de Andalucía en la emisión de dictámenes relativos a revisión de oficio de las ayudas sociolaborales o a empresas objeto de las actuaciones penales en que se han dictado las sentencias del orden penal. Este hecho se refiere a que, en su alta labor consultiva, la Excma. señora Balaguer hubo de intervenir en la deliberación y aprobación, en diversos casos como ponente, de dictámenes relativos a revisión de oficio de las ayudas sociolaborales o a empresas objeto de las actuaciones penales en que se han dictado las sentencias del orden penal impugnadas en los recursos de amparo. Los referidos dictámenes, de acuerdo con los criterios de accesibilidad que el Consejo Consultivo tiene y permiten consultar su base de datos de dictámenes, han sido numerosos en los años 2012 y siguientes, pudiendo citar como dictámenes relativos a ‘ayudas sociolaborales’ los que aparecen en el listado que aportamos como documento núm. 4. De ellos, los 78 numerados entre el 29 y 106, ambos inclusive, corresponden a los años 2012 a 2015”. El escrito no menciona dictámenes anteriores al año 2012.</w:t>
      </w:r>
    </w:p>
    <w:p w14:paraId="69AEE836" w14:textId="77777777" w:rsidR="00C04533" w:rsidRDefault="00C04533" w:rsidP="00C04533">
      <w:pPr>
        <w:pStyle w:val="TextoNormal"/>
      </w:pPr>
    </w:p>
    <w:p w14:paraId="648D1255" w14:textId="77777777" w:rsidR="00C04533" w:rsidRDefault="00C04533" w:rsidP="00C04533">
      <w:pPr>
        <w:pStyle w:val="TextoNormal"/>
      </w:pPr>
      <w:r>
        <w:t>Vuelve luego a referirse a la sentencia del Tribunal Supremo impugnada en el presente recurso de amparo, sin precisar el escrito cuáles son los años de las ayudas tenidos en cuenta por esta sentencia. Y advierte que con el escrito aporta copia de los dictámenes a los que hace referencia, remitiéndose de nuevo a la fase probatoria del incidente para recabar del Consejo Consultivo de Andalucía “copia íntegra y autenticada” de todos ellos.</w:t>
      </w:r>
    </w:p>
    <w:p w14:paraId="47A53A6E" w14:textId="77777777" w:rsidR="00C04533" w:rsidRDefault="00C04533" w:rsidP="00C04533">
      <w:pPr>
        <w:pStyle w:val="TextoNormal"/>
      </w:pPr>
    </w:p>
    <w:p w14:paraId="51D34643" w14:textId="77777777" w:rsidR="00C04533" w:rsidRDefault="00C04533" w:rsidP="00C04533">
      <w:pPr>
        <w:pStyle w:val="TextoNormal"/>
      </w:pPr>
      <w:r>
        <w:t>Dice también el escrito que los hechos aquí alegados acreditan la concurrencia de la causa del art. 219.13 LOPJ, siguiendo los criterios de este tribunal en autos ya dictados por el Pleno donde ha resuelto la abstención de la magistrada Balaguer en otros procesos constitucionales, citando como ejemplo los AATC “85/2021, de 15 de septiembre; 74/2018, de 3 de julio; 66/2018, de 19 de junio; 138/2017, de 17 de octubre; 129/2017, de 3 de octubre; así como los de la Sección Segunda 86 y 87/2018, de 11 de septiembre; 78/2018, de 16 de julio y 70/2018, de 20 de junio, entre otros”. Y sostiene el escrito que existe una relación entre los dictámenes del Consejo Consultivo donde intervino la magistrada aquí recusada, y “procesos penales sobre las ayudas que concedió la Dirección General [de Empleo] […] por la reiterada cita que las resoluciones de las causas penales hacen de dichos dictámenes”.</w:t>
      </w:r>
    </w:p>
    <w:p w14:paraId="4C259C60" w14:textId="77777777" w:rsidR="00C04533" w:rsidRDefault="00C04533" w:rsidP="00C04533">
      <w:pPr>
        <w:pStyle w:val="TextoNormal"/>
      </w:pPr>
    </w:p>
    <w:p w14:paraId="7B6520BF" w14:textId="4F46EBD7" w:rsidR="00C04533" w:rsidRDefault="00C04533" w:rsidP="00C04533">
      <w:pPr>
        <w:pStyle w:val="TextoNormal"/>
      </w:pPr>
      <w:r>
        <w:t>En el suplico del escrito se pide “que se tenga por presentado este escrito y documentos acompañados y, tras su tramitación oportuna, en su día dicte la resolución correspondiente acordando que procede estimar la recusación formulada de las Excmas. señoras Montalbán Huertas y Balaguer Callejón en los recursos de amparo interpuestos por don Manuel Chaves González (7007-2022), don José Antonio Griñán Martínez (2119-2023), don Juan Márquez Contreras (2239-2023), don Gaspar Zarrías Arévalo (2411-2023) y don Antonio Vicente Lozano Peña (2485-2023), con cuanto más sea procedente en Derecho”.</w:t>
      </w:r>
    </w:p>
    <w:p w14:paraId="1A9CE194" w14:textId="77777777" w:rsidR="00C04533" w:rsidRDefault="00C04533" w:rsidP="00C04533">
      <w:pPr>
        <w:pStyle w:val="TextoNormal"/>
      </w:pPr>
    </w:p>
    <w:p w14:paraId="7F4AA758" w14:textId="77777777" w:rsidR="00C04533" w:rsidRDefault="00C04533" w:rsidP="00C04533">
      <w:pPr>
        <w:pStyle w:val="TextoNormal"/>
      </w:pPr>
      <w:r w:rsidRPr="00C04533">
        <w:rPr>
          <w:rStyle w:val="NumeroAFNegritaCaracter"/>
        </w:rPr>
        <w:t>8</w:t>
      </w:r>
      <w:r>
        <w:t xml:space="preserve">. Mediante diligencia de ordenación de la Secretaría de Justicia del Pleno de este tribunal, de 15 de julio de 2024, se dispuso lo siguiente: </w:t>
      </w:r>
    </w:p>
    <w:p w14:paraId="7C5A52DA" w14:textId="77777777" w:rsidR="00C04533" w:rsidRDefault="00C04533" w:rsidP="00C04533">
      <w:pPr>
        <w:pStyle w:val="TextoNormal"/>
      </w:pPr>
    </w:p>
    <w:p w14:paraId="4A5FF31A" w14:textId="77777777" w:rsidR="00C04533" w:rsidRDefault="00C04533" w:rsidP="00C04533">
      <w:pPr>
        <w:pStyle w:val="TextoNormal"/>
      </w:pPr>
      <w:r>
        <w:t>“En el asunto de referencia, se tiene por recibido escrito presentado por el procurador don Manuel Sánchez-Puelles González-Carvajal, en representación del Partido Popular, mediante el que formula recusación de las magistradas Excmas. señoras doña Inmaculada Montalbán Huertas y doña María Luisa Balaguer Callejón en el presente proceso y en los recursos de amparo avocados núms. 2119-2023, 2239-2023, 2411-2023 y 2485-2023.</w:t>
      </w:r>
    </w:p>
    <w:p w14:paraId="738C23FA" w14:textId="77777777" w:rsidR="00C04533" w:rsidRDefault="00C04533" w:rsidP="00C04533">
      <w:pPr>
        <w:pStyle w:val="TextoNormal"/>
      </w:pPr>
    </w:p>
    <w:p w14:paraId="60BE17D6" w14:textId="77777777" w:rsidR="00C04533" w:rsidRDefault="00C04533" w:rsidP="00C04533">
      <w:pPr>
        <w:pStyle w:val="TextoNormal"/>
      </w:pPr>
      <w:r>
        <w:t>Se acuerda designar ponente del incidente de recusación al magistrado Excmo. señor don Ricardo Enríquez Sancho, al que por turno corresponde, para que proponga al Pleno la resolución que proceda.</w:t>
      </w:r>
    </w:p>
    <w:p w14:paraId="1F431DBF" w14:textId="77777777" w:rsidR="00C04533" w:rsidRDefault="00C04533" w:rsidP="00C04533">
      <w:pPr>
        <w:pStyle w:val="TextoNormal"/>
      </w:pPr>
    </w:p>
    <w:p w14:paraId="3E3D167C" w14:textId="6CD8DF28" w:rsidR="00C04533" w:rsidRDefault="00C04533" w:rsidP="00C04533">
      <w:pPr>
        <w:pStyle w:val="TextoNormal"/>
      </w:pPr>
      <w:r>
        <w:t>Llévese testimonio de la presente resolución a los demás procesos en los que se ha planteado recusación, a los efectos procedentes”.</w:t>
      </w:r>
    </w:p>
    <w:p w14:paraId="356889BC" w14:textId="77777777" w:rsidR="00C04533" w:rsidRDefault="00C04533" w:rsidP="00C04533">
      <w:pPr>
        <w:pStyle w:val="TextoNormal"/>
      </w:pPr>
    </w:p>
    <w:p w14:paraId="0A47C65E" w14:textId="77777777" w:rsidR="00C04533" w:rsidRDefault="00C04533" w:rsidP="00C04533">
      <w:pPr>
        <w:pStyle w:val="TextoNormalNegritaCentrado"/>
        <w:keepNext/>
      </w:pPr>
      <w:r>
        <w:t>II. Fundamentos jurídicos</w:t>
      </w:r>
    </w:p>
    <w:p w14:paraId="60279124" w14:textId="68F7ECE4" w:rsidR="00C04533" w:rsidRDefault="00C04533" w:rsidP="00C04533">
      <w:pPr>
        <w:pStyle w:val="TextoNormalNegritaCentrado"/>
        <w:keepNext/>
      </w:pPr>
    </w:p>
    <w:p w14:paraId="63AC24E2" w14:textId="77777777" w:rsidR="00C04533" w:rsidRDefault="00C04533" w:rsidP="00C04533">
      <w:pPr>
        <w:pStyle w:val="TextoNormal"/>
      </w:pPr>
      <w:r w:rsidRPr="00C04533">
        <w:rPr>
          <w:rStyle w:val="NumeroAFNegritaCaracter"/>
        </w:rPr>
        <w:t>1</w:t>
      </w:r>
      <w:r>
        <w:t xml:space="preserve">. </w:t>
      </w:r>
      <w:r w:rsidRPr="00C04533">
        <w:rPr>
          <w:i/>
        </w:rPr>
        <w:t>Objeto de las solicitudes de recusación formuladas y consideraciones previas a su enjuiciamiento</w:t>
      </w:r>
    </w:p>
    <w:p w14:paraId="2428B383" w14:textId="77777777" w:rsidR="00C04533" w:rsidRDefault="00C04533" w:rsidP="00C04533">
      <w:pPr>
        <w:pStyle w:val="TextoNormal"/>
      </w:pPr>
    </w:p>
    <w:p w14:paraId="1625B6FB" w14:textId="77777777" w:rsidR="00C04533" w:rsidRDefault="00C04533" w:rsidP="00C04533">
      <w:pPr>
        <w:pStyle w:val="TextoNormal"/>
      </w:pPr>
      <w:r>
        <w:t>Nos corresponde resolver en este trámite la admisión o no de la pretensión de recusación promovida por el Partido Popular en el presente recurso de amparo avocado por el Pleno 7007-2022. El contenido del escrito obliga a efectuar una delimitación tanto subjetiva como objetiva de lo solicitado, con carácter previo a examinar su admisibilidad. En tal sentido procede decir:</w:t>
      </w:r>
    </w:p>
    <w:p w14:paraId="781388E7" w14:textId="77777777" w:rsidR="00C04533" w:rsidRDefault="00C04533" w:rsidP="00C04533">
      <w:pPr>
        <w:pStyle w:val="TextoNormal"/>
      </w:pPr>
    </w:p>
    <w:p w14:paraId="524176B4" w14:textId="77777777" w:rsidR="00C04533" w:rsidRDefault="00C04533" w:rsidP="00C04533">
      <w:pPr>
        <w:pStyle w:val="TextoNormal"/>
      </w:pPr>
      <w:r>
        <w:t xml:space="preserve">a) El escrito de recusación se dirige únicamente contra dos magistradas de este tribunal, la vicepresidenta Excma. Sra. Inmaculada Montalbán Huertas, y la Excma. Sra. María Luisa Balaguer Callejón, en el entendido de que es ella la segunda magistrada a la que quiere hacer mención aquel escrito, pese a no indicar su nombre completo de manera correcta en ningún pasaje del mismo. Ambas magistradas no participan por tal razón en la deliberación de este incidente, a fin de preservar su imparcialidad y al no ocasionar el escrito una afectación del </w:t>
      </w:r>
      <w:r w:rsidRPr="00C04533">
        <w:rPr>
          <w:i/>
        </w:rPr>
        <w:t>quorum</w:t>
      </w:r>
      <w:r>
        <w:t xml:space="preserve"> de magistrados del Pleno de este tribunal, necesario para poder acordar una decisión.</w:t>
      </w:r>
    </w:p>
    <w:p w14:paraId="5537D80B" w14:textId="77777777" w:rsidR="00C04533" w:rsidRDefault="00C04533" w:rsidP="00C04533">
      <w:pPr>
        <w:pStyle w:val="TextoNormal"/>
      </w:pPr>
    </w:p>
    <w:p w14:paraId="05B3CA67" w14:textId="77777777" w:rsidR="00C04533" w:rsidRDefault="00C04533" w:rsidP="00C04533">
      <w:pPr>
        <w:pStyle w:val="TextoNormal"/>
      </w:pPr>
      <w:r>
        <w:t>b) Aunque en el encabezamiento del escrito de recusación se invocan respecto de ambas magistradas ya identificadas las causas de abstención y/o recusación de los apartados décimo y decimotercero del art. 219 LOPJ, de aplicación supletoria en esta jurisdicción constitucional, es lo cierto que el supuesto motivo de la causa décima (“Tener interés directo o indirecto en el pleito o causa”) no ofrece el más mínimo desarrollo argumental en el escrito en cuanto a ninguna de ambas magistradas, lo que determina la exclusión de plano de esta causa como objeto de este incidente dado que no procede reconstruir de oficio ningún apartado de la pretensión deducida. Dicho objeto se ceñirá, en todo caso, a la invocación de la causa decimotercera del citado art. 219 LOPJ (“Haber ocupado cargo público, desempeñado empleo o ejercido profesión con ocasión de los cuales haya participado directa o indirectamente en el asunto objeto del pleito o causa o en otro relacionado con el mismo”).</w:t>
      </w:r>
    </w:p>
    <w:p w14:paraId="0EBEEB5B" w14:textId="77777777" w:rsidR="00C04533" w:rsidRDefault="00C04533" w:rsidP="00C04533">
      <w:pPr>
        <w:pStyle w:val="TextoNormal"/>
      </w:pPr>
    </w:p>
    <w:p w14:paraId="4E103738" w14:textId="3CEA6BAF" w:rsidR="00C04533" w:rsidRDefault="00C04533" w:rsidP="00C04533">
      <w:pPr>
        <w:pStyle w:val="TextoNormal"/>
      </w:pPr>
      <w:r>
        <w:t>c) El Pleno constata que el mismo escrito de recusación presentado en el presente recurso de amparo avocado 7007-2022, se ha formalizado también en los recursos de amparo avocados 2119-2023, 2239-2023, 2411-2023 y 2485-2023, cada uno de ellos interpuesto por personas que fueron condenadas por las dos sentencias recurridas en aquel primer recurso, y que incluso en el trámite de personación del art. 51 LOTC han pedido, y se les concedió, poder intervenir como partes en el presente recurso 7007-2022. Proveyendo a lo pedido, la diligencia de ordenación del día de ayer de la Secretaría de Justicia del Pleno de este tribunal acordó tener por deducido el escrito de recusación también en esos otros recursos de amparo, de modo que la presente resolución brindará una única respuesta para todos ellos.</w:t>
      </w:r>
    </w:p>
    <w:p w14:paraId="7C78DD58" w14:textId="77777777" w:rsidR="00C04533" w:rsidRDefault="00C04533" w:rsidP="00C04533">
      <w:pPr>
        <w:pStyle w:val="TextoNormal"/>
      </w:pPr>
    </w:p>
    <w:p w14:paraId="27663CB0" w14:textId="77777777" w:rsidR="00C04533" w:rsidRDefault="00C04533" w:rsidP="00C04533">
      <w:pPr>
        <w:pStyle w:val="TextoNormal"/>
      </w:pPr>
      <w:r w:rsidRPr="00C04533">
        <w:rPr>
          <w:rStyle w:val="NumeroAFNegritaCaracter"/>
        </w:rPr>
        <w:t>2</w:t>
      </w:r>
      <w:r>
        <w:t xml:space="preserve">. </w:t>
      </w:r>
      <w:r w:rsidRPr="00C04533">
        <w:rPr>
          <w:i/>
        </w:rPr>
        <w:t>Inadmisión</w:t>
      </w:r>
      <w:r>
        <w:t xml:space="preserve"> a limine </w:t>
      </w:r>
      <w:r w:rsidRPr="00C04533">
        <w:rPr>
          <w:i/>
        </w:rPr>
        <w:t>por extemporaneidad de las pretensiones de recusación formuladas</w:t>
      </w:r>
    </w:p>
    <w:p w14:paraId="7515FBA1" w14:textId="77777777" w:rsidR="00C04533" w:rsidRDefault="00C04533" w:rsidP="00C04533">
      <w:pPr>
        <w:pStyle w:val="TextoNormal"/>
      </w:pPr>
    </w:p>
    <w:p w14:paraId="3E481B0A" w14:textId="77777777" w:rsidR="00C04533" w:rsidRDefault="00C04533" w:rsidP="00C04533">
      <w:pPr>
        <w:pStyle w:val="TextoNormal"/>
      </w:pPr>
      <w:r>
        <w:t xml:space="preserve">A) Conforme enseña el ATC 490/2023, de 24 de octubre, del Pleno de este tribunal, FJ 1.B f), «es doctrina constitucional reiterada a la que se refiere por ejemplo nuestro ATC 72/2022, de 27 de abril, FJ 1 b), que “el Pleno de este tribunal ha recordado recientemente, en el ya citado ATC 17/2022 [de 25 de enero], FJ 4 C) b), que la decisión de inadmisión </w:t>
      </w:r>
      <w:r w:rsidRPr="00C04533">
        <w:rPr>
          <w:i/>
        </w:rPr>
        <w:t>a limine</w:t>
      </w:r>
      <w:r>
        <w:t xml:space="preserve"> de las recusaciones se encuentra asentada en la doctrina de este tribunal, desde luego cuando incurran en defectuoso planteamiento procesal (ATC 383/2006, de 2 de noviembre, FJ 2, y 394/2006, de 7 de noviembre, FJ 2), pero también en atención a las circunstancias que las circundan, de su planteamiento y de las argumentaciones de los recusantes, de acuerdo con el art. 11.2 LOPJ (AATC 394/2006, de 7 de noviembre, FJ 2; 454/2006, de 12 de diciembre, FJ 3, y 177/2007, de 7 de marzo, FJ 1. También, en el ATC 107/2021, FJ 5). […] Debemos añadir a lo anterior que, como señalan los AATC 84/2020 y 85/2020, de 21 de julio, FJ 2, y 86/2021, de 16 de septiembre, FJ 3, es acorde con el art. 6 del Convenio europeo para la protección de los derechos humanos y de las libertades fundamentales, que ‘las mociones de parcialidad no deben ser capaces de paralizar el sistema jurídico del Estado demandado. Este aspecto reviste especial importancia cuando se trata de tribunales de última instancia’ (STEDH de 9 de julio de 2015, asunto </w:t>
      </w:r>
      <w:r w:rsidRPr="00C04533">
        <w:rPr>
          <w:i/>
        </w:rPr>
        <w:t>A.K. c. Liechtenstein</w:t>
      </w:r>
      <w:r>
        <w:t>, § 82). Dicha premisa se intensifica en nuestro caso, en el que […] la singular naturaleza del Tribunal Constitucional […] debe ser tenida en cuenta a la hora de valorar los presupuestos de hecho invocados por las partes para fundamentar sus alegadas causas de recusación y llegar a una decisión sobre estas”».</w:t>
      </w:r>
    </w:p>
    <w:p w14:paraId="5856B8C8" w14:textId="77777777" w:rsidR="00C04533" w:rsidRDefault="00C04533" w:rsidP="00C04533">
      <w:pPr>
        <w:pStyle w:val="TextoNormal"/>
      </w:pPr>
    </w:p>
    <w:p w14:paraId="0260726E" w14:textId="77777777" w:rsidR="00C04533" w:rsidRDefault="00C04533" w:rsidP="00C04533">
      <w:pPr>
        <w:pStyle w:val="TextoNormal"/>
      </w:pPr>
      <w:r>
        <w:t xml:space="preserve">B) Por lo que atañe a la posible inadmisión de una solicitud de recusación por extemporánea, recordamos en el ATC 72/2022, de 27 de abril, FJ 2 A), </w:t>
      </w:r>
    </w:p>
    <w:p w14:paraId="675C08F7" w14:textId="77777777" w:rsidR="00C04533" w:rsidRDefault="00C04533" w:rsidP="00C04533">
      <w:pPr>
        <w:pStyle w:val="TextoNormal"/>
      </w:pPr>
    </w:p>
    <w:p w14:paraId="2354ABE2" w14:textId="77777777" w:rsidR="00C04533" w:rsidRDefault="00C04533" w:rsidP="00C04533">
      <w:pPr>
        <w:pStyle w:val="TextoNormal"/>
      </w:pPr>
      <w:r>
        <w:t>«El art. 223.1 LOPJ, de aplicación supletoria a los procesos sustanciados ante este Tribunal Constitucional conforme a la remisión efectuada por el art. 80 LOTC, señala que: “1. La recusación deberá proponerse tan pronto como se tenga conocimiento de la causa en que se funde, pues, en otro caso, no se admitirá a trámite. Concretamente, se inadmitirán las recusaciones: (1) Cuando no se propongan en el plazo de diez días desde la notificación de la primera resolución por la que se conozca la identidad del juez o magistrado a recusar, si el conocimiento de la concurrencia de la causa de recusación fuese anterior a aquel. (2) Cuando se propusieren, pendiente ya un proceso, si la causa de recusación se conociese con anterioridad al momento procesal en que la recusación se proponga”.</w:t>
      </w:r>
    </w:p>
    <w:p w14:paraId="3E2C774F" w14:textId="77777777" w:rsidR="00C04533" w:rsidRDefault="00C04533" w:rsidP="00C04533">
      <w:pPr>
        <w:pStyle w:val="TextoNormal"/>
      </w:pPr>
    </w:p>
    <w:p w14:paraId="6B64779E" w14:textId="77777777" w:rsidR="00C04533" w:rsidRDefault="00C04533" w:rsidP="00C04533">
      <w:pPr>
        <w:pStyle w:val="TextoNormal"/>
      </w:pPr>
      <w:r>
        <w:t xml:space="preserve">Sobre la importancia de esta exigencia de denuncia inmediata de la lesión producida, trasunto del requisito previsto para los procesos de amparo por el art. 44.1 c) LOTC [STC 180/2021, de 25 de octubre, FJ 2 a)], hemos recordado recientemente que: “La exigencia de una actitud proactiva de la parte que propone la recusación está íntimamente vinculada con la necesidad de evitar la posibilidad de utilizar el instrumento de la recusación como un mecanismo intimidatorio que sobrevuele la intervención de un magistrado en la tramitación de un procedimiento, a modo de condicionante de su actuación. Como recordamos en nuestro ATC 180/2013, de 17 de septiembre, FJ 2 f), la regla general plasmada en el primer párrafo del art. 223.1 LOPJ ‘está inspirada en evitar que la posibilidad de recusación de cualquier juez llegue a convertirse en una suerte de amenaza o presión para el juzgador, erigiéndose en un instrumento que la parte pudiera interesar a su conveniencia, </w:t>
      </w:r>
      <w:r w:rsidRPr="00C04533">
        <w:rPr>
          <w:i/>
        </w:rPr>
        <w:t>sine die</w:t>
      </w:r>
      <w:r>
        <w:t>, amparado en la indeterminación —o difícil probanza— del momento de la citada toma de conocimiento’. Por otro lado, la doctrina de este tribunal sobre el derecho al juez imparcial reconocido en el art. 24.2 CE parte de la base de que la imparcialidad se presume (por todas, STC 91/2021, de 22 de abril, FJ 5.1.1, y la jurisprudencia del Tribunal Europeo de Derechos Humanos allí citada). Este principio se configura como una garantía para el juez o magistrado frente a recusaciones objetivamente infundadas, pero también para todas las partes implicadas en el proceso. Ninguno de los intervinientes debe verse sometido a una permanente incertidumbre en sus legítimas expectativas sobre la apariencia de imparcialidad de quien ha de resolver su causa. El derecho al juez imparcial debe hacerse valer a través del instrumento de la recusación, pero el resto de las partes debe tener la garantía de que cualquier duda sobre esa imparcialidad ha de ser despejada tan pronto como sea posible, precisamente en garantía de ese derecho, y no en función de una mera estrategia procesal de otra de las partes” [ATC 17/2022, FJ 3 b)]».</w:t>
      </w:r>
    </w:p>
    <w:p w14:paraId="2C4C36E0" w14:textId="77777777" w:rsidR="00C04533" w:rsidRDefault="00C04533" w:rsidP="00C04533">
      <w:pPr>
        <w:pStyle w:val="TextoNormal"/>
      </w:pPr>
    </w:p>
    <w:p w14:paraId="4E58CBB7" w14:textId="77777777" w:rsidR="00C04533" w:rsidRDefault="00C04533" w:rsidP="00C04533">
      <w:pPr>
        <w:pStyle w:val="TextoNormal"/>
      </w:pPr>
      <w:r>
        <w:t>En aplicación de esta doctrina hemos declarado la inadmisión por extemporánea de las correspondientes solicitudes de recusación, últimamente, en los AATC 72/2022, cit., FJ 2 C); 238/2023, de 9 de mayo, FJ único, y 31/2024, de 9 de abril, FJ 3 a).</w:t>
      </w:r>
    </w:p>
    <w:p w14:paraId="7D04E64E" w14:textId="77777777" w:rsidR="00C04533" w:rsidRDefault="00C04533" w:rsidP="00C04533">
      <w:pPr>
        <w:pStyle w:val="TextoNormal"/>
      </w:pPr>
    </w:p>
    <w:p w14:paraId="7F97D204" w14:textId="77777777" w:rsidR="00C04533" w:rsidRDefault="00C04533" w:rsidP="00C04533">
      <w:pPr>
        <w:pStyle w:val="TextoNormal"/>
      </w:pPr>
      <w:r>
        <w:t>C) La doctrina de referencia conduce a la inadmisión por extemporáneas de las recusaciones planteadas por el Partido Popular.</w:t>
      </w:r>
    </w:p>
    <w:p w14:paraId="63783377" w14:textId="77777777" w:rsidR="00C04533" w:rsidRDefault="00C04533" w:rsidP="00C04533">
      <w:pPr>
        <w:pStyle w:val="TextoNormal"/>
      </w:pPr>
    </w:p>
    <w:p w14:paraId="05C54612" w14:textId="77777777" w:rsidR="00C04533" w:rsidRDefault="00C04533" w:rsidP="00C04533">
      <w:pPr>
        <w:pStyle w:val="TextoNormal"/>
      </w:pPr>
      <w:r>
        <w:t>a) Con relación a la magistrada doña Inmaculada Montalbán Huertas y el haber incurrido en la causa decimotercera del art. 219 LOPJ, se alega su participación como magistrada de la Sala de lo Contencioso-Administrativo del Tribunal Superior de Justicia de Andalucía, con sede en Granada, en diversas sentencias dictadas no antes del año 2019, resolviendo impugnaciones relacionadas con el cumplimiento de la documentación necesaria para poder cobrar pólizas de rentas de prejubilación de los respectivos recurrentes. Dejando a un lado que del contenido de esas sentencias no se extrae una relación con los hechos enjuiciados en la causa penal fallada por las sentencias impugnadas en el presente recurso de amparo (cuestión más relacionada con el fondo de la recusación, sobre el que no precisa que nos pronunciemos), es evidente que la información obtenida, como reconoce la parte recusante, en las bases de datos de jurisprudencia del CENDOJ, estaban a su disposición a la fecha en que conoció que la Excma. señora Montalbán Huertas formaba parte del Pleno de este tribunal, lo que de modo más reciente (y dicho sea colocándonos en la hipótesis más favorable a la parte recusante) tuvo lugar con la publicación en el “Boletín Oficial del Estado” de 19 de enero de 2023, del acuerdo del Pleno de este tribunal de 17 de enero de 2023 que dispuso la actual composición de las Salas y Secciones y en su conjunto, la del propio Pleno. Nada hizo el Partido Popular en este sentido, sino que ha venido a presentar la recusación el 15 de julio de 2024, más de un año y medio después, argumentando en su descargo que el hecho en cuestión habría sido descubierto por una información de prensa.</w:t>
      </w:r>
    </w:p>
    <w:p w14:paraId="1F475008" w14:textId="77777777" w:rsidR="00C04533" w:rsidRDefault="00C04533" w:rsidP="00C04533">
      <w:pPr>
        <w:pStyle w:val="TextoNormal"/>
      </w:pPr>
    </w:p>
    <w:p w14:paraId="53E4A891" w14:textId="77777777" w:rsidR="00C04533" w:rsidRDefault="00C04533" w:rsidP="00C04533">
      <w:pPr>
        <w:pStyle w:val="TextoNormal"/>
      </w:pPr>
      <w:r>
        <w:t xml:space="preserve">No puede desde luego aceptarse la tesis de la parte recusante, que supondría dejar a los medios de comunicación la facultad de determinar el </w:t>
      </w:r>
      <w:r w:rsidRPr="00C04533">
        <w:rPr>
          <w:i/>
        </w:rPr>
        <w:t>dies a quo</w:t>
      </w:r>
      <w:r>
        <w:t xml:space="preserve"> del plazo del art. 223.1 LOPJ en aquellas causas de alcance mediático, impidiendo mientras nada publiquen que corra el citado plazo legal, con la consiguiente inseguridad jurídica e indebida dispensa a las partes del proceso de la carga que solo sobre ellas recae, en cuanto a poner de manifiesto de manera inmediata en aquel plazo la posible causa de parcialidad que concurriere, mediante escrito fundado.</w:t>
      </w:r>
    </w:p>
    <w:p w14:paraId="1DC8562E" w14:textId="77777777" w:rsidR="00C04533" w:rsidRDefault="00C04533" w:rsidP="00C04533">
      <w:pPr>
        <w:pStyle w:val="TextoNormal"/>
      </w:pPr>
    </w:p>
    <w:p w14:paraId="2AAC7D5E" w14:textId="77777777" w:rsidR="00C04533" w:rsidRDefault="00C04533" w:rsidP="00C04533">
      <w:pPr>
        <w:pStyle w:val="TextoNormal"/>
      </w:pPr>
      <w:r>
        <w:t xml:space="preserve">b) Otro tanto debe por fuerza indicarse por lo que se refiere a la recusación de la magistrada Excma. Srª. Balaguer Callejón, cuya condición de magistrada del Pleno de este tribunal se conocía como mínimo desde la publicación citada del “BOE” de 19 de enero de 2023. Los dictámenes que menciona el partido recusante, concernientes a temas distintos y posteriores a los hechos enjuiciados por las sentencias penales impugnadas en este recurso de amparo, podían haber sido localizados sin dificultad en las mismas fuentes a las que ahora se acude, teniendo en cuenta la notoriedad de la actuación de dicha magistrada en el Consejo Consultivo de Andalucía; dato que además figura en su </w:t>
      </w:r>
      <w:r w:rsidRPr="00C04533">
        <w:rPr>
          <w:i/>
        </w:rPr>
        <w:t>curriculum vitae</w:t>
      </w:r>
      <w:r>
        <w:t xml:space="preserve"> el cual aparece colgado —como el de cada uno de los demás magistrados de este tribunal— en nuestra página web.</w:t>
      </w:r>
    </w:p>
    <w:p w14:paraId="0DF0AD52" w14:textId="77777777" w:rsidR="00C04533" w:rsidRDefault="00C04533" w:rsidP="00C04533">
      <w:pPr>
        <w:pStyle w:val="TextoNormal"/>
      </w:pPr>
    </w:p>
    <w:p w14:paraId="2F1046CE" w14:textId="5F834830" w:rsidR="00C04533" w:rsidRDefault="00C04533" w:rsidP="00C04533">
      <w:pPr>
        <w:pStyle w:val="TextoNormal"/>
      </w:pPr>
      <w:r>
        <w:t xml:space="preserve">Procede por tanto inadmitir </w:t>
      </w:r>
      <w:r w:rsidRPr="00C04533">
        <w:rPr>
          <w:i/>
        </w:rPr>
        <w:t>a limine</w:t>
      </w:r>
      <w:r>
        <w:t xml:space="preserve"> la recusación de las magistradas doña Inmaculada Montalbán Huertas y doña María Luisa Balaguer Callejón, por haberse superado con creces el plazo del art. 223.1 LOPJ, aplicable supletoriamente para las recusaciones de los magistrados de este tribunal.</w:t>
      </w:r>
    </w:p>
    <w:p w14:paraId="126A20D9" w14:textId="77777777" w:rsidR="00C04533" w:rsidRDefault="00C04533" w:rsidP="00C04533">
      <w:pPr>
        <w:pStyle w:val="TextoNormal"/>
      </w:pPr>
    </w:p>
    <w:p w14:paraId="1EED0D9B" w14:textId="77777777" w:rsidR="00C04533" w:rsidRDefault="00C04533" w:rsidP="00C04533">
      <w:pPr>
        <w:pStyle w:val="TextoNormal"/>
      </w:pPr>
      <w:r>
        <w:t>Por lo expuesto, el Pleno</w:t>
      </w:r>
    </w:p>
    <w:p w14:paraId="62782176" w14:textId="35A891C5" w:rsidR="00C04533" w:rsidRDefault="00C04533" w:rsidP="00C04533">
      <w:pPr>
        <w:pStyle w:val="TextoNormal"/>
      </w:pPr>
    </w:p>
    <w:p w14:paraId="4E64A0BE" w14:textId="77777777" w:rsidR="00C04533" w:rsidRDefault="00C04533" w:rsidP="00C04533">
      <w:pPr>
        <w:pStyle w:val="TextoNormalCentrado"/>
      </w:pPr>
      <w:r>
        <w:t>ACUERDA</w:t>
      </w:r>
    </w:p>
    <w:p w14:paraId="2AE6BD82" w14:textId="7100FFDC" w:rsidR="00C04533" w:rsidRDefault="00C04533" w:rsidP="00C04533">
      <w:pPr>
        <w:pStyle w:val="TextoNormalCentrado"/>
      </w:pPr>
    </w:p>
    <w:p w14:paraId="06988CE8" w14:textId="25625A5A" w:rsidR="00C04533" w:rsidRDefault="00C04533" w:rsidP="00C04533">
      <w:pPr>
        <w:pStyle w:val="TextoNormal"/>
      </w:pPr>
      <w:r>
        <w:t>Inadmitir las recusaciones promovidas por el Partido Popular, por escritos de 15 de julio de 2024, en los recursos de amparo núms. 7007-2022, 2119-2023, 2239-2023, 2411-2023 y 2485-2023.</w:t>
      </w:r>
    </w:p>
    <w:p w14:paraId="77D0F092" w14:textId="77777777" w:rsidR="00C04533" w:rsidRDefault="00C04533" w:rsidP="00C04533">
      <w:pPr>
        <w:pStyle w:val="TextoNormal"/>
      </w:pPr>
    </w:p>
    <w:p w14:paraId="2166E3C9" w14:textId="77777777" w:rsidR="00C04533" w:rsidRDefault="00C04533" w:rsidP="00C04533">
      <w:pPr>
        <w:pStyle w:val="TextoNormal"/>
      </w:pPr>
      <w:r>
        <w:t>Madrid, a dieciséis de julio de dos mil veinticuatro.</w:t>
      </w:r>
    </w:p>
    <w:p w14:paraId="63EE1FA4" w14:textId="4140B43E" w:rsidR="00C04533" w:rsidRDefault="00C04533">
      <w:pPr>
        <w:spacing w:after="160" w:line="278" w:lineRule="auto"/>
        <w:rPr>
          <w:rFonts w:ascii="Times New Roman" w:eastAsia="Times New Roman" w:hAnsi="Times New Roman" w:cs="Times New Roman"/>
          <w:sz w:val="24"/>
          <w:szCs w:val="24"/>
          <w:lang w:eastAsia="es-ES"/>
        </w:rPr>
      </w:pPr>
      <w:r>
        <w:br w:type="page"/>
      </w:r>
    </w:p>
    <w:p w14:paraId="791A3C76" w14:textId="77777777" w:rsidR="00C04533" w:rsidRDefault="00C04533" w:rsidP="00C04533">
      <w:pPr>
        <w:pStyle w:val="TtuloResolucin"/>
      </w:pPr>
      <w:bookmarkStart w:id="77" w:name="AUTO_2024_71"/>
      <w:r>
        <w:t>AUTO 71/2024, de 16 de julio de 2024</w:t>
      </w:r>
    </w:p>
    <w:bookmarkEnd w:id="77"/>
    <w:p w14:paraId="7F7AD770" w14:textId="77777777" w:rsidR="00C04533" w:rsidRDefault="00C04533" w:rsidP="00C04533">
      <w:pPr>
        <w:pStyle w:val="TtuloResolucin"/>
      </w:pPr>
      <w:r>
        <w:t>Pleno</w:t>
      </w:r>
    </w:p>
    <w:p w14:paraId="30C4B0D6" w14:textId="77777777" w:rsidR="00C04533" w:rsidRDefault="00C04533" w:rsidP="00C04533">
      <w:pPr>
        <w:pStyle w:val="TextoNormalCentrado"/>
      </w:pPr>
      <w:r>
        <w:t>ECLI:ES:TC:2024:71A</w:t>
      </w:r>
    </w:p>
    <w:p w14:paraId="116B78C0" w14:textId="63042322" w:rsidR="00C04533" w:rsidRDefault="00C04533" w:rsidP="00C04533">
      <w:pPr>
        <w:pStyle w:val="TextoNormalCentrado"/>
      </w:pPr>
    </w:p>
    <w:p w14:paraId="58E61DE0"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0BAAF67E" w14:textId="11C8A171" w:rsidR="00C04533" w:rsidRDefault="00C04533" w:rsidP="00C04533">
      <w:pPr>
        <w:pStyle w:val="SntesisDescriptiva"/>
      </w:pPr>
    </w:p>
    <w:p w14:paraId="35444908" w14:textId="77777777" w:rsidR="00C04533" w:rsidRDefault="00C04533" w:rsidP="00C04533">
      <w:pPr>
        <w:pStyle w:val="SntesisDescriptiva"/>
      </w:pPr>
      <w:r>
        <w:t>Desestima el recurso de súplica interpuesto en relación con el ATC 32/2024, de 9 de abril, que inadmitió una recusación formulada en el recurso de amparo 773-2024, promovido por don Antonio López Navidad en litigio social.</w:t>
      </w:r>
    </w:p>
    <w:p w14:paraId="1570DACC" w14:textId="2586890C" w:rsidR="00C04533" w:rsidRDefault="00C04533" w:rsidP="00C04533">
      <w:pPr>
        <w:pStyle w:val="SntesisDescriptiva"/>
      </w:pPr>
    </w:p>
    <w:p w14:paraId="3851C0C6" w14:textId="77777777" w:rsidR="00C04533" w:rsidRDefault="00C04533" w:rsidP="00C04533">
      <w:pPr>
        <w:pStyle w:val="SntesisDescriptiva"/>
      </w:pPr>
    </w:p>
    <w:p w14:paraId="1DB1B813" w14:textId="77777777" w:rsidR="00C04533" w:rsidRDefault="00C04533" w:rsidP="00C04533">
      <w:pPr>
        <w:pStyle w:val="SntesisDescriptiva"/>
      </w:pPr>
    </w:p>
    <w:p w14:paraId="6F4620F4" w14:textId="77777777" w:rsidR="00C04533" w:rsidRDefault="00C04533" w:rsidP="00C04533">
      <w:pPr>
        <w:pStyle w:val="TextoNormalNegritaCentrado"/>
      </w:pPr>
      <w:r>
        <w:t>AUTO</w:t>
      </w:r>
    </w:p>
    <w:p w14:paraId="34C6E3B1" w14:textId="4D19BBCA" w:rsidR="00C04533" w:rsidRDefault="00C04533" w:rsidP="00C04533">
      <w:pPr>
        <w:pStyle w:val="TextoNormalNegritaCentrado"/>
      </w:pPr>
    </w:p>
    <w:p w14:paraId="7A65B2A0" w14:textId="77777777" w:rsidR="00C04533" w:rsidRDefault="00C04533" w:rsidP="00C04533">
      <w:pPr>
        <w:pStyle w:val="TextoNormalNegritaCentrado"/>
        <w:keepNext/>
      </w:pPr>
      <w:r>
        <w:t>I. Antecedentes</w:t>
      </w:r>
    </w:p>
    <w:p w14:paraId="5CF40C5A" w14:textId="198ABC47" w:rsidR="00C04533" w:rsidRDefault="00C04533" w:rsidP="00C04533">
      <w:pPr>
        <w:pStyle w:val="TextoNormalNegritaCentrado"/>
        <w:keepNext/>
      </w:pPr>
    </w:p>
    <w:p w14:paraId="6A2DFAF9" w14:textId="77777777" w:rsidR="00C04533" w:rsidRDefault="00C04533" w:rsidP="00C04533">
      <w:pPr>
        <w:pStyle w:val="TextoNormal"/>
      </w:pPr>
      <w:r w:rsidRPr="00C04533">
        <w:rPr>
          <w:rStyle w:val="NumeroAFNegritaCaracter"/>
        </w:rPr>
        <w:t>1</w:t>
      </w:r>
      <w:r>
        <w:t>. Mediante escrito presentado el día 5 de febrero de 2024 en el registro general del Tribunal, el procurador de los tribunales don Guzmán de la Villa de la Serna, en nombre y representación de don Antonio López Navidad, interpuso recurso de amparo contra las siguientes resoluciones dictadas por la Sala de lo Social del Tribunal Supremo en el proceso de error judicial núm. 2-2019, instado por el ahora demandante de amparo: (i) la providencia de 3 de diciembre de 2020, de señalamiento para la votación y fallo de la demanda por error judicial, y de designación de los magistrados que compondrán la sala; (ii) el auto de 25 de enero de 2021, desestimatorio del recurso de reposición interpuesto contra la providencia de 3 de diciembre de 2020; (iii) la sentencia núm. 90/2021, de 26 de enero, que desestima la demanda de error judicial presentada contra la sentencia dictada el día 18 de julio de 2014, por la Sala de lo Social del Tribunal Superior de Justicia de Cataluña en el recurso de suplicación núm. 3133-2014, confirmatoria de la dictada el 13 de diciembre de 2013 por el Juzgado de lo Social núm. 17 de Barcelona, en los autos núm. 1004-2012; (iv) el auto de 23 de junio de 2021, que inadmite el incidente de recusación promovido por don Antonio López Navidad frente a la entonces presidenta de la Sala de lo Social del Tribunal Supremo, doña María Luisa Segoviano Astaburuaga, y de la magistrada de la misma sala, doña Rosa María Virolés Piñol; (v) el auto de 1 de junio de 2022, desestimatorio del incidente de nulidad de actuaciones planteado contra el auto de 23 de junio de 2021; (vi) el auto de 17 de julio de 2023, que acuerda el archivo de las actuaciones; y (viii) la providencia de 29 de noviembre de 2023, que inadmite el incidente de nulidad de actuaciones formulado contra el auto de archivo de 17 de julio de 2023.</w:t>
      </w:r>
    </w:p>
    <w:p w14:paraId="49042A0F" w14:textId="77777777" w:rsidR="00C04533" w:rsidRDefault="00C04533" w:rsidP="00C04533">
      <w:pPr>
        <w:pStyle w:val="TextoNormal"/>
      </w:pPr>
    </w:p>
    <w:p w14:paraId="32323DB7" w14:textId="6B405B21" w:rsidR="00C04533" w:rsidRDefault="00C04533" w:rsidP="00C04533">
      <w:pPr>
        <w:pStyle w:val="TextoNormal"/>
      </w:pPr>
      <w:r>
        <w:t>En la demanda de amparo el recurrente invoca la vulneración de sus derechos a la tutela judicial efectiva (art. 24.1 CE) y a un proceso con todas las garantías, en cuanto comprende el derecho a un juez imparcial (art. 24.2 CE).</w:t>
      </w:r>
    </w:p>
    <w:p w14:paraId="33C939C3" w14:textId="77777777" w:rsidR="00C04533" w:rsidRDefault="00C04533" w:rsidP="00C04533">
      <w:pPr>
        <w:pStyle w:val="TextoNormal"/>
      </w:pPr>
    </w:p>
    <w:p w14:paraId="5179FBC5" w14:textId="77777777" w:rsidR="00C04533" w:rsidRDefault="00C04533" w:rsidP="00C04533">
      <w:pPr>
        <w:pStyle w:val="TextoNormal"/>
      </w:pPr>
      <w:r w:rsidRPr="00C04533">
        <w:rPr>
          <w:rStyle w:val="NumeroAFNegritaCaracter"/>
        </w:rPr>
        <w:t>2</w:t>
      </w:r>
      <w:r>
        <w:t>. El 20 de febrero de 2024, la representación procesal del recurrente de amparo presentó en este tribunal un escrito en el que promovía incidente de recusación frente a los magistrados don Cándido Conde-Pumpido Tourón y don Juan Carlos Campo Moreno, y las magistradas doña Inmaculada Montalbán Huertas y doña María Luisa Segoviano Astaburuaga.</w:t>
      </w:r>
    </w:p>
    <w:p w14:paraId="1387113A" w14:textId="77777777" w:rsidR="00C04533" w:rsidRDefault="00C04533" w:rsidP="00C04533">
      <w:pPr>
        <w:pStyle w:val="TextoNormal"/>
      </w:pPr>
    </w:p>
    <w:p w14:paraId="72B22539" w14:textId="77777777" w:rsidR="00C04533" w:rsidRDefault="00C04533" w:rsidP="00C04533">
      <w:pPr>
        <w:pStyle w:val="TextoNormal"/>
      </w:pPr>
      <w:r>
        <w:t>En cuanto al magistrado don Cándido Conde-Pumpido Tourón, en el escrito de recusación se argumenta que está incurso en la causa 8 del art. 219 de la Ley Orgánica del Poder Judicial (LOPJ): (“tener pleito pendiente con alguna” de las partes), así como en la causa 11 del art. 219 LOPJ (“haber resuelto el pleito o causa en la anterior instancia”, por tener la condición de “codemandado” en el recurso de amparo y por haber sido ponente de un auto de 11 de marzo de 2016, dictado por la sala prevista en el artículo 61 LOPJ, y que disponía, según se afirma, la inadmisión de una previa demanda de error judicial (procedimiento núm. 9-2015) presentada por el recurrente frente a una sentencia dictada el 24 de junio de 2015 por la Sala de lo Social del Tribunal Supremo, en el recurso de casación para la unificación de doctrina núm. 3125-2012.</w:t>
      </w:r>
    </w:p>
    <w:p w14:paraId="520B12D6" w14:textId="77777777" w:rsidR="00C04533" w:rsidRDefault="00C04533" w:rsidP="00C04533">
      <w:pPr>
        <w:pStyle w:val="TextoNormal"/>
      </w:pPr>
    </w:p>
    <w:p w14:paraId="6EA110C8" w14:textId="77777777" w:rsidR="00C04533" w:rsidRDefault="00C04533" w:rsidP="00C04533">
      <w:pPr>
        <w:pStyle w:val="TextoNormal"/>
      </w:pPr>
      <w:r>
        <w:t>Respecto de la magistrada doña María Luisa Segoviano Astaburuaga, plantea el recusante las mismas causas de recusación acabadas de reseñar (art. 219.8 y 11 LOPJ), esta vez por haber formado parte la magistrada recusada del colegio de magistrados que resolvió el referido recurso de casación para la unificación de doctrina núm. 3125-2012, a lo que añade lo siguiente:</w:t>
      </w:r>
    </w:p>
    <w:p w14:paraId="0BFFBE5D" w14:textId="77777777" w:rsidR="00C04533" w:rsidRDefault="00C04533" w:rsidP="00C04533">
      <w:pPr>
        <w:pStyle w:val="TextoNormal"/>
      </w:pPr>
    </w:p>
    <w:p w14:paraId="0A9CDC91" w14:textId="77777777" w:rsidR="00C04533" w:rsidRDefault="00C04533" w:rsidP="00C04533">
      <w:pPr>
        <w:pStyle w:val="TextoNormal"/>
      </w:pPr>
      <w:r>
        <w:t>(i) La ponente en el proceso de error judicial núm. 8-2020, la magistrada señora Arastey Sahún, solicitó el 17 de marzo de 2021 el señalamiento para votación y fallo a la entonces presidenta de la Sala de lo Social del Tribunal Supremo, ahora recusada, que lo efectuó siete meses más tarde cuando la señora Arastey Sahún se incorporó al Tribunal de Justicia de la Unión Europea y en respuesta a la petición de impulso procesal. En la providencia de señalamiento asimismo designó “ponente sustituta a dedo”, a la magistrada señora Ureste García.</w:t>
      </w:r>
    </w:p>
    <w:p w14:paraId="5B63517E" w14:textId="77777777" w:rsidR="00C04533" w:rsidRDefault="00C04533" w:rsidP="00C04533">
      <w:pPr>
        <w:pStyle w:val="TextoNormal"/>
      </w:pPr>
    </w:p>
    <w:p w14:paraId="412CE70F" w14:textId="77777777" w:rsidR="00C04533" w:rsidRDefault="00C04533" w:rsidP="00C04533">
      <w:pPr>
        <w:pStyle w:val="TextoNormal"/>
      </w:pPr>
      <w:r>
        <w:t>(ii) En el auto de inadmisión del recurso de casación para unificación de doctrina núm. 3739-2014, no se hizo referencia a la sentencia firme de 9 de mayo de 2014, sino que se basó en exclusiva en el escrito de impugnación del recurso de suplicación que dio lugar a la sentencia de 18 de julio de 2014.</w:t>
      </w:r>
    </w:p>
    <w:p w14:paraId="57309269" w14:textId="77777777" w:rsidR="00C04533" w:rsidRDefault="00C04533" w:rsidP="00C04533">
      <w:pPr>
        <w:pStyle w:val="TextoNormal"/>
      </w:pPr>
    </w:p>
    <w:p w14:paraId="6962D1A4" w14:textId="77777777" w:rsidR="00C04533" w:rsidRDefault="00C04533" w:rsidP="00C04533">
      <w:pPr>
        <w:pStyle w:val="TextoNormal"/>
      </w:pPr>
      <w:r>
        <w:t>(iii) El 3 de diciembre de 2020 dictó una providencia por la que designó nueva ponente a la magistrada doña Rosa María Virolés Piñol y a los otros dos miembros de la Sala, doña María Luz García de Paredes y don Juan Molins García-Atance; a ello añade que la señora Virolés Piñol en el auto de 23 de junio de 2021 decidió “proclamarse a sí misma ‘nueva’ ponente”.</w:t>
      </w:r>
    </w:p>
    <w:p w14:paraId="2A33709C" w14:textId="77777777" w:rsidR="00C04533" w:rsidRDefault="00C04533" w:rsidP="00C04533">
      <w:pPr>
        <w:pStyle w:val="TextoNormal"/>
      </w:pPr>
    </w:p>
    <w:p w14:paraId="7581E326" w14:textId="44D5B1DB" w:rsidR="00C04533" w:rsidRDefault="00C04533" w:rsidP="00C04533">
      <w:pPr>
        <w:pStyle w:val="TextoNormal"/>
      </w:pPr>
      <w:r>
        <w:t>Y respecto a la magistrada doña Inmaculada Montalbán Huertas y al magistrado don Juan Carlos Campo Moreno, alega que están incursos en la causa de recusación 11 del art. 219 LOPJ, porque “[a]mbos han intervenido como principales protagonistas” en el incidente de recusación promovido por el recurrente el 27 de julio de 2023 contra el magistrado don Cándido Conde-Pumpido Tourón y la magistrada doña María Luisa Segoviano Astaburuaga, en el recurso de amparo núm. 4811-2023; la primera como presidenta del Pleno del Tribunal Constitucional que dictó el ATC 488/2023, de 24 de octubre, por el que se inadmiten a trámite esas recusaciones, y el segundo como magistrado ponente de dicho incidente de recusación.</w:t>
      </w:r>
    </w:p>
    <w:p w14:paraId="226FA0DC" w14:textId="77777777" w:rsidR="00C04533" w:rsidRDefault="00C04533" w:rsidP="00C04533">
      <w:pPr>
        <w:pStyle w:val="TextoNormal"/>
      </w:pPr>
    </w:p>
    <w:p w14:paraId="1954C621" w14:textId="64419855" w:rsidR="00C04533" w:rsidRDefault="00C04533" w:rsidP="00C04533">
      <w:pPr>
        <w:pStyle w:val="TextoNormal"/>
      </w:pPr>
      <w:r w:rsidRPr="00C04533">
        <w:rPr>
          <w:rStyle w:val="NumeroAFNegritaCaracter"/>
        </w:rPr>
        <w:t>3</w:t>
      </w:r>
      <w:r>
        <w:t>. Por diligencia de ordenación de 8 de marzo de 2024, notificada al procurador del demandante el 12 de marzo de 2024, se acuerda formar pieza separada y designar ponente del incidente de recusación a la magistrada doña Concepción Espejel Jorquera.</w:t>
      </w:r>
    </w:p>
    <w:p w14:paraId="4FDA1333" w14:textId="77777777" w:rsidR="00C04533" w:rsidRDefault="00C04533" w:rsidP="00C04533">
      <w:pPr>
        <w:pStyle w:val="TextoNormal"/>
      </w:pPr>
    </w:p>
    <w:p w14:paraId="1AE0C88E" w14:textId="77777777" w:rsidR="00C04533" w:rsidRDefault="00C04533" w:rsidP="00C04533">
      <w:pPr>
        <w:pStyle w:val="TextoNormal"/>
      </w:pPr>
      <w:r w:rsidRPr="00C04533">
        <w:rPr>
          <w:rStyle w:val="NumeroAFNegritaCaracter"/>
        </w:rPr>
        <w:t>4</w:t>
      </w:r>
      <w:r>
        <w:t>. Por ATC 32/2024, de 9 de abril, el Pleno del Tribunal acordó la inadmisión a trámite de las recusaciones promovidas por el actor. Tras recordar la singular naturaleza de este órgano constitucional y de sus miembros (FJ 2), el Tribunal inadmitió la pretensión por aplicación de su constante doctrina (AATC 156/2022, de 16 de noviembre, FJ 2; 31/2023, de 7 de febrero, FJ 2, y 238/2023, de 9 de mayo, FJ único) que da pie a adoptar este tipo de decisiones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fraude de ley o procesal de acuerdo con lo establecido en el art. 11.2 LOPJ.</w:t>
      </w:r>
    </w:p>
    <w:p w14:paraId="4BFBBE60" w14:textId="77777777" w:rsidR="00C04533" w:rsidRDefault="00C04533" w:rsidP="00C04533">
      <w:pPr>
        <w:pStyle w:val="TextoNormal"/>
      </w:pPr>
    </w:p>
    <w:p w14:paraId="63C7D406" w14:textId="77777777" w:rsidR="00C04533" w:rsidRDefault="00C04533" w:rsidP="00C04533">
      <w:pPr>
        <w:pStyle w:val="TextoNormal"/>
      </w:pPr>
      <w:r>
        <w:t xml:space="preserve">La denegación </w:t>
      </w:r>
      <w:r w:rsidRPr="00C04533">
        <w:rPr>
          <w:i/>
        </w:rPr>
        <w:t>a limine</w:t>
      </w:r>
      <w:r>
        <w:t xml:space="preserve"> de la tramitación de las recusaciones formuladas que han dado lugar al presente incidente, se fundó en las siguientes razones:</w:t>
      </w:r>
    </w:p>
    <w:p w14:paraId="09C12E45" w14:textId="77777777" w:rsidR="00C04533" w:rsidRDefault="00C04533" w:rsidP="00C04533">
      <w:pPr>
        <w:pStyle w:val="TextoNormal"/>
      </w:pPr>
    </w:p>
    <w:p w14:paraId="7FE69456" w14:textId="77777777" w:rsidR="00C04533" w:rsidRDefault="00C04533" w:rsidP="00C04533">
      <w:pPr>
        <w:pStyle w:val="TextoNormal"/>
      </w:pPr>
      <w:r>
        <w:t>“a) En relación con la recusación del magistrado don Cándido Conde-Pumpido Tourón, presidente de este tribunal y de su Sección Primera —la cual debe decidir sobre la admisión del presente recurso de amparo—, no concurre ninguna de las dos causas que afirma el recusante:</w:t>
      </w:r>
    </w:p>
    <w:p w14:paraId="603A7E80" w14:textId="77777777" w:rsidR="00C04533" w:rsidRDefault="00C04533" w:rsidP="00C04533">
      <w:pPr>
        <w:pStyle w:val="TextoNormal"/>
      </w:pPr>
    </w:p>
    <w:p w14:paraId="4A2D110F" w14:textId="77777777" w:rsidR="00C04533" w:rsidRDefault="00C04533" w:rsidP="00C04533">
      <w:pPr>
        <w:pStyle w:val="TextoNormal"/>
      </w:pPr>
      <w:r>
        <w:t>(i) La prevista en el art. 219.8 LOPJ (‘[t]ener pleito pendiente con alguna’ de las partes en el proceso), es notoriamente infundada, dado que el magistrado señor Conde-Pumpido Tourón carece en este proceso constitucional de la condición de ‘codemandado’ que le atribuye el recusante, al no hallarse comprendido en ninguno de los supuestos contemplados en el art. 47.1 LOTC.</w:t>
      </w:r>
    </w:p>
    <w:p w14:paraId="5EAF5CC3" w14:textId="77777777" w:rsidR="00C04533" w:rsidRDefault="00C04533" w:rsidP="00C04533">
      <w:pPr>
        <w:pStyle w:val="TextoNormal"/>
      </w:pPr>
    </w:p>
    <w:p w14:paraId="1A57FE10" w14:textId="77777777" w:rsidR="00C04533" w:rsidRDefault="00C04533" w:rsidP="00C04533">
      <w:pPr>
        <w:pStyle w:val="TextoNormal"/>
      </w:pPr>
      <w:r>
        <w:t>(ii) En cuanto a la recusación por la causa 11 del artículo 219 LOPJ (‘[h]aber resuelto el pleito o causa en anterior instancia’), coincide en sus términos con la recusación que el mismo recusante planteó el 27 de julio de 2023 en el recurso de amparo núm. 4811-2023 y que fue inadmitida por el ATC 488/2023, de 24 de octubre, cuyos fundamentos damos aquí por reproducidos, a los que cabe añadir que la resolución a la que el recurrente vincula la alegada falta de imparcialidad no fue dictada en el proceso por error judicial del que dimanan las resoluciones que son objeto del presente recurso de amparo.</w:t>
      </w:r>
    </w:p>
    <w:p w14:paraId="544852AB" w14:textId="77777777" w:rsidR="00C04533" w:rsidRDefault="00C04533" w:rsidP="00C04533">
      <w:pPr>
        <w:pStyle w:val="TextoNormal"/>
      </w:pPr>
    </w:p>
    <w:p w14:paraId="6CDBACE4" w14:textId="77777777" w:rsidR="00C04533" w:rsidRDefault="00C04533" w:rsidP="00C04533">
      <w:pPr>
        <w:pStyle w:val="TextoNormal"/>
      </w:pPr>
      <w:r>
        <w:t>b) En relación con la recusación de la magistrada de la Sección Primera de este tribunal, doña María Luisa Segoviano Astaburuaga, no puede prosperar por las siguientes razones:</w:t>
      </w:r>
    </w:p>
    <w:p w14:paraId="7437049A" w14:textId="77777777" w:rsidR="00C04533" w:rsidRDefault="00C04533" w:rsidP="00C04533">
      <w:pPr>
        <w:pStyle w:val="TextoNormal"/>
      </w:pPr>
    </w:p>
    <w:p w14:paraId="08D2FBE1" w14:textId="77777777" w:rsidR="00C04533" w:rsidRDefault="00C04533" w:rsidP="00C04533">
      <w:pPr>
        <w:pStyle w:val="TextoNormal"/>
      </w:pPr>
      <w:r>
        <w:t xml:space="preserve">(i) Como acabamos de indicar respecto a la recusación del presidente de este tribunal, las causas 8 y 11 del art. 219 LOPJ invocadas en este incidente de recusación, por figurar como ‘codemandada’ en este recurso de amparo y por haber formado parte de la Sala de lo Social que resolvió el recurso de casación para la unificación de doctrina núm. 3125-2012, en primer lugar hay que dar por reproducidos los argumentos acabados de exponer determinantes de su rechazo </w:t>
      </w:r>
      <w:r w:rsidRPr="00C04533">
        <w:rPr>
          <w:i/>
        </w:rPr>
        <w:t>a limine</w:t>
      </w:r>
      <w:r>
        <w:t>; y en segundo lugar, además de coincidir con la recusación planteada en el recurso de amparo núm. 4811-2023, cuya inadmisión se produjo mediante el ATC 488/2023, de 24 de octubre, la resolución que resolvió el citado recurso de casación, a la que se anuda la falta de imparcialidad y de cuya fundamentación además discrepa el recusante, se dictó en un recurso de casación que no constituye una instancia anterior (art. 219.11 LOPJ) del proceso de error judicial en el que se dictaron las resoluciones impugnadas en el presente recurso de amparo.</w:t>
      </w:r>
    </w:p>
    <w:p w14:paraId="57146745" w14:textId="77777777" w:rsidR="00C04533" w:rsidRDefault="00C04533" w:rsidP="00C04533">
      <w:pPr>
        <w:pStyle w:val="TextoNormal"/>
      </w:pPr>
    </w:p>
    <w:p w14:paraId="7B57E71F" w14:textId="77777777" w:rsidR="00C04533" w:rsidRDefault="00C04533" w:rsidP="00C04533">
      <w:pPr>
        <w:pStyle w:val="TextoNormal"/>
      </w:pPr>
      <w:r>
        <w:t>(ii) Y en lo atinente a las circunstancias alegadas por el recusante en relación con la providencia de 3 de diciembre de 2020, de señalamiento para votación y fallo en el proceso de error judicial núm. 8-2020 y de designación del colegio de magistrados que había de resolverlo, constituye un acto de impulso procesal que en nada prejuzgó la sentencia dictada en el citado proceso y en la que ninguna intervención tuvo la magistrada ahora recusada. Por otra parte, los juicios de intenciones que el demandante atribuye a la magistrada recusada no pasan de ser la expresión de meras conjeturas sin apariencia alguna de verisimilitud.</w:t>
      </w:r>
    </w:p>
    <w:p w14:paraId="26E547C6" w14:textId="77777777" w:rsidR="00C04533" w:rsidRDefault="00C04533" w:rsidP="00C04533">
      <w:pPr>
        <w:pStyle w:val="TextoNormal"/>
      </w:pPr>
    </w:p>
    <w:p w14:paraId="5D6942D5" w14:textId="0E778D86" w:rsidR="00C04533" w:rsidRDefault="00C04533" w:rsidP="00C04533">
      <w:pPr>
        <w:pStyle w:val="TextoNormal"/>
      </w:pPr>
      <w:r>
        <w:t>c) En cuanto a la recusación de la vicepresidenta de este tribunal, la magistrada doña Inmaculada Montalbán Huertas, y del magistrado don Juan Carlos Campo Moreno, resulta improcedente en este momento procesal, ya que ninguno forma parte de la Sección Primera que debe decidir sobre la admisión del presente recurso de amparo, conforme a lo anteriormente señalado”.</w:t>
      </w:r>
    </w:p>
    <w:p w14:paraId="2465FB6E" w14:textId="77777777" w:rsidR="00C04533" w:rsidRDefault="00C04533" w:rsidP="00C04533">
      <w:pPr>
        <w:pStyle w:val="TextoNormal"/>
      </w:pPr>
    </w:p>
    <w:p w14:paraId="5F65C7E3" w14:textId="77777777" w:rsidR="00C04533" w:rsidRDefault="00C04533" w:rsidP="00C04533">
      <w:pPr>
        <w:pStyle w:val="TextoNormal"/>
      </w:pPr>
      <w:r w:rsidRPr="00C04533">
        <w:rPr>
          <w:rStyle w:val="NumeroAFNegritaCaracter"/>
        </w:rPr>
        <w:t>5</w:t>
      </w:r>
      <w:r>
        <w:t>. Frente al auto anterior el demandante interpuso recurso de súplica el 19 de abril de 2024, en el que también impugnó el ATC 33/2024, de 9 de abril, del Pleno de este tribunal, que inadmite el incidente de recusación formulado por el mismo recurrente en el recurso de amparo núm. 787-2024. Alega, en esencia, lo que considera infracciones cometidas en la resolución impugnada:</w:t>
      </w:r>
    </w:p>
    <w:p w14:paraId="7676C985" w14:textId="77777777" w:rsidR="00C04533" w:rsidRDefault="00C04533" w:rsidP="00C04533">
      <w:pPr>
        <w:pStyle w:val="TextoNormal"/>
      </w:pPr>
    </w:p>
    <w:p w14:paraId="26691962" w14:textId="77777777" w:rsidR="00C04533" w:rsidRDefault="00C04533" w:rsidP="00C04533">
      <w:pPr>
        <w:pStyle w:val="TextoNormal"/>
      </w:pPr>
      <w:r>
        <w:t>“1) Por infracción del procedimiento procesal de aplicación de la recusación: vulneración de los arts. 80 y 101 LOTC y de los arts. 217 y 223 LOPJ; y,</w:t>
      </w:r>
    </w:p>
    <w:p w14:paraId="6C15FB48" w14:textId="77777777" w:rsidR="00C04533" w:rsidRDefault="00C04533" w:rsidP="00C04533">
      <w:pPr>
        <w:pStyle w:val="TextoNormal"/>
      </w:pPr>
    </w:p>
    <w:p w14:paraId="40E87E6F" w14:textId="77777777" w:rsidR="00C04533" w:rsidRDefault="00C04533" w:rsidP="00C04533">
      <w:pPr>
        <w:pStyle w:val="TextoNormal"/>
      </w:pPr>
      <w:r>
        <w:t>2) Por infracción sustantiva-procesal de la resolución: [v]ulneración de los arts. 6.3 y 6.4 [del] Código civil; 238.1 y 238.3 LOPJ; del art. 11.2 LOPJ por la vulneración, por un lado, del art. 11.3 LOPJ - art. 24.1 CE - art. 120.3 CE - doctrina constitucional establecida por magistrados constitucionales anteriores a los actuales y, por otro lado, por la vulneración del art. 217 LOPJ - 24.2 CE - jurisprudencia del Tribunal Europeo Derechos Humanos en relación a la infracción del art. 217 LOPJ”.</w:t>
      </w:r>
    </w:p>
    <w:p w14:paraId="7309F3B2" w14:textId="77777777" w:rsidR="00C04533" w:rsidRDefault="00C04533" w:rsidP="00C04533">
      <w:pPr>
        <w:pStyle w:val="TextoNormal"/>
      </w:pPr>
    </w:p>
    <w:p w14:paraId="481B00F4" w14:textId="77777777" w:rsidR="00C04533" w:rsidRDefault="00C04533" w:rsidP="00C04533">
      <w:pPr>
        <w:pStyle w:val="TextoNormal"/>
      </w:pPr>
      <w:r>
        <w:t>La fundamentación del recurso se basa en que desde la interposición el 20 de febrero de 2024 de los tres incidentes de recusación, “se han producido hechos nuevos que afectan directamente y por igual a los tres recursos de amparo”, entre ellos aquel en el que se ha planteado el presente incidente de recusación. A la hora de concretar lo que califica como “hechos nuevos”, lo desarrolla en los siguientes cinco apartados que se reproducen en su literalidad:</w:t>
      </w:r>
    </w:p>
    <w:p w14:paraId="5DFC029D" w14:textId="77777777" w:rsidR="00C04533" w:rsidRDefault="00C04533" w:rsidP="00C04533">
      <w:pPr>
        <w:pStyle w:val="TextoNormal"/>
      </w:pPr>
    </w:p>
    <w:p w14:paraId="52210B61" w14:textId="77777777" w:rsidR="00C04533" w:rsidRDefault="00C04533" w:rsidP="00C04533">
      <w:pPr>
        <w:pStyle w:val="TextoNormal"/>
      </w:pPr>
      <w:r>
        <w:t>(i) “Procedimiento de demanda de error judicial 2-2019 [de la] Sala de lo Social. Escrito de 14 de marzo de 2024 de solicitud de copias certificadas de las cinco resoluciones pendientes e informes explicativos de las actuaciones denunciadas”.</w:t>
      </w:r>
    </w:p>
    <w:p w14:paraId="191EDDF3" w14:textId="77777777" w:rsidR="00C04533" w:rsidRDefault="00C04533" w:rsidP="00C04533">
      <w:pPr>
        <w:pStyle w:val="TextoNormal"/>
      </w:pPr>
    </w:p>
    <w:p w14:paraId="00830647" w14:textId="77777777" w:rsidR="00C04533" w:rsidRDefault="00C04533" w:rsidP="00C04533">
      <w:pPr>
        <w:pStyle w:val="TextoNormal"/>
      </w:pPr>
      <w:r>
        <w:t>(ii) “Recurso de alzada ante la Sala de Gobierno del Tribunal Supremo contra la imposición de multa al actor del art. 556 LOPJ - 75.4 de la Ley 36/2011, de 10 de octubre, reguladora de la jurisdicción social], en el procedimiento de demanda de error judicial 8-2020 de la Sala de lo Social (expte. 34-2023) y recusación de los magistrados [señores] Virolés y Marchena en virtud del art. 223 LOPJ (expte. 47-2023)”.</w:t>
      </w:r>
    </w:p>
    <w:p w14:paraId="05D2195B" w14:textId="77777777" w:rsidR="00C04533" w:rsidRDefault="00C04533" w:rsidP="00C04533">
      <w:pPr>
        <w:pStyle w:val="TextoNormal"/>
      </w:pPr>
    </w:p>
    <w:p w14:paraId="674BAE68" w14:textId="77777777" w:rsidR="00C04533" w:rsidRDefault="00C04533" w:rsidP="00C04533">
      <w:pPr>
        <w:pStyle w:val="TextoNormal"/>
      </w:pPr>
      <w:r>
        <w:t>(iii) “Procedimiento de demanda de error judicial A61-3-2021 contra la sentencia del procedimiento del recurso contencioso administrativo 2-365-2018 —ponente [don] Jorge Rodríguez-Zapata Pérez y entre los vocales [don] Eduardo Espín Templado—”.</w:t>
      </w:r>
    </w:p>
    <w:p w14:paraId="7BD413E6" w14:textId="77777777" w:rsidR="00C04533" w:rsidRDefault="00C04533" w:rsidP="00C04533">
      <w:pPr>
        <w:pStyle w:val="TextoNormal"/>
      </w:pPr>
    </w:p>
    <w:p w14:paraId="416D1E07" w14:textId="77777777" w:rsidR="00C04533" w:rsidRDefault="00C04533" w:rsidP="00C04533">
      <w:pPr>
        <w:pStyle w:val="TextoNormal"/>
      </w:pPr>
      <w:r>
        <w:t>(iv) “Providencia de 5 de marzo de 2024 por la que el Tribunal Constitucional inadmite el recurso de amparo 4811-2023 contra el procedimiento de demanda de error judicial A61-3-2021. Sección Primera: [señor] Conde-Pumpido Tourón, presidente; [señora] Espejel Jorquera, ponente; y [señora] Segoviano Astaburuaga, vocal”.</w:t>
      </w:r>
    </w:p>
    <w:p w14:paraId="5071D97A" w14:textId="77777777" w:rsidR="00C04533" w:rsidRDefault="00C04533" w:rsidP="00C04533">
      <w:pPr>
        <w:pStyle w:val="TextoNormal"/>
      </w:pPr>
    </w:p>
    <w:p w14:paraId="0E51B227" w14:textId="77777777" w:rsidR="00C04533" w:rsidRDefault="00C04533" w:rsidP="00C04533">
      <w:pPr>
        <w:pStyle w:val="TextoNormal"/>
      </w:pPr>
      <w:r>
        <w:t>(v) “El Tribunal Constitucional ha venido creando en las dos últimas décadas un ՙcorpus jurisprudencial propio՚ que entra en contradicción jurídica manifiesta con la normativa legislativa vigente de la propia Constitución española, de la propia ley rituaria del Tribunal Constitucional y de la doctrina constitucional acuñada anterior al corpus jurisprudencial-rituario de nueva creación”.</w:t>
      </w:r>
    </w:p>
    <w:p w14:paraId="0CBCBC02" w14:textId="77777777" w:rsidR="00C04533" w:rsidRDefault="00C04533" w:rsidP="00C04533">
      <w:pPr>
        <w:pStyle w:val="TextoNormal"/>
      </w:pPr>
    </w:p>
    <w:p w14:paraId="71B30B13" w14:textId="7798012B" w:rsidR="00C04533" w:rsidRDefault="00C04533" w:rsidP="00C04533">
      <w:pPr>
        <w:pStyle w:val="TextoNormal"/>
      </w:pPr>
      <w:r>
        <w:t>En el suplico solicita la admisión de los documentos aportados y la estimación del recurso. Por otra parte, en el otrosí primero afirma que “[e]l Tribunal Constitucional con su dejación sistemática de obligaciones ante las resoluciones del Tribunal Supremo que incurren en la vulneración de los derechos fundamentales de los ciudadanos constituye el factor esencial y decisivo que ampara, potencia y blinda la vulneración sistemática de los derechos fundamentales por parte del Tribunal Supremo”; y en el otrosí segundo pide que se de traslado de los documentos al Ministerio Fiscal “para que verifique conforme a los hechos probados señalados en las pruebas documentales, testimoniales y electrónicas aportadas y contenidas en autos, cuáles son constitutivos de delito”.</w:t>
      </w:r>
    </w:p>
    <w:p w14:paraId="2F01C9E4" w14:textId="77777777" w:rsidR="00C04533" w:rsidRDefault="00C04533" w:rsidP="00C04533">
      <w:pPr>
        <w:pStyle w:val="TextoNormal"/>
      </w:pPr>
    </w:p>
    <w:p w14:paraId="23E9F5F6" w14:textId="142E62F2" w:rsidR="00C04533" w:rsidRDefault="00C04533" w:rsidP="00C04533">
      <w:pPr>
        <w:pStyle w:val="TextoNormal"/>
      </w:pPr>
      <w:r w:rsidRPr="00C04533">
        <w:rPr>
          <w:rStyle w:val="NumeroAFNegritaCaracter"/>
        </w:rPr>
        <w:t>6</w:t>
      </w:r>
      <w:r>
        <w:t>. Una vez subsanados por el recusante los defectos advertidos en la documentación aportada, en virtud de diligencia de ordenación dictada el 7 de mayo de 2024 se dio traslado del recurso de súplica al Ministerio Fiscal, a fin de que en el plazo de tres días pudiera alegar lo que estimase procedente en relación con dicha impugnación.</w:t>
      </w:r>
    </w:p>
    <w:p w14:paraId="790ED010" w14:textId="77777777" w:rsidR="00C04533" w:rsidRDefault="00C04533" w:rsidP="00C04533">
      <w:pPr>
        <w:pStyle w:val="TextoNormal"/>
      </w:pPr>
    </w:p>
    <w:p w14:paraId="611835F2" w14:textId="605625EF" w:rsidR="00C04533" w:rsidRDefault="00C04533" w:rsidP="00C04533">
      <w:pPr>
        <w:pStyle w:val="TextoNormal"/>
      </w:pPr>
      <w:r w:rsidRPr="00C04533">
        <w:rPr>
          <w:rStyle w:val="NumeroAFNegritaCaracter"/>
        </w:rPr>
        <w:t>7</w:t>
      </w:r>
      <w:r>
        <w:t xml:space="preserve">. El 22 de mayo de 2024 tuvo entrada el escrito de alegaciones del Ministerio Fiscal. Tras exponer los antecedentes relevantes para la resolución de este recurso y la fundamentación del auto impugnado, así como las alegaciones y </w:t>
      </w:r>
      <w:r w:rsidRPr="00C04533">
        <w:rPr>
          <w:i/>
        </w:rPr>
        <w:t>petita</w:t>
      </w:r>
      <w:r>
        <w:t xml:space="preserve"> del recurso de súplica, interesa su desestimación: “En cuanto a las recusaciones de la magistrada Excma. señora doña Inmaculada Montalbán Huertas y del magistrado Excmo. señor don Juan Carlos Campo Moreno, por circunstancia tan obvia como que ninguno de ellos forma parte de la Sección Primera de ese Tribunal Constitucional, que es la que debe decidir sobre la admisión del recurso de amparo número 773-2024, argumento que, empleado en el auto de 9 de abril de 2024, ha de ser ahora confirmado. Y, por lo que se refiere a las recusaciones del magistrado Excmo. señor don Cándido Conde-Pumpido Tourón, presidente de ese tribunal y de su sección primera, y de la magistrada Excma. señora María Luisa Segoviano Astaburuaga, procederá igualmente la confirmación del auto de 9 de abril de 2024, toda vez que lo allí argumentado no ha sido desvirtuado por el recurso de súplica”.</w:t>
      </w:r>
    </w:p>
    <w:p w14:paraId="11A18548" w14:textId="77777777" w:rsidR="00C04533" w:rsidRDefault="00C04533" w:rsidP="00C04533">
      <w:pPr>
        <w:pStyle w:val="TextoNormal"/>
      </w:pPr>
    </w:p>
    <w:p w14:paraId="4BF4B3CE" w14:textId="77777777" w:rsidR="00C04533" w:rsidRDefault="00C04533" w:rsidP="00C04533">
      <w:pPr>
        <w:pStyle w:val="TextoNormalNegritaCentrado"/>
        <w:keepNext/>
      </w:pPr>
      <w:r>
        <w:t>II. Fundamentos jurídicos</w:t>
      </w:r>
    </w:p>
    <w:p w14:paraId="404F5942" w14:textId="3F200F38" w:rsidR="00C04533" w:rsidRDefault="00C04533" w:rsidP="00C04533">
      <w:pPr>
        <w:pStyle w:val="TextoNormalNegritaCentrado"/>
        <w:keepNext/>
      </w:pPr>
    </w:p>
    <w:p w14:paraId="3BEFCB3E" w14:textId="77777777" w:rsidR="00C04533" w:rsidRDefault="00C04533" w:rsidP="00C04533">
      <w:pPr>
        <w:pStyle w:val="TextoNormal"/>
      </w:pPr>
      <w:r w:rsidRPr="00C04533">
        <w:rPr>
          <w:rStyle w:val="NumeroAFNegritaCaracter"/>
        </w:rPr>
        <w:t>1</w:t>
      </w:r>
      <w:r>
        <w:t xml:space="preserve">. </w:t>
      </w:r>
      <w:r w:rsidRPr="00C04533">
        <w:rPr>
          <w:i/>
        </w:rPr>
        <w:t>Objeto de la presente resolución</w:t>
      </w:r>
    </w:p>
    <w:p w14:paraId="477845E8" w14:textId="77777777" w:rsidR="00C04533" w:rsidRDefault="00C04533" w:rsidP="00C04533">
      <w:pPr>
        <w:pStyle w:val="TextoNormal"/>
      </w:pPr>
    </w:p>
    <w:p w14:paraId="5371AE2E" w14:textId="77777777" w:rsidR="00C04533" w:rsidRDefault="00C04533" w:rsidP="00C04533">
      <w:pPr>
        <w:pStyle w:val="TextoNormal"/>
      </w:pPr>
      <w:r>
        <w:t>El objeto de esta resolución lo constituye el recurso de súplica interpuesto por el demandante de amparo frente al ATC 32/2024, del Pleno de este tribunal, que inadmitió, en los términos expuestos en el antecedente 4, las recusaciones promovidas por el demandante: del presidente del Tribunal, don Cándido Conde-Pumpido Tourón, del magistrado don Juan Carlos Campo Moreno y de las magistradas doña Inmaculada Montalbán Huertas y doña María Luisa Segoviano Astaburuaga.</w:t>
      </w:r>
    </w:p>
    <w:p w14:paraId="228D1EA8" w14:textId="77777777" w:rsidR="00C04533" w:rsidRDefault="00C04533" w:rsidP="00C04533">
      <w:pPr>
        <w:pStyle w:val="TextoNormal"/>
      </w:pPr>
    </w:p>
    <w:p w14:paraId="23C050FC" w14:textId="4B935E30" w:rsidR="00C04533" w:rsidRDefault="00C04533" w:rsidP="00C04533">
      <w:pPr>
        <w:pStyle w:val="TextoNormal"/>
      </w:pPr>
      <w:r>
        <w:t>Los argumentos contenidos en el recurso de súplica como en el escrito de alegaciones del Ministerio Fiscal, han quedado resumidos en los respectivos antecedentes 5 y 7 de la presente resolución.</w:t>
      </w:r>
    </w:p>
    <w:p w14:paraId="30EB3928" w14:textId="77777777" w:rsidR="00C04533" w:rsidRDefault="00C04533" w:rsidP="00C04533">
      <w:pPr>
        <w:pStyle w:val="TextoNormal"/>
      </w:pPr>
    </w:p>
    <w:p w14:paraId="2F942968" w14:textId="77777777" w:rsidR="00C04533" w:rsidRDefault="00C04533" w:rsidP="00C04533">
      <w:pPr>
        <w:pStyle w:val="TextoNormal"/>
      </w:pPr>
      <w:r w:rsidRPr="00C04533">
        <w:rPr>
          <w:rStyle w:val="NumeroAFNegritaCaracter"/>
        </w:rPr>
        <w:t>2</w:t>
      </w:r>
      <w:r>
        <w:t xml:space="preserve">. </w:t>
      </w:r>
      <w:r w:rsidRPr="00C04533">
        <w:rPr>
          <w:i/>
        </w:rPr>
        <w:t>Resolución de la impugnación</w:t>
      </w:r>
    </w:p>
    <w:p w14:paraId="7EC34981" w14:textId="77777777" w:rsidR="00C04533" w:rsidRDefault="00C04533" w:rsidP="00C04533">
      <w:pPr>
        <w:pStyle w:val="TextoNormal"/>
      </w:pPr>
    </w:p>
    <w:p w14:paraId="2B4C99DE" w14:textId="77777777" w:rsidR="00C04533" w:rsidRDefault="00C04533" w:rsidP="00C04533">
      <w:pPr>
        <w:pStyle w:val="TextoNormal"/>
      </w:pPr>
      <w:r>
        <w:t>Las alegaciones del recusante se formulan en términos ausentes de razonamiento alguno dirigido a rebatir los fundamentos del auto impugnado, que en nada han quedado desvirtuados y que pueden ser resumidos en los siguientes términos:</w:t>
      </w:r>
    </w:p>
    <w:p w14:paraId="04E6A5AD" w14:textId="77777777" w:rsidR="00C04533" w:rsidRDefault="00C04533" w:rsidP="00C04533">
      <w:pPr>
        <w:pStyle w:val="TextoNormal"/>
      </w:pPr>
    </w:p>
    <w:p w14:paraId="2EDAE5E1" w14:textId="77777777" w:rsidR="00C04533" w:rsidRDefault="00C04533" w:rsidP="00C04533">
      <w:pPr>
        <w:pStyle w:val="TextoNormal"/>
      </w:pPr>
      <w:r>
        <w:t>(i) En relación con el magistrado don Cándido Conde-Pumpido Tourón, presidente de este tribunal y de su sección primera, llamada a conocer en primer término del trámite de admisión del recurso de amparo interpuesto por el recusante, no concurre ninguna de las dos causas que este afirma, ni la prevista en el art. 219.8 LOPJ (“[t]ener pleito pendiente con alguna” de las partes en el proceso), pues es evidente que el magistrado recusado carece en este proceso constitucional de la condición de “codemandado” que le atribuye el recusante; ni tampoco la recusación por la causa 11 del art. 219 LOPJ (“[h]aber resuelto el pleito o causa en anterior instancia”), coincidente con la recusación que el mismo recurrente planteó en el recurso de amparo núm. 4811-2023 y que fue inadmitida por el ATC 488/2023, a lo que cabe añadir que la resolución a la que el recurrente vincula la alegada falta de imparcialidad no fue dictada en el proceso por error judicial del que dimanan las resoluciones que son objeto del presente recurso de amparo.</w:t>
      </w:r>
    </w:p>
    <w:p w14:paraId="24AAB7A1" w14:textId="77777777" w:rsidR="00C04533" w:rsidRDefault="00C04533" w:rsidP="00C04533">
      <w:pPr>
        <w:pStyle w:val="TextoNormal"/>
      </w:pPr>
    </w:p>
    <w:p w14:paraId="526C4478" w14:textId="77777777" w:rsidR="00C04533" w:rsidRDefault="00C04533" w:rsidP="00C04533">
      <w:pPr>
        <w:pStyle w:val="TextoNormal"/>
      </w:pPr>
      <w:r>
        <w:t>(ii) En cuanto a la recusación de la magistrada de la Sección Primera de este tribunal, doña María Luisa Segoviano Astaburuaga, tampoco concurren las dos causas de recusación previstas en el art. 219.8 y 11 LOPJ, por las mismas razones que se acaban de reproducir respecto a la recusación del presidente de este tribunal; a ello se agrega que la resolución de la Sala de lo Social del Tribunal Supremo que resolvió el recurso de casación a la que el recusante anuda la falta de imparcialidad, se dictó en un recurso de casación que no constituye una instancia anterior (art. 219.11 LOPJ) del proceso de error judicial en el que se dictaron las resoluciones ahora recurridas en amparo. Por último, en lo relativo a la providencia de 3 de diciembre de 2020, de señalamiento para votación y fallo en el proceso de error judicial núm. 8-2020 y de designación del colegio de magistrados que había de resolverlo, reiterar que lo decidido constituye un acto de impulso procesal que en nada prejuzgó la sentencia dictada en el citado proceso y en la que ninguna intervención tuvo la magistrada recusada, a la que el recusante atribuye juicios de intenciones que no son más que la expresión de meras conjeturas sin apariencia alguna de verosimilitud.</w:t>
      </w:r>
    </w:p>
    <w:p w14:paraId="6BD36598" w14:textId="77777777" w:rsidR="00C04533" w:rsidRDefault="00C04533" w:rsidP="00C04533">
      <w:pPr>
        <w:pStyle w:val="TextoNormal"/>
      </w:pPr>
    </w:p>
    <w:p w14:paraId="101B52A0" w14:textId="77777777" w:rsidR="00C04533" w:rsidRDefault="00C04533" w:rsidP="00C04533">
      <w:pPr>
        <w:pStyle w:val="TextoNormal"/>
      </w:pPr>
      <w:r>
        <w:t>(iii) Respecto a las recusaciones de la vicepresidenta de este tribunal, la magistrada doña Inmaculada Montalbán Huertas, y del magistrado don Juan Carlos Campo Moreno, hay que reiterar que ninguno de los dos forma parte de la Sección Primera que ha de decidir sobre la admisión a trámite del presente recurso de amparo, lo que determina que su recusación no pueda prosperar.</w:t>
      </w:r>
    </w:p>
    <w:p w14:paraId="6B1BDE58" w14:textId="77777777" w:rsidR="00C04533" w:rsidRDefault="00C04533" w:rsidP="00C04533">
      <w:pPr>
        <w:pStyle w:val="TextoNormal"/>
      </w:pPr>
    </w:p>
    <w:p w14:paraId="5183F854" w14:textId="272DC3D1" w:rsidR="00C04533" w:rsidRDefault="00C04533" w:rsidP="00C04533">
      <w:pPr>
        <w:pStyle w:val="TextoNormal"/>
      </w:pPr>
      <w:r>
        <w:t>Procede, en consecuencia, desestimar el recurso de súplica planteado por el demandante de amparo y confirmar el auto impugnado.</w:t>
      </w:r>
    </w:p>
    <w:p w14:paraId="10D63261" w14:textId="77777777" w:rsidR="00C04533" w:rsidRDefault="00C04533" w:rsidP="00C04533">
      <w:pPr>
        <w:pStyle w:val="TextoNormal"/>
      </w:pPr>
    </w:p>
    <w:p w14:paraId="62594BE2" w14:textId="77777777" w:rsidR="00C04533" w:rsidRDefault="00C04533" w:rsidP="00C04533">
      <w:pPr>
        <w:pStyle w:val="TextoNormal"/>
      </w:pPr>
      <w:r>
        <w:t>Por lo expuesto, el Pleno</w:t>
      </w:r>
    </w:p>
    <w:p w14:paraId="294E3DAB" w14:textId="39A0A150" w:rsidR="00C04533" w:rsidRDefault="00C04533" w:rsidP="00C04533">
      <w:pPr>
        <w:pStyle w:val="TextoNormal"/>
      </w:pPr>
    </w:p>
    <w:p w14:paraId="140E9948" w14:textId="77777777" w:rsidR="00C04533" w:rsidRDefault="00C04533" w:rsidP="00C04533">
      <w:pPr>
        <w:pStyle w:val="TextoNormalCentrado"/>
      </w:pPr>
      <w:r>
        <w:t>ACUERDA</w:t>
      </w:r>
    </w:p>
    <w:p w14:paraId="2F29BACE" w14:textId="6EF04EDE" w:rsidR="00C04533" w:rsidRDefault="00C04533" w:rsidP="00C04533">
      <w:pPr>
        <w:pStyle w:val="TextoNormalCentrado"/>
      </w:pPr>
    </w:p>
    <w:p w14:paraId="14356656" w14:textId="5FA39A87" w:rsidR="00C04533" w:rsidRDefault="00C04533" w:rsidP="00C04533">
      <w:pPr>
        <w:pStyle w:val="TextoNormal"/>
      </w:pPr>
      <w:r>
        <w:t>Desestimar el recurso de súplica interpuesto por don Antonio López Navidad contra el ATC 32/2024, de 9 de abril.</w:t>
      </w:r>
    </w:p>
    <w:p w14:paraId="25CC7837" w14:textId="77777777" w:rsidR="00C04533" w:rsidRDefault="00C04533" w:rsidP="00C04533">
      <w:pPr>
        <w:pStyle w:val="TextoNormal"/>
      </w:pPr>
    </w:p>
    <w:p w14:paraId="49358935" w14:textId="77777777" w:rsidR="00C04533" w:rsidRDefault="00C04533" w:rsidP="00C04533">
      <w:pPr>
        <w:pStyle w:val="TextoNormal"/>
      </w:pPr>
      <w:r>
        <w:t>Madrid, a dieciséis de julio de dos mil veinticuatro.</w:t>
      </w:r>
    </w:p>
    <w:p w14:paraId="418E87A3" w14:textId="13F661DE" w:rsidR="00C04533" w:rsidRDefault="00C04533">
      <w:pPr>
        <w:spacing w:after="160" w:line="278" w:lineRule="auto"/>
        <w:rPr>
          <w:rFonts w:ascii="Times New Roman" w:eastAsia="Times New Roman" w:hAnsi="Times New Roman" w:cs="Times New Roman"/>
          <w:sz w:val="24"/>
          <w:szCs w:val="24"/>
          <w:lang w:eastAsia="es-ES"/>
        </w:rPr>
      </w:pPr>
      <w:r>
        <w:br w:type="page"/>
      </w:r>
    </w:p>
    <w:p w14:paraId="2B87E0A9" w14:textId="77777777" w:rsidR="00C04533" w:rsidRDefault="00C04533" w:rsidP="00C04533">
      <w:pPr>
        <w:pStyle w:val="TtuloResolucin"/>
      </w:pPr>
      <w:bookmarkStart w:id="78" w:name="AUTO_2024_72"/>
      <w:r>
        <w:t>AUTO 72/2024, de 16 de julio de 2024</w:t>
      </w:r>
    </w:p>
    <w:bookmarkEnd w:id="78"/>
    <w:p w14:paraId="2362C155" w14:textId="77777777" w:rsidR="00C04533" w:rsidRDefault="00C04533" w:rsidP="00C04533">
      <w:pPr>
        <w:pStyle w:val="TtuloResolucin"/>
      </w:pPr>
      <w:r>
        <w:t>Pleno</w:t>
      </w:r>
    </w:p>
    <w:p w14:paraId="74B1EF98" w14:textId="77777777" w:rsidR="00C04533" w:rsidRDefault="00C04533" w:rsidP="00C04533">
      <w:pPr>
        <w:pStyle w:val="TextoNormalCentrado"/>
      </w:pPr>
      <w:r>
        <w:t>ECLI:ES:TC:2024:72A</w:t>
      </w:r>
    </w:p>
    <w:p w14:paraId="6B631DB1" w14:textId="547702C4" w:rsidR="00C04533" w:rsidRDefault="00C04533" w:rsidP="00C04533">
      <w:pPr>
        <w:pStyle w:val="TextoNormalCentrado"/>
      </w:pPr>
    </w:p>
    <w:p w14:paraId="22386FD9"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3C5E74B4" w14:textId="11A92D38" w:rsidR="00C04533" w:rsidRDefault="00C04533" w:rsidP="00C04533">
      <w:pPr>
        <w:pStyle w:val="SntesisDescriptiva"/>
      </w:pPr>
    </w:p>
    <w:p w14:paraId="4E9674A2" w14:textId="77777777" w:rsidR="00C04533" w:rsidRDefault="00C04533" w:rsidP="00C04533">
      <w:pPr>
        <w:pStyle w:val="SntesisDescriptiva"/>
      </w:pPr>
      <w:r>
        <w:t>Mantiene la suspensión acordada en la impugnación de disposiciones autonómicas 2159-2024, interpuesta por el Gobierno de la Nación en relación con el acuerdo de la mesa del Parlamento de Cataluña de 20 de febrero de 2024, que admitió a trámite una iniciativa legislativa popular con el nombre “Proposición de ley de declaración de la independencia de Cataluña”.</w:t>
      </w:r>
    </w:p>
    <w:p w14:paraId="22E1F859" w14:textId="140CEAC0" w:rsidR="00C04533" w:rsidRDefault="00C04533" w:rsidP="00C04533">
      <w:pPr>
        <w:pStyle w:val="SntesisDescriptiva"/>
      </w:pPr>
    </w:p>
    <w:p w14:paraId="4D06B909" w14:textId="77777777" w:rsidR="00C04533" w:rsidRDefault="00C04533" w:rsidP="00C04533">
      <w:pPr>
        <w:pStyle w:val="SntesisDescriptiva"/>
      </w:pPr>
    </w:p>
    <w:p w14:paraId="01BC1674" w14:textId="77777777" w:rsidR="00C04533" w:rsidRDefault="00C04533" w:rsidP="00C04533">
      <w:pPr>
        <w:pStyle w:val="SntesisDescriptiva"/>
      </w:pPr>
    </w:p>
    <w:p w14:paraId="55B12642" w14:textId="77777777" w:rsidR="00C04533" w:rsidRDefault="00C04533" w:rsidP="00C04533">
      <w:pPr>
        <w:pStyle w:val="TextoNormalNegritaCentrado"/>
      </w:pPr>
      <w:r>
        <w:t>AUTO</w:t>
      </w:r>
    </w:p>
    <w:p w14:paraId="1BBAF0E6" w14:textId="6DB862BF" w:rsidR="00C04533" w:rsidRDefault="00C04533" w:rsidP="00C04533">
      <w:pPr>
        <w:pStyle w:val="TextoNormalNegritaCentrado"/>
      </w:pPr>
    </w:p>
    <w:p w14:paraId="05DBF30D" w14:textId="77777777" w:rsidR="00C04533" w:rsidRDefault="00C04533" w:rsidP="00C04533">
      <w:pPr>
        <w:pStyle w:val="TextoNormalNegritaCentrado"/>
        <w:keepNext/>
      </w:pPr>
      <w:r>
        <w:t>I. Antecedentes</w:t>
      </w:r>
    </w:p>
    <w:p w14:paraId="5FC356FA" w14:textId="63EC934E" w:rsidR="00C04533" w:rsidRDefault="00C04533" w:rsidP="00C04533">
      <w:pPr>
        <w:pStyle w:val="TextoNormalNegritaCentrado"/>
        <w:keepNext/>
      </w:pPr>
    </w:p>
    <w:p w14:paraId="5F4AA6E2" w14:textId="77777777" w:rsidR="00C04533" w:rsidRDefault="00C04533" w:rsidP="00C04533">
      <w:pPr>
        <w:pStyle w:val="TextoNormal"/>
      </w:pPr>
      <w:r w:rsidRPr="00C04533">
        <w:rPr>
          <w:rStyle w:val="NumeroAFNegritaCaracter"/>
        </w:rPr>
        <w:t>1</w:t>
      </w:r>
      <w:r>
        <w:t>. Mediante escrito presentado el 27 de marzo de 2024 en el registro general del Tribunal Constitucional, el abogado del Estado, en representación del Gobierno de la Nación, impugnó al amparo de los arts. 161.2 CE y 76 y 77 LOTC el acuerdo de la mesa del Parlamento de Cataluña de 20 de febrero de 2024 (publicado en el “Boletín Oficial del Parlamento de Cataluña” núm. 771, de 22 de febrero de 2024), que admite a trámite una iniciativa legislativa popular con el nombre de “Proposición de ley de declaración de la independencia de Cataluña”.</w:t>
      </w:r>
    </w:p>
    <w:p w14:paraId="341E8D79" w14:textId="77777777" w:rsidR="00C04533" w:rsidRDefault="00C04533" w:rsidP="00C04533">
      <w:pPr>
        <w:pStyle w:val="TextoNormal"/>
      </w:pPr>
    </w:p>
    <w:p w14:paraId="00C257AA" w14:textId="13261E3F" w:rsidR="00C04533" w:rsidRDefault="00C04533" w:rsidP="00C04533">
      <w:pPr>
        <w:pStyle w:val="TextoNormal"/>
      </w:pPr>
      <w:r>
        <w:t>En el escrito de demanda se solicitó de manera expresa la suspensión del acuerdo impugnado, conforme a lo previsto en el art. 161.2 CE y el segundo inciso del art. 77 LOTC.</w:t>
      </w:r>
    </w:p>
    <w:p w14:paraId="4B381BF5" w14:textId="77777777" w:rsidR="00C04533" w:rsidRDefault="00C04533" w:rsidP="00C04533">
      <w:pPr>
        <w:pStyle w:val="TextoNormal"/>
      </w:pPr>
    </w:p>
    <w:p w14:paraId="7626432D" w14:textId="0D965178" w:rsidR="00C04533" w:rsidRDefault="00C04533" w:rsidP="00C04533">
      <w:pPr>
        <w:pStyle w:val="TextoNormal"/>
      </w:pPr>
      <w:r w:rsidRPr="00C04533">
        <w:rPr>
          <w:rStyle w:val="NumeroAFNegritaCaracter"/>
        </w:rPr>
        <w:t>2</w:t>
      </w:r>
      <w:r>
        <w:t>. El Pleno del Tribunal Constitucional, por providencia de 9 de abril de 2024, acordó admitir a trámite la impugnación; dar traslado de la demanda y documentos presentados al Parlamento de Cataluña, por conducto de su presidenta, al objeto de que en el plazo de veinte días y, por medio de la representación procesal que determina el art. 82.2 LOTC, aportase cuantos documentos y alegaciones considerase convenientes; tener por invocado por el Gobierno el art. 161.2 CE, lo que, a su tenor y conforme dispone el art. 77 LOTC, produce la suspensión de la resolución impugnada desde el día 27 de marzo de 2024, fecha de interposición de la impugnación, comunicándose así a la presidenta del Parlamento de Cataluña; y, por último, publicar la incoación de la impugnación en el “Boletín Oficial del Estado” y en el “Diari Oficial de la Generalitat de Catalunya”.</w:t>
      </w:r>
    </w:p>
    <w:p w14:paraId="17CDC708" w14:textId="77777777" w:rsidR="00C04533" w:rsidRDefault="00C04533" w:rsidP="00C04533">
      <w:pPr>
        <w:pStyle w:val="TextoNormal"/>
      </w:pPr>
    </w:p>
    <w:p w14:paraId="2F7FB0F9" w14:textId="77777777" w:rsidR="00C04533" w:rsidRDefault="00C04533" w:rsidP="00C04533">
      <w:pPr>
        <w:pStyle w:val="TextoNormal"/>
      </w:pPr>
      <w:r w:rsidRPr="00C04533">
        <w:rPr>
          <w:rStyle w:val="NumeroAFNegritaCaracter"/>
        </w:rPr>
        <w:t>3</w:t>
      </w:r>
      <w:r>
        <w:t>. Por escrito registrado en este tribunal el 14 de mayo de 2024, el letrado del Parlamento de Cataluña, en representación y defensa de esta Cámara, y en cumplimiento del acuerdo de la mesa de la Diputación Permanente de 16 de abril de 2024, compareció ante el Tribunal Constitucional, evacuó el trámite de alegaciones conferido y solicitó que se dicte sentencia declarando la plena constitucionalidad de la resolución impugnada, con fundamento en la argumentación que seguidamente se resume.</w:t>
      </w:r>
    </w:p>
    <w:p w14:paraId="4A915764" w14:textId="77777777" w:rsidR="00C04533" w:rsidRDefault="00C04533" w:rsidP="00C04533">
      <w:pPr>
        <w:pStyle w:val="TextoNormal"/>
      </w:pPr>
    </w:p>
    <w:p w14:paraId="1B218240" w14:textId="77777777" w:rsidR="00C04533" w:rsidRDefault="00C04533" w:rsidP="00C04533">
      <w:pPr>
        <w:pStyle w:val="TextoNormal"/>
      </w:pPr>
      <w:r>
        <w:t xml:space="preserve">Sostiene, con cita de la doctrina sentada en las SSTC 64/1990, de 5 de abril, y 259/2015, de 2 de diciembre, y en el ATC 135/2004, de 20 de abril, que el acuerdo de la mesa del Parlamento de Cataluña de 20 de febrero de 2024, que admite a trámite una iniciativa legislativa popular con el nombre de “Proposición de ley de declaración de la independencia de Cataluña”, no es una resolución susceptible de impugnación por el procedimiento del título V LOTC. No pueden constituir objeto de ese procedimiento los acuerdos de las mesas de los parlamentos de calificación y admisión a trámite de una iniciativa legislativa, por desplegar estos sus efectos únicamente en el estricto ámbito del procedimiento parlamentario del que forman parte y para los sujetos legitimados a participar en este, presentando solo relevancia </w:t>
      </w:r>
      <w:r w:rsidRPr="00C04533">
        <w:rPr>
          <w:i/>
        </w:rPr>
        <w:t>ad extra</w:t>
      </w:r>
      <w:r>
        <w:t xml:space="preserve"> si el procedimiento legislativo concluye con la aprobación de la ley, en cuyo caso han de ser combatidos a través de la impugnación de esa ley por los procesos constitucionales al efecto establecidos.</w:t>
      </w:r>
    </w:p>
    <w:p w14:paraId="49082AEF" w14:textId="77777777" w:rsidR="00C04533" w:rsidRDefault="00C04533" w:rsidP="00C04533">
      <w:pPr>
        <w:pStyle w:val="TextoNormal"/>
      </w:pPr>
    </w:p>
    <w:p w14:paraId="53368DB9" w14:textId="77777777" w:rsidR="00C04533" w:rsidRDefault="00C04533" w:rsidP="00C04533">
      <w:pPr>
        <w:pStyle w:val="TextoNormal"/>
      </w:pPr>
      <w:r>
        <w:t>Afirma asimismo que la impugnación por el Gobierno estatal del acuerdo de la mesa del Parlamento de Cataluña de 20 de febrero de 2024 atenta contra el pluralismo político y el necesario debate público sobre diferentes ideas políticas, que esa Cámara se ha limitado a posibilitar, sin que la admisión a trámite de la iniciativa legislativa popular en cuestión anticipe un pronunciamiento definitivo al respecto.</w:t>
      </w:r>
    </w:p>
    <w:p w14:paraId="4CB143DC" w14:textId="77777777" w:rsidR="00C04533" w:rsidRDefault="00C04533" w:rsidP="00C04533">
      <w:pPr>
        <w:pStyle w:val="TextoNormal"/>
      </w:pPr>
    </w:p>
    <w:p w14:paraId="3510CE0C" w14:textId="77777777" w:rsidR="00C04533" w:rsidRDefault="00C04533" w:rsidP="00C04533">
      <w:pPr>
        <w:pStyle w:val="TextoNormal"/>
      </w:pPr>
      <w:r>
        <w:t>Alude en fin a la necesaria consideración de la iniciativa legislativa popular como una forma de ejercitar un derecho fundamental y estatutario de los ciudadanos en el marco del pluralismo constitucional, y al canon de control de los actos de las mesas de los parlamentos, presidido por la premisa de interpretar las normas y decisiones parlamentarias de la manera más favorable a los derechos fundamentales invocados. La autonomía parlamentaria exige otorgar a los órganos rectores de las cámaras un amplio margen de apreciación en la interpretación de la legalidad parlamentaria al hilo del ejercicio de su función técnico-jurídica de calificación y admisión a trámite de las iniciativas parlamentarias. Lo anterior conlleva la prohibición de conductas de los poderes públicos que causen un efecto paralizador, desalentador o disuasorio sobre el ejercicio de derechos fundamentales; la inadmisión por la mesa del Parlamento de Cataluña de la iniciativa legislativa popular que nos ocupa hubiera sido una decisión desmedidamente gravosa que hubiera desalentado el ejercicio del derecho fundamental de participación política.</w:t>
      </w:r>
    </w:p>
    <w:p w14:paraId="60DC7BFD" w14:textId="77777777" w:rsidR="00C04533" w:rsidRDefault="00C04533" w:rsidP="00C04533">
      <w:pPr>
        <w:pStyle w:val="TextoNormal"/>
      </w:pPr>
    </w:p>
    <w:p w14:paraId="16DC165A" w14:textId="058D92AC" w:rsidR="00C04533" w:rsidRDefault="00C04533" w:rsidP="00C04533">
      <w:pPr>
        <w:pStyle w:val="TextoNormal"/>
      </w:pPr>
      <w:r>
        <w:t>El letrado del Parlamento de Cataluña no interesa en su escrito de alegaciones que se acuerde el levantamiento de la suspensión del acuerdo impugnado.</w:t>
      </w:r>
    </w:p>
    <w:p w14:paraId="7E079B0B" w14:textId="77777777" w:rsidR="00C04533" w:rsidRDefault="00C04533" w:rsidP="00C04533">
      <w:pPr>
        <w:pStyle w:val="TextoNormal"/>
      </w:pPr>
    </w:p>
    <w:p w14:paraId="51A0A0CA" w14:textId="6EB3D293" w:rsidR="00C04533" w:rsidRDefault="00C04533" w:rsidP="00C04533">
      <w:pPr>
        <w:pStyle w:val="TextoNormal"/>
      </w:pPr>
      <w:r w:rsidRPr="00C04533">
        <w:rPr>
          <w:rStyle w:val="NumeroAFNegritaCaracter"/>
        </w:rPr>
        <w:t>4</w:t>
      </w:r>
      <w:r>
        <w:t>. Por diligencia de ordenación del secretario de Justicia del Pleno del Tribunal Constitucional de 1 de julio de 2024 se acordó oír por plazo común de tres días al abogado del Estado y al letrado del Parlamento de Cataluña para que alegasen sobre el mantenimiento o levantamiento de la suspensión del acuerdo impugnado en el presente proceso constitucional.</w:t>
      </w:r>
    </w:p>
    <w:p w14:paraId="016A03CB" w14:textId="77777777" w:rsidR="00C04533" w:rsidRDefault="00C04533" w:rsidP="00C04533">
      <w:pPr>
        <w:pStyle w:val="TextoNormal"/>
      </w:pPr>
    </w:p>
    <w:p w14:paraId="26689FC2" w14:textId="77777777" w:rsidR="00C04533" w:rsidRDefault="00C04533" w:rsidP="00C04533">
      <w:pPr>
        <w:pStyle w:val="TextoNormal"/>
      </w:pPr>
      <w:r w:rsidRPr="00C04533">
        <w:rPr>
          <w:rStyle w:val="NumeroAFNegritaCaracter"/>
        </w:rPr>
        <w:t>5</w:t>
      </w:r>
      <w:r>
        <w:t>. El abogado del Estado evacuó el trámite conferido mediante escrito registrado en este tribunal el 5 de julio de 2024, interesando el mantenimiento de la resolución impugnada, dada la trascendencia constitucional de la controversia suscitada.</w:t>
      </w:r>
    </w:p>
    <w:p w14:paraId="378D777D" w14:textId="77777777" w:rsidR="00C04533" w:rsidRDefault="00C04533" w:rsidP="00C04533">
      <w:pPr>
        <w:pStyle w:val="TextoNormal"/>
      </w:pPr>
    </w:p>
    <w:p w14:paraId="0FCEDA9A" w14:textId="77777777" w:rsidR="00C04533" w:rsidRDefault="00C04533" w:rsidP="00C04533">
      <w:pPr>
        <w:pStyle w:val="TextoNormal"/>
      </w:pPr>
      <w:r>
        <w:t>Con cita de la doctrina sentada en los AATC 156/2013, de 11 de julio, y 186/2015, de 3 de noviembre, alega que el levantamiento de la suspensión produciría perjuicios irreversibles al interés general, puesto que supondría que el procedimiento de la iniciativa legislativa popular sería iniciado con la recogida de firmas y posterior tramitación, en los términos expuestos en la demanda, por el Parlamento de Cataluña. Resultaría afectado el ordenamiento constitucional, puesto que el contenido de la iniciativa legislativa popular admitida a trámite persigue un fin, la independencia de Cataluña, contrario a la Constitución, lo que por sí mismo supone un grave perjuicio al interés general. La manifiesta inconstitucionalidad de la resolución impugnada por violar los arts. 1.2, 2, 9.1 y 168 CE, así como los arts. 1 y 2.4 del Estatuto de Autonomía de Cataluña, justifica el mantenimiento de la suspensión, pues la iniciativa legislativa popular que la mesa del Parlamento de Cataluña ha admitido está redactada con una actitud de verdadero desafío a la Constitución, y no a cualquier parte de la misma, sino precisamente a los principios nucleares que la sustentan, en cuanto el principio de soberanía nacional del pueblo español es la base sobre la que se construye todo el edificio constitucional.</w:t>
      </w:r>
    </w:p>
    <w:p w14:paraId="0E042A45" w14:textId="77777777" w:rsidR="00C04533" w:rsidRDefault="00C04533" w:rsidP="00C04533">
      <w:pPr>
        <w:pStyle w:val="TextoNormal"/>
      </w:pPr>
    </w:p>
    <w:p w14:paraId="7C6A1B13" w14:textId="77777777" w:rsidR="00C04533" w:rsidRDefault="00C04533" w:rsidP="00C04533">
      <w:pPr>
        <w:pStyle w:val="TextoNormal"/>
      </w:pPr>
      <w:r>
        <w:t>Por otra parte, el mantenimiento de la suspensión no produce perjuicios a terceros, puesto que, si la sentencia que dictase el Tribunal Constitucional fuera desestimatoria de la impugnación del acuerdo de la mesa del Parlamento de Cataluña de 20 de febrero de 2024, podría reanudarse el procedimiento de la iniciativa legislativa popular en cuestión.</w:t>
      </w:r>
    </w:p>
    <w:p w14:paraId="75FEB1B1" w14:textId="77777777" w:rsidR="00C04533" w:rsidRDefault="00C04533" w:rsidP="00C04533">
      <w:pPr>
        <w:pStyle w:val="TextoNormal"/>
      </w:pPr>
    </w:p>
    <w:p w14:paraId="7B2F3882" w14:textId="08D4DAEC" w:rsidR="00C04533" w:rsidRDefault="00C04533" w:rsidP="00C04533">
      <w:pPr>
        <w:pStyle w:val="TextoNormal"/>
      </w:pPr>
      <w:r>
        <w:t xml:space="preserve">Se añade a lo anterior que el mantenimiento de la suspensión también procedería en este caso por aplicación del criterio del </w:t>
      </w:r>
      <w:r w:rsidRPr="00C04533">
        <w:rPr>
          <w:i/>
        </w:rPr>
        <w:t>fumus boni iuris</w:t>
      </w:r>
      <w:r>
        <w:t xml:space="preserve"> (ATC 11/2018, de 7 de febrero), toda vez que el Tribunal Constitucional viene considerando que adolecen de inconstitucionalidad los acuerdos de admisión a trámite de iniciativas parlamentarias que incumplen el deber de acatar lo resuelto en sus pronunciamientos (SSTC 46/2018, de 26 de abril; 24/2022, de 23 de febrero, y 46/2023, de 10 de mayo, entre otras). Y es lo cierto que la iniciativa legislativa popular admitida a trámite por la mesa del Parlamento de Cataluña en su acuerdo de 20 de febrero de 2024 contradice frontalmente reiteradas resoluciones del Tribunal en relación con el proceso secesionista de Cataluña (cita las SSTC 31/2015 y 32/2015, de 25 de febrero ambas; 138/2015, de 11 de junio; 259/2015, de 2 de diciembre; 128/2016, de 7 de julio; 52/2017, de 10 de mayo; 114/2017, de 17 de octubre, y 124/2017, de 8 de noviembre; así como los AATC 141/2016, de 19 de julio; 170/2016, de 6 de octubre, y 24/2017, de 14 de febrero).</w:t>
      </w:r>
    </w:p>
    <w:p w14:paraId="5ABD2249" w14:textId="77777777" w:rsidR="00C04533" w:rsidRDefault="00C04533" w:rsidP="00C04533">
      <w:pPr>
        <w:pStyle w:val="TextoNormal"/>
      </w:pPr>
    </w:p>
    <w:p w14:paraId="6AC9784A" w14:textId="77777777" w:rsidR="00C04533" w:rsidRDefault="00C04533" w:rsidP="00C04533">
      <w:pPr>
        <w:pStyle w:val="TextoNormal"/>
      </w:pPr>
      <w:r w:rsidRPr="00C04533">
        <w:rPr>
          <w:rStyle w:val="NumeroAFNegritaCaracter"/>
        </w:rPr>
        <w:t>6</w:t>
      </w:r>
      <w:r>
        <w:t>. El letrado del Parlamento de Cataluña, mediante escrito presentado en este tribunal el 9 de julio de 2024, interesó el alzamiento de la suspensión del acuerdo impugnado.</w:t>
      </w:r>
    </w:p>
    <w:p w14:paraId="21331113" w14:textId="77777777" w:rsidR="00C04533" w:rsidRDefault="00C04533" w:rsidP="00C04533">
      <w:pPr>
        <w:pStyle w:val="TextoNormal"/>
      </w:pPr>
    </w:p>
    <w:p w14:paraId="484CF93C" w14:textId="77777777" w:rsidR="00C04533" w:rsidRDefault="00C04533" w:rsidP="00C04533">
      <w:pPr>
        <w:pStyle w:val="TextoNormal"/>
      </w:pPr>
      <w:r>
        <w:t xml:space="preserve">Advierte de la naturaleza excepcional de la institución suspensiva del art. 161.2 CE y recuerda la doctrina del Tribunal Constitucional acerca de los criterios conforme a los cuales se han de dirimir el levantamiento o mantenimiento de la suspensión derivada de la invocación por el presidente del Gobierno del citado precepto constitucional. Afirma que el primero de esos criterios es el de la presunción de legitimidad de los actos y normas emanados de las Cámaras parlamentarias, por estar revestidas de una especial presunción de constitucionalidad, en cuanto expresión de la voluntad popular. El segundo es el de la ponderación, de un lado, de los intereses en presencia, tanto el general y público, como, en su caso, el particular o privado de las terceras personas afectadas, y de otro, los perjuicios de imposible o difícil reparación que pueda producir la aplicación del acuerdo o su suspensión, que deben ser ciertos y efectivos y no meramente hipotéticos, así como la posibilidad de que en uno u otro caso pudieran llegar a producirse situaciones de hecho irreversibles que vaciasen de contenido la resolución final del proceso pendiente; una valoración que debe efectuarse al margen de la viabilidad de las pretensiones que se formulan en la demanda. Además, el mantenimiento de la suspensión requiere que el Gobierno, a quien se debe la iniciativa </w:t>
      </w:r>
      <w:r w:rsidRPr="00C04533">
        <w:rPr>
          <w:i/>
        </w:rPr>
        <w:t>ex</w:t>
      </w:r>
      <w:r>
        <w:t xml:space="preserve"> art. 161.2 CE, aporte y razone con detalle los argumentos que la justifiquen.</w:t>
      </w:r>
    </w:p>
    <w:p w14:paraId="0E85236D" w14:textId="77777777" w:rsidR="00C04533" w:rsidRDefault="00C04533" w:rsidP="00C04533">
      <w:pPr>
        <w:pStyle w:val="TextoNormal"/>
      </w:pPr>
    </w:p>
    <w:p w14:paraId="39B66AB3" w14:textId="5E3C2EDA" w:rsidR="00C04533" w:rsidRDefault="00C04533" w:rsidP="00C04533">
      <w:pPr>
        <w:pStyle w:val="TextoNormal"/>
      </w:pPr>
      <w:r>
        <w:t>Sostiene que en el presente caso el Gobierno no justifica, porque no existen, perjuicios reales de imposible o difícil reparación que pueda producir la aplicación del acuerdo impugnado. Antes bien, se producirían esos perjuicios si se mantuviese la suspensión, porque ello impediría continuar el procedimiento de recogida de firmas de la iniciativa legislativa popular, lo que comporta una merma de los derechos de propuesta de los ciudadanos. El Parlamento de Cataluña, con la admisión a trámite de la iniciativa legislativa popular en cuestión, no anticipa un pronunciamiento definitivo o una adhesión al contenido del texto presentado, sino que se limita a iniciar los trámites para posibilitar un debate, que no se sabe si se completarán, porque para ello es necesario el apoyo de parte del cuerpo electoral a través de la recogida de firmas. La verdadera intención del mantenimiento de la suspensión del acuerdo impugnado sería la de impedir o bloquear la recogida de firmas y el debate de un proyecto político, legítimo y democrático, utilizando indebidamente la función de control de constitucionalidad que corresponde al Tribunal Constitucional. Por lo que los únicos daños reales que se están produciendo con la suspensión del acuerdo impugnado lo son respecto de los promotores de la iniciativa legislativa popular.</w:t>
      </w:r>
    </w:p>
    <w:p w14:paraId="7A5A90A0" w14:textId="77777777" w:rsidR="00C04533" w:rsidRDefault="00C04533" w:rsidP="00C04533">
      <w:pPr>
        <w:pStyle w:val="TextoNormal"/>
      </w:pPr>
    </w:p>
    <w:p w14:paraId="739D535C" w14:textId="77777777" w:rsidR="00C04533" w:rsidRDefault="00C04533" w:rsidP="00C04533">
      <w:pPr>
        <w:pStyle w:val="TextoNormalNegritaCentrado"/>
        <w:keepNext/>
      </w:pPr>
      <w:r>
        <w:t>II. Fundamentos jurídicos</w:t>
      </w:r>
    </w:p>
    <w:p w14:paraId="5384F973" w14:textId="2F62928F" w:rsidR="00C04533" w:rsidRDefault="00C04533" w:rsidP="00C04533">
      <w:pPr>
        <w:pStyle w:val="TextoNormalNegritaCentrado"/>
        <w:keepNext/>
      </w:pPr>
    </w:p>
    <w:p w14:paraId="61370FC9" w14:textId="77777777" w:rsidR="00C04533" w:rsidRDefault="00C04533" w:rsidP="00C04533">
      <w:pPr>
        <w:pStyle w:val="TextoNormal"/>
      </w:pPr>
      <w:r w:rsidRPr="00C04533">
        <w:rPr>
          <w:rStyle w:val="TextoNormalNegritaCaracter"/>
        </w:rPr>
        <w:t xml:space="preserve">Único. </w:t>
      </w:r>
      <w:r w:rsidRPr="00C04533">
        <w:rPr>
          <w:i/>
        </w:rPr>
        <w:t>Mantenimiento de la suspensión acordada en este proceso constitucional</w:t>
      </w:r>
    </w:p>
    <w:p w14:paraId="09518148" w14:textId="77777777" w:rsidR="00C04533" w:rsidRDefault="00C04533" w:rsidP="00C04533">
      <w:pPr>
        <w:pStyle w:val="TextoNormal"/>
      </w:pPr>
    </w:p>
    <w:p w14:paraId="136DD33D" w14:textId="77777777" w:rsidR="00C04533" w:rsidRDefault="00C04533" w:rsidP="00C04533">
      <w:pPr>
        <w:pStyle w:val="TextoNormal"/>
      </w:pPr>
      <w:r>
        <w:t>Mediante providencia de 9 de abril de 2024 el Pleno del Tribunal acordó admitir a trámite la impugnación (título V LOTC) interpuesta por el abogado del Estado, en representación del Gobierno, del acuerdo de la mesa del Parlamento de Cataluña de 20 de febrero de 2024, que admite a trámite una iniciativa legislativa popular con el nombre de “Proposición de ley de declaración de la independencia de Cataluña”. Asimismo, se acordó tener por invocado por el Gobierno el art. 161.2 CE, y se tuvo por producida la suspensión de la resolución impugnada desde el día 27 de marzo de 2024, fecha de interposición de la impugnación.</w:t>
      </w:r>
    </w:p>
    <w:p w14:paraId="73284313" w14:textId="77777777" w:rsidR="00C04533" w:rsidRDefault="00C04533" w:rsidP="00C04533">
      <w:pPr>
        <w:pStyle w:val="TextoNormal"/>
      </w:pPr>
    </w:p>
    <w:p w14:paraId="12C1F87E" w14:textId="77777777" w:rsidR="00C04533" w:rsidRDefault="00C04533" w:rsidP="00C04533">
      <w:pPr>
        <w:pStyle w:val="TextoNormal"/>
      </w:pPr>
      <w:r>
        <w:t>La comunidad autónoma autora de la disposición o resolución impugnada puede solicitar el levantamiento de la suspensión acordada antes de transcurridos los cinco meses a que se refiere el art. 161.2 CE y de este precepto se infiere que el Tribunal Constitucional tiene la potestad de ratificar o levantar la suspensión dentro de ese plazo (AATC 355/1989, de 20 de junio, FJ 1; 221/1995, de 18 de julio, FJ 1; 99/2003, de 6 de marzo, FJ 5; 183/2011, de 14 de diciembre, FJ 2, y 124/2013, de 21 de mayo, FJ 2, entre otros), si antes no hubiere dictado sentencia.</w:t>
      </w:r>
    </w:p>
    <w:p w14:paraId="1B5F09F1" w14:textId="77777777" w:rsidR="00C04533" w:rsidRDefault="00C04533" w:rsidP="00C04533">
      <w:pPr>
        <w:pStyle w:val="TextoNormal"/>
      </w:pPr>
    </w:p>
    <w:p w14:paraId="27A36774" w14:textId="77777777" w:rsidR="00C04533" w:rsidRDefault="00C04533" w:rsidP="00C04533">
      <w:pPr>
        <w:pStyle w:val="TextoNormal"/>
      </w:pPr>
      <w:r>
        <w:t xml:space="preserve">No habiendo solicitado la representación del Parlamento de Cataluña el levantamiento de la suspensión del acuerdo parlamentario impugnado en su escrito de alegaciones sobre el fondo del asunto, presentado el 14 de mayo de 2024, ante la proximidad del cumplimiento del plazo de cinco meses previsto en el art. 161.2 CE, este tribunal acordó oír a las partes antes de decidir sobre el levantamiento o la ratificación de la suspensión acordada. Como ha quedado expuesto, el abogado del Estado ha interesado el mantenimiento de la suspensión, invocando el grave perjuicio que para el interés general supondría la iniciación del procedimiento de la iniciativa legislativa popular a que se refiere el acuerdo impugnado, así como el criterio del </w:t>
      </w:r>
      <w:r w:rsidRPr="00C04533">
        <w:rPr>
          <w:i/>
        </w:rPr>
        <w:t>fumus boni iuris</w:t>
      </w:r>
      <w:r>
        <w:t xml:space="preserve"> en relación con iniciativas parlamentarias que contradicen frontalmente pronunciamientos previos de este tribunal. El letrado del Parlamento de Cataluña interesa el alzamiento de la suspensión por entender que la aplicación del acuerdo impugnado no ocasionaría ningún perjuicio de imposible o difícil reparación, mientras que ese perjuicio sí se produciría si se mantuviese la suspensión, porque ello impediría continuar el procedimiento de recogida de firmas de la iniciativa legislativa popular, ocasionando así una merma de los derechos de propuesta de los ciudadanos.</w:t>
      </w:r>
    </w:p>
    <w:p w14:paraId="09306BEF" w14:textId="77777777" w:rsidR="00C04533" w:rsidRDefault="00C04533" w:rsidP="00C04533">
      <w:pPr>
        <w:pStyle w:val="TextoNormal"/>
      </w:pPr>
    </w:p>
    <w:p w14:paraId="57674F1F" w14:textId="3B9BEE68" w:rsidR="00C04533" w:rsidRDefault="00C04533" w:rsidP="00C04533">
      <w:pPr>
        <w:pStyle w:val="TextoNormal"/>
      </w:pPr>
      <w:r>
        <w:t>Atendiendo al objeto de este proceso constitucional y a las alegaciones realizadas por las partes, este tribunal aprecia que la impugnación promovida por el Gobierno de la Nación contra el acuerdo de la mesa del Parlamento de Cataluña de 20 de febrero de 2024, que admite a trámite una iniciativa legislativa popular con el nombre de “Proposición de ley de declaración de la independencia de Cataluña”, versa sobre una cuestión de gran relieve o trascendencia constitucional, pues se suscitan cuestiones que inciden en la defensa de la integridad misma de la Constitución, como apunta el abogado del Estado. Este hecho es suficiente para inclinar el juicio de ponderación que, según tenemos declarado, debe realizarse en estos casos (entre otros, AATC 156/2013, de 11 de julio, FJ 2, y 186/2015, de 3 de noviembre, FJ 3), en favor de la ratificación, conforme al art. 77 LOTC, de la suspensión acordada durante el tiempo indispensable para la resolución de la presente impugnación de disposiciones autonómicas (título V LOTC).</w:t>
      </w:r>
    </w:p>
    <w:p w14:paraId="2A142213" w14:textId="77777777" w:rsidR="00C04533" w:rsidRDefault="00C04533" w:rsidP="00C04533">
      <w:pPr>
        <w:pStyle w:val="TextoNormal"/>
      </w:pPr>
    </w:p>
    <w:p w14:paraId="4B60C7A0" w14:textId="77777777" w:rsidR="00C04533" w:rsidRDefault="00C04533" w:rsidP="00C04533">
      <w:pPr>
        <w:pStyle w:val="TextoNormal"/>
      </w:pPr>
      <w:r>
        <w:t>Por lo expuesto, el Pleno</w:t>
      </w:r>
    </w:p>
    <w:p w14:paraId="0737BD76" w14:textId="006C074D" w:rsidR="00C04533" w:rsidRDefault="00C04533" w:rsidP="00C04533">
      <w:pPr>
        <w:pStyle w:val="TextoNormal"/>
      </w:pPr>
    </w:p>
    <w:p w14:paraId="1F1F813C" w14:textId="77777777" w:rsidR="00C04533" w:rsidRDefault="00C04533" w:rsidP="00C04533">
      <w:pPr>
        <w:pStyle w:val="TextoNormalCentrado"/>
      </w:pPr>
      <w:r>
        <w:t>ACUERDA</w:t>
      </w:r>
    </w:p>
    <w:p w14:paraId="4A0A41CC" w14:textId="068B0A87" w:rsidR="00C04533" w:rsidRDefault="00C04533" w:rsidP="00C04533">
      <w:pPr>
        <w:pStyle w:val="TextoNormalCentrado"/>
      </w:pPr>
    </w:p>
    <w:p w14:paraId="3F332F01" w14:textId="299F1B39" w:rsidR="00C04533" w:rsidRDefault="00C04533" w:rsidP="00C04533">
      <w:pPr>
        <w:pStyle w:val="TextoNormal"/>
      </w:pPr>
      <w:r>
        <w:t>Mantener la suspensión del acuerdo de la mesa del Parlamento de Cataluña de 20 de febrero de 2024, que admite a trámite una iniciativa legislativa popular con el nombre de “Proposición de ley de declaración de la independencia de Cataluña”.</w:t>
      </w:r>
    </w:p>
    <w:p w14:paraId="64224700" w14:textId="77777777" w:rsidR="00C04533" w:rsidRDefault="00C04533" w:rsidP="00C04533">
      <w:pPr>
        <w:pStyle w:val="TextoNormal"/>
      </w:pPr>
    </w:p>
    <w:p w14:paraId="57A678D9" w14:textId="77777777" w:rsidR="00C04533" w:rsidRDefault="00C04533" w:rsidP="00C04533">
      <w:pPr>
        <w:pStyle w:val="TextoNormal"/>
      </w:pPr>
      <w:r>
        <w:t>Madrid, a dieciséis de julio de dos mil veinticuatro.</w:t>
      </w:r>
    </w:p>
    <w:p w14:paraId="7B31C47E" w14:textId="3F4C0BF0" w:rsidR="00C04533" w:rsidRDefault="00C04533">
      <w:pPr>
        <w:spacing w:after="160" w:line="278" w:lineRule="auto"/>
        <w:rPr>
          <w:rFonts w:ascii="Times New Roman" w:eastAsia="Times New Roman" w:hAnsi="Times New Roman" w:cs="Times New Roman"/>
          <w:sz w:val="24"/>
          <w:szCs w:val="24"/>
          <w:lang w:eastAsia="es-ES"/>
        </w:rPr>
      </w:pPr>
      <w:r>
        <w:br w:type="page"/>
      </w:r>
    </w:p>
    <w:p w14:paraId="0D376835" w14:textId="77777777" w:rsidR="00C04533" w:rsidRDefault="00C04533" w:rsidP="00C04533">
      <w:pPr>
        <w:pStyle w:val="TtuloResolucin"/>
      </w:pPr>
      <w:bookmarkStart w:id="79" w:name="AUTO_2024_73"/>
      <w:r>
        <w:t>AUTO 73/2024, de 16 de julio de 2024</w:t>
      </w:r>
    </w:p>
    <w:bookmarkEnd w:id="79"/>
    <w:p w14:paraId="3DD65D5F" w14:textId="77777777" w:rsidR="00C04533" w:rsidRDefault="00C04533" w:rsidP="00C04533">
      <w:pPr>
        <w:pStyle w:val="TtuloResolucin"/>
      </w:pPr>
      <w:r>
        <w:t>Pleno</w:t>
      </w:r>
    </w:p>
    <w:p w14:paraId="78C936F9" w14:textId="77777777" w:rsidR="00C04533" w:rsidRDefault="00C04533" w:rsidP="00C04533">
      <w:pPr>
        <w:pStyle w:val="TextoNormalCentrado"/>
      </w:pPr>
      <w:r>
        <w:t>ECLI:ES:TC:2024:73A</w:t>
      </w:r>
    </w:p>
    <w:p w14:paraId="2DDF5DD7" w14:textId="6D1FD207" w:rsidR="00C04533" w:rsidRDefault="00C04533" w:rsidP="00C04533">
      <w:pPr>
        <w:pStyle w:val="TextoNormalCentrado"/>
      </w:pPr>
    </w:p>
    <w:p w14:paraId="4C3DD7BD"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5528FF45" w14:textId="47DB89AF" w:rsidR="00C04533" w:rsidRDefault="00C04533" w:rsidP="00C04533">
      <w:pPr>
        <w:pStyle w:val="SntesisDescriptiva"/>
      </w:pPr>
    </w:p>
    <w:p w14:paraId="3C3E8FCB" w14:textId="77777777" w:rsidR="00C04533" w:rsidRDefault="00C04533" w:rsidP="00C04533">
      <w:pPr>
        <w:pStyle w:val="SntesisDescriptiva"/>
      </w:pPr>
      <w:r>
        <w:t>Inadmite a trámite la cuestión de inconstitucionalidad 2486-2024, planteada por la Sala de lo Social del Tribunal Superior de Justicia de Aragón, en relación con el artículo 12.2 del Real Decreto Legislativo 8/2015, de 30 de octubre, por el que se aprueba el texto refundido de la Ley general de la Seguridad Social.</w:t>
      </w:r>
    </w:p>
    <w:p w14:paraId="377D10EB" w14:textId="710A8934" w:rsidR="00C04533" w:rsidRDefault="00C04533" w:rsidP="00C04533">
      <w:pPr>
        <w:pStyle w:val="SntesisDescriptiva"/>
      </w:pPr>
    </w:p>
    <w:p w14:paraId="1426A007" w14:textId="77777777" w:rsidR="00C04533" w:rsidRDefault="00C04533" w:rsidP="00C04533">
      <w:pPr>
        <w:pStyle w:val="SntesisDescriptiva"/>
      </w:pPr>
    </w:p>
    <w:p w14:paraId="332A8D05" w14:textId="77777777" w:rsidR="00C04533" w:rsidRDefault="00C04533" w:rsidP="00C04533">
      <w:pPr>
        <w:pStyle w:val="SntesisDescriptiva"/>
      </w:pPr>
    </w:p>
    <w:p w14:paraId="70D29190" w14:textId="77777777" w:rsidR="00C04533" w:rsidRDefault="00C04533" w:rsidP="00C04533">
      <w:pPr>
        <w:pStyle w:val="TextoNormalNegritaCentrado"/>
      </w:pPr>
      <w:r>
        <w:t>AUTO</w:t>
      </w:r>
    </w:p>
    <w:p w14:paraId="04EBD042" w14:textId="65A11C96" w:rsidR="00C04533" w:rsidRDefault="00C04533" w:rsidP="00C04533">
      <w:pPr>
        <w:pStyle w:val="TextoNormalNegritaCentrado"/>
      </w:pPr>
    </w:p>
    <w:p w14:paraId="35744413" w14:textId="77777777" w:rsidR="00C04533" w:rsidRDefault="00C04533" w:rsidP="00C04533">
      <w:pPr>
        <w:pStyle w:val="TextoNormalNegritaCentrado"/>
        <w:keepNext/>
      </w:pPr>
      <w:r>
        <w:t>I. Antecedentes</w:t>
      </w:r>
    </w:p>
    <w:p w14:paraId="0F72C5F7" w14:textId="41214C2D" w:rsidR="00C04533" w:rsidRDefault="00C04533" w:rsidP="00C04533">
      <w:pPr>
        <w:pStyle w:val="TextoNormalNegritaCentrado"/>
        <w:keepNext/>
      </w:pPr>
    </w:p>
    <w:p w14:paraId="098E790B" w14:textId="77777777" w:rsidR="00C04533" w:rsidRDefault="00C04533" w:rsidP="00C04533">
      <w:pPr>
        <w:pStyle w:val="TextoNormal"/>
      </w:pPr>
      <w:r w:rsidRPr="00C04533">
        <w:rPr>
          <w:rStyle w:val="NumeroAFNegritaCaracter"/>
        </w:rPr>
        <w:t>1</w:t>
      </w:r>
      <w:r>
        <w:t>. Con fecha 3 de febrero de 2022, la Inspección Provincial de Trabajo y Seguridad Social de Zaragoza emitió informe por el que comunicaba al Servicio Público de Empleo Estatal (SEPE) el cobro indebido de la prestación por desempleo de dos trabajadores del empresario don J.L.S.V.</w:t>
      </w:r>
    </w:p>
    <w:p w14:paraId="0AEDA4E7" w14:textId="77777777" w:rsidR="00C04533" w:rsidRDefault="00C04533" w:rsidP="00C04533">
      <w:pPr>
        <w:pStyle w:val="TextoNormal"/>
      </w:pPr>
    </w:p>
    <w:p w14:paraId="52DBFB47" w14:textId="77777777" w:rsidR="00C04533" w:rsidRDefault="00C04533" w:rsidP="00C04533">
      <w:pPr>
        <w:pStyle w:val="TextoNormal"/>
      </w:pPr>
      <w:r>
        <w:t>En concreto, por lo que aquí interesa, en relación con la trabajadora doña V.S.J., se informaba que, en fecha 1 de junio de 2017, había suscrito contrato de trabajo indefinido, a tiempo completo, para personas con discapacidad, con la categoría profesional de ayudante de cocina.</w:t>
      </w:r>
    </w:p>
    <w:p w14:paraId="2BD52DEE" w14:textId="77777777" w:rsidR="00C04533" w:rsidRDefault="00C04533" w:rsidP="00C04533">
      <w:pPr>
        <w:pStyle w:val="TextoNormal"/>
      </w:pPr>
    </w:p>
    <w:p w14:paraId="5F451335" w14:textId="77777777" w:rsidR="00C04533" w:rsidRDefault="00C04533" w:rsidP="00C04533">
      <w:pPr>
        <w:pStyle w:val="TextoNormal"/>
      </w:pPr>
      <w:r>
        <w:t>La empresa de don J.L.S.V. presentó expediente de regulación temporal de empleo (ERTE), por fuerza mayor derivada de la pandemia de la covid-19, al amparo del Real Decreto-ley 8/2020, de 17 de marzo, de medidas urgentes extraordinarias para hacer frente al impacto económico y social del covid-19, con suspensión de los contratos de la totalidad de la plantilla, que se inició el 16 de marzo de 2020. El 4 de noviembre de 2021 la empresa presentó otro ERTE por causas de producción. Entre el 23 de octubre y el 3 de noviembre de 2021, la trabajadora figura de alta en la empresa. Como consecuencia de ambos expedientes, la trabajadora doña V.S.J. vino percibiendo la prestación por desempleo.</w:t>
      </w:r>
    </w:p>
    <w:p w14:paraId="04E2C7C7" w14:textId="77777777" w:rsidR="00C04533" w:rsidRDefault="00C04533" w:rsidP="00C04533">
      <w:pPr>
        <w:pStyle w:val="TextoNormal"/>
      </w:pPr>
    </w:p>
    <w:p w14:paraId="2064941D" w14:textId="7CF4047B" w:rsidR="00C04533" w:rsidRDefault="00C04533" w:rsidP="00C04533">
      <w:pPr>
        <w:pStyle w:val="TextoNormal"/>
      </w:pPr>
      <w:r>
        <w:t>En su informe, la Inspección Provincial de Trabajo y Seguridad Social de Zaragoza puso de manifiesto que la trabajadora es hija del autónomo titular de la empresa y que convive con él, por lo que, de acuerdo con la disposición adicional décima de la Ley 20/2007, de 11 de julio, del estatuto del trabajo autónomo, no debería haber percibido prestación por desempleo.</w:t>
      </w:r>
    </w:p>
    <w:p w14:paraId="6075B93F" w14:textId="77777777" w:rsidR="00C04533" w:rsidRDefault="00C04533" w:rsidP="00C04533">
      <w:pPr>
        <w:pStyle w:val="TextoNormal"/>
      </w:pPr>
    </w:p>
    <w:p w14:paraId="55E9666A" w14:textId="77777777" w:rsidR="00C04533" w:rsidRDefault="00C04533" w:rsidP="00C04533">
      <w:pPr>
        <w:pStyle w:val="TextoNormal"/>
      </w:pPr>
      <w:r w:rsidRPr="00C04533">
        <w:rPr>
          <w:rStyle w:val="NumeroAFNegritaCaracter"/>
        </w:rPr>
        <w:t>2</w:t>
      </w:r>
      <w:r>
        <w:t>. Sobre la base del informe de la Inspección Provincial de Trabajo y Seguridad Social, la Dirección Provincial del SEPE de Zaragoza inició el procedimiento de revisión de la resolución por la que se había reconocido a la referida trabajadora el derecho a percibir una prestación por desempleo del nivel contributivo, dictando la propuesta de revocación de la prestación por desempleo y concediendo plazo de diez días para alegaciones. En ese mismo acuerdo se procedió a suspender cautelarmente el abono de la prestación.</w:t>
      </w:r>
    </w:p>
    <w:p w14:paraId="1A295CAB" w14:textId="77777777" w:rsidR="00C04533" w:rsidRDefault="00C04533" w:rsidP="00C04533">
      <w:pPr>
        <w:pStyle w:val="TextoNormal"/>
      </w:pPr>
    </w:p>
    <w:p w14:paraId="252AFCCC" w14:textId="77777777" w:rsidR="00C04533" w:rsidRDefault="00C04533" w:rsidP="00C04533">
      <w:pPr>
        <w:pStyle w:val="TextoNormal"/>
      </w:pPr>
      <w:r>
        <w:t>Evacuado el trámite de alegaciones, la Dirección Provincial del SEPE de Zaragoza, con base en los arts. 1.3 e) del texto refundido de la Ley del estatuto de los trabajadores, aprobado por el Real Decreto Legislativo 2/2015, de 23 de octubre (LET), y 12.1 del texto refundido de la Ley General de la Seguridad Social (en lo sucesivo, TRLGSS), dictó resolución de 3 de mayo de 2022 revocando la prestación por desempleo y declarando la percepción indebida de la misma en la cantidad de 15 614,73 €, correspondientes al período comprendido entre el 16 de marzo de 2020 y el 30 de enero de 2022.</w:t>
      </w:r>
    </w:p>
    <w:p w14:paraId="59A80254" w14:textId="77777777" w:rsidR="00C04533" w:rsidRDefault="00C04533" w:rsidP="00C04533">
      <w:pPr>
        <w:pStyle w:val="TextoNormal"/>
      </w:pPr>
    </w:p>
    <w:p w14:paraId="6E1B75EC" w14:textId="28EB193F" w:rsidR="00C04533" w:rsidRDefault="00C04533" w:rsidP="00C04533">
      <w:pPr>
        <w:pStyle w:val="TextoNormal"/>
      </w:pPr>
      <w:r>
        <w:t>Interpuesta reclamación previa a la vía jurisdiccional social, invocando la legalidad del cobro de la prestación conforme a lo dispuesto en el art. 25 del Real Decreto-ley 8/2020, la misma resultó desestimada por resolución de 2 de agosto de 2022 de la Dirección Provincial del SEPE de Zaragoza.</w:t>
      </w:r>
    </w:p>
    <w:p w14:paraId="1763959C" w14:textId="77777777" w:rsidR="00C04533" w:rsidRDefault="00C04533" w:rsidP="00C04533">
      <w:pPr>
        <w:pStyle w:val="TextoNormal"/>
      </w:pPr>
    </w:p>
    <w:p w14:paraId="636195EB" w14:textId="556FD98F" w:rsidR="00C04533" w:rsidRDefault="00C04533" w:rsidP="00C04533">
      <w:pPr>
        <w:pStyle w:val="TextoNormal"/>
      </w:pPr>
      <w:r w:rsidRPr="00C04533">
        <w:rPr>
          <w:rStyle w:val="NumeroAFNegritaCaracter"/>
        </w:rPr>
        <w:t>3</w:t>
      </w:r>
      <w:r>
        <w:t>. El 21 de septiembre de 2022 interpuso demanda frente a la resolución de la Dirección Provincial del SEPE de Zaragoza, suplicando que se declarara la nulidad de la citada resolución y la procedencia de la prestación por desempleo percibida. Turnada la demanda al Juzgado de lo Social núm. 5 de Zaragoza (procedimiento núm. 584-2022), se admitió a trámite por decreto de 29 de septiembre de 2022. En dicha resolución se acordó citar a las partes al acto del juicio para el día 18 de septiembre de 2023, a las 10:00 horas.</w:t>
      </w:r>
    </w:p>
    <w:p w14:paraId="1DCA5090" w14:textId="77777777" w:rsidR="00C04533" w:rsidRDefault="00C04533" w:rsidP="00C04533">
      <w:pPr>
        <w:pStyle w:val="TextoNormal"/>
      </w:pPr>
    </w:p>
    <w:p w14:paraId="2573CEF5" w14:textId="77777777" w:rsidR="00C04533" w:rsidRDefault="00C04533" w:rsidP="00C04533">
      <w:pPr>
        <w:pStyle w:val="TextoNormal"/>
      </w:pPr>
      <w:r w:rsidRPr="00C04533">
        <w:rPr>
          <w:rStyle w:val="NumeroAFNegritaCaracter"/>
        </w:rPr>
        <w:t>4</w:t>
      </w:r>
      <w:r>
        <w:t>. El Juzgado de lo Social núm. 5 de Zaragoza dictó la sentencia núm. 187/2023, de 19 de septiembre, por la que acordó estimar la demanda interpuesta por doña V.S.J. contra las resoluciones de la Dirección Provincial del SEPE de Zaragoza de 3 de mayo de 2022 y de 2 de agosto de 2022, anulándolas y dejándolas sin efecto.</w:t>
      </w:r>
    </w:p>
    <w:p w14:paraId="6AD1805A" w14:textId="77777777" w:rsidR="00C04533" w:rsidRDefault="00C04533" w:rsidP="00C04533">
      <w:pPr>
        <w:pStyle w:val="TextoNormal"/>
      </w:pPr>
    </w:p>
    <w:p w14:paraId="6C229613" w14:textId="77777777" w:rsidR="00C04533" w:rsidRDefault="00C04533" w:rsidP="00C04533">
      <w:pPr>
        <w:pStyle w:val="TextoNormal"/>
      </w:pPr>
      <w:r>
        <w:t>La sentencia recoge los siguientes hechos probados:</w:t>
      </w:r>
    </w:p>
    <w:p w14:paraId="22DD7BD9" w14:textId="77777777" w:rsidR="00C04533" w:rsidRDefault="00C04533" w:rsidP="00C04533">
      <w:pPr>
        <w:pStyle w:val="TextoNormal"/>
      </w:pPr>
    </w:p>
    <w:p w14:paraId="49CBDB23" w14:textId="77777777" w:rsidR="00C04533" w:rsidRDefault="00C04533" w:rsidP="00C04533">
      <w:pPr>
        <w:pStyle w:val="TextoNormal"/>
      </w:pPr>
      <w:r>
        <w:t>“Primero.- La demandante V.S.J. […] viene prestando servicios, mediante un contrato indefinido a tiempo completo (código 130) para trabajadores discapacitados, desde el 1 de junio de 2017, en la empresa de la que es titular su padre J.L.S.V., como empresario autónomo.</w:t>
      </w:r>
    </w:p>
    <w:p w14:paraId="7941AA64" w14:textId="77777777" w:rsidR="00C04533" w:rsidRDefault="00C04533" w:rsidP="00C04533">
      <w:pPr>
        <w:pStyle w:val="TextoNormal"/>
      </w:pPr>
    </w:p>
    <w:p w14:paraId="38F45D4C" w14:textId="77777777" w:rsidR="00C04533" w:rsidRDefault="00C04533" w:rsidP="00C04533">
      <w:pPr>
        <w:pStyle w:val="TextoNormal"/>
      </w:pPr>
      <w:r>
        <w:t>Segundo.- Por resolución del IASS de fecha 16 de abril de 2004 la actora tiene reconocido un grado total de discapacidad del 34 por 100, residiendo en el domicilio de sus padres.</w:t>
      </w:r>
    </w:p>
    <w:p w14:paraId="10213436" w14:textId="77777777" w:rsidR="00C04533" w:rsidRDefault="00C04533" w:rsidP="00C04533">
      <w:pPr>
        <w:pStyle w:val="TextoNormal"/>
      </w:pPr>
    </w:p>
    <w:p w14:paraId="79E3043A" w14:textId="77777777" w:rsidR="00C04533" w:rsidRDefault="00C04533" w:rsidP="00C04533">
      <w:pPr>
        <w:pStyle w:val="TextoNormal"/>
      </w:pPr>
      <w:r>
        <w:t>Tercero.- La empresa J.L.S.V. tuvo que cesar la actividad empresarial debido a la situación sanitaria derivada del covid-19 por el estado de alarma, al estar dedicada a la preparación de comidas y servicio en ferias al aire libre, permaneciendo cerrada desde el día 16 de marzo de 2020, siendo incluida la trabajadora en el ERE por fuerza mayor, autorizado por la DGA en fecha 22 de mayo de 2020; y posteriormente otro por causas de producción en fecha 4 de noviembre de 2021 que obligó a cesar la actividad de la empresa.</w:t>
      </w:r>
    </w:p>
    <w:p w14:paraId="74B141CB" w14:textId="77777777" w:rsidR="00C04533" w:rsidRDefault="00C04533" w:rsidP="00C04533">
      <w:pPr>
        <w:pStyle w:val="TextoNormal"/>
      </w:pPr>
    </w:p>
    <w:p w14:paraId="62E33369" w14:textId="77777777" w:rsidR="00C04533" w:rsidRDefault="00C04533" w:rsidP="00C04533">
      <w:pPr>
        <w:pStyle w:val="TextoNormal"/>
      </w:pPr>
      <w:r>
        <w:t>Cuarto.- Por resolución de la Dirección Provincial del SEPE de fecha 3 de mayo de 2022 se revoca la prestación por desempleo concedida a la demandante.</w:t>
      </w:r>
    </w:p>
    <w:p w14:paraId="231B45EF" w14:textId="77777777" w:rsidR="00C04533" w:rsidRDefault="00C04533" w:rsidP="00C04533">
      <w:pPr>
        <w:pStyle w:val="TextoNormal"/>
      </w:pPr>
    </w:p>
    <w:p w14:paraId="26DEDF4B" w14:textId="77777777" w:rsidR="00C04533" w:rsidRDefault="00C04533" w:rsidP="00C04533">
      <w:pPr>
        <w:pStyle w:val="TextoNormal"/>
      </w:pPr>
      <w:r>
        <w:t>Quinto.- Se desestimó la reclamación previa por resolución de fecha 2 de agosto de 2022, que confirmó la revocación de la prestación por desempleo de la interesada que le fue concedida por ERTE de fuerza mayor”.</w:t>
      </w:r>
    </w:p>
    <w:p w14:paraId="72E0FD71" w14:textId="77777777" w:rsidR="00C04533" w:rsidRDefault="00C04533" w:rsidP="00C04533">
      <w:pPr>
        <w:pStyle w:val="TextoNormal"/>
      </w:pPr>
    </w:p>
    <w:p w14:paraId="01AC688C" w14:textId="2D5F24E7" w:rsidR="00C04533" w:rsidRDefault="00C04533" w:rsidP="00C04533">
      <w:pPr>
        <w:pStyle w:val="TextoNormal"/>
      </w:pPr>
      <w:r>
        <w:t>En su fundamentación jurídica, la sentencia consideró correcto el reconocimiento de la prestación por desempleo “ya que fue concedido ante un ERE de fuerza mayor y ante una situación producida durante el período de estado de alarma decretado por el Gobierno”. Estima que la resolución del SEPE fue “extemporánea, dado que no garantiza las prestaciones sociales contempladas durante el estado de alarma y no se ajusta a la situación del momento en el que fue aprobado el ERE, siendo que en el expediente aprobado por la DGA, en la solicitud de prestación por desempleo, estaba incluida la trabajadora”. Además, consideró la juzgadora de instancia que “la actora, según vida laboral, había cotizado con anterioridad en el régimen general de Seguridad Social en el período del 1 de junio de 2007 a 14 de octubre de 2013 y desde junio de 2017 en la empresa de su padre, por lo que las alegaciones que constan en la resolución sobre revocación de la prestación por desempleo, porque la actora era familiar del empresario, convivía con él y estaba a su cargo […] deben ser desestimadas […]; y ello con independencia de que los arts. 1.3 e) LET y 12 de la Ley general de la Seguridad Social excluyan de la protección por desempleo a las personas que no ostenten la condición de trabajadores por cuenta ajena; dado que en este caso se demuestra la condición de asalariados de quienes los llevan a cabo”.</w:t>
      </w:r>
    </w:p>
    <w:p w14:paraId="401A25FE" w14:textId="77777777" w:rsidR="00C04533" w:rsidRDefault="00C04533" w:rsidP="00C04533">
      <w:pPr>
        <w:pStyle w:val="TextoNormal"/>
      </w:pPr>
    </w:p>
    <w:p w14:paraId="35AECACB" w14:textId="77777777" w:rsidR="00C04533" w:rsidRDefault="00C04533" w:rsidP="00C04533">
      <w:pPr>
        <w:pStyle w:val="TextoNormal"/>
      </w:pPr>
      <w:r w:rsidRPr="00C04533">
        <w:rPr>
          <w:rStyle w:val="NumeroAFNegritaCaracter"/>
        </w:rPr>
        <w:t>5</w:t>
      </w:r>
      <w:r>
        <w:t>. La letrada sustituta del abogado del Estado, en nombre y representación del SEPE, anunció recurso de suplicación, que se tuvo por anunciado por diligencia de ordenación de 6 de noviembre de 2023. Mediante escrito fechado el 21 de noviembre de 2023, formalizó recurso de suplicación frente a la sentencia núm. 187/2023, de 19 de septiembre, del Juzgado de lo Social núm. 5 de Zaragoza.</w:t>
      </w:r>
    </w:p>
    <w:p w14:paraId="4D3B99E1" w14:textId="77777777" w:rsidR="00C04533" w:rsidRDefault="00C04533" w:rsidP="00C04533">
      <w:pPr>
        <w:pStyle w:val="TextoNormal"/>
      </w:pPr>
    </w:p>
    <w:p w14:paraId="6CEFFAF2" w14:textId="77777777" w:rsidR="00C04533" w:rsidRDefault="00C04533" w:rsidP="00C04533">
      <w:pPr>
        <w:pStyle w:val="TextoNormal"/>
      </w:pPr>
      <w:r>
        <w:t>a) En el primer motivo del recurso, de acuerdo con el art. 193 b) de la Ley 36/2011, de 10 de octubre, reguladora de la jurisdicción social (LJS), se solicitaba la revisión de los hechos primero, tercero y cuarto para completarlos con ciertos datos de relevancia, a juicio del SEPE, así como para añadir un nuevo hecho sexto en el que se recogiera que la Tesorería General de la Seguridad Social había procedido a modificar los datos de alta de la trabajadora en la empresa, con exclusión del desempleo desde el 1 de octubre de 2017, así como para hacer constar que dicha anulación de las cotizaciones al desempleo había devenido firme por no efectuar la interesada reclamación al respecto.</w:t>
      </w:r>
    </w:p>
    <w:p w14:paraId="034EEE34" w14:textId="77777777" w:rsidR="00C04533" w:rsidRDefault="00C04533" w:rsidP="00C04533">
      <w:pPr>
        <w:pStyle w:val="TextoNormal"/>
      </w:pPr>
    </w:p>
    <w:p w14:paraId="3C76905A" w14:textId="77777777" w:rsidR="00C04533" w:rsidRDefault="00C04533" w:rsidP="00C04533">
      <w:pPr>
        <w:pStyle w:val="TextoNormal"/>
      </w:pPr>
      <w:r>
        <w:t>b) En el segundo motivo, al amparo de lo dispuesto en el art. 193 c) LJS se denunciaron las siguientes infracciones de normas sustantivas: (i) de los arts. 264.1 a) TRLGSS, en relación con el art. 12 TRLGSS y la disposición adicional décima de la Ley 20/2007; y (ii) de los arts. 55 y 295 TRLGSS, en relación con el art. 146.2 a) LJS. En síntesis, el recurso de suplicación explicaba:</w:t>
      </w:r>
    </w:p>
    <w:p w14:paraId="4DAFA983" w14:textId="77777777" w:rsidR="00C04533" w:rsidRDefault="00C04533" w:rsidP="00C04533">
      <w:pPr>
        <w:pStyle w:val="TextoNormal"/>
      </w:pPr>
    </w:p>
    <w:p w14:paraId="6C988F55" w14:textId="77777777" w:rsidR="00C04533" w:rsidRDefault="00C04533" w:rsidP="00C04533">
      <w:pPr>
        <w:pStyle w:val="TextoNormal"/>
      </w:pPr>
      <w:r>
        <w:t>(i) La demandante es mayor de treinta años, tiene una discapacidad del 34 por 100 y convive con su padre (el empleador) en el domicilio familiar, por lo que, aunque en virtud de la excepción prevista en la disposición adicional décima de la Ley 20/2007 y en el art. 12.2 TRLGSS pudiera ser contratada como trabajadora por cuenta ajena, en lugar de tener que causar alta en el régimen de autónomos como colaboradora familiar, su relación laboral quedaba excluida de la protección por desempleo.</w:t>
      </w:r>
    </w:p>
    <w:p w14:paraId="58634EF3" w14:textId="77777777" w:rsidR="00C04533" w:rsidRDefault="00C04533" w:rsidP="00C04533">
      <w:pPr>
        <w:pStyle w:val="TextoNormal"/>
      </w:pPr>
    </w:p>
    <w:p w14:paraId="0ACF2252" w14:textId="77777777" w:rsidR="00C04533" w:rsidRDefault="00C04533" w:rsidP="00C04533">
      <w:pPr>
        <w:pStyle w:val="TextoNormal"/>
      </w:pPr>
      <w:r>
        <w:t>(ii) El período trabajado entre los años 2007 y 2013 en una empresa distinta no puede computarse para justificar el carácter procedente de la prestación por desempleo, como hace la sentencia recurrida, porque tras la extinción de dicho contrato, la actora percibió la correspondiente prestación por desempleo durante el período máximo de 720 días, agotando con ello el derecho a la prestación.</w:t>
      </w:r>
    </w:p>
    <w:p w14:paraId="6D247803" w14:textId="77777777" w:rsidR="00C04533" w:rsidRDefault="00C04533" w:rsidP="00C04533">
      <w:pPr>
        <w:pStyle w:val="TextoNormal"/>
      </w:pPr>
    </w:p>
    <w:p w14:paraId="2A747E46" w14:textId="77777777" w:rsidR="00C04533" w:rsidRDefault="00C04533" w:rsidP="00C04533">
      <w:pPr>
        <w:pStyle w:val="TextoNormal"/>
      </w:pPr>
      <w:r>
        <w:t>(iii) De acuerdo con el art. 25.1 a) del Real Decreto-ley 8/2020, en los casos de suspensión de contrato de trabajo allí previstos procede el reconocimiento de la prestación contributiva por desempleo a las personas trabajadoras afectadas “aunque carezcan del período de ocupación cotizada mínimo necesario para ello”, pero, a salvo de las reglas especiales que recoge dicho precepto, en todo lo demás siguen rigiendo las normas generales, de manera que para acceder a la prestación por desempleo el trabajador ha de estar cubierto por la contingencia de desempleo, como exige el art. 264.1 TRLGSS. La causa de la revisión de la prestación reconocida inicialmente, tras la suspensión del contrato de trabajo, no es carecer del período mínimo de cotización, sino el no tener derecho la interesada a estar incluida en la protección por desempleo en el momento de suspenderse su contrato.</w:t>
      </w:r>
    </w:p>
    <w:p w14:paraId="3E105EBE" w14:textId="77777777" w:rsidR="00C04533" w:rsidRDefault="00C04533" w:rsidP="00C04533">
      <w:pPr>
        <w:pStyle w:val="TextoNormal"/>
      </w:pPr>
    </w:p>
    <w:p w14:paraId="4A29A1EE" w14:textId="42B1C671" w:rsidR="00C04533" w:rsidRDefault="00C04533" w:rsidP="00C04533">
      <w:pPr>
        <w:pStyle w:val="TextoNormal"/>
      </w:pPr>
      <w:r>
        <w:t>(iv) No puede apreciarse extemporaneidad porque el SEPE tiene competencia para declarar y exigir la devolución de las prestaciones indebidamente percibidas (art. 295 TRLGSS), en un plazo de prescripción de cuatro años desde el cobro o desde que fuera posible reclamar la devolución (art. 55 TRLGSS). Además, afirma que el art. 146.2 a) LJS permite al SEPE revisar de oficio los actos declarativos de derechos cuando la revisión venga motivada por la constatación de inexactitudes en las declaraciones de los beneficiarios, así como la reclamación de las cantidades que, en su caso, se hubieran percibido indebidamente por tal motivo. Sostiene que, al tiempo de reconocer la prestación por desempleo, el SEPE desconocía que la trabajadora tenía reconocida una discapacidad y que convivía con su padre.</w:t>
      </w:r>
    </w:p>
    <w:p w14:paraId="388CCDD4" w14:textId="77777777" w:rsidR="00C04533" w:rsidRDefault="00C04533" w:rsidP="00C04533">
      <w:pPr>
        <w:pStyle w:val="TextoNormal"/>
      </w:pPr>
    </w:p>
    <w:p w14:paraId="63A3A1EC" w14:textId="1787CD01" w:rsidR="00C04533" w:rsidRDefault="00C04533" w:rsidP="00C04533">
      <w:pPr>
        <w:pStyle w:val="TextoNormal"/>
      </w:pPr>
      <w:r w:rsidRPr="00C04533">
        <w:rPr>
          <w:rStyle w:val="NumeroAFNegritaCaracter"/>
        </w:rPr>
        <w:t>6</w:t>
      </w:r>
      <w:r>
        <w:t>. La representación procesal de la trabajadora impugnó el recurso de suplicación, interesando la desestimación del recurso y la confirmación de la sentencia de 19 de septiembre de 2023.</w:t>
      </w:r>
    </w:p>
    <w:p w14:paraId="0609B3A7" w14:textId="77777777" w:rsidR="00C04533" w:rsidRDefault="00C04533" w:rsidP="00C04533">
      <w:pPr>
        <w:pStyle w:val="TextoNormal"/>
      </w:pPr>
    </w:p>
    <w:p w14:paraId="04782202" w14:textId="0FBD4899" w:rsidR="00C04533" w:rsidRDefault="00C04533" w:rsidP="00C04533">
      <w:pPr>
        <w:pStyle w:val="TextoNormal"/>
      </w:pPr>
      <w:r w:rsidRPr="00C04533">
        <w:rPr>
          <w:rStyle w:val="NumeroAFNegritaCaracter"/>
        </w:rPr>
        <w:t>7</w:t>
      </w:r>
      <w:r>
        <w:t>. Elevadas las actuaciones a la Sala de lo Social del Tribunal Superior de Justicia de Aragón (recurso de suplicación núm. 883-2023) por providencia de 15 de enero de 2024 se señaló el 30 de enero del mismo año para deliberación, votación y fallo.</w:t>
      </w:r>
    </w:p>
    <w:p w14:paraId="13418F66" w14:textId="77777777" w:rsidR="00C04533" w:rsidRDefault="00C04533" w:rsidP="00C04533">
      <w:pPr>
        <w:pStyle w:val="TextoNormal"/>
      </w:pPr>
    </w:p>
    <w:p w14:paraId="5415EB2D" w14:textId="272C917B" w:rsidR="00C04533" w:rsidRDefault="00C04533" w:rsidP="00C04533">
      <w:pPr>
        <w:pStyle w:val="TextoNormal"/>
      </w:pPr>
      <w:r w:rsidRPr="00C04533">
        <w:rPr>
          <w:rStyle w:val="NumeroAFNegritaCaracter"/>
        </w:rPr>
        <w:t>8</w:t>
      </w:r>
      <w:r>
        <w:t>. El 7 de febrero de 2024, la Sala de lo Social del Tribunal Superior de Justicia de Aragón dictó providencia acordando oír a las partes y al Ministerio Fiscal para que, en el plazo común de diez días, efectuaran alegaciones sobre la pertinencia de plantear cuestión de inconstitucionalidad sobre “la regulación del art. 12.2 LGSS —que excluye de la protección por desempleo a los familiares del empresario que ese precepto menciona— y la posible inconstitucionalidad de esa regulación, por lesión del principio de igualdad por razón de parentesco y de no discriminación por razón de discapacidad”.</w:t>
      </w:r>
    </w:p>
    <w:p w14:paraId="71C30CA7" w14:textId="77777777" w:rsidR="00C04533" w:rsidRDefault="00C04533" w:rsidP="00C04533">
      <w:pPr>
        <w:pStyle w:val="TextoNormal"/>
      </w:pPr>
    </w:p>
    <w:p w14:paraId="5F67BED9" w14:textId="7D6D4391" w:rsidR="00C04533" w:rsidRDefault="00C04533" w:rsidP="00C04533">
      <w:pPr>
        <w:pStyle w:val="TextoNormal"/>
      </w:pPr>
      <w:r w:rsidRPr="00C04533">
        <w:rPr>
          <w:rStyle w:val="NumeroAFNegritaCaracter"/>
        </w:rPr>
        <w:t>9</w:t>
      </w:r>
      <w:r>
        <w:t>. El 14 de febrero de 2024, el Ministerio Fiscal interpuso recurso de reposición contra la providencia de 7 de febrero de 2024, por apreciar defectos en la identificación de la norma cuya inconstitucionalidad se plantea, por no citar el art. 14 CE y por considerar que, dado que la sentencia recurrida en suplicación no cita ni se refiere al art. 12.2 TRLGSS, resultaba apropiado que la providencia expresara un razonamiento respecto de la aplicabilidad y relevancia del mismo para la resolución de la cuestión jurídica debatida en el proceso.</w:t>
      </w:r>
    </w:p>
    <w:p w14:paraId="40F932DD" w14:textId="77777777" w:rsidR="00C04533" w:rsidRDefault="00C04533" w:rsidP="00C04533">
      <w:pPr>
        <w:pStyle w:val="TextoNormal"/>
      </w:pPr>
    </w:p>
    <w:p w14:paraId="1A158C91" w14:textId="47BE4CEC" w:rsidR="00C04533" w:rsidRDefault="00C04533" w:rsidP="00C04533">
      <w:pPr>
        <w:pStyle w:val="TextoNormal"/>
      </w:pPr>
      <w:r w:rsidRPr="00C04533">
        <w:rPr>
          <w:rStyle w:val="NumeroAFNegritaCaracter"/>
        </w:rPr>
        <w:t>10</w:t>
      </w:r>
      <w:r>
        <w:t>. La representación procesal del SEPE manifestó su conformidad con el recurso de reposición interpuesto por el Ministerio Fiscal y formuló alegaciones considerando improcedente el planteamiento de la cuestión de inconstitucionalidad.</w:t>
      </w:r>
    </w:p>
    <w:p w14:paraId="2D41DE73" w14:textId="77777777" w:rsidR="00C04533" w:rsidRDefault="00C04533" w:rsidP="00C04533">
      <w:pPr>
        <w:pStyle w:val="TextoNormal"/>
      </w:pPr>
    </w:p>
    <w:p w14:paraId="3823AA31" w14:textId="4B44EAA6" w:rsidR="00C04533" w:rsidRDefault="00C04533" w:rsidP="00C04533">
      <w:pPr>
        <w:pStyle w:val="TextoNormal"/>
      </w:pPr>
      <w:r w:rsidRPr="00C04533">
        <w:rPr>
          <w:rStyle w:val="NumeroAFNegritaCaracter"/>
        </w:rPr>
        <w:t>11</w:t>
      </w:r>
      <w:r>
        <w:t>. La representación procesal de la trabajadora interesó el planteamiento de la cuestión.</w:t>
      </w:r>
    </w:p>
    <w:p w14:paraId="213249C3" w14:textId="77777777" w:rsidR="00C04533" w:rsidRDefault="00C04533" w:rsidP="00C04533">
      <w:pPr>
        <w:pStyle w:val="TextoNormal"/>
      </w:pPr>
    </w:p>
    <w:p w14:paraId="346EB72A" w14:textId="77777777" w:rsidR="00C04533" w:rsidRDefault="00C04533" w:rsidP="00C04533">
      <w:pPr>
        <w:pStyle w:val="TextoNormal"/>
      </w:pPr>
      <w:r w:rsidRPr="00C04533">
        <w:rPr>
          <w:rStyle w:val="NumeroAFNegritaCaracter"/>
        </w:rPr>
        <w:t>12</w:t>
      </w:r>
      <w:r>
        <w:t>. Por auto de 4 de marzo de 2024 se estimó el recurso de reposición del Ministerio Fiscal. En la misma resolución se abrió de nuevo el trámite de audiencia del art. 35.2 de la Ley Orgánica del Tribunal Constitucional (LOTC) con el fin de escuchar a las partes y al Ministerio Fiscal, por plazo común de diez días, “en torno a las cuestiones que han quedado precisadas en los fundamentos de derecho tercero a quinto del presente auto”.</w:t>
      </w:r>
    </w:p>
    <w:p w14:paraId="35BD3C99" w14:textId="77777777" w:rsidR="00C04533" w:rsidRDefault="00C04533" w:rsidP="00C04533">
      <w:pPr>
        <w:pStyle w:val="TextoNormal"/>
      </w:pPr>
    </w:p>
    <w:p w14:paraId="5466EEDD" w14:textId="77777777" w:rsidR="00C04533" w:rsidRDefault="00C04533" w:rsidP="00C04533">
      <w:pPr>
        <w:pStyle w:val="TextoNormal"/>
      </w:pPr>
      <w:r>
        <w:t>El auto explica que, desde el plano de la legalidad ordinaria, a juicio de la Sala, el recurso de suplicación debe ser estimado, acogiendo en parte la revisión de los hechos declarados probados y en su totalidad las infracciones jurídicas invocadas por el SEPE, pero que debe examinarse la cuestión desde la óptica constitucional. En los fundamentos de derecho tercero, cuarto y quinto, expone sucintamente las razones por las que estima que:</w:t>
      </w:r>
    </w:p>
    <w:p w14:paraId="25BC0987" w14:textId="77777777" w:rsidR="00C04533" w:rsidRDefault="00C04533" w:rsidP="00C04533">
      <w:pPr>
        <w:pStyle w:val="TextoNormal"/>
      </w:pPr>
    </w:p>
    <w:p w14:paraId="3EB2D302" w14:textId="77777777" w:rsidR="00C04533" w:rsidRDefault="00C04533" w:rsidP="00C04533">
      <w:pPr>
        <w:pStyle w:val="TextoNormal"/>
      </w:pPr>
      <w:r>
        <w:t>a) El inciso final del párrafo primero y el párrafo segundo, apartados a), b) y c), del art. 12.2 TRLGSS, podrían ser inconstitucionales al establecer injustificadamente una exclusión de la prestación por desempleo, por razón de parentesco y no por razón de convivencia.</w:t>
      </w:r>
    </w:p>
    <w:p w14:paraId="109C3B43" w14:textId="77777777" w:rsidR="00C04533" w:rsidRDefault="00C04533" w:rsidP="00C04533">
      <w:pPr>
        <w:pStyle w:val="TextoNormal"/>
      </w:pPr>
    </w:p>
    <w:p w14:paraId="00B817DD" w14:textId="77777777" w:rsidR="00C04533" w:rsidRDefault="00C04533" w:rsidP="00C04533">
      <w:pPr>
        <w:pStyle w:val="TextoNormal"/>
      </w:pPr>
      <w:r>
        <w:t>b) El párrafo segundo del art. 12.2 TRLGSS podría ser inconstitucional por incurrir en discriminación directa por razón de discapacidad.</w:t>
      </w:r>
    </w:p>
    <w:p w14:paraId="68E17774" w14:textId="77777777" w:rsidR="00C04533" w:rsidRDefault="00C04533" w:rsidP="00C04533">
      <w:pPr>
        <w:pStyle w:val="TextoNormal"/>
      </w:pPr>
    </w:p>
    <w:p w14:paraId="50D13EF8" w14:textId="77777777" w:rsidR="00C04533" w:rsidRDefault="00C04533" w:rsidP="00C04533">
      <w:pPr>
        <w:pStyle w:val="TextoNormal"/>
      </w:pPr>
      <w:r>
        <w:t>c) El párrafo segundo del art. 12.2 TRLGSS, puesto en relación con el art. 25.1 del Real Decreto-ley 8/2020, podría ser inconstitucional por incurrir en discriminación indirecta por razón de discapacidad, y ello porque la normativa especial dictada durante la pandemia de la covid-19 no excluyó directamente a los trabajadores discapacitados, pero la conexión de esa normativa con el art. 12.2 TRLGSS tuvo como efecto la desprotección de los trabajadores hijos discapacitados del empleador autónomo.</w:t>
      </w:r>
    </w:p>
    <w:p w14:paraId="18173BEF" w14:textId="77777777" w:rsidR="00C04533" w:rsidRDefault="00C04533" w:rsidP="00C04533">
      <w:pPr>
        <w:pStyle w:val="TextoNormal"/>
      </w:pPr>
    </w:p>
    <w:p w14:paraId="5CC13F4F" w14:textId="44E3253B" w:rsidR="00C04533" w:rsidRDefault="00C04533" w:rsidP="00C04533">
      <w:pPr>
        <w:pStyle w:val="TextoNormal"/>
      </w:pPr>
      <w:r>
        <w:t>Finalmente, el auto precisa que “el precepto constitucional supuestamente vulnerado es el art. 14 CE, en sus vertientes de derecho a no ser objeto de trato desigual de modo injustificado por razón de parentesco (fundamento de derecho tercero del presente auto), prohibición de discriminación directa por razón de discapacidad (fundamento de derecho cuarto del presente auto) y prohibición de discriminación indirecta por razón de discapacidad (fundamento de derecho quinto del presente auto)”.</w:t>
      </w:r>
    </w:p>
    <w:p w14:paraId="0EB0E00D" w14:textId="77777777" w:rsidR="00C04533" w:rsidRDefault="00C04533" w:rsidP="00C04533">
      <w:pPr>
        <w:pStyle w:val="TextoNormal"/>
      </w:pPr>
    </w:p>
    <w:p w14:paraId="5CFC8529" w14:textId="7AC7DFD6" w:rsidR="00C04533" w:rsidRDefault="00C04533" w:rsidP="00C04533">
      <w:pPr>
        <w:pStyle w:val="TextoNormal"/>
      </w:pPr>
      <w:r w:rsidRPr="00C04533">
        <w:rPr>
          <w:rStyle w:val="NumeroAFNegritaCaracter"/>
        </w:rPr>
        <w:t>13</w:t>
      </w:r>
      <w:r>
        <w:t>. La representación procesal de la trabajadora, por escrito presentado el 18 de marzo de 2024, manifestó su conformidad con el planteamiento de la cuestión de inconstitucionalidad, alegando que: (i) se comparte el criterio de la Sala de que la exclusión de la prestación por desempleo es el parentesco y no la convivencia, y que los familiares se encuentran en una situación de desigualdad respecto a otros trabajadores a pesar de realizar las mismas funciones y tareas; (ii) el art. 12.2 TRLGSS incurre en discriminación directa por razón de discapacidad; y (iii) denegar a una trabajadora discapacitada la prestación por desempleo con base en el art. 12.2 TRLGSS supone vulnerar el principio de igualdad y es contrario a la protección que establece el art. 25 del Real Decreto-ley 8/2020, por lo que el precepto cuestionado incurre en discriminación indirecta por motivo de la discapacidad, dejando a la trabajadora en una situación de precariedad.</w:t>
      </w:r>
    </w:p>
    <w:p w14:paraId="0322F42E" w14:textId="77777777" w:rsidR="00C04533" w:rsidRDefault="00C04533" w:rsidP="00C04533">
      <w:pPr>
        <w:pStyle w:val="TextoNormal"/>
      </w:pPr>
    </w:p>
    <w:p w14:paraId="28CE00D5" w14:textId="58787CC5" w:rsidR="00C04533" w:rsidRDefault="00C04533" w:rsidP="00C04533">
      <w:pPr>
        <w:pStyle w:val="TextoNormal"/>
      </w:pPr>
      <w:r w:rsidRPr="00C04533">
        <w:rPr>
          <w:rStyle w:val="NumeroAFNegritaCaracter"/>
        </w:rPr>
        <w:t>14</w:t>
      </w:r>
      <w:r>
        <w:t>. El Ministerio Fiscal evacuó sus alegaciones, mediante escrito de 20 de marzo de 2024, considerando que concurren los requisitos para el planteamiento de la cuestión de inconstitucionalidad. A juicio del fiscal: (i) es el momento procesal oportuno para suscitar la cuestión de inconstitucionalidad, porque el proceso estaba concluso en su tramitación; (ii) el auto de 4 de febrero de 2024 identifica las normas con rango de ley cuestionadas y concreta el precepto constitucional supuestamente vulnerado; y (iii) las normas cuya constitucionalidad cuestiona la Sala son efectivamente aplicables para la resolución del procedimiento y su ajuste constitucional resulta decisivo para el fallo del recurso.</w:t>
      </w:r>
    </w:p>
    <w:p w14:paraId="30B7D25A" w14:textId="77777777" w:rsidR="00C04533" w:rsidRDefault="00C04533" w:rsidP="00C04533">
      <w:pPr>
        <w:pStyle w:val="TextoNormal"/>
      </w:pPr>
    </w:p>
    <w:p w14:paraId="521AB8E5" w14:textId="77777777" w:rsidR="00C04533" w:rsidRDefault="00C04533" w:rsidP="00C04533">
      <w:pPr>
        <w:pStyle w:val="TextoNormal"/>
      </w:pPr>
      <w:r w:rsidRPr="00C04533">
        <w:rPr>
          <w:rStyle w:val="NumeroAFNegritaCaracter"/>
        </w:rPr>
        <w:t>15</w:t>
      </w:r>
      <w:r>
        <w:t>. La letrada del SEPE manifestó su oposición al planteamiento de la cuestión de inconstitucionalidad.</w:t>
      </w:r>
    </w:p>
    <w:p w14:paraId="74AAD06C" w14:textId="77777777" w:rsidR="00C04533" w:rsidRDefault="00C04533" w:rsidP="00C04533">
      <w:pPr>
        <w:pStyle w:val="TextoNormal"/>
      </w:pPr>
    </w:p>
    <w:p w14:paraId="3323770C" w14:textId="77777777" w:rsidR="00C04533" w:rsidRDefault="00C04533" w:rsidP="00C04533">
      <w:pPr>
        <w:pStyle w:val="TextoNormal"/>
      </w:pPr>
      <w:r>
        <w:t>a) A modo de introducción, comienza sus alegaciones efectuando unas consideraciones generales acerca del derecho a la igualdad de trato y no discriminación, con base en las cuales afirma que el art. 12.2 TRLGSS no vulnera el art. 14 CE, sino que “simplemente sucede que el art. 12.2 TRLGSS regula una situación fáctica específica (distinta de aquellas que la providencia de 7 de febrero de 2024 parece apreciar como término de comparación), y le atribuye o procura efectos jurídicos también específicos, por lo que, ante la inexistencia de una auténtica identidad u homogeneidad de situación de hecho, debe operar la libertad o margen de configuración normativa del legislador para la ordenación de un ámbito concreto de la realidad”. Cita, en particular, la STC 2/1992, de 13 de enero.</w:t>
      </w:r>
    </w:p>
    <w:p w14:paraId="392045D3" w14:textId="77777777" w:rsidR="00C04533" w:rsidRDefault="00C04533" w:rsidP="00C04533">
      <w:pPr>
        <w:pStyle w:val="TextoNormal"/>
      </w:pPr>
    </w:p>
    <w:p w14:paraId="2B555CFB" w14:textId="77777777" w:rsidR="00C04533" w:rsidRDefault="00C04533" w:rsidP="00C04533">
      <w:pPr>
        <w:pStyle w:val="TextoNormal"/>
      </w:pPr>
      <w:r>
        <w:t>Acto seguido efectúa una “aproximación al concepto de discriminación indirecta”, rechazando que concurra en el caso examinado porque la norma afecta por igual a todos los que se encuentran en el supuesto regulado en aquella, es decir, ser empleados por cuenta ajena de trabajadores autónomos, que son sus padres y con los que conviven.</w:t>
      </w:r>
    </w:p>
    <w:p w14:paraId="29010EB9" w14:textId="77777777" w:rsidR="00C04533" w:rsidRDefault="00C04533" w:rsidP="00C04533">
      <w:pPr>
        <w:pStyle w:val="TextoNormal"/>
      </w:pPr>
    </w:p>
    <w:p w14:paraId="7261E7F6" w14:textId="77777777" w:rsidR="00C04533" w:rsidRDefault="00C04533" w:rsidP="00C04533">
      <w:pPr>
        <w:pStyle w:val="TextoNormal"/>
      </w:pPr>
      <w:r>
        <w:t>b) Verificado lo anterior, procede a examinar la regulación contenida en el art. 12 TRLGSS, su evolución legislativa, su ubicación sistemática y su conexión con el art. 1.3 LET y la disposición adicional décima de la Ley 20/2007.</w:t>
      </w:r>
    </w:p>
    <w:p w14:paraId="530CD40F" w14:textId="77777777" w:rsidR="00C04533" w:rsidRDefault="00C04533" w:rsidP="00C04533">
      <w:pPr>
        <w:pStyle w:val="TextoNormal"/>
      </w:pPr>
    </w:p>
    <w:p w14:paraId="2D808971" w14:textId="77777777" w:rsidR="00C04533" w:rsidRDefault="00C04533" w:rsidP="00C04533">
      <w:pPr>
        <w:pStyle w:val="TextoNormal"/>
      </w:pPr>
      <w:r>
        <w:t>Explica que la regulación contenida en el art. 12.2 TRLGSS tiene su origen en la disposición adicional décima de la Ley 20/2007 y en la modificación introducida en la misma a través de la disposición adicional quinta de la Ley 27/2009, de 30 de diciembre, de medidas urgentes para el mantenimiento y el fomento del empleo y la protección de las personas desempleadas. Igualmente señala que el inciso final del apartado b) del art. 12.2 TRLGSS se introdujo por la disposición final sexta, apartado segundo de la Ley 6/2017, de 24 de octubre, de reformas urgentes del trabajo autónomo.</w:t>
      </w:r>
    </w:p>
    <w:p w14:paraId="370072A8" w14:textId="77777777" w:rsidR="00C04533" w:rsidRDefault="00C04533" w:rsidP="00C04533">
      <w:pPr>
        <w:pStyle w:val="TextoNormal"/>
      </w:pPr>
    </w:p>
    <w:p w14:paraId="0D03A6EA" w14:textId="77777777" w:rsidR="00C04533" w:rsidRDefault="00C04533" w:rsidP="00C04533">
      <w:pPr>
        <w:pStyle w:val="TextoNormal"/>
      </w:pPr>
      <w:r>
        <w:t xml:space="preserve">Alega que el art. 12 TRLGSS, por su ubicación sistemática, establece las especialidades aplicables al colectivo de “familiares” dentro de la regulación del campo de aplicación del sistema de la Seguridad Social. Y todo ello en relación con el art. 1.3 e) LET que excluye del ámbito de aplicación del Estatuto de los trabajadores a “[l]os trabajos familiares, salvo que se demuestre la condición de asalariados de quienes los llevan a cabo”. De donde concluye que el parentesco con el empleador es una circunstancia que permite establecer especialidades normativas en el ámbito de las relaciones laborales y de seguridad social (STC 2/1992), que en los arts. 12.1 TRLGSS y 1.3 e) LET se traduce en la presunción </w:t>
      </w:r>
      <w:r w:rsidRPr="00C04533">
        <w:rPr>
          <w:i/>
        </w:rPr>
        <w:t>iuris tantum</w:t>
      </w:r>
      <w:r>
        <w:t xml:space="preserve"> de no laboralidad cuando existe una relación de parentesco entre el empleador y el trabajador.</w:t>
      </w:r>
    </w:p>
    <w:p w14:paraId="54A1205E" w14:textId="77777777" w:rsidR="00C04533" w:rsidRDefault="00C04533" w:rsidP="00C04533">
      <w:pPr>
        <w:pStyle w:val="TextoNormal"/>
      </w:pPr>
    </w:p>
    <w:p w14:paraId="670D821F" w14:textId="77777777" w:rsidR="00C04533" w:rsidRDefault="00C04533" w:rsidP="00C04533">
      <w:pPr>
        <w:pStyle w:val="TextoNormal"/>
      </w:pPr>
      <w:r>
        <w:t>Dentro de este marco normativo, el art. 12.2 TRLGSS establece una excepción a la regla general del art. 12.1, más favorable, en el sentido de que cuando el empleador sea un trabajador autónomo, podrá contratar como trabajadores por cuenta ajena a sus hijos menores de treinta años o asimilados por razón de discapacidad, desapareciendo la presunción de no laboralidad. A decir de la letrada del SEPE, esta excepción permite favorecer la empleabilidad de aquellos hijos con discapacidad que prestaran servicios para un trabajador autónomo que fuera su progenitor, aunque convivieran con él.</w:t>
      </w:r>
    </w:p>
    <w:p w14:paraId="6B7039E1" w14:textId="77777777" w:rsidR="00C04533" w:rsidRDefault="00C04533" w:rsidP="00C04533">
      <w:pPr>
        <w:pStyle w:val="TextoNormal"/>
      </w:pPr>
    </w:p>
    <w:p w14:paraId="799641B1" w14:textId="77777777" w:rsidR="00C04533" w:rsidRDefault="00C04533" w:rsidP="00C04533">
      <w:pPr>
        <w:pStyle w:val="TextoNormal"/>
      </w:pPr>
      <w:r>
        <w:t>Cuestión distinta es que, en este caso, el hijo contratado por un trabajador autónomo no tenga acceso a la prestación por desempleo. En este caso, la interpretación del art. 12.2 TRLGSS conduce a la conclusión de que el hecho justificativo de la exclusión no es el parentesco, sino la convivencia.</w:t>
      </w:r>
    </w:p>
    <w:p w14:paraId="388FB20B" w14:textId="77777777" w:rsidR="00C04533" w:rsidRDefault="00C04533" w:rsidP="00C04533">
      <w:pPr>
        <w:pStyle w:val="TextoNormal"/>
      </w:pPr>
    </w:p>
    <w:p w14:paraId="343D643D" w14:textId="77777777" w:rsidR="00C04533" w:rsidRDefault="00C04533" w:rsidP="00C04533">
      <w:pPr>
        <w:pStyle w:val="TextoNormal"/>
      </w:pPr>
      <w:r>
        <w:t>Explica que la posibilidad de contratar por cuenta ajena a los hijos con discapacidad es una medida justificada por la necesidad de establecer un trato beneficioso a esos colectivos especiales que se encuentran en situación de vulnerabilidad y por eso se permite su encuadramiento en el régimen general de la Seguridad Social. Ahora bien, el hecho de la convivencia justifica la exclusión de la cobertura por desempleo porque, de no ser así, “se establecería una desigualdad con respecto al resto de trabajadores por cuenta ajena que no se encuentran en esa situación más privilegiada por el hecho de encontrarse disfrutando de los rendimientos de la empresa para la que trabajan, al permanecer a cargo del empresario”.</w:t>
      </w:r>
    </w:p>
    <w:p w14:paraId="258CA0CA" w14:textId="77777777" w:rsidR="00C04533" w:rsidRDefault="00C04533" w:rsidP="00C04533">
      <w:pPr>
        <w:pStyle w:val="TextoNormal"/>
      </w:pPr>
    </w:p>
    <w:p w14:paraId="63FA9DEA" w14:textId="77777777" w:rsidR="00C04533" w:rsidRDefault="00C04533" w:rsidP="00C04533">
      <w:pPr>
        <w:pStyle w:val="TextoNormal"/>
      </w:pPr>
      <w:r>
        <w:t>Señala que la convivencia justifica la diferencia de trato en relación con la prestación por desempleo porque el hecho de la convivencia desvirtúa la nota de ajenidad, característica de las relaciones laborales, tanto durante la relación de trabajo como en el momento de la finalización de la prestación de servicios. La prestación por desempleo tiene por objeto proteger al trabajador que se ha visto privado de su empleo por la decisión de un tercero (el empleador), pero no cabe hablar, en rigor, de terceros ajenos cuando se trata de dos personas familiares, que conviven en el seno de una misma unidad familiar y el hijo mantiene con el progenitor lazos de dependencia económica.</w:t>
      </w:r>
    </w:p>
    <w:p w14:paraId="44697630" w14:textId="77777777" w:rsidR="00C04533" w:rsidRDefault="00C04533" w:rsidP="00C04533">
      <w:pPr>
        <w:pStyle w:val="TextoNormal"/>
      </w:pPr>
    </w:p>
    <w:p w14:paraId="0016C1FB" w14:textId="09D5C47C" w:rsidR="00C04533" w:rsidRDefault="00C04533" w:rsidP="00C04533">
      <w:pPr>
        <w:pStyle w:val="TextoNormal"/>
      </w:pPr>
      <w:r>
        <w:t>Por lo tanto, lo que justifica la exclusión de la prestación por desempleo no es el parentesco, ni la discapacidad, sino la convivencia entre el padre empleador y el hijo empleado, porque la convivencia es una circunstancia indicativa de dependencia económica, como ha razonado la jurisprudencia de la Sala de lo Social del Tribunal Supremo.</w:t>
      </w:r>
    </w:p>
    <w:p w14:paraId="5F268475" w14:textId="77777777" w:rsidR="00C04533" w:rsidRDefault="00C04533" w:rsidP="00C04533">
      <w:pPr>
        <w:pStyle w:val="TextoNormal"/>
      </w:pPr>
    </w:p>
    <w:p w14:paraId="24DC0E29" w14:textId="77777777" w:rsidR="00C04533" w:rsidRDefault="00C04533" w:rsidP="00C04533">
      <w:pPr>
        <w:pStyle w:val="TextoNormal"/>
      </w:pPr>
      <w:r w:rsidRPr="00C04533">
        <w:rPr>
          <w:rStyle w:val="NumeroAFNegritaCaracter"/>
        </w:rPr>
        <w:t>16</w:t>
      </w:r>
      <w:r>
        <w:t>. Por auto de 2 de abril de 2024, la Sala de lo Social del Tribunal Superior de Justicia de Aragón acordó plantear cuestión de inconstitucionalidad en relación con el art. 12.2 TRLGSS.</w:t>
      </w:r>
    </w:p>
    <w:p w14:paraId="1825ECE8" w14:textId="77777777" w:rsidR="00C04533" w:rsidRDefault="00C04533" w:rsidP="00C04533">
      <w:pPr>
        <w:pStyle w:val="TextoNormal"/>
      </w:pPr>
    </w:p>
    <w:p w14:paraId="5A3D91AD" w14:textId="77777777" w:rsidR="00C04533" w:rsidRDefault="00C04533" w:rsidP="00C04533">
      <w:pPr>
        <w:pStyle w:val="TextoNormal"/>
      </w:pPr>
      <w:r>
        <w:t>a) En los antecedentes de hecho resume a grandes rasgos el objeto del procedimiento y los hitos fundamentales de la tramitación.</w:t>
      </w:r>
    </w:p>
    <w:p w14:paraId="3A3B139F" w14:textId="77777777" w:rsidR="00C04533" w:rsidRDefault="00C04533" w:rsidP="00C04533">
      <w:pPr>
        <w:pStyle w:val="TextoNormal"/>
      </w:pPr>
    </w:p>
    <w:p w14:paraId="4A192CEB" w14:textId="77777777" w:rsidR="00C04533" w:rsidRDefault="00C04533" w:rsidP="00C04533">
      <w:pPr>
        <w:pStyle w:val="TextoNormal"/>
      </w:pPr>
      <w:r>
        <w:t>b) El fundamento de Derecho primero lleva por rúbrica “Juicio de relevancia”. Expone el órgano judicial cuál habría de ser la resolución del recurso de suplicación, desde el plano de la legalidad ordinaria. En este sentido, tras resumir las alegaciones de las partes, concluye que concurren todas las infracciones jurídicas invocadas en el recurso del SEPE.</w:t>
      </w:r>
    </w:p>
    <w:p w14:paraId="3578E07B" w14:textId="77777777" w:rsidR="00C04533" w:rsidRDefault="00C04533" w:rsidP="00C04533">
      <w:pPr>
        <w:pStyle w:val="TextoNormal"/>
      </w:pPr>
    </w:p>
    <w:p w14:paraId="55A89919" w14:textId="77777777" w:rsidR="00C04533" w:rsidRDefault="00C04533" w:rsidP="00C04533">
      <w:pPr>
        <w:pStyle w:val="TextoNormal"/>
      </w:pPr>
      <w:r>
        <w:t>c) En el fundamento de Derecho segundo razona el auto la “[i]nconstitucionalidad del art. 12.2 LGSS (inciso final del párrafo primero y párrafo segundo en su integridad incluyendo apdos. a), b) y c), por infracción del principio de igualdad tutelado en el art. 14 CE por razón de parentesco”.</w:t>
      </w:r>
    </w:p>
    <w:p w14:paraId="4AE56855" w14:textId="77777777" w:rsidR="00C04533" w:rsidRDefault="00C04533" w:rsidP="00C04533">
      <w:pPr>
        <w:pStyle w:val="TextoNormal"/>
      </w:pPr>
    </w:p>
    <w:p w14:paraId="7BCD4AC4" w14:textId="77777777" w:rsidR="00C04533" w:rsidRDefault="00C04533" w:rsidP="00C04533">
      <w:pPr>
        <w:pStyle w:val="TextoNormal"/>
      </w:pPr>
      <w:r>
        <w:t>Cita el art. 1.3 e) LET y los arts. 12, 262 y 264.1 TRLGSS. Explica que ni el art. 14 CE ni la Ley 15/2022, de 12 de julio, integral para la igualdad de trato y la no discriminación, regulan expresamente el parentesco como causa de lesión del principio de igualdad. Igualmente considera que la cuestión planteada queda fuera del ámbito de aplicación de la Directiva 2006/54/CE del Parlamento Europeo y del Consejo, de 5 de julio de 2006, relativa a la aplicación del principio de igualdad de oportunidades e igualdad de trato entre hombres y mujeres en asuntos de empleo y ocupación; la Directiva 2000/78/CE del Consejo, de 27 de noviembre de 2000, relativa al establecimiento de un marco general para la igualdad de trato en el empleo y la ocupación; y de la Directiva 79/7/CEE del Consejo, de 19 de diciembre de 1978, relativa a la aplicación progresiva del principio de igualdad de trato entre hombres y mujeres en materia de seguridad social.</w:t>
      </w:r>
    </w:p>
    <w:p w14:paraId="3DBF60B4" w14:textId="77777777" w:rsidR="00C04533" w:rsidRDefault="00C04533" w:rsidP="00C04533">
      <w:pPr>
        <w:pStyle w:val="TextoNormal"/>
      </w:pPr>
    </w:p>
    <w:p w14:paraId="6B1B5671" w14:textId="77777777" w:rsidR="00C04533" w:rsidRDefault="00C04533" w:rsidP="00C04533">
      <w:pPr>
        <w:pStyle w:val="TextoNormal"/>
      </w:pPr>
      <w:r>
        <w:t xml:space="preserve">Dicho esto, el órgano judicial considera que procede examinar el ámbito de aplicación personal de las prestaciones por desempleo </w:t>
      </w:r>
      <w:r w:rsidRPr="00C04533">
        <w:rPr>
          <w:i/>
        </w:rPr>
        <w:t>ex</w:t>
      </w:r>
      <w:r>
        <w:t xml:space="preserve"> art. 12.2 TRLGSS, desde la perspectiva del principio de igualdad por razón de parentesco. A tal fin, cita extensamente la STC 2/1992 y explica que, en ese supuesto, se rechazó que a la demandante de amparo se le vedara el acceso al régimen general de la Seguridad Social por el hecho de ser cónyuge del empresario, mientras que en el litigio de que conoce sí está permitida la integración en el régimen general de la Seguridad Social.</w:t>
      </w:r>
    </w:p>
    <w:p w14:paraId="547989FC" w14:textId="77777777" w:rsidR="00C04533" w:rsidRDefault="00C04533" w:rsidP="00C04533">
      <w:pPr>
        <w:pStyle w:val="TextoNormal"/>
      </w:pPr>
    </w:p>
    <w:p w14:paraId="6B4479DF" w14:textId="77777777" w:rsidR="00C04533" w:rsidRDefault="00C04533" w:rsidP="00C04533">
      <w:pPr>
        <w:pStyle w:val="TextoNormal"/>
      </w:pPr>
      <w:r>
        <w:t>Explica que la situación de los trabajadores familiares del empresario trabajador autónomo cambió con la disposición adicional décima de la Ley 20/2007 que estableció la posibilidad de que algunos de esos familiares fueran encuadrados en el régimen general de la Seguridad Social. Esta regulación se recogió también en el art. 12.2 TRLGSS. Ambos preceptos fueron modificados por la disposición final sexta de la Ley 6/2017. Trascribe la interpretación del precepto que sigue la STS de 26 de octubre de 2022 (recurso núm. 1348-2019, ECLI:ES:TS:2022:3872).</w:t>
      </w:r>
    </w:p>
    <w:p w14:paraId="6BA41308" w14:textId="77777777" w:rsidR="00C04533" w:rsidRDefault="00C04533" w:rsidP="00C04533">
      <w:pPr>
        <w:pStyle w:val="TextoNormal"/>
      </w:pPr>
    </w:p>
    <w:p w14:paraId="60F21DBA" w14:textId="77777777" w:rsidR="00C04533" w:rsidRDefault="00C04533" w:rsidP="00C04533">
      <w:pPr>
        <w:pStyle w:val="TextoNormal"/>
      </w:pPr>
      <w:r>
        <w:t xml:space="preserve">Continúa diciendo que al entrar en vigor la Ley 20/2007 nadie afiliado al régimen especial de trabajadores autónomos accedía a la protección por desempleo o cese de actividad involuntario, pero que la situación cambió con la Ley 32/2010, de 5 de agosto, que introdujo un sistema específico de protección por cese de actividad para los trabajadores autónomos. A la luz de las pautas interpretativas que resultan de la STJUE de 24 de febrero de 2022 (asunto C-389/20, </w:t>
      </w:r>
      <w:r w:rsidRPr="00C04533">
        <w:rPr>
          <w:i/>
        </w:rPr>
        <w:t>C.J. c. Tesorería General de la Seguridad Social</w:t>
      </w:r>
      <w:r>
        <w:t>, en relación con la exclusión de la protección por desempleo de las empleadas de hogar), se pregunta “si la opción legislativa de excluir a los trabajadores que se encuentran en la situación del art. 12.2 LGSS de las personas por desempleo resulta coherente y sistemática en comparación con el resto de trabajadores pertenecientes al régimen general de Seguridad Social que sí disfrutan de esas prestaciones y también con los colectivos pertenecientes al régimen especial de trabajadores autónomos que disfrutan de protección por cese de actividad”. Así, a juicio de la Sal</w:t>
      </w:r>
      <w:r w:rsidRPr="00C04533">
        <w:rPr>
          <w:i/>
        </w:rPr>
        <w:t>a a q</w:t>
      </w:r>
      <w:r>
        <w:t>uo:</w:t>
      </w:r>
    </w:p>
    <w:p w14:paraId="063E380B" w14:textId="77777777" w:rsidR="00C04533" w:rsidRDefault="00C04533" w:rsidP="00C04533">
      <w:pPr>
        <w:pStyle w:val="TextoNormal"/>
      </w:pPr>
    </w:p>
    <w:p w14:paraId="54E46870" w14:textId="77777777" w:rsidR="00C04533" w:rsidRDefault="00C04533" w:rsidP="00C04533">
      <w:pPr>
        <w:pStyle w:val="TextoNormal"/>
      </w:pPr>
      <w:r>
        <w:t>(i) Un trabajador autónomo afiliado al régimen especial de trabajadores autónomos puede optar por cotizar a la prestación por cese de actividad y acceder a la correspondiente protección, pero no pueden hacerlo los hijos de este que se encuentren en la situación del art. 12.2 TRLGSS, que quedan obligatoriamente encuadrados en el régimen general, pero sin derecho a protección por desempleo.</w:t>
      </w:r>
    </w:p>
    <w:p w14:paraId="3BB26758" w14:textId="77777777" w:rsidR="00C04533" w:rsidRDefault="00C04533" w:rsidP="00C04533">
      <w:pPr>
        <w:pStyle w:val="TextoNormal"/>
      </w:pPr>
    </w:p>
    <w:p w14:paraId="7F7B9DA6" w14:textId="77777777" w:rsidR="00C04533" w:rsidRDefault="00C04533" w:rsidP="00C04533">
      <w:pPr>
        <w:pStyle w:val="TextoNormal"/>
      </w:pPr>
      <w:r>
        <w:t>(ii) Conforme al art. 13.1 TRLGSS un trabajador discapacitado que presta servicios en un centro especial de empleo y se encuentra encuadrado en el régimen general de la Seguridad Social cotiza por desempleo y puede acceder a la prestación, pero no pueden hacerlo los trabajadores discapacitados al servicio de su padre trabajador autónomo.</w:t>
      </w:r>
    </w:p>
    <w:p w14:paraId="14E91440" w14:textId="77777777" w:rsidR="00C04533" w:rsidRDefault="00C04533" w:rsidP="00C04533">
      <w:pPr>
        <w:pStyle w:val="TextoNormal"/>
      </w:pPr>
    </w:p>
    <w:p w14:paraId="2D07DB7A" w14:textId="77777777" w:rsidR="00C04533" w:rsidRDefault="00C04533" w:rsidP="00C04533">
      <w:pPr>
        <w:pStyle w:val="TextoNormal"/>
      </w:pPr>
      <w:r>
        <w:t>(iii) Un trabajador común que presta servicios para un empresario con el que no tiene el vínculo señalado en el art. 12.2 TRLGSS cotiza por desempleo y percibe la correspondiente prestación.</w:t>
      </w:r>
    </w:p>
    <w:p w14:paraId="1CC1D7B0" w14:textId="77777777" w:rsidR="00C04533" w:rsidRDefault="00C04533" w:rsidP="00C04533">
      <w:pPr>
        <w:pStyle w:val="TextoNormal"/>
      </w:pPr>
    </w:p>
    <w:p w14:paraId="5D046677" w14:textId="77777777" w:rsidR="00C04533" w:rsidRDefault="00C04533" w:rsidP="00C04533">
      <w:pPr>
        <w:pStyle w:val="TextoNormal"/>
      </w:pPr>
      <w:r>
        <w:t>De ello extrae la conclusión de que la diferencia de trato se debe al parentesco entre empresario y trabajador porque, si hubiera convivencia sin relación de parentesco, el trabajador sí percibiría desempleo.</w:t>
      </w:r>
    </w:p>
    <w:p w14:paraId="657B2700" w14:textId="77777777" w:rsidR="00C04533" w:rsidRDefault="00C04533" w:rsidP="00C04533">
      <w:pPr>
        <w:pStyle w:val="TextoNormal"/>
      </w:pPr>
    </w:p>
    <w:p w14:paraId="4B0BC22D" w14:textId="77777777" w:rsidR="00C04533" w:rsidRDefault="00C04533" w:rsidP="00C04533">
      <w:pPr>
        <w:pStyle w:val="TextoNormal"/>
      </w:pPr>
      <w:r>
        <w:t>En la hipótesis de considerar que la causa determinante de la falta de protección por desempleo es la convivencia, explica el órgano judicial que ello no podría ser causa justificativa de la exclusión porque los apartados a), b) y c) del art. 12.2 TRLGSS “reflejan una situación personal de discapacidad grave de modo que resulta del todo lógica la convivencia con los padres como personas idóneas para ayuda a los hijos en tales circunstancias y de esta ayuda no se deriva la exclusión de la protección de desempleo”.</w:t>
      </w:r>
    </w:p>
    <w:p w14:paraId="353FAA31" w14:textId="77777777" w:rsidR="00C04533" w:rsidRDefault="00C04533" w:rsidP="00C04533">
      <w:pPr>
        <w:pStyle w:val="TextoNormal"/>
      </w:pPr>
    </w:p>
    <w:p w14:paraId="7A839C2E" w14:textId="77777777" w:rsidR="00C04533" w:rsidRDefault="00C04533" w:rsidP="00C04533">
      <w:pPr>
        <w:pStyle w:val="TextoNormal"/>
      </w:pPr>
      <w:r>
        <w:t>Y concluye señalando que “cabe entender que la exclusión de la protección de desempleo de los hijos del empresario que se encuentran en las situaciones del art. 12.2 LGSS supone una diferencia de trato por razón de parentesco carente de justificación y lesiva del principio de igualdad tutelado en el art. 14 CE (lesión del principio de igualdad en la ley)”.</w:t>
      </w:r>
    </w:p>
    <w:p w14:paraId="211FDCA9" w14:textId="77777777" w:rsidR="00C04533" w:rsidRDefault="00C04533" w:rsidP="00C04533">
      <w:pPr>
        <w:pStyle w:val="TextoNormal"/>
      </w:pPr>
    </w:p>
    <w:p w14:paraId="482CC85D" w14:textId="77777777" w:rsidR="00C04533" w:rsidRDefault="00C04533" w:rsidP="00C04533">
      <w:pPr>
        <w:pStyle w:val="TextoNormal"/>
      </w:pPr>
      <w:r>
        <w:t>d) En el fundamento de Derecho tercero aborda la “[i]nconstitucionalidad del art. 12.2, párrafo segundo, [incluyendo apdos a), b) y c) LGSS] por discriminación directa por razón de discapacidad”.</w:t>
      </w:r>
    </w:p>
    <w:p w14:paraId="62BD1F51" w14:textId="77777777" w:rsidR="00C04533" w:rsidRDefault="00C04533" w:rsidP="00C04533">
      <w:pPr>
        <w:pStyle w:val="TextoNormal"/>
      </w:pPr>
    </w:p>
    <w:p w14:paraId="5CD772FA" w14:textId="77777777" w:rsidR="00C04533" w:rsidRDefault="00C04533" w:rsidP="00C04533">
      <w:pPr>
        <w:pStyle w:val="TextoNormal"/>
      </w:pPr>
      <w:r>
        <w:t>Cita el art. 14 CE, el art. 2 c) del Real Decreto Legislativo 1/2013, de 29 de noviembre, por el que se aprueba el texto refundido de la Ley general de derechos de las personas con discapacidad y de su inclusión social, y los arts. 2.1 y 6 a) de la Ley 15/2022, de 12 de julio. Cita la STC 3/2018, de 22 de enero.</w:t>
      </w:r>
    </w:p>
    <w:p w14:paraId="76019E2D" w14:textId="77777777" w:rsidR="00C04533" w:rsidRDefault="00C04533" w:rsidP="00C04533">
      <w:pPr>
        <w:pStyle w:val="TextoNormal"/>
      </w:pPr>
    </w:p>
    <w:p w14:paraId="60495363" w14:textId="77777777" w:rsidR="00C04533" w:rsidRDefault="00C04533" w:rsidP="00C04533">
      <w:pPr>
        <w:pStyle w:val="TextoNormal"/>
      </w:pPr>
      <w:r>
        <w:t>Razona que los hijos del empresario trabajador autónomo no discapacitados, que prestan servicios para este están incluidos en el régimen especial de trabajadores autónomos y si optan por asegurar la prestación por cese de actividad, pueden acceder a esa protección, pero que los hijos del empresario trabajador autónomo que trabajan para él y padecen una discapacidad de las señaladas en el art 12.2 TRLGSS carecen de protección por desempleo. Si la razón del encuadramiento en el régimen general de la Seguridad Social es la discapacidad de los trabajadores, la consecuencia es que la discapacidad se erige en la causa de la falta de protección.</w:t>
      </w:r>
    </w:p>
    <w:p w14:paraId="3C072C3D" w14:textId="77777777" w:rsidR="00C04533" w:rsidRDefault="00C04533" w:rsidP="00C04533">
      <w:pPr>
        <w:pStyle w:val="TextoNormal"/>
      </w:pPr>
    </w:p>
    <w:p w14:paraId="4805E9B4" w14:textId="77777777" w:rsidR="00C04533" w:rsidRDefault="00C04533" w:rsidP="00C04533">
      <w:pPr>
        <w:pStyle w:val="TextoNormal"/>
      </w:pPr>
      <w:r>
        <w:t>Por ello, el art. 12.2 TRLGSS, párrafo segundo, discrimina de forma directa a las personas con discapacidad, incurriendo en inconstitucionalidad.</w:t>
      </w:r>
    </w:p>
    <w:p w14:paraId="20B0D651" w14:textId="77777777" w:rsidR="00C04533" w:rsidRDefault="00C04533" w:rsidP="00C04533">
      <w:pPr>
        <w:pStyle w:val="TextoNormal"/>
      </w:pPr>
    </w:p>
    <w:p w14:paraId="023F3B5B" w14:textId="77777777" w:rsidR="00C04533" w:rsidRDefault="00C04533" w:rsidP="00C04533">
      <w:pPr>
        <w:pStyle w:val="TextoNormal"/>
      </w:pPr>
      <w:r>
        <w:t>e) En el fundamento de Derecho cuarto examina la “[i]nconstitucionalidad del art. 12.2, párrafo segundo —en su integridad— LGSS, en relación con el art. 25.1 del Real Decreto-ley 8/2020, por discriminación indirecta por razón de discapacidad”.</w:t>
      </w:r>
    </w:p>
    <w:p w14:paraId="52159CAE" w14:textId="77777777" w:rsidR="00C04533" w:rsidRDefault="00C04533" w:rsidP="00C04533">
      <w:pPr>
        <w:pStyle w:val="TextoNormal"/>
      </w:pPr>
    </w:p>
    <w:p w14:paraId="2AD9A6C4" w14:textId="77777777" w:rsidR="00C04533" w:rsidRDefault="00C04533" w:rsidP="00C04533">
      <w:pPr>
        <w:pStyle w:val="TextoNormal"/>
      </w:pPr>
      <w:r>
        <w:t>Cita el art. 47 LET, el art. 2 d) del Real Decreto Legislativo 1/2013, el art. 6 d) de la Ley 15/2022, y los arts. 22.1 y 25.1 del Real Decreto-ley 8/2020. Explica que durante el estado de alarma declarado por Real Decreto 463/2020, de 14 de marzo, se acordaron medidas extraordinarias en materia de protección por desempleo, una de las cuales fue el reconocimiento de la prestación contributiva por desempleo a las personas trabajadores por cuenta ajena afectadas por un ERTE, aunque careciesen de período de cotización mínimo necesario para ello. Y que incluso se reguló un subsidio extraordinario por falta de actividad para las personas integradas en el sistema especial de empleados de hogar del régimen general de la Seguridad Social (art. 30 del Real Decreto-ley 11/2020, de 31 de marzo, por el que se adoptan medidas urgentes complementarias en el ámbito social y económico para hacer frente al covid-19), que en ese momento (previo a la STJUE de 24 de febrero de 2022, C-389/20) no cotizaban por esa contingencia.</w:t>
      </w:r>
    </w:p>
    <w:p w14:paraId="69ABE0EE" w14:textId="77777777" w:rsidR="00C04533" w:rsidRDefault="00C04533" w:rsidP="00C04533">
      <w:pPr>
        <w:pStyle w:val="TextoNormal"/>
      </w:pPr>
    </w:p>
    <w:p w14:paraId="40021F56" w14:textId="77777777" w:rsidR="00C04533" w:rsidRDefault="00C04533" w:rsidP="00C04533">
      <w:pPr>
        <w:pStyle w:val="TextoNormal"/>
      </w:pPr>
      <w:r>
        <w:t xml:space="preserve">En el caso de la trabajadora, explica la Sala </w:t>
      </w:r>
      <w:r w:rsidRPr="00C04533">
        <w:rPr>
          <w:i/>
        </w:rPr>
        <w:t>a quo</w:t>
      </w:r>
      <w:r>
        <w:t xml:space="preserve"> que si no le hubiera sido aplicable por razón de su discapacidad el art. 12.2 TRLGSS, habría percibido como trabajadora por cuenta ajena la protección del art. 25.1 del Real Decreto-ley 8/2020.</w:t>
      </w:r>
    </w:p>
    <w:p w14:paraId="3891FC79" w14:textId="77777777" w:rsidR="00C04533" w:rsidRDefault="00C04533" w:rsidP="00C04533">
      <w:pPr>
        <w:pStyle w:val="TextoNormal"/>
      </w:pPr>
    </w:p>
    <w:p w14:paraId="78BC002F" w14:textId="77777777" w:rsidR="00C04533" w:rsidRDefault="00C04533" w:rsidP="00C04533">
      <w:pPr>
        <w:pStyle w:val="TextoNormal"/>
      </w:pPr>
      <w:r>
        <w:t>Por todo ello, concluye la Sala que “[e]s claro que la protección por desempleo durante la pandemia covid-19 no excluyó directamente de sus ayudas a los trabajadores discapacitados, pero lo cierto es que la conexión de esa normativa con el art. 12.2 LGSS tuvo como efecto la desprotección de los trabajadores hijos discapacitados del empleador autónomo. Se trata de una discriminación indirecta por razón de discapacidad carente de justificación y, por tanto, entendemos que la protección por desempleo percibida por la citada trabajadora debe mantenerse”.</w:t>
      </w:r>
    </w:p>
    <w:p w14:paraId="03F0A549" w14:textId="77777777" w:rsidR="00C04533" w:rsidRDefault="00C04533" w:rsidP="00C04533">
      <w:pPr>
        <w:pStyle w:val="TextoNormal"/>
      </w:pPr>
    </w:p>
    <w:p w14:paraId="4ED54DCE" w14:textId="77777777" w:rsidR="00C04533" w:rsidRDefault="00C04533" w:rsidP="00C04533">
      <w:pPr>
        <w:pStyle w:val="TextoNormal"/>
      </w:pPr>
      <w:r>
        <w:t>f) Por todo ello, el órgano judicial plantea cuestión de inconstitucionalidad en orden a determinar:</w:t>
      </w:r>
    </w:p>
    <w:p w14:paraId="48943810" w14:textId="77777777" w:rsidR="00C04533" w:rsidRDefault="00C04533" w:rsidP="00C04533">
      <w:pPr>
        <w:pStyle w:val="TextoNormal"/>
      </w:pPr>
    </w:p>
    <w:p w14:paraId="26B3041D" w14:textId="77777777" w:rsidR="00C04533" w:rsidRDefault="00C04533" w:rsidP="00C04533">
      <w:pPr>
        <w:pStyle w:val="TextoNormal"/>
      </w:pPr>
      <w:r>
        <w:t>“1) Si el inciso final del párrafo primero y el párrafo segundo del art. 12.2 LGSS incurren en inconstitucionalidad por infracción del principio de igualdad por razón de parentesco y, en consecuencia, no cabe privar de la protección por desempleo a los hijos menores de treinta años y discapacitados que en él se mencionan.</w:t>
      </w:r>
    </w:p>
    <w:p w14:paraId="0282AE01" w14:textId="77777777" w:rsidR="00C04533" w:rsidRDefault="00C04533" w:rsidP="00C04533">
      <w:pPr>
        <w:pStyle w:val="TextoNormal"/>
      </w:pPr>
    </w:p>
    <w:p w14:paraId="70332E17" w14:textId="77777777" w:rsidR="00C04533" w:rsidRDefault="00C04533" w:rsidP="00C04533">
      <w:pPr>
        <w:pStyle w:val="TextoNormal"/>
      </w:pPr>
      <w:r>
        <w:t>2) Si el párrafo segundo del art. 12.2 LGSS incurre en inconstitucionalidad por discriminación directa por razón de discapacidad y, en consecuencia, no cabe privar de la protección por desempleo a los hijos discapacitados que en él se mencionan.</w:t>
      </w:r>
    </w:p>
    <w:p w14:paraId="136F103C" w14:textId="77777777" w:rsidR="00C04533" w:rsidRDefault="00C04533" w:rsidP="00C04533">
      <w:pPr>
        <w:pStyle w:val="TextoNormal"/>
      </w:pPr>
    </w:p>
    <w:p w14:paraId="18897DD5" w14:textId="4D7E282F" w:rsidR="00C04533" w:rsidRDefault="00C04533" w:rsidP="00C04533">
      <w:pPr>
        <w:pStyle w:val="TextoNormal"/>
      </w:pPr>
      <w:r>
        <w:t>3) Si el párrafo segundo del art. 12.2 LGSS en relación con el art. 25.1 del Real Decreto-ley 8/2020, de 17 de marzo, de medidas urgentes extraordinarias para hacer frente al impacto económico y social del covid-19, incurre en inconstitucionalidad por discriminación indirecta por razón de discapacidad y, en consecuencia, no cabe privar a los hijos discapacitados que en él se mencionan de las medidas extraordinarias de protección por desempleo establecidas en el art. 25 del Real Decreto-ley 8/2020”.</w:t>
      </w:r>
    </w:p>
    <w:p w14:paraId="38DFBE4B" w14:textId="77777777" w:rsidR="00C04533" w:rsidRDefault="00C04533" w:rsidP="00C04533">
      <w:pPr>
        <w:pStyle w:val="TextoNormal"/>
      </w:pPr>
    </w:p>
    <w:p w14:paraId="1D43FCA7" w14:textId="423FBA8F" w:rsidR="00C04533" w:rsidRDefault="00C04533" w:rsidP="00C04533">
      <w:pPr>
        <w:pStyle w:val="TextoNormal"/>
      </w:pPr>
      <w:r w:rsidRPr="00C04533">
        <w:rPr>
          <w:rStyle w:val="NumeroAFNegritaCaracter"/>
        </w:rPr>
        <w:t>17</w:t>
      </w:r>
      <w:r>
        <w:t>. Mediante providencia de 4 de junio de 2024, el Pleno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(juicios de aplicabilidad y de relevancia).</w:t>
      </w:r>
    </w:p>
    <w:p w14:paraId="64E29C46" w14:textId="77777777" w:rsidR="00C04533" w:rsidRDefault="00C04533" w:rsidP="00C04533">
      <w:pPr>
        <w:pStyle w:val="TextoNormal"/>
      </w:pPr>
    </w:p>
    <w:p w14:paraId="31F5FFD1" w14:textId="77777777" w:rsidR="00C04533" w:rsidRDefault="00C04533" w:rsidP="00C04533">
      <w:pPr>
        <w:pStyle w:val="TextoNormal"/>
      </w:pPr>
      <w:r w:rsidRPr="00C04533">
        <w:rPr>
          <w:rStyle w:val="NumeroAFNegritaCaracter"/>
        </w:rPr>
        <w:t>18</w:t>
      </w:r>
      <w:r>
        <w:t>. El fiscal jefe de la Fiscalía ante el Tribunal Constitucional, actuando por delegación del fiscal general del Estado, evacuó el trámite conferido mediante escrito registrado en este tribunal el 3 de julio de 2024, interesando la inadmisión de la presente cuestión de inconstitucionalidad por estimar incorrectamente formulados los juicios de aplicabilidad y de relevancia.</w:t>
      </w:r>
    </w:p>
    <w:p w14:paraId="2039AFCD" w14:textId="77777777" w:rsidR="00C04533" w:rsidRDefault="00C04533" w:rsidP="00C04533">
      <w:pPr>
        <w:pStyle w:val="TextoNormal"/>
      </w:pPr>
    </w:p>
    <w:p w14:paraId="62B503CA" w14:textId="77777777" w:rsidR="00C04533" w:rsidRDefault="00C04533" w:rsidP="00C04533">
      <w:pPr>
        <w:pStyle w:val="TextoNormal"/>
      </w:pPr>
      <w:r>
        <w:t>a) Tras exponer los antecedes del caso y la doctrina constitucional que estima pertinente, comienza analizando el juicio de aplicabilidad. Pone de relieve que el auto de planteamiento no expone los motivos por los que el precepto cuestionado (art. 12.2 TRLGSS, segundo párrafo) es aplicable al caso y que, sin perjuicio de que deban rechazarse justificaciones implícitas, en este caso resulta necesario una justificación porque: (i) la resolución del SEPE impugnada ante la jurisdicción social no se basaba en dicho precepto sino en la aplicación de los arts. 1.3 LET y 12.1 TRLGSS; y (ii) la sentencia del Juzgado de lo Social recurrida en suplicación no citaba el precepto cuestionado, sino que estimaba la demanda, entre otras razones, en aplicación de los arts. 1.3 LET y 12.1 TRLGSS, al tener por acreditado que la demandante es una verdadera “asalariada”; afirmación esta última que no se impugnó expresamente en el recurso de suplicación.</w:t>
      </w:r>
    </w:p>
    <w:p w14:paraId="41CF6D72" w14:textId="77777777" w:rsidR="00C04533" w:rsidRDefault="00C04533" w:rsidP="00C04533">
      <w:pPr>
        <w:pStyle w:val="TextoNormal"/>
      </w:pPr>
    </w:p>
    <w:p w14:paraId="6E03266A" w14:textId="77777777" w:rsidR="00C04533" w:rsidRDefault="00C04533" w:rsidP="00C04533">
      <w:pPr>
        <w:pStyle w:val="TextoNormal"/>
      </w:pPr>
      <w:r>
        <w:t>Señala que en la argumentación del auto de planteamiento se hace referencia a que la trabajadora es hija del empleador, que convive con él y que está a su cargo, pero no se refiere a la prueba (o falta de ella) de su condición de asalariada y ello habría resultado trascedente, pues los preceptos mencionados en la sentencia recurrida admiten que los empleados que trabajan para su familiar puedan probar su condición de trabajadores por cuenta ajena (o “asalariados”) y la sentencia recurrida da por demostrada esa condición. Si la demandante ha probado su condición de trabajadora por cuenta ajena, tiene derecho a la prestación por desempleo, sin que resulte aplicable el art. 12.2 TRLGSS.</w:t>
      </w:r>
    </w:p>
    <w:p w14:paraId="4C208335" w14:textId="77777777" w:rsidR="00C04533" w:rsidRDefault="00C04533" w:rsidP="00C04533">
      <w:pPr>
        <w:pStyle w:val="TextoNormal"/>
      </w:pPr>
    </w:p>
    <w:p w14:paraId="129D66C6" w14:textId="77777777" w:rsidR="00C04533" w:rsidRDefault="00C04533" w:rsidP="00C04533">
      <w:pPr>
        <w:pStyle w:val="TextoNormal"/>
      </w:pPr>
      <w:r>
        <w:t>A mayor abundamiento, expone que la discapacidad que padece la demandante solo encajaría en uno de los tres apartados del párrafo segundo del art. 12.2 y, sin embargo, el auto de planteamiento propone la inconstitucionalidad de los tres.</w:t>
      </w:r>
    </w:p>
    <w:p w14:paraId="30B4727D" w14:textId="77777777" w:rsidR="00C04533" w:rsidRDefault="00C04533" w:rsidP="00C04533">
      <w:pPr>
        <w:pStyle w:val="TextoNormal"/>
      </w:pPr>
    </w:p>
    <w:p w14:paraId="278532A2" w14:textId="77777777" w:rsidR="00C04533" w:rsidRDefault="00C04533" w:rsidP="00C04533">
      <w:pPr>
        <w:pStyle w:val="TextoNormal"/>
      </w:pPr>
      <w:r>
        <w:t>b) En lo que se refiere al juicio de relevancia, el fiscal pone de manifiesto que el auto de planteamiento no explica de qué modo la declaración de inconstitucionalidad y nulidad del párrafo segundo del art. 12.2 TRLGSS (con el añadido del último inciso del párrafo primero o sin él) daría lugar a la desestimación del recurso de suplicación. En este sentido, expone que: (i) a pesar de la declaración de inconstitucionalidad del art. 12.2 TRLGSS, segundo párrafo, el fallo habría de ser el mismo en aplicación de la disposición adicional décima de la Ley 20/2007, que tiene la misma redacción y está vigente;y (ii) que la nulidad del precepto cuestionado no solo implicaría que los hijos del autónomo no tendrían derecho a la prestación por desempleo, sino que ni siquiera podrían ser trabajadores por cuenta ajena.</w:t>
      </w:r>
    </w:p>
    <w:p w14:paraId="2507C3CE" w14:textId="77777777" w:rsidR="00C04533" w:rsidRDefault="00C04533" w:rsidP="00C04533">
      <w:pPr>
        <w:pStyle w:val="TextoNormal"/>
      </w:pPr>
    </w:p>
    <w:p w14:paraId="7C5139FA" w14:textId="77777777" w:rsidR="00C04533" w:rsidRDefault="00C04533" w:rsidP="00C04533">
      <w:pPr>
        <w:pStyle w:val="TextoNormal"/>
      </w:pPr>
      <w:r>
        <w:t>Además, señala que el auto de planteamiento parte de una interpretación errónea de la normativa cuestionada. Considera que los hijos del trabajador autónomo pueden acceder a la prestación por desempleo exactamente igual que los hijos del trabajador autónomo mayores de treinta años y que no estén discapacitados, tanto si prueban que son trabajadores por cuenta ajena (art. 12.1 TRLGSS), como si se acogen al régimen especial de trabajadores autónomos (art. 1.1 de la Ley 20/2007 y arts. 305 y ss. TRLGSS), es decir, si trabajan para su padre dándose de alta como trabajadores autónomos pues, en este último caso, tendrían acceso a la prestación equivalente de cese de actividad.</w:t>
      </w:r>
    </w:p>
    <w:p w14:paraId="10DF96D9" w14:textId="77777777" w:rsidR="00C04533" w:rsidRDefault="00C04533" w:rsidP="00C04533">
      <w:pPr>
        <w:pStyle w:val="TextoNormal"/>
      </w:pPr>
    </w:p>
    <w:p w14:paraId="55A78548" w14:textId="6D209ADC" w:rsidR="00C04533" w:rsidRDefault="00C04533" w:rsidP="00C04533">
      <w:pPr>
        <w:pStyle w:val="TextoNormal"/>
      </w:pPr>
      <w:r>
        <w:t>En conclusión, considera que no están correctamente formulados los juicios de aplicabilidad y de relevancia porque el auto de planteamiento no contiene una argumentación al respecto expresa y suficiente, que resulta en este caso especialmente necesaria por las razones expuestas.</w:t>
      </w:r>
    </w:p>
    <w:p w14:paraId="70984522" w14:textId="77777777" w:rsidR="00C04533" w:rsidRDefault="00C04533" w:rsidP="00C04533">
      <w:pPr>
        <w:pStyle w:val="TextoNormal"/>
      </w:pPr>
    </w:p>
    <w:p w14:paraId="04BA8F41" w14:textId="77777777" w:rsidR="00C04533" w:rsidRDefault="00C04533" w:rsidP="00C04533">
      <w:pPr>
        <w:pStyle w:val="TextoNormalNegritaCentrado"/>
        <w:keepNext/>
      </w:pPr>
      <w:r>
        <w:t>II. Fundamentos jurídicos</w:t>
      </w:r>
    </w:p>
    <w:p w14:paraId="6B1ABD0E" w14:textId="7BD3BB04" w:rsidR="00C04533" w:rsidRDefault="00C04533" w:rsidP="00C04533">
      <w:pPr>
        <w:pStyle w:val="TextoNormalNegritaCentrado"/>
        <w:keepNext/>
      </w:pPr>
    </w:p>
    <w:p w14:paraId="27E3313A" w14:textId="77777777" w:rsidR="00C04533" w:rsidRDefault="00C04533" w:rsidP="00C04533">
      <w:pPr>
        <w:pStyle w:val="TextoNormal"/>
      </w:pPr>
      <w:r w:rsidRPr="00C04533">
        <w:rPr>
          <w:rStyle w:val="NumeroAFNegritaCaracter"/>
        </w:rPr>
        <w:t>1</w:t>
      </w:r>
      <w:r>
        <w:t>. La Sala de lo Social del Tribunal Superior de Justicia de Aragón plantea cuestión de inconstitucionalidad en relación con el art. 12.2 TRLGSS, que dispone:</w:t>
      </w:r>
    </w:p>
    <w:p w14:paraId="3E558B1B" w14:textId="77777777" w:rsidR="00C04533" w:rsidRDefault="00C04533" w:rsidP="00C04533">
      <w:pPr>
        <w:pStyle w:val="TextoNormal"/>
      </w:pPr>
    </w:p>
    <w:p w14:paraId="029356E7" w14:textId="77777777" w:rsidR="00C04533" w:rsidRDefault="00C04533" w:rsidP="00C04533">
      <w:pPr>
        <w:pStyle w:val="TextoNormal"/>
      </w:pPr>
      <w:r>
        <w:t>“Sin perjuicio de lo previsto en el apartado anterior, y de conformidad con lo establecido en la disposición adicional décima de la Ley 20/2007, de 11 de julio, del estatuto del trabajo autónomo, los trabajadores autónomos podrán contratar, como trabajadores por cuenta ajena, a los hijos menores de treinta años, aunque convivan con ellos. En este caso, del ámbito de la acción protectora dispensada a los familiares contratados quedará excluida la cobertura por desempleo.</w:t>
      </w:r>
    </w:p>
    <w:p w14:paraId="753A417D" w14:textId="77777777" w:rsidR="00C04533" w:rsidRDefault="00C04533" w:rsidP="00C04533">
      <w:pPr>
        <w:pStyle w:val="TextoNormal"/>
      </w:pPr>
    </w:p>
    <w:p w14:paraId="3FF0CECB" w14:textId="77777777" w:rsidR="00C04533" w:rsidRDefault="00C04533" w:rsidP="00C04533">
      <w:pPr>
        <w:pStyle w:val="TextoNormal"/>
      </w:pPr>
      <w:r>
        <w:t>Se otorgará el mismo tratamiento a los hijos que, aun siendo mayores de treinta años, tengan especiales dificultades para su inserción laboral. A estos efectos, se considerará que existen dichas especiales dificultades cuando el trabajador esté incluido en alguno de los grupos siguientes:</w:t>
      </w:r>
    </w:p>
    <w:p w14:paraId="13C86099" w14:textId="77777777" w:rsidR="00C04533" w:rsidRDefault="00C04533" w:rsidP="00C04533">
      <w:pPr>
        <w:pStyle w:val="TextoNormal"/>
      </w:pPr>
    </w:p>
    <w:p w14:paraId="3C3AD8A9" w14:textId="77777777" w:rsidR="00C04533" w:rsidRDefault="00C04533" w:rsidP="00C04533">
      <w:pPr>
        <w:pStyle w:val="TextoNormal"/>
      </w:pPr>
      <w:r>
        <w:t>a) Personas con parálisis cerebral, personas con enfermedad mental o personas con discapacidad intelectual, con un grado de discapacidad reconocido igual o superior al 33 por ciento.</w:t>
      </w:r>
    </w:p>
    <w:p w14:paraId="07701369" w14:textId="77777777" w:rsidR="00C04533" w:rsidRDefault="00C04533" w:rsidP="00C04533">
      <w:pPr>
        <w:pStyle w:val="TextoNormal"/>
      </w:pPr>
    </w:p>
    <w:p w14:paraId="72C15106" w14:textId="77777777" w:rsidR="00C04533" w:rsidRDefault="00C04533" w:rsidP="00C04533">
      <w:pPr>
        <w:pStyle w:val="TextoNormal"/>
      </w:pPr>
      <w:r>
        <w:t>b) Personas con discapacidad física o sensorial, con un grado de discapacidad reconocido igual o superior al 33 por ciento e inferior al 65 por ciento, siempre que causen alta por primera vez en el sistema de la Seguridad Social.</w:t>
      </w:r>
    </w:p>
    <w:p w14:paraId="3E6F048B" w14:textId="77777777" w:rsidR="00C04533" w:rsidRDefault="00C04533" w:rsidP="00C04533">
      <w:pPr>
        <w:pStyle w:val="TextoNormal"/>
      </w:pPr>
    </w:p>
    <w:p w14:paraId="6AEC6A12" w14:textId="77777777" w:rsidR="00C04533" w:rsidRDefault="00C04533" w:rsidP="00C04533">
      <w:pPr>
        <w:pStyle w:val="TextoNormal"/>
      </w:pPr>
      <w:r>
        <w:t>c) Personas con discapacidad física o sensorial, con un grado de discapacidad reconocido igual o superior al 65 por ciento”.</w:t>
      </w:r>
    </w:p>
    <w:p w14:paraId="558F4CC6" w14:textId="77777777" w:rsidR="00C04533" w:rsidRDefault="00C04533" w:rsidP="00C04533">
      <w:pPr>
        <w:pStyle w:val="TextoNormal"/>
      </w:pPr>
    </w:p>
    <w:p w14:paraId="380EF27D" w14:textId="77777777" w:rsidR="00C04533" w:rsidRDefault="00C04533" w:rsidP="00C04533">
      <w:pPr>
        <w:pStyle w:val="TextoNormal"/>
      </w:pPr>
      <w:r>
        <w:t>Como ha quedado expuesto en detalle en los antecedentes de esta resolución, el órgano judicial considera que el precepto cuestionado vulnera el art. 14 CE, bien por vulneración del principio de igualdad por razón de parentesco, bien por incurrir en discriminación directa o indirecta por razón de discapacidad.</w:t>
      </w:r>
    </w:p>
    <w:p w14:paraId="3C47F7A2" w14:textId="77777777" w:rsidR="00C04533" w:rsidRDefault="00C04533" w:rsidP="00C04533">
      <w:pPr>
        <w:pStyle w:val="TextoNormal"/>
      </w:pPr>
    </w:p>
    <w:p w14:paraId="7D2FD086" w14:textId="5D5B973A" w:rsidR="00C04533" w:rsidRDefault="00C04533" w:rsidP="00C04533">
      <w:pPr>
        <w:pStyle w:val="TextoNormal"/>
      </w:pPr>
      <w:r>
        <w:t>Por su parte, el fiscal general del Estado, en el trámite previsto en el art. 37.1 LOTC, se ha opuesto a la admisión de la presente cuestión de inconstitucionalidad por entender que no se cumplen los requisitos procesales exigidos en el art. 35 LOTC. En concreto, sostiene que el auto de planteamiento no ha efectuado correctamente los juicios de aplicabilidad y de relevancia.</w:t>
      </w:r>
    </w:p>
    <w:p w14:paraId="39EEC14A" w14:textId="77777777" w:rsidR="00C04533" w:rsidRDefault="00C04533" w:rsidP="00C04533">
      <w:pPr>
        <w:pStyle w:val="TextoNormal"/>
      </w:pPr>
    </w:p>
    <w:p w14:paraId="406A6402" w14:textId="4B7E1A5D" w:rsidR="00C04533" w:rsidRDefault="00C04533" w:rsidP="00C04533">
      <w:pPr>
        <w:pStyle w:val="TextoNormal"/>
      </w:pPr>
      <w:r w:rsidRPr="00C04533">
        <w:rPr>
          <w:rStyle w:val="NumeroAFNegritaCaracter"/>
        </w:rPr>
        <w:t>2</w:t>
      </w:r>
      <w:r>
        <w:t xml:space="preserve">. El art. 37.1 LOTC permite a este tribunal rechazar </w:t>
      </w:r>
      <w:r w:rsidRPr="00C04533">
        <w:rPr>
          <w:i/>
        </w:rPr>
        <w:t>a limine</w:t>
      </w:r>
      <w:r>
        <w:t xml:space="preserve"> las cuestiones de inconstitucionalidad, mediante auto y sin otra audiencia que la del fiscal general del Estado, cuando faltaren las condiciones procesales o fuere notoriamente infundada la cuestión suscitada. Este tribunal estima que la cuestión planteada por la Sala de lo Social del Tribunal Superior de Justicia de Aragón no cumple con los requisitos procesales, en lo que se refiere a la adecuada formulación de los juicios de aplicabilidad y de relevancia.</w:t>
      </w:r>
    </w:p>
    <w:p w14:paraId="33ECEF29" w14:textId="77777777" w:rsidR="00C04533" w:rsidRDefault="00C04533" w:rsidP="00C04533">
      <w:pPr>
        <w:pStyle w:val="TextoNormal"/>
      </w:pPr>
    </w:p>
    <w:p w14:paraId="165E2DB6" w14:textId="77777777" w:rsidR="00C04533" w:rsidRDefault="00C04533" w:rsidP="00C04533">
      <w:pPr>
        <w:pStyle w:val="TextoNormal"/>
      </w:pPr>
      <w:r w:rsidRPr="00C04533">
        <w:rPr>
          <w:rStyle w:val="NumeroAFNegritaCaracter"/>
        </w:rPr>
        <w:t>3</w:t>
      </w:r>
      <w:r>
        <w:t xml:space="preserve">. El art. 35.2 LOTC preceptúa que el órgano judicial promotor de la cuestión de inconstitucionalidad debe especificar o justificar en qué medida la decisión del proceso </w:t>
      </w:r>
      <w:r w:rsidRPr="00C04533">
        <w:rPr>
          <w:i/>
        </w:rPr>
        <w:t>a quo</w:t>
      </w:r>
      <w:r>
        <w:t xml:space="preserve"> depende de la validez de la norma cuestionada.</w:t>
      </w:r>
    </w:p>
    <w:p w14:paraId="151C3C9D" w14:textId="77777777" w:rsidR="00C04533" w:rsidRDefault="00C04533" w:rsidP="00C04533">
      <w:pPr>
        <w:pStyle w:val="TextoNormal"/>
      </w:pPr>
    </w:p>
    <w:p w14:paraId="4F18C6CF" w14:textId="77777777" w:rsidR="00C04533" w:rsidRDefault="00C04533" w:rsidP="00C04533">
      <w:pPr>
        <w:pStyle w:val="TextoNormal"/>
      </w:pPr>
      <w:r>
        <w:t>Como este tribunal ha señalado, entre otros, en los AATC 376/2023, de 18 de julio, FJ 3, y 20/2024, de 27 de febrero, FJ 4,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w:t>
      </w:r>
    </w:p>
    <w:p w14:paraId="1BBCAA2E" w14:textId="77777777" w:rsidR="00C04533" w:rsidRDefault="00C04533" w:rsidP="00C04533">
      <w:pPr>
        <w:pStyle w:val="TextoNormal"/>
      </w:pPr>
    </w:p>
    <w:p w14:paraId="0411C227" w14:textId="77777777" w:rsidR="00C04533" w:rsidRDefault="00C04533" w:rsidP="00C04533">
      <w:pPr>
        <w:pStyle w:val="TextoNormal"/>
      </w:pPr>
      <w:r>
        <w:t>Conforme a reiterada doctrina constitucional, sintetizada en los AATC 154/2022, de 16 de noviembre, FJ 3, y 188/2023, de 18 de abril, FJ 3,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14:paraId="3EE00EE8" w14:textId="77777777" w:rsidR="00C04533" w:rsidRDefault="00C04533" w:rsidP="00C04533">
      <w:pPr>
        <w:pStyle w:val="TextoNormal"/>
      </w:pPr>
    </w:p>
    <w:p w14:paraId="31BC35BC" w14:textId="77777777" w:rsidR="00C04533" w:rsidRDefault="00C04533" w:rsidP="00C04533">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14:paraId="163A8FA3" w14:textId="77777777" w:rsidR="00C04533" w:rsidRDefault="00C04533" w:rsidP="00C04533">
      <w:pPr>
        <w:pStyle w:val="TextoNormal"/>
      </w:pPr>
    </w:p>
    <w:p w14:paraId="760AEB57" w14:textId="77777777" w:rsidR="00C04533" w:rsidRDefault="00C04533" w:rsidP="00C04533">
      <w:pPr>
        <w:pStyle w:val="TextoNormal"/>
      </w:pPr>
      <w:r>
        <w:t xml:space="preserve">No es, en principio, el Tribunal Constitucional el que ha de decidir las cuestiones de hecho o de legalidad ordinaria que se susciten en el proceso </w:t>
      </w:r>
      <w:r w:rsidRPr="00C04533">
        <w:rPr>
          <w:i/>
        </w:rPr>
        <w:t>a quo</w:t>
      </w:r>
      <w:r>
        <w:t xml:space="preserve"> y que puedan tener repercusión con la relevancia de la duda de constitucionalidad que eleva el juez promotor. Estas apreciaciones corresponden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14:paraId="632E28C6" w14:textId="77777777" w:rsidR="00C04533" w:rsidRDefault="00C04533" w:rsidP="00C04533">
      <w:pPr>
        <w:pStyle w:val="TextoNormal"/>
      </w:pPr>
    </w:p>
    <w:p w14:paraId="415597F9" w14:textId="160B9A20" w:rsidR="00C04533" w:rsidRDefault="00C04533" w:rsidP="00C04533">
      <w:pPr>
        <w:pStyle w:val="TextoNormal"/>
      </w:pPr>
      <w:r>
        <w:t xml:space="preserve">En el presente caso, debe considerarse que el auto de planteamiento de la cuestión de inconstitucionalidad no cumple dichos requisitos </w:t>
      </w:r>
      <w:r w:rsidRPr="00C04533">
        <w:rPr>
          <w:i/>
        </w:rPr>
        <w:t>ex</w:t>
      </w:r>
      <w:r>
        <w:t xml:space="preserve"> art. 35.2 LOTC.</w:t>
      </w:r>
    </w:p>
    <w:p w14:paraId="52A5DAFE" w14:textId="77777777" w:rsidR="00C04533" w:rsidRDefault="00C04533" w:rsidP="00C04533">
      <w:pPr>
        <w:pStyle w:val="TextoNormal"/>
      </w:pPr>
    </w:p>
    <w:p w14:paraId="48DADE53" w14:textId="77777777" w:rsidR="00C04533" w:rsidRDefault="00C04533" w:rsidP="00C04533">
      <w:pPr>
        <w:pStyle w:val="TextoNormal"/>
      </w:pPr>
      <w:r w:rsidRPr="00C04533">
        <w:rPr>
          <w:rStyle w:val="NumeroAFNegritaCaracter"/>
        </w:rPr>
        <w:t>4</w:t>
      </w:r>
      <w:r>
        <w:t>. Por lo que se refiere al juicio de aplicabilidad, este tribunal estima que el mismo no puede considerarse adecuadamente formulado.</w:t>
      </w:r>
    </w:p>
    <w:p w14:paraId="1E4D4816" w14:textId="77777777" w:rsidR="00C04533" w:rsidRDefault="00C04533" w:rsidP="00C04533">
      <w:pPr>
        <w:pStyle w:val="TextoNormal"/>
      </w:pPr>
    </w:p>
    <w:p w14:paraId="3B60FD00" w14:textId="77777777" w:rsidR="00C04533" w:rsidRDefault="00C04533" w:rsidP="00C04533">
      <w:pPr>
        <w:pStyle w:val="TextoNormal"/>
      </w:pPr>
      <w:r>
        <w:t xml:space="preserve">a) Para alcanzar tal conclusión, ha de ponerse de manifiesto, en primer lugar, que el precepto cuestionado (el segundo párrafo del art. 12.2 TRLGSS) no se cita en ninguna de las resoluciones administrativas impugnadas ante la jurisdicción social en el proceso </w:t>
      </w:r>
      <w:r w:rsidRPr="00C04533">
        <w:rPr>
          <w:i/>
        </w:rPr>
        <w:t>a quo</w:t>
      </w:r>
      <w:r>
        <w:t>, sino que, como ha expuesto el fiscal general del Estado, dichas resoluciones hacen mención, en cambio, a los arts. 1.3 LET y 12.1 TRLGSS. Ante esta circunstancia, habría sido necesario que el auto de planteamiento justificara de manera explícita las razones por las que considera que el precepto cuestionado es aplicable al caso.</w:t>
      </w:r>
    </w:p>
    <w:p w14:paraId="53BE469F" w14:textId="77777777" w:rsidR="00C04533" w:rsidRDefault="00C04533" w:rsidP="00C04533">
      <w:pPr>
        <w:pStyle w:val="TextoNormal"/>
      </w:pPr>
    </w:p>
    <w:p w14:paraId="7B053BD7" w14:textId="77777777" w:rsidR="00C04533" w:rsidRDefault="00C04533" w:rsidP="00C04533">
      <w:pPr>
        <w:pStyle w:val="TextoNormal"/>
      </w:pPr>
      <w:r>
        <w:t xml:space="preserve">Además, en este caso, dicha justificación resulta necesaria toda vez que existen dudas acerca de la aplicabilidad al caso del precepto cuestionado. En efecto, de los arts. 1.3 e) LET y 12.1 TRLGSS se deriva que no tendrán la consideración de trabajadores por cuenta ajena determinados familiares del empleador, cuando convivan con él y estén a su cargo, salvo prueba en contrario, es decir, salvo que se demuestre su condición de asalariados. De esta manera, se presume la no laboralidad de estas prestaciones de servicios, si bien se trata de una presunción </w:t>
      </w:r>
      <w:r w:rsidRPr="00C04533">
        <w:rPr>
          <w:i/>
        </w:rPr>
        <w:t>iuris tantum</w:t>
      </w:r>
      <w:r>
        <w:t>, por lo que puede apreciarse que existe una verdadera relación laboral si se acredita la concurrencia de las notas de dependencia y ajenidad (art. 1.1 LET).</w:t>
      </w:r>
    </w:p>
    <w:p w14:paraId="2943F63D" w14:textId="77777777" w:rsidR="00C04533" w:rsidRDefault="00C04533" w:rsidP="00C04533">
      <w:pPr>
        <w:pStyle w:val="TextoNormal"/>
      </w:pPr>
    </w:p>
    <w:p w14:paraId="707B78AE" w14:textId="77777777" w:rsidR="00C04533" w:rsidRDefault="00C04533" w:rsidP="00C04533">
      <w:pPr>
        <w:pStyle w:val="TextoNormal"/>
      </w:pPr>
      <w:r>
        <w:t>Por su parte, el art. 12.2 TRLGSS (y, con idéntica redacción, la disposición adicional décima de la Ley 20/2007) establece una excepción a dicha regla general en virtud de la cual los trabajadores autónomos pueden contratar como trabajadores por cuenta ajena a sus hijos menores de treinta años o mayores de treinta años con dificultades para su inserción laboral (esto es, con alguno de los tipos de discapacidad que señala el art. 12.2, segundo párrafo), aunque convivan con ellos. Para estos supuestos, se elimina la presunción de no laboralidad que resulta, como regla general, de los arts. 1.3 e) LET y 12.1 TRLGSS, facilitando su contratación por cuenta ajena por parte del trabajador autónomo y su integración dentro del régimen general de la Seguridad Social. Ahora bien, en este último caso, estos hijos del empresario, que conviven con él, quedan excluidos de la protección por desempleo.</w:t>
      </w:r>
    </w:p>
    <w:p w14:paraId="417103E2" w14:textId="77777777" w:rsidR="00C04533" w:rsidRDefault="00C04533" w:rsidP="00C04533">
      <w:pPr>
        <w:pStyle w:val="TextoNormal"/>
      </w:pPr>
    </w:p>
    <w:p w14:paraId="76012B1A" w14:textId="77777777" w:rsidR="00C04533" w:rsidRDefault="00C04533" w:rsidP="00C04533">
      <w:pPr>
        <w:pStyle w:val="TextoNormal"/>
      </w:pPr>
      <w:r>
        <w:t>Dicho esto, como ha reconocido la jurisprudencia del Tribunal Supremo, esta última regla “en nada ha alterado la situación contemplada en el art. 1.3 e) del Estatuto de los trabajadores respecto a la existencia de relación laboral, tanto en los supuestos de convivencia si se demuestra la condición de asalariado del familiar, como en los supuestos de no convivencia, en los que no existe la presunción de que dicha relación es la de ‘trabajos familiares’” [entre otras, SSTS 760/2019, de 12 de noviembre, recurso núm. 2524/2017 (ECLI:ES:TS:2019:3860); 341/2021, de 24 de marzo, recurso núm. 3951/2018 (ECLI:ES:TS:2021:1279); 506/2022, de 1 de junio, recurso núm. 1568/2019 (ECLI:ES:TS:2022:2451); 649/2022, de 12 de julio, recurso núm. 2636/2019 (ECLI:ES:TS:2022:3110); 660/2022, de 13 de julio, recurso núm. 2542/2019 (ECLI:ES:TS:2022:3109), y 856/2022, de 26 de octubre, recurso núm. 1348/2019 (ECLI:ES:TS:2022:3872)]. Por lo tanto, incluso existiendo convivencia, si se acredita el carácter asalariado de la relación de trabajo, resulta aplicable la regla general de los arts. 1.3 e) LET y 12.1 TRLGSS y, en consecuencia, estaríamos ante una verdadera relación laboral o de trabajo por cuenta ajena y procedería el reconocimiento de la prestación por desempleo.</w:t>
      </w:r>
    </w:p>
    <w:p w14:paraId="06FFB360" w14:textId="77777777" w:rsidR="00C04533" w:rsidRDefault="00C04533" w:rsidP="00C04533">
      <w:pPr>
        <w:pStyle w:val="TextoNormal"/>
      </w:pPr>
    </w:p>
    <w:p w14:paraId="1D51EE87" w14:textId="77777777" w:rsidR="00C04533" w:rsidRDefault="00C04533" w:rsidP="00C04533">
      <w:pPr>
        <w:pStyle w:val="TextoNormal"/>
      </w:pPr>
      <w:r>
        <w:t>Pues bien, como figura en los antecedentes, una de las razones por las que la sentencia de 19 de septiembre de 2023 del Juzgado de lo Social, recurrida en suplicación, estimó la demanda interpuesta contra las resoluciones del SEPE fue que “con independencia de que el art. 1.3 e) LET y 12.1 LGSS excluyan de la protección por desempleo a las personas que no ostenten la condición de trabajadores por cuenta ajena; […] en este caso se demuestra la condición de asalariados de quienes los llevan a cabo”. Es decir, la sentencia recurrida en suplicación consideró acreditado el carácter asalariado de la demandante, razón por la cual estimó correctamente reconocida la prestación por desempleo.</w:t>
      </w:r>
    </w:p>
    <w:p w14:paraId="6DB73103" w14:textId="77777777" w:rsidR="00C04533" w:rsidRDefault="00C04533" w:rsidP="00C04533">
      <w:pPr>
        <w:pStyle w:val="TextoNormal"/>
      </w:pPr>
    </w:p>
    <w:p w14:paraId="29851AD3" w14:textId="77777777" w:rsidR="00C04533" w:rsidRDefault="00C04533" w:rsidP="00C04533">
      <w:pPr>
        <w:pStyle w:val="TextoNormal"/>
      </w:pPr>
      <w:r>
        <w:t xml:space="preserve">Ante esta circunstancia, para tener por adecuadamente formulado el juicio de aplicabilidad, habría sido preciso que la Sala </w:t>
      </w:r>
      <w:r w:rsidRPr="00C04533">
        <w:rPr>
          <w:i/>
        </w:rPr>
        <w:t>a quo</w:t>
      </w:r>
      <w:r>
        <w:t xml:space="preserve"> hubiera analizado si a partir del material probatorio obrante en los autos puede o no tenerse por acreditado el carácter asalariado de la relación de trabajo porque, como viene de decirse y tal como ha explicado el fiscal general del Estado en sus alegaciones, de confirmarse la afirmación efectuada en la sentencia contra la que se dirige el recurso de suplicación, procedería el reconocimiento de la prestación por desempleo, sin que resultara entonces aplicable la exclusión contemplada en el art. 12.2 TRLGSS, objeto de la cuestión de inconstitucionalidad. Se trata de una cuestión fáctica que corresponde decidir al órgano judicial, debiendo limitarse la función de este tribunal a efectuar un control externo de la suficiencia de la argumentación del auto de planteamiento acerca de la relación de la duda de constitucionalidad y la decisión del proces</w:t>
      </w:r>
      <w:r w:rsidRPr="00C04533">
        <w:rPr>
          <w:i/>
        </w:rPr>
        <w:t>o a q</w:t>
      </w:r>
      <w:r>
        <w:t>uo.</w:t>
      </w:r>
    </w:p>
    <w:p w14:paraId="55B12DA1" w14:textId="77777777" w:rsidR="00C04533" w:rsidRDefault="00C04533" w:rsidP="00C04533">
      <w:pPr>
        <w:pStyle w:val="TextoNormal"/>
      </w:pPr>
    </w:p>
    <w:p w14:paraId="235D3E08" w14:textId="77777777" w:rsidR="00C04533" w:rsidRDefault="00C04533" w:rsidP="00C04533">
      <w:pPr>
        <w:pStyle w:val="TextoNormal"/>
      </w:pPr>
      <w:r>
        <w:t xml:space="preserve">b) En segundo lugar, la tesis de la demandante desde la vía administrativa se ha basado en que su derecho a la prestación por desempleo venía amparado por las medidas extraordinarias reguladas en el art. 25.1 a) del Real Decreto-ley 8/2020, de 17 de marzo, de medidas urgentes extraordinarias para hacer frente al impacto económico y social del covid-19, en virtud del cual la prestación por desempleo debía reconocerse incluso a quienes “carezcan del período de ocupación cotizada mínimo para ello”. En este sentido, en los escritos presentados a lo largo del proceso </w:t>
      </w:r>
      <w:r w:rsidRPr="00C04533">
        <w:rPr>
          <w:i/>
        </w:rPr>
        <w:t>a quo</w:t>
      </w:r>
      <w:r>
        <w:t xml:space="preserve"> ha insistido reiteradamente en esta alegación, llegando a afirmar que, por este motivo, el art. 12 TRLGSS no resulta aplicable durante el ERTE de la empresa a causa de la pandemia de la covid-19. Esto es, a juicio de la demandante, durante la vigencia del régimen especial establecido durante la pandemia de la covid-19, la regulación del art. 25.1 a) del Real Decreto-ley 8/2020 habría desplazado la aplicación del art. 12.2 TRLGSS.</w:t>
      </w:r>
    </w:p>
    <w:p w14:paraId="5D10F438" w14:textId="77777777" w:rsidR="00C04533" w:rsidRDefault="00C04533" w:rsidP="00C04533">
      <w:pPr>
        <w:pStyle w:val="TextoNormal"/>
      </w:pPr>
    </w:p>
    <w:p w14:paraId="4F7D4EEC" w14:textId="77777777" w:rsidR="00C04533" w:rsidRDefault="00C04533" w:rsidP="00C04533">
      <w:pPr>
        <w:pStyle w:val="TextoNormal"/>
      </w:pPr>
      <w:r>
        <w:t>Por el contrario, el recurso de suplicación interpuesto por el SEPE contra la sentencia del Juzgado de lo Social núm. 5 de Zaragoza defiende la compatibilidad de ambos preceptos y, por lo tanto, la aplicabilidad del art. 12.2 TRLGSS también durante la vigencia de las medidas excepcionales dictadas con ocasión de la situación de pandemia.</w:t>
      </w:r>
    </w:p>
    <w:p w14:paraId="44023878" w14:textId="77777777" w:rsidR="00C04533" w:rsidRDefault="00C04533" w:rsidP="00C04533">
      <w:pPr>
        <w:pStyle w:val="TextoNormal"/>
      </w:pPr>
    </w:p>
    <w:p w14:paraId="226DB992" w14:textId="77777777" w:rsidR="00C04533" w:rsidRDefault="00C04533" w:rsidP="00C04533">
      <w:pPr>
        <w:pStyle w:val="TextoNormal"/>
      </w:pPr>
      <w:r>
        <w:t>Así las cosas, habiéndose entablado en sede de recurso de suplicación una controversia entre las partes precisamente en relación con la aplicabilidad del art. 12.2 TRLGSS al asunto litigioso, la correcta exteriorización del juicio de aplicabilidad habría requerido que la Sala promotora de la cuestión de inconstitucionalidad se pronunciara sobre la misma, razonando de manera expresa por qué considera que el precepto cuestionado es aplicable al caso, sin que pueda considerarse suficiente, a estos efectos, la afirmación apodíctica de que concurren las infracciones jurídicas invocadas en el recurso del SEPE.</w:t>
      </w:r>
    </w:p>
    <w:p w14:paraId="2E48E63E" w14:textId="77777777" w:rsidR="00C04533" w:rsidRDefault="00C04533" w:rsidP="00C04533">
      <w:pPr>
        <w:pStyle w:val="TextoNormal"/>
      </w:pPr>
    </w:p>
    <w:p w14:paraId="4559677E" w14:textId="77777777" w:rsidR="00C04533" w:rsidRDefault="00C04533" w:rsidP="00C04533">
      <w:pPr>
        <w:pStyle w:val="TextoNormal"/>
      </w:pPr>
      <w:r>
        <w:t>c) Por último, en relación con el juicio de aplicabilidad, este tribunal no puede dejar de poner de relieve que en los hechos declarados probados en la sentencia de 19 de septiembre de 2023 del Juzgado de lo Social núm. 5 de Zaragoza consta que la trabajadora tiene reconocido un grado de discapacidad del 34 por 100 por resolución de 16 de abril de 2004 del Instituto Aragonés de Servicios Sociales (IASS).</w:t>
      </w:r>
    </w:p>
    <w:p w14:paraId="76AD5D98" w14:textId="77777777" w:rsidR="00C04533" w:rsidRDefault="00C04533" w:rsidP="00C04533">
      <w:pPr>
        <w:pStyle w:val="TextoNormal"/>
      </w:pPr>
    </w:p>
    <w:p w14:paraId="06796197" w14:textId="4C0C17A3" w:rsidR="00C04533" w:rsidRDefault="00C04533" w:rsidP="00C04533">
      <w:pPr>
        <w:pStyle w:val="TextoNormal"/>
      </w:pPr>
      <w:r>
        <w:t>Del testimonio de las actuaciones remitido junto con la cuestión de inconstitucionalidad, entre las que figura la precitada resolución, se desprende que la situación de la trabajadora se subsume dentro del supuesto de hecho contemplado en la letra a) del art. 12.2, segundo párrafo, TRLGSS (“persona con discapacidad intelectual, con un grado de discapacidad reconocido igual o superior al 33 por ciento”). Por el contrario, no se advierten razones para considerar aplicables al caso las letras b) y c) del citado precepto, sin que tampoco el auto de planteamiento contenga justificación alguna sobre este extremo.</w:t>
      </w:r>
    </w:p>
    <w:p w14:paraId="4AF8EC21" w14:textId="77777777" w:rsidR="00C04533" w:rsidRDefault="00C04533" w:rsidP="00C04533">
      <w:pPr>
        <w:pStyle w:val="TextoNormal"/>
      </w:pPr>
    </w:p>
    <w:p w14:paraId="4CAA5E4C" w14:textId="77777777" w:rsidR="00C04533" w:rsidRDefault="00C04533" w:rsidP="00C04533">
      <w:pPr>
        <w:pStyle w:val="TextoNormal"/>
      </w:pPr>
      <w:r w:rsidRPr="00C04533">
        <w:rPr>
          <w:rStyle w:val="NumeroAFNegritaCaracter"/>
        </w:rPr>
        <w:t>5</w:t>
      </w:r>
      <w:r>
        <w:t>. Finalmente, la afirmación efectuada en el auto de planteamiento de que, desde el plano de la legalidad ordinaria, el recurso habría de ser estimado resulta insuficiente para tener por cumplidamente formulado el juicio de relevancia.</w:t>
      </w:r>
    </w:p>
    <w:p w14:paraId="297429CF" w14:textId="77777777" w:rsidR="00C04533" w:rsidRDefault="00C04533" w:rsidP="00C04533">
      <w:pPr>
        <w:pStyle w:val="TextoNormal"/>
      </w:pPr>
    </w:p>
    <w:p w14:paraId="4D167A51" w14:textId="38645132" w:rsidR="00C04533" w:rsidRDefault="00C04533" w:rsidP="00C04533">
      <w:pPr>
        <w:pStyle w:val="TextoNormal"/>
      </w:pPr>
      <w:r>
        <w:t>Sin perjuicio de lo ya expuesto, aun asumiendo que el art. 12.2 TRLGSS fuera aplicable al caso, el auto de planteamiento no explica de qué modo la declaración de inconstitucionalidad y consiguiente nulidad del segundo párrafo del precepto cuestionado incidiría en la resolución del recurso de suplicación. Y, como afirma el fiscal general del Estado, tal conexión dista de ser evidente y habría exigido una justificación explícita, puesto que, a pesar de la declaración de inconstitucionalidad del art. 12.2 TRLGSS, párrafo segundo, subsistiría la disposición adicional décima de la Ley 20/2007, vigente y con idéntica redacción, y cuya aplicación conduciría al mismo resultado.</w:t>
      </w:r>
    </w:p>
    <w:p w14:paraId="3D75F900" w14:textId="77777777" w:rsidR="00C04533" w:rsidRDefault="00C04533" w:rsidP="00C04533">
      <w:pPr>
        <w:pStyle w:val="TextoNormal"/>
      </w:pPr>
    </w:p>
    <w:p w14:paraId="2242DB8E" w14:textId="77777777" w:rsidR="00C04533" w:rsidRDefault="00C04533" w:rsidP="00C04533">
      <w:pPr>
        <w:pStyle w:val="TextoNormal"/>
      </w:pPr>
      <w:r>
        <w:t>Por lo expuesto, el Pleno</w:t>
      </w:r>
    </w:p>
    <w:p w14:paraId="76A07580" w14:textId="04C8B134" w:rsidR="00C04533" w:rsidRDefault="00C04533" w:rsidP="00C04533">
      <w:pPr>
        <w:pStyle w:val="TextoNormal"/>
      </w:pPr>
    </w:p>
    <w:p w14:paraId="3639B611" w14:textId="77777777" w:rsidR="00C04533" w:rsidRDefault="00C04533" w:rsidP="00C04533">
      <w:pPr>
        <w:pStyle w:val="TextoNormalCentrado"/>
      </w:pPr>
      <w:r>
        <w:t>ACUERDA</w:t>
      </w:r>
    </w:p>
    <w:p w14:paraId="7B27C003" w14:textId="3EFE20B6" w:rsidR="00C04533" w:rsidRDefault="00C04533" w:rsidP="00C04533">
      <w:pPr>
        <w:pStyle w:val="TextoNormalCentrado"/>
      </w:pPr>
    </w:p>
    <w:p w14:paraId="27E68C03" w14:textId="5296172C" w:rsidR="00C04533" w:rsidRDefault="00C04533" w:rsidP="00C04533">
      <w:pPr>
        <w:pStyle w:val="TextoNormal"/>
      </w:pPr>
      <w:r>
        <w:t>Inadmitir a trámite la presente cuestión de inconstitucionalidad.</w:t>
      </w:r>
    </w:p>
    <w:p w14:paraId="25C6D5F4" w14:textId="77777777" w:rsidR="00C04533" w:rsidRDefault="00C04533" w:rsidP="00C04533">
      <w:pPr>
        <w:pStyle w:val="TextoNormal"/>
      </w:pPr>
    </w:p>
    <w:p w14:paraId="09D0BF2A" w14:textId="77777777" w:rsidR="00C04533" w:rsidRDefault="00C04533" w:rsidP="00C04533">
      <w:pPr>
        <w:pStyle w:val="TextoNormal"/>
      </w:pPr>
      <w:r>
        <w:t>Madrid, a dieciséis de julio de dos mil veinticuatro.</w:t>
      </w:r>
    </w:p>
    <w:p w14:paraId="138CF36A" w14:textId="2162E826" w:rsidR="00C04533" w:rsidRDefault="00C04533">
      <w:pPr>
        <w:spacing w:after="160" w:line="278" w:lineRule="auto"/>
        <w:rPr>
          <w:rFonts w:ascii="Times New Roman" w:eastAsia="Times New Roman" w:hAnsi="Times New Roman" w:cs="Times New Roman"/>
          <w:sz w:val="24"/>
          <w:szCs w:val="24"/>
          <w:lang w:eastAsia="es-ES"/>
        </w:rPr>
      </w:pPr>
      <w:r>
        <w:br w:type="page"/>
      </w:r>
    </w:p>
    <w:p w14:paraId="18DF1ABD" w14:textId="77777777" w:rsidR="00C04533" w:rsidRDefault="00C04533" w:rsidP="00C04533">
      <w:pPr>
        <w:pStyle w:val="TtuloResolucin"/>
      </w:pPr>
      <w:bookmarkStart w:id="80" w:name="AUTO_2024_74"/>
      <w:r>
        <w:t>AUTO 74/2024, de 29 de julio de 2024</w:t>
      </w:r>
    </w:p>
    <w:bookmarkEnd w:id="80"/>
    <w:p w14:paraId="235DB79F" w14:textId="77777777" w:rsidR="00C04533" w:rsidRDefault="00C04533" w:rsidP="00C04533">
      <w:pPr>
        <w:pStyle w:val="TtuloResolucin"/>
      </w:pPr>
      <w:r>
        <w:t>Sección Primera</w:t>
      </w:r>
    </w:p>
    <w:p w14:paraId="17894C0C" w14:textId="77777777" w:rsidR="00C04533" w:rsidRDefault="00C04533" w:rsidP="00C04533">
      <w:pPr>
        <w:pStyle w:val="TextoNormalCentrado"/>
      </w:pPr>
      <w:r>
        <w:t>ECLI:ES:TC:2024:74A</w:t>
      </w:r>
    </w:p>
    <w:p w14:paraId="655BDE8F" w14:textId="1075F01D" w:rsidR="00C04533" w:rsidRDefault="00C04533" w:rsidP="00C04533">
      <w:pPr>
        <w:pStyle w:val="TextoNormalCentrado"/>
      </w:pPr>
    </w:p>
    <w:p w14:paraId="6DE3F597" w14:textId="77777777" w:rsidR="00C04533" w:rsidRDefault="00C04533" w:rsidP="00C04533">
      <w:pPr>
        <w:pStyle w:val="SntesisDescriptiva"/>
      </w:pPr>
      <w:r>
        <w:t>Excms. Srs. don Cándido Conde-Pumpido Tourón, doña Concepción Espejel Jorquera y doña María Luisa Segoviano Astaburuaga.</w:t>
      </w:r>
    </w:p>
    <w:p w14:paraId="62D78B1C" w14:textId="0200A5C4" w:rsidR="00C04533" w:rsidRDefault="00C04533" w:rsidP="00C04533">
      <w:pPr>
        <w:pStyle w:val="SntesisDescriptiva"/>
      </w:pPr>
    </w:p>
    <w:p w14:paraId="51C0C4DA" w14:textId="77777777" w:rsidR="00C04533" w:rsidRDefault="00C04533" w:rsidP="00C04533">
      <w:pPr>
        <w:pStyle w:val="SntesisDescriptiva"/>
      </w:pPr>
      <w:r>
        <w:t>Desestima solicitud de revisión de diligencia de ordenación dictada en el recurso de amparo 8325-2022, promovido por don Salvador López Ortiz y otros en proceso contencioso administrativo.</w:t>
      </w:r>
    </w:p>
    <w:p w14:paraId="004F8EB6" w14:textId="07228123" w:rsidR="00C04533" w:rsidRDefault="00C04533" w:rsidP="00C04533">
      <w:pPr>
        <w:pStyle w:val="SntesisDescriptiva"/>
      </w:pPr>
    </w:p>
    <w:p w14:paraId="79EFDD97" w14:textId="77777777" w:rsidR="00C04533" w:rsidRDefault="00C04533" w:rsidP="00C04533">
      <w:pPr>
        <w:pStyle w:val="SntesisDescriptiva"/>
      </w:pPr>
    </w:p>
    <w:p w14:paraId="758128EB" w14:textId="77777777" w:rsidR="00C04533" w:rsidRDefault="00C04533" w:rsidP="00C04533">
      <w:pPr>
        <w:pStyle w:val="SntesisDescriptiva"/>
      </w:pPr>
    </w:p>
    <w:p w14:paraId="1DFCB491" w14:textId="77777777" w:rsidR="00C04533" w:rsidRDefault="00C04533" w:rsidP="00C04533">
      <w:pPr>
        <w:pStyle w:val="TextoNormalNegritaCentrado"/>
      </w:pPr>
      <w:r>
        <w:t>AUTO</w:t>
      </w:r>
    </w:p>
    <w:p w14:paraId="3C0CDE2C" w14:textId="54B42503" w:rsidR="00C04533" w:rsidRDefault="00C04533" w:rsidP="00C04533">
      <w:pPr>
        <w:pStyle w:val="TextoNormalNegritaCentrado"/>
      </w:pPr>
    </w:p>
    <w:p w14:paraId="6DCAFD7B" w14:textId="77777777" w:rsidR="00C04533" w:rsidRDefault="00C04533" w:rsidP="00C04533">
      <w:pPr>
        <w:pStyle w:val="TextoNormalNegritaCentrado"/>
        <w:keepNext/>
      </w:pPr>
      <w:r>
        <w:t>I. Antecedentes</w:t>
      </w:r>
    </w:p>
    <w:p w14:paraId="144D0DE2" w14:textId="6B1A5F68" w:rsidR="00C04533" w:rsidRDefault="00C04533" w:rsidP="00C04533">
      <w:pPr>
        <w:pStyle w:val="TextoNormalNegritaCentrado"/>
        <w:keepNext/>
      </w:pPr>
    </w:p>
    <w:p w14:paraId="40B537FC" w14:textId="77777777" w:rsidR="00C04533" w:rsidRDefault="00C04533" w:rsidP="00C04533">
      <w:pPr>
        <w:pStyle w:val="TextoNormal"/>
      </w:pPr>
      <w:r w:rsidRPr="00C04533">
        <w:rPr>
          <w:rStyle w:val="NumeroAFNegritaCaracter"/>
        </w:rPr>
        <w:t>1</w:t>
      </w:r>
      <w:r>
        <w:t>. Mediante escrito presentado en el registro del Tribunal el 9 de diciembre de 2022, don Salvador López Ortiz y doña María José López Espinosa, representados por la procuradora de los tribunales doña Olga Gutiérrez Álvarez, solicitaron la reapertura del recurso de amparo núm. 1916-2021, en el que se había acordado por providencia de la Sección Tercera del Tribunal de 27 de enero de 2022 no admitirlo a trámite por falta de agotamiento de la vía judicial [art. 50.1 a), en relación con el art. 44.1 a) de la Ley Orgánica del Tribunal Constitucional (LOTC)], al estar todavía pendiente de resolución un incidente de nulidad de actuaciones interpuesto en el procedimiento judicial del que traía causa el recurso de amparo, con fundamento en que ya se había producido la resolución del citado incidente de nulidad de actuaciones.</w:t>
      </w:r>
    </w:p>
    <w:p w14:paraId="1EB036A9" w14:textId="77777777" w:rsidR="00C04533" w:rsidRDefault="00C04533" w:rsidP="00C04533">
      <w:pPr>
        <w:pStyle w:val="TextoNormal"/>
      </w:pPr>
    </w:p>
    <w:p w14:paraId="2562C20E" w14:textId="1D9E4524" w:rsidR="00C04533" w:rsidRDefault="00C04533" w:rsidP="00C04533">
      <w:pPr>
        <w:pStyle w:val="TextoNormal"/>
      </w:pPr>
      <w:r>
        <w:t>La Secretaría de Justicia de la Sección Tercera del Tribunal, por diligencia de 14 de diciembre de 2022, al constatar que se impugnaba una resolución judicial diferente a la que había dado lugar al recurso de amparo núm. 1916-2021, acordó que se trataba de un nuevo recurso de amparo, por lo que se devolvió al registro general para ser turnado. De ese modo se dio lugar a la incoación del recurso de amparo núm. 8325-2022, que fue turnado de nuevo a la Sección Tercera del Tribunal, lo que se notificó debidamente a los recurrentes mediante diligencia de ordenación de 20 de diciembre de 2022.</w:t>
      </w:r>
    </w:p>
    <w:p w14:paraId="3700ECAC" w14:textId="77777777" w:rsidR="00C04533" w:rsidRDefault="00C04533" w:rsidP="00C04533">
      <w:pPr>
        <w:pStyle w:val="TextoNormal"/>
      </w:pPr>
    </w:p>
    <w:p w14:paraId="224496F4" w14:textId="418140BE" w:rsidR="00C04533" w:rsidRDefault="00C04533" w:rsidP="00C04533">
      <w:pPr>
        <w:pStyle w:val="TextoNormal"/>
      </w:pPr>
      <w:r w:rsidRPr="00C04533">
        <w:rPr>
          <w:rStyle w:val="NumeroAFNegritaCaracter"/>
        </w:rPr>
        <w:t>2</w:t>
      </w:r>
      <w:r>
        <w:t>. La Sección Tercera del Tribunal, en el momento en que se pronunciaron las citadas resoluciones del Tribunal Constitucional, estaba integrada, de acuerdo con lo establecido en el art. 2.2 del acuerdo de 19 de noviembre de 2021, del Pleno del Tribunal Constitucional, por el que se dispone la composición de las Salas y Secciones del Tribunal Constitucional, entre otros, por el magistrado don Cándido Conde-Pumpido Tourón y la magistrada doña Concepción Espejel Jorquera.</w:t>
      </w:r>
    </w:p>
    <w:p w14:paraId="35154599" w14:textId="77777777" w:rsidR="00C04533" w:rsidRDefault="00C04533" w:rsidP="00C04533">
      <w:pPr>
        <w:pStyle w:val="TextoNormal"/>
      </w:pPr>
    </w:p>
    <w:p w14:paraId="21508FAB" w14:textId="0C0F61EE" w:rsidR="00C04533" w:rsidRDefault="00C04533" w:rsidP="00C04533">
      <w:pPr>
        <w:pStyle w:val="TextoNormal"/>
      </w:pPr>
      <w:r w:rsidRPr="00C04533">
        <w:rPr>
          <w:rStyle w:val="NumeroAFNegritaCaracter"/>
        </w:rPr>
        <w:t>3</w:t>
      </w:r>
      <w:r>
        <w:t>. La Secretaría de Justicia de la Sección Primera del Tribunal, por diligencia de ordenación de 31 de enero de 2023, notificada ese mismo día, puso en conocimiento de las partes que, en virtud del acuerdo adoptado por el Pleno del Tribunal Constitucional el día 17 de enero de 2023, publicado en el “Boletín Oficial del Estado” del siguiente día 19, el recurso de amparo núm. 8325-2022 había sido turnado a la Sección Primera de la Sala Primera del Tribunal Constitucional, que de conformidad con el art. 1.2 del citado acuerdo estaba integrada, entre otros, por el presidente, don Cándido Conde-Pumpido Tourón, y la magistrada doña Concepción Espejel Jorquera.</w:t>
      </w:r>
    </w:p>
    <w:p w14:paraId="5C3ADDFC" w14:textId="77777777" w:rsidR="00C04533" w:rsidRDefault="00C04533" w:rsidP="00C04533">
      <w:pPr>
        <w:pStyle w:val="TextoNormal"/>
      </w:pPr>
    </w:p>
    <w:p w14:paraId="39C3E3F3" w14:textId="77777777" w:rsidR="00C04533" w:rsidRDefault="00C04533" w:rsidP="00C04533">
      <w:pPr>
        <w:pStyle w:val="TextoNormal"/>
      </w:pPr>
      <w:r w:rsidRPr="00C04533">
        <w:rPr>
          <w:rStyle w:val="NumeroAFNegritaCaracter"/>
        </w:rPr>
        <w:t>4</w:t>
      </w:r>
      <w:r>
        <w:t>. Los recurrentes, mediante escrito registrado el 6 de febrero de 2023, con ocasión de la interposición de lo que denominan recurso de reposición contra la citada diligencia de ordenación de 31 de enero de 2023, suplica, entre otros extremos, que se tenga por recusados al magistrado don Cándido Conde-Pumpido Tourón y a la magistrada doña Concepción Espejel Jorquera, esencialmente por su contacto previo con el objeto del presente procedimiento de amparo con ocasión de la decisión de inadmisión del recurso de amparo núm. 1916-2021, y al magistrado don César Tolosa Tribiño, con fundamento en que ya fue sujeto de recusación en la vía judicial previa que había dado lugar al presente recurso de amparo.</w:t>
      </w:r>
    </w:p>
    <w:p w14:paraId="2361D4D7" w14:textId="77777777" w:rsidR="00C04533" w:rsidRDefault="00C04533" w:rsidP="00C04533">
      <w:pPr>
        <w:pStyle w:val="TextoNormal"/>
      </w:pPr>
    </w:p>
    <w:p w14:paraId="42DC8DBF" w14:textId="061B29B1" w:rsidR="00C04533" w:rsidRDefault="00C04533" w:rsidP="00C04533">
      <w:pPr>
        <w:pStyle w:val="TextoNormal"/>
      </w:pPr>
      <w:r>
        <w:t>De otra parte, en dicho escrito, suplica, asimismo, que a dicho escrito se le dé el carácter de recurso de reposición, al amparo del art. 80 LOTC, pues dicha diligencia es nula de pleno derecho, salvo que se acuerde admitir a trámite el recurso de amparo. Sustenta dicha nulidad en los arts. 238.3 y 6, y 240.1 y 2 de la Ley Orgánica del Poder Judicial, por producir indefensión con vulneración del art. 24.1 CE, al haber resuelto el secretario de justicia lo que le competía a la anterior Sección Tercera. También se alega la vulneración del art. 120 CE por falta de motivación suficiente, y del art. 24.2 CE por dilaciones indebidas. Se alega que se solicitó la reapertura del recurso de amparo núm. 1916-2021 con fecha de 9 de diciembre de 2022 pero no se pronuncia la Sección Primera hasta el 31 de enero de 2023 con otra composición por lo que se entiende que se vulnera el art. 24.2 CE por dilaciones indebidas, y el art. 24.1 CE por indefensión. Además, la diligencia de ordenación no está motivada, ya que no explica quién debe ser el ponente, no está justificado el cambio de sección y tampoco quien ha adoptado la decisión de crear un nuevo recurso de amparo (recurso de amparo núm. 8325-2022) y no reabrir el recurso de amparo anterior (recurso de amparo núm. 1916-2021) la ha tomado o no el órgano competente.</w:t>
      </w:r>
    </w:p>
    <w:p w14:paraId="39E310B1" w14:textId="77777777" w:rsidR="00C04533" w:rsidRDefault="00C04533" w:rsidP="00C04533">
      <w:pPr>
        <w:pStyle w:val="TextoNormal"/>
      </w:pPr>
    </w:p>
    <w:p w14:paraId="544502F1" w14:textId="768EC0F9" w:rsidR="00C04533" w:rsidRDefault="00C04533" w:rsidP="00C04533">
      <w:pPr>
        <w:pStyle w:val="TextoNormal"/>
      </w:pPr>
      <w:r w:rsidRPr="00C04533">
        <w:rPr>
          <w:rStyle w:val="NumeroAFNegritaCaracter"/>
        </w:rPr>
        <w:t>5</w:t>
      </w:r>
      <w:r>
        <w:t>. En cuanto a la súplica presentada, mediante diligencia de ordenación de 13 de febrero de 2023, se dio traslado al Ministerio Fiscal para que en el plazo de tres días alegara lo que a su derecho conviniera.</w:t>
      </w:r>
    </w:p>
    <w:p w14:paraId="2BA6B1CC" w14:textId="77777777" w:rsidR="00C04533" w:rsidRDefault="00C04533" w:rsidP="00C04533">
      <w:pPr>
        <w:pStyle w:val="TextoNormal"/>
      </w:pPr>
    </w:p>
    <w:p w14:paraId="39744DD2" w14:textId="77777777" w:rsidR="00C04533" w:rsidRDefault="00C04533" w:rsidP="00C04533">
      <w:pPr>
        <w:pStyle w:val="TextoNormal"/>
      </w:pPr>
      <w:r w:rsidRPr="00C04533">
        <w:rPr>
          <w:rStyle w:val="NumeroAFNegritaCaracter"/>
        </w:rPr>
        <w:t>6</w:t>
      </w:r>
      <w:r>
        <w:t>. El Ministerio Fiscal presentó alegaciones el 13 de marzo de 2023, en las que solicita que se deniegue el recurso de reposición interpuesto. Recuerda el fiscal que el Tribunal Constitucional en su ATC 6/2023, de 24 de enero, FJ 1, ya consideró que las diligencias de ordenación dictadas por los secretarios de justicia del Tribunal no son recurribles en reposición ante el propio secretario de justicia que las haya dictado, sin perjuicio de que pueden ser revisables por la correspondiente Sección del Tribunal o, en su caso, por las Salas o el Pleno. Por tanto, entiende que la reposición planteada es improcedente. No obstante, considera que ello no es obstáculo para que por el Tribunal se aborde la pretensión que se formula en dicho recurso como una petición de revisión de lo acordado por el secretario de justicia. En el citado ATC 6/2023, el Tribunal también consideró que “cualquiera que sea la denominación o veste otorgada al escrito presentado hay que atender, siguiendo un criterio antiformalista, a lo que en el mismo se interesa, que no es sino una revisión de lo acordado en la diligencia de ordenación”, en el presente caso, para que sea dejada sin efecto y se acuerde “la reapertura del recurso de amparo 1916-2021”, salvo que el recurso de amparo 8352-2022 se admita a trámite.</w:t>
      </w:r>
    </w:p>
    <w:p w14:paraId="7C1090AE" w14:textId="77777777" w:rsidR="00C04533" w:rsidRDefault="00C04533" w:rsidP="00C04533">
      <w:pPr>
        <w:pStyle w:val="TextoNormal"/>
      </w:pPr>
    </w:p>
    <w:p w14:paraId="51EE2DDF" w14:textId="19BADBEF" w:rsidR="00C04533" w:rsidRDefault="00C04533" w:rsidP="00C04533">
      <w:pPr>
        <w:pStyle w:val="TextoNormal"/>
      </w:pPr>
      <w:r>
        <w:t>En síntesis, el fiscal considera que el recurso de amparo 1916-2021 fue inadmitido por providencia del Tribunal de 27 de enero de 2022. Dicha decisión, no recurrida en su día por el Ministerio Fiscal, es firme y no cabe su revisión. Además, entiende que el escrito del recurrente solicitando la reapertura de dicho recurso de amparo contiene resoluciones judiciales que pretende impugnar que no coinciden con las impugnadas en su originario recurso de amparo 1916-2021. Por ello, se consideró por el secretario de justicia que se trataba de un nuevo recurso de amparo diferente.</w:t>
      </w:r>
    </w:p>
    <w:p w14:paraId="3B9883F0" w14:textId="77777777" w:rsidR="00C04533" w:rsidRDefault="00C04533" w:rsidP="00C04533">
      <w:pPr>
        <w:pStyle w:val="TextoNormal"/>
      </w:pPr>
    </w:p>
    <w:p w14:paraId="5BA1A213" w14:textId="62D3A1DF" w:rsidR="00C04533" w:rsidRDefault="00C04533" w:rsidP="00C04533">
      <w:pPr>
        <w:pStyle w:val="TextoNormal"/>
      </w:pPr>
      <w:r w:rsidRPr="00C04533">
        <w:rPr>
          <w:rStyle w:val="NumeroAFNegritaCaracter"/>
        </w:rPr>
        <w:t>7</w:t>
      </w:r>
      <w:r>
        <w:t>. Por ATC 238/2023, de 9 de mayo se acuerda no admitir a trámite las recusaciones formuladas en el recurso de amparo núm. 8325-2022 y la devolución de las actuaciones a la Sección Primera del Tribunal.</w:t>
      </w:r>
    </w:p>
    <w:p w14:paraId="4E28F938" w14:textId="77777777" w:rsidR="00C04533" w:rsidRDefault="00C04533" w:rsidP="00C04533">
      <w:pPr>
        <w:pStyle w:val="TextoNormal"/>
      </w:pPr>
    </w:p>
    <w:p w14:paraId="53B4228F" w14:textId="77777777" w:rsidR="00C04533" w:rsidRDefault="00C04533" w:rsidP="00C04533">
      <w:pPr>
        <w:pStyle w:val="TextoNormalNegritaCentrado"/>
        <w:keepNext/>
      </w:pPr>
      <w:r>
        <w:t>II. Fundamentos jurídicos</w:t>
      </w:r>
    </w:p>
    <w:p w14:paraId="009AC5BF" w14:textId="4CA0E669" w:rsidR="00C04533" w:rsidRDefault="00C04533" w:rsidP="00C04533">
      <w:pPr>
        <w:pStyle w:val="TextoNormalNegritaCentrado"/>
        <w:keepNext/>
      </w:pPr>
    </w:p>
    <w:p w14:paraId="260EE72C" w14:textId="77777777" w:rsidR="00C04533" w:rsidRDefault="00C04533" w:rsidP="00C04533">
      <w:pPr>
        <w:pStyle w:val="TextoNormal"/>
      </w:pPr>
      <w:r w:rsidRPr="00C04533">
        <w:rPr>
          <w:rStyle w:val="TextoNormalNegritaCaracter"/>
        </w:rPr>
        <w:t xml:space="preserve">Único. </w:t>
      </w:r>
      <w:r>
        <w:t>Como hemos señalado en los AATC 6/2023, de 24 de enero, y 487/2023, de 24 de octubre, las diligencias de ordenación dictadas por los secretarios de justicia del Tribunal Constitucional no son recurribles en reposición ante el propio secretario de justicia que las haya dictado, sin perjuicio de que puedan ser revisables por la correspondiente Sección de este tribunal o, en su caso, por las Salas o el Pleno.</w:t>
      </w:r>
    </w:p>
    <w:p w14:paraId="0D7AB0C3" w14:textId="77777777" w:rsidR="00C04533" w:rsidRDefault="00C04533" w:rsidP="00C04533">
      <w:pPr>
        <w:pStyle w:val="TextoNormal"/>
      </w:pPr>
    </w:p>
    <w:p w14:paraId="4D648D20" w14:textId="77777777" w:rsidR="00C04533" w:rsidRDefault="00C04533" w:rsidP="00C04533">
      <w:pPr>
        <w:pStyle w:val="TextoNormal"/>
      </w:pPr>
      <w:r>
        <w:t>En consecuencia, no procede el recurso de reposición que el actor pretende interponer contra la diligencia de ordenación de 31 de enero de 2023. No obstante, ello no impide que abordemos la pretensión que se formula en dicho recurso como una petición de revisión por este tribunal de lo acordado por el secretario de justicia de la Sala Primera; pues, en último término, cualquiera que sea la denominación o veste otorgada al escrito presentado hay que atender, siguiendo un criterio antiformalista, a lo que en el mismo se interesa.</w:t>
      </w:r>
    </w:p>
    <w:p w14:paraId="44C32DDD" w14:textId="77777777" w:rsidR="00C04533" w:rsidRDefault="00C04533" w:rsidP="00C04533">
      <w:pPr>
        <w:pStyle w:val="TextoNormal"/>
      </w:pPr>
    </w:p>
    <w:p w14:paraId="701BB768" w14:textId="77777777" w:rsidR="00C04533" w:rsidRDefault="00C04533" w:rsidP="00C04533">
      <w:pPr>
        <w:pStyle w:val="TextoNormal"/>
      </w:pPr>
      <w:r>
        <w:t>Pues bien, llegados a este punto no cabe sino confirmar en sus propios términos lo acordado en la diligencia de ordenación cuya revisión se solicita, por resultar la misma plenamente ajustada a Derecho.</w:t>
      </w:r>
    </w:p>
    <w:p w14:paraId="360976E2" w14:textId="77777777" w:rsidR="00C04533" w:rsidRDefault="00C04533" w:rsidP="00C04533">
      <w:pPr>
        <w:pStyle w:val="TextoNormal"/>
      </w:pPr>
    </w:p>
    <w:p w14:paraId="12AFE058" w14:textId="77777777" w:rsidR="00C04533" w:rsidRDefault="00C04533" w:rsidP="00C04533">
      <w:pPr>
        <w:pStyle w:val="TextoNormal"/>
      </w:pPr>
      <w:r>
        <w:t>En primer lugar, por lo que se refiere a la solicitud de reapertura del recurso de amparo 1916-2021, tal petición debe ser rechazada puesto que dicho recurso fue inadmitido por providencia de este tribunal de 27 de enero de 2022 y no fue recurrida, en su día, por el Ministerio Fiscal, por lo que no cabe en estos momentos su revisión.</w:t>
      </w:r>
    </w:p>
    <w:p w14:paraId="7326761F" w14:textId="77777777" w:rsidR="00C04533" w:rsidRDefault="00C04533" w:rsidP="00C04533">
      <w:pPr>
        <w:pStyle w:val="TextoNormal"/>
      </w:pPr>
    </w:p>
    <w:p w14:paraId="3436550A" w14:textId="77777777" w:rsidR="00C04533" w:rsidRDefault="00C04533" w:rsidP="00C04533">
      <w:pPr>
        <w:pStyle w:val="TextoNormal"/>
      </w:pPr>
      <w:r>
        <w:t>En segundo término, en cuanto a la supuesta nulidad que afectaría a la diligencia del secretario de justicia impugnada por los motivos planteados por el recurrente, debe afirmarse, de acuerdo con lo manifestado por el Ministerio Fiscal, que la diligencia es ajustada a Derecho ya que las alegaciones manifestadas por el recurrente carecen de fundamento: (i) ninguna indefensión ha ocasionado al recurrente la diligencia impugnada que se limita a dar trámite a su escrito considerándolo como un nuevo recurso de amparo; (ii) tampoco cabe apreciar déficit de motivación alegado en una acto de tramitación procesal.</w:t>
      </w:r>
    </w:p>
    <w:p w14:paraId="1390ECB0" w14:textId="77777777" w:rsidR="00C04533" w:rsidRDefault="00C04533" w:rsidP="00C04533">
      <w:pPr>
        <w:pStyle w:val="TextoNormal"/>
      </w:pPr>
    </w:p>
    <w:p w14:paraId="71A5A90B" w14:textId="77777777" w:rsidR="00C04533" w:rsidRDefault="00C04533" w:rsidP="00C04533">
      <w:pPr>
        <w:pStyle w:val="TextoNormal"/>
      </w:pPr>
      <w:r>
        <w:t>En definitiva, nada cabe reprochar a la decisión impugnada al considerar que la solicitud de reapertura de un recurso de amparo anterior ya inadmitido, en realidad consistía en un nuevo recurso de amparo que contenía resoluciones judiciales impugnadas no totalmente coincidentes con las recurridas en el anterior recurso de amparo que se pretendía reabrir.</w:t>
      </w:r>
    </w:p>
    <w:p w14:paraId="3AFE5F6B" w14:textId="77777777" w:rsidR="00C04533" w:rsidRDefault="00C04533" w:rsidP="00C04533">
      <w:pPr>
        <w:pStyle w:val="TextoNormal"/>
      </w:pPr>
    </w:p>
    <w:p w14:paraId="090C0673" w14:textId="3A0B6B73" w:rsidR="00C04533" w:rsidRDefault="00C04533" w:rsidP="00C04533">
      <w:pPr>
        <w:pStyle w:val="TextoNormal"/>
      </w:pPr>
      <w:r>
        <w:t>Por último, como ha quedado expuesto en los antecedentes, la recusación que el recurrente planteó frente a tres magistrados fue resuelta en el ATC 238/2023, de 9 de mayo, que acordó no admitir a trámite las citadas recusaciones.</w:t>
      </w:r>
    </w:p>
    <w:p w14:paraId="40DE71D0" w14:textId="77777777" w:rsidR="00C04533" w:rsidRDefault="00C04533" w:rsidP="00C04533">
      <w:pPr>
        <w:pStyle w:val="TextoNormal"/>
      </w:pPr>
    </w:p>
    <w:p w14:paraId="2AFDA805" w14:textId="77777777" w:rsidR="00C04533" w:rsidRDefault="00C04533" w:rsidP="00C04533">
      <w:pPr>
        <w:pStyle w:val="TextoNormal"/>
      </w:pPr>
      <w:r>
        <w:t>Por lo expuesto, la Sección</w:t>
      </w:r>
    </w:p>
    <w:p w14:paraId="7B44BB91" w14:textId="16DCADA1" w:rsidR="00C04533" w:rsidRDefault="00C04533" w:rsidP="00C04533">
      <w:pPr>
        <w:pStyle w:val="TextoNormal"/>
      </w:pPr>
    </w:p>
    <w:p w14:paraId="701B122B" w14:textId="77777777" w:rsidR="00C04533" w:rsidRDefault="00C04533" w:rsidP="00C04533">
      <w:pPr>
        <w:pStyle w:val="TextoNormalCentrado"/>
      </w:pPr>
      <w:r>
        <w:t>ACUERDA</w:t>
      </w:r>
    </w:p>
    <w:p w14:paraId="56EE5EFF" w14:textId="11BF39DA" w:rsidR="00C04533" w:rsidRDefault="00C04533" w:rsidP="00C04533">
      <w:pPr>
        <w:pStyle w:val="TextoNormalCentrado"/>
      </w:pPr>
    </w:p>
    <w:p w14:paraId="4ED59285" w14:textId="7262E183" w:rsidR="00C04533" w:rsidRDefault="00C04533" w:rsidP="00C04533">
      <w:pPr>
        <w:pStyle w:val="TextoNormal"/>
      </w:pPr>
      <w:r>
        <w:t>No haber lugar a revisar la diligencia de ordenación del secretario de justicia de la Sala Primera del Tribunal Constitucional de 31 de enero de 2023, que confirmamos íntegramente.</w:t>
      </w:r>
    </w:p>
    <w:p w14:paraId="7CCDE1F0" w14:textId="77777777" w:rsidR="00C04533" w:rsidRDefault="00C04533" w:rsidP="00C04533">
      <w:pPr>
        <w:pStyle w:val="TextoNormal"/>
      </w:pPr>
    </w:p>
    <w:p w14:paraId="23CDA478" w14:textId="77777777" w:rsidR="00C04533" w:rsidRDefault="00C04533" w:rsidP="00C04533">
      <w:pPr>
        <w:pStyle w:val="TextoNormal"/>
      </w:pPr>
      <w:r>
        <w:t>Madrid, a veintinueve de julio de dos mil veinticuatro.</w:t>
      </w:r>
    </w:p>
    <w:p w14:paraId="515F112E" w14:textId="4722EE79" w:rsidR="00C04533" w:rsidRDefault="00C04533">
      <w:pPr>
        <w:spacing w:after="160" w:line="278" w:lineRule="auto"/>
        <w:rPr>
          <w:rFonts w:ascii="Times New Roman" w:eastAsia="Times New Roman" w:hAnsi="Times New Roman" w:cs="Times New Roman"/>
          <w:sz w:val="24"/>
          <w:szCs w:val="24"/>
          <w:lang w:eastAsia="es-ES"/>
        </w:rPr>
      </w:pPr>
      <w:r>
        <w:br w:type="page"/>
      </w:r>
    </w:p>
    <w:p w14:paraId="43B93543" w14:textId="77777777" w:rsidR="00C04533" w:rsidRDefault="00C04533" w:rsidP="00C04533">
      <w:pPr>
        <w:pStyle w:val="TtuloResolucin"/>
      </w:pPr>
      <w:bookmarkStart w:id="81" w:name="AUTO_2024_75"/>
      <w:r>
        <w:t>AUTO 75/2024, de 9 de septiembre de 2024</w:t>
      </w:r>
    </w:p>
    <w:bookmarkEnd w:id="81"/>
    <w:p w14:paraId="41615AF9" w14:textId="77777777" w:rsidR="00C04533" w:rsidRDefault="00C04533" w:rsidP="00C04533">
      <w:pPr>
        <w:pStyle w:val="TtuloResolucin"/>
      </w:pPr>
      <w:r>
        <w:t>Sala Segunda</w:t>
      </w:r>
    </w:p>
    <w:p w14:paraId="4F60F94E" w14:textId="77777777" w:rsidR="00C04533" w:rsidRDefault="00C04533" w:rsidP="00C04533">
      <w:pPr>
        <w:pStyle w:val="TextoNormalCentrado"/>
      </w:pPr>
      <w:r>
        <w:t>ECLI:ES:TC:2024:75A</w:t>
      </w:r>
    </w:p>
    <w:p w14:paraId="4A5516EF" w14:textId="3D5DB7CD" w:rsidR="00C04533" w:rsidRDefault="00C04533" w:rsidP="00C04533">
      <w:pPr>
        <w:pStyle w:val="TextoNormalCentrado"/>
      </w:pPr>
    </w:p>
    <w:p w14:paraId="1309EBD2" w14:textId="77777777" w:rsidR="00C04533" w:rsidRDefault="00C04533" w:rsidP="00C04533">
      <w:pPr>
        <w:pStyle w:val="SntesisDescriptiva"/>
      </w:pPr>
      <w:r>
        <w:t>Excms. Srs. doña Inmaculada Montalbán Huertas, doña María Luisa Balaguer Callejón, don Enrique Arnaldo Alcubilla, don César Tolosa Tribiño y doña Laura Díez Bueso.</w:t>
      </w:r>
    </w:p>
    <w:p w14:paraId="632ABD7D" w14:textId="79B4400B" w:rsidR="00C04533" w:rsidRDefault="00C04533" w:rsidP="00C04533">
      <w:pPr>
        <w:pStyle w:val="SntesisDescriptiva"/>
      </w:pPr>
    </w:p>
    <w:p w14:paraId="75CC6507" w14:textId="77777777" w:rsidR="00C04533" w:rsidRDefault="00C04533" w:rsidP="00C04533">
      <w:pPr>
        <w:pStyle w:val="SntesisDescriptiva"/>
      </w:pPr>
      <w:r>
        <w:t>Acuerda el desistimiento en el recurso de amparo 1372-2022, promovido por doña Olga Villanueva Illana en pleito civil.</w:t>
      </w:r>
    </w:p>
    <w:p w14:paraId="46A53C28" w14:textId="4C01A2B9" w:rsidR="00C04533" w:rsidRDefault="00C04533" w:rsidP="00C04533">
      <w:pPr>
        <w:pStyle w:val="SntesisDescriptiva"/>
      </w:pPr>
    </w:p>
    <w:p w14:paraId="405DC512" w14:textId="77777777" w:rsidR="00C04533" w:rsidRDefault="00C04533" w:rsidP="00C04533">
      <w:pPr>
        <w:pStyle w:val="SntesisDescriptiva"/>
      </w:pPr>
    </w:p>
    <w:p w14:paraId="7CA58EE6" w14:textId="77777777" w:rsidR="00C04533" w:rsidRDefault="00C04533" w:rsidP="00C04533">
      <w:pPr>
        <w:pStyle w:val="SntesisDescriptiva"/>
      </w:pPr>
    </w:p>
    <w:p w14:paraId="45572AD8" w14:textId="77777777" w:rsidR="00C04533" w:rsidRDefault="00C04533" w:rsidP="00C04533">
      <w:pPr>
        <w:pStyle w:val="TextoNormalNegritaCentrado"/>
      </w:pPr>
      <w:r>
        <w:t>AUTO</w:t>
      </w:r>
    </w:p>
    <w:p w14:paraId="290D0CA1" w14:textId="74AA53A1" w:rsidR="00C04533" w:rsidRDefault="00C04533" w:rsidP="00C04533">
      <w:pPr>
        <w:pStyle w:val="TextoNormalNegritaCentrado"/>
      </w:pPr>
    </w:p>
    <w:p w14:paraId="1D2562E1" w14:textId="77777777" w:rsidR="00C04533" w:rsidRDefault="00C04533" w:rsidP="00C04533">
      <w:pPr>
        <w:pStyle w:val="TextoNormalNegritaCentrado"/>
        <w:keepNext/>
      </w:pPr>
      <w:r>
        <w:t>I. Antecedentes</w:t>
      </w:r>
    </w:p>
    <w:p w14:paraId="4FC2C88B" w14:textId="7E945F9F" w:rsidR="00C04533" w:rsidRDefault="00C04533" w:rsidP="00C04533">
      <w:pPr>
        <w:pStyle w:val="TextoNormalNegritaCentrado"/>
        <w:keepNext/>
      </w:pPr>
    </w:p>
    <w:p w14:paraId="487D8160" w14:textId="77777777" w:rsidR="00C04533" w:rsidRDefault="00C04533" w:rsidP="00C04533">
      <w:pPr>
        <w:pStyle w:val="TextoNormal"/>
      </w:pPr>
      <w:r w:rsidRPr="00C04533">
        <w:rPr>
          <w:rStyle w:val="NumeroAFNegritaCaracter"/>
        </w:rPr>
        <w:t>1</w:t>
      </w:r>
      <w:r>
        <w:t>. Por escrito registrado en este tribunal el 2 de marzo de 2022, la procuradora de los tribunales doña Cristina Jiménez de la Plata García de Blas, en nombre y representación de doña Olga Villanueva Illana y bajo la dirección letrada de don Fernando Gabriel Ortega Gil, interpuso recurso de amparo contra: (i) el auto núm. 441/2017 dictado por el Juzgado de Primera Instancia núm. 26 de Madrid el 10 de noviembre de 2017, que puso fin al procedimiento ordinario 1240-2016 por estimación de una excepción de cosa juzgada; (ii) el auto dictado por el mismo juzgado el día 1 de diciembre de 2017 por el que se denegó la aclaración de la anterior resolución, pedida por la hoy demandante de amparo; y (iii) el auto núm. 4/2022 de 13 de enero de 2022, dictado por la Sección Vigesimoctava de refuerzo de la Audiencia Provincial de Madrid, por el que se desestimó el recurso de apelación interpuesto por la demandante de amparo contra el auto de 10 de noviembre de 2017.</w:t>
      </w:r>
    </w:p>
    <w:p w14:paraId="4EB6EA6E" w14:textId="77777777" w:rsidR="00C04533" w:rsidRDefault="00C04533" w:rsidP="00C04533">
      <w:pPr>
        <w:pStyle w:val="TextoNormal"/>
      </w:pPr>
    </w:p>
    <w:p w14:paraId="18AC1381" w14:textId="1D337FAF" w:rsidR="00C04533" w:rsidRDefault="00C04533" w:rsidP="00C04533">
      <w:pPr>
        <w:pStyle w:val="TextoNormal"/>
      </w:pPr>
      <w:r>
        <w:t>En el escrito de interposición del recurso de amparo se solicitaba, por medio de otrosí, la anotación preventiva de la demanda de amparo en el registro de la propiedad y la suspensión cautelar del procedimiento de desahucio por precario núm. 769-2018, que se viene tramitando ante el Juzgado de Primera Instancia núm. 46 de Madrid frente a la demandante de amparo.</w:t>
      </w:r>
    </w:p>
    <w:p w14:paraId="74671F50" w14:textId="77777777" w:rsidR="00C04533" w:rsidRDefault="00C04533" w:rsidP="00C04533">
      <w:pPr>
        <w:pStyle w:val="TextoNormal"/>
      </w:pPr>
    </w:p>
    <w:p w14:paraId="1E9C82B2" w14:textId="77777777" w:rsidR="00C04533" w:rsidRDefault="00C04533" w:rsidP="00C04533">
      <w:pPr>
        <w:pStyle w:val="TextoNormal"/>
      </w:pPr>
      <w:r w:rsidRPr="00C04533">
        <w:rPr>
          <w:rStyle w:val="NumeroAFNegritaCaracter"/>
        </w:rPr>
        <w:t>2</w:t>
      </w:r>
      <w:r>
        <w:t>. La demanda de amparo fue admitida a trámite mediante providencia de la Sección Tercera de este tribunal de 22 de mayo de 2023, que apreció la concurrencia en el mismo de una especial trascendencia constitucional porque “el recurso plantea un problema o afecta a una faceta de un derecho fundamental sobre el que no hay doctrina de este tribunal [STC 155/2009, de 25 de junio, FJ 2 a)]”.</w:t>
      </w:r>
    </w:p>
    <w:p w14:paraId="63C125A5" w14:textId="77777777" w:rsidR="00C04533" w:rsidRDefault="00C04533" w:rsidP="00C04533">
      <w:pPr>
        <w:pStyle w:val="TextoNormal"/>
      </w:pPr>
    </w:p>
    <w:p w14:paraId="59A50834" w14:textId="77777777" w:rsidR="00C04533" w:rsidRDefault="00C04533" w:rsidP="00C04533">
      <w:pPr>
        <w:pStyle w:val="TextoNormal"/>
      </w:pPr>
      <w:r>
        <w:t>En la misma providencia, en aplicación del art. 51 de la Ley Orgánica del Tribunal Constitucional (LOTC), se acordó dirigir atenta comunicación a la Sección Vigesimoctava de la Audiencia Provincial de Madrid a fin de que, en un plazo que no excediera de diez días, remitiera testimonio de las actuaciones correspondientes al recurso de apelación núm. 657-2018; así como al Juzgado de Primera Instancia núm. 26 de Madrid a fin de que, en un plazo que no excediera de diez días, y en igual sentido, remitiera testimonio de las actuaciones correspondientes al procedimiento ordinario núm. 1240-2016; debiendo previamente emplazarse a quienes hubieran sido parte en el procedimiento, excepto a la parte recurrente en amparo, para que en el plazo de diez días pudieran comparecer, si lo deseasen, en este recurso.</w:t>
      </w:r>
    </w:p>
    <w:p w14:paraId="37EB2086" w14:textId="77777777" w:rsidR="00C04533" w:rsidRDefault="00C04533" w:rsidP="00C04533">
      <w:pPr>
        <w:pStyle w:val="TextoNormal"/>
      </w:pPr>
    </w:p>
    <w:p w14:paraId="4D93C4E8" w14:textId="351AD359" w:rsidR="00C04533" w:rsidRDefault="00C04533" w:rsidP="00C04533">
      <w:pPr>
        <w:pStyle w:val="TextoNormal"/>
      </w:pPr>
      <w:r>
        <w:t>Finalmente, se decretó la formación de pieza separada de suspensión, de conformidad con la solicitud formulada por la actora.</w:t>
      </w:r>
    </w:p>
    <w:p w14:paraId="3FF2CE2C" w14:textId="77777777" w:rsidR="00C04533" w:rsidRDefault="00C04533" w:rsidP="00C04533">
      <w:pPr>
        <w:pStyle w:val="TextoNormal"/>
      </w:pPr>
    </w:p>
    <w:p w14:paraId="7CB299C6" w14:textId="77777777" w:rsidR="00C04533" w:rsidRDefault="00C04533" w:rsidP="00C04533">
      <w:pPr>
        <w:pStyle w:val="TextoNormal"/>
      </w:pPr>
      <w:r w:rsidRPr="00C04533">
        <w:rPr>
          <w:rStyle w:val="NumeroAFNegritaCaracter"/>
        </w:rPr>
        <w:t>3</w:t>
      </w:r>
      <w:r>
        <w:t>. Por escrito de 5 de junio de 2023 se personaron en las actuaciones las mercantiles Buildingcenter, S.A.U., y Caixabank, S.A., representadas por el procurador de los tribunales don Miguel Ángel Montero Reiter y bajo la dirección del letrado don José Marí Olano.</w:t>
      </w:r>
    </w:p>
    <w:p w14:paraId="3A3AFC3C" w14:textId="77777777" w:rsidR="00C04533" w:rsidRDefault="00C04533" w:rsidP="00C04533">
      <w:pPr>
        <w:pStyle w:val="TextoNormal"/>
      </w:pPr>
    </w:p>
    <w:p w14:paraId="7AB13E5E" w14:textId="03EB6942" w:rsidR="00C04533" w:rsidRDefault="00C04533" w:rsidP="00C04533">
      <w:pPr>
        <w:pStyle w:val="TextoNormal"/>
      </w:pPr>
      <w:r>
        <w:t>El día 5 de septiembre de 2023 se presenta nuevo escrito de personación de Buildingcenter, S.A.U., bajo la representación del mismo procurador, pero con la asistencia técnica de la letrada doña María Victoria Martín de Lara.</w:t>
      </w:r>
    </w:p>
    <w:p w14:paraId="067324A8" w14:textId="77777777" w:rsidR="00C04533" w:rsidRDefault="00C04533" w:rsidP="00C04533">
      <w:pPr>
        <w:pStyle w:val="TextoNormal"/>
      </w:pPr>
    </w:p>
    <w:p w14:paraId="07965473" w14:textId="2D3280E4" w:rsidR="00C04533" w:rsidRDefault="00C04533" w:rsidP="00C04533">
      <w:pPr>
        <w:pStyle w:val="TextoNormal"/>
      </w:pPr>
      <w:r w:rsidRPr="00C04533">
        <w:rPr>
          <w:rStyle w:val="NumeroAFNegritaCaracter"/>
        </w:rPr>
        <w:t>4</w:t>
      </w:r>
      <w:r>
        <w:t>. Por auto de esta Sala ATC 428/2023, de 11 de septiembre, se acordó denegar las medidas cautelares interesadas por la representación de la parte recurrente.</w:t>
      </w:r>
    </w:p>
    <w:p w14:paraId="3A165003" w14:textId="77777777" w:rsidR="00C04533" w:rsidRDefault="00C04533" w:rsidP="00C04533">
      <w:pPr>
        <w:pStyle w:val="TextoNormal"/>
      </w:pPr>
    </w:p>
    <w:p w14:paraId="40EAB5B4" w14:textId="77777777" w:rsidR="00C04533" w:rsidRDefault="00C04533" w:rsidP="00C04533">
      <w:pPr>
        <w:pStyle w:val="TextoNormal"/>
      </w:pPr>
      <w:r w:rsidRPr="00C04533">
        <w:rPr>
          <w:rStyle w:val="NumeroAFNegritaCaracter"/>
        </w:rPr>
        <w:t>5</w:t>
      </w:r>
      <w:r>
        <w:t>. Por diligencia de ordenación de 21 de septiembre de 2023, se tuvo por personado y parte en el procedimiento al procurador don Miguel Ángel Montero Reiter, en nombre y representación de Buildingcenter, S.A.U., y Caixabank, S.A.</w:t>
      </w:r>
    </w:p>
    <w:p w14:paraId="2EA87782" w14:textId="77777777" w:rsidR="00C04533" w:rsidRDefault="00C04533" w:rsidP="00C04533">
      <w:pPr>
        <w:pStyle w:val="TextoNormal"/>
      </w:pPr>
    </w:p>
    <w:p w14:paraId="29DCAAEC" w14:textId="0DD48A9E" w:rsidR="00C04533" w:rsidRDefault="00C04533" w:rsidP="00C04533">
      <w:pPr>
        <w:pStyle w:val="TextoNormal"/>
      </w:pPr>
      <w:r>
        <w:t>Asimismo, se acordó dar vista de las actuaciones recibidas a las partes personadas y al Ministerio Fiscal por plazo común de veinte días, dentro de los cuales podrían presentar las alegaciones que estimaran pertinentes, conforme determina el art. 52.1 LOTC.</w:t>
      </w:r>
    </w:p>
    <w:p w14:paraId="1B252901" w14:textId="77777777" w:rsidR="00C04533" w:rsidRDefault="00C04533" w:rsidP="00C04533">
      <w:pPr>
        <w:pStyle w:val="TextoNormal"/>
      </w:pPr>
    </w:p>
    <w:p w14:paraId="2F715968" w14:textId="2A7FADD8" w:rsidR="00C04533" w:rsidRDefault="00C04533" w:rsidP="00C04533">
      <w:pPr>
        <w:pStyle w:val="TextoNormal"/>
      </w:pPr>
      <w:r w:rsidRPr="00C04533">
        <w:rPr>
          <w:rStyle w:val="NumeroAFNegritaCaracter"/>
        </w:rPr>
        <w:t>6</w:t>
      </w:r>
      <w:r>
        <w:t>. La representación procesal de la recurrente presentó escrito de alegaciones el 18 de octubre de 2023 ratificando íntegramente la demanda de amparo.</w:t>
      </w:r>
    </w:p>
    <w:p w14:paraId="625291F3" w14:textId="77777777" w:rsidR="00C04533" w:rsidRDefault="00C04533" w:rsidP="00C04533">
      <w:pPr>
        <w:pStyle w:val="TextoNormal"/>
      </w:pPr>
    </w:p>
    <w:p w14:paraId="57518D05" w14:textId="77777777" w:rsidR="00C04533" w:rsidRDefault="00C04533" w:rsidP="00C04533">
      <w:pPr>
        <w:pStyle w:val="TextoNormal"/>
      </w:pPr>
      <w:r w:rsidRPr="00C04533">
        <w:rPr>
          <w:rStyle w:val="NumeroAFNegritaCaracter"/>
        </w:rPr>
        <w:t>7</w:t>
      </w:r>
      <w:r>
        <w:t>. El 23 de octubre de 2023 la representación de Buildingcenter, S.A.U., y Caixabank, S.A., formuló alegaciones oponiéndose a la estimación de la demanda de amparo.</w:t>
      </w:r>
    </w:p>
    <w:p w14:paraId="6CA80BCA" w14:textId="77777777" w:rsidR="00C04533" w:rsidRDefault="00C04533" w:rsidP="00C04533">
      <w:pPr>
        <w:pStyle w:val="TextoNormal"/>
      </w:pPr>
    </w:p>
    <w:p w14:paraId="2722ED34" w14:textId="769FB47C" w:rsidR="00C04533" w:rsidRDefault="00C04533" w:rsidP="00C04533">
      <w:pPr>
        <w:pStyle w:val="TextoNormal"/>
      </w:pPr>
      <w:r>
        <w:t>Por distintas razones, en esa misma fecha, la representación procesal de Buildingcenter, S.A.U., formuló de nuevo alegaciones, solicitando la desestimación de la demanda de amparo.</w:t>
      </w:r>
    </w:p>
    <w:p w14:paraId="7A7A9AA6" w14:textId="77777777" w:rsidR="00C04533" w:rsidRDefault="00C04533" w:rsidP="00C04533">
      <w:pPr>
        <w:pStyle w:val="TextoNormal"/>
      </w:pPr>
    </w:p>
    <w:p w14:paraId="2B9EB0F9" w14:textId="01F7FF8D" w:rsidR="00C04533" w:rsidRDefault="00C04533" w:rsidP="00C04533">
      <w:pPr>
        <w:pStyle w:val="TextoNormal"/>
      </w:pPr>
      <w:r w:rsidRPr="00C04533">
        <w:rPr>
          <w:rStyle w:val="NumeroAFNegritaCaracter"/>
        </w:rPr>
        <w:t>8</w:t>
      </w:r>
      <w:r>
        <w:t>. El Ministerio Fiscal presentó su escrito de alegaciones ante este tribunal el día 10 de noviembre de 2023, solicitando la estimación del recurso de amparo.</w:t>
      </w:r>
    </w:p>
    <w:p w14:paraId="5F8DA394" w14:textId="77777777" w:rsidR="00C04533" w:rsidRDefault="00C04533" w:rsidP="00C04533">
      <w:pPr>
        <w:pStyle w:val="TextoNormal"/>
      </w:pPr>
    </w:p>
    <w:p w14:paraId="631C7C4F" w14:textId="56D9CC32" w:rsidR="00C04533" w:rsidRDefault="00C04533" w:rsidP="00C04533">
      <w:pPr>
        <w:pStyle w:val="TextoNormal"/>
      </w:pPr>
      <w:r w:rsidRPr="00C04533">
        <w:rPr>
          <w:rStyle w:val="NumeroAFNegritaCaracter"/>
        </w:rPr>
        <w:t>9</w:t>
      </w:r>
      <w:r>
        <w:t>. Los días 29 de enero y 1 de febrero de 2024, la representación procesal de la recurrente presentó sendos escritos solicitando de nuevo la medida cautelar de suspensión del procedimiento de desahucio indicado más arriba.</w:t>
      </w:r>
    </w:p>
    <w:p w14:paraId="2B6DEA60" w14:textId="77777777" w:rsidR="00C04533" w:rsidRDefault="00C04533" w:rsidP="00C04533">
      <w:pPr>
        <w:pStyle w:val="TextoNormal"/>
      </w:pPr>
    </w:p>
    <w:p w14:paraId="52885539" w14:textId="7E821268" w:rsidR="00C04533" w:rsidRDefault="00C04533" w:rsidP="00C04533">
      <w:pPr>
        <w:pStyle w:val="TextoNormal"/>
      </w:pPr>
      <w:r w:rsidRPr="00C04533">
        <w:rPr>
          <w:rStyle w:val="NumeroAFNegritaCaracter"/>
        </w:rPr>
        <w:t>10</w:t>
      </w:r>
      <w:r>
        <w:t>. Por providencia de 21 de marzo de 2024, la Sala Segunda del Tribunal Constitucional acordó formar pieza separada para la tramitación del incidente de suspensión y concedió tres días a las partes y al Ministerio Fiscal para que se pronunciaran sobre la suspensión del procedimiento de desahucio interesada.</w:t>
      </w:r>
    </w:p>
    <w:p w14:paraId="7AACE8D8" w14:textId="77777777" w:rsidR="00C04533" w:rsidRDefault="00C04533" w:rsidP="00C04533">
      <w:pPr>
        <w:pStyle w:val="TextoNormal"/>
      </w:pPr>
    </w:p>
    <w:p w14:paraId="472A0B9C" w14:textId="330C3025" w:rsidR="00C04533" w:rsidRDefault="00C04533" w:rsidP="00C04533">
      <w:pPr>
        <w:pStyle w:val="TextoNormal"/>
      </w:pPr>
      <w:r w:rsidRPr="00C04533">
        <w:rPr>
          <w:rStyle w:val="NumeroAFNegritaCaracter"/>
        </w:rPr>
        <w:t>11</w:t>
      </w:r>
      <w:r>
        <w:t>. Por escrito de 26 de marzo de 2024, la representación de Buildingcenter, S.A.U., manifestó su oposición a la solicitud de suspensión del procedimiento de desahucio.</w:t>
      </w:r>
    </w:p>
    <w:p w14:paraId="103EB766" w14:textId="77777777" w:rsidR="00C04533" w:rsidRDefault="00C04533" w:rsidP="00C04533">
      <w:pPr>
        <w:pStyle w:val="TextoNormal"/>
      </w:pPr>
    </w:p>
    <w:p w14:paraId="35C9CE86" w14:textId="42AC42BB" w:rsidR="00C04533" w:rsidRDefault="00C04533" w:rsidP="00C04533">
      <w:pPr>
        <w:pStyle w:val="TextoNormal"/>
      </w:pPr>
      <w:r w:rsidRPr="00C04533">
        <w:rPr>
          <w:rStyle w:val="NumeroAFNegritaCaracter"/>
        </w:rPr>
        <w:t>12</w:t>
      </w:r>
      <w:r>
        <w:t>. En esa misma fecha, la representación procesal de doña Olga Villanueva Illana puso en conocimiento del Tribunal que había alcanzado un acuerdo extrajudicial con el propietario de la vivienda y se había acordado suspender el desahucio, por lo que interesaba que se dejara sin efecto la medida interesada.</w:t>
      </w:r>
    </w:p>
    <w:p w14:paraId="4F704315" w14:textId="77777777" w:rsidR="00C04533" w:rsidRDefault="00C04533" w:rsidP="00C04533">
      <w:pPr>
        <w:pStyle w:val="TextoNormal"/>
      </w:pPr>
    </w:p>
    <w:p w14:paraId="0DF3C4CD" w14:textId="177E5616" w:rsidR="00C04533" w:rsidRDefault="00C04533" w:rsidP="00C04533">
      <w:pPr>
        <w:pStyle w:val="TextoNormal"/>
      </w:pPr>
      <w:r w:rsidRPr="00C04533">
        <w:rPr>
          <w:rStyle w:val="NumeroAFNegritaCaracter"/>
        </w:rPr>
        <w:t>13</w:t>
      </w:r>
      <w:r>
        <w:t>. El día 1 de abril de 2024 tuvo entrada en este tribunal escrito de alegaciones presentado por la representación procesal de Caixabank, S.A., en el que la parte se oponía igualmente a la adopción de la medida cautelar de suspensión interesada por la demandante de amparo.</w:t>
      </w:r>
    </w:p>
    <w:p w14:paraId="31B7336C" w14:textId="77777777" w:rsidR="00C04533" w:rsidRDefault="00C04533" w:rsidP="00C04533">
      <w:pPr>
        <w:pStyle w:val="TextoNormal"/>
      </w:pPr>
    </w:p>
    <w:p w14:paraId="18481368" w14:textId="201D47C9" w:rsidR="00C04533" w:rsidRDefault="00C04533" w:rsidP="00C04533">
      <w:pPr>
        <w:pStyle w:val="TextoNormal"/>
      </w:pPr>
      <w:r w:rsidRPr="00C04533">
        <w:rPr>
          <w:rStyle w:val="NumeroAFNegritaCaracter"/>
        </w:rPr>
        <w:t>14</w:t>
      </w:r>
      <w:r>
        <w:t>. El Ministerio Fiscal presentó escrito el 17 de abril de 2024 en el que, en atención a la petición formulada por la recurrente en su escrito de 26 de marzo, se solicitaba que se tuviera por desistida a esa parte de la medida cautelar solicitada.</w:t>
      </w:r>
    </w:p>
    <w:p w14:paraId="26FC0C5D" w14:textId="77777777" w:rsidR="00C04533" w:rsidRDefault="00C04533" w:rsidP="00C04533">
      <w:pPr>
        <w:pStyle w:val="TextoNormal"/>
      </w:pPr>
    </w:p>
    <w:p w14:paraId="111B6C73" w14:textId="641C2ABA" w:rsidR="00C04533" w:rsidRDefault="00C04533" w:rsidP="00C04533">
      <w:pPr>
        <w:pStyle w:val="TextoNormal"/>
      </w:pPr>
      <w:r w:rsidRPr="00C04533">
        <w:rPr>
          <w:rStyle w:val="NumeroAFNegritaCaracter"/>
        </w:rPr>
        <w:t>15</w:t>
      </w:r>
      <w:r>
        <w:t>. El 3 de mayo de 2024, la representación procesal de doña Olga Villanueva Illana presentó escrito comunicando que “renuncia expresamente” al presente recurso de amparo.</w:t>
      </w:r>
    </w:p>
    <w:p w14:paraId="42739AAD" w14:textId="77777777" w:rsidR="00C04533" w:rsidRDefault="00C04533" w:rsidP="00C04533">
      <w:pPr>
        <w:pStyle w:val="TextoNormal"/>
      </w:pPr>
    </w:p>
    <w:p w14:paraId="22F4E22F" w14:textId="2795E7D6" w:rsidR="00C04533" w:rsidRDefault="00C04533" w:rsidP="00C04533">
      <w:pPr>
        <w:pStyle w:val="TextoNormal"/>
      </w:pPr>
      <w:r w:rsidRPr="00C04533">
        <w:rPr>
          <w:rStyle w:val="NumeroAFNegritaCaracter"/>
        </w:rPr>
        <w:t>16</w:t>
      </w:r>
      <w:r>
        <w:t>. Por ATC 38/2024, de 6 de mayo, la Sala Segunda de este Tribunal Constitucional aceptó el desistimiento formulado por la representación procesal de la recurrente respecto de la suspensión cautelar del procedimiento de desahucio.</w:t>
      </w:r>
    </w:p>
    <w:p w14:paraId="3DAB0E47" w14:textId="77777777" w:rsidR="00C04533" w:rsidRDefault="00C04533" w:rsidP="00C04533">
      <w:pPr>
        <w:pStyle w:val="TextoNormal"/>
      </w:pPr>
    </w:p>
    <w:p w14:paraId="14167417" w14:textId="3C704C74" w:rsidR="00C04533" w:rsidRDefault="00C04533" w:rsidP="00C04533">
      <w:pPr>
        <w:pStyle w:val="TextoNormal"/>
      </w:pPr>
      <w:r w:rsidRPr="00C04533">
        <w:rPr>
          <w:rStyle w:val="NumeroAFNegritaCaracter"/>
        </w:rPr>
        <w:t>17</w:t>
      </w:r>
      <w:r>
        <w:t>. El 20 de mayo de 2024 compareció ante el Tribunal Constitucional doña Olga Villanueva Illana y ratificó el escrito de renuncia al recurso de amparo presentado por su representación procesal.</w:t>
      </w:r>
    </w:p>
    <w:p w14:paraId="030C404A" w14:textId="77777777" w:rsidR="00C04533" w:rsidRDefault="00C04533" w:rsidP="00C04533">
      <w:pPr>
        <w:pStyle w:val="TextoNormal"/>
      </w:pPr>
    </w:p>
    <w:p w14:paraId="2AD2BA83" w14:textId="7149F7EA" w:rsidR="00C04533" w:rsidRDefault="00C04533" w:rsidP="00C04533">
      <w:pPr>
        <w:pStyle w:val="TextoNormal"/>
      </w:pPr>
      <w:r w:rsidRPr="00C04533">
        <w:rPr>
          <w:rStyle w:val="NumeroAFNegritaCaracter"/>
        </w:rPr>
        <w:t>18</w:t>
      </w:r>
      <w:r>
        <w:t>. En esa misma fecha, la Sala Segunda del Tribunal Constitucional acordó dar vista al Ministerio Fiscal y a las partes personadas del escrito de desistimiento de la recurrente a fin de que en el plazo de tres días alegaran lo que estimaran conveniente.</w:t>
      </w:r>
    </w:p>
    <w:p w14:paraId="713C2667" w14:textId="77777777" w:rsidR="00C04533" w:rsidRDefault="00C04533" w:rsidP="00C04533">
      <w:pPr>
        <w:pStyle w:val="TextoNormal"/>
      </w:pPr>
    </w:p>
    <w:p w14:paraId="5657B8A6" w14:textId="7E53A459" w:rsidR="00C04533" w:rsidRDefault="00C04533" w:rsidP="00C04533">
      <w:pPr>
        <w:pStyle w:val="TextoNormal"/>
      </w:pPr>
      <w:r w:rsidRPr="00C04533">
        <w:rPr>
          <w:rStyle w:val="NumeroAFNegritaCaracter"/>
        </w:rPr>
        <w:t>19</w:t>
      </w:r>
      <w:r>
        <w:t>. La representación procesal de Buildingcenter, S.A.U., mostró su conformidad con dicho desistimiento por escrito de 22 de mayo de 2024.</w:t>
      </w:r>
    </w:p>
    <w:p w14:paraId="27C9206F" w14:textId="77777777" w:rsidR="00C04533" w:rsidRDefault="00C04533" w:rsidP="00C04533">
      <w:pPr>
        <w:pStyle w:val="TextoNormal"/>
      </w:pPr>
    </w:p>
    <w:p w14:paraId="6A6E5A76" w14:textId="26913FBA" w:rsidR="00C04533" w:rsidRDefault="00C04533" w:rsidP="00C04533">
      <w:pPr>
        <w:pStyle w:val="TextoNormal"/>
      </w:pPr>
      <w:r w:rsidRPr="00C04533">
        <w:rPr>
          <w:rStyle w:val="NumeroAFNegritaCaracter"/>
        </w:rPr>
        <w:t>20</w:t>
      </w:r>
      <w:r>
        <w:t>. El siguiente 23 de mayo manifestó su conformidad la representación procesal de Caixabank, S.A.</w:t>
      </w:r>
    </w:p>
    <w:p w14:paraId="08ABFCAA" w14:textId="77777777" w:rsidR="00C04533" w:rsidRDefault="00C04533" w:rsidP="00C04533">
      <w:pPr>
        <w:pStyle w:val="TextoNormal"/>
      </w:pPr>
    </w:p>
    <w:p w14:paraId="70BC6D30" w14:textId="07B5BD4E" w:rsidR="00C04533" w:rsidRDefault="00C04533" w:rsidP="00C04533">
      <w:pPr>
        <w:pStyle w:val="TextoNormal"/>
      </w:pPr>
      <w:r w:rsidRPr="00C04533">
        <w:rPr>
          <w:rStyle w:val="NumeroAFNegritaCaracter"/>
        </w:rPr>
        <w:t>21</w:t>
      </w:r>
      <w:r>
        <w:t>. El Ministerio Fiscal interesó que se tuviera por desistida a la parte recurrente y se acordara la finalización del presente recurso de amparo por escrito de 6 de junio de 2024.</w:t>
      </w:r>
    </w:p>
    <w:p w14:paraId="5194FAF9" w14:textId="77777777" w:rsidR="00C04533" w:rsidRDefault="00C04533" w:rsidP="00C04533">
      <w:pPr>
        <w:pStyle w:val="TextoNormal"/>
      </w:pPr>
    </w:p>
    <w:p w14:paraId="4C65B9C0" w14:textId="77777777" w:rsidR="00C04533" w:rsidRDefault="00C04533" w:rsidP="00C04533">
      <w:pPr>
        <w:pStyle w:val="TextoNormalNegritaCentrado"/>
        <w:keepNext/>
      </w:pPr>
      <w:r>
        <w:t>II. Fundamentos jurídicos</w:t>
      </w:r>
    </w:p>
    <w:p w14:paraId="7E3D4B1B" w14:textId="107750DC" w:rsidR="00C04533" w:rsidRDefault="00C04533" w:rsidP="00C04533">
      <w:pPr>
        <w:pStyle w:val="TextoNormalNegritaCentrado"/>
        <w:keepNext/>
      </w:pPr>
    </w:p>
    <w:p w14:paraId="1F6501D6" w14:textId="77777777" w:rsidR="00C04533" w:rsidRDefault="00C04533" w:rsidP="00C04533">
      <w:pPr>
        <w:pStyle w:val="TextoNormal"/>
      </w:pPr>
      <w:r w:rsidRPr="00C04533">
        <w:rPr>
          <w:rStyle w:val="TextoNormalNegritaCaracter"/>
        </w:rPr>
        <w:t xml:space="preserve">Único. </w:t>
      </w:r>
      <w:r>
        <w:t>Entre las formas de terminación del recurso de amparo se encuentra el desistimiento, prevista en el art. 86.1 LOTC y a la que es de aplicación supletoria la legislación procesal ordinaria (art. 80 LOTC), que la regula en los arts. 19.1 y 20, apartados segundo y tercero, de la Ley de enjuiciamiento civil.</w:t>
      </w:r>
    </w:p>
    <w:p w14:paraId="1922932E" w14:textId="77777777" w:rsidR="00C04533" w:rsidRDefault="00C04533" w:rsidP="00C04533">
      <w:pPr>
        <w:pStyle w:val="TextoNormal"/>
      </w:pPr>
    </w:p>
    <w:p w14:paraId="094D9DE4" w14:textId="77777777" w:rsidR="00C04533" w:rsidRDefault="00C04533" w:rsidP="00C04533">
      <w:pPr>
        <w:pStyle w:val="TextoNormal"/>
      </w:pPr>
      <w:r>
        <w:t>En virtud de dichos preceptos legales puede considerarse como forma admitida para poner fin a un proceso de amparo, total o parcialmente, la manifestación de la voluntad de desistir por parte de su promotor, siempre que las partes personadas presten su conformidad al desistimiento o no se opusieren a él dentro del plazo conferido a tal efecto.</w:t>
      </w:r>
    </w:p>
    <w:p w14:paraId="30988E3B" w14:textId="77777777" w:rsidR="00C04533" w:rsidRDefault="00C04533" w:rsidP="00C04533">
      <w:pPr>
        <w:pStyle w:val="TextoNormal"/>
      </w:pPr>
    </w:p>
    <w:p w14:paraId="70AC9061" w14:textId="77777777" w:rsidR="00C04533" w:rsidRDefault="00C04533" w:rsidP="00C04533">
      <w:pPr>
        <w:pStyle w:val="TextoNormal"/>
      </w:pPr>
      <w:r>
        <w:t>En el caso presente, la pretensión de desistimiento analizada aparece revestida de los requisitos legales precisos, constando la ratificación personal de la demandante de amparo de la petición de desistimiento y archivo formulada por su representación procesal, habiendo mostrado su conformidad el Ministerio Fiscal y las partes personadas. Además, no se aprecia que su aceptación produzca perjuicio de parte ni daño para el interés general o público.</w:t>
      </w:r>
    </w:p>
    <w:p w14:paraId="572222BB" w14:textId="77777777" w:rsidR="00C04533" w:rsidRDefault="00C04533" w:rsidP="00C04533">
      <w:pPr>
        <w:pStyle w:val="TextoNormal"/>
      </w:pPr>
    </w:p>
    <w:p w14:paraId="0BB8B4BA" w14:textId="539B3666" w:rsidR="00C04533" w:rsidRDefault="00C04533" w:rsidP="00C04533">
      <w:pPr>
        <w:pStyle w:val="TextoNormal"/>
      </w:pPr>
      <w:r>
        <w:t>Consecuentemente, procede acceder al desistimiento solicitado.</w:t>
      </w:r>
    </w:p>
    <w:p w14:paraId="2AB57A42" w14:textId="77777777" w:rsidR="00C04533" w:rsidRDefault="00C04533" w:rsidP="00C04533">
      <w:pPr>
        <w:pStyle w:val="TextoNormal"/>
      </w:pPr>
    </w:p>
    <w:p w14:paraId="1E24C5A2" w14:textId="77777777" w:rsidR="00C04533" w:rsidRDefault="00C04533" w:rsidP="00C04533">
      <w:pPr>
        <w:pStyle w:val="TextoNormal"/>
      </w:pPr>
      <w:r>
        <w:t>Por lo expuesto, la Sala</w:t>
      </w:r>
    </w:p>
    <w:p w14:paraId="57C747BE" w14:textId="13181686" w:rsidR="00C04533" w:rsidRDefault="00C04533" w:rsidP="00C04533">
      <w:pPr>
        <w:pStyle w:val="TextoNormal"/>
      </w:pPr>
    </w:p>
    <w:p w14:paraId="73A1A125" w14:textId="77777777" w:rsidR="00C04533" w:rsidRDefault="00C04533" w:rsidP="00C04533">
      <w:pPr>
        <w:pStyle w:val="TextoNormalCentrado"/>
      </w:pPr>
      <w:r>
        <w:t>ACUERDA</w:t>
      </w:r>
    </w:p>
    <w:p w14:paraId="72AE49C5" w14:textId="2350F3B1" w:rsidR="00C04533" w:rsidRDefault="00C04533" w:rsidP="00C04533">
      <w:pPr>
        <w:pStyle w:val="TextoNormalCentrado"/>
      </w:pPr>
    </w:p>
    <w:p w14:paraId="3256C55A" w14:textId="45DDD939" w:rsidR="00C04533" w:rsidRDefault="00C04533" w:rsidP="00C04533">
      <w:pPr>
        <w:pStyle w:val="TextoNormal"/>
      </w:pPr>
      <w:r>
        <w:t>Tener por desistida del presente recurso de amparo a doña Olga Villanueva Illana y ordenar el archivo de las actuaciones.</w:t>
      </w:r>
    </w:p>
    <w:p w14:paraId="2AAD7B53" w14:textId="77777777" w:rsidR="00C04533" w:rsidRDefault="00C04533" w:rsidP="00C04533">
      <w:pPr>
        <w:pStyle w:val="TextoNormal"/>
      </w:pPr>
    </w:p>
    <w:p w14:paraId="72E83787" w14:textId="77777777" w:rsidR="00C04533" w:rsidRDefault="00C04533" w:rsidP="00C04533">
      <w:pPr>
        <w:pStyle w:val="TextoNormal"/>
      </w:pPr>
      <w:r>
        <w:t>Madrid, a nueve de septiembre de dos mil veinticuatro.</w:t>
      </w:r>
    </w:p>
    <w:p w14:paraId="13132305" w14:textId="6033245F" w:rsidR="00C04533" w:rsidRDefault="00C04533">
      <w:pPr>
        <w:spacing w:after="160" w:line="278" w:lineRule="auto"/>
        <w:rPr>
          <w:rFonts w:ascii="Times New Roman" w:eastAsia="Times New Roman" w:hAnsi="Times New Roman" w:cs="Times New Roman"/>
          <w:sz w:val="24"/>
          <w:szCs w:val="24"/>
          <w:lang w:eastAsia="es-ES"/>
        </w:rPr>
      </w:pPr>
      <w:r>
        <w:br w:type="page"/>
      </w:r>
    </w:p>
    <w:p w14:paraId="0B7BE70D" w14:textId="77777777" w:rsidR="00C04533" w:rsidRDefault="00C04533" w:rsidP="00C04533">
      <w:pPr>
        <w:pStyle w:val="TtuloResolucin"/>
      </w:pPr>
      <w:bookmarkStart w:id="82" w:name="AUTO_2024_76"/>
      <w:r>
        <w:t>AUTO 76/2024, de 9 de septiembre de 2024</w:t>
      </w:r>
    </w:p>
    <w:bookmarkEnd w:id="82"/>
    <w:p w14:paraId="06D96DC9" w14:textId="77777777" w:rsidR="00C04533" w:rsidRDefault="00C04533" w:rsidP="00C04533">
      <w:pPr>
        <w:pStyle w:val="TtuloResolucin"/>
      </w:pPr>
      <w:r>
        <w:t>Sala Primera</w:t>
      </w:r>
    </w:p>
    <w:p w14:paraId="2F66A7DE" w14:textId="77777777" w:rsidR="00C04533" w:rsidRDefault="00C04533" w:rsidP="00C04533">
      <w:pPr>
        <w:pStyle w:val="TextoNormalCentrado"/>
      </w:pPr>
      <w:r>
        <w:t>ECLI:ES:TC:2024:76A</w:t>
      </w:r>
    </w:p>
    <w:p w14:paraId="10683D86" w14:textId="0A0CFD86" w:rsidR="00C04533" w:rsidRDefault="00C04533" w:rsidP="00C04533">
      <w:pPr>
        <w:pStyle w:val="TextoNormalCentrado"/>
      </w:pPr>
    </w:p>
    <w:p w14:paraId="0885C201" w14:textId="77777777" w:rsidR="00C04533" w:rsidRDefault="00C04533" w:rsidP="00C04533">
      <w:pPr>
        <w:pStyle w:val="SntesisDescriptiva"/>
      </w:pPr>
      <w:r>
        <w:t>Excms. Srs. don Ricardo Enríquez Sancho, doña Concepción Espejel Jorquera, doña María Luisa Segoviano Astaburuaga y don Juan Carlos Campo Moreno.</w:t>
      </w:r>
    </w:p>
    <w:p w14:paraId="6789B699" w14:textId="292EEEA4" w:rsidR="00C04533" w:rsidRDefault="00C04533" w:rsidP="00C04533">
      <w:pPr>
        <w:pStyle w:val="SntesisDescriptiva"/>
      </w:pPr>
    </w:p>
    <w:p w14:paraId="461D68CF" w14:textId="77777777" w:rsidR="00C04533" w:rsidRDefault="00C04533" w:rsidP="00C04533">
      <w:pPr>
        <w:pStyle w:val="SntesisDescriptiva"/>
      </w:pPr>
      <w:r>
        <w:t>Acepta una abstención en el recurso de amparo 2394-2022, promovido por doña Pilar Gismera Catalinas en proceso contencioso administrativo.</w:t>
      </w:r>
    </w:p>
    <w:p w14:paraId="12CBCF7C" w14:textId="2FE382CB" w:rsidR="00C04533" w:rsidRDefault="00C04533" w:rsidP="00C04533">
      <w:pPr>
        <w:pStyle w:val="SntesisDescriptiva"/>
      </w:pPr>
    </w:p>
    <w:p w14:paraId="557BB8E2" w14:textId="77777777" w:rsidR="00C04533" w:rsidRDefault="00C04533" w:rsidP="00C04533">
      <w:pPr>
        <w:pStyle w:val="SntesisDescriptiva"/>
      </w:pPr>
    </w:p>
    <w:p w14:paraId="2B81F1DB" w14:textId="77777777" w:rsidR="00C04533" w:rsidRDefault="00C04533" w:rsidP="00C04533">
      <w:pPr>
        <w:pStyle w:val="SntesisDescriptiva"/>
      </w:pPr>
    </w:p>
    <w:p w14:paraId="57FDFC6A" w14:textId="77777777" w:rsidR="00C04533" w:rsidRDefault="00C04533" w:rsidP="00C04533">
      <w:pPr>
        <w:pStyle w:val="TextoNormalNegritaCentrado"/>
      </w:pPr>
      <w:r>
        <w:t>AUTO</w:t>
      </w:r>
    </w:p>
    <w:p w14:paraId="4979F220" w14:textId="664AA08C" w:rsidR="00C04533" w:rsidRDefault="00C04533" w:rsidP="00C04533">
      <w:pPr>
        <w:pStyle w:val="TextoNormalNegritaCentrado"/>
      </w:pPr>
    </w:p>
    <w:p w14:paraId="64C9ADA2" w14:textId="77777777" w:rsidR="00C04533" w:rsidRDefault="00C04533" w:rsidP="00C04533">
      <w:pPr>
        <w:pStyle w:val="TextoNormalNegritaCentrado"/>
        <w:keepNext/>
      </w:pPr>
      <w:r>
        <w:t>I. Antecedentes</w:t>
      </w:r>
    </w:p>
    <w:p w14:paraId="06B3C0D8" w14:textId="38F9DE15" w:rsidR="00C04533" w:rsidRDefault="00C04533" w:rsidP="00C04533">
      <w:pPr>
        <w:pStyle w:val="TextoNormalNegritaCentrado"/>
        <w:keepNext/>
      </w:pPr>
    </w:p>
    <w:p w14:paraId="62BEECDB" w14:textId="77777777" w:rsidR="00C04533" w:rsidRDefault="00C04533" w:rsidP="00C04533">
      <w:pPr>
        <w:pStyle w:val="TextoNormal"/>
      </w:pPr>
      <w:r w:rsidRPr="00C04533">
        <w:rPr>
          <w:rStyle w:val="TextoNormalNegritaCaracter"/>
        </w:rPr>
        <w:t xml:space="preserve">Único. </w:t>
      </w:r>
      <w:r>
        <w:t>En el recurso de amparo núm. 2394-2022 se impugnan la sentencia núm. 1413/2021, de 1 de diciembre, y la providencia de 17 de febrero de 2022, dictadas por la Sección Sexta de la Sala de lo Contencioso-Administrativo del Tribunal Supremo en el recurso contencioso administrativo interpuesto frente a la resolución de 25 de junio de 2020 dictada por el Pleno del Consejo General del Poder Judicial que desestimó el recurso de alzada núm. 365-2019 interpuesto contra la resolución de la comisión disciplinaria del indicado órgano constitucional de 17 de julio de 2019 recaída en el expediente núm. 9-2019.</w:t>
      </w:r>
    </w:p>
    <w:p w14:paraId="5385F6B9" w14:textId="77777777" w:rsidR="00C04533" w:rsidRDefault="00C04533" w:rsidP="00C04533">
      <w:pPr>
        <w:pStyle w:val="TextoNormal"/>
      </w:pPr>
    </w:p>
    <w:p w14:paraId="080360E4" w14:textId="0672481E" w:rsidR="00C04533" w:rsidRDefault="00C04533" w:rsidP="00C04533">
      <w:pPr>
        <w:pStyle w:val="TextoNormal"/>
      </w:pPr>
      <w:r>
        <w:t>Mediante escrito de 2 de septiembre de 2024 el magistrado don José María Macías Castaño comunicó a los efectos oportunos que se abstenía de intervenir en el antes indicado recurso de amparo, de conformidad con el art. 80 de la Ley Orgánica del Tribunal Constitucional, por concurrir la causa de abstención prevista en el artículo 219.13 de la Ley Orgánica del Poder Judicial.</w:t>
      </w:r>
    </w:p>
    <w:p w14:paraId="2491E795" w14:textId="77777777" w:rsidR="00C04533" w:rsidRDefault="00C04533" w:rsidP="00C04533">
      <w:pPr>
        <w:pStyle w:val="TextoNormal"/>
      </w:pPr>
    </w:p>
    <w:p w14:paraId="4AFD08B4" w14:textId="77777777" w:rsidR="00C04533" w:rsidRDefault="00C04533" w:rsidP="00C04533">
      <w:pPr>
        <w:pStyle w:val="TextoNormalNegritaCentrado"/>
        <w:keepNext/>
      </w:pPr>
      <w:r>
        <w:t>II. Fundamentos jurídicos</w:t>
      </w:r>
    </w:p>
    <w:p w14:paraId="75E07DDA" w14:textId="4048FC1F" w:rsidR="00C04533" w:rsidRDefault="00C04533" w:rsidP="00C04533">
      <w:pPr>
        <w:pStyle w:val="TextoNormalNegritaCentrado"/>
        <w:keepNext/>
      </w:pPr>
    </w:p>
    <w:p w14:paraId="3486E91E" w14:textId="317B18B7" w:rsidR="00C04533" w:rsidRDefault="00C04533" w:rsidP="00C04533">
      <w:pPr>
        <w:pStyle w:val="TextoNormal"/>
      </w:pPr>
      <w:r w:rsidRPr="00C04533">
        <w:rPr>
          <w:rStyle w:val="TextoNormalNegritaCaracter"/>
        </w:rPr>
        <w:t xml:space="preserve">Único. </w:t>
      </w:r>
      <w:r>
        <w:t>Vista la comunicación efectuada por don José María Macías Castaño, magistrado de esta Sala Primera del Tribunal Constitucional, la Sala, en virtud de lo previsto en el art. 219.13 LOPJ, supletoria de la Ley Orgánica del Tribunal Constitucional (art. 80), estima justificada la causa de abstención formulada.</w:t>
      </w:r>
    </w:p>
    <w:p w14:paraId="12464674" w14:textId="77777777" w:rsidR="00C04533" w:rsidRDefault="00C04533" w:rsidP="00C04533">
      <w:pPr>
        <w:pStyle w:val="TextoNormal"/>
      </w:pPr>
    </w:p>
    <w:p w14:paraId="214BDFAE" w14:textId="77777777" w:rsidR="00C04533" w:rsidRDefault="00C04533" w:rsidP="00C04533">
      <w:pPr>
        <w:pStyle w:val="TextoNormal"/>
      </w:pPr>
      <w:r>
        <w:t>Por lo expuesto, la Sala</w:t>
      </w:r>
    </w:p>
    <w:p w14:paraId="5F61A935" w14:textId="40A5521C" w:rsidR="00C04533" w:rsidRDefault="00C04533" w:rsidP="00C04533">
      <w:pPr>
        <w:pStyle w:val="TextoNormal"/>
      </w:pPr>
    </w:p>
    <w:p w14:paraId="29BF929D" w14:textId="77777777" w:rsidR="00C04533" w:rsidRDefault="00C04533" w:rsidP="00C04533">
      <w:pPr>
        <w:pStyle w:val="TextoNormalCentrado"/>
      </w:pPr>
      <w:r>
        <w:t>ACUERDA</w:t>
      </w:r>
    </w:p>
    <w:p w14:paraId="334B827D" w14:textId="72D9D4A4" w:rsidR="00C04533" w:rsidRDefault="00C04533" w:rsidP="00C04533">
      <w:pPr>
        <w:pStyle w:val="TextoNormalCentrado"/>
      </w:pPr>
    </w:p>
    <w:p w14:paraId="260F4500" w14:textId="32D6DF3A" w:rsidR="00C04533" w:rsidRDefault="00C04533" w:rsidP="00C04533">
      <w:pPr>
        <w:pStyle w:val="TextoNormal"/>
      </w:pPr>
      <w:r>
        <w:t>Estimar justificada la abstención formulada por el magistrado don José María Macías Castaño en el recurso de amparo núm. 2394-2022, apartándole definitivamente del conocimiento del referido recurso y de todas sus incidencias.</w:t>
      </w:r>
    </w:p>
    <w:p w14:paraId="10BA8DA2" w14:textId="77777777" w:rsidR="00C04533" w:rsidRDefault="00C04533" w:rsidP="00C04533">
      <w:pPr>
        <w:pStyle w:val="TextoNormal"/>
      </w:pPr>
    </w:p>
    <w:p w14:paraId="1859EFB6" w14:textId="77777777" w:rsidR="00C04533" w:rsidRDefault="00C04533" w:rsidP="00C04533">
      <w:pPr>
        <w:pStyle w:val="TextoNormal"/>
      </w:pPr>
      <w:r>
        <w:t>Madrid, a nueve de septiembre de dos mil veinticuatro.</w:t>
      </w:r>
    </w:p>
    <w:p w14:paraId="3BA640CA" w14:textId="74105A46" w:rsidR="00C04533" w:rsidRDefault="00C04533">
      <w:pPr>
        <w:spacing w:after="160" w:line="278" w:lineRule="auto"/>
        <w:rPr>
          <w:rFonts w:ascii="Times New Roman" w:eastAsia="Times New Roman" w:hAnsi="Times New Roman" w:cs="Times New Roman"/>
          <w:sz w:val="24"/>
          <w:szCs w:val="24"/>
          <w:lang w:eastAsia="es-ES"/>
        </w:rPr>
      </w:pPr>
      <w:r>
        <w:br w:type="page"/>
      </w:r>
    </w:p>
    <w:p w14:paraId="3331F255" w14:textId="77777777" w:rsidR="00C04533" w:rsidRDefault="00C04533" w:rsidP="00C04533">
      <w:pPr>
        <w:pStyle w:val="TtuloResolucin"/>
      </w:pPr>
      <w:bookmarkStart w:id="83" w:name="AUTO_2024_77"/>
      <w:r>
        <w:t>AUTO 77/2024, de 9 de septiembre de 2024</w:t>
      </w:r>
    </w:p>
    <w:bookmarkEnd w:id="83"/>
    <w:p w14:paraId="501FFF28" w14:textId="77777777" w:rsidR="00C04533" w:rsidRDefault="00C04533" w:rsidP="00C04533">
      <w:pPr>
        <w:pStyle w:val="TtuloResolucin"/>
      </w:pPr>
      <w:r>
        <w:t>Sala Segunda</w:t>
      </w:r>
    </w:p>
    <w:p w14:paraId="78172ACB" w14:textId="77777777" w:rsidR="00C04533" w:rsidRDefault="00C04533" w:rsidP="00C04533">
      <w:pPr>
        <w:pStyle w:val="TextoNormalCentrado"/>
      </w:pPr>
      <w:r>
        <w:t>ECLI:ES:TC:2024:77A</w:t>
      </w:r>
    </w:p>
    <w:p w14:paraId="0734B3E0" w14:textId="0BE555BF" w:rsidR="00C04533" w:rsidRDefault="00C04533" w:rsidP="00C04533">
      <w:pPr>
        <w:pStyle w:val="TextoNormalCentrado"/>
      </w:pPr>
    </w:p>
    <w:p w14:paraId="27DDADA9" w14:textId="77777777" w:rsidR="00C04533" w:rsidRDefault="00C04533" w:rsidP="00C04533">
      <w:pPr>
        <w:pStyle w:val="SntesisDescriptiva"/>
      </w:pPr>
      <w:r>
        <w:t>Excms. Srs. doña Inmaculada Montalbán Huertas, doña María Luisa Balaguer Callejón, don Enrique Arnaldo Alcubilla, don César Tolosa Tribiño y doña Laura Díez Bueso.</w:t>
      </w:r>
    </w:p>
    <w:p w14:paraId="6F842F5D" w14:textId="3D19F520" w:rsidR="00C04533" w:rsidRDefault="00C04533" w:rsidP="00C04533">
      <w:pPr>
        <w:pStyle w:val="SntesisDescriptiva"/>
      </w:pPr>
    </w:p>
    <w:p w14:paraId="22A058E6" w14:textId="77777777" w:rsidR="00C04533" w:rsidRDefault="00C04533" w:rsidP="00C04533">
      <w:pPr>
        <w:pStyle w:val="SntesisDescriptiva"/>
      </w:pPr>
      <w:r>
        <w:t>Deniega la suspensión en el recurso de amparo 7511-2023, promovido por la Editorial Prensa Asturiana, S.A.U., en pleito civil.</w:t>
      </w:r>
    </w:p>
    <w:p w14:paraId="08F6BA26" w14:textId="7C4FF614" w:rsidR="00C04533" w:rsidRDefault="00C04533" w:rsidP="00C04533">
      <w:pPr>
        <w:pStyle w:val="SntesisDescriptiva"/>
      </w:pPr>
    </w:p>
    <w:p w14:paraId="38860C81" w14:textId="77777777" w:rsidR="00C04533" w:rsidRDefault="00C04533" w:rsidP="00C04533">
      <w:pPr>
        <w:pStyle w:val="SntesisDescriptiva"/>
      </w:pPr>
    </w:p>
    <w:p w14:paraId="0826F44F" w14:textId="77777777" w:rsidR="00C04533" w:rsidRDefault="00C04533" w:rsidP="00C04533">
      <w:pPr>
        <w:pStyle w:val="SntesisDescriptiva"/>
      </w:pPr>
    </w:p>
    <w:p w14:paraId="16FD467B" w14:textId="77777777" w:rsidR="00C04533" w:rsidRDefault="00C04533" w:rsidP="00C04533">
      <w:pPr>
        <w:pStyle w:val="TextoNormalNegritaCentrado"/>
      </w:pPr>
      <w:r>
        <w:t>AUTO</w:t>
      </w:r>
    </w:p>
    <w:p w14:paraId="6343EAE2" w14:textId="3F96CB2D" w:rsidR="00C04533" w:rsidRDefault="00C04533" w:rsidP="00C04533">
      <w:pPr>
        <w:pStyle w:val="TextoNormalNegritaCentrado"/>
      </w:pPr>
    </w:p>
    <w:p w14:paraId="1644297E" w14:textId="77777777" w:rsidR="00C04533" w:rsidRDefault="00C04533" w:rsidP="00C04533">
      <w:pPr>
        <w:pStyle w:val="TextoNormalNegritaCentrado"/>
        <w:keepNext/>
      </w:pPr>
      <w:r>
        <w:t>I. Antecedentes</w:t>
      </w:r>
    </w:p>
    <w:p w14:paraId="0B21319A" w14:textId="1378A44F" w:rsidR="00C04533" w:rsidRDefault="00C04533" w:rsidP="00C04533">
      <w:pPr>
        <w:pStyle w:val="TextoNormalNegritaCentrado"/>
        <w:keepNext/>
      </w:pPr>
    </w:p>
    <w:p w14:paraId="33141528" w14:textId="539CE1F6" w:rsidR="00C04533" w:rsidRDefault="00C04533" w:rsidP="00C04533">
      <w:pPr>
        <w:pStyle w:val="TextoNormal"/>
      </w:pPr>
      <w:r w:rsidRPr="00C04533">
        <w:rPr>
          <w:rStyle w:val="NumeroAFNegritaCaracter"/>
        </w:rPr>
        <w:t>1</w:t>
      </w:r>
      <w:r>
        <w:t>. El día 28 de noviembre de 2023, Editorial Prensa Asturiana, S.A.U., representada por la procuradora de los tribunales, doña Patricia Gómez Martínez, asistida por el letrado don Ramón Luis García García, interpuso recurso de amparo contra la sentencia núm. 1223/2023, de 13 de septiembre, de la Sala de lo Civil del Tribunal Supremo, y su providencia de 13 de noviembre de 2023.</w:t>
      </w:r>
    </w:p>
    <w:p w14:paraId="37C84233" w14:textId="77777777" w:rsidR="00C04533" w:rsidRDefault="00C04533" w:rsidP="00C04533">
      <w:pPr>
        <w:pStyle w:val="TextoNormal"/>
      </w:pPr>
    </w:p>
    <w:p w14:paraId="5F87AF80" w14:textId="77777777" w:rsidR="00C04533" w:rsidRDefault="00C04533" w:rsidP="00C04533">
      <w:pPr>
        <w:pStyle w:val="TextoNormal"/>
      </w:pPr>
      <w:r w:rsidRPr="00C04533">
        <w:rPr>
          <w:rStyle w:val="NumeroAFNegritaCaracter"/>
        </w:rPr>
        <w:t>2</w:t>
      </w:r>
      <w:r>
        <w:t>. Los hechos relevantes son los siguientes:</w:t>
      </w:r>
    </w:p>
    <w:p w14:paraId="75F2E6E9" w14:textId="77777777" w:rsidR="00C04533" w:rsidRDefault="00C04533" w:rsidP="00C04533">
      <w:pPr>
        <w:pStyle w:val="TextoNormal"/>
      </w:pPr>
    </w:p>
    <w:p w14:paraId="3DEA3042" w14:textId="77777777" w:rsidR="00C04533" w:rsidRDefault="00C04533" w:rsidP="00C04533">
      <w:pPr>
        <w:pStyle w:val="TextoNormal"/>
      </w:pPr>
      <w:r>
        <w:t>a) El diario “La Nueva España” en su versión digital difundió un vídeo reportaje elaborado por la agencia de noticias Atlas en el que se informaba sobre la noticia del asesinato de un recluso en la cárcel de Soto del Real cometido por un boxeador apodado “el Nene”, también recluso de esta prisión, el 26 de diciembre de 2018. El titular de la noticia era “‘El Nene’ mata a golpes a un traficante de drogas por una litera”, y la noticia se ilustraba con un vídeo de ochenta y dos segundos en el que, durante cuatro segundos, aparecía por error la imagen de don Cristian Opazos Menor, boxeador aficionado, y también recluso de la misma cárcel, en lugar de la imagen del autor de los hechos, que aparecía en el resto del vídeo. Aunque, efectivamente, se trataba de una persona distinta, a simple vista guardaban cierto parecido físico (complexión, corte de pelo, color de piel, etc.).</w:t>
      </w:r>
    </w:p>
    <w:p w14:paraId="23FAA60A" w14:textId="77777777" w:rsidR="00C04533" w:rsidRDefault="00C04533" w:rsidP="00C04533">
      <w:pPr>
        <w:pStyle w:val="TextoNormal"/>
      </w:pPr>
    </w:p>
    <w:p w14:paraId="5792C752" w14:textId="77777777" w:rsidR="00C04533" w:rsidRDefault="00C04533" w:rsidP="00C04533">
      <w:pPr>
        <w:pStyle w:val="TextoNormal"/>
      </w:pPr>
      <w:r>
        <w:t>b) Don Cristian Opazos Menor formuló demanda contra el diario “La Nueva España”, de la que es titular la mercantil Editorial Prensa Asturiana, S.A., en ejercicio de acción de tutela civil del derecho al honor y a la propia imagen por la intromisión ilegítima en tales derechos, al haberse introducido erróneamente imágenes del demandante en el vídeo antes descrito.</w:t>
      </w:r>
    </w:p>
    <w:p w14:paraId="4A311F2A" w14:textId="77777777" w:rsidR="00C04533" w:rsidRDefault="00C04533" w:rsidP="00C04533">
      <w:pPr>
        <w:pStyle w:val="TextoNormal"/>
      </w:pPr>
    </w:p>
    <w:p w14:paraId="09243F29" w14:textId="77777777" w:rsidR="00C04533" w:rsidRDefault="00C04533" w:rsidP="00C04533">
      <w:pPr>
        <w:pStyle w:val="TextoNormal"/>
      </w:pPr>
      <w:r>
        <w:t>c) El Juzgado de Primera Instancia núm. 6 de L’Hospitalet de Llobregat dictó sentencia el 11 de febrero de 2021 por la que desestimó la demanda. Razona la sentencia que, siguiendo la jurisprudencia del Tribunal Supremo, la libertad de información, cuando comporta la transmisión de noticias que redundan en descrédito de la persona, para que pueda prevalecer sobre el derecho al honor exige que se cumpla el requisito de veracidad. La veracidad va unida a una razonable diligencia por parte del informador para contrastar la noticia de acuerdo con pautas profesionales, ajustándose a las circunstancias del caso, aun cuando la información posteriormente sea desmentida (SSTC 139/2007, de 4 de junio, y 29/2009, de 26 de enero). El deber de diligencia del informador varía en función de que presente la noticia como comunicación neutra (reportaje neutral), en cuanto procedente de la originaria información de otro medio de comunicación o fuente informativa, de la que simplemente da traslado, o que lo haga como una información asumida por el medio, y su autor como propia. En el segundo caso, la diligencia no admite atenuación, pero en el primer caso, basta con constatar la verdad del hecho de la declaración, sin necesidad de constatar la verdad de lo declarado, porque tal responsabilidad solo sería exigible por lo general al autor de la declaración. Tras exponer la jurisprudencia relativa al reportaje neutral, concluye que en este caso queda acreditado que el diario se limitó a reproducir la noticia remitida por la agencia de noticias Atlas, perteneciente al grupo Mediaset España, S.A., indicando al pie de la noticia la fuente de la información. La demandada se hizo eco, sin reelaborarla, de la noticia remitida por una agencia con expresa indicación de su procedencia y con apariencia de veracidad. No puede imputarse al medio receptor falta de diligencia por haber podido existir indicios racionales y evidentes de que la noticia podía ser falsa en cuanto a la identidad del autor del hecho. La noticia resultaba completamente creíble y no consta ni hay razón para pensarlo, que la demandada conociera o fuera consciente de la falsedad por error del contenido de la noticia en cuanto al equívoco respecto de la persona que ilustra.</w:t>
      </w:r>
    </w:p>
    <w:p w14:paraId="3120D8F9" w14:textId="77777777" w:rsidR="00C04533" w:rsidRDefault="00C04533" w:rsidP="00C04533">
      <w:pPr>
        <w:pStyle w:val="TextoNormal"/>
      </w:pPr>
    </w:p>
    <w:p w14:paraId="56FFF5EA" w14:textId="77777777" w:rsidR="00C04533" w:rsidRDefault="00C04533" w:rsidP="00C04533">
      <w:pPr>
        <w:pStyle w:val="TextoNormal"/>
      </w:pPr>
      <w:r>
        <w:t>d) Interpuesto por el señor Opazos recurso de apelación, la Audiencia Provincial de Barcelona dictó sentencia el 4 de octubre de 2021 por la que desestimó el recurso. Respecto de la aplicación de la doctrina del reportaje neutral, matiza los razonamientos de la sentencia de primera instancia. El deber de diligencia es diferente en función de que presente la noticia como una comunicación neutra (reportaje neutral) en cuanto procedente de la originaria información de otro medio de comunicación o fuente informativa con cierta credibilidad, de la que simplemente da traslado, o que lo haga como una información asumida por el medio y su autor como propia. No obstante, en el primer supuesto el deber de diligencia respecto de la veracidad no puede limitarse a la simple constatación de la veracidad del hecho (contenido), sino que, con mayor o menor intensidad, debe abarcar también al continente gráfico (fotografías, vídeo, etc.) que suele acompañar a aquel. Por tanto, el deber de diligencia del informador también es exigible respecto del continente gráfico porque puede afectar a derechos fundamentales. En este caso, no se aprecia una intromisión ilegítima en el derecho fundamental a la imagen y al honor del demandante porque parecía inmerso en imágenes aleatorias y genéricas de esa modalidad deportiva y no se advierte una vinculación directa entre el demandante y el presunto autor de la noticia que permita identificarlo con aquel porque el brevísimo lapso temporal de una secuencia videográfica no deja de ser sino una más de varias secuencias anónimas y genéricas de la actividad deportiva que practicaban (el boxeo). La ausencia de vinculación directa e identificable en los términos expuestos determina que no haya vulneración de los derechos fundamentales, porque no hay una identificación del actor con los hechos y sujetos contenidos en la noticia, con independencia de que sea cuestionable o no el enfoque periodístico de esta contextualización sobre el hecho noticioso.</w:t>
      </w:r>
    </w:p>
    <w:p w14:paraId="2D710FBE" w14:textId="77777777" w:rsidR="00C04533" w:rsidRDefault="00C04533" w:rsidP="00C04533">
      <w:pPr>
        <w:pStyle w:val="TextoNormal"/>
      </w:pPr>
    </w:p>
    <w:p w14:paraId="6A7A9D10" w14:textId="77777777" w:rsidR="00C04533" w:rsidRDefault="00C04533" w:rsidP="00C04533">
      <w:pPr>
        <w:pStyle w:val="TextoNormal"/>
      </w:pPr>
      <w:r>
        <w:t>e) El demandante presentó recurso de casación, que fue estimado por sentencia del Tribunal Supremo de 13 de septiembre de 2023 siguiendo los razonamientos que ya hizo en la sentencia 748/2022, de 3 de noviembre, que resolvió otro recurso de casación formulado también por don Cristian Opazos Menor con relación a la publicación de este mismo vídeo por otro diario digital. Frente a la sentencia de apelación, el Tribunal Supremo niega que pueda considerarse que la ínfima duración de la exposición de la imagen del demandante, unido a que se publican otras imágenes de rostros anónimos sin facilitar nombres ni identificar, impidan relacionar al actor con el homicida. Y aunque, a diferencia de la STS 748/2022, en este caso sí aparece en el vídeo litigioso el dato de la agencia origen de la noticia que fue difundida sin alterar por el demandado, no puede aplicarse la doctrina del reportaje neutral porque no es aplicable al derecho a la imagen y porque no puede servir para amparar un supuesto de tanta gravedad como el del caso, relativo a la muerte de un recluso por la paliza propinada por otro recluso, sin llevar a cabo la más mínima comprobación sobre la veracidad de la información gráfica.</w:t>
      </w:r>
    </w:p>
    <w:p w14:paraId="7AE3CA89" w14:textId="77777777" w:rsidR="00C04533" w:rsidRDefault="00C04533" w:rsidP="00C04533">
      <w:pPr>
        <w:pStyle w:val="TextoNormal"/>
      </w:pPr>
    </w:p>
    <w:p w14:paraId="794F9EFC" w14:textId="77777777" w:rsidR="00C04533" w:rsidRDefault="00C04533" w:rsidP="00C04533">
      <w:pPr>
        <w:pStyle w:val="TextoNormal"/>
      </w:pPr>
      <w:r>
        <w:t>El reportaje neutral no puede servir de coartada para eludir toda responsabilidad por intromisión ilegítima en un derecho fundamental. Por otra parte, la doctrina del reportaje neutral no exige a los medios la comprobación de todas las noticias que se reciben y tienen un interés público, porque hay casos y casos, y en este caso el error gráfico producido es de extraordinaria gravedad y no se puede amparar en el reportaje neutral.</w:t>
      </w:r>
    </w:p>
    <w:p w14:paraId="6AD0094C" w14:textId="77777777" w:rsidR="00C04533" w:rsidRDefault="00C04533" w:rsidP="00C04533">
      <w:pPr>
        <w:pStyle w:val="TextoNormal"/>
      </w:pPr>
    </w:p>
    <w:p w14:paraId="5C39E238" w14:textId="368B012B" w:rsidR="00C04533" w:rsidRDefault="00C04533" w:rsidP="00C04533">
      <w:pPr>
        <w:pStyle w:val="TextoNormal"/>
      </w:pPr>
      <w:r>
        <w:t>f) Frente a la sentencia de casación, Editorial Prensa Asturiana, S.A.U., presentó un escrito promoviendo incidente excepcional de nulidad de actuaciones, que fue inadmitido por providencia de 13 de noviembre de 2023. Indica la providencia que el escrito presentado únicamente expresa la discrepancia de la solicitante con el criterio de enjuiciamiento de la Sala, reiterando en lo esencial la posición mantenida durante el litigio y sin que se aprecie indefensión o privación de trámite alegatorio alguno ni incongruencia.</w:t>
      </w:r>
    </w:p>
    <w:p w14:paraId="7FAACDF8" w14:textId="77777777" w:rsidR="00C04533" w:rsidRDefault="00C04533" w:rsidP="00C04533">
      <w:pPr>
        <w:pStyle w:val="TextoNormal"/>
      </w:pPr>
    </w:p>
    <w:p w14:paraId="35218D77" w14:textId="4D20E1AF" w:rsidR="00C04533" w:rsidRDefault="00C04533" w:rsidP="00C04533">
      <w:pPr>
        <w:pStyle w:val="TextoNormal"/>
      </w:pPr>
      <w:r w:rsidRPr="00C04533">
        <w:rPr>
          <w:rStyle w:val="NumeroAFNegritaCaracter"/>
        </w:rPr>
        <w:t>3</w:t>
      </w:r>
      <w:r>
        <w:t>. En su demanda de amparo Editorial Prensa Asturiana, S.A.U., denuncia que la sentencia de la Sala de lo Civil del Tribunal Supremo ha vulnerado su derecho a la libertad de información [art. 20.1 d) CE] en conexión con el derecho a la tutela judicial efectiva (art. 24.1 CE), entre otros motivos, porque rehúsa aplicar la doctrina del reportaje neutral mediante un matiz que genera inseguridad jurídica, al exigir al medio que transmite la noticia un deber de vigilancia que lo vacía de contenido. En el suplico solicita la nulidad de la sentencia, y, por otrosí, la suspensión de su fallo “habida cuenta de que su ejecución puede producir un perjuicio irreparable, en el sentido de no poder recuperar el importe de la condena dineraria, en caso de que fuera estimada la nulidad solicitada”.</w:t>
      </w:r>
    </w:p>
    <w:p w14:paraId="79E8BA59" w14:textId="77777777" w:rsidR="00C04533" w:rsidRDefault="00C04533" w:rsidP="00C04533">
      <w:pPr>
        <w:pStyle w:val="TextoNormal"/>
      </w:pPr>
    </w:p>
    <w:p w14:paraId="2A7FF8B2" w14:textId="35DD98F4" w:rsidR="00C04533" w:rsidRDefault="00C04533" w:rsidP="00C04533">
      <w:pPr>
        <w:pStyle w:val="TextoNormal"/>
      </w:pPr>
      <w:r w:rsidRPr="00C04533">
        <w:rPr>
          <w:rStyle w:val="NumeroAFNegritaCaracter"/>
        </w:rPr>
        <w:t>4</w:t>
      </w:r>
      <w:r>
        <w:t>. Por providencia de 6 de mayo de 2024 la Sección Tercera de este tribunal admitió a trámite el recurso de amparo, apreciando la concurrencia de una especial trascendencia constitucional porque plantea un problema o afecta a una faceta de un derecho fundamental sobre el que no hay doctrina de este tribunal [STC 155/2009, FJ 2 a)]. En esta misma resolución se acordó formar pieza separada de suspensión.</w:t>
      </w:r>
    </w:p>
    <w:p w14:paraId="19FE08A8" w14:textId="77777777" w:rsidR="00C04533" w:rsidRDefault="00C04533" w:rsidP="00C04533">
      <w:pPr>
        <w:pStyle w:val="TextoNormal"/>
      </w:pPr>
    </w:p>
    <w:p w14:paraId="060E576A" w14:textId="760A245E" w:rsidR="00C04533" w:rsidRDefault="00C04533" w:rsidP="00C04533">
      <w:pPr>
        <w:pStyle w:val="TextoNormal"/>
      </w:pPr>
      <w:r w:rsidRPr="00C04533">
        <w:rPr>
          <w:rStyle w:val="NumeroAFNegritaCaracter"/>
        </w:rPr>
        <w:t>5</w:t>
      </w:r>
      <w:r>
        <w:t>. Por providencia de ese mismo 6 de mayo de 2024, la Sección Tercera de este tribunal acordó conceder, conforme a lo previsto en el art. 56 de la Ley Orgánica del Tribunal Constitucional (LOTC), un plazo común de tres días al Ministerio Fiscal y a la solicitante de amparo para presentar alegaciones sobre la suspensión pedida.</w:t>
      </w:r>
    </w:p>
    <w:p w14:paraId="7E0AA419" w14:textId="77777777" w:rsidR="00C04533" w:rsidRDefault="00C04533" w:rsidP="00C04533">
      <w:pPr>
        <w:pStyle w:val="TextoNormal"/>
      </w:pPr>
    </w:p>
    <w:p w14:paraId="17160A60" w14:textId="10E8EB1D" w:rsidR="00C04533" w:rsidRDefault="00C04533" w:rsidP="00C04533">
      <w:pPr>
        <w:pStyle w:val="TextoNormal"/>
      </w:pPr>
      <w:r w:rsidRPr="00C04533">
        <w:rPr>
          <w:rStyle w:val="NumeroAFNegritaCaracter"/>
        </w:rPr>
        <w:t>6</w:t>
      </w:r>
      <w:r>
        <w:t>. Por escrito presentado el 31 de mayo de 2024, el fiscal ante el Tribunal Constitucional presentó alegaciones en las que interesó la denegación de la medida cautelar solicitada porque (i) según la doctrina constitucional los perjuicios de contenido patrimonial no pueden considerarse, en principio, causa suficiente para acordar la suspensión de una resolución judicial firme, salvo que se trate de perjuicios difícilmente reparables por su entidad o por la irreversibilidad de las situaciones jurídicas que puedan producirse; (ii) la demandante no ha levantado la carga de acreditar que la ejecución de la resolución judicial vaya a producirle un perjuicio que haga perder al amparo su finalidad; y (iii) incluso aunque se produjera alguna dificultad para recuperar la cantidad de la condena, la cuantía de la condena dineraria que asciende a 3000 €, no es suficiente para poner en peligro la pervivencia de la sociedad recurrente en la actividad mercantil a la que se dedica.</w:t>
      </w:r>
    </w:p>
    <w:p w14:paraId="09B6A025" w14:textId="77777777" w:rsidR="00C04533" w:rsidRDefault="00C04533" w:rsidP="00C04533">
      <w:pPr>
        <w:pStyle w:val="TextoNormal"/>
      </w:pPr>
    </w:p>
    <w:p w14:paraId="45DE8C3D" w14:textId="77777777" w:rsidR="00C04533" w:rsidRDefault="00C04533" w:rsidP="00C04533">
      <w:pPr>
        <w:pStyle w:val="TextoNormalNegritaCentrado"/>
        <w:keepNext/>
      </w:pPr>
      <w:r>
        <w:t>II. Fundamentos jurídicos</w:t>
      </w:r>
    </w:p>
    <w:p w14:paraId="7A6B7055" w14:textId="06C16F7C" w:rsidR="00C04533" w:rsidRDefault="00C04533" w:rsidP="00C04533">
      <w:pPr>
        <w:pStyle w:val="TextoNormalNegritaCentrado"/>
        <w:keepNext/>
      </w:pPr>
    </w:p>
    <w:p w14:paraId="14E3BB7E" w14:textId="77777777" w:rsidR="00C04533" w:rsidRDefault="00C04533" w:rsidP="00C04533">
      <w:pPr>
        <w:pStyle w:val="TextoNormal"/>
      </w:pPr>
      <w:r w:rsidRPr="00C04533">
        <w:rPr>
          <w:rStyle w:val="NumeroAFNegritaCaracter"/>
        </w:rPr>
        <w:t>1</w:t>
      </w:r>
      <w:r>
        <w:t>. Como se refleja en los antecedentes, la sociedad demandante solicita la suspensión de la ejecución del fallo de la sentencia núm. 1223/2023, de 13 de septiembre de la Sala de lo Civil del Tribunal Supremo, que le condena al pago de una indemnización de 3000 €. Alega el perjuicio que le irrogaría no poder recuperar dicha cantidad en caso de ser estimado el amparo. El fiscal en su escrito de alegaciones interesa la desestimación de la medida cautelar, con cita de doctrina constitucional que establece que los perjuicios de naturaleza patrimonial no deben tener la consideración de irreparables, a los efectos del art. 56 LOTC, salvo casos excepcionales, y que no se ha cumplido la carga de determinar, más allá de la genérica afirmación del perjuicio patrimonial, que la ejecución de la resolución judicial pudiera hacer perder al amparo su finalidad.</w:t>
      </w:r>
    </w:p>
    <w:p w14:paraId="362AD327" w14:textId="77777777" w:rsidR="00C04533" w:rsidRDefault="00C04533" w:rsidP="00C04533">
      <w:pPr>
        <w:pStyle w:val="TextoNormal"/>
      </w:pPr>
    </w:p>
    <w:p w14:paraId="373891D2" w14:textId="23F33DE3" w:rsidR="00C04533" w:rsidRDefault="00C04533" w:rsidP="00C04533">
      <w:pPr>
        <w:pStyle w:val="TextoNormal"/>
      </w:pPr>
      <w:r>
        <w:t>A ello añade que la condena dineraria no es suficiente para poner en peligro la pervivencia de la actividad de la mercantil demandante de amparo.</w:t>
      </w:r>
    </w:p>
    <w:p w14:paraId="3B882D06" w14:textId="77777777" w:rsidR="00C04533" w:rsidRDefault="00C04533" w:rsidP="00C04533">
      <w:pPr>
        <w:pStyle w:val="TextoNormal"/>
      </w:pPr>
    </w:p>
    <w:p w14:paraId="0279FC4D" w14:textId="77777777" w:rsidR="00C04533" w:rsidRDefault="00C04533" w:rsidP="00C04533">
      <w:pPr>
        <w:pStyle w:val="TextoNormal"/>
      </w:pPr>
      <w:r w:rsidRPr="00C04533">
        <w:rPr>
          <w:rStyle w:val="NumeroAFNegritaCaracter"/>
        </w:rPr>
        <w:t>2</w:t>
      </w:r>
      <w:r>
        <w:t>. El art. 56.2 LOTC dispone que cuando la ejecución del acto o sentencia impugnados produzca un perjuicio al recurrente que pudiera hacer perder al amparo su finalidad, se podrá acordar, de oficio o a instancia del recurrente, la suspensión, total o parcial, de sus efectos, siempre y cuando la suspensión no ocasione perturbación grave a un interés constitucionalmente protegido, ni a los derechos fundamentales o libertades de otra persona.</w:t>
      </w:r>
    </w:p>
    <w:p w14:paraId="1131ADEE" w14:textId="77777777" w:rsidR="00C04533" w:rsidRDefault="00C04533" w:rsidP="00C04533">
      <w:pPr>
        <w:pStyle w:val="TextoNormal"/>
      </w:pPr>
    </w:p>
    <w:p w14:paraId="335BB02A" w14:textId="77777777" w:rsidR="00C04533" w:rsidRDefault="00C04533" w:rsidP="00C04533">
      <w:pPr>
        <w:pStyle w:val="TextoNormal"/>
      </w:pPr>
      <w:r>
        <w:t>Se trata de una medida de carácter excepcional y de aplicación restrictiva (por todos, AATC 117/2015, de 6 de julio, FJ 1, y 59/2017, de 24 de abril, FJ 1), por lo que la regla general es la improcedencia de la suspensión de las resoluciones judiciales, por la perturbación de la función jurisdiccional que la misma supone, salvo en los casos en los que se acredite tanto el carácter irreparable del perjuicio para los derechos fundamentales, como la pérdida de la finalidad del amparo en caso de mantenerse la ejecución de la resolución (por todos, AATC 40/2008, de 11 de febrero; 59/2008, de 20 de febrero; 2/2009, de 12 de enero, y 12/2009, de 26 de enero).</w:t>
      </w:r>
    </w:p>
    <w:p w14:paraId="1BE35818" w14:textId="77777777" w:rsidR="00C04533" w:rsidRDefault="00C04533" w:rsidP="00C04533">
      <w:pPr>
        <w:pStyle w:val="TextoNormal"/>
      </w:pPr>
    </w:p>
    <w:p w14:paraId="71F60A02" w14:textId="77777777" w:rsidR="00C04533" w:rsidRDefault="00C04533" w:rsidP="00C04533">
      <w:pPr>
        <w:pStyle w:val="TextoNormal"/>
      </w:pPr>
      <w:r>
        <w:t>Por perjuicio irreparable se ha de entender aquel que provoque que el restablecimiento del recurrente en el derecho constitucional vulnerado sea tardío y convierta el amparo en meramente ilusorio y nominal (por todos, AATC 274/2008, de 15 de septiembre; 26/2009, de 6 de enero, y 173/2009, de 1 de junio).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(AATC 44/2008, de 11 de febrero, FJ 1; 59/2008, de 20 de febrero, FJ 1; 67/2008, de 25 de febrero, FJ 1; 109/2008, de 14 de abril, FJ 1; 111/2008, de 14 de abril, FJ 1; 118/2008, de 28 de abril, FJ 1, y 172/2008, de 23 de junio, FJ 1).</w:t>
      </w:r>
    </w:p>
    <w:p w14:paraId="7A30FC6B" w14:textId="77777777" w:rsidR="00C04533" w:rsidRDefault="00C04533" w:rsidP="00C04533">
      <w:pPr>
        <w:pStyle w:val="TextoNormal"/>
      </w:pPr>
    </w:p>
    <w:p w14:paraId="53A2EB76" w14:textId="77777777" w:rsidR="00C04533" w:rsidRDefault="00C04533" w:rsidP="00C04533">
      <w:pPr>
        <w:pStyle w:val="TextoNormal"/>
      </w:pPr>
      <w:r>
        <w:t>Este tribunal ha establecido, asimismo,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14:paraId="448B56EC" w14:textId="77777777" w:rsidR="00C04533" w:rsidRDefault="00C04533" w:rsidP="00C04533">
      <w:pPr>
        <w:pStyle w:val="TextoNormal"/>
      </w:pPr>
    </w:p>
    <w:p w14:paraId="35FD9B74" w14:textId="77777777" w:rsidR="00C04533" w:rsidRDefault="00C04533" w:rsidP="00C04533">
      <w:pPr>
        <w:pStyle w:val="TextoNormal"/>
      </w:pPr>
      <w:r>
        <w:t>Se ha accedido a la suspensión en casos en que la ejecución acarrea perjuicios patrimoniales difícilmente reparables por su entidad, por la imposibilidad de repercutir su costo o por la irreversibilidad de las situaciones jurídicas que puedan producirse, como cuando se produce la transmisión irrecuperable del dominio sobre un bien determinado (AATC 565/1986, de 2 de julio, FJ único, y 52/1989, de 30 de enero, FJ único).</w:t>
      </w:r>
    </w:p>
    <w:p w14:paraId="3760A6A4" w14:textId="77777777" w:rsidR="00C04533" w:rsidRDefault="00C04533" w:rsidP="00C04533">
      <w:pPr>
        <w:pStyle w:val="TextoNormal"/>
      </w:pPr>
    </w:p>
    <w:p w14:paraId="549F3BC1" w14:textId="5E4298FC" w:rsidR="00C04533" w:rsidRDefault="00C04533" w:rsidP="00C04533">
      <w:pPr>
        <w:pStyle w:val="TextoNormal"/>
      </w:pPr>
      <w:r>
        <w:t>Adicionalmente, este tribunal viene exigiendo a quien solicita la adopción de la medida cautelar de suspensión del acto o resolución judicial recurrido que alegue o justifique, ofreciendo un principio razonable de prueba, el carácter no reparable o la dificultad de la reparación de los perjuicios derivados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14:paraId="148A65EC" w14:textId="77777777" w:rsidR="00C04533" w:rsidRDefault="00C04533" w:rsidP="00C04533">
      <w:pPr>
        <w:pStyle w:val="TextoNormal"/>
      </w:pPr>
    </w:p>
    <w:p w14:paraId="4A8152CB" w14:textId="38936AEA" w:rsidR="00C04533" w:rsidRDefault="00C04533" w:rsidP="00C04533">
      <w:pPr>
        <w:pStyle w:val="TextoNormal"/>
      </w:pPr>
      <w:r w:rsidRPr="00C04533">
        <w:rPr>
          <w:rStyle w:val="NumeroAFNegritaCaracter"/>
        </w:rPr>
        <w:t>3</w:t>
      </w:r>
      <w:r>
        <w:t>. La aplicación de la doctrina constitucional expuesta al caso aquí examinado conduce, de acuerdo con lo manifestado en sus alegaciones por el fiscal, a declarar improcedente la suspensión solicitada, porque la demandante se limita a afirmar que el pago de la indemnización que le ha sido impuesta le puede ocasionar un perjuicio irreparable. Se trata de una afirmación apodíctica, que no sirve para alzar la carga procesal que corresponde a todo recurrente que pretende la suspensión de la ejecutividad de una resolución judicial firme, porque en su argumentación no se atisba razón alguna que permita considerar, de una manera objetiva y fundada, que el pago de la condena vaya a ocasionar una situación irreversible que convierta en ilusorio y nominal el amparo solicitado de este tribunal.</w:t>
      </w:r>
    </w:p>
    <w:p w14:paraId="6C6BF3DE" w14:textId="77777777" w:rsidR="00C04533" w:rsidRDefault="00C04533" w:rsidP="00C04533">
      <w:pPr>
        <w:pStyle w:val="TextoNormal"/>
      </w:pPr>
    </w:p>
    <w:p w14:paraId="476A1214" w14:textId="77777777" w:rsidR="00C04533" w:rsidRDefault="00C04533" w:rsidP="00C04533">
      <w:pPr>
        <w:pStyle w:val="TextoNormal"/>
      </w:pPr>
      <w:r>
        <w:t>Por lo expuesto, la Sala</w:t>
      </w:r>
    </w:p>
    <w:p w14:paraId="77880F99" w14:textId="39CB4D87" w:rsidR="00C04533" w:rsidRDefault="00C04533" w:rsidP="00C04533">
      <w:pPr>
        <w:pStyle w:val="TextoNormal"/>
      </w:pPr>
    </w:p>
    <w:p w14:paraId="0B6A0BF8" w14:textId="77777777" w:rsidR="00C04533" w:rsidRDefault="00C04533" w:rsidP="00C04533">
      <w:pPr>
        <w:pStyle w:val="TextoNormalCentrado"/>
      </w:pPr>
      <w:r>
        <w:t>ACUERDA</w:t>
      </w:r>
    </w:p>
    <w:p w14:paraId="69EEAEDE" w14:textId="04B769FF" w:rsidR="00C04533" w:rsidRDefault="00C04533" w:rsidP="00C04533">
      <w:pPr>
        <w:pStyle w:val="TextoNormalCentrado"/>
      </w:pPr>
    </w:p>
    <w:p w14:paraId="31BEDABF" w14:textId="01DAAEAD" w:rsidR="00C04533" w:rsidRDefault="00C04533" w:rsidP="00C04533">
      <w:pPr>
        <w:pStyle w:val="TextoNormal"/>
      </w:pPr>
      <w:r>
        <w:t>Denegar la suspensión solicitada.</w:t>
      </w:r>
    </w:p>
    <w:p w14:paraId="6DDBD662" w14:textId="77777777" w:rsidR="00C04533" w:rsidRDefault="00C04533" w:rsidP="00C04533">
      <w:pPr>
        <w:pStyle w:val="TextoNormal"/>
      </w:pPr>
    </w:p>
    <w:p w14:paraId="32F40028" w14:textId="77777777" w:rsidR="00C04533" w:rsidRDefault="00C04533" w:rsidP="00C04533">
      <w:pPr>
        <w:pStyle w:val="TextoNormal"/>
      </w:pPr>
      <w:r>
        <w:t>Madrid, a nueve de septiembre de dos mil veinticuatro.</w:t>
      </w:r>
    </w:p>
    <w:p w14:paraId="6027C23F" w14:textId="7053D030" w:rsidR="00C04533" w:rsidRDefault="00C04533">
      <w:pPr>
        <w:spacing w:after="160" w:line="278" w:lineRule="auto"/>
        <w:rPr>
          <w:rFonts w:ascii="Times New Roman" w:eastAsia="Times New Roman" w:hAnsi="Times New Roman" w:cs="Times New Roman"/>
          <w:sz w:val="24"/>
          <w:szCs w:val="24"/>
          <w:lang w:eastAsia="es-ES"/>
        </w:rPr>
      </w:pPr>
      <w:r>
        <w:br w:type="page"/>
      </w:r>
    </w:p>
    <w:p w14:paraId="4F6E3220" w14:textId="77777777" w:rsidR="00C04533" w:rsidRDefault="00C04533" w:rsidP="00C04533">
      <w:pPr>
        <w:pStyle w:val="TtuloResolucin"/>
      </w:pPr>
      <w:bookmarkStart w:id="84" w:name="AUTO_2024_78"/>
      <w:r>
        <w:t>AUTO 78/2024, de 10 de septiembre de 2024</w:t>
      </w:r>
    </w:p>
    <w:bookmarkEnd w:id="84"/>
    <w:p w14:paraId="364952CE" w14:textId="77777777" w:rsidR="00C04533" w:rsidRDefault="00C04533" w:rsidP="00C04533">
      <w:pPr>
        <w:pStyle w:val="TtuloResolucin"/>
      </w:pPr>
      <w:r>
        <w:t>Pleno</w:t>
      </w:r>
    </w:p>
    <w:p w14:paraId="40801640" w14:textId="77777777" w:rsidR="00C04533" w:rsidRDefault="00C04533" w:rsidP="00C04533">
      <w:pPr>
        <w:pStyle w:val="TextoNormalCentrado"/>
      </w:pPr>
      <w:r>
        <w:t>ECLI:ES:TC:2024:78A</w:t>
      </w:r>
    </w:p>
    <w:p w14:paraId="66BEB528" w14:textId="3D38A0DD" w:rsidR="00C04533" w:rsidRDefault="00C04533" w:rsidP="00C04533">
      <w:pPr>
        <w:pStyle w:val="TextoNormalCentrado"/>
      </w:pPr>
    </w:p>
    <w:p w14:paraId="075C24F5" w14:textId="77777777" w:rsidR="00C04533" w:rsidRDefault="00C04533" w:rsidP="00C04533">
      <w:pPr>
        <w:pStyle w:val="SntesisDescriptiva"/>
      </w:pPr>
      <w:r>
        <w:t>Excms. Srs. don Cándido Conde-Pumpido Tourón, doña Inmaculada Montalbán Huertas, don Ricardo Enríquez Sancho, doña María Luisa Balaguer Callejón, don Enrique Arnaldo Alcubilla, doña Concepción Espejel Jorquera, doña María Luisa Segoviano Astaburuaga, don César Tolosa Tribiño, don Juan Carlos Campo Moreno y don José María Macías Castaño.</w:t>
      </w:r>
    </w:p>
    <w:p w14:paraId="40E7D899" w14:textId="0F889F83" w:rsidR="00C04533" w:rsidRDefault="00C04533" w:rsidP="00C04533">
      <w:pPr>
        <w:pStyle w:val="SntesisDescriptiva"/>
      </w:pPr>
    </w:p>
    <w:p w14:paraId="67B80690" w14:textId="77777777" w:rsidR="00C04533" w:rsidRDefault="00C04533" w:rsidP="00C04533">
      <w:pPr>
        <w:pStyle w:val="SntesisDescriptiva"/>
      </w:pPr>
      <w:r>
        <w:t>Inadmite una recusación en el recurso de amparo 6155-2023, promovido por don Joaquim Torra i Pla y don Josep Costa i Roselló en proceso contencioso-administrativo.</w:t>
      </w:r>
    </w:p>
    <w:p w14:paraId="46E65EFD" w14:textId="0ED6F66A" w:rsidR="00C04533" w:rsidRDefault="00C04533" w:rsidP="00C04533">
      <w:pPr>
        <w:pStyle w:val="SntesisDescriptiva"/>
      </w:pPr>
    </w:p>
    <w:p w14:paraId="5D9EBE9E" w14:textId="77777777" w:rsidR="00C04533" w:rsidRDefault="00C04533" w:rsidP="00C04533">
      <w:pPr>
        <w:pStyle w:val="SntesisDescriptiva"/>
      </w:pPr>
    </w:p>
    <w:p w14:paraId="59FD86F1" w14:textId="77777777" w:rsidR="00C04533" w:rsidRDefault="00C04533" w:rsidP="00C04533">
      <w:pPr>
        <w:pStyle w:val="SntesisDescriptiva"/>
      </w:pPr>
    </w:p>
    <w:p w14:paraId="02591AED" w14:textId="77777777" w:rsidR="00C04533" w:rsidRDefault="00C04533" w:rsidP="00C04533">
      <w:pPr>
        <w:pStyle w:val="TextoNormalNegritaCentrado"/>
      </w:pPr>
      <w:r>
        <w:t>AUTO</w:t>
      </w:r>
    </w:p>
    <w:p w14:paraId="4F3553A4" w14:textId="4BD69684" w:rsidR="00C04533" w:rsidRDefault="00C04533" w:rsidP="00C04533">
      <w:pPr>
        <w:pStyle w:val="TextoNormalNegritaCentrado"/>
      </w:pPr>
    </w:p>
    <w:p w14:paraId="4D127747" w14:textId="77777777" w:rsidR="00C04533" w:rsidRDefault="00C04533" w:rsidP="00C04533">
      <w:pPr>
        <w:pStyle w:val="TextoNormalNegritaCentrado"/>
        <w:keepNext/>
      </w:pPr>
      <w:r>
        <w:t>I. Antecedentes</w:t>
      </w:r>
    </w:p>
    <w:p w14:paraId="225DB9BE" w14:textId="00AB7775" w:rsidR="00C04533" w:rsidRDefault="00C04533" w:rsidP="00C04533">
      <w:pPr>
        <w:pStyle w:val="TextoNormalNegritaCentrado"/>
        <w:keepNext/>
      </w:pPr>
    </w:p>
    <w:p w14:paraId="61BF155D" w14:textId="2E2E8ED9" w:rsidR="00C04533" w:rsidRDefault="00C04533" w:rsidP="00C04533">
      <w:pPr>
        <w:pStyle w:val="TextoNormal"/>
      </w:pPr>
      <w:r w:rsidRPr="00C04533">
        <w:rPr>
          <w:rStyle w:val="NumeroAFNegritaCaracter"/>
        </w:rPr>
        <w:t>1</w:t>
      </w:r>
      <w:r>
        <w:t xml:space="preserve">. Por escrito registrado en este tribunal el 26 de septiembre de 2023, don Quim Torra i Pla y don Josep Costa i Rosselló, representados por el procurador de los tribunales don Carlos Ricardo Estévez Sanz y actuando bajo la dirección letrada de don Josep Costa i Rosselló, interpusieron recurso de amparo contra “la actuación material del presidente, el Gobierno de España y la Administración General del Estado consistente en la intervención, escucha, sustracción, recopilación, tratamiento, uso, difusión y/o almacenamiento de la información y comunicaciones de los recurrentes, tanto directa como indirectamente, mediante el ataque de dispositivos móviles con el programa espía </w:t>
      </w:r>
      <w:r w:rsidRPr="00C04533">
        <w:rPr>
          <w:i/>
        </w:rPr>
        <w:t>Pegasus</w:t>
      </w:r>
      <w:r>
        <w:t>”; los autos de la Sección Quinta de la Sala de lo Contencioso-Administrativo de la Audiencia Nacional de 30 de noviembre de 2022 y de 25 de enero de 2023; y, el auto de la Sección Primera de la Sala de lo Contencioso-Administrativo del Tribunal Supremo de 6 de julio de 2023 que inadmitió el recurso de casación.</w:t>
      </w:r>
    </w:p>
    <w:p w14:paraId="4519BFC9" w14:textId="77777777" w:rsidR="00C04533" w:rsidRDefault="00C04533" w:rsidP="00C04533">
      <w:pPr>
        <w:pStyle w:val="TextoNormal"/>
      </w:pPr>
    </w:p>
    <w:p w14:paraId="1EC5793E" w14:textId="732455E1" w:rsidR="00C04533" w:rsidRDefault="00C04533" w:rsidP="00C04533">
      <w:pPr>
        <w:pStyle w:val="TextoNormal"/>
      </w:pPr>
      <w:r w:rsidRPr="00C04533">
        <w:rPr>
          <w:rStyle w:val="NumeroAFNegritaCaracter"/>
        </w:rPr>
        <w:t>2</w:t>
      </w:r>
      <w:r>
        <w:t>. Mediante diligencia de ordenación de 2 de octubre de 2023, de la Sección Tercera de la Sala Segunda de este tribunal, notificada el 4 de octubre siguiente, se tuvo por recibido el escrito de interposición del recurso de amparo y los documentos adjuntos.</w:t>
      </w:r>
    </w:p>
    <w:p w14:paraId="1022414C" w14:textId="77777777" w:rsidR="00C04533" w:rsidRDefault="00C04533" w:rsidP="00C04533">
      <w:pPr>
        <w:pStyle w:val="TextoNormal"/>
      </w:pPr>
    </w:p>
    <w:p w14:paraId="52237F75" w14:textId="77777777" w:rsidR="00C04533" w:rsidRDefault="00C04533" w:rsidP="00C04533">
      <w:pPr>
        <w:pStyle w:val="TextoNormal"/>
      </w:pPr>
      <w:r w:rsidRPr="00C04533">
        <w:rPr>
          <w:rStyle w:val="NumeroAFNegritaCaracter"/>
        </w:rPr>
        <w:t>3</w:t>
      </w:r>
      <w:r>
        <w:t>. Por escrito registrado el 19 de octubre de 2023, don Carlos Ricardo Estévez Sanz, procurador de los tribunales, actuando en nombre y representación de los recurrentes, formuló escrito de recusación de la magistrada doña Laura Díez Bueso.</w:t>
      </w:r>
    </w:p>
    <w:p w14:paraId="6DA737BD" w14:textId="77777777" w:rsidR="00C04533" w:rsidRDefault="00C04533" w:rsidP="00C04533">
      <w:pPr>
        <w:pStyle w:val="TextoNormal"/>
      </w:pPr>
    </w:p>
    <w:p w14:paraId="7BDA0D9D" w14:textId="1189CDE8" w:rsidR="00C04533" w:rsidRDefault="00C04533" w:rsidP="00C04533">
      <w:pPr>
        <w:pStyle w:val="TextoNormal"/>
      </w:pPr>
      <w:r>
        <w:t>Alega que concurre la causa del apartado decimocuarto en relación con el apartado decimosegundo del artículo 219 de la Ley Orgánica del Poder Judicial (LOPJ), en tanto que la magistrada recusada ha pertenecido al Gobierno cuya actuación material da lugar al recurso de amparo, al haber sido directora del Gabinete del secretario de Estado de Relaciones con las Cortes del Ministerio de la Presidencia, Relaciones con las Cortes e Igualdad (2018-2020) y directora general de Asuntos Constitucionales y Coordinación Jurídica del Ministerio de la Presidencia, Relaciones con las Cortes y Memoria Democrática (2020-2022), por lo que fue subordinada de las autoridades que realizaron la actividad material impugnada.</w:t>
      </w:r>
    </w:p>
    <w:p w14:paraId="7D9F9CFF" w14:textId="77777777" w:rsidR="00C04533" w:rsidRDefault="00C04533" w:rsidP="00C04533">
      <w:pPr>
        <w:pStyle w:val="TextoNormal"/>
      </w:pPr>
    </w:p>
    <w:p w14:paraId="4B37B2E6" w14:textId="77777777" w:rsidR="00C04533" w:rsidRDefault="00C04533" w:rsidP="00C04533">
      <w:pPr>
        <w:pStyle w:val="TextoNormalNegritaCentrado"/>
        <w:keepNext/>
      </w:pPr>
      <w:r>
        <w:t>II. Fundamentos jurídicos</w:t>
      </w:r>
    </w:p>
    <w:p w14:paraId="71EA73A1" w14:textId="4A62CBF8" w:rsidR="00C04533" w:rsidRDefault="00C04533" w:rsidP="00C04533">
      <w:pPr>
        <w:pStyle w:val="TextoNormalNegritaCentrado"/>
        <w:keepNext/>
      </w:pPr>
    </w:p>
    <w:p w14:paraId="06095430" w14:textId="77777777" w:rsidR="00C04533" w:rsidRDefault="00C04533" w:rsidP="00C04533">
      <w:pPr>
        <w:pStyle w:val="TextoNormal"/>
      </w:pPr>
      <w:r w:rsidRPr="00C04533">
        <w:rPr>
          <w:rStyle w:val="NumeroAFNegritaCaracter"/>
        </w:rPr>
        <w:t>1</w:t>
      </w:r>
      <w:r>
        <w:t xml:space="preserve">. </w:t>
      </w:r>
      <w:r w:rsidRPr="00C04533">
        <w:rPr>
          <w:i/>
        </w:rPr>
        <w:t>Planteamiento de la cuestión</w:t>
      </w:r>
    </w:p>
    <w:p w14:paraId="3192EAF1" w14:textId="77777777" w:rsidR="00C04533" w:rsidRDefault="00C04533" w:rsidP="00C04533">
      <w:pPr>
        <w:pStyle w:val="TextoNormal"/>
      </w:pPr>
    </w:p>
    <w:p w14:paraId="2B349401" w14:textId="39FD6D26" w:rsidR="00C04533" w:rsidRDefault="00C04533" w:rsidP="00C04533">
      <w:pPr>
        <w:pStyle w:val="TextoNormal"/>
      </w:pPr>
      <w:r>
        <w:t>El escrito de recusación presentado por don Quim Torra i Pla y don Josep Costa i Rosselló expone que la magistrada doña Laura Díez Bueso ocupó, durante los años 2018 a 2020 el puesto de directora del Gabinete del secretario de Estado de Relaciones con las Cortes del Ministerio de la Presidencia; y durante los años 2020 a 2022 el cargo de directora general de Asuntos Constitucionales y Coordinación Jurídica del Ministerio de la Presidencia, integrado en el Gobierno de España. De ello concluye que concurre la causa de recusación prevista en el apartado decimocuarto en relación con el apartado decimosegundo del art. 219 LOPJ, al haber sido subordinada de las autoridades que realizaron la actividad material impugnada.</w:t>
      </w:r>
    </w:p>
    <w:p w14:paraId="2667BA92" w14:textId="77777777" w:rsidR="00C04533" w:rsidRDefault="00C04533" w:rsidP="00C04533">
      <w:pPr>
        <w:pStyle w:val="TextoNormal"/>
      </w:pPr>
    </w:p>
    <w:p w14:paraId="16211EFC" w14:textId="77777777" w:rsidR="00C04533" w:rsidRDefault="00C04533" w:rsidP="00C04533">
      <w:pPr>
        <w:pStyle w:val="TextoNormal"/>
      </w:pPr>
      <w:r w:rsidRPr="00C04533">
        <w:rPr>
          <w:rStyle w:val="NumeroAFNegritaCaracter"/>
        </w:rPr>
        <w:t>2</w:t>
      </w:r>
      <w:r>
        <w:t xml:space="preserve">. </w:t>
      </w:r>
      <w:r w:rsidRPr="00C04533">
        <w:rPr>
          <w:i/>
        </w:rPr>
        <w:t>Doctrina constitucional</w:t>
      </w:r>
    </w:p>
    <w:p w14:paraId="2F16C225" w14:textId="77777777" w:rsidR="00C04533" w:rsidRDefault="00C04533" w:rsidP="00C04533">
      <w:pPr>
        <w:pStyle w:val="TextoNormal"/>
      </w:pPr>
    </w:p>
    <w:p w14:paraId="30389AB1" w14:textId="77777777" w:rsidR="00C04533" w:rsidRDefault="00C04533" w:rsidP="00C04533">
      <w:pPr>
        <w:pStyle w:val="TextoNormal"/>
      </w:pPr>
      <w:r>
        <w:t>La doctrina de este tribunal en relación con la cuestión suscitada puede sintetizarse en los siguientes puntos (ATC 432/2023, de 11 de septiembre, FJ 2):</w:t>
      </w:r>
    </w:p>
    <w:p w14:paraId="5A2DDE7E" w14:textId="77777777" w:rsidR="00C04533" w:rsidRDefault="00C04533" w:rsidP="00C04533">
      <w:pPr>
        <w:pStyle w:val="TextoNormal"/>
      </w:pPr>
    </w:p>
    <w:p w14:paraId="6859A7C4" w14:textId="77777777" w:rsidR="00C04533" w:rsidRDefault="00C04533" w:rsidP="00C04533">
      <w:pPr>
        <w:pStyle w:val="TextoNormal"/>
      </w:pPr>
      <w:r>
        <w:t xml:space="preserve">a) En virtud del carácter jurisdiccional que siempre reviste la actuación del Tribunal Constitucional y del mandato de que sus magistradas y magistrados ejerzan su función de acuerdo con el principio de imparcialidad [art. 22 de la Ley Orgánica del Tribunal Constitucional (LOTC)], hemos declarado que el régimen de recusaciones y abstenciones de los jueces y magistrados del Poder Judicial es aplicable, </w:t>
      </w:r>
      <w:r w:rsidRPr="00C04533">
        <w:rPr>
          <w:i/>
        </w:rPr>
        <w:t>ex</w:t>
      </w:r>
      <w:r>
        <w:t xml:space="preserve"> art. 80 LOTC, a los magistrados del Tribunal Constitucional. Las causas de abstención y recusación son, de este modo, las que se encuentran taxativamente fijadas en el art. 219 LOPJ; y los motivos de recusación han de subsumirse necesariamente en alguno o algunos de los supuestos que la norma define como tales (ATC 226/2002, de 20 de noviembre, FJ 1), supuestos que han de ser interpretados de manera estricta o no extensiva, dada la composición de este Tribunal Constitucional, cuyos magistrados no son susceptibles de sustitución, (STC 162/1999, de 27 de septiembre, FJ 8, por todas). Fuera del ámbito de tales causas legales, las sospechas, conjeturas o los recelos que las partes puedan manifestar son jurídicamente irrelevantes.</w:t>
      </w:r>
    </w:p>
    <w:p w14:paraId="77AC7318" w14:textId="77777777" w:rsidR="00C04533" w:rsidRDefault="00C04533" w:rsidP="00C04533">
      <w:pPr>
        <w:pStyle w:val="TextoNormal"/>
      </w:pPr>
    </w:p>
    <w:p w14:paraId="0B6E3975" w14:textId="77777777" w:rsidR="00C04533" w:rsidRDefault="00C04533" w:rsidP="00C04533">
      <w:pPr>
        <w:pStyle w:val="TextoNormal"/>
      </w:pPr>
      <w:r>
        <w:t>b) Para que, en garantía de la imparcialidad, un magistrado pueda ser apartado del conocimiento de un asunto concreto, es preciso que existan dudas objetivamente justificadas; es decir, exteriorizadas y apoyadas en datos objetivos que hagan posible afirmar fundadamente que el magistrado no es ajeno a la causa o permitan temer que, por cualquier relación con el caso concreto, no va a utilizar como criterio de juicio el previsto en la ley, sino otras consideraciones ajenas al ordenamiento jurídico.</w:t>
      </w:r>
    </w:p>
    <w:p w14:paraId="519B49D9" w14:textId="77777777" w:rsidR="00C04533" w:rsidRDefault="00C04533" w:rsidP="00C04533">
      <w:pPr>
        <w:pStyle w:val="TextoNormal"/>
      </w:pPr>
    </w:p>
    <w:p w14:paraId="1F0312BC" w14:textId="2DA2FC89" w:rsidR="00C04533" w:rsidRDefault="00C04533" w:rsidP="00C04533">
      <w:pPr>
        <w:pStyle w:val="TextoNormal"/>
      </w:pPr>
      <w:r>
        <w:t xml:space="preserve">c) Desde las primeras resoluciones dictadas en materia de recusación, este tribunal ha admitido la posibilidad de denegar su tramitación cuando razones procesales o de fondo así lo exijan (AATC 109/1981, de 30 de octubre; 269/2014, de 4 de noviembre, entre otros muchos). El rechazo </w:t>
      </w:r>
      <w:r w:rsidRPr="00C04533">
        <w:rPr>
          <w:i/>
        </w:rPr>
        <w:t>a limine</w:t>
      </w:r>
      <w:r>
        <w:t xml:space="preserve"> de una recusación puede producirse como consecuencia de su defectuoso planteamiento procesal (AATC 383/2006, de 2 de noviembre, FJ 2, y 394/2006, de 7 de noviembre, FJ 2). También es posible inadmitir a trámite las recusaciones en atención al momento en que se suscitan, su reiteración, las circunstancias que las circundan, a su planteamiento o a las argumentaciones que las fundamentan (AATC 394/2006, de 7 de noviembre, FJ 2; 454/2006, de 12 de diciembre, FJ 3, y 177/2007, de 7 de marzo, FJ 1), cuando son formuladas con manifiesto abuso de derecho o entrañan fraude de ley o procesal (art. 11.2 LOPJ), tal y como reiteradamente ha sostenido la jurisprudencia constitucional (ATC 119/2017, de 7 de septiembre, FJ 3). En tales casos, hemos afirmado que este último comportamiento también constituye una evidente infracción del deber de actuar con probidad en el proceso (art. 11.2 LOPJ), sin formular incidentes dilatorios, que resulta de la genérica obligación de colaborar en la recta administración de justicia (art. 118 CE), exigencia esta que, lamentablemente, en muchas ocasiones es desconocida.</w:t>
      </w:r>
    </w:p>
    <w:p w14:paraId="12DD22D4" w14:textId="77777777" w:rsidR="00C04533" w:rsidRDefault="00C04533" w:rsidP="00C04533">
      <w:pPr>
        <w:pStyle w:val="TextoNormal"/>
      </w:pPr>
    </w:p>
    <w:p w14:paraId="6D465F90" w14:textId="77777777" w:rsidR="00C04533" w:rsidRDefault="00C04533" w:rsidP="00C04533">
      <w:pPr>
        <w:pStyle w:val="TextoNormal"/>
      </w:pPr>
      <w:r w:rsidRPr="00C04533">
        <w:rPr>
          <w:rStyle w:val="NumeroAFNegritaCaracter"/>
        </w:rPr>
        <w:t>3</w:t>
      </w:r>
      <w:r>
        <w:t xml:space="preserve">. </w:t>
      </w:r>
      <w:r w:rsidRPr="00C04533">
        <w:rPr>
          <w:i/>
        </w:rPr>
        <w:t>Análisis de la recusación formulada</w:t>
      </w:r>
    </w:p>
    <w:p w14:paraId="35AAE723" w14:textId="77777777" w:rsidR="00C04533" w:rsidRDefault="00C04533" w:rsidP="00C04533">
      <w:pPr>
        <w:pStyle w:val="TextoNormal"/>
      </w:pPr>
    </w:p>
    <w:p w14:paraId="495E0BFD" w14:textId="77777777" w:rsidR="00C04533" w:rsidRDefault="00C04533" w:rsidP="00C04533">
      <w:pPr>
        <w:pStyle w:val="TextoNormal"/>
      </w:pPr>
      <w:r>
        <w:t>Aplicando la doctrina expuesta al presente caso, este tribunal considera conveniente destacar el carácter manifiestamente infundado de la recusación planteada.</w:t>
      </w:r>
    </w:p>
    <w:p w14:paraId="461173EF" w14:textId="77777777" w:rsidR="00C04533" w:rsidRDefault="00C04533" w:rsidP="00C04533">
      <w:pPr>
        <w:pStyle w:val="TextoNormal"/>
      </w:pPr>
    </w:p>
    <w:p w14:paraId="64CED76C" w14:textId="77777777" w:rsidR="00C04533" w:rsidRDefault="00C04533" w:rsidP="00C04533">
      <w:pPr>
        <w:pStyle w:val="TextoNormal"/>
      </w:pPr>
      <w:r>
        <w:t>En efecto, debemos afirmar —partiendo del propio planteamiento de los recusantes—, la inconsistencia de la causa de recusación específicamente invocada. Se recusa a la magistrada por haber sido subordinada de las autoridades que realizaron la actividad material impugnada; pero se invoca como causa de recusación la decimocuarta en relación con la decimosegunda del art. 219 LOPJ; esto es, “[s]er o haber sido una de las partes subordinado del juez que deba resolver la contienda litigiosa”.</w:t>
      </w:r>
    </w:p>
    <w:p w14:paraId="09EB295E" w14:textId="77777777" w:rsidR="00C04533" w:rsidRDefault="00C04533" w:rsidP="00C04533">
      <w:pPr>
        <w:pStyle w:val="TextoNormal"/>
      </w:pPr>
    </w:p>
    <w:p w14:paraId="49CFCBBB" w14:textId="77777777" w:rsidR="00C04533" w:rsidRDefault="00C04533" w:rsidP="00C04533">
      <w:pPr>
        <w:pStyle w:val="TextoNormal"/>
      </w:pPr>
      <w:r>
        <w:t>Los demandantes de amparo no atribuyen a la magistrada haber ostentado jerarquía sobre el presidente del Gobierno, el Gobierno de la Nación o la Administración General del Estado, a los que les confiere la actuación material origen de la eventual lesión de los derechos invocados, sino que le otorgan un inespecífico vínculo de subordinación, que genéricamente adjudican al Gobierno de la Nación y a la Administración General del Estado, a quienes imputan la actuación material lesiva de sus derechos.</w:t>
      </w:r>
    </w:p>
    <w:p w14:paraId="5D39B70E" w14:textId="77777777" w:rsidR="00C04533" w:rsidRDefault="00C04533" w:rsidP="00C04533">
      <w:pPr>
        <w:pStyle w:val="TextoNormal"/>
      </w:pPr>
    </w:p>
    <w:p w14:paraId="5516B43C" w14:textId="77777777" w:rsidR="00C04533" w:rsidRDefault="00C04533" w:rsidP="00C04533">
      <w:pPr>
        <w:pStyle w:val="TextoNormal"/>
      </w:pPr>
      <w:r>
        <w:t>Ese vínculo de subordinación no es susceptible de incardinarse en la causa decimosegunda del art. 219 LOPJ; pues de su tenor literal resulta con claridad que la autoridad o funcionario que hubiese realizado la actuación material debe ser subordinado del juez o magistrado que debe decidir. Y, en este caso, los recusantes afirman precisamente lo contrario: que la magistrada fue subordinada de aquellos a quienes les atribuye la vulneración.</w:t>
      </w:r>
    </w:p>
    <w:p w14:paraId="10B24B7D" w14:textId="77777777" w:rsidR="00C04533" w:rsidRDefault="00C04533" w:rsidP="00C04533">
      <w:pPr>
        <w:pStyle w:val="TextoNormal"/>
      </w:pPr>
    </w:p>
    <w:p w14:paraId="043B58AA" w14:textId="2306BDC6" w:rsidR="00C04533" w:rsidRDefault="00C04533" w:rsidP="00C04533">
      <w:pPr>
        <w:pStyle w:val="TextoNormal"/>
      </w:pPr>
      <w:r>
        <w:t>En conclusión, procede considerar manifiestamente infundada la recusación planteada.</w:t>
      </w:r>
    </w:p>
    <w:p w14:paraId="42205BED" w14:textId="77777777" w:rsidR="00C04533" w:rsidRDefault="00C04533" w:rsidP="00C04533">
      <w:pPr>
        <w:pStyle w:val="TextoNormal"/>
      </w:pPr>
    </w:p>
    <w:p w14:paraId="2CE37408" w14:textId="77777777" w:rsidR="00C04533" w:rsidRDefault="00C04533" w:rsidP="00C04533">
      <w:pPr>
        <w:pStyle w:val="TextoNormal"/>
      </w:pPr>
      <w:r>
        <w:t>Por lo expuesto, el Pleno</w:t>
      </w:r>
    </w:p>
    <w:p w14:paraId="5BD0F43F" w14:textId="7A370C65" w:rsidR="00C04533" w:rsidRDefault="00C04533" w:rsidP="00C04533">
      <w:pPr>
        <w:pStyle w:val="TextoNormal"/>
      </w:pPr>
    </w:p>
    <w:p w14:paraId="28292C07" w14:textId="77777777" w:rsidR="00C04533" w:rsidRDefault="00C04533" w:rsidP="00C04533">
      <w:pPr>
        <w:pStyle w:val="TextoNormalCentrado"/>
      </w:pPr>
      <w:r>
        <w:t>ACUERDA</w:t>
      </w:r>
    </w:p>
    <w:p w14:paraId="5ABBAE8E" w14:textId="6D24644F" w:rsidR="00C04533" w:rsidRDefault="00C04533" w:rsidP="00C04533">
      <w:pPr>
        <w:pStyle w:val="TextoNormalCentrado"/>
      </w:pPr>
    </w:p>
    <w:p w14:paraId="5C98853A" w14:textId="623BEB31" w:rsidR="00C04533" w:rsidRDefault="00C04533" w:rsidP="00C04533">
      <w:pPr>
        <w:pStyle w:val="TextoNormal"/>
      </w:pPr>
      <w:r>
        <w:t>No admitir a trámite la recusación de la magistrada doña Laura Díez Bueso promovida por don Quim Torra i Pla y don Josep Costa i Rosselló en el recurso de amparo núm. 6155-2023.</w:t>
      </w:r>
    </w:p>
    <w:p w14:paraId="28229D83" w14:textId="77777777" w:rsidR="00C04533" w:rsidRDefault="00C04533" w:rsidP="00C04533">
      <w:pPr>
        <w:pStyle w:val="TextoNormal"/>
      </w:pPr>
    </w:p>
    <w:p w14:paraId="66EEF1A8" w14:textId="77777777" w:rsidR="00C04533" w:rsidRDefault="00C04533" w:rsidP="00C04533">
      <w:pPr>
        <w:pStyle w:val="TextoNormal"/>
      </w:pPr>
      <w:r>
        <w:t>Madrid, a diez de septiembre de dos mil veinticuatro.</w:t>
      </w:r>
    </w:p>
    <w:p w14:paraId="28D19C80" w14:textId="0C6D9EEA" w:rsidR="00C04533" w:rsidRDefault="00C04533">
      <w:pPr>
        <w:spacing w:after="160" w:line="278" w:lineRule="auto"/>
        <w:rPr>
          <w:rFonts w:ascii="Times New Roman" w:eastAsia="Times New Roman" w:hAnsi="Times New Roman" w:cs="Times New Roman"/>
          <w:sz w:val="24"/>
          <w:szCs w:val="24"/>
          <w:lang w:eastAsia="es-ES"/>
        </w:rPr>
      </w:pPr>
      <w:r>
        <w:br w:type="page"/>
      </w:r>
    </w:p>
    <w:p w14:paraId="51A91F4F" w14:textId="77777777" w:rsidR="00C04533" w:rsidRDefault="00C04533" w:rsidP="00C04533">
      <w:pPr>
        <w:pStyle w:val="TtuloResolucin"/>
      </w:pPr>
      <w:bookmarkStart w:id="85" w:name="AUTO_2024_79"/>
      <w:r>
        <w:t>AUTO 79/2024, de 10 de septiembre de 2024</w:t>
      </w:r>
    </w:p>
    <w:bookmarkEnd w:id="85"/>
    <w:p w14:paraId="7893A188" w14:textId="77777777" w:rsidR="00C04533" w:rsidRDefault="00C04533" w:rsidP="00C04533">
      <w:pPr>
        <w:pStyle w:val="TtuloResolucin"/>
      </w:pPr>
      <w:r>
        <w:t>Pleno</w:t>
      </w:r>
    </w:p>
    <w:p w14:paraId="51AEFA13" w14:textId="77777777" w:rsidR="00C04533" w:rsidRDefault="00C04533" w:rsidP="00C04533">
      <w:pPr>
        <w:pStyle w:val="TextoNormalCentrado"/>
      </w:pPr>
      <w:r>
        <w:t>ECLI:ES:TC:2024:79A</w:t>
      </w:r>
    </w:p>
    <w:p w14:paraId="33319B44" w14:textId="111E47A3" w:rsidR="00C04533" w:rsidRDefault="00C04533" w:rsidP="00C04533">
      <w:pPr>
        <w:pStyle w:val="TextoNormalCentrado"/>
      </w:pPr>
    </w:p>
    <w:p w14:paraId="0546D32A" w14:textId="77777777" w:rsidR="00C04533" w:rsidRDefault="00C04533" w:rsidP="00C04533">
      <w:pPr>
        <w:pStyle w:val="SntesisDescriptiva"/>
      </w:pPr>
      <w:r>
        <w:t>Excms. Srs. don Cándido Conde-Pumpido Tourón, doña Inmaculada Montalbán Huertas, don Ricardo Enríquez Sancho, doña María Luisa Balaguer Callejón, don Enrique Arnaldo Alcubilla, doña Concepción Espejel Jorquera, doña María Luisa Segoviano Astaburuaga, don César Tolosa Tribiño, don Juan Carlos Campo Moreno, doña Laura Díez Bueso y don José María Macías Castaño.</w:t>
      </w:r>
    </w:p>
    <w:p w14:paraId="1038780D" w14:textId="13ECFA31" w:rsidR="00C04533" w:rsidRDefault="00C04533" w:rsidP="00C04533">
      <w:pPr>
        <w:pStyle w:val="SntesisDescriptiva"/>
      </w:pPr>
    </w:p>
    <w:p w14:paraId="6579FF53" w14:textId="77777777" w:rsidR="00C04533" w:rsidRDefault="00C04533" w:rsidP="00C04533">
      <w:pPr>
        <w:pStyle w:val="SntesisDescriptiva"/>
      </w:pPr>
      <w:r>
        <w:t>Desestima el recurso de súplica interpuesto en relación con el ATC 33/2024, de 9 de abril, que inadmitió las recusaciones formuladas en el recurso de amparo 787-2024, promovido por don Antonio López Navidad en litigio social.</w:t>
      </w:r>
    </w:p>
    <w:p w14:paraId="67C4F3D9" w14:textId="09CBAB5F" w:rsidR="00C04533" w:rsidRDefault="00C04533" w:rsidP="00C04533">
      <w:pPr>
        <w:pStyle w:val="SntesisDescriptiva"/>
      </w:pPr>
    </w:p>
    <w:p w14:paraId="3801A75F" w14:textId="77777777" w:rsidR="00C04533" w:rsidRDefault="00C04533" w:rsidP="00C04533">
      <w:pPr>
        <w:pStyle w:val="SntesisDescriptiva"/>
      </w:pPr>
    </w:p>
    <w:p w14:paraId="41D28221" w14:textId="77777777" w:rsidR="00C04533" w:rsidRDefault="00C04533" w:rsidP="00C04533">
      <w:pPr>
        <w:pStyle w:val="SntesisDescriptiva"/>
      </w:pPr>
    </w:p>
    <w:p w14:paraId="1839ED53" w14:textId="77777777" w:rsidR="00C04533" w:rsidRDefault="00C04533" w:rsidP="00C04533">
      <w:pPr>
        <w:pStyle w:val="TextoNormalNegritaCentrado"/>
      </w:pPr>
      <w:r>
        <w:t>AUTO</w:t>
      </w:r>
    </w:p>
    <w:p w14:paraId="31910DCB" w14:textId="24CAEEDA" w:rsidR="00C04533" w:rsidRDefault="00C04533" w:rsidP="00C04533">
      <w:pPr>
        <w:pStyle w:val="TextoNormalNegritaCentrado"/>
      </w:pPr>
    </w:p>
    <w:p w14:paraId="2960C922" w14:textId="77777777" w:rsidR="00C04533" w:rsidRDefault="00C04533" w:rsidP="00C04533">
      <w:pPr>
        <w:pStyle w:val="TextoNormalNegritaCentrado"/>
        <w:keepNext/>
      </w:pPr>
      <w:r>
        <w:t>I. Antecedentes</w:t>
      </w:r>
    </w:p>
    <w:p w14:paraId="3C50F6FC" w14:textId="091FF0AD" w:rsidR="00C04533" w:rsidRDefault="00C04533" w:rsidP="00C04533">
      <w:pPr>
        <w:pStyle w:val="TextoNormalNegritaCentrado"/>
        <w:keepNext/>
      </w:pPr>
    </w:p>
    <w:p w14:paraId="2603A6E6" w14:textId="77777777" w:rsidR="00C04533" w:rsidRDefault="00C04533" w:rsidP="00C04533">
      <w:pPr>
        <w:pStyle w:val="TextoNormal"/>
      </w:pPr>
      <w:r w:rsidRPr="00C04533">
        <w:rPr>
          <w:rStyle w:val="NumeroAFNegritaCaracter"/>
        </w:rPr>
        <w:t>1</w:t>
      </w:r>
      <w:r>
        <w:t>. Mediante escrito presentado el 5 de febrero de 2024 en el registro general del Tribunal, el procurador de los tribunales don Guzmán de la Villa de la Serna, en nombre y representación de don Antonio López Navidad, interpuso recurso de amparo contra la providencia de 21 de diciembre de 2021, por la que se designa por necesidades de servicio nueva ponente en el procedimiento de declaración de error judicial núm. 8-2020 y las posteriormente dictadas por la Sala de lo Social del Tribunal Supremo en el mismo procedimiento: sentencia de 2 de febrero de 2022, que desestima la demanda por error judicial; los autos de 2 de febrero de 2022, de 24 de febrero de 2022, de 12 de mayo de 2022 y de 23 de noviembre de 2022; así como la providencia de 15 de junio de 2022.</w:t>
      </w:r>
    </w:p>
    <w:p w14:paraId="6395D031" w14:textId="77777777" w:rsidR="00C04533" w:rsidRDefault="00C04533" w:rsidP="00C04533">
      <w:pPr>
        <w:pStyle w:val="TextoNormal"/>
      </w:pPr>
    </w:p>
    <w:p w14:paraId="6F7DD961" w14:textId="77777777" w:rsidR="00C04533" w:rsidRDefault="00C04533" w:rsidP="00C04533">
      <w:pPr>
        <w:pStyle w:val="TextoNormal"/>
      </w:pPr>
      <w:r>
        <w:t>En su demanda de amparo el recurrente invoca la vulneración de sus derechos a la tutela judicial efectiva (art. 24.1 CE) y a un proceso con todas las garantías, en cuanto comprende el derecho a un juez imparcial (art. 24.2 CE).</w:t>
      </w:r>
    </w:p>
    <w:p w14:paraId="64B823F3" w14:textId="77777777" w:rsidR="00C04533" w:rsidRDefault="00C04533" w:rsidP="00C04533">
      <w:pPr>
        <w:pStyle w:val="TextoNormal"/>
      </w:pPr>
    </w:p>
    <w:p w14:paraId="5BBF0F93" w14:textId="0AB8B247" w:rsidR="00C04533" w:rsidRDefault="00C04533" w:rsidP="00C04533">
      <w:pPr>
        <w:pStyle w:val="TextoNormal"/>
      </w:pPr>
      <w:r>
        <w:t>El recurso de amparo, registrado con el núm. 787-2024, fue turnado, a efectos de adoptar la decisión correspondiente sobre su admisibilidad, a la Sección Segunda de este tribunal, siendo designado ponente el magistrado don Juan Carlos Campo Moreno. Por diligencia de ordenación de la secretaria de justicia de 7 de febrero de 2024, notificado el 8 de febrero de 2024, se concedió al recurrente un plazo de diez hábiles para que aporte determinada documentación.</w:t>
      </w:r>
    </w:p>
    <w:p w14:paraId="7C629753" w14:textId="77777777" w:rsidR="00C04533" w:rsidRDefault="00C04533" w:rsidP="00C04533">
      <w:pPr>
        <w:pStyle w:val="TextoNormal"/>
      </w:pPr>
    </w:p>
    <w:p w14:paraId="097CDD13" w14:textId="77777777" w:rsidR="00C04533" w:rsidRDefault="00C04533" w:rsidP="00C04533">
      <w:pPr>
        <w:pStyle w:val="TextoNormal"/>
      </w:pPr>
      <w:r w:rsidRPr="00C04533">
        <w:rPr>
          <w:rStyle w:val="NumeroAFNegritaCaracter"/>
        </w:rPr>
        <w:t>2</w:t>
      </w:r>
      <w:r>
        <w:t>. El 20 de febrero de 2024, la representación procesal del recurrente de amparo presentó en este tribunal un escrito en el que promovía incidente de recusación frente a los magistrados don Cándido Conde-Pumpido Tourón y don Juan Carlos Campo Moreno, y las magistradas doña María Luisa Segoviano Astaburuaga y doña Inmaculada Montalbán Huertas.</w:t>
      </w:r>
    </w:p>
    <w:p w14:paraId="44E6AE76" w14:textId="77777777" w:rsidR="00C04533" w:rsidRDefault="00C04533" w:rsidP="00C04533">
      <w:pPr>
        <w:pStyle w:val="TextoNormal"/>
      </w:pPr>
    </w:p>
    <w:p w14:paraId="7CAABEC7" w14:textId="77777777" w:rsidR="00C04533" w:rsidRDefault="00C04533" w:rsidP="00C04533">
      <w:pPr>
        <w:pStyle w:val="TextoNormal"/>
      </w:pPr>
      <w:r>
        <w:t>En cuanto al magistrado don Cándido Conde-Pumpido Tourón, en el escrito de recusación se argumenta que está incurso en la causa octava del art. 219 de la Ley Orgánica del Poder Judicial (LOPJ) (“[t]ener pleito pendiente con alguna” de las partes), así como en la causa decimoprimera del art. 219 LOPJ (“haber resuelto el pleito o causa en la anterior instancia”), por tener la condición de “codemandado” en el recurso de amparo, en la medida en que dicho magistrado habría sido ponente de un auto de 11 de marzo de 2016, dictado por la Sala del art. 61 LOPJ, que disponía, según se afirma, la inadmisión de una previa demanda de error judicial (procedimiento núm. 9-2015) presentada por el recurrente frente a una sentencia dictada el 24 de junio de 2015 por la Sala de lo Social del Tribunal Supremo en el recurso de casación para la unificación de doctrina núm. 3125-2012.</w:t>
      </w:r>
    </w:p>
    <w:p w14:paraId="07ED095A" w14:textId="77777777" w:rsidR="00C04533" w:rsidRDefault="00C04533" w:rsidP="00C04533">
      <w:pPr>
        <w:pStyle w:val="TextoNormal"/>
      </w:pPr>
    </w:p>
    <w:p w14:paraId="15F2BDC7" w14:textId="77777777" w:rsidR="00C04533" w:rsidRDefault="00C04533" w:rsidP="00C04533">
      <w:pPr>
        <w:pStyle w:val="TextoNormal"/>
      </w:pPr>
      <w:r>
        <w:t>Respecto de la magistrada doña María Luisa Segoviano Astaburuaga, se alegan las mismas causas de recusación en relación, esta vez, con la ya citada sentencia de 24 de junio de 2015 de la Sala de lo Social del Tribunal Supremo, pues la magistrada recusada habría formado parte, según se alega, del colegio de magistrados que inadmitió el referido recurso de casación para la unificación de doctrina núm. 3125-2012.</w:t>
      </w:r>
    </w:p>
    <w:p w14:paraId="3CB975E7" w14:textId="77777777" w:rsidR="00C04533" w:rsidRDefault="00C04533" w:rsidP="00C04533">
      <w:pPr>
        <w:pStyle w:val="TextoNormal"/>
      </w:pPr>
    </w:p>
    <w:p w14:paraId="538B8E72" w14:textId="4B5D6AA7" w:rsidR="00C04533" w:rsidRDefault="00C04533" w:rsidP="00C04533">
      <w:pPr>
        <w:pStyle w:val="TextoNormal"/>
      </w:pPr>
      <w:r>
        <w:t>Respecto de la magistrada doña Inmaculada Montalbán Huertas y del magistrado don Juan Carlos Campo Moreno se alega que están incursos en la causa de recusación decimoprimera del art. 219 LOPJ, porque “[a]mbos han intervenido como principales protagonistas” en el incidente de recusación promovido por el recurrente el 27 de julio de 2023 contra el magistrado don Cándido Conde-Pumpido Tourón y la magistrada doña María Luisa Segoviano Astaburuaga en el recurso de amparo núm. 4811-2023, la primera como presidenta del Pleno del Tribunal Constitucional que dictó el ATC 488/2023, de 24 de octubre, por el que se inadmiten a trámite esas recusaciones, y el segundo como magistrado ponente de dicho incidente de recusación.</w:t>
      </w:r>
    </w:p>
    <w:p w14:paraId="503B8CB8" w14:textId="77777777" w:rsidR="00C04533" w:rsidRDefault="00C04533" w:rsidP="00C04533">
      <w:pPr>
        <w:pStyle w:val="TextoNormal"/>
      </w:pPr>
    </w:p>
    <w:p w14:paraId="60F59F03" w14:textId="49E22D3A" w:rsidR="00C04533" w:rsidRDefault="00C04533" w:rsidP="00C04533">
      <w:pPr>
        <w:pStyle w:val="TextoNormal"/>
      </w:pPr>
      <w:r w:rsidRPr="00C04533">
        <w:rPr>
          <w:rStyle w:val="NumeroAFNegritaCaracter"/>
        </w:rPr>
        <w:t>3</w:t>
      </w:r>
      <w:r>
        <w:t>. Por diligencia de ordenación de 8 de marzo de 2024, notificada al procurador del demandante el 12 de marzo de 2024, se acuerda formar pieza separada y designar ponente del incidente de recusación al magistrado don César Tolosa Tribiño.</w:t>
      </w:r>
    </w:p>
    <w:p w14:paraId="34337FFE" w14:textId="77777777" w:rsidR="00C04533" w:rsidRDefault="00C04533" w:rsidP="00C04533">
      <w:pPr>
        <w:pStyle w:val="TextoNormal"/>
      </w:pPr>
    </w:p>
    <w:p w14:paraId="7B2F72E1" w14:textId="77777777" w:rsidR="00C04533" w:rsidRDefault="00C04533" w:rsidP="00C04533">
      <w:pPr>
        <w:pStyle w:val="TextoNormal"/>
      </w:pPr>
      <w:r w:rsidRPr="00C04533">
        <w:rPr>
          <w:rStyle w:val="NumeroAFNegritaCaracter"/>
        </w:rPr>
        <w:t>4</w:t>
      </w:r>
      <w:r>
        <w:t>. Por ATC 33/2024, de 9 de abril, el Pleno del Tribunal acordó la inadmisión de las recusaciones promovidas en el recurso de amparo núm. 787-2024.</w:t>
      </w:r>
    </w:p>
    <w:p w14:paraId="34489422" w14:textId="77777777" w:rsidR="00C04533" w:rsidRDefault="00C04533" w:rsidP="00C04533">
      <w:pPr>
        <w:pStyle w:val="TextoNormal"/>
      </w:pPr>
    </w:p>
    <w:p w14:paraId="14882E02" w14:textId="77777777" w:rsidR="00C04533" w:rsidRDefault="00C04533" w:rsidP="00C04533">
      <w:pPr>
        <w:pStyle w:val="TextoNormal"/>
      </w:pPr>
      <w:r>
        <w:t>a) La recusación del magistrado don Juan Carlos Campo Moreno se inadmite por no concurrir la causa prevista en el art. 219.11 LOPJ, al no haber intervenido, en modo alguno, en instancias previas del pleito que ha dado lugar al presente recurso de amparo.</w:t>
      </w:r>
    </w:p>
    <w:p w14:paraId="578D3C1D" w14:textId="77777777" w:rsidR="00C04533" w:rsidRDefault="00C04533" w:rsidP="00C04533">
      <w:pPr>
        <w:pStyle w:val="TextoNormal"/>
      </w:pPr>
    </w:p>
    <w:p w14:paraId="4AB50348" w14:textId="468EA82F" w:rsidR="00C04533" w:rsidRDefault="00C04533" w:rsidP="00C04533">
      <w:pPr>
        <w:pStyle w:val="TextoNormal"/>
      </w:pPr>
      <w:r>
        <w:t>b) La recusación de los magistrados don Cándido Conde-Pumpido Tourón y de las magistradas doña María Luisa Segoviano Astaburuaga y doña Inmaculada Montalbán Huertas resulta improcedente en este momento procesal, ya que estos magistrados no forman parte de la Sección Segunda del Tribunal, que debe decidir sobre la admisión del presente recurso de amparo.</w:t>
      </w:r>
    </w:p>
    <w:p w14:paraId="73C4B044" w14:textId="77777777" w:rsidR="00C04533" w:rsidRDefault="00C04533" w:rsidP="00C04533">
      <w:pPr>
        <w:pStyle w:val="TextoNormal"/>
      </w:pPr>
    </w:p>
    <w:p w14:paraId="70FDAC4C" w14:textId="77777777" w:rsidR="00C04533" w:rsidRDefault="00C04533" w:rsidP="00C04533">
      <w:pPr>
        <w:pStyle w:val="TextoNormal"/>
      </w:pPr>
      <w:r w:rsidRPr="00C04533">
        <w:rPr>
          <w:rStyle w:val="NumeroAFNegritaCaracter"/>
        </w:rPr>
        <w:t>5</w:t>
      </w:r>
      <w:r>
        <w:t xml:space="preserve">. Frente al auto anterior de inadmisión </w:t>
      </w:r>
      <w:r w:rsidRPr="00C04533">
        <w:rPr>
          <w:i/>
        </w:rPr>
        <w:t>a limine</w:t>
      </w:r>
      <w:r>
        <w:t xml:space="preserve"> de la recusación, el demandante interpuso recurso de súplica en fecha 19 de abril de 2024, alegando como motivos de impugnación la infracción del procedimiento aplicable a la recusación y la infracción procesal y sustantiva de la resolución, con cita de los apartados 3 y 4 del art. 6 del Código civil (CC), de los arts. 80 y 101 de la Ley Orgánica del Tribunal Constitucional y de los arts. 11.2 y 3, 217, 223, 227 y 238.1 y 3 LOPJ, así como de los arts. 24.1 y 2 y 120.3 CE, como preceptos supuestamente infringidos.</w:t>
      </w:r>
    </w:p>
    <w:p w14:paraId="61E562B5" w14:textId="77777777" w:rsidR="00C04533" w:rsidRDefault="00C04533" w:rsidP="00C04533">
      <w:pPr>
        <w:pStyle w:val="TextoNormal"/>
      </w:pPr>
    </w:p>
    <w:p w14:paraId="5EBB3F8F" w14:textId="77777777" w:rsidR="00C04533" w:rsidRDefault="00C04533" w:rsidP="00C04533">
      <w:pPr>
        <w:pStyle w:val="TextoNormal"/>
      </w:pPr>
      <w:r>
        <w:t>La fundamentación del recurso se basa en que desde la interposición el 20 de febrero de 2024 del presente incidente de recusación, así como del incidente de recusación de los recursos de amparo 551-2024 y 773-2024 “se han producido hechos nuevos que afectan directamente y por igual a los tres recursos de amparo”. Y desarrolla en cinco apartados distintos lo que califica como “hechos nuevos”.</w:t>
      </w:r>
    </w:p>
    <w:p w14:paraId="2F177D61" w14:textId="77777777" w:rsidR="00C04533" w:rsidRDefault="00C04533" w:rsidP="00C04533">
      <w:pPr>
        <w:pStyle w:val="TextoNormal"/>
      </w:pPr>
    </w:p>
    <w:p w14:paraId="6197F706" w14:textId="77777777" w:rsidR="00C04533" w:rsidRDefault="00C04533" w:rsidP="00C04533">
      <w:pPr>
        <w:pStyle w:val="TextoNormal"/>
      </w:pPr>
      <w:r>
        <w:t>Los primeros tres apartados se refieren respectivamente a determinados escritos e incidencias del procedimiento de declaración de error judicial 2-2019 (apartado primero); del procedimiento de declaración de error judicial 8-2020 (apartado segundo); y del procedimiento de declaración de error judicial A61-3-2021. El cuarto apartado imputa a una providencia dictada por este tribunal en un recurso de amparo distinto (providencia de 5 de marzo de 2024 dictada en el recurso de amparo 4811-2023) la nulidad de pleno derecho por infracción manifiesta de la Constitución y de la jurisprudencia constitucional que exigen la motivación de la resolución y la contestación de todas las pretensiones formuladas, así como de la jurisprudencia del Tribunal Europeo de Derechos Humanos.</w:t>
      </w:r>
    </w:p>
    <w:p w14:paraId="17E43634" w14:textId="77777777" w:rsidR="00C04533" w:rsidRDefault="00C04533" w:rsidP="00C04533">
      <w:pPr>
        <w:pStyle w:val="TextoNormal"/>
      </w:pPr>
    </w:p>
    <w:p w14:paraId="18A6FB0B" w14:textId="77777777" w:rsidR="00C04533" w:rsidRDefault="00C04533" w:rsidP="00C04533">
      <w:pPr>
        <w:pStyle w:val="TextoNormal"/>
      </w:pPr>
      <w:r>
        <w:t>En el apartado quinto concluye afirmando que este tribunal “ha venido creando en las dos últimas décadas un ‘</w:t>
      </w:r>
      <w:r w:rsidRPr="00C04533">
        <w:rPr>
          <w:i/>
        </w:rPr>
        <w:t>corpus</w:t>
      </w:r>
      <w:r>
        <w:t xml:space="preserve"> jurisprudencial propio’ que entra en contradicción jurídica manifiesta con la normativa legislativa vigente de la propia Constitución Española, de la propia ley rituaria del Tribunal Constitucional y de la doctrina constitucional acuñada anterior al </w:t>
      </w:r>
      <w:r w:rsidRPr="00C04533">
        <w:rPr>
          <w:i/>
        </w:rPr>
        <w:t>corpus</w:t>
      </w:r>
      <w:r>
        <w:t xml:space="preserve"> jurisprudencial-rituario de nueva creación”.</w:t>
      </w:r>
    </w:p>
    <w:p w14:paraId="78D2B1AB" w14:textId="77777777" w:rsidR="00C04533" w:rsidRDefault="00C04533" w:rsidP="00C04533">
      <w:pPr>
        <w:pStyle w:val="TextoNormal"/>
      </w:pPr>
    </w:p>
    <w:p w14:paraId="4CCA10AB" w14:textId="1B251C9B" w:rsidR="00C04533" w:rsidRDefault="00C04533" w:rsidP="00C04533">
      <w:pPr>
        <w:pStyle w:val="TextoNormal"/>
      </w:pPr>
      <w:r>
        <w:t>En el suplico solicita la admisión de los documentos apartados y la estimación del recurso. Por otra parte, en el otrosí primero afirma que “[e]l Tribunal Constitucional con su dejación sistemática de obligaciones ante las resoluciones del Tribunal Supremo que incurren en la vulneración de los derechos fundamentales de los ciudadanos constituye el factor esencial y decisivo que ampara, potencia y blinda la vulneración sistemática de los derechos fundamentales por parte del Tribunal Supremo”; y en el otrosí segundo que se dé traslado de los documentos al Ministerio Fiscal “para que verifique conforme a los hechos probados señalados en las pruebas documentales, testimoniales y electrónicas aportadas y contenidas en autos cuáles son constitutivos de delito”.</w:t>
      </w:r>
    </w:p>
    <w:p w14:paraId="65FE6826" w14:textId="77777777" w:rsidR="00C04533" w:rsidRDefault="00C04533" w:rsidP="00C04533">
      <w:pPr>
        <w:pStyle w:val="TextoNormal"/>
      </w:pPr>
    </w:p>
    <w:p w14:paraId="3139B08C" w14:textId="04F788D0" w:rsidR="00C04533" w:rsidRDefault="00C04533" w:rsidP="00C04533">
      <w:pPr>
        <w:pStyle w:val="TextoNormal"/>
      </w:pPr>
      <w:r w:rsidRPr="00C04533">
        <w:rPr>
          <w:rStyle w:val="NumeroAFNegritaCaracter"/>
        </w:rPr>
        <w:t>6</w:t>
      </w:r>
      <w:r>
        <w:t>. Una vez subsanados por el recusante los defectos advertidos en la documentación aportada, en virtud de diligencia de ordenación dictada el 7 de mayo de 2024 se dio traslado del recurso de súplica al Ministerio Fiscal, a fin de que en el plazo de tres días pudiera alegar lo que estimase procedente en relación con dicha impugnación.</w:t>
      </w:r>
    </w:p>
    <w:p w14:paraId="1A8F5FAB" w14:textId="77777777" w:rsidR="00C04533" w:rsidRDefault="00C04533" w:rsidP="00C04533">
      <w:pPr>
        <w:pStyle w:val="TextoNormal"/>
      </w:pPr>
    </w:p>
    <w:p w14:paraId="41944986" w14:textId="0D7A8AF9" w:rsidR="00C04533" w:rsidRDefault="00C04533" w:rsidP="00C04533">
      <w:pPr>
        <w:pStyle w:val="TextoNormal"/>
      </w:pPr>
      <w:r w:rsidRPr="00C04533">
        <w:rPr>
          <w:rStyle w:val="NumeroAFNegritaCaracter"/>
        </w:rPr>
        <w:t>7</w:t>
      </w:r>
      <w:r>
        <w:t xml:space="preserve">. El 27 de mayo de 2024 tuvo entrada el escrito de alegaciones del Ministerio Fiscal. Tras exponer los antecedentes relevantes para la resolución de este recurso y la fundamentación del auto impugnado, así como las alegaciones y </w:t>
      </w:r>
      <w:r w:rsidRPr="00C04533">
        <w:rPr>
          <w:i/>
        </w:rPr>
        <w:t>petita</w:t>
      </w:r>
      <w:r>
        <w:t xml:space="preserve"> del recurso de súplica, interesa su desestimación: “En cuanto a las recusaciones del magistrado Excmo. señor don Cándido Conde-Pumpido Tourón, de la magistrada Excma. señora doña María Luisa Segoviano Astaburuaga y de la magistrada Excma. señora doña Inmaculada Montalbán Huertas, por circunstancia tan obvia como que ninguno de ellos forma parte de la Sección Segunda de ese Tribunal Constitucional, que es la que debe decidir sobre la admisión del recurso de amparo número 787-2024, argumento que, empleado en el auto de 9 de abril de 2024, ha de ser ahora confirmado. Y, por lo que se refiere a la recusación del magistrado Excmo. señor don Juan Carlos Campo Moreno, procederá igualmente la confirmación del auto de 9 de abril de 2024, toda vez que lo allí argumentado no ha sido desvirtuado por el repetido recurso de súplica”.</w:t>
      </w:r>
    </w:p>
    <w:p w14:paraId="6D6FE1C7" w14:textId="77777777" w:rsidR="00C04533" w:rsidRDefault="00C04533" w:rsidP="00C04533">
      <w:pPr>
        <w:pStyle w:val="TextoNormal"/>
      </w:pPr>
    </w:p>
    <w:p w14:paraId="4F60191A" w14:textId="77777777" w:rsidR="00C04533" w:rsidRDefault="00C04533" w:rsidP="00C04533">
      <w:pPr>
        <w:pStyle w:val="TextoNormalNegritaCentrado"/>
        <w:keepNext/>
      </w:pPr>
      <w:r>
        <w:t>II. Fundamentos jurídicos</w:t>
      </w:r>
    </w:p>
    <w:p w14:paraId="359E9D33" w14:textId="21017131" w:rsidR="00C04533" w:rsidRDefault="00C04533" w:rsidP="00C04533">
      <w:pPr>
        <w:pStyle w:val="TextoNormalNegritaCentrado"/>
        <w:keepNext/>
      </w:pPr>
    </w:p>
    <w:p w14:paraId="7ABC189E" w14:textId="77777777" w:rsidR="00C04533" w:rsidRDefault="00C04533" w:rsidP="00C04533">
      <w:pPr>
        <w:pStyle w:val="TextoNormal"/>
      </w:pPr>
      <w:r w:rsidRPr="00C04533">
        <w:rPr>
          <w:rStyle w:val="TextoNormalNegritaCaracter"/>
        </w:rPr>
        <w:t xml:space="preserve">Único. </w:t>
      </w:r>
      <w:r w:rsidRPr="00C04533">
        <w:rPr>
          <w:i/>
        </w:rPr>
        <w:t>Desestimación del recurso de súplica</w:t>
      </w:r>
    </w:p>
    <w:p w14:paraId="0A3B7156" w14:textId="77777777" w:rsidR="00C04533" w:rsidRDefault="00C04533" w:rsidP="00C04533">
      <w:pPr>
        <w:pStyle w:val="TextoNormal"/>
      </w:pPr>
    </w:p>
    <w:p w14:paraId="12AF1D5F" w14:textId="77777777" w:rsidR="00C04533" w:rsidRDefault="00C04533" w:rsidP="00C04533">
      <w:pPr>
        <w:pStyle w:val="TextoNormal"/>
      </w:pPr>
      <w:r>
        <w:t>El demandante interpone recurso de súplica contra el ATC 33/2024, de 9 de abril, del Pleno de este tribunal, por el que se acordó la inadmisión a trámite de las recusaciones promovidas por aquel contra los magistrados don Cándido Conde-Pumpido Tourón y don Juan Carlos Campo Moreno y de las magistradas doña María Luisa Segoviano Astaburuaga y doña Inmaculada Montalbán Huertas para conocer del recurso de amparo núm. 787-2024, que está pendiente de una decisión sobre su admisibilidad en la Sección Segunda.</w:t>
      </w:r>
    </w:p>
    <w:p w14:paraId="0A1476D2" w14:textId="77777777" w:rsidR="00C04533" w:rsidRDefault="00C04533" w:rsidP="00C04533">
      <w:pPr>
        <w:pStyle w:val="TextoNormal"/>
      </w:pPr>
    </w:p>
    <w:p w14:paraId="34D5F2B9" w14:textId="322D3A91" w:rsidR="00C04533" w:rsidRDefault="00C04533" w:rsidP="00C04533">
      <w:pPr>
        <w:pStyle w:val="TextoNormal"/>
      </w:pPr>
      <w:r>
        <w:t xml:space="preserve">Ninguna de las alegaciones puestas de manifiesto por el recurrente desvirtúa las razones que llevaron a acordar la inadmisión </w:t>
      </w:r>
      <w:r w:rsidRPr="00C04533">
        <w:rPr>
          <w:i/>
        </w:rPr>
        <w:t>a limine</w:t>
      </w:r>
      <w:r>
        <w:t xml:space="preserve"> de la recusación que pretendía de los cuatro magistrados referidos, decisión que ha de ser confirmada. No concurre la causa de recusación del art. 219.11 LOPJ respecto del magistrado don Juan Carlos Campo Moreno, al no haber tenido intervención alguna en instancias previas del pleito que ha dado lugar al presente recurso de amparo; y resulta improcedente, en el estado en que se encuentra el recurso de amparo núm. 787-2024, pendiente de decisión sobre su admisión en la Sección Segunda, plantear una recusación respecto del magistrado don Cándido Conde-Pumpido y las magistradas doña María Luisa Segoviano Astaburuaga y doña Inmaculada Montalbán Huertas, que no forman parte de esa sección.</w:t>
      </w:r>
    </w:p>
    <w:p w14:paraId="27C64A15" w14:textId="77777777" w:rsidR="00C04533" w:rsidRDefault="00C04533" w:rsidP="00C04533">
      <w:pPr>
        <w:pStyle w:val="TextoNormal"/>
      </w:pPr>
    </w:p>
    <w:p w14:paraId="3F1EF5DB" w14:textId="77777777" w:rsidR="00C04533" w:rsidRDefault="00C04533" w:rsidP="00C04533">
      <w:pPr>
        <w:pStyle w:val="TextoNormal"/>
      </w:pPr>
      <w:r>
        <w:t>Por lo expuesto, el Pleno</w:t>
      </w:r>
    </w:p>
    <w:p w14:paraId="2545A854" w14:textId="7C576086" w:rsidR="00C04533" w:rsidRDefault="00C04533" w:rsidP="00C04533">
      <w:pPr>
        <w:pStyle w:val="TextoNormal"/>
      </w:pPr>
    </w:p>
    <w:p w14:paraId="7C8EBE36" w14:textId="77777777" w:rsidR="00C04533" w:rsidRDefault="00C04533" w:rsidP="00C04533">
      <w:pPr>
        <w:pStyle w:val="TextoNormalCentrado"/>
      </w:pPr>
      <w:r>
        <w:t>ACUERDA</w:t>
      </w:r>
    </w:p>
    <w:p w14:paraId="308C1914" w14:textId="09AAE7E4" w:rsidR="00C04533" w:rsidRDefault="00C04533" w:rsidP="00C04533">
      <w:pPr>
        <w:pStyle w:val="TextoNormalCentrado"/>
      </w:pPr>
    </w:p>
    <w:p w14:paraId="6C355A8C" w14:textId="55DFA378" w:rsidR="00C04533" w:rsidRDefault="00C04533" w:rsidP="00C04533">
      <w:pPr>
        <w:pStyle w:val="TextoNormal"/>
      </w:pPr>
      <w:r>
        <w:t>Desestimar el recurso de súplica interpuesto por don Antonio López Navidad contra el ATC 33/2024, de 9 de abril.</w:t>
      </w:r>
    </w:p>
    <w:p w14:paraId="30F62C4E" w14:textId="77777777" w:rsidR="00C04533" w:rsidRDefault="00C04533" w:rsidP="00C04533">
      <w:pPr>
        <w:pStyle w:val="TextoNormal"/>
      </w:pPr>
    </w:p>
    <w:p w14:paraId="393C7E17" w14:textId="77777777" w:rsidR="00C04533" w:rsidRDefault="00C04533" w:rsidP="00C04533">
      <w:pPr>
        <w:pStyle w:val="TextoNormal"/>
      </w:pPr>
      <w:r>
        <w:t>Madrid, a diez de septiembre de dos mil veinticuatro.</w:t>
      </w:r>
    </w:p>
    <w:p w14:paraId="784E13F8" w14:textId="6660F9B1" w:rsidR="00C04533" w:rsidRDefault="00C04533">
      <w:pPr>
        <w:spacing w:after="160" w:line="278" w:lineRule="auto"/>
        <w:rPr>
          <w:rFonts w:ascii="Times New Roman" w:eastAsia="Times New Roman" w:hAnsi="Times New Roman" w:cs="Times New Roman"/>
          <w:sz w:val="24"/>
          <w:szCs w:val="24"/>
          <w:lang w:eastAsia="es-ES"/>
        </w:rPr>
      </w:pPr>
      <w:r>
        <w:br w:type="page"/>
      </w:r>
    </w:p>
    <w:p w14:paraId="6E534236" w14:textId="77777777" w:rsidR="00C04533" w:rsidRDefault="00C04533" w:rsidP="00C04533">
      <w:pPr>
        <w:pStyle w:val="TtuloResolucin"/>
      </w:pPr>
      <w:bookmarkStart w:id="86" w:name="AUTO_2024_80"/>
      <w:r>
        <w:t>AUTO 80/2024, de 10 de septiembre de 2024</w:t>
      </w:r>
    </w:p>
    <w:bookmarkEnd w:id="86"/>
    <w:p w14:paraId="29F345DD" w14:textId="77777777" w:rsidR="00C04533" w:rsidRDefault="00C04533" w:rsidP="00C04533">
      <w:pPr>
        <w:pStyle w:val="TtuloResolucin"/>
      </w:pPr>
      <w:r>
        <w:t>Pleno</w:t>
      </w:r>
    </w:p>
    <w:p w14:paraId="78EF4843" w14:textId="77777777" w:rsidR="00C04533" w:rsidRDefault="00C04533" w:rsidP="00C04533">
      <w:pPr>
        <w:pStyle w:val="TextoNormalCentrado"/>
      </w:pPr>
      <w:r>
        <w:t>ECLI:ES:TC:2024:80A</w:t>
      </w:r>
    </w:p>
    <w:p w14:paraId="51984D08" w14:textId="5AD00226" w:rsidR="00C04533" w:rsidRDefault="00C04533" w:rsidP="00C04533">
      <w:pPr>
        <w:pStyle w:val="TextoNormalCentrado"/>
      </w:pPr>
    </w:p>
    <w:p w14:paraId="671F75E5" w14:textId="77777777" w:rsidR="00C04533" w:rsidRDefault="00C04533" w:rsidP="00C04533">
      <w:pPr>
        <w:pStyle w:val="SntesisDescriptiva"/>
      </w:pPr>
      <w:r>
        <w:t>Excms. Srs. don Cándido Conde-Pumpido Tourón, doña Inmaculada Montalbán Huertas, don Ricardo Enríquez Sancho, doña María Luisa Balaguer Callejón, don Enrique Arnaldo Alcubilla, doña Concepción Espejel Jorquera, doña María Luisa Segoviano Astaburuaga, don César Tolosa Tribiño, don Juan Carlos Campo Moreno, doña Laura Díez Bueso y don José María Macías Castaño.</w:t>
      </w:r>
    </w:p>
    <w:p w14:paraId="76156935" w14:textId="68F70248" w:rsidR="00C04533" w:rsidRDefault="00C04533" w:rsidP="00C04533">
      <w:pPr>
        <w:pStyle w:val="SntesisDescriptiva"/>
      </w:pPr>
    </w:p>
    <w:p w14:paraId="5FD95EFF" w14:textId="77777777" w:rsidR="00C04533" w:rsidRDefault="00C04533" w:rsidP="00C04533">
      <w:pPr>
        <w:pStyle w:val="SntesisDescriptiva"/>
      </w:pPr>
      <w:r>
        <w:t>Inadmite a trámite la cuestión de inconstitucionalidad 1348-2024, planteada por la Sección Cuarta de la Sala de lo Contencioso-Administrativo del Tribunal Supremo, en relación con el artículo 17 bis.2 b) de la Ley Orgánica 8/2007, de 4 de julio, sobre financiación de los partidos políticos.</w:t>
      </w:r>
    </w:p>
    <w:p w14:paraId="598E03AA" w14:textId="10DF4150" w:rsidR="00C04533" w:rsidRDefault="00C04533" w:rsidP="00C04533">
      <w:pPr>
        <w:pStyle w:val="SntesisDescriptiva"/>
      </w:pPr>
    </w:p>
    <w:p w14:paraId="6FBDB0BF" w14:textId="77777777" w:rsidR="00C04533" w:rsidRDefault="00C04533" w:rsidP="00C04533">
      <w:pPr>
        <w:pStyle w:val="SntesisDescriptiva"/>
      </w:pPr>
    </w:p>
    <w:p w14:paraId="3D93276A" w14:textId="77777777" w:rsidR="00C04533" w:rsidRDefault="00C04533" w:rsidP="00C04533">
      <w:pPr>
        <w:pStyle w:val="SntesisDescriptiva"/>
      </w:pPr>
    </w:p>
    <w:p w14:paraId="4A21B8F8" w14:textId="77777777" w:rsidR="00C04533" w:rsidRDefault="00C04533" w:rsidP="00C04533">
      <w:pPr>
        <w:pStyle w:val="TextoNormalNegritaCentrado"/>
      </w:pPr>
      <w:r>
        <w:t>AUTO</w:t>
      </w:r>
    </w:p>
    <w:p w14:paraId="6D48F679" w14:textId="23247ED0" w:rsidR="00C04533" w:rsidRDefault="00C04533" w:rsidP="00C04533">
      <w:pPr>
        <w:pStyle w:val="TextoNormalNegritaCentrado"/>
      </w:pPr>
    </w:p>
    <w:p w14:paraId="58F8CF2D" w14:textId="77777777" w:rsidR="00C04533" w:rsidRDefault="00C04533" w:rsidP="00C04533">
      <w:pPr>
        <w:pStyle w:val="TextoNormalNegritaCentrado"/>
        <w:keepNext/>
      </w:pPr>
      <w:r>
        <w:t>I. Antecedentes</w:t>
      </w:r>
    </w:p>
    <w:p w14:paraId="2892DA04" w14:textId="24C29C74" w:rsidR="00C04533" w:rsidRDefault="00C04533" w:rsidP="00C04533">
      <w:pPr>
        <w:pStyle w:val="TextoNormalNegritaCentrado"/>
        <w:keepNext/>
      </w:pPr>
    </w:p>
    <w:p w14:paraId="5BC9387A" w14:textId="192D1474" w:rsidR="00C04533" w:rsidRDefault="00C04533" w:rsidP="00C04533">
      <w:pPr>
        <w:pStyle w:val="TextoNormal"/>
      </w:pPr>
      <w:r w:rsidRPr="00C04533">
        <w:rPr>
          <w:rStyle w:val="NumeroAFNegritaCaracter"/>
        </w:rPr>
        <w:t>1</w:t>
      </w:r>
      <w:r>
        <w:t xml:space="preserve">. El día 27 de febrero de 2024 ha tenido entrada en el registro general de este tribunal el oficio de 21 de febrero de 2024 firmado por la letrada de la administración de justicia de la Sección Cuarta de la Sala de lo Contencioso-Administrativo del Tribunal Supremo. Al referido oficio se adjunta, además del testimonio de las actuaciones, el auto de 15 de febrero de 2024, en el que el citado órgano judicial acuerda plantear cuestión de inconstitucionalidad respecto del inciso “sin que en ningún caso pueda ser inferior a 25 000 €” del art. 17 </w:t>
      </w:r>
      <w:r w:rsidRPr="00C04533">
        <w:rPr>
          <w:i/>
        </w:rPr>
        <w:t>bis</w:t>
      </w:r>
      <w:r>
        <w:t>.2 b) de la Ley Orgánica 8/2007, de 4 de julio, sobre financiación de los partidos políticos (en adelante, Ley Orgánica 8/2007).</w:t>
      </w:r>
    </w:p>
    <w:p w14:paraId="633F20BE" w14:textId="77777777" w:rsidR="00C04533" w:rsidRDefault="00C04533" w:rsidP="00C04533">
      <w:pPr>
        <w:pStyle w:val="TextoNormal"/>
      </w:pPr>
    </w:p>
    <w:p w14:paraId="21FB5773" w14:textId="77777777" w:rsidR="00C04533" w:rsidRDefault="00C04533" w:rsidP="00C04533">
      <w:pPr>
        <w:pStyle w:val="TextoNormal"/>
      </w:pPr>
      <w:r w:rsidRPr="00C04533">
        <w:rPr>
          <w:rStyle w:val="NumeroAFNegritaCaracter"/>
        </w:rPr>
        <w:t>2</w:t>
      </w:r>
      <w:r>
        <w:t>. Los hechos de los que trae causa la cuestión de inconstitucionalidad son, en síntesis, los siguientes:</w:t>
      </w:r>
    </w:p>
    <w:p w14:paraId="0F4D16E8" w14:textId="77777777" w:rsidR="00C04533" w:rsidRDefault="00C04533" w:rsidP="00C04533">
      <w:pPr>
        <w:pStyle w:val="TextoNormal"/>
      </w:pPr>
    </w:p>
    <w:p w14:paraId="7FAD0017" w14:textId="77777777" w:rsidR="00C04533" w:rsidRDefault="00C04533" w:rsidP="00C04533">
      <w:pPr>
        <w:pStyle w:val="TextoNormal"/>
      </w:pPr>
      <w:r>
        <w:t>a) La formación política Sí se puede concurrió a las elecciones locales convocadas por el Real Decreto 209/2019, de 1 de abril, y presentó candidaturas en diez municipios de la provincia de Santa Cruz de Tenerife y al Cabildo Insular de La Gomera. En cumplimiento de lo previsto en el art. 133.1 de la Ley Orgánica 5/1985, de 19 de junio, del régimen electoral general (en adelante, LOREG), dicha formación presentó su contabilidad electoral ante el Tribunal de Cuentas.</w:t>
      </w:r>
    </w:p>
    <w:p w14:paraId="59B16020" w14:textId="77777777" w:rsidR="00C04533" w:rsidRDefault="00C04533" w:rsidP="00C04533">
      <w:pPr>
        <w:pStyle w:val="TextoNormal"/>
      </w:pPr>
    </w:p>
    <w:p w14:paraId="27FE35D7" w14:textId="77777777" w:rsidR="00C04533" w:rsidRDefault="00C04533" w:rsidP="00C04533">
      <w:pPr>
        <w:pStyle w:val="TextoNormal"/>
      </w:pPr>
      <w:r>
        <w:t>b) El Pleno del Tribunal de Cuentas aprobó el 25 de febrero de 2021 el “Informe de fiscalización de las contabilidades electorales de las elecciones locales de 26 de mayo de 2019”. En el apartado III.162, epígrafe “Superación del límite de gastos del proceso”, se puso de manifiesto que la formación política Sí se puede superó el límite máximo de gastos establecidos en el art. 193.2 LOREG en 2305,31 €, lo que supuso un exceso del 6,81 por 100 sobre el límite máximo de gastos (33 850,85 €). Asimismo, excedió el límite de gastos de publicidad exterior (art. 55.3 LOREG) en 672,52 €, lo que supuso un exceso del 9,93 por 100 sobre dicho límite (6770,17 €).</w:t>
      </w:r>
    </w:p>
    <w:p w14:paraId="458D709A" w14:textId="77777777" w:rsidR="00C04533" w:rsidRDefault="00C04533" w:rsidP="00C04533">
      <w:pPr>
        <w:pStyle w:val="TextoNormal"/>
      </w:pPr>
    </w:p>
    <w:p w14:paraId="103D6982" w14:textId="77777777" w:rsidR="00C04533" w:rsidRDefault="00C04533" w:rsidP="00C04533">
      <w:pPr>
        <w:pStyle w:val="TextoNormal"/>
      </w:pPr>
      <w:r>
        <w:t>c) Por resolución de 29 de abril de 2021, el Pleno del Tribunal de Cuentas acordó la apertura de un periodo de información previa a la formación política Sí se puede, otorgándole el trámite de audiencia para que alegara lo que estimara conveniente sobre la procedencia de iniciar un procedimiento sancionador, en relación con la superación de los límites de los gastos electorales establecidos en los arts. 55.3 y 193.2 LOREG.</w:t>
      </w:r>
    </w:p>
    <w:p w14:paraId="288EA767" w14:textId="77777777" w:rsidR="00C04533" w:rsidRDefault="00C04533" w:rsidP="00C04533">
      <w:pPr>
        <w:pStyle w:val="TextoNormal"/>
      </w:pPr>
    </w:p>
    <w:p w14:paraId="033040C5" w14:textId="77777777" w:rsidR="00C04533" w:rsidRDefault="00C04533" w:rsidP="00C04533">
      <w:pPr>
        <w:pStyle w:val="TextoNormal"/>
      </w:pPr>
      <w:r>
        <w:t>La formación política Sí se puede formuló alegaciones solicitando al Tribunal de Cuentas que declarara que no había superado el límite de los gastos electorales.</w:t>
      </w:r>
    </w:p>
    <w:p w14:paraId="1F7E9B58" w14:textId="77777777" w:rsidR="00C04533" w:rsidRDefault="00C04533" w:rsidP="00C04533">
      <w:pPr>
        <w:pStyle w:val="TextoNormal"/>
      </w:pPr>
    </w:p>
    <w:p w14:paraId="0133AF74" w14:textId="77777777" w:rsidR="00C04533" w:rsidRDefault="00C04533" w:rsidP="00C04533">
      <w:pPr>
        <w:pStyle w:val="TextoNormal"/>
      </w:pPr>
      <w:r>
        <w:t>d) El 24 de junio de 2021, el Pleno del Tribunal de Cuentas acordó iniciar un procedimiento sancionador (art. 18 de la Ley Orgánica 8/2007); conclusa la instrucción, por resolución de 29 de noviembre de 2021, acordó imponer a la formación política Sí se puede dos sanciones por la comisión de dos infracciones graves, ambas previstas en el art. 17.3 b) de la Ley Orgánica 8/2007:</w:t>
      </w:r>
    </w:p>
    <w:p w14:paraId="15177CAC" w14:textId="77777777" w:rsidR="00C04533" w:rsidRDefault="00C04533" w:rsidP="00C04533">
      <w:pPr>
        <w:pStyle w:val="TextoNormal"/>
      </w:pPr>
    </w:p>
    <w:p w14:paraId="7B20F2E4" w14:textId="77777777" w:rsidR="00C04533" w:rsidRDefault="00C04533" w:rsidP="00C04533">
      <w:pPr>
        <w:pStyle w:val="TextoNormal"/>
      </w:pPr>
      <w:r>
        <w:t xml:space="preserve">(i) Una sanción por superar el límite máximo de los gastos electorales establecido en el art. 193.2 LOREG. El límite máximo era de 33 850,85 € y el exceso ascendió a 2305,31 €. Por aplicación del principio </w:t>
      </w:r>
      <w:r w:rsidRPr="00C04533">
        <w:rPr>
          <w:i/>
        </w:rPr>
        <w:t>non bis in idem</w:t>
      </w:r>
      <w:r>
        <w:t xml:space="preserve">, el órgano sancionador excluyó de dicho exceso el producido respecto del límite específico de gastos de publicidad exterior (672,52 €), ya que este gasto estaba incluido en el total. Así, del exceso total producido se restó el exceso incurrido en gastos de publicidad, lo que arrojaba un importe de 1632,79 € (2305,31 € menos 672,52 €). En atención a la culpabilidad de la formación infractora, el Tribunal de Cuentas consideró adecuado imponer la sanción en el umbral inferior de la horquilla (del duplo al quíntuplo del exceso), por lo que la multa debería ser el doble, es decir, 3265,58 € (1632,79 € multiplicado por dos). Sin embargo, al prever el inciso final del art. 17 </w:t>
      </w:r>
      <w:r w:rsidRPr="00C04533">
        <w:rPr>
          <w:i/>
        </w:rPr>
        <w:t>bis</w:t>
      </w:r>
      <w:r>
        <w:t>.2 b) de la Ley Orgánica 8/2007 “sin que en ningún caso pueda ser inferior a 25 000 €”, se impuso una multa por este importe.</w:t>
      </w:r>
    </w:p>
    <w:p w14:paraId="083A6FBF" w14:textId="77777777" w:rsidR="00C04533" w:rsidRDefault="00C04533" w:rsidP="00C04533">
      <w:pPr>
        <w:pStyle w:val="TextoNormal"/>
      </w:pPr>
    </w:p>
    <w:p w14:paraId="6F60C213" w14:textId="77777777" w:rsidR="00C04533" w:rsidRDefault="00C04533" w:rsidP="00C04533">
      <w:pPr>
        <w:pStyle w:val="TextoNormal"/>
      </w:pPr>
      <w:r>
        <w:t>(ii) Una segunda sanción por superar el límite específico de gastos de publicidad exterior, que el Tribunal de Cuentas también estimó que debía sancionarse en el umbral inferior de la horquilla, es decir, el doble del exceso 1345,04 € (672,52 € multiplicado por dos) pero, al operar de nuevo el mínimo de 25 000 €, se impuso este.</w:t>
      </w:r>
    </w:p>
    <w:p w14:paraId="694C6F36" w14:textId="77777777" w:rsidR="00C04533" w:rsidRDefault="00C04533" w:rsidP="00C04533">
      <w:pPr>
        <w:pStyle w:val="TextoNormal"/>
      </w:pPr>
    </w:p>
    <w:p w14:paraId="7EABD22A" w14:textId="77777777" w:rsidR="00C04533" w:rsidRDefault="00C04533" w:rsidP="00C04533">
      <w:pPr>
        <w:pStyle w:val="TextoNormal"/>
      </w:pPr>
      <w:r>
        <w:t>Frente a la invocación por la parte recurrente del principio de proporcionalidad, la resolución señala que este debe valorarlo el legislador y que el Tribunal de Cuentas solo puede aplicar la normativa vigente.</w:t>
      </w:r>
    </w:p>
    <w:p w14:paraId="4C09580B" w14:textId="77777777" w:rsidR="00C04533" w:rsidRDefault="00C04533" w:rsidP="00C04533">
      <w:pPr>
        <w:pStyle w:val="TextoNormal"/>
      </w:pPr>
    </w:p>
    <w:p w14:paraId="7AAA968C" w14:textId="77777777" w:rsidR="00C04533" w:rsidRDefault="00C04533" w:rsidP="00C04533">
      <w:pPr>
        <w:pStyle w:val="TextoNormal"/>
      </w:pPr>
      <w:r>
        <w:t xml:space="preserve">e) La formación política Sí se puede interpuso un recurso contra la resolución sancionadora ante la Sala de lo Contencioso-Administrativo del Tribunal Supremo. En el escrito de demanda, presentado el 16 de marzo de 2022, alegaba que (i) contrariamente a lo afirmado por el Tribunal de Cuentas, la entidad no realizó actos de publicidad exterior que infringieran el art. 55.3 LOREG; y (ii) el proceso electoral en que participó era concurrente (municipal e insular), por lo que tenía derecho a aplicar un porcentaje suplementario de gasto (art. 131.2 LOREG), lo que hacía inexistente la infracción. Con carácter subsidiario, solicitaba al Tribunal Supremo que plantease una cuestión de inconstitucionalidad en relación con el art. 17 </w:t>
      </w:r>
      <w:r w:rsidRPr="00C04533">
        <w:rPr>
          <w:i/>
        </w:rPr>
        <w:t>bis</w:t>
      </w:r>
      <w:r>
        <w:t>.2 b) de la Ley Orgánica 8/2007, por entender que la sanción mínima prevista en su último inciso era contraria al principio de proporcionalidad, teniendo en cuenta que los excesos de gasto en que había incurrido eran muy modestos; solicitud que reiteró en el trámite de conclusiones.</w:t>
      </w:r>
    </w:p>
    <w:p w14:paraId="2A9F6BD0" w14:textId="77777777" w:rsidR="00C04533" w:rsidRDefault="00C04533" w:rsidP="00C04533">
      <w:pPr>
        <w:pStyle w:val="TextoNormal"/>
      </w:pPr>
    </w:p>
    <w:p w14:paraId="197426F0" w14:textId="77777777" w:rsidR="00C04533" w:rsidRDefault="00C04533" w:rsidP="00C04533">
      <w:pPr>
        <w:pStyle w:val="TextoNormal"/>
      </w:pPr>
      <w:r>
        <w:t>f) La abogada del Estado presentó su escrito de contestación a la demanda el 21 de abril de 2022. En él consideraba que las sanciones impuestas se ajustaban a la ley, si bien anticipaba su conformidad con la solicitud de planteamiento de una cuestión de inconstitucionalidad por la posible desproporción entre la infracción y la sanción. Añadía que con ello seguía el criterio resultante del oficio de la presidenta del Tribunal de Cuentas de 20 de abril de 2022, en el que se cita el acuerdo de 27 de julio de 2021, por el que el Pleno había elevado una moción a las Cortes Generales recomendando la modificación de algunos de los aspectos del régimen sancionador previsto en la Ley Orgánica 8/2007, moción que había reiterado el 27 de enero de 2022. El Tribunal de Cuentas —proseguía el oficio de la presidenta— comparte la falta de proporcionalidad entre las infracciones y las sanciones de la Ley Orgánica 8/2007, en atención a lo cual, solicitaba a la Abogacía del Estado que se manifestara a favor del planteamiento de la cuestión de inconstitucionalidad en los procesos en que interviniera.</w:t>
      </w:r>
    </w:p>
    <w:p w14:paraId="4C191A60" w14:textId="77777777" w:rsidR="00C04533" w:rsidRDefault="00C04533" w:rsidP="00C04533">
      <w:pPr>
        <w:pStyle w:val="TextoNormal"/>
      </w:pPr>
    </w:p>
    <w:p w14:paraId="02641B78" w14:textId="77777777" w:rsidR="00C04533" w:rsidRDefault="00C04533" w:rsidP="00C04533">
      <w:pPr>
        <w:pStyle w:val="TextoNormal"/>
      </w:pPr>
      <w:r>
        <w:t xml:space="preserve">g) Mediante auto de 25 de enero de 2023, la Sección Cuarta de la Sala de lo Contencioso-Administrativo del Tribunal Supremo planteó una cuestión de inconstitucionalidad sobre el inciso “sin que en ningún caso pueda ser inferior a 25 000 €” del art. 17 </w:t>
      </w:r>
      <w:r w:rsidRPr="00C04533">
        <w:rPr>
          <w:i/>
        </w:rPr>
        <w:t>bis</w:t>
      </w:r>
      <w:r>
        <w:t>.2 b) de la Ley Orgánica 8/2007.</w:t>
      </w:r>
    </w:p>
    <w:p w14:paraId="730A4F71" w14:textId="77777777" w:rsidR="00C04533" w:rsidRDefault="00C04533" w:rsidP="00C04533">
      <w:pPr>
        <w:pStyle w:val="TextoNormal"/>
      </w:pPr>
    </w:p>
    <w:p w14:paraId="0D32585B" w14:textId="77777777" w:rsidR="00C04533" w:rsidRDefault="00C04533" w:rsidP="00C04533">
      <w:pPr>
        <w:pStyle w:val="TextoNormal"/>
      </w:pPr>
      <w:r>
        <w:t>En el ATC 526/2023, de 6 de noviembre, este tribunal acordó la inadmisión de dicha cuestión de inconstitucionalidad al apreciar la concurrencia de los siguientes óbices procesales: (i) la providencia de 22 de noviembre de 2022 únicamente concedió audiencia al Ministerio Fiscal, omitiendo abrir el trámite alegatorio para las partes en el proceso contencioso administrativo, como impone imperativamente el art 35.2 de la Ley Orgánica del Tribunal Constitucional (LOTC) [FJ 3 a)]; y (ii) la providencia de 22 de noviembre de 2022 no indicaba el precepto legal sobre cuya constitucionalidad albergaba dudas la Sala, ni tampoco mencionaba los preceptos constitucionales que se reputaban infringidos por aquel, sino que se limitaba a remitirse a los escritos de las partes demandante y demandada en el proces</w:t>
      </w:r>
      <w:r w:rsidRPr="00C04533">
        <w:rPr>
          <w:i/>
        </w:rPr>
        <w:t>o a q</w:t>
      </w:r>
      <w:r>
        <w:t>uo [FJ 3 b)].</w:t>
      </w:r>
    </w:p>
    <w:p w14:paraId="0B409798" w14:textId="77777777" w:rsidR="00C04533" w:rsidRDefault="00C04533" w:rsidP="00C04533">
      <w:pPr>
        <w:pStyle w:val="TextoNormal"/>
      </w:pPr>
    </w:p>
    <w:p w14:paraId="2D0FB9E5" w14:textId="77777777" w:rsidR="00C04533" w:rsidRDefault="00C04533" w:rsidP="00C04533">
      <w:pPr>
        <w:pStyle w:val="TextoNormal"/>
      </w:pPr>
      <w:r>
        <w:t>h) Devueltas las actuaciones, el día 22 de noviembre de 2023 la Sección Cuarta de la Sala de lo Contencioso-Administrativo del Tribunal Supremo dictó una providencia en la que acordó “dar traslado a las partes y al Ministerio Fiscal” del ATC 526/2023, “a fin de que, en el plazo de cinco días, aleguen lo que estimen conveniente y, en particular, sobre la posibilidad de que esta sala, haciendo uso de la facultad prevista en el art. 240.2 de la Ley Orgánica del Poder Judicial, retrotraiga las actuaciones al momento de oír a las partes sobre el planteamiento de [una] cuestión de inconstitucionalidad con sujeción a lo dispuesto por el art. 35 LOTC”.</w:t>
      </w:r>
    </w:p>
    <w:p w14:paraId="7E3DF30F" w14:textId="77777777" w:rsidR="00C04533" w:rsidRDefault="00C04533" w:rsidP="00C04533">
      <w:pPr>
        <w:pStyle w:val="TextoNormal"/>
      </w:pPr>
    </w:p>
    <w:p w14:paraId="7E72E0C7" w14:textId="77777777" w:rsidR="00C04533" w:rsidRDefault="00C04533" w:rsidP="00C04533">
      <w:pPr>
        <w:pStyle w:val="TextoNormal"/>
      </w:pPr>
      <w:r>
        <w:t>i) En cumplimentación del trámite anterior, tanto la representación procesal de la parte recurrente como el abogado del Estado (como parte recurrida) mostraron su conformidad con la declaración de nulidad y retroacción de actuaciones. El Ministerio Fiscal sostuvo, en cambio, que la declaración de nulidad de actuaciones no era necesaria y podía procederse directamente, con arreglo al art. 35 LOTC, a oír a las partes y al fiscal sobre la procedencia de plantear una cuestión de inconstitucionalidad.</w:t>
      </w:r>
    </w:p>
    <w:p w14:paraId="0AD6B632" w14:textId="77777777" w:rsidR="00C04533" w:rsidRDefault="00C04533" w:rsidP="00C04533">
      <w:pPr>
        <w:pStyle w:val="TextoNormal"/>
      </w:pPr>
    </w:p>
    <w:p w14:paraId="040ECD83" w14:textId="77777777" w:rsidR="00C04533" w:rsidRDefault="00C04533" w:rsidP="00C04533">
      <w:pPr>
        <w:pStyle w:val="TextoNormal"/>
      </w:pPr>
      <w:r>
        <w:t xml:space="preserve">j) A la vista de lo alegado, la Sección Cuarta de la Sala de lo Contencioso-Administrativo del Tribunal Supremo dictó un auto de 20 de diciembre de 2023, en el que procedía directamente a abrir el trámite del art. 35 LOTC concediendo un plazo común de diez días para que las partes y el Ministerio Fiscal aleguen lo que estimen oportuno sobre el posible planteamiento de la cuestión de inconstitucionalidad sobre el art. 17 </w:t>
      </w:r>
      <w:r w:rsidRPr="00C04533">
        <w:rPr>
          <w:i/>
        </w:rPr>
        <w:t>bis</w:t>
      </w:r>
      <w:r>
        <w:t>.2 b) de la Ley Orgánica 8/2007, en relación con el art. 25 de la Constitución.</w:t>
      </w:r>
    </w:p>
    <w:p w14:paraId="53AEC4F9" w14:textId="77777777" w:rsidR="00C04533" w:rsidRDefault="00C04533" w:rsidP="00C04533">
      <w:pPr>
        <w:pStyle w:val="TextoNormal"/>
      </w:pPr>
    </w:p>
    <w:p w14:paraId="4E4624DB" w14:textId="77777777" w:rsidR="00C04533" w:rsidRDefault="00C04533" w:rsidP="00C04533">
      <w:pPr>
        <w:pStyle w:val="TextoNormal"/>
      </w:pPr>
      <w:r>
        <w:t xml:space="preserve">En la fundamentación jurídica de este auto la Sala señala que el recurso contencioso administrativo se encuentra en el momento anterior a dictar sentencia y que alberga dudas sobre la conformidad con la Constitución de una norma con rango de ley de cuya validez depende el fallo, precisando que dicha norma es el “art. 17 </w:t>
      </w:r>
      <w:r w:rsidRPr="00C04533">
        <w:rPr>
          <w:i/>
        </w:rPr>
        <w:t>bis</w:t>
      </w:r>
      <w:r>
        <w:t>.2 b) de la Ley Orgánica 8/2007, [de 4 de julio,] de financiación de los partidos políticos”. Añade que “[l]a duda estriba en si ese precepto legal es conforme con el art. 25 de la Constitución, en la medida en que permite la imposición de sanciones que pueden resultar desproporcionadas a la gravedad de la infracción”.</w:t>
      </w:r>
    </w:p>
    <w:p w14:paraId="59FB11E6" w14:textId="77777777" w:rsidR="00C04533" w:rsidRDefault="00C04533" w:rsidP="00C04533">
      <w:pPr>
        <w:pStyle w:val="TextoNormal"/>
      </w:pPr>
    </w:p>
    <w:p w14:paraId="754F8094" w14:textId="77777777" w:rsidR="00C04533" w:rsidRDefault="00C04533" w:rsidP="00C04533">
      <w:pPr>
        <w:pStyle w:val="TextoNormal"/>
      </w:pPr>
      <w:r>
        <w:t>k) Mediante escrito de 18 de enero de 2024, el Ministerio Fiscal alegó que “concurren las condiciones y requisitos procesales para un eventual planteamiento de la cuestión de inconstitucionalidad y se inclina por informar favorablemente su planteamiento”. Señala el Ministerio Fiscal en su informe que “dejando a salvo la posición definitiva a sostener por el fiscal general del Estado en el eventual proceso constitucional, no solo se estima primariamente posible que se suscite la pretendida cuestión de inconstitucionalidad sino que se propugna que debe informarse favorablemente su planteamiento, dada la semejanza de supuestos y circunstancias con otras cuestiones en las que, en lo que respecta al fondo, se ha coincidido por este Ministerio Fiscal en apreciar la infracción del principio de legalidad del art. 25.1 CE en relación con el principio de proporcionalidad”.</w:t>
      </w:r>
    </w:p>
    <w:p w14:paraId="7C31193C" w14:textId="77777777" w:rsidR="00C04533" w:rsidRDefault="00C04533" w:rsidP="00C04533">
      <w:pPr>
        <w:pStyle w:val="TextoNormal"/>
      </w:pPr>
    </w:p>
    <w:p w14:paraId="0914D3D4" w14:textId="77777777" w:rsidR="00C04533" w:rsidRDefault="00C04533" w:rsidP="00C04533">
      <w:pPr>
        <w:pStyle w:val="TextoNormal"/>
      </w:pPr>
      <w:r>
        <w:t>l) Mediante escrito fechado el 19 de enero de 2024, la representación procesal de la formación política Sí se puede interesó el planteamiento de la cuestión de inconstitucionalidad, si bien con carácter subsidiario a las alegaciones ya realizadas en el escrito de contestación de la demanda sobre la inexistencia de la conducta sancionada y la falta de culpabilidad.</w:t>
      </w:r>
    </w:p>
    <w:p w14:paraId="0490BB6C" w14:textId="77777777" w:rsidR="00C04533" w:rsidRDefault="00C04533" w:rsidP="00C04533">
      <w:pPr>
        <w:pStyle w:val="TextoNormal"/>
      </w:pPr>
    </w:p>
    <w:p w14:paraId="0583B7D2" w14:textId="1DE9944E" w:rsidR="00C04533" w:rsidRDefault="00C04533" w:rsidP="00C04533">
      <w:pPr>
        <w:pStyle w:val="TextoNormal"/>
      </w:pPr>
      <w:r>
        <w:t>m) Por escrito de 22 de enero de 2024, el abogado del Estado mostró “su parecer favorable al planteamiento de la citada cuestión, tal y como se hizo constar en el escrito de contestación a la demanda en base al oficio de 20 de abril de 2022, suscrito por la presidenta del Tribunal de Cuentas e incorporado a los autos, en el que se concluía que ‘se estima conveniente que la Abogacía del Estado en el Tribunal Supremo se manifieste, en los procesos en que intervenga sobre esta materia, a favor del planteamiento de una cuestión de inconstitucionalidad ante el Tribunal Constitucional respecto a la desproporción entre infracciones y sanciones derivada del artículo 17 de la Ley Orgánica 8/2007, de 4 de julio, de financiación de los partidos políticos’”.</w:t>
      </w:r>
    </w:p>
    <w:p w14:paraId="6E181493" w14:textId="77777777" w:rsidR="00C04533" w:rsidRDefault="00C04533" w:rsidP="00C04533">
      <w:pPr>
        <w:pStyle w:val="TextoNormal"/>
      </w:pPr>
    </w:p>
    <w:p w14:paraId="5DD1533D" w14:textId="77777777" w:rsidR="00C04533" w:rsidRDefault="00C04533" w:rsidP="00C04533">
      <w:pPr>
        <w:pStyle w:val="TextoNormal"/>
      </w:pPr>
      <w:r w:rsidRPr="00C04533">
        <w:rPr>
          <w:rStyle w:val="NumeroAFNegritaCaracter"/>
        </w:rPr>
        <w:t>3</w:t>
      </w:r>
      <w:r>
        <w:t xml:space="preserve">. En el auto de 15 de febrero de 2024, el órgano judicial, plantea una cuestión de inconstitucionalidad sobre el inciso “sin que en ningún caso pueda ser inferior a 25 000 €” del art. 17 </w:t>
      </w:r>
      <w:r w:rsidRPr="00C04533">
        <w:rPr>
          <w:i/>
        </w:rPr>
        <w:t>bis</w:t>
      </w:r>
      <w:r>
        <w:t>.2 b) de la Ley Orgánica 8/2007. Del contenido del auto de planteamiento interesa resaltar lo siguiente:</w:t>
      </w:r>
    </w:p>
    <w:p w14:paraId="5665026A" w14:textId="77777777" w:rsidR="00C04533" w:rsidRDefault="00C04533" w:rsidP="00C04533">
      <w:pPr>
        <w:pStyle w:val="TextoNormal"/>
      </w:pPr>
    </w:p>
    <w:p w14:paraId="42D7F956" w14:textId="77777777" w:rsidR="00C04533" w:rsidRDefault="00C04533" w:rsidP="00C04533">
      <w:pPr>
        <w:pStyle w:val="TextoNormal"/>
      </w:pPr>
      <w:r>
        <w:t>a) Discrepa, en primer lugar, la Sala “[r]espetuosamente” de la valoración que ha realizado el Tribunal Constitucional en el ATC 526/2023, en relación con la inadmisibilidad de la previa cuestión 1019-2023. En opinión de la Sala, “que exista un deber de oír a las partes antes de acordar el planteamiento de la cuestión de inconstitucionalidad no significa necesariamente abrir un trámite específico: este puede resultar irrelevante e incluso engorroso si las partes ya han manifestado cuanto tienen que decir al respecto”. Añade que “[p]or lo que se refiere al Ministerio Fiscal, se le dio traslado para que expresara su parecer y, a la vista de las actuaciones, podía perfectamente conocer el problema constitucional que se suscita en el presente caso”.</w:t>
      </w:r>
    </w:p>
    <w:p w14:paraId="7AA883C1" w14:textId="77777777" w:rsidR="00C04533" w:rsidRDefault="00C04533" w:rsidP="00C04533">
      <w:pPr>
        <w:pStyle w:val="TextoNormal"/>
      </w:pPr>
    </w:p>
    <w:p w14:paraId="6BB1F297" w14:textId="77777777" w:rsidR="00C04533" w:rsidRDefault="00C04533" w:rsidP="00C04533">
      <w:pPr>
        <w:pStyle w:val="TextoNormal"/>
      </w:pPr>
      <w:r>
        <w:t>Pese a ello, aclara la Sala que, en todo caso, “siguiendo el criterio del Ministerio Fiscal” en cuanto a lo innecesario de previa declaración de nulidad de lo actuado, ha abierto nuevamente el trámite para oír a las partes y al Ministerio Fiscal en los términos exigidos en el ATC 526/2023, esto es, con audiencia a todas las partes con carácter simultáneo y por diez días y con identificación del precepto legal cuestionado y de la norma constitucional infringida.</w:t>
      </w:r>
    </w:p>
    <w:p w14:paraId="3BD1E102" w14:textId="77777777" w:rsidR="00C04533" w:rsidRDefault="00C04533" w:rsidP="00C04533">
      <w:pPr>
        <w:pStyle w:val="TextoNormal"/>
      </w:pPr>
    </w:p>
    <w:p w14:paraId="629476FD" w14:textId="77777777" w:rsidR="00C04533" w:rsidRDefault="00C04533" w:rsidP="00C04533">
      <w:pPr>
        <w:pStyle w:val="TextoNormal"/>
      </w:pPr>
      <w:r>
        <w:t xml:space="preserve">b) A continuación, explica la Sala que las sanciones impuestas a la entidad recurrente se anudan a dos excesos en los gastos electorales permitidos, tanto respecto del límite máximo general (art. 193.2 LOREG), como del específico para gastos de publicidad exterior (art. 55.3 LOREG). Ambos excesos se tipifican en el art. 17.3 b) de la Ley Orgánica 8/2007, que regula como infracción grave “la superación por los partidos políticos, en más de un 3 y en menos de un 10 por 100, de los límites de gastos electorales”. Aunque el Tribunal de Cuentas  consideró que las circunstancias del caso justificaban imponer las sanciones en su grado mínimo (el doble del exceso), de conformidad con el art. 17 </w:t>
      </w:r>
      <w:r w:rsidRPr="00C04533">
        <w:rPr>
          <w:i/>
        </w:rPr>
        <w:t>bi</w:t>
      </w:r>
      <w:r>
        <w:t>s.2 b), último inciso, la sanción mínima no podía ser inferior a 25 000 € (por cada una de las dos conductas).</w:t>
      </w:r>
    </w:p>
    <w:p w14:paraId="13E175E7" w14:textId="77777777" w:rsidR="00C04533" w:rsidRDefault="00C04533" w:rsidP="00C04533">
      <w:pPr>
        <w:pStyle w:val="TextoNormal"/>
      </w:pPr>
    </w:p>
    <w:p w14:paraId="1074FB51" w14:textId="77777777" w:rsidR="00C04533" w:rsidRDefault="00C04533" w:rsidP="00C04533">
      <w:pPr>
        <w:pStyle w:val="TextoNormal"/>
      </w:pPr>
      <w:r>
        <w:t xml:space="preserve">c) La Sala concreta que el precepto cuestionado es el inciso “sin que en ningún caso pueda ser inferior a 25 000 €” y precisa que en otros apartados del mismo art. 17 </w:t>
      </w:r>
      <w:r w:rsidRPr="00C04533">
        <w:rPr>
          <w:i/>
        </w:rPr>
        <w:t>bis</w:t>
      </w:r>
      <w:r>
        <w:t xml:space="preserve"> de la Ley Orgánica 8/2007, hay incisos similares, pero no son de aplicación al caso. Aun así, del oficio de la presidenta del Tribunal de Cuentas se desprende que el problema se plantea con relativa frecuencia, de manera que este dista de ser un caso aislado o peculiar.</w:t>
      </w:r>
    </w:p>
    <w:p w14:paraId="308EA730" w14:textId="77777777" w:rsidR="00C04533" w:rsidRDefault="00C04533" w:rsidP="00C04533">
      <w:pPr>
        <w:pStyle w:val="TextoNormal"/>
      </w:pPr>
    </w:p>
    <w:p w14:paraId="55935A1B" w14:textId="77777777" w:rsidR="00C04533" w:rsidRDefault="00C04533" w:rsidP="00C04533">
      <w:pPr>
        <w:pStyle w:val="TextoNormal"/>
      </w:pPr>
      <w:r>
        <w:t>El precepto constitucional que se estima infringido es el principio de proporcionalidad del art. 25.1 CE. Ciertamente, el legislador democrático goza de un innegable margen de apreciación a la hora de tipificar los delitos y regular las penas correspondientes, pero en varias ocasiones el Tribunal Constitucional ha afirmado que ello encuentra un límite en la necesaria proporción que debe mediar entre la gravedad de la conducta sancionada y la intensidad de la pena. Una respuesta sancionadora excesiva con respecto al desvalor del hecho ilícito supone una vulneración del principio de legalidad de los delitos y las penas, consagrado en dicho precepto. Cabe entender que este incluye, si no un mandato positivo de rigurosa proporcionalidad entre delito y pena, sí al menos una prohibición de manifiesta falta de proporcionalidad. Afirma que el ejemplo más claro de este criterio jurisprudencial se encuentra en la STC 136/1999, de 20 de julio. Cita, asimismo, la Carta de los derechos fundamentales de la Unión Europea que, si bien no resulta aplicable al presente caso, afirma en su art. 49 que “[l]a intensidad de las penas no deberá ser desproporcionada en relación con la infracción”.</w:t>
      </w:r>
    </w:p>
    <w:p w14:paraId="1583E949" w14:textId="77777777" w:rsidR="00C04533" w:rsidRDefault="00C04533" w:rsidP="00C04533">
      <w:pPr>
        <w:pStyle w:val="TextoNormal"/>
      </w:pPr>
    </w:p>
    <w:p w14:paraId="54431E32" w14:textId="77777777" w:rsidR="00C04533" w:rsidRDefault="00C04533" w:rsidP="00C04533">
      <w:pPr>
        <w:pStyle w:val="TextoNormal"/>
      </w:pPr>
      <w:r>
        <w:t>Lo anterior es aplicable, aunque la norma cuestionada no regule una pena propiamente dicha, sino una sanción administrativa, ya que también le resulta aplicable el art. 25.1 CE. El principio de proporcionalidad es uno de los pilares de todo el Derecho administrativo contemporáneo, tanto a nivel nacional como supranacional. De ahí que una norma legal que establece una respuesta sancionadora excesiva carezca de justificación objetiva y resulte, por ello, arbitraria en el sentido del art. 9.3 CE. En el presente caso considera “difícilmente discutible” que existe una manifiesta desproporción, pues la suma de las dos sanciones impuestas asciende a 50 000 €, cifra que es superior al total de lo gastado —con o sin exceso— por la formación política Sí se puede (razonamiento jurídico séptimo).</w:t>
      </w:r>
    </w:p>
    <w:p w14:paraId="11CED635" w14:textId="77777777" w:rsidR="00C04533" w:rsidRDefault="00C04533" w:rsidP="00C04533">
      <w:pPr>
        <w:pStyle w:val="TextoNormal"/>
      </w:pPr>
    </w:p>
    <w:p w14:paraId="119015EB" w14:textId="77777777" w:rsidR="00C04533" w:rsidRDefault="00C04533" w:rsidP="00C04533">
      <w:pPr>
        <w:pStyle w:val="TextoNormal"/>
      </w:pPr>
      <w:r>
        <w:t xml:space="preserve">d) El razonamiento jurídico octavo aborda los juicios de aplicabilidad y relevancia. Comenzando por el primero, afirma que no ofrece ninguna duda que el importe mínimo de las sanciones por exceso de gastos electorales establecido en el art. 17 </w:t>
      </w:r>
      <w:r w:rsidRPr="00C04533">
        <w:rPr>
          <w:i/>
        </w:rPr>
        <w:t>bis</w:t>
      </w:r>
      <w:r>
        <w:t>.2 b) de la Ley Orgánica 8/2007 es aplicable al caso. La resolución sancionadora afirma que, según el criterio general, las sanciones habrían debido ser el doble de los excesos en que se hubiera incurrido (3 265,58 € y 1 345,04 €) pero ha de ajustarse al mínimo de 25 000 € establecido por el inciso cuestionado (por cada una de las dos conductas infractoras).</w:t>
      </w:r>
    </w:p>
    <w:p w14:paraId="6FCA14C8" w14:textId="77777777" w:rsidR="00C04533" w:rsidRDefault="00C04533" w:rsidP="00C04533">
      <w:pPr>
        <w:pStyle w:val="TextoNormal"/>
      </w:pPr>
    </w:p>
    <w:p w14:paraId="427587EC" w14:textId="77777777" w:rsidR="00C04533" w:rsidRDefault="00C04533" w:rsidP="00C04533">
      <w:pPr>
        <w:pStyle w:val="TextoNormal"/>
      </w:pPr>
      <w:r>
        <w:t>A la aplicabilidad del mínimo solo podría oponerse la alegación de la formación política Sí se puede, de que, por tratarse de un proceso electoral concurrente y no de dos independientes (municipal e insular), el límite de gasto se debe incrementar por aplicación del art. 131.2 LOREG y este no se habría excedido. Sin embargo, la Sala descarta esta interpretación, pues las elecciones municipales y al cabildo insular son procesos electorales distintos, aunque se celebren el mismo día. En apoyo de esta tesis cita un precedente respecto de los Territorios Históricos del País Vasco y alude a la propia regulación de la Ley Orgánica 5/1985, de 19 de junio, del régimen electoral general, que establece disposiciones especiales para las elecciones a los cabildos insulares canarios (título IV).</w:t>
      </w:r>
    </w:p>
    <w:p w14:paraId="4D33708F" w14:textId="77777777" w:rsidR="00C04533" w:rsidRDefault="00C04533" w:rsidP="00C04533">
      <w:pPr>
        <w:pStyle w:val="TextoNormal"/>
      </w:pPr>
    </w:p>
    <w:p w14:paraId="2DCFF46D" w14:textId="77777777" w:rsidR="00C04533" w:rsidRDefault="00C04533" w:rsidP="00C04533">
      <w:pPr>
        <w:pStyle w:val="TextoNormal"/>
      </w:pPr>
      <w:r>
        <w:t xml:space="preserve">Respecto del juicio de relevancia, el auto precisa que la recurrente combate la interpretación del órgano sancionador respecto de la sanción impuesta por excederse del límite específico aplicable al gasto en publicidad exterior. La Sala concluye que, aunque se admitiera la interpretación de la formación política Sí se puede, y dicho límite específico se hubiera respetado, siempre quedaría la otra sanción de 25 000 €, por incumplir el art. 193.2 LOREG, que solo podría y debería anularse si se declara la inconstitucionalidad del inciso final del art. 17 </w:t>
      </w:r>
      <w:r w:rsidRPr="00C04533">
        <w:rPr>
          <w:i/>
        </w:rPr>
        <w:t>bis</w:t>
      </w:r>
      <w:r>
        <w:t>.2 b) de la Ley Orgánica 8/2007.</w:t>
      </w:r>
    </w:p>
    <w:p w14:paraId="556CBDBD" w14:textId="77777777" w:rsidR="00C04533" w:rsidRDefault="00C04533" w:rsidP="00C04533">
      <w:pPr>
        <w:pStyle w:val="TextoNormal"/>
      </w:pPr>
    </w:p>
    <w:p w14:paraId="4B9F218F" w14:textId="7269A276" w:rsidR="00C04533" w:rsidRDefault="00C04533" w:rsidP="00C04533">
      <w:pPr>
        <w:pStyle w:val="TextoNormal"/>
      </w:pPr>
      <w:r>
        <w:t>Por lo expuesto, acuerda plantear la cuestión de inconstitucionalidad, suspendiendo las actuaciones hasta que el Tribunal Constitucional se pronuncie sobre su admisión.</w:t>
      </w:r>
    </w:p>
    <w:p w14:paraId="33154526" w14:textId="77777777" w:rsidR="00C04533" w:rsidRDefault="00C04533" w:rsidP="00C04533">
      <w:pPr>
        <w:pStyle w:val="TextoNormal"/>
      </w:pPr>
    </w:p>
    <w:p w14:paraId="7A9E6954" w14:textId="4EEB470B" w:rsidR="00C04533" w:rsidRDefault="00C04533" w:rsidP="00C04533">
      <w:pPr>
        <w:pStyle w:val="TextoNormal"/>
      </w:pPr>
      <w:r w:rsidRPr="00C04533">
        <w:rPr>
          <w:rStyle w:val="NumeroAFNegritaCaracter"/>
        </w:rPr>
        <w:t>4</w:t>
      </w:r>
      <w:r>
        <w:t>. Por providencia de 4 de junio de 2024, el Pleno acordó oír al fiscal general del Estado para que, en el plazo de diez días, y a los efectos que determina el art. 37.1 LOTC, alegase lo que considerase conveniente “sobre la posible pérdida sobrevenida de objeto de la presente cuestión de inconstitucionalidad (STC 69/2024, de 24 de abril, publicada en el ‘BOE’ [núm. 131,] de 30 de mayo de 2024)”.</w:t>
      </w:r>
    </w:p>
    <w:p w14:paraId="3AA45794" w14:textId="77777777" w:rsidR="00C04533" w:rsidRDefault="00C04533" w:rsidP="00C04533">
      <w:pPr>
        <w:pStyle w:val="TextoNormal"/>
      </w:pPr>
    </w:p>
    <w:p w14:paraId="6F426779" w14:textId="4D855C43" w:rsidR="00C04533" w:rsidRDefault="00C04533" w:rsidP="00C04533">
      <w:pPr>
        <w:pStyle w:val="TextoNormal"/>
      </w:pPr>
      <w:r w:rsidRPr="00C04533">
        <w:rPr>
          <w:rStyle w:val="NumeroAFNegritaCaracter"/>
        </w:rPr>
        <w:t>5</w:t>
      </w:r>
      <w:r>
        <w:t>. El fiscal general del Estado presentó sus alegaciones el 10 de julio de 2024. En ellas constata que el precepto cuestionado ha sido declarado inconstitucional y nulo en la STC 69/2024, por lo que procede, de acuerdo con la doctrina constitucional que cita, declarar la pérdida sobrevenida de objeto de la cuestión de inconstitucionalidad.</w:t>
      </w:r>
    </w:p>
    <w:p w14:paraId="4D8D7583" w14:textId="77777777" w:rsidR="00C04533" w:rsidRDefault="00C04533" w:rsidP="00C04533">
      <w:pPr>
        <w:pStyle w:val="TextoNormal"/>
      </w:pPr>
    </w:p>
    <w:p w14:paraId="286C638A" w14:textId="77777777" w:rsidR="00C04533" w:rsidRDefault="00C04533" w:rsidP="00C04533">
      <w:pPr>
        <w:pStyle w:val="TextoNormalNegritaCentrado"/>
        <w:keepNext/>
      </w:pPr>
      <w:r>
        <w:t>II. Fundamentos jurídicos</w:t>
      </w:r>
    </w:p>
    <w:p w14:paraId="69D114C6" w14:textId="1516D815" w:rsidR="00C04533" w:rsidRDefault="00C04533" w:rsidP="00C04533">
      <w:pPr>
        <w:pStyle w:val="TextoNormalNegritaCentrado"/>
        <w:keepNext/>
      </w:pPr>
    </w:p>
    <w:p w14:paraId="0D4489E2" w14:textId="77777777" w:rsidR="00C04533" w:rsidRDefault="00C04533" w:rsidP="00C04533">
      <w:pPr>
        <w:pStyle w:val="TextoNormal"/>
      </w:pPr>
      <w:r w:rsidRPr="00C04533">
        <w:rPr>
          <w:rStyle w:val="NumeroAFNegritaCaracter"/>
        </w:rPr>
        <w:t>1</w:t>
      </w:r>
      <w:r>
        <w:t xml:space="preserve">. </w:t>
      </w:r>
      <w:r w:rsidRPr="00C04533">
        <w:rPr>
          <w:i/>
        </w:rPr>
        <w:t>Objeto de la cuestión de inconstitucionalidad</w:t>
      </w:r>
    </w:p>
    <w:p w14:paraId="1F4060AC" w14:textId="77777777" w:rsidR="00C04533" w:rsidRDefault="00C04533" w:rsidP="00C04533">
      <w:pPr>
        <w:pStyle w:val="TextoNormal"/>
      </w:pPr>
    </w:p>
    <w:p w14:paraId="7FC5814C" w14:textId="77777777" w:rsidR="00C04533" w:rsidRDefault="00C04533" w:rsidP="00C04533">
      <w:pPr>
        <w:pStyle w:val="TextoNormal"/>
      </w:pPr>
      <w:r>
        <w:t xml:space="preserve">La Sección Cuarta de la Sala de lo Contencioso-Administrativo del Tribunal Supremo promueve una cuestión de inconstitucionalidad en relación con el art. 17 </w:t>
      </w:r>
      <w:r w:rsidRPr="00C04533">
        <w:rPr>
          <w:i/>
        </w:rPr>
        <w:t>bis</w:t>
      </w:r>
      <w:r>
        <w:t>.2 b), último inciso, de la Ley Orgánica 8/2007, de 4 de julio, sobre financiación de los partidos políticos (Ley Orgánica 8/2007].</w:t>
      </w:r>
    </w:p>
    <w:p w14:paraId="736AF8E9" w14:textId="77777777" w:rsidR="00C04533" w:rsidRDefault="00C04533" w:rsidP="00C04533">
      <w:pPr>
        <w:pStyle w:val="TextoNormal"/>
      </w:pPr>
    </w:p>
    <w:p w14:paraId="1FEC6FC2" w14:textId="77777777" w:rsidR="00C04533" w:rsidRDefault="00C04533" w:rsidP="00C04533">
      <w:pPr>
        <w:pStyle w:val="TextoNormal"/>
      </w:pPr>
      <w:r>
        <w:t xml:space="preserve">a) El art. 17.3 b) de la Ley Orgánica 8/2007 tipifica como infracción muy grave “[l]a superación por los partidos políticos, en más de un 3 y en menos de un 10 por 100, de los límites de gastos electorales previstos en la Ley Orgánica 5/1985, de 19 de junio, del régimen electoral general, sin perjuicio de lo establecido en el artículo 134 de dicha ley”, conducta para la que el art. 17 </w:t>
      </w:r>
      <w:r w:rsidRPr="00C04533">
        <w:rPr>
          <w:i/>
        </w:rPr>
        <w:t>bis</w:t>
      </w:r>
      <w:r>
        <w:t xml:space="preserve">.2 b) de la Ley Orgánica 8/2007 prevé “una sanción cuyo importe irá del doble al quíntuplo del exceso del gasto producido </w:t>
      </w:r>
      <w:r w:rsidRPr="00C04533">
        <w:rPr>
          <w:i/>
        </w:rPr>
        <w:t>sin que en ningún caso pueda ser inferior a</w:t>
      </w:r>
      <w:r>
        <w:t xml:space="preserve"> 25 000 €” (énfasis añadido).</w:t>
      </w:r>
    </w:p>
    <w:p w14:paraId="1DF56603" w14:textId="77777777" w:rsidR="00C04533" w:rsidRDefault="00C04533" w:rsidP="00C04533">
      <w:pPr>
        <w:pStyle w:val="TextoNormal"/>
      </w:pPr>
    </w:p>
    <w:p w14:paraId="669EEED5" w14:textId="77777777" w:rsidR="00C04533" w:rsidRDefault="00C04533" w:rsidP="00C04533">
      <w:pPr>
        <w:pStyle w:val="TextoNormal"/>
      </w:pPr>
      <w:r>
        <w:t>b) Según se ha expuesto detalladamente en los antecedentes, el órgano promotor de la cuestión considera que el importe mínimo de sanción de 25 000 € vulnera el principio de legalidad sancionadora del art. 25.1 CE, en conexión con el principio de proporcionalidad.</w:t>
      </w:r>
    </w:p>
    <w:p w14:paraId="1BE19053" w14:textId="77777777" w:rsidR="00C04533" w:rsidRDefault="00C04533" w:rsidP="00C04533">
      <w:pPr>
        <w:pStyle w:val="TextoNormal"/>
      </w:pPr>
    </w:p>
    <w:p w14:paraId="4CD35783" w14:textId="0E8303E2" w:rsidR="00C04533" w:rsidRDefault="00C04533" w:rsidP="00C04533">
      <w:pPr>
        <w:pStyle w:val="TextoNormal"/>
      </w:pPr>
      <w:r>
        <w:t>El fiscal general del Estado solicita que se inadmita la cuestión de inconstitucionalidad por pérdida sobrevenida de objeto, pues el inciso cuestionado ha sido declarado inconstitucional y nulo en la STC 69/2024.</w:t>
      </w:r>
    </w:p>
    <w:p w14:paraId="3E1B5949" w14:textId="77777777" w:rsidR="00C04533" w:rsidRDefault="00C04533" w:rsidP="00C04533">
      <w:pPr>
        <w:pStyle w:val="TextoNormal"/>
      </w:pPr>
    </w:p>
    <w:p w14:paraId="2614A4EF" w14:textId="77777777" w:rsidR="00C04533" w:rsidRDefault="00C04533" w:rsidP="00C04533">
      <w:pPr>
        <w:pStyle w:val="TextoNormal"/>
      </w:pPr>
      <w:r w:rsidRPr="00C04533">
        <w:rPr>
          <w:rStyle w:val="NumeroAFNegritaCaracter"/>
        </w:rPr>
        <w:t>2</w:t>
      </w:r>
      <w:r>
        <w:t xml:space="preserve">. </w:t>
      </w:r>
      <w:r w:rsidRPr="00C04533">
        <w:rPr>
          <w:i/>
        </w:rPr>
        <w:t>Pérdida de objeto</w:t>
      </w:r>
    </w:p>
    <w:p w14:paraId="31287629" w14:textId="77777777" w:rsidR="00C04533" w:rsidRDefault="00C04533" w:rsidP="00C04533">
      <w:pPr>
        <w:pStyle w:val="TextoNormal"/>
      </w:pPr>
    </w:p>
    <w:p w14:paraId="6F56851C" w14:textId="77777777" w:rsidR="00C04533" w:rsidRDefault="00C04533" w:rsidP="00C04533">
      <w:pPr>
        <w:pStyle w:val="TextoNormal"/>
      </w:pPr>
      <w:r>
        <w:t xml:space="preserve">La STC 69/2024, tras declarar inconstitucional y nulo el inciso “sin que en ningún caso pueda ser inferior a 5000 €” del art. 17 </w:t>
      </w:r>
      <w:r w:rsidRPr="00C04533">
        <w:rPr>
          <w:i/>
        </w:rPr>
        <w:t>bis</w:t>
      </w:r>
      <w:r>
        <w:t xml:space="preserve">.3 b) de la Ley Orgánica 8/2007, referido a la infracción por exceso de gastos electorales cuando es leve, ha extendido dicha declaración al resto de importes mínimos previstos para dicha acción cuando se califica de grave o muy grave. En concreto, ha declarado inconstitucional y nulo el inciso “sin que en ningún caso pueda ser inferior a 25 000 €” del art. 17 </w:t>
      </w:r>
      <w:r w:rsidRPr="00C04533">
        <w:rPr>
          <w:i/>
        </w:rPr>
        <w:t>bis</w:t>
      </w:r>
      <w:r>
        <w:t>.2 b) de la Ley Orgánica 8/2007, que se cuestiona en el presente proceso, referido a las infracciones graves.</w:t>
      </w:r>
    </w:p>
    <w:p w14:paraId="7FA73C81" w14:textId="77777777" w:rsidR="00C04533" w:rsidRDefault="00C04533" w:rsidP="00C04533">
      <w:pPr>
        <w:pStyle w:val="TextoNormal"/>
      </w:pPr>
    </w:p>
    <w:p w14:paraId="54D4EA82" w14:textId="5D367ECB" w:rsidR="00C04533" w:rsidRDefault="00C04533" w:rsidP="00C04533">
      <w:pPr>
        <w:pStyle w:val="TextoNormal"/>
      </w:pPr>
      <w:r>
        <w:t>Por consiguiente, al haber sido ya declarado inconstitucional y nulo el precepto cuestionado, conforme a la reiterada doctrina de este tribunal [entre otras, SSTC 60/2018, de 4 de junio, FJ 3; 153/2019, de 25 de noviembre, FJ único b); 138/2022, de 26 de octubre, FJ 2, y 3/2023, de 9 de febrero, FJ 2], la presente cuestión de inconstitucionalidad ha perdido su objeto, por lo que procede acordar su inadmisión.</w:t>
      </w:r>
    </w:p>
    <w:p w14:paraId="56356524" w14:textId="77777777" w:rsidR="00C04533" w:rsidRDefault="00C04533" w:rsidP="00C04533">
      <w:pPr>
        <w:pStyle w:val="TextoNormal"/>
      </w:pPr>
    </w:p>
    <w:p w14:paraId="299CAD5E" w14:textId="77777777" w:rsidR="00C04533" w:rsidRDefault="00C04533" w:rsidP="00C04533">
      <w:pPr>
        <w:pStyle w:val="TextoNormal"/>
      </w:pPr>
      <w:r>
        <w:t>Por lo expuesto, el Pleno</w:t>
      </w:r>
    </w:p>
    <w:p w14:paraId="1ED7C125" w14:textId="561974A4" w:rsidR="00C04533" w:rsidRDefault="00C04533" w:rsidP="00C04533">
      <w:pPr>
        <w:pStyle w:val="TextoNormal"/>
      </w:pPr>
    </w:p>
    <w:p w14:paraId="1EAFC5B7" w14:textId="77777777" w:rsidR="00C04533" w:rsidRDefault="00C04533" w:rsidP="00C04533">
      <w:pPr>
        <w:pStyle w:val="TextoNormalCentrado"/>
      </w:pPr>
      <w:r>
        <w:t>ACUERDA</w:t>
      </w:r>
    </w:p>
    <w:p w14:paraId="2AE8A06E" w14:textId="395F78F3" w:rsidR="00C04533" w:rsidRDefault="00C04533" w:rsidP="00C04533">
      <w:pPr>
        <w:pStyle w:val="TextoNormalCentrado"/>
      </w:pPr>
    </w:p>
    <w:p w14:paraId="145B89DD" w14:textId="16C49FC1" w:rsidR="00C04533" w:rsidRDefault="00C04533" w:rsidP="00C04533">
      <w:pPr>
        <w:pStyle w:val="TextoNormal"/>
      </w:pPr>
      <w:r>
        <w:t>Inadmitir a trámite la presente cuestión de inconstitucionalidad.</w:t>
      </w:r>
    </w:p>
    <w:p w14:paraId="54FB85DC" w14:textId="77777777" w:rsidR="00C04533" w:rsidRDefault="00C04533" w:rsidP="00C04533">
      <w:pPr>
        <w:pStyle w:val="TextoNormal"/>
      </w:pPr>
    </w:p>
    <w:p w14:paraId="088D43FA" w14:textId="77777777" w:rsidR="00C04533" w:rsidRDefault="00C04533" w:rsidP="00C04533">
      <w:pPr>
        <w:pStyle w:val="TextoNormal"/>
      </w:pPr>
      <w:r>
        <w:t>Madrid, a diez de septiembre de dos mil veinticuatro.</w:t>
      </w:r>
    </w:p>
    <w:p w14:paraId="6DC5A894" w14:textId="52E13358" w:rsidR="00C04533" w:rsidRDefault="00C04533">
      <w:pPr>
        <w:spacing w:after="160" w:line="278" w:lineRule="auto"/>
        <w:rPr>
          <w:rFonts w:ascii="Times New Roman" w:eastAsia="Times New Roman" w:hAnsi="Times New Roman" w:cs="Times New Roman"/>
          <w:sz w:val="24"/>
          <w:szCs w:val="24"/>
          <w:lang w:eastAsia="es-ES"/>
        </w:rPr>
      </w:pPr>
      <w:r>
        <w:br w:type="page"/>
      </w:r>
    </w:p>
    <w:p w14:paraId="0EB6125A" w14:textId="77777777" w:rsidR="00C04533" w:rsidRDefault="00C04533" w:rsidP="00C04533">
      <w:pPr>
        <w:pStyle w:val="TtuloResolucin"/>
      </w:pPr>
      <w:bookmarkStart w:id="87" w:name="AUTO_2024_81"/>
      <w:r>
        <w:t>AUTO 81/2024, de 10 de septiembre de 2024</w:t>
      </w:r>
    </w:p>
    <w:bookmarkEnd w:id="87"/>
    <w:p w14:paraId="16EF5E51" w14:textId="77777777" w:rsidR="00C04533" w:rsidRDefault="00C04533" w:rsidP="00C04533">
      <w:pPr>
        <w:pStyle w:val="TtuloResolucin"/>
      </w:pPr>
      <w:r>
        <w:t>Pleno</w:t>
      </w:r>
    </w:p>
    <w:p w14:paraId="0A34ED13" w14:textId="77777777" w:rsidR="00C04533" w:rsidRDefault="00C04533" w:rsidP="00C04533">
      <w:pPr>
        <w:pStyle w:val="TextoNormalCentrado"/>
      </w:pPr>
      <w:r>
        <w:t>ECLI:ES:TC:2024:81A</w:t>
      </w:r>
    </w:p>
    <w:p w14:paraId="7E084A54" w14:textId="1F1881B6" w:rsidR="00C04533" w:rsidRDefault="00C04533" w:rsidP="00C04533">
      <w:pPr>
        <w:pStyle w:val="TextoNormalCentrado"/>
      </w:pPr>
    </w:p>
    <w:p w14:paraId="18DD54CF" w14:textId="77777777" w:rsidR="00C04533" w:rsidRDefault="00C04533" w:rsidP="00C04533">
      <w:pPr>
        <w:pStyle w:val="SntesisDescriptiva"/>
      </w:pPr>
      <w:r>
        <w:t>Excms. Srs. don Cándido Conde-Pumpido Tourón, doña Inmaculada Montalbán Huertas, don Ricardo Enríquez Sancho, doña María Luisa Balaguer Callejón, don Enrique Arnaldo Alcubilla, doña Concepción Espejel Jorquera, doña María Luisa Segoviano Astaburuaga, don César Tolosa Tribiño, don Juan Carlos Campo Moreno, doña Laura Díez Bueso y don José María Macías Castaño.</w:t>
      </w:r>
    </w:p>
    <w:p w14:paraId="5B4B0B7D" w14:textId="72A0AB6C" w:rsidR="00C04533" w:rsidRDefault="00C04533" w:rsidP="00C04533">
      <w:pPr>
        <w:pStyle w:val="SntesisDescriptiva"/>
      </w:pPr>
    </w:p>
    <w:p w14:paraId="50C245CB" w14:textId="77777777" w:rsidR="00C04533" w:rsidRDefault="00C04533" w:rsidP="00C04533">
      <w:pPr>
        <w:pStyle w:val="SntesisDescriptiva"/>
      </w:pPr>
      <w:r>
        <w:t>Inadmite a trámite la cuestión de inconstitucionalidad 3207-2024, planteada por el Juzgado de lo Contencioso-Administrativo núm. 2 de Girona, en relación con el apartado primero de la disposición adicional primera de la Ley del Parlamento de Cataluña 5/2020, de 29 de abril, de medidas fiscales, financieras, administrativas y del sector público y de creación del impuesto sobre las instalaciones que inciden en el medio ambiente.</w:t>
      </w:r>
    </w:p>
    <w:p w14:paraId="30FDAA3E" w14:textId="4DD71EB8" w:rsidR="00C04533" w:rsidRDefault="00C04533" w:rsidP="00C04533">
      <w:pPr>
        <w:pStyle w:val="SntesisDescriptiva"/>
      </w:pPr>
    </w:p>
    <w:p w14:paraId="39B48615" w14:textId="77777777" w:rsidR="00C04533" w:rsidRDefault="00C04533" w:rsidP="00C04533">
      <w:pPr>
        <w:pStyle w:val="SntesisDescriptiva"/>
      </w:pPr>
    </w:p>
    <w:p w14:paraId="5F8D851A" w14:textId="77777777" w:rsidR="00C04533" w:rsidRDefault="00C04533" w:rsidP="00C04533">
      <w:pPr>
        <w:pStyle w:val="SntesisDescriptiva"/>
      </w:pPr>
    </w:p>
    <w:p w14:paraId="4B3B848F" w14:textId="77777777" w:rsidR="00C04533" w:rsidRDefault="00C04533" w:rsidP="00C04533">
      <w:pPr>
        <w:pStyle w:val="TextoNormalNegritaCentrado"/>
      </w:pPr>
      <w:r>
        <w:t>AUTO</w:t>
      </w:r>
    </w:p>
    <w:p w14:paraId="3F710742" w14:textId="6E303A5A" w:rsidR="00C04533" w:rsidRDefault="00C04533" w:rsidP="00C04533">
      <w:pPr>
        <w:pStyle w:val="TextoNormalNegritaCentrado"/>
      </w:pPr>
    </w:p>
    <w:p w14:paraId="5D738A4C" w14:textId="77777777" w:rsidR="00C04533" w:rsidRDefault="00C04533" w:rsidP="00C04533">
      <w:pPr>
        <w:pStyle w:val="TextoNormalNegritaCentrado"/>
        <w:keepNext/>
      </w:pPr>
      <w:r>
        <w:t>I. Antecedentes</w:t>
      </w:r>
    </w:p>
    <w:p w14:paraId="52CAB9C0" w14:textId="4644EE37" w:rsidR="00C04533" w:rsidRDefault="00C04533" w:rsidP="00C04533">
      <w:pPr>
        <w:pStyle w:val="TextoNormalNegritaCentrado"/>
        <w:keepNext/>
      </w:pPr>
    </w:p>
    <w:p w14:paraId="05730ACE" w14:textId="704DDE3E" w:rsidR="00C04533" w:rsidRDefault="00C04533" w:rsidP="00C04533">
      <w:pPr>
        <w:pStyle w:val="TextoNormal"/>
      </w:pPr>
      <w:r w:rsidRPr="00C04533">
        <w:rPr>
          <w:rStyle w:val="NumeroAFNegritaCaracter"/>
        </w:rPr>
        <w:t>1</w:t>
      </w:r>
      <w:r>
        <w:t>. El día 6 de mayo de 2024 tuvo entrada en el registro general de este tribunal un oficio del letrado de la administración de justicia del Juzgado de lo Contencioso-Administrativo núm. 2 de Girona acompañando testimonio del auto de 12 de abril de 2024, dictado en el procedimiento abreviado núm. 203-2023, en el que se acuerda plantear cuestión de inconstitucionalidad en relación con el precepto citado en el encabezamiento, por su eventual contradicción con el art. 25.1 CE. Junto con el testimonio del auto se remitió también copia testimoniada de las actuaciones judiciales y del expediente administrativo.</w:t>
      </w:r>
    </w:p>
    <w:p w14:paraId="0DEAB9E0" w14:textId="77777777" w:rsidR="00C04533" w:rsidRDefault="00C04533" w:rsidP="00C04533">
      <w:pPr>
        <w:pStyle w:val="TextoNormal"/>
      </w:pPr>
    </w:p>
    <w:p w14:paraId="0857AA93" w14:textId="77777777" w:rsidR="00C04533" w:rsidRDefault="00C04533" w:rsidP="00C04533">
      <w:pPr>
        <w:pStyle w:val="TextoNormal"/>
      </w:pPr>
      <w:r w:rsidRPr="00C04533">
        <w:rPr>
          <w:rStyle w:val="NumeroAFNegritaCaracter"/>
        </w:rPr>
        <w:t>2</w:t>
      </w:r>
      <w:r>
        <w:t>. El planteamiento de la cuestión de inconstitucionalidad trae causa de los siguientes antecedentes.</w:t>
      </w:r>
    </w:p>
    <w:p w14:paraId="3B372478" w14:textId="77777777" w:rsidR="00C04533" w:rsidRDefault="00C04533" w:rsidP="00C04533">
      <w:pPr>
        <w:pStyle w:val="TextoNormal"/>
      </w:pPr>
    </w:p>
    <w:p w14:paraId="2FCDFEBB" w14:textId="77777777" w:rsidR="00C04533" w:rsidRDefault="00C04533" w:rsidP="00C04533">
      <w:pPr>
        <w:pStyle w:val="TextoNormal"/>
      </w:pPr>
      <w:r>
        <w:t>a) Por resolución de la directora de los servicios territoriales de Girona del Departamento de Acción Climática, Alimentación y Agenda Rural de la Generalitat de Cataluña se impuso a don F.G.B., una sanción de 3001 € y retirada de la licencia de caza o facultad para obtenerla de dos años por la comisión de una infracción muy grave tipificada en el art. 42.1 d) de la Ley 1/1970, de 4 de abril, de caza.</w:t>
      </w:r>
    </w:p>
    <w:p w14:paraId="25385E74" w14:textId="77777777" w:rsidR="00C04533" w:rsidRDefault="00C04533" w:rsidP="00C04533">
      <w:pPr>
        <w:pStyle w:val="TextoNormal"/>
      </w:pPr>
    </w:p>
    <w:p w14:paraId="424088F8" w14:textId="77777777" w:rsidR="00C04533" w:rsidRDefault="00C04533" w:rsidP="00C04533">
      <w:pPr>
        <w:pStyle w:val="TextoNormal"/>
      </w:pPr>
      <w:r>
        <w:t>b) Previa desestimación del recurso de alzada interpuesto contra la sanción por el órgano competente de la Generalitat de Cataluña, el interesado interpuso recurso contencioso-administrativo contra esa resolución.</w:t>
      </w:r>
    </w:p>
    <w:p w14:paraId="0856B338" w14:textId="77777777" w:rsidR="00C04533" w:rsidRDefault="00C04533" w:rsidP="00C04533">
      <w:pPr>
        <w:pStyle w:val="TextoNormal"/>
      </w:pPr>
    </w:p>
    <w:p w14:paraId="1BF00CA5" w14:textId="77777777" w:rsidR="00C04533" w:rsidRDefault="00C04533" w:rsidP="00C04533">
      <w:pPr>
        <w:pStyle w:val="TextoNormal"/>
      </w:pPr>
      <w:r>
        <w:t>c) Tramitado el procedimiento y celebrada la vista, dentro del plazo para dictar sentencia, el Juzgado dictó providencia de 19 de marzo de 2024 para que las partes y el Ministerio Fiscal formulasen alegaciones “sobre si la disposición adicional primera de la Ley 5/2020, de 29 de abril […], en tanto actualiza el importe de las sanciones previstas en la Ley del Estado 1/1970, de 4 de abril, de caza, dentro del ámbito territorial de Cataluña, puede ser contraria al principio de legalidad sancionadora en su vertiente del principio de taxatividad (</w:t>
      </w:r>
      <w:r w:rsidRPr="00C04533">
        <w:rPr>
          <w:i/>
        </w:rPr>
        <w:t>lex certa</w:t>
      </w:r>
      <w:r>
        <w:t>) reconocido en el art. 25 de la Constitución, expresado, entre otras, en la STC 77/2022, de 15 de junio, al prever una sanción más grave para el ámbito territorial de Cataluña que la ley estatal de aplicación, sin contener criterios de graduación de las sanciones ni existir cláusula de remisión en la ley estatal que permita prever las consecuencias sancionadoras referidas en la ley catalana, con afectación del principio de seguridad jurídica”.</w:t>
      </w:r>
    </w:p>
    <w:p w14:paraId="27016874" w14:textId="77777777" w:rsidR="00C04533" w:rsidRDefault="00C04533" w:rsidP="00C04533">
      <w:pPr>
        <w:pStyle w:val="TextoNormal"/>
      </w:pPr>
    </w:p>
    <w:p w14:paraId="300C19E8" w14:textId="77777777" w:rsidR="00C04533" w:rsidRDefault="00C04533" w:rsidP="00C04533">
      <w:pPr>
        <w:pStyle w:val="TextoNormal"/>
      </w:pPr>
      <w:r>
        <w:t>d) El letrado de la Generalitat presentó alegaciones considerando cumplidos los requisitos de la aplicabilidad y relevancia del precepto cuestionado. No obstante, se opuso al planteamiento de la cuestión de inconstitucionalidad por considerar posible una interpretación conforme con la Constitución. Aludió, en particular, a la competencia autonómica en materia de caza [art. 119.1 del Estatuto de Autonomía de Cataluña (EAC)] y a la supletoriedad del Derecho estatal conforme al art. 149.3 CE, que permite a la Comunidad Autónoma actualizar las sanciones tipificadas en la ley estatal de caza como ha hecho la disposición autonómica cuestionada. Además, consideró que los criterios de graduación de las sanciones previstos en la normativa estatal (arts. 42.3 y 49 de la Ley 1/1970, de caza, y arts. 47.2 y 49.10 y 11, del Decreto 506/1971, de 25 de marzo, por el que se aprueba el Reglamento para la ejecución de la Ley de caza de 4 de abril de 1970) permiten colmar las exigencias de predeterminación normativa derivadas del art. 25 CE.</w:t>
      </w:r>
    </w:p>
    <w:p w14:paraId="5AE36826" w14:textId="77777777" w:rsidR="00C04533" w:rsidRDefault="00C04533" w:rsidP="00C04533">
      <w:pPr>
        <w:pStyle w:val="TextoNormal"/>
      </w:pPr>
    </w:p>
    <w:p w14:paraId="061F8DDC" w14:textId="77777777" w:rsidR="00C04533" w:rsidRDefault="00C04533" w:rsidP="00C04533">
      <w:pPr>
        <w:pStyle w:val="TextoNormal"/>
      </w:pPr>
      <w:r>
        <w:t>e) El fiscal consideró cumplidos los requisitos procesales para el planteamiento de la cuestión de inconstitucionalidad, aunque remitió al fiscal general del Estado, conforme al art. 37 de la Ley Orgánica del Tribunal Constitucional (LOTC), la valoración sobre el fondo de la misma.</w:t>
      </w:r>
    </w:p>
    <w:p w14:paraId="0F5B6A13" w14:textId="77777777" w:rsidR="00C04533" w:rsidRDefault="00C04533" w:rsidP="00C04533">
      <w:pPr>
        <w:pStyle w:val="TextoNormal"/>
      </w:pPr>
    </w:p>
    <w:p w14:paraId="1730FAAA" w14:textId="4E8E3BEB" w:rsidR="00C04533" w:rsidRDefault="00C04533" w:rsidP="00C04533">
      <w:pPr>
        <w:pStyle w:val="TextoNormal"/>
      </w:pPr>
      <w:r>
        <w:t>f) La parte recurrente argumentó a favor del planteamiento de la cuestión de inconstitucionalidad. En su escrito, sostuvo que la Generalitat de Cataluña ha hecho “dejación” de un derecho o competencia al no regular la caza con una ley propia. Llamó la atención sobre el hecho de que el preámbulo de la Ley 5/2020 no menciona la actualización de las multas de la ley de caza, ni justifica el motivo de esa actualización; y que no existe cláusula de remisión en la ley estatal de caza que justifique la actualización. Además, argumentó que, de acuerdo con el art. 149.1.1 CE, las comunidades autónomas no pueden introducir “divergencias irrazonables y desproporcionadas” en las sanciones aplicables en otras partes del territorio nacional. Finalmente, consideró vulnerados los principios de seguridad jurídica y taxatividad de las sanciones al no incluir la ley autonómica criterios para su gradación.</w:t>
      </w:r>
    </w:p>
    <w:p w14:paraId="50949D13" w14:textId="77777777" w:rsidR="00C04533" w:rsidRDefault="00C04533" w:rsidP="00C04533">
      <w:pPr>
        <w:pStyle w:val="TextoNormal"/>
      </w:pPr>
    </w:p>
    <w:p w14:paraId="0F4DFFC8" w14:textId="77777777" w:rsidR="00C04533" w:rsidRDefault="00C04533" w:rsidP="00C04533">
      <w:pPr>
        <w:pStyle w:val="TextoNormal"/>
      </w:pPr>
      <w:r w:rsidRPr="00C04533">
        <w:rPr>
          <w:rStyle w:val="NumeroAFNegritaCaracter"/>
        </w:rPr>
        <w:t>3</w:t>
      </w:r>
      <w:r>
        <w:t>. Por auto de 12 de abril de 2024 el Juzgado acordó plantear cuestión de inconstitucionalidad en relación con la disposición adicional primera, apartado 1, de la Ley del Parlamento de Cataluña 5/2020, de 29 de abril, de medidas fiscales, financieras, administrativas y del sector público y de creación del impuesto sobre las instalaciones que inciden en el medio ambiente.</w:t>
      </w:r>
    </w:p>
    <w:p w14:paraId="2A2776B0" w14:textId="77777777" w:rsidR="00C04533" w:rsidRDefault="00C04533" w:rsidP="00C04533">
      <w:pPr>
        <w:pStyle w:val="TextoNormal"/>
      </w:pPr>
    </w:p>
    <w:p w14:paraId="47EED089" w14:textId="77777777" w:rsidR="00C04533" w:rsidRDefault="00C04533" w:rsidP="00C04533">
      <w:pPr>
        <w:pStyle w:val="TextoNormal"/>
      </w:pPr>
      <w:r>
        <w:t>a) Tras un resumen de los antecedentes procesales, el auto de planteamiento detalla el objeto del recurso contencioso-administrativo (la sanción impuesta al recurrente), las normas aplicables y su aplicabilidad y relevancia para resolver el recurso contencioso-administrativo, exigidas por los arts. 163 CE y 35.1 LOTC.</w:t>
      </w:r>
    </w:p>
    <w:p w14:paraId="66932A22" w14:textId="77777777" w:rsidR="00C04533" w:rsidRDefault="00C04533" w:rsidP="00C04533">
      <w:pPr>
        <w:pStyle w:val="TextoNormal"/>
      </w:pPr>
    </w:p>
    <w:p w14:paraId="6E3B4B92" w14:textId="77777777" w:rsidR="00C04533" w:rsidRDefault="00C04533" w:rsidP="00C04533">
      <w:pPr>
        <w:pStyle w:val="TextoNormal"/>
      </w:pPr>
      <w:r>
        <w:t>Transcribe, en particular, la disposición derogatoria del Código penal de 1995, donde se fija la cuantía de las sanciones de la ley de caza, y la norma cuestionada, donde se procede a su “actualización” por la comunidad autónoma.</w:t>
      </w:r>
    </w:p>
    <w:p w14:paraId="698279F5" w14:textId="77777777" w:rsidR="00C04533" w:rsidRDefault="00C04533" w:rsidP="00C04533">
      <w:pPr>
        <w:pStyle w:val="TextoNormal"/>
      </w:pPr>
    </w:p>
    <w:p w14:paraId="0024F61E" w14:textId="77777777" w:rsidR="00C04533" w:rsidRDefault="00C04533" w:rsidP="00C04533">
      <w:pPr>
        <w:pStyle w:val="TextoNormal"/>
      </w:pPr>
      <w:r>
        <w:t>Según la disposición derogatoria única, apartado 1 e), de la Ley Orgánica 10/1995, de 23 de noviembre, del Código penal:</w:t>
      </w:r>
    </w:p>
    <w:p w14:paraId="6B53081C" w14:textId="77777777" w:rsidR="00C04533" w:rsidRDefault="00C04533" w:rsidP="00C04533">
      <w:pPr>
        <w:pStyle w:val="TextoNormal"/>
      </w:pPr>
    </w:p>
    <w:p w14:paraId="31909D6C" w14:textId="77777777" w:rsidR="00C04533" w:rsidRDefault="00C04533" w:rsidP="00C04533">
      <w:pPr>
        <w:pStyle w:val="TextoNormal"/>
      </w:pPr>
      <w:r>
        <w:t>“Quedan derogados […] [l]os preceptos penales sustantivos de las siguientes leyes especiales: […] Ley 1/1970, de 4 de abril, de caza. Los delitos y faltas previstos en dicha ley, no contenidos en este código, tendrán la consideración de infracciones administrativas muy graves, sancionándose con multa de cincuenta mil a quinientas mil pesetas y retirada de la licencia de caza, o de la facultad de obtenerla, por un plazo de dos a cinco años”.</w:t>
      </w:r>
    </w:p>
    <w:p w14:paraId="1677484B" w14:textId="77777777" w:rsidR="00C04533" w:rsidRDefault="00C04533" w:rsidP="00C04533">
      <w:pPr>
        <w:pStyle w:val="TextoNormal"/>
      </w:pPr>
    </w:p>
    <w:p w14:paraId="276CA157" w14:textId="77777777" w:rsidR="00C04533" w:rsidRDefault="00C04533" w:rsidP="00C04533">
      <w:pPr>
        <w:pStyle w:val="TextoNormal"/>
      </w:pPr>
      <w:r>
        <w:t>Por su parte, la disposición cuestionada dice así:</w:t>
      </w:r>
    </w:p>
    <w:p w14:paraId="1033D48A" w14:textId="77777777" w:rsidR="00C04533" w:rsidRDefault="00C04533" w:rsidP="00C04533">
      <w:pPr>
        <w:pStyle w:val="TextoNormal"/>
      </w:pPr>
    </w:p>
    <w:p w14:paraId="13CB98BE" w14:textId="77777777" w:rsidR="00C04533" w:rsidRDefault="00C04533" w:rsidP="00C04533">
      <w:pPr>
        <w:pStyle w:val="TextoNormal"/>
      </w:pPr>
      <w:r>
        <w:t>“Disposición adicional primera. Actualización de disposiciones en materia de caza</w:t>
      </w:r>
    </w:p>
    <w:p w14:paraId="58B7C846" w14:textId="77777777" w:rsidR="00C04533" w:rsidRDefault="00C04533" w:rsidP="00C04533">
      <w:pPr>
        <w:pStyle w:val="TextoNormal"/>
      </w:pPr>
    </w:p>
    <w:p w14:paraId="554A0AF9" w14:textId="77777777" w:rsidR="00C04533" w:rsidRDefault="00C04533" w:rsidP="00C04533">
      <w:pPr>
        <w:pStyle w:val="TextoNormal"/>
      </w:pPr>
      <w:r>
        <w:t>1. Los importes de las multas reguladas por la Ley del Estado 1/1970, de 4 de abril, de caza, fijados por el Decreto del Estado 506/1971, de 25 de marzo, se actualizan en el ámbito territorial de Cataluña en los términos siguientes, con la condición de que, si el beneficio obtenido como resultado de la comisión de la infracción es superior al importe que corresponda como máximo, el importe de la multa se incrementará hasta la cuantía del beneficio obtenido por el infractor:</w:t>
      </w:r>
    </w:p>
    <w:p w14:paraId="043F7ABA" w14:textId="77777777" w:rsidR="00C04533" w:rsidRDefault="00C04533" w:rsidP="00C04533">
      <w:pPr>
        <w:pStyle w:val="TextoNormal"/>
      </w:pPr>
    </w:p>
    <w:p w14:paraId="368CBA49" w14:textId="77777777" w:rsidR="00C04533" w:rsidRDefault="00C04533" w:rsidP="00C04533">
      <w:pPr>
        <w:pStyle w:val="TextoNormal"/>
      </w:pPr>
      <w:r>
        <w:t>a) Infracciones muy graves, de 3001 a 120 000 €.</w:t>
      </w:r>
    </w:p>
    <w:p w14:paraId="76B6D331" w14:textId="77777777" w:rsidR="00C04533" w:rsidRDefault="00C04533" w:rsidP="00C04533">
      <w:pPr>
        <w:pStyle w:val="TextoNormal"/>
      </w:pPr>
    </w:p>
    <w:p w14:paraId="10A31442" w14:textId="77777777" w:rsidR="00C04533" w:rsidRDefault="00C04533" w:rsidP="00C04533">
      <w:pPr>
        <w:pStyle w:val="TextoNormal"/>
      </w:pPr>
      <w:r>
        <w:t>b) Infracciones graves, de 1001 a 3000 €.</w:t>
      </w:r>
    </w:p>
    <w:p w14:paraId="2E2CE715" w14:textId="77777777" w:rsidR="00C04533" w:rsidRDefault="00C04533" w:rsidP="00C04533">
      <w:pPr>
        <w:pStyle w:val="TextoNormal"/>
      </w:pPr>
    </w:p>
    <w:p w14:paraId="0DE5CE2E" w14:textId="77777777" w:rsidR="00C04533" w:rsidRDefault="00C04533" w:rsidP="00C04533">
      <w:pPr>
        <w:pStyle w:val="TextoNormal"/>
      </w:pPr>
      <w:r>
        <w:t>c) Infracciones menos graves, de 301 a 1000 €.</w:t>
      </w:r>
    </w:p>
    <w:p w14:paraId="1C55AF7C" w14:textId="77777777" w:rsidR="00C04533" w:rsidRDefault="00C04533" w:rsidP="00C04533">
      <w:pPr>
        <w:pStyle w:val="TextoNormal"/>
      </w:pPr>
    </w:p>
    <w:p w14:paraId="2FF1AF76" w14:textId="77777777" w:rsidR="00C04533" w:rsidRDefault="00C04533" w:rsidP="00C04533">
      <w:pPr>
        <w:pStyle w:val="TextoNormal"/>
      </w:pPr>
      <w:r>
        <w:t>d) Infracciones leves, de 60 a 300 €”.</w:t>
      </w:r>
    </w:p>
    <w:p w14:paraId="1E9900A1" w14:textId="77777777" w:rsidR="00C04533" w:rsidRDefault="00C04533" w:rsidP="00C04533">
      <w:pPr>
        <w:pStyle w:val="TextoNormal"/>
      </w:pPr>
    </w:p>
    <w:p w14:paraId="516153D0" w14:textId="77777777" w:rsidR="00C04533" w:rsidRDefault="00C04533" w:rsidP="00C04533">
      <w:pPr>
        <w:pStyle w:val="TextoNormal"/>
      </w:pPr>
      <w:r>
        <w:t>A continuación, indica que la resolución administrativa impugnada sanciona una infracción muy grave en materia de caza del art. 42.1 d) de la Ley 1/1970, de caza, y que impone la sanción prevista en la disposición adicional primera, apartado 1, de la Ley 5/2020, por lo que esta última es “aplicable al caso” y su inconstitucionalidad “afecta sustancialmente al fallo, por la razón evidente de que fija la cuantía de la sanción impuesta al demandante, cuya anulación se pretende con la demanda”.</w:t>
      </w:r>
    </w:p>
    <w:p w14:paraId="301BD67F" w14:textId="77777777" w:rsidR="00C04533" w:rsidRDefault="00C04533" w:rsidP="00C04533">
      <w:pPr>
        <w:pStyle w:val="TextoNormal"/>
      </w:pPr>
    </w:p>
    <w:p w14:paraId="34C1562F" w14:textId="77777777" w:rsidR="00C04533" w:rsidRDefault="00C04533" w:rsidP="00C04533">
      <w:pPr>
        <w:pStyle w:val="TextoNormal"/>
      </w:pPr>
      <w:r>
        <w:t>b) Seguidamente, cita y reproduce las SSTC 100/2003, de 2 de junio, y 77/2022, de 15 de junio, sobre el derecho a la legalidad de infracciones y sanciones del art. 25.1 CE y su “vertiente material” que impone la “necesidad de que la ley predetermine suficientemente las infracciones y sanciones […] para que los ciudadanos puedan conocer de antemano el ámbito de lo proscrito y prever, así, las consecuencias de sus acciones” y “predecir con suficiente grado de certeza las conductas que constituyen infracción y el tipo y grado de sanción del que puede hacerse merecedor quien la cometa”.</w:t>
      </w:r>
    </w:p>
    <w:p w14:paraId="346760E4" w14:textId="77777777" w:rsidR="00C04533" w:rsidRDefault="00C04533" w:rsidP="00C04533">
      <w:pPr>
        <w:pStyle w:val="TextoNormal"/>
      </w:pPr>
    </w:p>
    <w:p w14:paraId="0D44C124" w14:textId="77777777" w:rsidR="00C04533" w:rsidRDefault="00C04533" w:rsidP="00C04533">
      <w:pPr>
        <w:pStyle w:val="TextoNormal"/>
      </w:pPr>
      <w:r>
        <w:t>c) Esto sentado, desarrolla dos posibles vicios de inconstitucionalidad.</w:t>
      </w:r>
    </w:p>
    <w:p w14:paraId="4D7551FB" w14:textId="77777777" w:rsidR="00C04533" w:rsidRDefault="00C04533" w:rsidP="00C04533">
      <w:pPr>
        <w:pStyle w:val="TextoNormal"/>
      </w:pPr>
    </w:p>
    <w:p w14:paraId="7CC08B79" w14:textId="77777777" w:rsidR="00C04533" w:rsidRDefault="00C04533" w:rsidP="00C04533">
      <w:pPr>
        <w:pStyle w:val="TextoNormal"/>
      </w:pPr>
      <w:r>
        <w:t>(i) En primer lugar, parte de que la disposición cuestionada “[n]o desplaza la ley estatal 1/1970 cuya aplicación se mantiene”. Aclara que “no se discute” la competencia autonómica sobre la caza, pero considera que, al no promulgar la comunidad autónoma una ley de caza, el administrado no puede predecir con suficiente grado de certeza el grado de sanción que corresponde a su conducta. Le parece que contribuye a esta inseguridad la falta de una remisión expresa en la ley estatal a una ley autonómica de actualización.</w:t>
      </w:r>
    </w:p>
    <w:p w14:paraId="65009F35" w14:textId="77777777" w:rsidR="00C04533" w:rsidRDefault="00C04533" w:rsidP="00C04533">
      <w:pPr>
        <w:pStyle w:val="TextoNormal"/>
      </w:pPr>
    </w:p>
    <w:p w14:paraId="420F630F" w14:textId="77777777" w:rsidR="00C04533" w:rsidRDefault="00C04533" w:rsidP="00C04533">
      <w:pPr>
        <w:pStyle w:val="TextoNormal"/>
      </w:pPr>
      <w:r>
        <w:t>(ii) En segundo lugar, el auto argumenta que la norma cuestionada “[d]ifiere la fijación concreta de la multa a imponer al momento de su aplicación, de acuerdo con criterios de discrecionalidad administrativa” no suficientemente precisos. Entra en diálogo con los argumentos de la defensa de la Generalitat y concluye que los criterios de valoración previstos en la normativa estatal son insuficientes para la amplitud de la horquilla prevista en la ley autonómica cuestionada (entre 3001 y 120 000 €).</w:t>
      </w:r>
    </w:p>
    <w:p w14:paraId="41D516D1" w14:textId="77777777" w:rsidR="00C04533" w:rsidRDefault="00C04533" w:rsidP="00C04533">
      <w:pPr>
        <w:pStyle w:val="TextoNormal"/>
      </w:pPr>
    </w:p>
    <w:p w14:paraId="7E22B35B" w14:textId="77777777" w:rsidR="00C04533" w:rsidRDefault="00C04533" w:rsidP="00C04533">
      <w:pPr>
        <w:pStyle w:val="TextoNormal"/>
      </w:pPr>
      <w:r>
        <w:t>La ley y el reglamento de caza del Estado solo prevén tres circunstancias agravantes: reincidencia, concurso ideal de infracciones y la condición de autoridad o funcionario encargado de hacer cumplir los preceptos que regulan el ejercicio de la caza. Y una sola atenuante: la menor edad. Ante una horquilla tan amplia como la prevista en la ley autonómica, esos escasos elementos normativos previstos para el margen más reducido “de entre 30 y 300 €” (</w:t>
      </w:r>
      <w:r w:rsidRPr="00C04533">
        <w:rPr>
          <w:i/>
        </w:rPr>
        <w:t>sic</w:t>
      </w:r>
      <w:r>
        <w:t>, en realidad de entre 300 y 3000) señalado de la ley estatal, no permiten colmar el principio de seguridad jurídica ínsito en el de taxatividad derivado del art. 25.1 CE. Cita, en particular, el caso de la agravante de cargo o función pública encargada de hacer cumplir la normativa de caza que obliga por sí sola a imponer “la máxima cuantía de la escala correspondiente a la infracción cometida” conforme al art. 49.4 de la Ley de caza (y el art. 42.3), es decir, 120 000 € por esta única agravación.</w:t>
      </w:r>
    </w:p>
    <w:p w14:paraId="1E302915" w14:textId="77777777" w:rsidR="00C04533" w:rsidRDefault="00C04533" w:rsidP="00C04533">
      <w:pPr>
        <w:pStyle w:val="TextoNormal"/>
      </w:pPr>
    </w:p>
    <w:p w14:paraId="6650FDA1" w14:textId="38A4DE66" w:rsidR="00C04533" w:rsidRDefault="00C04533" w:rsidP="00C04533">
      <w:pPr>
        <w:pStyle w:val="TextoNormal"/>
      </w:pPr>
      <w:r>
        <w:t>Concluye, por todo ello, que el precepto cuestionado podría vulnerar el citado precepto constitucional.</w:t>
      </w:r>
    </w:p>
    <w:p w14:paraId="753905F2" w14:textId="77777777" w:rsidR="00C04533" w:rsidRDefault="00C04533" w:rsidP="00C04533">
      <w:pPr>
        <w:pStyle w:val="TextoNormal"/>
      </w:pPr>
    </w:p>
    <w:p w14:paraId="28FAF7DB" w14:textId="7C9C7557" w:rsidR="00C04533" w:rsidRDefault="00C04533" w:rsidP="00C04533">
      <w:pPr>
        <w:pStyle w:val="TextoNormal"/>
      </w:pPr>
      <w:r w:rsidRPr="00C04533">
        <w:rPr>
          <w:rStyle w:val="NumeroAFNegritaCaracter"/>
        </w:rPr>
        <w:t>4</w:t>
      </w:r>
      <w:r>
        <w:t>. Por providencia de 4 de junio de 2024 el Pleno del Tribunal Constitucional acordó, a los efectos que determina el art. 37.1 LOTC, oír al fiscal general del Estado para que en el plazo de diez días alegase lo que considerase conveniente acerca de la admisibilidad de la presente cuestión de inconstitucionalidad, por si fuere notoriamente infundada.</w:t>
      </w:r>
    </w:p>
    <w:p w14:paraId="7577D5A3" w14:textId="77777777" w:rsidR="00C04533" w:rsidRDefault="00C04533" w:rsidP="00C04533">
      <w:pPr>
        <w:pStyle w:val="TextoNormal"/>
      </w:pPr>
    </w:p>
    <w:p w14:paraId="12712ABB" w14:textId="77777777" w:rsidR="00C04533" w:rsidRDefault="00C04533" w:rsidP="00C04533">
      <w:pPr>
        <w:pStyle w:val="TextoNormal"/>
      </w:pPr>
      <w:r w:rsidRPr="00C04533">
        <w:rPr>
          <w:rStyle w:val="NumeroAFNegritaCaracter"/>
        </w:rPr>
        <w:t>5</w:t>
      </w:r>
      <w:r>
        <w:t>. El fiscal general del Estado presentó sus alegaciones el día 12 de julio de 2024. Tras exponer con detalle los antecedentes del caso, comienza aludiendo al carácter “inconsistente” del juicio de relevancia formulado por el órgano judicial. El auto de planteamiento pone el acento en el límite máximo de 120 000 €, cuando en el caso concreto la sanción ha sido la mínima de 3001 €. Por lo tanto, concluye, la duda de constitucionalidad ha sido planteada en términos abstractos.</w:t>
      </w:r>
    </w:p>
    <w:p w14:paraId="6264AF5D" w14:textId="77777777" w:rsidR="00C04533" w:rsidRDefault="00C04533" w:rsidP="00C04533">
      <w:pPr>
        <w:pStyle w:val="TextoNormal"/>
      </w:pPr>
    </w:p>
    <w:p w14:paraId="58ABF590" w14:textId="77777777" w:rsidR="00C04533" w:rsidRDefault="00C04533" w:rsidP="00C04533">
      <w:pPr>
        <w:pStyle w:val="TextoNormal"/>
      </w:pPr>
      <w:r>
        <w:t>En cuanto al fondo de la cuestión de inconstitucionalidad, comienza recordando la competencia “exclusiva” de la Generalitat de Cataluña “en materia de caza”, de acuerdo con el art. 119.1 EAC. Acto seguido, reproduce la doctrina constitucional sobre el mandato de taxatividad de las infracciones y sanciones derivado del art. 25.1 CE, que impone la predeterminación “suficiente de las infracciones y sanciones, así como la correspondencia entre unas y otras”, pero “no implica un automatismo tal que suponga la exclusión de todo poder de apreciación” por la administración.</w:t>
      </w:r>
    </w:p>
    <w:p w14:paraId="7187D46E" w14:textId="77777777" w:rsidR="00C04533" w:rsidRDefault="00C04533" w:rsidP="00C04533">
      <w:pPr>
        <w:pStyle w:val="TextoNormal"/>
      </w:pPr>
    </w:p>
    <w:p w14:paraId="720167E3" w14:textId="77777777" w:rsidR="00C04533" w:rsidRDefault="00C04533" w:rsidP="00C04533">
      <w:pPr>
        <w:pStyle w:val="TextoNormal"/>
      </w:pPr>
      <w:r>
        <w:t>Considera, bajo este marco, que la “defectuosa técnica legislativa” que el auto reprocha al legislador catalán por no haber aprobado una ley de caza no vulnera esa garantía, ni permite hablar de indeterminación de las sanciones. Las infracciones se clasifican en muy graves, graves, menos graves y leves y cada una de esas clases lleva aparejada un mínimo y un máximo de sanción, que es lo que exige la doctrina constitucional (cita las SSTC 100/2003, FJ 4, y 77/2022, FJ 2).</w:t>
      </w:r>
    </w:p>
    <w:p w14:paraId="571251AB" w14:textId="77777777" w:rsidR="00C04533" w:rsidRDefault="00C04533" w:rsidP="00C04533">
      <w:pPr>
        <w:pStyle w:val="TextoNormal"/>
      </w:pPr>
    </w:p>
    <w:p w14:paraId="20387EDD" w14:textId="4CC419A7" w:rsidR="00C04533" w:rsidRDefault="00C04533" w:rsidP="00C04533">
      <w:pPr>
        <w:pStyle w:val="TextoNormal"/>
      </w:pPr>
      <w:r>
        <w:t>Por otra parte, la “amplia horquilla” de la disposición cuestionada no permite una actuación discrecional ni representa una habilitación en blanco a la administración, contraria a la doctrina constitucional. Tanto la ley como el reglamento de caza, y el art. 29 de la Ley 40/2015, de 1 de octubre, de régimen jurídico del sector público, establecen criterios de graduación de las sanciones que guían la actuación administrativa y permiten su revisión por la jurisdicción contencioso-administrativa, y eventualmente por el Tribunal Constitucional en un recurso de amparo, como se razonó en la STC 14/2021, de 28 de enero, FJ 6. En definitiva, la disposición cuestionada no supone un diferimiento a la administración vedado por la Constitución, como supone el auto de planteamiento.</w:t>
      </w:r>
    </w:p>
    <w:p w14:paraId="49057F9E" w14:textId="77777777" w:rsidR="00C04533" w:rsidRDefault="00C04533" w:rsidP="00C04533">
      <w:pPr>
        <w:pStyle w:val="TextoNormal"/>
      </w:pPr>
    </w:p>
    <w:p w14:paraId="7C67C80B" w14:textId="77777777" w:rsidR="00C04533" w:rsidRDefault="00C04533" w:rsidP="00C04533">
      <w:pPr>
        <w:pStyle w:val="TextoNormalNegritaCentrado"/>
        <w:keepNext/>
      </w:pPr>
      <w:r>
        <w:t>II. Fundamentos jurídicos</w:t>
      </w:r>
    </w:p>
    <w:p w14:paraId="06C6AB5D" w14:textId="0EA8CA5B" w:rsidR="00C04533" w:rsidRDefault="00C04533" w:rsidP="00C04533">
      <w:pPr>
        <w:pStyle w:val="TextoNormalNegritaCentrado"/>
        <w:keepNext/>
      </w:pPr>
    </w:p>
    <w:p w14:paraId="2F7B74D7" w14:textId="77777777" w:rsidR="00C04533" w:rsidRDefault="00C04533" w:rsidP="00C04533">
      <w:pPr>
        <w:pStyle w:val="TextoNormal"/>
      </w:pPr>
      <w:r w:rsidRPr="00C04533">
        <w:rPr>
          <w:rStyle w:val="NumeroAFNegritaCaracter"/>
        </w:rPr>
        <w:t>1</w:t>
      </w:r>
      <w:r>
        <w:t xml:space="preserve">. </w:t>
      </w:r>
      <w:r w:rsidRPr="00C04533">
        <w:rPr>
          <w:i/>
        </w:rPr>
        <w:t>Objeto de la cuestión de inconstitucionalidad</w:t>
      </w:r>
    </w:p>
    <w:p w14:paraId="1F1F0AD6" w14:textId="77777777" w:rsidR="00C04533" w:rsidRDefault="00C04533" w:rsidP="00C04533">
      <w:pPr>
        <w:pStyle w:val="TextoNormal"/>
      </w:pPr>
    </w:p>
    <w:p w14:paraId="5DB88E59" w14:textId="77777777" w:rsidR="00C04533" w:rsidRDefault="00C04533" w:rsidP="00C04533">
      <w:pPr>
        <w:pStyle w:val="TextoNormal"/>
      </w:pPr>
      <w:r>
        <w:t xml:space="preserve">El Juzgado de lo Contencioso-Administrativo núm. 2 de Girona promueve cuestión de inconstitucionalidad en relación con la disposición adicional primera, apartado 1, de la Ley del Parlamento de Cataluña 5/2020, de 29 de abril, de medidas fiscales, financieras, administrativas y del sector público y de creación del impuesto sobre las instalaciones que inciden en el medio ambiente. Esta disposición, transcrita en el apartado de los antecedentes, lleva a cabo una “actualización” de las sanciones previstas en la Ley de caza del Estado, de 4 de abril de 1970. En particular, en su apartado a), que es el único aplicable y relevante en el proceso </w:t>
      </w:r>
      <w:r w:rsidRPr="00C04533">
        <w:rPr>
          <w:i/>
        </w:rPr>
        <w:t>a quo</w:t>
      </w:r>
      <w:r>
        <w:t>, dispone que las infracciones muy graves se castigarán con multa “de 3001 a 120 000 €” (frente a la horquilla de 300 a 3000 € prevista en la ley estatal).</w:t>
      </w:r>
    </w:p>
    <w:p w14:paraId="20828B80" w14:textId="77777777" w:rsidR="00C04533" w:rsidRDefault="00C04533" w:rsidP="00C04533">
      <w:pPr>
        <w:pStyle w:val="TextoNormal"/>
      </w:pPr>
    </w:p>
    <w:p w14:paraId="0FD54CF3" w14:textId="77777777" w:rsidR="00C04533" w:rsidRDefault="00C04533" w:rsidP="00C04533">
      <w:pPr>
        <w:pStyle w:val="TextoNormal"/>
      </w:pPr>
      <w:r>
        <w:t xml:space="preserve">El órgano judicial reconoce la competencia de la Generalitat de Cataluña en materia de caza conforme al art. 119.1 EAC. Pero considera que este modo de proceder, al no promulgar el legislador catalán una ley propia de caza y simplemente “actualizar” las sanciones establecidas en la ley del Estado, que no contiene advertencia o remisión alguna al respecto, impide a los ciudadanos predecir con suficiente grado de certeza la sanción que corresponde a su conducta, contraviniendo así el mandato de taxatividad o </w:t>
      </w:r>
      <w:r w:rsidRPr="00C04533">
        <w:rPr>
          <w:i/>
        </w:rPr>
        <w:t>lex certa</w:t>
      </w:r>
      <w:r>
        <w:t xml:space="preserve"> derivado del derecho a la legalidad sancionadora garantizado en el art. 25.1 CE.</w:t>
      </w:r>
    </w:p>
    <w:p w14:paraId="609681C9" w14:textId="77777777" w:rsidR="00C04533" w:rsidRDefault="00C04533" w:rsidP="00C04533">
      <w:pPr>
        <w:pStyle w:val="TextoNormal"/>
      </w:pPr>
    </w:p>
    <w:p w14:paraId="6435A4D1" w14:textId="3A6C0576" w:rsidR="00C04533" w:rsidRDefault="00C04533" w:rsidP="00C04533">
      <w:pPr>
        <w:pStyle w:val="TextoNormal"/>
      </w:pPr>
      <w:r>
        <w:t>Adicionalmente, argumenta que “una horquilla sancionadora tan amplia” como la cuestionada, de 3001 a 120 000 €, representa un diferimiento de la fijación de la sanción al momento de su aplicación con plena “discrecionalidad” administrativa contraria a la misma garantía y precepto constitucional, tal y como ha sido interpretada en las SSTC 100/2003, de 2 de junio, FJ 4, y 77/2022, de 15 de junio, FJ 2, que cita expresamente.</w:t>
      </w:r>
    </w:p>
    <w:p w14:paraId="569CEA2D" w14:textId="77777777" w:rsidR="00C04533" w:rsidRDefault="00C04533" w:rsidP="00C04533">
      <w:pPr>
        <w:pStyle w:val="TextoNormal"/>
      </w:pPr>
    </w:p>
    <w:p w14:paraId="23125949" w14:textId="77777777" w:rsidR="00C04533" w:rsidRDefault="00C04533" w:rsidP="00C04533">
      <w:pPr>
        <w:pStyle w:val="TextoNormal"/>
      </w:pPr>
      <w:r w:rsidRPr="00C04533">
        <w:rPr>
          <w:rStyle w:val="NumeroAFNegritaCaracter"/>
        </w:rPr>
        <w:t>2</w:t>
      </w:r>
      <w:r>
        <w:t xml:space="preserve">. </w:t>
      </w:r>
      <w:r w:rsidRPr="00C04533">
        <w:rPr>
          <w:i/>
        </w:rPr>
        <w:t>Inadmisión de la cuestión de inconstitucionalidad por “notoriamente infundada” (art. 37.1 LOTC)</w:t>
      </w:r>
    </w:p>
    <w:p w14:paraId="7581CD7B" w14:textId="77777777" w:rsidR="00C04533" w:rsidRDefault="00C04533" w:rsidP="00C04533">
      <w:pPr>
        <w:pStyle w:val="TextoNormal"/>
      </w:pPr>
    </w:p>
    <w:p w14:paraId="71482641" w14:textId="77777777" w:rsidR="00C04533" w:rsidRDefault="00C04533" w:rsidP="00C04533">
      <w:pPr>
        <w:pStyle w:val="TextoNormal"/>
      </w:pPr>
      <w:r>
        <w:t>a) Según el art. 37.1 LOTC, el Tribunal podrá rechazar, en trámite de admisión, mediante auto y sin otra audiencia que la del fiscal general del Estado las cuestiones de inconstitucionalidad que tengan la condición de “notoriamente infundadas”. Según nuestra doctrina, esta expresión otorga al Tribunal un cierto “margen de apreciación a la hora de controlar la solidez de la fundamentación de las cuestiones de inconstitucionalidad”, ya que “[e]xisten supuestos en los que un examen preliminar permite apreciar la falta de viabilidad de la cuestión suscitada, sin que ello signifique un juicio peyorativo sobre la duda de constitucionalidad trasladada por el órgano judicial, pudiendo resultar conveniente en tales casos resolver la cuestión en esta primera fase procesal” (por todos, ATC 83/2022, de 11 de mayo, FJ 3).</w:t>
      </w:r>
    </w:p>
    <w:p w14:paraId="5E25D13A" w14:textId="77777777" w:rsidR="00C04533" w:rsidRDefault="00C04533" w:rsidP="00C04533">
      <w:pPr>
        <w:pStyle w:val="TextoNormal"/>
      </w:pPr>
    </w:p>
    <w:p w14:paraId="6DFB68BB" w14:textId="77777777" w:rsidR="00C04533" w:rsidRDefault="00C04533" w:rsidP="00C04533">
      <w:pPr>
        <w:pStyle w:val="TextoNormal"/>
      </w:pPr>
      <w:r>
        <w:t>Así sucede en el presente caso, tal y como resulta de las alegaciones del fiscal general del Estado.</w:t>
      </w:r>
    </w:p>
    <w:p w14:paraId="19E8160E" w14:textId="77777777" w:rsidR="00C04533" w:rsidRDefault="00C04533" w:rsidP="00C04533">
      <w:pPr>
        <w:pStyle w:val="TextoNormal"/>
      </w:pPr>
    </w:p>
    <w:p w14:paraId="0A6066C3" w14:textId="77777777" w:rsidR="00C04533" w:rsidRDefault="00C04533" w:rsidP="00C04533">
      <w:pPr>
        <w:pStyle w:val="TextoNormal"/>
      </w:pPr>
      <w:r>
        <w:t>b) La primera causa de inconstitucionalidad señalada en el auto de planteamiento (la omisión de una cláusula de remisión expresa a la legislación autonómica en la ley del Estado o la inexistencia de una ley integral de caza de la Generalitat) es una cuestión de “defectuosa técnica legislativa”, como la califica el fiscal general del Estado, ajena por completo al juicio de constitucionalidad.</w:t>
      </w:r>
    </w:p>
    <w:p w14:paraId="1F900D9F" w14:textId="77777777" w:rsidR="00C04533" w:rsidRDefault="00C04533" w:rsidP="00C04533">
      <w:pPr>
        <w:pStyle w:val="TextoNormal"/>
      </w:pPr>
    </w:p>
    <w:p w14:paraId="73A29279" w14:textId="77777777" w:rsidR="00C04533" w:rsidRDefault="00C04533" w:rsidP="00C04533">
      <w:pPr>
        <w:pStyle w:val="TextoNormal"/>
      </w:pPr>
      <w:r>
        <w:t>Por una parte, la competencia de la Generalitat de Cataluña para legislar sobre la “caza”, y en concreto sobre la cuantía y gravedad de las sanciones administrativas en esta materia, proviene de su estatuto de autonomía [arts. 147.1 d) CE y 119.1 EAC], no de una delegación o habilitación de la Ley de caza del Estado. Por lo tanto, no es constitucionalmente necesario que esta última se remita expresamente a la normativa autonómica, como sugiere el auto de planteamiento. De la misma manera que hemos dicho que las “cláusulas de salvaguarda” de la normativa del Estado que puedan contener las leyes autonómicas son constitucionalmente innecesarias [por todas, STC 68/2024, de 23 de abril, FJ 3 d)], también las cláusulas de remisión expresa que las leyes del Estado puedan efectuar a las normas autonómicas son superfluas y redundantes.</w:t>
      </w:r>
    </w:p>
    <w:p w14:paraId="4FB5370E" w14:textId="77777777" w:rsidR="00C04533" w:rsidRDefault="00C04533" w:rsidP="00C04533">
      <w:pPr>
        <w:pStyle w:val="TextoNormal"/>
      </w:pPr>
    </w:p>
    <w:p w14:paraId="47A810DC" w14:textId="77777777" w:rsidR="00C04533" w:rsidRDefault="00C04533" w:rsidP="00C04533">
      <w:pPr>
        <w:pStyle w:val="TextoNormal"/>
      </w:pPr>
      <w:r>
        <w:t>Por otra parte, la supletoriedad de la ley preconstitucional de caza mientras la comunidad autónoma no apruebe una suya propia que la desplace tiene igualmente amparo en el texto constitucional (art. 149.3). De modo que, si la comunidad autónoma ha decidido mantener vigente la ley estatal de 1970 y modificar solamente de forma puntual alguno de sus preceptos, como aquí ha sucedido, este ejercicio de su “autonomía” (art. 137 CE) es tan constitucional como el contrario propuesto por el órgano promotor de la cuestión de inconstitucionalidad.</w:t>
      </w:r>
    </w:p>
    <w:p w14:paraId="103774E4" w14:textId="77777777" w:rsidR="00C04533" w:rsidRDefault="00C04533" w:rsidP="00C04533">
      <w:pPr>
        <w:pStyle w:val="TextoNormal"/>
      </w:pPr>
    </w:p>
    <w:p w14:paraId="2B3DD99C" w14:textId="77777777" w:rsidR="00C04533" w:rsidRDefault="00C04533" w:rsidP="00C04533">
      <w:pPr>
        <w:pStyle w:val="TextoNormal"/>
      </w:pPr>
      <w:r>
        <w:t>c) También puede descartarse que concurra la segunda causa de inconstitucionalidad advertida en el auto de planteamiento.</w:t>
      </w:r>
    </w:p>
    <w:p w14:paraId="584B8D0F" w14:textId="77777777" w:rsidR="00C04533" w:rsidRDefault="00C04533" w:rsidP="00C04533">
      <w:pPr>
        <w:pStyle w:val="TextoNormal"/>
      </w:pPr>
    </w:p>
    <w:p w14:paraId="1B60930D" w14:textId="77777777" w:rsidR="00C04533" w:rsidRDefault="00C04533" w:rsidP="00C04533">
      <w:pPr>
        <w:pStyle w:val="TextoNormal"/>
      </w:pPr>
      <w:r>
        <w:t>La doctrina constitucional que cita el órgano judicial (SSTC 100/2003, FJ 4, y 77/2022, FJ 2) se refiere a casos de indeterminación absoluta del límite de la sanción [por ejemplo, la tipificación de multas de una cuantía determinada “en adelante” (STC 29/1989, de 6 de febrero, citada en la STC 100/2003, FJ 4)] o de clasificación legal de las infracciones y sanciones en muy graves, graves y leves en función de criterios generales como el perjuicio causado, la concurrencia de dolo o culpa u otros semejantes, pero sin establecer la ley “qué concretas conductas de las tipificadas se incardinaban en cada una” de esas categorías; en definitiva, de “leyes que remiten la calificación de las infracciones como leves, graves o muy graves a un órgano administrativo” (STC 77/2022, FJ 2, citando las SSTC 150/2020, de 22 de octubre, FJ 3; 10/2015, de 2 de febrero, FJ 3, y 166/2012, de 1 de octubre, FJ 5). Como resume esta misma STC 77/2022, FJ 2, citando la STC 150/2020, FJ 3, “la concreción de si una determinada conducta constituye una infracción de mayor o menor gravedad debe estar suficientemente predeterminada en la norma. Por tanto, un tipo infractor que traslade la calificación de la gravedad de las infracciones a un momento aplicativo posterior y externo a la previsión legal no respeta el principio de taxatividad”.</w:t>
      </w:r>
    </w:p>
    <w:p w14:paraId="17872B1F" w14:textId="77777777" w:rsidR="00C04533" w:rsidRDefault="00C04533" w:rsidP="00C04533">
      <w:pPr>
        <w:pStyle w:val="TextoNormal"/>
      </w:pPr>
    </w:p>
    <w:p w14:paraId="16E58B18" w14:textId="77777777" w:rsidR="00C04533" w:rsidRDefault="00C04533" w:rsidP="00C04533">
      <w:pPr>
        <w:pStyle w:val="TextoNormal"/>
      </w:pPr>
      <w:r>
        <w:t>La disposición legal cuestionada no incurre en esta “habilitación en blanco a la administración” proscrita por nuestra doctrina (por todas, STC 77/2022, FJ 2), pues no traslada a la administración la calificación de la gravedad de la infracción o de la sanción. La actuación de la administración de la Generalitat al calificar la conducta e individualizar la sanción conforme a la normativa de caza no es “ni totalmente discrecional ni enteramente libre”, que es lo vedado por nuestra doctrina (STC 100/2003, FJ 4, citando las SSTC 14/1998, de 22 de enero, FJ 10, y 113/2002, de 9 de mayo, FJ 7). Al contrario, la concreta conducta atribuida al infractor está expresamente calificada como “muy grave” por la ley, y en la individualización de la sanción la administración está igualmente vinculada por los criterios de graduación previstos en la ley y reglamento de caza del Estado (arts. 42.3 y 49 de la Ley 1/1970, de caza, y arts. 47.2 y 49.10 y 11, del Decreto 506/1971, de 25 de marzo), y también, como señala el fiscal general del Estado, por los criterios generales de proporcionalidad de las sanciones previstos en el art. 29.3 de la Ley 40/2015, de 1 de octubre, de régimen jurídico del sector público, de carácter básico según la disposición final decimocuarta de esa misma ley.</w:t>
      </w:r>
    </w:p>
    <w:p w14:paraId="0659DE37" w14:textId="77777777" w:rsidR="00C04533" w:rsidRDefault="00C04533" w:rsidP="00C04533">
      <w:pPr>
        <w:pStyle w:val="TextoNormal"/>
      </w:pPr>
    </w:p>
    <w:p w14:paraId="4A504E41" w14:textId="3088AF86" w:rsidR="00C04533" w:rsidRDefault="00C04533" w:rsidP="00C04533">
      <w:pPr>
        <w:pStyle w:val="TextoNormal"/>
      </w:pPr>
      <w:r>
        <w:t xml:space="preserve">Como hemos subrayado en un caso similar, la administración debe motivar la individualización de las sanciones con arreglo a estos criterios legales aplicables, y esa motivación administrativa puede ser revisada por los órganos de la jurisdicción contencioso-administrativa y también, llegado el caso, por este tribunal en recurso de amparo. Sin embargo, la amplitud de la horquilla sancionadora, acompañada de criterios de individualización vinculantes, no da lugar por sí misma a una vulneración del art. 25.1 CE que pueda ser declarada con efectos generales o </w:t>
      </w:r>
      <w:r w:rsidRPr="00C04533">
        <w:rPr>
          <w:i/>
        </w:rPr>
        <w:t>erga omnes</w:t>
      </w:r>
      <w:r>
        <w:t xml:space="preserve"> en una cuestión de inconstitucionalidad (STC 14/2021, de 28 de enero, FJ 6).</w:t>
      </w:r>
    </w:p>
    <w:p w14:paraId="6EB61F92" w14:textId="77777777" w:rsidR="00C04533" w:rsidRDefault="00C04533" w:rsidP="00C04533">
      <w:pPr>
        <w:pStyle w:val="TextoNormal"/>
      </w:pPr>
    </w:p>
    <w:p w14:paraId="0A3AB8E6" w14:textId="77777777" w:rsidR="00C04533" w:rsidRDefault="00C04533" w:rsidP="00C04533">
      <w:pPr>
        <w:pStyle w:val="TextoNormal"/>
      </w:pPr>
      <w:r>
        <w:t>Por lo expuesto, el Pleno</w:t>
      </w:r>
    </w:p>
    <w:p w14:paraId="27D26738" w14:textId="4DCE9BC5" w:rsidR="00C04533" w:rsidRDefault="00C04533" w:rsidP="00C04533">
      <w:pPr>
        <w:pStyle w:val="TextoNormal"/>
      </w:pPr>
    </w:p>
    <w:p w14:paraId="24A3A62D" w14:textId="77777777" w:rsidR="00C04533" w:rsidRDefault="00C04533" w:rsidP="00C04533">
      <w:pPr>
        <w:pStyle w:val="TextoNormalCentrado"/>
      </w:pPr>
      <w:r>
        <w:t>ACUERDA</w:t>
      </w:r>
    </w:p>
    <w:p w14:paraId="775E5143" w14:textId="7860622F" w:rsidR="00C04533" w:rsidRDefault="00C04533" w:rsidP="00C04533">
      <w:pPr>
        <w:pStyle w:val="TextoNormalCentrado"/>
      </w:pPr>
    </w:p>
    <w:p w14:paraId="28A4374C" w14:textId="3EEA15FB" w:rsidR="00C04533" w:rsidRDefault="00C04533" w:rsidP="00C04533">
      <w:pPr>
        <w:pStyle w:val="TextoNormal"/>
      </w:pPr>
      <w:r>
        <w:t>Inadmitir a trámite la presente cuestión de inconstitucionalidad.</w:t>
      </w:r>
    </w:p>
    <w:p w14:paraId="5DAE8076" w14:textId="77777777" w:rsidR="00C04533" w:rsidRDefault="00C04533" w:rsidP="00C04533">
      <w:pPr>
        <w:pStyle w:val="TextoNormal"/>
      </w:pPr>
    </w:p>
    <w:p w14:paraId="6D05B46C" w14:textId="77777777" w:rsidR="00C04533" w:rsidRDefault="00C04533" w:rsidP="00C04533">
      <w:pPr>
        <w:pStyle w:val="TextoNormal"/>
      </w:pPr>
      <w:r>
        <w:t>Madrid, a diez de septiembre de dos mil veinticuatro.</w:t>
      </w:r>
    </w:p>
    <w:p w14:paraId="650761BF" w14:textId="673DC223" w:rsidR="00C04533" w:rsidRDefault="00C04533">
      <w:pPr>
        <w:spacing w:after="160" w:line="278" w:lineRule="auto"/>
        <w:rPr>
          <w:rFonts w:ascii="Times New Roman" w:eastAsia="Times New Roman" w:hAnsi="Times New Roman" w:cs="Times New Roman"/>
          <w:sz w:val="24"/>
          <w:szCs w:val="24"/>
          <w:lang w:eastAsia="es-ES"/>
        </w:rPr>
      </w:pPr>
      <w:r>
        <w:br w:type="page"/>
      </w:r>
    </w:p>
    <w:p w14:paraId="06F2EAFA" w14:textId="77777777" w:rsidR="00C04533" w:rsidRDefault="00C04533" w:rsidP="00C04533">
      <w:pPr>
        <w:pStyle w:val="TtuloResolucin"/>
      </w:pPr>
      <w:bookmarkStart w:id="88" w:name="AUTO_2024_82"/>
      <w:r>
        <w:t>AUTO 82/2024, de 11 de septiembre de 2024</w:t>
      </w:r>
    </w:p>
    <w:bookmarkEnd w:id="88"/>
    <w:p w14:paraId="62F86CEF" w14:textId="77777777" w:rsidR="00C04533" w:rsidRDefault="00C04533" w:rsidP="00C04533">
      <w:pPr>
        <w:pStyle w:val="TtuloResolucin"/>
      </w:pPr>
      <w:r>
        <w:t>Pleno</w:t>
      </w:r>
    </w:p>
    <w:p w14:paraId="227CF920" w14:textId="77777777" w:rsidR="00C04533" w:rsidRDefault="00C04533" w:rsidP="00C04533">
      <w:pPr>
        <w:pStyle w:val="TextoNormalCentrado"/>
      </w:pPr>
      <w:r>
        <w:t>ECLI:ES:TC:2024:82A</w:t>
      </w:r>
    </w:p>
    <w:p w14:paraId="6AF4BE96" w14:textId="4A405EAD" w:rsidR="00C04533" w:rsidRDefault="00C04533" w:rsidP="00C04533">
      <w:pPr>
        <w:pStyle w:val="TextoNormalCentrado"/>
      </w:pPr>
    </w:p>
    <w:p w14:paraId="6F640913"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w:t>
      </w:r>
    </w:p>
    <w:p w14:paraId="45D801A3" w14:textId="1139BF13" w:rsidR="00C04533" w:rsidRDefault="00C04533" w:rsidP="00C04533">
      <w:pPr>
        <w:pStyle w:val="SntesisDescriptiva"/>
      </w:pPr>
    </w:p>
    <w:p w14:paraId="6E898A43" w14:textId="77777777" w:rsidR="00C04533" w:rsidRDefault="00C04533" w:rsidP="00C04533">
      <w:pPr>
        <w:pStyle w:val="SntesisDescriptiva"/>
      </w:pPr>
      <w:r>
        <w:t>Acepta una abstención en la cuestión de inconstitucionalidad 6053-2024, planteada por la Sala de lo Penal del Tribunal Supremo en relación con el artículo 1 de la Ley Orgánica 1/2024, de 10 de junio, de amnistía para la normalización institucional, política y social en Cataluña.</w:t>
      </w:r>
    </w:p>
    <w:p w14:paraId="4AA49D37" w14:textId="5B33D544" w:rsidR="00C04533" w:rsidRDefault="00C04533" w:rsidP="00C04533">
      <w:pPr>
        <w:pStyle w:val="SntesisDescriptiva"/>
      </w:pPr>
    </w:p>
    <w:p w14:paraId="249A332F" w14:textId="77777777" w:rsidR="00C04533" w:rsidRDefault="00C04533" w:rsidP="00C04533">
      <w:pPr>
        <w:pStyle w:val="SntesisDescriptiva"/>
      </w:pPr>
    </w:p>
    <w:p w14:paraId="0542F578" w14:textId="77777777" w:rsidR="00C04533" w:rsidRDefault="00C04533" w:rsidP="00C04533">
      <w:pPr>
        <w:pStyle w:val="SntesisDescriptiva"/>
      </w:pPr>
    </w:p>
    <w:p w14:paraId="27263492" w14:textId="77777777" w:rsidR="00C04533" w:rsidRDefault="00C04533" w:rsidP="00C04533">
      <w:pPr>
        <w:pStyle w:val="TextoNormalNegritaCentrado"/>
      </w:pPr>
      <w:r>
        <w:t>AUTO</w:t>
      </w:r>
    </w:p>
    <w:p w14:paraId="225297D3" w14:textId="5597445B" w:rsidR="00C04533" w:rsidRDefault="00C04533" w:rsidP="00C04533">
      <w:pPr>
        <w:pStyle w:val="TextoNormalNegritaCentrado"/>
      </w:pPr>
    </w:p>
    <w:p w14:paraId="4B5816AE" w14:textId="77777777" w:rsidR="00C04533" w:rsidRDefault="00C04533" w:rsidP="00C04533">
      <w:pPr>
        <w:pStyle w:val="TextoNormalNegritaCentrado"/>
        <w:keepNext/>
      </w:pPr>
      <w:r>
        <w:t>I. Antecedentes</w:t>
      </w:r>
    </w:p>
    <w:p w14:paraId="58BDBD4B" w14:textId="0213C423" w:rsidR="00C04533" w:rsidRDefault="00C04533" w:rsidP="00C04533">
      <w:pPr>
        <w:pStyle w:val="TextoNormalNegritaCentrado"/>
        <w:keepNext/>
      </w:pPr>
    </w:p>
    <w:p w14:paraId="73AC0AC0" w14:textId="7706797D" w:rsidR="00C04533" w:rsidRDefault="00C04533" w:rsidP="00C04533">
      <w:pPr>
        <w:pStyle w:val="TextoNormal"/>
      </w:pPr>
      <w:r w:rsidRPr="00C04533">
        <w:rPr>
          <w:rStyle w:val="NumeroAFNegritaCaracter"/>
        </w:rPr>
        <w:t>1</w:t>
      </w:r>
      <w:r>
        <w:t>. Por escrito fechado el día 2 de septiembre de 2024, el magistrado don Juan Carlos Campo Moreno comunicó al Excmo. señor  presidente del Tribunal Constitucional, a los efectos oportunos, su voluntad de abstenerse de intervenir en el conocimiento de la cuestión de inconstitucionalidad núm. 6053-2024, cuya admisibilidad sería deliberada en la reunión plenaria convocada para los días 10 y siguientes del mes de septiembre.</w:t>
      </w:r>
    </w:p>
    <w:p w14:paraId="2A0E9471" w14:textId="77777777" w:rsidR="00C04533" w:rsidRDefault="00C04533" w:rsidP="00C04533">
      <w:pPr>
        <w:pStyle w:val="TextoNormal"/>
      </w:pPr>
    </w:p>
    <w:p w14:paraId="6E706366" w14:textId="77777777" w:rsidR="00C04533" w:rsidRDefault="00C04533" w:rsidP="00C04533">
      <w:pPr>
        <w:pStyle w:val="TextoNormal"/>
      </w:pPr>
      <w:r w:rsidRPr="00C04533">
        <w:rPr>
          <w:rStyle w:val="NumeroAFNegritaCaracter"/>
        </w:rPr>
        <w:t>2</w:t>
      </w:r>
      <w:r>
        <w:t>. La solicitud de abstención se vincula a la participación del magistrado, en su anterior condición de Ministro de Justicia, en la tramitación y aprobación por el Consejo de Ministros, del que formó parte, de las propuestas motivadas de indulto parcial y condicionado por razones de utilidad pública, en relación con la parte de las penas privativas de libertad que restaba por extinguir a diversas personas que habían sido condenadas en la sentencia de 14 de octubre de 2019, dictada por la Sala de lo Penal del Tribunal Supremo, en relación con su participación en hechos anteriores y posteriores, pero relacionados, con la consulta ilegal desarrollada el 1 de octubre de 2017 en el territorio de la Comunidad Autónoma de Cataluña, como consecuencia de la decisión de llevar a efecto y obtener de forma unilateral su independencia, al margen de la Constitución y de su estatuto de autonomía.</w:t>
      </w:r>
    </w:p>
    <w:p w14:paraId="321AE613" w14:textId="77777777" w:rsidR="00C04533" w:rsidRDefault="00C04533" w:rsidP="00C04533">
      <w:pPr>
        <w:pStyle w:val="TextoNormal"/>
      </w:pPr>
    </w:p>
    <w:p w14:paraId="12D4961E" w14:textId="0F164324" w:rsidR="00C04533" w:rsidRDefault="00C04533" w:rsidP="00C04533">
      <w:pPr>
        <w:pStyle w:val="TextoNormal"/>
      </w:pPr>
      <w:r>
        <w:t>Específicamente, la abstención formulada se razona en relación con el contenido de la justificación de dichas propuestas de indulto, en cuanto expresa un criterio sobre la constitucionalidad de la pretensión de amnistía que, en favor de los indultados, se reclamaba entonces.</w:t>
      </w:r>
    </w:p>
    <w:p w14:paraId="66E2B8FC" w14:textId="77777777" w:rsidR="00C04533" w:rsidRDefault="00C04533" w:rsidP="00C04533">
      <w:pPr>
        <w:pStyle w:val="TextoNormal"/>
      </w:pPr>
    </w:p>
    <w:p w14:paraId="77CA7486" w14:textId="77777777" w:rsidR="00C04533" w:rsidRDefault="00C04533" w:rsidP="00C04533">
      <w:pPr>
        <w:pStyle w:val="TextoNormalNegritaCentrado"/>
        <w:keepNext/>
      </w:pPr>
      <w:r>
        <w:t>II. Fundamentos jurídicos</w:t>
      </w:r>
    </w:p>
    <w:p w14:paraId="774D0795" w14:textId="6128DD9B" w:rsidR="00C04533" w:rsidRDefault="00C04533" w:rsidP="00C04533">
      <w:pPr>
        <w:pStyle w:val="TextoNormalNegritaCentrado"/>
        <w:keepNext/>
      </w:pPr>
    </w:p>
    <w:p w14:paraId="5BC871C0" w14:textId="77777777" w:rsidR="00C04533" w:rsidRDefault="00C04533" w:rsidP="00C04533">
      <w:pPr>
        <w:pStyle w:val="TextoNormal"/>
      </w:pPr>
      <w:r w:rsidRPr="00C04533">
        <w:rPr>
          <w:rStyle w:val="TextoNormalNegritaCaracter"/>
        </w:rPr>
        <w:t xml:space="preserve">Único. </w:t>
      </w:r>
      <w:r>
        <w:t>Visto el contenido de la comunicación efectuada por el magistrado don Juan Carlos Campo Moreno, en virtud de lo previsto en los arts. 80 de la Ley Orgánica del Tribunal Constitucional y 221.4 de la Ley Orgánica del Poder Judicial (LOPJ), se estima justificada la causa de la abstención formulada.</w:t>
      </w:r>
    </w:p>
    <w:p w14:paraId="012B7439" w14:textId="77777777" w:rsidR="00C04533" w:rsidRDefault="00C04533" w:rsidP="00C04533">
      <w:pPr>
        <w:pStyle w:val="TextoNormal"/>
      </w:pPr>
    </w:p>
    <w:p w14:paraId="731C3F5B" w14:textId="77777777" w:rsidR="00C04533" w:rsidRDefault="00C04533" w:rsidP="00C04533">
      <w:pPr>
        <w:pStyle w:val="TextoNormal"/>
      </w:pPr>
      <w:r>
        <w:t>Según ha indicado en su propuesta, en su anterior condición de Ministro de Justicia, el magistrado señor Campo Moreno elevó al Consejo de Ministros propuesta motivada de indulto parcial en la que exteriorizó un criterio favorable a la inconstitucionalidad de la amnistía que se reclamaba para los eventuales beneficiarios de la propuesta, que finalmente dio lugar a los reales decretos núm. 456/2021 a 464/2021 inclusive, todos de 22 de junio, por los que fueron concedidos los indultos parciales propuestos. Expone dicho magistrado que en esas propuestas exteriorizó “una valoración expresa y genérica sobre la inviabilidad constitucional de la amnistía, entonces reclamada en favor de las personas condenadas, quienes pudieran también verse afectadas por las previsiones de la Ley Orgánica 1/2024, de 10 de junio, de amnistía para la normalización institucional, política y social en Cataluña”.</w:t>
      </w:r>
    </w:p>
    <w:p w14:paraId="2222A70F" w14:textId="77777777" w:rsidR="00C04533" w:rsidRDefault="00C04533" w:rsidP="00C04533">
      <w:pPr>
        <w:pStyle w:val="TextoNormal"/>
      </w:pPr>
    </w:p>
    <w:p w14:paraId="1057F3C8" w14:textId="6AE2B518" w:rsidR="00C04533" w:rsidRDefault="00C04533" w:rsidP="00C04533">
      <w:pPr>
        <w:pStyle w:val="TextoNormal"/>
      </w:pPr>
      <w:r>
        <w:t>En la presente cuestión núm. 6053-2024, la Sala de lo Penal del Tribunal Supremo plantea a este tribunal la eventual inconstitucionalidad del art. 1 de la citada Ley Orgánica 1/2024, de 10 de junio. La coincidencia del objeto de la cuestión con la anterior valoración, exteriorizada en las propuestas de resolución emitidas en su condición de Ministro de Justicia al justificar las propuestas de indulto, permite apreciar la concurrencia de la causa de recusación que justifica la abstención solicitada, bien al amparo del art. 219.10 LOPJ expresamente aludido en la comunicación presentada por el magistrado (“[t]ener interés directo o indirecto en el pleito o causa”), bien bajo la cobertura de la causa decimosexta del mismo precepto legal (“[h]aber ocupado el juez o magistrado cargo público o administrativo con ocasión del cual haya podido tener conocimiento del objeto del litigio y formar criterio en detrimento de la debida imparcialidad”).</w:t>
      </w:r>
    </w:p>
    <w:p w14:paraId="3BD056D9" w14:textId="77777777" w:rsidR="00C04533" w:rsidRDefault="00C04533" w:rsidP="00C04533">
      <w:pPr>
        <w:pStyle w:val="TextoNormal"/>
      </w:pPr>
    </w:p>
    <w:p w14:paraId="028A3F26" w14:textId="77777777" w:rsidR="00C04533" w:rsidRDefault="00C04533" w:rsidP="00C04533">
      <w:pPr>
        <w:pStyle w:val="TextoNormal"/>
      </w:pPr>
      <w:r>
        <w:t>Por lo expuesto, el Pleno</w:t>
      </w:r>
    </w:p>
    <w:p w14:paraId="23574A4F" w14:textId="66CA862C" w:rsidR="00C04533" w:rsidRDefault="00C04533" w:rsidP="00C04533">
      <w:pPr>
        <w:pStyle w:val="TextoNormal"/>
      </w:pPr>
    </w:p>
    <w:p w14:paraId="446C90EE" w14:textId="77777777" w:rsidR="00C04533" w:rsidRDefault="00C04533" w:rsidP="00C04533">
      <w:pPr>
        <w:pStyle w:val="TextoNormalCentrado"/>
      </w:pPr>
      <w:r>
        <w:t>ACUERDA</w:t>
      </w:r>
    </w:p>
    <w:p w14:paraId="47D7F37C" w14:textId="42A4B97C" w:rsidR="00C04533" w:rsidRDefault="00C04533" w:rsidP="00C04533">
      <w:pPr>
        <w:pStyle w:val="TextoNormalCentrado"/>
      </w:pPr>
    </w:p>
    <w:p w14:paraId="734B133A" w14:textId="77777777" w:rsidR="00C04533" w:rsidRDefault="00C04533" w:rsidP="00C04533">
      <w:pPr>
        <w:pStyle w:val="TextoNormal"/>
      </w:pPr>
      <w:r>
        <w:t>Estimar justificada la abstención formulada por el magistrado don Juan Carlos Campo Moreno, apartándole definitivamente del conocimiento de la cuestión de inconstitucionalidad núm. 6053-2024.</w:t>
      </w:r>
    </w:p>
    <w:p w14:paraId="48D31736" w14:textId="77777777" w:rsidR="00C04533" w:rsidRDefault="00C04533" w:rsidP="00C04533">
      <w:pPr>
        <w:pStyle w:val="TextoNormal"/>
      </w:pPr>
    </w:p>
    <w:p w14:paraId="5BE197BD" w14:textId="652E5F43" w:rsidR="00C04533" w:rsidRDefault="00C04533" w:rsidP="00C04533">
      <w:pPr>
        <w:pStyle w:val="TextoNormal"/>
      </w:pPr>
      <w:r>
        <w:t>Notifíquese a las partes.</w:t>
      </w:r>
    </w:p>
    <w:p w14:paraId="68F5C84B" w14:textId="77777777" w:rsidR="00C04533" w:rsidRDefault="00C04533" w:rsidP="00C04533">
      <w:pPr>
        <w:pStyle w:val="TextoNormal"/>
      </w:pPr>
    </w:p>
    <w:p w14:paraId="4D98F671" w14:textId="77777777" w:rsidR="00C04533" w:rsidRDefault="00C04533" w:rsidP="00C04533">
      <w:pPr>
        <w:pStyle w:val="TextoNormal"/>
      </w:pPr>
      <w:r>
        <w:t>Madrid, a once de septiembre de dos mil veinticuatro.</w:t>
      </w:r>
    </w:p>
    <w:p w14:paraId="436DE143" w14:textId="69679D22" w:rsidR="00C04533" w:rsidRDefault="00C04533">
      <w:pPr>
        <w:spacing w:after="160" w:line="278" w:lineRule="auto"/>
        <w:rPr>
          <w:rFonts w:ascii="Times New Roman" w:eastAsia="Times New Roman" w:hAnsi="Times New Roman" w:cs="Times New Roman"/>
          <w:sz w:val="24"/>
          <w:szCs w:val="24"/>
          <w:lang w:eastAsia="es-ES"/>
        </w:rPr>
      </w:pPr>
      <w:r>
        <w:br w:type="page"/>
      </w:r>
    </w:p>
    <w:p w14:paraId="5EBFD18E" w14:textId="77777777" w:rsidR="00C04533" w:rsidRDefault="00C04533" w:rsidP="00C04533">
      <w:pPr>
        <w:pStyle w:val="TtuloResolucin"/>
      </w:pPr>
      <w:bookmarkStart w:id="89" w:name="AUTO_2024_83"/>
      <w:r>
        <w:t>AUTO 83/2024, de 19 de septiembre de 2024</w:t>
      </w:r>
    </w:p>
    <w:bookmarkEnd w:id="89"/>
    <w:p w14:paraId="51876534" w14:textId="77777777" w:rsidR="00C04533" w:rsidRDefault="00C04533" w:rsidP="00C04533">
      <w:pPr>
        <w:pStyle w:val="TtuloResolucin"/>
      </w:pPr>
      <w:r>
        <w:t>Sección Tercera</w:t>
      </w:r>
    </w:p>
    <w:p w14:paraId="0688B4F5" w14:textId="77777777" w:rsidR="00C04533" w:rsidRDefault="00C04533" w:rsidP="00C04533">
      <w:pPr>
        <w:pStyle w:val="TextoNormalCentrado"/>
      </w:pPr>
      <w:r>
        <w:t>ECLI:ES:TC:2024:83A</w:t>
      </w:r>
    </w:p>
    <w:p w14:paraId="57E80132" w14:textId="7A82C9E8" w:rsidR="00C04533" w:rsidRDefault="00C04533" w:rsidP="00C04533">
      <w:pPr>
        <w:pStyle w:val="TextoNormalCentrado"/>
      </w:pPr>
    </w:p>
    <w:p w14:paraId="7C800E03" w14:textId="77777777" w:rsidR="00C04533" w:rsidRDefault="00C04533" w:rsidP="00C04533">
      <w:pPr>
        <w:pStyle w:val="SntesisDescriptiva"/>
      </w:pPr>
      <w:r>
        <w:t>Excms. Srs. doña Inmaculada Montalbán Huertas y doña Laura Díez Bueso.</w:t>
      </w:r>
    </w:p>
    <w:p w14:paraId="77B77E07" w14:textId="556AC7CE" w:rsidR="00C04533" w:rsidRDefault="00C04533" w:rsidP="00C04533">
      <w:pPr>
        <w:pStyle w:val="SntesisDescriptiva"/>
      </w:pPr>
    </w:p>
    <w:p w14:paraId="75608974" w14:textId="77777777" w:rsidR="00C04533" w:rsidRDefault="00C04533" w:rsidP="00C04533">
      <w:pPr>
        <w:pStyle w:val="SntesisDescriptiva"/>
      </w:pPr>
      <w:r>
        <w:t>Acepta una abstención en el recurso de amparo 6241-2022, promovido en proceso contencioso administrativo.</w:t>
      </w:r>
    </w:p>
    <w:p w14:paraId="5D2602DB" w14:textId="16487942" w:rsidR="00C04533" w:rsidRDefault="00C04533" w:rsidP="00C04533">
      <w:pPr>
        <w:pStyle w:val="SntesisDescriptiva"/>
      </w:pPr>
    </w:p>
    <w:p w14:paraId="19DFEC7A" w14:textId="77777777" w:rsidR="00C04533" w:rsidRDefault="00C04533" w:rsidP="00C04533">
      <w:pPr>
        <w:pStyle w:val="SntesisDescriptiva"/>
      </w:pPr>
    </w:p>
    <w:p w14:paraId="4894D26C" w14:textId="77777777" w:rsidR="00C04533" w:rsidRDefault="00C04533" w:rsidP="00C04533">
      <w:pPr>
        <w:pStyle w:val="SntesisDescriptiva"/>
      </w:pPr>
    </w:p>
    <w:p w14:paraId="0822E5C5" w14:textId="77777777" w:rsidR="00C04533" w:rsidRDefault="00C04533" w:rsidP="00C04533">
      <w:pPr>
        <w:pStyle w:val="TextoNormalNegritaCentrado"/>
      </w:pPr>
      <w:r>
        <w:t>AUTO</w:t>
      </w:r>
    </w:p>
    <w:p w14:paraId="3E3E91C6" w14:textId="016B3026" w:rsidR="00C04533" w:rsidRDefault="00C04533" w:rsidP="00C04533">
      <w:pPr>
        <w:pStyle w:val="TextoNormalNegritaCentrado"/>
      </w:pPr>
    </w:p>
    <w:p w14:paraId="73D8C97F" w14:textId="77777777" w:rsidR="00C04533" w:rsidRDefault="00C04533" w:rsidP="00C04533">
      <w:pPr>
        <w:pStyle w:val="TextoNormalNegritaCentrado"/>
        <w:keepNext/>
      </w:pPr>
      <w:r>
        <w:t>I. Antecedentes</w:t>
      </w:r>
    </w:p>
    <w:p w14:paraId="270769D0" w14:textId="62731425" w:rsidR="00C04533" w:rsidRDefault="00C04533" w:rsidP="00C04533">
      <w:pPr>
        <w:pStyle w:val="TextoNormalNegritaCentrado"/>
        <w:keepNext/>
      </w:pPr>
    </w:p>
    <w:p w14:paraId="0F7C3B27" w14:textId="14C8D2B2" w:rsidR="00C04533" w:rsidRDefault="00C04533" w:rsidP="00C04533">
      <w:pPr>
        <w:pStyle w:val="TextoNormal"/>
      </w:pPr>
      <w:r w:rsidRPr="00C04533">
        <w:rPr>
          <w:rStyle w:val="NumeroAFNegritaCaracter"/>
        </w:rPr>
        <w:t>1</w:t>
      </w:r>
      <w:r>
        <w:t>. Mediante escrito registrado en este tribunal el 22 de septiembre de 2022, el procurador de los tribunales don Javier Fernández Estrada, en nombre y representación de doña Clara Ponsatí i Obiols y bajo la dirección del letrado don Gonzalo Boye Tuset, formuló demanda de amparo contra la providencia de 28 de junio de 2022 de la Sección Cuarta de la Sala de lo Contencioso-Administrativo del Tribunal Supremo, en recurso ordinario núm. 51-2020.</w:t>
      </w:r>
    </w:p>
    <w:p w14:paraId="1633F7C6" w14:textId="77777777" w:rsidR="00C04533" w:rsidRDefault="00C04533" w:rsidP="00C04533">
      <w:pPr>
        <w:pStyle w:val="TextoNormal"/>
      </w:pPr>
    </w:p>
    <w:p w14:paraId="5C3271E1" w14:textId="41102484" w:rsidR="00C04533" w:rsidRDefault="00C04533" w:rsidP="00C04533">
      <w:pPr>
        <w:pStyle w:val="TextoNormal"/>
      </w:pPr>
      <w:r w:rsidRPr="00C04533">
        <w:rPr>
          <w:rStyle w:val="NumeroAFNegritaCaracter"/>
        </w:rPr>
        <w:t>2</w:t>
      </w:r>
      <w:r>
        <w:t>. Por escrito de 19 de septiembre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Cuarta de la Sala de lo Contencioso-Administrativo del Tribunal Supremo que dictó la resolución impugnada.</w:t>
      </w:r>
    </w:p>
    <w:p w14:paraId="2BCCCBAB" w14:textId="77777777" w:rsidR="00C04533" w:rsidRDefault="00C04533" w:rsidP="00C04533">
      <w:pPr>
        <w:pStyle w:val="TextoNormal"/>
      </w:pPr>
    </w:p>
    <w:p w14:paraId="221C3B60" w14:textId="77777777" w:rsidR="00C04533" w:rsidRDefault="00C04533" w:rsidP="00C04533">
      <w:pPr>
        <w:pStyle w:val="TextoNormalNegritaCentrado"/>
        <w:keepNext/>
      </w:pPr>
      <w:r>
        <w:t>II. Fundamentos jurídicos</w:t>
      </w:r>
    </w:p>
    <w:p w14:paraId="356ACDF8" w14:textId="5D6C62EE" w:rsidR="00C04533" w:rsidRDefault="00C04533" w:rsidP="00C04533">
      <w:pPr>
        <w:pStyle w:val="TextoNormalNegritaCentrado"/>
        <w:keepNext/>
      </w:pPr>
    </w:p>
    <w:p w14:paraId="7D6071BA" w14:textId="7EA4C9D7" w:rsidR="00C04533" w:rsidRDefault="00C04533" w:rsidP="00C04533">
      <w:pPr>
        <w:pStyle w:val="TextoNormal"/>
      </w:pPr>
      <w:r w:rsidRPr="00C04533">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406BC823" w14:textId="77777777" w:rsidR="00C04533" w:rsidRDefault="00C04533" w:rsidP="00C04533">
      <w:pPr>
        <w:pStyle w:val="TextoNormal"/>
      </w:pPr>
    </w:p>
    <w:p w14:paraId="22107ADB" w14:textId="77777777" w:rsidR="00C04533" w:rsidRDefault="00C04533" w:rsidP="00C04533">
      <w:pPr>
        <w:pStyle w:val="TextoNormal"/>
      </w:pPr>
      <w:r>
        <w:t>Por lo expuesto, la Sección</w:t>
      </w:r>
    </w:p>
    <w:p w14:paraId="7C4E1EA1" w14:textId="5BFA07F7" w:rsidR="00C04533" w:rsidRDefault="00C04533" w:rsidP="00C04533">
      <w:pPr>
        <w:pStyle w:val="TextoNormal"/>
      </w:pPr>
    </w:p>
    <w:p w14:paraId="53515465" w14:textId="77777777" w:rsidR="00C04533" w:rsidRDefault="00C04533" w:rsidP="00C04533">
      <w:pPr>
        <w:pStyle w:val="TextoNormalCentrado"/>
      </w:pPr>
      <w:r>
        <w:t>ACUERDA</w:t>
      </w:r>
    </w:p>
    <w:p w14:paraId="665C91CC" w14:textId="08522B3C" w:rsidR="00C04533" w:rsidRDefault="00C04533" w:rsidP="00C04533">
      <w:pPr>
        <w:pStyle w:val="TextoNormalCentrado"/>
      </w:pPr>
    </w:p>
    <w:p w14:paraId="05514725" w14:textId="1A230DAB" w:rsidR="00C04533" w:rsidRDefault="00C04533" w:rsidP="00C04533">
      <w:pPr>
        <w:pStyle w:val="TextoNormal"/>
      </w:pPr>
      <w:r>
        <w:t>Estimar justificada la abstención formulada por el magistrado don César Tolosa Tribiño en el recurso de amparo núm. 6241-2022 y apartarle definitivamente del conocimiento del referido recurso y de todas sus incidencias.</w:t>
      </w:r>
    </w:p>
    <w:p w14:paraId="40BF83EB" w14:textId="77777777" w:rsidR="00C04533" w:rsidRDefault="00C04533" w:rsidP="00C04533">
      <w:pPr>
        <w:pStyle w:val="TextoNormal"/>
      </w:pPr>
    </w:p>
    <w:p w14:paraId="267277EB" w14:textId="77777777" w:rsidR="00C04533" w:rsidRDefault="00C04533" w:rsidP="00C04533">
      <w:pPr>
        <w:pStyle w:val="TextoNormal"/>
      </w:pPr>
      <w:r>
        <w:t>Madrid, a diecinueve de septiembre de dos mil veinticuatro.</w:t>
      </w:r>
    </w:p>
    <w:p w14:paraId="184A2B1D" w14:textId="7064A431" w:rsidR="00C04533" w:rsidRDefault="00C04533">
      <w:pPr>
        <w:spacing w:after="160" w:line="278" w:lineRule="auto"/>
        <w:rPr>
          <w:rFonts w:ascii="Times New Roman" w:eastAsia="Times New Roman" w:hAnsi="Times New Roman" w:cs="Times New Roman"/>
          <w:sz w:val="24"/>
          <w:szCs w:val="24"/>
          <w:lang w:eastAsia="es-ES"/>
        </w:rPr>
      </w:pPr>
      <w:r>
        <w:br w:type="page"/>
      </w:r>
    </w:p>
    <w:p w14:paraId="191A4815" w14:textId="77777777" w:rsidR="00C04533" w:rsidRDefault="00C04533" w:rsidP="00C04533">
      <w:pPr>
        <w:pStyle w:val="TtuloResolucin"/>
      </w:pPr>
      <w:bookmarkStart w:id="90" w:name="AUTO_2024_84"/>
      <w:r>
        <w:t>AUTO 84/2024, de 23 de septiembre de 2024</w:t>
      </w:r>
    </w:p>
    <w:bookmarkEnd w:id="90"/>
    <w:p w14:paraId="394BEC8F" w14:textId="77777777" w:rsidR="00C04533" w:rsidRDefault="00C04533" w:rsidP="00C04533">
      <w:pPr>
        <w:pStyle w:val="TtuloResolucin"/>
      </w:pPr>
      <w:r>
        <w:t>Sala Segunda</w:t>
      </w:r>
    </w:p>
    <w:p w14:paraId="2DD058CC" w14:textId="77777777" w:rsidR="00C04533" w:rsidRDefault="00C04533" w:rsidP="00C04533">
      <w:pPr>
        <w:pStyle w:val="TextoNormalCentrado"/>
      </w:pPr>
      <w:r>
        <w:t>ECLI:ES:TC:2024:84A</w:t>
      </w:r>
    </w:p>
    <w:p w14:paraId="27245A8B" w14:textId="38B25E17" w:rsidR="00C04533" w:rsidRDefault="00C04533" w:rsidP="00C04533">
      <w:pPr>
        <w:pStyle w:val="TextoNormalCentrado"/>
      </w:pPr>
    </w:p>
    <w:p w14:paraId="31765AC5" w14:textId="77777777" w:rsidR="00C04533" w:rsidRDefault="00C04533" w:rsidP="00C04533">
      <w:pPr>
        <w:pStyle w:val="SntesisDescriptiva"/>
      </w:pPr>
      <w:r>
        <w:t>Excms. Srs. doña Inmaculada Montalbán Huertas, doña María Luisa Balaguer Callejón, don Ramón Sáez Valcárcel, don Enrique Arnaldo Alcubilla, don César Tolosa Tribiño y doña Laura Díez Bueso.</w:t>
      </w:r>
    </w:p>
    <w:p w14:paraId="2DB6756E" w14:textId="4BC3CC03" w:rsidR="00C04533" w:rsidRDefault="00C04533" w:rsidP="00C04533">
      <w:pPr>
        <w:pStyle w:val="SntesisDescriptiva"/>
      </w:pPr>
    </w:p>
    <w:p w14:paraId="02F8CA4D" w14:textId="77777777" w:rsidR="00C04533" w:rsidRDefault="00C04533" w:rsidP="00C04533">
      <w:pPr>
        <w:pStyle w:val="SntesisDescriptiva"/>
      </w:pPr>
      <w:r>
        <w:t>Deniega la suspensión en el recurso de amparo 359-2023, promovido por don Rubén Rodríguez Ortiz en causa penal.</w:t>
      </w:r>
    </w:p>
    <w:p w14:paraId="2638BA44" w14:textId="694E7C05" w:rsidR="00C04533" w:rsidRDefault="00C04533" w:rsidP="00C04533">
      <w:pPr>
        <w:pStyle w:val="SntesisDescriptiva"/>
      </w:pPr>
    </w:p>
    <w:p w14:paraId="4233EA51" w14:textId="77777777" w:rsidR="00C04533" w:rsidRDefault="00C04533" w:rsidP="00C04533">
      <w:pPr>
        <w:pStyle w:val="SntesisDescriptiva"/>
      </w:pPr>
    </w:p>
    <w:p w14:paraId="0DA80098" w14:textId="77777777" w:rsidR="00C04533" w:rsidRDefault="00C04533" w:rsidP="00C04533">
      <w:pPr>
        <w:pStyle w:val="SntesisDescriptiva"/>
      </w:pPr>
    </w:p>
    <w:p w14:paraId="48DACB4D" w14:textId="77777777" w:rsidR="00C04533" w:rsidRDefault="00C04533" w:rsidP="00C04533">
      <w:pPr>
        <w:pStyle w:val="TextoNormalNegritaCentrado"/>
      </w:pPr>
      <w:r>
        <w:t>AUTO</w:t>
      </w:r>
    </w:p>
    <w:p w14:paraId="63ADEE08" w14:textId="2291A7B0" w:rsidR="00C04533" w:rsidRDefault="00C04533" w:rsidP="00C04533">
      <w:pPr>
        <w:pStyle w:val="TextoNormalNegritaCentrado"/>
      </w:pPr>
    </w:p>
    <w:p w14:paraId="1AE8DB2B" w14:textId="77777777" w:rsidR="00C04533" w:rsidRDefault="00C04533" w:rsidP="00C04533">
      <w:pPr>
        <w:pStyle w:val="TextoNormalNegritaCentrado"/>
        <w:keepNext/>
      </w:pPr>
      <w:r>
        <w:t>I. Antecedentes</w:t>
      </w:r>
    </w:p>
    <w:p w14:paraId="03D71CB5" w14:textId="6E75090B" w:rsidR="00C04533" w:rsidRDefault="00C04533" w:rsidP="00C04533">
      <w:pPr>
        <w:pStyle w:val="TextoNormalNegritaCentrado"/>
        <w:keepNext/>
      </w:pPr>
    </w:p>
    <w:p w14:paraId="401C4BB0" w14:textId="77777777" w:rsidR="00C04533" w:rsidRDefault="00C04533" w:rsidP="00C04533">
      <w:pPr>
        <w:pStyle w:val="TextoNormal"/>
      </w:pPr>
      <w:r w:rsidRPr="00C04533">
        <w:rPr>
          <w:rStyle w:val="NumeroAFNegritaCaracter"/>
        </w:rPr>
        <w:t>1</w:t>
      </w:r>
      <w:r>
        <w:t>. Mediante escrito registrado en este tribunal el 20 de enero de 2023, la procuradora de los tribunales doña Virginia Camacho Villar, en nombre y representación de don Rubén Rodríguez Ortiz, interpuso recurso de amparo contra (i) la sentencia núm. 84/2021, de 24 de marzo, dictada por la Sección Segunda de la Audiencia Provincial de Navarra en el rollo de sala núm. 443-2016 (procedimiento sumario ordinario núm. 538-2016), que condenó al recurrente; (ii) la sentencia núm. 1/2022, de 17 de enero, de la Sala de lo Civil y Penal del Tribunal Superior de Justicia de Navarra, dictada en el recurso de apelación núm. 24-2021; y (iii) la sentencia del Tribunal Supremo núm. 891/2022, de 11 de noviembre, dictada en el recurso de casación núm. 10106-2022.</w:t>
      </w:r>
    </w:p>
    <w:p w14:paraId="77AA50A7" w14:textId="77777777" w:rsidR="00C04533" w:rsidRDefault="00C04533" w:rsidP="00C04533">
      <w:pPr>
        <w:pStyle w:val="TextoNormal"/>
      </w:pPr>
    </w:p>
    <w:p w14:paraId="4EBB3EFE" w14:textId="77777777" w:rsidR="00C04533" w:rsidRDefault="00C04533" w:rsidP="00C04533">
      <w:pPr>
        <w:pStyle w:val="TextoNormal"/>
      </w:pPr>
      <w:r>
        <w:t>a) El recurrente fue condenado en la citada sentencia de la Audiencia Provincial como autor de:</w:t>
      </w:r>
    </w:p>
    <w:p w14:paraId="5DC7BB2B" w14:textId="77777777" w:rsidR="00C04533" w:rsidRDefault="00C04533" w:rsidP="00C04533">
      <w:pPr>
        <w:pStyle w:val="TextoNormal"/>
      </w:pPr>
    </w:p>
    <w:p w14:paraId="1C993626" w14:textId="77777777" w:rsidR="00C04533" w:rsidRDefault="00C04533" w:rsidP="00C04533">
      <w:pPr>
        <w:pStyle w:val="TextoNormal"/>
      </w:pPr>
      <w:r>
        <w:t>(i) Un delito continuado de abuso sexual con penetración a menor de trece años [arts. 181.1 y 2.1, 182.2 en relación con el art. 74 del Código penal (CP) —redacción de la Ley Orgánica 15/2003, de 25 de noviembre—] a la pena de nueve años y seis meses de prisión e inhabilitación especial para el derecho de sufragio pasivo durante el tiempo de la condena.</w:t>
      </w:r>
    </w:p>
    <w:p w14:paraId="08A29F2D" w14:textId="77777777" w:rsidR="00C04533" w:rsidRDefault="00C04533" w:rsidP="00C04533">
      <w:pPr>
        <w:pStyle w:val="TextoNormal"/>
      </w:pPr>
    </w:p>
    <w:p w14:paraId="60429870" w14:textId="77777777" w:rsidR="00C04533" w:rsidRDefault="00C04533" w:rsidP="00C04533">
      <w:pPr>
        <w:pStyle w:val="TextoNormal"/>
      </w:pPr>
      <w:r>
        <w:t>(ii) Un delito de abuso sexual a menor de trece años [art. 183.1, 3 y 4 a) y d) CP] en concurso con un delito de utilización de menores de edad para la elaboración de material pornográfico [art. 189.1 a) y 3 a) CP en relación con el art. 77 CP —redacción de la Ley Orgánica 5/2010, de 22 de junio—] a la pena de once años y seis meses de prisión e inhabilitación especial para el derecho de sufragio pasivo durante el tiempo de la condena.</w:t>
      </w:r>
    </w:p>
    <w:p w14:paraId="04ED56A1" w14:textId="77777777" w:rsidR="00C04533" w:rsidRDefault="00C04533" w:rsidP="00C04533">
      <w:pPr>
        <w:pStyle w:val="TextoNormal"/>
      </w:pPr>
    </w:p>
    <w:p w14:paraId="4855D44D" w14:textId="77777777" w:rsidR="00C04533" w:rsidRDefault="00C04533" w:rsidP="00C04533">
      <w:pPr>
        <w:pStyle w:val="TextoNormal"/>
      </w:pPr>
      <w:r>
        <w:t>(iii) Un delito de utilización de menores de edad para la elaboración de material pornográfico [art. 189.1 a) y 3 a) CP —redacción de la Ley Orgánica 15/2003, de 25 de noviembre—] a la pena de seis años de prisión e inhabilitación especial para el derecho de sufragio pasivo durante el tiempo de la condena.</w:t>
      </w:r>
    </w:p>
    <w:p w14:paraId="6767BF4F" w14:textId="77777777" w:rsidR="00C04533" w:rsidRDefault="00C04533" w:rsidP="00C04533">
      <w:pPr>
        <w:pStyle w:val="TextoNormal"/>
      </w:pPr>
    </w:p>
    <w:p w14:paraId="51E5CBF8" w14:textId="77777777" w:rsidR="00C04533" w:rsidRDefault="00C04533" w:rsidP="00C04533">
      <w:pPr>
        <w:pStyle w:val="TextoNormal"/>
      </w:pPr>
      <w:r>
        <w:t>(iv) Un delito de abuso sexual a menor de trece años (art. 183. 1 CP —redacción de la Ley Orgánica 5/2010, de 22 de junio—) a la pena de dos años de prisión e inhabilitación especial para el derecho de sufragio pasivo durante el tiempo de la condena.</w:t>
      </w:r>
    </w:p>
    <w:p w14:paraId="556BF637" w14:textId="77777777" w:rsidR="00C04533" w:rsidRDefault="00C04533" w:rsidP="00C04533">
      <w:pPr>
        <w:pStyle w:val="TextoNormal"/>
      </w:pPr>
    </w:p>
    <w:p w14:paraId="647575D2" w14:textId="77777777" w:rsidR="00C04533" w:rsidRDefault="00C04533" w:rsidP="00C04533">
      <w:pPr>
        <w:pStyle w:val="TextoNormal"/>
      </w:pPr>
      <w:r>
        <w:t>(v) Un delito de posesión de pornografía infantil (art. 189.5 CP —redacción de la Ley Orgáncia 1/2015, de 30 de marzo—) a la pena de un año de prisión e inhabilitación especial para el derecho de sufragio pasivo durante el tiempo de la condena.</w:t>
      </w:r>
    </w:p>
    <w:p w14:paraId="74D11E0A" w14:textId="77777777" w:rsidR="00C04533" w:rsidRDefault="00C04533" w:rsidP="00C04533">
      <w:pPr>
        <w:pStyle w:val="TextoNormal"/>
      </w:pPr>
    </w:p>
    <w:p w14:paraId="489FF1AF" w14:textId="77777777" w:rsidR="00C04533" w:rsidRDefault="00C04533" w:rsidP="00C04533">
      <w:pPr>
        <w:pStyle w:val="TextoNormal"/>
      </w:pPr>
      <w:r>
        <w:t>Se le impuso asimismo la medida de libertad vigilada por tiempo de dos años, a ejecutar con posterioridad a las penas privativas de libertad, conforme a lo dispuesto en el art 192.1 CP.</w:t>
      </w:r>
    </w:p>
    <w:p w14:paraId="2F540C2A" w14:textId="77777777" w:rsidR="00C04533" w:rsidRDefault="00C04533" w:rsidP="00C04533">
      <w:pPr>
        <w:pStyle w:val="TextoNormal"/>
      </w:pPr>
    </w:p>
    <w:p w14:paraId="1809836A" w14:textId="77777777" w:rsidR="00C04533" w:rsidRDefault="00C04533" w:rsidP="00C04533">
      <w:pPr>
        <w:pStyle w:val="TextoNormal"/>
      </w:pPr>
      <w:r>
        <w:t>b) La sentencia del Tribunal Superior de Justicia de Navarra de 17 de enero de 2022 desestimó el recurso de apelación del condenado y estimó parcialmente el recurso adhesivo de apelación del Ministerio Fiscal, lo que determinó la condena adicional del recurrente a sendas penas accesorias de prohibición de acercarse a dos menores, a su domicilio o a cualquier lugar en que se encuentren durante diez años y seis meses y doce años y seis meses, respectivamente.</w:t>
      </w:r>
    </w:p>
    <w:p w14:paraId="57235739" w14:textId="77777777" w:rsidR="00C04533" w:rsidRDefault="00C04533" w:rsidP="00C04533">
      <w:pPr>
        <w:pStyle w:val="TextoNormal"/>
      </w:pPr>
    </w:p>
    <w:p w14:paraId="0FD61F93" w14:textId="01D60EC3" w:rsidR="00C04533" w:rsidRDefault="00C04533" w:rsidP="00C04533">
      <w:pPr>
        <w:pStyle w:val="TextoNormal"/>
      </w:pPr>
      <w:r>
        <w:t>c) La sentencia del Tribunal Supremo de 11 de noviembre de 2022 desestimó el recurso de casación interpuesto por el ahora recurrente en amparo.</w:t>
      </w:r>
    </w:p>
    <w:p w14:paraId="1BCE859B" w14:textId="77777777" w:rsidR="00C04533" w:rsidRDefault="00C04533" w:rsidP="00C04533">
      <w:pPr>
        <w:pStyle w:val="TextoNormal"/>
      </w:pPr>
    </w:p>
    <w:p w14:paraId="596F53B8" w14:textId="77777777" w:rsidR="00C04533" w:rsidRDefault="00C04533" w:rsidP="00C04533">
      <w:pPr>
        <w:pStyle w:val="TextoNormal"/>
      </w:pPr>
      <w:r w:rsidRPr="00C04533">
        <w:rPr>
          <w:rStyle w:val="NumeroAFNegritaCaracter"/>
        </w:rPr>
        <w:t>2</w:t>
      </w:r>
      <w:r>
        <w:t>. En la demanda se alega (i) la vulneración de los derechos fundamentales a la presunción de inocencia y a un procedimiento con todas las garantías, al estar constituida la prueba de cargo por prueba ilícitamente obtenida, toda vez que no existe desconexión de antijuridicidad entre la prueba inicial ilícitamente obtenida y el resto de las pruebas, todas las cuales traen causa de aquella; y (ii) la vulneración del derecho fundamental a un juez imparcial, toda vez que dos de los magistrados que conformaron la Sala de lo Civil y Penal del Tribunal Superior de Justicia de Navarra que resolvió el último recurso de apelación contra la sentencia condenatoria de la Audiencia Provincial de Navarra, habían formado parte de la Sala de lo Civil y Penal del Tribunal Superior de Justicia de Navarra que resolvió un anterior recurso de apelación contra una anterior sentencia absolutoria de la Audiencia Provincial de Navarra, en el sentido de revocar la sentencia absolutoria y devolver las actuaciones a la Audiencia para que esta valorara las pruebas que la sentencia absolutoria había considerado ilícitas.</w:t>
      </w:r>
    </w:p>
    <w:p w14:paraId="4F4B29B6" w14:textId="77777777" w:rsidR="00C04533" w:rsidRDefault="00C04533" w:rsidP="00C04533">
      <w:pPr>
        <w:pStyle w:val="TextoNormal"/>
      </w:pPr>
    </w:p>
    <w:p w14:paraId="56582839" w14:textId="43118367" w:rsidR="00C04533" w:rsidRDefault="00C04533" w:rsidP="00C04533">
      <w:pPr>
        <w:pStyle w:val="TextoNormal"/>
      </w:pPr>
      <w:r>
        <w:t>Mediante otrosí, el demandante solicitó, conforme al art. 56 de la Ley Orgánica del Tribunal Constitucional (LOTC), la suspensión de la ejecución de las penas privativas de libertad que determinará la firmeza de la sentencia condenatoria de la Audiencia Provincial, que supone la causación de un perjuicio irreparable.</w:t>
      </w:r>
    </w:p>
    <w:p w14:paraId="783771D7" w14:textId="77777777" w:rsidR="00C04533" w:rsidRDefault="00C04533" w:rsidP="00C04533">
      <w:pPr>
        <w:pStyle w:val="TextoNormal"/>
      </w:pPr>
    </w:p>
    <w:p w14:paraId="1355B586" w14:textId="77777777" w:rsidR="00C04533" w:rsidRDefault="00C04533" w:rsidP="00C04533">
      <w:pPr>
        <w:pStyle w:val="TextoNormal"/>
      </w:pPr>
      <w:r w:rsidRPr="00C04533">
        <w:rPr>
          <w:rStyle w:val="NumeroAFNegritaCaracter"/>
        </w:rPr>
        <w:t>3</w:t>
      </w:r>
      <w:r>
        <w:t>. Por providencia de 20 de mayo de 2024, la Sección Cuarta acordó admitir a trámite el recurso de amparo apreciando que concurre en el mismo una especial trascendencia constitucional (art. 50.1 LOTC), porque puede dar ocasión al Tribunal para aclarar o cambiar su doctrina, como consecuencia de un proceso de reflexión interna [STC 155/2009, de 25 de junio, FJ 2 b)].</w:t>
      </w:r>
    </w:p>
    <w:p w14:paraId="52BA3F29" w14:textId="77777777" w:rsidR="00C04533" w:rsidRDefault="00C04533" w:rsidP="00C04533">
      <w:pPr>
        <w:pStyle w:val="TextoNormal"/>
      </w:pPr>
    </w:p>
    <w:p w14:paraId="4E60E0C3" w14:textId="098F2F3E" w:rsidR="00C04533" w:rsidRDefault="00C04533" w:rsidP="00C04533">
      <w:pPr>
        <w:pStyle w:val="TextoNormal"/>
      </w:pPr>
      <w:r>
        <w:t>En la misma resolución (i) se dirigió atenta comunicación a la Sala de lo Penal del Tribunal Supremo, a la Sala de lo Civil y Penal del Tribunal Superior de Justicia de Navarra y a la Sección Segunda de la Audiencia Provincial de Navarra a fin de que, en plazo que no exceda de diez días, remitan certificación o fotocopia adverada de las actuaciones ante ellas desarrolladas; (ii) se ordenó que fueran emplazadas ante este tribunal las partes que hubieren participado en el proceso previo; y (iii) se acordó formar pieza separada de suspensión, concediéndose por providencia de la misma fecha, en aplicación de lo dispuesto en el art. 56 LOTC, un plazo común de tres días al recurrente y al Ministerio Fiscal para que alegaran lo que estimasen pertinente sobre la petición de suspensión interesada.</w:t>
      </w:r>
    </w:p>
    <w:p w14:paraId="004CC29D" w14:textId="77777777" w:rsidR="00C04533" w:rsidRDefault="00C04533" w:rsidP="00C04533">
      <w:pPr>
        <w:pStyle w:val="TextoNormal"/>
      </w:pPr>
    </w:p>
    <w:p w14:paraId="7B898C99" w14:textId="26FEFDC6" w:rsidR="00C04533" w:rsidRDefault="00C04533" w:rsidP="00C04533">
      <w:pPr>
        <w:pStyle w:val="TextoNormal"/>
      </w:pPr>
      <w:r w:rsidRPr="00C04533">
        <w:rPr>
          <w:rStyle w:val="NumeroAFNegritaCaracter"/>
        </w:rPr>
        <w:t>4</w:t>
      </w:r>
      <w:r>
        <w:t>. Mediante escrito presentado el 22 de mayo de 2023, la representación procesal del demandante reiteró su solicitud de suspensión de la ejecución de las penas privativas de libertad. Argumenta que el daño a la libertad es, como en el caso de otros bienes jurídicos como la vida o la integridad física, irreparable. Ello haría perder al recurso de amparo buena parte de su sentido, mientras que la suspensión no ocasionaría perturbación grave a un interés constitucionalmente protegido, ni a los derechos fundamentales o libertades de otra persona.</w:t>
      </w:r>
    </w:p>
    <w:p w14:paraId="6661C666" w14:textId="77777777" w:rsidR="00C04533" w:rsidRDefault="00C04533" w:rsidP="00C04533">
      <w:pPr>
        <w:pStyle w:val="TextoNormal"/>
      </w:pPr>
    </w:p>
    <w:p w14:paraId="7017D3D3" w14:textId="43C533E2" w:rsidR="00C04533" w:rsidRDefault="00C04533" w:rsidP="00C04533">
      <w:pPr>
        <w:pStyle w:val="TextoNormal"/>
      </w:pPr>
      <w:r w:rsidRPr="00C04533">
        <w:rPr>
          <w:rStyle w:val="NumeroAFNegritaCaracter"/>
        </w:rPr>
        <w:t>5</w:t>
      </w:r>
      <w:r>
        <w:t>. En su escrito de alegaciones, presentado el 6 de junio 2024, el fiscal interesó la denegación de la pretensión cautelar en aplicación de la doctrina constitucional sobre la suspensión de las penas de prisión, cuyo canon general es situar en los cinco años —que marcan la frontera entre las penas graves y las menos graves— el marco temporal en el que la gravedad de la perturbación para el interés general no impide la suspensión. Aduce que, en este caso, se supera ampliamente el límite de los cinco años que constituye el criterio general, ya que fue condenado, entre otras, a una pena de once años y seis meses de prisión y a otra de nueve años y seis meses de prisión. Añade que es carga del recurrente probar que la ejecución producirá un perjuicio irreparable, y considera que difícilmente puede entenderse que la argumentación del recurrente haya precisado debidamente los concretos perjuicios que de la ejecución se deriven que permitan variar excepcionalmente el criterio general. En particular descarta que pueda ser un argumento de apoyo el hecho de que el demandante pase de la situación de prisión provisional a la de cumplimiento, porque en todo caso se estaría manteniendo la situación de privación de libertad.</w:t>
      </w:r>
    </w:p>
    <w:p w14:paraId="41964ED4" w14:textId="77777777" w:rsidR="00C04533" w:rsidRDefault="00C04533" w:rsidP="00C04533">
      <w:pPr>
        <w:pStyle w:val="TextoNormal"/>
      </w:pPr>
    </w:p>
    <w:p w14:paraId="651976A4" w14:textId="77777777" w:rsidR="00C04533" w:rsidRDefault="00C04533" w:rsidP="00C04533">
      <w:pPr>
        <w:pStyle w:val="TextoNormalNegritaCentrado"/>
        <w:keepNext/>
      </w:pPr>
      <w:r>
        <w:t>II. Fundamentos jurídicos</w:t>
      </w:r>
    </w:p>
    <w:p w14:paraId="43EBB629" w14:textId="44B81564" w:rsidR="00C04533" w:rsidRDefault="00C04533" w:rsidP="00C04533">
      <w:pPr>
        <w:pStyle w:val="TextoNormalNegritaCentrado"/>
        <w:keepNext/>
      </w:pPr>
    </w:p>
    <w:p w14:paraId="6BDF7E78" w14:textId="77777777" w:rsidR="00C04533" w:rsidRDefault="00C04533" w:rsidP="00C04533">
      <w:pPr>
        <w:pStyle w:val="TextoNormal"/>
      </w:pPr>
      <w:r w:rsidRPr="00C04533">
        <w:rPr>
          <w:rStyle w:val="NumeroAFNegritaCaracter"/>
        </w:rPr>
        <w:t>1</w:t>
      </w:r>
      <w:r>
        <w:t>. El objeto de esta pieza separada es determinar la procedencia de acordar la suspensión de las resoluciones judiciales impugnadas en el único extremo solicitado por el recurrente de la ejecución de las penas privativas de libertad a las que fue condenado como autor de diversos delitos.</w:t>
      </w:r>
    </w:p>
    <w:p w14:paraId="41657558" w14:textId="77777777" w:rsidR="00C04533" w:rsidRDefault="00C04533" w:rsidP="00C04533">
      <w:pPr>
        <w:pStyle w:val="TextoNormal"/>
      </w:pPr>
    </w:p>
    <w:p w14:paraId="2E3F409E" w14:textId="77777777" w:rsidR="00C04533" w:rsidRDefault="00C04533" w:rsidP="00C04533">
      <w:pPr>
        <w:pStyle w:val="TextoNormal"/>
      </w:pPr>
      <w:r>
        <w:t>El demandante sostiene que dicha ejecución haría perder su finalidad al amparo por afectar a la libertad, mientras que la suspensión no implicaría una perturbación grave de un interés constitucionalmente protegido o de los derechos fundamentales y libertades públicas de otras personas.</w:t>
      </w:r>
    </w:p>
    <w:p w14:paraId="21ED07C3" w14:textId="77777777" w:rsidR="00C04533" w:rsidRDefault="00C04533" w:rsidP="00C04533">
      <w:pPr>
        <w:pStyle w:val="TextoNormal"/>
      </w:pPr>
    </w:p>
    <w:p w14:paraId="3D8B0239" w14:textId="0E7B7AC3" w:rsidR="00C04533" w:rsidRDefault="00C04533" w:rsidP="00C04533">
      <w:pPr>
        <w:pStyle w:val="TextoNormal"/>
      </w:pPr>
      <w:r>
        <w:t>El fiscal interesa que se deniegue la medida cautelar desde el entendimiento de que no se ha acreditado que concurra una causa excepcional por la que haya que variar el criterio general que se opone a la suspensión de las penas privativas de libertad de más de cinco años.</w:t>
      </w:r>
    </w:p>
    <w:p w14:paraId="41E489A4" w14:textId="77777777" w:rsidR="00C04533" w:rsidRDefault="00C04533" w:rsidP="00C04533">
      <w:pPr>
        <w:pStyle w:val="TextoNormal"/>
      </w:pPr>
    </w:p>
    <w:p w14:paraId="36DB2739" w14:textId="77777777" w:rsidR="00C04533" w:rsidRDefault="00C04533" w:rsidP="00C04533">
      <w:pPr>
        <w:pStyle w:val="TextoNormal"/>
      </w:pPr>
      <w:r w:rsidRPr="00C04533">
        <w:rPr>
          <w:rStyle w:val="NumeroAFNegritaCaracter"/>
        </w:rPr>
        <w:t>2</w:t>
      </w:r>
      <w:r>
        <w:t>. El art. 56.1 LOTC establece como principio general que “[l]a interposición del recurso de amparo no suspenderá los efectos del acto o sentencia impugnados”. La regla general es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 FJ 3, por todos).</w:t>
      </w:r>
    </w:p>
    <w:p w14:paraId="15F1FBA8" w14:textId="77777777" w:rsidR="00C04533" w:rsidRDefault="00C04533" w:rsidP="00C04533">
      <w:pPr>
        <w:pStyle w:val="TextoNormal"/>
      </w:pPr>
    </w:p>
    <w:p w14:paraId="69562555" w14:textId="77777777" w:rsidR="00C04533" w:rsidRDefault="00C04533" w:rsidP="00C04533">
      <w:pPr>
        <w:pStyle w:val="TextoNormal"/>
      </w:pPr>
      <w:r>
        <w:t>No obstante, el art. 56.2 LOTC dispone que podrá disponerse la suspensión “cuando la ejecución […] produzca un perjuicio al recurrente que pudiera hacer perder al amparo su finalidad”, salvo que “ocasione perturbación grave a un interés constitucionalmente protegido, [o de] los derechos fundamentales o libertades de otra persona”. La adopción de la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de este tribunal, sea tardío e impida definitivamente que la restauración sea efectiva (últimamente con numerosas referencias, ATC 79/2022, de 9 de mayo, FJ 1).</w:t>
      </w:r>
    </w:p>
    <w:p w14:paraId="294FC825" w14:textId="77777777" w:rsidR="00C04533" w:rsidRDefault="00C04533" w:rsidP="00C04533">
      <w:pPr>
        <w:pStyle w:val="TextoNormal"/>
      </w:pPr>
    </w:p>
    <w:p w14:paraId="2F84068F" w14:textId="51BB6852" w:rsidR="00C04533" w:rsidRDefault="00C04533" w:rsidP="00C04533">
      <w:pPr>
        <w:pStyle w:val="TextoNormal"/>
      </w:pPr>
      <w:r>
        <w:t>Este tribunal ha considerado como un supuesto de perjuicio irreparable el derivado de la ejecución de una pena privativa de libertad, donde ha asumido como criterio de ponderación prioritario en la evaluación de la gravedad de la perturbación que para el interés general tiene la suspensión de la ejecución el relativo a la gravedad de la pena, de manera que la directriz principal a tener en cuenta es si la pena se sitúa por encima o por debajo del umbral de los cinco años, puesto que esa es la frontera establecida por el legislador para diferenciar las penas graves de las menos graves, conforme a lo dispuesto en el art. 33 CP. Junto a este criterio, el Tribunal ha venido ponderando otros aspectos y circunstancias de relieve, tales como la gravedad y naturaleza de los hechos enjuiciados, el bien jurídico protegido, su trascendencia social, la duración de la pena impuesta y el tiempo que reste de cumplimiento, el riesgo de eludir la acción de la justicia y la posible desprotección de las víctimas, circunstancias, todas ellas, que expresan la reprobación que el ordenamiento asigna al hecho delictivo y, por consiguiente, la magnitud del interés general en su ejecución (AATC 72/2021, de 12 de julio, FJ 2; 438/2023, de 26 de septiembre, FJ 2, y 19/2024, de 26 de febrero, FJ 2, todos con ulteriores referencias).</w:t>
      </w:r>
    </w:p>
    <w:p w14:paraId="4CCD2386" w14:textId="77777777" w:rsidR="00C04533" w:rsidRDefault="00C04533" w:rsidP="00C04533">
      <w:pPr>
        <w:pStyle w:val="TextoNormal"/>
      </w:pPr>
    </w:p>
    <w:p w14:paraId="37B720F4" w14:textId="40DF0420" w:rsidR="00C04533" w:rsidRDefault="00C04533" w:rsidP="00C04533">
      <w:pPr>
        <w:pStyle w:val="TextoNormal"/>
      </w:pPr>
      <w:r w:rsidRPr="00C04533">
        <w:rPr>
          <w:rStyle w:val="NumeroAFNegritaCaracter"/>
        </w:rPr>
        <w:t>3</w:t>
      </w:r>
      <w:r>
        <w:t>. La aplicación de dicha doctrina al supuesto que aquí se examina conduce a denegar la suspensión de la ejecución de las penas privativas de libertad impuestas al recurrente, dado que se han impuesto penas que exceden notablemente de los cinco años que el Tribunal viene considerando, en principio, como límite para adoptar la medida cautelar y no se han alegado, ni se aprecian, circunstancias excepcionales para no aplicar ese criterio general. En efecto, el recurrente ha sido condenado a cinco penas de prisión, como se relaciona en los antecedentes, y, de ellas, tres superan los cinco años y dos de estas lo hacen de forma notable, ya que su duración es de once años y seis meses y de nueve años y seis meses. La gravedad de las penas impuestas al recurrente se vincula con la gravedad de los delitos cometidos por su naturaleza, la persistencia y reiteración en su comisión y la pluralidad y condición de los sujetos pasivos de los mismos. Los anteriores elementos acreditan la perturbación grave del interés general en la ejecución que generaría la suspensión solicitada y que conduce a rechazarla.</w:t>
      </w:r>
    </w:p>
    <w:p w14:paraId="1F58EFC6" w14:textId="77777777" w:rsidR="00C04533" w:rsidRDefault="00C04533" w:rsidP="00C04533">
      <w:pPr>
        <w:pStyle w:val="TextoNormal"/>
      </w:pPr>
    </w:p>
    <w:p w14:paraId="4148A6B6" w14:textId="77777777" w:rsidR="00C04533" w:rsidRDefault="00C04533" w:rsidP="00C04533">
      <w:pPr>
        <w:pStyle w:val="TextoNormal"/>
      </w:pPr>
      <w:r>
        <w:t>Por lo expuesto, la Sala</w:t>
      </w:r>
    </w:p>
    <w:p w14:paraId="5E429F04" w14:textId="3CDB39E4" w:rsidR="00C04533" w:rsidRDefault="00C04533" w:rsidP="00C04533">
      <w:pPr>
        <w:pStyle w:val="TextoNormal"/>
      </w:pPr>
    </w:p>
    <w:p w14:paraId="391D32DE" w14:textId="77777777" w:rsidR="00C04533" w:rsidRDefault="00C04533" w:rsidP="00C04533">
      <w:pPr>
        <w:pStyle w:val="TextoNormalCentrado"/>
      </w:pPr>
      <w:r>
        <w:t>ACUERDA</w:t>
      </w:r>
    </w:p>
    <w:p w14:paraId="3552D7F3" w14:textId="46334CFC" w:rsidR="00C04533" w:rsidRDefault="00C04533" w:rsidP="00C04533">
      <w:pPr>
        <w:pStyle w:val="TextoNormalCentrado"/>
      </w:pPr>
    </w:p>
    <w:p w14:paraId="687DCC6B" w14:textId="3D180CCC" w:rsidR="00C04533" w:rsidRDefault="00C04533" w:rsidP="00C04533">
      <w:pPr>
        <w:pStyle w:val="TextoNormal"/>
      </w:pPr>
      <w:r>
        <w:t>Denegar la suspensión en el recurso de amparo núm. 359-2023, promovido por don Rubén Rodríguez Ortiz en causa penal.</w:t>
      </w:r>
    </w:p>
    <w:p w14:paraId="1837AB38" w14:textId="77777777" w:rsidR="00C04533" w:rsidRDefault="00C04533" w:rsidP="00C04533">
      <w:pPr>
        <w:pStyle w:val="TextoNormal"/>
      </w:pPr>
    </w:p>
    <w:p w14:paraId="61E9E50E" w14:textId="77777777" w:rsidR="00C04533" w:rsidRDefault="00C04533" w:rsidP="00C04533">
      <w:pPr>
        <w:pStyle w:val="TextoNormal"/>
      </w:pPr>
      <w:r>
        <w:t>Madrid, a veintitrés de septiembre de dos mil veinticuatro.</w:t>
      </w:r>
    </w:p>
    <w:p w14:paraId="148A46E1" w14:textId="17CDECEC" w:rsidR="00C04533" w:rsidRDefault="00C04533">
      <w:pPr>
        <w:spacing w:after="160" w:line="278" w:lineRule="auto"/>
        <w:rPr>
          <w:rFonts w:ascii="Times New Roman" w:eastAsia="Times New Roman" w:hAnsi="Times New Roman" w:cs="Times New Roman"/>
          <w:sz w:val="24"/>
          <w:szCs w:val="24"/>
          <w:lang w:eastAsia="es-ES"/>
        </w:rPr>
      </w:pPr>
      <w:r>
        <w:br w:type="page"/>
      </w:r>
    </w:p>
    <w:p w14:paraId="1EA0D701" w14:textId="77777777" w:rsidR="00C04533" w:rsidRDefault="00C04533" w:rsidP="00C04533">
      <w:pPr>
        <w:pStyle w:val="TtuloResolucin"/>
      </w:pPr>
      <w:bookmarkStart w:id="91" w:name="AUTO_2024_85"/>
      <w:r>
        <w:t>AUTO 85/2024, de 23 de septiembre de 2024</w:t>
      </w:r>
    </w:p>
    <w:bookmarkEnd w:id="91"/>
    <w:p w14:paraId="5EC1EEE5" w14:textId="77777777" w:rsidR="00C04533" w:rsidRDefault="00C04533" w:rsidP="00C04533">
      <w:pPr>
        <w:pStyle w:val="TtuloResolucin"/>
      </w:pPr>
      <w:r>
        <w:t>Sala Segunda</w:t>
      </w:r>
    </w:p>
    <w:p w14:paraId="7EB4D4A9" w14:textId="77777777" w:rsidR="00C04533" w:rsidRDefault="00C04533" w:rsidP="00C04533">
      <w:pPr>
        <w:pStyle w:val="TtuloBOE"/>
      </w:pPr>
      <w:r>
        <w:t>(BOE núm. 264, de 1 de noviembre de 2024)</w:t>
      </w:r>
    </w:p>
    <w:p w14:paraId="63D31123" w14:textId="77777777" w:rsidR="00C04533" w:rsidRDefault="00C04533" w:rsidP="00C04533">
      <w:pPr>
        <w:pStyle w:val="TextoNormalCentrado"/>
      </w:pPr>
      <w:r>
        <w:t>ECLI:ES:TC:2024:85A</w:t>
      </w:r>
    </w:p>
    <w:p w14:paraId="51A3D189" w14:textId="14AA4984" w:rsidR="00C04533" w:rsidRDefault="00C04533" w:rsidP="00C04533">
      <w:pPr>
        <w:pStyle w:val="TextoNormalCentrado"/>
      </w:pPr>
    </w:p>
    <w:p w14:paraId="7400D56E" w14:textId="77777777" w:rsidR="00C04533" w:rsidRDefault="00C04533" w:rsidP="00C04533">
      <w:pPr>
        <w:pStyle w:val="SntesisDescriptiva"/>
      </w:pPr>
      <w:r>
        <w:t>Excms. Srs. doña Inmaculada Montalbán Huertas, doña María Luisa Balaguer Callejón, don Ramón Sáez Valcárcel, don Enrique Arnaldo Alcubilla, don César Tolosa Tribiño y doña Laura Díez Bueso.</w:t>
      </w:r>
    </w:p>
    <w:p w14:paraId="5F9F85C9" w14:textId="05DC6AFB" w:rsidR="00C04533" w:rsidRDefault="00C04533" w:rsidP="00C04533">
      <w:pPr>
        <w:pStyle w:val="SntesisDescriptiva"/>
      </w:pPr>
    </w:p>
    <w:p w14:paraId="760B5B9D" w14:textId="77777777" w:rsidR="00C04533" w:rsidRDefault="00C04533" w:rsidP="00C04533">
      <w:pPr>
        <w:pStyle w:val="SntesisDescriptiva"/>
      </w:pPr>
      <w:r>
        <w:t>Admite a trámite el recurso de amparo 7286-2023, promovido por don Alfonso Loaiza Pérez en causa penal. Voto particular.</w:t>
      </w:r>
    </w:p>
    <w:p w14:paraId="0EE7D45E" w14:textId="6ECAD2F1" w:rsidR="00C04533" w:rsidRDefault="00C04533" w:rsidP="00C04533">
      <w:pPr>
        <w:pStyle w:val="SntesisDescriptiva"/>
      </w:pPr>
    </w:p>
    <w:p w14:paraId="55D55E11" w14:textId="77777777" w:rsidR="00C04533" w:rsidRDefault="00C04533" w:rsidP="00C04533">
      <w:pPr>
        <w:pStyle w:val="SntesisDescriptiva"/>
      </w:pPr>
    </w:p>
    <w:p w14:paraId="46CD1A95" w14:textId="77777777" w:rsidR="00C04533" w:rsidRDefault="00C04533" w:rsidP="00C04533">
      <w:pPr>
        <w:pStyle w:val="SntesisDescriptiva"/>
      </w:pPr>
    </w:p>
    <w:p w14:paraId="6285AE2E" w14:textId="77777777" w:rsidR="00C04533" w:rsidRDefault="00C04533" w:rsidP="00C04533">
      <w:pPr>
        <w:pStyle w:val="TextoNormalNegritaCentrado"/>
      </w:pPr>
      <w:r>
        <w:t>AUTO</w:t>
      </w:r>
    </w:p>
    <w:p w14:paraId="1A822ED6" w14:textId="0F4B9AFE" w:rsidR="00C04533" w:rsidRDefault="00C04533" w:rsidP="00C04533">
      <w:pPr>
        <w:pStyle w:val="TextoNormalNegritaCentrado"/>
      </w:pPr>
    </w:p>
    <w:p w14:paraId="4C1DF865" w14:textId="77777777" w:rsidR="00C04533" w:rsidRDefault="00C04533" w:rsidP="00C04533">
      <w:pPr>
        <w:pStyle w:val="TextoNormalNegritaCentrado"/>
        <w:keepNext/>
      </w:pPr>
      <w:r>
        <w:t>I. Antecedentes</w:t>
      </w:r>
    </w:p>
    <w:p w14:paraId="5628F82E" w14:textId="7CC5D233" w:rsidR="00C04533" w:rsidRDefault="00C04533" w:rsidP="00C04533">
      <w:pPr>
        <w:pStyle w:val="TextoNormalNegritaCentrado"/>
        <w:keepNext/>
      </w:pPr>
    </w:p>
    <w:p w14:paraId="63BDF8F7" w14:textId="791E7C05" w:rsidR="00C04533" w:rsidRDefault="00C04533" w:rsidP="00C04533">
      <w:pPr>
        <w:pStyle w:val="TextoNormal"/>
      </w:pPr>
      <w:r w:rsidRPr="00C04533">
        <w:rPr>
          <w:rStyle w:val="NumeroAFNegritaCaracter"/>
        </w:rPr>
        <w:t>1</w:t>
      </w:r>
      <w:r>
        <w:t>. Mediante escrito presentado en el registro general del Tribunal Constitucional el 21 de noviembre de 2023, la representación procesal de don Alfonso Loaiza Pérez interpuso recurso de amparo contra (i) la sentencia núm. 250/2021, de 13 de octubre, del Juzgado de lo Penal núm. 20 de Madrid (procedimiento abreviado núm. 107-2020), que condenó al recurrente como autor de un delito de injurias graves a la Policía Municipal de Madrid; (ii) la sentencia núm. 483/2022, de 6 de septiembre, de la Sección Segunda de la Audiencia Provincial de Madrid, que confirmó la condena en apelación (recurso de apelación núm. 1869-2021); y (iii) la providencia de 20 de julio de 2023 de la Sala de lo Penal del Tribunal Supremo que inadmitió el recurso de casación planteado contra la anterior (recurso de casación núm. 6716-2022).</w:t>
      </w:r>
    </w:p>
    <w:p w14:paraId="19B6DA2B" w14:textId="77777777" w:rsidR="00C04533" w:rsidRDefault="00C04533" w:rsidP="00C04533">
      <w:pPr>
        <w:pStyle w:val="TextoNormal"/>
      </w:pPr>
    </w:p>
    <w:p w14:paraId="41C68CF8" w14:textId="77777777" w:rsidR="00C04533" w:rsidRDefault="00C04533" w:rsidP="00C04533">
      <w:pPr>
        <w:pStyle w:val="TextoNormal"/>
      </w:pPr>
      <w:r w:rsidRPr="00C04533">
        <w:rPr>
          <w:rStyle w:val="NumeroAFNegritaCaracter"/>
        </w:rPr>
        <w:t>2</w:t>
      </w:r>
      <w:r>
        <w:t>. Son antecedentes relevantes para resolver los siguientes:</w:t>
      </w:r>
    </w:p>
    <w:p w14:paraId="16E5674F" w14:textId="77777777" w:rsidR="00C04533" w:rsidRDefault="00C04533" w:rsidP="00C04533">
      <w:pPr>
        <w:pStyle w:val="TextoNormal"/>
      </w:pPr>
    </w:p>
    <w:p w14:paraId="2590E052" w14:textId="77777777" w:rsidR="00C04533" w:rsidRDefault="00C04533" w:rsidP="00C04533">
      <w:pPr>
        <w:pStyle w:val="TextoNormal"/>
      </w:pPr>
      <w:r>
        <w:t>a) Por sentencia del Juzgado de lo Penal núm. 20 de Madrid de 13 de octubre de 2021 se condenó al recurrente como autor de un delito de injurias graves a la Policía Municipal de Madrid (art. 504.2 del Código penal; en adelante, CP), con la atenuante de dilaciones indebidas, a la pena de catorce meses de multa con cuota diaria de cinco euros (2100 €), con responsabilidad personal subsidiaria de un día de privación de libertad por cada dos cuotas impagadas, así como al abono de una cuarta parte de las costas judiciales y a dar publicidad de dicha resolución en la red social Twitter (actualmente, X).</w:t>
      </w:r>
    </w:p>
    <w:p w14:paraId="3E7C787E" w14:textId="77777777" w:rsidR="00C04533" w:rsidRDefault="00C04533" w:rsidP="00C04533">
      <w:pPr>
        <w:pStyle w:val="TextoNormal"/>
      </w:pPr>
    </w:p>
    <w:p w14:paraId="38CFDAAC" w14:textId="77777777" w:rsidR="00C04533" w:rsidRDefault="00C04533" w:rsidP="00C04533">
      <w:pPr>
        <w:pStyle w:val="TextoNormal"/>
      </w:pPr>
      <w:r>
        <w:t>Los hechos probados refieren que “sobre las 16:50 horas del día 15 de marzo de 2018, el ciudadano senegalés Mame Mbaye, se encontraba en la calle del Oso de esta ciudad [Madrid], manifestando a un compatriota que se encontraba mal, cayendo al suelo, siendo asistido por varias personas, y entre ellos por una pareja de policías municipales de Madrid, que iniciaron maniobras de reanimación, dando aviso a un equipo del Samur, que personado en el lugar, continuó con dichas maniobras, pese a lo cual no se pudo evitar el fallecimiento”. Consta asimismo que “[e]n la tarde del día 15 de marzo, se emitieron diversos comunicados de prensa de la agencia Europa Press, indicándose desde el primero de ellos que la causa de la muerte fue una parada cardiorrespiratoria [como quedó fijado en los diversos informes médicos emitidos], recogiéndose versiones contradictorias en relación con el hecho de que el fallecido hubiera sido o no perseguido previamente por agentes de la Policía Municipal en el curso de una acción contra ‘manteros’ ubicados en la Puerta del Sol, lo que pasados los días se descartó, no participando los policías que asistieron a Mame Mbaye en persecución alguna”.</w:t>
      </w:r>
    </w:p>
    <w:p w14:paraId="6A83DA9F" w14:textId="77777777" w:rsidR="00C04533" w:rsidRDefault="00C04533" w:rsidP="00C04533">
      <w:pPr>
        <w:pStyle w:val="TextoNormal"/>
      </w:pPr>
    </w:p>
    <w:p w14:paraId="265C8A6F" w14:textId="77777777" w:rsidR="00C04533" w:rsidRDefault="00C04533" w:rsidP="00C04533">
      <w:pPr>
        <w:pStyle w:val="TextoNormal"/>
      </w:pPr>
      <w:r>
        <w:t>Por lo que atañe en concreto al demandante de amparo, el relato fáctico recoge que “de profesión periodista y residente en Barcelona, tenía una cuenta en la red social Twitter, que contaba el día 19 de abril con 56 800 seguidores. Los días 15 y 16 de marzo de 2018 publicó varios mensajes, en uno de ellos expresaba: ‘Orgullo de manteros concentrados en Lavapiés. Hoy ha muerto, Mame Mbaye cuando era perseguido por la policía. Su único delito: carecer de unos papeles. No se ha muerto solo ni es una muerte natural, es un asesinato y es culpable el Estado policial español’. Dicho mensaje fue reenviado por 367 personas. En un segundo mensaje decía: ‘El nombre de Mame Mbaye y su cara no saldrán en ninguna televisión. No era dueño de nada y solo tenía sus manos para sobrevivir de mantero como buenamente podía. Llevaba trece años residiendo en España. La policía lo ha asesinado. Para el Estado no era un ser humano. Lavapiés’. Al mensaje adjuntó una fotografía de la persona fallecida y sobre ella escrito el nombre de Mame Mbaye y en la parte inferior el siguiente mensaje: ‘Asesinado por la policía de Madrid. El mejor homenaje luchar contra la represión del Estado[.] ¡Salgamos a las calles!’ Dicho mensaje fue reenviado por 274 personas. En un tercer mensaje expresó: ‘Esto decían en un chat de @policíademadrid sobre los migrantes. El juez no vio delito de odio y siguieron patrullando. Ayer este cuerpo policial fue responsable de la muerte de Mame Mbaye’”.</w:t>
      </w:r>
    </w:p>
    <w:p w14:paraId="3A76B18B" w14:textId="77777777" w:rsidR="00C04533" w:rsidRDefault="00C04533" w:rsidP="00C04533">
      <w:pPr>
        <w:pStyle w:val="TextoNormal"/>
      </w:pPr>
    </w:p>
    <w:p w14:paraId="724F7CCD" w14:textId="77777777" w:rsidR="00C04533" w:rsidRDefault="00C04533" w:rsidP="00C04533">
      <w:pPr>
        <w:pStyle w:val="TextoNormal"/>
      </w:pPr>
      <w:r>
        <w:t>La sentencia de instancia considera que las expresiones de los dos primeros mensajes alusivas a la comisión de un asesinato son constitutivas del delito de injurias graves a los cuerpos y fuerzas de seguridad tipificado en el art. 504.2 CP, que no encuentra justificación razonable en el ejercicio del derecho a la libertad de expresión. Argumenta que se trata de una información sobre hechos —un asesinato y su autoría— realizada por un periodista conocedor de las exigencias de veracidad de la información y de la difusión de sus mensajes a través de la red social. Las alusiones a la comisión de un asesinato por parte de la policía es objetivamente injuriosa o vejatoria y se expresan con temerario desprecio hacia la verdad, pues la hipótesis de que algún policía hubiera asesinado al fallecido, en momento alguno que una hipótesis veraz, aun cuando existiera confusión, lo que pone de relieve es el ánimo de injuriar, como asimismo indica la distancia personal y física del hecho, que permitiría una aproximación crítica al suceso y un control de las expresiones e informaciones realizadas. Se descarta que los mensajes encuentren amparo en el ejercicio de la libertad de expresión, en el que ha habido un exceso, en tanto que se han realizado manifestaciones específicas respecto a los agentes que hipotéticamente pudieron perseguir al acusado, sin fundamento alguno y prematuramente “para imponer un determinado relato sobre lo sucedido, que con desprecio a la verdad, pueda imponerse frente a otros en la percepción social, conformando una opinión publica errónea mediante su manipulación”.</w:t>
      </w:r>
    </w:p>
    <w:p w14:paraId="66B80750" w14:textId="77777777" w:rsidR="00C04533" w:rsidRDefault="00C04533" w:rsidP="00C04533">
      <w:pPr>
        <w:pStyle w:val="TextoNormal"/>
      </w:pPr>
    </w:p>
    <w:p w14:paraId="062E950B" w14:textId="77777777" w:rsidR="00C04533" w:rsidRDefault="00C04533" w:rsidP="00C04533">
      <w:pPr>
        <w:pStyle w:val="TextoNormal"/>
      </w:pPr>
      <w:r>
        <w:t>En tal medida, concluye la sentencia, se trata de una conducta típica y antijurídica, cuya sanción “resulta necesaria para el mantenimiento del orden democrático, que somete a crítica constante [a] sus instituciones, pero no puede admitir ataques infundados hacia las mismas tendentes a provocar su desprestigio social, ni la conformación de una opinión pública sobre hechos inciertos, y al ser dicha sanción de naturaleza pecuniaria, y no privativa de libertad, no puede entenderse desproporcionada”.</w:t>
      </w:r>
    </w:p>
    <w:p w14:paraId="78FA12D1" w14:textId="77777777" w:rsidR="00C04533" w:rsidRDefault="00C04533" w:rsidP="00C04533">
      <w:pPr>
        <w:pStyle w:val="TextoNormal"/>
      </w:pPr>
    </w:p>
    <w:p w14:paraId="3B9E0E83" w14:textId="77777777" w:rsidR="00C04533" w:rsidRDefault="00C04533" w:rsidP="00C04533">
      <w:pPr>
        <w:pStyle w:val="TextoNormal"/>
      </w:pPr>
      <w:r>
        <w:t>b) Formulado recurso de apelación por el recurrente, en el que solicitó la absolución y al que se adhirió el Ministerio Fiscal, fue desestimado por sentencia de la Sección Segunda de la Audiencia Provincial de Madrid de 6 de septiembre de 2022. En esa resolución se reconoce que no puede considerarse que el condenado tuviera la profesión de periodista, pero rechaza que de ahí se siga que los mensajes controvertidos no son constitutivos del delito de injurias por el que fue condenado. Razona con apoyo en la STC 8/2022, de 27 de enero, que advierte de la necesidad de relativizar la diferencia entre quien es periodista y quien no lo es cuando las libertades de información y de expresión se ejercen a través de las herramientas que facilita Internet, lo que, además, obliga a un análisis específico en línea con lo establecido por el Tribunal Europeo de Derechos Humanos sobre la lesividad de los mensajes difundidos por Internet.</w:t>
      </w:r>
    </w:p>
    <w:p w14:paraId="3739960D" w14:textId="77777777" w:rsidR="00C04533" w:rsidRDefault="00C04533" w:rsidP="00C04533">
      <w:pPr>
        <w:pStyle w:val="TextoNormal"/>
      </w:pPr>
    </w:p>
    <w:p w14:paraId="0269BD78" w14:textId="77777777" w:rsidR="00C04533" w:rsidRDefault="00C04533" w:rsidP="00C04533">
      <w:pPr>
        <w:pStyle w:val="TextoNormal"/>
      </w:pPr>
      <w:r>
        <w:t>La Sala considera que los mensajes del recurrente “suponen la atribución directa a un cuerpo policial de la muerte de una persona; como se expone en la sentencia recurrida, se informa de un asesinato y de su autoría”. Frente al argumento del recurso de que la expresión “asesinado” no se utilizó refiriéndose al hecho de que una persona hubiera dado muerte a otra, sino para indicar una muerte no natural, siendo lo pretendido generar un clima de opinión contrario a normalizar dichas muertes, opone que “resulta difícil poder dar otro significado a esa expresión en el contexto en el que se realiza y a la vista del resto de los mensajes publicados […]; conforme a la acepciones admitidas en el uso del castellano y sin necesidad de especiales conocimientos jurídicos, asesinar es matar a alguien con alevosía, ensañamiento o por una recompensa, y ese y no otro era el comportamiento que el recurrente imputaba a la policía local de Madrid, haber asesinado a un mantero sin papeles, pudiendo haber alcanzado la finalidad que se dice pretendida sin necesidad [de] tan gravísima imputación”.</w:t>
      </w:r>
    </w:p>
    <w:p w14:paraId="7AEE8585" w14:textId="77777777" w:rsidR="00C04533" w:rsidRDefault="00C04533" w:rsidP="00C04533">
      <w:pPr>
        <w:pStyle w:val="TextoNormal"/>
      </w:pPr>
    </w:p>
    <w:p w14:paraId="35767D3D" w14:textId="77777777" w:rsidR="00C04533" w:rsidRDefault="00C04533" w:rsidP="00C04533">
      <w:pPr>
        <w:pStyle w:val="TextoNormal"/>
      </w:pPr>
      <w:r>
        <w:t xml:space="preserve">Recuerda finalmente que, como se indica en la STEDH de 21 de enero de 1999, asunto </w:t>
      </w:r>
      <w:r w:rsidRPr="00C04533">
        <w:rPr>
          <w:i/>
        </w:rPr>
        <w:t>Janowski c. Polonia</w:t>
      </w:r>
      <w:r>
        <w:t xml:space="preserve">, § 33, “los límites de la crítica admisible son, como en el caso de los políticos, más amplios para los funcionarios que actúan en el ejercicio de sus funciones oficiales (véase el § 28 </w:t>
      </w:r>
      <w:r w:rsidRPr="00C04533">
        <w:rPr>
          <w:i/>
        </w:rPr>
        <w:t>supra</w:t>
      </w:r>
      <w:r>
        <w:t xml:space="preserve">). Por supuesto, estos límites pueden ser en algunos casos más amplios para los servidores públicos en el ejercicio de sus funciones que para un particular. Sin embargo, no puede decirse que los funcionarios públicos se expongan a sabiendas a un escrutinio cuidadoso de sus acciones exactamente como es el caso de los políticos y, por lo tanto, deban ser tratados en pie de igualdad con los políticos cuando se trata de criticar su conducta [asunto </w:t>
      </w:r>
      <w:r w:rsidRPr="00C04533">
        <w:rPr>
          <w:i/>
        </w:rPr>
        <w:t>Oberschlick c. Austria</w:t>
      </w:r>
      <w:r>
        <w:t xml:space="preserve"> (núm. 2) de 1 de julio de 1997, Reports 1997- IV, pág. 1275, § 29].</w:t>
      </w:r>
    </w:p>
    <w:p w14:paraId="6E319DFE" w14:textId="77777777" w:rsidR="00C04533" w:rsidRDefault="00C04533" w:rsidP="00C04533">
      <w:pPr>
        <w:pStyle w:val="TextoNormal"/>
      </w:pPr>
    </w:p>
    <w:p w14:paraId="0FE91BA7" w14:textId="77777777" w:rsidR="00C04533" w:rsidRDefault="00C04533" w:rsidP="00C04533">
      <w:pPr>
        <w:pStyle w:val="TextoNormal"/>
      </w:pPr>
      <w:r>
        <w:t xml:space="preserve">Además, para desempeñar sus funciones, los funcionarios públicos deben gozar de la confianza del público sin ser indebidamente perturbados y, por lo tanto, puede ser necesario protegerlos de ataques verbales ofensivos mientras están de servicio. En el caso de autos, las exigencias de esta protección no deben ponderarse con respecto a los intereses de la libertad de prensa o de la libre discusión de cuestiones de interés público, ya que las observaciones de la demandante no se formularon en tal contexto (véanse el apartado 32 supra; y asunto </w:t>
      </w:r>
      <w:r w:rsidRPr="00C04533">
        <w:rPr>
          <w:i/>
        </w:rPr>
        <w:t>Lingens c. Austria</w:t>
      </w:r>
      <w:r>
        <w:t>, antes citada, pág. 26, § 4</w:t>
      </w:r>
      <w:r w:rsidRPr="00C04533">
        <w:rPr>
          <w:i/>
        </w:rPr>
        <w:t>2 in fi</w:t>
      </w:r>
      <w:r>
        <w:t>ne”.</w:t>
      </w:r>
    </w:p>
    <w:p w14:paraId="4C32EF4E" w14:textId="77777777" w:rsidR="00C04533" w:rsidRDefault="00C04533" w:rsidP="00C04533">
      <w:pPr>
        <w:pStyle w:val="TextoNormal"/>
      </w:pPr>
    </w:p>
    <w:p w14:paraId="1E598801" w14:textId="67B25944" w:rsidR="00C04533" w:rsidRDefault="00C04533" w:rsidP="00C04533">
      <w:pPr>
        <w:pStyle w:val="TextoNormal"/>
      </w:pPr>
      <w:r>
        <w:t>c) Por providencia de la Sala de lo Penal del Tribunal Supremo de 20 de julio de 2023 se acordó la no admisión del recurso de casación planteado. La Sala afirma que las alegaciones, centradas en la no consideración del recurrente como periodista, en que los tuits responden a opiniones y que los hechos no pueden interpretarse como un delito de injurias a todo el cuerpo de policía, son de naturaleza probatoria y, por tanto, ajenas al cauce casacional legalmente permitido; y que no se ha acreditado que el recurso reúna interés casacional.</w:t>
      </w:r>
    </w:p>
    <w:p w14:paraId="5E28ED1A" w14:textId="77777777" w:rsidR="00C04533" w:rsidRDefault="00C04533" w:rsidP="00C04533">
      <w:pPr>
        <w:pStyle w:val="TextoNormal"/>
      </w:pPr>
    </w:p>
    <w:p w14:paraId="278A2E57" w14:textId="77777777" w:rsidR="00C04533" w:rsidRDefault="00C04533" w:rsidP="00C04533">
      <w:pPr>
        <w:pStyle w:val="TextoNormal"/>
      </w:pPr>
      <w:r w:rsidRPr="00C04533">
        <w:rPr>
          <w:rStyle w:val="NumeroAFNegritaCaracter"/>
        </w:rPr>
        <w:t>3</w:t>
      </w:r>
      <w:r>
        <w:t>. En la demanda se formulan dos motivos de amparo: (i) vulneración del derecho a la libertad de expresión (art. 20.1 CE) mediante la lesión del derecho a la tutela judicial efectiva en su vertiente de acceso a un proceso público con todas las garantías (principio de presunción de inocencia) y de acceso a los tribunales [arts. 24.1 y 2 CE, y 6.2 del Convenio europeo de derechos humanos (CEDH)]; (ii) vulneración del derecho a la libertad de expresión (arts. 20 CE y 10 CEDH).</w:t>
      </w:r>
    </w:p>
    <w:p w14:paraId="2872ACB7" w14:textId="77777777" w:rsidR="00C04533" w:rsidRDefault="00C04533" w:rsidP="00C04533">
      <w:pPr>
        <w:pStyle w:val="TextoNormal"/>
      </w:pPr>
    </w:p>
    <w:p w14:paraId="391C1721" w14:textId="77777777" w:rsidR="00C04533" w:rsidRDefault="00C04533" w:rsidP="00C04533">
      <w:pPr>
        <w:pStyle w:val="TextoNormal"/>
      </w:pPr>
      <w:r>
        <w:t>(i) En el primero de los motivos se denuncia que la sentencia de instancia habría vulnerado el derecho a la presunción de inocencia, ya que, como se reconoce en la sentencia de apelación, su profesión al tiempo de los hechos no era la de periodista y el hecho de que su cuenta en la red social Twitter contara con 56 800 seguidores un mes después de la publicación no permite afirmar que así fuera cuando se publicaron los tuits, siendo ambos elementos decisivos para fundar la condena.</w:t>
      </w:r>
    </w:p>
    <w:p w14:paraId="4FBD7C7C" w14:textId="77777777" w:rsidR="00C04533" w:rsidRDefault="00C04533" w:rsidP="00C04533">
      <w:pPr>
        <w:pStyle w:val="TextoNormal"/>
      </w:pPr>
    </w:p>
    <w:p w14:paraId="7ECCF686" w14:textId="77777777" w:rsidR="00C04533" w:rsidRDefault="00C04533" w:rsidP="00C04533">
      <w:pPr>
        <w:pStyle w:val="TextoNormal"/>
      </w:pPr>
      <w:r>
        <w:t>También se considera que vulnera el citado derecho la sentencia de la Audiencia Provincial ya que, constatado lo anterior, que había sido determinante de la condena por el Juzgado de lo Penal, aprecia para condenar una intención o significado de las publicaciones, la de atribuir a la policía local haber dado muerte al fallecido, que no se desprende de los hechos declarados probados y que es contraria a la que el recurrente sostiene que tenía, esto es, indicar que no fue muerte natural con intención de generar un clima de opinión contrario a normalizar esas muertes. Se añade que esos datos atañen tanto a la ponderación del derecho a la libertad de expresión como a la existencia de prueba suficiente del delito por el que se le condena.</w:t>
      </w:r>
    </w:p>
    <w:p w14:paraId="4B84E4F4" w14:textId="77777777" w:rsidR="00C04533" w:rsidRDefault="00C04533" w:rsidP="00C04533">
      <w:pPr>
        <w:pStyle w:val="TextoNormal"/>
      </w:pPr>
    </w:p>
    <w:p w14:paraId="1A225C2C" w14:textId="77777777" w:rsidR="00C04533" w:rsidRDefault="00C04533" w:rsidP="00C04533">
      <w:pPr>
        <w:pStyle w:val="TextoNormal"/>
      </w:pPr>
      <w:r>
        <w:t>Todavía en este primer motivo, denuncia finalmente que la providencia del Tribunal Supremo vulnera el “derecho a la tutela judicial efectiva en su vertiente de acceso a los tribunales por cuanto resuelve una cuestión de fondo, desestimando las vulneraciones de derechos alegadas mediante una resolución de inadmisión formal limitando injustificadamente el acceso a los tribunales y a una resolución fundada”.</w:t>
      </w:r>
    </w:p>
    <w:p w14:paraId="556B1890" w14:textId="77777777" w:rsidR="00C04533" w:rsidRDefault="00C04533" w:rsidP="00C04533">
      <w:pPr>
        <w:pStyle w:val="TextoNormal"/>
      </w:pPr>
    </w:p>
    <w:p w14:paraId="1F227819" w14:textId="77777777" w:rsidR="00C04533" w:rsidRDefault="00C04533" w:rsidP="00C04533">
      <w:pPr>
        <w:pStyle w:val="TextoNormal"/>
      </w:pPr>
      <w:r>
        <w:t>(ii) Como segunda queja se plantea la vulneración del derecho a la libertad de expresión. Se razona que, si bien la sentencia de primera instancia entró a ponderar los hechos enjuiciados con el derecho fundamental a la libertad de expresión y los requisitos previstos en la doctrina constitucional para su limitación, lo hace partiendo de la premisa errónea de que se trata de una imputación de hechos por un periodista. Se reprocha que, por ello, la sentencia aplica el límite relativo a la imputación de hechos con temerario desprecio hacia la verdad, que no es pertinente.</w:t>
      </w:r>
    </w:p>
    <w:p w14:paraId="4F732D51" w14:textId="77777777" w:rsidR="00C04533" w:rsidRDefault="00C04533" w:rsidP="00C04533">
      <w:pPr>
        <w:pStyle w:val="TextoNormal"/>
      </w:pPr>
    </w:p>
    <w:p w14:paraId="6EF49EEB" w14:textId="77777777" w:rsidR="00C04533" w:rsidRDefault="00C04533" w:rsidP="00C04533">
      <w:pPr>
        <w:pStyle w:val="TextoNormal"/>
      </w:pPr>
      <w:r>
        <w:t>Por su parte, la sentencia en segunda instancia, según el demandante, considera su conducta una atribución directa a un cuerpo policial de la muerte de una persona, lo que sería típico del delito del art. 504.2 CP, sin que la Sala estime preciso ponderar tal extremo con los intereses de la libertad de prensa o de la libre discusión de cuestiones de interés público. A su juicio, se aplica así la jurisprudencia constitucional fijada para la vulneración, por parte de cualquier ciudadano, del derecho al honor de los funcionarios públicos, que considera que deben ser protegidos de ataques verbales ofensivos mientras están de servicio, con apoyo en la doctrina del Tribunal Europeo de Derechos Humanos. Pero esa doctrina, según opone, atiende a ataques personales contra funcionarios públicos, que tampoco es lo que ocurre en el caso, sin que, por lo demás, la Audiencia Provincial haya realizado ponderación alguna de la afectación a la libertad de expresión que supone la condena penal a una pena de multa elevada y gravosa con responsabilidad personal subsidiaria privativa de libertad y su efecto disuasorio. Mantiene que supone “la amenaza implícita de que aquellas personas que formulen una crítica en redes sociales a la institución de los cuerpos y fuerzas de seguridad, aunque sea sin atacar al honor de funcionarios concretos, pueden ser objeto de condenas penales, lo que supone una afectación relevante de la libre crítica al Estado y participación ciudadana en la opinión pública sobre debates de interés social, como elemente vertebrador del principio democrático”.</w:t>
      </w:r>
    </w:p>
    <w:p w14:paraId="3AEBD492" w14:textId="77777777" w:rsidR="00C04533" w:rsidRDefault="00C04533" w:rsidP="00C04533">
      <w:pPr>
        <w:pStyle w:val="TextoNormal"/>
      </w:pPr>
    </w:p>
    <w:p w14:paraId="6EB988C8" w14:textId="77777777" w:rsidR="00C04533" w:rsidRDefault="00C04533" w:rsidP="00C04533">
      <w:pPr>
        <w:pStyle w:val="TextoNormal"/>
      </w:pPr>
      <w:r>
        <w:t xml:space="preserve">Para justificar la especial trascendencia constitucional del recurso se alega que plantea un problema o afecta a una faceta de un derecho fundamental susceptible de amparo sobre el que no hay doctrina del Tribunal Constitucional [STC 155/2009, de 25 de junio, FJ 2 a)]. En concreto, se aduce que da ocasión al Tribunal para pronunciarse, en relación con la ponderación entre el derecho a la libertad de expresión y el derecho al honor, sobre “si el concepto de ‘fuerzas y cuerpos de seguridad’ (que incluye los conceptos ‘cuerpo policial’ o ‘estado policial español’) tiene la consideración de una institución o símbolo del Estado, o, de lo contrario, se entiende como el conjunto de agentes, es decir, de funcionarios públicos con un derecho al honor individualizado”. Dicha cuestión enlazaría con la determinación del estándar de ponderación, el propio de la afectación al honor de los funcionarios concretos o el de la dignidad de las instituciones y los símbolos del Estado y con la jurisprudencia del Tribunal Europeo de Derechos Humanos, de la que se destaca la STEDH de 8 de junio de 2023, asunto </w:t>
      </w:r>
      <w:r w:rsidRPr="00C04533">
        <w:rPr>
          <w:i/>
        </w:rPr>
        <w:t>Fragoso Dacosta c. España</w:t>
      </w:r>
      <w:r>
        <w:t>, que apreció una violación del art. 10 CEDH por considerar que la imposición de una pena de multa por las manifestaciones contra la bandera española supone una injerencia desproporcionada.</w:t>
      </w:r>
    </w:p>
    <w:p w14:paraId="39F8BD54" w14:textId="77777777" w:rsidR="00C04533" w:rsidRDefault="00C04533" w:rsidP="00C04533">
      <w:pPr>
        <w:pStyle w:val="TextoNormal"/>
      </w:pPr>
    </w:p>
    <w:p w14:paraId="6887AD50" w14:textId="54F54E44" w:rsidR="00C04533" w:rsidRDefault="00C04533" w:rsidP="00C04533">
      <w:pPr>
        <w:pStyle w:val="TextoNormal"/>
      </w:pPr>
      <w:r>
        <w:t>El recurrente insiste, tras repasar los pronunciamientos del Tribunal Constitucional, sobre el valor preponderante del derecho a la libertad de expresión, su eficacia en el contexto de hechos de interés general y las limitaciones legítimas al derecho cuando afecta al derecho al honor de personas con carácter público y a la dignidad y prestigio de los símbolos del Estado —y en los elementos y requisitos para su ponderación—, así como, en que el caso plantea una cuestión novedosa que no estaría resuelta, la de cuál es el interés afectado en este caso y cuáles son los elementos que deben ponderarse.</w:t>
      </w:r>
    </w:p>
    <w:p w14:paraId="6077174B" w14:textId="77777777" w:rsidR="00C04533" w:rsidRDefault="00C04533" w:rsidP="00C04533">
      <w:pPr>
        <w:pStyle w:val="TextoNormal"/>
      </w:pPr>
    </w:p>
    <w:p w14:paraId="7A2D77ED" w14:textId="77777777" w:rsidR="00C04533" w:rsidRDefault="00C04533" w:rsidP="00C04533">
      <w:pPr>
        <w:pStyle w:val="TextoNormalNegritaCentrado"/>
        <w:keepNext/>
      </w:pPr>
      <w:r>
        <w:t>II. Fundamentos jurídicos</w:t>
      </w:r>
    </w:p>
    <w:p w14:paraId="5C5CBDA2" w14:textId="6CE3CC9C" w:rsidR="00C04533" w:rsidRDefault="00C04533" w:rsidP="00C04533">
      <w:pPr>
        <w:pStyle w:val="TextoNormalNegritaCentrado"/>
        <w:keepNext/>
      </w:pPr>
    </w:p>
    <w:p w14:paraId="6B2CD7F1" w14:textId="77777777" w:rsidR="00C04533" w:rsidRDefault="00C04533" w:rsidP="00C04533">
      <w:pPr>
        <w:pStyle w:val="TextoNormal"/>
      </w:pPr>
      <w:r w:rsidRPr="00C04533">
        <w:rPr>
          <w:rStyle w:val="TextoNormalNegritaCaracter"/>
        </w:rPr>
        <w:t xml:space="preserve">Único. </w:t>
      </w:r>
      <w:r>
        <w:t>Mediante escrito presentado en el registro general de este tribunal el 21 de noviembre de 2023, la representación procesal de don Alfonso Loaiza Pérez interpuso recurso de amparo contra (i) la sentencia núm. 250/2021, de 13 de octubre, del Juzgado de lo Penal núm. 20 de Madrid, que condenó al recurrente como autor un delito de injurias graves a la Policía Municipal de Madrid (art. 504.2 CP), en el procedimiento abreviado núm. 107-2020; (ii) la sentencia núm. 483/2022, de 6 de Septiembre, de la Sección Segunda de la Audiencia Provincial de Madrid, que confirmó la condena en apelación (recurso de apelación núm. 1869-2021); y (iii) la providencia de 20 de julio de 2023 de la Sala de lo Penal del Tribunal Supremo que inadmitió el recurso de casación planteado contra la anterior (recurso de casación núm. 6716-2022).</w:t>
      </w:r>
    </w:p>
    <w:p w14:paraId="6C60D273" w14:textId="77777777" w:rsidR="00C04533" w:rsidRDefault="00C04533" w:rsidP="00C04533">
      <w:pPr>
        <w:pStyle w:val="TextoNormal"/>
      </w:pPr>
    </w:p>
    <w:p w14:paraId="68EDF0F2" w14:textId="77777777" w:rsidR="00C04533" w:rsidRDefault="00C04533" w:rsidP="00C04533">
      <w:pPr>
        <w:pStyle w:val="TextoNormal"/>
      </w:pPr>
      <w:r>
        <w:t xml:space="preserve">La Sala, tras el examen liminar del recurso, que es el que corresponde a esta fase del procedimiento, aprecia que las vulneraciones de derechos fundamentales aducidas en la demanda no carecen </w:t>
      </w:r>
      <w:r w:rsidRPr="00C04533">
        <w:rPr>
          <w:i/>
        </w:rPr>
        <w:t>prima facie</w:t>
      </w:r>
      <w:r>
        <w:t xml:space="preserve"> de verosimilitud.</w:t>
      </w:r>
    </w:p>
    <w:p w14:paraId="6944323D" w14:textId="77777777" w:rsidR="00C04533" w:rsidRDefault="00C04533" w:rsidP="00C04533">
      <w:pPr>
        <w:pStyle w:val="TextoNormal"/>
      </w:pPr>
    </w:p>
    <w:p w14:paraId="23D6CA81" w14:textId="77777777" w:rsidR="00C04533" w:rsidRDefault="00C04533" w:rsidP="00C04533">
      <w:pPr>
        <w:pStyle w:val="TextoNormal"/>
      </w:pPr>
      <w:r>
        <w:t xml:space="preserve">Asimismo, la Sala aprecia que concurre en el recurso una especial trascendencia [art. 50.1 de la Ley Orgánica del Tribunal Constitucional (en adelante, LOTC)], porque el recurso puede dar ocasión al Tribunal para aclarar o cambiar su doctrina como consecuencia de un proceso de reflexión interna [STC 155/2009, FJ 2 b)]. En línea con lo defendido por el recurrente al justificar el interés constitucional de la demanda, tanto las circunstancias del caso como el tipo penal aplicado (art. 504.2 CP: injurias a los cuerpos y fuerzas de seguridad) entroncan con la necesidad de distinguir desde la perspectiva </w:t>
      </w:r>
      <w:r w:rsidRPr="00C04533">
        <w:rPr>
          <w:i/>
        </w:rPr>
        <w:t>iusfundamental</w:t>
      </w:r>
      <w:r>
        <w:t xml:space="preserve"> concernida entre las manifestaciones proferidas por una persona en el (pretendido) ejercicio de su libertad de expresión o de información respecto de otra persona y aquellas que atañen a una institución y de fijar su incidencia en los elementos constitucionales decisivos de la compatibilidad de la condena penal por esas manifestaciones con el derecho a la libertad de expresión.</w:t>
      </w:r>
    </w:p>
    <w:p w14:paraId="26B2DAC0" w14:textId="77777777" w:rsidR="00C04533" w:rsidRDefault="00C04533" w:rsidP="00C04533">
      <w:pPr>
        <w:pStyle w:val="TextoNormal"/>
      </w:pPr>
    </w:p>
    <w:p w14:paraId="74D0954F" w14:textId="4B64605E" w:rsidR="00C04533" w:rsidRDefault="00C04533" w:rsidP="00C04533">
      <w:pPr>
        <w:pStyle w:val="TextoNormal"/>
      </w:pPr>
      <w:r>
        <w:t xml:space="preserve">Se trata de una cuestión sobre la que ya hay pronunciamientos de este tribunal, pero controvertidos y, a la postre, diversos de los que luego ha adoptado el Tribunal Europeo de Derechos Humanos. En efecto, tanto en el asunto de la condena por el delito de injurias contra la Corona (art. 490.3 CP) por la quema de la fotografía de los reyes de España (STC 177/2015, de 22 de julio, y STEDH de 13 de marzo de 2018, asunto </w:t>
      </w:r>
      <w:r w:rsidRPr="00C04533">
        <w:rPr>
          <w:i/>
        </w:rPr>
        <w:t>Stern Taulats y Roura Capellera c. España</w:t>
      </w:r>
      <w:r>
        <w:t xml:space="preserve">) como en el caso de la condena por ultrajes a España (art. 543 CP) por los insultos a la bandera (STC 190/2020, de 15 de diciembre, y STEDH de 8 de junio de 2023, asunto </w:t>
      </w:r>
      <w:r w:rsidRPr="00C04533">
        <w:rPr>
          <w:i/>
        </w:rPr>
        <w:t>Fragoso Dacosta c. España</w:t>
      </w:r>
      <w:r>
        <w:t>), este tribunal descartó que dichas condenas supusieran una vulneración del derecho a la libertad de expresión (art. 20.1 CE), si bien de forma no unánime. Y en ambos casos el Tribunal Europeo de Derechos Humanos ha apreciado la violación del art. 10 CEDH por entender que se había restringido desproporcionadamente la libertad de expresión, para lo que resultó determinante que las expresiones cuestionadas no se dirigieron contra una persona, sino a un símbolo o una institución (</w:t>
      </w:r>
      <w:r w:rsidRPr="00C04533">
        <w:rPr>
          <w:i/>
        </w:rPr>
        <w:t>Stern Taulas</w:t>
      </w:r>
      <w:r>
        <w:t xml:space="preserve">, § 32 y 36, y </w:t>
      </w:r>
      <w:r w:rsidRPr="00C04533">
        <w:rPr>
          <w:i/>
        </w:rPr>
        <w:t>Fragoso Dacosta</w:t>
      </w:r>
      <w:r>
        <w:t>, § 26 y 30). El presente recurso de amparo ofrece a este tribunal la oportunidad de reflexionar y precisar los criterios constitucionales que dilucidan los conflictos entre la libertad de expresión y la afectación al honor personal y al prestigio de las instituciones y símbolos del Estado.</w:t>
      </w:r>
    </w:p>
    <w:p w14:paraId="60F10566" w14:textId="77777777" w:rsidR="00C04533" w:rsidRDefault="00C04533" w:rsidP="00C04533">
      <w:pPr>
        <w:pStyle w:val="TextoNormal"/>
      </w:pPr>
    </w:p>
    <w:p w14:paraId="77A9DCBB" w14:textId="77777777" w:rsidR="00C04533" w:rsidRDefault="00C04533" w:rsidP="00C04533">
      <w:pPr>
        <w:pStyle w:val="TextoNormal"/>
      </w:pPr>
      <w:r>
        <w:t>Por lo expuesto, la Sala</w:t>
      </w:r>
    </w:p>
    <w:p w14:paraId="6C7531F0" w14:textId="6709A272" w:rsidR="00C04533" w:rsidRDefault="00C04533" w:rsidP="00C04533">
      <w:pPr>
        <w:pStyle w:val="TextoNormal"/>
      </w:pPr>
    </w:p>
    <w:p w14:paraId="3806567E" w14:textId="77777777" w:rsidR="00C04533" w:rsidRDefault="00C04533" w:rsidP="00C04533">
      <w:pPr>
        <w:pStyle w:val="TextoNormalCentrado"/>
      </w:pPr>
      <w:r>
        <w:t>ACUERDA</w:t>
      </w:r>
    </w:p>
    <w:p w14:paraId="1A72537D" w14:textId="2EF99643" w:rsidR="00C04533" w:rsidRDefault="00C04533" w:rsidP="00C04533">
      <w:pPr>
        <w:pStyle w:val="TextoNormalCentrado"/>
      </w:pPr>
    </w:p>
    <w:p w14:paraId="107B7712" w14:textId="77777777" w:rsidR="00C04533" w:rsidRDefault="00C04533" w:rsidP="00C04533">
      <w:pPr>
        <w:pStyle w:val="TextoNormal"/>
      </w:pPr>
      <w:r>
        <w:t>1º Admitir a trámite el recurso de amparo, apreciando que concurre en el mismo una especial trascendencia constitucional [art. 50.1 b) LOTC] porque el recurso puede dar ocasión al Tribunal para aclarar o cambiar su doctrina como consecuencia de un proceso de reflexión interna [STC 155/2009, FJ 2 b)].</w:t>
      </w:r>
    </w:p>
    <w:p w14:paraId="18B4B237" w14:textId="77777777" w:rsidR="00C04533" w:rsidRDefault="00C04533" w:rsidP="00C04533">
      <w:pPr>
        <w:pStyle w:val="TextoNormal"/>
      </w:pPr>
    </w:p>
    <w:p w14:paraId="11C7BAB1" w14:textId="44D69301" w:rsidR="00C04533" w:rsidRDefault="00C04533" w:rsidP="00C04533">
      <w:pPr>
        <w:pStyle w:val="TextoNormal"/>
      </w:pPr>
      <w:r>
        <w:t>2º En aplicación de lo dispuesto en el art. 51 LOTC, requerir al Juzgado de lo Penal núm. 20 de Madrid, a fin de que, en plazo que no exceda de diez días, remita certificación o fotocopia adverada de las actuaciones correspondientes al procedimiento abreviado núm. 107-2020, así como emplazar a quienes hubieran sido parte en el procedimiento, excepto a la parte recurrente en amparo, para que en el plazo de diez días puedan comparecer, si lo desean, en el presente recurso. Requerir también, en el mismo sentido y con el mismo plazo, a la Sección Segunda de la Audiencia Provincial de Madrid para que remita certificación o fotocopia adverada de las actuaciones correspondientes al recurso de apelación núm. 1869-2021 y a la Sala de lo Penal del Tribunal Supremo para que remita certificación o fotocopia adverada de las actuaciones correspondientes al recurso de casación núm. 6716-2022.</w:t>
      </w:r>
    </w:p>
    <w:p w14:paraId="02F5EEBC" w14:textId="77777777" w:rsidR="00C04533" w:rsidRDefault="00C04533" w:rsidP="00C04533">
      <w:pPr>
        <w:pStyle w:val="TextoNormal"/>
      </w:pPr>
    </w:p>
    <w:p w14:paraId="1204F6E4" w14:textId="77777777" w:rsidR="00C04533" w:rsidRDefault="00C04533" w:rsidP="00C04533">
      <w:pPr>
        <w:pStyle w:val="TextoNormal"/>
      </w:pPr>
      <w:r>
        <w:t>Madrid, a veintitrés de septiembre de dos mil veinticuatro.</w:t>
      </w:r>
    </w:p>
    <w:p w14:paraId="0207C64B" w14:textId="7F4EEDC7" w:rsidR="00C04533" w:rsidRDefault="00C04533" w:rsidP="00C04533">
      <w:pPr>
        <w:pStyle w:val="ParrafoNormal"/>
      </w:pPr>
    </w:p>
    <w:p w14:paraId="61948B67" w14:textId="77777777" w:rsidR="00C04533" w:rsidRDefault="00C04533" w:rsidP="00C04533">
      <w:pPr>
        <w:pStyle w:val="TextoNormalNegritaCentrado"/>
        <w:keepNext/>
      </w:pPr>
      <w:r>
        <w:t>Voto particular que formula el magistrado don Enrique Arnaldo Alcubilla al auto de la Sala Segunda que admite a trámite el recurso de amparo núm. 7286-2023</w:t>
      </w:r>
    </w:p>
    <w:p w14:paraId="4C7CB8B8" w14:textId="67C73DA3" w:rsidR="00C04533" w:rsidRDefault="00C04533" w:rsidP="00C04533">
      <w:pPr>
        <w:pStyle w:val="TextoNormalNegritaCentrado"/>
        <w:keepNext/>
      </w:pPr>
    </w:p>
    <w:p w14:paraId="0F9DE50A" w14:textId="77777777" w:rsidR="00C04533" w:rsidRDefault="00C04533" w:rsidP="00C04533">
      <w:pPr>
        <w:pStyle w:val="TextoNormal"/>
      </w:pPr>
      <w:r>
        <w:t>1. En el ejercicio de la facultad que me confiere el art. 90.2 de la Ley Orgánica del Tribunal Constitucional (LOTC) y con respeto a la opinión de mis compañeros, formulo el presente voto particular al auto de admisión del recurso de amparo promovido contra la providencia de la Sala de lo Penal del Tribunal Supremo que inadmitió el recurso de casación interpuesto contra la sentencia de la Sección Segunda de la Audiencia Provincial de Madrid que confirmó a su vez la dictada por el Juzgado de lo Penal núm. 20 de Madrid, por la que se condenó al demandante de amparo, como autor responsable de un delito de injurias graves a la Policía Municipal de Madrid (art. 504.2 CP), a la pena de catorce meses de multa con cuota diaria de cinco euros, con responsabilidad personal subsidiaria de un día de privación de libertad por cada dos cuotas impagadas, así como a un cuarto de las costas judiciales y a dar publicidad de dicha resolución en la red social Twitter.</w:t>
      </w:r>
    </w:p>
    <w:p w14:paraId="3CE6400C" w14:textId="77777777" w:rsidR="00C04533" w:rsidRDefault="00C04533" w:rsidP="00C04533">
      <w:pPr>
        <w:pStyle w:val="TextoNormal"/>
      </w:pPr>
    </w:p>
    <w:p w14:paraId="51F01974" w14:textId="77777777" w:rsidR="00C04533" w:rsidRDefault="00C04533" w:rsidP="00C04533">
      <w:pPr>
        <w:pStyle w:val="TextoNormal"/>
      </w:pPr>
      <w:r>
        <w:t>Considero que el recurso de amparo no debió ser admitido a trámite, por carecer de especial trascendencia constitucional (sin perjuicio de advertir que albergo asimismo serias reservas sobre la verosimilitud de la lesión de derechos alegada).</w:t>
      </w:r>
    </w:p>
    <w:p w14:paraId="2FD1AB67" w14:textId="77777777" w:rsidR="00C04533" w:rsidRDefault="00C04533" w:rsidP="00C04533">
      <w:pPr>
        <w:pStyle w:val="TextoNormal"/>
      </w:pPr>
    </w:p>
    <w:p w14:paraId="31FA4007" w14:textId="77777777" w:rsidR="00C04533" w:rsidRDefault="00C04533" w:rsidP="00C04533">
      <w:pPr>
        <w:pStyle w:val="TextoNormal"/>
      </w:pPr>
      <w:r>
        <w:t xml:space="preserve">2. En el auto del que discrepo, la especial trascendencia constitucional ha sido apreciada por el motivo b) del fundamento jurídico 2 de la STC 155/2009 (el recurso da “ocasión al Tribunal Constitucional para aclarar o cambiar su doctrina, como consecuencia de un proceso de reflexión interna”), pues, a partir de la doctrina del Tribunal Europeo de Derechos Humanos sentada en las SSTEDH asunto </w:t>
      </w:r>
      <w:r w:rsidRPr="00C04533">
        <w:rPr>
          <w:i/>
        </w:rPr>
        <w:t>Stern Taulats y Roura Capellera c. España</w:t>
      </w:r>
      <w:r>
        <w:t xml:space="preserve">, y asunto </w:t>
      </w:r>
      <w:r w:rsidRPr="00C04533">
        <w:rPr>
          <w:i/>
        </w:rPr>
        <w:t>Fragoso Dacosta c. España</w:t>
      </w:r>
      <w:r>
        <w:t>, “ofrece a este tribunal la oportunidad de reflexionar y precisar los criterios constitucionales que dilucidan los conflictos entre la libertad de expresión y la afectación al honor personal y al prestigio de las instituciones y símbolos del Estado”.</w:t>
      </w:r>
    </w:p>
    <w:p w14:paraId="3970A42B" w14:textId="77777777" w:rsidR="00C04533" w:rsidRDefault="00C04533" w:rsidP="00C04533">
      <w:pPr>
        <w:pStyle w:val="TextoNormal"/>
      </w:pPr>
    </w:p>
    <w:p w14:paraId="1D8538B4" w14:textId="77777777" w:rsidR="00C04533" w:rsidRDefault="00C04533" w:rsidP="00C04533">
      <w:pPr>
        <w:pStyle w:val="TextoNormal"/>
      </w:pPr>
      <w:r>
        <w:t xml:space="preserve">Soy consciente de la facultad de la que goza este tribunal de apreciar en cada caso concreto la concurrencia de la especial trascendencia constitucional, con independencia de la carga de justificación que se impone al demandante de amparo en el art. 49.1 </w:t>
      </w:r>
      <w:r w:rsidRPr="00C04533">
        <w:rPr>
          <w:i/>
        </w:rPr>
        <w:t>in fine</w:t>
      </w:r>
      <w:r>
        <w:t xml:space="preserve"> LOTC [STC 155/2009, FJ 2)]. Ello no obstante, tal facultad no impide alertar de que el Tribunal Constitucional no debe deslizarse por la peligrosa pendiente de apreciar la concurrencia de especial trascendencia constitucional acudiendo a un motivo aparente (como sucede en el caso que nos atañe), so riesgo de convertir a la jurisdicción constitucional en una suerte de nueva instancia revisora de lo decidido (hasta en tres ocasiones en el presente supuesto) por la jurisdicción ordinaria, más aún cuando existe una consolidada jurisprudencia constitucional en la materia que se dice que debe aclararse o precisarse. Por todas, podemos recordar la STC 151/1997, de 29 de septiembre, FJ 4, en la que, con concreta referencia al principio de legalidad penal se explicaba, respecto al alcance del control constitucional sobre “la interpretación y aplicación de los preceptos sancionadores efectuados por los órganos judiciales”, que “es ajena al contenido propio de nuestra jurisdicción la interpretación última del contenido de los tipos sancionadores y el control de la corrección del proceso de subsunción de los hechos probados en los preceptos aplicados”, por cuanto “desde la perspectiva constitucional, no toda interpretación y aplicación aparentemente incorrecta, inoportuna o inadecuada de un tipo sancionador comporta una vulneración del principio de legalidad ni la del derecho fundamental que, </w:t>
      </w:r>
      <w:r w:rsidRPr="00C04533">
        <w:rPr>
          <w:i/>
        </w:rPr>
        <w:t>ex</w:t>
      </w:r>
      <w:r>
        <w:t xml:space="preserve"> art. 25.1 CE, lo tiene por contenido”.</w:t>
      </w:r>
    </w:p>
    <w:p w14:paraId="2FD65EDE" w14:textId="77777777" w:rsidR="00C04533" w:rsidRDefault="00C04533" w:rsidP="00C04533">
      <w:pPr>
        <w:pStyle w:val="TextoNormal"/>
      </w:pPr>
    </w:p>
    <w:p w14:paraId="5C41C01C" w14:textId="77777777" w:rsidR="00C04533" w:rsidRDefault="00C04533" w:rsidP="00C04533">
      <w:pPr>
        <w:pStyle w:val="TextoNormal"/>
      </w:pPr>
      <w:r>
        <w:t xml:space="preserve">No es correcto, en definitiva, admitir un recurso de amparo por apreciar que en él concurre especial trascendencia constitucional al socaire del motivo relacionado en la letra b) del fundamento jurídico 2 de la STC 155/2009, cuando, como sucede en el presente recurso de amparo, este no ofrece la oportunidad, en contra de lo que se afirma en el auto del que discrepo, de “reflexionar y precisar los criterios constitucionales que dilucidan los conflictos entre la libertad de expresión y la afectación al honor personal y al prestigio de las instituciones y símbolos del Estado”. Y no ofrece tal oportunidad por la sencilla razón de que nuestra doctrina, sintetizada entre otras, en las SSTC 190/2020, FJ 4, y 83/2023, de 4 de julio, FJ 4, amén de la ya citada STC 151/1997, FJ 4, no solo es suficiente, además de clara y coherente, sino que es constante y congruente con la doctrina del Tribunal Europeo de Derechos Humanos citada en el auto (SSTEDH asunto </w:t>
      </w:r>
      <w:r w:rsidRPr="00C04533">
        <w:rPr>
          <w:i/>
        </w:rPr>
        <w:t>Stern Taulats y Roura Capellera c. España</w:t>
      </w:r>
      <w:r>
        <w:t xml:space="preserve">, y asunto </w:t>
      </w:r>
      <w:r w:rsidRPr="00C04533">
        <w:rPr>
          <w:i/>
        </w:rPr>
        <w:t>Fragoso Dacosta c. España</w:t>
      </w:r>
      <w:r>
        <w:t xml:space="preserve">) y, sustancialmente, con la STEDH de 15 de marzo de 2011, asunto </w:t>
      </w:r>
      <w:r w:rsidRPr="00C04533">
        <w:rPr>
          <w:i/>
        </w:rPr>
        <w:t>Otegui Mondragón c. España</w:t>
      </w:r>
      <w:r>
        <w:t>, que versa sobre un supuesto muy semejante al que nos atañe: injurias contra una institución del Estado.</w:t>
      </w:r>
    </w:p>
    <w:p w14:paraId="361DD5F5" w14:textId="77777777" w:rsidR="00C04533" w:rsidRDefault="00C04533" w:rsidP="00C04533">
      <w:pPr>
        <w:pStyle w:val="TextoNormal"/>
      </w:pPr>
    </w:p>
    <w:p w14:paraId="42F742C6" w14:textId="77777777" w:rsidR="00C04533" w:rsidRDefault="00C04533" w:rsidP="00C04533">
      <w:pPr>
        <w:pStyle w:val="TextoNormal"/>
      </w:pPr>
      <w:r>
        <w:t>A fin de dotar de certeza a dicho aserto es conveniente recordar, siquiera sucintamente, nuestra doctrina. Podrá entonces constatarse que no hay nada que precisar ni aclarar a la vista del presente recurso de amparo.</w:t>
      </w:r>
    </w:p>
    <w:p w14:paraId="28A489D1" w14:textId="77777777" w:rsidR="00C04533" w:rsidRDefault="00C04533" w:rsidP="00C04533">
      <w:pPr>
        <w:pStyle w:val="TextoNormal"/>
      </w:pPr>
    </w:p>
    <w:p w14:paraId="0F2C3CCE" w14:textId="77777777" w:rsidR="00C04533" w:rsidRDefault="00C04533" w:rsidP="00C04533">
      <w:pPr>
        <w:pStyle w:val="TextoNormal"/>
      </w:pPr>
      <w:r>
        <w:t>3. Así, conviene recordar que en la STC 190/2020, este tribunal desestimó el recurso de amparo interpuesto de quien fuera condenado como autor de un delito de ultraje a la bandera (art. 543 CP) en atención a las circunstancias concurrentes, pues “el control de constitucionalidad que a este tribunal corresponde llevar a cabo en este tipo de supuestos debe quedar limitado, antes de entrar en aspectos de legalidad penal ordinaria referidos a la concreta aplicación del tipo penal (art. 25.1 CE), a verificar si las sentencias impugnadas, al imponer la condena penal, han valorado como cuestión previa si la conducta enjuiciada constituye un ejercicio lícito del derecho fundamental a la libertad de expresión [art. 20.1 a) CE] y si, en ese marco de valoración, han ponderado las diversas circunstancias concurrentes en el caso, pues así lo impone el principio de supremacía de la Constitución y de respeto a los derechos fundamentales”.</w:t>
      </w:r>
    </w:p>
    <w:p w14:paraId="46A0203F" w14:textId="77777777" w:rsidR="00C04533" w:rsidRDefault="00C04533" w:rsidP="00C04533">
      <w:pPr>
        <w:pStyle w:val="TextoNormal"/>
      </w:pPr>
    </w:p>
    <w:p w14:paraId="18737050" w14:textId="77777777" w:rsidR="00C04533" w:rsidRDefault="00C04533" w:rsidP="00C04533">
      <w:pPr>
        <w:pStyle w:val="TextoNormal"/>
      </w:pPr>
      <w:r>
        <w:t xml:space="preserve">Es cierto que el Tribunal Europeo de Derechos Humanos declaró en su STEDH asunto </w:t>
      </w:r>
      <w:r w:rsidRPr="00C04533">
        <w:rPr>
          <w:i/>
        </w:rPr>
        <w:t>Fragoso Dacosta c. España</w:t>
      </w:r>
      <w:r>
        <w:t>, la violación del art. 10 CEDH, pero no lo hizo porque entendiera errónea o insuficiente la doctrina del Tribunal Constitucional relativa al derecho a la libertad de expresión en supuestos de conflicto con el derecho al honor de las instituciones del Estado, sino porque “la sanción penal impuesta al demandante, en las circunstancias particulares del caso, fue desproporcionada con respecto al objetivo perseguido” (§ 33). Es decir, porque, “teniendo en cuenta las circunstancias del caso, el Tribunal no está convencido de que las autoridades nacionales hayan logrado un equilibrio justo entre los intereses pertinentes en juego al condenar al demandante y al imponerle una sanción tan excesiva” (§ 34).</w:t>
      </w:r>
    </w:p>
    <w:p w14:paraId="1DA2B0BC" w14:textId="77777777" w:rsidR="00C04533" w:rsidRDefault="00C04533" w:rsidP="00C04533">
      <w:pPr>
        <w:pStyle w:val="TextoNormal"/>
      </w:pPr>
    </w:p>
    <w:p w14:paraId="6C55CEB4" w14:textId="77777777" w:rsidR="00C04533" w:rsidRDefault="00C04533" w:rsidP="00C04533">
      <w:pPr>
        <w:pStyle w:val="TextoNormal"/>
      </w:pPr>
      <w:r>
        <w:t>La precisión es relevante, pues no puede confundirse la diferente interpretación de las circunstancias ponderables en aquel supuesto, que es lo que condujo a la declaración de violación del art. 10 CEDH por parte del Tribunal Europeo de Derechos Humanos, con la necesidad de aclarar o modificar nuestra doctrina constitucional, cuando, se insiste, es absolutamente conforme con la de dicho tribunal.</w:t>
      </w:r>
    </w:p>
    <w:p w14:paraId="01D48ED1" w14:textId="77777777" w:rsidR="00C04533" w:rsidRDefault="00C04533" w:rsidP="00C04533">
      <w:pPr>
        <w:pStyle w:val="TextoNormal"/>
      </w:pPr>
    </w:p>
    <w:p w14:paraId="78348182" w14:textId="77777777" w:rsidR="00C04533" w:rsidRDefault="00C04533" w:rsidP="00C04533">
      <w:pPr>
        <w:pStyle w:val="TextoNormal"/>
      </w:pPr>
      <w:r>
        <w:t xml:space="preserve">Debe asimismo recodarse que en la STC 83/2023, FJ 4 (en la que existe una verdadera identidad conductual con el presente caso: injurias vertidas en Internet por un profesional de la información) afirmamos, en cuanto al contenido de la pretendida especial trascendencia constitucional se trata, que: “El nivel de tolerancia debe ser aún mayor cuando las expresiones críticas se dirigen a los representantes políticos, autoridades y cargos públicos. Respecto a estos, el Tribunal Europeo de Derechos Humanos ha señalado que ‘los límites a la crítica aceptable son más amplios con respecto a un político que actúa en su capacidad pública que en relación con un individuo privado. Quienes participan voluntariamente en el debate político público quedan expuestos, de forma inevitable y consciente, al escrutinio minucioso de sus acciones y manifestaciones, tanto por parte de los periodistas como del público en general, por lo que deben mostrar un mayor grado de tolerancia, especialmente, cuando hacen declaraciones públicas que son susceptibles de crítica. Ciertamente tienen derecho a que se proteja su reputación, aun cuando no actúen en condición de particular, pero los requisitos de esta protección deben sopesarse frente a los intereses de la discusión abierta de cuestiones políticas, ya que las excepciones a la libertad de expresión deben interpretarse estrictamente’ (STEDH de 28 de septiembre de 2000, asunto </w:t>
      </w:r>
      <w:r w:rsidRPr="00C04533">
        <w:rPr>
          <w:i/>
        </w:rPr>
        <w:t>Lopes Gomes da Silva c. Portugal</w:t>
      </w:r>
      <w:r>
        <w:t>, § 30)”.</w:t>
      </w:r>
    </w:p>
    <w:p w14:paraId="2A0FD7D1" w14:textId="77777777" w:rsidR="00C04533" w:rsidRDefault="00C04533" w:rsidP="00C04533">
      <w:pPr>
        <w:pStyle w:val="TextoNormal"/>
      </w:pPr>
    </w:p>
    <w:p w14:paraId="07993846" w14:textId="77777777" w:rsidR="00C04533" w:rsidRDefault="00C04533" w:rsidP="00C04533">
      <w:pPr>
        <w:pStyle w:val="TextoNormal"/>
      </w:pPr>
      <w:r>
        <w:t xml:space="preserve">Y en la STC 190/2020, FJ 5 d), dijimos, con reconocimiento de la doctrina contenida en la STEDH asunto </w:t>
      </w:r>
      <w:r w:rsidRPr="00C04533">
        <w:rPr>
          <w:i/>
        </w:rPr>
        <w:t>Otegi Mondragón c. España</w:t>
      </w:r>
      <w:r>
        <w:t xml:space="preserve">, que “tanto la doctrina de este tribunal (SSTC 177/2015; 112/2016[, de 20 de junio], o 35/2020, [de 25 de febrero,] por todas) como la del Tribunal Europeo de Derechos Humanos (SSTEDH de 15 de marzo de 2011, asunto </w:t>
      </w:r>
      <w:r w:rsidRPr="00C04533">
        <w:rPr>
          <w:i/>
        </w:rPr>
        <w:t>Otegi Mondragón c. España</w:t>
      </w:r>
      <w:r>
        <w:t xml:space="preserve">; de 14 de marzo de 2013, asunto </w:t>
      </w:r>
      <w:r w:rsidRPr="00C04533">
        <w:rPr>
          <w:i/>
        </w:rPr>
        <w:t>Eón c. Francia</w:t>
      </w:r>
      <w:r>
        <w:t xml:space="preserve">, o de 13 de marzo de 2018, </w:t>
      </w:r>
      <w:r w:rsidRPr="00C04533">
        <w:rPr>
          <w:i/>
        </w:rPr>
        <w:t>asunto Stern Taulats y Roura Capellera c. España</w:t>
      </w:r>
      <w:r>
        <w:t>, por todas) conceden un amplio margen al ejercicio de la libertad de expresión, permitiendo incluso la puesta en escena de actitudes provocadoras, que se utilizan para llamar la atención de la opinión pública y transmitir un mensaje crítico, aunque lo sea con expresiones hirientes o mal sonantes para los personajes con relevancia pública”.</w:t>
      </w:r>
    </w:p>
    <w:p w14:paraId="42583E55" w14:textId="77777777" w:rsidR="00C04533" w:rsidRDefault="00C04533" w:rsidP="00C04533">
      <w:pPr>
        <w:pStyle w:val="TextoNormal"/>
      </w:pPr>
    </w:p>
    <w:p w14:paraId="65167B08" w14:textId="77777777" w:rsidR="00C04533" w:rsidRDefault="00C04533" w:rsidP="00C04533">
      <w:pPr>
        <w:pStyle w:val="TextoNormal"/>
      </w:pPr>
      <w:r>
        <w:t>4. Considero que no es baladí insistir en que no corresponde al Tribunal Constitucional revisar los múltiples supuestos de hecho imaginables, sustrayendo, por no decir cercenando, las funciones atribuidas a la jurisdicción ordinaria por el art. 117.3 CE. Este tribunal, en el marco de su competencia de tutela de los derechos fundamentales de los ciudadanos, ha de limitarse a admitir y resolver aquellos recursos de amparo en los que, constatándose la lesión de un derecho fundamental, concurra una especial trascendencia constitucional en los términos que señala el art. 50.1 b) LOTC. Se trata, en definitiva, de asuntos que permitan al Tribunal Constitucional configurar una doctrina útil “para la determinación del contenido y alcance de los derechos fundamentales” (en este caso los de la libertad de expresión o información), que pueda servir de faro a la interpretación que de los derechos fundamentales deba darse por los distintos poderes públicos, muy especialmente por los jueces y tribunales de la jurisdicción ordinaria en la resolución de conflictos en cada caso concreto.</w:t>
      </w:r>
    </w:p>
    <w:p w14:paraId="4566D32F" w14:textId="77777777" w:rsidR="00C04533" w:rsidRDefault="00C04533" w:rsidP="00C04533">
      <w:pPr>
        <w:pStyle w:val="TextoNormal"/>
      </w:pPr>
    </w:p>
    <w:p w14:paraId="74D315AC" w14:textId="77777777" w:rsidR="00C04533" w:rsidRDefault="00C04533" w:rsidP="00C04533">
      <w:pPr>
        <w:pStyle w:val="TextoNormal"/>
      </w:pPr>
      <w:r>
        <w:t xml:space="preserve">Partiendo de dicha premisa considero que la doctrina de este tribunal contenida en las sentencias citadas </w:t>
      </w:r>
      <w:r w:rsidRPr="00C04533">
        <w:rPr>
          <w:i/>
        </w:rPr>
        <w:t>ut supra</w:t>
      </w:r>
      <w:r>
        <w:t xml:space="preserve"> (entre otras muchas sobre esta misma cuestión) es perfectamente aplicable al supuesto que nos concierne que, recordamos, se concreta, según el relato de hechos probados de la sentencia del Juzgado de lo Penal núm. 20 de Madrid en que el demandante, “de profesión periodista y residente en Barcelona, tenía una cuenta en la red social Twitter, que contaba el día 19 de abril con 56 800 seguidores. Los días 15 y 16 de marzo de 2018 publicó varios mensajes, en uno de ellos expresaba: ‘Orgullo de manteros concentrados en Lavapiés. Hoy ha muerto Mame Mbaye cuando era perseguido por la policía. Su único delito: carecer de unos papeles. No se ha muerto solo ni es una muerte natural, es un asesinato y es culpable el Estado policial español’. Dicho mensaje fue reenviado por 367 personas. En un segundo mensaje decía: ‘El nombre de Mame Mbaye y su cara no saldrán en ninguna televisión. No era dueño de nada y solo tenía sus manos para sobrevivir de mantero como buenamente podía. Llevaba trece años residiendo en España. La policía lo ha asesinado. Para el Estado no era un ser humano. Lavapiés’. Al mensaje adjuntó una fotografía de la persona fallecida y sobre ella escrito el nombre de Mame Mbaye y en la parte inferior el siguiente mensaje: ‘Asesinado por la Policía de Madrid. El mejor homenaje luchar contra la represión del Estado[.] ¡Salgamos a las calles! Dicho mensaje fue reenviado por 274 personas. En un tercer mensaje expresó: ‘Esto decían en un chat de @policíademadrid sobre los migrantes. El juez no vio delito de odio y siguieron patrullando. Ayer este cuerpo policial fue responsable de la muerte de Mame Mbaye’”.</w:t>
      </w:r>
    </w:p>
    <w:p w14:paraId="75F47010" w14:textId="77777777" w:rsidR="00C04533" w:rsidRDefault="00C04533" w:rsidP="00C04533">
      <w:pPr>
        <w:pStyle w:val="TextoNormal"/>
      </w:pPr>
    </w:p>
    <w:p w14:paraId="2FBC97D2" w14:textId="77777777" w:rsidR="00C04533" w:rsidRDefault="00C04533" w:rsidP="00C04533">
      <w:pPr>
        <w:pStyle w:val="TextoNormal"/>
      </w:pPr>
      <w:r>
        <w:t>Ninguna de tales afirmaciones del demandante de amparo resultó ser cierta, pues, según resulta del relato de hechos probados de la sentencia del Juzgado de lo Penal núm. 20 de Madrid [al que el Tribunal Constitucional ha de atenerse conforme establece el art. 44.1 b) LOTC], confirmada en apelación, que le condenó como autor responsable de un delito de injurias graves a la Policía Municipal de Madrid, Mame Mbaye falleció “por parada cardiorrespiratoria” y los agentes actuantes se limitaron a asistirle cuando se desvaneció, pues “iniciaron maniobras de reanimación, dando aviso a un equipo del Samur, que personado en el lugar, continuó con dichas maniobras, pese a lo cual no se pudo evitar el fallecimiento”.</w:t>
      </w:r>
    </w:p>
    <w:p w14:paraId="6ECB1250" w14:textId="77777777" w:rsidR="00C04533" w:rsidRDefault="00C04533" w:rsidP="00C04533">
      <w:pPr>
        <w:pStyle w:val="TextoNormal"/>
      </w:pPr>
    </w:p>
    <w:p w14:paraId="3113CB50" w14:textId="77777777" w:rsidR="00C04533" w:rsidRDefault="00C04533" w:rsidP="00C04533">
      <w:pPr>
        <w:pStyle w:val="TextoNormal"/>
      </w:pPr>
      <w:r>
        <w:t>5. No es momento, en esta fase de admisión del recurso de amparo, de pronunciarse acerca de la lesión constitucional denunciada en el caso concreto (aunque pudieran albergarse dudas sobre su verosimilitud, como ya adelanté), ni tampoco de advertir sobre los efectos perversos que en la sociedad pueden producir este tipo de mensajes de contenido netamente ofensivo como los que de manera irresponsable lanzó el demandante de amparo.</w:t>
      </w:r>
    </w:p>
    <w:p w14:paraId="3D54313D" w14:textId="77777777" w:rsidR="00C04533" w:rsidRDefault="00C04533" w:rsidP="00C04533">
      <w:pPr>
        <w:pStyle w:val="TextoNormal"/>
      </w:pPr>
    </w:p>
    <w:p w14:paraId="74BB9B07" w14:textId="77777777" w:rsidR="00C04533" w:rsidRDefault="00C04533" w:rsidP="00C04533">
      <w:pPr>
        <w:pStyle w:val="TextoNormal"/>
      </w:pPr>
      <w:r>
        <w:t xml:space="preserve">Pero sí nos hallamos ante la ocasión de advertir que la concurrencia de la especial trascendencia constitucional, como requisito para la admisión del recurso de amparo avalado por la STEDH de 20 de enero de 2015, asunto </w:t>
      </w:r>
      <w:r w:rsidRPr="00C04533">
        <w:rPr>
          <w:i/>
        </w:rPr>
        <w:t>Arribas Antón c. España</w:t>
      </w:r>
      <w:r>
        <w:t>, debe ser apreciada por el Tribunal Constitucional con el debido rigor, para no confundir lo relevante con lo superfluo. En el caso presente, la especial trascendencia constitucional apreciada por la mayoría de la Sala en el auto del que discrepo se me antoja inexistente, pues nada puede añadir de novedoso la sentencia que en su día se dicte sobre el fondo del asunto a la consolidada doctrina constitucional relativa a los derechos fundamentales cuya pretendida lesión se denuncia en el recurso de amparo (derechos a la libertad de expresión, a la tutela judicial efectiva, a un proceso público con todas las garantías y a la presunción de inocencia).</w:t>
      </w:r>
    </w:p>
    <w:p w14:paraId="53AD75C9" w14:textId="77777777" w:rsidR="00C04533" w:rsidRDefault="00C04533" w:rsidP="00C04533">
      <w:pPr>
        <w:pStyle w:val="TextoNormal"/>
      </w:pPr>
    </w:p>
    <w:p w14:paraId="045FAC5C" w14:textId="77777777" w:rsidR="00C04533" w:rsidRDefault="00C04533" w:rsidP="00C04533">
      <w:pPr>
        <w:pStyle w:val="TextoNormal"/>
      </w:pPr>
      <w:r>
        <w:t>Por ello considero que la falta de concurrencia del requisito sustantivo de la especial trascendencia constitucional [art. 50.1 b) LOTC] debió conducir a este tribunal a acordar la inadmisión del presente recurso de amparo.</w:t>
      </w:r>
    </w:p>
    <w:p w14:paraId="44E37D29" w14:textId="77777777" w:rsidR="00C04533" w:rsidRDefault="00C04533" w:rsidP="00C04533">
      <w:pPr>
        <w:pStyle w:val="TextoNormal"/>
      </w:pPr>
    </w:p>
    <w:p w14:paraId="4FAC7DCF" w14:textId="66456F13" w:rsidR="00C04533" w:rsidRDefault="00C04533" w:rsidP="00C04533">
      <w:pPr>
        <w:pStyle w:val="TextoNormal"/>
      </w:pPr>
      <w:r>
        <w:t>Madrid, a veintitrés de septiembre de dos mil veinticuatro.</w:t>
      </w:r>
    </w:p>
    <w:p w14:paraId="282154C5" w14:textId="21BDD625" w:rsidR="00C04533" w:rsidRDefault="00C04533">
      <w:pPr>
        <w:spacing w:after="160" w:line="278" w:lineRule="auto"/>
        <w:rPr>
          <w:rFonts w:ascii="Times New Roman" w:eastAsia="Times New Roman" w:hAnsi="Times New Roman" w:cs="Times New Roman"/>
          <w:sz w:val="24"/>
          <w:szCs w:val="24"/>
          <w:lang w:eastAsia="es-ES"/>
        </w:rPr>
      </w:pPr>
      <w:r>
        <w:br w:type="page"/>
      </w:r>
    </w:p>
    <w:p w14:paraId="5F8078BD" w14:textId="77777777" w:rsidR="00C04533" w:rsidRDefault="00C04533" w:rsidP="00C04533">
      <w:pPr>
        <w:pStyle w:val="TtuloResolucin"/>
      </w:pPr>
      <w:bookmarkStart w:id="92" w:name="AUTO_2024_86"/>
      <w:r>
        <w:t>AUTO 86/2024, de 23 de septiembre de 2024</w:t>
      </w:r>
    </w:p>
    <w:bookmarkEnd w:id="92"/>
    <w:p w14:paraId="3126ADD4" w14:textId="77777777" w:rsidR="00C04533" w:rsidRDefault="00C04533" w:rsidP="00C04533">
      <w:pPr>
        <w:pStyle w:val="TtuloResolucin"/>
      </w:pPr>
      <w:r>
        <w:t>Sala Segunda</w:t>
      </w:r>
    </w:p>
    <w:p w14:paraId="4465F485" w14:textId="77777777" w:rsidR="00C04533" w:rsidRDefault="00C04533" w:rsidP="00C04533">
      <w:pPr>
        <w:pStyle w:val="TextoNormalCentrado"/>
      </w:pPr>
      <w:r>
        <w:t>ECLI:ES:TC:2024:86A</w:t>
      </w:r>
    </w:p>
    <w:p w14:paraId="4E086B1B" w14:textId="3401CEC4" w:rsidR="00C04533" w:rsidRDefault="00C04533" w:rsidP="00C04533">
      <w:pPr>
        <w:pStyle w:val="TextoNormalCentrado"/>
      </w:pPr>
    </w:p>
    <w:p w14:paraId="2808B9A5" w14:textId="77777777" w:rsidR="00C04533" w:rsidRDefault="00C04533" w:rsidP="00C04533">
      <w:pPr>
        <w:pStyle w:val="SntesisDescriptiva"/>
      </w:pPr>
      <w:r>
        <w:t>Excms. Srs. doña Inmaculada Montalbán Huertas, doña María Luisa Balaguer Callejón, don Ramón Sáez Valcárcel, don Enrique Arnaldo Alcubilla, don César Tolosa Tribiño y doña Laura Díez Bueso.</w:t>
      </w:r>
    </w:p>
    <w:p w14:paraId="4C2A330E" w14:textId="09F57150" w:rsidR="00C04533" w:rsidRDefault="00C04533" w:rsidP="00C04533">
      <w:pPr>
        <w:pStyle w:val="SntesisDescriptiva"/>
      </w:pPr>
    </w:p>
    <w:p w14:paraId="10BE3CA8" w14:textId="77777777" w:rsidR="00C04533" w:rsidRDefault="00C04533" w:rsidP="00C04533">
      <w:pPr>
        <w:pStyle w:val="SntesisDescriptiva"/>
      </w:pPr>
      <w:r>
        <w:t>Acuerda la suspensión en el recurso de amparo 420-2024, promovida por doña Natividad Jauregi Espina en causa penal.</w:t>
      </w:r>
    </w:p>
    <w:p w14:paraId="6150B31E" w14:textId="6FF47876" w:rsidR="00C04533" w:rsidRDefault="00C04533" w:rsidP="00C04533">
      <w:pPr>
        <w:pStyle w:val="SntesisDescriptiva"/>
      </w:pPr>
    </w:p>
    <w:p w14:paraId="75E52534" w14:textId="77777777" w:rsidR="00C04533" w:rsidRDefault="00C04533" w:rsidP="00C04533">
      <w:pPr>
        <w:pStyle w:val="SntesisDescriptiva"/>
      </w:pPr>
    </w:p>
    <w:p w14:paraId="5C3561EB" w14:textId="77777777" w:rsidR="00C04533" w:rsidRDefault="00C04533" w:rsidP="00C04533">
      <w:pPr>
        <w:pStyle w:val="SntesisDescriptiva"/>
      </w:pPr>
    </w:p>
    <w:p w14:paraId="798D9045" w14:textId="77777777" w:rsidR="00C04533" w:rsidRDefault="00C04533" w:rsidP="00C04533">
      <w:pPr>
        <w:pStyle w:val="TextoNormalNegritaCentrado"/>
      </w:pPr>
      <w:r>
        <w:t>AUTO</w:t>
      </w:r>
    </w:p>
    <w:p w14:paraId="45378E3B" w14:textId="7F584CF7" w:rsidR="00C04533" w:rsidRDefault="00C04533" w:rsidP="00C04533">
      <w:pPr>
        <w:pStyle w:val="TextoNormalNegritaCentrado"/>
      </w:pPr>
    </w:p>
    <w:p w14:paraId="4341537C" w14:textId="77777777" w:rsidR="00C04533" w:rsidRDefault="00C04533" w:rsidP="00C04533">
      <w:pPr>
        <w:pStyle w:val="TextoNormalNegritaCentrado"/>
        <w:keepNext/>
      </w:pPr>
      <w:r>
        <w:t>I. Antecedentes</w:t>
      </w:r>
    </w:p>
    <w:p w14:paraId="413C3FFF" w14:textId="3F6FE8C3" w:rsidR="00C04533" w:rsidRDefault="00C04533" w:rsidP="00C04533">
      <w:pPr>
        <w:pStyle w:val="TextoNormalNegritaCentrado"/>
        <w:keepNext/>
      </w:pPr>
    </w:p>
    <w:p w14:paraId="544F6F43" w14:textId="77777777" w:rsidR="00C04533" w:rsidRDefault="00C04533" w:rsidP="00C04533">
      <w:pPr>
        <w:pStyle w:val="TextoNormal"/>
      </w:pPr>
      <w:r w:rsidRPr="00C04533">
        <w:rPr>
          <w:rStyle w:val="NumeroAFNegritaCaracter"/>
        </w:rPr>
        <w:t>1</w:t>
      </w:r>
      <w:r>
        <w:t xml:space="preserve">. Por escrito registrado en este tribunal el 22 de enero de 2024, la representación procesal de doña Natividad Jauregi Espina, bajo la dirección del letrado don Alfonso Zenon Castro y la representación procesal de don Javier Cuevas Rivas, interpuso recurso de amparo contra los autos de la Sección Segunda de la Sala de lo Penal de la Audiencia Nacional, de 2 de noviembre de 2023, que acordaba la adopción de medidas cautelares —comparecencias </w:t>
      </w:r>
      <w:r w:rsidRPr="00C04533">
        <w:rPr>
          <w:i/>
        </w:rPr>
        <w:t>apud acta</w:t>
      </w:r>
      <w:r>
        <w:t>, designación de domicilio, prohibición de salida del territorio nacional y retirada de pasaporte— una vez declarada la extinción de la responsabilidad criminal por razón de prescripción [art. 131.1 del Código penal (CP)], y de 20 de noviembre de 2023, que la confirmó.</w:t>
      </w:r>
    </w:p>
    <w:p w14:paraId="0193459E" w14:textId="77777777" w:rsidR="00C04533" w:rsidRDefault="00C04533" w:rsidP="00C04533">
      <w:pPr>
        <w:pStyle w:val="TextoNormal"/>
      </w:pPr>
    </w:p>
    <w:p w14:paraId="3567D730" w14:textId="77777777" w:rsidR="00C04533" w:rsidRDefault="00C04533" w:rsidP="00C04533">
      <w:pPr>
        <w:pStyle w:val="TextoNormal"/>
      </w:pPr>
      <w:r>
        <w:t>La recurrente alega que las resoluciones impugnadas vulneran su derecho fundamental a la tutela judicial efectiva, a un proceso con todas las garantías (art. 24.1 CE) y el derecho a la libertad (art. 17 CE) toda vez que las resoluciones judiciales impugnadas habrían impuesto unas medidas cautelares de carácter personal de forma sorpresiva, sin que nadie las haya solicitado y en el seno de un procedimiento que tenía por objeto resolver únicamente sobre la concurrencia de un artículo de previo pronunciamiento.</w:t>
      </w:r>
    </w:p>
    <w:p w14:paraId="6C89405C" w14:textId="77777777" w:rsidR="00C04533" w:rsidRDefault="00C04533" w:rsidP="00C04533">
      <w:pPr>
        <w:pStyle w:val="TextoNormal"/>
      </w:pPr>
    </w:p>
    <w:p w14:paraId="113277D4" w14:textId="77777777" w:rsidR="00C04533" w:rsidRDefault="00C04533" w:rsidP="00C04533">
      <w:pPr>
        <w:pStyle w:val="TextoNormal"/>
      </w:pPr>
      <w:r>
        <w:t>En este sentido, sostiene la demandante que el art. 675 de la Ley de enjuiciamiento criminal (LECrim) nada establece sobre la posibilidad de acordar medidas cautelares por lo que, una vez acordado el sobreseimiento libre por razón de prescripción (art. 131.1 CP) y alzada la medida de prisión provisional, procedía acordar la libertad sin someter aquella a medida cautelar alguna. Insiste en este punto señalando que, una vez decretado el archivo definitivo no existe procedimiento judicial propiamente dicho, siendo que el recurso de casación interpuesto por el Ministerio Fiscal y la acusación particular al auto de sobreseimiento libre no tiene efecto suspensivo.</w:t>
      </w:r>
    </w:p>
    <w:p w14:paraId="237A0D71" w14:textId="77777777" w:rsidR="00C04533" w:rsidRDefault="00C04533" w:rsidP="00C04533">
      <w:pPr>
        <w:pStyle w:val="TextoNormal"/>
      </w:pPr>
    </w:p>
    <w:p w14:paraId="7E489C17" w14:textId="77777777" w:rsidR="00C04533" w:rsidRDefault="00C04533" w:rsidP="00C04533">
      <w:pPr>
        <w:pStyle w:val="TextoNormal"/>
      </w:pPr>
      <w:r>
        <w:t>Por último, consigna que la decisión adoptada por la Sección Segunda de la Sala de lo Penal de la Audiencia Nacional habría supuesto una afectación de su derecho fundamental a la libertad (art. 17.1 CE) dado que ha quedado obligada a comparecer mensualmente ante el juzgado impidiéndosele, de esta manera, abandonar territorio español para regresar a Bélgica, lugar donde reside y trabaja.</w:t>
      </w:r>
    </w:p>
    <w:p w14:paraId="0838DA0F" w14:textId="77777777" w:rsidR="00C04533" w:rsidRDefault="00C04533" w:rsidP="00C04533">
      <w:pPr>
        <w:pStyle w:val="TextoNormal"/>
      </w:pPr>
    </w:p>
    <w:p w14:paraId="549A9554" w14:textId="73D9D1DA" w:rsidR="00C04533" w:rsidRDefault="00C04533" w:rsidP="00C04533">
      <w:pPr>
        <w:pStyle w:val="TextoNormal"/>
      </w:pPr>
      <w:r>
        <w:t xml:space="preserve">En la demanda de amparo se solicita por otrosí que se acuerde la suspensión cautelar de las resoluciones impugnadas. Se argumenta la referida petición de suspensión en la afirmación de que el mantenimiento de la medida cautelar acordada implica una grave afectación del derecho a la libertad (art. 17.1 CE) pues le impediría regresar a su domicilio. Considera que la suspensión no originaría una perturbación grave de los intereses generales siendo previsible, por otra parte, que el recurso de casación interpuesto por el Ministerio Fiscal frente al auto de sobreseimiento libre haya sido resuelto antes de la resolución del presente recurso de amparo, lo que eliminaría las posibilidades de reparación </w:t>
      </w:r>
      <w:r w:rsidRPr="00C04533">
        <w:rPr>
          <w:i/>
        </w:rPr>
        <w:t>in integrum</w:t>
      </w:r>
      <w:r>
        <w:t xml:space="preserve"> de la lesión aducida.</w:t>
      </w:r>
    </w:p>
    <w:p w14:paraId="77980517" w14:textId="77777777" w:rsidR="00C04533" w:rsidRDefault="00C04533" w:rsidP="00C04533">
      <w:pPr>
        <w:pStyle w:val="TextoNormal"/>
      </w:pPr>
    </w:p>
    <w:p w14:paraId="00D18012" w14:textId="77777777" w:rsidR="00C04533" w:rsidRDefault="00C04533" w:rsidP="00C04533">
      <w:pPr>
        <w:pStyle w:val="TextoNormal"/>
      </w:pPr>
      <w:r w:rsidRPr="00C04533">
        <w:rPr>
          <w:rStyle w:val="NumeroAFNegritaCaracter"/>
        </w:rPr>
        <w:t>2</w:t>
      </w:r>
      <w:r>
        <w:t>. La Sección Cuarta de este tribunal, por providencia de 3 de junio de 2024, acordó la admisión a trámite del presente recurso de amparo, apreciando que concurre en el mismo especial trascendencia constitucional [art. 50.1 de la Ley Orgánica del Tribunal Constitucional (LOTC)] porque el recurso plantea un problema o afecta a una faceta de un derecho fundamental sobre el que no hay doctrina de este tribunal [STC 155/2009, de 25 de junio, FJ 2 a)]. Esta misma providencia acordaba, en consecuencia, dirigir atenta comunicación a la Sección Segunda de la Sala de lo Penal de la Audiencia Nacional a fin de que, en plazo que no excediera de diez días, remitiera copia adverada de las actuaciones correspondientes al rollo de Sala núm. 105-1983. Se acordaba asimismo emplazar a quienes hubieran sido parte en el citado procedimiento, a excepción de la parte recurrente, para que en el plazo de diez días puedieran comparecer en el presente recurso de amparo.</w:t>
      </w:r>
    </w:p>
    <w:p w14:paraId="07AD45CE" w14:textId="77777777" w:rsidR="00C04533" w:rsidRDefault="00C04533" w:rsidP="00C04533">
      <w:pPr>
        <w:pStyle w:val="TextoNormal"/>
      </w:pPr>
    </w:p>
    <w:p w14:paraId="3CD584FA" w14:textId="5E854DD6" w:rsidR="00C04533" w:rsidRDefault="00C04533" w:rsidP="00C04533">
      <w:pPr>
        <w:pStyle w:val="TextoNormal"/>
      </w:pPr>
      <w:r>
        <w:t>Por providencia de esa misma fecha, la Sección Cuarta del Tribunal Constitucional acordó formar la oportuna pieza de suspensión, en los términos del art. 56 LOTC, concediendo un plazo común de tres días al recurrente y al Ministerio Fiscal para alegaciones.</w:t>
      </w:r>
    </w:p>
    <w:p w14:paraId="3AF8415C" w14:textId="77777777" w:rsidR="00C04533" w:rsidRDefault="00C04533" w:rsidP="00C04533">
      <w:pPr>
        <w:pStyle w:val="TextoNormal"/>
      </w:pPr>
    </w:p>
    <w:p w14:paraId="7A0F50D4" w14:textId="3332933F" w:rsidR="00C04533" w:rsidRDefault="00C04533" w:rsidP="00C04533">
      <w:pPr>
        <w:pStyle w:val="TextoNormal"/>
      </w:pPr>
      <w:r w:rsidRPr="00C04533">
        <w:rPr>
          <w:rStyle w:val="NumeroAFNegritaCaracter"/>
        </w:rPr>
        <w:t>3</w:t>
      </w:r>
      <w:r>
        <w:t>. En escrito registrado el 10 de junio de 2024, la representación procesal de la demandante de amparo ratificó su petición de suspensión argumentando que el paso del tiempo y la permanencia de las resoluciones impugnadas podrían convertir en ilusoria la eventual estimación del amparo. A ello añade que a la restricción de la libertad generada por las resoluciones impugnadas se han de unir obligatoriamente los tres años ya sufridos en régimen de prisión provisional, por lo que el mantenimiento de las medidas cautelares adoptadas por la Audiencia Nacional no solo le impide retornar a su domicilio, sino que “le va a suponer con toda probabilidad la pérdida de su puesto de trabajo, que es su sustento vital, y la rescisión del contrato de alquiler de su vivienda habitual, además de sus relaciones sociales y vecinales de los últimos años”. Finalmente, acaba solicitando que se valore la posibilidad de la satisfacción de una fianza como condición de suspensión, tal y como permite el art. 56.5 LOTC.</w:t>
      </w:r>
    </w:p>
    <w:p w14:paraId="75AB3310" w14:textId="77777777" w:rsidR="00C04533" w:rsidRDefault="00C04533" w:rsidP="00C04533">
      <w:pPr>
        <w:pStyle w:val="TextoNormal"/>
      </w:pPr>
    </w:p>
    <w:p w14:paraId="0C53F4F4" w14:textId="77777777" w:rsidR="00C04533" w:rsidRDefault="00C04533" w:rsidP="00C04533">
      <w:pPr>
        <w:pStyle w:val="TextoNormal"/>
      </w:pPr>
      <w:r w:rsidRPr="00C04533">
        <w:rPr>
          <w:rStyle w:val="NumeroAFNegritaCaracter"/>
        </w:rPr>
        <w:t>4</w:t>
      </w:r>
      <w:r>
        <w:t>. En escrito registrado el 20 de junio de 2024, el representante del Ministerio Fiscal ante este tribunal, tras exponer la doctrina constitucional derivada de la aplicación del art. 56 LOTC, interesa la estimación de la pretensión principal de suspensión que ha sido formulada, esto es, de la suspensión de las medidas cautelares acordadas. Tal pretensión viene justificada en tres argumentos diferentes: (i) la estimación tardía del recurso de amparo impediría el restablecimiento en el derecho constitucional vulnerado teniendo, en consecuencia, un efecto “ilusorio y nominal”; (ii) la resolución judicial impugnada en el procedimiento primigenio —auto de sobreseimiento libre— no necesita de ninguna medida cautelar para asegurar su cumplimiento; (iii) aunque las medidas cautelares acordadas son menos aflictivas que la prisión provisional que supone la completa privación de libertad, no por ello dejan de ser medidas cautelares que restringen significativamente la libertad personal de la recurrente.</w:t>
      </w:r>
    </w:p>
    <w:p w14:paraId="02E3C424" w14:textId="77777777" w:rsidR="00C04533" w:rsidRDefault="00C04533" w:rsidP="00C04533">
      <w:pPr>
        <w:pStyle w:val="TextoNormal"/>
      </w:pPr>
    </w:p>
    <w:p w14:paraId="09BC9397" w14:textId="08E2E493" w:rsidR="00C04533" w:rsidRDefault="00C04533" w:rsidP="00C04533">
      <w:pPr>
        <w:pStyle w:val="TextoNormal"/>
      </w:pPr>
      <w:r>
        <w:t>Termina señalando que la situación personal sufrida por las medidas restrictivas de libertad es irreparable y menoscaba la finalidad del amparo si este fuera finalmente otorgado, no derivándose, además, una perturbación a los intereses generales pues aquellas habrían sido adoptadas “en un auto en el que se acuerda el sobreseimiento libre y tan solo está pendiente del recurso de casación interpuesto contra el mismo por la acusación particular y el Ministerio Fiscal”.</w:t>
      </w:r>
    </w:p>
    <w:p w14:paraId="354611E8" w14:textId="77777777" w:rsidR="00C04533" w:rsidRDefault="00C04533" w:rsidP="00C04533">
      <w:pPr>
        <w:pStyle w:val="TextoNormal"/>
      </w:pPr>
    </w:p>
    <w:p w14:paraId="5DF717AF" w14:textId="77777777" w:rsidR="00C04533" w:rsidRDefault="00C04533" w:rsidP="00C04533">
      <w:pPr>
        <w:pStyle w:val="TextoNormalNegritaCentrado"/>
        <w:keepNext/>
      </w:pPr>
      <w:r>
        <w:t>II. Fundamentos jurídicos</w:t>
      </w:r>
    </w:p>
    <w:p w14:paraId="46A50100" w14:textId="43242D9F" w:rsidR="00C04533" w:rsidRDefault="00C04533" w:rsidP="00C04533">
      <w:pPr>
        <w:pStyle w:val="TextoNormalNegritaCentrado"/>
        <w:keepNext/>
      </w:pPr>
    </w:p>
    <w:p w14:paraId="60A4C816" w14:textId="77777777" w:rsidR="00C04533" w:rsidRDefault="00C04533" w:rsidP="00C04533">
      <w:pPr>
        <w:pStyle w:val="TextoNormal"/>
      </w:pPr>
      <w:r w:rsidRPr="00C04533">
        <w:rPr>
          <w:rStyle w:val="NumeroAFNegritaCaracter"/>
        </w:rPr>
        <w:t>1</w:t>
      </w:r>
      <w:r>
        <w:t>. Dispone el artículo 56.2 de la Ley Orgánica del Tribunal Constitucional (LOTC)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aquella pueda seguirse perturbación grave a un interés constitucionalmente protegido, o de los derechos fundamentales o libertades públicas de un tercero.</w:t>
      </w:r>
    </w:p>
    <w:p w14:paraId="18742054" w14:textId="77777777" w:rsidR="00C04533" w:rsidRDefault="00C04533" w:rsidP="00C04533">
      <w:pPr>
        <w:pStyle w:val="TextoNormal"/>
      </w:pPr>
    </w:p>
    <w:p w14:paraId="338DBE42" w14:textId="77777777" w:rsidR="00C04533" w:rsidRDefault="00C04533" w:rsidP="00C04533">
      <w:pPr>
        <w:pStyle w:val="TextoNormal"/>
      </w:pPr>
      <w:r>
        <w:t>El Pleno de este tribunal, en el ATC 55/2018, de 22 de mayo, ha tenido oportunidad de recordar que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 Así, hemos reiterado que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este sentido, entre otros muchos, se pronuncian los AATC 2/2001, de 15 de enero; 4/2006, de 16 de enero, y 127/2010, de 4 de octubre).</w:t>
      </w:r>
    </w:p>
    <w:p w14:paraId="328EABCD" w14:textId="77777777" w:rsidR="00C04533" w:rsidRDefault="00C04533" w:rsidP="00C04533">
      <w:pPr>
        <w:pStyle w:val="TextoNormal"/>
      </w:pPr>
    </w:p>
    <w:p w14:paraId="05F3F6F1" w14:textId="77777777" w:rsidR="00C04533" w:rsidRDefault="00C04533" w:rsidP="00C04533">
      <w:pPr>
        <w:pStyle w:val="TextoNormal"/>
      </w:pPr>
      <w:r>
        <w:t>De esta manera, la adopción de la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14:paraId="0C30E5C8" w14:textId="77777777" w:rsidR="00C04533" w:rsidRDefault="00C04533" w:rsidP="00C04533">
      <w:pPr>
        <w:pStyle w:val="TextoNormal"/>
      </w:pPr>
    </w:p>
    <w:p w14:paraId="59BB206D" w14:textId="77777777" w:rsidR="00C04533" w:rsidRDefault="00C04533" w:rsidP="00C04533">
      <w:pPr>
        <w:pStyle w:val="TextoNormal"/>
      </w:pPr>
      <w:r>
        <w:t>En relación con las medidas cautelares privativas de libertad, ha sido además criterio de este tribunal considerar que cuando el recurso de amparo tiene como objeto resoluciones que establecen medidas de este carácter, la ejecución de aquellas normalmente vacía de toda trascendencia práctica efectiva a las sentencias que con posterioridad pueden otorgar el amparo solicitado, haciéndoles así perder su finalidad (ATC 169/1995, de 5 de junio, FJ 2). Por ello, hemos reiterado también que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En base a esta doctrina, hemos afirmado, por lo tanto, que en aquellos casos en los que la decisión judicial cuestionada en el proceso de amparo sea o traiga causa, a su vez, de una medida cautelar privativa de libertad, no es posible dejar la misma sin efecto acordando cautelarmente su suspensión o medida equivalente pues, en tales casos, acceder a la solicitud equivaldría a un otorgamiento anticipado del amparo solicitado (AATC 202/1999, de 22 de julio; 4/2006, de 16 de enero, y 22/2018, de 7 de marzo).</w:t>
      </w:r>
    </w:p>
    <w:p w14:paraId="45743F64" w14:textId="77777777" w:rsidR="00C04533" w:rsidRDefault="00C04533" w:rsidP="00C04533">
      <w:pPr>
        <w:pStyle w:val="TextoNormal"/>
      </w:pPr>
    </w:p>
    <w:p w14:paraId="322B586D" w14:textId="135A1A12" w:rsidR="00C04533" w:rsidRDefault="00C04533" w:rsidP="00C04533">
      <w:pPr>
        <w:pStyle w:val="TextoNormal"/>
      </w:pPr>
      <w:r>
        <w:t>Esta doctrina general, no obstante, ha sido objeto de matización en diferentes pronunciamientos. Así, en el ATC 94/2010, de 19 de julio, FJ 2, consignamos que, cuando el objeto de recurso son resoluciones judiciales, el seguimiento apodíctico de la regla general anteriormente expuesta supondría que “nunca cabría la suspensión […] al convertirse la perturbación del interés general en causa de denegación de la misma”. Por ello, “[l]a mera perturbación que provoca ya la pérdida de ejecutividad de una resolución judicial no puede impedir por sí sola la suspensión (ATC 169/1995)” lo que ha de llevar, en orden a una eventual aplicación del art. 56 LOTC, a efectuar un análisis de las circunstancias concurrentes “valorando los intereses en conflicto”.</w:t>
      </w:r>
    </w:p>
    <w:p w14:paraId="5857A4FE" w14:textId="77777777" w:rsidR="00C04533" w:rsidRDefault="00C04533" w:rsidP="00C04533">
      <w:pPr>
        <w:pStyle w:val="TextoNormal"/>
      </w:pPr>
    </w:p>
    <w:p w14:paraId="7C94902F" w14:textId="77777777" w:rsidR="00C04533" w:rsidRDefault="00C04533" w:rsidP="00C04533">
      <w:pPr>
        <w:pStyle w:val="TextoNormal"/>
      </w:pPr>
      <w:r w:rsidRPr="00C04533">
        <w:rPr>
          <w:rStyle w:val="NumeroAFNegritaCaracter"/>
        </w:rPr>
        <w:t>2</w:t>
      </w:r>
      <w:r>
        <w:t>. Pues bien, los casos en los que este tribunal se ha pronunciado —hasta la fecha— en contra de la suspensión de las medidas cautelares acordadas en un proceso penal han sido todos supuestos en los que aquellas iban dirigidas a garantizar el cumplimiento de las resoluciones judiciales o asegurar la presencia del encausado durante la tramitación de dicho procedimiento. De esta manera, sería “la protección que merece el interés general que conlleva la ejecución y efectividad de los actos y decisiones de los poderes públicos”, que cobra especial relieve “cuando se trata de resoluciones dictadas por Jueces y Tribunales en el ejercicio de la potestad jurisdiccional que les confiere el art. 117.3 CE” (ATC 2/2001, de 15 de enero, FJ 1), la que constituye el fundamento mismo de la interpretación restrictiva que tradicionalmente ha efectuado la doctrina de este tribunal sobre la aplicación del art. 56 LOTC y que le ha llevado, en numerosas ocasiones (buen exponente de ello son los recientes AATC 118/2022, de 12 de septiembre; 438/2023, de 26 de septiembre, y 443/2023, de 26 de septiembre, entre otros), a denegar la suspensión de las medidas cautelares adoptadas durante el desarrollo mismo del proceso.</w:t>
      </w:r>
    </w:p>
    <w:p w14:paraId="59108EE2" w14:textId="77777777" w:rsidR="00C04533" w:rsidRDefault="00C04533" w:rsidP="00C04533">
      <w:pPr>
        <w:pStyle w:val="TextoNormal"/>
      </w:pPr>
    </w:p>
    <w:p w14:paraId="528EA86A" w14:textId="77777777" w:rsidR="00C04533" w:rsidRDefault="00C04533" w:rsidP="00C04533">
      <w:pPr>
        <w:pStyle w:val="TextoNormal"/>
      </w:pPr>
      <w:r>
        <w:t>No obstante, el presente caso reviste la particularidad de que la resolución judicial cuyo cumplimiento pretenden garantizar las medidas cautelares impugnadas no es otra que una resolución que acuerda el sobreseimiento libre de las actuaciones (art. 637 LECrim) por razón de prescripción, resolución que, de ordinario y como señala acertadamente el Ministerio Fiscal, no necesita de ninguna medida cautelar para asegurar su cumplimiento al suponer, al igual que la sentencia penal absolutoria, un archivo definitivo y cierre anticipado del proceso y, por lo tanto, su material inexistencia. De esta manera, las medidas acordadas en virtud del auto de 2 de noviembre de 2023, ratificado posteriormente por auto de 20 de noviembre de 2023, no responderían ni al propósito general e inherente a toda medida cautelar que es garantizar el cumplimiento y efectividad de las resoluciones judiciales, ni al específico propósito de garantía y aseguramiento que tienen las medidas de esta naturaleza en el proceso penal, cuales son afianzar la presencia del investigado durante la pendencia o tramitación de aquel.</w:t>
      </w:r>
    </w:p>
    <w:p w14:paraId="33122C4D" w14:textId="77777777" w:rsidR="00C04533" w:rsidRDefault="00C04533" w:rsidP="00C04533">
      <w:pPr>
        <w:pStyle w:val="TextoNormal"/>
      </w:pPr>
    </w:p>
    <w:p w14:paraId="007969DE" w14:textId="77777777" w:rsidR="00C04533" w:rsidRDefault="00C04533" w:rsidP="00C04533">
      <w:pPr>
        <w:pStyle w:val="TextoNormal"/>
      </w:pPr>
      <w:r>
        <w:t>A ello hay que unir el hecho incontrovertido de que las medidas adoptadas producen una importante restricción en el libre ejercicio del derecho a la libertad deambulatoria (art. 17 CE) al quedar la demandante a disposición de la autoridad judicial, a resultas de un proceso —en este momento procesal, inexistente— y con la imposibilidad de abandonar el territorio nacional.</w:t>
      </w:r>
    </w:p>
    <w:p w14:paraId="283BF17A" w14:textId="77777777" w:rsidR="00C04533" w:rsidRDefault="00C04533" w:rsidP="00C04533">
      <w:pPr>
        <w:pStyle w:val="TextoNormal"/>
      </w:pPr>
    </w:p>
    <w:p w14:paraId="77F3A9EC" w14:textId="6E6FB180" w:rsidR="00C04533" w:rsidRDefault="00C04533" w:rsidP="00C04533">
      <w:pPr>
        <w:pStyle w:val="TextoNormal"/>
      </w:pPr>
      <w:r>
        <w:t>Por todo ello, teniendo en cuenta la excepcionalidad de las circunstancias planteadas en este caso y la inexistencia de una perturbación grave del interés general, consideramos procedente decretar la suspensión cautelar tratando así de evitar que la previsible duración de este amparo pudiera conllevar la inefectividad de un eventual pronunciamiento estimatorio del recurso.</w:t>
      </w:r>
    </w:p>
    <w:p w14:paraId="751470B1" w14:textId="77777777" w:rsidR="00C04533" w:rsidRDefault="00C04533" w:rsidP="00C04533">
      <w:pPr>
        <w:pStyle w:val="TextoNormal"/>
      </w:pPr>
    </w:p>
    <w:p w14:paraId="6B28C1CC" w14:textId="77777777" w:rsidR="00C04533" w:rsidRDefault="00C04533" w:rsidP="00C04533">
      <w:pPr>
        <w:pStyle w:val="TextoNormal"/>
      </w:pPr>
      <w:r>
        <w:t>Por lo expuesto, la Sala</w:t>
      </w:r>
    </w:p>
    <w:p w14:paraId="68E272C8" w14:textId="525A3ED1" w:rsidR="00C04533" w:rsidRDefault="00C04533" w:rsidP="00C04533">
      <w:pPr>
        <w:pStyle w:val="TextoNormal"/>
      </w:pPr>
    </w:p>
    <w:p w14:paraId="21684572" w14:textId="77777777" w:rsidR="00C04533" w:rsidRDefault="00C04533" w:rsidP="00C04533">
      <w:pPr>
        <w:pStyle w:val="TextoNormalCentrado"/>
      </w:pPr>
      <w:r>
        <w:t>ACUERDA</w:t>
      </w:r>
    </w:p>
    <w:p w14:paraId="010754AF" w14:textId="11486570" w:rsidR="00C04533" w:rsidRDefault="00C04533" w:rsidP="00C04533">
      <w:pPr>
        <w:pStyle w:val="TextoNormalCentrado"/>
      </w:pPr>
    </w:p>
    <w:p w14:paraId="18A12E9B" w14:textId="73BE09A1" w:rsidR="00C04533" w:rsidRDefault="00C04533" w:rsidP="00C04533">
      <w:pPr>
        <w:pStyle w:val="TextoNormal"/>
      </w:pPr>
      <w:r>
        <w:t xml:space="preserve">Suspender la ejecución de las medidas cautelares consistentes en comparecencias </w:t>
      </w:r>
      <w:r w:rsidRPr="00C04533">
        <w:rPr>
          <w:i/>
        </w:rPr>
        <w:t>apud acta</w:t>
      </w:r>
      <w:r>
        <w:t>, designación de domicilio, prohibición de salida del territorio nacional y retirada de pasaporte, adoptadas en auto de 2 de noviembre de 2023 dictado por la Sección Segunda de la Sala de lo Penal de la Audiencia Nacional en el seno del procedimiento sumario núm. 68-1983.</w:t>
      </w:r>
    </w:p>
    <w:p w14:paraId="5BF3A36E" w14:textId="77777777" w:rsidR="00C04533" w:rsidRDefault="00C04533" w:rsidP="00C04533">
      <w:pPr>
        <w:pStyle w:val="TextoNormal"/>
      </w:pPr>
    </w:p>
    <w:p w14:paraId="230D9C53" w14:textId="77777777" w:rsidR="00C04533" w:rsidRDefault="00C04533" w:rsidP="00C04533">
      <w:pPr>
        <w:pStyle w:val="TextoNormal"/>
      </w:pPr>
      <w:r>
        <w:t>Madrid, a veintitrés de septiembre de dos mil veinticuatro.</w:t>
      </w:r>
    </w:p>
    <w:p w14:paraId="284517C5" w14:textId="7DAD9EE7" w:rsidR="00C04533" w:rsidRDefault="00C04533">
      <w:pPr>
        <w:spacing w:after="160" w:line="278" w:lineRule="auto"/>
        <w:rPr>
          <w:rFonts w:ascii="Times New Roman" w:eastAsia="Times New Roman" w:hAnsi="Times New Roman" w:cs="Times New Roman"/>
          <w:sz w:val="24"/>
          <w:szCs w:val="24"/>
          <w:lang w:eastAsia="es-ES"/>
        </w:rPr>
      </w:pPr>
      <w:r>
        <w:br w:type="page"/>
      </w:r>
    </w:p>
    <w:p w14:paraId="4D870516" w14:textId="77777777" w:rsidR="00C04533" w:rsidRDefault="00C04533" w:rsidP="00C04533">
      <w:pPr>
        <w:pStyle w:val="TtuloResolucin"/>
      </w:pPr>
      <w:bookmarkStart w:id="93" w:name="AUTO_2024_87"/>
      <w:r>
        <w:t>AUTO 87/2024, de 24 de septiembre de 2024</w:t>
      </w:r>
    </w:p>
    <w:bookmarkEnd w:id="93"/>
    <w:p w14:paraId="4EA3EC10" w14:textId="77777777" w:rsidR="00C04533" w:rsidRDefault="00C04533" w:rsidP="00C04533">
      <w:pPr>
        <w:pStyle w:val="TtuloResolucin"/>
      </w:pPr>
      <w:r>
        <w:t>Sección Tercera</w:t>
      </w:r>
    </w:p>
    <w:p w14:paraId="414E80EC" w14:textId="77777777" w:rsidR="00C04533" w:rsidRDefault="00C04533" w:rsidP="00C04533">
      <w:pPr>
        <w:pStyle w:val="TextoNormalCentrado"/>
      </w:pPr>
      <w:r>
        <w:t>ECLI:ES:TC:2024:87A</w:t>
      </w:r>
    </w:p>
    <w:p w14:paraId="0E0DA3E8" w14:textId="3C55C40A" w:rsidR="00C04533" w:rsidRDefault="00C04533" w:rsidP="00C04533">
      <w:pPr>
        <w:pStyle w:val="TextoNormalCentrado"/>
      </w:pPr>
    </w:p>
    <w:p w14:paraId="22539DF1" w14:textId="77777777" w:rsidR="00C04533" w:rsidRDefault="00C04533" w:rsidP="00C04533">
      <w:pPr>
        <w:pStyle w:val="SntesisDescriptiva"/>
      </w:pPr>
      <w:r>
        <w:t>Excms. Srs. doña Inmaculada Montalbán Huertas y doña Laura Díez Bueso.</w:t>
      </w:r>
    </w:p>
    <w:p w14:paraId="38214AF2" w14:textId="70450166" w:rsidR="00C04533" w:rsidRDefault="00C04533" w:rsidP="00C04533">
      <w:pPr>
        <w:pStyle w:val="SntesisDescriptiva"/>
      </w:pPr>
    </w:p>
    <w:p w14:paraId="1DF733F4" w14:textId="77777777" w:rsidR="00C04533" w:rsidRDefault="00C04533" w:rsidP="00C04533">
      <w:pPr>
        <w:pStyle w:val="SntesisDescriptiva"/>
      </w:pPr>
      <w:r>
        <w:t>Acepta una abstención en el recurso de amparo 6251-2022, promovido en proceso contencioso-administrativo.</w:t>
      </w:r>
    </w:p>
    <w:p w14:paraId="080BF65E" w14:textId="4DF72946" w:rsidR="00C04533" w:rsidRDefault="00C04533" w:rsidP="00C04533">
      <w:pPr>
        <w:pStyle w:val="SntesisDescriptiva"/>
      </w:pPr>
    </w:p>
    <w:p w14:paraId="6464E62F" w14:textId="77777777" w:rsidR="00C04533" w:rsidRDefault="00C04533" w:rsidP="00C04533">
      <w:pPr>
        <w:pStyle w:val="SntesisDescriptiva"/>
      </w:pPr>
    </w:p>
    <w:p w14:paraId="53CEE412" w14:textId="77777777" w:rsidR="00C04533" w:rsidRDefault="00C04533" w:rsidP="00C04533">
      <w:pPr>
        <w:pStyle w:val="SntesisDescriptiva"/>
      </w:pPr>
    </w:p>
    <w:p w14:paraId="71F4EA74" w14:textId="77777777" w:rsidR="00C04533" w:rsidRDefault="00C04533" w:rsidP="00C04533">
      <w:pPr>
        <w:pStyle w:val="TextoNormalNegritaCentrado"/>
      </w:pPr>
      <w:r>
        <w:t>AUTO</w:t>
      </w:r>
    </w:p>
    <w:p w14:paraId="20174043" w14:textId="37091199" w:rsidR="00C04533" w:rsidRDefault="00C04533" w:rsidP="00C04533">
      <w:pPr>
        <w:pStyle w:val="TextoNormalNegritaCentrado"/>
      </w:pPr>
    </w:p>
    <w:p w14:paraId="744BA99E" w14:textId="77777777" w:rsidR="00C04533" w:rsidRDefault="00C04533" w:rsidP="00C04533">
      <w:pPr>
        <w:pStyle w:val="TextoNormalNegritaCentrado"/>
        <w:keepNext/>
      </w:pPr>
      <w:r>
        <w:t>I. Antecedentes</w:t>
      </w:r>
    </w:p>
    <w:p w14:paraId="17DDD4B0" w14:textId="34351AA3" w:rsidR="00C04533" w:rsidRDefault="00C04533" w:rsidP="00C04533">
      <w:pPr>
        <w:pStyle w:val="TextoNormalNegritaCentrado"/>
        <w:keepNext/>
      </w:pPr>
    </w:p>
    <w:p w14:paraId="2CEDB71E" w14:textId="4F26DACB" w:rsidR="00C04533" w:rsidRDefault="00C04533" w:rsidP="00C04533">
      <w:pPr>
        <w:pStyle w:val="TextoNormal"/>
      </w:pPr>
      <w:r w:rsidRPr="00C04533">
        <w:rPr>
          <w:rStyle w:val="NumeroAFNegritaCaracter"/>
        </w:rPr>
        <w:t>1</w:t>
      </w:r>
      <w:r>
        <w:t>. Mediante escrito registrado en este tribunal el 22 de septiembre de 2022 el procurador de los tribunales don Javier Fernández Estrada, en nombre y representación de don Joaquim Torra Pla y bajo la dirección del letrado don Gonzalo Boye Tuset, formuló demanda de amparo contra la providencia de 28 de junio de 20022 dictada por la Sección Cuarta de la Sala de lo Contencioso-Administrativo del Tribunal Supremo en el recurso ordinario núm. 348-2019, resolución objeto del presente recurso de amparo.</w:t>
      </w:r>
    </w:p>
    <w:p w14:paraId="62EB0BE0" w14:textId="77777777" w:rsidR="00C04533" w:rsidRDefault="00C04533" w:rsidP="00C04533">
      <w:pPr>
        <w:pStyle w:val="TextoNormal"/>
      </w:pPr>
    </w:p>
    <w:p w14:paraId="4758DC50" w14:textId="065B6061" w:rsidR="00C04533" w:rsidRDefault="00C04533" w:rsidP="00C04533">
      <w:pPr>
        <w:pStyle w:val="TextoNormal"/>
      </w:pPr>
      <w:r w:rsidRPr="00C04533">
        <w:rPr>
          <w:rStyle w:val="NumeroAFNegritaCaracter"/>
        </w:rPr>
        <w:t>2</w:t>
      </w:r>
      <w:r>
        <w:t>. Por escrito de 24 de septiembre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Cuarta de la Sala de lo Contencioso-Administrativo del Tribunal Supremo que dictó la resolución impugnada.</w:t>
      </w:r>
    </w:p>
    <w:p w14:paraId="12B8C879" w14:textId="77777777" w:rsidR="00C04533" w:rsidRDefault="00C04533" w:rsidP="00C04533">
      <w:pPr>
        <w:pStyle w:val="TextoNormal"/>
      </w:pPr>
    </w:p>
    <w:p w14:paraId="1EF5A469" w14:textId="77777777" w:rsidR="00C04533" w:rsidRDefault="00C04533" w:rsidP="00C04533">
      <w:pPr>
        <w:pStyle w:val="TextoNormalNegritaCentrado"/>
        <w:keepNext/>
      </w:pPr>
      <w:r>
        <w:t>II. Fundamentos jurídicos</w:t>
      </w:r>
    </w:p>
    <w:p w14:paraId="6315B5AE" w14:textId="52E7BAC9" w:rsidR="00C04533" w:rsidRDefault="00C04533" w:rsidP="00C04533">
      <w:pPr>
        <w:pStyle w:val="TextoNormalNegritaCentrado"/>
        <w:keepNext/>
      </w:pPr>
    </w:p>
    <w:p w14:paraId="6F681122" w14:textId="19904C7A" w:rsidR="00C04533" w:rsidRDefault="00C04533" w:rsidP="00C04533">
      <w:pPr>
        <w:pStyle w:val="TextoNormal"/>
      </w:pPr>
      <w:r w:rsidRPr="00C04533">
        <w:rPr>
          <w:rStyle w:val="TextoNormalNegritaCaracter"/>
        </w:rPr>
        <w:t xml:space="preserve">Único. </w:t>
      </w:r>
      <w:r>
        <w:t>Vista la comunicación efectuada por don César Tolosa Tribiño, magistrado de este tribunal, en virtud de lo previsto en los arts. 80 de la Ley Orgánica del Tribunal Constitucional (LOTC)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60213BBB" w14:textId="77777777" w:rsidR="00C04533" w:rsidRDefault="00C04533" w:rsidP="00C04533">
      <w:pPr>
        <w:pStyle w:val="TextoNormal"/>
      </w:pPr>
    </w:p>
    <w:p w14:paraId="07B80062" w14:textId="77777777" w:rsidR="00C04533" w:rsidRDefault="00C04533" w:rsidP="00C04533">
      <w:pPr>
        <w:pStyle w:val="TextoNormal"/>
      </w:pPr>
      <w:r>
        <w:t>Por lo expuesto, la Sección</w:t>
      </w:r>
    </w:p>
    <w:p w14:paraId="16CE7989" w14:textId="0A194D52" w:rsidR="00C04533" w:rsidRDefault="00C04533" w:rsidP="00C04533">
      <w:pPr>
        <w:pStyle w:val="TextoNormal"/>
      </w:pPr>
    </w:p>
    <w:p w14:paraId="5C6D13A1" w14:textId="77777777" w:rsidR="00C04533" w:rsidRDefault="00C04533" w:rsidP="00C04533">
      <w:pPr>
        <w:pStyle w:val="TextoNormalCentrado"/>
      </w:pPr>
      <w:r>
        <w:t>ACUERDA</w:t>
      </w:r>
    </w:p>
    <w:p w14:paraId="3AEB4B1A" w14:textId="6FAD0A32" w:rsidR="00C04533" w:rsidRDefault="00C04533" w:rsidP="00C04533">
      <w:pPr>
        <w:pStyle w:val="TextoNormalCentrado"/>
      </w:pPr>
    </w:p>
    <w:p w14:paraId="24AED8EA" w14:textId="62C45D4D" w:rsidR="00C04533" w:rsidRDefault="00C04533" w:rsidP="00C04533">
      <w:pPr>
        <w:pStyle w:val="TextoNormal"/>
      </w:pPr>
      <w:r>
        <w:t>Estimar justificada la abstención formulada por el magistrado don César Tolosa Tribiño en el recurso de amparo núm. 6251-2022 y apartarle definitivamente del conocimiento del referido recurso y de todas sus incidencias.</w:t>
      </w:r>
    </w:p>
    <w:p w14:paraId="7B8CC257" w14:textId="77777777" w:rsidR="00C04533" w:rsidRDefault="00C04533" w:rsidP="00C04533">
      <w:pPr>
        <w:pStyle w:val="TextoNormal"/>
      </w:pPr>
    </w:p>
    <w:p w14:paraId="709B47F0" w14:textId="77777777" w:rsidR="00C04533" w:rsidRDefault="00C04533" w:rsidP="00C04533">
      <w:pPr>
        <w:pStyle w:val="TextoNormal"/>
      </w:pPr>
      <w:r>
        <w:t>Madrid, a veinticuatro de septiembre de dos mil veinticuatro.</w:t>
      </w:r>
    </w:p>
    <w:p w14:paraId="42591C87" w14:textId="6FA83B69" w:rsidR="00C04533" w:rsidRDefault="00C04533">
      <w:pPr>
        <w:spacing w:after="160" w:line="278" w:lineRule="auto"/>
        <w:rPr>
          <w:rFonts w:ascii="Times New Roman" w:eastAsia="Times New Roman" w:hAnsi="Times New Roman" w:cs="Times New Roman"/>
          <w:sz w:val="24"/>
          <w:szCs w:val="24"/>
          <w:lang w:eastAsia="es-ES"/>
        </w:rPr>
      </w:pPr>
      <w:r>
        <w:br w:type="page"/>
      </w:r>
    </w:p>
    <w:p w14:paraId="18AD1116" w14:textId="77777777" w:rsidR="00C04533" w:rsidRDefault="00C04533" w:rsidP="00C04533">
      <w:pPr>
        <w:pStyle w:val="TtuloResolucin"/>
      </w:pPr>
      <w:bookmarkStart w:id="94" w:name="AUTO_2024_88"/>
      <w:r>
        <w:t>AUTO 88/2024, de 24 de septiembre de 2024</w:t>
      </w:r>
    </w:p>
    <w:bookmarkEnd w:id="94"/>
    <w:p w14:paraId="72B13176" w14:textId="77777777" w:rsidR="00C04533" w:rsidRDefault="00C04533" w:rsidP="00C04533">
      <w:pPr>
        <w:pStyle w:val="TtuloResolucin"/>
      </w:pPr>
      <w:r>
        <w:t>Sección Tercera</w:t>
      </w:r>
    </w:p>
    <w:p w14:paraId="2BD132C4" w14:textId="77777777" w:rsidR="00C04533" w:rsidRDefault="00C04533" w:rsidP="00C04533">
      <w:pPr>
        <w:pStyle w:val="TextoNormalCentrado"/>
      </w:pPr>
      <w:r>
        <w:t>ECLI:ES:TC:2024:88A</w:t>
      </w:r>
    </w:p>
    <w:p w14:paraId="7064A83F" w14:textId="60976A2D" w:rsidR="00C04533" w:rsidRDefault="00C04533" w:rsidP="00C04533">
      <w:pPr>
        <w:pStyle w:val="TextoNormalCentrado"/>
      </w:pPr>
    </w:p>
    <w:p w14:paraId="660BC998" w14:textId="77777777" w:rsidR="00C04533" w:rsidRDefault="00C04533" w:rsidP="00C04533">
      <w:pPr>
        <w:pStyle w:val="SntesisDescriptiva"/>
      </w:pPr>
      <w:r>
        <w:t>Excms. Srs. doña Inmaculada Montalbán Huertas y doña Laura Díez Bueso.</w:t>
      </w:r>
    </w:p>
    <w:p w14:paraId="63A7F0EA" w14:textId="3CD22CC1" w:rsidR="00C04533" w:rsidRDefault="00C04533" w:rsidP="00C04533">
      <w:pPr>
        <w:pStyle w:val="SntesisDescriptiva"/>
      </w:pPr>
    </w:p>
    <w:p w14:paraId="71E41907" w14:textId="77777777" w:rsidR="00C04533" w:rsidRDefault="00C04533" w:rsidP="00C04533">
      <w:pPr>
        <w:pStyle w:val="SntesisDescriptiva"/>
      </w:pPr>
      <w:r>
        <w:t>Acepta una abstención en el recurso de amparo 6254-2022, promovido en proceso contencioso administrativo.</w:t>
      </w:r>
    </w:p>
    <w:p w14:paraId="678F8268" w14:textId="078AC63F" w:rsidR="00C04533" w:rsidRDefault="00C04533" w:rsidP="00C04533">
      <w:pPr>
        <w:pStyle w:val="SntesisDescriptiva"/>
      </w:pPr>
    </w:p>
    <w:p w14:paraId="7E53713C" w14:textId="77777777" w:rsidR="00C04533" w:rsidRDefault="00C04533" w:rsidP="00C04533">
      <w:pPr>
        <w:pStyle w:val="SntesisDescriptiva"/>
      </w:pPr>
    </w:p>
    <w:p w14:paraId="4D3C0181" w14:textId="77777777" w:rsidR="00C04533" w:rsidRDefault="00C04533" w:rsidP="00C04533">
      <w:pPr>
        <w:pStyle w:val="SntesisDescriptiva"/>
      </w:pPr>
    </w:p>
    <w:p w14:paraId="223571A3" w14:textId="77777777" w:rsidR="00C04533" w:rsidRDefault="00C04533" w:rsidP="00C04533">
      <w:pPr>
        <w:pStyle w:val="TextoNormalNegritaCentrado"/>
      </w:pPr>
      <w:r>
        <w:t>AUTO</w:t>
      </w:r>
    </w:p>
    <w:p w14:paraId="23F01BD0" w14:textId="4D67CD22" w:rsidR="00C04533" w:rsidRDefault="00C04533" w:rsidP="00C04533">
      <w:pPr>
        <w:pStyle w:val="TextoNormalNegritaCentrado"/>
      </w:pPr>
    </w:p>
    <w:p w14:paraId="02E1ED43" w14:textId="77777777" w:rsidR="00C04533" w:rsidRDefault="00C04533" w:rsidP="00C04533">
      <w:pPr>
        <w:pStyle w:val="TextoNormalNegritaCentrado"/>
        <w:keepNext/>
      </w:pPr>
      <w:r>
        <w:t>I. Antecedentes</w:t>
      </w:r>
    </w:p>
    <w:p w14:paraId="5CBCC24E" w14:textId="5077115D" w:rsidR="00C04533" w:rsidRDefault="00C04533" w:rsidP="00C04533">
      <w:pPr>
        <w:pStyle w:val="TextoNormalNegritaCentrado"/>
        <w:keepNext/>
      </w:pPr>
    </w:p>
    <w:p w14:paraId="4FF2567F" w14:textId="08C878D1" w:rsidR="00C04533" w:rsidRDefault="00C04533" w:rsidP="00C04533">
      <w:pPr>
        <w:pStyle w:val="TextoNormal"/>
      </w:pPr>
      <w:r w:rsidRPr="00C04533">
        <w:rPr>
          <w:rStyle w:val="NumeroAFNegritaCaracter"/>
        </w:rPr>
        <w:t>1</w:t>
      </w:r>
      <w:r>
        <w:t>. Mediante escrito registrado en este tribunal el 22 de septiembre de 2022 el procurador de los tribunales don Javier Fernández Estrada, en nombre y representación de don Joaquim Torra i Pla y bajo la dirección del letrado don Gonzalo Boye Tuset, formuló demanda de amparo contra la providencia de 28 de junio de 2022 dictada por la Sección Cuarta de la Sala de lo Contencioso-Administrativo del Tribunal Supremo en recurso ordinario núm. 8-2020, resolución objeto del presente recurso de amparo.</w:t>
      </w:r>
    </w:p>
    <w:p w14:paraId="7123E698" w14:textId="77777777" w:rsidR="00C04533" w:rsidRDefault="00C04533" w:rsidP="00C04533">
      <w:pPr>
        <w:pStyle w:val="TextoNormal"/>
      </w:pPr>
    </w:p>
    <w:p w14:paraId="37253C16" w14:textId="0AB05B7A" w:rsidR="00C04533" w:rsidRDefault="00C04533" w:rsidP="00C04533">
      <w:pPr>
        <w:pStyle w:val="TextoNormal"/>
      </w:pPr>
      <w:r w:rsidRPr="00C04533">
        <w:rPr>
          <w:rStyle w:val="NumeroAFNegritaCaracter"/>
        </w:rPr>
        <w:t>2</w:t>
      </w:r>
      <w:r>
        <w:t>. Por escrito de 24 de septiembre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Cuarta de la Sala de lo Contencioso-Administrativo del Tribunal Supremo que dictó la resolución impugnada.</w:t>
      </w:r>
    </w:p>
    <w:p w14:paraId="0E06E6BF" w14:textId="77777777" w:rsidR="00C04533" w:rsidRDefault="00C04533" w:rsidP="00C04533">
      <w:pPr>
        <w:pStyle w:val="TextoNormal"/>
      </w:pPr>
    </w:p>
    <w:p w14:paraId="26A47D69" w14:textId="77777777" w:rsidR="00C04533" w:rsidRDefault="00C04533" w:rsidP="00C04533">
      <w:pPr>
        <w:pStyle w:val="TextoNormalNegritaCentrado"/>
        <w:keepNext/>
      </w:pPr>
      <w:r>
        <w:t>II. Fundamentos jurídicos</w:t>
      </w:r>
    </w:p>
    <w:p w14:paraId="51C6023F" w14:textId="34511BCE" w:rsidR="00C04533" w:rsidRDefault="00C04533" w:rsidP="00C04533">
      <w:pPr>
        <w:pStyle w:val="TextoNormalNegritaCentrado"/>
        <w:keepNext/>
      </w:pPr>
    </w:p>
    <w:p w14:paraId="574A6C62" w14:textId="1AE702FB" w:rsidR="00C04533" w:rsidRDefault="00C04533" w:rsidP="00C04533">
      <w:pPr>
        <w:pStyle w:val="TextoNormal"/>
      </w:pPr>
      <w:r w:rsidRPr="00C04533">
        <w:rPr>
          <w:rStyle w:val="TextoNormalNegritaCaracter"/>
        </w:rPr>
        <w:t xml:space="preserve">Único. </w:t>
      </w:r>
      <w:r>
        <w:t>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14:paraId="226C15ED" w14:textId="77777777" w:rsidR="00C04533" w:rsidRDefault="00C04533" w:rsidP="00C04533">
      <w:pPr>
        <w:pStyle w:val="TextoNormal"/>
      </w:pPr>
    </w:p>
    <w:p w14:paraId="0E053FEA" w14:textId="77777777" w:rsidR="00C04533" w:rsidRDefault="00C04533" w:rsidP="00C04533">
      <w:pPr>
        <w:pStyle w:val="TextoNormal"/>
      </w:pPr>
      <w:r>
        <w:t>Por lo expuesto, la Sección</w:t>
      </w:r>
    </w:p>
    <w:p w14:paraId="222585F4" w14:textId="1490B1E4" w:rsidR="00C04533" w:rsidRDefault="00C04533" w:rsidP="00C04533">
      <w:pPr>
        <w:pStyle w:val="TextoNormal"/>
      </w:pPr>
    </w:p>
    <w:p w14:paraId="0A9A773C" w14:textId="77777777" w:rsidR="00C04533" w:rsidRDefault="00C04533" w:rsidP="00C04533">
      <w:pPr>
        <w:pStyle w:val="TextoNormalCentrado"/>
      </w:pPr>
      <w:r>
        <w:t>ACUERDA</w:t>
      </w:r>
    </w:p>
    <w:p w14:paraId="268065EE" w14:textId="26D3135C" w:rsidR="00C04533" w:rsidRDefault="00C04533" w:rsidP="00C04533">
      <w:pPr>
        <w:pStyle w:val="TextoNormalCentrado"/>
      </w:pPr>
    </w:p>
    <w:p w14:paraId="146A74AD" w14:textId="530AC6CC" w:rsidR="00C04533" w:rsidRDefault="00C04533" w:rsidP="00C04533">
      <w:pPr>
        <w:pStyle w:val="TextoNormal"/>
      </w:pPr>
      <w:r>
        <w:t>Estimar justificada la abstención formulada por el magistrado don César Tolosa Tribiño en el recurso de amparo núm. 6254-2022 y apartarle definitivamente del conocimiento del referido recurso y de todas sus incidencias.</w:t>
      </w:r>
    </w:p>
    <w:p w14:paraId="4C3A9F6F" w14:textId="77777777" w:rsidR="00C04533" w:rsidRDefault="00C04533" w:rsidP="00C04533">
      <w:pPr>
        <w:pStyle w:val="TextoNormal"/>
      </w:pPr>
    </w:p>
    <w:p w14:paraId="082F7747" w14:textId="77777777" w:rsidR="00C04533" w:rsidRDefault="00C04533" w:rsidP="00C04533">
      <w:pPr>
        <w:pStyle w:val="TextoNormal"/>
      </w:pPr>
      <w:r>
        <w:t>Madrid, a veinticuatro de septiembre de dos mil veinticuatro.</w:t>
      </w:r>
    </w:p>
    <w:p w14:paraId="290E8496" w14:textId="2D014124" w:rsidR="00C04533" w:rsidRDefault="00C04533">
      <w:pPr>
        <w:spacing w:after="160" w:line="278" w:lineRule="auto"/>
        <w:rPr>
          <w:rFonts w:ascii="Times New Roman" w:eastAsia="Times New Roman" w:hAnsi="Times New Roman" w:cs="Times New Roman"/>
          <w:sz w:val="24"/>
          <w:szCs w:val="24"/>
          <w:lang w:eastAsia="es-ES"/>
        </w:rPr>
      </w:pPr>
      <w:r>
        <w:br w:type="page"/>
      </w:r>
    </w:p>
    <w:p w14:paraId="1526F9CC" w14:textId="77777777" w:rsidR="00C04533" w:rsidRDefault="00C04533" w:rsidP="00C04533">
      <w:pPr>
        <w:pStyle w:val="TtuloResolucin"/>
      </w:pPr>
      <w:bookmarkStart w:id="95" w:name="AUTO_2024_89"/>
      <w:r>
        <w:t>AUTO 89/2024, de 24 de septiembre de 2024</w:t>
      </w:r>
    </w:p>
    <w:bookmarkEnd w:id="95"/>
    <w:p w14:paraId="11FC7EC4" w14:textId="77777777" w:rsidR="00C04533" w:rsidRDefault="00C04533" w:rsidP="00C04533">
      <w:pPr>
        <w:pStyle w:val="TtuloResolucin"/>
      </w:pPr>
      <w:r>
        <w:t>Pleno</w:t>
      </w:r>
    </w:p>
    <w:p w14:paraId="5A86C82D" w14:textId="77777777" w:rsidR="00C04533" w:rsidRDefault="00C04533" w:rsidP="00C04533">
      <w:pPr>
        <w:pStyle w:val="TtuloBOE"/>
      </w:pPr>
      <w:r>
        <w:t>(BOE núm. 264, de 1 de noviembre de 2024)</w:t>
      </w:r>
    </w:p>
    <w:p w14:paraId="5BF9B91C" w14:textId="77777777" w:rsidR="00C04533" w:rsidRDefault="00C04533" w:rsidP="00C04533">
      <w:pPr>
        <w:pStyle w:val="TextoNormalCentrado"/>
      </w:pPr>
      <w:r>
        <w:t>ECLI:ES:TC:2024:89A</w:t>
      </w:r>
    </w:p>
    <w:p w14:paraId="2A9B9C50" w14:textId="2EC879E9" w:rsidR="00C04533" w:rsidRDefault="00C04533" w:rsidP="00C04533">
      <w:pPr>
        <w:pStyle w:val="TextoNormalCentrado"/>
      </w:pPr>
    </w:p>
    <w:p w14:paraId="185B47F7"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1D316C17" w14:textId="53EF2495" w:rsidR="00C04533" w:rsidRDefault="00C04533" w:rsidP="00C04533">
      <w:pPr>
        <w:pStyle w:val="SntesisDescriptiva"/>
      </w:pPr>
    </w:p>
    <w:p w14:paraId="244A17A0" w14:textId="77777777" w:rsidR="00C04533" w:rsidRDefault="00C04533" w:rsidP="00C04533">
      <w:pPr>
        <w:pStyle w:val="SntesisDescriptiva"/>
      </w:pPr>
      <w:r>
        <w:t>Inadmite a trámite la cuestión de inconstitucionalidad 7368-2023, planteada por la Sala de lo Social del Tribunal Superior de Justicia de las Illes Balears, en relación con el segundo párrafo del artículo 221.2 del texto refundido de la Ley general de la Seguridad Social, aprobado por el Real Decreto Legislativo 8/2015, de 30 de octubre.</w:t>
      </w:r>
    </w:p>
    <w:p w14:paraId="47A34B26" w14:textId="76BF4F17" w:rsidR="00C04533" w:rsidRDefault="00C04533" w:rsidP="00C04533">
      <w:pPr>
        <w:pStyle w:val="SntesisDescriptiva"/>
      </w:pPr>
    </w:p>
    <w:p w14:paraId="43518D5C" w14:textId="77777777" w:rsidR="00C04533" w:rsidRDefault="00C04533" w:rsidP="00C04533">
      <w:pPr>
        <w:pStyle w:val="SntesisDescriptiva"/>
      </w:pPr>
    </w:p>
    <w:p w14:paraId="29C95704" w14:textId="77777777" w:rsidR="00C04533" w:rsidRDefault="00C04533" w:rsidP="00C04533">
      <w:pPr>
        <w:pStyle w:val="SntesisDescriptiva"/>
      </w:pPr>
    </w:p>
    <w:p w14:paraId="4F2890D2" w14:textId="77777777" w:rsidR="00C04533" w:rsidRDefault="00C04533" w:rsidP="00C04533">
      <w:pPr>
        <w:pStyle w:val="TextoNormalNegritaCentrado"/>
      </w:pPr>
      <w:r>
        <w:t>AUTO</w:t>
      </w:r>
    </w:p>
    <w:p w14:paraId="47A4C1E2" w14:textId="16AEE8E0" w:rsidR="00C04533" w:rsidRDefault="00C04533" w:rsidP="00C04533">
      <w:pPr>
        <w:pStyle w:val="TextoNormalNegritaCentrado"/>
      </w:pPr>
    </w:p>
    <w:p w14:paraId="39C7B1B9" w14:textId="77777777" w:rsidR="00C04533" w:rsidRDefault="00C04533" w:rsidP="00C04533">
      <w:pPr>
        <w:pStyle w:val="TextoNormalNegritaCentrado"/>
        <w:keepNext/>
      </w:pPr>
      <w:r>
        <w:t>I. Antecedentes</w:t>
      </w:r>
    </w:p>
    <w:p w14:paraId="68A7993B" w14:textId="00AE4CDF" w:rsidR="00C04533" w:rsidRDefault="00C04533" w:rsidP="00C04533">
      <w:pPr>
        <w:pStyle w:val="TextoNormalNegritaCentrado"/>
        <w:keepNext/>
      </w:pPr>
    </w:p>
    <w:p w14:paraId="4F1EB4D9" w14:textId="74530157" w:rsidR="00C04533" w:rsidRDefault="00C04533" w:rsidP="00C04533">
      <w:pPr>
        <w:pStyle w:val="TextoNormal"/>
      </w:pPr>
      <w:r w:rsidRPr="00C04533">
        <w:rPr>
          <w:rStyle w:val="NumeroAFNegritaCaracter"/>
        </w:rPr>
        <w:t>1</w:t>
      </w:r>
      <w:r>
        <w:t>. Con fecha 23 de noviembre de 2023 tuvo entrada en el registro general del Tribunal Constitucional un oficio de la Sala de lo Social del Tribunal Superior de Justicia de las Islas Baleares, al que se acompaña, junto al testimonio del rollo de suplicación núm. RSU 24/2023, el auto de 17 de noviembre de 2023, por el que se acuerda plantear cuestión de inconstitucionalidad en relación con el segundo párrafo del art. 221.2 del texto refundido de la Ley general de Seguridad Social (en adelante, TRLGSS), aprobado por el Real Decreto Legislativo 8/2015, de 30 de octubre, en su redacción original, por ser contrario al principio de igualdad ante la ley y a la prohibición de discriminación por razón de sexo (art. 14 CE en relación con los arts. 39 y 41 CE).</w:t>
      </w:r>
    </w:p>
    <w:p w14:paraId="2A678166" w14:textId="77777777" w:rsidR="00C04533" w:rsidRDefault="00C04533" w:rsidP="00C04533">
      <w:pPr>
        <w:pStyle w:val="TextoNormal"/>
      </w:pPr>
    </w:p>
    <w:p w14:paraId="6E077E97" w14:textId="77777777" w:rsidR="00C04533" w:rsidRDefault="00C04533" w:rsidP="00C04533">
      <w:pPr>
        <w:pStyle w:val="TextoNormal"/>
      </w:pPr>
      <w:r w:rsidRPr="00C04533">
        <w:rPr>
          <w:rStyle w:val="NumeroAFNegritaCaracter"/>
        </w:rPr>
        <w:t>2</w:t>
      </w:r>
      <w:r>
        <w:t>. Los hechos de los que trae causa la cuestión de inconstitucionalidad planteada son, en síntesis, los siguientes:</w:t>
      </w:r>
    </w:p>
    <w:p w14:paraId="2E41A29C" w14:textId="77777777" w:rsidR="00C04533" w:rsidRDefault="00C04533" w:rsidP="00C04533">
      <w:pPr>
        <w:pStyle w:val="TextoNormal"/>
      </w:pPr>
    </w:p>
    <w:p w14:paraId="6C4289A8" w14:textId="77777777" w:rsidR="00C04533" w:rsidRDefault="00C04533" w:rsidP="00C04533">
      <w:pPr>
        <w:pStyle w:val="TextoNormal"/>
      </w:pPr>
      <w:r>
        <w:t>a) El Juzgado de lo Social núm. 1 de Ibiza, mediante la sentencia núm. 310/2022, de 3 de noviembre, desestima la demanda formulada por doña M.E.G.M., frente a la resolución del Instituto Nacional de la Seguridad Social (en adelante, INSS) de 30 de marzo de 2021, confirmada por la resolución de 9 de junio de 2021, que deniega su solicitud para el reconocimiento del derecho a percibir la pensión de viudedad prevista en el art. 221 TRLGSS (“pensión de viudedad de parejas de hecho”) a raíz del fallecimiento de su pareja, don A.I.N., el 5 de febrero de 2021. Así, si bien la recurrente cumple con el requisito legal de hallarse en situación de dependencia económica respecto del causante y constan como hechos probados en dicha resolución judicial una convivencia ininterrumpida de al menos treinta años (padrón municipal) con una relación análoga a la conyugal, dos hijos en común (libro de familia) y la adquisición proindiviso de la vivienda familiar, la solicitante no cumple con el requisito legal de haber formalizado la pareja de hecho mediante inscripción registral o documento público de constitución.</w:t>
      </w:r>
    </w:p>
    <w:p w14:paraId="76F0F18A" w14:textId="77777777" w:rsidR="00C04533" w:rsidRDefault="00C04533" w:rsidP="00C04533">
      <w:pPr>
        <w:pStyle w:val="TextoNormal"/>
      </w:pPr>
    </w:p>
    <w:p w14:paraId="369CB9D3" w14:textId="77777777" w:rsidR="00C04533" w:rsidRDefault="00C04533" w:rsidP="00C04533">
      <w:pPr>
        <w:pStyle w:val="TextoNormal"/>
      </w:pPr>
      <w:r>
        <w:t>b) Contra dicha sentencia la demandante interpone recurso de suplicación alegando que cabe realizar una interpretación del art. 221.2 TRLGSS más acorde con el art. 14 CE en la que, habiéndose acreditado los elementos constitutivos de la pareja de hecho conforme a dicho precepto y la dependencia económica respecto del causante (requisitos legales exigidos para el reconocimiento de la pensión de viudedad a la fecha de la producción de la contingencia —fallecimiento—), resulta innecesaria la acreditación de su constitución formal para poder acceder a la pensión de viudedad solicitada.</w:t>
      </w:r>
    </w:p>
    <w:p w14:paraId="2FF8F51D" w14:textId="77777777" w:rsidR="00C04533" w:rsidRDefault="00C04533" w:rsidP="00C04533">
      <w:pPr>
        <w:pStyle w:val="TextoNormal"/>
      </w:pPr>
    </w:p>
    <w:p w14:paraId="678577CA" w14:textId="77777777" w:rsidR="00C04533" w:rsidRDefault="00C04533" w:rsidP="00C04533">
      <w:pPr>
        <w:pStyle w:val="TextoNormal"/>
      </w:pPr>
      <w:r>
        <w:t xml:space="preserve">c) Una vez admitido y sustanciado el recurso de suplicación y estando pendiente de dictar sentencia, la Sala de lo Social del Tribunal Superior de Justicia de las Islas Baleares, por providencia de 17 de julio de 2023, acuerda dar audiencia a las partes y al Ministerio Fiscal, por un plazo improrrogable de diez días, </w:t>
      </w:r>
      <w:r w:rsidRPr="00C04533">
        <w:rPr>
          <w:i/>
        </w:rPr>
        <w:t>ex</w:t>
      </w:r>
      <w:r>
        <w:t xml:space="preserve"> art. 35.2 de la Ley Orgánica del Tribunal Constitucional (en adelante, LOTC), para que realicen alegaciones acerca de la posible formulación de una cuestión de inconstitucionalidad.</w:t>
      </w:r>
    </w:p>
    <w:p w14:paraId="7E9F5918" w14:textId="77777777" w:rsidR="00C04533" w:rsidRDefault="00C04533" w:rsidP="00C04533">
      <w:pPr>
        <w:pStyle w:val="TextoNormal"/>
      </w:pPr>
    </w:p>
    <w:p w14:paraId="4E0DB1E2" w14:textId="77777777" w:rsidR="00C04533" w:rsidRDefault="00C04533" w:rsidP="00C04533">
      <w:pPr>
        <w:pStyle w:val="TextoNormal"/>
      </w:pPr>
      <w:r>
        <w:t xml:space="preserve">En dicha providencia la Sala (i) describe la situación de hecho analizada y el objeto del pleito: la denegación de la pensión de viudedad al conviviente supérstite por falta de formalización de la pareja de hecho </w:t>
      </w:r>
      <w:r w:rsidRPr="00C04533">
        <w:rPr>
          <w:i/>
        </w:rPr>
        <w:t>ex</w:t>
      </w:r>
      <w:r>
        <w:t xml:space="preserve"> art. 221.2, segundo párrafo TRLGSS habiéndose acreditado judicialmente el resto de requisitos legales (apartado I); (ii) reproduce la norma de cuya constitucionalidad se duda: art. 221.2, segundo párrafo TRLGSS, aprobado por el Real Decreto Legislativo 8/2015, en la versión vigente en la fecha del hecho causante, el 5 de febrero de 2021, que es la redacción anterior a la reforma de la Ley 21/2021, de 28 de diciembre, de garantía del poder adquisitivo de las pensiones y de otras medidas de refuerzo de la sostenibilidad financiera y social del sistema público de pensiones (apartado II); (iii) transcribe los preceptos constitucionales que considera infringidos: art. 14 CE en relación con los arts. 39 y 41 CE (apartado III); y (iv) asegura sobre el juicio de relevancia que, de estimarse la duda de constitucionalidad planteada, se anularía dicha exigencia legal y se estimaría la demanda con el consiguiente reconocimiento de la pensión de viudedad a la recurrente al quedar acreditado el resto de requisitos legales (apartado IV).</w:t>
      </w:r>
    </w:p>
    <w:p w14:paraId="5F3052AB" w14:textId="77777777" w:rsidR="00C04533" w:rsidRDefault="00C04533" w:rsidP="00C04533">
      <w:pPr>
        <w:pStyle w:val="TextoNormal"/>
      </w:pPr>
    </w:p>
    <w:p w14:paraId="569FF038" w14:textId="77777777" w:rsidR="00C04533" w:rsidRDefault="00C04533" w:rsidP="00C04533">
      <w:pPr>
        <w:pStyle w:val="TextoNormal"/>
      </w:pPr>
      <w:r>
        <w:t xml:space="preserve">En el apartado V se exponen las razones que fundamentan las dudas de constitucionalidad “aun sin disponer de la información estadística actualizada”. Por un lado, sobre la posible vulneración de la cláusula general de igualdad de la exigencia de constitución formal o </w:t>
      </w:r>
      <w:r w:rsidRPr="00C04533">
        <w:rPr>
          <w:i/>
        </w:rPr>
        <w:t>ad solemnitatem</w:t>
      </w:r>
      <w:r>
        <w:t xml:space="preserve"> de la pareja de hecho a efectos del acceso a la pensión de viudedad se aduce: (i) que este tribunal ha validado dicha exigencia formal desde el art. 14, primer inciso, CE (STC 60/2014), pero no en relación con los arts. 39 y 41 CE; (ii) que dicha exigencia legal de formalización produce un efecto muy restrictivo en el acceso a esta prestación, provocando consecuencias desproporcionadas y contrarias al art. 14 CE en relación con los arts. 39 y 41 CE en los supuestos en los que se acredita la existencia del resto de requisitos legales. Y que dicha desigualdad carente de justificación objetiva y razonable se produce entre los cónyuges viudos y los supérstites de parejas de hecho (dada la desproporción cuantitativa entre las pensiones concedidas a los primeros respecto a los segundos) y entre los supérstites de parejas de hecho “formalizadas” y “no formalizadas” </w:t>
      </w:r>
      <w:r w:rsidRPr="00C04533">
        <w:rPr>
          <w:i/>
        </w:rPr>
        <w:t>ex</w:t>
      </w:r>
      <w:r>
        <w:t xml:space="preserve"> art. 221.2, segundo párrafo TRLGSS.</w:t>
      </w:r>
    </w:p>
    <w:p w14:paraId="432CD6F1" w14:textId="77777777" w:rsidR="00C04533" w:rsidRDefault="00C04533" w:rsidP="00C04533">
      <w:pPr>
        <w:pStyle w:val="TextoNormal"/>
      </w:pPr>
    </w:p>
    <w:p w14:paraId="3AD2B684" w14:textId="77777777" w:rsidR="00C04533" w:rsidRDefault="00C04533" w:rsidP="00C04533">
      <w:pPr>
        <w:pStyle w:val="TextoNormal"/>
      </w:pPr>
      <w:r>
        <w:t>Por otro lado, sobre el posible carácter discriminatorio por razón de sexo de la exigencia legal cuestionada, la Sala aduce (i) que, desde una perspectiva de género, la “formalización [controvertida] no depende exclusivamente de la simple voluntad de las potenciales beneficiarias/os (en su mayoría, mujeres), sino también de sus parejas (los ‘causantes’ de la pensión, en su gran mayoría, hombres), por lo cual el cumplimiento del requisito exigido [no escapa de la relación de subordinación que aún hoy pervive en muchas parejas heterosexuales], y más si concurre dependencia económica (requisito constitutivo de acceso a la pensión de viudedad a la que nos referimos)”; y (ii) que es manifiesto el impacto adverso para las mujeres de la exigencia de dicha formalización, al ser las beneficiarias en un 90 por 100 de la pensión de viudedad derivada de pareja de hecho con dependencia económica; impacto adverso de género que fue puesto de relieve por la magistrada Elósegui en el voto particular de la sentencia del Tribunal Europeo de Derechos Humanos de 19 de enero de 2023, cuyos apartados 4 y 5 se reproducen.</w:t>
      </w:r>
    </w:p>
    <w:p w14:paraId="5855D96F" w14:textId="77777777" w:rsidR="00C04533" w:rsidRDefault="00C04533" w:rsidP="00C04533">
      <w:pPr>
        <w:pStyle w:val="TextoNormal"/>
      </w:pPr>
    </w:p>
    <w:p w14:paraId="5451EF10" w14:textId="77777777" w:rsidR="00C04533" w:rsidRDefault="00C04533" w:rsidP="00C04533">
      <w:pPr>
        <w:pStyle w:val="TextoNormal"/>
      </w:pPr>
      <w:r>
        <w:t>Finalmente, en el apartado VI, se requiere al INSS la aportación de datos estadísticos respecto de la pensión de viudedad (segregados por sexos, en todo el territorio nacional, con detalle anual y suma total) durante el periodo comprendido entre el 1 de enero de 2008 (fecha de entrada en vigor de la Ley 40/2007, de 4 de diciembre, de medidas en materia de Seguridad Social, que introdujo la pensión de viudedad de las parejas de hecho en el art. 174.3 TRLGSS, aprobado por el Real Decreto Legislativo 1/1994, de 20 de junio) y el 31 de diciembre de 2021 (fecha de entrada en vigor de la Ley 21/2021 que modifica el art. 221.2 TRLGSS aprobado por el Real Decreto Legislativo 8/2015): (1) número de altas beneficiarios/as de la pensión de viudedad causadas por cónyuge superviviente y por supérstite de pareja de hecho; y (2) número de denegaciones de solicitudes de pensión de viudedad de parejas de hecho y causa o motivo de las mismas.</w:t>
      </w:r>
    </w:p>
    <w:p w14:paraId="35C0231E" w14:textId="77777777" w:rsidR="00C04533" w:rsidRDefault="00C04533" w:rsidP="00C04533">
      <w:pPr>
        <w:pStyle w:val="TextoNormal"/>
      </w:pPr>
    </w:p>
    <w:p w14:paraId="0E854C2D" w14:textId="77777777" w:rsidR="00C04533" w:rsidRDefault="00C04533" w:rsidP="00C04533">
      <w:pPr>
        <w:pStyle w:val="TextoNormal"/>
      </w:pPr>
      <w:r>
        <w:t>d) El INSS, en primer lugar, con fecha de 19 de julio de 2023, interpone recurso de reposición contra dicha providencia para dejar sin efecto el requerimiento de documentación estadística. Y, en segundo lugar, con fecha de 25 de julio de 2023, presenta alegaciones oponiéndose al planteamiento de la cuestión aduciendo que las dudas de constitucionalidad resultan manifiestamente infundadas:</w:t>
      </w:r>
    </w:p>
    <w:p w14:paraId="57263091" w14:textId="77777777" w:rsidR="00C04533" w:rsidRDefault="00C04533" w:rsidP="00C04533">
      <w:pPr>
        <w:pStyle w:val="TextoNormal"/>
      </w:pPr>
    </w:p>
    <w:p w14:paraId="04C31296" w14:textId="77777777" w:rsidR="00C04533" w:rsidRDefault="00C04533" w:rsidP="00C04533">
      <w:pPr>
        <w:pStyle w:val="TextoNormal"/>
      </w:pPr>
      <w:r>
        <w:t>(i) La primera ya ha sido resuelta por este tribunal, validando la constitucionalidad de la “exigencia formal” ahora cuestionada desde el principio de igualdad ante la ley (art. 14 CE) en relación con los arts. 39 y 41 CE: directamente respecto al art. 39 CE en la STC 51/2014, de 7 de abril, cuyo fundamento jurídico 4 reproduce; e indirectamente respecto al art. 41 CE en la STC 91/2019, de 3 de julio, cuyo fundamento jurídico 5 c) transcribe.</w:t>
      </w:r>
    </w:p>
    <w:p w14:paraId="61AF9905" w14:textId="77777777" w:rsidR="00C04533" w:rsidRDefault="00C04533" w:rsidP="00C04533">
      <w:pPr>
        <w:pStyle w:val="TextoNormal"/>
      </w:pPr>
    </w:p>
    <w:p w14:paraId="593C92F4" w14:textId="77777777" w:rsidR="00C04533" w:rsidRDefault="00C04533" w:rsidP="00C04533">
      <w:pPr>
        <w:pStyle w:val="TextoNormal"/>
      </w:pPr>
      <w:r>
        <w:t>(ii) La segunda debe ser rechazada por varias razones: (1) porque las consecuencias negativas que deriven de la falta de formalización están desconectadas del sexo de la persona finalmente afectada; (2) porque el hecho de que estadísticamente sea muy superior el número de pensionistas de viudedad mujeres que el de hombres es debido a su mayor esperanza de vida; (3) porque el análisis de la perspectiva de género que realiza el órgano judicial es una percepción subjetiva que carece de base empírica y que ni siquiera se puede comprobar estadísticamente; y (4) porque, aunque la exigencia legal de formalización supusiera un trato peyorativo para las viudas/viudos, en su mayoría mujeres, responde a una justificación objetiva y razonable, cual es favorecer la seguridad jurídica y evitar el fraude en las pensiones de viudedad, justificación sobre la que ya se ha pronunciado el Tribunal Constitucional; máxime tratándose de un requisito que depende únicamente de la voluntad de las partes, es de fácil cumplimiento y no conlleva coste económico.</w:t>
      </w:r>
    </w:p>
    <w:p w14:paraId="0971F57D" w14:textId="77777777" w:rsidR="00C04533" w:rsidRDefault="00C04533" w:rsidP="00C04533">
      <w:pPr>
        <w:pStyle w:val="TextoNormal"/>
      </w:pPr>
    </w:p>
    <w:p w14:paraId="18EFA3A1" w14:textId="77777777" w:rsidR="00C04533" w:rsidRDefault="00C04533" w:rsidP="00C04533">
      <w:pPr>
        <w:pStyle w:val="TextoNormal"/>
      </w:pPr>
      <w:r>
        <w:t>e) Con fecha de 27 de julio de 2023, la representación legal de la recurrente presenta, por un lado, escrito de impugnación del recurso de reposición; y, por otro, alegaciones a favor de la pertinencia del planteamiento de la cuestión de inconstitucionalidad, reproduciendo, en esencia, cada uno de los argumentos ofrecidos por la Sala promotora acerca de las dudas de constitucionalidad del art. 221.2, segundo párrafo TRLGSS.</w:t>
      </w:r>
    </w:p>
    <w:p w14:paraId="0BB2F3C9" w14:textId="77777777" w:rsidR="00C04533" w:rsidRDefault="00C04533" w:rsidP="00C04533">
      <w:pPr>
        <w:pStyle w:val="TextoNormal"/>
      </w:pPr>
    </w:p>
    <w:p w14:paraId="1105D122" w14:textId="77777777" w:rsidR="00C04533" w:rsidRDefault="00C04533" w:rsidP="00C04533">
      <w:pPr>
        <w:pStyle w:val="TextoNormal"/>
      </w:pPr>
      <w:r>
        <w:t>f) Tras la desestimación del recurso de reposición, el INSS aporta tempestivamente los datos estadísticos requeridos el 12 de septiembre de 2023 y, mediante diligencia de ordenación de 15 de septiembre de 2023, se acuerda dar traslado a las partes y al Ministerio Fiscal de dicha información a fin de que, en el plazo de diez días, puedan ampliar o complementar sus alegaciones.</w:t>
      </w:r>
    </w:p>
    <w:p w14:paraId="2B19A068" w14:textId="77777777" w:rsidR="00C04533" w:rsidRDefault="00C04533" w:rsidP="00C04533">
      <w:pPr>
        <w:pStyle w:val="TextoNormal"/>
      </w:pPr>
    </w:p>
    <w:p w14:paraId="6E2E7FC9" w14:textId="77777777" w:rsidR="00C04533" w:rsidRDefault="00C04533" w:rsidP="00C04533">
      <w:pPr>
        <w:pStyle w:val="TextoNormal"/>
      </w:pPr>
      <w:r>
        <w:t>g) El Ministerio Fiscal, el 26 de septiembre de 2023, formula alegaciones argumentando que se han cumplimentado debidamente tanto el trámite de audiencia del art. 35.2 LOTC como los juicios de aplicabilidad y relevancia. Sin embargo, observa que el Tribunal Constitucional ya ha tenido ocasión de pronunciarse a favor de la constitucionalidad del antecedente legislativo del art. 221.2 TRLGSS (art. 174.3 del Real Decreto Legislativo 1/1994, de 20 de junio, tras la reforma de la Ley 40/2007) en relación con el art. 14 CE (primer inciso) en la STC 60/2014, y en relación con el art. 39 CE en la STC 51/2014, sin que el fiscal aprecie diferencia alguna con la regulación actual que justifique una diferente consideración respecto a su constitucionalidad.</w:t>
      </w:r>
    </w:p>
    <w:p w14:paraId="7622E786" w14:textId="77777777" w:rsidR="00C04533" w:rsidRDefault="00C04533" w:rsidP="00C04533">
      <w:pPr>
        <w:pStyle w:val="TextoNormal"/>
      </w:pPr>
    </w:p>
    <w:p w14:paraId="3C519EBC" w14:textId="77777777" w:rsidR="00C04533" w:rsidRDefault="00C04533" w:rsidP="00C04533">
      <w:pPr>
        <w:pStyle w:val="TextoNormal"/>
      </w:pPr>
      <w:r>
        <w:t>h) La recurrente presenta alegaciones complementarias el 2 de octubre de 2023 a la luz de la información estadística aportada, aduciendo: (i) la feminización de la pensión de viudedad, pues el 87,80 por 100 de las beneficiarias son mujeres; (ii) la gran desproporción entre las pensiones percibidas por supérstites de pareja de hecho respecto de las que se lucran los cónyuges supérstites; y (iii) la constatación de que la principal causa de denegación de la prestación a supérstites de pareja de hecho es la falta de constitución formal. Y ello, a su juicio, se debe a que dicha exigencia es extraña a la propia institución, ya que quienes deciden compartir su vida como parejas de hecho (y no como matrimonio) huyen precisamente de constituir formalmente su unión en virtud de su libertad personal y del libre desarrollo de su personalidad.</w:t>
      </w:r>
    </w:p>
    <w:p w14:paraId="116437B3" w14:textId="77777777" w:rsidR="00C04533" w:rsidRDefault="00C04533" w:rsidP="00C04533">
      <w:pPr>
        <w:pStyle w:val="TextoNormal"/>
      </w:pPr>
    </w:p>
    <w:p w14:paraId="14D272EE" w14:textId="3C484750" w:rsidR="00C04533" w:rsidRDefault="00C04533" w:rsidP="00C04533">
      <w:pPr>
        <w:pStyle w:val="TextoNormal"/>
      </w:pPr>
      <w:r>
        <w:t>i) Mediante diligencia de ordenación de 13 de octubre de 2023 se requiere nuevamente al INSS para que en el plazo de diez días elabore un nuevo cuadro en el que incluya como causa de incumplimiento la carencia temporal de dos años de antelación respecto de la fecha de fallecimiento del causante en la inscripción registral o constitución notarial de la pareja de hecho; requerimiento al que el INSS da cumplimiento el 23 de octubre de 2023.</w:t>
      </w:r>
    </w:p>
    <w:p w14:paraId="4B6C3761" w14:textId="77777777" w:rsidR="00C04533" w:rsidRDefault="00C04533" w:rsidP="00C04533">
      <w:pPr>
        <w:pStyle w:val="TextoNormal"/>
      </w:pPr>
    </w:p>
    <w:p w14:paraId="3CF0EC73" w14:textId="77777777" w:rsidR="00C04533" w:rsidRDefault="00C04533" w:rsidP="00C04533">
      <w:pPr>
        <w:pStyle w:val="TextoNormal"/>
      </w:pPr>
      <w:r w:rsidRPr="00C04533">
        <w:rPr>
          <w:rStyle w:val="NumeroAFNegritaCaracter"/>
        </w:rPr>
        <w:t>3</w:t>
      </w:r>
      <w:r>
        <w:t>. La Sala de lo Social del Tribunal Superior de justicia de las Islas Baleares dicta Auto de 17 de noviembre de 2023, por el que acuerda plantear cuestión de inconstitucionalidad respecto del segundo párrafo del art. 221.2 TRLGSS por posible vulneración del art. 14 CE (igualdad ante la ley y prohibición de discriminación por razón de sexo) en relación con los arts. 39 y 41 CE.</w:t>
      </w:r>
    </w:p>
    <w:p w14:paraId="38058707" w14:textId="77777777" w:rsidR="00C04533" w:rsidRDefault="00C04533" w:rsidP="00C04533">
      <w:pPr>
        <w:pStyle w:val="TextoNormal"/>
      </w:pPr>
    </w:p>
    <w:p w14:paraId="73AE54F2" w14:textId="77777777" w:rsidR="00C04533" w:rsidRDefault="00C04533" w:rsidP="00C04533">
      <w:pPr>
        <w:pStyle w:val="TextoNormal"/>
      </w:pPr>
      <w:r>
        <w:t xml:space="preserve">Tras exponer los antecedentes, el objeto del proceso </w:t>
      </w:r>
      <w:r w:rsidRPr="00C04533">
        <w:rPr>
          <w:i/>
        </w:rPr>
        <w:t>a quo</w:t>
      </w:r>
      <w:r>
        <w:t xml:space="preserve"> y el desarrollo del cumplimiento del trámite de audiencia previa del art. 35.2 LOTC, se señala (i) que la norma cuya constitucionalidad se cuestiona es el segundo párrafo del art. 221.2 TRLGSS (que transcribe), en la versión vigente en la fecha del hecho causante (5 de febrero de 2021), anterior a la reforma operada por la Ley 21/2021, de 28 de diciembre; y (ii) que los preceptos constitucionales afectados son el art. 14 CE (igualdad ante la ley y discriminación por razón de sexo) en relación con los arts. 39 y 41 CE relativos a la protección de la familia, y a la protección social ante situaciones de necesidad, respectivamente.</w:t>
      </w:r>
    </w:p>
    <w:p w14:paraId="7EB10720" w14:textId="77777777" w:rsidR="00C04533" w:rsidRDefault="00C04533" w:rsidP="00C04533">
      <w:pPr>
        <w:pStyle w:val="TextoNormal"/>
      </w:pPr>
    </w:p>
    <w:p w14:paraId="3D4338F3" w14:textId="77777777" w:rsidR="00C04533" w:rsidRDefault="00C04533" w:rsidP="00C04533">
      <w:pPr>
        <w:pStyle w:val="TextoNormal"/>
      </w:pPr>
      <w:r>
        <w:t>Acto seguido, se afirma que las dudas de constitucionalidad planteadas son relevantes para la resolución del pleito, puesto que la sentencia de instancia ha desestimado la reclamación de la pensión de viudedad de la recurrente exclusivamente por la falta de formalización de la pareja de hecho mediante inscripción registral o documento público, como exige el art. 221.2, segundo párrafo TRLGSS; por lo que, de prosperar esta cuestión de inconstitucionalidad, se anularía dicha exigencia legal, determinando la estimación de la demanda y el reconocimiento de la pensión de viudedad a la demandante, al quedar acreditados judicialmente los restantes requisitos legales.</w:t>
      </w:r>
    </w:p>
    <w:p w14:paraId="4F3F1049" w14:textId="77777777" w:rsidR="00C04533" w:rsidRDefault="00C04533" w:rsidP="00C04533">
      <w:pPr>
        <w:pStyle w:val="TextoNormal"/>
      </w:pPr>
    </w:p>
    <w:p w14:paraId="22BFC13F" w14:textId="77777777" w:rsidR="00C04533" w:rsidRDefault="00C04533" w:rsidP="00C04533">
      <w:pPr>
        <w:pStyle w:val="TextoNormal"/>
      </w:pPr>
      <w:r>
        <w:t>A continuación, se exponen las dos dudas de constitucionalidad:</w:t>
      </w:r>
    </w:p>
    <w:p w14:paraId="180FF5DA" w14:textId="77777777" w:rsidR="00C04533" w:rsidRDefault="00C04533" w:rsidP="00C04533">
      <w:pPr>
        <w:pStyle w:val="TextoNormal"/>
      </w:pPr>
    </w:p>
    <w:p w14:paraId="4BBDD4B9" w14:textId="77777777" w:rsidR="00C04533" w:rsidRDefault="00C04533" w:rsidP="00C04533">
      <w:pPr>
        <w:pStyle w:val="TextoNormal"/>
      </w:pPr>
      <w:r>
        <w:t>a) Primera duda de constitucionalidad. Se asevera que el segundo párrafo del art. 221.2 TRLGSS, al exigir como único medio de acreditación de la pareja de hecho la inscripción registral o la constitución ante notario, genera una consecuencia manifiestamente desproporcionada en el acceso a la pensión de viudedad desde la perspectiva de la cláusula general de igualdad (art. 14 CE) en relación con el mandato constitucional de protección de la familia (art. 39 CE) y el acceso a las prestaciones de Seguridad Social (art. 41 CE).</w:t>
      </w:r>
    </w:p>
    <w:p w14:paraId="4B2456E4" w14:textId="77777777" w:rsidR="00C04533" w:rsidRDefault="00C04533" w:rsidP="00C04533">
      <w:pPr>
        <w:pStyle w:val="TextoNormal"/>
      </w:pPr>
    </w:p>
    <w:p w14:paraId="635802FA" w14:textId="77777777" w:rsidR="00C04533" w:rsidRDefault="00C04533" w:rsidP="00C04533">
      <w:pPr>
        <w:pStyle w:val="TextoNormal"/>
      </w:pPr>
      <w:r>
        <w:t>Para acreditar esta consecuencia desproporcionada, el órgano judicial acude a datos estadísticos. En primer lugar, siendo las parejas de hecho en 2020, según el Instituto Nacional de Estadística, un 16,2 por 100 del conjunto de parejas, las pensiones de viudedad que les han sido reconocidas durante el periodo 2008-2021, según los datos estadísticos facilitados por el INSS, suponen el 0,15 por 100 del total de pensiones de viudedad reconocidas; esto es, 1,5 pensiones a pareja de hecho supérstite por cada 1000 pensiones al cónyuge supérstite. Y, en segundo lugar, si bien según los datos del INSS en el periodo 2008-2021 la mayor causa de denegación de esta pensión es el incumplimiento de la exigencia de formalización de la pareja de hecho (34,15 por 100): (i) dicha cifra no refleja el efecto restrictivo de la exigencia de la formalización, puesto que en la mayoría de los casos los supérstites de la pareja de hecho han sido conocedores de dicho requisito en el momento de la solicitud y ya no la formularon; y (ii) las otras causas de denegación se refieren a elementos materiales constitutivos de la consideración de parejas de hecho que, a su juicio, restringen el acceso a la prestación de forma congruente.</w:t>
      </w:r>
    </w:p>
    <w:p w14:paraId="7127CA48" w14:textId="77777777" w:rsidR="00C04533" w:rsidRDefault="00C04533" w:rsidP="00C04533">
      <w:pPr>
        <w:pStyle w:val="TextoNormal"/>
      </w:pPr>
    </w:p>
    <w:p w14:paraId="134E7BA0" w14:textId="77777777" w:rsidR="00C04533" w:rsidRDefault="00C04533" w:rsidP="00C04533">
      <w:pPr>
        <w:pStyle w:val="TextoNormal"/>
      </w:pPr>
      <w:r>
        <w:t>Como argumento de refuerzo, la Sala apunta que este tribunal no se ha pronunciado sobre el precepto contenido en este TRLGSS (Real Decreto Legislativo 8/2015), siendo la doctrina constitucional de 2014 sobre la normativa anterior. Advierte asimismo que, en su opinión, en el art. 221.2 TRLGSS el legislador incluye en el primer párrafo los elementos constitutivos de la pareja de hecho (convivencia marital, libertad conyugal y dependencia económica), manteniendo la exigencia de formalización en el segundo párrafo. Con ello, alega la Sala, puede que el legislador de 2015 haya querido dar a la exigencia de formalización un papel meramente instrumental (y no constitutivo).</w:t>
      </w:r>
    </w:p>
    <w:p w14:paraId="48E2A27C" w14:textId="77777777" w:rsidR="00C04533" w:rsidRDefault="00C04533" w:rsidP="00C04533">
      <w:pPr>
        <w:pStyle w:val="TextoNormal"/>
      </w:pPr>
    </w:p>
    <w:p w14:paraId="24EEF7A0" w14:textId="77777777" w:rsidR="00C04533" w:rsidRDefault="00C04533" w:rsidP="00C04533">
      <w:pPr>
        <w:pStyle w:val="TextoNormal"/>
      </w:pPr>
      <w:r>
        <w:t>b) Segunda duda de constitucionalidad. Se aduce que la exigencia legal de formalización de la pareja de hecho puede constituir una discriminación indirecta por razón de sexo prohibida en el art. 14 CE, al impactar dicho requisito en una prestación tan feminizada como es la viudedad, dada la mayor longevidad de las mujeres; carácter feminizado que se acentúa por la dependencia económica exigida para acceder a la misma. En este sentido, se argumenta que, desde una perspectiva de género, debiera partirse de la “hipótesis que, de siempre, las mujeres —en razón, precisamente, de la mayoritaria dependencia económica y de su rol de cuidadoras— han estado más interesadas y han sido más proclives a la formalización de su relación de pareja, especialmente después de la maternidad”, y dicha formalización “no depende exclusivamente de la simple voluntad de los/las potenciales beneficiarios/as (en su gran mayoría, mujeres) sino también de sus parejas (los ‘causantes’ de la pensión, en su gran mayoría hombres)”, por lo que el cumplimiento de dicho requisito pudiera ser más difícil en determinados casos para las mujeres, y más si concurre dependencia económica.</w:t>
      </w:r>
    </w:p>
    <w:p w14:paraId="1F2821B9" w14:textId="77777777" w:rsidR="00C04533" w:rsidRDefault="00C04533" w:rsidP="00C04533">
      <w:pPr>
        <w:pStyle w:val="TextoNormal"/>
      </w:pPr>
    </w:p>
    <w:p w14:paraId="730292FB" w14:textId="77777777" w:rsidR="00C04533" w:rsidRDefault="00C04533" w:rsidP="00C04533">
      <w:pPr>
        <w:pStyle w:val="TextoNormal"/>
      </w:pPr>
      <w:r>
        <w:t>Así, se traen a colación los datos del INSS durante el período 2008-2021 en los que se constatan dos premisas: (i) que la pensión de viudedad se ha reconocido a un 12,1 por 100 de hombres (202 326) frente a un 87,81 por 100 de mujeres (1 458 049) cuando deriva del vínculo matrimonial (1 660 375), y a un 18,7 por 100 de hombres (487) frente a 81,3% por 100 de mujeres (2113) cuando deriva de parejas de hecho (2600); y (ii) que, paradójicamente, el porcentaje de hombres que ha accedido a la pensión de viudedad de parejas de hecho (que exige dependencia económica) —el 18.7 por 100— es significativamente superior (un 50 por 100 más, afirma el órgano judicial) al porcentaje de hombres que han accedido a la pensión derivada del vínculo matrimonial (12,1 por 100) en la que no se exige dependencia económica. Dicho incremento, a juicio de la Sala promotora, “pudiera responder a la circunstancia de que el cumplimiento de la exigencia de formalización de la pareja de hecho, que requiere el consenso de ambos integrantes de la pareja, es más fácil o accesible para los hombres que no para las mujeres, mayor facilidad que compensaría (e invertiría el resultado comparativo, como hemos visto) respecto al impacto restrictivo del requisito de dependencia económica (menos común en los hombres)”.</w:t>
      </w:r>
    </w:p>
    <w:p w14:paraId="2184282A" w14:textId="77777777" w:rsidR="00C04533" w:rsidRDefault="00C04533" w:rsidP="00C04533">
      <w:pPr>
        <w:pStyle w:val="TextoNormal"/>
      </w:pPr>
    </w:p>
    <w:p w14:paraId="2B5AEA86" w14:textId="6751CB14" w:rsidR="00C04533" w:rsidRDefault="00C04533" w:rsidP="00C04533">
      <w:pPr>
        <w:pStyle w:val="TextoNormal"/>
      </w:pPr>
      <w:r>
        <w:t xml:space="preserve">En todo caso, para el órgano judicial, lo que sí resulta incuestionable es que una disposición formalmente neutra (la exigencia de formalización de la pareja de hecho del art. 221.2, segundo párrafo TRLGSS) impacta de forma negativa en el sexo femenino al ser las mujeres, a la vista de la información estadística aportada, las beneficiarias en un 90 por 100 de la pensión de viudedad derivada de la pareja de hecho con dependencia económica; impacto negativo: (i) que fue puesto de relieve en el voto particular concurrente de las magistradas Elósegui y Simackova en la STEDH de 19 de enero de 2023, cuyos apartados 2, 4 y 5 se transcriben; y (ii) que debería valorarse de acuerdo a la doctrina del Tribunal de Justicia de la Unión Europea sobre discriminación indirecta por razón de sexo (se reproduce el apartado 70 de la sentencia </w:t>
      </w:r>
      <w:r w:rsidRPr="00C04533">
        <w:rPr>
          <w:i/>
        </w:rPr>
        <w:t>Brachner</w:t>
      </w:r>
      <w:r>
        <w:t>, de 20 de octubre de 2011, asunto C-123/10).</w:t>
      </w:r>
    </w:p>
    <w:p w14:paraId="41EC2C4C" w14:textId="77777777" w:rsidR="00C04533" w:rsidRDefault="00C04533" w:rsidP="00C04533">
      <w:pPr>
        <w:pStyle w:val="TextoNormal"/>
      </w:pPr>
    </w:p>
    <w:p w14:paraId="00F88A87" w14:textId="111B285D" w:rsidR="00C04533" w:rsidRDefault="00C04533" w:rsidP="00C04533">
      <w:pPr>
        <w:pStyle w:val="TextoNormal"/>
      </w:pPr>
      <w:r w:rsidRPr="00C04533">
        <w:rPr>
          <w:rStyle w:val="NumeroAFNegritaCaracter"/>
        </w:rPr>
        <w:t>4</w:t>
      </w:r>
      <w:r>
        <w:t>. Mediante providencia de 17 de julio de 2024 el Pleno de este tribunal acuerda, a los efectos que determina el art. 37.1 LOTC, oír al fiscal general del Estado para que, en el plazo de diez días, alegue lo que considere conveniente acerca de la admisibilidad de la presente cuestión de inconstitucionalidad, por si fuese notoriamente infundada.</w:t>
      </w:r>
    </w:p>
    <w:p w14:paraId="3A85BE60" w14:textId="77777777" w:rsidR="00C04533" w:rsidRDefault="00C04533" w:rsidP="00C04533">
      <w:pPr>
        <w:pStyle w:val="TextoNormal"/>
      </w:pPr>
    </w:p>
    <w:p w14:paraId="0EB67B19" w14:textId="77777777" w:rsidR="00C04533" w:rsidRDefault="00C04533" w:rsidP="00C04533">
      <w:pPr>
        <w:pStyle w:val="TextoNormal"/>
      </w:pPr>
      <w:r w:rsidRPr="00C04533">
        <w:rPr>
          <w:rStyle w:val="NumeroAFNegritaCaracter"/>
        </w:rPr>
        <w:t>5</w:t>
      </w:r>
      <w:r>
        <w:t>. El fiscal general del Estado evacuó el trámite conferido mediante escrito registrado el 18 de julio de 2024, en el que, tras extractar los antecedentes de hecho y la doctrina constitucional aplicable al caso, considera que la cuestión de inconstitucionalidad es inadmisible por ser notoriamente infundada, pues la norma cuestionada no vulnera precepto alguno de la Constitución y este tribunal ya se ha pronunciado en este sentido, sin que la argumentación del auto de planteamiento haya aportado razones para cambiar la consolidada doctrina sobre la constitucionalidad del requisito de inscripción en el registro de parejas de hecho o formalización en documento público de la constitución de dicha pareja para la concesión de la pensión de viudedad que en la actualidad se regula en el art. 221 TRLGSS.</w:t>
      </w:r>
    </w:p>
    <w:p w14:paraId="6E2B44F4" w14:textId="77777777" w:rsidR="00C04533" w:rsidRDefault="00C04533" w:rsidP="00C04533">
      <w:pPr>
        <w:pStyle w:val="TextoNormal"/>
      </w:pPr>
    </w:p>
    <w:p w14:paraId="799B7846" w14:textId="77777777" w:rsidR="00C04533" w:rsidRDefault="00C04533" w:rsidP="00C04533">
      <w:pPr>
        <w:pStyle w:val="TextoNormal"/>
      </w:pPr>
      <w:r>
        <w:t>a) Desecha la primera duda de inconstitucionalidad, al haber sido ya resuelta por este tribunal en varios pronunciamientos de 2014 afirmando la constitucionalidad del precedente legislativo de igual dicción (art. 174.3 del Real Decreto Legislativo 1/1994), especialmente la STC 51/2014 (art. 14 CE en relación con el art. 39 CE). El hecho de que en el art. 221.2 TRLGSS, ahora cuestionado, se establezca el requisito de la formalización de la pareja de hecho en un párrafo diferente del resto de requisitos de acceso a esta pensión de viudedad no es razón suficiente para cambiar la doctrina constitucional al respecto. También considera improcedente la referencia al art. 41 CE que utiliza el órgano judicial para apoyar la existencia de diferencia de trato, puesto que, con arreglo a la consolidada doctrina constitucional y estando ya en vigor el actual 221 TRLGSS, se ha mantenido la constitucionalidad de este requisito legal argumentando que el legislador dispone de un amplio margen de libertad en la configuración del sistema de Seguridad Social (ATC 8/2019, de 12 de febrero, FJ 4).</w:t>
      </w:r>
    </w:p>
    <w:p w14:paraId="39E4B999" w14:textId="77777777" w:rsidR="00C04533" w:rsidRDefault="00C04533" w:rsidP="00C04533">
      <w:pPr>
        <w:pStyle w:val="TextoNormal"/>
      </w:pPr>
    </w:p>
    <w:p w14:paraId="6FFB46A2" w14:textId="48C9CB5A" w:rsidR="00C04533" w:rsidRDefault="00C04533" w:rsidP="00C04533">
      <w:pPr>
        <w:pStyle w:val="TextoNormal"/>
      </w:pPr>
      <w:r>
        <w:t>b) En cuanto a la discriminación indirecta por razón de sexo, aduce que este tribunal ya se ha manifestado al respecto (por todas, STC 1/2021, de 25 de enero, FJ 5) afirmando que la exigencia del requisito establecido en la legislación impugnada obedece a una finalidad legítima y que los medios para alcanzar dicha finalidad son necesarios y adecuados. Adicionalmente, alega que extraer del dato de que la pensión de viudedad se otorga en mayor proporción a hombres supervivientes de parejas de hecho que a hombres supervivientes de parejas matrimoniales, que los varones de las parejas de hecho tienen más sojuzgadas a sus compañeras y por eso no pueden convencerlos de que realicen la formalización de la pareja de hecho para que ellas tengan pensión de viudedad en el futuro, resulta una opinión que no tiene un soporte objetivo.</w:t>
      </w:r>
    </w:p>
    <w:p w14:paraId="70BDB1D9" w14:textId="77777777" w:rsidR="00C04533" w:rsidRDefault="00C04533" w:rsidP="00C04533">
      <w:pPr>
        <w:pStyle w:val="TextoNormal"/>
      </w:pPr>
    </w:p>
    <w:p w14:paraId="141BE5F0" w14:textId="77777777" w:rsidR="00C04533" w:rsidRDefault="00C04533" w:rsidP="00C04533">
      <w:pPr>
        <w:pStyle w:val="TextoNormalNegritaCentrado"/>
        <w:keepNext/>
      </w:pPr>
      <w:r>
        <w:t>II. Fundamentos jurídicos</w:t>
      </w:r>
    </w:p>
    <w:p w14:paraId="58AE061D" w14:textId="272D68D8" w:rsidR="00C04533" w:rsidRDefault="00C04533" w:rsidP="00C04533">
      <w:pPr>
        <w:pStyle w:val="TextoNormalNegritaCentrado"/>
        <w:keepNext/>
      </w:pPr>
    </w:p>
    <w:p w14:paraId="43520997" w14:textId="77777777" w:rsidR="00C04533" w:rsidRDefault="00C04533" w:rsidP="00C04533">
      <w:pPr>
        <w:pStyle w:val="TextoNormal"/>
      </w:pPr>
      <w:r w:rsidRPr="00C04533">
        <w:rPr>
          <w:rStyle w:val="NumeroAFNegritaCaracter"/>
        </w:rPr>
        <w:t>1</w:t>
      </w:r>
      <w:r>
        <w:t xml:space="preserve">. </w:t>
      </w:r>
      <w:r w:rsidRPr="00C04533">
        <w:rPr>
          <w:i/>
        </w:rPr>
        <w:t>Objeto del proceso y posiciones de las partes</w:t>
      </w:r>
    </w:p>
    <w:p w14:paraId="60A4A545" w14:textId="77777777" w:rsidR="00C04533" w:rsidRDefault="00C04533" w:rsidP="00C04533">
      <w:pPr>
        <w:pStyle w:val="TextoNormal"/>
      </w:pPr>
    </w:p>
    <w:p w14:paraId="3BCDFC17" w14:textId="77777777" w:rsidR="00C04533" w:rsidRDefault="00C04533" w:rsidP="00C04533">
      <w:pPr>
        <w:pStyle w:val="TextoNormal"/>
      </w:pPr>
      <w:r>
        <w:t>La Sala de lo Social del Tribunal Superior de Justicia de las Islas Baleares ha elevado cuestión de inconstitucionalidad respecto al segundo párrafo del art. 221.2 TRLGSS, aprobado por el Real Decreto Legislativo 8/2015, de 30 de octubre, en su redacción original.</w:t>
      </w:r>
    </w:p>
    <w:p w14:paraId="678D4225" w14:textId="77777777" w:rsidR="00C04533" w:rsidRDefault="00C04533" w:rsidP="00C04533">
      <w:pPr>
        <w:pStyle w:val="TextoNormal"/>
      </w:pPr>
    </w:p>
    <w:p w14:paraId="1C87E2EE" w14:textId="77777777" w:rsidR="00C04533" w:rsidRDefault="00C04533" w:rsidP="00C04533">
      <w:pPr>
        <w:pStyle w:val="TextoNormal"/>
      </w:pPr>
      <w:r>
        <w:t>Entiende el órgano judicial, por las razones que obran en los antecedentes, que el establecimiento del requisito legal de formalización de la pareja de hecho mediante inscripción registral o documento público de constitución genera una consecuencia manifiestamente desproporcionada en el acceso a la pensión de viudedad desde la perspectiva de la cláusula general de igualdad (art. 14 CE) en relación con los mandatos constitucionales de protección de la familia (art. 39 CE) y de acceso a las prestaciones de la Seguridad Social en situaciones de necesidad (art. 41 CE). Por otra parte, se denuncia que dicho requisito, aparentemente neutro, provoca una discriminación indirecta por razón de sexo prohibida por el art. 14 CE al incidir sobre una pensión —la de viudedad— altamente feminizada.</w:t>
      </w:r>
    </w:p>
    <w:p w14:paraId="02936769" w14:textId="77777777" w:rsidR="00C04533" w:rsidRDefault="00C04533" w:rsidP="00C04533">
      <w:pPr>
        <w:pStyle w:val="TextoNormal"/>
      </w:pPr>
    </w:p>
    <w:p w14:paraId="65FF46FD" w14:textId="77777777" w:rsidR="00C04533" w:rsidRDefault="00C04533" w:rsidP="00C04533">
      <w:pPr>
        <w:pStyle w:val="TextoNormal"/>
      </w:pPr>
      <w:r>
        <w:t>Por el contrario, el fiscal general del Estado interesa la inadmisión de la cuestión de inconstitucionalidad por ser notoriamente infundada. Como se ha expuesto en los antecedentes, considera que la primera duda ha quedado ya resuelta por este tribunal a favor de su constitucionalidad al enjuiciar su precedente legislativo de idéntica dicción: el art. 174.3 del texto refundido de la Ley general de Seguridad Social, aprobado por el Real Decreto Legislativo 1/1994, de 20 de junio. Asimismo, no aprecia la alegada discriminación indirecta por razón de sexo en el art. 221.2, segundo párrafo TRLGSS porque, aunque se trate de una pensión que perciben más mujeres que hombres, la exigencia legal de formalización de la pareja de hecho ahora cuestionada posee una justificación objetiva y razonable reconocida ya por este tribunal.</w:t>
      </w:r>
    </w:p>
    <w:p w14:paraId="4CC387A5" w14:textId="77777777" w:rsidR="00C04533" w:rsidRDefault="00C04533" w:rsidP="00C04533">
      <w:pPr>
        <w:pStyle w:val="TextoNormal"/>
      </w:pPr>
    </w:p>
    <w:p w14:paraId="5D80E231" w14:textId="77777777" w:rsidR="00C04533" w:rsidRDefault="00C04533" w:rsidP="00C04533">
      <w:pPr>
        <w:pStyle w:val="TextoNormal"/>
      </w:pPr>
      <w:r>
        <w:t>Para una mejor comprensión de este auto se transcribe a continuación el art. 221.2 TRLGSS, en su redacción original, rubricado “pensión de viudedad de parejas de hecho”, cuyo segundo párrafo es objeto del presente proceso constitucional:</w:t>
      </w:r>
    </w:p>
    <w:p w14:paraId="2167B1C2" w14:textId="77777777" w:rsidR="00C04533" w:rsidRDefault="00C04533" w:rsidP="00C04533">
      <w:pPr>
        <w:pStyle w:val="TextoNormal"/>
      </w:pPr>
    </w:p>
    <w:p w14:paraId="594FCB74" w14:textId="77777777" w:rsidR="00C04533" w:rsidRDefault="00C04533" w:rsidP="00C04533">
      <w:pPr>
        <w:pStyle w:val="TextoNormal"/>
      </w:pPr>
      <w:r>
        <w:t>“A efectos de lo establecido en este artículo,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w:t>
      </w:r>
    </w:p>
    <w:p w14:paraId="706995DC" w14:textId="77777777" w:rsidR="00C04533" w:rsidRDefault="00C04533" w:rsidP="00C04533">
      <w:pPr>
        <w:pStyle w:val="TextoNormal"/>
      </w:pPr>
    </w:p>
    <w:p w14:paraId="4B88364F" w14:textId="686574B8" w:rsidR="00C04533" w:rsidRDefault="00C04533" w:rsidP="00C04533">
      <w:pPr>
        <w:pStyle w:val="TextoNormal"/>
      </w:pPr>
      <w:r>
        <w:t>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14:paraId="6796E84A" w14:textId="77777777" w:rsidR="00C04533" w:rsidRDefault="00C04533" w:rsidP="00C04533">
      <w:pPr>
        <w:pStyle w:val="TextoNormal"/>
      </w:pPr>
    </w:p>
    <w:p w14:paraId="51166427" w14:textId="77777777" w:rsidR="00C04533" w:rsidRDefault="00C04533" w:rsidP="00C04533">
      <w:pPr>
        <w:pStyle w:val="TextoNormal"/>
      </w:pPr>
      <w:r w:rsidRPr="00C04533">
        <w:rPr>
          <w:rStyle w:val="NumeroAFNegritaCaracter"/>
        </w:rPr>
        <w:t>2</w:t>
      </w:r>
      <w:r>
        <w:t xml:space="preserve">. </w:t>
      </w:r>
      <w:r w:rsidRPr="00C04533">
        <w:rPr>
          <w:i/>
        </w:rPr>
        <w:t>Primera duda de constitucionalidad</w:t>
      </w:r>
    </w:p>
    <w:p w14:paraId="08193078" w14:textId="77777777" w:rsidR="00C04533" w:rsidRDefault="00C04533" w:rsidP="00C04533">
      <w:pPr>
        <w:pStyle w:val="TextoNormal"/>
      </w:pPr>
    </w:p>
    <w:p w14:paraId="4E7870A6" w14:textId="77777777" w:rsidR="00C04533" w:rsidRDefault="00C04533" w:rsidP="00C04533">
      <w:pPr>
        <w:pStyle w:val="TextoNormal"/>
      </w:pPr>
      <w:r>
        <w:t>El órgano judicial promotor considera que la exigencia legal de inscripción registral o de documento público de constitución de la pareja de hecho para el acceso a la pensión de viudedad (art. 221.2, segundo párrafo TRLGSS) vulnera la cláusula general de igualdad del primer inciso del art. 14 CE, en relación con la protección social, económica y jurídica de la familia (art. 39 CE) y con el acceso a las prestaciones del régimen público de la Seguridad Social ante situaciones de necesidad (art. 41 CE).</w:t>
      </w:r>
    </w:p>
    <w:p w14:paraId="271630F6" w14:textId="77777777" w:rsidR="00C04533" w:rsidRDefault="00C04533" w:rsidP="00C04533">
      <w:pPr>
        <w:pStyle w:val="TextoNormal"/>
      </w:pPr>
    </w:p>
    <w:p w14:paraId="4BC5542B" w14:textId="77777777" w:rsidR="00C04533" w:rsidRDefault="00C04533" w:rsidP="00C04533">
      <w:pPr>
        <w:pStyle w:val="TextoNormal"/>
      </w:pPr>
      <w:r>
        <w:t>A) Punto de partida. De acuerdo con el art. 37.1 LOTC, el tribunal puede rechazar en trámite de admisión mediante auto, sin otra audiencia que la del fiscal general del Estado, la cuestión de inconstitucionalidad cuando esta sea notoriamente infundada. Por ello, puede apreciarse ya en este trámite liminar que esta duda de constitucionalidad es notoriamente infundada, expresión que según nuestra doctrina no tiene otro alcance y significado que el de la constatación de su falta de viabilidad, “sin que ello signifique un juicio peyorativo sobre la duda de constitucionalidad trasladada por el órgano judicial” (por todos, ATC 298/2023, de 6 de junio, FJ 3).</w:t>
      </w:r>
    </w:p>
    <w:p w14:paraId="29C5160E" w14:textId="77777777" w:rsidR="00C04533" w:rsidRDefault="00C04533" w:rsidP="00C04533">
      <w:pPr>
        <w:pStyle w:val="TextoNormal"/>
      </w:pPr>
    </w:p>
    <w:p w14:paraId="30FEF7DA" w14:textId="77777777" w:rsidR="00C04533" w:rsidRDefault="00C04533" w:rsidP="00C04533">
      <w:pPr>
        <w:pStyle w:val="TextoNormal"/>
      </w:pPr>
      <w:r>
        <w:t xml:space="preserve">En primer lugar, porque este tribunal ya ha apreciado la adecuación al principio de igualdad ante la ley de la constitución formal </w:t>
      </w:r>
      <w:r w:rsidRPr="00C04533">
        <w:rPr>
          <w:i/>
        </w:rPr>
        <w:t>ad solemnitatem</w:t>
      </w:r>
      <w:r>
        <w:t xml:space="preserve"> de la pareja de hecho a efectos de la pensión de viudedad, ahora establecido en el art. 221.2, segundo párrafo TRLGSS, en las SSTC 45/2014, de 7 de abril; 51/2014, de 7 de abril, y 60/2014, de 5 de mayo, si bien respecto de su antecedente legislativo, de idéntica dicción: el art. 174.3 del texto refundido de la Ley general de Seguridad Social, aprobado por el Real Decreto Legislativo 1/1994, de 20 de junio. Como alega el fiscal general del Estado, el hecho de que el art. 221.2 TRLGSS, aquí cuestionado, establezca en dos párrafos (relativos a la consideración y acreditación de la pareja de hecho a estos efectos, respectivamente) lo preceptuado en un único párrafo en el art. 173.4 del Real Decreto Legislativo 1/1994, de 20 de junio, no es una razón objetiva suficiente para una reconsideración de la doctrina constitucional. Y ello independientemente del </w:t>
      </w:r>
      <w:r w:rsidRPr="00C04533">
        <w:rPr>
          <w:i/>
        </w:rPr>
        <w:t>tertium comparationis</w:t>
      </w:r>
      <w:r>
        <w:t xml:space="preserve"> que el órgano judicial promotor alegue para el juicio de comparabilidad presente en todo enjuiciamiento del principio de igualdad ante la ley, como se verá.</w:t>
      </w:r>
    </w:p>
    <w:p w14:paraId="39A6ED87" w14:textId="77777777" w:rsidR="00C04533" w:rsidRDefault="00C04533" w:rsidP="00C04533">
      <w:pPr>
        <w:pStyle w:val="TextoNormal"/>
      </w:pPr>
    </w:p>
    <w:p w14:paraId="158261AB" w14:textId="77777777" w:rsidR="00C04533" w:rsidRDefault="00C04533" w:rsidP="00C04533">
      <w:pPr>
        <w:pStyle w:val="TextoNormal"/>
      </w:pPr>
      <w:r>
        <w:t>En segundo lugar, porque, aunque el auto de planteamiento relacione la vulneración del art. 14 CE con los mandatos constitucionales de protección a la familia (art. 39 CE) y de acceso a las prestaciones del sistema de la Seguridad Social en situaciones de necesidad (art. 41 CE), la duda de constitucionalidad planteada no se convierte en novedosa, como se expondrá a continuación.</w:t>
      </w:r>
    </w:p>
    <w:p w14:paraId="2E8D9609" w14:textId="77777777" w:rsidR="00C04533" w:rsidRDefault="00C04533" w:rsidP="00C04533">
      <w:pPr>
        <w:pStyle w:val="TextoNormal"/>
      </w:pPr>
    </w:p>
    <w:p w14:paraId="1169D562" w14:textId="77777777" w:rsidR="00C04533" w:rsidRDefault="00C04533" w:rsidP="00C04533">
      <w:pPr>
        <w:pStyle w:val="TextoNormal"/>
      </w:pPr>
      <w:r>
        <w:t xml:space="preserve">B) Planteamiento de la duda de constitucionalidad por el órgano judicial promotor. El auto de planteamiento adolece de falta de claridad en cuanto al término de comparación en el que fundamenta el diferente tratamiento en la ley, refiriéndose, en unos casos, a la desigualdad entre convivientes supérstites y cónyuges viudos porque la ley únicamente exige la inscripción registral a los primeros para acceder a la pensión de viudedad; y, en otros, a la desigualdad entre supérstites de parejas de hecho, formalizadas o no formalizadas </w:t>
      </w:r>
      <w:r w:rsidRPr="00C04533">
        <w:rPr>
          <w:i/>
        </w:rPr>
        <w:t>ex</w:t>
      </w:r>
      <w:r>
        <w:t xml:space="preserve"> art. 221.2, segundo párrafo LGSS, porque la ley requiere inscripción registral o documento público de constitución para el disfrute de dicha prestación social.</w:t>
      </w:r>
    </w:p>
    <w:p w14:paraId="412A411D" w14:textId="77777777" w:rsidR="00C04533" w:rsidRDefault="00C04533" w:rsidP="00C04533">
      <w:pPr>
        <w:pStyle w:val="TextoNormal"/>
      </w:pPr>
    </w:p>
    <w:p w14:paraId="2E1D909B" w14:textId="77777777" w:rsidR="00C04533" w:rsidRDefault="00C04533" w:rsidP="00C04533">
      <w:pPr>
        <w:pStyle w:val="TextoNormal"/>
      </w:pPr>
      <w:r>
        <w:t>a) Desigualdad entre cónyuges viudos y convivientes supérstites. En el caso de que la desigualdad aquí cuestionada se plantee entre convivientes supérstites y cónyuges viudos, dos son las justificaciones objetivas y razonables ya ofrecidas por este tribunal para el diferente (y más favorable) tratamiento legal de acceso a la pensión de viudedad del cónyuge viudo respecto del conviviente supérstite: los arts. 32 y 10.1 CE.</w:t>
      </w:r>
    </w:p>
    <w:p w14:paraId="48FF8ABF" w14:textId="77777777" w:rsidR="00C04533" w:rsidRDefault="00C04533" w:rsidP="00C04533">
      <w:pPr>
        <w:pStyle w:val="TextoNormal"/>
      </w:pPr>
    </w:p>
    <w:p w14:paraId="1FCF1073" w14:textId="77777777" w:rsidR="00C04533" w:rsidRDefault="00C04533" w:rsidP="00C04533">
      <w:pPr>
        <w:pStyle w:val="TextoNormal"/>
      </w:pPr>
      <w:r>
        <w:t>En efecto, por un lado, las SSTC 45/2014, FJ 3, y 60/2014, FJ 3, rechazaron extrapolar la doctrina establecida en la STC 199/2004, de 15 de noviembre, sobre la falta de inscripción registral del matrimonio canónico (donde se apreció que esta causa de denegación de la pensión de viudedad vulneraba el art. 14 CE) a la falta de inscripción registral de la pareja de hecho, porque solo el matrimonio es una institución social garantizada por la Constitución y el derecho a contraerlo es un derecho constitucional (art. 32.1 CE). “Nada se opone constitucionalmente a que, en definitiva, ‘el legislador, dentro de su amplísima libertad de decisión, deduzca razonablemente consecuencias de esa diferente situación de partida’” (SSTC 45/2014, FJ 3, y 60/2014, FJ 3). De otro lado, fue el ATC 8/2019, de 12 de febrero, el que adicionalmente basó en el libre desarrollo de la personalidad la no apreciación de vulneración del art. 14 CE en la exigencia legal de dependencia económica del causante al conviviente supérstite (y no al cónyuge viudo) a efectos de la pensión de viudedad: La diferencia de trato en la pensión de viudedad entre cónyuges y quienes conviven de hecho, sin que nada les impida contraer matrimonio, no es arbitraria o carente de fundamento (FJ 3).</w:t>
      </w:r>
    </w:p>
    <w:p w14:paraId="3032A282" w14:textId="77777777" w:rsidR="00C04533" w:rsidRDefault="00C04533" w:rsidP="00C04533">
      <w:pPr>
        <w:pStyle w:val="TextoNormal"/>
      </w:pPr>
    </w:p>
    <w:p w14:paraId="3BE8A2C4" w14:textId="77777777" w:rsidR="00C04533" w:rsidRDefault="00C04533" w:rsidP="00C04533">
      <w:pPr>
        <w:pStyle w:val="TextoNormal"/>
      </w:pPr>
      <w:r>
        <w:t>Finalmente, como se resume en los antecedentes, el órgano judicial se vale de los datos estadísticos facilitados por el INSS para evidenciar, primero, la desproporción entre pensiones lucradas por cónyuges viudos frente a las concedidas a convivientes supérstites y, segundo, que la no constitución formal de la pareja de hecho es la mayor causa de denegación de esta pensión. Pero ninguno de estos dos extremos determina la inconstitucionalidad del requisito de acceso a la pensión de viudedad de las parejas de hecho aquí cuestionado.</w:t>
      </w:r>
    </w:p>
    <w:p w14:paraId="65EB555B" w14:textId="77777777" w:rsidR="00C04533" w:rsidRDefault="00C04533" w:rsidP="00C04533">
      <w:pPr>
        <w:pStyle w:val="TextoNormal"/>
      </w:pPr>
    </w:p>
    <w:p w14:paraId="4A9C152B" w14:textId="77777777" w:rsidR="00C04533" w:rsidRDefault="00C04533" w:rsidP="00C04533">
      <w:pPr>
        <w:pStyle w:val="TextoNormal"/>
      </w:pPr>
      <w:r>
        <w:t xml:space="preserve">b) Desigualdad entre convivientes supérstites de parejas de hecho formalmente constituidas o no constituidas </w:t>
      </w:r>
      <w:r w:rsidRPr="00C04533">
        <w:rPr>
          <w:i/>
        </w:rPr>
        <w:t>ex</w:t>
      </w:r>
      <w:r>
        <w:t xml:space="preserve"> art. 221.2, segundo párrafo TRLGSS. En el caso de que la desigualdad se plantee entre supérstites de uniones de hecho formalmente constituidas o no </w:t>
      </w:r>
      <w:r w:rsidRPr="00C04533">
        <w:rPr>
          <w:i/>
        </w:rPr>
        <w:t>ex</w:t>
      </w:r>
      <w:r>
        <w:t xml:space="preserve"> art. 221.2, segundo párrafo TRLGSS, las SSTC 45/2014, FJ 3; 51/2014, FJ 3, y 60/2014, FJ 3, ya han declarado que la exigencia legal </w:t>
      </w:r>
      <w:r w:rsidRPr="00C04533">
        <w:rPr>
          <w:i/>
        </w:rPr>
        <w:t>ad solemnitatem</w:t>
      </w:r>
      <w:r>
        <w:t xml:space="preserve"> de la inscripción registral o del documento público de constitución de la pareja de hecho no introduce un elemento de diferenciación arbitrario o carente de una justificación objetiva y razonable, al ser tres las razones halladas para el trato desigual: proporcionar seguridad jurídica en el reconocimiento de pensiones (art. 9.3 CE), evitar el fraude, y coordinar internamente el sistema prestacional de la Seguridad Social. Así, “al igual que reconocimos en la STC 93/2013, de 23 de abril, FJ 7, que el legislador puede establecer regímenes de convivencia </w:t>
      </w:r>
      <w:r w:rsidRPr="00C04533">
        <w:rPr>
          <w:i/>
        </w:rPr>
        <w:t>more uxorio</w:t>
      </w:r>
      <w:r>
        <w:t xml:space="preserve"> con un reconocimiento jurídico diferenciado al del matrimonio, cabe razonar ahora que el reconocimiento de esas realidades familiares no impone al legislador otorgar un idéntico tratamiento a la convivencia </w:t>
      </w:r>
      <w:r w:rsidRPr="00C04533">
        <w:rPr>
          <w:i/>
        </w:rPr>
        <w:t>more uxorio</w:t>
      </w:r>
      <w:r>
        <w:t xml:space="preserve"> acreditada y a la no acreditada, o a la que se verifique por medio de los mecanismos probatorios legalmente contemplados frente a la que carece de ellos, pues no es irrazonable definir a aquellos como los que garantizan que la atribución de derechos asociada cumplirá las exigencias de la seguridad jurídica” (FJ 3).</w:t>
      </w:r>
    </w:p>
    <w:p w14:paraId="480E4B06" w14:textId="77777777" w:rsidR="00C04533" w:rsidRDefault="00C04533" w:rsidP="00C04533">
      <w:pPr>
        <w:pStyle w:val="TextoNormal"/>
      </w:pPr>
    </w:p>
    <w:p w14:paraId="306840BA" w14:textId="77777777" w:rsidR="00C04533" w:rsidRDefault="00C04533" w:rsidP="00C04533">
      <w:pPr>
        <w:pStyle w:val="TextoNormal"/>
      </w:pPr>
      <w:r>
        <w:t xml:space="preserve">(i) Sobre la alegada vulneración del art. 14 CE en relación con los arts. 39 y 41 CE, cabe destacar que una cosa es que la justificación objetiva y razonable para el tratamiento desigual que provoca la constitución formal, </w:t>
      </w:r>
      <w:r w:rsidRPr="00C04533">
        <w:rPr>
          <w:i/>
        </w:rPr>
        <w:t>ad solemnitatem</w:t>
      </w:r>
      <w:r>
        <w:t>, de la pareja de hecho exigida en el párrafo segundo del art. 221.2 TRLGSS no sea la protección de la familia (art. 39 CE) o la protección de una situación de necesidad a través del sistema de Seguridad Social (art. 41 CE), y otra cosa bien distinta es que dicho requisito legal vulnere los arts. 39 y 41 CE.</w:t>
      </w:r>
    </w:p>
    <w:p w14:paraId="3BD455B3" w14:textId="77777777" w:rsidR="00C04533" w:rsidRDefault="00C04533" w:rsidP="00C04533">
      <w:pPr>
        <w:pStyle w:val="TextoNormal"/>
      </w:pPr>
    </w:p>
    <w:p w14:paraId="0710AA27" w14:textId="77777777" w:rsidR="00C04533" w:rsidRDefault="00C04533" w:rsidP="00C04533">
      <w:pPr>
        <w:pStyle w:val="TextoNormal"/>
      </w:pPr>
      <w:r>
        <w:t xml:space="preserve">De un lado, la concesión de la pensión de viudedad únicamente a las parejas de hecho formalmente constituidas </w:t>
      </w:r>
      <w:r w:rsidRPr="00C04533">
        <w:rPr>
          <w:i/>
        </w:rPr>
        <w:t>ex</w:t>
      </w:r>
      <w:r>
        <w:t xml:space="preserve"> art. 221.2, segundo párrafo TRLGSS no puede responder a la finalidad de protección jurídica y económica de la familia (art. 39 CE), porque todas las uniones de hecho forman parte del modelo constitucional de familia a proteger por los poderes públicos </w:t>
      </w:r>
      <w:r w:rsidRPr="00C04533">
        <w:rPr>
          <w:i/>
        </w:rPr>
        <w:t>ex</w:t>
      </w:r>
      <w:r>
        <w:t xml:space="preserve"> art. 39.1 CE (por todas, SSTC 222/1992, de 11 de diciembre, FJ 5; 47/1993, de 8 de febrero, FJ 3; 116/1999, de 17 de junio, FJ 13, y 93/2013, de 23 de abril, FJ 6). Ahora bien, este tribunal ya ha concluido que la previa inscripción registral de la pareja de hecho o su constitución en documento público, a efectos de la pensión de viudedad, no viola el art. 39 CE, ya que “es la libre opción de los convivientes de no formalización de su realidad familiar conforme a los criterios legales definidos la que determina la consecuencia denegatoria de la pensión solicitada, y no por tanto una decisión normativa contraria a las protecciones enunciadas en aquellas previsiones constitucionales” (STC 51/2014, FJ 4).</w:t>
      </w:r>
    </w:p>
    <w:p w14:paraId="60552D89" w14:textId="77777777" w:rsidR="00C04533" w:rsidRDefault="00C04533" w:rsidP="00C04533">
      <w:pPr>
        <w:pStyle w:val="TextoNormal"/>
      </w:pPr>
    </w:p>
    <w:p w14:paraId="6AC1BB1E" w14:textId="77777777" w:rsidR="00C04533" w:rsidRDefault="00C04533" w:rsidP="00C04533">
      <w:pPr>
        <w:pStyle w:val="TextoNormal"/>
      </w:pPr>
      <w:r>
        <w:t xml:space="preserve">De otro lado, como ya adelantó la STC 41/2013, de 14 de febrero, la ordenación de la pensión de viudedad de parejas de hecho que introdujo la Ley 40/2007 (de contenido idéntico a la ahora enjuiciada), y a diferencia de la pensión de viudedad en el caso de matrimonio, condiciona su reconocimiento a la existencia de un estado real de necesidad del supérstite o de dependencia económica del causante, en función de su nivel de ingresos propios y de la existencia o no de cargas familiares (FJ 4). Así las cosas, la concesión de la pensión de viudedad únicamente a las parejas de hecho formalmente constituidas </w:t>
      </w:r>
      <w:r w:rsidRPr="00C04533">
        <w:rPr>
          <w:i/>
        </w:rPr>
        <w:t>ex</w:t>
      </w:r>
      <w:r>
        <w:t xml:space="preserve"> art. 221.2, segundo párrafo TRLGSS tampoco puede basarse en la cobertura de una situación de necesidad </w:t>
      </w:r>
      <w:r w:rsidRPr="00C04533">
        <w:rPr>
          <w:i/>
        </w:rPr>
        <w:t>ex</w:t>
      </w:r>
      <w:r>
        <w:t xml:space="preserve"> art. 41 CE, que también puede darse en las parejas no formalizadas. Ahora bien, no quiere ello decir que dicho requisito legal vulnere el art. 41 CE por dos razones.</w:t>
      </w:r>
    </w:p>
    <w:p w14:paraId="622F69A4" w14:textId="77777777" w:rsidR="00C04533" w:rsidRDefault="00C04533" w:rsidP="00C04533">
      <w:pPr>
        <w:pStyle w:val="TextoNormal"/>
      </w:pPr>
    </w:p>
    <w:p w14:paraId="0B849041" w14:textId="77777777" w:rsidR="00C04533" w:rsidRDefault="00C04533" w:rsidP="00C04533">
      <w:pPr>
        <w:pStyle w:val="TextoNormal"/>
      </w:pPr>
      <w:r>
        <w:t>En primer lugar, porque es doctrina constitucional consolidada que, siendo el derecho que los ciudadanos puedan ostentar en materia de Seguridad Social un derecho de estricta configuración legal, el legislador posee libertad para modular la acción protectora del sistema de Seguridad Social “en conexión con las circunstancias económicas, las disponibilidades del momento y las necesidades y deberes de los grupos sociales” (SSTC 65/1987, de 21 de mayo, FJ 17, y 91/2019, de 3 de julio, FJ 5, entre otras). Por ello, aunque la cobertura de las situaciones de necesidad de los colectivos sociales sea “un ideal claramente deseable a la luz de los principios rectores de la política social y económica que nuestra Constitución asume en sus arts. 41 y 50 y que han de informar la legislación positiva —art. 53.3 CE—”, el tribunal debe mantener, como regla general, su debida deferencia “en decisiones singularizadas susceptibles de alterar el equilibrio económico financiero del conjunto del sistema, salvo que la diferencia de tratamiento controvertida esté desprovista de toda justificación objetiva y razonable” (por todas, SSTC 91/2019, FJ 5, con cita en la 184/1993, de 31 de mayo, FJ 6). Justificación objetiva y razonable que, como ya se ha reconocido, posee la exigencia legal de formalización de la pareja de hecho “a efectos prestacionales”: proporcionar seguridad jurídica en el reconocimiento de pensiones, evitar el fraude y coordinar internamente el sistema prestacional de la Seguridad Social (SSTC 45/2014, FJ 3; 51/2014, FJ 3, y 60/2014, FJ 3).</w:t>
      </w:r>
    </w:p>
    <w:p w14:paraId="20E69B15" w14:textId="77777777" w:rsidR="00C04533" w:rsidRDefault="00C04533" w:rsidP="00C04533">
      <w:pPr>
        <w:pStyle w:val="TextoNormal"/>
      </w:pPr>
    </w:p>
    <w:p w14:paraId="2FE6E673" w14:textId="77777777" w:rsidR="00C04533" w:rsidRDefault="00C04533" w:rsidP="00C04533">
      <w:pPr>
        <w:pStyle w:val="TextoNormal"/>
      </w:pPr>
      <w:r>
        <w:t>En segundo lugar, porque es la libre opción de los convivientes de no formalizar su realidad familiar conforme a los criterios legales definidos la que determina la consecuencia denegatoria de la pensión solicitada, no una decisión normativa contraria a la protección de las situaciones de necesidad a través del sistema de Seguridad Social enunciada en el art. 41 CE.</w:t>
      </w:r>
    </w:p>
    <w:p w14:paraId="19E41A99" w14:textId="77777777" w:rsidR="00C04533" w:rsidRDefault="00C04533" w:rsidP="00C04533">
      <w:pPr>
        <w:pStyle w:val="TextoNormal"/>
      </w:pPr>
    </w:p>
    <w:p w14:paraId="1E35B70F" w14:textId="77777777" w:rsidR="00C04533" w:rsidRDefault="00C04533" w:rsidP="00C04533">
      <w:pPr>
        <w:pStyle w:val="TextoNormal"/>
      </w:pPr>
      <w:r>
        <w:t>(ii) Por último, debe concluirse que el requisito legal aquí controvertido no solo responde a una finalidad objetivamente justificada y razonable, sino también proporcionada. En este sentido, como argumenta el INSS, tanto la inscripción registral como el documento público de constitución de la pareja de hecho son de fácil ejecución y dependen exclusivamente de la voluntad de sus miembros, no pudiéndose imputar a la norma la existencia de un exceso de rigor en su exigencia. Se trata, pues, de un “medio idóneo, necesario y proporcionado que permite constatar el compromiso de convivencia entre los miembros de una pareja de hecho, permitiendo al legislador identificar una concreta situación de necesidad merecedora de protección a través de la pensión de viudedad del sistema de Seguridad Social” (SSTC 51/2014, FJ 3, y 60/2014, FJ 3).</w:t>
      </w:r>
    </w:p>
    <w:p w14:paraId="15E81430" w14:textId="77777777" w:rsidR="00C04533" w:rsidRDefault="00C04533" w:rsidP="00C04533">
      <w:pPr>
        <w:pStyle w:val="TextoNormal"/>
      </w:pPr>
    </w:p>
    <w:p w14:paraId="76922A08" w14:textId="77777777" w:rsidR="00C04533" w:rsidRDefault="00C04533" w:rsidP="00C04533">
      <w:pPr>
        <w:pStyle w:val="TextoNormal"/>
      </w:pPr>
      <w:r>
        <w:t xml:space="preserve">No estamos, pues, ante un requisito de imposible cumplimiento que tenga un resultado desproporcionado, como lo fue el requisito de “tener hijos comunes” establecido en la disposición adicional tercera c) de la Ley 40/2007, para el acceso excepcional a la pensión de viudedad de las parejas de hecho cuyo hecho causante hubiera acaecido con anterioridad a su entrada en vigor, ante la imposibilidad física y legal de su cumplimiento por las parejas de hecho homosexuales, que el tribunal consideró desproporcionado e inconstitucional </w:t>
      </w:r>
      <w:r w:rsidRPr="00C04533">
        <w:rPr>
          <w:i/>
        </w:rPr>
        <w:t>ex</w:t>
      </w:r>
      <w:r>
        <w:t xml:space="preserve"> art. 14 CE en las SSTC 41/2013, 55/2013, de 11 de marzo, y 77/2013, de 8 de abril.</w:t>
      </w:r>
    </w:p>
    <w:p w14:paraId="5E8E5329" w14:textId="77777777" w:rsidR="00C04533" w:rsidRDefault="00C04533" w:rsidP="00C04533">
      <w:pPr>
        <w:pStyle w:val="TextoNormal"/>
      </w:pPr>
    </w:p>
    <w:p w14:paraId="5B1036E8" w14:textId="6F1E5110" w:rsidR="00C04533" w:rsidRDefault="00C04533" w:rsidP="00C04533">
      <w:pPr>
        <w:pStyle w:val="TextoNormal"/>
      </w:pPr>
      <w:r>
        <w:t xml:space="preserve">Adicionalmente, tampoco puede argumentarse que la constitución de la pareja de hecho a través de inscripción registral o documento público suponga un requisito desproporcionado o excesivo por ser de imposible cumplimiento debido a la imprevisibilidad de su establecimiento (Ley 40/2007) o de la doctrina constitucional que avala su constitucionalidad (elaborada en 2014). Por tanto, no nos encontramos en la actualidad ante supuestos similares a los dirimidos acumuladamente en las SSTEDH de 19 de enero de 2023, asunto </w:t>
      </w:r>
      <w:r w:rsidRPr="00C04533">
        <w:rPr>
          <w:i/>
        </w:rPr>
        <w:t>Doménech Aradilla y Rodríguez González c. España</w:t>
      </w:r>
      <w:r>
        <w:t xml:space="preserve">; de 26 de enero de 2023, asunto </w:t>
      </w:r>
      <w:r w:rsidRPr="00C04533">
        <w:rPr>
          <w:i/>
        </w:rPr>
        <w:t>Valverde Digon c. España</w:t>
      </w:r>
      <w:r>
        <w:t xml:space="preserve">, y de 20 de julio de 2023, asunto </w:t>
      </w:r>
      <w:r w:rsidRPr="00C04533">
        <w:rPr>
          <w:i/>
        </w:rPr>
        <w:t>del Pino Ortiz y otros c. España</w:t>
      </w:r>
      <w:r>
        <w:t>.</w:t>
      </w:r>
    </w:p>
    <w:p w14:paraId="468CA769" w14:textId="77777777" w:rsidR="00C04533" w:rsidRDefault="00C04533" w:rsidP="00C04533">
      <w:pPr>
        <w:pStyle w:val="TextoNormal"/>
      </w:pPr>
    </w:p>
    <w:p w14:paraId="4D708A9F" w14:textId="77777777" w:rsidR="00C04533" w:rsidRDefault="00C04533" w:rsidP="00C04533">
      <w:pPr>
        <w:pStyle w:val="TextoNormal"/>
      </w:pPr>
      <w:r w:rsidRPr="00C04533">
        <w:rPr>
          <w:rStyle w:val="NumeroAFNegritaCaracter"/>
        </w:rPr>
        <w:t>3</w:t>
      </w:r>
      <w:r>
        <w:t xml:space="preserve">. </w:t>
      </w:r>
      <w:r w:rsidRPr="00C04533">
        <w:rPr>
          <w:i/>
        </w:rPr>
        <w:t>Segunda duda de constitucionalidad</w:t>
      </w:r>
    </w:p>
    <w:p w14:paraId="4587F468" w14:textId="77777777" w:rsidR="00C04533" w:rsidRDefault="00C04533" w:rsidP="00C04533">
      <w:pPr>
        <w:pStyle w:val="TextoNormal"/>
      </w:pPr>
    </w:p>
    <w:p w14:paraId="3A5F2486" w14:textId="77777777" w:rsidR="00C04533" w:rsidRDefault="00C04533" w:rsidP="00C04533">
      <w:pPr>
        <w:pStyle w:val="TextoNormal"/>
      </w:pPr>
      <w:r>
        <w:t>La segunda duda de constitucionalidad planteada versa sobre la posible discriminación indirecta por razón de sexo, prohibida en el art. 14 CE, de la exigencia legal de inscripción registral o de documento público de constitución de la pareja de hecho para el acceso a la pensión de viudedad (art. 221.2, segundo párrafo TRLGSS); duda que, como expone el fiscal general del Estado, ha de ser considerada también notoriamente infundada.</w:t>
      </w:r>
    </w:p>
    <w:p w14:paraId="493C4845" w14:textId="77777777" w:rsidR="00C04533" w:rsidRDefault="00C04533" w:rsidP="00C04533">
      <w:pPr>
        <w:pStyle w:val="TextoNormal"/>
      </w:pPr>
    </w:p>
    <w:p w14:paraId="5CDE4C86" w14:textId="77777777" w:rsidR="00C04533" w:rsidRDefault="00C04533" w:rsidP="00C04533">
      <w:pPr>
        <w:pStyle w:val="TextoNormal"/>
      </w:pPr>
      <w:r>
        <w:t>a) Doctrina constitucional aplicable. Ya dijo este tribunal en la STC 145/1991, de 1 de julio, FJ 2, que la particular prohibición constitucional de discriminación por razón de sexo, como signo de pertenencia de la mujer a un grupo social determinado, objeto históricamente de infravaloración social, económica y jurídica, “se conecta también con la noción sustancial de igualdad”. Y esta conexión “permite ampliar y enriquecer la propia noción de discriminación, para incluir no solo la noción de discriminación directa, o sea, un tratamiento diferenciado perjudicial en razón del sexo donde el sexo sea objeto de consideración directa, sino también la noción de discriminación indirecta”; puesto que, como se ha recordado recientemente, “a día de hoy las mujeres aún soportan situaciones de desigualdad y dificultades específicas que se traducen, entre otras consecuencias, en una menor incorporación de la mujer al trabajo o en una mayor dificultad para conciliar la vida personal, familiar y laboral, particularmente por razón de la maternidad” (STC 71/2020, de 29 de junio, FJ 3).</w:t>
      </w:r>
    </w:p>
    <w:p w14:paraId="19891A07" w14:textId="77777777" w:rsidR="00C04533" w:rsidRDefault="00C04533" w:rsidP="00C04533">
      <w:pPr>
        <w:pStyle w:val="TextoNormal"/>
      </w:pPr>
    </w:p>
    <w:p w14:paraId="4A9B2E6D" w14:textId="77777777" w:rsidR="00C04533" w:rsidRDefault="00C04533" w:rsidP="00C04533">
      <w:pPr>
        <w:pStyle w:val="TextoNormal"/>
      </w:pPr>
      <w:r>
        <w:t>Respecto a la discriminación indirecta por razón de sexo, la doctrina constitucional ha asumido el concepto elaborado por la jurisprudencia del Tribunal de Justicia de la Unión Europea, para referirse a aquellas medidas que, aunque formuladas de manera neutra, perjudican a un porcentaje muy superior de mujeres que de hombres. Tales medidas están prohibidas salvo que estén justificadas por factores objetivos ajenos a cualquier discriminación por razón de sexo [por todas, SSTC 91/2019, de 2 de julio, FJ 4 c), y 11/2023, de 23 de febrero, FJ 3 B) a)]. Según señaló este tribunal en la STC 253/2004, de 22 de diciembre, “en estos supuestos, para que quepa considerar vulnerado el derecho y mandato antidiscriminatorio consagrado en el art. 14 CE debe producirse un tratamiento distinto y perjudicial de un grupo social formado de forma claramente mayoritaria por mujeres, respecto de bienes relevantes y sin que exista justificación constitucional suficiente que pueda ser contemplada como posible límite al referido derecho” (FJ 7).</w:t>
      </w:r>
    </w:p>
    <w:p w14:paraId="40340EB9" w14:textId="77777777" w:rsidR="00C04533" w:rsidRDefault="00C04533" w:rsidP="00C04533">
      <w:pPr>
        <w:pStyle w:val="TextoNormal"/>
      </w:pPr>
    </w:p>
    <w:p w14:paraId="7E7BD21F" w14:textId="77777777" w:rsidR="00C04533" w:rsidRDefault="00C04533" w:rsidP="00C04533">
      <w:pPr>
        <w:pStyle w:val="TextoNormal"/>
      </w:pPr>
      <w:r>
        <w:t>La incorporación de la discriminación indirecta como contenido proscrito por el art. 14 CE repercute en la forma de abordar el análisis de este tipo de discriminaciones, pues deberá atenderse necesariamente a los datos revelados por la estadística (STC 128/1987, de 16 de julio, FJ 6), ya sean datos estadísticos aportados por el órgano judicial promotor de la respectiva cuestión de inconstitucionalidad o datos estadísticos actualizados de oficio por el tribunal (STC 253/2004, FJ 8).</w:t>
      </w:r>
    </w:p>
    <w:p w14:paraId="75C8FFAA" w14:textId="77777777" w:rsidR="00C04533" w:rsidRDefault="00C04533" w:rsidP="00C04533">
      <w:pPr>
        <w:pStyle w:val="TextoNormal"/>
      </w:pPr>
    </w:p>
    <w:p w14:paraId="396E8CDA" w14:textId="77777777" w:rsidR="00C04533" w:rsidRDefault="00C04533" w:rsidP="00C04533">
      <w:pPr>
        <w:pStyle w:val="TextoNormal"/>
      </w:pPr>
      <w:r>
        <w:t xml:space="preserve">b) Aplicación de la doctrina constitucional al caso. El órgano judicial argumenta, primero, que el precepto cuestionado vulnera indirectamente la prohibición de discriminación por razón de sexo al tratarse de una disposición formalmente neutra (exigencia </w:t>
      </w:r>
      <w:r w:rsidRPr="00C04533">
        <w:rPr>
          <w:i/>
        </w:rPr>
        <w:t>ad solemnitatem</w:t>
      </w:r>
      <w:r>
        <w:t xml:space="preserve"> de formalización de la pareja de hecho) que impacta negativamente sobre las mujeres al ser ellas las beneficiarias en un 90 por 100 de la pensión de viudedad derivada de pareja de hecho con dependencia económica; y, segundo, que, realizando una interpretación integradora de la perspectiva de género, aunque “de siempre” las mujeres (por su dependencia económica y su rol de cuidadoras) han estado más interesadas y han sido más proclives a la formalización de su relación de pareja, les ha sido más difícil cumplir el requisito legal ahora cuestionado. Y ello por no depender exclusivamente de la voluntad de las potenciales beneficiarios/as de la pensión (en su mayoría mujeres) sino también de sus parejas causantes de la pensión (generalmente, hombres).</w:t>
      </w:r>
    </w:p>
    <w:p w14:paraId="657D67F0" w14:textId="77777777" w:rsidR="00C04533" w:rsidRDefault="00C04533" w:rsidP="00C04533">
      <w:pPr>
        <w:pStyle w:val="TextoNormal"/>
      </w:pPr>
    </w:p>
    <w:p w14:paraId="52DC6656" w14:textId="77777777" w:rsidR="00C04533" w:rsidRDefault="00C04533" w:rsidP="00C04533">
      <w:pPr>
        <w:pStyle w:val="TextoNormal"/>
      </w:pPr>
      <w:r>
        <w:t>Pues bien, es cierto que la pensión de viudedad está fuertemente feminizada. Según los datos estadísticos facilitados por el INSS, en el periodo comprendido entre 2008 a 2021, el 87,80 por 100 de los beneficiarios de las pensiones de viudedad (1 662 975) han sido mujeres (1 460 162), sean cónyuges viudas o convivientes supérstites; y el 81,26 por 100 de las pensiones de viudedad concedidas a miembros supérstites de parejas de hecho con dependencia económica (2600) han sido mujeres (2113).</w:t>
      </w:r>
    </w:p>
    <w:p w14:paraId="26DFEA25" w14:textId="77777777" w:rsidR="00C04533" w:rsidRDefault="00C04533" w:rsidP="00C04533">
      <w:pPr>
        <w:pStyle w:val="TextoNormal"/>
      </w:pPr>
    </w:p>
    <w:p w14:paraId="16B40E13" w14:textId="77777777" w:rsidR="00C04533" w:rsidRDefault="00C04533" w:rsidP="00C04533">
      <w:pPr>
        <w:pStyle w:val="TextoNormal"/>
      </w:pPr>
      <w:r>
        <w:t>Sin embargo, este mayor impacto en las mujeres no puede considerarse, por sí mismo y aisladamente, causante de la discriminación alegada por varias razones:</w:t>
      </w:r>
    </w:p>
    <w:p w14:paraId="7249B464" w14:textId="77777777" w:rsidR="00C04533" w:rsidRDefault="00C04533" w:rsidP="00C04533">
      <w:pPr>
        <w:pStyle w:val="TextoNormal"/>
      </w:pPr>
    </w:p>
    <w:p w14:paraId="399AFA53" w14:textId="77777777" w:rsidR="00C04533" w:rsidRDefault="00C04533" w:rsidP="00C04533">
      <w:pPr>
        <w:pStyle w:val="TextoNormal"/>
      </w:pPr>
      <w:r>
        <w:t>En primer lugar, porque siguiendo esta misma lógica todos los requisitos establecidos para el acceso a la pensión de viudedad de las parejas de hecho adolecerían de este mismo vicio de inconstitucionalidad. En efecto, cualquiera de los requisitos exigidos, al condicionar el acceso a una pensión altamente feminizada, discriminaría indirectamente por razón de sexo.</w:t>
      </w:r>
    </w:p>
    <w:p w14:paraId="5BF4F96C" w14:textId="77777777" w:rsidR="00C04533" w:rsidRDefault="00C04533" w:rsidP="00C04533">
      <w:pPr>
        <w:pStyle w:val="TextoNormal"/>
      </w:pPr>
    </w:p>
    <w:p w14:paraId="0D3BE477" w14:textId="77777777" w:rsidR="00C04533" w:rsidRDefault="00C04533" w:rsidP="00C04533">
      <w:pPr>
        <w:pStyle w:val="TextoNormal"/>
      </w:pPr>
      <w:r>
        <w:t xml:space="preserve">En segundo lugar, porque lo que aquí se cuestiona es si el establecimiento de la exigencia </w:t>
      </w:r>
      <w:r w:rsidRPr="00C04533">
        <w:rPr>
          <w:i/>
        </w:rPr>
        <w:t>ad solemnitatem</w:t>
      </w:r>
      <w:r>
        <w:t xml:space="preserve"> de la formalización de la pareja de hecho mediante inscripción registral o documento público constituye un requisito que perjudique más a las mujeres que a los hombres. Y en este caso puede sostenerse que la formalización de la pareja de hecho que el precepto cuestionado impone para el acceso a la pensión de viudedad no determina, ni formal ni materialmente, que las mujeres se encuentren en peor situación que los hombres para su cumplimiento; máxime cuando depende de la concurrencia de la voluntad de ambos (hombre y mujer) en las parejas heterosexuales. Son, por tanto, extrapolables los argumentos ofrecidos por este tribunal en el ATC 146/2015, de 10 de septiembre, en el que se consideró notoriamente infundada la cuestión de inconstitucionalidad planteada contra el plazo de doce meses establecido por la disposición adicional tercera de la Ley 40/2007 para que el miembro supérstite de una pareja de hecho solicitara la pensión de viudedad en los supuestos en que el fallecimiento hubiera acaecido antes de su entrada en vigor. En este pronunciamiento se rechaza la alegada discriminación indirecta por razón de sexo aduciendo que dicho plazo legal “no conllev[a], en sí mismo, una situación menos favorable para las mujeres que para los hombres ni viceversa” y que “[e]sta consideración no se ve afectada por la circunstancia de que las beneficiarias de las pensiones de viudedad sean más mujeres que hombres, puesto que lo que ahora se cuestiona es si el establecer un plazo para poder solicitar esta prestación constituye un requisito que perjudique más a las mujeres que a los hombres”, concluyendo que “la sujeción a plazo temporal que la norma impone ni formal ni materialmente determina que las mujeres se encuentren en peor situación que los hombres para ejercer en ese plazo el derecho a solicitar la pensión de viudedad” (FJ único).</w:t>
      </w:r>
    </w:p>
    <w:p w14:paraId="37A37C94" w14:textId="77777777" w:rsidR="00C04533" w:rsidRDefault="00C04533" w:rsidP="00C04533">
      <w:pPr>
        <w:pStyle w:val="TextoNormal"/>
      </w:pPr>
    </w:p>
    <w:p w14:paraId="2F4EE1E9" w14:textId="77777777" w:rsidR="00C04533" w:rsidRDefault="00C04533" w:rsidP="00C04533">
      <w:pPr>
        <w:pStyle w:val="TextoNormal"/>
      </w:pPr>
      <w:r>
        <w:t xml:space="preserve">Por otra parte, el argumento utilizado por el órgano judicial promotor para sostener la discriminación provocada por la exigencia legal cuestionada desde la perspectiva de género consiste en asegurar que la exigencia de formalización no depende exclusivamente de la voluntad de los potenciales beneficiarios (en su mayoría mujeres) sino también de sus parejas (los causantes de la pensión, en su mayoría hombres), por lo que el cumplimiento del requisito exigido no escapa de la relación de subordinación que aún hoy pervive en muchas parejas heterosexuales, y más si concurre dependencia económica. Pero, como aprecia el INSS y el fiscal general del Estado, dicho aserto no deja de ser una percepción subjetiva del órgano judicial promotor carente de base empírica alguna. Es más, la propia recurrente en el proceso </w:t>
      </w:r>
      <w:r w:rsidRPr="00C04533">
        <w:rPr>
          <w:i/>
        </w:rPr>
        <w:t>a quo</w:t>
      </w:r>
      <w:r>
        <w:t xml:space="preserve"> argumenta en sus alegaciones que la no formalización de su relación afectiva se debe a una decisión, bien propia, bien consensuada con su pareja (“quienes deciden compartir su vida como parejas de hecho y no como matrimonio huyen precisamente de constituir formalmente su unión en virtud de su libertad personal y del libre desarrollo de su personalidad”).</w:t>
      </w:r>
    </w:p>
    <w:p w14:paraId="4F1C6C11" w14:textId="77777777" w:rsidR="00C04533" w:rsidRDefault="00C04533" w:rsidP="00C04533">
      <w:pPr>
        <w:pStyle w:val="TextoNormal"/>
      </w:pPr>
    </w:p>
    <w:p w14:paraId="06366331" w14:textId="38676419" w:rsidR="00C04533" w:rsidRDefault="00C04533" w:rsidP="00C04533">
      <w:pPr>
        <w:pStyle w:val="TextoNormal"/>
      </w:pPr>
      <w:r>
        <w:t xml:space="preserve">Finalmente, aun teniendo en cuenta la efectiva feminización de la pensión de viudedad, el requisito legal aquí cuestionado se adecúa a la Constitución al justificarse en factores objetivos ajenos al sexo de los potenciales beneficiarios, cuales son favorecer la seguridad jurídica, evitar el fraude y coordinar internamente el sistema prestacional de la Seguridad Social. Así, como ya ha expresado este tribunal, “[l]a constitución formal, </w:t>
      </w:r>
      <w:r w:rsidRPr="00C04533">
        <w:rPr>
          <w:i/>
        </w:rPr>
        <w:t>ad solemnitatem</w:t>
      </w:r>
      <w:r>
        <w:t>, de la pareja de hecho exigida en el párrafo cuarto del art. 174.3 LGSS [léase actual art. 221.2, segundo párrafo TRLGSS] no carece de una finalidad constitucionalmente legítima, en tanto que atiende a constatar,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 (SSTC 51/2014, FJ 3, y 60/2014, FJ 3).</w:t>
      </w:r>
    </w:p>
    <w:p w14:paraId="1D8FF086" w14:textId="77777777" w:rsidR="00C04533" w:rsidRDefault="00C04533" w:rsidP="00C04533">
      <w:pPr>
        <w:pStyle w:val="TextoNormal"/>
      </w:pPr>
    </w:p>
    <w:p w14:paraId="486EE98B" w14:textId="77777777" w:rsidR="00C04533" w:rsidRDefault="00C04533" w:rsidP="00C04533">
      <w:pPr>
        <w:pStyle w:val="TextoNormal"/>
      </w:pPr>
      <w:r>
        <w:t>Por lo expuesto, el Pleno</w:t>
      </w:r>
    </w:p>
    <w:p w14:paraId="629631E2" w14:textId="3704A65C" w:rsidR="00C04533" w:rsidRDefault="00C04533" w:rsidP="00C04533">
      <w:pPr>
        <w:pStyle w:val="TextoNormal"/>
      </w:pPr>
    </w:p>
    <w:p w14:paraId="1924B7E2" w14:textId="77777777" w:rsidR="00C04533" w:rsidRDefault="00C04533" w:rsidP="00C04533">
      <w:pPr>
        <w:pStyle w:val="TextoNormalCentrado"/>
      </w:pPr>
      <w:r>
        <w:t>ACUERDA</w:t>
      </w:r>
    </w:p>
    <w:p w14:paraId="4D229464" w14:textId="42A398AB" w:rsidR="00C04533" w:rsidRDefault="00C04533" w:rsidP="00C04533">
      <w:pPr>
        <w:pStyle w:val="TextoNormalCentrado"/>
      </w:pPr>
    </w:p>
    <w:p w14:paraId="404608AF" w14:textId="59C8035B" w:rsidR="00C04533" w:rsidRDefault="00C04533" w:rsidP="00C04533">
      <w:pPr>
        <w:pStyle w:val="TextoNormal"/>
      </w:pPr>
      <w:r>
        <w:t>Inadmitir a trámite la presente cuestión de inconstitucionalidad.</w:t>
      </w:r>
    </w:p>
    <w:p w14:paraId="47B40D83" w14:textId="77777777" w:rsidR="00C04533" w:rsidRDefault="00C04533" w:rsidP="00C04533">
      <w:pPr>
        <w:pStyle w:val="TextoNormal"/>
      </w:pPr>
    </w:p>
    <w:p w14:paraId="794A45F7" w14:textId="77777777" w:rsidR="00C04533" w:rsidRDefault="00C04533" w:rsidP="00C04533">
      <w:pPr>
        <w:pStyle w:val="TextoNormal"/>
      </w:pPr>
      <w:r>
        <w:t>Madrid, a veinticuatro de septiembre de dos mil veinticuatro.</w:t>
      </w:r>
    </w:p>
    <w:p w14:paraId="754278CE" w14:textId="12217192" w:rsidR="00C04533" w:rsidRDefault="00C04533">
      <w:pPr>
        <w:spacing w:after="160" w:line="278" w:lineRule="auto"/>
        <w:rPr>
          <w:rFonts w:ascii="Times New Roman" w:eastAsia="Times New Roman" w:hAnsi="Times New Roman" w:cs="Times New Roman"/>
          <w:sz w:val="24"/>
          <w:szCs w:val="24"/>
          <w:lang w:eastAsia="es-ES"/>
        </w:rPr>
      </w:pPr>
      <w:r>
        <w:br w:type="page"/>
      </w:r>
    </w:p>
    <w:p w14:paraId="56DC53C6" w14:textId="77777777" w:rsidR="00C04533" w:rsidRDefault="00C04533" w:rsidP="00C04533">
      <w:pPr>
        <w:pStyle w:val="TtuloResolucin"/>
      </w:pPr>
      <w:bookmarkStart w:id="96" w:name="AUTO_2024_90"/>
      <w:r>
        <w:t>AUTO 90/2024, de 24 de septiembre de 2024</w:t>
      </w:r>
    </w:p>
    <w:bookmarkEnd w:id="96"/>
    <w:p w14:paraId="581C3826" w14:textId="77777777" w:rsidR="00C04533" w:rsidRDefault="00C04533" w:rsidP="00C04533">
      <w:pPr>
        <w:pStyle w:val="TtuloResolucin"/>
      </w:pPr>
      <w:r>
        <w:t>Pleno</w:t>
      </w:r>
    </w:p>
    <w:p w14:paraId="16E267CD" w14:textId="77777777" w:rsidR="00C04533" w:rsidRDefault="00C04533" w:rsidP="00C04533">
      <w:pPr>
        <w:pStyle w:val="TextoNormalCentrado"/>
      </w:pPr>
      <w:r>
        <w:t>ECLI:ES:TC:2024:90A</w:t>
      </w:r>
    </w:p>
    <w:p w14:paraId="7D1DE172" w14:textId="7E5ED370" w:rsidR="00C04533" w:rsidRDefault="00C04533" w:rsidP="00C04533">
      <w:pPr>
        <w:pStyle w:val="TextoNormalCentrado"/>
      </w:pPr>
    </w:p>
    <w:p w14:paraId="61856370"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w:t>
      </w:r>
    </w:p>
    <w:p w14:paraId="7027D830" w14:textId="0FF267D0" w:rsidR="00C04533" w:rsidRDefault="00C04533" w:rsidP="00C04533">
      <w:pPr>
        <w:pStyle w:val="SntesisDescriptiva"/>
      </w:pPr>
    </w:p>
    <w:p w14:paraId="69ABD795" w14:textId="77777777" w:rsidR="00C04533" w:rsidRDefault="00C04533" w:rsidP="00C04533">
      <w:pPr>
        <w:pStyle w:val="SntesisDescriptiva"/>
      </w:pPr>
      <w:r>
        <w:t>Desestima el recurso de súplica interpuesto en relación con el ATC 68/2024, de 2 de julio, que inadmitió la recusación formulada en el recurso de amparo 2930-2024, promovido por don Enric Xavier Morera i Catalá en procedimiento parlamentario.</w:t>
      </w:r>
    </w:p>
    <w:p w14:paraId="5C2CF8F3" w14:textId="4457718C" w:rsidR="00C04533" w:rsidRDefault="00C04533" w:rsidP="00C04533">
      <w:pPr>
        <w:pStyle w:val="SntesisDescriptiva"/>
      </w:pPr>
    </w:p>
    <w:p w14:paraId="6FD5122D" w14:textId="77777777" w:rsidR="00C04533" w:rsidRDefault="00C04533" w:rsidP="00C04533">
      <w:pPr>
        <w:pStyle w:val="SntesisDescriptiva"/>
      </w:pPr>
    </w:p>
    <w:p w14:paraId="66850FA2" w14:textId="77777777" w:rsidR="00C04533" w:rsidRDefault="00C04533" w:rsidP="00C04533">
      <w:pPr>
        <w:pStyle w:val="SntesisDescriptiva"/>
      </w:pPr>
    </w:p>
    <w:p w14:paraId="2C270E3D" w14:textId="77777777" w:rsidR="00C04533" w:rsidRDefault="00C04533" w:rsidP="00C04533">
      <w:pPr>
        <w:pStyle w:val="TextoNormalNegritaCentrado"/>
      </w:pPr>
      <w:r>
        <w:t>AUTO</w:t>
      </w:r>
    </w:p>
    <w:p w14:paraId="3832F57D" w14:textId="16007F79" w:rsidR="00C04533" w:rsidRDefault="00C04533" w:rsidP="00C04533">
      <w:pPr>
        <w:pStyle w:val="TextoNormalNegritaCentrado"/>
      </w:pPr>
    </w:p>
    <w:p w14:paraId="13BCE809" w14:textId="77777777" w:rsidR="00C04533" w:rsidRDefault="00C04533" w:rsidP="00C04533">
      <w:pPr>
        <w:pStyle w:val="TextoNormalNegritaCentrado"/>
        <w:keepNext/>
      </w:pPr>
      <w:r>
        <w:t>I. Antecedentes</w:t>
      </w:r>
    </w:p>
    <w:p w14:paraId="104E9AB3" w14:textId="3291858B" w:rsidR="00C04533" w:rsidRDefault="00C04533" w:rsidP="00C04533">
      <w:pPr>
        <w:pStyle w:val="TextoNormalNegritaCentrado"/>
        <w:keepNext/>
      </w:pPr>
    </w:p>
    <w:p w14:paraId="6562BE62" w14:textId="77777777" w:rsidR="00C04533" w:rsidRDefault="00C04533" w:rsidP="00C04533">
      <w:pPr>
        <w:pStyle w:val="TextoNormal"/>
      </w:pPr>
      <w:r w:rsidRPr="00C04533">
        <w:rPr>
          <w:rStyle w:val="NumeroAFNegritaCaracter"/>
        </w:rPr>
        <w:t>1</w:t>
      </w:r>
      <w:r>
        <w:t>. Mediante escrito presentado el 24 de abril de 2024 en el registro general del Tribunal Constitucional, don Enric Morera i Catalá, senador del Grupo Parlamentario Izquierda Confederal, representado por la procuradora de los tribunales doña Nuria Juan Muñoz y bajo la asistencia del letrado don José Ramón Chirivella Vila, interpuso recurso de amparo, registrado con el núm. 2930-2024, contra el acuerdo de la mesa del Senado de 24 de enero de 2024 por el que se inadmitió, entre otras, la enmienda número uno presentada a la proposición de reforma del artículo 49 de la Constitución española, y contra el acuerdo de la mesa del Senado de 25 de enero de 2024 por el que se desestimó la solicitud de reconsideración promovida frente al anterior.</w:t>
      </w:r>
    </w:p>
    <w:p w14:paraId="51358633" w14:textId="77777777" w:rsidR="00C04533" w:rsidRDefault="00C04533" w:rsidP="00C04533">
      <w:pPr>
        <w:pStyle w:val="TextoNormal"/>
      </w:pPr>
    </w:p>
    <w:p w14:paraId="3B19555A" w14:textId="77777777" w:rsidR="00C04533" w:rsidRDefault="00C04533" w:rsidP="00C04533">
      <w:pPr>
        <w:pStyle w:val="TextoNormal"/>
      </w:pPr>
      <w:r>
        <w:t>En concreto, la enmienda número uno, presentada por el senador demandante de amparo, proponía la adición de un nuevo párrafo en la disposición adicional segunda de la Constitución, con el siguiente tenor: “La competencia legislativa civil de las comunidades autónomas, asumida en sus propios estatutos conforme al artículo 149.1.8 de la Constitución, se extenderá a la recuperación y la actualización de su derecho privado histórico de acuerdo con los valores y los principios constitucionales”. Los acuerdos impugnados inadmitieron la citada enmienda por no guardar relación directa con la materia regulada por el art. 49 CE, por lo que, según el criterio de la mesa del Senado, excedía de modo manifiesto el objeto y la finalidad de la proposición, tratándose de una iniciativa de reforma constitucional distinta, que debería seguir el procedimiento correspondiente.</w:t>
      </w:r>
    </w:p>
    <w:p w14:paraId="5E723E9A" w14:textId="77777777" w:rsidR="00C04533" w:rsidRDefault="00C04533" w:rsidP="00C04533">
      <w:pPr>
        <w:pStyle w:val="TextoNormal"/>
      </w:pPr>
    </w:p>
    <w:p w14:paraId="60B6BA26" w14:textId="0DEA372D" w:rsidR="00C04533" w:rsidRDefault="00C04533" w:rsidP="00C04533">
      <w:pPr>
        <w:pStyle w:val="TextoNormal"/>
      </w:pPr>
      <w:r>
        <w:t>El recurso de amparo fue turnado, a efectos de adoptar la decisión correspondiente sobre su admisibilidad, a la Sala Primera, Sección Segunda, del Tribunal Constitucional, correspondiendo la ponencia al magistrado don Juan Carlos Campo Moreno.</w:t>
      </w:r>
    </w:p>
    <w:p w14:paraId="37B8C756" w14:textId="77777777" w:rsidR="00C04533" w:rsidRDefault="00C04533" w:rsidP="00C04533">
      <w:pPr>
        <w:pStyle w:val="TextoNormal"/>
      </w:pPr>
    </w:p>
    <w:p w14:paraId="6AFDCDB6" w14:textId="5034A4E5" w:rsidR="00C04533" w:rsidRDefault="00C04533" w:rsidP="00C04533">
      <w:pPr>
        <w:pStyle w:val="TextoNormal"/>
      </w:pPr>
      <w:r w:rsidRPr="00C04533">
        <w:rPr>
          <w:rStyle w:val="NumeroAFNegritaCaracter"/>
        </w:rPr>
        <w:t>2</w:t>
      </w:r>
      <w:r>
        <w:t>. Por diligencia de ordenación de la Secretaría de justicia de la Sección Segunda de 26 de abril de 2024, remitida en esa misma fecha y que se tiene por notificada el 29 de abril de 2024, se requirió al demandante, de conformidad con el art. 49.4 de la Ley Orgánica del Tribunal Constitucional (LOTC), para que aportara escrito de demanda ajustado a la extensión y forma establecidos en la regla cuarta del acuerdo del Pleno del Tribunal Constitucional de 15 de marzo de 2023 [“Boletín Oficial del Estado” (“BOE”) núm. 70, de 23 de marzo de 2023], por exceder la demanda presentada del máximo de caracteres permitidos.</w:t>
      </w:r>
    </w:p>
    <w:p w14:paraId="30C44782" w14:textId="77777777" w:rsidR="00C04533" w:rsidRDefault="00C04533" w:rsidP="00C04533">
      <w:pPr>
        <w:pStyle w:val="TextoNormal"/>
      </w:pPr>
    </w:p>
    <w:p w14:paraId="6A32E90A" w14:textId="64858035" w:rsidR="00C04533" w:rsidRDefault="00C04533" w:rsidP="00C04533">
      <w:pPr>
        <w:pStyle w:val="TextoNormal"/>
      </w:pPr>
      <w:r w:rsidRPr="00C04533">
        <w:rPr>
          <w:rStyle w:val="NumeroAFNegritaCaracter"/>
        </w:rPr>
        <w:t>3</w:t>
      </w:r>
      <w:r>
        <w:t>. Mediante escrito presentado el 3 de mayo de 2024, el recurrente en amparo atendió el requerimiento efectuado por diligencia de ordenación de 26 de abril de 2024, aportando el escrito de demanda ajustado a los requisitos de extensión y forma establecidos.</w:t>
      </w:r>
    </w:p>
    <w:p w14:paraId="05C0D5FF" w14:textId="77777777" w:rsidR="00C04533" w:rsidRDefault="00C04533" w:rsidP="00C04533">
      <w:pPr>
        <w:pStyle w:val="TextoNormal"/>
      </w:pPr>
    </w:p>
    <w:p w14:paraId="0C064E31" w14:textId="77777777" w:rsidR="00C04533" w:rsidRDefault="00C04533" w:rsidP="00C04533">
      <w:pPr>
        <w:pStyle w:val="TextoNormal"/>
      </w:pPr>
      <w:r w:rsidRPr="00C04533">
        <w:rPr>
          <w:rStyle w:val="NumeroAFNegritaCaracter"/>
        </w:rPr>
        <w:t>4</w:t>
      </w:r>
      <w:r>
        <w:t>. Con fecha 10 de junio de 2024, tuvo entrada escrito del demandante de amparo por el que formula recusación del magistrado don Juan Carlos Campo Moreno.</w:t>
      </w:r>
    </w:p>
    <w:p w14:paraId="387610D7" w14:textId="77777777" w:rsidR="00C04533" w:rsidRDefault="00C04533" w:rsidP="00C04533">
      <w:pPr>
        <w:pStyle w:val="TextoNormal"/>
      </w:pPr>
    </w:p>
    <w:p w14:paraId="797E6056" w14:textId="77777777" w:rsidR="00C04533" w:rsidRDefault="00C04533" w:rsidP="00C04533">
      <w:pPr>
        <w:pStyle w:val="TextoNormal"/>
      </w:pPr>
      <w:r>
        <w:t>La recusación se funda en las causas 13 (“haber ocupado cargo público, desempeñado empleo o ejercido profesión con ocasión de los cuales haya participado directa o indirectamente en el asunto objeto del pleito o causa o en otro relacionado con el mismo”) y 16 (“haber ocupado el juez o magistrado cargo público o administrativo con ocasión del cual haya podido tener conocimiento del objeto del litigio y formar criterio en detrimento de la debida imparcialidad”) del art. 219 de la Ley Orgánica 6/1985, de 1 de julio, del Poder Judicial (en adelante, LOPJ), en las que habría incurrido el magistrado señor Campo Moreno por haber desempeñado los cargos de secretario de Estado de Justicia (entre los años 2009 y 2011) y de ministro de Justicia (años 2020 y 2021).</w:t>
      </w:r>
    </w:p>
    <w:p w14:paraId="1D08B5E3" w14:textId="77777777" w:rsidR="00C04533" w:rsidRDefault="00C04533" w:rsidP="00C04533">
      <w:pPr>
        <w:pStyle w:val="TextoNormal"/>
      </w:pPr>
    </w:p>
    <w:p w14:paraId="413279CE" w14:textId="77777777" w:rsidR="00C04533" w:rsidRDefault="00C04533" w:rsidP="00C04533">
      <w:pPr>
        <w:pStyle w:val="TextoNormal"/>
      </w:pPr>
      <w:r>
        <w:t>En el escrito afirma no haber recibido notificación alguna en la que se determine la composición completa de la Sala ni de la Sección competente para conocer de su recurso de amparo, si bien reconoce que la identidad del magistrado ponente le fue notificada el 26 de abril de 2024. No obstante, defiende haber promovido la recusación tan pronto como ha tenido conocimiento de los hechos en los que se funda, lo que habría tenido lugar a raíz de una noticia publicada el 3 de junio de 2024 en el diario “Valencia Plaza”.</w:t>
      </w:r>
    </w:p>
    <w:p w14:paraId="2FA8360B" w14:textId="77777777" w:rsidR="00C04533" w:rsidRDefault="00C04533" w:rsidP="00C04533">
      <w:pPr>
        <w:pStyle w:val="TextoNormal"/>
      </w:pPr>
    </w:p>
    <w:p w14:paraId="5DA66E24" w14:textId="77777777" w:rsidR="00C04533" w:rsidRDefault="00C04533" w:rsidP="00C04533">
      <w:pPr>
        <w:pStyle w:val="TextoNormal"/>
      </w:pPr>
      <w:r>
        <w:t>Según se expone en el escrito de recusación, en su condición de secretario de Estado de Justicia, en el período comprendido entre los años 2009 y 2011, tenía bajo su dependencia orgánica a la Abogacía General del Estado-Dirección del Servicio Jurídico del Estado, razón por la cual habría tenido una participación directa o indirecta tanto en la interposición del recurso de inconstitucionalidad núm. 3859-2011, promovido por el presidente del Gobierno contra la Ley de les Corts Valencianes 5/2011, de 1 de abril, de relaciones familiares de los hijos e hijas cuyos progenitores no conviven (que resultó estimado por STC 192/2016, de 16 de noviembre), como en la decisión de no desistir del recurso de inconstitucionalidad núm. 9888-2007, interpuesto por el presidente del Gobierno contra la Ley de les Corts Valencianes 10/2007, de 20 de marzo, de régimen económico matrimonial valenciano (finalmente estimado por STC 82/2016, de 28 de abril), y ello a pesar del pacto político que se habría alcanzado al respecto. Igualmente, se afirma que, en su condición de secretario de Estado de Justicia, formaba parte de la Comisión General de Secretarios de Estado y de Subsecretarios, que conoce de los asuntos que se someten a la aprobación por parte del Consejo de Ministros.</w:t>
      </w:r>
    </w:p>
    <w:p w14:paraId="1E5D0A42" w14:textId="77777777" w:rsidR="00C04533" w:rsidRDefault="00C04533" w:rsidP="00C04533">
      <w:pPr>
        <w:pStyle w:val="TextoNormal"/>
      </w:pPr>
    </w:p>
    <w:p w14:paraId="26882135" w14:textId="77777777" w:rsidR="00C04533" w:rsidRDefault="00C04533" w:rsidP="00C04533">
      <w:pPr>
        <w:pStyle w:val="TextoNormal"/>
      </w:pPr>
      <w:r>
        <w:t>Al decir del demandante de amparo, estos hechos determinan la participación del magistrado objeto de la recusación en otros pleitos relacionados con el objeto del presente recurso de amparo, que la parte promotora de este incidente identifica con la “capacidad legislativa civil valenciana”, incurriendo de esta manera en la causa de recusación prevista en el art. 219.13 LOPJ.</w:t>
      </w:r>
    </w:p>
    <w:p w14:paraId="67135CFE" w14:textId="77777777" w:rsidR="00C04533" w:rsidRDefault="00C04533" w:rsidP="00C04533">
      <w:pPr>
        <w:pStyle w:val="TextoNormal"/>
      </w:pPr>
    </w:p>
    <w:p w14:paraId="3BC2562F" w14:textId="77777777" w:rsidR="00C04533" w:rsidRDefault="00C04533" w:rsidP="00C04533">
      <w:pPr>
        <w:pStyle w:val="TextoNormal"/>
      </w:pPr>
      <w:r>
        <w:t>Por otra parte, a juicio del recurrente, en su condición de secretario de Estado de Justicia durante los años 2009 y 2011, y por razones sustancialmente coincidentes con las antes expuestas, el magistrado señor Campo Moreno “ha podido tener conocimiento del objeto del litigio” y “ha podido formar criterio” al respecto, por lo que incurriría en el motivo de recusación previsto en el art. 219.16 LOPJ.</w:t>
      </w:r>
    </w:p>
    <w:p w14:paraId="749A3993" w14:textId="77777777" w:rsidR="00C04533" w:rsidRDefault="00C04533" w:rsidP="00C04533">
      <w:pPr>
        <w:pStyle w:val="TextoNormal"/>
      </w:pPr>
    </w:p>
    <w:p w14:paraId="2DA5CF49" w14:textId="77777777" w:rsidR="00C04533" w:rsidRDefault="00C04533" w:rsidP="00C04533">
      <w:pPr>
        <w:pStyle w:val="TextoNormal"/>
      </w:pPr>
      <w:r>
        <w:t>Por último, también se invoca la causa de recusación prevista en el art. 219.16 LOPJ, en relación con su etapa como ministro de Justicia (años 2020 y 2021), al ser titular del departamento al que correspondía la propuesta y ejecución de la política del Gobierno para el desarrollo del ordenamiento jurídico, en materia de Derecho civil.</w:t>
      </w:r>
    </w:p>
    <w:p w14:paraId="29174E20" w14:textId="77777777" w:rsidR="00C04533" w:rsidRDefault="00C04533" w:rsidP="00C04533">
      <w:pPr>
        <w:pStyle w:val="TextoNormal"/>
      </w:pPr>
    </w:p>
    <w:p w14:paraId="20170275" w14:textId="77777777" w:rsidR="00C04533" w:rsidRDefault="00C04533" w:rsidP="00C04533">
      <w:pPr>
        <w:pStyle w:val="TextoNormal"/>
      </w:pPr>
      <w:r>
        <w:t>En este sentido, se afirma en el escrito de recusación que, según una noticia de prensa publicada el 13 de octubre de 2020, habría intervenido en una conferencia en la que al ser preguntado por la reivindicación de recuperar el Derecho civil valenciano, en relación con la propuesta de reforma constitucional planteada al Congreso de los Diputados por les Corts Valencianes, habría afirmado que “[n]adie duda de que es un tema importante y se tramitará, pero existe un importante refrendo constitucional sobre la competencia exclusiva del Estado. Creo que es el momento de hablar porque es un asunto que merece reflexión”.</w:t>
      </w:r>
    </w:p>
    <w:p w14:paraId="1FAB2226" w14:textId="77777777" w:rsidR="00C04533" w:rsidRDefault="00C04533" w:rsidP="00C04533">
      <w:pPr>
        <w:pStyle w:val="TextoNormal"/>
      </w:pPr>
    </w:p>
    <w:p w14:paraId="573C717C" w14:textId="0436CD77" w:rsidR="00C04533" w:rsidRDefault="00C04533" w:rsidP="00C04533">
      <w:pPr>
        <w:pStyle w:val="TextoNormal"/>
      </w:pPr>
      <w:r>
        <w:t>A mayor abundamiento, el demandante de amparo apunta como “datos reveladores” que: (i) durante el período en que ostentó el cargo de ministro de Justicia, la propuesta de reforma constitucional planteada por les Corts Valencianes para la recuperación efectiva del Derecho civil valenciano apenas avanzó en su tramitación parlamentaria; (ii) que sobre este extremo fue preguntado en la Comisión de Justicia del Senado el 21 de mayo de 2020; y (iii) que, según una noticia de prensa, se reunió en mayo de 2021 con el entonces alcalde de Valencia, quien le habría manifestado su interés “en la necesidad de recuperar el Derecho civil valenciano en todo su desarrollo”.</w:t>
      </w:r>
    </w:p>
    <w:p w14:paraId="35846647" w14:textId="77777777" w:rsidR="00C04533" w:rsidRDefault="00C04533" w:rsidP="00C04533">
      <w:pPr>
        <w:pStyle w:val="TextoNormal"/>
      </w:pPr>
    </w:p>
    <w:p w14:paraId="071FECAE" w14:textId="77777777" w:rsidR="00C04533" w:rsidRDefault="00C04533" w:rsidP="00C04533">
      <w:pPr>
        <w:pStyle w:val="TextoNormal"/>
      </w:pPr>
      <w:r w:rsidRPr="00C04533">
        <w:rPr>
          <w:rStyle w:val="NumeroAFNegritaCaracter"/>
        </w:rPr>
        <w:t>5</w:t>
      </w:r>
      <w:r>
        <w:t>. Mediante ATC 68/2024, de 2 de julio, el Pleno del Tribunal Constitucional acordó la inadmisión de la recusación promovida en el recurso de amparo núm. 2930-2024. La inadmisión se fundó en el carácter extemporáneo de la recusación.</w:t>
      </w:r>
    </w:p>
    <w:p w14:paraId="786BBA68" w14:textId="77777777" w:rsidR="00C04533" w:rsidRDefault="00C04533" w:rsidP="00C04533">
      <w:pPr>
        <w:pStyle w:val="TextoNormal"/>
      </w:pPr>
    </w:p>
    <w:p w14:paraId="025CAE99" w14:textId="77777777" w:rsidR="00C04533" w:rsidRDefault="00C04533" w:rsidP="00C04533">
      <w:pPr>
        <w:pStyle w:val="TextoNormal"/>
      </w:pPr>
      <w:r>
        <w:t>Con cita del ATC 31/2024, de 9 de abril, FJ 3 a), explicamos que, tratándose de un recurso en trámite de admisibilidad, el plazo de diez días a que se refiere el art. 223.1 LOPJ comienza a contarse desde el momento en que el recusante tuvo conocimiento efectivo de la composición de la sección que debe decidir sobre la admisión del recurso de amparo, lo que en este caso se produjo el 29 de abril de 2024, fecha en la que se tuvo por notificada la diligencia de ordenación de 26 de abril de 2024.</w:t>
      </w:r>
    </w:p>
    <w:p w14:paraId="57CE26E5" w14:textId="77777777" w:rsidR="00C04533" w:rsidRDefault="00C04533" w:rsidP="00C04533">
      <w:pPr>
        <w:pStyle w:val="TextoNormal"/>
      </w:pPr>
    </w:p>
    <w:p w14:paraId="47122695" w14:textId="77777777" w:rsidR="00C04533" w:rsidRDefault="00C04533" w:rsidP="00C04533">
      <w:pPr>
        <w:pStyle w:val="TextoNormal"/>
      </w:pPr>
      <w:r>
        <w:t xml:space="preserve">Así determinado el </w:t>
      </w:r>
      <w:r w:rsidRPr="00C04533">
        <w:rPr>
          <w:i/>
        </w:rPr>
        <w:t>dies a quo</w:t>
      </w:r>
      <w:r>
        <w:t xml:space="preserve"> para el cómputo del plazo, el incidente promovido mediante escrito presentado el 10 de junio de 2024 fue inadmitido por extemporaneidad, al haberse planteado más de un mes después desde la notificación a la representación procesal del recurrente de la primera resolución de este tribunal en la que figuraba que el conocimiento del recurso de amparo había correspondido a la Sección Segunda del tribunal y, en todo caso, una vez sobrepasado con creces el plazo de diez días legalmente establecido al efecto.</w:t>
      </w:r>
    </w:p>
    <w:p w14:paraId="3D6545B9" w14:textId="77777777" w:rsidR="00C04533" w:rsidRDefault="00C04533" w:rsidP="00C04533">
      <w:pPr>
        <w:pStyle w:val="TextoNormal"/>
      </w:pPr>
    </w:p>
    <w:p w14:paraId="4EC268E9" w14:textId="061DB341" w:rsidR="00C04533" w:rsidRDefault="00C04533" w:rsidP="00C04533">
      <w:pPr>
        <w:pStyle w:val="TextoNormal"/>
      </w:pPr>
      <w:r>
        <w:t>En fin, el auto rechazó la tesis del promotor del incidente de recusación de que el plazo hubiera de comenzar a contarse a partir del 3 de junio de 2024, con ocasión de la publicación de una noticia de prensa, puesto que todos los hechos en los que se funda la recusación eran anteriores en el tiempo a la interposición del recurso de amparo y a la publicación de la composición de las salas y secciones del tribunal. Además, el auto señaló que todos estos hechos eran públicos y notorios, lo cual podía predicarse tanto del desempeño de las funciones propias de los cargos de secretario de Estado de Justicia (entre los años 2009 y 2011) y de ministro de Justicia (entre los años 2020 y 2021) y de las funciones inherentes a los mismos, como del resto de circunstancias alegadas como fundamento de la recusación.</w:t>
      </w:r>
    </w:p>
    <w:p w14:paraId="0DB264D3" w14:textId="77777777" w:rsidR="00C04533" w:rsidRDefault="00C04533" w:rsidP="00C04533">
      <w:pPr>
        <w:pStyle w:val="TextoNormal"/>
      </w:pPr>
    </w:p>
    <w:p w14:paraId="743A7C6A" w14:textId="77777777" w:rsidR="00C04533" w:rsidRDefault="00C04533" w:rsidP="00C04533">
      <w:pPr>
        <w:pStyle w:val="TextoNormal"/>
      </w:pPr>
      <w:r w:rsidRPr="00C04533">
        <w:rPr>
          <w:rStyle w:val="NumeroAFNegritaCaracter"/>
        </w:rPr>
        <w:t>6</w:t>
      </w:r>
      <w:r>
        <w:t xml:space="preserve">. Frente al citado auto de inadmisión </w:t>
      </w:r>
      <w:r w:rsidRPr="00C04533">
        <w:rPr>
          <w:i/>
        </w:rPr>
        <w:t>a limine</w:t>
      </w:r>
      <w:r>
        <w:t xml:space="preserve"> de la recusación, el demandante interpuso recurso de súplica, mediante escrito presentado el 11 de julio de 2024. Como motivo de impugnación alega, en síntesis, que no pudo tener conocimiento de los hechos en los que se funda incidente de recusación hasta la publicación, con fecha 3 de julio de 2024, de un artículo en el diario digital “Valencia Plaza”, que llevaba por título “Juan Carlos Campo Moreno era secretario de Estado de Justicia en el ejecutivo de Zapatero — El ponente del TC en el asunto del derecho civil valenciano estaba en el Gobierno que lo recurrió”. Afirma, en definitiva, que la doctrina constitucional aplicada por el auto recurrido no resulta aplicable al caso y que lo determinante no es la fecha en que se produjeron los hechos alegados sino el momento en el que el recusante tuvo conocimiento de los mismos.</w:t>
      </w:r>
    </w:p>
    <w:p w14:paraId="31DD4B8A" w14:textId="77777777" w:rsidR="00C04533" w:rsidRDefault="00C04533" w:rsidP="00C04533">
      <w:pPr>
        <w:pStyle w:val="TextoNormal"/>
      </w:pPr>
    </w:p>
    <w:p w14:paraId="20EB3E43" w14:textId="682539B2" w:rsidR="00C04533" w:rsidRDefault="00C04533" w:rsidP="00C04533">
      <w:pPr>
        <w:pStyle w:val="TextoNormal"/>
      </w:pPr>
      <w:r>
        <w:t>Termina suplicando que se estime el recurso de súplica, se revoque el auto recurrido y, en consecuencia, se admita a trámite y se estime el incidente de recusación promovido.</w:t>
      </w:r>
    </w:p>
    <w:p w14:paraId="2204239E" w14:textId="77777777" w:rsidR="00C04533" w:rsidRDefault="00C04533" w:rsidP="00C04533">
      <w:pPr>
        <w:pStyle w:val="TextoNormal"/>
      </w:pPr>
    </w:p>
    <w:p w14:paraId="40BE1B63" w14:textId="658BA951" w:rsidR="00C04533" w:rsidRDefault="00C04533" w:rsidP="00C04533">
      <w:pPr>
        <w:pStyle w:val="TextoNormal"/>
      </w:pPr>
      <w:r w:rsidRPr="00C04533">
        <w:rPr>
          <w:rStyle w:val="NumeroAFNegritaCaracter"/>
        </w:rPr>
        <w:t>7</w:t>
      </w:r>
      <w:r>
        <w:t>. Por diligencia de ordenación de 15 de julio de 2024 de la Secretaría de Justicia del Pleno, se acordó incorporar a las actuaciones el escrito de interposición del recurso de súplica, así como dar traslado del mismo al Ministerio Fiscal para que, en el plazo de tres días, pudiera alegar lo que estimase procedente en relación con dicho recurso.</w:t>
      </w:r>
    </w:p>
    <w:p w14:paraId="16539A4F" w14:textId="77777777" w:rsidR="00C04533" w:rsidRDefault="00C04533" w:rsidP="00C04533">
      <w:pPr>
        <w:pStyle w:val="TextoNormal"/>
      </w:pPr>
    </w:p>
    <w:p w14:paraId="0246E35D" w14:textId="77777777" w:rsidR="00C04533" w:rsidRDefault="00C04533" w:rsidP="00C04533">
      <w:pPr>
        <w:pStyle w:val="TextoNormal"/>
      </w:pPr>
      <w:r w:rsidRPr="00C04533">
        <w:rPr>
          <w:rStyle w:val="NumeroAFNegritaCaracter"/>
        </w:rPr>
        <w:t>8</w:t>
      </w:r>
      <w:r>
        <w:t>. Con fecha 31 de julio de 2024 tuvo entrada el escrito de alegaciones del Ministerio Fiscal. Tras exponer los antecedentes relevantes, la fundamentación del auto impugnado y las alegaciones en las que se funda el recurso de súplica, interesa su desestimación.</w:t>
      </w:r>
    </w:p>
    <w:p w14:paraId="61722DD4" w14:textId="77777777" w:rsidR="00C04533" w:rsidRDefault="00C04533" w:rsidP="00C04533">
      <w:pPr>
        <w:pStyle w:val="TextoNormal"/>
      </w:pPr>
    </w:p>
    <w:p w14:paraId="3F5C4A2C" w14:textId="4BE23418" w:rsidR="00C04533" w:rsidRDefault="00C04533" w:rsidP="00C04533">
      <w:pPr>
        <w:pStyle w:val="TextoNormal"/>
      </w:pPr>
      <w:r>
        <w:t>El Ministerio Fiscal rechaza que el plazo para instar la recusación haya de computarse a partir del 3 de junio de 2024, como pretende el recurrente. Sostiene que a partir del contenido de la noticia publicada en dicha fecha no se añade ninguna circunstancia determinante del conocimiento de las causas de recusación alegadas, porque la noticia se refiere a las funciones del ministro de Justicia (años 2020 y 2021) y del secretario de Estado de Justicia (entre los años 2009 y 2011), a la dependencia de la Abogacía del Estado, a la interposición por el presidente del Gobierno de un recurso de inconstitucionalidad y su posterior mantenimiento. A juicio del Ministerio Fiscal, tales circunstancias no constituyen elementos determinantes del nuevo conocimiento de las causas de recusación alegadas, pues la noticia se refiere a hechos que son de público conocimiento, derivadas del ejercicio de las funciones que el magistrado recusado tenía encomendadas en el tiempo de ejercicio de su cargo, hace ya varios años, y cuyo conocimiento por el recurrente no podía derivar de una noticia periodística reciente, a partir de la cual se pretende que se compute el plazo de recusación.</w:t>
      </w:r>
    </w:p>
    <w:p w14:paraId="437C2CCF" w14:textId="77777777" w:rsidR="00C04533" w:rsidRDefault="00C04533" w:rsidP="00C04533">
      <w:pPr>
        <w:pStyle w:val="TextoNormal"/>
      </w:pPr>
    </w:p>
    <w:p w14:paraId="272E154E" w14:textId="77777777" w:rsidR="00C04533" w:rsidRDefault="00C04533" w:rsidP="00C04533">
      <w:pPr>
        <w:pStyle w:val="TextoNormalNegritaCentrado"/>
        <w:keepNext/>
      </w:pPr>
      <w:r>
        <w:t>II. Fundamentos jurídicos</w:t>
      </w:r>
    </w:p>
    <w:p w14:paraId="7A355EC0" w14:textId="6C80E069" w:rsidR="00C04533" w:rsidRDefault="00C04533" w:rsidP="00C04533">
      <w:pPr>
        <w:pStyle w:val="TextoNormalNegritaCentrado"/>
        <w:keepNext/>
      </w:pPr>
    </w:p>
    <w:p w14:paraId="74D9FC52" w14:textId="77777777" w:rsidR="00C04533" w:rsidRDefault="00C04533" w:rsidP="00C04533">
      <w:pPr>
        <w:pStyle w:val="TextoNormal"/>
      </w:pPr>
      <w:r w:rsidRPr="00C04533">
        <w:rPr>
          <w:rStyle w:val="TextoNormalNegritaCaracter"/>
        </w:rPr>
        <w:t xml:space="preserve">Único. </w:t>
      </w:r>
      <w:r>
        <w:t>El objeto de la presente resolución es resolver el recurso de súplica interpuesto por el demandante contra el ATC 68/2024, de 2 de julio, por el que se acuerda la inadmisión por extemporaneidad de la recusación formulada en este recurso de amparo, cuya fundamentación se sintetiza en los antecedentes de esta resolución. El recurso ha de ser desestimado toda vez que ninguna de las alegaciones puestas de manifiesto por el recurrente desvirtúa las razones que llevaron a apreciar el carácter extemporáneo de la recusación dirigida contra el magistrado don Juan Carlos Campo Moreno.</w:t>
      </w:r>
    </w:p>
    <w:p w14:paraId="664E8450" w14:textId="77777777" w:rsidR="00C04533" w:rsidRDefault="00C04533" w:rsidP="00C04533">
      <w:pPr>
        <w:pStyle w:val="TextoNormal"/>
      </w:pPr>
    </w:p>
    <w:p w14:paraId="78E5592C" w14:textId="77777777" w:rsidR="00C04533" w:rsidRDefault="00C04533" w:rsidP="00C04533">
      <w:pPr>
        <w:pStyle w:val="TextoNormal"/>
      </w:pPr>
      <w:r>
        <w:t>En efecto, las razones en las que se funda la recusación se encuentran ligadas al desempeño por el magistrado recusado de las funciones inherentes a los cargos de secretario de Estado de Justicia (entre los años 2009 a 2011) y de ministro de Justicia (años 2020 y 2021), así como a intervenciones públicas efectuadas por aquel durante dichos períodos; circunstancias todas ellas anteriores a la interposición del recurso de amparo y que gozaban de publicidad a través del “Boletín Oficial del Estado”, los diarios de sesiones del Congreso de los Diputados, del Senado y de les Corts Valencianes, así como a través de noticias de prensa publicadas también con bastante anterioridad a la fecha de interposición del recurso de amparo.</w:t>
      </w:r>
    </w:p>
    <w:p w14:paraId="7C20437F" w14:textId="77777777" w:rsidR="00C04533" w:rsidRDefault="00C04533" w:rsidP="00C04533">
      <w:pPr>
        <w:pStyle w:val="TextoNormal"/>
      </w:pPr>
    </w:p>
    <w:p w14:paraId="4059E1FB" w14:textId="77777777" w:rsidR="00C04533" w:rsidRDefault="00C04533" w:rsidP="00C04533">
      <w:pPr>
        <w:pStyle w:val="TextoNormal"/>
      </w:pPr>
      <w:r>
        <w:t>Por lo tanto, al basarse la recusación en circunstancias que el recurrente pudo perfectamente conocer a partir de fuentes de información que estaban a su disposición y alcance al tiempo de interponer la demanda de amparo, el plazo previsto en el art. 223.1 LOPJ debe computarse, conforme a reiterada doctrina de este tribunal, a partir del momento en que el recusante tuvo conocimiento efectivo de la composición de la sección a la que corresponde decidir sobre la admisión del recurso de amparo, lo que se produjo a través de la diligencia de ordenación de 26 de abril de 2024.</w:t>
      </w:r>
    </w:p>
    <w:p w14:paraId="3A2342B5" w14:textId="77777777" w:rsidR="00C04533" w:rsidRDefault="00C04533" w:rsidP="00C04533">
      <w:pPr>
        <w:pStyle w:val="TextoNormal"/>
      </w:pPr>
    </w:p>
    <w:p w14:paraId="4E3E7DE0" w14:textId="213ACF2E" w:rsidR="00C04533" w:rsidRDefault="00C04533" w:rsidP="00C04533">
      <w:pPr>
        <w:pStyle w:val="TextoNormal"/>
      </w:pPr>
      <w:r>
        <w:t xml:space="preserve">Frente a lo anterior, el demandante insiste en que solo pudo conocer en detalle los hechos en los que basa la recusación a raíz de una noticia de prensa, publicada el 3 de julio de 2024. Semejante planteamiento, que ya rechazamos de manera expresa en el auto impugnado, debe ser descartado por dos razones. En primer lugar, porque, como señala el Ministerio Fiscal, el citado artículo de prensa no añade ningún dato determinante para fundar la recusación, en relación con los cargos y funciones desempeñados en el pasado por el magistrado recusado, que no pudiera ser conocido a partir de las fuentes de publicidad oficial ya mencionadas. En segundo lugar, porque, como hemos afirmado recientemente, aceptar la tesis del recurrente “supondría dejar a los medios de comunicación la facultad de determinar el </w:t>
      </w:r>
      <w:r w:rsidRPr="00C04533">
        <w:rPr>
          <w:i/>
        </w:rPr>
        <w:t>dies a quo</w:t>
      </w:r>
      <w:r>
        <w:t xml:space="preserve"> del plazo del art. 223.1 LOPJ […], impidiendo mientras nada publiquen que corra el citado plazo legal, con la consiguiente inseguridad jurídica e indebida dispensa a las partes del proceso de la carga que solo sobre ellas recae, en cuanto a poner de manifiesto de manera inmediata en aquel plazo la posible causa de parcialidad que concurriere, mediante escrito fundado” [ATC 70/2024, de 16 de julio, FJ 2 C) a)].</w:t>
      </w:r>
    </w:p>
    <w:p w14:paraId="4D853951" w14:textId="77777777" w:rsidR="00C04533" w:rsidRDefault="00C04533" w:rsidP="00C04533">
      <w:pPr>
        <w:pStyle w:val="TextoNormal"/>
      </w:pPr>
    </w:p>
    <w:p w14:paraId="3FFB1615" w14:textId="77777777" w:rsidR="00C04533" w:rsidRDefault="00C04533" w:rsidP="00C04533">
      <w:pPr>
        <w:pStyle w:val="TextoNormal"/>
      </w:pPr>
      <w:r>
        <w:t>Por lo expuesto, el Pleno</w:t>
      </w:r>
    </w:p>
    <w:p w14:paraId="66960153" w14:textId="23BDB5FB" w:rsidR="00C04533" w:rsidRDefault="00C04533" w:rsidP="00C04533">
      <w:pPr>
        <w:pStyle w:val="TextoNormal"/>
      </w:pPr>
    </w:p>
    <w:p w14:paraId="204C1A9B" w14:textId="77777777" w:rsidR="00C04533" w:rsidRDefault="00C04533" w:rsidP="00C04533">
      <w:pPr>
        <w:pStyle w:val="TextoNormalCentrado"/>
      </w:pPr>
      <w:r>
        <w:t>ACUERDA</w:t>
      </w:r>
    </w:p>
    <w:p w14:paraId="491A5B71" w14:textId="1332D618" w:rsidR="00C04533" w:rsidRDefault="00C04533" w:rsidP="00C04533">
      <w:pPr>
        <w:pStyle w:val="TextoNormalCentrado"/>
      </w:pPr>
    </w:p>
    <w:p w14:paraId="515AFD54" w14:textId="2AB559F5" w:rsidR="00C04533" w:rsidRDefault="00C04533" w:rsidP="00C04533">
      <w:pPr>
        <w:pStyle w:val="TextoNormal"/>
      </w:pPr>
      <w:r>
        <w:t>Desestimar el recurso de súplica interpuesto por don Enric Morera i Catalá contra el ATC 68/2024, de 2 de julio.</w:t>
      </w:r>
    </w:p>
    <w:p w14:paraId="25483373" w14:textId="77777777" w:rsidR="00C04533" w:rsidRDefault="00C04533" w:rsidP="00C04533">
      <w:pPr>
        <w:pStyle w:val="TextoNormal"/>
      </w:pPr>
    </w:p>
    <w:p w14:paraId="790FB35D" w14:textId="77777777" w:rsidR="00C04533" w:rsidRDefault="00C04533" w:rsidP="00C04533">
      <w:pPr>
        <w:pStyle w:val="TextoNormal"/>
      </w:pPr>
      <w:r>
        <w:t>Madrid, a veinticuatro de septiembre de dos mil veinticuatro.</w:t>
      </w:r>
    </w:p>
    <w:p w14:paraId="2606ED0A" w14:textId="72C061E9" w:rsidR="00C04533" w:rsidRDefault="00C04533">
      <w:pPr>
        <w:spacing w:after="160" w:line="278" w:lineRule="auto"/>
        <w:rPr>
          <w:rFonts w:ascii="Times New Roman" w:eastAsia="Times New Roman" w:hAnsi="Times New Roman" w:cs="Times New Roman"/>
          <w:sz w:val="24"/>
          <w:szCs w:val="24"/>
          <w:lang w:eastAsia="es-ES"/>
        </w:rPr>
      </w:pPr>
      <w:r>
        <w:br w:type="page"/>
      </w:r>
    </w:p>
    <w:p w14:paraId="1A3AA306" w14:textId="77777777" w:rsidR="00C04533" w:rsidRDefault="00C04533" w:rsidP="00C04533">
      <w:pPr>
        <w:pStyle w:val="TtuloResolucin"/>
      </w:pPr>
      <w:bookmarkStart w:id="97" w:name="AUTO_2024_91"/>
      <w:r>
        <w:t>AUTO 91/2024, de 24 de septiembre de 2024</w:t>
      </w:r>
    </w:p>
    <w:bookmarkEnd w:id="97"/>
    <w:p w14:paraId="406AE34F" w14:textId="77777777" w:rsidR="00C04533" w:rsidRDefault="00C04533" w:rsidP="00C04533">
      <w:pPr>
        <w:pStyle w:val="TtuloResolucin"/>
      </w:pPr>
      <w:r>
        <w:t>Pleno</w:t>
      </w:r>
    </w:p>
    <w:p w14:paraId="23FAFAB8" w14:textId="77777777" w:rsidR="00C04533" w:rsidRDefault="00C04533" w:rsidP="00C04533">
      <w:pPr>
        <w:pStyle w:val="TextoNormalCentrado"/>
      </w:pPr>
      <w:r>
        <w:t>ECLI:ES:TC:2024:91A</w:t>
      </w:r>
    </w:p>
    <w:p w14:paraId="7597A381" w14:textId="5568791C" w:rsidR="00C04533" w:rsidRDefault="00C04533" w:rsidP="00C04533">
      <w:pPr>
        <w:pStyle w:val="TextoNormalCentrado"/>
      </w:pPr>
    </w:p>
    <w:p w14:paraId="24D3497B"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w:t>
      </w:r>
    </w:p>
    <w:p w14:paraId="3AC48C06" w14:textId="2B34D4C5" w:rsidR="00C04533" w:rsidRDefault="00C04533" w:rsidP="00C04533">
      <w:pPr>
        <w:pStyle w:val="SntesisDescriptiva"/>
      </w:pPr>
    </w:p>
    <w:p w14:paraId="0A5D55F4" w14:textId="77777777" w:rsidR="00C04533" w:rsidRDefault="00C04533" w:rsidP="00C04533">
      <w:pPr>
        <w:pStyle w:val="SntesisDescriptiva"/>
      </w:pPr>
      <w:r>
        <w:t>Acepta una abstención en el recurso de inconstitucionalidad 6436-2024 y quince más; en la cuestión de inconstitucionalidad 6596-2024 y dos más, y declara la pérdida de objeto de la recusación de un magistrado en el recurso de inconstitucionalidad 6436-2024 y ocho más. Votos particulares.</w:t>
      </w:r>
    </w:p>
    <w:p w14:paraId="29843915" w14:textId="0CC55BBF" w:rsidR="00C04533" w:rsidRDefault="00C04533" w:rsidP="00C04533">
      <w:pPr>
        <w:pStyle w:val="SntesisDescriptiva"/>
      </w:pPr>
    </w:p>
    <w:p w14:paraId="418DC7C7" w14:textId="77777777" w:rsidR="00C04533" w:rsidRDefault="00C04533" w:rsidP="00C04533">
      <w:pPr>
        <w:pStyle w:val="SntesisDescriptiva"/>
      </w:pPr>
    </w:p>
    <w:p w14:paraId="6D2B5B73" w14:textId="77777777" w:rsidR="00C04533" w:rsidRDefault="00C04533" w:rsidP="00C04533">
      <w:pPr>
        <w:pStyle w:val="SntesisDescriptiva"/>
      </w:pPr>
    </w:p>
    <w:p w14:paraId="04C9C4E1" w14:textId="77777777" w:rsidR="00C04533" w:rsidRDefault="00C04533" w:rsidP="00C04533">
      <w:pPr>
        <w:pStyle w:val="TextoNormalNegritaCentrado"/>
      </w:pPr>
      <w:r>
        <w:t>AUTO</w:t>
      </w:r>
    </w:p>
    <w:p w14:paraId="52C07873" w14:textId="3CD9A633" w:rsidR="00C04533" w:rsidRDefault="00C04533" w:rsidP="00C04533">
      <w:pPr>
        <w:pStyle w:val="TextoNormalNegritaCentrado"/>
      </w:pPr>
    </w:p>
    <w:p w14:paraId="1A4F4DFB" w14:textId="77777777" w:rsidR="00C04533" w:rsidRDefault="00C04533" w:rsidP="00C04533">
      <w:pPr>
        <w:pStyle w:val="TextoNormalNegritaCentrado"/>
        <w:keepNext/>
      </w:pPr>
      <w:r>
        <w:t>I. Antecedentes</w:t>
      </w:r>
    </w:p>
    <w:p w14:paraId="2E39D88B" w14:textId="7C350D61" w:rsidR="00C04533" w:rsidRDefault="00C04533" w:rsidP="00C04533">
      <w:pPr>
        <w:pStyle w:val="TextoNormalNegritaCentrado"/>
        <w:keepNext/>
      </w:pPr>
    </w:p>
    <w:p w14:paraId="152DCF48" w14:textId="77777777" w:rsidR="00C04533" w:rsidRDefault="00C04533" w:rsidP="00C04533">
      <w:pPr>
        <w:pStyle w:val="TextoNormal"/>
      </w:pPr>
      <w:r w:rsidRPr="00C04533">
        <w:rPr>
          <w:rStyle w:val="NumeroAFNegritaCaracter"/>
        </w:rPr>
        <w:t>1</w:t>
      </w:r>
      <w:r>
        <w:t>. Por escrito de 16 de septiembre de 2024, el magistrado don Juan Carlos Campo Moreno comunicó al señor presidente del Tribunal Constitucional, a los efectos oportunos, su voluntad de abstenerse de intervenir en el conocimiento del presente recurso de inconstitucionalidad núm. 6436-2024; abstención que hace extensiva a otros recursos y cuestiones de inconstitucionalidad ya presentados en los que se impugna la Ley Orgánica 1/2024, de 10 de junio, de amnistía para la normalización institucional, política y social en Cataluña. La relación completa de procesos constitucionales en los que formula su abstención es la siguiente:</w:t>
      </w:r>
    </w:p>
    <w:p w14:paraId="5613E559" w14:textId="77777777" w:rsidR="00C04533" w:rsidRDefault="00C04533" w:rsidP="00C04533">
      <w:pPr>
        <w:pStyle w:val="TextoNormal"/>
      </w:pPr>
    </w:p>
    <w:p w14:paraId="639F8552" w14:textId="77777777" w:rsidR="00C04533" w:rsidRDefault="00C04533" w:rsidP="00C04533">
      <w:pPr>
        <w:pStyle w:val="TextoNormal"/>
      </w:pPr>
      <w:r>
        <w:t>- Recurso de inconstitucionalidad 6436-2024 (Más de cincuenta diputados y más de cincuenta senadores del Grupo Parlamentario Popular).</w:t>
      </w:r>
    </w:p>
    <w:p w14:paraId="6A0DF1F2" w14:textId="77777777" w:rsidR="00C04533" w:rsidRDefault="00C04533" w:rsidP="00C04533">
      <w:pPr>
        <w:pStyle w:val="TextoNormal"/>
      </w:pPr>
    </w:p>
    <w:p w14:paraId="2A6FC343" w14:textId="77777777" w:rsidR="00C04533" w:rsidRDefault="00C04533" w:rsidP="00C04533">
      <w:pPr>
        <w:pStyle w:val="TextoNormal"/>
      </w:pPr>
      <w:r>
        <w:t>- Recurso de inconstitucionalidad 6486-2024 (Cortes de Aragón).</w:t>
      </w:r>
    </w:p>
    <w:p w14:paraId="284FF844" w14:textId="77777777" w:rsidR="00C04533" w:rsidRDefault="00C04533" w:rsidP="00C04533">
      <w:pPr>
        <w:pStyle w:val="TextoNormal"/>
      </w:pPr>
    </w:p>
    <w:p w14:paraId="14FB15E6" w14:textId="77777777" w:rsidR="00C04533" w:rsidRDefault="00C04533" w:rsidP="00C04533">
      <w:pPr>
        <w:pStyle w:val="TextoNormal"/>
      </w:pPr>
      <w:r>
        <w:t>- Recurso de inconstitucionalidad 6525-2024 (Parlamento de Cantabria).</w:t>
      </w:r>
    </w:p>
    <w:p w14:paraId="7E6ADE3F" w14:textId="77777777" w:rsidR="00C04533" w:rsidRDefault="00C04533" w:rsidP="00C04533">
      <w:pPr>
        <w:pStyle w:val="TextoNormal"/>
      </w:pPr>
    </w:p>
    <w:p w14:paraId="111C1B7C" w14:textId="77777777" w:rsidR="00C04533" w:rsidRDefault="00C04533" w:rsidP="00C04533">
      <w:pPr>
        <w:pStyle w:val="TextoNormal"/>
      </w:pPr>
      <w:r>
        <w:t>- Recurso de inconstitucionalidad 6547-2024 (Gobierno de Aragón).</w:t>
      </w:r>
    </w:p>
    <w:p w14:paraId="6F1CD69D" w14:textId="77777777" w:rsidR="00C04533" w:rsidRDefault="00C04533" w:rsidP="00C04533">
      <w:pPr>
        <w:pStyle w:val="TextoNormal"/>
      </w:pPr>
    </w:p>
    <w:p w14:paraId="28148A7C" w14:textId="77777777" w:rsidR="00C04533" w:rsidRDefault="00C04533" w:rsidP="00C04533">
      <w:pPr>
        <w:pStyle w:val="TextoNormal"/>
      </w:pPr>
      <w:r>
        <w:t>- Recurso de inconstitucionalidad 6549-2024 (Consejo de Gobierno de la Comunidad de Madrid).</w:t>
      </w:r>
    </w:p>
    <w:p w14:paraId="37B6A8B9" w14:textId="77777777" w:rsidR="00C04533" w:rsidRDefault="00C04533" w:rsidP="00C04533">
      <w:pPr>
        <w:pStyle w:val="TextoNormal"/>
      </w:pPr>
    </w:p>
    <w:p w14:paraId="6FD923FA" w14:textId="77777777" w:rsidR="00C04533" w:rsidRDefault="00C04533" w:rsidP="00C04533">
      <w:pPr>
        <w:pStyle w:val="TextoNormal"/>
      </w:pPr>
      <w:r>
        <w:t>- Recurso de inconstitucionalidad 6552-2024 (Consejo de Gobierno de la Junta de Comunidades de Castilla-La Mancha).</w:t>
      </w:r>
    </w:p>
    <w:p w14:paraId="3452911B" w14:textId="77777777" w:rsidR="00C04533" w:rsidRDefault="00C04533" w:rsidP="00C04533">
      <w:pPr>
        <w:pStyle w:val="TextoNormal"/>
      </w:pPr>
    </w:p>
    <w:p w14:paraId="27A6E454" w14:textId="77777777" w:rsidR="00C04533" w:rsidRDefault="00C04533" w:rsidP="00C04533">
      <w:pPr>
        <w:pStyle w:val="TextoNormal"/>
      </w:pPr>
      <w:r>
        <w:t>- Recurso de inconstitucionalidad 6556-2024 (Junta de Galicia).</w:t>
      </w:r>
    </w:p>
    <w:p w14:paraId="2B7B0995" w14:textId="77777777" w:rsidR="00C04533" w:rsidRDefault="00C04533" w:rsidP="00C04533">
      <w:pPr>
        <w:pStyle w:val="TextoNormal"/>
      </w:pPr>
    </w:p>
    <w:p w14:paraId="66890A44" w14:textId="77777777" w:rsidR="00C04533" w:rsidRDefault="00C04533" w:rsidP="00C04533">
      <w:pPr>
        <w:pStyle w:val="TextoNormal"/>
      </w:pPr>
      <w:r>
        <w:t>- Recurso de inconstitucionalidad 6560-2024 (Gobierno de la Región de Murcia).</w:t>
      </w:r>
    </w:p>
    <w:p w14:paraId="0255FDE7" w14:textId="77777777" w:rsidR="00C04533" w:rsidRDefault="00C04533" w:rsidP="00C04533">
      <w:pPr>
        <w:pStyle w:val="TextoNormal"/>
      </w:pPr>
    </w:p>
    <w:p w14:paraId="182B8903" w14:textId="77777777" w:rsidR="00C04533" w:rsidRDefault="00C04533" w:rsidP="00C04533">
      <w:pPr>
        <w:pStyle w:val="TextoNormal"/>
      </w:pPr>
      <w:r>
        <w:t>- Recurso de inconstitucionalidad 6562-2024 (Asamblea Regional de Murcia).</w:t>
      </w:r>
    </w:p>
    <w:p w14:paraId="390BDDE6" w14:textId="77777777" w:rsidR="00C04533" w:rsidRDefault="00C04533" w:rsidP="00C04533">
      <w:pPr>
        <w:pStyle w:val="TextoNormal"/>
      </w:pPr>
    </w:p>
    <w:p w14:paraId="6FBDB284" w14:textId="77777777" w:rsidR="00C04533" w:rsidRDefault="00C04533" w:rsidP="00C04533">
      <w:pPr>
        <w:pStyle w:val="TextoNormal"/>
      </w:pPr>
      <w:r>
        <w:t>- Recurso de inconstitucionalidad 6575-2024 (Junta de Andalucía).</w:t>
      </w:r>
    </w:p>
    <w:p w14:paraId="6A84B496" w14:textId="77777777" w:rsidR="00C04533" w:rsidRDefault="00C04533" w:rsidP="00C04533">
      <w:pPr>
        <w:pStyle w:val="TextoNormal"/>
      </w:pPr>
    </w:p>
    <w:p w14:paraId="33E6EDCC" w14:textId="77777777" w:rsidR="00C04533" w:rsidRDefault="00C04533" w:rsidP="00C04533">
      <w:pPr>
        <w:pStyle w:val="TextoNormal"/>
      </w:pPr>
      <w:r>
        <w:t>- Recurso de inconstitucionalidad 6588-2024 (Generalitat Valenciana).</w:t>
      </w:r>
    </w:p>
    <w:p w14:paraId="77EF2050" w14:textId="77777777" w:rsidR="00C04533" w:rsidRDefault="00C04533" w:rsidP="00C04533">
      <w:pPr>
        <w:pStyle w:val="TextoNormal"/>
      </w:pPr>
    </w:p>
    <w:p w14:paraId="3F0A8096" w14:textId="77777777" w:rsidR="00C04533" w:rsidRDefault="00C04533" w:rsidP="00C04533">
      <w:pPr>
        <w:pStyle w:val="TextoNormal"/>
      </w:pPr>
      <w:r>
        <w:t>- Recurso de inconstitucionalidad 6595-2024 (Junta de Castilla y León).</w:t>
      </w:r>
    </w:p>
    <w:p w14:paraId="75FD28D9" w14:textId="77777777" w:rsidR="00C04533" w:rsidRDefault="00C04533" w:rsidP="00C04533">
      <w:pPr>
        <w:pStyle w:val="TextoNormal"/>
      </w:pPr>
    </w:p>
    <w:p w14:paraId="1E3D4878" w14:textId="77777777" w:rsidR="00C04533" w:rsidRDefault="00C04533" w:rsidP="00C04533">
      <w:pPr>
        <w:pStyle w:val="TextoNormal"/>
      </w:pPr>
      <w:r>
        <w:t>- Recurso de inconstitucionalidad 6607-2024 (Gobierno de La Rioja).</w:t>
      </w:r>
    </w:p>
    <w:p w14:paraId="3BC18DAE" w14:textId="77777777" w:rsidR="00C04533" w:rsidRDefault="00C04533" w:rsidP="00C04533">
      <w:pPr>
        <w:pStyle w:val="TextoNormal"/>
      </w:pPr>
    </w:p>
    <w:p w14:paraId="418E7C9D" w14:textId="77777777" w:rsidR="00C04533" w:rsidRDefault="00C04533" w:rsidP="00C04533">
      <w:pPr>
        <w:pStyle w:val="TextoNormal"/>
      </w:pPr>
      <w:r>
        <w:t>- Recurso de inconstitucionalidad 6616-2024 (Gobierno de Cantabria).</w:t>
      </w:r>
    </w:p>
    <w:p w14:paraId="090B61D7" w14:textId="77777777" w:rsidR="00C04533" w:rsidRDefault="00C04533" w:rsidP="00C04533">
      <w:pPr>
        <w:pStyle w:val="TextoNormal"/>
      </w:pPr>
    </w:p>
    <w:p w14:paraId="1CF80351" w14:textId="77777777" w:rsidR="00C04533" w:rsidRDefault="00C04533" w:rsidP="00C04533">
      <w:pPr>
        <w:pStyle w:val="TextoNormal"/>
      </w:pPr>
      <w:r>
        <w:t>- Recurso de inconstitucionalidad 6617-2024 (Junta de Extremadura).</w:t>
      </w:r>
    </w:p>
    <w:p w14:paraId="399CC093" w14:textId="77777777" w:rsidR="00C04533" w:rsidRDefault="00C04533" w:rsidP="00C04533">
      <w:pPr>
        <w:pStyle w:val="TextoNormal"/>
      </w:pPr>
    </w:p>
    <w:p w14:paraId="561DC5AF" w14:textId="77777777" w:rsidR="00C04533" w:rsidRDefault="00C04533" w:rsidP="00C04533">
      <w:pPr>
        <w:pStyle w:val="TextoNormal"/>
      </w:pPr>
      <w:r>
        <w:t>- Recurso de inconstitucionalidad 6621-2024 (Gobierno de las Illes Balears).</w:t>
      </w:r>
    </w:p>
    <w:p w14:paraId="579B0C0F" w14:textId="77777777" w:rsidR="00C04533" w:rsidRDefault="00C04533" w:rsidP="00C04533">
      <w:pPr>
        <w:pStyle w:val="TextoNormal"/>
      </w:pPr>
    </w:p>
    <w:p w14:paraId="6318DB96" w14:textId="77777777" w:rsidR="00C04533" w:rsidRDefault="00C04533" w:rsidP="00C04533">
      <w:pPr>
        <w:pStyle w:val="TextoNormal"/>
      </w:pPr>
      <w:r>
        <w:t>- Cuestión de inconstitucionalidad 6596-2024 (Sala de lo Civil y Penal del Tribunal Superior de Justicia de Cataluña).</w:t>
      </w:r>
    </w:p>
    <w:p w14:paraId="44D8EBB0" w14:textId="77777777" w:rsidR="00C04533" w:rsidRDefault="00C04533" w:rsidP="00C04533">
      <w:pPr>
        <w:pStyle w:val="TextoNormal"/>
      </w:pPr>
    </w:p>
    <w:p w14:paraId="32B95BE5" w14:textId="77777777" w:rsidR="00C04533" w:rsidRDefault="00C04533" w:rsidP="00C04533">
      <w:pPr>
        <w:pStyle w:val="TextoNormal"/>
      </w:pPr>
      <w:r>
        <w:t>- Cuestión de inconstitucionalidad 6597-2024 (Sala de lo Civil y Penal del Tribunal Superior de Justicia de Cataluña).</w:t>
      </w:r>
    </w:p>
    <w:p w14:paraId="07C96A71" w14:textId="77777777" w:rsidR="00C04533" w:rsidRDefault="00C04533" w:rsidP="00C04533">
      <w:pPr>
        <w:pStyle w:val="TextoNormal"/>
      </w:pPr>
    </w:p>
    <w:p w14:paraId="1D72E2FB" w14:textId="55052700" w:rsidR="00C04533" w:rsidRDefault="00C04533" w:rsidP="00C04533">
      <w:pPr>
        <w:pStyle w:val="TextoNormal"/>
      </w:pPr>
      <w:r>
        <w:t>- Cuestión de inconstitucionalidad 6699-2024 (Sala de lo Civil y Penal del Tribunal Superior de Justicia de Cataluña).</w:t>
      </w:r>
    </w:p>
    <w:p w14:paraId="7DA28C42" w14:textId="77777777" w:rsidR="00C04533" w:rsidRDefault="00C04533" w:rsidP="00C04533">
      <w:pPr>
        <w:pStyle w:val="TextoNormal"/>
      </w:pPr>
    </w:p>
    <w:p w14:paraId="2D19FCCE" w14:textId="77777777" w:rsidR="00C04533" w:rsidRDefault="00C04533" w:rsidP="00C04533">
      <w:pPr>
        <w:pStyle w:val="TextoNormal"/>
      </w:pPr>
      <w:r w:rsidRPr="00C04533">
        <w:rPr>
          <w:rStyle w:val="NumeroAFNegritaCaracter"/>
        </w:rPr>
        <w:t>2</w:t>
      </w:r>
      <w:r>
        <w:t>. La solicitud de abstención la vincula el magistrado a su participación, en su anterior condición de ministro de Justicia, en la tramitación y aprobación por el Consejo de Ministros de 22 de junio de 2021, del que formó parte, de las propuestas motivadas de indulto parcial y condicionado por razones de utilidad pública, en relación con la parte de las penas privativas de libertad que restaba por extinguir a diversas personas que habían sido condenadas en la STS 459/2019, de 14 de octubre, dictada por la Sala de lo Penal del Tribunal Supremo, en relación con su participación en hechos anteriores y posteriores, pero relacionados, con la consulta ilegal desarrollada el 1 de octubre de 2017 en el territorio de la Comunidad Autónoma de Cataluña, como consecuencia de la decisión de llevar a efecto y obtener de forma unilateral su independencia, al margen de la Constitución y de su Estatuto de Autonomía.</w:t>
      </w:r>
    </w:p>
    <w:p w14:paraId="10C9152F" w14:textId="77777777" w:rsidR="00C04533" w:rsidRDefault="00C04533" w:rsidP="00C04533">
      <w:pPr>
        <w:pStyle w:val="TextoNormal"/>
      </w:pPr>
    </w:p>
    <w:p w14:paraId="72553529" w14:textId="2B9CC4A4" w:rsidR="00C04533" w:rsidRDefault="00C04533" w:rsidP="00C04533">
      <w:pPr>
        <w:pStyle w:val="TextoNormal"/>
      </w:pPr>
      <w:r>
        <w:t>Específicamente, la abstención formulada se razona en relación con el contenido de la justificación de dichas propuestas de indulto, en cuanto expresa un criterio expreso sobre la constitucionalidad de la pretensión de amnistía que, en favor de los indultados, se reclamaba entonces.</w:t>
      </w:r>
    </w:p>
    <w:p w14:paraId="38468A3D" w14:textId="77777777" w:rsidR="00C04533" w:rsidRDefault="00C04533" w:rsidP="00C04533">
      <w:pPr>
        <w:pStyle w:val="TextoNormal"/>
      </w:pPr>
    </w:p>
    <w:p w14:paraId="6F922B34" w14:textId="4E831037" w:rsidR="00C04533" w:rsidRDefault="00C04533" w:rsidP="00C04533">
      <w:pPr>
        <w:pStyle w:val="TextoNormal"/>
      </w:pPr>
      <w:r w:rsidRPr="00C04533">
        <w:rPr>
          <w:rStyle w:val="NumeroAFNegritaCaracter"/>
        </w:rPr>
        <w:t>3</w:t>
      </w:r>
      <w:r>
        <w:t>. Presentado el anterior escrito, el presidente del Tribunal acordó, en virtud de las atribuciones conferidas por el art. 15 de la Ley Orgánica del Tribunal Constitucional (LOTC), asumir personalmente la ponencia de la solicitud de abstención formulada, en atención a que se refiere a un total de dieciséis recursos de inconstitucionalidad y tres cuestiones de inconstitucionalidad a los que corresponderán ponentes diferentes sin que ninguno de dichos procesos constitucionales haya sido todavía admitido a trámite. Todo ello con el fin de adoptar las medidas necesarias para la agilización de los procedimientos y la ordenación de sus trámites, procediendo seguidamente a señalar la deliberación del asunto para el próximo Pleno que se iniciará el día 24 de septiembre de 2024.</w:t>
      </w:r>
    </w:p>
    <w:p w14:paraId="6E9D6AED" w14:textId="77777777" w:rsidR="00C04533" w:rsidRDefault="00C04533" w:rsidP="00C04533">
      <w:pPr>
        <w:pStyle w:val="TextoNormal"/>
      </w:pPr>
    </w:p>
    <w:p w14:paraId="2E498ECB" w14:textId="77777777" w:rsidR="00C04533" w:rsidRDefault="00C04533" w:rsidP="00C04533">
      <w:pPr>
        <w:pStyle w:val="TextoNormalNegritaCentrado"/>
        <w:keepNext/>
      </w:pPr>
      <w:r>
        <w:t>II. Fundamentos jurídicos</w:t>
      </w:r>
    </w:p>
    <w:p w14:paraId="569AA4C0" w14:textId="05AF39D0" w:rsidR="00C04533" w:rsidRDefault="00C04533" w:rsidP="00C04533">
      <w:pPr>
        <w:pStyle w:val="TextoNormalNegritaCentrado"/>
        <w:keepNext/>
      </w:pPr>
    </w:p>
    <w:p w14:paraId="79F7C003" w14:textId="77777777" w:rsidR="00C04533" w:rsidRDefault="00C04533" w:rsidP="00C04533">
      <w:pPr>
        <w:pStyle w:val="TextoNormal"/>
      </w:pPr>
      <w:r w:rsidRPr="00C04533">
        <w:rPr>
          <w:rStyle w:val="NumeroAFNegritaCaracter"/>
        </w:rPr>
        <w:t>1</w:t>
      </w:r>
      <w:r>
        <w:t>. Visto el contenido de la comunicación efectuada por el magistrado don Juan Carlos Campo Moreno, en virtud de lo previsto en los arts. 80 LOTC y 221.4 de la Ley Orgánica del Poder Judicial (LOPJ), se estima justificada la causa de la abstención formulada en cada una de las causas reseñadas en los antecedentes de esta resolución.</w:t>
      </w:r>
    </w:p>
    <w:p w14:paraId="58922A2B" w14:textId="77777777" w:rsidR="00C04533" w:rsidRDefault="00C04533" w:rsidP="00C04533">
      <w:pPr>
        <w:pStyle w:val="TextoNormal"/>
      </w:pPr>
    </w:p>
    <w:p w14:paraId="13618F46" w14:textId="77777777" w:rsidR="00C04533" w:rsidRDefault="00C04533" w:rsidP="00C04533">
      <w:pPr>
        <w:pStyle w:val="TextoNormal"/>
      </w:pPr>
      <w:r>
        <w:t>Según ha indicado en su propuesta, en su anterior condición de ministro de Justicia, el magistrado señor Campo Moreno elevó al Consejo de Ministros propuesta motivada de indulto parcial en la que exteriorizó un criterio favorable a la inconstitucionalidad de la amnistía que se reclamaba para los eventuales beneficiarios de la propuesta, que finalmente dio lugar a los reales decretos 456/2021 a 464/2021 inclusive, de 22 de junio, por los que fueron concedidos los indultos parciales propuestos. Expone dicho magistrado que en esas propuestas exteriorizó “una valoración expresa y genérica sobre la inviabilidad constitucional de la amnistía, entonces reclamada en favor de las personas condenadas, quienes pudieran también verse afectadas por las previsiones de la […] Ley Orgánica 1/2024, de 10 de junio, de amnistía para la normalización institucional, política y social en Cataluña”.</w:t>
      </w:r>
    </w:p>
    <w:p w14:paraId="55E7CA6C" w14:textId="77777777" w:rsidR="00C04533" w:rsidRDefault="00C04533" w:rsidP="00C04533">
      <w:pPr>
        <w:pStyle w:val="TextoNormal"/>
      </w:pPr>
    </w:p>
    <w:p w14:paraId="2B3B4D2F" w14:textId="584B11E8" w:rsidR="00C04533" w:rsidRDefault="00C04533" w:rsidP="00C04533">
      <w:pPr>
        <w:pStyle w:val="TextoNormal"/>
      </w:pPr>
      <w:r>
        <w:t>En todos los procesos constitucionales a los que ahora se extiende su propuesta de abstención se plantea a este tribunal la eventual inconstitucionalidad de diversos preceptos de la citada Ley Orgánica 1/2024, de 10 de junio. La coincidencia de su objeto con la anterior valoración, exteriorizada en las propuestas de resolución emitidas en su condición de ministro de Justicia al justificar las propuestas de indulto, permite apreciar también en este caso, como hemos admitido en el reciente ATC de 10 de septiembre de 2024, recurso de amparo núm. 6155-2023, la concurrencia de la causa de recusación que justifica la abstención solicitada, bien al amparo del art. 219.10 LOPJ expresamente aludido en la comunicación presentada por el magistrado (“[t]ener interés directo o indirecto en el pleito o causa”), bien bajo la cobertura del apartado decimosexto del mismo precepto legal (“[h]aber ocupado el juez o magistrado cargo público o administrativo con ocasión del cual haya podido tener conocimiento del objeto del litigio y formar criterio en detrimento de la debida imparcialidad”).</w:t>
      </w:r>
    </w:p>
    <w:p w14:paraId="7971F6E4" w14:textId="77777777" w:rsidR="00C04533" w:rsidRDefault="00C04533" w:rsidP="00C04533">
      <w:pPr>
        <w:pStyle w:val="TextoNormal"/>
      </w:pPr>
    </w:p>
    <w:p w14:paraId="02CD481B" w14:textId="652D5515" w:rsidR="00C04533" w:rsidRDefault="00C04533" w:rsidP="00C04533">
      <w:pPr>
        <w:pStyle w:val="TextoNormal"/>
      </w:pPr>
      <w:r w:rsidRPr="00C04533">
        <w:rPr>
          <w:rStyle w:val="NumeroAFNegritaCaracter"/>
        </w:rPr>
        <w:t>2</w:t>
      </w:r>
      <w:r>
        <w:t>. La estimación en esta resolución de la abstención presentada conlleva la pérdida sobrevenida de objeto de la recusación del señor Campo Moreno que ha sido formulada en nueve de los procesos constitucionales ya reseñados, en alguno de los cuales, incluso, en razón de una causa coincidente con la que justifica la propuesta de abstención que ahora se estima.</w:t>
      </w:r>
    </w:p>
    <w:p w14:paraId="23F023F5" w14:textId="77777777" w:rsidR="00C04533" w:rsidRDefault="00C04533" w:rsidP="00C04533">
      <w:pPr>
        <w:pStyle w:val="TextoNormal"/>
      </w:pPr>
    </w:p>
    <w:p w14:paraId="0297B571" w14:textId="77777777" w:rsidR="00C04533" w:rsidRDefault="00C04533" w:rsidP="00C04533">
      <w:pPr>
        <w:pStyle w:val="TextoNormal"/>
      </w:pPr>
      <w:r>
        <w:t>Por lo expuesto, el Pleno</w:t>
      </w:r>
    </w:p>
    <w:p w14:paraId="71A6EC8A" w14:textId="2BCD6B3C" w:rsidR="00C04533" w:rsidRDefault="00C04533" w:rsidP="00C04533">
      <w:pPr>
        <w:pStyle w:val="TextoNormal"/>
      </w:pPr>
    </w:p>
    <w:p w14:paraId="2935E3D5" w14:textId="77777777" w:rsidR="00C04533" w:rsidRDefault="00C04533" w:rsidP="00C04533">
      <w:pPr>
        <w:pStyle w:val="TextoNormalCentrado"/>
      </w:pPr>
      <w:r>
        <w:t>ACUERDA</w:t>
      </w:r>
    </w:p>
    <w:p w14:paraId="4FF1013D" w14:textId="6BC96BB5" w:rsidR="00C04533" w:rsidRDefault="00C04533" w:rsidP="00C04533">
      <w:pPr>
        <w:pStyle w:val="TextoNormalCentrado"/>
      </w:pPr>
    </w:p>
    <w:p w14:paraId="7F97893C" w14:textId="77777777" w:rsidR="00C04533" w:rsidRDefault="00C04533" w:rsidP="00C04533">
      <w:pPr>
        <w:pStyle w:val="TextoNormal"/>
      </w:pPr>
      <w:r>
        <w:t>Estimar justificada la abstención formulada por el magistrado don Juan Carlos Campo Moreno, apartándole definitivamente del conocimiento de los siguientes procesos constitucionales:</w:t>
      </w:r>
    </w:p>
    <w:p w14:paraId="7C44F881" w14:textId="77777777" w:rsidR="00C04533" w:rsidRDefault="00C04533" w:rsidP="00C04533">
      <w:pPr>
        <w:pStyle w:val="TextoNormal"/>
      </w:pPr>
    </w:p>
    <w:p w14:paraId="0732F4AA" w14:textId="77777777" w:rsidR="00C04533" w:rsidRDefault="00C04533" w:rsidP="00C04533">
      <w:pPr>
        <w:pStyle w:val="TextoNormal"/>
      </w:pPr>
      <w:r>
        <w:t>- Recurso de inconstitucionalidad 6436-2024 (Más de cincuenta diputados y más de cincuenta senadores del Grupo Parlamentario Popular).</w:t>
      </w:r>
    </w:p>
    <w:p w14:paraId="71637803" w14:textId="77777777" w:rsidR="00C04533" w:rsidRDefault="00C04533" w:rsidP="00C04533">
      <w:pPr>
        <w:pStyle w:val="TextoNormal"/>
      </w:pPr>
    </w:p>
    <w:p w14:paraId="6BFD7695" w14:textId="77777777" w:rsidR="00C04533" w:rsidRDefault="00C04533" w:rsidP="00C04533">
      <w:pPr>
        <w:pStyle w:val="TextoNormal"/>
      </w:pPr>
      <w:r>
        <w:t>- Recurso de inconstitucionalidad 6486-2024 (Cortes de Aragón).</w:t>
      </w:r>
    </w:p>
    <w:p w14:paraId="24D80EA2" w14:textId="77777777" w:rsidR="00C04533" w:rsidRDefault="00C04533" w:rsidP="00C04533">
      <w:pPr>
        <w:pStyle w:val="TextoNormal"/>
      </w:pPr>
    </w:p>
    <w:p w14:paraId="5777AE5C" w14:textId="77777777" w:rsidR="00C04533" w:rsidRDefault="00C04533" w:rsidP="00C04533">
      <w:pPr>
        <w:pStyle w:val="TextoNormal"/>
      </w:pPr>
      <w:r>
        <w:t>- Recurso de inconstitucionalidad 6525-2024 (Parlamento de Cantabria).</w:t>
      </w:r>
    </w:p>
    <w:p w14:paraId="4160FCA7" w14:textId="77777777" w:rsidR="00C04533" w:rsidRDefault="00C04533" w:rsidP="00C04533">
      <w:pPr>
        <w:pStyle w:val="TextoNormal"/>
      </w:pPr>
    </w:p>
    <w:p w14:paraId="17ABEC31" w14:textId="77777777" w:rsidR="00C04533" w:rsidRDefault="00C04533" w:rsidP="00C04533">
      <w:pPr>
        <w:pStyle w:val="TextoNormal"/>
      </w:pPr>
      <w:r>
        <w:t>- Recurso de inconstitucionalidad 6547-2024 (Gobierno de Aragón).</w:t>
      </w:r>
    </w:p>
    <w:p w14:paraId="021A21E4" w14:textId="77777777" w:rsidR="00C04533" w:rsidRDefault="00C04533" w:rsidP="00C04533">
      <w:pPr>
        <w:pStyle w:val="TextoNormal"/>
      </w:pPr>
    </w:p>
    <w:p w14:paraId="00EE25C3" w14:textId="77777777" w:rsidR="00C04533" w:rsidRDefault="00C04533" w:rsidP="00C04533">
      <w:pPr>
        <w:pStyle w:val="TextoNormal"/>
      </w:pPr>
      <w:r>
        <w:t>- Recurso de inconstitucionalidad 6549-2024 (Consejo de Gobierno de la Comunidad de Madrid.)</w:t>
      </w:r>
    </w:p>
    <w:p w14:paraId="5B0C2E10" w14:textId="77777777" w:rsidR="00C04533" w:rsidRDefault="00C04533" w:rsidP="00C04533">
      <w:pPr>
        <w:pStyle w:val="TextoNormal"/>
      </w:pPr>
    </w:p>
    <w:p w14:paraId="7F5EFB89" w14:textId="77777777" w:rsidR="00C04533" w:rsidRDefault="00C04533" w:rsidP="00C04533">
      <w:pPr>
        <w:pStyle w:val="TextoNormal"/>
      </w:pPr>
      <w:r>
        <w:t>- Recurso de inconstitucionalidad 6552-2024 (Consejo de Gobierno de la Junta de Comunidades de Castilla-La Mancha).</w:t>
      </w:r>
    </w:p>
    <w:p w14:paraId="553E0C5C" w14:textId="77777777" w:rsidR="00C04533" w:rsidRDefault="00C04533" w:rsidP="00C04533">
      <w:pPr>
        <w:pStyle w:val="TextoNormal"/>
      </w:pPr>
    </w:p>
    <w:p w14:paraId="5FCF8464" w14:textId="77777777" w:rsidR="00C04533" w:rsidRDefault="00C04533" w:rsidP="00C04533">
      <w:pPr>
        <w:pStyle w:val="TextoNormal"/>
      </w:pPr>
      <w:r>
        <w:t>- Recurso de inconstitucionalidad 6556-2024 (Junta de Galicia).</w:t>
      </w:r>
    </w:p>
    <w:p w14:paraId="0098C253" w14:textId="77777777" w:rsidR="00C04533" w:rsidRDefault="00C04533" w:rsidP="00C04533">
      <w:pPr>
        <w:pStyle w:val="TextoNormal"/>
      </w:pPr>
    </w:p>
    <w:p w14:paraId="28DCFB1B" w14:textId="77777777" w:rsidR="00C04533" w:rsidRDefault="00C04533" w:rsidP="00C04533">
      <w:pPr>
        <w:pStyle w:val="TextoNormal"/>
      </w:pPr>
      <w:r>
        <w:t>- Recurso de inconstitucionalidad 6560-2024 (Gobierno de la Región de Murcia).</w:t>
      </w:r>
    </w:p>
    <w:p w14:paraId="7114419D" w14:textId="77777777" w:rsidR="00C04533" w:rsidRDefault="00C04533" w:rsidP="00C04533">
      <w:pPr>
        <w:pStyle w:val="TextoNormal"/>
      </w:pPr>
    </w:p>
    <w:p w14:paraId="1D4F20AC" w14:textId="77777777" w:rsidR="00C04533" w:rsidRDefault="00C04533" w:rsidP="00C04533">
      <w:pPr>
        <w:pStyle w:val="TextoNormal"/>
      </w:pPr>
      <w:r>
        <w:t>- Recurso de inconstitucionalidad 6562-2024 (Asamblea Regional de Murcia).</w:t>
      </w:r>
    </w:p>
    <w:p w14:paraId="7C51DEFE" w14:textId="77777777" w:rsidR="00C04533" w:rsidRDefault="00C04533" w:rsidP="00C04533">
      <w:pPr>
        <w:pStyle w:val="TextoNormal"/>
      </w:pPr>
    </w:p>
    <w:p w14:paraId="7E1A93C2" w14:textId="77777777" w:rsidR="00C04533" w:rsidRDefault="00C04533" w:rsidP="00C04533">
      <w:pPr>
        <w:pStyle w:val="TextoNormal"/>
      </w:pPr>
      <w:r>
        <w:t>- Recurso de inconstitucionalidad 6575-2024 (Junta de Andalucía).</w:t>
      </w:r>
    </w:p>
    <w:p w14:paraId="053548C2" w14:textId="77777777" w:rsidR="00C04533" w:rsidRDefault="00C04533" w:rsidP="00C04533">
      <w:pPr>
        <w:pStyle w:val="TextoNormal"/>
      </w:pPr>
    </w:p>
    <w:p w14:paraId="539084AE" w14:textId="77777777" w:rsidR="00C04533" w:rsidRDefault="00C04533" w:rsidP="00C04533">
      <w:pPr>
        <w:pStyle w:val="TextoNormal"/>
      </w:pPr>
      <w:r>
        <w:t>- Recurso de inconstitucionalidad 6588-2024 (Generalitat Valenciana).</w:t>
      </w:r>
    </w:p>
    <w:p w14:paraId="0A6354DA" w14:textId="77777777" w:rsidR="00C04533" w:rsidRDefault="00C04533" w:rsidP="00C04533">
      <w:pPr>
        <w:pStyle w:val="TextoNormal"/>
      </w:pPr>
    </w:p>
    <w:p w14:paraId="62DB2C85" w14:textId="77777777" w:rsidR="00C04533" w:rsidRDefault="00C04533" w:rsidP="00C04533">
      <w:pPr>
        <w:pStyle w:val="TextoNormal"/>
      </w:pPr>
      <w:r>
        <w:t>- Recurso de inconstitucionalidad 6595-2024 (Junta de Castilla y León).</w:t>
      </w:r>
    </w:p>
    <w:p w14:paraId="196D33F8" w14:textId="77777777" w:rsidR="00C04533" w:rsidRDefault="00C04533" w:rsidP="00C04533">
      <w:pPr>
        <w:pStyle w:val="TextoNormal"/>
      </w:pPr>
    </w:p>
    <w:p w14:paraId="04FC2C04" w14:textId="77777777" w:rsidR="00C04533" w:rsidRDefault="00C04533" w:rsidP="00C04533">
      <w:pPr>
        <w:pStyle w:val="TextoNormal"/>
      </w:pPr>
      <w:r>
        <w:t>- Recurso de inconstitucionalidad 6607-2024 (Gobierno de La Rioja).</w:t>
      </w:r>
    </w:p>
    <w:p w14:paraId="55096A23" w14:textId="77777777" w:rsidR="00C04533" w:rsidRDefault="00C04533" w:rsidP="00C04533">
      <w:pPr>
        <w:pStyle w:val="TextoNormal"/>
      </w:pPr>
    </w:p>
    <w:p w14:paraId="5EF1B42B" w14:textId="77777777" w:rsidR="00C04533" w:rsidRDefault="00C04533" w:rsidP="00C04533">
      <w:pPr>
        <w:pStyle w:val="TextoNormal"/>
      </w:pPr>
      <w:r>
        <w:t>- Recurso de inconstitucionalidad 6616-2024 (Gobierno de Cantabria).</w:t>
      </w:r>
    </w:p>
    <w:p w14:paraId="1BD56689" w14:textId="77777777" w:rsidR="00C04533" w:rsidRDefault="00C04533" w:rsidP="00C04533">
      <w:pPr>
        <w:pStyle w:val="TextoNormal"/>
      </w:pPr>
    </w:p>
    <w:p w14:paraId="69469F35" w14:textId="77777777" w:rsidR="00C04533" w:rsidRDefault="00C04533" w:rsidP="00C04533">
      <w:pPr>
        <w:pStyle w:val="TextoNormal"/>
      </w:pPr>
      <w:r>
        <w:t>- Recurso de inconstitucionalidad 6617-2024 (Junta de Extremadura).</w:t>
      </w:r>
    </w:p>
    <w:p w14:paraId="774DA117" w14:textId="77777777" w:rsidR="00C04533" w:rsidRDefault="00C04533" w:rsidP="00C04533">
      <w:pPr>
        <w:pStyle w:val="TextoNormal"/>
      </w:pPr>
    </w:p>
    <w:p w14:paraId="7BCC9336" w14:textId="77777777" w:rsidR="00C04533" w:rsidRDefault="00C04533" w:rsidP="00C04533">
      <w:pPr>
        <w:pStyle w:val="TextoNormal"/>
      </w:pPr>
      <w:r>
        <w:t>- Recurso de inconstitucionalidad 6621-2024 (Gobierno de las Illes Balears).</w:t>
      </w:r>
    </w:p>
    <w:p w14:paraId="7A1BAA6A" w14:textId="77777777" w:rsidR="00C04533" w:rsidRDefault="00C04533" w:rsidP="00C04533">
      <w:pPr>
        <w:pStyle w:val="TextoNormal"/>
      </w:pPr>
    </w:p>
    <w:p w14:paraId="382450D5" w14:textId="77777777" w:rsidR="00C04533" w:rsidRDefault="00C04533" w:rsidP="00C04533">
      <w:pPr>
        <w:pStyle w:val="TextoNormal"/>
      </w:pPr>
      <w:r>
        <w:t>- Cuestión de inconstitucionalidad 6596-2024 (Sala de lo Civil y Penal del Tribunal Superior de Justicia de Cataluña).</w:t>
      </w:r>
    </w:p>
    <w:p w14:paraId="334655B9" w14:textId="77777777" w:rsidR="00C04533" w:rsidRDefault="00C04533" w:rsidP="00C04533">
      <w:pPr>
        <w:pStyle w:val="TextoNormal"/>
      </w:pPr>
    </w:p>
    <w:p w14:paraId="181947B9" w14:textId="77777777" w:rsidR="00C04533" w:rsidRDefault="00C04533" w:rsidP="00C04533">
      <w:pPr>
        <w:pStyle w:val="TextoNormal"/>
      </w:pPr>
      <w:r>
        <w:t>- Cuestión de inconstitucionalidad 6597-2024 (Sala de lo Civil y Penal del Tribunal Superior de Justicia de Cataluña).</w:t>
      </w:r>
    </w:p>
    <w:p w14:paraId="0B3E16EB" w14:textId="77777777" w:rsidR="00C04533" w:rsidRDefault="00C04533" w:rsidP="00C04533">
      <w:pPr>
        <w:pStyle w:val="TextoNormal"/>
      </w:pPr>
    </w:p>
    <w:p w14:paraId="00EE16A0" w14:textId="77777777" w:rsidR="00C04533" w:rsidRDefault="00C04533" w:rsidP="00C04533">
      <w:pPr>
        <w:pStyle w:val="TextoNormal"/>
      </w:pPr>
      <w:r>
        <w:t>- Cuestión de inconstitucionalidad 6699-2024 (Sala de lo Civil y Penal del Tribunal Superior de Justicia de Cataluña).</w:t>
      </w:r>
    </w:p>
    <w:p w14:paraId="54A560DE" w14:textId="77777777" w:rsidR="00C04533" w:rsidRDefault="00C04533" w:rsidP="00C04533">
      <w:pPr>
        <w:pStyle w:val="TextoNormal"/>
      </w:pPr>
    </w:p>
    <w:p w14:paraId="0209C7B5" w14:textId="77777777" w:rsidR="00C04533" w:rsidRDefault="00C04533" w:rsidP="00C04533">
      <w:pPr>
        <w:pStyle w:val="TextoNormal"/>
      </w:pPr>
      <w:r>
        <w:t>Y, en consecuencia, declarar la pérdida sobrevenida de objeto de la recusación del magistrado señor Campo Moreno que ha sido presentada en los nueve procesos constitucionales siguientes:</w:t>
      </w:r>
    </w:p>
    <w:p w14:paraId="29CB6DE4" w14:textId="77777777" w:rsidR="00C04533" w:rsidRDefault="00C04533" w:rsidP="00C04533">
      <w:pPr>
        <w:pStyle w:val="TextoNormal"/>
      </w:pPr>
    </w:p>
    <w:p w14:paraId="46CE7C8E" w14:textId="77777777" w:rsidR="00C04533" w:rsidRDefault="00C04533" w:rsidP="00C04533">
      <w:pPr>
        <w:pStyle w:val="TextoNormal"/>
      </w:pPr>
      <w:r>
        <w:t>- Recurso de inconstitucionalidad 6436-2024 (Más de cincuenta diputados y más de cincuenta senadores del Grupo Parlamentario Popular).</w:t>
      </w:r>
    </w:p>
    <w:p w14:paraId="1311F76C" w14:textId="77777777" w:rsidR="00C04533" w:rsidRDefault="00C04533" w:rsidP="00C04533">
      <w:pPr>
        <w:pStyle w:val="TextoNormal"/>
      </w:pPr>
    </w:p>
    <w:p w14:paraId="44EA124E" w14:textId="77777777" w:rsidR="00C04533" w:rsidRDefault="00C04533" w:rsidP="00C04533">
      <w:pPr>
        <w:pStyle w:val="TextoNormal"/>
      </w:pPr>
      <w:r>
        <w:t>- Recurso de inconstitucionalidad 6549-2024 (Consejo de Gobierno de la Comunidad de Madrid).</w:t>
      </w:r>
    </w:p>
    <w:p w14:paraId="704C96DD" w14:textId="77777777" w:rsidR="00C04533" w:rsidRDefault="00C04533" w:rsidP="00C04533">
      <w:pPr>
        <w:pStyle w:val="TextoNormal"/>
      </w:pPr>
    </w:p>
    <w:p w14:paraId="7079E417" w14:textId="77777777" w:rsidR="00C04533" w:rsidRDefault="00C04533" w:rsidP="00C04533">
      <w:pPr>
        <w:pStyle w:val="TextoNormal"/>
      </w:pPr>
      <w:r>
        <w:t>- Recurso de inconstitucionalidad 6556-2024 (Junta de Galicia).</w:t>
      </w:r>
    </w:p>
    <w:p w14:paraId="491B58C3" w14:textId="77777777" w:rsidR="00C04533" w:rsidRDefault="00C04533" w:rsidP="00C04533">
      <w:pPr>
        <w:pStyle w:val="TextoNormal"/>
      </w:pPr>
    </w:p>
    <w:p w14:paraId="795186F0" w14:textId="77777777" w:rsidR="00C04533" w:rsidRDefault="00C04533" w:rsidP="00C04533">
      <w:pPr>
        <w:pStyle w:val="TextoNormal"/>
      </w:pPr>
      <w:r>
        <w:t>- Recurso de inconstitucionalidad 6575-2024 (Junta de Andalucía).</w:t>
      </w:r>
    </w:p>
    <w:p w14:paraId="285DC315" w14:textId="77777777" w:rsidR="00C04533" w:rsidRDefault="00C04533" w:rsidP="00C04533">
      <w:pPr>
        <w:pStyle w:val="TextoNormal"/>
      </w:pPr>
    </w:p>
    <w:p w14:paraId="37212DFB" w14:textId="77777777" w:rsidR="00C04533" w:rsidRDefault="00C04533" w:rsidP="00C04533">
      <w:pPr>
        <w:pStyle w:val="TextoNormal"/>
      </w:pPr>
      <w:r>
        <w:t>- Recurso de inconstitucionalidad 6588-2024 (Generalitat Valenciana).</w:t>
      </w:r>
    </w:p>
    <w:p w14:paraId="55B997AF" w14:textId="77777777" w:rsidR="00C04533" w:rsidRDefault="00C04533" w:rsidP="00C04533">
      <w:pPr>
        <w:pStyle w:val="TextoNormal"/>
      </w:pPr>
    </w:p>
    <w:p w14:paraId="448C2510" w14:textId="77777777" w:rsidR="00C04533" w:rsidRDefault="00C04533" w:rsidP="00C04533">
      <w:pPr>
        <w:pStyle w:val="TextoNormal"/>
      </w:pPr>
      <w:r>
        <w:t>- Recurso de inconstitucionalidad 6595-2024 (Junta de Castilla y León).</w:t>
      </w:r>
    </w:p>
    <w:p w14:paraId="184C9DDE" w14:textId="77777777" w:rsidR="00C04533" w:rsidRDefault="00C04533" w:rsidP="00C04533">
      <w:pPr>
        <w:pStyle w:val="TextoNormal"/>
      </w:pPr>
    </w:p>
    <w:p w14:paraId="6A91DCED" w14:textId="77777777" w:rsidR="00C04533" w:rsidRDefault="00C04533" w:rsidP="00C04533">
      <w:pPr>
        <w:pStyle w:val="TextoNormal"/>
      </w:pPr>
      <w:r>
        <w:t>- Recurso de inconstitucionalidad 6616-2024 (Gobierno de Cantabria).</w:t>
      </w:r>
    </w:p>
    <w:p w14:paraId="2A45C511" w14:textId="77777777" w:rsidR="00C04533" w:rsidRDefault="00C04533" w:rsidP="00C04533">
      <w:pPr>
        <w:pStyle w:val="TextoNormal"/>
      </w:pPr>
    </w:p>
    <w:p w14:paraId="65363AD1" w14:textId="77777777" w:rsidR="00C04533" w:rsidRDefault="00C04533" w:rsidP="00C04533">
      <w:pPr>
        <w:pStyle w:val="TextoNormal"/>
      </w:pPr>
      <w:r>
        <w:t>- Recurso de inconstitucionalidad 6617-2024 (Junta de Extremadura).</w:t>
      </w:r>
    </w:p>
    <w:p w14:paraId="50000E3C" w14:textId="77777777" w:rsidR="00C04533" w:rsidRDefault="00C04533" w:rsidP="00C04533">
      <w:pPr>
        <w:pStyle w:val="TextoNormal"/>
      </w:pPr>
    </w:p>
    <w:p w14:paraId="7E36C2AC" w14:textId="77777777" w:rsidR="00C04533" w:rsidRDefault="00C04533" w:rsidP="00C04533">
      <w:pPr>
        <w:pStyle w:val="TextoNormal"/>
      </w:pPr>
      <w:r>
        <w:t>- Recurso de inconstitucionalidad 6621-2024 (Gobierno de las Illes Balears.)</w:t>
      </w:r>
    </w:p>
    <w:p w14:paraId="7FFB991C" w14:textId="77777777" w:rsidR="00C04533" w:rsidRDefault="00C04533" w:rsidP="00C04533">
      <w:pPr>
        <w:pStyle w:val="TextoNormal"/>
      </w:pPr>
    </w:p>
    <w:p w14:paraId="73F9CC57" w14:textId="5FE4EF74" w:rsidR="00C04533" w:rsidRDefault="00C04533" w:rsidP="00C04533">
      <w:pPr>
        <w:pStyle w:val="TextoNormal"/>
      </w:pPr>
      <w:r>
        <w:t>Llévese testimonio de esta resolución a cada uno de los procesos a los que se refiere la abstención que ha sido aceptada. Y notifíquese a las partes personadas.</w:t>
      </w:r>
    </w:p>
    <w:p w14:paraId="134D7769" w14:textId="77777777" w:rsidR="00C04533" w:rsidRDefault="00C04533" w:rsidP="00C04533">
      <w:pPr>
        <w:pStyle w:val="TextoNormal"/>
      </w:pPr>
    </w:p>
    <w:p w14:paraId="26AEF60E" w14:textId="77777777" w:rsidR="00C04533" w:rsidRDefault="00C04533" w:rsidP="00C04533">
      <w:pPr>
        <w:pStyle w:val="TextoNormal"/>
      </w:pPr>
      <w:r>
        <w:t>Madrid, a veinticuatro de septiembre de dos mil veinticuatro.</w:t>
      </w:r>
    </w:p>
    <w:p w14:paraId="4D97F355" w14:textId="595ED8C5" w:rsidR="00C04533" w:rsidRDefault="00C04533" w:rsidP="00C04533">
      <w:pPr>
        <w:pStyle w:val="ParrafoNormal"/>
      </w:pPr>
    </w:p>
    <w:p w14:paraId="6F199092" w14:textId="77777777" w:rsidR="00C04533" w:rsidRDefault="00C04533" w:rsidP="00C04533">
      <w:pPr>
        <w:pStyle w:val="TextoNormalNegritaCentrado"/>
        <w:keepNext/>
      </w:pPr>
      <w:r>
        <w:t>Voto particular que formulan el magistrado don Enrique Arnaldo Alcubilla y la magistrada doña Concepción Espejel Jorquera al auto dictado por el Pleno en el recurso de inconstitucionalidad núm. 6436-2024</w:t>
      </w:r>
    </w:p>
    <w:p w14:paraId="05B51887" w14:textId="0F7AA506" w:rsidR="00C04533" w:rsidRDefault="00C04533" w:rsidP="00C04533">
      <w:pPr>
        <w:pStyle w:val="TextoNormalNegritaCentrado"/>
        <w:keepNext/>
      </w:pPr>
    </w:p>
    <w:p w14:paraId="314A3660" w14:textId="77777777" w:rsidR="00C04533" w:rsidRDefault="00C04533" w:rsidP="00C04533">
      <w:pPr>
        <w:pStyle w:val="TextoNormal"/>
      </w:pPr>
      <w:r>
        <w:t>En el ejercicio de la facultad conferida por el art. 90.2 LOTC y con respeto a la opinión de nuestros compañeros, formulamos el presente voto particular, por las razones defendidas durante la deliberación y que exponemos a continuación.</w:t>
      </w:r>
    </w:p>
    <w:p w14:paraId="42CD360C" w14:textId="77777777" w:rsidR="00C04533" w:rsidRDefault="00C04533" w:rsidP="00C04533">
      <w:pPr>
        <w:pStyle w:val="TextoNormal"/>
      </w:pPr>
    </w:p>
    <w:p w14:paraId="7EA040D5" w14:textId="77777777" w:rsidR="00C04533" w:rsidRDefault="00C04533" w:rsidP="00C04533">
      <w:pPr>
        <w:pStyle w:val="TextoNormal"/>
      </w:pPr>
      <w:r>
        <w:t>En el auto dictado por el Pleno el pasado 11 de septiembre de 2024, aceptamos la abstención del magistrado don Juan Carlos Campo Moreno en la cuestión de inconstitucionalidad núm. 6053-2024, admitida a trámite en esa misma fecha, que ha sido planteada por la Sala de lo Penal del Tribunal Supremo en relación con el art. 1 de la Ley Orgánica 1/2024, de 10 de junio, de amnistía para la normalización institucional, política y social de Cataluña.</w:t>
      </w:r>
    </w:p>
    <w:p w14:paraId="1FB3ACF3" w14:textId="77777777" w:rsidR="00C04533" w:rsidRDefault="00C04533" w:rsidP="00C04533">
      <w:pPr>
        <w:pStyle w:val="TextoNormal"/>
      </w:pPr>
    </w:p>
    <w:p w14:paraId="7FD21010" w14:textId="77777777" w:rsidR="00C04533" w:rsidRDefault="00C04533" w:rsidP="00C04533">
      <w:pPr>
        <w:pStyle w:val="TextoNormal"/>
      </w:pPr>
      <w:r>
        <w:t>El auto que ahora se dicta, a la vista de la comunicación efectuada por el magistrado don Juan Carlos Campo Moreno, que extiende su propuesta de abstenerse por las mismas razones del conocimiento de otros procesos constitucionales, recursos y cuestiones de inconstitucionalidad, planteados contra la referida ley, estima justificada la abstención, apartándole definitivamente del conocimiento de dichos asuntos y, en consecuencia declara la pérdida sobrevenida de objeto de la recusación de dicho magistrado en aquellos recursos de inconstitucionalidad contra la citada Ley Orgánica 1/2024, en los que ha sido formulada.</w:t>
      </w:r>
    </w:p>
    <w:p w14:paraId="194617B0" w14:textId="77777777" w:rsidR="00C04533" w:rsidRDefault="00C04533" w:rsidP="00C04533">
      <w:pPr>
        <w:pStyle w:val="TextoNormal"/>
      </w:pPr>
    </w:p>
    <w:p w14:paraId="22991AD7" w14:textId="77777777" w:rsidR="00C04533" w:rsidRDefault="00C04533" w:rsidP="00C04533">
      <w:pPr>
        <w:pStyle w:val="TextoNormal"/>
      </w:pPr>
      <w:r>
        <w:t>No disentimos en este punto del auto aprobado por la mayoría del Pleno, pues compartimos la decisión de estimar justificada la abstención del magistrado don Juan Carlos Campo Moreno por las razones que se indican, coincidentes con las apreciadas en el auto de 11 de septiembre de 2024, lo que conlleva, lógicamente, la pérdida de objeto de las recusaciones planteadas en nueve de los recursos interpuestos contra la citada ley.</w:t>
      </w:r>
    </w:p>
    <w:p w14:paraId="41C8C03E" w14:textId="77777777" w:rsidR="00C04533" w:rsidRDefault="00C04533" w:rsidP="00C04533">
      <w:pPr>
        <w:pStyle w:val="TextoNormal"/>
      </w:pPr>
    </w:p>
    <w:p w14:paraId="211701F3" w14:textId="77777777" w:rsidR="00C04533" w:rsidRDefault="00C04533" w:rsidP="00C04533">
      <w:pPr>
        <w:pStyle w:val="TextoNormal"/>
      </w:pPr>
      <w:r>
        <w:t>Nuestra discrepancia con el auto se refiere a la irregular conformación del Pleno para la resolución de esta incidencia, pues entendemos que debió constituirse de manera diferente, con exclusión de los magistrados recusados en los nueve recursos de inconstitucionalidad, de los interpuestos contra la Ley Orgánica 1/2024, en los que dicha recusación ha sido planteada, en relación con el presidente don Cándido Conde-Pumpido Tourón y la magistrada doña Laura Díez Bueso. Ello implica, además, que la ponencia del auto no debió ser asumida por el presidente don Cándido Conde-Pumpido Tourón, pues tal facultad no le es conferida por el art. 15 LOTC, sino, como está previsto para los casos de abstención, y acreditan todos los precedentes por el ponente del asunto principal (en este caso el magistrado don José María Macías Castaño, a quien ha correspondido, conforme al turno objetivo de reparto, la ponencia del recurso de inconstitucionalidad núm. 6436-2024, en el que ha sido dictado el auto que nos ocupa).</w:t>
      </w:r>
    </w:p>
    <w:p w14:paraId="7CA60993" w14:textId="77777777" w:rsidR="00C04533" w:rsidRDefault="00C04533" w:rsidP="00C04533">
      <w:pPr>
        <w:pStyle w:val="TextoNormal"/>
      </w:pPr>
    </w:p>
    <w:p w14:paraId="318711EB" w14:textId="77777777" w:rsidR="00C04533" w:rsidRDefault="00C04533" w:rsidP="00C04533">
      <w:pPr>
        <w:pStyle w:val="TextoNormal"/>
      </w:pPr>
      <w:r>
        <w:t>La intervención en el Pleno del magistrado don José María Macías Castaño, ponente en el asunto principal, y recusado por el abogado del Estado, suscita dudas, si bien debe advertirse que esa recusación ha sido presentada prematuramente, en procesos constitucionales todavía no admitidos a trámite y en los que, por tanto, la Abogacía del Estado no ha adquirido aún la condición de parte. Situación claramente diferente, por cierto, a las de las recusaciones formuladas respecto del presidente don Cándido Conde-Pumpido Tourón y de la magistrada doña Laura Díez Bueso, en los nueve recursos de inconstitucionalidad interpuestos contra la Ley Orgánica 1/2024, en las que dichas recusaciones han sido planteadas por la partes recurrentes, en las propia demandas y reiteradas en escritos posteriores a los que ni siquiera se ha dado curso.</w:t>
      </w:r>
    </w:p>
    <w:p w14:paraId="647CF3E3" w14:textId="77777777" w:rsidR="00C04533" w:rsidRDefault="00C04533" w:rsidP="00C04533">
      <w:pPr>
        <w:pStyle w:val="TextoNormal"/>
      </w:pPr>
    </w:p>
    <w:p w14:paraId="08F18FD0" w14:textId="77777777" w:rsidR="00C04533" w:rsidRDefault="00C04533" w:rsidP="00C04533">
      <w:pPr>
        <w:pStyle w:val="TextoNormal"/>
      </w:pPr>
      <w:r>
        <w:t>Para evitar reiteraciones innecesarias, nos limitaremos a señalar que compartimos las razones de la discrepancia con el auto expresadas en el voto particular suscrito por el magistrado don José María Macías Castaño, en lo que atañe a la conformación del Pleno del Tribunal por haber participado en el incidente de abstención magistrados recusados antes de que se resolviesen esas recusaciones, voto al que en consecuencia nos adherimos y remitimos en este punto. Por las fundadas razones que en dicho voto se expresan coincidimos en que la participación de los magistrados recusados, antes de que este tribunal decida sobre esa recusación, es irregular, y aún lo será más si esa situación se reproduce en los incidentes de recusación que quedan pendientes de resolver.</w:t>
      </w:r>
    </w:p>
    <w:p w14:paraId="08EA6B9A" w14:textId="77777777" w:rsidR="00C04533" w:rsidRDefault="00C04533" w:rsidP="00C04533">
      <w:pPr>
        <w:pStyle w:val="TextoNormal"/>
      </w:pPr>
    </w:p>
    <w:p w14:paraId="7DE0F9E4" w14:textId="242EBA81" w:rsidR="00C04533" w:rsidRDefault="00C04533" w:rsidP="00C04533">
      <w:pPr>
        <w:pStyle w:val="TextoNormal"/>
      </w:pPr>
      <w:r>
        <w:t>Madrid, a veinticuatro de septiembre de dos mil veinticuatro.</w:t>
      </w:r>
    </w:p>
    <w:p w14:paraId="679DCE5E" w14:textId="77777777" w:rsidR="00C04533" w:rsidRDefault="00C04533" w:rsidP="00C04533">
      <w:pPr>
        <w:pStyle w:val="TextoNormal"/>
      </w:pPr>
    </w:p>
    <w:p w14:paraId="7B6E3230" w14:textId="77777777" w:rsidR="00C04533" w:rsidRDefault="00C04533" w:rsidP="00C04533">
      <w:pPr>
        <w:pStyle w:val="TextoNormalNegritaCentrado"/>
        <w:keepNext/>
      </w:pPr>
      <w:r>
        <w:t>Voto particular que formula el magistrado don José María Macías Castaño al auto de 24 de septiembre de 2024 dictado en el recurso de inconstitucionalidad núm. 6436-2024</w:t>
      </w:r>
    </w:p>
    <w:p w14:paraId="034117C4" w14:textId="733961EA" w:rsidR="00C04533" w:rsidRDefault="00C04533" w:rsidP="00C04533">
      <w:pPr>
        <w:pStyle w:val="TextoNormalNegritaCentrado"/>
        <w:keepNext/>
      </w:pPr>
    </w:p>
    <w:p w14:paraId="64965AC3" w14:textId="77777777" w:rsidR="00C04533" w:rsidRDefault="00C04533" w:rsidP="00C04533">
      <w:pPr>
        <w:pStyle w:val="TextoNormal"/>
      </w:pPr>
      <w:r>
        <w:t>1. Respetuosamente disiento del parecer de la mayoría por las razones que seguidamente expongo, que debieron determinar, en primer lugar, que el Pleno se conformase de manera diferente, con exclusión de todos los magistrados recusados y, en segundo lugar, que la abstención del magistrado don Juan Carlos Campo Moreno hubiese sido aceptada por causas y bajo consideraciones totalmente diferentes de las alegadas por él mismo.</w:t>
      </w:r>
    </w:p>
    <w:p w14:paraId="5888D9A8" w14:textId="77777777" w:rsidR="00C04533" w:rsidRDefault="00C04533" w:rsidP="00C04533">
      <w:pPr>
        <w:pStyle w:val="TextoNormal"/>
      </w:pPr>
    </w:p>
    <w:p w14:paraId="132D21C9" w14:textId="77777777" w:rsidR="00C04533" w:rsidRDefault="00C04533" w:rsidP="00C04533">
      <w:pPr>
        <w:pStyle w:val="TextoNormal"/>
      </w:pPr>
      <w:r>
        <w:t>I</w:t>
      </w:r>
    </w:p>
    <w:p w14:paraId="54B440A7" w14:textId="77777777" w:rsidR="00C04533" w:rsidRDefault="00C04533" w:rsidP="00C04533">
      <w:pPr>
        <w:pStyle w:val="TextoNormal"/>
      </w:pPr>
    </w:p>
    <w:p w14:paraId="7C2A4C7C" w14:textId="77777777" w:rsidR="00C04533" w:rsidRDefault="00C04533" w:rsidP="00C04533">
      <w:pPr>
        <w:pStyle w:val="TextoNormal"/>
      </w:pPr>
      <w:r>
        <w:t>2. En primer lugar, en coherencia con las objeciones que planteo en este auto y constándome que he sido ya recusado por el abogado del Estado, debo señalar que mi participación en el Pleno se ha producido contra mi criterio y por decisión del propio Pleno. Ello es así, incluso aunque sería más que dudoso que la Abogacía del Estado pueda recusar en un procedimiento no admitido a trámite y cuya situación procesal es muy diversa a la del recurrente que recusa en el propio escrito de recurso. En este momento, la recusación del abogado del Estado sería prematura y obligaría a su reiteración en un momento adecuado posterior, pero concurriendo con las recusaciones planteadas por los recurrentes, entiendo que se hace necesario un tratamiento simultáneo de todas ellas. En cualquier caso, dejo constancia de que la constitución del Pleno ha tenido lugar con mi parecer y voto en contra. Ello determina que mi voto sea necesariamente disidente en la medida en que concluyo que el auto no pudo ser dictado con la composición del Pleno.</w:t>
      </w:r>
    </w:p>
    <w:p w14:paraId="0DE2F9E6" w14:textId="77777777" w:rsidR="00C04533" w:rsidRDefault="00C04533" w:rsidP="00C04533">
      <w:pPr>
        <w:pStyle w:val="TextoNormal"/>
      </w:pPr>
    </w:p>
    <w:p w14:paraId="3C3E1D56" w14:textId="77777777" w:rsidR="00C04533" w:rsidRDefault="00C04533" w:rsidP="00C04533">
      <w:pPr>
        <w:pStyle w:val="TextoNormal"/>
      </w:pPr>
      <w:r>
        <w:t>II</w:t>
      </w:r>
    </w:p>
    <w:p w14:paraId="107D271D" w14:textId="77777777" w:rsidR="00C04533" w:rsidRDefault="00C04533" w:rsidP="00C04533">
      <w:pPr>
        <w:pStyle w:val="TextoNormal"/>
      </w:pPr>
    </w:p>
    <w:p w14:paraId="295A99D5" w14:textId="77777777" w:rsidR="00C04533" w:rsidRDefault="00C04533" w:rsidP="00C04533">
      <w:pPr>
        <w:pStyle w:val="TextoNormal"/>
      </w:pPr>
      <w:r>
        <w:t>3. En segundo lugar, y como ya he indicado, entiendo que el Pleno del Tribunal se ha constituido de manera irregular al haber participado en él, magistrados recusados antes de que se resolviesen las recusaciones. Eso ha sucedido en el caso del magistrado señor Conde-Pumpido Tourón, de la magistrada señora Díez Bueso y, como he señalado, de mí mismo, recusados los dos primeros por los recurrentes y, en mi caso, por la Abogacía del Estado en el concreto procedimiento en el que se adopta el auto del que discrepo.</w:t>
      </w:r>
    </w:p>
    <w:p w14:paraId="1FDC3CF8" w14:textId="77777777" w:rsidR="00C04533" w:rsidRDefault="00C04533" w:rsidP="00C04533">
      <w:pPr>
        <w:pStyle w:val="TextoNormal"/>
      </w:pPr>
    </w:p>
    <w:p w14:paraId="7D264400" w14:textId="77777777" w:rsidR="00C04533" w:rsidRDefault="00C04533" w:rsidP="00C04533">
      <w:pPr>
        <w:pStyle w:val="TextoNormal"/>
      </w:pPr>
      <w:r>
        <w:t>4. La conformación de un tribunal no es una mera cuestión interna, organizativa o de mero trámite, sin trascendencia externa o sin interés para las partes. Y porque es una cuestión nuclear es por lo que la Ley salvaguarda su correcta conformación con una serie de garantías al servicio de las partes, entre las que se incluye la recusación de los miembros del tribunal.</w:t>
      </w:r>
    </w:p>
    <w:p w14:paraId="1D9F6E89" w14:textId="77777777" w:rsidR="00C04533" w:rsidRDefault="00C04533" w:rsidP="00C04533">
      <w:pPr>
        <w:pStyle w:val="TextoNormal"/>
      </w:pPr>
    </w:p>
    <w:p w14:paraId="43257103" w14:textId="77777777" w:rsidR="00C04533" w:rsidRDefault="00C04533" w:rsidP="00C04533">
      <w:pPr>
        <w:pStyle w:val="TextoNormal"/>
      </w:pPr>
      <w:r>
        <w:t>5. La norma en materia de recusaciones es clara y viene determinada por los arts. 80 LOTC y 225.1 y 4 LOPJ: planteada la recusación, el magistrado recusado no puede intervenir en el procedimiento mientras no se resuelva la recusación, debiendo quedar suspendido el procedimiento hasta ese momento, y la exclusión se refiere al procedimiento en su integridad, incluyendo tanto los autos principales como sus incidentes.</w:t>
      </w:r>
    </w:p>
    <w:p w14:paraId="162539DB" w14:textId="77777777" w:rsidR="00C04533" w:rsidRDefault="00C04533" w:rsidP="00C04533">
      <w:pPr>
        <w:pStyle w:val="TextoNormal"/>
      </w:pPr>
    </w:p>
    <w:p w14:paraId="14A0EA6D" w14:textId="77777777" w:rsidR="00C04533" w:rsidRDefault="00C04533" w:rsidP="00C04533">
      <w:pPr>
        <w:pStyle w:val="TextoNormal"/>
      </w:pPr>
      <w:r>
        <w:t>6. La resolución de la recusación de un magistrado corresponde a la propia Sala a la que pertenece, de la que no formará parte (arts. 68.2, 77.2, 154 y 227.2, 6 y 7 LOPJ).</w:t>
      </w:r>
    </w:p>
    <w:p w14:paraId="58CF4C4A" w14:textId="77777777" w:rsidR="00C04533" w:rsidRDefault="00C04533" w:rsidP="00C04533">
      <w:pPr>
        <w:pStyle w:val="TextoNormal"/>
      </w:pPr>
    </w:p>
    <w:p w14:paraId="1974BD5B" w14:textId="77777777" w:rsidR="00C04533" w:rsidRDefault="00C04533" w:rsidP="00C04533">
      <w:pPr>
        <w:pStyle w:val="TextoNormal"/>
      </w:pPr>
      <w:r>
        <w:t xml:space="preserve">7. Cuando fuesen varios los magistrados recusados, la resolución del incidente corresponderá a una sala </w:t>
      </w:r>
      <w:r w:rsidRPr="00C04533">
        <w:rPr>
          <w:i/>
        </w:rPr>
        <w:t>ad hoc</w:t>
      </w:r>
      <w:r>
        <w:t xml:space="preserve"> prevista en la ley, de la que no formará parte ninguno de los magistrados recusados (arts. 60.2, 61.2, 68.2, 69, 77.1 y 2, y 227.1, 3 y 5 LOPJ).</w:t>
      </w:r>
    </w:p>
    <w:p w14:paraId="0B40811A" w14:textId="77777777" w:rsidR="00C04533" w:rsidRDefault="00C04533" w:rsidP="00C04533">
      <w:pPr>
        <w:pStyle w:val="TextoNormal"/>
      </w:pPr>
    </w:p>
    <w:p w14:paraId="26DD4711" w14:textId="77777777" w:rsidR="00C04533" w:rsidRDefault="00C04533" w:rsidP="00C04533">
      <w:pPr>
        <w:pStyle w:val="TextoNormal"/>
      </w:pPr>
      <w:r>
        <w:t>8. Estas son las claras y sencillas reglas de la Ley Orgánica del Poder Judicial a las que se remite el art. 80 LOTC: el recusado no interviene en ningún aspecto del procedimiento en el que ha sido recusado, y cuando son varios los recusados, ni intervienen en su recusación ni en la de los demás. Lo contrario no solo sería un contrasentido (si hay que determinar si un magistrado puede intervenir regularmente en un procedimiento, no cabe aceptar que pueda participar en el aspecto clave de qué composición ha de tener el tribunal que decida si puede pertenecer a ese tribunal), sino que se prestaría fácilmente a una apariencia de connivencias entre los magistrados recusados que erosionaría de manera irremediable el crédito del tribunal. No respetar estas reglas supone incurrir, en mi opinión, en una irregularidad severa por lo evidente de la infracción.</w:t>
      </w:r>
    </w:p>
    <w:p w14:paraId="0F67C0DE" w14:textId="77777777" w:rsidR="00C04533" w:rsidRDefault="00C04533" w:rsidP="00C04533">
      <w:pPr>
        <w:pStyle w:val="TextoNormal"/>
      </w:pPr>
    </w:p>
    <w:p w14:paraId="3DCAA0CF" w14:textId="77777777" w:rsidR="00C04533" w:rsidRDefault="00C04533" w:rsidP="00C04533">
      <w:pPr>
        <w:pStyle w:val="TextoNormal"/>
      </w:pPr>
      <w:r>
        <w:t>III</w:t>
      </w:r>
    </w:p>
    <w:p w14:paraId="76B7F22D" w14:textId="77777777" w:rsidR="00C04533" w:rsidRDefault="00C04533" w:rsidP="00C04533">
      <w:pPr>
        <w:pStyle w:val="TextoNormal"/>
      </w:pPr>
    </w:p>
    <w:p w14:paraId="606A0CB0" w14:textId="77777777" w:rsidR="00C04533" w:rsidRDefault="00C04533" w:rsidP="00C04533">
      <w:pPr>
        <w:pStyle w:val="TextoNormal"/>
      </w:pPr>
      <w:r>
        <w:t xml:space="preserve">9. El régimen descrito es aplicable al Tribunal Constitucional. Así lo dispone el art. 80 LOTC. Ello no obstante, la circunstancia de que el Tribunal Constitucional tiene una composición inamovible durante el mandato de cada magistrado (no tiene sustitutos) y que la Ley Orgánica del Tribunal Constitucional prevé para el Pleno que ha de conocer de la recusación un </w:t>
      </w:r>
      <w:r w:rsidRPr="00C04533">
        <w:rPr>
          <w:i/>
        </w:rPr>
        <w:t>quorum</w:t>
      </w:r>
      <w:r>
        <w:t xml:space="preserve"> de constitución (2/3 de sus miembros, esto es, ocho magistrados), ha motivado que en determinadas circunstancias excepcionales se permita que los recusados participen en el Pleno de recusación para conocer de su propia recusación y la de los demás que pudieran haber sido recusados.</w:t>
      </w:r>
    </w:p>
    <w:p w14:paraId="3FCE64A2" w14:textId="77777777" w:rsidR="00C04533" w:rsidRDefault="00C04533" w:rsidP="00C04533">
      <w:pPr>
        <w:pStyle w:val="TextoNormal"/>
      </w:pPr>
    </w:p>
    <w:p w14:paraId="1C08F990" w14:textId="77777777" w:rsidR="00C04533" w:rsidRDefault="00C04533" w:rsidP="00C04533">
      <w:pPr>
        <w:pStyle w:val="TextoNormal"/>
      </w:pPr>
      <w:r>
        <w:t>10. Eso ha sucedido cuando se ha recusado a todos los magistrados (ATC 126/2008, de 14 de mayo, entre otros) o cuando el número de recusados determina que el órgano no se pueda constituir por ser inferior a ocho los magistrados no recusados (ATC 107/2021, de 15 de diciembre, entre otros).</w:t>
      </w:r>
    </w:p>
    <w:p w14:paraId="7B33D312" w14:textId="77777777" w:rsidR="00C04533" w:rsidRDefault="00C04533" w:rsidP="00C04533">
      <w:pPr>
        <w:pStyle w:val="TextoNormal"/>
      </w:pPr>
    </w:p>
    <w:p w14:paraId="735B9A72" w14:textId="77777777" w:rsidR="00C04533" w:rsidRDefault="00C04533" w:rsidP="00C04533">
      <w:pPr>
        <w:pStyle w:val="TextoNormal"/>
      </w:pPr>
      <w:r>
        <w:t xml:space="preserve">11. También se ha aceptado la intervención del recusado en supuestos evidentes de inadmisión </w:t>
      </w:r>
      <w:r w:rsidRPr="00C04533">
        <w:rPr>
          <w:i/>
        </w:rPr>
        <w:t>a limine</w:t>
      </w:r>
      <w:r>
        <w:t>, esto es, inicial o sin tramitación de incidente (ATC 32/2024, de 9 de abril, entre otros). Y un último supuesto más peculiar es el que se consideró en el ATC 177/2022, de 19 de diciembre. En este supuesto, y no sin discusión que determinó la emisión de varios votos particulares, se aceptó la intervención de los propios recusados para evitar lo que se interpretó como una recusación abusiva derivada del criterio selectivo aplicado por los recusantes: siendo varios los magistrados en los que concurría la misma causa de abstención, solo se recusó a algunos de ellos. Como digo, el auto citado fue controvertido, y cuenta con un voto particular firmado por varios magistrados, incluido el magistrado señor Conde-Pumpido Tourón, en el que se justificó que ni tan siquiera en ese caso era aceptable que los propios recusados participasen en la decisión del incidente de recusación.</w:t>
      </w:r>
    </w:p>
    <w:p w14:paraId="033BC7D7" w14:textId="77777777" w:rsidR="00C04533" w:rsidRDefault="00C04533" w:rsidP="00C04533">
      <w:pPr>
        <w:pStyle w:val="TextoNormal"/>
      </w:pPr>
    </w:p>
    <w:p w14:paraId="06F4289A" w14:textId="77777777" w:rsidR="00C04533" w:rsidRDefault="00C04533" w:rsidP="00C04533">
      <w:pPr>
        <w:pStyle w:val="TextoNormal"/>
      </w:pPr>
      <w:r>
        <w:t>12. Dicho lo anterior, lo que no cabe es convertir las excepciones en regla, lo que sería tanto como afirmar que el Tribunal Constitucional es un órgano no sujeto a las previsiones de la Ley Orgánica del Poder Judicial en materia de abstención y recusación, pese a la clara y terminante remisión del art. 80 LOTC.</w:t>
      </w:r>
    </w:p>
    <w:p w14:paraId="5720C58D" w14:textId="77777777" w:rsidR="00C04533" w:rsidRDefault="00C04533" w:rsidP="00C04533">
      <w:pPr>
        <w:pStyle w:val="TextoNormal"/>
      </w:pPr>
    </w:p>
    <w:p w14:paraId="57D3DAF0" w14:textId="77777777" w:rsidR="00C04533" w:rsidRDefault="00C04533" w:rsidP="00C04533">
      <w:pPr>
        <w:pStyle w:val="TextoNormal"/>
      </w:pPr>
      <w:r>
        <w:t>13. El supuesto que motiva el presente voto particular no guarda la menor relación con los supuestos excepcionales que se han citado, ya que no peligra en absoluto la debida constitución del Pleno. Los precedentes más recientes de recusaciones múltiples, cuando ello no ha sido obstáculo para la constitución del Pleno, revelan que los magistrados recusados no han participado en su celebración. Así puede verse en los AATC 68/2023 y 69/2023, ambos de 21 de febrero, en los que se resolvieron recusaciones dirigidas contra los magistrados señor Campo Moreno y señora Díez Bueso y en los que estos magistrados no participaron, ni para resolver su propia recusación ni la del otro.</w:t>
      </w:r>
    </w:p>
    <w:p w14:paraId="3D997AE8" w14:textId="77777777" w:rsidR="00C04533" w:rsidRDefault="00C04533" w:rsidP="00C04533">
      <w:pPr>
        <w:pStyle w:val="TextoNormal"/>
      </w:pPr>
    </w:p>
    <w:p w14:paraId="2467ABDF" w14:textId="77777777" w:rsidR="00C04533" w:rsidRDefault="00C04533" w:rsidP="00C04533">
      <w:pPr>
        <w:pStyle w:val="TextoNormal"/>
      </w:pPr>
      <w:r>
        <w:t>14. Solo cabe añadir que no respetar la regla ineludible de no participación del recusado en un procedimiento mientras no se resuelvan (todas) las recusaciones, no solo plantea el riesgo de apariencia de posible connivencia entre los recusados para constituir el tribunal que debe decidir un asunto. En el caso del Tribunal Constitucional, la apariencia puede ser mucho peor: no estando en cuestión que el Pleno se puede constituir, lo que irremediablemente habría que concluir es que no se quiere proteger el funcionamiento del Tribunal, sino preservar una determinada mayoría que previamente se da por supuesta, y semejante planteamiento desacreditaría al Tribunal Constitucional como un órgano de justicia y abonaría el discurso de su politización, no en su composición, sino en su actuación.</w:t>
      </w:r>
    </w:p>
    <w:p w14:paraId="0C9E9509" w14:textId="77777777" w:rsidR="00C04533" w:rsidRDefault="00C04533" w:rsidP="00C04533">
      <w:pPr>
        <w:pStyle w:val="TextoNormal"/>
      </w:pPr>
    </w:p>
    <w:p w14:paraId="2C4DAD09" w14:textId="77777777" w:rsidR="00C04533" w:rsidRDefault="00C04533" w:rsidP="00C04533">
      <w:pPr>
        <w:pStyle w:val="TextoNormal"/>
      </w:pPr>
      <w:r>
        <w:t>IV</w:t>
      </w:r>
    </w:p>
    <w:p w14:paraId="3C6523AB" w14:textId="77777777" w:rsidR="00C04533" w:rsidRDefault="00C04533" w:rsidP="00C04533">
      <w:pPr>
        <w:pStyle w:val="TextoNormal"/>
      </w:pPr>
    </w:p>
    <w:p w14:paraId="2A9155D8" w14:textId="77777777" w:rsidR="00C04533" w:rsidRDefault="00C04533" w:rsidP="00C04533">
      <w:pPr>
        <w:pStyle w:val="TextoNormal"/>
      </w:pPr>
      <w:r>
        <w:t>15. Por último, y abundando en la defectuosa constitución del Pleno, la regla general en materia de recusaciones es que su instrucción corresponde a un magistrado del órgano que tenga que conocer de ella, designado mediante un turno objetivo (antigüedad, tal y como disponen los distintos apartados del art. 224.1 LOPJ). Nada parecido se prevé para los supuestos de abstención que, como un incidente más del procedimiento en cuestión, son asumidas por el ponente del propio asunto.</w:t>
      </w:r>
    </w:p>
    <w:p w14:paraId="51BE93DF" w14:textId="77777777" w:rsidR="00C04533" w:rsidRDefault="00C04533" w:rsidP="00C04533">
      <w:pPr>
        <w:pStyle w:val="TextoNormal"/>
      </w:pPr>
    </w:p>
    <w:p w14:paraId="437DEEEF" w14:textId="77777777" w:rsidR="00C04533" w:rsidRDefault="00C04533" w:rsidP="00C04533">
      <w:pPr>
        <w:pStyle w:val="TextoNormal"/>
      </w:pPr>
      <w:r>
        <w:t>16. Esto es también lo que resulta del Acuerdo de 14 de julio de 1980, del Pleno del Tribunal Constitucional sobre la resolución de normas para designación de magistrados ponentes: la designación de ponentes de los recursos de inconstitucionalidad se lleva a cabo por turno de antigüedad, comenzando por el de menor antigüedad y, entre los de la misma antigüedad, por el de menor edad (regla tercera). Conforme a la regla cuarta, la designación de un magistrado ponente diferente solo es posible con el acuerdo del magistrado al que corresponde el conocimiento del asunto según las reglas objetivas, y entiendo (y no puedo admitir que sea de otra manera), que de la misma manera que no se puede sustraer al ponente el asunto en su totalidad si no es con su acuerdo, tampoco podría fraccionarse el asunto (que lo comprende todo, pleito principal y sus incidentes) para distribuir sus partes a conveniencia, al menos no sin violentar las reglas del propio Tribunal, cuya trascendencia no es meramente interna. Menos aún cabe aceptarlo cuando fruto de esa redistribución por partes, la ponencia se atribuye a un magistrado afectado por una recusación no resuelta.</w:t>
      </w:r>
    </w:p>
    <w:p w14:paraId="401B6F1C" w14:textId="77777777" w:rsidR="00C04533" w:rsidRDefault="00C04533" w:rsidP="00C04533">
      <w:pPr>
        <w:pStyle w:val="TextoNormal"/>
      </w:pPr>
    </w:p>
    <w:p w14:paraId="67EF9D5F" w14:textId="77777777" w:rsidR="00C04533" w:rsidRDefault="00C04533" w:rsidP="00C04533">
      <w:pPr>
        <w:pStyle w:val="TextoNormal"/>
      </w:pPr>
      <w:r>
        <w:t>17. Nada de lo expuesto se excusa por la previsión del art. 15 LOTC, que atribuye al presidente del Tribunal Constitucional adoptar “las medidas precisas para el funcionamiento del Tribunal, de las salas y de las secciones”; previsión relativa a aspectos puramente organizativos que en absoluto permiten prescindir o exceptuar las reglas de reparto de los asuntos.</w:t>
      </w:r>
    </w:p>
    <w:p w14:paraId="1F5D2491" w14:textId="77777777" w:rsidR="00C04533" w:rsidRDefault="00C04533" w:rsidP="00C04533">
      <w:pPr>
        <w:pStyle w:val="TextoNormal"/>
      </w:pPr>
    </w:p>
    <w:p w14:paraId="54A90C4D" w14:textId="77777777" w:rsidR="00C04533" w:rsidRDefault="00C04533" w:rsidP="00C04533">
      <w:pPr>
        <w:pStyle w:val="TextoNormal"/>
      </w:pPr>
      <w:r>
        <w:t>18. Dicho esto, y para concluir este apartado, realizaré las siguientes precisiones.</w:t>
      </w:r>
    </w:p>
    <w:p w14:paraId="4ED44344" w14:textId="77777777" w:rsidR="00C04533" w:rsidRDefault="00C04533" w:rsidP="00C04533">
      <w:pPr>
        <w:pStyle w:val="TextoNormal"/>
      </w:pPr>
    </w:p>
    <w:p w14:paraId="195C74C5" w14:textId="77777777" w:rsidR="00C04533" w:rsidRDefault="00C04533" w:rsidP="00C04533">
      <w:pPr>
        <w:pStyle w:val="TextoNormal"/>
      </w:pPr>
      <w:r>
        <w:t>19. La primera es que todo lo razonado en absoluto se desmiente por el hecho de que en alguna ocasión se hayan resuelto las abstenciones y recusaciones de manera acumulada o con intención de extensión de lo resuelto en un procedimiento a otros asuntos (ATC 48/2021, de 21 de abril): si en esos casos se hizo con el acuerdo de los ponentes afectados, no hay nada que objetar conforme a la regla cuarta del acuerdo citado de 14 de julio de 1980. No es este, sin embargo, el caso cuando de manera expresa estoy objetando que la ponencia haya sido autoatribuida por un magistrado recusado, y menos sería equiparable dicho supuesto al presente cuando se tiene en cuenta que el ponente en aquel asunto tampoco estaba recusado.</w:t>
      </w:r>
    </w:p>
    <w:p w14:paraId="7452C976" w14:textId="77777777" w:rsidR="00C04533" w:rsidRDefault="00C04533" w:rsidP="00C04533">
      <w:pPr>
        <w:pStyle w:val="TextoNormal"/>
      </w:pPr>
    </w:p>
    <w:p w14:paraId="762D5417" w14:textId="77777777" w:rsidR="00C04533" w:rsidRDefault="00C04533" w:rsidP="00C04533">
      <w:pPr>
        <w:pStyle w:val="TextoNormal"/>
      </w:pPr>
      <w:r>
        <w:t>20. La segunda es que no cabría aludir a la supuesta mera instrumentalidad de la ponencia porque, en definitiva, resuelve el Pleno y quién sea el ponente resultaría indiferente. Valga señalar que, si tan inane resulta la designación del ponente, son francamente incomprensibles las previsiones de la legislación procesal (y de los acuerdos de este tribunal) relativas a la designación de ponente y su inamovilidad. Quienes conocen la dinámica de funcionamiento de un tribunal saben perfectamente que la determinación de quién es ponente, y la propuesta que este eleve al colegio de magistrados para su debate, es cualquier cosa menos anodina.</w:t>
      </w:r>
    </w:p>
    <w:p w14:paraId="4E913309" w14:textId="77777777" w:rsidR="00C04533" w:rsidRDefault="00C04533" w:rsidP="00C04533">
      <w:pPr>
        <w:pStyle w:val="TextoNormal"/>
      </w:pPr>
    </w:p>
    <w:p w14:paraId="4E9E967A" w14:textId="77777777" w:rsidR="00C04533" w:rsidRDefault="00C04533" w:rsidP="00C04533">
      <w:pPr>
        <w:pStyle w:val="TextoNormal"/>
      </w:pPr>
      <w:r>
        <w:t>21. La tercera es que la tesis de que el debate sobre la abstención del magistrado señor Campo Moreno es intrascendente porque ya se aceptó su abstención en otro asunto relacionado con el presente se desmiente por lo que seguidamente se dirá en cuanto al fondo de la cuestión.</w:t>
      </w:r>
    </w:p>
    <w:p w14:paraId="4CF81ED8" w14:textId="77777777" w:rsidR="00C04533" w:rsidRDefault="00C04533" w:rsidP="00C04533">
      <w:pPr>
        <w:pStyle w:val="TextoNormal"/>
      </w:pPr>
    </w:p>
    <w:p w14:paraId="52EE9CF3" w14:textId="77777777" w:rsidR="00C04533" w:rsidRDefault="00C04533" w:rsidP="00C04533">
      <w:pPr>
        <w:pStyle w:val="TextoNormal"/>
      </w:pPr>
      <w:r>
        <w:t>22. Y la cuarta es que las alusiones a la práctica de este tribunal relativas a que el ponente en una abstención es tan irrelevante que lo ordinario es que el propio abstenido haga su propuesta de auto de abstención suponen una distorsión de la realidad: que el abstenido en un asunto remita al ponente (se insiste, al ponente) un borrador de cortesía que ese ponente puede aceptar, modificar o sencillamente desechar no lo convierte en ponente.</w:t>
      </w:r>
    </w:p>
    <w:p w14:paraId="76E9BCB0" w14:textId="77777777" w:rsidR="00C04533" w:rsidRDefault="00C04533" w:rsidP="00C04533">
      <w:pPr>
        <w:pStyle w:val="TextoNormal"/>
      </w:pPr>
    </w:p>
    <w:p w14:paraId="59078634" w14:textId="77777777" w:rsidR="00C04533" w:rsidRDefault="00C04533" w:rsidP="00C04533">
      <w:pPr>
        <w:pStyle w:val="TextoNormal"/>
      </w:pPr>
      <w:r>
        <w:t>23. Todo lo anterior me lleva a afirmar y a insistir en que la forma en cómo se ha resuelto sobre la abstención al asumir y participar, en el incidente de abstención de un magistrado, otros magistrados recusados antes de que se resuelva la recusación es irregular, de hecho, severamente irregular, y aún lo será más si esta situación se reproduce en los incidentes de recusación que quedan pendientes.</w:t>
      </w:r>
    </w:p>
    <w:p w14:paraId="7449255D" w14:textId="77777777" w:rsidR="00C04533" w:rsidRDefault="00C04533" w:rsidP="00C04533">
      <w:pPr>
        <w:pStyle w:val="TextoNormal"/>
      </w:pPr>
    </w:p>
    <w:p w14:paraId="5B0F68D9" w14:textId="77777777" w:rsidR="00C04533" w:rsidRDefault="00C04533" w:rsidP="00C04533">
      <w:pPr>
        <w:pStyle w:val="TextoNormal"/>
      </w:pPr>
      <w:r>
        <w:t>V</w:t>
      </w:r>
    </w:p>
    <w:p w14:paraId="2E313DC0" w14:textId="77777777" w:rsidR="00C04533" w:rsidRDefault="00C04533" w:rsidP="00C04533">
      <w:pPr>
        <w:pStyle w:val="TextoNormal"/>
      </w:pPr>
    </w:p>
    <w:p w14:paraId="330F5F5D" w14:textId="77777777" w:rsidR="00C04533" w:rsidRDefault="00C04533" w:rsidP="00C04533">
      <w:pPr>
        <w:pStyle w:val="TextoNormal"/>
      </w:pPr>
      <w:r>
        <w:t>24. En cuanto al fondo del asunto, debo dejar constancia de los motivos que, a mi juicio, justifican la admisión de la abstención del magistrado señor Campo Moreno, que no son exactamente los que figuran en el auto aprobado, cuestión que no considero en absoluto intrascendente, aunque desemboque en el mismo resultado de apartamiento del magistrado del conocimiento del asunto.</w:t>
      </w:r>
    </w:p>
    <w:p w14:paraId="3AB1986D" w14:textId="77777777" w:rsidR="00C04533" w:rsidRDefault="00C04533" w:rsidP="00C04533">
      <w:pPr>
        <w:pStyle w:val="TextoNormal"/>
      </w:pPr>
    </w:p>
    <w:p w14:paraId="5110C0B6" w14:textId="77777777" w:rsidR="00C04533" w:rsidRDefault="00C04533" w:rsidP="00C04533">
      <w:pPr>
        <w:pStyle w:val="TextoNormal"/>
      </w:pPr>
      <w:r>
        <w:t>25. En primer lugar, conviene recordar que la inicial abstención del magistrado señor Campo Moreno fue solicitada y aceptada en el marco de una cuestión de inconstitucionalidad, y que ahora pretende extenderse a otras cuestiones y a los recursos de inconstitucionalidad interpuestos contra la Ley Orgánica 1/2024, también a solicitud del propio magistrado, aunque, en este caso, no de manera espontánea sino como reacción ante una recusación que va a quedar sin objeto como consecuencia de la abstención.</w:t>
      </w:r>
    </w:p>
    <w:p w14:paraId="34F46142" w14:textId="77777777" w:rsidR="00C04533" w:rsidRDefault="00C04533" w:rsidP="00C04533">
      <w:pPr>
        <w:pStyle w:val="TextoNormal"/>
      </w:pPr>
    </w:p>
    <w:p w14:paraId="59A80F8A" w14:textId="77777777" w:rsidR="00C04533" w:rsidRDefault="00C04533" w:rsidP="00C04533">
      <w:pPr>
        <w:pStyle w:val="TextoNormal"/>
      </w:pPr>
      <w:r>
        <w:t>26. Como es conocido (ATC 387/2007, de 16 de octubre, FJ 3), este tribunal ha diferenciado el “tratamiento de los casos de abstención y recusación, debiendo destacarse en general la menor extensión del enjuiciamiento crítico de las primeras cuando se admiten, frente a los de enjuiciamiento de las recusaciones”. Se trata de un “análisis […] que no resulta necesariamente idéntico, pues en el caso de las abstenciones se trata de decisiones adoptadas por magistrados, respecto de los que no es discernible ningún interés personal, ni imaginable siquiera ninguna posible sospecha de intento de alterar la composición del Tribunal o de impedir su normal funcionamiento, a diferencia de lo que podría quizás suceder con la recusación. Ello, en cualquier caso, no significa ni que cualquier abstención, por esa sola circunstancia, debe siempre estimarse justificada ni que, por el contrario, cualquier recusación deba ser rechazada. De ahí que el régimen jurídico de las abstenciones […] haya reforzado, frente al régimen anterior, la necesidad de que exista una resolución expresa que se pronuncie de manera motivada sobre si estima o no justificada la abstención (art. 221 LOPJ)”. Más adelante se señala que, como consecuencia de lo anterior, se aprecia “la naturalidad con la que el Pleno se limita a declarar justificadas las abstenciones, aceptando, sin ningún cuestionamiento crítico, la realidad de los hechos argüidos por los magistrados abstenidos, limitándose a constatar la aplicabilidad a los mismos de los motivos legales invocados en cada caso, en términos de un hacer jurisdiccional claramente diferenciado del seguido en casos de recusaciones”. En definitiva, solo razones excepcionales muy fundadas justificarían la inadmisión de una solicitud de abstención, obligando a un magistrado a intervenir en un asunto para el que no se considera con la imparcialidad necesaria para su enjuiciamiento.</w:t>
      </w:r>
    </w:p>
    <w:p w14:paraId="1DD201B2" w14:textId="77777777" w:rsidR="00C04533" w:rsidRDefault="00C04533" w:rsidP="00C04533">
      <w:pPr>
        <w:pStyle w:val="TextoNormal"/>
      </w:pPr>
    </w:p>
    <w:p w14:paraId="0A610AD8" w14:textId="77777777" w:rsidR="00C04533" w:rsidRDefault="00C04533" w:rsidP="00C04533">
      <w:pPr>
        <w:pStyle w:val="TextoNormal"/>
      </w:pPr>
      <w:r>
        <w:t>27. Como puse de manifiesto al resolver sobre la abstención planteada en el procedimiento de cuestión de inconstitucionalidad núm. 6053-2024, ya aceptada, entiendo que la causa de abstención invocada por el magistrado señor Campo Moreno sencillamente no concurre: el hecho de que, siendo ministro, hubiese justificado la propuesta (y posterior concesión como miembro del Consejo de Ministros) de unos indultos afirmando que era una opción posible frente a otras que consideraba inconstitucionales, como era el caso de la amnistía, en absoluto guarda la menor relación con la causa de abstención invocada (art. 219.10 LOPJ), a la vista de la interpretación de lo que este tribunal considera como “interés directo o indirecto” [ATC 180/2013, de 17 de septiembre, FJ 5 b)]: ningún perjuicio ni beneficio va a resultar para el magistrado o sus allegados del resultado del pleito, al menos que pueda racionalmente intuirse.</w:t>
      </w:r>
    </w:p>
    <w:p w14:paraId="6EB139AA" w14:textId="77777777" w:rsidR="00C04533" w:rsidRDefault="00C04533" w:rsidP="00C04533">
      <w:pPr>
        <w:pStyle w:val="TextoNormal"/>
      </w:pPr>
    </w:p>
    <w:p w14:paraId="2759C1A7" w14:textId="77777777" w:rsidR="00C04533" w:rsidRDefault="00C04533" w:rsidP="00C04533">
      <w:pPr>
        <w:pStyle w:val="TextoNormal"/>
      </w:pPr>
      <w:r>
        <w:t>28. Por otro lado, también puse de manifiesto y sigo pensando que una abstención justificada en la circunstancia de haber sostenido una opinión jurídica en el pasado sobre un tema sometido al conocimiento de este tribunal es algo que contradice su doctrina, singularmente expresada en el ATC 107/2021: la expresión de opiniones, antes de incorporarse al Tribunal, sobre temas jurídicos en publicaciones científicas o artículos periodísticos, e incluso en informes oficiales del Consejo General del Poder Judicial (ATC 28/2023, de 7 de febrero), y aun cuando nada hiciese pensar que la opinión hubiese variado, es algo que no inhabilita a los magistrados para participar en la decisión de un asunto. Como se afirma en la resolución citada, no se pretende de los miembros del Tribunal Constitucional que lleguen a esa alta magistratura con la cabeza vacía, pero sí con la mente abierta, dispuestos a asumir que, en el debate entre los magistrados, sus opiniones se pueden matizar, cambiar o sencillamente abandonar para asumir las de otros magistrados.</w:t>
      </w:r>
    </w:p>
    <w:p w14:paraId="3991F587" w14:textId="77777777" w:rsidR="00C04533" w:rsidRDefault="00C04533" w:rsidP="00C04533">
      <w:pPr>
        <w:pStyle w:val="TextoNormal"/>
      </w:pPr>
    </w:p>
    <w:p w14:paraId="287DC0E8" w14:textId="77777777" w:rsidR="00C04533" w:rsidRDefault="00C04533" w:rsidP="00C04533">
      <w:pPr>
        <w:pStyle w:val="TextoNormal"/>
      </w:pPr>
      <w:r>
        <w:t>29. Dicho lo anterior, y pese a que ni concurría la causa de abstención ni resultaba procedente aceptarla conforme a la doctrina de este tribunal, el hecho de que el magistrado señor Campo Moreno plantease la abstención afirmando tener “interés” en el asunto, aunque ese “interés” fuese inidentificable, lo inhabilitaba como miembro del Tribunal, porque ello suponía reconocer que no se encontraba en condiciones de cumplir con lo esperado de sus magistrados: tener la mente abierta (no vacía). Ese juicio, eminentemente subjetivo y personal del propio abstenido, difícilmente puede ser discutido, y si a ello se añadía que lo que había hecho el magistrado señor Campo Moreno no era meramente expresar una opinión (ya fuese en una publicación, artículo periodístico o informe, público o privado), sino justificar una resolución o decisión adoptada como ministro, cabía aceptar que la contradicción con la doctrina expresada en los AATC 107/2021 y 28/2023 no era, cuando menos, frontal.</w:t>
      </w:r>
    </w:p>
    <w:p w14:paraId="69965340" w14:textId="77777777" w:rsidR="00C04533" w:rsidRDefault="00C04533" w:rsidP="00C04533">
      <w:pPr>
        <w:pStyle w:val="TextoNormal"/>
      </w:pPr>
    </w:p>
    <w:p w14:paraId="094E4923" w14:textId="77777777" w:rsidR="00C04533" w:rsidRDefault="00C04533" w:rsidP="00C04533">
      <w:pPr>
        <w:pStyle w:val="TextoNormal"/>
      </w:pPr>
      <w:r>
        <w:t>30. Ahora, sin embargo, la abstención pretende extenderse a procedimientos de recursos de inconstitucionalidad, en los que concurren matices diferenciadores que justifican que la aceptación de una abstención o recusación sea aún más restrictiva ya que en ellos no se ventila un pleito entre partes que sostienen intereses propios o particulares, sino que en ellos se lleva a cabo un juicio objetivo de contraste entre una ley y la Constitución. Sin embargo, lo cierto es que el magistrado señor Campo Moreno sigue afirmando que no se encuentra en condiciones de abrir su mente al debate jurídico y la situación objetiva en la que basa su abstención (no que emitió una mera opinión, sino que justificó una decisión) sigue siendo la misma. En estas circunstancias, entiendo que la abstención puede ser aceptada, pero precisamente porque los matices diferenciales a los que he aludido imponen una consideración más restrictiva aún, las razones y circunstancias reales de la abstención, y no un mero formalismo, deben quedar clara y terminantemente expresadas en el auto de abstención, cosa que no ha sido aceptada y que justifica la emisión de este voto.</w:t>
      </w:r>
    </w:p>
    <w:p w14:paraId="2C73FDE1" w14:textId="77777777" w:rsidR="00C04533" w:rsidRDefault="00C04533" w:rsidP="00C04533">
      <w:pPr>
        <w:pStyle w:val="TextoNormal"/>
      </w:pPr>
    </w:p>
    <w:p w14:paraId="6C69D6EB" w14:textId="78DF67C4" w:rsidR="00C04533" w:rsidRDefault="00C04533" w:rsidP="00C04533">
      <w:pPr>
        <w:pStyle w:val="TextoNormal"/>
      </w:pPr>
      <w:r>
        <w:t>Madrid, a veinticuatro de septiembre de dos mil veinticuatro.</w:t>
      </w:r>
    </w:p>
    <w:p w14:paraId="742D3C98" w14:textId="067A7D79" w:rsidR="00C04533" w:rsidRDefault="00C04533">
      <w:pPr>
        <w:spacing w:after="160" w:line="278" w:lineRule="auto"/>
        <w:rPr>
          <w:rFonts w:ascii="Times New Roman" w:eastAsia="Times New Roman" w:hAnsi="Times New Roman" w:cs="Times New Roman"/>
          <w:sz w:val="24"/>
          <w:szCs w:val="24"/>
          <w:lang w:eastAsia="es-ES"/>
        </w:rPr>
      </w:pPr>
      <w:r>
        <w:br w:type="page"/>
      </w:r>
    </w:p>
    <w:p w14:paraId="61F78514" w14:textId="77777777" w:rsidR="00C04533" w:rsidRDefault="00C04533" w:rsidP="00C04533">
      <w:pPr>
        <w:pStyle w:val="TtuloResolucin"/>
      </w:pPr>
      <w:bookmarkStart w:id="98" w:name="AUTO_2024_92"/>
      <w:r>
        <w:t>AUTO 92/2024, de 3 de octubre de 2024</w:t>
      </w:r>
    </w:p>
    <w:bookmarkEnd w:id="98"/>
    <w:p w14:paraId="44B80EFA" w14:textId="77777777" w:rsidR="00C04533" w:rsidRDefault="00C04533" w:rsidP="00C04533">
      <w:pPr>
        <w:pStyle w:val="TtuloResolucin"/>
      </w:pPr>
      <w:r>
        <w:t>Sección Primera</w:t>
      </w:r>
    </w:p>
    <w:p w14:paraId="353A08EC" w14:textId="77777777" w:rsidR="00C04533" w:rsidRDefault="00C04533" w:rsidP="00C04533">
      <w:pPr>
        <w:pStyle w:val="TextoNormalCentrado"/>
      </w:pPr>
      <w:r>
        <w:t>ECLI:ES:TC:2024:92A</w:t>
      </w:r>
    </w:p>
    <w:p w14:paraId="3B9984EA" w14:textId="0B8CD7A8" w:rsidR="00C04533" w:rsidRDefault="00C04533" w:rsidP="00C04533">
      <w:pPr>
        <w:pStyle w:val="TextoNormalCentrado"/>
      </w:pPr>
    </w:p>
    <w:p w14:paraId="4CE293AA" w14:textId="77777777" w:rsidR="00C04533" w:rsidRDefault="00C04533" w:rsidP="00C04533">
      <w:pPr>
        <w:pStyle w:val="SntesisDescriptiva"/>
      </w:pPr>
      <w:r>
        <w:t>Excms. Srs. don Cándido Conde-Pumpido Tourón, doña Concepción Espejel Jorquera y doña María Luisa Segoviano Astaburuaga.</w:t>
      </w:r>
    </w:p>
    <w:p w14:paraId="6C9288E1" w14:textId="4C9A0C9C" w:rsidR="00C04533" w:rsidRDefault="00C04533" w:rsidP="00C04533">
      <w:pPr>
        <w:pStyle w:val="SntesisDescriptiva"/>
      </w:pPr>
    </w:p>
    <w:p w14:paraId="75C57919" w14:textId="77777777" w:rsidR="00C04533" w:rsidRDefault="00C04533" w:rsidP="00C04533">
      <w:pPr>
        <w:pStyle w:val="SntesisDescriptiva"/>
      </w:pPr>
      <w:r>
        <w:t>Desestima el recurso de súplica interpuesto por el Ministerio Fiscal en relación con la providencia de inadmisión del recurso de amparo 2418-2024, promovido por don Ricardo Gomis Cacho y doña Silvia Benjumea Guzmán en pleito civil.</w:t>
      </w:r>
    </w:p>
    <w:p w14:paraId="6DDFECC6" w14:textId="428B5194" w:rsidR="00C04533" w:rsidRDefault="00C04533" w:rsidP="00C04533">
      <w:pPr>
        <w:pStyle w:val="SntesisDescriptiva"/>
      </w:pPr>
    </w:p>
    <w:p w14:paraId="74195B29" w14:textId="77777777" w:rsidR="00C04533" w:rsidRDefault="00C04533" w:rsidP="00C04533">
      <w:pPr>
        <w:pStyle w:val="SntesisDescriptiva"/>
      </w:pPr>
    </w:p>
    <w:p w14:paraId="0B922C51" w14:textId="77777777" w:rsidR="00C04533" w:rsidRDefault="00C04533" w:rsidP="00C04533">
      <w:pPr>
        <w:pStyle w:val="SntesisDescriptiva"/>
      </w:pPr>
    </w:p>
    <w:p w14:paraId="24FACE03" w14:textId="77777777" w:rsidR="00C04533" w:rsidRDefault="00C04533" w:rsidP="00C04533">
      <w:pPr>
        <w:pStyle w:val="TextoNormalNegritaCentrado"/>
      </w:pPr>
      <w:r>
        <w:t>AUTO</w:t>
      </w:r>
    </w:p>
    <w:p w14:paraId="21B003E7" w14:textId="789270B5" w:rsidR="00C04533" w:rsidRDefault="00C04533" w:rsidP="00C04533">
      <w:pPr>
        <w:pStyle w:val="TextoNormalNegritaCentrado"/>
      </w:pPr>
    </w:p>
    <w:p w14:paraId="1FE1E5CF" w14:textId="77777777" w:rsidR="00C04533" w:rsidRDefault="00C04533" w:rsidP="00C04533">
      <w:pPr>
        <w:pStyle w:val="TextoNormalNegritaCentrado"/>
        <w:keepNext/>
      </w:pPr>
      <w:r>
        <w:t>I. Antecedentes</w:t>
      </w:r>
    </w:p>
    <w:p w14:paraId="02DA1955" w14:textId="040A72C7" w:rsidR="00C04533" w:rsidRDefault="00C04533" w:rsidP="00C04533">
      <w:pPr>
        <w:pStyle w:val="TextoNormalNegritaCentrado"/>
        <w:keepNext/>
      </w:pPr>
    </w:p>
    <w:p w14:paraId="400814AD" w14:textId="77777777" w:rsidR="00C04533" w:rsidRDefault="00C04533" w:rsidP="00C04533">
      <w:pPr>
        <w:pStyle w:val="TextoNormal"/>
      </w:pPr>
      <w:r w:rsidRPr="00C04533">
        <w:rPr>
          <w:rStyle w:val="NumeroAFNegritaCaracter"/>
        </w:rPr>
        <w:t>1</w:t>
      </w:r>
      <w:r>
        <w:t>. Cronológicamente expuestos, son antecedentes procesales relevantes para la resolución del presente recurso de súplica, extraídos de los escritos de alegaciones y documentos aportados por los recurrentes, los siguientes:</w:t>
      </w:r>
    </w:p>
    <w:p w14:paraId="6144448D" w14:textId="77777777" w:rsidR="00C04533" w:rsidRDefault="00C04533" w:rsidP="00C04533">
      <w:pPr>
        <w:pStyle w:val="TextoNormal"/>
      </w:pPr>
    </w:p>
    <w:p w14:paraId="37D05937" w14:textId="77777777" w:rsidR="00C04533" w:rsidRDefault="00C04533" w:rsidP="00C04533">
      <w:pPr>
        <w:pStyle w:val="TextoNormal"/>
      </w:pPr>
      <w:r>
        <w:t>a) En el marco del procedimiento de ejecución hipotecaria núm. 329-2024 —posteriormente renumerado con el núm. 2629-2017—, incoado con ocasión de demanda interpuesta el 14 de mayo de 2014 por la entidad Banco Bilbao Vizcaya Argentaria, S.A., por subrogación de la entidad Banco Santander Central Hispano, S.A., el Juzgado de Primera Instancia e Instrucción núm. 5 de Vilafranca del Penedès, dictó auto de 28 de julio de 2014, de orden general de ejecución y de despacho de la ejecución solicitada contra los bienes especialmente hipotecados, por la cantidad de 304 329,61 € en concepto de principal, más 3534,79 € de intereses ordinarios, 26,09 € de intereses de demora y 15,03 € de gastos de reclamación, hasta el día 22 de mayo de 2013, cuantía incrementada en el 12 por 100 para asegurar el pago de los intereses que pudieran devengarse durante la ejecución y el pago de las costas, sin perjuicio de ulterior liquidación.</w:t>
      </w:r>
    </w:p>
    <w:p w14:paraId="1CEC9896" w14:textId="77777777" w:rsidR="00C04533" w:rsidRDefault="00C04533" w:rsidP="00C04533">
      <w:pPr>
        <w:pStyle w:val="TextoNormal"/>
      </w:pPr>
    </w:p>
    <w:p w14:paraId="7C434E80" w14:textId="77777777" w:rsidR="00C04533" w:rsidRDefault="00C04533" w:rsidP="00C04533">
      <w:pPr>
        <w:pStyle w:val="TextoNormal"/>
      </w:pPr>
      <w:r>
        <w:t>b) El requerimiento de pago a la parte ejecutada, ahora demandante de amparo, tuvo lugar el día 15 de septiembre de 2014.</w:t>
      </w:r>
    </w:p>
    <w:p w14:paraId="2F4048F8" w14:textId="77777777" w:rsidR="00C04533" w:rsidRDefault="00C04533" w:rsidP="00C04533">
      <w:pPr>
        <w:pStyle w:val="TextoNormal"/>
      </w:pPr>
    </w:p>
    <w:p w14:paraId="500871CF" w14:textId="77777777" w:rsidR="00C04533" w:rsidRDefault="00C04533" w:rsidP="00C04533">
      <w:pPr>
        <w:pStyle w:val="TextoNormal"/>
      </w:pPr>
      <w:r>
        <w:t>c) La subasta de la finca hipotecada se llevó a cabo el 30 de septiembre de 2015 y quedó desierta por falta de licitadores.</w:t>
      </w:r>
    </w:p>
    <w:p w14:paraId="604274FD" w14:textId="77777777" w:rsidR="00C04533" w:rsidRDefault="00C04533" w:rsidP="00C04533">
      <w:pPr>
        <w:pStyle w:val="TextoNormal"/>
      </w:pPr>
    </w:p>
    <w:p w14:paraId="1F9A062B" w14:textId="77777777" w:rsidR="00C04533" w:rsidRDefault="00C04533" w:rsidP="00C04533">
      <w:pPr>
        <w:pStyle w:val="TextoNormal"/>
      </w:pPr>
      <w:r>
        <w:t>d) La parte ejecutante, de conformidad con lo establecido en el art. 671 de la Ley de enjuiciamiento civil (LEC), solicitó la adjudicación de los bienes subastados por la cantidad de 149 772,21 € —70 por 100 del valor de tasación— por tratarse de vivienda habitual, así como la reserva de la facultad de cesión del remate a tercero.</w:t>
      </w:r>
    </w:p>
    <w:p w14:paraId="4921D4C7" w14:textId="77777777" w:rsidR="00C04533" w:rsidRDefault="00C04533" w:rsidP="00C04533">
      <w:pPr>
        <w:pStyle w:val="TextoNormal"/>
      </w:pPr>
    </w:p>
    <w:p w14:paraId="6AB89233" w14:textId="77777777" w:rsidR="00C04533" w:rsidRDefault="00C04533" w:rsidP="00C04533">
      <w:pPr>
        <w:pStyle w:val="TextoNormal"/>
      </w:pPr>
      <w:r>
        <w:t>e) Los recurrentes presentaron escrito por el que interesaron la declaración de nulidad de actuaciones desde el auto de admisión de la demanda de ejecución, por haber sufrido indefensión dada la falta de control de oficio por parte del juez, en el momento de admisión de la demanda, de las posibles cláusulas abusivas contenidas en el titulo ejecutivo. La solicitud fue desestimada por el auto núm. 103/2016, de 21 de julio, con fundamento en que:</w:t>
      </w:r>
    </w:p>
    <w:p w14:paraId="7A374155" w14:textId="77777777" w:rsidR="00C04533" w:rsidRDefault="00C04533" w:rsidP="00C04533">
      <w:pPr>
        <w:pStyle w:val="TextoNormal"/>
      </w:pPr>
    </w:p>
    <w:p w14:paraId="0839EFFA" w14:textId="77777777" w:rsidR="00C04533" w:rsidRDefault="00C04533" w:rsidP="00C04533">
      <w:pPr>
        <w:pStyle w:val="TextoNormal"/>
      </w:pPr>
      <w:r>
        <w:t>“Si bien es cierto que debe llevarse a cabo dicho control de oficio en el momento de admisión de la demanda no es menos cierto que la nulidad de actuaciones invocada debe ser tomada en cuenta de manera muy restrictiva y ante supuestos de indefensión real y material y no ante casos en que hipotéticamente la misma se pudiera haber dado en atención a que no se concreta la indefensión sufrida por los instantes a tenor que si bien es cierto que frente a dicho auto [de 28 de julio de 2014], en el que se llevó a cabo un examen del titulo ejecutivo entendiendo que el mismo presentaba los requisitos necesarios para su admisión de conformidad con lo dispuesto en los arts. 517.2 y 685.2 LEC, los ejecutados disponían de un plazo de diez días, de conformidad con lo dispuesto en el articulo 551 de la Ley de enjuiciamiento civil para formular la oportuna oposición en el caso de haber considerado que el control de oficio del título ejecutivo no había sido correcto y que el mismo presentaba cláusulas abusivas susceptibles de ser declaradas nulas garantizándose con ello el derecho a la tutela judicial efectiva de los instantes. Se entiende, por tanto, que no se ha producido indefensión en el presente que deba acarrear la nulidad pretendida de la presente ejecución por considerar que en el auto despachando ejecución no se ha producido entorpecimiento o limitación sustancial alguna de los derechos de los ejecutados siendo resolución dictada de conformidad con el procedimiento legalmente establecido y que, por tanto, debe ser confirmada”.</w:t>
      </w:r>
    </w:p>
    <w:p w14:paraId="7D73FC23" w14:textId="77777777" w:rsidR="00C04533" w:rsidRDefault="00C04533" w:rsidP="00C04533">
      <w:pPr>
        <w:pStyle w:val="TextoNormal"/>
      </w:pPr>
    </w:p>
    <w:p w14:paraId="03D4A709" w14:textId="77777777" w:rsidR="00C04533" w:rsidRDefault="00C04533" w:rsidP="00C04533">
      <w:pPr>
        <w:pStyle w:val="TextoNormal"/>
      </w:pPr>
      <w:r>
        <w:t>Solicitada la aclaración y subsanación del auto, fueron denegadas por auto de 14 de noviembre de 2016.</w:t>
      </w:r>
    </w:p>
    <w:p w14:paraId="1DC6FDA6" w14:textId="77777777" w:rsidR="00C04533" w:rsidRDefault="00C04533" w:rsidP="00C04533">
      <w:pPr>
        <w:pStyle w:val="TextoNormal"/>
      </w:pPr>
    </w:p>
    <w:p w14:paraId="705DC072" w14:textId="77777777" w:rsidR="00C04533" w:rsidRDefault="00C04533" w:rsidP="00C04533">
      <w:pPr>
        <w:pStyle w:val="TextoNormal"/>
      </w:pPr>
      <w:r>
        <w:t>f) Los recurrentes interpusieron recurso de apelación que, según afirman, fue admitido inicialmente, pero se declaró la nulidad de la admisión mediante decreto de 24 de febrero de 2017. No consta que esta resolución fuera impugnada por la parte ejecutada.</w:t>
      </w:r>
    </w:p>
    <w:p w14:paraId="1ABD150B" w14:textId="77777777" w:rsidR="00C04533" w:rsidRDefault="00C04533" w:rsidP="00C04533">
      <w:pPr>
        <w:pStyle w:val="TextoNormal"/>
      </w:pPr>
    </w:p>
    <w:p w14:paraId="49935B14" w14:textId="77777777" w:rsidR="00C04533" w:rsidRDefault="00C04533" w:rsidP="00C04533">
      <w:pPr>
        <w:pStyle w:val="TextoNormal"/>
      </w:pPr>
      <w:r>
        <w:t>g) Tras solicitar la entidad bancaria ejecutante que se procediera a dictar decreto de adjudicación de la finca objeto del procedimiento, con la facultad de ceder el remate a favor de tercero, pero sin especificar el plazo ni el nombre del cesionario a quien pretende ceder el remate, por diligencia de ordenación de 16 de octubre de 2020 se acordó requerir a la citada entidad a fin de que en el plazo de veinte días indicase la identidad y el domicilio del cesionario a quien pretende ceder el remate de la finca subastada.</w:t>
      </w:r>
    </w:p>
    <w:p w14:paraId="3F5A14ED" w14:textId="77777777" w:rsidR="00C04533" w:rsidRDefault="00C04533" w:rsidP="00C04533">
      <w:pPr>
        <w:pStyle w:val="TextoNormal"/>
      </w:pPr>
    </w:p>
    <w:p w14:paraId="502958F9" w14:textId="77777777" w:rsidR="00C04533" w:rsidRDefault="00C04533" w:rsidP="00C04533">
      <w:pPr>
        <w:pStyle w:val="TextoNormal"/>
      </w:pPr>
      <w:r>
        <w:t>h) El día 7 de mayo de 2021 se dictó diligencia de ordenación (no aportada por los recurrentes) que fue recurrida en reposición por los ejecutados y desestimada la impugnación por decreto de 20 de octubre de 2021, con el siguiente fundamento:</w:t>
      </w:r>
    </w:p>
    <w:p w14:paraId="0C57B6A8" w14:textId="77777777" w:rsidR="00C04533" w:rsidRDefault="00C04533" w:rsidP="00C04533">
      <w:pPr>
        <w:pStyle w:val="TextoNormal"/>
      </w:pPr>
    </w:p>
    <w:p w14:paraId="72499FB2" w14:textId="77777777" w:rsidR="00C04533" w:rsidRDefault="00C04533" w:rsidP="00C04533">
      <w:pPr>
        <w:pStyle w:val="TextoNormal"/>
      </w:pPr>
      <w:r>
        <w:t>“Pretende la recurrente dejar sin efecto la subasta de un derecho real, en el que se han salvaguardo todos y cada uno de los precepto que contiene la Ley de enjuiciamiento civil, para la subasta y posterior adjudicación, con posibilidad o no de cesión a tercero, y ello basándose en que por parte de la actora se ha dejado transcurrir plazos que podrían dar lugar a dejar sin efecto la referida subasta y levantar el embargo que sobre el derecho real ejecutado, en su día se anotó en el registro de la propiedad correspondiente.</w:t>
      </w:r>
    </w:p>
    <w:p w14:paraId="0FE0D0F9" w14:textId="77777777" w:rsidR="00C04533" w:rsidRDefault="00C04533" w:rsidP="00C04533">
      <w:pPr>
        <w:pStyle w:val="TextoNormal"/>
      </w:pPr>
    </w:p>
    <w:p w14:paraId="12B36B87" w14:textId="77777777" w:rsidR="00C04533" w:rsidRDefault="00C04533" w:rsidP="00C04533">
      <w:pPr>
        <w:pStyle w:val="TextoNormal"/>
      </w:pPr>
      <w:r>
        <w:t>Como bien dice la parte actora, no hay precepto legal que nos imponga un plazo para que la misma se pronuncie sobre hecho que le corresponda, en este supuesto la cesión de remate a tercero, cesión que de lo observado en autos se ha efectuado dentro de plazo y a requerimiento de este servicio de ejecuciones, por lo que este letrado de la administración de justicia, hace suyas las alegaciones de la actora y del contenido de lo actuado en el procedimiento para fundamentar su decisión”.</w:t>
      </w:r>
    </w:p>
    <w:p w14:paraId="5756EA4D" w14:textId="77777777" w:rsidR="00C04533" w:rsidRDefault="00C04533" w:rsidP="00C04533">
      <w:pPr>
        <w:pStyle w:val="TextoNormal"/>
      </w:pPr>
    </w:p>
    <w:p w14:paraId="66ED4065" w14:textId="77777777" w:rsidR="00C04533" w:rsidRDefault="00C04533" w:rsidP="00C04533">
      <w:pPr>
        <w:pStyle w:val="TextoNormal"/>
      </w:pPr>
      <w:r>
        <w:t>i) Los ahora demandantes interpusieron recurso de revisión frente al decreto anterior, que fue rechazado por auto de 16 de marzo de 2022 en estos términos:</w:t>
      </w:r>
    </w:p>
    <w:p w14:paraId="57123E5C" w14:textId="77777777" w:rsidR="00C04533" w:rsidRDefault="00C04533" w:rsidP="00C04533">
      <w:pPr>
        <w:pStyle w:val="TextoNormal"/>
      </w:pPr>
    </w:p>
    <w:p w14:paraId="2B614A29" w14:textId="77777777" w:rsidR="00C04533" w:rsidRDefault="00C04533" w:rsidP="00C04533">
      <w:pPr>
        <w:pStyle w:val="TextoNormal"/>
      </w:pPr>
      <w:r>
        <w:t>“Procede desestimar el recurso de revisión y todo ello en base a los argumentos expuestos en la resolución recurrida. La parte ejecutante ha cumplido con los plazos y requerimientos efectuados por el juzgado sin que deba procederse al alzamiento del embargo como reclama la parte ejecutada.</w:t>
      </w:r>
    </w:p>
    <w:p w14:paraId="5B66A25D" w14:textId="77777777" w:rsidR="00C04533" w:rsidRDefault="00C04533" w:rsidP="00C04533">
      <w:pPr>
        <w:pStyle w:val="TextoNormal"/>
      </w:pPr>
    </w:p>
    <w:p w14:paraId="5DD7303B" w14:textId="77777777" w:rsidR="00C04533" w:rsidRDefault="00C04533" w:rsidP="00C04533">
      <w:pPr>
        <w:pStyle w:val="TextoNormal"/>
      </w:pPr>
      <w:r>
        <w:t>Así, revisado el procedimiento se comprueba que se celebró una primera comparecencia en la que se apreció un error en la documentación y siendo la parte requerida para la subsanación procedió a la misma. Debemos de tener en cuenta el principio de subsanabilidad que conforme al art. 231 LEC rige en nuestro ordenamiento jurídico y que debe prevalecer y amparar a las partes.</w:t>
      </w:r>
    </w:p>
    <w:p w14:paraId="09A5A972" w14:textId="77777777" w:rsidR="00C04533" w:rsidRDefault="00C04533" w:rsidP="00C04533">
      <w:pPr>
        <w:pStyle w:val="TextoNormal"/>
      </w:pPr>
    </w:p>
    <w:p w14:paraId="5E4635BC" w14:textId="77777777" w:rsidR="00C04533" w:rsidRDefault="00C04533" w:rsidP="00C04533">
      <w:pPr>
        <w:pStyle w:val="TextoNormal"/>
      </w:pPr>
      <w:r>
        <w:t>En relación a la existencia o no de plazo concreto para el ejercicio del derecho a ceder el remate al ejecutante, conforme a auto de la Audiencia Provincial de Baleares de 12 de febrero de 2003, el derecho a ceder el remate a tercero del art. 647.3 LEC no establece plazo alguno para su ejercicio, ni tampoco se establece límite temporal para la cesión del remate a tercero, sin que por tanto, en el caso de autos el transcurso de diez meses, atendiendo a los requerimiento realizados por este órgano judicial impidan el ejercicio de ese derecho”.</w:t>
      </w:r>
    </w:p>
    <w:p w14:paraId="76AA8989" w14:textId="77777777" w:rsidR="00C04533" w:rsidRDefault="00C04533" w:rsidP="00C04533">
      <w:pPr>
        <w:pStyle w:val="TextoNormal"/>
      </w:pPr>
    </w:p>
    <w:p w14:paraId="5ACC7010" w14:textId="77777777" w:rsidR="00C04533" w:rsidRDefault="00C04533" w:rsidP="00C04533">
      <w:pPr>
        <w:pStyle w:val="TextoNormal"/>
      </w:pPr>
      <w:r>
        <w:t>j) Con fecha 6 de septiembre de 2022 la parte ejecutante cedió la adjudicación del remate a favor de Whitehead Invest, S.L., que la aceptó mediante comparecencia en los términos en que se llevó a cabo aquella y justificó el pago del precio de adjudicación.</w:t>
      </w:r>
    </w:p>
    <w:p w14:paraId="7E99502E" w14:textId="77777777" w:rsidR="00C04533" w:rsidRDefault="00C04533" w:rsidP="00C04533">
      <w:pPr>
        <w:pStyle w:val="TextoNormal"/>
      </w:pPr>
    </w:p>
    <w:p w14:paraId="0C3AB267" w14:textId="77777777" w:rsidR="00C04533" w:rsidRDefault="00C04533" w:rsidP="00C04533">
      <w:pPr>
        <w:pStyle w:val="TextoNormal"/>
      </w:pPr>
      <w:r>
        <w:t>Mediante decreto de 23 de septiembre de 2022 se aprobó la cesión de la adjudicación del bien efectuada por la parte ejecutante a favor de Whitehead Invest, S.L.</w:t>
      </w:r>
    </w:p>
    <w:p w14:paraId="5D721031" w14:textId="77777777" w:rsidR="00C04533" w:rsidRDefault="00C04533" w:rsidP="00C04533">
      <w:pPr>
        <w:pStyle w:val="TextoNormal"/>
      </w:pPr>
    </w:p>
    <w:p w14:paraId="4C54FD5C" w14:textId="77777777" w:rsidR="00C04533" w:rsidRDefault="00C04533" w:rsidP="00C04533">
      <w:pPr>
        <w:pStyle w:val="TextoNormal"/>
      </w:pPr>
      <w:r>
        <w:t>k) Una vez firme el decreto de adjudicación, por decreto de 7 de noviembre de 2022 se acordó cancelar la carga que grava la finca, así como la nota marginal a que se refiere el art. 656 LEC, con remisión a tal efecto de mandamiento al registro de la propiedad. Asimismo, se acordó cancelar todas las anotaciones e inscripciones posteriores a la expedición de la certificación.</w:t>
      </w:r>
    </w:p>
    <w:p w14:paraId="58573990" w14:textId="77777777" w:rsidR="00C04533" w:rsidRDefault="00C04533" w:rsidP="00C04533">
      <w:pPr>
        <w:pStyle w:val="TextoNormal"/>
      </w:pPr>
    </w:p>
    <w:p w14:paraId="370B1D46" w14:textId="77777777" w:rsidR="00C04533" w:rsidRDefault="00C04533" w:rsidP="00C04533">
      <w:pPr>
        <w:pStyle w:val="TextoNormal"/>
      </w:pPr>
      <w:r>
        <w:t xml:space="preserve">l) Señalada la fecha de lanzamiento para el día 18 de septiembre de 2023, mediante escrito de 1 de septiembre de 2023, los recurrentes solicitaron, al amparo del art. 564 LEC en relación al art. 562 LEC, la revisión del cumplimiento de los requisitos formales del título y de los requisitos procesales de esta ejecución, así como el control de las cláusulas del contrato a la vista de la jurisprudencia (SSTS 466/2014, de 12 de septiembre (ECLI:ES:TS:2014:3892); 1916/2013, de 9 de mayo (ECLI:ES:TS:2013:1916); 463/2019, de 11 de septiembre (ECLI:ES:TS:2019:2761), y 566/2019, de 25 de octubre (ECLI:ES:TS:2019:3315); SSTC 31/2019, de 28 de febrero, y 141/2022, de 14 de noviembre; SSTJUE de 17 de julio de 2014, </w:t>
      </w:r>
      <w:r w:rsidRPr="00C04533">
        <w:rPr>
          <w:i/>
        </w:rPr>
        <w:t>Sánchez Morcillo y Abril García</w:t>
      </w:r>
      <w:r>
        <w:t xml:space="preserve">, asunto C-169/14; de 10 de septiembre de 2014, </w:t>
      </w:r>
      <w:r w:rsidRPr="00C04533">
        <w:rPr>
          <w:i/>
        </w:rPr>
        <w:t>Kušionová</w:t>
      </w:r>
      <w:r>
        <w:t xml:space="preserve">, asunto C-34/13; de 21 de diciembre de 2016, </w:t>
      </w:r>
      <w:r w:rsidRPr="00C04533">
        <w:rPr>
          <w:i/>
        </w:rPr>
        <w:t>Gutiérrez Naranjo</w:t>
      </w:r>
      <w:r>
        <w:t xml:space="preserve">, asuntos acumulados C-154/15, C-307/15 y C-308/15; de 26 de enero de 2017, </w:t>
      </w:r>
      <w:r w:rsidRPr="00C04533">
        <w:rPr>
          <w:i/>
        </w:rPr>
        <w:t>Banco Primus, S.A</w:t>
      </w:r>
      <w:r>
        <w:t xml:space="preserve">, asunto C-421/14; de 7 de agosto de 2018, </w:t>
      </w:r>
      <w:r w:rsidRPr="00C04533">
        <w:rPr>
          <w:i/>
        </w:rPr>
        <w:t>Banco Santander</w:t>
      </w:r>
      <w:r>
        <w:t xml:space="preserve">, asuntos acumulados C-96/16 y C-94/17, y de 16 de julio de 2020, </w:t>
      </w:r>
      <w:r w:rsidRPr="00C04533">
        <w:rPr>
          <w:i/>
        </w:rPr>
        <w:t>Caixabank</w:t>
      </w:r>
      <w:r>
        <w:t>, asuntos acumulados C-224/19 y C-259/19, y conforme a lo dispuesto en los arts. 551.1 y 552.1 LEC, a fin de que se declarase la nulidad de todo el procedimiento por falta de control de la cláusulas abusivas denunciadas (intereses remuneratorios y de demora, cláusula suelo, reclamación de posiciones deudoras, pacto de liquidez, apertura, subrogación, novación de condiciones y, especialmente, la de vencimiento anticipado) y se declare el sobreseimiento y archivo de la ejecución.</w:t>
      </w:r>
    </w:p>
    <w:p w14:paraId="78650B52" w14:textId="77777777" w:rsidR="00C04533" w:rsidRDefault="00C04533" w:rsidP="00C04533">
      <w:pPr>
        <w:pStyle w:val="TextoNormal"/>
      </w:pPr>
    </w:p>
    <w:p w14:paraId="75A73685" w14:textId="77777777" w:rsidR="00C04533" w:rsidRDefault="00C04533" w:rsidP="00C04533">
      <w:pPr>
        <w:pStyle w:val="TextoNormal"/>
      </w:pPr>
      <w:r>
        <w:t>m) El juzgado dictó auto en fecha 21 de noviembre de 2023, en el que declaró no haber lugar a declarar la solicitada nulidad de todo el procedimiento, por cuanto</w:t>
      </w:r>
    </w:p>
    <w:p w14:paraId="72654C2B" w14:textId="77777777" w:rsidR="00C04533" w:rsidRDefault="00C04533" w:rsidP="00C04533">
      <w:pPr>
        <w:pStyle w:val="TextoNormal"/>
      </w:pPr>
    </w:p>
    <w:p w14:paraId="23312A17" w14:textId="77777777" w:rsidR="00C04533" w:rsidRDefault="00C04533" w:rsidP="00C04533">
      <w:pPr>
        <w:pStyle w:val="TextoNormal"/>
      </w:pPr>
      <w:r>
        <w:t xml:space="preserve">“En el presente caso, con fecha de 21 de julio de 2016 se dictó auto núm. 103/2016 que ya resolvió mismo incidente de nulidad, desestimando el mismo. Por lo que expuestas idénticas razones por la parte ejecutada, no habiéndose apreciado entonces la indefensión de la parte ejecutada ni causa alguna que de lugar a la nulidad de las actuaciones conforme al </w:t>
      </w:r>
      <w:r w:rsidRPr="00C04533">
        <w:rPr>
          <w:i/>
        </w:rPr>
        <w:t>numerus clausus</w:t>
      </w:r>
      <w:r>
        <w:t xml:space="preserve"> de causas de nulidad previstas en la ley, se desestima la presente solicitud por los mismos motivos que los expuestos en dicho auto, al cual nos remitimos íntegramente”.</w:t>
      </w:r>
    </w:p>
    <w:p w14:paraId="1C06E6D1" w14:textId="77777777" w:rsidR="00C04533" w:rsidRDefault="00C04533" w:rsidP="00C04533">
      <w:pPr>
        <w:pStyle w:val="TextoNormal"/>
      </w:pPr>
    </w:p>
    <w:p w14:paraId="7573AC26" w14:textId="77777777" w:rsidR="00C04533" w:rsidRDefault="00C04533" w:rsidP="00C04533">
      <w:pPr>
        <w:pStyle w:val="TextoNormal"/>
      </w:pPr>
      <w:r>
        <w:t>n) Los recurrentes presentaron escrito, fechado el 24 de noviembre de 2023, en el que interesaron la aclaración, subsanación y complemento del auto desestimatorio de nulidad de actuaciones de fecha 21 de noviembre de 2023 y, subsidiariamente, la declaración de nulidad del citado auto y de todo el procedimiento por falta de control de las cláusulas abusivas y por incumplimiento de los requisitos de forma del título ejecutivo, con suspensión de lanzamiento acordado.</w:t>
      </w:r>
    </w:p>
    <w:p w14:paraId="27880645" w14:textId="77777777" w:rsidR="00C04533" w:rsidRDefault="00C04533" w:rsidP="00C04533">
      <w:pPr>
        <w:pStyle w:val="TextoNormal"/>
      </w:pPr>
    </w:p>
    <w:p w14:paraId="30A87513" w14:textId="77777777" w:rsidR="00C04533" w:rsidRDefault="00C04533" w:rsidP="00C04533">
      <w:pPr>
        <w:pStyle w:val="TextoNormal"/>
      </w:pPr>
      <w:r>
        <w:t>ñ) El Juzgado desestimó la pretensión de aclaración. subsanación y complemento formulada por los recurrentes en auto de 21 de marzo de 2024. En su fundamentación declara lo siguiente:</w:t>
      </w:r>
    </w:p>
    <w:p w14:paraId="2235AE77" w14:textId="77777777" w:rsidR="00C04533" w:rsidRDefault="00C04533" w:rsidP="00C04533">
      <w:pPr>
        <w:pStyle w:val="TextoNormal"/>
      </w:pPr>
    </w:p>
    <w:p w14:paraId="4EC88361" w14:textId="77777777" w:rsidR="00C04533" w:rsidRDefault="00C04533" w:rsidP="00C04533">
      <w:pPr>
        <w:pStyle w:val="TextoNormal"/>
      </w:pPr>
      <w:r>
        <w:t>“[E]l auto de 21 de noviembre de 2023 desestimó la nulidad por haberse ya resuelto el mismo incidente de nulidad por auto definitivo y firme 103/2016, de fecha 21 de julio de 2016.</w:t>
      </w:r>
    </w:p>
    <w:p w14:paraId="27CBF808" w14:textId="77777777" w:rsidR="00C04533" w:rsidRDefault="00C04533" w:rsidP="00C04533">
      <w:pPr>
        <w:pStyle w:val="TextoNormal"/>
      </w:pPr>
    </w:p>
    <w:p w14:paraId="44678B9B" w14:textId="77777777" w:rsidR="00C04533" w:rsidRDefault="00C04533" w:rsidP="00C04533">
      <w:pPr>
        <w:pStyle w:val="TextoNormal"/>
      </w:pPr>
      <w:r>
        <w:t xml:space="preserve">Con remisión a la literalidad del mismo auto cuya aclaración, subsanación, complemento y nulidad se pretende, el mismo en el fundamento jurídico tercero refiere que ‘[e]n el presente caso, con fecha de 21 de julio de 2016 se dictó auto núm. 103/2016 que ya resolvió mismo incidente de nulidad, desestimando el mismo. Por lo que expuestas idénticas razones por la parte ejecutada, no habiéndose apreciado entonces la indefensión de la parte ejecutada ni causa alguna que de lugar a la nulidad de las actuaciones conforme al </w:t>
      </w:r>
      <w:r w:rsidRPr="00C04533">
        <w:rPr>
          <w:i/>
        </w:rPr>
        <w:t>numerus clausus</w:t>
      </w:r>
      <w:r>
        <w:t xml:space="preserve"> de causas de nulidad previstas en la ley, se desestima la presente solicitud por los mismos motivos que los expuestos en dicho auto, al cual nos remitimos íntegramente’.</w:t>
      </w:r>
    </w:p>
    <w:p w14:paraId="2DA68F43" w14:textId="77777777" w:rsidR="00C04533" w:rsidRDefault="00C04533" w:rsidP="00C04533">
      <w:pPr>
        <w:pStyle w:val="TextoNormal"/>
      </w:pPr>
    </w:p>
    <w:p w14:paraId="28D9813E" w14:textId="77777777" w:rsidR="00C04533" w:rsidRDefault="00C04533" w:rsidP="00C04533">
      <w:pPr>
        <w:pStyle w:val="TextoNormal"/>
      </w:pPr>
      <w:r>
        <w:t>Por lo expuesto, esta juzgadora solo puede desestimar lo peticionado [...] pues las aclaraciones y subsanaciones que pretenden supone modificar el sentido de la resolución, pretendiendo darles la razón cuando esta juzgadora no puede sino limitarse a remitirse a un auto ya firme dictado en 2016 que ya ha resuelto la cuestión planteada y respecto del cual, ya interesaron la aclaración e igualmente se les desestimó por auto de 14 de noviembre de 2016. Lo que pone de manifiesto la ejecutada es el incesante interés en dilatar el procedimiento de ejecución y que la ejecutante no logre en modo alguna satisfacer el crédito hipotecario, cuestión que en modo alguno se debe aceptar pues no hay motivo alguno para las cuestiones planteadas por la ejecutada de forma reiterada en 2016, en el año 2023 y espero que no se vuelva a repetir dentro de otros seis o siete años”.</w:t>
      </w:r>
    </w:p>
    <w:p w14:paraId="209B28CE" w14:textId="77777777" w:rsidR="00C04533" w:rsidRDefault="00C04533" w:rsidP="00C04533">
      <w:pPr>
        <w:pStyle w:val="TextoNormal"/>
      </w:pPr>
    </w:p>
    <w:p w14:paraId="3FFE891B" w14:textId="77777777" w:rsidR="00C04533" w:rsidRDefault="00C04533" w:rsidP="00C04533">
      <w:pPr>
        <w:pStyle w:val="TextoNormal"/>
      </w:pPr>
      <w:r>
        <w:t>o) Una vez desestimada la petición de aclaración, subsanación y complemento, mediante providencia de 21 de marzo de 2024 se inadmitió la petición subsidiaria pendiente de declaración de nulidad de actuaciones, con el siguiente razonamiento:</w:t>
      </w:r>
    </w:p>
    <w:p w14:paraId="51068DD7" w14:textId="77777777" w:rsidR="00C04533" w:rsidRDefault="00C04533" w:rsidP="00C04533">
      <w:pPr>
        <w:pStyle w:val="TextoNormal"/>
      </w:pPr>
    </w:p>
    <w:p w14:paraId="21329F42" w14:textId="77777777" w:rsidR="00C04533" w:rsidRDefault="00C04533" w:rsidP="00C04533">
      <w:pPr>
        <w:pStyle w:val="TextoNormal"/>
      </w:pPr>
      <w:r>
        <w:t>“[L]as causas alegadas por la parte ejecutada y quien promueve este incidente, pese a alegar motivo de nulidad por vulneración de doctrina constitucional y derechos fundamentales del art. 53.2 CE habiendo producido indefensión a la parte ejecutada; lo cierto es que la parte interesada pretende declarar la nulidad de un auto que ya le desestima la nulidad, precisamente por no caber recurso contra dicho auto de nulidad. Habiendo ya resuelto las cuestiones interesadas por la parte ejecutada mediante el auto cuya nulidad pretende, no ha lugar a la admisión de otro incidente de nulidad sobre los mismos hechos y mismas cuestiones ya resueltas en el citado auto de 21 de noviembre de 2023 y, además, con carácter previo, el auto de fecha 21 de julio de 2016; de lo contrario supone resolver continua y sucesivamente incidentes extraordinarios planteados por la ejecutada para resolver las mismas cuestiones con el propósito de obtener una respuesta a su favor en algún momento; sin existir motivo alguno para la admisión de dicho incidente.</w:t>
      </w:r>
    </w:p>
    <w:p w14:paraId="626551B1" w14:textId="77777777" w:rsidR="00C04533" w:rsidRDefault="00C04533" w:rsidP="00C04533">
      <w:pPr>
        <w:pStyle w:val="TextoNormal"/>
      </w:pPr>
    </w:p>
    <w:p w14:paraId="4709DD1B" w14:textId="77777777" w:rsidR="00C04533" w:rsidRDefault="00C04533" w:rsidP="00C04533">
      <w:pPr>
        <w:pStyle w:val="TextoNormal"/>
      </w:pPr>
      <w:r>
        <w:t>El auto que aquí se pretende promover el incidente de nulidad desestima la nulidad de actuaciones promovida por los ejecutados, precisamente por ‘Tercero. En el presente caso, con fecha de 21 de julio de 2016 se dictó auto núm. 103/2016 que ya resolvió mismo incidente de nulidad, desestimando el mismo.</w:t>
      </w:r>
    </w:p>
    <w:p w14:paraId="653C9BD1" w14:textId="77777777" w:rsidR="00C04533" w:rsidRDefault="00C04533" w:rsidP="00C04533">
      <w:pPr>
        <w:pStyle w:val="TextoNormal"/>
      </w:pPr>
    </w:p>
    <w:p w14:paraId="44C242E8" w14:textId="77777777" w:rsidR="00C04533" w:rsidRDefault="00C04533" w:rsidP="00C04533">
      <w:pPr>
        <w:pStyle w:val="TextoNormal"/>
      </w:pPr>
      <w:r>
        <w:t xml:space="preserve">Por lo que expuestas idénticas razones por la parte ejecutada, no habiéndose apreciado entonces la indefensión de la parte ejecutada ni causa alguna que de lugar a la nulidad de las actuaciones conforme al </w:t>
      </w:r>
      <w:r w:rsidRPr="00C04533">
        <w:rPr>
          <w:i/>
        </w:rPr>
        <w:t>numerus clausus</w:t>
      </w:r>
      <w:r>
        <w:t xml:space="preserve"> de causas de nulidad previstas en la ley, se desestima la presente solicitud por los mismos motivos que los expuestos en dicho auto, al cual nos remitimos íntegramente’ (fundamento jurídico tercero).</w:t>
      </w:r>
    </w:p>
    <w:p w14:paraId="32F1E4D9" w14:textId="77777777" w:rsidR="00C04533" w:rsidRDefault="00C04533" w:rsidP="00C04533">
      <w:pPr>
        <w:pStyle w:val="TextoNormal"/>
      </w:pPr>
    </w:p>
    <w:p w14:paraId="74AD9F51" w14:textId="77777777" w:rsidR="00C04533" w:rsidRDefault="00C04533" w:rsidP="00C04533">
      <w:pPr>
        <w:pStyle w:val="TextoNormal"/>
      </w:pPr>
      <w:r>
        <w:t>La parte ejecutada y promovente del presente incidente por escrito de 27 de noviembre de 2023, pretende promover un incidente excepcional, atendiendo a que el citado auto se había dictado infringiendo las normas de procedimiento, provocándole indefensión (art. 225.3 LEC). Lo cierto es que planteado el incidente en su momento por escrito de 13 de septiembre de 2023 presentado por la representación procesal de la parte ejecutada, se dio traslado a la parte ejecutante y, tras lo cual pasaron las actuaciones a la UPSD [unidad procesal de soporte directo] para resolver, no habiéndose infringido ningún trámite procedimental.</w:t>
      </w:r>
    </w:p>
    <w:p w14:paraId="1A869C4E" w14:textId="77777777" w:rsidR="00C04533" w:rsidRDefault="00C04533" w:rsidP="00C04533">
      <w:pPr>
        <w:pStyle w:val="TextoNormal"/>
      </w:pPr>
    </w:p>
    <w:p w14:paraId="256313FC" w14:textId="77777777" w:rsidR="00C04533" w:rsidRDefault="00C04533" w:rsidP="00C04533">
      <w:pPr>
        <w:pStyle w:val="TextoNormal"/>
      </w:pPr>
      <w:r>
        <w:t>Así las cosas, la parte ejecutada pretende que se declare la nulidad de un auto de 21 de noviembre de 2023 sin haberse producido vulneración de derecho fundamental alguno y mucho menos indefensión al haberse dado traslado al ejecutado de la petición de nulidad efectuada por la ejecutante en aquel incidente y sin haber concurrido causa de nulidad previstas en el art. 225 LEC.</w:t>
      </w:r>
    </w:p>
    <w:p w14:paraId="2B7E2892" w14:textId="77777777" w:rsidR="00C04533" w:rsidRDefault="00C04533" w:rsidP="00C04533">
      <w:pPr>
        <w:pStyle w:val="TextoNormal"/>
      </w:pPr>
    </w:p>
    <w:p w14:paraId="3E70D542" w14:textId="77777777" w:rsidR="00C04533" w:rsidRDefault="00C04533" w:rsidP="00C04533">
      <w:pPr>
        <w:pStyle w:val="TextoNormal"/>
      </w:pPr>
      <w:r>
        <w:t>[…]</w:t>
      </w:r>
    </w:p>
    <w:p w14:paraId="10411604" w14:textId="77777777" w:rsidR="00C04533" w:rsidRDefault="00C04533" w:rsidP="00C04533">
      <w:pPr>
        <w:pStyle w:val="TextoNormal"/>
      </w:pPr>
    </w:p>
    <w:p w14:paraId="1374CAE8" w14:textId="77777777" w:rsidR="00C04533" w:rsidRDefault="00C04533" w:rsidP="00C04533">
      <w:pPr>
        <w:pStyle w:val="TextoNormal"/>
      </w:pPr>
      <w:r>
        <w:t>Por lo expuesto, se inadmite a trámite el incidente de nulidad planteado por los ejecutados [...] por no cumplir los presupuestos legales”.</w:t>
      </w:r>
    </w:p>
    <w:p w14:paraId="3E0ECBD4" w14:textId="77777777" w:rsidR="00C04533" w:rsidRDefault="00C04533" w:rsidP="00C04533">
      <w:pPr>
        <w:pStyle w:val="TextoNormal"/>
      </w:pPr>
    </w:p>
    <w:p w14:paraId="2839ED68" w14:textId="77777777" w:rsidR="00C04533" w:rsidRDefault="00C04533" w:rsidP="00C04533">
      <w:pPr>
        <w:pStyle w:val="TextoNormal"/>
      </w:pPr>
      <w:r>
        <w:t>p) Los recurrentes presentaron escrito el día 26 de marzo de 2024, en el que solicitaron la suspensión del lanzamiento, que fue rechazada por diligencia de ordenación de 9 de abril de 2024, al haberse desestimado la aclaración e inadmitido el incidente de nulidad solicitado por la parte ejecutada en escrito de 27 de noviembre de 2023 y se mantiene la fecha de lanzamiento fijada para las 11:00 horas del 18 de abril de 2024.</w:t>
      </w:r>
    </w:p>
    <w:p w14:paraId="54DDC1AE" w14:textId="77777777" w:rsidR="00C04533" w:rsidRDefault="00C04533" w:rsidP="00C04533">
      <w:pPr>
        <w:pStyle w:val="TextoNormal"/>
      </w:pPr>
    </w:p>
    <w:p w14:paraId="0DCB11F9" w14:textId="77777777" w:rsidR="00C04533" w:rsidRDefault="00C04533" w:rsidP="00C04533">
      <w:pPr>
        <w:pStyle w:val="TextoNormal"/>
      </w:pPr>
      <w:r>
        <w:t xml:space="preserve">q) Mediante escrito de 12 de abril de 2024 los recurrentes interpusieron recurso de reposición contra diligencia de ordenación de 9 de abril de 2024, en el que adujeron lo siguiente: (i) infracción de los arts. 150.4 y 655 </w:t>
      </w:r>
      <w:r w:rsidRPr="00C04533">
        <w:rPr>
          <w:i/>
        </w:rPr>
        <w:t>bis</w:t>
      </w:r>
      <w:r>
        <w:t xml:space="preserve"> LEC, sobre la obligación del juzgado de poner en conocimiento el lanzamiento de los servicios sociales; (ii) infracción de la disposición adicional primera de la Ley del Parlamento de Cataluña 24/2015, de 29 de julio, de medidas urgentes para afrontar la emergencia en el ámbito de la vivienda y la pobreza energética, por no existir ofrecimiento de alquiler social; (iii) vulneración de los arts. 7 de la Carta de los derechos fundamentales de la Unión Europea (CDFUE) y 4 </w:t>
      </w:r>
      <w:r w:rsidRPr="00C04533">
        <w:rPr>
          <w:i/>
        </w:rPr>
        <w:t>bis</w:t>
      </w:r>
      <w:r>
        <w:t xml:space="preserve">.1 de la Ley Orgánica del Poder Judicial (LOPJ), por incumplimiento de las SSTJUE de 10 de septiembre de 2014, asunto C-34/13, y de 9 de marzo de 1978, </w:t>
      </w:r>
      <w:r w:rsidRPr="00C04533">
        <w:rPr>
          <w:i/>
        </w:rPr>
        <w:t>Amministrazione delle Finanze dello Stato c. Simmenthal SpA</w:t>
      </w:r>
      <w:r>
        <w:t>, asunto C-106/77, y de la declaración del Tribunal Constitucional 1/2004, de 13 de diciembre y de la primacía del Derecho comunitario y (iv) vulneración de los derechos fundamentales a una resolución fundada en derecho (art. 24.1 CE) y a un procedimiento con todas las garantías (art. 24.2 CE). A ello añaden el deber del juzgado de formular cuestión prejudicial ante el Tribunal de Justicia de la Unión Europea.</w:t>
      </w:r>
    </w:p>
    <w:p w14:paraId="57131AC6" w14:textId="77777777" w:rsidR="00C04533" w:rsidRDefault="00C04533" w:rsidP="00C04533">
      <w:pPr>
        <w:pStyle w:val="TextoNormal"/>
      </w:pPr>
    </w:p>
    <w:p w14:paraId="1C639335" w14:textId="77777777" w:rsidR="00C04533" w:rsidRDefault="00C04533" w:rsidP="00C04533">
      <w:pPr>
        <w:pStyle w:val="TextoNormal"/>
      </w:pPr>
      <w:r>
        <w:t>Por diligencia de ordenación de 18 de abril de 2024 se admitió a trámite el recurso de reposición y se concedió a las demás partes personadas un plazo común de cinco días a fin de que puedan impugnar el recurso. Los recurrentes nada afirman sobre la eventual resolución dictada en este recurso de reposición.</w:t>
      </w:r>
    </w:p>
    <w:p w14:paraId="7CC9F5B2" w14:textId="77777777" w:rsidR="00C04533" w:rsidRDefault="00C04533" w:rsidP="00C04533">
      <w:pPr>
        <w:pStyle w:val="TextoNormal"/>
      </w:pPr>
    </w:p>
    <w:p w14:paraId="22B36EFB" w14:textId="6AE3B6EE" w:rsidR="00C04533" w:rsidRDefault="00C04533" w:rsidP="00C04533">
      <w:pPr>
        <w:pStyle w:val="TextoNormal"/>
      </w:pPr>
      <w:r>
        <w:t>r) La diligencia de lanzamiento se practicó el día previsto (18 de abril de 2024).</w:t>
      </w:r>
    </w:p>
    <w:p w14:paraId="07DF0307" w14:textId="77777777" w:rsidR="00C04533" w:rsidRDefault="00C04533" w:rsidP="00C04533">
      <w:pPr>
        <w:pStyle w:val="TextoNormal"/>
      </w:pPr>
    </w:p>
    <w:p w14:paraId="0A35C87C" w14:textId="09190CFD" w:rsidR="00C04533" w:rsidRDefault="00C04533" w:rsidP="00C04533">
      <w:pPr>
        <w:pStyle w:val="TextoNormal"/>
      </w:pPr>
      <w:r w:rsidRPr="00C04533">
        <w:rPr>
          <w:rStyle w:val="NumeroAFNegritaCaracter"/>
        </w:rPr>
        <w:t>2</w:t>
      </w:r>
      <w:r>
        <w:t>. Los demandantes, representados por la procuradora doña María Dolores Fernández Prieto y asistidos por el abogado don Dionisio Moreno Trigo, interpusieron recurso de amparo que tuvo entrada por vía telemática en el registro general de este tribunal el día 9 de abril de 2024. En el escrito interesaron como medida cautelar al amparo del art. 56 de la Ley Orgánica del Tribunal Constitucional (LOTC) la inmediata paralización del desahucio previsto para el día 17 (</w:t>
      </w:r>
      <w:r w:rsidRPr="00C04533">
        <w:rPr>
          <w:i/>
        </w:rPr>
        <w:t>sic</w:t>
      </w:r>
      <w:r>
        <w:t>) de abril de 2024.</w:t>
      </w:r>
    </w:p>
    <w:p w14:paraId="1519CABC" w14:textId="77777777" w:rsidR="00C04533" w:rsidRDefault="00C04533" w:rsidP="00C04533">
      <w:pPr>
        <w:pStyle w:val="TextoNormal"/>
      </w:pPr>
    </w:p>
    <w:p w14:paraId="78BE0CDA" w14:textId="77777777" w:rsidR="00C04533" w:rsidRDefault="00C04533" w:rsidP="00C04533">
      <w:pPr>
        <w:pStyle w:val="TextoNormal"/>
      </w:pPr>
      <w:r w:rsidRPr="00C04533">
        <w:rPr>
          <w:rStyle w:val="NumeroAFNegritaCaracter"/>
        </w:rPr>
        <w:t>3</w:t>
      </w:r>
      <w:r>
        <w:t>. Turnado el recurso de amparo a la Sección Primera, Sala Primera, de este tribunal, por diligencia de ordenación de 9 abril de 2024 se acordó conceder a la parte recurrente un plazo de diez días a fin de que:</w:t>
      </w:r>
    </w:p>
    <w:p w14:paraId="515F6EDB" w14:textId="77777777" w:rsidR="00C04533" w:rsidRDefault="00C04533" w:rsidP="00C04533">
      <w:pPr>
        <w:pStyle w:val="TextoNormal"/>
      </w:pPr>
    </w:p>
    <w:p w14:paraId="1465CF59" w14:textId="77777777" w:rsidR="00C04533" w:rsidRDefault="00C04533" w:rsidP="00C04533">
      <w:pPr>
        <w:pStyle w:val="TextoNormal"/>
      </w:pPr>
      <w:r>
        <w:t>Aporte copia del decreto de adjudicación, resoluciones resolviendo los recursos de reposición y de revisión.</w:t>
      </w:r>
    </w:p>
    <w:p w14:paraId="708E594C" w14:textId="77777777" w:rsidR="00C04533" w:rsidRDefault="00C04533" w:rsidP="00C04533">
      <w:pPr>
        <w:pStyle w:val="TextoNormal"/>
      </w:pPr>
    </w:p>
    <w:p w14:paraId="706C52B8" w14:textId="77777777" w:rsidR="00C04533" w:rsidRDefault="00C04533" w:rsidP="00C04533">
      <w:pPr>
        <w:pStyle w:val="TextoNormal"/>
      </w:pPr>
      <w:r>
        <w:t>Acredite en legal forma la representación procesal que dice ostentar de la recurrente doña Silvia Benjumea Guzmán, cuyo apoderamiento no consta a pesar de hacerse mención a ello.</w:t>
      </w:r>
    </w:p>
    <w:p w14:paraId="6A5405C2" w14:textId="77777777" w:rsidR="00C04533" w:rsidRDefault="00C04533" w:rsidP="00C04533">
      <w:pPr>
        <w:pStyle w:val="TextoNormal"/>
      </w:pPr>
    </w:p>
    <w:p w14:paraId="5F814C6E" w14:textId="531FFAF5" w:rsidR="00C04533" w:rsidRDefault="00C04533" w:rsidP="00C04533">
      <w:pPr>
        <w:pStyle w:val="TextoNormal"/>
      </w:pPr>
      <w:r>
        <w:t>Aporte escrito de demanda ajustado a la extensión y forma establecidas en la regla cuarta del acuerdo del Pleno del Tribunal Constitucional de 15 de marzo de 2023 (“Boletín Oficial del Estado” de 23 de marzo de 2023). El nuevo escrito no podrá modificar las pretensiones, las vulneraciones constitucionales denunciadas ni los motivos de especial trascendencia constitucional ya alegados.</w:t>
      </w:r>
    </w:p>
    <w:p w14:paraId="4060A5EE" w14:textId="77777777" w:rsidR="00C04533" w:rsidRDefault="00C04533" w:rsidP="00C04533">
      <w:pPr>
        <w:pStyle w:val="TextoNormal"/>
      </w:pPr>
    </w:p>
    <w:p w14:paraId="48095A96" w14:textId="77777777" w:rsidR="00C04533" w:rsidRDefault="00C04533" w:rsidP="00C04533">
      <w:pPr>
        <w:pStyle w:val="TextoNormal"/>
      </w:pPr>
      <w:r w:rsidRPr="00C04533">
        <w:rPr>
          <w:rStyle w:val="NumeroAFNegritaCaracter"/>
        </w:rPr>
        <w:t>4</w:t>
      </w:r>
      <w:r>
        <w:t>. En respuesta a lo dispuesto en la precedente diligencia de ordenación, el día 11 de abril de 2024, la procuradora de los recurrentes presentó en el registro general los documentos omitidos en su día así como la demanda de amparo, en la que alegaron las siguientes vulneraciones de derechos fundamentales:</w:t>
      </w:r>
    </w:p>
    <w:p w14:paraId="542D85A9" w14:textId="77777777" w:rsidR="00C04533" w:rsidRDefault="00C04533" w:rsidP="00C04533">
      <w:pPr>
        <w:pStyle w:val="TextoNormal"/>
      </w:pPr>
    </w:p>
    <w:p w14:paraId="48866002" w14:textId="77777777" w:rsidR="00C04533" w:rsidRDefault="00C04533" w:rsidP="00C04533">
      <w:pPr>
        <w:pStyle w:val="TextoNormal"/>
      </w:pPr>
      <w:r>
        <w:t>(i) Vulneración del derecho fundamental a una resolución fundada en derecho (art. 24.1 CE) y a un proceso con todas las garantías (art. 24.2 CE), al negarse reiteradamente el juzgado de instancia a realizar el debido control de oficio de la abusividad de las cláusulas del contrato, de los requisitos procesales y de la ejecutividad del título que fundamenta la ejecución, con incumplimiento del art. 5 LOPJ en relación con la consolidada jurisprudencia del Tribunal Constitucional desde la STC 31/2019, ignorando la primacía del derecho de la Unión Europea en los términos de la citada sentencia y de la STC 27/2024, de 26 de febrero.</w:t>
      </w:r>
    </w:p>
    <w:p w14:paraId="2750CCF9" w14:textId="77777777" w:rsidR="00C04533" w:rsidRDefault="00C04533" w:rsidP="00C04533">
      <w:pPr>
        <w:pStyle w:val="TextoNormal"/>
      </w:pPr>
    </w:p>
    <w:p w14:paraId="0202E2B8" w14:textId="77777777" w:rsidR="00C04533" w:rsidRDefault="00C04533" w:rsidP="00C04533">
      <w:pPr>
        <w:pStyle w:val="TextoNormal"/>
      </w:pPr>
      <w:r>
        <w:t>(ii) Vulneración del derecho fundamental a la igualdad de trato en la aplicación de la ley (art. 14 CE), con relación a la obligación de examen por el juzgador de la abusividad de las cláusulas, cuando nunca lo hizo con anterioridad de forma expresa en relación a los casos que se han declarado por el Tribunal Constitucional como vulneradores de derechos fundamentales en la STC 31/2019 y concordantes.</w:t>
      </w:r>
    </w:p>
    <w:p w14:paraId="471C3160" w14:textId="77777777" w:rsidR="00C04533" w:rsidRDefault="00C04533" w:rsidP="00C04533">
      <w:pPr>
        <w:pStyle w:val="TextoNormal"/>
      </w:pPr>
    </w:p>
    <w:p w14:paraId="7DD68ADB" w14:textId="77777777" w:rsidR="00C04533" w:rsidRDefault="00C04533" w:rsidP="00C04533">
      <w:pPr>
        <w:pStyle w:val="TextoNormal"/>
      </w:pPr>
      <w:r>
        <w:t xml:space="preserve">(iii) Vulneración del derecho fundamental a un proceso con todas las garantías (art. 24.2 CE), en relación con el incumplimiento por el juzgado de instancia de su obligación de informar a los servicios sociales del lanzamiento de los recurrentes conforme a los arts. 150.4 y 655 </w:t>
      </w:r>
      <w:r w:rsidRPr="00C04533">
        <w:rPr>
          <w:i/>
        </w:rPr>
        <w:t>bis</w:t>
      </w:r>
      <w:r>
        <w:t xml:space="preserve"> LEC, así como de adoptar las medidas previstas en la disposición adicional primera de la Ley del Parlamento de Cataluña 24/2015.</w:t>
      </w:r>
    </w:p>
    <w:p w14:paraId="6DADE2A8" w14:textId="77777777" w:rsidR="00C04533" w:rsidRDefault="00C04533" w:rsidP="00C04533">
      <w:pPr>
        <w:pStyle w:val="TextoNormal"/>
      </w:pPr>
    </w:p>
    <w:p w14:paraId="4B851536" w14:textId="77777777" w:rsidR="00C04533" w:rsidRDefault="00C04533" w:rsidP="00C04533">
      <w:pPr>
        <w:pStyle w:val="TextoNormal"/>
      </w:pPr>
      <w:r>
        <w:t xml:space="preserve">Y (iv) vulneración del derecho fundamental a la vivienda por aplicación del principio de primacía del Derecho comunitario, según lo dispuesto en la doctrina del Tribunal Constitucional en la declaración 1/2004, de 13 de diciembre, que supone que si la vivienda es un derecho fundamental [art. 7 CDFUE y art. 8 del Convenio europeo de derechos humanos (CEDH) en relación con el art. 4 </w:t>
      </w:r>
      <w:r w:rsidRPr="00C04533">
        <w:rPr>
          <w:i/>
        </w:rPr>
        <w:t>bis</w:t>
      </w:r>
      <w:r>
        <w:t>.1 LOPJ y 93.1 CE], y la STJUE de 10 de septiembre de 2014, asunto C-34/13, reconoce ese derecho como fundamental, ello debe tener efectos en España, sin que haga falta modificar la Constitución, como establece la sentencia del Tribunal de Justicia de las Comunidades Europeas de 9 de marzo de 1978, asunto C-106/77.</w:t>
      </w:r>
    </w:p>
    <w:p w14:paraId="464A4F7C" w14:textId="77777777" w:rsidR="00C04533" w:rsidRDefault="00C04533" w:rsidP="00C04533">
      <w:pPr>
        <w:pStyle w:val="TextoNormal"/>
      </w:pPr>
    </w:p>
    <w:p w14:paraId="1ADA8E42" w14:textId="77777777" w:rsidR="00C04533" w:rsidRDefault="00C04533" w:rsidP="00C04533">
      <w:pPr>
        <w:pStyle w:val="TextoNormal"/>
      </w:pPr>
      <w:r>
        <w:t>En cuanto a la justificación de la especial trascendencia constitucional, los demandantes afirman que concurren dos de los supuestos que el “Tribunal Constitucional contempla como ejemplos justificadores de la especial transcendencia constitucional”.</w:t>
      </w:r>
    </w:p>
    <w:p w14:paraId="33347E63" w14:textId="77777777" w:rsidR="00C04533" w:rsidRDefault="00C04533" w:rsidP="00C04533">
      <w:pPr>
        <w:pStyle w:val="TextoNormal"/>
      </w:pPr>
    </w:p>
    <w:p w14:paraId="6D79ECAD" w14:textId="77777777" w:rsidR="00C04533" w:rsidRDefault="00C04533" w:rsidP="00C04533">
      <w:pPr>
        <w:pStyle w:val="TextoNormal"/>
      </w:pPr>
      <w:r>
        <w:t>Arguyen, en primer lugar, que el recurso plantea un problema o una faceta de un derecho fundamental susceptible de amparo sobre el que no hay doctrina constitucional: si las reformas procesales recientemente aprobadas por la Ley 12/2023, de 24 de mayo, por el derecho a la vivienda, están incluidas dentro del art. 24.2 CE como garantías del procedimiento; o sobre la consideración como derecho fundamental del derecho a la vivienda con relación al Derecho comunitario.</w:t>
      </w:r>
    </w:p>
    <w:p w14:paraId="49128398" w14:textId="77777777" w:rsidR="00C04533" w:rsidRDefault="00C04533" w:rsidP="00C04533">
      <w:pPr>
        <w:pStyle w:val="TextoNormal"/>
      </w:pPr>
    </w:p>
    <w:p w14:paraId="48355E83" w14:textId="77777777" w:rsidR="00C04533" w:rsidRDefault="00C04533" w:rsidP="00C04533">
      <w:pPr>
        <w:pStyle w:val="TextoNormal"/>
      </w:pPr>
      <w:r>
        <w:t>Alternativamente, afirman que la doctrina del Tribunal Constitucional sobre el derecho fundamental alegado en el recurso esta siendo incumplida de modo general y reiterado por la jurisdicción ordinaria, o que un órgano judicial ha incurrido en una negativa manifiesta del deber de acatamiento de la doctrina de este tribunal, como ha sido el negarse a resolver los incidentes de nulidad de actuaciones donde se denuncian infracciones legales como la ausencia del examen de la abusividad de las cláusulas que contiene el título ejecutivo, que dan lugar a la vulneración de derechos fundamentales.</w:t>
      </w:r>
    </w:p>
    <w:p w14:paraId="00B29F12" w14:textId="77777777" w:rsidR="00C04533" w:rsidRDefault="00C04533" w:rsidP="00C04533">
      <w:pPr>
        <w:pStyle w:val="TextoNormal"/>
      </w:pPr>
    </w:p>
    <w:p w14:paraId="4E1140F5" w14:textId="77777777" w:rsidR="00C04533" w:rsidRDefault="00C04533" w:rsidP="00C04533">
      <w:pPr>
        <w:pStyle w:val="TextoNormal"/>
      </w:pPr>
      <w:r>
        <w:t xml:space="preserve">En el suplico de la demanda los recurrentes solicitan que se declare la vulneración de los derechos invocados y la nulidad de los autos de 21 de noviembre de 2023 y de 21 de marzo de 2024, así como de la providencia de 21 de marzo de 2024, dictados por el Juzgado de Primera Instancia núm. 5 de Vilafranca del Penedès en el procedimiento de ejecución hipotecaria núm. 329-2014. Solicitan asimismo que se obligue al juzgado a examinar el riguroso cumplimiento de los requisitos de ejecutividad del título, de los requisitos procesales y especialmente a examinar la abusividad de las cláusulas del contrato que sirve de título a la ejecución, con especial atención a la cláusula de vencimiento anticipado, y a dar cumplimiento a los requisitos procesales previos para proceder al desahucio conforme a lo dispuesto en los arts. 150.4 y 655 </w:t>
      </w:r>
      <w:r w:rsidRPr="00C04533">
        <w:rPr>
          <w:i/>
        </w:rPr>
        <w:t>bis</w:t>
      </w:r>
      <w:r>
        <w:t xml:space="preserve"> LEC, y disposición adicional primera de la Ley del Parlamento de Cataluña 24/2015, en la redacción dada por la Ley del Parlamento de Cataluña 1/2022, 3 de marzo, de modificación de la Ley 18/2007, la Ley 24/2015 y la Ley 4/2016, para afrontar la emergencia en el ámbito de la vivienda, poniendo en conocimiento de los servicios sociales el lanzamiento y la adopción de las medidas precisas para evitar la situación de desamparo habitacional de los recurrentes, procediendo a la suspensión de cualquier lanzamiento en tanto no se resuelva esa valoración.</w:t>
      </w:r>
    </w:p>
    <w:p w14:paraId="1FC41B5C" w14:textId="77777777" w:rsidR="00C04533" w:rsidRDefault="00C04533" w:rsidP="00C04533">
      <w:pPr>
        <w:pStyle w:val="TextoNormal"/>
      </w:pPr>
    </w:p>
    <w:p w14:paraId="2F7EA298" w14:textId="415A4C6C" w:rsidR="00C04533" w:rsidRDefault="00C04533" w:rsidP="00C04533">
      <w:pPr>
        <w:pStyle w:val="TextoNormal"/>
      </w:pPr>
      <w:r>
        <w:t>Por último, como medida cautelar interesan, de conformidad con el art. 56 LOTC, la inmediata paralización del desahucio previsto para el día 17 (</w:t>
      </w:r>
      <w:r w:rsidRPr="00C04533">
        <w:rPr>
          <w:i/>
        </w:rPr>
        <w:t>sic</w:t>
      </w:r>
      <w:r>
        <w:t>) de abril de 2024.</w:t>
      </w:r>
    </w:p>
    <w:p w14:paraId="7249D7B1" w14:textId="77777777" w:rsidR="00C04533" w:rsidRDefault="00C04533" w:rsidP="00C04533">
      <w:pPr>
        <w:pStyle w:val="TextoNormal"/>
      </w:pPr>
    </w:p>
    <w:p w14:paraId="6D842BAD" w14:textId="77777777" w:rsidR="00C04533" w:rsidRDefault="00C04533" w:rsidP="00C04533">
      <w:pPr>
        <w:pStyle w:val="TextoNormal"/>
      </w:pPr>
      <w:r w:rsidRPr="00C04533">
        <w:rPr>
          <w:rStyle w:val="NumeroAFNegritaCaracter"/>
        </w:rPr>
        <w:t>5</w:t>
      </w:r>
      <w:r>
        <w:t>. El recurso de amparo fue analizado por esta Sección Primera que, mediante providencia de 16 de abril de 2024, acordó no admitirlo a trámite con arreglo a lo previsto en el art. 50.1 a) LOTC, dada la manifiesta inexistencia de violación de un derecho fundamental tutelable en amparo, violación que, de acuerdo con el art. 44.1 LOTC, es condición para que este tribunal pueda ejercer dicha tutela.</w:t>
      </w:r>
    </w:p>
    <w:p w14:paraId="63AF2E6F" w14:textId="77777777" w:rsidR="00C04533" w:rsidRDefault="00C04533" w:rsidP="00C04533">
      <w:pPr>
        <w:pStyle w:val="TextoNormal"/>
      </w:pPr>
    </w:p>
    <w:p w14:paraId="7DBBB320" w14:textId="4521CAD9" w:rsidR="00C04533" w:rsidRDefault="00C04533" w:rsidP="00C04533">
      <w:pPr>
        <w:pStyle w:val="TextoNormal"/>
      </w:pPr>
      <w:r>
        <w:t>En el sello del registro de entrada de la Fiscalía ante el Tribunal Constitucional, estampado en copia de la citada providencia de inadmisión, consta como fecha de recepción el día 6 de mayo de 2024.</w:t>
      </w:r>
    </w:p>
    <w:p w14:paraId="2816C2F3" w14:textId="77777777" w:rsidR="00C04533" w:rsidRDefault="00C04533" w:rsidP="00C04533">
      <w:pPr>
        <w:pStyle w:val="TextoNormal"/>
      </w:pPr>
    </w:p>
    <w:p w14:paraId="4D89C036" w14:textId="64BA80E5" w:rsidR="00C04533" w:rsidRDefault="00C04533" w:rsidP="00C04533">
      <w:pPr>
        <w:pStyle w:val="TextoNormal"/>
      </w:pPr>
      <w:r w:rsidRPr="00C04533">
        <w:rPr>
          <w:rStyle w:val="NumeroAFNegritaCaracter"/>
        </w:rPr>
        <w:t>6</w:t>
      </w:r>
      <w:r>
        <w:t xml:space="preserve">. El 15 de abril de 2024 la procuradora de los demandantes presentó en el registro general de este tribunal un escrito en el que aporta una diligencia de ordenación de fecha 9 de abril de 2014, dictada por el juzgado </w:t>
      </w:r>
      <w:r w:rsidRPr="00C04533">
        <w:rPr>
          <w:i/>
        </w:rPr>
        <w:t>a quo</w:t>
      </w:r>
      <w:r>
        <w:t>, que deniega la suspensión del lanzamiento.</w:t>
      </w:r>
    </w:p>
    <w:p w14:paraId="439AD6E7" w14:textId="77777777" w:rsidR="00C04533" w:rsidRDefault="00C04533" w:rsidP="00C04533">
      <w:pPr>
        <w:pStyle w:val="TextoNormal"/>
      </w:pPr>
    </w:p>
    <w:p w14:paraId="184886A1" w14:textId="086CC83F" w:rsidR="00C04533" w:rsidRDefault="00C04533" w:rsidP="00C04533">
      <w:pPr>
        <w:pStyle w:val="TextoNormal"/>
      </w:pPr>
      <w:r w:rsidRPr="00C04533">
        <w:rPr>
          <w:rStyle w:val="NumeroAFNegritaCaracter"/>
        </w:rPr>
        <w:t>7</w:t>
      </w:r>
      <w:r>
        <w:t>. El 22 de abril de 2024 la misma representación procesal presentó escrito de solicitud de aclaración de la providencia de inadmisión del recurso de amparo, en el que manifiestan los recurrentes su discrepancia con lo acordado, apoyada en los argumentos deducidos en la demanda de amparo.</w:t>
      </w:r>
    </w:p>
    <w:p w14:paraId="6060DF86" w14:textId="77777777" w:rsidR="00C04533" w:rsidRDefault="00C04533" w:rsidP="00C04533">
      <w:pPr>
        <w:pStyle w:val="TextoNormal"/>
      </w:pPr>
    </w:p>
    <w:p w14:paraId="5656B659" w14:textId="77777777" w:rsidR="00C04533" w:rsidRDefault="00C04533" w:rsidP="00C04533">
      <w:pPr>
        <w:pStyle w:val="TextoNormal"/>
      </w:pPr>
      <w:r w:rsidRPr="00C04533">
        <w:rPr>
          <w:rStyle w:val="NumeroAFNegritaCaracter"/>
        </w:rPr>
        <w:t>8</w:t>
      </w:r>
      <w:r>
        <w:t xml:space="preserve">. Mediante escrito registrado el 9 de mayo de 2024, el Ministerio Fiscal ante el Tribunal Constitucional interpuso recurso de súplica contra la providencia de inadmisión. Descartada </w:t>
      </w:r>
      <w:r w:rsidRPr="00C04533">
        <w:rPr>
          <w:i/>
        </w:rPr>
        <w:t>ab initio</w:t>
      </w:r>
      <w:r>
        <w:t xml:space="preserve"> la vulneración del principio de igualdad (art. 14 CE) y del derecho a la vivienda, afirma, y tras reproducir pasajes de la STJUE de 26 de enero de 2017, </w:t>
      </w:r>
      <w:r w:rsidRPr="00C04533">
        <w:rPr>
          <w:i/>
        </w:rPr>
        <w:t>Banco Primus, S.A.</w:t>
      </w:r>
      <w:r>
        <w:t>, asunto C-421/14, y de la STC 31/2019, de 28 de febrero, FJ 4, sostiene que en consideración a esta doctrina “no podemos dejar de compartir con los demandantes que, al menos indiciariamente el órgano judicial ha desconocido esa vinculante doctrina y por ello ha podido incurrir en vulneración del derecho fundamental alegado”, al no haber revisado el órgano judicial el carácter abusivo de la cláusula de vencimiento anticipado.</w:t>
      </w:r>
    </w:p>
    <w:p w14:paraId="72B616C9" w14:textId="77777777" w:rsidR="00C04533" w:rsidRDefault="00C04533" w:rsidP="00C04533">
      <w:pPr>
        <w:pStyle w:val="TextoNormal"/>
      </w:pPr>
    </w:p>
    <w:p w14:paraId="6F2DDE2B" w14:textId="04128D19" w:rsidR="00C04533" w:rsidRDefault="00C04533" w:rsidP="00C04533">
      <w:pPr>
        <w:pStyle w:val="TextoNormal"/>
      </w:pPr>
      <w:r>
        <w:t>Por tal motivo, el fiscal estima procedente una reconsideración de la decisión de inadmisión del presente recurso de amparo adoptada en la providencia de 16 de abril de 2024, toda vez que consta en las actuaciones remitidas que puede haberse vulnerado el derecho a la tutela judicial efectiva (art. 24 CE) en su vertiente de derecho a una resolución motivada, por lo que interesa que se deje sin efecto la providencia de inadmisión y se repongan las actuaciones al momento anterior al dictado de la providencia recurrida, sin perjuicio de que se adopte la resolución que se estime procedente en orden a la admisión o no, por otras causas, del recurso de amparo interpuesto.</w:t>
      </w:r>
    </w:p>
    <w:p w14:paraId="7791EB8D" w14:textId="77777777" w:rsidR="00C04533" w:rsidRDefault="00C04533" w:rsidP="00C04533">
      <w:pPr>
        <w:pStyle w:val="TextoNormal"/>
      </w:pPr>
    </w:p>
    <w:p w14:paraId="24073A0B" w14:textId="77777777" w:rsidR="00C04533" w:rsidRDefault="00C04533" w:rsidP="00C04533">
      <w:pPr>
        <w:pStyle w:val="TextoNormal"/>
      </w:pPr>
      <w:r w:rsidRPr="00C04533">
        <w:rPr>
          <w:rStyle w:val="NumeroAFNegritaCaracter"/>
        </w:rPr>
        <w:t>9</w:t>
      </w:r>
      <w:r>
        <w:t>. Mediante diligencia de ordenación de 10 de mayo de 2024, se acordó dar traslado del recurso de súplica a la representación procesal de los recurrentes, concediéndole un plazo de tres días a fin de que pudiese alegar lo que estimase pertinente (art. 93.2 LOTC).</w:t>
      </w:r>
    </w:p>
    <w:p w14:paraId="7AEC3A5E" w14:textId="77777777" w:rsidR="00C04533" w:rsidRDefault="00C04533" w:rsidP="00C04533">
      <w:pPr>
        <w:pStyle w:val="TextoNormal"/>
      </w:pPr>
    </w:p>
    <w:p w14:paraId="76ECF930" w14:textId="1941B100" w:rsidR="00C04533" w:rsidRDefault="00C04533" w:rsidP="00C04533">
      <w:pPr>
        <w:pStyle w:val="TextoNormal"/>
      </w:pPr>
      <w:r>
        <w:t>Los demandantes presentaron alegaciones mediante escrito registrado el 20 de mayo de 2024, en el que apoyan el recurso de súplica interpuesto por el Ministerio Público, aunque discrepan en lo relativo a la exclusión del derecho a la vivienda como objeto del recurso de amparo, y reiteran en lo fundamental los argumentos que expusieron en la demanda. Asimismo, solicitan que, para el caso de reconsiderarse la admisión a trámite de este recurso de amparo, se proceda a la adopción de las medidas necesarias para reponer a los recurrentes en el uso de la vivienda, en tanto no se resuelva el recurso.</w:t>
      </w:r>
    </w:p>
    <w:p w14:paraId="34895A40" w14:textId="77777777" w:rsidR="00C04533" w:rsidRDefault="00C04533" w:rsidP="00C04533">
      <w:pPr>
        <w:pStyle w:val="TextoNormal"/>
      </w:pPr>
    </w:p>
    <w:p w14:paraId="6E457822" w14:textId="77777777" w:rsidR="00C04533" w:rsidRDefault="00C04533" w:rsidP="00C04533">
      <w:pPr>
        <w:pStyle w:val="TextoNormalNegritaCentrado"/>
        <w:keepNext/>
      </w:pPr>
      <w:r>
        <w:t>II. Fundamentos jurídicos</w:t>
      </w:r>
    </w:p>
    <w:p w14:paraId="1571ED95" w14:textId="4EB41990" w:rsidR="00C04533" w:rsidRDefault="00C04533" w:rsidP="00C04533">
      <w:pPr>
        <w:pStyle w:val="TextoNormalNegritaCentrado"/>
        <w:keepNext/>
      </w:pPr>
    </w:p>
    <w:p w14:paraId="7F7257EB" w14:textId="77777777" w:rsidR="00C04533" w:rsidRDefault="00C04533" w:rsidP="00C04533">
      <w:pPr>
        <w:pStyle w:val="TextoNormal"/>
      </w:pPr>
      <w:r w:rsidRPr="00C04533">
        <w:rPr>
          <w:rStyle w:val="NumeroAFNegritaCaracter"/>
        </w:rPr>
        <w:t>1</w:t>
      </w:r>
      <w:r>
        <w:t xml:space="preserve">. </w:t>
      </w:r>
      <w:r w:rsidRPr="00C04533">
        <w:rPr>
          <w:i/>
        </w:rPr>
        <w:t>Objeto del recurso y posiciones de las partes</w:t>
      </w:r>
    </w:p>
    <w:p w14:paraId="061D36CF" w14:textId="77777777" w:rsidR="00C04533" w:rsidRDefault="00C04533" w:rsidP="00C04533">
      <w:pPr>
        <w:pStyle w:val="TextoNormal"/>
      </w:pPr>
    </w:p>
    <w:p w14:paraId="207CF8B0" w14:textId="77777777" w:rsidR="00C04533" w:rsidRDefault="00C04533" w:rsidP="00C04533">
      <w:pPr>
        <w:pStyle w:val="TextoNormal"/>
      </w:pPr>
      <w:r>
        <w:t>Como ha quedado expuesto en los antecedentes, el presente recurso de súplica presentado por el fiscal ante el Tribunal Constitucional tiene por objeto la providencia de esta Sección Primera de 16 de abril de 2024, que acordó no admitir a trámite el recurso de amparo con arreglo a lo previsto en el art. 50.1 a) LOTC, dada la manifiesta inexistencia de violación de un derecho fundamental tutelable en amparo, violación que, de acuerdo con el art. 44.1 LOTC, es condición para que este tribunal pueda ejercer dicha tutela.</w:t>
      </w:r>
    </w:p>
    <w:p w14:paraId="13A1E44F" w14:textId="77777777" w:rsidR="00C04533" w:rsidRDefault="00C04533" w:rsidP="00C04533">
      <w:pPr>
        <w:pStyle w:val="TextoNormal"/>
      </w:pPr>
    </w:p>
    <w:p w14:paraId="65C75C94" w14:textId="77777777" w:rsidR="00C04533" w:rsidRDefault="00C04533" w:rsidP="00C04533">
      <w:pPr>
        <w:pStyle w:val="TextoNormal"/>
      </w:pPr>
      <w:r>
        <w:t xml:space="preserve">En su impugnación, el fiscal alega en los términos que han quedado resumidos en el antecedente 8 y que, sintéticamente, consisten en que la omisión por el juzgado </w:t>
      </w:r>
      <w:r w:rsidRPr="00C04533">
        <w:rPr>
          <w:i/>
        </w:rPr>
        <w:t>a quo</w:t>
      </w:r>
      <w:r>
        <w:t xml:space="preserve"> de entrar a analizar el carácter abusivo de la cláusula de vencimiento anticipado, vulnera el derecho de los recurrentes a una resolución motivada, como vertiente del derecho fundamental a la tutela judicial efectiva (art. 24.1 CE), al no haber observado la doctrina al respecto sentada tanto por el Tribunal de Justicia de la Unión Europea como por este tribunal en los precedentes que cita.</w:t>
      </w:r>
    </w:p>
    <w:p w14:paraId="6A6B642A" w14:textId="77777777" w:rsidR="00C04533" w:rsidRDefault="00C04533" w:rsidP="00C04533">
      <w:pPr>
        <w:pStyle w:val="TextoNormal"/>
      </w:pPr>
    </w:p>
    <w:p w14:paraId="5F26B10E" w14:textId="316D98D2" w:rsidR="00C04533" w:rsidRDefault="00C04533" w:rsidP="00C04533">
      <w:pPr>
        <w:pStyle w:val="TextoNormal"/>
      </w:pPr>
      <w:r>
        <w:t>Por su parte, los demandantes en un primer momento, mediante escrito presentado el 22 de abril de 2024, solicitaron “aclaración” de la providencia de inadmisión en términos discrepantes con la decisión adoptada, mientras que una vez interpuesto recurso de súplica por el fiscal, lo apoyaron si bien con disentimiento en lo que respecta a la vulneración que entienden cometida del derecho a la vivienda.</w:t>
      </w:r>
    </w:p>
    <w:p w14:paraId="2A09FA4C" w14:textId="77777777" w:rsidR="00C04533" w:rsidRDefault="00C04533" w:rsidP="00C04533">
      <w:pPr>
        <w:pStyle w:val="TextoNormal"/>
      </w:pPr>
    </w:p>
    <w:p w14:paraId="01C1B2A3" w14:textId="77777777" w:rsidR="00C04533" w:rsidRDefault="00C04533" w:rsidP="00C04533">
      <w:pPr>
        <w:pStyle w:val="TextoNormal"/>
      </w:pPr>
      <w:r w:rsidRPr="00C04533">
        <w:rPr>
          <w:rStyle w:val="NumeroAFNegritaCaracter"/>
        </w:rPr>
        <w:t>2</w:t>
      </w:r>
      <w:r>
        <w:t xml:space="preserve">. </w:t>
      </w:r>
      <w:r w:rsidRPr="00C04533">
        <w:rPr>
          <w:i/>
        </w:rPr>
        <w:t>Resolución del recurso de súplica</w:t>
      </w:r>
    </w:p>
    <w:p w14:paraId="2BABC56A" w14:textId="77777777" w:rsidR="00C04533" w:rsidRDefault="00C04533" w:rsidP="00C04533">
      <w:pPr>
        <w:pStyle w:val="TextoNormal"/>
      </w:pPr>
    </w:p>
    <w:p w14:paraId="492A4188" w14:textId="77777777" w:rsidR="00C04533" w:rsidRDefault="00C04533" w:rsidP="00C04533">
      <w:pPr>
        <w:pStyle w:val="TextoNormal"/>
      </w:pPr>
      <w:r>
        <w:t>El recurso de súplica del fiscal ha de ser desestimado. A la vista de los antecedentes que han quedado reseñados, se constata que las resoluciones judiciales impugnadas se dictaron como respuesta al incidente de nulidad de actuaciones que plantearon los recurrentes en fecha 1 de septiembre de 2023, a fin de obtener la declaración como abusivas de determinadas cláusulas del contrato de préstamo garantizado con hipoteca. El incidente de nulidad de actuaciones se planteó, por tanto, con posterioridad a las siguientes resoluciones procesales: (i) Una vez la parte ejecutante cedió la adjudicación del remate a favor de Whitehead Invest, S.L., en fecha 6 de septiembre de 2022, y que esta entidad la aceptara mediante comparecencia y justificado el pago del precio de adjudicación, mediante decreto de 23 de septiembre de 2022 se aprobó la cesión de la adjudicación del bien efectuada por la parte ejecutante a favor de Whitehead Invest, S.L. (ii) Una vez firme el decreto de adjudicación, por decreto de 7 de noviembre de 2022, se acordó cancelar la carga que grava la finca, así como la nota marginal a que se refiere el art. 656 LEC, con remisión a tal efecto de mandamiento al registro de la propiedad. Por otra parte, se acordó cancelar todas las anotaciones e inscripciones posteriores a la expedición de la certificación.</w:t>
      </w:r>
    </w:p>
    <w:p w14:paraId="0AC97B65" w14:textId="77777777" w:rsidR="00C04533" w:rsidRDefault="00C04533" w:rsidP="00C04533">
      <w:pPr>
        <w:pStyle w:val="TextoNormal"/>
      </w:pPr>
    </w:p>
    <w:p w14:paraId="32375D1A" w14:textId="77777777" w:rsidR="00C04533" w:rsidRDefault="00C04533" w:rsidP="00C04533">
      <w:pPr>
        <w:pStyle w:val="TextoNormal"/>
      </w:pPr>
      <w:r>
        <w:t xml:space="preserve">Dado lo anterior, a la hora de resolver sobre la admisibilidad del presente recurso de amparo, esta sección tuvo presente la sentencia del Tribunal del Justicia de la Unión Europea de 17 de mayo de 2022, </w:t>
      </w:r>
      <w:r w:rsidRPr="00C04533">
        <w:rPr>
          <w:i/>
        </w:rPr>
        <w:t>MA contra Ibercaja Banco, S.A.</w:t>
      </w:r>
      <w:r>
        <w:t>, dictada en el asunto C-600/19, que declara lo siguiente:</w:t>
      </w:r>
    </w:p>
    <w:p w14:paraId="1A2CE6C6" w14:textId="77777777" w:rsidR="00C04533" w:rsidRDefault="00C04533" w:rsidP="00C04533">
      <w:pPr>
        <w:pStyle w:val="TextoNormal"/>
      </w:pPr>
    </w:p>
    <w:p w14:paraId="669B7A55" w14:textId="77777777" w:rsidR="00C04533" w:rsidRDefault="00C04533" w:rsidP="00C04533">
      <w:pPr>
        <w:pStyle w:val="TextoNormal"/>
      </w:pPr>
      <w:r>
        <w:t>“56 Como se desprende de la respuesta dada a las cuestiones prejudiciales primera a tercera, cuando se ha adoptado una resolución judicial en que se despacha ejecución hipotecaria habiendo efectuado un juez con anterioridad un examen de oficio del carácter abusivo de las cláusulas del título que dio lugar a ese procedimiento, pero esa resolución no contiene ningún motivo, siquiera sucinto, que acredite la existencia de tal examen ni indica que la apreciación efectuada por dicho juez al término de ese examen no podrá ya cuestionarse si no se formula oposición dentro del plazo establecido al efecto, no será posible oponer al consumidor, en fases ulteriores de dicho procedimiento —como una reclamación de pago de los intereses adeudados a la entidad bancaria debido al incumplimiento, por el consumidor, del contrato de préstamo hipotecario de que se trate— o en un procedimiento declarativo posterior, ni la autoridad de cosa juzgada ni la preclusión para privarle de la protección contra las cláusulas abusivas conferida en los artículos 6, apartado 1, y 7, apartado 1, de la Directiva 93/13.</w:t>
      </w:r>
    </w:p>
    <w:p w14:paraId="21944D39" w14:textId="77777777" w:rsidR="00C04533" w:rsidRDefault="00C04533" w:rsidP="00C04533">
      <w:pPr>
        <w:pStyle w:val="TextoNormal"/>
      </w:pPr>
    </w:p>
    <w:p w14:paraId="12C5C6B6" w14:textId="77777777" w:rsidR="00C04533" w:rsidRDefault="00C04533" w:rsidP="00C04533">
      <w:pPr>
        <w:pStyle w:val="TextoNormal"/>
      </w:pPr>
      <w:r>
        <w:t>57 Dicho esto, en una situación como la del litigio principal, en la que el procedimiento de ejecución hipotecaria ha concluido y los derechos de propiedad respecto del bien han sido transmitidos a un tercero, el juez, actuando de oficio o a instancias del consumidor, ya no puede proceder a un examen del carácter abusivo de cláusulas contractuales que llevase a la anulación de los actos de transmisión de la propiedad y cuestionar la seguridad jurídica de la transmisión de la propiedad ya realizada frente a un tercero.</w:t>
      </w:r>
    </w:p>
    <w:p w14:paraId="621583E4" w14:textId="77777777" w:rsidR="00C04533" w:rsidRDefault="00C04533" w:rsidP="00C04533">
      <w:pPr>
        <w:pStyle w:val="TextoNormal"/>
      </w:pPr>
    </w:p>
    <w:p w14:paraId="7E29FCB8" w14:textId="77777777" w:rsidR="00C04533" w:rsidRDefault="00C04533" w:rsidP="00C04533">
      <w:pPr>
        <w:pStyle w:val="TextoNormal"/>
      </w:pPr>
      <w:r>
        <w:t>58 No obstante, en tal situación, el consumidor, conforme a los artículos 6, apartado 1, y 7, apartado 1, de la Directiva 93/13, interpretados a la luz del principio de efectividad, debe poder invocar en un procedimiento posterior distinto el carácter abusivo de las cláusulas del contrato de préstamo hipotecario para poder ejercer efectiva y plenamente sus derechos en virtud de la citada Directiva, con el fin de obtener la reparación del perjuicio económico causado por la aplicación de dichas cláusulas.</w:t>
      </w:r>
    </w:p>
    <w:p w14:paraId="11AF14F4" w14:textId="77777777" w:rsidR="00C04533" w:rsidRDefault="00C04533" w:rsidP="00C04533">
      <w:pPr>
        <w:pStyle w:val="TextoNormal"/>
      </w:pPr>
    </w:p>
    <w:p w14:paraId="7782AC50" w14:textId="77777777" w:rsidR="00C04533" w:rsidRDefault="00C04533" w:rsidP="00C04533">
      <w:pPr>
        <w:pStyle w:val="TextoNormal"/>
      </w:pPr>
      <w:r>
        <w:t>59 En consecuencia, procede responder a la cuarta cuestión prejudicial que los artículos 6, apartado 1, y 7, apartado 1, de la Directiva 93/13 deben interpretarse en el sentido de que no se oponen a una legislación nacional que no permite que un órgano jurisdiccional nacional, actuando de oficio o a instancias del consumidor, examine el eventual carácter abusivo de cláusulas contractuales cuando se ha ejecutado la garantía hipotecaria, se ha vendido el bien hipotecado y se han transmitido a un tercero los derechos de propiedad sobre dicho bien, a condición de que el consumidor cuyo bien ha sido objeto de un procedimiento de ejecución hipotecaria pueda hacer valer sus derechos en un procedimiento posterior con el fin de obtener la reparación, en virtud de la citada Directiva, de las consecuencias económicas resultantes de la aplicación de cláusulas abusivas”.</w:t>
      </w:r>
    </w:p>
    <w:p w14:paraId="4B3F982C" w14:textId="77777777" w:rsidR="00C04533" w:rsidRDefault="00C04533" w:rsidP="00C04533">
      <w:pPr>
        <w:pStyle w:val="TextoNormal"/>
      </w:pPr>
    </w:p>
    <w:p w14:paraId="4CB47E95" w14:textId="77777777" w:rsidR="00C04533" w:rsidRDefault="00C04533" w:rsidP="00C04533">
      <w:pPr>
        <w:pStyle w:val="TextoNormal"/>
      </w:pPr>
      <w:r>
        <w:t>Ante esta doctrina, el recurso de amparo no puede prosperar al haber precluido la posibilidad de resolver en el marco del procedimiento de ejecución hipotecaria la pretensión de nulidad formulada por los recurrentes, debido a la transmisión del dominio sobre el inmueble ejecutado a favor del cesionario de la adjudicación, lo que hacía jurídicamente inviable en ese proceso la declaración de nulidad. La Sala de lo Civil del Tribunal Supremo ha declarado de forma reiterada que la transmisión del bien subastado se produce mediante el otorgamiento del auto o decreto de ejecución y la consignación —en este caso, se efectuó el pago por el cesionario — del precio. La citada Sala de lo Civil, en sentencia núm. 414/2015, de 14 de julio, (ECLI:ES:TS:2015:3210), reiterada en este punto en las sentencias núm. 139/2017, de 1 marzo, (ECLI:ES:TS:2017:712); 480/2018, de 23 de julio, (ECLI:ES:TS:2018:3032), y 338/2023, de 1 de marzo, (ECLI:ES:TS:2023:671), declara:</w:t>
      </w:r>
    </w:p>
    <w:p w14:paraId="2EF96506" w14:textId="77777777" w:rsidR="00C04533" w:rsidRDefault="00C04533" w:rsidP="00C04533">
      <w:pPr>
        <w:pStyle w:val="TextoNormal"/>
      </w:pPr>
    </w:p>
    <w:p w14:paraId="68EB1510" w14:textId="77777777" w:rsidR="00C04533" w:rsidRDefault="00C04533" w:rsidP="00C04533">
      <w:pPr>
        <w:pStyle w:val="TextoNormal"/>
      </w:pPr>
      <w:r>
        <w:t>“En nuestro sistema se hacía coincidir la consumación de la venta de bienes inmuebles en subasta con el otorgamiento de la escritura pública, porque el otorgamiento de dicha escritura equivale a la entrega de la cosa, en virtud de la transmisión instrumental a que se refiere el artículo 1462 del Código civil (sentencia, entre otras, de 10 de diciembre de 1991), pero una vez sustituida la necesidad de otorgar la escritura pública por el auto de adjudicación, y ahora por el testimonio del secretario judicial del decreto de adjudicación, que comprende la resolución por la que se aprueba el remate y se expresa que se ha consignado el precio (artículo 674 de la Ley de enjuiciamiento civil, según redacción dada por Ley 13/2009, de 3 de noviembre) [el tenor de este párrafo primero del art. 674 LEC pasó a ser el actual párrafo primero del art. 673 LEC, en virtud de la reforma operada por la Ley 19/2015, de 13 de julio, de medidas de reforma administrativa en el ámbito de la administración de justicia y del registro civil], este será el momento en que debe entenderse producida la transmisión del bien de acuerdo con lo dispuesto en la legislación civil”.</w:t>
      </w:r>
    </w:p>
    <w:p w14:paraId="4E6029DB" w14:textId="77777777" w:rsidR="00C04533" w:rsidRDefault="00C04533" w:rsidP="00C04533">
      <w:pPr>
        <w:pStyle w:val="TextoNormal"/>
      </w:pPr>
    </w:p>
    <w:p w14:paraId="3C30215E" w14:textId="77777777" w:rsidR="00C04533" w:rsidRDefault="00C04533" w:rsidP="00C04533">
      <w:pPr>
        <w:pStyle w:val="TextoNormal"/>
      </w:pPr>
      <w:r>
        <w:t>A ello se añade que en el presente caso se ejecutó la diligencia de lanzamiento en fecha 18 de abril de 2024, nueve días después de la interposición de la demanda de amparo el día 9 de abril, en la que se solicitó la suspensión cautelar ordinaria con carácter urgente al amparo de los apartados 1, 2 y 3 del art. 56 LOTC.</w:t>
      </w:r>
    </w:p>
    <w:p w14:paraId="59A2B9DA" w14:textId="77777777" w:rsidR="00C04533" w:rsidRDefault="00C04533" w:rsidP="00C04533">
      <w:pPr>
        <w:pStyle w:val="TextoNormal"/>
      </w:pPr>
    </w:p>
    <w:p w14:paraId="704CA376" w14:textId="77777777" w:rsidR="00C04533" w:rsidRDefault="00C04533" w:rsidP="00C04533">
      <w:pPr>
        <w:pStyle w:val="TextoNormal"/>
      </w:pPr>
      <w:r>
        <w:t>Finalmente, dada la naturaleza sumaria y de cognición limitada del proceso de ejecución hipotecaria, en principio cabe a los recurrentes el ejercicio de la facultad que les asiste de hacer valer sus derechos en un proceso declarativo ulterior.</w:t>
      </w:r>
    </w:p>
    <w:p w14:paraId="6089D418" w14:textId="77777777" w:rsidR="00C04533" w:rsidRDefault="00C04533" w:rsidP="00C04533">
      <w:pPr>
        <w:pStyle w:val="TextoNormal"/>
      </w:pPr>
    </w:p>
    <w:p w14:paraId="6FB533B7" w14:textId="1EA2D102" w:rsidR="00C04533" w:rsidRDefault="00C04533" w:rsidP="00C04533">
      <w:pPr>
        <w:pStyle w:val="TextoNormal"/>
      </w:pPr>
      <w:r>
        <w:t>Las anteriores consideraciones determinan la desestimación del recurso de súplica interpuesto por el Ministerio Fiscal, a la vez que hace innecesario un pronunciamiento expreso relativo a la aclaración solicitada en un primer momento por la parte actora.</w:t>
      </w:r>
    </w:p>
    <w:p w14:paraId="0D865A5A" w14:textId="77777777" w:rsidR="00C04533" w:rsidRDefault="00C04533" w:rsidP="00C04533">
      <w:pPr>
        <w:pStyle w:val="TextoNormal"/>
      </w:pPr>
    </w:p>
    <w:p w14:paraId="31D4F27B" w14:textId="77777777" w:rsidR="00C04533" w:rsidRDefault="00C04533" w:rsidP="00C04533">
      <w:pPr>
        <w:pStyle w:val="TextoNormal"/>
      </w:pPr>
      <w:r>
        <w:t>Por lo expuesto, la Sección</w:t>
      </w:r>
    </w:p>
    <w:p w14:paraId="4B6EE61D" w14:textId="787EC192" w:rsidR="00C04533" w:rsidRDefault="00C04533" w:rsidP="00C04533">
      <w:pPr>
        <w:pStyle w:val="TextoNormal"/>
      </w:pPr>
    </w:p>
    <w:p w14:paraId="19C16AC2" w14:textId="77777777" w:rsidR="00C04533" w:rsidRDefault="00C04533" w:rsidP="00C04533">
      <w:pPr>
        <w:pStyle w:val="TextoNormalCentrado"/>
      </w:pPr>
      <w:r>
        <w:t>ACUERDA</w:t>
      </w:r>
    </w:p>
    <w:p w14:paraId="2E375CDD" w14:textId="1CF262B5" w:rsidR="00C04533" w:rsidRDefault="00C04533" w:rsidP="00C04533">
      <w:pPr>
        <w:pStyle w:val="TextoNormalCentrado"/>
      </w:pPr>
    </w:p>
    <w:p w14:paraId="6C5575B0" w14:textId="2590C8B7" w:rsidR="00C04533" w:rsidRDefault="00C04533" w:rsidP="00C04533">
      <w:pPr>
        <w:pStyle w:val="TextoNormal"/>
      </w:pPr>
      <w:r>
        <w:t>Desestimar el recurso de súplica interpuesto por el Ministerio Fiscal frente a la providencia de inadmisión de 16 de abril de 2024.</w:t>
      </w:r>
    </w:p>
    <w:p w14:paraId="0B00EDA8" w14:textId="77777777" w:rsidR="00C04533" w:rsidRDefault="00C04533" w:rsidP="00C04533">
      <w:pPr>
        <w:pStyle w:val="TextoNormal"/>
      </w:pPr>
    </w:p>
    <w:p w14:paraId="4193D551" w14:textId="77777777" w:rsidR="00C04533" w:rsidRDefault="00C04533" w:rsidP="00C04533">
      <w:pPr>
        <w:pStyle w:val="TextoNormal"/>
      </w:pPr>
      <w:r>
        <w:t>Madrid, a tres de octubre de dos mil veinticuatro.</w:t>
      </w:r>
    </w:p>
    <w:p w14:paraId="3265C6E6" w14:textId="058C2612" w:rsidR="00C04533" w:rsidRDefault="00C04533">
      <w:pPr>
        <w:spacing w:after="160" w:line="278" w:lineRule="auto"/>
        <w:rPr>
          <w:rFonts w:ascii="Times New Roman" w:eastAsia="Times New Roman" w:hAnsi="Times New Roman" w:cs="Times New Roman"/>
          <w:sz w:val="24"/>
          <w:szCs w:val="24"/>
          <w:lang w:eastAsia="es-ES"/>
        </w:rPr>
      </w:pPr>
      <w:r>
        <w:br w:type="page"/>
      </w:r>
    </w:p>
    <w:p w14:paraId="24EE7C1D" w14:textId="77777777" w:rsidR="00C04533" w:rsidRDefault="00C04533" w:rsidP="00C04533">
      <w:pPr>
        <w:pStyle w:val="TtuloResolucin"/>
      </w:pPr>
      <w:bookmarkStart w:id="99" w:name="AUTO_2024_93"/>
      <w:r>
        <w:t>AUTO 93/2024, de 8 de octubre de 2024</w:t>
      </w:r>
    </w:p>
    <w:bookmarkEnd w:id="99"/>
    <w:p w14:paraId="6172F2EC" w14:textId="77777777" w:rsidR="00C04533" w:rsidRDefault="00C04533" w:rsidP="00C04533">
      <w:pPr>
        <w:pStyle w:val="TtuloResolucin"/>
      </w:pPr>
      <w:r>
        <w:t>Pleno</w:t>
      </w:r>
    </w:p>
    <w:p w14:paraId="07F1776B" w14:textId="77777777" w:rsidR="00C04533" w:rsidRDefault="00C04533" w:rsidP="00C04533">
      <w:pPr>
        <w:pStyle w:val="TextoNormalCentrado"/>
      </w:pPr>
      <w:r>
        <w:t>ECLI:ES:TC:2024:93A</w:t>
      </w:r>
    </w:p>
    <w:p w14:paraId="118158AA" w14:textId="2A332A7B" w:rsidR="00C04533" w:rsidRDefault="00C04533" w:rsidP="00C04533">
      <w:pPr>
        <w:pStyle w:val="TextoNormalCentrado"/>
      </w:pPr>
    </w:p>
    <w:p w14:paraId="7EE2A501" w14:textId="77777777" w:rsidR="00C04533" w:rsidRDefault="00C04533" w:rsidP="00C04533">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54CBC900" w14:textId="58E907F2" w:rsidR="00C04533" w:rsidRDefault="00C04533" w:rsidP="00C04533">
      <w:pPr>
        <w:pStyle w:val="SntesisDescriptiva"/>
      </w:pPr>
    </w:p>
    <w:p w14:paraId="5BA46E7D" w14:textId="77777777" w:rsidR="00C04533" w:rsidRDefault="00C04533" w:rsidP="00C04533">
      <w:pPr>
        <w:pStyle w:val="SntesisDescriptiva"/>
      </w:pPr>
      <w:r>
        <w:t>Inadmite una recusación en el recurso de inconstitucionalidad 6436-2024, interpuesto por más de cincuenta diputados y más de cincuenta senadores del Grupo Parlamentario Popular en el Congreso de los Diputados y en el Senado en relación con la Ley Orgánica 1/2024, de 10 de junio, de amnistía para la normalización institucional, política y social en Cataluña. Votos particulares.</w:t>
      </w:r>
    </w:p>
    <w:p w14:paraId="2E7BAAF7" w14:textId="03D69F28" w:rsidR="00C04533" w:rsidRDefault="00C04533" w:rsidP="00C04533">
      <w:pPr>
        <w:pStyle w:val="SntesisDescriptiva"/>
      </w:pPr>
    </w:p>
    <w:p w14:paraId="10E6E8F6" w14:textId="77777777" w:rsidR="00C04533" w:rsidRDefault="00C04533" w:rsidP="00C04533">
      <w:pPr>
        <w:pStyle w:val="SntesisDescriptiva"/>
      </w:pPr>
    </w:p>
    <w:p w14:paraId="2D42723B" w14:textId="77777777" w:rsidR="00C04533" w:rsidRDefault="00C04533" w:rsidP="00C04533">
      <w:pPr>
        <w:pStyle w:val="SntesisDescriptiva"/>
      </w:pPr>
    </w:p>
    <w:p w14:paraId="22E4EF33" w14:textId="77777777" w:rsidR="00C04533" w:rsidRDefault="00C04533" w:rsidP="00C04533">
      <w:pPr>
        <w:pStyle w:val="TextoNormalNegritaCentrado"/>
      </w:pPr>
      <w:r>
        <w:t>AUTO</w:t>
      </w:r>
    </w:p>
    <w:p w14:paraId="7751F245" w14:textId="1DC8294B" w:rsidR="00C04533" w:rsidRDefault="00C04533" w:rsidP="00C04533">
      <w:pPr>
        <w:pStyle w:val="TextoNormalNegritaCentrado"/>
      </w:pPr>
    </w:p>
    <w:p w14:paraId="6E7E774A" w14:textId="77777777" w:rsidR="00C04533" w:rsidRDefault="00C04533" w:rsidP="00C04533">
      <w:pPr>
        <w:pStyle w:val="TextoNormalNegritaCentrado"/>
        <w:keepNext/>
      </w:pPr>
      <w:r>
        <w:t>I. Antecedentes</w:t>
      </w:r>
    </w:p>
    <w:p w14:paraId="68624330" w14:textId="1CB88978" w:rsidR="00C04533" w:rsidRDefault="00C04533" w:rsidP="00C04533">
      <w:pPr>
        <w:pStyle w:val="TextoNormalNegritaCentrado"/>
        <w:keepNext/>
      </w:pPr>
    </w:p>
    <w:p w14:paraId="7CCEE626" w14:textId="3F2F4F39" w:rsidR="00C04533" w:rsidRDefault="00C04533" w:rsidP="00C04533">
      <w:pPr>
        <w:pStyle w:val="TextoNormal"/>
      </w:pPr>
      <w:r w:rsidRPr="00C04533">
        <w:rPr>
          <w:rStyle w:val="NumeroAFNegritaCaracter"/>
        </w:rPr>
        <w:t>1</w:t>
      </w:r>
      <w:r>
        <w:t>. Mediante escrito registrado en este tribunal el 4 de septiembre de 2024, don Manuel Sánchez-Puelles y González-Carvajal, procurador de los tribunales, en nombre y representación de más de cincuenta diputados y de más de cincuenta senadores del Grupo Parlamentario Popular en el Congreso de los Diputados y en el Senado, en el recurso de inconstitucionalidad núm. 6436-2024, promovió la recusación del magistrado don Cándido Conde-Pumpido Tourón, presidente del Tribunal Constitucional, en los términos que seguidamente se expresan.</w:t>
      </w:r>
    </w:p>
    <w:p w14:paraId="1AA1573D" w14:textId="77777777" w:rsidR="00C04533" w:rsidRDefault="00C04533" w:rsidP="00C04533">
      <w:pPr>
        <w:pStyle w:val="TextoNormal"/>
      </w:pPr>
    </w:p>
    <w:p w14:paraId="524C7FD3" w14:textId="77777777" w:rsidR="00C04533" w:rsidRDefault="00C04533" w:rsidP="00C04533">
      <w:pPr>
        <w:pStyle w:val="TextoNormal"/>
      </w:pPr>
      <w:r w:rsidRPr="00C04533">
        <w:rPr>
          <w:rStyle w:val="NumeroAFNegritaCaracter"/>
        </w:rPr>
        <w:t>2</w:t>
      </w:r>
      <w:r>
        <w:t>. En el escrito de interposición del recurso de inconstitucionalidad y mediante otrosí digo, los recurrentes plantean la recusación del magistrado don Cándido Conde-Pumpido Tourón, basándose en los siguientes fundamentos:</w:t>
      </w:r>
    </w:p>
    <w:p w14:paraId="6ED88334" w14:textId="77777777" w:rsidR="00C04533" w:rsidRDefault="00C04533" w:rsidP="00C04533">
      <w:pPr>
        <w:pStyle w:val="TextoNormal"/>
      </w:pPr>
    </w:p>
    <w:p w14:paraId="5A0466B1" w14:textId="77777777" w:rsidR="00C04533" w:rsidRDefault="00C04533" w:rsidP="00C04533">
      <w:pPr>
        <w:pStyle w:val="TextoNormal"/>
      </w:pPr>
      <w:r>
        <w:t xml:space="preserve">a) Las garantías de independencia e imparcialidad judicial del art. 24 CE deben entenderse de manera que no otorguen una protección inferior a la derivada del artículo 6 del Convenio europeo para la protección de los derechos humanos y de las libertades fundamentales (CEDH), del mismo modo que el art. 47, párrafo segundo, de la Carta de los derechos fundamentales de la Unión Europea debe interpretarse de modo que salvaguarde un nivel de protección que no sea inferior al establecido en el artículo 6 CEDH (STJUE de 19 de noviembre de 2019, </w:t>
      </w:r>
      <w:r w:rsidRPr="00C04533">
        <w:rPr>
          <w:i/>
        </w:rPr>
        <w:t>A.K. y otros</w:t>
      </w:r>
      <w:r>
        <w:t>, asuntos acumulados C-585/18, C-624/18 y C-625/18).</w:t>
      </w:r>
    </w:p>
    <w:p w14:paraId="56F7D189" w14:textId="77777777" w:rsidR="00C04533" w:rsidRDefault="00C04533" w:rsidP="00C04533">
      <w:pPr>
        <w:pStyle w:val="TextoNormal"/>
      </w:pPr>
    </w:p>
    <w:p w14:paraId="730C1C82" w14:textId="77777777" w:rsidR="00C04533" w:rsidRDefault="00C04533" w:rsidP="00C04533">
      <w:pPr>
        <w:pStyle w:val="TextoNormal"/>
      </w:pPr>
      <w:r>
        <w:t xml:space="preserve">Según la jurisprudencia del Tribunal Europeo de Derechos Humanos sobre el art. 6 CEDH: (i) la independencia judicial es un requisito previo al Estado de Derecho y una condición </w:t>
      </w:r>
      <w:r w:rsidRPr="00C04533">
        <w:rPr>
          <w:i/>
        </w:rPr>
        <w:t>sine qua non</w:t>
      </w:r>
      <w:r>
        <w:t xml:space="preserve"> para la propia existencia del derecho a un proceso justo (STEDH, Gran Sala, de 15 de marzo de 2022, asunto </w:t>
      </w:r>
      <w:r w:rsidRPr="00C04533">
        <w:rPr>
          <w:i/>
        </w:rPr>
        <w:t>Grzęda c. Polonia</w:t>
      </w:r>
      <w:r>
        <w:t xml:space="preserve">); (ii) los conceptos de independencia, imparcialidad y la exigencia de un tribunal establecido por la ley interactúan y requieren de un examen conjunto (SSTEDH, Gran Sala, de 6 de noviembre de 2018, asunto </w:t>
      </w:r>
      <w:r w:rsidRPr="00C04533">
        <w:rPr>
          <w:i/>
        </w:rPr>
        <w:t>Ramos Nunes de Carvalho e Sá c. Portugal</w:t>
      </w:r>
      <w:r>
        <w:t xml:space="preserve">; de 25 de septiembre de 2018, asunto </w:t>
      </w:r>
      <w:r w:rsidRPr="00C04533">
        <w:rPr>
          <w:i/>
        </w:rPr>
        <w:t>Denisov c. Ucrania</w:t>
      </w:r>
      <w:r>
        <w:t xml:space="preserve">; de 1 de diciembre de 2020, asunto </w:t>
      </w:r>
      <w:r w:rsidRPr="00C04533">
        <w:rPr>
          <w:i/>
        </w:rPr>
        <w:t>Guðmundur Andri Ástráðsson c. Islandia</w:t>
      </w:r>
      <w:r>
        <w:t>; (iii) para apreciar la independencia de un órgano jurisdiccional debe tenerse en cuenta el modo de designación de sus miembros [</w:t>
      </w:r>
      <w:r w:rsidRPr="00C04533">
        <w:rPr>
          <w:i/>
        </w:rPr>
        <w:t>Ramos Nunes de Carvalho e Sá c. Portugal</w:t>
      </w:r>
      <w:r>
        <w:t xml:space="preserve"> (Gran Sala), 2018; </w:t>
      </w:r>
      <w:r w:rsidRPr="00C04533">
        <w:rPr>
          <w:i/>
        </w:rPr>
        <w:t>Guðmundur Andri Ástráðsson c. Islandia</w:t>
      </w:r>
      <w:r>
        <w:t xml:space="preserve"> (Gran Sala), 2020]; (iv) la independencia denota la impermeabilidad de un juez a la presión externa y la existencia de salvaguardias contra la influencia indebida o la discrecionalidad sin límites en la fase de nombramiento y durante el desempeño de funciones (</w:t>
      </w:r>
      <w:r w:rsidRPr="00C04533">
        <w:rPr>
          <w:i/>
        </w:rPr>
        <w:t>Guðmundur Andri Ástráðsson c. Islandia</w:t>
      </w:r>
      <w:r>
        <w:t>); (v) es necesario proteger la autonomía de los consejos de la judicatura de la injerencia de los poderes legislativo y ejecutivo, y asegurar que cualquier reforma del Poder Judicial no tiene como resultado el menoscabo de la independencia del Poder Judicial y de sus órganos de gobierno [</w:t>
      </w:r>
      <w:r w:rsidRPr="00C04533">
        <w:rPr>
          <w:i/>
        </w:rPr>
        <w:t>Grzęda c. Polonia</w:t>
      </w:r>
      <w:r>
        <w:t xml:space="preserve"> (Gran Sala), 2022]; (vi) la imparcialidad implica la ausencia de prejuicios o predisposición y admite prueba subjetiva relativa a la convicción personal y el comportamiento de un juez concreto y una prueba objetiva relativa a si la conducta del juez puede suscitar recelos objetivamente sostenidos [</w:t>
      </w:r>
      <w:r w:rsidRPr="00C04533">
        <w:rPr>
          <w:i/>
        </w:rPr>
        <w:t>Ramos Nunes de Carvalho e Sá c. Portugal</w:t>
      </w:r>
      <w:r>
        <w:t xml:space="preserve"> (Gran Sala), 2018] y (vii) los conceptos de independencia e imparcialidad están vinculados y el Tribunal Europeo de Derechos Humanos los examina conjuntamente valorando si existe la necesaria apariencia de independencia o la necesidad de imparcialidad objetiva (STEDH de 9 de noviembre de 2006, asunto </w:t>
      </w:r>
      <w:r w:rsidRPr="00C04533">
        <w:rPr>
          <w:i/>
        </w:rPr>
        <w:t>Sacilor Lormines c. Francia</w:t>
      </w:r>
      <w:r>
        <w:t>).</w:t>
      </w:r>
    </w:p>
    <w:p w14:paraId="6CE7ABEB" w14:textId="77777777" w:rsidR="00C04533" w:rsidRDefault="00C04533" w:rsidP="00C04533">
      <w:pPr>
        <w:pStyle w:val="TextoNormal"/>
      </w:pPr>
    </w:p>
    <w:p w14:paraId="15F66836" w14:textId="77777777" w:rsidR="00C04533" w:rsidRDefault="00C04533" w:rsidP="00C04533">
      <w:pPr>
        <w:pStyle w:val="TextoNormal"/>
      </w:pPr>
      <w:r>
        <w:t>De toda esta jurisprudencia deducen los recurrentes, citando el ATC 48/2021, de 21 de abril, que “el elenco de causas de recusación previstas en el art. 219 LOPJ no acoge todos los supuestos en los que cabe apoyar una duda sobre la imparcialidad judicial”, de modo que, dado que la independencia e imparcialidad judicial son presupuestos del propio Estado de Derecho y del derecho a un proceso equitativo, la concurrencia de hechos objetivos que permitan suscitar dudas sobre la imparcialidad de un juez deben determinar su apartamiento del proceso, dado que está en juego la confianza que deben inspirar los tribunales de una sociedad democrática.</w:t>
      </w:r>
    </w:p>
    <w:p w14:paraId="4CD4054A" w14:textId="77777777" w:rsidR="00C04533" w:rsidRDefault="00C04533" w:rsidP="00C04533">
      <w:pPr>
        <w:pStyle w:val="TextoNormal"/>
      </w:pPr>
    </w:p>
    <w:p w14:paraId="28DBC131" w14:textId="77777777" w:rsidR="00C04533" w:rsidRDefault="00C04533" w:rsidP="00C04533">
      <w:pPr>
        <w:pStyle w:val="TextoNormal"/>
      </w:pPr>
      <w:r>
        <w:t xml:space="preserve">b) En relación con las causas de recusación concretas del magistrado don Cándido Conde-Pumpido Tourón, quienes interponen el recurso de inconstitucionalidad evocan el ATC 48/2021, por el que el Pleno aceptó la abstención formulada por este magistrado respecto de los procesos de amparo pendientes de resolución en los que se impugnaran resoluciones judiciales adoptadas en la causa especial núm. 20907-2017, que concluiría con la STS 459/2019, de 14 de octubre, y la condena a los principales líderes políticos encausados por el </w:t>
      </w:r>
      <w:r w:rsidRPr="00C04533">
        <w:rPr>
          <w:i/>
        </w:rPr>
        <w:t>procés</w:t>
      </w:r>
      <w:r>
        <w:t>.</w:t>
      </w:r>
    </w:p>
    <w:p w14:paraId="40364D5B" w14:textId="77777777" w:rsidR="00C04533" w:rsidRDefault="00C04533" w:rsidP="00C04533">
      <w:pPr>
        <w:pStyle w:val="TextoNormal"/>
      </w:pPr>
    </w:p>
    <w:p w14:paraId="0E91E0A4" w14:textId="77777777" w:rsidR="00C04533" w:rsidRDefault="00C04533" w:rsidP="00C04533">
      <w:pPr>
        <w:pStyle w:val="TextoNormal"/>
      </w:pPr>
      <w:r>
        <w:t>Invocando las razones que sustentaron, en aquel momento, la solicitud de abstención del magistrado ahora recusado, los diputados y senadores firmantes del recurso sostienen que si el señor Conde-Pumpido Tourón se abstuvo entonces para mantener la confianza en la imparcialidad de la actuación del Tribunal, ante la controversia constitucional y política generada en torno a la causa, resulta evidente que, ante la mayor controversia constitucional, social y política generada por la Ley Orgánica 1/2024, de 10 de junio, de amnistía para la normalización institucional, política y social en Cataluña (en adelante, Ley Orgánica 1/2024), en estricta coherencia, el señor Conde-Pumpido Tourón debería abstenerse.</w:t>
      </w:r>
    </w:p>
    <w:p w14:paraId="43BBEDDE" w14:textId="77777777" w:rsidR="00C04533" w:rsidRDefault="00C04533" w:rsidP="00C04533">
      <w:pPr>
        <w:pStyle w:val="TextoNormal"/>
      </w:pPr>
    </w:p>
    <w:p w14:paraId="3881821C" w14:textId="77777777" w:rsidR="00C04533" w:rsidRDefault="00C04533" w:rsidP="00C04533">
      <w:pPr>
        <w:pStyle w:val="TextoNormal"/>
      </w:pPr>
      <w:r>
        <w:t>Considera la parte recurrente, además, que si el magistrado Conde-Pumpido Tourón se abstuvo entonces de todos los procesos referidos a resoluciones judiciales adoptadas en el curso de la causa especial núm. 20907-2017, sobre la base de lo establecido en el apartado décimo del art. 219 de la Ley Orgánica del Poder Judicial (LOPJ), también debería hacerlo ahora por coherencia, y ello en la medida que el art. 1.1 de la Ley Orgánica 1/2024 se dirige a extinguir “la responsabilidad penal, administrativa o contable” por las “acciones ejecutadas […] en el contexto del denominado proceso independentista catalán”. En suma, la Ley Orgánica 1/2024 incide directamente en la responsabilidad criminal de los mismos recurrentes de amparo en los procesos en los que consideró procedente abstenerse el señor Conde-Pumpido Tourón.</w:t>
      </w:r>
    </w:p>
    <w:p w14:paraId="70F1CFC9" w14:textId="77777777" w:rsidR="00C04533" w:rsidRDefault="00C04533" w:rsidP="00C04533">
      <w:pPr>
        <w:pStyle w:val="TextoNormal"/>
      </w:pPr>
    </w:p>
    <w:p w14:paraId="21818AE3" w14:textId="2775FCA2" w:rsidR="00C04533" w:rsidRDefault="00C04533" w:rsidP="00C04533">
      <w:pPr>
        <w:pStyle w:val="TextoNormal"/>
      </w:pPr>
      <w:r>
        <w:t>Concluye la alegación de los recurrentes a este respecto afirmando que, con el propósito de reforzar la apariencia de imparcialidad del Tribunal Constitucional y, dada la “clara conexión entre los procesos de amparo en los que se dilucidaba la constitucionalidad de la responsabilidad criminal por las ‘acciones ejecutadas […] en el contexto del denominado proceso independentista catalán’ (artículo 1.1 de la Ley Orgánica 1/2024) y este proceso en el que debe decidirse la constitucionalidad de la extinción de la responsabilidad por tales acciones, resulta manifiesta la procedencia de la recusación que, desde el máximo respeto, se solicita”.</w:t>
      </w:r>
    </w:p>
    <w:p w14:paraId="1488DA2F" w14:textId="77777777" w:rsidR="00C04533" w:rsidRDefault="00C04533" w:rsidP="00C04533">
      <w:pPr>
        <w:pStyle w:val="TextoNormal"/>
      </w:pPr>
    </w:p>
    <w:p w14:paraId="2EC19911" w14:textId="5419F445" w:rsidR="00C04533" w:rsidRDefault="00C04533" w:rsidP="00C04533">
      <w:pPr>
        <w:pStyle w:val="TextoNormal"/>
      </w:pPr>
      <w:r w:rsidRPr="00C04533">
        <w:rPr>
          <w:rStyle w:val="NumeroAFNegritaCaracter"/>
        </w:rPr>
        <w:t>3</w:t>
      </w:r>
      <w:r>
        <w:t>. Por diligencia de ordenación fechada el 26 de septiembre de 2024, se designó ponente para el conocimiento de la recusación a la magistrada doña María Luisa Balaguer Callejón, a quien correspondía por turno de reparto.</w:t>
      </w:r>
    </w:p>
    <w:p w14:paraId="23C75CDB" w14:textId="77777777" w:rsidR="00C04533" w:rsidRDefault="00C04533" w:rsidP="00C04533">
      <w:pPr>
        <w:pStyle w:val="TextoNormal"/>
      </w:pPr>
    </w:p>
    <w:p w14:paraId="2B7D38C2" w14:textId="10893A2C" w:rsidR="00C04533" w:rsidRDefault="00C04533" w:rsidP="00C04533">
      <w:pPr>
        <w:pStyle w:val="TextoNormal"/>
      </w:pPr>
      <w:r w:rsidRPr="00C04533">
        <w:rPr>
          <w:rStyle w:val="NumeroAFNegritaCaracter"/>
        </w:rPr>
        <w:t>4</w:t>
      </w:r>
      <w:r>
        <w:t>. Finalmente ha de advertirse que en la composición del Tribunal solo intervienen ocho magistradas y magistrados porque están ausentes, en primer lugar, el magistrado de cuya resolución se trata aquí, hay otro abstenido y dos más cuya recusación está pendiente.</w:t>
      </w:r>
    </w:p>
    <w:p w14:paraId="60D03E28" w14:textId="77777777" w:rsidR="00C04533" w:rsidRDefault="00C04533" w:rsidP="00C04533">
      <w:pPr>
        <w:pStyle w:val="TextoNormal"/>
      </w:pPr>
    </w:p>
    <w:p w14:paraId="021DC36C" w14:textId="77777777" w:rsidR="00C04533" w:rsidRDefault="00C04533" w:rsidP="00C04533">
      <w:pPr>
        <w:pStyle w:val="TextoNormalNegritaCentrado"/>
        <w:keepNext/>
      </w:pPr>
      <w:r>
        <w:t>II. Fundamentos jurídicos</w:t>
      </w:r>
    </w:p>
    <w:p w14:paraId="4363907D" w14:textId="5DAAF249" w:rsidR="00C04533" w:rsidRDefault="00C04533" w:rsidP="00C04533">
      <w:pPr>
        <w:pStyle w:val="TextoNormalNegritaCentrado"/>
        <w:keepNext/>
      </w:pPr>
    </w:p>
    <w:p w14:paraId="5F612345" w14:textId="1C2000A7" w:rsidR="00C04533" w:rsidRDefault="00C04533" w:rsidP="00C04533">
      <w:pPr>
        <w:pStyle w:val="TextoNormal"/>
      </w:pPr>
      <w:r w:rsidRPr="00C04533">
        <w:rPr>
          <w:rStyle w:val="NumeroAFNegritaCaracter"/>
        </w:rPr>
        <w:t>1</w:t>
      </w:r>
      <w:r>
        <w:t>. El objeto de este incidente es resolver la recusación del magistrado y presidente de este tribunal don Cándido Conde-Pumpido Tourón, que los demandantes fundamentan en que concurriría la misma causa de abstención —que ahora sería de recusación— en la que fundó su abstención y que fue aceptada en el ATC 48/2021, esto es, el art. 219.10 LOPJ: “[t]ener interés directo o indirecto en el pleito o causa”. Sostienen que las mismas razones que entonces llevaron al magistrado a abstenerse y se aceptaron por el Pleno justifican su apartamiento en el presente proceso constitucional, ya que “la Ley Orgánica 1/2024 incide directamente en la responsabilidad criminal de los mismos recurrentes de amparo en los procesos en los que consideró procedente abstenerse el señor Conde-Pumpido”. Inciden en que en este dato radicaría la conexión entre los procesos de amparo y el recurso de inconstitucionalidad determinante de la procedencia de la recusación en aras a “reforzar la apariencia de imparcialidad del Tribunal Constitucional”.</w:t>
      </w:r>
    </w:p>
    <w:p w14:paraId="46800F3E" w14:textId="77777777" w:rsidR="00C04533" w:rsidRDefault="00C04533" w:rsidP="00C04533">
      <w:pPr>
        <w:pStyle w:val="TextoNormal"/>
      </w:pPr>
    </w:p>
    <w:p w14:paraId="52A9761F" w14:textId="5E8485B4" w:rsidR="00C04533" w:rsidRDefault="00C04533" w:rsidP="00C04533">
      <w:pPr>
        <w:pStyle w:val="TextoNormal"/>
      </w:pPr>
      <w:r w:rsidRPr="00C04533">
        <w:rPr>
          <w:rStyle w:val="NumeroAFNegritaCaracter"/>
        </w:rPr>
        <w:t>2</w:t>
      </w:r>
      <w:r>
        <w:t>. El Tribunal ha reiterado la posibilidad de denegar la tramitación del incidente de recusación cuando lo requieran razones procesales o de fondo. Esas razones para la inadmisión pueden sustentarse en su defectuoso planteamiento procesal, en el momento en que se suscita, en su reiteración, en las circunstancias que lo rodean o las argumentaciones que la fundamentan, también cuando la pretensión es formulada con manifiesto abuso de derecho o entraña fraude de ley o procesal de acuerdo con lo establecido en el art. 11.2 LOPJ (así, ATC 42/2024, de 7 de mayo, FJ único).</w:t>
      </w:r>
    </w:p>
    <w:p w14:paraId="2AF427E6" w14:textId="77777777" w:rsidR="00C04533" w:rsidRDefault="00C04533" w:rsidP="00C04533">
      <w:pPr>
        <w:pStyle w:val="TextoNormal"/>
      </w:pPr>
    </w:p>
    <w:p w14:paraId="2EF7B049" w14:textId="77777777" w:rsidR="00C04533" w:rsidRDefault="00C04533" w:rsidP="00C04533">
      <w:pPr>
        <w:pStyle w:val="TextoNormal"/>
      </w:pPr>
      <w:r w:rsidRPr="00C04533">
        <w:rPr>
          <w:rStyle w:val="NumeroAFNegritaCaracter"/>
        </w:rPr>
        <w:t>3</w:t>
      </w:r>
      <w:r>
        <w:t>. El Tribunal, en atención a la citada jurisprudencia y tomando en consideración la argumentación en que se fundamenta la recusación, deniega liminarmente su tramitación por las razones siguientes:</w:t>
      </w:r>
    </w:p>
    <w:p w14:paraId="037E22A3" w14:textId="77777777" w:rsidR="00C04533" w:rsidRDefault="00C04533" w:rsidP="00C04533">
      <w:pPr>
        <w:pStyle w:val="TextoNormal"/>
      </w:pPr>
    </w:p>
    <w:p w14:paraId="556F3B49" w14:textId="77777777" w:rsidR="00C04533" w:rsidRDefault="00C04533" w:rsidP="00C04533">
      <w:pPr>
        <w:pStyle w:val="TextoNormal"/>
      </w:pPr>
      <w:r>
        <w:t>(i)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ya que había riesgo de que pudieran ser interpretadas por el sentir ciudadano como un prejuicio sobre la eventual culpabilidad de los implicados en aquella causa penal.</w:t>
      </w:r>
    </w:p>
    <w:p w14:paraId="31F00373" w14:textId="77777777" w:rsidR="00C04533" w:rsidRDefault="00C04533" w:rsidP="00C04533">
      <w:pPr>
        <w:pStyle w:val="TextoNormal"/>
      </w:pPr>
    </w:p>
    <w:p w14:paraId="3041C453" w14:textId="77777777" w:rsidR="00C04533" w:rsidRDefault="00C04533" w:rsidP="00C04533">
      <w:pPr>
        <w:pStyle w:val="TextoNormal"/>
      </w:pPr>
      <w:r>
        <w:t>(ii) En el presente caso, sin embargo, el objeto de la impugnación es resolver sobre la constitucionalidad de la Ley Orgánica 1/2024, que se impugna de forma global y particularizada en relación con concretos preceptos. Una norma penal que no existía en el momento de suscitarse la abstención, norma cuya validez se cuestiona de manera abstracta, por lo que no cabe apreciar que las manifestaciones controvertidas entonces se refirieran al problema constitucional suscitado en este procedimiento.</w:t>
      </w:r>
    </w:p>
    <w:p w14:paraId="5DDD957E" w14:textId="77777777" w:rsidR="00C04533" w:rsidRDefault="00C04533" w:rsidP="00C04533">
      <w:pPr>
        <w:pStyle w:val="TextoNormal"/>
      </w:pPr>
    </w:p>
    <w:p w14:paraId="11326A02" w14:textId="279C94AB" w:rsidR="00C04533" w:rsidRDefault="00C04533" w:rsidP="00C04533">
      <w:pPr>
        <w:pStyle w:val="TextoNormal"/>
      </w:pPr>
      <w:r>
        <w:t>Por tanto, ni por el objeto y el contenido impugnatorio de los procesos constitucionales ni por el origen fáctico de la abstención, cuya conversión automática en recusación se pretende ahora por los demandantes, es posible apreciar la conexión en que fundan su planteamiento, lo que evidencia su manifiesta carencia de fundamento y determina su inadmisión a trámite.</w:t>
      </w:r>
    </w:p>
    <w:p w14:paraId="4995C33C" w14:textId="77777777" w:rsidR="00C04533" w:rsidRDefault="00C04533" w:rsidP="00C04533">
      <w:pPr>
        <w:pStyle w:val="TextoNormal"/>
      </w:pPr>
    </w:p>
    <w:p w14:paraId="21DEAEFF" w14:textId="77777777" w:rsidR="00C04533" w:rsidRDefault="00C04533" w:rsidP="00C04533">
      <w:pPr>
        <w:pStyle w:val="TextoNormal"/>
      </w:pPr>
      <w:r>
        <w:t>Por lo expuesto, el Pleno</w:t>
      </w:r>
    </w:p>
    <w:p w14:paraId="03C7FDAF" w14:textId="2A5BE14A" w:rsidR="00C04533" w:rsidRDefault="00C04533" w:rsidP="00C04533">
      <w:pPr>
        <w:pStyle w:val="TextoNormal"/>
      </w:pPr>
    </w:p>
    <w:p w14:paraId="47CEB258" w14:textId="77777777" w:rsidR="00C04533" w:rsidRDefault="00C04533" w:rsidP="00C04533">
      <w:pPr>
        <w:pStyle w:val="TextoNormalCentrado"/>
      </w:pPr>
      <w:r>
        <w:t>ACUERDA</w:t>
      </w:r>
    </w:p>
    <w:p w14:paraId="3B599EBF" w14:textId="782BEA76" w:rsidR="00C04533" w:rsidRDefault="00C04533" w:rsidP="00C04533">
      <w:pPr>
        <w:pStyle w:val="TextoNormalCentrado"/>
      </w:pPr>
    </w:p>
    <w:p w14:paraId="353F69AB" w14:textId="5CC58C14" w:rsidR="00C04533" w:rsidRDefault="00C04533" w:rsidP="00C04533">
      <w:pPr>
        <w:pStyle w:val="TextoNormal"/>
      </w:pPr>
      <w:r>
        <w:t>Inadmitir la recusación promovida por más de cincuenta diputados y más de cincuenta senadores del Grupo Parlamentario Popular, por escrito de 4 de septiembre de 2024, en el recurso de inconstitucionalidad núm. 6436-2024.</w:t>
      </w:r>
    </w:p>
    <w:p w14:paraId="6D93BD93" w14:textId="77777777" w:rsidR="00C04533" w:rsidRDefault="00C04533" w:rsidP="00C04533">
      <w:pPr>
        <w:pStyle w:val="TextoNormal"/>
      </w:pPr>
    </w:p>
    <w:p w14:paraId="41A84759" w14:textId="77777777" w:rsidR="00C04533" w:rsidRDefault="00C04533" w:rsidP="00C04533">
      <w:pPr>
        <w:pStyle w:val="TextoNormal"/>
      </w:pPr>
      <w:r>
        <w:t>Madrid, a ocho de octubre de dos mil veinticuatro.</w:t>
      </w:r>
    </w:p>
    <w:p w14:paraId="440C0E8C" w14:textId="1D96EA54" w:rsidR="00C04533" w:rsidRDefault="00C04533" w:rsidP="00C04533">
      <w:pPr>
        <w:pStyle w:val="ParrafoNormal"/>
      </w:pPr>
    </w:p>
    <w:p w14:paraId="6A3C9AAD" w14:textId="77777777" w:rsidR="00C04533" w:rsidRDefault="00C04533" w:rsidP="00C04533">
      <w:pPr>
        <w:pStyle w:val="TextoNormalNegritaCentrado"/>
        <w:keepNext/>
      </w:pPr>
      <w:r>
        <w:t>Voto particular que formula el magistrado don Enrique Arnaldo Alcubilla al auto dictado en el recurso de inconstitucionalidad núm. 6436-2024, que inadmite la recusación del presidente del Tribunal Constitucional</w:t>
      </w:r>
    </w:p>
    <w:p w14:paraId="251C420F" w14:textId="481F0CD8" w:rsidR="00C04533" w:rsidRDefault="00C04533" w:rsidP="00C04533">
      <w:pPr>
        <w:pStyle w:val="TextoNormalNegritaCentrado"/>
        <w:keepNext/>
      </w:pPr>
    </w:p>
    <w:p w14:paraId="7D612359"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1F618BAA" w14:textId="77777777" w:rsidR="00C04533" w:rsidRDefault="00C04533" w:rsidP="00C04533">
      <w:pPr>
        <w:pStyle w:val="TextoNormal"/>
      </w:pPr>
    </w:p>
    <w:p w14:paraId="49219657" w14:textId="77777777" w:rsidR="00C04533" w:rsidRDefault="00C04533" w:rsidP="00C04533">
      <w:pPr>
        <w:pStyle w:val="TextoNormal"/>
      </w:pPr>
      <w:r>
        <w:t>El auto, que ha sido dictado por un Pleno del Tribunal compuesto de ocho magistrados, acuerda inadmitir la recusación promovida por más de cincuenta diputados y más de cincuenta senadores del Grupo Parlamentario Popular contra el magistrado y presidente del Tribunal don Cándido Conde-Pumpido Tourón, con motivo del recurso de inconstitucionalidad interpuesto contra la Ley Orgánica 1/2024. En síntesis, el auto entiende que las razones que en su día motivaron que por ATC 48/2021,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14:paraId="6EE66678" w14:textId="77777777" w:rsidR="00C04533" w:rsidRDefault="00C04533" w:rsidP="00C04533">
      <w:pPr>
        <w:pStyle w:val="TextoNormal"/>
      </w:pPr>
    </w:p>
    <w:p w14:paraId="42602202" w14:textId="77777777" w:rsidR="00C04533" w:rsidRDefault="00C04533" w:rsidP="00C04533">
      <w:pPr>
        <w:pStyle w:val="TextoNormal"/>
      </w:pPr>
      <w:r>
        <w:t>No disiento en este punto del auto aprobado por la mayoría del Pleno, pues comparto la decisión de inadmitir la recusación del presidente del Tribunal don Cándido Conde-Pumpido Tourón por las razones que allí se indican.</w:t>
      </w:r>
    </w:p>
    <w:p w14:paraId="5994B027" w14:textId="77777777" w:rsidR="00C04533" w:rsidRDefault="00C04533" w:rsidP="00C04533">
      <w:pPr>
        <w:pStyle w:val="TextoNormal"/>
      </w:pPr>
    </w:p>
    <w:p w14:paraId="35A7103C" w14:textId="77777777" w:rsidR="00C04533" w:rsidRDefault="00C04533" w:rsidP="00C04533">
      <w:pPr>
        <w:pStyle w:val="TextoNormal"/>
      </w:pPr>
      <w:r>
        <w:t>Mi discrepancia con el auto se refiere a la composición del Pleno para la resolución de este incidente de recusación, pues no se explican las razones por las que está integrado solo por ocho magistrados (en el antecedente 4 se limita a señalar que “están ausentes, en primer lugar, el magistrado de cuya resolución se trata aquí, hay otro abstenido y dos más cuya recusación está pendiente”) ni tampoco, y esto es lo fundamental, por qué se resuelve separadamente sobre la recusación del presidente del Tribunal don Cándido Conde-Pumpido Tourón, cuando los recurrentes han recusado también a la magistrada doña Laura Díez Bueso y al magistrado don Juan Carlos Campo Moreno. Ciertamente, este magistrado se hallaba ya abstenido en el recurso de inconstitucionalidad núm. 6436-2024, en virtud del ATC 91/2024, de 24 de septiembre, que extiende a este recurso la abstención aceptada mediante ATC 82/2024, de 11 de septiembre (dictado en la cuestión de inconstitucionalidad núm. 6053-2024, planteada en relación con la Ley Orgánica 1/2024), pero ello no excusaba al auto que ahora nos ocupa de dar cuenta de esa circunstancia de manera más explícita y detallada pues es imprescindible dar a conocer por qué el colegio queda reducido a ocho de sus miembros y no simplemente limitarse a dar a conocer que hay cuatro ausentes.</w:t>
      </w:r>
    </w:p>
    <w:p w14:paraId="1824DC71" w14:textId="77777777" w:rsidR="00C04533" w:rsidRDefault="00C04533" w:rsidP="00C04533">
      <w:pPr>
        <w:pStyle w:val="TextoNormal"/>
      </w:pPr>
    </w:p>
    <w:p w14:paraId="6F4CF6EF" w14:textId="77777777" w:rsidR="00C04533" w:rsidRDefault="00C04533" w:rsidP="00C04533">
      <w:pPr>
        <w:pStyle w:val="TextoNormal"/>
      </w:pPr>
      <w:r>
        <w:t xml:space="preserve">En todo caso, y esto es lo más relevante, se insiste, el auto no explica las razones que llevan al Tribunal a resolver separadamente las recusaciones del presidente don Cándido Conde-Pumpido Tourón y de la magistrada doña Laura Díez Bueso, recusados ambos conjuntamente por los recurrentes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de 9 de mayo; 238/2023, de 9 de mayo; 488/2023, de 24 de octubre, y 70/2024, de 16 de julio.</w:t>
      </w:r>
    </w:p>
    <w:p w14:paraId="76BEB52F" w14:textId="77777777" w:rsidR="00C04533" w:rsidRDefault="00C04533" w:rsidP="00C04533">
      <w:pPr>
        <w:pStyle w:val="TextoNormal"/>
      </w:pPr>
    </w:p>
    <w:p w14:paraId="7895D244" w14:textId="77777777" w:rsidR="00C04533" w:rsidRDefault="00C04533" w:rsidP="00C04533">
      <w:pPr>
        <w:pStyle w:val="TextoNormal"/>
      </w:pPr>
      <w:r>
        <w:t>A mi entender, conforme a los precedentes de este tribunal, la recusación del presidente del Tribunal don Cándido Conde-Pumpido Tourón y de la magistrada doña Laura Díez Bueso, planteada conjuntamente por los recurrentes, aunque por hechos y fundamentos distintos, claro está, no debe resolverse de manera fraccionada o separada y sucesivamente, sino de forma simultánea, por un Pleno del Tribunal con una composición en la que no intervengan ninguno de los magistrados recusados (y tampoco, por supuesto, el magistrado don Juan Carlos Campo Moreno, al haber sido aceptada ya previamente por este tribunal su abstención). Como consecuencia de la extravagante decisión de resolver separadamente ambas recusaciones, la recusación de la magistrada doña Laura Díez Bueso ha quedado “pendiente”, como se apunta en el antecedente 4 del auto, sin que ello resulte justificado.</w:t>
      </w:r>
    </w:p>
    <w:p w14:paraId="5CDD9737" w14:textId="77777777" w:rsidR="00C04533" w:rsidRDefault="00C04533" w:rsidP="00C04533">
      <w:pPr>
        <w:pStyle w:val="TextoNormal"/>
      </w:pPr>
    </w:p>
    <w:p w14:paraId="4736D38F" w14:textId="77777777" w:rsidR="00C04533" w:rsidRDefault="00C04533" w:rsidP="00C04533">
      <w:pPr>
        <w:pStyle w:val="TextoNormal"/>
      </w:pPr>
      <w:r>
        <w:t>En fin, no debe dejarse de señalar que tampoco se explican en el auto las razones que llevan a excluir al magistrado don José María Macías Castaño (ponente del recurso de inconstitucionalidad núm. 6436-2024) en la composición del Pleno que ha dictado el auto que nos ocupa, más allá del críptico enunciado del antecedente 4, antes transcrito. Es cierto que la intervención del magistrado Macías Castaño en la resolución de la recusación del presidente don Cándido Conde-Pumpido Tourón y de la magistrada doña Laura Díez Bueso podría suscitar dudas, al haber sido recusado aquel por el abogado del Estado. Sin embargo, no puedo por menos que advertir, como ya hice en un voto particular anterior,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recurso núm. 6436-2024), de los interpuestos contra la Ley Orgánica 1/2024, en que dicha recusación ha sido planteada por la parte recurrente, en la propia demanda o en escrito posterior.</w:t>
      </w:r>
    </w:p>
    <w:p w14:paraId="5D747322" w14:textId="77777777" w:rsidR="00C04533" w:rsidRDefault="00C04533" w:rsidP="00C04533">
      <w:pPr>
        <w:pStyle w:val="TextoNormal"/>
      </w:pPr>
    </w:p>
    <w:p w14:paraId="1A3F32B7" w14:textId="77777777" w:rsidR="00C04533" w:rsidRDefault="00C04533" w:rsidP="00C04533">
      <w:pPr>
        <w:pStyle w:val="TextoNormal"/>
      </w:pPr>
      <w:r>
        <w:t>De todos modos,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Castaño, mientras que este magistrado ha sido excluido de intervenir en la decisión de la recusación del presidente y es previsible que lo sea también de la que afecta a la magistrada doña Laura Díez Bueso. En otras palabras, la recusación formulada al magistrado don José María Macías Castaño será resuelta por un colegio de diez magistrados, incluidos los dos citados, en la previsión indicada.</w:t>
      </w:r>
    </w:p>
    <w:p w14:paraId="016530F8" w14:textId="77777777" w:rsidR="00C04533" w:rsidRDefault="00C04533" w:rsidP="00C04533">
      <w:pPr>
        <w:pStyle w:val="TextoNormal"/>
      </w:pPr>
    </w:p>
    <w:p w14:paraId="45D27D2E" w14:textId="77777777" w:rsidR="00C04533" w:rsidRDefault="00C04533" w:rsidP="00C04533">
      <w:pPr>
        <w:pStyle w:val="TextoNormal"/>
      </w:pPr>
      <w:r>
        <w:t>No puedo sino concluir advirtiendo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5A2EE7FB" w14:textId="77777777" w:rsidR="00C04533" w:rsidRDefault="00C04533" w:rsidP="00C04533">
      <w:pPr>
        <w:pStyle w:val="TextoNormal"/>
      </w:pPr>
    </w:p>
    <w:p w14:paraId="083CAE90" w14:textId="5486701C" w:rsidR="00C04533" w:rsidRDefault="00C04533" w:rsidP="00C04533">
      <w:pPr>
        <w:pStyle w:val="TextoNormal"/>
      </w:pPr>
      <w:r>
        <w:t>Madrid, a nueve de octubre de dos mil veinticuatro.</w:t>
      </w:r>
    </w:p>
    <w:p w14:paraId="25E5B508" w14:textId="77777777" w:rsidR="00C04533" w:rsidRDefault="00C04533" w:rsidP="00C04533">
      <w:pPr>
        <w:pStyle w:val="TextoNormal"/>
      </w:pPr>
    </w:p>
    <w:p w14:paraId="47FF7955" w14:textId="77777777" w:rsidR="00C04533" w:rsidRDefault="00C04533" w:rsidP="00C04533">
      <w:pPr>
        <w:pStyle w:val="TextoNormalNegritaCentrado"/>
        <w:keepNext/>
      </w:pPr>
      <w:r>
        <w:t>Voto particular discrepante que formula la magistrada doña Concepción Espejel Jorquera al auto de 8 de octubre de 2024, dictado en el incidente de recusación del presidente del Tribunal, don Cándido Conde-Pumpido Tourón, planteado en el recurso de inconstitucionalidad núm. 6436-2024</w:t>
      </w:r>
    </w:p>
    <w:p w14:paraId="6558E8F7" w14:textId="34F577BE" w:rsidR="00C04533" w:rsidRDefault="00C04533" w:rsidP="00C04533">
      <w:pPr>
        <w:pStyle w:val="TextoNormalNegritaCentrado"/>
        <w:keepNext/>
      </w:pPr>
    </w:p>
    <w:p w14:paraId="6AA6C881" w14:textId="77777777" w:rsidR="00C04533" w:rsidRDefault="00C04533" w:rsidP="00C04533">
      <w:pPr>
        <w:pStyle w:val="TextoNormal"/>
      </w:pPr>
      <w:r>
        <w:t>En el ejercicio de la facultad conferida en el art. 90.2 LOTC, y con el respeto debido a la opinión de los magistrados que han conformado la mayoría del Pleno, formulo el presente voto particular al auto dictado en el mencionado incidente.</w:t>
      </w:r>
    </w:p>
    <w:p w14:paraId="56DC7FCE" w14:textId="77777777" w:rsidR="00C04533" w:rsidRDefault="00C04533" w:rsidP="00C04533">
      <w:pPr>
        <w:pStyle w:val="TextoNormal"/>
      </w:pPr>
    </w:p>
    <w:p w14:paraId="0C29D0A5" w14:textId="77777777" w:rsidR="00C04533" w:rsidRDefault="00C04533" w:rsidP="00C04533">
      <w:pPr>
        <w:pStyle w:val="TextoNormal"/>
      </w:pPr>
      <w:r>
        <w:t>Estando conforme con la decisión de inadmisión de la recusación, por no concurrir la causa de recusación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 al dar prioridad en el señalamiento de la deliberación a una de las recusaciones planteadas en la demanda y dejar pendientes para un Pleno posterior la decisión de las demás recusaciones, apartándose de este modo de los precedentes, en particular los más inmediatos, que han venido resolviendo de forma conjunta la totalidad de las recusaciones planteadas en el mismo proceso.</w:t>
      </w:r>
    </w:p>
    <w:p w14:paraId="226FD639" w14:textId="77777777" w:rsidR="00C04533" w:rsidRDefault="00C04533" w:rsidP="00C04533">
      <w:pPr>
        <w:pStyle w:val="TextoNormal"/>
      </w:pPr>
    </w:p>
    <w:p w14:paraId="43F0079B" w14:textId="77777777" w:rsidR="00C04533" w:rsidRDefault="00C04533" w:rsidP="00C04533">
      <w:pPr>
        <w:pStyle w:val="TextoNormal"/>
      </w:pPr>
      <w:r>
        <w:t>Como apunté en el voto particular que suscribí junto al magistrado don Enrique Arnaldo Alcubilla al ATC 91/2024, en el que se aprobó la abstención en una pluralidad de procesos del magistrado don Juan Carlos Campo Moreno, donde discrepamos de la composición del Tribunal, la recusación planteada por el abogado del Estado respecto del magistrado don José María Macías Castaño en el presente recurso de inconstitucionalidad fue formulada por quien carecía de legitimación para recusar, por no ser aún parte en el recurso de inconstitucionalidad al estar pendiente de resolver sobre su admisión a trámite, legitimación para recusar que, obviamente, sí tenían quienes interpusieron el recurso y formularon mediante otrosí las recusaciones del presidente del Tribunal y de los magistrados don Juan Carlos Campo Moreno y doña Laura Díez Bueso.</w:t>
      </w:r>
    </w:p>
    <w:p w14:paraId="1564E1E6" w14:textId="77777777" w:rsidR="00C04533" w:rsidRDefault="00C04533" w:rsidP="00C04533">
      <w:pPr>
        <w:pStyle w:val="TextoNormal"/>
      </w:pPr>
    </w:p>
    <w:p w14:paraId="2AD3CB05" w14:textId="77777777" w:rsidR="00C04533" w:rsidRDefault="00C04533" w:rsidP="00C04533">
      <w:pPr>
        <w:pStyle w:val="TextoNormal"/>
      </w:pPr>
      <w:r>
        <w:t>Por tal motivo, considero que la recusación formulada por quien no era parte en el proceso debió de ser rechazada de plano por prematura, sin perjuicio de que pudiera plantearse una vez admitido, en su caso, el recurso y personado en legal forma el abogado del Estado en dicho procedimiento. De manera que en el estadio procesal en el que nos encontrábamos ninguna razón había para excluir del colegio de magistrados al magistrado Macías Castaño —al que además corresponde por turno la ponencia de este proceso constitucional— a partir de una recusación formulada por quien no es parte en el proceso.</w:t>
      </w:r>
    </w:p>
    <w:p w14:paraId="64FEC1D3" w14:textId="77777777" w:rsidR="00C04533" w:rsidRDefault="00C04533" w:rsidP="00C04533">
      <w:pPr>
        <w:pStyle w:val="TextoNormal"/>
      </w:pPr>
    </w:p>
    <w:p w14:paraId="6CF59DB0" w14:textId="77777777" w:rsidR="00C04533" w:rsidRDefault="00C04533" w:rsidP="00C04533">
      <w:pPr>
        <w:pStyle w:val="TextoNormal"/>
      </w:pPr>
      <w:r>
        <w:t>En el auto del que discrepo no se da, a mi juicio, explicación bastante de la composición del Tribunal que, por decisión de su presidente transmitida al resto del colegio de magistrados mediante comunicación interior de fecha 30 de septiembre pasado, ha sido llamado a deliberar y decidir el incidente de recusación del propio presidente y que queda constituido por ocho de sus miembros. Se recoge únicamente en los antecedentes que la decisión se adopta con exclusión del magistrado previamente abstenido, señor Campo Moreno, cuya abstención ya fue aprobada por el Pleno celebrado el 26 de septiembre de 2024, y de los magistrados recusados, sin dar razón alguna del motivo por el que se equiparan procesalmente las recusaciones formuladas por los recurrentes en la demanda y por quien no es parte en el recurso de inconstitucionalidad aún no admitido y en el que, por tal motivo, no se había aceptado su personación en el momento de plantear la recusación del magistrado Macías Castaño.</w:t>
      </w:r>
    </w:p>
    <w:p w14:paraId="548F8557" w14:textId="77777777" w:rsidR="00C04533" w:rsidRDefault="00C04533" w:rsidP="00C04533">
      <w:pPr>
        <w:pStyle w:val="TextoNormal"/>
      </w:pPr>
    </w:p>
    <w:p w14:paraId="77771A47" w14:textId="77777777" w:rsidR="00C04533" w:rsidRDefault="00C04533" w:rsidP="00C04533">
      <w:pPr>
        <w:pStyle w:val="TextoNormal"/>
      </w:pPr>
      <w:r>
        <w:t>Aun reconociendo lo extraordinario de la situación procesal ahora planteada, máxime cuando ha sido provocada por un cualificado actor como es el abogado del Estado, existen precedentes en los que formaron parte del Pleno aquellos magistrados a los que se intentó recusar por quienes no eran parte en el recurso de inconstitucionalidad. Así, en el ATC 177/2022, de 19 de diciembre, dictado en un caso en el que fueron recusados los señores González-Trevijano Sánchez y Narváez Rodríguez, declaramos que los coadyuvantes carecían de legitimación para instar la recusación en el momento en que la formularon, por no estar constituida la relación jurídico-procesal, sin que ello comportase la vulneración del derecho al juez imparcial que garantiza el art. 24.2 CE. Los argumentos en que se funda dicha resolución tienen respaldo en los AATC 308/1990, de 18 de julio, FJ único a), y 315/1995, de 20 de noviembre, FJ 1.</w:t>
      </w:r>
    </w:p>
    <w:p w14:paraId="15CA8826" w14:textId="77777777" w:rsidR="00C04533" w:rsidRDefault="00C04533" w:rsidP="00C04533">
      <w:pPr>
        <w:pStyle w:val="TextoNormal"/>
      </w:pPr>
    </w:p>
    <w:p w14:paraId="0259F03E" w14:textId="77777777" w:rsidR="00C04533" w:rsidRDefault="00C04533" w:rsidP="00C04533">
      <w:pPr>
        <w:pStyle w:val="TextoNormal"/>
      </w:pPr>
      <w:r>
        <w:t xml:space="preserve">A mi juicio, la exclusión de un magistrado recusado antes de ser admitido el recurso por quien no ostenta la condición de parte en el proceso, apartándose así de los citados precedentes, ha incidido en la composición regular del Tribunal, al impedir que uno de sus miembros participe en la deliberación y votación del incidente, cuando debería haberse rechazado </w:t>
      </w:r>
      <w:r w:rsidRPr="00C04533">
        <w:rPr>
          <w:i/>
        </w:rPr>
        <w:t>a limine</w:t>
      </w:r>
      <w:r>
        <w:t xml:space="preserve"> la recusación planteada por quien no es parte en el proceso.</w:t>
      </w:r>
    </w:p>
    <w:p w14:paraId="0260C0A3" w14:textId="77777777" w:rsidR="00C04533" w:rsidRDefault="00C04533" w:rsidP="00C04533">
      <w:pPr>
        <w:pStyle w:val="TextoNormal"/>
      </w:pPr>
    </w:p>
    <w:p w14:paraId="6F2C91EA" w14:textId="77777777" w:rsidR="00C04533" w:rsidRDefault="00C04533" w:rsidP="00C04533">
      <w:pPr>
        <w:pStyle w:val="TextoNormal"/>
      </w:pPr>
      <w:r>
        <w:t>La exclusión de los cuatro magistrados de la deliberación únicamente podría haber estado justificada si en la misma resolución se hubieran resuelto las cuatro recusaciones, una de ellas por pérdida sobrevenida de objeto al haberse aprobado la abstención del magistrado Campo Moreno, inadmitiendo por extemporánea la del magistrado Macías Castaño y resolviendo en la misma resolución las planteadas en el escrito de demanda respecto del presidente y la magistrada Díez Bueso.</w:t>
      </w:r>
    </w:p>
    <w:p w14:paraId="7E77EB39" w14:textId="77777777" w:rsidR="00C04533" w:rsidRDefault="00C04533" w:rsidP="00C04533">
      <w:pPr>
        <w:pStyle w:val="TextoNormal"/>
      </w:pPr>
    </w:p>
    <w:p w14:paraId="1453BD28" w14:textId="77777777" w:rsidR="00C04533" w:rsidRDefault="00C04533" w:rsidP="00C04533">
      <w:pPr>
        <w:pStyle w:val="TextoNormal"/>
      </w:pPr>
      <w:r>
        <w:t>De ahí mi discrepancia también respecto del procedimiento seguido que ha llevado a examinar escalonadamente las recusaciones, especialmente las formuladas respecto del presidente y de la magistrada Díez Bueso, planteadas ambas por la misma parte recurrente y recusante en el escrito de demanda del recurso de inconstitucionalidad.</w:t>
      </w:r>
    </w:p>
    <w:p w14:paraId="03DC7E45" w14:textId="77777777" w:rsidR="00C04533" w:rsidRDefault="00C04533" w:rsidP="00C04533">
      <w:pPr>
        <w:pStyle w:val="TextoNormal"/>
      </w:pPr>
    </w:p>
    <w:p w14:paraId="6D914164" w14:textId="77777777" w:rsidR="00C04533" w:rsidRDefault="00C04533" w:rsidP="00C04533">
      <w:pPr>
        <w:pStyle w:val="TextoNormal"/>
      </w:pPr>
      <w:r>
        <w:t>En muy escasas y excepcionales ocasiones se han resuelto en autos diferentes las recusaciones de dos magistrados planteadas en el mismo proceso. Efectivamente, en el ATC 237/2014, de 9 de octubre, se inadmitió la recusación del magistrado Pérez de los Cobos Orihuel y en el ATC 238/2014, de 9 de octubre, la del magistrado González-Trevijano Sánchez, ambas planteadas en el recurso de inconstitucionalidad núm. 5829-2014.</w:t>
      </w:r>
    </w:p>
    <w:p w14:paraId="5DA034E1" w14:textId="77777777" w:rsidR="00C04533" w:rsidRDefault="00C04533" w:rsidP="00C04533">
      <w:pPr>
        <w:pStyle w:val="TextoNormal"/>
      </w:pPr>
    </w:p>
    <w:p w14:paraId="5EFBEE79" w14:textId="77777777" w:rsidR="00C04533" w:rsidRDefault="00C04533" w:rsidP="00C04533">
      <w:pPr>
        <w:pStyle w:val="TextoNormal"/>
      </w:pPr>
      <w:r>
        <w:t>Entre los casos más recientes solo en los AATC 68 y 69/2023, de 21 de febrero, se inadmitieron en dos autos diferentes las recusaciones planteadas en una pluralidad de recursos de inconstitucionalidad respecto de los magistrados Campo Moreno y Díez Bueso, pero ello quedó justificado por dos razones: (i) las recusaciones no se plantearon frente a los dos magistrados de forma conjunta, sino en escritos independientes para cada uno de ellos; y (ii) no había coincidencia plena en el objeto de ambos autos, pues el ATC 68/2023 comprende el recurso de amparo avocado núm. 8263-2022, que no es objeto del ATC 69/2023.</w:t>
      </w:r>
    </w:p>
    <w:p w14:paraId="36F84554" w14:textId="77777777" w:rsidR="00C04533" w:rsidRDefault="00C04533" w:rsidP="00C04533">
      <w:pPr>
        <w:pStyle w:val="TextoNormal"/>
      </w:pPr>
    </w:p>
    <w:p w14:paraId="6B651035" w14:textId="77777777" w:rsidR="00C04533" w:rsidRDefault="00C04533" w:rsidP="00C04533">
      <w:pPr>
        <w:pStyle w:val="TextoNormal"/>
      </w:pPr>
      <w:r>
        <w:t xml:space="preserve">Por el contrario, desde el inicio de la andadura de este tribunal en una muy amplia mayoría de resoluciones han sido resueltas en un solo auto las recusaciones planteadas en el mismo proceso frente a varios magistrados, aunque en todas ellas eran diferentes los hechos en los que los recusantes basaban su argumentación. Así, cabe citar las siguientes resoluciones: (i) el ATC 282/1986, de 20 de marzo, inadmitió las recusaciones de los señores de la Vega Benayas y Díaz Eimil; (ii) el ATC 224/2001, de 18 de julio, desestimó las recusaciones de los señores Jiménez de Parga y Cabrera, y Cachón Villar, y de la señora Casas Baamonde; (iii) el ATC 376/2004, de 7 de octubre, declaró la extinción, por pérdida sobrevenida de objeto, del incidente de recusación del señor Cachón Villar y de la señora Casas Baamonde; (iv) el ATC 443/2007, de 27 de noviembre, inadmitió las recusaciones de los  señores Sala Sánchez, Aragón Reyes y Pérez Tremps; (v) el ATC 81/2008, de 12 de marzo, estimó las recusaciones de los señores García-Calvo y Montiel, y Rodríguez-Zapata Pérez; (vi) el ATC 351/2008, de 4 de noviembre, inadmitió las recusaciones de los señores Gay Montalvo, Pérez Tremps y Aragón Reyes, y de la señora Pérez Vera; (vii) el ATC 28/2010, de 25 de febrero, inadmitió las recusaciones de los señores Conde Martín de Hijas y Rodríguez Arribas, y de la señora Pérez Vera; (viii) el ATC 29/2010, de 25 de febrero, inadmitió el escrito de recusación de los  señores Conde Martín de Hijas y Rodríguez Arribas, y de la señora Pérez Vera; (ix) el ATC 31/2010, de 25 de febrero, inadmitió el escrito de recusación de los  señores Conde Martín de Hijas y Rodríguez Arribas, y de la señora Pérez Vera; (x) los AATC 109/2010 y 111/2010 a 116/2010, de 29 de septiembre, inadmitieron los respectivos escritos de recusación de los  señores Conde Martín de Hijas y Rodríguez Arribas, y de la señora Pérez Vera; (xi) los AATC 110/2010 y 117/2010, de 29 de septiembre, inadmitieron los respectivos escritos de recusación de los señores Jiménez Sánchez, Gay Montalvo y Sala Sánchez; (xii) el ATC 256/2013, de 6 de noviembre, inadmitió las recusaciones de los señores Hernando Santiago, y López y López; (xiii) el ATC 107/2021, de 15 de diciembre, inadmitió las recusaciones de los señores González-Trevijano Sánchez, Arnaldo Alcubilla y de la señora Espejel Jorquera, previa abstención de los señores Narváez Rodríguez y Conde-Pumpido Tourón; (xiv) el ATC 72/2022, de 27 de abril, inadmitió las recusaciones del señor Arnaldo Alcubilla y de la señora Espejel Jorquera; (xv) el ATC 73/2022, de 27 de abril, inadmitió las recusaciones de los señores Arnaldo Alcubilla y Narváez Rodríguez, y de la señora Espejel Jorquera; (xvi) el ATC 82/2022, de 11 de mayo, inadmitió las recusaciones de los señores Arnaldo Alcubilla y Narváez Rodríguez; (xvii) el ATC 149/2022, de 15 de noviembre, inadmitió las recusaciones de los señores Arnaldo Alcubilla y Narváez Rodríguez; y entre los más recientes (xviii) el ATC 236/2023, inadmitió las recusaciones de los señores Conde-Pumpido Tourón, Enríquez Sancho y Campo Moreno; (xix) el ATC 238/2023 inadmitió las recusaciones de los señores Conde-Pumpido Tourón y Tolosa Tribiño, y de la señora Espejel Jorquera; (xx) el ATC 483/2023, de 24 de octubre, inadmitió las recusaciones de los señores Conde-Pumpido Tourón, Enríquez Sancho y Campo Moreno; (xxi) el ATC 488/2023 inadmitió las recusaciones del señor Conde-Pumpido Tourón y de la señora Segoviano Astaburuaga; (xxii) el ATC 490/2023, de 24 de octubre, inadmitió las recusaciones de la señora Espejel Jorquera y del señor Campo Moreno; y (xxiii) el ATC 70/2024, inadmitió las recusaciones de las señoras Montalbán Huertas y Balaguer Callejón. No se incluyen en esta relación, por diferir de las recusaciones planteadas en el presente caso, aquellos otros autos que han inadmitido las recusaciones de varios magistrados por afectar al </w:t>
      </w:r>
      <w:r w:rsidRPr="00C04533">
        <w:rPr>
          <w:i/>
        </w:rPr>
        <w:t>quorum</w:t>
      </w:r>
      <w:r>
        <w:t xml:space="preserve"> necesario para la válida constitución del Tribunal.</w:t>
      </w:r>
    </w:p>
    <w:p w14:paraId="6B872463" w14:textId="77777777" w:rsidR="00C04533" w:rsidRDefault="00C04533" w:rsidP="00C04533">
      <w:pPr>
        <w:pStyle w:val="TextoNormal"/>
      </w:pPr>
    </w:p>
    <w:p w14:paraId="5902C6F9" w14:textId="77777777" w:rsidR="00C04533" w:rsidRDefault="00C04533" w:rsidP="00C04533">
      <w:pPr>
        <w:pStyle w:val="TextoNormal"/>
      </w:pPr>
      <w:r>
        <w:t>En la resolución de la que discrepo dictada en un recurso de la extraordinaria importancia política y constitucional que reviste, no se da explicación alguna del motivo por el que no se ha seguido el mismo criterio adoptado en tan numerosas resoluciones precedentes, gran número de ellas muy próximas cronológicamente a la que nos ocupa y en parte dictadas bajo la actual presidencia del Tribunal, mientras que en el presente caso el presidente ha acordado que sean resueltas escalonadamente las recusaciones, decisión que comporta que, una vez desestimada la recusación del presidente, este pase a presidir el Tribunal que decida sobre la recusación de la señora Díez Bueso y, una vez desestimada previsiblemente la de esta última, permitirá que ambos formen parte del Pleno que resolverá la del señor Macías Castaño, el cual, sin embargo, se ha visto impedido de formar parte del Tribunal que sucesivamente va a ir resolviendo las de los otros recusados, dándose la circunstancia, ya mencionada, de que el mismo no ha sido recusado por ninguna parte personada en este recurso de inconstitucionalidad, sino por quien no es parte en el proceso, mientras que los otros recusados lo fueron en la demanda y por quien tenía legitimación para recusar.</w:t>
      </w:r>
    </w:p>
    <w:p w14:paraId="1BE55F60" w14:textId="77777777" w:rsidR="00C04533" w:rsidRDefault="00C04533" w:rsidP="00C04533">
      <w:pPr>
        <w:pStyle w:val="TextoNormal"/>
      </w:pPr>
    </w:p>
    <w:p w14:paraId="23790B27" w14:textId="77777777" w:rsidR="00C04533" w:rsidRDefault="00C04533" w:rsidP="00C04533">
      <w:pPr>
        <w:pStyle w:val="TextoNormal"/>
      </w:pPr>
      <w:r>
        <w:t>Para terminar, entiendo que este modo de proceder que, sin motivación alguna que lo justifique, se aparta de la forma en que de manera razonable han venido resolviéndose los incidentes de recusación que afectan a la válida constitución del Tribunal, pudiera perjudicar seriamente la apariencia de imparcialidad que debe presentar este tribunal como órgano jurisdiccional.</w:t>
      </w:r>
    </w:p>
    <w:p w14:paraId="20A66B58" w14:textId="77777777" w:rsidR="00C04533" w:rsidRDefault="00C04533" w:rsidP="00C04533">
      <w:pPr>
        <w:pStyle w:val="TextoNormal"/>
      </w:pPr>
    </w:p>
    <w:p w14:paraId="22E2BE6E" w14:textId="77777777" w:rsidR="00C04533" w:rsidRDefault="00C04533" w:rsidP="00C04533">
      <w:pPr>
        <w:pStyle w:val="TextoNormal"/>
      </w:pPr>
      <w:r>
        <w:t>Por lo expuesto, formulo el presente voto particular.</w:t>
      </w:r>
    </w:p>
    <w:p w14:paraId="57240E2B" w14:textId="77777777" w:rsidR="00C04533" w:rsidRDefault="00C04533" w:rsidP="00C04533">
      <w:pPr>
        <w:pStyle w:val="TextoNormal"/>
      </w:pPr>
    </w:p>
    <w:p w14:paraId="04048806" w14:textId="1D4062A9" w:rsidR="00C04533" w:rsidRDefault="00C04533" w:rsidP="00C04533">
      <w:pPr>
        <w:pStyle w:val="TextoNormal"/>
      </w:pPr>
      <w:r>
        <w:t>Madrid, a ocho de octubre de dos mil veinticuatro.</w:t>
      </w:r>
    </w:p>
    <w:p w14:paraId="3EC5CEC6" w14:textId="459A5626" w:rsidR="00C04533" w:rsidRDefault="00C04533">
      <w:pPr>
        <w:spacing w:after="160" w:line="278" w:lineRule="auto"/>
        <w:rPr>
          <w:rFonts w:ascii="Times New Roman" w:eastAsia="Times New Roman" w:hAnsi="Times New Roman" w:cs="Times New Roman"/>
          <w:sz w:val="24"/>
          <w:szCs w:val="24"/>
          <w:lang w:eastAsia="es-ES"/>
        </w:rPr>
      </w:pPr>
      <w:r>
        <w:br w:type="page"/>
      </w:r>
    </w:p>
    <w:p w14:paraId="31E66F3E" w14:textId="77777777" w:rsidR="00C04533" w:rsidRDefault="00C04533" w:rsidP="00C04533">
      <w:pPr>
        <w:pStyle w:val="TtuloResolucin"/>
      </w:pPr>
      <w:bookmarkStart w:id="100" w:name="AUTO_2024_94"/>
      <w:r>
        <w:t>AUTO 94/2024, de 9 de octubre de 2024</w:t>
      </w:r>
    </w:p>
    <w:bookmarkEnd w:id="100"/>
    <w:p w14:paraId="2720268A" w14:textId="77777777" w:rsidR="00C04533" w:rsidRDefault="00C04533" w:rsidP="00C04533">
      <w:pPr>
        <w:pStyle w:val="TtuloResolucin"/>
      </w:pPr>
      <w:r>
        <w:t>Sección Segunda</w:t>
      </w:r>
    </w:p>
    <w:p w14:paraId="4796205B" w14:textId="77777777" w:rsidR="00C04533" w:rsidRDefault="00C04533" w:rsidP="00C04533">
      <w:pPr>
        <w:pStyle w:val="TextoNormalCentrado"/>
      </w:pPr>
      <w:r>
        <w:t>ECLI:ES:TC:2024:94A</w:t>
      </w:r>
    </w:p>
    <w:p w14:paraId="3A3836DC" w14:textId="199D6E1D" w:rsidR="00C04533" w:rsidRDefault="00C04533" w:rsidP="00C04533">
      <w:pPr>
        <w:pStyle w:val="TextoNormalCentrado"/>
      </w:pPr>
    </w:p>
    <w:p w14:paraId="327EA92B" w14:textId="77777777" w:rsidR="00C04533" w:rsidRDefault="00C04533" w:rsidP="00C04533">
      <w:pPr>
        <w:pStyle w:val="SntesisDescriptiva"/>
      </w:pPr>
      <w:r>
        <w:t>Excms. Srs. don Ricardo Enríquez Sancho, don Juan Carlos Campo Moreno y don José María Macías Castaño.</w:t>
      </w:r>
    </w:p>
    <w:p w14:paraId="72EFE096" w14:textId="7787DEE3" w:rsidR="00C04533" w:rsidRDefault="00C04533" w:rsidP="00C04533">
      <w:pPr>
        <w:pStyle w:val="SntesisDescriptiva"/>
      </w:pPr>
    </w:p>
    <w:p w14:paraId="1E7AE2C4" w14:textId="77777777" w:rsidR="00C04533" w:rsidRDefault="00C04533" w:rsidP="00C04533">
      <w:pPr>
        <w:pStyle w:val="SntesisDescriptiva"/>
      </w:pPr>
      <w:r>
        <w:t>Desestima el recurso de súplica interpuesto por el Ministerio Fiscal en relación con la providencia de inadmisión del recurso de amparo 5797-2024, promovido por doña Zenayda del Carmen García Sánchez y don José Antonio Hernández Herrera en causa penal.</w:t>
      </w:r>
    </w:p>
    <w:p w14:paraId="0203EE21" w14:textId="6BD3268D" w:rsidR="00C04533" w:rsidRDefault="00C04533" w:rsidP="00C04533">
      <w:pPr>
        <w:pStyle w:val="SntesisDescriptiva"/>
      </w:pPr>
    </w:p>
    <w:p w14:paraId="016A731B" w14:textId="77777777" w:rsidR="00C04533" w:rsidRDefault="00C04533" w:rsidP="00C04533">
      <w:pPr>
        <w:pStyle w:val="SntesisDescriptiva"/>
      </w:pPr>
    </w:p>
    <w:p w14:paraId="6CC8F2C7" w14:textId="77777777" w:rsidR="00C04533" w:rsidRDefault="00C04533" w:rsidP="00C04533">
      <w:pPr>
        <w:pStyle w:val="SntesisDescriptiva"/>
      </w:pPr>
    </w:p>
    <w:p w14:paraId="7D099D18" w14:textId="77777777" w:rsidR="00C04533" w:rsidRDefault="00C04533" w:rsidP="00C04533">
      <w:pPr>
        <w:pStyle w:val="TextoNormalNegritaCentrado"/>
      </w:pPr>
      <w:r>
        <w:t>AUTO</w:t>
      </w:r>
    </w:p>
    <w:p w14:paraId="66FE3171" w14:textId="40BBBB34" w:rsidR="00C04533" w:rsidRDefault="00C04533" w:rsidP="00C04533">
      <w:pPr>
        <w:pStyle w:val="TextoNormalNegritaCentrado"/>
      </w:pPr>
    </w:p>
    <w:p w14:paraId="11006064" w14:textId="77777777" w:rsidR="00C04533" w:rsidRDefault="00C04533" w:rsidP="00C04533">
      <w:pPr>
        <w:pStyle w:val="TextoNormalNegritaCentrado"/>
        <w:keepNext/>
      </w:pPr>
      <w:r>
        <w:t>I. Antecedentes</w:t>
      </w:r>
    </w:p>
    <w:p w14:paraId="17489A41" w14:textId="57527286" w:rsidR="00C04533" w:rsidRDefault="00C04533" w:rsidP="00C04533">
      <w:pPr>
        <w:pStyle w:val="TextoNormalNegritaCentrado"/>
        <w:keepNext/>
      </w:pPr>
    </w:p>
    <w:p w14:paraId="28526C07" w14:textId="11638D74" w:rsidR="00C04533" w:rsidRDefault="00C04533" w:rsidP="00C04533">
      <w:pPr>
        <w:pStyle w:val="TextoNormal"/>
      </w:pPr>
      <w:r w:rsidRPr="00C04533">
        <w:rPr>
          <w:rStyle w:val="NumeroAFNegritaCaracter"/>
        </w:rPr>
        <w:t>1</w:t>
      </w:r>
      <w:r>
        <w:t>. Con fecha 22 de julio de 2024 tuvo entrada en el registro general de este Tribunal Constitucional un escrito del procurador de los tribunales don Carlos Alfonso Castro Serrano, actuando en representación de doña Zenayda del Carmen García Sánchez y don José Antonio Hernández Herrera, bajo la defensa de la abogada doña Marta Jesús Conejo Gutiérrez, por el que interpuso recurso de amparo contra las resoluciones identificadas en el encabezamiento.</w:t>
      </w:r>
    </w:p>
    <w:p w14:paraId="494FA895" w14:textId="77777777" w:rsidR="00C04533" w:rsidRDefault="00C04533" w:rsidP="00C04533">
      <w:pPr>
        <w:pStyle w:val="TextoNormal"/>
      </w:pPr>
    </w:p>
    <w:p w14:paraId="7F2CAD17" w14:textId="77777777" w:rsidR="00C04533" w:rsidRDefault="00C04533" w:rsidP="00C04533">
      <w:pPr>
        <w:pStyle w:val="TextoNormal"/>
      </w:pPr>
      <w:r w:rsidRPr="00C04533">
        <w:rPr>
          <w:rStyle w:val="NumeroAFNegritaCaracter"/>
        </w:rPr>
        <w:t>2</w:t>
      </w:r>
      <w:r>
        <w:t>. Los hechos relevantes para la resolución de este recurso de súplica, son los siguientes:</w:t>
      </w:r>
    </w:p>
    <w:p w14:paraId="49B7BFFD" w14:textId="77777777" w:rsidR="00C04533" w:rsidRDefault="00C04533" w:rsidP="00C04533">
      <w:pPr>
        <w:pStyle w:val="TextoNormal"/>
      </w:pPr>
    </w:p>
    <w:p w14:paraId="28EBD7D9" w14:textId="77777777" w:rsidR="00C04533" w:rsidRDefault="00C04533" w:rsidP="00C04533">
      <w:pPr>
        <w:pStyle w:val="TextoNormal"/>
      </w:pPr>
      <w:r>
        <w:t>a) La Sección Sexta de la Audiencia Provincial de Santa Cruz de Tenerife dictó sentencia de conformidad en el procedimiento abreviado núm. 39-2023 con la siguiente dispositiva:</w:t>
      </w:r>
    </w:p>
    <w:p w14:paraId="5E1231F1" w14:textId="77777777" w:rsidR="00C04533" w:rsidRDefault="00C04533" w:rsidP="00C04533">
      <w:pPr>
        <w:pStyle w:val="TextoNormal"/>
      </w:pPr>
    </w:p>
    <w:p w14:paraId="3A078DE7" w14:textId="77777777" w:rsidR="00C04533" w:rsidRDefault="00C04533" w:rsidP="00C04533">
      <w:pPr>
        <w:pStyle w:val="TextoNormal"/>
      </w:pPr>
      <w:r>
        <w:t>“Que debemos condenar y condenamos a Zenaida del Carmen García Sánchez, como autora penalmente responsable de un delito de estafa ya definido, sin la concurrencia de circunstancias modificativas de la responsabilidad criminal, a la pena de dos años de prisión, inhabilitación especial para el ejercicio de sufragio pasivo durante el tiempo de la condena e inhabilitación especial para el ejercicio de la actividad profesional para la gestión, asesoramiento y mediación inmobiliaria durante el tiempo de la condena y a la pena de seis meses de multa, a razón de 3 € como cuota diaria con responsabilidad personal subsidiaria en caso de impago conforme al artículo 53 del Código penal, y al pago de las dos terceras partes de las costas devengadas.</w:t>
      </w:r>
    </w:p>
    <w:p w14:paraId="5EBC8144" w14:textId="77777777" w:rsidR="00C04533" w:rsidRDefault="00C04533" w:rsidP="00C04533">
      <w:pPr>
        <w:pStyle w:val="TextoNormal"/>
      </w:pPr>
    </w:p>
    <w:p w14:paraId="7F3DBDD9" w14:textId="77777777" w:rsidR="00C04533" w:rsidRDefault="00C04533" w:rsidP="00C04533">
      <w:pPr>
        <w:pStyle w:val="TextoNormal"/>
      </w:pPr>
      <w:r>
        <w:t>Que asimismo debemos condenar y condenamos a Juan Antonio Hernández Herrera como cómplice penalmente responsable de un delito de estafa ya definido, previsto en los arts. 248 y 250.1.5 del Código Penal, sin la concurrencia de circunstancias modificativas de la responsabilidad criminal, a la pena de un año de prisión, inhabilitación especial para el ejercicio del derecho de sufragio pasivo durante el tiempo de la condena y a la pena de cuatro meses de multa a razón de 3 € como cuota diaria con responsabilidad personal subsidiaria en caso de impago conforme al artículo 53 del Código Penal, y al pago de la tercera parte de las costas devengadas.</w:t>
      </w:r>
    </w:p>
    <w:p w14:paraId="3CE48F2B" w14:textId="77777777" w:rsidR="00C04533" w:rsidRDefault="00C04533" w:rsidP="00C04533">
      <w:pPr>
        <w:pStyle w:val="TextoNormal"/>
      </w:pPr>
    </w:p>
    <w:p w14:paraId="3BDF5610" w14:textId="77777777" w:rsidR="00C04533" w:rsidRDefault="00C04533" w:rsidP="00C04533">
      <w:pPr>
        <w:pStyle w:val="TextoNormal"/>
      </w:pPr>
      <w:r>
        <w:t>Los condenados Zenaida del Carmen García Sánchez y José Antonio Hernández Herrera deberán indemnizar conjunta y solidariamente:</w:t>
      </w:r>
    </w:p>
    <w:p w14:paraId="3EA386B7" w14:textId="77777777" w:rsidR="00C04533" w:rsidRDefault="00C04533" w:rsidP="00C04533">
      <w:pPr>
        <w:pStyle w:val="TextoNormal"/>
      </w:pPr>
    </w:p>
    <w:p w14:paraId="378D6BB2" w14:textId="77777777" w:rsidR="00C04533" w:rsidRDefault="00C04533" w:rsidP="00C04533">
      <w:pPr>
        <w:pStyle w:val="TextoNormal"/>
      </w:pPr>
      <w:r>
        <w:t>a.- A doña E.M.B., en la cantidad de 270 000 € más la cantidad de 12 692,52 € que se devengó en concepto de intereses ante la Agencia [Estatal de Administración] Tributaria, a fecha 7 de mayo de 2021, más cualquier otra cantidad en concepto de intereses que sean devengados en los expedientes tributarios a determinar esta última en ejecución de sentencia, en todo caso más los intereses legales del artículo 576 LEC.</w:t>
      </w:r>
    </w:p>
    <w:p w14:paraId="30BE3F2B" w14:textId="77777777" w:rsidR="00C04533" w:rsidRDefault="00C04533" w:rsidP="00C04533">
      <w:pPr>
        <w:pStyle w:val="TextoNormal"/>
      </w:pPr>
    </w:p>
    <w:p w14:paraId="6F963DF3" w14:textId="77777777" w:rsidR="00C04533" w:rsidRDefault="00C04533" w:rsidP="00C04533">
      <w:pPr>
        <w:pStyle w:val="TextoNormal"/>
      </w:pPr>
      <w:r>
        <w:t>b.- A don O.M.B., en la cantidad de 60 000 €, más la cantidad de 3148,03 € que se devengó en concepto de intereses ante la Agencia [Estatal de Administración] Tributaria, a fecha 7 de mayo de 2021, más cualquier otra cantidad en concepto de intereses que sean devengados en los expedientes tributarios a determinar esta última en ejecución de sentencia, en todo caso, más los intereses legales del artículo 576 LEC.</w:t>
      </w:r>
    </w:p>
    <w:p w14:paraId="58CB75AC" w14:textId="77777777" w:rsidR="00C04533" w:rsidRDefault="00C04533" w:rsidP="00C04533">
      <w:pPr>
        <w:pStyle w:val="TextoNormal"/>
      </w:pPr>
    </w:p>
    <w:p w14:paraId="19D8E6AF" w14:textId="77777777" w:rsidR="00C04533" w:rsidRDefault="00C04533" w:rsidP="00C04533">
      <w:pPr>
        <w:pStyle w:val="TextoNormal"/>
      </w:pPr>
      <w:r>
        <w:t>Se acuerda la suspensión de la ejecución de la pena privativa de libertad impuesta, en sus respectivos casos, a los condenados Zenaida del Carmen García Sánchez y José Antonio Hernández Herrera, por plazo de cinco años, quedando condicionada dicha suspensión al cumplimiento por los condenados, en sus respectivos casos, de lo siguiente:</w:t>
      </w:r>
    </w:p>
    <w:p w14:paraId="47B7A52B" w14:textId="77777777" w:rsidR="00C04533" w:rsidRDefault="00C04533" w:rsidP="00C04533">
      <w:pPr>
        <w:pStyle w:val="TextoNormal"/>
      </w:pPr>
    </w:p>
    <w:p w14:paraId="386D8A0D" w14:textId="77777777" w:rsidR="00C04533" w:rsidRDefault="00C04533" w:rsidP="00C04533">
      <w:pPr>
        <w:pStyle w:val="TextoNormal"/>
      </w:pPr>
      <w:r>
        <w:t>1°.- Que no sean nuevamente condenados por un delito cometido durante el periodo de la suspensión que comenzará a computar desde la notificación de la presente sentencia y se extenderá durante cinco años.</w:t>
      </w:r>
    </w:p>
    <w:p w14:paraId="44380149" w14:textId="77777777" w:rsidR="00C04533" w:rsidRDefault="00C04533" w:rsidP="00C04533">
      <w:pPr>
        <w:pStyle w:val="TextoNormal"/>
      </w:pPr>
    </w:p>
    <w:p w14:paraId="7E9AD926" w14:textId="77777777" w:rsidR="00C04533" w:rsidRDefault="00C04533" w:rsidP="00C04533">
      <w:pPr>
        <w:pStyle w:val="TextoNormal"/>
      </w:pPr>
      <w:r>
        <w:t>2°.- Que hagan frente a la responsabilidad civil a la que han sido condenados ambos acusados con arreglo al plan de pagos siguiente: primer pago, la cuantía [de] 140 000 € antes del 26 de diciembre de 2023; segundo pago, la cuantía de 170 000 € antes del 13 de enero de 2024; y con relación al resto del importe de la responsabilidad civil que asciende [a] 35 840,59 € se abonará en el plazo máximo de dos años fijándose a finales de febrero de 2024 el fraccionamiento de dicha cuantía con la conformidad de la acusación particular.</w:t>
      </w:r>
    </w:p>
    <w:p w14:paraId="591B5D51" w14:textId="77777777" w:rsidR="00C04533" w:rsidRDefault="00C04533" w:rsidP="00C04533">
      <w:pPr>
        <w:pStyle w:val="TextoNormal"/>
      </w:pPr>
    </w:p>
    <w:p w14:paraId="0E88BA39" w14:textId="77777777" w:rsidR="00C04533" w:rsidRDefault="00C04533" w:rsidP="00C04533">
      <w:pPr>
        <w:pStyle w:val="TextoNormal"/>
      </w:pPr>
      <w:r>
        <w:t>En caso de incumplimiento por los condenados, en sus respectivos casos, de cualquiera de estas condiciones se podrá acordar la revocación de la suspensión de la ejecución de la pena privativa de libertad acordándose el cumplimiento de la pena de prisión respectiva”.</w:t>
      </w:r>
    </w:p>
    <w:p w14:paraId="3A01A8DE" w14:textId="77777777" w:rsidR="00C04533" w:rsidRDefault="00C04533" w:rsidP="00C04533">
      <w:pPr>
        <w:pStyle w:val="TextoNormal"/>
      </w:pPr>
    </w:p>
    <w:p w14:paraId="62D946DC" w14:textId="77777777" w:rsidR="00C04533" w:rsidRDefault="00C04533" w:rsidP="00C04533">
      <w:pPr>
        <w:pStyle w:val="TextoNormal"/>
      </w:pPr>
      <w:r>
        <w:t>Conforme a los hechos probados de la sentencia, previa celebración de un contrato de prestación de servicios entre doña E.M.B., y don O.M.B., con los dos acusados, por el que estos últimos se comprometían “a gestionar la herencia” que aquellos dos primeros habían recibido de su tía, “incluyendo la gestión del impuesto [sobre] sucesiones [y donaciones]”, doña E.M.B., y don O.M.B., realizaron entre los meses de mayo de 2018 y octubre de 2020 diversos pagos en favor de la acusada, quien “no aplicó las cantidades recibidas al pago del impuesto [sobre] sucesiones [y donaciones], como se había estipulado, sino que, actuando con ánimo de obtener un enriquecimiento ilícito, a sabiendas y desde un principio, se apropió de dichas cantidades, transfiriéndolas definitivamente a su patrimonio, habiendo hecho creer a los hermanos […] que iba a destinar las mismas a los pagos de Hacienda, cosa que no hizo disponiendo de las mismas para provecho propio con perjuicio de aquellos dos”. Asimismo, el acusado, “en connivencia con su mujer, facilitó su cuenta corriente, a sabiendas de los hechos llevados a cabo por su mujer y cooperando así en ellos”.</w:t>
      </w:r>
    </w:p>
    <w:p w14:paraId="0786B8B4" w14:textId="77777777" w:rsidR="00C04533" w:rsidRDefault="00C04533" w:rsidP="00C04533">
      <w:pPr>
        <w:pStyle w:val="TextoNormal"/>
      </w:pPr>
    </w:p>
    <w:p w14:paraId="40341088" w14:textId="77777777" w:rsidR="00C04533" w:rsidRDefault="00C04533" w:rsidP="00C04533">
      <w:pPr>
        <w:pStyle w:val="TextoNormal"/>
      </w:pPr>
      <w:r>
        <w:t>Aparte de esos pagos, sigue declarando como hechos probados la sentencia, “en fecha no determinada pero antes del 15 de abril de 2019, la acusada, con igual ánimo de enriquecerse ilícitamente, y con ocasión de la venta de un inmueble por 230 000 €, convenció a O.M.B., y a E.M.B., para que el dinero que recibieran de la compraventa se lo transfirieran a ella, haciéndoles creer que dichas cantidades serían aplicadas al pago de la deuda tributaria”, lo que sin embargo no hizo y que “[i]gualmente, el acusado, siendo conocedor de la intención de su mujer, facilitó su cuenta corriente, cooperando así en la realización de los hechos. Como consecuencia del impago, la deuda tributaria de E.M.B., asciende a 188 820, 68 € en concepto de principal y 12 692,52 € en concepto de intereses, a fecha 7 de mayo de 2021. Por su parte, la deuda tributaria de O.M.B., asciende a 46 784,25 € en concepto de principal y 3148,03 € en concepto de intereses, a fecha 7 de mayo de 2021”.</w:t>
      </w:r>
    </w:p>
    <w:p w14:paraId="2EFFB186" w14:textId="77777777" w:rsidR="00C04533" w:rsidRDefault="00C04533" w:rsidP="00C04533">
      <w:pPr>
        <w:pStyle w:val="TextoNormal"/>
      </w:pPr>
    </w:p>
    <w:p w14:paraId="568727E3" w14:textId="77777777" w:rsidR="00C04533" w:rsidRDefault="00C04533" w:rsidP="00C04533">
      <w:pPr>
        <w:pStyle w:val="TextoNormal"/>
      </w:pPr>
      <w:r>
        <w:t>Por su lado, en el fundamento de Derecho primero (en realidad, único) de la sentencia, en lo que hace a la medida de suspensión de las penas de prisión de los acusados, se indica:</w:t>
      </w:r>
    </w:p>
    <w:p w14:paraId="4132648D" w14:textId="77777777" w:rsidR="00C04533" w:rsidRDefault="00C04533" w:rsidP="00C04533">
      <w:pPr>
        <w:pStyle w:val="TextoNormal"/>
      </w:pPr>
    </w:p>
    <w:p w14:paraId="3F7ED171" w14:textId="77777777" w:rsidR="00C04533" w:rsidRDefault="00C04533" w:rsidP="00C04533">
      <w:pPr>
        <w:pStyle w:val="TextoNormal"/>
      </w:pPr>
      <w:r>
        <w:t>“Dada la solicitud de las defensas sobre suspensión de la ejecución de la pena privativa de libertad impuesta a ambos condenados en sus respectivos casos en los términos que constan en acta, y no oponiéndose el Ministerio Fiscal a su concesión, al amparo de lo dispuesto en el art. 80 CP y concordantes, condicionada a que no delincan en el plazo de cinco años y al abono de la responsabilidad civil en los términos del plan de pagos que consta en acta, se acordó dicha suspensión conforme consta en la parte dispositiva de la presente resolución”.</w:t>
      </w:r>
    </w:p>
    <w:p w14:paraId="48E650A4" w14:textId="77777777" w:rsidR="00C04533" w:rsidRDefault="00C04533" w:rsidP="00C04533">
      <w:pPr>
        <w:pStyle w:val="TextoNormal"/>
      </w:pPr>
    </w:p>
    <w:p w14:paraId="6C7C6C31" w14:textId="77777777" w:rsidR="00C04533" w:rsidRDefault="00C04533" w:rsidP="00C04533">
      <w:pPr>
        <w:pStyle w:val="TextoNormal"/>
      </w:pPr>
      <w:r>
        <w:t xml:space="preserve">b) En el acta de la vista oral levantada por la letrada de la administración de justicia de la Sección de enjuiciamiento en la misma fecha de la sentencia (27 de noviembre de 2023), se indica que “[a]ntes de iniciarse la práctica de la prueba, la acusación y la/s defensa/s con la conformidad del acusado presente, piden a S.S. que proceda a dictar sentencia de conformidad con el escrito de acusación que contiene pena de mayor gravedad”, con algunas modificaciones que se aceptan por todas las partes, de modo que “[i]nformando al acusado [sic] de sus consecuencias, conforme al art. 787.1 de la Ley de enjuiciamiento criminal, muestra este [sic] libremente su conformidad no entendiendo su defensa necesaria la continuación del juicio oral. Por todo ello se procede por S.S. a emitir fallo anticipado condenatorio </w:t>
      </w:r>
      <w:r w:rsidRPr="00C04533">
        <w:rPr>
          <w:i/>
        </w:rPr>
        <w:t>in voce</w:t>
      </w:r>
      <w:r>
        <w:t>, sin perjuicio de su posterior documentación”, transcribiendo a continuación lo que luego se plasma —de manera prácticamente idéntica— en el fallo de la sentencia. Respecto de la suspensión de las penas de prisión, el acta recoge:</w:t>
      </w:r>
    </w:p>
    <w:p w14:paraId="10D18003" w14:textId="77777777" w:rsidR="00C04533" w:rsidRDefault="00C04533" w:rsidP="00C04533">
      <w:pPr>
        <w:pStyle w:val="TextoNormal"/>
      </w:pPr>
    </w:p>
    <w:p w14:paraId="034E8B9A" w14:textId="77777777" w:rsidR="00C04533" w:rsidRDefault="00C04533" w:rsidP="00C04533">
      <w:pPr>
        <w:pStyle w:val="TextoNormal"/>
      </w:pPr>
      <w:r>
        <w:t>“Las partes manifiestan su voluntad de no recurrir por lo que se declara la firmeza de la sentencia.</w:t>
      </w:r>
    </w:p>
    <w:p w14:paraId="1257BEBF" w14:textId="77777777" w:rsidR="00C04533" w:rsidRDefault="00C04533" w:rsidP="00C04533">
      <w:pPr>
        <w:pStyle w:val="TextoNormal"/>
      </w:pPr>
    </w:p>
    <w:p w14:paraId="1DCFC262" w14:textId="77777777" w:rsidR="00C04533" w:rsidRDefault="00C04533" w:rsidP="00C04533">
      <w:pPr>
        <w:pStyle w:val="TextoNormal"/>
      </w:pPr>
      <w:r>
        <w:t>Con posterioridad, los letrados de las defensas solicitan que se le conceda a su cliente el beneficio de suspensión de la ejecución de la pena de prisión proponiendo el siguiente plan de pagos: primer pago antes del 26 de diciembre de 2023 la cuantía [de] 140 000 €; segundo pago antes del 13 de enero de 2024 la cuantía de 170 000 € y con relación al resto de responsabilidad civil que asciende [a] 35 840,59 € se abonará en el plazo máximo de dos años fijándose a finales de febrero de 2024 el fraccionamiento de dicha cuantía con la conformidad de la acusación particular y dado que el Ministerio Fiscal no se opone a su concesión siempre que, al amparo de los artículos 80 CP y concordantes, se condicione a no delinquir en el plazo de cinco años condicionada a no delinquir en dicho periodo y al abono de la responsabilidad civil.</w:t>
      </w:r>
    </w:p>
    <w:p w14:paraId="107AD27F" w14:textId="77777777" w:rsidR="00C04533" w:rsidRDefault="00C04533" w:rsidP="00C04533">
      <w:pPr>
        <w:pStyle w:val="TextoNormal"/>
      </w:pPr>
    </w:p>
    <w:p w14:paraId="007C6F93" w14:textId="77777777" w:rsidR="00C04533" w:rsidRDefault="00C04533" w:rsidP="00C04533">
      <w:pPr>
        <w:pStyle w:val="TextoNormal"/>
      </w:pPr>
      <w:r>
        <w:t>Se acuerda la suspensión de la ejecución de las penas de prisión para ambos condenados por plazo de cinco años condicionada al cumplimiento de lo siguiente:</w:t>
      </w:r>
    </w:p>
    <w:p w14:paraId="2E05CE50" w14:textId="77777777" w:rsidR="00C04533" w:rsidRDefault="00C04533" w:rsidP="00C04533">
      <w:pPr>
        <w:pStyle w:val="TextoNormal"/>
      </w:pPr>
    </w:p>
    <w:p w14:paraId="727E0DB6" w14:textId="77777777" w:rsidR="00C04533" w:rsidRDefault="00C04533" w:rsidP="00C04533">
      <w:pPr>
        <w:pStyle w:val="TextoNormal"/>
      </w:pPr>
      <w:r>
        <w:t>1) Que el penado no sea nuevamente condenado por un delito cometido durante el periodo de la suspensión que comenzará a computar desde la notificación de la presente sentencia y se extenderá durante cinco años.</w:t>
      </w:r>
    </w:p>
    <w:p w14:paraId="1814DC8B" w14:textId="77777777" w:rsidR="00C04533" w:rsidRDefault="00C04533" w:rsidP="00C04533">
      <w:pPr>
        <w:pStyle w:val="TextoNormal"/>
      </w:pPr>
    </w:p>
    <w:p w14:paraId="0B87E151" w14:textId="77777777" w:rsidR="00C04533" w:rsidRDefault="00C04533" w:rsidP="00C04533">
      <w:pPr>
        <w:pStyle w:val="TextoNormal"/>
      </w:pPr>
      <w:r>
        <w:t>2) Que haga frente a la responsabilidad civil a la que ha sido condenado con el plan de pagos siguiente: primer pago antes del 26 de diciembre de 2023 la cuantía [de] 140 000 €; segundo pago antes del 13 de enero de 2024 la cuantía de 170 000 € y con relación al resto de responsabilidad civil que asciende [a] 35 840,59 € se abonará en el plazo máximo de dos años fijándose a finales de febrero de 2024 el fraccionamiento de dicha cuantía con la conformidad de la acusación particular.</w:t>
      </w:r>
    </w:p>
    <w:p w14:paraId="62B72037" w14:textId="77777777" w:rsidR="00C04533" w:rsidRDefault="00C04533" w:rsidP="00C04533">
      <w:pPr>
        <w:pStyle w:val="TextoNormal"/>
      </w:pPr>
    </w:p>
    <w:p w14:paraId="29FDAA10" w14:textId="77777777" w:rsidR="00C04533" w:rsidRDefault="00C04533" w:rsidP="00C04533">
      <w:pPr>
        <w:pStyle w:val="TextoNormal"/>
      </w:pPr>
      <w:r>
        <w:t>Se le apercibe que en el caso de incumplimiento de cualquiera de estas condiciones se revocaría la suspensión siempre y se ordenaría que cumpliera la pena de prisión.</w:t>
      </w:r>
    </w:p>
    <w:p w14:paraId="45AB0CE1" w14:textId="77777777" w:rsidR="00C04533" w:rsidRDefault="00C04533" w:rsidP="00C04533">
      <w:pPr>
        <w:pStyle w:val="TextoNormal"/>
      </w:pPr>
    </w:p>
    <w:p w14:paraId="4918BBE1" w14:textId="77777777" w:rsidR="00C04533" w:rsidRDefault="00C04533" w:rsidP="00C04533">
      <w:pPr>
        <w:pStyle w:val="TextoNormal"/>
      </w:pPr>
      <w:r>
        <w:t>En este acto se requiere por la letrada de la administración de justicia a la suspensión de las penas privativas de libertad y el abono de la responsabilidad civil.</w:t>
      </w:r>
    </w:p>
    <w:p w14:paraId="124F4572" w14:textId="77777777" w:rsidR="00C04533" w:rsidRDefault="00C04533" w:rsidP="00C04533">
      <w:pPr>
        <w:pStyle w:val="TextoNormal"/>
      </w:pPr>
    </w:p>
    <w:p w14:paraId="4426573F" w14:textId="77777777" w:rsidR="00C04533" w:rsidRDefault="00C04533" w:rsidP="00C04533">
      <w:pPr>
        <w:pStyle w:val="TextoNormal"/>
      </w:pPr>
      <w:r>
        <w:t>Se da por concluido el acto. De todo ello extiendo [la] presente acta que leída es hallada conforme por todos los intervinientes que en prueba de ello firman con S.S. Doy fe”.</w:t>
      </w:r>
    </w:p>
    <w:p w14:paraId="7B9E3636" w14:textId="77777777" w:rsidR="00C04533" w:rsidRDefault="00C04533" w:rsidP="00C04533">
      <w:pPr>
        <w:pStyle w:val="TextoNormal"/>
      </w:pPr>
    </w:p>
    <w:p w14:paraId="7F703C26" w14:textId="77777777" w:rsidR="00C04533" w:rsidRDefault="00C04533" w:rsidP="00C04533">
      <w:pPr>
        <w:pStyle w:val="TextoNormal"/>
      </w:pPr>
      <w:r>
        <w:t>c) Firme la sentencia, por auto de la misma Sección Sexta de la Audiencia Provincial de Santa Cruz de Tenerife de 9 de febrero de 2024, dictada ya en la ejecutoria núm. 52-2023, se acordó revocar la suspensión de la ejecución de las penas de prisión impuestas a los acusados aquí demandantes de amparo, al haber incumplido estos el “compromiso de pago a que se comprometieron […]; habiendo ingresado la cantidad irrisoria de 8852,77 €” frente a las cantidades que ambos estaban obligados a satisfacer antes del 26 de diciembre de 2023 (140 000 €) y antes del 13 de enero de 2024 (170 000 €), no constando tampoco abono alguno de la cantidad fraccionada para su pago en un plazo máximo de dos años desde la sentencia (35 840,59 €).</w:t>
      </w:r>
    </w:p>
    <w:p w14:paraId="64983C87" w14:textId="77777777" w:rsidR="00C04533" w:rsidRDefault="00C04533" w:rsidP="00C04533">
      <w:pPr>
        <w:pStyle w:val="TextoNormal"/>
      </w:pPr>
    </w:p>
    <w:p w14:paraId="62CA4FA0" w14:textId="77777777" w:rsidR="00C04533" w:rsidRDefault="00C04533" w:rsidP="00C04533">
      <w:pPr>
        <w:pStyle w:val="TextoNormal"/>
      </w:pPr>
      <w:r>
        <w:t>d) Interpuesto recurso de súplica contra la anterior resolución, el mismo fue estimado por auto de la propia Sección de ejecución de 8 de abril de 2024, al haberse omitido el trámite de audiencia previa al Ministerio Fiscal y a la defensa de estos últimos que contempla el art. 86.4 del Código penal (CP), para poder revocar la previa suspensión de la ejecución de penas de prisión. En consecuencia, se acordó darles el traslado referido, con citación para la celebración de la vista oral “conforme al párrafo segundo del citado precepto”.</w:t>
      </w:r>
    </w:p>
    <w:p w14:paraId="504E3E07" w14:textId="77777777" w:rsidR="00C04533" w:rsidRDefault="00C04533" w:rsidP="00C04533">
      <w:pPr>
        <w:pStyle w:val="TextoNormal"/>
      </w:pPr>
    </w:p>
    <w:p w14:paraId="71F000FD" w14:textId="77777777" w:rsidR="00C04533" w:rsidRDefault="00C04533" w:rsidP="00C04533">
      <w:pPr>
        <w:pStyle w:val="TextoNormal"/>
      </w:pPr>
      <w:r>
        <w:t>e) De acuerdo con el acta de la comparecencia del art. 86.4 CP suscrita por la letrada de la administración de justicia de la Sección de ejecución el 19 de abril de 2024, consta que los “cocondenados” manifestaron:</w:t>
      </w:r>
    </w:p>
    <w:p w14:paraId="2D5DD315" w14:textId="77777777" w:rsidR="00C04533" w:rsidRDefault="00C04533" w:rsidP="00C04533">
      <w:pPr>
        <w:pStyle w:val="TextoNormal"/>
      </w:pPr>
    </w:p>
    <w:p w14:paraId="3B5C6D4A" w14:textId="77777777" w:rsidR="00C04533" w:rsidRDefault="00C04533" w:rsidP="00C04533">
      <w:pPr>
        <w:pStyle w:val="TextoNormal"/>
      </w:pPr>
      <w:r>
        <w:t>“1º Que siguen manteniendo su voluntad de cumplir con los planes de pago […] acordad[o]s en el juicio de conformidad, [que] dependía el abono de la cuantía de tercera persona quien iba a realizar un préstamo a los hoy comparecientes con resultado infructuoso ya que a la tercera persona se le ha demorado el recibo de cuantía económica por ejecución de herencia lo que impidió la concesión del préstamo, por lo que solicitan la concesión de ampliación del plazo ya concedido, aproximadamente por un año. […].</w:t>
      </w:r>
    </w:p>
    <w:p w14:paraId="2B827003" w14:textId="77777777" w:rsidR="00C04533" w:rsidRDefault="00C04533" w:rsidP="00C04533">
      <w:pPr>
        <w:pStyle w:val="TextoNormal"/>
      </w:pPr>
    </w:p>
    <w:p w14:paraId="1056565E" w14:textId="77777777" w:rsidR="00C04533" w:rsidRDefault="00C04533" w:rsidP="00C04533">
      <w:pPr>
        <w:pStyle w:val="TextoNormal"/>
      </w:pPr>
      <w:r>
        <w:t>2º Que su situación económica es precaria, residiendo actualmente en una vivienda de alquiler, frente a la cual se ha dictado sentencia condenatoria de desahucio […].</w:t>
      </w:r>
    </w:p>
    <w:p w14:paraId="2A000B29" w14:textId="77777777" w:rsidR="00C04533" w:rsidRDefault="00C04533" w:rsidP="00C04533">
      <w:pPr>
        <w:pStyle w:val="TextoNormal"/>
      </w:pPr>
    </w:p>
    <w:p w14:paraId="5BF39F88" w14:textId="77777777" w:rsidR="00C04533" w:rsidRDefault="00C04533" w:rsidP="00C04533">
      <w:pPr>
        <w:pStyle w:val="TextoNormal"/>
      </w:pPr>
      <w:r>
        <w:t>3º Doña Zenaida ha estado de baja médica con incapacidad temporal percibiendo 672,56 € en la última mensualidad pagada por Fremap […], habiendo solicitado el alta médica.</w:t>
      </w:r>
    </w:p>
    <w:p w14:paraId="165034A5" w14:textId="77777777" w:rsidR="00C04533" w:rsidRDefault="00C04533" w:rsidP="00C04533">
      <w:pPr>
        <w:pStyle w:val="TextoNormal"/>
      </w:pPr>
    </w:p>
    <w:p w14:paraId="0FCFAA0F" w14:textId="77777777" w:rsidR="00C04533" w:rsidRDefault="00C04533" w:rsidP="00C04533">
      <w:pPr>
        <w:pStyle w:val="TextoNormal"/>
      </w:pPr>
      <w:r>
        <w:t>4º Don José Antonio está como demandante de empleo y no cobra subsidio alguno.</w:t>
      </w:r>
    </w:p>
    <w:p w14:paraId="3AF2D8EC" w14:textId="77777777" w:rsidR="00C04533" w:rsidRDefault="00C04533" w:rsidP="00C04533">
      <w:pPr>
        <w:pStyle w:val="TextoNormal"/>
      </w:pPr>
    </w:p>
    <w:p w14:paraId="0B140EEA" w14:textId="77777777" w:rsidR="00C04533" w:rsidRDefault="00C04533" w:rsidP="00C04533">
      <w:pPr>
        <w:pStyle w:val="TextoNormal"/>
      </w:pPr>
      <w:r>
        <w:t>5º Ambos cocondenados tienen deudas con la Agencia Estatal de Administración Tributaria, Seguridad Social, por lo que han sido objeto de embargos […].</w:t>
      </w:r>
    </w:p>
    <w:p w14:paraId="06DFEAA0" w14:textId="77777777" w:rsidR="00C04533" w:rsidRDefault="00C04533" w:rsidP="00C04533">
      <w:pPr>
        <w:pStyle w:val="TextoNormal"/>
      </w:pPr>
    </w:p>
    <w:p w14:paraId="4A364527" w14:textId="77777777" w:rsidR="00C04533" w:rsidRDefault="00C04533" w:rsidP="00C04533">
      <w:pPr>
        <w:pStyle w:val="TextoNormal"/>
      </w:pPr>
      <w:r>
        <w:t>6º Doña Zenaida, tiene un pleito con el BBVA reclamando una indemnización que de fallar a favor de la condenada, podría suponer el recibo de una cuantía económica importante y que destinaría al pago de la responsabilidad civil que se ejecuta […].</w:t>
      </w:r>
    </w:p>
    <w:p w14:paraId="085AEF32" w14:textId="77777777" w:rsidR="00C04533" w:rsidRDefault="00C04533" w:rsidP="00C04533">
      <w:pPr>
        <w:pStyle w:val="TextoNormal"/>
      </w:pPr>
    </w:p>
    <w:p w14:paraId="1EF7A0EC" w14:textId="77777777" w:rsidR="00C04533" w:rsidRDefault="00C04533" w:rsidP="00C04533">
      <w:pPr>
        <w:pStyle w:val="TextoNormal"/>
      </w:pPr>
      <w:r>
        <w:t>7º […] [E]l inmueble que doña Zenaida tiene en Puerto del Rosario, que está puesto a la venta y fue objeto de un contrato de arras con entrega de 8000 € en concepto de arras que fue ingresado por doña Zenaida en la cuenta de consignaciones el 15 de enero de 2024, sin embargo no se ha podido finalizar la venta por cuanto que pese a que la hipoteca de la vivienda ya fue abonada en su totalidad por doña Zenaida, la entidad Silverstone, a favor de la cual consta dicho préstamo hipotecario en el registro de la propiedad, se ha negado a cancelarla, en tanto doña Zenaida [no] le abone 12 000 € sin especificarle en concepto de qué le están exigiendo dicha cuantía, pues ello superaría con creces los gastos de cancelación. Por este motivo, la señora [doña Zenaida] entablará procedimiento judicial contra Silverstone para que proceda a la cancelación de la hipoteca y a la devolución de unos 45 000-50 000 €. Doña Zenaida ha llegado a un acuerdo con la compradora, para que ella empiece a pagar [un] alquiler mensual de 750 € mientras se consigue la cancelación de la hipoteca para poder vender la vivienda. La cuantía del alquiler será ingresada por los condenados a los fines de aminorar la responsabilidad civil”.</w:t>
      </w:r>
    </w:p>
    <w:p w14:paraId="21AE9E7F" w14:textId="77777777" w:rsidR="00C04533" w:rsidRDefault="00C04533" w:rsidP="00C04533">
      <w:pPr>
        <w:pStyle w:val="TextoNormal"/>
      </w:pPr>
    </w:p>
    <w:p w14:paraId="462BB2CF" w14:textId="77777777" w:rsidR="00C04533" w:rsidRDefault="00C04533" w:rsidP="00C04533">
      <w:pPr>
        <w:pStyle w:val="TextoNormal"/>
      </w:pPr>
      <w:r>
        <w:t>En el acta se añade por la abogada de los condenados, la cita de la “STC [32/2022] de 7 de marzo, […] en particular conforme a los fundamentos jurídicos 3 y 4 de la misma”, en el sentido de que “la posibilidad de revocación de la suspensión no cabe ante una imposibilidad sobrevenida de pago, debiendo valorarse la situación económica de los penados en el momento en el que se celebra la audiencia del art. 86.4 CP”; doctrina que sería aplicable a sus defendidos al haber quedado impagada la responsabilidad civil por su falta de capacidad económica y no por falta de voluntad de pago.</w:t>
      </w:r>
    </w:p>
    <w:p w14:paraId="278BC264" w14:textId="77777777" w:rsidR="00C04533" w:rsidRDefault="00C04533" w:rsidP="00C04533">
      <w:pPr>
        <w:pStyle w:val="TextoNormal"/>
      </w:pPr>
    </w:p>
    <w:p w14:paraId="520FC4B0" w14:textId="77777777" w:rsidR="00C04533" w:rsidRDefault="00C04533" w:rsidP="00C04533">
      <w:pPr>
        <w:pStyle w:val="TextoNormal"/>
      </w:pPr>
      <w:r>
        <w:t>f) Tras la celebración de la comparecencia del art. 86.4 CP, la Sección de ejecución dictó auto el 13 de mayo de 2024 por el que revocó la suspensión de la ejecución de las penas de prisión impuestas a los dos demandantes de amparo. En el fundamento de Derecho único se motivó la decisión en los términos siguientes:</w:t>
      </w:r>
    </w:p>
    <w:p w14:paraId="18852203" w14:textId="77777777" w:rsidR="00C04533" w:rsidRDefault="00C04533" w:rsidP="00C04533">
      <w:pPr>
        <w:pStyle w:val="TextoNormal"/>
      </w:pPr>
    </w:p>
    <w:p w14:paraId="0F633FBB" w14:textId="77777777" w:rsidR="00C04533" w:rsidRDefault="00C04533" w:rsidP="00C04533">
      <w:pPr>
        <w:pStyle w:val="TextoNormal"/>
      </w:pPr>
      <w:r>
        <w:t>“Único.- Habida cuenta del incumplimiento por los condenados del compromiso de pago a que se comprometieron como condición de la suspensión de la ejecución de las penas privativas de libertad a que fueron condenados; habiendo ingresado la cantidad irrisoria de 8852,77 €, frente a la de 140 000 € a cuyo pago se comprometieron expresamente antes del día 26 de diciembre de 2023 y la de 170 000 € antes del 13 de enero de 2024, sin que tampoco hayan verificado el abono del resto de la cantidad de 35 840,59 € en el plazo máximo de dos años desde la sentencia, sin que las razones expuestas en la comparecencia celebrada con arreglo al art. 86.4 CP evidencien una situación distinta sustancialmente a la que ya existía en el momento en que contrayeron [sic] el compromiso de pago referido, que dio lugar al dictado de sentencia de conformidad con imposición de penas muy inferiores a las solicitadas por las acusaciones y que se estableció como condición expresa de la suspensión de la ejecución de la condena, ha de revocarse el beneficio de la suspensión de la ejecución de las penas de prisión a que ambos fueron condenados”.</w:t>
      </w:r>
    </w:p>
    <w:p w14:paraId="6367F04D" w14:textId="77777777" w:rsidR="00C04533" w:rsidRDefault="00C04533" w:rsidP="00C04533">
      <w:pPr>
        <w:pStyle w:val="TextoNormal"/>
      </w:pPr>
    </w:p>
    <w:p w14:paraId="51E5EA22" w14:textId="77777777" w:rsidR="00C04533" w:rsidRDefault="00C04533" w:rsidP="00C04533">
      <w:pPr>
        <w:pStyle w:val="TextoNormal"/>
      </w:pPr>
      <w:r>
        <w:t>g) Los recurrentes interpusieron recurso de súplica alegando la vulneración del derecho a la tutela judicial efectiva (art. 24.1 CE), al no haber ponderado la resolución recurrida que el incumplimiento del pago de las responsabilidades civiles fue involuntario, ocasionado por carecer ambos de capacidad económica al tener deudas con la Agencia Estatal de Administración Tributaria y la Tesorería General de la Seguridad Social, y no haber podido vender una vivienda sita en Puerto del Rosario, estando dispuestos a abonar la cantidad de 750 € mensuales una vez se celebrase el arrendamiento de aquella vivienda con la parte compradora; en definitiva había empeorado su situación económica respecto de la que tenían cuando se comprometieron con el plan de pagos recogido como condición de la suspensión de sus penas de prisión.</w:t>
      </w:r>
    </w:p>
    <w:p w14:paraId="3B27F4D8" w14:textId="77777777" w:rsidR="00C04533" w:rsidRDefault="00C04533" w:rsidP="00C04533">
      <w:pPr>
        <w:pStyle w:val="TextoNormal"/>
      </w:pPr>
    </w:p>
    <w:p w14:paraId="1334D790" w14:textId="77777777" w:rsidR="00C04533" w:rsidRDefault="00C04533" w:rsidP="00C04533">
      <w:pPr>
        <w:pStyle w:val="TextoNormal"/>
      </w:pPr>
      <w:r>
        <w:t>La Sección competente desestimó el citado recurso de súplica mediante auto de 11 de junio de 2024, confirmando en su integridad el auto de 13 de mayo de 2024 y concediendo a los condenados el plazo de diez días “para su ingreso voluntario en el centro penitenciario a fin de que cumplan efectivamente las penas impuestas”. En el fundamento de Derecho segundo se razonó así la decisión adoptada:</w:t>
      </w:r>
    </w:p>
    <w:p w14:paraId="0EE4BF99" w14:textId="77777777" w:rsidR="00C04533" w:rsidRDefault="00C04533" w:rsidP="00C04533">
      <w:pPr>
        <w:pStyle w:val="TextoNormal"/>
      </w:pPr>
    </w:p>
    <w:p w14:paraId="2D351194" w14:textId="77777777" w:rsidR="00C04533" w:rsidRDefault="00C04533" w:rsidP="00C04533">
      <w:pPr>
        <w:pStyle w:val="TextoNormal"/>
      </w:pPr>
      <w:r>
        <w:t>“Sin perjuicio de las manifestaciones que en el ejercicio legítimo del derecho de defensa de sus intereses tienen los condenados en la presente ejecutoria, en el auto recurrido se han tenido en cuenta las alegaciones expresadas por los recurrentes, que son coincidentes con las que fueron expuestas por los mismos en la comparecencia celebrada ante este órgano con arreglo al art. 86.4 CP, y así se consideró que, pese a tales alegaciones, no se evidencia en los mismos una situación distinta, sustancialmente, a la que concurría cuando los condenados convinieron en llevar a cabo cumplidamente el compromiso de pago, que se vinculó, además, como condición de la suspensión de la ejecución de las penas privativas de libertad, y que por otra parte, pero no menos importante, dio lugar a una significativa rebaja de penas frente a las solicitadas inicialmente por las acusaciones.</w:t>
      </w:r>
    </w:p>
    <w:p w14:paraId="02A96C4F" w14:textId="77777777" w:rsidR="00C04533" w:rsidRDefault="00C04533" w:rsidP="00C04533">
      <w:pPr>
        <w:pStyle w:val="TextoNormal"/>
      </w:pPr>
    </w:p>
    <w:p w14:paraId="493DB5FD" w14:textId="77777777" w:rsidR="00C04533" w:rsidRDefault="00C04533" w:rsidP="00C04533">
      <w:pPr>
        <w:pStyle w:val="TextoNormal"/>
      </w:pPr>
      <w:r>
        <w:t>Así las cosas, el fraccionamiento que se solicita por eventuales ingresos del contrato de alquiler de la vivienda a que se refiere la defensa de los condenados, no puede ser considerado como fundamento del mantenimiento de la suspensión de la pena; ni por su escasa cuantía, 750 € al mes, frente al monto de la cantidad total adeudada, 354 692 €; ni ante el incumplimiento frontal y dilatado en el tiempo del compromiso de pago que ambos suscribieron ante este tribunal para beneficiarse de una reducción de pena y como condición de la suspensión, habiendo ingresado únicamente la cantidad de 8852,77 € frente a los 140 000 € que debieron abonar antes del 26 de diciembre de 2023, o los 170 000 € que debían abonar antes del 13 de enero de 2024, y sin que se apunte viabilidad alguna al pago del resto del compromiso de pago de 35 840,59 € en [el] plazo máximo de dos años desde la sentencia condenatoria.</w:t>
      </w:r>
    </w:p>
    <w:p w14:paraId="22CB5277" w14:textId="77777777" w:rsidR="00C04533" w:rsidRDefault="00C04533" w:rsidP="00C04533">
      <w:pPr>
        <w:pStyle w:val="TextoNormal"/>
      </w:pPr>
    </w:p>
    <w:p w14:paraId="666DFA70" w14:textId="3DD74DBD" w:rsidR="00C04533" w:rsidRDefault="00C04533" w:rsidP="00C04533">
      <w:pPr>
        <w:pStyle w:val="TextoNormal"/>
      </w:pPr>
      <w:r>
        <w:t>Por todo ello, la revocación de la suspensión de la ejecución de las penas privativas de libertad impuestas a los condenados efectuada en la resolución recurrida se ajusta a lo dispuesto en el art. 86.1 d) CP, por lo que debe desestimarse el recurso de súplica y confirmarse el auto recurrido, acordándose el inmediato ingreso en prisión de los condenados para que cumplan efectivamente las penas impuestas”.</w:t>
      </w:r>
    </w:p>
    <w:p w14:paraId="0B6A46B3" w14:textId="77777777" w:rsidR="00C04533" w:rsidRDefault="00C04533" w:rsidP="00C04533">
      <w:pPr>
        <w:pStyle w:val="TextoNormal"/>
      </w:pPr>
    </w:p>
    <w:p w14:paraId="47E0B7DD" w14:textId="77777777" w:rsidR="00C04533" w:rsidRDefault="00C04533" w:rsidP="00C04533">
      <w:pPr>
        <w:pStyle w:val="TextoNormal"/>
      </w:pPr>
      <w:r w:rsidRPr="00C04533">
        <w:rPr>
          <w:rStyle w:val="NumeroAFNegritaCaracter"/>
        </w:rPr>
        <w:t>3</w:t>
      </w:r>
      <w:r>
        <w:t>. En la demanda de amparo se alega como motivo único la “vulneración del derecho a la tutela judicial efectiva del artículo 24.1 CE, en su vertiente del deber de motivación reforzado por falta de ponderación de las circunstancias determinantes del impago de la responsabilidad civil para revocar el beneficio de suspensión de la condena en relación con el derecho a la libertad personal del artículo 17 CE”. Se explica que deben ponderarse las circunstancias por las que el art. 86 CP vincula la posibilidad de revocación de la suspensión de una pena privativa de libertad, con base en las “circunstancias personales actualizadas” del condenado, haciendo cita de la STC 32/2022, de la que reproduce varios de los párrafos de su fundamentación jurídica. Añade que los dos autos impugnados en amparo “simplemente hacen alusión al incumplimiento frontal y dilatado en el tiempo del compromiso de pago suscrito por los dos condenados y al beneficio de la reducción de la pena por parte de los mismos, olvidando la intención de estos de cumplir, (para eso están haciendo pagos parciales pese a carecer de ingresos), y la importantísima falta de capacidad económica de ambos, circunstancia que es verdad que los condenados tenían en el momento de firmar el plan de pagos, pero con una notable diferencia y es que ambos contaban con conseguir un crédito personal que finalmente no tuvo éxito”. Que no se ha acreditado que “el incumplimiento total del plan de pagos realizado por los dos demandantes, revele una voluntad de burlar la decisión judicial de rebajar la pena con esa condición”, de modo que los autos impugnados no cumplen con “la exigencia constitucional de motivación y ponderación de las verdaderas circunstancias económicas de los condenados, conforme exigen los artículos 24.1 y 17 de la Constitución Española”. El escrito cita de nuevo pasajes de la STC 32/2022, y aquellos no mencionan bienes ni emolumentos de los recurrentes que permitan conocer la solvencia parcial que se les atribuye. Más adelante se cita la STC 39/2024, de 11 de marzo, dictada en la misma materia, y se alega que la constatación de solo haber abonado 8852,77 €, del total del plan de pagos, y que ese plan de pagos permitió a los recurrentes una significativa rebaja de sus penas, no determina “de forma automática” que debiera desestimarse su recurso de súplica contra el auto de 13 de mayo de este año, reiterando lo expuesto en ese recurso acerca de sus dificultades para vender el inmueble propiedad de la recurrente; que han empezado a cobrar 750 € de alquiler, y que viven con 700 € al mes. Finalmente se hace cita del ATC 3/2018, de 23 de enero, sobre la importancia de esclarecer si en el caso concreto el impago de la responsabilidad civil se ha producido por una verdadera situación de insolvencia o por un incumplimiento deliberado; así como de nuevo la STC 32/2022, sobre el canon reforzado de motivación en este ámbito.</w:t>
      </w:r>
    </w:p>
    <w:p w14:paraId="2BBAF456" w14:textId="77777777" w:rsidR="00C04533" w:rsidRDefault="00C04533" w:rsidP="00C04533">
      <w:pPr>
        <w:pStyle w:val="TextoNormal"/>
      </w:pPr>
    </w:p>
    <w:p w14:paraId="29FBA13C" w14:textId="77777777" w:rsidR="00C04533" w:rsidRDefault="00C04533" w:rsidP="00C04533">
      <w:pPr>
        <w:pStyle w:val="TextoNormal"/>
      </w:pPr>
      <w:r>
        <w:t>En el suplico de la demanda se pide el dictado por este tribunal de una sentencia que reconozca la vulneración de los derechos fundamentales a la libertad y a la tutela judicial efectiva de los recurrentes, por falta de motivación de los autos impugnados, con nulidad de estos y de todas las actuaciones posteriores dirigidas a la ejecución de las penas de prisión impuestas, y el restablecimiento a los recurrentes “en la integridad de sus derechos”.</w:t>
      </w:r>
    </w:p>
    <w:p w14:paraId="066ABC92" w14:textId="77777777" w:rsidR="00C04533" w:rsidRDefault="00C04533" w:rsidP="00C04533">
      <w:pPr>
        <w:pStyle w:val="TextoNormal"/>
      </w:pPr>
    </w:p>
    <w:p w14:paraId="1EC4C634" w14:textId="77777777" w:rsidR="00C04533" w:rsidRDefault="00C04533" w:rsidP="00C04533">
      <w:pPr>
        <w:pStyle w:val="TextoNormal"/>
      </w:pPr>
      <w:r>
        <w:t>Mediante otrosí digo se solicitó la suspensión cautelar de la ejecución de los autos recurridos, conforme al art. 56 de la Ley Orgánica del Tribunal Constitucional (LOTC), al tratarse de una condena a penas de prisión no superiores a cinco años, con la posibilidad de que esta se cumpla “incluso antes de haberse resuelto el recurso de amparo”, con lo que la finalidad de este se perderá y “el perjuicio causado […] será irreparable”.</w:t>
      </w:r>
    </w:p>
    <w:p w14:paraId="2604F747" w14:textId="77777777" w:rsidR="00C04533" w:rsidRDefault="00C04533" w:rsidP="00C04533">
      <w:pPr>
        <w:pStyle w:val="TextoNormal"/>
      </w:pPr>
    </w:p>
    <w:p w14:paraId="48729E20" w14:textId="77777777" w:rsidR="00C04533" w:rsidRDefault="00C04533" w:rsidP="00C04533">
      <w:pPr>
        <w:pStyle w:val="TextoNormal"/>
      </w:pPr>
      <w:r>
        <w:t>Y por un “segundo otrosí digo” el escrito de demanda vino a justificar el requisito de la especial trascendencia constitucional del recurso [arts. 49.1 y 50.1 b) LOTC] del modo siguiente:</w:t>
      </w:r>
    </w:p>
    <w:p w14:paraId="6F11A3C6" w14:textId="77777777" w:rsidR="00C04533" w:rsidRDefault="00C04533" w:rsidP="00C04533">
      <w:pPr>
        <w:pStyle w:val="TextoNormal"/>
      </w:pPr>
    </w:p>
    <w:p w14:paraId="7AFA7F5F" w14:textId="77777777" w:rsidR="00C04533" w:rsidRDefault="00C04533" w:rsidP="00C04533">
      <w:pPr>
        <w:pStyle w:val="TextoNormal"/>
      </w:pPr>
      <w:r>
        <w:t>“Que, a los efectos procesales oportunos, vengo expresamente a justificar como especial trascendencia constitucional del recurso, la siguiente:</w:t>
      </w:r>
    </w:p>
    <w:p w14:paraId="3C2C9AD6" w14:textId="77777777" w:rsidR="00C04533" w:rsidRDefault="00C04533" w:rsidP="00C04533">
      <w:pPr>
        <w:pStyle w:val="TextoNormal"/>
      </w:pPr>
    </w:p>
    <w:p w14:paraId="34D753CA" w14:textId="77777777" w:rsidR="00C04533" w:rsidRDefault="00C04533" w:rsidP="00C04533">
      <w:pPr>
        <w:pStyle w:val="TextoNormal"/>
      </w:pPr>
      <w:r>
        <w:t>- La fijación por parte de este tribunal de doctrina sobre el siguiente extremo:</w:t>
      </w:r>
    </w:p>
    <w:p w14:paraId="41075D85" w14:textId="77777777" w:rsidR="00C04533" w:rsidRDefault="00C04533" w:rsidP="00C04533">
      <w:pPr>
        <w:pStyle w:val="TextoNormal"/>
      </w:pPr>
    </w:p>
    <w:p w14:paraId="414C259F" w14:textId="77777777" w:rsidR="00C04533" w:rsidRDefault="00C04533" w:rsidP="00C04533">
      <w:pPr>
        <w:pStyle w:val="TextoNormal"/>
      </w:pPr>
      <w:r>
        <w:t>a) Si el órgano judicial (Sección Sexta de la Audiencia Provincial de Santa Cruz de Tenerife), pudiera haber incurrido en una negativa manifiesta del deber de acatamiento de la doctrina de este tribunal, (STC 155/2009, de 25 de junio), dado que las resoluciones recurridas carecen de la necesaria motivación dentro del canon reforzado y exigido, vulnerándose [los artículos] 24.1 y 17 CE.</w:t>
      </w:r>
    </w:p>
    <w:p w14:paraId="7FFF8E75" w14:textId="77777777" w:rsidR="00C04533" w:rsidRDefault="00C04533" w:rsidP="00C04533">
      <w:pPr>
        <w:pStyle w:val="TextoNormal"/>
      </w:pPr>
    </w:p>
    <w:p w14:paraId="6E399E2D" w14:textId="77777777" w:rsidR="00C04533" w:rsidRDefault="00C04533" w:rsidP="00C04533">
      <w:pPr>
        <w:pStyle w:val="TextoNormal"/>
      </w:pPr>
      <w:r>
        <w:t>Y es que, para revocar la suspensión por impago de la responsabilidad civil, no debería atenderse a su gravedad o reiteración, sino a la capacidad económica y los parámetros específicos del art. 86.1 d) CP, no existiendo mención alguna a los mismos en las resoluciones dictadas.</w:t>
      </w:r>
    </w:p>
    <w:p w14:paraId="52A4F22A" w14:textId="77777777" w:rsidR="00C04533" w:rsidRDefault="00C04533" w:rsidP="00C04533">
      <w:pPr>
        <w:pStyle w:val="TextoNormal"/>
      </w:pPr>
    </w:p>
    <w:p w14:paraId="7A9EE428" w14:textId="77777777" w:rsidR="00C04533" w:rsidRDefault="00C04533" w:rsidP="00C04533">
      <w:pPr>
        <w:pStyle w:val="TextoNormal"/>
      </w:pPr>
      <w:r>
        <w:t>La motivación de los dos autos recurridos es genérica e idéntica en ambos, no haciéndose referencia al caso concreto, pues no se determina que los dos penados tengan capacidad económica para el pago y no hayan querido llevarlo a cabo de forma voluntaria, o que hayan tratado de ocultar los bienes que poseen. No existe ni tan siquiera, una comparativa de su situación económica al tiempo de la suspensión y en el momento de la revocación, calificándose, en cambio, de incumplimiento grave y reiterado, sin constatar siquiera si los dos demandantes de amparo tienen capacidad económica o ingresos para hacer frente al pago.</w:t>
      </w:r>
    </w:p>
    <w:p w14:paraId="71C30FFE" w14:textId="77777777" w:rsidR="00C04533" w:rsidRDefault="00C04533" w:rsidP="00C04533">
      <w:pPr>
        <w:pStyle w:val="TextoNormal"/>
      </w:pPr>
    </w:p>
    <w:p w14:paraId="3153E160" w14:textId="77777777" w:rsidR="00C04533" w:rsidRDefault="00C04533" w:rsidP="00C04533">
      <w:pPr>
        <w:pStyle w:val="TextoNormal"/>
      </w:pPr>
      <w:r>
        <w:t>Las resoluciones impugnadas no pueden anclar la revocación de la suspensión en el incumplimiento del compromiso de pago como consecuencia automática del mismo y desplazar a los interesados la acreditación de una sobrevenida insolvencia, pues con ello no solo se vulnera nuevamente la tutela judicial, sino que se obvia ponderar las circunstancias individuales de los dos penados como exige la orientación de la suspensión a hacer efectivo el principio de reeducación y reinserción social.</w:t>
      </w:r>
    </w:p>
    <w:p w14:paraId="0258BC69" w14:textId="77777777" w:rsidR="00C04533" w:rsidRDefault="00C04533" w:rsidP="00C04533">
      <w:pPr>
        <w:pStyle w:val="TextoNormal"/>
      </w:pPr>
    </w:p>
    <w:p w14:paraId="5DDDF0C4" w14:textId="77777777" w:rsidR="00C04533" w:rsidRDefault="00C04533" w:rsidP="00C04533">
      <w:pPr>
        <w:pStyle w:val="TextoNormal"/>
      </w:pPr>
      <w:r>
        <w:t xml:space="preserve">A mayor abundamiento, debemos tener en cuenta que ambos demandantes han pagado varias sumas para ir rebajando la indemnización, habiendo estado en contacto permanente con la Sala de la Audiencia Provincial, para informarle de todos los esfuerzos realizados para el pago de la responsabilidad civil, así como de su situación económica e incluso, de las gestiones realizadas para tratar de conseguir ingresos, según consta en las distintas comunicaciones vía </w:t>
      </w:r>
      <w:r w:rsidRPr="00C04533">
        <w:rPr>
          <w:i/>
        </w:rPr>
        <w:t>mail</w:t>
      </w:r>
      <w:r>
        <w:t>, realizadas, al igual que en los escritos presentados en la ejecutoria penal.</w:t>
      </w:r>
    </w:p>
    <w:p w14:paraId="5E63191A" w14:textId="77777777" w:rsidR="00C04533" w:rsidRDefault="00C04533" w:rsidP="00C04533">
      <w:pPr>
        <w:pStyle w:val="TextoNormal"/>
      </w:pPr>
    </w:p>
    <w:p w14:paraId="1B1ED828" w14:textId="77777777" w:rsidR="00C04533" w:rsidRDefault="00C04533" w:rsidP="00C04533">
      <w:pPr>
        <w:pStyle w:val="TextoNormal"/>
      </w:pPr>
      <w:r>
        <w:t>En tercer y último lugar, atendiendo a las circunstancias concurrentes, la medida de la revocación de la suspensión es la más gravosa que puede adoptarse, pudiendo haberse acordado otras medidas dentro de las previstas en el art. 86.2 CP.</w:t>
      </w:r>
    </w:p>
    <w:p w14:paraId="6F91A4CB" w14:textId="77777777" w:rsidR="00C04533" w:rsidRDefault="00C04533" w:rsidP="00C04533">
      <w:pPr>
        <w:pStyle w:val="TextoNormal"/>
      </w:pPr>
    </w:p>
    <w:p w14:paraId="65F4D7ED" w14:textId="77777777" w:rsidR="00C04533" w:rsidRDefault="00C04533" w:rsidP="00C04533">
      <w:pPr>
        <w:pStyle w:val="TextoNormal"/>
      </w:pPr>
      <w:r>
        <w:t>En consecuencia, se suplica [en este segundo otrosí digo] la revocación de los autos impugnados, dejándose sin efecto la remisión de la revocación de condena y el ingreso en prisión, pues los mismos adolecen de ausencia total de motivación reforzada que obvia cualquier tipo de ponderación de las circunstancias de solvencia de los dos penados y de los derechos en conflicto, desoyendo así toda la doctrina de esta sala, bajo la premisa de que los penados sabían las consecuencias de su impago (ingreso en prisión).</w:t>
      </w:r>
    </w:p>
    <w:p w14:paraId="65991D8D" w14:textId="77777777" w:rsidR="00C04533" w:rsidRDefault="00C04533" w:rsidP="00C04533">
      <w:pPr>
        <w:pStyle w:val="TextoNormal"/>
      </w:pPr>
    </w:p>
    <w:p w14:paraId="7E255785" w14:textId="51F7B043" w:rsidR="00C04533" w:rsidRDefault="00C04533" w:rsidP="00C04533">
      <w:pPr>
        <w:pStyle w:val="TextoNormal"/>
      </w:pPr>
      <w:r>
        <w:t>Y es que la decisión judicial no incluye en la fundamentación fáctica y jurídica ninguna referencia a la investigación patrimonial, ni valoración relativa a la situación económica que se desprende del resultado de sus propias diligencias, ni esa información permite concluir que el impago es fruto de una voluntad reticente al cumplimiento, o si, por el contrario, es un dato objetivo que aquellos carecían de bienes con los que afrontar su obligación pecuniaria. Falta, por tanto, ese elemento central de la ponderación constitucionalmente exigible”.</w:t>
      </w:r>
    </w:p>
    <w:p w14:paraId="60C27916" w14:textId="77777777" w:rsidR="00C04533" w:rsidRDefault="00C04533" w:rsidP="00C04533">
      <w:pPr>
        <w:pStyle w:val="TextoNormal"/>
      </w:pPr>
    </w:p>
    <w:p w14:paraId="401D8869" w14:textId="77777777" w:rsidR="00C04533" w:rsidRDefault="00C04533" w:rsidP="00C04533">
      <w:pPr>
        <w:pStyle w:val="TextoNormal"/>
      </w:pPr>
      <w:r w:rsidRPr="00C04533">
        <w:rPr>
          <w:rStyle w:val="NumeroAFNegritaCaracter"/>
        </w:rPr>
        <w:t>4</w:t>
      </w:r>
      <w:r>
        <w:t xml:space="preserve">. Con fecha 24 de julio de 2024, el procurador de los recurrentes presentó un escrito en el registro general de este tribunal por el que comunicó que la Sección de ejecución </w:t>
      </w:r>
      <w:r w:rsidRPr="00C04533">
        <w:rPr>
          <w:i/>
        </w:rPr>
        <w:t>a quo</w:t>
      </w:r>
      <w:r>
        <w:t xml:space="preserve"> había dictado una providencia el día antes (23 de julio de 2024), por la que denegaba la petición efectuada por dicha parte para que suspendiera la ejecución de las penas de prisión mientras se tramitaba el recurso de amparo, aportando copia de la resolución. En consecuencia, reiteró la solicitud de suspensión de los autos impugnados, ya hecha en su escrito de demanda, citando en su apoyo doctrina constitucional sobre las posibilidades </w:t>
      </w:r>
      <w:r w:rsidRPr="00C04533">
        <w:rPr>
          <w:i/>
        </w:rPr>
        <w:t>ex</w:t>
      </w:r>
      <w:r>
        <w:t xml:space="preserve"> art. 56 LOTC de suspender penas de prisión.</w:t>
      </w:r>
    </w:p>
    <w:p w14:paraId="4F7E3BE4" w14:textId="77777777" w:rsidR="00C04533" w:rsidRDefault="00C04533" w:rsidP="00C04533">
      <w:pPr>
        <w:pStyle w:val="TextoNormal"/>
      </w:pPr>
    </w:p>
    <w:p w14:paraId="2DCF7287" w14:textId="16CEB52D" w:rsidR="00C04533" w:rsidRDefault="00C04533" w:rsidP="00C04533">
      <w:pPr>
        <w:pStyle w:val="TextoNormal"/>
      </w:pPr>
      <w:r>
        <w:t>Por diligencia de ordenación de la Secretaría de Justicia de la Sala Primera, Sección Segunda, de este Tribunal Constitucional, de 26 de julio de 2024, se tuvo por recibido el anterior escrito, pasando a dar cuenta a la Sección Segunda en la que recayó el conocimiento del presente recurso de amparo.</w:t>
      </w:r>
    </w:p>
    <w:p w14:paraId="62D2DB9E" w14:textId="77777777" w:rsidR="00C04533" w:rsidRDefault="00C04533" w:rsidP="00C04533">
      <w:pPr>
        <w:pStyle w:val="TextoNormal"/>
      </w:pPr>
    </w:p>
    <w:p w14:paraId="089E5949" w14:textId="77777777" w:rsidR="00C04533" w:rsidRDefault="00C04533" w:rsidP="00C04533">
      <w:pPr>
        <w:pStyle w:val="TextoNormal"/>
      </w:pPr>
      <w:r w:rsidRPr="00C04533">
        <w:rPr>
          <w:rStyle w:val="NumeroAFNegritaCaracter"/>
        </w:rPr>
        <w:t>5</w:t>
      </w:r>
      <w:r>
        <w:t>. La Sección Segunda de este tribunal dictó providencia el 29 de julio de 2024, del siguiente tenor:</w:t>
      </w:r>
    </w:p>
    <w:p w14:paraId="0643B47D" w14:textId="77777777" w:rsidR="00C04533" w:rsidRDefault="00C04533" w:rsidP="00C04533">
      <w:pPr>
        <w:pStyle w:val="TextoNormal"/>
      </w:pPr>
    </w:p>
    <w:p w14:paraId="60EDF251" w14:textId="77777777" w:rsidR="00C04533" w:rsidRDefault="00C04533" w:rsidP="00C04533">
      <w:pPr>
        <w:pStyle w:val="TextoNormal"/>
      </w:pPr>
      <w:r>
        <w:t>“La Sección ha examinado el recurso presentado y ha acordado no admitirlo a trámite por no apreciar en el mismo la especial trascendencia constitucional que, como condición para su admisión, requiere el art. 50.1 b) LOTC (STC 155/2009, de 25 de junio, FJ 2).</w:t>
      </w:r>
    </w:p>
    <w:p w14:paraId="7FAB710D" w14:textId="77777777" w:rsidR="00C04533" w:rsidRDefault="00C04533" w:rsidP="00C04533">
      <w:pPr>
        <w:pStyle w:val="TextoNormal"/>
      </w:pPr>
    </w:p>
    <w:p w14:paraId="0BFDEFB2" w14:textId="437C7C56" w:rsidR="00C04533" w:rsidRDefault="00C04533" w:rsidP="00C04533">
      <w:pPr>
        <w:pStyle w:val="TextoNormal"/>
      </w:pPr>
      <w:r>
        <w:t>Notifíquese con indicación de que, si el Ministerio Fiscal no hubiere interpuesto recurso de súplica en el plazo legal de tres días, se archivarán estas actuaciones sin más trámite (art. 50.3 LOTC)”.</w:t>
      </w:r>
    </w:p>
    <w:p w14:paraId="2B0F1B57" w14:textId="77777777" w:rsidR="00C04533" w:rsidRDefault="00C04533" w:rsidP="00C04533">
      <w:pPr>
        <w:pStyle w:val="TextoNormal"/>
      </w:pPr>
    </w:p>
    <w:p w14:paraId="42E6963A" w14:textId="77777777" w:rsidR="00C04533" w:rsidRDefault="00C04533" w:rsidP="00C04533">
      <w:pPr>
        <w:pStyle w:val="TextoNormal"/>
      </w:pPr>
      <w:r w:rsidRPr="00C04533">
        <w:rPr>
          <w:rStyle w:val="NumeroAFNegritaCaracter"/>
        </w:rPr>
        <w:t>6</w:t>
      </w:r>
      <w:r>
        <w:t>. Con fecha 26 de septiembre de 2024, la fiscal ante este Tribunal Constitucional promovió recurso de súplica contra la providencia de 29 de julio ya citada, interesando que se dejase sin efecto esta última, “sin perjuicio de adopción [sic] de la resolución procedente en orden a la admisión o no, por otras causas, del recurso de amparo interpuesto”, reponiendo las actuaciones al momento anterior a su dictado.</w:t>
      </w:r>
    </w:p>
    <w:p w14:paraId="52656306" w14:textId="77777777" w:rsidR="00C04533" w:rsidRDefault="00C04533" w:rsidP="00C04533">
      <w:pPr>
        <w:pStyle w:val="TextoNormal"/>
      </w:pPr>
    </w:p>
    <w:p w14:paraId="344390D3" w14:textId="77777777" w:rsidR="00C04533" w:rsidRDefault="00C04533" w:rsidP="00C04533">
      <w:pPr>
        <w:pStyle w:val="TextoNormal"/>
      </w:pPr>
      <w:r>
        <w:t>Tras efectuar un resumen de los antecedentes procesales, la fiscal invoca el art. 50.1 b) LOTC y la consideración como exigencia material que ha hecho este tribunal del requisito de la especial trascendencia constitucional del recurso, reconociendo conforme a doctrina que cita (SSTC 17/2011, de 28 de febrero, FJ 2, y 96/2012, de 7 de mayo, FJ 4), que solo a este tribunal corresponde valorar su concurrencia en el caso concreto, y que por tanto “la formulación de un recurso de súplica contra una providencia que acuerda no admitir a trámite un recurso de amparo por no apreciar en el mismo la especial trascendencia constitucional no puede basarse en la existencia de una indebida o errónea aplicación normativa sino, únicamente, en solicitar del Tribunal que proceda a reconsiderar el criterio ya expresado en la resolución que se impugna, por si, en una nueva aproximación al problema planteado, pudiera apreciar la concurrencia de una trascendencia que en un primer momento no halló”.</w:t>
      </w:r>
    </w:p>
    <w:p w14:paraId="6FB26D16" w14:textId="77777777" w:rsidR="00C04533" w:rsidRDefault="00C04533" w:rsidP="00C04533">
      <w:pPr>
        <w:pStyle w:val="TextoNormal"/>
      </w:pPr>
    </w:p>
    <w:p w14:paraId="120092D8" w14:textId="77777777" w:rsidR="00C04533" w:rsidRDefault="00C04533" w:rsidP="00C04533">
      <w:pPr>
        <w:pStyle w:val="TextoNormal"/>
      </w:pPr>
      <w:r>
        <w:t>A partir de esta base conceptual, la fiscal “estima procedente una reconsideración de la decisión de inadmisión del presente recurso de amparo […], atendida la doctrina constitucional que se estima aplicable, y que fue expresamente invocada por la parte tanto en el acto de la comparecencia celebrada con arreglo a lo dispuesto en el art. 86.4 CP”. Precisa que es consciente de que en este caso el supuesto de especial trascendencia constitucional no estriba en la necesidad de fijar nueva doctrina, existiendo ya varias sentencias dictadas por el Tribunal en esta materia, las cuales cita, sino que el órgano jurisdiccional “pese a ser conocedor de la doctrina que le ha sido expresamente alegada, no la tiene en cuenta”, lo que llevaría al supuesto de la negativa manifiesta del deber de acatamiento de la doctrina de este tribunal, a la que alude la STC 155/2009, FJ 2 f). Cita a continuación el Ministerio Fiscal el ATC 26/2012, de 31 de enero, FJ 3, donde se declara que “la errónea interpretación o aplicación de la jurisprudencia […] es algo radicalmente distinto a la voluntad manifiesta de no proceder a su aplicación”, es decir, “a una decisión consciente de soslayarla”, que es en lo que consiste el supuesto de la negativa manifiesta; y cita también la STC 43/2022, de 21 de marzo, FJ 2, que identifica su concurrencia cuando, invocada una doctrina en el incidente constitucional de nulidad de actuaciones, “el órgano judicial dispensa una respuesta que elude cualquier tipo de consideración sobre la dimensión constitucional puesta de relieve, lo que denota una voluntad implícita de no aplicar la referida doctrina al caso”.</w:t>
      </w:r>
    </w:p>
    <w:p w14:paraId="283E99FC" w14:textId="77777777" w:rsidR="00C04533" w:rsidRDefault="00C04533" w:rsidP="00C04533">
      <w:pPr>
        <w:pStyle w:val="TextoNormal"/>
      </w:pPr>
    </w:p>
    <w:p w14:paraId="072EFA73" w14:textId="77777777" w:rsidR="00C04533" w:rsidRDefault="00C04533" w:rsidP="00C04533">
      <w:pPr>
        <w:pStyle w:val="TextoNormal"/>
      </w:pPr>
      <w:r>
        <w:t>Así las cosas, dice el recurso de súplica de la fiscal que en las resoluciones impugnadas en este amparo “se orilla cualquier consideración sobre la falta de capacidad económica sobrevenida alegada en los términos fijados por la doctrina constitucional invocada”, lo que “da a entender que se asumieron [los compromisos de pago] de modo exclusivo para obtener la rebaja de la pena, y ‘sin que se apunte viabilidad alguna al pago del resto del compromiso de pago’ como fundamento de la revocación que se acuerda”.</w:t>
      </w:r>
    </w:p>
    <w:p w14:paraId="4103F3D8" w14:textId="77777777" w:rsidR="00C04533" w:rsidRDefault="00C04533" w:rsidP="00C04533">
      <w:pPr>
        <w:pStyle w:val="TextoNormal"/>
      </w:pPr>
    </w:p>
    <w:p w14:paraId="64AF6058" w14:textId="667C3C81" w:rsidR="00C04533" w:rsidRDefault="00C04533" w:rsidP="00C04533">
      <w:pPr>
        <w:pStyle w:val="TextoNormal"/>
      </w:pPr>
      <w:r>
        <w:t>Por último, luego de interesar que se deje sin efecto la providencia de inadmisión de 29 de julio pasado, la fiscal advierte que esa decisión se acordaría “sin perjuicio de [la] adopción de la resolución procedente en orden a la admisión o no, por otras causas, del recurso de amparo interpuesto”, con cita de doctrina constitucional que aclara que la estimación de un recurso de súplica a este respecto no comporta la necesaria estimación de la demanda de amparo.</w:t>
      </w:r>
    </w:p>
    <w:p w14:paraId="313B94C9" w14:textId="77777777" w:rsidR="00C04533" w:rsidRDefault="00C04533" w:rsidP="00C04533">
      <w:pPr>
        <w:pStyle w:val="TextoNormal"/>
      </w:pPr>
    </w:p>
    <w:p w14:paraId="473DF7BB" w14:textId="77777777" w:rsidR="00C04533" w:rsidRDefault="00C04533" w:rsidP="00C04533">
      <w:pPr>
        <w:pStyle w:val="TextoNormal"/>
      </w:pPr>
      <w:r w:rsidRPr="00C04533">
        <w:rPr>
          <w:rStyle w:val="NumeroAFNegritaCaracter"/>
        </w:rPr>
        <w:t>7</w:t>
      </w:r>
      <w:r>
        <w:t>. La Secretaría de Justicia de la Sección Segunda dictó diligencia de ordenación el 27 de septiembre de 2024 del siguiente tenor:</w:t>
      </w:r>
    </w:p>
    <w:p w14:paraId="04F0EF25" w14:textId="77777777" w:rsidR="00C04533" w:rsidRDefault="00C04533" w:rsidP="00C04533">
      <w:pPr>
        <w:pStyle w:val="TextoNormal"/>
      </w:pPr>
    </w:p>
    <w:p w14:paraId="01F07DF8" w14:textId="77777777" w:rsidR="00C04533" w:rsidRDefault="00C04533" w:rsidP="00C04533">
      <w:pPr>
        <w:pStyle w:val="TextoNormal"/>
      </w:pPr>
      <w:r>
        <w:t>“En el asunto de referencia se tiene por recibido el precedente escrito del Ministerio Fiscal del que se dará traslado al procurador don Carlos Alfonso Castro Serrano para que en el plazo de tres días, alegue lo que estime pertinente en relación con el recurso de súplica formulado, de conformidad con lo prevenido en el art. 93.2 LOTC”.</w:t>
      </w:r>
    </w:p>
    <w:p w14:paraId="37266C5A" w14:textId="77777777" w:rsidR="00C04533" w:rsidRDefault="00C04533" w:rsidP="00C04533">
      <w:pPr>
        <w:pStyle w:val="TextoNormal"/>
      </w:pPr>
    </w:p>
    <w:p w14:paraId="5F3431F8" w14:textId="77777777" w:rsidR="00C04533" w:rsidRDefault="00C04533" w:rsidP="00C04533">
      <w:pPr>
        <w:pStyle w:val="TextoNormal"/>
      </w:pPr>
      <w:r>
        <w:t>En tal sentido, el procurador de los dos recurrentes en amparo presentó escrito en el registro general de este tribunal el 1 de octubre de 2024, por el que interesó que se tuviera por evacuado el trámite de alegaciones por dicha parte, “la cual se adhiere íntegramente al recurso de súplica interpuesto por el Ministerio Fiscal”, solicitando “la estimación de este, íntegramente, por ser justo”.</w:t>
      </w:r>
    </w:p>
    <w:p w14:paraId="4378EA04" w14:textId="77777777" w:rsidR="00C04533" w:rsidRDefault="00C04533" w:rsidP="00C04533">
      <w:pPr>
        <w:pStyle w:val="TextoNormal"/>
      </w:pPr>
    </w:p>
    <w:p w14:paraId="523C042F" w14:textId="77777777" w:rsidR="00C04533" w:rsidRDefault="00C04533" w:rsidP="00C04533">
      <w:pPr>
        <w:pStyle w:val="TextoNormal"/>
      </w:pPr>
      <w:r>
        <w:t>Señala en su respaldo que a “esta parte no le queda más remedio que adherirse de forma íntegra al recurso planteado, al estar conforme con todo lo que en el mismo se manifiesta, considerando, que efectivamente la doctrina constitucional existente ha sido obviada por la Sección Sexta de la Audiencia Provincial de Santa Cruz de Tenerife, al dictar sus resoluciones, tal y como el Ministerio Fiscal también denuncia en su recurso”. El escrito recuerda cuáles han sido las vulneraciones constitucionales alegadas en la demanda, con cita una vez más de la STC 32/2022, solicitando al final que el recurso de súplica de la fiscal sea estimado.</w:t>
      </w:r>
    </w:p>
    <w:p w14:paraId="437CC1D9" w14:textId="77777777" w:rsidR="00C04533" w:rsidRDefault="00C04533" w:rsidP="00C04533">
      <w:pPr>
        <w:pStyle w:val="TextoNormal"/>
      </w:pPr>
    </w:p>
    <w:p w14:paraId="6B4BCE17" w14:textId="4F1CEF1A" w:rsidR="00C04533" w:rsidRDefault="00C04533" w:rsidP="00C04533">
      <w:pPr>
        <w:pStyle w:val="TextoNormal"/>
      </w:pPr>
      <w:r>
        <w:t>Por diligencia de la Secretaría de Justicia de 4 de octubre de 2024, se hizo constar la recepción del escrito de alegaciones del procurador de los recurrentes de amparo.</w:t>
      </w:r>
    </w:p>
    <w:p w14:paraId="37BD4BAD" w14:textId="77777777" w:rsidR="00C04533" w:rsidRDefault="00C04533" w:rsidP="00C04533">
      <w:pPr>
        <w:pStyle w:val="TextoNormal"/>
      </w:pPr>
    </w:p>
    <w:p w14:paraId="4D910A36" w14:textId="77777777" w:rsidR="00C04533" w:rsidRDefault="00C04533" w:rsidP="00C04533">
      <w:pPr>
        <w:pStyle w:val="TextoNormalNegritaCentrado"/>
        <w:keepNext/>
      </w:pPr>
      <w:r>
        <w:t>II. Fundamentos jurídicos</w:t>
      </w:r>
    </w:p>
    <w:p w14:paraId="30165FD7" w14:textId="656778C5" w:rsidR="00C04533" w:rsidRDefault="00C04533" w:rsidP="00C04533">
      <w:pPr>
        <w:pStyle w:val="TextoNormalNegritaCentrado"/>
        <w:keepNext/>
      </w:pPr>
    </w:p>
    <w:p w14:paraId="20195452" w14:textId="77777777" w:rsidR="00C04533" w:rsidRDefault="00C04533" w:rsidP="00C04533">
      <w:pPr>
        <w:pStyle w:val="TextoNormal"/>
      </w:pPr>
      <w:r w:rsidRPr="00C04533">
        <w:rPr>
          <w:rStyle w:val="TextoNormalNegritaCaracter"/>
        </w:rPr>
        <w:t xml:space="preserve">Único. </w:t>
      </w:r>
      <w:r w:rsidRPr="00C04533">
        <w:rPr>
          <w:i/>
        </w:rPr>
        <w:t>Desestimación del recurso de súplica interpuesto</w:t>
      </w:r>
    </w:p>
    <w:p w14:paraId="3F758336" w14:textId="77777777" w:rsidR="00C04533" w:rsidRDefault="00C04533" w:rsidP="00C04533">
      <w:pPr>
        <w:pStyle w:val="TextoNormal"/>
      </w:pPr>
    </w:p>
    <w:p w14:paraId="38D4EFA9" w14:textId="77777777" w:rsidR="00C04533" w:rsidRDefault="00C04533" w:rsidP="00C04533">
      <w:pPr>
        <w:pStyle w:val="TextoNormal"/>
      </w:pPr>
      <w:r>
        <w:t>a) Se dicta la presente resolución para dar respuesta al recurso de súplica interpuesto por la fiscal ante este Tribunal Constitucional contra la providencia de esta misma sección, de 29 de julio de 2024, que acordó la inadmisión del presente recurso de amparo por “no apreciar en el mismo la especial trascendencia constitucional que, como condición para su admisión, requiere el art. 50.1 b) LOTC (STC 155/2009, FJ 2)”.</w:t>
      </w:r>
    </w:p>
    <w:p w14:paraId="483364BC" w14:textId="77777777" w:rsidR="00C04533" w:rsidRDefault="00C04533" w:rsidP="00C04533">
      <w:pPr>
        <w:pStyle w:val="TextoNormal"/>
      </w:pPr>
    </w:p>
    <w:p w14:paraId="5CB384D0" w14:textId="77777777" w:rsidR="00C04533" w:rsidRDefault="00C04533" w:rsidP="00C04533">
      <w:pPr>
        <w:pStyle w:val="TextoNormal"/>
      </w:pPr>
      <w:r>
        <w:t>Si bien el recurso de súplica advierte que el mismo no se funda en la existencia “de una indebida o errónea aplicación normativa” cometida por la Sección al dictar aquella providencia, sino solo de dar argumentos para que esta última pueda “reconsiderar el criterio ya expresado”, no cabe duda de que al proponer esa reconsideración impugnando formalmente dicha resolución, la Fiscalía entiende que la Sección ha dejado de ponderar o en su caso ha ponderado mal, las circunstancias fácticas o cualquier otro aspecto del contenido del apartado de la especial trascendencia constitucional de la demanda presentada, de tal modo que en realidad los recurrentes sí habrían levantado la carga procesal que les correspondía.</w:t>
      </w:r>
    </w:p>
    <w:p w14:paraId="54B3E2BF" w14:textId="77777777" w:rsidR="00C04533" w:rsidRDefault="00C04533" w:rsidP="00C04533">
      <w:pPr>
        <w:pStyle w:val="TextoNormal"/>
      </w:pPr>
    </w:p>
    <w:p w14:paraId="72C08F6B" w14:textId="77777777" w:rsidR="00C04533" w:rsidRDefault="00C04533" w:rsidP="00C04533">
      <w:pPr>
        <w:pStyle w:val="TextoNormal"/>
      </w:pPr>
      <w:r>
        <w:t>Siendo ello así, conviene recalcar que el examen de la Sección a fin de resolver el presente recurso de súplica ha de atenerse una vez más al texto del apartado de la demanda (segundo otrosí digo), que fue donde se justificó la concurrencia del mencionado requisito del art. 50.1 b) LOTC, y no a una hipótesis alternativa de cómo podría haberse alegado este, tal como la ofrecida en el recurso de súplica, que no en aquel escrito de demanda, como ahora se verá.</w:t>
      </w:r>
    </w:p>
    <w:p w14:paraId="34B2D94F" w14:textId="77777777" w:rsidR="00C04533" w:rsidRDefault="00C04533" w:rsidP="00C04533">
      <w:pPr>
        <w:pStyle w:val="TextoNormal"/>
      </w:pPr>
    </w:p>
    <w:p w14:paraId="77621309" w14:textId="77777777" w:rsidR="00C04533" w:rsidRDefault="00C04533" w:rsidP="00C04533">
      <w:pPr>
        <w:pStyle w:val="TextoNormal"/>
      </w:pPr>
      <w:r>
        <w:t xml:space="preserve">Antes de continuar, procede aclarar de una vez que en cumplimiento de lo establecido en el art. 1 del Acuerdo de 23 de julio de 2015, del Pleno del Tribunal Constitucional, por el que se regula la exclusión de los datos de identidad personal en la publicación de las resoluciones jurisdiccionales (“Boletín Oficial del Estado” núm. 178, de 27 de julio de 2015), se identifica solo por sus iniciales a quienes han ostentado la condición de acusadores particulares en el proceso </w:t>
      </w:r>
      <w:r w:rsidRPr="00C04533">
        <w:rPr>
          <w:i/>
        </w:rPr>
        <w:t>a quo</w:t>
      </w:r>
      <w:r>
        <w:t>, al no haberse personado como parte en este proceso constitucional.</w:t>
      </w:r>
    </w:p>
    <w:p w14:paraId="5F0C70E0" w14:textId="77777777" w:rsidR="00C04533" w:rsidRDefault="00C04533" w:rsidP="00C04533">
      <w:pPr>
        <w:pStyle w:val="TextoNormal"/>
      </w:pPr>
    </w:p>
    <w:p w14:paraId="69A5F6F0" w14:textId="77777777" w:rsidR="00C04533" w:rsidRDefault="00C04533" w:rsidP="00C04533">
      <w:pPr>
        <w:pStyle w:val="TextoNormal"/>
      </w:pPr>
      <w:r>
        <w:t>b) Examinados los argumentos del recurso de súplica del Ministerio Fiscal, debemos acordar su desestimación teniendo en cuenta las siguientes razones:</w:t>
      </w:r>
    </w:p>
    <w:p w14:paraId="4187B103" w14:textId="77777777" w:rsidR="00C04533" w:rsidRDefault="00C04533" w:rsidP="00C04533">
      <w:pPr>
        <w:pStyle w:val="TextoNormal"/>
      </w:pPr>
    </w:p>
    <w:p w14:paraId="492163D5" w14:textId="77777777" w:rsidR="00C04533" w:rsidRDefault="00C04533" w:rsidP="00C04533">
      <w:pPr>
        <w:pStyle w:val="TextoNormal"/>
      </w:pPr>
      <w:r>
        <w:t xml:space="preserve">(i) La lectura del segundo otrosí digo del escrito de demanda permite verificar, sin dificultad dialéctica alguna, que si bien se invoca </w:t>
      </w:r>
      <w:r w:rsidRPr="00C04533">
        <w:rPr>
          <w:i/>
        </w:rPr>
        <w:t>pro forma</w:t>
      </w:r>
      <w:r>
        <w:t xml:space="preserve"> el supuesto del fundamento jurídico 2 f) de la STC 155/2009, sobre el listado de causas de especial trascendencia constitucional, esto es, la existencia de una negativa manifiesta del deber de acatamiento de la doctrina de este tribunal, la argumentación de su concurrencia se ciñe a reiterar las lesiones de fondo invocadas en los fundamentos materiales del mismo escrito, reiterando el déficit de motivación que los recurrentes achacan a los dos autos impugnados en el recurso por no haber valorado la falta de capacidad económica de estos y los parámetros del art. 86 CP, optando los autos por una motivación “genérica e idéntica en ambos”, como tampoco valoró los esfuerzos desplegados por ellos para el pago de la responsabilidad civil. Todos los párrafos dedicados a la especial trascendencia constitucional consisten en un recordatorio de los defectos </w:t>
      </w:r>
      <w:r w:rsidRPr="00C04533">
        <w:rPr>
          <w:i/>
        </w:rPr>
        <w:t>ex</w:t>
      </w:r>
      <w:r>
        <w:t xml:space="preserve"> arts. 24.1 CE y 17.1 CE de los que, a su parecer, adolecen los autos de la Audiencia Provincial que revocaron la suspensión de la ejecución de la pena de prisión impuesta a los dos recurrentes.</w:t>
      </w:r>
    </w:p>
    <w:p w14:paraId="0EFB5579" w14:textId="77777777" w:rsidR="00C04533" w:rsidRDefault="00C04533" w:rsidP="00C04533">
      <w:pPr>
        <w:pStyle w:val="TextoNormal"/>
      </w:pPr>
    </w:p>
    <w:p w14:paraId="685A7608" w14:textId="77777777" w:rsidR="00C04533" w:rsidRDefault="00C04533" w:rsidP="00C04533">
      <w:pPr>
        <w:pStyle w:val="TextoNormal"/>
      </w:pPr>
      <w:r>
        <w:t>Planteado así el requisito de la especial trascendencia constitucional por la demanda, no puede por menos que traerse a colación, como ya fue tenido en cuenta por esta sección al dictar la providencia que se recurre, la reiterada doctrina constitucional (una de cuyas resoluciones cita de hecho el recurso de súplica de la fiscal —ATC 141/2012, de 9 de julio—) en torno al significado de la negativa manifiesta; específicamente en cuanto a que “la errónea interpretación o aplicación de la jurisprudencia, incluso si fuera objetivable y verificable en este caso concreto, es algo radicalmente distinto a la voluntad manifiesta de no proceder a su aplicación; algo diferente, dicho en otras palabras, a una decisión consciente de soslayarla (en ese sentido, STC 133/2011, de 18 de julio, FJ 3), elemento intencional o volitivo que caracteriza el concreto supuesto de especial trascendencia constitucional que el Ministerio Fiscal invoca” [ATC 264/2023, de 23 de mayo, FJ 2 B)]. La demanda presentada no argumenta la existencia de una negativa manifiesta que pueda ser verificable a efectos de apreciar la especial trascendencia del recurso, en los términos de nuestra doctrina, lo que conduce a mantener el criterio adoptado en la providencia de 29 de julio de 2024 que se recurre.</w:t>
      </w:r>
    </w:p>
    <w:p w14:paraId="48E55F67" w14:textId="77777777" w:rsidR="00C04533" w:rsidRDefault="00C04533" w:rsidP="00C04533">
      <w:pPr>
        <w:pStyle w:val="TextoNormal"/>
      </w:pPr>
    </w:p>
    <w:p w14:paraId="6591E603" w14:textId="77777777" w:rsidR="00C04533" w:rsidRDefault="00C04533" w:rsidP="00C04533">
      <w:pPr>
        <w:pStyle w:val="TextoNormal"/>
      </w:pPr>
      <w:r>
        <w:t>(ii) A mayor abundamiento, aun si se prescindiera por un momento de cuáles han sido los términos con que se ha justificado el mencionado requisito por la demanda y se partiera de la tesis que propone el recurso de súplica, en el sentido de que los dos autos impugnados habrían orillado “cualquier consideración sobre la falta de capacidad económica sobrevenida alegada en los términos fijados por la doctrina constitucional invocada”, el resultado de inadmisión sería el mismo pues la tesis esgrimida no puede compartirse, tras la cumplida lectura, de nuevo, de las dos resoluciones judiciales recurridas.</w:t>
      </w:r>
    </w:p>
    <w:p w14:paraId="7B159232" w14:textId="77777777" w:rsidR="00C04533" w:rsidRDefault="00C04533" w:rsidP="00C04533">
      <w:pPr>
        <w:pStyle w:val="TextoNormal"/>
      </w:pPr>
    </w:p>
    <w:p w14:paraId="76073B0D" w14:textId="77777777" w:rsidR="00C04533" w:rsidRDefault="00C04533" w:rsidP="00C04533">
      <w:pPr>
        <w:pStyle w:val="TextoNormal"/>
      </w:pPr>
      <w:r>
        <w:t>En efecto, lo que ambos autos pusieron de relieve, precisamente ponderando las circunstancias particulares de los acusados, es que no cabe hablar de una capacidad económica inicial de ambos en la fecha en la que se dicta la sentencia de condena, el 27 de noviembre de 2023, y de una pérdida “sobrevenida” de dicha capacidad menos de un mes después, en concreto al tiempo de tener que cumplir con el plan de pagos acordado en dicha sentencia, la cual, no debe olvidarse, fue dictada en conformidad y trajo consigo la disminución de las penas propuestas por los acusadores así como la suspensión de las penas de prisión impuestas, gracias al compromiso de pago adquirido para satisfacer la responsabilidad civil derivada de sus delitos.</w:t>
      </w:r>
    </w:p>
    <w:p w14:paraId="2CA46B6B" w14:textId="77777777" w:rsidR="00C04533" w:rsidRDefault="00C04533" w:rsidP="00C04533">
      <w:pPr>
        <w:pStyle w:val="TextoNormal"/>
      </w:pPr>
    </w:p>
    <w:p w14:paraId="3920FDC3" w14:textId="77777777" w:rsidR="00C04533" w:rsidRDefault="00C04533" w:rsidP="00C04533">
      <w:pPr>
        <w:pStyle w:val="TextoNormal"/>
      </w:pPr>
      <w:r>
        <w:t>El compromiso expreso adquirido pues en esa misma fecha por los acusados, fue cumplir con un primer pago de 140 000 € en menos de un mes desde el dictado de la sentencia (el 26 de diciembre de 2023), y otro pago de 170 000 € antes de transcurrir dos meses (el 13 de enero de 2024), fraccionándose en dos años únicamente el pago de otros 35 840,59 €. Cantidades todas, tampoco debe olvidarse, que corresponden al dinero estafado por los recurrentes a doña E.M.B., y don O.M.B., según el apartado de hechos probados de la sentencia, y que precisamente iban a ser devueltas del modo como explicitó esta resolución, por haberse comprometido a ello los acusados. De allí que el auto de 11 de junio de 2024, al desestimar el recurso de súplica contra el anterior de 13 de mayo de 2024, razone que “no se evidencia en los mismos una situación distinta, sustancialmente, a la que concurría cuando los condenados convinieron en llevar a cabo cumplidamente el compromiso de pago”, recordando a renglón seguido los beneficios que obtuvieron los dos condenados, gracias a ese compromiso de pago.</w:t>
      </w:r>
    </w:p>
    <w:p w14:paraId="2F0D87EE" w14:textId="77777777" w:rsidR="00C04533" w:rsidRDefault="00C04533" w:rsidP="00C04533">
      <w:pPr>
        <w:pStyle w:val="TextoNormal"/>
      </w:pPr>
    </w:p>
    <w:p w14:paraId="6DD5BA30" w14:textId="77777777" w:rsidR="00C04533" w:rsidRDefault="00C04533" w:rsidP="00C04533">
      <w:pPr>
        <w:pStyle w:val="TextoNormal"/>
      </w:pPr>
      <w:r>
        <w:t>La Sección de ejecución de la Audiencia valora, y no cabe sustituirla en dicho criterio al ser expresión de su exclusiva potestad jurisdiccional (art. 117.3 CE) de legalidad ordinaria, que no se antoja arbitrario, irrazonable o incurso en error patente, que el solo ingreso de 8852,77 € frente al total que adeudan de 354 692 €, o un ofrecimiento de 750 € al mes condicionado a que se suscriba un contrato de alquiler de una vivienda propiedad de la recurrente con una supuesta compradora, operación que se dice no es posible llevar a cabo por dificultades para registrar la cancelación de la hipoteca que pesaba sobre dicho inmueble, apenas un solo mes después de dictarse la sentencia sin una causa realmente palpable de empobrecimiento sobrevenido de la capacidad económica de los recurrentes, no puede tomarse como expresión de una voluntad real de pago. De hecho, en la comparecencia del art. 86.4 CP celebrada el 19 de abril de 2024 para la revocación de la suspensión, es donde se introduce la información de que todas las cantidades a las que se habían comprometido los recurrentes dependían al fin y al cabo del abono de un préstamo solicitado a un tercero (no ya de la venta de la vivienda), circunstancia esta de la que nada consta que se dijera en el acta de la vista oral, previa al dictado de la sentencia de conformidad.</w:t>
      </w:r>
    </w:p>
    <w:p w14:paraId="3C94CB54" w14:textId="77777777" w:rsidR="00C04533" w:rsidRDefault="00C04533" w:rsidP="00C04533">
      <w:pPr>
        <w:pStyle w:val="TextoNormal"/>
      </w:pPr>
    </w:p>
    <w:p w14:paraId="2D429441" w14:textId="77777777" w:rsidR="00C04533" w:rsidRDefault="00C04533" w:rsidP="00C04533">
      <w:pPr>
        <w:pStyle w:val="TextoNormal"/>
      </w:pPr>
      <w:r>
        <w:t>(iii) En definitiva, la conclusión que alcanza la Sección de ejecución, al concluir en el auto revisor de 11 de junio de 2024, confirmando el anterior de 13 de mayo de 2024, de que “la revocación de la suspensión de la ejecución de las penas privativas de libertad impuestas a los condenados efectuada en la resolución recurrida se ajusta a lo dispuesto en el art. 86.1 d) del Código penal”, no puede considerarse que orille la dimensión constitucional del problema enjuiciado en la ejecutoria, ni que de dichos razonamientos se pueda extraer, y tal es el objeto a fin de cuentas del juicio de especial trascendencia constitucional que aquí nos ocupa, la existencia de una voluntad deliberada de dicho órgano judicial en cuanto a soslayar la doctrina de este tribunal en la materia, ni de manera expresa ni implícita.</w:t>
      </w:r>
    </w:p>
    <w:p w14:paraId="6467BAF0" w14:textId="77777777" w:rsidR="00C04533" w:rsidRDefault="00C04533" w:rsidP="00C04533">
      <w:pPr>
        <w:pStyle w:val="TextoNormal"/>
      </w:pPr>
    </w:p>
    <w:p w14:paraId="27EC4C3A" w14:textId="6E13ACDD" w:rsidR="00C04533" w:rsidRDefault="00C04533" w:rsidP="00C04533">
      <w:pPr>
        <w:pStyle w:val="TextoNormal"/>
      </w:pPr>
      <w:r>
        <w:t>Así ejercitamos nuestra potestad exclusiva (por todos, ATC 264/2023, FJ 2, ya citado, y lo recuerda el escrito de la fiscal) al denegar en la providencia de inadmisión que concurriera el requisito de los arts. 49.1 y 50.1 b) LOTC, y así volvemos a hacerlo ahora, resolviendo la impugnación planteada.</w:t>
      </w:r>
    </w:p>
    <w:p w14:paraId="17C021D2" w14:textId="77777777" w:rsidR="00C04533" w:rsidRDefault="00C04533" w:rsidP="00C04533">
      <w:pPr>
        <w:pStyle w:val="TextoNormal"/>
      </w:pPr>
    </w:p>
    <w:p w14:paraId="2EA6932C" w14:textId="77777777" w:rsidR="00C04533" w:rsidRDefault="00C04533" w:rsidP="00C04533">
      <w:pPr>
        <w:pStyle w:val="TextoNormal"/>
      </w:pPr>
      <w:r>
        <w:t>Por lo expuesto, la Sección</w:t>
      </w:r>
    </w:p>
    <w:p w14:paraId="25925B98" w14:textId="7AD0930F" w:rsidR="00C04533" w:rsidRDefault="00C04533" w:rsidP="00C04533">
      <w:pPr>
        <w:pStyle w:val="TextoNormal"/>
      </w:pPr>
    </w:p>
    <w:p w14:paraId="1197194E" w14:textId="77777777" w:rsidR="00C04533" w:rsidRDefault="00C04533" w:rsidP="00C04533">
      <w:pPr>
        <w:pStyle w:val="TextoNormalCentrado"/>
      </w:pPr>
      <w:r>
        <w:t>ACUERDA</w:t>
      </w:r>
    </w:p>
    <w:p w14:paraId="5BC1224D" w14:textId="1B4DC54F" w:rsidR="00C04533" w:rsidRDefault="00C04533" w:rsidP="00C04533">
      <w:pPr>
        <w:pStyle w:val="TextoNormalCentrado"/>
      </w:pPr>
    </w:p>
    <w:p w14:paraId="570B9136" w14:textId="71CEA127" w:rsidR="00C04533" w:rsidRDefault="00C04533" w:rsidP="00C04533">
      <w:pPr>
        <w:pStyle w:val="TextoNormal"/>
      </w:pPr>
      <w:r>
        <w:t>Desestimar el recurso de súplica interpuesto contra la providencia de 29 de julio de 2024.</w:t>
      </w:r>
    </w:p>
    <w:p w14:paraId="403D3BF3" w14:textId="77777777" w:rsidR="00C04533" w:rsidRDefault="00C04533" w:rsidP="00C04533">
      <w:pPr>
        <w:pStyle w:val="TextoNormal"/>
      </w:pPr>
    </w:p>
    <w:p w14:paraId="14B545F9" w14:textId="77777777" w:rsidR="00C04533" w:rsidRDefault="00C04533" w:rsidP="00C04533">
      <w:pPr>
        <w:pStyle w:val="TextoNormal"/>
      </w:pPr>
      <w:r>
        <w:t>Madrid, a nueve de octubre de dos mil veinticuatro.</w:t>
      </w:r>
    </w:p>
    <w:p w14:paraId="7B95F509" w14:textId="42E646C4" w:rsidR="00C04533" w:rsidRDefault="00C04533">
      <w:pPr>
        <w:spacing w:after="160" w:line="278" w:lineRule="auto"/>
        <w:rPr>
          <w:rFonts w:ascii="Times New Roman" w:eastAsia="Times New Roman" w:hAnsi="Times New Roman" w:cs="Times New Roman"/>
          <w:sz w:val="24"/>
          <w:szCs w:val="24"/>
          <w:lang w:eastAsia="es-ES"/>
        </w:rPr>
      </w:pPr>
      <w:r>
        <w:br w:type="page"/>
      </w:r>
    </w:p>
    <w:p w14:paraId="75B022A2" w14:textId="77777777" w:rsidR="00C04533" w:rsidRDefault="00C04533" w:rsidP="00C04533">
      <w:pPr>
        <w:pStyle w:val="TtuloResolucin"/>
      </w:pPr>
      <w:bookmarkStart w:id="101" w:name="AUTO_2024_95"/>
      <w:r>
        <w:t>AUTO 95/2024, de 21 de octubre de 2024</w:t>
      </w:r>
    </w:p>
    <w:bookmarkEnd w:id="101"/>
    <w:p w14:paraId="4382082F" w14:textId="77777777" w:rsidR="00C04533" w:rsidRDefault="00C04533" w:rsidP="00C04533">
      <w:pPr>
        <w:pStyle w:val="TtuloResolucin"/>
      </w:pPr>
      <w:r>
        <w:t>Sala Primera</w:t>
      </w:r>
    </w:p>
    <w:p w14:paraId="14F91662" w14:textId="77777777" w:rsidR="00C04533" w:rsidRDefault="00C04533" w:rsidP="00C04533">
      <w:pPr>
        <w:pStyle w:val="TextoNormalCentrado"/>
      </w:pPr>
      <w:r>
        <w:t>ECLI:ES:TC:2024:95A</w:t>
      </w:r>
    </w:p>
    <w:p w14:paraId="5B4B20D2" w14:textId="6C36FF9D" w:rsidR="00C04533" w:rsidRDefault="00C04533" w:rsidP="00C04533">
      <w:pPr>
        <w:pStyle w:val="TextoNormalCentrado"/>
      </w:pPr>
    </w:p>
    <w:p w14:paraId="607C5515" w14:textId="77777777" w:rsidR="00C04533" w:rsidRDefault="00C04533" w:rsidP="00C04533">
      <w:pPr>
        <w:pStyle w:val="SntesisDescriptiva"/>
      </w:pPr>
      <w:r>
        <w:t>Excms. Srs. don Cándido Conde-Pumpido Tourón, don Ricardo Enríquez Sancho, doña Concepción Espejel Jorquera, doña María Luisa Segoviano Astaburuaga y don José María Macías Castaño.</w:t>
      </w:r>
    </w:p>
    <w:p w14:paraId="47F8051F" w14:textId="10E94803" w:rsidR="00C04533" w:rsidRDefault="00C04533" w:rsidP="00C04533">
      <w:pPr>
        <w:pStyle w:val="SntesisDescriptiva"/>
      </w:pPr>
    </w:p>
    <w:p w14:paraId="492EE8D9" w14:textId="77777777" w:rsidR="00C04533" w:rsidRDefault="00C04533" w:rsidP="00C04533">
      <w:pPr>
        <w:pStyle w:val="SntesisDescriptiva"/>
      </w:pPr>
      <w:r>
        <w:t>Acepta una abstención en el recurso de amparo 4834-2020, promovido en procedimiento parlamentario.</w:t>
      </w:r>
    </w:p>
    <w:p w14:paraId="5CB5FB2E" w14:textId="4C71EA1B" w:rsidR="00C04533" w:rsidRDefault="00C04533" w:rsidP="00C04533">
      <w:pPr>
        <w:pStyle w:val="SntesisDescriptiva"/>
      </w:pPr>
    </w:p>
    <w:p w14:paraId="63EE9A75" w14:textId="77777777" w:rsidR="00C04533" w:rsidRDefault="00C04533" w:rsidP="00C04533">
      <w:pPr>
        <w:pStyle w:val="SntesisDescriptiva"/>
      </w:pPr>
    </w:p>
    <w:p w14:paraId="00A0AD21" w14:textId="77777777" w:rsidR="00C04533" w:rsidRDefault="00C04533" w:rsidP="00C04533">
      <w:pPr>
        <w:pStyle w:val="SntesisDescriptiva"/>
      </w:pPr>
    </w:p>
    <w:p w14:paraId="11AD11F2" w14:textId="77777777" w:rsidR="00C04533" w:rsidRDefault="00C04533" w:rsidP="00C04533">
      <w:pPr>
        <w:pStyle w:val="TextoNormalNegritaCentrado"/>
      </w:pPr>
      <w:r>
        <w:t>AUTO</w:t>
      </w:r>
    </w:p>
    <w:p w14:paraId="323C1CB3" w14:textId="4725D6C5" w:rsidR="00C04533" w:rsidRDefault="00C04533" w:rsidP="00C04533">
      <w:pPr>
        <w:pStyle w:val="TextoNormalNegritaCentrado"/>
      </w:pPr>
    </w:p>
    <w:p w14:paraId="25408FC6" w14:textId="77777777" w:rsidR="00C04533" w:rsidRDefault="00C04533" w:rsidP="00C04533">
      <w:pPr>
        <w:pStyle w:val="TextoNormalNegritaCentrado"/>
        <w:keepNext/>
      </w:pPr>
      <w:r>
        <w:t>I. Antecedentes</w:t>
      </w:r>
    </w:p>
    <w:p w14:paraId="605D7125" w14:textId="7BCA9199" w:rsidR="00C04533" w:rsidRDefault="00C04533" w:rsidP="00C04533">
      <w:pPr>
        <w:pStyle w:val="TextoNormalNegritaCentrado"/>
        <w:keepNext/>
      </w:pPr>
    </w:p>
    <w:p w14:paraId="4F9DE08D" w14:textId="76BC71D6" w:rsidR="00C04533" w:rsidRDefault="00C04533" w:rsidP="00C04533">
      <w:pPr>
        <w:pStyle w:val="TextoNormal"/>
      </w:pPr>
      <w:r w:rsidRPr="00C04533">
        <w:rPr>
          <w:rStyle w:val="NumeroAFNegritaCaracter"/>
        </w:rPr>
        <w:t>1</w:t>
      </w:r>
      <w:r>
        <w:t>. Por escrito fechado el día 29 de junio de 2023, el magistrado don Juan Carlos Campo Moreno comunicó al Sr. presidente, a los efectos oportunos, su voluntad de abstenerse de intervenir en el conocimiento del presente recurso de amparo.</w:t>
      </w:r>
    </w:p>
    <w:p w14:paraId="53809B59" w14:textId="77777777" w:rsidR="00C04533" w:rsidRDefault="00C04533" w:rsidP="00C04533">
      <w:pPr>
        <w:pStyle w:val="TextoNormal"/>
      </w:pPr>
    </w:p>
    <w:p w14:paraId="7E4AAAB6" w14:textId="02E77429" w:rsidR="00C04533" w:rsidRDefault="00C04533" w:rsidP="00C04533">
      <w:pPr>
        <w:pStyle w:val="TextoNormal"/>
      </w:pPr>
      <w:r w:rsidRPr="00C04533">
        <w:rPr>
          <w:rStyle w:val="NumeroAFNegritaCaracter"/>
        </w:rPr>
        <w:t>2</w:t>
      </w:r>
      <w:r>
        <w:t>. La solicitud se fundamenta en la relación personal que mantiene con la Sra. presidenta del Congreso de los Diputados, autoridad a la que se atribuye, en el concreto período en el que ha estado en el ejercicio de dicho cargo, la inactividad u omisión que los recurrentes estiman lesiva del derecho de acceso a cargos públicos (art. 23.1 CE), en concreto la falta de convocatoria de los plenos en los que, según alegan los recurrentes, podrían haber resultado elegidos los candidatos, por el turno judicial, a vocales del Consejo General del Poder Judicial.</w:t>
      </w:r>
    </w:p>
    <w:p w14:paraId="6EFA75DC" w14:textId="77777777" w:rsidR="00C04533" w:rsidRDefault="00C04533" w:rsidP="00C04533">
      <w:pPr>
        <w:pStyle w:val="TextoNormal"/>
      </w:pPr>
    </w:p>
    <w:p w14:paraId="60F17F45" w14:textId="77777777" w:rsidR="00C04533" w:rsidRDefault="00C04533" w:rsidP="00C04533">
      <w:pPr>
        <w:pStyle w:val="TextoNormalNegritaCentrado"/>
        <w:keepNext/>
      </w:pPr>
      <w:r>
        <w:t>II. Fundamentos jurídicos</w:t>
      </w:r>
    </w:p>
    <w:p w14:paraId="212B7280" w14:textId="1AD46348" w:rsidR="00C04533" w:rsidRDefault="00C04533" w:rsidP="00C04533">
      <w:pPr>
        <w:pStyle w:val="TextoNormalNegritaCentrado"/>
        <w:keepNext/>
      </w:pPr>
    </w:p>
    <w:p w14:paraId="2DD92B5B" w14:textId="6673890F" w:rsidR="00C04533" w:rsidRDefault="00C04533" w:rsidP="00C04533">
      <w:pPr>
        <w:pStyle w:val="TextoNormal"/>
      </w:pPr>
      <w:r w:rsidRPr="00C04533">
        <w:rPr>
          <w:rStyle w:val="TextoNormalNegritaCaracter"/>
        </w:rPr>
        <w:t xml:space="preserve">Único. </w:t>
      </w:r>
      <w:r>
        <w:t>Visto el contenido de la comunicación efectuada por el magistrado don Juan Carlos Campo Moreno, en virtud de lo previsto en los arts. 80 de la Ley Orgánica del Tribunal Constitucional y 221.4 de la Ley Orgánica del Poder Judicial (LOPJ), se estima justificada la causa de abstención formulada, con fundamento en su relación personal con la Sra. presidenta del Congreso de los Diputados y de acuerdo con lo previsto en las causas 1, 14 y 15 del artículo 219 LOPJ, que definen como motivo de abstención: el vínculo matrimonial o situación de hecho asimilable y el parentesco por consanguinidad o afinidad dentro del cuarto grado con las partes o el representante del Ministerio Fiscal (causa primera);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1 a 9, 12, 13 y 15 de este artículo (causa decimocuarta); y el vínculo matrimonial o situación de hecho asimilable, o el parentesco dentro del segundo grado de consanguinidad o afinidad, con el juez o magistrado que hubiera dictado resolución o practicado actuación a valorar por vía de recurso o en cualquier fase ulterior del proceso (causa decimoquinta).</w:t>
      </w:r>
    </w:p>
    <w:p w14:paraId="23CBF009" w14:textId="77777777" w:rsidR="00C04533" w:rsidRDefault="00C04533" w:rsidP="00C04533">
      <w:pPr>
        <w:pStyle w:val="TextoNormal"/>
      </w:pPr>
    </w:p>
    <w:p w14:paraId="4DAB65D6" w14:textId="77777777" w:rsidR="00C04533" w:rsidRDefault="00C04533" w:rsidP="00C04533">
      <w:pPr>
        <w:pStyle w:val="TextoNormal"/>
      </w:pPr>
      <w:r>
        <w:t>Por lo expuesto, la Sala</w:t>
      </w:r>
    </w:p>
    <w:p w14:paraId="440A12A4" w14:textId="5179EDFA" w:rsidR="00C04533" w:rsidRDefault="00C04533" w:rsidP="00C04533">
      <w:pPr>
        <w:pStyle w:val="TextoNormal"/>
      </w:pPr>
    </w:p>
    <w:p w14:paraId="131461E0" w14:textId="77777777" w:rsidR="00C04533" w:rsidRDefault="00C04533" w:rsidP="00C04533">
      <w:pPr>
        <w:pStyle w:val="TextoNormalCentrado"/>
      </w:pPr>
      <w:r>
        <w:t>ACUERDA</w:t>
      </w:r>
    </w:p>
    <w:p w14:paraId="105DA8DB" w14:textId="74238E3B" w:rsidR="00C04533" w:rsidRDefault="00C04533" w:rsidP="00C04533">
      <w:pPr>
        <w:pStyle w:val="TextoNormalCentrado"/>
      </w:pPr>
    </w:p>
    <w:p w14:paraId="2FF2F13F" w14:textId="161DCF57" w:rsidR="00C04533" w:rsidRDefault="00C04533" w:rsidP="00C04533">
      <w:pPr>
        <w:pStyle w:val="TextoNormal"/>
      </w:pPr>
      <w:r>
        <w:t>Estimar justificada la abstención formulada por el magistrado don Juan Carlos Campo Moreno en el recurso de amparo núm. 4834-2020, apartándole definitivamente de su conocimiento.</w:t>
      </w:r>
    </w:p>
    <w:p w14:paraId="15F16475" w14:textId="77777777" w:rsidR="00C04533" w:rsidRDefault="00C04533" w:rsidP="00C04533">
      <w:pPr>
        <w:pStyle w:val="TextoNormal"/>
      </w:pPr>
    </w:p>
    <w:p w14:paraId="59346464" w14:textId="77777777" w:rsidR="00C04533" w:rsidRDefault="00C04533" w:rsidP="00C04533">
      <w:pPr>
        <w:pStyle w:val="TextoNormal"/>
      </w:pPr>
      <w:r>
        <w:t>Madrid, a veintiuno de octubre de dos mil veinticuatro.</w:t>
      </w:r>
    </w:p>
    <w:p w14:paraId="6918AEBB" w14:textId="72F4359D" w:rsidR="00C04533" w:rsidRDefault="00C04533">
      <w:pPr>
        <w:spacing w:after="160" w:line="278" w:lineRule="auto"/>
        <w:rPr>
          <w:rFonts w:ascii="Times New Roman" w:eastAsia="Times New Roman" w:hAnsi="Times New Roman" w:cs="Times New Roman"/>
          <w:sz w:val="24"/>
          <w:szCs w:val="24"/>
          <w:lang w:eastAsia="es-ES"/>
        </w:rPr>
      </w:pPr>
      <w:r>
        <w:br w:type="page"/>
      </w:r>
    </w:p>
    <w:p w14:paraId="79DA5E83" w14:textId="77777777" w:rsidR="00C04533" w:rsidRDefault="00C04533" w:rsidP="00C04533">
      <w:pPr>
        <w:pStyle w:val="TtuloResolucin"/>
      </w:pPr>
      <w:bookmarkStart w:id="102" w:name="AUTO_2024_96"/>
      <w:r>
        <w:t>AUTO 96/2024, de 21 de octubre de 2024</w:t>
      </w:r>
    </w:p>
    <w:bookmarkEnd w:id="102"/>
    <w:p w14:paraId="0DF9722C" w14:textId="77777777" w:rsidR="00C04533" w:rsidRDefault="00C04533" w:rsidP="00C04533">
      <w:pPr>
        <w:pStyle w:val="TtuloResolucin"/>
      </w:pPr>
      <w:r>
        <w:t>Sala Primera</w:t>
      </w:r>
    </w:p>
    <w:p w14:paraId="61957148" w14:textId="77777777" w:rsidR="00C04533" w:rsidRDefault="00C04533" w:rsidP="00C04533">
      <w:pPr>
        <w:pStyle w:val="TextoNormalCentrado"/>
      </w:pPr>
      <w:r>
        <w:t>ECLI:ES:TC:2024:96A</w:t>
      </w:r>
    </w:p>
    <w:p w14:paraId="00A00684" w14:textId="162697AC" w:rsidR="00C04533" w:rsidRDefault="00C04533" w:rsidP="00C04533">
      <w:pPr>
        <w:pStyle w:val="TextoNormalCentrado"/>
      </w:pPr>
    </w:p>
    <w:p w14:paraId="56E2A11B" w14:textId="77777777" w:rsidR="00C04533" w:rsidRDefault="00C04533" w:rsidP="00C04533">
      <w:pPr>
        <w:pStyle w:val="SntesisDescriptiva"/>
      </w:pPr>
      <w:r>
        <w:t>Excms. Srs. don Cándido Conde-Pumpido Tourón, don Ricardo Enríquez Sancho, doña Concepción Espejel Jorquera, doña María Luisa Segoviano Astaburuaga y don José María Macías Castaño.</w:t>
      </w:r>
    </w:p>
    <w:p w14:paraId="56CA8931" w14:textId="32FE0A6C" w:rsidR="00C04533" w:rsidRDefault="00C04533" w:rsidP="00C04533">
      <w:pPr>
        <w:pStyle w:val="SntesisDescriptiva"/>
      </w:pPr>
    </w:p>
    <w:p w14:paraId="660C588E" w14:textId="77777777" w:rsidR="00C04533" w:rsidRDefault="00C04533" w:rsidP="00C04533">
      <w:pPr>
        <w:pStyle w:val="SntesisDescriptiva"/>
      </w:pPr>
      <w:r>
        <w:t>Acuerda la extinción, por pérdida sobrevenida de objeto, del recurso de amparo 4834-2020, promovido en procedimiento parlamentario.</w:t>
      </w:r>
    </w:p>
    <w:p w14:paraId="0486BA23" w14:textId="3F9F870A" w:rsidR="00C04533" w:rsidRDefault="00C04533" w:rsidP="00C04533">
      <w:pPr>
        <w:pStyle w:val="SntesisDescriptiva"/>
      </w:pPr>
    </w:p>
    <w:p w14:paraId="71480042" w14:textId="77777777" w:rsidR="00C04533" w:rsidRDefault="00C04533" w:rsidP="00C04533">
      <w:pPr>
        <w:pStyle w:val="SntesisDescriptiva"/>
      </w:pPr>
    </w:p>
    <w:p w14:paraId="729957D0" w14:textId="77777777" w:rsidR="00C04533" w:rsidRDefault="00C04533" w:rsidP="00C04533">
      <w:pPr>
        <w:pStyle w:val="SntesisDescriptiva"/>
      </w:pPr>
    </w:p>
    <w:p w14:paraId="3546AD21" w14:textId="77777777" w:rsidR="00C04533" w:rsidRDefault="00C04533" w:rsidP="00C04533">
      <w:pPr>
        <w:pStyle w:val="TextoNormalNegritaCentrado"/>
      </w:pPr>
      <w:r>
        <w:t>AUTO</w:t>
      </w:r>
    </w:p>
    <w:p w14:paraId="687232E9" w14:textId="00180A10" w:rsidR="00C04533" w:rsidRDefault="00C04533" w:rsidP="00C04533">
      <w:pPr>
        <w:pStyle w:val="TextoNormalNegritaCentrado"/>
      </w:pPr>
    </w:p>
    <w:p w14:paraId="7BF952D7" w14:textId="77777777" w:rsidR="00C04533" w:rsidRDefault="00C04533" w:rsidP="00C04533">
      <w:pPr>
        <w:pStyle w:val="TextoNormalNegritaCentrado"/>
        <w:keepNext/>
      </w:pPr>
      <w:r>
        <w:t>I. Antecedentes</w:t>
      </w:r>
    </w:p>
    <w:p w14:paraId="14040337" w14:textId="78FC23E0" w:rsidR="00C04533" w:rsidRDefault="00C04533" w:rsidP="00C04533">
      <w:pPr>
        <w:pStyle w:val="TextoNormalNegritaCentrado"/>
        <w:keepNext/>
      </w:pPr>
    </w:p>
    <w:p w14:paraId="59E5C6F8" w14:textId="64929AEB" w:rsidR="00C04533" w:rsidRDefault="00C04533" w:rsidP="00C04533">
      <w:pPr>
        <w:pStyle w:val="TextoNormal"/>
      </w:pPr>
      <w:r w:rsidRPr="00C04533">
        <w:rPr>
          <w:rStyle w:val="NumeroAFNegritaCaracter"/>
        </w:rPr>
        <w:t>1</w:t>
      </w:r>
      <w:r>
        <w:t>. El día 14 de octubre de 2020 tuvo entrada en el registro general de este tribunal un escrito de la procuradora de los tribunales doña María Isabel Torres Ruiz, en nombre y representación de don José Antonio Baena Sierra, don Rafael Estévez Benito, doña Mónica García de Yzaguirre, don Manuel Jaén Vallejo, don Juan Luis Lorenzo Bragado, doña María Tardón Olmos y la Asociación Judicial Francisco de Vitoria, interponiendo recurso de amparo contra la inactividad u omisión de las Cortes Generales (en su composición bicameral de Congreso de los Diputados y Senado) del cumplimiento del deber de proceder a la renovación de los vocales correspondientes al turno judicial del Consejo General del Poder Judicial, cuyo mandato expiró el día 4 de diciembre de 2018.</w:t>
      </w:r>
    </w:p>
    <w:p w14:paraId="36FABEFF" w14:textId="77777777" w:rsidR="00C04533" w:rsidRDefault="00C04533" w:rsidP="00C04533">
      <w:pPr>
        <w:pStyle w:val="TextoNormal"/>
      </w:pPr>
    </w:p>
    <w:p w14:paraId="03A33311" w14:textId="77777777" w:rsidR="00C04533" w:rsidRDefault="00C04533" w:rsidP="00C04533">
      <w:pPr>
        <w:pStyle w:val="TextoNormal"/>
      </w:pPr>
      <w:r w:rsidRPr="00C04533">
        <w:rPr>
          <w:rStyle w:val="NumeroAFNegritaCaracter"/>
        </w:rPr>
        <w:t>2</w:t>
      </w:r>
      <w:r>
        <w:t>. Los hechos relevantes del recurso de amparo son sustancialmente los siguientes:</w:t>
      </w:r>
    </w:p>
    <w:p w14:paraId="15F0DC12" w14:textId="77777777" w:rsidR="00C04533" w:rsidRDefault="00C04533" w:rsidP="00C04533">
      <w:pPr>
        <w:pStyle w:val="TextoNormal"/>
      </w:pPr>
    </w:p>
    <w:p w14:paraId="37FE9954" w14:textId="77777777" w:rsidR="00C04533" w:rsidRDefault="00C04533" w:rsidP="00C04533">
      <w:pPr>
        <w:pStyle w:val="TextoNormal"/>
      </w:pPr>
      <w:r>
        <w:t>a) Los recurrentes en amparo don José Antonio Baena Sierra, don Rafael Estévez Benito, doña Mónica García de Yzaguirre, don Manuel Jaén Vallejo, don Juan Luis Lorenzo Bragado y doña María Tardón Olmos fueron propuestos y avalados por la Asociación Judicial Francisco de Vitoria, también recurrente en amparo, como candidatos a vocales correspondientes al turno judicial para la renovación del Consejo General Poder Judicial, cuyo mandato había expirado el día 4 de diciembre de 2018.</w:t>
      </w:r>
    </w:p>
    <w:p w14:paraId="4EB68706" w14:textId="77777777" w:rsidR="00C04533" w:rsidRDefault="00C04533" w:rsidP="00C04533">
      <w:pPr>
        <w:pStyle w:val="TextoNormal"/>
      </w:pPr>
    </w:p>
    <w:p w14:paraId="18742130" w14:textId="77777777" w:rsidR="00C04533" w:rsidRDefault="00C04533" w:rsidP="00C04533">
      <w:pPr>
        <w:pStyle w:val="TextoNormal"/>
      </w:pPr>
      <w:r>
        <w:t>b) Antes de la fecha de expiración del mandato, en septiembre de 2018 (dentro de los plazos legalmente previstos), el presidente del Consejo General del Poder Judicial remitió a los presidentes del Congreso de los Diputados y del Senado las candidaturas definitivamente admitidas, entre las que figuraban las de los recurrentes, a fin de que ambas cámaras procediesen a la designación de los vocales del turno judicial conforme a lo previsto en el art. 567 de la Ley Orgánica del Poder Judicial (art. 578 de la Ley Orgánica del Poder Judicial: LOPJ).</w:t>
      </w:r>
    </w:p>
    <w:p w14:paraId="77CBF1A3" w14:textId="77777777" w:rsidR="00C04533" w:rsidRDefault="00C04533" w:rsidP="00C04533">
      <w:pPr>
        <w:pStyle w:val="TextoNormal"/>
      </w:pPr>
    </w:p>
    <w:p w14:paraId="1BB29DAF" w14:textId="737AFD6D" w:rsidR="00C04533" w:rsidRDefault="00C04533" w:rsidP="00C04533">
      <w:pPr>
        <w:pStyle w:val="TextoNormal"/>
      </w:pPr>
      <w:r>
        <w:t>c) Desde entonces —se afirma en la demanda— habrían transcurrido más de dos años (más de cinco años, en la actualidad) sin que se hayan celebrado los plenos del Congreso y del Senado para proceder a la votación y nombramiento de diez vocales por cada Cámara (seis del turno judicial y cuatro del turno de juristas).</w:t>
      </w:r>
    </w:p>
    <w:p w14:paraId="0B916739" w14:textId="77777777" w:rsidR="00C04533" w:rsidRDefault="00C04533" w:rsidP="00C04533">
      <w:pPr>
        <w:pStyle w:val="TextoNormal"/>
      </w:pPr>
    </w:p>
    <w:p w14:paraId="7C772B66" w14:textId="77777777" w:rsidR="00C04533" w:rsidRDefault="00C04533" w:rsidP="00C04533">
      <w:pPr>
        <w:pStyle w:val="TextoNormal"/>
      </w:pPr>
      <w:r w:rsidRPr="00C04533">
        <w:rPr>
          <w:rStyle w:val="NumeroAFNegritaCaracter"/>
        </w:rPr>
        <w:t>3</w:t>
      </w:r>
      <w:r>
        <w:t>. Los demandantes de amparo estiman vulnerado, en primer lugar, el derecho de acceso a los cargos públicos (art. 23.2 CE), como consecuencia de la infracción del procedimiento de renovación del Consejo General del Poder Judicial legalmente previsto. La paralización injustificada del proceso de selección de candidatos a vocales del Consejo General del Poder Judicial, por la mera falta de decisión de las Cortes Generales, sin que ni siquiera haya convocado un pleno con este objeto en más de dos años (más de cinco años, en la actualidad), vulneraría, según los recurrentes en amparo, el derecho de acceso a las funciones y cargos públicos de los ciudadanos y, en este caso, el derecho de acceso a los jueces que han sido propuestos como candidatos a vocales por el turno judicial en el Consejo General del Poder Judicial.</w:t>
      </w:r>
    </w:p>
    <w:p w14:paraId="6D69A16A" w14:textId="77777777" w:rsidR="00C04533" w:rsidRDefault="00C04533" w:rsidP="00C04533">
      <w:pPr>
        <w:pStyle w:val="TextoNormal"/>
      </w:pPr>
    </w:p>
    <w:p w14:paraId="63843B98" w14:textId="3FF35DE5" w:rsidR="00C04533" w:rsidRDefault="00C04533" w:rsidP="00C04533">
      <w:pPr>
        <w:pStyle w:val="TextoNormal"/>
      </w:pPr>
      <w:r>
        <w:t>Igualmente, entienden que se ha vulnerado el derecho de asociación (art. 22 CE), pues la paralización injustificada del proceso de selección de candidatos a vocales del Consejo General del Poder Judicial supone una lesión directa “a todas las asociaciones judiciales respecto a la efectividad del derecho de asociación y la prosecución de sus fines, entre los que se encuentra el de proteger los derechos profesionales de sus asociados”.</w:t>
      </w:r>
    </w:p>
    <w:p w14:paraId="3FDF8D9F" w14:textId="77777777" w:rsidR="00C04533" w:rsidRDefault="00C04533" w:rsidP="00C04533">
      <w:pPr>
        <w:pStyle w:val="TextoNormal"/>
      </w:pPr>
    </w:p>
    <w:p w14:paraId="5D3AC24D" w14:textId="77777777" w:rsidR="00C04533" w:rsidRDefault="00C04533" w:rsidP="00C04533">
      <w:pPr>
        <w:pStyle w:val="TextoNormal"/>
      </w:pPr>
      <w:r w:rsidRPr="00C04533">
        <w:rPr>
          <w:rStyle w:val="NumeroAFNegritaCaracter"/>
        </w:rPr>
        <w:t>4</w:t>
      </w:r>
      <w:r>
        <w:t>. Como motivos de especial trascendencia constitucional del recurso, se afirma en la demanda, en primer lugar, que dicha trascendencia nace de una nueva faceta de los derechos fundamentales afectados (arts. 22 y 23.2 CE), vinculada con la no renovación de los vocales de procedencia judicial del Consejo General del Poder Judicial, sobre la que no existe doctrina de este tribunal.</w:t>
      </w:r>
    </w:p>
    <w:p w14:paraId="67943E03" w14:textId="77777777" w:rsidR="00C04533" w:rsidRDefault="00C04533" w:rsidP="00C04533">
      <w:pPr>
        <w:pStyle w:val="TextoNormal"/>
      </w:pPr>
    </w:p>
    <w:p w14:paraId="0B48E157" w14:textId="77777777" w:rsidR="00C04533" w:rsidRDefault="00C04533" w:rsidP="00C04533">
      <w:pPr>
        <w:pStyle w:val="TextoNormal"/>
      </w:pPr>
      <w:r>
        <w:t>En segundo lugar, los recurrentes aducen que es necesaria y oportuna una reflexión por parte del Tribunal respecto a la configuración del contenido de los derechos fundamentales cuya vulneración se denuncia, por la inaplicación de los mecanismos legalmente previstos para la renovación de los cargos del Consejo General del Poder Judicial. Además, consideran que el recurso abre la posibilidad para que el Tribunal, tras el tiempo transcurrido desde el dictado de la STC 108/1986, de 29 de julio (FJ 13), estudie, revise y se pronuncie sobre el sistema de elección de los vocales de procedencia judicial y los trámites para la renovación del Consejo General del Poder Judicial desde una óptica actual, lo que en sí ya resulta de especial interés y trascendencia social.</w:t>
      </w:r>
    </w:p>
    <w:p w14:paraId="4E3D8FC4" w14:textId="77777777" w:rsidR="00C04533" w:rsidRDefault="00C04533" w:rsidP="00C04533">
      <w:pPr>
        <w:pStyle w:val="TextoNormal"/>
      </w:pPr>
    </w:p>
    <w:p w14:paraId="4ECBE7B8" w14:textId="5AD55C64" w:rsidR="00C04533" w:rsidRDefault="00C04533" w:rsidP="00C04533">
      <w:pPr>
        <w:pStyle w:val="TextoNormal"/>
      </w:pPr>
      <w:r>
        <w:t>Por último, los demandantes alegan que el recurso tiene también especial trascendencia constitucional porque con el actual sistema se está dando lugar a un Consejo General del Poder Judicial en funciones, que fue designado por una mayoría parlamentaria diferente a la que hay en la actualidad y que, sin embargo, continúa haciendo nombramientos. Así pues, el recurso abre una interesante oportunidad al Tribunal para replantear de oficio la revisión de la inconstitucionalidad sobre los trámites para el nombramiento de vocales de dicho consejo.</w:t>
      </w:r>
    </w:p>
    <w:p w14:paraId="133C7C94" w14:textId="77777777" w:rsidR="00C04533" w:rsidRDefault="00C04533" w:rsidP="00C04533">
      <w:pPr>
        <w:pStyle w:val="TextoNormal"/>
      </w:pPr>
    </w:p>
    <w:p w14:paraId="664B5585" w14:textId="77777777" w:rsidR="00C04533" w:rsidRDefault="00C04533" w:rsidP="00C04533">
      <w:pPr>
        <w:pStyle w:val="TextoNormal"/>
      </w:pPr>
      <w:r w:rsidRPr="00C04533">
        <w:rPr>
          <w:rStyle w:val="NumeroAFNegritaCaracter"/>
        </w:rPr>
        <w:t>5</w:t>
      </w:r>
      <w:r>
        <w:t>. La Sección Primera de la Sala Primera del Tribunal Constitucional, por providencia de 28 de abril de 2021, acordó la inadmisión a trámite del recurso de amparo, con arreglo a lo previsto en el art. 50.1 a) de la Ley Orgánica del Tribunal Constitucional (LOTC), en relación con su art. 42, toda vez que el recurso había sido presentado fuera de plazo.</w:t>
      </w:r>
    </w:p>
    <w:p w14:paraId="31D6840F" w14:textId="77777777" w:rsidR="00C04533" w:rsidRDefault="00C04533" w:rsidP="00C04533">
      <w:pPr>
        <w:pStyle w:val="TextoNormal"/>
      </w:pPr>
    </w:p>
    <w:p w14:paraId="691A61BD" w14:textId="1B8E9A48" w:rsidR="00C04533" w:rsidRDefault="00C04533" w:rsidP="00C04533">
      <w:pPr>
        <w:pStyle w:val="TextoNormal"/>
      </w:pPr>
      <w:r>
        <w:t>Con posterioridad, la Sección, por providencia de 1 de junio de 2021, acordó no haber lugar a la solicitud de aclaración de la anterior providencia instada por los recurrentes, “toda vez que, de conformidad con lo dispuesto en el art. 50.3 LOTC, contra las providencias de inadmisión de los recursos de amparo solo cabe interponer recurso de súplica por el Ministerio Fiscal en [el] plazo de tres días, quien ha dejado transcurrir el citado plazo sin efectuarlo”. Sin perjuicio de lo anterior, se señala que no procedería aclaración alguna puesto que el recurso, que tuvo entrada en el registro de este tribunal el día 14 de octubre de 2020, sería en todo caso extemporáneo y ello tanto si “se considera que las vulneraciones denunciadas se hubieran producido por la omisión en la convocatoria de los plenos del Congreso y del Senado para proceder a la votación y nombramiento de los diez vocales por cada Cámara, en cuyo caso el plazo se iniciaría el 4 de diciembre de 2018, fecha de la finalización del mandato del Consejo General del Poder Judicial, como si se entiende que como consecuencia de la renovación de las cámaras a través de la celebración de elecciones se reabriría un nuevo plazo a contar desde la constitución de la [nueva] XIV Legislatura, [el] 4 de diciembre de 2019”.</w:t>
      </w:r>
    </w:p>
    <w:p w14:paraId="42A78BB6" w14:textId="77777777" w:rsidR="00C04533" w:rsidRDefault="00C04533" w:rsidP="00C04533">
      <w:pPr>
        <w:pStyle w:val="TextoNormal"/>
      </w:pPr>
    </w:p>
    <w:p w14:paraId="27060BA6" w14:textId="4E853510" w:rsidR="00C04533" w:rsidRDefault="00C04533" w:rsidP="00C04533">
      <w:pPr>
        <w:pStyle w:val="TextoNormal"/>
      </w:pPr>
      <w:r w:rsidRPr="00C04533">
        <w:rPr>
          <w:rStyle w:val="NumeroAFNegritaCaracter"/>
        </w:rPr>
        <w:t>6</w:t>
      </w:r>
      <w:r>
        <w:t>. Los recurrentes en amparo don José Antonio Baena Sierra, don Rafael Estévez Benito, doña Mónica García de Yzaguirre, don Manuel Jaén Vallejo, don Juan Luis Lorenzo Bragado y doña María Tardón Olmos interpusieron, cada uno de ellos, demanda contra el Reino de España ante el Tribunal Europeo de Derechos Humanos por la decisión de inadmisión del recurso de amparo promovido ante el Tribunal Constitucional, alegando la vulneración del art. 6.1 del Convenio Europeo para la protección de los derechos humanos y de las libertades fundamentales (CEDH).</w:t>
      </w:r>
    </w:p>
    <w:p w14:paraId="3C797B93" w14:textId="77777777" w:rsidR="00C04533" w:rsidRDefault="00C04533" w:rsidP="00C04533">
      <w:pPr>
        <w:pStyle w:val="TextoNormal"/>
      </w:pPr>
    </w:p>
    <w:p w14:paraId="610C84B1" w14:textId="77777777" w:rsidR="00C04533" w:rsidRDefault="00C04533" w:rsidP="00C04533">
      <w:pPr>
        <w:pStyle w:val="TextoNormal"/>
      </w:pPr>
      <w:r w:rsidRPr="00C04533">
        <w:rPr>
          <w:rStyle w:val="NumeroAFNegritaCaracter"/>
        </w:rPr>
        <w:t>7</w:t>
      </w:r>
      <w:r>
        <w:t xml:space="preserve">. . La Sección Quinta del Tribunal Europeo de Derechos Humanos declara en su STEDH de 22 de junio de 2023, asunto </w:t>
      </w:r>
      <w:r w:rsidRPr="00C04533">
        <w:rPr>
          <w:i/>
        </w:rPr>
        <w:t>Lorenzo Bragado y otros c. España</w:t>
      </w:r>
      <w:r>
        <w:t>, por cuatro votos contra tres, que se ha producido una violación del art. 6.1 CEDH respecto de cada recurrente y que la constatación de la violación constituye en sí misma una satisfacción equitativa y suficiente del perjuicio moral sufrido por los demandantes (apartados tercero y quinto del fallo).</w:t>
      </w:r>
    </w:p>
    <w:p w14:paraId="3ED62482" w14:textId="77777777" w:rsidR="00C04533" w:rsidRDefault="00C04533" w:rsidP="00C04533">
      <w:pPr>
        <w:pStyle w:val="TextoNormal"/>
      </w:pPr>
    </w:p>
    <w:p w14:paraId="46103E3E" w14:textId="77777777" w:rsidR="00C04533" w:rsidRDefault="00C04533" w:rsidP="00C04533">
      <w:pPr>
        <w:pStyle w:val="TextoNormal"/>
      </w:pPr>
      <w:r>
        <w:t>La condena del Tribunal Europeo de Derechos Humanos al Reino de España se fundamenta en que el Tribunal Constitucional realizó una interpretación imprevisible de su ley orgánica e inadmitió un recurso de amparo por extemporáneo con una motivación inadecuada (§142-149). En síntesis, la argumentación del Tribunal Europeo de Derechos Humanos es la siguiente:</w:t>
      </w:r>
    </w:p>
    <w:p w14:paraId="7B9D5F21" w14:textId="77777777" w:rsidR="00C04533" w:rsidRDefault="00C04533" w:rsidP="00C04533">
      <w:pPr>
        <w:pStyle w:val="TextoNormal"/>
      </w:pPr>
    </w:p>
    <w:p w14:paraId="30867504" w14:textId="77777777" w:rsidR="00C04533" w:rsidRDefault="00C04533" w:rsidP="00C04533">
      <w:pPr>
        <w:pStyle w:val="TextoNormal"/>
      </w:pPr>
      <w:r>
        <w:t>a) El Tribunal Europeo de Derechos Humanos constata que el Tribunal Constitucional “no se pronunció sobre si la omisión o inacción continuada y sostenida en el tiempo alegada por los demandantes era o no susceptible de ser enjuiciada en virtud del artículo 42 o, más concretamente, si el recurso de amparo de los demandantes entraba dentro de su ámbito de aplicación”; el Tribunal Europeo de Derechos Humanos afirma que “los demandantes se refirieron específicamente a la naturaleza continuada y sostenida en el tiempo de la supuesta inacción por parte de las Cortes Generales y sus órganos y de la supuesta violación de sus derechos a causa de esa prolongada inacción” (§142).</w:t>
      </w:r>
    </w:p>
    <w:p w14:paraId="158A03BC" w14:textId="77777777" w:rsidR="00C04533" w:rsidRDefault="00C04533" w:rsidP="00C04533">
      <w:pPr>
        <w:pStyle w:val="TextoNormal"/>
      </w:pPr>
    </w:p>
    <w:p w14:paraId="094B8EF6" w14:textId="77777777" w:rsidR="00C04533" w:rsidRDefault="00C04533" w:rsidP="00C04533">
      <w:pPr>
        <w:pStyle w:val="TextoNormal"/>
      </w:pPr>
      <w:r>
        <w:t>b) El Tribunal Europeo de Derechos Humanos señala que “el Tribunal Constitucional es la única instancia jurisdiccional capaz de conocer de la situación denunciada en el seno del recurso de amparo” (§144).</w:t>
      </w:r>
    </w:p>
    <w:p w14:paraId="60603F7D" w14:textId="77777777" w:rsidR="00C04533" w:rsidRDefault="00C04533" w:rsidP="00C04533">
      <w:pPr>
        <w:pStyle w:val="TextoNormal"/>
      </w:pPr>
    </w:p>
    <w:p w14:paraId="7FCC37F1" w14:textId="77777777" w:rsidR="00C04533" w:rsidRDefault="00C04533" w:rsidP="00C04533">
      <w:pPr>
        <w:pStyle w:val="TextoNormal"/>
      </w:pPr>
      <w:r>
        <w:t>c) El Tribunal Europeo de Derechos Humanos entiende que hubiera sido razonable esperar que cualquier desestimación del recurso de amparo por el mero incumplimiento del plazo legal debiera estar adecuadamente motivada. En este contexto particular, el Tribunal Europeo de Derechos Humanos afirma que era esencial que “el Tribunal Constitucional explicara si: (i) el artículo 42 era de aplicación a una situación relativa a la inacción o a una omisión y a una situación continuada y sostenida en el tiempo; (ii) era de aplicación el plazo de tres meses y, en caso afirmativo, cómo debía calcularse; y (iii) la justificación del enfoque que debía adoptarse” (§145).</w:t>
      </w:r>
    </w:p>
    <w:p w14:paraId="6BBA306D" w14:textId="77777777" w:rsidR="00C04533" w:rsidRDefault="00C04533" w:rsidP="00C04533">
      <w:pPr>
        <w:pStyle w:val="TextoNormal"/>
      </w:pPr>
    </w:p>
    <w:p w14:paraId="127861CC" w14:textId="0B28D0F8" w:rsidR="00C04533" w:rsidRDefault="00C04533" w:rsidP="00C04533">
      <w:pPr>
        <w:pStyle w:val="TextoNormal"/>
      </w:pPr>
      <w:r>
        <w:t>d) El Tribunal Europeo de Derechos Humanos concluye “que la imprevisible interpretación y aplicación del artículo 42 LOTC y el impacto adverso resultante sobre una salvaguarda fundamental como es el acceso a un tribunal para la protección del derecho civil defendible de los demandantes, que está estrechamente relacionado con la observancia del procedimiento legal para renovar la composición del órgano de gobierno del Poder Judicial y con el correcto funcionamiento del sistema judicial, menoscabó la esencia misma de su derecho de acceso a un tribunal, dadas las circunstancias del caso” (§148), con la consiguiente vulneración del art. 6.1 CEDH (§149).</w:t>
      </w:r>
    </w:p>
    <w:p w14:paraId="77980C7C" w14:textId="77777777" w:rsidR="00C04533" w:rsidRDefault="00C04533" w:rsidP="00C04533">
      <w:pPr>
        <w:pStyle w:val="TextoNormal"/>
      </w:pPr>
    </w:p>
    <w:p w14:paraId="3ECE8E4F" w14:textId="6056759E" w:rsidR="00C04533" w:rsidRDefault="00C04533" w:rsidP="00C04533">
      <w:pPr>
        <w:pStyle w:val="TextoNormal"/>
      </w:pPr>
      <w:r w:rsidRPr="00C04533">
        <w:rPr>
          <w:rStyle w:val="NumeroAFNegritaCaracter"/>
        </w:rPr>
        <w:t>8</w:t>
      </w:r>
      <w:r>
        <w:t>. Por escrito de fecha 29 de junio de 2023, el magistrado don Juan Carlos Campo Moreno manifestó su voluntad de abstenerse de intervenir en el conocimiento del presente recurso de amparo por concurrir las causas de abstención previstas en los números 1, 14 y 15 del art. 219 LOPJ.</w:t>
      </w:r>
    </w:p>
    <w:p w14:paraId="2BD50237" w14:textId="77777777" w:rsidR="00C04533" w:rsidRDefault="00C04533" w:rsidP="00C04533">
      <w:pPr>
        <w:pStyle w:val="TextoNormal"/>
      </w:pPr>
    </w:p>
    <w:p w14:paraId="1F2844C7" w14:textId="77777777" w:rsidR="00C04533" w:rsidRDefault="00C04533" w:rsidP="00C04533">
      <w:pPr>
        <w:pStyle w:val="TextoNormal"/>
      </w:pPr>
      <w:r w:rsidRPr="00C04533">
        <w:rPr>
          <w:rStyle w:val="NumeroAFNegritaCaracter"/>
        </w:rPr>
        <w:t>9</w:t>
      </w:r>
      <w:r>
        <w:t xml:space="preserve">. Con fecha 17 de noviembre de 2023, tuvo entrada en el registro general del Tribunal un escrito por el que tanto los recurrentes en amparo, como la Asociación Judicial Francisco de Vitoria, interesan la ejecución de la STEDH de 22 de junio de 2023, asunto </w:t>
      </w:r>
      <w:r w:rsidRPr="00C04533">
        <w:rPr>
          <w:i/>
        </w:rPr>
        <w:t>Lorenzo Bragado y otros c. España</w:t>
      </w:r>
      <w:r>
        <w:t>, que declara que se ha producido una violación del art. 6.1 CEDH respecto de cada uno de los recurrentes.</w:t>
      </w:r>
    </w:p>
    <w:p w14:paraId="3A61FBBE" w14:textId="77777777" w:rsidR="00C04533" w:rsidRDefault="00C04533" w:rsidP="00C04533">
      <w:pPr>
        <w:pStyle w:val="TextoNormal"/>
      </w:pPr>
    </w:p>
    <w:p w14:paraId="52D71E4C" w14:textId="77777777" w:rsidR="00C04533" w:rsidRDefault="00C04533" w:rsidP="00C04533">
      <w:pPr>
        <w:pStyle w:val="TextoNormal"/>
      </w:pPr>
      <w:r>
        <w:t>A tales efectos, se solicita la nulidad de la providencia dictada en fecha de 28 de abril de 2021, posteriormente matizada por la providencia de 1 de junio de 2021, por la que se inadmite el recurso de amparo núm. 4834-2020, por ser lesiva para los derechos fundamentales de los recurrentes, y en su lugar se dicte una nueva resolución admitiendo a trámite el recurso presentado.</w:t>
      </w:r>
    </w:p>
    <w:p w14:paraId="4CDE03BB" w14:textId="77777777" w:rsidR="00C04533" w:rsidRDefault="00C04533" w:rsidP="00C04533">
      <w:pPr>
        <w:pStyle w:val="TextoNormal"/>
      </w:pPr>
    </w:p>
    <w:p w14:paraId="398C39AC" w14:textId="77777777" w:rsidR="00C04533" w:rsidRDefault="00C04533" w:rsidP="00C04533">
      <w:pPr>
        <w:pStyle w:val="TextoNormal"/>
      </w:pPr>
      <w:r>
        <w:t>Mediante otrosí digo, para el caso en que no se admita lo anterior y con carácter subsidiario, de conformidad con el art. 44.1 LOTC, solicitan que se tenga por presentado un recurso de amparo contra las Cortes Generales (en su composición bicameral de Congreso de los Diputados y Senado) por vulneración del art. 24.1 CE (respecto de la inadmisión del anterior recurso de amparo) y de los arts. 22 y 23.2 CE (respecto de la omisión de la convocatoria del Pleno para la renovación del Consejo General del Poder Judicial).</w:t>
      </w:r>
    </w:p>
    <w:p w14:paraId="6CC7C896" w14:textId="77777777" w:rsidR="00C04533" w:rsidRDefault="00C04533" w:rsidP="00C04533">
      <w:pPr>
        <w:pStyle w:val="TextoNormal"/>
      </w:pPr>
    </w:p>
    <w:p w14:paraId="3AEA5A23" w14:textId="40789495" w:rsidR="00C04533" w:rsidRDefault="00C04533" w:rsidP="00C04533">
      <w:pPr>
        <w:pStyle w:val="TextoNormal"/>
      </w:pPr>
      <w:r>
        <w:t>El escrito reproduce sustancialmente las alegaciones que se efectuaron en la demanda presentada el 14 de octubre de 2020. Igualmente, mantiene inalterables las causas de especial trascendencia constitucional que concurren en el presente recurso, si bien añaden con carácter previo que la especial trascendencia constitucional nace también “de la propia resolución del Tribunal Europeo de Derechos Humanos, en tanto que en la misma se pone de manifiesto la transgresión de los derechos que se reproducen en el presente recurso y su contenido, a la vista de que no ha generado pronunciamiento por parte del Tribunal Constitucional [y] exige que se produzca”.</w:t>
      </w:r>
    </w:p>
    <w:p w14:paraId="41B3F074" w14:textId="77777777" w:rsidR="00C04533" w:rsidRDefault="00C04533" w:rsidP="00C04533">
      <w:pPr>
        <w:pStyle w:val="TextoNormal"/>
      </w:pPr>
    </w:p>
    <w:p w14:paraId="6F3C5B4E" w14:textId="7E505BDD" w:rsidR="00C04533" w:rsidRDefault="00C04533" w:rsidP="00C04533">
      <w:pPr>
        <w:pStyle w:val="TextoNormal"/>
      </w:pPr>
      <w:r w:rsidRPr="00C04533">
        <w:rPr>
          <w:rStyle w:val="NumeroAFNegritaCaracter"/>
        </w:rPr>
        <w:t>10</w:t>
      </w:r>
      <w:r>
        <w:t>. Con posterioridad a la presentación del precitado escrito, el 23 y 24 de julio de 2024 tuvieron lugar, respectivamente, las sesiones plenarias en el Congreso (“Diario de Sesiones del Congreso de los Diputados”, Pleno y Diputación Permanente, XV Legislatura, núm. 58, de 23 de julio de 2024) y en el Senado (“Diario de Sesiones del Senado”, Pleno, XV Legislatura, núm. 41, de 24 de julio de 2024) para la designación de los vocales del Consejo General del Poder Judicial, permitiendo con ello la renovación del órgano. Este proceso se culminó con el Real Decreto 755/2024, de 24 de julio, por el que se nombran vocales del Consejo General del Poder Judicial a propuesta del Congreso de los Diputados, y con el Real Decreto 756/2024, de 24 de julio, por el que se nombran vocales del Consejo General del Poder Judicial a propuesta del Senado.</w:t>
      </w:r>
    </w:p>
    <w:p w14:paraId="38A665A4" w14:textId="77777777" w:rsidR="00C04533" w:rsidRDefault="00C04533" w:rsidP="00C04533">
      <w:pPr>
        <w:pStyle w:val="TextoNormal"/>
      </w:pPr>
    </w:p>
    <w:p w14:paraId="329E519D" w14:textId="6DB710EC" w:rsidR="00C04533" w:rsidRDefault="00C04533" w:rsidP="00C04533">
      <w:pPr>
        <w:pStyle w:val="TextoNormal"/>
      </w:pPr>
      <w:r w:rsidRPr="00C04533">
        <w:rPr>
          <w:rStyle w:val="NumeroAFNegritaCaracter"/>
        </w:rPr>
        <w:t>11</w:t>
      </w:r>
      <w:r>
        <w:t>. La Sala Primera del Tribunal Constitucional, mediante auto de 21 de octubre de 2024, estimó justificada la abstención formulada por el magistrado don Juan Carlos Campo Moreno en este proceso constitucional, apartándole definitivamente de su conocimiento y de todas sus incidencias.</w:t>
      </w:r>
    </w:p>
    <w:p w14:paraId="63AC327C" w14:textId="77777777" w:rsidR="00C04533" w:rsidRDefault="00C04533" w:rsidP="00C04533">
      <w:pPr>
        <w:pStyle w:val="TextoNormal"/>
      </w:pPr>
    </w:p>
    <w:p w14:paraId="6E9F1F89" w14:textId="77777777" w:rsidR="00C04533" w:rsidRDefault="00C04533" w:rsidP="00C04533">
      <w:pPr>
        <w:pStyle w:val="TextoNormalNegritaCentrado"/>
        <w:keepNext/>
      </w:pPr>
      <w:r>
        <w:t>II. Fundamentos jurídicos</w:t>
      </w:r>
    </w:p>
    <w:p w14:paraId="5654F139" w14:textId="13B7009C" w:rsidR="00C04533" w:rsidRDefault="00C04533" w:rsidP="00C04533">
      <w:pPr>
        <w:pStyle w:val="TextoNormalNegritaCentrado"/>
        <w:keepNext/>
      </w:pPr>
    </w:p>
    <w:p w14:paraId="651BBF97" w14:textId="64CAE73A" w:rsidR="00C04533" w:rsidRDefault="00C04533" w:rsidP="00C04533">
      <w:pPr>
        <w:pStyle w:val="TextoNormal"/>
      </w:pPr>
      <w:r w:rsidRPr="00C04533">
        <w:rPr>
          <w:rStyle w:val="NumeroAFNegritaCaracter"/>
        </w:rPr>
        <w:t>1</w:t>
      </w:r>
      <w:r>
        <w:t xml:space="preserve">. El Tribunal Europeo de Derechos Humanos ha declarado, en su sentencia de 22 de junio de 2023, asunto </w:t>
      </w:r>
      <w:r w:rsidRPr="00C04533">
        <w:rPr>
          <w:i/>
        </w:rPr>
        <w:t>Lorenzo Bragado y otros c. España</w:t>
      </w:r>
      <w:r>
        <w:t>, por las razones sucintamente expuestas en los antecedentes de este auto, que se ha producido una vulneración del art. 6.1 CEDH —derecho de toda persona a ser oída por un tribunal que decidirá los litigios sobre sus derechos y obligaciones de carácter civil— respecto de los demandantes don José Antonio Baena Sierra, don Rafael Estévez Benito, doña Mónica García de Yzaguirre, don Manuel Jaén Vallejo, don Juan Luis Lorenzo Bragado y doña María Tardón Olmos, como consecuencia de la decisión de este tribunal de no admitir a trámite por extemporáneo [art. 50.1 a), en relación con el art. 42, ambos de la Ley Orgánica del Tribunal Constitucional] el recurso de amparo que en su día interpusieron, junto con la Asociación Judicial Francisco de Vitoria, contra la inactividad u omisión de las Cortes Generales (Congreso de los Diputados y Senado) de proceder a la renovación de los vocales del Consejo General del Poder Judicial, cuyo mandato había expirado el día 4 de diciembre de 2018.</w:t>
      </w:r>
    </w:p>
    <w:p w14:paraId="7207E762" w14:textId="77777777" w:rsidR="00C04533" w:rsidRDefault="00C04533" w:rsidP="00C04533">
      <w:pPr>
        <w:pStyle w:val="TextoNormal"/>
      </w:pPr>
    </w:p>
    <w:p w14:paraId="318FD200" w14:textId="77777777" w:rsidR="00C04533" w:rsidRDefault="00C04533" w:rsidP="00C04533">
      <w:pPr>
        <w:pStyle w:val="TextoNormal"/>
      </w:pPr>
      <w:r w:rsidRPr="00C04533">
        <w:rPr>
          <w:rStyle w:val="NumeroAFNegritaCaracter"/>
        </w:rPr>
        <w:t>2</w:t>
      </w:r>
      <w:r>
        <w:t>. Este tribunal tiene declarado, entre otras por la STC 197/2006, de 3 de julio, FJ 3, que de la propia regulación del Convenio europeo para la protección de los derechos humanos y de las libertades fundamentales y de su interpretación por el Tribunal Europeo de Derechos Humanos, se deriva que las resoluciones de este último “tienen carácter declarativo y no anulan ni modifican por sí mismas los actos, en este caso sentencias, declarados contrarios al Convenio”, jurisprudencia que ha sido mantenida por el Tribunal Europeo de Derechos Humanos hasta el día de hoy, no obstante la importante reestructuración operada en el Convenio como consecuencia de la entrada en vigor del Protocolo núm. 11 a fines de 1998. Del mismo modo, como recuerda la STC 313/2005, de 12 de diciembre, FJ 3 a), el Tribunal Europeo de Derechos Humanos, “de conformidad con lo dispuesto en el Convenio (actual art. 46 rubricado ‘fuerza obligatoria y ejecución de las sentencias’), tan solo ostenta una potestad declarativa, puesto que la fase de ejecución de sus sentencias es encomendada al Comité de Ministros, órgano encargado de ‘velar’ por su ejecución”.</w:t>
      </w:r>
    </w:p>
    <w:p w14:paraId="1D9C19ED" w14:textId="77777777" w:rsidR="00C04533" w:rsidRDefault="00C04533" w:rsidP="00C04533">
      <w:pPr>
        <w:pStyle w:val="TextoNormal"/>
      </w:pPr>
    </w:p>
    <w:p w14:paraId="364CD7CC" w14:textId="77777777" w:rsidR="00C04533" w:rsidRDefault="00C04533" w:rsidP="00C04533">
      <w:pPr>
        <w:pStyle w:val="TextoNormal"/>
      </w:pPr>
      <w:r>
        <w:t>Ello no implica, sin embargo, la carencia de todo efecto interno de la declaración realizada por el Tribunal Europeo de Derechos Humanos sobre la existencia de la infracción de un derecho reconocido en el Convenio, y que, en lo que ahora importa, este tribunal, en el ejercicio de su jurisdicción, no pueda adoptar, cuando así lo requieran las circunstancias del caso, las medidas que considere necesarias o pertinentes a tal fin en supuestos que así lo impongan la defensa de los derechos fundamentales, en particular, cuando aún pueda revestir visos o caracteres de actualidad la lesión de aquellos derechos fundamentales denunciada ante este tribunal y aún pueda ser efectiva su reparación.</w:t>
      </w:r>
    </w:p>
    <w:p w14:paraId="31E60A14" w14:textId="77777777" w:rsidR="00C04533" w:rsidRDefault="00C04533" w:rsidP="00C04533">
      <w:pPr>
        <w:pStyle w:val="TextoNormal"/>
      </w:pPr>
    </w:p>
    <w:p w14:paraId="481035DB" w14:textId="557C68B7" w:rsidR="00C04533" w:rsidRDefault="00C04533" w:rsidP="00C04533">
      <w:pPr>
        <w:pStyle w:val="TextoNormal"/>
      </w:pPr>
      <w:r>
        <w:t>Dado que en el caso actual, tal y como señalaremos en el fundamento jurídico siguiente, se ha producido la pérdida de objeto de la pretensión que se sostenía en el recurso de amparo, no se hace necesario adoptar medida alguna en relación con su inicial inadmisión a trámite. Es, por ello, que debemos acordar que no ha lugar a efectuar ningún pronunciamiento respecto de la nulidad o pérdida de efectos de la providencia de la Sección Primera de esta Sala de 28 de abril de 2021 que inadmitió inicialmente el recurso, así como de la posterior providencia de 1 de junio de 2021 por la que se denegó la solicitud de aclaración formulada.</w:t>
      </w:r>
    </w:p>
    <w:p w14:paraId="0396E5D3" w14:textId="77777777" w:rsidR="00C04533" w:rsidRDefault="00C04533" w:rsidP="00C04533">
      <w:pPr>
        <w:pStyle w:val="TextoNormal"/>
      </w:pPr>
    </w:p>
    <w:p w14:paraId="13717337" w14:textId="77777777" w:rsidR="00C04533" w:rsidRDefault="00C04533" w:rsidP="00C04533">
      <w:pPr>
        <w:pStyle w:val="TextoNormal"/>
      </w:pPr>
      <w:r w:rsidRPr="00C04533">
        <w:rPr>
          <w:rStyle w:val="NumeroAFNegritaCaracter"/>
        </w:rPr>
        <w:t>3</w:t>
      </w:r>
      <w:r>
        <w:t>. El objeto de este recurso es determinar si como se denuncia en la demanda de amparo —y se ratifica en el escrito de fecha 17 de noviembre de 2023— se ha producido la vulneración de los derechos de acceso a los cargos públicos (art. 23.2 CE) y de asociación (art. 22 CE) de los recurrentes que han sido propuestos como candidatos a vocales por el turno judicial del Consejo General del Poder Judicial y de la asociación judicial que los ha avalado, por la inactividad u omisión continuada de ambas cámaras de las Cortes Generales —Congreso de los Diputados y Senado— del cumplimiento de su deber de proceder a la renovación de los vocales del Consejo General del Poder Judicial, cuyo mandato expiró el día 4 de diciembre de 2018.</w:t>
      </w:r>
    </w:p>
    <w:p w14:paraId="6193E580" w14:textId="77777777" w:rsidR="00C04533" w:rsidRDefault="00C04533" w:rsidP="00C04533">
      <w:pPr>
        <w:pStyle w:val="TextoNormal"/>
      </w:pPr>
    </w:p>
    <w:p w14:paraId="6BB25596" w14:textId="77777777" w:rsidR="00C04533" w:rsidRDefault="00C04533" w:rsidP="00C04533">
      <w:pPr>
        <w:pStyle w:val="TextoNormal"/>
      </w:pPr>
      <w:r>
        <w:t>Sin embargo, es un hecho notorio que en el momento del dictado de esta resolución se ha procedido —con fecha 24 de julio de 2024— a la renovación del Consejo General del Poder Judicial cuyo mandato había expirado el día 4 de diciembre de 2018, poniendo fin a la inactividad u omisión de ambas cámaras de las Cortes Generales denunciada por los recurrentes.</w:t>
      </w:r>
    </w:p>
    <w:p w14:paraId="5C5FDF42" w14:textId="77777777" w:rsidR="00C04533" w:rsidRDefault="00C04533" w:rsidP="00C04533">
      <w:pPr>
        <w:pStyle w:val="TextoNormal"/>
      </w:pPr>
    </w:p>
    <w:p w14:paraId="23B9C574" w14:textId="0987613A" w:rsidR="00C04533" w:rsidRDefault="00C04533" w:rsidP="00C04533">
      <w:pPr>
        <w:pStyle w:val="TextoNormal"/>
      </w:pPr>
      <w:r>
        <w:t>De acuerdo con nuestra reiterada doctrina constitucional (SSTC 73/2018, de 5 de julio, FJ 2, y 52/2019, de 11 de abril, FJ 2, entre otras), por una parte, la desaparición sobrevenida del objeto del proceso, aun cuando no es contemplada expresamente en el artículo 86.1 LOTC, es una de las formas de terminación de los distintos procesos constitucionales, también en el caso del amparo. Por otra parte, el recurso de amparo se configura como un remedio jurisdiccional idóneo únicamente para la reparación de lesiones singulares y efectivas de los derechos fundamentales, por lo que cuando la pretensión dirigida al restablecimiento o la preservación de aquellos derechos se ha visto satisfecha fuera del propio proceso de amparo, debe concluirse que este carece desde ese momento de objeto sobre el que deba pronunciarse este tribunal. Esto es lo que ha de entenderse que ocurre en este caso, sin que quepa apreciar la pervivencia de la controversia de fondo toda vez que el Congreso de los Diputados y el Senado han realizado lo demandado por los recurrentes.</w:t>
      </w:r>
    </w:p>
    <w:p w14:paraId="6BBB68A0" w14:textId="77777777" w:rsidR="00C04533" w:rsidRDefault="00C04533" w:rsidP="00C04533">
      <w:pPr>
        <w:pStyle w:val="TextoNormal"/>
      </w:pPr>
    </w:p>
    <w:p w14:paraId="55FD281C" w14:textId="77777777" w:rsidR="00C04533" w:rsidRDefault="00C04533" w:rsidP="00C04533">
      <w:pPr>
        <w:pStyle w:val="TextoNormal"/>
      </w:pPr>
      <w:r>
        <w:t>Por lo expuesto, la Sala</w:t>
      </w:r>
    </w:p>
    <w:p w14:paraId="7A2CF4C0" w14:textId="29B66994" w:rsidR="00C04533" w:rsidRDefault="00C04533" w:rsidP="00C04533">
      <w:pPr>
        <w:pStyle w:val="TextoNormal"/>
      </w:pPr>
    </w:p>
    <w:p w14:paraId="20C09A52" w14:textId="77777777" w:rsidR="00C04533" w:rsidRDefault="00C04533" w:rsidP="00C04533">
      <w:pPr>
        <w:pStyle w:val="TextoNormalCentrado"/>
      </w:pPr>
      <w:r>
        <w:t>ACUERDA</w:t>
      </w:r>
    </w:p>
    <w:p w14:paraId="0C287BFA" w14:textId="0828D002" w:rsidR="00C04533" w:rsidRDefault="00C04533" w:rsidP="00C04533">
      <w:pPr>
        <w:pStyle w:val="TextoNormalCentrado"/>
      </w:pPr>
    </w:p>
    <w:p w14:paraId="56E0880A" w14:textId="7ECFCD75" w:rsidR="00C04533" w:rsidRDefault="00C04533" w:rsidP="00C04533">
      <w:pPr>
        <w:pStyle w:val="TextoNormal"/>
      </w:pPr>
      <w:r>
        <w:t>Declarar la extinción del recurso de amparo por pérdida sobrevenida de objeto.</w:t>
      </w:r>
    </w:p>
    <w:p w14:paraId="6B12F888" w14:textId="77777777" w:rsidR="00C04533" w:rsidRDefault="00C04533" w:rsidP="00C04533">
      <w:pPr>
        <w:pStyle w:val="TextoNormal"/>
      </w:pPr>
    </w:p>
    <w:p w14:paraId="21F2D84C" w14:textId="77777777" w:rsidR="00C04533" w:rsidRDefault="00C04533" w:rsidP="00C04533">
      <w:pPr>
        <w:pStyle w:val="TextoNormal"/>
      </w:pPr>
      <w:r>
        <w:t>Madrid, a veintiuno de octubre de dos mil veinticuatro.</w:t>
      </w:r>
    </w:p>
    <w:p w14:paraId="217D5839" w14:textId="60AE508E" w:rsidR="00C04533" w:rsidRDefault="00C04533">
      <w:pPr>
        <w:spacing w:after="160" w:line="278" w:lineRule="auto"/>
        <w:rPr>
          <w:rFonts w:ascii="Times New Roman" w:eastAsia="Times New Roman" w:hAnsi="Times New Roman" w:cs="Times New Roman"/>
          <w:sz w:val="24"/>
          <w:szCs w:val="24"/>
          <w:lang w:eastAsia="es-ES"/>
        </w:rPr>
      </w:pPr>
      <w:r>
        <w:br w:type="page"/>
      </w:r>
    </w:p>
    <w:p w14:paraId="399449E5" w14:textId="77777777" w:rsidR="00C04533" w:rsidRDefault="00C04533" w:rsidP="00C04533">
      <w:pPr>
        <w:pStyle w:val="TtuloResolucin"/>
      </w:pPr>
      <w:bookmarkStart w:id="103" w:name="AUTO_2024_97"/>
      <w:r>
        <w:t>AUTO 97/2024, de 21 de octubre de 2024</w:t>
      </w:r>
    </w:p>
    <w:bookmarkEnd w:id="103"/>
    <w:p w14:paraId="5F00E531" w14:textId="77777777" w:rsidR="00C04533" w:rsidRDefault="00C04533" w:rsidP="00C04533">
      <w:pPr>
        <w:pStyle w:val="TtuloResolucin"/>
      </w:pPr>
      <w:r>
        <w:t>Sala Segunda</w:t>
      </w:r>
    </w:p>
    <w:p w14:paraId="1AA104D3" w14:textId="77777777" w:rsidR="00C04533" w:rsidRDefault="00C04533" w:rsidP="00C04533">
      <w:pPr>
        <w:pStyle w:val="TextoNormalCentrado"/>
      </w:pPr>
      <w:r>
        <w:t>ECLI:ES:TC:2024:97A</w:t>
      </w:r>
    </w:p>
    <w:p w14:paraId="0FD8D8F9" w14:textId="0D088347" w:rsidR="00C04533" w:rsidRDefault="00C04533" w:rsidP="00C04533">
      <w:pPr>
        <w:pStyle w:val="TextoNormalCentrado"/>
      </w:pPr>
    </w:p>
    <w:p w14:paraId="04614B7B" w14:textId="77777777" w:rsidR="00C04533" w:rsidRDefault="00C04533" w:rsidP="00C04533">
      <w:pPr>
        <w:pStyle w:val="SntesisDescriptiva"/>
      </w:pPr>
      <w:r>
        <w:t>Excms. Srs. doña Inmaculada Montalbán Huertas, doña María Luisa Balaguer Callejón, don Ramón Sáez Valcárcel, don Enrique Arnaldo Alcubilla, don César Tolosa Tribiño y doña Laura Díez Bueso.</w:t>
      </w:r>
    </w:p>
    <w:p w14:paraId="4BD1D219" w14:textId="4B75E1B9" w:rsidR="00C04533" w:rsidRDefault="00C04533" w:rsidP="00C04533">
      <w:pPr>
        <w:pStyle w:val="SntesisDescriptiva"/>
      </w:pPr>
    </w:p>
    <w:p w14:paraId="7CA7D011" w14:textId="77777777" w:rsidR="00C04533" w:rsidRDefault="00C04533" w:rsidP="00C04533">
      <w:pPr>
        <w:pStyle w:val="SntesisDescriptiva"/>
      </w:pPr>
      <w:r>
        <w:t>Acuerda el desistimiento en el recurso de amparo 6815-2022, promovido por doña Sandra Mayor Sánchez en pleito civil.</w:t>
      </w:r>
    </w:p>
    <w:p w14:paraId="6E282AFC" w14:textId="1605EED3" w:rsidR="00C04533" w:rsidRDefault="00C04533" w:rsidP="00C04533">
      <w:pPr>
        <w:pStyle w:val="SntesisDescriptiva"/>
      </w:pPr>
    </w:p>
    <w:p w14:paraId="3317E432" w14:textId="77777777" w:rsidR="00C04533" w:rsidRDefault="00C04533" w:rsidP="00C04533">
      <w:pPr>
        <w:pStyle w:val="SntesisDescriptiva"/>
      </w:pPr>
    </w:p>
    <w:p w14:paraId="520D25C1" w14:textId="77777777" w:rsidR="00C04533" w:rsidRDefault="00C04533" w:rsidP="00C04533">
      <w:pPr>
        <w:pStyle w:val="SntesisDescriptiva"/>
      </w:pPr>
    </w:p>
    <w:p w14:paraId="66468E05" w14:textId="77777777" w:rsidR="00C04533" w:rsidRDefault="00C04533" w:rsidP="00C04533">
      <w:pPr>
        <w:pStyle w:val="TextoNormalNegritaCentrado"/>
      </w:pPr>
      <w:r>
        <w:t>AUTO</w:t>
      </w:r>
    </w:p>
    <w:p w14:paraId="0D5B9FC0" w14:textId="0F0C4F30" w:rsidR="00C04533" w:rsidRDefault="00C04533" w:rsidP="00C04533">
      <w:pPr>
        <w:pStyle w:val="TextoNormalNegritaCentrado"/>
      </w:pPr>
    </w:p>
    <w:p w14:paraId="7207C9A7" w14:textId="77777777" w:rsidR="00C04533" w:rsidRDefault="00C04533" w:rsidP="00C04533">
      <w:pPr>
        <w:pStyle w:val="TextoNormalNegritaCentrado"/>
        <w:keepNext/>
      </w:pPr>
      <w:r>
        <w:t>I. Antecedentes</w:t>
      </w:r>
    </w:p>
    <w:p w14:paraId="7E666E07" w14:textId="3A97F110" w:rsidR="00C04533" w:rsidRDefault="00C04533" w:rsidP="00C04533">
      <w:pPr>
        <w:pStyle w:val="TextoNormalNegritaCentrado"/>
        <w:keepNext/>
      </w:pPr>
    </w:p>
    <w:p w14:paraId="3FD4C10F" w14:textId="4053F9D9" w:rsidR="00C04533" w:rsidRDefault="00C04533" w:rsidP="00C04533">
      <w:pPr>
        <w:pStyle w:val="TextoNormal"/>
      </w:pPr>
      <w:r w:rsidRPr="00C04533">
        <w:rPr>
          <w:rStyle w:val="NumeroAFNegritaCaracter"/>
        </w:rPr>
        <w:t>1</w:t>
      </w:r>
      <w:r>
        <w:t>. Por escrito registrado en este tribunal el 18 de octubre de 2022, la procuradora de los tribunales doña Elena Muñoz González, obrando en nombre y representación de doña Sandra Mayor Sánchez, y bajo la dirección letrada de don Emilio Solá Fernández, interpuso recurso de amparo contra las siguientes resoluciones dictadas por el Juzgado de Primera Instancia núm. 3 de Denia en el procedimiento de ejecución hipotecaria núm. 581-2019: (i) la providencia de 23 de febrero de 2022, que denegó el control de abusividad de la cláusula de intereses ordinarios núm. 365-360 inserta en el título ejecutivo; (ii) el auto de 30 de mayo de 2022, que desestimó el recurso de reposición interpuesto contra la referida providencia; y (iii) la providencia de 1 de septiembre de 2022, que inadmitió el ulterior incidente de nulidad de actuaciones.</w:t>
      </w:r>
    </w:p>
    <w:p w14:paraId="7DF4A3AE" w14:textId="77777777" w:rsidR="00C04533" w:rsidRDefault="00C04533" w:rsidP="00C04533">
      <w:pPr>
        <w:pStyle w:val="TextoNormal"/>
      </w:pPr>
    </w:p>
    <w:p w14:paraId="47E5CF9B" w14:textId="77777777" w:rsidR="00C04533" w:rsidRDefault="00C04533" w:rsidP="00C04533">
      <w:pPr>
        <w:pStyle w:val="TextoNormal"/>
      </w:pPr>
      <w:r w:rsidRPr="00C04533">
        <w:rPr>
          <w:rStyle w:val="NumeroAFNegritaCaracter"/>
        </w:rPr>
        <w:t>2</w:t>
      </w:r>
      <w:r>
        <w:t>. Las circunstancias del procedimiento de instancia que resultan relevantes de cara a la tramitación del presente recurso de amparo son las siguientes:</w:t>
      </w:r>
    </w:p>
    <w:p w14:paraId="62AA147B" w14:textId="77777777" w:rsidR="00C04533" w:rsidRDefault="00C04533" w:rsidP="00C04533">
      <w:pPr>
        <w:pStyle w:val="TextoNormal"/>
      </w:pPr>
    </w:p>
    <w:p w14:paraId="2EB1C7E4" w14:textId="77777777" w:rsidR="00C04533" w:rsidRDefault="00C04533" w:rsidP="00C04533">
      <w:pPr>
        <w:pStyle w:val="TextoNormal"/>
      </w:pPr>
      <w:r>
        <w:t>a) Por la entidad Banco Santander, S.A., se interpuso demanda de ejecución hipotecaria frente a doña Sandra Mayor Sánchez y don Ramón Ribes Sintes. El auto de despacho de ejecución, de 22 de mayo de 2019, no contenía ninguna referencia al control de oficio de cláusulas abusivas.</w:t>
      </w:r>
    </w:p>
    <w:p w14:paraId="567BBA00" w14:textId="77777777" w:rsidR="00C04533" w:rsidRDefault="00C04533" w:rsidP="00C04533">
      <w:pPr>
        <w:pStyle w:val="TextoNormal"/>
      </w:pPr>
    </w:p>
    <w:p w14:paraId="2FAD0E10" w14:textId="77777777" w:rsidR="00C04533" w:rsidRDefault="00C04533" w:rsidP="00C04533">
      <w:pPr>
        <w:pStyle w:val="TextoNormal"/>
      </w:pPr>
      <w:r>
        <w:t>b) El 26 de junio de 2019 la Sra. Mayor Sánchez presentó escrito de oposición a la ejecución alegando la existencia de cláusulas abusivas y suplicando: (i) la declaración de nulidad de la cláusula de vencimiento anticipado y de la cláusula suelo; (ii) la declaración de nulidad radical del despacho de la ejecución por incumplimiento de los requisitos del título ejecutivo; y (iii) la declaración de nulidad de las cláusulas de intereses moratorios y anatocismo.</w:t>
      </w:r>
    </w:p>
    <w:p w14:paraId="573439DB" w14:textId="77777777" w:rsidR="00C04533" w:rsidRDefault="00C04533" w:rsidP="00C04533">
      <w:pPr>
        <w:pStyle w:val="TextoNormal"/>
      </w:pPr>
    </w:p>
    <w:p w14:paraId="6DBE0F8F" w14:textId="77777777" w:rsidR="00C04533" w:rsidRDefault="00C04533" w:rsidP="00C04533">
      <w:pPr>
        <w:pStyle w:val="TextoNormal"/>
      </w:pPr>
      <w:r>
        <w:t>c) La pieza separada de oposición fue resuelta por auto de 17 de febrero de 2020, en el que el juzgado, tras analizar por separado las cláusulas de vencimiento anticipado, suelo e intereses moratorios, confirmó la validez de las dos primeras y declaró la abusividad de la tercera, decretando su nulidad y ordenando a la ejecutante que recalculara los intereses de demora.</w:t>
      </w:r>
    </w:p>
    <w:p w14:paraId="3DFC1516" w14:textId="77777777" w:rsidR="00C04533" w:rsidRDefault="00C04533" w:rsidP="00C04533">
      <w:pPr>
        <w:pStyle w:val="TextoNormal"/>
      </w:pPr>
    </w:p>
    <w:p w14:paraId="3436BDB9" w14:textId="77777777" w:rsidR="00C04533" w:rsidRDefault="00C04533" w:rsidP="00C04533">
      <w:pPr>
        <w:pStyle w:val="TextoNormal"/>
      </w:pPr>
      <w:r>
        <w:t>d) La ejecutada recurrió en apelación, interesando que se declarara la nulidad de la cláusula de vencimiento anticipado y de la cláusula suelo. El recurso fue desestimado por auto de la Audiencia Provincial de Alicante de 22 de abril de 2021.</w:t>
      </w:r>
    </w:p>
    <w:p w14:paraId="6A216A07" w14:textId="77777777" w:rsidR="00C04533" w:rsidRDefault="00C04533" w:rsidP="00C04533">
      <w:pPr>
        <w:pStyle w:val="TextoNormal"/>
      </w:pPr>
    </w:p>
    <w:p w14:paraId="2FBFA7F9" w14:textId="77777777" w:rsidR="00C04533" w:rsidRDefault="00C04533" w:rsidP="00C04533">
      <w:pPr>
        <w:pStyle w:val="TextoNormal"/>
      </w:pPr>
      <w:r>
        <w:t xml:space="preserve">e) El 30 de enero de 2022 la Sra. Mayor Sánchez presentó un escrito alegando que se oponía a la ejecución hipotecaria al amparo del art. 695 de la Ley de enjuiciamiento civil (LEC) y solicitó que el juzgado se pronunciara, incluso de oficio, sobre la abusividad y nulidad de la cláusula que establecía la fórmula 365/360 para el cálculo de los intereses ordinarios, según lo dispuesto en la STS 2004/2021, de 25 de mayo (ECLI:ES:TS:2021:2004). Argumentó que, si bien el juzgado ya había valorado la nulidad de las cláusulas de interés de demora, suelo y vencimiento anticipado, no había enjuiciado aún si la cláusula 365/360 era nula, lo que debía realizar en ese momento con arreglo a la doctrina constitucional establecida desde la STC 31/2019, de 28 de febrero, y a la jurisprudencia del Tribunal de Justicia de la Unión Europea; invocando, en particular, la STJUE de 26 de enero de 2017, asunto C-421/14, </w:t>
      </w:r>
      <w:r w:rsidRPr="00C04533">
        <w:rPr>
          <w:i/>
        </w:rPr>
        <w:t>Banco Primus, S.A., c Jesús Gutiérrez García</w:t>
      </w:r>
      <w:r>
        <w:t>. Alegó que, de no hacerse así, se estaría vulnerando su derecho a la tutela judicial efectiva (art. 24.1 CE) en relación con el principio de primacía del Derecho de la Unión Europea.</w:t>
      </w:r>
    </w:p>
    <w:p w14:paraId="011C4FC3" w14:textId="77777777" w:rsidR="00C04533" w:rsidRDefault="00C04533" w:rsidP="00C04533">
      <w:pPr>
        <w:pStyle w:val="TextoNormal"/>
      </w:pPr>
    </w:p>
    <w:p w14:paraId="5FF207A9" w14:textId="77777777" w:rsidR="00C04533" w:rsidRDefault="00C04533" w:rsidP="00C04533">
      <w:pPr>
        <w:pStyle w:val="TextoNormal"/>
      </w:pPr>
      <w:r>
        <w:t>f) El Juzgado de Primera Instancia núm. 3 de Denia dictó providencia de 23 de febrero de 2022 rechazando el control de abusividad con la siguiente motivación: “En relación con la petición de declaración de nulidad de oficio de determinadas cláusulas contractuales no ha lugar a su admisión, toda vez que la propia ejecutada doña Sandra Mayor Sánchez formuló oposición sobre esta cuestión mediante su escrito de fecha 25 de junio de 2019, que se resolvió por auto de 17 de febrero de 2020, número 65/2020, confirmado por el auto de la Audiencia Provincial de Alicante, Sección Sexta, de 22 de abril de 2021, número 108/21, por lo que la reiteración de la solicitud resultaría improcedente, al tratarse de una cuestión resuelta de modo definitivo por resolución firme”.</w:t>
      </w:r>
    </w:p>
    <w:p w14:paraId="60A0BE49" w14:textId="77777777" w:rsidR="00C04533" w:rsidRDefault="00C04533" w:rsidP="00C04533">
      <w:pPr>
        <w:pStyle w:val="TextoNormal"/>
      </w:pPr>
    </w:p>
    <w:p w14:paraId="3F6322E9" w14:textId="77777777" w:rsidR="00C04533" w:rsidRDefault="00C04533" w:rsidP="00C04533">
      <w:pPr>
        <w:pStyle w:val="TextoNormal"/>
      </w:pPr>
      <w:r>
        <w:t>g) La Sra. Mayor Sánchez recurrió en reposición alegando que la providencia vulneraba su derecho a la tutela judicial efectiva (art. 24.1 CE) e incurría en error patente, puesto que la cláusula 365/360 no había sido alegada por ella ni en su escrito de oposición a la ejecución ni en su ulterior recurso de apelación, y, por tanto, no había sido examinada con anterioridad. Invocó de nuevo doctrina constitucional y del Tribunal de Justicia de la Unión Europea sobre el control de oficio de las cláusulas abusivas.</w:t>
      </w:r>
    </w:p>
    <w:p w14:paraId="637EC3DE" w14:textId="77777777" w:rsidR="00C04533" w:rsidRDefault="00C04533" w:rsidP="00C04533">
      <w:pPr>
        <w:pStyle w:val="TextoNormal"/>
      </w:pPr>
    </w:p>
    <w:p w14:paraId="4492E84A" w14:textId="77777777" w:rsidR="00C04533" w:rsidRDefault="00C04533" w:rsidP="00C04533">
      <w:pPr>
        <w:pStyle w:val="TextoNormal"/>
      </w:pPr>
      <w:r>
        <w:t>h) El recurso de reposición fue desestimado por auto de 30 de mayo de 2022, que razonó que el examen sobre la nulidad por abusividad de cláusulas contractuales debía hacerse de oficio con motivo del despacho de ejecución, o bien a instancia de parte mediante la oportuna demanda de oposición a la ejecución; y que, en el caso examinado, ya se había efectuado un primer control en el auto de 22 de mayo de 2019, que despachó la ejecución; y un segundo control al examinar la oposición planteada por la ejecutada, que se había resuelto con carácter firme por auto de la Audiencia Provincial de Alicante de 22 de abril de 2021. En consecuencia, concluyó que “la posible existencia de cláusulas contractuales nulas ha sido definitivamente resuelta en primera y segunda instancia, sin que exista amparo normativo para plantear, de nuevo, esta cuestión so pretexto de que hay cláusulas que no han sido alegadas ni enjuiciadas, pues tal posibilidad precluyó definitivamente con motivo de la oposición a la ejecución que, en su momento, dedujo la recurrente con el resultado antes descrito”.</w:t>
      </w:r>
    </w:p>
    <w:p w14:paraId="63409837" w14:textId="77777777" w:rsidR="00C04533" w:rsidRDefault="00C04533" w:rsidP="00C04533">
      <w:pPr>
        <w:pStyle w:val="TextoNormal"/>
      </w:pPr>
    </w:p>
    <w:p w14:paraId="622208E6" w14:textId="77777777" w:rsidR="00C04533" w:rsidRDefault="00C04533" w:rsidP="00C04533">
      <w:pPr>
        <w:pStyle w:val="TextoNormal"/>
      </w:pPr>
      <w:r>
        <w:t>i) La Sra. Mayor Sánchez promovió un incidente de nulidad de actuaciones alegando que las resoluciones impugnadas vulneraban su derecho a la tutela judicial efectiva (art. 24.1 CE) porque le habían causado indefensión al no haberse dado trámite a su petición de análisis de la cláusula 365/360 en contra de lo dispuesto por la jurisprudencia constitucional y del Tribunal de Justicia de la Unión Europea; y porque las motivaciones de ambas resoluciones, pese a ser distintas, eran en todo caso arbitrarias e incursas en error patente o irrazonable. De forma sucinta también alegó la infracción del derecho de igualdad ante la ley (art. 14 CE), porque “todos los juzgados” estaban aplicando la doctrina constitucional sobre el control de cláusulas abusivas salvo el juzgado que conocía de su asunto.</w:t>
      </w:r>
    </w:p>
    <w:p w14:paraId="2A67D606" w14:textId="77777777" w:rsidR="00C04533" w:rsidRDefault="00C04533" w:rsidP="00C04533">
      <w:pPr>
        <w:pStyle w:val="TextoNormal"/>
      </w:pPr>
    </w:p>
    <w:p w14:paraId="2F32885E" w14:textId="77777777" w:rsidR="00C04533" w:rsidRDefault="00C04533" w:rsidP="00C04533">
      <w:pPr>
        <w:pStyle w:val="TextoNormal"/>
      </w:pPr>
      <w:r>
        <w:t>j) El incidente fue inadmitido mediante providencia de 1 de septiembre de 2022, en la que el juzgado razonó que la nulidad de la providencia de 23 de febrero de 2022, con arreglo a los arts. 227.1 LEC y 240.1 de la Ley Orgánica del Poder Judicial, “era susceptible de recurso de reposición, como así se hace constar en el apartado relativo a su modo de impugnación, por lo que la parte ejecutada pudo y debió hacer valer su pretensión de nulidad sobre la misma a través de dicho recurso; máxime, cuando interpuso el citado recurso, en el que, sin embargo, no efectuó manifestación alguna sobre la nulidad ahora invocada”. En relación con el auto de 30 de mayo de 2022 señaló que “[e]n el presente supuesto no se ha dictado aún la resolución que ponga fin al proceso, que en cualquier caso será susceptible además de recurso, por lo que la nulidad ahora interesada debería hacerse valer mediante la impugnación de aquella, por lo que tampoco concurre el necesario presupuesto de admisibilidad del incidente extraordinario planteado”.</w:t>
      </w:r>
    </w:p>
    <w:p w14:paraId="4673AEA3" w14:textId="77777777" w:rsidR="00C04533" w:rsidRDefault="00C04533" w:rsidP="00C04533">
      <w:pPr>
        <w:pStyle w:val="TextoNormal"/>
      </w:pPr>
    </w:p>
    <w:p w14:paraId="50A299A1" w14:textId="77777777" w:rsidR="00C04533" w:rsidRDefault="00C04533" w:rsidP="00C04533">
      <w:pPr>
        <w:pStyle w:val="TextoNormal"/>
      </w:pPr>
      <w:r>
        <w:t>k) Dado que la providencia indicaba que frente a la misma cabía recurso de reposición, la Sra. Mayor Sánchez presentó un escrito solicitando que se aclarara si dicho pie de recurso era correcto. Por decreto de 21 de octubre de 2022 se aclaró que, conforme al art. 228 LEC, contra la providencia de inadmisión del incidente de nulidad de actuaciones no cabía recurso alguno.</w:t>
      </w:r>
    </w:p>
    <w:p w14:paraId="76D8D476" w14:textId="77777777" w:rsidR="00C04533" w:rsidRDefault="00C04533" w:rsidP="00C04533">
      <w:pPr>
        <w:pStyle w:val="TextoNormal"/>
      </w:pPr>
    </w:p>
    <w:p w14:paraId="621BA6CE" w14:textId="775B9C23" w:rsidR="00C04533" w:rsidRDefault="00C04533" w:rsidP="00C04533">
      <w:pPr>
        <w:pStyle w:val="TextoNormal"/>
      </w:pPr>
      <w:r>
        <w:t>l) Del examen de las actuaciones remitidas por el juzgado se desprende que en el momento de presentar la demanda de amparo aún no se había celebrado la subasta.</w:t>
      </w:r>
    </w:p>
    <w:p w14:paraId="644EBD68" w14:textId="77777777" w:rsidR="00C04533" w:rsidRDefault="00C04533" w:rsidP="00C04533">
      <w:pPr>
        <w:pStyle w:val="TextoNormal"/>
      </w:pPr>
    </w:p>
    <w:p w14:paraId="52341497" w14:textId="77777777" w:rsidR="00C04533" w:rsidRDefault="00C04533" w:rsidP="00C04533">
      <w:pPr>
        <w:pStyle w:val="TextoNormal"/>
      </w:pPr>
      <w:r w:rsidRPr="00C04533">
        <w:rPr>
          <w:rStyle w:val="NumeroAFNegritaCaracter"/>
        </w:rPr>
        <w:t>3</w:t>
      </w:r>
      <w:r>
        <w:t>. La demanda de amparo se interpone frente a la providencia de 23 de febrero de 2022, el auto de 30 de mayo de 2022 y la providencia de 1 de septiembre de 2022, y en ella se alega la vulneración del derecho a la tutela judicial efectiva (art. 24.1 CE) por dos motivos: (i) la providencia de 23 de febrero de 2022 y el auto de 30 de mayo de 2022 incurren en motivación arbitraria, irrazonable o con error patente al oponerse frontalmente a la doctrina constitucional y del Tribunal de Justicia de la Unión Europea sobre el control de oficio de las cláusulas abusivas que la recurrente invocó en sus distintos escritos, “[d]octrina que ni siquiera es citada en la resolución ni siquiera para rechazarla”; y (ii) la providencia de 1 de septiembre de 2022 incurre en los mismos defectos de motivación al inadmitir el incidente de nulidad de actuaciones porque: (i) considera que la nulidad de la providencia de 23 de febrero de 2022 debió hacerse valer a través del recurso de reposición y no se hizo; afirmación errónea pues en el recurso de reposición sí se solicitó expresamente la nulidad de dicha providencia; y (ii) rechaza la nulidad del auto de 30 de mayo de 2022 porque no es una resolución que ponga fin al procedimiento y la nulidad interesada debe hacerse valer mediante la impugnación de aquella, pero son numerosas las sentencias del Tribunal Constitucional que permiten, en un procedimiento de ejecución, que frente a un auto no apelable se interponga un incidente de nulidad de actuaciones como vía previa al amparo.</w:t>
      </w:r>
    </w:p>
    <w:p w14:paraId="24168C9D" w14:textId="77777777" w:rsidR="00C04533" w:rsidRDefault="00C04533" w:rsidP="00C04533">
      <w:pPr>
        <w:pStyle w:val="TextoNormal"/>
      </w:pPr>
    </w:p>
    <w:p w14:paraId="17CF0994" w14:textId="4BEBF819" w:rsidR="00C04533" w:rsidRDefault="00C04533" w:rsidP="00C04533">
      <w:pPr>
        <w:pStyle w:val="TextoNormal"/>
      </w:pPr>
      <w:r>
        <w:t>También invoca la infracción del art. 14 CE, porque “la doctrina del Tribunal de Justicia de la Unión Europea y del Tribunal Constitucional es ley, la cual todos los juzgados están aplicando como es lógico y obligado, el hecho de que no se quiera aplicar a mi representada infringe a todas luces el derecho constitucional a la igualdad [de mi representada]”.</w:t>
      </w:r>
    </w:p>
    <w:p w14:paraId="44107DC8" w14:textId="77777777" w:rsidR="00C04533" w:rsidRDefault="00C04533" w:rsidP="00C04533">
      <w:pPr>
        <w:pStyle w:val="TextoNormal"/>
      </w:pPr>
    </w:p>
    <w:p w14:paraId="5C44379A" w14:textId="77777777" w:rsidR="00C04533" w:rsidRDefault="00C04533" w:rsidP="00C04533">
      <w:pPr>
        <w:pStyle w:val="TextoNormal"/>
      </w:pPr>
      <w:r w:rsidRPr="00C04533">
        <w:rPr>
          <w:rStyle w:val="NumeroAFNegritaCaracter"/>
        </w:rPr>
        <w:t>4</w:t>
      </w:r>
      <w:r>
        <w:t>. Por providencia de la Sección Cuarta de este tribunal de 20 de mayo de 2024, se admitió a trámite el recurso de amparo apreciando la concurrencia de una especial transcendencia constitucional [art. 50.1 de la Ley Orgánica del Tribunal Constitucional (LOTC)], porque el recurso puede dar ocasión al Tribunal para aclarar o cambiar su doctrina como consecuencia de un proceso de reflexión interna [STC 155/2009, de 25 de junio, FJ 2 b)].</w:t>
      </w:r>
    </w:p>
    <w:p w14:paraId="22EF3FF0" w14:textId="77777777" w:rsidR="00C04533" w:rsidRDefault="00C04533" w:rsidP="00C04533">
      <w:pPr>
        <w:pStyle w:val="TextoNormal"/>
      </w:pPr>
    </w:p>
    <w:p w14:paraId="356B84EE" w14:textId="25511D22" w:rsidR="00C04533" w:rsidRDefault="00C04533" w:rsidP="00C04533">
      <w:pPr>
        <w:pStyle w:val="TextoNormal"/>
      </w:pPr>
      <w:r>
        <w:t>Por ello, en aplicación de lo dispuesto en el art. 51 LOTC, obrando ya en la Sala las correspondientes actuaciones jurisdiccionales, se acordó dirigir atenta comunicación al Juzgado de Primera Instancia núm. 3 de Denia a fin de que, en plazo que no excediera de diez días, se procediera a emplazar a quienes hubieran sido parte en el procedimiento, excepto la recurrente en amparo, para que en el plazo de diez días pudieran comparecer, si lo deseaban, en el presente recurso de amparo.</w:t>
      </w:r>
    </w:p>
    <w:p w14:paraId="6AFD0B39" w14:textId="77777777" w:rsidR="00C04533" w:rsidRDefault="00C04533" w:rsidP="00C04533">
      <w:pPr>
        <w:pStyle w:val="TextoNormal"/>
      </w:pPr>
    </w:p>
    <w:p w14:paraId="28CA7E28" w14:textId="44B317EF" w:rsidR="00C04533" w:rsidRDefault="00C04533" w:rsidP="00C04533">
      <w:pPr>
        <w:pStyle w:val="TextoNormal"/>
      </w:pPr>
      <w:r w:rsidRPr="00C04533">
        <w:rPr>
          <w:rStyle w:val="NumeroAFNegritaCaracter"/>
        </w:rPr>
        <w:t>5</w:t>
      </w:r>
      <w:r>
        <w:t xml:space="preserve">. Formada la pieza de suspensión, el 27 de mayo de 2024 la representación procesal de doña Sandra Mayor Sánchez presentó un escrito señalando que había alcanzado un acuerdo transaccional con la entidad Banco Santander, S.A., que había motivado el archivo de la ejecución hipotecaria de la que dimanaba el presente recurso de amparo, por lo que carecía ya de objeto que este tribunal se pronunciara sobre la suspensión del procedimiento </w:t>
      </w:r>
      <w:r w:rsidRPr="00C04533">
        <w:rPr>
          <w:i/>
        </w:rPr>
        <w:t>a quo</w:t>
      </w:r>
      <w:r>
        <w:t>.</w:t>
      </w:r>
    </w:p>
    <w:p w14:paraId="07435573" w14:textId="77777777" w:rsidR="00C04533" w:rsidRDefault="00C04533" w:rsidP="00C04533">
      <w:pPr>
        <w:pStyle w:val="TextoNormal"/>
      </w:pPr>
    </w:p>
    <w:p w14:paraId="3C2312DF" w14:textId="2897C26A" w:rsidR="00C04533" w:rsidRDefault="00C04533" w:rsidP="00C04533">
      <w:pPr>
        <w:pStyle w:val="TextoNormal"/>
      </w:pPr>
      <w:r w:rsidRPr="00C04533">
        <w:rPr>
          <w:rStyle w:val="NumeroAFNegritaCaracter"/>
        </w:rPr>
        <w:t>6</w:t>
      </w:r>
      <w:r>
        <w:t>. El 11 de junio de 2024 tuvo entrada en el registro de este tribunal escrito presentado por el procurador de los tribunales don Francisco Javier Berenguer López en representación de la entidad Banco Santander, S.A., personándose en el recurso de amparo.</w:t>
      </w:r>
    </w:p>
    <w:p w14:paraId="5DBA3E30" w14:textId="77777777" w:rsidR="00C04533" w:rsidRDefault="00C04533" w:rsidP="00C04533">
      <w:pPr>
        <w:pStyle w:val="TextoNormal"/>
      </w:pPr>
    </w:p>
    <w:p w14:paraId="44723D6C" w14:textId="5A84C1E5" w:rsidR="00C04533" w:rsidRDefault="00C04533" w:rsidP="00C04533">
      <w:pPr>
        <w:pStyle w:val="TextoNormal"/>
      </w:pPr>
      <w:r w:rsidRPr="00C04533">
        <w:rPr>
          <w:rStyle w:val="NumeroAFNegritaCaracter"/>
        </w:rPr>
        <w:t>7</w:t>
      </w:r>
      <w:r>
        <w:t>. El 13 de junio de 2024 se registró escrito presentado por la representación procesal de doña Sandra Mayor Sánchez poniendo de manifiesto que el procedimiento de ejecución hipotecaria núm. 581-2019, del que dimana el presente recurso de amparo, ha sido archivado por el Juzgado de Primera Instancia núm. 3 de Denia, por lo que, entendiendo que existe carencia sobrevenida de objeto, desiste del mismo.</w:t>
      </w:r>
    </w:p>
    <w:p w14:paraId="0F9BA8F6" w14:textId="77777777" w:rsidR="00C04533" w:rsidRDefault="00C04533" w:rsidP="00C04533">
      <w:pPr>
        <w:pStyle w:val="TextoNormal"/>
      </w:pPr>
    </w:p>
    <w:p w14:paraId="5BB0A96F" w14:textId="2360E390" w:rsidR="00C04533" w:rsidRDefault="00C04533" w:rsidP="00C04533">
      <w:pPr>
        <w:pStyle w:val="TextoNormal"/>
      </w:pPr>
      <w:r w:rsidRPr="00C04533">
        <w:rPr>
          <w:rStyle w:val="NumeroAFNegritaCaracter"/>
        </w:rPr>
        <w:t>8</w:t>
      </w:r>
      <w:r>
        <w:t>. Por diligencia de ordenación de 3 de julio de 2024 se acordó dar traslado de dicho escrito al Ministerio Fiscal y a la otra parte personada para que en el plazo de tres días alegaran lo que estimaran procedente sobre tal desistimiento.</w:t>
      </w:r>
    </w:p>
    <w:p w14:paraId="3C44955A" w14:textId="77777777" w:rsidR="00C04533" w:rsidRDefault="00C04533" w:rsidP="00C04533">
      <w:pPr>
        <w:pStyle w:val="TextoNormal"/>
      </w:pPr>
    </w:p>
    <w:p w14:paraId="7B5EF3CB" w14:textId="5759F921" w:rsidR="00C04533" w:rsidRDefault="00C04533" w:rsidP="00C04533">
      <w:pPr>
        <w:pStyle w:val="TextoNormal"/>
      </w:pPr>
      <w:r w:rsidRPr="00C04533">
        <w:rPr>
          <w:rStyle w:val="NumeroAFNegritaCaracter"/>
        </w:rPr>
        <w:t>9</w:t>
      </w:r>
      <w:r>
        <w:t xml:space="preserve">. El 5 de julio de 2024 la representación procesal de la entidad Banco Santander, S.A., presentó escrito mostrando su conformidad con el desistimiento y solicitando que se archivara el recurso sin condena en costas para ninguna de las partes. Indica que el procedimiento </w:t>
      </w:r>
      <w:r w:rsidRPr="00C04533">
        <w:rPr>
          <w:i/>
        </w:rPr>
        <w:t>a quo</w:t>
      </w:r>
      <w:r>
        <w:t xml:space="preserve"> ha finalizado por acuerdo de las partes de fecha posterior a la demanda de amparo, y adjunta decreto del Juzgado de Primera Instancia núm. 3 de Denia de 14 de marzo de 2024 en el que se da cuenta de dicho acuerdo y se decreta el archivo de la ejecución hipotecaria.</w:t>
      </w:r>
    </w:p>
    <w:p w14:paraId="627D65CD" w14:textId="77777777" w:rsidR="00C04533" w:rsidRDefault="00C04533" w:rsidP="00C04533">
      <w:pPr>
        <w:pStyle w:val="TextoNormal"/>
      </w:pPr>
    </w:p>
    <w:p w14:paraId="15310A6C" w14:textId="77777777" w:rsidR="00C04533" w:rsidRDefault="00C04533" w:rsidP="00C04533">
      <w:pPr>
        <w:pStyle w:val="TextoNormal"/>
      </w:pPr>
      <w:r w:rsidRPr="00C04533">
        <w:rPr>
          <w:rStyle w:val="NumeroAFNegritaCaracter"/>
        </w:rPr>
        <w:t>10</w:t>
      </w:r>
      <w:r>
        <w:t>. El 18 de julio de 2024 ha tenido entrada en este tribunal escrito del Ministerio Fiscal mostrando su conformidad con el desistimiento. Alega doctrina constitucional según la cual para que pueda acordarse el desistimiento previsto en los arts. 80 y 86 LOTC es preciso que, además de cumplirse los requisitos procesales, no se opongan las partes procesadas y se constate que no existe un interés público que pudiera resultar lesionado por la admisión del desistimiento. Invoca, en particular, el ATC 89/2013, de 6 de mayo, FJ 2, que establece que la regla general es la de atender la solicitud de quien interpone el recurso de amparo, titular del interés cuya actuación sirve de soporte a su legitimación en el proceso, pues es razonable tener en cuenta las alegaciones de los demandantes cuando la reclamación que motivó su recurso ha quedado satisfecha al margen del proceso constitucional o ha obtenido una reparación adecuada. No obstante, la regla general presenta excepciones atendiendo a la trascendencia del contenido objetivo del recurso, y la introducción de la especial trascendencia constitucional en la Ley Orgánica 6/2007, de 24 de mayo, por la que se modifica la Ley Orgánica 2/1979, de 3 de octubre, del Tribunal Constitucional, dota de especial relevancia a este aspecto a la hora de adoptar una decisión sobre la aceptación de un desistimiento, pues la acentuada dimensión objetiva del recurso tiene su reflejo en la valoración de la concurrencia de un interés que trascienda al propio de las partes.</w:t>
      </w:r>
    </w:p>
    <w:p w14:paraId="0F3CC774" w14:textId="77777777" w:rsidR="00C04533" w:rsidRDefault="00C04533" w:rsidP="00C04533">
      <w:pPr>
        <w:pStyle w:val="TextoNormal"/>
      </w:pPr>
    </w:p>
    <w:p w14:paraId="36D18C63" w14:textId="589F0813" w:rsidR="00C04533" w:rsidRDefault="00C04533" w:rsidP="00C04533">
      <w:pPr>
        <w:pStyle w:val="TextoNormal"/>
      </w:pPr>
      <w:r>
        <w:t>Tras exponer la doctrina constitucional el Ministerio Fiscal desciende al caso concreto y señala que “consta efectivamente que la demandante de amparo ha alcanzado un acuerdo con la entidad financiera ejecutante y se ha archivado el procedimiento judicial, motivo por el que ha desistido del presente recurso de amparo. Ello pone de manifiesto que ha decaído el interés particular que sustentaba la impugnación de las resoluciones judiciales combatidas, a lo que se debe añadir la ausencia de un perjuicio al resto de las partes personadas, que solicitan también su terminación”. Añade también que “a la vista de las circunstancias concurrentes, no se aprecia que dicha renuncia pueda perjudicar un interés público prevalente que justifique la continuación del procedimiento, considerando que no adquiere una especial relevancia a estos efectos la apreciación sobre la dimensión objetiva del recurso de amparo manifestada en la providencia de admisión”. Y concluye que el amparo ha perdido su razón de ser por la circunstancia sobrevenida de pérdida de objeto y por haberse satisfecho extraprocesalmente la pretensión, por lo que conforme a los arts. 80 y 86.1 LOTC y a los arts. 19.1, 20.3 y 22.1 LEC, procede tener por desistida a la parte recurrente y archivar el presente recurso de amparo.</w:t>
      </w:r>
    </w:p>
    <w:p w14:paraId="3B502E36" w14:textId="77777777" w:rsidR="00C04533" w:rsidRDefault="00C04533" w:rsidP="00C04533">
      <w:pPr>
        <w:pStyle w:val="TextoNormal"/>
      </w:pPr>
    </w:p>
    <w:p w14:paraId="6011046C" w14:textId="77777777" w:rsidR="00C04533" w:rsidRDefault="00C04533" w:rsidP="00C04533">
      <w:pPr>
        <w:pStyle w:val="TextoNormalNegritaCentrado"/>
        <w:keepNext/>
      </w:pPr>
      <w:r>
        <w:t>II. Fundamentos jurídicos</w:t>
      </w:r>
    </w:p>
    <w:p w14:paraId="232AC806" w14:textId="3B484F25" w:rsidR="00C04533" w:rsidRDefault="00C04533" w:rsidP="00C04533">
      <w:pPr>
        <w:pStyle w:val="TextoNormalNegritaCentrado"/>
        <w:keepNext/>
      </w:pPr>
    </w:p>
    <w:p w14:paraId="7A9E428F" w14:textId="77777777" w:rsidR="00C04533" w:rsidRDefault="00C04533" w:rsidP="00C04533">
      <w:pPr>
        <w:pStyle w:val="TextoNormal"/>
      </w:pPr>
      <w:r w:rsidRPr="00C04533">
        <w:rPr>
          <w:rStyle w:val="TextoNormalNegritaCaracter"/>
        </w:rPr>
        <w:t xml:space="preserve">Único. </w:t>
      </w:r>
      <w:r>
        <w:t>Entre las formas de terminación del recurso de amparo figura la del desistimiento, prevista en el artículo 86.1 LOTC y a la que es de aplicación supletoria la legislación procesal ordinaria (artículo 80 LOTC), que la regula en los artículos 19.1, 20.2 y 3 LEC.</w:t>
      </w:r>
    </w:p>
    <w:p w14:paraId="6ABF9620" w14:textId="77777777" w:rsidR="00C04533" w:rsidRDefault="00C04533" w:rsidP="00C04533">
      <w:pPr>
        <w:pStyle w:val="TextoNormal"/>
      </w:pPr>
    </w:p>
    <w:p w14:paraId="3C9D6D7A" w14:textId="77777777" w:rsidR="00C04533" w:rsidRDefault="00C04533" w:rsidP="00C04533">
      <w:pPr>
        <w:pStyle w:val="TextoNormal"/>
      </w:pPr>
      <w:r>
        <w:t>En cuanto a sus efectos, debemos recordar lo que establece el apartado tercero del art. 20 LEC, a cuyo tenor:</w:t>
      </w:r>
    </w:p>
    <w:p w14:paraId="3A7EAEAD" w14:textId="77777777" w:rsidR="00C04533" w:rsidRDefault="00C04533" w:rsidP="00C04533">
      <w:pPr>
        <w:pStyle w:val="TextoNormal"/>
      </w:pPr>
    </w:p>
    <w:p w14:paraId="7F6B3F28" w14:textId="77777777" w:rsidR="00C04533" w:rsidRDefault="00C04533" w:rsidP="00C04533">
      <w:pPr>
        <w:pStyle w:val="TextoNormal"/>
      </w:pPr>
      <w:r>
        <w:t>“Emplazado el demandado, del escrito de desistimiento se le dará traslado por plazo de diez días.</w:t>
      </w:r>
    </w:p>
    <w:p w14:paraId="7E12E8AD" w14:textId="77777777" w:rsidR="00C04533" w:rsidRDefault="00C04533" w:rsidP="00C04533">
      <w:pPr>
        <w:pStyle w:val="TextoNormal"/>
      </w:pPr>
    </w:p>
    <w:p w14:paraId="3FCEF423" w14:textId="77777777" w:rsidR="00C04533" w:rsidRDefault="00C04533" w:rsidP="00C04533">
      <w:pPr>
        <w:pStyle w:val="TextoNormal"/>
      </w:pPr>
      <w:r>
        <w:t>Si el demandado prestare su conformidad al desistimiento o no se opusiere a él dentro del plazo expresado en el párrafo anterior, por el letrado de la administración de justicia se dictará decreto acordando el sobreseimiento y el actor podrá promover nuevo juicio sobre el mismo objeto.</w:t>
      </w:r>
    </w:p>
    <w:p w14:paraId="0D7F40F0" w14:textId="77777777" w:rsidR="00C04533" w:rsidRDefault="00C04533" w:rsidP="00C04533">
      <w:pPr>
        <w:pStyle w:val="TextoNormal"/>
      </w:pPr>
    </w:p>
    <w:p w14:paraId="0016DA7D" w14:textId="77777777" w:rsidR="00C04533" w:rsidRDefault="00C04533" w:rsidP="00C04533">
      <w:pPr>
        <w:pStyle w:val="TextoNormal"/>
      </w:pPr>
      <w:r>
        <w:t>Si el demandado se opusiera al desistimiento, el juez resolverá lo que estime oportuno”.</w:t>
      </w:r>
    </w:p>
    <w:p w14:paraId="34D9ECC5" w14:textId="77777777" w:rsidR="00C04533" w:rsidRDefault="00C04533" w:rsidP="00C04533">
      <w:pPr>
        <w:pStyle w:val="TextoNormal"/>
      </w:pPr>
    </w:p>
    <w:p w14:paraId="1F111256" w14:textId="77777777" w:rsidR="00C04533" w:rsidRDefault="00C04533" w:rsidP="00C04533">
      <w:pPr>
        <w:pStyle w:val="TextoNormal"/>
      </w:pPr>
      <w:r>
        <w:t>Por otra parte, como recuerdan los AATC 61/2022, de 4 de abril, FJ 1, y 261/2023, de 22 de mayo, este tribunal ha admitido que el desistimiento puede ser parcial, cuando afecta a alguna de las pretensiones en caso de pluralidad del objeto, y total, cuando se refiere a todas o a la única pretensión deducida en el proceso (SSTC 96/1990, de 24 de mayo, FJ 1, y 237/1992, de 15 de diciembre; AATC 33/1993, de 26 de enero; 173/1997, de 20 de mayo; 79/2008, de 11 de marzo, y 288/2013, de 17 de diciembre, entre otros muchos). Así pues, en virtud del precepto legal antes reproducido puede estimarse como forma admitida para poner fin a un proceso de amparo, total o parcialmente, la manifestación de la voluntad de desistir por parte de su promotor, siempre que las partes personadas presten su conformidad al desistimiento o no se opusieren a él dentro del plazo conferido a tal efecto.</w:t>
      </w:r>
    </w:p>
    <w:p w14:paraId="2CCD9FFE" w14:textId="77777777" w:rsidR="00C04533" w:rsidRDefault="00C04533" w:rsidP="00C04533">
      <w:pPr>
        <w:pStyle w:val="TextoNormal"/>
      </w:pPr>
    </w:p>
    <w:p w14:paraId="7F8F28B1" w14:textId="5D25E8B8" w:rsidR="00C04533" w:rsidRDefault="00C04533" w:rsidP="00C04533">
      <w:pPr>
        <w:pStyle w:val="TextoNormal"/>
      </w:pPr>
      <w:r>
        <w:t>En el caso presente la pretensión de desistimiento analizada aparece revestida de los requisitos legales, no han mostrado oposición las partes personadas ni el Ministerio Fiscal y, además, no se aprecia que su aceptación produzca perjuicio de parte ni daño para el interés general o público. Concurriendo los requisitos exigidos por la ley, procede acceder a la petición formulada.</w:t>
      </w:r>
    </w:p>
    <w:p w14:paraId="34CBD6FE" w14:textId="77777777" w:rsidR="00C04533" w:rsidRDefault="00C04533" w:rsidP="00C04533">
      <w:pPr>
        <w:pStyle w:val="TextoNormal"/>
      </w:pPr>
    </w:p>
    <w:p w14:paraId="72826F51" w14:textId="77777777" w:rsidR="00C04533" w:rsidRDefault="00C04533" w:rsidP="00C04533">
      <w:pPr>
        <w:pStyle w:val="TextoNormal"/>
      </w:pPr>
      <w:r>
        <w:t>Por lo expuesto, la Sala</w:t>
      </w:r>
    </w:p>
    <w:p w14:paraId="2213C339" w14:textId="6B353014" w:rsidR="00C04533" w:rsidRDefault="00C04533" w:rsidP="00C04533">
      <w:pPr>
        <w:pStyle w:val="TextoNormal"/>
      </w:pPr>
    </w:p>
    <w:p w14:paraId="375704EF" w14:textId="77777777" w:rsidR="00C04533" w:rsidRDefault="00C04533" w:rsidP="00C04533">
      <w:pPr>
        <w:pStyle w:val="TextoNormalCentrado"/>
      </w:pPr>
      <w:r>
        <w:t>ACUERDA</w:t>
      </w:r>
    </w:p>
    <w:p w14:paraId="66FBA305" w14:textId="5EA9E8DB" w:rsidR="00C04533" w:rsidRDefault="00C04533" w:rsidP="00C04533">
      <w:pPr>
        <w:pStyle w:val="TextoNormalCentrado"/>
      </w:pPr>
    </w:p>
    <w:p w14:paraId="76095159" w14:textId="77777777" w:rsidR="00C04533" w:rsidRDefault="00C04533" w:rsidP="00C04533">
      <w:pPr>
        <w:pStyle w:val="TextoNormal"/>
      </w:pPr>
      <w:r>
        <w:t>Tener por apartada y desistida del presente recurso de amparo núm. 6815-2022 a doña Sandra Mayor Sánchez.</w:t>
      </w:r>
    </w:p>
    <w:p w14:paraId="567AD436" w14:textId="77777777" w:rsidR="00C04533" w:rsidRDefault="00C04533" w:rsidP="00C04533">
      <w:pPr>
        <w:pStyle w:val="TextoNormal"/>
      </w:pPr>
    </w:p>
    <w:p w14:paraId="0903EB52" w14:textId="412BEE7D" w:rsidR="00C04533" w:rsidRDefault="00C04533" w:rsidP="00C04533">
      <w:pPr>
        <w:pStyle w:val="TextoNormal"/>
      </w:pPr>
      <w:r>
        <w:t>Procédase al archivo de las actuaciones.</w:t>
      </w:r>
    </w:p>
    <w:p w14:paraId="51462EE8" w14:textId="77777777" w:rsidR="00C04533" w:rsidRDefault="00C04533" w:rsidP="00C04533">
      <w:pPr>
        <w:pStyle w:val="TextoNormal"/>
      </w:pPr>
    </w:p>
    <w:p w14:paraId="4BCC4262" w14:textId="77777777" w:rsidR="00C04533" w:rsidRDefault="00C04533" w:rsidP="00C04533">
      <w:pPr>
        <w:pStyle w:val="TextoNormal"/>
      </w:pPr>
      <w:r>
        <w:t>Madrid, a veintiuno de octubre de dos mil veinticuatro.</w:t>
      </w:r>
    </w:p>
    <w:p w14:paraId="16FEC9B4" w14:textId="478CAEDE" w:rsidR="00C04533" w:rsidRDefault="00C04533">
      <w:pPr>
        <w:spacing w:after="160" w:line="278" w:lineRule="auto"/>
        <w:rPr>
          <w:rFonts w:ascii="Times New Roman" w:eastAsia="Times New Roman" w:hAnsi="Times New Roman" w:cs="Times New Roman"/>
          <w:sz w:val="24"/>
          <w:szCs w:val="24"/>
          <w:lang w:eastAsia="es-ES"/>
        </w:rPr>
      </w:pPr>
      <w:r>
        <w:br w:type="page"/>
      </w:r>
    </w:p>
    <w:p w14:paraId="24EF9CE7" w14:textId="77777777" w:rsidR="00C04533" w:rsidRDefault="00C04533" w:rsidP="00C04533">
      <w:pPr>
        <w:pStyle w:val="TtuloResolucin"/>
      </w:pPr>
      <w:bookmarkStart w:id="104" w:name="AUTO_2024_98"/>
      <w:r>
        <w:t>AUTO 98/2024, de 21 de octubre de 2024</w:t>
      </w:r>
    </w:p>
    <w:bookmarkEnd w:id="104"/>
    <w:p w14:paraId="6C8C190F" w14:textId="77777777" w:rsidR="00C04533" w:rsidRDefault="00C04533" w:rsidP="00C04533">
      <w:pPr>
        <w:pStyle w:val="TtuloResolucin"/>
      </w:pPr>
      <w:r>
        <w:t>Sala Primera</w:t>
      </w:r>
    </w:p>
    <w:p w14:paraId="3300538C" w14:textId="77777777" w:rsidR="00C04533" w:rsidRDefault="00C04533" w:rsidP="00C04533">
      <w:pPr>
        <w:pStyle w:val="TextoNormalCentrado"/>
      </w:pPr>
      <w:r>
        <w:t>ECLI:ES:TC:2024:98A</w:t>
      </w:r>
    </w:p>
    <w:p w14:paraId="0133CB37" w14:textId="3B07BD92" w:rsidR="00C04533" w:rsidRDefault="00C04533" w:rsidP="00C04533">
      <w:pPr>
        <w:pStyle w:val="TextoNormalCentrado"/>
      </w:pPr>
    </w:p>
    <w:p w14:paraId="1D5AF43C" w14:textId="77777777" w:rsidR="00C04533" w:rsidRDefault="00C04533" w:rsidP="00C04533">
      <w:pPr>
        <w:pStyle w:val="SntesisDescriptiva"/>
      </w:pPr>
      <w:r>
        <w:t>Excms. Srs. don Cándido Conde-Pumpido Tourón, don Ricardo Enríquez Sancho, doña Concepción Espejel Jorquera, doña María Luisa Segoviano Astaburuaga, don Juan Carlos Campo Moreno y don José María Macías Castaño.</w:t>
      </w:r>
    </w:p>
    <w:p w14:paraId="4419E8F9" w14:textId="310B6629" w:rsidR="00C04533" w:rsidRDefault="00C04533" w:rsidP="00C04533">
      <w:pPr>
        <w:pStyle w:val="SntesisDescriptiva"/>
      </w:pPr>
    </w:p>
    <w:p w14:paraId="2880FDFD" w14:textId="77777777" w:rsidR="00C04533" w:rsidRDefault="00C04533" w:rsidP="00C04533">
      <w:pPr>
        <w:pStyle w:val="SntesisDescriptiva"/>
      </w:pPr>
      <w:r>
        <w:t>Acuerda la suspensión en el recurso de amparo 2151-2024, promovido por don Carlos Carrizosa Torres y otros cinco diputados del Parlamento de Cataluña en procedimiento parlamentario.</w:t>
      </w:r>
    </w:p>
    <w:p w14:paraId="57D63E98" w14:textId="512C3884" w:rsidR="00C04533" w:rsidRDefault="00C04533" w:rsidP="00C04533">
      <w:pPr>
        <w:pStyle w:val="SntesisDescriptiva"/>
      </w:pPr>
    </w:p>
    <w:p w14:paraId="505FB623" w14:textId="77777777" w:rsidR="00C04533" w:rsidRDefault="00C04533" w:rsidP="00C04533">
      <w:pPr>
        <w:pStyle w:val="SntesisDescriptiva"/>
      </w:pPr>
    </w:p>
    <w:p w14:paraId="3032E6F7" w14:textId="77777777" w:rsidR="00C04533" w:rsidRDefault="00C04533" w:rsidP="00C04533">
      <w:pPr>
        <w:pStyle w:val="SntesisDescriptiva"/>
      </w:pPr>
    </w:p>
    <w:p w14:paraId="255ADBA6" w14:textId="77777777" w:rsidR="00C04533" w:rsidRDefault="00C04533" w:rsidP="00C04533">
      <w:pPr>
        <w:pStyle w:val="TextoNormalNegritaCentrado"/>
      </w:pPr>
      <w:r>
        <w:t>AUTO</w:t>
      </w:r>
    </w:p>
    <w:p w14:paraId="01A7A91D" w14:textId="180F7DD4" w:rsidR="00C04533" w:rsidRDefault="00C04533" w:rsidP="00C04533">
      <w:pPr>
        <w:pStyle w:val="TextoNormalNegritaCentrado"/>
      </w:pPr>
    </w:p>
    <w:p w14:paraId="693ACAB2" w14:textId="77777777" w:rsidR="00C04533" w:rsidRDefault="00C04533" w:rsidP="00C04533">
      <w:pPr>
        <w:pStyle w:val="TextoNormalNegritaCentrado"/>
        <w:keepNext/>
      </w:pPr>
      <w:r>
        <w:t>I. Antecedentes</w:t>
      </w:r>
    </w:p>
    <w:p w14:paraId="244090DF" w14:textId="5C028F28" w:rsidR="00C04533" w:rsidRDefault="00C04533" w:rsidP="00C04533">
      <w:pPr>
        <w:pStyle w:val="TextoNormalNegritaCentrado"/>
        <w:keepNext/>
      </w:pPr>
    </w:p>
    <w:p w14:paraId="247B29FD" w14:textId="77777777" w:rsidR="00C04533" w:rsidRDefault="00C04533" w:rsidP="00C04533">
      <w:pPr>
        <w:pStyle w:val="TextoNormal"/>
      </w:pPr>
      <w:r w:rsidRPr="00C04533">
        <w:rPr>
          <w:rStyle w:val="NumeroAFNegritaCaracter"/>
        </w:rPr>
        <w:t>1</w:t>
      </w:r>
      <w:r>
        <w:t>. Mediante escrito registrado en el Tribunal el 26 de marzo de 2024, don Carlos Carrizosa Torres, doña Anna Grau Arias, don Joan García González, doña Marina Bravo Sobrino, don Matías Alonso Ruiz y doña Noemí de la Calle Sifré, diputados y diputadas del grupo parlamentario Ciutadans en el Parlamento de Cataluña, representados por el procurador de los tribunales don José Luis García Guardia, bajo la dirección del letrado don Carlos Carrizosa Torres Pedro, interpusieron recurso de amparo contra el acuerdo de la mesa del Parlamento de Cataluña de 22 de febrero de 2024 por el que se desestima la petición de reconsideración contra el acuerdo de 20 de febrero de 2024 por el que se admite a trámite una proposición de ley de declaración de independencia de Cataluña, presentada al amparo de la Ley del Parlamento de Cataluña 1/2006, de 16 de febrero, de la iniciativa legislativa popular.</w:t>
      </w:r>
    </w:p>
    <w:p w14:paraId="2C0C3BE0" w14:textId="77777777" w:rsidR="00C04533" w:rsidRDefault="00C04533" w:rsidP="00C04533">
      <w:pPr>
        <w:pStyle w:val="TextoNormal"/>
      </w:pPr>
    </w:p>
    <w:p w14:paraId="78DFFDEF" w14:textId="7D703E44" w:rsidR="00C04533" w:rsidRDefault="00C04533" w:rsidP="00C04533">
      <w:pPr>
        <w:pStyle w:val="TextoNormal"/>
      </w:pPr>
      <w:r>
        <w:t>En la demanda se solicita, al amparo del art. 56 de la Ley Orgánica del Tribunal Constitucional (LOTC), la suspensión de los acuerdos impugnados, argumentando la irreparabilidad de su ejecución en el derecho de representación política invocado en la medida en que supondría la continuación en el trámite de esta iniciativa; sin que se pueda derivar perturbación grave de los intereses generales o de terceros de su suspensión.</w:t>
      </w:r>
    </w:p>
    <w:p w14:paraId="7F8340F5" w14:textId="77777777" w:rsidR="00C04533" w:rsidRDefault="00C04533" w:rsidP="00C04533">
      <w:pPr>
        <w:pStyle w:val="TextoNormal"/>
      </w:pPr>
    </w:p>
    <w:p w14:paraId="211A23E6" w14:textId="6300324A" w:rsidR="00C04533" w:rsidRDefault="00C04533" w:rsidP="00C04533">
      <w:pPr>
        <w:pStyle w:val="TextoNormal"/>
      </w:pPr>
      <w:r w:rsidRPr="00C04533">
        <w:rPr>
          <w:rStyle w:val="NumeroAFNegritaCaracter"/>
        </w:rPr>
        <w:t>2</w:t>
      </w:r>
      <w:r>
        <w:t>. La Sección Primera del Tribunal, por sendas providencias de 9 de septiembre de 2024, acordó, en la primera, entre otros extremos, la admisión a trámite de la demanda de amparo y la formación de pieza separada para la sustanciación del incidente de suspensión; y, en la segunda, formar la oportuna pieza de suspensión y conceder a los demandantes y al Ministerio Fiscal el plazo común de tres días para que alegasen lo que estimasen pertinente.</w:t>
      </w:r>
    </w:p>
    <w:p w14:paraId="330CC006" w14:textId="77777777" w:rsidR="00C04533" w:rsidRDefault="00C04533" w:rsidP="00C04533">
      <w:pPr>
        <w:pStyle w:val="TextoNormal"/>
      </w:pPr>
    </w:p>
    <w:p w14:paraId="3671E6F5" w14:textId="0D722E88" w:rsidR="00C04533" w:rsidRDefault="00C04533" w:rsidP="00C04533">
      <w:pPr>
        <w:pStyle w:val="TextoNormal"/>
      </w:pPr>
      <w:r w:rsidRPr="00C04533">
        <w:rPr>
          <w:rStyle w:val="NumeroAFNegritaCaracter"/>
        </w:rPr>
        <w:t>3</w:t>
      </w:r>
      <w:r>
        <w:t>. El acuerdo parlamentario impugnado ha sido también objeto de recurso ante este tribunal por medio del procedimiento de impugnación de disposiciones autonómicas regulado en el título V LOTC promovido por el Gobierno de la Nación, que ha sido tramitado con el núm. 2159-2024. En el marco de ese procedimiento se ha dictado, por un lado, la providencia de 9 de abril de 2024 de admisión a trámite con suspensión del acuerdo recurrido al haber sido invocado el art. 161.2 CE, en relación con el art. 77 LOTC; y, por otro, el ATC 72/2024, de 16 julio, por el que se acuerda el mantenimiento de la suspensión de efectos del acuerdo de la mesa del Parlamento de 20 de febrero de 2024.</w:t>
      </w:r>
    </w:p>
    <w:p w14:paraId="0A9EFF19" w14:textId="77777777" w:rsidR="00C04533" w:rsidRDefault="00C04533" w:rsidP="00C04533">
      <w:pPr>
        <w:pStyle w:val="TextoNormal"/>
      </w:pPr>
    </w:p>
    <w:p w14:paraId="5B715D00" w14:textId="7C46FFC6" w:rsidR="00C04533" w:rsidRDefault="00C04533" w:rsidP="00C04533">
      <w:pPr>
        <w:pStyle w:val="TextoNormal"/>
      </w:pPr>
      <w:r w:rsidRPr="00C04533">
        <w:rPr>
          <w:rStyle w:val="NumeroAFNegritaCaracter"/>
        </w:rPr>
        <w:t>4</w:t>
      </w:r>
      <w:r>
        <w:t>. El Ministerio Fiscal, por escrito registrado el 25 de septiembre de 2024, presentó alegaciones interesando que se acuerde el archivo de la pieza de suspensión, por pérdida sobrevenida de objeto de la medida cautelar de suspensión interesada por los recurrentes, ya que el acuerdo impugnado de 20 de febrero de 2024 ha sido también objeto de impugnación en la impugnación de disposiciones autonómicas núm. 2159-2024, en cuyo contexto se acordó inicialmente su suspensión por la providencia de 9 de abril de 2024, siendo mantenida por el ATC 72/2024, de 16 julio.</w:t>
      </w:r>
    </w:p>
    <w:p w14:paraId="0BCE57B0" w14:textId="77777777" w:rsidR="00C04533" w:rsidRDefault="00C04533" w:rsidP="00C04533">
      <w:pPr>
        <w:pStyle w:val="TextoNormal"/>
      </w:pPr>
    </w:p>
    <w:p w14:paraId="4B82F17A" w14:textId="7976C137" w:rsidR="00C04533" w:rsidRDefault="00C04533" w:rsidP="00C04533">
      <w:pPr>
        <w:pStyle w:val="TextoNormal"/>
      </w:pPr>
      <w:r w:rsidRPr="00C04533">
        <w:rPr>
          <w:rStyle w:val="NumeroAFNegritaCaracter"/>
        </w:rPr>
        <w:t>5</w:t>
      </w:r>
      <w:r>
        <w:t>. Los demandantes de amparo no han presentado alegaciones.</w:t>
      </w:r>
    </w:p>
    <w:p w14:paraId="203608CB" w14:textId="77777777" w:rsidR="00C04533" w:rsidRDefault="00C04533" w:rsidP="00C04533">
      <w:pPr>
        <w:pStyle w:val="TextoNormal"/>
      </w:pPr>
    </w:p>
    <w:p w14:paraId="08322FD9" w14:textId="77777777" w:rsidR="00C04533" w:rsidRDefault="00C04533" w:rsidP="00C04533">
      <w:pPr>
        <w:pStyle w:val="TextoNormalNegritaCentrado"/>
        <w:keepNext/>
      </w:pPr>
      <w:r>
        <w:t>II. Fundamentos jurídicos</w:t>
      </w:r>
    </w:p>
    <w:p w14:paraId="0803F7FE" w14:textId="1B4D869F" w:rsidR="00C04533" w:rsidRDefault="00C04533" w:rsidP="00C04533">
      <w:pPr>
        <w:pStyle w:val="TextoNormalNegritaCentrado"/>
        <w:keepNext/>
      </w:pPr>
    </w:p>
    <w:p w14:paraId="7D9E1657" w14:textId="77777777" w:rsidR="00C04533" w:rsidRDefault="00C04533" w:rsidP="00C04533">
      <w:pPr>
        <w:pStyle w:val="TextoNormal"/>
      </w:pPr>
      <w:r w:rsidRPr="00C04533">
        <w:rPr>
          <w:rStyle w:val="TextoNormalNegritaCaracter"/>
        </w:rPr>
        <w:t xml:space="preserve">Único. </w:t>
      </w:r>
      <w:r>
        <w:t>El objeto de esta pieza de suspensión es pronunciarse sobre la procedencia de la medida cautelar instada por los demandantes de amparo consistente en la suspensión de la ejecución del acuerdo de la mesa del Parlamento de Cataluña de 20 de febrero de 2024 por el que se admite a trámite una proposición de ley de declaración de independencia de Cataluña, presentada al amparo de la Ley del Parlamento de Cataluña 1/2006, de 16 de febrero, de la iniciativa legislativa popular; y del acuerdo de 22 de febrero de 2024 por el que se desestima la petición de reconsideración formulada contra el anterior.</w:t>
      </w:r>
    </w:p>
    <w:p w14:paraId="128AFF91" w14:textId="77777777" w:rsidR="00C04533" w:rsidRDefault="00C04533" w:rsidP="00C04533">
      <w:pPr>
        <w:pStyle w:val="TextoNormal"/>
      </w:pPr>
    </w:p>
    <w:p w14:paraId="3E40451A" w14:textId="77777777" w:rsidR="00C04533" w:rsidRDefault="00C04533" w:rsidP="00C04533">
      <w:pPr>
        <w:pStyle w:val="TextoNormal"/>
      </w:pPr>
      <w:r>
        <w:t>La jurisprudencia constitucional ha reiterado, en interpretación del art. 56 LOTC, que el perjuicio alegado, además de concreto, debe ser real y actual, no pudiendo consistir en meras hipótesis de futuro o en simples temores de la parte recurrente (así, por ejemplo, AATC 51/2022, de 7 de marzo, FJ 3, o 136/2022, de 24 de octubre, FJ 3), lo que ha determinado que el Tribunal haya rechazado la suspensión de actos y resoluciones cuya ejecución ya permanecía suspendida afirmando que en esos casos “no concurre tampoco el riesgo de que la ejecución del acto impugnado hiciera perder al recurso de amparo su finalidad (art. 56.2 LOTC)” (AATC 12/2022, de 24 de enero, FJ 3, o 48/2024, de 20 de mayo, FJ único).</w:t>
      </w:r>
    </w:p>
    <w:p w14:paraId="3AFF916B" w14:textId="77777777" w:rsidR="00C04533" w:rsidRDefault="00C04533" w:rsidP="00C04533">
      <w:pPr>
        <w:pStyle w:val="TextoNormal"/>
      </w:pPr>
    </w:p>
    <w:p w14:paraId="28680416" w14:textId="77777777" w:rsidR="00C04533" w:rsidRDefault="00C04533" w:rsidP="00C04533">
      <w:pPr>
        <w:pStyle w:val="TextoNormal"/>
      </w:pPr>
      <w:r>
        <w:t>En el presente caso, resulta procedente denegar la medida cautelar instada por los demandantes en relación con el acuerdo de 20 de febrero de 2024. El Tribunal constata que la ejecución de este acuerdo impugnado, que también ha sido objeto de impugnación en la impugnación de disposiciones autonómicas núm. 2159-2024, ha sido suspendida en el contexto de ese procedimiento inicialmente por la providencia del Pleno de este Tribunal de 9 de abril de 2024 y se ha mantenido por el ATC 72/2024, de 16 julio. Ello impide apreciar en este caso el cumplimiento de los debidos requisitos de la existencia de un riesgo de que el recurso de amparo pudiera perder su finalidad y de la actualidad del eventual perjuicio alegado como presupuesto para la adopción de la medida cautelar solicitada.</w:t>
      </w:r>
    </w:p>
    <w:p w14:paraId="51226BDC" w14:textId="77777777" w:rsidR="00C04533" w:rsidRDefault="00C04533" w:rsidP="00C04533">
      <w:pPr>
        <w:pStyle w:val="TextoNormal"/>
      </w:pPr>
    </w:p>
    <w:p w14:paraId="453F8AA7" w14:textId="77777777" w:rsidR="00C04533" w:rsidRDefault="00C04533" w:rsidP="00C04533">
      <w:pPr>
        <w:pStyle w:val="TextoNormal"/>
      </w:pPr>
      <w:r>
        <w:t>La denegación de la suspensión de dicho acuerdo de 20 de febrero de 2024 se adopta sin perjuicio de lo que pudiera acordarse, al amparo del art. 57 LOTC, en caso de una alteración sobrevenida de las actuales circunstancias de suspensión en la que se mantiene el citado auto en el contexto de la impugnación de disposiciones autonómicas núm. 2159-2024 tramitada en este tribunal.</w:t>
      </w:r>
    </w:p>
    <w:p w14:paraId="53559901" w14:textId="77777777" w:rsidR="00C04533" w:rsidRDefault="00C04533" w:rsidP="00C04533">
      <w:pPr>
        <w:pStyle w:val="TextoNormal"/>
      </w:pPr>
    </w:p>
    <w:p w14:paraId="25A0BDEF" w14:textId="7A09E12B" w:rsidR="00C04533" w:rsidRDefault="00C04533" w:rsidP="00C04533">
      <w:pPr>
        <w:pStyle w:val="TextoNormal"/>
      </w:pPr>
      <w:r>
        <w:t>Por otra parte, en relación con la petición de suspensión del acuerdo de 22 de febrero de 2024, que no ha sido objeto de suspensión en la impugnación de disposiciones autonómicas núm. 2159-2024, procede que se acuerde su suspensión con remisión a las razones expuestas en el citado ATC 72/2024 respecto del acuerdo de 20 de febrero de 2024.</w:t>
      </w:r>
    </w:p>
    <w:p w14:paraId="4EECD177" w14:textId="77777777" w:rsidR="00C04533" w:rsidRDefault="00C04533" w:rsidP="00C04533">
      <w:pPr>
        <w:pStyle w:val="TextoNormal"/>
      </w:pPr>
    </w:p>
    <w:p w14:paraId="007499E9" w14:textId="77777777" w:rsidR="00C04533" w:rsidRDefault="00C04533" w:rsidP="00C04533">
      <w:pPr>
        <w:pStyle w:val="TextoNormal"/>
      </w:pPr>
      <w:r>
        <w:t>Por lo expuesto, la Sala</w:t>
      </w:r>
    </w:p>
    <w:p w14:paraId="43323044" w14:textId="77728C13" w:rsidR="00C04533" w:rsidRDefault="00C04533" w:rsidP="00C04533">
      <w:pPr>
        <w:pStyle w:val="TextoNormal"/>
      </w:pPr>
    </w:p>
    <w:p w14:paraId="5939D701" w14:textId="77777777" w:rsidR="00C04533" w:rsidRDefault="00C04533" w:rsidP="00C04533">
      <w:pPr>
        <w:pStyle w:val="TextoNormalCentrado"/>
      </w:pPr>
      <w:r>
        <w:t>ACUERDA</w:t>
      </w:r>
    </w:p>
    <w:p w14:paraId="4901DFF2" w14:textId="67F91224" w:rsidR="00C04533" w:rsidRDefault="00C04533" w:rsidP="00C04533">
      <w:pPr>
        <w:pStyle w:val="TextoNormalCentrado"/>
      </w:pPr>
    </w:p>
    <w:p w14:paraId="31560CED" w14:textId="4D3AACF9" w:rsidR="00C04533" w:rsidRDefault="00C04533" w:rsidP="00C04533">
      <w:pPr>
        <w:pStyle w:val="TextoNormal"/>
      </w:pPr>
      <w:r>
        <w:t>Suspender el acuerdo de la mesa del Parlamento de Cataluña de 22 de febrero de 2024 y denegar la suspensión del acuerdo de 20 de febrero de 2024.</w:t>
      </w:r>
    </w:p>
    <w:p w14:paraId="38B12B3A" w14:textId="77777777" w:rsidR="00C04533" w:rsidRDefault="00C04533" w:rsidP="00C04533">
      <w:pPr>
        <w:pStyle w:val="TextoNormal"/>
      </w:pPr>
    </w:p>
    <w:p w14:paraId="1A5215B5" w14:textId="77777777" w:rsidR="00C04533" w:rsidRDefault="00C04533" w:rsidP="00C04533">
      <w:pPr>
        <w:pStyle w:val="TextoNormal"/>
      </w:pPr>
      <w:r>
        <w:t>Madrid, a veintiuno de octubre de dos mil veinticuatro.</w:t>
      </w:r>
    </w:p>
    <w:p w14:paraId="511D89BE" w14:textId="753A1F5A" w:rsidR="00C04533" w:rsidRDefault="00C04533">
      <w:pPr>
        <w:spacing w:after="160" w:line="278" w:lineRule="auto"/>
        <w:rPr>
          <w:rFonts w:ascii="Times New Roman" w:eastAsia="Times New Roman" w:hAnsi="Times New Roman" w:cs="Times New Roman"/>
          <w:sz w:val="24"/>
          <w:szCs w:val="24"/>
          <w:lang w:eastAsia="es-ES"/>
        </w:rPr>
      </w:pPr>
      <w:r>
        <w:br w:type="page"/>
      </w:r>
    </w:p>
    <w:p w14:paraId="53F06EEF" w14:textId="77777777" w:rsidR="00C04533" w:rsidRDefault="00C04533" w:rsidP="00C04533">
      <w:pPr>
        <w:pStyle w:val="TtuloResolucin"/>
      </w:pPr>
      <w:bookmarkStart w:id="105" w:name="AUTO_2024_99"/>
      <w:r>
        <w:t>AUTO 99/2024, de 21 de octubre de 2024</w:t>
      </w:r>
    </w:p>
    <w:bookmarkEnd w:id="105"/>
    <w:p w14:paraId="22160811" w14:textId="77777777" w:rsidR="00C04533" w:rsidRDefault="00C04533" w:rsidP="00C04533">
      <w:pPr>
        <w:pStyle w:val="TtuloResolucin"/>
      </w:pPr>
      <w:r>
        <w:t>Sala Segunda</w:t>
      </w:r>
    </w:p>
    <w:p w14:paraId="693593D0" w14:textId="77777777" w:rsidR="00C04533" w:rsidRDefault="00C04533" w:rsidP="00C04533">
      <w:pPr>
        <w:pStyle w:val="TextoNormalCentrado"/>
      </w:pPr>
      <w:r>
        <w:t>ECLI:ES:TC:2024:99A</w:t>
      </w:r>
    </w:p>
    <w:p w14:paraId="33ADF2CA" w14:textId="3347EC00" w:rsidR="00C04533" w:rsidRDefault="00C04533" w:rsidP="00C04533">
      <w:pPr>
        <w:pStyle w:val="TextoNormalCentrado"/>
      </w:pPr>
    </w:p>
    <w:p w14:paraId="2D501613" w14:textId="77777777" w:rsidR="00C04533" w:rsidRDefault="00C04533" w:rsidP="00C04533">
      <w:pPr>
        <w:pStyle w:val="SntesisDescriptiva"/>
      </w:pPr>
      <w:r>
        <w:t>Excms. Srs. doña Inmaculada Montalbán Huertas, doña María Luisa Balaguer Callejón, don Ramón Sáez Valcárcel, don Enrique Arnaldo Alcubilla, don César Tolosa Tribiño y doña Laura Díez Bueso.</w:t>
      </w:r>
    </w:p>
    <w:p w14:paraId="2FC66D43" w14:textId="6A5A8292" w:rsidR="00C04533" w:rsidRDefault="00C04533" w:rsidP="00C04533">
      <w:pPr>
        <w:pStyle w:val="SntesisDescriptiva"/>
      </w:pPr>
    </w:p>
    <w:p w14:paraId="116646A5" w14:textId="77777777" w:rsidR="00C04533" w:rsidRDefault="00C04533" w:rsidP="00C04533">
      <w:pPr>
        <w:pStyle w:val="SntesisDescriptiva"/>
      </w:pPr>
      <w:r>
        <w:t>Acuerda la suspensión en el recurso de amparo 2179-2024, promovido por don Jesús Granados Hernández y doña Marta Rodríguez Hidalgo en pleito civil.</w:t>
      </w:r>
    </w:p>
    <w:p w14:paraId="671671DA" w14:textId="631AACDB" w:rsidR="00C04533" w:rsidRDefault="00C04533" w:rsidP="00C04533">
      <w:pPr>
        <w:pStyle w:val="SntesisDescriptiva"/>
      </w:pPr>
    </w:p>
    <w:p w14:paraId="6DEC465D" w14:textId="77777777" w:rsidR="00C04533" w:rsidRDefault="00C04533" w:rsidP="00C04533">
      <w:pPr>
        <w:pStyle w:val="SntesisDescriptiva"/>
      </w:pPr>
    </w:p>
    <w:p w14:paraId="6A5353EA" w14:textId="77777777" w:rsidR="00C04533" w:rsidRDefault="00C04533" w:rsidP="00C04533">
      <w:pPr>
        <w:pStyle w:val="SntesisDescriptiva"/>
      </w:pPr>
    </w:p>
    <w:p w14:paraId="1B380164" w14:textId="77777777" w:rsidR="00C04533" w:rsidRDefault="00C04533" w:rsidP="00C04533">
      <w:pPr>
        <w:pStyle w:val="TextoNormalNegritaCentrado"/>
      </w:pPr>
      <w:r>
        <w:t>AUTO</w:t>
      </w:r>
    </w:p>
    <w:p w14:paraId="52F0C4A3" w14:textId="79B476A1" w:rsidR="00C04533" w:rsidRDefault="00C04533" w:rsidP="00C04533">
      <w:pPr>
        <w:pStyle w:val="TextoNormalNegritaCentrado"/>
      </w:pPr>
    </w:p>
    <w:p w14:paraId="4880FFFF" w14:textId="77777777" w:rsidR="00C04533" w:rsidRDefault="00C04533" w:rsidP="00C04533">
      <w:pPr>
        <w:pStyle w:val="TextoNormalNegritaCentrado"/>
        <w:keepNext/>
      </w:pPr>
      <w:r>
        <w:t>I. Antecedentes</w:t>
      </w:r>
    </w:p>
    <w:p w14:paraId="190F0DB1" w14:textId="718CFADE" w:rsidR="00C04533" w:rsidRDefault="00C04533" w:rsidP="00C04533">
      <w:pPr>
        <w:pStyle w:val="TextoNormalNegritaCentrado"/>
        <w:keepNext/>
      </w:pPr>
    </w:p>
    <w:p w14:paraId="60615C46" w14:textId="77777777" w:rsidR="00C04533" w:rsidRDefault="00C04533" w:rsidP="00C04533">
      <w:pPr>
        <w:pStyle w:val="TextoNormal"/>
      </w:pPr>
      <w:r w:rsidRPr="00C04533">
        <w:rPr>
          <w:rStyle w:val="NumeroAFNegritaCaracter"/>
        </w:rPr>
        <w:t>1</w:t>
      </w:r>
      <w:r>
        <w:t>. Don Jesús Granados Hernández y doña Marta Rodríguez Hidalgo, representados por la procuradora de los tribunales doña María del Carmen Palomares Quesada, con asistencia del abogado don Francisco Sevilla Cáceres, presentaron el 27 de marzo de 2024 en el registro de este tribunal demanda de amparo contra las providencias de 10 de enero y 7 de febrero de 2024 y el auto de 23 de febrero de 2024, resoluciones dictadas todas ellas por el Juzgado de Primera Instancia núm. 9 de Granada en el proceso de ejecución hipotecaria núm.1430-2016, seguido contra los demandantes de amparo.</w:t>
      </w:r>
    </w:p>
    <w:p w14:paraId="1BA236B0" w14:textId="77777777" w:rsidR="00C04533" w:rsidRDefault="00C04533" w:rsidP="00C04533">
      <w:pPr>
        <w:pStyle w:val="TextoNormal"/>
      </w:pPr>
    </w:p>
    <w:p w14:paraId="1B21B59D" w14:textId="082CB357" w:rsidR="00C04533" w:rsidRDefault="00C04533" w:rsidP="00C04533">
      <w:pPr>
        <w:pStyle w:val="TextoNormal"/>
      </w:pPr>
      <w:r>
        <w:t>La providencia de 10 de enero de 2024 inadmite el incidente de nulidad promovido por los demandantes de amparo, que fundaban su pretensión anulatoria en que el procedimiento de ejecución se había iniciado con base en la cláusula de vencimiento anticipado incluida en el contrato de préstamo hipotecario, que debe considerarse nula por abusiva. Tras serles notificada esa resolución, volvieron a denunciar el carácter abusivo de la cláusula de vencimiento anticipado por los mismos motivos y el juzgado, mediante providencia de 7 de febrero de 2024, rechazó de nuevo su pretensión, por considerar que no había sido presentada en el momento procesal oportuno. Interpuesto recurso de reposición contra esta providencia, el juzgado la desestimó por auto de 23 de febrero de 2024.</w:t>
      </w:r>
    </w:p>
    <w:p w14:paraId="3B6CC5AF" w14:textId="77777777" w:rsidR="00C04533" w:rsidRDefault="00C04533" w:rsidP="00C04533">
      <w:pPr>
        <w:pStyle w:val="TextoNormal"/>
      </w:pPr>
    </w:p>
    <w:p w14:paraId="318CF1D1" w14:textId="77777777" w:rsidR="00C04533" w:rsidRDefault="00C04533" w:rsidP="00C04533">
      <w:pPr>
        <w:pStyle w:val="TextoNormal"/>
      </w:pPr>
      <w:r w:rsidRPr="00C04533">
        <w:rPr>
          <w:rStyle w:val="NumeroAFNegritaCaracter"/>
        </w:rPr>
        <w:t>2</w:t>
      </w:r>
      <w:r>
        <w:t>. En la demanda de amparo se denuncia que las resoluciones judiciales impugnadas han vulnerado el derecho de los recurrentes a la tutela judicial efectiva (art. 24.1 CE), por la negativa del juzgado a pronunciarse sobre el carácter abusivo de la cláusula de vencimiento anticipado incluida en el contrato de préstamo hipotecario, so pretexto de que los ejecutados ya tuvieron ocasión de alegar sobre el carácter abusivo de las cláusulas cuando formularon la oposición a la ejecución y no lo hicieron. Según los recurrentes, esta respuesta judicial contraviene la jurisprudencia constitucional sentada en esa materia a partir de la STC 31/2019, de 28 de febrero, en relación con la jurisprudencia del Tribunal de Justicia de la Unión Europea.</w:t>
      </w:r>
    </w:p>
    <w:p w14:paraId="4BB299F2" w14:textId="77777777" w:rsidR="00C04533" w:rsidRDefault="00C04533" w:rsidP="00C04533">
      <w:pPr>
        <w:pStyle w:val="TextoNormal"/>
      </w:pPr>
    </w:p>
    <w:p w14:paraId="35688EA6" w14:textId="25F7A7A3" w:rsidR="00C04533" w:rsidRDefault="00C04533" w:rsidP="00C04533">
      <w:pPr>
        <w:pStyle w:val="TextoNormal"/>
      </w:pPr>
      <w:r>
        <w:t>Por otrosí, de acuerdo con lo previsto en el art. 56 de la Ley Orgánica del Tribunal Constituciónal (LOTC), los demandantes de amparo solicitan la suspensión del procedimiento de ejecución hipotecaria núm. 1430-2016, o subsidiariamente la suspensión cautelar del lanzamiento del inmueble que es objeto de dicho procedimiento y que constituye la vivienda habitual de los demandantes y sus hijos, a fin de evitar el perjuicio irreparable que de otro modo se les ocasionaría, haciendo perder su finalidad al recurso de amparo, en caso de ser estimado. Se indica que el procedimiento de ejecución hipotecaria ha estado suspendido, por auto de 23 de junio de 2020, hasta transcurridos siete años desde la entrada en vigor de la Ley 1/2013, de 14 de mayo, de medidas para reforzar la protección a los deudores hipotecarios, reestructuración de deuda y alquiler social, esto es, hasta el 16 de mayo de 2024, lo que permitiría ya a la entidad bancaria ejecutante, que se ha adjudicado en subasta la vivienda ejecutada, solicitar de nuevo el lanzamiento en cualquier momento.</w:t>
      </w:r>
    </w:p>
    <w:p w14:paraId="3B547DA0" w14:textId="77777777" w:rsidR="00C04533" w:rsidRDefault="00C04533" w:rsidP="00C04533">
      <w:pPr>
        <w:pStyle w:val="TextoNormal"/>
      </w:pPr>
    </w:p>
    <w:p w14:paraId="2721E5CD" w14:textId="4AB4DACE" w:rsidR="00C04533" w:rsidRDefault="00C04533" w:rsidP="00C04533">
      <w:pPr>
        <w:pStyle w:val="TextoNormal"/>
      </w:pPr>
      <w:r w:rsidRPr="00C04533">
        <w:rPr>
          <w:rStyle w:val="NumeroAFNegritaCaracter"/>
        </w:rPr>
        <w:t>3</w:t>
      </w:r>
      <w:r>
        <w:t>. Por providencia de 9 de septiembre de 2024 de la Sección Cuarta de este tribunal se acordó la admisión a trámite del recurso de amparo, al apreciar que concurre en el mismo una especial transcendencia constitucional (art. 50.1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de 25 de junio, FJ 2 b)].</w:t>
      </w:r>
    </w:p>
    <w:p w14:paraId="49B7271D" w14:textId="77777777" w:rsidR="00C04533" w:rsidRDefault="00C04533" w:rsidP="00C04533">
      <w:pPr>
        <w:pStyle w:val="TextoNormal"/>
      </w:pPr>
    </w:p>
    <w:p w14:paraId="320DFEA4" w14:textId="2574EEF0" w:rsidR="00C04533" w:rsidRDefault="00C04533" w:rsidP="00C04533">
      <w:pPr>
        <w:pStyle w:val="TextoNormal"/>
      </w:pPr>
      <w:r w:rsidRPr="00C04533">
        <w:rPr>
          <w:rStyle w:val="NumeroAFNegritaCaracter"/>
        </w:rPr>
        <w:t>4</w:t>
      </w:r>
      <w:r>
        <w:t>. Mediante otra providencia de la misma fecha se acordó formar la correspondiente pieza separada de suspensión y, de conformidad con lo previsto en el art. 56 LOTC, conceder un plazo común de tres días al Ministerio Fiscal y a la parte recurrente en amparo para que alegaran lo que estimaran pertinente en relación con la petición de suspensión interesada.</w:t>
      </w:r>
    </w:p>
    <w:p w14:paraId="07915D86" w14:textId="77777777" w:rsidR="00C04533" w:rsidRDefault="00C04533" w:rsidP="00C04533">
      <w:pPr>
        <w:pStyle w:val="TextoNormal"/>
      </w:pPr>
    </w:p>
    <w:p w14:paraId="44A91971" w14:textId="77777777" w:rsidR="00C04533" w:rsidRDefault="00C04533" w:rsidP="00C04533">
      <w:pPr>
        <w:pStyle w:val="TextoNormal"/>
      </w:pPr>
      <w:r w:rsidRPr="00C04533">
        <w:rPr>
          <w:rStyle w:val="NumeroAFNegritaCaracter"/>
        </w:rPr>
        <w:t>5</w:t>
      </w:r>
      <w:r>
        <w:t>. La representación de los recurrentes, mediante escrito presentado el 12 de septiembre de 2024, reiteró su petición de que el Tribunal Constitucional acuerde la suspensión del procedimiento de ejecución hipotecaria núm. 1430-2016, o subsidiariamente la suspensión cautelar del lanzamiento del inmueble que es objeto de dicho procedimiento y que constituye la vivienda habitual de los demandantes y sus hijos.</w:t>
      </w:r>
    </w:p>
    <w:p w14:paraId="4A5A0970" w14:textId="77777777" w:rsidR="00C04533" w:rsidRDefault="00C04533" w:rsidP="00C04533">
      <w:pPr>
        <w:pStyle w:val="TextoNormal"/>
      </w:pPr>
    </w:p>
    <w:p w14:paraId="6A66A19F" w14:textId="77777777" w:rsidR="00C04533" w:rsidRDefault="00C04533" w:rsidP="00C04533">
      <w:pPr>
        <w:pStyle w:val="TextoNormal"/>
      </w:pPr>
      <w:r>
        <w:t>En caso de no accederse a la suspensión interesada, existe el previsible riesgo de que por la entidad bancaria ejecutante se promueva la ejecución del desalojo y el lanzamiento de la vivienda, al haber concluido el 16 de mayo de 2024 la suspensión del lanzamiento acordada por el propio juzgado, lo que abocaría a una situación difícilmente reversible, que podría hacer perder al presente recurso de amparo su finalidad, sin que se advierta que la suspensión de la ejecución pueda entrañar una perturbación grave a un interés constitucionalmente protegido o a los derechos fundamentales o libertades públicas de un tercero. Particularmente, se llama la atención sobre el hecho de que la propietaria de la vivienda tras la adjudicación en subasta es la entidad bancaria ejecutante, titular de numerosas viviendas desocupadas, por lo que, la suspensión provisional de la ejecución del procedimiento de ejecución hipotecaria, o al menos del lanzamiento, no supondría una grave perturbación para sus intereses.</w:t>
      </w:r>
    </w:p>
    <w:p w14:paraId="5D89A313" w14:textId="77777777" w:rsidR="00C04533" w:rsidRDefault="00C04533" w:rsidP="00C04533">
      <w:pPr>
        <w:pStyle w:val="TextoNormal"/>
      </w:pPr>
    </w:p>
    <w:p w14:paraId="789EE6E6" w14:textId="019BEDFF" w:rsidR="00C04533" w:rsidRDefault="00C04533" w:rsidP="00C04533">
      <w:pPr>
        <w:pStyle w:val="TextoNormal"/>
      </w:pPr>
      <w:r>
        <w:t>Para el supuesto de que por este tribunal no se acceda a la suspensión interesada, solicitan los demandantes que se acuerde como medida cautelar la anotación preventiva de la demanda de amparo en el registro de la propiedad, a fin de evitar que la adquisición del inmueble por un tercero lo haga reivindicable, ordenando remitir al órgano judicial la práctica de las actuaciones pertinentes para que pueda llevarse a efecto la medida, de conformidad con la legislación procesal e hipotecaria.</w:t>
      </w:r>
    </w:p>
    <w:p w14:paraId="3F8A0305" w14:textId="77777777" w:rsidR="00C04533" w:rsidRDefault="00C04533" w:rsidP="00C04533">
      <w:pPr>
        <w:pStyle w:val="TextoNormal"/>
      </w:pPr>
    </w:p>
    <w:p w14:paraId="61B9826B" w14:textId="77777777" w:rsidR="00C04533" w:rsidRDefault="00C04533" w:rsidP="00C04533">
      <w:pPr>
        <w:pStyle w:val="TextoNormal"/>
      </w:pPr>
      <w:r w:rsidRPr="00C04533">
        <w:rPr>
          <w:rStyle w:val="NumeroAFNegritaCaracter"/>
        </w:rPr>
        <w:t>6</w:t>
      </w:r>
      <w:r>
        <w:t>. En su escrito de alegaciones, presentado el 25 de septiembre de 2024, el Ministerio Fiscal, con cita de doctrina constitucional sobre la suspensión en los recursos de amparo, en particular de la dictada en relación con pronunciamientos relativos al procedimiento hipotecario y al lanzamiento de los ejecutados del inmueble que constituye su vivienda habitual (cita expresamente los AATC 119/2022, de 26 de septiembre, y 600/2023, de 20 de noviembre), se muestra favorable a que se conceda la suspensión solicitada del procedimiento de ejecución hipotecaria, puesto que, de lo contrario, se podría causar a los recurrentes un perjuicio que haría perder al recurso de amparo su finalidad, sin que se advierta que la suspensión de la ejecución, atendidas las circunstancias del caso (la adjudicataria de la vivienda hipotecada es la misma entidad financiera ejecutante), pueda entrañar una perturbación grave a un interés constitucionalmente protegido o a los derechos fundamentales o libertades públicas de un tercero.</w:t>
      </w:r>
    </w:p>
    <w:p w14:paraId="706DCEC3" w14:textId="77777777" w:rsidR="00C04533" w:rsidRDefault="00C04533" w:rsidP="00C04533">
      <w:pPr>
        <w:pStyle w:val="TextoNormal"/>
      </w:pPr>
    </w:p>
    <w:p w14:paraId="772C5C8A" w14:textId="51B1C671" w:rsidR="00C04533" w:rsidRDefault="00C04533" w:rsidP="00C04533">
      <w:pPr>
        <w:pStyle w:val="TextoNormal"/>
      </w:pPr>
      <w:r>
        <w:t>Recuerda el Ministerio Fiscal que el propio juzgado, al acordar en su momento la suspensión del lanzamiento hasta transcurridos siete años desde la entrada en vigor de la Ley 1/2013, de 14 de mayo, esto es, hasta el 16 de mayo de 2024 (auto de 23 de junio de 2020), ha venido a reconocer la situación de especial vulnerabilidad de los recurrentes, ya que se encontraban en situación de desempleo, con un hijo menor a su cargo, y reducidos ingresos económicos que no exceden los límites legales; a lo que se añade que se trata de un préstamo garantizado con hipoteca que recae sobre la única vivienda en propiedad de los deudores y que fue concedido para la adquisición de la misma.</w:t>
      </w:r>
    </w:p>
    <w:p w14:paraId="0044C58E" w14:textId="77777777" w:rsidR="00C04533" w:rsidRDefault="00C04533" w:rsidP="00C04533">
      <w:pPr>
        <w:pStyle w:val="TextoNormal"/>
      </w:pPr>
    </w:p>
    <w:p w14:paraId="6288F42B" w14:textId="77777777" w:rsidR="00C04533" w:rsidRDefault="00C04533" w:rsidP="00C04533">
      <w:pPr>
        <w:pStyle w:val="TextoNormalNegritaCentrado"/>
        <w:keepNext/>
      </w:pPr>
      <w:r>
        <w:t>II. Fundamentos jurídicos</w:t>
      </w:r>
    </w:p>
    <w:p w14:paraId="75B7AEE6" w14:textId="22BDB301" w:rsidR="00C04533" w:rsidRDefault="00C04533" w:rsidP="00C04533">
      <w:pPr>
        <w:pStyle w:val="TextoNormalNegritaCentrado"/>
        <w:keepNext/>
      </w:pPr>
    </w:p>
    <w:p w14:paraId="26F1B76F" w14:textId="77777777" w:rsidR="00C04533" w:rsidRDefault="00C04533" w:rsidP="00C04533">
      <w:pPr>
        <w:pStyle w:val="TextoNormal"/>
      </w:pPr>
      <w:r w:rsidRPr="00C04533">
        <w:rPr>
          <w:rStyle w:val="NumeroAFNegritaCaracter"/>
        </w:rPr>
        <w:t>1</w:t>
      </w:r>
      <w:r>
        <w:t>. Dispone el art. 56.2 LOTC que la Sala que conozca de un recurso de amparo únicamente suspenderá la ejecución del acto de los poderes públicos por razón del cual se reclame el amparo constitucional “cuando la ejecución […] produzca un perjuicio al recurrente que pudiera hacer perder al amparo su finalidad”; previéndose en el segundo inciso de este mismo precepto que la suspensión, no obstante, podrá denegarse cuando de aquella pueda seguirse “perturbación grave a un interés constitucionalmente protegido”, o de “los derechos fundamentales o libertades de otra persona”.</w:t>
      </w:r>
    </w:p>
    <w:p w14:paraId="65CFDB08" w14:textId="77777777" w:rsidR="00C04533" w:rsidRDefault="00C04533" w:rsidP="00C04533">
      <w:pPr>
        <w:pStyle w:val="TextoNormal"/>
      </w:pPr>
    </w:p>
    <w:p w14:paraId="7FC347C9" w14:textId="77777777" w:rsidR="00C04533" w:rsidRDefault="00C04533" w:rsidP="00C04533">
      <w:pPr>
        <w:pStyle w:val="TextoNormal"/>
      </w:pPr>
      <w:r>
        <w:t>Este tribunal viene recordando que el art. 56.1 LOTC establece como principio general que “la interposición del recurso de amparo no suspenderá los efectos del acto o sentencia impugnados”, lo cual es consecuencia de la presunción de legitimidad que alcanza a todas las actuaciones de los poderes públicos, y que es inherente a la entera actividad pública, ya sea legislativa, ejecutiva o judicial. Este carácter restrictivo de la suspensión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este sentido, entre otros muchos, se pronuncian los AATC 2/2001, de 15 de enero, FJ 1; 4/2006, de 16 de enero, FJ 1; 127/2010, de 4 de octubre, FJ 1, y 38/2018, de 22 de marzo, FJ 3, por todos).</w:t>
      </w:r>
    </w:p>
    <w:p w14:paraId="5678EE9F" w14:textId="77777777" w:rsidR="00C04533" w:rsidRDefault="00C04533" w:rsidP="00C04533">
      <w:pPr>
        <w:pStyle w:val="TextoNormal"/>
      </w:pPr>
    </w:p>
    <w:p w14:paraId="01036C6E" w14:textId="26348505" w:rsidR="00C04533" w:rsidRDefault="00C04533" w:rsidP="00C04533">
      <w:pPr>
        <w:pStyle w:val="TextoNormal"/>
      </w:pPr>
      <w:r>
        <w:t>Por ello la adopción de la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de este tribunal, sea tardío e impida definitivamente que la restauración sea efectiva (por todos, AATC 198/2006, de 19 de junio, FJ 1, y 138/2022, de 24 de octubre, FJ 1).</w:t>
      </w:r>
    </w:p>
    <w:p w14:paraId="70BEE8CB" w14:textId="77777777" w:rsidR="00C04533" w:rsidRDefault="00C04533" w:rsidP="00C04533">
      <w:pPr>
        <w:pStyle w:val="TextoNormal"/>
      </w:pPr>
    </w:p>
    <w:p w14:paraId="76EEF218" w14:textId="60D2D2B6" w:rsidR="00C04533" w:rsidRDefault="00C04533" w:rsidP="00C04533">
      <w:pPr>
        <w:pStyle w:val="TextoNormal"/>
      </w:pPr>
      <w:r w:rsidRPr="00C04533">
        <w:rPr>
          <w:rStyle w:val="NumeroAFNegritaCaracter"/>
        </w:rPr>
        <w:t>2</w:t>
      </w:r>
      <w:r>
        <w:t>. En lo que al presente caso afecta, debe recordarse que este tribunal ha admitido de forma reiterada (entre otros muchos, en los AATC 74/2013, de 8 de abril, FJ 2; 152/2013, de 8 de julio, FJ 2; 37/2014, de 10 de febrero, FJ 2; 59/2015, de 16 de marzo, FJ 2; 48/2016, de 29 de febrero, FJ 2; 106/2017, de 17 de julio, FJ 1, y 21/2018, de 5 de marzo, FJ 3)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14:paraId="4AC3B611" w14:textId="77777777" w:rsidR="00C04533" w:rsidRDefault="00C04533" w:rsidP="00C04533">
      <w:pPr>
        <w:pStyle w:val="TextoNormal"/>
      </w:pPr>
    </w:p>
    <w:p w14:paraId="0A151CBA" w14:textId="77777777" w:rsidR="00C04533" w:rsidRDefault="00C04533" w:rsidP="00C04533">
      <w:pPr>
        <w:pStyle w:val="TextoNormal"/>
      </w:pPr>
      <w:r w:rsidRPr="00C04533">
        <w:rPr>
          <w:rStyle w:val="NumeroAFNegritaCaracter"/>
        </w:rPr>
        <w:t>3</w:t>
      </w:r>
      <w:r>
        <w:t>. La aplicación de la doctrina de la que se ha hecho mención al caso aquí planteado permite concluir que resulta procedente acordar la suspensión solicitada, como señala el Ministerio Fiscal. Para alcanzar dicha conclusión debe tomarse en consideración que se ha celebrado la subasta del inmueble hipotecado, que constituye la vivienda habitual de los recurrentes en amparo, adjudicándose a la entidad bancaria ejecutante por decreto de adjudicación de 19 de febrero de 2018, que solicitó la toma de posesión del inmueble subastado. El consiguiente lanzamiento quedó suspendido, por auto de 23 de junio de 2020, hasta transcurridos siete años desde la entrada en vigor de la Ley 1/2013, de 14 de mayo, esto es, hasta el 16 de mayo de 2024, lo que permitiría a la entidad bancaria ejecutante volver a solicitar en cualquier momento la toma de posesión del inmueble subastado.</w:t>
      </w:r>
    </w:p>
    <w:p w14:paraId="62A0A3BF" w14:textId="77777777" w:rsidR="00C04533" w:rsidRDefault="00C04533" w:rsidP="00C04533">
      <w:pPr>
        <w:pStyle w:val="TextoNormal"/>
      </w:pPr>
    </w:p>
    <w:p w14:paraId="32A66C93" w14:textId="0A7D2615" w:rsidR="00C04533" w:rsidRDefault="00C04533" w:rsidP="00C04533">
      <w:pPr>
        <w:pStyle w:val="TextoNormal"/>
      </w:pPr>
      <w:r>
        <w:t>Dicha situación, como ya apreciamos, entre otros, en los AATC 119/2022, FJ 3, y 600/2023, FJ 3, permite advertir el previsible riesgo de que por la entidad bancaria ejecutante se promueva la ejecución del desalojo y el lanzamiento de los ejecutados y de su familia de la vivienda. Ello abocaría a una situación difícilmente reversible, que podría hacer perder al presente recurso de amparo su finalidad. Por lo demás, no se advierte en este momento procesal, atendidas las circunstancias del presente caso (la adjudicataria de la vivienda hipotecada es la propia entidad financiera ejecutante), que la suspensión de la ejecución pueda entrañar una perturbación grave a un interés constitucionalmente protegido o a los derechos fundamentales o libertades públicas de un tercero.</w:t>
      </w:r>
    </w:p>
    <w:p w14:paraId="46453DE0" w14:textId="77777777" w:rsidR="00C04533" w:rsidRDefault="00C04533" w:rsidP="00C04533">
      <w:pPr>
        <w:pStyle w:val="TextoNormal"/>
      </w:pPr>
    </w:p>
    <w:p w14:paraId="1DABEB55" w14:textId="77777777" w:rsidR="00C04533" w:rsidRDefault="00C04533" w:rsidP="00C04533">
      <w:pPr>
        <w:pStyle w:val="TextoNormal"/>
      </w:pPr>
      <w:r>
        <w:t>Por lo expuesto, la Sala</w:t>
      </w:r>
    </w:p>
    <w:p w14:paraId="2D4247C1" w14:textId="62C794FF" w:rsidR="00C04533" w:rsidRDefault="00C04533" w:rsidP="00C04533">
      <w:pPr>
        <w:pStyle w:val="TextoNormal"/>
      </w:pPr>
    </w:p>
    <w:p w14:paraId="6D58D744" w14:textId="77777777" w:rsidR="00C04533" w:rsidRDefault="00C04533" w:rsidP="00C04533">
      <w:pPr>
        <w:pStyle w:val="TextoNormalCentrado"/>
      </w:pPr>
      <w:r>
        <w:t>ACUERDA</w:t>
      </w:r>
    </w:p>
    <w:p w14:paraId="1DFA73D8" w14:textId="2C3AF86A" w:rsidR="00C04533" w:rsidRDefault="00C04533" w:rsidP="00C04533">
      <w:pPr>
        <w:pStyle w:val="TextoNormalCentrado"/>
      </w:pPr>
    </w:p>
    <w:p w14:paraId="23B0B3A4" w14:textId="4CE868F4" w:rsidR="00C04533" w:rsidRDefault="00C04533" w:rsidP="00C04533">
      <w:pPr>
        <w:pStyle w:val="TextoNormal"/>
      </w:pPr>
      <w:r>
        <w:t>Suspender el procedimiento de ejecución hipotecaria núm. 1430-2016, seguido en el Juzgado de Primera Instancia núm. 9 de Granada.</w:t>
      </w:r>
    </w:p>
    <w:p w14:paraId="610AAA9D" w14:textId="77777777" w:rsidR="00C04533" w:rsidRDefault="00C04533" w:rsidP="00C04533">
      <w:pPr>
        <w:pStyle w:val="TextoNormal"/>
      </w:pPr>
    </w:p>
    <w:p w14:paraId="3D533ECE" w14:textId="77777777" w:rsidR="00C04533" w:rsidRDefault="00C04533" w:rsidP="00C04533">
      <w:pPr>
        <w:pStyle w:val="TextoNormal"/>
      </w:pPr>
      <w:r>
        <w:t>Madrid, a veintiuno de octubre de dos mil veinticuatro.</w:t>
      </w:r>
    </w:p>
    <w:p w14:paraId="53BC8D0E" w14:textId="037C2EED" w:rsidR="00C04533" w:rsidRDefault="00C04533">
      <w:pPr>
        <w:spacing w:after="160" w:line="278" w:lineRule="auto"/>
        <w:rPr>
          <w:rFonts w:ascii="Times New Roman" w:eastAsia="Times New Roman" w:hAnsi="Times New Roman" w:cs="Times New Roman"/>
          <w:sz w:val="24"/>
          <w:szCs w:val="24"/>
          <w:lang w:eastAsia="es-ES"/>
        </w:rPr>
      </w:pPr>
      <w:r>
        <w:br w:type="page"/>
      </w:r>
    </w:p>
    <w:p w14:paraId="3E2EC757" w14:textId="77777777" w:rsidR="00C04533" w:rsidRDefault="00C04533" w:rsidP="00C04533">
      <w:pPr>
        <w:pStyle w:val="TtuloResolucin"/>
      </w:pPr>
      <w:bookmarkStart w:id="106" w:name="AUTO_2024_100"/>
      <w:r>
        <w:t>AUTO 100/2024, de 22 de octubre de 2024</w:t>
      </w:r>
    </w:p>
    <w:bookmarkEnd w:id="106"/>
    <w:p w14:paraId="1AA0EFC6" w14:textId="77777777" w:rsidR="00C04533" w:rsidRDefault="00C04533" w:rsidP="00C04533">
      <w:pPr>
        <w:pStyle w:val="TtuloResolucin"/>
      </w:pPr>
      <w:r>
        <w:t>Pleno</w:t>
      </w:r>
    </w:p>
    <w:p w14:paraId="7059A84B" w14:textId="77777777" w:rsidR="00C04533" w:rsidRDefault="00C04533" w:rsidP="00C04533">
      <w:pPr>
        <w:pStyle w:val="TextoNormalCentrado"/>
      </w:pPr>
      <w:r>
        <w:t>ECLI:ES:TC:2024:100A</w:t>
      </w:r>
    </w:p>
    <w:p w14:paraId="501B726A" w14:textId="48012E4A" w:rsidR="00C04533" w:rsidRDefault="00C04533" w:rsidP="00C04533">
      <w:pPr>
        <w:pStyle w:val="TextoNormalCentrado"/>
      </w:pPr>
    </w:p>
    <w:p w14:paraId="1836ADB6"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don José María Macías Castaño.</w:t>
      </w:r>
    </w:p>
    <w:p w14:paraId="70B1EF5F" w14:textId="257F1ADF" w:rsidR="00C04533" w:rsidRDefault="00C04533" w:rsidP="00C04533">
      <w:pPr>
        <w:pStyle w:val="SntesisDescriptiva"/>
      </w:pPr>
    </w:p>
    <w:p w14:paraId="4A620AAB" w14:textId="77777777" w:rsidR="00C04533" w:rsidRDefault="00C04533" w:rsidP="00C04533">
      <w:pPr>
        <w:pStyle w:val="SntesisDescriptiva"/>
      </w:pPr>
      <w:r>
        <w:t>Desestima el recurso de súplica interpuesto en relación con el ATC 78/2024, de 10 de septiembre, que inadmitió una recusación formulada en el recurso de amparo 6155-2023, promovido por don Joaquim Torra i Pla y don Josep Costa i Rosselló en proceso contencioso-administrativo.</w:t>
      </w:r>
    </w:p>
    <w:p w14:paraId="782AA9A7" w14:textId="0D1A70B2" w:rsidR="00C04533" w:rsidRDefault="00C04533" w:rsidP="00C04533">
      <w:pPr>
        <w:pStyle w:val="SntesisDescriptiva"/>
      </w:pPr>
    </w:p>
    <w:p w14:paraId="6F859B1E" w14:textId="77777777" w:rsidR="00C04533" w:rsidRDefault="00C04533" w:rsidP="00C04533">
      <w:pPr>
        <w:pStyle w:val="SntesisDescriptiva"/>
      </w:pPr>
    </w:p>
    <w:p w14:paraId="61848E3A" w14:textId="77777777" w:rsidR="00C04533" w:rsidRDefault="00C04533" w:rsidP="00C04533">
      <w:pPr>
        <w:pStyle w:val="SntesisDescriptiva"/>
      </w:pPr>
    </w:p>
    <w:p w14:paraId="5B64B737" w14:textId="77777777" w:rsidR="00C04533" w:rsidRDefault="00C04533" w:rsidP="00C04533">
      <w:pPr>
        <w:pStyle w:val="TextoNormalNegritaCentrado"/>
      </w:pPr>
      <w:r>
        <w:t>AUTO</w:t>
      </w:r>
    </w:p>
    <w:p w14:paraId="0348EB66" w14:textId="1F7B61D4" w:rsidR="00C04533" w:rsidRDefault="00C04533" w:rsidP="00C04533">
      <w:pPr>
        <w:pStyle w:val="TextoNormalNegritaCentrado"/>
      </w:pPr>
    </w:p>
    <w:p w14:paraId="0014A162" w14:textId="77777777" w:rsidR="00C04533" w:rsidRDefault="00C04533" w:rsidP="00C04533">
      <w:pPr>
        <w:pStyle w:val="TextoNormalNegritaCentrado"/>
        <w:keepNext/>
      </w:pPr>
      <w:r>
        <w:t>I. Antecedentes</w:t>
      </w:r>
    </w:p>
    <w:p w14:paraId="0E49B44E" w14:textId="3C96CBC9" w:rsidR="00C04533" w:rsidRDefault="00C04533" w:rsidP="00C04533">
      <w:pPr>
        <w:pStyle w:val="TextoNormalNegritaCentrado"/>
        <w:keepNext/>
      </w:pPr>
    </w:p>
    <w:p w14:paraId="3465B762" w14:textId="77777777" w:rsidR="00C04533" w:rsidRDefault="00C04533" w:rsidP="00C04533">
      <w:pPr>
        <w:pStyle w:val="TextoNormal"/>
      </w:pPr>
      <w:r w:rsidRPr="00C04533">
        <w:rPr>
          <w:rStyle w:val="NumeroAFNegritaCaracter"/>
        </w:rPr>
        <w:t>1</w:t>
      </w:r>
      <w:r>
        <w:t>. Por escrito registrado en este tribunal el 26 de septiembre de 2023 don Joaquim Torra i Pla y don Josep Costa i Rosselló, representados por el procurador de los tribunales don Carlos Ricardo Estévez Sanz y actuando bajo la dirección letrada de don Josep Costa i Rosselló, interpusieron recurso de amparo contra:</w:t>
      </w:r>
    </w:p>
    <w:p w14:paraId="4D586CA6" w14:textId="77777777" w:rsidR="00C04533" w:rsidRDefault="00C04533" w:rsidP="00C04533">
      <w:pPr>
        <w:pStyle w:val="TextoNormal"/>
      </w:pPr>
    </w:p>
    <w:p w14:paraId="210EC2B1" w14:textId="77777777" w:rsidR="00C04533" w:rsidRDefault="00C04533" w:rsidP="00C04533">
      <w:pPr>
        <w:pStyle w:val="TextoNormal"/>
      </w:pPr>
      <w:r>
        <w:t xml:space="preserve">(i) “La actuación material del presidente, el Gobierno de España y la administración general del Estado consistente en la intervención, escucha, sustracción, recopilación, tratamiento, uso, difusión y/o almacenamiento de la información y comunicaciones de los recurrentes, tanto directa como indirectamente, mediante el ataque de dispositivos móviles con el programa espía </w:t>
      </w:r>
      <w:r w:rsidRPr="00C04533">
        <w:rPr>
          <w:i/>
        </w:rPr>
        <w:t>Pegasus</w:t>
      </w:r>
      <w:r>
        <w:t>”.</w:t>
      </w:r>
    </w:p>
    <w:p w14:paraId="62B66AB4" w14:textId="77777777" w:rsidR="00C04533" w:rsidRDefault="00C04533" w:rsidP="00C04533">
      <w:pPr>
        <w:pStyle w:val="TextoNormal"/>
      </w:pPr>
    </w:p>
    <w:p w14:paraId="325CD3E7" w14:textId="77777777" w:rsidR="00C04533" w:rsidRDefault="00C04533" w:rsidP="00C04533">
      <w:pPr>
        <w:pStyle w:val="TextoNormal"/>
      </w:pPr>
      <w:r>
        <w:t>(ii) Los autos de la Sección Quinta de la Sala de lo Contencioso-Administrativo de la Audiencia Nacional de 30 de noviembre de 2022 y de 25 de enero de 2023.</w:t>
      </w:r>
    </w:p>
    <w:p w14:paraId="0439C6FE" w14:textId="77777777" w:rsidR="00C04533" w:rsidRDefault="00C04533" w:rsidP="00C04533">
      <w:pPr>
        <w:pStyle w:val="TextoNormal"/>
      </w:pPr>
    </w:p>
    <w:p w14:paraId="4E46B338" w14:textId="37C3882C" w:rsidR="00C04533" w:rsidRDefault="00C04533" w:rsidP="00C04533">
      <w:pPr>
        <w:pStyle w:val="TextoNormal"/>
      </w:pPr>
      <w:r>
        <w:t>(iii) El auto de la Sección Primera de la Sala de lo Contencioso-Administrativo del Tribunal Supremo de fecha 6 de julio de 2023 que inadmitió el recurso de casación.</w:t>
      </w:r>
    </w:p>
    <w:p w14:paraId="70889E78" w14:textId="77777777" w:rsidR="00C04533" w:rsidRDefault="00C04533" w:rsidP="00C04533">
      <w:pPr>
        <w:pStyle w:val="TextoNormal"/>
      </w:pPr>
    </w:p>
    <w:p w14:paraId="248AEF9F" w14:textId="78AE3F2A" w:rsidR="00C04533" w:rsidRDefault="00C04533" w:rsidP="00C04533">
      <w:pPr>
        <w:pStyle w:val="TextoNormal"/>
      </w:pPr>
      <w:r w:rsidRPr="00C04533">
        <w:rPr>
          <w:rStyle w:val="NumeroAFNegritaCaracter"/>
        </w:rPr>
        <w:t>2</w:t>
      </w:r>
      <w:r>
        <w:t>. Mediante diligencia de ordenación de 2 de octubre de 2023, de la Sección Tercera de la Sala Segunda de este tribunal, notificada el 4 de octubre siguiente, se tuvo por recibido el escrito de interposición del recurso de amparo y los documentos adjuntos.</w:t>
      </w:r>
    </w:p>
    <w:p w14:paraId="3361AFEB" w14:textId="77777777" w:rsidR="00C04533" w:rsidRDefault="00C04533" w:rsidP="00C04533">
      <w:pPr>
        <w:pStyle w:val="TextoNormal"/>
      </w:pPr>
    </w:p>
    <w:p w14:paraId="21D48160" w14:textId="247D97F9" w:rsidR="00C04533" w:rsidRDefault="00C04533" w:rsidP="00C04533">
      <w:pPr>
        <w:pStyle w:val="TextoNormal"/>
      </w:pPr>
      <w:r w:rsidRPr="00C04533">
        <w:rPr>
          <w:rStyle w:val="NumeroAFNegritaCaracter"/>
        </w:rPr>
        <w:t>3</w:t>
      </w:r>
      <w:r>
        <w:t>. Por escrito registrado el 19 de octubre de 2023, don Carlos Ricardo Estévez Sanz, procurador de los tribunales —actuando en nombre y representación de los recurrentes— formuló escrito de recusación de la magistrada doña Laura Díez Bueso invocando la causa del apartado decimocuarto en relación con el apartado decimosegundo del artículo 219 de la Ley Orgánica del Poder Judicial (LOPJ). Se afirmaba, en apoyo de su pretensión, que la magistrada recusada había pertenecido al Gobierno cuya actuación material constituía objeto del recurso de amparo, al haber sido directora del Gabinete del secretario de Estado de Relaciones con las Cortes del Ministerio de la Presidencia, Relaciones con las Cortes e Igualdad (2018-2020) y directora general de Asuntos Constitucionales y Coordinación Jurídica del Ministerio de la Presidencia, Relaciones con las Cortes y Memoria Democrática (2020-2022), por lo que fue subordinada de las autoridades que realizaron la actividad material impugnada.</w:t>
      </w:r>
    </w:p>
    <w:p w14:paraId="737F417E" w14:textId="77777777" w:rsidR="00C04533" w:rsidRDefault="00C04533" w:rsidP="00C04533">
      <w:pPr>
        <w:pStyle w:val="TextoNormal"/>
      </w:pPr>
    </w:p>
    <w:p w14:paraId="511A0548" w14:textId="7D9806CF" w:rsidR="00C04533" w:rsidRDefault="00C04533" w:rsidP="00C04533">
      <w:pPr>
        <w:pStyle w:val="TextoNormal"/>
      </w:pPr>
      <w:r w:rsidRPr="00C04533">
        <w:rPr>
          <w:rStyle w:val="NumeroAFNegritaCaracter"/>
        </w:rPr>
        <w:t>4</w:t>
      </w:r>
      <w:r>
        <w:t>. Mediante ATC 78/2024, de 10 de septiembre, el Pleno de este Tribunal Constitucional acordó inadmitir la recusación de la magistrada Díez Bueso, por considerarla manifiestamente infundada; habida cuenta de que la causa invocada —ser o haber sido una de las partes subordinado del juez que deba resolver la contienda— no concurría en el caso examinado, como resultaba del mismo tenor literal del escrito que refiere un indefinido vínculo de subordinación de la magistrada al Gobierno de la Nación o a la administración del Estado.</w:t>
      </w:r>
    </w:p>
    <w:p w14:paraId="57045855" w14:textId="77777777" w:rsidR="00C04533" w:rsidRDefault="00C04533" w:rsidP="00C04533">
      <w:pPr>
        <w:pStyle w:val="TextoNormal"/>
      </w:pPr>
    </w:p>
    <w:p w14:paraId="6FE51155" w14:textId="596881CA" w:rsidR="00C04533" w:rsidRDefault="00C04533" w:rsidP="00C04533">
      <w:pPr>
        <w:pStyle w:val="TextoNormal"/>
      </w:pPr>
      <w:r w:rsidRPr="00C04533">
        <w:rPr>
          <w:rStyle w:val="NumeroAFNegritaCaracter"/>
        </w:rPr>
        <w:t>5</w:t>
      </w:r>
      <w:r>
        <w:t>. El 19 de septiembre de 2024, la representación procesal de don Joaquim Torra i Pla y don Josep Costa i Rosselló formuló recurso de súplica contra el ATC 78/2024. Alega que la inadmisión de la recusación de la magistrada Díez Bueso obedece a una interpretación excesivamente formalista de la causa de recusación invocada, obviando todas las demás causas legales de abstención y recusación recogidas en el art. 219 LOPJ, que son de aplicación por remisión. Es más, afirma, la imparcialidad judicial, en su doble faceta subjetiva y objetiva, ha de ser salvaguardada incluso cuando no exista una causa legal de recusación aplicable al concreto supuesto. En opinión de los recurrentes, alguien que ha sido alto cargo de un Gobierno no puede parecer imparcial en un proceso que tiene su objeto precisamente en la actuación de ese Gobierno. Añade que el auto recurrido vulnera su derecho a la tutela judicial efectiva (art. 24.1 CE) en su faceta del derecho a obtener una resolución motivada, al obviar toda la afectación a la imparcialidad de la magistrada vinculada al hecho de haber desempeñado un alto cargo en el Gobierno que es parte demandada en el recurso principal. Finalmente invoca la vulneración de su derecho a un tribunal imparcial argumentando que la inexistencia de una causa legal de recusación aplicable al concreto supuesto no exime al magistrado de su deber de abstenerse. Termina solicitando que, con estimación del recurso de súplica, se deje sin efecto el auto impugnado y se admita a trámite la recusación de la magistrada Díez Bueso.</w:t>
      </w:r>
    </w:p>
    <w:p w14:paraId="79592BBD" w14:textId="77777777" w:rsidR="00C04533" w:rsidRDefault="00C04533" w:rsidP="00C04533">
      <w:pPr>
        <w:pStyle w:val="TextoNormal"/>
      </w:pPr>
    </w:p>
    <w:p w14:paraId="4ADC8B84" w14:textId="1DDECFF8" w:rsidR="00C04533" w:rsidRDefault="00C04533" w:rsidP="00C04533">
      <w:pPr>
        <w:pStyle w:val="TextoNormal"/>
      </w:pPr>
      <w:r w:rsidRPr="00C04533">
        <w:rPr>
          <w:rStyle w:val="NumeroAFNegritaCaracter"/>
        </w:rPr>
        <w:t>6</w:t>
      </w:r>
      <w:r>
        <w:t>. Por providencia de 20 de septiembre de 2024, el Pleno acordó incorporar a las actuaciones el escrito de súplica presentado, y dar traslado al Ministerio Fiscal para que, en el plazo de tres días pudiese alegar lo que estimara conveniente sobre dicha impugnación.</w:t>
      </w:r>
    </w:p>
    <w:p w14:paraId="4B830CA7" w14:textId="77777777" w:rsidR="00C04533" w:rsidRDefault="00C04533" w:rsidP="00C04533">
      <w:pPr>
        <w:pStyle w:val="TextoNormal"/>
      </w:pPr>
    </w:p>
    <w:p w14:paraId="15619336" w14:textId="5628DAD9" w:rsidR="00C04533" w:rsidRDefault="00C04533" w:rsidP="00C04533">
      <w:pPr>
        <w:pStyle w:val="TextoNormal"/>
      </w:pPr>
      <w:r w:rsidRPr="00C04533">
        <w:rPr>
          <w:rStyle w:val="NumeroAFNegritaCaracter"/>
        </w:rPr>
        <w:t>7</w:t>
      </w:r>
      <w:r>
        <w:t>. Mediante escrito de fecha 9 de octubre de 2024, el Ministerio Fiscal formuló sus alegaciones, oponiéndose a la estimación de la súplica e interesando la confirmación del ATC 78/2024. Considera el fiscal que, por una parte, el escrito no reúne las exigencias formales del art. 223.2 LOPJ, en concreto la relativa a la expresión clara y concreta de la causa legal en que se funde la recusación; y, por otra parte, que dicho escrito no especifica nada en cuanto a cuáles son los actos, decisiones o actuaciones de la magistrada recusada que de modo concreto sustentan la afirmación genérica de su falta de imparcialidad.</w:t>
      </w:r>
    </w:p>
    <w:p w14:paraId="2BC0467A" w14:textId="77777777" w:rsidR="00C04533" w:rsidRDefault="00C04533" w:rsidP="00C04533">
      <w:pPr>
        <w:pStyle w:val="TextoNormal"/>
      </w:pPr>
    </w:p>
    <w:p w14:paraId="6A65EA39" w14:textId="77777777" w:rsidR="00C04533" w:rsidRDefault="00C04533" w:rsidP="00C04533">
      <w:pPr>
        <w:pStyle w:val="TextoNormalNegritaCentrado"/>
        <w:keepNext/>
      </w:pPr>
      <w:r>
        <w:t>II. Fundamentos jurídicos</w:t>
      </w:r>
    </w:p>
    <w:p w14:paraId="19BD6178" w14:textId="1150F8CF" w:rsidR="00C04533" w:rsidRDefault="00C04533" w:rsidP="00C04533">
      <w:pPr>
        <w:pStyle w:val="TextoNormalNegritaCentrado"/>
        <w:keepNext/>
      </w:pPr>
    </w:p>
    <w:p w14:paraId="1D36BB67" w14:textId="77777777" w:rsidR="00C04533" w:rsidRDefault="00C04533" w:rsidP="00C04533">
      <w:pPr>
        <w:pStyle w:val="TextoNormal"/>
      </w:pPr>
      <w:r w:rsidRPr="00C04533">
        <w:rPr>
          <w:rStyle w:val="NumeroAFNegritaCaracter"/>
        </w:rPr>
        <w:t>1</w:t>
      </w:r>
      <w:r>
        <w:t>. Examinados los razonamientos que se contienen en el recurso de súplica, encontramos, desde el punto de vista formal, que el escrito de súplica excede claramente los límites y la función asignada a un recurso, pues introduce argumentos nuevos en relación con las causas legales de recusación distintas a las invocadas inicialmente. En otras palabras, se trata de una nueva recusación que pretende fundarse en causas diferentes de las esgrimidas en el escrito inicial, y que se articula fuera de los plazos y de los cauces procesales establecidos legalmente al efecto.</w:t>
      </w:r>
    </w:p>
    <w:p w14:paraId="02BCBEDA" w14:textId="77777777" w:rsidR="00C04533" w:rsidRDefault="00C04533" w:rsidP="00C04533">
      <w:pPr>
        <w:pStyle w:val="TextoNormal"/>
      </w:pPr>
    </w:p>
    <w:p w14:paraId="0A442E75" w14:textId="77777777" w:rsidR="00C04533" w:rsidRDefault="00C04533" w:rsidP="00C04533">
      <w:pPr>
        <w:pStyle w:val="TextoNormal"/>
      </w:pPr>
      <w:r>
        <w:t>Por otra parte, como pone de relieve el fiscal, el escrito de súplica incumple de manera evidente la exigencia recogida en el art. 223.2 LOPJ, con arreglo al cual el escrito de recusación “deberá expresar concreta y claramente la causa legal [...] en que se funde”. En efecto, el referido escrito parece descartar por completo la causa de recusación invocada inicialmente —admitiendo así de manera tácita la corrección de la resolución impugnada— para hacer una referencia difusa a todas las causas a las que remite el apartado decimocuarto del art. 219 LOPJ, esto es, todas las contempladas por el precepto salvo las recogidas en los ordinales décimo y decimoprimero, e incluso a hipotéticas causas no contempladas por la ley.</w:t>
      </w:r>
    </w:p>
    <w:p w14:paraId="2BB5819B" w14:textId="77777777" w:rsidR="00C04533" w:rsidRDefault="00C04533" w:rsidP="00C04533">
      <w:pPr>
        <w:pStyle w:val="TextoNormal"/>
      </w:pPr>
    </w:p>
    <w:p w14:paraId="6CC827C3" w14:textId="79BD0B69" w:rsidR="00C04533" w:rsidRDefault="00C04533" w:rsidP="00C04533">
      <w:pPr>
        <w:pStyle w:val="TextoNormal"/>
      </w:pPr>
      <w:r>
        <w:t>La composición específica de este Tribunal Constitucional, cuyos magistrados no son susceptibles de sustitución, conduce a una interpretación estricta o no extensiva de las causas de recusación o abstención previstas en la Ley Orgánica del Poder Judicial (STC 162/1999, de 27 de septiembre, FJ 8). De este modo, “los motivos de recusación ‘han de subsumirse necesariamente en algunos de aquellos supuestos que la ley define como tales’” (SSTC 69/2001, de 17 de marzo, FJ 21, y 157/1993, de 6 de mayo, FJ 1; citadas en el ATC 61/2003, de 19 de febrero, FJ 1), además de la apariencia de imparcialidad objetiva que ha establecido la doctrina del Tribunal Europeo de Derechos Humanos [ATC 107/2021, de 15 de diciembre, FJ 4 c)].</w:t>
      </w:r>
    </w:p>
    <w:p w14:paraId="11C8D0A2" w14:textId="77777777" w:rsidR="00C04533" w:rsidRDefault="00C04533" w:rsidP="00C04533">
      <w:pPr>
        <w:pStyle w:val="TextoNormal"/>
      </w:pPr>
    </w:p>
    <w:p w14:paraId="76307129" w14:textId="77777777" w:rsidR="00C04533" w:rsidRDefault="00C04533" w:rsidP="00C04533">
      <w:pPr>
        <w:pStyle w:val="TextoNormal"/>
      </w:pPr>
      <w:r w:rsidRPr="00C04533">
        <w:rPr>
          <w:rStyle w:val="NumeroAFNegritaCaracter"/>
        </w:rPr>
        <w:t>2</w:t>
      </w:r>
      <w:r>
        <w:t>. Desde el punto de vista material, encontramos que el recurso de súplica no rebate la razón principal de la inadmisión liminar de la recusación, a saber: el carácter manifiestamente infundado de la causa de recusación invocada. Toda la argumentación de la súplica gira en torno a la procedencia de la recusación por otras posibles —e indefinidas— causas, a fin de preservar genéricamente la imparcialidad del Tribunal; imparcialidad que, de acuerdo con el escrito, quedaría en entredicho si formase parte del mismo una persona que ha desempeñado un alto cargo en la administración del Estado o en el Gobierno de la Nación.</w:t>
      </w:r>
    </w:p>
    <w:p w14:paraId="271E1913" w14:textId="77777777" w:rsidR="00C04533" w:rsidRDefault="00C04533" w:rsidP="00C04533">
      <w:pPr>
        <w:pStyle w:val="TextoNormal"/>
      </w:pPr>
    </w:p>
    <w:p w14:paraId="550FC875" w14:textId="77777777" w:rsidR="00C04533" w:rsidRDefault="00C04533" w:rsidP="00C04533">
      <w:pPr>
        <w:pStyle w:val="TextoNormal"/>
      </w:pPr>
      <w:r>
        <w:t xml:space="preserve">Como ya expusimos en el ATC 78/2024, este tribunal ha venido exigiendo para que un magistrado pueda ser apartado del conocimiento de un asunto concreto, en garantía de la imparcialidad, que existan dudas objetivamente justificadas, es decir, exteriorizadas y apoyadas en datos objetivos, que hagan posible afirmar fundadamente que el magistrado no es ajeno a la causa o permitan temer que, por cualquier relación con el caso concreto, no va a utilizar como criterio de juicio el previsto en la ley, sino otras consideraciones ajenas al ordenamiento jurídico (por todos, ATC 432/2023, de 11 de septiembre, FJ 2). Por tanto, no basta con que las dudas o sospechas sobre su imparcialidad surjan en la mente de quien recusa, sino que es preciso determinar caso a caso si las mismas alcanzan una consistencia tal que permitan afirmar que se hallan objetiva y legítimamente justificadas [por todas, SSTC 162/1999, FJ 5; 69/2001, FFJJ 14 a) y 16, y 5/2004, de 16 de enero, FJ 2, y ATC 26/2007, de 5 de febrero, FJ 3; así como SSTEDH de 28 de octubre de 1998, asunto </w:t>
      </w:r>
      <w:r w:rsidRPr="00C04533">
        <w:rPr>
          <w:i/>
        </w:rPr>
        <w:t>Castillo Algar c. España</w:t>
      </w:r>
      <w:r>
        <w:t xml:space="preserve">, § 45, y de 17 de junio de 2003, asunto </w:t>
      </w:r>
      <w:r w:rsidRPr="00C04533">
        <w:rPr>
          <w:i/>
        </w:rPr>
        <w:t>Pescador Valero c. España</w:t>
      </w:r>
      <w:r>
        <w:t>, § 23].</w:t>
      </w:r>
    </w:p>
    <w:p w14:paraId="1F9EE4F0" w14:textId="77777777" w:rsidR="00C04533" w:rsidRDefault="00C04533" w:rsidP="00C04533">
      <w:pPr>
        <w:pStyle w:val="TextoNormal"/>
      </w:pPr>
    </w:p>
    <w:p w14:paraId="5FD3882C" w14:textId="73810D4A" w:rsidR="00C04533" w:rsidRDefault="00C04533" w:rsidP="00C04533">
      <w:pPr>
        <w:pStyle w:val="TextoNormal"/>
      </w:pPr>
      <w:r>
        <w:t>En el presente caso encontramos que tanto la recusación formulada inicialmente, como la indebidamente introducida a través del recurso de súplica, se apoyan en meras afirmaciones de imposible encaje en una causa legal de recusación —así lo admite la parte en varios puntos de su escrito— y, por lo demás, huérfanas de todo sustento en hechos concretos.</w:t>
      </w:r>
    </w:p>
    <w:p w14:paraId="2D918B7C" w14:textId="77777777" w:rsidR="00C04533" w:rsidRDefault="00C04533" w:rsidP="00C04533">
      <w:pPr>
        <w:pStyle w:val="TextoNormal"/>
      </w:pPr>
    </w:p>
    <w:p w14:paraId="487C7C42" w14:textId="77777777" w:rsidR="00C04533" w:rsidRDefault="00C04533" w:rsidP="00C04533">
      <w:pPr>
        <w:pStyle w:val="TextoNormal"/>
      </w:pPr>
      <w:r w:rsidRPr="00C04533">
        <w:rPr>
          <w:rStyle w:val="NumeroAFNegritaCaracter"/>
        </w:rPr>
        <w:t>3</w:t>
      </w:r>
      <w:r>
        <w:t>. Debe rechazarse finalmente el argumento relativo a la ausencia de motivación del auto acordando la inadmisión liminar de la recusación de la magistrada Díez Bueso.</w:t>
      </w:r>
    </w:p>
    <w:p w14:paraId="2A2A6D0E" w14:textId="77777777" w:rsidR="00C04533" w:rsidRDefault="00C04533" w:rsidP="00C04533">
      <w:pPr>
        <w:pStyle w:val="TextoNormal"/>
      </w:pPr>
    </w:p>
    <w:p w14:paraId="4A23A5B2" w14:textId="77777777" w:rsidR="00C04533" w:rsidRDefault="00C04533" w:rsidP="00C04533">
      <w:pPr>
        <w:pStyle w:val="TextoNormal"/>
      </w:pPr>
      <w:r>
        <w:t>De acuerdo con la doctrina consolidada de este tribunal, la exigencia de motivación de las resoluciones judiciales cumple una doble finalidad inmediata: de un lado, exteriorizar las reflexiones que han conducido a la decisión, como factor de racionalidad en el ejercicio de la potestad jurisdiccional, que paralelamente potencia el valor de la seguridad jurídica, de manera que sea posible lograr el convencimiento de las partes en el proceso respecto de la corrección y justicia de la decisión; de otro, garantizar la posibilidad de control de la resolución por los tribunales superiores mediante los recursos que procedan, incluido este tribunal a través del recurso de amparo (SSTC 23/1987, de 23 de febrero, FJ 3; 159/1989, de 6 de octubre, FJ 6; 22/1994, de 27 de enero, FJ 2; 139/2000, de 29 de mayo, FJ 4, y 91/2023, de 11 de septiembre, FJ 3, entre otras muchas). El control que ejerce el Tribunal Constitucional en esta materia debe limitarse a comprobar si existe fundamentación jurídica y, en su caso, si el razonamiento que contiene constituye, lógica y jurídicamente, suficiente motivación de la decisión adoptada, cualquiera que sea su brevedad y concisión (por todas, SSTC 13/1987, de 5 de febrero, FJ 3; 184/1998, de 28 de septiembre, FJ 2, y 214/2000, de 18 de septiembre, FJ 4).</w:t>
      </w:r>
    </w:p>
    <w:p w14:paraId="76085A3C" w14:textId="77777777" w:rsidR="00C04533" w:rsidRDefault="00C04533" w:rsidP="00C04533">
      <w:pPr>
        <w:pStyle w:val="TextoNormal"/>
      </w:pPr>
    </w:p>
    <w:p w14:paraId="5F87D647" w14:textId="77777777" w:rsidR="00C04533" w:rsidRDefault="00C04533" w:rsidP="00C04533">
      <w:pPr>
        <w:pStyle w:val="TextoNormal"/>
      </w:pPr>
      <w:r>
        <w:t>De la simple lectura de la resolución recurrida en súplica se desprende que la misma recoge con claridad y concisión las razones fácticas y jurídicas que conducen a la decisión adoptada, razones que encuentran pleno apoyo tanto en la legalidad aplicable como en la doctrina previa de este mismo tribunal.</w:t>
      </w:r>
    </w:p>
    <w:p w14:paraId="63F1C6BF" w14:textId="77777777" w:rsidR="00C04533" w:rsidRDefault="00C04533" w:rsidP="00C04533">
      <w:pPr>
        <w:pStyle w:val="TextoNormal"/>
      </w:pPr>
    </w:p>
    <w:p w14:paraId="0F1DD74A" w14:textId="5518D6FB" w:rsidR="00C04533" w:rsidRDefault="00C04533" w:rsidP="00C04533">
      <w:pPr>
        <w:pStyle w:val="TextoNormal"/>
      </w:pPr>
      <w:r>
        <w:t>Razones todas estas por las que procede desestimar el recurso de súplica.</w:t>
      </w:r>
    </w:p>
    <w:p w14:paraId="4B03B36B" w14:textId="77777777" w:rsidR="00C04533" w:rsidRDefault="00C04533" w:rsidP="00C04533">
      <w:pPr>
        <w:pStyle w:val="TextoNormal"/>
      </w:pPr>
    </w:p>
    <w:p w14:paraId="12A46DB5" w14:textId="77777777" w:rsidR="00C04533" w:rsidRDefault="00C04533" w:rsidP="00C04533">
      <w:pPr>
        <w:pStyle w:val="TextoNormal"/>
      </w:pPr>
      <w:r>
        <w:t>Por lo expuesto, el Pleno</w:t>
      </w:r>
    </w:p>
    <w:p w14:paraId="6EFE1D3B" w14:textId="25B45819" w:rsidR="00C04533" w:rsidRDefault="00C04533" w:rsidP="00C04533">
      <w:pPr>
        <w:pStyle w:val="TextoNormal"/>
      </w:pPr>
    </w:p>
    <w:p w14:paraId="162826B3" w14:textId="77777777" w:rsidR="00C04533" w:rsidRDefault="00C04533" w:rsidP="00C04533">
      <w:pPr>
        <w:pStyle w:val="TextoNormalCentrado"/>
      </w:pPr>
      <w:r>
        <w:t>ACUERDA</w:t>
      </w:r>
    </w:p>
    <w:p w14:paraId="17322BF2" w14:textId="7ACC9975" w:rsidR="00C04533" w:rsidRDefault="00C04533" w:rsidP="00C04533">
      <w:pPr>
        <w:pStyle w:val="TextoNormalCentrado"/>
      </w:pPr>
    </w:p>
    <w:p w14:paraId="02D9A6F4" w14:textId="130A545E" w:rsidR="00C04533" w:rsidRDefault="00C04533" w:rsidP="00C04533">
      <w:pPr>
        <w:pStyle w:val="TextoNormal"/>
      </w:pPr>
      <w:r>
        <w:t>Desestimar el recurso de súplica interpuesto contra el ATC 78/2024, de 10 de septiembre, por el que se acordó no admitir a trámite la recusación formulada por la representación procesal de don Joaquim Torra i Pla y don Josep Costa i Rosselló frente a la magistrada doña Laura Díez Bueso.</w:t>
      </w:r>
    </w:p>
    <w:p w14:paraId="2F53E816" w14:textId="77777777" w:rsidR="00C04533" w:rsidRDefault="00C04533" w:rsidP="00C04533">
      <w:pPr>
        <w:pStyle w:val="TextoNormal"/>
      </w:pPr>
    </w:p>
    <w:p w14:paraId="78EA575B" w14:textId="77777777" w:rsidR="00C04533" w:rsidRDefault="00C04533" w:rsidP="00C04533">
      <w:pPr>
        <w:pStyle w:val="TextoNormal"/>
      </w:pPr>
      <w:r>
        <w:t>Madrid, a veintidós de octubre de dos mil veinticuatro.</w:t>
      </w:r>
    </w:p>
    <w:p w14:paraId="4351E089" w14:textId="371FBD0A" w:rsidR="00C04533" w:rsidRDefault="00C04533">
      <w:pPr>
        <w:spacing w:after="160" w:line="278" w:lineRule="auto"/>
        <w:rPr>
          <w:rFonts w:ascii="Times New Roman" w:eastAsia="Times New Roman" w:hAnsi="Times New Roman" w:cs="Times New Roman"/>
          <w:sz w:val="24"/>
          <w:szCs w:val="24"/>
          <w:lang w:eastAsia="es-ES"/>
        </w:rPr>
      </w:pPr>
      <w:r>
        <w:br w:type="page"/>
      </w:r>
    </w:p>
    <w:p w14:paraId="5372C747" w14:textId="77777777" w:rsidR="00C04533" w:rsidRDefault="00C04533" w:rsidP="00C04533">
      <w:pPr>
        <w:pStyle w:val="TtuloResolucin"/>
      </w:pPr>
      <w:bookmarkStart w:id="107" w:name="AUTO_2024_101"/>
      <w:r>
        <w:t>AUTO 101/2024, de 22 de octubre de 2024</w:t>
      </w:r>
    </w:p>
    <w:bookmarkEnd w:id="107"/>
    <w:p w14:paraId="1390DEC4" w14:textId="77777777" w:rsidR="00C04533" w:rsidRDefault="00C04533" w:rsidP="00C04533">
      <w:pPr>
        <w:pStyle w:val="TtuloResolucin"/>
      </w:pPr>
      <w:r>
        <w:t>Pleno</w:t>
      </w:r>
    </w:p>
    <w:p w14:paraId="44694573" w14:textId="77777777" w:rsidR="00C04533" w:rsidRDefault="00C04533" w:rsidP="00C04533">
      <w:pPr>
        <w:pStyle w:val="TextoNormalCentrado"/>
      </w:pPr>
      <w:r>
        <w:t>ECLI:ES:TC:2024:101A</w:t>
      </w:r>
    </w:p>
    <w:p w14:paraId="2E35150D" w14:textId="457569D1" w:rsidR="00C04533" w:rsidRDefault="00C04533" w:rsidP="00C04533">
      <w:pPr>
        <w:pStyle w:val="TextoNormalCentrado"/>
      </w:pPr>
    </w:p>
    <w:p w14:paraId="76414A3E"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4B6F11FF" w14:textId="7851D40F" w:rsidR="00C04533" w:rsidRDefault="00C04533" w:rsidP="00C04533">
      <w:pPr>
        <w:pStyle w:val="SntesisDescriptiva"/>
      </w:pPr>
    </w:p>
    <w:p w14:paraId="12FAB3D6" w14:textId="77777777" w:rsidR="00C04533" w:rsidRDefault="00C04533" w:rsidP="00C04533">
      <w:pPr>
        <w:pStyle w:val="SntesisDescriptiva"/>
      </w:pPr>
      <w:r>
        <w:t>Inadmite a trámite la cuestión de inconstitucionalidad 593-2024, planteada por la Sala de lo Social del Tribunal Superior de Justicia de Madrid, en relación con el segundo párrafo del artículo 221.2 del texto refundido de la Ley general de la Seguridad Social, aprobado por el Real Decreto Legislativo 8/2015, de 30 de octubre.</w:t>
      </w:r>
    </w:p>
    <w:p w14:paraId="17117D9C" w14:textId="1A88F3B9" w:rsidR="00C04533" w:rsidRDefault="00C04533" w:rsidP="00C04533">
      <w:pPr>
        <w:pStyle w:val="SntesisDescriptiva"/>
      </w:pPr>
    </w:p>
    <w:p w14:paraId="2A71A80F" w14:textId="77777777" w:rsidR="00C04533" w:rsidRDefault="00C04533" w:rsidP="00C04533">
      <w:pPr>
        <w:pStyle w:val="SntesisDescriptiva"/>
      </w:pPr>
    </w:p>
    <w:p w14:paraId="3FEE184F" w14:textId="77777777" w:rsidR="00C04533" w:rsidRDefault="00C04533" w:rsidP="00C04533">
      <w:pPr>
        <w:pStyle w:val="SntesisDescriptiva"/>
      </w:pPr>
    </w:p>
    <w:p w14:paraId="11E1A069" w14:textId="77777777" w:rsidR="00C04533" w:rsidRDefault="00C04533" w:rsidP="00C04533">
      <w:pPr>
        <w:pStyle w:val="TextoNormalNegritaCentrado"/>
      </w:pPr>
      <w:r>
        <w:t>AUTO</w:t>
      </w:r>
    </w:p>
    <w:p w14:paraId="3EE2393B" w14:textId="07BA51D2" w:rsidR="00C04533" w:rsidRDefault="00C04533" w:rsidP="00C04533">
      <w:pPr>
        <w:pStyle w:val="TextoNormalNegritaCentrado"/>
      </w:pPr>
    </w:p>
    <w:p w14:paraId="4F12C324" w14:textId="77777777" w:rsidR="00C04533" w:rsidRDefault="00C04533" w:rsidP="00C04533">
      <w:pPr>
        <w:pStyle w:val="TextoNormalNegritaCentrado"/>
        <w:keepNext/>
      </w:pPr>
      <w:r>
        <w:t>I. Antecedentes</w:t>
      </w:r>
    </w:p>
    <w:p w14:paraId="7C8EB259" w14:textId="095CFAEB" w:rsidR="00C04533" w:rsidRDefault="00C04533" w:rsidP="00C04533">
      <w:pPr>
        <w:pStyle w:val="TextoNormalNegritaCentrado"/>
        <w:keepNext/>
      </w:pPr>
    </w:p>
    <w:p w14:paraId="450275DB" w14:textId="5BABC9A3" w:rsidR="00C04533" w:rsidRDefault="00C04533" w:rsidP="00C04533">
      <w:pPr>
        <w:pStyle w:val="TextoNormal"/>
      </w:pPr>
      <w:r w:rsidRPr="00C04533">
        <w:rPr>
          <w:rStyle w:val="NumeroAFNegritaCaracter"/>
        </w:rPr>
        <w:t>1</w:t>
      </w:r>
      <w:r>
        <w:t>. El 29 de enero de 2024 tuvo entrada en el registro general del Tribunal Constitucional un oficio de la Sala de lo Social del Tribunal Superior de Justicia de Madrid al que se acompaña, junto con el testimonio del procedimiento correspondiente (recurso de suplicación núm. 567-2023), el auto de 13 de diciembre de 2023 por el que se acuerda plantear cuestión de inconstitucionalidad respecto del segundo párrafo del art. 221.2 del texto refundido de la Ley general de la Seguridad Social, aprobado por el Real Decreto Legislativo 8/2015, de 30 de octubre (TRLGSS, en adelante), por su posible contradicción con los arts. 14 y 24 CE.</w:t>
      </w:r>
    </w:p>
    <w:p w14:paraId="463851F0" w14:textId="77777777" w:rsidR="00C04533" w:rsidRDefault="00C04533" w:rsidP="00C04533">
      <w:pPr>
        <w:pStyle w:val="TextoNormal"/>
      </w:pPr>
    </w:p>
    <w:p w14:paraId="34FA99C6" w14:textId="77777777" w:rsidR="00C04533" w:rsidRDefault="00C04533" w:rsidP="00C04533">
      <w:pPr>
        <w:pStyle w:val="TextoNormal"/>
      </w:pPr>
      <w:r w:rsidRPr="00C04533">
        <w:rPr>
          <w:rStyle w:val="NumeroAFNegritaCaracter"/>
        </w:rPr>
        <w:t>2</w:t>
      </w:r>
      <w:r>
        <w:t>. Los hechos que pueden ser relevantes en este proceso constitucional son los siguientes:</w:t>
      </w:r>
    </w:p>
    <w:p w14:paraId="0BB5CD61" w14:textId="77777777" w:rsidR="00C04533" w:rsidRDefault="00C04533" w:rsidP="00C04533">
      <w:pPr>
        <w:pStyle w:val="TextoNormal"/>
      </w:pPr>
    </w:p>
    <w:p w14:paraId="67DD0C60" w14:textId="77777777" w:rsidR="00C04533" w:rsidRDefault="00C04533" w:rsidP="00C04533">
      <w:pPr>
        <w:pStyle w:val="TextoNormal"/>
      </w:pPr>
      <w:r>
        <w:t>a) Doña M.M.R., solicitó pensión de viudedad que le fue denegada por resolución del Instituto Nacional de la Seguridad Social de 14 de julio de 2021 “[p]or no ser su relación con el fallecido ninguna de las que pueden dar lugar a una pensión de viudedad, de acuerdo con los artículos 219, 220 y 221 de la Ley general de la Seguridad Social, aprobada por el Real Decreto Legislativo 8/2015, de 30 de octubre”. Presentado escrito de reclamación, la decisión fue confirmada por resolución de 25 de noviembre de 2021, fundamentándose en el art. 221 TRLGSS, y especificando que no consta en el expediente la inscripción en el registro público de la constitución de la pareja.</w:t>
      </w:r>
    </w:p>
    <w:p w14:paraId="34F18D07" w14:textId="77777777" w:rsidR="00C04533" w:rsidRDefault="00C04533" w:rsidP="00C04533">
      <w:pPr>
        <w:pStyle w:val="TextoNormal"/>
      </w:pPr>
    </w:p>
    <w:p w14:paraId="1AE8D6AC" w14:textId="77777777" w:rsidR="00C04533" w:rsidRDefault="00C04533" w:rsidP="00C04533">
      <w:pPr>
        <w:pStyle w:val="TextoNormal"/>
      </w:pPr>
      <w:r>
        <w:t>Ante el Juzgado de lo Social núm. 26 de Madrid se siguió el procedimiento en materia de seguridad social núm. 1171-2021, en virtud de la demanda formulada por doña M.M.R., contra las anteriores resoluciones, que fue desestimada por sentencia núm. 327-2022, de 27 de octubre de 2022.</w:t>
      </w:r>
    </w:p>
    <w:p w14:paraId="6305FAF6" w14:textId="77777777" w:rsidR="00C04533" w:rsidRDefault="00C04533" w:rsidP="00C04533">
      <w:pPr>
        <w:pStyle w:val="TextoNormal"/>
      </w:pPr>
    </w:p>
    <w:p w14:paraId="338506C8" w14:textId="77777777" w:rsidR="00C04533" w:rsidRDefault="00C04533" w:rsidP="00C04533">
      <w:pPr>
        <w:pStyle w:val="TextoNormal"/>
      </w:pPr>
      <w:r>
        <w:t>b) Interpuesto recurso de suplicación por doña M.M.R., la Sección Segunda de la Sala de lo Social del Tribunal Superior de Justicia de Madrid, por diligencia de ordenación de 29 de junio de 2023 procedió a formar rollo del recurso (núm. 567-2023) y a designar ponente. Por providencia de 11 de septiembre de 2023 se señaló como fecha para votación y fallo del recurso el 18 de octubre de 2023.</w:t>
      </w:r>
    </w:p>
    <w:p w14:paraId="74EE1A02" w14:textId="77777777" w:rsidR="00C04533" w:rsidRDefault="00C04533" w:rsidP="00C04533">
      <w:pPr>
        <w:pStyle w:val="TextoNormal"/>
      </w:pPr>
    </w:p>
    <w:p w14:paraId="1CAE872D" w14:textId="77777777" w:rsidR="00C04533" w:rsidRDefault="00C04533" w:rsidP="00C04533">
      <w:pPr>
        <w:pStyle w:val="TextoNormal"/>
      </w:pPr>
      <w:r>
        <w:t>c) Mediante providencia de 18 de octubre de 2023, la Sección Segunda de la Sala de lo Social del Tribunal Superior de Justicia de Madrid acordó, en aplicación del art. 35.2 de la Ley Orgánica del Tribunal Constitucional (LOTC), suspender la votación y fallo del recurso de suplicación núm. 567-2023 para dar traslado a las partes y al Ministerio Fiscal para que en el plazo común e improrrogable de diez días pudieran alegar lo que deseen sobre la pertinencia de plantear cuestión de inconstitucionalidad en relación con el segundo párrafo del art. 221.2 TRLGSS, en su versión anterior a la entrada en vigor de su reforma por la Ley 21/2021, de 28 de diciembre, de garantía del poder adquisitivo de las pensiones y de otras medidas de refuerzo de la sostenibilidad financiera y social del sistema público de pensiones, que la Sala entiende que pudiera ser inconstitucional por dos motivos:</w:t>
      </w:r>
    </w:p>
    <w:p w14:paraId="6E955B37" w14:textId="77777777" w:rsidR="00C04533" w:rsidRDefault="00C04533" w:rsidP="00C04533">
      <w:pPr>
        <w:pStyle w:val="TextoNormal"/>
      </w:pPr>
    </w:p>
    <w:p w14:paraId="3F3D4A90" w14:textId="77777777" w:rsidR="00C04533" w:rsidRDefault="00C04533" w:rsidP="00C04533">
      <w:pPr>
        <w:pStyle w:val="TextoNormal"/>
      </w:pPr>
      <w:r>
        <w:t>En primer lugar, por vulnerar el derecho fundamental a la igualdad y a no sufrir discriminación por razón de sexo (art. 14 CE), por cuanto pese a que la exigencia de una determinada forma de acreditar la existencia de la pareja de hecho se presenta como una norma aparentemente neutra, sucede que, en realidad, afecta principalmente a las mujeres, porque por razones demográficas, sociales y biológicas son las mujeres las beneficiarias mayoritariamente de las pensiones de viudedad, hasta el punto de que prácticamente la totalidad de reclamaciones de pensiones de viudedad derivadas de la constitución de parejas de hecho son realizadas por mujeres.</w:t>
      </w:r>
    </w:p>
    <w:p w14:paraId="2C3FE128" w14:textId="77777777" w:rsidR="00C04533" w:rsidRDefault="00C04533" w:rsidP="00C04533">
      <w:pPr>
        <w:pStyle w:val="TextoNormal"/>
      </w:pPr>
    </w:p>
    <w:p w14:paraId="0B2B689B" w14:textId="77777777" w:rsidR="00C04533" w:rsidRDefault="00C04533" w:rsidP="00C04533">
      <w:pPr>
        <w:pStyle w:val="TextoNormal"/>
      </w:pPr>
      <w:r>
        <w:t>En segundo lugar, porque, considerando la existencia de una pareja de hecho constituida con más de dos años de antelación al fallecimiento como una circunstancia fáctica, el que ese hecho solamente pueda acreditarse mediante un determinado medio de prueba puede ser contrario al derecho de las partes a la tutela judicial efectiva y a un proceso con las debidas garantías, que incluye el derecho a utilizar los medios de prueba pertinentes para su defensa (art. 24.1 y 2 CE), puesto que les impide la defensa de sus derechos e intereses articulando otra prueba distinta a la prevista legalmente y que sería procesalmente válida para demostrar un hecho del que depende su derecho a la pensión de viudedad.</w:t>
      </w:r>
    </w:p>
    <w:p w14:paraId="33FB0070" w14:textId="77777777" w:rsidR="00C04533" w:rsidRDefault="00C04533" w:rsidP="00C04533">
      <w:pPr>
        <w:pStyle w:val="TextoNormal"/>
      </w:pPr>
    </w:p>
    <w:p w14:paraId="5E111884" w14:textId="759D1968" w:rsidR="00C04533" w:rsidRDefault="00C04533" w:rsidP="00C04533">
      <w:pPr>
        <w:pStyle w:val="TextoNormal"/>
      </w:pPr>
      <w:r>
        <w:t>En el trámite de audiencia, la representación procesal de la demandante presentó escrito de alegaciones mostrando su conformidad con el planteamiento de la cuestión de inconstitucionalidad. Tanto la letrada de la administración de la Seguridad Social como el Ministerio Fiscal manifestaron su oposición al planteamiento de la cuestión de inconstitucionalidad.</w:t>
      </w:r>
    </w:p>
    <w:p w14:paraId="2E1010D4" w14:textId="77777777" w:rsidR="00C04533" w:rsidRDefault="00C04533" w:rsidP="00C04533">
      <w:pPr>
        <w:pStyle w:val="TextoNormal"/>
      </w:pPr>
    </w:p>
    <w:p w14:paraId="2A8138FF" w14:textId="77777777" w:rsidR="00C04533" w:rsidRDefault="00C04533" w:rsidP="00C04533">
      <w:pPr>
        <w:pStyle w:val="TextoNormal"/>
      </w:pPr>
      <w:r w:rsidRPr="00C04533">
        <w:rPr>
          <w:rStyle w:val="NumeroAFNegritaCaracter"/>
        </w:rPr>
        <w:t>3</w:t>
      </w:r>
      <w:r>
        <w:t>. Del contenido del auto de planteamiento de la cuestión de inconstitucionalidad interesa destacar lo siguiente:</w:t>
      </w:r>
    </w:p>
    <w:p w14:paraId="199A7E64" w14:textId="77777777" w:rsidR="00C04533" w:rsidRDefault="00C04533" w:rsidP="00C04533">
      <w:pPr>
        <w:pStyle w:val="TextoNormal"/>
      </w:pPr>
    </w:p>
    <w:p w14:paraId="6E9BD407" w14:textId="77777777" w:rsidR="00C04533" w:rsidRDefault="00C04533" w:rsidP="00C04533">
      <w:pPr>
        <w:pStyle w:val="TextoNormal"/>
      </w:pPr>
      <w:r>
        <w:t>Tras exponer los antecedentes de hecho de la cuestión y el cumplimiento del trámite de audiencia previsto en el art. 35.2 LOTC, el órgano judicial señala que el precepto aplicable es el art. 221 TRLGSS, en su redacción aplicable al caso (la anterior a la entrada en vigor de la Ley 21/2021, de 28 de diciembre), que regula la pensión de viudedad de parejas de hecho, y razona que, de los requisitos establecidos en el precepto para acceder a esa pensión pública, en el caso de doña M.M.R., se cumplen todos, salvo el relativo a la acreditación de la existencia de pareja de hecho mediante certificación de la inscripción en alguno de los registros específicos existentes en las comunidades autónomas o ayuntamientos del lugar de residencia o mediante documento público en el que conste la constitución de dicha pareja.</w:t>
      </w:r>
    </w:p>
    <w:p w14:paraId="105A35A5" w14:textId="77777777" w:rsidR="00C04533" w:rsidRDefault="00C04533" w:rsidP="00C04533">
      <w:pPr>
        <w:pStyle w:val="TextoNormal"/>
      </w:pPr>
    </w:p>
    <w:p w14:paraId="7F9BDEC4" w14:textId="77777777" w:rsidR="00C04533" w:rsidRDefault="00C04533" w:rsidP="00C04533">
      <w:pPr>
        <w:pStyle w:val="TextoNormal"/>
      </w:pPr>
      <w:r>
        <w:t>Seguidamente, expone las dudas de constitucionalidad.</w:t>
      </w:r>
    </w:p>
    <w:p w14:paraId="28C2C576" w14:textId="77777777" w:rsidR="00C04533" w:rsidRDefault="00C04533" w:rsidP="00C04533">
      <w:pPr>
        <w:pStyle w:val="TextoNormal"/>
      </w:pPr>
    </w:p>
    <w:p w14:paraId="1F26EAC9" w14:textId="77777777" w:rsidR="00C04533" w:rsidRDefault="00C04533" w:rsidP="00C04533">
      <w:pPr>
        <w:pStyle w:val="TextoNormal"/>
      </w:pPr>
      <w:r>
        <w:t>En primer lugar, considera el órgano judicial que la exigencia establecida en el precepto cuestionado de acreditar la existencia de la pareja de hecho mediante certificación de la inscripción en alguno de los registros específicos existentes en las comunidades autónomas o ayuntamientos del lugar de residencia o mediante documento público en el que conste la constitución de dicha pareja, sin admitir otros posibles medios de acreditación, podría ser contraria a los derechos a la tutela judicial efectiva (art. 24.1 CE) y a utilizar los medios de prueba pertinentes para la defensa (art. 24.2 CE), puesto que limita de manera arbitraria y desproporcionada los medios de prueba para acreditar en el proceso un hecho relevante (la existencia de pareja de hecho), impidiendo al supérstite articular otra prueba distinta para demostrar un hecho del que depende su derecho a la pensión de viudedad, y asimismo impide al órgano judicial la valoración de esos posibles medios de prueba alternativos a los previstos legalmente.</w:t>
      </w:r>
    </w:p>
    <w:p w14:paraId="1B189E96" w14:textId="77777777" w:rsidR="00C04533" w:rsidRDefault="00C04533" w:rsidP="00C04533">
      <w:pPr>
        <w:pStyle w:val="TextoNormal"/>
      </w:pPr>
    </w:p>
    <w:p w14:paraId="017E2D83" w14:textId="77777777" w:rsidR="00C04533" w:rsidRDefault="00C04533" w:rsidP="00C04533">
      <w:pPr>
        <w:pStyle w:val="TextoNormal"/>
      </w:pPr>
      <w:r>
        <w:t xml:space="preserve">En segundo lugar, entiende el órgano judicial que el precepto cuestionado, desde una perspectiva de género, tiene como efecto una discriminación indirecta de las mujeres, por lo que sería contrario al derecho fundamental a la igualdad y a no sufrir discriminación por razón de sexo (art. 14 CE). Ello por cuanto, pese a que la exigencia de una determinada forma de acreditar la existencia de la pareja de hecho se presente como una norma aparentemente neutra, sucede que, en realidad, afecta de manera principal a las mujeres, porque por razones demográficas, sociales y biológicas, son estas las beneficiarias mayoritariamente de las pensiones de viudedad, hasta el punto de que la práctica totalidad de las reclamaciones de pensiones de viudedad derivadas de la constitución de parejas de hecho son realizadas por mujeres (en particular, de edad avanzada). Se trae a colación en el auto de planteamiento de la cuestión el voto concurrente de las magistradas señora Elósegui y señora Šimáčková a la STEDH de 19 de enero de 2023, asunto </w:t>
      </w:r>
      <w:r w:rsidRPr="00C04533">
        <w:rPr>
          <w:i/>
        </w:rPr>
        <w:t>Domenech Aradilla y Rodríguez González c. España</w:t>
      </w:r>
      <w:r>
        <w:t>.</w:t>
      </w:r>
    </w:p>
    <w:p w14:paraId="2993E9E4" w14:textId="77777777" w:rsidR="00C04533" w:rsidRDefault="00C04533" w:rsidP="00C04533">
      <w:pPr>
        <w:pStyle w:val="TextoNormal"/>
      </w:pPr>
    </w:p>
    <w:p w14:paraId="0F1B868E" w14:textId="11E55244" w:rsidR="00C04533" w:rsidRDefault="00C04533" w:rsidP="00C04533">
      <w:pPr>
        <w:pStyle w:val="TextoNormal"/>
      </w:pPr>
      <w:r>
        <w:t>Descarta, en fin, el órgano judicial promotor de la cuestión que la duda de constitucionalidad que plantea pueda entenderse ya resuelta por resoluciones del Tribunal Constitucional, citando en concreto las SSTC 184/1990, de 15 de noviembre; 40/2014, de 11 de marzo, y 60/2014, de 5 de mayo, y destacando que, si bien una cuestión sustancialmente igual a la presente fue inadmitida por ATC 142/2016, de 19 de julio, lo fue por una razón formal en cuanto a la duda referida a la discriminación indirecta (por incumplimiento del trámite de audiencia del art. 35.2 LOTC), lo que no impide su replanteamiento ahora, a tenor de lo dispuesto en el art. 38 LOTC.</w:t>
      </w:r>
    </w:p>
    <w:p w14:paraId="5F895B41" w14:textId="77777777" w:rsidR="00C04533" w:rsidRDefault="00C04533" w:rsidP="00C04533">
      <w:pPr>
        <w:pStyle w:val="TextoNormal"/>
      </w:pPr>
    </w:p>
    <w:p w14:paraId="1EBB8B2F" w14:textId="2C77EF5A" w:rsidR="00C04533" w:rsidRDefault="00C04533" w:rsidP="00C04533">
      <w:pPr>
        <w:pStyle w:val="TextoNormal"/>
      </w:pPr>
      <w:r w:rsidRPr="00C04533">
        <w:rPr>
          <w:rStyle w:val="NumeroAFNegritaCaracter"/>
        </w:rPr>
        <w:t>4</w:t>
      </w:r>
      <w:r>
        <w:t>. Mediante providencia de 2 de julio de 2024, el Pleno, a los efectos que determina el art. 37.1 LOTC, acordó oír al fiscal general del Estado para que, en el plazo de diez días alegase lo que considerase conveniente acerca de la admisibilidad de la presente cuestión de inconstitucionalidad por si fuere notoriamente infundada.</w:t>
      </w:r>
    </w:p>
    <w:p w14:paraId="2098FB06" w14:textId="77777777" w:rsidR="00C04533" w:rsidRDefault="00C04533" w:rsidP="00C04533">
      <w:pPr>
        <w:pStyle w:val="TextoNormal"/>
      </w:pPr>
    </w:p>
    <w:p w14:paraId="408F847D" w14:textId="77777777" w:rsidR="00C04533" w:rsidRDefault="00C04533" w:rsidP="00C04533">
      <w:pPr>
        <w:pStyle w:val="TextoNormal"/>
      </w:pPr>
      <w:r w:rsidRPr="00C04533">
        <w:rPr>
          <w:rStyle w:val="NumeroAFNegritaCaracter"/>
        </w:rPr>
        <w:t>5</w:t>
      </w:r>
      <w:r>
        <w:t>. El fiscal general del Estado evacuó el trámite conferido mediante escrito registrado en este tribunal el día 30 de julio de 2024, en el que interesa la inadmisión a trámite de la cuestión de inconstitucionalidad por entender que es notoriamente infundada.</w:t>
      </w:r>
    </w:p>
    <w:p w14:paraId="48851A44" w14:textId="77777777" w:rsidR="00C04533" w:rsidRDefault="00C04533" w:rsidP="00C04533">
      <w:pPr>
        <w:pStyle w:val="TextoNormal"/>
      </w:pPr>
    </w:p>
    <w:p w14:paraId="47CD45DC" w14:textId="77777777" w:rsidR="00C04533" w:rsidRDefault="00C04533" w:rsidP="00C04533">
      <w:pPr>
        <w:pStyle w:val="TextoNormal"/>
      </w:pPr>
      <w:r>
        <w:t>En primer lugar, rechaza que la norma cuestionada incurra en infracción del art. 14 CE, en cuanto proscribe la discriminación indirecta por razón de sexo. La doctrina constitucional ha considerado que no vulnera la Constitución el art. 174.3, párrafo cuarto, del texto refundido de la Ley general de la Seguridad Social, aprobado por el Real Decreto Legislativo 1/1994, de 20 de junio, en la redacción dada por la reforma operada por el art. 5 de la Ley 40/2007, de 4 de diciembre, de medidas en materia de Seguridad Social, precepto que, respecto de la necesidad de formalización de la relación de pareja de hecho para acceder a la prestación de viudedad, contiene una redacción igual a la del precepto ahora cuestionado: entre otras, SSTC 40/2014; 45/2014, de 7 de abril, y 51/2014, de 7 de abril, cuyo criterio se mantiene en las SSTC 1/2021 de 25 de enero, y 40/2022, de 21 de marzo (dictadas cuando lleva ya más de seis años en vigor la actual regulación). Si con arreglo a la doctrina constitucional citada, el anterior precepto con la misma redacción no era contrario al art. 14 CE, no hay ningún motivo para pensar que el actual, con la misma redacción, vulnere el mencionado precepto constitucional.</w:t>
      </w:r>
    </w:p>
    <w:p w14:paraId="2D33988F" w14:textId="77777777" w:rsidR="00C04533" w:rsidRDefault="00C04533" w:rsidP="00C04533">
      <w:pPr>
        <w:pStyle w:val="TextoNormal"/>
      </w:pPr>
    </w:p>
    <w:p w14:paraId="229B455A" w14:textId="77777777" w:rsidR="00C04533" w:rsidRDefault="00C04533" w:rsidP="00C04533">
      <w:pPr>
        <w:pStyle w:val="TextoNormal"/>
      </w:pPr>
      <w:r>
        <w:t xml:space="preserve">En efecto, conforme a esa doctrina constitucional, “la exigencia de la constitución formal, </w:t>
      </w:r>
      <w:r w:rsidRPr="00C04533">
        <w:rPr>
          <w:i/>
        </w:rPr>
        <w:t>ad solemnitatem</w:t>
      </w:r>
      <w:r>
        <w:t>, de la pareja de hecho con la antelación mínima a la fecha del fallecimiento del causante de la pensión exigida en el párrafo cuarto del art. 174.3 [de la Ley general de la Seguridad Social: LGSS] no carece de una finalidad constitucionalmente legítima, porque busca atender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 (STC 1/2021, FJ 5; en el mismo sentido, STC 40/2022, FJ 6, y ATC 142/2016, FJ 3).</w:t>
      </w:r>
    </w:p>
    <w:p w14:paraId="1F96C666" w14:textId="77777777" w:rsidR="00C04533" w:rsidRDefault="00C04533" w:rsidP="00C04533">
      <w:pPr>
        <w:pStyle w:val="TextoNormal"/>
      </w:pPr>
    </w:p>
    <w:p w14:paraId="0943E683" w14:textId="77777777" w:rsidR="00C04533" w:rsidRDefault="00C04533" w:rsidP="00C04533">
      <w:pPr>
        <w:pStyle w:val="TextoNormal"/>
      </w:pPr>
      <w:r>
        <w:t xml:space="preserve">A mayor abundamiento, la finalidad legítima del mencionado requisito también ha sido reconocida en la STEDH de 19 de enero de 2023, asunto </w:t>
      </w:r>
      <w:r w:rsidRPr="00C04533">
        <w:rPr>
          <w:i/>
        </w:rPr>
        <w:t>Domenech Aradilla y Rodríguez González c. España</w:t>
      </w:r>
      <w:r>
        <w:t>.</w:t>
      </w:r>
    </w:p>
    <w:p w14:paraId="43225981" w14:textId="77777777" w:rsidR="00C04533" w:rsidRDefault="00C04533" w:rsidP="00C04533">
      <w:pPr>
        <w:pStyle w:val="TextoNormal"/>
      </w:pPr>
    </w:p>
    <w:p w14:paraId="4668D677" w14:textId="60B93D4B" w:rsidR="00C04533" w:rsidRDefault="00C04533" w:rsidP="00C04533">
      <w:pPr>
        <w:pStyle w:val="TextoNormal"/>
      </w:pPr>
      <w:r>
        <w:t>Respecto a la vulneración de los derechos a la tutela judicial efectiva (art. 24.1 CE) y a utilizar los medios de prueba pertinentes para la defensa (art. 24.2 CE), en cuanto a que el precepto cuestionado no permite acreditar la existencia de pareja de hecho por otros medios alternativos, recuerda el fiscal general del Estado que esta pretendida inconstitucionalidad ya ha sido también descartada por el Tribunal Constitucional en el ATC 142/2016, FJ 3, al inadmitir una cuestión de inconstitucionalidad planteada respecto de la regulación precedente, coincidente con la actual.</w:t>
      </w:r>
    </w:p>
    <w:p w14:paraId="3C8EFF59" w14:textId="77777777" w:rsidR="00C04533" w:rsidRDefault="00C04533" w:rsidP="00C04533">
      <w:pPr>
        <w:pStyle w:val="TextoNormal"/>
      </w:pPr>
    </w:p>
    <w:p w14:paraId="62070B96" w14:textId="77777777" w:rsidR="00C04533" w:rsidRDefault="00C04533" w:rsidP="00C04533">
      <w:pPr>
        <w:pStyle w:val="TextoNormalNegritaCentrado"/>
        <w:keepNext/>
      </w:pPr>
      <w:r>
        <w:t>II. Fundamentos jurídicos</w:t>
      </w:r>
    </w:p>
    <w:p w14:paraId="32B69965" w14:textId="22278ADD" w:rsidR="00C04533" w:rsidRDefault="00C04533" w:rsidP="00C04533">
      <w:pPr>
        <w:pStyle w:val="TextoNormalNegritaCentrado"/>
        <w:keepNext/>
      </w:pPr>
    </w:p>
    <w:p w14:paraId="50A4F768" w14:textId="77777777" w:rsidR="00C04533" w:rsidRDefault="00C04533" w:rsidP="00C04533">
      <w:pPr>
        <w:pStyle w:val="TextoNormal"/>
      </w:pPr>
      <w:r w:rsidRPr="00C04533">
        <w:rPr>
          <w:rStyle w:val="NumeroAFNegritaCaracter"/>
        </w:rPr>
        <w:t>1</w:t>
      </w:r>
      <w:r>
        <w:t xml:space="preserve">. </w:t>
      </w:r>
      <w:r w:rsidRPr="00C04533">
        <w:rPr>
          <w:i/>
        </w:rPr>
        <w:t>Objeto de la cuestión</w:t>
      </w:r>
    </w:p>
    <w:p w14:paraId="11470DC6" w14:textId="77777777" w:rsidR="00C04533" w:rsidRDefault="00C04533" w:rsidP="00C04533">
      <w:pPr>
        <w:pStyle w:val="TextoNormal"/>
      </w:pPr>
    </w:p>
    <w:p w14:paraId="7D6FEEC4" w14:textId="77777777" w:rsidR="00C04533" w:rsidRDefault="00C04533" w:rsidP="00C04533">
      <w:pPr>
        <w:pStyle w:val="TextoNormal"/>
      </w:pPr>
      <w:r>
        <w:t>La Sala de lo Social del Tribunal Superior de Justicia de Madrid plantea cuestión de inconstitucionalidad respecto del segundo párrafo del art. 221.2 TRLGSS, en su redacción original, que es la que sigue:</w:t>
      </w:r>
    </w:p>
    <w:p w14:paraId="75F63FBB" w14:textId="77777777" w:rsidR="00C04533" w:rsidRDefault="00C04533" w:rsidP="00C04533">
      <w:pPr>
        <w:pStyle w:val="TextoNormal"/>
      </w:pPr>
    </w:p>
    <w:p w14:paraId="57FC6E27" w14:textId="77777777" w:rsidR="00C04533" w:rsidRDefault="00C04533" w:rsidP="00C04533">
      <w:pPr>
        <w:pStyle w:val="TextoNormal"/>
      </w:pPr>
      <w:r>
        <w:t>“La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14:paraId="3B478AED" w14:textId="77777777" w:rsidR="00C04533" w:rsidRDefault="00C04533" w:rsidP="00C04533">
      <w:pPr>
        <w:pStyle w:val="TextoNormal"/>
      </w:pPr>
    </w:p>
    <w:p w14:paraId="18CBD122" w14:textId="77777777" w:rsidR="00C04533" w:rsidRDefault="00C04533" w:rsidP="00C04533">
      <w:pPr>
        <w:pStyle w:val="TextoNormal"/>
      </w:pPr>
      <w:r>
        <w:t>Como ha quedado relatado en los antecedentes, el órgano judicial estima que el precepto cuestionado, en cuanto establece para acceder a la pensión de viudedad el requisito, aparentemente neutro, de formalización de la pareja de hecho mediante inscripción registral o documento público de constitución, provoca una discriminación indirecta por razón de sexo prohibida por el art. 14 CE, al incidir sobre una pensión —la de viudedad— altamente feminizada.</w:t>
      </w:r>
    </w:p>
    <w:p w14:paraId="77D3EF42" w14:textId="77777777" w:rsidR="00C04533" w:rsidRDefault="00C04533" w:rsidP="00C04533">
      <w:pPr>
        <w:pStyle w:val="TextoNormal"/>
      </w:pPr>
    </w:p>
    <w:p w14:paraId="5E39BA7B" w14:textId="77777777" w:rsidR="00C04533" w:rsidRDefault="00C04533" w:rsidP="00C04533">
      <w:pPr>
        <w:pStyle w:val="TextoNormal"/>
      </w:pPr>
      <w:r>
        <w:t>Entiende asimismo que el precepto cuestionado, al no admitir otros posibles medios de acreditación de la pareja de hecho, vulnera los derechos a la tutela judicial efectiva (art. 24.1 CE) y a utilizar los medios de prueba pertinentes para la defensa (art. 24.2 CE), puesto que limita de manera arbitraria y desproporcionada los medios de prueba para acreditar en el proceso un hecho relevante (la existencia de pareja de hecho), impidiendo al supérstite articular otra prueba distinta para demostrar un hecho del que depende su derecho a la pensión de viudedad; y asimismo impide al órgano judicial la valoración de esos posibles medios de prueba alternativos a los previstos legalmente.</w:t>
      </w:r>
    </w:p>
    <w:p w14:paraId="7BB6029F" w14:textId="77777777" w:rsidR="00C04533" w:rsidRDefault="00C04533" w:rsidP="00C04533">
      <w:pPr>
        <w:pStyle w:val="TextoNormal"/>
      </w:pPr>
    </w:p>
    <w:p w14:paraId="51C04D3D" w14:textId="6DEFD25B" w:rsidR="00C04533" w:rsidRDefault="00C04533" w:rsidP="00C04533">
      <w:pPr>
        <w:pStyle w:val="TextoNormal"/>
      </w:pPr>
      <w:r>
        <w:t>El fiscal general del Estado, en el trámite previsto en el art. 37.1 LOTC, se ha opuesto a la admisión de la presente cuestión de inconstitucionalidad, por ser notoriamente infundada.</w:t>
      </w:r>
    </w:p>
    <w:p w14:paraId="71CDFD3B" w14:textId="77777777" w:rsidR="00C04533" w:rsidRDefault="00C04533" w:rsidP="00C04533">
      <w:pPr>
        <w:pStyle w:val="TextoNormal"/>
      </w:pPr>
    </w:p>
    <w:p w14:paraId="18D15BEA" w14:textId="77777777" w:rsidR="00C04533" w:rsidRDefault="00C04533" w:rsidP="00C04533">
      <w:pPr>
        <w:pStyle w:val="TextoNormal"/>
      </w:pPr>
      <w:r w:rsidRPr="00C04533">
        <w:rPr>
          <w:rStyle w:val="NumeroAFNegritaCaracter"/>
        </w:rPr>
        <w:t>2</w:t>
      </w:r>
      <w:r>
        <w:t xml:space="preserve">. </w:t>
      </w:r>
      <w:r w:rsidRPr="00C04533">
        <w:rPr>
          <w:i/>
        </w:rPr>
        <w:t>Carácter notoriamente infundado de la presente cuestión</w:t>
      </w:r>
    </w:p>
    <w:p w14:paraId="043AEC8F" w14:textId="77777777" w:rsidR="00C04533" w:rsidRDefault="00C04533" w:rsidP="00C04533">
      <w:pPr>
        <w:pStyle w:val="TextoNormal"/>
      </w:pPr>
    </w:p>
    <w:p w14:paraId="462E6D41" w14:textId="77777777" w:rsidR="00C04533" w:rsidRDefault="00C04533" w:rsidP="00C04533">
      <w:pPr>
        <w:pStyle w:val="TextoNormal"/>
      </w:pPr>
      <w:r>
        <w:t xml:space="preserve">El art. 37.1 LOTC permite a este tribunal rechazar </w:t>
      </w:r>
      <w:r w:rsidRPr="00C04533">
        <w:rPr>
          <w:i/>
        </w:rPr>
        <w:t>a limine</w:t>
      </w:r>
      <w:r>
        <w:t xml:space="preserve"> las cuestiones de inconstitucionalidad, mediante auto y sin otra audiencia que la del fiscal general del Estado, cuando faltaren las condiciones procesales o fuere notoriamente infundada la cuestión suscitada. La presente cuestión de inconstitucionalidad resulta “notoriamente infundada”, lo que determina su inadmisión (art. 37.1 LOTC).</w:t>
      </w:r>
    </w:p>
    <w:p w14:paraId="7F8A30BE" w14:textId="77777777" w:rsidR="00C04533" w:rsidRDefault="00C04533" w:rsidP="00C04533">
      <w:pPr>
        <w:pStyle w:val="TextoNormal"/>
      </w:pPr>
    </w:p>
    <w:p w14:paraId="4E5FC7EB" w14:textId="77777777" w:rsidR="00C04533" w:rsidRDefault="00C04533" w:rsidP="00C04533">
      <w:pPr>
        <w:pStyle w:val="TextoNormal"/>
      </w:pPr>
      <w:r>
        <w:t>a) Por ATC 89/2024, de 24 de septiembre, al que procede remitirse, se ha descartado que el precepto ahora cuestionado, en cuanto establece la exigencia de inscripción registral o de documento público de constitución de la pareja de hecho para el acceso a la pensión de viudedad comporte la vulneración del art. 14 CE, en su vertiente de discriminación indirecta por razón de sexo.</w:t>
      </w:r>
    </w:p>
    <w:p w14:paraId="564C13FF" w14:textId="77777777" w:rsidR="00C04533" w:rsidRDefault="00C04533" w:rsidP="00C04533">
      <w:pPr>
        <w:pStyle w:val="TextoNormal"/>
      </w:pPr>
    </w:p>
    <w:p w14:paraId="25A26B11" w14:textId="77777777" w:rsidR="00C04533" w:rsidRDefault="00C04533" w:rsidP="00C04533">
      <w:pPr>
        <w:pStyle w:val="TextoNormal"/>
      </w:pPr>
      <w:r>
        <w:t>Dicho auto reconoce que la pensión de viudedad está fuertemente feminizada, si bien este mayor impacto en las mujeres no puede considerarse, por sí mismo y aisladamente, causante de la discriminación. Se razona en el auto, FJ 3 b), que “la formalización de la pareja de hecho que el precepto cuestionado impone para el acceso a la pensión de viudedad no determina, ni formal ni materialmente, que las mujeres se encuentren en peor situación que los hombres para su cumplimiento; máxime cuando depende de la concurrencia de la voluntad de ambos (hombre y mujer) en las parejas heterosexuales. Son, por tanto, extrapolables los argumentos ofrecidos por este tribunal en el ATC 146/2015, de 10 de septiembre”.</w:t>
      </w:r>
    </w:p>
    <w:p w14:paraId="7F212C3B" w14:textId="77777777" w:rsidR="00C04533" w:rsidRDefault="00C04533" w:rsidP="00C04533">
      <w:pPr>
        <w:pStyle w:val="TextoNormal"/>
      </w:pPr>
    </w:p>
    <w:p w14:paraId="54F5A2B5" w14:textId="77777777" w:rsidR="00C04533" w:rsidRDefault="00C04533" w:rsidP="00C04533">
      <w:pPr>
        <w:pStyle w:val="TextoNormal"/>
      </w:pPr>
      <w:r>
        <w:t xml:space="preserve">Concluye a este respecto el auto que “aun teniendo en cuenta la efectiva feminización de la pensión de viudedad, el requisito legal aquí cuestionado se adecúa a la Constitución al justificarse en factores objetivos ajenos al sexo de los potenciales beneficiarios, cuales son favorecer la seguridad jurídica, evitar el fraude y coordinar internamente el sistema prestacional de la Seguridad Social. Así, como ya ha expresado este tribunal, ‘[l]a constitución formal, </w:t>
      </w:r>
      <w:r w:rsidRPr="00C04533">
        <w:rPr>
          <w:i/>
        </w:rPr>
        <w:t>ad solemnitatem</w:t>
      </w:r>
      <w:r>
        <w:t>, de la pareja de hecho exigida en el párrafo cuarto del art. 174.3 LGSS [léase actual art. 221.2 segundo párrafo TRLGSS] no carece de una finalidad constitucionalmente legítima, en tanto que atiende a constatar,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 (SSTC 51/2014, FJ 3, y 60/2014, FJ 3)”.</w:t>
      </w:r>
    </w:p>
    <w:p w14:paraId="554006EE" w14:textId="77777777" w:rsidR="00C04533" w:rsidRDefault="00C04533" w:rsidP="00C04533">
      <w:pPr>
        <w:pStyle w:val="TextoNormal"/>
      </w:pPr>
    </w:p>
    <w:p w14:paraId="344AFDE6" w14:textId="77777777" w:rsidR="00C04533" w:rsidRDefault="00C04533" w:rsidP="00C04533">
      <w:pPr>
        <w:pStyle w:val="TextoNormal"/>
      </w:pPr>
      <w:r>
        <w:t>b) La otra duda de constitucionalidad que plantea el órgano judicial se refiere a que el precepto cuestionado limita injustificadamente los medios de prueba que permiten acreditar la existencia de la pareja de hecho y por este motivo podría vulnerar los derechos a la tutela judicial efectiva (art. 24.1 CE) y a utilizar los medios de prueba pertinentes para la defensa (art. 24.2 CE).</w:t>
      </w:r>
    </w:p>
    <w:p w14:paraId="2FE7E745" w14:textId="77777777" w:rsidR="00C04533" w:rsidRDefault="00C04533" w:rsidP="00C04533">
      <w:pPr>
        <w:pStyle w:val="TextoNormal"/>
      </w:pPr>
    </w:p>
    <w:p w14:paraId="75A7BAA5" w14:textId="77777777" w:rsidR="00C04533" w:rsidRDefault="00C04533" w:rsidP="00C04533">
      <w:pPr>
        <w:pStyle w:val="TextoNormal"/>
      </w:pPr>
      <w:r>
        <w:t>Pues bien, como recuerda el fiscal general del Estado, esta duda de inconstitucionalidad ha sido resuelta también por el Tribunal Constitucional, en el ATC 142/2016, al inadmitir una cuestión de inconstitucionalidad planteada por el mismo órgano judicial respecto de la regulación precedente, coincidente con la actual.</w:t>
      </w:r>
    </w:p>
    <w:p w14:paraId="09FBF4EC" w14:textId="77777777" w:rsidR="00C04533" w:rsidRDefault="00C04533" w:rsidP="00C04533">
      <w:pPr>
        <w:pStyle w:val="TextoNormal"/>
      </w:pPr>
    </w:p>
    <w:p w14:paraId="5E0AC6FF" w14:textId="35B426A7" w:rsidR="00C04533" w:rsidRDefault="00C04533" w:rsidP="00C04533">
      <w:pPr>
        <w:pStyle w:val="TextoNormal"/>
      </w:pPr>
      <w:r>
        <w:t xml:space="preserve">En efecto, este tribunal, en el ATC 142/2016, FJ 3, tras recordar que la exigencia de constitución formal, </w:t>
      </w:r>
      <w:r w:rsidRPr="00C04533">
        <w:rPr>
          <w:i/>
        </w:rPr>
        <w:t>ad solemnitatem</w:t>
      </w:r>
      <w:r>
        <w:t>, de la pareja de hecho que impone la norma no carece de finalidad constitucionalmente legítima y que, además, esa exigencia “favorece la seguridad jurídica y evita el fraude en la reclamación de pensiones de viudedad” (como ya se dijera en las SSTC 51/2014, FJ 3, y 60/2014, FJ 3), concluye que “la ley, al establecer que solo puede acreditarse la existencia de la pareja de hecho a través de los medios que en ella se establece, no está incidiendo en el ámbito garantizado por el art. 24 CE, pues a través de tales exigencias no está limitando los medios de prueba en un proceso, sino […], estableciendo los requisitos que han de cumplirse para tener la consideración de pareja de hecho a efectos de que quienes la constituyen puedan tener derecho a recibir una pensión de viudedad”.</w:t>
      </w:r>
    </w:p>
    <w:p w14:paraId="1901E12A" w14:textId="77777777" w:rsidR="00C04533" w:rsidRDefault="00C04533" w:rsidP="00C04533">
      <w:pPr>
        <w:pStyle w:val="TextoNormal"/>
      </w:pPr>
    </w:p>
    <w:p w14:paraId="18AC92FE" w14:textId="77777777" w:rsidR="00C04533" w:rsidRDefault="00C04533" w:rsidP="00C04533">
      <w:pPr>
        <w:pStyle w:val="TextoNormal"/>
      </w:pPr>
      <w:r>
        <w:t>Por lo expuesto, el Pleno</w:t>
      </w:r>
    </w:p>
    <w:p w14:paraId="2811E4B2" w14:textId="517F38A2" w:rsidR="00C04533" w:rsidRDefault="00C04533" w:rsidP="00C04533">
      <w:pPr>
        <w:pStyle w:val="TextoNormal"/>
      </w:pPr>
    </w:p>
    <w:p w14:paraId="382317BF" w14:textId="77777777" w:rsidR="00C04533" w:rsidRDefault="00C04533" w:rsidP="00C04533">
      <w:pPr>
        <w:pStyle w:val="TextoNormalCentrado"/>
      </w:pPr>
      <w:r>
        <w:t>ACUERDA</w:t>
      </w:r>
    </w:p>
    <w:p w14:paraId="46D958B8" w14:textId="1B2D6908" w:rsidR="00C04533" w:rsidRDefault="00C04533" w:rsidP="00C04533">
      <w:pPr>
        <w:pStyle w:val="TextoNormalCentrado"/>
      </w:pPr>
    </w:p>
    <w:p w14:paraId="216FD798" w14:textId="5AAE964B" w:rsidR="00C04533" w:rsidRDefault="00C04533" w:rsidP="00C04533">
      <w:pPr>
        <w:pStyle w:val="TextoNormal"/>
      </w:pPr>
      <w:r>
        <w:t>Inadmitir a trámite la presente cuestión de inconstitucionalidad.</w:t>
      </w:r>
    </w:p>
    <w:p w14:paraId="096DCEC3" w14:textId="77777777" w:rsidR="00C04533" w:rsidRDefault="00C04533" w:rsidP="00C04533">
      <w:pPr>
        <w:pStyle w:val="TextoNormal"/>
      </w:pPr>
    </w:p>
    <w:p w14:paraId="59EC9811" w14:textId="77777777" w:rsidR="00C04533" w:rsidRDefault="00C04533" w:rsidP="00C04533">
      <w:pPr>
        <w:pStyle w:val="TextoNormal"/>
      </w:pPr>
      <w:r>
        <w:t>Madrid, a veintidós de octubre de dos mil veinticuatro.</w:t>
      </w:r>
    </w:p>
    <w:p w14:paraId="68548AA8" w14:textId="0E58408D" w:rsidR="00C04533" w:rsidRDefault="00C04533">
      <w:pPr>
        <w:spacing w:after="160" w:line="278" w:lineRule="auto"/>
        <w:rPr>
          <w:rFonts w:ascii="Times New Roman" w:eastAsia="Times New Roman" w:hAnsi="Times New Roman" w:cs="Times New Roman"/>
          <w:sz w:val="24"/>
          <w:szCs w:val="24"/>
          <w:lang w:eastAsia="es-ES"/>
        </w:rPr>
      </w:pPr>
      <w:r>
        <w:br w:type="page"/>
      </w:r>
    </w:p>
    <w:p w14:paraId="33D44008" w14:textId="77777777" w:rsidR="00C04533" w:rsidRDefault="00C04533" w:rsidP="00C04533">
      <w:pPr>
        <w:pStyle w:val="TtuloResolucin"/>
      </w:pPr>
      <w:bookmarkStart w:id="108" w:name="AUTO_2024_102"/>
      <w:r>
        <w:t>AUTO 102/2024, de 22 de octubre de 2024</w:t>
      </w:r>
    </w:p>
    <w:bookmarkEnd w:id="108"/>
    <w:p w14:paraId="09A78C25" w14:textId="77777777" w:rsidR="00C04533" w:rsidRDefault="00C04533" w:rsidP="00C04533">
      <w:pPr>
        <w:pStyle w:val="TtuloResolucin"/>
      </w:pPr>
      <w:r>
        <w:t>Pleno</w:t>
      </w:r>
    </w:p>
    <w:p w14:paraId="120D3EA7" w14:textId="77777777" w:rsidR="00C04533" w:rsidRDefault="00C04533" w:rsidP="00C04533">
      <w:pPr>
        <w:pStyle w:val="TextoNormalCentrado"/>
      </w:pPr>
      <w:r>
        <w:t>ECLI:ES:TC:2024:102A</w:t>
      </w:r>
    </w:p>
    <w:p w14:paraId="612CB832" w14:textId="0BA347FC" w:rsidR="00C04533" w:rsidRDefault="00C04533" w:rsidP="00C04533">
      <w:pPr>
        <w:pStyle w:val="TextoNormalCentrado"/>
      </w:pPr>
    </w:p>
    <w:p w14:paraId="33A50C5C"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5C31C3FD" w14:textId="273B93E2" w:rsidR="00C04533" w:rsidRDefault="00C04533" w:rsidP="00C04533">
      <w:pPr>
        <w:pStyle w:val="SntesisDescriptiva"/>
      </w:pPr>
    </w:p>
    <w:p w14:paraId="539EFB23" w14:textId="77777777" w:rsidR="00C04533" w:rsidRDefault="00C04533" w:rsidP="00C04533">
      <w:pPr>
        <w:pStyle w:val="SntesisDescriptiva"/>
      </w:pPr>
      <w:r>
        <w:t>Inadmite a trámite la cuestión de inconstitucionalidad 594-2024, planteada por la Sala de lo Social del Tribunal Superior de Justicia de Madrid, en relación con el segundo párrafo del artículo 221.2 del texto refundido de la Ley general de la Seguridad Social, aprobado por el Real Decreto Legislativo 8/2015, de 30 de octubre.</w:t>
      </w:r>
    </w:p>
    <w:p w14:paraId="3C64E4F1" w14:textId="43349759" w:rsidR="00C04533" w:rsidRDefault="00C04533" w:rsidP="00C04533">
      <w:pPr>
        <w:pStyle w:val="SntesisDescriptiva"/>
      </w:pPr>
    </w:p>
    <w:p w14:paraId="6BEB49D1" w14:textId="77777777" w:rsidR="00C04533" w:rsidRDefault="00C04533" w:rsidP="00C04533">
      <w:pPr>
        <w:pStyle w:val="SntesisDescriptiva"/>
      </w:pPr>
    </w:p>
    <w:p w14:paraId="73B718CD" w14:textId="77777777" w:rsidR="00C04533" w:rsidRDefault="00C04533" w:rsidP="00C04533">
      <w:pPr>
        <w:pStyle w:val="SntesisDescriptiva"/>
      </w:pPr>
    </w:p>
    <w:p w14:paraId="75186B9D" w14:textId="77777777" w:rsidR="00C04533" w:rsidRDefault="00C04533" w:rsidP="00C04533">
      <w:pPr>
        <w:pStyle w:val="TextoNormalNegritaCentrado"/>
      </w:pPr>
      <w:r>
        <w:t>AUTO</w:t>
      </w:r>
    </w:p>
    <w:p w14:paraId="78F054E1" w14:textId="36F521A4" w:rsidR="00C04533" w:rsidRDefault="00C04533" w:rsidP="00C04533">
      <w:pPr>
        <w:pStyle w:val="TextoNormalNegritaCentrado"/>
      </w:pPr>
    </w:p>
    <w:p w14:paraId="3DD10DE8" w14:textId="77777777" w:rsidR="00C04533" w:rsidRDefault="00C04533" w:rsidP="00C04533">
      <w:pPr>
        <w:pStyle w:val="TextoNormalNegritaCentrado"/>
        <w:keepNext/>
      </w:pPr>
      <w:r>
        <w:t>I. Antecedentes</w:t>
      </w:r>
    </w:p>
    <w:p w14:paraId="5D8E86BD" w14:textId="3FD3DCF9" w:rsidR="00C04533" w:rsidRDefault="00C04533" w:rsidP="00C04533">
      <w:pPr>
        <w:pStyle w:val="TextoNormalNegritaCentrado"/>
        <w:keepNext/>
      </w:pPr>
    </w:p>
    <w:p w14:paraId="052440BD" w14:textId="77777777" w:rsidR="00C04533" w:rsidRDefault="00C04533" w:rsidP="00C04533">
      <w:pPr>
        <w:pStyle w:val="TextoNormal"/>
      </w:pPr>
      <w:r w:rsidRPr="00C04533">
        <w:rPr>
          <w:rStyle w:val="NumeroAFNegritaCaracter"/>
        </w:rPr>
        <w:t>1</w:t>
      </w:r>
      <w:r>
        <w:t>. El 29 de enero de 2024 tuvo entrada en el registro general del Tribunal Constitucional un oficio de la Sala de lo Social del Tribunal Superior de Justicia de Madrid al que se acompaña, junto con el testimonio del procedimiento correspondiente (recurso de suplicación núm. 662-2023), el auto de 13 de diciembre de 2023 por el que se acuerda plantear cuestión de inconstitucionalidad respecto del segundo párrafo del art. 221.2 del texto refundido de la Ley general de la Seguridad Social, aprobado por el Real Decreto Legislativo 8/2015, de 30 de octubre (TRLGSS, en adelante), por su posible contradicción con los arts. 14 y 24 CE.</w:t>
      </w:r>
    </w:p>
    <w:p w14:paraId="1D84F387" w14:textId="77777777" w:rsidR="00C04533" w:rsidRDefault="00C04533" w:rsidP="00C04533">
      <w:pPr>
        <w:pStyle w:val="TextoNormal"/>
      </w:pPr>
    </w:p>
    <w:p w14:paraId="7B014350" w14:textId="77777777" w:rsidR="00C04533" w:rsidRDefault="00C04533" w:rsidP="00C04533">
      <w:pPr>
        <w:pStyle w:val="TextoNormal"/>
      </w:pPr>
      <w:r>
        <w:t>El art. 221 TRLGSS regula la pensión de viudedad de las parejas de hecho. En su apartado segundo establece lo siguiente:</w:t>
      </w:r>
    </w:p>
    <w:p w14:paraId="27BA8BA0" w14:textId="77777777" w:rsidR="00C04533" w:rsidRDefault="00C04533" w:rsidP="00C04533">
      <w:pPr>
        <w:pStyle w:val="TextoNormal"/>
      </w:pPr>
    </w:p>
    <w:p w14:paraId="71EF96FB" w14:textId="77777777" w:rsidR="00C04533" w:rsidRDefault="00C04533" w:rsidP="00C04533">
      <w:pPr>
        <w:pStyle w:val="TextoNormal"/>
      </w:pPr>
      <w:r>
        <w:t>“A efectos de lo establecido en este artículo, se reconocerá como pareja de hecho la constituida, con análoga relación de afectividad a la conyugal, por quienes, no hallándose impedidos para contraer matrimonio, no tengan vínculo matrimonial con otra persona ni constituida pareja de hecho, y acrediten, mediante el correspondiente certificado de empadronamiento, una convivencia estable y notoria con carácter inmediato al fallecimiento del causante y con una duración ininterrumpida no inferior a cinco años, salvo que existan hijos en común, en cuyo caso solo deberán acreditar la constitución de la pareja de hecho de conformidad con lo previsto en el párrafo siguiente.</w:t>
      </w:r>
    </w:p>
    <w:p w14:paraId="3F1DA881" w14:textId="77777777" w:rsidR="00C04533" w:rsidRDefault="00C04533" w:rsidP="00C04533">
      <w:pPr>
        <w:pStyle w:val="TextoNormal"/>
      </w:pPr>
    </w:p>
    <w:p w14:paraId="59E6C415" w14:textId="77777777" w:rsidR="00C04533" w:rsidRDefault="00C04533" w:rsidP="00C04533">
      <w:pPr>
        <w:pStyle w:val="TextoNormal"/>
      </w:pPr>
      <w:r>
        <w:t>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14:paraId="02783F94" w14:textId="77777777" w:rsidR="00C04533" w:rsidRDefault="00C04533" w:rsidP="00C04533">
      <w:pPr>
        <w:pStyle w:val="TextoNormal"/>
      </w:pPr>
    </w:p>
    <w:p w14:paraId="6121DD6A" w14:textId="5A2BBC99" w:rsidR="00C04533" w:rsidRDefault="00C04533" w:rsidP="00C04533">
      <w:pPr>
        <w:pStyle w:val="TextoNormal"/>
      </w:pPr>
      <w:r>
        <w:t>Es este segundo párrafo del art. 221.2 TRLGSS el cuestionado por el órgano judicial.</w:t>
      </w:r>
    </w:p>
    <w:p w14:paraId="22474DB6" w14:textId="77777777" w:rsidR="00C04533" w:rsidRDefault="00C04533" w:rsidP="00C04533">
      <w:pPr>
        <w:pStyle w:val="TextoNormal"/>
      </w:pPr>
    </w:p>
    <w:p w14:paraId="4E5F48E7" w14:textId="77777777" w:rsidR="00C04533" w:rsidRDefault="00C04533" w:rsidP="00C04533">
      <w:pPr>
        <w:pStyle w:val="TextoNormal"/>
      </w:pPr>
      <w:r w:rsidRPr="00C04533">
        <w:rPr>
          <w:rStyle w:val="NumeroAFNegritaCaracter"/>
        </w:rPr>
        <w:t>2</w:t>
      </w:r>
      <w:r>
        <w:t>. Los antecedentes de hecho de la cuestión son, sucintamente expuestos, los siguientes:</w:t>
      </w:r>
    </w:p>
    <w:p w14:paraId="1FD8C959" w14:textId="77777777" w:rsidR="00C04533" w:rsidRDefault="00C04533" w:rsidP="00C04533">
      <w:pPr>
        <w:pStyle w:val="TextoNormal"/>
      </w:pPr>
    </w:p>
    <w:p w14:paraId="371FE233" w14:textId="77777777" w:rsidR="00C04533" w:rsidRDefault="00C04533" w:rsidP="00C04533">
      <w:pPr>
        <w:pStyle w:val="TextoNormal"/>
      </w:pPr>
      <w:r>
        <w:t>a) Ante el Juzgado de lo Social núm. 1 de Madrid se siguió el procedimiento en materia de seguridad social núm. 1115-2021, en virtud de demanda formulada por doña M.A.D.G., contra la resolución del Instituto Nacional de la Seguridad Social (INSS) de 3 de junio de 2021, confirmada el 31 de agosto de 2021, que le había denegado la pensión de viudedad solicitada por aquella con motivo del fallecimiento el 22 de abril de 2021 de quien fue su marido, del que se encontraba judicialmente separada desde 1997 (sin fijación de pensión compensatoria), pero con el que había reanudado la convivencia de hecho desde 2001, tras una reconciliación tácita.</w:t>
      </w:r>
    </w:p>
    <w:p w14:paraId="686E8A7F" w14:textId="77777777" w:rsidR="00C04533" w:rsidRDefault="00C04533" w:rsidP="00C04533">
      <w:pPr>
        <w:pStyle w:val="TextoNormal"/>
      </w:pPr>
    </w:p>
    <w:p w14:paraId="1DF68CA5" w14:textId="77777777" w:rsidR="00C04533" w:rsidRDefault="00C04533" w:rsidP="00C04533">
      <w:pPr>
        <w:pStyle w:val="TextoNormal"/>
      </w:pPr>
      <w:r>
        <w:t>La resolución del INSS denegó a doña M.A.D.G., la prestación de viudedad solicitada “[p]or no tener cumplida la edad de sesenta y cinco años en la fecha de la solicitud”, en aplicación de la disposición transitoria decimotercera TRLGSS (norma transitoria sobre pensión de viudedad en supuestos de separación judicial o divorcio anteriores al 1 de enero de 2008), que establece lo siguiente:</w:t>
      </w:r>
    </w:p>
    <w:p w14:paraId="0ABE66E7" w14:textId="77777777" w:rsidR="00C04533" w:rsidRDefault="00C04533" w:rsidP="00C04533">
      <w:pPr>
        <w:pStyle w:val="TextoNormal"/>
      </w:pPr>
    </w:p>
    <w:p w14:paraId="5EE0FA15" w14:textId="77777777" w:rsidR="00C04533" w:rsidRDefault="00C04533" w:rsidP="00C04533">
      <w:pPr>
        <w:pStyle w:val="TextoNormal"/>
      </w:pPr>
      <w:r>
        <w:t>“1. El reconocimiento del derecho a la pensión de viudedad no quedará condicionado a que la persona divorciada o separada judicialmente sea acreedora de la pensión compensatoria a que se refiere el párrafo segundo del artículo 220.1, cuando entre la fecha del divorcio o de la separación judicial y la fecha del fallecimiento del causante de la pensión de viudedad haya transcurrido un periodo de tiempo no superior a diez años, siempre que el vínculo matrimonial haya tenido una duración mínima de diez años y además concurra en el beneficiario alguna de las condiciones siguientes:</w:t>
      </w:r>
    </w:p>
    <w:p w14:paraId="70461480" w14:textId="77777777" w:rsidR="00C04533" w:rsidRDefault="00C04533" w:rsidP="00C04533">
      <w:pPr>
        <w:pStyle w:val="TextoNormal"/>
      </w:pPr>
    </w:p>
    <w:p w14:paraId="0A4E4DF9" w14:textId="77777777" w:rsidR="00C04533" w:rsidRDefault="00C04533" w:rsidP="00C04533">
      <w:pPr>
        <w:pStyle w:val="TextoNormal"/>
      </w:pPr>
      <w:r>
        <w:t>a) La existencia de hijos comunes del matrimonio.</w:t>
      </w:r>
    </w:p>
    <w:p w14:paraId="40F35C13" w14:textId="77777777" w:rsidR="00C04533" w:rsidRDefault="00C04533" w:rsidP="00C04533">
      <w:pPr>
        <w:pStyle w:val="TextoNormal"/>
      </w:pPr>
    </w:p>
    <w:p w14:paraId="68760AF6" w14:textId="77777777" w:rsidR="00C04533" w:rsidRDefault="00C04533" w:rsidP="00C04533">
      <w:pPr>
        <w:pStyle w:val="TextoNormal"/>
      </w:pPr>
      <w:r>
        <w:t>b) Que tenga una edad superior a los cincuenta años en la fecha del fallecimiento del causante de la pensión.</w:t>
      </w:r>
    </w:p>
    <w:p w14:paraId="035FF2BE" w14:textId="77777777" w:rsidR="00C04533" w:rsidRDefault="00C04533" w:rsidP="00C04533">
      <w:pPr>
        <w:pStyle w:val="TextoNormal"/>
      </w:pPr>
    </w:p>
    <w:p w14:paraId="1CD5FE1E" w14:textId="77777777" w:rsidR="00C04533" w:rsidRDefault="00C04533" w:rsidP="00C04533">
      <w:pPr>
        <w:pStyle w:val="TextoNormal"/>
      </w:pPr>
      <w:r>
        <w:t>[…]</w:t>
      </w:r>
    </w:p>
    <w:p w14:paraId="23504A05" w14:textId="77777777" w:rsidR="00C04533" w:rsidRDefault="00C04533" w:rsidP="00C04533">
      <w:pPr>
        <w:pStyle w:val="TextoNormal"/>
      </w:pPr>
    </w:p>
    <w:p w14:paraId="0707D499" w14:textId="77777777" w:rsidR="00C04533" w:rsidRDefault="00C04533" w:rsidP="00C04533">
      <w:pPr>
        <w:pStyle w:val="TextoNormal"/>
      </w:pPr>
      <w:r>
        <w:t>2. También tendrán derecho a la pensión de viudedad las personas que se encuentren en la situación señalada en el primer párrafo del apartado anterior, aunque no reúnan los requisitos señalados en el mismo, siempre que se trate de personas con sesenta y cinco o más años, no tengan derecho a otra pensión pública y la duración del matrimonio con el causante de la pensión no haya sido inferior a quince años”.</w:t>
      </w:r>
    </w:p>
    <w:p w14:paraId="3AE332DC" w14:textId="77777777" w:rsidR="00C04533" w:rsidRDefault="00C04533" w:rsidP="00C04533">
      <w:pPr>
        <w:pStyle w:val="TextoNormal"/>
      </w:pPr>
    </w:p>
    <w:p w14:paraId="1F95E8F0" w14:textId="77777777" w:rsidR="00C04533" w:rsidRDefault="00C04533" w:rsidP="00C04533">
      <w:pPr>
        <w:pStyle w:val="TextoNormal"/>
      </w:pPr>
      <w:r>
        <w:t>Por sentencia de 25 de octubre de 2022 el juzgado estimó la demanda, reconociendo el derecho de la demandante a percibir la pensión de viudedad que reclamaba. El juzgado entendió que no podía resultar de aplicación al caso lo establecido en la disposición transitoria decimotercera TRLGSS, sino los arts. 219 y 220 del mismo texto legal, “al haberse producido la convivencia posterior a la separación mediante convivencia ininterrumpida, dado que se creó una verdadera pareja de hecho, caracterizada por la estabilidad, la continuidad, la exclusividad, la publicidad y notoriedad, y la comunidad de vida”.</w:t>
      </w:r>
    </w:p>
    <w:p w14:paraId="4A1606DF" w14:textId="77777777" w:rsidR="00C04533" w:rsidRDefault="00C04533" w:rsidP="00C04533">
      <w:pPr>
        <w:pStyle w:val="TextoNormal"/>
      </w:pPr>
    </w:p>
    <w:p w14:paraId="2A3C8AB5" w14:textId="77777777" w:rsidR="00C04533" w:rsidRDefault="00C04533" w:rsidP="00C04533">
      <w:pPr>
        <w:pStyle w:val="TextoNormal"/>
      </w:pPr>
      <w:r>
        <w:t>b) Interpuesto recurso de suplicación contra esa sentencia por el letrado de la administración de la Seguridad Social en representación del INSS, la Sala de lo Social del Tribunal Superior de Justicia de Madrid, por diligencia de ordenación de 24 de julio de 2023, procedió a formar rollo de recurso (núm. 662-2023) y a designar ponente. Y mediante providencia de 2 de octubre de 2023 se señaló para votación y fallo del recurso el día 8 de noviembre de 2023.</w:t>
      </w:r>
    </w:p>
    <w:p w14:paraId="37AAB7AB" w14:textId="77777777" w:rsidR="00C04533" w:rsidRDefault="00C04533" w:rsidP="00C04533">
      <w:pPr>
        <w:pStyle w:val="TextoNormal"/>
      </w:pPr>
    </w:p>
    <w:p w14:paraId="1B473E37" w14:textId="77777777" w:rsidR="00C04533" w:rsidRDefault="00C04533" w:rsidP="00C04533">
      <w:pPr>
        <w:pStyle w:val="TextoNormal"/>
      </w:pPr>
      <w:r>
        <w:t>c) Mediante providencia de 6 de noviembre de 2023, la Sala de lo Social del Tribunal Superior de Justicia de Madrid acordó, conforme a lo dispuesto en el art. 35.2 de la Ley Orgánica del Tribunal Constitucional (LOTC), suspender la votación y fallo del recurso de suplicación y dar traslado a las partes y al Ministerio Fiscal para que en el plazo común e improrrogable de diez días pudieran alegar lo que desearen sobre la pertinencia de plantear la cuestión de inconstitucionalidad en relación con el segundo párrafo del art. 221.2 TRLGSS, que la Sala entiende que pudiera ser inconstitucional por dos motivos:</w:t>
      </w:r>
    </w:p>
    <w:p w14:paraId="558E5A25" w14:textId="77777777" w:rsidR="00C04533" w:rsidRDefault="00C04533" w:rsidP="00C04533">
      <w:pPr>
        <w:pStyle w:val="TextoNormal"/>
      </w:pPr>
    </w:p>
    <w:p w14:paraId="37C1A2F4" w14:textId="77777777" w:rsidR="00C04533" w:rsidRDefault="00C04533" w:rsidP="00C04533">
      <w:pPr>
        <w:pStyle w:val="TextoNormal"/>
      </w:pPr>
      <w:r>
        <w:t>En primer lugar, por vulnerar el derecho fundamental a la igualdad y a no sufrir discriminación por razón de sexo (art. 14 CE), por cuanto pese a que la exigencia de una determinada forma de acreditar la existencia de la pareja de hecho se presenta como una norma aparentemente neutra, sucede que, en realidad, afecta de forma principal a las mujeres, porque por razones demográficas, sociales y biológicas son las mujeres quienes más se benefician de las pensiones de viudedad, hasta el punto de que prácticamente la totalidad de reclamaciones de pensiones de viudedad derivadas de la constitución de parejas de hecho son realizadas por mujeres.</w:t>
      </w:r>
    </w:p>
    <w:p w14:paraId="6B0F4437" w14:textId="77777777" w:rsidR="00C04533" w:rsidRDefault="00C04533" w:rsidP="00C04533">
      <w:pPr>
        <w:pStyle w:val="TextoNormal"/>
      </w:pPr>
    </w:p>
    <w:p w14:paraId="36FC8384" w14:textId="77777777" w:rsidR="00C04533" w:rsidRDefault="00C04533" w:rsidP="00C04533">
      <w:pPr>
        <w:pStyle w:val="TextoNormal"/>
      </w:pPr>
      <w:r>
        <w:t>En segundo lugar, porque, considerando la existencia de una pareja de hecho constituida con más de dos años de antelación al fallecimiento como una circunstancia fáctica, el que ese hecho solamente pueda acreditarse mediante un determinado medio de prueba puede ser contrario al derecho a la tutela judicial efectiva y a un proceso con las debidas garantías, que incluye el derecho a utilizar los medios de prueba pertinentes para su defensa (art. 24.1 y 2 CE), puesto que le impide al supérstite la defensa de sus derechos e intereses articulando otra prueba distinta a la prevista legalmente y que sería procesalmente válida para demostrar un hecho del que depende su derecho a la pensión de viudedad.</w:t>
      </w:r>
    </w:p>
    <w:p w14:paraId="2022A0BF" w14:textId="77777777" w:rsidR="00C04533" w:rsidRDefault="00C04533" w:rsidP="00C04533">
      <w:pPr>
        <w:pStyle w:val="TextoNormal"/>
      </w:pPr>
    </w:p>
    <w:p w14:paraId="75317A37" w14:textId="77777777" w:rsidR="00C04533" w:rsidRDefault="00C04533" w:rsidP="00C04533">
      <w:pPr>
        <w:pStyle w:val="TextoNormal"/>
      </w:pPr>
      <w:r>
        <w:t xml:space="preserve">d) En el trámite de audiencia la representación procesal de la demandante en el proceso </w:t>
      </w:r>
      <w:r w:rsidRPr="00C04533">
        <w:rPr>
          <w:i/>
        </w:rPr>
        <w:t>a quo</w:t>
      </w:r>
      <w:r>
        <w:t xml:space="preserve"> presentó escrito de alegaciones mostrando su conformidad con el planteamiento de la cuestión de inconstitucionalidad en relación con los dos puntos suscitados por la Sala en su providencia de 6 de noviembre de 2023; considera además que el segundo párrafo del art. 221.2 TRLGSS infringe el derecho a la protección social, económica y jurídica de la familia (art. 39 CE), en conexión con el art. 14 CE, así como el derecho a un régimen público de Seguridad Social (art. 41 CE).</w:t>
      </w:r>
    </w:p>
    <w:p w14:paraId="27CAE557" w14:textId="77777777" w:rsidR="00C04533" w:rsidRDefault="00C04533" w:rsidP="00C04533">
      <w:pPr>
        <w:pStyle w:val="TextoNormal"/>
      </w:pPr>
    </w:p>
    <w:p w14:paraId="7D87C991" w14:textId="77777777" w:rsidR="00C04533" w:rsidRDefault="00C04533" w:rsidP="00C04533">
      <w:pPr>
        <w:pStyle w:val="TextoNormal"/>
      </w:pPr>
      <w:r>
        <w:t>Por su parte, el letrado de la administración de la Seguridad Social manifestó su oposición al planteamiento de la cuestión por entender, en primer lugar, que resulta innecesario plantearla para resolver el caso, toda vez que no resulta aplicable lo dispuesto en el art. 221 TRLGSS, sino la disposición transitoria decimotercera del mismo texto legal, pues a doña M.A.D.G., no le fue denegada la pensión de viudedad porque no constituyera una pareja de hecho a efectos de lo establecido en el art. 221 TRLGSS, sino por no tener cumplida la edad de sesenta y cinco años en la fecha de la solicitud, según lo establecido en el apartado segundo de la disposición transitoria decimotercera TRLGSS. En segundo lugar, porque de la jurisprudencia constitucional se desprende que la regulación que se pretende cuestionar no es contraria al art. 14 CE (SSTC 184/1990, de 15 de noviembre; 40/2014, de 11 de marzo, y 51/2014, de 7 de abril). Y, en tercer lugar, porque la Sala de lo Social, con su planteamiento, parece confundir el requisito material de convivencia con el formal de constitución de la unión de hecho, obviando que la protección de la Seguridad Social solo es predicable de las uniones de hecho formalmente constituidas y que esta solución es plenamente conforme con la Constitución, a la vista de la referida doctrina constitucional, de suerte que la previsión del art. 221.2 TRLGSS, que condiciona el derecho a la existencia de una unión formal y legalmente inscrita o constituida, no vulnera el principio de igualdad ni implica un trato discriminatorio por razón de sexo.</w:t>
      </w:r>
    </w:p>
    <w:p w14:paraId="6538E32C" w14:textId="77777777" w:rsidR="00C04533" w:rsidRDefault="00C04533" w:rsidP="00C04533">
      <w:pPr>
        <w:pStyle w:val="TextoNormal"/>
      </w:pPr>
    </w:p>
    <w:p w14:paraId="0659E340" w14:textId="77777777" w:rsidR="00C04533" w:rsidRDefault="00C04533" w:rsidP="00C04533">
      <w:pPr>
        <w:pStyle w:val="TextoNormal"/>
      </w:pPr>
      <w:r>
        <w:t>El Ministerio Fiscal también se opuso al planteamiento de la cuestión por entender que, sin perjuicio de que el objeto del procedimiento no es exactamente la aplicación de la previsión del art. 221.2 TRLGSS, la duda de constitucionalidad que se suscita coincide sustancialmente con la que ya fue resuelta en la STC 51/2014, sin que la providencia de 6 de noviembre de 2023 aporte ningún elemento de juicio diferente o novedoso respecto de los que ya fueron examinados en esa sentencia, de modo que cabe concluir que la cuestión que pretende plantear la Sala de lo Social del Tribunal Superior de Justicia de Madrid en cuanto a la supuesta vulneración del derecho a la igualdad y a no sufrir discriminación por razón de sexo (art. 14 CE) ya ha sido resuelta (negativamente) por el Tribunal Constitucional.</w:t>
      </w:r>
    </w:p>
    <w:p w14:paraId="769E974B" w14:textId="77777777" w:rsidR="00C04533" w:rsidRDefault="00C04533" w:rsidP="00C04533">
      <w:pPr>
        <w:pStyle w:val="TextoNormal"/>
      </w:pPr>
    </w:p>
    <w:p w14:paraId="6B1FA41C" w14:textId="322F335F" w:rsidR="00C04533" w:rsidRDefault="00C04533" w:rsidP="00C04533">
      <w:pPr>
        <w:pStyle w:val="TextoNormal"/>
      </w:pPr>
      <w:r>
        <w:t>En cuanto a la vulneración de los derechos a la tutela judicial efectiva y al uso de los medios de prueba pertinentes para la defensa (art. 24.1 y 2 CE), el fiscal considera que el auto no supera el exigible juicio de relevancia en que ha de concretarse la exigencia de que el fallo dependa de la validez constitucional de la norma legal aplicable al caso (arts. 163 CE y 35 LOTC). En la medida en que queda claro que la disposición legal que se pretende cuestionar (el art. 221.2 TRLGSS) no infringe, a la vista de la doctrina constitucional, el derecho a la no discriminación por razón de sexo, cabría cuestionar la posible viabilidad de un medio de prueba de la inscripción de la pareja de hecho “en alguno de los registros específicos existentes en las comunidades autónomas o ayuntamientos del lugar de residencia” que no sea la “certificación de la inscripción” o un “documento público en el que conste la constitución de dicha pareja”. Pero no es ese el problema que plantea el órgano judicial, sino el de la posibilidad de reconocer el derecho a la pensión mediante la exclusiva justificación de la “existencia de la pareja de hecho” (que identifica, según se desprende de la providencia de traslado, con la mera convivencia continuada), sin acreditar la existencia de la inscripción o constitución registral de esa unión de facto, que es lo que realmente exige la ley, además de la demostración de la convivencia. Por tanto, el que la ley limite o concrete los medios probatorios para demostrar que la pareja está inscrita resulta absolutamente indiferente para la duda de constitucionalidad, tal y como la plantea la Sala de lo Social, y al verdadero objeto del procedimiento.</w:t>
      </w:r>
    </w:p>
    <w:p w14:paraId="47022AD3" w14:textId="77777777" w:rsidR="00C04533" w:rsidRDefault="00C04533" w:rsidP="00C04533">
      <w:pPr>
        <w:pStyle w:val="TextoNormal"/>
      </w:pPr>
    </w:p>
    <w:p w14:paraId="598D663C" w14:textId="77777777" w:rsidR="00C04533" w:rsidRDefault="00C04533" w:rsidP="00C04533">
      <w:pPr>
        <w:pStyle w:val="TextoNormal"/>
      </w:pPr>
      <w:r w:rsidRPr="00C04533">
        <w:rPr>
          <w:rStyle w:val="NumeroAFNegritaCaracter"/>
        </w:rPr>
        <w:t>3</w:t>
      </w:r>
      <w:r>
        <w:t>. En el auto de planteamiento de la cuestión, tras referirse a los antecedentes de hecho del asunto y al cumplimiento del trámite de audiencia del art. 35.2 LOTC, el juzgado precisa que el órgano judicial señala que el precepto aplicable al caso es el art. 221 TRLGSS, en su redacción aplicable al caso (la anterior a la entrada en vigor de la Ley 21/2021, de 28 de diciembre, de garantía del poder adquisitivo de las pensiones y de otras medidas de refuerzo de la sostenibilidad financiera y social del sistema público de pensiones), que regula la pensión de viudedad de parejas de hecho, y razona que, de los requisitos establecidos en el precepto para acceder a esa pensión pública, en el caso de doña M.A.D.G., se cumplen todos, salvo el relativo a la acreditación de la existencia de pareja de hecho “mediante certificación de la inscripción en alguno de los registros específicos existentes en las comunidades autónomas o ayuntamientos del lugar de residencia o mediante documento público en el que conste la constitución de dicha pareja”, debiendo haberse producido tanto la inscripción como la formalización del documento público “con una antelación mínima de dos años con respecto a la fecha del fallecimiento del causante”, conforme exige el párrafo segundo del art. 221.2 TRLGSS. Es, por tanto, sobre este párrafo del apartado segundo del art. 221 TRLGSS sobre el que se proyectan las dudas de constitucionalidad del órgano judicial promotor de la cuestión. Esas dudas son dos.</w:t>
      </w:r>
    </w:p>
    <w:p w14:paraId="022B6388" w14:textId="77777777" w:rsidR="00C04533" w:rsidRDefault="00C04533" w:rsidP="00C04533">
      <w:pPr>
        <w:pStyle w:val="TextoNormal"/>
      </w:pPr>
    </w:p>
    <w:p w14:paraId="44A53313" w14:textId="77777777" w:rsidR="00C04533" w:rsidRDefault="00C04533" w:rsidP="00C04533">
      <w:pPr>
        <w:pStyle w:val="TextoNormal"/>
      </w:pPr>
      <w:r>
        <w:t>En primer lugar, considera el órgano judicial que la exigencia establecida en el precepto cuestionado de acreditar la existencia de la pareja de hecho mediante certificación de la inscripción en alguno de los registros específicos existentes en las comunidades autónomas o ayuntamientos del lugar de residencia o mediante documento público en el que conste la constitución de dicha pareja, sin admitir otros posibles medios de acreditación (según se desprende de la interpretación que del precepto viene haciendo la Sala de lo Social del Tribunal Supremo), podría ser contraria a los derechos a la tutela judicial efectiva (art. 24.1 CE) y a utilizar los medios de prueba pertinentes para la defensa (art. 24.2 CE), puesto que limita de manera arbitraria y desproporcionada los medios de prueba para acreditar en el proceso un hecho relevante (la existencia de pareja de hecho), impidiendo al supérstite articular otra prueba distinta para demostrar un hecho del que depende su derecho a la pensión de viudedad; y asimismo impide al órgano judicial la valoración de esos posibles medios de prueba alternativos a los previstos legalmente.</w:t>
      </w:r>
    </w:p>
    <w:p w14:paraId="2FC72720" w14:textId="77777777" w:rsidR="00C04533" w:rsidRDefault="00C04533" w:rsidP="00C04533">
      <w:pPr>
        <w:pStyle w:val="TextoNormal"/>
      </w:pPr>
    </w:p>
    <w:p w14:paraId="36F1E362" w14:textId="77777777" w:rsidR="00C04533" w:rsidRDefault="00C04533" w:rsidP="00C04533">
      <w:pPr>
        <w:pStyle w:val="TextoNormal"/>
      </w:pPr>
      <w:r>
        <w:t xml:space="preserve">En segundo lugar, entiende el órgano judicial que el precepto cuestionado, desde una perspectiva de género, tiene como efecto una discriminación indirecta de las mujeres, por lo que sería contrario al derecho fundamental a la igualdad y a no sufrir discriminación por razón de sexo (art. 14 CE). Ello por cuanto, pese a que la exigencia de una determinada forma de acreditar la existencia de la pareja de hecho se presente como una norma aparentemente neutra, sucede que, en realidad, afecta de manera principal a las mujeres, porque por razones demográficas, sociales y biológicas, son estas las beneficiarias mayoritariamente de las pensiones de viudedad, hasta el punto de que la práctica totalidad de las reclamaciones de pensiones de viudedad derivadas de la constitución de parejas de hecho son realizadas por mujeres (en particular, de edad avanzada). Se trae a colación en el auto de planteamiento de la cuestión el voto concurrente de las magistradas señora Elósegui y señora Šimáčková a la STEDH de 19 de enero de 2023, asunto </w:t>
      </w:r>
      <w:r w:rsidRPr="00C04533">
        <w:rPr>
          <w:i/>
        </w:rPr>
        <w:t>Domenech Aradilla y Rodríguez González c. España</w:t>
      </w:r>
      <w:r>
        <w:t>.</w:t>
      </w:r>
    </w:p>
    <w:p w14:paraId="1DE018C8" w14:textId="77777777" w:rsidR="00C04533" w:rsidRDefault="00C04533" w:rsidP="00C04533">
      <w:pPr>
        <w:pStyle w:val="TextoNormal"/>
      </w:pPr>
    </w:p>
    <w:p w14:paraId="41510207" w14:textId="4E82A751" w:rsidR="00C04533" w:rsidRDefault="00C04533" w:rsidP="00C04533">
      <w:pPr>
        <w:pStyle w:val="TextoNormal"/>
      </w:pPr>
      <w:r>
        <w:t>Descarta, en fin, el órgano judicial que la duda de constitucionalidad que plantea pueda entenderse ya resuelta por anteriores resoluciones del Tribunal Constitucional, citando en concreto las SSTC 184/1990; 40/2014, y 60/2014, de 5 de mayo, y destacando que, si bien una cuestión sustancialmente igual a la presente fue inadmitida por ATC 142/2016, de 19 de julio, lo fue por una razón formal en cuanto a la duda referida a la discriminación indirecta (por incumplimiento del trámite de audiencia del art. 35.2 LOTC), lo que no impide su replanteamiento ahora, a tenor de lo dispuesto en el art. 38 LOTC.</w:t>
      </w:r>
    </w:p>
    <w:p w14:paraId="5EB5468D" w14:textId="77777777" w:rsidR="00C04533" w:rsidRDefault="00C04533" w:rsidP="00C04533">
      <w:pPr>
        <w:pStyle w:val="TextoNormal"/>
      </w:pPr>
    </w:p>
    <w:p w14:paraId="6E016D18" w14:textId="21CFF0FD" w:rsidR="00C04533" w:rsidRDefault="00C04533" w:rsidP="00C04533">
      <w:pPr>
        <w:pStyle w:val="TextoNormal"/>
      </w:pPr>
      <w:r w:rsidRPr="00C04533">
        <w:rPr>
          <w:rStyle w:val="NumeroAFNegritaCaracter"/>
        </w:rPr>
        <w:t>4</w:t>
      </w:r>
      <w:r>
        <w:t>. Por providencia de 2 de julio de 2024, el Pleno del Tribunal Constitucional acordó, a los efectos que determina el art. 37.1 LOTC, oír al fiscal general del Estado para que, en el plazo de diez días, alegare lo que considerase conveniente acerca de la admisibilidad de la presente cuestión de inconstitucionalidad, por si fuere notoriamente infundada.</w:t>
      </w:r>
    </w:p>
    <w:p w14:paraId="24C0CCC7" w14:textId="77777777" w:rsidR="00C04533" w:rsidRDefault="00C04533" w:rsidP="00C04533">
      <w:pPr>
        <w:pStyle w:val="TextoNormal"/>
      </w:pPr>
    </w:p>
    <w:p w14:paraId="2B939B24" w14:textId="77777777" w:rsidR="00C04533" w:rsidRDefault="00C04533" w:rsidP="00C04533">
      <w:pPr>
        <w:pStyle w:val="TextoNormal"/>
      </w:pPr>
      <w:r w:rsidRPr="00C04533">
        <w:rPr>
          <w:rStyle w:val="NumeroAFNegritaCaracter"/>
        </w:rPr>
        <w:t>5</w:t>
      </w:r>
      <w:r>
        <w:t>. Mediante escrito registrado en este tribunal el 31 de julio de 2024, el fiscal general del Estado presentó sus alegaciones, en las que se pronuncia a favor de la inadmisión de la cuestión de inconstitucionalidad.</w:t>
      </w:r>
    </w:p>
    <w:p w14:paraId="79FC71B0" w14:textId="77777777" w:rsidR="00C04533" w:rsidRDefault="00C04533" w:rsidP="00C04533">
      <w:pPr>
        <w:pStyle w:val="TextoNormal"/>
      </w:pPr>
    </w:p>
    <w:p w14:paraId="7E7FAFAD" w14:textId="77777777" w:rsidR="00C04533" w:rsidRDefault="00C04533" w:rsidP="00C04533">
      <w:pPr>
        <w:pStyle w:val="TextoNormal"/>
      </w:pPr>
      <w:r>
        <w:t>En primer lugar, el fiscal general del Estado entiende que el juicio de aplicabilidad no puede entenderse correctamente formulado, porque el juzgado parte de la premisa, errónea, de identificar convivencia matrimonial con vínculo matrimonial, entendiendo que es aplicable lo dispuesto en el art. 221 TRLGSS a los miembros de una pareja matrimonial, separados judicialmente, que han vuelto posteriormente a convivir, pero sin comunicarlo al juzgado. De acuerdo con la jurisprudencia de la Sala de lo Social del Tribunal Supremo (STS 4693/2008, de 21 de julio, ECLI:ES:TS:2008:4693), la reanudación de la convivencia de la pareja, tras la separación judicial, no produce efectos jurídicos frente a terceros si no se comunica al juzgado que decretó la separación matrimonial. El efecto propio de la sentencia de separación es la suspensión de la vida en común, no la ruptura del vínculo matrimonial (lo que impide volver a contraer matrimonio mientras se mantenga esa situación). Por tanto, los cónyuges separados judicialmente no dejan de ser cónyuges legítimos, de suerte que, en caso de reanudar su convivencia y comunicar este hecho al juzgado, no se altera en absoluto su condición de cónyuges: lo que se altera es que su situación de convivencia pasa a tener efectos frente a terceros.</w:t>
      </w:r>
    </w:p>
    <w:p w14:paraId="67417F8E" w14:textId="77777777" w:rsidR="00C04533" w:rsidRDefault="00C04533" w:rsidP="00C04533">
      <w:pPr>
        <w:pStyle w:val="TextoNormal"/>
      </w:pPr>
    </w:p>
    <w:p w14:paraId="4BF0E24A" w14:textId="77777777" w:rsidR="00C04533" w:rsidRDefault="00C04533" w:rsidP="00C04533">
      <w:pPr>
        <w:pStyle w:val="TextoNormal"/>
      </w:pPr>
      <w:r>
        <w:t>A mayor abundamiento, debe tenerse en cuenta que el art. 220 TRLGSS, que regula la pensión de viudedad en los casos de separación, divorcio o nulidad matrimonial, distingue claramente entre los supuestos de separación y divorcio, y admite la posibilidad de existencia de las parejas de hecho a que se refiere el art. 221 TRLGSS solo en el caso de divorciados, de donde resulta también la inaplicabilidad de lo previsto en el apartado segundo de este precepto a las parejas separadas que reanuden su convivencia sin comunicarlo al juzgado.</w:t>
      </w:r>
    </w:p>
    <w:p w14:paraId="18280DD8" w14:textId="77777777" w:rsidR="00C04533" w:rsidRDefault="00C04533" w:rsidP="00C04533">
      <w:pPr>
        <w:pStyle w:val="TextoNormal"/>
      </w:pPr>
    </w:p>
    <w:p w14:paraId="4213381F" w14:textId="77777777" w:rsidR="00C04533" w:rsidRDefault="00C04533" w:rsidP="00C04533">
      <w:pPr>
        <w:pStyle w:val="TextoNormal"/>
      </w:pPr>
      <w:r>
        <w:t xml:space="preserve">Tampoco estaría correctamente efectuado el juicio de relevancia, según el fiscal general del Estado, porque uno de los requisitos que exige el art. 221.2 TRLGSS para la consideración de la pareja de hecho, a efectos del acceso a la pensión de viudedad, es que los miembros no estén impedidos de contraer matrimonio, siendo así que en el presente caso es notorio que subsistía el vínculo matrimonial hasta el fallecimiento del marido de la demandante en el proceso </w:t>
      </w:r>
      <w:r w:rsidRPr="00C04533">
        <w:rPr>
          <w:i/>
        </w:rPr>
        <w:t>a quo</w:t>
      </w:r>
      <w:r>
        <w:t>. En el auto de planteamiento de la cuestión no se ofrece una justificación de la concurrencia de este requisito referido a la inexistencia de impedimento de contraer matrimonio: la demandante y su cónyuge no podían contraer matrimonio, ni entre sí, pues ya estaban casados, ni con terceros, pues subsistía el vínculo matrimonial.</w:t>
      </w:r>
    </w:p>
    <w:p w14:paraId="60958A8F" w14:textId="77777777" w:rsidR="00C04533" w:rsidRDefault="00C04533" w:rsidP="00C04533">
      <w:pPr>
        <w:pStyle w:val="TextoNormal"/>
      </w:pPr>
    </w:p>
    <w:p w14:paraId="2077F403" w14:textId="77777777" w:rsidR="00C04533" w:rsidRDefault="00C04533" w:rsidP="00C04533">
      <w:pPr>
        <w:pStyle w:val="TextoNormal"/>
      </w:pPr>
      <w:r>
        <w:t>En cuanto al fondo del asunto, el fiscal general del Estado entiende que la cuestión planteada resulta notoriamente infundada. En primer lugar, rechaza que la norma cuestionada incurra en infracción del art. 14 CE, en cuanto proscribe la discriminación indirecta por razón de sexo. La doctrina constitucional ha considerado que no vulnera la Constitución el art. 174.3, párrafo cuarto, del texto refundido de la Ley general de la Seguridad Social, aprobado por el Real Decreto Legislativo 1/1994, de 20 de junio, en la redacción dada por la reforma operada por el art. 5 de la Ley 40/2007, de 4 de diciembre, de medidas en materia de Seguridad Social, precepto que, respecto de la necesidad de formalización de la relación de pareja de hecho para acceder a la prestación de viudedad, contiene una redacción igual a la del precepto ahora cuestionado: entre otras, SSTC 40/2014; 45/2014, de 7 de abril, y 51/2014, cuyo criterio se mantiene en las SSTC 1/2021 de 25 de enero, y 40/2022, de 21 de marzo (dictadas cuando lleva ya más de seis años en vigor la actual regulación). Si con arreglo a la doctrina constitucional citada, el anterior precepto con la misma redacción no era contrario al art. 14 CE, no hay ningún motivo para pensar que el actual, con la misma redacción, vulnere el mencionado precepto constitucional.</w:t>
      </w:r>
    </w:p>
    <w:p w14:paraId="0115B258" w14:textId="77777777" w:rsidR="00C04533" w:rsidRDefault="00C04533" w:rsidP="00C04533">
      <w:pPr>
        <w:pStyle w:val="TextoNormal"/>
      </w:pPr>
    </w:p>
    <w:p w14:paraId="409B3158" w14:textId="77777777" w:rsidR="00C04533" w:rsidRDefault="00C04533" w:rsidP="00C04533">
      <w:pPr>
        <w:pStyle w:val="TextoNormal"/>
      </w:pPr>
      <w:r>
        <w:t xml:space="preserve">En efecto, conforme a esa doctrina constitucional, “la exigencia de la constitución formal, </w:t>
      </w:r>
      <w:r w:rsidRPr="00C04533">
        <w:rPr>
          <w:i/>
        </w:rPr>
        <w:t>ad solemnitatem</w:t>
      </w:r>
      <w:r>
        <w:t>, de la pareja de hecho con la antelación mínima a la fecha del fallecimiento del causante de la pensión exigida en el párrafo cuarto del art. 174.3 de la Ley general de la Seguridad Social no carece de una finalidad constitucionalmente legítima, porque busca atender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 (STC 1/2021, FJ 5; en el mismo sentido, STC 40/2022, FJ 6, y ATC 142/2016, FJ 3).</w:t>
      </w:r>
    </w:p>
    <w:p w14:paraId="2F36BB44" w14:textId="77777777" w:rsidR="00C04533" w:rsidRDefault="00C04533" w:rsidP="00C04533">
      <w:pPr>
        <w:pStyle w:val="TextoNormal"/>
      </w:pPr>
    </w:p>
    <w:p w14:paraId="79F789C0" w14:textId="77777777" w:rsidR="00C04533" w:rsidRDefault="00C04533" w:rsidP="00C04533">
      <w:pPr>
        <w:pStyle w:val="TextoNormal"/>
      </w:pPr>
      <w:r>
        <w:t xml:space="preserve">A mayor abundamiento, la finalidad legítima del mencionado requisito también ha sido reconocida en la STEDH de 19 de enero de 2023, asunto </w:t>
      </w:r>
      <w:r w:rsidRPr="00C04533">
        <w:rPr>
          <w:i/>
        </w:rPr>
        <w:t>Domenech Aradilla y Rodríguez González c. España</w:t>
      </w:r>
      <w:r>
        <w:t>.</w:t>
      </w:r>
    </w:p>
    <w:p w14:paraId="68C7D10A" w14:textId="77777777" w:rsidR="00C04533" w:rsidRDefault="00C04533" w:rsidP="00C04533">
      <w:pPr>
        <w:pStyle w:val="TextoNormal"/>
      </w:pPr>
    </w:p>
    <w:p w14:paraId="0940B9F5" w14:textId="77777777" w:rsidR="00C04533" w:rsidRDefault="00C04533" w:rsidP="00C04533">
      <w:pPr>
        <w:pStyle w:val="TextoNormal"/>
      </w:pPr>
      <w:r>
        <w:t>Respecto a la vulneración de los derechos a la tutela judicial efectiva (art. 24.1 CE) y a utilizar los medios de prueba pertinentes para la defensa (art. 24.2 CE), en cuanto a que el precepto cuestionado no permite acreditar la existencia de pareja de hecho por otros medios alternativos, recuerda el fiscal general del Estado que esta pretendida inconstitucionalidad ya ha sido también descartada por el Tribunal Constitucional en el ATC 142/2016, FJ 3, al inadmitir una cuestión de inconstitucionalidad planteada por el mismo órgano judicial respecto de la regulación precedente, coincidente con la actual.</w:t>
      </w:r>
    </w:p>
    <w:p w14:paraId="67D884F6" w14:textId="77777777" w:rsidR="00C04533" w:rsidRDefault="00C04533" w:rsidP="00C04533">
      <w:pPr>
        <w:pStyle w:val="TextoNormal"/>
      </w:pPr>
    </w:p>
    <w:p w14:paraId="349537D8" w14:textId="7871C7C0" w:rsidR="00C04533" w:rsidRDefault="00C04533" w:rsidP="00C04533">
      <w:pPr>
        <w:pStyle w:val="TextoNormal"/>
      </w:pPr>
      <w:r>
        <w:t>En suma, la cuestión de inconstitucionalidad resulta inadmisible por ser notoriamente infundada (art. 37.1 LOTC).</w:t>
      </w:r>
    </w:p>
    <w:p w14:paraId="36D0B2E8" w14:textId="77777777" w:rsidR="00C04533" w:rsidRDefault="00C04533" w:rsidP="00C04533">
      <w:pPr>
        <w:pStyle w:val="TextoNormal"/>
      </w:pPr>
    </w:p>
    <w:p w14:paraId="2D168296" w14:textId="77777777" w:rsidR="00C04533" w:rsidRDefault="00C04533" w:rsidP="00C04533">
      <w:pPr>
        <w:pStyle w:val="TextoNormalNegritaCentrado"/>
        <w:keepNext/>
      </w:pPr>
      <w:r>
        <w:t>II. Fundamentos jurídicos</w:t>
      </w:r>
    </w:p>
    <w:p w14:paraId="75CA5971" w14:textId="6ED644B3" w:rsidR="00C04533" w:rsidRDefault="00C04533" w:rsidP="00C04533">
      <w:pPr>
        <w:pStyle w:val="TextoNormalNegritaCentrado"/>
        <w:keepNext/>
      </w:pPr>
    </w:p>
    <w:p w14:paraId="1FECE66A" w14:textId="77777777" w:rsidR="00C04533" w:rsidRDefault="00C04533" w:rsidP="00C04533">
      <w:pPr>
        <w:pStyle w:val="TextoNormal"/>
      </w:pPr>
      <w:r w:rsidRPr="00C04533">
        <w:rPr>
          <w:rStyle w:val="NumeroAFNegritaCaracter"/>
        </w:rPr>
        <w:t>1</w:t>
      </w:r>
      <w:r>
        <w:t xml:space="preserve">. </w:t>
      </w:r>
      <w:r w:rsidRPr="00C04533">
        <w:rPr>
          <w:i/>
        </w:rPr>
        <w:t>Objeto de la cuestión</w:t>
      </w:r>
    </w:p>
    <w:p w14:paraId="46A907E1" w14:textId="77777777" w:rsidR="00C04533" w:rsidRDefault="00C04533" w:rsidP="00C04533">
      <w:pPr>
        <w:pStyle w:val="TextoNormal"/>
      </w:pPr>
    </w:p>
    <w:p w14:paraId="6152D87F" w14:textId="77777777" w:rsidR="00C04533" w:rsidRDefault="00C04533" w:rsidP="00C04533">
      <w:pPr>
        <w:pStyle w:val="TextoNormal"/>
      </w:pPr>
      <w:r>
        <w:t>La Sala de lo Social del Tribunal Superior de Justicia de Madrid plantea cuestión de inconstitucionalidad respecto del segundo párrafo del art. 221.2 TRLGSS, en su redacción original, que es la que sigue:</w:t>
      </w:r>
    </w:p>
    <w:p w14:paraId="7181C602" w14:textId="77777777" w:rsidR="00C04533" w:rsidRDefault="00C04533" w:rsidP="00C04533">
      <w:pPr>
        <w:pStyle w:val="TextoNormal"/>
      </w:pPr>
    </w:p>
    <w:p w14:paraId="2E41CC19" w14:textId="77777777" w:rsidR="00C04533" w:rsidRDefault="00C04533" w:rsidP="00C04533">
      <w:pPr>
        <w:pStyle w:val="TextoNormal"/>
      </w:pPr>
      <w:r>
        <w:t>“La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14:paraId="7B2A2BA9" w14:textId="77777777" w:rsidR="00C04533" w:rsidRDefault="00C04533" w:rsidP="00C04533">
      <w:pPr>
        <w:pStyle w:val="TextoNormal"/>
      </w:pPr>
    </w:p>
    <w:p w14:paraId="4564E6F8" w14:textId="77777777" w:rsidR="00C04533" w:rsidRDefault="00C04533" w:rsidP="00C04533">
      <w:pPr>
        <w:pStyle w:val="TextoNormal"/>
      </w:pPr>
      <w:r>
        <w:t>Como ha quedado relatado en los antecedentes, el órgano judicial estima que el precepto cuestionado, en cuanto establece para acceder a la pensión de viudedad el requisito, aparentemente neutro, de formalización de la pareja de hecho mediante inscripción registral o documento público de constitución, provoca una discriminación indirecta por razón de sexo prohibida por el art. 14 CE, al incidir sobre una pensión (la de viudedad) altamente feminizada.</w:t>
      </w:r>
    </w:p>
    <w:p w14:paraId="7C9DB1F3" w14:textId="77777777" w:rsidR="00C04533" w:rsidRDefault="00C04533" w:rsidP="00C04533">
      <w:pPr>
        <w:pStyle w:val="TextoNormal"/>
      </w:pPr>
    </w:p>
    <w:p w14:paraId="2E61D622" w14:textId="77777777" w:rsidR="00C04533" w:rsidRDefault="00C04533" w:rsidP="00C04533">
      <w:pPr>
        <w:pStyle w:val="TextoNormal"/>
      </w:pPr>
      <w:r>
        <w:t>Entiende asimismo que el precepto cuestionado, al no admitir otros posibles medios de acreditación de la pareja de hecho, vulnera los derechos a la tutela judicial efectiva (art. 24.1 CE) y a utilizar los medios de prueba pertinentes para la defensa (art. 24.2 CE), puesto que limita de manera arbitraria y desproporcionada los medios de prueba para acreditar en el proceso un hecho relevante (la existencia de pareja de hecho), impidiendo al supérstite articular otra prueba distinta para demostrar un hecho del que depende su derecho a la pensión de viudedad; y asimismo impide al órgano judicial la valoración de esos posibles medios de prueba alternativos a los previstos legalmente.</w:t>
      </w:r>
    </w:p>
    <w:p w14:paraId="67EA1547" w14:textId="77777777" w:rsidR="00C04533" w:rsidRDefault="00C04533" w:rsidP="00C04533">
      <w:pPr>
        <w:pStyle w:val="TextoNormal"/>
      </w:pPr>
    </w:p>
    <w:p w14:paraId="75599A30" w14:textId="030578D6" w:rsidR="00C04533" w:rsidRDefault="00C04533" w:rsidP="00C04533">
      <w:pPr>
        <w:pStyle w:val="TextoNormal"/>
      </w:pPr>
      <w:r>
        <w:t>El fiscal general del Estado, en el trámite previsto en el art. 37.1 LOTC, se ha opuesto a la admisión de la presente cuestión de inconstitucionalidad, por entender que no se cumplen los requisitos procesales exigidos por el art. 35 LOTC en cuanto a la adecuada formulación de los juicios de aplicabilidad y relevancia, y asimismo por ser la cuestión notoriamente infundada.</w:t>
      </w:r>
    </w:p>
    <w:p w14:paraId="11FB2DB1" w14:textId="77777777" w:rsidR="00C04533" w:rsidRDefault="00C04533" w:rsidP="00C04533">
      <w:pPr>
        <w:pStyle w:val="TextoNormal"/>
      </w:pPr>
    </w:p>
    <w:p w14:paraId="572848C8" w14:textId="77777777" w:rsidR="00C04533" w:rsidRDefault="00C04533" w:rsidP="00C04533">
      <w:pPr>
        <w:pStyle w:val="TextoNormal"/>
      </w:pPr>
      <w:r w:rsidRPr="00C04533">
        <w:rPr>
          <w:rStyle w:val="NumeroAFNegritaCaracter"/>
        </w:rPr>
        <w:t>2</w:t>
      </w:r>
      <w:r>
        <w:t xml:space="preserve">. </w:t>
      </w:r>
      <w:r w:rsidRPr="00C04533">
        <w:rPr>
          <w:i/>
        </w:rPr>
        <w:t>Doctrina constitucional sobre los juicios de aplicabilidad y relevancia</w:t>
      </w:r>
    </w:p>
    <w:p w14:paraId="39B3BF86" w14:textId="77777777" w:rsidR="00C04533" w:rsidRDefault="00C04533" w:rsidP="00C04533">
      <w:pPr>
        <w:pStyle w:val="TextoNormal"/>
      </w:pPr>
    </w:p>
    <w:p w14:paraId="2B35D570" w14:textId="77777777" w:rsidR="00C04533" w:rsidRDefault="00C04533" w:rsidP="00C04533">
      <w:pPr>
        <w:pStyle w:val="TextoNormal"/>
      </w:pPr>
      <w:r>
        <w:t xml:space="preserve">El art. 37.1 LOTC permite a este tribunal rechazar </w:t>
      </w:r>
      <w:r w:rsidRPr="00C04533">
        <w:rPr>
          <w:i/>
        </w:rPr>
        <w:t>a limine</w:t>
      </w:r>
      <w:r>
        <w:t xml:space="preserve"> las cuestiones de inconstitucionalidad, mediante auto y sin otra audiencia que la del fiscal general del Estado, cuando faltaren las condiciones procesales o fuere notoriamente infundada la cuestión suscitada.</w:t>
      </w:r>
    </w:p>
    <w:p w14:paraId="6F3CFD52" w14:textId="77777777" w:rsidR="00C04533" w:rsidRDefault="00C04533" w:rsidP="00C04533">
      <w:pPr>
        <w:pStyle w:val="TextoNormal"/>
      </w:pPr>
    </w:p>
    <w:p w14:paraId="634DC20C" w14:textId="77777777" w:rsidR="00C04533" w:rsidRDefault="00C04533" w:rsidP="00C04533">
      <w:pPr>
        <w:pStyle w:val="TextoNormal"/>
      </w:pPr>
      <w:r>
        <w:t>Son condiciones procesales de la cuestión de inconstitucionalidad que los preceptos cuestionados resulten “aplicables al caso” (juicio de aplicabilidad) y que de su “validez dependa el fallo” (juicio de relevancia), tal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los arts. 162.1 a) CE y 32.1 LOTC (por todas, STC 126/2022, de 11 de octubre, FJ 2).</w:t>
      </w:r>
    </w:p>
    <w:p w14:paraId="3E0C6B43" w14:textId="77777777" w:rsidR="00C04533" w:rsidRDefault="00C04533" w:rsidP="00C04533">
      <w:pPr>
        <w:pStyle w:val="TextoNormal"/>
      </w:pPr>
    </w:p>
    <w:p w14:paraId="35D8D110" w14:textId="77777777" w:rsidR="00C04533" w:rsidRDefault="00C04533" w:rsidP="00C04533">
      <w:pPr>
        <w:pStyle w:val="TextoNormal"/>
      </w:pPr>
      <w:r>
        <w:t>Conforme a reiterada doctrina constitucional, recogida, entre otras resoluciones, en el ATC 154/2022, de 16 de noviembre, FJ 3, es competencia del órgano judicial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14:paraId="777C8369" w14:textId="77777777" w:rsidR="00C04533" w:rsidRDefault="00C04533" w:rsidP="00C04533">
      <w:pPr>
        <w:pStyle w:val="TextoNormal"/>
      </w:pPr>
    </w:p>
    <w:p w14:paraId="1D24966D" w14:textId="77777777" w:rsidR="00C04533" w:rsidRDefault="00C04533" w:rsidP="00C04533">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14:paraId="174C1D52" w14:textId="77777777" w:rsidR="00C04533" w:rsidRDefault="00C04533" w:rsidP="00C04533">
      <w:pPr>
        <w:pStyle w:val="TextoNormal"/>
      </w:pPr>
    </w:p>
    <w:p w14:paraId="6D6BE52F" w14:textId="16742C5E" w:rsidR="00C04533" w:rsidRDefault="00C04533" w:rsidP="00C04533">
      <w:pPr>
        <w:pStyle w:val="TextoNormal"/>
      </w:pPr>
      <w:r>
        <w:t xml:space="preserve">No es, en principio, como también se recordó en el citado ATC 154/2022, FJ 3, el Tribunal Constitucional el que ha de decidir las cuestiones de hecho o de legalidad ordinaria que se susciten en el proceso </w:t>
      </w:r>
      <w:r w:rsidRPr="00C04533">
        <w:rPr>
          <w:i/>
        </w:rPr>
        <w:t>a quo</w:t>
      </w:r>
      <w:r>
        <w:t xml:space="preserve"> y que puedan tener repercusión con la relevancia de la duda de constitucionalidad que eleva el juez promotor. Estas apreciaciones competen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14:paraId="299EA352" w14:textId="77777777" w:rsidR="00C04533" w:rsidRDefault="00C04533" w:rsidP="00C04533">
      <w:pPr>
        <w:pStyle w:val="TextoNormal"/>
      </w:pPr>
    </w:p>
    <w:p w14:paraId="3234E322" w14:textId="77777777" w:rsidR="00C04533" w:rsidRDefault="00C04533" w:rsidP="00C04533">
      <w:pPr>
        <w:pStyle w:val="TextoNormal"/>
      </w:pPr>
      <w:r w:rsidRPr="00C04533">
        <w:rPr>
          <w:rStyle w:val="NumeroAFNegritaCaracter"/>
        </w:rPr>
        <w:t>3</w:t>
      </w:r>
      <w:r>
        <w:t xml:space="preserve">. </w:t>
      </w:r>
      <w:r w:rsidRPr="00C04533">
        <w:rPr>
          <w:i/>
        </w:rPr>
        <w:t>Incumplimiento de los juicios de aplicabilidad y relevancia en la presente cuestión</w:t>
      </w:r>
    </w:p>
    <w:p w14:paraId="6D7D1BA9" w14:textId="77777777" w:rsidR="00C04533" w:rsidRDefault="00C04533" w:rsidP="00C04533">
      <w:pPr>
        <w:pStyle w:val="TextoNormal"/>
      </w:pPr>
    </w:p>
    <w:p w14:paraId="60A3F702" w14:textId="77777777" w:rsidR="00C04533" w:rsidRDefault="00C04533" w:rsidP="00C04533">
      <w:pPr>
        <w:pStyle w:val="TextoNormal"/>
      </w:pPr>
      <w:r>
        <w:t>En el presente caso, por las razones que expone el fiscal general del Estado, cabe apreciar que el auto de planteamiento de la cuestión no ha satisfecho debidamente los juicios de aplicabilidad y relevancia exigidos por los arts. 163 CE y 35 LOTC, lo que determina la inadmisibilidad de la cuestión de conformidad con el art. 37.1 LOTC.</w:t>
      </w:r>
    </w:p>
    <w:p w14:paraId="1C82485F" w14:textId="77777777" w:rsidR="00C04533" w:rsidRDefault="00C04533" w:rsidP="00C04533">
      <w:pPr>
        <w:pStyle w:val="TextoNormal"/>
      </w:pPr>
    </w:p>
    <w:p w14:paraId="2D83DF10" w14:textId="77777777" w:rsidR="00C04533" w:rsidRDefault="00C04533" w:rsidP="00C04533">
      <w:pPr>
        <w:pStyle w:val="TextoNormal"/>
      </w:pPr>
      <w:r>
        <w:t>En efecto, conviene advertir que, como resulta del relato de antecedentes, a doña M.A.D.G,. le fue denegada por el INSS la pensión de viudedad que había solicitado con motivo del fallecimiento el 22 de abril de 2021 de quien fue su marido, del que se encontraba judicialmente separada desde 1997 (sin fijación de pensión compensatoria), y con el que había reanudado la convivencia de hecho desde 2001, tras una reconciliación tácita, no comunicada al juzgado que acordó la separación matrimonial. Como señala el fiscal, el efecto propio de la sentencia de separación es la suspensión de la vida en común, no la ruptura del vínculo matrimonial (lo que impide volver a contraer matrimonio mientras se mantenga esa situación). Por tanto, los cónyuges separados judicialmente no dejan de ser cónyuges legítimos, de suerte que, en caso de reanudar su convivencia y comunicar este hecho al juzgado, no se altera en absoluto su condición de cónyuges: lo que se altera es que su situación de convivencia pasa a tener efectos frente a terceros [art. 84 del Código civil (CC)]. Por el contrario, la reanudación tácita de la convivencia, esto es, no comunicada al juzgado, no despliega esos efectos.</w:t>
      </w:r>
    </w:p>
    <w:p w14:paraId="2B791AE0" w14:textId="77777777" w:rsidR="00C04533" w:rsidRDefault="00C04533" w:rsidP="00C04533">
      <w:pPr>
        <w:pStyle w:val="TextoNormal"/>
      </w:pPr>
    </w:p>
    <w:p w14:paraId="0F6E0DCA" w14:textId="77777777" w:rsidR="00C04533" w:rsidRDefault="00C04533" w:rsidP="00C04533">
      <w:pPr>
        <w:pStyle w:val="TextoNormal"/>
      </w:pPr>
      <w:r>
        <w:t>Precisamente por subsistir el vínculo matrimonial en el momento del fallecimiento del causante, el INSS no aplicó a la solicitud de pensión de viudedad de doña M.A.D.G., lo dispuesto para las parejas de hecho en el art. 221 TRLGSS, sino lo previsto en la disposición transitoria decimotercera TRLGSS, norma transitoria sobre pensión de viudedad en supuestos de separación judicial o divorcio anteriores al 1 de enero de 2008, transcrita en los antecedentes del presente auto, lo que determinó la denegación de la prestación, por no acreditar la solicitante el cumplimiento de los requisitos establecidos en dicha disposición.</w:t>
      </w:r>
    </w:p>
    <w:p w14:paraId="6A61992E" w14:textId="77777777" w:rsidR="00C04533" w:rsidRDefault="00C04533" w:rsidP="00C04533">
      <w:pPr>
        <w:pStyle w:val="TextoNormal"/>
      </w:pPr>
    </w:p>
    <w:p w14:paraId="36B94BD4" w14:textId="77777777" w:rsidR="00C04533" w:rsidRDefault="00C04533" w:rsidP="00C04533">
      <w:pPr>
        <w:pStyle w:val="TextoNormal"/>
      </w:pPr>
      <w:r>
        <w:t xml:space="preserve">Para justificar que es el cuestionado párrafo segundo del art. 221.2 TRLGSS, referido al acceso a la pensión de viudedad en el supuesto de las parejas de hecho, y no la disposición transitoria decimotercera TRLGSS, referida al acceso a la pensión de viudedad en supuestos de separación judicial o divorcio anteriores al 1 de enero de 2008 (los posteriores se rigen por lo previsto en el art. 220 TRLGSS), el precepto aplicable al caso y de cuya validez depende el fallo a dictar en el pleito </w:t>
      </w:r>
      <w:r w:rsidRPr="00C04533">
        <w:rPr>
          <w:i/>
        </w:rPr>
        <w:t>a quo</w:t>
      </w:r>
      <w:r>
        <w:t xml:space="preserve">, el tribunal promotor de la cuestión se limita a afirmar que “coincide con el criterio del Juzgado de lo Social” según el cual resulta aplicable el art. 221 TRLGSS, “puesto que si existe la situación convivencial </w:t>
      </w:r>
      <w:r w:rsidRPr="00C04533">
        <w:rPr>
          <w:i/>
        </w:rPr>
        <w:t>more uxorio</w:t>
      </w:r>
      <w:r>
        <w:t xml:space="preserve"> y la misma no se entiende amparada en la existencia del vínculo matrimonial debido a la sentencia judicial de separación, que no queda sin efecto por la reconciliación no comunicada, entonces no puede serle dispensado un peor trato que si no hubiera existido nunca el matrimonio y nos encontrásemos ante una pura pareja de hecho. Ahora bien, en tal caso se eleva como impedimento al reconocimiento de la pensión la falta de registro o documento público constitutivo de la pareja de hecho y por ello la cuestión prejudicial que aquí se plantea deviene relevante y decisiva para la resolución del caso”.</w:t>
      </w:r>
    </w:p>
    <w:p w14:paraId="51281DF3" w14:textId="77777777" w:rsidR="00C04533" w:rsidRDefault="00C04533" w:rsidP="00C04533">
      <w:pPr>
        <w:pStyle w:val="TextoNormal"/>
      </w:pPr>
    </w:p>
    <w:p w14:paraId="165DE6AD" w14:textId="10CC3A2A" w:rsidR="00C04533" w:rsidRDefault="00C04533" w:rsidP="00C04533">
      <w:pPr>
        <w:pStyle w:val="TextoNormal"/>
      </w:pPr>
      <w:r>
        <w:t>Tal razonamiento no justifica que el precepto cuestionado resulte aplicable al caso (juicio de aplicabilidad) y, por consiguiente, que de su validez dependa el fallo (juicio de relevancia), tal como exigen los arts. 163 CE y 35 LOTC. Como señala el fiscal, el órgano judicial parte de la premisa errónea de identificar convivencia matrimonial con vínculo matrimonial, cuando es notorio que la separación judicial determina la suspensión de la vida en común de los casados (art. 83 CC), no la ruptura del vínculo matrimonial. La reconciliación tácita de los cónyuges separados, reanudando la convivencia, no altera la situación de partida, de suerte que resulta indiscutible que doña M.A.D.G., y su marido han sido cónyuges hasta la fecha del fallecimiento de este, lo que excluye que puedan ser considerados como pareja de hecho, a efectos de acceder a la pensión de viudedad de parejas de hecho, regulada en el art. 221 TRLGSS. Doña M.A.D.G., no se encontraba unida al causante en el momento del fallecimiento como pareja de hecho (entendiéndose por tal, como señala el primer párrafo del art. 221.2 TRLGSS, “la constituida, con análoga relación de afectividad a la conyugal, por quienes, no hallándose impedidos para contraer matrimonio, no tengan vínculo matrimonial […] ni constituida pareja de hecho”), sino mediante vínculo matrimonial, lo que impide contraer matrimonio o constituir pareja de hecho con otra persona, no justificándose razonablemente en el auto de planteamiento de la cuestión que a su situación pueda resultarle aplicable lo dispuesto en el art. 221 TRLGSS, referido a las parejas de hecho.</w:t>
      </w:r>
    </w:p>
    <w:p w14:paraId="0386A497" w14:textId="77777777" w:rsidR="00C04533" w:rsidRDefault="00C04533" w:rsidP="00C04533">
      <w:pPr>
        <w:pStyle w:val="TextoNormal"/>
      </w:pPr>
    </w:p>
    <w:p w14:paraId="75B1251C" w14:textId="77777777" w:rsidR="00C04533" w:rsidRDefault="00C04533" w:rsidP="00C04533">
      <w:pPr>
        <w:pStyle w:val="TextoNormal"/>
      </w:pPr>
      <w:r>
        <w:t>Por lo expuesto, el Pleno</w:t>
      </w:r>
    </w:p>
    <w:p w14:paraId="3AF8B028" w14:textId="718AD242" w:rsidR="00C04533" w:rsidRDefault="00C04533" w:rsidP="00C04533">
      <w:pPr>
        <w:pStyle w:val="TextoNormal"/>
      </w:pPr>
    </w:p>
    <w:p w14:paraId="302A753B" w14:textId="77777777" w:rsidR="00C04533" w:rsidRDefault="00C04533" w:rsidP="00C04533">
      <w:pPr>
        <w:pStyle w:val="TextoNormalCentrado"/>
      </w:pPr>
      <w:r>
        <w:t>ACUERDA</w:t>
      </w:r>
    </w:p>
    <w:p w14:paraId="7F28C2E6" w14:textId="59C9DCDA" w:rsidR="00C04533" w:rsidRDefault="00C04533" w:rsidP="00C04533">
      <w:pPr>
        <w:pStyle w:val="TextoNormalCentrado"/>
      </w:pPr>
    </w:p>
    <w:p w14:paraId="774452B5" w14:textId="1325D91A" w:rsidR="00C04533" w:rsidRDefault="00C04533" w:rsidP="00C04533">
      <w:pPr>
        <w:pStyle w:val="TextoNormal"/>
      </w:pPr>
      <w:r>
        <w:t>Inadmitir a trámite la presente cuestión de inconstitucionalidad.</w:t>
      </w:r>
    </w:p>
    <w:p w14:paraId="4740CD94" w14:textId="77777777" w:rsidR="00C04533" w:rsidRDefault="00C04533" w:rsidP="00C04533">
      <w:pPr>
        <w:pStyle w:val="TextoNormal"/>
      </w:pPr>
    </w:p>
    <w:p w14:paraId="0476943C" w14:textId="77777777" w:rsidR="00C04533" w:rsidRDefault="00C04533" w:rsidP="00C04533">
      <w:pPr>
        <w:pStyle w:val="TextoNormal"/>
      </w:pPr>
      <w:r>
        <w:t>Madrid, a veintidós de octubre de dos mil veinticuatro.</w:t>
      </w:r>
    </w:p>
    <w:p w14:paraId="23F000D8" w14:textId="495D1DEF" w:rsidR="00C04533" w:rsidRDefault="00C04533">
      <w:pPr>
        <w:spacing w:after="160" w:line="278" w:lineRule="auto"/>
        <w:rPr>
          <w:rFonts w:ascii="Times New Roman" w:eastAsia="Times New Roman" w:hAnsi="Times New Roman" w:cs="Times New Roman"/>
          <w:sz w:val="24"/>
          <w:szCs w:val="24"/>
          <w:lang w:eastAsia="es-ES"/>
        </w:rPr>
      </w:pPr>
      <w:r>
        <w:br w:type="page"/>
      </w:r>
    </w:p>
    <w:p w14:paraId="2D2BC5C5" w14:textId="77777777" w:rsidR="00C04533" w:rsidRDefault="00C04533" w:rsidP="00C04533">
      <w:pPr>
        <w:pStyle w:val="TtuloResolucin"/>
      </w:pPr>
      <w:bookmarkStart w:id="109" w:name="AUTO_2024_103"/>
      <w:r>
        <w:t>AUTO 103/2024, de 22 de octubre de 2024</w:t>
      </w:r>
    </w:p>
    <w:bookmarkEnd w:id="109"/>
    <w:p w14:paraId="3BE87EF3" w14:textId="77777777" w:rsidR="00C04533" w:rsidRDefault="00C04533" w:rsidP="00C04533">
      <w:pPr>
        <w:pStyle w:val="TtuloResolucin"/>
      </w:pPr>
      <w:r>
        <w:t>Pleno</w:t>
      </w:r>
    </w:p>
    <w:p w14:paraId="41BA0CC3" w14:textId="77777777" w:rsidR="00C04533" w:rsidRDefault="00C04533" w:rsidP="00C04533">
      <w:pPr>
        <w:pStyle w:val="TtuloBOE"/>
      </w:pPr>
      <w:r>
        <w:t>(BOE núm. 286, de 27 de noviembre de 2024)</w:t>
      </w:r>
    </w:p>
    <w:p w14:paraId="41284C18" w14:textId="77777777" w:rsidR="00C04533" w:rsidRDefault="00C04533" w:rsidP="00C04533">
      <w:pPr>
        <w:pStyle w:val="TextoNormalCentrado"/>
      </w:pPr>
      <w:r>
        <w:t>ECLI:ES:TC:2024:103A</w:t>
      </w:r>
    </w:p>
    <w:p w14:paraId="226F765C" w14:textId="291C63AA" w:rsidR="00C04533" w:rsidRDefault="00C04533" w:rsidP="00C04533">
      <w:pPr>
        <w:pStyle w:val="TextoNormalCentrado"/>
      </w:pPr>
    </w:p>
    <w:p w14:paraId="6EB4E8E5"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046D97FE" w14:textId="12A212B8" w:rsidR="00C04533" w:rsidRDefault="00C04533" w:rsidP="00C04533">
      <w:pPr>
        <w:pStyle w:val="SntesisDescriptiva"/>
      </w:pPr>
    </w:p>
    <w:p w14:paraId="42F0A6B9" w14:textId="77777777" w:rsidR="00C04533" w:rsidRDefault="00C04533" w:rsidP="00C04533">
      <w:pPr>
        <w:pStyle w:val="SntesisDescriptiva"/>
      </w:pPr>
      <w:r>
        <w:t>Inadmite a trámite la cuestión prejudicial de validez 2279-2024, planteada por el Juzgado de lo Contencioso-Administrativo núm. 3 de Donostia-San Sebastián en relación con el artículo 4.1 de la Norma Foral del territorio histórico de Gipuzkoa 16/1989, de 5 de julio, del impuesto sobre el incremento del valor de los terrenos de naturaleza urbana.</w:t>
      </w:r>
    </w:p>
    <w:p w14:paraId="7FA42474" w14:textId="372FE1A7" w:rsidR="00C04533" w:rsidRDefault="00C04533" w:rsidP="00C04533">
      <w:pPr>
        <w:pStyle w:val="SntesisDescriptiva"/>
      </w:pPr>
    </w:p>
    <w:p w14:paraId="12DC1280" w14:textId="77777777" w:rsidR="00C04533" w:rsidRDefault="00C04533" w:rsidP="00C04533">
      <w:pPr>
        <w:pStyle w:val="SntesisDescriptiva"/>
      </w:pPr>
    </w:p>
    <w:p w14:paraId="66ABAE37" w14:textId="77777777" w:rsidR="00C04533" w:rsidRDefault="00C04533" w:rsidP="00C04533">
      <w:pPr>
        <w:pStyle w:val="SntesisDescriptiva"/>
      </w:pPr>
    </w:p>
    <w:p w14:paraId="7FB20EE9" w14:textId="77777777" w:rsidR="00C04533" w:rsidRDefault="00C04533" w:rsidP="00C04533">
      <w:pPr>
        <w:pStyle w:val="TextoNormalNegritaCentrado"/>
      </w:pPr>
      <w:r>
        <w:t>AUTO</w:t>
      </w:r>
    </w:p>
    <w:p w14:paraId="4117EC51" w14:textId="4DD1ABA1" w:rsidR="00C04533" w:rsidRDefault="00C04533" w:rsidP="00C04533">
      <w:pPr>
        <w:pStyle w:val="TextoNormalNegritaCentrado"/>
      </w:pPr>
    </w:p>
    <w:p w14:paraId="271E534B" w14:textId="77777777" w:rsidR="00C04533" w:rsidRDefault="00C04533" w:rsidP="00C04533">
      <w:pPr>
        <w:pStyle w:val="TextoNormalNegritaCentrado"/>
        <w:keepNext/>
      </w:pPr>
      <w:r>
        <w:t>I. Antecedentes</w:t>
      </w:r>
    </w:p>
    <w:p w14:paraId="126021C0" w14:textId="0CFB7E06" w:rsidR="00C04533" w:rsidRDefault="00C04533" w:rsidP="00C04533">
      <w:pPr>
        <w:pStyle w:val="TextoNormalNegritaCentrado"/>
        <w:keepNext/>
      </w:pPr>
    </w:p>
    <w:p w14:paraId="0BF22EF9" w14:textId="038DAE02" w:rsidR="00C04533" w:rsidRDefault="00C04533" w:rsidP="00C04533">
      <w:pPr>
        <w:pStyle w:val="TextoNormal"/>
      </w:pPr>
      <w:r w:rsidRPr="00C04533">
        <w:rPr>
          <w:rStyle w:val="NumeroAFNegritaCaracter"/>
        </w:rPr>
        <w:t>1</w:t>
      </w:r>
      <w:r>
        <w:t>. Con fecha 3 de abril de 2024 tuvo entrada en el registro general del Tribunal Constitucional un oficio del Juzgado de lo Contencioso-Administrativo núm. 3 de Donostia-San Sebastián, remitiendo testimonio del auto de 19 de marzo de 2024, dictado en el procedimiento abreviado núm. 166-2022, en el que el juzgado acordaba plantear “cuestión de inconstitucionalidad” (</w:t>
      </w:r>
      <w:r w:rsidRPr="00C04533">
        <w:rPr>
          <w:i/>
        </w:rPr>
        <w:t>sic</w:t>
      </w:r>
      <w:r>
        <w:t>) en relación con el art. 4.1, párrafo segundo, 4.2 a) y 4.3 de la Norma Foral del territorio histórico de Gipuzkoa 16/1989, de 5 de julio, del impuesto sobre el incremento del valor de los terrenos de naturaleza urbana (en adelante, Norma Foral 16/1989), en su regulación anterior a la modificación efectuada por el Decreto Foral-Norma 7/2021, de 16 de noviembre, “de adaptación de la Norma Foral 16/1989, […] a la jurisprudencia del Tribunal Constitucional”, por contravenir el principio de capacidad económica del art. 31.1 CE. Junto con el testimonio del auto se remitió también copia testimoniada de las actuaciones judiciales y del expediente administrativo.</w:t>
      </w:r>
    </w:p>
    <w:p w14:paraId="10287598" w14:textId="77777777" w:rsidR="00C04533" w:rsidRDefault="00C04533" w:rsidP="00C04533">
      <w:pPr>
        <w:pStyle w:val="TextoNormal"/>
      </w:pPr>
    </w:p>
    <w:p w14:paraId="0FE903E8" w14:textId="77777777" w:rsidR="00C04533" w:rsidRDefault="00C04533" w:rsidP="00C04533">
      <w:pPr>
        <w:pStyle w:val="TextoNormal"/>
      </w:pPr>
      <w:r w:rsidRPr="00C04533">
        <w:rPr>
          <w:rStyle w:val="NumeroAFNegritaCaracter"/>
        </w:rPr>
        <w:t>2</w:t>
      </w:r>
      <w:r>
        <w:t>. Los hechos de los que trae causa la cuestión prejudicial de validez planteada son, en síntesis, los siguientes:</w:t>
      </w:r>
    </w:p>
    <w:p w14:paraId="4895C1A6" w14:textId="77777777" w:rsidR="00C04533" w:rsidRDefault="00C04533" w:rsidP="00C04533">
      <w:pPr>
        <w:pStyle w:val="TextoNormal"/>
      </w:pPr>
    </w:p>
    <w:p w14:paraId="14226E09" w14:textId="77777777" w:rsidR="00C04533" w:rsidRDefault="00C04533" w:rsidP="00C04533">
      <w:pPr>
        <w:pStyle w:val="TextoNormal"/>
      </w:pPr>
      <w:r>
        <w:t>a) Don I.I.B., doña M.I.B., y don J.M.I.B., interpusieron recurso contencioso administrativo contra las liquidaciones del impuesto sobre el incremento del valor de los terrenos de naturaleza urbana (IIVTNU) giradas el 4 de octubre de 2021 por el Ayuntamiento de Azkoitia, como consecuencia de la adquisición, con fecha de 5 de marzo de 2018, por título de herencia, de distintas propiedades urbanas; y contra las resoluciones de los recursos de reposición interpuestos contra esas liquidaciones.</w:t>
      </w:r>
    </w:p>
    <w:p w14:paraId="534F93C7" w14:textId="77777777" w:rsidR="00C04533" w:rsidRDefault="00C04533" w:rsidP="00C04533">
      <w:pPr>
        <w:pStyle w:val="TextoNormal"/>
      </w:pPr>
    </w:p>
    <w:p w14:paraId="622FCEFD" w14:textId="77777777" w:rsidR="00C04533" w:rsidRDefault="00C04533" w:rsidP="00C04533">
      <w:pPr>
        <w:pStyle w:val="TextoNormal"/>
      </w:pPr>
      <w:r>
        <w:t>b) En la demanda contencioso administrativa los recurrentes alegaron que los preceptos forales aplicados eran inconstitucionales por los motivos expuestos en la STC 182/2021, de 26 de octubre, que declaró inconstitucional y nulo el art. 107.1, párrafo segundo, 107.2 a) y 107.4 del Real Decreto Legislativo 2/2004, de 5 de marzo, por el que se aprueba el texto refundido de la Ley reguladora de las haciendas locales (TRLHL). El Ayuntamiento de Azkoitia solicitó la desestimación del recurso argumentando que los preceptos de la Norma Foral 16/1989 no estaban afectados por la citada STC 182/2021.</w:t>
      </w:r>
    </w:p>
    <w:p w14:paraId="1A02EE3C" w14:textId="77777777" w:rsidR="00C04533" w:rsidRDefault="00C04533" w:rsidP="00C04533">
      <w:pPr>
        <w:pStyle w:val="TextoNormal"/>
      </w:pPr>
    </w:p>
    <w:p w14:paraId="357C5D9E" w14:textId="77777777" w:rsidR="00C04533" w:rsidRDefault="00C04533" w:rsidP="00C04533">
      <w:pPr>
        <w:pStyle w:val="TextoNormal"/>
      </w:pPr>
      <w:r>
        <w:t>c) Una vez concluso el procedimiento, el juzgado dictó providencia de 10 de noviembre de 2022 dando traslado a las partes personadas y al Ministerio Fiscal sobre el posible planteamiento de “cuestión de inconstitucionalidad (</w:t>
      </w:r>
      <w:r w:rsidRPr="00C04533">
        <w:rPr>
          <w:i/>
        </w:rPr>
        <w:t>sic</w:t>
      </w:r>
      <w:r>
        <w:t>) del art. 4 de la Norma Foral 16/1989, de 5 de julio, reguladora del impuesto sobre el incremento del valor de los terrenos de naturaleza urbana, en su redacción anterior al 17 de noviembre de 2021, por concurrir motivos análogos por los que se declaró la inconstitucionalidad de los arts. 107.1, párrafo segundo, 107.2 a) y 107.4 del Real Decreto Legislativo 2/2004, de 5 de marzo, por el que se aprueba el texto refundido de la Ley reguladora de las haciendas locales, en virtud de la STC 182/2021, de 26 de octubre”.</w:t>
      </w:r>
    </w:p>
    <w:p w14:paraId="11B693BF" w14:textId="77777777" w:rsidR="00C04533" w:rsidRDefault="00C04533" w:rsidP="00C04533">
      <w:pPr>
        <w:pStyle w:val="TextoNormal"/>
      </w:pPr>
    </w:p>
    <w:p w14:paraId="6D2691F7" w14:textId="77777777" w:rsidR="00C04533" w:rsidRDefault="00C04533" w:rsidP="00C04533">
      <w:pPr>
        <w:pStyle w:val="TextoNormal"/>
      </w:pPr>
      <w:r>
        <w:t>d) Mediante escrito presentado el 23 de noviembre de 2022 la parte actora mostró su conformidad sobre la pertinencia del planteamiento de la cuestión, por concurrir las mismas razones de inconstitucionalidad que en la citada STC 182/2021. Por su parte, el fiscal manifestó, en escrito de 24 de noviembre de 2022, que no se oponía al planteamiento de la cuestión por considerar que concurrían todos los requisitos legalmente previstos.</w:t>
      </w:r>
    </w:p>
    <w:p w14:paraId="43C97681" w14:textId="77777777" w:rsidR="00C04533" w:rsidRDefault="00C04533" w:rsidP="00C04533">
      <w:pPr>
        <w:pStyle w:val="TextoNormal"/>
      </w:pPr>
    </w:p>
    <w:p w14:paraId="16D5501C" w14:textId="3DCF91DA" w:rsidR="00C04533" w:rsidRDefault="00C04533" w:rsidP="00C04533">
      <w:pPr>
        <w:pStyle w:val="TextoNormal"/>
      </w:pPr>
      <w:r>
        <w:t>En cambio, el Ayuntamiento de Azkoitia, en escrito de 28 de noviembre de 2022, afirmó que las liquidaciones no habían sido impugnadas a la fecha de dictarse la STC 182/2021, por lo que debía considerarse que la situación estaba consolidada y no cabía anular las liquidaciones.</w:t>
      </w:r>
    </w:p>
    <w:p w14:paraId="337D7C5F" w14:textId="77777777" w:rsidR="00C04533" w:rsidRDefault="00C04533" w:rsidP="00C04533">
      <w:pPr>
        <w:pStyle w:val="TextoNormal"/>
      </w:pPr>
    </w:p>
    <w:p w14:paraId="3D5706F1" w14:textId="77777777" w:rsidR="00C04533" w:rsidRDefault="00C04533" w:rsidP="00C04533">
      <w:pPr>
        <w:pStyle w:val="TextoNormal"/>
      </w:pPr>
      <w:r w:rsidRPr="00C04533">
        <w:rPr>
          <w:rStyle w:val="NumeroAFNegritaCaracter"/>
        </w:rPr>
        <w:t>3</w:t>
      </w:r>
      <w:r>
        <w:t>. Por auto de 19 de marzo de 2024 el juzgado acordó plantear “cuestión de inconstitucionalidad (</w:t>
      </w:r>
      <w:r w:rsidRPr="00C04533">
        <w:rPr>
          <w:i/>
        </w:rPr>
        <w:t>sic</w:t>
      </w:r>
      <w:r>
        <w:t>) en relación al art. 4.1, párrafo segundo, art. 4.2 a) y art. 4.3 de la Norma Foral 16/1989, de 5 de julio, del territorio histórico de Gipuzkoa, reguladora del impuesto [sobre el] incremento del valor de los terrenos de naturaleza urbana, por contravenir el principio de capacidad económica como criterio de imposición, artículo 31.1 de la Constitución Española, en la redacción vigente que se aplicó a las liquidaciones impugnadas en el procedimiento en la instancia”.</w:t>
      </w:r>
    </w:p>
    <w:p w14:paraId="202C6337" w14:textId="77777777" w:rsidR="00C04533" w:rsidRDefault="00C04533" w:rsidP="00C04533">
      <w:pPr>
        <w:pStyle w:val="TextoNormal"/>
      </w:pPr>
    </w:p>
    <w:p w14:paraId="53386208" w14:textId="77777777" w:rsidR="00C04533" w:rsidRDefault="00C04533" w:rsidP="00C04533">
      <w:pPr>
        <w:pStyle w:val="TextoNormal"/>
      </w:pPr>
      <w:r>
        <w:t>El auto de planteamiento identifica las liquidaciones objeto de recurso, giradas sobre el hecho imponible producido el 5 de marzo de 2018, argumentando la necesidad de plantear la cuestión prejudicial de validez. Remitiéndose al ATC 188/2023, de 18 de abril, expone su razonamiento concreto sobre la aplicabilidad del Decreto Foral-Norma 2/2017, de 28 de marzo, por el que se modifica el impuesto sobre el incremento del valor de los terrenos de naturaleza urbana, concluyendo que la derogación de este Decreto Foral-Norma 2/2017 por el nuevo Decreto Foral-Norma 7/2021, “carece de relevancia en el caso concreto enjuiciado” porque “no habiéndose establecido […] en este último su aplicación retroactiva, se aplica la regla general contenida en el art. 9.2 de la Norma Foral 2/2005, de 8 de marzo, general tributaria del territorio histórico de Gipuzkoa, que expresamente dispone que las normas tributarias no tendrán efecto retroactivo si no dispusieren lo contrario”.</w:t>
      </w:r>
    </w:p>
    <w:p w14:paraId="19D328C3" w14:textId="77777777" w:rsidR="00C04533" w:rsidRDefault="00C04533" w:rsidP="00C04533">
      <w:pPr>
        <w:pStyle w:val="TextoNormal"/>
      </w:pPr>
    </w:p>
    <w:p w14:paraId="0CDAC44E" w14:textId="07B7FDD9" w:rsidR="00C04533" w:rsidRDefault="00C04533" w:rsidP="00C04533">
      <w:pPr>
        <w:pStyle w:val="TextoNormal"/>
      </w:pPr>
      <w:r>
        <w:t>Añade, con nueva referencia al ATC 188/2023, que existió efectivamente incremento de valor de los terrenos porque las partes demandantes se mostraron conformes y aceptaron ese incremento de valor. Por consiguiente, habiéndose producido un incremento de valor, resulta “directamente aplicable al caso” el art. 4.1, párrafo segundo, el art. 4.2 a) y el art. 4.3 de la Norma Foral 16/1989 “en la redacción vigente que se aplicó en las liquidaciones impugnadas”, cuya constitucionalidad se cuestiona por identidad con el caso de la STC 182/2021 que reproduce por extenso. Hace lo propio con los arts. 107.1, párrafo segundo, 107.2 a) y 107.4 TRLHL, anulados en aquella sentencia, y con los preceptos de la Norma Foral 16/1989 respecto de los que plantea cuestión prejudicial.</w:t>
      </w:r>
    </w:p>
    <w:p w14:paraId="5C1422D7" w14:textId="77777777" w:rsidR="00C04533" w:rsidRDefault="00C04533" w:rsidP="00C04533">
      <w:pPr>
        <w:pStyle w:val="TextoNormal"/>
      </w:pPr>
    </w:p>
    <w:p w14:paraId="33C24048" w14:textId="42749729" w:rsidR="00C04533" w:rsidRDefault="00C04533" w:rsidP="00C04533">
      <w:pPr>
        <w:pStyle w:val="TextoNormal"/>
      </w:pPr>
      <w:r w:rsidRPr="00C04533">
        <w:rPr>
          <w:rStyle w:val="NumeroAFNegritaCaracter"/>
        </w:rPr>
        <w:t>4</w:t>
      </w:r>
      <w:r>
        <w:t>. Por providencia de 16 de julio de 2024, el Pleno del Tribunal Constitucional acordó, a los efectos que determina el art. 37.1 de la Ley Orgánica del Tribunal Constitucional (LOTC), oír al fiscal general del Estado para que en el plazo de diez días alegase lo que considerase conveniente en relación con la posible pérdida sobrevenida de objeto de la cuestión prejudicial de validez, a la vista de la STC 46/2024, de 12 de marzo.</w:t>
      </w:r>
    </w:p>
    <w:p w14:paraId="2E0DA45B" w14:textId="77777777" w:rsidR="00C04533" w:rsidRDefault="00C04533" w:rsidP="00C04533">
      <w:pPr>
        <w:pStyle w:val="TextoNormal"/>
      </w:pPr>
    </w:p>
    <w:p w14:paraId="7822C32E" w14:textId="6102207A" w:rsidR="00C04533" w:rsidRDefault="00C04533" w:rsidP="00C04533">
      <w:pPr>
        <w:pStyle w:val="TextoNormal"/>
      </w:pPr>
      <w:r w:rsidRPr="00C04533">
        <w:rPr>
          <w:rStyle w:val="NumeroAFNegritaCaracter"/>
        </w:rPr>
        <w:t>5</w:t>
      </w:r>
      <w:r>
        <w:t>. El fiscal general del Estado presentó sus alegaciones el 18 de septiembre de 2024. En ellas constata que los preceptos cuestionados han sido ya declarados inconstitucionales y nulos en la STC 46/2024, por lo que procede, de acuerdo con la doctrina constitucional que cita, declarar la pérdida sobrevenida de objeto de la cuestión prejudicial de validez.</w:t>
      </w:r>
    </w:p>
    <w:p w14:paraId="34C16224" w14:textId="77777777" w:rsidR="00C04533" w:rsidRDefault="00C04533" w:rsidP="00C04533">
      <w:pPr>
        <w:pStyle w:val="TextoNormal"/>
      </w:pPr>
    </w:p>
    <w:p w14:paraId="51C28452" w14:textId="77777777" w:rsidR="00C04533" w:rsidRDefault="00C04533" w:rsidP="00C04533">
      <w:pPr>
        <w:pStyle w:val="TextoNormalNegritaCentrado"/>
        <w:keepNext/>
      </w:pPr>
      <w:r>
        <w:t>II. Fundamentos jurídicos</w:t>
      </w:r>
    </w:p>
    <w:p w14:paraId="71E48731" w14:textId="672356B6" w:rsidR="00C04533" w:rsidRDefault="00C04533" w:rsidP="00C04533">
      <w:pPr>
        <w:pStyle w:val="TextoNormalNegritaCentrado"/>
        <w:keepNext/>
      </w:pPr>
    </w:p>
    <w:p w14:paraId="49EE9441" w14:textId="77777777" w:rsidR="00C04533" w:rsidRDefault="00C04533" w:rsidP="00C04533">
      <w:pPr>
        <w:pStyle w:val="TextoNormal"/>
      </w:pPr>
      <w:r w:rsidRPr="00C04533">
        <w:rPr>
          <w:rStyle w:val="NumeroAFNegritaCaracter"/>
        </w:rPr>
        <w:t>1</w:t>
      </w:r>
      <w:r>
        <w:t xml:space="preserve">. </w:t>
      </w:r>
      <w:r w:rsidRPr="00C04533">
        <w:rPr>
          <w:i/>
        </w:rPr>
        <w:t>Objeto de la cuestión prejudicial de validez</w:t>
      </w:r>
    </w:p>
    <w:p w14:paraId="67872BFE" w14:textId="77777777" w:rsidR="00C04533" w:rsidRDefault="00C04533" w:rsidP="00C04533">
      <w:pPr>
        <w:pStyle w:val="TextoNormal"/>
      </w:pPr>
    </w:p>
    <w:p w14:paraId="4528E934" w14:textId="77777777" w:rsidR="00C04533" w:rsidRDefault="00C04533" w:rsidP="00C04533">
      <w:pPr>
        <w:pStyle w:val="TextoNormal"/>
      </w:pPr>
      <w:r>
        <w:t>El Juzgado de lo Contencioso-Administrativo núm. 3 de Donostia-San Sebastián promueve, al amparo de la disposición adicional quinta, apartado primero, LOTC, cuestión prejudicial de validez en relación con el art. 4.1, párrafo segundo, 4.2 a) y 4.3 de la Norma Foral 16/1989, —en la redacción vigente con anterioridad a la modificación efectuada por el Decreto Foral-Norma 7/2021— que es la redacción aplicable por razones temporales al caso que debe resolver.</w:t>
      </w:r>
    </w:p>
    <w:p w14:paraId="58D6EB9B" w14:textId="77777777" w:rsidR="00C04533" w:rsidRDefault="00C04533" w:rsidP="00C04533">
      <w:pPr>
        <w:pStyle w:val="TextoNormal"/>
      </w:pPr>
    </w:p>
    <w:p w14:paraId="069F53A6" w14:textId="15F86CBC" w:rsidR="00C04533" w:rsidRDefault="00C04533" w:rsidP="00C04533">
      <w:pPr>
        <w:pStyle w:val="TextoNormal"/>
      </w:pPr>
      <w:r>
        <w:t>Para el órgano promotor, los citados preceptos pueden ser contrarios al principio de capacidad económica como criterio de imposición garantizado por el art. 31.1 CE, tal como fue interpretado este principio por la STC 182/2021, en relación con la regulación del IIVTNU contenida en el TRLHL.</w:t>
      </w:r>
    </w:p>
    <w:p w14:paraId="478439FA" w14:textId="77777777" w:rsidR="00C04533" w:rsidRDefault="00C04533" w:rsidP="00C04533">
      <w:pPr>
        <w:pStyle w:val="TextoNormal"/>
      </w:pPr>
    </w:p>
    <w:p w14:paraId="3E3D563E" w14:textId="77777777" w:rsidR="00C04533" w:rsidRDefault="00C04533" w:rsidP="00C04533">
      <w:pPr>
        <w:pStyle w:val="TextoNormal"/>
      </w:pPr>
      <w:r w:rsidRPr="00C04533">
        <w:rPr>
          <w:rStyle w:val="NumeroAFNegritaCaracter"/>
        </w:rPr>
        <w:t>2</w:t>
      </w:r>
      <w:r>
        <w:t xml:space="preserve">. </w:t>
      </w:r>
      <w:r w:rsidRPr="00C04533">
        <w:rPr>
          <w:i/>
        </w:rPr>
        <w:t>Pérdida de objeto</w:t>
      </w:r>
    </w:p>
    <w:p w14:paraId="0C525964" w14:textId="77777777" w:rsidR="00C04533" w:rsidRDefault="00C04533" w:rsidP="00C04533">
      <w:pPr>
        <w:pStyle w:val="TextoNormal"/>
      </w:pPr>
    </w:p>
    <w:p w14:paraId="43355368" w14:textId="20277D88" w:rsidR="00C04533" w:rsidRDefault="00C04533" w:rsidP="00C04533">
      <w:pPr>
        <w:pStyle w:val="TextoNormal"/>
      </w:pPr>
      <w:r>
        <w:t>La STC 46/2024, ha declarado inconstitucionales y nulos los preceptos cuestionados por el órgano judicial —en la misma redacción temporalmente aplicable al caso— con la limitación de efectos señalada en su fundamento jurídico 4. Una limitación de efectos que no alcanza al proceso en curso, ya que las liquidaciones recurridas ante el juzgado promotor de la cuestión lo fueron antes de la fecha de la citada STC 46/2024. Esto determina, según doctrina reiterada de este tribunal (AATC 101/2017, de 4 de julio, y 36/2023, de 7 de febrero, entre otros), la inadmisión por pérdida sobrevenida de objeto de la presente cuestión prejudicial de validez.</w:t>
      </w:r>
    </w:p>
    <w:p w14:paraId="08BA15AC" w14:textId="77777777" w:rsidR="00C04533" w:rsidRDefault="00C04533" w:rsidP="00C04533">
      <w:pPr>
        <w:pStyle w:val="TextoNormal"/>
      </w:pPr>
    </w:p>
    <w:p w14:paraId="4DEFBCFC" w14:textId="77777777" w:rsidR="00C04533" w:rsidRDefault="00C04533" w:rsidP="00C04533">
      <w:pPr>
        <w:pStyle w:val="TextoNormal"/>
      </w:pPr>
      <w:r>
        <w:t>Por lo expuesto, el Pleno</w:t>
      </w:r>
    </w:p>
    <w:p w14:paraId="1718C5E2" w14:textId="2C6C3310" w:rsidR="00C04533" w:rsidRDefault="00C04533" w:rsidP="00C04533">
      <w:pPr>
        <w:pStyle w:val="TextoNormal"/>
      </w:pPr>
    </w:p>
    <w:p w14:paraId="219567AF" w14:textId="77777777" w:rsidR="00C04533" w:rsidRDefault="00C04533" w:rsidP="00C04533">
      <w:pPr>
        <w:pStyle w:val="TextoNormalCentrado"/>
      </w:pPr>
      <w:r>
        <w:t>ACUERDA</w:t>
      </w:r>
    </w:p>
    <w:p w14:paraId="3356330D" w14:textId="0CF156A3" w:rsidR="00C04533" w:rsidRDefault="00C04533" w:rsidP="00C04533">
      <w:pPr>
        <w:pStyle w:val="TextoNormalCentrado"/>
      </w:pPr>
    </w:p>
    <w:p w14:paraId="0667A85B" w14:textId="51B26188" w:rsidR="00C04533" w:rsidRDefault="00C04533" w:rsidP="00C04533">
      <w:pPr>
        <w:pStyle w:val="TextoNormal"/>
      </w:pPr>
      <w:r>
        <w:t>Inadmitir a trámite la presente cuestión prejudicial de validez por pérdida sobrevenida de objeto.</w:t>
      </w:r>
    </w:p>
    <w:p w14:paraId="1AE37712" w14:textId="77777777" w:rsidR="00C04533" w:rsidRDefault="00C04533" w:rsidP="00C04533">
      <w:pPr>
        <w:pStyle w:val="TextoNormal"/>
      </w:pPr>
    </w:p>
    <w:p w14:paraId="177899CE" w14:textId="77777777" w:rsidR="00C04533" w:rsidRDefault="00C04533" w:rsidP="00C04533">
      <w:pPr>
        <w:pStyle w:val="TextoNormal"/>
      </w:pPr>
      <w:r>
        <w:t>Madrid, a veintidós de octubre de dos mil veinticuatro.</w:t>
      </w:r>
    </w:p>
    <w:p w14:paraId="1220B880" w14:textId="0C52C897" w:rsidR="00C04533" w:rsidRDefault="00C04533">
      <w:pPr>
        <w:spacing w:after="160" w:line="278" w:lineRule="auto"/>
        <w:rPr>
          <w:rFonts w:ascii="Times New Roman" w:eastAsia="Times New Roman" w:hAnsi="Times New Roman" w:cs="Times New Roman"/>
          <w:sz w:val="24"/>
          <w:szCs w:val="24"/>
          <w:lang w:eastAsia="es-ES"/>
        </w:rPr>
      </w:pPr>
      <w:r>
        <w:br w:type="page"/>
      </w:r>
    </w:p>
    <w:p w14:paraId="39454506" w14:textId="77777777" w:rsidR="00C04533" w:rsidRDefault="00C04533" w:rsidP="00C04533">
      <w:pPr>
        <w:pStyle w:val="TtuloResolucin"/>
      </w:pPr>
      <w:bookmarkStart w:id="110" w:name="AUTO_2024_104"/>
      <w:r>
        <w:t>AUTO 104/2024, de 22 de octubre de 2024</w:t>
      </w:r>
    </w:p>
    <w:bookmarkEnd w:id="110"/>
    <w:p w14:paraId="180E4CEC" w14:textId="77777777" w:rsidR="00C04533" w:rsidRDefault="00C04533" w:rsidP="00C04533">
      <w:pPr>
        <w:pStyle w:val="TtuloResolucin"/>
      </w:pPr>
      <w:r>
        <w:t>Pleno</w:t>
      </w:r>
    </w:p>
    <w:p w14:paraId="683A3338" w14:textId="77777777" w:rsidR="00C04533" w:rsidRDefault="00C04533" w:rsidP="00C04533">
      <w:pPr>
        <w:pStyle w:val="TextoNormalCentrado"/>
      </w:pPr>
      <w:r>
        <w:t>ECLI:ES:TC:2024:104A</w:t>
      </w:r>
    </w:p>
    <w:p w14:paraId="449A5474" w14:textId="6FA6ACA5" w:rsidR="00C04533" w:rsidRDefault="00C04533" w:rsidP="00C04533">
      <w:pPr>
        <w:pStyle w:val="TextoNormalCentrado"/>
      </w:pPr>
    </w:p>
    <w:p w14:paraId="70D501A4"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70429696" w14:textId="70D685B9" w:rsidR="00C04533" w:rsidRDefault="00C04533" w:rsidP="00C04533">
      <w:pPr>
        <w:pStyle w:val="SntesisDescriptiva"/>
      </w:pPr>
    </w:p>
    <w:p w14:paraId="3494E79C" w14:textId="77777777" w:rsidR="00C04533" w:rsidRDefault="00C04533" w:rsidP="00C04533">
      <w:pPr>
        <w:pStyle w:val="SntesisDescriptiva"/>
      </w:pPr>
      <w:r>
        <w:t>Deniega la suspensión en el recurso de amparo 4403-2024, promovido por don Alejandro Fernández Álvarez y otros catorce diputados del Parlamento de Cataluña en procedimiento parlamentario.</w:t>
      </w:r>
    </w:p>
    <w:p w14:paraId="3C6EA98B" w14:textId="7C6B1F18" w:rsidR="00C04533" w:rsidRDefault="00C04533" w:rsidP="00C04533">
      <w:pPr>
        <w:pStyle w:val="SntesisDescriptiva"/>
      </w:pPr>
    </w:p>
    <w:p w14:paraId="6911DBFC" w14:textId="77777777" w:rsidR="00C04533" w:rsidRDefault="00C04533" w:rsidP="00C04533">
      <w:pPr>
        <w:pStyle w:val="SntesisDescriptiva"/>
      </w:pPr>
    </w:p>
    <w:p w14:paraId="13275C24" w14:textId="77777777" w:rsidR="00C04533" w:rsidRDefault="00C04533" w:rsidP="00C04533">
      <w:pPr>
        <w:pStyle w:val="SntesisDescriptiva"/>
      </w:pPr>
    </w:p>
    <w:p w14:paraId="09B88C12" w14:textId="77777777" w:rsidR="00C04533" w:rsidRDefault="00C04533" w:rsidP="00C04533">
      <w:pPr>
        <w:pStyle w:val="TextoNormalNegritaCentrado"/>
      </w:pPr>
      <w:r>
        <w:t>AUTO</w:t>
      </w:r>
    </w:p>
    <w:p w14:paraId="45EFE93B" w14:textId="1FD356E0" w:rsidR="00C04533" w:rsidRDefault="00C04533" w:rsidP="00C04533">
      <w:pPr>
        <w:pStyle w:val="TextoNormalNegritaCentrado"/>
      </w:pPr>
    </w:p>
    <w:p w14:paraId="5F634288" w14:textId="77777777" w:rsidR="00C04533" w:rsidRDefault="00C04533" w:rsidP="00C04533">
      <w:pPr>
        <w:pStyle w:val="TextoNormalNegritaCentrado"/>
        <w:keepNext/>
      </w:pPr>
      <w:r>
        <w:t>I. Antecedentes</w:t>
      </w:r>
    </w:p>
    <w:p w14:paraId="34245310" w14:textId="70935651" w:rsidR="00C04533" w:rsidRDefault="00C04533" w:rsidP="00C04533">
      <w:pPr>
        <w:pStyle w:val="TextoNormalNegritaCentrado"/>
        <w:keepNext/>
      </w:pPr>
    </w:p>
    <w:p w14:paraId="0688FED4" w14:textId="77777777" w:rsidR="00C04533" w:rsidRDefault="00C04533" w:rsidP="00C04533">
      <w:pPr>
        <w:pStyle w:val="TextoNormal"/>
      </w:pPr>
      <w:r w:rsidRPr="00C04533">
        <w:rPr>
          <w:rStyle w:val="NumeroAFNegritaCaracter"/>
        </w:rPr>
        <w:t>1</w:t>
      </w:r>
      <w:r>
        <w:t>. El 12 de junio de 2024 se registró el recurso de amparo interpuesto por el procurador don Manuel Sánchez Puelles, en nombre y representación de don Alejandro Fernández Álvarez, don Manuel Reyes López, doña María Ángeles Esteller Ruedas, doña Rosa del Amo Hernández, don Hugo Alberto Manchón García, don Juan Fernández Benítez, doña Eva García Rodríguez, doña Miriam Casanova Domenech, don Alberto Villagrasa Gil, don Cristian Escribano Ramírez, don Pau Ferrán Navarro, don Jaime Veray Cama, doña Montserrat Berenguer Messeguer, don Pedro Luis Huguet Tous y doña Lorena Roldán Suárez, todos ellos diputados miembros del Grupo Parlamentario Popular en el Parlamento de Cataluña, contra los siguientes actos y acuerdos parlamentarios:</w:t>
      </w:r>
    </w:p>
    <w:p w14:paraId="5D6E7F73" w14:textId="77777777" w:rsidR="00C04533" w:rsidRDefault="00C04533" w:rsidP="00C04533">
      <w:pPr>
        <w:pStyle w:val="TextoNormal"/>
      </w:pPr>
    </w:p>
    <w:p w14:paraId="52819ECF" w14:textId="77777777" w:rsidR="00C04533" w:rsidRDefault="00C04533" w:rsidP="00C04533">
      <w:pPr>
        <w:pStyle w:val="TextoNormal"/>
      </w:pPr>
      <w:r>
        <w:t>a) El acuerdo de la mesa de edad del Parlamento de Cataluña, de 10 de junio de 2024, por el que se decide aceptar la delegación del voto de los diputados don Carles Puigdemont i Casamajó y don Lluis Puig i Gordi en favor del diputado don Albert Batet i Canadell.</w:t>
      </w:r>
    </w:p>
    <w:p w14:paraId="57B74B7C" w14:textId="77777777" w:rsidR="00C04533" w:rsidRDefault="00C04533" w:rsidP="00C04533">
      <w:pPr>
        <w:pStyle w:val="TextoNormal"/>
      </w:pPr>
    </w:p>
    <w:p w14:paraId="6B8DF6A9" w14:textId="77777777" w:rsidR="00C04533" w:rsidRDefault="00C04533" w:rsidP="00C04533">
      <w:pPr>
        <w:pStyle w:val="TextoNormal"/>
      </w:pPr>
      <w:r>
        <w:t>b) El acuerdo de elección de la mesa del Parlamento de Cataluña, contabilizando los votos delegados y emitidos por dichos diputados.</w:t>
      </w:r>
    </w:p>
    <w:p w14:paraId="72289B54" w14:textId="77777777" w:rsidR="00C04533" w:rsidRDefault="00C04533" w:rsidP="00C04533">
      <w:pPr>
        <w:pStyle w:val="TextoNormal"/>
      </w:pPr>
    </w:p>
    <w:p w14:paraId="576654BF" w14:textId="77777777" w:rsidR="00C04533" w:rsidRDefault="00C04533" w:rsidP="00C04533">
      <w:pPr>
        <w:pStyle w:val="TextoNormal"/>
      </w:pPr>
      <w:r>
        <w:t>c) El acto del presidente del Parlamento de Cataluña, por el que se declara constituido el Parlamento y se levanta la sesión; y, en fin, según los demandantes,</w:t>
      </w:r>
    </w:p>
    <w:p w14:paraId="7C274152" w14:textId="77777777" w:rsidR="00C04533" w:rsidRDefault="00C04533" w:rsidP="00C04533">
      <w:pPr>
        <w:pStyle w:val="TextoNormal"/>
      </w:pPr>
    </w:p>
    <w:p w14:paraId="279D4051" w14:textId="77777777" w:rsidR="00C04533" w:rsidRDefault="00C04533" w:rsidP="00C04533">
      <w:pPr>
        <w:pStyle w:val="TextoNormal"/>
      </w:pPr>
      <w:r>
        <w:t>d) “Cuantos otros actos y resoluciones deriven de los anteriores”.</w:t>
      </w:r>
    </w:p>
    <w:p w14:paraId="19BE1EE8" w14:textId="77777777" w:rsidR="00C04533" w:rsidRDefault="00C04533" w:rsidP="00C04533">
      <w:pPr>
        <w:pStyle w:val="TextoNormal"/>
      </w:pPr>
    </w:p>
    <w:p w14:paraId="5AA767BF" w14:textId="7CB13F4F" w:rsidR="00C04533" w:rsidRDefault="00C04533" w:rsidP="00C04533">
      <w:pPr>
        <w:pStyle w:val="TextoNormal"/>
      </w:pPr>
      <w:r>
        <w:t xml:space="preserve">Frente a dichos acuerdos, subrayan los recurrentes, “no existe recurso interno posible”, por lo que han de entenderse firmes, y por tanto únicamente impugnables por vía de amparo parlamentario </w:t>
      </w:r>
      <w:r w:rsidRPr="00C04533">
        <w:rPr>
          <w:i/>
        </w:rPr>
        <w:t>ex</w:t>
      </w:r>
      <w:r>
        <w:t xml:space="preserve"> art. 42 de la Ley Orgánica del Tribunal Constitucional (en adelante, LOTC).</w:t>
      </w:r>
    </w:p>
    <w:p w14:paraId="63BE2615" w14:textId="77777777" w:rsidR="00C04533" w:rsidRDefault="00C04533" w:rsidP="00C04533">
      <w:pPr>
        <w:pStyle w:val="TextoNormal"/>
      </w:pPr>
    </w:p>
    <w:p w14:paraId="15380318" w14:textId="77777777" w:rsidR="00C04533" w:rsidRDefault="00C04533" w:rsidP="00C04533">
      <w:pPr>
        <w:pStyle w:val="TextoNormal"/>
      </w:pPr>
      <w:r w:rsidRPr="00C04533">
        <w:rPr>
          <w:rStyle w:val="NumeroAFNegritaCaracter"/>
        </w:rPr>
        <w:t>2</w:t>
      </w:r>
      <w:r>
        <w:t>. Según resulta de la demanda y de los documentos aportados con la misma, el presente recurso de amparo trae causa de los siguientes hechos:</w:t>
      </w:r>
    </w:p>
    <w:p w14:paraId="1E92A325" w14:textId="77777777" w:rsidR="00C04533" w:rsidRDefault="00C04533" w:rsidP="00C04533">
      <w:pPr>
        <w:pStyle w:val="TextoNormal"/>
      </w:pPr>
    </w:p>
    <w:p w14:paraId="0D019A5D" w14:textId="77777777" w:rsidR="00C04533" w:rsidRDefault="00C04533" w:rsidP="00C04533">
      <w:pPr>
        <w:pStyle w:val="TextoNormal"/>
      </w:pPr>
      <w:r>
        <w:t>a) El día 10 de junio de 2024 se celebró la sesión constitutiva de la XV legislatura del Parlamento de Cataluña inicialmente presidida, según dispone el artículo 2 de su Reglamento, por la mesa de edad, conformada “por el diputado o diputada electo de más edad entre los presentes, asistido por los dos diputados más jóvenes, en calidad de secretarios”.</w:t>
      </w:r>
    </w:p>
    <w:p w14:paraId="353182C2" w14:textId="77777777" w:rsidR="00C04533" w:rsidRDefault="00C04533" w:rsidP="00C04533">
      <w:pPr>
        <w:pStyle w:val="TextoNormal"/>
      </w:pPr>
    </w:p>
    <w:p w14:paraId="60CB3098" w14:textId="54FE8225" w:rsidR="00C04533" w:rsidRDefault="00C04533" w:rsidP="00C04533">
      <w:pPr>
        <w:pStyle w:val="TextoNormal"/>
      </w:pPr>
      <w:r>
        <w:t>b) Según consta en el “Diario de Sesiones del Parlamento de Cataluña” (XV legislatura, primer período, serie P, núm. 1, de 10 de junio de 2024, que fue publicado con posterioridad a la presentación de la demanda, por lo que esta solo recoge la transcripción provisional de esta sesión), dicha mesa de edad decidió, antes de proceder a la votación para elegir al presidente o presidenta del Parlamento y con el voto en contra de la secretaria doña Júlia Calvet Puig, aceptar la delegación del voto en favor del diputado don Albert Batet i Canadell de “los diputados Carles Puigdemont i Casamajó y Lluis Puig i Gordi, de acuerdo con el artículo 95 del Reglamento, ‘con motivo de las circunstancias actuales que me incapacitan (</w:t>
      </w:r>
      <w:r w:rsidRPr="00C04533">
        <w:rPr>
          <w:i/>
        </w:rPr>
        <w:t>sic</w:t>
      </w:r>
      <w:r>
        <w:t>) para poder ejercer de forma presencial el derecho al voto’” (“Diario de Sesiones del Parlamento de Cataluña”, pág. 12).</w:t>
      </w:r>
    </w:p>
    <w:p w14:paraId="4E2D40D3" w14:textId="77777777" w:rsidR="00C04533" w:rsidRDefault="00C04533" w:rsidP="00C04533">
      <w:pPr>
        <w:pStyle w:val="TextoNormal"/>
      </w:pPr>
    </w:p>
    <w:p w14:paraId="2FBEF1CE" w14:textId="77777777" w:rsidR="00C04533" w:rsidRDefault="00C04533" w:rsidP="00C04533">
      <w:pPr>
        <w:pStyle w:val="TextoNormal"/>
      </w:pPr>
      <w:r w:rsidRPr="00C04533">
        <w:rPr>
          <w:rStyle w:val="NumeroAFNegritaCaracter"/>
        </w:rPr>
        <w:t>3</w:t>
      </w:r>
      <w:r>
        <w:t>. a) Subrayan los recurrentes que dichos diputados “optaron por no concurrir presencialmente a dicha sesión habida cuenta de su notoria condición de prófugos de la justicia, habiendo sido declarados rebeldes mediante auto de la Sala Segunda del Tribunal Supremo, de 9 de julio de 2018, dictado en la Causa especial 20907/2017”, y que el diputado en quien recae la delegación “acudiría a depositar el voto en la urna (a los efectos de lo dispuesto en el art. 101.2 del Reglamento) en su lugar, siguiendo el pertinente llamamiento nominal”. Asimismo, señalan que uno de los diputados recurrentes, don Alejandro Fernández, advirtió expresamente antes de la votación que “si se permite y se autoriza la votación de personas que la justicia ha dejado clarísimo que no pueden hoy participar en la votación, presentaremos un recurso de amparo ante el Tribunal Constitucional”.</w:t>
      </w:r>
    </w:p>
    <w:p w14:paraId="36E9A0CB" w14:textId="77777777" w:rsidR="00C04533" w:rsidRDefault="00C04533" w:rsidP="00C04533">
      <w:pPr>
        <w:pStyle w:val="TextoNormal"/>
      </w:pPr>
    </w:p>
    <w:p w14:paraId="502C6B4B" w14:textId="77777777" w:rsidR="00C04533" w:rsidRDefault="00C04533" w:rsidP="00C04533">
      <w:pPr>
        <w:pStyle w:val="TextoNormal"/>
      </w:pPr>
      <w:r>
        <w:t>b) De ese acuerdo inicial, apunta el escrito, “derivan todos los demás actos adoptados en la sesión constitutiva” que aquí se combaten. En particular, los recurrentes exponen que en esa votación, que consideran “visiblemente viciada”, resultaron electos los siete miembros de la mesa del Parlamento (presidente, dos vicepresidentes y cuatro secretarios), que fueron pues proclamados como tales como consecuencia de un acuerdo dictado en evidente conculcación de los derechos fundamentales de los diputados del parlamento, entre ellos los aquí recurrentes, por lo cual procede su declaración de nulidad por este Tribunal Constitucional, “sin perjuicio de su previa suspensión para evitar los perjuicios irreparables” derivados de dichos actos. Posteriormente, “el señor Rull Andreu, actuando como presidente, declaró constituido” el Parlamento y levantó la sesión.</w:t>
      </w:r>
    </w:p>
    <w:p w14:paraId="17928D41" w14:textId="77777777" w:rsidR="00C04533" w:rsidRDefault="00C04533" w:rsidP="00C04533">
      <w:pPr>
        <w:pStyle w:val="TextoNormal"/>
      </w:pPr>
    </w:p>
    <w:p w14:paraId="76846418" w14:textId="77777777" w:rsidR="00C04533" w:rsidRDefault="00C04533" w:rsidP="00C04533">
      <w:pPr>
        <w:pStyle w:val="TextoNormal"/>
      </w:pPr>
      <w:r>
        <w:t xml:space="preserve">c) La demanda aduce que el acuerdo de admisión del voto delegado de los diputados señores Puigdemont i Casamajó y Puig i Gordi “se dictó en palmaria e inequívoca vulneración del derecho fundamental de [los recurrentes] al </w:t>
      </w:r>
      <w:r w:rsidRPr="00C04533">
        <w:rPr>
          <w:i/>
        </w:rPr>
        <w:t>ius in officium</w:t>
      </w:r>
      <w:r>
        <w:t xml:space="preserve"> o ejercicio del cargo representativo de conformidad con lo establecido en las leyes (art. 23.2 CE), acometiéndose un claro supuesto de frontal desacato de lo sentado por el Tribunal Constitucional” en su STC 65/2022, de 31 de mayo, doctrina reiterada pocos días antes de estos hechos en sentencia de 6 de junio de 2024.</w:t>
      </w:r>
    </w:p>
    <w:p w14:paraId="4BF3097C" w14:textId="77777777" w:rsidR="00C04533" w:rsidRDefault="00C04533" w:rsidP="00C04533">
      <w:pPr>
        <w:pStyle w:val="TextoNormal"/>
      </w:pPr>
    </w:p>
    <w:p w14:paraId="209E0A5E" w14:textId="77777777" w:rsidR="00C04533" w:rsidRDefault="00C04533" w:rsidP="00C04533">
      <w:pPr>
        <w:pStyle w:val="TextoNormal"/>
      </w:pPr>
      <w:r>
        <w:t xml:space="preserve">Recuerdan los recurrentes que la citada STC 65/2022 estableció “con total claridad” la necesidad de una “interpretación restrictiva del art. 95.2 del Reglamento”, que no podía extenderse a un supuesto como aquel en el que, igual que en este, el delegante —el mismo señor Puigdemont también aquí concernido— “voluntariamente ha decidido eludir la acción de la jurisdicción penal española y sobre el que pesa una orden judicial de busca y captura e ingreso en prisión”. En consecuencia, la aceptación de tal delegación infringió “el derecho fundamental del resto de diputados </w:t>
      </w:r>
      <w:r w:rsidRPr="00C04533">
        <w:rPr>
          <w:i/>
        </w:rPr>
        <w:t>ex</w:t>
      </w:r>
      <w:r>
        <w:t xml:space="preserve"> art. 23.2 CE, así como el de los ciudadanos a la representación política </w:t>
      </w:r>
      <w:r w:rsidRPr="00C04533">
        <w:rPr>
          <w:i/>
        </w:rPr>
        <w:t>ex</w:t>
      </w:r>
      <w:r>
        <w:t xml:space="preserve"> art. 23.1 CE”. La misma doctrina, sigue exponiendo la demanda, se reitera específicamente en la STC de 6 de junio de 2024, con referencia al otro diputado aquí afectado, don Lluís Puig i Gordi, y a una regulación del voto telemático cuya aprobación fue instrumental para eludir los efectos del anterior pronunciamiento.</w:t>
      </w:r>
    </w:p>
    <w:p w14:paraId="2F78106A" w14:textId="77777777" w:rsidR="00C04533" w:rsidRDefault="00C04533" w:rsidP="00C04533">
      <w:pPr>
        <w:pStyle w:val="TextoNormal"/>
      </w:pPr>
    </w:p>
    <w:p w14:paraId="27C492CF" w14:textId="77777777" w:rsidR="00C04533" w:rsidRDefault="00C04533" w:rsidP="00C04533">
      <w:pPr>
        <w:pStyle w:val="TextoNormal"/>
      </w:pPr>
      <w:r>
        <w:t xml:space="preserve">d). La demanda pretende que se dicte en su día sentencia por la que se otorgue el amparo solicitado, declarando que las resoluciones combatidas vulneran el derecho de los recurrentes al </w:t>
      </w:r>
      <w:r w:rsidRPr="00C04533">
        <w:rPr>
          <w:i/>
        </w:rPr>
        <w:t>ius in officium</w:t>
      </w:r>
      <w:r>
        <w:t xml:space="preserve"> o ejercicio pleno de su función representativa, e indirectamente el derecho de los ciudadanos a la representación política (art. 23.2 y 1 CE), restableciéndoles en dichos derechos y acordando, en consecuencia, “la revocación de los acuerdos recurridos y cuantos de los mismos deriven, ordenando la retroacción de la sesión constitutiva de la XV Legislatura del Parlamento de Cataluña al momento inmediatamente anterior al primero de ellos”. En primer otrosí solicita que se suspenda inaudita parte, según lo previsto en el art. 56 LOTC y como garantía de la efectividad del derecho a la tutela judicial efectiva del art. 24.1 CE, la ejecutividad de “todas las resoluciones recurridas, así como cuantas de las mismas derivan”, en los términos recogidos en el ATC 134/2017, de 5 de octubre, y por tanto “advirtiendo expresamente de que incurrirá en nulidad radical y consiguiente ineficacia cualquier acto, resolución, acuerdo o vía de hecho que contravenga la suspensión acordada”.</w:t>
      </w:r>
    </w:p>
    <w:p w14:paraId="40E61C96" w14:textId="77777777" w:rsidR="00C04533" w:rsidRDefault="00C04533" w:rsidP="00C04533">
      <w:pPr>
        <w:pStyle w:val="TextoNormal"/>
      </w:pPr>
    </w:p>
    <w:p w14:paraId="1E40470D" w14:textId="08DA5FD6" w:rsidR="00C04533" w:rsidRDefault="00C04533" w:rsidP="00C04533">
      <w:pPr>
        <w:pStyle w:val="TextoNormal"/>
      </w:pPr>
      <w:r>
        <w:t>Los demandantes admiten que tal suspensión solo sería admisible cuando “la ejecución del acto ocasione un perjuicio que haría perder al amparo su finalidad, impidiendo que por lo tanto una eventual sentencia favorable restablezca debidamente los derechos fundamentales, por ejemplo por necesidades derivadas del principio de seguridad jurídica”. Pero subrayan el perjuicio irreparable que se produciría de no adoptarse tal medida cautelar, señalando que “la clarísima jurisprudencia” de este tribunal ha reconocido que la delegación aceptada en ocasiones anteriores vulneró los derechos del resto de los miembros de la Cámara y, en este caso, el perjuicio es aún mayor porque, al producirse en la sesión constitutiva y en relación con la votación para elegir a los miembros de la mesa de la Cámara, de tal delegación se deriva “una constitución del Parlamento viciada, en origen, por la conculcación de derechos del resto de los parlamentarios”. Por consiguiente, “se estaría consintiendo que comience su andadura y desarrolle todo tipo de actos, con pretensión de legitimidad y normalidad democrática, un Parlamento cuya constitución se ha cimentado en una gravísima y patente vulneración de derechos fundamentales […] cuyos órganos rectores han sido proclamados a través del mismo acto viciado en origen por la vulneración de la Carta Magna y que por tanto se han situado extramuros de la Constitución Española […] en clara infracción del art. 9.1 CE”. Un perjuicio que entienden de imposible reparación a posteriori, aunque se decidiese “la revocación de todos los actos derivados de los recurridos”.</w:t>
      </w:r>
    </w:p>
    <w:p w14:paraId="2EB52C6C" w14:textId="77777777" w:rsidR="00C04533" w:rsidRDefault="00C04533" w:rsidP="00C04533">
      <w:pPr>
        <w:pStyle w:val="TextoNormal"/>
      </w:pPr>
    </w:p>
    <w:p w14:paraId="2D31E9EA" w14:textId="77777777" w:rsidR="00C04533" w:rsidRDefault="00C04533" w:rsidP="00C04533">
      <w:pPr>
        <w:pStyle w:val="TextoNormal"/>
      </w:pPr>
      <w:r w:rsidRPr="00C04533">
        <w:rPr>
          <w:rStyle w:val="NumeroAFNegritaCaracter"/>
        </w:rPr>
        <w:t>4</w:t>
      </w:r>
      <w:r>
        <w:t>. El Pleno del Tribunal acordó, en providencia de 18 de junio de 2024, recabar para sí el conocimiento del presente recurso de amparo.</w:t>
      </w:r>
    </w:p>
    <w:p w14:paraId="40E5D347" w14:textId="77777777" w:rsidR="00C04533" w:rsidRDefault="00C04533" w:rsidP="00C04533">
      <w:pPr>
        <w:pStyle w:val="TextoNormal"/>
      </w:pPr>
    </w:p>
    <w:p w14:paraId="0882A9CA" w14:textId="77777777" w:rsidR="00C04533" w:rsidRDefault="00C04533" w:rsidP="00C04533">
      <w:pPr>
        <w:pStyle w:val="TextoNormal"/>
      </w:pPr>
      <w:r>
        <w:t xml:space="preserve">En una segunda providencia de la misma fecha, se acordó admitirlo a trámite, apreciando la concurrencia en el mismo de una especial trascendencia constitucional (art. 50.1 LOTC) porque el asunto suscitado trasciende del caso concreto y porque pudiera tener unas consecuencias políticas generales. Al mismo tiempo, y en relación con la solicitud de suspensión formulada en la demanda, el Pleno no apreció la urgencia excepcional a la que se refiere el art. 56.6 LOTC, que justificaría su adopción </w:t>
      </w:r>
      <w:r w:rsidRPr="00C04533">
        <w:rPr>
          <w:i/>
        </w:rPr>
        <w:t>inaudita parte</w:t>
      </w:r>
      <w:r>
        <w:t xml:space="preserve"> de forma inmotivada, “ya que los dos votos delegados no fueron determinantes del resultado de las votaciones celebradas el pasado 10 de junio”.</w:t>
      </w:r>
    </w:p>
    <w:p w14:paraId="19A7738F" w14:textId="77777777" w:rsidR="00C04533" w:rsidRDefault="00C04533" w:rsidP="00C04533">
      <w:pPr>
        <w:pStyle w:val="TextoNormal"/>
      </w:pPr>
    </w:p>
    <w:p w14:paraId="0115D079" w14:textId="19FA2190" w:rsidR="00C04533" w:rsidRDefault="00C04533" w:rsidP="00C04533">
      <w:pPr>
        <w:pStyle w:val="TextoNormal"/>
      </w:pPr>
      <w:r>
        <w:t>Finalmente, mediante una tercera providencia también del 18 de junio de 2014 se acordó formar la oportuna pieza separada a fin de resolver sobre la suspensión, concediendo un plazo de tres días al Ministerio Fiscal y a los solicitantes de amparo para efectuar alegaciones a tal efecto.</w:t>
      </w:r>
    </w:p>
    <w:p w14:paraId="3F5F2339" w14:textId="77777777" w:rsidR="00C04533" w:rsidRDefault="00C04533" w:rsidP="00C04533">
      <w:pPr>
        <w:pStyle w:val="TextoNormal"/>
      </w:pPr>
    </w:p>
    <w:p w14:paraId="571D0F8B" w14:textId="77777777" w:rsidR="00C04533" w:rsidRDefault="00C04533" w:rsidP="00C04533">
      <w:pPr>
        <w:pStyle w:val="TextoNormal"/>
      </w:pPr>
      <w:r w:rsidRPr="00C04533">
        <w:rPr>
          <w:rStyle w:val="NumeroAFNegritaCaracter"/>
        </w:rPr>
        <w:t>5</w:t>
      </w:r>
      <w:r>
        <w:t>. El 24 de junio de 2024, la representación procesal de los diputados recurrentes presentó escrito de alegaciones respecto a la suspensión planteada, remitiéndose con carácter general a las alegaciones efectuadas en el escrito de demanda, pero añadiendo algunas consideraciones.</w:t>
      </w:r>
    </w:p>
    <w:p w14:paraId="03E4F133" w14:textId="77777777" w:rsidR="00C04533" w:rsidRDefault="00C04533" w:rsidP="00C04533">
      <w:pPr>
        <w:pStyle w:val="TextoNormal"/>
      </w:pPr>
    </w:p>
    <w:p w14:paraId="733993B7" w14:textId="77777777" w:rsidR="00C04533" w:rsidRDefault="00C04533" w:rsidP="00C04533">
      <w:pPr>
        <w:pStyle w:val="TextoNormal"/>
      </w:pPr>
      <w:r>
        <w:t xml:space="preserve">En primer lugar, y en relación con la apreciación recogida en la citada providencia de 18 de junio de que los votos delegados que se admitieron no fueron determinantes del resultado de las votaciones celebradas en la sesión parlamentaria de referencia, se subraya que, al margen del carácter determinante de los votos, la no suspensión de las resoluciones recurridas produciría un daño irreparable, derivado directamente del “desacato frontal a la jurisprudencia” de este tribunal, formulada en las SSTC 65/2022, de 31 de mayo; y 86/2024, de 3 de junio de 2024. En definitiva, la irreparabilidad del perjuicio que se invoca viene dada porque “una negativa a la tutela cautelar implica reconocer que, en cada nueva legislatura, los órganos parlamentarios pueden ignorar a conciencia la doctrina de este tribunal para habilitar una violación continuada de los derechos, que solo será apreciada </w:t>
      </w:r>
      <w:r w:rsidRPr="00C04533">
        <w:rPr>
          <w:i/>
        </w:rPr>
        <w:t>ex post</w:t>
      </w:r>
      <w:r>
        <w:t xml:space="preserve"> y con limitación de efectos, resultando […] tan cómoda como gratuita su sistemática conculcación [de la Constitución] mediante la simple técnica de dictar una y otra vez acuerdos contrarios a la doctrina pacífica de este tribunal, dilatando </w:t>
      </w:r>
      <w:r w:rsidRPr="00C04533">
        <w:rPr>
          <w:i/>
        </w:rPr>
        <w:t>ad eternum</w:t>
      </w:r>
      <w:r>
        <w:t xml:space="preserve"> su aplicabilidad y defensa efectiva”. De este modo, para los demandantes la renuncia a defender unos derechos cuya vulneración ya ha reconocido el Tribunal en las sentencias mencionadas (referidas, además, a los mismos parlamentarios) “es, en puridad, una renuncia a reconocer la propia virtualidad y existencia de dichos derechos”. Un aspecto respecto del cual “poco o nada influye que los votos sean determinantes, pues el derecho de los recurrentes al ejercicio del cargo representativo de conformidad con lo que disponga la ley (art. 23.2 CE) habría dejado, sencillamente, de tener virtualidad”.</w:t>
      </w:r>
    </w:p>
    <w:p w14:paraId="1BFC1BF7" w14:textId="77777777" w:rsidR="00C04533" w:rsidRDefault="00C04533" w:rsidP="00C04533">
      <w:pPr>
        <w:pStyle w:val="TextoNormal"/>
      </w:pPr>
    </w:p>
    <w:p w14:paraId="1B0C1DF3" w14:textId="77777777" w:rsidR="00C04533" w:rsidRDefault="00C04533" w:rsidP="00C04533">
      <w:pPr>
        <w:pStyle w:val="TextoNormal"/>
      </w:pPr>
      <w:r>
        <w:t>A juicio de los demandantes ello conduce, a su vez, a apreciar un “perjuicio irreparable a la normatividad y juridicidad de la Constitución Española”, ya que el juego combinado de las decisiones de órganos que no la acatan, la duración de los procesos constitucionales y la falta de adopción de medidas cautelares convierte a la Constitución “en poco menos que papel mojado”.</w:t>
      </w:r>
    </w:p>
    <w:p w14:paraId="16C810F6" w14:textId="77777777" w:rsidR="00C04533" w:rsidRDefault="00C04533" w:rsidP="00C04533">
      <w:pPr>
        <w:pStyle w:val="TextoNormal"/>
      </w:pPr>
    </w:p>
    <w:p w14:paraId="39B8E200" w14:textId="63677281" w:rsidR="00C04533" w:rsidRDefault="00C04533" w:rsidP="00C04533">
      <w:pPr>
        <w:pStyle w:val="TextoNormal"/>
      </w:pPr>
      <w:r>
        <w:t>En segundo lugar, y “habiendo llegado a conocimiento de esta parte que, en el curso de la admisión a trámite de este recurso, fue propuesta y debatida la adopción de una medida cautelarísima ajena a la suspensión” (</w:t>
      </w:r>
      <w:r w:rsidRPr="00C04533">
        <w:rPr>
          <w:i/>
        </w:rPr>
        <w:t>sic</w:t>
      </w:r>
      <w:r>
        <w:t>), se solicita la “adopción, subsidiaria, de cualesquiera otras medidas que este tribunal entienda que puedan evitar que el amparo pierda su finalidad”, especificándose, “entre ellas la de apercibir a los órganos parlamentarios de la necesidad de respetar los pronunciamientos de este tribunal, evitando permitir los votos ilegalmente contabilizados en adelante respecto de los mismos sujetos”.</w:t>
      </w:r>
    </w:p>
    <w:p w14:paraId="36C41AEA" w14:textId="77777777" w:rsidR="00C04533" w:rsidRDefault="00C04533" w:rsidP="00C04533">
      <w:pPr>
        <w:pStyle w:val="TextoNormal"/>
      </w:pPr>
    </w:p>
    <w:p w14:paraId="1F071685" w14:textId="77777777" w:rsidR="00C04533" w:rsidRDefault="00C04533" w:rsidP="00C04533">
      <w:pPr>
        <w:pStyle w:val="TextoNormal"/>
      </w:pPr>
      <w:r w:rsidRPr="00C04533">
        <w:rPr>
          <w:rStyle w:val="NumeroAFNegritaCaracter"/>
        </w:rPr>
        <w:t>6</w:t>
      </w:r>
      <w:r>
        <w:t>. El fiscal ante el Tribunal Constitucional registró sus alegaciones en escrito fechado el 10 de julio, interesando la denegación de la medida cautelar solicitada. En síntesis, recuerda el régimen establecido por el art. 56.1 y 2 LOTC, que permite excepcionalmente la suspensión total o parcial de los efectos del acto impugnado “siempre y cuando la suspensión no ocasione perturbación grave a un interés constitucionalmente protegido, ni a los derechos fundamentales o libertades de otra persona”; y cita el ATC 128/2017, de 2 de octubre (y otros en él mencionados) para subrayar que “no resulta adecuada la suspensión de actos o resoluciones ya ejecutados, siendo posible la suspensión, exclusivamente, de la ejecución de un acto que se esté produciendo o que podría producirse en el futuro. El Tribunal entiende que si el acto de los poderes públicos impugnado ya ha sido ejecutado plenamente, las vulneraciones denunciadas, de constatarse, ya se habrían producido y agotado […] y los efectos de la estimación del amparo serían, o meramente declarativos o de reparación del daño causado, pero nunca de evitación de dicho daño, que es el objetivo que debiera procurar la adopción de la medida cautelar de suspensión”.</w:t>
      </w:r>
    </w:p>
    <w:p w14:paraId="5229C45A" w14:textId="77777777" w:rsidR="00C04533" w:rsidRDefault="00C04533" w:rsidP="00C04533">
      <w:pPr>
        <w:pStyle w:val="TextoNormal"/>
      </w:pPr>
    </w:p>
    <w:p w14:paraId="0DE8FEEB" w14:textId="77777777" w:rsidR="00C04533" w:rsidRDefault="00C04533" w:rsidP="00C04533">
      <w:pPr>
        <w:pStyle w:val="TextoNormal"/>
      </w:pPr>
      <w:r>
        <w:t>Para el Ministerio Público, y de acuerdo con los limitados efectos reconocidos a la nulidad de la autorización del voto delegado declarado por la STC 24/2023, de 27 de marzo, que “no puede comunicarse a los actos que hayan podido adoptarse con el voto delegado”, la petición de suspensión “debe quedar reducida al acto por el cual la mesa de edad acordó admitir la delegación del voto y, consecuentemente, su ejercicio en la sesión de elección de los miembros de la mesa de la Cámara y constitutiva del Parlamento de Cataluña”.</w:t>
      </w:r>
    </w:p>
    <w:p w14:paraId="09090F0B" w14:textId="77777777" w:rsidR="00C04533" w:rsidRDefault="00C04533" w:rsidP="00C04533">
      <w:pPr>
        <w:pStyle w:val="TextoNormal"/>
      </w:pPr>
    </w:p>
    <w:p w14:paraId="46C093E4" w14:textId="2353F882" w:rsidR="00C04533" w:rsidRDefault="00C04533" w:rsidP="00C04533">
      <w:pPr>
        <w:pStyle w:val="TextoNormal"/>
      </w:pPr>
      <w:r>
        <w:t>Así las cosas, en el presente caso la suspensión “carece de objeto y de sentido porque el acto parlamentario impugnado ya ha sido ejecutado plenamente”, por lo que procede denegarla respecto del acuerdo de 10 de junio que autorizó la citada delegación de voto, resultando improcedente cualquier pronunciamiento sobre el resto de los acuerdos controvertidos en el recurso.</w:t>
      </w:r>
    </w:p>
    <w:p w14:paraId="0033933F" w14:textId="77777777" w:rsidR="00C04533" w:rsidRDefault="00C04533" w:rsidP="00C04533">
      <w:pPr>
        <w:pStyle w:val="TextoNormal"/>
      </w:pPr>
    </w:p>
    <w:p w14:paraId="2566563E" w14:textId="4FA0439B" w:rsidR="00C04533" w:rsidRDefault="00C04533" w:rsidP="00C04533">
      <w:pPr>
        <w:pStyle w:val="TextoNormal"/>
      </w:pPr>
      <w:r w:rsidRPr="00C04533">
        <w:rPr>
          <w:rStyle w:val="NumeroAFNegritaCaracter"/>
        </w:rPr>
        <w:t>7</w:t>
      </w:r>
      <w:r>
        <w:t>. El 23 de julio de 2024 tuvo entrada en el Tribunal el escrito de la representación del Parlamento de Cataluña solicitando que se tenga por personada a dicha Cámara y aportando la documentación requerida a tal efecto, en particular la certificación del acuerdo adoptado en ese sentido el 16 de julio por la mesa del Parlamento.</w:t>
      </w:r>
    </w:p>
    <w:p w14:paraId="240A12A5" w14:textId="77777777" w:rsidR="00C04533" w:rsidRDefault="00C04533" w:rsidP="00C04533">
      <w:pPr>
        <w:pStyle w:val="TextoNormal"/>
      </w:pPr>
    </w:p>
    <w:p w14:paraId="3179D9FF" w14:textId="46268BA6" w:rsidR="00C04533" w:rsidRDefault="00C04533" w:rsidP="00C04533">
      <w:pPr>
        <w:pStyle w:val="TextoNormal"/>
      </w:pPr>
      <w:r w:rsidRPr="00C04533">
        <w:rPr>
          <w:rStyle w:val="NumeroAFNegritaCaracter"/>
        </w:rPr>
        <w:t>8</w:t>
      </w:r>
      <w:r>
        <w:t>. El 4 de septiembre de 2024, mediante sendas diligencias de ordenación, se tuvo por recibida dicha documentación y por personado al letrado del Parlamento de Cataluña, en nombre y representación de la Cámara, disponiéndose por una parte que se le diese vista de todas las actuaciones por un plazo de veinte días para que pueda presentar las alegaciones que a su derecho convengan; y concediéndole, por otra, un plazo de tres días para formular alegaciones respecto a la petición de suspensión interesada por los recurrentes.</w:t>
      </w:r>
    </w:p>
    <w:p w14:paraId="509E0298" w14:textId="77777777" w:rsidR="00C04533" w:rsidRDefault="00C04533" w:rsidP="00C04533">
      <w:pPr>
        <w:pStyle w:val="TextoNormal"/>
      </w:pPr>
    </w:p>
    <w:p w14:paraId="4F758DAF" w14:textId="77777777" w:rsidR="00C04533" w:rsidRDefault="00C04533" w:rsidP="00C04533">
      <w:pPr>
        <w:pStyle w:val="TextoNormal"/>
      </w:pPr>
      <w:r w:rsidRPr="00C04533">
        <w:rPr>
          <w:rStyle w:val="NumeroAFNegritaCaracter"/>
        </w:rPr>
        <w:t>9</w:t>
      </w:r>
      <w:r>
        <w:t xml:space="preserve">. El 17 de septiembre de 2024 fue registrado el escrito por el que el letrado del Parlamento de Cataluña se opone a la citada petición de suspensión. En su apartado dedicado a los antecedentes, hace particular hincapié en que la “Ley Orgánica de amnistía para la normalización institucional, política y social en Cataluña”, publicada en el “Boletín Oficial del Estado” el día 11 de junio de 2024, pone de manifiesto “la existencia de una excepcionalidad motivada por la protección de un bien constitucional merecedor de mayor protección, en este caso, en los términos del preámbulo, </w:t>
      </w:r>
      <w:r w:rsidRPr="00C04533">
        <w:rPr>
          <w:i/>
        </w:rPr>
        <w:t>la consecución de un interés general, como puede ser la necesidad de superar y encauzar conflictos políticos y sociales arraigados, en la búsqueda de la mejora de la convivencia y la cohesión social, así como de una integración de las diversas sensibilidades políticas [...], garantizar la convivencia dentro del Estado de Derecho, y generar un contexto social, político e institucional que fomente la estabilidad económica y el progreso cultural y social tanto de Cataluña como del conjunto de España, sirviendo al mismo tiempo de base para la superación de un conflicto político</w:t>
      </w:r>
      <w:r>
        <w:t>” (cursivas en el escrito original).</w:t>
      </w:r>
    </w:p>
    <w:p w14:paraId="26BE7693" w14:textId="77777777" w:rsidR="00C04533" w:rsidRDefault="00C04533" w:rsidP="00C04533">
      <w:pPr>
        <w:pStyle w:val="TextoNormal"/>
      </w:pPr>
    </w:p>
    <w:p w14:paraId="7A3D111C" w14:textId="77777777" w:rsidR="00C04533" w:rsidRDefault="00C04533" w:rsidP="00C04533">
      <w:pPr>
        <w:pStyle w:val="TextoNormal"/>
      </w:pPr>
      <w:r>
        <w:t>El escrito enmarca en ese contexto el acuerdo impugnado, recordando que los votos delegados no fueron determinantes en la elección de ninguno de los miembros de su mesa. Arguye —con abundantes referencias jurisprudenciales— que, por una parte, “es doctrina constante del Tribunal que para excepcionar la regla general de la no suspensión es carga del recurrente probar que la ejecución del acto o sentencia impugnados deba producirle un perjuicio que hiciere perder al amparo su finalidad”; algo que, a su juicio, los recurrentes no acreditan porque no existe un perjuicio real, sino un mero “perjuicio futuro o hipotético o un simple temor” (ATC 2/2019, de 9 de enero, FJ 2), por lo que no procede la suspensión solicitada.</w:t>
      </w:r>
    </w:p>
    <w:p w14:paraId="389F81BA" w14:textId="77777777" w:rsidR="00C04533" w:rsidRDefault="00C04533" w:rsidP="00C04533">
      <w:pPr>
        <w:pStyle w:val="TextoNormal"/>
      </w:pPr>
    </w:p>
    <w:p w14:paraId="32FFD9A8" w14:textId="30BB7F07" w:rsidR="00C04533" w:rsidRDefault="00C04533" w:rsidP="00C04533">
      <w:pPr>
        <w:pStyle w:val="TextoNormal"/>
      </w:pPr>
      <w:r>
        <w:t xml:space="preserve">Por otra parte, niega que sea aplicable a este incidente, como alegan los recurrentes, la apariencia de buen derecho, recordando expresamente la doctrina que sintetiza el ATC 23/2017, FJ 2, según el cual “los razonamientos relativos al </w:t>
      </w:r>
      <w:r w:rsidRPr="00C04533">
        <w:rPr>
          <w:i/>
        </w:rPr>
        <w:t>fumus boni iuris</w:t>
      </w:r>
      <w:r>
        <w:t xml:space="preserve"> del recurso de amparo […] que ahora se esgrimen para fundamentar la solicitud de suspensión […] se proyectan sobre el fondo de la cuestión planteada en la demanda y suponen predeterminar la solución del recurso que, en su momento, esta Sala habrá de resolver en el sentido que razonadamente estime oportuno”, con cita a su vez del ATC 18/2002, de 11 de febrero, FJ 1, que desechó </w:t>
      </w:r>
      <w:r w:rsidRPr="00C04533">
        <w:rPr>
          <w:i/>
        </w:rPr>
        <w:t>a limine</w:t>
      </w:r>
      <w:r>
        <w:t xml:space="preserve"> tal argumento.</w:t>
      </w:r>
    </w:p>
    <w:p w14:paraId="6BE79894" w14:textId="77777777" w:rsidR="00C04533" w:rsidRDefault="00C04533" w:rsidP="00C04533">
      <w:pPr>
        <w:pStyle w:val="TextoNormal"/>
      </w:pPr>
    </w:p>
    <w:p w14:paraId="2821F221" w14:textId="77777777" w:rsidR="00C04533" w:rsidRDefault="00C04533" w:rsidP="00C04533">
      <w:pPr>
        <w:pStyle w:val="TextoNormalNegritaCentrado"/>
        <w:keepNext/>
      </w:pPr>
      <w:r>
        <w:t>II. Fundamentos jurídicos</w:t>
      </w:r>
    </w:p>
    <w:p w14:paraId="4A6B1BA3" w14:textId="0A10232C" w:rsidR="00C04533" w:rsidRDefault="00C04533" w:rsidP="00C04533">
      <w:pPr>
        <w:pStyle w:val="TextoNormalNegritaCentrado"/>
        <w:keepNext/>
      </w:pPr>
    </w:p>
    <w:p w14:paraId="46B880E9" w14:textId="77777777" w:rsidR="00C04533" w:rsidRDefault="00C04533" w:rsidP="00C04533">
      <w:pPr>
        <w:pStyle w:val="TextoNormal"/>
      </w:pPr>
      <w:r w:rsidRPr="00C04533">
        <w:rPr>
          <w:rStyle w:val="NumeroAFNegritaCaracter"/>
        </w:rPr>
        <w:t>1</w:t>
      </w:r>
      <w:r>
        <w:t>. El ATC 122/2022, de 26 de septiembre sintetizó la doctrina vigente en lo que atañe a la suspensión de actos firmes impugnados en amparo mientras se tramita el recurso: “[e]l art. 56.1 LOTC establece como regla general que la interposición de un recurso de amparo no suspenderá los efectos del acto o sentencia impugnados. No obstante, el apartado segundo del precepto establece una excepción a la previsión general, al admitir la suspensión cuando la ejecución produzca un perjuicio al recurrente que pudiera hacer perder al amparo su finalidad, razón por la que se configura como una medida de carácter excepcional y de aplicación restrictiva (por todos, AATC 117/2015, de 6 de julio, FJ 1, y 59/2017, de 24 de abril, FJ 1).</w:t>
      </w:r>
    </w:p>
    <w:p w14:paraId="51A8C6CD" w14:textId="77777777" w:rsidR="00C04533" w:rsidRDefault="00C04533" w:rsidP="00C04533">
      <w:pPr>
        <w:pStyle w:val="TextoNormal"/>
      </w:pPr>
    </w:p>
    <w:p w14:paraId="4EAC1024" w14:textId="77777777" w:rsidR="00C04533" w:rsidRDefault="00C04533" w:rsidP="00C04533">
      <w:pPr>
        <w:pStyle w:val="TextoNormal"/>
      </w:pPr>
      <w:r>
        <w:t>En atención a tal previsión legal este tribunal ha declarado que quien solicita la adopción de la medida cautelar ha de alegar, probar o justificar, ofreciendo un principio razonable de prueba, que no son reparables o son de difícil reparación los perjuicios si prosiguiera la ejecución del acto impugnado, con objeto de mostrar que la ejecución podría privar a la demanda de amparo de su finalidad, provocar que el restablecimiento del recurrente en el derecho constitucional vulnerado sea tardío y convertir el amparo en meramente ilusorio y nominal (ATC 128/2017, de 2 de octubre, y los allí citados)”.</w:t>
      </w:r>
    </w:p>
    <w:p w14:paraId="63F2CA47" w14:textId="77777777" w:rsidR="00C04533" w:rsidRDefault="00C04533" w:rsidP="00C04533">
      <w:pPr>
        <w:pStyle w:val="TextoNormal"/>
      </w:pPr>
    </w:p>
    <w:p w14:paraId="146DCB50" w14:textId="77777777" w:rsidR="00C04533" w:rsidRDefault="00C04533" w:rsidP="00C04533">
      <w:pPr>
        <w:pStyle w:val="TextoNormal"/>
      </w:pPr>
      <w:r>
        <w:t>Esta última resolución, citada también por el Ministerio Fiscal en su escrito, añade en su fundamento jurídico 1 que, “[p]recisamente para asegurar que quede preservada la finalidad de la adopción de la medida cautelar, se ha establecido que no resulta adecuada la suspensión de actos o resoluciones ya ejecutados, siendo posible la suspensión, exclusivamente, de la ejecución de un acto que se esté produciendo o que podría producirse en el futuro. El Tribunal entiende que si el acto de los poderes públicos impugnado ya ha sido ejecutado plenamente, las vulneraciones denunciadas, de constatarse, ya se habrían producido y agotado […] y los efectos de la estimación del amparo serían, o meramente declarativos o de reparación del daño causado, pero nunca de evitación de dicho daño, que es el objetivo que debiera procurar la adopción de la medida cautelar de suspensión”.</w:t>
      </w:r>
    </w:p>
    <w:p w14:paraId="2BE52BF4" w14:textId="77777777" w:rsidR="00C04533" w:rsidRDefault="00C04533" w:rsidP="00C04533">
      <w:pPr>
        <w:pStyle w:val="TextoNormal"/>
      </w:pPr>
    </w:p>
    <w:p w14:paraId="07DE6499" w14:textId="447D69CE" w:rsidR="00C04533" w:rsidRDefault="00C04533" w:rsidP="00C04533">
      <w:pPr>
        <w:pStyle w:val="TextoNormal"/>
      </w:pPr>
      <w:r>
        <w:t>Así pues, solo una vez que ha sido constatada la concurrencia de esos presupuestos cabe tomar en consideración otras exigencias, como que la suspensión no produzca una perturbación grave a un interés constitucionalmente protegido, a los derechos fundamentales o a las libertades públicas de un tercero (por todos, AATC 1/2016, de 18 de enero, y 26/2019, de 9 de abril, FJ 1); o la imposibilidad de adelantar cuestiones controvertidas propias del fondo del recurso de amparo en la pieza incidental de suspensión, que impide conceder la suspensión cautelar de la ejecución de una resolución o de un acuerdo si con ello se puede “anticipar el amparo que se solicita” (AATC 263/2001, de 15 de octubre; 18/2002, de 11 de febrero, y 23/2017, de 13 de febrero, FJ l, que se citan en aquella resolución).</w:t>
      </w:r>
    </w:p>
    <w:p w14:paraId="2A04B6A7" w14:textId="77777777" w:rsidR="00C04533" w:rsidRDefault="00C04533" w:rsidP="00C04533">
      <w:pPr>
        <w:pStyle w:val="TextoNormal"/>
      </w:pPr>
    </w:p>
    <w:p w14:paraId="3450B798" w14:textId="77777777" w:rsidR="00C04533" w:rsidRDefault="00C04533" w:rsidP="00C04533">
      <w:pPr>
        <w:pStyle w:val="TextoNormal"/>
      </w:pPr>
      <w:r w:rsidRPr="00C04533">
        <w:rPr>
          <w:rStyle w:val="NumeroAFNegritaCaracter"/>
        </w:rPr>
        <w:t>2</w:t>
      </w:r>
      <w:r>
        <w:t>. La doctrina expuesta en el fundamento anterior conduce derechamente a denegar la “suspensión de todas las resoluciones recurridas, así como cuantas de las mismas deriven” solicitada por los recurrentes. En efecto, y al margen de la resolución que en su día se adopte sobre el fondo del recurso, no cabe apreciar que concurran los presupuestos generales para la suspensión cautelar del primero de los acuerdos, el que admitió la delegación, ya que sus efectos han de entenderse agotados con la votación celebrada el día 10 de junio. De este modo, no es posible evitar el posible daño causado, que es, como subraya el reiterado ATC 128/2017, “el objetivo que debiera procurar la adopción de la medida cautelar de suspensión”.</w:t>
      </w:r>
    </w:p>
    <w:p w14:paraId="74F3D686" w14:textId="77777777" w:rsidR="00C04533" w:rsidRDefault="00C04533" w:rsidP="00C04533">
      <w:pPr>
        <w:pStyle w:val="TextoNormal"/>
      </w:pPr>
    </w:p>
    <w:p w14:paraId="1E2F3D97" w14:textId="77777777" w:rsidR="00C04533" w:rsidRDefault="00C04533" w:rsidP="00C04533">
      <w:pPr>
        <w:pStyle w:val="TextoNormal"/>
      </w:pPr>
      <w:r>
        <w:t>La misma respuesta negativa ha de extenderse a los demás actos combatidos que, como expresamente apunta la demanda, “derivan” de ese primer acuerdo. Así, respecto de la declaración del resultado de la votación y de la consiguiente composición de la mesa y de lo que los recurrentes identifican como el acto del presidente del Parlamento “por el que se declara constituido el Parlamento y se levanta la sesión”, nuestra citada providencia de 18 de junio de 2024 ya señaló que “los dos votos delegados no fueron determinantes del resultado de las votaciones celebradas el pasado 10 de junio”, por lo que no cabe apreciar un perjuicio para los demandantes, susceptible de ser cautelarmente prevenido.</w:t>
      </w:r>
    </w:p>
    <w:p w14:paraId="4E21D98C" w14:textId="77777777" w:rsidR="00C04533" w:rsidRDefault="00C04533" w:rsidP="00C04533">
      <w:pPr>
        <w:pStyle w:val="TextoNormal"/>
      </w:pPr>
    </w:p>
    <w:p w14:paraId="56A71041" w14:textId="2B757962" w:rsidR="00C04533" w:rsidRDefault="00C04533" w:rsidP="00C04533">
      <w:pPr>
        <w:pStyle w:val="TextoNormal"/>
      </w:pPr>
      <w:r>
        <w:t>Por último, este tribunal ha señalado reiteradamente, al estimar diversos recursos planteados frente a acuerdos similares a los aquí controvertidos, que “en virtud del principio de seguridad jurídica (art. 9.3 CE) (…) la nulidad de estos acuerdos parlamentarios no puede comunicarse a los actos que hayan podido adoptarse con el voto” de los diputados habilitados para hacerlo por los acuerdos anulados “durante el tiempo en que estuvo vigente dicha habilitación” (STC 86/2024, de 3 de junio de 2024, FJ 3, que cita las SSTC 65/2022, FJ 8; 85/2022, de 27 de junio, FJ 4; 92/2022, de 11 de julio, FJ 4; 93/2022, de 11 de julio, FJ 4, y 24/2023, de 27 de marzo, FJ 3; doctrina recientemente reiterada en las SSTC 109/2024 y 110/2024, ambas de 9 de septiembre, FJ 3). Ello impediría también, sin perjuicio de cuál sea la decisión de fondo que en este procedimiento se adopte, extender unos eventuales efectos suspensivos a “otros actos y resoluciones”, que ni siquiera se identifican, por haber sido adoptados por la mesa cuyo proceso de constitución se cuestiona en este recurso.</w:t>
      </w:r>
    </w:p>
    <w:p w14:paraId="27736FDA" w14:textId="77777777" w:rsidR="00C04533" w:rsidRDefault="00C04533" w:rsidP="00C04533">
      <w:pPr>
        <w:pStyle w:val="TextoNormal"/>
      </w:pPr>
    </w:p>
    <w:p w14:paraId="0BC82AAD" w14:textId="77777777" w:rsidR="00C04533" w:rsidRDefault="00C04533" w:rsidP="00C04533">
      <w:pPr>
        <w:pStyle w:val="TextoNormal"/>
      </w:pPr>
      <w:r w:rsidRPr="00C04533">
        <w:rPr>
          <w:rStyle w:val="NumeroAFNegritaCaracter"/>
        </w:rPr>
        <w:t>3</w:t>
      </w:r>
      <w:r>
        <w:t xml:space="preserve">. Los fundamentos anteriores justifican la resolución denegatoria aquí adoptada, pero no impiden hacer unas consideraciones adicionales dirigidas a descartar los perjuicios irreparables que, según los recurrentes, se producirían de no adoptarse la medida cautelar solicitada. En efecto, por una parte la demanda subraya que “la clarísima jurisprudencia” de este tribunal ha reconocido que la delegación aceptada en ocasiones anteriores vulneró los derechos del resto de los miembros de la Cámara, y que el perjuicio es aún mayor en este caso al producirse en la sesión constitutiva, viciando así en su origen la constitución de la Cámara y la elección de los miembros de su mesa; perjuicio de imposible reparación </w:t>
      </w:r>
      <w:r w:rsidRPr="00C04533">
        <w:rPr>
          <w:i/>
        </w:rPr>
        <w:t>a posteriori</w:t>
      </w:r>
      <w:r>
        <w:t>, aunque se decidiese “la revocación de todos los actos derivados de los recurridos”. Como es obvio, tal alegación es inseparable de la cuestión de fondo, en tanto se funda —incluso expresamente— en la existencia de una vulneración de derechos que es, precisamente, el objeto del recurso de amparo planteado.</w:t>
      </w:r>
    </w:p>
    <w:p w14:paraId="0FD5E9CB" w14:textId="77777777" w:rsidR="00C04533" w:rsidRDefault="00C04533" w:rsidP="00C04533">
      <w:pPr>
        <w:pStyle w:val="TextoNormal"/>
      </w:pPr>
    </w:p>
    <w:p w14:paraId="3B055B54" w14:textId="788A9D9B" w:rsidR="00C04533" w:rsidRDefault="00C04533" w:rsidP="00C04533">
      <w:pPr>
        <w:pStyle w:val="TextoNormal"/>
      </w:pPr>
      <w:r>
        <w:t>Por otra parte, y respecto al alegado “perjuicio irreparable a la normatividad y juridicidad de la Constitución Española” que, según los recurrentes, se derivaría de la “perversa combinación” de decisiones de órganos que no la acatan, de unos procesos constitucionales prolongados en el tiempo y de la renuncia a adoptar medidas cautelares, es igualmente evidente que tal perjuicio podría predicarse de cualquier supuesto en que se alegase —con mayor o menor fundamento— la vulneración de la jurisprudencia constitucional sobre cualquier materia, contradiciendo así el carácter excepcional y restrictivo con que la ley y la doctrina constitucional configuran los efectos suspensivos del amparo.</w:t>
      </w:r>
    </w:p>
    <w:p w14:paraId="739B81D1" w14:textId="77777777" w:rsidR="00C04533" w:rsidRDefault="00C04533" w:rsidP="00C04533">
      <w:pPr>
        <w:pStyle w:val="TextoNormal"/>
      </w:pPr>
    </w:p>
    <w:p w14:paraId="6588C40C" w14:textId="77777777" w:rsidR="00C04533" w:rsidRDefault="00C04533" w:rsidP="00C04533">
      <w:pPr>
        <w:pStyle w:val="TextoNormal"/>
      </w:pPr>
      <w:r>
        <w:t>Por lo expuesto, el Pleno</w:t>
      </w:r>
    </w:p>
    <w:p w14:paraId="5F81E42F" w14:textId="151BC607" w:rsidR="00C04533" w:rsidRDefault="00C04533" w:rsidP="00C04533">
      <w:pPr>
        <w:pStyle w:val="TextoNormal"/>
      </w:pPr>
    </w:p>
    <w:p w14:paraId="61FDC424" w14:textId="77777777" w:rsidR="00C04533" w:rsidRDefault="00C04533" w:rsidP="00C04533">
      <w:pPr>
        <w:pStyle w:val="TextoNormalCentrado"/>
      </w:pPr>
      <w:r>
        <w:t>ACUERDA</w:t>
      </w:r>
    </w:p>
    <w:p w14:paraId="5AC5BA43" w14:textId="6E879220" w:rsidR="00C04533" w:rsidRDefault="00C04533" w:rsidP="00C04533">
      <w:pPr>
        <w:pStyle w:val="TextoNormalCentrado"/>
      </w:pPr>
    </w:p>
    <w:p w14:paraId="2D1DF1E6" w14:textId="70D5C3B7" w:rsidR="00C04533" w:rsidRDefault="00C04533" w:rsidP="00C04533">
      <w:pPr>
        <w:pStyle w:val="TextoNormal"/>
      </w:pPr>
      <w:r>
        <w:t>Denegar la suspensión solicitada.</w:t>
      </w:r>
    </w:p>
    <w:p w14:paraId="5F607A3F" w14:textId="77777777" w:rsidR="00C04533" w:rsidRDefault="00C04533" w:rsidP="00C04533">
      <w:pPr>
        <w:pStyle w:val="TextoNormal"/>
      </w:pPr>
    </w:p>
    <w:p w14:paraId="604747DC" w14:textId="77777777" w:rsidR="00C04533" w:rsidRDefault="00C04533" w:rsidP="00C04533">
      <w:pPr>
        <w:pStyle w:val="TextoNormal"/>
      </w:pPr>
      <w:r>
        <w:t>Madrid, a veintidós de octubre de dos mil veinticuatro.</w:t>
      </w:r>
    </w:p>
    <w:p w14:paraId="7947CA39" w14:textId="5225E497" w:rsidR="00C04533" w:rsidRDefault="00C04533">
      <w:pPr>
        <w:spacing w:after="160" w:line="278" w:lineRule="auto"/>
        <w:rPr>
          <w:rFonts w:ascii="Times New Roman" w:eastAsia="Times New Roman" w:hAnsi="Times New Roman" w:cs="Times New Roman"/>
          <w:sz w:val="24"/>
          <w:szCs w:val="24"/>
          <w:lang w:eastAsia="es-ES"/>
        </w:rPr>
      </w:pPr>
      <w:r>
        <w:br w:type="page"/>
      </w:r>
    </w:p>
    <w:p w14:paraId="53F51DA5" w14:textId="77777777" w:rsidR="00C04533" w:rsidRDefault="00C04533" w:rsidP="00C04533">
      <w:pPr>
        <w:pStyle w:val="TtuloResolucin"/>
      </w:pPr>
      <w:bookmarkStart w:id="111" w:name="AUTO_2024_105"/>
      <w:r>
        <w:t>AUTO 105/2024, de 22 de octubre de 2024</w:t>
      </w:r>
    </w:p>
    <w:bookmarkEnd w:id="111"/>
    <w:p w14:paraId="04DF68EE" w14:textId="77777777" w:rsidR="00C04533" w:rsidRDefault="00C04533" w:rsidP="00C04533">
      <w:pPr>
        <w:pStyle w:val="TtuloResolucin"/>
      </w:pPr>
      <w:r>
        <w:t>Pleno</w:t>
      </w:r>
    </w:p>
    <w:p w14:paraId="65130CB7" w14:textId="77777777" w:rsidR="00C04533" w:rsidRDefault="00C04533" w:rsidP="00C04533">
      <w:pPr>
        <w:pStyle w:val="TextoNormalCentrado"/>
      </w:pPr>
      <w:r>
        <w:t>ECLI:ES:TC:2024:105A</w:t>
      </w:r>
    </w:p>
    <w:p w14:paraId="040F01E2" w14:textId="4EC7E117" w:rsidR="00C04533" w:rsidRDefault="00C04533" w:rsidP="00C04533">
      <w:pPr>
        <w:pStyle w:val="TextoNormalCentrado"/>
      </w:pPr>
    </w:p>
    <w:p w14:paraId="6739FBC3"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745978DC" w14:textId="39F0D577" w:rsidR="00C04533" w:rsidRDefault="00C04533" w:rsidP="00C04533">
      <w:pPr>
        <w:pStyle w:val="SntesisDescriptiva"/>
      </w:pPr>
    </w:p>
    <w:p w14:paraId="3213DEAB" w14:textId="77777777" w:rsidR="00C04533" w:rsidRDefault="00C04533" w:rsidP="00C04533">
      <w:pPr>
        <w:pStyle w:val="SntesisDescriptiva"/>
      </w:pPr>
      <w:r>
        <w:t>Inadmite una recusación en el recurso de inconstitucionalidad 6436-2024, interpuesto por más de cincuenta diputados y más de cincuenta senadores del Grupo Parlamentario Popular en el Congreso de los Diputados y en el Senado en relación con la Ley Orgánica 1/2024, de 10 de junio, de amnistía para la normalización institucional, política y social en Cataluña. Votos particulares.</w:t>
      </w:r>
    </w:p>
    <w:p w14:paraId="7A2EAE64" w14:textId="53EFD038" w:rsidR="00C04533" w:rsidRDefault="00C04533" w:rsidP="00C04533">
      <w:pPr>
        <w:pStyle w:val="SntesisDescriptiva"/>
      </w:pPr>
    </w:p>
    <w:p w14:paraId="4B2E22B9" w14:textId="77777777" w:rsidR="00C04533" w:rsidRDefault="00C04533" w:rsidP="00C04533">
      <w:pPr>
        <w:pStyle w:val="SntesisDescriptiva"/>
      </w:pPr>
    </w:p>
    <w:p w14:paraId="720DA13F" w14:textId="77777777" w:rsidR="00C04533" w:rsidRDefault="00C04533" w:rsidP="00C04533">
      <w:pPr>
        <w:pStyle w:val="SntesisDescriptiva"/>
      </w:pPr>
    </w:p>
    <w:p w14:paraId="525078FC" w14:textId="77777777" w:rsidR="00C04533" w:rsidRDefault="00C04533" w:rsidP="00C04533">
      <w:pPr>
        <w:pStyle w:val="TextoNormalNegritaCentrado"/>
      </w:pPr>
      <w:r>
        <w:t>AUTO</w:t>
      </w:r>
    </w:p>
    <w:p w14:paraId="4E306770" w14:textId="31FD025D" w:rsidR="00C04533" w:rsidRDefault="00C04533" w:rsidP="00C04533">
      <w:pPr>
        <w:pStyle w:val="TextoNormalNegritaCentrado"/>
      </w:pPr>
    </w:p>
    <w:p w14:paraId="408BA89B" w14:textId="77777777" w:rsidR="00C04533" w:rsidRDefault="00C04533" w:rsidP="00C04533">
      <w:pPr>
        <w:pStyle w:val="TextoNormalNegritaCentrado"/>
        <w:keepNext/>
      </w:pPr>
      <w:r>
        <w:t>I. Antecedentes</w:t>
      </w:r>
    </w:p>
    <w:p w14:paraId="4FD08DCC" w14:textId="0EDC9D4F" w:rsidR="00C04533" w:rsidRDefault="00C04533" w:rsidP="00C04533">
      <w:pPr>
        <w:pStyle w:val="TextoNormalNegritaCentrado"/>
        <w:keepNext/>
      </w:pPr>
    </w:p>
    <w:p w14:paraId="164F2D1F" w14:textId="11257799" w:rsidR="00C04533" w:rsidRDefault="00C04533" w:rsidP="00C04533">
      <w:pPr>
        <w:pStyle w:val="TextoNormal"/>
      </w:pPr>
      <w:r w:rsidRPr="00C04533">
        <w:rPr>
          <w:rStyle w:val="NumeroAFNegritaCaracter"/>
        </w:rPr>
        <w:t>1</w:t>
      </w:r>
      <w:r>
        <w:t>. Mediante escrito registrado en este tribunal el 4 de septiembre de 2024, don Manuel Sánchez-Puelles y González-Carvajal, procurador de los tribunales, en nombre y representación de más de cincuenta diputados y de más de cincuenta senadores del Grupo Parlamentario Popular en el Congreso de los Diputados y en el Senado, en el recurso de inconstitucionalidad núm. 6436-2024, promovió la recusación de la magistrada doña Laura Díez Bueso en los términos que seguidamente se expresan.</w:t>
      </w:r>
    </w:p>
    <w:p w14:paraId="2CB29484" w14:textId="77777777" w:rsidR="00C04533" w:rsidRDefault="00C04533" w:rsidP="00C04533">
      <w:pPr>
        <w:pStyle w:val="TextoNormal"/>
      </w:pPr>
    </w:p>
    <w:p w14:paraId="2C97C384" w14:textId="77777777" w:rsidR="00C04533" w:rsidRDefault="00C04533" w:rsidP="00C04533">
      <w:pPr>
        <w:pStyle w:val="TextoNormal"/>
      </w:pPr>
      <w:r w:rsidRPr="00C04533">
        <w:rPr>
          <w:rStyle w:val="NumeroAFNegritaCaracter"/>
        </w:rPr>
        <w:t>2</w:t>
      </w:r>
      <w:r>
        <w:t>. En el escrito de interposición del recurso de inconstitucionalidad y mediante otrosí digo, los recurrentes plantean la recusación de la magistrada doña Laura Díez Bueso basándose en los siguientes fundamentos:</w:t>
      </w:r>
    </w:p>
    <w:p w14:paraId="5641F57D" w14:textId="77777777" w:rsidR="00C04533" w:rsidRDefault="00C04533" w:rsidP="00C04533">
      <w:pPr>
        <w:pStyle w:val="TextoNormal"/>
      </w:pPr>
    </w:p>
    <w:p w14:paraId="69749DC3" w14:textId="77777777" w:rsidR="00C04533" w:rsidRDefault="00C04533" w:rsidP="00C04533">
      <w:pPr>
        <w:pStyle w:val="TextoNormal"/>
      </w:pPr>
      <w:r>
        <w:t xml:space="preserve">a) Las garantías de independencia e imparcialidad judicial del art. 24 CE deben entenderse de manera que no otorguen una protección inferior a la derivada del artículo 6 del Convenio europeo de derechos humanos (CEDH), del mismo modo que el art. 47, párrafo segundo de la Carta de los derechos fundamentales de la Unión Europea, debe interpretarse de modo que salvaguarde un nivel de protección que no sea inferior al nivel de protección establecido en el artículo 6 CEDH (STJUE de 19 de noviembre de 2019, </w:t>
      </w:r>
      <w:r w:rsidRPr="00C04533">
        <w:rPr>
          <w:i/>
        </w:rPr>
        <w:t>A.K. y otros</w:t>
      </w:r>
      <w:r>
        <w:t>, asuntos acumuladosC-585/18, C-624/18 y C-625/18).</w:t>
      </w:r>
    </w:p>
    <w:p w14:paraId="438A663B" w14:textId="77777777" w:rsidR="00C04533" w:rsidRDefault="00C04533" w:rsidP="00C04533">
      <w:pPr>
        <w:pStyle w:val="TextoNormal"/>
      </w:pPr>
    </w:p>
    <w:p w14:paraId="7B1C3E7E" w14:textId="77777777" w:rsidR="00C04533" w:rsidRDefault="00C04533" w:rsidP="00C04533">
      <w:pPr>
        <w:pStyle w:val="TextoNormal"/>
      </w:pPr>
      <w:r>
        <w:t xml:space="preserve">Según la jurisprudencia del Tribunal Europeo de Derechos Humanos sobre el art. 6 CEDH: (i) la independencia judicial es un requisito previo al Estado de derecho y una condición </w:t>
      </w:r>
      <w:r w:rsidRPr="00C04533">
        <w:rPr>
          <w:i/>
        </w:rPr>
        <w:t>sine qua non</w:t>
      </w:r>
      <w:r>
        <w:t xml:space="preserve"> para la propia existencia del derecho a un proceso justo (STEDH, Gran Sala, de 15 de marzo de 2022, asunto </w:t>
      </w:r>
      <w:r w:rsidRPr="00C04533">
        <w:rPr>
          <w:i/>
        </w:rPr>
        <w:t>Grzęda c. Polonia</w:t>
      </w:r>
      <w:r>
        <w:t xml:space="preserve">); (ii) Los conceptos de independencia, imparcialidad y la exigencia de un tribunal establecido por la ley interactúan y requieren de un examen conjunto (SSTEDH, Gran Sala, de 6 de noviembre de 2018, asunto, </w:t>
      </w:r>
      <w:r w:rsidRPr="00C04533">
        <w:rPr>
          <w:i/>
        </w:rPr>
        <w:t>Ramos Nunes de Carvalho e Sá c. Portugal</w:t>
      </w:r>
      <w:r>
        <w:t xml:space="preserve">; de 25 de septiembre de 2018, asunto </w:t>
      </w:r>
      <w:r w:rsidRPr="00C04533">
        <w:rPr>
          <w:i/>
        </w:rPr>
        <w:t>Denisov c. Ucrania</w:t>
      </w:r>
      <w:r>
        <w:t xml:space="preserve">; de 1 de dieiembre de 2020, asunto </w:t>
      </w:r>
      <w:r w:rsidRPr="00C04533">
        <w:rPr>
          <w:i/>
        </w:rPr>
        <w:t>Guðmundur Andri Ástráðsson c. Islandia</w:t>
      </w:r>
      <w:r>
        <w:t>; (iii) para apreciar la independencia de un órgano jurisdiccional debe tenerse en cuenta el modo de designación de sus miembros (</w:t>
      </w:r>
      <w:r w:rsidRPr="00C04533">
        <w:rPr>
          <w:i/>
        </w:rPr>
        <w:t>Ramos Nunes de Carvalho e Sá c. Portugal</w:t>
      </w:r>
      <w:r>
        <w:t xml:space="preserve">; </w:t>
      </w:r>
      <w:r w:rsidRPr="00C04533">
        <w:rPr>
          <w:i/>
        </w:rPr>
        <w:t>Guðmundur Andri Ástráðsson c. Islandia</w:t>
      </w:r>
      <w:r>
        <w:t>); (iv) la independencia denota la impermeabilidad de un juez a la presión externa y la existencia de salvaguardias contra la influencia indebida o la discrecionalidad sin límites en la fase de nombramiento y durante el desempeño de funciones (</w:t>
      </w:r>
      <w:r w:rsidRPr="00C04533">
        <w:rPr>
          <w:i/>
        </w:rPr>
        <w:t>Guðmundur Andri Ástráðsson c. Islandia</w:t>
      </w:r>
      <w:r>
        <w:t>); (v) es necesario proteger la autonomía de los consejos de la judicatura de la injerencia de los poderes legislativo y ejecutivo, y asegurar que cualquier reforma del poder judicial no tiene como resultado el menoscabo de la independencia del Poder Judicial y de sus órganos de gobierno (</w:t>
      </w:r>
      <w:r w:rsidRPr="00C04533">
        <w:rPr>
          <w:i/>
        </w:rPr>
        <w:t>Grzęda c. Polonia</w:t>
      </w:r>
      <w:r>
        <w:t>); (vi) la imparcialidad implica la ausencia de prejuicios o predisposición y admite prueba subjetiva relativa a la convicción personal y el comportamiento de un juez concreto y una prueba objetiva relativa a si la conducta del juez puede suscitar recelos objetivamente sostenidos (</w:t>
      </w:r>
      <w:r w:rsidRPr="00C04533">
        <w:rPr>
          <w:i/>
        </w:rPr>
        <w:t>Ramos Nunes de Carvalho e Sá c. Portugal</w:t>
      </w:r>
      <w:r>
        <w:t xml:space="preserve">); y (vii) los conceptos de independencia e imparcialidad están vinculados y el Tribunal Europeo de Derechos Humanos los examina conjuntamente valorando si existe la necesaria “apariencia” de independencia o la necesidad de imparcialidad objetiva (STEDH de 9 de noviembre de 2006, asunto </w:t>
      </w:r>
      <w:r w:rsidRPr="00C04533">
        <w:rPr>
          <w:i/>
        </w:rPr>
        <w:t>Sacilor Lormines c. Francia</w:t>
      </w:r>
      <w:r>
        <w:t>).</w:t>
      </w:r>
    </w:p>
    <w:p w14:paraId="744B2892" w14:textId="77777777" w:rsidR="00C04533" w:rsidRDefault="00C04533" w:rsidP="00C04533">
      <w:pPr>
        <w:pStyle w:val="TextoNormal"/>
      </w:pPr>
    </w:p>
    <w:p w14:paraId="54B50F2F" w14:textId="77777777" w:rsidR="00C04533" w:rsidRDefault="00C04533" w:rsidP="00C04533">
      <w:pPr>
        <w:pStyle w:val="TextoNormal"/>
      </w:pPr>
      <w:r>
        <w:t>De toda esta jurisprudencia deducen los recurrentes, citando el ATC 48/2021, de 21 de abril, que “el elenco de causas de recusación previstas en el art. 219 de la Ley Orgánica del Poder Judicial (LOPJ) no acoge todos los supuestos en los que cabe apoyar una duda sobre la imparcialidad judicial”, de modo que, dado que la independencia e imparcialidad judicial son presupuestos del propio Estado de Derecho y del derecho a un proceso equitativo, la concurrencia de hechos objetivos que permitan suscitar dudas sobre la imparcialidad de un juez deben determinar su apartamiento del proceso, dado que está en juego la confianza que deben inspirar los tribunales de una sociedad democrática.</w:t>
      </w:r>
    </w:p>
    <w:p w14:paraId="47717BAB" w14:textId="77777777" w:rsidR="00C04533" w:rsidRDefault="00C04533" w:rsidP="00C04533">
      <w:pPr>
        <w:pStyle w:val="TextoNormal"/>
      </w:pPr>
    </w:p>
    <w:p w14:paraId="19DBED09" w14:textId="77777777" w:rsidR="00C04533" w:rsidRDefault="00C04533" w:rsidP="00C04533">
      <w:pPr>
        <w:pStyle w:val="TextoNormal"/>
      </w:pPr>
      <w:r>
        <w:t>b) Sentadas las anteriores consideraciones generales, bajo el título “Recusación de la Excelentísima señora magistrada doña Laura Díez Bueso”, los recurrentes comienzan destacando que la señora Díez Bueso fue nombrada magistrada del Tribunal Constitucional a propuesta del Gobierno del Partido Socialista Obrero Español (PSOE) presidido por el señor Sánchez “tras una extensa carrera política al servicio del Partido Socialista de Cataluña (PSC) y del propio Gobierno socialista presidido por el señor Sánchez, inmediatamente antes de su nombramiento”.</w:t>
      </w:r>
    </w:p>
    <w:p w14:paraId="03D74062" w14:textId="77777777" w:rsidR="00C04533" w:rsidRDefault="00C04533" w:rsidP="00C04533">
      <w:pPr>
        <w:pStyle w:val="TextoNormal"/>
      </w:pPr>
    </w:p>
    <w:p w14:paraId="394A13CC" w14:textId="77777777" w:rsidR="00C04533" w:rsidRDefault="00C04533" w:rsidP="00C04533">
      <w:pPr>
        <w:pStyle w:val="TextoNormal"/>
      </w:pPr>
      <w:r>
        <w:t>Se refieren a continuación a que, en el marco de las competencias que correspondían a la magistrada como directora general de Asuntos Constitucionales y Coordinación Jurídica en el gobierno socialista anterior al actual, “tuvo participación, al menos, en la formación de criterio del propio Ministerio de la Presidencia para la deliberación y aprobación de las propuestas motivadas que desembocaron en los referidos indultos parciales [a los dirigentes catalanes condenados por la STS 459/2019]” y “debió intervenir en la fijación del criterio del Ministerio sobre la constitucionalidad de tales indultos parciales y sobre la constitucionalidad de la propia amnistía (negada de forma contundente por las citadas propuestas)”. A juicio de los recurrentes, de lo anterior resulta “un evidente motivo de abstención”, sin mayor precisión.</w:t>
      </w:r>
    </w:p>
    <w:p w14:paraId="437C2C49" w14:textId="77777777" w:rsidR="00C04533" w:rsidRDefault="00C04533" w:rsidP="00C04533">
      <w:pPr>
        <w:pStyle w:val="TextoNormal"/>
      </w:pPr>
    </w:p>
    <w:p w14:paraId="007AB2E5" w14:textId="77777777" w:rsidR="00C04533" w:rsidRDefault="00C04533" w:rsidP="00C04533">
      <w:pPr>
        <w:pStyle w:val="TextoNormal"/>
      </w:pPr>
      <w:r>
        <w:t xml:space="preserve">Aprecian acto seguido otra razón para recusar a la magistrada con base en el contenido de un artículo colectivo firmado, entre otros, por la señora Díez Bueso en 2018, </w:t>
      </w:r>
      <w:r w:rsidRPr="00C04533">
        <w:rPr>
          <w:i/>
        </w:rPr>
        <w:t>Valoración general del Estado autonómico</w:t>
      </w:r>
      <w:r>
        <w:t>. Sostienen que en él, según información aparecida en el diario “El Mundo”, “lamenta” que el procés acabara con la aplicación del art. 155 CE y se pronuncia “explícitamente en la misma línea en la que el preámbulo de la Ley Orgánica 1/2024 [de 10 de junio, de amnistía para la normalización institucional, política y social en Cataluña] trata de justificar la procedencia de la amnistía: la necesidad de devolver el conflicto a la política”. Esas manifestaciones suponen, a su entender una toma de postura previa que, en un asunto de la relevancia política que tiene el presente, obliga a la abstención de la magistrada para mantener la confianza en la justicia, aquí, la justicia de mayor trascendencia.</w:t>
      </w:r>
    </w:p>
    <w:p w14:paraId="36B5A8C6" w14:textId="77777777" w:rsidR="00C04533" w:rsidRDefault="00C04533" w:rsidP="00C04533">
      <w:pPr>
        <w:pStyle w:val="TextoNormal"/>
      </w:pPr>
    </w:p>
    <w:p w14:paraId="08C205C2" w14:textId="77777777" w:rsidR="00C04533" w:rsidRDefault="00C04533" w:rsidP="00C04533">
      <w:pPr>
        <w:pStyle w:val="TextoNormal"/>
      </w:pPr>
      <w:r>
        <w:t>Por último, se aduce que la señora Díez Bueso, como directora general de Asuntos Constitucionales y Coordinación Jurídica entre 2020 y 2022 “no solo ha estado bajo la dependencia jerárquica del actual presidente del Gobierno, sino también de quien a todas luces ha dirigido la negociación de la proposición que desembocó en la Ley Orgánica 1/2024. Nos referimos a don Félix Bolaños García”. Los recurrentes mantienen que esa subordinación a dos de los principales impulsores de la Ley Orgánica 1/2024 determina la procedencia de la abstención con base en los apartados decimosegundo y decimocuarto del art. 219 LOPJ, pues, si en ellos se atiende a que alguna de las partes sea un subordinado del juez, mayor razón avala la abstención cuando el juez ha sido subordinado de la autoridad o funcionario que ha intervenido de manera relevante en la norma impugnada.</w:t>
      </w:r>
    </w:p>
    <w:p w14:paraId="03A05777" w14:textId="77777777" w:rsidR="00C04533" w:rsidRDefault="00C04533" w:rsidP="00C04533">
      <w:pPr>
        <w:pStyle w:val="TextoNormal"/>
      </w:pPr>
    </w:p>
    <w:p w14:paraId="25219F90" w14:textId="20CDBA13" w:rsidR="00C04533" w:rsidRDefault="00C04533" w:rsidP="00C04533">
      <w:pPr>
        <w:pStyle w:val="TextoNormal"/>
      </w:pPr>
      <w:r>
        <w:t>Las consideraciones relativas a la recusación de la magistrada terminan con la afirmación de que “concurrirían los motivos de abstención de los apartados décimo, decimotercero, decimosexto, decimosegundo y decimocuarto del art. 219 LOPJ”.</w:t>
      </w:r>
    </w:p>
    <w:p w14:paraId="28C11CA5" w14:textId="77777777" w:rsidR="00C04533" w:rsidRDefault="00C04533" w:rsidP="00C04533">
      <w:pPr>
        <w:pStyle w:val="TextoNormal"/>
      </w:pPr>
    </w:p>
    <w:p w14:paraId="7DBAF22F" w14:textId="07E9E612" w:rsidR="00C04533" w:rsidRDefault="00C04533" w:rsidP="00C04533">
      <w:pPr>
        <w:pStyle w:val="TextoNormal"/>
      </w:pPr>
      <w:r w:rsidRPr="00C04533">
        <w:rPr>
          <w:rStyle w:val="NumeroAFNegritaCaracter"/>
        </w:rPr>
        <w:t>3</w:t>
      </w:r>
      <w:r>
        <w:t>. Por diligencia de ordenación fechada el 1 de octubre de 2024, se designó ponente para el conocimiento de la recusación al magistrado don Ramón Sáez Valcárcel, a quien correspondía por turno de reparto.</w:t>
      </w:r>
    </w:p>
    <w:p w14:paraId="37BE94D1" w14:textId="77777777" w:rsidR="00C04533" w:rsidRDefault="00C04533" w:rsidP="00C04533">
      <w:pPr>
        <w:pStyle w:val="TextoNormal"/>
      </w:pPr>
    </w:p>
    <w:p w14:paraId="6ADA56C1" w14:textId="71644CE6" w:rsidR="00C04533" w:rsidRDefault="00C04533" w:rsidP="00C04533">
      <w:pPr>
        <w:pStyle w:val="TextoNormal"/>
      </w:pPr>
      <w:r w:rsidRPr="00C04533">
        <w:rPr>
          <w:rStyle w:val="NumeroAFNegritaCaracter"/>
        </w:rPr>
        <w:t>4</w:t>
      </w:r>
      <w:r>
        <w:t>. Finalmente ha de advertirse que en la composición del Tribunal solo intervienen nueve magistradas y magistrados porque están ausentes, en primer lugar, la magistrada de cuya resolución se trata aquí, hay otro abstenido y uno más cuya recusación está pendiente.</w:t>
      </w:r>
    </w:p>
    <w:p w14:paraId="4A6D1F28" w14:textId="77777777" w:rsidR="00C04533" w:rsidRDefault="00C04533" w:rsidP="00C04533">
      <w:pPr>
        <w:pStyle w:val="TextoNormal"/>
      </w:pPr>
    </w:p>
    <w:p w14:paraId="3DBA98DD" w14:textId="77777777" w:rsidR="00C04533" w:rsidRDefault="00C04533" w:rsidP="00C04533">
      <w:pPr>
        <w:pStyle w:val="TextoNormalNegritaCentrado"/>
        <w:keepNext/>
      </w:pPr>
      <w:r>
        <w:t>II. Fundamentos jurídicos</w:t>
      </w:r>
    </w:p>
    <w:p w14:paraId="600960DC" w14:textId="62D5C384" w:rsidR="00C04533" w:rsidRDefault="00C04533" w:rsidP="00C04533">
      <w:pPr>
        <w:pStyle w:val="TextoNormalNegritaCentrado"/>
        <w:keepNext/>
      </w:pPr>
    </w:p>
    <w:p w14:paraId="7956BEBC" w14:textId="77777777" w:rsidR="00C04533" w:rsidRDefault="00C04533" w:rsidP="00C04533">
      <w:pPr>
        <w:pStyle w:val="TextoNormal"/>
      </w:pPr>
      <w:r w:rsidRPr="00C04533">
        <w:rPr>
          <w:rStyle w:val="NumeroAFNegritaCaracter"/>
        </w:rPr>
        <w:t>1</w:t>
      </w:r>
      <w:r>
        <w:t>. El objeto de este incidente es resolver la recusación de la magistrada doña Laura Díez Bueso, que los demandantes fundamentan en la concurrencia de las causas de abstención y recusación décima, decimotercera, decimosexta, decimosegunda y decimocuarta del art. 219 LOPJ, que vinculan con su carrera política vinculada al PSC y al PSOE; su participación en la aprobación de los indultos parciales concedidos a los condenados en la STS 459/2019 (ECLI:ES:TS:2019:2997) y la fijación del criterio del Ministerio de la Presidencia sobre la constitucionalidad de los indultos y la amnistía; el contenido de un artículo colectivo en el que se aboga por una solución política al conflicto catalán en línea con el preámbulo de la ley de amnistía, y su actividad bajo la dependencia jerárquica de quienes han sido dos de los principales impulsores de la citada ley, única circunstancia que reconducen expresamente a una concreta causa de abstención/recusación: los apartados decimosegundo y decimocuarto del art. 219 LOPJ.</w:t>
      </w:r>
    </w:p>
    <w:p w14:paraId="2482E6E8" w14:textId="77777777" w:rsidR="00C04533" w:rsidRDefault="00C04533" w:rsidP="00C04533">
      <w:pPr>
        <w:pStyle w:val="TextoNormal"/>
      </w:pPr>
    </w:p>
    <w:p w14:paraId="286DBD0F" w14:textId="77777777" w:rsidR="00C04533" w:rsidRDefault="00C04533" w:rsidP="00C04533">
      <w:pPr>
        <w:pStyle w:val="TextoNormal"/>
      </w:pPr>
      <w:r>
        <w:t>Las causas de recusación invocadas por los recurrentes sin mayor precisión subsuntiva son:</w:t>
      </w:r>
    </w:p>
    <w:p w14:paraId="6E229A6C" w14:textId="77777777" w:rsidR="00C04533" w:rsidRDefault="00C04533" w:rsidP="00C04533">
      <w:pPr>
        <w:pStyle w:val="TextoNormal"/>
      </w:pPr>
    </w:p>
    <w:p w14:paraId="31137F87" w14:textId="77777777" w:rsidR="00C04533" w:rsidRDefault="00C04533" w:rsidP="00C04533">
      <w:pPr>
        <w:pStyle w:val="TextoNormal"/>
      </w:pPr>
      <w:r>
        <w:t>- Art. 219.10 LOPJ: Tener interés directo o indirecto en el pleito o causa.</w:t>
      </w:r>
    </w:p>
    <w:p w14:paraId="0A31ADD3" w14:textId="77777777" w:rsidR="00C04533" w:rsidRDefault="00C04533" w:rsidP="00C04533">
      <w:pPr>
        <w:pStyle w:val="TextoNormal"/>
      </w:pPr>
    </w:p>
    <w:p w14:paraId="6109DF35" w14:textId="77777777" w:rsidR="00C04533" w:rsidRDefault="00C04533" w:rsidP="00C04533">
      <w:pPr>
        <w:pStyle w:val="TextoNormal"/>
      </w:pPr>
      <w:r>
        <w:t>- Art. 219.13 LOPJ: Haber ocupado cargo público, desempeñado empleo o ejercido profesión con ocasión de los cuales haya participado directa o indirectamente en el asunto objeto del pleito o causa o en otro relacionado con el mismo.</w:t>
      </w:r>
    </w:p>
    <w:p w14:paraId="6442B375" w14:textId="77777777" w:rsidR="00C04533" w:rsidRDefault="00C04533" w:rsidP="00C04533">
      <w:pPr>
        <w:pStyle w:val="TextoNormal"/>
      </w:pPr>
    </w:p>
    <w:p w14:paraId="07C05932" w14:textId="77777777" w:rsidR="00C04533" w:rsidRDefault="00C04533" w:rsidP="00C04533">
      <w:pPr>
        <w:pStyle w:val="TextoNormal"/>
      </w:pPr>
      <w:r>
        <w:t>- Art. 219.16 LOPJ: Haber ocupado el juez o magistrado cargo público o administrativo con ocasión del cual haya podido tener conocimiento del objeto del litigio y formar criterio en detrimento de la debida imparcialidad.</w:t>
      </w:r>
    </w:p>
    <w:p w14:paraId="6F1497E7" w14:textId="77777777" w:rsidR="00C04533" w:rsidRDefault="00C04533" w:rsidP="00C04533">
      <w:pPr>
        <w:pStyle w:val="TextoNormal"/>
      </w:pPr>
    </w:p>
    <w:p w14:paraId="1FA87552" w14:textId="77777777" w:rsidR="00C04533" w:rsidRDefault="00C04533" w:rsidP="00C04533">
      <w:pPr>
        <w:pStyle w:val="TextoNormal"/>
      </w:pPr>
      <w:r>
        <w:t>- Art. 219.12 LOPJ: Ser o haber sido una de las partes subordinado del juez que deba resolver la contienda litigiosa.</w:t>
      </w:r>
    </w:p>
    <w:p w14:paraId="3290AC80" w14:textId="77777777" w:rsidR="00C04533" w:rsidRDefault="00C04533" w:rsidP="00C04533">
      <w:pPr>
        <w:pStyle w:val="TextoNormal"/>
      </w:pPr>
    </w:p>
    <w:p w14:paraId="27F2AB5C" w14:textId="7FE74421" w:rsidR="00C04533" w:rsidRDefault="00C04533" w:rsidP="00C04533">
      <w:pPr>
        <w:pStyle w:val="TextoNormal"/>
      </w:pPr>
      <w:r>
        <w:t>- Art. 219.14 LOPJ: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1 a 9, 12, 13 y 15 de este artículo.</w:t>
      </w:r>
    </w:p>
    <w:p w14:paraId="01198E72" w14:textId="77777777" w:rsidR="00C04533" w:rsidRDefault="00C04533" w:rsidP="00C04533">
      <w:pPr>
        <w:pStyle w:val="TextoNormal"/>
      </w:pPr>
    </w:p>
    <w:p w14:paraId="0C01D4BD" w14:textId="0396534D" w:rsidR="00C04533" w:rsidRDefault="00C04533" w:rsidP="00C04533">
      <w:pPr>
        <w:pStyle w:val="TextoNormal"/>
      </w:pPr>
      <w:r w:rsidRPr="00C04533">
        <w:rPr>
          <w:rStyle w:val="NumeroAFNegritaCaracter"/>
        </w:rPr>
        <w:t>2</w:t>
      </w:r>
      <w:r>
        <w:t>. El Tribunal ha reiterado la posibilidad de denegar la tramitación del incidente de recusación cuando lo requieran razones procesales o de fondo. Las razones para la inadmisión pueden sustentarse en su defectuoso planteamiento procesal, en la falta de invocación de una causa legal, la ausencia de expresión de los hechos concretos en que la parte funde la afirmación de parcialidad o que los hechos ofrecidos no constituyan el presupuesto fáctico de los que configuran la causa invocada (ATC 109/1981, de 30 de octubre, FJ 2); la inadmisión también puede estar motivada por el momento en que se suscita, es decir su extemporaneidad, por su reiteración, las circunstancias que lo rodean o las argumentaciones que la fundamentan, porque la pretensión es formulada con manifiesto abuso de derecho o entraña fraude de ley o procesal de acuerdo con lo establecido en el art. 11.2 de la Ley Orgánica del Poder Judicial (así, ATC 42/2024, de 7 de mayo, FJ único).</w:t>
      </w:r>
    </w:p>
    <w:p w14:paraId="46BE10A3" w14:textId="77777777" w:rsidR="00C04533" w:rsidRDefault="00C04533" w:rsidP="00C04533">
      <w:pPr>
        <w:pStyle w:val="TextoNormal"/>
      </w:pPr>
    </w:p>
    <w:p w14:paraId="1723614F" w14:textId="77777777" w:rsidR="00C04533" w:rsidRDefault="00C04533" w:rsidP="00C04533">
      <w:pPr>
        <w:pStyle w:val="TextoNormal"/>
      </w:pPr>
      <w:r w:rsidRPr="00C04533">
        <w:rPr>
          <w:rStyle w:val="NumeroAFNegritaCaracter"/>
        </w:rPr>
        <w:t>3</w:t>
      </w:r>
      <w:r>
        <w:t>. El Tribunal, en atención a la citada jurisprudencia y tomando en consideración la argumentación en que se fundamenta la recusación, deniega liminarmente su tramitación por las razones siguientes:</w:t>
      </w:r>
    </w:p>
    <w:p w14:paraId="42EBB7D8" w14:textId="77777777" w:rsidR="00C04533" w:rsidRDefault="00C04533" w:rsidP="00C04533">
      <w:pPr>
        <w:pStyle w:val="TextoNormal"/>
      </w:pPr>
    </w:p>
    <w:p w14:paraId="51D7222E" w14:textId="77777777" w:rsidR="00C04533" w:rsidRDefault="00C04533" w:rsidP="00C04533">
      <w:pPr>
        <w:pStyle w:val="TextoNormal"/>
      </w:pPr>
      <w:r>
        <w:t>(i) La pretensión se apoya, en primer lugar, en la posible intervención de la señora Díez Bueso en relación con los indultos parciales concedidos a los condenados en la STS 459/2019. No se apela a una intervención acreditada y definida de la recusada, sino a la suposición de que “debió intervenir” en la fijación del criterio del Ministerio de la Presidencia, y no se alude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Bueso cesó el 26 de abril de 2022, iniciándose la tramitación parlamentaria de la Ley Orgánica 1/2024 recurrida como proposición de ley presentada por el Grupo Parlamentario Socialista, el 24 de noviembre de 2023.</w:t>
      </w:r>
    </w:p>
    <w:p w14:paraId="55F28EF6" w14:textId="77777777" w:rsidR="00C04533" w:rsidRDefault="00C04533" w:rsidP="00C04533">
      <w:pPr>
        <w:pStyle w:val="TextoNormal"/>
      </w:pPr>
    </w:p>
    <w:p w14:paraId="2A7A1F88" w14:textId="77777777" w:rsidR="00C04533" w:rsidRDefault="00C04533" w:rsidP="00C04533">
      <w:pPr>
        <w:pStyle w:val="TextoNormal"/>
      </w:pPr>
      <w:r>
        <w:t>Se trata de un discurso que se asienta en circunstancias hipotéticas, sobre actuaciones desconectadas del objeto del recurso de inconstitucionalidad, que no puede acreditar ninguno de los motivos de pérdida de la imparcialidad a los que los recurrentes los anudan. Pues la magistrada señora Díez Bueso no intervino en el asunto al que se refiere el proceso, ni pudo haberse formado criterio previo sobre el mismo, ni ponen de manifiesto que tenga interés directo o indirecto en la causa. Por ello, se puede descartar la concurrencia de alguna de las causas de recusación genéricamente aducidas que carecen de capacidad para justificar una duda sobre su imparcialidad.</w:t>
      </w:r>
    </w:p>
    <w:p w14:paraId="036BE537" w14:textId="77777777" w:rsidR="00C04533" w:rsidRDefault="00C04533" w:rsidP="00C04533">
      <w:pPr>
        <w:pStyle w:val="TextoNormal"/>
      </w:pPr>
    </w:p>
    <w:p w14:paraId="0FB02CA4" w14:textId="77777777" w:rsidR="00C04533" w:rsidRDefault="00C04533" w:rsidP="00C04533">
      <w:pPr>
        <w:pStyle w:val="TextoNormal"/>
      </w:pPr>
      <w:r>
        <w:t>El Tribunal ha señalado que la apreciación de la causa decimosexta del art. 219 LOPJ “exige, como punto de partida, poder establecer una conexión entre el cargo público desempeñado y el objeto concreto del proceso sometido a su posterior consideración y exige también, como conclusión, que quede acreditado que con ocasión del desempeño de dicho cargo el juez aludido haya podido formar criterio contra el recusante” (ATC 18/2006, de 24 de enero, FJ 3). Por lo que se refiere a la causa décima, implica considerar “aquello que proporciona al magistrado una ventaja o beneficio o le evita una carga o perjuicio, para sí o para sus allegados. Ha de tratarse de un interés singularizado en relación con el concreto proceso en que se plantee la recusación y actual” [AATC 17/2020, de 11 de febrero, FJ 3 b); 73/2022, de 27 de abril, FJ 4 a), y 149/2022, de 15 de noviembre, FJ 4 B)]. En el recurso, sin embargo, ni se argumenta sobre la necesaria conexión ni se expone qué potencial provecho derivaría para la magistrada recusada el resultado del proceso constitucional.</w:t>
      </w:r>
    </w:p>
    <w:p w14:paraId="3853A657" w14:textId="77777777" w:rsidR="00C04533" w:rsidRDefault="00C04533" w:rsidP="00C04533">
      <w:pPr>
        <w:pStyle w:val="TextoNormal"/>
      </w:pPr>
    </w:p>
    <w:p w14:paraId="69385978" w14:textId="77777777" w:rsidR="00C04533" w:rsidRDefault="00C04533" w:rsidP="00C04533">
      <w:pPr>
        <w:pStyle w:val="TextoNormal"/>
      </w:pPr>
      <w:r>
        <w:t xml:space="preserve">(ii) Igualmente inefectiva para fundar una duda sobre la imparcialidad de la señora Díez Bueso se revela la aducida coautoría del trabajo académico </w:t>
      </w:r>
      <w:r w:rsidRPr="00C04533">
        <w:rPr>
          <w:i/>
        </w:rPr>
        <w:t>Valoración general del Estado autonómico</w:t>
      </w:r>
      <w:r>
        <w:t>, publicado en el año 2018, al que los recurrentes, por lo demás, aluden por vía indirecta a partir de lo publicado en la prensa sobre su contenido. Ante todo, porque, frente a lo afirmado en el recurso, examinado el texto —un capítulo del “Informe anual sobre las comunidades autónomas”, elaborado por profesores universitarios de toda España—, en ningún lugar se “lamenta” que el procés acabara con la aplicación del art. 155 CE; es más, el trabajo considera que concurría el “supuesto de hecho habilitante” del mecanismo extraordinario de intervención sobre los órganos de las comunidades autónomas. Y, desde luego, no puede entenderse que la defensa de “la voluntad de diálogo político y de acometer las reformas jurídicas necesarias” como vía de solución al conflicto suponga una toma de postura sobre la constitucionalidad de la Ley Orgánica 1/2024, cuestionada en el presente proceso constitucional.</w:t>
      </w:r>
    </w:p>
    <w:p w14:paraId="299396F6" w14:textId="77777777" w:rsidR="00C04533" w:rsidRDefault="00C04533" w:rsidP="00C04533">
      <w:pPr>
        <w:pStyle w:val="TextoNormal"/>
      </w:pPr>
    </w:p>
    <w:p w14:paraId="1D14C6CD" w14:textId="77777777" w:rsidR="00C04533" w:rsidRDefault="00C04533" w:rsidP="00C04533">
      <w:pPr>
        <w:pStyle w:val="TextoNormal"/>
      </w:pPr>
      <w:r>
        <w:t>Ni la magistrada se expresó en los términos que le atribuye la recusación ni el trabajo académico se refiere a la cuestión constitucional que suscita el recurso, de modo que no existe el presupuesto fáctico de la aplicación de las causas de recusación alegadas, pues esos datos no implican prejuicio o previa toma de posición sobre el objeto de la norma sometida a enjuiciamiento constitucional ni permiten fundar la existencia de un interés directo o indirecto en este proceso constitucional (ATC 224/2001, de 18 de julio, FJ 1). Más allá de la falta de presupuesto del motivo, la doctrina constitucional considera que no está justificada la duda de imparcialidad que se vincula a manifestaciones vertidas en publicaciones académicas o artículos de opinión publicados antes de haber adquirido la condición de magistrado, incluso si en ellos se defiende una tesis contraria a una de las partes [ATC 18/2006, de 24 de enero, FJ 5, recientemente, AATC 107/2021, de 15 de diciembre, FJ 4 d); 72/2022, de 27 de abril, FJ 3 B) b), y 149/2022, de 15 de noviembre, FJ 4 A) a)].</w:t>
      </w:r>
    </w:p>
    <w:p w14:paraId="522B4761" w14:textId="77777777" w:rsidR="00C04533" w:rsidRDefault="00C04533" w:rsidP="00C04533">
      <w:pPr>
        <w:pStyle w:val="TextoNormal"/>
      </w:pPr>
    </w:p>
    <w:p w14:paraId="7D76061E" w14:textId="77777777" w:rsidR="00C04533" w:rsidRDefault="00C04533" w:rsidP="00C04533">
      <w:pPr>
        <w:pStyle w:val="TextoNormal"/>
      </w:pPr>
      <w:r>
        <w:t>(iii) El recurso apunta también a una dependencia jerárquica de la señora Díez Bueso respecto a los señores Sánchez y Bolaños, presidente y ministro del Gobierno de la Nación respectivamente, quienes habrían intervenido de manera relevante en la norma impugnada. Se aduce así una relación inversa a la que contempla la invocada causa del art. 219.12 LOPJ, que alude a la subordinación de una parte al juez, y no viceversa, que no puede aceptarse como causa de recusación, como dijimos en el ATC 78/2024, de 10 de septiembre, FJ 3.</w:t>
      </w:r>
    </w:p>
    <w:p w14:paraId="273EF18B" w14:textId="77777777" w:rsidR="00C04533" w:rsidRDefault="00C04533" w:rsidP="00C04533">
      <w:pPr>
        <w:pStyle w:val="TextoNormal"/>
      </w:pPr>
    </w:p>
    <w:p w14:paraId="0835F863" w14:textId="77777777" w:rsidR="00C04533" w:rsidRDefault="00C04533" w:rsidP="00C04533">
      <w:pPr>
        <w:pStyle w:val="TextoNormal"/>
      </w:pPr>
      <w:r>
        <w:t>Por lo demás, respecto a la previsión del art. 219.14 LOPJ este tribunal ha señalado que. “solo de forma extensiva y extravagante son extrapolables a nuestro objeto de enjuiciamiento —una ley orgánica aprobada por el Parlamento con la mayoría reforzada exigida por la norma fundamental—, las referencias a la administración pública y al funcionario que, inserto en su ámbito jerárquico de organización, ha de haber dictado o informado el acto recurrido o realizado el hecho sometido a enjuiciamiento. No cabe olvidar que, en la medida en que las causas de recusación permiten apartar del caso al juez predeterminado por la ley, la interpretación de su ámbito ha de ser restrictiva y vinculada al contenido del derecho a un juez imparcial (STC 162/1999, de 27 de septiembre, FJ 8), interpretación restrictiva que se impone más aún respecto de un órgano, como es el Tribunal Constitucional, cuyos miembros no pueden ser objeto de sustitución (ATC 80/2005, de 17 de febrero)” (ATC 383/2006, de 2 de noviembre, FJ 3).</w:t>
      </w:r>
    </w:p>
    <w:p w14:paraId="5F678124" w14:textId="77777777" w:rsidR="00C04533" w:rsidRDefault="00C04533" w:rsidP="00C04533">
      <w:pPr>
        <w:pStyle w:val="TextoNormal"/>
      </w:pPr>
    </w:p>
    <w:p w14:paraId="1BD592AF" w14:textId="77777777" w:rsidR="00C04533" w:rsidRDefault="00C04533" w:rsidP="00C04533">
      <w:pPr>
        <w:pStyle w:val="TextoNormal"/>
      </w:pPr>
      <w:r>
        <w:t>(iv) En suma, ninguno de los argumentos examinados alcanza a constituir siquiera un principio de prueba de la falta de apariencia de imparcialidad que se alega, sin que sea admisible esgrimir diversas causas de recusación sin argumentar mínimamente las razones por las que se estiman concurrentes. En esta línea y para concluir, debe descartarse que tenga algún valor la genérica alusión a los vínculos de la magistrada señora Díez Bueso con el Partido Socialista de Cataluña, hecho que no se intenta siquiera acreditar. A las consideraciones anteriores sobre la falta de motivación acerca de la concurrencia de las causas de recusación, debemos añadir —con la doctrina constitucional [AATC 73/2022, FJ 4 b), y 149/2022, FJ 4 a)]— que una eventual afinidad ideológica “no es en ningún caso factor que mengüe la imparcialidad para juzgar los asuntos que según su ley orgánica este tribunal debe decidir” (ATC 226/1988, de 16 de febrero, FJ 3) y no constituye por sí sola causa de recusación (ATC 195/1983, de 4 de mayo, STC 162/1999, de 27 de septiembre)”.</w:t>
      </w:r>
    </w:p>
    <w:p w14:paraId="3710C5EB" w14:textId="77777777" w:rsidR="00C04533" w:rsidRDefault="00C04533" w:rsidP="00C04533">
      <w:pPr>
        <w:pStyle w:val="TextoNormal"/>
      </w:pPr>
    </w:p>
    <w:p w14:paraId="4D50C435" w14:textId="35AFCEAC" w:rsidR="00C04533" w:rsidRDefault="00C04533" w:rsidP="00C04533">
      <w:pPr>
        <w:pStyle w:val="TextoNormal"/>
      </w:pPr>
      <w:r>
        <w:t>Por las anteriores razones debe inadmitirse la solicitud de recusación formulada.</w:t>
      </w:r>
    </w:p>
    <w:p w14:paraId="54CA04CF" w14:textId="77777777" w:rsidR="00C04533" w:rsidRDefault="00C04533" w:rsidP="00C04533">
      <w:pPr>
        <w:pStyle w:val="TextoNormal"/>
      </w:pPr>
    </w:p>
    <w:p w14:paraId="2291B49B" w14:textId="77777777" w:rsidR="00C04533" w:rsidRDefault="00C04533" w:rsidP="00C04533">
      <w:pPr>
        <w:pStyle w:val="TextoNormal"/>
      </w:pPr>
      <w:r>
        <w:t>Por lo expuesto, el Pleno</w:t>
      </w:r>
    </w:p>
    <w:p w14:paraId="34BFC93B" w14:textId="3C97B1ED" w:rsidR="00C04533" w:rsidRDefault="00C04533" w:rsidP="00C04533">
      <w:pPr>
        <w:pStyle w:val="TextoNormal"/>
      </w:pPr>
    </w:p>
    <w:p w14:paraId="7B148D9B" w14:textId="77777777" w:rsidR="00C04533" w:rsidRDefault="00C04533" w:rsidP="00C04533">
      <w:pPr>
        <w:pStyle w:val="TextoNormalCentrado"/>
      </w:pPr>
      <w:r>
        <w:t>ACUERDA</w:t>
      </w:r>
    </w:p>
    <w:p w14:paraId="2213F33D" w14:textId="72672C1F" w:rsidR="00C04533" w:rsidRDefault="00C04533" w:rsidP="00C04533">
      <w:pPr>
        <w:pStyle w:val="TextoNormalCentrado"/>
      </w:pPr>
    </w:p>
    <w:p w14:paraId="13E31B5E" w14:textId="59CFD0FD" w:rsidR="00C04533" w:rsidRDefault="00C04533" w:rsidP="00C04533">
      <w:pPr>
        <w:pStyle w:val="TextoNormal"/>
      </w:pPr>
      <w:r>
        <w:t>Inadmitir la recusación de la magistrada doña Laura Díez Bueso promovida por más de cincuenta diputados y más de cincuenta senadores del Grupo Parlamentario Popular, en escrito de 4 de septiembre de 2024, en el recurso de inconstitucionalidad núm. 6436-2024.</w:t>
      </w:r>
    </w:p>
    <w:p w14:paraId="25F6420B" w14:textId="77777777" w:rsidR="00C04533" w:rsidRDefault="00C04533" w:rsidP="00C04533">
      <w:pPr>
        <w:pStyle w:val="TextoNormal"/>
      </w:pPr>
    </w:p>
    <w:p w14:paraId="62B82C73" w14:textId="77777777" w:rsidR="00C04533" w:rsidRDefault="00C04533" w:rsidP="00C04533">
      <w:pPr>
        <w:pStyle w:val="TextoNormal"/>
      </w:pPr>
      <w:r>
        <w:t>Madrid, a veintidós de octubre de dos mil veinticuatro.</w:t>
      </w:r>
    </w:p>
    <w:p w14:paraId="715918AC" w14:textId="0214601F" w:rsidR="00C04533" w:rsidRDefault="00C04533" w:rsidP="00C04533">
      <w:pPr>
        <w:pStyle w:val="ParrafoNormal"/>
      </w:pPr>
    </w:p>
    <w:p w14:paraId="2DB24FA8" w14:textId="77777777" w:rsidR="00C04533" w:rsidRDefault="00C04533" w:rsidP="00C04533">
      <w:pPr>
        <w:pStyle w:val="TextoNormalNegritaCentrado"/>
        <w:keepNext/>
      </w:pPr>
      <w:r>
        <w:t>Voto particular que formula el magistrado don Enrique Arnaldo Alcubilla al auto dictado en el recurso de inconstitucionalidad núm. 6436-2024, que inadmite la recusación de la magistrada doña Laura Díez Bueso</w:t>
      </w:r>
    </w:p>
    <w:p w14:paraId="0515AFEC" w14:textId="2C0A9992" w:rsidR="00C04533" w:rsidRDefault="00C04533" w:rsidP="00C04533">
      <w:pPr>
        <w:pStyle w:val="TextoNormalNegritaCentrado"/>
        <w:keepNext/>
      </w:pPr>
    </w:p>
    <w:p w14:paraId="38882318"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6274881C" w14:textId="77777777" w:rsidR="00C04533" w:rsidRDefault="00C04533" w:rsidP="00C04533">
      <w:pPr>
        <w:pStyle w:val="TextoNormal"/>
      </w:pPr>
    </w:p>
    <w:p w14:paraId="59DB63EB" w14:textId="77777777" w:rsidR="00C04533" w:rsidRDefault="00C04533" w:rsidP="00C04533">
      <w:pPr>
        <w:pStyle w:val="TextoNormal"/>
      </w:pPr>
      <w:r>
        <w:t>El auto, que ha sido dictado por un Pleno del Tribunal compuesto por nueve magistrados (una vez rechazada por el ATC 93/2024, de 8 de octubre, la recusación del presidente don Cándido Conde-Pumpido Tourón), acuerda inadmitir la recusación promovida por más de cincuenta diputados y más de cincuenta senadores del Grupo Parlamentario Popular en el Congreso y en el Senado respecto de la magistrada doña Laura Díez Bueso, en el recurso de inconstitucionalidad interpuesto contra la Ley Orgánica 1/2024, de amnistía para la normalización institucional, política y social en Cataluña.</w:t>
      </w:r>
    </w:p>
    <w:p w14:paraId="7FA27A35" w14:textId="77777777" w:rsidR="00C04533" w:rsidRDefault="00C04533" w:rsidP="00C04533">
      <w:pPr>
        <w:pStyle w:val="TextoNormal"/>
      </w:pPr>
    </w:p>
    <w:p w14:paraId="49CDAD4D" w14:textId="77777777" w:rsidR="00C04533" w:rsidRDefault="00C04533" w:rsidP="00C04533">
      <w:pPr>
        <w:pStyle w:val="TextoNormal"/>
      </w:pPr>
      <w:r>
        <w:t>En resumen, el auto entiende: (i) que la supuesta intervención de la magistrada recusada (cuando desempeñaba el cargo de directora general de Asuntos Constitucionales y Coordinación Jurídica en el Ministerio de la Presidencia) en la aprobación de los indultos parciales concedidos a los condenados por la sentencia de la Sala de lo Penal del Tribunal Supremo recaída en la causa especial núm. 20907-2017 no puede sustentar su recusación, porque se asienta en circunstancias hipotéticas, no acreditadas y sobre actuaciones desconectadas del objeto del recurso de inconstitucionalidad; (ii) que el contenido de su participación en un trabajo académico colectivo (“Informe anual sobre las comunidades autónomas”, 2018), tampoco permite fundar una duda sobre su imparcialidad, pues no puede entenderse que abogar allí por “la voluntad de diálogo político y de acometer las reformas jurídicas necesarias” como vía de solución al conflicto independentista catalán suponga una toma de postura sobre la constitucionalidad de la Ley Orgánica 1/2024; (iii) que la dependencia jerárquica de la recusada (cuando desempeñaba el referido cargo de directora general) respecto del presidente del Gobierno y del ministro de la Presidencia, quienes habrían intervenido de manera relevante en la aprobación de la Ley Orgánica 1/2024 según los recurrentes, no puede aceptarse como causa de recusación, pues se aduce una relación inversa a la que prevé la invocada causa del art. 219.12 LOPJ, que alude a la subordinación de una parte al juez, y no al revés. En fin, se descarta que la recusación pueda sustentarse en la genérica alusión a los supuestos vínculos ideológicos de la magistrada recusada con un determinado partido político.</w:t>
      </w:r>
    </w:p>
    <w:p w14:paraId="7284EB7D" w14:textId="77777777" w:rsidR="00C04533" w:rsidRDefault="00C04533" w:rsidP="00C04533">
      <w:pPr>
        <w:pStyle w:val="TextoNormal"/>
      </w:pPr>
    </w:p>
    <w:p w14:paraId="5A600353" w14:textId="77777777" w:rsidR="00C04533" w:rsidRDefault="00C04533" w:rsidP="00C04533">
      <w:pPr>
        <w:pStyle w:val="TextoNormal"/>
      </w:pPr>
      <w:r>
        <w:t>No disiento en este punto del auto aprobado por la mayoría del Pleno, pues comparto la decisión de inadmitir la recusación de la magistrada doña Laura Díez Bueso por las razones que allí se indican. Por ello mi voto particular es concurrente en cuanto que asumo el fallo, pero no comparto que en la decisión haya intervenido el presidente del Tribunal que fue también recusado en el presente recurso.</w:t>
      </w:r>
    </w:p>
    <w:p w14:paraId="49D7562D" w14:textId="77777777" w:rsidR="00C04533" w:rsidRDefault="00C04533" w:rsidP="00C04533">
      <w:pPr>
        <w:pStyle w:val="TextoNormal"/>
      </w:pPr>
    </w:p>
    <w:p w14:paraId="7CE1D02C" w14:textId="77777777" w:rsidR="00C04533" w:rsidRDefault="00C04533" w:rsidP="00C04533">
      <w:pPr>
        <w:pStyle w:val="TextoNormal"/>
      </w:pPr>
      <w:r>
        <w:t>En efecto, mi discrepancia con este auto, al igual que sucedía con el ATC 93/2024, que inadmitió la recusación del presidente del Tribunal don Cándido Conde-Pumpido Tourón (replicada en posteriores autos de 22 de octubre de 2024), se refiere a la composición del Pleno para la resolución de este incidente de recusación, pues no se explican suficientemente las razones por las que está integrado por nueve magistrados (incluido el presidente y con la exclusión de un magistrado cuya recusación debió inadmitirse de plano por prematura), ni tampoco, y esto es lo fundamental, por qué se resuelven de manera separada las recusaciones del presidente del Tribunal y de la magistrada doña Laura Díez Bueso, a los que los parlamentarios recurrentes han recusado conjuntamente (así como al magistrado don Juan Carlos Campo Moreno, si bien la abstención de este ya fue aceptada por el Tribunal en el ATC 91/2024, de 24 de septiembre).</w:t>
      </w:r>
    </w:p>
    <w:p w14:paraId="4CFABE05" w14:textId="77777777" w:rsidR="00C04533" w:rsidRDefault="00C04533" w:rsidP="00C04533">
      <w:pPr>
        <w:pStyle w:val="TextoNormal"/>
      </w:pPr>
    </w:p>
    <w:p w14:paraId="6A0C2672" w14:textId="77777777" w:rsidR="00C04533" w:rsidRDefault="00C04533" w:rsidP="00C04533">
      <w:pPr>
        <w:pStyle w:val="TextoNormal"/>
      </w:pPr>
      <w: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los recurrentes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14:paraId="7FDC6C2E" w14:textId="77777777" w:rsidR="00C04533" w:rsidRDefault="00C04533" w:rsidP="00C04533">
      <w:pPr>
        <w:pStyle w:val="TextoNormal"/>
      </w:pPr>
    </w:p>
    <w:p w14:paraId="2C336FD6"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los recurrentes,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14:paraId="220DBE6D" w14:textId="77777777" w:rsidR="00C04533" w:rsidRDefault="00C04533" w:rsidP="00C04533">
      <w:pPr>
        <w:pStyle w:val="TextoNormal"/>
      </w:pPr>
    </w:p>
    <w:p w14:paraId="00923436" w14:textId="77777777" w:rsidR="00C04533" w:rsidRDefault="00C04533" w:rsidP="00C04533">
      <w:pPr>
        <w:pStyle w:val="TextoNormal"/>
      </w:pPr>
      <w:r>
        <w:t>Como consecuencia de la extravagante decisión de resolver separadamente ambas recusaciones, resulta que tras rechazar el Tribunal la recusación del presidente don Cándido Conde-Pumpido Tourón (ATC 93/2024, de 8 de octubre), este ha podido intervenir en el Pleno que ha aprobado el presente auto, que rechaza la recusación de la magistrada doña Laura Díez, sin que ello resulte justificado ni sea justificable.</w:t>
      </w:r>
    </w:p>
    <w:p w14:paraId="36D51E8E" w14:textId="77777777" w:rsidR="00C04533" w:rsidRDefault="00C04533" w:rsidP="00C04533">
      <w:pPr>
        <w:pStyle w:val="TextoNormal"/>
      </w:pPr>
    </w:p>
    <w:p w14:paraId="1028AB0F" w14:textId="77777777" w:rsidR="00C04533" w:rsidRDefault="00C04533" w:rsidP="00C04533">
      <w:pPr>
        <w:pStyle w:val="TextoNormal"/>
      </w:pPr>
      <w:r>
        <w:t>En fin, no debe dejarse de señalar que tampoco se explican (al igual que sucediera en los autos de 8 y 22 de octubre de 2024 referidos al presidente del Tribunal) las razones que llevan a excluir al magistrado don José María Macías Castaño de la composición del Pleno que ha dictado el auto que nos ocupa, más allá del lacónico enunciado del antecedente cuarto.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de los interpuestos contra la Ley Orgánica 1/2024, en que dicha recusación ha sido planteada por la parte recurrente, en la propia demanda o en escrito posterior.</w:t>
      </w:r>
    </w:p>
    <w:p w14:paraId="744FB067" w14:textId="77777777" w:rsidR="00C04533" w:rsidRDefault="00C04533" w:rsidP="00C04533">
      <w:pPr>
        <w:pStyle w:val="TextoNormal"/>
      </w:pPr>
    </w:p>
    <w:p w14:paraId="1D10FA36" w14:textId="77777777" w:rsidR="00C04533" w:rsidRDefault="00C04533" w:rsidP="00C04533">
      <w:pPr>
        <w:pStyle w:val="TextoNormal"/>
      </w:pPr>
      <w:r>
        <w:t>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Castaño, mientras que este magistrado habrá sido excluido de intervenir en la decisión de las recusaciones del presidente don Cándido Conde-Pumpido Tourón y de la magistrada doña Laura Díez Bueso. En otras palabras, la recusación formulada respecto del magistrado don José María Macías Castaño será resuelta por un colegio de diez magistrados, incluidos los dos citados, en la previsión indicada, pero ese magistrado no habrá podido intervenir en la resolución de la recusación que afecta a aquellos dos magistrados.</w:t>
      </w:r>
    </w:p>
    <w:p w14:paraId="6C63A853" w14:textId="77777777" w:rsidR="00C04533" w:rsidRDefault="00C04533" w:rsidP="00C04533">
      <w:pPr>
        <w:pStyle w:val="TextoNormal"/>
      </w:pPr>
    </w:p>
    <w:p w14:paraId="646BDFD9"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16941682" w14:textId="77777777" w:rsidR="00C04533" w:rsidRDefault="00C04533" w:rsidP="00C04533">
      <w:pPr>
        <w:pStyle w:val="TextoNormal"/>
      </w:pPr>
    </w:p>
    <w:p w14:paraId="1DC88649" w14:textId="383AC404" w:rsidR="00C04533" w:rsidRDefault="00C04533" w:rsidP="00C04533">
      <w:pPr>
        <w:pStyle w:val="TextoNormal"/>
      </w:pPr>
      <w:r>
        <w:t>Madrid, a veintidós de octubre de dos mil veinticuatro.</w:t>
      </w:r>
    </w:p>
    <w:p w14:paraId="322FA211" w14:textId="77777777" w:rsidR="00C04533" w:rsidRDefault="00C04533" w:rsidP="00C04533">
      <w:pPr>
        <w:pStyle w:val="TextoNormal"/>
      </w:pPr>
    </w:p>
    <w:p w14:paraId="5CFA04D7" w14:textId="77777777" w:rsidR="00C04533" w:rsidRDefault="00C04533" w:rsidP="00C04533">
      <w:pPr>
        <w:pStyle w:val="TextoNormalNegritaCentrado"/>
        <w:keepNext/>
      </w:pPr>
      <w:r>
        <w:t>Voto particular discrepante que formula la magistrada doña Concepción Espejel Jorquera al auto de 22 de octubre de 2024, dictado en el incidente de recusación de la magistrada del Tribunal, doña Laura Díez Bueso, planteado en el recurso de inconstitucionalidad núm. 6436-2024</w:t>
      </w:r>
    </w:p>
    <w:p w14:paraId="27625B4B" w14:textId="71477254" w:rsidR="00C04533" w:rsidRDefault="00C04533" w:rsidP="00C04533">
      <w:pPr>
        <w:pStyle w:val="TextoNormalNegritaCentrado"/>
        <w:keepNext/>
      </w:pPr>
    </w:p>
    <w:p w14:paraId="2A005AD8" w14:textId="77777777" w:rsidR="00C04533" w:rsidRDefault="00C04533" w:rsidP="00C04533">
      <w:pPr>
        <w:pStyle w:val="TextoNormal"/>
      </w:pPr>
      <w:r>
        <w:t>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14:paraId="12863646" w14:textId="77777777" w:rsidR="00C04533" w:rsidRDefault="00C04533" w:rsidP="00C04533">
      <w:pPr>
        <w:pStyle w:val="TextoNormal"/>
      </w:pPr>
    </w:p>
    <w:p w14:paraId="30ADD8C0" w14:textId="77777777" w:rsidR="00C04533" w:rsidRDefault="00C04533" w:rsidP="00C04533">
      <w:pPr>
        <w:pStyle w:val="TextoNormal"/>
      </w:pPr>
      <w:r>
        <w:t>Me remito al voto particular formulado en el ATC 93/2024, de 8 de octubre, en el mismo recurso de inconstitucionalidad (recusación del señor Conde-Pumpido),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5E0CA1F6" w14:textId="77777777" w:rsidR="00C04533" w:rsidRDefault="00C04533" w:rsidP="00C04533">
      <w:pPr>
        <w:pStyle w:val="TextoNormal"/>
      </w:pPr>
    </w:p>
    <w:p w14:paraId="6D166494"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14:paraId="7701FC04" w14:textId="77777777" w:rsidR="00C04533" w:rsidRDefault="00C04533" w:rsidP="00C04533">
      <w:pPr>
        <w:pStyle w:val="TextoNormal"/>
      </w:pPr>
    </w:p>
    <w:p w14:paraId="5BE3B855" w14:textId="77777777" w:rsidR="00C04533" w:rsidRDefault="00C04533" w:rsidP="00C04533">
      <w:pPr>
        <w:pStyle w:val="TextoNormal"/>
      </w:pPr>
      <w:r>
        <w:t>Por lo expuesto, formulo el presente voto particular.</w:t>
      </w:r>
    </w:p>
    <w:p w14:paraId="4C35FC32" w14:textId="77777777" w:rsidR="00C04533" w:rsidRDefault="00C04533" w:rsidP="00C04533">
      <w:pPr>
        <w:pStyle w:val="TextoNormal"/>
      </w:pPr>
    </w:p>
    <w:p w14:paraId="3617B0AA" w14:textId="2E26128F" w:rsidR="00C04533" w:rsidRDefault="00C04533" w:rsidP="00C04533">
      <w:pPr>
        <w:pStyle w:val="TextoNormal"/>
      </w:pPr>
      <w:r>
        <w:t>Madrid, a veintidós de octubre de dos mil veinticuatro.</w:t>
      </w:r>
    </w:p>
    <w:p w14:paraId="51572F90" w14:textId="18C89636" w:rsidR="00C04533" w:rsidRDefault="00C04533">
      <w:pPr>
        <w:spacing w:after="160" w:line="278" w:lineRule="auto"/>
        <w:rPr>
          <w:rFonts w:ascii="Times New Roman" w:eastAsia="Times New Roman" w:hAnsi="Times New Roman" w:cs="Times New Roman"/>
          <w:sz w:val="24"/>
          <w:szCs w:val="24"/>
          <w:lang w:eastAsia="es-ES"/>
        </w:rPr>
      </w:pPr>
      <w:r>
        <w:br w:type="page"/>
      </w:r>
    </w:p>
    <w:p w14:paraId="5CE74256" w14:textId="77777777" w:rsidR="00C04533" w:rsidRDefault="00C04533" w:rsidP="00C04533">
      <w:pPr>
        <w:pStyle w:val="TtuloResolucin"/>
      </w:pPr>
      <w:bookmarkStart w:id="112" w:name="AUTO_2024_106"/>
      <w:r>
        <w:t>AUTO 106/2024, de 22 de octubre de 2024</w:t>
      </w:r>
    </w:p>
    <w:bookmarkEnd w:id="112"/>
    <w:p w14:paraId="7C3EEE32" w14:textId="77777777" w:rsidR="00C04533" w:rsidRDefault="00C04533" w:rsidP="00C04533">
      <w:pPr>
        <w:pStyle w:val="TtuloResolucin"/>
      </w:pPr>
      <w:r>
        <w:t>Pleno</w:t>
      </w:r>
    </w:p>
    <w:p w14:paraId="6DA18BF3" w14:textId="77777777" w:rsidR="00C04533" w:rsidRDefault="00C04533" w:rsidP="00C04533">
      <w:pPr>
        <w:pStyle w:val="TextoNormalCentrado"/>
      </w:pPr>
      <w:r>
        <w:t>ECLI:ES:TC:2024:106A</w:t>
      </w:r>
    </w:p>
    <w:p w14:paraId="124B414B" w14:textId="6C149B95" w:rsidR="00C04533" w:rsidRDefault="00C04533" w:rsidP="00C04533">
      <w:pPr>
        <w:pStyle w:val="TextoNormalCentrado"/>
      </w:pPr>
    </w:p>
    <w:p w14:paraId="497A1181" w14:textId="77777777" w:rsidR="00C04533" w:rsidRDefault="00C04533" w:rsidP="00C04533">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14AE1910" w14:textId="1A36F5A2" w:rsidR="00C04533" w:rsidRDefault="00C04533" w:rsidP="00C04533">
      <w:pPr>
        <w:pStyle w:val="SntesisDescriptiva"/>
      </w:pPr>
    </w:p>
    <w:p w14:paraId="74417FE7" w14:textId="77777777" w:rsidR="00C04533" w:rsidRDefault="00C04533" w:rsidP="00C04533">
      <w:pPr>
        <w:pStyle w:val="SntesisDescriptiva"/>
      </w:pPr>
      <w:r>
        <w:t>Inadmite una recusación en el recurso de inconstitucionalidad 6549-2024, interpuesto por el Consejo de Gobierno de la Comunidad de Madrid en relación con la Ley Orgánica 1/2024, de 10 de junio, de amnistía para la normalización institucional, política y social en Cataluña. Votos particulares.</w:t>
      </w:r>
    </w:p>
    <w:p w14:paraId="4F852F5E" w14:textId="4ADF515F" w:rsidR="00C04533" w:rsidRDefault="00C04533" w:rsidP="00C04533">
      <w:pPr>
        <w:pStyle w:val="SntesisDescriptiva"/>
      </w:pPr>
    </w:p>
    <w:p w14:paraId="6CBD1991" w14:textId="77777777" w:rsidR="00C04533" w:rsidRDefault="00C04533" w:rsidP="00C04533">
      <w:pPr>
        <w:pStyle w:val="SntesisDescriptiva"/>
      </w:pPr>
    </w:p>
    <w:p w14:paraId="3D030E5A" w14:textId="77777777" w:rsidR="00C04533" w:rsidRDefault="00C04533" w:rsidP="00C04533">
      <w:pPr>
        <w:pStyle w:val="SntesisDescriptiva"/>
      </w:pPr>
    </w:p>
    <w:p w14:paraId="79901AC6" w14:textId="77777777" w:rsidR="00C04533" w:rsidRDefault="00C04533" w:rsidP="00C04533">
      <w:pPr>
        <w:pStyle w:val="TextoNormalNegritaCentrado"/>
      </w:pPr>
      <w:r>
        <w:t>AUTO</w:t>
      </w:r>
    </w:p>
    <w:p w14:paraId="0EECB411" w14:textId="29C4AF91" w:rsidR="00C04533" w:rsidRDefault="00C04533" w:rsidP="00C04533">
      <w:pPr>
        <w:pStyle w:val="TextoNormalNegritaCentrado"/>
      </w:pPr>
    </w:p>
    <w:p w14:paraId="26CE89E1" w14:textId="77777777" w:rsidR="00C04533" w:rsidRDefault="00C04533" w:rsidP="00C04533">
      <w:pPr>
        <w:pStyle w:val="TextoNormalNegritaCentrado"/>
        <w:keepNext/>
      </w:pPr>
      <w:r>
        <w:t>I. Antecedentes</w:t>
      </w:r>
    </w:p>
    <w:p w14:paraId="0A9BA8BD" w14:textId="10A50C1E" w:rsidR="00C04533" w:rsidRDefault="00C04533" w:rsidP="00C04533">
      <w:pPr>
        <w:pStyle w:val="TextoNormalNegritaCentrado"/>
        <w:keepNext/>
      </w:pPr>
    </w:p>
    <w:p w14:paraId="588CB0EF" w14:textId="68AFE65A" w:rsidR="00C04533" w:rsidRDefault="00C04533" w:rsidP="00C04533">
      <w:pPr>
        <w:pStyle w:val="TextoNormal"/>
      </w:pPr>
      <w:r w:rsidRPr="00C04533">
        <w:rPr>
          <w:rStyle w:val="NumeroAFNegritaCaracter"/>
        </w:rPr>
        <w:t>1</w:t>
      </w:r>
      <w:r>
        <w:t>. Por el Consejo de Gobierno de la Comunidad de Madrid se ha interpuesto recurso de inconstitucionalidad en relación con la Ley Orgánica 1/2024, de 10 de junio, de amnistía para la normalización institucional, política y social en Cataluña, mediante escrito registrado en este tribunal el 9 de septiembre de 2024, en el que promueve por otrosí la recusación, entre otros, del magistrado don Cándido Conde-Pumpido Tourón, presidente del Tribunal.</w:t>
      </w:r>
    </w:p>
    <w:p w14:paraId="07AD72EF" w14:textId="77777777" w:rsidR="00C04533" w:rsidRDefault="00C04533" w:rsidP="00C04533">
      <w:pPr>
        <w:pStyle w:val="TextoNormal"/>
      </w:pPr>
    </w:p>
    <w:p w14:paraId="13050CDF" w14:textId="77777777"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la causa prevista en el art. 219.10 de la Ley Orgánica del Poder Judicial (LOPJ) —tener interés directo o indirecto en el pleito o causa—, con fundamento en que el propio magistrado recusado formuló su abstención en diversos recursos de amparo presentados contra pronunciamientos recaídos en la causa especial núm. 20907-2017 seguida ante la Sala de lo Penal del Tribunal Supremo, que concluiría con la sentencia 459/2019, de 14 de octubre, en la que fueron condenados varios encausados por delitos cometidos en el contexto del denominado “proceso independentista catalán”. En síntesis, se argumenta que habiendo sido aceptada su abstención por el ATC 48/2021, de 21 de abril, los razonamientos de esa resolución serían trasladables al presente procedimiento, dada la relación entre aquel proceso penal y el objeto de la norma ahora impugnada.</w:t>
      </w:r>
    </w:p>
    <w:p w14:paraId="7306BDF9" w14:textId="77777777" w:rsidR="00C04533" w:rsidRDefault="00C04533" w:rsidP="00C04533">
      <w:pPr>
        <w:pStyle w:val="TextoNormal"/>
      </w:pPr>
    </w:p>
    <w:p w14:paraId="5177F3D8" w14:textId="75350632" w:rsidR="00C04533" w:rsidRDefault="00C04533" w:rsidP="00C04533">
      <w:pPr>
        <w:pStyle w:val="TextoNormal"/>
      </w:pPr>
      <w:r>
        <w:t>Sostiene en tal sentido el Gobierno recurrente que si el magistrado Conde-Pumpido Tourón se abstuvo entonces de intervenir en la resolución de los referidos recursos de amparo para mantener la confianza en la imparcialidad de la actuación de este tribunal ante la controversia constitucional y política generada en torno a la causa referida, con mayor razón debería ahora ser apartado del conocimiento del recurso de inconstitucionalidad interpuesto contra la Ley Orgánica 1/2024, que presenta una “evidente e innegable conexión directa” con dichos recursos de amparo, a los que afecta también, pues no debe olvidarse que en su art. 11.6 dispone que “[l]a concesión de un indulto total o parcial con anterioridad a la entrada en vigor de la presente ley no impedirá la revisión de la sentencia firme”. Sería contradictorio y arbitrario, según el recurrente, entender que la falta de imparcialidad objetiva apreciada en el ATC 48/2021 no concurre también en el presente recurso de inconstitucionalidad interpuesto contra la ley de amnistía, derivada de los hechos juzgados en la referida causa especial.</w:t>
      </w:r>
    </w:p>
    <w:p w14:paraId="1E1D5444" w14:textId="77777777" w:rsidR="00C04533" w:rsidRDefault="00C04533" w:rsidP="00C04533">
      <w:pPr>
        <w:pStyle w:val="TextoNormal"/>
      </w:pPr>
    </w:p>
    <w:p w14:paraId="5244477E" w14:textId="207785A4" w:rsidR="00C04533" w:rsidRDefault="00C04533" w:rsidP="00C04533">
      <w:pPr>
        <w:pStyle w:val="TextoNormal"/>
      </w:pPr>
      <w:r w:rsidRPr="00C04533">
        <w:rPr>
          <w:rStyle w:val="NumeroAFNegritaCaracter"/>
        </w:rPr>
        <w:t>3</w:t>
      </w:r>
      <w:r>
        <w:t>. La Secretaría de Justicia del Pleno del Tribunal, mediante diligencia de ordenación de 9 de octubre de 2024, consignó que la ponencia del incidente de recusación correspondía por turno de reparto al magistrado don Enrique Arnaldo Alcubilla.</w:t>
      </w:r>
    </w:p>
    <w:p w14:paraId="789EC690" w14:textId="77777777" w:rsidR="00C04533" w:rsidRDefault="00C04533" w:rsidP="00C04533">
      <w:pPr>
        <w:pStyle w:val="TextoNormal"/>
      </w:pPr>
    </w:p>
    <w:p w14:paraId="3D077027" w14:textId="2EAB4555" w:rsidR="00C04533" w:rsidRDefault="00C04533" w:rsidP="00C04533">
      <w:pPr>
        <w:pStyle w:val="TextoNormal"/>
      </w:pPr>
      <w:r w:rsidRPr="00C04533">
        <w:rPr>
          <w:rStyle w:val="NumeroAFNegritaCaracter"/>
        </w:rPr>
        <w:t>4</w:t>
      </w:r>
      <w:r>
        <w:t>. Finalmente, ha de advertirse que en la composición del Pleno del Tribunal solo intervienen ocho de sus miembros, no participando el magistrado de cuya recusación se trata, ni el magistrado don Juan Carlos Campo Moreno, cuya abstención fue aceptada por ATC 91/2024, de 24 de septiembre, así como la magistrada doña Laura Díez Bueso y el magistrado don José María Macías Castaño, cuyas recusaciones están pendientes de resolución.</w:t>
      </w:r>
    </w:p>
    <w:p w14:paraId="4F95615D" w14:textId="77777777" w:rsidR="00C04533" w:rsidRDefault="00C04533" w:rsidP="00C04533">
      <w:pPr>
        <w:pStyle w:val="TextoNormal"/>
      </w:pPr>
    </w:p>
    <w:p w14:paraId="70754942" w14:textId="77777777" w:rsidR="00C04533" w:rsidRDefault="00C04533" w:rsidP="00C04533">
      <w:pPr>
        <w:pStyle w:val="TextoNormalNegritaCentrado"/>
        <w:keepNext/>
      </w:pPr>
      <w:r>
        <w:t>II. Fundamentos jurídicos</w:t>
      </w:r>
    </w:p>
    <w:p w14:paraId="10880637" w14:textId="4D632AFF" w:rsidR="00C04533" w:rsidRDefault="00C04533" w:rsidP="00C04533">
      <w:pPr>
        <w:pStyle w:val="TextoNormalNegritaCentrado"/>
        <w:keepNext/>
      </w:pPr>
    </w:p>
    <w:p w14:paraId="5F8AA9CD" w14:textId="46E1C4C7" w:rsidR="00C04533" w:rsidRDefault="00C04533" w:rsidP="00C04533">
      <w:pPr>
        <w:pStyle w:val="TextoNormal"/>
      </w:pPr>
      <w:r w:rsidRPr="00C04533">
        <w:rPr>
          <w:rStyle w:val="NumeroAFNegritaCaracter"/>
        </w:rPr>
        <w:t>1</w:t>
      </w:r>
      <w:r>
        <w:t>. La recusación del presidente de este tribunal, don Cándido Conde-Pumpido Tourón, se sustenta en que el ATC 48/2021, de 21 de abril, estimó justificada su abstención en diversos recursos de amparo interpuestos contra resoluciones dictadas por la Sala de lo Penal del Tribunal Supremo en la causa especial núm. 20907-2017, con las que guardaría relación la Ley Orgánica 1/2024, de 10 de junio, de amnistía para la normalización institucional, política y social en Cataluña, que es objeto del presente recurso de inconstitucionalidad presentado por la institución recusante. En consecuencia, concurriría la causa de abstención —que ahora sería de recusación— prevista en el art. 219.10 LOPJ: “[t]ener interés directo o indirecto en el pleito o causa”.</w:t>
      </w:r>
    </w:p>
    <w:p w14:paraId="6198386F" w14:textId="77777777" w:rsidR="00C04533" w:rsidRDefault="00C04533" w:rsidP="00C04533">
      <w:pPr>
        <w:pStyle w:val="TextoNormal"/>
      </w:pPr>
    </w:p>
    <w:p w14:paraId="213AC7D8" w14:textId="00E67E51" w:rsidR="00C04533" w:rsidRDefault="00C04533" w:rsidP="00C04533">
      <w:pPr>
        <w:pStyle w:val="TextoNormal"/>
      </w:pPr>
      <w:r w:rsidRPr="00C04533">
        <w:rPr>
          <w:rStyle w:val="NumeroAFNegritaCaracter"/>
        </w:rPr>
        <w:t>2</w:t>
      </w:r>
      <w:r>
        <w:t>. La recusación presentada guarda identidad con la recientemente inadmitida de plano por el ATC 93/2024, de 8 de octubre, en el que señalamos: (i) que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respecto de las que había riesgo de que pudieran ser interpretadas por el sentir ciudadano como un prejuicio sobre la eventual culpabilidad de los implicados en aquella causa penal; (ii) que, en el presente caso, sin embargo, el objeto de la impugnación es resolver sobre la constitucionalidad de la Ley Orgánica 1/2024, de 10 de junio, norma que no existía en el momento de suscitarse aquella abstención y que ahora se cuestiona de manera abstracta, por lo que no cabe apreciar que las manifestaciones controvertidas entonces se refirieran al problema constitucional suscitado en este procedimiento.</w:t>
      </w:r>
    </w:p>
    <w:p w14:paraId="03ECC79F" w14:textId="77777777" w:rsidR="00C04533" w:rsidRDefault="00C04533" w:rsidP="00C04533">
      <w:pPr>
        <w:pStyle w:val="TextoNormal"/>
      </w:pPr>
    </w:p>
    <w:p w14:paraId="292CA3A6" w14:textId="77777777" w:rsidR="00C04533" w:rsidRDefault="00C04533" w:rsidP="00C04533">
      <w:pPr>
        <w:pStyle w:val="TextoNormal"/>
      </w:pPr>
      <w:r>
        <w:t>Por lo expuesto, el Pleno</w:t>
      </w:r>
    </w:p>
    <w:p w14:paraId="41D1DD67" w14:textId="2B279930" w:rsidR="00C04533" w:rsidRDefault="00C04533" w:rsidP="00C04533">
      <w:pPr>
        <w:pStyle w:val="TextoNormal"/>
      </w:pPr>
    </w:p>
    <w:p w14:paraId="5D379005" w14:textId="77777777" w:rsidR="00C04533" w:rsidRDefault="00C04533" w:rsidP="00C04533">
      <w:pPr>
        <w:pStyle w:val="TextoNormalCentrado"/>
      </w:pPr>
      <w:r>
        <w:t>ACUERDA</w:t>
      </w:r>
    </w:p>
    <w:p w14:paraId="30E59558" w14:textId="729F1D65" w:rsidR="00C04533" w:rsidRDefault="00C04533" w:rsidP="00C04533">
      <w:pPr>
        <w:pStyle w:val="TextoNormalCentrado"/>
      </w:pPr>
    </w:p>
    <w:p w14:paraId="69A42297" w14:textId="58CFE22E" w:rsidR="00C04533" w:rsidRDefault="00C04533" w:rsidP="00C04533">
      <w:pPr>
        <w:pStyle w:val="TextoNormal"/>
      </w:pPr>
      <w:r>
        <w:t>No admitir a trámite la recusación del presidente del Tribunal, don Cándido Conde-Pumpido Tourón, promovida en el recurso de inconstitucionalidad núm. 6549-2024 por el Consejo de Gobierno de la Comunidad de Madrid.</w:t>
      </w:r>
    </w:p>
    <w:p w14:paraId="355A6AF4" w14:textId="77777777" w:rsidR="00C04533" w:rsidRDefault="00C04533" w:rsidP="00C04533">
      <w:pPr>
        <w:pStyle w:val="TextoNormal"/>
      </w:pPr>
    </w:p>
    <w:p w14:paraId="1800896F" w14:textId="77777777" w:rsidR="00C04533" w:rsidRDefault="00C04533" w:rsidP="00C04533">
      <w:pPr>
        <w:pStyle w:val="TextoNormal"/>
      </w:pPr>
      <w:r>
        <w:t>Madrid, a veintidós de octubre de dos mil veinticuatro.</w:t>
      </w:r>
    </w:p>
    <w:p w14:paraId="08EC0071" w14:textId="60D9A0F4" w:rsidR="00C04533" w:rsidRDefault="00C04533" w:rsidP="00C04533">
      <w:pPr>
        <w:pStyle w:val="ParrafoNormal"/>
      </w:pPr>
    </w:p>
    <w:p w14:paraId="2F2BDBF8" w14:textId="77777777" w:rsidR="00C04533" w:rsidRDefault="00C04533" w:rsidP="00C04533">
      <w:pPr>
        <w:pStyle w:val="TextoNormalNegritaCentrado"/>
        <w:keepNext/>
      </w:pPr>
      <w:r>
        <w:t>Voto particular que formula el magistrado don Enrique Arnaldo Alcubilla al auto dictado en el recurso de inconstitucionalidad núm. 6549-2024 que inadmite la recusación del presidente del Tribunal Constitucional</w:t>
      </w:r>
    </w:p>
    <w:p w14:paraId="289112F4" w14:textId="6090D442" w:rsidR="00C04533" w:rsidRDefault="00C04533" w:rsidP="00C04533">
      <w:pPr>
        <w:pStyle w:val="TextoNormalNegritaCentrado"/>
        <w:keepNext/>
      </w:pPr>
    </w:p>
    <w:p w14:paraId="6F3567B7"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0C61CE28" w14:textId="77777777" w:rsidR="00C04533" w:rsidRDefault="00C04533" w:rsidP="00C04533">
      <w:pPr>
        <w:pStyle w:val="TextoNormal"/>
      </w:pPr>
    </w:p>
    <w:p w14:paraId="3156CE68" w14:textId="77777777" w:rsidR="00C04533" w:rsidRDefault="00C04533" w:rsidP="00C04533">
      <w:pPr>
        <w:pStyle w:val="TextoNormal"/>
      </w:pPr>
      <w:r>
        <w:t>El auto, que ha sido dictado por un Pleno del Tribunal compuesto por ocho magistrados, y del que he sido ponente conforme al turno de reparto, acuerda inadmitir la recusación promovida por el Consejo de Gobierno de la Comunidad de Madrid contra el magistrado y presidente del Tribunal don Cándido Conde-Pumpido Tourón, con motivo del recurso de inconstitucionalidad interpuesto contra la Ley Orgánica 1/2024, de amnistía para la normalización institucional, política y social en Cataluña.</w:t>
      </w:r>
    </w:p>
    <w:p w14:paraId="2F67D682" w14:textId="77777777" w:rsidR="00C04533" w:rsidRDefault="00C04533" w:rsidP="00C04533">
      <w:pPr>
        <w:pStyle w:val="TextoNormal"/>
      </w:pPr>
    </w:p>
    <w:p w14:paraId="377CDE78" w14:textId="77777777" w:rsidR="00C04533" w:rsidRDefault="00C04533" w:rsidP="00C04533">
      <w:pPr>
        <w:pStyle w:val="TextoNormal"/>
      </w:pPr>
      <w:r>
        <w:t>En síntesis, reiterando la fundamentación del ATC 93/2024, de 8 de octubre, que inadmitió la recusación del mismo magistrado planteada en el recurso de inconstitucionalidad núm. 6436-2024, el presente auto entiende que las razones que en su día motivaron que por ATC 48/2021, de 21 de abril,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14:paraId="6A16178E" w14:textId="77777777" w:rsidR="00C04533" w:rsidRDefault="00C04533" w:rsidP="00C04533">
      <w:pPr>
        <w:pStyle w:val="TextoNormal"/>
      </w:pPr>
    </w:p>
    <w:p w14:paraId="50E08C87" w14:textId="77777777" w:rsidR="00C04533" w:rsidRDefault="00C04533" w:rsidP="00C04533">
      <w:pPr>
        <w:pStyle w:val="TextoNormal"/>
      </w:pPr>
      <w:r>
        <w:t>No disiento en este punto del auto aprobado por la mayoría del Pleno, pues comparto la decisión de inadmitir la recusación del presidente del Tribunal don Cándido Conde-Pumpido Tourón por las razones que allí se indican.</w:t>
      </w:r>
    </w:p>
    <w:p w14:paraId="1C281084" w14:textId="77777777" w:rsidR="00C04533" w:rsidRDefault="00C04533" w:rsidP="00C04533">
      <w:pPr>
        <w:pStyle w:val="TextoNormal"/>
      </w:pPr>
    </w:p>
    <w:p w14:paraId="4D9FC08B" w14:textId="77777777" w:rsidR="00C04533" w:rsidRDefault="00C04533" w:rsidP="00C04533">
      <w:pPr>
        <w:pStyle w:val="TextoNormal"/>
      </w:pPr>
      <w:r>
        <w:t>Mi discrepancia con este auto, al igual que sucedía con el ATC 93/2024, se refiere a la composición del Pleno para la resolución de este incidente de recusación, pues no se explican suficientemente las razones por las que está integrado solo por ocho magistrados (más allá de la escueta indicación del antecedente 4) ni tampoco, y esto es lo fundamental, por qué se resuelve separadamente sobre la recusación del presidente del Tribunal don Cándido Conde-Pumpido Tourón, cuando el Gobierno autonómico recurrente ha recusado también a la magistrada doña Laura Díez Bueso (así como al magistrado don Juan Carlos Campo Moreno, si bien la abstención de este ya ha sido aceptada por el Tribunal en el ATC 91/2024, de 24 de septiembre).</w:t>
      </w:r>
    </w:p>
    <w:p w14:paraId="179FDEB4" w14:textId="77777777" w:rsidR="00C04533" w:rsidRDefault="00C04533" w:rsidP="00C04533">
      <w:pPr>
        <w:pStyle w:val="TextoNormal"/>
      </w:pPr>
    </w:p>
    <w:p w14:paraId="675438CF" w14:textId="77777777" w:rsidR="00C04533" w:rsidRDefault="00C04533" w:rsidP="00C04533">
      <w:pPr>
        <w:pStyle w:val="TextoNormal"/>
      </w:pPr>
      <w: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Gobierno recurrente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14:paraId="17BD9C33" w14:textId="77777777" w:rsidR="00C04533" w:rsidRDefault="00C04533" w:rsidP="00C04533">
      <w:pPr>
        <w:pStyle w:val="TextoNormal"/>
      </w:pPr>
    </w:p>
    <w:p w14:paraId="41A55862"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debía resolverse de manera fraccionada o separada y sucesivamente, sino de forma simultánea, por un Pleno del Tribunal con una composición en la que no interviniesen ninguno de los magistrados recusados (y tampoco, por supuesto, el magistrado don Juan Carlos Campo Moreno, al haber sido aceptada ya previamente por este tribunal su abstención). Como consecuencia de la extravagante decisión de resolver separadamente ambas recusaciones, la recusación de la magistrada doña Laura Díez Bueso ha quedado “pendiente”, como se indica en el antecedente 4 del auto, sin que ello resulte justificado, a mi entender.</w:t>
      </w:r>
    </w:p>
    <w:p w14:paraId="4DEB6CFC" w14:textId="77777777" w:rsidR="00C04533" w:rsidRDefault="00C04533" w:rsidP="00C04533">
      <w:pPr>
        <w:pStyle w:val="TextoNormal"/>
      </w:pPr>
    </w:p>
    <w:p w14:paraId="01CF60C2" w14:textId="77777777" w:rsidR="00C04533" w:rsidRDefault="00C04533" w:rsidP="00C04533">
      <w:pPr>
        <w:pStyle w:val="TextoNormal"/>
      </w:pPr>
      <w:r>
        <w:t>En fin, no debe dejarse de señalar que tampoco se explican en el auto las razones que llevan a excluir al magistrado don José María Macías Castaño de la composición del Pleno que ha dictado el auto que nos ocupa, más allá del lacónico enunciado del antecedente 4.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recurso de inconstitucionalidad) de los interpuestos contra la Ley Orgánica 1/2024, en que dicha recusación ha sido planteada por la parte recurrente, en la propia demanda o en escrito posterior.</w:t>
      </w:r>
    </w:p>
    <w:p w14:paraId="512EE03F" w14:textId="77777777" w:rsidR="00C04533" w:rsidRDefault="00C04533" w:rsidP="00C04533">
      <w:pPr>
        <w:pStyle w:val="TextoNormal"/>
      </w:pPr>
    </w:p>
    <w:p w14:paraId="3CDAFAEA" w14:textId="77777777" w:rsidR="00C04533" w:rsidRDefault="00C04533" w:rsidP="00C04533">
      <w:pPr>
        <w:pStyle w:val="TextoNormal"/>
      </w:pPr>
      <w:r>
        <w:t>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Castaño, mientras que este magistrado habrá sido excluido de intervenir en la decisión de la recusación del presidente y lo será también de la que afecta a la magistrada doña Laura Díez Bueso. En otras palabras, la recusación formulada respecto del magistrado don José María Macías Castaño será resuelta por un colegio de diez magistrados, incluidos los dos citados, en la previsión indicada, pero ese magistrado no habrá podido intervenir en la resolución de la recusación que afecta a aquellos dos magistrados.</w:t>
      </w:r>
    </w:p>
    <w:p w14:paraId="0E7BBD68" w14:textId="77777777" w:rsidR="00C04533" w:rsidRDefault="00C04533" w:rsidP="00C04533">
      <w:pPr>
        <w:pStyle w:val="TextoNormal"/>
      </w:pPr>
    </w:p>
    <w:p w14:paraId="414EA94F"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0FA6EAF4" w14:textId="77777777" w:rsidR="00C04533" w:rsidRDefault="00C04533" w:rsidP="00C04533">
      <w:pPr>
        <w:pStyle w:val="TextoNormal"/>
      </w:pPr>
    </w:p>
    <w:p w14:paraId="01EE3D1C" w14:textId="11903FC1" w:rsidR="00C04533" w:rsidRDefault="00C04533" w:rsidP="00C04533">
      <w:pPr>
        <w:pStyle w:val="TextoNormal"/>
      </w:pPr>
      <w:r>
        <w:t>Madrid, a veintidós de octubre de dos mil veinticuatro.</w:t>
      </w:r>
    </w:p>
    <w:p w14:paraId="70531004" w14:textId="77777777" w:rsidR="00C04533" w:rsidRDefault="00C04533" w:rsidP="00C04533">
      <w:pPr>
        <w:pStyle w:val="TextoNormal"/>
      </w:pPr>
    </w:p>
    <w:p w14:paraId="61AFD53A" w14:textId="77777777" w:rsidR="00C04533" w:rsidRDefault="00C04533" w:rsidP="00C04533">
      <w:pPr>
        <w:pStyle w:val="TextoNormalNegritaCentrado"/>
        <w:keepNext/>
      </w:pPr>
      <w:r>
        <w:t>Voto particular discrepante que formula la magistrada doña Concepción Espejel Jorquera al auto de 22 de octubre de 2024, dictado en el incidente de recusación del presidente del Tribunal, don Cándido Conde-Pumpido Tourón, planteado en el recurso de inconstitucionalidad núm. 6549-2024</w:t>
      </w:r>
    </w:p>
    <w:p w14:paraId="67304B39" w14:textId="42C3841B" w:rsidR="00C04533" w:rsidRDefault="00C04533" w:rsidP="00C04533">
      <w:pPr>
        <w:pStyle w:val="TextoNormalNegritaCentrado"/>
        <w:keepNext/>
      </w:pPr>
    </w:p>
    <w:p w14:paraId="3DEA678F" w14:textId="77777777" w:rsidR="00C04533" w:rsidRDefault="00C04533" w:rsidP="00C04533">
      <w:pPr>
        <w:pStyle w:val="TextoNormal"/>
      </w:pPr>
      <w:r>
        <w:t>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14:paraId="13300AAF" w14:textId="77777777" w:rsidR="00C04533" w:rsidRDefault="00C04533" w:rsidP="00C04533">
      <w:pPr>
        <w:pStyle w:val="TextoNormal"/>
      </w:pPr>
    </w:p>
    <w:p w14:paraId="2DCC08D4" w14:textId="77777777" w:rsidR="00C04533" w:rsidRDefault="00C04533" w:rsidP="00C04533">
      <w:pPr>
        <w:pStyle w:val="TextoNormal"/>
      </w:pPr>
      <w:r>
        <w:t>Me remito al voto particular formulado en el ATC 93/2024, de 8 de octubre, en el mismo recurso de inconstitucionalidad (igualmente en una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26D209AD" w14:textId="77777777" w:rsidR="00C04533" w:rsidRDefault="00C04533" w:rsidP="00C04533">
      <w:pPr>
        <w:pStyle w:val="TextoNormal"/>
      </w:pPr>
    </w:p>
    <w:p w14:paraId="521B3C95"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podría perjudicar seriamente la apariencia de imparcialidad que debe presentar este tribunal como órgano jurisdiccional.</w:t>
      </w:r>
    </w:p>
    <w:p w14:paraId="0829FBB0" w14:textId="77777777" w:rsidR="00C04533" w:rsidRDefault="00C04533" w:rsidP="00C04533">
      <w:pPr>
        <w:pStyle w:val="TextoNormal"/>
      </w:pPr>
    </w:p>
    <w:p w14:paraId="5C81B534" w14:textId="77777777" w:rsidR="00C04533" w:rsidRDefault="00C04533" w:rsidP="00C04533">
      <w:pPr>
        <w:pStyle w:val="TextoNormal"/>
      </w:pPr>
      <w:r>
        <w:t>Por lo expuesto, formulo el presente voto particular.</w:t>
      </w:r>
    </w:p>
    <w:p w14:paraId="720E01E1" w14:textId="77777777" w:rsidR="00C04533" w:rsidRDefault="00C04533" w:rsidP="00C04533">
      <w:pPr>
        <w:pStyle w:val="TextoNormal"/>
      </w:pPr>
    </w:p>
    <w:p w14:paraId="32252674" w14:textId="1E6AFE2A" w:rsidR="00C04533" w:rsidRDefault="00C04533" w:rsidP="00C04533">
      <w:pPr>
        <w:pStyle w:val="TextoNormal"/>
      </w:pPr>
      <w:r>
        <w:t>Madrid, a veintidós de octubre de dos mil veinticuatro.</w:t>
      </w:r>
    </w:p>
    <w:p w14:paraId="27920C35" w14:textId="28EB188F" w:rsidR="00C04533" w:rsidRDefault="00C04533">
      <w:pPr>
        <w:spacing w:after="160" w:line="278" w:lineRule="auto"/>
        <w:rPr>
          <w:rFonts w:ascii="Times New Roman" w:eastAsia="Times New Roman" w:hAnsi="Times New Roman" w:cs="Times New Roman"/>
          <w:sz w:val="24"/>
          <w:szCs w:val="24"/>
          <w:lang w:eastAsia="es-ES"/>
        </w:rPr>
      </w:pPr>
      <w:r>
        <w:br w:type="page"/>
      </w:r>
    </w:p>
    <w:p w14:paraId="3242F7BC" w14:textId="77777777" w:rsidR="00C04533" w:rsidRDefault="00C04533" w:rsidP="00C04533">
      <w:pPr>
        <w:pStyle w:val="TtuloResolucin"/>
      </w:pPr>
      <w:bookmarkStart w:id="113" w:name="AUTO_2024_107"/>
      <w:r>
        <w:t>AUTO 107/2024, de 22 de octubre de 2024</w:t>
      </w:r>
    </w:p>
    <w:bookmarkEnd w:id="113"/>
    <w:p w14:paraId="4869BF4B" w14:textId="77777777" w:rsidR="00C04533" w:rsidRDefault="00C04533" w:rsidP="00C04533">
      <w:pPr>
        <w:pStyle w:val="TtuloResolucin"/>
      </w:pPr>
      <w:r>
        <w:t>Pleno</w:t>
      </w:r>
    </w:p>
    <w:p w14:paraId="09B4A259" w14:textId="77777777" w:rsidR="00C04533" w:rsidRDefault="00C04533" w:rsidP="00C04533">
      <w:pPr>
        <w:pStyle w:val="TextoNormalCentrado"/>
      </w:pPr>
      <w:r>
        <w:t>ECLI:ES:TC:2024:107A</w:t>
      </w:r>
    </w:p>
    <w:p w14:paraId="739DB729" w14:textId="0488A87E" w:rsidR="00C04533" w:rsidRDefault="00C04533" w:rsidP="00C04533">
      <w:pPr>
        <w:pStyle w:val="TextoNormalCentrado"/>
      </w:pPr>
    </w:p>
    <w:p w14:paraId="391299CC" w14:textId="77777777" w:rsidR="00C04533" w:rsidRDefault="00C04533" w:rsidP="00C04533">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42C984E9" w14:textId="4549BE34" w:rsidR="00C04533" w:rsidRDefault="00C04533" w:rsidP="00C04533">
      <w:pPr>
        <w:pStyle w:val="SntesisDescriptiva"/>
      </w:pPr>
    </w:p>
    <w:p w14:paraId="57D13B20" w14:textId="77777777" w:rsidR="00C04533" w:rsidRDefault="00C04533" w:rsidP="00C04533">
      <w:pPr>
        <w:pStyle w:val="SntesisDescriptiva"/>
      </w:pPr>
      <w:r>
        <w:t>Inadmite una recusación en el recurso de inconstitucionalidad 6556-2024, interpuesto por la Xunta de Galicia en relación con la Ley Orgánica 1/2024, de 10 de junio, de amnistía para la normalización institucional, política y social en Cataluña. Votos particulares.</w:t>
      </w:r>
    </w:p>
    <w:p w14:paraId="1E24CCFA" w14:textId="78330199" w:rsidR="00C04533" w:rsidRDefault="00C04533" w:rsidP="00C04533">
      <w:pPr>
        <w:pStyle w:val="SntesisDescriptiva"/>
      </w:pPr>
    </w:p>
    <w:p w14:paraId="7EDEF648" w14:textId="77777777" w:rsidR="00C04533" w:rsidRDefault="00C04533" w:rsidP="00C04533">
      <w:pPr>
        <w:pStyle w:val="SntesisDescriptiva"/>
      </w:pPr>
    </w:p>
    <w:p w14:paraId="3A320828" w14:textId="77777777" w:rsidR="00C04533" w:rsidRDefault="00C04533" w:rsidP="00C04533">
      <w:pPr>
        <w:pStyle w:val="SntesisDescriptiva"/>
      </w:pPr>
    </w:p>
    <w:p w14:paraId="63B350F8" w14:textId="77777777" w:rsidR="00C04533" w:rsidRDefault="00C04533" w:rsidP="00C04533">
      <w:pPr>
        <w:pStyle w:val="TextoNormalNegritaCentrado"/>
      </w:pPr>
      <w:r>
        <w:t>AUTO</w:t>
      </w:r>
    </w:p>
    <w:p w14:paraId="4F8DFA4E" w14:textId="14C8500A" w:rsidR="00C04533" w:rsidRDefault="00C04533" w:rsidP="00C04533">
      <w:pPr>
        <w:pStyle w:val="TextoNormalNegritaCentrado"/>
      </w:pPr>
    </w:p>
    <w:p w14:paraId="34FED2F6" w14:textId="77777777" w:rsidR="00C04533" w:rsidRDefault="00C04533" w:rsidP="00C04533">
      <w:pPr>
        <w:pStyle w:val="TextoNormalNegritaCentrado"/>
        <w:keepNext/>
      </w:pPr>
      <w:r>
        <w:t>I. Antecedentes</w:t>
      </w:r>
    </w:p>
    <w:p w14:paraId="016FBF91" w14:textId="3714D366" w:rsidR="00C04533" w:rsidRDefault="00C04533" w:rsidP="00C04533">
      <w:pPr>
        <w:pStyle w:val="TextoNormalNegritaCentrado"/>
        <w:keepNext/>
      </w:pPr>
    </w:p>
    <w:p w14:paraId="29540054" w14:textId="2EA49EFC" w:rsidR="00C04533" w:rsidRDefault="00C04533" w:rsidP="00C04533">
      <w:pPr>
        <w:pStyle w:val="TextoNormal"/>
      </w:pPr>
      <w:r w:rsidRPr="00C04533">
        <w:rPr>
          <w:rStyle w:val="NumeroAFNegritaCaracter"/>
        </w:rPr>
        <w:t>1</w:t>
      </w:r>
      <w:r>
        <w:t>. Por la Xunta de Galicia se ha interpuesto recurso de inconstitucionalidad en relación con la Ley Orgánica 1/2024, de 10 de junio, de amnistía para la normalización institucional, política y social en Cataluña, mediante escrito registrado en este tribunal el 9 de septiembre de 2024, promoviendo, en escrito presentado el mismo día, la recusación, entre otros, del magistrado don Cándido Conde-Pumpido Tourón, presidente del Tribunal.</w:t>
      </w:r>
    </w:p>
    <w:p w14:paraId="0884EC38" w14:textId="77777777" w:rsidR="00C04533" w:rsidRDefault="00C04533" w:rsidP="00C04533">
      <w:pPr>
        <w:pStyle w:val="TextoNormal"/>
      </w:pPr>
    </w:p>
    <w:p w14:paraId="7B659F1C" w14:textId="408E3D46"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la causa prevista en el art. 219.10 de la Ley Orgánica del Poder Judicial (en adelante, LOPJ) —tener interés directo o indirecto en el pleito o causa—, con fundamento en que el propio magistrado recusado formuló su abstención en diversos recursos de amparo presentados contra pronunciamientos recaídos en la causa especial núm. 20907-2017 seguida ante la Sala de lo Penal del Tribunal Supremo, que concluiría con la sentencia 459/2019, de 14 de octubre, en la que fueron condenados varios encausados por delitos cometidos en el contexto del denominado “proceso independentista catalán”. Se argumenta que habiendo sido aceptada su abstención por el ATC 48/2021, de 21 de abril, los razonamientos de esa resolución serían trasladables al presente procedimiento, dada la relación entre aquel proceso penal y el objeto de la norma ahora impugnada.</w:t>
      </w:r>
    </w:p>
    <w:p w14:paraId="1BEB4E81" w14:textId="77777777" w:rsidR="00C04533" w:rsidRDefault="00C04533" w:rsidP="00C04533">
      <w:pPr>
        <w:pStyle w:val="TextoNormal"/>
      </w:pPr>
    </w:p>
    <w:p w14:paraId="0F4E29BE" w14:textId="44A42248" w:rsidR="00C04533" w:rsidRDefault="00C04533" w:rsidP="00C04533">
      <w:pPr>
        <w:pStyle w:val="TextoNormal"/>
      </w:pPr>
      <w:r w:rsidRPr="00C04533">
        <w:rPr>
          <w:rStyle w:val="NumeroAFNegritaCaracter"/>
        </w:rPr>
        <w:t>3</w:t>
      </w:r>
      <w:r>
        <w:t>. La Secretaría de Justicia del Pleno del Tribunal, mediante diligencia de ordenación de 9 de octubre de 2024, consignó que la ponencia del incidente de recusación correspondía por turno de reparto a la magistrada doña María Luisa Segoviano Astaburuaga.</w:t>
      </w:r>
    </w:p>
    <w:p w14:paraId="67AE71E1" w14:textId="77777777" w:rsidR="00C04533" w:rsidRDefault="00C04533" w:rsidP="00C04533">
      <w:pPr>
        <w:pStyle w:val="TextoNormal"/>
      </w:pPr>
    </w:p>
    <w:p w14:paraId="6A0D8ADA" w14:textId="77B8E057" w:rsidR="00C04533" w:rsidRDefault="00C04533" w:rsidP="00C04533">
      <w:pPr>
        <w:pStyle w:val="TextoNormal"/>
      </w:pPr>
      <w:r w:rsidRPr="00C04533">
        <w:rPr>
          <w:rStyle w:val="NumeroAFNegritaCaracter"/>
        </w:rPr>
        <w:t>4</w:t>
      </w:r>
      <w:r>
        <w:t>. Finalmente, ha de advertirse que en la composición del Pleno del Tribunal solo intervienen ocho de sus miembros, no participando el magistrado de cuya recusación se trata, ni el magistrado don Juan Carlos Campo Moreno, cuya abstención fue aceptada por ATC 91/2024 de 24 de septiembre de 2024, así como la magistrada doña Laura Díez Bueso y el magistrado don José María Macías Castaño, cuyas recusaciones están pendientes de resolución.</w:t>
      </w:r>
    </w:p>
    <w:p w14:paraId="6EC6D8A3" w14:textId="77777777" w:rsidR="00C04533" w:rsidRDefault="00C04533" w:rsidP="00C04533">
      <w:pPr>
        <w:pStyle w:val="TextoNormal"/>
      </w:pPr>
    </w:p>
    <w:p w14:paraId="02F44A3D" w14:textId="77777777" w:rsidR="00C04533" w:rsidRDefault="00C04533" w:rsidP="00C04533">
      <w:pPr>
        <w:pStyle w:val="TextoNormalNegritaCentrado"/>
        <w:keepNext/>
      </w:pPr>
      <w:r>
        <w:t>II. Fundamentos jurídicos</w:t>
      </w:r>
    </w:p>
    <w:p w14:paraId="7178D9DC" w14:textId="444AC1A9" w:rsidR="00C04533" w:rsidRDefault="00C04533" w:rsidP="00C04533">
      <w:pPr>
        <w:pStyle w:val="TextoNormalNegritaCentrado"/>
        <w:keepNext/>
      </w:pPr>
    </w:p>
    <w:p w14:paraId="5C9585FA" w14:textId="27C50E9C" w:rsidR="00C04533" w:rsidRDefault="00C04533" w:rsidP="00C04533">
      <w:pPr>
        <w:pStyle w:val="TextoNormal"/>
      </w:pPr>
      <w:r w:rsidRPr="00C04533">
        <w:rPr>
          <w:rStyle w:val="NumeroAFNegritaCaracter"/>
        </w:rPr>
        <w:t>1</w:t>
      </w:r>
      <w:r>
        <w:t>. La recusación del presidente de este tribunal, don Cándido Conde-Pumpido Tourón, se sustenta en que el ATC 48/2021, de 21 de abril, estimó justificada su abstención en diversos recursos de amparo interpuestos contra resoluciones dictadas por la Sala de lo Penal del Tribunal Supremo en la causa especial núm. 20907-2017, con las que guardaría relación la Ley Orgánica 1/2024, de 10 de junio, de amnistía para la normalización institucional, política y social en Cataluña, que es objeto del presente recurso de inconstitucionalidad presentado por la institución recusante. En consecuencia, concurriría la causa de abstención —que ahora sería de recusación— prevista en el art. 219.10 LOPJ: “[t]ener interés directo o indirecto en el pleito o causa”.</w:t>
      </w:r>
    </w:p>
    <w:p w14:paraId="7EF0A363" w14:textId="77777777" w:rsidR="00C04533" w:rsidRDefault="00C04533" w:rsidP="00C04533">
      <w:pPr>
        <w:pStyle w:val="TextoNormal"/>
      </w:pPr>
    </w:p>
    <w:p w14:paraId="06C7D5F6" w14:textId="3988E062" w:rsidR="00C04533" w:rsidRDefault="00C04533" w:rsidP="00C04533">
      <w:pPr>
        <w:pStyle w:val="TextoNormal"/>
      </w:pPr>
      <w:r w:rsidRPr="00C04533">
        <w:rPr>
          <w:rStyle w:val="NumeroAFNegritaCaracter"/>
        </w:rPr>
        <w:t>2</w:t>
      </w:r>
      <w:r>
        <w:t>. La recusación presentada guarda identidad con la recientemente inadmitida de plano por el ATC 93/2024, de 8 de octubre, pronunciado en el recurso de inconstitucionalidad núm. 6436-2024, en el que señalamos: (i) que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respecto de las que había riesgo de que pudieran ser interpretadas por el sentir ciudadano como un prejuicio sobre la eventual culpabilidad de los implicados en aquella causa penal; (ii) que, en el presente caso, sin embargo, el objeto de la impugnación es resolver sobre la constitucionalidad de la Ley Orgánica 1/2024, de 10 de junio, norma que no existía en el momento de suscitarse aquella abstención y que ahora se cuestiona de manera abstracta, por lo que no cabe apreciar que las manifestaciones controvertidas entonces se refirieran al problema constitucional suscitado en este procedimiento.</w:t>
      </w:r>
    </w:p>
    <w:p w14:paraId="635810B7" w14:textId="77777777" w:rsidR="00C04533" w:rsidRDefault="00C04533" w:rsidP="00C04533">
      <w:pPr>
        <w:pStyle w:val="TextoNormal"/>
      </w:pPr>
    </w:p>
    <w:p w14:paraId="7500D791" w14:textId="77777777" w:rsidR="00C04533" w:rsidRDefault="00C04533" w:rsidP="00C04533">
      <w:pPr>
        <w:pStyle w:val="TextoNormal"/>
      </w:pPr>
      <w:r>
        <w:t>Por lo expuesto, el Pleno</w:t>
      </w:r>
    </w:p>
    <w:p w14:paraId="67C27192" w14:textId="298BD897" w:rsidR="00C04533" w:rsidRDefault="00C04533" w:rsidP="00C04533">
      <w:pPr>
        <w:pStyle w:val="TextoNormal"/>
      </w:pPr>
    </w:p>
    <w:p w14:paraId="413DA3B7" w14:textId="77777777" w:rsidR="00C04533" w:rsidRDefault="00C04533" w:rsidP="00C04533">
      <w:pPr>
        <w:pStyle w:val="TextoNormalCentrado"/>
      </w:pPr>
      <w:r>
        <w:t>ACUERDA</w:t>
      </w:r>
    </w:p>
    <w:p w14:paraId="078F8472" w14:textId="27D8BFAA" w:rsidR="00C04533" w:rsidRDefault="00C04533" w:rsidP="00C04533">
      <w:pPr>
        <w:pStyle w:val="TextoNormalCentrado"/>
      </w:pPr>
    </w:p>
    <w:p w14:paraId="297CCF7E" w14:textId="3430EA1E" w:rsidR="00C04533" w:rsidRDefault="00C04533" w:rsidP="00C04533">
      <w:pPr>
        <w:pStyle w:val="TextoNormal"/>
      </w:pPr>
      <w:r>
        <w:t>No admitir a trámite la recusación del presidente del Tribunal, don Cándido Conde-Pumpido Tourón, promovida en el recurso de inconstitucionalidad núm. 6556-2024 por la Xunta de Galicia.</w:t>
      </w:r>
    </w:p>
    <w:p w14:paraId="300BFDB4" w14:textId="77777777" w:rsidR="00C04533" w:rsidRDefault="00C04533" w:rsidP="00C04533">
      <w:pPr>
        <w:pStyle w:val="TextoNormal"/>
      </w:pPr>
    </w:p>
    <w:p w14:paraId="412DDC4F" w14:textId="77777777" w:rsidR="00C04533" w:rsidRDefault="00C04533" w:rsidP="00C04533">
      <w:pPr>
        <w:pStyle w:val="TextoNormal"/>
      </w:pPr>
      <w:r>
        <w:t>Madrid, a veintidós de octubre de dos mil veinticuatro.</w:t>
      </w:r>
    </w:p>
    <w:p w14:paraId="38B5CDBC" w14:textId="31A279F8" w:rsidR="00C04533" w:rsidRDefault="00C04533" w:rsidP="00C04533">
      <w:pPr>
        <w:pStyle w:val="ParrafoNormal"/>
      </w:pPr>
    </w:p>
    <w:p w14:paraId="02C9AC88" w14:textId="77777777" w:rsidR="00C04533" w:rsidRDefault="00C04533" w:rsidP="00C04533">
      <w:pPr>
        <w:pStyle w:val="TextoNormalNegritaCentrado"/>
        <w:keepNext/>
      </w:pPr>
      <w:r>
        <w:t>Voto particular que formula el magistrado don Enrique Arnaldo Alcubilla al auto dictado en el recurso de inconstitucionalidad núm. 6556-2024, que inadmite la recusación del presidente del Tribunal Constitucional</w:t>
      </w:r>
    </w:p>
    <w:p w14:paraId="6F6353DC" w14:textId="50951815" w:rsidR="00C04533" w:rsidRDefault="00C04533" w:rsidP="00C04533">
      <w:pPr>
        <w:pStyle w:val="TextoNormalNegritaCentrado"/>
        <w:keepNext/>
      </w:pPr>
    </w:p>
    <w:p w14:paraId="6C0BE9C1" w14:textId="77777777" w:rsidR="00C04533" w:rsidRDefault="00C04533" w:rsidP="00C04533">
      <w:pPr>
        <w:pStyle w:val="TextoNormal"/>
      </w:pPr>
      <w:r>
        <w:t>En el ejercicio de la facultad conferida por el art. 90.2 de la Ley Orgánica del Tribunal Constitucional (en adelante, LOTC) y con respeto a la opinión de mis compañeros, formulo el presente voto particular concurrente, por las razones defendidas durante la deliberación y que expongo a continuación.</w:t>
      </w:r>
    </w:p>
    <w:p w14:paraId="2A3BFC48" w14:textId="77777777" w:rsidR="00C04533" w:rsidRDefault="00C04533" w:rsidP="00C04533">
      <w:pPr>
        <w:pStyle w:val="TextoNormal"/>
      </w:pPr>
    </w:p>
    <w:p w14:paraId="44AB646E" w14:textId="77777777" w:rsidR="00C04533" w:rsidRDefault="00C04533" w:rsidP="00C04533">
      <w:pPr>
        <w:pStyle w:val="TextoNormal"/>
      </w:pPr>
      <w:r>
        <w:t>El auto, que ha sido dictado por un Pleno del Tribunal compuesto por ocho magistrados, acuerda inadmitir la recusación promovida por la Xunta de Galicia contra el magistrado y presidente del Tribunal don Cándido Conde-Pumpido Tourón, con motivo del recurso de inconstitucionalidad interpuesto contra la Ley Orgánica 1/2024, de amnistía para la normalización institucional, política y social en Cataluña.</w:t>
      </w:r>
    </w:p>
    <w:p w14:paraId="6188D01B" w14:textId="77777777" w:rsidR="00C04533" w:rsidRDefault="00C04533" w:rsidP="00C04533">
      <w:pPr>
        <w:pStyle w:val="TextoNormal"/>
      </w:pPr>
    </w:p>
    <w:p w14:paraId="0D890114" w14:textId="77777777" w:rsidR="00C04533" w:rsidRDefault="00C04533" w:rsidP="00C04533">
      <w:pPr>
        <w:pStyle w:val="TextoNormal"/>
      </w:pPr>
      <w:r>
        <w:t>En síntesis, reiterando la fundamentación del ATC 93/2024, de 8 de octubre, que inadmitió la recusación del mismo magistrado planteada en el recurso de inconstitucionalidad núm. 6436-2024, el presente auto entiende que las razones que en su día motivaron que por ATC 48/2021, de 21 de abril,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14:paraId="47787623" w14:textId="77777777" w:rsidR="00C04533" w:rsidRDefault="00C04533" w:rsidP="00C04533">
      <w:pPr>
        <w:pStyle w:val="TextoNormal"/>
      </w:pPr>
    </w:p>
    <w:p w14:paraId="7DA29A25" w14:textId="77777777" w:rsidR="00C04533" w:rsidRDefault="00C04533" w:rsidP="00C04533">
      <w:pPr>
        <w:pStyle w:val="TextoNormal"/>
      </w:pPr>
      <w:r>
        <w:t>No disiento en este punto del auto aprobado por la mayoría del Pleno, pues comparto la decisión de inadmitir la recusación del presidente del Tribunal don Cándido Conde-Pumpido Tourón por las razones que allí se indican.</w:t>
      </w:r>
    </w:p>
    <w:p w14:paraId="49CC7EA6" w14:textId="77777777" w:rsidR="00C04533" w:rsidRDefault="00C04533" w:rsidP="00C04533">
      <w:pPr>
        <w:pStyle w:val="TextoNormal"/>
      </w:pPr>
    </w:p>
    <w:p w14:paraId="2E573D96" w14:textId="77777777" w:rsidR="00C04533" w:rsidRDefault="00C04533" w:rsidP="00C04533">
      <w:pPr>
        <w:pStyle w:val="TextoNormal"/>
      </w:pPr>
      <w:r>
        <w:t>Mi discrepancia con este auto, al igual que sucedía con el ATC 93/2024, se refiere a la composición del Pleno para la resolución de este incidente de recusación, pues no se explican suficientemente las razones por las que está integrado solo por ocho magistrados (más allá de la escueta indicación del antecedente 4) ni tampoco, y esto es lo fundamental, por qué se resuelve separadamente sobre la recusación del presidente del Tribunal don Cándido Conde-Pumpido Tourón, cuando el Gobierno autonómico recurrente ha recusado también a la magistrada doña Laura Díez Bueso (así como al magistrado don Juan Carlos Campo Moreno, si bien la abstención de este ya ha sido aceptada por el Tribunal en el ATC 91/2024, de 24 de septiembre).</w:t>
      </w:r>
    </w:p>
    <w:p w14:paraId="7FE6DA77" w14:textId="77777777" w:rsidR="00C04533" w:rsidRDefault="00C04533" w:rsidP="00C04533">
      <w:pPr>
        <w:pStyle w:val="TextoNormal"/>
      </w:pPr>
    </w:p>
    <w:p w14:paraId="4D343FFD" w14:textId="77777777" w:rsidR="00C04533" w:rsidRDefault="00C04533" w:rsidP="00C04533">
      <w:pPr>
        <w:pStyle w:val="TextoNormal"/>
      </w:pPr>
      <w:r>
        <w:t>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Gobierno recurrente mediante escrito presentado en la misma fecha que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quorum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14:paraId="36824C05" w14:textId="77777777" w:rsidR="00C04533" w:rsidRDefault="00C04533" w:rsidP="00C04533">
      <w:pPr>
        <w:pStyle w:val="TextoNormal"/>
      </w:pPr>
    </w:p>
    <w:p w14:paraId="75698805"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debía resolverse de manera fraccionada o separada y sucesivamente, sino de forma simultánea, por un Pleno del Tribunal con una composición en la que no interviniesen ninguno de los magistrados recusados (y tampoco, por supuesto, el magistrado don Juan Carlos Campo Moreno, al haber sido aceptada ya previamente por este tribunal su abstención). Como consecuencia de la extravagante decisión de resolver separadamente ambas recusaciones, la recusación de la magistrada doña Laura Díez Bueso ha quedado “pendiente”, como se indica en el antecedente 4 del auto, sin que ello resulte justificado, a mi entender.</w:t>
      </w:r>
    </w:p>
    <w:p w14:paraId="0A65BE6D" w14:textId="77777777" w:rsidR="00C04533" w:rsidRDefault="00C04533" w:rsidP="00C04533">
      <w:pPr>
        <w:pStyle w:val="TextoNormal"/>
      </w:pPr>
    </w:p>
    <w:p w14:paraId="610147DB" w14:textId="77777777" w:rsidR="00C04533" w:rsidRDefault="00C04533" w:rsidP="00C04533">
      <w:pPr>
        <w:pStyle w:val="TextoNormal"/>
      </w:pPr>
      <w:r>
        <w:t>En fin, no debe dejarse de señalar que tampoco se explican en el auto las razones que llevan a excluir al magistrado don José María Macías Castaño de la composición del Pleno que ha dictado el auto que nos ocupa, más allá del lacónico enunciado del antecedente 4.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recurso de inconstitucionalidad) de los interpuestos contra la Ley Orgánica 1/2024, en que dicha recusación ha sido planteada por la parte recurrente, en la propia demanda o en escrito posterior.</w:t>
      </w:r>
    </w:p>
    <w:p w14:paraId="5B3282AB" w14:textId="77777777" w:rsidR="00C04533" w:rsidRDefault="00C04533" w:rsidP="00C04533">
      <w:pPr>
        <w:pStyle w:val="TextoNormal"/>
      </w:pPr>
    </w:p>
    <w:p w14:paraId="146F38C6" w14:textId="77777777" w:rsidR="00C04533" w:rsidRDefault="00C04533" w:rsidP="00C04533">
      <w:pPr>
        <w:pStyle w:val="TextoNormal"/>
      </w:pPr>
      <w:r>
        <w:t>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Castaño, mientras que este magistrado habrá sido excluido de intervenir en la decisión de la recusación del presidente y lo será también de la que afecta a la magistrada doña Laura Díez Bueso. En otras palabras, la recusación formulada respecto del magistrado don José María Macías Castaño será resuelta por un colegio de diez magistrados, incluidos los dos citados, en la previsión indicada, pero ese magistrado no habrá podido intervenir en la resolución de la recusación que afecta a aquellos dos magistrados.</w:t>
      </w:r>
    </w:p>
    <w:p w14:paraId="334E8211" w14:textId="77777777" w:rsidR="00C04533" w:rsidRDefault="00C04533" w:rsidP="00C04533">
      <w:pPr>
        <w:pStyle w:val="TextoNormal"/>
      </w:pPr>
    </w:p>
    <w:p w14:paraId="222E71AF"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30DC9885" w14:textId="77777777" w:rsidR="00C04533" w:rsidRDefault="00C04533" w:rsidP="00C04533">
      <w:pPr>
        <w:pStyle w:val="TextoNormal"/>
      </w:pPr>
    </w:p>
    <w:p w14:paraId="368C0417" w14:textId="19D406E7" w:rsidR="00C04533" w:rsidRDefault="00C04533" w:rsidP="00C04533">
      <w:pPr>
        <w:pStyle w:val="TextoNormal"/>
      </w:pPr>
      <w:r>
        <w:t>Madrid, a veintidós de octubre de de dos mil veinticuatro.</w:t>
      </w:r>
    </w:p>
    <w:p w14:paraId="4BFF6E70" w14:textId="77777777" w:rsidR="00C04533" w:rsidRDefault="00C04533" w:rsidP="00C04533">
      <w:pPr>
        <w:pStyle w:val="TextoNormal"/>
      </w:pPr>
    </w:p>
    <w:p w14:paraId="4A842B23" w14:textId="77777777" w:rsidR="00C04533" w:rsidRDefault="00C04533" w:rsidP="00C04533">
      <w:pPr>
        <w:pStyle w:val="TextoNormalNegritaCentrado"/>
        <w:keepNext/>
      </w:pPr>
      <w:r>
        <w:t>Voto particular discrepante que formula la magistrada doña Concepción Espejel Jorquera al auto de 22 de octubre de 2024, dictado en el incidente de recusación del presidente del Tribunal, don Cándido Conde-Pumpido Tourón, planteado en el recurso de inconstitucionalidad núm. 6556-2024</w:t>
      </w:r>
    </w:p>
    <w:p w14:paraId="30071E70" w14:textId="2F076A42" w:rsidR="00C04533" w:rsidRDefault="00C04533" w:rsidP="00C04533">
      <w:pPr>
        <w:pStyle w:val="TextoNormalNegritaCentrado"/>
        <w:keepNext/>
      </w:pPr>
    </w:p>
    <w:p w14:paraId="295AEF21" w14:textId="77777777" w:rsidR="00C04533" w:rsidRDefault="00C04533" w:rsidP="00C04533">
      <w:pPr>
        <w:pStyle w:val="TextoNormal"/>
      </w:pPr>
      <w:r>
        <w:t>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14:paraId="000E4328" w14:textId="77777777" w:rsidR="00C04533" w:rsidRDefault="00C04533" w:rsidP="00C04533">
      <w:pPr>
        <w:pStyle w:val="TextoNormal"/>
      </w:pPr>
    </w:p>
    <w:p w14:paraId="51C0C669" w14:textId="77777777" w:rsidR="00C04533" w:rsidRDefault="00C04533" w:rsidP="00C04533">
      <w:pPr>
        <w:pStyle w:val="TextoNormal"/>
      </w:pPr>
      <w:r>
        <w:t>Me remito al voto particular formulado en el ATC 93/2024, de 8 de octubre, en el mismo recurso de inconstitucionalidad (igualmente en una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7055DF8B" w14:textId="77777777" w:rsidR="00C04533" w:rsidRDefault="00C04533" w:rsidP="00C04533">
      <w:pPr>
        <w:pStyle w:val="TextoNormal"/>
      </w:pPr>
    </w:p>
    <w:p w14:paraId="025F3C2D"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podría perjudicar seriamente la apariencia de imparcialidad que debe presentar este tribunal como órgano jurisdiccional.</w:t>
      </w:r>
    </w:p>
    <w:p w14:paraId="460E8291" w14:textId="77777777" w:rsidR="00C04533" w:rsidRDefault="00C04533" w:rsidP="00C04533">
      <w:pPr>
        <w:pStyle w:val="TextoNormal"/>
      </w:pPr>
    </w:p>
    <w:p w14:paraId="311FBA56" w14:textId="77777777" w:rsidR="00C04533" w:rsidRDefault="00C04533" w:rsidP="00C04533">
      <w:pPr>
        <w:pStyle w:val="TextoNormal"/>
      </w:pPr>
      <w:r>
        <w:t>Por lo expuesto, formulo el presente voto particular.</w:t>
      </w:r>
    </w:p>
    <w:p w14:paraId="0A4DE352" w14:textId="77777777" w:rsidR="00C04533" w:rsidRDefault="00C04533" w:rsidP="00C04533">
      <w:pPr>
        <w:pStyle w:val="TextoNormal"/>
      </w:pPr>
    </w:p>
    <w:p w14:paraId="01314D7D" w14:textId="69167B75" w:rsidR="00C04533" w:rsidRDefault="00C04533" w:rsidP="00C04533">
      <w:pPr>
        <w:pStyle w:val="TextoNormal"/>
      </w:pPr>
      <w:r>
        <w:t>Madrid, a veintidós de octubre de dos mil veinticuatro.</w:t>
      </w:r>
    </w:p>
    <w:p w14:paraId="596FBFC4" w14:textId="2F1CB465" w:rsidR="00C04533" w:rsidRDefault="00C04533">
      <w:pPr>
        <w:spacing w:after="160" w:line="278" w:lineRule="auto"/>
        <w:rPr>
          <w:rFonts w:ascii="Times New Roman" w:eastAsia="Times New Roman" w:hAnsi="Times New Roman" w:cs="Times New Roman"/>
          <w:sz w:val="24"/>
          <w:szCs w:val="24"/>
          <w:lang w:eastAsia="es-ES"/>
        </w:rPr>
      </w:pPr>
      <w:r>
        <w:br w:type="page"/>
      </w:r>
    </w:p>
    <w:p w14:paraId="6C97B1DD" w14:textId="77777777" w:rsidR="00C04533" w:rsidRDefault="00C04533" w:rsidP="00C04533">
      <w:pPr>
        <w:pStyle w:val="TtuloResolucin"/>
      </w:pPr>
      <w:bookmarkStart w:id="114" w:name="AUTO_2024_108"/>
      <w:r>
        <w:t>AUTO 108/2024, de 22 de octubre de 2024</w:t>
      </w:r>
    </w:p>
    <w:bookmarkEnd w:id="114"/>
    <w:p w14:paraId="08A569D7" w14:textId="77777777" w:rsidR="00C04533" w:rsidRDefault="00C04533" w:rsidP="00C04533">
      <w:pPr>
        <w:pStyle w:val="TtuloResolucin"/>
      </w:pPr>
      <w:r>
        <w:t>Pleno</w:t>
      </w:r>
    </w:p>
    <w:p w14:paraId="124449F6" w14:textId="77777777" w:rsidR="00C04533" w:rsidRDefault="00C04533" w:rsidP="00C04533">
      <w:pPr>
        <w:pStyle w:val="TextoNormalCentrado"/>
      </w:pPr>
      <w:r>
        <w:t>ECLI:ES:TC:2024:108A</w:t>
      </w:r>
    </w:p>
    <w:p w14:paraId="64EBD39A" w14:textId="46219B01" w:rsidR="00C04533" w:rsidRDefault="00C04533" w:rsidP="00C04533">
      <w:pPr>
        <w:pStyle w:val="TextoNormalCentrado"/>
      </w:pPr>
    </w:p>
    <w:p w14:paraId="55B2700E" w14:textId="77777777" w:rsidR="00C04533" w:rsidRDefault="00C04533" w:rsidP="00C04533">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167C0053" w14:textId="63307983" w:rsidR="00C04533" w:rsidRDefault="00C04533" w:rsidP="00C04533">
      <w:pPr>
        <w:pStyle w:val="SntesisDescriptiva"/>
      </w:pPr>
    </w:p>
    <w:p w14:paraId="4FF6F7D0" w14:textId="77777777" w:rsidR="00C04533" w:rsidRDefault="00C04533" w:rsidP="00C04533">
      <w:pPr>
        <w:pStyle w:val="SntesisDescriptiva"/>
      </w:pPr>
      <w:r>
        <w:t>Inadmite una recusación en el recurso de inconstitucionalidad 6575-2024, interpuesto por el Consejo de Gobierno de la Comunidad Autónoma de Andalucía en relación con la Ley Orgánica 1/2024, de 10 de junio, de amnistía para la normalización institucional, política y social en Cataluña. Votos particulares.</w:t>
      </w:r>
    </w:p>
    <w:p w14:paraId="55DA25A8" w14:textId="2F57A238" w:rsidR="00C04533" w:rsidRDefault="00C04533" w:rsidP="00C04533">
      <w:pPr>
        <w:pStyle w:val="SntesisDescriptiva"/>
      </w:pPr>
    </w:p>
    <w:p w14:paraId="6AEF8C02" w14:textId="77777777" w:rsidR="00C04533" w:rsidRDefault="00C04533" w:rsidP="00C04533">
      <w:pPr>
        <w:pStyle w:val="SntesisDescriptiva"/>
      </w:pPr>
    </w:p>
    <w:p w14:paraId="29BE86AA" w14:textId="77777777" w:rsidR="00C04533" w:rsidRDefault="00C04533" w:rsidP="00C04533">
      <w:pPr>
        <w:pStyle w:val="SntesisDescriptiva"/>
      </w:pPr>
    </w:p>
    <w:p w14:paraId="7614E6D0" w14:textId="77777777" w:rsidR="00C04533" w:rsidRDefault="00C04533" w:rsidP="00C04533">
      <w:pPr>
        <w:pStyle w:val="TextoNormalNegritaCentrado"/>
      </w:pPr>
      <w:r>
        <w:t>AUTO</w:t>
      </w:r>
    </w:p>
    <w:p w14:paraId="6FDCD5C0" w14:textId="06012C80" w:rsidR="00C04533" w:rsidRDefault="00C04533" w:rsidP="00C04533">
      <w:pPr>
        <w:pStyle w:val="TextoNormalNegritaCentrado"/>
      </w:pPr>
    </w:p>
    <w:p w14:paraId="6EAA67E2" w14:textId="77777777" w:rsidR="00C04533" w:rsidRDefault="00C04533" w:rsidP="00C04533">
      <w:pPr>
        <w:pStyle w:val="TextoNormalNegritaCentrado"/>
        <w:keepNext/>
      </w:pPr>
      <w:r>
        <w:t>I. Antecedentes</w:t>
      </w:r>
    </w:p>
    <w:p w14:paraId="27106358" w14:textId="3ABFE469" w:rsidR="00C04533" w:rsidRDefault="00C04533" w:rsidP="00C04533">
      <w:pPr>
        <w:pStyle w:val="TextoNormalNegritaCentrado"/>
        <w:keepNext/>
      </w:pPr>
    </w:p>
    <w:p w14:paraId="0A8E7F09" w14:textId="440C7FEC" w:rsidR="00C04533" w:rsidRDefault="00C04533" w:rsidP="00C04533">
      <w:pPr>
        <w:pStyle w:val="TextoNormal"/>
      </w:pPr>
      <w:r w:rsidRPr="00C04533">
        <w:rPr>
          <w:rStyle w:val="NumeroAFNegritaCaracter"/>
        </w:rPr>
        <w:t>1</w:t>
      </w:r>
      <w:r>
        <w:t>. Por el Consejo de Gobierno de la Comunidad Autónoma de Andalucía se ha interpuesto recurso de inconstitucionalidad en relación con la Ley Orgánica 1/2024, de 10 de junio, de amnistía para la normalización institucional, política y social en Cataluña, mediante escrito registrado en este tribunal el 9 de septiembre de 2024, en el que promueve por otrosí la recusación, entre otros, del magistrado don Cándido Conde-Pumpido Tourón, presidente del Tribunal.</w:t>
      </w:r>
    </w:p>
    <w:p w14:paraId="09CE68D3" w14:textId="77777777" w:rsidR="00C04533" w:rsidRDefault="00C04533" w:rsidP="00C04533">
      <w:pPr>
        <w:pStyle w:val="TextoNormal"/>
      </w:pPr>
    </w:p>
    <w:p w14:paraId="3A6EC9D6" w14:textId="4C684D5F"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la causa prevista en el art. 219.10 de la Ley Orgánica del Poder Judicial (LOPJ) —tener interés directo o indirecto en el pleito o causa—, con fundamento en que el propio magistrado recusado formuló su abstención en diversos recursos de amparo presentados contra pronunciamientos recaídos en la causa especial núm. 20907-2017 seguida ante la Sala de lo Penal del Tribunal Supremo, que concluiría con la sentencia 459/2019, de 14 de octubre, en la que fueron condenados varios encausados por delitos cometidos en el contexto del denominado “proceso independentista catalán”. En síntesis, se argumenta que habiendo sido aceptada su abstención por el ATC 48/2021, de 21 de abril, los razonamientos de esa resolución serían trasladables al presente procedimiento, dada la relación entre aquel proceso penal y el objeto de la norma ahora impugnada.</w:t>
      </w:r>
    </w:p>
    <w:p w14:paraId="6D9C02B7" w14:textId="77777777" w:rsidR="00C04533" w:rsidRDefault="00C04533" w:rsidP="00C04533">
      <w:pPr>
        <w:pStyle w:val="TextoNormal"/>
      </w:pPr>
    </w:p>
    <w:p w14:paraId="31211891" w14:textId="7DFE07EE" w:rsidR="00C04533" w:rsidRDefault="00C04533" w:rsidP="00C04533">
      <w:pPr>
        <w:pStyle w:val="TextoNormal"/>
      </w:pPr>
      <w:r w:rsidRPr="00C04533">
        <w:rPr>
          <w:rStyle w:val="NumeroAFNegritaCaracter"/>
        </w:rPr>
        <w:t>3</w:t>
      </w:r>
      <w:r>
        <w:t>. La Secretaría de Justicia del Pleno del Tribunal, mediante diligencia de ordenación de 9 de octubre de 2024, consignó que la ponencia del incidente de recusación correspondía por turno de reparto a la vicepresidenta del Tribunal, doña Inmaculada Montalbán Huertas.</w:t>
      </w:r>
    </w:p>
    <w:p w14:paraId="6463FB4D" w14:textId="77777777" w:rsidR="00C04533" w:rsidRDefault="00C04533" w:rsidP="00C04533">
      <w:pPr>
        <w:pStyle w:val="TextoNormal"/>
      </w:pPr>
    </w:p>
    <w:p w14:paraId="7B801099" w14:textId="40D96D26" w:rsidR="00C04533" w:rsidRDefault="00C04533" w:rsidP="00C04533">
      <w:pPr>
        <w:pStyle w:val="TextoNormal"/>
      </w:pPr>
      <w:r w:rsidRPr="00C04533">
        <w:rPr>
          <w:rStyle w:val="NumeroAFNegritaCaracter"/>
        </w:rPr>
        <w:t>4</w:t>
      </w:r>
      <w:r>
        <w:t>. Finalmente, ha de advertirse que en la composición del Pleno del Tribunal solo intervienen ocho de sus miembros, no participando el magistrado de cuya recusación se trata, ni el magistrado don Juan Carlos Campo Moreno, cuya abstención fue aceptada por ATC 91/2024, de 24 de septiembre, así como la magistrada doña Laura Díez Bueso y el magistrado don José María Macías Castaño, cuyas recusaciones están pendientes de resolución.</w:t>
      </w:r>
    </w:p>
    <w:p w14:paraId="723B3C10" w14:textId="77777777" w:rsidR="00C04533" w:rsidRDefault="00C04533" w:rsidP="00C04533">
      <w:pPr>
        <w:pStyle w:val="TextoNormal"/>
      </w:pPr>
    </w:p>
    <w:p w14:paraId="370398A3" w14:textId="77777777" w:rsidR="00C04533" w:rsidRDefault="00C04533" w:rsidP="00C04533">
      <w:pPr>
        <w:pStyle w:val="TextoNormalNegritaCentrado"/>
        <w:keepNext/>
      </w:pPr>
      <w:r>
        <w:t>II. Fundamentos jurídicos</w:t>
      </w:r>
    </w:p>
    <w:p w14:paraId="666FAE07" w14:textId="65743AE0" w:rsidR="00C04533" w:rsidRDefault="00C04533" w:rsidP="00C04533">
      <w:pPr>
        <w:pStyle w:val="TextoNormalNegritaCentrado"/>
        <w:keepNext/>
      </w:pPr>
    </w:p>
    <w:p w14:paraId="55E292A7" w14:textId="2BC6A5DA" w:rsidR="00C04533" w:rsidRDefault="00C04533" w:rsidP="00C04533">
      <w:pPr>
        <w:pStyle w:val="TextoNormal"/>
      </w:pPr>
      <w:r w:rsidRPr="00C04533">
        <w:rPr>
          <w:rStyle w:val="NumeroAFNegritaCaracter"/>
        </w:rPr>
        <w:t>1</w:t>
      </w:r>
      <w:r>
        <w:t>. La recusación del presidente de este tribunal, don Cándido Conde-Pumpido Tourón, se sustenta en que el ATC 48/2021, de 21 de abril, estimó justificada su abstención en diversos recursos de amparo interpuestos contra resoluciones dictadas por la Sala de lo Penal del Tribunal Supremo en la causa especial núm. 20907-2017, con las que guardaría relación la Ley Orgánica 1/2024, de 10 de junio, de amnistía para la normalización institucional, política y social en Cataluña, que es objeto del presente recurso de inconstitucionalidad presentado por la institución recusante. En consecuencia, concurriría la causa de abstención —que ahora sería de recusación— prevista en el art. 219.10 LOPJ: “[t]ener interés directo o indirecto en el pleito o causa”.</w:t>
      </w:r>
    </w:p>
    <w:p w14:paraId="594CE06C" w14:textId="77777777" w:rsidR="00C04533" w:rsidRDefault="00C04533" w:rsidP="00C04533">
      <w:pPr>
        <w:pStyle w:val="TextoNormal"/>
      </w:pPr>
    </w:p>
    <w:p w14:paraId="431B0AA9" w14:textId="71F714C0" w:rsidR="00C04533" w:rsidRDefault="00C04533" w:rsidP="00C04533">
      <w:pPr>
        <w:pStyle w:val="TextoNormal"/>
      </w:pPr>
      <w:r w:rsidRPr="00C04533">
        <w:rPr>
          <w:rStyle w:val="NumeroAFNegritaCaracter"/>
        </w:rPr>
        <w:t>2</w:t>
      </w:r>
      <w:r>
        <w:t>. La recusación presentada guarda identidad con la recientemente inadmitida de plano por el auto dictado por el Pleno en el recurso de inconstitucionalidad núm. 6436-2024, ATC 93/2024, de 8 de octubre, en el que señalamos: (i) que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respecto de las que había riesgo de que pudieran ser interpretadas por el sentir ciudadano como un prejuicio sobre la eventual culpabilidad de los implicados en aquella causa penal; (ii) que, en el presente caso, sin embargo, el objeto de la impugnación es resolver sobre la constitucionalidad de la Ley Orgánica 1/2024, de 10 de junio, norma que no existía en el momento de suscitarse aquella abstención y que ahora se cuestiona de manera abstracta, por lo que no cabe apreciar que las manifestaciones controvertidas entonces se refirieran al problema constitucional suscitado en este procedimiento.</w:t>
      </w:r>
    </w:p>
    <w:p w14:paraId="7A25AC6D" w14:textId="77777777" w:rsidR="00C04533" w:rsidRDefault="00C04533" w:rsidP="00C04533">
      <w:pPr>
        <w:pStyle w:val="TextoNormal"/>
      </w:pPr>
    </w:p>
    <w:p w14:paraId="27882D88" w14:textId="77777777" w:rsidR="00C04533" w:rsidRDefault="00C04533" w:rsidP="00C04533">
      <w:pPr>
        <w:pStyle w:val="TextoNormal"/>
      </w:pPr>
      <w:r>
        <w:t>Por lo expuesto, el Pleno</w:t>
      </w:r>
    </w:p>
    <w:p w14:paraId="59F62352" w14:textId="52B5E7BD" w:rsidR="00C04533" w:rsidRDefault="00C04533" w:rsidP="00C04533">
      <w:pPr>
        <w:pStyle w:val="TextoNormal"/>
      </w:pPr>
    </w:p>
    <w:p w14:paraId="2A8A0128" w14:textId="77777777" w:rsidR="00C04533" w:rsidRDefault="00C04533" w:rsidP="00C04533">
      <w:pPr>
        <w:pStyle w:val="TextoNormalCentrado"/>
      </w:pPr>
      <w:r>
        <w:t>ACUERDA</w:t>
      </w:r>
    </w:p>
    <w:p w14:paraId="749B54AE" w14:textId="060C8D01" w:rsidR="00C04533" w:rsidRDefault="00C04533" w:rsidP="00C04533">
      <w:pPr>
        <w:pStyle w:val="TextoNormalCentrado"/>
      </w:pPr>
    </w:p>
    <w:p w14:paraId="3ABBA625" w14:textId="4BE19C21" w:rsidR="00C04533" w:rsidRDefault="00C04533" w:rsidP="00C04533">
      <w:pPr>
        <w:pStyle w:val="TextoNormal"/>
      </w:pPr>
      <w:r>
        <w:t>No admitir a trámite la recusación del presidente del Tribunal, don Cándido Conde-Pumpido Tourón, promovida en el recurso de inconstitucionalidad núm. 6575-2024 por el Consejo de Gobierno de la Comunidad Autónoma de Andalucía.</w:t>
      </w:r>
    </w:p>
    <w:p w14:paraId="1B20A831" w14:textId="77777777" w:rsidR="00C04533" w:rsidRDefault="00C04533" w:rsidP="00C04533">
      <w:pPr>
        <w:pStyle w:val="TextoNormal"/>
      </w:pPr>
    </w:p>
    <w:p w14:paraId="6AE41A8C" w14:textId="77777777" w:rsidR="00C04533" w:rsidRDefault="00C04533" w:rsidP="00C04533">
      <w:pPr>
        <w:pStyle w:val="TextoNormal"/>
      </w:pPr>
      <w:r>
        <w:t>Madrid, a veintidós de octubre de dos mil veinticuatro.</w:t>
      </w:r>
    </w:p>
    <w:p w14:paraId="2F95AF76" w14:textId="1C790C93" w:rsidR="00C04533" w:rsidRDefault="00C04533" w:rsidP="00C04533">
      <w:pPr>
        <w:pStyle w:val="ParrafoNormal"/>
      </w:pPr>
    </w:p>
    <w:p w14:paraId="332EB328" w14:textId="77777777" w:rsidR="00C04533" w:rsidRDefault="00C04533" w:rsidP="00C04533">
      <w:pPr>
        <w:pStyle w:val="TextoNormalNegritaCentrado"/>
        <w:keepNext/>
      </w:pPr>
      <w:r>
        <w:t>Voto particular que formula el magistrado don Enrique Arnaldo Alcubilla al auto dictado en el recurso de inconstitucionalidad núm. 6575-2024 que inadmite la recusación del presidente del Tribunal Constitucional</w:t>
      </w:r>
    </w:p>
    <w:p w14:paraId="416F265C" w14:textId="601F7DEC" w:rsidR="00C04533" w:rsidRDefault="00C04533" w:rsidP="00C04533">
      <w:pPr>
        <w:pStyle w:val="TextoNormalNegritaCentrado"/>
        <w:keepNext/>
      </w:pPr>
    </w:p>
    <w:p w14:paraId="7C003B64"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27B91A6F" w14:textId="77777777" w:rsidR="00C04533" w:rsidRDefault="00C04533" w:rsidP="00C04533">
      <w:pPr>
        <w:pStyle w:val="TextoNormal"/>
      </w:pPr>
    </w:p>
    <w:p w14:paraId="06694953" w14:textId="77777777" w:rsidR="00C04533" w:rsidRDefault="00C04533" w:rsidP="00C04533">
      <w:pPr>
        <w:pStyle w:val="TextoNormal"/>
      </w:pPr>
      <w:r>
        <w:t>El auto, que ha sido dictado por un Pleno del Tribunal compuesto por ocho magistrados, acuerda inadmitir la recusación promovida por el Consejo de Gobierno de la Junta de Andalucía contra el magistrado y presidente del Tribunal don Cándido Conde-Pumpido Tourón, con motivo del recurso de inconstitucionalidad interpuesto contra la Ley Orgánica 1/2024, de amnistía para la normalización institucional, política y social en Cataluña.</w:t>
      </w:r>
    </w:p>
    <w:p w14:paraId="6647B9D8" w14:textId="77777777" w:rsidR="00C04533" w:rsidRDefault="00C04533" w:rsidP="00C04533">
      <w:pPr>
        <w:pStyle w:val="TextoNormal"/>
      </w:pPr>
    </w:p>
    <w:p w14:paraId="463329DE" w14:textId="77777777" w:rsidR="00C04533" w:rsidRDefault="00C04533" w:rsidP="00C04533">
      <w:pPr>
        <w:pStyle w:val="TextoNormal"/>
      </w:pPr>
      <w:r>
        <w:t>En síntesis, reiterando la fundamentación del ATC 93/2024, de 8 de octubre, que inadmitió la recusación del mismo magistrado planteada en el recurso de inconstitucionalidad núm. 6436-2024, el presente auto entiende que las razones que en su día motivaron que por ATC 48/2021, de 21 de abril,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14:paraId="4E545D9D" w14:textId="77777777" w:rsidR="00C04533" w:rsidRDefault="00C04533" w:rsidP="00C04533">
      <w:pPr>
        <w:pStyle w:val="TextoNormal"/>
      </w:pPr>
    </w:p>
    <w:p w14:paraId="5E428332" w14:textId="77777777" w:rsidR="00C04533" w:rsidRDefault="00C04533" w:rsidP="00C04533">
      <w:pPr>
        <w:pStyle w:val="TextoNormal"/>
      </w:pPr>
      <w:r>
        <w:t>No disiento en este punto del auto aprobado por la mayoría del Pleno, pues comparto la decisión de inadmitir la recusación del presidente del Tribunal don Cándido Conde-Pumpido Tourón por las razones que allí se indican.</w:t>
      </w:r>
    </w:p>
    <w:p w14:paraId="54F1772D" w14:textId="77777777" w:rsidR="00C04533" w:rsidRDefault="00C04533" w:rsidP="00C04533">
      <w:pPr>
        <w:pStyle w:val="TextoNormal"/>
      </w:pPr>
    </w:p>
    <w:p w14:paraId="6A382D47" w14:textId="77777777" w:rsidR="00C04533" w:rsidRDefault="00C04533" w:rsidP="00C04533">
      <w:pPr>
        <w:pStyle w:val="TextoNormal"/>
      </w:pPr>
      <w:r>
        <w:t>Mi discrepancia con este auto, al igual que sucedía con el ATC 93/2024, se refiere a la composición del Pleno para la resolución de este incidente de recusación, pues no se explican suficientemente las razones por las que está integrado solo por ocho magistrados (más allá de la escueta indicación del antecedente 4) ni tampoco, y esto es lo fundamental, por qué se resuelve separadamente sobre la recusación del presidente del Tribunal don Cándido Conde-Pumpido Tourón, cuando el Gobierno autonómico recurrente ha recusado también a la magistrada doña Laura Díez Bueso (así como al magistrado don Juan Carlos Campo Moreno, si bien la abstención de este ya ha sido aceptada por el Tribunal en el ATC 91/2024, de 24 de septiembre).</w:t>
      </w:r>
    </w:p>
    <w:p w14:paraId="6635E0FB" w14:textId="77777777" w:rsidR="00C04533" w:rsidRDefault="00C04533" w:rsidP="00C04533">
      <w:pPr>
        <w:pStyle w:val="TextoNormal"/>
      </w:pPr>
    </w:p>
    <w:p w14:paraId="6285109B" w14:textId="77777777" w:rsidR="00C04533" w:rsidRDefault="00C04533" w:rsidP="00C04533">
      <w:pPr>
        <w:pStyle w:val="TextoNormal"/>
      </w:pPr>
      <w: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Gobierno recurrente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14:paraId="5D6609D3" w14:textId="77777777" w:rsidR="00C04533" w:rsidRDefault="00C04533" w:rsidP="00C04533">
      <w:pPr>
        <w:pStyle w:val="TextoNormal"/>
      </w:pPr>
    </w:p>
    <w:p w14:paraId="2AEA1061"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debía resolverse de manera fraccionada o separada y sucesivamente, sino de forma simultánea, por un Pleno del Tribunal con una composición en la que no interviniesen ninguno de los magistrados recusados (y tampoco, por supuesto, el magistrado don Juan Carlos Campo Moreno, al haber sido aceptada ya previamente por este tribunal su abstención). Como consecuencia de la extravagante decisión de resolver separadamente ambas recusaciones, la recusación de la magistrada doña Laura Díez Bueso ha quedado “pendiente”, como se indica en el antecedente 4 del auto, sin que ello resulte justificado, a mi entender.</w:t>
      </w:r>
    </w:p>
    <w:p w14:paraId="73AD3F0C" w14:textId="77777777" w:rsidR="00C04533" w:rsidRDefault="00C04533" w:rsidP="00C04533">
      <w:pPr>
        <w:pStyle w:val="TextoNormal"/>
      </w:pPr>
    </w:p>
    <w:p w14:paraId="0B49A486" w14:textId="77777777" w:rsidR="00C04533" w:rsidRDefault="00C04533" w:rsidP="00C04533">
      <w:pPr>
        <w:pStyle w:val="TextoNormal"/>
      </w:pPr>
      <w:r>
        <w:t>En fin, no debe dejarse de señalar que tampoco se explican en el auto las razones que llevan a excluir al magistrado don José María Macías Castaño de la composición del Pleno que ha dictado el auto que nos ocupa, más allá del lacónico enunciado del antecedente 4.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recurso de inconstitucionalidad) de los interpuestos contra la Ley Orgánica 1/2024, en que dicha recusación ha sido planteada por la parte recurrente, en la propia demanda o en escrito posterior.</w:t>
      </w:r>
    </w:p>
    <w:p w14:paraId="6D1DBED8" w14:textId="77777777" w:rsidR="00C04533" w:rsidRDefault="00C04533" w:rsidP="00C04533">
      <w:pPr>
        <w:pStyle w:val="TextoNormal"/>
      </w:pPr>
    </w:p>
    <w:p w14:paraId="1B7BEB37" w14:textId="77777777" w:rsidR="00C04533" w:rsidRDefault="00C04533" w:rsidP="00C04533">
      <w:pPr>
        <w:pStyle w:val="TextoNormal"/>
      </w:pPr>
      <w:r>
        <w:t>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Castaño, mientras que este magistrado habrá sido excluido de intervenir en la decisión de la recusación del presidente y lo será también de la que afecta a la magistrada doña Laura Díez Bueso. En otras palabras, la recusación formulada respecto del magistrado don José María Macías Castaño será resuelta por un colegio de diez magistrados, incluidos los dos citados, en la previsión indicada, pero ese magistrado no habrá podido intervenir en la resolución de la recusación que afecta a aquellos dos magistrados.</w:t>
      </w:r>
    </w:p>
    <w:p w14:paraId="77273DAF" w14:textId="77777777" w:rsidR="00C04533" w:rsidRDefault="00C04533" w:rsidP="00C04533">
      <w:pPr>
        <w:pStyle w:val="TextoNormal"/>
      </w:pPr>
    </w:p>
    <w:p w14:paraId="75F627D1"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00530D92" w14:textId="77777777" w:rsidR="00C04533" w:rsidRDefault="00C04533" w:rsidP="00C04533">
      <w:pPr>
        <w:pStyle w:val="TextoNormal"/>
      </w:pPr>
    </w:p>
    <w:p w14:paraId="3BB12F39" w14:textId="0D3C43A1" w:rsidR="00C04533" w:rsidRDefault="00C04533" w:rsidP="00C04533">
      <w:pPr>
        <w:pStyle w:val="TextoNormal"/>
      </w:pPr>
      <w:r>
        <w:t>Madrid, a veintidós de octubre de dos mil veinticuatro.</w:t>
      </w:r>
    </w:p>
    <w:p w14:paraId="4C955253" w14:textId="77777777" w:rsidR="00C04533" w:rsidRDefault="00C04533" w:rsidP="00C04533">
      <w:pPr>
        <w:pStyle w:val="TextoNormal"/>
      </w:pPr>
    </w:p>
    <w:p w14:paraId="3EE2304B" w14:textId="77777777" w:rsidR="00C04533" w:rsidRDefault="00C04533" w:rsidP="00C04533">
      <w:pPr>
        <w:pStyle w:val="TextoNormalNegritaCentrado"/>
        <w:keepNext/>
      </w:pPr>
      <w:r>
        <w:t>Voto particular discrepante que formula la magistrada doña Concepción Espejel Jorquera al auto de 22 de octubre de 2024, dictado en el incidente de recusación del presidente del Tribunal, don Cándido Conde-Pumpido Tourón, planteado en el recurso de inconstitucionalidad núm. 6575-2024</w:t>
      </w:r>
    </w:p>
    <w:p w14:paraId="40563093" w14:textId="1B23939A" w:rsidR="00C04533" w:rsidRDefault="00C04533" w:rsidP="00C04533">
      <w:pPr>
        <w:pStyle w:val="TextoNormalNegritaCentrado"/>
        <w:keepNext/>
      </w:pPr>
    </w:p>
    <w:p w14:paraId="25593358" w14:textId="77777777" w:rsidR="00C04533" w:rsidRDefault="00C04533" w:rsidP="00C04533">
      <w:pPr>
        <w:pStyle w:val="TextoNormal"/>
      </w:pPr>
      <w:r>
        <w:t>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14:paraId="0A3A174D" w14:textId="77777777" w:rsidR="00C04533" w:rsidRDefault="00C04533" w:rsidP="00C04533">
      <w:pPr>
        <w:pStyle w:val="TextoNormal"/>
      </w:pPr>
    </w:p>
    <w:p w14:paraId="00CAB766" w14:textId="77777777" w:rsidR="00C04533" w:rsidRDefault="00C04533" w:rsidP="00C04533">
      <w:pPr>
        <w:pStyle w:val="TextoNormal"/>
      </w:pPr>
      <w:r>
        <w:t>Me remito al voto particular formulado en el ATC 93/2024, de 8 de octubre, en el mismo recurso de inconstitucionalidad (igualmente en una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6C40765B" w14:textId="77777777" w:rsidR="00C04533" w:rsidRDefault="00C04533" w:rsidP="00C04533">
      <w:pPr>
        <w:pStyle w:val="TextoNormal"/>
      </w:pPr>
    </w:p>
    <w:p w14:paraId="5C427AAB"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podría perjudicar seriamente la apariencia de imparcialidad que debe presentar este tribunal como órgano jurisdiccional.</w:t>
      </w:r>
    </w:p>
    <w:p w14:paraId="3CE8FA0D" w14:textId="77777777" w:rsidR="00C04533" w:rsidRDefault="00C04533" w:rsidP="00C04533">
      <w:pPr>
        <w:pStyle w:val="TextoNormal"/>
      </w:pPr>
    </w:p>
    <w:p w14:paraId="1F44FEDF" w14:textId="77777777" w:rsidR="00C04533" w:rsidRDefault="00C04533" w:rsidP="00C04533">
      <w:pPr>
        <w:pStyle w:val="TextoNormal"/>
      </w:pPr>
      <w:r>
        <w:t>Por lo expuesto, formulo el presente voto particular.</w:t>
      </w:r>
    </w:p>
    <w:p w14:paraId="562D713B" w14:textId="77777777" w:rsidR="00C04533" w:rsidRDefault="00C04533" w:rsidP="00C04533">
      <w:pPr>
        <w:pStyle w:val="TextoNormal"/>
      </w:pPr>
    </w:p>
    <w:p w14:paraId="40DEB118" w14:textId="285DC791" w:rsidR="00C04533" w:rsidRDefault="00C04533" w:rsidP="00C04533">
      <w:pPr>
        <w:pStyle w:val="TextoNormal"/>
      </w:pPr>
      <w:r>
        <w:t>Madrid, a veintidós de octubre de dos mil veinticuatro.</w:t>
      </w:r>
    </w:p>
    <w:p w14:paraId="7B3DEA46" w14:textId="11517C1D" w:rsidR="00C04533" w:rsidRDefault="00C04533">
      <w:pPr>
        <w:spacing w:after="160" w:line="278" w:lineRule="auto"/>
        <w:rPr>
          <w:rFonts w:ascii="Times New Roman" w:eastAsia="Times New Roman" w:hAnsi="Times New Roman" w:cs="Times New Roman"/>
          <w:sz w:val="24"/>
          <w:szCs w:val="24"/>
          <w:lang w:eastAsia="es-ES"/>
        </w:rPr>
      </w:pPr>
      <w:r>
        <w:br w:type="page"/>
      </w:r>
    </w:p>
    <w:p w14:paraId="07FE9063" w14:textId="77777777" w:rsidR="00C04533" w:rsidRDefault="00C04533" w:rsidP="00C04533">
      <w:pPr>
        <w:pStyle w:val="TtuloResolucin"/>
      </w:pPr>
      <w:bookmarkStart w:id="115" w:name="AUTO_2024_109"/>
      <w:r>
        <w:t>AUTO 109/2024, de 22 de octubre de 2024</w:t>
      </w:r>
    </w:p>
    <w:bookmarkEnd w:id="115"/>
    <w:p w14:paraId="7463930B" w14:textId="77777777" w:rsidR="00C04533" w:rsidRDefault="00C04533" w:rsidP="00C04533">
      <w:pPr>
        <w:pStyle w:val="TtuloResolucin"/>
      </w:pPr>
      <w:r>
        <w:t>Pleno</w:t>
      </w:r>
    </w:p>
    <w:p w14:paraId="3FFE1D3B" w14:textId="77777777" w:rsidR="00C04533" w:rsidRDefault="00C04533" w:rsidP="00C04533">
      <w:pPr>
        <w:pStyle w:val="TextoNormalCentrado"/>
      </w:pPr>
      <w:r>
        <w:t>ECLI:ES:TC:2024:109A</w:t>
      </w:r>
    </w:p>
    <w:p w14:paraId="2EF6CCE5" w14:textId="4D1F2C95" w:rsidR="00C04533" w:rsidRDefault="00C04533" w:rsidP="00C04533">
      <w:pPr>
        <w:pStyle w:val="TextoNormalCentrado"/>
      </w:pPr>
    </w:p>
    <w:p w14:paraId="645451D2" w14:textId="77777777" w:rsidR="00C04533" w:rsidRDefault="00C04533" w:rsidP="00C04533">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35E85570" w14:textId="1FCF0735" w:rsidR="00C04533" w:rsidRDefault="00C04533" w:rsidP="00C04533">
      <w:pPr>
        <w:pStyle w:val="SntesisDescriptiva"/>
      </w:pPr>
    </w:p>
    <w:p w14:paraId="48EF24C2" w14:textId="77777777" w:rsidR="00C04533" w:rsidRDefault="00C04533" w:rsidP="00C04533">
      <w:pPr>
        <w:pStyle w:val="SntesisDescriptiva"/>
      </w:pPr>
      <w:r>
        <w:t>Inadmite una recusación en el recurso de inconstitucionalidad 6588-2024, interpuesto por el Consell de la Generalitat Valenciana en relación con la Ley Orgánica 1/2024, de 10 de junio, de amnistía para la normalización institucional, política y social en Cataluña. Votos particulares.</w:t>
      </w:r>
    </w:p>
    <w:p w14:paraId="0D024C43" w14:textId="70DC27C8" w:rsidR="00C04533" w:rsidRDefault="00C04533" w:rsidP="00C04533">
      <w:pPr>
        <w:pStyle w:val="SntesisDescriptiva"/>
      </w:pPr>
    </w:p>
    <w:p w14:paraId="5F84F72A" w14:textId="77777777" w:rsidR="00C04533" w:rsidRDefault="00C04533" w:rsidP="00C04533">
      <w:pPr>
        <w:pStyle w:val="SntesisDescriptiva"/>
      </w:pPr>
    </w:p>
    <w:p w14:paraId="3F5481F0" w14:textId="77777777" w:rsidR="00C04533" w:rsidRDefault="00C04533" w:rsidP="00C04533">
      <w:pPr>
        <w:pStyle w:val="SntesisDescriptiva"/>
      </w:pPr>
    </w:p>
    <w:p w14:paraId="4EA6CC9F" w14:textId="77777777" w:rsidR="00C04533" w:rsidRDefault="00C04533" w:rsidP="00C04533">
      <w:pPr>
        <w:pStyle w:val="TextoNormalNegritaCentrado"/>
      </w:pPr>
      <w:r>
        <w:t>AUTO</w:t>
      </w:r>
    </w:p>
    <w:p w14:paraId="1D986448" w14:textId="7A4BF299" w:rsidR="00C04533" w:rsidRDefault="00C04533" w:rsidP="00C04533">
      <w:pPr>
        <w:pStyle w:val="TextoNormalNegritaCentrado"/>
      </w:pPr>
    </w:p>
    <w:p w14:paraId="26EA662A" w14:textId="77777777" w:rsidR="00C04533" w:rsidRDefault="00C04533" w:rsidP="00C04533">
      <w:pPr>
        <w:pStyle w:val="TextoNormalNegritaCentrado"/>
        <w:keepNext/>
      </w:pPr>
      <w:r>
        <w:t>I. Antecedentes</w:t>
      </w:r>
    </w:p>
    <w:p w14:paraId="57FD5EF6" w14:textId="2E30F316" w:rsidR="00C04533" w:rsidRDefault="00C04533" w:rsidP="00C04533">
      <w:pPr>
        <w:pStyle w:val="TextoNormalNegritaCentrado"/>
        <w:keepNext/>
      </w:pPr>
    </w:p>
    <w:p w14:paraId="66B5FBD3" w14:textId="5BDD5530" w:rsidR="00C04533" w:rsidRDefault="00C04533" w:rsidP="00C04533">
      <w:pPr>
        <w:pStyle w:val="TextoNormal"/>
      </w:pPr>
      <w:r w:rsidRPr="00C04533">
        <w:rPr>
          <w:rStyle w:val="NumeroAFNegritaCaracter"/>
        </w:rPr>
        <w:t>1</w:t>
      </w:r>
      <w:r>
        <w:t>. Por el Consell de la Generalitat Valenciana se ha interpuesto recurso de inconstitucionalidad en relación con la Ley Orgánica 1/2024, de 10 de junio, de amnistía para la normalización institucional, política y social en Cataluña, mediante escrito registrado en este tribunal el 9 de septiembre de 2024, en el que promueve por otrosí la recusación, entre otros, del magistrado don Cándido Conde-Pumpido Tourón, presidente del Tribunal.</w:t>
      </w:r>
    </w:p>
    <w:p w14:paraId="62B1C19D" w14:textId="77777777" w:rsidR="00C04533" w:rsidRDefault="00C04533" w:rsidP="00C04533">
      <w:pPr>
        <w:pStyle w:val="TextoNormal"/>
      </w:pPr>
    </w:p>
    <w:p w14:paraId="17173C03" w14:textId="46AA4625"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la causa prevista en el art. 219.10 de la Ley Orgánica del Poder Judicial (en adelante, LOPJ) —tener interés directo o indirecto en el pleito o causa—, con fundamento en que el propio magistrado recusado formuló su abstención en diversos recursos de amparo presentados contra pronunciamientos recaídos en la causa especial núm. 20907-2017 seguida ante la Sala de lo Penal del Tribunal Supremo, que concluiría con la sentencia 459/2019, de 14 de octubre, en la que fueron condenados varios encausados por delitos cometidos en el contexto del denominado “proceso independentista catalán”. En síntesis, se argumenta que habiendo sido aceptada su abstención por el ATC 48/2021, de 21 de abril, los razonamientos de esa resolución serían trasladables al presente procedimiento, dada la relación entre aquel proceso penal y el objeto de la norma ahora impugnada.</w:t>
      </w:r>
    </w:p>
    <w:p w14:paraId="16378D70" w14:textId="77777777" w:rsidR="00C04533" w:rsidRDefault="00C04533" w:rsidP="00C04533">
      <w:pPr>
        <w:pStyle w:val="TextoNormal"/>
      </w:pPr>
    </w:p>
    <w:p w14:paraId="7BBCEB60" w14:textId="199EC860" w:rsidR="00C04533" w:rsidRDefault="00C04533" w:rsidP="00C04533">
      <w:pPr>
        <w:pStyle w:val="TextoNormal"/>
      </w:pPr>
      <w:r w:rsidRPr="00C04533">
        <w:rPr>
          <w:rStyle w:val="NumeroAFNegritaCaracter"/>
        </w:rPr>
        <w:t>3</w:t>
      </w:r>
      <w:r>
        <w:t>. La Secretaría de Justicia del Pleno del Tribunal, mediante diligencia de ordenación de 9 de octubre de 2024, consignó que la ponencia del incidente de recusación correspondía por turno de reparto a la magistrada doña María Luisa Balaguer Callejón.</w:t>
      </w:r>
    </w:p>
    <w:p w14:paraId="08CD5144" w14:textId="77777777" w:rsidR="00C04533" w:rsidRDefault="00C04533" w:rsidP="00C04533">
      <w:pPr>
        <w:pStyle w:val="TextoNormal"/>
      </w:pPr>
    </w:p>
    <w:p w14:paraId="479F87F7" w14:textId="20362C7D" w:rsidR="00C04533" w:rsidRDefault="00C04533" w:rsidP="00C04533">
      <w:pPr>
        <w:pStyle w:val="TextoNormal"/>
      </w:pPr>
      <w:r w:rsidRPr="00C04533">
        <w:rPr>
          <w:rStyle w:val="NumeroAFNegritaCaracter"/>
        </w:rPr>
        <w:t>4</w:t>
      </w:r>
      <w:r>
        <w:t>. Finalmente, ha de advertirse que en la composición del Pleno del Tribunal solo intervienen ocho de sus miembros, no participando el magistrado de cuya recusación se trata, ni el magistrado don Juan Carlos Campo Moreno, cuya abstención fue aceptada por ATC 91/2024, de 24 de septiembre, así como la magistrada doña Laura Díez Bueso y el magistrado don José María Macías Castaño, cuyas recusaciones están pendientes de resolución.</w:t>
      </w:r>
    </w:p>
    <w:p w14:paraId="3DEF4CC2" w14:textId="77777777" w:rsidR="00C04533" w:rsidRDefault="00C04533" w:rsidP="00C04533">
      <w:pPr>
        <w:pStyle w:val="TextoNormal"/>
      </w:pPr>
    </w:p>
    <w:p w14:paraId="785F9CEC" w14:textId="77777777" w:rsidR="00C04533" w:rsidRDefault="00C04533" w:rsidP="00C04533">
      <w:pPr>
        <w:pStyle w:val="TextoNormalNegritaCentrado"/>
        <w:keepNext/>
      </w:pPr>
      <w:r>
        <w:t>II. Fundamentos jurídicos</w:t>
      </w:r>
    </w:p>
    <w:p w14:paraId="2FAE3BE1" w14:textId="4A3BEF7E" w:rsidR="00C04533" w:rsidRDefault="00C04533" w:rsidP="00C04533">
      <w:pPr>
        <w:pStyle w:val="TextoNormalNegritaCentrado"/>
        <w:keepNext/>
      </w:pPr>
    </w:p>
    <w:p w14:paraId="1320013F" w14:textId="73619A80" w:rsidR="00C04533" w:rsidRDefault="00C04533" w:rsidP="00C04533">
      <w:pPr>
        <w:pStyle w:val="TextoNormal"/>
      </w:pPr>
      <w:r w:rsidRPr="00C04533">
        <w:rPr>
          <w:rStyle w:val="NumeroAFNegritaCaracter"/>
        </w:rPr>
        <w:t>1</w:t>
      </w:r>
      <w:r>
        <w:t>. La recusación del presidente de este tribunal, don Cándido Conde-Pumpido Tourón, se sustenta en que el ATC 48/2021, de 21 de abril, estimó justificada su abstención en diversos recursos de amparo interpuestos contra resoluciones dictadas por la Sala de lo Penal del Tribunal Supremo en la causa especial núm. 20907-2017, con las que guardaría relación la Ley Orgánica 1/2024, de 10 de junio, de amnistía para la normalización institucional, política y social en Cataluña, que es objeto del presente recurso de inconstitucionalidad presentado por la institución recusante. En consecuencia, concurriría la causa de abstención —que ahora sería de recusación— prevista en el art. 219.10 LOPJ: “[t]ener interés directo o indirecto en el pleito o causa”.</w:t>
      </w:r>
    </w:p>
    <w:p w14:paraId="49006B23" w14:textId="77777777" w:rsidR="00C04533" w:rsidRDefault="00C04533" w:rsidP="00C04533">
      <w:pPr>
        <w:pStyle w:val="TextoNormal"/>
      </w:pPr>
    </w:p>
    <w:p w14:paraId="16920003" w14:textId="0F9AF2C3" w:rsidR="00C04533" w:rsidRDefault="00C04533" w:rsidP="00C04533">
      <w:pPr>
        <w:pStyle w:val="TextoNormal"/>
      </w:pPr>
      <w:r w:rsidRPr="00C04533">
        <w:rPr>
          <w:rStyle w:val="NumeroAFNegritaCaracter"/>
        </w:rPr>
        <w:t>2</w:t>
      </w:r>
      <w:r>
        <w:t>. La recusación presentada guarda identidad con la recientemente inadmitida de plano por el auto dictado por el Pleno en el recurso de inconstitucionalidad núm. 6436-2024, ATC 93/2024, de 8 de octubre, en el que señalamos: (i) que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respecto de las que había riesgo de que pudieran ser interpretadas por el sentir ciudadano como un prejuicio sobre la eventual culpabilidad de los implicados en aquella causa penal; (ii) que, en el presente caso, sin embargo, el objeto de la impugnación es resolver sobre la constitucionalidad de la Ley Orgánica 1/2024, de 10 de junio, norma que no existía en el momento de suscitarse aquella abstención y que ahora se cuestiona de manera abstracta, por lo que no cabe apreciar que las manifestaciones controvertidas entonces se refirieran al problema constitucional suscitado en este procedimiento.</w:t>
      </w:r>
    </w:p>
    <w:p w14:paraId="676B3F0D" w14:textId="77777777" w:rsidR="00C04533" w:rsidRDefault="00C04533" w:rsidP="00C04533">
      <w:pPr>
        <w:pStyle w:val="TextoNormal"/>
      </w:pPr>
    </w:p>
    <w:p w14:paraId="77715C7D" w14:textId="77777777" w:rsidR="00C04533" w:rsidRDefault="00C04533" w:rsidP="00C04533">
      <w:pPr>
        <w:pStyle w:val="TextoNormal"/>
      </w:pPr>
      <w:r>
        <w:t>Por lo expuesto, el Pleno</w:t>
      </w:r>
    </w:p>
    <w:p w14:paraId="0573429D" w14:textId="31CF4406" w:rsidR="00C04533" w:rsidRDefault="00C04533" w:rsidP="00C04533">
      <w:pPr>
        <w:pStyle w:val="TextoNormal"/>
      </w:pPr>
    </w:p>
    <w:p w14:paraId="4F50BC3C" w14:textId="77777777" w:rsidR="00C04533" w:rsidRDefault="00C04533" w:rsidP="00C04533">
      <w:pPr>
        <w:pStyle w:val="TextoNormalCentrado"/>
      </w:pPr>
      <w:r>
        <w:t>ACUERDA</w:t>
      </w:r>
    </w:p>
    <w:p w14:paraId="2379DFEB" w14:textId="158FF904" w:rsidR="00C04533" w:rsidRDefault="00C04533" w:rsidP="00C04533">
      <w:pPr>
        <w:pStyle w:val="TextoNormalCentrado"/>
      </w:pPr>
    </w:p>
    <w:p w14:paraId="6C4973F5" w14:textId="58F26986" w:rsidR="00C04533" w:rsidRDefault="00C04533" w:rsidP="00C04533">
      <w:pPr>
        <w:pStyle w:val="TextoNormal"/>
      </w:pPr>
      <w:r>
        <w:t>No admitir a trámite la recusación del presidente del Tribunal, don Cándido Conde-Pumpido Tourón, promovida en el recurso de inconstitucionalidad núm. 6588-2024 por el Consell de la Generalitat Valenciana.</w:t>
      </w:r>
    </w:p>
    <w:p w14:paraId="020A7B8A" w14:textId="77777777" w:rsidR="00C04533" w:rsidRDefault="00C04533" w:rsidP="00C04533">
      <w:pPr>
        <w:pStyle w:val="TextoNormal"/>
      </w:pPr>
    </w:p>
    <w:p w14:paraId="490EFBFF" w14:textId="77777777" w:rsidR="00C04533" w:rsidRDefault="00C04533" w:rsidP="00C04533">
      <w:pPr>
        <w:pStyle w:val="TextoNormal"/>
      </w:pPr>
      <w:r>
        <w:t>Madrid, a veintidós de octubre de dos mil veinticuatro.</w:t>
      </w:r>
    </w:p>
    <w:p w14:paraId="0618C955" w14:textId="7FF08443" w:rsidR="00C04533" w:rsidRDefault="00C04533" w:rsidP="00C04533">
      <w:pPr>
        <w:pStyle w:val="ParrafoNormal"/>
      </w:pPr>
    </w:p>
    <w:p w14:paraId="6EF69179" w14:textId="77777777" w:rsidR="00C04533" w:rsidRDefault="00C04533" w:rsidP="00C04533">
      <w:pPr>
        <w:pStyle w:val="TextoNormalNegritaCentrado"/>
        <w:keepNext/>
      </w:pPr>
      <w:r>
        <w:t>Voto particular que formula el magistrado don Enrique Arnaldo Alcubilla al auto dictado en el recurso de inconstitucionalidad núm. 6588-2024 que inadmite la recusación del presidente del Tribunal Constitucional</w:t>
      </w:r>
    </w:p>
    <w:p w14:paraId="0ECBC0D7" w14:textId="39B1A43D" w:rsidR="00C04533" w:rsidRDefault="00C04533" w:rsidP="00C04533">
      <w:pPr>
        <w:pStyle w:val="TextoNormalNegritaCentrado"/>
        <w:keepNext/>
      </w:pPr>
    </w:p>
    <w:p w14:paraId="4630AFED" w14:textId="77777777" w:rsidR="00C04533" w:rsidRDefault="00C04533" w:rsidP="00C04533">
      <w:pPr>
        <w:pStyle w:val="TextoNormal"/>
      </w:pPr>
      <w:r>
        <w:t>En el ejercicio de la facultad conferida por el art. 90.2 de la Ley Orgánica del Tribunal Constitucional (en adelante, LOTC) y con respeto a la opinión de mis compañeros, formulo el presente voto particular concurrente, por las razones defendidas durante la deliberación y que expongo a continuación.</w:t>
      </w:r>
    </w:p>
    <w:p w14:paraId="47871E29" w14:textId="77777777" w:rsidR="00C04533" w:rsidRDefault="00C04533" w:rsidP="00C04533">
      <w:pPr>
        <w:pStyle w:val="TextoNormal"/>
      </w:pPr>
    </w:p>
    <w:p w14:paraId="1C701482" w14:textId="77777777" w:rsidR="00C04533" w:rsidRDefault="00C04533" w:rsidP="00C04533">
      <w:pPr>
        <w:pStyle w:val="TextoNormal"/>
      </w:pPr>
      <w:r>
        <w:t>El auto, que ha sido dictado por un Pleno del Tribunal compuesto por ocho magistrados, acuerda inadmitir la recusación promovida por el Consell de la Generalitat Valenciana contra el magistrado y presidente del Tribunal don Cándido Conde-Pumpido Tourón, con motivo del recurso de inconstitucionalidad interpuesto contra la Ley Orgánica 1/2024, de amnistía para la normalización institucional, política y social en Cataluña.</w:t>
      </w:r>
    </w:p>
    <w:p w14:paraId="3F3BC95A" w14:textId="77777777" w:rsidR="00C04533" w:rsidRDefault="00C04533" w:rsidP="00C04533">
      <w:pPr>
        <w:pStyle w:val="TextoNormal"/>
      </w:pPr>
    </w:p>
    <w:p w14:paraId="74BE03CF" w14:textId="77777777" w:rsidR="00C04533" w:rsidRDefault="00C04533" w:rsidP="00C04533">
      <w:pPr>
        <w:pStyle w:val="TextoNormal"/>
      </w:pPr>
      <w:r>
        <w:t>En síntesis, reiterando la fundamentación del ATC 93/2024, de 8 de octubre, que inadmitió la recusación del mismo magistrado planteada en el recurso de inconstitucionalidad núm. 6436-2024, el presente auto entiende que las razones que en su día motivaron que por ATC 48/2021, de 21 de abril,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14:paraId="2FC6DE08" w14:textId="77777777" w:rsidR="00C04533" w:rsidRDefault="00C04533" w:rsidP="00C04533">
      <w:pPr>
        <w:pStyle w:val="TextoNormal"/>
      </w:pPr>
    </w:p>
    <w:p w14:paraId="519FBA86" w14:textId="77777777" w:rsidR="00C04533" w:rsidRDefault="00C04533" w:rsidP="00C04533">
      <w:pPr>
        <w:pStyle w:val="TextoNormal"/>
      </w:pPr>
      <w:r>
        <w:t>No disiento en este punto del auto aprobado por la mayoría del Pleno, pues comparto la decisión de inadmitir la recusación del presidente del Tribunal don Cándido Conde-Pumpido Tourón por las razones que allí se indican.</w:t>
      </w:r>
    </w:p>
    <w:p w14:paraId="233473D5" w14:textId="77777777" w:rsidR="00C04533" w:rsidRDefault="00C04533" w:rsidP="00C04533">
      <w:pPr>
        <w:pStyle w:val="TextoNormal"/>
      </w:pPr>
    </w:p>
    <w:p w14:paraId="290E33C1" w14:textId="77777777" w:rsidR="00C04533" w:rsidRDefault="00C04533" w:rsidP="00C04533">
      <w:pPr>
        <w:pStyle w:val="TextoNormal"/>
      </w:pPr>
      <w:r>
        <w:t>Mi discrepancia con este auto, al igual que sucedía con el ATC 93/2024, se refiere a la composición del Pleno para la resolución de este incidente de recusación, pues no se explican suficientemente las razones por las que está integrado solo por ocho magistrados (más allá de la escueta indicación del antecedente 4) ni tampoco, y esto es lo fundamental, por qué se resuelve separadamente sobre la recusación del presidente del Tribunal don Cándido Conde-Pumpido Tourón, cuando el Gobierno autonómico recurrente ha recusado también a la magistrada doña Laura Díez Bueso (así como al magistrado don Juan Carlos Campo Moreno, si bien la abstención de este ya ha sido aceptada por el Tribunal en el ATC 91/2024, de 24 de septiembre).</w:t>
      </w:r>
    </w:p>
    <w:p w14:paraId="6FC83110" w14:textId="77777777" w:rsidR="00C04533" w:rsidRDefault="00C04533" w:rsidP="00C04533">
      <w:pPr>
        <w:pStyle w:val="TextoNormal"/>
      </w:pPr>
    </w:p>
    <w:p w14:paraId="4563B890" w14:textId="77777777" w:rsidR="00C04533" w:rsidRDefault="00C04533" w:rsidP="00C04533">
      <w:pPr>
        <w:pStyle w:val="TextoNormal"/>
      </w:pPr>
      <w: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Gobierno recurrente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14:paraId="76A44579" w14:textId="77777777" w:rsidR="00C04533" w:rsidRDefault="00C04533" w:rsidP="00C04533">
      <w:pPr>
        <w:pStyle w:val="TextoNormal"/>
      </w:pPr>
    </w:p>
    <w:p w14:paraId="4B178DD6"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debía resolverse de manera fraccionada o separada y sucesivamente, sino de forma simultánea, por un Pleno del Tribunal con una composición en la que no interviniesen ninguno de los magistrados recusados (y tampoco, por supuesto, el magistrado don Juan Carlos Campo Moreno, al haber sido aceptada ya previamente por este tribunal su abstención). Como consecuencia de la extravagante decisión de resolver separadamente ambas recusaciones, la recusación de la magistrada doña Laura Díez Bueso ha quedado “pendiente”, como se indica en el antecedente 4 del auto, sin que ello resulte justificado, a mi entender.</w:t>
      </w:r>
    </w:p>
    <w:p w14:paraId="3112981F" w14:textId="77777777" w:rsidR="00C04533" w:rsidRDefault="00C04533" w:rsidP="00C04533">
      <w:pPr>
        <w:pStyle w:val="TextoNormal"/>
      </w:pPr>
    </w:p>
    <w:p w14:paraId="4CBE0B9C" w14:textId="77777777" w:rsidR="00C04533" w:rsidRDefault="00C04533" w:rsidP="00C04533">
      <w:pPr>
        <w:pStyle w:val="TextoNormal"/>
      </w:pPr>
      <w:r>
        <w:t>En fin, no debe dejarse de señalar que tampoco se explican en el auto las razones que llevan a excluir al magistrado don José María Macías Castaño de la composición del Pleno que ha dictado el auto que nos ocupa, más allá del lacónico enunciado del antecedente 4.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recurso de inconstitucionalidad) de los interpuestos contra la Ley Orgánica 1/2024, en que dicha recusación ha sido planteada por la parte recurrente, en la propia demanda o en escrito posterior.</w:t>
      </w:r>
    </w:p>
    <w:p w14:paraId="1D353D03" w14:textId="77777777" w:rsidR="00C04533" w:rsidRDefault="00C04533" w:rsidP="00C04533">
      <w:pPr>
        <w:pStyle w:val="TextoNormal"/>
      </w:pPr>
    </w:p>
    <w:p w14:paraId="50FF637A" w14:textId="77777777" w:rsidR="00C04533" w:rsidRDefault="00C04533" w:rsidP="00C04533">
      <w:pPr>
        <w:pStyle w:val="TextoNormal"/>
      </w:pPr>
      <w:r>
        <w:t>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Castaño, mientras que este magistrado habrá sido excluido de intervenir en la decisión de la recusación del presidente y lo será también de la que afecta a la magistrada doña Laura Díez Bueso. En otras palabras, la recusación formulada respecto del magistrado don José María Macías Castaño será resuelta por un colegio de diez magistrados, incluidos los dos citados, en la previsión indicada, pero ese magistrado no habrá podido intervenir en la resolución de la recusación que afecta a aquellos dos magistrados.</w:t>
      </w:r>
    </w:p>
    <w:p w14:paraId="15A2903A" w14:textId="77777777" w:rsidR="00C04533" w:rsidRDefault="00C04533" w:rsidP="00C04533">
      <w:pPr>
        <w:pStyle w:val="TextoNormal"/>
      </w:pPr>
    </w:p>
    <w:p w14:paraId="3BC2766D"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52475ECC" w14:textId="77777777" w:rsidR="00C04533" w:rsidRDefault="00C04533" w:rsidP="00C04533">
      <w:pPr>
        <w:pStyle w:val="TextoNormal"/>
      </w:pPr>
    </w:p>
    <w:p w14:paraId="6C400701" w14:textId="170C8E6E" w:rsidR="00C04533" w:rsidRDefault="00C04533" w:rsidP="00C04533">
      <w:pPr>
        <w:pStyle w:val="TextoNormal"/>
      </w:pPr>
      <w:r>
        <w:t>Madrid, a veintidós de octubre de dos mil veinticuatro.</w:t>
      </w:r>
    </w:p>
    <w:p w14:paraId="1AD31ACF" w14:textId="77777777" w:rsidR="00C04533" w:rsidRDefault="00C04533" w:rsidP="00C04533">
      <w:pPr>
        <w:pStyle w:val="TextoNormal"/>
      </w:pPr>
    </w:p>
    <w:p w14:paraId="3BA163F4" w14:textId="77777777" w:rsidR="00C04533" w:rsidRDefault="00C04533" w:rsidP="00C04533">
      <w:pPr>
        <w:pStyle w:val="TextoNormalNegritaCentrado"/>
        <w:keepNext/>
      </w:pPr>
      <w:r>
        <w:t>Voto particular discrepante que formula la magistrada doña Concepción Espejel Jorquera al auto de 22 de octubre de 2024, dictado en el incidente de recusación del presidente del Tribunal, don Cándido Conde-Pumpido Tourón, planteado en el recurso de inconstitucionalidad núm. 6588-2024</w:t>
      </w:r>
    </w:p>
    <w:p w14:paraId="48A8B0BE" w14:textId="011271B9" w:rsidR="00C04533" w:rsidRDefault="00C04533" w:rsidP="00C04533">
      <w:pPr>
        <w:pStyle w:val="TextoNormalNegritaCentrado"/>
        <w:keepNext/>
      </w:pPr>
    </w:p>
    <w:p w14:paraId="0B251688" w14:textId="77777777" w:rsidR="00C04533" w:rsidRDefault="00C04533" w:rsidP="00C04533">
      <w:pPr>
        <w:pStyle w:val="TextoNormal"/>
      </w:pPr>
      <w:r>
        <w:t>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14:paraId="6B9E0D3A" w14:textId="77777777" w:rsidR="00C04533" w:rsidRDefault="00C04533" w:rsidP="00C04533">
      <w:pPr>
        <w:pStyle w:val="TextoNormal"/>
      </w:pPr>
    </w:p>
    <w:p w14:paraId="4BB995F0" w14:textId="77777777" w:rsidR="00C04533" w:rsidRDefault="00C04533" w:rsidP="00C04533">
      <w:pPr>
        <w:pStyle w:val="TextoNormal"/>
      </w:pPr>
      <w:r>
        <w:t>Me remito al voto particular formulado en el ATC 93/2024, de 8 de octubre, en el mismo recurso de inconstitucionalidad (igualmente en una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5D2DAC39" w14:textId="77777777" w:rsidR="00C04533" w:rsidRDefault="00C04533" w:rsidP="00C04533">
      <w:pPr>
        <w:pStyle w:val="TextoNormal"/>
      </w:pPr>
    </w:p>
    <w:p w14:paraId="0F9E0F64"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podría perjudicar seriamente la apariencia de imparcialidad que debe presentar este tribunal como órgano jurisdiccional.</w:t>
      </w:r>
    </w:p>
    <w:p w14:paraId="337B405D" w14:textId="77777777" w:rsidR="00C04533" w:rsidRDefault="00C04533" w:rsidP="00C04533">
      <w:pPr>
        <w:pStyle w:val="TextoNormal"/>
      </w:pPr>
    </w:p>
    <w:p w14:paraId="70946D84" w14:textId="77777777" w:rsidR="00C04533" w:rsidRDefault="00C04533" w:rsidP="00C04533">
      <w:pPr>
        <w:pStyle w:val="TextoNormal"/>
      </w:pPr>
      <w:r>
        <w:t>Por lo expuesto, formulo el presente voto particular.</w:t>
      </w:r>
    </w:p>
    <w:p w14:paraId="1C49F456" w14:textId="77777777" w:rsidR="00C04533" w:rsidRDefault="00C04533" w:rsidP="00C04533">
      <w:pPr>
        <w:pStyle w:val="TextoNormal"/>
      </w:pPr>
    </w:p>
    <w:p w14:paraId="225F5FD5" w14:textId="5C2F522B" w:rsidR="00C04533" w:rsidRDefault="00C04533" w:rsidP="00C04533">
      <w:pPr>
        <w:pStyle w:val="TextoNormal"/>
      </w:pPr>
      <w:r>
        <w:t>Madrid, a veintidós de octubre de dos mil veinticuatro.</w:t>
      </w:r>
    </w:p>
    <w:p w14:paraId="50A2F71F" w14:textId="16EF30AA" w:rsidR="00C04533" w:rsidRDefault="00C04533">
      <w:pPr>
        <w:spacing w:after="160" w:line="278" w:lineRule="auto"/>
        <w:rPr>
          <w:rFonts w:ascii="Times New Roman" w:eastAsia="Times New Roman" w:hAnsi="Times New Roman" w:cs="Times New Roman"/>
          <w:sz w:val="24"/>
          <w:szCs w:val="24"/>
          <w:lang w:eastAsia="es-ES"/>
        </w:rPr>
      </w:pPr>
      <w:r>
        <w:br w:type="page"/>
      </w:r>
    </w:p>
    <w:p w14:paraId="2A1C34A3" w14:textId="77777777" w:rsidR="00C04533" w:rsidRDefault="00C04533" w:rsidP="00C04533">
      <w:pPr>
        <w:pStyle w:val="TtuloResolucin"/>
      </w:pPr>
      <w:bookmarkStart w:id="116" w:name="AUTO_2024_110"/>
      <w:r>
        <w:t>AUTO 110/2024, de 22 de octubre de 2024</w:t>
      </w:r>
    </w:p>
    <w:bookmarkEnd w:id="116"/>
    <w:p w14:paraId="5A67B298" w14:textId="77777777" w:rsidR="00C04533" w:rsidRDefault="00C04533" w:rsidP="00C04533">
      <w:pPr>
        <w:pStyle w:val="TtuloResolucin"/>
      </w:pPr>
      <w:r>
        <w:t>Pleno</w:t>
      </w:r>
    </w:p>
    <w:p w14:paraId="431FE6EE" w14:textId="77777777" w:rsidR="00C04533" w:rsidRDefault="00C04533" w:rsidP="00C04533">
      <w:pPr>
        <w:pStyle w:val="TextoNormalCentrado"/>
      </w:pPr>
      <w:r>
        <w:t>ECLI:ES:TC:2024:110A</w:t>
      </w:r>
    </w:p>
    <w:p w14:paraId="1CF13FA0" w14:textId="6E22ABA6" w:rsidR="00C04533" w:rsidRDefault="00C04533" w:rsidP="00C04533">
      <w:pPr>
        <w:pStyle w:val="TextoNormalCentrado"/>
      </w:pPr>
    </w:p>
    <w:p w14:paraId="1D687299" w14:textId="77777777" w:rsidR="00C04533" w:rsidRDefault="00C04533" w:rsidP="00C04533">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33B99501" w14:textId="25E6AC30" w:rsidR="00C04533" w:rsidRDefault="00C04533" w:rsidP="00C04533">
      <w:pPr>
        <w:pStyle w:val="SntesisDescriptiva"/>
      </w:pPr>
    </w:p>
    <w:p w14:paraId="1ADBC075" w14:textId="77777777" w:rsidR="00C04533" w:rsidRDefault="00C04533" w:rsidP="00C04533">
      <w:pPr>
        <w:pStyle w:val="SntesisDescriptiva"/>
      </w:pPr>
      <w:r>
        <w:t>Inadmite una recusación en el recurso de inconstitucionalidad 6595-2024, interpuesto por el Consejo de Gobierno de la Junta de Castilla y León en relación con la Ley Orgánica 1/2024, de 10 de junio, de amnistía para la normalización institucional, política y social en Cataluña. Votos particulares.</w:t>
      </w:r>
    </w:p>
    <w:p w14:paraId="40101ED2" w14:textId="2275C38D" w:rsidR="00C04533" w:rsidRDefault="00C04533" w:rsidP="00C04533">
      <w:pPr>
        <w:pStyle w:val="SntesisDescriptiva"/>
      </w:pPr>
    </w:p>
    <w:p w14:paraId="05CF1722" w14:textId="77777777" w:rsidR="00C04533" w:rsidRDefault="00C04533" w:rsidP="00C04533">
      <w:pPr>
        <w:pStyle w:val="SntesisDescriptiva"/>
      </w:pPr>
    </w:p>
    <w:p w14:paraId="33AF49CA" w14:textId="77777777" w:rsidR="00C04533" w:rsidRDefault="00C04533" w:rsidP="00C04533">
      <w:pPr>
        <w:pStyle w:val="SntesisDescriptiva"/>
      </w:pPr>
    </w:p>
    <w:p w14:paraId="5D7ACEB0" w14:textId="77777777" w:rsidR="00C04533" w:rsidRDefault="00C04533" w:rsidP="00C04533">
      <w:pPr>
        <w:pStyle w:val="TextoNormalNegritaCentrado"/>
      </w:pPr>
      <w:r>
        <w:t>AUTO</w:t>
      </w:r>
    </w:p>
    <w:p w14:paraId="7D359436" w14:textId="0B83E1D1" w:rsidR="00C04533" w:rsidRDefault="00C04533" w:rsidP="00C04533">
      <w:pPr>
        <w:pStyle w:val="TextoNormalNegritaCentrado"/>
      </w:pPr>
    </w:p>
    <w:p w14:paraId="7791CDA2" w14:textId="77777777" w:rsidR="00C04533" w:rsidRDefault="00C04533" w:rsidP="00C04533">
      <w:pPr>
        <w:pStyle w:val="TextoNormalNegritaCentrado"/>
        <w:keepNext/>
      </w:pPr>
      <w:r>
        <w:t>I. Antecedentes</w:t>
      </w:r>
    </w:p>
    <w:p w14:paraId="3D2E6E4E" w14:textId="394A6F04" w:rsidR="00C04533" w:rsidRDefault="00C04533" w:rsidP="00C04533">
      <w:pPr>
        <w:pStyle w:val="TextoNormalNegritaCentrado"/>
        <w:keepNext/>
      </w:pPr>
    </w:p>
    <w:p w14:paraId="6591D13D" w14:textId="0DA1B87E" w:rsidR="00C04533" w:rsidRDefault="00C04533" w:rsidP="00C04533">
      <w:pPr>
        <w:pStyle w:val="TextoNormal"/>
      </w:pPr>
      <w:r w:rsidRPr="00C04533">
        <w:rPr>
          <w:rStyle w:val="NumeroAFNegritaCaracter"/>
        </w:rPr>
        <w:t>1</w:t>
      </w:r>
      <w:r>
        <w:t>. Por el Consejo de Gobierno de la Junta de Castilla y León se ha interpuesto recurso de inconstitucionalidad en relación con la Ley Orgánica 1/2024, de 10 de junio, de amnistía para la normalización institucional, política y social en Cataluña, mediante escrito registrado en este tribunal el 10 de septiembre de 2024, en el que promueve por otrosí la recusación, entre otros, del magistrado don Cándido Conde-Pumpido Tourón, presidente del Tribunal.</w:t>
      </w:r>
    </w:p>
    <w:p w14:paraId="05EC6885" w14:textId="77777777" w:rsidR="00C04533" w:rsidRDefault="00C04533" w:rsidP="00C04533">
      <w:pPr>
        <w:pStyle w:val="TextoNormal"/>
      </w:pPr>
    </w:p>
    <w:p w14:paraId="7B1AF0AD" w14:textId="77777777"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la causa prevista en el art. 219.10 de la Ley Orgánica del Poder Judicial (LOPJ) —tener interés directo o indirecto en el pleito o causa—, con fundamento en que el propio magistrado recusado formuló su abstención en diversos recursos de amparo presentados contra pronunciamientos recaídos en la causa especial núm. 20907-2017 seguida ante la Sala de lo Penal del Tribunal Supremo, que concluiría con la sentencia 459/2019, de 14 de octubre, en la que fueron condenados varios encausados por delitos cometidos en el contexto del denominado “proceso independentista catalán”. En síntesis, se argumenta que habiendo sido aceptada su abstención por el ATC 48/2021, de 21 de abril, los razonamientos de esa resolución serían trasladables al presente procedimiento, dada la relación entre aquel proceso penal y el objeto de la norma ahora impugnada.</w:t>
      </w:r>
    </w:p>
    <w:p w14:paraId="5AF975F5" w14:textId="77777777" w:rsidR="00C04533" w:rsidRDefault="00C04533" w:rsidP="00C04533">
      <w:pPr>
        <w:pStyle w:val="TextoNormal"/>
      </w:pPr>
    </w:p>
    <w:p w14:paraId="18006383" w14:textId="187BAD30" w:rsidR="00C04533" w:rsidRDefault="00C04533" w:rsidP="00C04533">
      <w:pPr>
        <w:pStyle w:val="TextoNormal"/>
      </w:pPr>
      <w:r>
        <w:t>Sostiene en tal sentido la parte recurrente que si el magistrado Conde-Pumpido Tourón se abstuvo entonces de intervenir en la resolución de los referidos recursos de amparo, para mantener la confianza en la imparcialidad de la actuación de este tribunal ante la controversia constitucional y política generada en torno a la causa referida, con mayor razón debería ahora ser apartado del conocimiento del recurso de inconstitucionalidad interpuesto contra la Ley Orgánica 1/2024, en la medida que el art. 1.1 de esta se dirige a extinguir “la responsabilidad penal, administrativa o contable” por las “acciones ejecutadas […] en el contexto del denominado proceso independentista catalán”. Más aún, el art. 4 a) de la misma ley impone al órgano judicial que esté conociendo del asunto “la inmediata puesta en libertad de las personas beneficiarias de la amnistía que se hallaran en prisión ya sea por haberse decretado su prisión provisional o en cumplimiento de condena”. En suma, la Ley Orgánica 1/2024 incide directamente en la responsabilidad criminal de los mismos recurrentes de amparo en los procesos en los que consideró procedente abstenerse el magistrado Conde-Pumpido Tourón. Por tanto, es el mismo propósito de reforzar la apariencia de imparcialidad del Tribunal Constitucional el que fundamenta la concurrencia de la recusación solicitada, “resultando evidente la íntima conexión entre aquellos procesos de amparo y el presente proceso en el que los magistrados del Tribunal Constitucional, como máximo garante de la Constitución, han de pronunciarse sobre la constitucionalidad de la extinción de la responsabilidad por las acciones ejecutadas en el contexto del denominado proceso independentista catalán”.</w:t>
      </w:r>
    </w:p>
    <w:p w14:paraId="7F26F669" w14:textId="77777777" w:rsidR="00C04533" w:rsidRDefault="00C04533" w:rsidP="00C04533">
      <w:pPr>
        <w:pStyle w:val="TextoNormal"/>
      </w:pPr>
    </w:p>
    <w:p w14:paraId="5B1AC07D" w14:textId="2C576CDA" w:rsidR="00C04533" w:rsidRDefault="00C04533" w:rsidP="00C04533">
      <w:pPr>
        <w:pStyle w:val="TextoNormal"/>
      </w:pPr>
      <w:r w:rsidRPr="00C04533">
        <w:rPr>
          <w:rStyle w:val="NumeroAFNegritaCaracter"/>
        </w:rPr>
        <w:t>3</w:t>
      </w:r>
      <w:r>
        <w:t>. La Secretaría de Justicia del Pleno del Tribunal, mediante diligencia de ordenación de 9 de octubre de 2024, consignó que la ponencia del incidente de recusación correspondía por turno de reparto al magistrado don Enrique Arnaldo Alcubilla.</w:t>
      </w:r>
    </w:p>
    <w:p w14:paraId="2BBB07AF" w14:textId="77777777" w:rsidR="00C04533" w:rsidRDefault="00C04533" w:rsidP="00C04533">
      <w:pPr>
        <w:pStyle w:val="TextoNormal"/>
      </w:pPr>
    </w:p>
    <w:p w14:paraId="66D6A92E" w14:textId="3266CC27" w:rsidR="00C04533" w:rsidRDefault="00C04533" w:rsidP="00C04533">
      <w:pPr>
        <w:pStyle w:val="TextoNormal"/>
      </w:pPr>
      <w:r w:rsidRPr="00C04533">
        <w:rPr>
          <w:rStyle w:val="NumeroAFNegritaCaracter"/>
        </w:rPr>
        <w:t>4</w:t>
      </w:r>
      <w:r>
        <w:t>. Finalmente, ha de advertirse que en la composición del Pleno del Tribunal solo intervienen ocho de sus miembros, no participando el magistrado de cuya recusación se trata, ni el magistrado don Juan Carlos Campo Moreno, cuya abstención fue aceptada por ATC 91/2024, de 24 de septiembre, así como la magistrada doña Laura Díez Bueso y el magistrado don José María Macías Castaño, cuyas recusaciones están pendientes de resolución.</w:t>
      </w:r>
    </w:p>
    <w:p w14:paraId="5E7423FD" w14:textId="77777777" w:rsidR="00C04533" w:rsidRDefault="00C04533" w:rsidP="00C04533">
      <w:pPr>
        <w:pStyle w:val="TextoNormal"/>
      </w:pPr>
    </w:p>
    <w:p w14:paraId="0289F74A" w14:textId="77777777" w:rsidR="00C04533" w:rsidRDefault="00C04533" w:rsidP="00C04533">
      <w:pPr>
        <w:pStyle w:val="TextoNormalNegritaCentrado"/>
        <w:keepNext/>
      </w:pPr>
      <w:r>
        <w:t>II. Fundamentos jurídicos</w:t>
      </w:r>
    </w:p>
    <w:p w14:paraId="0C8F8706" w14:textId="793BB489" w:rsidR="00C04533" w:rsidRDefault="00C04533" w:rsidP="00C04533">
      <w:pPr>
        <w:pStyle w:val="TextoNormalNegritaCentrado"/>
        <w:keepNext/>
      </w:pPr>
    </w:p>
    <w:p w14:paraId="77691765" w14:textId="42D4C950" w:rsidR="00C04533" w:rsidRDefault="00C04533" w:rsidP="00C04533">
      <w:pPr>
        <w:pStyle w:val="TextoNormal"/>
      </w:pPr>
      <w:r w:rsidRPr="00C04533">
        <w:rPr>
          <w:rStyle w:val="NumeroAFNegritaCaracter"/>
        </w:rPr>
        <w:t>1</w:t>
      </w:r>
      <w:r>
        <w:t>. La recusación del presidente de este tribunal, don Cándido Conde-Pumpido Tourón, se sustenta en que el ATC 48/2021, de 21 de abril, estimó justificada su abstención en diversos recursos de amparo interpuestos contra resoluciones dictadas por la Sala de lo Penal del Tribunal Supremo en la causa especial núm. 20907-2017, con las que guardaría relación la Ley Orgánica 1/2024, de 10 de junio, de amnistía para la normalización institucional, política y social en Cataluña, que es objeto del presente recurso de inconstitucionalidad presentado por la institución recusante. En consecuencia, concurriría la causa de abstención —que ahora sería de recusación— prevista en el art. 219.10 LOPJ: “[t]ener interés directo o indirecto en el pleito o causa”.</w:t>
      </w:r>
    </w:p>
    <w:p w14:paraId="2B02C381" w14:textId="77777777" w:rsidR="00C04533" w:rsidRDefault="00C04533" w:rsidP="00C04533">
      <w:pPr>
        <w:pStyle w:val="TextoNormal"/>
      </w:pPr>
    </w:p>
    <w:p w14:paraId="09361769" w14:textId="5BBFE7E2" w:rsidR="00C04533" w:rsidRDefault="00C04533" w:rsidP="00C04533">
      <w:pPr>
        <w:pStyle w:val="TextoNormal"/>
      </w:pPr>
      <w:r w:rsidRPr="00C04533">
        <w:rPr>
          <w:rStyle w:val="NumeroAFNegritaCaracter"/>
        </w:rPr>
        <w:t>2</w:t>
      </w:r>
      <w:r>
        <w:t>. La recusación presentada guarda identidad con la recientemente inadmitida de plano por el ATC 93/2024, de 8 de octubre, en el que señalamos: (i) que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respecto de las que había riesgo de que pudieran ser interpretadas por el sentir ciudadano como un prejuicio sobre la eventual culpabilidad de los implicados en aquella causa penal; (ii) que, en el presente caso, sin embargo, el objeto de la impugnación es resolver sobre la constitucionalidad de la Ley Orgánica 1/2024, de 10 de junio, norma que no existía en el momento de suscitarse aquella abstención y que ahora se cuestiona de manera abstracta, por lo que no cabe apreciar que las manifestaciones controvertidas entonces se refirieran al problema constitucional suscitado en este procedimiento.</w:t>
      </w:r>
    </w:p>
    <w:p w14:paraId="7EB2595E" w14:textId="77777777" w:rsidR="00C04533" w:rsidRDefault="00C04533" w:rsidP="00C04533">
      <w:pPr>
        <w:pStyle w:val="TextoNormal"/>
      </w:pPr>
    </w:p>
    <w:p w14:paraId="03FFE765" w14:textId="77777777" w:rsidR="00C04533" w:rsidRDefault="00C04533" w:rsidP="00C04533">
      <w:pPr>
        <w:pStyle w:val="TextoNormal"/>
      </w:pPr>
      <w:r>
        <w:t>Por lo expuesto, el Pleno</w:t>
      </w:r>
    </w:p>
    <w:p w14:paraId="07569D69" w14:textId="20E172DA" w:rsidR="00C04533" w:rsidRDefault="00C04533" w:rsidP="00C04533">
      <w:pPr>
        <w:pStyle w:val="TextoNormal"/>
      </w:pPr>
    </w:p>
    <w:p w14:paraId="56E398BE" w14:textId="77777777" w:rsidR="00C04533" w:rsidRDefault="00C04533" w:rsidP="00C04533">
      <w:pPr>
        <w:pStyle w:val="TextoNormalCentrado"/>
      </w:pPr>
      <w:r>
        <w:t>ACUERDA</w:t>
      </w:r>
    </w:p>
    <w:p w14:paraId="76FD4468" w14:textId="6D364AE1" w:rsidR="00C04533" w:rsidRDefault="00C04533" w:rsidP="00C04533">
      <w:pPr>
        <w:pStyle w:val="TextoNormalCentrado"/>
      </w:pPr>
    </w:p>
    <w:p w14:paraId="0AF98D7F" w14:textId="22B5F1C4" w:rsidR="00C04533" w:rsidRDefault="00C04533" w:rsidP="00C04533">
      <w:pPr>
        <w:pStyle w:val="TextoNormal"/>
      </w:pPr>
      <w:r>
        <w:t>No admitir a trámite la recusación del presidente del Tribunal, don Cándido Conde-Pumpido Tourón, promovida en el recurso de inconstitucionalidad núm. 6595-2024 por el Consejo de Gobierno de la Junta de Castilla y León.</w:t>
      </w:r>
    </w:p>
    <w:p w14:paraId="1FF8CD4D" w14:textId="77777777" w:rsidR="00C04533" w:rsidRDefault="00C04533" w:rsidP="00C04533">
      <w:pPr>
        <w:pStyle w:val="TextoNormal"/>
      </w:pPr>
    </w:p>
    <w:p w14:paraId="52D3F5B5" w14:textId="77777777" w:rsidR="00C04533" w:rsidRDefault="00C04533" w:rsidP="00C04533">
      <w:pPr>
        <w:pStyle w:val="TextoNormal"/>
      </w:pPr>
      <w:r>
        <w:t>Madrid, a veintidós de octubre de dos mil veinticuatro.</w:t>
      </w:r>
    </w:p>
    <w:p w14:paraId="4A8C35DA" w14:textId="7FFAC7E7" w:rsidR="00C04533" w:rsidRDefault="00C04533" w:rsidP="00C04533">
      <w:pPr>
        <w:pStyle w:val="ParrafoNormal"/>
      </w:pPr>
    </w:p>
    <w:p w14:paraId="4F0D5934" w14:textId="77777777" w:rsidR="00C04533" w:rsidRDefault="00C04533" w:rsidP="00C04533">
      <w:pPr>
        <w:pStyle w:val="TextoNormalNegritaCentrado"/>
        <w:keepNext/>
      </w:pPr>
      <w:r>
        <w:t>Voto particular que formula el magistrado don Enrique Arnaldo Alcubilla al auto dictado en el recurso de inconstitucionalidad núm. 6595-2024 que inadmite la recusación del presidente del Tribunal Constitucional</w:t>
      </w:r>
    </w:p>
    <w:p w14:paraId="7A5AC032" w14:textId="068C4A5C" w:rsidR="00C04533" w:rsidRDefault="00C04533" w:rsidP="00C04533">
      <w:pPr>
        <w:pStyle w:val="TextoNormalNegritaCentrado"/>
        <w:keepNext/>
      </w:pPr>
    </w:p>
    <w:p w14:paraId="76B059DB"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0FB82755" w14:textId="77777777" w:rsidR="00C04533" w:rsidRDefault="00C04533" w:rsidP="00C04533">
      <w:pPr>
        <w:pStyle w:val="TextoNormal"/>
      </w:pPr>
    </w:p>
    <w:p w14:paraId="27FC1792" w14:textId="77777777" w:rsidR="00C04533" w:rsidRDefault="00C04533" w:rsidP="00C04533">
      <w:pPr>
        <w:pStyle w:val="TextoNormal"/>
      </w:pPr>
      <w:r>
        <w:t>El auto, que ha sido dictado por un Pleno del Tribunal compuesto por ocho magistrados, y del que he sido ponente conforme al turno de reparto, acuerda inadmitir la recusación promovida por el Consejo de Gobierno de la Junta de Castilla y León contra el magistrado y presidente del Tribunal don Cándido Conde-Pumpido Tourón, con motivo del recurso de inconstitucionalidad interpuesto contra la Ley Orgánica 1/2024, de amnistía para la normalización institucional, política y social en Cataluña.</w:t>
      </w:r>
    </w:p>
    <w:p w14:paraId="44074753" w14:textId="77777777" w:rsidR="00C04533" w:rsidRDefault="00C04533" w:rsidP="00C04533">
      <w:pPr>
        <w:pStyle w:val="TextoNormal"/>
      </w:pPr>
    </w:p>
    <w:p w14:paraId="0C8C7279" w14:textId="77777777" w:rsidR="00C04533" w:rsidRDefault="00C04533" w:rsidP="00C04533">
      <w:pPr>
        <w:pStyle w:val="TextoNormal"/>
      </w:pPr>
      <w:r>
        <w:t>En síntesis, reiterando la fundamentación del ATC 93/2024, de 8 de octubre, que inadmitió la recusación del mismo magistrado planteada en el recurso de inconstitucionalidad núm. 6436-2024, el presente auto entiende que las razones que en su día motivaron que por ATC 48/2021, de 21 de abril,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14:paraId="219D9427" w14:textId="77777777" w:rsidR="00C04533" w:rsidRDefault="00C04533" w:rsidP="00C04533">
      <w:pPr>
        <w:pStyle w:val="TextoNormal"/>
      </w:pPr>
    </w:p>
    <w:p w14:paraId="5C192C3B" w14:textId="77777777" w:rsidR="00C04533" w:rsidRDefault="00C04533" w:rsidP="00C04533">
      <w:pPr>
        <w:pStyle w:val="TextoNormal"/>
      </w:pPr>
      <w:r>
        <w:t>No disiento en este punto del auto aprobado por la mayoría del Pleno, pues comparto la decisión de inadmitir la recusación del presidente del Tribunal don Cándido Conde-Pumpido Tourón por las razones que allí se indican.</w:t>
      </w:r>
    </w:p>
    <w:p w14:paraId="65A8EF24" w14:textId="77777777" w:rsidR="00C04533" w:rsidRDefault="00C04533" w:rsidP="00C04533">
      <w:pPr>
        <w:pStyle w:val="TextoNormal"/>
      </w:pPr>
    </w:p>
    <w:p w14:paraId="6FA1C8E4" w14:textId="77777777" w:rsidR="00C04533" w:rsidRDefault="00C04533" w:rsidP="00C04533">
      <w:pPr>
        <w:pStyle w:val="TextoNormal"/>
      </w:pPr>
      <w:r>
        <w:t>Mi discrepancia con este auto, al igual que sucedía con el ATC 93/2024, se refiere a la composición del Pleno para la resolución de este incidente de recusación, pues no se explican suficientemente las razones por las que está integrado solo por ocho magistrados (más allá de la escueta indicación del antecedente 4) ni tampoco, y esto es lo fundamental, por qué se resuelve separadamente sobre la recusación del presidente del Tribunal don Cándido Conde-Pumpido Tourón, cuando el Gobierno autonómico recurrente ha recusado también a la magistrada doña Laura Díez Bueso (así como al magistrado don Juan Carlos Campo Moreno, si bien la abstención de este ya ha sido aceptada por el Tribunal en el ATC 91/2024 de 24 de septiembre).</w:t>
      </w:r>
    </w:p>
    <w:p w14:paraId="4A7D08DD" w14:textId="77777777" w:rsidR="00C04533" w:rsidRDefault="00C04533" w:rsidP="00C04533">
      <w:pPr>
        <w:pStyle w:val="TextoNormal"/>
      </w:pPr>
    </w:p>
    <w:p w14:paraId="69291635" w14:textId="77777777" w:rsidR="00C04533" w:rsidRDefault="00C04533" w:rsidP="00C04533">
      <w:pPr>
        <w:pStyle w:val="TextoNormal"/>
      </w:pPr>
      <w: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Gobierno recurrente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14:paraId="5C84BE3F" w14:textId="77777777" w:rsidR="00C04533" w:rsidRDefault="00C04533" w:rsidP="00C04533">
      <w:pPr>
        <w:pStyle w:val="TextoNormal"/>
      </w:pPr>
    </w:p>
    <w:p w14:paraId="5A4C6648"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debía resolverse de manera fraccionada o separada y sucesivamente, sino de forma simultánea, por un Pleno del Tribunal con una composición en la que no interviniesen ninguno de los magistrados recusados (y tampoco, por supuesto, el magistrado don Juan Carlos Campo Moreno, al haber sido aceptada ya previamente por este tribunal su abstención). Como consecuencia de la extravagante decisión de resolver separadamente ambas recusaciones, la recusación de la magistrada doña Laura Díez Bueso ha quedado “pendiente”, como se indica en el antecedente 4 del auto, sin que ello resulte justificado, a mi entender.</w:t>
      </w:r>
    </w:p>
    <w:p w14:paraId="5ED797B1" w14:textId="77777777" w:rsidR="00C04533" w:rsidRDefault="00C04533" w:rsidP="00C04533">
      <w:pPr>
        <w:pStyle w:val="TextoNormal"/>
      </w:pPr>
    </w:p>
    <w:p w14:paraId="7603A60E" w14:textId="77777777" w:rsidR="00C04533" w:rsidRDefault="00C04533" w:rsidP="00C04533">
      <w:pPr>
        <w:pStyle w:val="TextoNormal"/>
      </w:pPr>
      <w:r>
        <w:t>En fin, no debe dejarse de señalar que tampoco se explican en el auto las razones que llevan a excluir al magistrado don José María Macías Castaño de la composición del Pleno que ha dictado el auto que nos ocupa, más allá del lacónico enunciado del antecedente 4.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recurso de inconstitucionalidad) de los interpuestos contra la Ley Orgánica 1/2024, en que dicha recusación ha sido planteada por la parte recurrente, en la propia demanda o en escrito posterior.</w:t>
      </w:r>
    </w:p>
    <w:p w14:paraId="630E441C" w14:textId="77777777" w:rsidR="00C04533" w:rsidRDefault="00C04533" w:rsidP="00C04533">
      <w:pPr>
        <w:pStyle w:val="TextoNormal"/>
      </w:pPr>
    </w:p>
    <w:p w14:paraId="78F193FC" w14:textId="77777777" w:rsidR="00C04533" w:rsidRDefault="00C04533" w:rsidP="00C04533">
      <w:pPr>
        <w:pStyle w:val="TextoNormal"/>
      </w:pPr>
      <w:r>
        <w:t>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Castaño, mientras que este magistrado habrá sido excluido de intervenir en la decisión de la recusación del presidente y lo será también de la que afecta a la magistrada doña Laura Díez Bueso. En otras palabras, la recusación formulada respecto del magistrado don José María Macías Castaño será resuelta por un colegio de diez magistrados, incluidos los dos citados, en la previsión indicada, pero ese magistrado no habrá podido intervenir en la resolución de la recusación que afecta a aquellos dos magistrados.</w:t>
      </w:r>
    </w:p>
    <w:p w14:paraId="01D3F8AC" w14:textId="77777777" w:rsidR="00C04533" w:rsidRDefault="00C04533" w:rsidP="00C04533">
      <w:pPr>
        <w:pStyle w:val="TextoNormal"/>
      </w:pPr>
    </w:p>
    <w:p w14:paraId="6A90F852"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6DAA8FE2" w14:textId="77777777" w:rsidR="00C04533" w:rsidRDefault="00C04533" w:rsidP="00C04533">
      <w:pPr>
        <w:pStyle w:val="TextoNormal"/>
      </w:pPr>
    </w:p>
    <w:p w14:paraId="736D626D" w14:textId="435ED3A0" w:rsidR="00C04533" w:rsidRDefault="00C04533" w:rsidP="00C04533">
      <w:pPr>
        <w:pStyle w:val="TextoNormal"/>
      </w:pPr>
      <w:r>
        <w:t>Madrid, a veintidós de octubre de dos mil veinticuatro.</w:t>
      </w:r>
    </w:p>
    <w:p w14:paraId="458C0B78" w14:textId="77777777" w:rsidR="00C04533" w:rsidRDefault="00C04533" w:rsidP="00C04533">
      <w:pPr>
        <w:pStyle w:val="TextoNormal"/>
      </w:pPr>
    </w:p>
    <w:p w14:paraId="555DDBBA" w14:textId="77777777" w:rsidR="00C04533" w:rsidRDefault="00C04533" w:rsidP="00C04533">
      <w:pPr>
        <w:pStyle w:val="TextoNormalNegritaCentrado"/>
        <w:keepNext/>
      </w:pPr>
      <w:r>
        <w:t>Voto particular discrepante que formula la magistrada doña Concepción Espejel Jorquera al auto de 22 de octubre de 2024, dictado en incidente de recusación del presidente del Tribunal, don Cándido Conde-Pumpido Tourón, planteado en el recurso de inconstitucionalidad núm. 6595-2024</w:t>
      </w:r>
    </w:p>
    <w:p w14:paraId="3BC64639" w14:textId="27FAA377" w:rsidR="00C04533" w:rsidRDefault="00C04533" w:rsidP="00C04533">
      <w:pPr>
        <w:pStyle w:val="TextoNormalNegritaCentrado"/>
        <w:keepNext/>
      </w:pPr>
    </w:p>
    <w:p w14:paraId="49307A7F" w14:textId="77777777" w:rsidR="00C04533" w:rsidRDefault="00C04533" w:rsidP="00C04533">
      <w:pPr>
        <w:pStyle w:val="TextoNormal"/>
      </w:pPr>
      <w:r>
        <w:t>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14:paraId="79CD1E4A" w14:textId="77777777" w:rsidR="00C04533" w:rsidRDefault="00C04533" w:rsidP="00C04533">
      <w:pPr>
        <w:pStyle w:val="TextoNormal"/>
      </w:pPr>
    </w:p>
    <w:p w14:paraId="5A4941F0" w14:textId="77777777" w:rsidR="00C04533" w:rsidRDefault="00C04533" w:rsidP="00C04533">
      <w:pPr>
        <w:pStyle w:val="TextoNormal"/>
      </w:pPr>
      <w:r>
        <w:t>Me remito al voto particular formulado en el ATC 93/2024, de 8 de octubre, en el mismo recurso de inconstitucionalidad (igualmente en una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32ACD014" w14:textId="77777777" w:rsidR="00C04533" w:rsidRDefault="00C04533" w:rsidP="00C04533">
      <w:pPr>
        <w:pStyle w:val="TextoNormal"/>
      </w:pPr>
    </w:p>
    <w:p w14:paraId="6490527D"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podría perjudicar seriamente la apariencia de imparcialidad que debe presentar este tribunal como órgano jurisdiccional.</w:t>
      </w:r>
    </w:p>
    <w:p w14:paraId="59D1FA85" w14:textId="77777777" w:rsidR="00C04533" w:rsidRDefault="00C04533" w:rsidP="00C04533">
      <w:pPr>
        <w:pStyle w:val="TextoNormal"/>
      </w:pPr>
    </w:p>
    <w:p w14:paraId="77FF30E7" w14:textId="77777777" w:rsidR="00C04533" w:rsidRDefault="00C04533" w:rsidP="00C04533">
      <w:pPr>
        <w:pStyle w:val="TextoNormal"/>
      </w:pPr>
      <w:r>
        <w:t>Por lo expuesto, formulo el presente voto particular.</w:t>
      </w:r>
    </w:p>
    <w:p w14:paraId="7788107F" w14:textId="77777777" w:rsidR="00C04533" w:rsidRDefault="00C04533" w:rsidP="00C04533">
      <w:pPr>
        <w:pStyle w:val="TextoNormal"/>
      </w:pPr>
    </w:p>
    <w:p w14:paraId="021A487A" w14:textId="39EDC648" w:rsidR="00C04533" w:rsidRDefault="00C04533" w:rsidP="00C04533">
      <w:pPr>
        <w:pStyle w:val="TextoNormal"/>
      </w:pPr>
      <w:r>
        <w:t>Madrid, a veintidós de octubre de dos mil veinticuatro.</w:t>
      </w:r>
    </w:p>
    <w:p w14:paraId="35F0B446" w14:textId="6E40C05D" w:rsidR="00C04533" w:rsidRDefault="00C04533">
      <w:pPr>
        <w:spacing w:after="160" w:line="278" w:lineRule="auto"/>
        <w:rPr>
          <w:rFonts w:ascii="Times New Roman" w:eastAsia="Times New Roman" w:hAnsi="Times New Roman" w:cs="Times New Roman"/>
          <w:sz w:val="24"/>
          <w:szCs w:val="24"/>
          <w:lang w:eastAsia="es-ES"/>
        </w:rPr>
      </w:pPr>
      <w:r>
        <w:br w:type="page"/>
      </w:r>
    </w:p>
    <w:p w14:paraId="05E8D97B" w14:textId="77777777" w:rsidR="00C04533" w:rsidRDefault="00C04533" w:rsidP="00C04533">
      <w:pPr>
        <w:pStyle w:val="TtuloResolucin"/>
      </w:pPr>
      <w:bookmarkStart w:id="117" w:name="AUTO_2024_111"/>
      <w:r>
        <w:t>AUTO 111/2024, de 22 de octubre de 2024</w:t>
      </w:r>
    </w:p>
    <w:bookmarkEnd w:id="117"/>
    <w:p w14:paraId="0F8049A7" w14:textId="77777777" w:rsidR="00C04533" w:rsidRDefault="00C04533" w:rsidP="00C04533">
      <w:pPr>
        <w:pStyle w:val="TtuloResolucin"/>
      </w:pPr>
      <w:r>
        <w:t>Pleno</w:t>
      </w:r>
    </w:p>
    <w:p w14:paraId="5793E5EC" w14:textId="77777777" w:rsidR="00C04533" w:rsidRDefault="00C04533" w:rsidP="00C04533">
      <w:pPr>
        <w:pStyle w:val="TextoNormalCentrado"/>
      </w:pPr>
      <w:r>
        <w:t>ECLI:ES:TC:2024:111A</w:t>
      </w:r>
    </w:p>
    <w:p w14:paraId="6C23678A" w14:textId="25480927" w:rsidR="00C04533" w:rsidRDefault="00C04533" w:rsidP="00C04533">
      <w:pPr>
        <w:pStyle w:val="TextoNormalCentrado"/>
      </w:pPr>
    </w:p>
    <w:p w14:paraId="2B570C1B" w14:textId="77777777" w:rsidR="00C04533" w:rsidRDefault="00C04533" w:rsidP="00C04533">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5282F533" w14:textId="3F86A43A" w:rsidR="00C04533" w:rsidRDefault="00C04533" w:rsidP="00C04533">
      <w:pPr>
        <w:pStyle w:val="SntesisDescriptiva"/>
      </w:pPr>
    </w:p>
    <w:p w14:paraId="77C111D1" w14:textId="77777777" w:rsidR="00C04533" w:rsidRDefault="00C04533" w:rsidP="00C04533">
      <w:pPr>
        <w:pStyle w:val="SntesisDescriptiva"/>
      </w:pPr>
      <w:r>
        <w:t>Inadmite una recusación en el recurso de inconstitucionalidad 6616-2024, interpuesto por el Gobierno de Cantabria en relación con la Ley Orgánica 1/2024, de 10 de junio, de amnistía para la normalización institucional, política y social en Cataluña. Votos particulares.</w:t>
      </w:r>
    </w:p>
    <w:p w14:paraId="39D1204E" w14:textId="3E26F63B" w:rsidR="00C04533" w:rsidRDefault="00C04533" w:rsidP="00C04533">
      <w:pPr>
        <w:pStyle w:val="SntesisDescriptiva"/>
      </w:pPr>
    </w:p>
    <w:p w14:paraId="4D44491E" w14:textId="77777777" w:rsidR="00C04533" w:rsidRDefault="00C04533" w:rsidP="00C04533">
      <w:pPr>
        <w:pStyle w:val="SntesisDescriptiva"/>
      </w:pPr>
    </w:p>
    <w:p w14:paraId="0F338B65" w14:textId="77777777" w:rsidR="00C04533" w:rsidRDefault="00C04533" w:rsidP="00C04533">
      <w:pPr>
        <w:pStyle w:val="SntesisDescriptiva"/>
      </w:pPr>
    </w:p>
    <w:p w14:paraId="0CB3D2C2" w14:textId="77777777" w:rsidR="00C04533" w:rsidRDefault="00C04533" w:rsidP="00C04533">
      <w:pPr>
        <w:pStyle w:val="TextoNormalNegritaCentrado"/>
      </w:pPr>
      <w:r>
        <w:t>AUTO</w:t>
      </w:r>
    </w:p>
    <w:p w14:paraId="2904F493" w14:textId="3E278205" w:rsidR="00C04533" w:rsidRDefault="00C04533" w:rsidP="00C04533">
      <w:pPr>
        <w:pStyle w:val="TextoNormalNegritaCentrado"/>
      </w:pPr>
    </w:p>
    <w:p w14:paraId="16AA31CD" w14:textId="77777777" w:rsidR="00C04533" w:rsidRDefault="00C04533" w:rsidP="00C04533">
      <w:pPr>
        <w:pStyle w:val="TextoNormalNegritaCentrado"/>
        <w:keepNext/>
      </w:pPr>
      <w:r>
        <w:t>I. Antecedentes</w:t>
      </w:r>
    </w:p>
    <w:p w14:paraId="12C29A6E" w14:textId="4EAB24A8" w:rsidR="00C04533" w:rsidRDefault="00C04533" w:rsidP="00C04533">
      <w:pPr>
        <w:pStyle w:val="TextoNormalNegritaCentrado"/>
        <w:keepNext/>
      </w:pPr>
    </w:p>
    <w:p w14:paraId="31A566D2" w14:textId="3D7A5B12" w:rsidR="00C04533" w:rsidRDefault="00C04533" w:rsidP="00C04533">
      <w:pPr>
        <w:pStyle w:val="TextoNormal"/>
      </w:pPr>
      <w:r w:rsidRPr="00C04533">
        <w:rPr>
          <w:rStyle w:val="NumeroAFNegritaCaracter"/>
        </w:rPr>
        <w:t>1</w:t>
      </w:r>
      <w:r>
        <w:t>. Por el Gobierno de Cantabria se ha interpuesto recurso de inconstitucionalidad en relación con la Ley Orgánica 1/2024, de 10 de junio, de amnistía para la normalización institucional, política y social en Cataluña, mediante escrito registrado en este tribunal el 10 de septiembre de 2024, en el que promueve por otrosí la recusación, entre otros, del magistrado don Cándido Conde-Pumpido Tourón, presidente del Tribunal.</w:t>
      </w:r>
    </w:p>
    <w:p w14:paraId="3A852F8B" w14:textId="77777777" w:rsidR="00C04533" w:rsidRDefault="00C04533" w:rsidP="00C04533">
      <w:pPr>
        <w:pStyle w:val="TextoNormal"/>
      </w:pPr>
    </w:p>
    <w:p w14:paraId="4EDBE17D" w14:textId="402A1D43"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la causa prevista en el art. 219.10 de la Ley Orgánica del Poder Judicial (en adelante, LOPJ) —tener interés directo o indirecto en el pleito o causa—, con fundamento en que el propio magistrado recusado formuló su abstención en diversos recursos de amparo presentados contra pronunciamientos recaídos en la causa especial núm. 20907-2017 seguida ante la Sala de lo Penal del Tribunal Supremo, que concluiría con la sentencia 459/2019, de 14 de octubre, en la que fueron condenados varios encausados por delitos cometidos en el contexto del denominado “proceso independentista catalán”. En síntesis, se argumenta que habiendo sido aceptada su abstención por el ATC 48/2021, de 21 de abril, los razonamientos de esa resolución serían trasladables al presente procedimiento, dada la relación entre aquel proceso penal y el objeto de la norma ahora impugnada.</w:t>
      </w:r>
    </w:p>
    <w:p w14:paraId="713DEBD5" w14:textId="77777777" w:rsidR="00C04533" w:rsidRDefault="00C04533" w:rsidP="00C04533">
      <w:pPr>
        <w:pStyle w:val="TextoNormal"/>
      </w:pPr>
    </w:p>
    <w:p w14:paraId="184560F8" w14:textId="38A5BE05" w:rsidR="00C04533" w:rsidRDefault="00C04533" w:rsidP="00C04533">
      <w:pPr>
        <w:pStyle w:val="TextoNormal"/>
      </w:pPr>
      <w:r w:rsidRPr="00C04533">
        <w:rPr>
          <w:rStyle w:val="NumeroAFNegritaCaracter"/>
        </w:rPr>
        <w:t>3</w:t>
      </w:r>
      <w:r>
        <w:t>. La Secretaría de Justicia del Pleno del Tribunal, mediante diligencia de ordenación de 9 de octubre de 2024, consignó que la ponencia del incidente de recusación correspondía por turno de reparto a la magistrada doña María Luisa Segoviano Astaburuaga.</w:t>
      </w:r>
    </w:p>
    <w:p w14:paraId="0C7FA9DB" w14:textId="77777777" w:rsidR="00C04533" w:rsidRDefault="00C04533" w:rsidP="00C04533">
      <w:pPr>
        <w:pStyle w:val="TextoNormal"/>
      </w:pPr>
    </w:p>
    <w:p w14:paraId="61EEDD1B" w14:textId="155FAC6F" w:rsidR="00C04533" w:rsidRDefault="00C04533" w:rsidP="00C04533">
      <w:pPr>
        <w:pStyle w:val="TextoNormal"/>
      </w:pPr>
      <w:r w:rsidRPr="00C04533">
        <w:rPr>
          <w:rStyle w:val="NumeroAFNegritaCaracter"/>
        </w:rPr>
        <w:t>4</w:t>
      </w:r>
      <w:r>
        <w:t>. Finalmente, ha de advertirse que en la composición del Pleno del Tribunal solo intervienen ocho de sus miembros, no participando el magistrado de cuya recusación se trata, ni el magistrado don Juan Carlos Campo Moreno, cuya abstención fue aceptada por ATC 91/2024, de 24 de septiembre, así como la magistrada doña Laura Díez Bueso y el magistrado don José María Macías Castaño, cuyas recusaciones están pendientes de resolución.</w:t>
      </w:r>
    </w:p>
    <w:p w14:paraId="0E299009" w14:textId="77777777" w:rsidR="00C04533" w:rsidRDefault="00C04533" w:rsidP="00C04533">
      <w:pPr>
        <w:pStyle w:val="TextoNormal"/>
      </w:pPr>
    </w:p>
    <w:p w14:paraId="1CEFFB84" w14:textId="77777777" w:rsidR="00C04533" w:rsidRDefault="00C04533" w:rsidP="00C04533">
      <w:pPr>
        <w:pStyle w:val="TextoNormalNegritaCentrado"/>
        <w:keepNext/>
      </w:pPr>
      <w:r>
        <w:t>II. Fundamentos jurídicos</w:t>
      </w:r>
    </w:p>
    <w:p w14:paraId="4373B7C2" w14:textId="495D576E" w:rsidR="00C04533" w:rsidRDefault="00C04533" w:rsidP="00C04533">
      <w:pPr>
        <w:pStyle w:val="TextoNormalNegritaCentrado"/>
        <w:keepNext/>
      </w:pPr>
    </w:p>
    <w:p w14:paraId="3612AEE7" w14:textId="717C196D" w:rsidR="00C04533" w:rsidRDefault="00C04533" w:rsidP="00C04533">
      <w:pPr>
        <w:pStyle w:val="TextoNormal"/>
      </w:pPr>
      <w:r w:rsidRPr="00C04533">
        <w:rPr>
          <w:rStyle w:val="NumeroAFNegritaCaracter"/>
        </w:rPr>
        <w:t>1</w:t>
      </w:r>
      <w:r>
        <w:t>. La recusación del presidente de este tribunal, don Cándido Conde-Pumpido Tourón, se sustenta en que el ATC 48/2021, de 21 de abril, estimó justificada su abstención en diversos recursos de amparo interpuestos contra resoluciones dictadas por la Sala de lo Penal del Tribunal Supremo en la causa especial núm. 20907-2017, con las que guardaría relación la Ley Orgánica 1/2024, de 10 de junio, de amnistía para la normalización institucional, política y social en Cataluña, que es objeto del presente recurso de inconstitucionalidad presentado por la institución recusante. En consecuencia, concurriría la causa de abstención —que ahora sería de recusación— prevista en el art. 219.10 LOPJ: “[t]ener interés directo o indirecto en el pleito o causa”.</w:t>
      </w:r>
    </w:p>
    <w:p w14:paraId="2DFD1BBD" w14:textId="77777777" w:rsidR="00C04533" w:rsidRDefault="00C04533" w:rsidP="00C04533">
      <w:pPr>
        <w:pStyle w:val="TextoNormal"/>
      </w:pPr>
    </w:p>
    <w:p w14:paraId="339F4B2A" w14:textId="2FD3A8C0" w:rsidR="00C04533" w:rsidRDefault="00C04533" w:rsidP="00C04533">
      <w:pPr>
        <w:pStyle w:val="TextoNormal"/>
      </w:pPr>
      <w:r w:rsidRPr="00C04533">
        <w:rPr>
          <w:rStyle w:val="NumeroAFNegritaCaracter"/>
        </w:rPr>
        <w:t>2</w:t>
      </w:r>
      <w:r>
        <w:t>. La recusación presentada guarda identidad con la recientemente inadmitida de plano por el ATC 93/2024, de 8 de octubre, pronunciado en el recurso de inconstitucionalidad núm. 6436-2024, en el que señalamos: (i) que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respecto de las que había riesgo de que pudieran ser interpretadas por el sentir ciudadano como un prejuicio sobre la eventual culpabilidad de los implicados en aquella causa penal; (ii) que, en el presente caso, sin embargo, el objeto de la impugnación es resolver sobre la constitucionalidad de la Ley Orgánica 1/2024, de 10 de junio, norma que no existía en el momento de suscitarse aquella abstención y que ahora se cuestiona de manera abstracta, por lo que no cabe apreciar que las manifestaciones controvertidas entonces se refirieran al problema constitucional suscitado en este procedimiento.</w:t>
      </w:r>
    </w:p>
    <w:p w14:paraId="4A78928D" w14:textId="77777777" w:rsidR="00C04533" w:rsidRDefault="00C04533" w:rsidP="00C04533">
      <w:pPr>
        <w:pStyle w:val="TextoNormal"/>
      </w:pPr>
    </w:p>
    <w:p w14:paraId="5C1DD83B" w14:textId="77777777" w:rsidR="00C04533" w:rsidRDefault="00C04533" w:rsidP="00C04533">
      <w:pPr>
        <w:pStyle w:val="TextoNormal"/>
      </w:pPr>
      <w:r>
        <w:t>Por lo expuesto, el Pleno</w:t>
      </w:r>
    </w:p>
    <w:p w14:paraId="6C4C066A" w14:textId="3B9EF4B0" w:rsidR="00C04533" w:rsidRDefault="00C04533" w:rsidP="00C04533">
      <w:pPr>
        <w:pStyle w:val="TextoNormal"/>
      </w:pPr>
    </w:p>
    <w:p w14:paraId="2A9F2574" w14:textId="77777777" w:rsidR="00C04533" w:rsidRDefault="00C04533" w:rsidP="00C04533">
      <w:pPr>
        <w:pStyle w:val="TextoNormalCentrado"/>
      </w:pPr>
      <w:r>
        <w:t>ACUERDA</w:t>
      </w:r>
    </w:p>
    <w:p w14:paraId="32D60DBB" w14:textId="58D97D0C" w:rsidR="00C04533" w:rsidRDefault="00C04533" w:rsidP="00C04533">
      <w:pPr>
        <w:pStyle w:val="TextoNormalCentrado"/>
      </w:pPr>
    </w:p>
    <w:p w14:paraId="63C718ED" w14:textId="681425EF" w:rsidR="00C04533" w:rsidRDefault="00C04533" w:rsidP="00C04533">
      <w:pPr>
        <w:pStyle w:val="TextoNormal"/>
      </w:pPr>
      <w:r>
        <w:t>No admitir a trámite la recusación del presidente del Tribunal, don Cándido Conde-Pumpido Tourón, promovida en el recurso de inconstitucionalidad núm. 6616-2024 por el Gobierno de Cantabria.</w:t>
      </w:r>
    </w:p>
    <w:p w14:paraId="6796B5E7" w14:textId="77777777" w:rsidR="00C04533" w:rsidRDefault="00C04533" w:rsidP="00C04533">
      <w:pPr>
        <w:pStyle w:val="TextoNormal"/>
      </w:pPr>
    </w:p>
    <w:p w14:paraId="174D8F1E" w14:textId="77777777" w:rsidR="00C04533" w:rsidRDefault="00C04533" w:rsidP="00C04533">
      <w:pPr>
        <w:pStyle w:val="TextoNormal"/>
      </w:pPr>
      <w:r>
        <w:t>Madrid, a veintidós de octubre de dos mil veinticuatro.</w:t>
      </w:r>
    </w:p>
    <w:p w14:paraId="2C578D05" w14:textId="35C9BC67" w:rsidR="00C04533" w:rsidRDefault="00C04533" w:rsidP="00C04533">
      <w:pPr>
        <w:pStyle w:val="ParrafoNormal"/>
      </w:pPr>
    </w:p>
    <w:p w14:paraId="32538EE6" w14:textId="77777777" w:rsidR="00C04533" w:rsidRDefault="00C04533" w:rsidP="00C04533">
      <w:pPr>
        <w:pStyle w:val="TextoNormalNegritaCentrado"/>
        <w:keepNext/>
      </w:pPr>
      <w:r>
        <w:t>Voto particular que formula el magistrado don Enrique Arnaldo Alcubilla al auto dictado en el recurso de inconstitucionalidad núm. 6616-2024 que inadmite la recusación del presidente del Tribunal Constitucional</w:t>
      </w:r>
    </w:p>
    <w:p w14:paraId="3773BB53" w14:textId="6DE62CDA" w:rsidR="00C04533" w:rsidRDefault="00C04533" w:rsidP="00C04533">
      <w:pPr>
        <w:pStyle w:val="TextoNormalNegritaCentrado"/>
        <w:keepNext/>
      </w:pPr>
    </w:p>
    <w:p w14:paraId="736F80EA"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127B7206" w14:textId="77777777" w:rsidR="00C04533" w:rsidRDefault="00C04533" w:rsidP="00C04533">
      <w:pPr>
        <w:pStyle w:val="TextoNormal"/>
      </w:pPr>
    </w:p>
    <w:p w14:paraId="163458F7" w14:textId="77777777" w:rsidR="00C04533" w:rsidRDefault="00C04533" w:rsidP="00C04533">
      <w:pPr>
        <w:pStyle w:val="TextoNormal"/>
      </w:pPr>
      <w:r>
        <w:t>El auto, que ha sido dictado por un Pleno del Tribunal compuesto por ocho magistrados, acuerda inadmitir la recusación promovida por el Gobierno de Cantabria contra el magistrado y presidente del Tribunal don Cándido Conde-Pumpido Tourón, con motivo del recurso de inconstitucionalidad interpuesto contra la Ley Orgánica 1/2024, de amnistía para la normalización institucional, política y social en Cataluña.</w:t>
      </w:r>
    </w:p>
    <w:p w14:paraId="18E0DB9E" w14:textId="77777777" w:rsidR="00C04533" w:rsidRDefault="00C04533" w:rsidP="00C04533">
      <w:pPr>
        <w:pStyle w:val="TextoNormal"/>
      </w:pPr>
    </w:p>
    <w:p w14:paraId="0235DC5E" w14:textId="77777777" w:rsidR="00C04533" w:rsidRDefault="00C04533" w:rsidP="00C04533">
      <w:pPr>
        <w:pStyle w:val="TextoNormal"/>
      </w:pPr>
      <w:r>
        <w:t>En síntesis, reiterando la fundamentación del ATC 93/2024, de 8 de octubre, que inadmitió la recusación del mismo magistrado planteada en el recurso de inconstitucionalidad núm. 6436-2024, el presente auto entiende que las razones que en su día motivaron que por ATC 48/2021, de 21 de abril,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14:paraId="1151ADF7" w14:textId="77777777" w:rsidR="00C04533" w:rsidRDefault="00C04533" w:rsidP="00C04533">
      <w:pPr>
        <w:pStyle w:val="TextoNormal"/>
      </w:pPr>
    </w:p>
    <w:p w14:paraId="30886070" w14:textId="77777777" w:rsidR="00C04533" w:rsidRDefault="00C04533" w:rsidP="00C04533">
      <w:pPr>
        <w:pStyle w:val="TextoNormal"/>
      </w:pPr>
      <w:r>
        <w:t>No disiento en este punto del auto aprobado por la mayoría del Pleno, pues comparto la decisión de inadmitir la recusación del presidente del Tribunal don Cándido Conde-Pumpido Tourón por las razones que allí se indican.</w:t>
      </w:r>
    </w:p>
    <w:p w14:paraId="41D949C3" w14:textId="77777777" w:rsidR="00C04533" w:rsidRDefault="00C04533" w:rsidP="00C04533">
      <w:pPr>
        <w:pStyle w:val="TextoNormal"/>
      </w:pPr>
    </w:p>
    <w:p w14:paraId="3661E4F1" w14:textId="77777777" w:rsidR="00C04533" w:rsidRDefault="00C04533" w:rsidP="00C04533">
      <w:pPr>
        <w:pStyle w:val="TextoNormal"/>
      </w:pPr>
      <w:r>
        <w:t>Mi discrepancia con este auto, al igual que sucedía con el ATC 93/2024, se refiere a la composición del Pleno para la resolución de este incidente de recusación, pues no se explican suficientemente las razones por las que está integrado solo por ocho magistrados (más allá de la escueta indicación del antecedente 4) ni tampoco, y esto es lo fundamental, por qué se resuelve separadamente sobre la recusación del presidente del Tribunal don Cándido Conde-Pumpido Tourón, cuando el Gobierno autonómico recurrente ha recusado también a la magistrada doña Laura Díez Bueso (así como al magistrado don Juan Carlos Campo Moreno, si bien la abstención de este ya ha sido aceptada por el Tribunal en el ATC 91/2024, de 24 de septiembre).</w:t>
      </w:r>
    </w:p>
    <w:p w14:paraId="53134045" w14:textId="77777777" w:rsidR="00C04533" w:rsidRDefault="00C04533" w:rsidP="00C04533">
      <w:pPr>
        <w:pStyle w:val="TextoNormal"/>
      </w:pPr>
    </w:p>
    <w:p w14:paraId="41714E70" w14:textId="77777777" w:rsidR="00C04533" w:rsidRDefault="00C04533" w:rsidP="00C04533">
      <w:pPr>
        <w:pStyle w:val="TextoNormal"/>
      </w:pPr>
      <w: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Gobierno recurrente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14:paraId="16DBD4F1" w14:textId="77777777" w:rsidR="00C04533" w:rsidRDefault="00C04533" w:rsidP="00C04533">
      <w:pPr>
        <w:pStyle w:val="TextoNormal"/>
      </w:pPr>
    </w:p>
    <w:p w14:paraId="4090A22D"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debía resolverse de manera fraccionada o separada y sucesivamente, sino de forma simultánea, por un Pleno del Tribunal con una composición en la que no interviniesen ninguno de los magistrados recusados (y tampoco, por supuesto, el magistrado don Juan Carlos Campo, al haber sido aceptada ya previamente por este tribunal su abstención). Como consecuencia de la extravagante decisión de resolver separadamente ambas recusaciones, la recusación de la magistrada doña Laura Díez Bueso ha quedado “pendiente”, como se indica en el antecedente 4 del auto, sin que ello resulte justificado, a mi entender.</w:t>
      </w:r>
    </w:p>
    <w:p w14:paraId="2DACB27C" w14:textId="77777777" w:rsidR="00C04533" w:rsidRDefault="00C04533" w:rsidP="00C04533">
      <w:pPr>
        <w:pStyle w:val="TextoNormal"/>
      </w:pPr>
    </w:p>
    <w:p w14:paraId="6112C0B8" w14:textId="77777777" w:rsidR="00C04533" w:rsidRDefault="00C04533" w:rsidP="00C04533">
      <w:pPr>
        <w:pStyle w:val="TextoNormal"/>
      </w:pPr>
      <w:r>
        <w:t>En fin, no debe dejarse de señalar que tampoco se explican en el auto las razones que llevan a excluir al magistrado don José María Macías Castaño de la composición del Pleno que ha dictado el auto que nos ocupa, más allá del lacónico enunciado del antecedente 4.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recurso de inconstitucionalidad) de los interpuestos contra la Ley Orgánica 1/2024, en que dicha recusación ha sido planteada por la parte recurrente, en la propia demanda o en escrito posterior.</w:t>
      </w:r>
    </w:p>
    <w:p w14:paraId="49B2D799" w14:textId="77777777" w:rsidR="00C04533" w:rsidRDefault="00C04533" w:rsidP="00C04533">
      <w:pPr>
        <w:pStyle w:val="TextoNormal"/>
      </w:pPr>
    </w:p>
    <w:p w14:paraId="70DDD1EA" w14:textId="77777777" w:rsidR="00C04533" w:rsidRDefault="00C04533" w:rsidP="00C04533">
      <w:pPr>
        <w:pStyle w:val="TextoNormal"/>
      </w:pPr>
      <w:r>
        <w:t>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mientras que este magistrado habrá sido excluido de intervenir en la decisión de la recusación del presidente y lo será también de la que afecta a la magistrada doña Laura Díez Bueso. En otras palabras, la recusación formulada respecto del magistrado don José María Macías Castaño será resuelta por un colegio de diez magistrados, incluidos los dos citados, en la previsión indicada, pero ese magistrado no habrá podido intervenir en la resolución de la recusación que afecta a aquellos dos magistrados.</w:t>
      </w:r>
    </w:p>
    <w:p w14:paraId="6AB2FB89" w14:textId="77777777" w:rsidR="00C04533" w:rsidRDefault="00C04533" w:rsidP="00C04533">
      <w:pPr>
        <w:pStyle w:val="TextoNormal"/>
      </w:pPr>
    </w:p>
    <w:p w14:paraId="1CAEB68E"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4FFA4C8A" w14:textId="77777777" w:rsidR="00C04533" w:rsidRDefault="00C04533" w:rsidP="00C04533">
      <w:pPr>
        <w:pStyle w:val="TextoNormal"/>
      </w:pPr>
    </w:p>
    <w:p w14:paraId="1746E950" w14:textId="50573581" w:rsidR="00C04533" w:rsidRDefault="00C04533" w:rsidP="00C04533">
      <w:pPr>
        <w:pStyle w:val="TextoNormal"/>
      </w:pPr>
      <w:r>
        <w:t>Madrid, a veintidós de octubre de dos mil veinticuatro.</w:t>
      </w:r>
    </w:p>
    <w:p w14:paraId="3FF26ACB" w14:textId="77777777" w:rsidR="00C04533" w:rsidRDefault="00C04533" w:rsidP="00C04533">
      <w:pPr>
        <w:pStyle w:val="TextoNormal"/>
      </w:pPr>
    </w:p>
    <w:p w14:paraId="4F0407D6" w14:textId="77777777" w:rsidR="00C04533" w:rsidRDefault="00C04533" w:rsidP="00C04533">
      <w:pPr>
        <w:pStyle w:val="TextoNormalNegritaCentrado"/>
        <w:keepNext/>
      </w:pPr>
      <w:r>
        <w:t>Voto particular discrepante que formula la magistrada doña Concepción Espejel Jorquera al auto de 22 de octubre de 2024, dictado en el incidente de recusación del presidente del Tribunal, don Cándido Conde-Pumpido Tourón, planteado en el recurso de inconstitucionalidad núm. 6616-2024</w:t>
      </w:r>
    </w:p>
    <w:p w14:paraId="2996B854" w14:textId="6EE47FB4" w:rsidR="00C04533" w:rsidRDefault="00C04533" w:rsidP="00C04533">
      <w:pPr>
        <w:pStyle w:val="TextoNormalNegritaCentrado"/>
        <w:keepNext/>
      </w:pPr>
    </w:p>
    <w:p w14:paraId="7C4CD27B" w14:textId="77777777" w:rsidR="00C04533" w:rsidRDefault="00C04533" w:rsidP="00C04533">
      <w:pPr>
        <w:pStyle w:val="TextoNormal"/>
      </w:pPr>
      <w:r>
        <w:t>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14:paraId="1C8816CE" w14:textId="77777777" w:rsidR="00C04533" w:rsidRDefault="00C04533" w:rsidP="00C04533">
      <w:pPr>
        <w:pStyle w:val="TextoNormal"/>
      </w:pPr>
    </w:p>
    <w:p w14:paraId="458B506D" w14:textId="77777777" w:rsidR="00C04533" w:rsidRDefault="00C04533" w:rsidP="00C04533">
      <w:pPr>
        <w:pStyle w:val="TextoNormal"/>
      </w:pPr>
      <w:r>
        <w:t>Me remito al voto particular formulado en el ATC 93/2024, de 8 de octubre, en el mismo recurso de inconstitucionalidad (igualmente en una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6DA5030C" w14:textId="77777777" w:rsidR="00C04533" w:rsidRDefault="00C04533" w:rsidP="00C04533">
      <w:pPr>
        <w:pStyle w:val="TextoNormal"/>
      </w:pPr>
    </w:p>
    <w:p w14:paraId="1CA7B993"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podría perjudicar seriamente la apariencia de imparcialidad que debe presentar este tribunal como órgano jurisdiccional.</w:t>
      </w:r>
    </w:p>
    <w:p w14:paraId="7851608C" w14:textId="77777777" w:rsidR="00C04533" w:rsidRDefault="00C04533" w:rsidP="00C04533">
      <w:pPr>
        <w:pStyle w:val="TextoNormal"/>
      </w:pPr>
    </w:p>
    <w:p w14:paraId="4289A074" w14:textId="77777777" w:rsidR="00C04533" w:rsidRDefault="00C04533" w:rsidP="00C04533">
      <w:pPr>
        <w:pStyle w:val="TextoNormal"/>
      </w:pPr>
      <w:r>
        <w:t>Por lo expuesto, formulo el presente voto particular.</w:t>
      </w:r>
    </w:p>
    <w:p w14:paraId="2980907B" w14:textId="77777777" w:rsidR="00C04533" w:rsidRDefault="00C04533" w:rsidP="00C04533">
      <w:pPr>
        <w:pStyle w:val="TextoNormal"/>
      </w:pPr>
    </w:p>
    <w:p w14:paraId="43C065FC" w14:textId="443383B1" w:rsidR="00C04533" w:rsidRDefault="00C04533" w:rsidP="00C04533">
      <w:pPr>
        <w:pStyle w:val="TextoNormal"/>
      </w:pPr>
      <w:r>
        <w:t>Madrid, a veintidós de octubre de dos mil veinticuatro.</w:t>
      </w:r>
    </w:p>
    <w:p w14:paraId="23753E7C" w14:textId="63EACDD9" w:rsidR="00C04533" w:rsidRDefault="00C04533">
      <w:pPr>
        <w:spacing w:after="160" w:line="278" w:lineRule="auto"/>
        <w:rPr>
          <w:rFonts w:ascii="Times New Roman" w:eastAsia="Times New Roman" w:hAnsi="Times New Roman" w:cs="Times New Roman"/>
          <w:sz w:val="24"/>
          <w:szCs w:val="24"/>
          <w:lang w:eastAsia="es-ES"/>
        </w:rPr>
      </w:pPr>
      <w:r>
        <w:br w:type="page"/>
      </w:r>
    </w:p>
    <w:p w14:paraId="1DDF2265" w14:textId="77777777" w:rsidR="00C04533" w:rsidRDefault="00C04533" w:rsidP="00C04533">
      <w:pPr>
        <w:pStyle w:val="TtuloResolucin"/>
      </w:pPr>
      <w:bookmarkStart w:id="118" w:name="AUTO_2024_112"/>
      <w:r>
        <w:t>AUTO 112/2024, de 22 de octubre de 2024</w:t>
      </w:r>
    </w:p>
    <w:bookmarkEnd w:id="118"/>
    <w:p w14:paraId="1AADB44C" w14:textId="77777777" w:rsidR="00C04533" w:rsidRDefault="00C04533" w:rsidP="00C04533">
      <w:pPr>
        <w:pStyle w:val="TtuloResolucin"/>
      </w:pPr>
      <w:r>
        <w:t>Pleno</w:t>
      </w:r>
    </w:p>
    <w:p w14:paraId="3547CFCA" w14:textId="77777777" w:rsidR="00C04533" w:rsidRDefault="00C04533" w:rsidP="00C04533">
      <w:pPr>
        <w:pStyle w:val="TextoNormalCentrado"/>
      </w:pPr>
      <w:r>
        <w:t>ECLI:ES:TC:2024:112A</w:t>
      </w:r>
    </w:p>
    <w:p w14:paraId="0252CEBD" w14:textId="3DD1D0E6" w:rsidR="00C04533" w:rsidRDefault="00C04533" w:rsidP="00C04533">
      <w:pPr>
        <w:pStyle w:val="TextoNormalCentrado"/>
      </w:pPr>
    </w:p>
    <w:p w14:paraId="7962882D" w14:textId="77777777" w:rsidR="00C04533" w:rsidRDefault="00C04533" w:rsidP="00C04533">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41B16FB1" w14:textId="3308F317" w:rsidR="00C04533" w:rsidRDefault="00C04533" w:rsidP="00C04533">
      <w:pPr>
        <w:pStyle w:val="SntesisDescriptiva"/>
      </w:pPr>
    </w:p>
    <w:p w14:paraId="721F0F9B" w14:textId="77777777" w:rsidR="00C04533" w:rsidRDefault="00C04533" w:rsidP="00C04533">
      <w:pPr>
        <w:pStyle w:val="SntesisDescriptiva"/>
      </w:pPr>
      <w:r>
        <w:t>Inadmite una recusación en el recurso de inconstitucionalidad 6617-2024, interpuesto por el Consejo de Gobierno de la Junta de Extremadura en relación con la Ley Orgánica 1/2024, de 10 de junio, de amnistía para la normalización institucional, política y social en Cataluña. Votos particulares.</w:t>
      </w:r>
    </w:p>
    <w:p w14:paraId="3232572B" w14:textId="48BF68AA" w:rsidR="00C04533" w:rsidRDefault="00C04533" w:rsidP="00C04533">
      <w:pPr>
        <w:pStyle w:val="SntesisDescriptiva"/>
      </w:pPr>
    </w:p>
    <w:p w14:paraId="0FC5FEA6" w14:textId="77777777" w:rsidR="00C04533" w:rsidRDefault="00C04533" w:rsidP="00C04533">
      <w:pPr>
        <w:pStyle w:val="SntesisDescriptiva"/>
      </w:pPr>
    </w:p>
    <w:p w14:paraId="1F7A9E5A" w14:textId="77777777" w:rsidR="00C04533" w:rsidRDefault="00C04533" w:rsidP="00C04533">
      <w:pPr>
        <w:pStyle w:val="SntesisDescriptiva"/>
      </w:pPr>
    </w:p>
    <w:p w14:paraId="019ED5FD" w14:textId="77777777" w:rsidR="00C04533" w:rsidRDefault="00C04533" w:rsidP="00C04533">
      <w:pPr>
        <w:pStyle w:val="TextoNormalNegritaCentrado"/>
      </w:pPr>
      <w:r>
        <w:t>AUTO</w:t>
      </w:r>
    </w:p>
    <w:p w14:paraId="4E2F1874" w14:textId="7FC9F3E7" w:rsidR="00C04533" w:rsidRDefault="00C04533" w:rsidP="00C04533">
      <w:pPr>
        <w:pStyle w:val="TextoNormalNegritaCentrado"/>
      </w:pPr>
    </w:p>
    <w:p w14:paraId="4E3E2B00" w14:textId="77777777" w:rsidR="00C04533" w:rsidRDefault="00C04533" w:rsidP="00C04533">
      <w:pPr>
        <w:pStyle w:val="TextoNormalNegritaCentrado"/>
        <w:keepNext/>
      </w:pPr>
      <w:r>
        <w:t>I. Antecedentes</w:t>
      </w:r>
    </w:p>
    <w:p w14:paraId="46B701E3" w14:textId="75D02C3E" w:rsidR="00C04533" w:rsidRDefault="00C04533" w:rsidP="00C04533">
      <w:pPr>
        <w:pStyle w:val="TextoNormalNegritaCentrado"/>
        <w:keepNext/>
      </w:pPr>
    </w:p>
    <w:p w14:paraId="22B5EC3A" w14:textId="44699A2B" w:rsidR="00C04533" w:rsidRDefault="00C04533" w:rsidP="00C04533">
      <w:pPr>
        <w:pStyle w:val="TextoNormal"/>
      </w:pPr>
      <w:r w:rsidRPr="00C04533">
        <w:rPr>
          <w:rStyle w:val="NumeroAFNegritaCaracter"/>
        </w:rPr>
        <w:t>1</w:t>
      </w:r>
      <w:r>
        <w:t>. Por el Consejo de Gobierno de la Junta de Extremadura se ha interpuesto recurso de inconstitucionalidad en relación con la Ley Orgánica 1/2024, de 10 de junio, de amnistía para la normalización institucional, política y social en Cataluña, mediante escrito registrado en este tribunal el 10 de septiembre de 2024, en el que promueve por otrosí la recusación, entre otros, del magistrado don Cándido Conde-Pumpido Tourón, presidente del Tribunal.</w:t>
      </w:r>
    </w:p>
    <w:p w14:paraId="6057BB20" w14:textId="77777777" w:rsidR="00C04533" w:rsidRDefault="00C04533" w:rsidP="00C04533">
      <w:pPr>
        <w:pStyle w:val="TextoNormal"/>
      </w:pPr>
    </w:p>
    <w:p w14:paraId="01660355" w14:textId="729A3066"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el hecho de que el propio magistrado recusado formuló su abstención en diversos recursos de amparo, presentados contra pronunciamientos recaídos en la causa especial núm. 20907-2017, seguida ante la Sala Segunda del Tribunal Supremo, y que concluyó con el dictado de la sentencia 459/2019, de 14 de octubre, que condenaba a los principales líderes políticos del denominado “proceso independentista catalán”. Invocaba como motivo para la abstención el propósito de reforzar la apariencia y confianza en la imparcialidad del Tribunal Constitucional ante la notoria controversia constitucional, social y política generada en torno a la citada causa especial. En síntesis, se argumenta que habiendo sido aceptada dicha abstención por el ATC 48/2021, de 21 de abril, los razonamientos de esa resolución serían trasladables al presente procedimiento, dada la relación entre aquel proceso penal y el objeto de la norma ahora impugnada.</w:t>
      </w:r>
    </w:p>
    <w:p w14:paraId="4728F0EE" w14:textId="77777777" w:rsidR="00C04533" w:rsidRDefault="00C04533" w:rsidP="00C04533">
      <w:pPr>
        <w:pStyle w:val="TextoNormal"/>
      </w:pPr>
    </w:p>
    <w:p w14:paraId="5984CA0C" w14:textId="24B73AF8" w:rsidR="00C04533" w:rsidRDefault="00C04533" w:rsidP="00C04533">
      <w:pPr>
        <w:pStyle w:val="TextoNormal"/>
      </w:pPr>
      <w:r w:rsidRPr="00C04533">
        <w:rPr>
          <w:rStyle w:val="NumeroAFNegritaCaracter"/>
        </w:rPr>
        <w:t>3</w:t>
      </w:r>
      <w:r>
        <w:t>. La Secretaría de Justicia del Pleno del Tribunal, mediante diligencia de ordenación de 9 de octubre de 2024, consignó que la ponencia del incidente de recusación correspondía por turno de reparto a la vicepresidenta del Tribunal, doña Inmaculada Montalbán Huertas.</w:t>
      </w:r>
    </w:p>
    <w:p w14:paraId="447A11AA" w14:textId="77777777" w:rsidR="00C04533" w:rsidRDefault="00C04533" w:rsidP="00C04533">
      <w:pPr>
        <w:pStyle w:val="TextoNormal"/>
      </w:pPr>
    </w:p>
    <w:p w14:paraId="3BB788E2" w14:textId="416879AB" w:rsidR="00C04533" w:rsidRDefault="00C04533" w:rsidP="00C04533">
      <w:pPr>
        <w:pStyle w:val="TextoNormal"/>
      </w:pPr>
      <w:r w:rsidRPr="00C04533">
        <w:rPr>
          <w:rStyle w:val="NumeroAFNegritaCaracter"/>
        </w:rPr>
        <w:t>4</w:t>
      </w:r>
      <w:r>
        <w:t>. Finalmente, ha de advertirse que en la composición del Pleno del Tribunal solo intervienen ocho de sus miembros, no participando el magistrado de cuya recusación se trata, ni el magistrado don Juan Carlos Campo Moreno, cuya abstención fue aceptada por ATC 91/2024, de 24 de septiembre, así como la magistrada doña Laura Díez Bueso y el magistrado don José María Macías Castaño, cuyas recusaciones están pendientes de resolución.</w:t>
      </w:r>
    </w:p>
    <w:p w14:paraId="70109576" w14:textId="77777777" w:rsidR="00C04533" w:rsidRDefault="00C04533" w:rsidP="00C04533">
      <w:pPr>
        <w:pStyle w:val="TextoNormal"/>
      </w:pPr>
    </w:p>
    <w:p w14:paraId="3114F969" w14:textId="77777777" w:rsidR="00C04533" w:rsidRDefault="00C04533" w:rsidP="00C04533">
      <w:pPr>
        <w:pStyle w:val="TextoNormalNegritaCentrado"/>
        <w:keepNext/>
      </w:pPr>
      <w:r>
        <w:t>II. Fundamentos jurídicos</w:t>
      </w:r>
    </w:p>
    <w:p w14:paraId="6715CCCD" w14:textId="4A5EC76A" w:rsidR="00C04533" w:rsidRDefault="00C04533" w:rsidP="00C04533">
      <w:pPr>
        <w:pStyle w:val="TextoNormalNegritaCentrado"/>
        <w:keepNext/>
      </w:pPr>
    </w:p>
    <w:p w14:paraId="4737A2E0" w14:textId="48A33B6A" w:rsidR="00C04533" w:rsidRDefault="00C04533" w:rsidP="00C04533">
      <w:pPr>
        <w:pStyle w:val="TextoNormal"/>
      </w:pPr>
      <w:r w:rsidRPr="00C04533">
        <w:rPr>
          <w:rStyle w:val="NumeroAFNegritaCaracter"/>
        </w:rPr>
        <w:t>1</w:t>
      </w:r>
      <w:r>
        <w:t>. La recusación del presidente de este tribunal, don Cándido Conde-Pumpido Tourón, se sustenta en que el ATC 48/2021, de 21 de abril, estimó justificada su abstención en diversos recursos de amparo interpuestos contra resoluciones dictadas por la Sala de lo Penal del Tribunal Supremo en la causa especial núm. 20907-2017, con las que guardaría relación la Ley Orgánica 1/2024, de 10 de junio, de amnistía para la normalización institucional, política y social en Cataluña, que es objeto del presente recurso de inconstitucionalidad presentado por la institución recusante.</w:t>
      </w:r>
    </w:p>
    <w:p w14:paraId="496CB885" w14:textId="77777777" w:rsidR="00C04533" w:rsidRDefault="00C04533" w:rsidP="00C04533">
      <w:pPr>
        <w:pStyle w:val="TextoNormal"/>
      </w:pPr>
    </w:p>
    <w:p w14:paraId="05A0B30D" w14:textId="521174F7" w:rsidR="00C04533" w:rsidRDefault="00C04533" w:rsidP="00C04533">
      <w:pPr>
        <w:pStyle w:val="TextoNormal"/>
      </w:pPr>
      <w:r w:rsidRPr="00C04533">
        <w:rPr>
          <w:rStyle w:val="NumeroAFNegritaCaracter"/>
        </w:rPr>
        <w:t>2</w:t>
      </w:r>
      <w:r>
        <w:t>. La recusación presentada guarda identidad con la recientemente inadmitida de plano por el auto dictado por el Pleno en el recurso de inconstitucionalidad núm. 6436-2024, ATC 93/2024, de 8 de octubre, en el que señalamos: (i) que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respecto de las que había riesgo de que pudieran ser interpretadas por el sentir ciudadano como un prejuicio sobre la eventual culpabilidad de los implicados en aquella causa penal; (ii) que, en el presente caso, sin embargo, el objeto de la impugnación es resolver sobre la constitucionalidad de la Ley Orgánica 1/2024, de 10 de junio, norma que no existía en el momento de suscitarse aquella abstención y que ahora se cuestiona de manera abstracta, por lo que no cabe apreciar que las manifestaciones controvertidas entonces se refirieran al problema constitucional suscitado en este procedimiento.</w:t>
      </w:r>
    </w:p>
    <w:p w14:paraId="44686D0D" w14:textId="77777777" w:rsidR="00C04533" w:rsidRDefault="00C04533" w:rsidP="00C04533">
      <w:pPr>
        <w:pStyle w:val="TextoNormal"/>
      </w:pPr>
    </w:p>
    <w:p w14:paraId="53EF8866" w14:textId="77777777" w:rsidR="00C04533" w:rsidRDefault="00C04533" w:rsidP="00C04533">
      <w:pPr>
        <w:pStyle w:val="TextoNormal"/>
      </w:pPr>
      <w:r>
        <w:t>Por lo expuesto, el Pleno</w:t>
      </w:r>
    </w:p>
    <w:p w14:paraId="446660CC" w14:textId="269C4428" w:rsidR="00C04533" w:rsidRDefault="00C04533" w:rsidP="00C04533">
      <w:pPr>
        <w:pStyle w:val="TextoNormal"/>
      </w:pPr>
    </w:p>
    <w:p w14:paraId="26542557" w14:textId="77777777" w:rsidR="00C04533" w:rsidRDefault="00C04533" w:rsidP="00C04533">
      <w:pPr>
        <w:pStyle w:val="TextoNormalCentrado"/>
      </w:pPr>
      <w:r>
        <w:t>ACUERDA</w:t>
      </w:r>
    </w:p>
    <w:p w14:paraId="4C738AB3" w14:textId="079CD2EB" w:rsidR="00C04533" w:rsidRDefault="00C04533" w:rsidP="00C04533">
      <w:pPr>
        <w:pStyle w:val="TextoNormalCentrado"/>
      </w:pPr>
    </w:p>
    <w:p w14:paraId="4FE89D7A" w14:textId="29EE2445" w:rsidR="00C04533" w:rsidRDefault="00C04533" w:rsidP="00C04533">
      <w:pPr>
        <w:pStyle w:val="TextoNormal"/>
      </w:pPr>
      <w:r>
        <w:t>No admitir a trámite la recusación del presidente del Tribunal, don Cándido Conde-Pumpido Tourón, promovida en el recurso de inconstitucionalidad núm. 6617-2024 por el Consejo de Gobierno de la Junta de Extremadura.</w:t>
      </w:r>
    </w:p>
    <w:p w14:paraId="76FAA71F" w14:textId="77777777" w:rsidR="00C04533" w:rsidRDefault="00C04533" w:rsidP="00C04533">
      <w:pPr>
        <w:pStyle w:val="TextoNormal"/>
      </w:pPr>
    </w:p>
    <w:p w14:paraId="23FE810B" w14:textId="77777777" w:rsidR="00C04533" w:rsidRDefault="00C04533" w:rsidP="00C04533">
      <w:pPr>
        <w:pStyle w:val="TextoNormal"/>
      </w:pPr>
      <w:r>
        <w:t>Madrid, a veintidós de octubre de dos mil veinticuatro.</w:t>
      </w:r>
    </w:p>
    <w:p w14:paraId="1EF5A43A" w14:textId="50A9FA92" w:rsidR="00C04533" w:rsidRDefault="00C04533" w:rsidP="00C04533">
      <w:pPr>
        <w:pStyle w:val="ParrafoNormal"/>
      </w:pPr>
    </w:p>
    <w:p w14:paraId="79CEBC0E" w14:textId="77777777" w:rsidR="00C04533" w:rsidRDefault="00C04533" w:rsidP="00C04533">
      <w:pPr>
        <w:pStyle w:val="TextoNormalNegritaCentrado"/>
        <w:keepNext/>
      </w:pPr>
      <w:r>
        <w:t>Voto particular que formula el magistrado don Enrique Arnaldo Alcubilla al auto dictado en el recurso de inconstitucionalidad núm. 6617-2024 que inadmite la recusación del presidente del Tribunal Constitucional</w:t>
      </w:r>
    </w:p>
    <w:p w14:paraId="7B31CD08" w14:textId="40939BD9" w:rsidR="00C04533" w:rsidRDefault="00C04533" w:rsidP="00C04533">
      <w:pPr>
        <w:pStyle w:val="TextoNormalNegritaCentrado"/>
        <w:keepNext/>
      </w:pPr>
    </w:p>
    <w:p w14:paraId="5E0AB7A3"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4BCA60AD" w14:textId="77777777" w:rsidR="00C04533" w:rsidRDefault="00C04533" w:rsidP="00C04533">
      <w:pPr>
        <w:pStyle w:val="TextoNormal"/>
      </w:pPr>
    </w:p>
    <w:p w14:paraId="0BB41615" w14:textId="77777777" w:rsidR="00C04533" w:rsidRDefault="00C04533" w:rsidP="00C04533">
      <w:pPr>
        <w:pStyle w:val="TextoNormal"/>
      </w:pPr>
      <w:r>
        <w:t>El auto, que ha sido dictado por un Pleno del Tribunal compuesto por ocho magistrados, acuerda inadmitir la recusación promovida por el Gobierno de la Junta de Extremadura contra el magistrado y presidente del Tribunal don Cándido Conde-Pumpido Tourón, con motivo del recurso de inconstitucionalidad interpuesto contra la Ley Orgánica 1/2024, de amnistía para la normalización institucional, política y social en Cataluña.</w:t>
      </w:r>
    </w:p>
    <w:p w14:paraId="576FC6B5" w14:textId="77777777" w:rsidR="00C04533" w:rsidRDefault="00C04533" w:rsidP="00C04533">
      <w:pPr>
        <w:pStyle w:val="TextoNormal"/>
      </w:pPr>
    </w:p>
    <w:p w14:paraId="01FE3CAE" w14:textId="77777777" w:rsidR="00C04533" w:rsidRDefault="00C04533" w:rsidP="00C04533">
      <w:pPr>
        <w:pStyle w:val="TextoNormal"/>
      </w:pPr>
      <w:r>
        <w:t>En síntesis, reiterando la fundamentación del ATC 93/2024, de 8 de octubre, que inadmitió la recusación del mismo magistrado planteada en el recurso de inconstitucionalidad núm. 6436-2024, el presente auto entiende que las razones que en su día motivaron que por ATC 48/2021, de 21 de abril,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14:paraId="405C3DAE" w14:textId="77777777" w:rsidR="00C04533" w:rsidRDefault="00C04533" w:rsidP="00C04533">
      <w:pPr>
        <w:pStyle w:val="TextoNormal"/>
      </w:pPr>
    </w:p>
    <w:p w14:paraId="3BBE66EA" w14:textId="77777777" w:rsidR="00C04533" w:rsidRDefault="00C04533" w:rsidP="00C04533">
      <w:pPr>
        <w:pStyle w:val="TextoNormal"/>
      </w:pPr>
      <w:r>
        <w:t>No disiento en este punto del auto aprobado por la mayoría del Pleno, pues comparto la decisión de inadmitir la recusación del presidente del Tribunal don Cándido Conde-Pumpido Tourón por las razones que allí se indican.</w:t>
      </w:r>
    </w:p>
    <w:p w14:paraId="2D709F3F" w14:textId="77777777" w:rsidR="00C04533" w:rsidRDefault="00C04533" w:rsidP="00C04533">
      <w:pPr>
        <w:pStyle w:val="TextoNormal"/>
      </w:pPr>
    </w:p>
    <w:p w14:paraId="14B737AA" w14:textId="77777777" w:rsidR="00C04533" w:rsidRDefault="00C04533" w:rsidP="00C04533">
      <w:pPr>
        <w:pStyle w:val="TextoNormal"/>
      </w:pPr>
      <w:r>
        <w:t>Mi discrepancia con este auto, al igual que sucedía con el ATC 93/2024, se refiere a la composición del Pleno para la resolución de este incidente de recusación, pues no se explican suficientemente las razones por las que está integrado solo por ocho magistrados (más allá de la escueta indicación del antecedente 4) ni tampoco, y esto es lo fundamental, por qué se resuelve separadamente sobre la recusación del presidente del Tribunal don Cándido Conde-Pumpido Tourón, cuando el Gobierno autonómico recurrente ha recusado también a la magistrada doña Laura Díez Bueso (así como al magistrado don Juan Carlos Campo Moreno, si bien la abstención de este ya ha sido aceptada por el Tribunal en el ATC 91/2024, de 24 de septiembre).</w:t>
      </w:r>
    </w:p>
    <w:p w14:paraId="371F490B" w14:textId="77777777" w:rsidR="00C04533" w:rsidRDefault="00C04533" w:rsidP="00C04533">
      <w:pPr>
        <w:pStyle w:val="TextoNormal"/>
      </w:pPr>
    </w:p>
    <w:p w14:paraId="50BE6902" w14:textId="77777777" w:rsidR="00C04533" w:rsidRDefault="00C04533" w:rsidP="00C04533">
      <w:pPr>
        <w:pStyle w:val="TextoNormal"/>
      </w:pPr>
      <w: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Gobierno recurrente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14:paraId="33FA1B2F" w14:textId="77777777" w:rsidR="00C04533" w:rsidRDefault="00C04533" w:rsidP="00C04533">
      <w:pPr>
        <w:pStyle w:val="TextoNormal"/>
      </w:pPr>
    </w:p>
    <w:p w14:paraId="3A6A8EB0"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debía resolverse de manera fraccionada o separada y sucesivamente, sino de forma simultánea, por un Pleno del Tribunal con una composición en la que no interviniesen ninguno de los magistrados recusados (y tampoco, por supuesto, el magistrado don Juan Carlos Campo Moreno, al haber sido aceptada ya previamente por este tribunal su abstención). Como consecuencia de la extravagante decisión de resolver separadamente ambas recusaciones, la recusación de la magistrada doña Laura Díez Bueso ha quedado “pendiente”, como se indica en el antecedente 4 del auto, sin que ello resulte justificado, a mi entender.</w:t>
      </w:r>
    </w:p>
    <w:p w14:paraId="468229E7" w14:textId="77777777" w:rsidR="00C04533" w:rsidRDefault="00C04533" w:rsidP="00C04533">
      <w:pPr>
        <w:pStyle w:val="TextoNormal"/>
      </w:pPr>
    </w:p>
    <w:p w14:paraId="6A969CDC" w14:textId="77777777" w:rsidR="00C04533" w:rsidRDefault="00C04533" w:rsidP="00C04533">
      <w:pPr>
        <w:pStyle w:val="TextoNormal"/>
      </w:pPr>
      <w:r>
        <w:t>En fin, no debe dejarse de señalar que tampoco se explican en el auto las razones que llevan a excluir al magistrado don José María Macías Castaño de la composición del Pleno que ha dictado el auto que nos ocupa, más allá del lacónico enunciado del antecedente 4.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recurso de inconstitucionalidad) de los interpuestos contra la Ley Orgánica 1/2024, en que dicha recusación ha sido planteada por la parte recurrente, en la propia demanda o en escrito posterior.</w:t>
      </w:r>
    </w:p>
    <w:p w14:paraId="0E808529" w14:textId="77777777" w:rsidR="00C04533" w:rsidRDefault="00C04533" w:rsidP="00C04533">
      <w:pPr>
        <w:pStyle w:val="TextoNormal"/>
      </w:pPr>
    </w:p>
    <w:p w14:paraId="70CE7B52" w14:textId="77777777" w:rsidR="00C04533" w:rsidRDefault="00C04533" w:rsidP="00C04533">
      <w:pPr>
        <w:pStyle w:val="TextoNormal"/>
      </w:pPr>
      <w:r>
        <w:t>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Castaño, mientras que este magistrado habrá sido excluido de intervenir en la decisión de la recusación del presidente y lo será también de la que afecta a la magistrada doña Laura Díez Bueso. En otras palabras, la recusación formulada respecto del magistrado don José María Macías Castaño será resuelta por un colegio de diez magistrados, incluidos los dos citados, en la previsión indicada, pero ese magistrado no habrá podido intervenir en la resolución de la recusación que afecta a aquellos dos magistrados.</w:t>
      </w:r>
    </w:p>
    <w:p w14:paraId="7BB8BEEE" w14:textId="77777777" w:rsidR="00C04533" w:rsidRDefault="00C04533" w:rsidP="00C04533">
      <w:pPr>
        <w:pStyle w:val="TextoNormal"/>
      </w:pPr>
    </w:p>
    <w:p w14:paraId="20DCEB7B"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54A9024B" w14:textId="77777777" w:rsidR="00C04533" w:rsidRDefault="00C04533" w:rsidP="00C04533">
      <w:pPr>
        <w:pStyle w:val="TextoNormal"/>
      </w:pPr>
    </w:p>
    <w:p w14:paraId="3A9EA6C0" w14:textId="72C9D368" w:rsidR="00C04533" w:rsidRDefault="00C04533" w:rsidP="00C04533">
      <w:pPr>
        <w:pStyle w:val="TextoNormal"/>
      </w:pPr>
      <w:r>
        <w:t>Madrid, a veintidós de octubre de dos mil veinticuatro.</w:t>
      </w:r>
    </w:p>
    <w:p w14:paraId="3D97C7D5" w14:textId="77777777" w:rsidR="00C04533" w:rsidRDefault="00C04533" w:rsidP="00C04533">
      <w:pPr>
        <w:pStyle w:val="TextoNormal"/>
      </w:pPr>
    </w:p>
    <w:p w14:paraId="7FC26E04" w14:textId="77777777" w:rsidR="00C04533" w:rsidRDefault="00C04533" w:rsidP="00C04533">
      <w:pPr>
        <w:pStyle w:val="TextoNormalNegritaCentrado"/>
        <w:keepNext/>
      </w:pPr>
      <w:r>
        <w:t>Voto particular discrepante que formula la magistrada doña Concepción Espejel Jorquera al auto de 22 de octubre de 2024, dictado en incidente de recusación del presidente del Tribunal, don Cándido Conde-Pumpido Tourón, planteado en el recurso de inconstitucionalidad núm. 6617-2024</w:t>
      </w:r>
    </w:p>
    <w:p w14:paraId="03B859FE" w14:textId="71FC868B" w:rsidR="00C04533" w:rsidRDefault="00C04533" w:rsidP="00C04533">
      <w:pPr>
        <w:pStyle w:val="TextoNormalNegritaCentrado"/>
        <w:keepNext/>
      </w:pPr>
    </w:p>
    <w:p w14:paraId="364EB760" w14:textId="77777777" w:rsidR="00C04533" w:rsidRDefault="00C04533" w:rsidP="00C04533">
      <w:pPr>
        <w:pStyle w:val="TextoNormal"/>
      </w:pPr>
      <w:r>
        <w:t>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14:paraId="47178D96" w14:textId="77777777" w:rsidR="00C04533" w:rsidRDefault="00C04533" w:rsidP="00C04533">
      <w:pPr>
        <w:pStyle w:val="TextoNormal"/>
      </w:pPr>
    </w:p>
    <w:p w14:paraId="57D3E1F2" w14:textId="77777777" w:rsidR="00C04533" w:rsidRDefault="00C04533" w:rsidP="00C04533">
      <w:pPr>
        <w:pStyle w:val="TextoNormal"/>
      </w:pPr>
      <w:r>
        <w:t>Me remito al voto particular formulado en el ATC 93/2024, de 8 de octubre, en el mismo recurso de inconstitucionalidad (igualmente en una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093D9EFA" w14:textId="77777777" w:rsidR="00C04533" w:rsidRDefault="00C04533" w:rsidP="00C04533">
      <w:pPr>
        <w:pStyle w:val="TextoNormal"/>
      </w:pPr>
    </w:p>
    <w:p w14:paraId="394B2F85"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podría perjudicar seriamente la apariencia de imparcialidad que debe presentar este tribunal como órgano jurisdiccional.</w:t>
      </w:r>
    </w:p>
    <w:p w14:paraId="5FB47E3D" w14:textId="77777777" w:rsidR="00C04533" w:rsidRDefault="00C04533" w:rsidP="00C04533">
      <w:pPr>
        <w:pStyle w:val="TextoNormal"/>
      </w:pPr>
    </w:p>
    <w:p w14:paraId="4BF469CB" w14:textId="77777777" w:rsidR="00C04533" w:rsidRDefault="00C04533" w:rsidP="00C04533">
      <w:pPr>
        <w:pStyle w:val="TextoNormal"/>
      </w:pPr>
      <w:r>
        <w:t>Por lo expuesto, formulo el presente voto particular.</w:t>
      </w:r>
    </w:p>
    <w:p w14:paraId="54A6CA15" w14:textId="77777777" w:rsidR="00C04533" w:rsidRDefault="00C04533" w:rsidP="00C04533">
      <w:pPr>
        <w:pStyle w:val="TextoNormal"/>
      </w:pPr>
    </w:p>
    <w:p w14:paraId="74C19015" w14:textId="1DA36238" w:rsidR="00C04533" w:rsidRDefault="00C04533" w:rsidP="00C04533">
      <w:pPr>
        <w:pStyle w:val="TextoNormal"/>
      </w:pPr>
      <w:r>
        <w:t>Madrid, a veintidós de octubre de dos mil veinticuatro.</w:t>
      </w:r>
    </w:p>
    <w:p w14:paraId="1959CF00" w14:textId="256704F9" w:rsidR="00C04533" w:rsidRDefault="00C04533">
      <w:pPr>
        <w:spacing w:after="160" w:line="278" w:lineRule="auto"/>
        <w:rPr>
          <w:rFonts w:ascii="Times New Roman" w:eastAsia="Times New Roman" w:hAnsi="Times New Roman" w:cs="Times New Roman"/>
          <w:sz w:val="24"/>
          <w:szCs w:val="24"/>
          <w:lang w:eastAsia="es-ES"/>
        </w:rPr>
      </w:pPr>
      <w:r>
        <w:br w:type="page"/>
      </w:r>
    </w:p>
    <w:p w14:paraId="62208E82" w14:textId="77777777" w:rsidR="00C04533" w:rsidRDefault="00C04533" w:rsidP="00C04533">
      <w:pPr>
        <w:pStyle w:val="TtuloResolucin"/>
      </w:pPr>
      <w:bookmarkStart w:id="119" w:name="AUTO_2024_113"/>
      <w:r>
        <w:t>AUTO 113/2024, de 22 de octubre de 2024</w:t>
      </w:r>
    </w:p>
    <w:bookmarkEnd w:id="119"/>
    <w:p w14:paraId="496CA71E" w14:textId="77777777" w:rsidR="00C04533" w:rsidRDefault="00C04533" w:rsidP="00C04533">
      <w:pPr>
        <w:pStyle w:val="TtuloResolucin"/>
      </w:pPr>
      <w:r>
        <w:t>Pleno</w:t>
      </w:r>
    </w:p>
    <w:p w14:paraId="1D23991D" w14:textId="77777777" w:rsidR="00C04533" w:rsidRDefault="00C04533" w:rsidP="00C04533">
      <w:pPr>
        <w:pStyle w:val="TextoNormalCentrado"/>
      </w:pPr>
      <w:r>
        <w:t>ECLI:ES:TC:2024:113A</w:t>
      </w:r>
    </w:p>
    <w:p w14:paraId="796563BC" w14:textId="41B02260" w:rsidR="00C04533" w:rsidRDefault="00C04533" w:rsidP="00C04533">
      <w:pPr>
        <w:pStyle w:val="TextoNormalCentrado"/>
      </w:pPr>
    </w:p>
    <w:p w14:paraId="4C747853" w14:textId="77777777" w:rsidR="00C04533" w:rsidRDefault="00C04533" w:rsidP="00C04533">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6A83C6C7" w14:textId="75B8C542" w:rsidR="00C04533" w:rsidRDefault="00C04533" w:rsidP="00C04533">
      <w:pPr>
        <w:pStyle w:val="SntesisDescriptiva"/>
      </w:pPr>
    </w:p>
    <w:p w14:paraId="504E1B1A" w14:textId="77777777" w:rsidR="00C04533" w:rsidRDefault="00C04533" w:rsidP="00C04533">
      <w:pPr>
        <w:pStyle w:val="SntesisDescriptiva"/>
      </w:pPr>
      <w:r>
        <w:t>Inadmite una recusación en el recurso de inconstitucionalidad 6621-2024, interpuesto por el Consell de Govern de les Illes Balears en relación con la Ley Orgánica 1/2024, de 10 de junio, de amnistía para la normalización institucional, política y social en Cataluña. Votos particulares.</w:t>
      </w:r>
    </w:p>
    <w:p w14:paraId="0CFD20F5" w14:textId="451BA322" w:rsidR="00C04533" w:rsidRDefault="00C04533" w:rsidP="00C04533">
      <w:pPr>
        <w:pStyle w:val="SntesisDescriptiva"/>
      </w:pPr>
    </w:p>
    <w:p w14:paraId="4C754DE7" w14:textId="77777777" w:rsidR="00C04533" w:rsidRDefault="00C04533" w:rsidP="00C04533">
      <w:pPr>
        <w:pStyle w:val="SntesisDescriptiva"/>
      </w:pPr>
    </w:p>
    <w:p w14:paraId="1B387D55" w14:textId="77777777" w:rsidR="00C04533" w:rsidRDefault="00C04533" w:rsidP="00C04533">
      <w:pPr>
        <w:pStyle w:val="SntesisDescriptiva"/>
      </w:pPr>
    </w:p>
    <w:p w14:paraId="302E55C8" w14:textId="77777777" w:rsidR="00C04533" w:rsidRDefault="00C04533" w:rsidP="00C04533">
      <w:pPr>
        <w:pStyle w:val="TextoNormalNegritaCentrado"/>
      </w:pPr>
      <w:r>
        <w:t>AUTO</w:t>
      </w:r>
    </w:p>
    <w:p w14:paraId="3EC44240" w14:textId="0A2E603A" w:rsidR="00C04533" w:rsidRDefault="00C04533" w:rsidP="00C04533">
      <w:pPr>
        <w:pStyle w:val="TextoNormalNegritaCentrado"/>
      </w:pPr>
    </w:p>
    <w:p w14:paraId="3CBC2D76" w14:textId="77777777" w:rsidR="00C04533" w:rsidRDefault="00C04533" w:rsidP="00C04533">
      <w:pPr>
        <w:pStyle w:val="TextoNormalNegritaCentrado"/>
        <w:keepNext/>
      </w:pPr>
      <w:r>
        <w:t>I. Antecedentes</w:t>
      </w:r>
    </w:p>
    <w:p w14:paraId="7FB2F7BB" w14:textId="0FD6C124" w:rsidR="00C04533" w:rsidRDefault="00C04533" w:rsidP="00C04533">
      <w:pPr>
        <w:pStyle w:val="TextoNormalNegritaCentrado"/>
        <w:keepNext/>
      </w:pPr>
    </w:p>
    <w:p w14:paraId="6C6D4DC6" w14:textId="13BF7261" w:rsidR="00C04533" w:rsidRDefault="00C04533" w:rsidP="00C04533">
      <w:pPr>
        <w:pStyle w:val="TextoNormal"/>
      </w:pPr>
      <w:r w:rsidRPr="00C04533">
        <w:rPr>
          <w:rStyle w:val="NumeroAFNegritaCaracter"/>
        </w:rPr>
        <w:t>1</w:t>
      </w:r>
      <w:r>
        <w:t>. Por el Consell de Govern de les Illes Balears se ha interpuesto recurso de inconstitucionalidad en relación con la Ley Orgánica 1/2024, de 10 de junio, de amnistía para la normalización institucional, política y social en Cataluña, mediante escrito registrado en este tribunal el 10 de septiembre de 2024, en el que promueve por otrosí la recusación, entre otros, del magistrado don Cándido Conde-Pumpido Tourón, presidente del Tribunal.</w:t>
      </w:r>
    </w:p>
    <w:p w14:paraId="68580AA8" w14:textId="77777777" w:rsidR="00C04533" w:rsidRDefault="00C04533" w:rsidP="00C04533">
      <w:pPr>
        <w:pStyle w:val="TextoNormal"/>
      </w:pPr>
    </w:p>
    <w:p w14:paraId="005899B2" w14:textId="4AFBEE29"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la causa prevista en el art. 219.10 de la Ley Orgánica del Poder Judicial (LOPJ) —tener interés directo o indirecto en el pleito o causa—, con fundamento en que el propio magistrado recusado formuló su abstención en diversos recursos de amparo presentados contra pronunciamientos recaídos en la causa especial núm. 20907-2017 seguida ante la Sala de lo Penal del Tribunal Supremo, que concluiría con la sentencia 459/2019, de 14 de octubre, en la que fueron condenados varios encausados por delitos cometidos en el contexto del denominado “proceso independentista catalán”. En síntesis, se argumenta que habiendo sido aceptada su abstención por el ATC 48/2021, de 21 de abril, los razonamientos de esa resolución serían trasladables al presente procedimiento, dada la relación entre aquel proceso penal y el objeto de la norma ahora impugnada.</w:t>
      </w:r>
    </w:p>
    <w:p w14:paraId="31AEF456" w14:textId="77777777" w:rsidR="00C04533" w:rsidRDefault="00C04533" w:rsidP="00C04533">
      <w:pPr>
        <w:pStyle w:val="TextoNormal"/>
      </w:pPr>
    </w:p>
    <w:p w14:paraId="799DE67A" w14:textId="399FC9C9" w:rsidR="00C04533" w:rsidRDefault="00C04533" w:rsidP="00C04533">
      <w:pPr>
        <w:pStyle w:val="TextoNormal"/>
      </w:pPr>
      <w:r w:rsidRPr="00C04533">
        <w:rPr>
          <w:rStyle w:val="NumeroAFNegritaCaracter"/>
        </w:rPr>
        <w:t>3</w:t>
      </w:r>
      <w:r>
        <w:t>. La Secretaría de Justicia del Pleno del Tribunal, mediante diligencia de ordenación de 9 de octubre de 2024, consignó que la ponencia del incidente de recusación correspondía por turno de reparto a la magistrada doña María Luisa Balaguer Callejón.</w:t>
      </w:r>
    </w:p>
    <w:p w14:paraId="06EF788C" w14:textId="77777777" w:rsidR="00C04533" w:rsidRDefault="00C04533" w:rsidP="00C04533">
      <w:pPr>
        <w:pStyle w:val="TextoNormal"/>
      </w:pPr>
    </w:p>
    <w:p w14:paraId="3B5FA792" w14:textId="72F883FA" w:rsidR="00C04533" w:rsidRDefault="00C04533" w:rsidP="00C04533">
      <w:pPr>
        <w:pStyle w:val="TextoNormal"/>
      </w:pPr>
      <w:r w:rsidRPr="00C04533">
        <w:rPr>
          <w:rStyle w:val="NumeroAFNegritaCaracter"/>
        </w:rPr>
        <w:t>4</w:t>
      </w:r>
      <w:r>
        <w:t>. Finalmente, ha de advertirse que en la composición del Pleno del Tribunal solo intervienen ocho de sus miembros, no participando el magistrado de cuya recusación se trata, ni el magistrado don Juan Carlos Campo Moreno, cuya abstención fue aceptada por ATC 91/2024, de 24 de septiembre, así como la magistrada doña Laura Díez Bueso y el magistrado don José María Macías Castaño, cuyas recusaciones están pendientes de resolución.</w:t>
      </w:r>
    </w:p>
    <w:p w14:paraId="7486D210" w14:textId="77777777" w:rsidR="00C04533" w:rsidRDefault="00C04533" w:rsidP="00C04533">
      <w:pPr>
        <w:pStyle w:val="TextoNormal"/>
      </w:pPr>
    </w:p>
    <w:p w14:paraId="10AD86A7" w14:textId="77777777" w:rsidR="00C04533" w:rsidRDefault="00C04533" w:rsidP="00C04533">
      <w:pPr>
        <w:pStyle w:val="TextoNormalNegritaCentrado"/>
        <w:keepNext/>
      </w:pPr>
      <w:r>
        <w:t>II. Fundamentos jurídicos</w:t>
      </w:r>
    </w:p>
    <w:p w14:paraId="6B6C9544" w14:textId="3FA74FCF" w:rsidR="00C04533" w:rsidRDefault="00C04533" w:rsidP="00C04533">
      <w:pPr>
        <w:pStyle w:val="TextoNormalNegritaCentrado"/>
        <w:keepNext/>
      </w:pPr>
    </w:p>
    <w:p w14:paraId="5A8D8EA5" w14:textId="5C906948" w:rsidR="00C04533" w:rsidRDefault="00C04533" w:rsidP="00C04533">
      <w:pPr>
        <w:pStyle w:val="TextoNormal"/>
      </w:pPr>
      <w:r w:rsidRPr="00C04533">
        <w:rPr>
          <w:rStyle w:val="NumeroAFNegritaCaracter"/>
        </w:rPr>
        <w:t>1</w:t>
      </w:r>
      <w:r>
        <w:t>. La recusación del presidente de este tribunal, don Cándido Conde-Pumpido Tourón, se sustenta en que el ATC 48/2021, de 21 de abril, estimó justificada su abstención en diversos recursos de amparo interpuestos contra resoluciones dictadas por la Sala de lo Penal del Tribunal Supremo en la causa especial núm. 20907-2017, con las que guardaría relación la Ley Orgánica 1/2024, de 10 de junio, de amnistía para la normalización institucional, política y social en Cataluña, que es objeto del presente recurso de inconstitucionalidad presentado por la institución recusante. En consecuencia, concurriría la causa de abstención —que ahora sería de recusación— prevista en el art. 219.10 LOPJ: “[t]ener interés directo o indirecto en el pleito o causa”.</w:t>
      </w:r>
    </w:p>
    <w:p w14:paraId="1A15EB74" w14:textId="77777777" w:rsidR="00C04533" w:rsidRDefault="00C04533" w:rsidP="00C04533">
      <w:pPr>
        <w:pStyle w:val="TextoNormal"/>
      </w:pPr>
    </w:p>
    <w:p w14:paraId="6D09AA5E" w14:textId="2236292E" w:rsidR="00C04533" w:rsidRDefault="00C04533" w:rsidP="00C04533">
      <w:pPr>
        <w:pStyle w:val="TextoNormal"/>
      </w:pPr>
      <w:r w:rsidRPr="00C04533">
        <w:rPr>
          <w:rStyle w:val="NumeroAFNegritaCaracter"/>
        </w:rPr>
        <w:t>2</w:t>
      </w:r>
      <w:r>
        <w:t>. La recusación presentada guarda identidad con la recientemente inadmitida de plano por el auto dictado por el Pleno en el recurso de inconstitucionalidad núm. 6436-2024, ATC 93/2024, de 8 de octubre, en el que señalamos: (i) que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respecto de las que había riesgo de que pudieran ser interpretadas por el sentir ciudadano como un prejuicio sobre la eventual culpabilidad de los implicados en aquella causa penal; (ii) que, en el presente caso, sin embargo, el objeto de la impugnación es resolver sobre la constitucionalidad de la Ley Orgánica 1/2024, de 10 de junio, norma que no existía en el momento de suscitarse aquella abstención y que ahora se cuestiona de manera abstracta, por lo que no cabe apreciar que las manifestaciones controvertidas entonces se refirieran al problema constitucional suscitado en este procedimiento.</w:t>
      </w:r>
    </w:p>
    <w:p w14:paraId="4AACDF2D" w14:textId="77777777" w:rsidR="00C04533" w:rsidRDefault="00C04533" w:rsidP="00C04533">
      <w:pPr>
        <w:pStyle w:val="TextoNormal"/>
      </w:pPr>
    </w:p>
    <w:p w14:paraId="606F3D29" w14:textId="77777777" w:rsidR="00C04533" w:rsidRDefault="00C04533" w:rsidP="00C04533">
      <w:pPr>
        <w:pStyle w:val="TextoNormal"/>
      </w:pPr>
      <w:r>
        <w:t>Por lo expuesto, el Pleno</w:t>
      </w:r>
    </w:p>
    <w:p w14:paraId="7E8A81D0" w14:textId="22A2F3C9" w:rsidR="00C04533" w:rsidRDefault="00C04533" w:rsidP="00C04533">
      <w:pPr>
        <w:pStyle w:val="TextoNormal"/>
      </w:pPr>
    </w:p>
    <w:p w14:paraId="28F3FF2C" w14:textId="77777777" w:rsidR="00C04533" w:rsidRDefault="00C04533" w:rsidP="00C04533">
      <w:pPr>
        <w:pStyle w:val="TextoNormalCentrado"/>
      </w:pPr>
      <w:r>
        <w:t>ACUERDA</w:t>
      </w:r>
    </w:p>
    <w:p w14:paraId="38BAAC06" w14:textId="6C663B0B" w:rsidR="00C04533" w:rsidRDefault="00C04533" w:rsidP="00C04533">
      <w:pPr>
        <w:pStyle w:val="TextoNormalCentrado"/>
      </w:pPr>
    </w:p>
    <w:p w14:paraId="32961C0E" w14:textId="43BF0A18" w:rsidR="00C04533" w:rsidRDefault="00C04533" w:rsidP="00C04533">
      <w:pPr>
        <w:pStyle w:val="TextoNormal"/>
      </w:pPr>
      <w:r>
        <w:t>No admitir a trámite la recusación del presidente del Tribunal, don Cándido Conde-Pumpido Tourón, promovida en el recurso de inconstitucionalidad núm. 6621-2024 por el Consell de Govern de les Illes Balears.</w:t>
      </w:r>
    </w:p>
    <w:p w14:paraId="1414D05B" w14:textId="77777777" w:rsidR="00C04533" w:rsidRDefault="00C04533" w:rsidP="00C04533">
      <w:pPr>
        <w:pStyle w:val="TextoNormal"/>
      </w:pPr>
    </w:p>
    <w:p w14:paraId="5738D252" w14:textId="77777777" w:rsidR="00C04533" w:rsidRDefault="00C04533" w:rsidP="00C04533">
      <w:pPr>
        <w:pStyle w:val="TextoNormal"/>
      </w:pPr>
      <w:r>
        <w:t>Madrid, a veintidós de octubre de dos mil veinticuatro.</w:t>
      </w:r>
    </w:p>
    <w:p w14:paraId="2E44089B" w14:textId="030AFA81" w:rsidR="00C04533" w:rsidRDefault="00C04533" w:rsidP="00C04533">
      <w:pPr>
        <w:pStyle w:val="ParrafoNormal"/>
      </w:pPr>
    </w:p>
    <w:p w14:paraId="26300080" w14:textId="77777777" w:rsidR="00C04533" w:rsidRDefault="00C04533" w:rsidP="00C04533">
      <w:pPr>
        <w:pStyle w:val="TextoNormalNegritaCentrado"/>
        <w:keepNext/>
      </w:pPr>
      <w:r>
        <w:t>Voto particular que formula el magistrado don Enrique Arnaldo Alcubilla al auto dictado en el recurso de inconstitucionalidad núm. 6621-2024 que inadmite la recusación del presidente del Tribunal Constitucional</w:t>
      </w:r>
    </w:p>
    <w:p w14:paraId="4D2E88AD" w14:textId="0D3E32D0" w:rsidR="00C04533" w:rsidRDefault="00C04533" w:rsidP="00C04533">
      <w:pPr>
        <w:pStyle w:val="TextoNormalNegritaCentrado"/>
        <w:keepNext/>
      </w:pPr>
    </w:p>
    <w:p w14:paraId="00B00012"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34440A41" w14:textId="77777777" w:rsidR="00C04533" w:rsidRDefault="00C04533" w:rsidP="00C04533">
      <w:pPr>
        <w:pStyle w:val="TextoNormal"/>
      </w:pPr>
    </w:p>
    <w:p w14:paraId="2E451074" w14:textId="77777777" w:rsidR="00C04533" w:rsidRDefault="00C04533" w:rsidP="00C04533">
      <w:pPr>
        <w:pStyle w:val="TextoNormal"/>
      </w:pPr>
      <w:r>
        <w:t>El auto, que ha sido dictado por un Pleno del Tribunal compuesto por ocho magistrados, acuerda inadmitir la recusación promovida por el Consell de Govern de les Illes Balears contra el magistrado y presidente del Tribunal don Cándido Conde-Pumpido Tourón, con motivo del recurso de inconstitucionalidad interpuesto contra la Ley Orgánica 1/2024, de amnistía para la normalización institucional, política y social en Cataluña.</w:t>
      </w:r>
    </w:p>
    <w:p w14:paraId="2F6FF698" w14:textId="77777777" w:rsidR="00C04533" w:rsidRDefault="00C04533" w:rsidP="00C04533">
      <w:pPr>
        <w:pStyle w:val="TextoNormal"/>
      </w:pPr>
    </w:p>
    <w:p w14:paraId="27421CFF" w14:textId="77777777" w:rsidR="00C04533" w:rsidRDefault="00C04533" w:rsidP="00C04533">
      <w:pPr>
        <w:pStyle w:val="TextoNormal"/>
      </w:pPr>
      <w:r>
        <w:t>En síntesis, reiterando la fundamentación del ATC 93/2024, de 8 de octubre, que inadmitió la recusación del mismo magistrado planteada en el recurso de inconstitucionalidad núm. 6436-2024, el presente auto entiende que las razones que en su día motivaron que por ATC 48/2021, de 21 de abril,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14:paraId="13782A56" w14:textId="77777777" w:rsidR="00C04533" w:rsidRDefault="00C04533" w:rsidP="00C04533">
      <w:pPr>
        <w:pStyle w:val="TextoNormal"/>
      </w:pPr>
    </w:p>
    <w:p w14:paraId="431D5D9D" w14:textId="77777777" w:rsidR="00C04533" w:rsidRDefault="00C04533" w:rsidP="00C04533">
      <w:pPr>
        <w:pStyle w:val="TextoNormal"/>
      </w:pPr>
      <w:r>
        <w:t>No disiento en este punto del auto aprobado por la mayoría del Pleno, pues comparto la decisión de inadmitir la recusación del presidente del Tribunal don Cándido Conde-Pumpido Tourón por las razones que allí se indican.</w:t>
      </w:r>
    </w:p>
    <w:p w14:paraId="1DDE24C2" w14:textId="77777777" w:rsidR="00C04533" w:rsidRDefault="00C04533" w:rsidP="00C04533">
      <w:pPr>
        <w:pStyle w:val="TextoNormal"/>
      </w:pPr>
    </w:p>
    <w:p w14:paraId="67205C1D" w14:textId="77777777" w:rsidR="00C04533" w:rsidRDefault="00C04533" w:rsidP="00C04533">
      <w:pPr>
        <w:pStyle w:val="TextoNormal"/>
      </w:pPr>
      <w:r>
        <w:t>Mi discrepancia con este auto, al igual que sucedía con el ATC 93/2024, se refiere a la composición del Pleno para la resolución de este incidente de recusación, pues no se explican suficientemente las razones por las que está integrado solo por ocho magistrados (más allá de la escueta indicación del antecedente 4) ni tampoco, y esto es lo fundamental, por qué se resuelve separadamente sobre la recusación del presidente del Tribunal don Cándido Conde-Pumpido Tourón, cuando el Gobierno autonómico recurrente ha recusado también a la magistrada doña Laura Díez Bueso (así como al magistrado don Juan Carlos Campo Moreno, si bien la abstención de este ya ha sido aceptada por el Tribunal en el ATC 91/2024, de 24 de septiembre).</w:t>
      </w:r>
    </w:p>
    <w:p w14:paraId="7F037011" w14:textId="77777777" w:rsidR="00C04533" w:rsidRDefault="00C04533" w:rsidP="00C04533">
      <w:pPr>
        <w:pStyle w:val="TextoNormal"/>
      </w:pPr>
    </w:p>
    <w:p w14:paraId="53A10420" w14:textId="77777777" w:rsidR="00C04533" w:rsidRDefault="00C04533" w:rsidP="00C04533">
      <w:pPr>
        <w:pStyle w:val="TextoNormal"/>
      </w:pPr>
      <w: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Gobierno recurrente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14:paraId="1742BAED" w14:textId="77777777" w:rsidR="00C04533" w:rsidRDefault="00C04533" w:rsidP="00C04533">
      <w:pPr>
        <w:pStyle w:val="TextoNormal"/>
      </w:pPr>
    </w:p>
    <w:p w14:paraId="5CC5F6A7"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debía resolverse de manera fraccionada o separada y sucesivamente, sino de forma simultánea, por un Pleno del Tribunal con una composición en la que no interviniesen ninguno de los magistrados recusados (y tampoco, por supuesto, el magistrado don Juan Carlos Campo Moreno, al haber sido aceptada ya previamente por este tribunal su abstención). Como consecuencia de la extravagante decisión de resolver separadamente ambas recusaciones, la recusación de la magistrada doña Laura Díez Bueso ha quedado “pendiente”, como se indica en el antecedente 4 del auto, sin que ello resulte justificado, a mi entender.</w:t>
      </w:r>
    </w:p>
    <w:p w14:paraId="1F26334A" w14:textId="77777777" w:rsidR="00C04533" w:rsidRDefault="00C04533" w:rsidP="00C04533">
      <w:pPr>
        <w:pStyle w:val="TextoNormal"/>
      </w:pPr>
    </w:p>
    <w:p w14:paraId="036CF4EF" w14:textId="77777777" w:rsidR="00C04533" w:rsidRDefault="00C04533" w:rsidP="00C04533">
      <w:pPr>
        <w:pStyle w:val="TextoNormal"/>
      </w:pPr>
      <w:r>
        <w:t>En fin, no debe dejarse de señalar que tampoco se explican en el auto las razones que llevan a excluir al magistrado don José María Macías Castaño de la composición del Pleno que ha dictado el auto que nos ocupa, más allá del lacónico enunciado del antecedente 4.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recurso de inconstitucionalidad) de los interpuestos contra la Ley Orgánica 1/2024, en que dicha recusación ha sido planteada por la parte recurrente, en la propia demanda o en escrito posterior.</w:t>
      </w:r>
    </w:p>
    <w:p w14:paraId="5AD4F118" w14:textId="77777777" w:rsidR="00C04533" w:rsidRDefault="00C04533" w:rsidP="00C04533">
      <w:pPr>
        <w:pStyle w:val="TextoNormal"/>
      </w:pPr>
    </w:p>
    <w:p w14:paraId="3DDD77B4" w14:textId="77777777" w:rsidR="00C04533" w:rsidRDefault="00C04533" w:rsidP="00C04533">
      <w:pPr>
        <w:pStyle w:val="TextoNormal"/>
      </w:pPr>
      <w:r>
        <w:t>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Castaño, mientras que este magistrado habrá sido excluido de intervenir en la decisión de la recusación del presidente y lo será también de la que afecta a la magistrada doña Laura Díez Bueso. En otras palabras, la recusación formulada respecto del magistrado don José María Macías Casstaño será resuelta por un colegio de diez magistrados, incluidos los dos citados, en la previsión indicada, pero ese magistrado no habrá podido intervenir en la resolución de la recusación que afecta a aquellos dos magistrados.</w:t>
      </w:r>
    </w:p>
    <w:p w14:paraId="3C49B9E0" w14:textId="77777777" w:rsidR="00C04533" w:rsidRDefault="00C04533" w:rsidP="00C04533">
      <w:pPr>
        <w:pStyle w:val="TextoNormal"/>
      </w:pPr>
    </w:p>
    <w:p w14:paraId="3847A730"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16D71E46" w14:textId="77777777" w:rsidR="00C04533" w:rsidRDefault="00C04533" w:rsidP="00C04533">
      <w:pPr>
        <w:pStyle w:val="TextoNormal"/>
      </w:pPr>
    </w:p>
    <w:p w14:paraId="43CECDCC" w14:textId="55B12BCF" w:rsidR="00C04533" w:rsidRDefault="00C04533" w:rsidP="00C04533">
      <w:pPr>
        <w:pStyle w:val="TextoNormal"/>
      </w:pPr>
      <w:r>
        <w:t>Madrid, a veintidós de octubre de dos mil veinticuatro.</w:t>
      </w:r>
    </w:p>
    <w:p w14:paraId="299E3887" w14:textId="77777777" w:rsidR="00C04533" w:rsidRDefault="00C04533" w:rsidP="00C04533">
      <w:pPr>
        <w:pStyle w:val="TextoNormal"/>
      </w:pPr>
    </w:p>
    <w:p w14:paraId="719E1BFB" w14:textId="77777777" w:rsidR="00C04533" w:rsidRDefault="00C04533" w:rsidP="00C04533">
      <w:pPr>
        <w:pStyle w:val="TextoNormalNegritaCentrado"/>
        <w:keepNext/>
      </w:pPr>
      <w:r>
        <w:t>Voto particular discrepante que formula la magistrada doña Concepción Espejel Jorquera al auto de 22 de octubre de 2024, dictado en incidente de recusación del presidente del Tribunal, don Cándido Conde-Pumpido Tourón, planteado en el recurso de inconstitucionalidad núm. 6621-2024</w:t>
      </w:r>
    </w:p>
    <w:p w14:paraId="206A120E" w14:textId="56E02FFF" w:rsidR="00C04533" w:rsidRDefault="00C04533" w:rsidP="00C04533">
      <w:pPr>
        <w:pStyle w:val="TextoNormalNegritaCentrado"/>
        <w:keepNext/>
      </w:pPr>
    </w:p>
    <w:p w14:paraId="7E88B5EA" w14:textId="77777777" w:rsidR="00C04533" w:rsidRDefault="00C04533" w:rsidP="00C04533">
      <w:pPr>
        <w:pStyle w:val="TextoNormal"/>
      </w:pPr>
      <w:r>
        <w:t>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14:paraId="6D6791A0" w14:textId="77777777" w:rsidR="00C04533" w:rsidRDefault="00C04533" w:rsidP="00C04533">
      <w:pPr>
        <w:pStyle w:val="TextoNormal"/>
      </w:pPr>
    </w:p>
    <w:p w14:paraId="0EC4E869" w14:textId="77777777" w:rsidR="00C04533" w:rsidRDefault="00C04533" w:rsidP="00C04533">
      <w:pPr>
        <w:pStyle w:val="TextoNormal"/>
      </w:pPr>
      <w:r>
        <w:t>Me remito al voto particular formulado en el ATC 93/2024, de 8 de octubre, en el mismo recurso de inconstitucionalidad (igualmente en una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403379A3" w14:textId="77777777" w:rsidR="00C04533" w:rsidRDefault="00C04533" w:rsidP="00C04533">
      <w:pPr>
        <w:pStyle w:val="TextoNormal"/>
      </w:pPr>
    </w:p>
    <w:p w14:paraId="634B1F22"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podría perjudicar seriamente la apariencia de imparcialidad que debe presentar este tribunal como órgano jurisdiccional.</w:t>
      </w:r>
    </w:p>
    <w:p w14:paraId="2C2BF362" w14:textId="77777777" w:rsidR="00C04533" w:rsidRDefault="00C04533" w:rsidP="00C04533">
      <w:pPr>
        <w:pStyle w:val="TextoNormal"/>
      </w:pPr>
    </w:p>
    <w:p w14:paraId="1A02D5E6" w14:textId="77777777" w:rsidR="00C04533" w:rsidRDefault="00C04533" w:rsidP="00C04533">
      <w:pPr>
        <w:pStyle w:val="TextoNormal"/>
      </w:pPr>
      <w:r>
        <w:t>Por lo expuesto, formulo el presente voto particular.</w:t>
      </w:r>
    </w:p>
    <w:p w14:paraId="6915ABB3" w14:textId="77777777" w:rsidR="00C04533" w:rsidRDefault="00C04533" w:rsidP="00C04533">
      <w:pPr>
        <w:pStyle w:val="TextoNormal"/>
      </w:pPr>
    </w:p>
    <w:p w14:paraId="64AE0E2E" w14:textId="7F68D48E" w:rsidR="00C04533" w:rsidRDefault="00C04533" w:rsidP="00C04533">
      <w:pPr>
        <w:pStyle w:val="TextoNormal"/>
      </w:pPr>
      <w:r>
        <w:t>Madrid, a veintidós de octubre de dos mil veinticuatro.</w:t>
      </w:r>
    </w:p>
    <w:p w14:paraId="26297FA6" w14:textId="2112BE47" w:rsidR="00C04533" w:rsidRDefault="00C04533">
      <w:pPr>
        <w:spacing w:after="160" w:line="278" w:lineRule="auto"/>
        <w:rPr>
          <w:rFonts w:ascii="Times New Roman" w:eastAsia="Times New Roman" w:hAnsi="Times New Roman" w:cs="Times New Roman"/>
          <w:sz w:val="24"/>
          <w:szCs w:val="24"/>
          <w:lang w:eastAsia="es-ES"/>
        </w:rPr>
      </w:pPr>
      <w:r>
        <w:br w:type="page"/>
      </w:r>
    </w:p>
    <w:p w14:paraId="6AFE61C8" w14:textId="77777777" w:rsidR="00C04533" w:rsidRDefault="00C04533" w:rsidP="00C04533">
      <w:pPr>
        <w:pStyle w:val="TtuloResolucin"/>
      </w:pPr>
      <w:bookmarkStart w:id="120" w:name="AUTO_2024_114"/>
      <w:r>
        <w:t>AUTO 114/2024, de 30 de octubre de 2024</w:t>
      </w:r>
    </w:p>
    <w:bookmarkEnd w:id="120"/>
    <w:p w14:paraId="0346DA04" w14:textId="77777777" w:rsidR="00C04533" w:rsidRDefault="00C04533" w:rsidP="00C04533">
      <w:pPr>
        <w:pStyle w:val="TtuloResolucin"/>
      </w:pPr>
      <w:r>
        <w:t>Sección Segunda</w:t>
      </w:r>
    </w:p>
    <w:p w14:paraId="0B779283" w14:textId="77777777" w:rsidR="00C04533" w:rsidRDefault="00C04533" w:rsidP="00C04533">
      <w:pPr>
        <w:pStyle w:val="TextoNormalCentrado"/>
      </w:pPr>
      <w:r>
        <w:t>ECLI:ES:TC:2024:114A</w:t>
      </w:r>
    </w:p>
    <w:p w14:paraId="71DD0B3E" w14:textId="48053964" w:rsidR="00C04533" w:rsidRDefault="00C04533" w:rsidP="00C04533">
      <w:pPr>
        <w:pStyle w:val="TextoNormalCentrado"/>
      </w:pPr>
    </w:p>
    <w:p w14:paraId="776AD23B" w14:textId="77777777" w:rsidR="00C04533" w:rsidRDefault="00C04533" w:rsidP="00C04533">
      <w:pPr>
        <w:pStyle w:val="SntesisDescriptiva"/>
      </w:pPr>
      <w:r>
        <w:t>Excms. Srs. don Ricardo Enríquez Sancho y don José María Macías Castaño.</w:t>
      </w:r>
    </w:p>
    <w:p w14:paraId="225DAC1E" w14:textId="7EA0BC75" w:rsidR="00C04533" w:rsidRDefault="00C04533" w:rsidP="00C04533">
      <w:pPr>
        <w:pStyle w:val="SntesisDescriptiva"/>
      </w:pPr>
    </w:p>
    <w:p w14:paraId="766B49C9" w14:textId="77777777" w:rsidR="00C04533" w:rsidRDefault="00C04533" w:rsidP="00C04533">
      <w:pPr>
        <w:pStyle w:val="SntesisDescriptiva"/>
      </w:pPr>
      <w:r>
        <w:t>Acepta una abstención en el recurso de amparo 1866-2024, promovido en procedimiento parlamentario.</w:t>
      </w:r>
    </w:p>
    <w:p w14:paraId="1D6410BD" w14:textId="22E2EB58" w:rsidR="00C04533" w:rsidRDefault="00C04533" w:rsidP="00C04533">
      <w:pPr>
        <w:pStyle w:val="SntesisDescriptiva"/>
      </w:pPr>
    </w:p>
    <w:p w14:paraId="041C6BAC" w14:textId="77777777" w:rsidR="00C04533" w:rsidRDefault="00C04533" w:rsidP="00C04533">
      <w:pPr>
        <w:pStyle w:val="SntesisDescriptiva"/>
      </w:pPr>
    </w:p>
    <w:p w14:paraId="3673DDEE" w14:textId="77777777" w:rsidR="00C04533" w:rsidRDefault="00C04533" w:rsidP="00C04533">
      <w:pPr>
        <w:pStyle w:val="SntesisDescriptiva"/>
      </w:pPr>
    </w:p>
    <w:p w14:paraId="320BD433" w14:textId="77777777" w:rsidR="00C04533" w:rsidRDefault="00C04533" w:rsidP="00C04533">
      <w:pPr>
        <w:pStyle w:val="TextoNormalNegritaCentrado"/>
      </w:pPr>
      <w:r>
        <w:t>AUTO</w:t>
      </w:r>
    </w:p>
    <w:p w14:paraId="22C1B64F" w14:textId="7C7BBCED" w:rsidR="00C04533" w:rsidRDefault="00C04533" w:rsidP="00C04533">
      <w:pPr>
        <w:pStyle w:val="TextoNormalNegritaCentrado"/>
      </w:pPr>
    </w:p>
    <w:p w14:paraId="04D73AB5" w14:textId="77777777" w:rsidR="00C04533" w:rsidRDefault="00C04533" w:rsidP="00C04533">
      <w:pPr>
        <w:pStyle w:val="TextoNormalNegritaCentrado"/>
        <w:keepNext/>
      </w:pPr>
      <w:r>
        <w:t>I. Antecedentes</w:t>
      </w:r>
    </w:p>
    <w:p w14:paraId="00E067F5" w14:textId="3C00C6CB" w:rsidR="00C04533" w:rsidRDefault="00C04533" w:rsidP="00C04533">
      <w:pPr>
        <w:pStyle w:val="TextoNormalNegritaCentrado"/>
        <w:keepNext/>
      </w:pPr>
    </w:p>
    <w:p w14:paraId="65D2A13C" w14:textId="45803D41" w:rsidR="00C04533" w:rsidRDefault="00C04533" w:rsidP="00C04533">
      <w:pPr>
        <w:pStyle w:val="TextoNormal"/>
      </w:pPr>
      <w:r w:rsidRPr="00C04533">
        <w:rPr>
          <w:rStyle w:val="NumeroAFNegritaCaracter"/>
        </w:rPr>
        <w:t>1</w:t>
      </w:r>
      <w:r>
        <w:t>. Por escrito fechado el día 24 de octubre de 2023, el magistrado don Juan Carlos Campo Moreno comunicó al señor presidente del Tribunal, a los efectos oportunos, su voluntad de abstenerse de intervenir en el conocimiento del presente recurso de amparo núm. 1866-2024.</w:t>
      </w:r>
    </w:p>
    <w:p w14:paraId="0CE665CB" w14:textId="77777777" w:rsidR="00C04533" w:rsidRDefault="00C04533" w:rsidP="00C04533">
      <w:pPr>
        <w:pStyle w:val="TextoNormal"/>
      </w:pPr>
    </w:p>
    <w:p w14:paraId="745A11AE" w14:textId="2BB707DE" w:rsidR="00C04533" w:rsidRDefault="00C04533" w:rsidP="00C04533">
      <w:pPr>
        <w:pStyle w:val="TextoNormal"/>
      </w:pPr>
      <w:r w:rsidRPr="00C04533">
        <w:rPr>
          <w:rStyle w:val="NumeroAFNegritaCaracter"/>
        </w:rPr>
        <w:t>2</w:t>
      </w:r>
      <w:r>
        <w:t>. La solicitud se fundamenta en la relación personal que mantiene con quien fue Excma. Sra. presidenta del Congreso de los Diputados, autoridad a la que se atribuye, en el concreto período en el que ha estado en el ejercicio de dicho cargo, la inactividad u omisión que la recurrente estima lesiva del derecho a participar en los asuntos públicos a través de representantes libremente elegidos (art. 23.1 CE), en concreto, la falta de convocatoria de los plenos en los que, según alega, podrían haber resultados elegidos los candidatos y juristas propuestos como nuevos vocales del Consejo General del Poder Judicial.</w:t>
      </w:r>
    </w:p>
    <w:p w14:paraId="7CB00F0C" w14:textId="77777777" w:rsidR="00C04533" w:rsidRDefault="00C04533" w:rsidP="00C04533">
      <w:pPr>
        <w:pStyle w:val="TextoNormal"/>
      </w:pPr>
    </w:p>
    <w:p w14:paraId="0DC38894" w14:textId="77777777" w:rsidR="00C04533" w:rsidRDefault="00C04533" w:rsidP="00C04533">
      <w:pPr>
        <w:pStyle w:val="TextoNormalNegritaCentrado"/>
        <w:keepNext/>
      </w:pPr>
      <w:r>
        <w:t>II. Fundamentos jurídicos</w:t>
      </w:r>
    </w:p>
    <w:p w14:paraId="346405B3" w14:textId="7C3B65F6" w:rsidR="00C04533" w:rsidRDefault="00C04533" w:rsidP="00C04533">
      <w:pPr>
        <w:pStyle w:val="TextoNormalNegritaCentrado"/>
        <w:keepNext/>
      </w:pPr>
    </w:p>
    <w:p w14:paraId="0528A3B1" w14:textId="77777777" w:rsidR="00C04533" w:rsidRDefault="00C04533" w:rsidP="00C04533">
      <w:pPr>
        <w:pStyle w:val="TextoNormal"/>
      </w:pPr>
      <w:r w:rsidRPr="00C04533">
        <w:rPr>
          <w:rStyle w:val="TextoNormalNegritaCaracter"/>
        </w:rPr>
        <w:t xml:space="preserve">Único. </w:t>
      </w:r>
      <w:r>
        <w:t>Visto el contenido de la comunicación efectuada por el magistrado don Juan Carlos Campo Moreno, en virtud de lo previsto en los arts. 80 de la Ley Orgánica del Tribunal Constitucional y 221.4 de la Ley Orgánica del Poder Judicial (LOPJ), se estima justificada la causa de abstención formulada.</w:t>
      </w:r>
    </w:p>
    <w:p w14:paraId="76B4A1BA" w14:textId="77777777" w:rsidR="00C04533" w:rsidRDefault="00C04533" w:rsidP="00C04533">
      <w:pPr>
        <w:pStyle w:val="TextoNormal"/>
      </w:pPr>
    </w:p>
    <w:p w14:paraId="6A58695B" w14:textId="77777777" w:rsidR="00C04533" w:rsidRDefault="00C04533" w:rsidP="00C04533">
      <w:pPr>
        <w:pStyle w:val="TextoNormal"/>
      </w:pPr>
      <w:r>
        <w:t>Conviene precisar que la recurrente ha formalizado una petición concreta ante las Cámaras en el mes de septiembre de 2023, provocando a partir de esa fecha un hecho objetivo susceptible de amparo. En esa fecha, la persona que mantiene una relación con el magistrado señor Campo Moreno no ostentaba la presidencia del Congreso de los Diputados.</w:t>
      </w:r>
    </w:p>
    <w:p w14:paraId="02DD0FEA" w14:textId="77777777" w:rsidR="00C04533" w:rsidRDefault="00C04533" w:rsidP="00C04533">
      <w:pPr>
        <w:pStyle w:val="TextoNormal"/>
      </w:pPr>
    </w:p>
    <w:p w14:paraId="27CB7387" w14:textId="77777777" w:rsidR="00C04533" w:rsidRDefault="00C04533" w:rsidP="00C04533">
      <w:pPr>
        <w:pStyle w:val="TextoNormal"/>
      </w:pPr>
      <w:r>
        <w:t>Sin embargo, lo cierto es que de la demanda se deduce que la lesión se atribuye a una inacción de las Cortes Generales mantenida durante sucesivas legislaturas, incluyendo por tanto aquella en que esa persona sí ocupaba el citado cargo institucional.</w:t>
      </w:r>
    </w:p>
    <w:p w14:paraId="1ECC5EE8" w14:textId="77777777" w:rsidR="00C04533" w:rsidRDefault="00C04533" w:rsidP="00C04533">
      <w:pPr>
        <w:pStyle w:val="TextoNormal"/>
      </w:pPr>
    </w:p>
    <w:p w14:paraId="47A17493" w14:textId="00D63A54" w:rsidR="00C04533" w:rsidRDefault="00C04533" w:rsidP="00C04533">
      <w:pPr>
        <w:pStyle w:val="TextoNormal"/>
      </w:pPr>
      <w:r>
        <w:t>En consecuencia, pueden concurrir las causas 1 y 14 del art. 219 LOPJ, que definen como motivo de abstención: el “vínculo matrimonial o situación de hecho asimilable y el parentesco por consanguinidad o afinidad dentro del cuarto grado con las partes o el representante del Ministerio Fiscal” (causa 1), y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1 a 9, 12, 13 y 15 de este artículo” (causa 14).</w:t>
      </w:r>
    </w:p>
    <w:p w14:paraId="4C044806" w14:textId="77777777" w:rsidR="00C04533" w:rsidRDefault="00C04533" w:rsidP="00C04533">
      <w:pPr>
        <w:pStyle w:val="TextoNormal"/>
      </w:pPr>
    </w:p>
    <w:p w14:paraId="10F79EB9" w14:textId="77777777" w:rsidR="00C04533" w:rsidRDefault="00C04533" w:rsidP="00C04533">
      <w:pPr>
        <w:pStyle w:val="TextoNormal"/>
      </w:pPr>
      <w:r>
        <w:t>Por lo expuesto, la Sección</w:t>
      </w:r>
    </w:p>
    <w:p w14:paraId="0958E1C5" w14:textId="31D9F0CC" w:rsidR="00C04533" w:rsidRDefault="00C04533" w:rsidP="00C04533">
      <w:pPr>
        <w:pStyle w:val="TextoNormal"/>
      </w:pPr>
    </w:p>
    <w:p w14:paraId="643BE294" w14:textId="77777777" w:rsidR="00C04533" w:rsidRDefault="00C04533" w:rsidP="00C04533">
      <w:pPr>
        <w:pStyle w:val="TextoNormalCentrado"/>
      </w:pPr>
      <w:r>
        <w:t>ACUERDA</w:t>
      </w:r>
    </w:p>
    <w:p w14:paraId="4F5885D0" w14:textId="12125462" w:rsidR="00C04533" w:rsidRDefault="00C04533" w:rsidP="00C04533">
      <w:pPr>
        <w:pStyle w:val="TextoNormalCentrado"/>
      </w:pPr>
    </w:p>
    <w:p w14:paraId="4E0287E3" w14:textId="5223E422" w:rsidR="00C04533" w:rsidRDefault="00C04533" w:rsidP="00C04533">
      <w:pPr>
        <w:pStyle w:val="TextoNormal"/>
      </w:pPr>
      <w:r>
        <w:t>Estimar justificada la abstención formulada por el magistrado don Juan Carlos Campo Moreno en el recurso de amparo núm. 1866-2024, apartándole definitivamente de su conocimiento.</w:t>
      </w:r>
    </w:p>
    <w:p w14:paraId="357CC6A9" w14:textId="77777777" w:rsidR="00C04533" w:rsidRDefault="00C04533" w:rsidP="00C04533">
      <w:pPr>
        <w:pStyle w:val="TextoNormal"/>
      </w:pPr>
    </w:p>
    <w:p w14:paraId="0FD26649" w14:textId="77777777" w:rsidR="00C04533" w:rsidRDefault="00C04533" w:rsidP="00C04533">
      <w:pPr>
        <w:pStyle w:val="TextoNormal"/>
      </w:pPr>
      <w:r>
        <w:t>Madrid, a treinta de octubre de dos mil veinticuatro.</w:t>
      </w:r>
    </w:p>
    <w:p w14:paraId="4ED4C852" w14:textId="5415C329" w:rsidR="00C04533" w:rsidRDefault="00C04533">
      <w:pPr>
        <w:spacing w:after="160" w:line="278" w:lineRule="auto"/>
        <w:rPr>
          <w:rFonts w:ascii="Times New Roman" w:eastAsia="Times New Roman" w:hAnsi="Times New Roman" w:cs="Times New Roman"/>
          <w:sz w:val="24"/>
          <w:szCs w:val="24"/>
          <w:lang w:eastAsia="es-ES"/>
        </w:rPr>
      </w:pPr>
      <w:r>
        <w:br w:type="page"/>
      </w:r>
    </w:p>
    <w:p w14:paraId="6EB396D4" w14:textId="77777777" w:rsidR="00C04533" w:rsidRDefault="00C04533" w:rsidP="00C04533">
      <w:pPr>
        <w:pStyle w:val="TtuloResolucin"/>
      </w:pPr>
      <w:bookmarkStart w:id="121" w:name="AUTO_2024_115"/>
      <w:r>
        <w:t>AUTO 115/2024, de 5 de noviembre de 2024</w:t>
      </w:r>
    </w:p>
    <w:bookmarkEnd w:id="121"/>
    <w:p w14:paraId="4DB4EFF4" w14:textId="77777777" w:rsidR="00C04533" w:rsidRDefault="00C04533" w:rsidP="00C04533">
      <w:pPr>
        <w:pStyle w:val="TtuloResolucin"/>
      </w:pPr>
      <w:r>
        <w:t>Pleno</w:t>
      </w:r>
    </w:p>
    <w:p w14:paraId="64B8C2FB" w14:textId="77777777" w:rsidR="00C04533" w:rsidRDefault="00C04533" w:rsidP="00C04533">
      <w:pPr>
        <w:pStyle w:val="TextoNormalCentrado"/>
      </w:pPr>
      <w:r>
        <w:t>ECLI:ES:TC:2024:115A</w:t>
      </w:r>
    </w:p>
    <w:p w14:paraId="3BDE1782" w14:textId="5238B65C" w:rsidR="00C04533" w:rsidRDefault="00C04533" w:rsidP="00C04533">
      <w:pPr>
        <w:pStyle w:val="TextoNormalCentrado"/>
      </w:pPr>
    </w:p>
    <w:p w14:paraId="3BA43E22"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5B3F64E2" w14:textId="79909B56" w:rsidR="00C04533" w:rsidRDefault="00C04533" w:rsidP="00C04533">
      <w:pPr>
        <w:pStyle w:val="SntesisDescriptiva"/>
      </w:pPr>
    </w:p>
    <w:p w14:paraId="20E7EF1F" w14:textId="77777777" w:rsidR="00C04533" w:rsidRDefault="00C04533" w:rsidP="00C04533">
      <w:pPr>
        <w:pStyle w:val="SntesisDescriptiva"/>
      </w:pPr>
      <w:r>
        <w:t>Inadmite a trámite la cuestión de inconstitucionalidad 7488-2023, planteada por la Sala de lo Contencioso-Administrativo del Tribunal Superior de Justicia del País Vasco en relación con la disposición final primera de la Ley 22/2021, de 28 de diciembre, de presupuestos generales del Estado para el año 2022.</w:t>
      </w:r>
    </w:p>
    <w:p w14:paraId="263CE99C" w14:textId="2C645A46" w:rsidR="00C04533" w:rsidRDefault="00C04533" w:rsidP="00C04533">
      <w:pPr>
        <w:pStyle w:val="SntesisDescriptiva"/>
      </w:pPr>
    </w:p>
    <w:p w14:paraId="68586935" w14:textId="77777777" w:rsidR="00C04533" w:rsidRDefault="00C04533" w:rsidP="00C04533">
      <w:pPr>
        <w:pStyle w:val="SntesisDescriptiva"/>
      </w:pPr>
    </w:p>
    <w:p w14:paraId="13590741" w14:textId="77777777" w:rsidR="00C04533" w:rsidRDefault="00C04533" w:rsidP="00C04533">
      <w:pPr>
        <w:pStyle w:val="SntesisDescriptiva"/>
      </w:pPr>
    </w:p>
    <w:p w14:paraId="6DD9C0E3" w14:textId="77777777" w:rsidR="00C04533" w:rsidRDefault="00C04533" w:rsidP="00C04533">
      <w:pPr>
        <w:pStyle w:val="TextoNormalNegritaCentrado"/>
      </w:pPr>
      <w:r>
        <w:t>AUTO</w:t>
      </w:r>
    </w:p>
    <w:p w14:paraId="45228974" w14:textId="58FFF152" w:rsidR="00C04533" w:rsidRDefault="00C04533" w:rsidP="00C04533">
      <w:pPr>
        <w:pStyle w:val="TextoNormalNegritaCentrado"/>
      </w:pPr>
    </w:p>
    <w:p w14:paraId="3077B0CD" w14:textId="77777777" w:rsidR="00C04533" w:rsidRDefault="00C04533" w:rsidP="00C04533">
      <w:pPr>
        <w:pStyle w:val="TextoNormalNegritaCentrado"/>
        <w:keepNext/>
      </w:pPr>
      <w:r>
        <w:t>I. Antecedentes</w:t>
      </w:r>
    </w:p>
    <w:p w14:paraId="6E5B4219" w14:textId="3E03BD08" w:rsidR="00C04533" w:rsidRDefault="00C04533" w:rsidP="00C04533">
      <w:pPr>
        <w:pStyle w:val="TextoNormalNegritaCentrado"/>
        <w:keepNext/>
      </w:pPr>
    </w:p>
    <w:p w14:paraId="3B873DCC" w14:textId="77777777" w:rsidR="00C04533" w:rsidRDefault="00C04533" w:rsidP="00C04533">
      <w:pPr>
        <w:pStyle w:val="TextoNormal"/>
      </w:pPr>
      <w:r w:rsidRPr="00C04533">
        <w:rPr>
          <w:rStyle w:val="NumeroAFNegritaCaracter"/>
        </w:rPr>
        <w:t>1</w:t>
      </w:r>
      <w:r>
        <w:t>. El 28 de noviembre de 2023 tuvo entrada en el registro general de este tribunal un oficio de la Sala de lo Contencioso-Administrativo, Sección Tercera del Tribunal Superior de Justicia del País Vasco, mediante el que se remite, junto con el testimonio del proceso correspondiente (procedimiento ordinario núm. 529-2022), el auto de 2 de noviembre de 2023 por el que se acuerda plantear cuestión de inconstitucionalidad respecto de la disposición final primera de la Ley 22/2021, de 28 de diciembre, de presupuestos generales del Estado para el año 2022, que modifica el apartado séptimo de la disposición adicional segunda de la Ley de bases del régimen local.</w:t>
      </w:r>
    </w:p>
    <w:p w14:paraId="017BDDB3" w14:textId="77777777" w:rsidR="00C04533" w:rsidRDefault="00C04533" w:rsidP="00C04533">
      <w:pPr>
        <w:pStyle w:val="TextoNormal"/>
      </w:pPr>
    </w:p>
    <w:p w14:paraId="261AE226" w14:textId="529D6DAC" w:rsidR="00C04533" w:rsidRDefault="00C04533" w:rsidP="00C04533">
      <w:pPr>
        <w:pStyle w:val="TextoNormal"/>
      </w:pPr>
      <w:r>
        <w:t>Se cuestiona en el auto la eventual contradicción de este precepto con el art. 134.2 CE. Subsidiariamente se cuestiona la disposición adicional octava de la Ley 20/2021, de 28 de diciembre, de medidas urgentes para la reducción de la temporalidad en el empleo público, considerando que puede ser inconstitucional por vulnerar el principio de interdicción de la arbitrariedad del art. 9.3 CE, en relación con el art. 103.3 CE, cuya contradicción aprecia por infracción del art. 61.6 del texto refundido de la Ley del estatuto básico del empleado público (TRLEEP), aprobado por Real Decreto Legislativo 5/2015, de 30 de octubre.</w:t>
      </w:r>
    </w:p>
    <w:p w14:paraId="21255219" w14:textId="77777777" w:rsidR="00C04533" w:rsidRDefault="00C04533" w:rsidP="00C04533">
      <w:pPr>
        <w:pStyle w:val="TextoNormal"/>
      </w:pPr>
    </w:p>
    <w:p w14:paraId="5C3FD4AE" w14:textId="77777777" w:rsidR="00C04533" w:rsidRDefault="00C04533" w:rsidP="00C04533">
      <w:pPr>
        <w:pStyle w:val="TextoNormal"/>
      </w:pPr>
      <w:r w:rsidRPr="00C04533">
        <w:rPr>
          <w:rStyle w:val="NumeroAFNegritaCaracter"/>
        </w:rPr>
        <w:t>2</w:t>
      </w:r>
      <w:r>
        <w:t>. Los antecedentes de hecho relevantes para el examen de la cuestión son los siguientes:</w:t>
      </w:r>
    </w:p>
    <w:p w14:paraId="783EDA30" w14:textId="77777777" w:rsidR="00C04533" w:rsidRDefault="00C04533" w:rsidP="00C04533">
      <w:pPr>
        <w:pStyle w:val="TextoNormal"/>
      </w:pPr>
    </w:p>
    <w:p w14:paraId="0C6D684B" w14:textId="77777777" w:rsidR="00C04533" w:rsidRDefault="00C04533" w:rsidP="00C04533">
      <w:pPr>
        <w:pStyle w:val="TextoNormal"/>
      </w:pPr>
      <w:r>
        <w:t>a) El Consejo General de Colegios Oficiales de Secretarios, Interventores y Tesoreros de Administración Local interpuso, ante la Sala de lo Contencioso-Administrativo del Tribunal Superior de Justicia del País Vasco, recurso contencioso-administrativo contra el acuerdo del Consejo de Gobierno de 24 de mayo de 2022, por el que se aprobó la oferta de empleo público de estabilización del personal funcionario de administración local con habilitación de carácter nacional en el ámbito de la Comunidad Autónoma del País Vasco. El acuerdo impugnado había sido publicado en el “Boletín Oficial del País Vasco” núm. 102, de 27 de mayo de 2022, en virtud de lo dispuesto a tal efecto por resolución núm. 54/2022, de 24 de mayo, del director de la Secretaría del Gobierno y de Relaciones con el Parlamento.</w:t>
      </w:r>
    </w:p>
    <w:p w14:paraId="2117F826" w14:textId="77777777" w:rsidR="00C04533" w:rsidRDefault="00C04533" w:rsidP="00C04533">
      <w:pPr>
        <w:pStyle w:val="TextoNormal"/>
      </w:pPr>
    </w:p>
    <w:p w14:paraId="27D08A12" w14:textId="77777777" w:rsidR="00C04533" w:rsidRDefault="00C04533" w:rsidP="00C04533">
      <w:pPr>
        <w:pStyle w:val="TextoNormal"/>
      </w:pPr>
      <w:r>
        <w:t>b) Conclusos los autos para sentencia, la Sala, por providencia de 20 de septiembre de 2023 y de conformidad con lo dispuesto en el art. 35.2 de la Ley Orgánica del Tribunal Constitucional (LOTC), acordó oír a las partes y al Ministerio Fiscal por el término común de diez días sobre la pertinencia de plantear cuestión de inconstitucionalidad respecto de los siguientes preceptos: (i) la disposición final primera de la Ley 22/2021, de 28 de diciembre, de presupuestos generales del Estado para el año 2022, que modifica el apartado 7 de la disposición adicional segunda de la Ley de bases del régimen local, por entender que esta disposición puede ser inconstitucional por contravenir los límites constitucionales de los contenidos de las leyes de presupuestos generales (art. 134.2 CE); y (ii) subsidiariamente, para el caso de no ser admitida o estimada la anterior, respecto de la disposición adicional octava de la Ley 20/2021, de 28 de diciembre, de medidas urgentes para la reducción de la temporalidad en el empleo público, por estimar que esta disposición puede ser inconstitucional por vulnerar el principio de interdicción de arbitrariedad de los poderes públicos (art. 9.3 CE) en relación con el principio constitucional de mérito y capacidad (arts. 23.2 y 103.3 CE).</w:t>
      </w:r>
    </w:p>
    <w:p w14:paraId="67C0EF1D" w14:textId="77777777" w:rsidR="00C04533" w:rsidRDefault="00C04533" w:rsidP="00C04533">
      <w:pPr>
        <w:pStyle w:val="TextoNormal"/>
      </w:pPr>
    </w:p>
    <w:p w14:paraId="25A7EB8D" w14:textId="0ED55A0C" w:rsidR="00C04533" w:rsidRDefault="00C04533" w:rsidP="00C04533">
      <w:pPr>
        <w:pStyle w:val="TextoNormal"/>
      </w:pPr>
      <w:r>
        <w:t>c) Evacuado el trámite de audiencia del art. 35.2 LOTC, el resultado consta en las actuaciones: los demandantes y el Ministerio Fiscal se mostraron favorables al planteamiento de la cuestión; la Comunidad Autónoma del País Vasco mostró, en cambio, su disconformidad con el citado planteamiento por entender que no se cumple el juicio de relevancia en la cuestión de inconstitucionalidad. Por auto de 2 de noviembre de 2023 la Sección Tercera de la Sala de lo Contencioso-Administrativo del Tribunal Superior de Justicia del País Vasco acordó plantear la presente cuestión de inconstitucionalidad, respecto de la disposición final primera de la Ley 22/2021, de 28 de diciembre, de presupuestos generales del Estado para el año 2022, que modifica el apartado 7 de la disposición adicional segunda de la Ley de bases del régimen local, por su eventual contradicción con el art. 134.2 CE, así como, subsidiariamente, respecto a la disposición adicional octava de la Ley 20/2021, de 28 de diciembre, de medidas urgentes para la reducción de la temporalidad en el empleo público, por considerar que puede ser inconstitucional por vulnerar el principio de interdicción de la arbitrariedad del art. 9.3 CE, en relación con el art. 103.3 CE, cuya contradicción aprecia por infracción del art. 61.6 del texto refundido de la Ley del estatuto básico del empleado público, aprobado por el Real Decreto Legislativo 5/2015, de 30 de octubre.</w:t>
      </w:r>
    </w:p>
    <w:p w14:paraId="633867D2" w14:textId="77777777" w:rsidR="00C04533" w:rsidRDefault="00C04533" w:rsidP="00C04533">
      <w:pPr>
        <w:pStyle w:val="TextoNormal"/>
      </w:pPr>
    </w:p>
    <w:p w14:paraId="1FF2D303" w14:textId="77777777" w:rsidR="00C04533" w:rsidRDefault="00C04533" w:rsidP="00C04533">
      <w:pPr>
        <w:pStyle w:val="TextoNormal"/>
      </w:pPr>
      <w:r w:rsidRPr="00C04533">
        <w:rPr>
          <w:rStyle w:val="NumeroAFNegritaCaracter"/>
        </w:rPr>
        <w:t>3</w:t>
      </w:r>
      <w:r>
        <w:t>. En el auto de planteamiento de la cuestión, el Tribunal Superior de Justicia proponente, tras precisar los antecedentes de hecho, cuestiona el cauce empleado por el legislador estatal para atribuir a la Comunidad Autónoma del País Vasco facultades que, hasta la modificación de la disposición adicional segunda, apartado séptimo, de la Ley 7/1985, de 2 de abril, reguladora de las bases del régimen local, por la disposición final primera de la Ley 22/2021, de 28 de diciembre, de presupuestos generales del Estado para el año 2022, eran ejercidas por el Estado. Considera infringido el art. 134.2 CE, en concreto, los límites constitucionales al contenido material de las leyes presupuestarias, en tanto no atisba en la modificación efectuada conexión alguna con criterios económicos ligados directa o indirectamente al presupuesto.</w:t>
      </w:r>
    </w:p>
    <w:p w14:paraId="2C607550" w14:textId="77777777" w:rsidR="00C04533" w:rsidRDefault="00C04533" w:rsidP="00C04533">
      <w:pPr>
        <w:pStyle w:val="TextoNormal"/>
      </w:pPr>
    </w:p>
    <w:p w14:paraId="7526B014" w14:textId="6F929DFA" w:rsidR="00C04533" w:rsidRDefault="00C04533" w:rsidP="00C04533">
      <w:pPr>
        <w:pStyle w:val="TextoNormal"/>
      </w:pPr>
      <w:r>
        <w:t xml:space="preserve">El órgano judicial proponente cuestiona a continuación, con carácter subsidiario, la eventual inconstitucionalidad de la disposición adicional octava de la Ley 20/2021, de 28 de diciembre, de medidas urgentes para la reducción de la temporalidad en el empleo público, circunscribiéndose estrictamente a la oferta de empleo público que se impugna en el proceso en que se suscita la cuestión, sin referirse a las bases del proceso selectivo correspondiente o al sistema de selección empleado a tal efecto. Entiende que, caso de confirmarse la constitucionalidad de la disposición final primera de la Ley 22/2021, de 28 de diciembre, de presupuestos generales del Estado para el año 2022, resultaría aplicable en el proceso la citada disposición adicional octava de la Ley 20/2021, de 28 de diciembre, de medidas urgentes para la reducción de la temporalidad en el empleo público, considerando que podría infringir el principio de interdicción de la arbitrariedad de los poderes públicos que establece el art. 9.3 CE, en relación con la exigencia </w:t>
      </w:r>
      <w:r w:rsidRPr="00C04533">
        <w:rPr>
          <w:i/>
        </w:rPr>
        <w:t>ex</w:t>
      </w:r>
      <w:r>
        <w:t xml:space="preserve"> art. 103.3 CE, de que se regule por ley el acceso a la función pública de acuerdo con los principios de mérito y capacidad, así como la legislación básica que establece a tal efecto el art. 61.6 TRLEEP. El auto destaca el carácter extraordinario con que el texto refundico de la Ley del estatuto básico del empleado público concibe el sistema de concurso, haciendo hincapié en que su art. 61.6 establece una reserva de ley para procedimientos por concurso y exige una excepcionalidad que, entiende el Tribunal Superior de Justicia, debe ser motivada. Sostiene que al inaplicar de forma declaradamente excepcional en el presente caso lo que el propio legislador considera que debe seguir siendo la regla general tanto en el sistema de acceso a la función pública como en la forma de selección de las plazas concretas a ofertar, la disposición adicional octava de la Ley 20/2021, de 28 de diciembre, de medidas urgentes para la reducción de la temporalidad en el empleo público, contradice frontalmente el art. 9.3 CE, en relación con el art. 103.3 CE y su concreción en el art. 61.6 TRLEEP.</w:t>
      </w:r>
    </w:p>
    <w:p w14:paraId="703F2F89" w14:textId="77777777" w:rsidR="00C04533" w:rsidRDefault="00C04533" w:rsidP="00C04533">
      <w:pPr>
        <w:pStyle w:val="TextoNormal"/>
      </w:pPr>
    </w:p>
    <w:p w14:paraId="450D1E6B" w14:textId="074E582A" w:rsidR="00C04533" w:rsidRDefault="00C04533" w:rsidP="00C04533">
      <w:pPr>
        <w:pStyle w:val="TextoNormal"/>
      </w:pPr>
      <w:r w:rsidRPr="00C04533">
        <w:rPr>
          <w:rStyle w:val="NumeroAFNegritaCaracter"/>
        </w:rPr>
        <w:t>4</w:t>
      </w:r>
      <w:r>
        <w:t>. Mediante providencia de 16 de julio de 2024, el Pleno acordó, a los efectos que determina el art. 37.1 LOTC, oír al fiscal general del Estado para que, en el plazo de diez días, alegara lo que considerase conveniente sobre la posible pérdida sobrevenida de objeto de la presente cuestión de inconstitucionalidad, a la vista del fallo de la STC 67/2024, de 23 de abril.</w:t>
      </w:r>
    </w:p>
    <w:p w14:paraId="7C3BD31D" w14:textId="77777777" w:rsidR="00C04533" w:rsidRDefault="00C04533" w:rsidP="00C04533">
      <w:pPr>
        <w:pStyle w:val="TextoNormal"/>
      </w:pPr>
    </w:p>
    <w:p w14:paraId="2784D921" w14:textId="24FE255D" w:rsidR="00C04533" w:rsidRDefault="00C04533" w:rsidP="00C04533">
      <w:pPr>
        <w:pStyle w:val="TextoNormal"/>
      </w:pPr>
      <w:r w:rsidRPr="00C04533">
        <w:rPr>
          <w:rStyle w:val="NumeroAFNegritaCaracter"/>
        </w:rPr>
        <w:t>5</w:t>
      </w:r>
      <w:r>
        <w:t>. El fiscal general del Estado presentó su escrito de alegaciones en este tribunal el 18 de septiembre de 2024, interesando que se declare la inadmisión de esta cuestión de inconstitucionalidad por desaparición sobrevenida de su objeto, habida cuenta de lo resuelto en la STC 67/2024, de 23 de abril, que declaró que la disposición adicional primera de la Ley 22/2021, de 28 de diciembre, de presupuestos generales del Estado para el año 2022, es inconstitucional y nula, por vulnerar los límites constitucionales de las leyes de presupuestos de los arts. 66.2 y 134.2 CE.</w:t>
      </w:r>
    </w:p>
    <w:p w14:paraId="34A068A9" w14:textId="77777777" w:rsidR="00C04533" w:rsidRDefault="00C04533" w:rsidP="00C04533">
      <w:pPr>
        <w:pStyle w:val="TextoNormal"/>
      </w:pPr>
    </w:p>
    <w:p w14:paraId="5E4DC710" w14:textId="77777777" w:rsidR="00C04533" w:rsidRDefault="00C04533" w:rsidP="00C04533">
      <w:pPr>
        <w:pStyle w:val="TextoNormalNegritaCentrado"/>
        <w:keepNext/>
      </w:pPr>
      <w:r>
        <w:t>II. Fundamentos jurídicos</w:t>
      </w:r>
    </w:p>
    <w:p w14:paraId="796D0FB1" w14:textId="67FFE053" w:rsidR="00C04533" w:rsidRDefault="00C04533" w:rsidP="00C04533">
      <w:pPr>
        <w:pStyle w:val="TextoNormalNegritaCentrado"/>
        <w:keepNext/>
      </w:pPr>
    </w:p>
    <w:p w14:paraId="3E10C315" w14:textId="77777777" w:rsidR="00C04533" w:rsidRDefault="00C04533" w:rsidP="00C04533">
      <w:pPr>
        <w:pStyle w:val="TextoNormal"/>
      </w:pPr>
      <w:r w:rsidRPr="00C04533">
        <w:rPr>
          <w:rStyle w:val="TextoNormalNegritaCaracter"/>
        </w:rPr>
        <w:t xml:space="preserve">Único. </w:t>
      </w:r>
      <w:r>
        <w:t>La Sección Tercera de la Sala de lo Contencioso-Administrativo del Tribunal Superior de Justicia del País Vasco plantea, por auto de 2 de noviembre de 2023, cuestión de inconstitucionalidad respecto de la disposición final primera de la Ley 22/2021, de 28 de diciembre, de presupuestos generales del Estado para el año 2022, que modifica el apartado 7 de la disposición adicional segunda de la Ley de bases del régimen local, por su eventual contradicción con el art. 134.2 CE. Subsidiariamente, extiende la cuestión a la disposición adicional octava de la Ley 20/2021, de 28 de diciembre, de medidas urgentes para la reducción de la temporalidad en el empleo público, por considerar su eventual inconstitucionalidad por vulneración del principio de interdicción de la arbitrariedad del art. 9.3 CE, en relación con el art. 103.3 CE, cuya contradicción aprecia por infracción del art. 61.6 del texto refundido de la Ley del estatuto básico del empleado público, aprobado por Real Decreto Legislativo 5/2015, de 30 de octubre.</w:t>
      </w:r>
    </w:p>
    <w:p w14:paraId="66D497AE" w14:textId="77777777" w:rsidR="00C04533" w:rsidRDefault="00C04533" w:rsidP="00C04533">
      <w:pPr>
        <w:pStyle w:val="TextoNormal"/>
      </w:pPr>
    </w:p>
    <w:p w14:paraId="1D118B15" w14:textId="77777777" w:rsidR="00C04533" w:rsidRDefault="00C04533" w:rsidP="00C04533">
      <w:pPr>
        <w:pStyle w:val="TextoNormal"/>
      </w:pPr>
      <w:r>
        <w:t>Así planteada, el objeto de la cuestión de inconstitucionalidad recae, con carácter principal, y tal y como señala el fiscal general del Estado en su escrito de alegaciones, sobre la disposición final primera de la Ley 22/2021, de 28 de diciembre, de presupuestos generales del Estado para el año 2022, declarada inconstitucional y nula por la STC 67/2024, de 23 de abril, (publicada en el “Boletín Oficial del Estado” núm. 131, de 30 de mayo de 2024), por desbordar el contenido constitucionalmente admisible de las leyes de presupuestos de los arts. 66.2 y 134.2 CE.</w:t>
      </w:r>
    </w:p>
    <w:p w14:paraId="4847F4A2" w14:textId="77777777" w:rsidR="00C04533" w:rsidRDefault="00C04533" w:rsidP="00C04533">
      <w:pPr>
        <w:pStyle w:val="TextoNormal"/>
      </w:pPr>
    </w:p>
    <w:p w14:paraId="77A7B43B" w14:textId="2A65C978" w:rsidR="00C04533" w:rsidRDefault="00C04533" w:rsidP="00C04533">
      <w:pPr>
        <w:pStyle w:val="TextoNormal"/>
      </w:pPr>
      <w:r>
        <w:t>Por tanto, el precepto cuestionado en este proceso constitucional ha sido ya expulsado del ordenamiento jurídico, en los términos señalados, por la STC 67/2024, de 23 de abril, FJ 4. Ello determina, conforme a reiterada doctrina de este tribunal (SSTC 387/1993, de 23 de diciembre, FJ único; 72/1997, de 10 de abril, FJ único; 91/1997, de 8 de mayo, FJ único, y AATC 428/2006, de 21 de noviembre, FJ único; 175/2010, de 23 de noviembre, FJ único; 6/2016, de 19 de enero, FJ 5; 10/2016, de 19 de enero, FJ 5; 5/2017, de 17 de enero, FJ único, y 101/2017, de 4 de julio, por todos), la inadmisión por pérdida sobrevenida de objeto de la presente cuestión de inconstitucionalidad.</w:t>
      </w:r>
    </w:p>
    <w:p w14:paraId="6AB83A1D" w14:textId="77777777" w:rsidR="00C04533" w:rsidRDefault="00C04533" w:rsidP="00C04533">
      <w:pPr>
        <w:pStyle w:val="TextoNormal"/>
      </w:pPr>
    </w:p>
    <w:p w14:paraId="295C5E79" w14:textId="77777777" w:rsidR="00C04533" w:rsidRDefault="00C04533" w:rsidP="00C04533">
      <w:pPr>
        <w:pStyle w:val="TextoNormal"/>
      </w:pPr>
      <w:r>
        <w:t>Por lo expuesto, el Pleno</w:t>
      </w:r>
    </w:p>
    <w:p w14:paraId="12D8F60E" w14:textId="2864429E" w:rsidR="00C04533" w:rsidRDefault="00C04533" w:rsidP="00C04533">
      <w:pPr>
        <w:pStyle w:val="TextoNormal"/>
      </w:pPr>
    </w:p>
    <w:p w14:paraId="09F1EF8A" w14:textId="77777777" w:rsidR="00C04533" w:rsidRDefault="00C04533" w:rsidP="00C04533">
      <w:pPr>
        <w:pStyle w:val="TextoNormalCentrado"/>
      </w:pPr>
      <w:r>
        <w:t>ACUERDA</w:t>
      </w:r>
    </w:p>
    <w:p w14:paraId="1773014A" w14:textId="320521E4" w:rsidR="00C04533" w:rsidRDefault="00C04533" w:rsidP="00C04533">
      <w:pPr>
        <w:pStyle w:val="TextoNormalCentrado"/>
      </w:pPr>
    </w:p>
    <w:p w14:paraId="6C67E101" w14:textId="682FD4F4" w:rsidR="00C04533" w:rsidRDefault="00C04533" w:rsidP="00C04533">
      <w:pPr>
        <w:pStyle w:val="TextoNormal"/>
      </w:pPr>
      <w:r>
        <w:t>Declarar la inadmisión de la presente cuestión de inconstitucionalidad, por desaparición sobrevenida de su objeto.</w:t>
      </w:r>
    </w:p>
    <w:p w14:paraId="1CFC9E0B" w14:textId="77777777" w:rsidR="00C04533" w:rsidRDefault="00C04533" w:rsidP="00C04533">
      <w:pPr>
        <w:pStyle w:val="TextoNormal"/>
      </w:pPr>
    </w:p>
    <w:p w14:paraId="46ECB349" w14:textId="77777777" w:rsidR="00C04533" w:rsidRDefault="00C04533" w:rsidP="00C04533">
      <w:pPr>
        <w:pStyle w:val="TextoNormal"/>
      </w:pPr>
      <w:r>
        <w:t>Madrid, a cinco de noviembre de dos mil veinticuatro.</w:t>
      </w:r>
    </w:p>
    <w:p w14:paraId="79D13009" w14:textId="692CC9C5" w:rsidR="00C04533" w:rsidRDefault="00C04533">
      <w:pPr>
        <w:spacing w:after="160" w:line="278" w:lineRule="auto"/>
        <w:rPr>
          <w:rFonts w:ascii="Times New Roman" w:eastAsia="Times New Roman" w:hAnsi="Times New Roman" w:cs="Times New Roman"/>
          <w:sz w:val="24"/>
          <w:szCs w:val="24"/>
          <w:lang w:eastAsia="es-ES"/>
        </w:rPr>
      </w:pPr>
      <w:r>
        <w:br w:type="page"/>
      </w:r>
    </w:p>
    <w:p w14:paraId="6E0210D3" w14:textId="77777777" w:rsidR="00C04533" w:rsidRDefault="00C04533" w:rsidP="00C04533">
      <w:pPr>
        <w:pStyle w:val="TtuloResolucin"/>
      </w:pPr>
      <w:bookmarkStart w:id="122" w:name="AUTO_2024_116"/>
      <w:r>
        <w:t>AUTO 116/2024, de 5 de noviembre de 2024</w:t>
      </w:r>
    </w:p>
    <w:bookmarkEnd w:id="122"/>
    <w:p w14:paraId="78A4EAE5" w14:textId="77777777" w:rsidR="00C04533" w:rsidRDefault="00C04533" w:rsidP="00C04533">
      <w:pPr>
        <w:pStyle w:val="TtuloResolucin"/>
      </w:pPr>
      <w:r>
        <w:t>Pleno</w:t>
      </w:r>
    </w:p>
    <w:p w14:paraId="14F788E4" w14:textId="77777777" w:rsidR="00C04533" w:rsidRDefault="00C04533" w:rsidP="00C04533">
      <w:pPr>
        <w:pStyle w:val="TextoNormalCentrado"/>
      </w:pPr>
      <w:r>
        <w:t>ECLI:ES:TC:2024:116A</w:t>
      </w:r>
    </w:p>
    <w:p w14:paraId="0E0C63FF" w14:textId="0C64E024" w:rsidR="00C04533" w:rsidRDefault="00C04533" w:rsidP="00C04533">
      <w:pPr>
        <w:pStyle w:val="TextoNormalCentrado"/>
      </w:pPr>
    </w:p>
    <w:p w14:paraId="676AFBA8"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1D9922F1" w14:textId="66AF1FFC" w:rsidR="00C04533" w:rsidRDefault="00C04533" w:rsidP="00C04533">
      <w:pPr>
        <w:pStyle w:val="SntesisDescriptiva"/>
      </w:pPr>
    </w:p>
    <w:p w14:paraId="17BD0E0A" w14:textId="77777777" w:rsidR="00C04533" w:rsidRDefault="00C04533" w:rsidP="00C04533">
      <w:pPr>
        <w:pStyle w:val="SntesisDescriptiva"/>
      </w:pPr>
      <w:r>
        <w:t>Inadmite una recusación en el recurso de inconstitucionalidad 6436-2024, interpuesto por más de cincuenta diputados y más de cincuenta senadores de los grupos parlamentarios Popular en el Congreso de los Diputados y en el Senado, respectivamente, en relación con la Ley Orgánica 1/2024, de 10 de junio, de amnistía para la normalización institucional, política y social en Cataluña.</w:t>
      </w:r>
    </w:p>
    <w:p w14:paraId="016F8ED7" w14:textId="14839A24" w:rsidR="00C04533" w:rsidRDefault="00C04533" w:rsidP="00C04533">
      <w:pPr>
        <w:pStyle w:val="SntesisDescriptiva"/>
      </w:pPr>
    </w:p>
    <w:p w14:paraId="37C8E848" w14:textId="77777777" w:rsidR="00C04533" w:rsidRDefault="00C04533" w:rsidP="00C04533">
      <w:pPr>
        <w:pStyle w:val="SntesisDescriptiva"/>
      </w:pPr>
    </w:p>
    <w:p w14:paraId="2DDEBD5A" w14:textId="77777777" w:rsidR="00C04533" w:rsidRDefault="00C04533" w:rsidP="00C04533">
      <w:pPr>
        <w:pStyle w:val="SntesisDescriptiva"/>
      </w:pPr>
    </w:p>
    <w:p w14:paraId="09CD3D69" w14:textId="77777777" w:rsidR="00C04533" w:rsidRDefault="00C04533" w:rsidP="00C04533">
      <w:pPr>
        <w:pStyle w:val="TextoNormalNegritaCentrado"/>
      </w:pPr>
      <w:r>
        <w:t>AUTO</w:t>
      </w:r>
    </w:p>
    <w:p w14:paraId="02E0D3E1" w14:textId="062D100C" w:rsidR="00C04533" w:rsidRDefault="00C04533" w:rsidP="00C04533">
      <w:pPr>
        <w:pStyle w:val="TextoNormalNegritaCentrado"/>
      </w:pPr>
    </w:p>
    <w:p w14:paraId="27FA0C3D" w14:textId="77777777" w:rsidR="00C04533" w:rsidRDefault="00C04533" w:rsidP="00C04533">
      <w:pPr>
        <w:pStyle w:val="TextoNormalNegritaCentrado"/>
        <w:keepNext/>
      </w:pPr>
      <w:r>
        <w:t>I. Antecedentes</w:t>
      </w:r>
    </w:p>
    <w:p w14:paraId="775DA1D7" w14:textId="5E16B3BC" w:rsidR="00C04533" w:rsidRDefault="00C04533" w:rsidP="00C04533">
      <w:pPr>
        <w:pStyle w:val="TextoNormalNegritaCentrado"/>
        <w:keepNext/>
      </w:pPr>
    </w:p>
    <w:p w14:paraId="0D1804D9" w14:textId="7344F346" w:rsidR="00C04533" w:rsidRDefault="00C04533" w:rsidP="00C04533">
      <w:pPr>
        <w:pStyle w:val="TextoNormal"/>
      </w:pPr>
      <w:r w:rsidRPr="00C04533">
        <w:rPr>
          <w:rStyle w:val="NumeroAFNegritaCaracter"/>
        </w:rPr>
        <w:t>1</w:t>
      </w:r>
      <w:r>
        <w:t>. Mediante escrito registrado en este tribunal el 4 de septiembre de 2024, don Manuel Sánchez-Puelles y González-Carvajal, procurador de los tribunales, en nombre y representación de más de cincuenta diputados y de más de cincuenta senadores del Grupo Parlamentario Popular en el Congreso de los Diputados y en el Senado, en el recurso de inconstitucionalidad núm. 6436-2024, promovió la recusación de los magistrados don Cándido Conde-Pumpido Tourón, presidente del Tribunal Constitucional, don Juan Carlos Campo Moreno y doña Laura Díez Bueso.</w:t>
      </w:r>
    </w:p>
    <w:p w14:paraId="20BD5AF4" w14:textId="77777777" w:rsidR="00C04533" w:rsidRDefault="00C04533" w:rsidP="00C04533">
      <w:pPr>
        <w:pStyle w:val="TextoNormal"/>
      </w:pPr>
    </w:p>
    <w:p w14:paraId="65E7649D" w14:textId="77777777" w:rsidR="00C04533" w:rsidRDefault="00C04533" w:rsidP="00C04533">
      <w:pPr>
        <w:pStyle w:val="TextoNormal"/>
      </w:pPr>
      <w:r w:rsidRPr="00C04533">
        <w:rPr>
          <w:rStyle w:val="NumeroAFNegritaCaracter"/>
        </w:rPr>
        <w:t>2</w:t>
      </w:r>
      <w:r>
        <w:t>. Por escrito fechado el día 16 de septiembre de 2024, el magistrado don Juan Carlos Campo Moreno comunicó al presidente de este tribunal su voluntad de abstenerse de intervenir en el conocimiento del presente recurso de inconstitucionalidad núm. 6436-2024, abstención que hizo extensiva a otros procesos constitucionales ya presentados por entonces en los que se impugnaba la citada Ley Orgánica 1/2024, de 10 de junio.</w:t>
      </w:r>
    </w:p>
    <w:p w14:paraId="54CFDCE3" w14:textId="77777777" w:rsidR="00C04533" w:rsidRDefault="00C04533" w:rsidP="00C04533">
      <w:pPr>
        <w:pStyle w:val="TextoNormal"/>
      </w:pPr>
    </w:p>
    <w:p w14:paraId="755A29F8" w14:textId="257B5BDE" w:rsidR="00C04533" w:rsidRDefault="00C04533" w:rsidP="00C04533">
      <w:pPr>
        <w:pStyle w:val="TextoNormal"/>
      </w:pPr>
      <w:r>
        <w:t>El ATC 91/2024, de 24 de septiembre, estimó justificada la abstención formulada por el magistrado don Juan Carlos Campo Moreno y declaró la pérdida sobrevenida de objeto de las recusaciones del mismo magistrado presentadas en procesos constitucionales, entre los que se encuentra el recurso de inconstitucionalidad núm. 6436-2024, apartándolo definitivamente del conocimiento de todos ellos.</w:t>
      </w:r>
    </w:p>
    <w:p w14:paraId="35BA6479" w14:textId="77777777" w:rsidR="00C04533" w:rsidRDefault="00C04533" w:rsidP="00C04533">
      <w:pPr>
        <w:pStyle w:val="TextoNormal"/>
      </w:pPr>
    </w:p>
    <w:p w14:paraId="6731A527" w14:textId="77777777" w:rsidR="00C04533" w:rsidRDefault="00C04533" w:rsidP="00C04533">
      <w:pPr>
        <w:pStyle w:val="TextoNormal"/>
      </w:pPr>
      <w:r w:rsidRPr="00C04533">
        <w:rPr>
          <w:rStyle w:val="NumeroAFNegritaCaracter"/>
        </w:rPr>
        <w:t>3</w:t>
      </w:r>
      <w:r>
        <w:t>. Previamente a la resolución sobre la admisibilidad del presente recurso de inconstitucionalidad, el abogado del Estado presentó en fecha 20 de septiembre de 2024 escrito por el que formula recusación del magistrado don José María Macías Castaño, que, en esencia, se funda en las siguientes alegaciones:</w:t>
      </w:r>
    </w:p>
    <w:p w14:paraId="0336E58D" w14:textId="77777777" w:rsidR="00C04533" w:rsidRDefault="00C04533" w:rsidP="00C04533">
      <w:pPr>
        <w:pStyle w:val="TextoNormal"/>
      </w:pPr>
    </w:p>
    <w:p w14:paraId="6E04B2E9" w14:textId="77777777" w:rsidR="00C04533" w:rsidRDefault="00C04533" w:rsidP="00C04533">
      <w:pPr>
        <w:pStyle w:val="TextoNormal"/>
      </w:pPr>
      <w:r>
        <w:t>(i) Al tener conocimiento el recusante del orden del día del Pleno de este tribunal señalado para el 24 de septiembre de 2024 con “inclusión en el mismo como asuntos para primera deliberación, de recurso de inconstitucionalidad núm. 6436-2024” (referencia al punto del orden del día relativo a la abstención formulada por el magistrado don Juan Carlos Campo Moreno y a las recusaciones del mismo magistrado presentadas en procesos constitucionales, entre ellos el recurso de inconstitucional núm. 6436-2024), y que don José María Macías Castaño tomó posesión del cargo de magistrado del Tribunal Constitucional con fecha 6 de septiembre de 2024, propone el escrito de recusación en el plazo establecido en el artículo 223.1 de la Ley Orgánica del Poder Judicial (LOPJ), computado bien desde su toma de posesión, bien desde la publicación del orden del día del Pleno en que se prevé su participación señalada para el 24 de septiembre de 2024.</w:t>
      </w:r>
    </w:p>
    <w:p w14:paraId="3FB0177A" w14:textId="77777777" w:rsidR="00C04533" w:rsidRDefault="00C04533" w:rsidP="00C04533">
      <w:pPr>
        <w:pStyle w:val="TextoNormal"/>
      </w:pPr>
    </w:p>
    <w:p w14:paraId="4AFA3B06" w14:textId="77777777" w:rsidR="00C04533" w:rsidRDefault="00C04533" w:rsidP="00C04533">
      <w:pPr>
        <w:pStyle w:val="TextoNormal"/>
      </w:pPr>
      <w:r>
        <w:t>(ii) El magistrado recusado fue vocal del Consejo General del Poder Judicial en virtud del Real Decreto 20/2015, de 23 de enero, cargo que desempeñó hasta la constitución del nuevo Consejo tras el nombramiento de sus miembros por los reales decretos 755 y 756/2024, ambos de 24 de julio.</w:t>
      </w:r>
    </w:p>
    <w:p w14:paraId="19885085" w14:textId="77777777" w:rsidR="00C04533" w:rsidRDefault="00C04533" w:rsidP="00C04533">
      <w:pPr>
        <w:pStyle w:val="TextoNormal"/>
      </w:pPr>
    </w:p>
    <w:p w14:paraId="06C4E15C" w14:textId="77777777" w:rsidR="00C04533" w:rsidRDefault="00C04533" w:rsidP="00C04533">
      <w:pPr>
        <w:pStyle w:val="TextoNormal"/>
      </w:pPr>
      <w:r>
        <w:t>(iii)Tras la cita de la doctrina constitucional y del Tribunal Europeo de Derechos Humanos que considera aplicable al caso, afirma el abogado del Estado que es objeto de su escrito poner de manifiesto al Tribunal circunstancias objetivas, constatables y de entidad que afectan a la imparcialidad objetiva del juzgador y que hacen imprescindible despejar la sombra de parcialidad que proyecta, declarando la existencia de un prejuicio manifestado sobre el objeto litigioso.</w:t>
      </w:r>
    </w:p>
    <w:p w14:paraId="699AB8BC" w14:textId="77777777" w:rsidR="00C04533" w:rsidRDefault="00C04533" w:rsidP="00C04533">
      <w:pPr>
        <w:pStyle w:val="TextoNormal"/>
      </w:pPr>
    </w:p>
    <w:p w14:paraId="14EAD0FB" w14:textId="77777777" w:rsidR="00C04533" w:rsidRDefault="00C04533" w:rsidP="00C04533">
      <w:pPr>
        <w:pStyle w:val="TextoNormal"/>
      </w:pPr>
      <w:r>
        <w:t xml:space="preserve">(iv) El magistrado recusado incurre en causa de abstención “y, en su caso, de recusación”, del apartado decimosexto del art. 219 LOPJ, que dice así: “Haber ocupado el juez o magistrado cargo público o administrativo con ocasión del cual haya podido tener conocimiento del objeto del litigio y formar criterio en detrimento de la debida imparcialidad”. Afirma el abogado del Estado que “[e]l Excmo. señor Macías, formando parte del Consejo General del Poder Judicial, en su calidad de vocal participó en la emisión del referido [no mencionado </w:t>
      </w:r>
      <w:r w:rsidRPr="00C04533">
        <w:rPr>
          <w:i/>
        </w:rPr>
        <w:t>supra</w:t>
      </w:r>
      <w:r>
        <w:t xml:space="preserve"> en el escrito de recusación] informe, de fecha de 21 de marzo de 2024, cuyo resultado mayoritario fue contrario a la constitucionalidad de la entonces proposición de ley que dio lugar a la Ley Orgánica de amnistía para la normalización institucional, política y social en Cataluña, concluyendo la mayoría la inconstitucionalidad de dicha proposición de ley de acuerdo con los argumentos expuestos en el mismo. Tal y como refleja la propia página web del Poder Judicial, [h]an votado a favor del texto, además del ponente, los vocales [...] don José María Macías [...]. Por tanto, el Excmo. señor Macías, con motivo de su cargo en el Consejo General del Poder Judicial, tuvo ocasión para conocer el objeto del litigio (la Ley de amnistía) y formar criterio en detrimento de la debida imparcialidad”. Añade que “el texto informado coincide con la ley finalmente aprobada” y que el contenido del citado informe “guarda gran relación con el objeto del recurso de inconstitucionalidad que se plantea en este proceso”.</w:t>
      </w:r>
    </w:p>
    <w:p w14:paraId="6DB3141F" w14:textId="77777777" w:rsidR="00C04533" w:rsidRDefault="00C04533" w:rsidP="00C04533">
      <w:pPr>
        <w:pStyle w:val="TextoNormal"/>
      </w:pPr>
    </w:p>
    <w:p w14:paraId="66ECED02" w14:textId="77777777" w:rsidR="00C04533" w:rsidRDefault="00C04533" w:rsidP="00C04533">
      <w:pPr>
        <w:pStyle w:val="TextoNormal"/>
      </w:pPr>
      <w:r>
        <w:t>En suma, el informe del Consejo General del Poder Judicial formula un “criterio específico sobre la práctica totalidad del articulado de la ley”. A tal efecto, el recusante se extiende en la transcripción de pasajes del informe que, a su juicio, “evidencian tal análisis”.</w:t>
      </w:r>
    </w:p>
    <w:p w14:paraId="72249CFB" w14:textId="77777777" w:rsidR="00C04533" w:rsidRDefault="00C04533" w:rsidP="00C04533">
      <w:pPr>
        <w:pStyle w:val="TextoNormal"/>
      </w:pPr>
    </w:p>
    <w:p w14:paraId="3DD2E159" w14:textId="77777777" w:rsidR="00C04533" w:rsidRDefault="00C04533" w:rsidP="00C04533">
      <w:pPr>
        <w:pStyle w:val="TextoNormal"/>
      </w:pPr>
      <w:r>
        <w:t>(v) Concluye el abogado del Estado que la selección transcrita del texto del informe del Consejo General del Poder Judicial “permite acreditar que el Excmo. señor magistrado como afirma la causa invocada de recusación ha ocupado cargo público con ocasión del cual ha tenido un extenso conocimiento del objeto del litigio y ha formado criterio con el resto de los consejeros, ‘en detrimento de la debida imparcialidad’”.</w:t>
      </w:r>
    </w:p>
    <w:p w14:paraId="6DE12FBA" w14:textId="77777777" w:rsidR="00C04533" w:rsidRDefault="00C04533" w:rsidP="00C04533">
      <w:pPr>
        <w:pStyle w:val="TextoNormal"/>
      </w:pPr>
    </w:p>
    <w:p w14:paraId="77312763" w14:textId="1BFE1CF6" w:rsidR="00C04533" w:rsidRDefault="00C04533" w:rsidP="00C04533">
      <w:pPr>
        <w:pStyle w:val="TextoNormal"/>
      </w:pPr>
      <w:r>
        <w:t>Por tal motivo, suplica que se tenga por formulada la recusación del magistrado don José María Macías Castaño “para, previos los trámites legales oportunos, estimar la recusación formulada por esta parte y apartar al mismo de la resolución del recurso de inconstitucionalidad núm. 6436-2024”.</w:t>
      </w:r>
    </w:p>
    <w:p w14:paraId="5336DFB0" w14:textId="77777777" w:rsidR="00C04533" w:rsidRDefault="00C04533" w:rsidP="00C04533">
      <w:pPr>
        <w:pStyle w:val="TextoNormal"/>
      </w:pPr>
    </w:p>
    <w:p w14:paraId="06A9582C" w14:textId="387E488A" w:rsidR="00C04533" w:rsidRDefault="00C04533" w:rsidP="00C04533">
      <w:pPr>
        <w:pStyle w:val="TextoNormal"/>
      </w:pPr>
      <w:r w:rsidRPr="00C04533">
        <w:rPr>
          <w:rStyle w:val="NumeroAFNegritaCaracter"/>
        </w:rPr>
        <w:t>4</w:t>
      </w:r>
      <w:r>
        <w:t>. El Pleno de este tribunal en la sesión celebrada el 8 de octubre de 2024, acordó mediante ATC 93/2024 la inadmisión de la recusación planteada por los recurrentes del presidente del Tribunal, magistrado don Cándido Conde-Pumpido Tourón. Y en fecha 22 de octubre de 2024, el Pleno inadmitió mediante ATC 105/2024 la recusación formulada por los recurrentes de la magistrada doña Laura Díez Bueso.</w:t>
      </w:r>
    </w:p>
    <w:p w14:paraId="3C01146D" w14:textId="77777777" w:rsidR="00C04533" w:rsidRDefault="00C04533" w:rsidP="00C04533">
      <w:pPr>
        <w:pStyle w:val="TextoNormal"/>
      </w:pPr>
    </w:p>
    <w:p w14:paraId="1E376265" w14:textId="4DC690AF" w:rsidR="00C04533" w:rsidRDefault="00C04533" w:rsidP="00C04533">
      <w:pPr>
        <w:pStyle w:val="TextoNormal"/>
      </w:pPr>
      <w:r w:rsidRPr="00C04533">
        <w:rPr>
          <w:rStyle w:val="NumeroAFNegritaCaracter"/>
        </w:rPr>
        <w:t>5</w:t>
      </w:r>
      <w:r>
        <w:t>. La Secretaría de Justicia del Pleno del Tribunal, mediante diligencia de ordenación de 21 de octubre de 2024, acuerda designar por turno de reparto como ponente en este incidente de recusación a la magistrada doña Concepción Espejel Jorquera.</w:t>
      </w:r>
    </w:p>
    <w:p w14:paraId="61E6E22E" w14:textId="77777777" w:rsidR="00C04533" w:rsidRDefault="00C04533" w:rsidP="00C04533">
      <w:pPr>
        <w:pStyle w:val="TextoNormal"/>
      </w:pPr>
    </w:p>
    <w:p w14:paraId="56044CF2" w14:textId="32DE8F5A" w:rsidR="00C04533" w:rsidRDefault="00C04533" w:rsidP="00C04533">
      <w:pPr>
        <w:pStyle w:val="TextoNormal"/>
      </w:pPr>
      <w:r w:rsidRPr="00C04533">
        <w:rPr>
          <w:rStyle w:val="NumeroAFNegritaCaracter"/>
        </w:rPr>
        <w:t>6</w:t>
      </w:r>
      <w:r>
        <w:t>. Finalmente, señalar que, como se desprende de estos antecedentes, la composición del Pleno del Tribunal está conformada por diez de sus miembros, al quedar excluidos tanto el magistrado de cuya resolución se trata, como el magistrado don Juan Carlos Campo Moreno, cuya abstención fue aceptada por el mencionado ATC 91/2024.</w:t>
      </w:r>
    </w:p>
    <w:p w14:paraId="4B387BED" w14:textId="77777777" w:rsidR="00C04533" w:rsidRDefault="00C04533" w:rsidP="00C04533">
      <w:pPr>
        <w:pStyle w:val="TextoNormal"/>
      </w:pPr>
    </w:p>
    <w:p w14:paraId="02410E2C" w14:textId="77777777" w:rsidR="00C04533" w:rsidRDefault="00C04533" w:rsidP="00C04533">
      <w:pPr>
        <w:pStyle w:val="TextoNormalNegritaCentrado"/>
        <w:keepNext/>
      </w:pPr>
      <w:r>
        <w:t>II. Fundamentos jurídicos</w:t>
      </w:r>
    </w:p>
    <w:p w14:paraId="337B450C" w14:textId="1B14A66B" w:rsidR="00C04533" w:rsidRDefault="00C04533" w:rsidP="00C04533">
      <w:pPr>
        <w:pStyle w:val="TextoNormalNegritaCentrado"/>
        <w:keepNext/>
      </w:pPr>
    </w:p>
    <w:p w14:paraId="47B4F079" w14:textId="0278D111" w:rsidR="00C04533" w:rsidRDefault="00C04533" w:rsidP="00C04533">
      <w:pPr>
        <w:pStyle w:val="TextoNormal"/>
      </w:pPr>
      <w:r w:rsidRPr="00C04533">
        <w:rPr>
          <w:rStyle w:val="NumeroAFNegritaCaracter"/>
        </w:rPr>
        <w:t>1</w:t>
      </w:r>
      <w:r>
        <w:t>. Con carácter previo al análisis de la recusación del magistrado por José María Macías Castaño, formulada por la Abogacía del Estado en el presente recurso de inconstitucionalidad, es necesario constatar si concurren los requisitos procesales que constituyen presupuesto ineludible de la resolución del fondo de la recusación.</w:t>
      </w:r>
    </w:p>
    <w:p w14:paraId="46C2625E" w14:textId="77777777" w:rsidR="00C04533" w:rsidRDefault="00C04533" w:rsidP="00C04533">
      <w:pPr>
        <w:pStyle w:val="TextoNormal"/>
      </w:pPr>
    </w:p>
    <w:p w14:paraId="1D59B04F" w14:textId="77777777" w:rsidR="00C04533" w:rsidRDefault="00C04533" w:rsidP="00C04533">
      <w:pPr>
        <w:pStyle w:val="TextoNormal"/>
      </w:pPr>
      <w:r w:rsidRPr="00C04533">
        <w:rPr>
          <w:rStyle w:val="NumeroAFNegritaCaracter"/>
        </w:rPr>
        <w:t>2</w:t>
      </w:r>
      <w:r>
        <w:t xml:space="preserve">. El Gobierno de la Nación tiene reconocida </w:t>
      </w:r>
      <w:r w:rsidRPr="00C04533">
        <w:rPr>
          <w:i/>
        </w:rPr>
        <w:t>ex lege</w:t>
      </w:r>
      <w:r>
        <w:t xml:space="preserve"> legitimación para intervenir en su condición de parte en determinados procesos constitucionales [art. 34.1 de la Ley Orgánica del Tribunal Constitucional (LOTC)] y su representación y defensa ante los órganos constitucionales corresponde a los abogados del Estado (arts. 82.2 LOTC y 1.1 de la Ley 52/1997, de 27 de noviembre, de asistencia jurídica al Estado e instituciones públicas).</w:t>
      </w:r>
    </w:p>
    <w:p w14:paraId="2ACEF6C5" w14:textId="77777777" w:rsidR="00C04533" w:rsidRDefault="00C04533" w:rsidP="00C04533">
      <w:pPr>
        <w:pStyle w:val="TextoNormal"/>
      </w:pPr>
    </w:p>
    <w:p w14:paraId="20749758" w14:textId="5096D414" w:rsidR="00C04533" w:rsidRDefault="00C04533" w:rsidP="00C04533">
      <w:pPr>
        <w:pStyle w:val="TextoNormal"/>
      </w:pPr>
      <w:r>
        <w:t>A diferencia del estatus procesal de la parte recurrente, en los concretos procesos constitucionales en los que el abogado del Estado no asume la representación y defensa de la parte actora, pero el Gobierno de la Nación tiene atribuida legitimación en sentido abstracto en la ley, el ejercicio de derechos y asunción de cargas procesales se producirá a partir del momento en que se constituya en parte procesal, una vez aprobada por el Pleno la resolución de admisión a trámite de la demanda, en caso de juicio favorable al cumplimiento de los requisitos de interposición, (art. 34.1 LOTC, en relación con el art. 86.1 LOTC) y cumplidos los trámites subsiguientes: emplazamiento por conducto del Ministerio de Justicia con traslado de la demanda y demás documentos presentados, personación en tiempo y forma ante este tribunal y, finalmente, resolución por la que, tras verificar lo anterior, se tenga por personado y parte al comparecido a efectos de poder formular alegaciones (art. 34.2 LOTC).</w:t>
      </w:r>
    </w:p>
    <w:p w14:paraId="1691AB24" w14:textId="77777777" w:rsidR="00C04533" w:rsidRDefault="00C04533" w:rsidP="00C04533">
      <w:pPr>
        <w:pStyle w:val="TextoNormal"/>
      </w:pPr>
    </w:p>
    <w:p w14:paraId="780E5DD3" w14:textId="58AF6A31" w:rsidR="00C04533" w:rsidRDefault="00C04533" w:rsidP="00C04533">
      <w:pPr>
        <w:pStyle w:val="TextoNormal"/>
      </w:pPr>
      <w:r w:rsidRPr="00C04533">
        <w:rPr>
          <w:rStyle w:val="NumeroAFNegritaCaracter"/>
        </w:rPr>
        <w:t>3</w:t>
      </w:r>
      <w:r>
        <w:t>. Como ha quedado reseñado en los antecedentes de la presente resolución, el abogado del Estado presentó escrito de recusación del magistrado don José María Macías Castaño el día 20 de septiembre de 2024, antes de que el Pleno se haya pronunciado acerca de la admisibilidad a trámite del presente recurso de inconstitucionalidad, lo que determina la inadmisión de la recusación planteada por su carácter prematuro, al formularse antes de iniciarse el plazo que, para el caso de admisión a trámite de este recurso de inconstitucionalidad, se confiera a efecto de formular alegaciones a los representantes de aquellas partes legalmente legitimadas para intervenir en este proceso.</w:t>
      </w:r>
    </w:p>
    <w:p w14:paraId="2B5599E3" w14:textId="77777777" w:rsidR="00C04533" w:rsidRDefault="00C04533" w:rsidP="00C04533">
      <w:pPr>
        <w:pStyle w:val="TextoNormal"/>
      </w:pPr>
    </w:p>
    <w:p w14:paraId="0EF4D08D" w14:textId="77777777" w:rsidR="00C04533" w:rsidRDefault="00C04533" w:rsidP="00C04533">
      <w:pPr>
        <w:pStyle w:val="TextoNormal"/>
      </w:pPr>
      <w:r>
        <w:t>Por lo expuesto, el Pleno</w:t>
      </w:r>
    </w:p>
    <w:p w14:paraId="4DB65A98" w14:textId="67BE69FC" w:rsidR="00C04533" w:rsidRDefault="00C04533" w:rsidP="00C04533">
      <w:pPr>
        <w:pStyle w:val="TextoNormal"/>
      </w:pPr>
    </w:p>
    <w:p w14:paraId="3F6B512E" w14:textId="77777777" w:rsidR="00C04533" w:rsidRDefault="00C04533" w:rsidP="00C04533">
      <w:pPr>
        <w:pStyle w:val="TextoNormalCentrado"/>
      </w:pPr>
      <w:r>
        <w:t>ACUERDA</w:t>
      </w:r>
    </w:p>
    <w:p w14:paraId="7AFBD742" w14:textId="2A7E03FA" w:rsidR="00C04533" w:rsidRDefault="00C04533" w:rsidP="00C04533">
      <w:pPr>
        <w:pStyle w:val="TextoNormalCentrado"/>
      </w:pPr>
    </w:p>
    <w:p w14:paraId="7ADC8BF8" w14:textId="79F2A09A" w:rsidR="00C04533" w:rsidRDefault="00C04533" w:rsidP="00C04533">
      <w:pPr>
        <w:pStyle w:val="TextoNormal"/>
      </w:pPr>
      <w:r>
        <w:t>No admitir a trámite la recusación del magistrado don José María Macías Castaño, promovida por el abogado del Estado en el recurso de inconstitucionalidad núm. 6436-2024.</w:t>
      </w:r>
    </w:p>
    <w:p w14:paraId="10277A2D" w14:textId="77777777" w:rsidR="00C04533" w:rsidRDefault="00C04533" w:rsidP="00C04533">
      <w:pPr>
        <w:pStyle w:val="TextoNormal"/>
      </w:pPr>
    </w:p>
    <w:p w14:paraId="4F7BA93A" w14:textId="77777777" w:rsidR="00C04533" w:rsidRDefault="00C04533" w:rsidP="00C04533">
      <w:pPr>
        <w:pStyle w:val="TextoNormal"/>
      </w:pPr>
      <w:r>
        <w:t>Madrid, a cinco de noviembre de dos mil veinticuatro.</w:t>
      </w:r>
    </w:p>
    <w:p w14:paraId="725DECA7" w14:textId="184CCA84" w:rsidR="00C04533" w:rsidRDefault="00C04533">
      <w:pPr>
        <w:spacing w:after="160" w:line="278" w:lineRule="auto"/>
        <w:rPr>
          <w:rFonts w:ascii="Times New Roman" w:eastAsia="Times New Roman" w:hAnsi="Times New Roman" w:cs="Times New Roman"/>
          <w:sz w:val="24"/>
          <w:szCs w:val="24"/>
          <w:lang w:eastAsia="es-ES"/>
        </w:rPr>
      </w:pPr>
      <w:r>
        <w:br w:type="page"/>
      </w:r>
    </w:p>
    <w:p w14:paraId="1866A088" w14:textId="77777777" w:rsidR="00C04533" w:rsidRDefault="00C04533" w:rsidP="00C04533">
      <w:pPr>
        <w:pStyle w:val="TtuloResolucin"/>
      </w:pPr>
      <w:bookmarkStart w:id="123" w:name="AUTO_2024_117"/>
      <w:r>
        <w:t>AUTO 117/2024, de 5 de noviembre de 2024</w:t>
      </w:r>
    </w:p>
    <w:bookmarkEnd w:id="123"/>
    <w:p w14:paraId="1232A103" w14:textId="77777777" w:rsidR="00C04533" w:rsidRDefault="00C04533" w:rsidP="00C04533">
      <w:pPr>
        <w:pStyle w:val="TtuloResolucin"/>
      </w:pPr>
      <w:r>
        <w:t>Pleno</w:t>
      </w:r>
    </w:p>
    <w:p w14:paraId="6964D9F2" w14:textId="77777777" w:rsidR="00C04533" w:rsidRDefault="00C04533" w:rsidP="00C04533">
      <w:pPr>
        <w:pStyle w:val="TextoNormalCentrado"/>
      </w:pPr>
      <w:r>
        <w:t>ECLI:ES:TC:2024:117A</w:t>
      </w:r>
    </w:p>
    <w:p w14:paraId="2F1341DB" w14:textId="10D22868" w:rsidR="00C04533" w:rsidRDefault="00C04533" w:rsidP="00C04533">
      <w:pPr>
        <w:pStyle w:val="TextoNormalCentrado"/>
      </w:pPr>
    </w:p>
    <w:p w14:paraId="51E310E6"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35F64A63" w14:textId="7562299B" w:rsidR="00C04533" w:rsidRDefault="00C04533" w:rsidP="00C04533">
      <w:pPr>
        <w:pStyle w:val="SntesisDescriptiva"/>
      </w:pPr>
    </w:p>
    <w:p w14:paraId="37DA784C" w14:textId="77777777" w:rsidR="00C04533" w:rsidRDefault="00C04533" w:rsidP="00C04533">
      <w:pPr>
        <w:pStyle w:val="SntesisDescriptiva"/>
      </w:pPr>
      <w:r>
        <w:t>Inadmite una recusación en el recurso de inconstitucionalidad 6549-2024, interpuesto por el Consejo de Gobierno de la Comunidad de Madrid en relación con la Ley Orgánica 1/2024, de 10 de junio, de amnistía para la normalización institucional, política y social en Cataluña. Votos particulares.</w:t>
      </w:r>
    </w:p>
    <w:p w14:paraId="49CAB0B1" w14:textId="36DC2DEC" w:rsidR="00C04533" w:rsidRDefault="00C04533" w:rsidP="00C04533">
      <w:pPr>
        <w:pStyle w:val="SntesisDescriptiva"/>
      </w:pPr>
    </w:p>
    <w:p w14:paraId="38BB92B8" w14:textId="77777777" w:rsidR="00C04533" w:rsidRDefault="00C04533" w:rsidP="00C04533">
      <w:pPr>
        <w:pStyle w:val="SntesisDescriptiva"/>
      </w:pPr>
    </w:p>
    <w:p w14:paraId="6A3EE827" w14:textId="77777777" w:rsidR="00C04533" w:rsidRDefault="00C04533" w:rsidP="00C04533">
      <w:pPr>
        <w:pStyle w:val="SntesisDescriptiva"/>
      </w:pPr>
    </w:p>
    <w:p w14:paraId="0BCF7A25" w14:textId="77777777" w:rsidR="00C04533" w:rsidRDefault="00C04533" w:rsidP="00C04533">
      <w:pPr>
        <w:pStyle w:val="TextoNormalNegritaCentrado"/>
      </w:pPr>
      <w:r>
        <w:t>AUTO</w:t>
      </w:r>
    </w:p>
    <w:p w14:paraId="3303E261" w14:textId="37106A6C" w:rsidR="00C04533" w:rsidRDefault="00C04533" w:rsidP="00C04533">
      <w:pPr>
        <w:pStyle w:val="TextoNormalNegritaCentrado"/>
      </w:pPr>
    </w:p>
    <w:p w14:paraId="30A46A32" w14:textId="77777777" w:rsidR="00C04533" w:rsidRDefault="00C04533" w:rsidP="00C04533">
      <w:pPr>
        <w:pStyle w:val="TextoNormalNegritaCentrado"/>
        <w:keepNext/>
      </w:pPr>
      <w:r>
        <w:t>I. Antecedentes</w:t>
      </w:r>
    </w:p>
    <w:p w14:paraId="1F9B5CD2" w14:textId="264498BE" w:rsidR="00C04533" w:rsidRDefault="00C04533" w:rsidP="00C04533">
      <w:pPr>
        <w:pStyle w:val="TextoNormalNegritaCentrado"/>
        <w:keepNext/>
      </w:pPr>
    </w:p>
    <w:p w14:paraId="42B9CB3E" w14:textId="3E31E47C" w:rsidR="00C04533" w:rsidRDefault="00C04533" w:rsidP="00C04533">
      <w:pPr>
        <w:pStyle w:val="TextoNormal"/>
      </w:pPr>
      <w:r w:rsidRPr="00C04533">
        <w:rPr>
          <w:rStyle w:val="NumeroAFNegritaCaracter"/>
        </w:rPr>
        <w:t>1</w:t>
      </w:r>
      <w:r>
        <w:t>. Por el Consejo de Gobierno de la Comunidad de Madrid se ha interpuesto recurso de inconstitucionalidad en relación con la Ley Orgánica 1/2024, de 10 de junio, de amnistía para la normalización institucional, política y social en Cataluña, mediante escrito registrado en este tribunal el 9 de septiembre de 2024, en el que promueve por otrosí la recusación, entre otros, de la magistrada doña Laura Díez Bueso.</w:t>
      </w:r>
    </w:p>
    <w:p w14:paraId="6651116E" w14:textId="77777777" w:rsidR="00C04533" w:rsidRDefault="00C04533" w:rsidP="00C04533">
      <w:pPr>
        <w:pStyle w:val="TextoNormal"/>
      </w:pPr>
    </w:p>
    <w:p w14:paraId="2E00C002" w14:textId="62656335"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las causas décima, decimotercera, decimocuarta y decimosexta de las previstas en el art. 219 de la Ley Orgánica del Poder Judicial (LOPJ), con fundamento en que la magistrada recusada desempeñó entre 2020 y 2022 el cargo de directora general de Asuntos Constitucionales y Coordinación Jurídica del Ministerio de la Presidencia, Relaciones con las Cortes y Memoria Democrática, por lo que cabe presumir que “tuvo pleno conocimiento y participó activamente en todas las cuestiones y asuntos que en ese periodo se plantearon en torno al proceso independentista catalán entre 2020 y 2022 y, en particular, en los expedientes de concesión de los indultos a los políticos catalanes condenados por el Tribunal Supremo”. Se añade que es dable suponer que “estará condicionada por los criterios, opiniones e incluso decisiones que pudo haber adoptado o manifestado” durante la mencionada etapa y “muy probablemente habrá participado, informado o asesorado” en relación con la ley objeto del presente recurso de inconstitucionalidad.</w:t>
      </w:r>
    </w:p>
    <w:p w14:paraId="0171B8E2" w14:textId="77777777" w:rsidR="00C04533" w:rsidRDefault="00C04533" w:rsidP="00C04533">
      <w:pPr>
        <w:pStyle w:val="TextoNormal"/>
      </w:pPr>
    </w:p>
    <w:p w14:paraId="462AA81E" w14:textId="6D8057A1" w:rsidR="00C04533" w:rsidRDefault="00C04533" w:rsidP="00C04533">
      <w:pPr>
        <w:pStyle w:val="TextoNormal"/>
      </w:pPr>
      <w:r w:rsidRPr="00C04533">
        <w:rPr>
          <w:rStyle w:val="NumeroAFNegritaCaracter"/>
        </w:rPr>
        <w:t>3</w:t>
      </w:r>
      <w:r>
        <w:t>. La Secretaría de Justicia del Pleno del Tribunal, mediante diligencia de ordenación de 23 de octubre de 2024, consignó que la ponencia del incidente de recusación correspondía por turno de reparto a la magistrada doña Concepción Espejel Jorquera.</w:t>
      </w:r>
    </w:p>
    <w:p w14:paraId="1B32C032" w14:textId="77777777" w:rsidR="00C04533" w:rsidRDefault="00C04533" w:rsidP="00C04533">
      <w:pPr>
        <w:pStyle w:val="TextoNormal"/>
      </w:pPr>
    </w:p>
    <w:p w14:paraId="02FDF664" w14:textId="74AB0D50" w:rsidR="00C04533" w:rsidRDefault="00C04533" w:rsidP="00C04533">
      <w:pPr>
        <w:pStyle w:val="TextoNormal"/>
      </w:pPr>
      <w:r w:rsidRPr="00C04533">
        <w:rPr>
          <w:rStyle w:val="NumeroAFNegritaCaracter"/>
        </w:rPr>
        <w:t>4</w:t>
      </w:r>
      <w:r>
        <w:t>. Finalmente, ha de advertirse que en la composición del Pleno del Tribunal solo intervienen nueve de sus miembros, no participando la magistrada cuya recusación se resuelve, el magistrado don Juan Carlos Campo Moreno, cuya abstención fue aceptada por ATC 91/2024, de 24 de septiembre, ni el magistrado don José María Macías Castaño, cuya recusación está pendiente de resolución.</w:t>
      </w:r>
    </w:p>
    <w:p w14:paraId="3F993546" w14:textId="77777777" w:rsidR="00C04533" w:rsidRDefault="00C04533" w:rsidP="00C04533">
      <w:pPr>
        <w:pStyle w:val="TextoNormal"/>
      </w:pPr>
    </w:p>
    <w:p w14:paraId="7DFDED80" w14:textId="77777777" w:rsidR="00C04533" w:rsidRDefault="00C04533" w:rsidP="00C04533">
      <w:pPr>
        <w:pStyle w:val="TextoNormalNegritaCentrado"/>
        <w:keepNext/>
      </w:pPr>
      <w:r>
        <w:t>II. Fundamentos jurídicos</w:t>
      </w:r>
    </w:p>
    <w:p w14:paraId="7FF00059" w14:textId="354A49CC" w:rsidR="00C04533" w:rsidRDefault="00C04533" w:rsidP="00C04533">
      <w:pPr>
        <w:pStyle w:val="TextoNormalNegritaCentrado"/>
        <w:keepNext/>
      </w:pPr>
    </w:p>
    <w:p w14:paraId="57911742" w14:textId="7B677C5B" w:rsidR="00C04533" w:rsidRDefault="00C04533" w:rsidP="00C04533">
      <w:pPr>
        <w:pStyle w:val="TextoNormal"/>
      </w:pPr>
      <w:r w:rsidRPr="00C04533">
        <w:rPr>
          <w:rStyle w:val="NumeroAFNegritaCaracter"/>
        </w:rPr>
        <w:t>1</w:t>
      </w:r>
      <w:r>
        <w:t>. La parte recurrente sustenta la recusación en las causas décima, decimotercera, decimocuarta y decimosexta de las previstas en el artículo 219 LOPJ, con fundamento en que la magistrada recusada, mientras desempeñó el cargo de directora general de Asuntos Constitucionales y Coordinación Jurídica del Ministerio de la Presidencia, Relaciones con las Cortes y Memoria Democrática, habría intervenido en la fijación de criterio sobre la constitucionalidad de los indultos parciales concedidos a condenados por la sentencia 459/2019, de 14 de octubre, dictada por la Sala de lo Penal del Tribunal Supremo (ECLI:ES:TS:2019:2997), cuestión ligada a la amnistía aprobada por la Ley Orgánica 1/2024, de 10 de junio, objeto del presente recurso de inconstitucionalidad.</w:t>
      </w:r>
    </w:p>
    <w:p w14:paraId="3372752A" w14:textId="77777777" w:rsidR="00C04533" w:rsidRDefault="00C04533" w:rsidP="00C04533">
      <w:pPr>
        <w:pStyle w:val="TextoNormal"/>
      </w:pPr>
    </w:p>
    <w:p w14:paraId="76E79417" w14:textId="46F1B734" w:rsidR="00C04533" w:rsidRDefault="00C04533" w:rsidP="00C04533">
      <w:pPr>
        <w:pStyle w:val="TextoNormal"/>
      </w:pPr>
      <w:r w:rsidRPr="00C04533">
        <w:rPr>
          <w:rStyle w:val="NumeroAFNegritaCaracter"/>
        </w:rPr>
        <w:t>2</w:t>
      </w:r>
      <w:r>
        <w:t>. El motivo de recusación expuesto ha sido rechazado por el reciente ATC 105/2024, de 22 de octubre, en el que señalamos que “[n]o se apela a una intervención acreditada y definida de la recusada, sino a la suposición de que ‘debió intervenir’ en la fijación del criterio del Ministerio de la Presidencia, sin que se aluda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Bueso cesó el 26 de abril de 2022, iniciándose la tramitación parlamentaria de la Ley Orgánica 1/2024 recurrida como proposición de ley presentada por el Grupo Parlamentario Socialista, el 24 de noviembre de 2023. Se trata de un discurso que se asienta en circunstancias hipotéticas, sobre actuaciones desconectadas del objeto del recurso de inconstitucionalidad, que no puede acreditar ninguno de los motivos de pérdida de la imparcialidad” de la magistrada [FJ 3 (i)].</w:t>
      </w:r>
    </w:p>
    <w:p w14:paraId="308E3582" w14:textId="77777777" w:rsidR="00C04533" w:rsidRDefault="00C04533" w:rsidP="00C04533">
      <w:pPr>
        <w:pStyle w:val="TextoNormal"/>
      </w:pPr>
    </w:p>
    <w:p w14:paraId="1CC04C97" w14:textId="77777777" w:rsidR="00C04533" w:rsidRDefault="00C04533" w:rsidP="00C04533">
      <w:pPr>
        <w:pStyle w:val="TextoNormal"/>
      </w:pPr>
      <w:r>
        <w:t>Por lo expuesto, el Pleno</w:t>
      </w:r>
    </w:p>
    <w:p w14:paraId="665DC813" w14:textId="36D1769E" w:rsidR="00C04533" w:rsidRDefault="00C04533" w:rsidP="00C04533">
      <w:pPr>
        <w:pStyle w:val="TextoNormal"/>
      </w:pPr>
    </w:p>
    <w:p w14:paraId="422AF26D" w14:textId="77777777" w:rsidR="00C04533" w:rsidRDefault="00C04533" w:rsidP="00C04533">
      <w:pPr>
        <w:pStyle w:val="TextoNormalCentrado"/>
      </w:pPr>
      <w:r>
        <w:t>ACUERDA</w:t>
      </w:r>
    </w:p>
    <w:p w14:paraId="7B8DB82C" w14:textId="06DF5E22" w:rsidR="00C04533" w:rsidRDefault="00C04533" w:rsidP="00C04533">
      <w:pPr>
        <w:pStyle w:val="TextoNormalCentrado"/>
      </w:pPr>
    </w:p>
    <w:p w14:paraId="2636C3BB" w14:textId="1DFFA907" w:rsidR="00C04533" w:rsidRDefault="00C04533" w:rsidP="00C04533">
      <w:pPr>
        <w:pStyle w:val="TextoNormal"/>
      </w:pPr>
      <w:r>
        <w:t>No admitir a trámite la recusación de la magistrada doña Laura Díez Bueso, promovida en el recurso de inconstitucionalidad núm. 6549-2024 por el Consejo de Gobierno de la Comunidad de Madrid.</w:t>
      </w:r>
    </w:p>
    <w:p w14:paraId="5DCC5566" w14:textId="77777777" w:rsidR="00C04533" w:rsidRDefault="00C04533" w:rsidP="00C04533">
      <w:pPr>
        <w:pStyle w:val="TextoNormal"/>
      </w:pPr>
    </w:p>
    <w:p w14:paraId="23714456" w14:textId="77777777" w:rsidR="00C04533" w:rsidRDefault="00C04533" w:rsidP="00C04533">
      <w:pPr>
        <w:pStyle w:val="TextoNormal"/>
      </w:pPr>
      <w:r>
        <w:t>Madrid, a cinco de noviembre de dos mil veinticuatro.</w:t>
      </w:r>
    </w:p>
    <w:p w14:paraId="0C194013" w14:textId="3FBBD1ED" w:rsidR="00C04533" w:rsidRDefault="00C04533" w:rsidP="00C04533">
      <w:pPr>
        <w:pStyle w:val="ParrafoNormal"/>
      </w:pPr>
    </w:p>
    <w:p w14:paraId="43CE3ADA" w14:textId="77777777" w:rsidR="00C04533" w:rsidRDefault="00C04533" w:rsidP="00C04533">
      <w:pPr>
        <w:pStyle w:val="TextoNormalNegritaCentrado"/>
        <w:keepNext/>
      </w:pPr>
      <w:r>
        <w:t>Voto particular que formula el magistrado don Enrique Arnaldo Alcubilla al auto dictado en el recurso de inconstitucionalidad núm. 6549-2024, que inadmite la recusación de la magistrada doña Laura Díez Bueso</w:t>
      </w:r>
    </w:p>
    <w:p w14:paraId="619E4B2A" w14:textId="10B67C60" w:rsidR="00C04533" w:rsidRDefault="00C04533" w:rsidP="00C04533">
      <w:pPr>
        <w:pStyle w:val="TextoNormalNegritaCentrado"/>
        <w:keepNext/>
      </w:pPr>
    </w:p>
    <w:p w14:paraId="54D459CE"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400C48E8" w14:textId="77777777" w:rsidR="00C04533" w:rsidRDefault="00C04533" w:rsidP="00C04533">
      <w:pPr>
        <w:pStyle w:val="TextoNormal"/>
      </w:pPr>
    </w:p>
    <w:p w14:paraId="198782CC" w14:textId="77777777" w:rsidR="00C04533" w:rsidRDefault="00C04533" w:rsidP="00C04533">
      <w:pPr>
        <w:pStyle w:val="TextoNormal"/>
      </w:pPr>
      <w:r>
        <w:t>El auto, que ha sido dictado por un Pleno del Tribunal compuesto de nueve magistrados (una vez rechazada por el ATC 93/2024, de 8 de octubre, la recusación del presidente don Cándido Conde-Pumpido Tourón), acuerda, por remisión a lo resuelto en el ATC 105/2024, de 22 de octubre, inadmitir la recusación promovida por el Gobierno de la Comunidad de Madrid respecto de la magistrada doña Laura Díez Bueso, en el recurso de inconstitucionalidad interpuesto contra la Ley Orgánica 1/2024, de amnistía para la normalización institucional, política y social en Cataluña.</w:t>
      </w:r>
    </w:p>
    <w:p w14:paraId="7DF946D0" w14:textId="77777777" w:rsidR="00C04533" w:rsidRDefault="00C04533" w:rsidP="00C04533">
      <w:pPr>
        <w:pStyle w:val="TextoNormal"/>
      </w:pPr>
    </w:p>
    <w:p w14:paraId="37E900F0" w14:textId="77777777" w:rsidR="00C04533" w:rsidRDefault="00C04533" w:rsidP="00C04533">
      <w:pPr>
        <w:pStyle w:val="TextoNormal"/>
      </w:pPr>
      <w:r>
        <w:t>No disiento en este punto del auto aprobado por la mayoría del Pleno, pues comparto la decisión de inadmitir la recusación de la magistrada doña Laura Díez Bueso por las razones que allí se indican.</w:t>
      </w:r>
    </w:p>
    <w:p w14:paraId="25988D07" w14:textId="77777777" w:rsidR="00C04533" w:rsidRDefault="00C04533" w:rsidP="00C04533">
      <w:pPr>
        <w:pStyle w:val="TextoNormal"/>
      </w:pPr>
    </w:p>
    <w:p w14:paraId="6F2981F2" w14:textId="77777777" w:rsidR="00C04533" w:rsidRDefault="00C04533" w:rsidP="00C04533">
      <w:pPr>
        <w:pStyle w:val="TextoNormal"/>
      </w:pPr>
      <w:r>
        <w:t>Mi discrepancia con este auto, al igual que sucedía con el ATC 93/2024, que inadmitió la recusación del presidente del Tribunal don Cándido Conde-PumpidoTourón, y con el ATC 105/2024, que inadmitió la recusación de la propia magistrada doña Laura Díez Bueso (en el recurso de inconstitucionalidad núm. 6436-2024), se refiere a la composición del Pleno para la resolución de este incidente de recusación, pues no se explican suficientemente las razones por las que está integrado solo por nueve magistrados (más allá de la escueta indicación del antecedente cuarto), ni tampoco, y esto es lo fundamental, por qué se han resuelto de manera separada las recusaciones del presidente del Tribunal y de la magistrada doña Laura Díez Bueso, a los que el ejecutivo recurrente han recusado conjuntamente (así como al magistrado don Juan Carlos Campo Moreno, si bien la abstención de este ya fue aceptada por el Tribunal en el ATC 91/2024, de 24 de septiembre).</w:t>
      </w:r>
    </w:p>
    <w:p w14:paraId="723C432F" w14:textId="77777777" w:rsidR="00C04533" w:rsidRDefault="00C04533" w:rsidP="00C04533">
      <w:pPr>
        <w:pStyle w:val="TextoNormal"/>
      </w:pPr>
    </w:p>
    <w:p w14:paraId="059DF4EB" w14:textId="77777777" w:rsidR="00C04533" w:rsidRDefault="00C04533" w:rsidP="00C04533">
      <w:pPr>
        <w:pStyle w:val="TextoNormal"/>
      </w:pPr>
      <w:r>
        <w:t xml:space="preserve">En efecto, el presente auto, como ya sucediera con el citado ATC 93/2024, no explica las razones que llevan al Tribunal a resolver separadamente las recusaciones del presidente don Cándido Conde-PumpidoTourón y de la magistrada doña Laura Díez Bueso, recusados ambos conjuntamente por el recurrente.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14:paraId="29A53613" w14:textId="77777777" w:rsidR="00C04533" w:rsidRDefault="00C04533" w:rsidP="00C04533">
      <w:pPr>
        <w:pStyle w:val="TextoNormal"/>
      </w:pPr>
    </w:p>
    <w:p w14:paraId="514FC002"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14:paraId="59EB45DB" w14:textId="77777777" w:rsidR="00C04533" w:rsidRDefault="00C04533" w:rsidP="00C04533">
      <w:pPr>
        <w:pStyle w:val="TextoNormal"/>
      </w:pPr>
    </w:p>
    <w:p w14:paraId="2B656C21" w14:textId="77777777" w:rsidR="00C04533" w:rsidRDefault="00C04533" w:rsidP="00C04533">
      <w:pPr>
        <w:pStyle w:val="TextoNormal"/>
      </w:pPr>
      <w:r>
        <w:t>Como consecuencia de la extravagante decisión de resolver separadamente ambas recusaciones, resulta que tras rechazar el Tribunal la recusación del presidente don Cándido Conde-Pumpido Tourón (ATC 93/2024), este ha podido intervenir en el Pleno que ha aprobado el rechazo de la recusación de la magistrada doña Laura Díez Bueso, sin que ello resulte justificado.</w:t>
      </w:r>
    </w:p>
    <w:p w14:paraId="18FB6608" w14:textId="77777777" w:rsidR="00C04533" w:rsidRDefault="00C04533" w:rsidP="00C04533">
      <w:pPr>
        <w:pStyle w:val="TextoNormal"/>
      </w:pPr>
    </w:p>
    <w:p w14:paraId="63CFF7EA" w14:textId="77777777" w:rsidR="00C04533" w:rsidRDefault="00C04533" w:rsidP="00C04533">
      <w:pPr>
        <w:pStyle w:val="TextoNormal"/>
      </w:pPr>
      <w:r>
        <w:t>En fin, no debe dejarse de señalar que tampoco se explican las razones que llevan a excluir al magistrado don José María Macías Castaño de la composición del Pleno que ha dictado el auto que nos ocupa, más allá del lacónico enunciado del antecedente cuarto. La recusación de este magistrado ha sido planteada por el abogado del Estado, como ya advertí en votos particulares anteriores, en procesos constitucionales todavía no admitidos a trámite y en los que, por tanto, la Abogacía del Estado no ha adquirido aún la condición de parte. Justamente por ello, esa recusación ha sido rechazada por este tribunal por ATC 116/2024, de 5 de noviembre.</w:t>
      </w:r>
    </w:p>
    <w:p w14:paraId="4AAD13B7" w14:textId="77777777" w:rsidR="00C04533" w:rsidRDefault="00C04533" w:rsidP="00C04533">
      <w:pPr>
        <w:pStyle w:val="TextoNormal"/>
      </w:pPr>
    </w:p>
    <w:p w14:paraId="0C03CBF7"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0C1F5856" w14:textId="77777777" w:rsidR="00C04533" w:rsidRDefault="00C04533" w:rsidP="00C04533">
      <w:pPr>
        <w:pStyle w:val="TextoNormal"/>
      </w:pPr>
    </w:p>
    <w:p w14:paraId="4B23A9D6" w14:textId="298C9F47" w:rsidR="00C04533" w:rsidRDefault="00C04533" w:rsidP="00C04533">
      <w:pPr>
        <w:pStyle w:val="TextoNormal"/>
      </w:pPr>
      <w:r>
        <w:t>Madrid, a seis de noviembre de dos mil veinticuatro.</w:t>
      </w:r>
    </w:p>
    <w:p w14:paraId="009FDD2F" w14:textId="77777777" w:rsidR="00C04533" w:rsidRDefault="00C04533" w:rsidP="00C04533">
      <w:pPr>
        <w:pStyle w:val="TextoNormal"/>
      </w:pPr>
    </w:p>
    <w:p w14:paraId="6244E0A8" w14:textId="77777777" w:rsidR="00C04533" w:rsidRDefault="00C04533" w:rsidP="00C04533">
      <w:pPr>
        <w:pStyle w:val="TextoNormalNegritaCentrado"/>
        <w:keepNext/>
      </w:pPr>
      <w:r>
        <w:t>Voto particular discrepante que formula la magistrada doña Concepción Espejel Jorquera al auto de 5 de noviembre de 2024, dictado en incidente de recusación de la magistrada del Tribunal doña Laura Díez Bueso, planteado en el recurso de inconstitucionalidad núm. 6549-2024</w:t>
      </w:r>
    </w:p>
    <w:p w14:paraId="455AC777" w14:textId="76BD9688" w:rsidR="00C04533" w:rsidRDefault="00C04533" w:rsidP="00C04533">
      <w:pPr>
        <w:pStyle w:val="TextoNormalNegritaCentrado"/>
        <w:keepNext/>
      </w:pPr>
    </w:p>
    <w:p w14:paraId="0A87DE49" w14:textId="77777777" w:rsidR="00C04533" w:rsidRDefault="00C04533" w:rsidP="00C04533">
      <w:pPr>
        <w:pStyle w:val="TextoNormal"/>
      </w:pPr>
      <w:r>
        <w:t>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14:paraId="299A384E" w14:textId="77777777" w:rsidR="00C04533" w:rsidRDefault="00C04533" w:rsidP="00C04533">
      <w:pPr>
        <w:pStyle w:val="TextoNormal"/>
      </w:pPr>
    </w:p>
    <w:p w14:paraId="3CB08308" w14:textId="77777777" w:rsidR="00C04533" w:rsidRDefault="00C04533" w:rsidP="00C04533">
      <w:pPr>
        <w:pStyle w:val="TextoNormal"/>
      </w:pPr>
      <w:r>
        <w:t>Me remito al voto particular formulado en el ATC 93/2024, de 8 de octubre, en el recurso de inconstitucionalidad núm. 6436-2024 (recusación del señor Conde Pumpido),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398A85DC" w14:textId="77777777" w:rsidR="00C04533" w:rsidRDefault="00C04533" w:rsidP="00C04533">
      <w:pPr>
        <w:pStyle w:val="TextoNormal"/>
      </w:pPr>
    </w:p>
    <w:p w14:paraId="1903423E"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14:paraId="7F1B08C3" w14:textId="77777777" w:rsidR="00C04533" w:rsidRDefault="00C04533" w:rsidP="00C04533">
      <w:pPr>
        <w:pStyle w:val="TextoNormal"/>
      </w:pPr>
    </w:p>
    <w:p w14:paraId="6D5CAA47" w14:textId="77777777" w:rsidR="00C04533" w:rsidRDefault="00C04533" w:rsidP="00C04533">
      <w:pPr>
        <w:pStyle w:val="TextoNormal"/>
      </w:pPr>
      <w:r>
        <w:t>Por lo expuesto, formulo el presente voto particular.</w:t>
      </w:r>
    </w:p>
    <w:p w14:paraId="11924125" w14:textId="77777777" w:rsidR="00C04533" w:rsidRDefault="00C04533" w:rsidP="00C04533">
      <w:pPr>
        <w:pStyle w:val="TextoNormal"/>
      </w:pPr>
    </w:p>
    <w:p w14:paraId="521EB86D" w14:textId="32D9F385" w:rsidR="00C04533" w:rsidRDefault="00C04533" w:rsidP="00C04533">
      <w:pPr>
        <w:pStyle w:val="TextoNormal"/>
      </w:pPr>
      <w:r>
        <w:t>Madrid, a cinco de noviembre de dos mil veinticuatro.</w:t>
      </w:r>
    </w:p>
    <w:p w14:paraId="763802F1" w14:textId="5DD5CF0F" w:rsidR="00C04533" w:rsidRDefault="00C04533">
      <w:pPr>
        <w:spacing w:after="160" w:line="278" w:lineRule="auto"/>
        <w:rPr>
          <w:rFonts w:ascii="Times New Roman" w:eastAsia="Times New Roman" w:hAnsi="Times New Roman" w:cs="Times New Roman"/>
          <w:sz w:val="24"/>
          <w:szCs w:val="24"/>
          <w:lang w:eastAsia="es-ES"/>
        </w:rPr>
      </w:pPr>
      <w:r>
        <w:br w:type="page"/>
      </w:r>
    </w:p>
    <w:p w14:paraId="0BAE4CE5" w14:textId="77777777" w:rsidR="00C04533" w:rsidRDefault="00C04533" w:rsidP="00C04533">
      <w:pPr>
        <w:pStyle w:val="TtuloResolucin"/>
      </w:pPr>
      <w:bookmarkStart w:id="124" w:name="AUTO_2024_118"/>
      <w:r>
        <w:t>AUTO 118/2024, de 5 de noviembre de 2024</w:t>
      </w:r>
    </w:p>
    <w:bookmarkEnd w:id="124"/>
    <w:p w14:paraId="58CB830D" w14:textId="77777777" w:rsidR="00C04533" w:rsidRDefault="00C04533" w:rsidP="00C04533">
      <w:pPr>
        <w:pStyle w:val="TtuloResolucin"/>
      </w:pPr>
      <w:r>
        <w:t>Pleno</w:t>
      </w:r>
    </w:p>
    <w:p w14:paraId="3645C66D" w14:textId="77777777" w:rsidR="00C04533" w:rsidRDefault="00C04533" w:rsidP="00C04533">
      <w:pPr>
        <w:pStyle w:val="TextoNormalCentrado"/>
      </w:pPr>
      <w:r>
        <w:t>ECLI:ES:TC:2024:118A</w:t>
      </w:r>
    </w:p>
    <w:p w14:paraId="590E4F2A" w14:textId="14FFD973" w:rsidR="00C04533" w:rsidRDefault="00C04533" w:rsidP="00C04533">
      <w:pPr>
        <w:pStyle w:val="TextoNormalCentrado"/>
      </w:pPr>
    </w:p>
    <w:p w14:paraId="5F800396"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02181478" w14:textId="5B36C713" w:rsidR="00C04533" w:rsidRDefault="00C04533" w:rsidP="00C04533">
      <w:pPr>
        <w:pStyle w:val="SntesisDescriptiva"/>
      </w:pPr>
    </w:p>
    <w:p w14:paraId="611D0764" w14:textId="77777777" w:rsidR="00C04533" w:rsidRDefault="00C04533" w:rsidP="00C04533">
      <w:pPr>
        <w:pStyle w:val="SntesisDescriptiva"/>
      </w:pPr>
      <w:r>
        <w:t>Inadmite una recusación en el recurso de inconstitucionalidad 6556-2024, interpuesto por la Xunta de Galicia en relación con la Ley Orgánica 1/2024, de 10 de junio, de amnistía para la normalización institucional, política y social en Cataluña. Votos particulares.</w:t>
      </w:r>
    </w:p>
    <w:p w14:paraId="02AB87C0" w14:textId="16128FA2" w:rsidR="00C04533" w:rsidRDefault="00C04533" w:rsidP="00C04533">
      <w:pPr>
        <w:pStyle w:val="SntesisDescriptiva"/>
      </w:pPr>
    </w:p>
    <w:p w14:paraId="005D6891" w14:textId="77777777" w:rsidR="00C04533" w:rsidRDefault="00C04533" w:rsidP="00C04533">
      <w:pPr>
        <w:pStyle w:val="SntesisDescriptiva"/>
      </w:pPr>
    </w:p>
    <w:p w14:paraId="6A4C44BC" w14:textId="77777777" w:rsidR="00C04533" w:rsidRDefault="00C04533" w:rsidP="00C04533">
      <w:pPr>
        <w:pStyle w:val="SntesisDescriptiva"/>
      </w:pPr>
    </w:p>
    <w:p w14:paraId="7E7B90C7" w14:textId="77777777" w:rsidR="00C04533" w:rsidRDefault="00C04533" w:rsidP="00C04533">
      <w:pPr>
        <w:pStyle w:val="TextoNormalNegritaCentrado"/>
      </w:pPr>
      <w:r>
        <w:t>AUTO</w:t>
      </w:r>
    </w:p>
    <w:p w14:paraId="3DD2AE38" w14:textId="56726AE4" w:rsidR="00C04533" w:rsidRDefault="00C04533" w:rsidP="00C04533">
      <w:pPr>
        <w:pStyle w:val="TextoNormalNegritaCentrado"/>
      </w:pPr>
    </w:p>
    <w:p w14:paraId="0CB74B2B" w14:textId="77777777" w:rsidR="00C04533" w:rsidRDefault="00C04533" w:rsidP="00C04533">
      <w:pPr>
        <w:pStyle w:val="TextoNormalNegritaCentrado"/>
        <w:keepNext/>
      </w:pPr>
      <w:r>
        <w:t>I. Antecedentes</w:t>
      </w:r>
    </w:p>
    <w:p w14:paraId="36540A02" w14:textId="5110CDE3" w:rsidR="00C04533" w:rsidRDefault="00C04533" w:rsidP="00C04533">
      <w:pPr>
        <w:pStyle w:val="TextoNormalNegritaCentrado"/>
        <w:keepNext/>
      </w:pPr>
    </w:p>
    <w:p w14:paraId="751D8D78" w14:textId="045AA61F" w:rsidR="00C04533" w:rsidRDefault="00C04533" w:rsidP="00C04533">
      <w:pPr>
        <w:pStyle w:val="TextoNormal"/>
      </w:pPr>
      <w:r w:rsidRPr="00C04533">
        <w:rPr>
          <w:rStyle w:val="NumeroAFNegritaCaracter"/>
        </w:rPr>
        <w:t>1</w:t>
      </w:r>
      <w:r>
        <w:t>. Por la Junta de Galicia se ha interpuesto recurso de inconstitucionalidad en relación con la Ley Orgánica 1/2024, de 10 de junio, de amnistía para la normalización institucional, política y social en Cataluña (en adelante, Ley Orgánica 1/2024), mediante escrito registrado en este tribunal el 9 de septiembre de 2024, promoviendo, en escrito presentado el mismo día, la recusación, entre otros, de la magistrada doña Laura Díez Bueso.</w:t>
      </w:r>
    </w:p>
    <w:p w14:paraId="3703BE07" w14:textId="77777777" w:rsidR="00C04533" w:rsidRDefault="00C04533" w:rsidP="00C04533">
      <w:pPr>
        <w:pStyle w:val="TextoNormal"/>
      </w:pPr>
    </w:p>
    <w:p w14:paraId="37375520" w14:textId="5954079F"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las causas décima, decimosegunda, decimotercera, decimocuarta y decimosexta de las previstas en el art. 219 de la Ley Orgánica del Poder Judicial (LOPJ), con fundamento en que, en su condición de directora general de Asuntos Constitucionales y Coordinación Jurídica entre los años 2020 y 2022 “es perfectamente plausible la intervención de doña Laura Díez Bueso en las actuaciones gubernamentales […] referidas al indulto parcial de los líderes del proceso independentista y en relación a las iniciativas parlamentarias habidas sobre esto y sobre la amnistía”, a lo que se añade su subordinación a quien era ministro de la Presidencia, Relaciones con las Cortes y Memoria Democrática, “que está entre los intervinientes por parte del Gobierno en la gestación y aprobación” de la ley objeto del presente recurso de inconstitucionalidad.</w:t>
      </w:r>
    </w:p>
    <w:p w14:paraId="4F041536" w14:textId="77777777" w:rsidR="00C04533" w:rsidRDefault="00C04533" w:rsidP="00C04533">
      <w:pPr>
        <w:pStyle w:val="TextoNormal"/>
      </w:pPr>
    </w:p>
    <w:p w14:paraId="463E03CA" w14:textId="54242968" w:rsidR="00C04533" w:rsidRDefault="00C04533" w:rsidP="00C04533">
      <w:pPr>
        <w:pStyle w:val="TextoNormal"/>
      </w:pPr>
      <w:r w:rsidRPr="00C04533">
        <w:rPr>
          <w:rStyle w:val="NumeroAFNegritaCaracter"/>
        </w:rPr>
        <w:t>3</w:t>
      </w:r>
      <w:r>
        <w:t>. La Secretaría de Justicia del Pleno del Tribunal, mediante diligencia de ordenación de 23 de octubre de 2024, consignó que la ponencia del incidente de recusación correspondía por turno de reparto al magistrado don César Tolosa Tribiño.</w:t>
      </w:r>
    </w:p>
    <w:p w14:paraId="0AC97954" w14:textId="77777777" w:rsidR="00C04533" w:rsidRDefault="00C04533" w:rsidP="00C04533">
      <w:pPr>
        <w:pStyle w:val="TextoNormal"/>
      </w:pPr>
    </w:p>
    <w:p w14:paraId="31E5A623" w14:textId="302B4967" w:rsidR="00C04533" w:rsidRDefault="00C04533" w:rsidP="00C04533">
      <w:pPr>
        <w:pStyle w:val="TextoNormal"/>
      </w:pPr>
      <w:r w:rsidRPr="00C04533">
        <w:rPr>
          <w:rStyle w:val="NumeroAFNegritaCaracter"/>
        </w:rPr>
        <w:t>4</w:t>
      </w:r>
      <w:r>
        <w:t>. Finalmente, ha de advertirse que en la composición del Pleno del Tribunal solo intervienen nueve de sus miembros, no participando la magistrada cuya recusación se resuelve, el magistrado don Juan Carlos Campo Moreno, cuya abstención fue aceptada por ATC 91/2024, de 24 de septiembre, ni el magistrado don José María Macías Castaño, cuya recusación está pendiente de resolución.</w:t>
      </w:r>
    </w:p>
    <w:p w14:paraId="615476D7" w14:textId="77777777" w:rsidR="00C04533" w:rsidRDefault="00C04533" w:rsidP="00C04533">
      <w:pPr>
        <w:pStyle w:val="TextoNormal"/>
      </w:pPr>
    </w:p>
    <w:p w14:paraId="205323BB" w14:textId="77777777" w:rsidR="00C04533" w:rsidRDefault="00C04533" w:rsidP="00C04533">
      <w:pPr>
        <w:pStyle w:val="TextoNormalNegritaCentrado"/>
        <w:keepNext/>
      </w:pPr>
      <w:r>
        <w:t>II. Fundamentos jurídicos</w:t>
      </w:r>
    </w:p>
    <w:p w14:paraId="00812F2B" w14:textId="76FB4356" w:rsidR="00C04533" w:rsidRDefault="00C04533" w:rsidP="00C04533">
      <w:pPr>
        <w:pStyle w:val="TextoNormalNegritaCentrado"/>
        <w:keepNext/>
      </w:pPr>
    </w:p>
    <w:p w14:paraId="2713C51A" w14:textId="6C23DD06" w:rsidR="00C04533" w:rsidRDefault="00C04533" w:rsidP="00C04533">
      <w:pPr>
        <w:pStyle w:val="TextoNormal"/>
      </w:pPr>
      <w:r w:rsidRPr="00C04533">
        <w:rPr>
          <w:rStyle w:val="NumeroAFNegritaCaracter"/>
        </w:rPr>
        <w:t>1</w:t>
      </w:r>
      <w:r>
        <w:t>. La parte recurrente sustenta la recusación en las causas décima, decimosegunda, decimotercera, decimocuarta y decimosexta de las previstas en el artículo 219 LOPJ, con fundamento en que la magistrada recusada, mientras desempeñó el cargo de directora general de Asuntos Constitucionales y Coordinación Jurídica del Ministerio de la Presidencia, Relaciones con las Cortes y Memoria Democrática, habría intervenido en las actuaciones referidas a los indultos parciales concedidos a condenados por la STS 459/2019, de 14 de octubre, dictada por la Sala de lo Penal del Tribunal Supremo (ECLI:ES:TS:2019:2997), cuestión ligada a la amnistía aprobada por la Ley Orgánica 1/2024, objeto del presente recurso de inconstitucionalidad, a lo que se añade su subordinación a quien era ministro de la Presidencia, Relaciones con las Cortes y Memoria Democrática, a quien se atribuye intervención en la gestación y aprobación de la mencionada ley impugnada.</w:t>
      </w:r>
    </w:p>
    <w:p w14:paraId="41957744" w14:textId="77777777" w:rsidR="00C04533" w:rsidRDefault="00C04533" w:rsidP="00C04533">
      <w:pPr>
        <w:pStyle w:val="TextoNormal"/>
      </w:pPr>
    </w:p>
    <w:p w14:paraId="7F318BA8" w14:textId="19A630FA" w:rsidR="00C04533" w:rsidRDefault="00C04533" w:rsidP="00C04533">
      <w:pPr>
        <w:pStyle w:val="TextoNormal"/>
      </w:pPr>
      <w:r w:rsidRPr="00C04533">
        <w:rPr>
          <w:rStyle w:val="NumeroAFNegritaCaracter"/>
        </w:rPr>
        <w:t>2</w:t>
      </w:r>
      <w:r>
        <w:t>. Los motivos de recusación expuestos han sido rechazados por el reciente ATC 105/2024, de 22 de octubre, en el que señalamos que “[n]o se apela a una intervención acreditada y definida de la recusada, sino a la suposición de que ‘debió intervenir’ en la fijación del criterio del Ministerio de la Presidencia, y no se alude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Bueso cesó el 26 de abril de 2022, iniciándose la tramitación parlamentaria de la Ley Orgánica 1/2024 recurrida como proposición de ley presentada por el Grupo Parlamentario Socialista, el 24 de noviembre de 2023. Se trata de un discurso que se asienta en circunstancias hipotéticas, sobre actuaciones desconectadas del objeto del recurso de inconstitucionalidad, que no puede acreditar ninguno de los motivos de pérdida de la imparcialidad” de la magistrada [FJ 3 (i)].</w:t>
      </w:r>
    </w:p>
    <w:p w14:paraId="127C32AA" w14:textId="77777777" w:rsidR="00C04533" w:rsidRDefault="00C04533" w:rsidP="00C04533">
      <w:pPr>
        <w:pStyle w:val="TextoNormal"/>
      </w:pPr>
    </w:p>
    <w:p w14:paraId="27990D3E" w14:textId="02989D9A" w:rsidR="00C04533" w:rsidRDefault="00C04533" w:rsidP="00C04533">
      <w:pPr>
        <w:pStyle w:val="TextoNormal"/>
      </w:pPr>
      <w:r w:rsidRPr="00C04533">
        <w:rPr>
          <w:rStyle w:val="NumeroAFNegritaCaracter"/>
        </w:rPr>
        <w:t>3</w:t>
      </w:r>
      <w:r>
        <w:t>. Igualmente, debe rechazarse la alegación referida a la pasada dependencia jerárquica de la señora Díez Bueso respecto al entonces ministro de la Presidencia, Relaciones con las Cortes y Memoria Democrática, pues se aduce así una relación inversa a la que contempla el art. 219.12 LOPJ, que alude a la subordinación de una parte al juez, y no viceversa, por lo que no puede aceptarse como causa de recusación [FJ 3 (iii)].</w:t>
      </w:r>
    </w:p>
    <w:p w14:paraId="1EBBD869" w14:textId="77777777" w:rsidR="00C04533" w:rsidRDefault="00C04533" w:rsidP="00C04533">
      <w:pPr>
        <w:pStyle w:val="TextoNormal"/>
      </w:pPr>
    </w:p>
    <w:p w14:paraId="1A273EAB" w14:textId="77777777" w:rsidR="00C04533" w:rsidRDefault="00C04533" w:rsidP="00C04533">
      <w:pPr>
        <w:pStyle w:val="TextoNormal"/>
      </w:pPr>
      <w:r>
        <w:t>Por lo expuesto, el Pleno</w:t>
      </w:r>
    </w:p>
    <w:p w14:paraId="299BFA3F" w14:textId="5FDC1BE6" w:rsidR="00C04533" w:rsidRDefault="00C04533" w:rsidP="00C04533">
      <w:pPr>
        <w:pStyle w:val="TextoNormal"/>
      </w:pPr>
    </w:p>
    <w:p w14:paraId="02C23A9B" w14:textId="77777777" w:rsidR="00C04533" w:rsidRDefault="00C04533" w:rsidP="00C04533">
      <w:pPr>
        <w:pStyle w:val="TextoNormalCentrado"/>
      </w:pPr>
      <w:r>
        <w:t>ACUERDA</w:t>
      </w:r>
    </w:p>
    <w:p w14:paraId="6545252C" w14:textId="28AFFE79" w:rsidR="00C04533" w:rsidRDefault="00C04533" w:rsidP="00C04533">
      <w:pPr>
        <w:pStyle w:val="TextoNormalCentrado"/>
      </w:pPr>
    </w:p>
    <w:p w14:paraId="5006CF1E" w14:textId="30449448" w:rsidR="00C04533" w:rsidRDefault="00C04533" w:rsidP="00C04533">
      <w:pPr>
        <w:pStyle w:val="TextoNormal"/>
      </w:pPr>
      <w:r>
        <w:t>No admitir a trámite la recusación de la magistrada doña Laura Díez Bueso, promovida en el recurso de inconstitucionalidad núm. 6556-2024 por la Junta de Galicia.</w:t>
      </w:r>
    </w:p>
    <w:p w14:paraId="652EF4CD" w14:textId="77777777" w:rsidR="00C04533" w:rsidRDefault="00C04533" w:rsidP="00C04533">
      <w:pPr>
        <w:pStyle w:val="TextoNormal"/>
      </w:pPr>
    </w:p>
    <w:p w14:paraId="187CCF50" w14:textId="77777777" w:rsidR="00C04533" w:rsidRDefault="00C04533" w:rsidP="00C04533">
      <w:pPr>
        <w:pStyle w:val="TextoNormal"/>
      </w:pPr>
      <w:r>
        <w:t>Madrid, a cinco de noviembre de dos mil veinticuatro.</w:t>
      </w:r>
    </w:p>
    <w:p w14:paraId="1E435711" w14:textId="186FEA50" w:rsidR="00C04533" w:rsidRDefault="00C04533" w:rsidP="00C04533">
      <w:pPr>
        <w:pStyle w:val="ParrafoNormal"/>
      </w:pPr>
    </w:p>
    <w:p w14:paraId="39E2D309" w14:textId="77777777" w:rsidR="00C04533" w:rsidRDefault="00C04533" w:rsidP="00C04533">
      <w:pPr>
        <w:pStyle w:val="TextoNormalNegritaCentrado"/>
        <w:keepNext/>
      </w:pPr>
      <w:r>
        <w:t>Voto particular que formula el magistrado don Enrique Arnaldo Alcubilla al auto dictado en el recurso de inconstitucionalidad núm. 6556-2024, que inadmite la recusación de la magistrada doña Laura Díez Bueso</w:t>
      </w:r>
    </w:p>
    <w:p w14:paraId="417AA50E" w14:textId="191AF2D7" w:rsidR="00C04533" w:rsidRDefault="00C04533" w:rsidP="00C04533">
      <w:pPr>
        <w:pStyle w:val="TextoNormalNegritaCentrado"/>
        <w:keepNext/>
      </w:pPr>
    </w:p>
    <w:p w14:paraId="48DFB651"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55F03807" w14:textId="77777777" w:rsidR="00C04533" w:rsidRDefault="00C04533" w:rsidP="00C04533">
      <w:pPr>
        <w:pStyle w:val="TextoNormal"/>
      </w:pPr>
    </w:p>
    <w:p w14:paraId="0009D18A" w14:textId="77777777" w:rsidR="00C04533" w:rsidRDefault="00C04533" w:rsidP="00C04533">
      <w:pPr>
        <w:pStyle w:val="TextoNormal"/>
      </w:pPr>
      <w:r>
        <w:t>El auto, que ha sido dictado por un Pleno del Tribunal compuesto de nueve magistrados (una vez rechazada por ATC 93/2024, de 8 de octubre, la recusación del presidente don Cándido Conde-Pumpido Tourón), acuerda, por remisión a lo resuelto en el ATC 105/2024, de 22 de octubre, inadmitir la recusación promovida por la Junta de Galicia respecto de la magistrada doña Laura Díez Bueso, en el recurso de inconstitucionalidad interpuesto contra la Ley Orgánica 1/2024.</w:t>
      </w:r>
    </w:p>
    <w:p w14:paraId="22C6102A" w14:textId="77777777" w:rsidR="00C04533" w:rsidRDefault="00C04533" w:rsidP="00C04533">
      <w:pPr>
        <w:pStyle w:val="TextoNormal"/>
      </w:pPr>
    </w:p>
    <w:p w14:paraId="7C0ABCA9" w14:textId="77777777" w:rsidR="00C04533" w:rsidRDefault="00C04533" w:rsidP="00C04533">
      <w:pPr>
        <w:pStyle w:val="TextoNormal"/>
      </w:pPr>
      <w:r>
        <w:t>No disiento en este punto del auto aprobado por la mayoría del Pleno, pues comparto la decisión de inadmitir la recusación de la magistrada doña Laura Díez Bueso por las razones que allí se indican.</w:t>
      </w:r>
    </w:p>
    <w:p w14:paraId="3F141176" w14:textId="77777777" w:rsidR="00C04533" w:rsidRDefault="00C04533" w:rsidP="00C04533">
      <w:pPr>
        <w:pStyle w:val="TextoNormal"/>
      </w:pPr>
    </w:p>
    <w:p w14:paraId="053CC979" w14:textId="77777777" w:rsidR="00C04533" w:rsidRDefault="00C04533" w:rsidP="00C04533">
      <w:pPr>
        <w:pStyle w:val="TextoNormal"/>
      </w:pPr>
      <w:r>
        <w:t>Mi discrepancia con este auto, al igual que sucedía con el ATC 93/2024, que inadmitió la recusación del presidente del Tribunal don Cándido Conde-Pumpido Tourón, y con el ATC 105/2024, de 22 de octubre, que inadmitió la recusación de la propia magistrada doña Laura Díez Bueso (en el recurso de inconstitucionalidad núm. 6436-2024), se refiere a la composición del Pleno para la resolución de este incidente de recusación, pues no se explican suficientemente las razones por las que está integrado solo por nueve magistrados (más allá de la escueta indicación del antecedente 4), ni tampoco, y esto es lo fundamental, por qué se han resuelto de manera separada las recusaciones del presidente del Tribunal y de la magistrada doña Laura Díez Bueso, a los que el ejecutivo recurrente ha recusado conjuntamente (así como al magistrado don Juan Carlos Campo Moreno, si bien la abstención de este ya fue aceptada por el Tribunal en el ATC 91/2024, de 24 de septiembre).</w:t>
      </w:r>
    </w:p>
    <w:p w14:paraId="7E86350D" w14:textId="77777777" w:rsidR="00C04533" w:rsidRDefault="00C04533" w:rsidP="00C04533">
      <w:pPr>
        <w:pStyle w:val="TextoNormal"/>
      </w:pPr>
    </w:p>
    <w:p w14:paraId="08D90EE7" w14:textId="77777777" w:rsidR="00C04533" w:rsidRDefault="00C04533" w:rsidP="00C04533">
      <w:pPr>
        <w:pStyle w:val="TextoNormal"/>
      </w:pPr>
      <w:r>
        <w:t xml:space="preserve">En efecto, el presente auto, como ya sucediera con el ATC 93/2024, no explica las razones que llevan al Tribunal a resolver separadamente las recusaciones del presidente don Cándido Conde-Pumpido Tourón y de la magistrada doña Laura Díez Bueso, recusados ambos conjuntamente por el ejecutivo recurrente.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de 9 de mayo; 238/2023, de 9 de mayo; 488/2023, de 24 de octubre, y 70/2024, de 16 de julio.</w:t>
      </w:r>
    </w:p>
    <w:p w14:paraId="258D19EF" w14:textId="77777777" w:rsidR="00C04533" w:rsidRDefault="00C04533" w:rsidP="00C04533">
      <w:pPr>
        <w:pStyle w:val="TextoNormal"/>
      </w:pPr>
    </w:p>
    <w:p w14:paraId="7194C5FB"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14:paraId="7AF0219B" w14:textId="77777777" w:rsidR="00C04533" w:rsidRDefault="00C04533" w:rsidP="00C04533">
      <w:pPr>
        <w:pStyle w:val="TextoNormal"/>
      </w:pPr>
    </w:p>
    <w:p w14:paraId="6E18E37A" w14:textId="77777777" w:rsidR="00C04533" w:rsidRDefault="00C04533" w:rsidP="00C04533">
      <w:pPr>
        <w:pStyle w:val="TextoNormal"/>
      </w:pPr>
      <w:r>
        <w:t>Como consecuencia de la extravagante decisión de resolver separadamente ambas recusaciones, resulta que tras rechazar el Tribunal la recusación del presidente don Cándido Conde-Pumpido Tourón (ATC 93/2024), este ha podido intervenir en el Pleno que ha aprobado el rechazo de la recusación de la magistrada doña Laura Díez Bueso, sin que ello resulte justificado.</w:t>
      </w:r>
    </w:p>
    <w:p w14:paraId="4358C297" w14:textId="77777777" w:rsidR="00C04533" w:rsidRDefault="00C04533" w:rsidP="00C04533">
      <w:pPr>
        <w:pStyle w:val="TextoNormal"/>
      </w:pPr>
    </w:p>
    <w:p w14:paraId="2F161AF8" w14:textId="77777777" w:rsidR="00C04533" w:rsidRDefault="00C04533" w:rsidP="00C04533">
      <w:pPr>
        <w:pStyle w:val="TextoNormal"/>
      </w:pPr>
      <w:r>
        <w:t>En fin, no debe dejarse de señalar que tampoco se explican las razones que llevan a excluir al magistrado don José María Macías Castaño en la composición del Pleno que ha dictado el auto que nos ocupa, más allá del lacónico enunciado del antecedente 4. La recusación de este magistrado ha sido planteada por el abogado del Estado, como ya advertí en votos particulares anteriores, en procesos constitucionales todavía no admitidos a trámite y en los que, por tanto, la Abogacía del Estado no ha adquirido aún la condición de parte. Justamente por ello, esa recusación ha sido rechazada por este tribunal por ATC 116/2024, de 5 de noviembre.</w:t>
      </w:r>
    </w:p>
    <w:p w14:paraId="171831FC" w14:textId="77777777" w:rsidR="00C04533" w:rsidRDefault="00C04533" w:rsidP="00C04533">
      <w:pPr>
        <w:pStyle w:val="TextoNormal"/>
      </w:pPr>
    </w:p>
    <w:p w14:paraId="0B230227"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49887970" w14:textId="77777777" w:rsidR="00C04533" w:rsidRDefault="00C04533" w:rsidP="00C04533">
      <w:pPr>
        <w:pStyle w:val="TextoNormal"/>
      </w:pPr>
    </w:p>
    <w:p w14:paraId="3A3705CC" w14:textId="13A78EB0" w:rsidR="00C04533" w:rsidRDefault="00C04533" w:rsidP="00C04533">
      <w:pPr>
        <w:pStyle w:val="TextoNormal"/>
      </w:pPr>
      <w:r>
        <w:t>Madrid, a seis de noviembre de dos mil veinticuatro.</w:t>
      </w:r>
    </w:p>
    <w:p w14:paraId="5B8D61C5" w14:textId="77777777" w:rsidR="00C04533" w:rsidRDefault="00C04533" w:rsidP="00C04533">
      <w:pPr>
        <w:pStyle w:val="TextoNormal"/>
      </w:pPr>
    </w:p>
    <w:p w14:paraId="77B88F8D" w14:textId="77777777" w:rsidR="00C04533" w:rsidRDefault="00C04533" w:rsidP="00C04533">
      <w:pPr>
        <w:pStyle w:val="TextoNormalNegritaCentrado"/>
        <w:keepNext/>
      </w:pPr>
      <w:r>
        <w:t>Voto particular discrepante que formula la magistrada doña Concepción Espejel Jorquera al auto de 5 de noviembre, dictado en el incidente de recusación de la magistrada del Tribunal doña Laura Díez Bueso, planteado en el recurso de inconstitucionalidad núm. 6556-2024</w:t>
      </w:r>
    </w:p>
    <w:p w14:paraId="685B0F5E" w14:textId="53E0F234" w:rsidR="00C04533" w:rsidRDefault="00C04533" w:rsidP="00C04533">
      <w:pPr>
        <w:pStyle w:val="TextoNormalNegritaCentrado"/>
        <w:keepNext/>
      </w:pPr>
    </w:p>
    <w:p w14:paraId="3E0FBBAB" w14:textId="77777777" w:rsidR="00C04533" w:rsidRDefault="00C04533" w:rsidP="00C04533">
      <w:pPr>
        <w:pStyle w:val="TextoNormal"/>
      </w:pPr>
      <w:r>
        <w:t>En el ejercicio de la facultad conferida en el art. 90.2 LOTC, y con el respeto debido a la opinión de los magistrados que han conformado la mayoría del Pleno, formulo el presente voto particular al auto dictado en el mencionado incidente.</w:t>
      </w:r>
    </w:p>
    <w:p w14:paraId="0BA70A3D" w14:textId="77777777" w:rsidR="00C04533" w:rsidRDefault="00C04533" w:rsidP="00C04533">
      <w:pPr>
        <w:pStyle w:val="TextoNormal"/>
      </w:pPr>
    </w:p>
    <w:p w14:paraId="0C214EEF" w14:textId="77777777" w:rsidR="00C04533" w:rsidRDefault="00C04533" w:rsidP="00C04533">
      <w:pPr>
        <w:pStyle w:val="TextoNormal"/>
      </w:pPr>
      <w:r>
        <w:t>Me remito al voto particular formulado en el ATC 93/2024, en el recurso de inconstitucionalidad núm. 6436-2024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7D62F545" w14:textId="77777777" w:rsidR="00C04533" w:rsidRDefault="00C04533" w:rsidP="00C04533">
      <w:pPr>
        <w:pStyle w:val="TextoNormal"/>
      </w:pPr>
    </w:p>
    <w:p w14:paraId="2A66E8E8"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14:paraId="646B1888" w14:textId="77777777" w:rsidR="00C04533" w:rsidRDefault="00C04533" w:rsidP="00C04533">
      <w:pPr>
        <w:pStyle w:val="TextoNormal"/>
      </w:pPr>
    </w:p>
    <w:p w14:paraId="3A9AF14D" w14:textId="77777777" w:rsidR="00C04533" w:rsidRDefault="00C04533" w:rsidP="00C04533">
      <w:pPr>
        <w:pStyle w:val="TextoNormal"/>
      </w:pPr>
      <w:r>
        <w:t>Por lo expuesto, formulo el presente voto particular.</w:t>
      </w:r>
    </w:p>
    <w:p w14:paraId="49CF5BE8" w14:textId="77777777" w:rsidR="00C04533" w:rsidRDefault="00C04533" w:rsidP="00C04533">
      <w:pPr>
        <w:pStyle w:val="TextoNormal"/>
      </w:pPr>
    </w:p>
    <w:p w14:paraId="13809D44" w14:textId="79796AD5" w:rsidR="00C04533" w:rsidRDefault="00C04533" w:rsidP="00C04533">
      <w:pPr>
        <w:pStyle w:val="TextoNormal"/>
      </w:pPr>
      <w:r>
        <w:t>Madrid, a cinco de noviembre de dos mil veinticuatro.</w:t>
      </w:r>
    </w:p>
    <w:p w14:paraId="3B15AB1B" w14:textId="49520120" w:rsidR="00C04533" w:rsidRDefault="00C04533">
      <w:pPr>
        <w:spacing w:after="160" w:line="278" w:lineRule="auto"/>
        <w:rPr>
          <w:rFonts w:ascii="Times New Roman" w:eastAsia="Times New Roman" w:hAnsi="Times New Roman" w:cs="Times New Roman"/>
          <w:sz w:val="24"/>
          <w:szCs w:val="24"/>
          <w:lang w:eastAsia="es-ES"/>
        </w:rPr>
      </w:pPr>
      <w:r>
        <w:br w:type="page"/>
      </w:r>
    </w:p>
    <w:p w14:paraId="5A384950" w14:textId="77777777" w:rsidR="00C04533" w:rsidRDefault="00C04533" w:rsidP="00C04533">
      <w:pPr>
        <w:pStyle w:val="TtuloResolucin"/>
      </w:pPr>
      <w:bookmarkStart w:id="125" w:name="AUTO_2024_119"/>
      <w:r>
        <w:t>AUTO 119/2024, de 5 de noviembre de 2024</w:t>
      </w:r>
    </w:p>
    <w:bookmarkEnd w:id="125"/>
    <w:p w14:paraId="518559EA" w14:textId="77777777" w:rsidR="00C04533" w:rsidRDefault="00C04533" w:rsidP="00C04533">
      <w:pPr>
        <w:pStyle w:val="TtuloResolucin"/>
      </w:pPr>
      <w:r>
        <w:t>Pleno</w:t>
      </w:r>
    </w:p>
    <w:p w14:paraId="67A1B2BB" w14:textId="77777777" w:rsidR="00C04533" w:rsidRDefault="00C04533" w:rsidP="00C04533">
      <w:pPr>
        <w:pStyle w:val="TextoNormalCentrado"/>
      </w:pPr>
      <w:r>
        <w:t>ECLI:ES:TC:2024:119A</w:t>
      </w:r>
    </w:p>
    <w:p w14:paraId="74E15A91" w14:textId="045C652A" w:rsidR="00C04533" w:rsidRDefault="00C04533" w:rsidP="00C04533">
      <w:pPr>
        <w:pStyle w:val="TextoNormalCentrado"/>
      </w:pPr>
    </w:p>
    <w:p w14:paraId="73E1A0C0"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47AB11F1" w14:textId="014FF7CA" w:rsidR="00C04533" w:rsidRDefault="00C04533" w:rsidP="00C04533">
      <w:pPr>
        <w:pStyle w:val="SntesisDescriptiva"/>
      </w:pPr>
    </w:p>
    <w:p w14:paraId="3D42158F" w14:textId="77777777" w:rsidR="00C04533" w:rsidRDefault="00C04533" w:rsidP="00C04533">
      <w:pPr>
        <w:pStyle w:val="SntesisDescriptiva"/>
      </w:pPr>
      <w:r>
        <w:t>Inadmite una recusación en el recurso de inconstitucionalidad 6575-2024, interpuesto por el Consejo de Gobierno de la Comunidad Autónoma de Andalucía en relación con la Ley Orgánica 1/2024, de 10 de junio, de amnistía para la normalización institucional, política y social en Cataluña. Votos particulares.</w:t>
      </w:r>
    </w:p>
    <w:p w14:paraId="3EE13F44" w14:textId="0A03578B" w:rsidR="00C04533" w:rsidRDefault="00C04533" w:rsidP="00C04533">
      <w:pPr>
        <w:pStyle w:val="SntesisDescriptiva"/>
      </w:pPr>
    </w:p>
    <w:p w14:paraId="1C1ECCF4" w14:textId="77777777" w:rsidR="00C04533" w:rsidRDefault="00C04533" w:rsidP="00C04533">
      <w:pPr>
        <w:pStyle w:val="SntesisDescriptiva"/>
      </w:pPr>
    </w:p>
    <w:p w14:paraId="508E73EF" w14:textId="77777777" w:rsidR="00C04533" w:rsidRDefault="00C04533" w:rsidP="00C04533">
      <w:pPr>
        <w:pStyle w:val="SntesisDescriptiva"/>
      </w:pPr>
    </w:p>
    <w:p w14:paraId="0C2D2BC3" w14:textId="77777777" w:rsidR="00C04533" w:rsidRDefault="00C04533" w:rsidP="00C04533">
      <w:pPr>
        <w:pStyle w:val="TextoNormalNegritaCentrado"/>
      </w:pPr>
      <w:r>
        <w:t>AUTO</w:t>
      </w:r>
    </w:p>
    <w:p w14:paraId="08C12D4A" w14:textId="75F32707" w:rsidR="00C04533" w:rsidRDefault="00C04533" w:rsidP="00C04533">
      <w:pPr>
        <w:pStyle w:val="TextoNormalNegritaCentrado"/>
      </w:pPr>
    </w:p>
    <w:p w14:paraId="1F31D418" w14:textId="77777777" w:rsidR="00C04533" w:rsidRDefault="00C04533" w:rsidP="00C04533">
      <w:pPr>
        <w:pStyle w:val="TextoNormalNegritaCentrado"/>
        <w:keepNext/>
      </w:pPr>
      <w:r>
        <w:t>I. Antecedentes</w:t>
      </w:r>
    </w:p>
    <w:p w14:paraId="60D25FCB" w14:textId="01B1DB2C" w:rsidR="00C04533" w:rsidRDefault="00C04533" w:rsidP="00C04533">
      <w:pPr>
        <w:pStyle w:val="TextoNormalNegritaCentrado"/>
        <w:keepNext/>
      </w:pPr>
    </w:p>
    <w:p w14:paraId="4BB69D1A" w14:textId="557DB6EC" w:rsidR="00B11110" w:rsidRDefault="00C04533" w:rsidP="00C04533">
      <w:pPr>
        <w:pStyle w:val="TextoNormal"/>
      </w:pPr>
      <w:r w:rsidRPr="00C04533">
        <w:rPr>
          <w:rStyle w:val="NumeroAFNegritaCaracter"/>
        </w:rPr>
        <w:t>1</w:t>
      </w:r>
      <w:r>
        <w:t>. Por el Consejo de Gobierno de la Comunidad Autónoma de Andalucía se ha interpuesto recurso de inconstitucionalidad en relación con la Ley Orgánica 1/2024, de 10 de junio, de amnistía para la normalización institucional, política y social en Cataluña, mediante escrito registrado en este tribunal el 9 de septiembre de 2024, en el que promueve, por otrosí, la recusación, entre otros, de la magistrada doña Laura Díez Bueso.</w:t>
      </w:r>
    </w:p>
    <w:p w14:paraId="5CC8DB3D" w14:textId="77777777" w:rsidR="00C04533" w:rsidRDefault="00C04533" w:rsidP="00C04533">
      <w:pPr>
        <w:pStyle w:val="TextoNormal"/>
      </w:pPr>
    </w:p>
    <w:p w14:paraId="3DDEEDA6" w14:textId="2E8A89C5"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la causa decimotercera de las previstas en el art. 219 de la Ley Orgánica del Poder Judicial (LOPJ), con fundamento en que la magistrada recusada desempeñó entre 2020 y 2022 el cargo de directora general de Asuntos Constitucionales y Coordinación Jurídica del Ministerio de la Presidencia, Relaciones con las Cortes y Memoria Democrática, por lo que intervino “en la formación de criterio del propio Ministerio de la Presidencia para la deliberación y aprobación de las propuestas motivadas que desembocaron en indultos parciales de los condenados por el procés, así como en la fijación del criterio del Ministerio sobre la constitucionalidad de tales indultos parciales y sobre la constitucionalidad de la propia amnistía”, a lo que se añade haberse “pronunciado explícitamente en la misma línea en la que el preámbulo de la Ley Orgánica 1/2024 trata de justificar la procedencia de la amnistía: la necesidad de devolver el conflicto a la política, ante una supuesta judicialización del mismo, y a través de una normalización política”.</w:t>
      </w:r>
    </w:p>
    <w:p w14:paraId="4A3835F7" w14:textId="77777777" w:rsidR="00C04533" w:rsidRDefault="00C04533" w:rsidP="00C04533">
      <w:pPr>
        <w:pStyle w:val="TextoNormal"/>
      </w:pPr>
    </w:p>
    <w:p w14:paraId="335EF811" w14:textId="5D5F68F5" w:rsidR="00C04533" w:rsidRDefault="00C04533" w:rsidP="00C04533">
      <w:pPr>
        <w:pStyle w:val="TextoNormal"/>
      </w:pPr>
      <w:r w:rsidRPr="00C04533">
        <w:rPr>
          <w:rStyle w:val="NumeroAFNegritaCaracter"/>
        </w:rPr>
        <w:t>3</w:t>
      </w:r>
      <w:r>
        <w:t>. La Secretaría de Justicia del Pleno del Tribunal, mediante diligencia de ordenación de 23 de octubre de 2024, consignó que la ponencia del incidente de recusación correspondía por turno de reparto al magistrado don Ricardo Enríquez Sancho.</w:t>
      </w:r>
    </w:p>
    <w:p w14:paraId="338936BD" w14:textId="77777777" w:rsidR="00C04533" w:rsidRDefault="00C04533" w:rsidP="00C04533">
      <w:pPr>
        <w:pStyle w:val="TextoNormal"/>
      </w:pPr>
    </w:p>
    <w:p w14:paraId="22F16547" w14:textId="6ED6AB3B" w:rsidR="00C04533" w:rsidRDefault="00C04533" w:rsidP="00C04533">
      <w:pPr>
        <w:pStyle w:val="TextoNormal"/>
      </w:pPr>
      <w:r w:rsidRPr="00C04533">
        <w:rPr>
          <w:rStyle w:val="NumeroAFNegritaCaracter"/>
        </w:rPr>
        <w:t>4</w:t>
      </w:r>
      <w:r>
        <w:t>. Finalmente, ha de advertirse que en la composición del Pleno del Tribunal solo intervienen nueve de sus miembros, no participando la magistrada cuya recusación se resuelve, el magistrado don Juan Carlos Campo Moreno, cuya abstención fue aceptada por ATC 91/2024, de 24 de septiembre, ni el magistrado don José María Macías Castaño, cuya recusación está pendiente de resolución.</w:t>
      </w:r>
    </w:p>
    <w:p w14:paraId="46D827D3" w14:textId="77777777" w:rsidR="00C04533" w:rsidRDefault="00C04533" w:rsidP="00C04533">
      <w:pPr>
        <w:pStyle w:val="TextoNormal"/>
      </w:pPr>
    </w:p>
    <w:p w14:paraId="48B6C101" w14:textId="77777777" w:rsidR="00C04533" w:rsidRDefault="00C04533" w:rsidP="00C04533">
      <w:pPr>
        <w:pStyle w:val="TextoNormalNegritaCentrado"/>
        <w:keepNext/>
      </w:pPr>
      <w:r>
        <w:t>II. Fundamentos jurídicos</w:t>
      </w:r>
    </w:p>
    <w:p w14:paraId="62B57DA4" w14:textId="67A1E40D" w:rsidR="00C04533" w:rsidRDefault="00C04533" w:rsidP="00C04533">
      <w:pPr>
        <w:pStyle w:val="TextoNormalNegritaCentrado"/>
        <w:keepNext/>
      </w:pPr>
    </w:p>
    <w:p w14:paraId="08139B0A" w14:textId="0421F42A" w:rsidR="00C04533" w:rsidRDefault="00C04533" w:rsidP="00C04533">
      <w:pPr>
        <w:pStyle w:val="TextoNormal"/>
      </w:pPr>
      <w:r w:rsidRPr="00C04533">
        <w:rPr>
          <w:rStyle w:val="NumeroAFNegritaCaracter"/>
        </w:rPr>
        <w:t>1</w:t>
      </w:r>
      <w:r>
        <w:t>. La parte recurrente sustenta la recusación en la causa decimotercera de las previstas en el artículo 219 LOPJ, con fundamento en que la magistrada recusada, mientras desempeñó el cargo de directora general de Asuntos Constitucionales y Coordinación Jurídica del Ministerio de la Presidencia, Relaciones con las Cortes y Memoria Democrática, habría intervenido en la fijación de criterio sobre la constitucionalidad de los indultos parciales concedidos a condenados por la sentencia 459/2019, de 14 de octubre, dictada por la Sala de lo Penal del Tribunal Supremo (ECLI:ES:TS:2019:2997), cuestión ligada a la amnistía aprobada por la Ley Orgánica 1/2024, de 10 de junio, objeto del presente recurso de inconstitucionalidad; a lo que se añade haberse “pronunciado explícitamente en la misma línea en la que el preámbulo de la Ley Orgánica 1/2024 trata de justificar la procedencia de la amnistía: la necesidad de devolver el conflicto a la política, ante una supuesta judicialización del mismo, y a través de una normalización política”.</w:t>
      </w:r>
    </w:p>
    <w:p w14:paraId="2041E471" w14:textId="77777777" w:rsidR="00C04533" w:rsidRDefault="00C04533" w:rsidP="00C04533">
      <w:pPr>
        <w:pStyle w:val="TextoNormal"/>
      </w:pPr>
    </w:p>
    <w:p w14:paraId="746A97E3" w14:textId="5E1FE889" w:rsidR="00C04533" w:rsidRDefault="00C04533" w:rsidP="00C04533">
      <w:pPr>
        <w:pStyle w:val="TextoNormal"/>
      </w:pPr>
      <w:r w:rsidRPr="00C04533">
        <w:rPr>
          <w:rStyle w:val="NumeroAFNegritaCaracter"/>
        </w:rPr>
        <w:t>2</w:t>
      </w:r>
      <w:r>
        <w:t>. Los motivos de recusación expuestos han sido rechazados por el reciente ATC 105/2024, de 22 de octubre, en el que señalamos que “no se apela a una intervención acreditada y definida de la recusada, sino a la suposición de que ‘debió intervenir’ en la fijación del criterio del Ministerio de la Presidencia, sin que se aluda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cesó el 26 de abril de 2022, iniciándose la tramitación parlamentaria de la Ley Orgánica 1/2024 recurrida como proposición de ley presentada por el Grupo Parlamentario Socialista, el 24 de noviembre de 2023. Se trata de un discurso que se asienta en circunstancias hipotéticas, sobre actuaciones desconectadas del objeto del recurso de inconstitucionalidad, que no puede acreditar ninguno de los motivos de pérdida de la imparcialidad” de la magistrada [FJ 3 (i)].</w:t>
      </w:r>
    </w:p>
    <w:p w14:paraId="79B483AF" w14:textId="77777777" w:rsidR="00C04533" w:rsidRDefault="00C04533" w:rsidP="00C04533">
      <w:pPr>
        <w:pStyle w:val="TextoNormal"/>
      </w:pPr>
    </w:p>
    <w:p w14:paraId="595E0A8B" w14:textId="088CBEE3" w:rsidR="00C04533" w:rsidRDefault="00C04533" w:rsidP="00C04533">
      <w:pPr>
        <w:pStyle w:val="TextoNormal"/>
      </w:pPr>
      <w:r w:rsidRPr="00C04533">
        <w:rPr>
          <w:rStyle w:val="NumeroAFNegritaCaracter"/>
        </w:rPr>
        <w:t>3</w:t>
      </w:r>
      <w:r>
        <w:t xml:space="preserve">. Igualmente, inefectiva para fundar una duda sobre la imparcialidad de la señora Díez se revela la coautoría del trabajo académico </w:t>
      </w:r>
      <w:r w:rsidRPr="00C04533">
        <w:rPr>
          <w:i/>
        </w:rPr>
        <w:t>Valoración general del Estado autonómico</w:t>
      </w:r>
      <w:r>
        <w:t>, publicado en el año 2018, pues su contenido no implica “prejuicio o previa toma de posición sobre el objeto de la norma sometida a enjuiciamiento constitucional ni permiten fundar la existencia de un interés directo o indirecto en este proceso constitucional” y “[m]ás allá de la falta de presupuesto del motivo, la doctrina constitucional considera que no está justificada la duda de imparcialidad que se vincula a manifestaciones vertidas en publicaciones académicas o artículos de opinión publicados antes de haber adquirido la condición de magistrado, incluso si en ellos se defiende una tesis contraria a una de las partes” [FJ 3 (ii)].</w:t>
      </w:r>
    </w:p>
    <w:p w14:paraId="4BF7EE44" w14:textId="77777777" w:rsidR="00C04533" w:rsidRDefault="00C04533" w:rsidP="00C04533">
      <w:pPr>
        <w:pStyle w:val="TextoNormal"/>
      </w:pPr>
    </w:p>
    <w:p w14:paraId="3A5FF46A" w14:textId="77777777" w:rsidR="00C04533" w:rsidRDefault="00C04533" w:rsidP="00C04533">
      <w:pPr>
        <w:pStyle w:val="TextoNormal"/>
      </w:pPr>
      <w:r>
        <w:t>Por lo expuesto, el Pleno</w:t>
      </w:r>
    </w:p>
    <w:p w14:paraId="1EBB58EC" w14:textId="144F1EDE" w:rsidR="00C04533" w:rsidRDefault="00C04533" w:rsidP="00C04533">
      <w:pPr>
        <w:pStyle w:val="TextoNormal"/>
      </w:pPr>
    </w:p>
    <w:p w14:paraId="1DDD0588" w14:textId="77777777" w:rsidR="00C04533" w:rsidRDefault="00C04533" w:rsidP="00C04533">
      <w:pPr>
        <w:pStyle w:val="TextoNormalCentrado"/>
      </w:pPr>
      <w:r>
        <w:t>ACUERDA</w:t>
      </w:r>
    </w:p>
    <w:p w14:paraId="2BBE9A3B" w14:textId="4A2F9111" w:rsidR="00C04533" w:rsidRDefault="00C04533" w:rsidP="00C04533">
      <w:pPr>
        <w:pStyle w:val="TextoNormalCentrado"/>
      </w:pPr>
    </w:p>
    <w:p w14:paraId="0DE0028C" w14:textId="65CE748C" w:rsidR="00C04533" w:rsidRDefault="00C04533" w:rsidP="00C04533">
      <w:pPr>
        <w:pStyle w:val="TextoNormal"/>
      </w:pPr>
      <w:r>
        <w:t>No admitir a trámite la recusación de la magistrada doña Laura Díez Bueso, promovida en el recurso de inconstitucionalidad núm. 6575-2024 por el Consejo de Gobierno de la Comunidad Autónoma de Andalucía.</w:t>
      </w:r>
    </w:p>
    <w:p w14:paraId="64EB6293" w14:textId="77777777" w:rsidR="00C04533" w:rsidRDefault="00C04533" w:rsidP="00C04533">
      <w:pPr>
        <w:pStyle w:val="TextoNormal"/>
      </w:pPr>
    </w:p>
    <w:p w14:paraId="6CA571D1" w14:textId="77777777" w:rsidR="00C04533" w:rsidRDefault="00C04533" w:rsidP="00C04533">
      <w:pPr>
        <w:pStyle w:val="TextoNormal"/>
      </w:pPr>
      <w:r>
        <w:t>Madrid, a cinco de noviembre de dos mil veinticuatro.</w:t>
      </w:r>
    </w:p>
    <w:p w14:paraId="47FB380E" w14:textId="0BA24E60" w:rsidR="00C04533" w:rsidRDefault="00C04533" w:rsidP="00C04533">
      <w:pPr>
        <w:pStyle w:val="ParrafoNormal"/>
      </w:pPr>
    </w:p>
    <w:p w14:paraId="52515FAE" w14:textId="77777777" w:rsidR="00C04533" w:rsidRDefault="00C04533" w:rsidP="00C04533">
      <w:pPr>
        <w:pStyle w:val="TextoNormalNegritaCentrado"/>
        <w:keepNext/>
      </w:pPr>
      <w:r>
        <w:t>Voto particular que formula el magistrado don Enrique Arnaldo Alcubilla al auto dictado en el recurso de inconstitucionalidad núm. 6575-2024, que inadmite la recusación de la magistrada doña Laura Díez Bueso</w:t>
      </w:r>
    </w:p>
    <w:p w14:paraId="5C5DCE00" w14:textId="15B4C0B3" w:rsidR="00C04533" w:rsidRDefault="00C04533" w:rsidP="00C04533">
      <w:pPr>
        <w:pStyle w:val="TextoNormalNegritaCentrado"/>
        <w:keepNext/>
      </w:pPr>
    </w:p>
    <w:p w14:paraId="0BB62532"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369F648E" w14:textId="77777777" w:rsidR="00C04533" w:rsidRDefault="00C04533" w:rsidP="00C04533">
      <w:pPr>
        <w:pStyle w:val="TextoNormal"/>
      </w:pPr>
    </w:p>
    <w:p w14:paraId="68733FAB" w14:textId="77777777" w:rsidR="00C04533" w:rsidRDefault="00C04533" w:rsidP="00C04533">
      <w:pPr>
        <w:pStyle w:val="TextoNormal"/>
      </w:pPr>
      <w:r>
        <w:t>El auto, que ha sido dictado por un Pleno del Tribunal compuesto de nueve magistrados (una vez rechazada por el ATC 93/2024, de 8 de octubre, la recusación del presidente don Cándido Conde-Pumpido Tourón), acuerda, por remisión a lo resuelto en el ATC 105/2024, de 22 de octubre, inadmitir la recusación promovida por el Consejo de Gobierno de Andalucía respecto de la magistrada doña Laura Díez Bueso, en el recurso de inconstitucionalidad interpuesto contra la Ley Orgánica 1/2024, de amnistía para la normalización institucional, política y social en Cataluña.</w:t>
      </w:r>
    </w:p>
    <w:p w14:paraId="482F4EE2" w14:textId="77777777" w:rsidR="00C04533" w:rsidRDefault="00C04533" w:rsidP="00C04533">
      <w:pPr>
        <w:pStyle w:val="TextoNormal"/>
      </w:pPr>
    </w:p>
    <w:p w14:paraId="25944239" w14:textId="77777777" w:rsidR="00C04533" w:rsidRDefault="00C04533" w:rsidP="00C04533">
      <w:pPr>
        <w:pStyle w:val="TextoNormal"/>
      </w:pPr>
      <w:r>
        <w:t>No disiento en este punto del auto aprobado por la mayoría del Pleno, pues comparto la decisión de inadmitir la recusación de la magistrada doña Laura Díez Bueso por las razones que allí se indican.</w:t>
      </w:r>
    </w:p>
    <w:p w14:paraId="4DFE8ACA" w14:textId="77777777" w:rsidR="00C04533" w:rsidRDefault="00C04533" w:rsidP="00C04533">
      <w:pPr>
        <w:pStyle w:val="TextoNormal"/>
      </w:pPr>
    </w:p>
    <w:p w14:paraId="309C80BB" w14:textId="77777777" w:rsidR="00C04533" w:rsidRDefault="00C04533" w:rsidP="00C04533">
      <w:pPr>
        <w:pStyle w:val="TextoNormal"/>
      </w:pPr>
      <w:r>
        <w:t>Mi discrepancia con este auto, al igual que sucedía con el ATC 93/2024, que inadmitió la recusación del presidente del Tribunal don Cándido Conde-Pumpido Tourón, y con el ATC 105/2024, que inadmitió la recusación de la propia magistrada doña Laura Díez Bueso (en el recurso de inconstitucionalidad núm. 6436-2024), se refiere a la composición del Pleno para la resolución de este incidente de recusación, pues no se explican suficientemente las razones por las que está integrado solo por nueve magistrados (más allá de la escueta indicación del antecedente cuarto), ni tampoco, y esto es lo fundamental, por qué se han resuelto de manera separada las recusaciones del presidente del Tribunal y de la magistrada doña Laura Díez Bueso, a los que el ejecutivo recurrente han recusado conjuntamente (así como al magistrado don Juan Carlos Campo Moreno, si bien la abstención de este ya fue aceptada por el Tribunal en el ATC 91/2024, de 24 de septiembre).</w:t>
      </w:r>
    </w:p>
    <w:p w14:paraId="3CC0A028" w14:textId="77777777" w:rsidR="00C04533" w:rsidRDefault="00C04533" w:rsidP="00C04533">
      <w:pPr>
        <w:pStyle w:val="TextoNormal"/>
      </w:pPr>
    </w:p>
    <w:p w14:paraId="2B6D8997" w14:textId="77777777" w:rsidR="00C04533" w:rsidRDefault="00C04533" w:rsidP="00C04533">
      <w:pPr>
        <w:pStyle w:val="TextoNormal"/>
      </w:pPr>
      <w: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ejecutivo recurrente.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14:paraId="644A5B03" w14:textId="77777777" w:rsidR="00C04533" w:rsidRDefault="00C04533" w:rsidP="00C04533">
      <w:pPr>
        <w:pStyle w:val="TextoNormal"/>
      </w:pPr>
    </w:p>
    <w:p w14:paraId="2B93FB9D"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14:paraId="170AF9BE" w14:textId="77777777" w:rsidR="00C04533" w:rsidRDefault="00C04533" w:rsidP="00C04533">
      <w:pPr>
        <w:pStyle w:val="TextoNormal"/>
      </w:pPr>
    </w:p>
    <w:p w14:paraId="70ECB2BA" w14:textId="77777777" w:rsidR="00C04533" w:rsidRDefault="00C04533" w:rsidP="00C04533">
      <w:pPr>
        <w:pStyle w:val="TextoNormal"/>
      </w:pPr>
      <w:r>
        <w:t>Como consecuencia de la extravagante decisión de resolver separadamente ambas recusaciones, resulta que tras rechazar el Tribunal la recusación del presidente don Cándido Conde-Pumpido Tourón (ATC 93/2024), este ha podido intervenir en el Pleno que ha aprobado el rechazo de la recusación de la magistrada doña Laura Díez Bueso, sin que ello resulte justificado.</w:t>
      </w:r>
    </w:p>
    <w:p w14:paraId="40AFEAA4" w14:textId="77777777" w:rsidR="00C04533" w:rsidRDefault="00C04533" w:rsidP="00C04533">
      <w:pPr>
        <w:pStyle w:val="TextoNormal"/>
      </w:pPr>
    </w:p>
    <w:p w14:paraId="1DB3190D" w14:textId="77777777" w:rsidR="00C04533" w:rsidRDefault="00C04533" w:rsidP="00C04533">
      <w:pPr>
        <w:pStyle w:val="TextoNormal"/>
      </w:pPr>
      <w:r>
        <w:t>En fin, no debe dejarse de señalar que tampoco se explican las razones que llevan a excluir al magistrado don José María Macías Castaño en la composición del Pleno que ha dictado el auto que nos ocupa, más allá del lacónico enunciado del antecedente cuarto. La recusación de este magistrado ha sido planteada por el abogado del Estado, como ya advertí en votos particulares anteriores, en procesos constitucionales todavía no admitidos a trámite y en los que, por tanto, la Abogacía del Estado no ha adquirido aún la condición de parte. Justamente por ello, esa recusación ha sido rechazada por este tribunal por ATC 116/2024, de 5 de noviembre.</w:t>
      </w:r>
    </w:p>
    <w:p w14:paraId="4EEA7C04" w14:textId="77777777" w:rsidR="00C04533" w:rsidRDefault="00C04533" w:rsidP="00C04533">
      <w:pPr>
        <w:pStyle w:val="TextoNormal"/>
      </w:pPr>
    </w:p>
    <w:p w14:paraId="1193E291"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2A5B034D" w14:textId="77777777" w:rsidR="00C04533" w:rsidRDefault="00C04533" w:rsidP="00C04533">
      <w:pPr>
        <w:pStyle w:val="TextoNormal"/>
      </w:pPr>
    </w:p>
    <w:p w14:paraId="63C770FF" w14:textId="009A6756" w:rsidR="00C04533" w:rsidRDefault="00C04533" w:rsidP="00C04533">
      <w:pPr>
        <w:pStyle w:val="TextoNormal"/>
      </w:pPr>
      <w:r>
        <w:t>Madrid, a seis de noviembre de dos mil veinticuatro.</w:t>
      </w:r>
    </w:p>
    <w:p w14:paraId="0D76FE9E" w14:textId="77777777" w:rsidR="00C04533" w:rsidRDefault="00C04533" w:rsidP="00C04533">
      <w:pPr>
        <w:pStyle w:val="TextoNormal"/>
      </w:pPr>
    </w:p>
    <w:p w14:paraId="04B787EC" w14:textId="77777777" w:rsidR="00C04533" w:rsidRDefault="00C04533" w:rsidP="00C04533">
      <w:pPr>
        <w:pStyle w:val="TextoNormalNegritaCentrado"/>
        <w:keepNext/>
      </w:pPr>
      <w:r>
        <w:t>Voto particular discrepante que formula la magistrada doña Concepción Espejel Jorquera al auto de 5 de noviembre de 2024, dictado en incidente de recusación de la magistrada del Tribunal doña Laura Díez Bueso, planteado en el recurso de inconstitucionalidad núm. 6575-2024</w:t>
      </w:r>
    </w:p>
    <w:p w14:paraId="4E3952C9" w14:textId="444ACD6C" w:rsidR="00C04533" w:rsidRDefault="00C04533" w:rsidP="00C04533">
      <w:pPr>
        <w:pStyle w:val="TextoNormalNegritaCentrado"/>
        <w:keepNext/>
      </w:pPr>
    </w:p>
    <w:p w14:paraId="516865F7" w14:textId="77777777" w:rsidR="00C04533" w:rsidRDefault="00C04533" w:rsidP="00C04533">
      <w:pPr>
        <w:pStyle w:val="TextoNormal"/>
      </w:pPr>
      <w:r>
        <w:t>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14:paraId="3E032CC7" w14:textId="77777777" w:rsidR="00C04533" w:rsidRDefault="00C04533" w:rsidP="00C04533">
      <w:pPr>
        <w:pStyle w:val="TextoNormal"/>
      </w:pPr>
    </w:p>
    <w:p w14:paraId="29039DF6" w14:textId="77777777" w:rsidR="00C04533" w:rsidRDefault="00C04533" w:rsidP="00C04533">
      <w:pPr>
        <w:pStyle w:val="TextoNormal"/>
      </w:pPr>
      <w:r>
        <w:t>Me remito al voto particular formulado en el ATC 93/2024, 8 de octubre, en el recurso de inconstitucionalidad núm. 6436-2024 (recusación del señor Conde Pumpido),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5D80D4C5" w14:textId="77777777" w:rsidR="00C04533" w:rsidRDefault="00C04533" w:rsidP="00C04533">
      <w:pPr>
        <w:pStyle w:val="TextoNormal"/>
      </w:pPr>
    </w:p>
    <w:p w14:paraId="02BDC110"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14:paraId="689E7F42" w14:textId="77777777" w:rsidR="00C04533" w:rsidRDefault="00C04533" w:rsidP="00C04533">
      <w:pPr>
        <w:pStyle w:val="TextoNormal"/>
      </w:pPr>
    </w:p>
    <w:p w14:paraId="3C4CBC9D" w14:textId="77777777" w:rsidR="00C04533" w:rsidRDefault="00C04533" w:rsidP="00C04533">
      <w:pPr>
        <w:pStyle w:val="TextoNormal"/>
      </w:pPr>
      <w:r>
        <w:t>Por lo expuesto, formulo el presente voto particular.</w:t>
      </w:r>
    </w:p>
    <w:p w14:paraId="21C4D2A2" w14:textId="77777777" w:rsidR="00C04533" w:rsidRDefault="00C04533" w:rsidP="00C04533">
      <w:pPr>
        <w:pStyle w:val="TextoNormal"/>
      </w:pPr>
    </w:p>
    <w:p w14:paraId="685CC3FD" w14:textId="16D15E41" w:rsidR="00C04533" w:rsidRDefault="00C04533" w:rsidP="00C04533">
      <w:pPr>
        <w:pStyle w:val="TextoNormal"/>
      </w:pPr>
      <w:r>
        <w:t>Madrid, a cinco de noviembre de dos mil veinticuatro.</w:t>
      </w:r>
    </w:p>
    <w:p w14:paraId="696C54FF" w14:textId="7C059778" w:rsidR="00C04533" w:rsidRDefault="00C04533">
      <w:pPr>
        <w:spacing w:after="160" w:line="278" w:lineRule="auto"/>
        <w:rPr>
          <w:rFonts w:ascii="Times New Roman" w:eastAsia="Times New Roman" w:hAnsi="Times New Roman" w:cs="Times New Roman"/>
          <w:sz w:val="24"/>
          <w:szCs w:val="24"/>
          <w:lang w:eastAsia="es-ES"/>
        </w:rPr>
      </w:pPr>
      <w:r>
        <w:br w:type="page"/>
      </w:r>
    </w:p>
    <w:p w14:paraId="3AC8B9E9" w14:textId="77777777" w:rsidR="00C04533" w:rsidRDefault="00C04533" w:rsidP="00C04533">
      <w:pPr>
        <w:pStyle w:val="TtuloResolucin"/>
      </w:pPr>
      <w:bookmarkStart w:id="126" w:name="AUTO_2024_120"/>
      <w:r>
        <w:t>AUTO 120/2024, de 5 de noviembre de 2024</w:t>
      </w:r>
    </w:p>
    <w:bookmarkEnd w:id="126"/>
    <w:p w14:paraId="58176385" w14:textId="77777777" w:rsidR="00C04533" w:rsidRDefault="00C04533" w:rsidP="00C04533">
      <w:pPr>
        <w:pStyle w:val="TtuloResolucin"/>
      </w:pPr>
      <w:r>
        <w:t>Pleno</w:t>
      </w:r>
    </w:p>
    <w:p w14:paraId="3BDA3AA0" w14:textId="77777777" w:rsidR="00C04533" w:rsidRDefault="00C04533" w:rsidP="00C04533">
      <w:pPr>
        <w:pStyle w:val="TextoNormalCentrado"/>
      </w:pPr>
      <w:r>
        <w:t>ECLI:ES:TC:2024:120A</w:t>
      </w:r>
    </w:p>
    <w:p w14:paraId="1F4D3123" w14:textId="6F62C987" w:rsidR="00C04533" w:rsidRDefault="00C04533" w:rsidP="00C04533">
      <w:pPr>
        <w:pStyle w:val="TextoNormalCentrado"/>
      </w:pPr>
    </w:p>
    <w:p w14:paraId="55961A36"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6B9D0274" w14:textId="5DFD32E3" w:rsidR="00C04533" w:rsidRDefault="00C04533" w:rsidP="00C04533">
      <w:pPr>
        <w:pStyle w:val="SntesisDescriptiva"/>
      </w:pPr>
    </w:p>
    <w:p w14:paraId="7DC55DA0" w14:textId="77777777" w:rsidR="00C04533" w:rsidRDefault="00C04533" w:rsidP="00C04533">
      <w:pPr>
        <w:pStyle w:val="SntesisDescriptiva"/>
      </w:pPr>
      <w:r>
        <w:t>Inadmite una recusación en el recurso de inconstitucionalidad 6588-2024, interpuesto por el Consell de la Generalitat Valenciana en relación con la Ley Orgánica 1/2024, de 10 de junio, de amnistía para la normalización institucional, política y social en Cataluña. Votos particulares.</w:t>
      </w:r>
    </w:p>
    <w:p w14:paraId="06B0588A" w14:textId="05CF5390" w:rsidR="00C04533" w:rsidRDefault="00C04533" w:rsidP="00C04533">
      <w:pPr>
        <w:pStyle w:val="SntesisDescriptiva"/>
      </w:pPr>
    </w:p>
    <w:p w14:paraId="4E5CF297" w14:textId="77777777" w:rsidR="00C04533" w:rsidRDefault="00C04533" w:rsidP="00C04533">
      <w:pPr>
        <w:pStyle w:val="SntesisDescriptiva"/>
      </w:pPr>
    </w:p>
    <w:p w14:paraId="6CBCCA00" w14:textId="77777777" w:rsidR="00C04533" w:rsidRDefault="00C04533" w:rsidP="00C04533">
      <w:pPr>
        <w:pStyle w:val="SntesisDescriptiva"/>
      </w:pPr>
    </w:p>
    <w:p w14:paraId="1D6A4FB1" w14:textId="77777777" w:rsidR="00C04533" w:rsidRDefault="00C04533" w:rsidP="00C04533">
      <w:pPr>
        <w:pStyle w:val="TextoNormalNegritaCentrado"/>
      </w:pPr>
      <w:r>
        <w:t>AUTO</w:t>
      </w:r>
    </w:p>
    <w:p w14:paraId="2371E5B3" w14:textId="6385C1D7" w:rsidR="00C04533" w:rsidRDefault="00C04533" w:rsidP="00C04533">
      <w:pPr>
        <w:pStyle w:val="TextoNormalNegritaCentrado"/>
      </w:pPr>
    </w:p>
    <w:p w14:paraId="277C4161" w14:textId="77777777" w:rsidR="00C04533" w:rsidRDefault="00C04533" w:rsidP="00C04533">
      <w:pPr>
        <w:pStyle w:val="TextoNormalNegritaCentrado"/>
        <w:keepNext/>
      </w:pPr>
      <w:r>
        <w:t>I. Antecedentes</w:t>
      </w:r>
    </w:p>
    <w:p w14:paraId="34B7A485" w14:textId="042F592A" w:rsidR="00C04533" w:rsidRDefault="00C04533" w:rsidP="00C04533">
      <w:pPr>
        <w:pStyle w:val="TextoNormalNegritaCentrado"/>
        <w:keepNext/>
      </w:pPr>
    </w:p>
    <w:p w14:paraId="001731C8" w14:textId="10D00FC4" w:rsidR="00C04533" w:rsidRDefault="00C04533" w:rsidP="00C04533">
      <w:pPr>
        <w:pStyle w:val="TextoNormal"/>
      </w:pPr>
      <w:r w:rsidRPr="00C04533">
        <w:rPr>
          <w:rStyle w:val="NumeroAFNegritaCaracter"/>
        </w:rPr>
        <w:t>1</w:t>
      </w:r>
      <w:r>
        <w:t>. Por el Consell de la Generalitat Valenciana se ha interpuesto recurso de inconstitucionalidad en relación con la Ley Orgánica 1/2024, de 10 de junio, de amnistía para la normalización institucional, política y social en Cataluña, mediante escrito registrado en este tribunal el 9 de septiembre de 2024, en el que promueve, por otrosí, la recusación, entre otros, de la magistrada doña Laura Díez Bueso.</w:t>
      </w:r>
    </w:p>
    <w:p w14:paraId="3B62019F" w14:textId="77777777" w:rsidR="00C04533" w:rsidRDefault="00C04533" w:rsidP="00C04533">
      <w:pPr>
        <w:pStyle w:val="TextoNormal"/>
      </w:pPr>
    </w:p>
    <w:p w14:paraId="22AD0161" w14:textId="6BD11C53"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las causas 10, 12, 13, 14 y 16 de las previstas en el art. 219 de la Ley Orgánica del Poder Judicial (LOPJ), con fundamento en que la magistrada recusada desempeñó entre 2020 y 2022 el cargo de directora general de Asuntos Constitucionales y Coordinación Jurídica del Ministerio de la Presidencia, Relaciones con las Cortes y Memoria Democrática, “[e]s decir, que en el Gobierno que otorgó los nueve indultos parciales a los condenados por la STS 459/2019, la señora Díez ostentaba competencias sobre el seguimiento, coordinación e informe de todos los asuntos de relevancia constitucional con los que se enfrentase el referido Gobierno, siendo, sin lugar a dudas el tema de los indultos, uno de ellos. Además, se le han atribuido manifestaciones explícitas en las que se habría pronunciado en contra de la aplicación del artículo 155 de la CE como medio para finalizar el procés, alineándose con la motivación y con el relato ficticio mantenido en el preámbulo de la Ley: la necesidad de devolver el conflicto a la política, ante una supuesta judicialización del mismo, y a través de una normalización política”. Por último, se indica que tuvo una evidente relación de dependencia, “no solo respecto del actual presidente del Gobierno, sino también del ministro de Presidencia que dirigió la negociación de la proposición que desembocó en la Ley de amnistía”.</w:t>
      </w:r>
    </w:p>
    <w:p w14:paraId="221BD720" w14:textId="77777777" w:rsidR="00C04533" w:rsidRDefault="00C04533" w:rsidP="00C04533">
      <w:pPr>
        <w:pStyle w:val="TextoNormal"/>
      </w:pPr>
    </w:p>
    <w:p w14:paraId="4983361B" w14:textId="49BF8B37" w:rsidR="00C04533" w:rsidRDefault="00C04533" w:rsidP="00C04533">
      <w:pPr>
        <w:pStyle w:val="TextoNormal"/>
      </w:pPr>
      <w:r w:rsidRPr="00C04533">
        <w:rPr>
          <w:rStyle w:val="NumeroAFNegritaCaracter"/>
        </w:rPr>
        <w:t>3</w:t>
      </w:r>
      <w:r>
        <w:t>. La Secretaría de Justicia del Pleno del Tribunal, mediante diligencia de ordenación de 23 de octubre de 2024, consignó que la ponencia del incidente de recusación correspondía por turno de reparto al magistrado don Ramón Sáez Valcárcel.</w:t>
      </w:r>
    </w:p>
    <w:p w14:paraId="1A063F2B" w14:textId="77777777" w:rsidR="00C04533" w:rsidRDefault="00C04533" w:rsidP="00C04533">
      <w:pPr>
        <w:pStyle w:val="TextoNormal"/>
      </w:pPr>
    </w:p>
    <w:p w14:paraId="58DB8B7D" w14:textId="36EB930F" w:rsidR="00C04533" w:rsidRDefault="00C04533" w:rsidP="00C04533">
      <w:pPr>
        <w:pStyle w:val="TextoNormal"/>
      </w:pPr>
      <w:r w:rsidRPr="00C04533">
        <w:rPr>
          <w:rStyle w:val="NumeroAFNegritaCaracter"/>
        </w:rPr>
        <w:t>4</w:t>
      </w:r>
      <w:r>
        <w:t>. Finalmente, ha de advertirse que en la composición del Pleno del Tribunal solo intervienen nueve de sus miembros, no participando la magistrada cuya recusación se resuelve, el magistrado don Juan Carlos Campo Moreno, cuya abstención fue aceptada por ATC 91/2024, de 24 de septiembre, ni el magistrado don José María Macías Castaño, cuya recusación está pendiente de resolución.</w:t>
      </w:r>
    </w:p>
    <w:p w14:paraId="61F30925" w14:textId="77777777" w:rsidR="00C04533" w:rsidRDefault="00C04533" w:rsidP="00C04533">
      <w:pPr>
        <w:pStyle w:val="TextoNormal"/>
      </w:pPr>
    </w:p>
    <w:p w14:paraId="59FC3517" w14:textId="77777777" w:rsidR="00C04533" w:rsidRDefault="00C04533" w:rsidP="00C04533">
      <w:pPr>
        <w:pStyle w:val="TextoNormalNegritaCentrado"/>
        <w:keepNext/>
      </w:pPr>
      <w:r>
        <w:t>II. Fundamentos jurídicos</w:t>
      </w:r>
    </w:p>
    <w:p w14:paraId="389199F3" w14:textId="44CBD020" w:rsidR="00C04533" w:rsidRDefault="00C04533" w:rsidP="00C04533">
      <w:pPr>
        <w:pStyle w:val="TextoNormalNegritaCentrado"/>
        <w:keepNext/>
      </w:pPr>
    </w:p>
    <w:p w14:paraId="01FAA102" w14:textId="3FBDA48C" w:rsidR="00C04533" w:rsidRDefault="00C04533" w:rsidP="00C04533">
      <w:pPr>
        <w:pStyle w:val="TextoNormal"/>
      </w:pPr>
      <w:r w:rsidRPr="00C04533">
        <w:rPr>
          <w:rStyle w:val="NumeroAFNegritaCaracter"/>
        </w:rPr>
        <w:t>1</w:t>
      </w:r>
      <w:r>
        <w:t>. La parte recurrente sustenta la recusación en las causas 10, 12, 13, 14 y 16 de las previstas en el art. 219 LOPJ, con fundamento en que la magistrada recusada, mientras desempeñó el cargo de directora general de Asuntos Constitucionales y Coordinación Jurídica del Ministerio de la Presidencia, Relaciones con las Cortes y Memoria Democrática, habría intervenido en la fijación de criterio sobre la constitucionalidad de los indultos parciales concedidos a condenados por la sentencia 459/2019, de 14 de octubre, dictada por la Sala de lo Penal del Tribunal Supremo (ECLI:ES:TS:2019:2997), cuestión ligada a la amnistía aprobada por la Ley Orgánica 1/2024, de 10 de junio, objeto del presente recurso de inconstitucionalidad. Se expone además que ha realizado manifestaciones explícitas alineándose con lo mantenido en el preámbulo de la Ley impugnada sobre la necesidad de una normalización política y, por último, se indica que tuvo una evidente relación de dependencia respecto del actual presidente del Gobierno y de quien era ministro de la Presidencia, Relaciones con las Cortes y Memoria Democrática.</w:t>
      </w:r>
    </w:p>
    <w:p w14:paraId="674D9C67" w14:textId="77777777" w:rsidR="00C04533" w:rsidRDefault="00C04533" w:rsidP="00C04533">
      <w:pPr>
        <w:pStyle w:val="TextoNormal"/>
      </w:pPr>
    </w:p>
    <w:p w14:paraId="75E998A4" w14:textId="6F020FBA" w:rsidR="00C04533" w:rsidRDefault="00C04533" w:rsidP="00C04533">
      <w:pPr>
        <w:pStyle w:val="TextoNormal"/>
      </w:pPr>
      <w:r w:rsidRPr="00C04533">
        <w:rPr>
          <w:rStyle w:val="NumeroAFNegritaCaracter"/>
        </w:rPr>
        <w:t>2</w:t>
      </w:r>
      <w:r>
        <w:t>. Los motivos de recusación expuestos han sido rechazados por el reciente ATC 105/2024, de 22 de octubre, en el que señalamos que “[n]o se apela a una intervención acreditada y definida de la recusada, sino a la suposición de que ‘debió intervenir’ en la fijación del criterio del Ministerio de la Presidencia, y no se alude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Bueso cesó el 26 de abril de 2022, iniciándose la tramitación parlamentaria de la Ley Orgánica 1/2024 recurrida como proposición de ley presentada por el Grupo Parlamentario Socialista, el 24 de noviembre de 2023. Se trata de un discurso que se asienta en circunstancias hipotéticas, sobre actuaciones desconectadas del objeto del recurso de inconstitucionalidad, que no puede acreditar ninguno de los motivos de pérdida de la imparcialidad” de la magistrada [FJ 3 (i)].</w:t>
      </w:r>
    </w:p>
    <w:p w14:paraId="64B23702" w14:textId="77777777" w:rsidR="00C04533" w:rsidRDefault="00C04533" w:rsidP="00C04533">
      <w:pPr>
        <w:pStyle w:val="TextoNormal"/>
      </w:pPr>
    </w:p>
    <w:p w14:paraId="10E14926" w14:textId="38F797F3" w:rsidR="00C04533" w:rsidRDefault="00C04533" w:rsidP="00C04533">
      <w:pPr>
        <w:pStyle w:val="TextoNormal"/>
      </w:pPr>
      <w:r w:rsidRPr="00C04533">
        <w:rPr>
          <w:rStyle w:val="NumeroAFNegritaCaracter"/>
        </w:rPr>
        <w:t>3</w:t>
      </w:r>
      <w:r>
        <w:t xml:space="preserve">. Igualmente inefectiva para fundar una duda sobre la imparcialidad de la señora Díez Bueso se revela la coautoría del trabajo académico </w:t>
      </w:r>
      <w:r w:rsidRPr="00C04533">
        <w:rPr>
          <w:i/>
        </w:rPr>
        <w:t>Valoración general del Estado autonómico</w:t>
      </w:r>
      <w:r>
        <w:t>, publicado en el año 2018, pues su contenido no implica “prejuicio o previa toma de posición sobre el objeto de la norma sometida a enjuiciamiento constitucional ni permiten fundar la existencia de un interés directo o indirecto en este proceso constitucional” y “[m]ás allá de la falta de presupuesto del motivo, la doctrina constitucional considera que no está justificada la duda de imparcialidad que se vincula a manifestaciones vertidas en publicaciones académicas o artículos de opinión publicados antes de haber adquirido la condición de magistrado, incluso si en ellos se defiende una tesis contraria a una de las partes” [FJ 3 (ii)].</w:t>
      </w:r>
    </w:p>
    <w:p w14:paraId="7626DF26" w14:textId="77777777" w:rsidR="00C04533" w:rsidRDefault="00C04533" w:rsidP="00C04533">
      <w:pPr>
        <w:pStyle w:val="TextoNormal"/>
      </w:pPr>
    </w:p>
    <w:p w14:paraId="1082B2DB" w14:textId="01A1B850" w:rsidR="00C04533" w:rsidRDefault="00C04533" w:rsidP="00C04533">
      <w:pPr>
        <w:pStyle w:val="TextoNormal"/>
      </w:pPr>
      <w:r w:rsidRPr="00C04533">
        <w:rPr>
          <w:rStyle w:val="NumeroAFNegritaCaracter"/>
        </w:rPr>
        <w:t>4</w:t>
      </w:r>
      <w:r>
        <w:t>. Por último, debe rechazarse la alegación referida a la pasada dependencia jerárquica de la señora Díez Bueso respecto a los señores Sánchez y Bolaños, presidente y ministro del Gobierno de la Nación respectivamente, pues se aduce así una relación inversa a la que contempla el art. 219.12 LOPJ, que alude a la subordinación de una parte al juez, y no viceversa, por lo que no puede aceptarse como causa de recusación [FJ 3 (iii)].</w:t>
      </w:r>
    </w:p>
    <w:p w14:paraId="107B6549" w14:textId="77777777" w:rsidR="00C04533" w:rsidRDefault="00C04533" w:rsidP="00C04533">
      <w:pPr>
        <w:pStyle w:val="TextoNormal"/>
      </w:pPr>
    </w:p>
    <w:p w14:paraId="7858E5B8" w14:textId="77777777" w:rsidR="00C04533" w:rsidRDefault="00C04533" w:rsidP="00C04533">
      <w:pPr>
        <w:pStyle w:val="TextoNormal"/>
      </w:pPr>
      <w:r>
        <w:t>Por lo expuesto, el Pleno</w:t>
      </w:r>
    </w:p>
    <w:p w14:paraId="58B83008" w14:textId="2D1777BA" w:rsidR="00C04533" w:rsidRDefault="00C04533" w:rsidP="00C04533">
      <w:pPr>
        <w:pStyle w:val="TextoNormal"/>
      </w:pPr>
    </w:p>
    <w:p w14:paraId="07909AC0" w14:textId="77777777" w:rsidR="00C04533" w:rsidRDefault="00C04533" w:rsidP="00C04533">
      <w:pPr>
        <w:pStyle w:val="TextoNormalCentrado"/>
      </w:pPr>
      <w:r>
        <w:t>ACUERDA</w:t>
      </w:r>
    </w:p>
    <w:p w14:paraId="0E520708" w14:textId="7BE47CB1" w:rsidR="00C04533" w:rsidRDefault="00C04533" w:rsidP="00C04533">
      <w:pPr>
        <w:pStyle w:val="TextoNormalCentrado"/>
      </w:pPr>
    </w:p>
    <w:p w14:paraId="7D56ABCE" w14:textId="0109E983" w:rsidR="00C04533" w:rsidRDefault="00C04533" w:rsidP="00C04533">
      <w:pPr>
        <w:pStyle w:val="TextoNormal"/>
      </w:pPr>
      <w:r>
        <w:t>No admitir a trámite la recusación de la magistrada doña Laura Díez Bueso, promovida en el recurso de inconstitucionalidad núm. 6588-2024 por el Consell de la Generalitat Valenciana.</w:t>
      </w:r>
    </w:p>
    <w:p w14:paraId="3B55EE8E" w14:textId="77777777" w:rsidR="00C04533" w:rsidRDefault="00C04533" w:rsidP="00C04533">
      <w:pPr>
        <w:pStyle w:val="TextoNormal"/>
      </w:pPr>
    </w:p>
    <w:p w14:paraId="5F7FCF08" w14:textId="77777777" w:rsidR="00C04533" w:rsidRDefault="00C04533" w:rsidP="00C04533">
      <w:pPr>
        <w:pStyle w:val="TextoNormal"/>
      </w:pPr>
      <w:r>
        <w:t>Madrid, a cinco de noviembre de dos mil veinticuatro.</w:t>
      </w:r>
    </w:p>
    <w:p w14:paraId="21D3340C" w14:textId="3E806A6E" w:rsidR="00C04533" w:rsidRDefault="00C04533" w:rsidP="00C04533">
      <w:pPr>
        <w:pStyle w:val="ParrafoNormal"/>
      </w:pPr>
    </w:p>
    <w:p w14:paraId="17AAD932" w14:textId="77777777" w:rsidR="00C04533" w:rsidRDefault="00C04533" w:rsidP="00C04533">
      <w:pPr>
        <w:pStyle w:val="TextoNormalNegritaCentrado"/>
        <w:keepNext/>
      </w:pPr>
      <w:r>
        <w:t>Voto particular que formula el magistrado don Enrique Arnaldo Alcubilla al auto dictado en el recurso de inconstitucionalidad núm. 6588-2024, que inadmite la recusación de la magistrada doña Laura Díez Bueso</w:t>
      </w:r>
    </w:p>
    <w:p w14:paraId="182489E4" w14:textId="4CCAB5BC" w:rsidR="00C04533" w:rsidRDefault="00C04533" w:rsidP="00C04533">
      <w:pPr>
        <w:pStyle w:val="TextoNormalNegritaCentrado"/>
        <w:keepNext/>
      </w:pPr>
    </w:p>
    <w:p w14:paraId="54A81ABE"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186DB737" w14:textId="77777777" w:rsidR="00C04533" w:rsidRDefault="00C04533" w:rsidP="00C04533">
      <w:pPr>
        <w:pStyle w:val="TextoNormal"/>
      </w:pPr>
    </w:p>
    <w:p w14:paraId="006EEF3C" w14:textId="77777777" w:rsidR="00C04533" w:rsidRDefault="00C04533" w:rsidP="00C04533">
      <w:pPr>
        <w:pStyle w:val="TextoNormal"/>
      </w:pPr>
      <w:r>
        <w:t>El auto, que ha sido dictado por un Pleno del Tribunal compuesto de nueve magistrados (una vez rechazada por ATC 93/2024, de 8 de octubre, la recusación del presidente don Cándido Conde-Pumpido Tourón), acuerda, por remisión a lo resuelto en el ATC 105/2024, de 22 de octubre, inadmitir la recusación promovida por el Consell de la Generalitat Valenciana respecto de la magistrada doña Laura Díez Bueso, en el recurso de inconstitucionalidad interpuesto contra la Ley Orgánica 1/2024, de amnistía para la normalización institucional, política y social en Cataluña.</w:t>
      </w:r>
    </w:p>
    <w:p w14:paraId="393E3DEE" w14:textId="77777777" w:rsidR="00C04533" w:rsidRDefault="00C04533" w:rsidP="00C04533">
      <w:pPr>
        <w:pStyle w:val="TextoNormal"/>
      </w:pPr>
    </w:p>
    <w:p w14:paraId="148B65E1" w14:textId="77777777" w:rsidR="00C04533" w:rsidRDefault="00C04533" w:rsidP="00C04533">
      <w:pPr>
        <w:pStyle w:val="TextoNormal"/>
      </w:pPr>
      <w:r>
        <w:t>No disiento en este punto del auto aprobado por la mayoría del Pleno, pues comparto la decisión de inadmitir la recusación de la magistrada doña Laura Díez Bueso por las razones que allí se indican.</w:t>
      </w:r>
    </w:p>
    <w:p w14:paraId="489190B7" w14:textId="77777777" w:rsidR="00C04533" w:rsidRDefault="00C04533" w:rsidP="00C04533">
      <w:pPr>
        <w:pStyle w:val="TextoNormal"/>
      </w:pPr>
    </w:p>
    <w:p w14:paraId="648EACE5" w14:textId="77777777" w:rsidR="00C04533" w:rsidRDefault="00C04533" w:rsidP="00C04533">
      <w:pPr>
        <w:pStyle w:val="TextoNormal"/>
      </w:pPr>
      <w:r>
        <w:t>Mi discrepancia con este auto, al igual que sucedía con el ATC 93/2024, de 8 de octubre, que inadmitió la recusación del presidente del Tribunal don Cándido Conde-Pumpido Tourón, y con el ATC 105/2024, de 22 de octubre, que inadmitió la recusación de la propia magistrada doña Laura Díez Bueso (en el recurso de inconstitucionalidad núm. 6436-2024), se refiere a la composición del Pleno para la resolución de este incidente de recusación, pues no se explican suficientemente las razones por las que está integrado solo por nueve magistrados (más allá de la escueta indicación del antecedente 4) ni tampoco, y esto es lo fundamental, por qué se han resuelto de manera separada las recusaciones del presidente del Tribunal y de la magistrada doña Laura Díez Bueso, a los que el Ejecutivo recurrente ha recusado conjuntamente (así como al magistrado don Juan Carlos Campo Moreno, si bien la abstención de este ya fue aceptada por el Tribunal en el ATC 91/2024, de 24 de septiembre).</w:t>
      </w:r>
    </w:p>
    <w:p w14:paraId="1B53EFE5" w14:textId="77777777" w:rsidR="00C04533" w:rsidRDefault="00C04533" w:rsidP="00C04533">
      <w:pPr>
        <w:pStyle w:val="TextoNormal"/>
      </w:pPr>
    </w:p>
    <w:p w14:paraId="4C1E544B" w14:textId="77777777" w:rsidR="00C04533" w:rsidRDefault="00C04533" w:rsidP="00C04533">
      <w:pPr>
        <w:pStyle w:val="TextoNormal"/>
      </w:pPr>
      <w: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Ejecutivo recurrente.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14:paraId="597053C7" w14:textId="77777777" w:rsidR="00C04533" w:rsidRDefault="00C04533" w:rsidP="00C04533">
      <w:pPr>
        <w:pStyle w:val="TextoNormal"/>
      </w:pPr>
    </w:p>
    <w:p w14:paraId="1350C4E7"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14:paraId="090B7E62" w14:textId="77777777" w:rsidR="00C04533" w:rsidRDefault="00C04533" w:rsidP="00C04533">
      <w:pPr>
        <w:pStyle w:val="TextoNormal"/>
      </w:pPr>
    </w:p>
    <w:p w14:paraId="5B4BBC74" w14:textId="77777777" w:rsidR="00C04533" w:rsidRDefault="00C04533" w:rsidP="00C04533">
      <w:pPr>
        <w:pStyle w:val="TextoNormal"/>
      </w:pPr>
      <w:r>
        <w:t>Como consecuencia de la extravagante decisión de resolver separadamente ambas recusaciones, resulta que tras rechazar el Tribunal la recusación del presidente don Cándido Conde-Pumpido Tourón (ATC 93/2024, de 8 de octubre), este ha podido intervenir en el Pleno que ha aprobado el rechazo la recusación de la magistrada doña Laura Díez Bueso, sin que ello resulte justificado.</w:t>
      </w:r>
    </w:p>
    <w:p w14:paraId="52E9DA8A" w14:textId="77777777" w:rsidR="00C04533" w:rsidRDefault="00C04533" w:rsidP="00C04533">
      <w:pPr>
        <w:pStyle w:val="TextoNormal"/>
      </w:pPr>
    </w:p>
    <w:p w14:paraId="05D0173D" w14:textId="77777777" w:rsidR="00C04533" w:rsidRDefault="00C04533" w:rsidP="00C04533">
      <w:pPr>
        <w:pStyle w:val="TextoNormal"/>
      </w:pPr>
      <w:r>
        <w:t>En fin, no debe dejarse de señalar que tampoco se explican las razones que llevan a excluir al magistrado don José María Macías Castaño en la composición del Pleno que ha dictado el auto que nos ocupa, más allá del lacónico enunciado del antecedente 4. La recusación de este magistrado ha sido planteada por el abogado del Estado, como ya advertí en votos particulares anteriores, en procesos constitucionales todavía no admitidos a trámite y en los que, por tanto, la Abogacía del Estado no ha adquirido aún la condición de parte. Justamente por ello, esa recusación ha sido rechazada por este tribunal por ATC 116/2024, de 5 de noviembre.</w:t>
      </w:r>
    </w:p>
    <w:p w14:paraId="08953D53" w14:textId="77777777" w:rsidR="00C04533" w:rsidRDefault="00C04533" w:rsidP="00C04533">
      <w:pPr>
        <w:pStyle w:val="TextoNormal"/>
      </w:pPr>
    </w:p>
    <w:p w14:paraId="3634D1C3"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315150E1" w14:textId="77777777" w:rsidR="00C04533" w:rsidRDefault="00C04533" w:rsidP="00C04533">
      <w:pPr>
        <w:pStyle w:val="TextoNormal"/>
      </w:pPr>
    </w:p>
    <w:p w14:paraId="242AB734" w14:textId="1798A327" w:rsidR="00C04533" w:rsidRDefault="00C04533" w:rsidP="00C04533">
      <w:pPr>
        <w:pStyle w:val="TextoNormal"/>
      </w:pPr>
      <w:r>
        <w:t>Madrid, a seis de noviembre de dos mil veinticuatro.</w:t>
      </w:r>
    </w:p>
    <w:p w14:paraId="09285DC9" w14:textId="77777777" w:rsidR="00C04533" w:rsidRDefault="00C04533" w:rsidP="00C04533">
      <w:pPr>
        <w:pStyle w:val="TextoNormal"/>
      </w:pPr>
    </w:p>
    <w:p w14:paraId="099B49EF" w14:textId="77777777" w:rsidR="00C04533" w:rsidRDefault="00C04533" w:rsidP="00C04533">
      <w:pPr>
        <w:pStyle w:val="TextoNormalNegritaCentrado"/>
        <w:keepNext/>
      </w:pPr>
      <w:r>
        <w:t>Voto particular discrepante que formula la magistrada doña Concepción Espejel Jorquera al auto de 5 de noviembre de 2024, dictado en el incidente de recusación de la magistrada del Tribunal doña Laura Díez Bueso planteado en el recurso de inconstitucionalidad núm. 6588-2024</w:t>
      </w:r>
    </w:p>
    <w:p w14:paraId="34A46F47" w14:textId="779AD2F0" w:rsidR="00C04533" w:rsidRDefault="00C04533" w:rsidP="00C04533">
      <w:pPr>
        <w:pStyle w:val="TextoNormalNegritaCentrado"/>
        <w:keepNext/>
      </w:pPr>
    </w:p>
    <w:p w14:paraId="2AEA2800" w14:textId="77777777" w:rsidR="00C04533" w:rsidRDefault="00C04533" w:rsidP="00C04533">
      <w:pPr>
        <w:pStyle w:val="TextoNormal"/>
      </w:pPr>
      <w:r>
        <w:t>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14:paraId="3C4AAD81" w14:textId="77777777" w:rsidR="00C04533" w:rsidRDefault="00C04533" w:rsidP="00C04533">
      <w:pPr>
        <w:pStyle w:val="TextoNormal"/>
      </w:pPr>
    </w:p>
    <w:p w14:paraId="503742DA" w14:textId="77777777" w:rsidR="00C04533" w:rsidRDefault="00C04533" w:rsidP="00C04533">
      <w:pPr>
        <w:pStyle w:val="TextoNormal"/>
      </w:pPr>
      <w:r>
        <w:t>Me remito al voto particular formulado en el ATC 93/2024, de 8 de octubre, en el recurso de inconstitucionalidad núm. 6436-2024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4304BBD6" w14:textId="77777777" w:rsidR="00C04533" w:rsidRDefault="00C04533" w:rsidP="00C04533">
      <w:pPr>
        <w:pStyle w:val="TextoNormal"/>
      </w:pPr>
    </w:p>
    <w:p w14:paraId="4CDB63A5"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14:paraId="38097731" w14:textId="77777777" w:rsidR="00C04533" w:rsidRDefault="00C04533" w:rsidP="00C04533">
      <w:pPr>
        <w:pStyle w:val="TextoNormal"/>
      </w:pPr>
    </w:p>
    <w:p w14:paraId="667F68FB" w14:textId="77777777" w:rsidR="00C04533" w:rsidRDefault="00C04533" w:rsidP="00C04533">
      <w:pPr>
        <w:pStyle w:val="TextoNormal"/>
      </w:pPr>
      <w:r>
        <w:t>Por lo expuesto, formulo el presente voto particular.</w:t>
      </w:r>
    </w:p>
    <w:p w14:paraId="203608CE" w14:textId="77777777" w:rsidR="00C04533" w:rsidRDefault="00C04533" w:rsidP="00C04533">
      <w:pPr>
        <w:pStyle w:val="TextoNormal"/>
      </w:pPr>
    </w:p>
    <w:p w14:paraId="24D0259C" w14:textId="53FC8A45" w:rsidR="00C04533" w:rsidRDefault="00C04533" w:rsidP="00C04533">
      <w:pPr>
        <w:pStyle w:val="TextoNormal"/>
      </w:pPr>
      <w:r>
        <w:t>Madrid, a cinco de noviembre de dos mil veinticuatro.</w:t>
      </w:r>
    </w:p>
    <w:p w14:paraId="3FA3C066" w14:textId="0818DA5B" w:rsidR="00C04533" w:rsidRDefault="00C04533">
      <w:pPr>
        <w:spacing w:after="160" w:line="278" w:lineRule="auto"/>
        <w:rPr>
          <w:rFonts w:ascii="Times New Roman" w:eastAsia="Times New Roman" w:hAnsi="Times New Roman" w:cs="Times New Roman"/>
          <w:sz w:val="24"/>
          <w:szCs w:val="24"/>
          <w:lang w:eastAsia="es-ES"/>
        </w:rPr>
      </w:pPr>
      <w:r>
        <w:br w:type="page"/>
      </w:r>
    </w:p>
    <w:p w14:paraId="36AFDAF5" w14:textId="77777777" w:rsidR="00C04533" w:rsidRDefault="00C04533" w:rsidP="00C04533">
      <w:pPr>
        <w:pStyle w:val="TtuloResolucin"/>
      </w:pPr>
      <w:bookmarkStart w:id="127" w:name="AUTO_2024_121"/>
      <w:r>
        <w:t>AUTO 121/2024, de 5 de noviembre de 2024</w:t>
      </w:r>
    </w:p>
    <w:bookmarkEnd w:id="127"/>
    <w:p w14:paraId="648473F5" w14:textId="77777777" w:rsidR="00C04533" w:rsidRDefault="00C04533" w:rsidP="00C04533">
      <w:pPr>
        <w:pStyle w:val="TtuloResolucin"/>
      </w:pPr>
      <w:r>
        <w:t>Pleno</w:t>
      </w:r>
    </w:p>
    <w:p w14:paraId="1C4B9748" w14:textId="77777777" w:rsidR="00C04533" w:rsidRDefault="00C04533" w:rsidP="00C04533">
      <w:pPr>
        <w:pStyle w:val="TextoNormalCentrado"/>
      </w:pPr>
      <w:r>
        <w:t>ECLI:ES:TC:2024:121A</w:t>
      </w:r>
    </w:p>
    <w:p w14:paraId="59B3084B" w14:textId="44521710" w:rsidR="00C04533" w:rsidRDefault="00C04533" w:rsidP="00C04533">
      <w:pPr>
        <w:pStyle w:val="TextoNormalCentrado"/>
      </w:pPr>
    </w:p>
    <w:p w14:paraId="619C0090"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4B60E66F" w14:textId="26FA0B9B" w:rsidR="00C04533" w:rsidRDefault="00C04533" w:rsidP="00C04533">
      <w:pPr>
        <w:pStyle w:val="SntesisDescriptiva"/>
      </w:pPr>
    </w:p>
    <w:p w14:paraId="7776F497" w14:textId="77777777" w:rsidR="00C04533" w:rsidRDefault="00C04533" w:rsidP="00C04533">
      <w:pPr>
        <w:pStyle w:val="SntesisDescriptiva"/>
      </w:pPr>
      <w:r>
        <w:t>Inadmite una recusación en el recurso de inconstitucionalidad 6595-2024, interpuesto por el Consejo de Gobierno de la Junta de Castilla y León en relación con la Ley Orgánica 1/2024, de 10 de junio, de amnistía para la normalización institucional, política y social en Cataluña. Votos particulares.</w:t>
      </w:r>
    </w:p>
    <w:p w14:paraId="38639736" w14:textId="0243A0A8" w:rsidR="00C04533" w:rsidRDefault="00C04533" w:rsidP="00C04533">
      <w:pPr>
        <w:pStyle w:val="SntesisDescriptiva"/>
      </w:pPr>
    </w:p>
    <w:p w14:paraId="6AE63F54" w14:textId="77777777" w:rsidR="00C04533" w:rsidRDefault="00C04533" w:rsidP="00C04533">
      <w:pPr>
        <w:pStyle w:val="SntesisDescriptiva"/>
      </w:pPr>
    </w:p>
    <w:p w14:paraId="2B7B3F98" w14:textId="77777777" w:rsidR="00C04533" w:rsidRDefault="00C04533" w:rsidP="00C04533">
      <w:pPr>
        <w:pStyle w:val="SntesisDescriptiva"/>
      </w:pPr>
    </w:p>
    <w:p w14:paraId="6BA1321D" w14:textId="77777777" w:rsidR="00C04533" w:rsidRDefault="00C04533" w:rsidP="00C04533">
      <w:pPr>
        <w:pStyle w:val="TextoNormalNegritaCentrado"/>
      </w:pPr>
      <w:r>
        <w:t>AUTO</w:t>
      </w:r>
    </w:p>
    <w:p w14:paraId="5BB17BBF" w14:textId="42E523F4" w:rsidR="00C04533" w:rsidRDefault="00C04533" w:rsidP="00C04533">
      <w:pPr>
        <w:pStyle w:val="TextoNormalNegritaCentrado"/>
      </w:pPr>
    </w:p>
    <w:p w14:paraId="3EA8DF8C" w14:textId="77777777" w:rsidR="00C04533" w:rsidRDefault="00C04533" w:rsidP="00C04533">
      <w:pPr>
        <w:pStyle w:val="TextoNormalNegritaCentrado"/>
        <w:keepNext/>
      </w:pPr>
      <w:r>
        <w:t>I. Antecedentes</w:t>
      </w:r>
    </w:p>
    <w:p w14:paraId="07B3E509" w14:textId="1B664D1C" w:rsidR="00C04533" w:rsidRDefault="00C04533" w:rsidP="00C04533">
      <w:pPr>
        <w:pStyle w:val="TextoNormalNegritaCentrado"/>
        <w:keepNext/>
      </w:pPr>
    </w:p>
    <w:p w14:paraId="4113D685" w14:textId="3BBAF883" w:rsidR="00C04533" w:rsidRDefault="00C04533" w:rsidP="00C04533">
      <w:pPr>
        <w:pStyle w:val="TextoNormal"/>
      </w:pPr>
      <w:r w:rsidRPr="00C04533">
        <w:rPr>
          <w:rStyle w:val="NumeroAFNegritaCaracter"/>
        </w:rPr>
        <w:t>1</w:t>
      </w:r>
      <w:r>
        <w:t>. Por el Consejo de Gobierno de la Junta de Castilla y León se ha interpuesto recurso de inconstitucionalidad en relación con la Ley Orgánica 1/2024, de 10 de junio, de amnistía para la normalización institucional, política y social en Cataluña, mediante escrito registrado en este tribunal el 10 de septiembre de 2024, en el que promueve, por otrosí, la recusación, entre otros, de la magistrada doña Laura Díez Bueso.</w:t>
      </w:r>
    </w:p>
    <w:p w14:paraId="4091E34E" w14:textId="77777777" w:rsidR="00C04533" w:rsidRDefault="00C04533" w:rsidP="00C04533">
      <w:pPr>
        <w:pStyle w:val="TextoNormal"/>
      </w:pPr>
    </w:p>
    <w:p w14:paraId="594607EB" w14:textId="42BBBB20"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las causas decimotercera y decimosexta de las previstas en el art. 219 de la Ley Orgánica del Poder Judicial (LOPJ), con fundamento en que la magistrada recusada ha tenido “una extensa carrera política al servicio del Partido Socialista de Cataluña y del propio gobierno socialista presidido por el señor Sánchez inmediatamente antes de su nombramiento como magistrada”; y que como directora general de Asuntos Constitucionales y Coordinación Jurídica resulta incuestionable que debió intervenir en la fijación del criterio del Ministerio de la Presidencia sobre la constitucionalidad de los indultos parciales otorgados a los condenados por la sentencia 459/2019, de 14 de octubre, de la Sala de lo Penal del Tribunal Supremo, así como sobre la constitucionalidad de la propia amnistía.</w:t>
      </w:r>
    </w:p>
    <w:p w14:paraId="12A2A918" w14:textId="77777777" w:rsidR="00C04533" w:rsidRDefault="00C04533" w:rsidP="00C04533">
      <w:pPr>
        <w:pStyle w:val="TextoNormal"/>
      </w:pPr>
    </w:p>
    <w:p w14:paraId="2D8C7CC4" w14:textId="019B2C05" w:rsidR="00C04533" w:rsidRDefault="00C04533" w:rsidP="00C04533">
      <w:pPr>
        <w:pStyle w:val="TextoNormal"/>
      </w:pPr>
      <w:r w:rsidRPr="00C04533">
        <w:rPr>
          <w:rStyle w:val="NumeroAFNegritaCaracter"/>
        </w:rPr>
        <w:t>3</w:t>
      </w:r>
      <w:r>
        <w:t>. La Secretaría de Justicia del Pleno del Tribunal, mediante diligencia de ordenación de 23 de octubre de 2024, consignó que la ponencia del incidente de recusación correspondía por turno de reparto a la magistrada doña Concepción Espejel Jorquera.</w:t>
      </w:r>
    </w:p>
    <w:p w14:paraId="150DBA08" w14:textId="77777777" w:rsidR="00C04533" w:rsidRDefault="00C04533" w:rsidP="00C04533">
      <w:pPr>
        <w:pStyle w:val="TextoNormal"/>
      </w:pPr>
    </w:p>
    <w:p w14:paraId="739DE8A5" w14:textId="0255F1D5" w:rsidR="00C04533" w:rsidRDefault="00C04533" w:rsidP="00C04533">
      <w:pPr>
        <w:pStyle w:val="TextoNormal"/>
      </w:pPr>
      <w:r w:rsidRPr="00C04533">
        <w:rPr>
          <w:rStyle w:val="NumeroAFNegritaCaracter"/>
        </w:rPr>
        <w:t>4</w:t>
      </w:r>
      <w:r>
        <w:t>. Finalmente, ha de advertirse que en la composición del Pleno del Tribunal solo intervienen nueve de sus miembros, no participando la magistrada cuya recusación se resuelve, el magistrado don Juan Carlos Campo Moreno, cuya abstención fue aceptada por ATC 91/2024, de 24 de septiembre, ni el magistrado don José María Macías Castaño, cuya recusación está pendiente de resolución.</w:t>
      </w:r>
    </w:p>
    <w:p w14:paraId="32F60E72" w14:textId="77777777" w:rsidR="00C04533" w:rsidRDefault="00C04533" w:rsidP="00C04533">
      <w:pPr>
        <w:pStyle w:val="TextoNormal"/>
      </w:pPr>
    </w:p>
    <w:p w14:paraId="5B048DAF" w14:textId="77777777" w:rsidR="00C04533" w:rsidRDefault="00C04533" w:rsidP="00C04533">
      <w:pPr>
        <w:pStyle w:val="TextoNormalNegritaCentrado"/>
        <w:keepNext/>
      </w:pPr>
      <w:r>
        <w:t>II. Fundamentos jurídicos</w:t>
      </w:r>
    </w:p>
    <w:p w14:paraId="04D79634" w14:textId="5DA9ED61" w:rsidR="00C04533" w:rsidRDefault="00C04533" w:rsidP="00C04533">
      <w:pPr>
        <w:pStyle w:val="TextoNormalNegritaCentrado"/>
        <w:keepNext/>
      </w:pPr>
    </w:p>
    <w:p w14:paraId="3F0F5ABE" w14:textId="60C89F7E" w:rsidR="00C04533" w:rsidRDefault="00C04533" w:rsidP="00C04533">
      <w:pPr>
        <w:pStyle w:val="TextoNormal"/>
      </w:pPr>
      <w:r w:rsidRPr="00C04533">
        <w:rPr>
          <w:rStyle w:val="NumeroAFNegritaCaracter"/>
        </w:rPr>
        <w:t>1</w:t>
      </w:r>
      <w:r>
        <w:t>. La parte recurrente sustenta la recusación en las causas decimotercera y decimosexta de las previstas en el art. 219 LOPJ, con fundamento en que la magistrada recusada habría estado vinculada al Partido Socialista de Cataluña y, cuando desempeñó el cargo de directora general de Asuntos Constitucionales y Coordinación Jurídica del Ministerio de la Presidencia, Relaciones con las Cortes y Memoria Democrática, habría intervenido en la fijación de criterio sobre la constitucionalidad de los indultos parciales concedidos a condenados por la sentencia 459/2019, de 14 de octubre, dictada por la Sala de lo Penal del Tribunal Supremo (ECLI:ES:TS:2019:2997), cuestión ligada a la amnistía aprobada por la Ley Orgánica 1/2024, de 10 de junio, objeto del presente recurso de inconstitucionalidad.</w:t>
      </w:r>
    </w:p>
    <w:p w14:paraId="6743DF7B" w14:textId="77777777" w:rsidR="00C04533" w:rsidRDefault="00C04533" w:rsidP="00C04533">
      <w:pPr>
        <w:pStyle w:val="TextoNormal"/>
      </w:pPr>
    </w:p>
    <w:p w14:paraId="2EBE7B74" w14:textId="63117A60" w:rsidR="00C04533" w:rsidRDefault="00C04533" w:rsidP="00C04533">
      <w:pPr>
        <w:pStyle w:val="TextoNormal"/>
      </w:pPr>
      <w:r w:rsidRPr="00C04533">
        <w:rPr>
          <w:rStyle w:val="NumeroAFNegritaCaracter"/>
        </w:rPr>
        <w:t>2</w:t>
      </w:r>
      <w:r>
        <w:t>. Los motivos de recusación expuestos han sido rechazados por el reciente ATC 105/2024, de 22 de octubre, en el que señalamos que “[n]o se apela a una intervención acreditada y definida de la recusada, sino a la suposición de que ‘debió intervenir’ en la fijación del criterio del Ministerio de la Presidencia, sin que se aluda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Bueso cesó el 26 de abril de 2022, iniciándose la tramitación parlamentaria de la Ley Orgánica 1/2024 recurrida como proposición de ley presentada por el Grupo Parlamentario Socialista, el 24 de noviembre de 2023. Se trata de un discurso que se asienta en circunstancias hipotéticas, sobre actuaciones desconectadas del objeto del recurso de inconstitucionalidad, que no puede acreditar ninguno de los motivos de pérdida de la imparcialidad” de la magistrada [FJ 3 (i)].</w:t>
      </w:r>
    </w:p>
    <w:p w14:paraId="35A00A11" w14:textId="77777777" w:rsidR="00C04533" w:rsidRDefault="00C04533" w:rsidP="00C04533">
      <w:pPr>
        <w:pStyle w:val="TextoNormal"/>
      </w:pPr>
    </w:p>
    <w:p w14:paraId="6E946CFD" w14:textId="0288DB34" w:rsidR="00C04533" w:rsidRDefault="00C04533" w:rsidP="00C04533">
      <w:pPr>
        <w:pStyle w:val="TextoNormal"/>
      </w:pPr>
      <w:r w:rsidRPr="00C04533">
        <w:rPr>
          <w:rStyle w:val="NumeroAFNegritaCaracter"/>
        </w:rPr>
        <w:t>3</w:t>
      </w:r>
      <w:r>
        <w:t>. Igualmente debe descartarse que tenga algún valor la genérica alusión a vínculos de la magistrada señora Díez Bueso con el Partido Socialista de Cataluña, hecho que no se intenta siquiera acreditar, a lo que debemos añadir que una eventual afinidad ideológica no es en ningún caso factor que mengüe la imparcialidad para juzgar los asuntos que según su ley orgánica este tribunal debe decidir, sin que constituya por sí sola causa de recusación [FJ 3 (iv)].</w:t>
      </w:r>
    </w:p>
    <w:p w14:paraId="6963754F" w14:textId="77777777" w:rsidR="00C04533" w:rsidRDefault="00C04533" w:rsidP="00C04533">
      <w:pPr>
        <w:pStyle w:val="TextoNormal"/>
      </w:pPr>
    </w:p>
    <w:p w14:paraId="1664CDF4" w14:textId="77777777" w:rsidR="00C04533" w:rsidRDefault="00C04533" w:rsidP="00C04533">
      <w:pPr>
        <w:pStyle w:val="TextoNormal"/>
      </w:pPr>
      <w:r>
        <w:t>Por lo expuesto, el Pleno</w:t>
      </w:r>
    </w:p>
    <w:p w14:paraId="1A9948C8" w14:textId="0589E6B8" w:rsidR="00C04533" w:rsidRDefault="00C04533" w:rsidP="00C04533">
      <w:pPr>
        <w:pStyle w:val="TextoNormal"/>
      </w:pPr>
    </w:p>
    <w:p w14:paraId="10E49721" w14:textId="77777777" w:rsidR="00C04533" w:rsidRDefault="00C04533" w:rsidP="00C04533">
      <w:pPr>
        <w:pStyle w:val="TextoNormalCentrado"/>
      </w:pPr>
      <w:r>
        <w:t>ACUERDA</w:t>
      </w:r>
    </w:p>
    <w:p w14:paraId="29EB2148" w14:textId="3C6885DF" w:rsidR="00C04533" w:rsidRDefault="00C04533" w:rsidP="00C04533">
      <w:pPr>
        <w:pStyle w:val="TextoNormalCentrado"/>
      </w:pPr>
    </w:p>
    <w:p w14:paraId="6C2BA8F2" w14:textId="61FD393C" w:rsidR="00C04533" w:rsidRDefault="00C04533" w:rsidP="00C04533">
      <w:pPr>
        <w:pStyle w:val="TextoNormal"/>
      </w:pPr>
      <w:r>
        <w:t>No admitir a trámite la recusación de la magistrada doña Laura Díez Bueso, promovida en el recurso de inconstitucionalidad núm. 6595-2024 por el Consejo de Gobierno de la Junta de Castilla y León.</w:t>
      </w:r>
    </w:p>
    <w:p w14:paraId="19FC19DB" w14:textId="77777777" w:rsidR="00C04533" w:rsidRDefault="00C04533" w:rsidP="00C04533">
      <w:pPr>
        <w:pStyle w:val="TextoNormal"/>
      </w:pPr>
    </w:p>
    <w:p w14:paraId="1EF6F329" w14:textId="77777777" w:rsidR="00C04533" w:rsidRDefault="00C04533" w:rsidP="00C04533">
      <w:pPr>
        <w:pStyle w:val="TextoNormal"/>
      </w:pPr>
      <w:r>
        <w:t>Madrid, a cinco de noviembre de dos mil veinticuatro.</w:t>
      </w:r>
    </w:p>
    <w:p w14:paraId="6977D467" w14:textId="351C6FBA" w:rsidR="00C04533" w:rsidRDefault="00C04533" w:rsidP="00C04533">
      <w:pPr>
        <w:pStyle w:val="ParrafoNormal"/>
      </w:pPr>
    </w:p>
    <w:p w14:paraId="42B596E2" w14:textId="77777777" w:rsidR="00C04533" w:rsidRDefault="00C04533" w:rsidP="00C04533">
      <w:pPr>
        <w:pStyle w:val="TextoNormalNegritaCentrado"/>
        <w:keepNext/>
      </w:pPr>
      <w:r>
        <w:t>Voto particular que formula el magistrado don Enrique Arnaldo Alcubilla al auto dictado en el recurso de inconstitucionalidad núm. 6595-2024, que inadmite la recusación de la magistrada doña Laura Díez Bueso</w:t>
      </w:r>
    </w:p>
    <w:p w14:paraId="2DE84313" w14:textId="4261F30A" w:rsidR="00C04533" w:rsidRDefault="00C04533" w:rsidP="00C04533">
      <w:pPr>
        <w:pStyle w:val="TextoNormalNegritaCentrado"/>
        <w:keepNext/>
      </w:pPr>
    </w:p>
    <w:p w14:paraId="750AF7EA"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61BB0250" w14:textId="77777777" w:rsidR="00C04533" w:rsidRDefault="00C04533" w:rsidP="00C04533">
      <w:pPr>
        <w:pStyle w:val="TextoNormal"/>
      </w:pPr>
    </w:p>
    <w:p w14:paraId="35671AC9" w14:textId="77777777" w:rsidR="00C04533" w:rsidRDefault="00C04533" w:rsidP="00C04533">
      <w:pPr>
        <w:pStyle w:val="TextoNormal"/>
      </w:pPr>
      <w:r>
        <w:t>El auto, que ha sido dictado por un Pleno del Tribunal compuesto de nueve magistrados (una vez rechazada por el ATC 93/2024, de 8 de octubre, la recusación del presidente don Cándido Conde-Pumpido Tourón), acuerda, por remisión a lo resuelto en el ATC 105/2024, de 22 de octubre, inadmitir la recusación promovida por la Junta de Castilla y León respecto de la magistrada doña Laura Díez Bueso, en el recurso de inconstitucionalidad interpuesto contra la Ley Orgánica 1/2024, de amnistía para la normalización institucional, política y social en Cataluña.</w:t>
      </w:r>
    </w:p>
    <w:p w14:paraId="4C606FDC" w14:textId="77777777" w:rsidR="00C04533" w:rsidRDefault="00C04533" w:rsidP="00C04533">
      <w:pPr>
        <w:pStyle w:val="TextoNormal"/>
      </w:pPr>
    </w:p>
    <w:p w14:paraId="3AD94D22" w14:textId="77777777" w:rsidR="00C04533" w:rsidRDefault="00C04533" w:rsidP="00C04533">
      <w:pPr>
        <w:pStyle w:val="TextoNormal"/>
      </w:pPr>
      <w:r>
        <w:t>No disiento en este punto del auto aprobado por la mayoría del Pleno, pues comparto la decisión de inadmitir la recusación de la magistrada doña Laura Díez Bueso por las razones que allí se indican.</w:t>
      </w:r>
    </w:p>
    <w:p w14:paraId="2C5272A2" w14:textId="77777777" w:rsidR="00C04533" w:rsidRDefault="00C04533" w:rsidP="00C04533">
      <w:pPr>
        <w:pStyle w:val="TextoNormal"/>
      </w:pPr>
    </w:p>
    <w:p w14:paraId="4786F175" w14:textId="77777777" w:rsidR="00C04533" w:rsidRDefault="00C04533" w:rsidP="00C04533">
      <w:pPr>
        <w:pStyle w:val="TextoNormal"/>
      </w:pPr>
      <w:r>
        <w:t>Mi discrepancia con este auto, al igual que sucedía con el ATC 93/2024, de 8 de octubre, que inadmitió la recusación del presidente del Tribunal don Cándido Conde-Pumpido Tourón, y con el ATC 105/2024, que inadmitió la recusación de la propia magistrada doña Laura Díez Bueso (en el recurso de inconstitucionalidad núm. 6436-2024), se refiere a la composición del Pleno para la resolución de este incidente de recusación, pues no se explican suficientemente las razones por las que está integrado solo por nueve magistrados (más allá de la escueta indicación del antecedente cuarto), ni tampoco, y esto es lo fundamental, por qué se han resuelto de manera separada las recusaciones del presidente del Tribunal y de la magistrada doña Laura Díez Bueso, a los que el ejecutivo recurrente han recusado conjuntamente (así como al magistrado don Juan Carlos Campo Moreno, si bien la abstención de este ya fue aceptada por el Tribunal en el ATC 91/2024, de 24 de septiembre).</w:t>
      </w:r>
    </w:p>
    <w:p w14:paraId="127E12E4" w14:textId="77777777" w:rsidR="00C04533" w:rsidRDefault="00C04533" w:rsidP="00C04533">
      <w:pPr>
        <w:pStyle w:val="TextoNormal"/>
      </w:pPr>
    </w:p>
    <w:p w14:paraId="756AD400" w14:textId="77777777" w:rsidR="00C04533" w:rsidRDefault="00C04533" w:rsidP="00C04533">
      <w:pPr>
        <w:pStyle w:val="TextoNormal"/>
      </w:pPr>
      <w: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ejecutivo recurrente.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14:paraId="1460BC9C" w14:textId="77777777" w:rsidR="00C04533" w:rsidRDefault="00C04533" w:rsidP="00C04533">
      <w:pPr>
        <w:pStyle w:val="TextoNormal"/>
      </w:pPr>
    </w:p>
    <w:p w14:paraId="554CBFB7"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14:paraId="162FC2CB" w14:textId="77777777" w:rsidR="00C04533" w:rsidRDefault="00C04533" w:rsidP="00C04533">
      <w:pPr>
        <w:pStyle w:val="TextoNormal"/>
      </w:pPr>
    </w:p>
    <w:p w14:paraId="52C26400" w14:textId="77777777" w:rsidR="00C04533" w:rsidRDefault="00C04533" w:rsidP="00C04533">
      <w:pPr>
        <w:pStyle w:val="TextoNormal"/>
      </w:pPr>
      <w:r>
        <w:t>Como consecuencia de la extravagante decisión de resolver separadamente ambas recusaciones, resulta que tras rechazar el Tribunal la recusación del presidente don Cándido Conde-Pumpido Tourón (ATC 93/2024), este ha podido intervenir en el Pleno que ha aprobado el rechazo de la recusación de la magistrada doña Laura Díez Bueso, sin que ello resulte justificado.</w:t>
      </w:r>
    </w:p>
    <w:p w14:paraId="7345AE78" w14:textId="77777777" w:rsidR="00C04533" w:rsidRDefault="00C04533" w:rsidP="00C04533">
      <w:pPr>
        <w:pStyle w:val="TextoNormal"/>
      </w:pPr>
    </w:p>
    <w:p w14:paraId="0AE6AAE7" w14:textId="77777777" w:rsidR="00C04533" w:rsidRDefault="00C04533" w:rsidP="00C04533">
      <w:pPr>
        <w:pStyle w:val="TextoNormal"/>
      </w:pPr>
      <w:r>
        <w:t>En fin, no debe dejarse de señalar que tampoco se explican las razones que llevan a excluir al magistrado don José María Macías Castaño en la composición del Pleno que ha dictado el auto que nos ocupa, más allá del lacónico enunciado del antecedente cuarto. La recusación de este magistrado ha sido planteada por el abogado del Estado, como ya advertí en votos particulares anteriores, en procesos constitucionales todavía no admitidos a trámite y en los que, por tanto, la Abogacía del Estado no ha adquirido aún la condición de parte. Justamente por ello, esa recusación ha sido rechazada por este tribunal por ATC 116/2024, de 5 de noviembre.</w:t>
      </w:r>
    </w:p>
    <w:p w14:paraId="2FBC74B6" w14:textId="77777777" w:rsidR="00C04533" w:rsidRDefault="00C04533" w:rsidP="00C04533">
      <w:pPr>
        <w:pStyle w:val="TextoNormal"/>
      </w:pPr>
    </w:p>
    <w:p w14:paraId="628BDED5"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69083E91" w14:textId="77777777" w:rsidR="00C04533" w:rsidRDefault="00C04533" w:rsidP="00C04533">
      <w:pPr>
        <w:pStyle w:val="TextoNormal"/>
      </w:pPr>
    </w:p>
    <w:p w14:paraId="7D615140" w14:textId="7C5537CF" w:rsidR="00C04533" w:rsidRDefault="00C04533" w:rsidP="00C04533">
      <w:pPr>
        <w:pStyle w:val="TextoNormal"/>
      </w:pPr>
      <w:r>
        <w:t>Madrid, a seis de noviembre de dos mil veinticuatro.</w:t>
      </w:r>
    </w:p>
    <w:p w14:paraId="13418DD7" w14:textId="77777777" w:rsidR="00C04533" w:rsidRDefault="00C04533" w:rsidP="00C04533">
      <w:pPr>
        <w:pStyle w:val="TextoNormal"/>
      </w:pPr>
    </w:p>
    <w:p w14:paraId="2A124D72" w14:textId="77777777" w:rsidR="00C04533" w:rsidRDefault="00C04533" w:rsidP="00C04533">
      <w:pPr>
        <w:pStyle w:val="TextoNormalNegritaCentrado"/>
        <w:keepNext/>
      </w:pPr>
      <w:r>
        <w:t>Voto particular discrepante que formula la magistrada doña Concepción Espejel Jorquera al auto de 5 de noviembre de 2024, dictado en incidente de recusación de la magistrada del Tribunal doña Laura Díez Bueso, planteado en el recurso de inconstitucionalidad núm. 6595-2024</w:t>
      </w:r>
    </w:p>
    <w:p w14:paraId="5FEC4B80" w14:textId="72E08319" w:rsidR="00C04533" w:rsidRDefault="00C04533" w:rsidP="00C04533">
      <w:pPr>
        <w:pStyle w:val="TextoNormalNegritaCentrado"/>
        <w:keepNext/>
      </w:pPr>
    </w:p>
    <w:p w14:paraId="09F9A768" w14:textId="77777777" w:rsidR="00C04533" w:rsidRDefault="00C04533" w:rsidP="00C04533">
      <w:pPr>
        <w:pStyle w:val="TextoNormal"/>
      </w:pPr>
      <w:r>
        <w:t>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14:paraId="677F22C1" w14:textId="77777777" w:rsidR="00C04533" w:rsidRDefault="00C04533" w:rsidP="00C04533">
      <w:pPr>
        <w:pStyle w:val="TextoNormal"/>
      </w:pPr>
    </w:p>
    <w:p w14:paraId="6BF9D08B" w14:textId="77777777" w:rsidR="00C04533" w:rsidRDefault="00C04533" w:rsidP="00C04533">
      <w:pPr>
        <w:pStyle w:val="TextoNormal"/>
      </w:pPr>
      <w:r>
        <w:t>Me remito al voto particular formulado en el auto 93/2024, de 8 de octubre, en el recurso de inconstitucionalidad núm. 6436-2024 (recusación del señor Conde Pumpido),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609E245B" w14:textId="77777777" w:rsidR="00C04533" w:rsidRDefault="00C04533" w:rsidP="00C04533">
      <w:pPr>
        <w:pStyle w:val="TextoNormal"/>
      </w:pPr>
    </w:p>
    <w:p w14:paraId="4EA50EC9"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14:paraId="662C0F3D" w14:textId="77777777" w:rsidR="00C04533" w:rsidRDefault="00C04533" w:rsidP="00C04533">
      <w:pPr>
        <w:pStyle w:val="TextoNormal"/>
      </w:pPr>
    </w:p>
    <w:p w14:paraId="291A28A9" w14:textId="77777777" w:rsidR="00C04533" w:rsidRDefault="00C04533" w:rsidP="00C04533">
      <w:pPr>
        <w:pStyle w:val="TextoNormal"/>
      </w:pPr>
      <w:r>
        <w:t>Por lo expuesto, formulo el presente voto particular.</w:t>
      </w:r>
    </w:p>
    <w:p w14:paraId="0D91690B" w14:textId="77777777" w:rsidR="00C04533" w:rsidRDefault="00C04533" w:rsidP="00C04533">
      <w:pPr>
        <w:pStyle w:val="TextoNormal"/>
      </w:pPr>
    </w:p>
    <w:p w14:paraId="14CD29F6" w14:textId="1E778DC2" w:rsidR="00C04533" w:rsidRDefault="00C04533" w:rsidP="00C04533">
      <w:pPr>
        <w:pStyle w:val="TextoNormal"/>
      </w:pPr>
      <w:r>
        <w:t>Madrid, a cinco de noviembre de dos mil veinticuatro.</w:t>
      </w:r>
    </w:p>
    <w:p w14:paraId="13699093" w14:textId="53DC2567" w:rsidR="00C04533" w:rsidRDefault="00C04533">
      <w:pPr>
        <w:spacing w:after="160" w:line="278" w:lineRule="auto"/>
        <w:rPr>
          <w:rFonts w:ascii="Times New Roman" w:eastAsia="Times New Roman" w:hAnsi="Times New Roman" w:cs="Times New Roman"/>
          <w:sz w:val="24"/>
          <w:szCs w:val="24"/>
          <w:lang w:eastAsia="es-ES"/>
        </w:rPr>
      </w:pPr>
      <w:r>
        <w:br w:type="page"/>
      </w:r>
    </w:p>
    <w:p w14:paraId="74F321C5" w14:textId="77777777" w:rsidR="00C04533" w:rsidRDefault="00C04533" w:rsidP="00C04533">
      <w:pPr>
        <w:pStyle w:val="TtuloResolucin"/>
      </w:pPr>
      <w:bookmarkStart w:id="128" w:name="AUTO_2024_122"/>
      <w:r>
        <w:t>AUTO 122/2024, de 5 de noviembre de 2024</w:t>
      </w:r>
    </w:p>
    <w:bookmarkEnd w:id="128"/>
    <w:p w14:paraId="55CC0988" w14:textId="77777777" w:rsidR="00C04533" w:rsidRDefault="00C04533" w:rsidP="00C04533">
      <w:pPr>
        <w:pStyle w:val="TtuloResolucin"/>
      </w:pPr>
      <w:r>
        <w:t>Pleno</w:t>
      </w:r>
    </w:p>
    <w:p w14:paraId="4E52BB56" w14:textId="77777777" w:rsidR="00C04533" w:rsidRDefault="00C04533" w:rsidP="00C04533">
      <w:pPr>
        <w:pStyle w:val="TextoNormalCentrado"/>
      </w:pPr>
      <w:r>
        <w:t>ECLI:ES:TC:2024:122A</w:t>
      </w:r>
    </w:p>
    <w:p w14:paraId="1D01D435" w14:textId="6A36AB33" w:rsidR="00C04533" w:rsidRDefault="00C04533" w:rsidP="00C04533">
      <w:pPr>
        <w:pStyle w:val="TextoNormalCentrado"/>
      </w:pPr>
    </w:p>
    <w:p w14:paraId="4AC5496F"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55281E0A" w14:textId="6C030435" w:rsidR="00C04533" w:rsidRDefault="00C04533" w:rsidP="00C04533">
      <w:pPr>
        <w:pStyle w:val="SntesisDescriptiva"/>
      </w:pPr>
    </w:p>
    <w:p w14:paraId="301EB9EB" w14:textId="77777777" w:rsidR="00C04533" w:rsidRDefault="00C04533" w:rsidP="00C04533">
      <w:pPr>
        <w:pStyle w:val="SntesisDescriptiva"/>
      </w:pPr>
      <w:r>
        <w:t>Inadmite una recusación en el recurso de inconstitucionalidad 6616-2024, interpuesto por el Gobierno de Cantabria en relación con la Ley Orgánica 1/2024, de 10 de junio, de amnistía para la normalización institucional, política y social en Cataluña. Votos particulares.</w:t>
      </w:r>
    </w:p>
    <w:p w14:paraId="4CBFE26A" w14:textId="456789D0" w:rsidR="00C04533" w:rsidRDefault="00C04533" w:rsidP="00C04533">
      <w:pPr>
        <w:pStyle w:val="SntesisDescriptiva"/>
      </w:pPr>
    </w:p>
    <w:p w14:paraId="1AC582CD" w14:textId="77777777" w:rsidR="00C04533" w:rsidRDefault="00C04533" w:rsidP="00C04533">
      <w:pPr>
        <w:pStyle w:val="SntesisDescriptiva"/>
      </w:pPr>
    </w:p>
    <w:p w14:paraId="430DE89C" w14:textId="77777777" w:rsidR="00C04533" w:rsidRDefault="00C04533" w:rsidP="00C04533">
      <w:pPr>
        <w:pStyle w:val="SntesisDescriptiva"/>
      </w:pPr>
    </w:p>
    <w:p w14:paraId="716E7699" w14:textId="77777777" w:rsidR="00C04533" w:rsidRDefault="00C04533" w:rsidP="00C04533">
      <w:pPr>
        <w:pStyle w:val="TextoNormalNegritaCentrado"/>
      </w:pPr>
      <w:r>
        <w:t>AUTO</w:t>
      </w:r>
    </w:p>
    <w:p w14:paraId="13287BAF" w14:textId="131D9875" w:rsidR="00C04533" w:rsidRDefault="00C04533" w:rsidP="00C04533">
      <w:pPr>
        <w:pStyle w:val="TextoNormalNegritaCentrado"/>
      </w:pPr>
    </w:p>
    <w:p w14:paraId="1DB66889" w14:textId="77777777" w:rsidR="00C04533" w:rsidRDefault="00C04533" w:rsidP="00C04533">
      <w:pPr>
        <w:pStyle w:val="TextoNormalNegritaCentrado"/>
        <w:keepNext/>
      </w:pPr>
      <w:r>
        <w:t>I. Antecedentes</w:t>
      </w:r>
    </w:p>
    <w:p w14:paraId="074ED76D" w14:textId="76AB1E4D" w:rsidR="00C04533" w:rsidRDefault="00C04533" w:rsidP="00C04533">
      <w:pPr>
        <w:pStyle w:val="TextoNormalNegritaCentrado"/>
        <w:keepNext/>
      </w:pPr>
    </w:p>
    <w:p w14:paraId="7CBE7F13" w14:textId="1D91A9D6" w:rsidR="00C04533" w:rsidRDefault="00C04533" w:rsidP="00C04533">
      <w:pPr>
        <w:pStyle w:val="TextoNormal"/>
      </w:pPr>
      <w:r w:rsidRPr="00C04533">
        <w:rPr>
          <w:rStyle w:val="NumeroAFNegritaCaracter"/>
        </w:rPr>
        <w:t>1</w:t>
      </w:r>
      <w:r>
        <w:t>. Por el Gobierno de Cantabria se ha interpuesto recurso de inconstitucionalidad en relación con la Ley Orgánica 1/2024, de 10 de junio, de amnistía para la normalización institucional, política y social en Cataluña (en adelante, Ley Orgánica 1/2024), mediante escrito registrado en este tribunal el 10 de septiembre de 2024, en el que promueve, por otrosí, la recusación, entre otros, de la magistrada doña Laura Díez Bueso.</w:t>
      </w:r>
    </w:p>
    <w:p w14:paraId="784C116B" w14:textId="77777777" w:rsidR="00C04533" w:rsidRDefault="00C04533" w:rsidP="00C04533">
      <w:pPr>
        <w:pStyle w:val="TextoNormal"/>
      </w:pPr>
    </w:p>
    <w:p w14:paraId="0C69A8FC" w14:textId="31865C65"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la causa decimotercera de las previstas en el art. 219 de la Ley Orgánica del Poder Judicial (LOPJ), con fundamento en que la magistrada recusada en su condición de directora general de Asuntos Constitucionales y Coordinación Jurídica “se encontraba bajo la dependencia del ministro de la Presidencia, Relaciones con las Cortes y Memoria Democrática, don Félix Bolaños García. Y teniendo en cuenta que en su puesto debía llevar a cabo el informe, estudio, asesoramiento y coordinación de los asuntos de relevancia constitucional, parece lógico que desde su posición intervino en las propuestas de indultos parciales impulsadas desde el ministerio. Y no cabe duda de la íntima relación que tienen los indultos con la amnistía que ahora se recoge en la ley, pues se proyecta sobre los mismos interesados que se beneficiaron de la medida de gracia, amén de otro número indeterminado de individuos”.</w:t>
      </w:r>
    </w:p>
    <w:p w14:paraId="522411D7" w14:textId="77777777" w:rsidR="00C04533" w:rsidRDefault="00C04533" w:rsidP="00C04533">
      <w:pPr>
        <w:pStyle w:val="TextoNormal"/>
      </w:pPr>
    </w:p>
    <w:p w14:paraId="78596291" w14:textId="18274CCA" w:rsidR="00C04533" w:rsidRDefault="00C04533" w:rsidP="00C04533">
      <w:pPr>
        <w:pStyle w:val="TextoNormal"/>
      </w:pPr>
      <w:r w:rsidRPr="00C04533">
        <w:rPr>
          <w:rStyle w:val="NumeroAFNegritaCaracter"/>
        </w:rPr>
        <w:t>3</w:t>
      </w:r>
      <w:r>
        <w:t>. La Secretaría de Justicia del Pleno del Tribunal, mediante diligencia de ordenación de 23 de octubre de 2024, consignó que la ponencia del incidente de recusación correspondía por turno de reparto al magistrado don César Tolosa Tribiño.</w:t>
      </w:r>
    </w:p>
    <w:p w14:paraId="098D8237" w14:textId="77777777" w:rsidR="00C04533" w:rsidRDefault="00C04533" w:rsidP="00C04533">
      <w:pPr>
        <w:pStyle w:val="TextoNormal"/>
      </w:pPr>
    </w:p>
    <w:p w14:paraId="07A895BF" w14:textId="3D2B5472" w:rsidR="00C04533" w:rsidRDefault="00C04533" w:rsidP="00C04533">
      <w:pPr>
        <w:pStyle w:val="TextoNormal"/>
      </w:pPr>
      <w:r w:rsidRPr="00C04533">
        <w:rPr>
          <w:rStyle w:val="NumeroAFNegritaCaracter"/>
        </w:rPr>
        <w:t>4</w:t>
      </w:r>
      <w:r>
        <w:t>. Finalmente, ha de advertirse que en la composición del Pleno del Tribunal solo intervienen nueve de sus miembros, no participando la magistrada cuya recusación se resuelve, el magistrado don Juan Carlos Campo Moreno, cuya abstención fue aceptada por ATC 91/2024, de 24 de septiembre, ni el magistrado don José María Macías Castaño, cuya recusación está pendiente de resolución.</w:t>
      </w:r>
    </w:p>
    <w:p w14:paraId="137CB8B0" w14:textId="77777777" w:rsidR="00C04533" w:rsidRDefault="00C04533" w:rsidP="00C04533">
      <w:pPr>
        <w:pStyle w:val="TextoNormal"/>
      </w:pPr>
    </w:p>
    <w:p w14:paraId="2A2DDF25" w14:textId="77777777" w:rsidR="00C04533" w:rsidRDefault="00C04533" w:rsidP="00C04533">
      <w:pPr>
        <w:pStyle w:val="TextoNormalNegritaCentrado"/>
        <w:keepNext/>
      </w:pPr>
      <w:r>
        <w:t>II. Fundamentos jurídicos</w:t>
      </w:r>
    </w:p>
    <w:p w14:paraId="7120EDEE" w14:textId="1754C59D" w:rsidR="00C04533" w:rsidRDefault="00C04533" w:rsidP="00C04533">
      <w:pPr>
        <w:pStyle w:val="TextoNormalNegritaCentrado"/>
        <w:keepNext/>
      </w:pPr>
    </w:p>
    <w:p w14:paraId="3F159453" w14:textId="000A4602" w:rsidR="00C04533" w:rsidRDefault="00C04533" w:rsidP="00C04533">
      <w:pPr>
        <w:pStyle w:val="TextoNormal"/>
      </w:pPr>
      <w:r w:rsidRPr="00C04533">
        <w:rPr>
          <w:rStyle w:val="NumeroAFNegritaCaracter"/>
        </w:rPr>
        <w:t>1</w:t>
      </w:r>
      <w:r>
        <w:t>. La parte recurrente sustenta la recusación en la causa decimotercera de las previstas en el art. 219 LOPJ, con fundamento en que la magistrada recusada, mientras desempeñó el cargo de directora general de Asuntos Constitucionales y Coordinación Jurídica del Ministerio de la Presidencia, Relaciones con las Cortes y Memoria Democrática, habría intervenido en la propuesta de los indultos parciales concedidos a condenados por la STS 459/2019, de 14 de octubre, dictada por la Sala de lo Penal del Tribunal Supremo (ECLI:ES:TS:2019:2997), cuestión ligada a la amnistía aprobada por la Ley Orgánica 1/2024, objeto del presente recurso de inconstitucionalidad.</w:t>
      </w:r>
    </w:p>
    <w:p w14:paraId="3624C033" w14:textId="77777777" w:rsidR="00C04533" w:rsidRDefault="00C04533" w:rsidP="00C04533">
      <w:pPr>
        <w:pStyle w:val="TextoNormal"/>
      </w:pPr>
    </w:p>
    <w:p w14:paraId="615FA7DF" w14:textId="6C540687" w:rsidR="00C04533" w:rsidRDefault="00C04533" w:rsidP="00C04533">
      <w:pPr>
        <w:pStyle w:val="TextoNormal"/>
      </w:pPr>
      <w:r w:rsidRPr="00C04533">
        <w:rPr>
          <w:rStyle w:val="NumeroAFNegritaCaracter"/>
        </w:rPr>
        <w:t>2</w:t>
      </w:r>
      <w:r>
        <w:t>. Los motivos de recusación expuestos han sido rechazados por el reciente ATC 105/2024, de 22 de octubre, en el que señalamos que “[n]o se apela a una intervención acreditada y definida de la recusada, sino a la suposición de que ‘debió intervenir’ en la fijación del criterio del Ministerio de la Presidencia, y no se alude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Bueso cesó el 26 de abril de 2022, iniciándose la tramitación parlamentaria de la Ley Orgánica 1/2024 recurrida como proposición de ley presentada por el Grupo Parlamentario Socialista el 24 de noviembre de 2023. Se trata de un discurso que se asienta en circunstancias hipotéticas, sobre actuaciones desconectadas del objeto del recurso de inconstitucionalidad, que no puede acreditar ninguno de los motivos de pérdida de la imparcialidad” de la magistrada [FJ 3 (i)].</w:t>
      </w:r>
    </w:p>
    <w:p w14:paraId="73DE9863" w14:textId="77777777" w:rsidR="00C04533" w:rsidRDefault="00C04533" w:rsidP="00C04533">
      <w:pPr>
        <w:pStyle w:val="TextoNormal"/>
      </w:pPr>
    </w:p>
    <w:p w14:paraId="4F27CB66" w14:textId="20D55A3B" w:rsidR="00C04533" w:rsidRDefault="00C04533" w:rsidP="00C04533">
      <w:pPr>
        <w:pStyle w:val="TextoNormal"/>
      </w:pPr>
      <w:r w:rsidRPr="00C04533">
        <w:rPr>
          <w:rStyle w:val="NumeroAFNegritaCaracter"/>
        </w:rPr>
        <w:t>3</w:t>
      </w:r>
      <w:r>
        <w:t>. Igualmente, debe rechazarse la alegación referida a la pasada dependencia jerárquica de la señora Díez Bueso respecto al entonces ministro de la Presidencia, Relaciones con las Cortes y Memoria Democrática, pues se aduce así una relación inversa a la que contempla el art. 219.12 LOPJ, que alude a la subordinación de una parte al juez, y no viceversa, por lo que no puede aceptarse como causa de recusación [FJ 3 (iii)].</w:t>
      </w:r>
    </w:p>
    <w:p w14:paraId="19A4B815" w14:textId="77777777" w:rsidR="00C04533" w:rsidRDefault="00C04533" w:rsidP="00C04533">
      <w:pPr>
        <w:pStyle w:val="TextoNormal"/>
      </w:pPr>
    </w:p>
    <w:p w14:paraId="22A3F0D1" w14:textId="77777777" w:rsidR="00C04533" w:rsidRDefault="00C04533" w:rsidP="00C04533">
      <w:pPr>
        <w:pStyle w:val="TextoNormal"/>
      </w:pPr>
      <w:r>
        <w:t>Por lo expuesto, el Pleno</w:t>
      </w:r>
    </w:p>
    <w:p w14:paraId="4FBF4FC8" w14:textId="7964948D" w:rsidR="00C04533" w:rsidRDefault="00C04533" w:rsidP="00C04533">
      <w:pPr>
        <w:pStyle w:val="TextoNormal"/>
      </w:pPr>
    </w:p>
    <w:p w14:paraId="22965A47" w14:textId="77777777" w:rsidR="00C04533" w:rsidRDefault="00C04533" w:rsidP="00C04533">
      <w:pPr>
        <w:pStyle w:val="TextoNormalCentrado"/>
      </w:pPr>
      <w:r>
        <w:t>ACUERDA</w:t>
      </w:r>
    </w:p>
    <w:p w14:paraId="685DA7F9" w14:textId="6C01F80F" w:rsidR="00C04533" w:rsidRDefault="00C04533" w:rsidP="00C04533">
      <w:pPr>
        <w:pStyle w:val="TextoNormalCentrado"/>
      </w:pPr>
    </w:p>
    <w:p w14:paraId="3951E11A" w14:textId="153566DC" w:rsidR="00C04533" w:rsidRDefault="00C04533" w:rsidP="00C04533">
      <w:pPr>
        <w:pStyle w:val="TextoNormal"/>
      </w:pPr>
      <w:r>
        <w:t>No admitir a trámite la recusación de la magistrada doña Laura Díez Bueso, promovida en el recurso de inconstitucionalidad núm. 6616-2024 por el Gobierno de Cantabria.</w:t>
      </w:r>
    </w:p>
    <w:p w14:paraId="6E61BA75" w14:textId="77777777" w:rsidR="00C04533" w:rsidRDefault="00C04533" w:rsidP="00C04533">
      <w:pPr>
        <w:pStyle w:val="TextoNormal"/>
      </w:pPr>
    </w:p>
    <w:p w14:paraId="4C52A2FB" w14:textId="77777777" w:rsidR="00C04533" w:rsidRDefault="00C04533" w:rsidP="00C04533">
      <w:pPr>
        <w:pStyle w:val="TextoNormal"/>
      </w:pPr>
      <w:r>
        <w:t>Madrid, a cinco de noviembre de dos mil veinticuatro.</w:t>
      </w:r>
    </w:p>
    <w:p w14:paraId="13EF89EA" w14:textId="678AA115" w:rsidR="00C04533" w:rsidRDefault="00C04533" w:rsidP="00C04533">
      <w:pPr>
        <w:pStyle w:val="ParrafoNormal"/>
      </w:pPr>
    </w:p>
    <w:p w14:paraId="0F047F5C" w14:textId="77777777" w:rsidR="00C04533" w:rsidRDefault="00C04533" w:rsidP="00C04533">
      <w:pPr>
        <w:pStyle w:val="TextoNormalNegritaCentrado"/>
        <w:keepNext/>
      </w:pPr>
      <w:r>
        <w:t>Voto particular que formula el magistrado don Enrique Arnaldo Alcubilla al auto dictado en el recurso de inconstitucionalidad núm. 6616-2024, que inadmite la recusación de la magistrada doña Laura Díez Bueso</w:t>
      </w:r>
    </w:p>
    <w:p w14:paraId="79B0A054" w14:textId="0803A603" w:rsidR="00C04533" w:rsidRDefault="00C04533" w:rsidP="00C04533">
      <w:pPr>
        <w:pStyle w:val="TextoNormalNegritaCentrado"/>
        <w:keepNext/>
      </w:pPr>
    </w:p>
    <w:p w14:paraId="2F97C13B"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0C1F5BF0" w14:textId="77777777" w:rsidR="00C04533" w:rsidRDefault="00C04533" w:rsidP="00C04533">
      <w:pPr>
        <w:pStyle w:val="TextoNormal"/>
      </w:pPr>
    </w:p>
    <w:p w14:paraId="647EFF2C" w14:textId="77777777" w:rsidR="00C04533" w:rsidRDefault="00C04533" w:rsidP="00C04533">
      <w:pPr>
        <w:pStyle w:val="TextoNormal"/>
      </w:pPr>
      <w:r>
        <w:t>El auto, que ha sido dictado por un Pleno del Tribunal compuesto de nueve magistrados (una vez rechazada por ATC 93/2024, de 8 de octubre, la recusación del presidente don Cándido Conde-Pumpido Tourón), acuerda, por remisión a lo resuelto en el ATC 105/2024, de 22 de octubre, inadmitir la recusación promovida por el Gobierno de Cantabria respecto de la magistrada doña Laura Díez Bueso, en el recurso de inconstitucionalidad interpuesto contra la Ley Orgánica 1/2024.</w:t>
      </w:r>
    </w:p>
    <w:p w14:paraId="413D7A54" w14:textId="77777777" w:rsidR="00C04533" w:rsidRDefault="00C04533" w:rsidP="00C04533">
      <w:pPr>
        <w:pStyle w:val="TextoNormal"/>
      </w:pPr>
    </w:p>
    <w:p w14:paraId="3B45B72B" w14:textId="77777777" w:rsidR="00C04533" w:rsidRDefault="00C04533" w:rsidP="00C04533">
      <w:pPr>
        <w:pStyle w:val="TextoNormal"/>
      </w:pPr>
      <w:r>
        <w:t>No disiento en este punto del auto aprobado por la mayoría del Pleno, pues comparto la decisión de inadmitir la recusación de la magistrada doña Laura Díez Bueso por las razones que allí se indican.</w:t>
      </w:r>
    </w:p>
    <w:p w14:paraId="59680B0C" w14:textId="77777777" w:rsidR="00C04533" w:rsidRDefault="00C04533" w:rsidP="00C04533">
      <w:pPr>
        <w:pStyle w:val="TextoNormal"/>
      </w:pPr>
    </w:p>
    <w:p w14:paraId="131C5EEC" w14:textId="77777777" w:rsidR="00C04533" w:rsidRDefault="00C04533" w:rsidP="00C04533">
      <w:pPr>
        <w:pStyle w:val="TextoNormal"/>
      </w:pPr>
      <w:r>
        <w:t>Mi discrepancia con este auto, al igual que sucedía con el ATC 93/2024, que inadmitió la recusación del presidente del Tribunal don Cándido Conde-Pumpido Tourón, y con el ATC 105/2024, de 22 de octubre, que inadmitió la recusación de la propia magistrada doña Laura Díez Bueso (en el recurso de inconstitucionalidad núm. 6436-2024), se refiere a la composición del Pleno para la resolución de este incidente de recusación, pues no se explican suficientemente las razones por las que está integrado solo por nueve magistrados (más allá de la escueta indicación del antecedente 4), ni tampoco, y esto es lo fundamental, por qué se han resuelto de manera separada las recusaciones del presidente del Tribunal y de la magistrada doña Laura Díez Bueso, a los que el ejecutivo recurrente ha recusado conjuntamente (así como al magistrado don Juan Carlos Campo Moreno, si bien la abstención de este ya fue aceptada por el Tribunal en el ATC 91/2024, de 24 de septiembre).</w:t>
      </w:r>
    </w:p>
    <w:p w14:paraId="312EC634" w14:textId="77777777" w:rsidR="00C04533" w:rsidRDefault="00C04533" w:rsidP="00C04533">
      <w:pPr>
        <w:pStyle w:val="TextoNormal"/>
      </w:pPr>
    </w:p>
    <w:p w14:paraId="666E5A4F" w14:textId="77777777" w:rsidR="00C04533" w:rsidRDefault="00C04533" w:rsidP="00C04533">
      <w:pPr>
        <w:pStyle w:val="TextoNormal"/>
      </w:pPr>
      <w: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ejecutivo recurrente.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de 9 de mayo; 238/2023, de 9 de mayo; 488/2023, de 24 de octubre, y 70/2024, de 16 de julio.</w:t>
      </w:r>
    </w:p>
    <w:p w14:paraId="287E17BD" w14:textId="77777777" w:rsidR="00C04533" w:rsidRDefault="00C04533" w:rsidP="00C04533">
      <w:pPr>
        <w:pStyle w:val="TextoNormal"/>
      </w:pPr>
    </w:p>
    <w:p w14:paraId="367DCA32"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14:paraId="50A089FA" w14:textId="77777777" w:rsidR="00C04533" w:rsidRDefault="00C04533" w:rsidP="00C04533">
      <w:pPr>
        <w:pStyle w:val="TextoNormal"/>
      </w:pPr>
    </w:p>
    <w:p w14:paraId="3D94C45F" w14:textId="77777777" w:rsidR="00C04533" w:rsidRDefault="00C04533" w:rsidP="00C04533">
      <w:pPr>
        <w:pStyle w:val="TextoNormal"/>
      </w:pPr>
      <w:r>
        <w:t>Como consecuencia de la extravagante decisión de resolver separadamente ambas recusaciones, resulta que tras rechazar el Tribunal la recusación del presidente don Cándido Conde-Pumpido Tourón (ATC 93/2024), este ha podido intervenir en el Pleno que ha aprobado el rechazo de la recusación de la magistrada doña Laura Díez Bueso, sin que ello resulte justificado.</w:t>
      </w:r>
    </w:p>
    <w:p w14:paraId="6577A7A8" w14:textId="77777777" w:rsidR="00C04533" w:rsidRDefault="00C04533" w:rsidP="00C04533">
      <w:pPr>
        <w:pStyle w:val="TextoNormal"/>
      </w:pPr>
    </w:p>
    <w:p w14:paraId="63D67FD0" w14:textId="77777777" w:rsidR="00C04533" w:rsidRDefault="00C04533" w:rsidP="00C04533">
      <w:pPr>
        <w:pStyle w:val="TextoNormal"/>
      </w:pPr>
      <w:r>
        <w:t>En fin, no debe dejarse de señalar que tampoco se explican las razones que llevan a excluir al magistrado don José María Macías Castaño en la composición del Pleno que ha dictado el auto que nos ocupa, más allá del lacónico enunciado del antecedente 4. La recusación de este magistrado ha sido planteada por el abogado del Estado, como ya advertí en votos particulares anteriores, en procesos constitucionales todavía no admitidos a trámite y en los que, por tanto, la Abogacía del Estado no ha adquirido aún la condición de parte. Justamente por ello, esa recusación ha sido rechazada por este tribunal por ATC 116/2024, de 5 de noviembre.</w:t>
      </w:r>
    </w:p>
    <w:p w14:paraId="0737D8BA" w14:textId="77777777" w:rsidR="00C04533" w:rsidRDefault="00C04533" w:rsidP="00C04533">
      <w:pPr>
        <w:pStyle w:val="TextoNormal"/>
      </w:pPr>
    </w:p>
    <w:p w14:paraId="739EBF5E"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71ABF3B5" w14:textId="77777777" w:rsidR="00C04533" w:rsidRDefault="00C04533" w:rsidP="00C04533">
      <w:pPr>
        <w:pStyle w:val="TextoNormal"/>
      </w:pPr>
    </w:p>
    <w:p w14:paraId="5AF6F536" w14:textId="6CB1598B" w:rsidR="00C04533" w:rsidRDefault="00C04533" w:rsidP="00C04533">
      <w:pPr>
        <w:pStyle w:val="TextoNormal"/>
      </w:pPr>
      <w:r>
        <w:t>Madrid, a seis de noviembre de dos mil veinticuatro.</w:t>
      </w:r>
    </w:p>
    <w:p w14:paraId="24B039E3" w14:textId="77777777" w:rsidR="00C04533" w:rsidRDefault="00C04533" w:rsidP="00C04533">
      <w:pPr>
        <w:pStyle w:val="TextoNormal"/>
      </w:pPr>
    </w:p>
    <w:p w14:paraId="0DD46B8C" w14:textId="77777777" w:rsidR="00C04533" w:rsidRDefault="00C04533" w:rsidP="00C04533">
      <w:pPr>
        <w:pStyle w:val="TextoNormalNegritaCentrado"/>
        <w:keepNext/>
      </w:pPr>
      <w:r>
        <w:t>Voto particular discrepante que formula la magistrada doña Concepción Espejel Jorquera al auto de 5 de noviembre, dictado en el incidente de recusación de la magistrada del Tribunal doña Laura Díez Bueso, planteado en el recurso de inconstitucionalidad núm. 6616-2024</w:t>
      </w:r>
    </w:p>
    <w:p w14:paraId="5A88A26D" w14:textId="2080F219" w:rsidR="00C04533" w:rsidRDefault="00C04533" w:rsidP="00C04533">
      <w:pPr>
        <w:pStyle w:val="TextoNormalNegritaCentrado"/>
        <w:keepNext/>
      </w:pPr>
    </w:p>
    <w:p w14:paraId="4345611A" w14:textId="77777777" w:rsidR="00C04533" w:rsidRDefault="00C04533" w:rsidP="00C04533">
      <w:pPr>
        <w:pStyle w:val="TextoNormal"/>
      </w:pPr>
      <w:r>
        <w:t>En el ejercicio de la facultad conferida en el art. 90.2 LOTC, y con el respeto debido a la opinión de los magistrados que han conformado la mayoría del Pleno, formulo el presente voto particular al auto dictado en el mencionado incidente.</w:t>
      </w:r>
    </w:p>
    <w:p w14:paraId="55FC29EC" w14:textId="77777777" w:rsidR="00C04533" w:rsidRDefault="00C04533" w:rsidP="00C04533">
      <w:pPr>
        <w:pStyle w:val="TextoNormal"/>
      </w:pPr>
    </w:p>
    <w:p w14:paraId="441AC079" w14:textId="77777777" w:rsidR="00C04533" w:rsidRDefault="00C04533" w:rsidP="00C04533">
      <w:pPr>
        <w:pStyle w:val="TextoNormal"/>
      </w:pPr>
      <w:r>
        <w:t>Me remito al voto particular formulado en el ATC 93/2024, en el recurso de inconstitucionalidad núm. 6436-2024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05D16568" w14:textId="77777777" w:rsidR="00C04533" w:rsidRDefault="00C04533" w:rsidP="00C04533">
      <w:pPr>
        <w:pStyle w:val="TextoNormal"/>
      </w:pPr>
    </w:p>
    <w:p w14:paraId="13B3FE57"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14:paraId="23304437" w14:textId="77777777" w:rsidR="00C04533" w:rsidRDefault="00C04533" w:rsidP="00C04533">
      <w:pPr>
        <w:pStyle w:val="TextoNormal"/>
      </w:pPr>
    </w:p>
    <w:p w14:paraId="101A22D4" w14:textId="77777777" w:rsidR="00C04533" w:rsidRDefault="00C04533" w:rsidP="00C04533">
      <w:pPr>
        <w:pStyle w:val="TextoNormal"/>
      </w:pPr>
      <w:r>
        <w:t>Por lo expuesto, formulo el presente voto particular.</w:t>
      </w:r>
    </w:p>
    <w:p w14:paraId="646D9E26" w14:textId="77777777" w:rsidR="00C04533" w:rsidRDefault="00C04533" w:rsidP="00C04533">
      <w:pPr>
        <w:pStyle w:val="TextoNormal"/>
      </w:pPr>
    </w:p>
    <w:p w14:paraId="4AF9AA3E" w14:textId="5B2F9921" w:rsidR="00C04533" w:rsidRDefault="00C04533" w:rsidP="00C04533">
      <w:pPr>
        <w:pStyle w:val="TextoNormal"/>
      </w:pPr>
      <w:r>
        <w:t>Madrid, a cinco de noviembre de dos mil veinticuatro.</w:t>
      </w:r>
    </w:p>
    <w:p w14:paraId="7A809B02" w14:textId="32C79BEE" w:rsidR="00C04533" w:rsidRDefault="00C04533">
      <w:pPr>
        <w:spacing w:after="160" w:line="278" w:lineRule="auto"/>
        <w:rPr>
          <w:rFonts w:ascii="Times New Roman" w:eastAsia="Times New Roman" w:hAnsi="Times New Roman" w:cs="Times New Roman"/>
          <w:sz w:val="24"/>
          <w:szCs w:val="24"/>
          <w:lang w:eastAsia="es-ES"/>
        </w:rPr>
      </w:pPr>
      <w:r>
        <w:br w:type="page"/>
      </w:r>
    </w:p>
    <w:p w14:paraId="6155A123" w14:textId="77777777" w:rsidR="00C04533" w:rsidRDefault="00C04533" w:rsidP="00C04533">
      <w:pPr>
        <w:pStyle w:val="TtuloResolucin"/>
      </w:pPr>
      <w:bookmarkStart w:id="129" w:name="AUTO_2024_123"/>
      <w:r>
        <w:t>AUTO 123/2024, de 5 de noviembre de 2024</w:t>
      </w:r>
    </w:p>
    <w:bookmarkEnd w:id="129"/>
    <w:p w14:paraId="2D832A16" w14:textId="77777777" w:rsidR="00C04533" w:rsidRDefault="00C04533" w:rsidP="00C04533">
      <w:pPr>
        <w:pStyle w:val="TtuloResolucin"/>
      </w:pPr>
      <w:r>
        <w:t>Pleno</w:t>
      </w:r>
    </w:p>
    <w:p w14:paraId="13D77FC2" w14:textId="77777777" w:rsidR="00C04533" w:rsidRDefault="00C04533" w:rsidP="00C04533">
      <w:pPr>
        <w:pStyle w:val="TextoNormalCentrado"/>
      </w:pPr>
      <w:r>
        <w:t>ECLI:ES:TC:2024:123A</w:t>
      </w:r>
    </w:p>
    <w:p w14:paraId="3A41ADAF" w14:textId="04B0F5EF" w:rsidR="00C04533" w:rsidRDefault="00C04533" w:rsidP="00C04533">
      <w:pPr>
        <w:pStyle w:val="TextoNormalCentrado"/>
      </w:pPr>
    </w:p>
    <w:p w14:paraId="45B8E36A"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278BDC42" w14:textId="412F1156" w:rsidR="00C04533" w:rsidRDefault="00C04533" w:rsidP="00C04533">
      <w:pPr>
        <w:pStyle w:val="SntesisDescriptiva"/>
      </w:pPr>
    </w:p>
    <w:p w14:paraId="4DF191E7" w14:textId="77777777" w:rsidR="00C04533" w:rsidRDefault="00C04533" w:rsidP="00C04533">
      <w:pPr>
        <w:pStyle w:val="SntesisDescriptiva"/>
      </w:pPr>
      <w:r>
        <w:t>Inadmite una recusación en el recurso de inconstitucionalidad 6617-2024, interpuesto por el Consejo de Gobierno de la Junta de Extremadura en relación con la Ley Orgánica 1/2024, de 10 de junio, de amnistía para la normalización institucional, política y social en Cataluña. Votos particulares.</w:t>
      </w:r>
    </w:p>
    <w:p w14:paraId="69AEFD00" w14:textId="47CAE64A" w:rsidR="00C04533" w:rsidRDefault="00C04533" w:rsidP="00C04533">
      <w:pPr>
        <w:pStyle w:val="SntesisDescriptiva"/>
      </w:pPr>
    </w:p>
    <w:p w14:paraId="42708523" w14:textId="77777777" w:rsidR="00C04533" w:rsidRDefault="00C04533" w:rsidP="00C04533">
      <w:pPr>
        <w:pStyle w:val="SntesisDescriptiva"/>
      </w:pPr>
    </w:p>
    <w:p w14:paraId="18F09133" w14:textId="77777777" w:rsidR="00C04533" w:rsidRDefault="00C04533" w:rsidP="00C04533">
      <w:pPr>
        <w:pStyle w:val="SntesisDescriptiva"/>
      </w:pPr>
    </w:p>
    <w:p w14:paraId="08912433" w14:textId="77777777" w:rsidR="00C04533" w:rsidRDefault="00C04533" w:rsidP="00C04533">
      <w:pPr>
        <w:pStyle w:val="TextoNormalNegritaCentrado"/>
      </w:pPr>
      <w:r>
        <w:t>AUTO</w:t>
      </w:r>
    </w:p>
    <w:p w14:paraId="0B5AAB39" w14:textId="30675E15" w:rsidR="00C04533" w:rsidRDefault="00C04533" w:rsidP="00C04533">
      <w:pPr>
        <w:pStyle w:val="TextoNormalNegritaCentrado"/>
      </w:pPr>
    </w:p>
    <w:p w14:paraId="5B686E56" w14:textId="77777777" w:rsidR="00C04533" w:rsidRDefault="00C04533" w:rsidP="00C04533">
      <w:pPr>
        <w:pStyle w:val="TextoNormalNegritaCentrado"/>
        <w:keepNext/>
      </w:pPr>
      <w:r>
        <w:t>I. Antecedentes</w:t>
      </w:r>
    </w:p>
    <w:p w14:paraId="3F38E065" w14:textId="040553B1" w:rsidR="00C04533" w:rsidRDefault="00C04533" w:rsidP="00C04533">
      <w:pPr>
        <w:pStyle w:val="TextoNormalNegritaCentrado"/>
        <w:keepNext/>
      </w:pPr>
    </w:p>
    <w:p w14:paraId="1393A7F4" w14:textId="48B507A3" w:rsidR="00C04533" w:rsidRDefault="00C04533" w:rsidP="00C04533">
      <w:pPr>
        <w:pStyle w:val="TextoNormal"/>
      </w:pPr>
      <w:r w:rsidRPr="00C04533">
        <w:rPr>
          <w:rStyle w:val="NumeroAFNegritaCaracter"/>
        </w:rPr>
        <w:t>1</w:t>
      </w:r>
      <w:r>
        <w:t>. Por el Consejo de Gobierno de la Junta de Extremadura se ha interpuesto recurso de inconstitucionalidad en relación con la Ley Orgánica 1/2024, de 10 de junio, de amnistía para la normalización institucional, política y social en Cataluña, mediante escrito registrado en este tribunal el 10 de septiembre de 2024, en el que promueve, por otrosí, la recusación, entre otros, de la magistrada doña Laura Díez Bueso.</w:t>
      </w:r>
    </w:p>
    <w:p w14:paraId="743502FB" w14:textId="77777777" w:rsidR="00C04533" w:rsidRDefault="00C04533" w:rsidP="00C04533">
      <w:pPr>
        <w:pStyle w:val="TextoNormal"/>
      </w:pPr>
    </w:p>
    <w:p w14:paraId="5CC5CFA5" w14:textId="6A24195E"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la causa 10 de las previstas en el art. 219 de la Ley Orgánica del Poder Judicial (LOPJ), con fundamento en que la magistrada recusada, de quien se dice que ha tenido “una extensa carrera política al servicio del Partido Socialista de Cataluña”, y que en su condición de directora general de Asuntos Constitucionales y Coordinación Jurídica “parece incuestionable que debió intervenir en la fijación del criterio del Ministerio sobre la constitucionalidad de tales indultos parciales y sobre la constitucionalidad de la propia amnistía”. Además, se indica que en el diario “El Mundo” apareció publicado un artículo colectivo en 2018 (</w:t>
      </w:r>
      <w:r w:rsidRPr="00C04533">
        <w:rPr>
          <w:i/>
        </w:rPr>
        <w:t>Valoración general del Estado autonómico</w:t>
      </w:r>
      <w:r>
        <w:t>), del que era coautora, en el que se pronunciaba “explícitamente en la misma línea en la que el preámbulo de la Ley Orgánica 1/2024 trata de justificar la procedencia de la amnistía: la necesidad de devolver el conflicto a la política, ante una supuesta judicialización del mismo, y a través de una normalización política”. Finalmente, se aduce que ha estado bajo la dependencia jerárquica del actual presidente del Gobierno y del ministro de la Presidencia, Relaciones con las Cortes y Memoria Democrática “que ha dirigido la negociación de la proposición que desembocó en la Ley Orgánica 1/2024”.</w:t>
      </w:r>
    </w:p>
    <w:p w14:paraId="1CEDCE46" w14:textId="77777777" w:rsidR="00C04533" w:rsidRDefault="00C04533" w:rsidP="00C04533">
      <w:pPr>
        <w:pStyle w:val="TextoNormal"/>
      </w:pPr>
    </w:p>
    <w:p w14:paraId="61CA32F0" w14:textId="25110598" w:rsidR="00C04533" w:rsidRDefault="00C04533" w:rsidP="00C04533">
      <w:pPr>
        <w:pStyle w:val="TextoNormal"/>
      </w:pPr>
      <w:r w:rsidRPr="00C04533">
        <w:rPr>
          <w:rStyle w:val="NumeroAFNegritaCaracter"/>
        </w:rPr>
        <w:t>3</w:t>
      </w:r>
      <w:r>
        <w:t>. La Secretaría de Justicia del Pleno del Tribunal, mediante diligencia de ordenación de 23 de octubre de 2024, consignó que la ponencia del incidente de recusación correspondía por turno de reparto al magistrado don Ricardo Enríquez Sancho.</w:t>
      </w:r>
    </w:p>
    <w:p w14:paraId="237F22F5" w14:textId="77777777" w:rsidR="00C04533" w:rsidRDefault="00C04533" w:rsidP="00C04533">
      <w:pPr>
        <w:pStyle w:val="TextoNormal"/>
      </w:pPr>
    </w:p>
    <w:p w14:paraId="6B27AF70" w14:textId="5F8211C8" w:rsidR="00C04533" w:rsidRDefault="00C04533" w:rsidP="00C04533">
      <w:pPr>
        <w:pStyle w:val="TextoNormal"/>
      </w:pPr>
      <w:r w:rsidRPr="00C04533">
        <w:rPr>
          <w:rStyle w:val="NumeroAFNegritaCaracter"/>
        </w:rPr>
        <w:t>4</w:t>
      </w:r>
      <w:r>
        <w:t>. Finalmente, ha de advertirse que en la composición del Pleno del Tribunal solo intervienen nueve de sus miembros, no participando la magistrada cuya recusación se resuelve, el magistrado don Juan Carlos Campo Moreno, cuya abstención fue aceptada por ATC 91/2024, de 24 de septiembre, ni el magistrado don José María Macías Castaño, cuya recusación está pendiente de resolución.</w:t>
      </w:r>
    </w:p>
    <w:p w14:paraId="09696716" w14:textId="77777777" w:rsidR="00C04533" w:rsidRDefault="00C04533" w:rsidP="00C04533">
      <w:pPr>
        <w:pStyle w:val="TextoNormal"/>
      </w:pPr>
    </w:p>
    <w:p w14:paraId="2187A9DD" w14:textId="77777777" w:rsidR="00C04533" w:rsidRDefault="00C04533" w:rsidP="00C04533">
      <w:pPr>
        <w:pStyle w:val="TextoNormalNegritaCentrado"/>
        <w:keepNext/>
      </w:pPr>
      <w:r>
        <w:t>II. Fundamentos jurídicos</w:t>
      </w:r>
    </w:p>
    <w:p w14:paraId="5D3F1325" w14:textId="57CE545F" w:rsidR="00C04533" w:rsidRDefault="00C04533" w:rsidP="00C04533">
      <w:pPr>
        <w:pStyle w:val="TextoNormalNegritaCentrado"/>
        <w:keepNext/>
      </w:pPr>
    </w:p>
    <w:p w14:paraId="5371AD8E" w14:textId="7F127907" w:rsidR="00C04533" w:rsidRDefault="00C04533" w:rsidP="00C04533">
      <w:pPr>
        <w:pStyle w:val="TextoNormal"/>
      </w:pPr>
      <w:r w:rsidRPr="00C04533">
        <w:rPr>
          <w:rStyle w:val="NumeroAFNegritaCaracter"/>
        </w:rPr>
        <w:t>1</w:t>
      </w:r>
      <w:r>
        <w:t>. La parte recurrente sustenta la recusación en la causa 10 de las previstas en el art. 219 LOPJ, con fundamento en que la magistrada recusada, mientras desempeñó el cargo de directora general de Asuntos Constitucionales y Coordinación Jurídica del Ministerio de la Presidencia, Relaciones con las Cortes y Memoria Democrática, habría intervenido en la fijación de criterio sobre la constitucionalidad de los indultos parciales concedidos a condenados por la sentencia 459/2019, de 14 de octubre, dictada por la Sala de lo Penal del Tribunal Supremo (ECLI:ES:TS:2019:2997), cuestión ligada a la amnistía aprobada por la Ley Orgánica 1/2024, de 10 de junio, objeto del presente recurso de inconstitucionalidad. Se expone además que ha realizado manifestaciones explícitas alineándose con lo mantenido en el preámbulo de la Ley impugnada sobre la necesidad de una normalización política y, por último, se indica que tuvo una evidente relación de dependencia respecto del actual presidente del Gobierno y del ministro de Presidencia, Relaciones con las Cortes y Memoria Democrática.</w:t>
      </w:r>
    </w:p>
    <w:p w14:paraId="349FB109" w14:textId="77777777" w:rsidR="00C04533" w:rsidRDefault="00C04533" w:rsidP="00C04533">
      <w:pPr>
        <w:pStyle w:val="TextoNormal"/>
      </w:pPr>
    </w:p>
    <w:p w14:paraId="4DBE5EAB" w14:textId="752F9C78" w:rsidR="00C04533" w:rsidRDefault="00C04533" w:rsidP="00C04533">
      <w:pPr>
        <w:pStyle w:val="TextoNormal"/>
      </w:pPr>
      <w:r w:rsidRPr="00C04533">
        <w:rPr>
          <w:rStyle w:val="NumeroAFNegritaCaracter"/>
        </w:rPr>
        <w:t>2</w:t>
      </w:r>
      <w:r>
        <w:t>. Los motivos de recusación expuestos han sido rechazados por el reciente ATC 105/2024, de 22 de octubre, en el que señalamos que “[n]o se apela a una intervención acreditada y definida de la recusada, sino a la suposición de que ‘debió intervenir’ en la fijación del criterio del Ministerio de la Presidencia, y no se alude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Bueso cesó el 26 de abril de 2022, iniciándose la tramitación parlamentaria de la Ley Orgánica 1/2024 recurrida como proposición de ley presentada por el Grupo Parlamentario Socialista, el 24 de noviembre de 2023. Se trata de un discurso que se asienta en circunstancias hipotéticas, sobre actuaciones desconectadas del objeto del recurso de inconstitucionalidad, que no puede acreditar ninguno de los motivos de pérdida de la imparcialidad” de la magistrada [FJ 3 (i)].</w:t>
      </w:r>
    </w:p>
    <w:p w14:paraId="1B2DAF95" w14:textId="77777777" w:rsidR="00C04533" w:rsidRDefault="00C04533" w:rsidP="00C04533">
      <w:pPr>
        <w:pStyle w:val="TextoNormal"/>
      </w:pPr>
    </w:p>
    <w:p w14:paraId="4B55255A" w14:textId="4E9B04FC" w:rsidR="00C04533" w:rsidRDefault="00C04533" w:rsidP="00C04533">
      <w:pPr>
        <w:pStyle w:val="TextoNormal"/>
      </w:pPr>
      <w:r w:rsidRPr="00C04533">
        <w:rPr>
          <w:rStyle w:val="NumeroAFNegritaCaracter"/>
        </w:rPr>
        <w:t>3</w:t>
      </w:r>
      <w:r>
        <w:t xml:space="preserve">. Igualmente inefectiva para fundar una duda sobre la imparcialidad de la señora Díez Bueso se revela la coautoría del trabajo académico </w:t>
      </w:r>
      <w:r w:rsidRPr="00C04533">
        <w:rPr>
          <w:i/>
        </w:rPr>
        <w:t>Valoración general del Estado autonómico</w:t>
      </w:r>
      <w:r>
        <w:t>, publicado en el año 2018, pues su contenido no implica “prejuicio o previa toma de posición sobre el objeto de la norma sometida a enjuiciamiento constitucional ni permiten fundar la existencia de un interés directo o indirecto en este proceso constitucional” y “[m]ás allá de la falta de presupuesto del motivo, la doctrina constitucional considera que no está justificada la duda de imparcialidad que se vincula a manifestaciones vertidas en publicaciones académicas o artículos de opinión publicados antes de haber adquirido la condición de magistrado, incluso si en ellos se defiende una tesis contraria a una de las partes” [FJ 3 (ii)].</w:t>
      </w:r>
    </w:p>
    <w:p w14:paraId="241B044A" w14:textId="77777777" w:rsidR="00C04533" w:rsidRDefault="00C04533" w:rsidP="00C04533">
      <w:pPr>
        <w:pStyle w:val="TextoNormal"/>
      </w:pPr>
    </w:p>
    <w:p w14:paraId="41D10200" w14:textId="4F2421FA" w:rsidR="00C04533" w:rsidRDefault="00C04533" w:rsidP="00C04533">
      <w:pPr>
        <w:pStyle w:val="TextoNormal"/>
      </w:pPr>
      <w:r w:rsidRPr="00C04533">
        <w:rPr>
          <w:rStyle w:val="NumeroAFNegritaCaracter"/>
        </w:rPr>
        <w:t>4</w:t>
      </w:r>
      <w:r>
        <w:t>. También debe rechazarse la alegación sobre una pasada dependencia jerárquica de la señora Díez Bueso respecto al presidente y ministro del Gobierno de la Nación respectivamente, pues se aduce una relación inversa a la que contempla la invocada causa del art. 219.12 LOPJ, que alude a la subordinación de una parte al juez, y no viceversa, por lo que no puede aceptarse como causa de recusación [FJ 3 (iii)].</w:t>
      </w:r>
    </w:p>
    <w:p w14:paraId="649D6BD4" w14:textId="77777777" w:rsidR="00C04533" w:rsidRDefault="00C04533" w:rsidP="00C04533">
      <w:pPr>
        <w:pStyle w:val="TextoNormal"/>
      </w:pPr>
    </w:p>
    <w:p w14:paraId="2B45F47E" w14:textId="54B4D045" w:rsidR="00C04533" w:rsidRDefault="00C04533" w:rsidP="00C04533">
      <w:pPr>
        <w:pStyle w:val="TextoNormal"/>
      </w:pPr>
      <w:r w:rsidRPr="00C04533">
        <w:rPr>
          <w:rStyle w:val="NumeroAFNegritaCaracter"/>
        </w:rPr>
        <w:t>5</w:t>
      </w:r>
      <w:r>
        <w:t>. Por último, debe descartarse que tenga algún valor la genérica alusión a vínculos de la magistrada con el Partido Socialista de Cataluña, hecho que no se intenta siquiera acreditar, a lo que debemos añadir que una eventual afinidad ideológica no es en ningún caso factor que mengüe la imparcialidad para juzgar los asuntos que según su ley orgánica este tribunal debe decidir, sin que constituya por sí sola causa de recusación [FJ 3 (iv)].</w:t>
      </w:r>
    </w:p>
    <w:p w14:paraId="13A7F16E" w14:textId="77777777" w:rsidR="00C04533" w:rsidRDefault="00C04533" w:rsidP="00C04533">
      <w:pPr>
        <w:pStyle w:val="TextoNormal"/>
      </w:pPr>
    </w:p>
    <w:p w14:paraId="44121183" w14:textId="77777777" w:rsidR="00C04533" w:rsidRDefault="00C04533" w:rsidP="00C04533">
      <w:pPr>
        <w:pStyle w:val="TextoNormal"/>
      </w:pPr>
      <w:r>
        <w:t>Por lo expuesto, el Pleno</w:t>
      </w:r>
    </w:p>
    <w:p w14:paraId="05CB373B" w14:textId="60129604" w:rsidR="00C04533" w:rsidRDefault="00C04533" w:rsidP="00C04533">
      <w:pPr>
        <w:pStyle w:val="TextoNormal"/>
      </w:pPr>
    </w:p>
    <w:p w14:paraId="42724AFD" w14:textId="77777777" w:rsidR="00C04533" w:rsidRDefault="00C04533" w:rsidP="00C04533">
      <w:pPr>
        <w:pStyle w:val="TextoNormalCentrado"/>
      </w:pPr>
      <w:r>
        <w:t>ACUERDA</w:t>
      </w:r>
    </w:p>
    <w:p w14:paraId="64193A98" w14:textId="36E9CD35" w:rsidR="00C04533" w:rsidRDefault="00C04533" w:rsidP="00C04533">
      <w:pPr>
        <w:pStyle w:val="TextoNormalCentrado"/>
      </w:pPr>
    </w:p>
    <w:p w14:paraId="09D0F43E" w14:textId="3036AA9E" w:rsidR="00C04533" w:rsidRDefault="00C04533" w:rsidP="00C04533">
      <w:pPr>
        <w:pStyle w:val="TextoNormal"/>
      </w:pPr>
      <w:r>
        <w:t>No admitir a trámite la recusación de la magistrada doña Laura Díez Bueso, promovida en el recurso de inconstitucionalidad núm. 6617-2024 por el Consejo de Gobierno de la Junta de Extremadura.</w:t>
      </w:r>
    </w:p>
    <w:p w14:paraId="6DF5504C" w14:textId="77777777" w:rsidR="00C04533" w:rsidRDefault="00C04533" w:rsidP="00C04533">
      <w:pPr>
        <w:pStyle w:val="TextoNormal"/>
      </w:pPr>
    </w:p>
    <w:p w14:paraId="276475C5" w14:textId="77777777" w:rsidR="00C04533" w:rsidRDefault="00C04533" w:rsidP="00C04533">
      <w:pPr>
        <w:pStyle w:val="TextoNormal"/>
      </w:pPr>
      <w:r>
        <w:t>Madrid, a cinco de noviembre de dos mil veinticuatro.</w:t>
      </w:r>
    </w:p>
    <w:p w14:paraId="325D5035" w14:textId="40DADD31" w:rsidR="00C04533" w:rsidRDefault="00C04533" w:rsidP="00C04533">
      <w:pPr>
        <w:pStyle w:val="ParrafoNormal"/>
      </w:pPr>
    </w:p>
    <w:p w14:paraId="4F377839" w14:textId="77777777" w:rsidR="00C04533" w:rsidRDefault="00C04533" w:rsidP="00C04533">
      <w:pPr>
        <w:pStyle w:val="TextoNormalNegritaCentrado"/>
        <w:keepNext/>
      </w:pPr>
      <w:r>
        <w:t>Voto particular que formula el magistrado don Enrique Arnaldo Alcubilla al auto dictado en el recurso de inconstitucionalidad núm. 6617-2024, que inadmite la recusación de la magistrada doña Laura Díez Bueso</w:t>
      </w:r>
    </w:p>
    <w:p w14:paraId="0E5DBB9B" w14:textId="3CF2F1EA" w:rsidR="00C04533" w:rsidRDefault="00C04533" w:rsidP="00C04533">
      <w:pPr>
        <w:pStyle w:val="TextoNormalNegritaCentrado"/>
        <w:keepNext/>
      </w:pPr>
    </w:p>
    <w:p w14:paraId="1C4A39B2"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5C070036" w14:textId="77777777" w:rsidR="00C04533" w:rsidRDefault="00C04533" w:rsidP="00C04533">
      <w:pPr>
        <w:pStyle w:val="TextoNormal"/>
      </w:pPr>
    </w:p>
    <w:p w14:paraId="0F258862" w14:textId="77777777" w:rsidR="00C04533" w:rsidRDefault="00C04533" w:rsidP="00C04533">
      <w:pPr>
        <w:pStyle w:val="TextoNormal"/>
      </w:pPr>
      <w:r>
        <w:t>El auto, que ha sido dictado por un Pleno del Tribunal compuesto de nueve magistrados (una vez rechazada por ATC 93/2024, de 8 de octubre, la recusación del presidente don Cándido Conde-Pumpido Tourón), acuerda, por remisión a lo resuelto en el ATC 105/2024, de 22 de octubre, inadmitir la recusación promovida por la Junta de Extremadura respecto de la magistrada doña Laura Díez Bueso, en el recurso de inconstitucionalidad interpuesto contra la Ley Orgánica 1/2024, de amnistía para la normalización institucional, política y social en Cataluña.</w:t>
      </w:r>
    </w:p>
    <w:p w14:paraId="18075F42" w14:textId="77777777" w:rsidR="00C04533" w:rsidRDefault="00C04533" w:rsidP="00C04533">
      <w:pPr>
        <w:pStyle w:val="TextoNormal"/>
      </w:pPr>
    </w:p>
    <w:p w14:paraId="6FB8ACB3" w14:textId="77777777" w:rsidR="00C04533" w:rsidRDefault="00C04533" w:rsidP="00C04533">
      <w:pPr>
        <w:pStyle w:val="TextoNormal"/>
      </w:pPr>
      <w:r>
        <w:t>No disiento en este punto del auto aprobado por la mayoría del Pleno, pues comparto la decisión de inadmitir la recusación de la magistrada doña Laura Díez Bueso por las razones que allí se indican.</w:t>
      </w:r>
    </w:p>
    <w:p w14:paraId="422E3AF6" w14:textId="77777777" w:rsidR="00C04533" w:rsidRDefault="00C04533" w:rsidP="00C04533">
      <w:pPr>
        <w:pStyle w:val="TextoNormal"/>
      </w:pPr>
    </w:p>
    <w:p w14:paraId="75C5CB72" w14:textId="77777777" w:rsidR="00C04533" w:rsidRDefault="00C04533" w:rsidP="00C04533">
      <w:pPr>
        <w:pStyle w:val="TextoNormal"/>
      </w:pPr>
      <w:r>
        <w:t>Mi discrepancia con este auto, al igual que sucedía con el ATC 93/2024, de 8 de octubre, que inadmitió la recusación del presidente del Tribunal don Cándido Conde-Pumpido Tourón, y con el ATC 105/2024, de 22 de octubre, que inadmitió la recusación de la propia magistrada doña Laura Díez Bueso (en el recurso de inconstitucionalidad núm. 6436-2024), se refiere a la composición del Pleno para la resolución de este incidente de recusación, pues no se explican suficientemente las razones por las que está integrado solo por nueve magistrados (más allá de la escueta indicación del antecedente 4) ni tampoco, y esto es lo fundamental, por qué se han resuelto de manera separada las recusaciones del presidente del Tribunal y de la magistrada doña Laura Díez Bueso, a los que el ejecutivo recurrente han recusado conjuntamente (así como al magistrado don Juan Carlos Campo Moreno, si bien la abstención de este ya fue aceptada por el Tribunal en el ATC 91/2024, de 24 de septiembre).</w:t>
      </w:r>
    </w:p>
    <w:p w14:paraId="615597F8" w14:textId="77777777" w:rsidR="00C04533" w:rsidRDefault="00C04533" w:rsidP="00C04533">
      <w:pPr>
        <w:pStyle w:val="TextoNormal"/>
      </w:pPr>
    </w:p>
    <w:p w14:paraId="4CEF3E20" w14:textId="77777777" w:rsidR="00C04533" w:rsidRDefault="00C04533" w:rsidP="00C04533">
      <w:pPr>
        <w:pStyle w:val="TextoNormal"/>
      </w:pPr>
      <w: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Ejecutivo recurrente.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14:paraId="57BA9BE3" w14:textId="77777777" w:rsidR="00C04533" w:rsidRDefault="00C04533" w:rsidP="00C04533">
      <w:pPr>
        <w:pStyle w:val="TextoNormal"/>
      </w:pPr>
    </w:p>
    <w:p w14:paraId="59CA5C9C"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14:paraId="610FE8A2" w14:textId="77777777" w:rsidR="00C04533" w:rsidRDefault="00C04533" w:rsidP="00C04533">
      <w:pPr>
        <w:pStyle w:val="TextoNormal"/>
      </w:pPr>
    </w:p>
    <w:p w14:paraId="006A009E" w14:textId="77777777" w:rsidR="00C04533" w:rsidRDefault="00C04533" w:rsidP="00C04533">
      <w:pPr>
        <w:pStyle w:val="TextoNormal"/>
      </w:pPr>
      <w:r>
        <w:t>Como consecuencia de la extravagante decisión de resolver separadamente ambas recusaciones, resulta que tras rechazar el Tribunal la recusación del presidente don Cándido Conde-Pumpido Tourón (ATC 93/2024, de 8 de octubre), este ha podido intervenir en el Pleno que ha aprobado el rechazo la recusación de la magistrada doña Laura Díez Bueso, sin que ello resulte justificado.</w:t>
      </w:r>
    </w:p>
    <w:p w14:paraId="7454F23C" w14:textId="77777777" w:rsidR="00C04533" w:rsidRDefault="00C04533" w:rsidP="00C04533">
      <w:pPr>
        <w:pStyle w:val="TextoNormal"/>
      </w:pPr>
    </w:p>
    <w:p w14:paraId="5EE65324" w14:textId="77777777" w:rsidR="00C04533" w:rsidRDefault="00C04533" w:rsidP="00C04533">
      <w:pPr>
        <w:pStyle w:val="TextoNormal"/>
      </w:pPr>
      <w:r>
        <w:t>En fin, no debe dejarse de señalar que tampoco se explican las razones que llevan a excluir al magistrado don José María Macías Castaño en la composición del Pleno que ha dictado el auto que nos ocupa, más allá del lacónico enunciado del antecedente 4. La recusación de este magistrado ha sido planteada por el abogado del Estado, como ya advertí en votos particulares anteriores, en procesos constitucionales todavía no admitidos a trámite y en los que, por tanto, la Abogacía del Estado no ha adquirido aún la condición de parte. Justamente por ello, esa recusación ha sido rechazada por este tribunal por ATC 116/2024, de 5 de noviembre.</w:t>
      </w:r>
    </w:p>
    <w:p w14:paraId="210E9AF3" w14:textId="77777777" w:rsidR="00C04533" w:rsidRDefault="00C04533" w:rsidP="00C04533">
      <w:pPr>
        <w:pStyle w:val="TextoNormal"/>
      </w:pPr>
    </w:p>
    <w:p w14:paraId="16C1AB1E"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6C81DCA1" w14:textId="77777777" w:rsidR="00C04533" w:rsidRDefault="00C04533" w:rsidP="00C04533">
      <w:pPr>
        <w:pStyle w:val="TextoNormal"/>
      </w:pPr>
    </w:p>
    <w:p w14:paraId="7E99AAB3" w14:textId="4CFA0918" w:rsidR="00C04533" w:rsidRDefault="00C04533" w:rsidP="00C04533">
      <w:pPr>
        <w:pStyle w:val="TextoNormal"/>
      </w:pPr>
      <w:r>
        <w:t>Madrid, a seis de noviembre de dos mil veinticuatro.</w:t>
      </w:r>
    </w:p>
    <w:p w14:paraId="216535F8" w14:textId="77777777" w:rsidR="00C04533" w:rsidRDefault="00C04533" w:rsidP="00C04533">
      <w:pPr>
        <w:pStyle w:val="TextoNormal"/>
      </w:pPr>
    </w:p>
    <w:p w14:paraId="6E022AC5" w14:textId="77777777" w:rsidR="00C04533" w:rsidRDefault="00C04533" w:rsidP="00C04533">
      <w:pPr>
        <w:pStyle w:val="TextoNormalNegritaCentrado"/>
        <w:keepNext/>
      </w:pPr>
      <w:r>
        <w:t>Voto particular discrepante que formula la magistrada doña Concepción Espejel Jorquera al auto de 5 de noviembre de 2024, dictado en incidente de recusación de la magistrada del Tribunal doña Laura Díez Bueso planteado en el recurso de inconstitucionalidad núm. 6617-2024</w:t>
      </w:r>
    </w:p>
    <w:p w14:paraId="5F57D0B1" w14:textId="33055106" w:rsidR="00C04533" w:rsidRDefault="00C04533" w:rsidP="00C04533">
      <w:pPr>
        <w:pStyle w:val="TextoNormalNegritaCentrado"/>
        <w:keepNext/>
      </w:pPr>
    </w:p>
    <w:p w14:paraId="0FAC2620" w14:textId="77777777" w:rsidR="00C04533" w:rsidRDefault="00C04533" w:rsidP="00C04533">
      <w:pPr>
        <w:pStyle w:val="TextoNormal"/>
      </w:pPr>
      <w:r>
        <w:t>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14:paraId="4C1E51DB" w14:textId="77777777" w:rsidR="00C04533" w:rsidRDefault="00C04533" w:rsidP="00C04533">
      <w:pPr>
        <w:pStyle w:val="TextoNormal"/>
      </w:pPr>
    </w:p>
    <w:p w14:paraId="15BA962F" w14:textId="77777777" w:rsidR="00C04533" w:rsidRDefault="00C04533" w:rsidP="00C04533">
      <w:pPr>
        <w:pStyle w:val="TextoNormal"/>
      </w:pPr>
      <w:r>
        <w:t>Me remito al voto particular formulado en el ATC 93/2024, de 8 de octubre, en el recurso de inconstitucionalidad núm. 6436-2024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1D40968C" w14:textId="77777777" w:rsidR="00C04533" w:rsidRDefault="00C04533" w:rsidP="00C04533">
      <w:pPr>
        <w:pStyle w:val="TextoNormal"/>
      </w:pPr>
    </w:p>
    <w:p w14:paraId="23231A5A"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14:paraId="3FDF67FB" w14:textId="77777777" w:rsidR="00C04533" w:rsidRDefault="00C04533" w:rsidP="00C04533">
      <w:pPr>
        <w:pStyle w:val="TextoNormal"/>
      </w:pPr>
    </w:p>
    <w:p w14:paraId="0AA271BD" w14:textId="77777777" w:rsidR="00C04533" w:rsidRDefault="00C04533" w:rsidP="00C04533">
      <w:pPr>
        <w:pStyle w:val="TextoNormal"/>
      </w:pPr>
      <w:r>
        <w:t>Por lo expuesto, formulo el presente voto particular.</w:t>
      </w:r>
    </w:p>
    <w:p w14:paraId="262E1361" w14:textId="77777777" w:rsidR="00C04533" w:rsidRDefault="00C04533" w:rsidP="00C04533">
      <w:pPr>
        <w:pStyle w:val="TextoNormal"/>
      </w:pPr>
    </w:p>
    <w:p w14:paraId="247ED5B6" w14:textId="50AA3CF7" w:rsidR="00C04533" w:rsidRDefault="00C04533" w:rsidP="00C04533">
      <w:pPr>
        <w:pStyle w:val="TextoNormal"/>
      </w:pPr>
      <w:r>
        <w:t>Madrid, a cinco de noviembre de dos mil veinticuatro.</w:t>
      </w:r>
    </w:p>
    <w:p w14:paraId="2B0317B6" w14:textId="30B17A82" w:rsidR="00C04533" w:rsidRDefault="00C04533">
      <w:pPr>
        <w:spacing w:after="160" w:line="278" w:lineRule="auto"/>
        <w:rPr>
          <w:rFonts w:ascii="Times New Roman" w:eastAsia="Times New Roman" w:hAnsi="Times New Roman" w:cs="Times New Roman"/>
          <w:sz w:val="24"/>
          <w:szCs w:val="24"/>
          <w:lang w:eastAsia="es-ES"/>
        </w:rPr>
      </w:pPr>
      <w:r>
        <w:br w:type="page"/>
      </w:r>
    </w:p>
    <w:p w14:paraId="31D9292B" w14:textId="77777777" w:rsidR="00C04533" w:rsidRDefault="00C04533" w:rsidP="00C04533">
      <w:pPr>
        <w:pStyle w:val="TtuloResolucin"/>
      </w:pPr>
      <w:bookmarkStart w:id="130" w:name="AUTO_2024_124"/>
      <w:r>
        <w:t>AUTO 124/2024, de 5 de noviembre de 2024</w:t>
      </w:r>
    </w:p>
    <w:bookmarkEnd w:id="130"/>
    <w:p w14:paraId="1292D0F8" w14:textId="77777777" w:rsidR="00C04533" w:rsidRDefault="00C04533" w:rsidP="00C04533">
      <w:pPr>
        <w:pStyle w:val="TtuloResolucin"/>
      </w:pPr>
      <w:r>
        <w:t>Pleno</w:t>
      </w:r>
    </w:p>
    <w:p w14:paraId="0CBB0FDC" w14:textId="77777777" w:rsidR="00C04533" w:rsidRDefault="00C04533" w:rsidP="00C04533">
      <w:pPr>
        <w:pStyle w:val="TextoNormalCentrado"/>
      </w:pPr>
      <w:r>
        <w:t>ECLI:ES:TC:2024:124A</w:t>
      </w:r>
    </w:p>
    <w:p w14:paraId="0BE90B75" w14:textId="0669324B" w:rsidR="00C04533" w:rsidRDefault="00C04533" w:rsidP="00C04533">
      <w:pPr>
        <w:pStyle w:val="TextoNormalCentrado"/>
      </w:pPr>
    </w:p>
    <w:p w14:paraId="1C2783BC"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y don César Tolosa Tribiño.</w:t>
      </w:r>
    </w:p>
    <w:p w14:paraId="175B923B" w14:textId="072B1DEB" w:rsidR="00C04533" w:rsidRDefault="00C04533" w:rsidP="00C04533">
      <w:pPr>
        <w:pStyle w:val="SntesisDescriptiva"/>
      </w:pPr>
    </w:p>
    <w:p w14:paraId="2C67D8E8" w14:textId="77777777" w:rsidR="00C04533" w:rsidRDefault="00C04533" w:rsidP="00C04533">
      <w:pPr>
        <w:pStyle w:val="SntesisDescriptiva"/>
      </w:pPr>
      <w:r>
        <w:t>Inadmite una recusación en el recurso de inconstitucionalidad 6621-2024, interpuesto por el Consell de Govern de las Illes Balears en relación con la Ley Orgánica 1/2024, de 10 de junio, de amnistía para la normalización institucional, política y social en Cataluña. Votos particulares.</w:t>
      </w:r>
    </w:p>
    <w:p w14:paraId="38F88C16" w14:textId="02B9C930" w:rsidR="00C04533" w:rsidRDefault="00C04533" w:rsidP="00C04533">
      <w:pPr>
        <w:pStyle w:val="SntesisDescriptiva"/>
      </w:pPr>
    </w:p>
    <w:p w14:paraId="3A43296C" w14:textId="77777777" w:rsidR="00C04533" w:rsidRDefault="00C04533" w:rsidP="00C04533">
      <w:pPr>
        <w:pStyle w:val="SntesisDescriptiva"/>
      </w:pPr>
    </w:p>
    <w:p w14:paraId="30597069" w14:textId="77777777" w:rsidR="00C04533" w:rsidRDefault="00C04533" w:rsidP="00C04533">
      <w:pPr>
        <w:pStyle w:val="SntesisDescriptiva"/>
      </w:pPr>
    </w:p>
    <w:p w14:paraId="5767518E" w14:textId="77777777" w:rsidR="00C04533" w:rsidRDefault="00C04533" w:rsidP="00C04533">
      <w:pPr>
        <w:pStyle w:val="TextoNormalNegritaCentrado"/>
      </w:pPr>
      <w:r>
        <w:t>AUTO</w:t>
      </w:r>
    </w:p>
    <w:p w14:paraId="30A1DBC6" w14:textId="4C78F54C" w:rsidR="00C04533" w:rsidRDefault="00C04533" w:rsidP="00C04533">
      <w:pPr>
        <w:pStyle w:val="TextoNormalNegritaCentrado"/>
      </w:pPr>
    </w:p>
    <w:p w14:paraId="470FF8F0" w14:textId="77777777" w:rsidR="00C04533" w:rsidRDefault="00C04533" w:rsidP="00C04533">
      <w:pPr>
        <w:pStyle w:val="TextoNormalNegritaCentrado"/>
        <w:keepNext/>
      </w:pPr>
      <w:r>
        <w:t>I. Antecedentes</w:t>
      </w:r>
    </w:p>
    <w:p w14:paraId="6FD516AD" w14:textId="5CD3DE9C" w:rsidR="00C04533" w:rsidRDefault="00C04533" w:rsidP="00C04533">
      <w:pPr>
        <w:pStyle w:val="TextoNormalNegritaCentrado"/>
        <w:keepNext/>
      </w:pPr>
    </w:p>
    <w:p w14:paraId="125190F1" w14:textId="47461764" w:rsidR="00C04533" w:rsidRDefault="00C04533" w:rsidP="00C04533">
      <w:pPr>
        <w:pStyle w:val="TextoNormal"/>
      </w:pPr>
      <w:r w:rsidRPr="00C04533">
        <w:rPr>
          <w:rStyle w:val="NumeroAFNegritaCaracter"/>
        </w:rPr>
        <w:t>1</w:t>
      </w:r>
      <w:r>
        <w:t>. Por el Consell de Govern de les Illes Balears se ha interpuesto recurso de inconstitucionalidad en relación con la Ley Orgánica 1/2024, de 10 de junio, de amnistía para la normalización institucional, política y social en Cataluña, mediante escrito registrado en este tribunal el 10 de septiembre de 2024, en el que promueve, por otrosí, la recusación, entre otros, de la magistrada doña Laura Díez Bueso.</w:t>
      </w:r>
    </w:p>
    <w:p w14:paraId="754D20E6" w14:textId="77777777" w:rsidR="00C04533" w:rsidRDefault="00C04533" w:rsidP="00C04533">
      <w:pPr>
        <w:pStyle w:val="TextoNormal"/>
      </w:pPr>
    </w:p>
    <w:p w14:paraId="726E1191" w14:textId="7CFA99FB" w:rsidR="00C04533" w:rsidRDefault="00C04533" w:rsidP="00C04533">
      <w:pPr>
        <w:pStyle w:val="TextoNormal"/>
      </w:pPr>
      <w:r w:rsidRPr="00C04533">
        <w:rPr>
          <w:rStyle w:val="NumeroAFNegritaCaracter"/>
        </w:rPr>
        <w:t>2</w:t>
      </w:r>
      <w:r>
        <w:t>. La parte recurrente, con invocación de jurisprudencia de este tribunal y del Tribunal Europeo de Derechos Humanos, en relación con el derecho al juez imparcial, sustenta la recusación en las causas décima y decimotercera de las previstas en el art. 219 de la Ley Orgánica del Poder Judicial (LOPJ), con fundamento en que la magistrada recusada, en su condición de directora general de Asuntos Constitucionales y Coordinación Jurídica, “parece evidente que tuvo participación, al menos, en la formación de criterio del propio Ministerio de la Presidencia para la deliberación y aprobación de las propuestas motivadas que desembocaron en los referidos indultos parciales. Y, en particular, parece incuestionable que debió intervenir en la fijación del criterio del Ministerio sobre la constitucionalidad de tales indultos parciales y sobre la constitucionalidad de la propia amnistía”. Además, habría firmado un artículo colectivo en 2018 (</w:t>
      </w:r>
      <w:r w:rsidRPr="00C04533">
        <w:rPr>
          <w:i/>
        </w:rPr>
        <w:t>Valoración general del Estado autonómico</w:t>
      </w:r>
      <w:r>
        <w:t>) en el que “se ha pronunciado explícitamente en la misma línea en la que el preámbulo de la Ley Orgánica 1/2024, de 10 de junio, trata de justificar —aún por vía de legalidad ordinaria— la procedencia de la amnistía: la necesidad de devolver el conflicto de secesionismo catalán a la política, ante una indebida judicialización del mismo, y a través de medidas de normalización política”.</w:t>
      </w:r>
    </w:p>
    <w:p w14:paraId="498F7CC7" w14:textId="77777777" w:rsidR="00C04533" w:rsidRDefault="00C04533" w:rsidP="00C04533">
      <w:pPr>
        <w:pStyle w:val="TextoNormal"/>
      </w:pPr>
    </w:p>
    <w:p w14:paraId="0614C215" w14:textId="65666490" w:rsidR="00C04533" w:rsidRDefault="00C04533" w:rsidP="00C04533">
      <w:pPr>
        <w:pStyle w:val="TextoNormal"/>
      </w:pPr>
      <w:r w:rsidRPr="00C04533">
        <w:rPr>
          <w:rStyle w:val="NumeroAFNegritaCaracter"/>
        </w:rPr>
        <w:t>3</w:t>
      </w:r>
      <w:r>
        <w:t>. La Secretaría de Justicia del Pleno del Tribunal, mediante diligencia de ordenación de 23 de octubre de 2024, consignó que la ponencia del incidente de recusación correspondía por turno de reparto al magistrado don Ramón Sáez Valcárcel.</w:t>
      </w:r>
    </w:p>
    <w:p w14:paraId="64C21C98" w14:textId="77777777" w:rsidR="00C04533" w:rsidRDefault="00C04533" w:rsidP="00C04533">
      <w:pPr>
        <w:pStyle w:val="TextoNormal"/>
      </w:pPr>
    </w:p>
    <w:p w14:paraId="159209B8" w14:textId="6D40F9DE" w:rsidR="00C04533" w:rsidRDefault="00C04533" w:rsidP="00C04533">
      <w:pPr>
        <w:pStyle w:val="TextoNormal"/>
      </w:pPr>
      <w:r w:rsidRPr="00C04533">
        <w:rPr>
          <w:rStyle w:val="NumeroAFNegritaCaracter"/>
        </w:rPr>
        <w:t>4</w:t>
      </w:r>
      <w:r>
        <w:t>. Finalmente, ha de advertirse que en la composición del Pleno del Tribunal solo intervienen nueve de sus miembros, no participando la magistrada cuya recusación se resuelve, el magistrado don Juan Carlos Campo Moreno, cuya abstención fue aceptada por ATC 91/2024, de 24 de septiembre, ni el magistrado don José María Macías Castaño, cuya recusación está pendiente de resolución.</w:t>
      </w:r>
    </w:p>
    <w:p w14:paraId="5F73F75F" w14:textId="77777777" w:rsidR="00C04533" w:rsidRDefault="00C04533" w:rsidP="00C04533">
      <w:pPr>
        <w:pStyle w:val="TextoNormal"/>
      </w:pPr>
    </w:p>
    <w:p w14:paraId="23BC4954" w14:textId="77777777" w:rsidR="00C04533" w:rsidRDefault="00C04533" w:rsidP="00C04533">
      <w:pPr>
        <w:pStyle w:val="TextoNormalNegritaCentrado"/>
        <w:keepNext/>
      </w:pPr>
      <w:r>
        <w:t>II. Fundamentos jurídicos</w:t>
      </w:r>
    </w:p>
    <w:p w14:paraId="558B4E1A" w14:textId="5C402445" w:rsidR="00C04533" w:rsidRDefault="00C04533" w:rsidP="00C04533">
      <w:pPr>
        <w:pStyle w:val="TextoNormalNegritaCentrado"/>
        <w:keepNext/>
      </w:pPr>
    </w:p>
    <w:p w14:paraId="64D38ADF" w14:textId="6BA6D066" w:rsidR="00C04533" w:rsidRDefault="00C04533" w:rsidP="00C04533">
      <w:pPr>
        <w:pStyle w:val="TextoNormal"/>
      </w:pPr>
      <w:r w:rsidRPr="00C04533">
        <w:rPr>
          <w:rStyle w:val="NumeroAFNegritaCaracter"/>
        </w:rPr>
        <w:t>1</w:t>
      </w:r>
      <w:r>
        <w:t>. La parte recurrente sustenta la recusación en las causas décima y decimotercera de las previstas en el art. 219 LOPJ, con fundamento en que la magistrada recusada, mientras desempeñó el cargo de directora general de Asuntos Constitucionales y Coordinación Jurídica del Ministerio de la Presidencia, Relaciones con las Cortes y Memoria Democrática, habría intervenido en la fijación de criterio sobre la constitucionalidad de los indultos parciales concedidos a condenados por la sentencia 459/2019, de 14 de octubre, dictada por la Sala de lo Penal del Tribunal Supremo (ECLI:ES:TS:2019:2997), cuestión ligada a la amnistía aprobada por la Ley Orgánica 1/2024, de 10 de junio, objeto del presente recurso de inconstitucionalidad. Se expone además que ha realizado manifestaciones explícitas alineándose con lo mantenido en el preámbulo de la ley impugnada sobre la necesidad de una normalización política.</w:t>
      </w:r>
    </w:p>
    <w:p w14:paraId="04D9496F" w14:textId="77777777" w:rsidR="00C04533" w:rsidRDefault="00C04533" w:rsidP="00C04533">
      <w:pPr>
        <w:pStyle w:val="TextoNormal"/>
      </w:pPr>
    </w:p>
    <w:p w14:paraId="008075AF" w14:textId="7C64C742" w:rsidR="00C04533" w:rsidRDefault="00C04533" w:rsidP="00C04533">
      <w:pPr>
        <w:pStyle w:val="TextoNormal"/>
      </w:pPr>
      <w:r w:rsidRPr="00C04533">
        <w:rPr>
          <w:rStyle w:val="NumeroAFNegritaCaracter"/>
        </w:rPr>
        <w:t>2</w:t>
      </w:r>
      <w:r>
        <w:t>. Los motivos de recusación expuestos han sido rechazados por el reciente ATC 105/2024, de 22 de octubre, en el que señalamos que “[n]o se apela a una intervención acreditada y definida de la recusada, sino a la suposición de que ‘debió intervenir’ en la fijación del criterio del Ministerio de la Presidencia, sin que se aluda a una actuación en relación con la constitucionalidad de la Ley Orgánica 1/2024 impugnada en el presente proceso constitucional, sino sobre la propuesta de indultos parciales procedente de otro ministerio, el de Justicia, que desembocó en su concesión en el año 2021. Todo ello con base en la titularidad de un cargo en el que la señora Díez Bueso cesó el 26 de abril de 2022, iniciándose la tramitación parlamentaria de la Ley Orgánica 1/2024 recurrida como proposición de ley presentada por el Grupo Parlamentario Socialista el 24 de noviembre de 2023. Se trata de un discurso que se asienta en circunstancias hipotéticas, sobre actuaciones desconectadas del objeto del recurso de inconstitucionalidad, que no puede acreditar ninguno de los motivos de pérdida de la imparcialidad” de la magistrada [FJ 3 (i)].</w:t>
      </w:r>
    </w:p>
    <w:p w14:paraId="5FDDF0C5" w14:textId="77777777" w:rsidR="00C04533" w:rsidRDefault="00C04533" w:rsidP="00C04533">
      <w:pPr>
        <w:pStyle w:val="TextoNormal"/>
      </w:pPr>
    </w:p>
    <w:p w14:paraId="77CC43BF" w14:textId="62FE85A7" w:rsidR="00C04533" w:rsidRDefault="00C04533" w:rsidP="00C04533">
      <w:pPr>
        <w:pStyle w:val="TextoNormal"/>
      </w:pPr>
      <w:r w:rsidRPr="00C04533">
        <w:rPr>
          <w:rStyle w:val="NumeroAFNegritaCaracter"/>
        </w:rPr>
        <w:t>3</w:t>
      </w:r>
      <w:r>
        <w:t xml:space="preserve">. Igualmente, inefectiva para fundar una duda sobre la imparcialidad de la señora Díez Bueso se revela la coautoría del trabajo académico </w:t>
      </w:r>
      <w:r w:rsidRPr="00C04533">
        <w:rPr>
          <w:i/>
        </w:rPr>
        <w:t>Valoración general del Estado autonómico</w:t>
      </w:r>
      <w:r>
        <w:t>, publicado en el año 2018, pues su contenido no implica “prejuicio o previa toma de posición sobre el objeto de la norma sometida a enjuiciamiento constitucional ni permiten fundar la existencia de un interés directo o indirecto en este proceso constitucional” y “[m]ás allá de la falta de presupuesto del motivo, la doctrina constitucional considera que no está justificada la duda de imparcialidad que se vincula a manifestaciones vertidas en publicaciones académicas o artículos de opinión publicados antes de haber adquirido la condición de magistrado, incluso si en ellos se defiende una tesis contraria a una de las partes” [FJ 3 (ii)].</w:t>
      </w:r>
    </w:p>
    <w:p w14:paraId="79687D80" w14:textId="77777777" w:rsidR="00C04533" w:rsidRDefault="00C04533" w:rsidP="00C04533">
      <w:pPr>
        <w:pStyle w:val="TextoNormal"/>
      </w:pPr>
    </w:p>
    <w:p w14:paraId="0D1F4FD1" w14:textId="77777777" w:rsidR="00C04533" w:rsidRDefault="00C04533" w:rsidP="00C04533">
      <w:pPr>
        <w:pStyle w:val="TextoNormal"/>
      </w:pPr>
      <w:r>
        <w:t>Por lo expuesto, el Pleno</w:t>
      </w:r>
    </w:p>
    <w:p w14:paraId="75FA11D4" w14:textId="158AE928" w:rsidR="00C04533" w:rsidRDefault="00C04533" w:rsidP="00C04533">
      <w:pPr>
        <w:pStyle w:val="TextoNormal"/>
      </w:pPr>
    </w:p>
    <w:p w14:paraId="0ED6189E" w14:textId="77777777" w:rsidR="00C04533" w:rsidRDefault="00C04533" w:rsidP="00C04533">
      <w:pPr>
        <w:pStyle w:val="TextoNormalCentrado"/>
      </w:pPr>
      <w:r>
        <w:t>ACUERDA</w:t>
      </w:r>
    </w:p>
    <w:p w14:paraId="07DB61E9" w14:textId="0647E2D7" w:rsidR="00C04533" w:rsidRDefault="00C04533" w:rsidP="00C04533">
      <w:pPr>
        <w:pStyle w:val="TextoNormalCentrado"/>
      </w:pPr>
    </w:p>
    <w:p w14:paraId="62038037" w14:textId="3B5AADED" w:rsidR="00C04533" w:rsidRDefault="00C04533" w:rsidP="00C04533">
      <w:pPr>
        <w:pStyle w:val="TextoNormal"/>
      </w:pPr>
      <w:r>
        <w:t>No admitir a trámite la recusación de la magistrada doña Laura Díez Bueso, promovida en el recurso de inconstitucionalidad núm. 6621-2024 por el Consell de Govern de les Illes Balears.</w:t>
      </w:r>
    </w:p>
    <w:p w14:paraId="44DDD081" w14:textId="77777777" w:rsidR="00C04533" w:rsidRDefault="00C04533" w:rsidP="00C04533">
      <w:pPr>
        <w:pStyle w:val="TextoNormal"/>
      </w:pPr>
    </w:p>
    <w:p w14:paraId="2009E952" w14:textId="77777777" w:rsidR="00C04533" w:rsidRDefault="00C04533" w:rsidP="00C04533">
      <w:pPr>
        <w:pStyle w:val="TextoNormal"/>
      </w:pPr>
      <w:r>
        <w:t>Madrid, a cinco de noviembre de dos mil veinticuatro.</w:t>
      </w:r>
    </w:p>
    <w:p w14:paraId="3EF7ECFF" w14:textId="484BD3D2" w:rsidR="00C04533" w:rsidRDefault="00C04533" w:rsidP="00C04533">
      <w:pPr>
        <w:pStyle w:val="ParrafoNormal"/>
      </w:pPr>
    </w:p>
    <w:p w14:paraId="1D8B15A4" w14:textId="77777777" w:rsidR="00C04533" w:rsidRDefault="00C04533" w:rsidP="00C04533">
      <w:pPr>
        <w:pStyle w:val="TextoNormalNegritaCentrado"/>
        <w:keepNext/>
      </w:pPr>
      <w:r>
        <w:t>Voto particular que formula el magistrado don Enrique Arnaldo Alcubilla al auto dictado en el recurso de inconstitucionalidad núm. 6621-2024, que inadmite la recusación de la magistrada doña Laura Díez Bueso</w:t>
      </w:r>
    </w:p>
    <w:p w14:paraId="21C376DC" w14:textId="62B38F3D" w:rsidR="00C04533" w:rsidRDefault="00C04533" w:rsidP="00C04533">
      <w:pPr>
        <w:pStyle w:val="TextoNormalNegritaCentrado"/>
        <w:keepNext/>
      </w:pPr>
    </w:p>
    <w:p w14:paraId="14EAD06A" w14:textId="77777777" w:rsidR="00C04533" w:rsidRDefault="00C04533" w:rsidP="00C04533">
      <w:pPr>
        <w:pStyle w:val="TextoNormal"/>
      </w:pPr>
      <w:r>
        <w:t>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14:paraId="2D5D66AA" w14:textId="77777777" w:rsidR="00C04533" w:rsidRDefault="00C04533" w:rsidP="00C04533">
      <w:pPr>
        <w:pStyle w:val="TextoNormal"/>
      </w:pPr>
    </w:p>
    <w:p w14:paraId="47A5F479" w14:textId="77777777" w:rsidR="00C04533" w:rsidRDefault="00C04533" w:rsidP="00C04533">
      <w:pPr>
        <w:pStyle w:val="TextoNormal"/>
      </w:pPr>
      <w:r>
        <w:t>El auto, que ha sido dictado por un Pleno del Tribunal compuesto de nueve magistrados (una vez rechazada por el ATC 93/2024, de 8 de octubre, la recusación del presidente don Cándido Conde-Pumpido Tourón), acuerda, por remisión a lo resuelto en el ATC 105/2024, de 22 de octubre, inadmitir la recusación promovida por el Gobierno de las Illes Balears respecto de la magistrada doña Laura Diez Bueso, en el recurso de inconstitucionalidad interpuesto contra la Ley Orgánica 1/2024, de amnistía para la normalización institucional, política y social en Cataluña.</w:t>
      </w:r>
    </w:p>
    <w:p w14:paraId="61AEE050" w14:textId="77777777" w:rsidR="00C04533" w:rsidRDefault="00C04533" w:rsidP="00C04533">
      <w:pPr>
        <w:pStyle w:val="TextoNormal"/>
      </w:pPr>
    </w:p>
    <w:p w14:paraId="12ABE8B3" w14:textId="77777777" w:rsidR="00C04533" w:rsidRDefault="00C04533" w:rsidP="00C04533">
      <w:pPr>
        <w:pStyle w:val="TextoNormal"/>
      </w:pPr>
      <w:r>
        <w:t>No disiento en este punto del auto aprobado por la mayoría del Pleno, pues comparto la decisión de inadmitir la recusación de la magistrada doña Laura Díez Bueso por las razones que allí se indican.</w:t>
      </w:r>
    </w:p>
    <w:p w14:paraId="0061EAE5" w14:textId="77777777" w:rsidR="00C04533" w:rsidRDefault="00C04533" w:rsidP="00C04533">
      <w:pPr>
        <w:pStyle w:val="TextoNormal"/>
      </w:pPr>
    </w:p>
    <w:p w14:paraId="087F1CB6" w14:textId="77777777" w:rsidR="00C04533" w:rsidRDefault="00C04533" w:rsidP="00C04533">
      <w:pPr>
        <w:pStyle w:val="TextoNormal"/>
      </w:pPr>
      <w:r>
        <w:t>Mi discrepancia con este auto, al igual que sucedía con el ATC 93/2024, que inadmitió la recusación del presidente del Tribunal don Cándido Conde-Pumpido Tourón, y con el ATC 105/2024, que inadmitió la recusación de la propia magistrada doña Laura Díez Bueso (en el recurso de inconstitucionalidad núm. 6436-2024), se refiere a la composición del Pleno para la resolución de este incidente de recusación, pues no se explican suficientemente las razones por las que está integrado solo por nueve magistrados (más allá de la escueta indicación del antecedente cuarto), ni tampoco, y esto es lo fundamental, por qué se han resuelto de manera separada las recusaciones del presidente del Tribunal y de la magistrada doña Laura Díez Bueso, a los que el ejecutivo recurrente han recusado conjuntamente (así como al magistrado don Juan Carlos Campo Moreno, si bien la abstención de este ya fue aceptada por el Tribunal en el ATC 91/2024, de 24 de septiembre).</w:t>
      </w:r>
    </w:p>
    <w:p w14:paraId="4D465ED7" w14:textId="77777777" w:rsidR="00C04533" w:rsidRDefault="00C04533" w:rsidP="00C04533">
      <w:pPr>
        <w:pStyle w:val="TextoNormal"/>
      </w:pPr>
    </w:p>
    <w:p w14:paraId="55D28DF9" w14:textId="77777777" w:rsidR="00C04533" w:rsidRDefault="00C04533" w:rsidP="00C04533">
      <w:pPr>
        <w:pStyle w:val="TextoNormal"/>
      </w:pPr>
      <w:r>
        <w:t xml:space="preserve">En efecto, el presente auto, como ya sucediera con el citado ATC 93/2024, no explica las razones que llevan al Tribunal a resolver separadamente las recusaciones del presidente don Cándido Conde-PumpidoTourón y de la magistrada doña Laura Díez Bueso, recusados ambos conjuntamente por el ejecutivo recurrente.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w:t>
      </w:r>
      <w:r w:rsidRPr="00C04533">
        <w:rPr>
          <w:i/>
        </w:rPr>
        <w:t>quorum</w:t>
      </w:r>
      <w:r>
        <w:t xml:space="preserve">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14:paraId="75CEEE17" w14:textId="77777777" w:rsidR="00C04533" w:rsidRDefault="00C04533" w:rsidP="00C04533">
      <w:pPr>
        <w:pStyle w:val="TextoNormal"/>
      </w:pPr>
    </w:p>
    <w:p w14:paraId="6B8548B5" w14:textId="77777777" w:rsidR="00C04533" w:rsidRDefault="00C04533" w:rsidP="00C04533">
      <w:pPr>
        <w:pStyle w:val="TextoNormal"/>
      </w:pPr>
      <w:r>
        <w:t>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debió resolverse de manera fraccionada o separada y sucesivamente, como se ha hecho, sino de forma simultánea, por un Pleno del Tribunal con una composición en la que no interviniesen ninguno de los magistrados recusados (y tampoco, por supuesto, el magistrado don Juan Carlos Campo Moreno, al haber sido aceptada ya previamente por este tribunal su abstención).</w:t>
      </w:r>
    </w:p>
    <w:p w14:paraId="728C0908" w14:textId="77777777" w:rsidR="00C04533" w:rsidRDefault="00C04533" w:rsidP="00C04533">
      <w:pPr>
        <w:pStyle w:val="TextoNormal"/>
      </w:pPr>
    </w:p>
    <w:p w14:paraId="04109EA9" w14:textId="77777777" w:rsidR="00C04533" w:rsidRDefault="00C04533" w:rsidP="00C04533">
      <w:pPr>
        <w:pStyle w:val="TextoNormal"/>
      </w:pPr>
      <w:r>
        <w:t>Como consecuencia de la extravagante decisión de resolver separadamente ambas recusaciones, resulta que tras rechazar el Tribunal la recusación del presidente don Cándido Conde-Pumpido Tourón (ATC 93/2024), este ha podido intervenir en el Pleno que ha aprobado el rechazo de la recusación de la magistrada doña Laura Díez Bueso, sin que ello resulte justificado.</w:t>
      </w:r>
    </w:p>
    <w:p w14:paraId="74CC8629" w14:textId="77777777" w:rsidR="00C04533" w:rsidRDefault="00C04533" w:rsidP="00C04533">
      <w:pPr>
        <w:pStyle w:val="TextoNormal"/>
      </w:pPr>
    </w:p>
    <w:p w14:paraId="1925B515" w14:textId="77777777" w:rsidR="00C04533" w:rsidRDefault="00C04533" w:rsidP="00C04533">
      <w:pPr>
        <w:pStyle w:val="TextoNormal"/>
      </w:pPr>
      <w:r>
        <w:t>En fin, no debe dejarse de señalar que tampoco se explican las razones que llevan a excluir al magistrado don José María Macías Castaño de la composición del Pleno que ha dictado el auto que nos ocupa, más allá del lacónico enunciado del antecedente cuarto. La recusación de este magistrado ha sido planteada por el abogado del Estado, como ya advertí en votos particulares anteriores, en procesos constitucionales todavía no admitidos a trámite y en los que, por tanto, la Abogacía del Estado no ha adquirido aún la condición de parte. Justamente por ello, esa recusación ha sido rechazada por este tribunal por ATC 116/2024, de 5 de noviembre.</w:t>
      </w:r>
    </w:p>
    <w:p w14:paraId="6D7AEA7E" w14:textId="77777777" w:rsidR="00C04533" w:rsidRDefault="00C04533" w:rsidP="00C04533">
      <w:pPr>
        <w:pStyle w:val="TextoNormal"/>
      </w:pPr>
    </w:p>
    <w:p w14:paraId="373FC101" w14:textId="77777777" w:rsidR="00C04533" w:rsidRDefault="00C04533" w:rsidP="00C04533">
      <w:pPr>
        <w:pStyle w:val="TextoNormal"/>
      </w:pPr>
      <w:r>
        <w:t>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14:paraId="4A42D4A3" w14:textId="77777777" w:rsidR="00C04533" w:rsidRDefault="00C04533" w:rsidP="00C04533">
      <w:pPr>
        <w:pStyle w:val="TextoNormal"/>
      </w:pPr>
    </w:p>
    <w:p w14:paraId="6EFB32E0" w14:textId="00E44E81" w:rsidR="00C04533" w:rsidRDefault="00C04533" w:rsidP="00C04533">
      <w:pPr>
        <w:pStyle w:val="TextoNormal"/>
      </w:pPr>
      <w:r>
        <w:t>Madrid, a seis de noviembre de dos mil veinticuatro.</w:t>
      </w:r>
    </w:p>
    <w:p w14:paraId="2A95D7D7" w14:textId="77777777" w:rsidR="00C04533" w:rsidRDefault="00C04533" w:rsidP="00C04533">
      <w:pPr>
        <w:pStyle w:val="TextoNormal"/>
      </w:pPr>
    </w:p>
    <w:p w14:paraId="17C5717A" w14:textId="77777777" w:rsidR="00C04533" w:rsidRDefault="00C04533" w:rsidP="00C04533">
      <w:pPr>
        <w:pStyle w:val="TextoNormalNegritaCentrado"/>
        <w:keepNext/>
      </w:pPr>
      <w:r>
        <w:t>Voto particular discrepante que formula la magistrada doña Concepción Espejel Jorquera al auto de 5 de noviembre de 2024, dictado en incidente de recusación de la magistrada del Tribunal doña Laura Díez Bueso, planteado en el recurso de inconstitucionalidad núm. 6621-2024</w:t>
      </w:r>
    </w:p>
    <w:p w14:paraId="2046B651" w14:textId="7BB632BD" w:rsidR="00C04533" w:rsidRDefault="00C04533" w:rsidP="00C04533">
      <w:pPr>
        <w:pStyle w:val="TextoNormalNegritaCentrado"/>
        <w:keepNext/>
      </w:pPr>
    </w:p>
    <w:p w14:paraId="7BF1B286" w14:textId="77777777" w:rsidR="00C04533" w:rsidRDefault="00C04533" w:rsidP="00C04533">
      <w:pPr>
        <w:pStyle w:val="TextoNormal"/>
      </w:pPr>
      <w:r>
        <w:t>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14:paraId="6E56D60D" w14:textId="77777777" w:rsidR="00C04533" w:rsidRDefault="00C04533" w:rsidP="00C04533">
      <w:pPr>
        <w:pStyle w:val="TextoNormal"/>
      </w:pPr>
    </w:p>
    <w:p w14:paraId="40BB7663" w14:textId="77777777" w:rsidR="00C04533" w:rsidRDefault="00C04533" w:rsidP="00C04533">
      <w:pPr>
        <w:pStyle w:val="TextoNormal"/>
      </w:pPr>
      <w:r>
        <w:t>Me remito al voto particular formulado en el ATC 93/2024, de 8 de octubre, en el recurso de inconstitucionalidad núm. 6436-2024 (recusación del señor Conde Pumpido),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14:paraId="53E684FB" w14:textId="77777777" w:rsidR="00C04533" w:rsidRDefault="00C04533" w:rsidP="00C04533">
      <w:pPr>
        <w:pStyle w:val="TextoNormal"/>
      </w:pPr>
    </w:p>
    <w:p w14:paraId="7092FAA4" w14:textId="77777777" w:rsidR="00C04533" w:rsidRDefault="00C04533" w:rsidP="00C04533">
      <w:pPr>
        <w:pStyle w:val="TextoNormal"/>
      </w:pPr>
      <w:r>
        <w:t>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pudiera perjudicar seriamente la apariencia de imparcialidad que debe presentar este tribunal como órgano jurisdiccional.</w:t>
      </w:r>
    </w:p>
    <w:p w14:paraId="76764897" w14:textId="77777777" w:rsidR="00C04533" w:rsidRDefault="00C04533" w:rsidP="00C04533">
      <w:pPr>
        <w:pStyle w:val="TextoNormal"/>
      </w:pPr>
    </w:p>
    <w:p w14:paraId="78575F8B" w14:textId="77777777" w:rsidR="00C04533" w:rsidRDefault="00C04533" w:rsidP="00C04533">
      <w:pPr>
        <w:pStyle w:val="TextoNormal"/>
      </w:pPr>
      <w:r>
        <w:t>Por lo expuesto, formulo el presente voto particular.</w:t>
      </w:r>
    </w:p>
    <w:p w14:paraId="56CF2C01" w14:textId="77777777" w:rsidR="00C04533" w:rsidRDefault="00C04533" w:rsidP="00C04533">
      <w:pPr>
        <w:pStyle w:val="TextoNormal"/>
      </w:pPr>
    </w:p>
    <w:p w14:paraId="53B89A3D" w14:textId="64D7F8AE" w:rsidR="00C04533" w:rsidRDefault="00C04533" w:rsidP="00C04533">
      <w:pPr>
        <w:pStyle w:val="TextoNormal"/>
      </w:pPr>
      <w:r>
        <w:t>Madrid, a cinco de noviembre de dos mil veinticuatro.</w:t>
      </w:r>
    </w:p>
    <w:p w14:paraId="687A84D7" w14:textId="3F470F16" w:rsidR="00C04533" w:rsidRDefault="00C04533">
      <w:pPr>
        <w:spacing w:after="160" w:line="278" w:lineRule="auto"/>
        <w:rPr>
          <w:rFonts w:ascii="Times New Roman" w:eastAsia="Times New Roman" w:hAnsi="Times New Roman" w:cs="Times New Roman"/>
          <w:sz w:val="24"/>
          <w:szCs w:val="24"/>
          <w:lang w:eastAsia="es-ES"/>
        </w:rPr>
      </w:pPr>
      <w:r>
        <w:br w:type="page"/>
      </w:r>
    </w:p>
    <w:p w14:paraId="6009A210" w14:textId="77777777" w:rsidR="00C04533" w:rsidRDefault="00C04533" w:rsidP="00C04533">
      <w:pPr>
        <w:pStyle w:val="TtuloResolucin"/>
      </w:pPr>
      <w:bookmarkStart w:id="131" w:name="AUTO_2024_125"/>
      <w:r>
        <w:t>AUTO 125/2024, de 19 de noviembre de 2024</w:t>
      </w:r>
    </w:p>
    <w:bookmarkEnd w:id="131"/>
    <w:p w14:paraId="7611C0DF" w14:textId="77777777" w:rsidR="00C04533" w:rsidRDefault="00C04533" w:rsidP="00C04533">
      <w:pPr>
        <w:pStyle w:val="TtuloResolucin"/>
      </w:pPr>
      <w:r>
        <w:t>Pleno</w:t>
      </w:r>
    </w:p>
    <w:p w14:paraId="37F22FED" w14:textId="77777777" w:rsidR="00C04533" w:rsidRDefault="00C04533" w:rsidP="00C04533">
      <w:pPr>
        <w:pStyle w:val="TextoNormalCentrado"/>
      </w:pPr>
      <w:r>
        <w:t>ECLI:ES:TC:2024:125A</w:t>
      </w:r>
    </w:p>
    <w:p w14:paraId="6EF95DEA" w14:textId="6F94BBB6" w:rsidR="00C04533" w:rsidRDefault="00C04533" w:rsidP="00C04533">
      <w:pPr>
        <w:pStyle w:val="TextoNormalCentrado"/>
      </w:pPr>
    </w:p>
    <w:p w14:paraId="4A81B2EB"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69D5925A" w14:textId="12405ECE" w:rsidR="00C04533" w:rsidRDefault="00C04533" w:rsidP="00C04533">
      <w:pPr>
        <w:pStyle w:val="SntesisDescriptiva"/>
      </w:pPr>
    </w:p>
    <w:p w14:paraId="3F454D37" w14:textId="77777777" w:rsidR="00C04533" w:rsidRDefault="00C04533" w:rsidP="00C04533">
      <w:pPr>
        <w:pStyle w:val="SntesisDescriptiva"/>
      </w:pPr>
      <w:r>
        <w:t>Acuerda no haber lugar al incidente de ejecución de la STC 77/2023, de 20 de junio, dictada en el recurso de amparo 2646-2019, promovido por doña Argentina Cuendias Álvarez en procedimiento parlamentario.</w:t>
      </w:r>
    </w:p>
    <w:p w14:paraId="7A2A454F" w14:textId="42B1EFB2" w:rsidR="00C04533" w:rsidRDefault="00C04533" w:rsidP="00C04533">
      <w:pPr>
        <w:pStyle w:val="SntesisDescriptiva"/>
      </w:pPr>
    </w:p>
    <w:p w14:paraId="5D7F3A17" w14:textId="77777777" w:rsidR="00C04533" w:rsidRDefault="00C04533" w:rsidP="00C04533">
      <w:pPr>
        <w:pStyle w:val="SntesisDescriptiva"/>
      </w:pPr>
    </w:p>
    <w:p w14:paraId="788B4F7F" w14:textId="77777777" w:rsidR="00C04533" w:rsidRDefault="00C04533" w:rsidP="00C04533">
      <w:pPr>
        <w:pStyle w:val="SntesisDescriptiva"/>
      </w:pPr>
    </w:p>
    <w:p w14:paraId="31C48904" w14:textId="77777777" w:rsidR="00C04533" w:rsidRDefault="00C04533" w:rsidP="00C04533">
      <w:pPr>
        <w:pStyle w:val="TextoNormalNegritaCentrado"/>
      </w:pPr>
      <w:r>
        <w:t>AUTO</w:t>
      </w:r>
    </w:p>
    <w:p w14:paraId="4F1569CD" w14:textId="0388CA46" w:rsidR="00C04533" w:rsidRDefault="00C04533" w:rsidP="00C04533">
      <w:pPr>
        <w:pStyle w:val="TextoNormalNegritaCentrado"/>
      </w:pPr>
    </w:p>
    <w:p w14:paraId="7B36CCA9" w14:textId="77777777" w:rsidR="00C04533" w:rsidRDefault="00C04533" w:rsidP="00C04533">
      <w:pPr>
        <w:pStyle w:val="TextoNormalNegritaCentrado"/>
        <w:keepNext/>
      </w:pPr>
      <w:r>
        <w:t>I. Antecedentes</w:t>
      </w:r>
    </w:p>
    <w:p w14:paraId="7EFC8965" w14:textId="392FD623" w:rsidR="00C04533" w:rsidRDefault="00C04533" w:rsidP="00C04533">
      <w:pPr>
        <w:pStyle w:val="TextoNormalNegritaCentrado"/>
        <w:keepNext/>
      </w:pPr>
    </w:p>
    <w:p w14:paraId="3757A25F" w14:textId="77777777" w:rsidR="00C04533" w:rsidRDefault="00C04533" w:rsidP="00C04533">
      <w:pPr>
        <w:pStyle w:val="TextoNormal"/>
      </w:pPr>
      <w:r w:rsidRPr="00C04533">
        <w:rPr>
          <w:rStyle w:val="NumeroAFNegritaCaracter"/>
        </w:rPr>
        <w:t>1</w:t>
      </w:r>
      <w:r>
        <w:t>. Mediante escrito que tuvo entrada en el registro general de este tribunal el 28 de mayo de 2024, la procuradora de los tribunales doña Lucía Agulla Lanza, en nombre y representación de doña Argentina Cuendias Álvarez, asistida por la letrada doña María Fuertes Llaneza, solicitó de este tribunal que adoptase las siguientes medidas encaminadas a la ejecución de la STC 77/2023, de 20 de junio, dictada en el recurso de amparo núm. 2646-2019:</w:t>
      </w:r>
    </w:p>
    <w:p w14:paraId="7CEE2641" w14:textId="77777777" w:rsidR="00C04533" w:rsidRDefault="00C04533" w:rsidP="00C04533">
      <w:pPr>
        <w:pStyle w:val="TextoNormal"/>
      </w:pPr>
    </w:p>
    <w:p w14:paraId="341F767B" w14:textId="77777777" w:rsidR="00C04533" w:rsidRDefault="00C04533" w:rsidP="00C04533">
      <w:pPr>
        <w:pStyle w:val="TextoNormal"/>
      </w:pPr>
      <w:r>
        <w:t>a) Requerir a la Junta General del Principado de Asturias a fin de que cumpla el contenido de la resolución ahora ejecutada y a tal fin suprima (i) todas las manifestaciones recogidas en los diarios de sesiones de la comisión de investigación en que se presente a la demandante de amparo como autora responsable de actos o hechos con transcendencia jurídico-penal, así como sus correspondientes respuestas; y (ii) las referencias a la persona de doña Argentina en el dictamen de la comisión de investigación referidas en el fallo de la STC 77/2023, tanto en los diarios de sesiones y boletines de la Junta General como en los vídeos de las comparecencias ante la comisión de investigación; todo ello con la advertencia de que en caso de incumplimiento total o parcial de la resolución, se podrá adoptar cualesquiera de las medidas estipuladas en el art. 92.4 de la Ley Orgánica 2/1979, de 3 de octubre, del Tribunal Constitucional (LOTC).</w:t>
      </w:r>
    </w:p>
    <w:p w14:paraId="4953679F" w14:textId="77777777" w:rsidR="00C04533" w:rsidRDefault="00C04533" w:rsidP="00C04533">
      <w:pPr>
        <w:pStyle w:val="TextoNormal"/>
      </w:pPr>
    </w:p>
    <w:p w14:paraId="72F7521D" w14:textId="77777777" w:rsidR="00C04533" w:rsidRDefault="00C04533" w:rsidP="00C04533">
      <w:pPr>
        <w:pStyle w:val="TextoNormal"/>
      </w:pPr>
      <w:r>
        <w:t>b) Requerir a la Junta General del Principado de Asturias para que, en el plazo de veinte días, informe a la Sala del Tribunal Constitucional de las actuaciones llevadas a cabo tendentes al cumplimiento del fallo de la sentencia.</w:t>
      </w:r>
    </w:p>
    <w:p w14:paraId="0B56D465" w14:textId="77777777" w:rsidR="00C04533" w:rsidRDefault="00C04533" w:rsidP="00C04533">
      <w:pPr>
        <w:pStyle w:val="TextoNormal"/>
      </w:pPr>
    </w:p>
    <w:p w14:paraId="22CA7012" w14:textId="461FB8B6" w:rsidR="00C04533" w:rsidRDefault="00C04533" w:rsidP="00C04533">
      <w:pPr>
        <w:pStyle w:val="TextoNormal"/>
      </w:pPr>
      <w:r>
        <w:t>c) Que se dé cuenta al Pleno de la Junta General del Principado de Asturias, órgano que aprobó el dictamen vulnerador de los derechos fundamentales de la señora Cuendias, de la ejecución de la sentencia.</w:t>
      </w:r>
    </w:p>
    <w:p w14:paraId="308B5341" w14:textId="77777777" w:rsidR="00C04533" w:rsidRDefault="00C04533" w:rsidP="00C04533">
      <w:pPr>
        <w:pStyle w:val="TextoNormal"/>
      </w:pPr>
    </w:p>
    <w:p w14:paraId="07D67FD0" w14:textId="77777777" w:rsidR="00C04533" w:rsidRDefault="00C04533" w:rsidP="00C04533">
      <w:pPr>
        <w:pStyle w:val="TextoNormal"/>
      </w:pPr>
      <w:r w:rsidRPr="00C04533">
        <w:rPr>
          <w:rStyle w:val="NumeroAFNegritaCaracter"/>
        </w:rPr>
        <w:t>2</w:t>
      </w:r>
      <w:r>
        <w:t>. Los fundamentos de la petición de ejecución son, sucintamente expuestos, los siguientes:</w:t>
      </w:r>
    </w:p>
    <w:p w14:paraId="42E2F8AF" w14:textId="77777777" w:rsidR="00C04533" w:rsidRDefault="00C04533" w:rsidP="00C04533">
      <w:pPr>
        <w:pStyle w:val="TextoNormal"/>
      </w:pPr>
    </w:p>
    <w:p w14:paraId="1F732400" w14:textId="77777777" w:rsidR="00C04533" w:rsidRDefault="00C04533" w:rsidP="00C04533">
      <w:pPr>
        <w:pStyle w:val="TextoNormal"/>
      </w:pPr>
      <w:r>
        <w:t>a) El derecho a la ejecución es parte integrante del derecho a la tutela judicial efectiva (art. 24.1 CE), que tiene, como manifestación necesaria el derecho de los justiciables a que las sentencias dictadas para la tutela de sus derechos e intereses legítimos se hagan cumplir forzosamente.</w:t>
      </w:r>
    </w:p>
    <w:p w14:paraId="61FB7176" w14:textId="77777777" w:rsidR="00C04533" w:rsidRDefault="00C04533" w:rsidP="00C04533">
      <w:pPr>
        <w:pStyle w:val="TextoNormal"/>
      </w:pPr>
    </w:p>
    <w:p w14:paraId="4E10FA8F" w14:textId="77777777" w:rsidR="00C04533" w:rsidRDefault="00C04533" w:rsidP="00C04533">
      <w:pPr>
        <w:pStyle w:val="TextoNormal"/>
      </w:pPr>
      <w:r>
        <w:t>b) En el caso sometido a examen, la Junta General del Principado de Asturias procedió a dar cumplimiento a la STC 77/2023, que declaraba la nulidad de determinados pasajes de los diarios de sesiones de la comisión de investigación sobre la gestión y actividad desarrollada por la empresa pública Gestión de Infraestructuras Públicas de Telecomunicaciones del Principado de Asturias, S.A. (en adelante, GITPA), mediante la introducción de una referencia al fallo de dicha sentencia en la página inicial de los diarios de sesiones correspondientes a las comparecencias de la demandante de amparo, señora Cuendias, y en los vídeos de la misma. La referencia iba recuadrada y resaltada en color rojo.</w:t>
      </w:r>
    </w:p>
    <w:p w14:paraId="658B1D83" w14:textId="77777777" w:rsidR="00C04533" w:rsidRDefault="00C04533" w:rsidP="00C04533">
      <w:pPr>
        <w:pStyle w:val="TextoNormal"/>
      </w:pPr>
    </w:p>
    <w:p w14:paraId="793779AF" w14:textId="77777777" w:rsidR="00C04533" w:rsidRDefault="00C04533" w:rsidP="00C04533">
      <w:pPr>
        <w:pStyle w:val="TextoNormal"/>
      </w:pPr>
      <w:r>
        <w:t>c) Esta vía de cumplimiento de la sentencia resulta insuficiente porque se atribuye al lector la responsabilidad de decidir qué manifestaciones de las que se recogen en el diario de sesiones han sido declaradas nulas y deben tenerse por no puestas por vulnerar el derecho a la presunción de inocencia extraprocesal de la señora Cuendias, al presentarla como autora de actos o hechos con trascendencia penal.</w:t>
      </w:r>
    </w:p>
    <w:p w14:paraId="33AC2F7E" w14:textId="77777777" w:rsidR="00C04533" w:rsidRDefault="00C04533" w:rsidP="00C04533">
      <w:pPr>
        <w:pStyle w:val="TextoNormal"/>
      </w:pPr>
    </w:p>
    <w:p w14:paraId="2FA54523" w14:textId="6937FDE9" w:rsidR="00C04533" w:rsidRDefault="00C04533" w:rsidP="00C04533">
      <w:pPr>
        <w:pStyle w:val="TextoNormal"/>
      </w:pPr>
      <w:r>
        <w:t>d) La declaración de nulidad recogida en el fallo de la sentencia supone necesariamente que todas las manifestaciones que vulneren la presunción de inocencia extraprocesal nunca existieron, y, consecuentemente, deben ser eliminadas, de manera que no puedan ser consultadas a futuro.</w:t>
      </w:r>
    </w:p>
    <w:p w14:paraId="49757287" w14:textId="77777777" w:rsidR="00C04533" w:rsidRDefault="00C04533" w:rsidP="00C04533">
      <w:pPr>
        <w:pStyle w:val="TextoNormal"/>
      </w:pPr>
    </w:p>
    <w:p w14:paraId="32EE4942" w14:textId="77777777" w:rsidR="00C04533" w:rsidRDefault="00C04533" w:rsidP="00C04533">
      <w:pPr>
        <w:pStyle w:val="TextoNormal"/>
      </w:pPr>
      <w:r w:rsidRPr="00C04533">
        <w:rPr>
          <w:rStyle w:val="NumeroAFNegritaCaracter"/>
        </w:rPr>
        <w:t>3</w:t>
      </w:r>
      <w:r>
        <w:t>. Mediante providencia de 17 de junio de 2024 el Pleno de este tribunal acordó recabar de la Junta General del Principado de Asturias informe relativo a las actuaciones llevadas a cabo tendentes al cumplimiento del fallo de la sentencia.</w:t>
      </w:r>
    </w:p>
    <w:p w14:paraId="336A92BC" w14:textId="77777777" w:rsidR="00C04533" w:rsidRDefault="00C04533" w:rsidP="00C04533">
      <w:pPr>
        <w:pStyle w:val="TextoNormal"/>
      </w:pPr>
    </w:p>
    <w:p w14:paraId="25800932" w14:textId="77777777" w:rsidR="00C04533" w:rsidRDefault="00C04533" w:rsidP="00C04533">
      <w:pPr>
        <w:pStyle w:val="TextoNormal"/>
      </w:pPr>
      <w:r>
        <w:t>El informe del letrado mayor de la Cámara autonómica fue recibido en este tribunal el 12 de julio de 2024. En él se indica que, notificada la sentencia el 28 de junio de 2023, se adoptaron inmediatamente las siguientes medidas: (i) se insertó íntegramente el fallo en el “Boletín Oficial de la Junta General del Principado de Asturias”, que se publicó el 3 de julio; (ii) en los boletines oficiales de la Junta General correspondientes a la publicación del dictamen de la comisión de investigación se sobreimpresionó la letra A) del ordinal segundo del fallo de la sentencia, que declaraba nulos determinados pasajes de dicho dictamen, en letras rojas y recuadrado con el fin de resaltarlo; (iii) en los diarios de sesiones correspondientes a las comparecencias de la señora Cuendias ante la comisión de investigación se sobreimpresionó, también en recuadro y con letras rojas, la letra B) del ordinal segundo del fallo de la sentencia, que declaraba nulas todas las manifestaciones recogidas en ellos en que se presentara a la demandante de amparo como autora responsable de actos o hechos con trascendencia jurídico-penal, y se reprodujo esa misma sobreimpresión en los vídeos de ambas comparecencias.</w:t>
      </w:r>
    </w:p>
    <w:p w14:paraId="211B15AC" w14:textId="77777777" w:rsidR="00C04533" w:rsidRDefault="00C04533" w:rsidP="00C04533">
      <w:pPr>
        <w:pStyle w:val="TextoNormal"/>
      </w:pPr>
    </w:p>
    <w:p w14:paraId="451FAE7B" w14:textId="77777777" w:rsidR="00C04533" w:rsidRDefault="00C04533" w:rsidP="00C04533">
      <w:pPr>
        <w:pStyle w:val="TextoNormal"/>
      </w:pPr>
      <w:r>
        <w:t>El letrado mayor de la Junta pone de relieve que el Tribunal, tras declarar la vulneración del derecho fundamental de la señora Cuendias Álvarez, acordó “[r]establecerle en su derecho y, a tal fin, declarar la nulidad” de los pasajes indicados de los diarios de sesiones, pero no adoptó ninguna otra medida; señaladamente, no impuso a la Junta General ninguna obligación de hacer. Todas las medidas indicadas con anterioridad fueron adoptadas por propia iniciativa de la Junta General del Principado, emulando el modo de proceder que se sigue de manera habitual tras la declaración de nulidad, por el Tribunal Constitucional, de una disposición general o resolución insertadas en una publicación oficial.</w:t>
      </w:r>
    </w:p>
    <w:p w14:paraId="139B0257" w14:textId="77777777" w:rsidR="00C04533" w:rsidRDefault="00C04533" w:rsidP="00C04533">
      <w:pPr>
        <w:pStyle w:val="TextoNormal"/>
      </w:pPr>
    </w:p>
    <w:p w14:paraId="68EFA912" w14:textId="77777777" w:rsidR="00C04533" w:rsidRDefault="00C04533" w:rsidP="00C04533">
      <w:pPr>
        <w:pStyle w:val="TextoNormal"/>
      </w:pPr>
      <w:r>
        <w:t>Añade que los diarios de sesiones de la Junta General, al igual que los de cualquier cámara parlamentaria, se rigen por el principio de integridad recogido en el art. 127 del Reglamento de la Junta, que exige que en ellos se reproduzcan íntegramente todas las intervenciones y acuerdos adoptados en las sesiones del Pleno, de la Diputación Permanente y de las comisiones. Ese principio de integridad explica que, tanto en la Junta General del Principado como en el Congreso de los Diputados, cuando la Presidencia de la Cámara ordena que se retiren o que no consten determinadas expresiones en el diario de sesiones, las expresiones no se suprimen, sino que se mantienen con una indicación de la orden dada y una tipografía diferente, práctica sobre la que el propio Tribunal ha manifestado no tener nada que decir [STC 25/2023, de 17 de abril, FJ 3 A) a)].</w:t>
      </w:r>
    </w:p>
    <w:p w14:paraId="2E95CD11" w14:textId="77777777" w:rsidR="00C04533" w:rsidRDefault="00C04533" w:rsidP="00C04533">
      <w:pPr>
        <w:pStyle w:val="TextoNormal"/>
      </w:pPr>
    </w:p>
    <w:p w14:paraId="4FB973B4" w14:textId="586446C1" w:rsidR="00C04533" w:rsidRDefault="00C04533" w:rsidP="00C04533">
      <w:pPr>
        <w:pStyle w:val="TextoNormal"/>
      </w:pPr>
      <w:r>
        <w:t>Concluye afirmando que no hay en lo actuado por la Junta General del Principado nada que pueda ser entendido como un intento de contrariar o menoscabar el pronunciamiento del Tribunal en la STC 77/2023.</w:t>
      </w:r>
    </w:p>
    <w:p w14:paraId="543E923C" w14:textId="77777777" w:rsidR="00C04533" w:rsidRDefault="00C04533" w:rsidP="00C04533">
      <w:pPr>
        <w:pStyle w:val="TextoNormal"/>
      </w:pPr>
    </w:p>
    <w:p w14:paraId="7736415F" w14:textId="255D154C" w:rsidR="00C04533" w:rsidRDefault="00C04533" w:rsidP="00C04533">
      <w:pPr>
        <w:pStyle w:val="TextoNormal"/>
      </w:pPr>
      <w:r w:rsidRPr="00C04533">
        <w:rPr>
          <w:rStyle w:val="NumeroAFNegritaCaracter"/>
        </w:rPr>
        <w:t>4</w:t>
      </w:r>
      <w:r>
        <w:t>. Por diligencia de ordenación de 19 de julio de 2024 se dio traslado del escrito promoviendo el incidente de ejecución y del informe remitido por el letrado mayor de la Junta General del Principado de Asturias, al Ministerio Fiscal y demás partes personadas, por plazo común de diez días, a fin de que alegasen lo que a su derecho conviniera.</w:t>
      </w:r>
    </w:p>
    <w:p w14:paraId="44EFBAB1" w14:textId="77777777" w:rsidR="00C04533" w:rsidRDefault="00C04533" w:rsidP="00C04533">
      <w:pPr>
        <w:pStyle w:val="TextoNormal"/>
      </w:pPr>
    </w:p>
    <w:p w14:paraId="3336A03C" w14:textId="2E049BF6" w:rsidR="00C04533" w:rsidRDefault="00C04533" w:rsidP="00C04533">
      <w:pPr>
        <w:pStyle w:val="TextoNormal"/>
      </w:pPr>
      <w:r w:rsidRPr="00C04533">
        <w:rPr>
          <w:rStyle w:val="NumeroAFNegritaCaracter"/>
        </w:rPr>
        <w:t>5</w:t>
      </w:r>
      <w:r>
        <w:t>. El 4 de septiembre de 2024 se presentó el escrito de alegaciones de la demandante de amparo, en el que ratifica los argumentos y peticiones recogidos en su escrito inicial, y afirma que la finalidad del proceso constitucional de amparo es esencialmente restitutoria, esto es, va encaminada a la reposición de las cosas al estado que tenían antes de cometerse la vulneración del derecho fundamental. En el caso examinado, este restablecimiento pasa por la eliminación de todas las expresiones atentatorias del derecho vulnerado, restableciendo la reputación profesional y dignidad de la ciudadana. El efecto útil de la STC 77/2023 se ve menoscabado por la deficiente ejecución llevada a cabo por la Junta General del Principado de Asturias, resultando inadmisibles las alegaciones contenidas en el informe presentado por su letrado mayor.</w:t>
      </w:r>
    </w:p>
    <w:p w14:paraId="06CE99CC" w14:textId="77777777" w:rsidR="00C04533" w:rsidRDefault="00C04533" w:rsidP="00C04533">
      <w:pPr>
        <w:pStyle w:val="TextoNormal"/>
      </w:pPr>
    </w:p>
    <w:p w14:paraId="6BE2D98D" w14:textId="1DE4E917" w:rsidR="00C04533" w:rsidRDefault="00C04533" w:rsidP="00C04533">
      <w:pPr>
        <w:pStyle w:val="TextoNormal"/>
      </w:pPr>
      <w:r w:rsidRPr="00C04533">
        <w:rPr>
          <w:rStyle w:val="NumeroAFNegritaCaracter"/>
        </w:rPr>
        <w:t>6</w:t>
      </w:r>
      <w:r>
        <w:t>. El fiscal ante el Tribunal Constitucional, mediante escrito presentado el 17 de septiembre de 2024, considera que no procede acceder a la petición de ejecución de la STC 77/2023, de 20 de junio, en los términos solicitados por la demandante de amparo, por las siguientes razones: (i) el suplico de la demanda de amparo que sirvió de fundamento a la citada sentencia se limitaba a reclamar que, para el restablecimiento de los derechos fundamentales de la demandante que entendía vulnerados, se declarase la nulidad de las conclusiones del dictamen de la comisión de investigación en lo atinente a doña Argentina Cuendias Álvarez, y esto es exactamente lo que dispuso el Tribunal en el fallo de su sentencia, de suerte que la pretensión ejecutiva que ahora se deduce va más allá de lo indicado en el fallo de la sentencia y de lo pretendido en la misma demanda de amparo; (ii) la actuación desplegada por la Junta General del Principado de Asturias para la ejecución de la sentencia se revela a todas luces como adecuada y suficiente.</w:t>
      </w:r>
    </w:p>
    <w:p w14:paraId="2A304689" w14:textId="77777777" w:rsidR="00C04533" w:rsidRDefault="00C04533" w:rsidP="00C04533">
      <w:pPr>
        <w:pStyle w:val="TextoNormal"/>
      </w:pPr>
    </w:p>
    <w:p w14:paraId="2264AE84" w14:textId="77777777" w:rsidR="00C04533" w:rsidRDefault="00C04533" w:rsidP="00C04533">
      <w:pPr>
        <w:pStyle w:val="TextoNormalNegritaCentrado"/>
        <w:keepNext/>
      </w:pPr>
      <w:r>
        <w:t>II. Fundamentos jurídicos</w:t>
      </w:r>
    </w:p>
    <w:p w14:paraId="6884623D" w14:textId="39B9A7BC" w:rsidR="00C04533" w:rsidRDefault="00C04533" w:rsidP="00C04533">
      <w:pPr>
        <w:pStyle w:val="TextoNormalNegritaCentrado"/>
        <w:keepNext/>
      </w:pPr>
    </w:p>
    <w:p w14:paraId="5D33E926" w14:textId="77777777" w:rsidR="00C04533" w:rsidRDefault="00C04533" w:rsidP="00C04533">
      <w:pPr>
        <w:pStyle w:val="TextoNormal"/>
      </w:pPr>
      <w:r w:rsidRPr="00C04533">
        <w:rPr>
          <w:rStyle w:val="NumeroAFNegritaCaracter"/>
        </w:rPr>
        <w:t>1</w:t>
      </w:r>
      <w:r>
        <w:t>. La representación procesal de doña Argentina Cuendias Álvarez ha promovido, en los términos que se indican detalladamente en el antecedente de hecho primero, incidente de ejecución de la STC 77/2023, cuyo fallo dispone lo siguiente:</w:t>
      </w:r>
    </w:p>
    <w:p w14:paraId="08EC1FE2" w14:textId="77777777" w:rsidR="00C04533" w:rsidRDefault="00C04533" w:rsidP="00C04533">
      <w:pPr>
        <w:pStyle w:val="TextoNormal"/>
      </w:pPr>
    </w:p>
    <w:p w14:paraId="5B36A53A" w14:textId="77777777" w:rsidR="00C04533" w:rsidRDefault="00C04533" w:rsidP="00C04533">
      <w:pPr>
        <w:pStyle w:val="TextoNormal"/>
      </w:pPr>
      <w:r>
        <w:t>“En atención a todo lo expuesto, el Tribunal Constitucional, por la autoridad que le confiere la Constitución de la Nación española, ha decidido estimar el recurso de amparo interpuesto por doña Argentina Cuendias Álvarez y, en su virtud:</w:t>
      </w:r>
    </w:p>
    <w:p w14:paraId="374E1343" w14:textId="77777777" w:rsidR="00C04533" w:rsidRDefault="00C04533" w:rsidP="00C04533">
      <w:pPr>
        <w:pStyle w:val="TextoNormal"/>
      </w:pPr>
    </w:p>
    <w:p w14:paraId="6E520EBA" w14:textId="77777777" w:rsidR="00C04533" w:rsidRDefault="00C04533" w:rsidP="00C04533">
      <w:pPr>
        <w:pStyle w:val="TextoNormal"/>
      </w:pPr>
      <w:r>
        <w:t>1º Declarar que ha sido vulnerado su derecho fundamental a la presunción de inocencia en su dimensión extraprocesal o como regla de tratamiento (art. 24.2 CE), tanto en el transcurso de las comparecencias que realizó ante la comisión parlamentaria de investigación sobre la gestión y actividad desarrollada por la empresa pública Gestión de Infraestructuras Públicas de Telecomunicaciones del Principado de Asturias, S.A., celebradas los días 16 de noviembre de 2016 y 31 de mayo de 2017, como en la conclusiones recogidas en el dictamen final de la referida comisión, aprobado por la resolución del Pleno de la Junta General del Principado de Asturias 401/X, de 28 de septiembre de 2018.</w:t>
      </w:r>
    </w:p>
    <w:p w14:paraId="2BF5204D" w14:textId="77777777" w:rsidR="00C04533" w:rsidRDefault="00C04533" w:rsidP="00C04533">
      <w:pPr>
        <w:pStyle w:val="TextoNormal"/>
      </w:pPr>
    </w:p>
    <w:p w14:paraId="6E62ADA3" w14:textId="77777777" w:rsidR="00C04533" w:rsidRDefault="00C04533" w:rsidP="00C04533">
      <w:pPr>
        <w:pStyle w:val="TextoNormal"/>
      </w:pPr>
      <w:r>
        <w:t>2º Restablecerle en su derecho y, a tal fin, declarar la nulidad:</w:t>
      </w:r>
    </w:p>
    <w:p w14:paraId="1B47A8F4" w14:textId="77777777" w:rsidR="00C04533" w:rsidRDefault="00C04533" w:rsidP="00C04533">
      <w:pPr>
        <w:pStyle w:val="TextoNormal"/>
      </w:pPr>
    </w:p>
    <w:p w14:paraId="569FAE58" w14:textId="77777777" w:rsidR="00C04533" w:rsidRDefault="00C04533" w:rsidP="00C04533">
      <w:pPr>
        <w:pStyle w:val="TextoNormal"/>
      </w:pPr>
      <w:r>
        <w:t>A) De la conclusión referida a doña Argentina Cuendias Álvarez, contenida en el apartado III ‘Conclusiones’, epígrafe III.2 ‘Responsabilidades políticas’, letra B) ‘Funcionarios públicos y personal de la empresa pública GITPA’, número 3, del dictamen de la comisión de investigación sobre la gestión y actividad desarrollada por la empresa pública Gestión de Infraestructuras Públicas de Telecomunicaciones del Principado de Asturias, S.A., aprobado por resolución del Pleno de la Junta General del Principado de Asturias 401/X, de 28 de septiembre de 2018; así como del inciso ‘la gerente de administración y contratación’ de la conclusión relativa a don Juan Manuel Rodríguez Bañuelos, contenida en el apartado III ‘Conclusiones’, epígrafe III.2 ‘Responsabilidades políticas’, letra B) ‘Funcionarios públicos y personal de la empresa pública GITPA’, número 1, del referido dictamen.</w:t>
      </w:r>
    </w:p>
    <w:p w14:paraId="08E1047B" w14:textId="77777777" w:rsidR="00C04533" w:rsidRDefault="00C04533" w:rsidP="00C04533">
      <w:pPr>
        <w:pStyle w:val="TextoNormal"/>
      </w:pPr>
    </w:p>
    <w:p w14:paraId="5DFFB36F" w14:textId="77777777" w:rsidR="00C04533" w:rsidRDefault="00C04533" w:rsidP="00C04533">
      <w:pPr>
        <w:pStyle w:val="TextoNormal"/>
      </w:pPr>
      <w:r>
        <w:t>B) De todas las manifestaciones recogidas en los diarios de sesiones de la comisión de investigación en que se presente a la demandante de amparo como autora responsable de actos o hechos con trascendencia jurídico-penal.</w:t>
      </w:r>
    </w:p>
    <w:p w14:paraId="7B06E6CB" w14:textId="77777777" w:rsidR="00C04533" w:rsidRDefault="00C04533" w:rsidP="00C04533">
      <w:pPr>
        <w:pStyle w:val="TextoNormal"/>
      </w:pPr>
    </w:p>
    <w:p w14:paraId="332EF256" w14:textId="77777777" w:rsidR="00C04533" w:rsidRDefault="00C04533" w:rsidP="00C04533">
      <w:pPr>
        <w:pStyle w:val="TextoNormal"/>
      </w:pPr>
      <w:r>
        <w:t>3º Desestimar el recurso en todo lo demás”.</w:t>
      </w:r>
    </w:p>
    <w:p w14:paraId="2BC14505" w14:textId="77777777" w:rsidR="00C04533" w:rsidRDefault="00C04533" w:rsidP="00C04533">
      <w:pPr>
        <w:pStyle w:val="TextoNormal"/>
      </w:pPr>
    </w:p>
    <w:p w14:paraId="49BA65CB" w14:textId="77777777" w:rsidR="00C04533" w:rsidRDefault="00C04533" w:rsidP="00C04533">
      <w:pPr>
        <w:pStyle w:val="TextoNormal"/>
      </w:pPr>
      <w:r>
        <w:t>De acuerdo con el informe emitido por su letrado mayor, la Junta General del Principado de Asturias ha llevado a cabo las siguientes actuaciones para dar cumplimiento a la sentencia: (i) el fallo de la sentencia fue publicado íntegramente en el “Boletín Oficial de la Junta General del Principado de Asturias”, de 3 de julio de 2023; (ii) en los boletines oficiales de la Junta General correspondientes a la publicación del dictamen de la comisión de investigación se sobreimpresionó la letra A) del ordinal segundo del fallo de la sentencia, en letras rojas y recuadrado con el fin de resaltarlo; (iii) en los diarios de sesiones correspondientes a las comparecencias de la señora Cuendias ante la comisión de investigación se sobreimpresionó, también en recuadro y con letras rojas, la letra B) del ordinal segundo del fallo de la sentencia y se reprodujo esa misma sobreimpresión en los vídeos de ambas comparecencias.</w:t>
      </w:r>
    </w:p>
    <w:p w14:paraId="42A75748" w14:textId="77777777" w:rsidR="00C04533" w:rsidRDefault="00C04533" w:rsidP="00C04533">
      <w:pPr>
        <w:pStyle w:val="TextoNormal"/>
      </w:pPr>
    </w:p>
    <w:p w14:paraId="6DCF9371" w14:textId="77777777" w:rsidR="00C04533" w:rsidRDefault="00C04533" w:rsidP="00C04533">
      <w:pPr>
        <w:pStyle w:val="TextoNormal"/>
      </w:pPr>
      <w:r>
        <w:t>La representación procesal de la señora Cuendias considera que estas actuaciones resultan insuficientes a efectos de reponer las cosas al estado previo a la vulneración de su derecho a la presunción de inocencia, y restablecer su reputación profesional y su dignidad como ciudadana. Reclama del Tribunal Constitucional que exija a la Junta la realización de una serie de actuaciones adicionales, detalladamente recogidas en el antecedente primero, que esencialmente se dirigen a la supresión total en los diarios de sesiones de los pasajes anulados.</w:t>
      </w:r>
    </w:p>
    <w:p w14:paraId="0A147766" w14:textId="77777777" w:rsidR="00C04533" w:rsidRDefault="00C04533" w:rsidP="00C04533">
      <w:pPr>
        <w:pStyle w:val="TextoNormal"/>
      </w:pPr>
    </w:p>
    <w:p w14:paraId="4DB08F6E" w14:textId="19291A20" w:rsidR="00C04533" w:rsidRDefault="00C04533" w:rsidP="00C04533">
      <w:pPr>
        <w:pStyle w:val="TextoNormal"/>
      </w:pPr>
      <w:r>
        <w:t>El letrado mayor de la Junta General del Principado de Asturias y el fiscal ante el Tribunal Constitucional se oponen a la estimación de lo solicitado por considerar: (i) que el fallo de la STC 77/2023 se limita a declarar la nulidad de determinados pasajes de los diarios de sesiones de la Junta General, pero no adopta ninguna otra de las medidas previstas en el art. 55.1 LOTC, en particular no impone a esta ninguna obligación de hacer específica, de suerte que lo solicitado en este incidente de ejecución va más allá del fallo de la sentencia que se pretende ejecutar; (ii) las actuaciones llevadas a cabo por la Junta General del Principado de Asturias son adecuadas y suficientes para dar cumplimiento al fallo de la sentencia.</w:t>
      </w:r>
    </w:p>
    <w:p w14:paraId="0AC2ACD8" w14:textId="77777777" w:rsidR="00C04533" w:rsidRDefault="00C04533" w:rsidP="00C04533">
      <w:pPr>
        <w:pStyle w:val="TextoNormal"/>
      </w:pPr>
    </w:p>
    <w:p w14:paraId="079C4D3D" w14:textId="77777777" w:rsidR="00C04533" w:rsidRDefault="00C04533" w:rsidP="00C04533">
      <w:pPr>
        <w:pStyle w:val="TextoNormal"/>
      </w:pPr>
      <w:r w:rsidRPr="00C04533">
        <w:rPr>
          <w:rStyle w:val="NumeroAFNegritaCaracter"/>
        </w:rPr>
        <w:t>2</w:t>
      </w:r>
      <w:r>
        <w:t>. El artículo 92 LOTC faculta a las partes en el proceso constitucional a promover el incidente de ejecución y proponer al Tribunal las medidas de ejecución necesarias para garantizar el efectivo cumplimiento de sus resoluciones.</w:t>
      </w:r>
    </w:p>
    <w:p w14:paraId="016D5071" w14:textId="77777777" w:rsidR="00C04533" w:rsidRDefault="00C04533" w:rsidP="00C04533">
      <w:pPr>
        <w:pStyle w:val="TextoNormal"/>
      </w:pPr>
    </w:p>
    <w:p w14:paraId="77677330" w14:textId="77777777" w:rsidR="00C04533" w:rsidRDefault="00C04533" w:rsidP="00C04533">
      <w:pPr>
        <w:pStyle w:val="TextoNormal"/>
      </w:pPr>
      <w:r>
        <w:t>Conforme reiterada jurisprudencia constitucional (entre otros, AATC 107/2009, de 24 de marzo, FJ 2; 177/2012, de 2 de octubre, FJ 2; 89/2021, de 4 de octubre, y 8/2022, de 24 de enero, FJ 2), “los arts. 87.1, párrafo primero,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(párrafo primero del art. 87.1 LOTC), así como la facultad de este tribunal de anular cualquier acto o resolución que incumpla, menoscabe o contravenga las resoluciones dictadas en el ejercicio de su jurisdicción (art. 92.1 LOTC), ofreciendo al mismo tiempo las suficientes garantías a los órganos autores de los actos o resoluciones susceptibles de ser anuladas; junto a la necesaria motivación de la decisión del Tribunal, en forma de auto, susceptible de recurso de súplica (art. 93.2 LOTC), se exige la previa audiencia del Ministerio Fiscal y la del órgano al que sea imputable el acto o resolución controvertido (así como la de quienes intervinieron en el proceso constitucional correspondiente, en su caso)”.</w:t>
      </w:r>
    </w:p>
    <w:p w14:paraId="5C381077" w14:textId="77777777" w:rsidR="00C04533" w:rsidRDefault="00C04533" w:rsidP="00C04533">
      <w:pPr>
        <w:pStyle w:val="TextoNormal"/>
      </w:pPr>
    </w:p>
    <w:p w14:paraId="28EBA59C" w14:textId="46099DEB" w:rsidR="00C04533" w:rsidRDefault="00C04533" w:rsidP="00C04533">
      <w:pPr>
        <w:pStyle w:val="TextoNormal"/>
      </w:pPr>
      <w:r>
        <w:t>Hemos afirmado también que los incidentes de ejecución se dirigen a la realización de lo decidido en la resolución que pretende ejecutarse, previo el debate contradictorio que ha tenido lugar en el seno del proceso constitucional, no pudiendo extenderse a pretensiones diversas que no han formado parte de ese debate previo; y que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w:t>
      </w:r>
    </w:p>
    <w:p w14:paraId="59524698" w14:textId="77777777" w:rsidR="00C04533" w:rsidRDefault="00C04533" w:rsidP="00C04533">
      <w:pPr>
        <w:pStyle w:val="TextoNormal"/>
      </w:pPr>
    </w:p>
    <w:p w14:paraId="3C36526F" w14:textId="77777777" w:rsidR="00C04533" w:rsidRDefault="00C04533" w:rsidP="00C04533">
      <w:pPr>
        <w:pStyle w:val="TextoNormal"/>
      </w:pPr>
      <w:r w:rsidRPr="00C04533">
        <w:rPr>
          <w:rStyle w:val="NumeroAFNegritaCaracter"/>
        </w:rPr>
        <w:t>3</w:t>
      </w:r>
      <w:r>
        <w:t>. En aplicación de la doctrina expuesta procede desestimar el incidente de ejecución formulado por la representación procesal de la señora Cuendias.</w:t>
      </w:r>
    </w:p>
    <w:p w14:paraId="634D9758" w14:textId="77777777" w:rsidR="00C04533" w:rsidRDefault="00C04533" w:rsidP="00C04533">
      <w:pPr>
        <w:pStyle w:val="TextoNormal"/>
      </w:pPr>
    </w:p>
    <w:p w14:paraId="4C62F385" w14:textId="77777777" w:rsidR="00C04533" w:rsidRDefault="00C04533" w:rsidP="00C04533">
      <w:pPr>
        <w:pStyle w:val="TextoNormal"/>
      </w:pPr>
      <w:r>
        <w:t>Tal como han puesto de relieve tanto el letrado mayor de la Junta General del Principado de Asturias como el fiscal ante el Tribunal Constitucional, el fallo de la STC 77/2023 se limita, a fin de restablecer a la demandante en el derecho fundamental vulnerado, a declarar la nulidad de determinados pasajes de los diarios de sesiones de la Junta General del Principado. Este era, por lo demás, el único pronunciamiento que había sido solicitado por la representación procesal de la señora Cuendias para lograr el restablecimiento del derecho que se denunciaba vulnerado en la demanda de amparo. De esa declaración de nulidad no derivaban obligaciones específicas para la Junta General del Principado de Asturias, más allá de respetar la declaración efectuada.</w:t>
      </w:r>
    </w:p>
    <w:p w14:paraId="27532840" w14:textId="77777777" w:rsidR="00C04533" w:rsidRDefault="00C04533" w:rsidP="00C04533">
      <w:pPr>
        <w:pStyle w:val="TextoNormal"/>
      </w:pPr>
    </w:p>
    <w:p w14:paraId="5E60BD20" w14:textId="77777777" w:rsidR="00C04533" w:rsidRDefault="00C04533" w:rsidP="00C04533">
      <w:pPr>
        <w:pStyle w:val="TextoNormal"/>
      </w:pPr>
      <w:r>
        <w:t>La Junta General del Principado no solo no ha dictado acto o resolución alguna que “incumpla, menoscabe o contravenga” la sentencia dictada por este tribunal, sino que, sin tener una obligación específica de actuar en tal sentido, ha procedido a realizar actuaciones encaminadas específicamente a favorecer el conocimiento —y con ello, la efectividad— de dicha resolución. Estas medidas, adoptadas por propia iniciativa de la Junta, resultan, por lo demás acordes con las que se vienen considerando adecuadas y suficientes para garantizar la eficacia de pronunciamientos de este mismo tribunal de la misma naturaleza y contenido análogo al recogido en el fallo de la STC 77/2023.</w:t>
      </w:r>
    </w:p>
    <w:p w14:paraId="1BE40A78" w14:textId="77777777" w:rsidR="00C04533" w:rsidRDefault="00C04533" w:rsidP="00C04533">
      <w:pPr>
        <w:pStyle w:val="TextoNormal"/>
      </w:pPr>
    </w:p>
    <w:p w14:paraId="5ECDCED6" w14:textId="5F1258C2" w:rsidR="00C04533" w:rsidRDefault="00C04533" w:rsidP="00C04533">
      <w:pPr>
        <w:pStyle w:val="TextoNormal"/>
      </w:pPr>
      <w:r>
        <w:t>La exigencia de las actuaciones adicionales que reclama la demandante de amparo no solo no encuentra fundamento alguno en el fallo de la sentencia, sino que tampoco encuentra sustento en las pretensiones deducidas en su día en la demanda de amparo, con lo que tales actuaciones se sitúan extramuros incluso del debate contradictorio que tuvo lugar en el seno del proceso constitucional, y no pueden ser, consecuentemente, obtenidas por la vía del incidente de ejecución.</w:t>
      </w:r>
    </w:p>
    <w:p w14:paraId="0BAF1E1C" w14:textId="77777777" w:rsidR="00C04533" w:rsidRDefault="00C04533" w:rsidP="00C04533">
      <w:pPr>
        <w:pStyle w:val="TextoNormal"/>
      </w:pPr>
    </w:p>
    <w:p w14:paraId="6F04070A" w14:textId="77777777" w:rsidR="00C04533" w:rsidRDefault="00C04533" w:rsidP="00C04533">
      <w:pPr>
        <w:pStyle w:val="TextoNormal"/>
      </w:pPr>
      <w:r>
        <w:t>Por lo expuesto, el Pleno</w:t>
      </w:r>
    </w:p>
    <w:p w14:paraId="49199A6B" w14:textId="7645CE30" w:rsidR="00C04533" w:rsidRDefault="00C04533" w:rsidP="00C04533">
      <w:pPr>
        <w:pStyle w:val="TextoNormal"/>
      </w:pPr>
    </w:p>
    <w:p w14:paraId="4491D3F4" w14:textId="77777777" w:rsidR="00C04533" w:rsidRDefault="00C04533" w:rsidP="00C04533">
      <w:pPr>
        <w:pStyle w:val="TextoNormalCentrado"/>
      </w:pPr>
      <w:r>
        <w:t>ACUERDA</w:t>
      </w:r>
    </w:p>
    <w:p w14:paraId="44BD86E1" w14:textId="35EC47F8" w:rsidR="00C04533" w:rsidRDefault="00C04533" w:rsidP="00C04533">
      <w:pPr>
        <w:pStyle w:val="TextoNormalCentrado"/>
      </w:pPr>
    </w:p>
    <w:p w14:paraId="3F18C68B" w14:textId="34858F00" w:rsidR="00C04533" w:rsidRDefault="00C04533" w:rsidP="00C04533">
      <w:pPr>
        <w:pStyle w:val="TextoNormal"/>
      </w:pPr>
      <w:r>
        <w:t>Desestimar la petición de ejecución de la STC 77/2023, de 20 de junio, en los términos solicitados por la representación procesal de doña Argentina Cuendias Álvarez.</w:t>
      </w:r>
    </w:p>
    <w:p w14:paraId="5C5C29DC" w14:textId="77777777" w:rsidR="00C04533" w:rsidRDefault="00C04533" w:rsidP="00C04533">
      <w:pPr>
        <w:pStyle w:val="TextoNormal"/>
      </w:pPr>
    </w:p>
    <w:p w14:paraId="46968DA9" w14:textId="77777777" w:rsidR="00C04533" w:rsidRDefault="00C04533" w:rsidP="00C04533">
      <w:pPr>
        <w:pStyle w:val="TextoNormal"/>
      </w:pPr>
      <w:r>
        <w:t>Madrid, a diecinueve de noviembre de dos mil veinticuatro.</w:t>
      </w:r>
    </w:p>
    <w:p w14:paraId="66718EAB" w14:textId="2D7B1A87" w:rsidR="00C04533" w:rsidRDefault="00C04533">
      <w:pPr>
        <w:spacing w:after="160" w:line="278" w:lineRule="auto"/>
        <w:rPr>
          <w:rFonts w:ascii="Times New Roman" w:eastAsia="Times New Roman" w:hAnsi="Times New Roman" w:cs="Times New Roman"/>
          <w:sz w:val="24"/>
          <w:szCs w:val="24"/>
          <w:lang w:eastAsia="es-ES"/>
        </w:rPr>
      </w:pPr>
      <w:r>
        <w:br w:type="page"/>
      </w:r>
    </w:p>
    <w:p w14:paraId="5ED6E7FE" w14:textId="77777777" w:rsidR="00C04533" w:rsidRDefault="00C04533" w:rsidP="00C04533">
      <w:pPr>
        <w:pStyle w:val="TtuloResolucin"/>
      </w:pPr>
      <w:bookmarkStart w:id="132" w:name="AUTO_2024_126"/>
      <w:r>
        <w:t>AUTO 126/2024, de 19 de noviembre de 2024</w:t>
      </w:r>
    </w:p>
    <w:bookmarkEnd w:id="132"/>
    <w:p w14:paraId="479A849D" w14:textId="77777777" w:rsidR="00C04533" w:rsidRDefault="00C04533" w:rsidP="00C04533">
      <w:pPr>
        <w:pStyle w:val="TtuloResolucin"/>
      </w:pPr>
      <w:r>
        <w:t>Pleno</w:t>
      </w:r>
    </w:p>
    <w:p w14:paraId="0EEF508D" w14:textId="77777777" w:rsidR="00C04533" w:rsidRDefault="00C04533" w:rsidP="00C04533">
      <w:pPr>
        <w:pStyle w:val="TtuloBOE"/>
      </w:pPr>
      <w:r>
        <w:t>(BOE núm. 311, de 26 de diciembre de 2024)</w:t>
      </w:r>
    </w:p>
    <w:p w14:paraId="172A2504" w14:textId="77777777" w:rsidR="00C04533" w:rsidRDefault="00C04533" w:rsidP="00C04533">
      <w:pPr>
        <w:pStyle w:val="TextoNormalCentrado"/>
      </w:pPr>
      <w:r>
        <w:t>ECLI:ES:TC:2024:126A</w:t>
      </w:r>
    </w:p>
    <w:p w14:paraId="13893C95" w14:textId="12E5DBB3" w:rsidR="00C04533" w:rsidRDefault="00C04533" w:rsidP="00C04533">
      <w:pPr>
        <w:pStyle w:val="TextoNormalCentrado"/>
      </w:pPr>
    </w:p>
    <w:p w14:paraId="58339312"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5D04E965" w14:textId="1E3451D1" w:rsidR="00C04533" w:rsidRDefault="00C04533" w:rsidP="00C04533">
      <w:pPr>
        <w:pStyle w:val="SntesisDescriptiva"/>
      </w:pPr>
    </w:p>
    <w:p w14:paraId="6DEF4537" w14:textId="77777777" w:rsidR="00C04533" w:rsidRDefault="00C04533" w:rsidP="00C04533">
      <w:pPr>
        <w:pStyle w:val="SntesisDescriptiva"/>
      </w:pPr>
      <w:r>
        <w:t>Mantiene parcialmente la suspensión en el recurso de inconstitucionalidad 4925-2024, interpuesto por el presidente del Gobierno en relación con varios apartados del artículo único de la Ley de la Asamblea de Madrid 17/2023, de 27 de diciembre, por la que se modifica la Ley 2/2016, de 29 de marzo, de identidad y expresión de género e igualdad social y no discriminación de la Comunidad de Madrid. Voto particular.</w:t>
      </w:r>
    </w:p>
    <w:p w14:paraId="47AAF2AB" w14:textId="38AA0785" w:rsidR="00C04533" w:rsidRDefault="00C04533" w:rsidP="00C04533">
      <w:pPr>
        <w:pStyle w:val="SntesisDescriptiva"/>
      </w:pPr>
    </w:p>
    <w:p w14:paraId="0AD06F9F" w14:textId="77777777" w:rsidR="00C04533" w:rsidRDefault="00C04533" w:rsidP="00C04533">
      <w:pPr>
        <w:pStyle w:val="SntesisDescriptiva"/>
      </w:pPr>
    </w:p>
    <w:p w14:paraId="134FCFB9" w14:textId="77777777" w:rsidR="00C04533" w:rsidRDefault="00C04533" w:rsidP="00C04533">
      <w:pPr>
        <w:pStyle w:val="SntesisDescriptiva"/>
      </w:pPr>
    </w:p>
    <w:p w14:paraId="68056E4D" w14:textId="77777777" w:rsidR="00C04533" w:rsidRDefault="00C04533" w:rsidP="00C04533">
      <w:pPr>
        <w:pStyle w:val="TextoNormalNegritaCentrado"/>
      </w:pPr>
      <w:r>
        <w:t>AUTO</w:t>
      </w:r>
    </w:p>
    <w:p w14:paraId="106D2A65" w14:textId="47000D27" w:rsidR="00C04533" w:rsidRDefault="00C04533" w:rsidP="00C04533">
      <w:pPr>
        <w:pStyle w:val="TextoNormalNegritaCentrado"/>
      </w:pPr>
    </w:p>
    <w:p w14:paraId="12EA0230" w14:textId="77777777" w:rsidR="00C04533" w:rsidRDefault="00C04533" w:rsidP="00C04533">
      <w:pPr>
        <w:pStyle w:val="TextoNormalNegritaCentrado"/>
        <w:keepNext/>
      </w:pPr>
      <w:r>
        <w:t>I. Antecedentes</w:t>
      </w:r>
    </w:p>
    <w:p w14:paraId="6FB37D90" w14:textId="53E4FDD0" w:rsidR="00C04533" w:rsidRDefault="00C04533" w:rsidP="00C04533">
      <w:pPr>
        <w:pStyle w:val="TextoNormalNegritaCentrado"/>
        <w:keepNext/>
      </w:pPr>
    </w:p>
    <w:p w14:paraId="453CC27A" w14:textId="77777777" w:rsidR="00C04533" w:rsidRDefault="00C04533" w:rsidP="00C04533">
      <w:pPr>
        <w:pStyle w:val="TextoNormal"/>
      </w:pPr>
      <w:r w:rsidRPr="00C04533">
        <w:rPr>
          <w:rStyle w:val="NumeroAFNegritaCaracter"/>
        </w:rPr>
        <w:t>1</w:t>
      </w:r>
      <w:r>
        <w:t xml:space="preserve">. Mediante escrito registrado en el Tribunal Constitucional el 26 de junio de 2024, el abogado del Estado, en representación del presidente del Gobierno, interpuso recurso de inconstitucionalidad contra los apartados 11, 12, 15, 17 y 22 </w:t>
      </w:r>
      <w:r w:rsidRPr="00C04533">
        <w:rPr>
          <w:i/>
        </w:rPr>
        <w:t>bis</w:t>
      </w:r>
      <w:r>
        <w:t xml:space="preserve"> del artículo único de la Ley de la Asamblea de Madrid 17/2023, de 27 de diciembre, por la que se modifica la Ley 2/2016, de 29 de marzo, de identidad y expresión de género e igualdad social y no discriminación de la Comunidad de Madrid, en cuanto dan redacción a los artículos 13.3, 14.2 b), 23.1 f), 30.5 y 47 d) de esta ley. La Ley 17/2023, de 27 de diciembre, fue publicada en el “Boletín Oficial de la Comunidad de Madrid” núm. 309, de 29 de diciembre de 2023. En concreto se impugnan determinados incisos de la nueva redacción de los artículos 13.3, 14.2 b), 23.1 f) y 30.5 de la Ley de la Asamblea de Madrid 2/2016 y la nueva redacción de la letra d) del artículo 47 de esta misma ley.</w:t>
      </w:r>
    </w:p>
    <w:p w14:paraId="0B315900" w14:textId="77777777" w:rsidR="00C04533" w:rsidRDefault="00C04533" w:rsidP="00C04533">
      <w:pPr>
        <w:pStyle w:val="TextoNormal"/>
      </w:pPr>
    </w:p>
    <w:p w14:paraId="2E797B34" w14:textId="70FB7F67" w:rsidR="00C04533" w:rsidRDefault="00C04533" w:rsidP="00C04533">
      <w:pPr>
        <w:pStyle w:val="TextoNormal"/>
      </w:pPr>
      <w:r>
        <w:t>El abogado del Estado invocó los artículos 161.2 CE y 30 de la Ley Orgánica del Tribunal Constitucional (LOTC), a fin de que se produjese la suspensión de los preceptos de la ley autonómica que impugna.</w:t>
      </w:r>
    </w:p>
    <w:p w14:paraId="4F46B9DB" w14:textId="77777777" w:rsidR="00C04533" w:rsidRDefault="00C04533" w:rsidP="00C04533">
      <w:pPr>
        <w:pStyle w:val="TextoNormal"/>
      </w:pPr>
    </w:p>
    <w:p w14:paraId="3CD88A3F" w14:textId="571F3EA9" w:rsidR="00C04533" w:rsidRDefault="00C04533" w:rsidP="00C04533">
      <w:pPr>
        <w:pStyle w:val="TextoNormal"/>
      </w:pPr>
      <w:r w:rsidRPr="00C04533">
        <w:rPr>
          <w:rStyle w:val="NumeroAFNegritaCaracter"/>
        </w:rPr>
        <w:t>2</w:t>
      </w:r>
      <w:r>
        <w:t>. Por providencia de 16 de julio de 2024, el Pleno del Tribunal acordó admitir a trámite el recurso de inconstitucionalidad, dar traslado de la demanda y documentos presentados, conforme establece el artículo 34 LOTC, al Congreso de los Diputados y al Senado, así como a la Asamblea de Madrid y al Gobierno de la Comunidad de Madrid, al objeto de que en el plazo de quince días pudieran personarse en el proceso y formular las alegaciones que estimaren convenientes. Asimismo, acordó tener por invocado el artículo 161.2 CE, lo que, conforme dispone el artículo 30 LOTC, produce la suspensión de la vigencia y aplicación del precepto legal impugnado desde la fecha de interposición del recurso para las partes del proceso y desde el día en que aparezca publicada la suspensión en el “Boletín Oficial del Estado” para los terceros. Por último, también ordenó publicar la incoación del recurso en el “Boletín Oficial del Estado” y en el “Boletín Oficial de la Comunidad de Madrid”.</w:t>
      </w:r>
    </w:p>
    <w:p w14:paraId="5ECD0100" w14:textId="77777777" w:rsidR="00C04533" w:rsidRDefault="00C04533" w:rsidP="00C04533">
      <w:pPr>
        <w:pStyle w:val="TextoNormal"/>
      </w:pPr>
    </w:p>
    <w:p w14:paraId="1D2DB687" w14:textId="77777777" w:rsidR="00C04533" w:rsidRDefault="00C04533" w:rsidP="00C04533">
      <w:pPr>
        <w:pStyle w:val="TextoNormal"/>
      </w:pPr>
      <w:r w:rsidRPr="00C04533">
        <w:rPr>
          <w:rStyle w:val="NumeroAFNegritaCaracter"/>
        </w:rPr>
        <w:t>3</w:t>
      </w:r>
      <w:r>
        <w:t>. Por escrito registrado en este tribunal el 24 de julio de 2024, el letrado de la Comunidad de Madrid, en la representación que legalmente ostenta del Gobierno de la Comunidad de Madrid, compareció en el proceso y solicitó que se le concediese prórroga del plazo para formular alegaciones por ocho días más.</w:t>
      </w:r>
    </w:p>
    <w:p w14:paraId="4FA3CE56" w14:textId="77777777" w:rsidR="00C04533" w:rsidRDefault="00C04533" w:rsidP="00C04533">
      <w:pPr>
        <w:pStyle w:val="TextoNormal"/>
      </w:pPr>
    </w:p>
    <w:p w14:paraId="5FA69D6E" w14:textId="6E91D9A4" w:rsidR="00C04533" w:rsidRDefault="00C04533" w:rsidP="00C04533">
      <w:pPr>
        <w:pStyle w:val="TextoNormal"/>
      </w:pPr>
      <w:r>
        <w:t>Mediante diligencia de ordenación de la Secretaría de Justicia del Pleno del Tribunal de 29 de julio de 2024 se tuvo por personada a la letrada de la Comunidad de Madrid y se accedió a su petición, prorrogándose por ocho días más el plazo de alegaciones conferido.</w:t>
      </w:r>
    </w:p>
    <w:p w14:paraId="710DCA62" w14:textId="77777777" w:rsidR="00C04533" w:rsidRDefault="00C04533" w:rsidP="00C04533">
      <w:pPr>
        <w:pStyle w:val="TextoNormal"/>
      </w:pPr>
    </w:p>
    <w:p w14:paraId="355B3DEA" w14:textId="5C229BD2" w:rsidR="00C04533" w:rsidRDefault="00C04533" w:rsidP="00C04533">
      <w:pPr>
        <w:pStyle w:val="TextoNormal"/>
      </w:pPr>
      <w:r w:rsidRPr="00C04533">
        <w:rPr>
          <w:rStyle w:val="NumeroAFNegritaCaracter"/>
        </w:rPr>
        <w:t>4</w:t>
      </w:r>
      <w:r>
        <w:t>. Por escritos registrados en este tribunal el 26 de julio y el 5 de septiembre de 2024, respectivamente, la presidenta del Congreso de los Diputados y el presidente del Senado comunicaron el acuerdo de las mesas de sus respectivas cámaras de personarse en el proceso, ofreciendo su colaboración a los efectos del artículo 88.1 LOTC.</w:t>
      </w:r>
    </w:p>
    <w:p w14:paraId="1A59397A" w14:textId="77777777" w:rsidR="00C04533" w:rsidRDefault="00C04533" w:rsidP="00C04533">
      <w:pPr>
        <w:pStyle w:val="TextoNormal"/>
      </w:pPr>
    </w:p>
    <w:p w14:paraId="275816AF" w14:textId="1A7F6D15" w:rsidR="00C04533" w:rsidRDefault="00C04533" w:rsidP="00C04533">
      <w:pPr>
        <w:pStyle w:val="TextoNormal"/>
      </w:pPr>
      <w:r w:rsidRPr="00C04533">
        <w:rPr>
          <w:rStyle w:val="NumeroAFNegritaCaracter"/>
        </w:rPr>
        <w:t>5</w:t>
      </w:r>
      <w:r>
        <w:t>. Por escrito registrado en este tribunal el 10 de septiembre de 2024, el letrado de la Asamblea de Madrid, en la representación que legalmente ostenta de esta Cámara, compareció en el proceso y formuló alegaciones, interesando la desestimación del recurso de inconstitucionalidad.</w:t>
      </w:r>
    </w:p>
    <w:p w14:paraId="7DD64FC1" w14:textId="77777777" w:rsidR="00C04533" w:rsidRDefault="00C04533" w:rsidP="00C04533">
      <w:pPr>
        <w:pStyle w:val="TextoNormal"/>
      </w:pPr>
    </w:p>
    <w:p w14:paraId="2829813A" w14:textId="3CFF6333" w:rsidR="00C04533" w:rsidRDefault="00C04533" w:rsidP="00C04533">
      <w:pPr>
        <w:pStyle w:val="TextoNormal"/>
      </w:pPr>
      <w:r w:rsidRPr="00C04533">
        <w:rPr>
          <w:rStyle w:val="NumeroAFNegritaCaracter"/>
        </w:rPr>
        <w:t>6</w:t>
      </w:r>
      <w:r>
        <w:t>. Mediante escrito registrado en este tribunal el 22 de septiembre de 2024, el letrado de la Comunidad de Madrid procedió a formular alegaciones en el presente recurso de inconstitucionalidad, interesando su desestimación. Mediante otrosí, solicitó la apertura del incidente de audiencia a las partes sobre el levantamiento anticipado de la suspensión de los preceptos legales impugnados, invocando la doctrina constitucional al efecto (AATC 183/2011, de 14 de diciembre, y 147/2012, de 16 de julio, y la doctrina allí citada).</w:t>
      </w:r>
    </w:p>
    <w:p w14:paraId="4AB11F40" w14:textId="77777777" w:rsidR="00C04533" w:rsidRDefault="00C04533" w:rsidP="00C04533">
      <w:pPr>
        <w:pStyle w:val="TextoNormal"/>
      </w:pPr>
    </w:p>
    <w:p w14:paraId="512B2571" w14:textId="0FF5FC1C" w:rsidR="00C04533" w:rsidRDefault="00C04533" w:rsidP="00C04533">
      <w:pPr>
        <w:pStyle w:val="TextoNormal"/>
      </w:pPr>
      <w:r w:rsidRPr="00C04533">
        <w:rPr>
          <w:rStyle w:val="NumeroAFNegritaCaracter"/>
        </w:rPr>
        <w:t>7</w:t>
      </w:r>
      <w:r>
        <w:t>. Por diligencia de ordenación del secretario de justicia del Pleno del Tribunal de 23 de septiembre de 2024, se acordó oír a las partes personadas para que en el plazo de cinco días expusieran lo que considerasen conveniente acerca del mantenimiento o levantamiento de la suspensión de los preceptos impugnados en este recurso de inconstitucionalidad, conforme a lo previsto en el artículo 161.2 CE.</w:t>
      </w:r>
    </w:p>
    <w:p w14:paraId="184ACC6E" w14:textId="77777777" w:rsidR="00C04533" w:rsidRDefault="00C04533" w:rsidP="00C04533">
      <w:pPr>
        <w:pStyle w:val="TextoNormal"/>
      </w:pPr>
    </w:p>
    <w:p w14:paraId="064D85D3" w14:textId="77777777" w:rsidR="00C04533" w:rsidRDefault="00C04533" w:rsidP="00C04533">
      <w:pPr>
        <w:pStyle w:val="TextoNormal"/>
      </w:pPr>
      <w:r w:rsidRPr="00C04533">
        <w:rPr>
          <w:rStyle w:val="NumeroAFNegritaCaracter"/>
        </w:rPr>
        <w:t>8</w:t>
      </w:r>
      <w:r>
        <w:t>. El letrado de la Comunidad de Madrid, mediante escrito registrado en este tribunal el 1 de octubre de 2024, interesó el levantamiento de la suspensión de los preceptos impugnados, con fundamento en las alegaciones que seguidamente se resumen.</w:t>
      </w:r>
    </w:p>
    <w:p w14:paraId="76F2FFD5" w14:textId="77777777" w:rsidR="00C04533" w:rsidRDefault="00C04533" w:rsidP="00C04533">
      <w:pPr>
        <w:pStyle w:val="TextoNormal"/>
      </w:pPr>
    </w:p>
    <w:p w14:paraId="057C107F" w14:textId="77777777" w:rsidR="00C04533" w:rsidRDefault="00C04533" w:rsidP="00C04533">
      <w:pPr>
        <w:pStyle w:val="TextoNormal"/>
      </w:pPr>
      <w:r>
        <w:t>Señala que, conforme a reiterada doctrina constitucional (cita, entre otros, los AATC 114/2014, de 8 de abril; 90/2016, de 26 de abril; 158/2016, de 20 de septiembre, y 37/2024, de 23 de abril), los criterios o parámetros que se deben valorar en el presente incidente cautelar son los daños y perjuicios de imposible o difícil reparación que el levantamiento de la suspensión podría acarrear y la ponderación de los intereses tanto generales o públicos como particulares o privados en conflicto, sin entrar en el fondo de las cuestiones planteadas, y prevaleciendo siempre la presunción de constitucionalidad de la ley impugnada, en tanto que es producto del Poder Legislativo autonómico y por tanto deriva de la soberanía popular.</w:t>
      </w:r>
    </w:p>
    <w:p w14:paraId="02638F2D" w14:textId="77777777" w:rsidR="00C04533" w:rsidRDefault="00C04533" w:rsidP="00C04533">
      <w:pPr>
        <w:pStyle w:val="TextoNormal"/>
      </w:pPr>
    </w:p>
    <w:p w14:paraId="64D4C134" w14:textId="77777777" w:rsidR="00C04533" w:rsidRDefault="00C04533" w:rsidP="00C04533">
      <w:pPr>
        <w:pStyle w:val="TextoNormal"/>
      </w:pPr>
      <w:r>
        <w:t>A partir de esa doctrina aduce, en primer lugar, que las presuntas vulneraciones de carácter competencial alegadas por el abogado del Estado en su recurso (artículo 149.1, apartados 1, 6, 16 y 18 CE) no se pueden tener en cuenta en el presente incidente cautelar sobre el mantenimiento o levantamiento de la suspensión de los preceptos legales impugnados, debiendo recordarse que cuando la justificación del mantenimiento de la suspensión se basa exclusivamente en motivos competenciales, de uniformidad de régimen jurídico o de daños a la seguridad jurídica por la duplicidad de normativas, lo que procede es el levantamiento de la suspensión (entre otros, AATC 131/2017, de 3 de octubre; 30/2018, de 20 de marzo, y 35/2018 y 36/2018, de 21 de marzo).</w:t>
      </w:r>
    </w:p>
    <w:p w14:paraId="41D04ED8" w14:textId="77777777" w:rsidR="00C04533" w:rsidRDefault="00C04533" w:rsidP="00C04533">
      <w:pPr>
        <w:pStyle w:val="TextoNormal"/>
      </w:pPr>
    </w:p>
    <w:p w14:paraId="2E778000" w14:textId="77777777" w:rsidR="00C04533" w:rsidRDefault="00C04533" w:rsidP="00C04533">
      <w:pPr>
        <w:pStyle w:val="TextoNormal"/>
      </w:pPr>
      <w:r>
        <w:t>En segundo lugar, que el presente recurso supone un conflicto entre derechos, libertades y bienes jurídicos al menos de idéntico rango constitucional e igualmente merecedores de la máxima protección y tutela por parte de los poderes públicos: por un lado, el abogado del Estado invoca esencialmente el derecho a la dignidad de la persona y al libre desarrollo de la personalidad y el derecho fundamental a la igualdad y a no padecer discriminación de las personas transexuales en general (arts. 10.1 y 14 CE); por otro, la Comunidad de Madrid invoca esos mismos derechos fundamentales, junto con los derechos fundamentales a la integridad física y moral (art. 15 CE), a la seguridad (art. 17.1 CE), a la intimidad personal (art. 18.1 CE) y a la protección de la salud (art. 43 CE), pero específicamente en relación con los menores de edad transexuales, las niñas y mujeres en general y los colectivos en situación de especial vulnerabilidad (así, art. 30.5 de la Ley de la Asamblea de Madrid 2/2016). Para legislar al respecto está legitimada la Comunidad de Madrid en virtud de las previsiones de su Estatuto de Autonomía (EAM).</w:t>
      </w:r>
    </w:p>
    <w:p w14:paraId="07CC938C" w14:textId="77777777" w:rsidR="00C04533" w:rsidRDefault="00C04533" w:rsidP="00C04533">
      <w:pPr>
        <w:pStyle w:val="TextoNormal"/>
      </w:pPr>
    </w:p>
    <w:p w14:paraId="5DF76F20" w14:textId="77777777" w:rsidR="00C04533" w:rsidRDefault="00C04533" w:rsidP="00C04533">
      <w:pPr>
        <w:pStyle w:val="TextoNormal"/>
      </w:pPr>
      <w:r>
        <w:t>Pues bien, dado que los posibles perjuicios que podrían irrogarse a estos colectivos específicos merecedores de la máxima protección (menores de edad transexuales, niñas y mujeres y otras personas en situación de vulnerabilidad) en caso de mantenimiento de la suspensión de los preceptos impugnados serían irreparables, ha de concluirse que, al menos provisionalmente mientras se tramita el presente recurso de inconstitucionalidad, deben prevalecer estos derechos e intereses específicos, al afectar a personas menores de edad. A mayor abundamiento, mientras dure la tramitación del presente proceso constitucional, tanto las personas transexuales en general como los colectivos específicos que son objeto de protección por parte de la ley impugnada gozan en todo caso de las máximas garantías de defensa de sus derechos e intereses, puesto que los preceptos impugnados no impiden, prohíben ni excluyen el ejercicio por parte de cualquier persona transexual que se sienta discriminada u ofendida de las acciones legales que considere oportunas para reclamar que cese la actuación sanitaria o administrativa que considere discriminatoria. Es decir, el levantamiento de la suspensión y la consiguiente restauración de la vigencia de los preceptos impugnados no perjudicaría en absoluto al derecho de los interesados de reclamar, recurrir, denunciar o demandar la tutela de sus derechos e intereses (incluso de forma cautelar), tanto en vía administrativa como judicial.</w:t>
      </w:r>
    </w:p>
    <w:p w14:paraId="54475E83" w14:textId="77777777" w:rsidR="00C04533" w:rsidRDefault="00C04533" w:rsidP="00C04533">
      <w:pPr>
        <w:pStyle w:val="TextoNormal"/>
      </w:pPr>
    </w:p>
    <w:p w14:paraId="4EF07818" w14:textId="77777777" w:rsidR="00C04533" w:rsidRDefault="00C04533" w:rsidP="00C04533">
      <w:pPr>
        <w:pStyle w:val="TextoNormal"/>
      </w:pPr>
      <w:r>
        <w:t>Descendiendo al detalle de cada uno de los preceptos impugnados en particular, sostiene que procede el levantamiento de la suspensión del inciso recurrido del nuevo artículo 13.3 de la Ley 2/2016, ya que no se advierte ninguna clase de perjuicio para las personas transexuales derivado de dicho levantamiento, sino solamente beneficios para las mismas y para los profesionales sanitarios encargados de atenderlas psicológicamente. En cambio, el mantenimiento de la suspensión sí produciría manifiestos perjuicios a dichos profesionales sanitarios y, por ende, a las propias personas transexuales, los cuales podrían llegar a ser irreversibles en cuanto a su derecho a la salud.</w:t>
      </w:r>
    </w:p>
    <w:p w14:paraId="6DCC91D7" w14:textId="77777777" w:rsidR="00C04533" w:rsidRDefault="00C04533" w:rsidP="00C04533">
      <w:pPr>
        <w:pStyle w:val="TextoNormal"/>
      </w:pPr>
    </w:p>
    <w:p w14:paraId="4BF07686" w14:textId="77777777" w:rsidR="00C04533" w:rsidRDefault="00C04533" w:rsidP="00C04533">
      <w:pPr>
        <w:pStyle w:val="TextoNormal"/>
      </w:pPr>
      <w:r>
        <w:t>Asimismo procede el levantamiento de la suspensión que pesa sobre el párrafo segundo del nuevo artículo 14.2 b) de la Ley 2/2016, pues las dos medidas impugnadas, consistentes en el apoyo psicológico obligatorio y el informe favorable preceptivo (este último solo en caso de comorbilidad) de los profesionales de salud mental especializados, son imprescindibles para garantizar que el personal médico especializado pueda determinar el grado de madurez y de estabilidad de la situación de transexualidad de los menores, a efectos de que estos puedan ejercer libremente su derecho a someterse a tratamiento hormonal cruzado farmacológico. Siendo estas dos medidas cuestionadas claramente beneficiosas para el interés superior de los menores de edad (criterio principal a tener en cuenta y único realmente en este caso, habida cuenta de la inexistencia de intereses de terceros implicados, el cual además debe prevalecer en caso de que sí hubiera conflicto de intereses), es evidente que el mantenimiento de la suspensión de estas podría acarrear graves perjuicios para la salud tanto física como mental de los menores que se encuentren en esa tesitura, mientras que el levantamiento de la suspensión no les causaría perjuicio alguno de ninguna clase. A mayor abundamiento, el mantenimiento de la suspensión de las medidas recurridas podría causar graves perjuicios personales, dada la importancia y trascendencia de la decisión de someterse a tratamiento hormonal y la irreversibilidad o, en su defecto, las graves dificultades que implicaría la reversión de ese tratamiento.</w:t>
      </w:r>
    </w:p>
    <w:p w14:paraId="0CF67DBB" w14:textId="77777777" w:rsidR="00C04533" w:rsidRDefault="00C04533" w:rsidP="00C04533">
      <w:pPr>
        <w:pStyle w:val="TextoNormal"/>
      </w:pPr>
    </w:p>
    <w:p w14:paraId="533D2051" w14:textId="77777777" w:rsidR="00C04533" w:rsidRDefault="00C04533" w:rsidP="00C04533">
      <w:pPr>
        <w:pStyle w:val="TextoNormal"/>
      </w:pPr>
      <w:r>
        <w:t>En cuanto a los incisos “especialmente de las chicas” del artículo 23.1 f) y “especialmente de las niñas y mujeres” del artículo 30.5 de la Ley 2/2016, en la redacción dada por el artículo único de la Ley 17/2023, se advierte que podría haberse omitido y los dos preceptos seguirían teniendo el mismo contenido, como el propio Consejo de Estado reconoce expresamente en su dictamen sobre esta reforma legal, descartando la inconstitucionalidad de ambos incisos. Procede, en consecuencia, el levantamiento de la suspensión también en este punto.</w:t>
      </w:r>
    </w:p>
    <w:p w14:paraId="03237938" w14:textId="77777777" w:rsidR="00C04533" w:rsidRDefault="00C04533" w:rsidP="00C04533">
      <w:pPr>
        <w:pStyle w:val="TextoNormal"/>
      </w:pPr>
    </w:p>
    <w:p w14:paraId="49F94E7F" w14:textId="03A34A2B" w:rsidR="00C04533" w:rsidRDefault="00C04533" w:rsidP="00C04533">
      <w:pPr>
        <w:pStyle w:val="TextoNormal"/>
      </w:pPr>
      <w:r>
        <w:t>En fin, en cuanto a la nueva letra d) del artículo 47 de la Ley 2/2016 se interesa el levantamiento de la suspensión, aunque solo en lo relativo a los procedimientos administrativos sancionadores, por entender que puede interpretarse de manera conforme con el artículo 4.2 de la Ley 39/2015, de 1 de octubre, del procedimiento administrativo común de las administraciones públicas, y con el artículo 31.2 de la Ley 15/2022, de 12 de julio, integral para la igualdad de trato y la no discriminación, y por tanto con el artículo 149.1.18 CE, en el sentido de que el precepto impugnado se limita a ratificar la jurisprudencia del Tribunal Supremo que se cita, aclarando que las asociaciones, entidades y organizaciones representativas de los colectivos LGTBI y aquellas que tengan por objeto la defensa y promoción de derechos humanos no tienen, por el mero hecho de ser tales, la condición de interesado en los procedimientos administrativos sancionadores de manera general y automática por ministerio de la ley, sin perjuicio de que, de manera concreta y específica en cada supuesto, se les pueda reconocer dicha condición, previa justificación y acreditación ante el órgano instructor del expediente sancionador del derecho o interés cualificado que les legitima para actuar en dicho procedimiento, ya sea en defensa del interés individual o del interés colectivo.</w:t>
      </w:r>
    </w:p>
    <w:p w14:paraId="6931868B" w14:textId="77777777" w:rsidR="00C04533" w:rsidRDefault="00C04533" w:rsidP="00C04533">
      <w:pPr>
        <w:pStyle w:val="TextoNormal"/>
      </w:pPr>
    </w:p>
    <w:p w14:paraId="67E6BFCE" w14:textId="77777777" w:rsidR="00C04533" w:rsidRDefault="00C04533" w:rsidP="00C04533">
      <w:pPr>
        <w:pStyle w:val="TextoNormal"/>
      </w:pPr>
      <w:r w:rsidRPr="00C04533">
        <w:rPr>
          <w:rStyle w:val="NumeroAFNegritaCaracter"/>
        </w:rPr>
        <w:t>9</w:t>
      </w:r>
      <w:r>
        <w:t>. El letrado de la Asamblea de Madrid, mediante escrito registrado en este tribunal el 1 de octubre de 2024, interesó el levantamiento de la suspensión de los preceptos impugnados, con fundamento en las alegaciones que seguidamente se resumen.</w:t>
      </w:r>
    </w:p>
    <w:p w14:paraId="68A140D8" w14:textId="77777777" w:rsidR="00C04533" w:rsidRDefault="00C04533" w:rsidP="00C04533">
      <w:pPr>
        <w:pStyle w:val="TextoNormal"/>
      </w:pPr>
    </w:p>
    <w:p w14:paraId="7FD5DB46" w14:textId="77777777" w:rsidR="00C04533" w:rsidRDefault="00C04533" w:rsidP="00C04533">
      <w:pPr>
        <w:pStyle w:val="TextoNormal"/>
      </w:pPr>
      <w:r>
        <w:t>Tras recordar la doctrina constitucional relativa a los criterios o parámetros que se deben valorar en el incidente cautelar de levantamiento o mantenimiento de la suspensión de las leyes autonómicas impugnadas en un recurso de inconstitucionalidad y el principio de presunción de constitucionalidad de las leyes, sostiene que la ponderación de intereses en presencia conduce a la conclusión de que el levantamiento de la suspensión de los preceptos impugnados en el presente recurso no provoca perjuicios de imposible o difícil reparación para el interés general y público y tampoco para el interés particular de terceras personas afectadas.</w:t>
      </w:r>
    </w:p>
    <w:p w14:paraId="15241C91" w14:textId="77777777" w:rsidR="00C04533" w:rsidRDefault="00C04533" w:rsidP="00C04533">
      <w:pPr>
        <w:pStyle w:val="TextoNormal"/>
      </w:pPr>
    </w:p>
    <w:p w14:paraId="225680B2" w14:textId="77777777" w:rsidR="00C04533" w:rsidRDefault="00C04533" w:rsidP="00C04533">
      <w:pPr>
        <w:pStyle w:val="TextoNormal"/>
      </w:pPr>
      <w:r>
        <w:t>Por lo que atañe al inciso recurrido del nuevo artículo 13.3 de la Ley 2/2016, procede el levantamiento de la suspensión ya que en caso de mantenerse la suspensión se produciría una lesión palmaria en el interés de las personas transexuales, al privárseles del asesoramiento psicológico o de la evaluación psiquiátrica respecto al que las demás personas tienen derecho y, en particular, eliminando la posibilidad de que estas personas puedan gozar de mayor conocimiento para el ejercicio de su libertad y así tener mayores garantías médicas. El inciso impugnado se ha de reputar favorecedor de los derechos de las personas transexuales al dotarles de mayores garantías y, asimismo, minimiza el riesgo de decisiones equivocadas, en aras al libre desarrollo de su personalidad (art. 10.1 CE). De ello resulta que en ningún caso el interés público puede verse lesionado a resultas del levantamiento de la suspensión de este precepto.</w:t>
      </w:r>
    </w:p>
    <w:p w14:paraId="2799A23F" w14:textId="77777777" w:rsidR="00C04533" w:rsidRDefault="00C04533" w:rsidP="00C04533">
      <w:pPr>
        <w:pStyle w:val="TextoNormal"/>
      </w:pPr>
    </w:p>
    <w:p w14:paraId="3018EB24" w14:textId="77777777" w:rsidR="00C04533" w:rsidRDefault="00C04533" w:rsidP="00C04533">
      <w:pPr>
        <w:pStyle w:val="TextoNormal"/>
      </w:pPr>
      <w:r>
        <w:t>En cuanto al párrafo segundo del nuevo artículo 14.2 b) de la Ley 2/2016, procede igualmente el levantamiento de la suspensión, pues de mantenerse la suspensión se producirán efectos perniciosos tanto para el interés superior del menor como para el interés público, al conllevar la eliminación de las garantías establecidas por el precepto impugnado. Se privaría a los menores de la garantía del apoyo de los profesionales de salud mental infanto-juvenil y, en caso de comorbilidad, se les privaría además de la garantía de un informe favorable del profesional que esté tratando al menor en esas patologías. Pero el levantamiento de la suspensión de este precepto resulta imprescindible no solo para la salvaguarda del interés superior del menor sino, asimismo, para el interés público, por contener el precepto impugnado garantías intrínsecas a un Estado social de Derecho (arts. 1.1 y 9.2 CE), así como por la posibilidad de tener que hacer frente a reclamaciones de responsabilidad patrimonial por la aplicación de una norma con rango de ley declarada inconstitucional.</w:t>
      </w:r>
    </w:p>
    <w:p w14:paraId="218A6F46" w14:textId="77777777" w:rsidR="00C04533" w:rsidRDefault="00C04533" w:rsidP="00C04533">
      <w:pPr>
        <w:pStyle w:val="TextoNormal"/>
      </w:pPr>
    </w:p>
    <w:p w14:paraId="6046AAB5" w14:textId="77777777" w:rsidR="00C04533" w:rsidRDefault="00C04533" w:rsidP="00C04533">
      <w:pPr>
        <w:pStyle w:val="TextoNormal"/>
      </w:pPr>
      <w:r>
        <w:t>En cuanto a los incisos “especialmente de las chicas” del artículo 23.1 f) y “especialmente de las niñas y mujeres” del artículo 30.5 de la Ley 2/2016, en la redacción dada por el artículo único de la Ley de la Asamblea de Madrid 17/2023, procede asimismo el alzamiento de la suspensión, pues superan el test de proporcionalidad. Se limitan a una referencia específica a las chicas, mujeres y niñas en aras a la salvaguarda de sus derechos.</w:t>
      </w:r>
    </w:p>
    <w:p w14:paraId="0176FE11" w14:textId="77777777" w:rsidR="00C04533" w:rsidRDefault="00C04533" w:rsidP="00C04533">
      <w:pPr>
        <w:pStyle w:val="TextoNormal"/>
      </w:pPr>
    </w:p>
    <w:p w14:paraId="1A1C4858" w14:textId="3FFE2F1A" w:rsidR="00C04533" w:rsidRDefault="00C04533" w:rsidP="00C04533">
      <w:pPr>
        <w:pStyle w:val="TextoNormal"/>
      </w:pPr>
      <w:r>
        <w:t>Por último, con el levantamiento de la suspensión de la vigencia y aplicación de la nueva letra d) del artículo 47 de la Ley 2/2016 se tutela el interés del Parlamento autonómico y, en definitiva, el interés general, toda vez que esa regulación no altera el procedimiento administrativo común, sino que la Cámara ha ejercicio la libertad de configuración normativa respecto de ámbitos materiales respecto de los que se ostenta competencia (art. 26.1.23 EAM, en el marco del art. 148.1.20 CE). En todo caso, la supuesta discordancia entre el procedimiento administrativo común y la regulación contenida en el precepto impugnado no es tal en la medida en que, como se desprende de una interpretación sistemática, el régimen en materia sancionadora se ajusta a las determinaciones del procedimiento administrativo común, y con el levantamiento de la suspensión de la vigencia y aplicación del precepto impugnado se tutela el interés público derivado de permitir el despliegue de la libertad de configuración normativa del Parlamento autonómico.</w:t>
      </w:r>
    </w:p>
    <w:p w14:paraId="61C4EF1C" w14:textId="77777777" w:rsidR="00C04533" w:rsidRDefault="00C04533" w:rsidP="00C04533">
      <w:pPr>
        <w:pStyle w:val="TextoNormal"/>
      </w:pPr>
    </w:p>
    <w:p w14:paraId="1A1CADED" w14:textId="77777777" w:rsidR="00C04533" w:rsidRDefault="00C04533" w:rsidP="00C04533">
      <w:pPr>
        <w:pStyle w:val="TextoNormal"/>
      </w:pPr>
      <w:r w:rsidRPr="00C04533">
        <w:rPr>
          <w:rStyle w:val="NumeroAFNegritaCaracter"/>
        </w:rPr>
        <w:t>10</w:t>
      </w:r>
      <w:r>
        <w:t>. El abogado del Estado, mediante escrito registrado en este tribunal el 2 de octubre de 2024, interesó el mantenimiento de la suspensión de parte de los preceptos impugnados, con fundamento en las alegaciones siguientes.</w:t>
      </w:r>
    </w:p>
    <w:p w14:paraId="6418FD0C" w14:textId="77777777" w:rsidR="00C04533" w:rsidRDefault="00C04533" w:rsidP="00C04533">
      <w:pPr>
        <w:pStyle w:val="TextoNormal"/>
      </w:pPr>
    </w:p>
    <w:p w14:paraId="123C8F66" w14:textId="77777777" w:rsidR="00C04533" w:rsidRDefault="00C04533" w:rsidP="00C04533">
      <w:pPr>
        <w:pStyle w:val="TextoNormal"/>
      </w:pPr>
      <w:r>
        <w:t>Tras recordar la doctrina constitucional relativa a los incidentes de suspensión de leyes autonómicas, afirma que debe mantenerse la suspensión de los preceptos impugnados que señala porque, de acuerdo con la referida doctrina y remitiéndose al informe que adjunta, emitido por la Secretaría General Técnica del Ministerio de Igualdad el 22 de enero de 2024, el levantamiento de la suspensión perjudicaría gravemente los intereses de los ciudadanos afectados y por lo tanto también el interés general.</w:t>
      </w:r>
    </w:p>
    <w:p w14:paraId="5240982F" w14:textId="77777777" w:rsidR="00C04533" w:rsidRDefault="00C04533" w:rsidP="00C04533">
      <w:pPr>
        <w:pStyle w:val="TextoNormal"/>
      </w:pPr>
    </w:p>
    <w:p w14:paraId="7D553A53" w14:textId="77777777" w:rsidR="00C04533" w:rsidRDefault="00C04533" w:rsidP="00C04533">
      <w:pPr>
        <w:pStyle w:val="TextoNormal"/>
      </w:pPr>
      <w:r>
        <w:t>Razona al efecto que la ley autonómica impugnada exige una serie de requisitos de cara a una hipotética operación de cambio de sexo (partiendo de considerar la transexualidad como una patología) que son la previa observación de un tiempo para reflexionar y en su caso cambiar o revertir la decisión del interesado y, cuando se trate de menores de edad, la necesidad de una autorización y acompañamiento médico en determinadas fases, así como la necesidad de autorización médica para el tratamiento hormonal. Tales requisitos o condicionamientos de actuación inciden en la voluntad de la persona que accede al procedimiento de variación, que el Estado central combate y trata de eliminar de la normativa para todos, entendiendo que estamos ante exigencias constrictoras de la libertad de autodeterminación subjetiva de la persona y de su toma de decisiones personales.</w:t>
      </w:r>
    </w:p>
    <w:p w14:paraId="52F14323" w14:textId="77777777" w:rsidR="00C04533" w:rsidRDefault="00C04533" w:rsidP="00C04533">
      <w:pPr>
        <w:pStyle w:val="TextoNormal"/>
      </w:pPr>
    </w:p>
    <w:p w14:paraId="0427B255" w14:textId="77777777" w:rsidR="00C04533" w:rsidRDefault="00C04533" w:rsidP="00C04533">
      <w:pPr>
        <w:pStyle w:val="TextoNormal"/>
      </w:pPr>
      <w:r>
        <w:t>Si no se mantuviese la suspensión, ello podría conllevar o abocar al hecho de que, según esa perspectiva de autodeterminación, unas personas, destinatarias de la norma, no pudieran acceder a sus pretensiones de cambio de sexo, o lo hicieran con mayor dificultad, a diferencia de otras personas que, por residir fuera del territorio de la Comunidad de Madrid, no tendrían que cumplir los requisitos que impone la ley autonómica impugnada.</w:t>
      </w:r>
    </w:p>
    <w:p w14:paraId="192B2B21" w14:textId="77777777" w:rsidR="00C04533" w:rsidRDefault="00C04533" w:rsidP="00C04533">
      <w:pPr>
        <w:pStyle w:val="TextoNormal"/>
      </w:pPr>
    </w:p>
    <w:p w14:paraId="12D23422" w14:textId="77777777" w:rsidR="00C04533" w:rsidRDefault="00C04533" w:rsidP="00C04533">
      <w:pPr>
        <w:pStyle w:val="TextoNormal"/>
      </w:pPr>
      <w:r>
        <w:t>Con todo, no sería este efecto objetivo del trato desigual, pernicioso para el interés general, el principal motivo que justificaría el mantenimiento de la suspensión, pues también se perjudica el interés de las personas destinatarias de la norma dado que, al calificar la ley impugnada como una patología la decisión anticipada de cambio de sexo, los interesados sufrirían un perjuicio no exactamente económico o material, pero sí personal, creándose una situación de hecho en ese plano, aunque posteriormente este tribunal declarase inconstitucional la ley impugnada.</w:t>
      </w:r>
    </w:p>
    <w:p w14:paraId="59D7D6CE" w14:textId="77777777" w:rsidR="00C04533" w:rsidRDefault="00C04533" w:rsidP="00C04533">
      <w:pPr>
        <w:pStyle w:val="TextoNormal"/>
      </w:pPr>
    </w:p>
    <w:p w14:paraId="710DC847" w14:textId="4BB6949C" w:rsidR="00C04533" w:rsidRDefault="00C04533" w:rsidP="00C04533">
      <w:pPr>
        <w:pStyle w:val="TextoNormal"/>
      </w:pPr>
      <w:r>
        <w:t xml:space="preserve">Por todo ello, el abogado del Estado solicita que se acuerde el mantenimiento de la suspensión de los siguientes preceptos: el inciso “y en el caso de que existiera comorbilidad será imprescindible un informe favorable del profesional que esté tratando al menor en dichas patologías”, de la nueva redacción del artículo 14.2 b) de la Ley 2/2016, dada por el apartado 12 del artículo único de la Ley 17/2023; el inciso “especialmente de las chicas”, de la nueva redacción del artículo 23.1 f) de la Ley 2/2016, dada por el apartado 15 del artículo único de la Ley 17/2023; el inciso “especialmente de las niñas y mujeres”, de la nueva redacción del artículo 30.5 de la Ley 2/2016, dada por el apartado 17 del artículo único de la Ley 17/2023; y la letra d) de la nueva redacción del artículo 47 de la Ley 2/2016, dada por el apartado 22 </w:t>
      </w:r>
      <w:r w:rsidRPr="00C04533">
        <w:rPr>
          <w:i/>
        </w:rPr>
        <w:t>bis</w:t>
      </w:r>
      <w:r>
        <w:t xml:space="preserve"> del artículo único de la Ley 17/2023.</w:t>
      </w:r>
    </w:p>
    <w:p w14:paraId="034FA493" w14:textId="77777777" w:rsidR="00C04533" w:rsidRDefault="00C04533" w:rsidP="00C04533">
      <w:pPr>
        <w:pStyle w:val="TextoNormal"/>
      </w:pPr>
    </w:p>
    <w:p w14:paraId="0559119D" w14:textId="77777777" w:rsidR="00C04533" w:rsidRDefault="00C04533" w:rsidP="00C04533">
      <w:pPr>
        <w:pStyle w:val="TextoNormalNegritaCentrado"/>
        <w:keepNext/>
      </w:pPr>
      <w:r>
        <w:t>II. Fundamentos jurídicos</w:t>
      </w:r>
    </w:p>
    <w:p w14:paraId="5EDEAC9A" w14:textId="1F907EB1" w:rsidR="00C04533" w:rsidRDefault="00C04533" w:rsidP="00C04533">
      <w:pPr>
        <w:pStyle w:val="TextoNormalNegritaCentrado"/>
        <w:keepNext/>
      </w:pPr>
    </w:p>
    <w:p w14:paraId="31FBA036" w14:textId="77777777" w:rsidR="00C04533" w:rsidRDefault="00C04533" w:rsidP="00C04533">
      <w:pPr>
        <w:pStyle w:val="TextoNormal"/>
      </w:pPr>
      <w:r w:rsidRPr="00C04533">
        <w:rPr>
          <w:rStyle w:val="NumeroAFNegritaCaracter"/>
        </w:rPr>
        <w:t>1</w:t>
      </w:r>
      <w:r>
        <w:t>. El objeto de esta resolución es determinar si procede mantener o levantar la suspensión de la vigencia de los preceptos legales impugnados en el presente recurso de inconstitucionalidad. Se trata de determinados incisos de la nueva redacción dada por el artículo único de la Ley de la Asamblea de Madrid 17/2023, de 27 de diciembre, a los artículos 13.3, 14.2 b), 23.1 f), 30.5 (en los concretos incisos recurridos de estos artículos) y 47 d) de la Ley 2/2016, de 29 de marzo, de identidad y expresión de género e igualdad social y no discriminación de la Comunidad de Madrid, que se encuentran suspendidos en su aplicación como consecuencia de la invocación del artículo 161.2 CE por el presidente del Gobierno en su escrito de interposición del recurso de inconstitucionalidad.</w:t>
      </w:r>
    </w:p>
    <w:p w14:paraId="6F9E1947" w14:textId="77777777" w:rsidR="00C04533" w:rsidRDefault="00C04533" w:rsidP="00C04533">
      <w:pPr>
        <w:pStyle w:val="TextoNormal"/>
      </w:pPr>
    </w:p>
    <w:p w14:paraId="7ACE6B21" w14:textId="77BA1E92" w:rsidR="00C04533" w:rsidRDefault="00C04533" w:rsidP="00C04533">
      <w:pPr>
        <w:pStyle w:val="TextoNormal"/>
      </w:pPr>
      <w:r>
        <w:t>Las representaciones procesales de la Asamblea de Madrid y del Gobierno de la Comunidad de Madrid han solicitado el levantamiento de la suspensión, mientras que el abogado del Estado se opone a esta pretensión, interesando el mantenimiento de la suspensión de parte de los preceptos legales impugnados, conforme ha quedado expresado en los antecedentes de la presente resolución.</w:t>
      </w:r>
    </w:p>
    <w:p w14:paraId="6D83DD4F" w14:textId="77777777" w:rsidR="00C04533" w:rsidRDefault="00C04533" w:rsidP="00C04533">
      <w:pPr>
        <w:pStyle w:val="TextoNormal"/>
      </w:pPr>
    </w:p>
    <w:p w14:paraId="14C124A9" w14:textId="77777777" w:rsidR="00C04533" w:rsidRDefault="00C04533" w:rsidP="00C04533">
      <w:pPr>
        <w:pStyle w:val="TextoNormal"/>
      </w:pPr>
      <w:r w:rsidRPr="00C04533">
        <w:rPr>
          <w:rStyle w:val="NumeroAFNegritaCaracter"/>
        </w:rPr>
        <w:t>2</w:t>
      </w:r>
      <w:r>
        <w:t>. Sobre este tipo de incidentes de suspensión existe una consolidada doctrina constitucional según la cual, para decidir si procede o no ratificar dentro del plazo de cinco meses que establece el artículo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w:t>
      </w:r>
    </w:p>
    <w:p w14:paraId="5CE205C2" w14:textId="77777777" w:rsidR="00C04533" w:rsidRDefault="00C04533" w:rsidP="00C04533">
      <w:pPr>
        <w:pStyle w:val="TextoNormal"/>
      </w:pPr>
    </w:p>
    <w:p w14:paraId="6800C2CB" w14:textId="77777777" w:rsidR="00C04533" w:rsidRDefault="00C04533" w:rsidP="00C04533">
      <w:pPr>
        <w:pStyle w:val="TextoNormal"/>
      </w:pPr>
      <w:r>
        <w:t>Igualmente se ha destacado reiteradamente en nuestra doctrina que esta valoración ha de efectuarse mediante el estricto examen de las situaciones de hecho creadas y al margen de la viabilidad de las pretensiones que se formulen en la demanda, de suerte que la decisión sobre el mantenimiento o el levantamiento de la suspensión de la vigencia de las disposiciones impugnadas se debe desvincular plenamente de la decisión sobre la cuestión de fondo, que deberá ventilarse mediante sentencia (por todos, AATC 12/2006, de 17 de enero, FJ 5; 18/2007, de 18 de enero, FJ 5, y 11/2018, de 7 de febrero, FJ 3). Además, el mantenimiento de la suspensión requiere que el Gobierno de la Nación, a quien se debe la iniciativa (arts. 161.2 CE y 30 LOTC), no solo invoque la existencia de aquellos perjuicios, sino que demuestre o, al menos, razone consistentemente su procedencia y la imposible o difícil reparación de los mismos, pues debe partirse en principio de la presunción de constitucionalidad de las normas legales objeto de recurso, en cuanto expresión de la voluntad popular (entre otros muchos, AATC 355/2007, de 24 de julio, FJ 2; 225/2009, de 27 de julio, FJ 2; 44/2011, de 12 de abril, FJ 2; 86/2012, de 8 de mayo, FJ 2; 122/2015, de 7 de julio, FJ 2; 171/2016, de 6 de octubre, FJ 2; 63/2017, de 25 de abril, FJ 2, y 74/2021, de 20 de julio, FJ 2).</w:t>
      </w:r>
    </w:p>
    <w:p w14:paraId="5F9D649D" w14:textId="77777777" w:rsidR="00C04533" w:rsidRDefault="00C04533" w:rsidP="00C04533">
      <w:pPr>
        <w:pStyle w:val="TextoNormal"/>
      </w:pPr>
    </w:p>
    <w:p w14:paraId="7E0B9D0A" w14:textId="77777777" w:rsidR="00C04533" w:rsidRDefault="00C04533" w:rsidP="00C04533">
      <w:pPr>
        <w:pStyle w:val="TextoNormal"/>
      </w:pPr>
      <w:r>
        <w:t xml:space="preserve">Existen supuestos en los que, por excepción, este tribunal ha admitido que —al margen de la valoración de los perjuicios causados por la vigencia de la disposición impugnada— el mantenimiento de la suspensión se pueda acordar con arreglo a otros criterios o consideraciones; uno de esos criterios excepcionales es el del </w:t>
      </w:r>
      <w:r w:rsidRPr="00C04533">
        <w:rPr>
          <w:i/>
        </w:rPr>
        <w:t>fumus boni iuris</w:t>
      </w:r>
      <w:r>
        <w:t>. Resulta aplicable esa excepción cuando los preceptos impugnados sobre los que versa el incidente de suspensión contienen previsiones muy similares a otras normas ya declaradas inconstitucionales y nulas por sentencia del Tribunal (ATC 56/2020, de 17 de junio, FJ 4, por todos). Otro de los supuestos excepcionales concurre cuando se produce un bloqueo de competencias estatales (así, AATC 336/2005, de 15 de septiembre, FJ 5; 104/2010, de 28 de julio, FJ 5, y 146/2013, de 5 de junio, FJ 4). Asimismo, en supuestos en los que se suscitan cuestiones de gran relieve constitucional, este tribunal ha declarado que procede el mantenimiento de la suspensión de determinadas disposiciones (este fue el caso del ATC 156/2013, de 11 de julio, y el de los AATC 182/2015 y 186/2015, de 3 de noviembre, por todos).</w:t>
      </w:r>
    </w:p>
    <w:p w14:paraId="448E7D43" w14:textId="77777777" w:rsidR="00C04533" w:rsidRDefault="00C04533" w:rsidP="00C04533">
      <w:pPr>
        <w:pStyle w:val="TextoNormal"/>
      </w:pPr>
    </w:p>
    <w:p w14:paraId="58F8FD49" w14:textId="3B616233" w:rsidR="00C04533" w:rsidRDefault="00C04533" w:rsidP="00C04533">
      <w:pPr>
        <w:pStyle w:val="TextoNormal"/>
      </w:pPr>
      <w:r>
        <w:t>No aprecia este tribunal que concurra ninguno de estos supuestos excepcionales en el presente caso, de suerte que la cuestión debe abordarse partiendo de las razones esgrimidas por el abogado del Estado en favor de mantener la suspensión de los concretos preceptos impugnados a los que se refiere en su escrito de alegaciones. Conviene advertir que a ese escrito se adjunta un informe emitido por la Secretaría General Técnica del Ministerio de Igualdad el 22 de enero de 2024 (esto es, antes de la interposición del presente recurso de inconstitucionalidad), al que se remite el abogado del Estado. Dicho informe se extiende en consideraciones sobre los motivos de inconstitucionalidad en que incurriría la Ley de la Asamblea de Madrid 17/2023, de 27 de diciembre, por la que se modifica la Ley 2/2016, de 29 de marzo, de identidad y expresión de género e igualdad social y no discriminación, por vulneración de las competencias estatales.</w:t>
      </w:r>
    </w:p>
    <w:p w14:paraId="1F2A7EA9" w14:textId="77777777" w:rsidR="00C04533" w:rsidRDefault="00C04533" w:rsidP="00C04533">
      <w:pPr>
        <w:pStyle w:val="TextoNormal"/>
      </w:pPr>
    </w:p>
    <w:p w14:paraId="1FC0E630" w14:textId="77777777" w:rsidR="00C04533" w:rsidRDefault="00C04533" w:rsidP="00C04533">
      <w:pPr>
        <w:pStyle w:val="TextoNormal"/>
      </w:pPr>
      <w:r w:rsidRPr="00C04533">
        <w:rPr>
          <w:rStyle w:val="NumeroAFNegritaCaracter"/>
        </w:rPr>
        <w:t>3</w:t>
      </w:r>
      <w:r>
        <w:t>. Hechas las precisiones que anteceden, debe señalarse en primer lugar que, como ya se ha dicho, el abogado del Estado no solicita el mantenimiento de la suspensión de algunos de los preceptos impugnados en el presente recurso de inconstitucionalidad.</w:t>
      </w:r>
    </w:p>
    <w:p w14:paraId="5B19436C" w14:textId="77777777" w:rsidR="00C04533" w:rsidRDefault="00C04533" w:rsidP="00C04533">
      <w:pPr>
        <w:pStyle w:val="TextoNormal"/>
      </w:pPr>
    </w:p>
    <w:p w14:paraId="4FB2052A" w14:textId="77777777" w:rsidR="00C04533" w:rsidRDefault="00C04533" w:rsidP="00C04533">
      <w:pPr>
        <w:pStyle w:val="TextoNormal"/>
      </w:pPr>
      <w:r>
        <w:t>En concreto, no interesa que mantengamos la suspensión del inciso “sin que el asesoramiento psicológico o, en su caso, la evaluación psiquiátrica del personal sanitario pueda considerarse discriminatoria ni contraria a la libertad de la persona evaluada sino, por el contrario, informadora de la misma con base científica y garantías médicas, para que pueda ejercerse dicha libertad con pleno conocimiento de causa, siempre buscando el bienestar de la persona transexual”, del artículo 13.3 de la Ley 2/2016, en la redacción dada por el apartado 11 del artículo único de la Ley 17/2023. Tampoco del inciso “[p]ara iniciar el tratamiento farmacológico será requisito necesario que previamente reciban apoyo de los profesionales de salud mental infanto-juvenil, mantenido durante todo el proceso”, del segundo párrafo del artículo 14.2 b) de la Ley 2/2016, en la redacción dada por el apartado 12 del artículo único de la Ley 17/2023.</w:t>
      </w:r>
    </w:p>
    <w:p w14:paraId="04A946DE" w14:textId="77777777" w:rsidR="00C04533" w:rsidRDefault="00C04533" w:rsidP="00C04533">
      <w:pPr>
        <w:pStyle w:val="TextoNormal"/>
      </w:pPr>
    </w:p>
    <w:p w14:paraId="629703A8" w14:textId="77777777" w:rsidR="00C04533" w:rsidRDefault="00C04533" w:rsidP="00C04533">
      <w:pPr>
        <w:pStyle w:val="TextoNormal"/>
      </w:pPr>
      <w:r>
        <w:t>Por consiguiente, resulta procedente alzar la suspensión que pesa sobre ambos incisos de dichos artículos, respecto de los cuales el abogado del Estado no ha interesado el mantenimiento de la suspensión (ATC 36/2018, de 21 de marzo, FJ 1).</w:t>
      </w:r>
    </w:p>
    <w:p w14:paraId="4117D542" w14:textId="77777777" w:rsidR="00C04533" w:rsidRDefault="00C04533" w:rsidP="00C04533">
      <w:pPr>
        <w:pStyle w:val="TextoNormal"/>
      </w:pPr>
    </w:p>
    <w:p w14:paraId="7664F742" w14:textId="041891BA" w:rsidR="00C04533" w:rsidRDefault="00C04533" w:rsidP="00C04533">
      <w:pPr>
        <w:pStyle w:val="TextoNormal"/>
      </w:pPr>
      <w:r>
        <w:t>Para el resto de los preceptos impugnados la abogacía del Estado sí interesa el mantenimiento de la suspensión, por las escuetas razones indicadas en su escrito de alegaciones. Se trata, en concreto, del inciso “y en el caso de que existiera comorbilidad será imprescindible un informe favorable del profesional que esté tratando al menor en dichas patologías” del párrafo segundo del artículo 14.2 b) de la Ley 2/2016; del inciso “especialmente de las chicas” del artículo 23.1 f) de la Ley 2/2016; del inciso “especialmente de las niñas y mujeres” del artículo 30.5 de la Ley 2/2016 y de la letra d) del artículo 47 de la Ley 2/2016. Todos estos preceptos en la redacción dada por el artículo único de la Ley 17/2023.</w:t>
      </w:r>
    </w:p>
    <w:p w14:paraId="06820EB8" w14:textId="77777777" w:rsidR="00C04533" w:rsidRDefault="00C04533" w:rsidP="00C04533">
      <w:pPr>
        <w:pStyle w:val="TextoNormal"/>
      </w:pPr>
    </w:p>
    <w:p w14:paraId="17CFF646" w14:textId="77777777" w:rsidR="00C04533" w:rsidRDefault="00C04533" w:rsidP="00C04533">
      <w:pPr>
        <w:pStyle w:val="TextoNormal"/>
      </w:pPr>
      <w:r w:rsidRPr="00C04533">
        <w:rPr>
          <w:rStyle w:val="NumeroAFNegritaCaracter"/>
        </w:rPr>
        <w:t>4</w:t>
      </w:r>
      <w:r>
        <w:t>. Así pues, debemos dirigir nuestro análisis a la ponderación de los graves perjuicios irreparables o de difícil reparación para el interés general y para los particulares afectados que, según el abogado del Estado, habrían de producirse si se decretase el alzamiento de la suspensión de los preceptos impugnados a los que se contrae su pretensión de mantenimiento de la suspensión, según lo antes precisado. Dicho de otro modo, de lo que ahora se trata es de dilucidar si los perjuicios que han sido alegados por la abogacía del Estado en este incidente tienen la gravedad y consistencia necesarias como para prevalecer sobre la presunción de legitimidad de la ley autonómica recurrida, en el bien entendido de que entre tales perjuicios no se encuentran los eventualmente derivados de la posible confluencia de regulaciones diversas durante la pendencia del recurso de inconstitucionalidad, la estatal y la autonómica, pues ello resulta consustancial al funcionamiento del Estado de las autonomías y a la coexistencia del ordenamiento estatal con los ordenamientos autonómicos, como tiene reiteradamente declarado la doctrina constitucional. Estos perjuicios, en suma, se derivan de cualquier impugnación y no justifican el mantenimiento de la suspensión de los preceptos impugnados (AATC 398/2005, de 8 de noviembre, FJ 6; 303/2006, de 12 de septiembre, FJ 5; 18/2017, de 31 de enero, FJ 3; 36/2018, de 21 de marzo, FJ 3, y 21/2022, de 26 de enero, FJ 4, por todos).</w:t>
      </w:r>
    </w:p>
    <w:p w14:paraId="29E41D78" w14:textId="77777777" w:rsidR="00C04533" w:rsidRDefault="00C04533" w:rsidP="00C04533">
      <w:pPr>
        <w:pStyle w:val="TextoNormal"/>
      </w:pPr>
    </w:p>
    <w:p w14:paraId="136A8FB8" w14:textId="77777777" w:rsidR="00C04533" w:rsidRDefault="00C04533" w:rsidP="00C04533">
      <w:pPr>
        <w:pStyle w:val="TextoNormal"/>
      </w:pPr>
      <w:r>
        <w:t>Como se ha visto, el abogado del Estado sostiene que el levantamiento de la suspensión de esos preceptos perjudicaría gravemente los intereses de los ciudadanos afectados y por lo tanto también el interés general. Ello porque la ley impugnada establece una serie de requisitos o condicionamientos de actuación de cara a una operación de cambio de sexo (la previa observación de un tiempo para reflexionar y en su caso cambiar o revertir la decisión del interesado; la necesidad de una autorización y acompañamiento médico en determinadas fases cuando se trate de menores de edad; y la necesidad de autorización médica para el tratamiento hormonal) que inciden en la voluntad de la persona que accede al procedimiento de variación, y resultan por ello constrictores de la libertad de autodeterminación subjetiva de la persona y de su toma de decisiones personales.</w:t>
      </w:r>
    </w:p>
    <w:p w14:paraId="0F0E0872" w14:textId="77777777" w:rsidR="00C04533" w:rsidRDefault="00C04533" w:rsidP="00C04533">
      <w:pPr>
        <w:pStyle w:val="TextoNormal"/>
      </w:pPr>
    </w:p>
    <w:p w14:paraId="0061721F" w14:textId="77777777" w:rsidR="00C04533" w:rsidRDefault="00C04533" w:rsidP="00C04533">
      <w:pPr>
        <w:pStyle w:val="TextoNormal"/>
      </w:pPr>
      <w:r>
        <w:t>Pues bien, de lo expuesto resulta que las alegaciones del abogado del Estado para justificar el mantenimiento de la suspensión solo serían aplicables (y no enteramente) a la previsión contenida en el impugnado segundo párrafo del artículo 14.2 b) de la Ley 2/2016, en la redacción dada por el artículo único de la Ley 17/2023, precepto del que, como se ha visto, solo interesa aquel el mantenimiento de la suspensión de su inciso final (“y en el caso de que existiera comorbilidad será imprescindible un informe favorable del profesional que esté tratando al menor en dichas patologías”).</w:t>
      </w:r>
    </w:p>
    <w:p w14:paraId="5069105E" w14:textId="77777777" w:rsidR="00C04533" w:rsidRDefault="00C04533" w:rsidP="00C04533">
      <w:pPr>
        <w:pStyle w:val="TextoNormal"/>
      </w:pPr>
    </w:p>
    <w:p w14:paraId="1E5E343C" w14:textId="77777777" w:rsidR="00C04533" w:rsidRDefault="00C04533" w:rsidP="00C04533">
      <w:pPr>
        <w:pStyle w:val="TextoNormal"/>
      </w:pPr>
      <w:r>
        <w:t>Nada se razona por la abogacía del Estado acerca de los incisos “especialmente de las chicas” y “especialmente de las niñas y mujeres” de la nueva redacción de los artículos 23.1 f) y 30.5, respectivamente, de la Ley 2/2016 (referidos a los protocolos de atención educativa y a las medidas de apoyo en los espacios y equipamientos identificados en función del sexo) y tampoco respecto de la nueva redacción de la letra d) del artículo 47 de la Ley 2/2016 (privación de la condición de interesado de las asociaciones defensoras de los derechos de los colectivos de personas transexuales en los procesos penales y procedimientos administrativos sancionadores), pese a que solicita el mantenimiento de la suspensión de dichos preceptos.</w:t>
      </w:r>
    </w:p>
    <w:p w14:paraId="5B90A4FA" w14:textId="77777777" w:rsidR="00C04533" w:rsidRDefault="00C04533" w:rsidP="00C04533">
      <w:pPr>
        <w:pStyle w:val="TextoNormal"/>
      </w:pPr>
    </w:p>
    <w:p w14:paraId="04AE71AE" w14:textId="3B17205E" w:rsidR="00C04533" w:rsidRDefault="00C04533" w:rsidP="00C04533">
      <w:pPr>
        <w:pStyle w:val="TextoNormal"/>
      </w:pPr>
      <w:r>
        <w:t>En consecuencia, procede levantar la suspensión de la aplicación y vigencia de los incisos “especialmente de las chicas” y “especialmente de las niñas y mujeres” de los artículos 23.1 f) y 30.5 de la Ley 2/2016, respectivamente, así como de la letra d) del artículo 47 de la Ley de la Asamblea de Madrid 2/2016, en la redacción dada por la Ley 17/2023, toda vez que, como de manera reiterada viene señalando la doctrina constitucional, el mantenimiento de la suspensión de la norma legal impugnada requiere que el abogado del Estado, en representación del Gobierno, a quien se debe la iniciativa, no solo invoque la existencia de los perjuicios de imposible o difícil reparación que podrían derivarse del levantamiento de la suspensión, sino que es también necesario que demuestre o, al menos, razone consistentemente la concurrencia de tales perjuicios y la imposibilidad o la dificultad de su reparación (AATC 240/2004, de 29 de junio, FJ 2; 336/2005, de 15 de septiembre, FJ 2; 105/2010, de 29 de julio, FJ 2; 11/2018, de 7 de febrero, FJ 3, y 36/2018, de 21 de marzo, FJ 2, por todos).</w:t>
      </w:r>
    </w:p>
    <w:p w14:paraId="4C23A43C" w14:textId="77777777" w:rsidR="00C04533" w:rsidRDefault="00C04533" w:rsidP="00C04533">
      <w:pPr>
        <w:pStyle w:val="TextoNormal"/>
      </w:pPr>
    </w:p>
    <w:p w14:paraId="1E46D177" w14:textId="77777777" w:rsidR="00C04533" w:rsidRDefault="00C04533" w:rsidP="00C04533">
      <w:pPr>
        <w:pStyle w:val="TextoNormal"/>
      </w:pPr>
      <w:r w:rsidRPr="00C04533">
        <w:rPr>
          <w:rStyle w:val="NumeroAFNegritaCaracter"/>
        </w:rPr>
        <w:t>5</w:t>
      </w:r>
      <w:r>
        <w:t>. Hemos de examinar finalmente si procede, como solicita la abogacía del Estado, mantener la suspensión de la vigencia y aplicación del inciso final del segundo párrafo del artículo 14.2 b) de la Ley 2/2016, en la redacción dada por el artículo único de la Ley 17/2023, (“y en el caso de que existiera comorbilidad será imprescindible un informe favorable del profesional que esté tratando al menor en dichas patologías”), precepto que se impugna porque, según el recurso, invade las competencias estatales del artículo 149.1.1 y 16 CE y vulnera la dignidad humana (art. 10.1 CE) de las personas transexuales.</w:t>
      </w:r>
    </w:p>
    <w:p w14:paraId="7F5598DF" w14:textId="77777777" w:rsidR="00C04533" w:rsidRDefault="00C04533" w:rsidP="00C04533">
      <w:pPr>
        <w:pStyle w:val="TextoNormal"/>
      </w:pPr>
    </w:p>
    <w:p w14:paraId="32E8FBCE" w14:textId="77777777" w:rsidR="00C04533" w:rsidRDefault="00C04533" w:rsidP="00C04533">
      <w:pPr>
        <w:pStyle w:val="TextoNormal"/>
      </w:pPr>
      <w:r>
        <w:t>Según se desprende de las alegaciones del abogado del Estado, la exigencia de la norma autonómica, en caso de comorbilidad, de un informe favorable del facultativo que estuviere tratando al menor transexual, para iniciar el tratamiento hormonal cruzado, restringe la libertad de autodeterminación subjetiva de la persona y de su toma de decisiones personales en el procedimiento de variación, que el legislador estatal ha querido favorecer (Ley 4/2023, de 28 de febrero, para la igualdad real y efectiva de las personas trans y para la garantía de los derechos de las personas LGTBI), con la consecuencia, si se aplica la norma autonómica, de que los menores en la Comunidad de Madrid no podrán acceder a sus pretensiones de cambio de sexo, o lo harán con mayor dificultad que en otros territorios del Estado en los que no existe ese requisito o condicionamiento.</w:t>
      </w:r>
    </w:p>
    <w:p w14:paraId="32111D82" w14:textId="77777777" w:rsidR="00C04533" w:rsidRDefault="00C04533" w:rsidP="00C04533">
      <w:pPr>
        <w:pStyle w:val="TextoNormal"/>
      </w:pPr>
    </w:p>
    <w:p w14:paraId="0E266BC7" w14:textId="77777777" w:rsidR="00C04533" w:rsidRDefault="00C04533" w:rsidP="00C04533">
      <w:pPr>
        <w:pStyle w:val="TextoNormal"/>
      </w:pPr>
      <w:r>
        <w:t>A la vista de estas alegaciones, procede señalar que este tribunal aprecia que se ha acreditado por la abogacía del Estado, o al menos razonado convincentemente, que el alzamiento de la suspensión podría deparar perjuicios de imposible o difícil reparación para los intereses de los particulares afectados por la aplicación del precepto impugnado.</w:t>
      </w:r>
    </w:p>
    <w:p w14:paraId="1AB40683" w14:textId="77777777" w:rsidR="00C04533" w:rsidRDefault="00C04533" w:rsidP="00C04533">
      <w:pPr>
        <w:pStyle w:val="TextoNormal"/>
      </w:pPr>
    </w:p>
    <w:p w14:paraId="7775CA16" w14:textId="77777777" w:rsidR="00C04533" w:rsidRDefault="00C04533" w:rsidP="00C04533">
      <w:pPr>
        <w:pStyle w:val="TextoNormal"/>
      </w:pPr>
      <w:r>
        <w:t>En efecto, debe recordarse que no es la primera vez que este tribunal acuerda mantener la suspensión de la vigencia de una norma autonómica ante la posibilidad de que su aplicación pudiera poner en riesgo la efectividad de los derechos fundamentales de las personas afectadas por esa norma, con el fin de evitar situaciones de confusión y perjuicios de difícil reparación que podrían eventualmente surgir en relación con las medidas adoptadas o situaciones creadas al amparo de la vigencia recobrada del precepto; así, en los AATC 90/2016, de 26 de abril, FJ 6; 130/2017, de 3 de octubre, FJ 5, y 445/2023, de 27 de septiembre. En estas decisiones, la potencial afectación a derechos fundamentales determinó que el Tribunal apreciara la existencia de “perjuicios especialmente acusados en el caso de que se aplicara y en su día mereciera un juicio de inconstitucionalidad y fuera, por tanto, objeto de una declaración de nulidad”.</w:t>
      </w:r>
    </w:p>
    <w:p w14:paraId="4FA6CB5C" w14:textId="77777777" w:rsidR="00C04533" w:rsidRDefault="00C04533" w:rsidP="00C04533">
      <w:pPr>
        <w:pStyle w:val="TextoNormal"/>
      </w:pPr>
    </w:p>
    <w:p w14:paraId="474D1BAC" w14:textId="77777777" w:rsidR="00C04533" w:rsidRDefault="00C04533" w:rsidP="00C04533">
      <w:pPr>
        <w:pStyle w:val="TextoNormal"/>
      </w:pPr>
      <w:r>
        <w:t>Esa misma situación de riesgo de afectación a derechos fundamentales concurre aquí. El inciso final del segundo párrafo del artículo 14.2 b) de la Ley 2/2016, en la redacción dada por el artículo único de la Ley 17/2023, afecta a la libertad de autodeterminación subjetiva del menor transexual y de su toma de decisiones personales en el procedimiento de transición, que el legislador estatal ha querido favorecer, de suerte que la aplicación de la norma autonómica impugnada depararía una diferencia de trato en perjuicio de los menores transexuales en la Comunidad de Madrid.</w:t>
      </w:r>
    </w:p>
    <w:p w14:paraId="41BF304C" w14:textId="77777777" w:rsidR="00C04533" w:rsidRDefault="00C04533" w:rsidP="00C04533">
      <w:pPr>
        <w:pStyle w:val="TextoNormal"/>
      </w:pPr>
    </w:p>
    <w:p w14:paraId="23B87244" w14:textId="77777777" w:rsidR="00C04533" w:rsidRDefault="00C04533" w:rsidP="00C04533">
      <w:pPr>
        <w:pStyle w:val="TextoNormal"/>
      </w:pPr>
      <w:r>
        <w:t>De otro lado, de las alegaciones formuladas por la Asamblea y la Comunidad de Madrid, que han quedado expuestas en los antecedentes de la presente resolución, no se desprenden razones que, más allá de la presunción de constitucionalidad de la ley y la consiguiente excepcionalidad de su suspensión —punto de partida de este tipo de incidentes en todo caso—, se opongan en este específico supuesto al mantenimiento de la suspensión inicialmente acordada.</w:t>
      </w:r>
    </w:p>
    <w:p w14:paraId="231A7421" w14:textId="77777777" w:rsidR="00C04533" w:rsidRDefault="00C04533" w:rsidP="00C04533">
      <w:pPr>
        <w:pStyle w:val="TextoNormal"/>
      </w:pPr>
    </w:p>
    <w:p w14:paraId="2652CF3B" w14:textId="23161E19" w:rsidR="00C04533" w:rsidRDefault="00C04533" w:rsidP="00C04533">
      <w:pPr>
        <w:pStyle w:val="TextoNormal"/>
      </w:pPr>
      <w:r>
        <w:t>Consecuentemente, procede reiterar el criterio que ya adoptamos en el citado ATC 90/2016, FJ 6, en el sentido de que “el carácter de las disposiciones impugnadas y los efectos jurídicos de las mismas, aconsejan como más conveniente para los intereses generales una vez ponderados todos los elementos en presencia, mantener la suspensión acordada en su día hasta tanto se resuelva de manera definitiva el problema planteado, pues la inmediata eficacia de algunos de los preceptos inicialmente suspendidos supondría unas consecuencias materiales, que dada su especial trascendencia para […] los derechos fundamentales de los afectados […] no deben producirse en una situación de interinidad”.</w:t>
      </w:r>
    </w:p>
    <w:p w14:paraId="2573E1A3" w14:textId="77777777" w:rsidR="00C04533" w:rsidRDefault="00C04533" w:rsidP="00C04533">
      <w:pPr>
        <w:pStyle w:val="TextoNormal"/>
      </w:pPr>
    </w:p>
    <w:p w14:paraId="3B5A637D" w14:textId="77777777" w:rsidR="00C04533" w:rsidRDefault="00C04533" w:rsidP="00C04533">
      <w:pPr>
        <w:pStyle w:val="TextoNormal"/>
      </w:pPr>
      <w:r>
        <w:t>Por lo expuesto, el Pleno</w:t>
      </w:r>
    </w:p>
    <w:p w14:paraId="52A9F0DD" w14:textId="5C8A292C" w:rsidR="00C04533" w:rsidRDefault="00C04533" w:rsidP="00C04533">
      <w:pPr>
        <w:pStyle w:val="TextoNormal"/>
      </w:pPr>
    </w:p>
    <w:p w14:paraId="5E82CCF4" w14:textId="77777777" w:rsidR="00C04533" w:rsidRDefault="00C04533" w:rsidP="00C04533">
      <w:pPr>
        <w:pStyle w:val="TextoNormalCentrado"/>
      </w:pPr>
      <w:r>
        <w:t>ACUERDA</w:t>
      </w:r>
    </w:p>
    <w:p w14:paraId="5A124352" w14:textId="09AD7589" w:rsidR="00C04533" w:rsidRDefault="00C04533" w:rsidP="00C04533">
      <w:pPr>
        <w:pStyle w:val="TextoNormalCentrado"/>
      </w:pPr>
    </w:p>
    <w:p w14:paraId="0BE8B16E" w14:textId="77777777" w:rsidR="00C04533" w:rsidRDefault="00C04533" w:rsidP="00C04533">
      <w:pPr>
        <w:pStyle w:val="TextoNormal"/>
      </w:pPr>
      <w:r>
        <w:t>1º Mantener la suspensión del inciso final del segundo párrafo del artículo 14.2 b) de la Ley de la Asamblea de Madrid 2/2016, de 29 de marzo, de identidad y expresión de género e igualdad social y no discriminación, en la redacción dada por el artículo único de la Ley de la Asamblea de Madrid 17/2023, de 27 de diciembre, que establece: “y en el caso de que existiera comorbilidad será imprescindible un informe favorable del profesional que esté tratando al menor en dichas patologías”.</w:t>
      </w:r>
    </w:p>
    <w:p w14:paraId="7D25C573" w14:textId="77777777" w:rsidR="00C04533" w:rsidRDefault="00C04533" w:rsidP="00C04533">
      <w:pPr>
        <w:pStyle w:val="TextoNormal"/>
      </w:pPr>
    </w:p>
    <w:p w14:paraId="3848F26B" w14:textId="13673B28" w:rsidR="00C04533" w:rsidRDefault="00C04533" w:rsidP="00C04533">
      <w:pPr>
        <w:pStyle w:val="TextoNormal"/>
      </w:pPr>
      <w:r>
        <w:t>2º Levantar la suspensión del resto de los preceptos impugnados en este recurso de inconstitucionalidad.</w:t>
      </w:r>
    </w:p>
    <w:p w14:paraId="2F3EF722" w14:textId="77777777" w:rsidR="00C04533" w:rsidRDefault="00C04533" w:rsidP="00C04533">
      <w:pPr>
        <w:pStyle w:val="TextoNormal"/>
      </w:pPr>
    </w:p>
    <w:p w14:paraId="6C3FEC0B" w14:textId="77777777" w:rsidR="00C04533" w:rsidRDefault="00C04533" w:rsidP="00C04533">
      <w:pPr>
        <w:pStyle w:val="TextoNormal"/>
      </w:pPr>
      <w:r>
        <w:t>Madrid, a diecinueve de noviembre de dos mil veinticuatro.</w:t>
      </w:r>
    </w:p>
    <w:p w14:paraId="751FA733" w14:textId="5A5E3C66" w:rsidR="00C04533" w:rsidRDefault="00C04533" w:rsidP="00C04533">
      <w:pPr>
        <w:pStyle w:val="ParrafoNormal"/>
      </w:pPr>
    </w:p>
    <w:p w14:paraId="77B49D7B" w14:textId="77777777" w:rsidR="00C04533" w:rsidRDefault="00C04533" w:rsidP="00C04533">
      <w:pPr>
        <w:pStyle w:val="TextoNormalNegritaCentrado"/>
        <w:keepNext/>
      </w:pPr>
      <w:r>
        <w:t>Voto particular que formulan los magistrados don Ricardo Enríquez Sancho, don Enrique Arnaldo Alcubilla, doña Concepción Espejel Jorquera y don José María Macías Castaño al auto dictado por el Pleno del Tribunal en el recurso de inconstitucionalidad núm. 4925-2024</w:t>
      </w:r>
    </w:p>
    <w:p w14:paraId="04E76282" w14:textId="075C36F2" w:rsidR="00C04533" w:rsidRDefault="00C04533" w:rsidP="00C04533">
      <w:pPr>
        <w:pStyle w:val="TextoNormalNegritaCentrado"/>
        <w:keepNext/>
      </w:pPr>
    </w:p>
    <w:p w14:paraId="51C51B10" w14:textId="77777777" w:rsidR="00C04533" w:rsidRDefault="00C04533" w:rsidP="00C04533">
      <w:pPr>
        <w:pStyle w:val="TextoNormal"/>
      </w:pPr>
      <w:r>
        <w:t>En ejercicio de la facultad que nos confiere el art. 90.2 de la Ley Orgánica del Tribunal Constitucional y con respeto a la opinión de la mayoría reflejada en el auto por el que se acuerda el mantenimiento de la suspensión del inciso final del segundo párrafo del art. 14.2 b) de la Ley de la Asamblea de Madrid 2/2016, de 29 de marzo, de identidad y expresión de género e igualdad social y no discriminación, en la redacción dada por el artículo único de la Ley 17/2023, de 27 de diciembre, formulamos el presente voto particular, dejando constancia de los fundamentos de nuestra posición parcialmente discrepante con el fallo y con los razonamientos que lo sustentan, de acuerdo con los argumentos defendidos en la deliberación del Pleno y que expresamos a continuación.</w:t>
      </w:r>
    </w:p>
    <w:p w14:paraId="12223E2D" w14:textId="77777777" w:rsidR="00C04533" w:rsidRDefault="00C04533" w:rsidP="00C04533">
      <w:pPr>
        <w:pStyle w:val="TextoNormal"/>
      </w:pPr>
    </w:p>
    <w:p w14:paraId="1EBA597F" w14:textId="77777777" w:rsidR="00C04533" w:rsidRDefault="00C04533" w:rsidP="00C04533">
      <w:pPr>
        <w:pStyle w:val="TextoNormal"/>
      </w:pPr>
      <w:r>
        <w:t>1. Como es de sobra conocido la suspensión prevista por el art. 161.2 CE se ha configurado como una potestad del Gobierno estrictamente tasada a los supuestos expresamente previstos por la Ley Orgánica del Tribunal Constitucional y de carácter excepcional. La razón de la excepcionalidad no es otra que la presunción de legitimidad de la que se benefician las normas que emanan de poderes legítimos, como es el caso de los parlamentos autonómicos. Presunción que, si bien puede ser cuestionada por aquellos legitimados para interponer el recurso de inconstitucionalidad, entre los que está el presidente del Gobierno, obliga a considerar como excepcional la posibilidad de suspender su vigencia y aplicación. De este modo, la admisión a trámite de un recurso de inconstitucionalidad interpuesto por el presidente del Gobierno contra una ley o norma con rango de ley de una comunidad autónoma únicamente producirá la suspensión automática de la vigencia o aplicación de dicha norma autonómica cuando en la demanda se hubiere solicitado expresamente la suspensión, con invocación expresa del art. 161.2 CE, en relación con el art. 30 LOTC.</w:t>
      </w:r>
    </w:p>
    <w:p w14:paraId="47975B84" w14:textId="77777777" w:rsidR="00C04533" w:rsidRDefault="00C04533" w:rsidP="00C04533">
      <w:pPr>
        <w:pStyle w:val="TextoNormal"/>
      </w:pPr>
    </w:p>
    <w:p w14:paraId="3FF1C755" w14:textId="77777777" w:rsidR="00C04533" w:rsidRDefault="00C04533" w:rsidP="00C04533">
      <w:pPr>
        <w:pStyle w:val="TextoNormal"/>
      </w:pPr>
      <w:r>
        <w:t>Si dicha invocación se produce, el Tribunal deberá acordar la suspensión cuando adopte la decisión de admitir a trámite la impugnación, sin que, en ese momento procesal, pueda limitar los efectos de la suspensión solicitada o hacer valoración alguna acerca de su procedencia o improcedencia. Consecuencia de ese carácter automático que este mecanismo tiene en el momento de la interposición del recurso, conforme al diseño constitucional y de la Ley Orgánica del Tribunal Constitucional, es que la disputa que se traba en torno a esta medida de suspensión no es sobre la decisión inicial acerca de esa suspensión de la ley autonómica, que es debida para el Tribunal, sino respecto a la decisión acerca de su mantenimiento o levantamiento, decisión que el Tribunal debe adoptar antes de que transcurra el plazo de cinco meses al que alude el art. 161.2 CE.</w:t>
      </w:r>
    </w:p>
    <w:p w14:paraId="6DBA3E8A" w14:textId="77777777" w:rsidR="00C04533" w:rsidRDefault="00C04533" w:rsidP="00C04533">
      <w:pPr>
        <w:pStyle w:val="TextoNormal"/>
      </w:pPr>
    </w:p>
    <w:p w14:paraId="70EB02BA" w14:textId="77777777" w:rsidR="00C04533" w:rsidRDefault="00C04533" w:rsidP="00C04533">
      <w:pPr>
        <w:pStyle w:val="TextoNormal"/>
      </w:pPr>
      <w:r>
        <w:t>2. En materia de mantenimiento o levantamiento de la suspensión de leyes autonómicas es doctrina constitucional reiterada, recogida en el fundamento jurídico 2 del auto del que discrepamos, que lo que ha de ponderarse son,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En esa ponderación, que se debe desvincular plenamente de la decisión sobre la cuestión de fondo, es necesario que el Gobierno, a quien se debe la iniciativa, no solo invoque la existencia de aquellos perjuicios, sino que ha de demostrar o, al menos, razonar consistentemente su procedencia y la imposible o difícil reparación de los mismos, ya que el punto de partida de la ponderación propia de este incidente es la existencia de una presunción de constitucionalidad a favor de las normas o actos objeto de conflicto.</w:t>
      </w:r>
    </w:p>
    <w:p w14:paraId="31D40A67" w14:textId="77777777" w:rsidR="00C04533" w:rsidRDefault="00C04533" w:rsidP="00C04533">
      <w:pPr>
        <w:pStyle w:val="TextoNormal"/>
      </w:pPr>
    </w:p>
    <w:p w14:paraId="46524720" w14:textId="77777777" w:rsidR="00C04533" w:rsidRDefault="00C04533" w:rsidP="00C04533">
      <w:pPr>
        <w:pStyle w:val="TextoNormal"/>
      </w:pPr>
      <w:r>
        <w:t>En la práctica, dicha doctrina determina que lo que habrá de dilucidarse es si la hipótesis que formula aquel sobre el que pesa la carga de alegar, esto es, la representación procesal del Estado, respecto a la probabilidad de los perjuicios que ocasionaría la aplicación de la norma autonómica recurrida está lo suficientemente fundada. En caso contrario, lo que ha de prevalecer es la presunción de constitucionalidad de la norma que ha sido impugnada en el recurso de inconstitucionalidad.</w:t>
      </w:r>
    </w:p>
    <w:p w14:paraId="7BB72629" w14:textId="77777777" w:rsidR="00C04533" w:rsidRDefault="00C04533" w:rsidP="00C04533">
      <w:pPr>
        <w:pStyle w:val="TextoNormal"/>
      </w:pPr>
    </w:p>
    <w:p w14:paraId="39F40A41" w14:textId="77777777" w:rsidR="00C04533" w:rsidRDefault="00C04533" w:rsidP="00C04533">
      <w:pPr>
        <w:pStyle w:val="TextoNormal"/>
      </w:pPr>
      <w:r>
        <w:t>3. Compartimos el razonamiento del auto sobre el levantamiento de la suspensión respecto de todos aquellos preceptos que no han sido objeto de una específica solicitud de mantenimiento de la suspensión por parte del abogado del Estado, así como respecto de aquellos otros sobre los que nada se razona acerca de la necesidad de suspensión de su vigencia y aplicación.</w:t>
      </w:r>
    </w:p>
    <w:p w14:paraId="6D8D1664" w14:textId="77777777" w:rsidR="00C04533" w:rsidRDefault="00C04533" w:rsidP="00C04533">
      <w:pPr>
        <w:pStyle w:val="TextoNormal"/>
      </w:pPr>
    </w:p>
    <w:p w14:paraId="4F828CA8" w14:textId="77777777" w:rsidR="00C04533" w:rsidRDefault="00C04533" w:rsidP="00C04533">
      <w:pPr>
        <w:pStyle w:val="TextoNormal"/>
      </w:pPr>
      <w:r>
        <w:t>4. Por el contrario, discrepamos de la decisión de mantener la suspensión del inciso final del segundo párrafo del art. 14.2 b) de la Ley de la Asamblea de Madrid 2/2016, en la redacción dada por el artículo único de la Ley 17/2023 (“y en el caso de que existiera comorbilidad será imprescindible un informe favorable del profesional que esté tratando al menor en dichas patologías”).</w:t>
      </w:r>
    </w:p>
    <w:p w14:paraId="5FF2145B" w14:textId="77777777" w:rsidR="00C04533" w:rsidRDefault="00C04533" w:rsidP="00C04533">
      <w:pPr>
        <w:pStyle w:val="TextoNormal"/>
      </w:pPr>
    </w:p>
    <w:p w14:paraId="5FDE75C5" w14:textId="77777777" w:rsidR="00C04533" w:rsidRDefault="00C04533" w:rsidP="00C04533">
      <w:pPr>
        <w:pStyle w:val="TextoNormal"/>
      </w:pPr>
      <w:r>
        <w:t>En relación con dicho inciso resulta a nuestro juicio diáfano que la decisión mayoritaria no es consecuente con la doctrina constitucional que antes se ha citado pues, pese a afirmarla como supuesto punto de partida de su razonamiento, no ha quedado acreditado que la eficacia de la norma impugnada pueda causar perjuicios de imposible o difícil reparación.</w:t>
      </w:r>
    </w:p>
    <w:p w14:paraId="1101C351" w14:textId="77777777" w:rsidR="00C04533" w:rsidRDefault="00C04533" w:rsidP="00C04533">
      <w:pPr>
        <w:pStyle w:val="TextoNormal"/>
      </w:pPr>
    </w:p>
    <w:p w14:paraId="24B72616" w14:textId="77777777" w:rsidR="00C04533" w:rsidRDefault="00C04533" w:rsidP="00C04533">
      <w:pPr>
        <w:pStyle w:val="TextoNormal"/>
      </w:pPr>
      <w:r>
        <w:t>El auto viene a sostener, asumiendo como propia la única alegación del abogado del Estado, que el cuestionado inciso “afecta a la libertad de autodeterminación subjetiva del menor transexual y de su toma de decisiones personales en el procedimiento de transición, que el legislador estatal ha querido favorecer, de suerte que la aplicación de la norma autonómica impugnada depararía una diferencia de trato en perjuicio de los menores transexuales en la Comunidad de Madrid”. Previamente, el auto hace alusión a la aplicación de la doctrina constitucional relativa a la suspensión de la vigencia de una norma autonómica ante la posibilidad de que su aplicación pudiera poner en riesgo la efectividad de los derechos fundamentales de las personas afectadas por esa norma.</w:t>
      </w:r>
    </w:p>
    <w:p w14:paraId="3535DFAC" w14:textId="77777777" w:rsidR="00C04533" w:rsidRDefault="00C04533" w:rsidP="00C04533">
      <w:pPr>
        <w:pStyle w:val="TextoNormal"/>
      </w:pPr>
    </w:p>
    <w:p w14:paraId="1EFEF94A" w14:textId="77777777" w:rsidR="00C04533" w:rsidRDefault="00C04533" w:rsidP="00C04533">
      <w:pPr>
        <w:pStyle w:val="TextoNormal"/>
      </w:pPr>
      <w:r>
        <w:t>Ese modo de razonar es, en nuestra opinión, cuestionable, desde un doble punto de vista.</w:t>
      </w:r>
    </w:p>
    <w:p w14:paraId="557C8132" w14:textId="77777777" w:rsidR="00C04533" w:rsidRDefault="00C04533" w:rsidP="00C04533">
      <w:pPr>
        <w:pStyle w:val="TextoNormal"/>
      </w:pPr>
    </w:p>
    <w:p w14:paraId="472BF4AC" w14:textId="77777777" w:rsidR="00C04533" w:rsidRDefault="00C04533" w:rsidP="00C04533">
      <w:pPr>
        <w:pStyle w:val="TextoNormal"/>
      </w:pPr>
      <w:r>
        <w:t>(i) En primer lugar es claro que la alegación del abogado del Estado remite directamente al fondo del asunto discutido en el recurso. El hecho de que el legislador estatal excluya la exigencia de un informe médico favorable para que el menor pueda iniciar el tratamiento hormonal cruzado farmacológico para su transición no puede justificar el mantenimiento de la suspensión de la norma autonómica, pues entre los perjuicios a considerar en este incidente cautelar no se encuentran los derivados de la coexistencia de regulaciones diversas durante la pendencia del recurso de inconstitucionalidad, la estatal y la autonómica, pues ello resulta consustancial al funcionamiento del Estado de las autonomías.</w:t>
      </w:r>
    </w:p>
    <w:p w14:paraId="15E985EC" w14:textId="77777777" w:rsidR="00C04533" w:rsidRDefault="00C04533" w:rsidP="00C04533">
      <w:pPr>
        <w:pStyle w:val="TextoNormal"/>
      </w:pPr>
    </w:p>
    <w:p w14:paraId="347E2EAA" w14:textId="77777777" w:rsidR="00C04533" w:rsidRDefault="00C04533" w:rsidP="00C04533">
      <w:pPr>
        <w:pStyle w:val="TextoNormal"/>
      </w:pPr>
      <w:r>
        <w:t>En suma, la decisión que adopta el Tribunal no puede apoyarse en la tesis de que es preciso evitar la pluralidad de regímenes normativos allí donde hasta el momento solo haya habido una disciplina unitaria. Eso supone olvidar la diversidad regulatoria propia de nuestro modelo de Estado que produce la concurrencia de sistemas normativos, cuya convivencia ha de buscarse exclusivamente en la ordenación de sus respectivos ámbitos competenciales, que han delimitarse en la sentencia que, en su caso, ponga fin al proceso. Nunca en la resolución de este incidente cautelar que ha de huir de toda consideración sobre el fondo del asunto, lo que, como es evidente, no se ha hecho aquí.</w:t>
      </w:r>
    </w:p>
    <w:p w14:paraId="5916A801" w14:textId="77777777" w:rsidR="00C04533" w:rsidRDefault="00C04533" w:rsidP="00C04533">
      <w:pPr>
        <w:pStyle w:val="TextoNormal"/>
      </w:pPr>
    </w:p>
    <w:p w14:paraId="14414DE9" w14:textId="77777777" w:rsidR="00C04533" w:rsidRDefault="00C04533" w:rsidP="00C04533">
      <w:pPr>
        <w:pStyle w:val="TextoNormal"/>
      </w:pPr>
      <w:r>
        <w:t>(ii) Además, ese razonamiento introduce en la ponderación un elemento, la existencia de bienes jurídicos de carácter personal de difícil reparabilidad, que para nada había sido alegado por el abogado del Estado y que, sin embargo, el auto emplea en la ponderación que es propia de este incidente cautelar.</w:t>
      </w:r>
    </w:p>
    <w:p w14:paraId="1E2C83B6" w14:textId="77777777" w:rsidR="00C04533" w:rsidRDefault="00C04533" w:rsidP="00C04533">
      <w:pPr>
        <w:pStyle w:val="TextoNormal"/>
      </w:pPr>
    </w:p>
    <w:p w14:paraId="11168B44" w14:textId="77777777" w:rsidR="00C04533" w:rsidRDefault="00C04533" w:rsidP="00C04533">
      <w:pPr>
        <w:pStyle w:val="TextoNormal"/>
      </w:pPr>
      <w:r>
        <w:t>Con ello, de nuevo, el auto no es consecuente con la doctrina constitucional que dice aplicar. En efecto, este tribunal ha insistido reiteradamente en que sobre el abogado del Estado pesa la carga no solo de alegar sino también de acreditar la existencia de los perjuicios y la imposible o difícil reparación de estos y de justificar, en suma, que los perjuicios que se alegan tienen la gravedad y consistencia necesarias como para prevalecer sobre la presunción de constitucionalidad de los preceptos de la ley que se impugna. Y que, en defecto de lo anterior, ha de prevalecer la presunción de constitucionalidad de la ley autonómica en virtud de su origen, presunción que solamente la sentencia que ponga fin al proceso puede destruir.</w:t>
      </w:r>
    </w:p>
    <w:p w14:paraId="1EB6948E" w14:textId="77777777" w:rsidR="00C04533" w:rsidRDefault="00C04533" w:rsidP="00C04533">
      <w:pPr>
        <w:pStyle w:val="TextoNormal"/>
      </w:pPr>
    </w:p>
    <w:p w14:paraId="3327501A" w14:textId="77777777" w:rsidR="00C04533" w:rsidRDefault="00C04533" w:rsidP="00C04533">
      <w:pPr>
        <w:pStyle w:val="TextoNormal"/>
      </w:pPr>
      <w:r>
        <w:t>Pues bien, en este caso, la decisión del Pleno viene a suplir al escrito de alegaciones del abogado del Estado, que en modo alguno había cumplido con la carga argumentativa que le resultaba exigible para acreditar que el levantamiento de la suspensión iba a producir perjuicios de imposible o difícil reparación para los intereses de los particulares afectados por la aplicación del precepto impugnado.</w:t>
      </w:r>
    </w:p>
    <w:p w14:paraId="49A93565" w14:textId="77777777" w:rsidR="00C04533" w:rsidRDefault="00C04533" w:rsidP="00C04533">
      <w:pPr>
        <w:pStyle w:val="TextoNormal"/>
      </w:pPr>
    </w:p>
    <w:p w14:paraId="3B1DEABF" w14:textId="77777777" w:rsidR="00C04533" w:rsidRDefault="00C04533" w:rsidP="00C04533">
      <w:pPr>
        <w:pStyle w:val="TextoNormal"/>
      </w:pPr>
      <w:r>
        <w:t>5. Por otra parte, cabe señalar que la exigencia de informe favorable, en caso de comorbilidad, del profesional sanitario que esté tratando al menor transexual, como condición para que este pueda iniciar el tratamiento hormonal cruzado farmacológico para su transición, se orienta a garantizar que el facultativo pueda determinar el grado de madurez y de estabilidad de la situación de transexualidad del menor, a efectos del inicio de ese tratamiento, en su caso. El alzamiento de la suspensión determinaría la exigencia de ese informe médico favorable en tales supuestos, en tanto se resuelve por este tribunal sobre el fondo, lo que no puede considerarse, a los efectos que nos ocupan, que acarree graves perjuicios para el interés público y general o para los intereses particulares de los destinatarios de la norma, dada la trascendencia de la decisión de someterse a tratamiento hormonal y la irreversibilidad o, en su defecto, las graves dificultades que implicaría la reversión de ese tratamiento.</w:t>
      </w:r>
    </w:p>
    <w:p w14:paraId="38DF4049" w14:textId="77777777" w:rsidR="00C04533" w:rsidRDefault="00C04533" w:rsidP="00C04533">
      <w:pPr>
        <w:pStyle w:val="TextoNormal"/>
      </w:pPr>
    </w:p>
    <w:p w14:paraId="22473FBB" w14:textId="77777777" w:rsidR="00C04533" w:rsidRDefault="00C04533" w:rsidP="00C04533">
      <w:pPr>
        <w:pStyle w:val="TextoNormal"/>
      </w:pPr>
      <w:r>
        <w:t>6. En suma, el auto tendría que haber concluido que el abogado del Estado no ha levantado la carga de acreditar suficientemente la existencia de perjuicios de imposible o difícil reparación para el interés general o de terceros vinculados al levantamiento de la suspensión del inciso final del segundo párrafo del art. 14.2 b) de la Ley 2/2016, en la redacción dada por el artículo único de la Ley 17/2023. Lo que, en atención a nuestra inconcusa doctrina sobre este incidente cautelar, debería haber determinado la prevalencia del interés conectado a la presunción de legitimidad de las leyes y, con ello, el levantamiento de la suspensión de la totalidad de los preceptos impugnados de la Ley de la Asamblea de Madrid 2/2016, de 29 de marzo, de identidad y expresión de género e igualdad social y no discriminación, en la redacción dada por el artículo único de la Ley 17/2023, de 27 de diciembre.</w:t>
      </w:r>
    </w:p>
    <w:p w14:paraId="0B357E46" w14:textId="77777777" w:rsidR="00C04533" w:rsidRDefault="00C04533" w:rsidP="00C04533">
      <w:pPr>
        <w:pStyle w:val="TextoNormal"/>
      </w:pPr>
    </w:p>
    <w:p w14:paraId="69C530F8" w14:textId="1E39FB07" w:rsidR="00C04533" w:rsidRDefault="00C04533" w:rsidP="00C04533">
      <w:pPr>
        <w:pStyle w:val="TextoNormal"/>
      </w:pPr>
      <w:r>
        <w:t>Madrid, a veinte de noviembre de dos mil veinticuatro.</w:t>
      </w:r>
    </w:p>
    <w:p w14:paraId="4CD97104" w14:textId="4CD18948" w:rsidR="00C04533" w:rsidRDefault="00C04533">
      <w:pPr>
        <w:spacing w:after="160" w:line="278" w:lineRule="auto"/>
        <w:rPr>
          <w:rFonts w:ascii="Times New Roman" w:eastAsia="Times New Roman" w:hAnsi="Times New Roman" w:cs="Times New Roman"/>
          <w:sz w:val="24"/>
          <w:szCs w:val="24"/>
          <w:lang w:eastAsia="es-ES"/>
        </w:rPr>
      </w:pPr>
      <w:r>
        <w:br w:type="page"/>
      </w:r>
    </w:p>
    <w:p w14:paraId="5015ED65" w14:textId="77777777" w:rsidR="00C04533" w:rsidRDefault="00C04533" w:rsidP="00C04533">
      <w:pPr>
        <w:pStyle w:val="TtuloResolucin"/>
      </w:pPr>
      <w:bookmarkStart w:id="133" w:name="AUTO_2024_127"/>
      <w:r>
        <w:t>AUTO 127/2024, de 19 de noviembre de 2024</w:t>
      </w:r>
    </w:p>
    <w:bookmarkEnd w:id="133"/>
    <w:p w14:paraId="2595A713" w14:textId="77777777" w:rsidR="00C04533" w:rsidRDefault="00C04533" w:rsidP="00C04533">
      <w:pPr>
        <w:pStyle w:val="TtuloResolucin"/>
      </w:pPr>
      <w:r>
        <w:t>Pleno</w:t>
      </w:r>
    </w:p>
    <w:p w14:paraId="5C4BD13A" w14:textId="77777777" w:rsidR="00C04533" w:rsidRDefault="00C04533" w:rsidP="00C04533">
      <w:pPr>
        <w:pStyle w:val="TextoNormalCentrado"/>
      </w:pPr>
      <w:r>
        <w:t>ECLI:ES:TC:2024:127A</w:t>
      </w:r>
    </w:p>
    <w:p w14:paraId="58B00641" w14:textId="73ECBE42" w:rsidR="00C04533" w:rsidRDefault="00C04533" w:rsidP="00C04533">
      <w:pPr>
        <w:pStyle w:val="TextoNormalCentrado"/>
      </w:pPr>
    </w:p>
    <w:p w14:paraId="21342619"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19A77AC9" w14:textId="2636D91E" w:rsidR="00C04533" w:rsidRDefault="00C04533" w:rsidP="00C04533">
      <w:pPr>
        <w:pStyle w:val="SntesisDescriptiva"/>
      </w:pPr>
    </w:p>
    <w:p w14:paraId="56DCC4A5" w14:textId="77777777" w:rsidR="00C04533" w:rsidRDefault="00C04533" w:rsidP="00C04533">
      <w:pPr>
        <w:pStyle w:val="SntesisDescriptiva"/>
      </w:pPr>
      <w:r>
        <w:t>Mantiene la suspensión acordada en el recurso de inconstitucionalidad 4926-2024, interpuesto por el presidente del Gobierno en relación con el apartado décimo cuarto ter del artículo único de la Ley de la Asamblea de Madrid 18/2023, de 27 de diciembre, por la que se modifica la Ley 3/2016, de 22 de julio, de protección integral contra la LGTBIfobia y la discriminación por razón de orientación e identidad sexual en la Comunidad de Madrid.</w:t>
      </w:r>
    </w:p>
    <w:p w14:paraId="645EE15C" w14:textId="24045FD2" w:rsidR="00C04533" w:rsidRDefault="00C04533" w:rsidP="00C04533">
      <w:pPr>
        <w:pStyle w:val="SntesisDescriptiva"/>
      </w:pPr>
    </w:p>
    <w:p w14:paraId="76AD40D6" w14:textId="77777777" w:rsidR="00C04533" w:rsidRDefault="00C04533" w:rsidP="00C04533">
      <w:pPr>
        <w:pStyle w:val="SntesisDescriptiva"/>
      </w:pPr>
    </w:p>
    <w:p w14:paraId="7EC86067" w14:textId="77777777" w:rsidR="00C04533" w:rsidRDefault="00C04533" w:rsidP="00C04533">
      <w:pPr>
        <w:pStyle w:val="SntesisDescriptiva"/>
      </w:pPr>
    </w:p>
    <w:p w14:paraId="232AF23F" w14:textId="77777777" w:rsidR="00C04533" w:rsidRDefault="00C04533" w:rsidP="00C04533">
      <w:pPr>
        <w:pStyle w:val="TextoNormalNegritaCentrado"/>
      </w:pPr>
      <w:r>
        <w:t>AUTO</w:t>
      </w:r>
    </w:p>
    <w:p w14:paraId="4AFDFF06" w14:textId="0D2D6FE9" w:rsidR="00C04533" w:rsidRDefault="00C04533" w:rsidP="00C04533">
      <w:pPr>
        <w:pStyle w:val="TextoNormalNegritaCentrado"/>
      </w:pPr>
    </w:p>
    <w:p w14:paraId="2E45C655" w14:textId="77777777" w:rsidR="00C04533" w:rsidRDefault="00C04533" w:rsidP="00C04533">
      <w:pPr>
        <w:pStyle w:val="TextoNormalNegritaCentrado"/>
        <w:keepNext/>
      </w:pPr>
      <w:r>
        <w:t>I. Antecedentes</w:t>
      </w:r>
    </w:p>
    <w:p w14:paraId="1C33408B" w14:textId="753FDE73" w:rsidR="00C04533" w:rsidRDefault="00C04533" w:rsidP="00C04533">
      <w:pPr>
        <w:pStyle w:val="TextoNormalNegritaCentrado"/>
        <w:keepNext/>
      </w:pPr>
    </w:p>
    <w:p w14:paraId="6C24C9BA" w14:textId="77777777" w:rsidR="00C04533" w:rsidRDefault="00C04533" w:rsidP="00C04533">
      <w:pPr>
        <w:pStyle w:val="TextoNormal"/>
      </w:pPr>
      <w:r w:rsidRPr="00C04533">
        <w:rPr>
          <w:rStyle w:val="NumeroAFNegritaCaracter"/>
        </w:rPr>
        <w:t>1</w:t>
      </w:r>
      <w:r>
        <w:t xml:space="preserve">. Mediante escrito presentado en el registro de este tribunal el 26 de junio de 2024 el abogado del Estado interpuso recurso de inconstitucionalidad, en nombre del presidente del Gobierno, contra el apartado décimo cuarto </w:t>
      </w:r>
      <w:r w:rsidRPr="00C04533">
        <w:rPr>
          <w:i/>
        </w:rPr>
        <w:t>ter</w:t>
      </w:r>
      <w:r>
        <w:t xml:space="preserve"> del artículo único de la Ley de la Asamblea de Madrid 18/2023, de 27 de diciembre (en adelante, Ley 18/2023), por la que se modifica la Ley 3/2016, de 22 de julio, de protección integral contra la LGTBIfobia y la discriminación por razón de orientación e identidad sexual en la Comunidad de Madrid, en lo que se refiere al apartado d) de la nueva redacción del art. 65 de la Ley 3/2016, de 22 de julio (en adelante, Ley 3/2016).</w:t>
      </w:r>
    </w:p>
    <w:p w14:paraId="0D8A898C" w14:textId="77777777" w:rsidR="00C04533" w:rsidRDefault="00C04533" w:rsidP="00C04533">
      <w:pPr>
        <w:pStyle w:val="TextoNormal"/>
      </w:pPr>
    </w:p>
    <w:p w14:paraId="08B3FD07" w14:textId="77777777" w:rsidR="00C04533" w:rsidRDefault="00C04533" w:rsidP="00C04533">
      <w:pPr>
        <w:pStyle w:val="TextoNormal"/>
      </w:pPr>
      <w:r>
        <w:t xml:space="preserve">El recurso se fundamenta en dos motivos de impugnación, ambos de carácter competencial. Mediante el primero de ellos, el abogado del Estado sostiene que el apartado impugnado está viciado de inconstitucionalidad, en lo que hace a su referencia a los “procesos penales”, porque invade las competencias exclusivas del Estado en materia de legislación procesal (art. 149.1.6 CE). Argumenta que el precepto viene a regular la legitimación activa en tales procesos y que, por lo tanto, contiene una regla de carácter procesal, cuya aprobación corresponde exclusivamente al Estado al no existir peculiaridad de Derecho sustantivo autonómico que la justifique. Adicionalmente, sostiene la demanda que el mismo motivo de inconstitucionalidad concurre porque el contenido del apartado impugnado es incompatible con el apartado 3 del art. 109 </w:t>
      </w:r>
      <w:r w:rsidRPr="00C04533">
        <w:rPr>
          <w:i/>
        </w:rPr>
        <w:t>bis</w:t>
      </w:r>
      <w:r>
        <w:t xml:space="preserve"> de la Ley de enjuiciamiento criminal.</w:t>
      </w:r>
    </w:p>
    <w:p w14:paraId="714871C6" w14:textId="77777777" w:rsidR="00C04533" w:rsidRDefault="00C04533" w:rsidP="00C04533">
      <w:pPr>
        <w:pStyle w:val="TextoNormal"/>
      </w:pPr>
    </w:p>
    <w:p w14:paraId="17E37D01" w14:textId="77777777" w:rsidR="00C04533" w:rsidRDefault="00C04533" w:rsidP="00C04533">
      <w:pPr>
        <w:pStyle w:val="TextoNormal"/>
      </w:pPr>
      <w:r>
        <w:t>El segundo motivo de impugnación denuncia que el apartado impugnado es contrario al concepto de interesado que resulta de la lectura conjunta del art. 4.2 de la Ley 39/2015, de 1 de octubre, del procedimiento administrativo común de las administraciones públicas (LPACAP), y del art. 31.2 de la Ley 15/2022, de 12 de julio, integral para la igualdad de trato y la no discriminación (en adelante, Ley 15/2022); preceptos ambos aprobados por el legislador estatal invocando su competencia para regular el procedimiento administrativo común y que, a diferencia del precepto impugnado, no excluyen a los procedimientos administrativos sancionadores cuando atribuyen la condición de interesado a asociaciones, entidades y organizaciones. Esa contradicción entre legislación autonómica y estatal determinaría, según el recurso, la inconstitucionalidad mediata de la primera por infracción de la competencia estatal sobre procedimiento administrativo común (art. 149.1.18 CE).</w:t>
      </w:r>
    </w:p>
    <w:p w14:paraId="4F3620CD" w14:textId="77777777" w:rsidR="00C04533" w:rsidRDefault="00C04533" w:rsidP="00C04533">
      <w:pPr>
        <w:pStyle w:val="TextoNormal"/>
      </w:pPr>
    </w:p>
    <w:p w14:paraId="42EFFADD" w14:textId="7BB1B676" w:rsidR="00C04533" w:rsidRDefault="00C04533" w:rsidP="00C04533">
      <w:pPr>
        <w:pStyle w:val="TextoNormal"/>
      </w:pPr>
      <w:r>
        <w:t>Mediante otrosí, en el recurso se invocó el artículo 161.2 CE en relación con el art. 30 de la Ley Orgánica del Tribunal Constitucional (en adelante, LOTC) a fin de que se produjera la suspensión de la disposición impugnada.</w:t>
      </w:r>
    </w:p>
    <w:p w14:paraId="1C54BD0C" w14:textId="77777777" w:rsidR="00C04533" w:rsidRDefault="00C04533" w:rsidP="00C04533">
      <w:pPr>
        <w:pStyle w:val="TextoNormal"/>
      </w:pPr>
    </w:p>
    <w:p w14:paraId="6B393EEC" w14:textId="78001937" w:rsidR="00C04533" w:rsidRDefault="00C04533" w:rsidP="00C04533">
      <w:pPr>
        <w:pStyle w:val="TextoNormal"/>
      </w:pPr>
      <w:r w:rsidRPr="00C04533">
        <w:rPr>
          <w:rStyle w:val="NumeroAFNegritaCaracter"/>
        </w:rPr>
        <w:t>2</w:t>
      </w:r>
      <w:r>
        <w:t>. Por providencia de 16 de julio de 2024, a propuesta de la Sección Cuarta, el Pleno acordó admitir a trámite el recurso y dar traslado de la demanda y los documentos presentados, conforme establece el art. 34 LOTC, al Congreso de los Diputados y al Senado, por conducto de sus presidentes, así como a la Asamblea de Madrid y al Gobierno de la Comunidad de Madrid, igualmente por conducto de sus presidentes, al objeto de que, en el plazo de quince días, puedan personarse en el proceso y formular alegaciones; publicar la incoación del procedimiento en el “Boletín Oficial del Estado” y en el “Boletín Oficial de la Comunidad de Madrid”; y tener por invocado por el presidente del Gobierno el art. 161.2 CE, lo que, a su tenor y conforme dispone el art. 30 LOTC, produce la suspensión de la vigencia y aplicación del precepto impugnado, desde la fecha de interposición del recurso —26 de junio de 2024— para las partes del proceso y desde el día en que aparezca publicada la suspensión en el “Boletín Oficial del Estado” para los terceros, lo que se comunicará a los presidentes de la Asamblea de Madrid y del Gobierno de la Comunidad de Madrid.</w:t>
      </w:r>
    </w:p>
    <w:p w14:paraId="096890C2" w14:textId="77777777" w:rsidR="00C04533" w:rsidRDefault="00C04533" w:rsidP="00C04533">
      <w:pPr>
        <w:pStyle w:val="TextoNormal"/>
      </w:pPr>
    </w:p>
    <w:p w14:paraId="3183A922" w14:textId="44A4303E" w:rsidR="00C04533" w:rsidRDefault="00C04533" w:rsidP="00C04533">
      <w:pPr>
        <w:pStyle w:val="TextoNormal"/>
      </w:pPr>
      <w:r w:rsidRPr="00C04533">
        <w:rPr>
          <w:rStyle w:val="NumeroAFNegritaCaracter"/>
        </w:rPr>
        <w:t>3</w:t>
      </w:r>
      <w:r>
        <w:t>. La letrada de la Comunidad de Madrid se personó en el proceso mediante escrito registrado el día 24 de julio de 2024 y solicitó una prórroga del plazo inicialmente concedido para formular alegaciones. La prórroga le fue concedida por diligencia de ordenación de la Secretaría de Justicia del Pleno de 29 de julio de 2024.</w:t>
      </w:r>
    </w:p>
    <w:p w14:paraId="267BB51B" w14:textId="77777777" w:rsidR="00C04533" w:rsidRDefault="00C04533" w:rsidP="00C04533">
      <w:pPr>
        <w:pStyle w:val="TextoNormal"/>
      </w:pPr>
    </w:p>
    <w:p w14:paraId="08F4E0E3" w14:textId="5A7BDB4B" w:rsidR="00C04533" w:rsidRDefault="00C04533" w:rsidP="00C04533">
      <w:pPr>
        <w:pStyle w:val="TextoNormal"/>
      </w:pPr>
      <w:r w:rsidRPr="00C04533">
        <w:rPr>
          <w:rStyle w:val="NumeroAFNegritaCaracter"/>
        </w:rPr>
        <w:t>4</w:t>
      </w:r>
      <w:r>
        <w:t>. Mediante escrito registrado el 26 de julio de 2024, la presidenta del Congreso de los Diputados comunicó el acuerdo de la mesa de la Cámara por el que esta se persona en el proceso y ofrece su colaboración a los efectos del art. 88.1 LOTC. Lo mismo hizo el presidente del Senado mediante escrito que tuvo entrada en este tribunal el 5 de septiembre de 2024.</w:t>
      </w:r>
    </w:p>
    <w:p w14:paraId="681FA08A" w14:textId="77777777" w:rsidR="00C04533" w:rsidRDefault="00C04533" w:rsidP="00C04533">
      <w:pPr>
        <w:pStyle w:val="TextoNormal"/>
      </w:pPr>
    </w:p>
    <w:p w14:paraId="6EAE9B77" w14:textId="3B8F1A65" w:rsidR="00C04533" w:rsidRDefault="00C04533" w:rsidP="00C04533">
      <w:pPr>
        <w:pStyle w:val="TextoNormal"/>
      </w:pPr>
      <w:r w:rsidRPr="00C04533">
        <w:rPr>
          <w:rStyle w:val="NumeroAFNegritaCaracter"/>
        </w:rPr>
        <w:t>5</w:t>
      </w:r>
      <w:r>
        <w:t>. El letrado de la Asamblea de Madrid, en representación y defensa de esta, se personó en el proceso mediante escrito registrado el 10 de septiembre de 2024, solicitando la íntegra desestimación del recurso.</w:t>
      </w:r>
    </w:p>
    <w:p w14:paraId="68168D8C" w14:textId="77777777" w:rsidR="00C04533" w:rsidRDefault="00C04533" w:rsidP="00C04533">
      <w:pPr>
        <w:pStyle w:val="TextoNormal"/>
      </w:pPr>
    </w:p>
    <w:p w14:paraId="10554B14" w14:textId="079C754C" w:rsidR="00C04533" w:rsidRDefault="00C04533" w:rsidP="00C04533">
      <w:pPr>
        <w:pStyle w:val="TextoNormal"/>
      </w:pPr>
      <w:r w:rsidRPr="00C04533">
        <w:rPr>
          <w:rStyle w:val="NumeroAFNegritaCaracter"/>
        </w:rPr>
        <w:t>6</w:t>
      </w:r>
      <w:r>
        <w:t>. La representación procesal de la Comunidad de Madrid formuló sus alegaciones mediante escrito registrado el 22 de septiembre de 2024, solicitando la desestimación parcial del recurso y la incoación del incidente para decidir sobre el mantenimiento o levantamiento de la suspensión del precepto impugnado, únicamente también por lo que se refiere a la parte de su contenido cuya constitucionalidad defiende, sin necesidad de agotar el plazo de cinco meses al que hace referencia el art. 161.2 CE.</w:t>
      </w:r>
    </w:p>
    <w:p w14:paraId="4FD4BA3F" w14:textId="77777777" w:rsidR="00C04533" w:rsidRDefault="00C04533" w:rsidP="00C04533">
      <w:pPr>
        <w:pStyle w:val="TextoNormal"/>
      </w:pPr>
    </w:p>
    <w:p w14:paraId="43D1CF04" w14:textId="0598518B" w:rsidR="00C04533" w:rsidRDefault="00C04533" w:rsidP="00C04533">
      <w:pPr>
        <w:pStyle w:val="TextoNormal"/>
      </w:pPr>
      <w:r w:rsidRPr="00C04533">
        <w:rPr>
          <w:rStyle w:val="NumeroAFNegritaCaracter"/>
        </w:rPr>
        <w:t>7</w:t>
      </w:r>
      <w:r>
        <w:t>. Mediante diligencia de ordenación de la Secretaría del Pleno de 23 de septiembre de 2024 se acordó que, próximo a finalizar el plazo de los cinco meses que señala el art. 161.2 CE desde que se produjo la suspensión del precepto impugnado, se oyese a las partes personadas —abogado del Estado, letrado de la Comunidad de Madrid y letrada de la Asamblea de Madrid— para que, en el plazo de cinco días, expusieran lo que considerasen conveniente acerca del mantenimiento o levantamiento de dicha suspensión.</w:t>
      </w:r>
    </w:p>
    <w:p w14:paraId="3522A4E9" w14:textId="77777777" w:rsidR="00C04533" w:rsidRDefault="00C04533" w:rsidP="00C04533">
      <w:pPr>
        <w:pStyle w:val="TextoNormal"/>
      </w:pPr>
    </w:p>
    <w:p w14:paraId="2A239FCE" w14:textId="77777777" w:rsidR="00C04533" w:rsidRDefault="00C04533" w:rsidP="00C04533">
      <w:pPr>
        <w:pStyle w:val="TextoNormal"/>
      </w:pPr>
      <w:r w:rsidRPr="00C04533">
        <w:rPr>
          <w:rStyle w:val="NumeroAFNegritaCaracter"/>
        </w:rPr>
        <w:t>8</w:t>
      </w:r>
      <w:r>
        <w:t>. Mediante escrito registrado el 1 de octubre de 2024, la representación procesal de la Comunidad de Madrid interesó el levantamiento de la suspensión únicamente por lo que respecta a la alusión que este realiza a los procedimientos administrativos sancionadores.</w:t>
      </w:r>
    </w:p>
    <w:p w14:paraId="75864923" w14:textId="77777777" w:rsidR="00C04533" w:rsidRDefault="00C04533" w:rsidP="00C04533">
      <w:pPr>
        <w:pStyle w:val="TextoNormal"/>
      </w:pPr>
    </w:p>
    <w:p w14:paraId="5C8F044B" w14:textId="77777777" w:rsidR="00C04533" w:rsidRDefault="00C04533" w:rsidP="00C04533">
      <w:pPr>
        <w:pStyle w:val="TextoNormal"/>
      </w:pPr>
      <w:r>
        <w:t>Tras reseñar la doctrina constitucional que considera relevante y destacar que, conforme a la misma, el mantenimiento de la suspensión tiene un carácter excepcional en virtud de la presunción de constitucionalidad de las leyes, denuncia la indefensión que, a su juicio, le genera el hecho de tener que formular alegaciones sobre el levantamiento de la suspensión sin tener a la vista las realizadas por el abogado del Estado a favor de su mantenimiento, dado que el plazo de cinco días es común para las partes.</w:t>
      </w:r>
    </w:p>
    <w:p w14:paraId="4858500C" w14:textId="77777777" w:rsidR="00C04533" w:rsidRDefault="00C04533" w:rsidP="00C04533">
      <w:pPr>
        <w:pStyle w:val="TextoNormal"/>
      </w:pPr>
    </w:p>
    <w:p w14:paraId="50EB1B0A" w14:textId="77777777" w:rsidR="00C04533" w:rsidRDefault="00C04533" w:rsidP="00C04533">
      <w:pPr>
        <w:pStyle w:val="TextoNormal"/>
      </w:pPr>
      <w:r>
        <w:t>En cuanto a la suspensión de la norma concretamente impugnada en este proceso, el letrado de la Comunidad de Madrid señala que, de conformidad con la doctrina constitucional, las presuntas infracciones competenciales alegadas en la demanda no pueden ser tenidas en cuenta para decidir sobre la suspensión. Más aún, indica que cuando la justificación del mantenimiento de la suspensión se basa exclusivamente en motivos competenciales, de uniformidad de régimen jurídico o de daños a la seguridad jurídica por la duplicidad de normativas, lo que procede es el levantamiento de la suspensión.</w:t>
      </w:r>
    </w:p>
    <w:p w14:paraId="4F7A4DFE" w14:textId="77777777" w:rsidR="00C04533" w:rsidRDefault="00C04533" w:rsidP="00C04533">
      <w:pPr>
        <w:pStyle w:val="TextoNormal"/>
      </w:pPr>
    </w:p>
    <w:p w14:paraId="3748FC35" w14:textId="202BEB41" w:rsidR="00C04533" w:rsidRDefault="00C04533" w:rsidP="00C04533">
      <w:pPr>
        <w:pStyle w:val="TextoNormal"/>
      </w:pPr>
      <w:r>
        <w:t>A continuación, se refiere a los posibles perjuicios del mantenimiento o levantamiento de la suspensión y a la ponderación de los intereses concurrentes en relación con el precepto impugnado, si bien circunscribiéndose únicamente a la referencia que este realiza a los procedimientos administrativos sancionadores. En este sentido argumenta que de los arts. 62.5 y 64.1 LPACAP, así como de la jurisprudencia constante del Tribunal Supremo, se deriva que ningún tercero —ni siquiera el denunciante o el perjudicado— tiene la condición de interesado en los expedientes sancionadores, por lo que mucho menos tendrán tal condición las asociaciones, entidades u organizaciones representativas de intereses colectivos o de defensa de derechos humanos en general, ni siquiera aunque tengan la autorización expresa del perjudicado. Argumenta que el precepto impugnado se limita a remitir a un juicio casuístico sobre la existencia de interés legítimo el eventual reconocimiento de la condición de interesado a este tipo de entidades en los procedimientos administrativos sancionadores y que, por lo tanto, estamos ante una norma autonómica que se limita a ratificar la jurisprudencia del Tribunal Supremo y que es compatible con los arts. 4.2 LPACAP y 31.2 de la Ley 15/2022, invocados en la demanda como preceptos básicos de contraste para realizar el juicio de constitucionalidad mediata.</w:t>
      </w:r>
    </w:p>
    <w:p w14:paraId="4C568440" w14:textId="77777777" w:rsidR="00C04533" w:rsidRDefault="00C04533" w:rsidP="00C04533">
      <w:pPr>
        <w:pStyle w:val="TextoNormal"/>
      </w:pPr>
    </w:p>
    <w:p w14:paraId="0BC760E3" w14:textId="77777777" w:rsidR="00C04533" w:rsidRDefault="00C04533" w:rsidP="00C04533">
      <w:pPr>
        <w:pStyle w:val="TextoNormal"/>
      </w:pPr>
      <w:r w:rsidRPr="00C04533">
        <w:rPr>
          <w:rStyle w:val="NumeroAFNegritaCaracter"/>
        </w:rPr>
        <w:t>9</w:t>
      </w:r>
      <w:r>
        <w:t>. La representación procesal de la Asamblea de Madrid instó el levantamiento de la suspensión mediante escrito registrado el 1 de octubre de 2024 en el que argumenta, en síntesis, como sigue.</w:t>
      </w:r>
    </w:p>
    <w:p w14:paraId="7C8CC0E8" w14:textId="77777777" w:rsidR="00C04533" w:rsidRDefault="00C04533" w:rsidP="00C04533">
      <w:pPr>
        <w:pStyle w:val="TextoNormal"/>
      </w:pPr>
    </w:p>
    <w:p w14:paraId="116AB8EC" w14:textId="77777777" w:rsidR="00C04533" w:rsidRDefault="00C04533" w:rsidP="00C04533">
      <w:pPr>
        <w:pStyle w:val="TextoNormal"/>
      </w:pPr>
      <w:r>
        <w:t>Comienza recordando la naturaleza excepcional, exigida por el principio democrático, del mantenimiento de la suspensión de la aplicación y vigencia de las leyes de las comunidades autónomas. Señala también que, de conformidad con la doctrina constitucional, es posible acordar el levantamiento de la suspensión inicial antes del transcurso del plazo de cinco meses dispuesto en el art. 161.2 CE. Y subraya que, según dicha doctrina, recae sobre el presidente del Gobierno la carga de invocar y probar la existencia de los perjuicios que se derivarían del mantenimiento de la suspensión.</w:t>
      </w:r>
    </w:p>
    <w:p w14:paraId="5BB9798A" w14:textId="77777777" w:rsidR="00C04533" w:rsidRDefault="00C04533" w:rsidP="00C04533">
      <w:pPr>
        <w:pStyle w:val="TextoNormal"/>
      </w:pPr>
    </w:p>
    <w:p w14:paraId="11B27CCA" w14:textId="5150CAF9" w:rsidR="00C04533" w:rsidRDefault="00C04533" w:rsidP="00C04533">
      <w:pPr>
        <w:pStyle w:val="TextoNormal"/>
      </w:pPr>
      <w:r>
        <w:t>A continuación, afirma, por una parte, que el mantenimiento de la suspensión causaría perjuicios de imposible o difícil reparación al interés público existente en permitir la libertad de configuración normativa del Parlamento autonómico en ámbitos materiales respecto de los que ostenta competencia y ajustándose al régimen constitucional de distribución de competencias; dándose la circunstancia adicional, según argumenta, de que es posible realizar una interpretación del precepto impugnado, en cuanto se refiere a los procedimientos administrativos sancionadores, conforme con la legislación básica estatal sobre procedimiento administrativo. También señala, de otro lado, que el levantamiento de la suspensión no habría de producir perjuicios de imposible o difícil reparación, en la medida en que dicho levantamiento supondría el despliegue de las competencias autonómicas con relación a ámbitos materiales sobre los que la Comunidad de Madrid ostenta competencia (arts. 148.1.20 CE y 26.1.23 EAM).</w:t>
      </w:r>
    </w:p>
    <w:p w14:paraId="20FBBE58" w14:textId="77777777" w:rsidR="00C04533" w:rsidRDefault="00C04533" w:rsidP="00C04533">
      <w:pPr>
        <w:pStyle w:val="TextoNormal"/>
      </w:pPr>
    </w:p>
    <w:p w14:paraId="643321AF" w14:textId="77777777" w:rsidR="00C04533" w:rsidRDefault="00C04533" w:rsidP="00C04533">
      <w:pPr>
        <w:pStyle w:val="TextoNormal"/>
      </w:pPr>
      <w:r w:rsidRPr="00C04533">
        <w:rPr>
          <w:rStyle w:val="NumeroAFNegritaCaracter"/>
        </w:rPr>
        <w:t>10</w:t>
      </w:r>
      <w:r>
        <w:t>. El abogado del Estado interesó el mantenimiento de la suspensión inicialmente acordada por escrito registrado el día 3 de octubre de 2024 en el que, resumidamente, expone lo siguiente:</w:t>
      </w:r>
    </w:p>
    <w:p w14:paraId="50773A9C" w14:textId="77777777" w:rsidR="00C04533" w:rsidRDefault="00C04533" w:rsidP="00C04533">
      <w:pPr>
        <w:pStyle w:val="TextoNormal"/>
      </w:pPr>
    </w:p>
    <w:p w14:paraId="33DC4E07" w14:textId="77777777" w:rsidR="00C04533" w:rsidRDefault="00C04533" w:rsidP="00C04533">
      <w:pPr>
        <w:pStyle w:val="TextoNormal"/>
      </w:pPr>
      <w:r>
        <w:t xml:space="preserve">Tras reseñar la doctrina constitucional acerca de este tipo de incidentes, argumenta, por una parte, que procede mantener la suspensión del precepto impugnado debido al </w:t>
      </w:r>
      <w:r w:rsidRPr="00C04533">
        <w:rPr>
          <w:i/>
        </w:rPr>
        <w:t>fumus boni iuris</w:t>
      </w:r>
      <w:r>
        <w:t xml:space="preserve"> del recurso, que cobra especial relevancia a los efectos de la suspensión del art. 161.2 CE en el supuesto de las normas autonómicas dictadas con “manifiesta ausencia de cobertura competencial”. Aduce que en el presente caso, como en el abordado por el ATC 336/2005, de 15 de septiembre, la norma autonómica impugnada produce un “bloqueo” del ejercicio de competencias atribuidas al Estado, porque lleva a cabo, a su juicio, una modificación sustancial de la condición de legitimado para actuar en el procedimiento administrativo, aspecto de competencia exclusiva del Estado, salvo elementos muy accesorios, </w:t>
      </w:r>
      <w:r w:rsidRPr="00C04533">
        <w:rPr>
          <w:i/>
        </w:rPr>
        <w:t>ex</w:t>
      </w:r>
      <w:r>
        <w:t xml:space="preserve"> art. 149.1.18 CE.</w:t>
      </w:r>
    </w:p>
    <w:p w14:paraId="0E42F422" w14:textId="77777777" w:rsidR="00C04533" w:rsidRDefault="00C04533" w:rsidP="00C04533">
      <w:pPr>
        <w:pStyle w:val="TextoNormal"/>
      </w:pPr>
    </w:p>
    <w:p w14:paraId="524D7264" w14:textId="77777777" w:rsidR="00C04533" w:rsidRDefault="00C04533" w:rsidP="00C04533">
      <w:pPr>
        <w:pStyle w:val="TextoNormal"/>
      </w:pPr>
      <w:r>
        <w:t>De otro lado, acompaña un informe de la Secretaría General Técnica del Ministerio de Igualdad, de 12 de septiembre de 2024, acerca de los perjuicios que el levantamiento de la suspensión del precepto impugnado pudiera causar a los intereses del Estado o de particulares. En el mismo se afirma que la suspensión de la disposición recurrida ha de mantenerse ya que su aplicación afectaría directa e intensamente, en primer lugar, a la eficacia del derecho a la tutela judicial efectiva de las personas LGTBI. Señala en este sentido que el precepto puede ocasionar perjuicios de imposible o difícil reparación a la defensa de los derechos de las personas LGTBI ante la Administración y los tribunales, puesto que dicha defensa a menudo se articula por medio de las entidades a que alude el art. 65 b) de la Ley 3/2016, ya sea en representación de intereses legítimos colectivos o en representación de víctimas particulares.</w:t>
      </w:r>
    </w:p>
    <w:p w14:paraId="7098FB88" w14:textId="77777777" w:rsidR="00C04533" w:rsidRDefault="00C04533" w:rsidP="00C04533">
      <w:pPr>
        <w:pStyle w:val="TextoNormal"/>
      </w:pPr>
    </w:p>
    <w:p w14:paraId="73D2BCEB" w14:textId="77777777" w:rsidR="00C04533" w:rsidRDefault="00C04533" w:rsidP="00C04533">
      <w:pPr>
        <w:pStyle w:val="TextoNormal"/>
      </w:pPr>
      <w:r>
        <w:t>En segundo lugar, se afirma que si se levantara la suspensión también quedaría afectado un valor constitucional tan relevante como el de la igualdad (de nuevo en conexión con el derecho a la tutela judicial efectiva), como fundamento último de las atribuciones competenciales que realiza el art. 149.1 CE, en la medida en que, en la práctica, la aplicación del precepto daría lugar a que la consideración de interesada de una asociación, entidad u organización representativa de los colectivos LGTBI, en procesos penales y procedimientos administrativos sancionadores, dependiera de la comunidad autónoma en la que se desarrollen tales procesos y procedimientos, lo que generaría un agravio injustificado y sin precedentes entre las distintas entidades.</w:t>
      </w:r>
    </w:p>
    <w:p w14:paraId="6BD91E51" w14:textId="77777777" w:rsidR="00C04533" w:rsidRDefault="00C04533" w:rsidP="00C04533">
      <w:pPr>
        <w:pStyle w:val="TextoNormal"/>
      </w:pPr>
    </w:p>
    <w:p w14:paraId="1C374F6F" w14:textId="77777777" w:rsidR="00C04533" w:rsidRDefault="00C04533" w:rsidP="00C04533">
      <w:pPr>
        <w:pStyle w:val="TextoNormal"/>
      </w:pPr>
      <w:r>
        <w:t>Por último, se indica que la aplicación del precepto impugnado también podría causar perjuicios a la seguridad jurídica. En este sentido se expone que, aunque la doctrina del Tribunal Constitucional viene negando, con carácter general, que la quiebra de la seguridad jurídica sea razón suficiente en los procesos constitucionales de trasfondo competencial para mantener la suspensión de la ley autonómica impugnada, esta regla general tiene excepciones, una de las cuales concurre en el presente caso, habida cuenta de la manifiesta conculcación del reparto competencial en que incurre el precepto impugnado. La inseguridad jurídica nacería de la mera convivencia de ambos regímenes jurídicos (el estatal y el autonómico), puesto que la existencia de una legislación procesal penal aplicable en todo el territorio, y de normas de procedimiento administrativo básicas, tiene por objeto, precisamente, garantizar el derecho a la tutela judicial efectiva, la seguridad jurídica, y la igualdad de todas las personas ante los tribunales y en las relaciones con las administraciones públicas.</w:t>
      </w:r>
    </w:p>
    <w:p w14:paraId="3E65044F" w14:textId="77777777" w:rsidR="00C04533" w:rsidRDefault="00C04533" w:rsidP="00C04533">
      <w:pPr>
        <w:pStyle w:val="TextoNormal"/>
      </w:pPr>
    </w:p>
    <w:p w14:paraId="52F6B49B" w14:textId="2795154D" w:rsidR="00C04533" w:rsidRDefault="00C04533" w:rsidP="00C04533">
      <w:pPr>
        <w:pStyle w:val="TextoNormal"/>
      </w:pPr>
      <w:r>
        <w:t xml:space="preserve">En definitiva, por las razones expuestas se considera que concurren suficientes motivos para mantener la suspensión de la aplicación apartado catorce </w:t>
      </w:r>
      <w:r w:rsidRPr="00C04533">
        <w:rPr>
          <w:i/>
        </w:rPr>
        <w:t>ter</w:t>
      </w:r>
      <w:r>
        <w:t xml:space="preserve"> del artículo único de la Ley 18/2023 y que, a la inversa, no existen perjuicios derivados del mantenimiento de dicha suspensión.</w:t>
      </w:r>
    </w:p>
    <w:p w14:paraId="60319DC7" w14:textId="77777777" w:rsidR="00C04533" w:rsidRDefault="00C04533" w:rsidP="00C04533">
      <w:pPr>
        <w:pStyle w:val="TextoNormal"/>
      </w:pPr>
    </w:p>
    <w:p w14:paraId="7C7CCFA4" w14:textId="77777777" w:rsidR="00C04533" w:rsidRDefault="00C04533" w:rsidP="00C04533">
      <w:pPr>
        <w:pStyle w:val="TextoNormalNegritaCentrado"/>
        <w:keepNext/>
      </w:pPr>
      <w:r>
        <w:t>II. Fundamentos jurídicos</w:t>
      </w:r>
    </w:p>
    <w:p w14:paraId="1C506FFF" w14:textId="54E551B7" w:rsidR="00C04533" w:rsidRDefault="00C04533" w:rsidP="00C04533">
      <w:pPr>
        <w:pStyle w:val="TextoNormalNegritaCentrado"/>
        <w:keepNext/>
      </w:pPr>
    </w:p>
    <w:p w14:paraId="63F0E5A3" w14:textId="77777777" w:rsidR="00C04533" w:rsidRDefault="00C04533" w:rsidP="00C04533">
      <w:pPr>
        <w:pStyle w:val="TextoNormal"/>
      </w:pPr>
      <w:r w:rsidRPr="00C04533">
        <w:rPr>
          <w:rStyle w:val="NumeroAFNegritaCaracter"/>
        </w:rPr>
        <w:t>1</w:t>
      </w:r>
      <w:r>
        <w:t xml:space="preserve">. </w:t>
      </w:r>
      <w:r w:rsidRPr="00C04533">
        <w:rPr>
          <w:i/>
        </w:rPr>
        <w:t>Objeto</w:t>
      </w:r>
    </w:p>
    <w:p w14:paraId="2E720A93" w14:textId="77777777" w:rsidR="00C04533" w:rsidRDefault="00C04533" w:rsidP="00C04533">
      <w:pPr>
        <w:pStyle w:val="TextoNormal"/>
      </w:pPr>
    </w:p>
    <w:p w14:paraId="10DA4179" w14:textId="77777777" w:rsidR="00C04533" w:rsidRDefault="00C04533" w:rsidP="00C04533">
      <w:pPr>
        <w:pStyle w:val="TextoNormal"/>
      </w:pPr>
      <w:r>
        <w:t xml:space="preserve">El objeto de la presente resolución consiste en determinar si procede levantar o mantener la suspensión del apartado catorce </w:t>
      </w:r>
      <w:r w:rsidRPr="00C04533">
        <w:rPr>
          <w:i/>
        </w:rPr>
        <w:t>ter</w:t>
      </w:r>
      <w:r>
        <w:t xml:space="preserve"> del artículo único de la Ley 18/2023, de 27 de diciembre, por la que se modifica la Ley 3/2016, de 22 de julio, de protección integral contra la LGTBIfobia y la discriminación por razón de orientación e identidad sexual en la Comunidad de Madrid, en lo que se refiere al apartado d) de la nueva redacción del art. 65 de la Ley 3/2016, de 22 de julio; precepto que, como se ha detallado en los antecedentes de este auto, fue suspendido en su vigencia y aplicación como consecuencia de la invocación del artículo 161.2 CE al interponerse el recurso de inconstitucionalidad por el presidente del Gobierno.</w:t>
      </w:r>
    </w:p>
    <w:p w14:paraId="671A890B" w14:textId="77777777" w:rsidR="00C04533" w:rsidRDefault="00C04533" w:rsidP="00C04533">
      <w:pPr>
        <w:pStyle w:val="TextoNormal"/>
      </w:pPr>
    </w:p>
    <w:p w14:paraId="3B52AE19" w14:textId="77777777" w:rsidR="00C04533" w:rsidRDefault="00C04533" w:rsidP="00C04533">
      <w:pPr>
        <w:pStyle w:val="TextoNormal"/>
      </w:pPr>
      <w:r>
        <w:t>El apartado d) de la nueva redacción del art. 65 de la Ley 3/2016 establece lo siguiente (se reproduce en su contexto para facilitar su comprensión):</w:t>
      </w:r>
    </w:p>
    <w:p w14:paraId="570E2692" w14:textId="77777777" w:rsidR="00C04533" w:rsidRDefault="00C04533" w:rsidP="00C04533">
      <w:pPr>
        <w:pStyle w:val="TextoNormal"/>
      </w:pPr>
    </w:p>
    <w:p w14:paraId="4452B441" w14:textId="77777777" w:rsidR="00C04533" w:rsidRDefault="00C04533" w:rsidP="00C04533">
      <w:pPr>
        <w:pStyle w:val="TextoNormal"/>
      </w:pPr>
      <w:r>
        <w:t>“Artículo 65. Concepto de interesado</w:t>
      </w:r>
    </w:p>
    <w:p w14:paraId="4E95CB89" w14:textId="77777777" w:rsidR="00C04533" w:rsidRDefault="00C04533" w:rsidP="00C04533">
      <w:pPr>
        <w:pStyle w:val="TextoNormal"/>
      </w:pPr>
    </w:p>
    <w:p w14:paraId="2826295E" w14:textId="77777777" w:rsidR="00C04533" w:rsidRDefault="00C04533" w:rsidP="00C04533">
      <w:pPr>
        <w:pStyle w:val="TextoNormal"/>
      </w:pPr>
      <w:r>
        <w:t>Tendrán la condición de interesados en el procedimiento administrativo:</w:t>
      </w:r>
    </w:p>
    <w:p w14:paraId="3791FA8E" w14:textId="77777777" w:rsidR="00C04533" w:rsidRDefault="00C04533" w:rsidP="00C04533">
      <w:pPr>
        <w:pStyle w:val="TextoNormal"/>
      </w:pPr>
    </w:p>
    <w:p w14:paraId="0EF15BFD" w14:textId="77777777" w:rsidR="00C04533" w:rsidRDefault="00C04533" w:rsidP="00C04533">
      <w:pPr>
        <w:pStyle w:val="TextoNormal"/>
      </w:pPr>
      <w:r>
        <w:t>a) Quienes lo promuevan como titulares de derechos o intereses legítimos individuales o colectivos.</w:t>
      </w:r>
    </w:p>
    <w:p w14:paraId="53B7FE64" w14:textId="77777777" w:rsidR="00C04533" w:rsidRDefault="00C04533" w:rsidP="00C04533">
      <w:pPr>
        <w:pStyle w:val="TextoNormal"/>
      </w:pPr>
    </w:p>
    <w:p w14:paraId="3B112ACB" w14:textId="77777777" w:rsidR="00C04533" w:rsidRDefault="00C04533" w:rsidP="00C04533">
      <w:pPr>
        <w:pStyle w:val="TextoNormal"/>
      </w:pPr>
      <w:r>
        <w:t>b) Las asociaciones, entidades y organizaciones representativas de los colectivos LGTBI y aquellas que tengan por objeto la defensa y promoción de derechos humanos serán titulares de intereses legítimos colectivos. Estas últimas en caso de representar a una víctima o perjudicado en particular deberán contar con su permiso explícito.</w:t>
      </w:r>
    </w:p>
    <w:p w14:paraId="484D7A66" w14:textId="77777777" w:rsidR="00C04533" w:rsidRDefault="00C04533" w:rsidP="00C04533">
      <w:pPr>
        <w:pStyle w:val="TextoNormal"/>
      </w:pPr>
    </w:p>
    <w:p w14:paraId="756E51EE" w14:textId="77777777" w:rsidR="00C04533" w:rsidRDefault="00C04533" w:rsidP="00C04533">
      <w:pPr>
        <w:pStyle w:val="TextoNormal"/>
      </w:pPr>
      <w:r>
        <w:t>c) Los que, sin haber iniciado el procedimiento, tengan derechos que puedan resultar afectados por la decisión que en el mismo se adopte.</w:t>
      </w:r>
    </w:p>
    <w:p w14:paraId="49DC621B" w14:textId="77777777" w:rsidR="00C04533" w:rsidRDefault="00C04533" w:rsidP="00C04533">
      <w:pPr>
        <w:pStyle w:val="TextoNormal"/>
      </w:pPr>
    </w:p>
    <w:p w14:paraId="45A392B5" w14:textId="77777777" w:rsidR="00C04533" w:rsidRDefault="00C04533" w:rsidP="00C04533">
      <w:pPr>
        <w:pStyle w:val="TextoNormal"/>
      </w:pPr>
      <w:r>
        <w:t>d) Lo previsto en el apartado b) de este artículo no será de aplicación a los procesos penales ni a los procedimientos administrativos sancionadores”.</w:t>
      </w:r>
    </w:p>
    <w:p w14:paraId="43166F93" w14:textId="77777777" w:rsidR="00C04533" w:rsidRDefault="00C04533" w:rsidP="00C04533">
      <w:pPr>
        <w:pStyle w:val="TextoNormal"/>
      </w:pPr>
    </w:p>
    <w:p w14:paraId="7B06B41F" w14:textId="5DB4E0A5" w:rsidR="00C04533" w:rsidRDefault="00C04533" w:rsidP="00C04533">
      <w:pPr>
        <w:pStyle w:val="TextoNormal"/>
      </w:pPr>
      <w:r>
        <w:t>La impugnación se fundamenta en motivos estrictamente competenciales. La demanda reprocha al apartado impugnado la invasión de las competencias exclusivas del Estado para dictar legislación procesal (art. 149.1.6 CE) y para regular el procedimiento administrativo común (art. 149.1.18 CE). La Asamblea de Madrid niega las vulneraciones competenciales denunciadas, mientras que el Consejo de Gobierno de la Comunidad de Madrid se ha opuesto al recurso únicamente por lo que atañe a la alegada invasión de la competencia estatal en materia de procedimiento administrativo común.</w:t>
      </w:r>
    </w:p>
    <w:p w14:paraId="494BE2B7" w14:textId="77777777" w:rsidR="00C04533" w:rsidRDefault="00C04533" w:rsidP="00C04533">
      <w:pPr>
        <w:pStyle w:val="TextoNormal"/>
      </w:pPr>
    </w:p>
    <w:p w14:paraId="46BC1D88" w14:textId="77777777" w:rsidR="00C04533" w:rsidRDefault="00C04533" w:rsidP="00C04533">
      <w:pPr>
        <w:pStyle w:val="TextoNormal"/>
      </w:pPr>
      <w:r w:rsidRPr="00C04533">
        <w:rPr>
          <w:rStyle w:val="NumeroAFNegritaCaracter"/>
        </w:rPr>
        <w:t>2</w:t>
      </w:r>
      <w:r>
        <w:t xml:space="preserve">. </w:t>
      </w:r>
      <w:r w:rsidRPr="00C04533">
        <w:rPr>
          <w:i/>
        </w:rPr>
        <w:t>Doctrina constitucional aplicable</w:t>
      </w:r>
    </w:p>
    <w:p w14:paraId="754B1C6F" w14:textId="77777777" w:rsidR="00C04533" w:rsidRDefault="00C04533" w:rsidP="00C04533">
      <w:pPr>
        <w:pStyle w:val="TextoNormal"/>
      </w:pPr>
    </w:p>
    <w:p w14:paraId="270BAF8B" w14:textId="77777777" w:rsidR="00C04533" w:rsidRDefault="00C04533" w:rsidP="00C04533">
      <w:pPr>
        <w:pStyle w:val="TextoNormal"/>
      </w:pPr>
      <w:r>
        <w:t>Para pronunciarnos acerca del mantenimiento o levantamiento de la suspensión hemos de atenernos a la doctrina constitucional sobre la naturaleza de este incidente cautelar y los parámetros a los que debe ajustarse su resolución, doctrina que cabe resumir como sigue (por todos, ATC 445/2023, de 27 de septiembre, FJ 2):</w:t>
      </w:r>
    </w:p>
    <w:p w14:paraId="49FD51CD" w14:textId="77777777" w:rsidR="00C04533" w:rsidRDefault="00C04533" w:rsidP="00C04533">
      <w:pPr>
        <w:pStyle w:val="TextoNormal"/>
      </w:pPr>
    </w:p>
    <w:p w14:paraId="10047DEB" w14:textId="77777777" w:rsidR="00C04533" w:rsidRDefault="00C04533" w:rsidP="00C04533">
      <w:pPr>
        <w:pStyle w:val="TextoNormal"/>
      </w:pPr>
      <w:r>
        <w:t>a) Este incidente tiene autonomía respecto del procedimiento principal, por lo que solo en este último debe dilucidarse la validez o invalidez de las normas recurridas. El mantenimiento o levantamiento de la suspensión acordada previamente por la invocación del artículo 161.2 CE —única cuestión que es objeto de este incidente— constituye una medida procesal cautelar cuya finalidad consiste en asegurar el objeto litigioso, evitando la producción de daños y perjuicios irreparables o de difícil reparación.</w:t>
      </w:r>
    </w:p>
    <w:p w14:paraId="4087CD57" w14:textId="77777777" w:rsidR="00C04533" w:rsidRDefault="00C04533" w:rsidP="00C04533">
      <w:pPr>
        <w:pStyle w:val="TextoNormal"/>
      </w:pPr>
    </w:p>
    <w:p w14:paraId="7D215BBE" w14:textId="77777777" w:rsidR="00C04533" w:rsidRDefault="00C04533" w:rsidP="00C04533">
      <w:pPr>
        <w:pStyle w:val="TextoNormal"/>
      </w:pPr>
      <w:r>
        <w:t>b) La naturaleza propia, genuinamente cautelar, que caracteriza a este incidente en el momento de acordar el mantenimiento o el levantamiento de la suspensión, delimita también el marco jurídico en el que debe desenvolverse. En primer lugar, el mantenimiento de la suspensión acordada cautelarmente tiene un carácter excepcional, pues las leyes gozan de la presunción de constitucionalidad, en cuanto expresión de la voluntad popular, mientras no se constate que han infringido la Constitución (por todos, ATC 277/2009, de 10 de diciembre, FJ 2). En segundo lugar, la decisión sobre el mantenimiento o el levantamiento de la suspensión debe desvincularse de la decisión sobre la cuestión de fondo, que deberá dirimirse mediante sentencia (por todos, AATC 12/2006, de 17 de enero, FJ 5, y 18/2007, de 18 de enero, FJ 5).</w:t>
      </w:r>
    </w:p>
    <w:p w14:paraId="62908C71" w14:textId="77777777" w:rsidR="00C04533" w:rsidRDefault="00C04533" w:rsidP="00C04533">
      <w:pPr>
        <w:pStyle w:val="TextoNormal"/>
      </w:pPr>
    </w:p>
    <w:p w14:paraId="499AAA63" w14:textId="77777777" w:rsidR="00C04533" w:rsidRDefault="00C04533" w:rsidP="00C04533">
      <w:pPr>
        <w:pStyle w:val="TextoNormal"/>
      </w:pPr>
      <w:r>
        <w:t>c) Los criterios que ha venido aplicando este tribunal para decidir estos casos son los siguientes: (i)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(ATC 51/2021, de 22 de abril); (ii) esta valoración debe efectuarse mediante el estricto examen de las situaciones de hecho creadas y al margen de la viabilidad de las pretensiones que se formulan en la demanda. La suspensión solo procede en presencia de perjuicios ciertos y efectivos, por lo que, si estos no concurren, debe atenderse a la presunción de validez de la ley; (iii)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 (por todos, ATC 51/2021).</w:t>
      </w:r>
    </w:p>
    <w:p w14:paraId="62C0AAF7" w14:textId="77777777" w:rsidR="00C04533" w:rsidRDefault="00C04533" w:rsidP="00C04533">
      <w:pPr>
        <w:pStyle w:val="TextoNormal"/>
      </w:pPr>
    </w:p>
    <w:p w14:paraId="22B2854B" w14:textId="7CC6A318" w:rsidR="00C04533" w:rsidRDefault="00C04533" w:rsidP="00C04533">
      <w:pPr>
        <w:pStyle w:val="TextoNormal"/>
      </w:pPr>
      <w:r>
        <w:t xml:space="preserve">d) No obstante, la doctrina constitucional también ha admitido que el mantenimiento de la suspensión se pueda acordar excepcionalmente con arreglo a otros criterios o consideraciones, sin entrar a valorar los perjuicios de imposible o difícil reparación que ello generaría. Uno de esos criterios excepcionales es el criterio del </w:t>
      </w:r>
      <w:r w:rsidRPr="00C04533">
        <w:rPr>
          <w:i/>
        </w:rPr>
        <w:t>fumus boni iuris</w:t>
      </w:r>
      <w:r>
        <w:t>, que resulta aplicable cuando los preceptos impugnados sobre los que versa el incidente de suspensión contienen previsiones muy similares (una similitud intensa o coincidencia literal) con otras normas ya declaradas inconstitucionales y nulas por autos de este tribunal (así, AATC 78/1987, de 22 de enero, FJ 2; 183/2011, de 14 de diciembre, FJ 4; 182/2015, de 3 de noviembre, FJ 6; 41/2016, de 16 de febrero, FFJJ 2 y 3, y 171/2016, de 6 de octubre, FJ 3). Otro de los supuestos excepcionales es el bloqueo de competencias estatales (AATC 336/2005, FJ 5; 104/2010, de 28 de julio, FJ 5; 146/2013, de 5 de junio, FJ 4, y 63/2015, de 17 de marzo). Asimismo, en supuestos en los que se suscitan cuestiones de gran relieve constitucional, el Tribunal ha declarado que procede el mantenimiento de la suspensión de determinadas disposiciones (este fue el caso del ATC 156/2013, de 11 de julio, y el de los AATC 182/2015 y 186/2015, de 3 de noviembre).</w:t>
      </w:r>
    </w:p>
    <w:p w14:paraId="1FE3DBA1" w14:textId="77777777" w:rsidR="00C04533" w:rsidRDefault="00C04533" w:rsidP="00C04533">
      <w:pPr>
        <w:pStyle w:val="TextoNormal"/>
      </w:pPr>
    </w:p>
    <w:p w14:paraId="18AC1BF0" w14:textId="77777777" w:rsidR="00C04533" w:rsidRDefault="00C04533" w:rsidP="00C04533">
      <w:pPr>
        <w:pStyle w:val="TextoNormal"/>
      </w:pPr>
      <w:r w:rsidRPr="00C04533">
        <w:rPr>
          <w:rStyle w:val="NumeroAFNegritaCaracter"/>
        </w:rPr>
        <w:t>3</w:t>
      </w:r>
      <w:r>
        <w:t xml:space="preserve">. </w:t>
      </w:r>
      <w:r w:rsidRPr="00C04533">
        <w:rPr>
          <w:i/>
        </w:rPr>
        <w:t>Mantenimiento de la suspensión del precepto impugnado</w:t>
      </w:r>
    </w:p>
    <w:p w14:paraId="4C679AAB" w14:textId="77777777" w:rsidR="00C04533" w:rsidRDefault="00C04533" w:rsidP="00C04533">
      <w:pPr>
        <w:pStyle w:val="TextoNormal"/>
      </w:pPr>
    </w:p>
    <w:p w14:paraId="2698B03C" w14:textId="77777777" w:rsidR="00C04533" w:rsidRDefault="00C04533" w:rsidP="00C04533">
      <w:pPr>
        <w:pStyle w:val="TextoNormal"/>
      </w:pPr>
      <w:r>
        <w:t>Una vez expuesta nuestra doctrina, corresponde ahora aplicarla al caso para determinar si procede acordar el levantamiento o el mantenimiento de la suspensión del precepto impugnado teniendo en cuenta que, como acabamos de recordar, la resolución de este incidente está desvinculada de la que en su día adoptemos respecto del debate de fondo.</w:t>
      </w:r>
    </w:p>
    <w:p w14:paraId="06AE36F4" w14:textId="77777777" w:rsidR="00C04533" w:rsidRDefault="00C04533" w:rsidP="00C04533">
      <w:pPr>
        <w:pStyle w:val="TextoNormal"/>
      </w:pPr>
    </w:p>
    <w:p w14:paraId="5798EA30" w14:textId="77777777" w:rsidR="00C04533" w:rsidRDefault="00C04533" w:rsidP="00C04533">
      <w:pPr>
        <w:pStyle w:val="TextoNormal"/>
      </w:pPr>
      <w:r>
        <w:t>a) Como con mayor detalle se ha expuesto en los antecedentes, el abogado del Estado insta el mantenimiento de la suspensión argumentando, por una parte, que nos encontramos ante un supuesto de “bloqueo” del ejercicio de competencias atribuidas al Estado y, de otro lado, que el levantamiento de la suspensión causaría perjuicios de imposible o difícil reparación a los intereses públicos y de terceros, concretamente a: (i) el derecho a la tutela judicial efectiva de las personas LGTBI, que con frecuencia se ejercita a través de las entidades a que alude el art. 65 b) de la Ley 3/2016, ya sea en representación de intereses legítimos colectivos o en representación de víctimas particulares; (ii) el valor constitucional de la igualdad, en conexión con el derecho a la tutela judicial efectiva, pues la consideración de interesada de una asociación, entidad u organización representativa de los colectivos LGTBI, en procesos penales y procedimientos administrativos sancionadores, sería en la Comunidad de Madrid distinta que en el resto del territorio español; y (iii) la seguridad jurídica, puesto que la existencia de una legislación procesal penal aplicable en todo el territorio, y de normas de procedimiento administrativo básicas, tiene por objeto, precisamente, garantizar el derecho a la tutela judicial efectiva, la seguridad jurídica, y la igualdad de todas las personas ante los tribunales y en las relaciones con las administraciones públicas.</w:t>
      </w:r>
    </w:p>
    <w:p w14:paraId="306B1C16" w14:textId="77777777" w:rsidR="00C04533" w:rsidRDefault="00C04533" w:rsidP="00C04533">
      <w:pPr>
        <w:pStyle w:val="TextoNormal"/>
      </w:pPr>
    </w:p>
    <w:p w14:paraId="162871E3" w14:textId="77777777" w:rsidR="00C04533" w:rsidRDefault="00C04533" w:rsidP="00C04533">
      <w:pPr>
        <w:pStyle w:val="TextoNormal"/>
      </w:pPr>
      <w:r>
        <w:t>Por su parte, el letrado del Consejo de Gobierno de la Comunidad de Madrid, que interesa el levantamiento de la suspensión únicamente por lo que respecta a la alusión que el precepto impugnado realiza a los procedimientos administrativos sancionadores, basa sus alegaciones en: (i) el carácter excepcional de la suspensión vinculado a la presunción de legitimidad de la ley; (ii) la improcedencia de mantener la suspensión cuando esta se insta aduciendo únicamente motivos competenciales, de uniformidad de régimen jurídico o de daños a la seguridad jurídica por la duplicidad de normativas; y (iii) la compatibilidad del precepto impugnado con el concepto de interesado en los procedimientos administrativos sancionadores que deriva de la legislación básica estatal y de la jurisprudencia del Tribunal Supremo.</w:t>
      </w:r>
    </w:p>
    <w:p w14:paraId="7A5EA4C5" w14:textId="77777777" w:rsidR="00C04533" w:rsidRDefault="00C04533" w:rsidP="00C04533">
      <w:pPr>
        <w:pStyle w:val="TextoNormal"/>
      </w:pPr>
    </w:p>
    <w:p w14:paraId="6AB47077" w14:textId="77777777" w:rsidR="00C04533" w:rsidRDefault="00C04533" w:rsidP="00C04533">
      <w:pPr>
        <w:pStyle w:val="TextoNormal"/>
      </w:pPr>
      <w:r>
        <w:t>La representación procesal de la Asamblea de Madrid, en fin, fundamenta su solicitud de que se levante íntegramente la suspensión del precepto impugnado en: (i) la naturaleza excepcional, exigida por el principio democrático, de la suspensión de las leyes de las comunidades autónomas; (ii) los perjuicios de imposible o difícil reparación que, según argumenta, produciría el mantenimiento de la suspensión al interés público existente en permitir la libertad de configuración normativa del Parlamento autonómico en ámbitos materiales respecto de los que ostenta competencia y ajustándose al régimen constitucional de distribución de competencias; y (iii) la inexistencia de perjuicios en caso de levantarse la suspensión, porque dicho levantamiento supondría el despliegue de las competencias autonómicas con relación a ámbitos materiales sobre los que la Comunidad de Madrid ostenta competencia (arts. 148.1.20 CE y 26.1.23 EAM).</w:t>
      </w:r>
    </w:p>
    <w:p w14:paraId="14E3A0AD" w14:textId="77777777" w:rsidR="00C04533" w:rsidRDefault="00C04533" w:rsidP="00C04533">
      <w:pPr>
        <w:pStyle w:val="TextoNormal"/>
      </w:pPr>
    </w:p>
    <w:p w14:paraId="1E7C72D1" w14:textId="77777777" w:rsidR="00C04533" w:rsidRDefault="00C04533" w:rsidP="00C04533">
      <w:pPr>
        <w:pStyle w:val="TextoNormal"/>
      </w:pPr>
      <w:r>
        <w:t>b) No es la primera vez que este tribunal suspende la vigencia de una norma autonómica ante la posibilidad de que su aplicación pudiera poner en riesgo la efectividad de los derechos fundamentales de las personas afectadas por esa norma, con el fin de evitar, en una materia como esa, situaciones de confusión y perjuicios de difícil reparación que podrían eventualmente surgir en relación con las medidas adoptadas o situaciones creadas al amparo de la vigencia recobrada de los preceptos; así, en el AATC 90/2016, de 26 de abril, FJ 6; 130/2017, de 3 de octubre, FJ 5, y 445/2023. En estas decisiones, la potencial afectación a derechos fundamentales determinó que el Tribunal apreciara la existencia de “perjuicios especialmente acusados en el caso de que se aplicara y en su día mereciera un juicio de inconstitucionalidad y fuera, por tanto, objeto de una declaración de nulidad”.</w:t>
      </w:r>
    </w:p>
    <w:p w14:paraId="614FED3C" w14:textId="77777777" w:rsidR="00C04533" w:rsidRDefault="00C04533" w:rsidP="00C04533">
      <w:pPr>
        <w:pStyle w:val="TextoNormal"/>
      </w:pPr>
    </w:p>
    <w:p w14:paraId="67CE0AF2" w14:textId="77777777" w:rsidR="00C04533" w:rsidRDefault="00C04533" w:rsidP="00C04533">
      <w:pPr>
        <w:pStyle w:val="TextoNormal"/>
      </w:pPr>
      <w:r>
        <w:t>Esa misma situación de riesgo de afectación a derechos fundamentales concurre aquí. El apartado impugnado afecta a la determinación de si las asociaciones, entidades y organizaciones representativas de los colectivos LGTBI y aquellas que tengan por objeto la defensa y promoción de los derechos humanos son titulares de intereses legítimos colectivos a los efectos de ostentar la condición de interesadas en los procedimientos administrativos sancionadores y de parte en los procesos penales relativos a las situaciones de discriminación a las que se refiere la Ley 3/2016. Estamos, por lo tanto, ante una norma directamente relacionada con el derecho fundamental a la tutela judicial efectiva (art. 24.1 CE), y ello tanto por lo que respecta a su alusión a los procesos penales como por lo que atañe a los procedimientos administrativos sancionadores —pues en estos últimos resultan directamente aplicables los derechos del art. 24 CE, según ha reiterado este tribunal desde la STC 18/1981, de 8 de junio, FJ 2—, máxime si se tiene en cuenta que, como alega el abogado del Estado, la defensa de los derechos de las personas LGTBI a menudo se articula por medio de las referidas entidades, ya sea en representación de intereses legítimos colectivos o en representación de víctimas particulares. Por tanto, al igual que en los tres casos citados, es necesario introducir, en la ponderación que debemos realizar, bienes jurídicos de carácter personal, cuya reparabilidad es difícil, lo cual justifica que este tribunal deba atender a su tutela evitando su lesión irremediable.</w:t>
      </w:r>
    </w:p>
    <w:p w14:paraId="5CB8E6CA" w14:textId="77777777" w:rsidR="00C04533" w:rsidRDefault="00C04533" w:rsidP="00C04533">
      <w:pPr>
        <w:pStyle w:val="TextoNormal"/>
      </w:pPr>
    </w:p>
    <w:p w14:paraId="4AEFED41" w14:textId="77777777" w:rsidR="00C04533" w:rsidRDefault="00C04533" w:rsidP="00C04533">
      <w:pPr>
        <w:pStyle w:val="TextoNormal"/>
      </w:pPr>
      <w:r>
        <w:t>De otro lado, de las alegaciones formuladas por la Asamblea y el Consejo de Gobierno de la Comunidad de Madrid no se desprenden razones que, más allá de la presunción de constitucionalidad de la ley y la consiguiente excepcionalidad de su suspensión —punto de partida de este tipo de incidentes en todo caso—, se opongan en este específico supuesto al mantenimiento de la suspensión inicialmente acordada. En efecto, no cabe atender en este punto, por su carácter genérico y por incidir en parte sobre el fondo de la controversia planteada en el recurso, a la alegación de la Asamblea de Madrid relativa al perjuicio que la suspensión supone para “el interés público existente en permitir la libertad de configuración normativa del Parlamento autonómico en ámbitos materiales respecto de los que ostenta competencia y ajustándose al régimen constitucional de distribución de competencias”. Y tampoco cabe atender, por el mismo motivo de confundirse con el fondo del asunto, a las alegaciones del Consejo de Gobierno de la Comunidad de Madrid sobre la legitimidad competencial sobre la parte del precepto impugnado relativa a los procedimientos administrativos sancionadores. Se trata, en todo caso, de alegaciones que no refutan la afectación que el levantamiento de la suspensión produciría sobre el derecho a la tutela judicial efectiva en los términos ya expuestos.</w:t>
      </w:r>
    </w:p>
    <w:p w14:paraId="169E94C2" w14:textId="77777777" w:rsidR="00C04533" w:rsidRDefault="00C04533" w:rsidP="00C04533">
      <w:pPr>
        <w:pStyle w:val="TextoNormal"/>
      </w:pPr>
    </w:p>
    <w:p w14:paraId="1D0AA2CB" w14:textId="77777777" w:rsidR="00C04533" w:rsidRDefault="00C04533" w:rsidP="00C04533">
      <w:pPr>
        <w:pStyle w:val="TextoNormal"/>
      </w:pPr>
      <w:r>
        <w:t>Consecuentemente, procede reiterar el criterio que ya adoptamos en el ATC 90/2016, FJ 6, en el sentido de que “el carácter de las disposiciones impugnadas y los efectos jurídicos de las mismas, aconsejan como más conveniente para los intereses generales una vez ponderados todos los elementos en presencia, mantener la suspensión acordada en su día hasta tanto se resuelva de manera definitiva el problema planteado, pues la inmediata eficacia de algunos de los preceptos inicialmente suspendidos supondría unas consecuencias materiales, que dada su especial trascendencia para […] los derechos fundamentales de las afectados […] no deben producirse en una situación de interinidad. Por tanto, desde el punto de vista del juicio de proporcionalidad inherente a la ponderación sobre la procedencia del mantenimiento de una medida de suspensión acordada al amparo del art. 161.2 CE, ante la existencia de perjuicios irreparables e irreversibles para los intereses públicos y particulares no se puede calificar de excesivo o desproporcionado mantener la suspensión en los términos que posteriormente se exponen”.</w:t>
      </w:r>
    </w:p>
    <w:p w14:paraId="69A53F54" w14:textId="77777777" w:rsidR="00C04533" w:rsidRDefault="00C04533" w:rsidP="00C04533">
      <w:pPr>
        <w:pStyle w:val="TextoNormal"/>
      </w:pPr>
    </w:p>
    <w:p w14:paraId="161E738B" w14:textId="037B6352" w:rsidR="00C04533" w:rsidRDefault="00C04533" w:rsidP="00C04533">
      <w:pPr>
        <w:pStyle w:val="TextoNormal"/>
      </w:pPr>
      <w:r>
        <w:t>Desde esta perspectiva resulta procedente el mantenimiento de la suspensión del precepto impugnado.</w:t>
      </w:r>
    </w:p>
    <w:p w14:paraId="56AE4909" w14:textId="77777777" w:rsidR="00C04533" w:rsidRDefault="00C04533" w:rsidP="00C04533">
      <w:pPr>
        <w:pStyle w:val="TextoNormal"/>
      </w:pPr>
    </w:p>
    <w:p w14:paraId="7122FD07" w14:textId="77777777" w:rsidR="00C04533" w:rsidRDefault="00C04533" w:rsidP="00C04533">
      <w:pPr>
        <w:pStyle w:val="TextoNormal"/>
      </w:pPr>
      <w:r>
        <w:t>Por lo expuesto, el Pleno</w:t>
      </w:r>
    </w:p>
    <w:p w14:paraId="3B402A96" w14:textId="27AE9F53" w:rsidR="00C04533" w:rsidRDefault="00C04533" w:rsidP="00C04533">
      <w:pPr>
        <w:pStyle w:val="TextoNormal"/>
      </w:pPr>
    </w:p>
    <w:p w14:paraId="7920A3AB" w14:textId="77777777" w:rsidR="00C04533" w:rsidRDefault="00C04533" w:rsidP="00C04533">
      <w:pPr>
        <w:pStyle w:val="TextoNormalCentrado"/>
      </w:pPr>
      <w:r>
        <w:t>ACUERDA</w:t>
      </w:r>
    </w:p>
    <w:p w14:paraId="715F545B" w14:textId="71342948" w:rsidR="00C04533" w:rsidRDefault="00C04533" w:rsidP="00C04533">
      <w:pPr>
        <w:pStyle w:val="TextoNormalCentrado"/>
      </w:pPr>
    </w:p>
    <w:p w14:paraId="4BA3D935" w14:textId="4CB25FCC" w:rsidR="00C04533" w:rsidRDefault="00C04533" w:rsidP="00C04533">
      <w:pPr>
        <w:pStyle w:val="TextoNormal"/>
      </w:pPr>
      <w:r>
        <w:t xml:space="preserve">Mantener la suspensión del apartado d) del art. 65 de la Ley 3/2016, de 22 de julio, de protección integral contra la LGTBIfobia y la discriminación por razón de orientación e identidad sexual en la Comunidad de Madrid, en la redacción dada por el apartado décimo cuarto </w:t>
      </w:r>
      <w:r w:rsidRPr="00C04533">
        <w:rPr>
          <w:i/>
        </w:rPr>
        <w:t>ter</w:t>
      </w:r>
      <w:r>
        <w:t xml:space="preserve"> del artículo único de la Ley 18/2023, de 27 de diciembre, por la que se modifica la Ley 3/2016, de 22 de julio.</w:t>
      </w:r>
    </w:p>
    <w:p w14:paraId="336DA472" w14:textId="77777777" w:rsidR="00C04533" w:rsidRDefault="00C04533" w:rsidP="00C04533">
      <w:pPr>
        <w:pStyle w:val="TextoNormal"/>
      </w:pPr>
    </w:p>
    <w:p w14:paraId="51C7908D" w14:textId="77777777" w:rsidR="00C04533" w:rsidRDefault="00C04533" w:rsidP="00C04533">
      <w:pPr>
        <w:pStyle w:val="TextoNormal"/>
      </w:pPr>
      <w:r>
        <w:t>Madrid, a diecinueve de noviembre de dos mil veinticuatro.</w:t>
      </w:r>
    </w:p>
    <w:p w14:paraId="7D4A6F3D" w14:textId="2B9A7677" w:rsidR="00C04533" w:rsidRDefault="00C04533">
      <w:pPr>
        <w:spacing w:after="160" w:line="278" w:lineRule="auto"/>
        <w:rPr>
          <w:rFonts w:ascii="Times New Roman" w:eastAsia="Times New Roman" w:hAnsi="Times New Roman" w:cs="Times New Roman"/>
          <w:sz w:val="24"/>
          <w:szCs w:val="24"/>
          <w:lang w:eastAsia="es-ES"/>
        </w:rPr>
      </w:pPr>
      <w:r>
        <w:br w:type="page"/>
      </w:r>
    </w:p>
    <w:p w14:paraId="61CBDFDF" w14:textId="77777777" w:rsidR="00C04533" w:rsidRDefault="00C04533" w:rsidP="00C04533">
      <w:pPr>
        <w:pStyle w:val="TtuloResolucin"/>
      </w:pPr>
      <w:bookmarkStart w:id="134" w:name="AUTO_2024_128"/>
      <w:r>
        <w:t>AUTO 128/2024, de 19 de noviembre de 2024</w:t>
      </w:r>
    </w:p>
    <w:bookmarkEnd w:id="134"/>
    <w:p w14:paraId="224A501D" w14:textId="77777777" w:rsidR="00C04533" w:rsidRDefault="00C04533" w:rsidP="00C04533">
      <w:pPr>
        <w:pStyle w:val="TtuloResolucin"/>
      </w:pPr>
      <w:r>
        <w:t>Pleno</w:t>
      </w:r>
    </w:p>
    <w:p w14:paraId="75AEB423" w14:textId="77777777" w:rsidR="00C04533" w:rsidRDefault="00C04533" w:rsidP="00C04533">
      <w:pPr>
        <w:pStyle w:val="TtuloBOE"/>
      </w:pPr>
      <w:r>
        <w:t>(BOE núm. 311, de 26 de diciembre de 2024)</w:t>
      </w:r>
    </w:p>
    <w:p w14:paraId="1F388C42" w14:textId="77777777" w:rsidR="00C04533" w:rsidRDefault="00C04533" w:rsidP="00C04533">
      <w:pPr>
        <w:pStyle w:val="TextoNormalCentrado"/>
      </w:pPr>
      <w:r>
        <w:t>ECLI:ES:TC:2024:128A</w:t>
      </w:r>
    </w:p>
    <w:p w14:paraId="536CFF2F" w14:textId="178688BE" w:rsidR="00C04533" w:rsidRDefault="00C04533" w:rsidP="00C04533">
      <w:pPr>
        <w:pStyle w:val="TextoNormalCentrado"/>
      </w:pPr>
    </w:p>
    <w:p w14:paraId="5EAB8E5D"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5828809B" w14:textId="7496F7C1" w:rsidR="00C04533" w:rsidRDefault="00C04533" w:rsidP="00C04533">
      <w:pPr>
        <w:pStyle w:val="SntesisDescriptiva"/>
      </w:pPr>
    </w:p>
    <w:p w14:paraId="590461F0" w14:textId="77777777" w:rsidR="00C04533" w:rsidRDefault="00C04533" w:rsidP="00C04533">
      <w:pPr>
        <w:pStyle w:val="SntesisDescriptiva"/>
      </w:pPr>
      <w:r>
        <w:t>Inadmite las recusaciones formuladas en el recurso de amparo 5554-2024, promovido por don Fernando Argote Pons en causa penal.</w:t>
      </w:r>
    </w:p>
    <w:p w14:paraId="0CCFB91A" w14:textId="17FCD1AC" w:rsidR="00C04533" w:rsidRDefault="00C04533" w:rsidP="00C04533">
      <w:pPr>
        <w:pStyle w:val="SntesisDescriptiva"/>
      </w:pPr>
    </w:p>
    <w:p w14:paraId="3D694B59" w14:textId="77777777" w:rsidR="00C04533" w:rsidRDefault="00C04533" w:rsidP="00C04533">
      <w:pPr>
        <w:pStyle w:val="SntesisDescriptiva"/>
      </w:pPr>
    </w:p>
    <w:p w14:paraId="4000F9D0" w14:textId="77777777" w:rsidR="00C04533" w:rsidRDefault="00C04533" w:rsidP="00C04533">
      <w:pPr>
        <w:pStyle w:val="SntesisDescriptiva"/>
      </w:pPr>
    </w:p>
    <w:p w14:paraId="2EE20599" w14:textId="77777777" w:rsidR="00C04533" w:rsidRDefault="00C04533" w:rsidP="00C04533">
      <w:pPr>
        <w:pStyle w:val="TextoNormalNegritaCentrado"/>
      </w:pPr>
      <w:r>
        <w:t>AUTO</w:t>
      </w:r>
    </w:p>
    <w:p w14:paraId="55E4FC25" w14:textId="4CA9F327" w:rsidR="00C04533" w:rsidRDefault="00C04533" w:rsidP="00C04533">
      <w:pPr>
        <w:pStyle w:val="TextoNormalNegritaCentrado"/>
      </w:pPr>
    </w:p>
    <w:p w14:paraId="15DE138B" w14:textId="77777777" w:rsidR="00C04533" w:rsidRDefault="00C04533" w:rsidP="00C04533">
      <w:pPr>
        <w:pStyle w:val="TextoNormalNegritaCentrado"/>
        <w:keepNext/>
      </w:pPr>
      <w:r>
        <w:t>I. Antecedentes</w:t>
      </w:r>
    </w:p>
    <w:p w14:paraId="7CCDBD52" w14:textId="7BE4DC23" w:rsidR="00C04533" w:rsidRDefault="00C04533" w:rsidP="00C04533">
      <w:pPr>
        <w:pStyle w:val="TextoNormalNegritaCentrado"/>
        <w:keepNext/>
      </w:pPr>
    </w:p>
    <w:p w14:paraId="1D84A638" w14:textId="77777777" w:rsidR="00C04533" w:rsidRDefault="00C04533" w:rsidP="00C04533">
      <w:pPr>
        <w:pStyle w:val="TextoNormal"/>
      </w:pPr>
      <w:r w:rsidRPr="00C04533">
        <w:rPr>
          <w:rStyle w:val="NumeroAFNegritaCaracter"/>
        </w:rPr>
        <w:t>1</w:t>
      </w:r>
      <w:r>
        <w:t>. Mediante escrito registrado en este tribunal en fecha 15 de julio de 2024, doña Silvia Albaladejo Díaz-Alabart, procuradora de los tribunales, en nombre y representación de don Fernando Argote Pons, interpuso el recurso de amparo de referencia contra el auto de 30 de mayo de 2024 dictado por la Audiencia Provincial de Gipuzkoa, por el que se desestima un recurso de súplica contra una providencia anterior, por falta de postulación, y en el que, por medio de su otrosí primero digo, promueve la recusación de todos los magistrados integrantes del Pleno, a excepción del ponente de esta resolución.</w:t>
      </w:r>
    </w:p>
    <w:p w14:paraId="0D4F48C9" w14:textId="77777777" w:rsidR="00C04533" w:rsidRDefault="00C04533" w:rsidP="00C04533">
      <w:pPr>
        <w:pStyle w:val="TextoNormal"/>
      </w:pPr>
    </w:p>
    <w:p w14:paraId="281FBAA2" w14:textId="35A80656" w:rsidR="00C04533" w:rsidRDefault="00C04533" w:rsidP="00C04533">
      <w:pPr>
        <w:pStyle w:val="TextoNormal"/>
      </w:pPr>
      <w:r>
        <w:t>El recurso de amparo ha sido turnado, a efectos de adoptar la decisión correspondiente sobre su admisibilidad, a la Sección Tercera de este tribunal.</w:t>
      </w:r>
    </w:p>
    <w:p w14:paraId="69DE5850" w14:textId="77777777" w:rsidR="00C04533" w:rsidRDefault="00C04533" w:rsidP="00C04533">
      <w:pPr>
        <w:pStyle w:val="TextoNormal"/>
      </w:pPr>
    </w:p>
    <w:p w14:paraId="12E5D5B0" w14:textId="5D700B37" w:rsidR="00C04533" w:rsidRDefault="00C04533" w:rsidP="00C04533">
      <w:pPr>
        <w:pStyle w:val="TextoNormal"/>
      </w:pPr>
      <w:r w:rsidRPr="00C04533">
        <w:rPr>
          <w:rStyle w:val="NumeroAFNegritaCaracter"/>
        </w:rPr>
        <w:t>2</w:t>
      </w:r>
      <w:r>
        <w:t>. Los motivos de recusación alegados no coinciden en todos los casos, aunque mantienen un sustrato común. Así, en primer lugar, se formula recusación contra un total de ocho magistrados y magistradas por su anterior intervención en varios recursos de amparo promovidos por el ahora recurrente, y que fueron inadmitidos a trámite. En concreto, la magistrada señora Balaguer Callejón y los magistrados señores Sáez Valcárcel y Arnaldo Alcubilla, respecto de los recursos de amparo núm. 192-2024 y 216-2024; el magistrado señor Conde-Pumpido Tourón y las magistradas señoras Espejel Jorquera y Segoviano Astaburuaga, por su anterior intervención en el recurso de amparo núm. 2909-2023; y los magistrados señores Enríquez Sancho y Campo Moreno respecto del recurso de amparo núm. 7178-2023. A lo anterior se añade, en segundo lugar, lo que el recurrente considera como una vinculación política de todos y cada uno de los magistrados de este tribunal, derivada del sistema para su nombramiento que, según el recurrente, le hace dudar legítimamente de la independencia y apariencia de imparcialidad para enjuiciar un asunto en el que, como cuestión de fondo, se abordan acusaciones cruzadas entre un ciudadano y responsables políticos, así como jueces y fiscales nombrados por estos. Y este es, precisamente, el motivo de recusación de los otros tres integrantes del Pleno, las magistradas señoras Montalbán Huertas y Díez Bueso y el magistrado señor Tolosa Tribiño. Para el recurrente, este tribunal tiene una naturaleza política, en el que sus miembros dependen directamente del partido que les ha nombrado. Considera que la imparcialidad del Tribunal debe ser garantizada por el Estado, por lo que “no corresponde al recurrente resolver esta cuestión, sino alegar el estado de indefensión en que se encuentra ante unos magistrados políticos que amparan a políticos” (</w:t>
      </w:r>
      <w:r w:rsidRPr="00C04533">
        <w:rPr>
          <w:i/>
        </w:rPr>
        <w:t>sic</w:t>
      </w:r>
      <w:r>
        <w:t>).</w:t>
      </w:r>
    </w:p>
    <w:p w14:paraId="5E9EF937" w14:textId="77777777" w:rsidR="00C04533" w:rsidRDefault="00C04533" w:rsidP="00C04533">
      <w:pPr>
        <w:pStyle w:val="TextoNormal"/>
      </w:pPr>
    </w:p>
    <w:p w14:paraId="0D8818C2" w14:textId="77777777" w:rsidR="00C04533" w:rsidRDefault="00C04533" w:rsidP="00C04533">
      <w:pPr>
        <w:pStyle w:val="TextoNormalNegritaCentrado"/>
        <w:keepNext/>
      </w:pPr>
      <w:r>
        <w:t>II. Fundamentos jurídicos</w:t>
      </w:r>
    </w:p>
    <w:p w14:paraId="072A74D2" w14:textId="02D05636" w:rsidR="00C04533" w:rsidRDefault="00C04533" w:rsidP="00C04533">
      <w:pPr>
        <w:pStyle w:val="TextoNormalNegritaCentrado"/>
        <w:keepNext/>
      </w:pPr>
    </w:p>
    <w:p w14:paraId="4DCA924D" w14:textId="77777777" w:rsidR="00C04533" w:rsidRDefault="00C04533" w:rsidP="00C04533">
      <w:pPr>
        <w:pStyle w:val="TextoNormal"/>
      </w:pPr>
      <w:r w:rsidRPr="00C04533">
        <w:rPr>
          <w:rStyle w:val="TextoNormalNegritaCaracter"/>
        </w:rPr>
        <w:t xml:space="preserve">Único. </w:t>
      </w:r>
      <w:r w:rsidRPr="00C04533">
        <w:rPr>
          <w:i/>
        </w:rPr>
        <w:t>Objeto de la presente resolución</w:t>
      </w:r>
    </w:p>
    <w:p w14:paraId="23E39B77" w14:textId="77777777" w:rsidR="00C04533" w:rsidRDefault="00C04533" w:rsidP="00C04533">
      <w:pPr>
        <w:pStyle w:val="TextoNormal"/>
      </w:pPr>
    </w:p>
    <w:p w14:paraId="3F7C34C9" w14:textId="77777777" w:rsidR="00C04533" w:rsidRDefault="00C04533" w:rsidP="00C04533">
      <w:pPr>
        <w:pStyle w:val="TextoNormal"/>
      </w:pPr>
      <w:r>
        <w:t>El objeto de la presente resolución es dar respuesta a las solicitudes de recusación formuladas por el ahora recurrente en amparo, dirigidas contra todos los magistrados integrantes del Pleno de este tribunal, a excepción del ponente de esta resolución, quien no había sido formalmente nombrado magistrado constitucional en la fecha de presentación de la demanda.</w:t>
      </w:r>
    </w:p>
    <w:p w14:paraId="2E71F8E7" w14:textId="77777777" w:rsidR="00C04533" w:rsidRDefault="00C04533" w:rsidP="00C04533">
      <w:pPr>
        <w:pStyle w:val="TextoNormal"/>
      </w:pPr>
    </w:p>
    <w:p w14:paraId="26B4E48B" w14:textId="77777777" w:rsidR="00C04533" w:rsidRDefault="00C04533" w:rsidP="00C04533">
      <w:pPr>
        <w:pStyle w:val="TextoNormal"/>
      </w:pPr>
      <w:r>
        <w:t>En relación con dicha solicitud han de hacerse las siguientes consideraciones:</w:t>
      </w:r>
    </w:p>
    <w:p w14:paraId="00C1A339" w14:textId="77777777" w:rsidR="00C04533" w:rsidRDefault="00C04533" w:rsidP="00C04533">
      <w:pPr>
        <w:pStyle w:val="TextoNormal"/>
      </w:pPr>
    </w:p>
    <w:p w14:paraId="20253DB7" w14:textId="77777777" w:rsidR="00C04533" w:rsidRDefault="00C04533" w:rsidP="00C04533">
      <w:pPr>
        <w:pStyle w:val="TextoNormal"/>
      </w:pPr>
      <w:r>
        <w:t xml:space="preserve">a) En primer lugar, debe recordarse que el Pleno de este tribunal resulta competente para conocer de una recusación que afecta a —prácticamente— todos sus miembros, pues es doctrina reiterada de este tribunal que cuando se recusa a la totalidad de sus miembros [o a un número de magistrados suficientemente relevante como para impedir el </w:t>
      </w:r>
      <w:r w:rsidRPr="00C04533">
        <w:rPr>
          <w:i/>
        </w:rPr>
        <w:t>quorum</w:t>
      </w:r>
      <w:r>
        <w:t xml:space="preserve"> para su constitución (ATC 107/2021, de 15 de diciembre FJ 3 B)], es inaplicable el art. 227 de la Ley Orgánica del Poder Judicial (LOPJ); entre otros, AATC 269/2014, de 4 de noviembre, FJ 1, y 62/2020, de 17 de junio, FJ 2), dado que otra solución supondría una paralización inaceptable del ejercicio de la jurisdicción constitucional (AATC 80/2005, de 17 de febrero; 443/2007, de 27 de noviembre; 126/2008, de 14 de mayo; 268/2014, de 4 de noviembre; 269/2014, y 62/2020, FJ 2).</w:t>
      </w:r>
    </w:p>
    <w:p w14:paraId="2E1D143A" w14:textId="77777777" w:rsidR="00C04533" w:rsidRDefault="00C04533" w:rsidP="00C04533">
      <w:pPr>
        <w:pStyle w:val="TextoNormal"/>
      </w:pPr>
    </w:p>
    <w:p w14:paraId="3493EB3D" w14:textId="77777777" w:rsidR="00C04533" w:rsidRDefault="00C04533" w:rsidP="00C04533">
      <w:pPr>
        <w:pStyle w:val="TextoNormal"/>
      </w:pPr>
      <w:r>
        <w:t>b) Ha de reseñarse, igualmente, que este tribunal ha admitido la posibilidad de denegar la tramitación de un incidente de recusación cuando razones procesales o de fondo así lo exijan (AATC 109/1981, de 30 de octubre, y 269/2014, entre otros muchos), lo que puede ser consecuencia de su defectuoso planteamiento procesal o de la existencia de una situación de manifiesto abuso de derecho o de fraude de ley o procesal (art. 11.2 LOPJ), tal y como reiteradamente ha sostenido la jurisprudencia constitucional (AATC 383/2006, de 2 de noviembre, FJ 2; 394/2006, de 7 de noviembre, FJ 2, y 119/2017, de 7 de septiembre, FJ 3).</w:t>
      </w:r>
    </w:p>
    <w:p w14:paraId="06F35F97" w14:textId="77777777" w:rsidR="00C04533" w:rsidRDefault="00C04533" w:rsidP="00C04533">
      <w:pPr>
        <w:pStyle w:val="TextoNormal"/>
      </w:pPr>
    </w:p>
    <w:p w14:paraId="0EC7639D" w14:textId="77777777" w:rsidR="00C04533" w:rsidRDefault="00C04533" w:rsidP="00C04533">
      <w:pPr>
        <w:pStyle w:val="TextoNormal"/>
      </w:pPr>
      <w:r>
        <w:t xml:space="preserve">c) Entre los motivos que justifican el rechazo </w:t>
      </w:r>
      <w:r w:rsidRPr="00C04533">
        <w:rPr>
          <w:i/>
        </w:rPr>
        <w:t>a limine</w:t>
      </w:r>
      <w:r>
        <w:t xml:space="preserve"> se incluyen los supuestos en los que la recusación se dirige contra la totalidad de los magistrados que forman el Tribunal Constitucional, supuesto claramente equiparable al que nos ocupa. En relación con este tipo de recusaciones este tribunal ha señalado que “vienen a coincidir dos órdenes de peculiaridades. El primero deriva de la especificidad del Tribunal Constitucional, órgano constitucional único en su género, no integrado en el poder judicial, compuesto por doce únicos magistrados, sin posibilidad alguna de sustitución interna, a cuyo Pleno corresponde la competencia en materia de recusación de sus magistrados [art. 10.1 k) de la Ley Orgánica del Tribunal Constitucional]. El segundo y principal deriva de la naturaleza misma de la recusación, en la que, propiamente, no se recusa a los magistrados, sino al propio Tribunal Constitucional (ATC 380/1993, de 21 de diciembre, FJ 4). El Tribunal ha apreciado que, como en estos casos la recusación va referida al órgano mismo y no a sus integrantes, ‘carece de sustantividad jurídica’ y no es acreedora de una decisión sobre el fondo (ATC 269/2014, de 4 de noviembre, FJ 2). Por ello, las recusaciones que se formulan contra todo el colegio de magistrados ‘son impertinentes y abusivas y deben ser rechazadas sin más’ (ATC 80/2005, de 17 de febrero, FJ 5)” (ATC 62/2020, FJ 3).</w:t>
      </w:r>
    </w:p>
    <w:p w14:paraId="04BFB24C" w14:textId="77777777" w:rsidR="00C04533" w:rsidRDefault="00C04533" w:rsidP="00C04533">
      <w:pPr>
        <w:pStyle w:val="TextoNormal"/>
      </w:pPr>
    </w:p>
    <w:p w14:paraId="0CF5392E" w14:textId="77777777" w:rsidR="00C04533" w:rsidRDefault="00C04533" w:rsidP="00C04533">
      <w:pPr>
        <w:pStyle w:val="TextoNormal"/>
      </w:pPr>
      <w:r>
        <w:t>d) Como ya se dijo en el mismo ATC 62/2020, FJ 3, la inadmisión liminar a que se refiere la jurisprudencia citada en la letra anterior no se asocia al empleo de una determinada terminología en la redacción del incidente, sino al objeto y finalidad real de la recusación planteada. En el presente caso, aunque formalmente se recusa individualmente a cada uno de los magistrados, la recusación tiene como objeto recusar al Tribunal Constitucional. La referencia personalizada a cada uno de los magistrados no impide apreciar que se trata de una recusación genérica de todos ellos.</w:t>
      </w:r>
    </w:p>
    <w:p w14:paraId="1B019DDA" w14:textId="77777777" w:rsidR="00C04533" w:rsidRDefault="00C04533" w:rsidP="00C04533">
      <w:pPr>
        <w:pStyle w:val="TextoNormal"/>
      </w:pPr>
    </w:p>
    <w:p w14:paraId="1D757F3C" w14:textId="77777777" w:rsidR="00C04533" w:rsidRDefault="00C04533" w:rsidP="00C04533">
      <w:pPr>
        <w:pStyle w:val="TextoNormal"/>
      </w:pPr>
      <w:r>
        <w:t>Este planteamiento es incompatible con la naturaleza del Tribunal Constitucional que, como se ha señalado, es un tribunal único en su género cuyos miembros son insustituibles y a quien le corresponde resolver los procesos constitucionales que la Constitución y su Ley Orgánica le atribuye.</w:t>
      </w:r>
    </w:p>
    <w:p w14:paraId="4B003613" w14:textId="77777777" w:rsidR="00C04533" w:rsidRDefault="00C04533" w:rsidP="00C04533">
      <w:pPr>
        <w:pStyle w:val="TextoNormal"/>
      </w:pPr>
    </w:p>
    <w:p w14:paraId="73ADDEF5" w14:textId="77777777" w:rsidR="00C04533" w:rsidRDefault="00C04533" w:rsidP="00C04533">
      <w:pPr>
        <w:pStyle w:val="TextoNormal"/>
      </w:pPr>
      <w:r>
        <w:t>Así pues, la argumentación dada por quien promueve este incidente no puede prosperar. La tacha dirigida contra casi todos los magistrados que conforman este tribunal es equivalente a la descalificación del órgano mismo para conocer del presente recurso de amparo, por lo que, de acuerdo con la jurisprudencia constitucional, la recusación formulada carece de sustantividad jurídica y no es acreedora de una decisión sobre el fondo (ATC 268/2014, FJ 2; 269/2014, FJ 2; 119/2017, FJ 3; 125/2017, de 20 septiembre, FJ 5, y 132/2017, de 3 de octubre).</w:t>
      </w:r>
    </w:p>
    <w:p w14:paraId="3010A811" w14:textId="77777777" w:rsidR="00C04533" w:rsidRDefault="00C04533" w:rsidP="00C04533">
      <w:pPr>
        <w:pStyle w:val="TextoNormal"/>
      </w:pPr>
    </w:p>
    <w:p w14:paraId="7ECD33D7" w14:textId="433E441D" w:rsidR="00C04533" w:rsidRDefault="00C04533" w:rsidP="00C04533">
      <w:pPr>
        <w:pStyle w:val="TextoNormal"/>
      </w:pPr>
      <w:r>
        <w:t xml:space="preserve">Como recuerda el ATC 17/2022, de 25 de enero, FJ 4 C) d), esta “actuación procesal ha de ser consideraba objetivamente abusiva, en los términos en que el Tribunal Europeo de Derechos Humanos se pronuncia en la decisión de inadmisión de 21 de septiembre de 2021, adoptada en el asunto </w:t>
      </w:r>
      <w:r w:rsidRPr="00C04533">
        <w:rPr>
          <w:i/>
        </w:rPr>
        <w:t>Zambrano c. Francia</w:t>
      </w:r>
      <w:r>
        <w:t xml:space="preserve"> (§ 33 a 38) pues, como allí, no se dirige a ver resuelta la pretensión de amparo formulada en cada caso en relación con los procesos judiciales previos a los que afecta, sino más directamente, a la paralización del funcionamiento del Tribunal Constitucional, objetivo este que justifica la inadmisión </w:t>
      </w:r>
      <w:r w:rsidRPr="00C04533">
        <w:rPr>
          <w:i/>
        </w:rPr>
        <w:t>a limine</w:t>
      </w:r>
      <w:r>
        <w:t>”.</w:t>
      </w:r>
    </w:p>
    <w:p w14:paraId="7B2BE195" w14:textId="77777777" w:rsidR="00C04533" w:rsidRDefault="00C04533" w:rsidP="00C04533">
      <w:pPr>
        <w:pStyle w:val="TextoNormal"/>
      </w:pPr>
    </w:p>
    <w:p w14:paraId="35426C3A" w14:textId="77777777" w:rsidR="00C04533" w:rsidRDefault="00C04533" w:rsidP="00C04533">
      <w:pPr>
        <w:pStyle w:val="TextoNormal"/>
      </w:pPr>
      <w:r>
        <w:t>Por lo expuesto, el Pleno</w:t>
      </w:r>
    </w:p>
    <w:p w14:paraId="2DA48AE3" w14:textId="1C70FA63" w:rsidR="00C04533" w:rsidRDefault="00C04533" w:rsidP="00C04533">
      <w:pPr>
        <w:pStyle w:val="TextoNormal"/>
      </w:pPr>
    </w:p>
    <w:p w14:paraId="0976E8E2" w14:textId="77777777" w:rsidR="00C04533" w:rsidRDefault="00C04533" w:rsidP="00C04533">
      <w:pPr>
        <w:pStyle w:val="TextoNormalCentrado"/>
      </w:pPr>
      <w:r>
        <w:t>ACUERDA</w:t>
      </w:r>
    </w:p>
    <w:p w14:paraId="59A7DF9B" w14:textId="183A23AA" w:rsidR="00C04533" w:rsidRDefault="00C04533" w:rsidP="00C04533">
      <w:pPr>
        <w:pStyle w:val="TextoNormalCentrado"/>
      </w:pPr>
    </w:p>
    <w:p w14:paraId="64129BAE" w14:textId="77777777" w:rsidR="00C04533" w:rsidRDefault="00C04533" w:rsidP="00C04533">
      <w:pPr>
        <w:pStyle w:val="TextoNormal"/>
      </w:pPr>
      <w:r>
        <w:t>Inadmitir las recusaciones promovidas por don Fernando Argote Pons en el recurso de amparo núm. 5554-2024.</w:t>
      </w:r>
    </w:p>
    <w:p w14:paraId="35BE95A0" w14:textId="77777777" w:rsidR="00C04533" w:rsidRDefault="00C04533" w:rsidP="00C04533">
      <w:pPr>
        <w:pStyle w:val="TextoNormal"/>
      </w:pPr>
    </w:p>
    <w:p w14:paraId="10ACF090" w14:textId="6B7EEB72" w:rsidR="00C04533" w:rsidRDefault="00C04533" w:rsidP="00C04533">
      <w:pPr>
        <w:pStyle w:val="TextoNormal"/>
      </w:pPr>
      <w:r>
        <w:t>Publíquese este auto en el “Boletín Oficial del Estado”.</w:t>
      </w:r>
    </w:p>
    <w:p w14:paraId="59B7B5C4" w14:textId="77777777" w:rsidR="00C04533" w:rsidRDefault="00C04533" w:rsidP="00C04533">
      <w:pPr>
        <w:pStyle w:val="TextoNormal"/>
      </w:pPr>
    </w:p>
    <w:p w14:paraId="653C3810" w14:textId="77777777" w:rsidR="00C04533" w:rsidRDefault="00C04533" w:rsidP="00C04533">
      <w:pPr>
        <w:pStyle w:val="TextoNormal"/>
      </w:pPr>
      <w:r>
        <w:t>Madrid, a diecinueve de noviembre de dos mil veinticuatro.</w:t>
      </w:r>
    </w:p>
    <w:p w14:paraId="6E6FDEE7" w14:textId="54C744B8" w:rsidR="00C04533" w:rsidRDefault="00C04533">
      <w:pPr>
        <w:spacing w:after="160" w:line="278" w:lineRule="auto"/>
        <w:rPr>
          <w:rFonts w:ascii="Times New Roman" w:eastAsia="Times New Roman" w:hAnsi="Times New Roman" w:cs="Times New Roman"/>
          <w:sz w:val="24"/>
          <w:szCs w:val="24"/>
          <w:lang w:eastAsia="es-ES"/>
        </w:rPr>
      </w:pPr>
      <w:r>
        <w:br w:type="page"/>
      </w:r>
    </w:p>
    <w:p w14:paraId="4D7FB3DE" w14:textId="77777777" w:rsidR="00C04533" w:rsidRDefault="00C04533" w:rsidP="00C04533">
      <w:pPr>
        <w:pStyle w:val="TtuloResolucin"/>
      </w:pPr>
      <w:bookmarkStart w:id="135" w:name="AUTO_2024_129"/>
      <w:r>
        <w:t>AUTO 129/2024, de 19 de noviembre de 2024</w:t>
      </w:r>
    </w:p>
    <w:bookmarkEnd w:id="135"/>
    <w:p w14:paraId="33A22B3B" w14:textId="77777777" w:rsidR="00C04533" w:rsidRDefault="00C04533" w:rsidP="00C04533">
      <w:pPr>
        <w:pStyle w:val="TtuloResolucin"/>
      </w:pPr>
      <w:r>
        <w:t>Pleno</w:t>
      </w:r>
    </w:p>
    <w:p w14:paraId="00FFE63A" w14:textId="77777777" w:rsidR="00C04533" w:rsidRDefault="00C04533" w:rsidP="00C04533">
      <w:pPr>
        <w:pStyle w:val="TextoNormalCentrado"/>
      </w:pPr>
      <w:r>
        <w:t>ECLI:ES:TC:2024:129A</w:t>
      </w:r>
    </w:p>
    <w:p w14:paraId="00494206" w14:textId="1576935C" w:rsidR="00C04533" w:rsidRDefault="00C04533" w:rsidP="00C04533">
      <w:pPr>
        <w:pStyle w:val="TextoNormalCentrado"/>
      </w:pPr>
    </w:p>
    <w:p w14:paraId="38A8CC74"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0D4D72EC" w14:textId="4996C8F9" w:rsidR="00C04533" w:rsidRDefault="00C04533" w:rsidP="00C04533">
      <w:pPr>
        <w:pStyle w:val="SntesisDescriptiva"/>
      </w:pPr>
    </w:p>
    <w:p w14:paraId="3056C59F" w14:textId="77777777" w:rsidR="00C04533" w:rsidRDefault="00C04533" w:rsidP="00C04533">
      <w:pPr>
        <w:pStyle w:val="SntesisDescriptiva"/>
      </w:pPr>
      <w:r>
        <w:t>Inadmite una recusación en el recurso de inconstitucionalidad 6486-2024, interpuesto por las Cortes de Aragón en relación con la Ley Orgánica 1/2024, de 10 de junio, de amnistía para la normalización institucional, política y social en Cataluña.</w:t>
      </w:r>
    </w:p>
    <w:p w14:paraId="5942F3F6" w14:textId="789612A9" w:rsidR="00C04533" w:rsidRDefault="00C04533" w:rsidP="00C04533">
      <w:pPr>
        <w:pStyle w:val="SntesisDescriptiva"/>
      </w:pPr>
    </w:p>
    <w:p w14:paraId="65C801DC" w14:textId="77777777" w:rsidR="00C04533" w:rsidRDefault="00C04533" w:rsidP="00C04533">
      <w:pPr>
        <w:pStyle w:val="SntesisDescriptiva"/>
      </w:pPr>
    </w:p>
    <w:p w14:paraId="1C46E1BC" w14:textId="77777777" w:rsidR="00C04533" w:rsidRDefault="00C04533" w:rsidP="00C04533">
      <w:pPr>
        <w:pStyle w:val="SntesisDescriptiva"/>
      </w:pPr>
    </w:p>
    <w:p w14:paraId="28675DFE" w14:textId="77777777" w:rsidR="00C04533" w:rsidRDefault="00C04533" w:rsidP="00C04533">
      <w:pPr>
        <w:pStyle w:val="TextoNormalNegritaCentrado"/>
      </w:pPr>
      <w:r>
        <w:t>AUTO</w:t>
      </w:r>
    </w:p>
    <w:p w14:paraId="07C6A758" w14:textId="6B0E8DEB" w:rsidR="00C04533" w:rsidRDefault="00C04533" w:rsidP="00C04533">
      <w:pPr>
        <w:pStyle w:val="TextoNormalNegritaCentrado"/>
      </w:pPr>
    </w:p>
    <w:p w14:paraId="4455FD18" w14:textId="77777777" w:rsidR="00C04533" w:rsidRDefault="00C04533" w:rsidP="00C04533">
      <w:pPr>
        <w:pStyle w:val="TextoNormalNegritaCentrado"/>
        <w:keepNext/>
      </w:pPr>
      <w:r>
        <w:t>I. Antecedentes</w:t>
      </w:r>
    </w:p>
    <w:p w14:paraId="766E0879" w14:textId="76480789" w:rsidR="00C04533" w:rsidRDefault="00C04533" w:rsidP="00C04533">
      <w:pPr>
        <w:pStyle w:val="TextoNormalNegritaCentrado"/>
        <w:keepNext/>
      </w:pPr>
    </w:p>
    <w:p w14:paraId="33B2A371" w14:textId="73BD485D"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el recurso de inconstitucionalidad núm. 6486-2024, interpuesto por las Cortes de Aragón en relación con la Ley Orgánica 1/2024, de 10 de junio, de amnistía para la normalización institucional, política y social en Cataluña.</w:t>
      </w:r>
    </w:p>
    <w:p w14:paraId="48D95B0E" w14:textId="77777777" w:rsidR="00C04533" w:rsidRDefault="00C04533" w:rsidP="00C04533">
      <w:pPr>
        <w:pStyle w:val="TextoNormal"/>
      </w:pPr>
    </w:p>
    <w:p w14:paraId="365C1E8A" w14:textId="707F00ED"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14:paraId="4640CD22" w14:textId="77777777" w:rsidR="00C04533" w:rsidRDefault="00C04533" w:rsidP="00C04533">
      <w:pPr>
        <w:pStyle w:val="TextoNormal"/>
      </w:pPr>
    </w:p>
    <w:p w14:paraId="0DDEA70E" w14:textId="7ECA0DC9"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 la magistrada doña María Luisa Segoviano Astaburuaga.</w:t>
      </w:r>
    </w:p>
    <w:p w14:paraId="496C0D7D" w14:textId="77777777" w:rsidR="00C04533" w:rsidRDefault="00C04533" w:rsidP="00C04533">
      <w:pPr>
        <w:pStyle w:val="TextoNormal"/>
      </w:pPr>
    </w:p>
    <w:p w14:paraId="4498595C" w14:textId="26683B92"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3CFEA33B" w14:textId="77777777" w:rsidR="00C04533" w:rsidRDefault="00C04533" w:rsidP="00C04533">
      <w:pPr>
        <w:pStyle w:val="TextoNormal"/>
      </w:pPr>
    </w:p>
    <w:p w14:paraId="327BE25F" w14:textId="77777777" w:rsidR="00C04533" w:rsidRDefault="00C04533" w:rsidP="00C04533">
      <w:pPr>
        <w:pStyle w:val="TextoNormalNegritaCentrado"/>
        <w:keepNext/>
      </w:pPr>
      <w:r>
        <w:t>II. Fundamentos jurídicos</w:t>
      </w:r>
    </w:p>
    <w:p w14:paraId="2B24645A" w14:textId="2E2A93FB" w:rsidR="00C04533" w:rsidRDefault="00C04533" w:rsidP="00C04533">
      <w:pPr>
        <w:pStyle w:val="TextoNormalNegritaCentrado"/>
        <w:keepNext/>
      </w:pPr>
    </w:p>
    <w:p w14:paraId="01F9C701" w14:textId="322A8271" w:rsidR="00C04533" w:rsidRDefault="00C04533" w:rsidP="00C04533">
      <w:pPr>
        <w:pStyle w:val="TextoNormal"/>
      </w:pPr>
      <w:r w:rsidRPr="00C04533">
        <w:rPr>
          <w:rStyle w:val="TextoNormalNegritaCaracter"/>
        </w:rPr>
        <w:t xml:space="preserve">Único. </w:t>
      </w:r>
      <w:r>
        <w:t>La presente recusación guarda identidad con la inadmitida por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236C9D9D" w14:textId="77777777" w:rsidR="00C04533" w:rsidRDefault="00C04533" w:rsidP="00C04533">
      <w:pPr>
        <w:pStyle w:val="TextoNormal"/>
      </w:pPr>
    </w:p>
    <w:p w14:paraId="323CB23B" w14:textId="77777777" w:rsidR="00C04533" w:rsidRDefault="00C04533" w:rsidP="00C04533">
      <w:pPr>
        <w:pStyle w:val="TextoNormal"/>
      </w:pPr>
      <w:r>
        <w:t>Por lo expuesto, el Pleno</w:t>
      </w:r>
    </w:p>
    <w:p w14:paraId="003D2EE8" w14:textId="463D218B" w:rsidR="00C04533" w:rsidRDefault="00C04533" w:rsidP="00C04533">
      <w:pPr>
        <w:pStyle w:val="TextoNormal"/>
      </w:pPr>
    </w:p>
    <w:p w14:paraId="72CADFE3" w14:textId="77777777" w:rsidR="00C04533" w:rsidRDefault="00C04533" w:rsidP="00C04533">
      <w:pPr>
        <w:pStyle w:val="TextoNormalCentrado"/>
      </w:pPr>
      <w:r>
        <w:t>ACUERDA</w:t>
      </w:r>
    </w:p>
    <w:p w14:paraId="0D9556CA" w14:textId="352F4DDD" w:rsidR="00C04533" w:rsidRDefault="00C04533" w:rsidP="00C04533">
      <w:pPr>
        <w:pStyle w:val="TextoNormalCentrado"/>
      </w:pPr>
    </w:p>
    <w:p w14:paraId="3E886AD3" w14:textId="1276FD0B" w:rsidR="00C04533" w:rsidRDefault="00C04533" w:rsidP="00C04533">
      <w:pPr>
        <w:pStyle w:val="TextoNormal"/>
      </w:pPr>
      <w:r>
        <w:t>No admitir a trámite la recusación del magistrado don José María Macías Castaño, promovida por el abogado del Estado en el recurso de inconstitucionalidad núm. 6486-2024.</w:t>
      </w:r>
    </w:p>
    <w:p w14:paraId="2B8A5016" w14:textId="77777777" w:rsidR="00C04533" w:rsidRDefault="00C04533" w:rsidP="00C04533">
      <w:pPr>
        <w:pStyle w:val="TextoNormal"/>
      </w:pPr>
    </w:p>
    <w:p w14:paraId="0C8173C0" w14:textId="77777777" w:rsidR="00C04533" w:rsidRDefault="00C04533" w:rsidP="00C04533">
      <w:pPr>
        <w:pStyle w:val="TextoNormal"/>
      </w:pPr>
      <w:r>
        <w:t>Madrid, a diecinueve de noviembre de dos mil veinticuatro.</w:t>
      </w:r>
    </w:p>
    <w:p w14:paraId="515C061B" w14:textId="52630B41" w:rsidR="00C04533" w:rsidRDefault="00C04533">
      <w:pPr>
        <w:spacing w:after="160" w:line="278" w:lineRule="auto"/>
        <w:rPr>
          <w:rFonts w:ascii="Times New Roman" w:eastAsia="Times New Roman" w:hAnsi="Times New Roman" w:cs="Times New Roman"/>
          <w:sz w:val="24"/>
          <w:szCs w:val="24"/>
          <w:lang w:eastAsia="es-ES"/>
        </w:rPr>
      </w:pPr>
      <w:r>
        <w:br w:type="page"/>
      </w:r>
    </w:p>
    <w:p w14:paraId="61E53721" w14:textId="77777777" w:rsidR="00C04533" w:rsidRDefault="00C04533" w:rsidP="00C04533">
      <w:pPr>
        <w:pStyle w:val="TtuloResolucin"/>
      </w:pPr>
      <w:bookmarkStart w:id="136" w:name="AUTO_2024_130"/>
      <w:r>
        <w:t>AUTO 130/2024, de 19 de noviembre de 2024</w:t>
      </w:r>
    </w:p>
    <w:bookmarkEnd w:id="136"/>
    <w:p w14:paraId="41455CA3" w14:textId="77777777" w:rsidR="00C04533" w:rsidRDefault="00C04533" w:rsidP="00C04533">
      <w:pPr>
        <w:pStyle w:val="TtuloResolucin"/>
      </w:pPr>
      <w:r>
        <w:t>Pleno</w:t>
      </w:r>
    </w:p>
    <w:p w14:paraId="3D8408CF" w14:textId="77777777" w:rsidR="00C04533" w:rsidRDefault="00C04533" w:rsidP="00C04533">
      <w:pPr>
        <w:pStyle w:val="TextoNormalCentrado"/>
      </w:pPr>
      <w:r>
        <w:t>ECLI:ES:TC:2024:130A</w:t>
      </w:r>
    </w:p>
    <w:p w14:paraId="16A2077D" w14:textId="6105FB3C" w:rsidR="00C04533" w:rsidRDefault="00C04533" w:rsidP="00C04533">
      <w:pPr>
        <w:pStyle w:val="TextoNormalCentrado"/>
      </w:pPr>
    </w:p>
    <w:p w14:paraId="11179C8D"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25E1B47A" w14:textId="3B24E2A5" w:rsidR="00C04533" w:rsidRDefault="00C04533" w:rsidP="00C04533">
      <w:pPr>
        <w:pStyle w:val="SntesisDescriptiva"/>
      </w:pPr>
    </w:p>
    <w:p w14:paraId="2898DD41" w14:textId="77777777" w:rsidR="00C04533" w:rsidRDefault="00C04533" w:rsidP="00C04533">
      <w:pPr>
        <w:pStyle w:val="SntesisDescriptiva"/>
      </w:pPr>
      <w:r>
        <w:t>Inadmite una recusación en el recurso de inconstitucionalidad 6525-2024, interpuesto por el Parlamento de Cantabria en relación con la Ley Orgánica 1/2024, de 10 de junio, de amnistía para la normalización institucional, política y social en Cataluña.</w:t>
      </w:r>
    </w:p>
    <w:p w14:paraId="0413281D" w14:textId="6DF69AAD" w:rsidR="00C04533" w:rsidRDefault="00C04533" w:rsidP="00C04533">
      <w:pPr>
        <w:pStyle w:val="SntesisDescriptiva"/>
      </w:pPr>
    </w:p>
    <w:p w14:paraId="67A43993" w14:textId="77777777" w:rsidR="00C04533" w:rsidRDefault="00C04533" w:rsidP="00C04533">
      <w:pPr>
        <w:pStyle w:val="SntesisDescriptiva"/>
      </w:pPr>
    </w:p>
    <w:p w14:paraId="4B38C2A8" w14:textId="77777777" w:rsidR="00C04533" w:rsidRDefault="00C04533" w:rsidP="00C04533">
      <w:pPr>
        <w:pStyle w:val="SntesisDescriptiva"/>
      </w:pPr>
    </w:p>
    <w:p w14:paraId="50D3927F" w14:textId="77777777" w:rsidR="00C04533" w:rsidRDefault="00C04533" w:rsidP="00C04533">
      <w:pPr>
        <w:pStyle w:val="TextoNormalNegritaCentrado"/>
      </w:pPr>
      <w:r>
        <w:t>AUTO</w:t>
      </w:r>
    </w:p>
    <w:p w14:paraId="13412561" w14:textId="4543B069" w:rsidR="00C04533" w:rsidRDefault="00C04533" w:rsidP="00C04533">
      <w:pPr>
        <w:pStyle w:val="TextoNormalNegritaCentrado"/>
      </w:pPr>
    </w:p>
    <w:p w14:paraId="23CD37A7" w14:textId="77777777" w:rsidR="00C04533" w:rsidRDefault="00C04533" w:rsidP="00C04533">
      <w:pPr>
        <w:pStyle w:val="TextoNormalNegritaCentrado"/>
        <w:keepNext/>
      </w:pPr>
      <w:r>
        <w:t>I. Antecedentes</w:t>
      </w:r>
    </w:p>
    <w:p w14:paraId="6859940D" w14:textId="4F91B4AD" w:rsidR="00C04533" w:rsidRDefault="00C04533" w:rsidP="00C04533">
      <w:pPr>
        <w:pStyle w:val="TextoNormalNegritaCentrado"/>
        <w:keepNext/>
      </w:pPr>
    </w:p>
    <w:p w14:paraId="0FB2833A" w14:textId="78010E27"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el recurso de inconstitucionalidad núm. 6525-2024, interpuesto por el Parlamento de Cantabria en relación con la Ley Orgánica 1/2024, de 10 de junio, de amnistía para la normalización institucional, política y social en Cataluña.</w:t>
      </w:r>
    </w:p>
    <w:p w14:paraId="2C0E6836" w14:textId="77777777" w:rsidR="00C04533" w:rsidRDefault="00C04533" w:rsidP="00C04533">
      <w:pPr>
        <w:pStyle w:val="TextoNormal"/>
      </w:pPr>
    </w:p>
    <w:p w14:paraId="5FC86CFA" w14:textId="7C4A03BA"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14:paraId="0184FADA" w14:textId="77777777" w:rsidR="00C04533" w:rsidRDefault="00C04533" w:rsidP="00C04533">
      <w:pPr>
        <w:pStyle w:val="TextoNormal"/>
      </w:pPr>
    </w:p>
    <w:p w14:paraId="1842C2AC" w14:textId="5432FFCC"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al magistrado don César Tolosa Tribiño.</w:t>
      </w:r>
    </w:p>
    <w:p w14:paraId="71F211BF" w14:textId="77777777" w:rsidR="00C04533" w:rsidRDefault="00C04533" w:rsidP="00C04533">
      <w:pPr>
        <w:pStyle w:val="TextoNormal"/>
      </w:pPr>
    </w:p>
    <w:p w14:paraId="7F1A60FB" w14:textId="65310766"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029DFF07" w14:textId="77777777" w:rsidR="00C04533" w:rsidRDefault="00C04533" w:rsidP="00C04533">
      <w:pPr>
        <w:pStyle w:val="TextoNormal"/>
      </w:pPr>
    </w:p>
    <w:p w14:paraId="6BAEB082" w14:textId="77777777" w:rsidR="00C04533" w:rsidRDefault="00C04533" w:rsidP="00C04533">
      <w:pPr>
        <w:pStyle w:val="TextoNormalNegritaCentrado"/>
        <w:keepNext/>
      </w:pPr>
      <w:r>
        <w:t>II. Fundamentos jurídicos</w:t>
      </w:r>
    </w:p>
    <w:p w14:paraId="6E0D664A" w14:textId="131A1BF1" w:rsidR="00C04533" w:rsidRDefault="00C04533" w:rsidP="00C04533">
      <w:pPr>
        <w:pStyle w:val="TextoNormalNegritaCentrado"/>
        <w:keepNext/>
      </w:pPr>
    </w:p>
    <w:p w14:paraId="076DAE60" w14:textId="35B101C4" w:rsidR="00C04533" w:rsidRDefault="00C04533" w:rsidP="00C04533">
      <w:pPr>
        <w:pStyle w:val="TextoNormal"/>
      </w:pPr>
      <w:r w:rsidRPr="00C04533">
        <w:rPr>
          <w:rStyle w:val="TextoNormalNegritaCaracter"/>
        </w:rPr>
        <w:t xml:space="preserve">Único. </w:t>
      </w:r>
      <w:r>
        <w:t>La presente recusación guarda identidad con la inadmitida por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539789E6" w14:textId="77777777" w:rsidR="00C04533" w:rsidRDefault="00C04533" w:rsidP="00C04533">
      <w:pPr>
        <w:pStyle w:val="TextoNormal"/>
      </w:pPr>
    </w:p>
    <w:p w14:paraId="6646998B" w14:textId="77777777" w:rsidR="00C04533" w:rsidRDefault="00C04533" w:rsidP="00C04533">
      <w:pPr>
        <w:pStyle w:val="TextoNormal"/>
      </w:pPr>
      <w:r>
        <w:t>Por lo expuesto, el Pleno</w:t>
      </w:r>
    </w:p>
    <w:p w14:paraId="3BAB4444" w14:textId="3466C955" w:rsidR="00C04533" w:rsidRDefault="00C04533" w:rsidP="00C04533">
      <w:pPr>
        <w:pStyle w:val="TextoNormal"/>
      </w:pPr>
    </w:p>
    <w:p w14:paraId="1C7BF8BD" w14:textId="77777777" w:rsidR="00C04533" w:rsidRDefault="00C04533" w:rsidP="00C04533">
      <w:pPr>
        <w:pStyle w:val="TextoNormalCentrado"/>
      </w:pPr>
      <w:r>
        <w:t>ACUERDA</w:t>
      </w:r>
    </w:p>
    <w:p w14:paraId="5B681237" w14:textId="428FAA10" w:rsidR="00C04533" w:rsidRDefault="00C04533" w:rsidP="00C04533">
      <w:pPr>
        <w:pStyle w:val="TextoNormalCentrado"/>
      </w:pPr>
    </w:p>
    <w:p w14:paraId="61D7BC33" w14:textId="2C5BE6B1" w:rsidR="00C04533" w:rsidRDefault="00C04533" w:rsidP="00C04533">
      <w:pPr>
        <w:pStyle w:val="TextoNormal"/>
      </w:pPr>
      <w:r>
        <w:t>No admitir a trámite la recusación del magistrado don José María Macías Castaño, promovida por el abogado del Estado en el recurso de inconstitucionalidad núm. 6525-2024.</w:t>
      </w:r>
    </w:p>
    <w:p w14:paraId="1468315A" w14:textId="77777777" w:rsidR="00C04533" w:rsidRDefault="00C04533" w:rsidP="00C04533">
      <w:pPr>
        <w:pStyle w:val="TextoNormal"/>
      </w:pPr>
    </w:p>
    <w:p w14:paraId="5CB2C5AE" w14:textId="77777777" w:rsidR="00C04533" w:rsidRDefault="00C04533" w:rsidP="00C04533">
      <w:pPr>
        <w:pStyle w:val="TextoNormal"/>
      </w:pPr>
      <w:r>
        <w:t>Madrid, a diecinueve de noviembre de dos mil veinticuatro.</w:t>
      </w:r>
    </w:p>
    <w:p w14:paraId="7FA9F952" w14:textId="36CEB7A6" w:rsidR="00C04533" w:rsidRDefault="00C04533">
      <w:pPr>
        <w:spacing w:after="160" w:line="278" w:lineRule="auto"/>
        <w:rPr>
          <w:rFonts w:ascii="Times New Roman" w:eastAsia="Times New Roman" w:hAnsi="Times New Roman" w:cs="Times New Roman"/>
          <w:sz w:val="24"/>
          <w:szCs w:val="24"/>
          <w:lang w:eastAsia="es-ES"/>
        </w:rPr>
      </w:pPr>
      <w:r>
        <w:br w:type="page"/>
      </w:r>
    </w:p>
    <w:p w14:paraId="6BD71C94" w14:textId="77777777" w:rsidR="00C04533" w:rsidRDefault="00C04533" w:rsidP="00C04533">
      <w:pPr>
        <w:pStyle w:val="TtuloResolucin"/>
      </w:pPr>
      <w:bookmarkStart w:id="137" w:name="AUTO_2024_131"/>
      <w:r>
        <w:t>AUTO 131/2024, de 19 de noviembre de 2024</w:t>
      </w:r>
    </w:p>
    <w:bookmarkEnd w:id="137"/>
    <w:p w14:paraId="6E779BB6" w14:textId="77777777" w:rsidR="00C04533" w:rsidRDefault="00C04533" w:rsidP="00C04533">
      <w:pPr>
        <w:pStyle w:val="TtuloResolucin"/>
      </w:pPr>
      <w:r>
        <w:t>Pleno</w:t>
      </w:r>
    </w:p>
    <w:p w14:paraId="68C38027" w14:textId="77777777" w:rsidR="00C04533" w:rsidRDefault="00C04533" w:rsidP="00C04533">
      <w:pPr>
        <w:pStyle w:val="TextoNormalCentrado"/>
      </w:pPr>
      <w:r>
        <w:t>ECLI:ES:TC:2024:131A</w:t>
      </w:r>
    </w:p>
    <w:p w14:paraId="1F5CB4A6" w14:textId="428AFAC7" w:rsidR="00C04533" w:rsidRDefault="00C04533" w:rsidP="00C04533">
      <w:pPr>
        <w:pStyle w:val="TextoNormalCentrado"/>
      </w:pPr>
    </w:p>
    <w:p w14:paraId="338D411F"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07E4AD6C" w14:textId="58403DBC" w:rsidR="00C04533" w:rsidRDefault="00C04533" w:rsidP="00C04533">
      <w:pPr>
        <w:pStyle w:val="SntesisDescriptiva"/>
      </w:pPr>
    </w:p>
    <w:p w14:paraId="2F8C37E2" w14:textId="77777777" w:rsidR="00C04533" w:rsidRDefault="00C04533" w:rsidP="00C04533">
      <w:pPr>
        <w:pStyle w:val="SntesisDescriptiva"/>
      </w:pPr>
      <w:r>
        <w:t>Inadmite una recusación en el recurso de inconstitucionalidad 6547-2024, interpuesto por el Gobierno de Aragón en relación con la Ley Orgánica 1/2024, de 10 de junio, de amnistía para la normalización institucional, política y social en Cataluña.</w:t>
      </w:r>
    </w:p>
    <w:p w14:paraId="7938C7D4" w14:textId="125705F5" w:rsidR="00C04533" w:rsidRDefault="00C04533" w:rsidP="00C04533">
      <w:pPr>
        <w:pStyle w:val="SntesisDescriptiva"/>
      </w:pPr>
    </w:p>
    <w:p w14:paraId="4D6A34B2" w14:textId="77777777" w:rsidR="00C04533" w:rsidRDefault="00C04533" w:rsidP="00C04533">
      <w:pPr>
        <w:pStyle w:val="SntesisDescriptiva"/>
      </w:pPr>
    </w:p>
    <w:p w14:paraId="5476F967" w14:textId="77777777" w:rsidR="00C04533" w:rsidRDefault="00C04533" w:rsidP="00C04533">
      <w:pPr>
        <w:pStyle w:val="SntesisDescriptiva"/>
      </w:pPr>
    </w:p>
    <w:p w14:paraId="2D03A44E" w14:textId="77777777" w:rsidR="00C04533" w:rsidRDefault="00C04533" w:rsidP="00C04533">
      <w:pPr>
        <w:pStyle w:val="TextoNormalNegritaCentrado"/>
      </w:pPr>
      <w:r>
        <w:t>AUTO</w:t>
      </w:r>
    </w:p>
    <w:p w14:paraId="2C15EE6E" w14:textId="6068BC10" w:rsidR="00C04533" w:rsidRDefault="00C04533" w:rsidP="00C04533">
      <w:pPr>
        <w:pStyle w:val="TextoNormalNegritaCentrado"/>
      </w:pPr>
    </w:p>
    <w:p w14:paraId="36F058AB" w14:textId="77777777" w:rsidR="00C04533" w:rsidRDefault="00C04533" w:rsidP="00C04533">
      <w:pPr>
        <w:pStyle w:val="TextoNormalNegritaCentrado"/>
        <w:keepNext/>
      </w:pPr>
      <w:r>
        <w:t>I. Antecedentes</w:t>
      </w:r>
    </w:p>
    <w:p w14:paraId="42840B41" w14:textId="5EB0927B" w:rsidR="00C04533" w:rsidRDefault="00C04533" w:rsidP="00C04533">
      <w:pPr>
        <w:pStyle w:val="TextoNormalNegritaCentrado"/>
        <w:keepNext/>
      </w:pPr>
    </w:p>
    <w:p w14:paraId="6F00945A" w14:textId="609B83FF"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el recurso de inconstitucionalidad núm. 6547-2024, interpuesto por el Gobierno de Aragón en relación con la Ley Orgánica 1/2024, de 10 de junio, de amnistía para la normalización institucional, política y social en Cataluña.</w:t>
      </w:r>
    </w:p>
    <w:p w14:paraId="7927561E" w14:textId="77777777" w:rsidR="00C04533" w:rsidRDefault="00C04533" w:rsidP="00C04533">
      <w:pPr>
        <w:pStyle w:val="TextoNormal"/>
      </w:pPr>
    </w:p>
    <w:p w14:paraId="5B8CD84D" w14:textId="5CE28EC6"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14:paraId="6BD8A8D3" w14:textId="77777777" w:rsidR="00C04533" w:rsidRDefault="00C04533" w:rsidP="00C04533">
      <w:pPr>
        <w:pStyle w:val="TextoNormal"/>
      </w:pPr>
    </w:p>
    <w:p w14:paraId="0E0A2A36" w14:textId="37021DE1"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 la magistrada doña Inmaculada Montalbán Huertas.</w:t>
      </w:r>
    </w:p>
    <w:p w14:paraId="44A0343A" w14:textId="77777777" w:rsidR="00C04533" w:rsidRDefault="00C04533" w:rsidP="00C04533">
      <w:pPr>
        <w:pStyle w:val="TextoNormal"/>
      </w:pPr>
    </w:p>
    <w:p w14:paraId="180219F3" w14:textId="5549F230"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0802533C" w14:textId="77777777" w:rsidR="00C04533" w:rsidRDefault="00C04533" w:rsidP="00C04533">
      <w:pPr>
        <w:pStyle w:val="TextoNormal"/>
      </w:pPr>
    </w:p>
    <w:p w14:paraId="0D49B466" w14:textId="77777777" w:rsidR="00C04533" w:rsidRDefault="00C04533" w:rsidP="00C04533">
      <w:pPr>
        <w:pStyle w:val="TextoNormalNegritaCentrado"/>
        <w:keepNext/>
      </w:pPr>
      <w:r>
        <w:t>II. Fundamentos jurídicos</w:t>
      </w:r>
    </w:p>
    <w:p w14:paraId="1A16530F" w14:textId="657D26E3" w:rsidR="00C04533" w:rsidRDefault="00C04533" w:rsidP="00C04533">
      <w:pPr>
        <w:pStyle w:val="TextoNormalNegritaCentrado"/>
        <w:keepNext/>
      </w:pPr>
    </w:p>
    <w:p w14:paraId="6A68383A" w14:textId="7CC4557F" w:rsidR="00C04533" w:rsidRDefault="00C04533" w:rsidP="00C04533">
      <w:pPr>
        <w:pStyle w:val="TextoNormal"/>
      </w:pPr>
      <w:r w:rsidRPr="00C04533">
        <w:rPr>
          <w:rStyle w:val="TextoNormalNegritaCaracter"/>
        </w:rPr>
        <w:t xml:space="preserve">Único. </w:t>
      </w:r>
      <w:r>
        <w:t>La presente recusación guarda identidad con la inadmitida por ATC 116/2024, de 5 de noviembre, dictado por este tribunal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09FA0A2F" w14:textId="77777777" w:rsidR="00C04533" w:rsidRDefault="00C04533" w:rsidP="00C04533">
      <w:pPr>
        <w:pStyle w:val="TextoNormal"/>
      </w:pPr>
    </w:p>
    <w:p w14:paraId="27C6D907" w14:textId="77777777" w:rsidR="00C04533" w:rsidRDefault="00C04533" w:rsidP="00C04533">
      <w:pPr>
        <w:pStyle w:val="TextoNormal"/>
      </w:pPr>
      <w:r>
        <w:t>Por lo expuesto, el Pleno</w:t>
      </w:r>
    </w:p>
    <w:p w14:paraId="46215CC8" w14:textId="08F12FE3" w:rsidR="00C04533" w:rsidRDefault="00C04533" w:rsidP="00C04533">
      <w:pPr>
        <w:pStyle w:val="TextoNormal"/>
      </w:pPr>
    </w:p>
    <w:p w14:paraId="7192C6D1" w14:textId="77777777" w:rsidR="00C04533" w:rsidRDefault="00C04533" w:rsidP="00C04533">
      <w:pPr>
        <w:pStyle w:val="TextoNormalCentrado"/>
      </w:pPr>
      <w:r>
        <w:t>ACUERDA</w:t>
      </w:r>
    </w:p>
    <w:p w14:paraId="62051DD2" w14:textId="7955F487" w:rsidR="00C04533" w:rsidRDefault="00C04533" w:rsidP="00C04533">
      <w:pPr>
        <w:pStyle w:val="TextoNormalCentrado"/>
      </w:pPr>
    </w:p>
    <w:p w14:paraId="612F61EE" w14:textId="71CCDA79" w:rsidR="00C04533" w:rsidRDefault="00C04533" w:rsidP="00C04533">
      <w:pPr>
        <w:pStyle w:val="TextoNormal"/>
      </w:pPr>
      <w:r>
        <w:t>No admitir a trámite la recusación del magistrado don José María Macías Castaño, promovida por el abogado del Estado en el recurso de inconstitucionalidad núm. 6547-2024.</w:t>
      </w:r>
    </w:p>
    <w:p w14:paraId="502C26BE" w14:textId="77777777" w:rsidR="00C04533" w:rsidRDefault="00C04533" w:rsidP="00C04533">
      <w:pPr>
        <w:pStyle w:val="TextoNormal"/>
      </w:pPr>
    </w:p>
    <w:p w14:paraId="075F5B68" w14:textId="77777777" w:rsidR="00C04533" w:rsidRDefault="00C04533" w:rsidP="00C04533">
      <w:pPr>
        <w:pStyle w:val="TextoNormal"/>
      </w:pPr>
      <w:r>
        <w:t>Madrid, a diecinueve de noviembre de dos mil veinticuatro.</w:t>
      </w:r>
    </w:p>
    <w:p w14:paraId="3D37E287" w14:textId="23FA254B" w:rsidR="00C04533" w:rsidRDefault="00C04533">
      <w:pPr>
        <w:spacing w:after="160" w:line="278" w:lineRule="auto"/>
        <w:rPr>
          <w:rFonts w:ascii="Times New Roman" w:eastAsia="Times New Roman" w:hAnsi="Times New Roman" w:cs="Times New Roman"/>
          <w:sz w:val="24"/>
          <w:szCs w:val="24"/>
          <w:lang w:eastAsia="es-ES"/>
        </w:rPr>
      </w:pPr>
      <w:r>
        <w:br w:type="page"/>
      </w:r>
    </w:p>
    <w:p w14:paraId="14CE9C10" w14:textId="77777777" w:rsidR="00C04533" w:rsidRDefault="00C04533" w:rsidP="00C04533">
      <w:pPr>
        <w:pStyle w:val="TtuloResolucin"/>
      </w:pPr>
      <w:bookmarkStart w:id="138" w:name="AUTO_2024_132"/>
      <w:r>
        <w:t>AUTO 132/2024, de 19 de noviembre de 2024</w:t>
      </w:r>
    </w:p>
    <w:bookmarkEnd w:id="138"/>
    <w:p w14:paraId="1D174DDD" w14:textId="77777777" w:rsidR="00C04533" w:rsidRDefault="00C04533" w:rsidP="00C04533">
      <w:pPr>
        <w:pStyle w:val="TtuloResolucin"/>
      </w:pPr>
      <w:r>
        <w:t>Pleno</w:t>
      </w:r>
    </w:p>
    <w:p w14:paraId="5E2C6EC6" w14:textId="77777777" w:rsidR="00C04533" w:rsidRDefault="00C04533" w:rsidP="00C04533">
      <w:pPr>
        <w:pStyle w:val="TextoNormalCentrado"/>
      </w:pPr>
      <w:r>
        <w:t>ECLI:ES:TC:2024:132A</w:t>
      </w:r>
    </w:p>
    <w:p w14:paraId="4AB39611" w14:textId="6690DAF2" w:rsidR="00C04533" w:rsidRDefault="00C04533" w:rsidP="00C04533">
      <w:pPr>
        <w:pStyle w:val="TextoNormalCentrado"/>
      </w:pPr>
    </w:p>
    <w:p w14:paraId="6D08ED66"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7F545D06" w14:textId="25C7620A" w:rsidR="00C04533" w:rsidRDefault="00C04533" w:rsidP="00C04533">
      <w:pPr>
        <w:pStyle w:val="SntesisDescriptiva"/>
      </w:pPr>
    </w:p>
    <w:p w14:paraId="34BF0978" w14:textId="77777777" w:rsidR="00C04533" w:rsidRDefault="00C04533" w:rsidP="00C04533">
      <w:pPr>
        <w:pStyle w:val="SntesisDescriptiva"/>
      </w:pPr>
      <w:r>
        <w:t>Inadmite una recusación en el recurso de inconstitucionalidad 6549-2024, interpuesto por el Consejo de Gobierno de la Comunidad de Madrid en relación con la Ley Orgánica 1/2024, de 10 de junio, de amnistía para la normalización institucional, política y social en Cataluña.</w:t>
      </w:r>
    </w:p>
    <w:p w14:paraId="179B087D" w14:textId="167229EC" w:rsidR="00C04533" w:rsidRDefault="00C04533" w:rsidP="00C04533">
      <w:pPr>
        <w:pStyle w:val="SntesisDescriptiva"/>
      </w:pPr>
    </w:p>
    <w:p w14:paraId="3084092D" w14:textId="77777777" w:rsidR="00C04533" w:rsidRDefault="00C04533" w:rsidP="00C04533">
      <w:pPr>
        <w:pStyle w:val="SntesisDescriptiva"/>
      </w:pPr>
    </w:p>
    <w:p w14:paraId="1E83409E" w14:textId="77777777" w:rsidR="00C04533" w:rsidRDefault="00C04533" w:rsidP="00C04533">
      <w:pPr>
        <w:pStyle w:val="SntesisDescriptiva"/>
      </w:pPr>
    </w:p>
    <w:p w14:paraId="558E4D74" w14:textId="77777777" w:rsidR="00C04533" w:rsidRDefault="00C04533" w:rsidP="00C04533">
      <w:pPr>
        <w:pStyle w:val="TextoNormalNegritaCentrado"/>
      </w:pPr>
      <w:r>
        <w:t>AUTO</w:t>
      </w:r>
    </w:p>
    <w:p w14:paraId="51E9DE80" w14:textId="1409C319" w:rsidR="00C04533" w:rsidRDefault="00C04533" w:rsidP="00C04533">
      <w:pPr>
        <w:pStyle w:val="TextoNormalNegritaCentrado"/>
      </w:pPr>
    </w:p>
    <w:p w14:paraId="4DFE6F64" w14:textId="77777777" w:rsidR="00C04533" w:rsidRDefault="00C04533" w:rsidP="00C04533">
      <w:pPr>
        <w:pStyle w:val="TextoNormalNegritaCentrado"/>
        <w:keepNext/>
      </w:pPr>
      <w:r>
        <w:t>I. Antecedentes</w:t>
      </w:r>
    </w:p>
    <w:p w14:paraId="7322A4A1" w14:textId="1312A988" w:rsidR="00C04533" w:rsidRDefault="00C04533" w:rsidP="00C04533">
      <w:pPr>
        <w:pStyle w:val="TextoNormalNegritaCentrado"/>
        <w:keepNext/>
      </w:pPr>
    </w:p>
    <w:p w14:paraId="6D69F68B" w14:textId="27C859A4"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el recurso de inconstitucionalidad núm. 6549-2024, interpuesto por el Consejo de Gobierno de la Comunidad de Madrid en relación con la Ley Orgánica 1/2024, de 10 de junio, de amnistía para la normalización institucional, política y social en Cataluña.</w:t>
      </w:r>
    </w:p>
    <w:p w14:paraId="0E4329F5" w14:textId="77777777" w:rsidR="00C04533" w:rsidRDefault="00C04533" w:rsidP="00C04533">
      <w:pPr>
        <w:pStyle w:val="TextoNormal"/>
      </w:pPr>
    </w:p>
    <w:p w14:paraId="32D73BF3" w14:textId="62142BF1"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14:paraId="3B43EA94" w14:textId="77777777" w:rsidR="00C04533" w:rsidRDefault="00C04533" w:rsidP="00C04533">
      <w:pPr>
        <w:pStyle w:val="TextoNormal"/>
      </w:pPr>
    </w:p>
    <w:p w14:paraId="6ADFBDC8" w14:textId="24809366"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al magistrado don Ricardo Enríquez Sancho.</w:t>
      </w:r>
    </w:p>
    <w:p w14:paraId="6266F973" w14:textId="77777777" w:rsidR="00C04533" w:rsidRDefault="00C04533" w:rsidP="00C04533">
      <w:pPr>
        <w:pStyle w:val="TextoNormal"/>
      </w:pPr>
    </w:p>
    <w:p w14:paraId="7F53F93C" w14:textId="73F1DF36"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0C273A5B" w14:textId="77777777" w:rsidR="00C04533" w:rsidRDefault="00C04533" w:rsidP="00C04533">
      <w:pPr>
        <w:pStyle w:val="TextoNormal"/>
      </w:pPr>
    </w:p>
    <w:p w14:paraId="2D0C9668" w14:textId="77777777" w:rsidR="00C04533" w:rsidRDefault="00C04533" w:rsidP="00C04533">
      <w:pPr>
        <w:pStyle w:val="TextoNormalNegritaCentrado"/>
        <w:keepNext/>
      </w:pPr>
      <w:r>
        <w:t>II. Fundamentos jurídicos</w:t>
      </w:r>
    </w:p>
    <w:p w14:paraId="246B320E" w14:textId="3F6BFE6E" w:rsidR="00C04533" w:rsidRDefault="00C04533" w:rsidP="00C04533">
      <w:pPr>
        <w:pStyle w:val="TextoNormalNegritaCentrado"/>
        <w:keepNext/>
      </w:pPr>
    </w:p>
    <w:p w14:paraId="3532697F" w14:textId="0F2495C3" w:rsidR="00C04533" w:rsidRDefault="00C04533" w:rsidP="00C04533">
      <w:pPr>
        <w:pStyle w:val="TextoNormal"/>
      </w:pPr>
      <w:r w:rsidRPr="00C04533">
        <w:rPr>
          <w:rStyle w:val="TextoNormalNegritaCaracter"/>
        </w:rPr>
        <w:t xml:space="preserve">Único. </w:t>
      </w:r>
      <w:r>
        <w:t>La presente recusación guarda identidad con la inadmitida por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4485ABE9" w14:textId="77777777" w:rsidR="00C04533" w:rsidRDefault="00C04533" w:rsidP="00C04533">
      <w:pPr>
        <w:pStyle w:val="TextoNormal"/>
      </w:pPr>
    </w:p>
    <w:p w14:paraId="1F14247F" w14:textId="77777777" w:rsidR="00C04533" w:rsidRDefault="00C04533" w:rsidP="00C04533">
      <w:pPr>
        <w:pStyle w:val="TextoNormal"/>
      </w:pPr>
      <w:r>
        <w:t>Por lo expuesto, el Pleno</w:t>
      </w:r>
    </w:p>
    <w:p w14:paraId="2597B0B1" w14:textId="47623EE8" w:rsidR="00C04533" w:rsidRDefault="00C04533" w:rsidP="00C04533">
      <w:pPr>
        <w:pStyle w:val="TextoNormal"/>
      </w:pPr>
    </w:p>
    <w:p w14:paraId="71A6800B" w14:textId="77777777" w:rsidR="00C04533" w:rsidRDefault="00C04533" w:rsidP="00C04533">
      <w:pPr>
        <w:pStyle w:val="TextoNormalCentrado"/>
      </w:pPr>
      <w:r>
        <w:t>ACUERDA</w:t>
      </w:r>
    </w:p>
    <w:p w14:paraId="36D279DA" w14:textId="4399783C" w:rsidR="00C04533" w:rsidRDefault="00C04533" w:rsidP="00C04533">
      <w:pPr>
        <w:pStyle w:val="TextoNormalCentrado"/>
      </w:pPr>
    </w:p>
    <w:p w14:paraId="07DEAF7A" w14:textId="04FE8FA0" w:rsidR="00C04533" w:rsidRDefault="00C04533" w:rsidP="00C04533">
      <w:pPr>
        <w:pStyle w:val="TextoNormal"/>
      </w:pPr>
      <w:r>
        <w:t>No admitir a trámite la recusación del magistrado don José María Macías Castaño, promovida por el abogado del Estado en el recurso de inconstitucionalidad núm. 6549-2024.</w:t>
      </w:r>
    </w:p>
    <w:p w14:paraId="7459D3D7" w14:textId="77777777" w:rsidR="00C04533" w:rsidRDefault="00C04533" w:rsidP="00C04533">
      <w:pPr>
        <w:pStyle w:val="TextoNormal"/>
      </w:pPr>
    </w:p>
    <w:p w14:paraId="74DB65C1" w14:textId="77777777" w:rsidR="00C04533" w:rsidRDefault="00C04533" w:rsidP="00C04533">
      <w:pPr>
        <w:pStyle w:val="TextoNormal"/>
      </w:pPr>
      <w:r>
        <w:t>Madrid, a diecinueve de noviembre de dos mil veinticuatro.</w:t>
      </w:r>
    </w:p>
    <w:p w14:paraId="462969DE" w14:textId="3DCF3A6C" w:rsidR="00C04533" w:rsidRDefault="00C04533">
      <w:pPr>
        <w:spacing w:after="160" w:line="278" w:lineRule="auto"/>
        <w:rPr>
          <w:rFonts w:ascii="Times New Roman" w:eastAsia="Times New Roman" w:hAnsi="Times New Roman" w:cs="Times New Roman"/>
          <w:sz w:val="24"/>
          <w:szCs w:val="24"/>
          <w:lang w:eastAsia="es-ES"/>
        </w:rPr>
      </w:pPr>
      <w:r>
        <w:br w:type="page"/>
      </w:r>
    </w:p>
    <w:p w14:paraId="64E84C81" w14:textId="77777777" w:rsidR="00C04533" w:rsidRDefault="00C04533" w:rsidP="00C04533">
      <w:pPr>
        <w:pStyle w:val="TtuloResolucin"/>
      </w:pPr>
      <w:bookmarkStart w:id="139" w:name="AUTO_2024_133"/>
      <w:r>
        <w:t>AUTO 133/2024, de 19 de noviembre de 2024</w:t>
      </w:r>
    </w:p>
    <w:bookmarkEnd w:id="139"/>
    <w:p w14:paraId="2ADB8DF7" w14:textId="77777777" w:rsidR="00C04533" w:rsidRDefault="00C04533" w:rsidP="00C04533">
      <w:pPr>
        <w:pStyle w:val="TtuloResolucin"/>
      </w:pPr>
      <w:r>
        <w:t>Pleno</w:t>
      </w:r>
    </w:p>
    <w:p w14:paraId="326A5C07" w14:textId="77777777" w:rsidR="00C04533" w:rsidRDefault="00C04533" w:rsidP="00C04533">
      <w:pPr>
        <w:pStyle w:val="TextoNormalCentrado"/>
      </w:pPr>
      <w:r>
        <w:t>ECLI:ES:TC:2024:133A</w:t>
      </w:r>
    </w:p>
    <w:p w14:paraId="529FDB2F" w14:textId="59A88E5D" w:rsidR="00C04533" w:rsidRDefault="00C04533" w:rsidP="00C04533">
      <w:pPr>
        <w:pStyle w:val="TextoNormalCentrado"/>
      </w:pPr>
    </w:p>
    <w:p w14:paraId="2D3BF939"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1B7D5E9D" w14:textId="20245775" w:rsidR="00C04533" w:rsidRDefault="00C04533" w:rsidP="00C04533">
      <w:pPr>
        <w:pStyle w:val="SntesisDescriptiva"/>
      </w:pPr>
    </w:p>
    <w:p w14:paraId="43EDA598" w14:textId="77777777" w:rsidR="00C04533" w:rsidRDefault="00C04533" w:rsidP="00C04533">
      <w:pPr>
        <w:pStyle w:val="SntesisDescriptiva"/>
      </w:pPr>
      <w:r>
        <w:t>Inadmite una recusación en el recurso de inconstitucionalidad 6552-2024, interpuesto por el Consejo de Gobierno de la Junta de Comunidades de Castilla-La Mancha en relación con la Ley Orgánica 1/2024, de 10 de junio, de amnistía para la normalización institucional, política y social en Cataluña.</w:t>
      </w:r>
    </w:p>
    <w:p w14:paraId="5BB405FD" w14:textId="28619DC0" w:rsidR="00C04533" w:rsidRDefault="00C04533" w:rsidP="00C04533">
      <w:pPr>
        <w:pStyle w:val="SntesisDescriptiva"/>
      </w:pPr>
    </w:p>
    <w:p w14:paraId="218DDACF" w14:textId="77777777" w:rsidR="00C04533" w:rsidRDefault="00C04533" w:rsidP="00C04533">
      <w:pPr>
        <w:pStyle w:val="SntesisDescriptiva"/>
      </w:pPr>
    </w:p>
    <w:p w14:paraId="316E0C37" w14:textId="77777777" w:rsidR="00C04533" w:rsidRDefault="00C04533" w:rsidP="00C04533">
      <w:pPr>
        <w:pStyle w:val="SntesisDescriptiva"/>
      </w:pPr>
    </w:p>
    <w:p w14:paraId="3AC6DD86" w14:textId="77777777" w:rsidR="00C04533" w:rsidRDefault="00C04533" w:rsidP="00C04533">
      <w:pPr>
        <w:pStyle w:val="TextoNormalNegritaCentrado"/>
      </w:pPr>
      <w:r>
        <w:t>AUTO</w:t>
      </w:r>
    </w:p>
    <w:p w14:paraId="43BC4B7A" w14:textId="29A85B64" w:rsidR="00C04533" w:rsidRDefault="00C04533" w:rsidP="00C04533">
      <w:pPr>
        <w:pStyle w:val="TextoNormalNegritaCentrado"/>
      </w:pPr>
    </w:p>
    <w:p w14:paraId="4FD6D9A2" w14:textId="77777777" w:rsidR="00C04533" w:rsidRDefault="00C04533" w:rsidP="00C04533">
      <w:pPr>
        <w:pStyle w:val="TextoNormalNegritaCentrado"/>
        <w:keepNext/>
      </w:pPr>
      <w:r>
        <w:t>I. Antecedentes</w:t>
      </w:r>
    </w:p>
    <w:p w14:paraId="41B6C409" w14:textId="1B8B7366" w:rsidR="00C04533" w:rsidRDefault="00C04533" w:rsidP="00C04533">
      <w:pPr>
        <w:pStyle w:val="TextoNormalNegritaCentrado"/>
        <w:keepNext/>
      </w:pPr>
    </w:p>
    <w:p w14:paraId="4FADE4F8" w14:textId="760B7919"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el recurso de inconstitucionalidad núm. 6552-2024, interpuesto por el Consejo de Gobierno de la Junta de Comunidades de Castilla-La Mancha en relación con la Ley Orgánica 1/2024, de 10 de junio, de amnistía para la normalización institucional, política y social en Cataluña.</w:t>
      </w:r>
    </w:p>
    <w:p w14:paraId="570CD23C" w14:textId="77777777" w:rsidR="00C04533" w:rsidRDefault="00C04533" w:rsidP="00C04533">
      <w:pPr>
        <w:pStyle w:val="TextoNormal"/>
      </w:pPr>
    </w:p>
    <w:p w14:paraId="3215ADFA" w14:textId="596994B1"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14:paraId="65C31F7B" w14:textId="77777777" w:rsidR="00C04533" w:rsidRDefault="00C04533" w:rsidP="00C04533">
      <w:pPr>
        <w:pStyle w:val="TextoNormal"/>
      </w:pPr>
    </w:p>
    <w:p w14:paraId="30E81279" w14:textId="52196B1F"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 la magistrada doña María Luisa Balaguer Callejón.</w:t>
      </w:r>
    </w:p>
    <w:p w14:paraId="18EEF4F9" w14:textId="77777777" w:rsidR="00C04533" w:rsidRDefault="00C04533" w:rsidP="00C04533">
      <w:pPr>
        <w:pStyle w:val="TextoNormal"/>
      </w:pPr>
    </w:p>
    <w:p w14:paraId="73D41EE1" w14:textId="5727A254"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4C454D7A" w14:textId="77777777" w:rsidR="00C04533" w:rsidRDefault="00C04533" w:rsidP="00C04533">
      <w:pPr>
        <w:pStyle w:val="TextoNormal"/>
      </w:pPr>
    </w:p>
    <w:p w14:paraId="3331FE68" w14:textId="77777777" w:rsidR="00C04533" w:rsidRDefault="00C04533" w:rsidP="00C04533">
      <w:pPr>
        <w:pStyle w:val="TextoNormalNegritaCentrado"/>
        <w:keepNext/>
      </w:pPr>
      <w:r>
        <w:t>II. Fundamentos jurídicos</w:t>
      </w:r>
    </w:p>
    <w:p w14:paraId="1215B810" w14:textId="6642FEB3" w:rsidR="00C04533" w:rsidRDefault="00C04533" w:rsidP="00C04533">
      <w:pPr>
        <w:pStyle w:val="TextoNormalNegritaCentrado"/>
        <w:keepNext/>
      </w:pPr>
    </w:p>
    <w:p w14:paraId="1C5476C5" w14:textId="09B00BAB" w:rsidR="00C04533" w:rsidRDefault="00C04533" w:rsidP="00C04533">
      <w:pPr>
        <w:pStyle w:val="TextoNormal"/>
      </w:pPr>
      <w:r w:rsidRPr="00C04533">
        <w:rPr>
          <w:rStyle w:val="TextoNormalNegritaCaracter"/>
        </w:rPr>
        <w:t xml:space="preserve">Único. </w:t>
      </w:r>
      <w:r>
        <w:t>La presente recusación guarda identidad con la inadmitida por el ATC 116/2024, de 5 de noviembre, dictado por este tribunal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729993A7" w14:textId="77777777" w:rsidR="00C04533" w:rsidRDefault="00C04533" w:rsidP="00C04533">
      <w:pPr>
        <w:pStyle w:val="TextoNormal"/>
      </w:pPr>
    </w:p>
    <w:p w14:paraId="3D106E06" w14:textId="77777777" w:rsidR="00C04533" w:rsidRDefault="00C04533" w:rsidP="00C04533">
      <w:pPr>
        <w:pStyle w:val="TextoNormal"/>
      </w:pPr>
      <w:r>
        <w:t>Por lo expuesto, el Pleno</w:t>
      </w:r>
    </w:p>
    <w:p w14:paraId="2645B274" w14:textId="5ADBCB3B" w:rsidR="00C04533" w:rsidRDefault="00C04533" w:rsidP="00C04533">
      <w:pPr>
        <w:pStyle w:val="TextoNormal"/>
      </w:pPr>
    </w:p>
    <w:p w14:paraId="2D965A73" w14:textId="77777777" w:rsidR="00C04533" w:rsidRDefault="00C04533" w:rsidP="00C04533">
      <w:pPr>
        <w:pStyle w:val="TextoNormalCentrado"/>
      </w:pPr>
      <w:r>
        <w:t>ACUERDA</w:t>
      </w:r>
    </w:p>
    <w:p w14:paraId="0CD2E4C8" w14:textId="119F769F" w:rsidR="00C04533" w:rsidRDefault="00C04533" w:rsidP="00C04533">
      <w:pPr>
        <w:pStyle w:val="TextoNormalCentrado"/>
      </w:pPr>
    </w:p>
    <w:p w14:paraId="1E823B3C" w14:textId="052741D8" w:rsidR="00C04533" w:rsidRDefault="00C04533" w:rsidP="00C04533">
      <w:pPr>
        <w:pStyle w:val="TextoNormal"/>
      </w:pPr>
      <w:r>
        <w:t>No admitir a trámite la recusación del magistrado don José María Macías Castaño, promovida por el abogado del Estado en el recurso de inconstitucionalidad núm. 6552-2024.</w:t>
      </w:r>
    </w:p>
    <w:p w14:paraId="31D3E0DA" w14:textId="77777777" w:rsidR="00C04533" w:rsidRDefault="00C04533" w:rsidP="00C04533">
      <w:pPr>
        <w:pStyle w:val="TextoNormal"/>
      </w:pPr>
    </w:p>
    <w:p w14:paraId="678C5447" w14:textId="77777777" w:rsidR="00C04533" w:rsidRDefault="00C04533" w:rsidP="00C04533">
      <w:pPr>
        <w:pStyle w:val="TextoNormal"/>
      </w:pPr>
      <w:r>
        <w:t>Madrid, a diecinueve de noviembre de dos mil veinticuatro.</w:t>
      </w:r>
    </w:p>
    <w:p w14:paraId="03C945E1" w14:textId="5B8A7BD7" w:rsidR="00C04533" w:rsidRDefault="00C04533">
      <w:pPr>
        <w:spacing w:after="160" w:line="278" w:lineRule="auto"/>
        <w:rPr>
          <w:rFonts w:ascii="Times New Roman" w:eastAsia="Times New Roman" w:hAnsi="Times New Roman" w:cs="Times New Roman"/>
          <w:sz w:val="24"/>
          <w:szCs w:val="24"/>
          <w:lang w:eastAsia="es-ES"/>
        </w:rPr>
      </w:pPr>
      <w:r>
        <w:br w:type="page"/>
      </w:r>
    </w:p>
    <w:p w14:paraId="35C40FA9" w14:textId="77777777" w:rsidR="00C04533" w:rsidRDefault="00C04533" w:rsidP="00C04533">
      <w:pPr>
        <w:pStyle w:val="TtuloResolucin"/>
      </w:pPr>
      <w:bookmarkStart w:id="140" w:name="AUTO_2024_134"/>
      <w:r>
        <w:t>AUTO 134/2024, de 19 de noviembre de 2024</w:t>
      </w:r>
    </w:p>
    <w:bookmarkEnd w:id="140"/>
    <w:p w14:paraId="0BD2F64E" w14:textId="77777777" w:rsidR="00C04533" w:rsidRDefault="00C04533" w:rsidP="00C04533">
      <w:pPr>
        <w:pStyle w:val="TtuloResolucin"/>
      </w:pPr>
      <w:r>
        <w:t>Pleno</w:t>
      </w:r>
    </w:p>
    <w:p w14:paraId="51DD95B6" w14:textId="77777777" w:rsidR="00C04533" w:rsidRDefault="00C04533" w:rsidP="00C04533">
      <w:pPr>
        <w:pStyle w:val="TextoNormalCentrado"/>
      </w:pPr>
      <w:r>
        <w:t>ECLI:ES:TC:2024:134A</w:t>
      </w:r>
    </w:p>
    <w:p w14:paraId="25CFA528" w14:textId="29FFB55E" w:rsidR="00C04533" w:rsidRDefault="00C04533" w:rsidP="00C04533">
      <w:pPr>
        <w:pStyle w:val="TextoNormalCentrado"/>
      </w:pPr>
    </w:p>
    <w:p w14:paraId="43F3E526"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11F55DF0" w14:textId="5836A8BB" w:rsidR="00C04533" w:rsidRDefault="00C04533" w:rsidP="00C04533">
      <w:pPr>
        <w:pStyle w:val="SntesisDescriptiva"/>
      </w:pPr>
    </w:p>
    <w:p w14:paraId="4DDC4F79" w14:textId="77777777" w:rsidR="00C04533" w:rsidRDefault="00C04533" w:rsidP="00C04533">
      <w:pPr>
        <w:pStyle w:val="SntesisDescriptiva"/>
      </w:pPr>
      <w:r>
        <w:t>Inadmite una recusación en el recurso de inconstitucionalidad 6556-2024, interpuesto por la Xunta de Galicia en relación con la Ley Orgánica 1/2024, de 10 de junio, de amnistía para la normalización institucional, política y social en Cataluña.</w:t>
      </w:r>
    </w:p>
    <w:p w14:paraId="407D7F3F" w14:textId="29877D3D" w:rsidR="00C04533" w:rsidRDefault="00C04533" w:rsidP="00C04533">
      <w:pPr>
        <w:pStyle w:val="SntesisDescriptiva"/>
      </w:pPr>
    </w:p>
    <w:p w14:paraId="468E8A35" w14:textId="77777777" w:rsidR="00C04533" w:rsidRDefault="00C04533" w:rsidP="00C04533">
      <w:pPr>
        <w:pStyle w:val="SntesisDescriptiva"/>
      </w:pPr>
    </w:p>
    <w:p w14:paraId="1D6D3BD6" w14:textId="77777777" w:rsidR="00C04533" w:rsidRDefault="00C04533" w:rsidP="00C04533">
      <w:pPr>
        <w:pStyle w:val="SntesisDescriptiva"/>
      </w:pPr>
    </w:p>
    <w:p w14:paraId="53445A57" w14:textId="77777777" w:rsidR="00C04533" w:rsidRDefault="00C04533" w:rsidP="00C04533">
      <w:pPr>
        <w:pStyle w:val="TextoNormalNegritaCentrado"/>
      </w:pPr>
      <w:r>
        <w:t>AUTO</w:t>
      </w:r>
    </w:p>
    <w:p w14:paraId="499DC5E9" w14:textId="44BE4AB2" w:rsidR="00C04533" w:rsidRDefault="00C04533" w:rsidP="00C04533">
      <w:pPr>
        <w:pStyle w:val="TextoNormalNegritaCentrado"/>
      </w:pPr>
    </w:p>
    <w:p w14:paraId="4FEC9AA8" w14:textId="77777777" w:rsidR="00C04533" w:rsidRDefault="00C04533" w:rsidP="00C04533">
      <w:pPr>
        <w:pStyle w:val="TextoNormalNegritaCentrado"/>
        <w:keepNext/>
      </w:pPr>
      <w:r>
        <w:t>I. Antecedentes</w:t>
      </w:r>
    </w:p>
    <w:p w14:paraId="251A94AA" w14:textId="07C5F249" w:rsidR="00C04533" w:rsidRDefault="00C04533" w:rsidP="00C04533">
      <w:pPr>
        <w:pStyle w:val="TextoNormalNegritaCentrado"/>
        <w:keepNext/>
      </w:pPr>
    </w:p>
    <w:p w14:paraId="15240252" w14:textId="55C05A24"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el recurso de inconstitucionalidad núm. 6556-2024, interpuesto por la Junta de Galicia en relación con la Ley Orgánica 1/2024, de 10 de junio, de amnistía para la normalización institucional, política y social en Cataluña.</w:t>
      </w:r>
    </w:p>
    <w:p w14:paraId="243AC500" w14:textId="77777777" w:rsidR="00C04533" w:rsidRDefault="00C04533" w:rsidP="00C04533">
      <w:pPr>
        <w:pStyle w:val="TextoNormal"/>
      </w:pPr>
    </w:p>
    <w:p w14:paraId="23D5179F" w14:textId="460C78F8"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14:paraId="25FEE830" w14:textId="77777777" w:rsidR="00C04533" w:rsidRDefault="00C04533" w:rsidP="00C04533">
      <w:pPr>
        <w:pStyle w:val="TextoNormal"/>
      </w:pPr>
    </w:p>
    <w:p w14:paraId="05238DDF" w14:textId="40065863"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al magistrado don Ramón Sáez Valcárcel.</w:t>
      </w:r>
    </w:p>
    <w:p w14:paraId="2BF67DB5" w14:textId="77777777" w:rsidR="00C04533" w:rsidRDefault="00C04533" w:rsidP="00C04533">
      <w:pPr>
        <w:pStyle w:val="TextoNormal"/>
      </w:pPr>
    </w:p>
    <w:p w14:paraId="285F1F2E" w14:textId="6871254E"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3DA9079D" w14:textId="77777777" w:rsidR="00C04533" w:rsidRDefault="00C04533" w:rsidP="00C04533">
      <w:pPr>
        <w:pStyle w:val="TextoNormal"/>
      </w:pPr>
    </w:p>
    <w:p w14:paraId="5A8CD7BB" w14:textId="77777777" w:rsidR="00C04533" w:rsidRDefault="00C04533" w:rsidP="00C04533">
      <w:pPr>
        <w:pStyle w:val="TextoNormalNegritaCentrado"/>
        <w:keepNext/>
      </w:pPr>
      <w:r>
        <w:t>II. Fundamentos jurídicos</w:t>
      </w:r>
    </w:p>
    <w:p w14:paraId="47E9002E" w14:textId="50B8BF39" w:rsidR="00C04533" w:rsidRDefault="00C04533" w:rsidP="00C04533">
      <w:pPr>
        <w:pStyle w:val="TextoNormalNegritaCentrado"/>
        <w:keepNext/>
      </w:pPr>
    </w:p>
    <w:p w14:paraId="20C243B3" w14:textId="404AA748" w:rsidR="00C04533" w:rsidRDefault="00C04533" w:rsidP="00C04533">
      <w:pPr>
        <w:pStyle w:val="TextoNormal"/>
      </w:pPr>
      <w:r w:rsidRPr="00C04533">
        <w:rPr>
          <w:rStyle w:val="TextoNormalNegritaCaracter"/>
        </w:rPr>
        <w:t xml:space="preserve">Único. </w:t>
      </w:r>
      <w:r>
        <w:t>La presente recusación guarda identidad con la inadmitida por el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24CF6ABA" w14:textId="77777777" w:rsidR="00C04533" w:rsidRDefault="00C04533" w:rsidP="00C04533">
      <w:pPr>
        <w:pStyle w:val="TextoNormal"/>
      </w:pPr>
    </w:p>
    <w:p w14:paraId="10A14410" w14:textId="77777777" w:rsidR="00C04533" w:rsidRDefault="00C04533" w:rsidP="00C04533">
      <w:pPr>
        <w:pStyle w:val="TextoNormal"/>
      </w:pPr>
      <w:r>
        <w:t>Por lo expuesto, el Pleno</w:t>
      </w:r>
    </w:p>
    <w:p w14:paraId="1E74EB1E" w14:textId="066CA276" w:rsidR="00C04533" w:rsidRDefault="00C04533" w:rsidP="00C04533">
      <w:pPr>
        <w:pStyle w:val="TextoNormal"/>
      </w:pPr>
    </w:p>
    <w:p w14:paraId="4BAABCBF" w14:textId="77777777" w:rsidR="00C04533" w:rsidRDefault="00C04533" w:rsidP="00C04533">
      <w:pPr>
        <w:pStyle w:val="TextoNormalCentrado"/>
      </w:pPr>
      <w:r>
        <w:t>ACUERDA</w:t>
      </w:r>
    </w:p>
    <w:p w14:paraId="34F4A18D" w14:textId="27E65DD7" w:rsidR="00C04533" w:rsidRDefault="00C04533" w:rsidP="00C04533">
      <w:pPr>
        <w:pStyle w:val="TextoNormalCentrado"/>
      </w:pPr>
    </w:p>
    <w:p w14:paraId="3CFB224E" w14:textId="095FDF88" w:rsidR="00C04533" w:rsidRDefault="00C04533" w:rsidP="00C04533">
      <w:pPr>
        <w:pStyle w:val="TextoNormal"/>
      </w:pPr>
      <w:r>
        <w:t>No admitir a trámite la recusación del magistrado don José María Macías Castaño, promovida por el abogado del Estado en el recurso de inconstitucionalidad núm. 6556-2024.</w:t>
      </w:r>
    </w:p>
    <w:p w14:paraId="671947FC" w14:textId="77777777" w:rsidR="00C04533" w:rsidRDefault="00C04533" w:rsidP="00C04533">
      <w:pPr>
        <w:pStyle w:val="TextoNormal"/>
      </w:pPr>
    </w:p>
    <w:p w14:paraId="17EF5711" w14:textId="77777777" w:rsidR="00C04533" w:rsidRDefault="00C04533" w:rsidP="00C04533">
      <w:pPr>
        <w:pStyle w:val="TextoNormal"/>
      </w:pPr>
      <w:r>
        <w:t>Madrid, a diecinueve de noviembre de dos mil veinticuatro.</w:t>
      </w:r>
    </w:p>
    <w:p w14:paraId="1C077522" w14:textId="65255B10" w:rsidR="00C04533" w:rsidRDefault="00C04533">
      <w:pPr>
        <w:spacing w:after="160" w:line="278" w:lineRule="auto"/>
        <w:rPr>
          <w:rFonts w:ascii="Times New Roman" w:eastAsia="Times New Roman" w:hAnsi="Times New Roman" w:cs="Times New Roman"/>
          <w:sz w:val="24"/>
          <w:szCs w:val="24"/>
          <w:lang w:eastAsia="es-ES"/>
        </w:rPr>
      </w:pPr>
      <w:r>
        <w:br w:type="page"/>
      </w:r>
    </w:p>
    <w:p w14:paraId="294CE245" w14:textId="77777777" w:rsidR="00C04533" w:rsidRDefault="00C04533" w:rsidP="00C04533">
      <w:pPr>
        <w:pStyle w:val="TtuloResolucin"/>
      </w:pPr>
      <w:bookmarkStart w:id="141" w:name="AUTO_2024_135"/>
      <w:r>
        <w:t>AUTO 135/2024, de 19 de noviembre de 2024</w:t>
      </w:r>
    </w:p>
    <w:bookmarkEnd w:id="141"/>
    <w:p w14:paraId="3C573E30" w14:textId="77777777" w:rsidR="00C04533" w:rsidRDefault="00C04533" w:rsidP="00C04533">
      <w:pPr>
        <w:pStyle w:val="TtuloResolucin"/>
      </w:pPr>
      <w:r>
        <w:t>Pleno</w:t>
      </w:r>
    </w:p>
    <w:p w14:paraId="5D9F4459" w14:textId="77777777" w:rsidR="00C04533" w:rsidRDefault="00C04533" w:rsidP="00C04533">
      <w:pPr>
        <w:pStyle w:val="TextoNormalCentrado"/>
      </w:pPr>
      <w:r>
        <w:t>ECLI:ES:TC:2024:135A</w:t>
      </w:r>
    </w:p>
    <w:p w14:paraId="74307A84" w14:textId="02D918F6" w:rsidR="00C04533" w:rsidRDefault="00C04533" w:rsidP="00C04533">
      <w:pPr>
        <w:pStyle w:val="TextoNormalCentrado"/>
      </w:pPr>
    </w:p>
    <w:p w14:paraId="71E3FC4F"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1D6C3156" w14:textId="4DCDF95B" w:rsidR="00C04533" w:rsidRDefault="00C04533" w:rsidP="00C04533">
      <w:pPr>
        <w:pStyle w:val="SntesisDescriptiva"/>
      </w:pPr>
    </w:p>
    <w:p w14:paraId="5C32267D" w14:textId="77777777" w:rsidR="00C04533" w:rsidRDefault="00C04533" w:rsidP="00C04533">
      <w:pPr>
        <w:pStyle w:val="SntesisDescriptiva"/>
      </w:pPr>
      <w:r>
        <w:t>Inadmite una recusación en el recurso de inconstitucionalidad 6560-2024, interpuesto por el Gobierno de la Región de Murcia en relación con la Ley Orgánica 1/2024, de 10 de junio, de amnistía para la normalización institucional, política y social en Cataluña.</w:t>
      </w:r>
    </w:p>
    <w:p w14:paraId="191BAFA8" w14:textId="4F03B48B" w:rsidR="00C04533" w:rsidRDefault="00C04533" w:rsidP="00C04533">
      <w:pPr>
        <w:pStyle w:val="SntesisDescriptiva"/>
      </w:pPr>
    </w:p>
    <w:p w14:paraId="6CD5B4FC" w14:textId="77777777" w:rsidR="00C04533" w:rsidRDefault="00C04533" w:rsidP="00C04533">
      <w:pPr>
        <w:pStyle w:val="SntesisDescriptiva"/>
      </w:pPr>
    </w:p>
    <w:p w14:paraId="07582F3F" w14:textId="77777777" w:rsidR="00C04533" w:rsidRDefault="00C04533" w:rsidP="00C04533">
      <w:pPr>
        <w:pStyle w:val="SntesisDescriptiva"/>
      </w:pPr>
    </w:p>
    <w:p w14:paraId="3DADB8EB" w14:textId="77777777" w:rsidR="00C04533" w:rsidRDefault="00C04533" w:rsidP="00C04533">
      <w:pPr>
        <w:pStyle w:val="TextoNormalNegritaCentrado"/>
      </w:pPr>
      <w:r>
        <w:t>AUTO</w:t>
      </w:r>
    </w:p>
    <w:p w14:paraId="13252B80" w14:textId="14027776" w:rsidR="00C04533" w:rsidRDefault="00C04533" w:rsidP="00C04533">
      <w:pPr>
        <w:pStyle w:val="TextoNormalNegritaCentrado"/>
      </w:pPr>
    </w:p>
    <w:p w14:paraId="0E2B1ED5" w14:textId="77777777" w:rsidR="00C04533" w:rsidRDefault="00C04533" w:rsidP="00C04533">
      <w:pPr>
        <w:pStyle w:val="TextoNormalNegritaCentrado"/>
        <w:keepNext/>
      </w:pPr>
      <w:r>
        <w:t>I. Antecedentes</w:t>
      </w:r>
    </w:p>
    <w:p w14:paraId="7395C354" w14:textId="53736D0B" w:rsidR="00C04533" w:rsidRDefault="00C04533" w:rsidP="00C04533">
      <w:pPr>
        <w:pStyle w:val="TextoNormalNegritaCentrado"/>
        <w:keepNext/>
      </w:pPr>
    </w:p>
    <w:p w14:paraId="3084FCEE" w14:textId="77E0617F"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el recurso de inconstitucionalidad núm. 6560-2024, interpuesto por el Gobierno de la Región de Murcia en relación con la Ley Orgánica 1/2024, de 10 de junio, de amnistía para la normalización institucional, política y social en Cataluña.</w:t>
      </w:r>
    </w:p>
    <w:p w14:paraId="5D8AA2C8" w14:textId="77777777" w:rsidR="00C04533" w:rsidRDefault="00C04533" w:rsidP="00C04533">
      <w:pPr>
        <w:pStyle w:val="TextoNormal"/>
      </w:pPr>
    </w:p>
    <w:p w14:paraId="7F950710" w14:textId="63E21FCD"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14:paraId="74673D4B" w14:textId="77777777" w:rsidR="00C04533" w:rsidRDefault="00C04533" w:rsidP="00C04533">
      <w:pPr>
        <w:pStyle w:val="TextoNormal"/>
      </w:pPr>
    </w:p>
    <w:p w14:paraId="2C9C1551" w14:textId="7AEA9EC9"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al magistrado don Enrique Arnaldo Alcubilla.</w:t>
      </w:r>
    </w:p>
    <w:p w14:paraId="7B8BE992" w14:textId="77777777" w:rsidR="00C04533" w:rsidRDefault="00C04533" w:rsidP="00C04533">
      <w:pPr>
        <w:pStyle w:val="TextoNormal"/>
      </w:pPr>
    </w:p>
    <w:p w14:paraId="46B92DB0" w14:textId="1AD9D557"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1864B5EF" w14:textId="77777777" w:rsidR="00C04533" w:rsidRDefault="00C04533" w:rsidP="00C04533">
      <w:pPr>
        <w:pStyle w:val="TextoNormal"/>
      </w:pPr>
    </w:p>
    <w:p w14:paraId="186C201E" w14:textId="77777777" w:rsidR="00C04533" w:rsidRDefault="00C04533" w:rsidP="00C04533">
      <w:pPr>
        <w:pStyle w:val="TextoNormalNegritaCentrado"/>
        <w:keepNext/>
      </w:pPr>
      <w:r>
        <w:t>II. Fundamentos jurídicos</w:t>
      </w:r>
    </w:p>
    <w:p w14:paraId="3A3D1592" w14:textId="547144E0" w:rsidR="00C04533" w:rsidRDefault="00C04533" w:rsidP="00C04533">
      <w:pPr>
        <w:pStyle w:val="TextoNormalNegritaCentrado"/>
        <w:keepNext/>
      </w:pPr>
    </w:p>
    <w:p w14:paraId="0B130408" w14:textId="27ACD112" w:rsidR="00C04533" w:rsidRDefault="00C04533" w:rsidP="00C04533">
      <w:pPr>
        <w:pStyle w:val="TextoNormal"/>
      </w:pPr>
      <w:r w:rsidRPr="00C04533">
        <w:rPr>
          <w:rStyle w:val="TextoNormalNegritaCaracter"/>
        </w:rPr>
        <w:t xml:space="preserve">Único. </w:t>
      </w:r>
      <w:r>
        <w:t>La presente recusación guarda identidad con la inadmitida por el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69A33A20" w14:textId="77777777" w:rsidR="00C04533" w:rsidRDefault="00C04533" w:rsidP="00C04533">
      <w:pPr>
        <w:pStyle w:val="TextoNormal"/>
      </w:pPr>
    </w:p>
    <w:p w14:paraId="67E7EA32" w14:textId="77777777" w:rsidR="00C04533" w:rsidRDefault="00C04533" w:rsidP="00C04533">
      <w:pPr>
        <w:pStyle w:val="TextoNormal"/>
      </w:pPr>
      <w:r>
        <w:t>Por lo expuesto, el Pleno</w:t>
      </w:r>
    </w:p>
    <w:p w14:paraId="4ABAA27A" w14:textId="74F7F7BC" w:rsidR="00C04533" w:rsidRDefault="00C04533" w:rsidP="00C04533">
      <w:pPr>
        <w:pStyle w:val="TextoNormal"/>
      </w:pPr>
    </w:p>
    <w:p w14:paraId="1A61EC37" w14:textId="77777777" w:rsidR="00C04533" w:rsidRDefault="00C04533" w:rsidP="00C04533">
      <w:pPr>
        <w:pStyle w:val="TextoNormalCentrado"/>
      </w:pPr>
      <w:r>
        <w:t>ACUERDA</w:t>
      </w:r>
    </w:p>
    <w:p w14:paraId="64B767AF" w14:textId="6B118681" w:rsidR="00C04533" w:rsidRDefault="00C04533" w:rsidP="00C04533">
      <w:pPr>
        <w:pStyle w:val="TextoNormalCentrado"/>
      </w:pPr>
    </w:p>
    <w:p w14:paraId="3D2CAF70" w14:textId="76534003" w:rsidR="00C04533" w:rsidRDefault="00C04533" w:rsidP="00C04533">
      <w:pPr>
        <w:pStyle w:val="TextoNormal"/>
      </w:pPr>
      <w:r>
        <w:t>No admitir a trámite la recusación del magistrado don José María Macías Castaño, promovida por el abogado del Estado en el recurso de inconstitucionalidad núm. 6560-2024.</w:t>
      </w:r>
    </w:p>
    <w:p w14:paraId="0CE927B7" w14:textId="77777777" w:rsidR="00C04533" w:rsidRDefault="00C04533" w:rsidP="00C04533">
      <w:pPr>
        <w:pStyle w:val="TextoNormal"/>
      </w:pPr>
    </w:p>
    <w:p w14:paraId="187B06FF" w14:textId="77777777" w:rsidR="00C04533" w:rsidRDefault="00C04533" w:rsidP="00C04533">
      <w:pPr>
        <w:pStyle w:val="TextoNormal"/>
      </w:pPr>
      <w:r>
        <w:t>Madrid, a diecinueve de noviembre de dos mil veinticuatro.</w:t>
      </w:r>
    </w:p>
    <w:p w14:paraId="13D5C53E" w14:textId="0AFC8C28" w:rsidR="00C04533" w:rsidRDefault="00C04533">
      <w:pPr>
        <w:spacing w:after="160" w:line="278" w:lineRule="auto"/>
        <w:rPr>
          <w:rFonts w:ascii="Times New Roman" w:eastAsia="Times New Roman" w:hAnsi="Times New Roman" w:cs="Times New Roman"/>
          <w:sz w:val="24"/>
          <w:szCs w:val="24"/>
          <w:lang w:eastAsia="es-ES"/>
        </w:rPr>
      </w:pPr>
      <w:r>
        <w:br w:type="page"/>
      </w:r>
    </w:p>
    <w:p w14:paraId="3C801EE5" w14:textId="77777777" w:rsidR="00C04533" w:rsidRDefault="00C04533" w:rsidP="00C04533">
      <w:pPr>
        <w:pStyle w:val="TtuloResolucin"/>
      </w:pPr>
      <w:bookmarkStart w:id="142" w:name="AUTO_2024_136"/>
      <w:r>
        <w:t>AUTO 136/2024, de 19 de noviembre de 2024</w:t>
      </w:r>
    </w:p>
    <w:bookmarkEnd w:id="142"/>
    <w:p w14:paraId="0C753D68" w14:textId="77777777" w:rsidR="00C04533" w:rsidRDefault="00C04533" w:rsidP="00C04533">
      <w:pPr>
        <w:pStyle w:val="TtuloResolucin"/>
      </w:pPr>
      <w:r>
        <w:t>Pleno</w:t>
      </w:r>
    </w:p>
    <w:p w14:paraId="3AB213DE" w14:textId="77777777" w:rsidR="00C04533" w:rsidRDefault="00C04533" w:rsidP="00C04533">
      <w:pPr>
        <w:pStyle w:val="TextoNormalCentrado"/>
      </w:pPr>
      <w:r>
        <w:t>ECLI:ES:TC:2024:136A</w:t>
      </w:r>
    </w:p>
    <w:p w14:paraId="01011760" w14:textId="21EA75B3" w:rsidR="00C04533" w:rsidRDefault="00C04533" w:rsidP="00C04533">
      <w:pPr>
        <w:pStyle w:val="TextoNormalCentrado"/>
      </w:pPr>
    </w:p>
    <w:p w14:paraId="569A6776"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2C6171F8" w14:textId="0054F728" w:rsidR="00C04533" w:rsidRDefault="00C04533" w:rsidP="00C04533">
      <w:pPr>
        <w:pStyle w:val="SntesisDescriptiva"/>
      </w:pPr>
    </w:p>
    <w:p w14:paraId="1009C5AB" w14:textId="77777777" w:rsidR="00C04533" w:rsidRDefault="00C04533" w:rsidP="00C04533">
      <w:pPr>
        <w:pStyle w:val="SntesisDescriptiva"/>
      </w:pPr>
      <w:r>
        <w:t>Inadmite una recusación en el recurso de inconstitucionalidad 6562-2024, interpuesto por la Asamblea Regional de Murcia en relación con la Ley Orgánica 1/2024, de 10 de junio, de amnistía para la normalización institucional, política y social en Cataluña.</w:t>
      </w:r>
    </w:p>
    <w:p w14:paraId="11D724E8" w14:textId="3B719910" w:rsidR="00C04533" w:rsidRDefault="00C04533" w:rsidP="00C04533">
      <w:pPr>
        <w:pStyle w:val="SntesisDescriptiva"/>
      </w:pPr>
    </w:p>
    <w:p w14:paraId="742214DC" w14:textId="77777777" w:rsidR="00C04533" w:rsidRDefault="00C04533" w:rsidP="00C04533">
      <w:pPr>
        <w:pStyle w:val="SntesisDescriptiva"/>
      </w:pPr>
    </w:p>
    <w:p w14:paraId="0FA1DA3E" w14:textId="77777777" w:rsidR="00C04533" w:rsidRDefault="00C04533" w:rsidP="00C04533">
      <w:pPr>
        <w:pStyle w:val="SntesisDescriptiva"/>
      </w:pPr>
    </w:p>
    <w:p w14:paraId="49907F41" w14:textId="77777777" w:rsidR="00C04533" w:rsidRDefault="00C04533" w:rsidP="00C04533">
      <w:pPr>
        <w:pStyle w:val="TextoNormalNegritaCentrado"/>
      </w:pPr>
      <w:r>
        <w:t>AUTO</w:t>
      </w:r>
    </w:p>
    <w:p w14:paraId="6E21E1E2" w14:textId="24E39324" w:rsidR="00C04533" w:rsidRDefault="00C04533" w:rsidP="00C04533">
      <w:pPr>
        <w:pStyle w:val="TextoNormalNegritaCentrado"/>
      </w:pPr>
    </w:p>
    <w:p w14:paraId="4305DC7F" w14:textId="77777777" w:rsidR="00C04533" w:rsidRDefault="00C04533" w:rsidP="00C04533">
      <w:pPr>
        <w:pStyle w:val="TextoNormalNegritaCentrado"/>
        <w:keepNext/>
      </w:pPr>
      <w:r>
        <w:t>I. Antecedentes</w:t>
      </w:r>
    </w:p>
    <w:p w14:paraId="40DB3627" w14:textId="34B947D7" w:rsidR="00C04533" w:rsidRDefault="00C04533" w:rsidP="00C04533">
      <w:pPr>
        <w:pStyle w:val="TextoNormalNegritaCentrado"/>
        <w:keepNext/>
      </w:pPr>
    </w:p>
    <w:p w14:paraId="537E020E" w14:textId="3A27BAF4"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el recurso de inconstitucionalidad núm. 6562-2024, interpuesto por la Asamblea Regional de Murcia en relación con la Ley Orgánica 1/2024, de 10 de junio, de amnistía para la normalización institucional, política y social en Cataluña.</w:t>
      </w:r>
    </w:p>
    <w:p w14:paraId="131B85D6" w14:textId="77777777" w:rsidR="00C04533" w:rsidRDefault="00C04533" w:rsidP="00C04533">
      <w:pPr>
        <w:pStyle w:val="TextoNormal"/>
      </w:pPr>
    </w:p>
    <w:p w14:paraId="2D408A0F" w14:textId="4435C6A5"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14:paraId="06B64B15" w14:textId="77777777" w:rsidR="00C04533" w:rsidRDefault="00C04533" w:rsidP="00C04533">
      <w:pPr>
        <w:pStyle w:val="TextoNormal"/>
      </w:pPr>
    </w:p>
    <w:p w14:paraId="1A20EEA1" w14:textId="7C6F5546"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 la magistrada doña Concepción Espejel Jorquera.</w:t>
      </w:r>
    </w:p>
    <w:p w14:paraId="40A2705F" w14:textId="77777777" w:rsidR="00C04533" w:rsidRDefault="00C04533" w:rsidP="00C04533">
      <w:pPr>
        <w:pStyle w:val="TextoNormal"/>
      </w:pPr>
    </w:p>
    <w:p w14:paraId="377784F6" w14:textId="1FFB2010"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1032DC44" w14:textId="77777777" w:rsidR="00C04533" w:rsidRDefault="00C04533" w:rsidP="00C04533">
      <w:pPr>
        <w:pStyle w:val="TextoNormal"/>
      </w:pPr>
    </w:p>
    <w:p w14:paraId="1A5A5622" w14:textId="77777777" w:rsidR="00C04533" w:rsidRDefault="00C04533" w:rsidP="00C04533">
      <w:pPr>
        <w:pStyle w:val="TextoNormalNegritaCentrado"/>
        <w:keepNext/>
      </w:pPr>
      <w:r>
        <w:t>II. Fundamentos jurídicos</w:t>
      </w:r>
    </w:p>
    <w:p w14:paraId="4018D9BB" w14:textId="1465A43C" w:rsidR="00C04533" w:rsidRDefault="00C04533" w:rsidP="00C04533">
      <w:pPr>
        <w:pStyle w:val="TextoNormalNegritaCentrado"/>
        <w:keepNext/>
      </w:pPr>
    </w:p>
    <w:p w14:paraId="250350DF" w14:textId="307F71D9" w:rsidR="00C04533" w:rsidRDefault="00C04533" w:rsidP="00C04533">
      <w:pPr>
        <w:pStyle w:val="TextoNormal"/>
      </w:pPr>
      <w:r w:rsidRPr="00C04533">
        <w:rPr>
          <w:rStyle w:val="TextoNormalNegritaCaracter"/>
        </w:rPr>
        <w:t xml:space="preserve">Único. </w:t>
      </w:r>
      <w:r>
        <w:t>La presente recusación guarda identidad con la inadmitida por el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2E046ED3" w14:textId="77777777" w:rsidR="00C04533" w:rsidRDefault="00C04533" w:rsidP="00C04533">
      <w:pPr>
        <w:pStyle w:val="TextoNormal"/>
      </w:pPr>
    </w:p>
    <w:p w14:paraId="18F5FF3C" w14:textId="77777777" w:rsidR="00C04533" w:rsidRDefault="00C04533" w:rsidP="00C04533">
      <w:pPr>
        <w:pStyle w:val="TextoNormal"/>
      </w:pPr>
      <w:r>
        <w:t>Por lo expuesto, el Pleno</w:t>
      </w:r>
    </w:p>
    <w:p w14:paraId="0ABF60DB" w14:textId="6AF375AB" w:rsidR="00C04533" w:rsidRDefault="00C04533" w:rsidP="00C04533">
      <w:pPr>
        <w:pStyle w:val="TextoNormal"/>
      </w:pPr>
    </w:p>
    <w:p w14:paraId="492D3313" w14:textId="77777777" w:rsidR="00C04533" w:rsidRDefault="00C04533" w:rsidP="00C04533">
      <w:pPr>
        <w:pStyle w:val="TextoNormalCentrado"/>
      </w:pPr>
      <w:r>
        <w:t>ACUERDA</w:t>
      </w:r>
    </w:p>
    <w:p w14:paraId="5CAF1F91" w14:textId="455AD86A" w:rsidR="00C04533" w:rsidRDefault="00C04533" w:rsidP="00C04533">
      <w:pPr>
        <w:pStyle w:val="TextoNormalCentrado"/>
      </w:pPr>
    </w:p>
    <w:p w14:paraId="2D3D8D16" w14:textId="2D5A55FE" w:rsidR="00C04533" w:rsidRDefault="00C04533" w:rsidP="00C04533">
      <w:pPr>
        <w:pStyle w:val="TextoNormal"/>
      </w:pPr>
      <w:r>
        <w:t>No admitir a trámite la recusación del magistrado don José María Macías Castaño, promovida por el abogado del Estado en el recurso de inconstitucionalidad núm. 6562-2024.</w:t>
      </w:r>
    </w:p>
    <w:p w14:paraId="3F427404" w14:textId="77777777" w:rsidR="00C04533" w:rsidRDefault="00C04533" w:rsidP="00C04533">
      <w:pPr>
        <w:pStyle w:val="TextoNormal"/>
      </w:pPr>
    </w:p>
    <w:p w14:paraId="4F1DD8C4" w14:textId="77777777" w:rsidR="00C04533" w:rsidRDefault="00C04533" w:rsidP="00C04533">
      <w:pPr>
        <w:pStyle w:val="TextoNormal"/>
      </w:pPr>
      <w:r>
        <w:t>Madrid, a diecinueve de noviembre de dos mil veinticuatro.</w:t>
      </w:r>
    </w:p>
    <w:p w14:paraId="0B1E178E" w14:textId="1C7A497A" w:rsidR="00C04533" w:rsidRDefault="00C04533">
      <w:pPr>
        <w:spacing w:after="160" w:line="278" w:lineRule="auto"/>
        <w:rPr>
          <w:rFonts w:ascii="Times New Roman" w:eastAsia="Times New Roman" w:hAnsi="Times New Roman" w:cs="Times New Roman"/>
          <w:sz w:val="24"/>
          <w:szCs w:val="24"/>
          <w:lang w:eastAsia="es-ES"/>
        </w:rPr>
      </w:pPr>
      <w:r>
        <w:br w:type="page"/>
      </w:r>
    </w:p>
    <w:p w14:paraId="7CE8C7D8" w14:textId="77777777" w:rsidR="00C04533" w:rsidRDefault="00C04533" w:rsidP="00C04533">
      <w:pPr>
        <w:pStyle w:val="TtuloResolucin"/>
      </w:pPr>
      <w:bookmarkStart w:id="143" w:name="AUTO_2024_137"/>
      <w:r>
        <w:t>AUTO 137/2024, de 19 de noviembre de 2024</w:t>
      </w:r>
    </w:p>
    <w:bookmarkEnd w:id="143"/>
    <w:p w14:paraId="34851B87" w14:textId="77777777" w:rsidR="00C04533" w:rsidRDefault="00C04533" w:rsidP="00C04533">
      <w:pPr>
        <w:pStyle w:val="TtuloResolucin"/>
      </w:pPr>
      <w:r>
        <w:t>Pleno</w:t>
      </w:r>
    </w:p>
    <w:p w14:paraId="4CFBB663" w14:textId="77777777" w:rsidR="00C04533" w:rsidRDefault="00C04533" w:rsidP="00C04533">
      <w:pPr>
        <w:pStyle w:val="TextoNormalCentrado"/>
      </w:pPr>
      <w:r>
        <w:t>ECLI:ES:TC:2024:137A</w:t>
      </w:r>
    </w:p>
    <w:p w14:paraId="060681FE" w14:textId="42B5A159" w:rsidR="00C04533" w:rsidRDefault="00C04533" w:rsidP="00C04533">
      <w:pPr>
        <w:pStyle w:val="TextoNormalCentrado"/>
      </w:pPr>
    </w:p>
    <w:p w14:paraId="078E0B90"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4740DE02" w14:textId="57EF048A" w:rsidR="00C04533" w:rsidRDefault="00C04533" w:rsidP="00C04533">
      <w:pPr>
        <w:pStyle w:val="SntesisDescriptiva"/>
      </w:pPr>
    </w:p>
    <w:p w14:paraId="1DF063E5" w14:textId="77777777" w:rsidR="00C04533" w:rsidRDefault="00C04533" w:rsidP="00C04533">
      <w:pPr>
        <w:pStyle w:val="SntesisDescriptiva"/>
      </w:pPr>
      <w:r>
        <w:t>Inadmite una recusación en el recurso de inconstitucionalidad 6575-2024, interpuesto por la Junta de Andalucía en relación con la Ley Orgánica 1/2024, de 10 de junio, de amnistía para la normalización institucional, política y social en Cataluña.</w:t>
      </w:r>
    </w:p>
    <w:p w14:paraId="21F2109B" w14:textId="5E73DCF4" w:rsidR="00C04533" w:rsidRDefault="00C04533" w:rsidP="00C04533">
      <w:pPr>
        <w:pStyle w:val="SntesisDescriptiva"/>
      </w:pPr>
    </w:p>
    <w:p w14:paraId="4F624CE0" w14:textId="77777777" w:rsidR="00C04533" w:rsidRDefault="00C04533" w:rsidP="00C04533">
      <w:pPr>
        <w:pStyle w:val="SntesisDescriptiva"/>
      </w:pPr>
    </w:p>
    <w:p w14:paraId="7BACFD2A" w14:textId="77777777" w:rsidR="00C04533" w:rsidRDefault="00C04533" w:rsidP="00C04533">
      <w:pPr>
        <w:pStyle w:val="SntesisDescriptiva"/>
      </w:pPr>
    </w:p>
    <w:p w14:paraId="7BDD97E7" w14:textId="77777777" w:rsidR="00C04533" w:rsidRDefault="00C04533" w:rsidP="00C04533">
      <w:pPr>
        <w:pStyle w:val="TextoNormalNegritaCentrado"/>
      </w:pPr>
      <w:r>
        <w:t>AUTO</w:t>
      </w:r>
    </w:p>
    <w:p w14:paraId="7827077B" w14:textId="0C56E00A" w:rsidR="00C04533" w:rsidRDefault="00C04533" w:rsidP="00C04533">
      <w:pPr>
        <w:pStyle w:val="TextoNormalNegritaCentrado"/>
      </w:pPr>
    </w:p>
    <w:p w14:paraId="5F472EE1" w14:textId="77777777" w:rsidR="00C04533" w:rsidRDefault="00C04533" w:rsidP="00C04533">
      <w:pPr>
        <w:pStyle w:val="TextoNormalNegritaCentrado"/>
        <w:keepNext/>
      </w:pPr>
      <w:r>
        <w:t>I. Antecedentes</w:t>
      </w:r>
    </w:p>
    <w:p w14:paraId="7CAF37D2" w14:textId="68FD7A3C" w:rsidR="00C04533" w:rsidRDefault="00C04533" w:rsidP="00C04533">
      <w:pPr>
        <w:pStyle w:val="TextoNormalNegritaCentrado"/>
        <w:keepNext/>
      </w:pPr>
    </w:p>
    <w:p w14:paraId="2908C59A" w14:textId="78F613F9"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el recurso de inconstitucionalidad núm. 6575-2024, interpuesto por la Junta de Andalucía en relación con la Ley Orgánica 1/2024, de 10 de junio, de amnistía para la normalización institucional, política y social en Cataluña.</w:t>
      </w:r>
    </w:p>
    <w:p w14:paraId="44FF51EF" w14:textId="77777777" w:rsidR="00C04533" w:rsidRDefault="00C04533" w:rsidP="00C04533">
      <w:pPr>
        <w:pStyle w:val="TextoNormal"/>
      </w:pPr>
    </w:p>
    <w:p w14:paraId="4FB841E7" w14:textId="1A07BAFC"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14:paraId="68F388DC" w14:textId="77777777" w:rsidR="00C04533" w:rsidRDefault="00C04533" w:rsidP="00C04533">
      <w:pPr>
        <w:pStyle w:val="TextoNormal"/>
      </w:pPr>
    </w:p>
    <w:p w14:paraId="77130A3A" w14:textId="2B06C806"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 la magistrada doña María Luisa Segoviano Astaburuaga.</w:t>
      </w:r>
    </w:p>
    <w:p w14:paraId="7B7EB9DF" w14:textId="77777777" w:rsidR="00C04533" w:rsidRDefault="00C04533" w:rsidP="00C04533">
      <w:pPr>
        <w:pStyle w:val="TextoNormal"/>
      </w:pPr>
    </w:p>
    <w:p w14:paraId="6CB13B3D" w14:textId="6C03F8D8"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7875BCB6" w14:textId="77777777" w:rsidR="00C04533" w:rsidRDefault="00C04533" w:rsidP="00C04533">
      <w:pPr>
        <w:pStyle w:val="TextoNormal"/>
      </w:pPr>
    </w:p>
    <w:p w14:paraId="7ADEEBDB" w14:textId="77777777" w:rsidR="00C04533" w:rsidRDefault="00C04533" w:rsidP="00C04533">
      <w:pPr>
        <w:pStyle w:val="TextoNormalNegritaCentrado"/>
        <w:keepNext/>
      </w:pPr>
      <w:r>
        <w:t>II. Fundamentos jurídicos</w:t>
      </w:r>
    </w:p>
    <w:p w14:paraId="38D69477" w14:textId="1B0A72B3" w:rsidR="00C04533" w:rsidRDefault="00C04533" w:rsidP="00C04533">
      <w:pPr>
        <w:pStyle w:val="TextoNormalNegritaCentrado"/>
        <w:keepNext/>
      </w:pPr>
    </w:p>
    <w:p w14:paraId="70C66622" w14:textId="7625D5C1" w:rsidR="00C04533" w:rsidRDefault="00C04533" w:rsidP="00C04533">
      <w:pPr>
        <w:pStyle w:val="TextoNormal"/>
      </w:pPr>
      <w:r w:rsidRPr="00C04533">
        <w:rPr>
          <w:rStyle w:val="TextoNormalNegritaCaracter"/>
        </w:rPr>
        <w:t xml:space="preserve">Único. </w:t>
      </w:r>
      <w:r>
        <w:t>La presente recusación guarda identidad con la inadmitida por el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4BD5D643" w14:textId="77777777" w:rsidR="00C04533" w:rsidRDefault="00C04533" w:rsidP="00C04533">
      <w:pPr>
        <w:pStyle w:val="TextoNormal"/>
      </w:pPr>
    </w:p>
    <w:p w14:paraId="4752D784" w14:textId="77777777" w:rsidR="00C04533" w:rsidRDefault="00C04533" w:rsidP="00C04533">
      <w:pPr>
        <w:pStyle w:val="TextoNormal"/>
      </w:pPr>
      <w:r>
        <w:t>Por lo expuesto, el Pleno</w:t>
      </w:r>
    </w:p>
    <w:p w14:paraId="6ED45136" w14:textId="623C88A4" w:rsidR="00C04533" w:rsidRDefault="00C04533" w:rsidP="00C04533">
      <w:pPr>
        <w:pStyle w:val="TextoNormal"/>
      </w:pPr>
    </w:p>
    <w:p w14:paraId="0B2CD406" w14:textId="77777777" w:rsidR="00C04533" w:rsidRDefault="00C04533" w:rsidP="00C04533">
      <w:pPr>
        <w:pStyle w:val="TextoNormalCentrado"/>
      </w:pPr>
      <w:r>
        <w:t>ACUERDA</w:t>
      </w:r>
    </w:p>
    <w:p w14:paraId="534A2662" w14:textId="5EAF6E71" w:rsidR="00C04533" w:rsidRDefault="00C04533" w:rsidP="00C04533">
      <w:pPr>
        <w:pStyle w:val="TextoNormalCentrado"/>
      </w:pPr>
    </w:p>
    <w:p w14:paraId="3C57210C" w14:textId="759B9170" w:rsidR="00C04533" w:rsidRDefault="00C04533" w:rsidP="00C04533">
      <w:pPr>
        <w:pStyle w:val="TextoNormal"/>
      </w:pPr>
      <w:r>
        <w:t>No admitir a trámite la recusación del magistrado don José María Macías Castaño, promovida por el abogado del Estado en el recurso de inconstitucionalidad núm. 6575-2024.</w:t>
      </w:r>
    </w:p>
    <w:p w14:paraId="3F614EE8" w14:textId="77777777" w:rsidR="00C04533" w:rsidRDefault="00C04533" w:rsidP="00C04533">
      <w:pPr>
        <w:pStyle w:val="TextoNormal"/>
      </w:pPr>
    </w:p>
    <w:p w14:paraId="21D5AB32" w14:textId="77777777" w:rsidR="00C04533" w:rsidRDefault="00C04533" w:rsidP="00C04533">
      <w:pPr>
        <w:pStyle w:val="TextoNormal"/>
      </w:pPr>
      <w:r>
        <w:t>Madrid, a diecinueve de noviembre de dos mil veinticuatro.</w:t>
      </w:r>
    </w:p>
    <w:p w14:paraId="55D4B479" w14:textId="5C1C6CFB" w:rsidR="00C04533" w:rsidRDefault="00C04533">
      <w:pPr>
        <w:spacing w:after="160" w:line="278" w:lineRule="auto"/>
        <w:rPr>
          <w:rFonts w:ascii="Times New Roman" w:eastAsia="Times New Roman" w:hAnsi="Times New Roman" w:cs="Times New Roman"/>
          <w:sz w:val="24"/>
          <w:szCs w:val="24"/>
          <w:lang w:eastAsia="es-ES"/>
        </w:rPr>
      </w:pPr>
      <w:r>
        <w:br w:type="page"/>
      </w:r>
    </w:p>
    <w:p w14:paraId="172D9E46" w14:textId="77777777" w:rsidR="00C04533" w:rsidRDefault="00C04533" w:rsidP="00C04533">
      <w:pPr>
        <w:pStyle w:val="TtuloResolucin"/>
      </w:pPr>
      <w:bookmarkStart w:id="144" w:name="AUTO_2024_138"/>
      <w:r>
        <w:t>AUTO 138/2024, de 19 de noviembre de 2024</w:t>
      </w:r>
    </w:p>
    <w:bookmarkEnd w:id="144"/>
    <w:p w14:paraId="569ADF9B" w14:textId="77777777" w:rsidR="00C04533" w:rsidRDefault="00C04533" w:rsidP="00C04533">
      <w:pPr>
        <w:pStyle w:val="TtuloResolucin"/>
      </w:pPr>
      <w:r>
        <w:t>Pleno</w:t>
      </w:r>
    </w:p>
    <w:p w14:paraId="60DFF7AC" w14:textId="77777777" w:rsidR="00C04533" w:rsidRDefault="00C04533" w:rsidP="00C04533">
      <w:pPr>
        <w:pStyle w:val="TextoNormalCentrado"/>
      </w:pPr>
      <w:r>
        <w:t>ECLI:ES:TC:2024:138A</w:t>
      </w:r>
    </w:p>
    <w:p w14:paraId="0ABACEF6" w14:textId="3BA26A97" w:rsidR="00C04533" w:rsidRDefault="00C04533" w:rsidP="00C04533">
      <w:pPr>
        <w:pStyle w:val="TextoNormalCentrado"/>
      </w:pPr>
    </w:p>
    <w:p w14:paraId="21309429"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3904DC4C" w14:textId="090F0B49" w:rsidR="00C04533" w:rsidRDefault="00C04533" w:rsidP="00C04533">
      <w:pPr>
        <w:pStyle w:val="SntesisDescriptiva"/>
      </w:pPr>
    </w:p>
    <w:p w14:paraId="1E708491" w14:textId="77777777" w:rsidR="00C04533" w:rsidRDefault="00C04533" w:rsidP="00C04533">
      <w:pPr>
        <w:pStyle w:val="SntesisDescriptiva"/>
      </w:pPr>
      <w:r>
        <w:t>Inadmite una recusación en el recurso de inconstitucionalidad 6588-2024, interpuesto por la Generalitat Valenciana en relación con la Ley Orgánica 1/2024, de 10 de junio, de amnistía para la normalización institucional, política y social en Cataluña.</w:t>
      </w:r>
    </w:p>
    <w:p w14:paraId="719766D1" w14:textId="58505F9A" w:rsidR="00C04533" w:rsidRDefault="00C04533" w:rsidP="00C04533">
      <w:pPr>
        <w:pStyle w:val="SntesisDescriptiva"/>
      </w:pPr>
    </w:p>
    <w:p w14:paraId="0AF5B2D4" w14:textId="77777777" w:rsidR="00C04533" w:rsidRDefault="00C04533" w:rsidP="00C04533">
      <w:pPr>
        <w:pStyle w:val="SntesisDescriptiva"/>
      </w:pPr>
    </w:p>
    <w:p w14:paraId="62FF5B35" w14:textId="77777777" w:rsidR="00C04533" w:rsidRDefault="00C04533" w:rsidP="00C04533">
      <w:pPr>
        <w:pStyle w:val="SntesisDescriptiva"/>
      </w:pPr>
    </w:p>
    <w:p w14:paraId="2A68721B" w14:textId="77777777" w:rsidR="00C04533" w:rsidRDefault="00C04533" w:rsidP="00C04533">
      <w:pPr>
        <w:pStyle w:val="TextoNormalNegritaCentrado"/>
      </w:pPr>
      <w:r>
        <w:t>AUTO</w:t>
      </w:r>
    </w:p>
    <w:p w14:paraId="1E9C2556" w14:textId="67510638" w:rsidR="00C04533" w:rsidRDefault="00C04533" w:rsidP="00C04533">
      <w:pPr>
        <w:pStyle w:val="TextoNormalNegritaCentrado"/>
      </w:pPr>
    </w:p>
    <w:p w14:paraId="4BBE150A" w14:textId="77777777" w:rsidR="00C04533" w:rsidRDefault="00C04533" w:rsidP="00C04533">
      <w:pPr>
        <w:pStyle w:val="TextoNormalNegritaCentrado"/>
        <w:keepNext/>
      </w:pPr>
      <w:r>
        <w:t>I. Antecedentes</w:t>
      </w:r>
    </w:p>
    <w:p w14:paraId="541E0038" w14:textId="1DFB4621" w:rsidR="00C04533" w:rsidRDefault="00C04533" w:rsidP="00C04533">
      <w:pPr>
        <w:pStyle w:val="TextoNormalNegritaCentrado"/>
        <w:keepNext/>
      </w:pPr>
    </w:p>
    <w:p w14:paraId="4DE8BE99" w14:textId="0ABA621D"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el recurso de inconstitucionalidad núm. 6588-2024, interpuesto por la Generalitat Valenciana en relación con la Ley Orgánica 1/2024, de 10 de junio, de amnistía para la normalización institucional, política y social en Cataluña.</w:t>
      </w:r>
    </w:p>
    <w:p w14:paraId="1E0503C3" w14:textId="77777777" w:rsidR="00C04533" w:rsidRDefault="00C04533" w:rsidP="00C04533">
      <w:pPr>
        <w:pStyle w:val="TextoNormal"/>
      </w:pPr>
    </w:p>
    <w:p w14:paraId="378A292E" w14:textId="688D13BB"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14:paraId="7704D349" w14:textId="77777777" w:rsidR="00C04533" w:rsidRDefault="00C04533" w:rsidP="00C04533">
      <w:pPr>
        <w:pStyle w:val="TextoNormal"/>
      </w:pPr>
    </w:p>
    <w:p w14:paraId="6EDAB3A9" w14:textId="572B4996"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al magistrado don César Tolosa Tribiño.</w:t>
      </w:r>
    </w:p>
    <w:p w14:paraId="1578BED3" w14:textId="77777777" w:rsidR="00C04533" w:rsidRDefault="00C04533" w:rsidP="00C04533">
      <w:pPr>
        <w:pStyle w:val="TextoNormal"/>
      </w:pPr>
    </w:p>
    <w:p w14:paraId="532DDBD8" w14:textId="42C1CE20"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4091128A" w14:textId="77777777" w:rsidR="00C04533" w:rsidRDefault="00C04533" w:rsidP="00C04533">
      <w:pPr>
        <w:pStyle w:val="TextoNormal"/>
      </w:pPr>
    </w:p>
    <w:p w14:paraId="6CC771BD" w14:textId="77777777" w:rsidR="00C04533" w:rsidRDefault="00C04533" w:rsidP="00C04533">
      <w:pPr>
        <w:pStyle w:val="TextoNormalNegritaCentrado"/>
        <w:keepNext/>
      </w:pPr>
      <w:r>
        <w:t>II. Fundamentos jurídicos</w:t>
      </w:r>
    </w:p>
    <w:p w14:paraId="2BBAC233" w14:textId="36B8DB72" w:rsidR="00C04533" w:rsidRDefault="00C04533" w:rsidP="00C04533">
      <w:pPr>
        <w:pStyle w:val="TextoNormalNegritaCentrado"/>
        <w:keepNext/>
      </w:pPr>
    </w:p>
    <w:p w14:paraId="4EF87408" w14:textId="30F00C7D" w:rsidR="00C04533" w:rsidRDefault="00C04533" w:rsidP="00C04533">
      <w:pPr>
        <w:pStyle w:val="TextoNormal"/>
      </w:pPr>
      <w:r w:rsidRPr="00C04533">
        <w:rPr>
          <w:rStyle w:val="TextoNormalNegritaCaracter"/>
        </w:rPr>
        <w:t xml:space="preserve">Único. </w:t>
      </w:r>
      <w:r>
        <w:t>La presente recusación guarda identidad con la inadmitida por el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3BB5F2F2" w14:textId="77777777" w:rsidR="00C04533" w:rsidRDefault="00C04533" w:rsidP="00C04533">
      <w:pPr>
        <w:pStyle w:val="TextoNormal"/>
      </w:pPr>
    </w:p>
    <w:p w14:paraId="3756BD0B" w14:textId="77777777" w:rsidR="00C04533" w:rsidRDefault="00C04533" w:rsidP="00C04533">
      <w:pPr>
        <w:pStyle w:val="TextoNormal"/>
      </w:pPr>
      <w:r>
        <w:t>Por lo expuesto, el Pleno</w:t>
      </w:r>
    </w:p>
    <w:p w14:paraId="0BBFD2AD" w14:textId="5901DBB6" w:rsidR="00C04533" w:rsidRDefault="00C04533" w:rsidP="00C04533">
      <w:pPr>
        <w:pStyle w:val="TextoNormal"/>
      </w:pPr>
    </w:p>
    <w:p w14:paraId="05F74B37" w14:textId="77777777" w:rsidR="00C04533" w:rsidRDefault="00C04533" w:rsidP="00C04533">
      <w:pPr>
        <w:pStyle w:val="TextoNormalCentrado"/>
      </w:pPr>
      <w:r>
        <w:t>ACUERDA</w:t>
      </w:r>
    </w:p>
    <w:p w14:paraId="5DBBE116" w14:textId="0BB6FC3C" w:rsidR="00C04533" w:rsidRDefault="00C04533" w:rsidP="00C04533">
      <w:pPr>
        <w:pStyle w:val="TextoNormalCentrado"/>
      </w:pPr>
    </w:p>
    <w:p w14:paraId="2573D95A" w14:textId="68661D4C" w:rsidR="00C04533" w:rsidRDefault="00C04533" w:rsidP="00C04533">
      <w:pPr>
        <w:pStyle w:val="TextoNormal"/>
      </w:pPr>
      <w:r>
        <w:t>No admitir a trámite la recusación del magistrado don José María Macías Castaño, promovida por el abogado del Estado en el recurso de inconstitucionalidad núm. 6588-2024.</w:t>
      </w:r>
    </w:p>
    <w:p w14:paraId="0C254938" w14:textId="77777777" w:rsidR="00C04533" w:rsidRDefault="00C04533" w:rsidP="00C04533">
      <w:pPr>
        <w:pStyle w:val="TextoNormal"/>
      </w:pPr>
    </w:p>
    <w:p w14:paraId="51F2FB47" w14:textId="77777777" w:rsidR="00C04533" w:rsidRDefault="00C04533" w:rsidP="00C04533">
      <w:pPr>
        <w:pStyle w:val="TextoNormal"/>
      </w:pPr>
      <w:r>
        <w:t>Madrid, a diecinueve de noviembre de dos mil veinticuatro.</w:t>
      </w:r>
    </w:p>
    <w:p w14:paraId="6FB62FFF" w14:textId="3B5C2C51" w:rsidR="00C04533" w:rsidRDefault="00C04533">
      <w:pPr>
        <w:spacing w:after="160" w:line="278" w:lineRule="auto"/>
        <w:rPr>
          <w:rFonts w:ascii="Times New Roman" w:eastAsia="Times New Roman" w:hAnsi="Times New Roman" w:cs="Times New Roman"/>
          <w:sz w:val="24"/>
          <w:szCs w:val="24"/>
          <w:lang w:eastAsia="es-ES"/>
        </w:rPr>
      </w:pPr>
      <w:r>
        <w:br w:type="page"/>
      </w:r>
    </w:p>
    <w:p w14:paraId="63B29ECC" w14:textId="77777777" w:rsidR="00C04533" w:rsidRDefault="00C04533" w:rsidP="00C04533">
      <w:pPr>
        <w:pStyle w:val="TtuloResolucin"/>
      </w:pPr>
      <w:bookmarkStart w:id="145" w:name="AUTO_2024_139"/>
      <w:r>
        <w:t>AUTO 139/2024, de 19 de noviembre de 2024</w:t>
      </w:r>
    </w:p>
    <w:bookmarkEnd w:id="145"/>
    <w:p w14:paraId="02C03180" w14:textId="77777777" w:rsidR="00C04533" w:rsidRDefault="00C04533" w:rsidP="00C04533">
      <w:pPr>
        <w:pStyle w:val="TtuloResolucin"/>
      </w:pPr>
      <w:r>
        <w:t>Pleno</w:t>
      </w:r>
    </w:p>
    <w:p w14:paraId="6B1D7EED" w14:textId="77777777" w:rsidR="00C04533" w:rsidRDefault="00C04533" w:rsidP="00C04533">
      <w:pPr>
        <w:pStyle w:val="TextoNormalCentrado"/>
      </w:pPr>
      <w:r>
        <w:t>ECLI:ES:TC:2024:139A</w:t>
      </w:r>
    </w:p>
    <w:p w14:paraId="4A9A1D04" w14:textId="1557F9F9" w:rsidR="00C04533" w:rsidRDefault="00C04533" w:rsidP="00C04533">
      <w:pPr>
        <w:pStyle w:val="TextoNormalCentrado"/>
      </w:pPr>
    </w:p>
    <w:p w14:paraId="7FDF69AB"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5B3C541E" w14:textId="5FDEC2AE" w:rsidR="00C04533" w:rsidRDefault="00C04533" w:rsidP="00C04533">
      <w:pPr>
        <w:pStyle w:val="SntesisDescriptiva"/>
      </w:pPr>
    </w:p>
    <w:p w14:paraId="6C96C54A" w14:textId="77777777" w:rsidR="00C04533" w:rsidRDefault="00C04533" w:rsidP="00C04533">
      <w:pPr>
        <w:pStyle w:val="SntesisDescriptiva"/>
      </w:pPr>
      <w:r>
        <w:t>Inadmite una recusación en el recurso de inconstitucionalidad 6595-2024, interpuesto por la Junta de Castilla y León en relación con la Ley Orgánica 1/2024, de 10 de junio, de amnistía para la normalización institucional, política y social en Cataluña.</w:t>
      </w:r>
    </w:p>
    <w:p w14:paraId="5E91871D" w14:textId="0FF95DF9" w:rsidR="00C04533" w:rsidRDefault="00C04533" w:rsidP="00C04533">
      <w:pPr>
        <w:pStyle w:val="SntesisDescriptiva"/>
      </w:pPr>
    </w:p>
    <w:p w14:paraId="0ECAB6AF" w14:textId="77777777" w:rsidR="00C04533" w:rsidRDefault="00C04533" w:rsidP="00C04533">
      <w:pPr>
        <w:pStyle w:val="SntesisDescriptiva"/>
      </w:pPr>
    </w:p>
    <w:p w14:paraId="4D32D70D" w14:textId="77777777" w:rsidR="00C04533" w:rsidRDefault="00C04533" w:rsidP="00C04533">
      <w:pPr>
        <w:pStyle w:val="SntesisDescriptiva"/>
      </w:pPr>
    </w:p>
    <w:p w14:paraId="3E866C29" w14:textId="77777777" w:rsidR="00C04533" w:rsidRDefault="00C04533" w:rsidP="00C04533">
      <w:pPr>
        <w:pStyle w:val="TextoNormalNegritaCentrado"/>
      </w:pPr>
      <w:r>
        <w:t>AUTO</w:t>
      </w:r>
    </w:p>
    <w:p w14:paraId="39450243" w14:textId="2774950A" w:rsidR="00C04533" w:rsidRDefault="00C04533" w:rsidP="00C04533">
      <w:pPr>
        <w:pStyle w:val="TextoNormalNegritaCentrado"/>
      </w:pPr>
    </w:p>
    <w:p w14:paraId="42D8F090" w14:textId="77777777" w:rsidR="00C04533" w:rsidRDefault="00C04533" w:rsidP="00C04533">
      <w:pPr>
        <w:pStyle w:val="TextoNormalNegritaCentrado"/>
        <w:keepNext/>
      </w:pPr>
      <w:r>
        <w:t>I. Antecedentes</w:t>
      </w:r>
    </w:p>
    <w:p w14:paraId="39044B01" w14:textId="74BE47E4" w:rsidR="00C04533" w:rsidRDefault="00C04533" w:rsidP="00C04533">
      <w:pPr>
        <w:pStyle w:val="TextoNormalNegritaCentrado"/>
        <w:keepNext/>
      </w:pPr>
    </w:p>
    <w:p w14:paraId="262D99B3" w14:textId="24F34991"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el recurso de inconstitucionalidad núm. 6595-2024, interpuesto por la Junta de Castilla y León en relación con la Ley Orgánica 1/2024, de 10 de junio, de amnistía para la normalización institucional, política y social en Cataluña.</w:t>
      </w:r>
    </w:p>
    <w:p w14:paraId="2C7E1210" w14:textId="77777777" w:rsidR="00C04533" w:rsidRDefault="00C04533" w:rsidP="00C04533">
      <w:pPr>
        <w:pStyle w:val="TextoNormal"/>
      </w:pPr>
    </w:p>
    <w:p w14:paraId="1FFD039F" w14:textId="39058CB6"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14:paraId="3C7AD5AE" w14:textId="77777777" w:rsidR="00C04533" w:rsidRDefault="00C04533" w:rsidP="00C04533">
      <w:pPr>
        <w:pStyle w:val="TextoNormal"/>
      </w:pPr>
    </w:p>
    <w:p w14:paraId="558EE058" w14:textId="6541671C"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 la magistrada doña Inmaculada Montalbán Huertas.</w:t>
      </w:r>
    </w:p>
    <w:p w14:paraId="1BD88F57" w14:textId="77777777" w:rsidR="00C04533" w:rsidRDefault="00C04533" w:rsidP="00C04533">
      <w:pPr>
        <w:pStyle w:val="TextoNormal"/>
      </w:pPr>
    </w:p>
    <w:p w14:paraId="370FB069" w14:textId="52CE87E6"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3A5E86C2" w14:textId="77777777" w:rsidR="00C04533" w:rsidRDefault="00C04533" w:rsidP="00C04533">
      <w:pPr>
        <w:pStyle w:val="TextoNormal"/>
      </w:pPr>
    </w:p>
    <w:p w14:paraId="458969FC" w14:textId="77777777" w:rsidR="00C04533" w:rsidRDefault="00C04533" w:rsidP="00C04533">
      <w:pPr>
        <w:pStyle w:val="TextoNormalNegritaCentrado"/>
        <w:keepNext/>
      </w:pPr>
      <w:r>
        <w:t>II. Fundamentos jurídicos</w:t>
      </w:r>
    </w:p>
    <w:p w14:paraId="47E2F9B8" w14:textId="6992F337" w:rsidR="00C04533" w:rsidRDefault="00C04533" w:rsidP="00C04533">
      <w:pPr>
        <w:pStyle w:val="TextoNormalNegritaCentrado"/>
        <w:keepNext/>
      </w:pPr>
    </w:p>
    <w:p w14:paraId="797E901F" w14:textId="2D9A480C" w:rsidR="00C04533" w:rsidRDefault="00C04533" w:rsidP="00C04533">
      <w:pPr>
        <w:pStyle w:val="TextoNormal"/>
      </w:pPr>
      <w:r w:rsidRPr="00C04533">
        <w:rPr>
          <w:rStyle w:val="TextoNormalNegritaCaracter"/>
        </w:rPr>
        <w:t xml:space="preserve">Único. </w:t>
      </w:r>
      <w:r>
        <w:t>La presente recusación guarda identidad con la inadmitida por ATC 116/2024, de 5 de noviembre, dictado por este tribunal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073EA442" w14:textId="77777777" w:rsidR="00C04533" w:rsidRDefault="00C04533" w:rsidP="00C04533">
      <w:pPr>
        <w:pStyle w:val="TextoNormal"/>
      </w:pPr>
    </w:p>
    <w:p w14:paraId="31E7B19F" w14:textId="77777777" w:rsidR="00C04533" w:rsidRDefault="00C04533" w:rsidP="00C04533">
      <w:pPr>
        <w:pStyle w:val="TextoNormal"/>
      </w:pPr>
      <w:r>
        <w:t>Por lo expuesto, el Pleno</w:t>
      </w:r>
    </w:p>
    <w:p w14:paraId="17D1D4E2" w14:textId="67E0B0B3" w:rsidR="00C04533" w:rsidRDefault="00C04533" w:rsidP="00C04533">
      <w:pPr>
        <w:pStyle w:val="TextoNormal"/>
      </w:pPr>
    </w:p>
    <w:p w14:paraId="4FAFA4B6" w14:textId="77777777" w:rsidR="00C04533" w:rsidRDefault="00C04533" w:rsidP="00C04533">
      <w:pPr>
        <w:pStyle w:val="TextoNormalCentrado"/>
      </w:pPr>
      <w:r>
        <w:t>ACUERDA</w:t>
      </w:r>
    </w:p>
    <w:p w14:paraId="1551BB28" w14:textId="7B859B9C" w:rsidR="00C04533" w:rsidRDefault="00C04533" w:rsidP="00C04533">
      <w:pPr>
        <w:pStyle w:val="TextoNormalCentrado"/>
      </w:pPr>
    </w:p>
    <w:p w14:paraId="75814AFF" w14:textId="7C27050E" w:rsidR="00C04533" w:rsidRDefault="00C04533" w:rsidP="00C04533">
      <w:pPr>
        <w:pStyle w:val="TextoNormal"/>
      </w:pPr>
      <w:r>
        <w:t>No admitir a trámite la recusación del magistrado don José María Macías Castaño, promovida por el abogado del Estado en el recurso de inconstitucionalidad núm. 6595-2024.</w:t>
      </w:r>
    </w:p>
    <w:p w14:paraId="30AC757F" w14:textId="77777777" w:rsidR="00C04533" w:rsidRDefault="00C04533" w:rsidP="00C04533">
      <w:pPr>
        <w:pStyle w:val="TextoNormal"/>
      </w:pPr>
    </w:p>
    <w:p w14:paraId="307366F2" w14:textId="77777777" w:rsidR="00C04533" w:rsidRDefault="00C04533" w:rsidP="00C04533">
      <w:pPr>
        <w:pStyle w:val="TextoNormal"/>
      </w:pPr>
      <w:r>
        <w:t>Madrid, a diecinueve de noviembre de dos mil veinticuatro.</w:t>
      </w:r>
    </w:p>
    <w:p w14:paraId="1BCB4D36" w14:textId="615DDC4B" w:rsidR="00C04533" w:rsidRDefault="00C04533">
      <w:pPr>
        <w:spacing w:after="160" w:line="278" w:lineRule="auto"/>
        <w:rPr>
          <w:rFonts w:ascii="Times New Roman" w:eastAsia="Times New Roman" w:hAnsi="Times New Roman" w:cs="Times New Roman"/>
          <w:sz w:val="24"/>
          <w:szCs w:val="24"/>
          <w:lang w:eastAsia="es-ES"/>
        </w:rPr>
      </w:pPr>
      <w:r>
        <w:br w:type="page"/>
      </w:r>
    </w:p>
    <w:p w14:paraId="6746018F" w14:textId="77777777" w:rsidR="00C04533" w:rsidRDefault="00C04533" w:rsidP="00C04533">
      <w:pPr>
        <w:pStyle w:val="TtuloResolucin"/>
      </w:pPr>
      <w:bookmarkStart w:id="146" w:name="AUTO_2024_140"/>
      <w:r>
        <w:t>AUTO 140/2024, de 19 de noviembre de 2024</w:t>
      </w:r>
    </w:p>
    <w:bookmarkEnd w:id="146"/>
    <w:p w14:paraId="623829BD" w14:textId="77777777" w:rsidR="00C04533" w:rsidRDefault="00C04533" w:rsidP="00C04533">
      <w:pPr>
        <w:pStyle w:val="TtuloResolucin"/>
      </w:pPr>
      <w:r>
        <w:t>Pleno</w:t>
      </w:r>
    </w:p>
    <w:p w14:paraId="0AA27939" w14:textId="77777777" w:rsidR="00C04533" w:rsidRDefault="00C04533" w:rsidP="00C04533">
      <w:pPr>
        <w:pStyle w:val="TextoNormalCentrado"/>
      </w:pPr>
      <w:r>
        <w:t>ECLI:ES:TC:2024:140A</w:t>
      </w:r>
    </w:p>
    <w:p w14:paraId="431694DC" w14:textId="54598DD1" w:rsidR="00C04533" w:rsidRDefault="00C04533" w:rsidP="00C04533">
      <w:pPr>
        <w:pStyle w:val="TextoNormalCentrado"/>
      </w:pPr>
    </w:p>
    <w:p w14:paraId="281255A5"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11791A74" w14:textId="7283098D" w:rsidR="00C04533" w:rsidRDefault="00C04533" w:rsidP="00C04533">
      <w:pPr>
        <w:pStyle w:val="SntesisDescriptiva"/>
      </w:pPr>
    </w:p>
    <w:p w14:paraId="4D37F901" w14:textId="77777777" w:rsidR="00C04533" w:rsidRDefault="00C04533" w:rsidP="00C04533">
      <w:pPr>
        <w:pStyle w:val="SntesisDescriptiva"/>
      </w:pPr>
      <w:r>
        <w:t>Inadmite una recusación en la cuestión de inconstitucionalidad 6596-2024, planteada por la Sala de lo Civil y Penal del Tribunal Superior de Justicia de Cataluña en relación con la Ley Orgánica 1/2024, de 10 de junio, de amnistía para la normalización institucional, política y social en Cataluña.</w:t>
      </w:r>
    </w:p>
    <w:p w14:paraId="313FA64F" w14:textId="1FFD2317" w:rsidR="00C04533" w:rsidRDefault="00C04533" w:rsidP="00C04533">
      <w:pPr>
        <w:pStyle w:val="SntesisDescriptiva"/>
      </w:pPr>
    </w:p>
    <w:p w14:paraId="1810B801" w14:textId="77777777" w:rsidR="00C04533" w:rsidRDefault="00C04533" w:rsidP="00C04533">
      <w:pPr>
        <w:pStyle w:val="SntesisDescriptiva"/>
      </w:pPr>
    </w:p>
    <w:p w14:paraId="5E287E34" w14:textId="77777777" w:rsidR="00C04533" w:rsidRDefault="00C04533" w:rsidP="00C04533">
      <w:pPr>
        <w:pStyle w:val="SntesisDescriptiva"/>
      </w:pPr>
    </w:p>
    <w:p w14:paraId="4F1D746E" w14:textId="77777777" w:rsidR="00C04533" w:rsidRDefault="00C04533" w:rsidP="00C04533">
      <w:pPr>
        <w:pStyle w:val="TextoNormalNegritaCentrado"/>
      </w:pPr>
      <w:r>
        <w:t>AUTO</w:t>
      </w:r>
    </w:p>
    <w:p w14:paraId="42652546" w14:textId="3D53B397" w:rsidR="00C04533" w:rsidRDefault="00C04533" w:rsidP="00C04533">
      <w:pPr>
        <w:pStyle w:val="TextoNormalNegritaCentrado"/>
      </w:pPr>
    </w:p>
    <w:p w14:paraId="7F367749" w14:textId="77777777" w:rsidR="00C04533" w:rsidRDefault="00C04533" w:rsidP="00C04533">
      <w:pPr>
        <w:pStyle w:val="TextoNormalNegritaCentrado"/>
        <w:keepNext/>
      </w:pPr>
      <w:r>
        <w:t>I. Antecedentes</w:t>
      </w:r>
    </w:p>
    <w:p w14:paraId="40A4E6B5" w14:textId="11337C5B" w:rsidR="00C04533" w:rsidRDefault="00C04533" w:rsidP="00C04533">
      <w:pPr>
        <w:pStyle w:val="TextoNormalNegritaCentrado"/>
        <w:keepNext/>
      </w:pPr>
    </w:p>
    <w:p w14:paraId="654F52A5" w14:textId="5973B9C7"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la cuestión de inconstitucionalidad núm. 6596-2024, planteada por la Sala de lo Civil y Penal del Tribunal Superior de Justicia de Cataluña respecto de la Ley Orgánica 1/2024, de 10 de junio, de amnistía para la normalización institucional, política y social en Cataluña.</w:t>
      </w:r>
    </w:p>
    <w:p w14:paraId="029CBABE" w14:textId="77777777" w:rsidR="00C04533" w:rsidRDefault="00C04533" w:rsidP="00C04533">
      <w:pPr>
        <w:pStyle w:val="TextoNormal"/>
      </w:pPr>
    </w:p>
    <w:p w14:paraId="1CBDF488" w14:textId="48C37D24"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 la presente cuestión de inconstitucionalidad.</w:t>
      </w:r>
    </w:p>
    <w:p w14:paraId="5B694F75" w14:textId="77777777" w:rsidR="00C04533" w:rsidRDefault="00C04533" w:rsidP="00C04533">
      <w:pPr>
        <w:pStyle w:val="TextoNormal"/>
      </w:pPr>
    </w:p>
    <w:p w14:paraId="7212B033" w14:textId="51FE9853"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al magistrado don Enrique Arnaldo Alcubilla.</w:t>
      </w:r>
    </w:p>
    <w:p w14:paraId="76411D51" w14:textId="77777777" w:rsidR="00C04533" w:rsidRDefault="00C04533" w:rsidP="00C04533">
      <w:pPr>
        <w:pStyle w:val="TextoNormal"/>
      </w:pPr>
    </w:p>
    <w:p w14:paraId="3D57AA5B" w14:textId="1A3F32B9"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09C2B09F" w14:textId="77777777" w:rsidR="00C04533" w:rsidRDefault="00C04533" w:rsidP="00C04533">
      <w:pPr>
        <w:pStyle w:val="TextoNormal"/>
      </w:pPr>
    </w:p>
    <w:p w14:paraId="43921359" w14:textId="77777777" w:rsidR="00C04533" w:rsidRDefault="00C04533" w:rsidP="00C04533">
      <w:pPr>
        <w:pStyle w:val="TextoNormalNegritaCentrado"/>
        <w:keepNext/>
      </w:pPr>
      <w:r>
        <w:t>II. Fundamentos jurídicos</w:t>
      </w:r>
    </w:p>
    <w:p w14:paraId="19D50977" w14:textId="1CD8C88A" w:rsidR="00C04533" w:rsidRDefault="00C04533" w:rsidP="00C04533">
      <w:pPr>
        <w:pStyle w:val="TextoNormalNegritaCentrado"/>
        <w:keepNext/>
      </w:pPr>
    </w:p>
    <w:p w14:paraId="0B99492E" w14:textId="64708B9C" w:rsidR="00C04533" w:rsidRDefault="00C04533" w:rsidP="00C04533">
      <w:pPr>
        <w:pStyle w:val="TextoNormal"/>
      </w:pPr>
      <w:r w:rsidRPr="00C04533">
        <w:rPr>
          <w:rStyle w:val="TextoNormalNegritaCaracter"/>
        </w:rPr>
        <w:t xml:space="preserve">Único. </w:t>
      </w:r>
      <w:r>
        <w:t>La presente recusación guarda identidad con la inadmitida por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03400178" w14:textId="77777777" w:rsidR="00C04533" w:rsidRDefault="00C04533" w:rsidP="00C04533">
      <w:pPr>
        <w:pStyle w:val="TextoNormal"/>
      </w:pPr>
    </w:p>
    <w:p w14:paraId="731EC782" w14:textId="77777777" w:rsidR="00C04533" w:rsidRDefault="00C04533" w:rsidP="00C04533">
      <w:pPr>
        <w:pStyle w:val="TextoNormal"/>
      </w:pPr>
      <w:r>
        <w:t>Por lo expuesto, el Pleno</w:t>
      </w:r>
    </w:p>
    <w:p w14:paraId="0ECE2FFF" w14:textId="1713F15A" w:rsidR="00C04533" w:rsidRDefault="00C04533" w:rsidP="00C04533">
      <w:pPr>
        <w:pStyle w:val="TextoNormal"/>
      </w:pPr>
    </w:p>
    <w:p w14:paraId="17DF2710" w14:textId="77777777" w:rsidR="00C04533" w:rsidRDefault="00C04533" w:rsidP="00C04533">
      <w:pPr>
        <w:pStyle w:val="TextoNormalCentrado"/>
      </w:pPr>
      <w:r>
        <w:t>ACUERDA</w:t>
      </w:r>
    </w:p>
    <w:p w14:paraId="68C06C69" w14:textId="390BE1B8" w:rsidR="00C04533" w:rsidRDefault="00C04533" w:rsidP="00C04533">
      <w:pPr>
        <w:pStyle w:val="TextoNormalCentrado"/>
      </w:pPr>
    </w:p>
    <w:p w14:paraId="74AD4DA7" w14:textId="3788EA4B" w:rsidR="00C04533" w:rsidRDefault="00C04533" w:rsidP="00C04533">
      <w:pPr>
        <w:pStyle w:val="TextoNormal"/>
      </w:pPr>
      <w:r>
        <w:t>No admitir a trámite la recusación del magistrado don José María Macías Castaño, promovida por el abogado del Estado en la cuestión de inconstitucionalidad núm. 6596-2024.</w:t>
      </w:r>
    </w:p>
    <w:p w14:paraId="4879D553" w14:textId="77777777" w:rsidR="00C04533" w:rsidRDefault="00C04533" w:rsidP="00C04533">
      <w:pPr>
        <w:pStyle w:val="TextoNormal"/>
      </w:pPr>
    </w:p>
    <w:p w14:paraId="5C024B85" w14:textId="77777777" w:rsidR="00C04533" w:rsidRDefault="00C04533" w:rsidP="00C04533">
      <w:pPr>
        <w:pStyle w:val="TextoNormal"/>
      </w:pPr>
      <w:r>
        <w:t>Madrid, a diecinueve de noviembre de dos mil veinticuatro.</w:t>
      </w:r>
    </w:p>
    <w:p w14:paraId="39754895" w14:textId="636E4389" w:rsidR="00C04533" w:rsidRDefault="00C04533">
      <w:pPr>
        <w:spacing w:after="160" w:line="278" w:lineRule="auto"/>
        <w:rPr>
          <w:rFonts w:ascii="Times New Roman" w:eastAsia="Times New Roman" w:hAnsi="Times New Roman" w:cs="Times New Roman"/>
          <w:sz w:val="24"/>
          <w:szCs w:val="24"/>
          <w:lang w:eastAsia="es-ES"/>
        </w:rPr>
      </w:pPr>
      <w:r>
        <w:br w:type="page"/>
      </w:r>
    </w:p>
    <w:p w14:paraId="4A919790" w14:textId="77777777" w:rsidR="00C04533" w:rsidRDefault="00C04533" w:rsidP="00C04533">
      <w:pPr>
        <w:pStyle w:val="TtuloResolucin"/>
      </w:pPr>
      <w:bookmarkStart w:id="147" w:name="AUTO_2024_141"/>
      <w:r>
        <w:t>AUTO 141/2024, de 19 de noviembre de 2024</w:t>
      </w:r>
    </w:p>
    <w:bookmarkEnd w:id="147"/>
    <w:p w14:paraId="217497AB" w14:textId="77777777" w:rsidR="00C04533" w:rsidRDefault="00C04533" w:rsidP="00C04533">
      <w:pPr>
        <w:pStyle w:val="TtuloResolucin"/>
      </w:pPr>
      <w:r>
        <w:t>Pleno</w:t>
      </w:r>
    </w:p>
    <w:p w14:paraId="02F58427" w14:textId="77777777" w:rsidR="00C04533" w:rsidRDefault="00C04533" w:rsidP="00C04533">
      <w:pPr>
        <w:pStyle w:val="TextoNormalCentrado"/>
      </w:pPr>
      <w:r>
        <w:t>ECLI:ES:TC:2024:141A</w:t>
      </w:r>
    </w:p>
    <w:p w14:paraId="2C7B11D2" w14:textId="08676E0C" w:rsidR="00C04533" w:rsidRDefault="00C04533" w:rsidP="00C04533">
      <w:pPr>
        <w:pStyle w:val="TextoNormalCentrado"/>
      </w:pPr>
    </w:p>
    <w:p w14:paraId="7C042C8D"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7855C42E" w14:textId="6EB6F5E4" w:rsidR="00C04533" w:rsidRDefault="00C04533" w:rsidP="00C04533">
      <w:pPr>
        <w:pStyle w:val="SntesisDescriptiva"/>
      </w:pPr>
    </w:p>
    <w:p w14:paraId="67DBBFBD" w14:textId="77777777" w:rsidR="00C04533" w:rsidRDefault="00C04533" w:rsidP="00C04533">
      <w:pPr>
        <w:pStyle w:val="SntesisDescriptiva"/>
      </w:pPr>
      <w:r>
        <w:t>Inadmite una recusación en la cuestión de inconstitucionalidad 6597-2024, planteada por la Sala de lo Civil y Penal del Tribunal Superior de Justicia de Cataluña en relación con la Ley Orgánica 1/2024, de 10 de junio, de amnistía para la normalización institucional, política y social en Cataluña.</w:t>
      </w:r>
    </w:p>
    <w:p w14:paraId="75B8671B" w14:textId="6128734A" w:rsidR="00C04533" w:rsidRDefault="00C04533" w:rsidP="00C04533">
      <w:pPr>
        <w:pStyle w:val="SntesisDescriptiva"/>
      </w:pPr>
    </w:p>
    <w:p w14:paraId="5F70A46D" w14:textId="77777777" w:rsidR="00C04533" w:rsidRDefault="00C04533" w:rsidP="00C04533">
      <w:pPr>
        <w:pStyle w:val="SntesisDescriptiva"/>
      </w:pPr>
    </w:p>
    <w:p w14:paraId="427AC037" w14:textId="77777777" w:rsidR="00C04533" w:rsidRDefault="00C04533" w:rsidP="00C04533">
      <w:pPr>
        <w:pStyle w:val="SntesisDescriptiva"/>
      </w:pPr>
    </w:p>
    <w:p w14:paraId="53D99A97" w14:textId="77777777" w:rsidR="00C04533" w:rsidRDefault="00C04533" w:rsidP="00C04533">
      <w:pPr>
        <w:pStyle w:val="TextoNormalNegritaCentrado"/>
      </w:pPr>
      <w:r>
        <w:t>AUTO</w:t>
      </w:r>
    </w:p>
    <w:p w14:paraId="1E00D44A" w14:textId="20DCDB66" w:rsidR="00C04533" w:rsidRDefault="00C04533" w:rsidP="00C04533">
      <w:pPr>
        <w:pStyle w:val="TextoNormalNegritaCentrado"/>
      </w:pPr>
    </w:p>
    <w:p w14:paraId="1E630793" w14:textId="77777777" w:rsidR="00C04533" w:rsidRDefault="00C04533" w:rsidP="00C04533">
      <w:pPr>
        <w:pStyle w:val="TextoNormalNegritaCentrado"/>
        <w:keepNext/>
      </w:pPr>
      <w:r>
        <w:t>I. Antecedentes</w:t>
      </w:r>
    </w:p>
    <w:p w14:paraId="455C09E6" w14:textId="76F48A1A" w:rsidR="00C04533" w:rsidRDefault="00C04533" w:rsidP="00C04533">
      <w:pPr>
        <w:pStyle w:val="TextoNormalNegritaCentrado"/>
        <w:keepNext/>
      </w:pPr>
    </w:p>
    <w:p w14:paraId="1EF92043" w14:textId="70AB6D1D"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la cuestión de inconstitucionalidad núm. 6597-2024, planteada por la Sala de lo Civil y Penal del Tribunal Superior de Justicia de Cataluña en relación con la Ley Orgánica 1/2024, de 10 de junio, de amnistía para la normalización institucional, política y social en Cataluña.</w:t>
      </w:r>
    </w:p>
    <w:p w14:paraId="593F17F2" w14:textId="77777777" w:rsidR="00C04533" w:rsidRDefault="00C04533" w:rsidP="00C04533">
      <w:pPr>
        <w:pStyle w:val="TextoNormal"/>
      </w:pPr>
    </w:p>
    <w:p w14:paraId="16E189A2" w14:textId="58420CE2"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16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 la presente cuestión de inconstitucionalidad.</w:t>
      </w:r>
    </w:p>
    <w:p w14:paraId="717D2302" w14:textId="77777777" w:rsidR="00C04533" w:rsidRDefault="00C04533" w:rsidP="00C04533">
      <w:pPr>
        <w:pStyle w:val="TextoNormal"/>
      </w:pPr>
    </w:p>
    <w:p w14:paraId="003FB76C" w14:textId="276C673A"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al magistrado don Ramón Sáez Valcárcel.</w:t>
      </w:r>
    </w:p>
    <w:p w14:paraId="78D21545" w14:textId="77777777" w:rsidR="00C04533" w:rsidRDefault="00C04533" w:rsidP="00C04533">
      <w:pPr>
        <w:pStyle w:val="TextoNormal"/>
      </w:pPr>
    </w:p>
    <w:p w14:paraId="09DB4D3B" w14:textId="3F4D5360"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32D0393C" w14:textId="77777777" w:rsidR="00C04533" w:rsidRDefault="00C04533" w:rsidP="00C04533">
      <w:pPr>
        <w:pStyle w:val="TextoNormal"/>
      </w:pPr>
    </w:p>
    <w:p w14:paraId="6B189E65" w14:textId="77777777" w:rsidR="00C04533" w:rsidRDefault="00C04533" w:rsidP="00C04533">
      <w:pPr>
        <w:pStyle w:val="TextoNormalNegritaCentrado"/>
        <w:keepNext/>
      </w:pPr>
      <w:r>
        <w:t>II. Fundamentos jurídicos</w:t>
      </w:r>
    </w:p>
    <w:p w14:paraId="5653BD9A" w14:textId="659DA039" w:rsidR="00C04533" w:rsidRDefault="00C04533" w:rsidP="00C04533">
      <w:pPr>
        <w:pStyle w:val="TextoNormalNegritaCentrado"/>
        <w:keepNext/>
      </w:pPr>
    </w:p>
    <w:p w14:paraId="41358130" w14:textId="56608E44" w:rsidR="00C04533" w:rsidRDefault="00C04533" w:rsidP="00C04533">
      <w:pPr>
        <w:pStyle w:val="TextoNormal"/>
      </w:pPr>
      <w:r w:rsidRPr="00C04533">
        <w:rPr>
          <w:rStyle w:val="TextoNormalNegritaCaracter"/>
        </w:rPr>
        <w:t xml:space="preserve">Único. </w:t>
      </w:r>
      <w:r>
        <w:t>La presente recusación guarda identidad con la inadmitida por ATC 116/2024, de 5 de noviembre, dictado en el recurso de inconstitucionalidad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6D1469F9" w14:textId="77777777" w:rsidR="00C04533" w:rsidRDefault="00C04533" w:rsidP="00C04533">
      <w:pPr>
        <w:pStyle w:val="TextoNormal"/>
      </w:pPr>
    </w:p>
    <w:p w14:paraId="11120D56" w14:textId="77777777" w:rsidR="00C04533" w:rsidRDefault="00C04533" w:rsidP="00C04533">
      <w:pPr>
        <w:pStyle w:val="TextoNormal"/>
      </w:pPr>
      <w:r>
        <w:t>Por lo expuesto, el Pleno</w:t>
      </w:r>
    </w:p>
    <w:p w14:paraId="7F604297" w14:textId="2AE7937E" w:rsidR="00C04533" w:rsidRDefault="00C04533" w:rsidP="00C04533">
      <w:pPr>
        <w:pStyle w:val="TextoNormal"/>
      </w:pPr>
    </w:p>
    <w:p w14:paraId="22901DEB" w14:textId="77777777" w:rsidR="00C04533" w:rsidRDefault="00C04533" w:rsidP="00C04533">
      <w:pPr>
        <w:pStyle w:val="TextoNormalCentrado"/>
      </w:pPr>
      <w:r>
        <w:t>ACUERDA</w:t>
      </w:r>
    </w:p>
    <w:p w14:paraId="5BC3AEF3" w14:textId="7D1B7CCF" w:rsidR="00C04533" w:rsidRDefault="00C04533" w:rsidP="00C04533">
      <w:pPr>
        <w:pStyle w:val="TextoNormalCentrado"/>
      </w:pPr>
    </w:p>
    <w:p w14:paraId="30D813D1" w14:textId="6C7D0979" w:rsidR="00C04533" w:rsidRDefault="00C04533" w:rsidP="00C04533">
      <w:pPr>
        <w:pStyle w:val="TextoNormal"/>
      </w:pPr>
      <w:r>
        <w:t>No admitir a trámite la recusación del magistrado don José María Macías Castaño, promovida por el abogado del Estado en la cuestión de inconstitucionalidad núm. 6597-2024.</w:t>
      </w:r>
    </w:p>
    <w:p w14:paraId="4503B279" w14:textId="77777777" w:rsidR="00C04533" w:rsidRDefault="00C04533" w:rsidP="00C04533">
      <w:pPr>
        <w:pStyle w:val="TextoNormal"/>
      </w:pPr>
    </w:p>
    <w:p w14:paraId="4251B8F9" w14:textId="77777777" w:rsidR="00C04533" w:rsidRDefault="00C04533" w:rsidP="00C04533">
      <w:pPr>
        <w:pStyle w:val="TextoNormal"/>
      </w:pPr>
      <w:r>
        <w:t>Madrid, a diecinueve de noviembre de dos mil veinticuatro.</w:t>
      </w:r>
    </w:p>
    <w:p w14:paraId="1BD72312" w14:textId="27692D47" w:rsidR="00C04533" w:rsidRDefault="00C04533">
      <w:pPr>
        <w:spacing w:after="160" w:line="278" w:lineRule="auto"/>
        <w:rPr>
          <w:rFonts w:ascii="Times New Roman" w:eastAsia="Times New Roman" w:hAnsi="Times New Roman" w:cs="Times New Roman"/>
          <w:sz w:val="24"/>
          <w:szCs w:val="24"/>
          <w:lang w:eastAsia="es-ES"/>
        </w:rPr>
      </w:pPr>
      <w:r>
        <w:br w:type="page"/>
      </w:r>
    </w:p>
    <w:p w14:paraId="1FE1E8AE" w14:textId="77777777" w:rsidR="00C04533" w:rsidRDefault="00C04533" w:rsidP="00C04533">
      <w:pPr>
        <w:pStyle w:val="TtuloResolucin"/>
      </w:pPr>
      <w:bookmarkStart w:id="148" w:name="AUTO_2024_142"/>
      <w:r>
        <w:t>AUTO 142/2024, de 19 de noviembre de 2024</w:t>
      </w:r>
    </w:p>
    <w:bookmarkEnd w:id="148"/>
    <w:p w14:paraId="4BCD5F0C" w14:textId="77777777" w:rsidR="00C04533" w:rsidRDefault="00C04533" w:rsidP="00C04533">
      <w:pPr>
        <w:pStyle w:val="TtuloResolucin"/>
      </w:pPr>
      <w:r>
        <w:t>Pleno</w:t>
      </w:r>
    </w:p>
    <w:p w14:paraId="699B3EC6" w14:textId="77777777" w:rsidR="00C04533" w:rsidRDefault="00C04533" w:rsidP="00C04533">
      <w:pPr>
        <w:pStyle w:val="TextoNormalCentrado"/>
      </w:pPr>
      <w:r>
        <w:t>ECLI:ES:TC:2024:142A</w:t>
      </w:r>
    </w:p>
    <w:p w14:paraId="212832CC" w14:textId="1E316FD0" w:rsidR="00C04533" w:rsidRDefault="00C04533" w:rsidP="00C04533">
      <w:pPr>
        <w:pStyle w:val="TextoNormalCentrado"/>
      </w:pPr>
    </w:p>
    <w:p w14:paraId="5F853327"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66393397" w14:textId="479CA57B" w:rsidR="00C04533" w:rsidRDefault="00C04533" w:rsidP="00C04533">
      <w:pPr>
        <w:pStyle w:val="SntesisDescriptiva"/>
      </w:pPr>
    </w:p>
    <w:p w14:paraId="1969D4F0" w14:textId="77777777" w:rsidR="00C04533" w:rsidRDefault="00C04533" w:rsidP="00C04533">
      <w:pPr>
        <w:pStyle w:val="SntesisDescriptiva"/>
      </w:pPr>
      <w:r>
        <w:t>Inadmite una recusación en el recurso de inconstitucionalidad 6607-2024, interpuesto por el Consejo de Gobierno de La Rioja en relación con la Ley Orgánica 1/2024, de 10 de junio, de amnistía para la normalización institucional, política y social en Cataluña.</w:t>
      </w:r>
    </w:p>
    <w:p w14:paraId="0695ACBC" w14:textId="0B4CB935" w:rsidR="00C04533" w:rsidRDefault="00C04533" w:rsidP="00C04533">
      <w:pPr>
        <w:pStyle w:val="SntesisDescriptiva"/>
      </w:pPr>
    </w:p>
    <w:p w14:paraId="779A16B1" w14:textId="77777777" w:rsidR="00C04533" w:rsidRDefault="00C04533" w:rsidP="00C04533">
      <w:pPr>
        <w:pStyle w:val="SntesisDescriptiva"/>
      </w:pPr>
    </w:p>
    <w:p w14:paraId="6B0375BF" w14:textId="77777777" w:rsidR="00C04533" w:rsidRDefault="00C04533" w:rsidP="00C04533">
      <w:pPr>
        <w:pStyle w:val="SntesisDescriptiva"/>
      </w:pPr>
    </w:p>
    <w:p w14:paraId="3C3F439F" w14:textId="77777777" w:rsidR="00C04533" w:rsidRDefault="00C04533" w:rsidP="00C04533">
      <w:pPr>
        <w:pStyle w:val="TextoNormalNegritaCentrado"/>
      </w:pPr>
      <w:r>
        <w:t>AUTO</w:t>
      </w:r>
    </w:p>
    <w:p w14:paraId="6AB1A1EE" w14:textId="3B9E2005" w:rsidR="00C04533" w:rsidRDefault="00C04533" w:rsidP="00C04533">
      <w:pPr>
        <w:pStyle w:val="TextoNormalNegritaCentrado"/>
      </w:pPr>
    </w:p>
    <w:p w14:paraId="32E7FE45" w14:textId="77777777" w:rsidR="00C04533" w:rsidRDefault="00C04533" w:rsidP="00C04533">
      <w:pPr>
        <w:pStyle w:val="TextoNormalNegritaCentrado"/>
        <w:keepNext/>
      </w:pPr>
      <w:r>
        <w:t>I. Antecedentes</w:t>
      </w:r>
    </w:p>
    <w:p w14:paraId="7AB4DCED" w14:textId="078C7819" w:rsidR="00C04533" w:rsidRDefault="00C04533" w:rsidP="00C04533">
      <w:pPr>
        <w:pStyle w:val="TextoNormalNegritaCentrado"/>
        <w:keepNext/>
      </w:pPr>
    </w:p>
    <w:p w14:paraId="4E5A7DEE" w14:textId="441026E1"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el recurso de inconstitucionalidad núm. 6607-2024, interpuesto por el Consejo de Gobierno de La Rioja en relación con la Ley Orgánica 1/2024, de 10 de junio, de amnistía para la normalización institucional, política y social en Cataluña.</w:t>
      </w:r>
    </w:p>
    <w:p w14:paraId="1C15E4FB" w14:textId="77777777" w:rsidR="00C04533" w:rsidRDefault="00C04533" w:rsidP="00C04533">
      <w:pPr>
        <w:pStyle w:val="TextoNormal"/>
      </w:pPr>
    </w:p>
    <w:p w14:paraId="48EDA0C1" w14:textId="608723DF"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16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14:paraId="071C53D1" w14:textId="77777777" w:rsidR="00C04533" w:rsidRDefault="00C04533" w:rsidP="00C04533">
      <w:pPr>
        <w:pStyle w:val="TextoNormal"/>
      </w:pPr>
    </w:p>
    <w:p w14:paraId="6E67BC92" w14:textId="1CBA1C4F"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al magistrado don Ricardo Enríquez Sancho.</w:t>
      </w:r>
    </w:p>
    <w:p w14:paraId="74843D22" w14:textId="77777777" w:rsidR="00C04533" w:rsidRDefault="00C04533" w:rsidP="00C04533">
      <w:pPr>
        <w:pStyle w:val="TextoNormal"/>
      </w:pPr>
    </w:p>
    <w:p w14:paraId="3C955F33" w14:textId="3654DD31"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21892E67" w14:textId="77777777" w:rsidR="00C04533" w:rsidRDefault="00C04533" w:rsidP="00C04533">
      <w:pPr>
        <w:pStyle w:val="TextoNormal"/>
      </w:pPr>
    </w:p>
    <w:p w14:paraId="1B9F76C9" w14:textId="77777777" w:rsidR="00C04533" w:rsidRDefault="00C04533" w:rsidP="00C04533">
      <w:pPr>
        <w:pStyle w:val="TextoNormalNegritaCentrado"/>
        <w:keepNext/>
      </w:pPr>
      <w:r>
        <w:t>II. Fundamentos jurídicos</w:t>
      </w:r>
    </w:p>
    <w:p w14:paraId="10608C62" w14:textId="62F63D6D" w:rsidR="00C04533" w:rsidRDefault="00C04533" w:rsidP="00C04533">
      <w:pPr>
        <w:pStyle w:val="TextoNormalNegritaCentrado"/>
        <w:keepNext/>
      </w:pPr>
    </w:p>
    <w:p w14:paraId="0C754A95" w14:textId="32199074" w:rsidR="00C04533" w:rsidRDefault="00C04533" w:rsidP="00C04533">
      <w:pPr>
        <w:pStyle w:val="TextoNormal"/>
      </w:pPr>
      <w:r w:rsidRPr="00C04533">
        <w:rPr>
          <w:rStyle w:val="TextoNormalNegritaCaracter"/>
        </w:rPr>
        <w:t xml:space="preserve">Único. </w:t>
      </w:r>
      <w:r>
        <w:t>La presente recusación guarda identidad con la inadmitida por ATC 116/2024, de 5 de noviembre, dictado en el recurso de inconstitucionalidad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12F97FE8" w14:textId="77777777" w:rsidR="00C04533" w:rsidRDefault="00C04533" w:rsidP="00C04533">
      <w:pPr>
        <w:pStyle w:val="TextoNormal"/>
      </w:pPr>
    </w:p>
    <w:p w14:paraId="32E7BB96" w14:textId="77777777" w:rsidR="00C04533" w:rsidRDefault="00C04533" w:rsidP="00C04533">
      <w:pPr>
        <w:pStyle w:val="TextoNormal"/>
      </w:pPr>
      <w:r>
        <w:t>Por lo expuesto, el Pleno</w:t>
      </w:r>
    </w:p>
    <w:p w14:paraId="63F2D108" w14:textId="7549FFD0" w:rsidR="00C04533" w:rsidRDefault="00C04533" w:rsidP="00C04533">
      <w:pPr>
        <w:pStyle w:val="TextoNormal"/>
      </w:pPr>
    </w:p>
    <w:p w14:paraId="5288353B" w14:textId="77777777" w:rsidR="00C04533" w:rsidRDefault="00C04533" w:rsidP="00C04533">
      <w:pPr>
        <w:pStyle w:val="TextoNormalCentrado"/>
      </w:pPr>
      <w:r>
        <w:t>ACUERDA</w:t>
      </w:r>
    </w:p>
    <w:p w14:paraId="70BFAA31" w14:textId="03F11390" w:rsidR="00C04533" w:rsidRDefault="00C04533" w:rsidP="00C04533">
      <w:pPr>
        <w:pStyle w:val="TextoNormalCentrado"/>
      </w:pPr>
    </w:p>
    <w:p w14:paraId="349E2159" w14:textId="3172180B" w:rsidR="00C04533" w:rsidRDefault="00C04533" w:rsidP="00C04533">
      <w:pPr>
        <w:pStyle w:val="TextoNormal"/>
      </w:pPr>
      <w:r>
        <w:t>No admitir a trámite la recusación del magistrado don José María Macías Castaño, promovida por el abogado del Estado en el recurso de inconstitucionalidad núm. 6607-2024.</w:t>
      </w:r>
    </w:p>
    <w:p w14:paraId="0A16DB42" w14:textId="77777777" w:rsidR="00C04533" w:rsidRDefault="00C04533" w:rsidP="00C04533">
      <w:pPr>
        <w:pStyle w:val="TextoNormal"/>
      </w:pPr>
    </w:p>
    <w:p w14:paraId="56E6043D" w14:textId="77777777" w:rsidR="00C04533" w:rsidRDefault="00C04533" w:rsidP="00C04533">
      <w:pPr>
        <w:pStyle w:val="TextoNormal"/>
      </w:pPr>
      <w:r>
        <w:t>Madrid, a diecinueve de noviembre de dos mil veinticuatro.</w:t>
      </w:r>
    </w:p>
    <w:p w14:paraId="3F818232" w14:textId="666C8B55" w:rsidR="00C04533" w:rsidRDefault="00C04533">
      <w:pPr>
        <w:spacing w:after="160" w:line="278" w:lineRule="auto"/>
        <w:rPr>
          <w:rFonts w:ascii="Times New Roman" w:eastAsia="Times New Roman" w:hAnsi="Times New Roman" w:cs="Times New Roman"/>
          <w:sz w:val="24"/>
          <w:szCs w:val="24"/>
          <w:lang w:eastAsia="es-ES"/>
        </w:rPr>
      </w:pPr>
      <w:r>
        <w:br w:type="page"/>
      </w:r>
    </w:p>
    <w:p w14:paraId="65A7FB92" w14:textId="77777777" w:rsidR="00C04533" w:rsidRDefault="00C04533" w:rsidP="00C04533">
      <w:pPr>
        <w:pStyle w:val="TtuloResolucin"/>
      </w:pPr>
      <w:bookmarkStart w:id="149" w:name="AUTO_2024_143"/>
      <w:r>
        <w:t>AUTO 143/2024, de 19 de noviembre de 2024</w:t>
      </w:r>
    </w:p>
    <w:bookmarkEnd w:id="149"/>
    <w:p w14:paraId="52F63834" w14:textId="77777777" w:rsidR="00C04533" w:rsidRDefault="00C04533" w:rsidP="00C04533">
      <w:pPr>
        <w:pStyle w:val="TtuloResolucin"/>
      </w:pPr>
      <w:r>
        <w:t>Pleno</w:t>
      </w:r>
    </w:p>
    <w:p w14:paraId="7CF2AE29" w14:textId="77777777" w:rsidR="00C04533" w:rsidRDefault="00C04533" w:rsidP="00C04533">
      <w:pPr>
        <w:pStyle w:val="TextoNormalCentrado"/>
      </w:pPr>
      <w:r>
        <w:t>ECLI:ES:TC:2024:143A</w:t>
      </w:r>
    </w:p>
    <w:p w14:paraId="337F710E" w14:textId="3B210612" w:rsidR="00C04533" w:rsidRDefault="00C04533" w:rsidP="00C04533">
      <w:pPr>
        <w:pStyle w:val="TextoNormalCentrado"/>
      </w:pPr>
    </w:p>
    <w:p w14:paraId="268EF8B2"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15F8C7A3" w14:textId="5FC869C8" w:rsidR="00C04533" w:rsidRDefault="00C04533" w:rsidP="00C04533">
      <w:pPr>
        <w:pStyle w:val="SntesisDescriptiva"/>
      </w:pPr>
    </w:p>
    <w:p w14:paraId="132A45FE" w14:textId="77777777" w:rsidR="00C04533" w:rsidRDefault="00C04533" w:rsidP="00C04533">
      <w:pPr>
        <w:pStyle w:val="SntesisDescriptiva"/>
      </w:pPr>
      <w:r>
        <w:t>Inadmite una recusación en el recurso de inconstitucionalidad 6616-2024, interpuesto por el Gobierno de Cantabria en relación con la Ley Orgánica 1/2024, de 10 de junio, de amnistía para la normalización institucional, política y social en Cataluña.</w:t>
      </w:r>
    </w:p>
    <w:p w14:paraId="220DEC4A" w14:textId="0B2E8829" w:rsidR="00C04533" w:rsidRDefault="00C04533" w:rsidP="00C04533">
      <w:pPr>
        <w:pStyle w:val="SntesisDescriptiva"/>
      </w:pPr>
    </w:p>
    <w:p w14:paraId="44094043" w14:textId="77777777" w:rsidR="00C04533" w:rsidRDefault="00C04533" w:rsidP="00C04533">
      <w:pPr>
        <w:pStyle w:val="SntesisDescriptiva"/>
      </w:pPr>
    </w:p>
    <w:p w14:paraId="5A382DEE" w14:textId="77777777" w:rsidR="00C04533" w:rsidRDefault="00C04533" w:rsidP="00C04533">
      <w:pPr>
        <w:pStyle w:val="SntesisDescriptiva"/>
      </w:pPr>
    </w:p>
    <w:p w14:paraId="7184F242" w14:textId="77777777" w:rsidR="00C04533" w:rsidRDefault="00C04533" w:rsidP="00C04533">
      <w:pPr>
        <w:pStyle w:val="TextoNormalNegritaCentrado"/>
      </w:pPr>
      <w:r>
        <w:t>AUTO</w:t>
      </w:r>
    </w:p>
    <w:p w14:paraId="272BBB02" w14:textId="53B212B8" w:rsidR="00C04533" w:rsidRDefault="00C04533" w:rsidP="00C04533">
      <w:pPr>
        <w:pStyle w:val="TextoNormalNegritaCentrado"/>
      </w:pPr>
    </w:p>
    <w:p w14:paraId="1000DD98" w14:textId="77777777" w:rsidR="00C04533" w:rsidRDefault="00C04533" w:rsidP="00C04533">
      <w:pPr>
        <w:pStyle w:val="TextoNormalNegritaCentrado"/>
        <w:keepNext/>
      </w:pPr>
      <w:r>
        <w:t>I. Antecedentes</w:t>
      </w:r>
    </w:p>
    <w:p w14:paraId="49B6E3B0" w14:textId="0849BDBE" w:rsidR="00C04533" w:rsidRDefault="00C04533" w:rsidP="00C04533">
      <w:pPr>
        <w:pStyle w:val="TextoNormalNegritaCentrado"/>
        <w:keepNext/>
      </w:pPr>
    </w:p>
    <w:p w14:paraId="42C3F80D" w14:textId="41A0F26D"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el recurso de inconstitucionalidad núm. 6616-2024, interpuesto por el Gobierno de Cantabria en relación con la Ley Orgánica 1/2024, de 10 de junio, de amnistía para la normalización institucional, política y social en Cataluña.</w:t>
      </w:r>
    </w:p>
    <w:p w14:paraId="3368DBF6" w14:textId="77777777" w:rsidR="00C04533" w:rsidRDefault="00C04533" w:rsidP="00C04533">
      <w:pPr>
        <w:pStyle w:val="TextoNormal"/>
      </w:pPr>
    </w:p>
    <w:p w14:paraId="08993935" w14:textId="6C90260E"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14:paraId="30DC0FC0" w14:textId="77777777" w:rsidR="00C04533" w:rsidRDefault="00C04533" w:rsidP="00C04533">
      <w:pPr>
        <w:pStyle w:val="TextoNormal"/>
      </w:pPr>
    </w:p>
    <w:p w14:paraId="2B6C3FE4" w14:textId="72DBDF46"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 la magistrada doña María Luisa Balaguer Callejón.</w:t>
      </w:r>
    </w:p>
    <w:p w14:paraId="4F4D5D88" w14:textId="77777777" w:rsidR="00C04533" w:rsidRDefault="00C04533" w:rsidP="00C04533">
      <w:pPr>
        <w:pStyle w:val="TextoNormal"/>
      </w:pPr>
    </w:p>
    <w:p w14:paraId="2923B8A1" w14:textId="66D88596"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0B2DF8D4" w14:textId="77777777" w:rsidR="00C04533" w:rsidRDefault="00C04533" w:rsidP="00C04533">
      <w:pPr>
        <w:pStyle w:val="TextoNormal"/>
      </w:pPr>
    </w:p>
    <w:p w14:paraId="1AC007D5" w14:textId="77777777" w:rsidR="00C04533" w:rsidRDefault="00C04533" w:rsidP="00C04533">
      <w:pPr>
        <w:pStyle w:val="TextoNormalNegritaCentrado"/>
        <w:keepNext/>
      </w:pPr>
      <w:r>
        <w:t>II. Fundamentos jurídicos</w:t>
      </w:r>
    </w:p>
    <w:p w14:paraId="559728CE" w14:textId="23053B48" w:rsidR="00C04533" w:rsidRDefault="00C04533" w:rsidP="00C04533">
      <w:pPr>
        <w:pStyle w:val="TextoNormalNegritaCentrado"/>
        <w:keepNext/>
      </w:pPr>
    </w:p>
    <w:p w14:paraId="2A8B0FE7" w14:textId="77EEC7C7" w:rsidR="00C04533" w:rsidRDefault="00C04533" w:rsidP="00C04533">
      <w:pPr>
        <w:pStyle w:val="TextoNormal"/>
      </w:pPr>
      <w:r w:rsidRPr="00C04533">
        <w:rPr>
          <w:rStyle w:val="TextoNormalNegritaCaracter"/>
        </w:rPr>
        <w:t xml:space="preserve">Único. </w:t>
      </w:r>
      <w:r>
        <w:t>La presente recusación guarda identidad con la inadmitida por ATC 116/2024, de 5 de noviembre, dictado por este tribunal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41760080" w14:textId="77777777" w:rsidR="00C04533" w:rsidRDefault="00C04533" w:rsidP="00C04533">
      <w:pPr>
        <w:pStyle w:val="TextoNormal"/>
      </w:pPr>
    </w:p>
    <w:p w14:paraId="4FC22D8A" w14:textId="77777777" w:rsidR="00C04533" w:rsidRDefault="00C04533" w:rsidP="00C04533">
      <w:pPr>
        <w:pStyle w:val="TextoNormal"/>
      </w:pPr>
      <w:r>
        <w:t>Por lo expuesto, el Pleno</w:t>
      </w:r>
    </w:p>
    <w:p w14:paraId="3C5BCEB7" w14:textId="291618CD" w:rsidR="00C04533" w:rsidRDefault="00C04533" w:rsidP="00C04533">
      <w:pPr>
        <w:pStyle w:val="TextoNormal"/>
      </w:pPr>
    </w:p>
    <w:p w14:paraId="0E9D0EC0" w14:textId="77777777" w:rsidR="00C04533" w:rsidRDefault="00C04533" w:rsidP="00C04533">
      <w:pPr>
        <w:pStyle w:val="TextoNormalCentrado"/>
      </w:pPr>
      <w:r>
        <w:t>ACUERDA</w:t>
      </w:r>
    </w:p>
    <w:p w14:paraId="6A961C50" w14:textId="1BC924FF" w:rsidR="00C04533" w:rsidRDefault="00C04533" w:rsidP="00C04533">
      <w:pPr>
        <w:pStyle w:val="TextoNormalCentrado"/>
      </w:pPr>
    </w:p>
    <w:p w14:paraId="0258334C" w14:textId="0CB4958C" w:rsidR="00C04533" w:rsidRDefault="00C04533" w:rsidP="00C04533">
      <w:pPr>
        <w:pStyle w:val="TextoNormal"/>
      </w:pPr>
      <w:r>
        <w:t>No admitir a trámite la recusación del magistrado don José María Macías Castaño, promovida por el abogado del Estado en el recurso de inconstitucionalidad núm. 6616-2024.</w:t>
      </w:r>
    </w:p>
    <w:p w14:paraId="6D69D99A" w14:textId="77777777" w:rsidR="00C04533" w:rsidRDefault="00C04533" w:rsidP="00C04533">
      <w:pPr>
        <w:pStyle w:val="TextoNormal"/>
      </w:pPr>
    </w:p>
    <w:p w14:paraId="23EFBF63" w14:textId="77777777" w:rsidR="00C04533" w:rsidRDefault="00C04533" w:rsidP="00C04533">
      <w:pPr>
        <w:pStyle w:val="TextoNormal"/>
      </w:pPr>
      <w:r>
        <w:t>Madrid, a diecinueve de noviembre de dos mil veinticuatro.</w:t>
      </w:r>
    </w:p>
    <w:p w14:paraId="42A05DA1" w14:textId="1D34B95D" w:rsidR="00C04533" w:rsidRDefault="00C04533">
      <w:pPr>
        <w:spacing w:after="160" w:line="278" w:lineRule="auto"/>
        <w:rPr>
          <w:rFonts w:ascii="Times New Roman" w:eastAsia="Times New Roman" w:hAnsi="Times New Roman" w:cs="Times New Roman"/>
          <w:sz w:val="24"/>
          <w:szCs w:val="24"/>
          <w:lang w:eastAsia="es-ES"/>
        </w:rPr>
      </w:pPr>
      <w:r>
        <w:br w:type="page"/>
      </w:r>
    </w:p>
    <w:p w14:paraId="58650146" w14:textId="77777777" w:rsidR="00C04533" w:rsidRDefault="00C04533" w:rsidP="00C04533">
      <w:pPr>
        <w:pStyle w:val="TtuloResolucin"/>
      </w:pPr>
      <w:bookmarkStart w:id="150" w:name="AUTO_2024_144"/>
      <w:r>
        <w:t>AUTO 144/2024, de 19 de noviembre de 2024</w:t>
      </w:r>
    </w:p>
    <w:bookmarkEnd w:id="150"/>
    <w:p w14:paraId="26664887" w14:textId="77777777" w:rsidR="00C04533" w:rsidRDefault="00C04533" w:rsidP="00C04533">
      <w:pPr>
        <w:pStyle w:val="TtuloResolucin"/>
      </w:pPr>
      <w:r>
        <w:t>Pleno</w:t>
      </w:r>
    </w:p>
    <w:p w14:paraId="5FB08B4B" w14:textId="77777777" w:rsidR="00C04533" w:rsidRDefault="00C04533" w:rsidP="00C04533">
      <w:pPr>
        <w:pStyle w:val="TextoNormalCentrado"/>
      </w:pPr>
      <w:r>
        <w:t>ECLI:ES:TC:2024:144A</w:t>
      </w:r>
    </w:p>
    <w:p w14:paraId="3B465976" w14:textId="14E2E67A" w:rsidR="00C04533" w:rsidRDefault="00C04533" w:rsidP="00C04533">
      <w:pPr>
        <w:pStyle w:val="TextoNormalCentrado"/>
      </w:pPr>
    </w:p>
    <w:p w14:paraId="1D2AF19B"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0AF6B5A1" w14:textId="38A14042" w:rsidR="00C04533" w:rsidRDefault="00C04533" w:rsidP="00C04533">
      <w:pPr>
        <w:pStyle w:val="SntesisDescriptiva"/>
      </w:pPr>
    </w:p>
    <w:p w14:paraId="7E9E487A" w14:textId="77777777" w:rsidR="00C04533" w:rsidRDefault="00C04533" w:rsidP="00C04533">
      <w:pPr>
        <w:pStyle w:val="SntesisDescriptiva"/>
      </w:pPr>
      <w:r>
        <w:t>Inadmite una recusación en el recurso de inconstitucionalidad 6617-2024, interpuesto por la Junta de Extremadura en relación con la Ley Orgánica 1/2024, de 10 de junio, de amnistía para la normalización institucional, política y social en Cataluña.</w:t>
      </w:r>
    </w:p>
    <w:p w14:paraId="3EC37C2E" w14:textId="6C7FD1BE" w:rsidR="00C04533" w:rsidRDefault="00C04533" w:rsidP="00C04533">
      <w:pPr>
        <w:pStyle w:val="SntesisDescriptiva"/>
      </w:pPr>
    </w:p>
    <w:p w14:paraId="15C52BA4" w14:textId="77777777" w:rsidR="00C04533" w:rsidRDefault="00C04533" w:rsidP="00C04533">
      <w:pPr>
        <w:pStyle w:val="SntesisDescriptiva"/>
      </w:pPr>
    </w:p>
    <w:p w14:paraId="3C7826DB" w14:textId="77777777" w:rsidR="00C04533" w:rsidRDefault="00C04533" w:rsidP="00C04533">
      <w:pPr>
        <w:pStyle w:val="SntesisDescriptiva"/>
      </w:pPr>
    </w:p>
    <w:p w14:paraId="6487BDEF" w14:textId="77777777" w:rsidR="00C04533" w:rsidRDefault="00C04533" w:rsidP="00C04533">
      <w:pPr>
        <w:pStyle w:val="TextoNormalNegritaCentrado"/>
      </w:pPr>
      <w:r>
        <w:t>AUTO</w:t>
      </w:r>
    </w:p>
    <w:p w14:paraId="0F37BB2B" w14:textId="68140EC6" w:rsidR="00C04533" w:rsidRDefault="00C04533" w:rsidP="00C04533">
      <w:pPr>
        <w:pStyle w:val="TextoNormalNegritaCentrado"/>
      </w:pPr>
    </w:p>
    <w:p w14:paraId="51F094EA" w14:textId="77777777" w:rsidR="00C04533" w:rsidRDefault="00C04533" w:rsidP="00C04533">
      <w:pPr>
        <w:pStyle w:val="TextoNormalNegritaCentrado"/>
        <w:keepNext/>
      </w:pPr>
      <w:r>
        <w:t>I. Antecedentes</w:t>
      </w:r>
    </w:p>
    <w:p w14:paraId="64565DCA" w14:textId="605903B8" w:rsidR="00C04533" w:rsidRDefault="00C04533" w:rsidP="00C04533">
      <w:pPr>
        <w:pStyle w:val="TextoNormalNegritaCentrado"/>
        <w:keepNext/>
      </w:pPr>
    </w:p>
    <w:p w14:paraId="748CB896" w14:textId="666A8BCA"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el recurso de inconstitucionalidad núm. 6617-2024, interpuesto por la Junta de Extremadura en relación con la Ley Orgánica 1/2024, de 10 de junio, de amnistía para la normalización institucional, política y social en Cataluña.</w:t>
      </w:r>
    </w:p>
    <w:p w14:paraId="2B853581" w14:textId="77777777" w:rsidR="00C04533" w:rsidRDefault="00C04533" w:rsidP="00C04533">
      <w:pPr>
        <w:pStyle w:val="TextoNormal"/>
      </w:pPr>
    </w:p>
    <w:p w14:paraId="49BD9113" w14:textId="00252367"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14:paraId="467B977A" w14:textId="77777777" w:rsidR="00C04533" w:rsidRDefault="00C04533" w:rsidP="00C04533">
      <w:pPr>
        <w:pStyle w:val="TextoNormal"/>
      </w:pPr>
    </w:p>
    <w:p w14:paraId="532F3CDA" w14:textId="563E46C5"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al magistrado don Ramón Sáez Valcárcel.</w:t>
      </w:r>
    </w:p>
    <w:p w14:paraId="2D9E26EC" w14:textId="77777777" w:rsidR="00C04533" w:rsidRDefault="00C04533" w:rsidP="00C04533">
      <w:pPr>
        <w:pStyle w:val="TextoNormal"/>
      </w:pPr>
    </w:p>
    <w:p w14:paraId="0D5BD47F" w14:textId="21526CF7"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790558C7" w14:textId="77777777" w:rsidR="00C04533" w:rsidRDefault="00C04533" w:rsidP="00C04533">
      <w:pPr>
        <w:pStyle w:val="TextoNormal"/>
      </w:pPr>
    </w:p>
    <w:p w14:paraId="496A63F7" w14:textId="77777777" w:rsidR="00C04533" w:rsidRDefault="00C04533" w:rsidP="00C04533">
      <w:pPr>
        <w:pStyle w:val="TextoNormalNegritaCentrado"/>
        <w:keepNext/>
      </w:pPr>
      <w:r>
        <w:t>II. Fundamentos jurídicos</w:t>
      </w:r>
    </w:p>
    <w:p w14:paraId="75013080" w14:textId="49AE93D6" w:rsidR="00C04533" w:rsidRDefault="00C04533" w:rsidP="00C04533">
      <w:pPr>
        <w:pStyle w:val="TextoNormalNegritaCentrado"/>
        <w:keepNext/>
      </w:pPr>
    </w:p>
    <w:p w14:paraId="6E3EDAF2" w14:textId="5CDF649A" w:rsidR="00C04533" w:rsidRDefault="00C04533" w:rsidP="00C04533">
      <w:pPr>
        <w:pStyle w:val="TextoNormal"/>
      </w:pPr>
      <w:r w:rsidRPr="00C04533">
        <w:rPr>
          <w:rStyle w:val="TextoNormalNegritaCaracter"/>
        </w:rPr>
        <w:t xml:space="preserve">Único. </w:t>
      </w:r>
      <w:r>
        <w:t>La presente recusación guarda identidad con la inadmitida por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45487805" w14:textId="77777777" w:rsidR="00C04533" w:rsidRDefault="00C04533" w:rsidP="00C04533">
      <w:pPr>
        <w:pStyle w:val="TextoNormal"/>
      </w:pPr>
    </w:p>
    <w:p w14:paraId="54C93788" w14:textId="77777777" w:rsidR="00C04533" w:rsidRDefault="00C04533" w:rsidP="00C04533">
      <w:pPr>
        <w:pStyle w:val="TextoNormal"/>
      </w:pPr>
      <w:r>
        <w:t>Por lo expuesto, el Pleno</w:t>
      </w:r>
    </w:p>
    <w:p w14:paraId="64A39C23" w14:textId="73A9D124" w:rsidR="00C04533" w:rsidRDefault="00C04533" w:rsidP="00C04533">
      <w:pPr>
        <w:pStyle w:val="TextoNormal"/>
      </w:pPr>
    </w:p>
    <w:p w14:paraId="129B1FF4" w14:textId="77777777" w:rsidR="00C04533" w:rsidRDefault="00C04533" w:rsidP="00C04533">
      <w:pPr>
        <w:pStyle w:val="TextoNormalCentrado"/>
      </w:pPr>
      <w:r>
        <w:t>ACUERDA</w:t>
      </w:r>
    </w:p>
    <w:p w14:paraId="4E17BD27" w14:textId="7FC062CC" w:rsidR="00C04533" w:rsidRDefault="00C04533" w:rsidP="00C04533">
      <w:pPr>
        <w:pStyle w:val="TextoNormalCentrado"/>
      </w:pPr>
    </w:p>
    <w:p w14:paraId="32C57C88" w14:textId="5D474A3E" w:rsidR="00C04533" w:rsidRDefault="00C04533" w:rsidP="00C04533">
      <w:pPr>
        <w:pStyle w:val="TextoNormal"/>
      </w:pPr>
      <w:r>
        <w:t>No admitir a trámite la recusación del magistrado don José María Macías Castaño, promovida por el abogado del Estado en el recurso de inconstitucionalidad núm. 6617-2024.</w:t>
      </w:r>
    </w:p>
    <w:p w14:paraId="50668BF7" w14:textId="77777777" w:rsidR="00C04533" w:rsidRDefault="00C04533" w:rsidP="00C04533">
      <w:pPr>
        <w:pStyle w:val="TextoNormal"/>
      </w:pPr>
    </w:p>
    <w:p w14:paraId="24A533BA" w14:textId="77777777" w:rsidR="00C04533" w:rsidRDefault="00C04533" w:rsidP="00C04533">
      <w:pPr>
        <w:pStyle w:val="TextoNormal"/>
      </w:pPr>
      <w:r>
        <w:t>Madrid, a diecinueve de noviembre de dos mil veinticuatro.</w:t>
      </w:r>
    </w:p>
    <w:p w14:paraId="4CF376BD" w14:textId="331F19EF" w:rsidR="00C04533" w:rsidRDefault="00C04533">
      <w:pPr>
        <w:spacing w:after="160" w:line="278" w:lineRule="auto"/>
        <w:rPr>
          <w:rFonts w:ascii="Times New Roman" w:eastAsia="Times New Roman" w:hAnsi="Times New Roman" w:cs="Times New Roman"/>
          <w:sz w:val="24"/>
          <w:szCs w:val="24"/>
          <w:lang w:eastAsia="es-ES"/>
        </w:rPr>
      </w:pPr>
      <w:r>
        <w:br w:type="page"/>
      </w:r>
    </w:p>
    <w:p w14:paraId="64E4F9DE" w14:textId="77777777" w:rsidR="00C04533" w:rsidRDefault="00C04533" w:rsidP="00C04533">
      <w:pPr>
        <w:pStyle w:val="TtuloResolucin"/>
      </w:pPr>
      <w:bookmarkStart w:id="151" w:name="AUTO_2024_145"/>
      <w:r>
        <w:t>AUTO 145/2024, de 19 de noviembre de 2024</w:t>
      </w:r>
    </w:p>
    <w:bookmarkEnd w:id="151"/>
    <w:p w14:paraId="4CEF5078" w14:textId="77777777" w:rsidR="00C04533" w:rsidRDefault="00C04533" w:rsidP="00C04533">
      <w:pPr>
        <w:pStyle w:val="TtuloResolucin"/>
      </w:pPr>
      <w:r>
        <w:t>Pleno</w:t>
      </w:r>
    </w:p>
    <w:p w14:paraId="5D81210D" w14:textId="77777777" w:rsidR="00C04533" w:rsidRDefault="00C04533" w:rsidP="00C04533">
      <w:pPr>
        <w:pStyle w:val="TextoNormalCentrado"/>
      </w:pPr>
      <w:r>
        <w:t>ECLI:ES:TC:2024:145A</w:t>
      </w:r>
    </w:p>
    <w:p w14:paraId="51AD84EC" w14:textId="08D138EA" w:rsidR="00C04533" w:rsidRDefault="00C04533" w:rsidP="00C04533">
      <w:pPr>
        <w:pStyle w:val="TextoNormalCentrado"/>
      </w:pPr>
    </w:p>
    <w:p w14:paraId="5A10DBC2"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6B05C570" w14:textId="24F159DB" w:rsidR="00C04533" w:rsidRDefault="00C04533" w:rsidP="00C04533">
      <w:pPr>
        <w:pStyle w:val="SntesisDescriptiva"/>
      </w:pPr>
    </w:p>
    <w:p w14:paraId="24836061" w14:textId="77777777" w:rsidR="00C04533" w:rsidRDefault="00C04533" w:rsidP="00C04533">
      <w:pPr>
        <w:pStyle w:val="SntesisDescriptiva"/>
      </w:pPr>
      <w:r>
        <w:t>Inadmite una recusación en el recurso de inconstitucionalidad 6621-2024, interpuesto por el Gobierno de las Illes Balears en relación con la Ley Orgánica 1/2024, de 10 de junio, de amnistía para la normalización institucional, política y social en Cataluña.</w:t>
      </w:r>
    </w:p>
    <w:p w14:paraId="25E34889" w14:textId="2A29E6AE" w:rsidR="00C04533" w:rsidRDefault="00C04533" w:rsidP="00C04533">
      <w:pPr>
        <w:pStyle w:val="SntesisDescriptiva"/>
      </w:pPr>
    </w:p>
    <w:p w14:paraId="48B08201" w14:textId="77777777" w:rsidR="00C04533" w:rsidRDefault="00C04533" w:rsidP="00C04533">
      <w:pPr>
        <w:pStyle w:val="SntesisDescriptiva"/>
      </w:pPr>
    </w:p>
    <w:p w14:paraId="3EA27FF3" w14:textId="77777777" w:rsidR="00C04533" w:rsidRDefault="00C04533" w:rsidP="00C04533">
      <w:pPr>
        <w:pStyle w:val="SntesisDescriptiva"/>
      </w:pPr>
    </w:p>
    <w:p w14:paraId="7EFAA42E" w14:textId="77777777" w:rsidR="00C04533" w:rsidRDefault="00C04533" w:rsidP="00C04533">
      <w:pPr>
        <w:pStyle w:val="TextoNormalNegritaCentrado"/>
      </w:pPr>
      <w:r>
        <w:t>AUTO</w:t>
      </w:r>
    </w:p>
    <w:p w14:paraId="4DE66F71" w14:textId="1C4E32AC" w:rsidR="00C04533" w:rsidRDefault="00C04533" w:rsidP="00C04533">
      <w:pPr>
        <w:pStyle w:val="TextoNormalNegritaCentrado"/>
      </w:pPr>
    </w:p>
    <w:p w14:paraId="6B361F84" w14:textId="77777777" w:rsidR="00C04533" w:rsidRDefault="00C04533" w:rsidP="00C04533">
      <w:pPr>
        <w:pStyle w:val="TextoNormalNegritaCentrado"/>
        <w:keepNext/>
      </w:pPr>
      <w:r>
        <w:t>I. Antecedentes</w:t>
      </w:r>
    </w:p>
    <w:p w14:paraId="2ED7F468" w14:textId="2DC7F606" w:rsidR="00C04533" w:rsidRDefault="00C04533" w:rsidP="00C04533">
      <w:pPr>
        <w:pStyle w:val="TextoNormalNegritaCentrado"/>
        <w:keepNext/>
      </w:pPr>
    </w:p>
    <w:p w14:paraId="09D47AF2" w14:textId="5BFC986E"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el recurso de inconstitucionalidad núm. 6621-2024, interpuesto por el Gobierno de las Illes Balears en relación con la Ley Orgánica 1/2024, de 10 de junio, de amnistía para la normalización institucional, política y social en Cataluña.</w:t>
      </w:r>
    </w:p>
    <w:p w14:paraId="6FDCA209" w14:textId="77777777" w:rsidR="00C04533" w:rsidRDefault="00C04533" w:rsidP="00C04533">
      <w:pPr>
        <w:pStyle w:val="TextoNormal"/>
      </w:pPr>
    </w:p>
    <w:p w14:paraId="236F5C97" w14:textId="48083D1C"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14:paraId="218CC2FA" w14:textId="77777777" w:rsidR="00C04533" w:rsidRDefault="00C04533" w:rsidP="00C04533">
      <w:pPr>
        <w:pStyle w:val="TextoNormal"/>
      </w:pPr>
    </w:p>
    <w:p w14:paraId="6FD5C312" w14:textId="76A9834B"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al magistrado don Enrique Arnaldo Alcubilla.</w:t>
      </w:r>
    </w:p>
    <w:p w14:paraId="1AC04668" w14:textId="77777777" w:rsidR="00C04533" w:rsidRDefault="00C04533" w:rsidP="00C04533">
      <w:pPr>
        <w:pStyle w:val="TextoNormal"/>
      </w:pPr>
    </w:p>
    <w:p w14:paraId="5573952C" w14:textId="701068CA"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16DFEF62" w14:textId="77777777" w:rsidR="00C04533" w:rsidRDefault="00C04533" w:rsidP="00C04533">
      <w:pPr>
        <w:pStyle w:val="TextoNormal"/>
      </w:pPr>
    </w:p>
    <w:p w14:paraId="24050B44" w14:textId="77777777" w:rsidR="00C04533" w:rsidRDefault="00C04533" w:rsidP="00C04533">
      <w:pPr>
        <w:pStyle w:val="TextoNormalNegritaCentrado"/>
        <w:keepNext/>
      </w:pPr>
      <w:r>
        <w:t>II. Fundamentos jurídicos</w:t>
      </w:r>
    </w:p>
    <w:p w14:paraId="21B4EF83" w14:textId="35554A02" w:rsidR="00C04533" w:rsidRDefault="00C04533" w:rsidP="00C04533">
      <w:pPr>
        <w:pStyle w:val="TextoNormalNegritaCentrado"/>
        <w:keepNext/>
      </w:pPr>
    </w:p>
    <w:p w14:paraId="7023CD3B" w14:textId="7256A8C5" w:rsidR="00C04533" w:rsidRDefault="00C04533" w:rsidP="00C04533">
      <w:pPr>
        <w:pStyle w:val="TextoNormal"/>
      </w:pPr>
      <w:r w:rsidRPr="00C04533">
        <w:rPr>
          <w:rStyle w:val="TextoNormalNegritaCaracter"/>
        </w:rPr>
        <w:t xml:space="preserve">Único. </w:t>
      </w:r>
      <w:r>
        <w:t>La presente recusación guarda identidad con la inadmitida por el el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5EEE6D06" w14:textId="77777777" w:rsidR="00C04533" w:rsidRDefault="00C04533" w:rsidP="00C04533">
      <w:pPr>
        <w:pStyle w:val="TextoNormal"/>
      </w:pPr>
    </w:p>
    <w:p w14:paraId="2FDAFBCC" w14:textId="77777777" w:rsidR="00C04533" w:rsidRDefault="00C04533" w:rsidP="00C04533">
      <w:pPr>
        <w:pStyle w:val="TextoNormal"/>
      </w:pPr>
      <w:r>
        <w:t>Por lo expuesto, el Pleno</w:t>
      </w:r>
    </w:p>
    <w:p w14:paraId="5C52D0C9" w14:textId="7020A807" w:rsidR="00C04533" w:rsidRDefault="00C04533" w:rsidP="00C04533">
      <w:pPr>
        <w:pStyle w:val="TextoNormal"/>
      </w:pPr>
    </w:p>
    <w:p w14:paraId="3FFBDB93" w14:textId="77777777" w:rsidR="00C04533" w:rsidRDefault="00C04533" w:rsidP="00C04533">
      <w:pPr>
        <w:pStyle w:val="TextoNormalCentrado"/>
      </w:pPr>
      <w:r>
        <w:t>ACUERDA</w:t>
      </w:r>
    </w:p>
    <w:p w14:paraId="1E4F51FB" w14:textId="6408C85F" w:rsidR="00C04533" w:rsidRDefault="00C04533" w:rsidP="00C04533">
      <w:pPr>
        <w:pStyle w:val="TextoNormalCentrado"/>
      </w:pPr>
    </w:p>
    <w:p w14:paraId="27B90616" w14:textId="002B33D7" w:rsidR="00C04533" w:rsidRDefault="00C04533" w:rsidP="00C04533">
      <w:pPr>
        <w:pStyle w:val="TextoNormal"/>
      </w:pPr>
      <w:r>
        <w:t>No admitir a trámite la recusación del magistrado don José María Macías Castaño, promovida por el abogado del Estado en el recurso de inconstitucionalidad núm. 6621-2024.</w:t>
      </w:r>
    </w:p>
    <w:p w14:paraId="3A3600CD" w14:textId="77777777" w:rsidR="00C04533" w:rsidRDefault="00C04533" w:rsidP="00C04533">
      <w:pPr>
        <w:pStyle w:val="TextoNormal"/>
      </w:pPr>
    </w:p>
    <w:p w14:paraId="56327372" w14:textId="77777777" w:rsidR="00C04533" w:rsidRDefault="00C04533" w:rsidP="00C04533">
      <w:pPr>
        <w:pStyle w:val="TextoNormal"/>
      </w:pPr>
      <w:r>
        <w:t>Madrid, a diecinueve de noviembre de dos mil veinticuatro.</w:t>
      </w:r>
    </w:p>
    <w:p w14:paraId="2160BCDD" w14:textId="173A2B07" w:rsidR="00C04533" w:rsidRDefault="00C04533">
      <w:pPr>
        <w:spacing w:after="160" w:line="278" w:lineRule="auto"/>
        <w:rPr>
          <w:rFonts w:ascii="Times New Roman" w:eastAsia="Times New Roman" w:hAnsi="Times New Roman" w:cs="Times New Roman"/>
          <w:sz w:val="24"/>
          <w:szCs w:val="24"/>
          <w:lang w:eastAsia="es-ES"/>
        </w:rPr>
      </w:pPr>
      <w:r>
        <w:br w:type="page"/>
      </w:r>
    </w:p>
    <w:p w14:paraId="250C9C4D" w14:textId="77777777" w:rsidR="00C04533" w:rsidRDefault="00C04533" w:rsidP="00C04533">
      <w:pPr>
        <w:pStyle w:val="TtuloResolucin"/>
      </w:pPr>
      <w:bookmarkStart w:id="152" w:name="AUTO_2024_146"/>
      <w:r>
        <w:t>AUTO 146/2024, de 19 de noviembre de 2024</w:t>
      </w:r>
    </w:p>
    <w:bookmarkEnd w:id="152"/>
    <w:p w14:paraId="333D3AAA" w14:textId="77777777" w:rsidR="00C04533" w:rsidRDefault="00C04533" w:rsidP="00C04533">
      <w:pPr>
        <w:pStyle w:val="TtuloResolucin"/>
      </w:pPr>
      <w:r>
        <w:t>Pleno</w:t>
      </w:r>
    </w:p>
    <w:p w14:paraId="6A682598" w14:textId="77777777" w:rsidR="00C04533" w:rsidRDefault="00C04533" w:rsidP="00C04533">
      <w:pPr>
        <w:pStyle w:val="TextoNormalCentrado"/>
      </w:pPr>
      <w:r>
        <w:t>ECLI:ES:TC:2024:146A</w:t>
      </w:r>
    </w:p>
    <w:p w14:paraId="5A10553D" w14:textId="3FA2FA46" w:rsidR="00C04533" w:rsidRDefault="00C04533" w:rsidP="00C04533">
      <w:pPr>
        <w:pStyle w:val="TextoNormalCentrado"/>
      </w:pPr>
    </w:p>
    <w:p w14:paraId="0AB7C1D6"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664F89F2" w14:textId="0F67586B" w:rsidR="00C04533" w:rsidRDefault="00C04533" w:rsidP="00C04533">
      <w:pPr>
        <w:pStyle w:val="SntesisDescriptiva"/>
      </w:pPr>
    </w:p>
    <w:p w14:paraId="202F1CDF" w14:textId="77777777" w:rsidR="00C04533" w:rsidRDefault="00C04533" w:rsidP="00C04533">
      <w:pPr>
        <w:pStyle w:val="SntesisDescriptiva"/>
      </w:pPr>
      <w:r>
        <w:t>Inadmite una recusación en la cuestión de inconstitucionalidad 6699-2024, planteada por la Sala de lo Civil y Penal del Tribunal Superior de Justicia de Cataluña en relación con la Ley Orgánica 1/2024, de 10 de junio, de amnistía para la normalización institucional, política y social en Cataluña.</w:t>
      </w:r>
    </w:p>
    <w:p w14:paraId="0295C8C8" w14:textId="232010BE" w:rsidR="00C04533" w:rsidRDefault="00C04533" w:rsidP="00C04533">
      <w:pPr>
        <w:pStyle w:val="SntesisDescriptiva"/>
      </w:pPr>
    </w:p>
    <w:p w14:paraId="4575FE24" w14:textId="77777777" w:rsidR="00C04533" w:rsidRDefault="00C04533" w:rsidP="00C04533">
      <w:pPr>
        <w:pStyle w:val="SntesisDescriptiva"/>
      </w:pPr>
    </w:p>
    <w:p w14:paraId="4DB3629A" w14:textId="77777777" w:rsidR="00C04533" w:rsidRDefault="00C04533" w:rsidP="00C04533">
      <w:pPr>
        <w:pStyle w:val="SntesisDescriptiva"/>
      </w:pPr>
    </w:p>
    <w:p w14:paraId="3F88DE31" w14:textId="77777777" w:rsidR="00C04533" w:rsidRDefault="00C04533" w:rsidP="00C04533">
      <w:pPr>
        <w:pStyle w:val="TextoNormalNegritaCentrado"/>
      </w:pPr>
      <w:r>
        <w:t>AUTO</w:t>
      </w:r>
    </w:p>
    <w:p w14:paraId="35EA3975" w14:textId="75AB1671" w:rsidR="00C04533" w:rsidRDefault="00C04533" w:rsidP="00C04533">
      <w:pPr>
        <w:pStyle w:val="TextoNormalNegritaCentrado"/>
      </w:pPr>
    </w:p>
    <w:p w14:paraId="39080016" w14:textId="77777777" w:rsidR="00C04533" w:rsidRDefault="00C04533" w:rsidP="00C04533">
      <w:pPr>
        <w:pStyle w:val="TextoNormalNegritaCentrado"/>
        <w:keepNext/>
      </w:pPr>
      <w:r>
        <w:t>I. Antecedentes</w:t>
      </w:r>
    </w:p>
    <w:p w14:paraId="4982BA80" w14:textId="3739A1FC" w:rsidR="00C04533" w:rsidRDefault="00C04533" w:rsidP="00C04533">
      <w:pPr>
        <w:pStyle w:val="TextoNormalNegritaCentrado"/>
        <w:keepNext/>
      </w:pPr>
    </w:p>
    <w:p w14:paraId="21E87B00" w14:textId="5BB220E1" w:rsidR="00C04533" w:rsidRDefault="00C04533" w:rsidP="00C04533">
      <w:pPr>
        <w:pStyle w:val="TextoNormal"/>
      </w:pPr>
      <w:r w:rsidRPr="00C04533">
        <w:rPr>
          <w:rStyle w:val="NumeroAFNegritaCaracter"/>
        </w:rPr>
        <w:t>1</w:t>
      </w:r>
      <w:r>
        <w:t>. El abogado del Estado, mediante escrito registrado en este tribunal el 20 de septiembre de 2024, promueve la recusación del magistrado don José María Macías Castaño en la cuestión de inconstitucionalidad núm. 6699-2024, planteada por la Sala de lo Civil y Penal del Tribunal Superior de Justicia de Cataluña respecto de la Ley Orgánica 1/2024, de 10 de junio, de amnistía para la normalización institucional, política y social en Cataluña.</w:t>
      </w:r>
    </w:p>
    <w:p w14:paraId="46EBF6F8" w14:textId="77777777" w:rsidR="00C04533" w:rsidRDefault="00C04533" w:rsidP="00C04533">
      <w:pPr>
        <w:pStyle w:val="TextoNormal"/>
      </w:pPr>
    </w:p>
    <w:p w14:paraId="5795D526" w14:textId="33DF0BC9" w:rsidR="00C04533" w:rsidRDefault="00C04533" w:rsidP="00C04533">
      <w:pPr>
        <w:pStyle w:val="TextoNormal"/>
      </w:pPr>
      <w:r w:rsidRPr="00C04533">
        <w:rPr>
          <w:rStyle w:val="NumeroAFNegritaCaracter"/>
        </w:rPr>
        <w:t>2</w:t>
      </w:r>
      <w:r>
        <w:t>.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 la presente cuestión de inconstitucionalidad.</w:t>
      </w:r>
    </w:p>
    <w:p w14:paraId="730F1D2E" w14:textId="77777777" w:rsidR="00C04533" w:rsidRDefault="00C04533" w:rsidP="00C04533">
      <w:pPr>
        <w:pStyle w:val="TextoNormal"/>
      </w:pPr>
    </w:p>
    <w:p w14:paraId="054265FC" w14:textId="5F4F288C" w:rsidR="00C04533" w:rsidRDefault="00C04533" w:rsidP="00C04533">
      <w:pPr>
        <w:pStyle w:val="TextoNormal"/>
      </w:pPr>
      <w:r w:rsidRPr="00C04533">
        <w:rPr>
          <w:rStyle w:val="NumeroAFNegritaCaracter"/>
        </w:rPr>
        <w:t>3</w:t>
      </w:r>
      <w:r>
        <w:t>. La Secretaría de Justicia del Pleno del Tribunal, mediante diligencia de ordenación de 6 de noviembre de 2024, consignó que la ponencia del incidente de recusación correspondía por turno de reparto a la magistrada doña María Luisa Balaguer Callejón.</w:t>
      </w:r>
    </w:p>
    <w:p w14:paraId="19EE4CD2" w14:textId="77777777" w:rsidR="00C04533" w:rsidRDefault="00C04533" w:rsidP="00C04533">
      <w:pPr>
        <w:pStyle w:val="TextoNormal"/>
      </w:pPr>
    </w:p>
    <w:p w14:paraId="0B34492F" w14:textId="3BC211EA" w:rsidR="00C04533" w:rsidRDefault="00C04533" w:rsidP="00C04533">
      <w:pPr>
        <w:pStyle w:val="TextoNormal"/>
      </w:pPr>
      <w:r w:rsidRPr="00C04533">
        <w:rPr>
          <w:rStyle w:val="NumeroAFNegritaCaracter"/>
        </w:rPr>
        <w:t>4</w:t>
      </w:r>
      <w:r>
        <w:t>.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14:paraId="773848C8" w14:textId="77777777" w:rsidR="00C04533" w:rsidRDefault="00C04533" w:rsidP="00C04533">
      <w:pPr>
        <w:pStyle w:val="TextoNormal"/>
      </w:pPr>
    </w:p>
    <w:p w14:paraId="50D0C3A1" w14:textId="77777777" w:rsidR="00C04533" w:rsidRDefault="00C04533" w:rsidP="00C04533">
      <w:pPr>
        <w:pStyle w:val="TextoNormalNegritaCentrado"/>
        <w:keepNext/>
      </w:pPr>
      <w:r>
        <w:t>II. Fundamentos jurídicos</w:t>
      </w:r>
    </w:p>
    <w:p w14:paraId="370FD66B" w14:textId="75A1874E" w:rsidR="00C04533" w:rsidRDefault="00C04533" w:rsidP="00C04533">
      <w:pPr>
        <w:pStyle w:val="TextoNormalNegritaCentrado"/>
        <w:keepNext/>
      </w:pPr>
    </w:p>
    <w:p w14:paraId="0B9EDC29" w14:textId="76E28850" w:rsidR="00C04533" w:rsidRDefault="00C04533" w:rsidP="00C04533">
      <w:pPr>
        <w:pStyle w:val="TextoNormal"/>
      </w:pPr>
      <w:r w:rsidRPr="00C04533">
        <w:rPr>
          <w:rStyle w:val="TextoNormalNegritaCaracter"/>
        </w:rPr>
        <w:t xml:space="preserve">Único. </w:t>
      </w:r>
      <w:r>
        <w:t>La presente recusación guarda identidad con la inadmitida por ATC 116/2024, de 5 de noviembre, dictado por este tribunal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14:paraId="331280A9" w14:textId="77777777" w:rsidR="00C04533" w:rsidRDefault="00C04533" w:rsidP="00C04533">
      <w:pPr>
        <w:pStyle w:val="TextoNormal"/>
      </w:pPr>
    </w:p>
    <w:p w14:paraId="65786D8C" w14:textId="77777777" w:rsidR="00C04533" w:rsidRDefault="00C04533" w:rsidP="00C04533">
      <w:pPr>
        <w:pStyle w:val="TextoNormal"/>
      </w:pPr>
      <w:r>
        <w:t>Por lo expuesto, el Pleno</w:t>
      </w:r>
    </w:p>
    <w:p w14:paraId="63C2B2D0" w14:textId="3F52C5BB" w:rsidR="00C04533" w:rsidRDefault="00C04533" w:rsidP="00C04533">
      <w:pPr>
        <w:pStyle w:val="TextoNormal"/>
      </w:pPr>
    </w:p>
    <w:p w14:paraId="2298A4F1" w14:textId="77777777" w:rsidR="00C04533" w:rsidRDefault="00C04533" w:rsidP="00C04533">
      <w:pPr>
        <w:pStyle w:val="TextoNormalCentrado"/>
      </w:pPr>
      <w:r>
        <w:t>ACUERDA</w:t>
      </w:r>
    </w:p>
    <w:p w14:paraId="5BC3DD7A" w14:textId="04148756" w:rsidR="00C04533" w:rsidRDefault="00C04533" w:rsidP="00C04533">
      <w:pPr>
        <w:pStyle w:val="TextoNormalCentrado"/>
      </w:pPr>
    </w:p>
    <w:p w14:paraId="38058ADC" w14:textId="47ACE932" w:rsidR="00C04533" w:rsidRDefault="00C04533" w:rsidP="00C04533">
      <w:pPr>
        <w:pStyle w:val="TextoNormal"/>
      </w:pPr>
      <w:r>
        <w:t>No admitir a trámite la recusación del magistrado don José María Macías Castaño, promovida por el abogado del Estado en la cuestión de inconstitucionalidad núm. 6699-2024.</w:t>
      </w:r>
    </w:p>
    <w:p w14:paraId="3D4B9565" w14:textId="77777777" w:rsidR="00C04533" w:rsidRDefault="00C04533" w:rsidP="00C04533">
      <w:pPr>
        <w:pStyle w:val="TextoNormal"/>
      </w:pPr>
    </w:p>
    <w:p w14:paraId="6FA67082" w14:textId="77777777" w:rsidR="00C04533" w:rsidRDefault="00C04533" w:rsidP="00C04533">
      <w:pPr>
        <w:pStyle w:val="TextoNormal"/>
      </w:pPr>
      <w:r>
        <w:t>Madrid, a diecinueve de noviembre de dos mil veinticuatro.</w:t>
      </w:r>
    </w:p>
    <w:p w14:paraId="601D08A4" w14:textId="54E163BA" w:rsidR="00C04533" w:rsidRDefault="00C04533">
      <w:pPr>
        <w:spacing w:after="160" w:line="278" w:lineRule="auto"/>
        <w:rPr>
          <w:rFonts w:ascii="Times New Roman" w:eastAsia="Times New Roman" w:hAnsi="Times New Roman" w:cs="Times New Roman"/>
          <w:sz w:val="24"/>
          <w:szCs w:val="24"/>
          <w:lang w:eastAsia="es-ES"/>
        </w:rPr>
      </w:pPr>
      <w:r>
        <w:br w:type="page"/>
      </w:r>
    </w:p>
    <w:p w14:paraId="6A70556B" w14:textId="77777777" w:rsidR="00C04533" w:rsidRDefault="00C04533" w:rsidP="00C04533">
      <w:pPr>
        <w:pStyle w:val="TtuloResolucin"/>
      </w:pPr>
      <w:bookmarkStart w:id="153" w:name="AUTO_2024_147"/>
      <w:r>
        <w:t>AUTO 147/2024, de 19 de noviembre de 2024</w:t>
      </w:r>
    </w:p>
    <w:bookmarkEnd w:id="153"/>
    <w:p w14:paraId="364C4871" w14:textId="77777777" w:rsidR="00C04533" w:rsidRDefault="00C04533" w:rsidP="00C04533">
      <w:pPr>
        <w:pStyle w:val="TtuloResolucin"/>
      </w:pPr>
      <w:r>
        <w:t>Pleno</w:t>
      </w:r>
    </w:p>
    <w:p w14:paraId="1A36AB8F" w14:textId="77777777" w:rsidR="00C04533" w:rsidRDefault="00C04533" w:rsidP="00C04533">
      <w:pPr>
        <w:pStyle w:val="TextoNormalCentrado"/>
      </w:pPr>
      <w:r>
        <w:t>ECLI:ES:TC:2024:147A</w:t>
      </w:r>
    </w:p>
    <w:p w14:paraId="09B7C3C8" w14:textId="69DE8F91" w:rsidR="00C04533" w:rsidRDefault="00C04533" w:rsidP="00C04533">
      <w:pPr>
        <w:pStyle w:val="TextoNormalCentrado"/>
      </w:pPr>
    </w:p>
    <w:p w14:paraId="42B1CF1E"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w:t>
      </w:r>
    </w:p>
    <w:p w14:paraId="7E13B5F2" w14:textId="62D28E81" w:rsidR="00C04533" w:rsidRDefault="00C04533" w:rsidP="00C04533">
      <w:pPr>
        <w:pStyle w:val="SntesisDescriptiva"/>
      </w:pPr>
    </w:p>
    <w:p w14:paraId="1DBBC07C" w14:textId="77777777" w:rsidR="00C04533" w:rsidRDefault="00C04533" w:rsidP="00C04533">
      <w:pPr>
        <w:pStyle w:val="SntesisDescriptiva"/>
      </w:pPr>
      <w:r>
        <w:t>Acepta una abstención en la cuestión de inconstitucionalidad 6754-2024, planteada por la Sala de lo Civil y Penal del Tribunal Superior de Justicia de Cataluña en relación con la Ley Orgánica 1/2024, de 10 de junio, de amnistía para la normalización institucional, política y social en Cataluña. Voto particular.</w:t>
      </w:r>
    </w:p>
    <w:p w14:paraId="036F41F2" w14:textId="14C9D34C" w:rsidR="00C04533" w:rsidRDefault="00C04533" w:rsidP="00C04533">
      <w:pPr>
        <w:pStyle w:val="SntesisDescriptiva"/>
      </w:pPr>
    </w:p>
    <w:p w14:paraId="52CA46A6" w14:textId="77777777" w:rsidR="00C04533" w:rsidRDefault="00C04533" w:rsidP="00C04533">
      <w:pPr>
        <w:pStyle w:val="SntesisDescriptiva"/>
      </w:pPr>
    </w:p>
    <w:p w14:paraId="21F04478" w14:textId="77777777" w:rsidR="00C04533" w:rsidRDefault="00C04533" w:rsidP="00C04533">
      <w:pPr>
        <w:pStyle w:val="SntesisDescriptiva"/>
      </w:pPr>
    </w:p>
    <w:p w14:paraId="418E440F" w14:textId="77777777" w:rsidR="00C04533" w:rsidRDefault="00C04533" w:rsidP="00C04533">
      <w:pPr>
        <w:pStyle w:val="TextoNormalNegritaCentrado"/>
      </w:pPr>
      <w:r>
        <w:t>AUTO</w:t>
      </w:r>
    </w:p>
    <w:p w14:paraId="54C299CA" w14:textId="4892C4A2" w:rsidR="00C04533" w:rsidRDefault="00C04533" w:rsidP="00C04533">
      <w:pPr>
        <w:pStyle w:val="TextoNormalNegritaCentrado"/>
      </w:pPr>
    </w:p>
    <w:p w14:paraId="077F7B3F" w14:textId="77777777" w:rsidR="00C04533" w:rsidRDefault="00C04533" w:rsidP="00C04533">
      <w:pPr>
        <w:pStyle w:val="TextoNormalNegritaCentrado"/>
        <w:keepNext/>
      </w:pPr>
      <w:r>
        <w:t>I. Antecedentes</w:t>
      </w:r>
    </w:p>
    <w:p w14:paraId="30BFE649" w14:textId="4CF253A3" w:rsidR="00C04533" w:rsidRDefault="00C04533" w:rsidP="00C04533">
      <w:pPr>
        <w:pStyle w:val="TextoNormalNegritaCentrado"/>
        <w:keepNext/>
      </w:pPr>
    </w:p>
    <w:p w14:paraId="2BF8DB13" w14:textId="643A42CC" w:rsidR="00C04533" w:rsidRDefault="00C04533" w:rsidP="00C04533">
      <w:pPr>
        <w:pStyle w:val="TextoNormal"/>
      </w:pPr>
      <w:r w:rsidRPr="00C04533">
        <w:rPr>
          <w:rStyle w:val="NumeroAFNegritaCaracter"/>
        </w:rPr>
        <w:t>1</w:t>
      </w:r>
      <w:r>
        <w:t>. En escrito fechado el día 1 de octubre de 2024, el magistrado don Juan Carlos Campo Moreno comunicó al señor presidente del Tribunal Constitucional, a los efectos oportunos, su voluntad de abstenerse de intervenir en el conocimiento de la presente cuestión de inconstitucionalidad núm. 6754-2024, proceso en el que se impugna la Ley Orgánica 1/2024, de 10 de junio, de amnistía para la normalización institucional, política y social en Cataluña.</w:t>
      </w:r>
    </w:p>
    <w:p w14:paraId="5EC6C7A5" w14:textId="77777777" w:rsidR="00C04533" w:rsidRDefault="00C04533" w:rsidP="00C04533">
      <w:pPr>
        <w:pStyle w:val="TextoNormal"/>
      </w:pPr>
    </w:p>
    <w:p w14:paraId="607277B3" w14:textId="77777777" w:rsidR="00C04533" w:rsidRDefault="00C04533" w:rsidP="00C04533">
      <w:pPr>
        <w:pStyle w:val="TextoNormal"/>
      </w:pPr>
      <w:r w:rsidRPr="00C04533">
        <w:rPr>
          <w:rStyle w:val="NumeroAFNegritaCaracter"/>
        </w:rPr>
        <w:t>2</w:t>
      </w:r>
      <w:r>
        <w:t>. La solicitud de abstención la vincula el magistrado a su participación, en su anterior condición de ministro de Justicia, en la tramitación y aprobación por el Consejo de Ministros de 22 de junio de 2021, del que formó parte, de las propuestas motivadas de indulto parcial y condicionado por razones de utilidad pública, en relación con la parte de las penas privativas de libertad que restaba por extinguir a diversas personas que habían sido condenadas en la STS 459/2019, de 14 de octubre de 2019 (ECLI:ES:TS:2019:2997), dictada por la Sala de lo Penal del Tribunal Supremo, en relación con su participación en hechos anteriores y posteriores, pero relacionados, con la consulta ilegal desarrollada el 1 de octubre de 2017 en el territorio de la Comunidad Autónoma de Cataluña, como consecuencia de la decisión de llevar a efecto y obtener de forma unilateral su independencia, al margen de la Constitución y de su Estatuto de Autonomía.</w:t>
      </w:r>
    </w:p>
    <w:p w14:paraId="6335A629" w14:textId="77777777" w:rsidR="00C04533" w:rsidRDefault="00C04533" w:rsidP="00C04533">
      <w:pPr>
        <w:pStyle w:val="TextoNormal"/>
      </w:pPr>
    </w:p>
    <w:p w14:paraId="32FBE9A9" w14:textId="1FE8FD85" w:rsidR="00C04533" w:rsidRDefault="00C04533" w:rsidP="00C04533">
      <w:pPr>
        <w:pStyle w:val="TextoNormal"/>
      </w:pPr>
      <w:r>
        <w:t>Específicamente, la abstención formulada se razona en relación con el contenido de la justificación de dichas propuestas de indulto, en cuanto expresa un criterio expreso sobre la constitucionalidad de la pretensión de amnistía que, en favor de los indultados, se reclamaba entonces.</w:t>
      </w:r>
    </w:p>
    <w:p w14:paraId="23AE87E2" w14:textId="77777777" w:rsidR="00C04533" w:rsidRDefault="00C04533" w:rsidP="00C04533">
      <w:pPr>
        <w:pStyle w:val="TextoNormal"/>
      </w:pPr>
    </w:p>
    <w:p w14:paraId="4966D7BA" w14:textId="77777777" w:rsidR="00C04533" w:rsidRDefault="00C04533" w:rsidP="00C04533">
      <w:pPr>
        <w:pStyle w:val="TextoNormalNegritaCentrado"/>
        <w:keepNext/>
      </w:pPr>
      <w:r>
        <w:t>II. Fundamentos jurídicos</w:t>
      </w:r>
    </w:p>
    <w:p w14:paraId="7DCA8E77" w14:textId="5EC868BC" w:rsidR="00C04533" w:rsidRDefault="00C04533" w:rsidP="00C04533">
      <w:pPr>
        <w:pStyle w:val="TextoNormalNegritaCentrado"/>
        <w:keepNext/>
      </w:pPr>
    </w:p>
    <w:p w14:paraId="4D525970" w14:textId="77777777" w:rsidR="00C04533" w:rsidRDefault="00C04533" w:rsidP="00C04533">
      <w:pPr>
        <w:pStyle w:val="TextoNormal"/>
      </w:pPr>
      <w:r w:rsidRPr="00C04533">
        <w:rPr>
          <w:rStyle w:val="TextoNormalNegritaCaracter"/>
        </w:rPr>
        <w:t xml:space="preserve">Único. </w:t>
      </w:r>
      <w:r>
        <w:t>Visto el contenido de la comunicación efectuada por el magistrado don Juan Carlos Campo Moreno, en virtud de lo previsto en los arts. 80 de la Ley Orgánica del Tribunal Constitucional y 221.4 de la Ley Orgánica del Poder Judicial (LOPJ), se estima justificada la causa de la abstención formulada en el presente proceso constitucional.</w:t>
      </w:r>
    </w:p>
    <w:p w14:paraId="41CF78EA" w14:textId="77777777" w:rsidR="00C04533" w:rsidRDefault="00C04533" w:rsidP="00C04533">
      <w:pPr>
        <w:pStyle w:val="TextoNormal"/>
      </w:pPr>
    </w:p>
    <w:p w14:paraId="3FFCC734" w14:textId="77777777" w:rsidR="00C04533" w:rsidRDefault="00C04533" w:rsidP="00C04533">
      <w:pPr>
        <w:pStyle w:val="TextoNormal"/>
      </w:pPr>
      <w:r>
        <w:t>Según ha indicado en su propuesta, en su anterior condición de ministro de Justicia, el magistrado señor Campo Moreno elevó al Consejo de Ministros propuesta motivada de indulto parcial en la que exteriorizó un criterio favorable a la inconstitucionalidad de la amnistía que se reclamaba para los eventuales beneficiarios de la propuesta, que finalmente dio lugar a los reales decretos 456/2021 a 464/2021 inclusive, de 22 de junio, por los que fueron concedidos los indultos parciales propuestos. Expone dicho magistrado que en esas propuestas exteriorizó “una valoración expresa y genérica sobre la inviabilidad constitucional de la amnistía, entonces reclamada en favor de las personas condenadas, quienes pudieran también verse afectadas por las previsiones de la […] Ley Orgánica 1/2024, de 10 de junio, de amnistía para la normalización institucional, política y social en Cataluña”.</w:t>
      </w:r>
    </w:p>
    <w:p w14:paraId="54306F76" w14:textId="77777777" w:rsidR="00C04533" w:rsidRDefault="00C04533" w:rsidP="00C04533">
      <w:pPr>
        <w:pStyle w:val="TextoNormal"/>
      </w:pPr>
    </w:p>
    <w:p w14:paraId="587E5D81" w14:textId="666509A9" w:rsidR="00C04533" w:rsidRDefault="00C04533" w:rsidP="00C04533">
      <w:pPr>
        <w:pStyle w:val="TextoNormal"/>
      </w:pPr>
      <w:r>
        <w:t>En este proceso constitucional, como en otros precedentes en los que la abstención del señor Campo Moreno ha sido aceptada por el Pleno, se plantea a este tribunal la eventual inconstitucionalidad de diversos preceptos de la citada Ley Orgánica 1/2024, de 10 de junio. La coincidencia de su objeto con la anterior valoración personal, exteriorizada en las propuestas de resolución emitidas en su condición de ministro de Justicia al justificar las propuestas de indulto, permite apreciar también en este caso, como hemos admitido en los recientes AATC 82/2024 y 91/2024, de 11 y 24 de septiembre, la concurrencia de la causa de recusación que justifica la abstención solicitada, bien al amparo del art. 219.10 LOPJ expresamente aludido en la comunicación presentada por el magistrado (“[t]ener interés directo o indirecto en el pleito o causa”), bien bajo la cobertura de la causa decimosexta del mismo precepto legal (“[h]aber ocupado el juez o magistrado cargo público o administrativo con ocasión del cual haya podido tener conocimiento del objeto del litigio y formar criterio en detrimento de la debida imparcialidad”).</w:t>
      </w:r>
    </w:p>
    <w:p w14:paraId="582DA75D" w14:textId="77777777" w:rsidR="00C04533" w:rsidRDefault="00C04533" w:rsidP="00C04533">
      <w:pPr>
        <w:pStyle w:val="TextoNormal"/>
      </w:pPr>
    </w:p>
    <w:p w14:paraId="5FCE5D87" w14:textId="77777777" w:rsidR="00C04533" w:rsidRDefault="00C04533" w:rsidP="00C04533">
      <w:pPr>
        <w:pStyle w:val="TextoNormal"/>
      </w:pPr>
      <w:r>
        <w:t>Por lo expuesto, el Pleno</w:t>
      </w:r>
    </w:p>
    <w:p w14:paraId="768E3328" w14:textId="484D7D57" w:rsidR="00C04533" w:rsidRDefault="00C04533" w:rsidP="00C04533">
      <w:pPr>
        <w:pStyle w:val="TextoNormal"/>
      </w:pPr>
    </w:p>
    <w:p w14:paraId="52CA4298" w14:textId="77777777" w:rsidR="00C04533" w:rsidRDefault="00C04533" w:rsidP="00C04533">
      <w:pPr>
        <w:pStyle w:val="TextoNormalCentrado"/>
      </w:pPr>
      <w:r>
        <w:t>ACUERDA</w:t>
      </w:r>
    </w:p>
    <w:p w14:paraId="370265E6" w14:textId="720C0936" w:rsidR="00C04533" w:rsidRDefault="00C04533" w:rsidP="00C04533">
      <w:pPr>
        <w:pStyle w:val="TextoNormalCentrado"/>
      </w:pPr>
    </w:p>
    <w:p w14:paraId="49887132" w14:textId="4022459A" w:rsidR="00C04533" w:rsidRDefault="00C04533" w:rsidP="00C04533">
      <w:pPr>
        <w:pStyle w:val="TextoNormal"/>
      </w:pPr>
      <w:r>
        <w:t>Estimar justificada la abstención formulada por el magistrado don Juan Carlos Campo Moreno, apartándole definitivamente del conocimiento de la presente cuestión de inconstitucionalidad registrada con el núm. 6754-2024 (Sala de lo Civil y Penal del Tribunal Superior de Justicia de Cataluña).</w:t>
      </w:r>
    </w:p>
    <w:p w14:paraId="6CAFD42D" w14:textId="77777777" w:rsidR="00C04533" w:rsidRDefault="00C04533" w:rsidP="00C04533">
      <w:pPr>
        <w:pStyle w:val="TextoNormal"/>
      </w:pPr>
    </w:p>
    <w:p w14:paraId="7610E4B6" w14:textId="77777777" w:rsidR="00C04533" w:rsidRDefault="00C04533" w:rsidP="00C04533">
      <w:pPr>
        <w:pStyle w:val="TextoNormal"/>
      </w:pPr>
      <w:r>
        <w:t>Madrid, a diecinueve de noviembre de dos mil veinticuatro.</w:t>
      </w:r>
    </w:p>
    <w:p w14:paraId="2E1C8F1D" w14:textId="18AB1352" w:rsidR="00C04533" w:rsidRDefault="00C04533" w:rsidP="00C04533">
      <w:pPr>
        <w:pStyle w:val="ParrafoNormal"/>
      </w:pPr>
    </w:p>
    <w:p w14:paraId="7ED65D15" w14:textId="77777777" w:rsidR="00C04533" w:rsidRDefault="00C04533" w:rsidP="00C04533">
      <w:pPr>
        <w:pStyle w:val="TextoNormalNegritaCentrado"/>
        <w:keepNext/>
      </w:pPr>
      <w:r>
        <w:t>Voto particular concurrente que formula el magistrado don José María Macías Castaño al auto de 19 de noviembre de 2024 dictado en la cuestión de inconstitucionalidad núm. 6754-2024</w:t>
      </w:r>
    </w:p>
    <w:p w14:paraId="023B1DE5" w14:textId="30F6959C" w:rsidR="00C04533" w:rsidRDefault="00C04533" w:rsidP="00C04533">
      <w:pPr>
        <w:pStyle w:val="TextoNormalNegritaCentrado"/>
        <w:keepNext/>
      </w:pPr>
    </w:p>
    <w:p w14:paraId="68A08CD6" w14:textId="77777777" w:rsidR="00C04533" w:rsidRDefault="00C04533" w:rsidP="00C04533">
      <w:pPr>
        <w:pStyle w:val="TextoNormal"/>
      </w:pPr>
      <w:r>
        <w:t>No obstante no plantear objeción a la decisión del Pleno, respetuosamente disiento de la fundamentación con la que se ha justificado la abstención del magistrado don Juan Carlos Campo Moreno, que entiendo que debiera haber sido totalmente diferente de la alegada por él mismo, y ello por las razones que seguidamente expongo.</w:t>
      </w:r>
    </w:p>
    <w:p w14:paraId="4A30093A" w14:textId="77777777" w:rsidR="00C04533" w:rsidRDefault="00C04533" w:rsidP="00C04533">
      <w:pPr>
        <w:pStyle w:val="TextoNormal"/>
      </w:pPr>
    </w:p>
    <w:p w14:paraId="66E31F51" w14:textId="77777777" w:rsidR="00C04533" w:rsidRDefault="00C04533" w:rsidP="00C04533">
      <w:pPr>
        <w:pStyle w:val="TextoNormal"/>
      </w:pPr>
      <w:r>
        <w:t>1. Como ya hice en el voto particular (en aquel caso, discrepante) formulado en relación con el ATC 91/2024, de 24 de septiembre (recurso de inconstitucionalidad núm. 6436-2024), debo dejar constancia de los motivos que, a mi juicio, justifican la admisión de la abstención del magistrado señor Campo Moreno, que no son exactamente los que figuran en el auto aprobado, cuestión que no considero en absoluto intrascendente, aunque desemboque en el mismo resultado de apartamiento del magistrado del conocimiento del asunto.</w:t>
      </w:r>
    </w:p>
    <w:p w14:paraId="40A73A19" w14:textId="77777777" w:rsidR="00C04533" w:rsidRDefault="00C04533" w:rsidP="00C04533">
      <w:pPr>
        <w:pStyle w:val="TextoNormal"/>
      </w:pPr>
    </w:p>
    <w:p w14:paraId="2FC198C6" w14:textId="77777777" w:rsidR="00C04533" w:rsidRDefault="00C04533" w:rsidP="00C04533">
      <w:pPr>
        <w:pStyle w:val="TextoNormal"/>
      </w:pPr>
      <w:r>
        <w:t>2. Como puse de manifiesto al resolver sobre la abstención planteada en el procedimiento de cuestión de inconstitucionalidad núm. 6053-2024, ya aceptada, entiendo que la causa de abstención invocada por el magistrado señor Campo Moreno sencillamente no concurre: el hecho de que, siendo ministro, hubiese justificado la propuesta (y posterior concesión como miembro del Consejo de Ministros) de unos indultos afirmando que era una opción posible frente a otras que consideraba inconstitucionales, como era el caso de la amnistía, en absoluto guarda la menor relación con la causa de abstención invocada (art. 219.10 LOPJ), a la vista de la interpretación de lo que este tribunal considera como “interés directo o indirecto” [ATC 180/2013, de 17 de septiembre, FJ 5 b)]: ningún perjuicio ni beneficio va a resultar para el magistrado o sus allegados del resultado del pleito, al menos que pueda racionalmente intuirse.</w:t>
      </w:r>
    </w:p>
    <w:p w14:paraId="1AA1E220" w14:textId="77777777" w:rsidR="00C04533" w:rsidRDefault="00C04533" w:rsidP="00C04533">
      <w:pPr>
        <w:pStyle w:val="TextoNormal"/>
      </w:pPr>
    </w:p>
    <w:p w14:paraId="1DD8264A" w14:textId="77777777" w:rsidR="00C04533" w:rsidRDefault="00C04533" w:rsidP="00C04533">
      <w:pPr>
        <w:pStyle w:val="TextoNormal"/>
      </w:pPr>
      <w:r>
        <w:t>3. Por otro lado, también puse de manifiesto y sigo pensando que una abstención justificada en la circunstancia de haber sostenido una opinión jurídica en el pasado sobre un tema sometido al conocimiento de este tribunal es algo que contradice su doctrina, singularmente expresada en el ATC 107/2021, de 15 de diciembre: la expresión de opiniones, antes de incorporarse al Tribunal, sobre temas jurídicos en publicaciones científicas o artículos periodísticos, e incluso en informes oficiales del Consejo General del Poder Judicial (ATC 28/2023, de 7 de febrero), y aun cuando nada hiciese pensar que la opinión hubiese variado, es algo que no inhabilita a los magistrados para participar en la decisión de un asunto. Como se afirma en la resolución citada, no se pretende de los miembros del Tribunal Constitucional que lleguen a esa alta magistratura lo hagan con la cabeza vacía, pero sí con la mente abierta, dispuestos a asumir que, en el debate entre los magistrados, sus opiniones se pueden matizar, cambiar o sencillamente abandonar para asumir las de otros magistrados.</w:t>
      </w:r>
    </w:p>
    <w:p w14:paraId="5B3C0807" w14:textId="77777777" w:rsidR="00C04533" w:rsidRDefault="00C04533" w:rsidP="00C04533">
      <w:pPr>
        <w:pStyle w:val="TextoNormal"/>
      </w:pPr>
    </w:p>
    <w:p w14:paraId="52BA0058" w14:textId="77777777" w:rsidR="00C04533" w:rsidRDefault="00C04533" w:rsidP="00C04533">
      <w:pPr>
        <w:pStyle w:val="TextoNormal"/>
      </w:pPr>
      <w:r>
        <w:t>4. Dicho lo anterior, y pese a que ni concurría la causa de abstención ni resultaba procedente aceptarla conforme a la doctrina de este tribunal, el hecho de que el magistrado señor Campo Moreno plantease la abstención afirmando tener “interés” en el asunto, aunque ese “interés” fuese inidentificable, lo inhabilitaba como miembro del Tribunal, porque ello suponía reconocer que no se encontraba en condiciones de cumplir con lo esperado de sus magistrados: tener la mente abierta (no vacía). Ese juicio, eminentemente subjetivo y personal del propio abstenido, difícilmente puede ser discutido, y si a ello se añadía que lo que había hecho el magistrado señor Campo Moreno no era meramente expresar una opinión (ya fuese en una publicación, artículo periodístico o informe, público o privado), sino justificar una resolución o decisión adoptada como ministro, cabía aceptar que la contradicción con la doctrina expresada en los AATC 107/2021 y 28/2023 no era, cuando menos, frontal.</w:t>
      </w:r>
    </w:p>
    <w:p w14:paraId="1A7953E9" w14:textId="77777777" w:rsidR="00C04533" w:rsidRDefault="00C04533" w:rsidP="00C04533">
      <w:pPr>
        <w:pStyle w:val="TextoNormal"/>
      </w:pPr>
    </w:p>
    <w:p w14:paraId="64F5CFBB" w14:textId="77777777" w:rsidR="00C04533" w:rsidRDefault="00C04533" w:rsidP="00C04533">
      <w:pPr>
        <w:pStyle w:val="TextoNormal"/>
      </w:pPr>
      <w:r>
        <w:t>5. En definitiva, lo cierto es que en la actualidad el magistrado señor Campo Moreno sigue afirmando que no se encuentra en condiciones de abrir su mente al debate jurídico y la situación objetiva en la que basa su abstención (no que emitió una mera opinión, sino que justificó una decisión) sigue siendo la misma. En estas circunstancias, entiendo que la abstención puede ser aceptada, pero las razones y circunstancias reales de la abstención, y no un mero formalismo, deben quedar clara y terminantemente expresadas en el auto de abstención, cosa que no se ha llevado a cabo y que justifica la emisión de este voto.</w:t>
      </w:r>
    </w:p>
    <w:p w14:paraId="3B82757F" w14:textId="77777777" w:rsidR="00C04533" w:rsidRDefault="00C04533" w:rsidP="00C04533">
      <w:pPr>
        <w:pStyle w:val="TextoNormal"/>
      </w:pPr>
    </w:p>
    <w:p w14:paraId="424971EE" w14:textId="16E26108" w:rsidR="00C04533" w:rsidRDefault="00C04533" w:rsidP="00C04533">
      <w:pPr>
        <w:pStyle w:val="TextoNormal"/>
      </w:pPr>
      <w:r>
        <w:t>Madrid, a diecinueve de noviembre de dos mil veinticuatro.</w:t>
      </w:r>
    </w:p>
    <w:p w14:paraId="78061401" w14:textId="1C3A5537" w:rsidR="00C04533" w:rsidRDefault="00C04533">
      <w:pPr>
        <w:spacing w:after="160" w:line="278" w:lineRule="auto"/>
        <w:rPr>
          <w:rFonts w:ascii="Times New Roman" w:eastAsia="Times New Roman" w:hAnsi="Times New Roman" w:cs="Times New Roman"/>
          <w:sz w:val="24"/>
          <w:szCs w:val="24"/>
          <w:lang w:eastAsia="es-ES"/>
        </w:rPr>
      </w:pPr>
      <w:r>
        <w:br w:type="page"/>
      </w:r>
    </w:p>
    <w:p w14:paraId="58AD226D" w14:textId="77777777" w:rsidR="00C04533" w:rsidRDefault="00C04533" w:rsidP="00C04533">
      <w:pPr>
        <w:pStyle w:val="TtuloResolucin"/>
      </w:pPr>
      <w:bookmarkStart w:id="154" w:name="AUTO_2024_148"/>
      <w:r>
        <w:t>AUTO 148/2024, de 20 de noviembre de 2024</w:t>
      </w:r>
    </w:p>
    <w:bookmarkEnd w:id="154"/>
    <w:p w14:paraId="18D3A787" w14:textId="77777777" w:rsidR="00C04533" w:rsidRDefault="00C04533" w:rsidP="00C04533">
      <w:pPr>
        <w:pStyle w:val="TtuloResolucin"/>
      </w:pPr>
      <w:r>
        <w:t>Sección Segunda</w:t>
      </w:r>
    </w:p>
    <w:p w14:paraId="0DB9D7E7" w14:textId="77777777" w:rsidR="00C04533" w:rsidRDefault="00C04533" w:rsidP="00C04533">
      <w:pPr>
        <w:pStyle w:val="TextoNormalCentrado"/>
      </w:pPr>
      <w:r>
        <w:t>ECLI:ES:TC:2024:148A</w:t>
      </w:r>
    </w:p>
    <w:p w14:paraId="34EC9D95" w14:textId="74662582" w:rsidR="00C04533" w:rsidRDefault="00C04533" w:rsidP="00C04533">
      <w:pPr>
        <w:pStyle w:val="TextoNormalCentrado"/>
      </w:pPr>
    </w:p>
    <w:p w14:paraId="1C6B1793" w14:textId="77777777" w:rsidR="00C04533" w:rsidRDefault="00C04533" w:rsidP="00C04533">
      <w:pPr>
        <w:pStyle w:val="SntesisDescriptiva"/>
      </w:pPr>
      <w:r>
        <w:t>Excms. Srs. don Ricardo Enríquez Sancho, don Juan Carlos Campo Moreno y don José María Macías Castaño.</w:t>
      </w:r>
    </w:p>
    <w:p w14:paraId="2324639A" w14:textId="460DD9D8" w:rsidR="00C04533" w:rsidRDefault="00C04533" w:rsidP="00C04533">
      <w:pPr>
        <w:pStyle w:val="SntesisDescriptiva"/>
      </w:pPr>
    </w:p>
    <w:p w14:paraId="293D5A1F" w14:textId="77777777" w:rsidR="00C04533" w:rsidRDefault="00C04533" w:rsidP="00C04533">
      <w:pPr>
        <w:pStyle w:val="SntesisDescriptiva"/>
      </w:pPr>
      <w:r>
        <w:t>Desestima el recurso de súplica interpuesto por el Ministerio Fiscal en relación con la providencia de inadmisión del recurso de amparo 2505-2023, promovido por don Javier Sala Fajarnes en causa penal.</w:t>
      </w:r>
    </w:p>
    <w:p w14:paraId="2B8836BF" w14:textId="23A91953" w:rsidR="00C04533" w:rsidRDefault="00C04533" w:rsidP="00C04533">
      <w:pPr>
        <w:pStyle w:val="SntesisDescriptiva"/>
      </w:pPr>
    </w:p>
    <w:p w14:paraId="5BC6C569" w14:textId="77777777" w:rsidR="00C04533" w:rsidRDefault="00C04533" w:rsidP="00C04533">
      <w:pPr>
        <w:pStyle w:val="SntesisDescriptiva"/>
      </w:pPr>
    </w:p>
    <w:p w14:paraId="7C905F14" w14:textId="77777777" w:rsidR="00C04533" w:rsidRDefault="00C04533" w:rsidP="00C04533">
      <w:pPr>
        <w:pStyle w:val="SntesisDescriptiva"/>
      </w:pPr>
    </w:p>
    <w:p w14:paraId="242E1ECD" w14:textId="77777777" w:rsidR="00C04533" w:rsidRDefault="00C04533" w:rsidP="00C04533">
      <w:pPr>
        <w:pStyle w:val="TextoNormalNegritaCentrado"/>
      </w:pPr>
      <w:r>
        <w:t>AUTO</w:t>
      </w:r>
    </w:p>
    <w:p w14:paraId="3360839B" w14:textId="18A59ABE" w:rsidR="00C04533" w:rsidRDefault="00C04533" w:rsidP="00C04533">
      <w:pPr>
        <w:pStyle w:val="TextoNormalNegritaCentrado"/>
      </w:pPr>
    </w:p>
    <w:p w14:paraId="71EF035C" w14:textId="77777777" w:rsidR="00C04533" w:rsidRDefault="00C04533" w:rsidP="00C04533">
      <w:pPr>
        <w:pStyle w:val="TextoNormalNegritaCentrado"/>
        <w:keepNext/>
      </w:pPr>
      <w:r>
        <w:t>I. Antecedentes</w:t>
      </w:r>
    </w:p>
    <w:p w14:paraId="62C412AC" w14:textId="170D3D22" w:rsidR="00C04533" w:rsidRDefault="00C04533" w:rsidP="00C04533">
      <w:pPr>
        <w:pStyle w:val="TextoNormalNegritaCentrado"/>
        <w:keepNext/>
      </w:pPr>
    </w:p>
    <w:p w14:paraId="3351913C" w14:textId="13266508" w:rsidR="00C04533" w:rsidRDefault="00C04533" w:rsidP="00C04533">
      <w:pPr>
        <w:pStyle w:val="TextoNormal"/>
      </w:pPr>
      <w:r w:rsidRPr="00C04533">
        <w:rPr>
          <w:rStyle w:val="NumeroAFNegritaCaracter"/>
        </w:rPr>
        <w:t>1</w:t>
      </w:r>
      <w:r>
        <w:t>. El 14 de abril de 2023, don Javier Sala Fajarnes, representado por la procuradora de los tribunales doña Natalia Martín de Vidales Llorente, bajo la dirección del letrado don Carlos Echevarri Paniagua, interpuso recurso de amparo frente a los autos de 24 de enero y 28 de febrero de 2023, dictados por la Sección Décima de la Audiencia Provincial de Barcelona, por los que fue acordada y ratificada la revocación de la suspensión de la ejecución de la pena impuesta en la causa que dio lugar a la ejecutoria penal núm. 51-2019.</w:t>
      </w:r>
    </w:p>
    <w:p w14:paraId="3E2D2350" w14:textId="77777777" w:rsidR="00C04533" w:rsidRDefault="00C04533" w:rsidP="00C04533">
      <w:pPr>
        <w:pStyle w:val="TextoNormal"/>
      </w:pPr>
    </w:p>
    <w:p w14:paraId="35EE83AD" w14:textId="77777777" w:rsidR="00C04533" w:rsidRDefault="00C04533" w:rsidP="00C04533">
      <w:pPr>
        <w:pStyle w:val="TextoNormal"/>
      </w:pPr>
      <w:r w:rsidRPr="00C04533">
        <w:rPr>
          <w:rStyle w:val="NumeroAFNegritaCaracter"/>
        </w:rPr>
        <w:t>2</w:t>
      </w:r>
      <w:r>
        <w:t>. Son antecedentes procesales relevantes para la resolución del presente recurso de súplica las siguientes actuaciones y decisiones adoptadas en la vía judicial previa:</w:t>
      </w:r>
    </w:p>
    <w:p w14:paraId="635B349A" w14:textId="77777777" w:rsidR="00C04533" w:rsidRDefault="00C04533" w:rsidP="00C04533">
      <w:pPr>
        <w:pStyle w:val="TextoNormal"/>
      </w:pPr>
    </w:p>
    <w:p w14:paraId="35381B07" w14:textId="77777777" w:rsidR="00C04533" w:rsidRDefault="00C04533" w:rsidP="00C04533">
      <w:pPr>
        <w:pStyle w:val="TextoNormal"/>
      </w:pPr>
      <w:r>
        <w:t>a) El demandante de amparo fue condenado como responsable de un delito de apropiación indebida, por hechos acaecidos en los años 2010 y 2011, a la pena de un año y seis meses de prisión y a satisfacer en concepto de responsabilidad civil la cantidad de 92 014,83 €. La decisión condenatoria fue dictada el 24 de enero de 2018 y, una vez declarada firme, por auto de 1 de octubre de 2019 fue acordada la suspensión de la ejecución de la pena de prisión impuesta sometida a la condición de que el penado no volviera a delinquir durante el período de dos años y abonara la condena al pago de responsabilidad civil impuesta mediante un pago mensual de 1000 € (propuesto por el propio penado). La decisión de suspensión le advertía expresamente de que, si dejaba de abonar la responsabilidad civil impuesta durante dos mensualidades, la suspensión acordada podría ser revocada.</w:t>
      </w:r>
    </w:p>
    <w:p w14:paraId="580370E3" w14:textId="77777777" w:rsidR="00C04533" w:rsidRDefault="00C04533" w:rsidP="00C04533">
      <w:pPr>
        <w:pStyle w:val="TextoNormal"/>
      </w:pPr>
    </w:p>
    <w:p w14:paraId="3E0E8D5D" w14:textId="77777777" w:rsidR="00C04533" w:rsidRDefault="00C04533" w:rsidP="00C04533">
      <w:pPr>
        <w:pStyle w:val="TextoNormal"/>
      </w:pPr>
      <w:r>
        <w:t>b) Transcurrido el primer año del plazo de suspensión, en octubre de 2020, la acusación particular solicitó la revocación del beneficio concedido habida cuenta del impago de cinco de los doce pagos mensuales comprometidos. Una vez oído el penado —que alegó la doctrina fijada en el ATC 3/2018, de 23 de enero—, y el fiscal —que apoyó la revocación de la suspensión acordada—, el tribunal sentenciador, mediante auto de 17 de noviembre de 2020, en atención a la situación de emergencia económica habida como consecuencia de la pandemia provocada por la covid-19, acordó prorrogar por un período de un año más la suspensión de la ejecución de la pena de prisión, en las mismas condiciones que había sido acordada en el auto de 1 de octubre de 2019.</w:t>
      </w:r>
    </w:p>
    <w:p w14:paraId="16A917E8" w14:textId="77777777" w:rsidR="00C04533" w:rsidRDefault="00C04533" w:rsidP="00C04533">
      <w:pPr>
        <w:pStyle w:val="TextoNormal"/>
      </w:pPr>
    </w:p>
    <w:p w14:paraId="65610BA9" w14:textId="77777777" w:rsidR="00C04533" w:rsidRDefault="00C04533" w:rsidP="00C04533">
      <w:pPr>
        <w:pStyle w:val="TextoNormal"/>
      </w:pPr>
      <w:r>
        <w:t>c) En el mes de junio de 2022 los perjudicados por el delito solicitaron de nuevo la revocación de la suspensión de la ejecución de la pena de prisión poniendo de manifiesto que el penado había incumplido nuevamente su compromiso periódico de pago durante varias mensualidades (seis meses durante el año 2022, según certificó el letrado de la administración de justicia).</w:t>
      </w:r>
    </w:p>
    <w:p w14:paraId="1ABE3440" w14:textId="77777777" w:rsidR="00C04533" w:rsidRDefault="00C04533" w:rsidP="00C04533">
      <w:pPr>
        <w:pStyle w:val="TextoNormal"/>
      </w:pPr>
    </w:p>
    <w:p w14:paraId="36775BCD" w14:textId="77777777" w:rsidR="00C04533" w:rsidRDefault="00C04533" w:rsidP="00C04533">
      <w:pPr>
        <w:pStyle w:val="TextoNormal"/>
      </w:pPr>
      <w:r>
        <w:t>Oído el penado sobre la nueva solicitud de revocación, se opuso a la misma alegando su voluntad real de pago, que justificaba haciendo referencia al pago de 23 000 € durante los treinta y dos meses anteriores, desde que el compromiso de pago mensual fue asumido en octubre de 2019. Además de lo expuesto, señaló que los impagos parciales en los que había incurrido derivaban, de forma exclusiva, de la insuficiencia de medios económicos para hacer frente a dicha obligación en la periodicidad propuesta y acordada, como consecuencia de la pérdida de empleo de su cónyuge en 2021, y de la necesidad de subvenir sus gastos familiares —educación, vivienda, alimentación, y otros— dado que tiene dos hijas —de quince y veintitres años— que conviven en la unidad familiar. También en este caso el Ministerio Fiscal apoyó la solicitud de revocación formulada por los perjudicados.</w:t>
      </w:r>
    </w:p>
    <w:p w14:paraId="368A223D" w14:textId="77777777" w:rsidR="00C04533" w:rsidRDefault="00C04533" w:rsidP="00C04533">
      <w:pPr>
        <w:pStyle w:val="TextoNormal"/>
      </w:pPr>
    </w:p>
    <w:p w14:paraId="23A15217" w14:textId="77777777" w:rsidR="00C04533" w:rsidRDefault="00C04533" w:rsidP="00C04533">
      <w:pPr>
        <w:pStyle w:val="TextoNormal"/>
      </w:pPr>
      <w:r>
        <w:t>d) El tribunal sentenciador, mediante auto de 24 de enero de 2023, atendió a la petición de revocación solicitada razonando que ya en una ocasión anterior se había prorrogado por un año más la suspensión de la ejecución de la pena, pese a los incumplimientos en el pago de las mensualidades comprometidas. La revocación de la suspensión se justificó en este caso destacando:</w:t>
      </w:r>
    </w:p>
    <w:p w14:paraId="197330C2" w14:textId="77777777" w:rsidR="00C04533" w:rsidRDefault="00C04533" w:rsidP="00C04533">
      <w:pPr>
        <w:pStyle w:val="TextoNormal"/>
      </w:pPr>
    </w:p>
    <w:p w14:paraId="1DC42EB1" w14:textId="77777777" w:rsidR="00C04533" w:rsidRDefault="00C04533" w:rsidP="00C04533">
      <w:pPr>
        <w:pStyle w:val="TextoNormal"/>
      </w:pPr>
      <w:r>
        <w:t>“[L]a falta de solvencia económica sobrevenida del condenado, esto es, en el momento actual, en modo alguno puede fundamentar su impago con el correlativo goce del beneficio de la suspensión, pues ello supondría tanto como trasladar los riesgos económicos sobre el devenir y vicisitudes futuras con relación al importe defraudado al patrimonio del perjudicado/víctima, que ni tan siquiera tendría poder de disposición de dichas cantidades ni tomaría ninguna decisión sobre su destino futuro, lo que supondría de facto una doble victimización, pues el derecho de crédito que ostenta la parte perjudicada sobre el patrimonio del condenado resultaría a todas luces incobrable, y en consecuencia, la reparación imposible por causas totalmente ajenas a la propia víctima, pero, en todo caso, derivadas del delito que en su momento fue cometido dolosamente por el condenado, lo que implícitamente conllevaría una ausencia total de protección al bien jurídico protegido por el tipo penal por el que resultó penado el señor Sala. Es por ello que procede revocar el beneficio la suspensión y ordenar el cumplimiento de la pena de prisión inicialmente impuesta en sentencia. Es más, ya en la resolución de fecha 17 de noviembre 2020, si bien se tuvo presente que el ahora penado había abonado, en aquel momento la cantidad 8 000 €; dejando de pagar algunas mensualidades durante dicho año, la situación económica sufrida por el covid y las consecuencias que afectaron al trabajo del penado, como comercial, determinaron que el Tribunal tuviera presente dichas vicisitudes y en consecuencia se prorrogase durante un año más el citado beneficio de la suspensión de la ejecución de la pena de prisión. Sin embargo, y, como anteriormente se ha expuesto, las nuevas vicisitudes económicas familiares del penado no pueden volver a ser obstáculo para el impago de la deuda, pues sería tanto como que el perjudicado se hallase siempre al albur del devenir o circunstancias económicas por las que fuese atravesando el señor Sala. Es por ello que, en dicha actitud ininterrumpida y continuada del penado relativa al pago de la responsabilidad civil debe ser valorada, a la hora de determinar la revocación de la suspensión de la pena, como elemento sugestivo de pronóstico desfavorable de su conducta futura, pues quien aspira a que su responsabilidad penal no se ejecute, bajo el compromiso de adecuar su conducta futura a la norma o compromiso, debe hacer todo lo posible por reparar la totalidad del daño causado, con su comportamiento”.</w:t>
      </w:r>
    </w:p>
    <w:p w14:paraId="56AF9F7C" w14:textId="77777777" w:rsidR="00C04533" w:rsidRDefault="00C04533" w:rsidP="00C04533">
      <w:pPr>
        <w:pStyle w:val="TextoNormal"/>
      </w:pPr>
    </w:p>
    <w:p w14:paraId="2243331A" w14:textId="77777777" w:rsidR="00C04533" w:rsidRDefault="00C04533" w:rsidP="00C04533">
      <w:pPr>
        <w:pStyle w:val="TextoNormal"/>
      </w:pPr>
      <w:r>
        <w:t>e) La decisión de revocación fue impugnada en súplica por el demandante de amparo. Alegó que el impago de la responsabilidad civil no obedecía a una voluntad renuente al pago sino a dificultades económicas sobrevenidas. Presentó documentación al respecto, acreditó las cantidades abonadas hasta la fecha y adujo el sentido de la normativa aplicable [art 86.1 d) del Código penal] y la doctrina del Tribunal Constitucional establecida en la STC 32/2022, de 7 de marzo, en relación con la exigencia de motivación de la decisión de revocación acordada.</w:t>
      </w:r>
    </w:p>
    <w:p w14:paraId="77F209BD" w14:textId="77777777" w:rsidR="00C04533" w:rsidRDefault="00C04533" w:rsidP="00C04533">
      <w:pPr>
        <w:pStyle w:val="TextoNormal"/>
      </w:pPr>
    </w:p>
    <w:p w14:paraId="11AAB018" w14:textId="77777777" w:rsidR="00C04533" w:rsidRDefault="00C04533" w:rsidP="00C04533">
      <w:pPr>
        <w:pStyle w:val="TextoNormal"/>
      </w:pPr>
      <w:r>
        <w:t>f) El tribunal sentenciador desestimó el recurso de súplica mediante auto de 28 de febrero de 2023, en el que reproduce las razones justificativas de la decisión expresadas en el recurrido, señalando, de forma complementaria lo siguiente:</w:t>
      </w:r>
    </w:p>
    <w:p w14:paraId="11FC30A5" w14:textId="77777777" w:rsidR="00C04533" w:rsidRDefault="00C04533" w:rsidP="00C04533">
      <w:pPr>
        <w:pStyle w:val="TextoNormal"/>
      </w:pPr>
    </w:p>
    <w:p w14:paraId="65B937A5" w14:textId="1102A059" w:rsidR="00C04533" w:rsidRDefault="00C04533" w:rsidP="00C04533">
      <w:pPr>
        <w:pStyle w:val="TextoNormal"/>
      </w:pPr>
      <w:r>
        <w:t>“[L]as alegaciones vertidas en el recurso de súplica no desvirtúan los razonamientos consignados en la resolución recurrida y que aquí, en aras de la brevedad relatoria, y en evitación de reiteraciones innecesarias, deben darse enteramente por reproducidas. La documentación aportada no conduce a modificar el criterio decisional de este tribunal. Como ya se manifestó en su momento el señor Javier Sala cometió un delito económico por el que enriqueció directamente, obteniendo un beneficio en provecho propio y· por el que adeuda la cuantía aproximada de unos 60 000 €, una vez descontados 24 000 € que fueron consignados. A pesar de ello, ya en fecha a 17 de noviembre 2020 se procedió a prorrogar el beneficio de la suspensión de la pena de prisión por un año más, con el único fin de garantizar el pago de la responsabilidad civil impuesta y a pesar de la nueva prórroga concedida, los incumplimientos en el pago de la responsabilidad civil han sido reiterados, lo que pone en evidencia la falta absoluta de actitud y voluntad del penado en el cumplimiento de las condiciones impuestas. Tampoco resultó baladí el hecho de que, si bien la resolución de condena data del año 2018, la presente causa tuvo su inicio en el año 2012 y no puede obviarse el hecho de que la parte perjudicada no se ha visto ni mínimamente resarcida en la cantidad que se le adeuda. Es por todo ello que, procede confirmar la resolución de fecha 24 de enero de 2023”.</w:t>
      </w:r>
    </w:p>
    <w:p w14:paraId="7D127143" w14:textId="77777777" w:rsidR="00C04533" w:rsidRDefault="00C04533" w:rsidP="00C04533">
      <w:pPr>
        <w:pStyle w:val="TextoNormal"/>
      </w:pPr>
    </w:p>
    <w:p w14:paraId="2A6FEA12" w14:textId="77777777" w:rsidR="00C04533" w:rsidRDefault="00C04533" w:rsidP="00C04533">
      <w:pPr>
        <w:pStyle w:val="TextoNormal"/>
      </w:pPr>
      <w:r w:rsidRPr="00C04533">
        <w:rPr>
          <w:rStyle w:val="NumeroAFNegritaCaracter"/>
        </w:rPr>
        <w:t>3</w:t>
      </w:r>
      <w:r>
        <w:t>. El demandante de amparo alega en su recurso la vulneración de su derecho a la libertad personal (art. 17.1 CE) en relación con el derecho a la tutela judicial efectiva de los arts. 24.1 y 2 CE, cuestionando la aplicación realizada por la Sala de lo previsto en el artículo 86.1 d) del Código penal.</w:t>
      </w:r>
    </w:p>
    <w:p w14:paraId="45B13657" w14:textId="77777777" w:rsidR="00C04533" w:rsidRDefault="00C04533" w:rsidP="00C04533">
      <w:pPr>
        <w:pStyle w:val="TextoNormal"/>
      </w:pPr>
    </w:p>
    <w:p w14:paraId="7EEC7557" w14:textId="3AF5A5D0" w:rsidR="00C04533" w:rsidRDefault="00C04533" w:rsidP="00C04533">
      <w:pPr>
        <w:pStyle w:val="TextoNormal"/>
      </w:pPr>
      <w:r>
        <w:t>Considera que su recurso presenta especial trascendencia constitucional debido a que “da la oportunidad al Excmo. Tribunal de reforzar la doctrina sobre una cuestión que afecta a un derecho fundamental, en este caso a la libertad, en relación con la tutela judicial efectiva, y la necesidad de motivación reforzada y acorde a Derecho de las resoluciones por las que se revoca la suspensión de una pena privativa de libertad, imposibilitando la revocación de la misma en base, única y exclusivamente, a la imposibilidad de hacer frente a las obligaciones derivadas de la responsabilidad civil por encontrarse el condenado en una situación económica delicada. El presente recurso de amparo viene a plantear que la Ilma. Sección Décima de la Audiencia Provincial de Barcelona está, dicho sea con los debidos respetos y en estrictos términos de defensa, infringiendo el deber de acatamiento a la interpretación de las leyes según los preceptos y principios constitucionales, conforme a la interpretación de los mismos que resulta de las resoluciones dictadas por este Excmo. Tribunal —y citadas por la propia Sala de enjuiciamiento— vulnerando el derecho a la libertad del artículo 17 de la Constitución Española, en relación con el derecho a un proceso con todas las garantías sin producirse indefensión (art. 24 CE). Esta situación de desamparo se produce dado que la Ilma. Sala fundamenta el auto por el que se revoca la suspensión de la pena otorgada al Sr. Sala en que la falta de solvencia temporal de éste supondría trasladar los riesgos económicos y vicisitudes futuras del penado al patrimonio del perjudicado, haciendo incobrable el derecho de crédito que este ostenta sobre aquél, argumento que resulta contrario a la literalidad del artículo 86.1 d) del Código penal y a la doctrina de este Excmo. Tribunal”.</w:t>
      </w:r>
    </w:p>
    <w:p w14:paraId="448A5373" w14:textId="77777777" w:rsidR="00C04533" w:rsidRDefault="00C04533" w:rsidP="00C04533">
      <w:pPr>
        <w:pStyle w:val="TextoNormal"/>
      </w:pPr>
    </w:p>
    <w:p w14:paraId="4AE9B5DC" w14:textId="31173BF1" w:rsidR="00C04533" w:rsidRDefault="00C04533" w:rsidP="00C04533">
      <w:pPr>
        <w:pStyle w:val="TextoNormal"/>
      </w:pPr>
      <w:r w:rsidRPr="00C04533">
        <w:rPr>
          <w:rStyle w:val="NumeroAFNegritaCaracter"/>
        </w:rPr>
        <w:t>4</w:t>
      </w:r>
      <w:r>
        <w:t>. Mediante providencia de fecha 20 de julio de 2023, esta Sección Segunda acordó la inadmisión del recurso de amparo por no apreciar en el mismo la especial trascendencia constitucional que, como condición para su admisión, requiere el art. 50.1 b) de la Ley Orgánica del Tribunal Constitucional (en adelante, LOTC).</w:t>
      </w:r>
    </w:p>
    <w:p w14:paraId="74EF0EEF" w14:textId="77777777" w:rsidR="00C04533" w:rsidRDefault="00C04533" w:rsidP="00C04533">
      <w:pPr>
        <w:pStyle w:val="TextoNormal"/>
      </w:pPr>
    </w:p>
    <w:p w14:paraId="7ED322BD" w14:textId="77777777" w:rsidR="00C04533" w:rsidRDefault="00C04533" w:rsidP="00C04533">
      <w:pPr>
        <w:pStyle w:val="TextoNormal"/>
      </w:pPr>
      <w:r w:rsidRPr="00C04533">
        <w:rPr>
          <w:rStyle w:val="NumeroAFNegritaCaracter"/>
        </w:rPr>
        <w:t>5</w:t>
      </w:r>
      <w:r>
        <w:t>. La fiscal ante el Tribunal Constitucional, mediante escrito registrado el pasado 13 de septiembre de 2023, interpuso recurso de súplica impugnando la providencia de inadmisión. En él interesa que se deje sin efecto, reponiendo las actuaciones al momento anterior a su dictado para que se dicte una nueva que se pronuncie sobre la admisibilidad del recurso sin apreciar la causa de inadmisión que se cuestiona.</w:t>
      </w:r>
    </w:p>
    <w:p w14:paraId="6D000ED2" w14:textId="77777777" w:rsidR="00C04533" w:rsidRDefault="00C04533" w:rsidP="00C04533">
      <w:pPr>
        <w:pStyle w:val="TextoNormal"/>
      </w:pPr>
    </w:p>
    <w:p w14:paraId="7995AC30" w14:textId="5C574F16" w:rsidR="00C04533" w:rsidRDefault="00C04533" w:rsidP="00C04533">
      <w:pPr>
        <w:pStyle w:val="TextoNormal"/>
      </w:pPr>
      <w:r>
        <w:t>En su recurso considera la fiscal que, de acuerdo con la doctrina constitucional que cita (ATC 141/2012, de 9 de julio y STC 43/2022, de 21 de marzo) el tribunal de apelación habría decidido la revocación de la suspensión de la ejecución de la pena impuesta dispensando una respuesta que elude cualquier tipo de consideración sobre la dimensión constitucional puesta de relieve por el penado, lo que denotaría una voluntad implícita de no aplicar la referida doctrina al caso, reveladora de una conducta de incumplimiento de la jurisprudencia del Tribunal (STC 187/2020, de 14 de diciembre, FJ 2). Tal respuesta supondría una negativa manifiesta implícita a seguir y aplica la doctrina fijada en la STC 32/2022, de 7 de marzo.</w:t>
      </w:r>
    </w:p>
    <w:p w14:paraId="3D036E11" w14:textId="77777777" w:rsidR="00C04533" w:rsidRDefault="00C04533" w:rsidP="00C04533">
      <w:pPr>
        <w:pStyle w:val="TextoNormal"/>
      </w:pPr>
    </w:p>
    <w:p w14:paraId="3BC4CAB6" w14:textId="58263B25" w:rsidR="00C04533" w:rsidRDefault="00C04533" w:rsidP="00C04533">
      <w:pPr>
        <w:pStyle w:val="TextoNormal"/>
      </w:pPr>
      <w:r w:rsidRPr="00C04533">
        <w:rPr>
          <w:rStyle w:val="NumeroAFNegritaCaracter"/>
        </w:rPr>
        <w:t>6</w:t>
      </w:r>
      <w:r>
        <w:t>. Mediante diligencia de ordenación de 14 de septiembre de 2023, la Secretaría de Justicia acordó dar traslado del recurso de súplica a la representación del recurrente, concediéndoles un plazo de tres días a fin de que pudiese presentar las alegaciones que estimase pertinentes (art. 93.2 LOTC).</w:t>
      </w:r>
    </w:p>
    <w:p w14:paraId="1F4F2BBA" w14:textId="77777777" w:rsidR="00C04533" w:rsidRDefault="00C04533" w:rsidP="00C04533">
      <w:pPr>
        <w:pStyle w:val="TextoNormal"/>
      </w:pPr>
    </w:p>
    <w:p w14:paraId="2087CE5B" w14:textId="5CA05044" w:rsidR="00C04533" w:rsidRDefault="00C04533" w:rsidP="00C04533">
      <w:pPr>
        <w:pStyle w:val="TextoNormal"/>
      </w:pPr>
      <w:r w:rsidRPr="00C04533">
        <w:rPr>
          <w:rStyle w:val="NumeroAFNegritaCaracter"/>
        </w:rPr>
        <w:t>7</w:t>
      </w:r>
      <w:r>
        <w:t>. El día 19 de septiembre de 2023, la representación procesal del demandante de amparo registró sus alegaciones adhiriéndose a la solicitud de súplica de la representante del Ministerio Fiscal, reiterando tanto los fundamentos de su solicitud de amparo como la solicitud de suspensión de la resolución impugnada (art. 56 LOTC) para el caso de que su recurso fuese admitido a trámite.</w:t>
      </w:r>
    </w:p>
    <w:p w14:paraId="26E4AA63" w14:textId="77777777" w:rsidR="00C04533" w:rsidRDefault="00C04533" w:rsidP="00C04533">
      <w:pPr>
        <w:pStyle w:val="TextoNormal"/>
      </w:pPr>
    </w:p>
    <w:p w14:paraId="4CF92091" w14:textId="77777777" w:rsidR="00C04533" w:rsidRDefault="00C04533" w:rsidP="00C04533">
      <w:pPr>
        <w:pStyle w:val="TextoNormalNegritaCentrado"/>
        <w:keepNext/>
      </w:pPr>
      <w:r>
        <w:t>II. Fundamentos jurídicos</w:t>
      </w:r>
    </w:p>
    <w:p w14:paraId="41064018" w14:textId="27D5B7CE" w:rsidR="00C04533" w:rsidRDefault="00C04533" w:rsidP="00C04533">
      <w:pPr>
        <w:pStyle w:val="TextoNormalNegritaCentrado"/>
        <w:keepNext/>
      </w:pPr>
    </w:p>
    <w:p w14:paraId="455B3CC1" w14:textId="77777777" w:rsidR="00C04533" w:rsidRDefault="00C04533" w:rsidP="00C04533">
      <w:pPr>
        <w:pStyle w:val="TextoNormal"/>
      </w:pPr>
      <w:r w:rsidRPr="00C04533">
        <w:rPr>
          <w:rStyle w:val="NumeroAFNegritaCaracter"/>
        </w:rPr>
        <w:t>1</w:t>
      </w:r>
      <w:r>
        <w:t>. Objeto del recurso de súplica</w:t>
      </w:r>
    </w:p>
    <w:p w14:paraId="3FFA55C7" w14:textId="77777777" w:rsidR="00C04533" w:rsidRDefault="00C04533" w:rsidP="00C04533">
      <w:pPr>
        <w:pStyle w:val="TextoNormal"/>
      </w:pPr>
    </w:p>
    <w:p w14:paraId="66B09274" w14:textId="77777777" w:rsidR="00C04533" w:rsidRDefault="00C04533" w:rsidP="00C04533">
      <w:pPr>
        <w:pStyle w:val="TextoNormal"/>
      </w:pPr>
      <w:r>
        <w:t>Como ha quedado expuesto en lo que antecede, el presente recurso de súplica tiene por objeto la providencia de 20 de julio de 2023 por la que esta Sección Segunda acordó la inadmisión del recurso de amparo por no apreciar en el mismo la especial trascendencia constitucional que, como condición para su admisión, requiere el art. 50.1 b) LOTC.</w:t>
      </w:r>
    </w:p>
    <w:p w14:paraId="5CE679A5" w14:textId="77777777" w:rsidR="00C04533" w:rsidRDefault="00C04533" w:rsidP="00C04533">
      <w:pPr>
        <w:pStyle w:val="TextoNormal"/>
      </w:pPr>
    </w:p>
    <w:p w14:paraId="0D5AB50C" w14:textId="77777777" w:rsidR="00C04533" w:rsidRDefault="00C04533" w:rsidP="00C04533">
      <w:pPr>
        <w:pStyle w:val="TextoNormal"/>
      </w:pPr>
      <w:r>
        <w:t>La representante del Ministerio Fiscal ante este tribunal impugna en súplica la decisión de inadmisión acordada tras considerar que, en este caso, los razonamientos que han justificado la decisión de revocación de la suspensión condicional de la pena privativa de libertad impuesta, y los que se han utilizado para ratificarla, expresan una voluntad implícita de no aplicar a la resolución del caso la doctrina establecida en la STC 32/2022, de 7 de marzo, lo que constituiría una de las causas que permiten apreciar la especial trascendencia constitucional de las pretensiones de amparo [STC 155/2009, de 25 de junio, FJ 2 f)], esto es, cuando “un órgano judicial incurra en una negativa manifiesta del deber de acatamiento de la doctrina del Tribunal Constitucional (art. 5 de la Ley Orgánica del Poder Judicial: LOPJ)”.</w:t>
      </w:r>
    </w:p>
    <w:p w14:paraId="138BF5C8" w14:textId="77777777" w:rsidR="00C04533" w:rsidRDefault="00C04533" w:rsidP="00C04533">
      <w:pPr>
        <w:pStyle w:val="TextoNormal"/>
      </w:pPr>
    </w:p>
    <w:p w14:paraId="257B92D8" w14:textId="2A55C626" w:rsidR="00C04533" w:rsidRDefault="00C04533" w:rsidP="00C04533">
      <w:pPr>
        <w:pStyle w:val="TextoNormal"/>
      </w:pPr>
      <w:r>
        <w:t>Tal supuesta negativa se refiere, concretamente, a la doctrina expresada en el específico aspecto que declaró que el derecho a la tutela judicial efectiva (art. 24.1 CE), en relación con el derecho a la libertad (art. 17.1 CE), impone que la decisión judicial de revocación de la suspensión de la ejecución de una pena privativa de libertad, cuando se fundamenta en el incumplimiento de la condición de satisfacer la responsabilidad civil derivada del delito para obtener dicha suspensión, se debe adoptar analizando de modo específico la capacidad económica del penado referida al momento de adoptar la decisión revocatoria, debiendo razonarse sobre el carácter injustificado del impago o sobre si existe una situación de imposibilidad material que lo impida, en cuyo caso no procederá la revocación (FJ 4).</w:t>
      </w:r>
    </w:p>
    <w:p w14:paraId="7C3E3E48" w14:textId="77777777" w:rsidR="00C04533" w:rsidRDefault="00C04533" w:rsidP="00C04533">
      <w:pPr>
        <w:pStyle w:val="TextoNormal"/>
      </w:pPr>
    </w:p>
    <w:p w14:paraId="11F4BCD7" w14:textId="77777777" w:rsidR="00C04533" w:rsidRDefault="00C04533" w:rsidP="00C04533">
      <w:pPr>
        <w:pStyle w:val="TextoNormal"/>
      </w:pPr>
      <w:r w:rsidRPr="00C04533">
        <w:rPr>
          <w:rStyle w:val="NumeroAFNegritaCaracter"/>
        </w:rPr>
        <w:t>2</w:t>
      </w:r>
      <w:r>
        <w:t>. Sobre la concurrencia y apreciación de una negativa manifiesta del deber de acatar la doctrina del Tribunal Constitucional</w:t>
      </w:r>
    </w:p>
    <w:p w14:paraId="31166321" w14:textId="77777777" w:rsidR="00C04533" w:rsidRDefault="00C04533" w:rsidP="00C04533">
      <w:pPr>
        <w:pStyle w:val="TextoNormal"/>
      </w:pPr>
    </w:p>
    <w:p w14:paraId="7AB5074E" w14:textId="77777777" w:rsidR="00C04533" w:rsidRDefault="00C04533" w:rsidP="00C04533">
      <w:pPr>
        <w:pStyle w:val="TextoNormal"/>
      </w:pPr>
      <w:r>
        <w:t>Este tribunal ha declarado reiteradamente (AATC 146/2022, de 14 de noviembre, FJ 2, y 264/2023, de 23 de mayo, FJ 2) que es de su exclusiva competencia apreciar la concurrencia de este requisito en las demandas de amparo. Así, las SSTC 63/2022, de 10 de mayo, FJ 2, y 68/2022, de 2 de junio, FJ 2, declaran que corresponde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w:t>
      </w:r>
    </w:p>
    <w:p w14:paraId="55F9BE1F" w14:textId="77777777" w:rsidR="00C04533" w:rsidRDefault="00C04533" w:rsidP="00C04533">
      <w:pPr>
        <w:pStyle w:val="TextoNormal"/>
      </w:pPr>
    </w:p>
    <w:p w14:paraId="3C18C8CF" w14:textId="77777777" w:rsidR="00C04533" w:rsidRDefault="00C04533" w:rsidP="00C04533">
      <w:pPr>
        <w:pStyle w:val="TextoNormal"/>
      </w:pPr>
      <w:r>
        <w:t>No obstante, planteada como ha sido la concurrencia del requisito de la especial trascendencia constitucional en la demanda de amparo, no puede por menos que traerse a colación, como ya fue tenido en cuenta por esta sección al dictar la providencia que se recurre, la reiterada doctrina constitucional (una de cuyas resoluciones cita la fiscal en su recurso de súplica: ATC 141/2012, de 9 de julio) en torno al significado de la negativa manifiesta como causa de admisión de las pretensiones de amparo. Específicamente hemos reiterado que “la errónea interpretación o aplicación de la jurisprudencia, incluso si fuera objetivable y verificable en este caso concreto, es algo radicalmente distinto a la voluntad manifiesta de no proceder a su aplicación; algo diferente, dicho en otras palabras, a una decisión consciente de soslayarla (en ese sentido, STC 133/2011, de 18 de julio, FJ 3), elemento intencional o volitivo que caracteriza el concreto supuesto de especial trascendencia constitucional que el Ministerio Fiscal invoca” [ATC 264/2023, de 23 de mayo, FJ 2 B)].</w:t>
      </w:r>
    </w:p>
    <w:p w14:paraId="2D136063" w14:textId="77777777" w:rsidR="00C04533" w:rsidRDefault="00C04533" w:rsidP="00C04533">
      <w:pPr>
        <w:pStyle w:val="TextoNormal"/>
      </w:pPr>
    </w:p>
    <w:p w14:paraId="3DB0278C" w14:textId="620E4639" w:rsidR="00C04533" w:rsidRDefault="00C04533" w:rsidP="00C04533">
      <w:pPr>
        <w:pStyle w:val="TextoNormal"/>
      </w:pPr>
      <w:r>
        <w:t>Como expondremos a continuación, dicha actuación resistente del órgano judicial no resulta del análisis de las resoluciones judiciales recurridas en amparo, ni del proceder del órgano judicial, a la vista de la fundamentación de su decisión de acordar y ratificar la revocación de la suspensión condicional de la pena privativa de libertad impuesta.</w:t>
      </w:r>
    </w:p>
    <w:p w14:paraId="6109665D" w14:textId="77777777" w:rsidR="00C04533" w:rsidRDefault="00C04533" w:rsidP="00C04533">
      <w:pPr>
        <w:pStyle w:val="TextoNormal"/>
      </w:pPr>
    </w:p>
    <w:p w14:paraId="6D5C5BEB" w14:textId="77777777" w:rsidR="00C04533" w:rsidRDefault="00C04533" w:rsidP="00C04533">
      <w:pPr>
        <w:pStyle w:val="TextoNormal"/>
      </w:pPr>
      <w:r w:rsidRPr="00C04533">
        <w:rPr>
          <w:rStyle w:val="NumeroAFNegritaCaracter"/>
        </w:rPr>
        <w:t>3</w:t>
      </w:r>
      <w:r>
        <w:t>. Resolución del recurso de súplica</w:t>
      </w:r>
    </w:p>
    <w:p w14:paraId="116A166E" w14:textId="77777777" w:rsidR="00C04533" w:rsidRDefault="00C04533" w:rsidP="00C04533">
      <w:pPr>
        <w:pStyle w:val="TextoNormal"/>
      </w:pPr>
    </w:p>
    <w:p w14:paraId="5D2288FB" w14:textId="77777777" w:rsidR="00C04533" w:rsidRDefault="00C04533" w:rsidP="00C04533">
      <w:pPr>
        <w:pStyle w:val="TextoNormal"/>
      </w:pPr>
      <w:r>
        <w:t>La toma en consideración de la doctrina que ha sido resumida, su puesta en relación con los argumentos sometidos a debate en la vía judicial previa y los razonamientos que justificaron por dos veces la decisión judicial que acordó revocar la suspensión condicional de la ejecución de la pena privativa de libertad impuesta justifican en este caso la desestimación del recurso de súplica promovido por el Ministerio Fiscal. Esta conclusión se apoya en los siguientes datos de hecho y consideraciones:</w:t>
      </w:r>
    </w:p>
    <w:p w14:paraId="123847D8" w14:textId="77777777" w:rsidR="00C04533" w:rsidRDefault="00C04533" w:rsidP="00C04533">
      <w:pPr>
        <w:pStyle w:val="TextoNormal"/>
      </w:pPr>
    </w:p>
    <w:p w14:paraId="682840F4" w14:textId="77777777" w:rsidR="00C04533" w:rsidRDefault="00C04533" w:rsidP="00C04533">
      <w:pPr>
        <w:pStyle w:val="TextoNormal"/>
      </w:pPr>
      <w:r>
        <w:t>a) En el caso presente, mediante auto de 1 de octubre de 2019, el tribunal sentenciador acordó suspender la ejecución de la pena privativa de libertad de una año y seis meses de duración impuesta al penado, que fue declarado autor de un delito de apropiación indebida por hechos ocurridos a partir del año 2007. La condena a pena de prisión llevaba aparejada además la obligación de pago de algo más de 33 800 €, así como de otros cantidades que debían fijarse en ejecución de sentencia. La condición suspensiva era doble: no cometer nuevo delito en el plazo de dos años y satisfacer la responsabilidad civil declarada mediante un pago mensual de 1000 €.</w:t>
      </w:r>
    </w:p>
    <w:p w14:paraId="14D37261" w14:textId="77777777" w:rsidR="00C04533" w:rsidRDefault="00C04533" w:rsidP="00C04533">
      <w:pPr>
        <w:pStyle w:val="TextoNormal"/>
      </w:pPr>
    </w:p>
    <w:p w14:paraId="103A742C" w14:textId="77777777" w:rsidR="00C04533" w:rsidRDefault="00C04533" w:rsidP="00C04533">
      <w:pPr>
        <w:pStyle w:val="TextoNormal"/>
      </w:pPr>
      <w:r>
        <w:t>b) Denunciado ya en 2020 que, durante el primer año de suspensión, el recurrente de amparo había dejado de cumplir en varias ocasiones la obligación mensual de pago, el tribunal, atendido los efectos económicos de la pandemia por covid19 iniciada en los primeros meses de ese mismo año, acordó prorrogar por un período de un año más la obligación de pago mensual, decisión que fue aceptada por las partes. De nuevo, en el segundo semestre de 2022 la acusación particular solicitó la revocación de la suspensión acordada aduciendo el incumplimiento reiterado de la obligación mensual de pago de la responsabilidad civil (seis meses del año 2022). Tal circunstancia dio lugar, tras oír al penado sobre la justificación de dichos incumplimientos, a decretar, por auto de 24 de enero de 2023, ratificado el siguiente 28 de febrero de 2023, la revocación de la suspensión de la pena.</w:t>
      </w:r>
    </w:p>
    <w:p w14:paraId="4360CA49" w14:textId="77777777" w:rsidR="00C04533" w:rsidRDefault="00C04533" w:rsidP="00C04533">
      <w:pPr>
        <w:pStyle w:val="TextoNormal"/>
      </w:pPr>
    </w:p>
    <w:p w14:paraId="660CA5EE" w14:textId="77777777" w:rsidR="00C04533" w:rsidRDefault="00C04533" w:rsidP="00C04533">
      <w:pPr>
        <w:pStyle w:val="TextoNormal"/>
      </w:pPr>
      <w:r>
        <w:t>c) Al justificar su decisión el órgano judicial provincial tomó en consideración la reiteración del impago y las razones que, según expuso el penado al formular alegaciones, lo habían provocado, que no eran sino la falta de capacidad económica sobrevenida por razones de índole familiar. En tal aspecto, el demandante de amparo puso de relieve al tribunal sentenciador lo que entendía como una necesidad prioritaria de pago que derivaba de sus circunstancias familiares ya que era progenitor de dos hijas en edad escolar “con los gastos que ello conlleva para el desarrollo de la vida familiar —educación, vivienda, alimentación, etc.—”, obligaciones de gasto que se habrían visto perjudicadas por el hecho de que su cónyuge había perdido su empleo, circunstancia por la que cobraba una prestación pública.</w:t>
      </w:r>
    </w:p>
    <w:p w14:paraId="42AC9E83" w14:textId="77777777" w:rsidR="00C04533" w:rsidRDefault="00C04533" w:rsidP="00C04533">
      <w:pPr>
        <w:pStyle w:val="TextoNormal"/>
      </w:pPr>
    </w:p>
    <w:p w14:paraId="3190129D" w14:textId="77777777" w:rsidR="00C04533" w:rsidRDefault="00C04533" w:rsidP="00C04533">
      <w:pPr>
        <w:pStyle w:val="TextoNormal"/>
      </w:pPr>
      <w:r>
        <w:t>La Sección Décima de la Audiencia Provincial de Barcelona apreció que dicha merma parcial de ingresos, así como la supuesta prioridad de pago aducida y las razones que justificaban sus reiterados impagos mensuales suponían también un incumplimiento injustificado de su compromiso de pago; compromiso adquirido para evitar la ejecución de la pena privativa de libertad impuesta.</w:t>
      </w:r>
    </w:p>
    <w:p w14:paraId="11303A85" w14:textId="77777777" w:rsidR="00C04533" w:rsidRDefault="00C04533" w:rsidP="00C04533">
      <w:pPr>
        <w:pStyle w:val="TextoNormal"/>
      </w:pPr>
    </w:p>
    <w:p w14:paraId="2BD8A72F" w14:textId="77777777" w:rsidR="00C04533" w:rsidRDefault="00C04533" w:rsidP="00C04533">
      <w:pPr>
        <w:pStyle w:val="TextoNormal"/>
      </w:pPr>
      <w:r>
        <w:t>En tal medida razonó que “la falta de solvencia económica sobrevenida del condenado, esto es en el momento actual; en modo alguno puede fundamentar su impago con el correlativo goce del beneficio de la suspensión, pues ello supondría tanto como trasladar los riesgos económicos sobre el devenir y vicisitudes futuras con relación al importe defraudado al patrimonio del perjudicado/víctima, que ni tan siquiera tendría poder de disposición de dichas cantidades ni tomaría ninguna decisión sobre su destino futuro”, añadiendo que “las nuevas vicisitudes económicas familiares del penado no pueden volver a ser obstáculo para el impago de la deuda, pues sería tanto como que el perjudicado se hallase siempre al albur del devenir o circunstancias económicas por las que fuese atravesando el señor Sala. Es por ello que, en dicha actitud ininterrumpida y continuada del penado relativa al pago de la responsabilidad civil debe ser valorada, a la hora de determinar la revocación de la suspensión de la pena, como elemento sugestivo de pronóstico desfavorable de su conducta futura, pues quien aspira a que su responsabilidad penal no se ejecute, bajo el compromiso de adecuar su conducta futura a la norma o compromiso, debe hacer todo lo posible por reparar la totalidad del daño causado, con su comportamiento”.</w:t>
      </w:r>
    </w:p>
    <w:p w14:paraId="5F292FDC" w14:textId="77777777" w:rsidR="00C04533" w:rsidRDefault="00C04533" w:rsidP="00C04533">
      <w:pPr>
        <w:pStyle w:val="TextoNormal"/>
      </w:pPr>
    </w:p>
    <w:p w14:paraId="46209724" w14:textId="77777777" w:rsidR="00C04533" w:rsidRDefault="00C04533" w:rsidP="00C04533">
      <w:pPr>
        <w:pStyle w:val="TextoNormal"/>
      </w:pPr>
      <w:r>
        <w:t>d) En definitiva, el tribunal responsable de la ejecución de la pena no operó con un automatismo desconsiderado hacia las circunstancias del caso específico, sino que tuvo en cuenta tanto la fecha de los hechos que dieron lugar a la condena (a partir de 2007), las fechas de inicio del proceso penal (en 2012) y de condena (en 2018), así como la fecha de la decisión de suspensión de la ejecución de la pena (2019), para apreciar la ausencia de una voluntad suficiente de pago de la responsabilidad decretada, en tanto en cuanto, en las alegaciones del penado, el cumplimiento de la obligación de mensual de pago de la responsabilidad civil quedaba supeditado subjetivamente a las necesidades prioritarias de pago de las obligaciones familiares del penado; razón ésta que la Sala no consideró suficientemente justificativa del incumplimiento.</w:t>
      </w:r>
    </w:p>
    <w:p w14:paraId="6E555B32" w14:textId="77777777" w:rsidR="00C04533" w:rsidRDefault="00C04533" w:rsidP="00C04533">
      <w:pPr>
        <w:pStyle w:val="TextoNormal"/>
      </w:pPr>
    </w:p>
    <w:p w14:paraId="5F3D663B" w14:textId="77777777" w:rsidR="00C04533" w:rsidRDefault="00C04533" w:rsidP="00C04533">
      <w:pPr>
        <w:pStyle w:val="TextoNormal"/>
      </w:pPr>
      <w:r>
        <w:t>En definitiva, cualquiera que sea el grado de coincidencia que se mantenga con el razonamiento expuesto (relativo a un supuesto de hecho que presenta circunstancias distintas a las analizadas en los casos que dieron lugar a las SSTC 32/2022, de 07 de marzo; 132/2022, de 24 de octubre; 184/2023, de 11 de diciembre; 39/2024, de 11 de marzo; 70/2024, de 06 de mayo; 78/2024, de 20 de mayo, y 122/2024, de 21 de octubre), la decisión de revocación adoptada viene asociada al incumplimiento parcial (pero reiterado) de la obligación de pago comprometida, y ha sido adoptada después de valorar de modo específico la capacidad económica del penado referida al momento de adoptar la decisión revocatoria, razonando sobre el carácter no suficientemente justificado del impago, y rechazando que exista una situación de imposibilidad material insuperable que lo impida. Esta valoración impide apreciar la existencia de una voluntad explícita o implícita de eludir el deber de acatamiento de la doctrina del Tribunal Constitucional que ha sido alegada.</w:t>
      </w:r>
    </w:p>
    <w:p w14:paraId="60B3273D" w14:textId="77777777" w:rsidR="00C04533" w:rsidRDefault="00C04533" w:rsidP="00C04533">
      <w:pPr>
        <w:pStyle w:val="TextoNormal"/>
      </w:pPr>
    </w:p>
    <w:p w14:paraId="2B9DE1AF" w14:textId="7EFEF8FF" w:rsidR="00C04533" w:rsidRDefault="00C04533" w:rsidP="00C04533">
      <w:pPr>
        <w:pStyle w:val="TextoNormal"/>
      </w:pPr>
      <w:r>
        <w:t>Cabe concluir, por tanto, que procede desestimar el recurso de súplica interpuesto por el Ministerio Fiscal y ratificar la providencia de 20 de julio de 2023 que acordó la inadmisión a trámite del presente recurso de amparo presentado por el demandante.</w:t>
      </w:r>
    </w:p>
    <w:p w14:paraId="11A16507" w14:textId="77777777" w:rsidR="00C04533" w:rsidRDefault="00C04533" w:rsidP="00C04533">
      <w:pPr>
        <w:pStyle w:val="TextoNormal"/>
      </w:pPr>
    </w:p>
    <w:p w14:paraId="243D1908" w14:textId="77777777" w:rsidR="00C04533" w:rsidRDefault="00C04533" w:rsidP="00C04533">
      <w:pPr>
        <w:pStyle w:val="TextoNormal"/>
      </w:pPr>
      <w:r>
        <w:t>Por lo expuesto, la Sección</w:t>
      </w:r>
    </w:p>
    <w:p w14:paraId="56849F94" w14:textId="38EAD6BE" w:rsidR="00C04533" w:rsidRDefault="00C04533" w:rsidP="00C04533">
      <w:pPr>
        <w:pStyle w:val="TextoNormal"/>
      </w:pPr>
    </w:p>
    <w:p w14:paraId="1A240EAB" w14:textId="77777777" w:rsidR="00C04533" w:rsidRDefault="00C04533" w:rsidP="00C04533">
      <w:pPr>
        <w:pStyle w:val="TextoNormalCentrado"/>
      </w:pPr>
      <w:r>
        <w:t>ACUERDA</w:t>
      </w:r>
    </w:p>
    <w:p w14:paraId="5C93B158" w14:textId="29075A68" w:rsidR="00C04533" w:rsidRDefault="00C04533" w:rsidP="00C04533">
      <w:pPr>
        <w:pStyle w:val="TextoNormalCentrado"/>
      </w:pPr>
    </w:p>
    <w:p w14:paraId="5FC5E226" w14:textId="4581BA06" w:rsidR="00C04533" w:rsidRDefault="00C04533" w:rsidP="00C04533">
      <w:pPr>
        <w:pStyle w:val="TextoNormal"/>
      </w:pPr>
      <w:r>
        <w:t>Desestimar el recurso de súplica interpuesto por el Ministerio Fiscal y, en consecuencia, ratificar la providencia de 20 de julio de 2023 que ha sido impugnada.</w:t>
      </w:r>
    </w:p>
    <w:p w14:paraId="19D5EEB0" w14:textId="77777777" w:rsidR="00C04533" w:rsidRDefault="00C04533" w:rsidP="00C04533">
      <w:pPr>
        <w:pStyle w:val="TextoNormal"/>
      </w:pPr>
    </w:p>
    <w:p w14:paraId="1CD76F60" w14:textId="77777777" w:rsidR="00C04533" w:rsidRDefault="00C04533" w:rsidP="00C04533">
      <w:pPr>
        <w:pStyle w:val="TextoNormal"/>
      </w:pPr>
      <w:r>
        <w:t>Madrid, a veinte de noviembre de dos mil veinticuatro.</w:t>
      </w:r>
    </w:p>
    <w:p w14:paraId="7C685233" w14:textId="49266F8E" w:rsidR="00C04533" w:rsidRDefault="00C04533">
      <w:pPr>
        <w:spacing w:after="160" w:line="278" w:lineRule="auto"/>
        <w:rPr>
          <w:rFonts w:ascii="Times New Roman" w:eastAsia="Times New Roman" w:hAnsi="Times New Roman" w:cs="Times New Roman"/>
          <w:sz w:val="24"/>
          <w:szCs w:val="24"/>
          <w:lang w:eastAsia="es-ES"/>
        </w:rPr>
      </w:pPr>
      <w:r>
        <w:br w:type="page"/>
      </w:r>
    </w:p>
    <w:p w14:paraId="5364C343" w14:textId="77777777" w:rsidR="00C04533" w:rsidRDefault="00C04533" w:rsidP="00C04533">
      <w:pPr>
        <w:pStyle w:val="TtuloResolucin"/>
      </w:pPr>
      <w:bookmarkStart w:id="155" w:name="AUTO_2024_149"/>
      <w:r>
        <w:t>AUTO 149/2024, de 20 de noviembre de 2024</w:t>
      </w:r>
    </w:p>
    <w:bookmarkEnd w:id="155"/>
    <w:p w14:paraId="3698E636" w14:textId="77777777" w:rsidR="00C04533" w:rsidRDefault="00C04533" w:rsidP="00C04533">
      <w:pPr>
        <w:pStyle w:val="TtuloResolucin"/>
      </w:pPr>
      <w:r>
        <w:t>Sección Segunda</w:t>
      </w:r>
    </w:p>
    <w:p w14:paraId="54934615" w14:textId="77777777" w:rsidR="00C04533" w:rsidRDefault="00C04533" w:rsidP="00C04533">
      <w:pPr>
        <w:pStyle w:val="TextoNormalCentrado"/>
      </w:pPr>
      <w:r>
        <w:t>ECLI:ES:TC:2024:149A</w:t>
      </w:r>
    </w:p>
    <w:p w14:paraId="6418E2AE" w14:textId="29BD0C72" w:rsidR="00C04533" w:rsidRDefault="00C04533" w:rsidP="00C04533">
      <w:pPr>
        <w:pStyle w:val="TextoNormalCentrado"/>
      </w:pPr>
    </w:p>
    <w:p w14:paraId="538766EF" w14:textId="77777777" w:rsidR="00C04533" w:rsidRDefault="00C04533" w:rsidP="00C04533">
      <w:pPr>
        <w:pStyle w:val="SntesisDescriptiva"/>
      </w:pPr>
      <w:r>
        <w:t>Excms. Srs. don Ricardo Enríquez Sancho y don José María Macías Castaño.</w:t>
      </w:r>
    </w:p>
    <w:p w14:paraId="4721D94E" w14:textId="789A53A2" w:rsidR="00C04533" w:rsidRDefault="00C04533" w:rsidP="00C04533">
      <w:pPr>
        <w:pStyle w:val="SntesisDescriptiva"/>
      </w:pPr>
    </w:p>
    <w:p w14:paraId="060AD905" w14:textId="77777777" w:rsidR="00C04533" w:rsidRDefault="00C04533" w:rsidP="00C04533">
      <w:pPr>
        <w:pStyle w:val="SntesisDescriptiva"/>
      </w:pPr>
      <w:r>
        <w:t>Acepta una abstención en el recurso de amparo 7674-2023 promovido en proceso contencioso-administrativo.</w:t>
      </w:r>
    </w:p>
    <w:p w14:paraId="723CDE12" w14:textId="24204BDB" w:rsidR="00C04533" w:rsidRDefault="00C04533" w:rsidP="00C04533">
      <w:pPr>
        <w:pStyle w:val="SntesisDescriptiva"/>
      </w:pPr>
    </w:p>
    <w:p w14:paraId="13BDEE54" w14:textId="77777777" w:rsidR="00C04533" w:rsidRDefault="00C04533" w:rsidP="00C04533">
      <w:pPr>
        <w:pStyle w:val="SntesisDescriptiva"/>
      </w:pPr>
    </w:p>
    <w:p w14:paraId="0189885E" w14:textId="77777777" w:rsidR="00C04533" w:rsidRDefault="00C04533" w:rsidP="00C04533">
      <w:pPr>
        <w:pStyle w:val="SntesisDescriptiva"/>
      </w:pPr>
    </w:p>
    <w:p w14:paraId="464BF151" w14:textId="77777777" w:rsidR="00C04533" w:rsidRDefault="00C04533" w:rsidP="00C04533">
      <w:pPr>
        <w:pStyle w:val="TextoNormalNegritaCentrado"/>
      </w:pPr>
      <w:r>
        <w:t>AUTO</w:t>
      </w:r>
    </w:p>
    <w:p w14:paraId="38F989D4" w14:textId="58295FC5" w:rsidR="00C04533" w:rsidRDefault="00C04533" w:rsidP="00C04533">
      <w:pPr>
        <w:pStyle w:val="TextoNormalNegritaCentrado"/>
      </w:pPr>
    </w:p>
    <w:p w14:paraId="5E5A0336" w14:textId="77777777" w:rsidR="00C04533" w:rsidRDefault="00C04533" w:rsidP="00C04533">
      <w:pPr>
        <w:pStyle w:val="TextoNormalNegritaCentrado"/>
        <w:keepNext/>
      </w:pPr>
      <w:r>
        <w:t>I. Antecedentes</w:t>
      </w:r>
    </w:p>
    <w:p w14:paraId="74676808" w14:textId="3E0EF1AB" w:rsidR="00C04533" w:rsidRDefault="00C04533" w:rsidP="00C04533">
      <w:pPr>
        <w:pStyle w:val="TextoNormalNegritaCentrado"/>
        <w:keepNext/>
      </w:pPr>
    </w:p>
    <w:p w14:paraId="7EF6E715" w14:textId="24060E8C" w:rsidR="00C04533" w:rsidRDefault="00C04533" w:rsidP="00C04533">
      <w:pPr>
        <w:pStyle w:val="TextoNormal"/>
      </w:pPr>
      <w:r w:rsidRPr="00C04533">
        <w:rPr>
          <w:rStyle w:val="NumeroAFNegritaCaracter"/>
        </w:rPr>
        <w:t>1</w:t>
      </w:r>
      <w:r>
        <w:t>. Por escrito fechado el día 19 de noviembre de 2024, el magistrado don Juan Carlos Campo Moreno comunicó al magistrado presidente de la Sección Segunda, a los efectos oportunos, su voluntad de abstenerse de intervenir en el conocimiento del recurso de amparo núm. 7674-2023.</w:t>
      </w:r>
    </w:p>
    <w:p w14:paraId="2DE9D33F" w14:textId="77777777" w:rsidR="00C04533" w:rsidRDefault="00C04533" w:rsidP="00C04533">
      <w:pPr>
        <w:pStyle w:val="TextoNormal"/>
      </w:pPr>
    </w:p>
    <w:p w14:paraId="5834456D" w14:textId="1FC636AB" w:rsidR="00C04533" w:rsidRDefault="00C04533" w:rsidP="00C04533">
      <w:pPr>
        <w:pStyle w:val="TextoNormal"/>
      </w:pPr>
      <w:r w:rsidRPr="00C04533">
        <w:rPr>
          <w:rStyle w:val="NumeroAFNegritaCaracter"/>
        </w:rPr>
        <w:t>2</w:t>
      </w:r>
      <w:r>
        <w:t>. La solicitud de abstención se vincula a la participación del magistrado, en su anterior condición de ministro de Justicia, en la tramitación y aprobación por el Consejo de Ministros, del que formó parte, de la propuestas motivadas de indulto parcial y condicionado por razones de utilidad pública, en relación con la parte de las penas privativas de libertad que restaba por extinguir a diversas personas, entre ellas a don Joaquim Forn i Chiarello (Real Decreto 459/2021, de 22 de junio).</w:t>
      </w:r>
    </w:p>
    <w:p w14:paraId="3CD475C0" w14:textId="77777777" w:rsidR="00C04533" w:rsidRDefault="00C04533" w:rsidP="00C04533">
      <w:pPr>
        <w:pStyle w:val="TextoNormal"/>
      </w:pPr>
    </w:p>
    <w:p w14:paraId="39F6755F" w14:textId="77777777" w:rsidR="00C04533" w:rsidRDefault="00C04533" w:rsidP="00C04533">
      <w:pPr>
        <w:pStyle w:val="TextoNormalNegritaCentrado"/>
        <w:keepNext/>
      </w:pPr>
      <w:r>
        <w:t>II. Fundamentos jurídicos</w:t>
      </w:r>
    </w:p>
    <w:p w14:paraId="10C1FEDF" w14:textId="7D5B7DCF" w:rsidR="00C04533" w:rsidRDefault="00C04533" w:rsidP="00C04533">
      <w:pPr>
        <w:pStyle w:val="TextoNormalNegritaCentrado"/>
        <w:keepNext/>
      </w:pPr>
    </w:p>
    <w:p w14:paraId="03C15625" w14:textId="77777777" w:rsidR="00C04533" w:rsidRDefault="00C04533" w:rsidP="00C04533">
      <w:pPr>
        <w:pStyle w:val="TextoNormal"/>
      </w:pPr>
      <w:r w:rsidRPr="00C04533">
        <w:rPr>
          <w:rStyle w:val="TextoNormalNegritaCaracter"/>
        </w:rPr>
        <w:t xml:space="preserve">Único. </w:t>
      </w:r>
      <w:r>
        <w:t>Visto el contenido de la comunicación efectuada por el magistrado don Juan Carlos Campo Moreno, en virtud de lo previsto en los arts. 80 de la Ley Orgánica del Tribunal Constitucional y 221.4 de la Ley Orgánica del Poder Judicial, se estima justificada la causa de abstención formulada con base en el art. 219.13 de esta última ley orgánica, esto es, “[h]aber ocupado cargo público, desempeñado empleo o ejercido profesión con ocasión de los cuales haya participado directa o indirectamente en el asunto objeto del pleito o causa o en otro relacionado con el mismo”.</w:t>
      </w:r>
    </w:p>
    <w:p w14:paraId="7FEA4E0E" w14:textId="77777777" w:rsidR="00C04533" w:rsidRDefault="00C04533" w:rsidP="00C04533">
      <w:pPr>
        <w:pStyle w:val="TextoNormal"/>
      </w:pPr>
    </w:p>
    <w:p w14:paraId="29BE1F1B" w14:textId="3B7F255A" w:rsidR="00C04533" w:rsidRDefault="00C04533" w:rsidP="00C04533">
      <w:pPr>
        <w:pStyle w:val="TextoNormal"/>
      </w:pPr>
      <w:r>
        <w:t>Según ha indicado en su propuesta, en su anterior condición de ministro de Justicia el magistrado señor Campo Moreno formó parte del Consejo de Ministros que aprobó el Real Decreto núm. 459/2021, de 22 de junio (“Boletín Oficial del Estado” de 23 de junio de 2021), por el que se concedió al señor Forn i Chiarello indulto parcial y condicionado por razones de utilidad pública, en relación con la parte de las penas privativas de libertad que restaba por extinguir. La declaración judicial de finalización del recurso contencioso administrativo en el que se impugnaba dicho indulto es el objeto del presente recurso de amparo. En tal medida, procede estimar justificada la abstención formulada.</w:t>
      </w:r>
    </w:p>
    <w:p w14:paraId="09E403BE" w14:textId="77777777" w:rsidR="00C04533" w:rsidRDefault="00C04533" w:rsidP="00C04533">
      <w:pPr>
        <w:pStyle w:val="TextoNormal"/>
      </w:pPr>
    </w:p>
    <w:p w14:paraId="4C380B8D" w14:textId="77777777" w:rsidR="00C04533" w:rsidRDefault="00C04533" w:rsidP="00C04533">
      <w:pPr>
        <w:pStyle w:val="TextoNormal"/>
      </w:pPr>
      <w:r>
        <w:t>Por lo expuesto, la Sección</w:t>
      </w:r>
    </w:p>
    <w:p w14:paraId="6CC35834" w14:textId="1D1BBD40" w:rsidR="00C04533" w:rsidRDefault="00C04533" w:rsidP="00C04533">
      <w:pPr>
        <w:pStyle w:val="TextoNormal"/>
      </w:pPr>
    </w:p>
    <w:p w14:paraId="2B467A4F" w14:textId="77777777" w:rsidR="00C04533" w:rsidRDefault="00C04533" w:rsidP="00C04533">
      <w:pPr>
        <w:pStyle w:val="TextoNormalCentrado"/>
      </w:pPr>
      <w:r>
        <w:t>ACUERDA</w:t>
      </w:r>
    </w:p>
    <w:p w14:paraId="5D1DA70A" w14:textId="559E0C30" w:rsidR="00C04533" w:rsidRDefault="00C04533" w:rsidP="00C04533">
      <w:pPr>
        <w:pStyle w:val="TextoNormalCentrado"/>
      </w:pPr>
    </w:p>
    <w:p w14:paraId="74167569" w14:textId="77777777" w:rsidR="00C04533" w:rsidRDefault="00C04533" w:rsidP="00C04533">
      <w:pPr>
        <w:pStyle w:val="TextoNormal"/>
      </w:pPr>
      <w:r>
        <w:t>Estimar justificada la abstención formulada por el magistrado don Juan Carlos Campo Moreno, apartándole definitivamente del conocimiento del recurso de amparo núm. 7674-2023.</w:t>
      </w:r>
    </w:p>
    <w:p w14:paraId="3950A0E0" w14:textId="77777777" w:rsidR="00C04533" w:rsidRDefault="00C04533" w:rsidP="00C04533">
      <w:pPr>
        <w:pStyle w:val="TextoNormal"/>
      </w:pPr>
    </w:p>
    <w:p w14:paraId="1051E064" w14:textId="65388AD6" w:rsidR="00C04533" w:rsidRDefault="00C04533" w:rsidP="00C04533">
      <w:pPr>
        <w:pStyle w:val="TextoNormal"/>
      </w:pPr>
      <w:r>
        <w:t>Notifíquese a las partes.</w:t>
      </w:r>
    </w:p>
    <w:p w14:paraId="57AA649A" w14:textId="77777777" w:rsidR="00C04533" w:rsidRDefault="00C04533" w:rsidP="00C04533">
      <w:pPr>
        <w:pStyle w:val="TextoNormal"/>
      </w:pPr>
    </w:p>
    <w:p w14:paraId="3FA08FD8" w14:textId="77777777" w:rsidR="00C04533" w:rsidRDefault="00C04533" w:rsidP="00C04533">
      <w:pPr>
        <w:pStyle w:val="TextoNormal"/>
      </w:pPr>
      <w:r>
        <w:t>Madrid, a veinte de noviembre de dos mil veinticuatro.</w:t>
      </w:r>
    </w:p>
    <w:p w14:paraId="615F3D06" w14:textId="1DB4F828" w:rsidR="00C04533" w:rsidRDefault="00C04533">
      <w:pPr>
        <w:spacing w:after="160" w:line="278" w:lineRule="auto"/>
        <w:rPr>
          <w:rFonts w:ascii="Times New Roman" w:eastAsia="Times New Roman" w:hAnsi="Times New Roman" w:cs="Times New Roman"/>
          <w:sz w:val="24"/>
          <w:szCs w:val="24"/>
          <w:lang w:eastAsia="es-ES"/>
        </w:rPr>
      </w:pPr>
      <w:r>
        <w:br w:type="page"/>
      </w:r>
    </w:p>
    <w:p w14:paraId="2617F9A9" w14:textId="77777777" w:rsidR="00C04533" w:rsidRDefault="00C04533" w:rsidP="00C04533">
      <w:pPr>
        <w:pStyle w:val="TtuloResolucin"/>
      </w:pPr>
      <w:bookmarkStart w:id="156" w:name="AUTO_2024_150"/>
      <w:r>
        <w:t>AUTO 150/2024, de 27 de noviembre de 2024</w:t>
      </w:r>
    </w:p>
    <w:bookmarkEnd w:id="156"/>
    <w:p w14:paraId="278E53C9" w14:textId="77777777" w:rsidR="00C04533" w:rsidRDefault="00C04533" w:rsidP="00C04533">
      <w:pPr>
        <w:pStyle w:val="TtuloResolucin"/>
      </w:pPr>
      <w:r>
        <w:t>Sección Primera</w:t>
      </w:r>
    </w:p>
    <w:p w14:paraId="56961CD5" w14:textId="77777777" w:rsidR="00C04533" w:rsidRDefault="00C04533" w:rsidP="00C04533">
      <w:pPr>
        <w:pStyle w:val="TextoNormalCentrado"/>
      </w:pPr>
      <w:r>
        <w:t>ECLI:ES:TC:2024:150A</w:t>
      </w:r>
    </w:p>
    <w:p w14:paraId="654D5E62" w14:textId="642ABCB3" w:rsidR="00C04533" w:rsidRDefault="00C04533" w:rsidP="00C04533">
      <w:pPr>
        <w:pStyle w:val="TextoNormalCentrado"/>
      </w:pPr>
    </w:p>
    <w:p w14:paraId="74EB0036" w14:textId="77777777" w:rsidR="00C04533" w:rsidRDefault="00C04533" w:rsidP="00C04533">
      <w:pPr>
        <w:pStyle w:val="SntesisDescriptiva"/>
      </w:pPr>
      <w:r>
        <w:t>Excms. Srs. doña Concepción Espejel Jorquera y doña María Luisa Segoviano Astaburuaga.</w:t>
      </w:r>
    </w:p>
    <w:p w14:paraId="70399F0E" w14:textId="6D97D59E" w:rsidR="00C04533" w:rsidRDefault="00C04533" w:rsidP="00C04533">
      <w:pPr>
        <w:pStyle w:val="SntesisDescriptiva"/>
      </w:pPr>
    </w:p>
    <w:p w14:paraId="636FA1D9" w14:textId="77777777" w:rsidR="00C04533" w:rsidRDefault="00C04533" w:rsidP="00C04533">
      <w:pPr>
        <w:pStyle w:val="SntesisDescriptiva"/>
      </w:pPr>
      <w:r>
        <w:t>Acepta una abstención en el recurso de amparo 5910-2024 promovido en proceso militar.</w:t>
      </w:r>
    </w:p>
    <w:p w14:paraId="304F438B" w14:textId="6BDEF526" w:rsidR="00C04533" w:rsidRDefault="00C04533" w:rsidP="00C04533">
      <w:pPr>
        <w:pStyle w:val="SntesisDescriptiva"/>
      </w:pPr>
    </w:p>
    <w:p w14:paraId="53379A39" w14:textId="77777777" w:rsidR="00C04533" w:rsidRDefault="00C04533" w:rsidP="00C04533">
      <w:pPr>
        <w:pStyle w:val="SntesisDescriptiva"/>
      </w:pPr>
    </w:p>
    <w:p w14:paraId="69833A3C" w14:textId="77777777" w:rsidR="00C04533" w:rsidRDefault="00C04533" w:rsidP="00C04533">
      <w:pPr>
        <w:pStyle w:val="SntesisDescriptiva"/>
      </w:pPr>
    </w:p>
    <w:p w14:paraId="1A579747" w14:textId="77777777" w:rsidR="00C04533" w:rsidRDefault="00C04533" w:rsidP="00C04533">
      <w:pPr>
        <w:pStyle w:val="TextoNormalNegritaCentrado"/>
      </w:pPr>
      <w:r>
        <w:t>AUTO</w:t>
      </w:r>
    </w:p>
    <w:p w14:paraId="7B0BD2D2" w14:textId="0FA3CF62" w:rsidR="00C04533" w:rsidRDefault="00C04533" w:rsidP="00C04533">
      <w:pPr>
        <w:pStyle w:val="TextoNormalNegritaCentrado"/>
      </w:pPr>
    </w:p>
    <w:p w14:paraId="0200F2D3" w14:textId="77777777" w:rsidR="00C04533" w:rsidRDefault="00C04533" w:rsidP="00C04533">
      <w:pPr>
        <w:pStyle w:val="TextoNormalNegritaCentrado"/>
        <w:keepNext/>
      </w:pPr>
      <w:r>
        <w:t>I. Antecedentes</w:t>
      </w:r>
    </w:p>
    <w:p w14:paraId="75C556ED" w14:textId="2EA4C406" w:rsidR="00C04533" w:rsidRDefault="00C04533" w:rsidP="00C04533">
      <w:pPr>
        <w:pStyle w:val="TextoNormalNegritaCentrado"/>
        <w:keepNext/>
      </w:pPr>
    </w:p>
    <w:p w14:paraId="60B93454" w14:textId="77777777" w:rsidR="00C04533" w:rsidRDefault="00C04533" w:rsidP="00C04533">
      <w:pPr>
        <w:pStyle w:val="TextoNormal"/>
      </w:pPr>
      <w:r w:rsidRPr="00C04533">
        <w:rPr>
          <w:rStyle w:val="TextoNormalNegritaCaracter"/>
        </w:rPr>
        <w:t xml:space="preserve">Único. </w:t>
      </w:r>
      <w:r>
        <w:t>En el recurso de amparo núm. 5910-2024 se impugna la sentencia núm. 15/2024, de 10 de abril, dictada por la Sala de lo Militar del Tribunal Supremo que, desestimando el recurso contencioso-disciplinario interpuesto por el ahora demandante de amparo, confirmó la resolución de la Excma. Sra. ministra de Defensa de 29 de junio de 2023, por la que se acordó inadmitir su solicitud de suspensión de la ejecución de la sanción de separación del servicio impuesta en el expediente disciplinario 3-2022.</w:t>
      </w:r>
    </w:p>
    <w:p w14:paraId="32951AEE" w14:textId="77777777" w:rsidR="00C04533" w:rsidRDefault="00C04533" w:rsidP="00C04533">
      <w:pPr>
        <w:pStyle w:val="TextoNormal"/>
      </w:pPr>
    </w:p>
    <w:p w14:paraId="39CE8C2C" w14:textId="32247CB8" w:rsidR="00C04533" w:rsidRDefault="00C04533" w:rsidP="00C04533">
      <w:pPr>
        <w:pStyle w:val="TextoNormal"/>
      </w:pPr>
      <w:r>
        <w:t>Mediante escrito de 26 de noviembre de 2024, don Cándido Conde-Pumpido Tourón, presidente de la Sección Primera,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14:paraId="49BC7282" w14:textId="77777777" w:rsidR="00C04533" w:rsidRDefault="00C04533" w:rsidP="00C04533">
      <w:pPr>
        <w:pStyle w:val="TextoNormal"/>
      </w:pPr>
    </w:p>
    <w:p w14:paraId="16B85C0F" w14:textId="77777777" w:rsidR="00C04533" w:rsidRDefault="00C04533" w:rsidP="00C04533">
      <w:pPr>
        <w:pStyle w:val="TextoNormalNegritaCentrado"/>
        <w:keepNext/>
      </w:pPr>
      <w:r>
        <w:t>II. Fundamentos jurídicos</w:t>
      </w:r>
    </w:p>
    <w:p w14:paraId="539D5717" w14:textId="5622F907" w:rsidR="00C04533" w:rsidRDefault="00C04533" w:rsidP="00C04533">
      <w:pPr>
        <w:pStyle w:val="TextoNormalNegritaCentrado"/>
        <w:keepNext/>
      </w:pPr>
    </w:p>
    <w:p w14:paraId="6282EA06" w14:textId="13B85636" w:rsidR="00C04533" w:rsidRDefault="00C04533" w:rsidP="00C04533">
      <w:pPr>
        <w:pStyle w:val="TextoNormal"/>
      </w:pPr>
      <w:r w:rsidRPr="00C04533">
        <w:rPr>
          <w:rStyle w:val="TextoNormalNegritaCaracter"/>
        </w:rPr>
        <w:t xml:space="preserve">Único. </w:t>
      </w:r>
      <w:r>
        <w:t>Vista la comunicación efectuada por don Cándido Conde-Pumpido Tourón, presidente de esta Sección Primera del Tribunal Constitucional, la Sección, en virtud de lo previsto en el art. 219.15 LOPJ, supletoria de la LOTC (art. 80), estima justificada la causa de abstención formulada.</w:t>
      </w:r>
    </w:p>
    <w:p w14:paraId="436D013D" w14:textId="77777777" w:rsidR="00C04533" w:rsidRDefault="00C04533" w:rsidP="00C04533">
      <w:pPr>
        <w:pStyle w:val="TextoNormal"/>
      </w:pPr>
    </w:p>
    <w:p w14:paraId="30D1EF23" w14:textId="77777777" w:rsidR="00C04533" w:rsidRDefault="00C04533" w:rsidP="00C04533">
      <w:pPr>
        <w:pStyle w:val="TextoNormal"/>
      </w:pPr>
      <w:r>
        <w:t>Por lo expuesto, la Sección</w:t>
      </w:r>
    </w:p>
    <w:p w14:paraId="5DFCED16" w14:textId="4B204A5F" w:rsidR="00C04533" w:rsidRDefault="00C04533" w:rsidP="00C04533">
      <w:pPr>
        <w:pStyle w:val="TextoNormal"/>
      </w:pPr>
    </w:p>
    <w:p w14:paraId="0DFC5F50" w14:textId="77777777" w:rsidR="00C04533" w:rsidRDefault="00C04533" w:rsidP="00C04533">
      <w:pPr>
        <w:pStyle w:val="TextoNormalCentrado"/>
      </w:pPr>
      <w:r>
        <w:t>ACUERDA</w:t>
      </w:r>
    </w:p>
    <w:p w14:paraId="6FA4D740" w14:textId="21E29F0C" w:rsidR="00C04533" w:rsidRDefault="00C04533" w:rsidP="00C04533">
      <w:pPr>
        <w:pStyle w:val="TextoNormalCentrado"/>
      </w:pPr>
    </w:p>
    <w:p w14:paraId="36AAA9A1" w14:textId="73BEA9D6" w:rsidR="00C04533" w:rsidRDefault="00C04533" w:rsidP="00C04533">
      <w:pPr>
        <w:pStyle w:val="TextoNormal"/>
      </w:pPr>
      <w:r>
        <w:t>Estimar justificada la abstención formulada por el magistrado don Cándido Conde-Pumpido Tourón, presidente de esta Sección Primera, en el recurso de amparo núm. 5910-2024 apartándole definitivamente del conocimiento del referido recurso y de todas sus incidencias.</w:t>
      </w:r>
    </w:p>
    <w:p w14:paraId="6260782F" w14:textId="77777777" w:rsidR="00C04533" w:rsidRDefault="00C04533" w:rsidP="00C04533">
      <w:pPr>
        <w:pStyle w:val="TextoNormal"/>
      </w:pPr>
    </w:p>
    <w:p w14:paraId="41EE24B9" w14:textId="77777777" w:rsidR="00C04533" w:rsidRDefault="00C04533" w:rsidP="00C04533">
      <w:pPr>
        <w:pStyle w:val="TextoNormal"/>
      </w:pPr>
      <w:r>
        <w:t>Madrid, a veintisiete de noviembre de dos mil veinticuatro.</w:t>
      </w:r>
    </w:p>
    <w:p w14:paraId="70BEB6EC" w14:textId="5F7C79FD" w:rsidR="00C04533" w:rsidRDefault="00C04533">
      <w:pPr>
        <w:spacing w:after="160" w:line="278" w:lineRule="auto"/>
        <w:rPr>
          <w:rFonts w:ascii="Times New Roman" w:eastAsia="Times New Roman" w:hAnsi="Times New Roman" w:cs="Times New Roman"/>
          <w:sz w:val="24"/>
          <w:szCs w:val="24"/>
          <w:lang w:eastAsia="es-ES"/>
        </w:rPr>
      </w:pPr>
      <w:r>
        <w:br w:type="page"/>
      </w:r>
    </w:p>
    <w:p w14:paraId="73C56BE7" w14:textId="77777777" w:rsidR="00C04533" w:rsidRDefault="00C04533" w:rsidP="00C04533">
      <w:pPr>
        <w:pStyle w:val="TtuloResolucin"/>
      </w:pPr>
      <w:bookmarkStart w:id="157" w:name="AUTO_2024_151"/>
      <w:r>
        <w:t>AUTO 151/2024, de 2 de diciembre de 2024</w:t>
      </w:r>
    </w:p>
    <w:bookmarkEnd w:id="157"/>
    <w:p w14:paraId="39724BE6" w14:textId="77777777" w:rsidR="00C04533" w:rsidRDefault="00C04533" w:rsidP="00C04533">
      <w:pPr>
        <w:pStyle w:val="TtuloResolucin"/>
      </w:pPr>
      <w:r>
        <w:t>Sala Segunda</w:t>
      </w:r>
    </w:p>
    <w:p w14:paraId="060EE717" w14:textId="77777777" w:rsidR="00C04533" w:rsidRDefault="00C04533" w:rsidP="00C04533">
      <w:pPr>
        <w:pStyle w:val="TextoNormalCentrado"/>
      </w:pPr>
      <w:r>
        <w:t>ECLI:ES:TC:2024:151A</w:t>
      </w:r>
    </w:p>
    <w:p w14:paraId="7365793D" w14:textId="16E90FC6" w:rsidR="00C04533" w:rsidRDefault="00C04533" w:rsidP="00C04533">
      <w:pPr>
        <w:pStyle w:val="TextoNormalCentrado"/>
      </w:pPr>
    </w:p>
    <w:p w14:paraId="30A13F2F" w14:textId="77777777" w:rsidR="00C04533" w:rsidRDefault="00C04533" w:rsidP="00C04533">
      <w:pPr>
        <w:pStyle w:val="SntesisDescriptiva"/>
      </w:pPr>
      <w:r>
        <w:t>Excms. Srs. doña Inmaculada Montalbán Huertas, doña María Luisa Balaguer Callejón, don Ramón Sáez Valcárcel, don Enrique Arnaldo Alcubilla, don César Tolosa Tribiño y doña Laura Díez Bueso.</w:t>
      </w:r>
    </w:p>
    <w:p w14:paraId="6F7E1F72" w14:textId="54894176" w:rsidR="00C04533" w:rsidRDefault="00C04533" w:rsidP="00C04533">
      <w:pPr>
        <w:pStyle w:val="SntesisDescriptiva"/>
      </w:pPr>
    </w:p>
    <w:p w14:paraId="24CAFB71" w14:textId="77777777" w:rsidR="00C04533" w:rsidRDefault="00C04533" w:rsidP="00C04533">
      <w:pPr>
        <w:pStyle w:val="SntesisDescriptiva"/>
      </w:pPr>
      <w:r>
        <w:t>Acuerda el archivo, por pérdida de objeto, del incidente de suspensión en el recurso de amparo 62-2024, promovido por don Guillermo Ojeda Rengifo en causa penal.</w:t>
      </w:r>
    </w:p>
    <w:p w14:paraId="00CDF3EE" w14:textId="7813A5C2" w:rsidR="00C04533" w:rsidRDefault="00C04533" w:rsidP="00C04533">
      <w:pPr>
        <w:pStyle w:val="SntesisDescriptiva"/>
      </w:pPr>
    </w:p>
    <w:p w14:paraId="5F3FF279" w14:textId="77777777" w:rsidR="00C04533" w:rsidRDefault="00C04533" w:rsidP="00C04533">
      <w:pPr>
        <w:pStyle w:val="SntesisDescriptiva"/>
      </w:pPr>
    </w:p>
    <w:p w14:paraId="1B655698" w14:textId="77777777" w:rsidR="00C04533" w:rsidRDefault="00C04533" w:rsidP="00C04533">
      <w:pPr>
        <w:pStyle w:val="SntesisDescriptiva"/>
      </w:pPr>
    </w:p>
    <w:p w14:paraId="17BA8638" w14:textId="77777777" w:rsidR="00C04533" w:rsidRDefault="00C04533" w:rsidP="00C04533">
      <w:pPr>
        <w:pStyle w:val="TextoNormalNegritaCentrado"/>
      </w:pPr>
      <w:r>
        <w:t>AUTO</w:t>
      </w:r>
    </w:p>
    <w:p w14:paraId="30E3DA2D" w14:textId="3035B702" w:rsidR="00C04533" w:rsidRDefault="00C04533" w:rsidP="00C04533">
      <w:pPr>
        <w:pStyle w:val="TextoNormalNegritaCentrado"/>
      </w:pPr>
    </w:p>
    <w:p w14:paraId="2011A708" w14:textId="77777777" w:rsidR="00C04533" w:rsidRDefault="00C04533" w:rsidP="00C04533">
      <w:pPr>
        <w:pStyle w:val="TextoNormalNegritaCentrado"/>
        <w:keepNext/>
      </w:pPr>
      <w:r>
        <w:t>I. Antecedentes</w:t>
      </w:r>
    </w:p>
    <w:p w14:paraId="36007B65" w14:textId="4B8A9F64" w:rsidR="00C04533" w:rsidRDefault="00C04533" w:rsidP="00C04533">
      <w:pPr>
        <w:pStyle w:val="TextoNormalNegritaCentrado"/>
        <w:keepNext/>
      </w:pPr>
    </w:p>
    <w:p w14:paraId="3EE3BAD3" w14:textId="77777777" w:rsidR="00C04533" w:rsidRDefault="00C04533" w:rsidP="00C04533">
      <w:pPr>
        <w:pStyle w:val="TextoNormal"/>
      </w:pPr>
      <w:r w:rsidRPr="00C04533">
        <w:rPr>
          <w:rStyle w:val="NumeroAFNegritaCaracter"/>
        </w:rPr>
        <w:t>1</w:t>
      </w:r>
      <w:r>
        <w:t>. Mediante escrito registrado en este tribunal el 8 de enero de 2024, la procuradora de los tribunales doña María Belén Aroca Flórez, en nombre y representación de don Guillermo Ojeda Rengifo, interpuso recurso de amparo contra: (i) el auto de la Sección Novena de la Audiencia Provincial de Málaga de 2 de noviembre de 2023, dictado en la ejecutoria núm. 8-2020, que, en aplicación del art. 89 del Código penal (CP), acordó su expulsión del territorio nacional, con prohibición de volver al mismo por el plazo de diez años, para finalizar la ejecución de la condena impuesta al demandante por sentencia del mismo tribunal de 17 de octubre de 2018 (procedimiento sumario ordinario núm. 2009-2017); y (ii) el auto del mismo órgano judicial de 11 de diciembre de 2023, que confirmó en súplica el auto de 2 de noviembre de 2023.</w:t>
      </w:r>
    </w:p>
    <w:p w14:paraId="5D3BBE2A" w14:textId="77777777" w:rsidR="00C04533" w:rsidRDefault="00C04533" w:rsidP="00C04533">
      <w:pPr>
        <w:pStyle w:val="TextoNormal"/>
      </w:pPr>
    </w:p>
    <w:p w14:paraId="70328A5A" w14:textId="77777777" w:rsidR="00C04533" w:rsidRDefault="00C04533" w:rsidP="00C04533">
      <w:pPr>
        <w:pStyle w:val="TextoNormal"/>
      </w:pPr>
      <w:r>
        <w:t>En la demanda de amparo se denuncia la vulneración de los derechos a la tutela judicial efectiva (art. 24.1 CE), a un proceso con todas las garantías (art. 24.2 CE), y a la legalidad penal (art. 25.1 CE), puesto en relación con el principio de irretroactividad de las disposiciones sancionadoras no favorables (art. 9.3 CE). Se alega, de forma nuclear, que se ha aplicado un precepto que no estaba vigente cuando se cometió el hecho delictivo: el art. 89 CP en la redacción dada por la Ley Orgánica 1/2015, de 30 de marzo. El recurrente sostiene que el procedimiento penal se inició en mayo de 2015 y la reforma del art. 89 CP —que permite la expulsión de extranjeros residentes en España, como era su caso— entró en vigor el 1 de julio de ese mismo año. Aduce también que el Ministerio Fiscal no pidió la expulsión como exige la norma y que las resoluciones judiciales carecen de motivación suficiente, sin que se le concediera audiencia.</w:t>
      </w:r>
    </w:p>
    <w:p w14:paraId="3B6E4147" w14:textId="77777777" w:rsidR="00C04533" w:rsidRDefault="00C04533" w:rsidP="00C04533">
      <w:pPr>
        <w:pStyle w:val="TextoNormal"/>
      </w:pPr>
    </w:p>
    <w:p w14:paraId="706E4B11" w14:textId="4BF0FEAB" w:rsidR="00C04533" w:rsidRDefault="00C04533" w:rsidP="00C04533">
      <w:pPr>
        <w:pStyle w:val="TextoNormal"/>
      </w:pPr>
      <w:r>
        <w:t>Mediante otrosí, el demandante solicitó, conforme al art. 56 de la Ley Orgánica del Tribunal Constitucional (LOTC), la suspensión de la ejecución de los autos recurridos, dado que, si se lleva a cabo la expulsión, “la demanda carecería de contenido”, siendo un caso en el que “resultan afectados derechos del recurrente en amparo de imposible o muy difícil restitución a su estado anterior”, que tiene arraigo, “residiendo en España, con trabajo y casado con española”.</w:t>
      </w:r>
    </w:p>
    <w:p w14:paraId="3EBEF0EF" w14:textId="77777777" w:rsidR="00C04533" w:rsidRDefault="00C04533" w:rsidP="00C04533">
      <w:pPr>
        <w:pStyle w:val="TextoNormal"/>
      </w:pPr>
    </w:p>
    <w:p w14:paraId="35A65D7F" w14:textId="77777777" w:rsidR="00C04533" w:rsidRDefault="00C04533" w:rsidP="00C04533">
      <w:pPr>
        <w:pStyle w:val="TextoNormal"/>
      </w:pPr>
      <w:r w:rsidRPr="00C04533">
        <w:rPr>
          <w:rStyle w:val="NumeroAFNegritaCaracter"/>
        </w:rPr>
        <w:t>2</w:t>
      </w:r>
      <w:r>
        <w:t>. Por providencia de 23 de septiembre de 2024, la Sala Segunda acordó admitir a trámite el recurso de amparo apreciando que concurre en él una especial trascendencia constitucional (art. 50.1 LOTC), porque puede dar ocasión al Tribunal para aclarar o cambiar su doctrina, como consecuencia de un proceso de reflexión interna [STC 155/2009, de 25 de junio, FJ 2 b)].</w:t>
      </w:r>
    </w:p>
    <w:p w14:paraId="02C914C9" w14:textId="77777777" w:rsidR="00C04533" w:rsidRDefault="00C04533" w:rsidP="00C04533">
      <w:pPr>
        <w:pStyle w:val="TextoNormal"/>
      </w:pPr>
    </w:p>
    <w:p w14:paraId="7D3F1F0D" w14:textId="3861D857" w:rsidR="00C04533" w:rsidRDefault="00C04533" w:rsidP="00C04533">
      <w:pPr>
        <w:pStyle w:val="TextoNormal"/>
      </w:pPr>
      <w:r>
        <w:t>En la misma resolución (i) se dirigió atenta comunicación a la Sala de lo Penal del Tribunal Supremo, y a la Sección Novena de la Audiencia Provincial de Málaga a fin de que, en plazo que no exceda de diez días, remitan certificación o fotocopia adverada de las actuaciones correspondientes a la ejecutoria núm. 8-2020, procedimiento sumario ordinario núm. 2009-2017; (ii) se ordenó que fueran emplazadas ante este tribunal las partes que hubieren participado en el proceso previo; y (iii) se acordó formar pieza separada de suspensión, concediéndose por providencia de la misma fecha, en aplicación de lo dispuesto en el art. 56 LOTC, un plazo común de tres días al recurrente y al Ministerio Fiscal para que alegaran lo que estimasen pertinente sobre la petición de suspensión interesada.</w:t>
      </w:r>
    </w:p>
    <w:p w14:paraId="75E0A64E" w14:textId="77777777" w:rsidR="00C04533" w:rsidRDefault="00C04533" w:rsidP="00C04533">
      <w:pPr>
        <w:pStyle w:val="TextoNormal"/>
      </w:pPr>
    </w:p>
    <w:p w14:paraId="5E7D4DA3" w14:textId="73221BBE" w:rsidR="00C04533" w:rsidRDefault="00C04533" w:rsidP="00C04533">
      <w:pPr>
        <w:pStyle w:val="TextoNormal"/>
      </w:pPr>
      <w:r w:rsidRPr="00C04533">
        <w:rPr>
          <w:rStyle w:val="NumeroAFNegritaCaracter"/>
        </w:rPr>
        <w:t>3</w:t>
      </w:r>
      <w:r>
        <w:t>. Mediante escrito presentado el 30 de septiembre de 2024, la representación procesal del demandante reiteró su solicitud de suspensión de la ejecución de los autos recurridos para evitar que se “lesionen aún más los derechos fundamentales de mi mandante”. En apoyo de tal pretensión se esgrimen las circunstancias personales del recurrente, que está casado con una ciudadana española y no podría estar con su familia, la especial gravedad de la medida de expulsión y la existencia de una vulneración patente de los derechos fundamentales, habida cuenta de la aplicación de una norma no vigente a la fecha de los hechos y de que se acordó la expulsión sin la debida ponderación de las circunstancias, derechos e intereses en juego, en particular, el arraigo familiar, laboral y cultural del recurrente, para evitar que la expulsión sea desproporcionada.</w:t>
      </w:r>
    </w:p>
    <w:p w14:paraId="5831DDA5" w14:textId="77777777" w:rsidR="00C04533" w:rsidRDefault="00C04533" w:rsidP="00C04533">
      <w:pPr>
        <w:pStyle w:val="TextoNormal"/>
      </w:pPr>
    </w:p>
    <w:p w14:paraId="7D8B3AFB" w14:textId="02F03B6C" w:rsidR="00C04533" w:rsidRDefault="00C04533" w:rsidP="00C04533">
      <w:pPr>
        <w:pStyle w:val="TextoNormal"/>
      </w:pPr>
      <w:r w:rsidRPr="00C04533">
        <w:rPr>
          <w:rStyle w:val="NumeroAFNegritaCaracter"/>
        </w:rPr>
        <w:t>4</w:t>
      </w:r>
      <w:r>
        <w:t>. El fiscal advierte en su escrito de alegaciones, presentado el 8 de octubre de 2024, que el recurrente fue expulsado el 9 de enero de 2024, conforme refiere el oficio de 11 de enero de 2024 remitido por la brigada provincial de extranjería y fronteras de Málaga, unidad central de redes de inmigración ilegal y falsedades documentales (UCRIF VI), que consta en las actuaciones. En atención a tal circunstancia y “de conformidad con la jurisprudencia constitucional consolidada sobre la pérdida de objeto de los incidentes de ejecución en relación con resoluciones que ya han consumado sus efectos (por todos, AATC 76/2020, de 20 de julio; 9/2022, de 24 de enero; 110/2022, de 11 de julio, y 137/2022, de 24 de octubre)” considera que “procede acordar el archivo de la pieza separada de suspensión por pérdida sobrevenida de objeto de la pretensión del demandante”.</w:t>
      </w:r>
    </w:p>
    <w:p w14:paraId="6FE087F3" w14:textId="77777777" w:rsidR="00C04533" w:rsidRDefault="00C04533" w:rsidP="00C04533">
      <w:pPr>
        <w:pStyle w:val="TextoNormal"/>
      </w:pPr>
    </w:p>
    <w:p w14:paraId="0F9022C7" w14:textId="77777777" w:rsidR="00C04533" w:rsidRDefault="00C04533" w:rsidP="00C04533">
      <w:pPr>
        <w:pStyle w:val="TextoNormalNegritaCentrado"/>
        <w:keepNext/>
      </w:pPr>
      <w:r>
        <w:t>II. Fundamentos jurídicos</w:t>
      </w:r>
    </w:p>
    <w:p w14:paraId="23A759BF" w14:textId="662AB5DF" w:rsidR="00C04533" w:rsidRDefault="00C04533" w:rsidP="00C04533">
      <w:pPr>
        <w:pStyle w:val="TextoNormalNegritaCentrado"/>
        <w:keepNext/>
      </w:pPr>
    </w:p>
    <w:p w14:paraId="1731AA9C" w14:textId="77777777" w:rsidR="00C04533" w:rsidRDefault="00C04533" w:rsidP="00C04533">
      <w:pPr>
        <w:pStyle w:val="TextoNormal"/>
      </w:pPr>
      <w:r w:rsidRPr="00C04533">
        <w:rPr>
          <w:rStyle w:val="TextoNormalNegritaCaracter"/>
        </w:rPr>
        <w:t xml:space="preserve">Único. </w:t>
      </w:r>
      <w:r>
        <w:t>El objeto de esta pieza de suspensión es determinar la procedencia de acordar la suspensión de las resoluciones judiciales impugnadas en el único extremo solicitado por la representación procesal del recurrente, esto es, la ejecución de la expulsión del territorio nacional acordada en el marco de la ejecutoria núm. 8-2020.</w:t>
      </w:r>
    </w:p>
    <w:p w14:paraId="0A32EFA2" w14:textId="77777777" w:rsidR="00C04533" w:rsidRDefault="00C04533" w:rsidP="00C04533">
      <w:pPr>
        <w:pStyle w:val="TextoNormal"/>
      </w:pPr>
    </w:p>
    <w:p w14:paraId="6D3CAFE9" w14:textId="77777777" w:rsidR="00C04533" w:rsidRDefault="00C04533" w:rsidP="00C04533">
      <w:pPr>
        <w:pStyle w:val="TextoNormal"/>
      </w:pPr>
      <w:r>
        <w:t>Sin embargo, como refiere el fiscal, consta en las actuaciones oficio de la brigada provincial de extranjería y fronteras de Málaga, UCRIF VI, de fecha 11 de enero de 2024, dirigido a la Sección Novena de la Audiencia Provincial de Málaga informando sobre la ejecución de la expulsión. En concreto, se manifiesta que el recurrente ha sido expulsado el 9 de enero de 2024, habiendo embarcado en vuelo con destino Medellín (Colombia), esto es, un día después de haberse registrado el recurso de amparo. De acuerdo con la jurisprudencia constitucional consolidada sobre la pérdida de objeto de los incidentes de ejecución en relación con resoluciones que ya han consumado sus efectos (así, AATC 288/2007, de 18 de junio —entrega—; 241/2013, de 21 de octubre —entrega ya verificada en la orden europea de detención y entrega—; 76/2020; 9/2022 —lanzamiento—, y 27/2022, de 27 de enero, FJ 3.2 —suplicatorio—), debe acordarse el archivo del incidente de ejecución por carencia sobrevenida de objeto.</w:t>
      </w:r>
    </w:p>
    <w:p w14:paraId="37136EA7" w14:textId="77777777" w:rsidR="00C04533" w:rsidRDefault="00C04533" w:rsidP="00C04533">
      <w:pPr>
        <w:pStyle w:val="TextoNormal"/>
      </w:pPr>
    </w:p>
    <w:p w14:paraId="32EBA7A7" w14:textId="77777777" w:rsidR="00C04533" w:rsidRDefault="00C04533" w:rsidP="00C04533">
      <w:pPr>
        <w:pStyle w:val="TextoNormal"/>
      </w:pPr>
      <w:r>
        <w:t>No desconoce este tribunal que los autos ejecutados no acordaron únicamente la expulsión del territorio nacional del recurrente, sino también la prohibición de regresar por un plazo de diez años. Sin embargo, nada se dice al respecto ni en la demanda de amparo ni en las alegaciones formuladas en el incidente de suspensión. El Tribunal “viene exigiendo a quien solicita la adopción de la medida cautelar de suspensión del acto o resolución judicial recurridos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 que cita el ATC 65/2022, de 4 de abril, FJ 3).</w:t>
      </w:r>
    </w:p>
    <w:p w14:paraId="221B3271" w14:textId="77777777" w:rsidR="00C04533" w:rsidRDefault="00C04533" w:rsidP="00C04533">
      <w:pPr>
        <w:pStyle w:val="TextoNormal"/>
      </w:pPr>
    </w:p>
    <w:p w14:paraId="5E08881B" w14:textId="0667CDE0" w:rsidR="00C04533" w:rsidRDefault="00C04533" w:rsidP="00C04533">
      <w:pPr>
        <w:pStyle w:val="TextoNormal"/>
      </w:pPr>
      <w:r>
        <w:t>Se ha consumado con la expulsión la ejecución cuya suspensión se interesaba, sin que el recurrente haya instado ninguna medida cautelar positiva tendente a asegurar la efectividad de una eventual estimación del amparo (ATC 288/2007). La ausencia de petición en relación con la prohibición de regreso y de toda argumentación sobre la concurrencia de los presupuestos que exige el art. 56 LOTC, singularmente, de la necesidad de asegurar la efectividad de la resolución que ponga fin al proceso de amparo, impide a este tribunal pronunciarse al respecto.</w:t>
      </w:r>
    </w:p>
    <w:p w14:paraId="742F99E9" w14:textId="77777777" w:rsidR="00C04533" w:rsidRDefault="00C04533" w:rsidP="00C04533">
      <w:pPr>
        <w:pStyle w:val="TextoNormal"/>
      </w:pPr>
    </w:p>
    <w:p w14:paraId="2643211C" w14:textId="77777777" w:rsidR="00C04533" w:rsidRDefault="00C04533" w:rsidP="00C04533">
      <w:pPr>
        <w:pStyle w:val="TextoNormal"/>
      </w:pPr>
      <w:r>
        <w:t>Por lo expuesto, la Sala</w:t>
      </w:r>
    </w:p>
    <w:p w14:paraId="1A91B195" w14:textId="62565D38" w:rsidR="00C04533" w:rsidRDefault="00C04533" w:rsidP="00C04533">
      <w:pPr>
        <w:pStyle w:val="TextoNormal"/>
      </w:pPr>
    </w:p>
    <w:p w14:paraId="6AF7F17A" w14:textId="77777777" w:rsidR="00C04533" w:rsidRDefault="00C04533" w:rsidP="00C04533">
      <w:pPr>
        <w:pStyle w:val="TextoNormalCentrado"/>
      </w:pPr>
      <w:r>
        <w:t>ACUERDA</w:t>
      </w:r>
    </w:p>
    <w:p w14:paraId="2FB70A9D" w14:textId="1C1EF70A" w:rsidR="00C04533" w:rsidRDefault="00C04533" w:rsidP="00C04533">
      <w:pPr>
        <w:pStyle w:val="TextoNormalCentrado"/>
      </w:pPr>
    </w:p>
    <w:p w14:paraId="3F973D34" w14:textId="2813C7AA" w:rsidR="00C04533" w:rsidRDefault="00C04533" w:rsidP="00C04533">
      <w:pPr>
        <w:pStyle w:val="TextoNormal"/>
      </w:pPr>
      <w:r>
        <w:t>Archivar el presente incidente de suspensión por pérdida de objeto.</w:t>
      </w:r>
    </w:p>
    <w:p w14:paraId="2D81A28E" w14:textId="77777777" w:rsidR="00C04533" w:rsidRDefault="00C04533" w:rsidP="00C04533">
      <w:pPr>
        <w:pStyle w:val="TextoNormal"/>
      </w:pPr>
    </w:p>
    <w:p w14:paraId="21804300" w14:textId="77777777" w:rsidR="00C04533" w:rsidRDefault="00C04533" w:rsidP="00C04533">
      <w:pPr>
        <w:pStyle w:val="TextoNormal"/>
      </w:pPr>
      <w:r>
        <w:t>Madrid, a dos de diciembre de dos mil veinticuatro.</w:t>
      </w:r>
    </w:p>
    <w:p w14:paraId="4DB33968" w14:textId="6FAE1E79" w:rsidR="00C04533" w:rsidRDefault="00C04533">
      <w:pPr>
        <w:spacing w:after="160" w:line="278" w:lineRule="auto"/>
        <w:rPr>
          <w:rFonts w:ascii="Times New Roman" w:eastAsia="Times New Roman" w:hAnsi="Times New Roman" w:cs="Times New Roman"/>
          <w:sz w:val="24"/>
          <w:szCs w:val="24"/>
          <w:lang w:eastAsia="es-ES"/>
        </w:rPr>
      </w:pPr>
      <w:r>
        <w:br w:type="page"/>
      </w:r>
    </w:p>
    <w:p w14:paraId="25CB7A15" w14:textId="77777777" w:rsidR="00C04533" w:rsidRDefault="00C04533" w:rsidP="00C04533">
      <w:pPr>
        <w:pStyle w:val="TtuloResolucin"/>
      </w:pPr>
      <w:bookmarkStart w:id="158" w:name="AUTO_2024_152"/>
      <w:r>
        <w:t>AUTO 152/2024, de 2 de diciembre de 2024</w:t>
      </w:r>
    </w:p>
    <w:bookmarkEnd w:id="158"/>
    <w:p w14:paraId="7C00DBC0" w14:textId="77777777" w:rsidR="00C04533" w:rsidRDefault="00C04533" w:rsidP="00C04533">
      <w:pPr>
        <w:pStyle w:val="TtuloResolucin"/>
      </w:pPr>
      <w:r>
        <w:t>Sala Primera</w:t>
      </w:r>
    </w:p>
    <w:p w14:paraId="2DEFD935" w14:textId="77777777" w:rsidR="00C04533" w:rsidRDefault="00C04533" w:rsidP="00C04533">
      <w:pPr>
        <w:pStyle w:val="TextoNormalCentrado"/>
      </w:pPr>
      <w:r>
        <w:t>ECLI:ES:TC:2024:152A</w:t>
      </w:r>
    </w:p>
    <w:p w14:paraId="10921F68" w14:textId="50CB9A6B" w:rsidR="00C04533" w:rsidRDefault="00C04533" w:rsidP="00C04533">
      <w:pPr>
        <w:pStyle w:val="TextoNormalCentrado"/>
      </w:pPr>
    </w:p>
    <w:p w14:paraId="687DB749" w14:textId="77777777" w:rsidR="00C04533" w:rsidRDefault="00C04533" w:rsidP="00C04533">
      <w:pPr>
        <w:pStyle w:val="SntesisDescriptiva"/>
      </w:pPr>
      <w:r>
        <w:t>Excms. Srs. don Cándido Conde-Pumpido Tourón, don Ricardo Enríquez Sancho, doña Concepción Espejel Jorquera, doña María Luisa Segoviano Astaburuaga, don Juan Carlos Campo Moreno y don José María Macías Castaño.</w:t>
      </w:r>
    </w:p>
    <w:p w14:paraId="2F28AB6D" w14:textId="464537E2" w:rsidR="00C04533" w:rsidRDefault="00C04533" w:rsidP="00C04533">
      <w:pPr>
        <w:pStyle w:val="SntesisDescriptiva"/>
      </w:pPr>
    </w:p>
    <w:p w14:paraId="6765DABD" w14:textId="77777777" w:rsidR="00C04533" w:rsidRDefault="00C04533" w:rsidP="00C04533">
      <w:pPr>
        <w:pStyle w:val="SntesisDescriptiva"/>
      </w:pPr>
      <w:r>
        <w:t>Acuerda la suspensión y ordena la anotación preventiva de la demanda en el recurso de amparo 6296-2024, promovido por doña María Eugenia Antorrena Fernández en pleito civil.</w:t>
      </w:r>
    </w:p>
    <w:p w14:paraId="710327DA" w14:textId="211CC2B2" w:rsidR="00C04533" w:rsidRDefault="00C04533" w:rsidP="00C04533">
      <w:pPr>
        <w:pStyle w:val="SntesisDescriptiva"/>
      </w:pPr>
    </w:p>
    <w:p w14:paraId="1DE8B644" w14:textId="77777777" w:rsidR="00C04533" w:rsidRDefault="00C04533" w:rsidP="00C04533">
      <w:pPr>
        <w:pStyle w:val="SntesisDescriptiva"/>
      </w:pPr>
    </w:p>
    <w:p w14:paraId="70C69D0A" w14:textId="77777777" w:rsidR="00C04533" w:rsidRDefault="00C04533" w:rsidP="00C04533">
      <w:pPr>
        <w:pStyle w:val="SntesisDescriptiva"/>
      </w:pPr>
    </w:p>
    <w:p w14:paraId="7BB94642" w14:textId="77777777" w:rsidR="00C04533" w:rsidRDefault="00C04533" w:rsidP="00C04533">
      <w:pPr>
        <w:pStyle w:val="TextoNormalNegritaCentrado"/>
      </w:pPr>
      <w:r>
        <w:t>AUTO</w:t>
      </w:r>
    </w:p>
    <w:p w14:paraId="371F573B" w14:textId="48623C8A" w:rsidR="00C04533" w:rsidRDefault="00C04533" w:rsidP="00C04533">
      <w:pPr>
        <w:pStyle w:val="TextoNormalNegritaCentrado"/>
      </w:pPr>
    </w:p>
    <w:p w14:paraId="48DBDA72" w14:textId="77777777" w:rsidR="00C04533" w:rsidRDefault="00C04533" w:rsidP="00C04533">
      <w:pPr>
        <w:pStyle w:val="TextoNormalNegritaCentrado"/>
        <w:keepNext/>
      </w:pPr>
      <w:r>
        <w:t>I. Antecedentes</w:t>
      </w:r>
    </w:p>
    <w:p w14:paraId="38578180" w14:textId="100FCA98" w:rsidR="00C04533" w:rsidRDefault="00C04533" w:rsidP="00C04533">
      <w:pPr>
        <w:pStyle w:val="TextoNormalNegritaCentrado"/>
        <w:keepNext/>
      </w:pPr>
    </w:p>
    <w:p w14:paraId="6A05DCF2" w14:textId="3C3DF264" w:rsidR="00C04533" w:rsidRDefault="00C04533" w:rsidP="00C04533">
      <w:pPr>
        <w:pStyle w:val="TextoNormal"/>
      </w:pPr>
      <w:r w:rsidRPr="00C04533">
        <w:rPr>
          <w:rStyle w:val="NumeroAFNegritaCaracter"/>
        </w:rPr>
        <w:t>1</w:t>
      </w:r>
      <w:r>
        <w:t>. Con fecha 2 de septiembre de 2024, tuvo entrada en el registro general de este tribunal un escrito de la procuradora de los tribunales doña María Isabel Martín López, en nombre y representación de doña María Eugenia Antorrena Fernández, bajo la dirección del letrado don Manuel Arana Leiva, por el que se interpuso recurso de amparo contra el auto de 17 de junio de 2024 dictado por el Juzgado de Primera Instancia núm. 4 de Fuengirola (Málaga), que inadmitió un incidente de nulidad de actuaciones promovido por la ahora recurrente en el marco del juicio de ejecución hipotecaria núm. 58-2020.</w:t>
      </w:r>
    </w:p>
    <w:p w14:paraId="2A2D46AF" w14:textId="77777777" w:rsidR="00C04533" w:rsidRDefault="00C04533" w:rsidP="00C04533">
      <w:pPr>
        <w:pStyle w:val="TextoNormal"/>
      </w:pPr>
    </w:p>
    <w:p w14:paraId="7889CE93" w14:textId="77777777" w:rsidR="00C04533" w:rsidRDefault="00C04533" w:rsidP="00C04533">
      <w:pPr>
        <w:pStyle w:val="TextoNormal"/>
      </w:pPr>
      <w:r w:rsidRPr="00C04533">
        <w:rPr>
          <w:rStyle w:val="NumeroAFNegritaCaracter"/>
        </w:rPr>
        <w:t>2</w:t>
      </w:r>
      <w:r>
        <w:t>. Los hechos relevantes para la resolución de esta pieza de suspensión, son los siguientes:</w:t>
      </w:r>
    </w:p>
    <w:p w14:paraId="3D0816DE" w14:textId="77777777" w:rsidR="00C04533" w:rsidRDefault="00C04533" w:rsidP="00C04533">
      <w:pPr>
        <w:pStyle w:val="TextoNormal"/>
      </w:pPr>
    </w:p>
    <w:p w14:paraId="109B000E" w14:textId="77777777" w:rsidR="00C04533" w:rsidRDefault="00C04533" w:rsidP="00C04533">
      <w:pPr>
        <w:pStyle w:val="TextoNormal"/>
      </w:pPr>
      <w:r>
        <w:t>a) En fecha 14 de enero de 2020, la entidad Banco Sabadell, S.A., interpuso demanda de juicio ejecutivo contra la ahora recurrente, reclamando el pago de deudas derivadas de un préstamo garantizado con hipoteca para la adquisición de vivienda habitual. En lo que ahora interesa, y según la demanda de amparo, la escritura de préstamo, suscrita inicialmente en el año 2007 y ampliada en el año 2009, contiene cláusulas de interés moratorio al 20 por 100, de vencimiento anticipado por impago de una sola cuota del préstamo, de comisión por posición deudora, así como una de las denominadas cláusulas suelo.</w:t>
      </w:r>
    </w:p>
    <w:p w14:paraId="19A8CB8F" w14:textId="77777777" w:rsidR="00C04533" w:rsidRDefault="00C04533" w:rsidP="00C04533">
      <w:pPr>
        <w:pStyle w:val="TextoNormal"/>
      </w:pPr>
    </w:p>
    <w:p w14:paraId="03C27EFC" w14:textId="77777777" w:rsidR="00C04533" w:rsidRDefault="00C04533" w:rsidP="00C04533">
      <w:pPr>
        <w:pStyle w:val="TextoNormal"/>
      </w:pPr>
      <w:r>
        <w:t>b) La demanda fue turnada al Juzgado de Primera Instancia núm. 4 de Fuengirola que, en fecha 30 de junio de 2020, en el marco del juicio de ejecución hipotecaria núm. 58-2020, dictó auto despachando ejecución contra la ahora demandante de amparo, disponiéndose en dicha resolución que “respecto al interés de demora, inste la parte en su momento procesal oportuno las causas de oposición que estime oportunas”.</w:t>
      </w:r>
    </w:p>
    <w:p w14:paraId="08D30951" w14:textId="77777777" w:rsidR="00C04533" w:rsidRDefault="00C04533" w:rsidP="00C04533">
      <w:pPr>
        <w:pStyle w:val="TextoNormal"/>
      </w:pPr>
    </w:p>
    <w:p w14:paraId="401AA7C1" w14:textId="77777777" w:rsidR="00C04533" w:rsidRDefault="00C04533" w:rsidP="00C04533">
      <w:pPr>
        <w:pStyle w:val="TextoNormal"/>
      </w:pPr>
      <w:r>
        <w:t>c) El procedimiento siguió todos sus trámites, a instancias de la entidad LSF11 Boson Investments, S.A.R.L., en su condición de cesionaria del crédito bancario, hasta la subasta, adjudicación e, incluso, cesión del remate a favor de una tercera entidad, Boson Properties, S.L.U.</w:t>
      </w:r>
    </w:p>
    <w:p w14:paraId="472A79F1" w14:textId="77777777" w:rsidR="00C04533" w:rsidRDefault="00C04533" w:rsidP="00C04533">
      <w:pPr>
        <w:pStyle w:val="TextoNormal"/>
      </w:pPr>
    </w:p>
    <w:p w14:paraId="1AD30F22" w14:textId="77777777" w:rsidR="00C04533" w:rsidRDefault="00C04533" w:rsidP="00C04533">
      <w:pPr>
        <w:pStyle w:val="TextoNormal"/>
      </w:pPr>
      <w:r>
        <w:t>d) Una vez fijado el día de lanzamiento para el 23 de mayo de 2024, tras un previo intento que fue suspendido, la ahora recurrente promovió un incidente de nulidad de actuaciones, mediante escrito fechado el 9 de mayo de 2024.</w:t>
      </w:r>
    </w:p>
    <w:p w14:paraId="297206F6" w14:textId="77777777" w:rsidR="00C04533" w:rsidRDefault="00C04533" w:rsidP="00C04533">
      <w:pPr>
        <w:pStyle w:val="TextoNormal"/>
      </w:pPr>
    </w:p>
    <w:p w14:paraId="4CD7F5CA" w14:textId="77777777" w:rsidR="00C04533" w:rsidRDefault="00C04533" w:rsidP="00C04533">
      <w:pPr>
        <w:pStyle w:val="TextoNormal"/>
      </w:pPr>
      <w:r>
        <w:t>En el incidente se alegó y reseñó expresamente la doctrina del Tribunal de Justicia de la Unión Europea, en aplicación de la Directiva 93/13/CEE del Consejo, de 5 de abril de 1993, sobre las cláusulas abusivas en los contratos celebrados con consumidores, sobre la obligación del órgano judicial de proceder al examen de oficio de la eventual existencia de cláusulas abusivas, en cualquier momento del proceso. Del mismo modo, se invocó la STC 31/2019, de 28 de febrero, sobre la materia, con reseña parcial de su contenido. En el escrito se alegaba el carácter abusivo de diversas cláusulas contenidas en el contrato de préstamo con garantía hipotecaria (cláusulas suelo, de interés remuneratorio, de intereses de demora, de comisiones por posición deudora y de vencimiento anticipado). En el mismo escrito se solicitaba la nulidad de las actuaciones y su retroacción hasta el momento inmediatamente anterior al dictado del auto de 30 de junio de 2020, a fin de que el juzgado subsanara la omisión del control exigido por la doctrina citada y realizara el examen sobre la abusividad de las citadas cláusulas. Finalmente, se interesaba la suspensión cautelar del lanzamiento, fundamentado en la eventual ineficacia de la estimación de su petición principal y los perjuicios irreparables que ello le causaría.</w:t>
      </w:r>
    </w:p>
    <w:p w14:paraId="6EAAB4D2" w14:textId="77777777" w:rsidR="00C04533" w:rsidRDefault="00C04533" w:rsidP="00C04533">
      <w:pPr>
        <w:pStyle w:val="TextoNormal"/>
      </w:pPr>
    </w:p>
    <w:p w14:paraId="60D38B7E" w14:textId="77777777" w:rsidR="00C04533" w:rsidRDefault="00C04533" w:rsidP="00C04533">
      <w:pPr>
        <w:pStyle w:val="TextoNormal"/>
      </w:pPr>
      <w:r>
        <w:t>e) El incidente fue desestimado por el auto de 17 de junio de 2024, ahora impugnado. En su fundamento jurídico único, y tras hacer una transcripción del art. 238 de la Ley Orgánica del Poder Judicial (LOPJ), el juzgado expone el siguiente razonamiento:</w:t>
      </w:r>
    </w:p>
    <w:p w14:paraId="1504A09F" w14:textId="77777777" w:rsidR="00C04533" w:rsidRDefault="00C04533" w:rsidP="00C04533">
      <w:pPr>
        <w:pStyle w:val="TextoNormal"/>
      </w:pPr>
    </w:p>
    <w:p w14:paraId="31A7787C" w14:textId="77777777" w:rsidR="00C04533" w:rsidRDefault="00C04533" w:rsidP="00C04533">
      <w:pPr>
        <w:pStyle w:val="TextoNormal"/>
      </w:pPr>
      <w:r>
        <w:t>“Único.-</w:t>
      </w:r>
    </w:p>
    <w:p w14:paraId="4500A6CC" w14:textId="77777777" w:rsidR="00C04533" w:rsidRDefault="00C04533" w:rsidP="00C04533">
      <w:pPr>
        <w:pStyle w:val="TextoNormal"/>
      </w:pPr>
    </w:p>
    <w:p w14:paraId="6CA1CB27" w14:textId="77777777" w:rsidR="00C04533" w:rsidRDefault="00C04533" w:rsidP="00C04533">
      <w:pPr>
        <w:pStyle w:val="TextoNormal"/>
      </w:pPr>
      <w:r>
        <w:t>[…]</w:t>
      </w:r>
    </w:p>
    <w:p w14:paraId="70104780" w14:textId="77777777" w:rsidR="00C04533" w:rsidRDefault="00C04533" w:rsidP="00C04533">
      <w:pPr>
        <w:pStyle w:val="TextoNormal"/>
      </w:pPr>
    </w:p>
    <w:p w14:paraId="2632CBCC" w14:textId="77777777" w:rsidR="00C04533" w:rsidRDefault="00C04533" w:rsidP="00C04533">
      <w:pPr>
        <w:pStyle w:val="TextoNormal"/>
      </w:pPr>
      <w:r>
        <w:t>En el caso que nos ocupa, se solicita la nulidad de todas las actuaciones a partir del auto por el que se despacha ejecución de 30 de junio de 2020, en base a la posible abusividad de cláusulas recogidas en el título ejecutivo.</w:t>
      </w:r>
    </w:p>
    <w:p w14:paraId="5B6362EF" w14:textId="77777777" w:rsidR="00C04533" w:rsidRDefault="00C04533" w:rsidP="00C04533">
      <w:pPr>
        <w:pStyle w:val="TextoNormal"/>
      </w:pPr>
    </w:p>
    <w:p w14:paraId="075AE834" w14:textId="437F888D" w:rsidR="00C04533" w:rsidRDefault="00C04533" w:rsidP="00C04533">
      <w:pPr>
        <w:pStyle w:val="TextoNormal"/>
      </w:pPr>
      <w:r>
        <w:t>Conviene manifestar que desde el 30 de junio de 2020, hace más de cuatro años, la ejecutada ha tenido tiempo de advertir sobre dicha circunstancia, que por otra parte, no queda acreditado ninguno de los supuestos recogidos en el precitado artículo 238 LOPJ, que darían lugar a la nulidad de los actos procesales, por lo que resulta procedente el mantenimiento y validez de todas las actuaciones realizadas hasta la fecha”.</w:t>
      </w:r>
    </w:p>
    <w:p w14:paraId="21A8DDAD" w14:textId="77777777" w:rsidR="00C04533" w:rsidRDefault="00C04533" w:rsidP="00C04533">
      <w:pPr>
        <w:pStyle w:val="TextoNormal"/>
      </w:pPr>
    </w:p>
    <w:p w14:paraId="46F364A8" w14:textId="77777777" w:rsidR="00C04533" w:rsidRDefault="00C04533" w:rsidP="00C04533">
      <w:pPr>
        <w:pStyle w:val="TextoNormal"/>
      </w:pPr>
      <w:r w:rsidRPr="00C04533">
        <w:rPr>
          <w:rStyle w:val="NumeroAFNegritaCaracter"/>
        </w:rPr>
        <w:t>3</w:t>
      </w:r>
      <w:r>
        <w:t>. En la demanda de amparo se alega, en síntesis, la vulneración del derecho a la tutela judicial efectiva (art. 24.1 CE), en su vertiente de derecho a obtener una resolución fundada en Derecho, por una selección arbitraria de la norma aplicable.</w:t>
      </w:r>
    </w:p>
    <w:p w14:paraId="1C1E0DB9" w14:textId="77777777" w:rsidR="00C04533" w:rsidRDefault="00C04533" w:rsidP="00C04533">
      <w:pPr>
        <w:pStyle w:val="TextoNormal"/>
      </w:pPr>
    </w:p>
    <w:p w14:paraId="70265C2E" w14:textId="77777777" w:rsidR="00C04533" w:rsidRDefault="00C04533" w:rsidP="00C04533">
      <w:pPr>
        <w:pStyle w:val="TextoNormal"/>
      </w:pPr>
      <w:r>
        <w:t xml:space="preserve">Tras exponer brevemente los antecedentes fácticos que consideró de su interés, la demanda reitera las quejas formuladas en el escrito de promoción del incidente de nulidad de actuaciones. Así, destaca la doctrina de este tribunal y del Tribunal de Justicia de la Unión Europea sobre el deber de examen, incluso de oficio, de las cláusulas abusivas por parte del órgano judicial correspondiente, con independencia del estado o la fase del procedimiento. Cita y reseña ampliamente, a tal efecto, la STJUE de 26 de enero de 2017, asunto </w:t>
      </w:r>
      <w:r w:rsidRPr="00C04533">
        <w:rPr>
          <w:i/>
        </w:rPr>
        <w:t>Banco Primus, S.A., y Jesús Gutiérrez García</w:t>
      </w:r>
      <w:r>
        <w:t>, y las SSTC 31/2019 y 150/2021, de 13 de septiembre. Finaliza la fundamentación señalando que la inadmisión del incidente de nulidad de actuaciones, tras haberse invocado la citada doctrina, y sin haber efectuado en ningún momento el control del carácter abusivo de las cláusulas contenidas en el préstamo hipotecario, supone una vulneración del derecho fundamental invocado, “pues el juzgador realiza una selección irrazonable y arbitraria de una norma aplicable y priva al consumidor de los derechos garantizados en la Directiva 93/13[/CE], artículos 6 y 7, en relación a la jurisprudencia aclarada del Tribunal de Justicia de la Unión Europea y del propio Tribunal Constitucional, lo que, a su vez, arrastra la vulneración de su derecho a la vivienda (art. 47 CE) y de su derecho en cuanto que consumidor a no verse vinculado por cláusulas predispuestas por el empresario y de carácter abusivo, derecho de primer orden conforme a la ya referida directiva […], lo que a su vez contraviene los arts. 96.1, 10.2 y 9.1 y 51 CE, así como la interdicción de la arbitrariedad que implica esta inadmisión”.</w:t>
      </w:r>
    </w:p>
    <w:p w14:paraId="68DBD7B9" w14:textId="77777777" w:rsidR="00C04533" w:rsidRDefault="00C04533" w:rsidP="00C04533">
      <w:pPr>
        <w:pStyle w:val="TextoNormal"/>
      </w:pPr>
    </w:p>
    <w:p w14:paraId="29B4C913" w14:textId="77777777" w:rsidR="00C04533" w:rsidRDefault="00C04533" w:rsidP="00C04533">
      <w:pPr>
        <w:pStyle w:val="TextoNormal"/>
      </w:pPr>
      <w:r>
        <w:t>La demanda contiene un apartado con el que justifica la especial trascendencia constitucional del recurso. Aunque no se menciona expresamente alguno de los supuestos contemplados en el fundamento jurídico 2 de la STC 155/2009, de 25 de junio, de la argumentación se deduce claramente la invocación, al menos, de los motivos recogidos en los apartados b) y f) de la citada resolución. Más en concreto, y en lo que ahora interesa, considera que el Tribunal debe pronunciarse para “atajar las excusas formalistas que, en definitiva, soslayan el respeto exigido a la doctrina”, dado que sigue habiendo juzgados que muestran “resistencia a [su] radical aplicación”.</w:t>
      </w:r>
    </w:p>
    <w:p w14:paraId="7146D536" w14:textId="77777777" w:rsidR="00C04533" w:rsidRDefault="00C04533" w:rsidP="00C04533">
      <w:pPr>
        <w:pStyle w:val="TextoNormal"/>
      </w:pPr>
    </w:p>
    <w:p w14:paraId="2FC26546" w14:textId="7267AE67" w:rsidR="00C04533" w:rsidRDefault="00C04533" w:rsidP="00C04533">
      <w:pPr>
        <w:pStyle w:val="TextoNormal"/>
      </w:pPr>
      <w:r>
        <w:t>Por medio de otrosí, la demandante solicita la suspensión cautelar del procedimiento de ejecución hipotecaria, así como la anotación preventiva de la demanda en el registro de la propiedad, al amparo de lo dispuesto en el art. 56 de la Ley Orgánica del Tribunal Constitucional (LOTC), con cita y reseña parcial de diversos autos de este tribunal dictados en tal sentido. En síntesis, considera: (i) que la medida es absolutamente necesaria para impedir que la eventual estimación del amparo pierda su finalidad; (ii) el carácter irreversible de los perjuicios derivados del desalojo de su vivienda habitual y (iii) la ausencia de perturbación o daño grave para los intereses generales o de terceros.</w:t>
      </w:r>
    </w:p>
    <w:p w14:paraId="5DB9978B" w14:textId="77777777" w:rsidR="00C04533" w:rsidRDefault="00C04533" w:rsidP="00C04533">
      <w:pPr>
        <w:pStyle w:val="TextoNormal"/>
      </w:pPr>
    </w:p>
    <w:p w14:paraId="3A8797FA" w14:textId="28A8CD53" w:rsidR="00C04533" w:rsidRDefault="00C04533" w:rsidP="00C04533">
      <w:pPr>
        <w:pStyle w:val="TextoNormal"/>
      </w:pPr>
      <w:r w:rsidRPr="00C04533">
        <w:rPr>
          <w:rStyle w:val="NumeroAFNegritaCaracter"/>
        </w:rPr>
        <w:t>4</w:t>
      </w:r>
      <w:r>
        <w:t>. Con carácter previo a la decisión sobre la admisión o no a trámite del recurso, por medio de diligencia de 30 de septiembre de 2024 se hizo constar que “puestos en contacto telefónico con [una] funcionaria del Juzgado de Primera [Instancia] núm. 4 de Fuengirola manifiesta que a día de hoy no consta señalado el lanzamiento acordado en el procedimiento de ejecución hipotecaria núm. 58-2020 del que trae causa el presente recurso de amparo”.</w:t>
      </w:r>
    </w:p>
    <w:p w14:paraId="2ED60D17" w14:textId="77777777" w:rsidR="00C04533" w:rsidRDefault="00C04533" w:rsidP="00C04533">
      <w:pPr>
        <w:pStyle w:val="TextoNormal"/>
      </w:pPr>
    </w:p>
    <w:p w14:paraId="7D99521C" w14:textId="77777777" w:rsidR="00C04533" w:rsidRDefault="00C04533" w:rsidP="00C04533">
      <w:pPr>
        <w:pStyle w:val="TextoNormal"/>
      </w:pPr>
      <w:r w:rsidRPr="00C04533">
        <w:rPr>
          <w:rStyle w:val="NumeroAFNegritaCaracter"/>
        </w:rPr>
        <w:t>5</w:t>
      </w:r>
      <w:r>
        <w:t>. La Sala Primera, Sección Segunda, de este Tribunal Constitucional, dictó providencia el 21 de octubre de 2024 del siguiente tenor:</w:t>
      </w:r>
    </w:p>
    <w:p w14:paraId="77816559" w14:textId="77777777" w:rsidR="00C04533" w:rsidRDefault="00C04533" w:rsidP="00C04533">
      <w:pPr>
        <w:pStyle w:val="TextoNormal"/>
      </w:pPr>
    </w:p>
    <w:p w14:paraId="52F2A63E" w14:textId="77777777" w:rsidR="00C04533" w:rsidRDefault="00C04533" w:rsidP="00C04533">
      <w:pPr>
        <w:pStyle w:val="TextoNormal"/>
      </w:pPr>
      <w:r>
        <w:t>“La Sección [Segunda]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14:paraId="5A7EEC3B" w14:textId="77777777" w:rsidR="00C04533" w:rsidRDefault="00C04533" w:rsidP="00C04533">
      <w:pPr>
        <w:pStyle w:val="TextoNormal"/>
      </w:pPr>
    </w:p>
    <w:p w14:paraId="53F28FAA" w14:textId="77777777" w:rsidR="00C04533" w:rsidRDefault="00C04533" w:rsidP="00C04533">
      <w:pPr>
        <w:pStyle w:val="TextoNormal"/>
      </w:pPr>
      <w:r>
        <w:t>Por ello, en aplicación de lo dispuesto en el art. 51 LOTC, diríjase atenta comunicación al Juzgado de Primera Instancia núm. 4 de Fuengirola [a] fin de que proceda a remitir en el plazo de diez días testimonio completo de las actuaciones correspondientes a la ejecución hipotecaria núm. 58-2020 y emplace para que en el plazo de diez días puedan comparecer, si lo desean, en el recurso de amparo a quienes hubieran sido parte en el procedimiento, excepto la parte recurrente en amparo.</w:t>
      </w:r>
    </w:p>
    <w:p w14:paraId="55C6347F" w14:textId="77777777" w:rsidR="00C04533" w:rsidRDefault="00C04533" w:rsidP="00C04533">
      <w:pPr>
        <w:pStyle w:val="TextoNormal"/>
      </w:pPr>
    </w:p>
    <w:p w14:paraId="5ADD2D40" w14:textId="2A35993C" w:rsidR="00C04533" w:rsidRDefault="00C04533" w:rsidP="00C04533">
      <w:pPr>
        <w:pStyle w:val="TextoNormal"/>
      </w:pPr>
      <w:r>
        <w:t>Habiéndose solicitado por la parte recurrente la suspensión cautelar del curso del procedimiento impugnado, fórmese la correspondiente pieza de suspensión”.</w:t>
      </w:r>
    </w:p>
    <w:p w14:paraId="0BBB09E4" w14:textId="77777777" w:rsidR="00C04533" w:rsidRDefault="00C04533" w:rsidP="00C04533">
      <w:pPr>
        <w:pStyle w:val="TextoNormal"/>
      </w:pPr>
    </w:p>
    <w:p w14:paraId="75275B43" w14:textId="48EFEAD6" w:rsidR="00C04533" w:rsidRDefault="00C04533" w:rsidP="00C04533">
      <w:pPr>
        <w:pStyle w:val="TextoNormal"/>
      </w:pPr>
      <w:r w:rsidRPr="00C04533">
        <w:rPr>
          <w:rStyle w:val="NumeroAFNegritaCaracter"/>
        </w:rPr>
        <w:t>6</w:t>
      </w:r>
      <w:r>
        <w:t>. Por nueva providencia dictada por la Sección Segunda de este tribunal en la misma fecha de la admisión del recurso, se dispuso “formar con el precedente testimonio la presente pieza separada de suspensión y, de conformidad con lo prevenido en el art. 56 LOTC, conceder un plazo común de tres días, al Ministerio Fiscal y a l[a] solicitante de amparo, para que dentro de dicho término aleguen lo que estimen pertinente en relación con la petición de suspensión interesada”.</w:t>
      </w:r>
    </w:p>
    <w:p w14:paraId="1DBF8998" w14:textId="77777777" w:rsidR="00C04533" w:rsidRDefault="00C04533" w:rsidP="00C04533">
      <w:pPr>
        <w:pStyle w:val="TextoNormal"/>
      </w:pPr>
    </w:p>
    <w:p w14:paraId="36C254EC" w14:textId="2A7A0FE9" w:rsidR="00C04533" w:rsidRDefault="00C04533" w:rsidP="00C04533">
      <w:pPr>
        <w:pStyle w:val="TextoNormal"/>
      </w:pPr>
      <w:r w:rsidRPr="00C04533">
        <w:rPr>
          <w:rStyle w:val="NumeroAFNegritaCaracter"/>
        </w:rPr>
        <w:t>7</w:t>
      </w:r>
      <w:r>
        <w:t>. La recurrente presentó sus alegaciones en fecha 25 de octubre de 2024, reiterando la solicitud de suspensión del procedimiento de origen y la anotación preventiva de la demanda de amparo. En su escrito cita la doctrina de este tribunal sobre la cuestión planteada, con reseña parcial de los AATC 58/2018, de 4 de junio, y 102/2019, de 16 de septiembre, entre otros, a los que añade los recientes AATC 50/2020, de 15 de junio, y 139/2020, de 16 de noviembre. En síntesis, la demandante señala que, aunque no existe una nueva fecha para el lanzamiento (después de la última suspensión de la diligencia acordada para el día 23 de mayo de 2024), considera que la continuación del procedimiento y el consiguiente desalojo le causaría un perjuicio de muy difícil reparación, de forma que el amparo se vería radical e irreversiblemente vacío de contenido. Expone la situación personal y familiar, consistente en la convivencia con un hijo que todavía está estudiando, una hija que es a su vez madre soltera y desempleada, y un nieto de diez meses de edad [el escrito no se acompaña de documental alguno que permita verificar estos extremos]. La privación de la posesión de la vivienda podría no ser reversible en el caso de que se vendiera a un tercero. Además, considera que concurre apariencia de buen derecho —reiterando el argumento de fondo de la demanda—; que la medida no causaría perturbación alguna de los intereses generales que, en este caso, estaría concretada en el marco de garantías a los consumidores; y que tampoco genera ningún daño grave a terceros y, singularmente, a la entidad ejecutante, que es un “fondo buitre” que no necesita el uso de la vivienda.</w:t>
      </w:r>
    </w:p>
    <w:p w14:paraId="35785B66" w14:textId="77777777" w:rsidR="00C04533" w:rsidRDefault="00C04533" w:rsidP="00C04533">
      <w:pPr>
        <w:pStyle w:val="TextoNormal"/>
      </w:pPr>
    </w:p>
    <w:p w14:paraId="400B6E78" w14:textId="77777777" w:rsidR="00C04533" w:rsidRDefault="00C04533" w:rsidP="00C04533">
      <w:pPr>
        <w:pStyle w:val="TextoNormal"/>
      </w:pPr>
      <w:r w:rsidRPr="00C04533">
        <w:rPr>
          <w:rStyle w:val="NumeroAFNegritaCaracter"/>
        </w:rPr>
        <w:t>8</w:t>
      </w:r>
      <w:r>
        <w:t>. El fiscal ante este Tribunal Constitucional formalizó su escrito de alegaciones en esta pieza el 8 de noviembre de 2024, interesando que se adopte la medida de anotación preventiva de la demanda de amparo, pero no así la suspensión del procedimiento de origen solicitada por la recurrente.</w:t>
      </w:r>
    </w:p>
    <w:p w14:paraId="51A2EF94" w14:textId="77777777" w:rsidR="00C04533" w:rsidRDefault="00C04533" w:rsidP="00C04533">
      <w:pPr>
        <w:pStyle w:val="TextoNormal"/>
      </w:pPr>
    </w:p>
    <w:p w14:paraId="5C8C7696" w14:textId="769926B5" w:rsidR="00C04533" w:rsidRDefault="00C04533" w:rsidP="00C04533">
      <w:pPr>
        <w:pStyle w:val="TextoNormal"/>
      </w:pPr>
      <w:r>
        <w:t>Tras reseñar los antecedentes que consideró de interés, expone la doctrina general de este tribunal —con profusión de citas— sobre la naturaleza excepcional de la medida solicitada (ATC 103/2021, de 13 de diciembre); sobre su escasa aplicabilidad en los supuestos de perjuicios de carácter patrimonial (ATC 199/2010, de 21 de diciembre), con las debidas excepciones en casos como el que ahora concurre (ATC 117/2018, de 29 de octubre); así como sobre la carga que corresponde a la parte recurrente para acreditar los perjuicios irreparables alegados (ATC 36/2007, de 12 de febrero); y la posibilidad de adoptar la medida de anotación preventiva de la demanda (ATC 95/2015, de 25 de mayo). Conforme a ese contexto, el Ministerio Fiscal considera, por un lado, que la petición de suspensión del procedimiento de origen “no parece muy fundamentada”, puesto que no solucionaría los posibles perjuicios que se derivarían de la venta del inmueble a un tercero en condiciones de hacerla irreivindicable, lo que podría producirse con independencia de que el procedimiento esté o no suspendido; y, por otro lado, que la medida más eficaz sería la anotación preventiva de la demanda en el registro de la propiedad, que reflejaría así fielmente la realidad de la situación del inmueble hipotecado, evitando situaciones “cuya reversibilidad deviniera poco menos que imposible”.</w:t>
      </w:r>
    </w:p>
    <w:p w14:paraId="72AC4FCA" w14:textId="77777777" w:rsidR="00C04533" w:rsidRDefault="00C04533" w:rsidP="00C04533">
      <w:pPr>
        <w:pStyle w:val="TextoNormal"/>
      </w:pPr>
    </w:p>
    <w:p w14:paraId="13580B0A" w14:textId="7252B396" w:rsidR="00C04533" w:rsidRDefault="00C04533" w:rsidP="00C04533">
      <w:pPr>
        <w:pStyle w:val="TextoNormal"/>
      </w:pPr>
      <w:r w:rsidRPr="00C04533">
        <w:rPr>
          <w:rStyle w:val="NumeroAFNegritaCaracter"/>
        </w:rPr>
        <w:t>9</w:t>
      </w:r>
      <w:r>
        <w:t>. La entidad LSF11 Boson Investments, S.A.R.L., ha comparecido en el recurso de amparo, habiendo presentado escrito de alegaciones en esta pieza en fecha 12 de noviembre de 2024. La citada entidad considera que no procede la suspensión del procedimiento civil de origen, puesto que sería necesario una decisión expresa de este tribunal, entendiendo que no concurre ninguna de las causas de suspensión previstas en el art. 565.1 de la Ley de enjuiciamiento civil [sic].</w:t>
      </w:r>
    </w:p>
    <w:p w14:paraId="1A47AF50" w14:textId="77777777" w:rsidR="00C04533" w:rsidRDefault="00C04533" w:rsidP="00C04533">
      <w:pPr>
        <w:pStyle w:val="TextoNormal"/>
      </w:pPr>
    </w:p>
    <w:p w14:paraId="49F50D18" w14:textId="77777777" w:rsidR="00C04533" w:rsidRDefault="00C04533" w:rsidP="00C04533">
      <w:pPr>
        <w:pStyle w:val="TextoNormalNegritaCentrado"/>
        <w:keepNext/>
      </w:pPr>
      <w:r>
        <w:t>II. Fundamentos jurídicos</w:t>
      </w:r>
    </w:p>
    <w:p w14:paraId="3CB1F6EF" w14:textId="125B0C56" w:rsidR="00C04533" w:rsidRDefault="00C04533" w:rsidP="00C04533">
      <w:pPr>
        <w:pStyle w:val="TextoNormalNegritaCentrado"/>
        <w:keepNext/>
      </w:pPr>
    </w:p>
    <w:p w14:paraId="1F1EA0CE" w14:textId="60147295" w:rsidR="00C04533" w:rsidRDefault="00C04533" w:rsidP="00C04533">
      <w:pPr>
        <w:pStyle w:val="TextoNormal"/>
      </w:pPr>
      <w:r w:rsidRPr="00C04533">
        <w:rPr>
          <w:rStyle w:val="NumeroAFNegritaCaracter"/>
        </w:rPr>
        <w:t>1</w:t>
      </w:r>
      <w:r>
        <w:t>. El objeto de esta pieza de suspensión consiste en determinar la procedencia o no de la medida cautelar instada por la parte recurrente en amparo y dirigida frente al procedimiento de ejecución hipotecaria núm. 58-2020 seguido en el Juzgado de Primera Instancia núm. 4 de Fuengirola (Málaga).</w:t>
      </w:r>
    </w:p>
    <w:p w14:paraId="479982D9" w14:textId="77777777" w:rsidR="00C04533" w:rsidRDefault="00C04533" w:rsidP="00C04533">
      <w:pPr>
        <w:pStyle w:val="TextoNormal"/>
      </w:pPr>
    </w:p>
    <w:p w14:paraId="1010C9FC" w14:textId="77777777" w:rsidR="00C04533" w:rsidRDefault="00C04533" w:rsidP="00C04533">
      <w:pPr>
        <w:pStyle w:val="TextoNormal"/>
      </w:pPr>
      <w:r w:rsidRPr="00C04533">
        <w:rPr>
          <w:rStyle w:val="NumeroAFNegritaCaracter"/>
        </w:rPr>
        <w:t>2</w:t>
      </w:r>
      <w:r>
        <w:t>. Para resolver este incidente cautelar es necesario partir de lo que dispone el art. 56.1 LOTC que, como regla general, establece que “[l]a interposición del recurso de amparo no suspenderá los efectos del acto o sentencia impugnados”. No obstante, su apartado segundo señala inmediatamente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14:paraId="75FE1D0D" w14:textId="77777777" w:rsidR="00C04533" w:rsidRDefault="00C04533" w:rsidP="00C04533">
      <w:pPr>
        <w:pStyle w:val="TextoNormal"/>
      </w:pPr>
    </w:p>
    <w:p w14:paraId="53C13603" w14:textId="77777777" w:rsidR="00C04533" w:rsidRDefault="00C04533" w:rsidP="00C04533">
      <w:pPr>
        <w:pStyle w:val="TextoNormal"/>
      </w:pPr>
      <w:r>
        <w:t>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14:paraId="18A52C3B" w14:textId="77777777" w:rsidR="00C04533" w:rsidRDefault="00C04533" w:rsidP="00C04533">
      <w:pPr>
        <w:pStyle w:val="TextoNormal"/>
      </w:pPr>
    </w:p>
    <w:p w14:paraId="43A632AC" w14:textId="4AE87C24" w:rsidR="00C04533" w:rsidRDefault="00C04533" w:rsidP="00C04533">
      <w:pPr>
        <w:pStyle w:val="TextoNormal"/>
      </w:pPr>
      <w:r>
        <w:t>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14:paraId="1E1FAAC9" w14:textId="77777777" w:rsidR="00C04533" w:rsidRDefault="00C04533" w:rsidP="00C04533">
      <w:pPr>
        <w:pStyle w:val="TextoNormal"/>
      </w:pPr>
    </w:p>
    <w:p w14:paraId="7150C980" w14:textId="77777777" w:rsidR="00C04533" w:rsidRDefault="00C04533" w:rsidP="00C04533">
      <w:pPr>
        <w:pStyle w:val="TextoNormal"/>
      </w:pPr>
      <w:r w:rsidRPr="00C04533">
        <w:rPr>
          <w:rStyle w:val="NumeroAFNegritaCaracter"/>
        </w:rPr>
        <w:t>3</w:t>
      </w:r>
      <w:r>
        <w:t>.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14:paraId="502ED5C2" w14:textId="77777777" w:rsidR="00C04533" w:rsidRDefault="00C04533" w:rsidP="00C04533">
      <w:pPr>
        <w:pStyle w:val="TextoNormal"/>
      </w:pPr>
    </w:p>
    <w:p w14:paraId="43C4AD5A" w14:textId="77777777" w:rsidR="00C04533" w:rsidRDefault="00C04533" w:rsidP="00C04533">
      <w:pPr>
        <w:pStyle w:val="TextoNormal"/>
      </w:pPr>
      <w:r>
        <w:t>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14:paraId="55D84C41" w14:textId="77777777" w:rsidR="00C04533" w:rsidRDefault="00C04533" w:rsidP="00C04533">
      <w:pPr>
        <w:pStyle w:val="TextoNormal"/>
      </w:pPr>
    </w:p>
    <w:p w14:paraId="36AAEA99" w14:textId="7DE62F8F" w:rsidR="00C04533" w:rsidRDefault="00C04533" w:rsidP="00C04533">
      <w:pPr>
        <w:pStyle w:val="TextoNormal"/>
      </w:pPr>
      <w:r>
        <w:t>Adicionalmente, “el Tribunal viene exigiendo a quien solicita la adopción de la medida cautelar de suspensión del acto o resolución judicial recurrido que alegue, pruebe o al menos, justifique —ofreciendo un principio razonable de prueba—, la irreparabilidad o dificultad de la reparación de los perjuicios de seguirse la ejecución del acto impugnado, y ello con el objeto de mostrar que la ejecución del acto impugnado puede privar al recurso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o 190/2015, de 5 de noviembre, FJ 2 a)]. Y precisamente para asegurar que quede preservada la finalidad de la adopción de la medida cautelar, se ha establecido que no resulta adecuada la suspensión de actos o resoluciones ya ejecutados, siendo posible la suspensión, exclusivamente, de la ejecución de un acto que se está produciendo o que podría producirse en el futuro” (ATC 59/2017, de 24 de abril, FJ 1).</w:t>
      </w:r>
    </w:p>
    <w:p w14:paraId="6BAA65B1" w14:textId="77777777" w:rsidR="00C04533" w:rsidRDefault="00C04533" w:rsidP="00C04533">
      <w:pPr>
        <w:pStyle w:val="TextoNormal"/>
      </w:pPr>
    </w:p>
    <w:p w14:paraId="2B934B11" w14:textId="77777777" w:rsidR="00C04533" w:rsidRDefault="00C04533" w:rsidP="00C04533">
      <w:pPr>
        <w:pStyle w:val="TextoNormal"/>
      </w:pPr>
      <w:r w:rsidRPr="00C04533">
        <w:rPr>
          <w:rStyle w:val="NumeroAFNegritaCaracter"/>
        </w:rPr>
        <w:t>4</w:t>
      </w:r>
      <w:r>
        <w:t>. La aplicación al caso aquí planteado de lo expuesto en los dos fundamentos jurídicos anteriores, permite concluir que resulta procedente la suspensión solicitada, así como la anotación preventiva de la demanda de amparo en el registro de la propiedad.</w:t>
      </w:r>
    </w:p>
    <w:p w14:paraId="1F5A17EC" w14:textId="77777777" w:rsidR="00C04533" w:rsidRDefault="00C04533" w:rsidP="00C04533">
      <w:pPr>
        <w:pStyle w:val="TextoNormal"/>
      </w:pPr>
    </w:p>
    <w:p w14:paraId="3A849E89" w14:textId="77777777" w:rsidR="00C04533" w:rsidRDefault="00C04533" w:rsidP="00C04533">
      <w:pPr>
        <w:pStyle w:val="TextoNormal"/>
      </w:pPr>
      <w:r>
        <w:t>Conforme a nuestra doctrina, la continuación del procedimiento de origen, con la consiguiente ejecución del lanzamiento ya acordado y el abandono del inmueble que constituye la vivienda habitual de la recurrente (dato no controvertido), implica un perjuicio que, si no es imposible de reparar, sí resulta de muy difícil reversión. Esta tesis ha sido aplicada, entre otros, en los AATC 58/2018, FJ 2, con cita del ATC 37/2014, de 10 de febrero, FJ 3, y 117/2018, FJ 3. Por contra, no se aprecia perjuicio alguno al interés general ni a los derechos de la otra parte que, en este caso en concreto, ya se han visto formalmente reconocidos en el procedimiento civil, quedando a la espera únicamente de su ejecución.</w:t>
      </w:r>
    </w:p>
    <w:p w14:paraId="2745764A" w14:textId="77777777" w:rsidR="00C04533" w:rsidRDefault="00C04533" w:rsidP="00C04533">
      <w:pPr>
        <w:pStyle w:val="TextoNormal"/>
      </w:pPr>
    </w:p>
    <w:p w14:paraId="3531AB1D" w14:textId="77777777" w:rsidR="00C04533" w:rsidRDefault="00C04533" w:rsidP="00C04533">
      <w:pPr>
        <w:pStyle w:val="TextoNormal"/>
      </w:pPr>
      <w:r>
        <w:t>Además, procede acordar, igualmente, la medida cautelar solicitada de anotación preventiva de la demanda de amparo en el registro de la propiedad, en cuanto se reputa medida idónea para evitar el perjuicio derivado de que, durante la tramitación de este recurso de amparo, se produjera una hipotética adquisición del bien por un tercero en condiciones tales que lo hiciera irreivindicable. Esta misma ha sido la solución acogida, entre otros, en los AATC 106/2017, de 17 de julio, FJ 3; 88/2018, de 17 de septiembre, FJ 5, y 2/2019, de 9 de enero, FJ 4.</w:t>
      </w:r>
    </w:p>
    <w:p w14:paraId="7F7AFEC5" w14:textId="77777777" w:rsidR="00C04533" w:rsidRDefault="00C04533" w:rsidP="00C04533">
      <w:pPr>
        <w:pStyle w:val="TextoNormal"/>
      </w:pPr>
    </w:p>
    <w:p w14:paraId="0121A7EC" w14:textId="77777777" w:rsidR="00C04533" w:rsidRDefault="00C04533" w:rsidP="00C04533">
      <w:pPr>
        <w:pStyle w:val="TextoNormal"/>
      </w:pPr>
      <w:r>
        <w:t>Cabe recordar que se trata de una medida cautelar que este tribunal, de conformidad con el art. 56 LOTC, puede adoptar de oficio o a instancia de parte, con fundamento en el art. 42.1 de la Ley hipotecaria, y,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14:paraId="6FE85665" w14:textId="77777777" w:rsidR="00C04533" w:rsidRDefault="00C04533" w:rsidP="00C04533">
      <w:pPr>
        <w:pStyle w:val="TextoNormal"/>
      </w:pPr>
    </w:p>
    <w:p w14:paraId="05362A13" w14:textId="3AFAC82D" w:rsidR="00C04533" w:rsidRDefault="00C04533" w:rsidP="00C04533">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FJ 5, y 88/2018, FJ 5).</w:t>
      </w:r>
    </w:p>
    <w:p w14:paraId="06AD3EFA" w14:textId="77777777" w:rsidR="00C04533" w:rsidRDefault="00C04533" w:rsidP="00C04533">
      <w:pPr>
        <w:pStyle w:val="TextoNormal"/>
      </w:pPr>
    </w:p>
    <w:p w14:paraId="52C40306" w14:textId="44B4F1B1" w:rsidR="00C04533" w:rsidRDefault="00C04533" w:rsidP="00C04533">
      <w:pPr>
        <w:pStyle w:val="TextoNormal"/>
      </w:pPr>
      <w:r w:rsidRPr="00C04533">
        <w:rPr>
          <w:rStyle w:val="NumeroAFNegritaCaracter"/>
        </w:rPr>
        <w:t>5</w:t>
      </w:r>
      <w:r>
        <w:t>. Los razonamientos anteriores, de conformidad con la doctrina expuesta, y sin prejuzgar la decisión de fondo del recurso, conducen a acceder a las medidas cautelares solicitadas.</w:t>
      </w:r>
    </w:p>
    <w:p w14:paraId="2A3651E1" w14:textId="77777777" w:rsidR="00C04533" w:rsidRDefault="00C04533" w:rsidP="00C04533">
      <w:pPr>
        <w:pStyle w:val="TextoNormal"/>
      </w:pPr>
    </w:p>
    <w:p w14:paraId="2DF0AA6D" w14:textId="77777777" w:rsidR="00C04533" w:rsidRDefault="00C04533" w:rsidP="00C04533">
      <w:pPr>
        <w:pStyle w:val="TextoNormal"/>
      </w:pPr>
      <w:r>
        <w:t>Por lo expuesto, la Sala</w:t>
      </w:r>
    </w:p>
    <w:p w14:paraId="0D493C04" w14:textId="4D902538" w:rsidR="00C04533" w:rsidRDefault="00C04533" w:rsidP="00C04533">
      <w:pPr>
        <w:pStyle w:val="TextoNormal"/>
      </w:pPr>
    </w:p>
    <w:p w14:paraId="023C8894" w14:textId="77777777" w:rsidR="00C04533" w:rsidRDefault="00C04533" w:rsidP="00C04533">
      <w:pPr>
        <w:pStyle w:val="TextoNormalCentrado"/>
      </w:pPr>
      <w:r>
        <w:t>ACUERDA</w:t>
      </w:r>
    </w:p>
    <w:p w14:paraId="7723A909" w14:textId="2E18A346" w:rsidR="00C04533" w:rsidRDefault="00C04533" w:rsidP="00C04533">
      <w:pPr>
        <w:pStyle w:val="TextoNormalCentrado"/>
      </w:pPr>
    </w:p>
    <w:p w14:paraId="67891F7E" w14:textId="77777777" w:rsidR="00C04533" w:rsidRDefault="00C04533" w:rsidP="00C04533">
      <w:pPr>
        <w:pStyle w:val="TextoNormal"/>
      </w:pPr>
      <w:r>
        <w:t>Acceder a las medidas cautelares solicitadas y, en consecuencia:</w:t>
      </w:r>
    </w:p>
    <w:p w14:paraId="56357976" w14:textId="77777777" w:rsidR="00C04533" w:rsidRDefault="00C04533" w:rsidP="00C04533">
      <w:pPr>
        <w:pStyle w:val="TextoNormal"/>
      </w:pPr>
    </w:p>
    <w:p w14:paraId="6F0B1710" w14:textId="77777777" w:rsidR="00C04533" w:rsidRDefault="00C04533" w:rsidP="00C04533">
      <w:pPr>
        <w:pStyle w:val="TextoNormal"/>
      </w:pPr>
      <w:r>
        <w:t>1º Decretar la suspensión cautelar del procedimiento de ejecución hipotecaria núm. 58-2020 seguido en el Juzgado de Primera Instancia núm. 4 de Fuengirola.</w:t>
      </w:r>
    </w:p>
    <w:p w14:paraId="3CD93D7C" w14:textId="77777777" w:rsidR="00C04533" w:rsidRDefault="00C04533" w:rsidP="00C04533">
      <w:pPr>
        <w:pStyle w:val="TextoNormal"/>
      </w:pPr>
    </w:p>
    <w:p w14:paraId="3FD4C049" w14:textId="790C3336" w:rsidR="00C04533" w:rsidRDefault="00C04533" w:rsidP="00C04533">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 [finca registral núm. 41798, inscrita en el Registrado de la Propiedad núm. 2 de Fuengirola (Málaga)].</w:t>
      </w:r>
    </w:p>
    <w:p w14:paraId="2C948ECC" w14:textId="77777777" w:rsidR="00C04533" w:rsidRDefault="00C04533" w:rsidP="00C04533">
      <w:pPr>
        <w:pStyle w:val="TextoNormal"/>
      </w:pPr>
    </w:p>
    <w:p w14:paraId="36568F94" w14:textId="77777777" w:rsidR="00C04533" w:rsidRDefault="00C04533" w:rsidP="00C04533">
      <w:pPr>
        <w:pStyle w:val="TextoNormal"/>
      </w:pPr>
      <w:r>
        <w:t>Madrid, a dos de diciembre de dos mil veinticuatro.</w:t>
      </w:r>
    </w:p>
    <w:p w14:paraId="6A4616F0" w14:textId="1DEAEAAD" w:rsidR="00C04533" w:rsidRDefault="00C04533">
      <w:pPr>
        <w:spacing w:after="160" w:line="278" w:lineRule="auto"/>
        <w:rPr>
          <w:rFonts w:ascii="Times New Roman" w:eastAsia="Times New Roman" w:hAnsi="Times New Roman" w:cs="Times New Roman"/>
          <w:sz w:val="24"/>
          <w:szCs w:val="24"/>
          <w:lang w:eastAsia="es-ES"/>
        </w:rPr>
      </w:pPr>
      <w:r>
        <w:br w:type="page"/>
      </w:r>
    </w:p>
    <w:p w14:paraId="15455990" w14:textId="77777777" w:rsidR="00C04533" w:rsidRDefault="00C04533" w:rsidP="00C04533">
      <w:pPr>
        <w:pStyle w:val="TtuloResolucin"/>
      </w:pPr>
      <w:bookmarkStart w:id="159" w:name="AUTO_2024_153"/>
      <w:r>
        <w:t>AUTO 153/2024, de 3 de diciembre de 2024</w:t>
      </w:r>
    </w:p>
    <w:bookmarkEnd w:id="159"/>
    <w:p w14:paraId="182E929C" w14:textId="77777777" w:rsidR="00C04533" w:rsidRDefault="00C04533" w:rsidP="00C04533">
      <w:pPr>
        <w:pStyle w:val="TtuloResolucin"/>
      </w:pPr>
      <w:r>
        <w:t>Pleno</w:t>
      </w:r>
    </w:p>
    <w:p w14:paraId="2E609AA3" w14:textId="77777777" w:rsidR="00C04533" w:rsidRDefault="00C04533" w:rsidP="00C04533">
      <w:pPr>
        <w:pStyle w:val="TextoNormalCentrado"/>
      </w:pPr>
      <w:r>
        <w:t>ECLI:ES:TC:2024:153A</w:t>
      </w:r>
    </w:p>
    <w:p w14:paraId="1E132E65" w14:textId="60E78EDD" w:rsidR="00C04533" w:rsidRDefault="00C04533" w:rsidP="00C04533">
      <w:pPr>
        <w:pStyle w:val="TextoNormalCentrado"/>
      </w:pPr>
    </w:p>
    <w:p w14:paraId="778137D7"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7D43B571" w14:textId="47EA02FB" w:rsidR="00C04533" w:rsidRDefault="00C04533" w:rsidP="00C04533">
      <w:pPr>
        <w:pStyle w:val="SntesisDescriptiva"/>
      </w:pPr>
    </w:p>
    <w:p w14:paraId="042A28E7" w14:textId="77777777" w:rsidR="00C04533" w:rsidRDefault="00C04533" w:rsidP="00C04533">
      <w:pPr>
        <w:pStyle w:val="SntesisDescriptiva"/>
      </w:pPr>
      <w:r>
        <w:t>Inadmite a trámite la cuestión de inconstitucionalidad 4910-2024, planteada por la Audiencia Provincial de Málaga, en relación con el artículo 487.1 de la Ley de enjuiciamiento civil, en la redacción dada por el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w:t>
      </w:r>
    </w:p>
    <w:p w14:paraId="28B9B711" w14:textId="63E931D8" w:rsidR="00C04533" w:rsidRDefault="00C04533" w:rsidP="00C04533">
      <w:pPr>
        <w:pStyle w:val="SntesisDescriptiva"/>
      </w:pPr>
    </w:p>
    <w:p w14:paraId="3E5584F7" w14:textId="77777777" w:rsidR="00C04533" w:rsidRDefault="00C04533" w:rsidP="00C04533">
      <w:pPr>
        <w:pStyle w:val="SntesisDescriptiva"/>
      </w:pPr>
    </w:p>
    <w:p w14:paraId="74950977" w14:textId="77777777" w:rsidR="00C04533" w:rsidRDefault="00C04533" w:rsidP="00C04533">
      <w:pPr>
        <w:pStyle w:val="SntesisDescriptiva"/>
      </w:pPr>
    </w:p>
    <w:p w14:paraId="6884F856" w14:textId="77777777" w:rsidR="00C04533" w:rsidRDefault="00C04533" w:rsidP="00C04533">
      <w:pPr>
        <w:pStyle w:val="TextoNormalNegritaCentrado"/>
      </w:pPr>
      <w:r>
        <w:t>AUTO</w:t>
      </w:r>
    </w:p>
    <w:p w14:paraId="13A72F60" w14:textId="0FD13904" w:rsidR="00C04533" w:rsidRDefault="00C04533" w:rsidP="00C04533">
      <w:pPr>
        <w:pStyle w:val="TextoNormalNegritaCentrado"/>
      </w:pPr>
    </w:p>
    <w:p w14:paraId="10A784B8" w14:textId="77777777" w:rsidR="00C04533" w:rsidRDefault="00C04533" w:rsidP="00C04533">
      <w:pPr>
        <w:pStyle w:val="TextoNormalNegritaCentrado"/>
        <w:keepNext/>
      </w:pPr>
      <w:r>
        <w:t>I. Antecedentes</w:t>
      </w:r>
    </w:p>
    <w:p w14:paraId="2D05F4C6" w14:textId="588C1251" w:rsidR="00C04533" w:rsidRDefault="00C04533" w:rsidP="00C04533">
      <w:pPr>
        <w:pStyle w:val="TextoNormalNegritaCentrado"/>
        <w:keepNext/>
      </w:pPr>
    </w:p>
    <w:p w14:paraId="29A97EAB" w14:textId="6BF698CA" w:rsidR="00C04533" w:rsidRDefault="00C04533" w:rsidP="00C04533">
      <w:pPr>
        <w:pStyle w:val="TextoNormal"/>
      </w:pPr>
      <w:r w:rsidRPr="00C04533">
        <w:rPr>
          <w:rStyle w:val="NumeroAFNegritaCaracter"/>
        </w:rPr>
        <w:t>1</w:t>
      </w:r>
      <w:r>
        <w:t>. El 26 de junio de 2024 tuvo entrada en el registro general del Tribunal Constitucional, un oficio de la Sección Sexta de la Audiencia Provincial de Málaga, al que se acompaña, junto con el testimonio del procedimiento correspondiente (recurso de apelación núm. 1464-2019 y procedimiento ordinario núm. 2602-2017), el auto de 11 de junio de 2024 por el que se acuerda plantear cuestión de inconstitucionalidad “del texto e interpretación” del art. 487.1 de la Ley de enjuiciamiento civil (LEC), en la redacción dada por el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w:t>
      </w:r>
    </w:p>
    <w:p w14:paraId="1C684949" w14:textId="77777777" w:rsidR="00C04533" w:rsidRDefault="00C04533" w:rsidP="00C04533">
      <w:pPr>
        <w:pStyle w:val="TextoNormal"/>
      </w:pPr>
    </w:p>
    <w:p w14:paraId="165F5DC8" w14:textId="77777777" w:rsidR="00C04533" w:rsidRDefault="00C04533" w:rsidP="00C04533">
      <w:pPr>
        <w:pStyle w:val="TextoNormal"/>
      </w:pPr>
      <w:r w:rsidRPr="00C04533">
        <w:rPr>
          <w:rStyle w:val="NumeroAFNegritaCaracter"/>
        </w:rPr>
        <w:t>2</w:t>
      </w:r>
      <w:r>
        <w:t>. Los hechos que pueden ser relevantes en este proceso constitucional son los siguientes:</w:t>
      </w:r>
    </w:p>
    <w:p w14:paraId="2D04CF9C" w14:textId="77777777" w:rsidR="00C04533" w:rsidRDefault="00C04533" w:rsidP="00C04533">
      <w:pPr>
        <w:pStyle w:val="TextoNormal"/>
      </w:pPr>
    </w:p>
    <w:p w14:paraId="6BF1C5A5" w14:textId="77777777" w:rsidR="00C04533" w:rsidRDefault="00C04533" w:rsidP="00C04533">
      <w:pPr>
        <w:pStyle w:val="TextoNormal"/>
      </w:pPr>
      <w:r>
        <w:t xml:space="preserve">a) Por sentencia núm. 515/2019, de 21 de mayo, del Juzgado de Primera Instancia núm. 18 </w:t>
      </w:r>
      <w:r w:rsidRPr="00C04533">
        <w:rPr>
          <w:i/>
        </w:rPr>
        <w:t>bis</w:t>
      </w:r>
      <w:r>
        <w:t xml:space="preserve"> de Málaga (procedimiento ordinario núm. 2602-2017) se desestima la demanda presentada frente a CajaSur Banco, S.A.U., ejercitada en petición de declaración de nulidad de la denominada cláusula suelo de la escritura de constitución de préstamo hipotecario y condena a la entidad demandada de la cuantía de 11 354,75 € más intereses.</w:t>
      </w:r>
    </w:p>
    <w:p w14:paraId="48FB7AF8" w14:textId="77777777" w:rsidR="00C04533" w:rsidRDefault="00C04533" w:rsidP="00C04533">
      <w:pPr>
        <w:pStyle w:val="TextoNormal"/>
      </w:pPr>
    </w:p>
    <w:p w14:paraId="63CE74F4" w14:textId="77777777" w:rsidR="00C04533" w:rsidRDefault="00C04533" w:rsidP="00C04533">
      <w:pPr>
        <w:pStyle w:val="TextoNormal"/>
      </w:pPr>
      <w:r>
        <w:t>b) Por sentencia núm. 1044/2020, de 3 de noviembre, de la Sección Sexta de la Audiencia Provincial de Málaga, se desestima el recurso de apelación presentado frente a la anterior resolución.</w:t>
      </w:r>
    </w:p>
    <w:p w14:paraId="296035C4" w14:textId="77777777" w:rsidR="00C04533" w:rsidRDefault="00C04533" w:rsidP="00C04533">
      <w:pPr>
        <w:pStyle w:val="TextoNormal"/>
      </w:pPr>
    </w:p>
    <w:p w14:paraId="2F7B977A" w14:textId="77777777" w:rsidR="00C04533" w:rsidRDefault="00C04533" w:rsidP="00C04533">
      <w:pPr>
        <w:pStyle w:val="TextoNormal"/>
      </w:pPr>
      <w:r>
        <w:t>c) La parte apelante interpuso recurso por infracción procesal y recurso de casación contra la sentencia anterior. La sentencia núm. 1389/2023, de 10 de octubre, de la Sala de lo Civil del Tribunal Supremo (ECLI:ES:TS:2023:4069), estima el recurso de casación. El fallo de dicha sentencia es el siguiente:</w:t>
      </w:r>
    </w:p>
    <w:p w14:paraId="4104A152" w14:textId="77777777" w:rsidR="00C04533" w:rsidRDefault="00C04533" w:rsidP="00C04533">
      <w:pPr>
        <w:pStyle w:val="TextoNormal"/>
      </w:pPr>
    </w:p>
    <w:p w14:paraId="1570E8DE" w14:textId="77777777" w:rsidR="00C04533" w:rsidRDefault="00C04533" w:rsidP="00C04533">
      <w:pPr>
        <w:pStyle w:val="TextoNormal"/>
      </w:pPr>
      <w:r>
        <w:t>“1. Estimar el recurso de casación interpuesto por […], contra la sentencia 1044/2020, de 3 de noviembre, dictada por la Sección Sexta de la Audiencia Provincial de Málaga, en el recurso de apelación núm. 1464-2019, que casamos y anulamos.</w:t>
      </w:r>
    </w:p>
    <w:p w14:paraId="158028F0" w14:textId="77777777" w:rsidR="00C04533" w:rsidRDefault="00C04533" w:rsidP="00C04533">
      <w:pPr>
        <w:pStyle w:val="TextoNormal"/>
      </w:pPr>
    </w:p>
    <w:p w14:paraId="46A69141" w14:textId="77777777" w:rsidR="00C04533" w:rsidRDefault="00C04533" w:rsidP="00C04533">
      <w:pPr>
        <w:pStyle w:val="TextoNormal"/>
      </w:pPr>
      <w:r>
        <w:t>2. Devolver las actuaciones al referido tribunal de apelación, que deberá pronunciarse sobre las pretensiones ejercitadas sin poder apreciar la validez de ningún pacto que impida reclamar la nulidad del pacto de limitación de variación mínima de interés variable establecido en la escritura de diciembre de 2004, y la restitución de las cantidades abonadas por su aplicación. La apelación y el eventual recurso extraordinario que se interponga contra la nueva sentencia de la Audiencia Provincial, serán de tramitación preferente.</w:t>
      </w:r>
    </w:p>
    <w:p w14:paraId="6C5B75C7" w14:textId="77777777" w:rsidR="00C04533" w:rsidRDefault="00C04533" w:rsidP="00C04533">
      <w:pPr>
        <w:pStyle w:val="TextoNormal"/>
      </w:pPr>
    </w:p>
    <w:p w14:paraId="36B41BC9" w14:textId="77777777" w:rsidR="00C04533" w:rsidRDefault="00C04533" w:rsidP="00C04533">
      <w:pPr>
        <w:pStyle w:val="TextoNormal"/>
      </w:pPr>
      <w:r>
        <w:t>3. No hacer expresa imposición de las costas por los recursos extraordinarios por infracción procesal y de casación.</w:t>
      </w:r>
    </w:p>
    <w:p w14:paraId="682654CB" w14:textId="77777777" w:rsidR="00C04533" w:rsidRDefault="00C04533" w:rsidP="00C04533">
      <w:pPr>
        <w:pStyle w:val="TextoNormal"/>
      </w:pPr>
    </w:p>
    <w:p w14:paraId="28710069" w14:textId="77777777" w:rsidR="00C04533" w:rsidRDefault="00C04533" w:rsidP="00C04533">
      <w:pPr>
        <w:pStyle w:val="TextoNormal"/>
      </w:pPr>
      <w:r>
        <w:t>4. Ordenar la devolución de los depósitos constituido para el recurso de infracción procesal y de casación”.</w:t>
      </w:r>
    </w:p>
    <w:p w14:paraId="5D7D77F9" w14:textId="77777777" w:rsidR="00C04533" w:rsidRDefault="00C04533" w:rsidP="00C04533">
      <w:pPr>
        <w:pStyle w:val="TextoNormal"/>
      </w:pPr>
    </w:p>
    <w:p w14:paraId="4B249220" w14:textId="77777777" w:rsidR="00C04533" w:rsidRDefault="00C04533" w:rsidP="00C04533">
      <w:pPr>
        <w:pStyle w:val="TextoNormal"/>
      </w:pPr>
      <w:r>
        <w:t>d) Por providencia de 12 de diciembre de 2023 se dio traslado a las partes, para que se pronuncien:</w:t>
      </w:r>
    </w:p>
    <w:p w14:paraId="7B83858A" w14:textId="77777777" w:rsidR="00C04533" w:rsidRDefault="00C04533" w:rsidP="00C04533">
      <w:pPr>
        <w:pStyle w:val="TextoNormal"/>
      </w:pPr>
    </w:p>
    <w:p w14:paraId="11250710" w14:textId="77777777" w:rsidR="00C04533" w:rsidRDefault="00C04533" w:rsidP="00C04533">
      <w:pPr>
        <w:pStyle w:val="TextoNormal"/>
      </w:pPr>
      <w:r>
        <w:t>“Primero: Sobre el planteamiento de una cuestión de inconstitucionalidad […] respecto del artículo 487.1 LEC 1/2000 (en relación al artículo 1.6 del Código civil) tras la reforma producida por el Real Decreto-ley 5/2023 de 28 de junio y disposición transitoria décima de dicha norma, en su apartado 4 y en concreto respecto del párrafo 4 (IV) que tiene el siguiente contenido: En el mismo caso, si concurren los requisitos previstos al efecto en el artículo 487.1 de la Ley de enjuiciamiento civil, el recurso de casación y, en su caso, el recurso extraordinario por infracción procesal, podrán resolverse por medio de auto, que casará la sentencia y devolverá el asunto al tribunal de su procedencia para que dicte nueva resolución de acuerdo con la doctrina jurisprudencial existente sobre la cuestión o cuestiones planteadas.</w:t>
      </w:r>
    </w:p>
    <w:p w14:paraId="330BB69B" w14:textId="77777777" w:rsidR="00C04533" w:rsidRDefault="00C04533" w:rsidP="00C04533">
      <w:pPr>
        <w:pStyle w:val="TextoNormal"/>
      </w:pPr>
    </w:p>
    <w:p w14:paraId="0C66E817" w14:textId="77777777" w:rsidR="00C04533" w:rsidRDefault="00C04533" w:rsidP="00C04533">
      <w:pPr>
        <w:pStyle w:val="TextoNormal"/>
      </w:pPr>
      <w:r>
        <w:t>Segundo: Sobre el planteamiento paralelo de una cuestión prejudicial al amparo de lo previsto en la Directiva 93/13/CEE del Consejo, de 5 de abril de 1993, sobre las cláusulas abusivas en los contratos celebrados con consumidores, respecto de lo siguiente:</w:t>
      </w:r>
    </w:p>
    <w:p w14:paraId="2337BA94" w14:textId="77777777" w:rsidR="00C04533" w:rsidRDefault="00C04533" w:rsidP="00C04533">
      <w:pPr>
        <w:pStyle w:val="TextoNormal"/>
      </w:pPr>
    </w:p>
    <w:p w14:paraId="076EE979" w14:textId="77777777" w:rsidR="00C04533" w:rsidRDefault="00C04533" w:rsidP="00C04533">
      <w:pPr>
        <w:pStyle w:val="TextoNormal"/>
      </w:pPr>
      <w:r>
        <w:t>1. Si la redacción recogida en el artículo 487.1 LEC 1/2000 y su régimen transitorio, tras la reforma producida por el Real Decreto-ley 5/2023 por el que se determina que si hay doctrina jurisprudencial del Tribunal Supremo del Estado sobre alguna cuestión se puedan devolver las actuaciones al órgano inferior para nuevamente resolver conforme a dicha doctrina jurisprudencial aunque ello suponga contradecir la doctrina emanada del Tribunal de Justicia de la Unión Europea en interpretación de la citada norma, en relación a consumidores.</w:t>
      </w:r>
    </w:p>
    <w:p w14:paraId="1AC34693" w14:textId="77777777" w:rsidR="00C04533" w:rsidRDefault="00C04533" w:rsidP="00C04533">
      <w:pPr>
        <w:pStyle w:val="TextoNormal"/>
      </w:pPr>
    </w:p>
    <w:p w14:paraId="7B4D5407" w14:textId="77777777" w:rsidR="00C04533" w:rsidRDefault="00C04533" w:rsidP="00C04533">
      <w:pPr>
        <w:pStyle w:val="TextoNormal"/>
      </w:pPr>
      <w:r>
        <w:t>2. Si al amparo de dicha normativa y dado el asunto a resolver, es conforme al artículo 4, en sus dos apartados de la Directiva 93/13 de la Unión Europea , en relación al artículo 47 párrafos primero y segundo ( tutela judicial efectiva) de la Carta de los derechos fundamentales de la Unión Europea, por cuanto el órgano superior ya establece, al amparo de dicha normativa, cuales son los hechos que el tribunal inferior debe o no tener en cuenta para una segunda decisión, tras la nulidad declarada de la primera”.</w:t>
      </w:r>
    </w:p>
    <w:p w14:paraId="18117DC6" w14:textId="77777777" w:rsidR="00C04533" w:rsidRDefault="00C04533" w:rsidP="00C04533">
      <w:pPr>
        <w:pStyle w:val="TextoNormal"/>
      </w:pPr>
    </w:p>
    <w:p w14:paraId="395F7DB0" w14:textId="75368380" w:rsidR="00C04533" w:rsidRDefault="00C04533" w:rsidP="00C04533">
      <w:pPr>
        <w:pStyle w:val="TextoNormal"/>
      </w:pPr>
      <w:r>
        <w:t>En el trámite conferido alega el apelante. Tras la consulta realizada desde la Secretaría del Pleno del Tribunal Constitucional, la letrada de la administración de justicia de la Sección Sexta de la Audiencia Provincial de Málaga, por diligencia de 1 de julio de 2024 hace constar que “examinadas las actuaciones no consta notificación al Ministerio Fiscal de la providencia de fecha 12 de diciembre de 2023”.</w:t>
      </w:r>
    </w:p>
    <w:p w14:paraId="3ED48BDC" w14:textId="77777777" w:rsidR="00C04533" w:rsidRDefault="00C04533" w:rsidP="00C04533">
      <w:pPr>
        <w:pStyle w:val="TextoNormal"/>
      </w:pPr>
    </w:p>
    <w:p w14:paraId="2F7D1B93" w14:textId="77777777" w:rsidR="00C04533" w:rsidRDefault="00C04533" w:rsidP="00C04533">
      <w:pPr>
        <w:pStyle w:val="TextoNormal"/>
      </w:pPr>
      <w:r w:rsidRPr="00C04533">
        <w:rPr>
          <w:rStyle w:val="NumeroAFNegritaCaracter"/>
        </w:rPr>
        <w:t>3</w:t>
      </w:r>
      <w:r>
        <w:t>. Del contenido del auto de planteamiento de la cuestión de inconstitucionalidad interesa destacar lo siguiente:</w:t>
      </w:r>
    </w:p>
    <w:p w14:paraId="6FDB05FC" w14:textId="77777777" w:rsidR="00C04533" w:rsidRDefault="00C04533" w:rsidP="00C04533">
      <w:pPr>
        <w:pStyle w:val="TextoNormal"/>
      </w:pPr>
    </w:p>
    <w:p w14:paraId="328C38AE" w14:textId="77777777" w:rsidR="00C04533" w:rsidRDefault="00C04533" w:rsidP="00C04533">
      <w:pPr>
        <w:pStyle w:val="TextoNormal"/>
      </w:pPr>
      <w:r>
        <w:t>El órgano judicial, tras referirse a los antecedentes de hecho, expone que la sala ha decidido plantear una cuestión de inconstitucionalidad y una cuestión prejudicial ante el Tribunal de Justicia de la Unión Europea.</w:t>
      </w:r>
    </w:p>
    <w:p w14:paraId="3B7DA4A8" w14:textId="77777777" w:rsidR="00C04533" w:rsidRDefault="00C04533" w:rsidP="00C04533">
      <w:pPr>
        <w:pStyle w:val="TextoNormal"/>
      </w:pPr>
    </w:p>
    <w:p w14:paraId="1B68A3C6" w14:textId="77777777" w:rsidR="00C04533" w:rsidRDefault="00C04533" w:rsidP="00C04533">
      <w:pPr>
        <w:pStyle w:val="TextoNormal"/>
      </w:pPr>
      <w:r>
        <w:t>La cuestión de inconstitucionalidad la divide, a su vez, en dos partes referidas, respectivamente, a la interpretación dada por el Tribunal Supremo del art. 487.1 LEC y de su régimen transitorio; y a la vulneración del sistema de fuentes en relación con el art. 1.6 del Código civil (CC). Así, discrepa de la interpretación del Tribunal Supremo de la disposición transitoria décima, apartado 4, del Real Decreto-ley 5/2023.</w:t>
      </w:r>
    </w:p>
    <w:p w14:paraId="2636A429" w14:textId="77777777" w:rsidR="00C04533" w:rsidRDefault="00C04533" w:rsidP="00C04533">
      <w:pPr>
        <w:pStyle w:val="TextoNormal"/>
      </w:pPr>
    </w:p>
    <w:p w14:paraId="7F2A5B4A" w14:textId="77777777" w:rsidR="00C04533" w:rsidRDefault="00C04533" w:rsidP="00C04533">
      <w:pPr>
        <w:pStyle w:val="TextoNormal"/>
      </w:pPr>
      <w:r>
        <w:t>Asimismo, afirma el órgano judicial que el art. 487.1 LEC es inconstitucional en relación con los arts. 1.6 CC, 13 de la Ley Orgánica del Poder Judicial (LOPJ), y 9.3, 24, 86 y 117 CE.</w:t>
      </w:r>
    </w:p>
    <w:p w14:paraId="0A3799E5" w14:textId="77777777" w:rsidR="00C04533" w:rsidRDefault="00C04533" w:rsidP="00C04533">
      <w:pPr>
        <w:pStyle w:val="TextoNormal"/>
      </w:pPr>
    </w:p>
    <w:p w14:paraId="146547D5" w14:textId="77777777" w:rsidR="00C04533" w:rsidRDefault="00C04533" w:rsidP="00C04533">
      <w:pPr>
        <w:pStyle w:val="TextoNormal"/>
      </w:pPr>
      <w:r>
        <w:t>De una parte, alega la vulneración del art. 86.1 CE. Considera que no hay justificación de la urgencia. Conforme a la exposición de motivos del real decreto-ley la única justificación para la reforma es el colapso de la Sala Civil del Tribunal Supremo, situación que concurre desde hace años por lo que, al entender del auto, no hay extraordinaria y urgente necesidad, conforme a la doctrina constitucional que cita.</w:t>
      </w:r>
    </w:p>
    <w:p w14:paraId="5DFD0EC0" w14:textId="77777777" w:rsidR="00C04533" w:rsidRDefault="00C04533" w:rsidP="00C04533">
      <w:pPr>
        <w:pStyle w:val="TextoNormal"/>
      </w:pPr>
    </w:p>
    <w:p w14:paraId="3238932F" w14:textId="77777777" w:rsidR="00C04533" w:rsidRDefault="00C04533" w:rsidP="00C04533">
      <w:pPr>
        <w:pStyle w:val="TextoNormal"/>
      </w:pPr>
      <w:r>
        <w:t>De otra parte, afirma el órgano judicial que el artículo 487.1 LEC vincula con carácter legal lo que es jurisprudencia vulnerando el principio de legalidad (art. 9.3 CE) y, por lo tanto, afecta al imperio de la ley (art. 117 CE) por el que debe regirse el juez predeterminado y natural (art 24).</w:t>
      </w:r>
    </w:p>
    <w:p w14:paraId="44372D0F" w14:textId="77777777" w:rsidR="00C04533" w:rsidRDefault="00C04533" w:rsidP="00C04533">
      <w:pPr>
        <w:pStyle w:val="TextoNormal"/>
      </w:pPr>
    </w:p>
    <w:p w14:paraId="3E57A35D" w14:textId="66BE14DE" w:rsidR="00C04533" w:rsidRDefault="00C04533" w:rsidP="00C04533">
      <w:pPr>
        <w:pStyle w:val="TextoNormal"/>
      </w:pPr>
      <w:r>
        <w:t>Finalmente, se aduce la vulneración del art. 123 CE, que se razona poniendo de relieve que la función de valoración del Tribunal Supremo se limita, si se aplica el art. 487.1 LEC tras la reforma, a una simple función nomofiláctica. El auto concluye que “en definitiva entendemos que para poder resolver la cuestión debemos saber si el artículo 487.1 LEC 1/2000, según la reforma operada por el Real Decreto-ley 5/2023, respeta las reglas y principios constitucionales que hemos venido señalando, y en tanto sean constitucionales debamos eliminar de nuestra valoración la documentación y prueba aportada que señala el Tribunal Supremo, debemos volver a resolver con una jurisprudencia posterior a dicha sentencia por interpretación extensiva de su aplicación o en su caso debemos resolver con plenitud de facultad jurisdiccional e independencia y sin dichos limites o condicionamientos”.</w:t>
      </w:r>
    </w:p>
    <w:p w14:paraId="4474EC1C" w14:textId="77777777" w:rsidR="00C04533" w:rsidRDefault="00C04533" w:rsidP="00C04533">
      <w:pPr>
        <w:pStyle w:val="TextoNormal"/>
      </w:pPr>
    </w:p>
    <w:p w14:paraId="1E15AC81" w14:textId="2E5F1C11" w:rsidR="00C04533" w:rsidRDefault="00C04533" w:rsidP="00C04533">
      <w:pPr>
        <w:pStyle w:val="TextoNormal"/>
      </w:pPr>
      <w:r w:rsidRPr="00C04533">
        <w:rPr>
          <w:rStyle w:val="NumeroAFNegritaCaracter"/>
        </w:rPr>
        <w:t>4</w:t>
      </w:r>
      <w:r>
        <w:t>. Mediante providencia de 22 de octubre de 2024, el Pleno, a los efectos que determina el art. 37.1 de la Ley Orgánica del Tribunal Constitucional (LOTC), acordó oír al fiscal general del Estado para que, en el plazo de diez días alegase lo que considerase conveniente acerca de la admisibilidad de la presente cuestión de inconstitucionalidad, en relación con el cumplimiento de los requisitos procesales (art 35.2 LOTC).</w:t>
      </w:r>
    </w:p>
    <w:p w14:paraId="39F7D998" w14:textId="77777777" w:rsidR="00C04533" w:rsidRDefault="00C04533" w:rsidP="00C04533">
      <w:pPr>
        <w:pStyle w:val="TextoNormal"/>
      </w:pPr>
    </w:p>
    <w:p w14:paraId="726DB2DC" w14:textId="77777777" w:rsidR="00C04533" w:rsidRDefault="00C04533" w:rsidP="00C04533">
      <w:pPr>
        <w:pStyle w:val="TextoNormal"/>
      </w:pPr>
      <w:r w:rsidRPr="00C04533">
        <w:rPr>
          <w:rStyle w:val="NumeroAFNegritaCaracter"/>
        </w:rPr>
        <w:t>5</w:t>
      </w:r>
      <w:r>
        <w:t>. El fiscal general del Estado evacuó el trámite conferido mediante escrito registrado en este tribunal el 21 de noviembre de 2024, en el que interesa la inadmisión a trámite de la cuestión de inconstitucionalidad por no cumplir los requisitos del art. 35 LOTC.</w:t>
      </w:r>
    </w:p>
    <w:p w14:paraId="6C2E84B0" w14:textId="77777777" w:rsidR="00C04533" w:rsidRDefault="00C04533" w:rsidP="00C04533">
      <w:pPr>
        <w:pStyle w:val="TextoNormal"/>
      </w:pPr>
    </w:p>
    <w:p w14:paraId="3FFD5C4C" w14:textId="77777777" w:rsidR="00C04533" w:rsidRDefault="00C04533" w:rsidP="00C04533">
      <w:pPr>
        <w:pStyle w:val="TextoNormal"/>
      </w:pPr>
      <w:r>
        <w:t>En primer lugar, tras exponer los antecedentes de la presente cuestión de inconstitucionalidad, afirma que no se cumple el requisito del trámite de audiencia a las partes y al Ministerio Fiscal (art. 35.2 LOTC). De una parte, dado que no se dio traslado al Ministerio Fiscal, ni de manera simultánea, ni con posterioridad. De otra parte, porque en la providencia de 12 de diciembre de 2023 se observa un serio déficit en la identificación de los preceptos constitucionales que se consideran vulnerados. Si bien se identifica el precepto que se cuestiona, art. 487.1 LEC en la redacción dada por la reforma llevada a cabo por Real Decreto-ley 5/2023, de 28 de junio, nada se dice en la providencia de la posible contradicción con preceptos constitucionales, ni de forma expresa ni mediante una argumentación suficiente, de modo que permita a las partes conocer en qué consistía la duda de constitucionalidad planteada y, por tanto, la misma, por sí sola, no puede considerarse en este caso suficiente para estimar alcanzada la finalidad del trámite. Por ello entiende que cabe acordar la inadmisión de la cuestión de inconstitucionalidad.</w:t>
      </w:r>
    </w:p>
    <w:p w14:paraId="7AFE9082" w14:textId="77777777" w:rsidR="00C04533" w:rsidRDefault="00C04533" w:rsidP="00C04533">
      <w:pPr>
        <w:pStyle w:val="TextoNormal"/>
      </w:pPr>
    </w:p>
    <w:p w14:paraId="2852DC80" w14:textId="432E6E5D" w:rsidR="00C04533" w:rsidRDefault="00C04533" w:rsidP="00C04533">
      <w:pPr>
        <w:pStyle w:val="TextoNormal"/>
      </w:pPr>
      <w:r>
        <w:t>En segundo lugar, afirma que tampoco se cumple el juicio de aplicabilidad. Pone de relieve que, en la providencia de 12 de diciembre de 2023, junto con el planteamiento de la cuestión de inconstitucionalidad, se da traslado a las partes intervinientes por plazo de diez días para que se pronuncien sobre el planteamiento de una cuestión prejudicial y, mediante auto de 11 de junio de 2024, el órgano judicial plantea cuestión prejudicial. A este respecto cita la doctrina del Tribunal Constitucional (ATC 168/2016, de 4 de octubre, FJ 4) relativa a los supuestos en los que el órgano jurisdiccional, además del planteamiento de una cuestión de inconstitucionalidad, decide plantear una cuestión prejudicial ante el Tribunal de Justicia de la Unión Europea, que determina que no pueda entenderse cumplido, respecto de la admisibilidad de esta, el requisito de que la norma con rango de ley cuestionada sea “aplicable al caso”.</w:t>
      </w:r>
    </w:p>
    <w:p w14:paraId="085FD7C8" w14:textId="77777777" w:rsidR="00C04533" w:rsidRDefault="00C04533" w:rsidP="00C04533">
      <w:pPr>
        <w:pStyle w:val="TextoNormal"/>
      </w:pPr>
    </w:p>
    <w:p w14:paraId="11FD617B" w14:textId="77777777" w:rsidR="00C04533" w:rsidRDefault="00C04533" w:rsidP="00C04533">
      <w:pPr>
        <w:pStyle w:val="TextoNormalNegritaCentrado"/>
        <w:keepNext/>
      </w:pPr>
      <w:r>
        <w:t>II. Fundamentos jurídicos</w:t>
      </w:r>
    </w:p>
    <w:p w14:paraId="0C51BDD2" w14:textId="36EBE001" w:rsidR="00C04533" w:rsidRDefault="00C04533" w:rsidP="00C04533">
      <w:pPr>
        <w:pStyle w:val="TextoNormalNegritaCentrado"/>
        <w:keepNext/>
      </w:pPr>
    </w:p>
    <w:p w14:paraId="63D5276E" w14:textId="77777777" w:rsidR="00C04533" w:rsidRDefault="00C04533" w:rsidP="00C04533">
      <w:pPr>
        <w:pStyle w:val="TextoNormal"/>
      </w:pPr>
      <w:r w:rsidRPr="00C04533">
        <w:rPr>
          <w:rStyle w:val="NumeroAFNegritaCaracter"/>
        </w:rPr>
        <w:t>1</w:t>
      </w:r>
      <w:r>
        <w:t>. La Audiencia Provincial de Málaga plantea cuestión de inconstitucionalidad respecto del art. 487.1 de la Ley de enjuiciamiento civil (LEC), en la redacción dada por el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w:t>
      </w:r>
    </w:p>
    <w:p w14:paraId="2BC8656B" w14:textId="77777777" w:rsidR="00C04533" w:rsidRDefault="00C04533" w:rsidP="00C04533">
      <w:pPr>
        <w:pStyle w:val="TextoNormal"/>
      </w:pPr>
    </w:p>
    <w:p w14:paraId="3A54DDDB" w14:textId="77777777" w:rsidR="00C04533" w:rsidRDefault="00C04533" w:rsidP="00C04533">
      <w:pPr>
        <w:pStyle w:val="TextoNormal"/>
      </w:pPr>
      <w:r>
        <w:t>El art. 225 del Real Decreto-ley 5/2023 modifica la Ley 1/2000, de 7 de enero de enjuiciamiento civil y, en su apartado dieciséis, da nueva redacción al art. 487, cuyo apartado primero es ahora cuestionado:</w:t>
      </w:r>
    </w:p>
    <w:p w14:paraId="19725822" w14:textId="77777777" w:rsidR="00C04533" w:rsidRDefault="00C04533" w:rsidP="00C04533">
      <w:pPr>
        <w:pStyle w:val="TextoNormal"/>
      </w:pPr>
    </w:p>
    <w:p w14:paraId="590F73A9" w14:textId="77777777" w:rsidR="00C04533" w:rsidRDefault="00C04533" w:rsidP="00C04533">
      <w:pPr>
        <w:pStyle w:val="TextoNormal"/>
      </w:pPr>
      <w:r>
        <w:t>“1. El recurso de casación se decidirá por sentencia, salvo que, habiendo ya doctrina jurisprudencial sobre la cuestión o cuestiones planteadas, la resolución impugnada se oponga a dicha doctrina, en cuyo caso el recurso podrá decidirse mediante auto que, casando la resolución recurrida, devolverá el asunto al tribunal de su procedencia para que dicte nueva resolución de acuerdo con la doctrina jurisprudencial”.</w:t>
      </w:r>
    </w:p>
    <w:p w14:paraId="488A26DA" w14:textId="77777777" w:rsidR="00C04533" w:rsidRDefault="00C04533" w:rsidP="00C04533">
      <w:pPr>
        <w:pStyle w:val="TextoNormal"/>
      </w:pPr>
    </w:p>
    <w:p w14:paraId="0870F6BB" w14:textId="77777777" w:rsidR="00C04533" w:rsidRDefault="00C04533" w:rsidP="00C04533">
      <w:pPr>
        <w:pStyle w:val="TextoNormal"/>
      </w:pPr>
      <w:r>
        <w:t>Como ha quedado relatado en los antecedentes, el órgano judicial estima que el precepto cuestionado vulnera los arts. 9.3, 24, 86 y 117 CE.</w:t>
      </w:r>
    </w:p>
    <w:p w14:paraId="14792B26" w14:textId="77777777" w:rsidR="00C04533" w:rsidRDefault="00C04533" w:rsidP="00C04533">
      <w:pPr>
        <w:pStyle w:val="TextoNormal"/>
      </w:pPr>
    </w:p>
    <w:p w14:paraId="3313126D" w14:textId="48331500" w:rsidR="00C04533" w:rsidRDefault="00C04533" w:rsidP="00C04533">
      <w:pPr>
        <w:pStyle w:val="TextoNormal"/>
      </w:pPr>
      <w:r>
        <w:t>El fiscal general del Estado, en el trámite previsto en el art. 37.1 LOTC, se ha opuesto a la admisión de la presente cuestión de inconstitucionalidad, por incumplir los requisitos previstos en el art. 35 LOTC, en concreto, el trámite de audiencia y el juicio de aplicabilidad.</w:t>
      </w:r>
    </w:p>
    <w:p w14:paraId="6A4E08E5" w14:textId="77777777" w:rsidR="00C04533" w:rsidRDefault="00C04533" w:rsidP="00C04533">
      <w:pPr>
        <w:pStyle w:val="TextoNormal"/>
      </w:pPr>
    </w:p>
    <w:p w14:paraId="23474DCB" w14:textId="77777777" w:rsidR="00C04533" w:rsidRDefault="00C04533" w:rsidP="00C04533">
      <w:pPr>
        <w:pStyle w:val="TextoNormal"/>
      </w:pPr>
      <w:r w:rsidRPr="00C04533">
        <w:rPr>
          <w:rStyle w:val="NumeroAFNegritaCaracter"/>
        </w:rPr>
        <w:t>2</w:t>
      </w:r>
      <w:r>
        <w:t xml:space="preserve">. El art. 37.1 LOTC permite a este tribunal rechazar </w:t>
      </w:r>
      <w:r w:rsidRPr="00C04533">
        <w:rPr>
          <w:i/>
        </w:rPr>
        <w:t>a limine</w:t>
      </w:r>
      <w:r>
        <w:t xml:space="preserve"> las cuestiones de inconstitucionalidad, mediante auto y sin otra audiencia que la del fiscal general del Estado, cuando faltaren las condiciones procesales o fuere notoriamente infundada la cuestión suscitada.</w:t>
      </w:r>
    </w:p>
    <w:p w14:paraId="2F107C20" w14:textId="77777777" w:rsidR="00C04533" w:rsidRDefault="00C04533" w:rsidP="00C04533">
      <w:pPr>
        <w:pStyle w:val="TextoNormal"/>
      </w:pPr>
    </w:p>
    <w:p w14:paraId="087F5768" w14:textId="26769512" w:rsidR="00C04533" w:rsidRDefault="00C04533" w:rsidP="00C04533">
      <w:pPr>
        <w:pStyle w:val="TextoNormal"/>
      </w:pPr>
      <w:r>
        <w:t>El análisis de la cuestión de inconstitucionalidad que se somete a nuestra consideración revela que no satisface las exigencias para promoverla que imponen los arts. 163 CE y 35 a 37 LOTC.</w:t>
      </w:r>
    </w:p>
    <w:p w14:paraId="244E35E6" w14:textId="77777777" w:rsidR="00C04533" w:rsidRDefault="00C04533" w:rsidP="00C04533">
      <w:pPr>
        <w:pStyle w:val="TextoNormal"/>
      </w:pPr>
    </w:p>
    <w:p w14:paraId="16054089" w14:textId="77777777" w:rsidR="00C04533" w:rsidRDefault="00C04533" w:rsidP="00C04533">
      <w:pPr>
        <w:pStyle w:val="TextoNormal"/>
      </w:pPr>
      <w:r w:rsidRPr="00C04533">
        <w:rPr>
          <w:rStyle w:val="NumeroAFNegritaCaracter"/>
        </w:rPr>
        <w:t>3</w:t>
      </w:r>
      <w:r>
        <w:t>. La realización del trámite de audiencia por parte del órgano judicial no se ha ajustado a las exigencias del art. 35.2 LOTC.</w:t>
      </w:r>
    </w:p>
    <w:p w14:paraId="4E839A7B" w14:textId="77777777" w:rsidR="00C04533" w:rsidRDefault="00C04533" w:rsidP="00C04533">
      <w:pPr>
        <w:pStyle w:val="TextoNormal"/>
      </w:pPr>
    </w:p>
    <w:p w14:paraId="4D6749C9" w14:textId="77777777" w:rsidR="00C04533" w:rsidRDefault="00C04533" w:rsidP="00C04533">
      <w:pPr>
        <w:pStyle w:val="TextoNormal"/>
      </w:pPr>
      <w:r>
        <w:t>a) Como recuerdan los AATC 526/2023, de 6 de noviembre, FJ 3 a), y 20/2024, de 27 de febrero, FJ 3 a), “[e]ste tribunal ha venido reiterando la necesidad de realizar correctamente el trámite de audiencia, insistiendo en la importancia de que todas las partes sean consultadas en relación con el planteamiento de la cuestión de inconstitucionalidad (por todos, ATC 13/2008, de 16 de enero)”.</w:t>
      </w:r>
    </w:p>
    <w:p w14:paraId="57861EE1" w14:textId="77777777" w:rsidR="00C04533" w:rsidRDefault="00C04533" w:rsidP="00C04533">
      <w:pPr>
        <w:pStyle w:val="TextoNormal"/>
      </w:pPr>
    </w:p>
    <w:p w14:paraId="6C94A740" w14:textId="77777777" w:rsidR="00C04533" w:rsidRDefault="00C04533" w:rsidP="00C04533">
      <w:pPr>
        <w:pStyle w:val="TextoNormal"/>
      </w:pPr>
      <w:r>
        <w:t>Sin embargo, en este caso, no se ha dado traslado en el trámite de audiencia al Ministerio Fiscal. La providencia dice que “procede dar traslado a las partes intervinientes”, constando en las actuaciones, tal y como se ha expuesto en los antecedentes de esta resolución, que no se dio traslado al Ministerio Fiscal.</w:t>
      </w:r>
    </w:p>
    <w:p w14:paraId="63D0C421" w14:textId="77777777" w:rsidR="00C04533" w:rsidRDefault="00C04533" w:rsidP="00C04533">
      <w:pPr>
        <w:pStyle w:val="TextoNormal"/>
      </w:pPr>
    </w:p>
    <w:p w14:paraId="1EB3D824" w14:textId="77777777" w:rsidR="00C04533" w:rsidRDefault="00C04533" w:rsidP="00C04533">
      <w:pPr>
        <w:pStyle w:val="TextoNormal"/>
      </w:pPr>
      <w:r>
        <w:t>De acuerdo con lo afirmado por el ATC 301/2023, de 6 de junio, FJ 2, al que se refiere el ATC 20/2024, FJ 3 a), existirá quiebra del trámite de audiencia “determinante de la inadmisión de la cuestión que se plantee, […] cuando no se haya oído a alguno de los sujetos designados en el art. 35.2 LOTC”. Y esto es precisamente lo que ocurre en este caso, dado que no se ha oído al Ministerio Fiscal.</w:t>
      </w:r>
    </w:p>
    <w:p w14:paraId="2989EDEA" w14:textId="77777777" w:rsidR="00C04533" w:rsidRDefault="00C04533" w:rsidP="00C04533">
      <w:pPr>
        <w:pStyle w:val="TextoNormal"/>
      </w:pPr>
    </w:p>
    <w:p w14:paraId="24F0483E" w14:textId="77777777" w:rsidR="00C04533" w:rsidRDefault="00C04533" w:rsidP="00C04533">
      <w:pPr>
        <w:pStyle w:val="TextoNormal"/>
      </w:pPr>
      <w:r>
        <w:t>b) De otra parte, la providencia de 12 de diciembre de 2023, por la que se dio traslado a las partes sobre el planteamiento de una cuestión de inconstitucionalidad, no especifica las normas constitucionales cuya vulneración determinaría la inconstitucionalidad de los preceptos sobre los que realiza la audiencia.</w:t>
      </w:r>
    </w:p>
    <w:p w14:paraId="54F30FA2" w14:textId="77777777" w:rsidR="00C04533" w:rsidRDefault="00C04533" w:rsidP="00C04533">
      <w:pPr>
        <w:pStyle w:val="TextoNormal"/>
      </w:pPr>
    </w:p>
    <w:p w14:paraId="6C41F95A" w14:textId="77777777" w:rsidR="00C04533" w:rsidRDefault="00C04533" w:rsidP="00C04533">
      <w:pPr>
        <w:pStyle w:val="TextoNormal"/>
      </w:pPr>
      <w:r>
        <w:t>Como se ha recordado en el ATC 66/2024, de 2 de julio, FJ 2 b), “la correcta formulación del proceso constitucional que se plantea al Tribunal Constitucional ‘exige un estricto y adecuado cumplimiento de los presupuestos procesales, entre los que se encuentra la identificación de los preceptos constitucionales que el órgano judicial considera infringidos por la norma legal’ (ATC 63/2019, de 18 de junio, FJ 2). Tal exigencia tiene como finalidad que las partes puedan pronunciarse debidamente sobre ‘la vinculación entre la norma citada y apreciada por el órgano judicial como cuestionable y los supuestos de hecho que se dan en el caso sometido a su resolución, así como sobre el juicio de conformidad entre la norma y la Constitución, lo que requiere de manera inexcusable, como ya se ha dicho, que la providencia que otorga la audiencia especifique los preceptos legales cuestionados y las normas constitucionales que el órgano judicial estima de posible vulneración por aquellos, quedando vinculado el órgano judicial por los términos en que se haya planteado dicho trámite a la hora de elevar la cuestión de inconstitucionalidad (por todos, AATC 29/2003, de 28 de enero, FJ único; 60/2004, de 24 de febrero, FJ 2, y 96/2004, de 23 de marzo, FJ 2)’”.</w:t>
      </w:r>
    </w:p>
    <w:p w14:paraId="5D33FDBF" w14:textId="77777777" w:rsidR="00C04533" w:rsidRDefault="00C04533" w:rsidP="00C04533">
      <w:pPr>
        <w:pStyle w:val="TextoNormal"/>
      </w:pPr>
    </w:p>
    <w:p w14:paraId="45255020" w14:textId="76719D50" w:rsidR="00C04533" w:rsidRDefault="00C04533" w:rsidP="00C04533">
      <w:pPr>
        <w:pStyle w:val="TextoNormal"/>
      </w:pPr>
      <w:r>
        <w:t>La falta de identificación en la providencia de las normas constitucionales que estima de posible vulneración por el precepto cuestionado ha impedido a las partes “conocer el planteamiento de la inconstitucionalidad realizado por el órgano judicial y situarlo en sus exactos términos constitucionales para pronunciarse sobre él haciendo de este modo posible cumplir con total garantía la finalidad del trámite previsto en el art. 35.2 LOTC (STC 123/2021, de 3 de junio, FJ 2)” [ATC 66/2024, FJ 2 c)].</w:t>
      </w:r>
    </w:p>
    <w:p w14:paraId="2B2C9802" w14:textId="77777777" w:rsidR="00C04533" w:rsidRDefault="00C04533" w:rsidP="00C04533">
      <w:pPr>
        <w:pStyle w:val="TextoNormal"/>
      </w:pPr>
    </w:p>
    <w:p w14:paraId="7E77BF24" w14:textId="77777777" w:rsidR="00C04533" w:rsidRDefault="00C04533" w:rsidP="00C04533">
      <w:pPr>
        <w:pStyle w:val="TextoNormal"/>
      </w:pPr>
      <w:r w:rsidRPr="00C04533">
        <w:rPr>
          <w:rStyle w:val="NumeroAFNegritaCaracter"/>
        </w:rPr>
        <w:t>4</w:t>
      </w:r>
      <w:r>
        <w:t>. Recuerda el ATC 30/2024, de 9 de abril, FJ 2, que “[s]on condiciones procesales de la cuestión de inconstitucionalidad que los preceptos cuestionados resulten ‘aplicables al caso’ (juicio de aplicabilidad) y que de su ‘validez dependa el fallo’ (juicio de relevancia), tal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el art. 162.1 a) CE y el art. 32.1 LOTC (por todas, STC 126/2022, de 11 de octubre, FJ 2)”.</w:t>
      </w:r>
    </w:p>
    <w:p w14:paraId="5EC11B70" w14:textId="77777777" w:rsidR="00C04533" w:rsidRDefault="00C04533" w:rsidP="00C04533">
      <w:pPr>
        <w:pStyle w:val="TextoNormal"/>
      </w:pPr>
    </w:p>
    <w:p w14:paraId="7C838634" w14:textId="77777777" w:rsidR="00C04533" w:rsidRDefault="00C04533" w:rsidP="00C04533">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14:paraId="5FA77764" w14:textId="77777777" w:rsidR="00C04533" w:rsidRDefault="00C04533" w:rsidP="00C04533">
      <w:pPr>
        <w:pStyle w:val="TextoNormal"/>
      </w:pPr>
    </w:p>
    <w:p w14:paraId="5935D611" w14:textId="77777777" w:rsidR="00C04533" w:rsidRDefault="00C04533" w:rsidP="00C04533">
      <w:pPr>
        <w:pStyle w:val="TextoNormal"/>
      </w:pPr>
      <w:r>
        <w:t>Tanto en la providencia de 12 de diciembre de 2023, como en el auto de planteamiento de la presente cuestión de inconstitucionalidad, queda constancia de que el órgano judicial decidió plantear una cuestión de inconstitucionalidad y una cuestión prejudicial ante el Tribunal de Justicia de la Unión Europea en relación con el art. 487.1 LEC. Asimismo, en las actuaciones remitidas al Tribunal Constitucional consta el auto de la Sección Sexta de la Audiencia Provincial de Málaga, de 11 de junio de 2024, por el que se acuerda plantear cuestión prejudicial ante el Tribunal de Justicia de la Unión Europea.</w:t>
      </w:r>
    </w:p>
    <w:p w14:paraId="2E1D92D7" w14:textId="77777777" w:rsidR="00C04533" w:rsidRDefault="00C04533" w:rsidP="00C04533">
      <w:pPr>
        <w:pStyle w:val="TextoNormal"/>
      </w:pPr>
    </w:p>
    <w:p w14:paraId="7C02D4AB" w14:textId="77777777" w:rsidR="00C04533" w:rsidRDefault="00C04533" w:rsidP="00C04533">
      <w:pPr>
        <w:pStyle w:val="TextoNormal"/>
      </w:pPr>
      <w:r>
        <w:t>A dicho respecto resulta necesario traer a colación la doctrina sentada en los AATC 168/2016, de 4 de octubre; 183/2016, de 15 de noviembre; 202/2016, de 13 de diciembre, y 116/2020, de 22 de septiembre, y recogida en el ATC 30/2024, FJ 3, que expone que, “al disponer los arts. 163 CE y 35.1 LOTC que la cuestión de inconstitucionalidad debe referirse siempre a una norma legal ‘aplicable al caso’, ha de entenderse que la prioridad en el planteamiento debe corresponder, por principio, a la cuestión prejudicial del art. 267 TFUE [Tratado de funcionamiento de la Unión Europea]; la incompatibilidad de la ley nacional con el Derecho de la Unión Europea sería causa de su inaplicabilidad y, por tanto, faltaría una de las condiciones exigidas para la admisibilidad de la cuestión de inconstitucionalidad. Esta solo sería admisible si se ha descartado la posibilidad de que la ley cuestionada sea incompatible con el Derecho de la Unión y, en consecuencia, inaplicable”.</w:t>
      </w:r>
    </w:p>
    <w:p w14:paraId="534D851B" w14:textId="77777777" w:rsidR="00C04533" w:rsidRDefault="00C04533" w:rsidP="00C04533">
      <w:pPr>
        <w:pStyle w:val="TextoNormal"/>
      </w:pPr>
    </w:p>
    <w:p w14:paraId="7FF33817" w14:textId="77777777" w:rsidR="00C04533" w:rsidRDefault="00C04533" w:rsidP="00C04533">
      <w:pPr>
        <w:pStyle w:val="TextoNormal"/>
      </w:pPr>
      <w:r>
        <w:t>Pues bien, en este caso, el órgano judicial promotor de la presente cuestión de inconstitucionalidad ha decidido plantear de forma simultánea respecto al mismo precepto, según resulta del auto de planteamiento de la cuestión de inconstitucionalidad y de las actuaciones aportadas, cuestión prejudicial ante el Tribunal de Justicia de la Unión Europea. Como se afirmó en el citado ATC 168/2016, FJ 4, “[e]ste planteamiento simultáneo de la cuestión prejudicial ante el Tribunal de Justicia de la Unión Europea y de la cuestión de inconstitucionalidad determina que no pueda entenderse cumplido, respecto de la admisibilidad de esta, el requisito de que la norma con rango de ley cuestionada sea ‘aplicable al caso’ (arts. 163 CE y 35.1 LOTC)”.</w:t>
      </w:r>
    </w:p>
    <w:p w14:paraId="2D6837F1" w14:textId="77777777" w:rsidR="00C04533" w:rsidRDefault="00C04533" w:rsidP="00C04533">
      <w:pPr>
        <w:pStyle w:val="TextoNormal"/>
      </w:pPr>
    </w:p>
    <w:p w14:paraId="18EBDED7" w14:textId="1236E4D5" w:rsidR="00C04533" w:rsidRDefault="00C04533" w:rsidP="00C04533">
      <w:pPr>
        <w:pStyle w:val="TextoNormal"/>
      </w:pPr>
      <w:r>
        <w:t>En definitiva, la aplicación de la citada doctrina determina que, en este caso, no pueda entenderse cumplido el requisito del juicio de aplicabilidad.</w:t>
      </w:r>
    </w:p>
    <w:p w14:paraId="08BFD32F" w14:textId="77777777" w:rsidR="00C04533" w:rsidRDefault="00C04533" w:rsidP="00C04533">
      <w:pPr>
        <w:pStyle w:val="TextoNormal"/>
      </w:pPr>
    </w:p>
    <w:p w14:paraId="306A180E" w14:textId="77777777" w:rsidR="00C04533" w:rsidRDefault="00C04533" w:rsidP="00C04533">
      <w:pPr>
        <w:pStyle w:val="TextoNormal"/>
      </w:pPr>
      <w:r>
        <w:t>Por lo expuesto, el Pleno</w:t>
      </w:r>
    </w:p>
    <w:p w14:paraId="497E288D" w14:textId="07E67D85" w:rsidR="00C04533" w:rsidRDefault="00C04533" w:rsidP="00C04533">
      <w:pPr>
        <w:pStyle w:val="TextoNormal"/>
      </w:pPr>
    </w:p>
    <w:p w14:paraId="0E5B81D1" w14:textId="77777777" w:rsidR="00C04533" w:rsidRDefault="00C04533" w:rsidP="00C04533">
      <w:pPr>
        <w:pStyle w:val="TextoNormalCentrado"/>
      </w:pPr>
      <w:r>
        <w:t>ACUERDA</w:t>
      </w:r>
    </w:p>
    <w:p w14:paraId="2D59737C" w14:textId="5BB01D28" w:rsidR="00C04533" w:rsidRDefault="00C04533" w:rsidP="00C04533">
      <w:pPr>
        <w:pStyle w:val="TextoNormalCentrado"/>
      </w:pPr>
    </w:p>
    <w:p w14:paraId="16884D09" w14:textId="06000872" w:rsidR="00C04533" w:rsidRDefault="00C04533" w:rsidP="00C04533">
      <w:pPr>
        <w:pStyle w:val="TextoNormal"/>
      </w:pPr>
      <w:r>
        <w:t>Inadmitir a trámite la presente cuestión de inconstitucionalidad.</w:t>
      </w:r>
    </w:p>
    <w:p w14:paraId="167EF6E8" w14:textId="77777777" w:rsidR="00C04533" w:rsidRDefault="00C04533" w:rsidP="00C04533">
      <w:pPr>
        <w:pStyle w:val="TextoNormal"/>
      </w:pPr>
    </w:p>
    <w:p w14:paraId="45A4CD9C" w14:textId="77777777" w:rsidR="00C04533" w:rsidRDefault="00C04533" w:rsidP="00C04533">
      <w:pPr>
        <w:pStyle w:val="TextoNormal"/>
      </w:pPr>
      <w:r>
        <w:t>Madrid, a tres de diciembre de dos mil veinticuatro.</w:t>
      </w:r>
    </w:p>
    <w:p w14:paraId="22EBAE0D" w14:textId="4680EC75" w:rsidR="00C04533" w:rsidRDefault="00C04533">
      <w:pPr>
        <w:spacing w:after="160" w:line="278" w:lineRule="auto"/>
        <w:rPr>
          <w:rFonts w:ascii="Times New Roman" w:eastAsia="Times New Roman" w:hAnsi="Times New Roman" w:cs="Times New Roman"/>
          <w:sz w:val="24"/>
          <w:szCs w:val="24"/>
          <w:lang w:eastAsia="es-ES"/>
        </w:rPr>
      </w:pPr>
      <w:r>
        <w:br w:type="page"/>
      </w:r>
    </w:p>
    <w:p w14:paraId="10725C9A" w14:textId="77777777" w:rsidR="00C04533" w:rsidRDefault="00C04533" w:rsidP="00C04533">
      <w:pPr>
        <w:pStyle w:val="TtuloResolucin"/>
      </w:pPr>
      <w:bookmarkStart w:id="160" w:name="AUTO_2024_154"/>
      <w:r>
        <w:t>AUTO 154/2024, de 3 de diciembre de 2024</w:t>
      </w:r>
    </w:p>
    <w:bookmarkEnd w:id="160"/>
    <w:p w14:paraId="4B3F8EE7" w14:textId="77777777" w:rsidR="00C04533" w:rsidRDefault="00C04533" w:rsidP="00C04533">
      <w:pPr>
        <w:pStyle w:val="TtuloResolucin"/>
      </w:pPr>
      <w:r>
        <w:t>Pleno</w:t>
      </w:r>
    </w:p>
    <w:p w14:paraId="57F56DB8" w14:textId="77777777" w:rsidR="00C04533" w:rsidRDefault="00C04533" w:rsidP="00C04533">
      <w:pPr>
        <w:pStyle w:val="TextoNormalCentrado"/>
      </w:pPr>
      <w:r>
        <w:t>ECLI:ES:TC:2024:154A</w:t>
      </w:r>
    </w:p>
    <w:p w14:paraId="7A8974BD" w14:textId="06507717" w:rsidR="00C04533" w:rsidRDefault="00C04533" w:rsidP="00C04533">
      <w:pPr>
        <w:pStyle w:val="TextoNormalCentrado"/>
      </w:pPr>
    </w:p>
    <w:p w14:paraId="469BE02C"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1AD1A2EF" w14:textId="615CF7D0" w:rsidR="00C04533" w:rsidRDefault="00C04533" w:rsidP="00C04533">
      <w:pPr>
        <w:pStyle w:val="SntesisDescriptiva"/>
      </w:pPr>
    </w:p>
    <w:p w14:paraId="398D2654" w14:textId="77777777" w:rsidR="00C04533" w:rsidRDefault="00C04533" w:rsidP="00C04533">
      <w:pPr>
        <w:pStyle w:val="SntesisDescriptiva"/>
      </w:pPr>
      <w:r>
        <w:t>Acepta una abstención en la cuestión de inconstitucionalidad 7668-2024, planteada por la Sección Vigesimotercera de la Audiencia Provincial de Madrid en relación con la Ley Orgánica 1/2024, de 10 de junio, de amnistía para la normalización institucional, política y social en Cataluña. Voto particular.</w:t>
      </w:r>
    </w:p>
    <w:p w14:paraId="52AA883E" w14:textId="013DC3CC" w:rsidR="00C04533" w:rsidRDefault="00C04533" w:rsidP="00C04533">
      <w:pPr>
        <w:pStyle w:val="SntesisDescriptiva"/>
      </w:pPr>
    </w:p>
    <w:p w14:paraId="75668DE5" w14:textId="77777777" w:rsidR="00C04533" w:rsidRDefault="00C04533" w:rsidP="00C04533">
      <w:pPr>
        <w:pStyle w:val="SntesisDescriptiva"/>
      </w:pPr>
    </w:p>
    <w:p w14:paraId="168BA67A" w14:textId="77777777" w:rsidR="00C04533" w:rsidRDefault="00C04533" w:rsidP="00C04533">
      <w:pPr>
        <w:pStyle w:val="SntesisDescriptiva"/>
      </w:pPr>
    </w:p>
    <w:p w14:paraId="57C9F349" w14:textId="77777777" w:rsidR="00C04533" w:rsidRDefault="00C04533" w:rsidP="00C04533">
      <w:pPr>
        <w:pStyle w:val="TextoNormalNegritaCentrado"/>
      </w:pPr>
      <w:r>
        <w:t>AUTO</w:t>
      </w:r>
    </w:p>
    <w:p w14:paraId="428EFFAF" w14:textId="02F3A33C" w:rsidR="00C04533" w:rsidRDefault="00C04533" w:rsidP="00C04533">
      <w:pPr>
        <w:pStyle w:val="TextoNormalNegritaCentrado"/>
      </w:pPr>
    </w:p>
    <w:p w14:paraId="62C04403" w14:textId="77777777" w:rsidR="00C04533" w:rsidRDefault="00C04533" w:rsidP="00C04533">
      <w:pPr>
        <w:pStyle w:val="TextoNormalNegritaCentrado"/>
        <w:keepNext/>
      </w:pPr>
      <w:r>
        <w:t>I. Antecedentes</w:t>
      </w:r>
    </w:p>
    <w:p w14:paraId="512EA164" w14:textId="04F2695A" w:rsidR="00C04533" w:rsidRDefault="00C04533" w:rsidP="00C04533">
      <w:pPr>
        <w:pStyle w:val="TextoNormalNegritaCentrado"/>
        <w:keepNext/>
      </w:pPr>
    </w:p>
    <w:p w14:paraId="0F3DE41F" w14:textId="4AFA0EA0" w:rsidR="00C04533" w:rsidRDefault="00C04533" w:rsidP="00C04533">
      <w:pPr>
        <w:pStyle w:val="TextoNormal"/>
      </w:pPr>
      <w:r w:rsidRPr="00C04533">
        <w:rPr>
          <w:rStyle w:val="NumeroAFNegritaCaracter"/>
        </w:rPr>
        <w:t>1</w:t>
      </w:r>
      <w:r>
        <w:t>. En escrito fechado el día 12 de noviembre de 2024, el magistrado don Juan Carlos Campo Moreno comunicó al Excmo. señor presidente del Tribunal Constitucional, a los efectos oportunos, su voluntad de abstenerse de intervenir en el conocimiento de la presente cuestión de inconstitucionalidad núm. 7668-2024, proceso en el que se plantea duda sobre la constitucionalidad de algunos preceptos de la Ley Orgánica 1/2024, de 10 de junio, de amnistía para la normalización institucional, política y social en Cataluña.</w:t>
      </w:r>
    </w:p>
    <w:p w14:paraId="5AE0224A" w14:textId="77777777" w:rsidR="00C04533" w:rsidRDefault="00C04533" w:rsidP="00C04533">
      <w:pPr>
        <w:pStyle w:val="TextoNormal"/>
      </w:pPr>
    </w:p>
    <w:p w14:paraId="08464F41" w14:textId="77777777" w:rsidR="00C04533" w:rsidRDefault="00C04533" w:rsidP="00C04533">
      <w:pPr>
        <w:pStyle w:val="TextoNormal"/>
      </w:pPr>
      <w:r w:rsidRPr="00C04533">
        <w:rPr>
          <w:rStyle w:val="NumeroAFNegritaCaracter"/>
        </w:rPr>
        <w:t>2</w:t>
      </w:r>
      <w:r>
        <w:t>. La solicitud de abstención la vincula el magistrado a su participación, en su anterior condición de ministro de Justicia, en la tramitación y aprobación por el Consejo de Ministros de 22 de junio de 2021, del que formó parte, de las propuestas motivadas de indulto parcial y condicionado por razones de utilidad pública, en relación con la parte de las penas privativas de libertad que restaba por extinguir a diversas personas que habían sido condenadas en la STS 459/2019, de 14 de octubre de 2019, dictada por la Sala de lo Penal del Tribunal Supremo, en relación con su participación en hechos anteriores y posteriores, pero relacionados, con la consulta ilegal desarrollada el 1 de octubre de 2017 en el territorio de la Comunidad Autónoma de Cataluña, como consecuencia de la decisión de llevar a efecto y obtener de forma unilateral su independencia, al margen de la Constitución y de su Estatuto de Autonomía.</w:t>
      </w:r>
    </w:p>
    <w:p w14:paraId="21086692" w14:textId="77777777" w:rsidR="00C04533" w:rsidRDefault="00C04533" w:rsidP="00C04533">
      <w:pPr>
        <w:pStyle w:val="TextoNormal"/>
      </w:pPr>
    </w:p>
    <w:p w14:paraId="34AE88ED" w14:textId="585A336C" w:rsidR="00C04533" w:rsidRDefault="00C04533" w:rsidP="00C04533">
      <w:pPr>
        <w:pStyle w:val="TextoNormal"/>
      </w:pPr>
      <w:r>
        <w:t>Específicamente, la abstención formulada se razona en relación con el contenido de la justificación de dichas propuestas de indulto, en cuanto exterioriza un criterio expreso sobre la constitucionalidad de la pretensión de amnistía que, en favor de los indultados, se reclamaba entonces.</w:t>
      </w:r>
    </w:p>
    <w:p w14:paraId="48CC8AAB" w14:textId="77777777" w:rsidR="00C04533" w:rsidRDefault="00C04533" w:rsidP="00C04533">
      <w:pPr>
        <w:pStyle w:val="TextoNormal"/>
      </w:pPr>
    </w:p>
    <w:p w14:paraId="7A327015" w14:textId="77777777" w:rsidR="00C04533" w:rsidRDefault="00C04533" w:rsidP="00C04533">
      <w:pPr>
        <w:pStyle w:val="TextoNormalNegritaCentrado"/>
        <w:keepNext/>
      </w:pPr>
      <w:r>
        <w:t>II. Fundamentos jurídicos</w:t>
      </w:r>
    </w:p>
    <w:p w14:paraId="4D516CE9" w14:textId="47CC0D99" w:rsidR="00C04533" w:rsidRDefault="00C04533" w:rsidP="00C04533">
      <w:pPr>
        <w:pStyle w:val="TextoNormalNegritaCentrado"/>
        <w:keepNext/>
      </w:pPr>
    </w:p>
    <w:p w14:paraId="13008045" w14:textId="77777777" w:rsidR="00C04533" w:rsidRDefault="00C04533" w:rsidP="00C04533">
      <w:pPr>
        <w:pStyle w:val="TextoNormal"/>
      </w:pPr>
      <w:r w:rsidRPr="00C04533">
        <w:rPr>
          <w:rStyle w:val="TextoNormalNegritaCaracter"/>
        </w:rPr>
        <w:t xml:space="preserve">Único. </w:t>
      </w:r>
      <w:r>
        <w:t>Visto el contenido de la comunicación efectuada por el magistrado don Juan Carlos Campo Moreno, en virtud de lo previsto en los arts. 80 de la Ley Orgánica del Tribunal Constitucional (LOTC) y 221.4 de la Ley Orgánica del Poder Judicial (LOPJ), se estima justificada la causa de la abstención formulada en el presente proceso constitucional.</w:t>
      </w:r>
    </w:p>
    <w:p w14:paraId="2BE01A21" w14:textId="77777777" w:rsidR="00C04533" w:rsidRDefault="00C04533" w:rsidP="00C04533">
      <w:pPr>
        <w:pStyle w:val="TextoNormal"/>
      </w:pPr>
    </w:p>
    <w:p w14:paraId="2740B6CF" w14:textId="77777777" w:rsidR="00C04533" w:rsidRDefault="00C04533" w:rsidP="00C04533">
      <w:pPr>
        <w:pStyle w:val="TextoNormal"/>
      </w:pPr>
      <w:r>
        <w:t>Según ha indicado en su propuesta, en su anterior condición de ministro de Justicia, el magistrado señor Campo Moreno elevó al Consejo de Ministros propuesta motivada de indulto parcial en la que exteriorizó un criterio favorable a la inconstitucionalidad de la amnistía que se reclamaba para los eventuales beneficiarios de la propuesta, que finalmente dio lugar a los reales decretos núm. 456/2021 a 464/2021 inclusive, todos de 22 de junio, por los que fueron concedidos los indultos parciales propuestos. Expone dicho magistrado que en esas propuestas exteriorizó “una valoración expresa y genérica sobre la inviabilidad constitucional de la amnistía, entonces reclamada en favor de las personas condenadas, quienes pudieran también verse afectadas por las previsiones de la […] Ley Orgánica 1/2024, de 10 de junio, de amnistía para la normalización institucional, política y social en Cataluña”.</w:t>
      </w:r>
    </w:p>
    <w:p w14:paraId="5C2EBDDE" w14:textId="77777777" w:rsidR="00C04533" w:rsidRDefault="00C04533" w:rsidP="00C04533">
      <w:pPr>
        <w:pStyle w:val="TextoNormal"/>
      </w:pPr>
    </w:p>
    <w:p w14:paraId="73C6144C" w14:textId="732F8647" w:rsidR="00C04533" w:rsidRDefault="00C04533" w:rsidP="00C04533">
      <w:pPr>
        <w:pStyle w:val="TextoNormal"/>
      </w:pPr>
      <w:r>
        <w:t>En este proceso constitucional, como en otros precedentes en los que la abstención del señor Campo Moreno ha sido aceptada por el Pleno, se plantea a este tribunal la eventual inconstitucionalidad de diversos preceptos de la citada Ley Orgánica 1/2024, de 10 de junio. La coincidencia de su objeto con la anterior valoración personal, exteriorizada en las propuestas de resolución emitidas en su condición de ministro de Justicia al justificar las propuestas de indulto, permite apreciar también en este caso, como hemos admitido en los recientes autos de 11 y 24 de septiembre de 2024, la concurrencia de la causa de recusación que justifica la abstención solicitada, bien al amparo del art. 219.10 LOPJ expresamente aludido en la comunicación presentada por el magistrado (“[t]ener interés directo o indirecto en el pleito o causa”), bien bajo la cobertura del apartado decimosexto del mismo precepto legal (“[h]aber ocupado el juez o magistrado cargo público o administrativo con ocasión del cual haya podido tener conocimiento del objeto del litigio y formar criterio en detrimento de la debida imparcialidad”).</w:t>
      </w:r>
    </w:p>
    <w:p w14:paraId="7225D8D1" w14:textId="77777777" w:rsidR="00C04533" w:rsidRDefault="00C04533" w:rsidP="00C04533">
      <w:pPr>
        <w:pStyle w:val="TextoNormal"/>
      </w:pPr>
    </w:p>
    <w:p w14:paraId="5F0D103E" w14:textId="77777777" w:rsidR="00C04533" w:rsidRDefault="00C04533" w:rsidP="00C04533">
      <w:pPr>
        <w:pStyle w:val="TextoNormal"/>
      </w:pPr>
      <w:r>
        <w:t>Por lo expuesto, el Pleno</w:t>
      </w:r>
    </w:p>
    <w:p w14:paraId="443EAB74" w14:textId="33445210" w:rsidR="00C04533" w:rsidRDefault="00C04533" w:rsidP="00C04533">
      <w:pPr>
        <w:pStyle w:val="TextoNormal"/>
      </w:pPr>
    </w:p>
    <w:p w14:paraId="72D5B74B" w14:textId="77777777" w:rsidR="00C04533" w:rsidRDefault="00C04533" w:rsidP="00C04533">
      <w:pPr>
        <w:pStyle w:val="TextoNormalCentrado"/>
      </w:pPr>
      <w:r>
        <w:t>ACUERDA</w:t>
      </w:r>
    </w:p>
    <w:p w14:paraId="70856982" w14:textId="492D8860" w:rsidR="00C04533" w:rsidRDefault="00C04533" w:rsidP="00C04533">
      <w:pPr>
        <w:pStyle w:val="TextoNormalCentrado"/>
      </w:pPr>
    </w:p>
    <w:p w14:paraId="25C73429" w14:textId="77777777" w:rsidR="00C04533" w:rsidRDefault="00C04533" w:rsidP="00C04533">
      <w:pPr>
        <w:pStyle w:val="TextoNormal"/>
      </w:pPr>
      <w:r>
        <w:t>Estimar justificada la abstención formulada por el magistrado don Juan Carlos Campo Moreno, apartándole definitivamente del conocimiento de la presente cuestión de inconstitucionalidad registrada con el núm. 7668-2024 (Sección Vigesimotercera de la Audiencia Provincial de Madrid).</w:t>
      </w:r>
    </w:p>
    <w:p w14:paraId="4966D9C7" w14:textId="77777777" w:rsidR="00C04533" w:rsidRDefault="00C04533" w:rsidP="00C04533">
      <w:pPr>
        <w:pStyle w:val="TextoNormal"/>
      </w:pPr>
    </w:p>
    <w:p w14:paraId="38C2E065" w14:textId="09BD9404" w:rsidR="00C04533" w:rsidRDefault="00C04533" w:rsidP="00C04533">
      <w:pPr>
        <w:pStyle w:val="TextoNormal"/>
      </w:pPr>
      <w:r>
        <w:t>Notifíquese a las partes personadas.</w:t>
      </w:r>
    </w:p>
    <w:p w14:paraId="73A34703" w14:textId="77777777" w:rsidR="00C04533" w:rsidRDefault="00C04533" w:rsidP="00C04533">
      <w:pPr>
        <w:pStyle w:val="TextoNormal"/>
      </w:pPr>
    </w:p>
    <w:p w14:paraId="6F576B7D" w14:textId="77777777" w:rsidR="00C04533" w:rsidRDefault="00C04533" w:rsidP="00C04533">
      <w:pPr>
        <w:pStyle w:val="TextoNormal"/>
      </w:pPr>
      <w:r>
        <w:t>Madrid, a tres de diciembre de dos mil veinticuatro.</w:t>
      </w:r>
    </w:p>
    <w:p w14:paraId="3E936A71" w14:textId="386755E8" w:rsidR="00C04533" w:rsidRDefault="00C04533" w:rsidP="00C04533">
      <w:pPr>
        <w:pStyle w:val="ParrafoNormal"/>
      </w:pPr>
    </w:p>
    <w:p w14:paraId="4712CD96" w14:textId="77777777" w:rsidR="00C04533" w:rsidRDefault="00C04533" w:rsidP="00C04533">
      <w:pPr>
        <w:pStyle w:val="TextoNormalNegritaCentrado"/>
        <w:keepNext/>
      </w:pPr>
      <w:r>
        <w:t>Voto particular concurrente que formula el magistrado don José María Macías Castaño al auto de 3 de diciembre de 2024 dictado en la cuestión de inconstitucionalidad núm. 7668-2024</w:t>
      </w:r>
    </w:p>
    <w:p w14:paraId="4DAC257B" w14:textId="6026AEF5" w:rsidR="00C04533" w:rsidRDefault="00C04533" w:rsidP="00C04533">
      <w:pPr>
        <w:pStyle w:val="TextoNormalNegritaCentrado"/>
        <w:keepNext/>
      </w:pPr>
    </w:p>
    <w:p w14:paraId="6159F034" w14:textId="77777777" w:rsidR="00C04533" w:rsidRDefault="00C04533" w:rsidP="00C04533">
      <w:pPr>
        <w:pStyle w:val="TextoNormal"/>
      </w:pPr>
      <w:r>
        <w:t>No obstante no plantear objeción a la decisión del Pleno, respetuosamente disiento de la fundamentación con la que se ha justificado la abstención del magistrado don Juan Carlos Campo, que entiendo que debiera haber sido totalmente diferente de la alegada por él mismo, y ello por las razones que seguidamente expongo.</w:t>
      </w:r>
    </w:p>
    <w:p w14:paraId="68E78EEE" w14:textId="77777777" w:rsidR="00C04533" w:rsidRDefault="00C04533" w:rsidP="00C04533">
      <w:pPr>
        <w:pStyle w:val="TextoNormal"/>
      </w:pPr>
    </w:p>
    <w:p w14:paraId="0679D709" w14:textId="77777777" w:rsidR="00C04533" w:rsidRDefault="00C04533" w:rsidP="00C04533">
      <w:pPr>
        <w:pStyle w:val="TextoNormal"/>
      </w:pPr>
      <w:r>
        <w:t>1. Como ya hice en el voto particular (en aquel caso, discrepante) formulado en relación con el ATC 91/2024, de 24 de septiembre (recurso de inconstitucionalidad núm. 6436-2024), debo dejar constancia de los motivos que, a mi juicio, justifican la admisión de la abstención del magistrado señor Campo, que no son exactamente los que figuran en el auto aprobado, cuestión que no considero en absoluto intrascendente, aunque desemboque en el mismo resultado de apartamiento del magistrado del conocimiento del asunto.</w:t>
      </w:r>
    </w:p>
    <w:p w14:paraId="784DF219" w14:textId="77777777" w:rsidR="00C04533" w:rsidRDefault="00C04533" w:rsidP="00C04533">
      <w:pPr>
        <w:pStyle w:val="TextoNormal"/>
      </w:pPr>
    </w:p>
    <w:p w14:paraId="3AFC45F0" w14:textId="77777777" w:rsidR="00C04533" w:rsidRDefault="00C04533" w:rsidP="00C04533">
      <w:pPr>
        <w:pStyle w:val="TextoNormal"/>
      </w:pPr>
      <w:r>
        <w:t>2. Como puse de manifiesto al resolver sobre la abstención planteada en el procedimiento de cuestión de inconstitucionalidad núm. 6053-2024, ya aceptada, entiendo que la causa de abstención invocada por el magistrado señor Campo sencillamente no concurre: el hecho de que, siendo ministro, hubiese justificado la propuesta (y posterior concesión como miembro del Consejo de Ministros) de unos indultos afirmando que era una opción posible frente a otras que consideraba inconstitucionales, como era el caso de la amnistía, en absoluto guarda la menor relación con la causa de abstención invocada (art. 219.10 LOPJ), a la vista de la interpretación de lo que este tribunal considera como “interés directo o indirecto” [ATC 180/2013, de 17 de septiembre, FJ 5 b)]: ningún perjuicio ni beneficio va a resultar para el magistrado o sus allegados del resultado del pleito, al menos que pueda racionalmente intuirse.</w:t>
      </w:r>
    </w:p>
    <w:p w14:paraId="45853032" w14:textId="77777777" w:rsidR="00C04533" w:rsidRDefault="00C04533" w:rsidP="00C04533">
      <w:pPr>
        <w:pStyle w:val="TextoNormal"/>
      </w:pPr>
    </w:p>
    <w:p w14:paraId="70307A4A" w14:textId="77777777" w:rsidR="00C04533" w:rsidRDefault="00C04533" w:rsidP="00C04533">
      <w:pPr>
        <w:pStyle w:val="TextoNormal"/>
      </w:pPr>
      <w:r>
        <w:t>3. Por otro lado, también puse de manifiesto y sigo pensando que una abstención justificada en la circunstancia de haber sostenido una opinión jurídica en el pasado sobre un tema sometido al conocimiento de este tribunal es algo que contradice su doctrina, singularmente expresada en el ATC 107/2021, de 15 de diciembre: la expresión de opiniones, antes de incorporarse al Tribunal, sobre temas jurídicos en publicaciones científicas o artículos periodísticos, e incluso en informes oficiales del Consejo General del Poder Judicial (ATC 28/2023, de 7 de febrero), y aun cuando nada hiciese pensar que la opinión hubiese variado, es algo que no inhabilita a los magistrados para participar en la decisión de un asunto. Como se afirma en la resolución citada, no se pretende de los miembros del Tribunal Constitucional que lleguen a esa alta magistratura lo hagan con la cabeza vacía, pero sí con la mente abierta, dispuestos a asumir que, en el debate entre los magistrados, sus opiniones se pueden matizar, cambiar o sencillamente abandonar para asumir las de otros magistrados.</w:t>
      </w:r>
    </w:p>
    <w:p w14:paraId="6AEF3316" w14:textId="77777777" w:rsidR="00C04533" w:rsidRDefault="00C04533" w:rsidP="00C04533">
      <w:pPr>
        <w:pStyle w:val="TextoNormal"/>
      </w:pPr>
    </w:p>
    <w:p w14:paraId="7993C1F1" w14:textId="77777777" w:rsidR="00C04533" w:rsidRDefault="00C04533" w:rsidP="00C04533">
      <w:pPr>
        <w:pStyle w:val="TextoNormal"/>
      </w:pPr>
      <w:r>
        <w:t>4. Dicho lo anterior, y pese a que ni concurría la causa de abstención ni resultaba procedente aceptarla conforme a la doctrina de este tribunal, el hecho de que el magistrado señor Campo plantease la abstención afirmando tener “interés” en el asunto, aunque ese “interés” fuese inidentificable, lo inhabilitaba como miembro del Tribunal, porque ello suponía reconocer que no se encontraba en condiciones de cumplir con lo esperado de sus magistrados: tener la mente abierta (no vacía). Ese juicio, eminentemente subjetivo y personal del propio abstenido, difícilmente puede ser discutido, y si a ello se añadía que lo que había hecho el magistrado señor Campo no era meramente expresar una opinión (ya fuese en una publicación, artículo periodístico o informe, público o privado), sino justificar una resolución o decisión adoptada como ministro, cabía aceptar que la contradicción con la doctrina expresada en los AATC 107/2021 y 28/2023 no era, cuando menos, frontal.</w:t>
      </w:r>
    </w:p>
    <w:p w14:paraId="4F111865" w14:textId="77777777" w:rsidR="00C04533" w:rsidRDefault="00C04533" w:rsidP="00C04533">
      <w:pPr>
        <w:pStyle w:val="TextoNormal"/>
      </w:pPr>
    </w:p>
    <w:p w14:paraId="1BCB4DCF" w14:textId="77777777" w:rsidR="00C04533" w:rsidRDefault="00C04533" w:rsidP="00C04533">
      <w:pPr>
        <w:pStyle w:val="TextoNormal"/>
      </w:pPr>
      <w:r>
        <w:t>5. En definitiva, lo cierto es que en la actualidad el magistrado señor Campo sigue afirmando que no se encuentra en condiciones de abrir su mente al debate jurídico y la situación objetiva en la que basa su abstención (no que emitió una mera opinión, sino que justificó una decisión) sigue siendo la misma. En estas circunstancias, entiendo que la abstención puede ser aceptada, pero las razones y circunstancias reales de la abstención, y no un mero formalismo, deben quedar clara y terminantemente expresadas en el auto de abstención, cosa que no se ha llevado a cabo y que justifica la emisión de este voto.</w:t>
      </w:r>
    </w:p>
    <w:p w14:paraId="55FBFE12" w14:textId="77777777" w:rsidR="00C04533" w:rsidRDefault="00C04533" w:rsidP="00C04533">
      <w:pPr>
        <w:pStyle w:val="TextoNormal"/>
      </w:pPr>
    </w:p>
    <w:p w14:paraId="10354441" w14:textId="3F4ECB56" w:rsidR="00C04533" w:rsidRDefault="00C04533" w:rsidP="00C04533">
      <w:pPr>
        <w:pStyle w:val="TextoNormal"/>
      </w:pPr>
      <w:r>
        <w:t>Madrid, a tres de diciembre de dos mil veinticuatro.</w:t>
      </w:r>
    </w:p>
    <w:p w14:paraId="198D7650" w14:textId="6300AC6F" w:rsidR="00C04533" w:rsidRDefault="00C04533">
      <w:pPr>
        <w:spacing w:after="160" w:line="278" w:lineRule="auto"/>
        <w:rPr>
          <w:rFonts w:ascii="Times New Roman" w:eastAsia="Times New Roman" w:hAnsi="Times New Roman" w:cs="Times New Roman"/>
          <w:sz w:val="24"/>
          <w:szCs w:val="24"/>
          <w:lang w:eastAsia="es-ES"/>
        </w:rPr>
      </w:pPr>
      <w:r>
        <w:br w:type="page"/>
      </w:r>
    </w:p>
    <w:p w14:paraId="4C3AD533" w14:textId="77777777" w:rsidR="00C04533" w:rsidRDefault="00C04533" w:rsidP="00C04533">
      <w:pPr>
        <w:pStyle w:val="TtuloResolucin"/>
      </w:pPr>
      <w:bookmarkStart w:id="161" w:name="AUTO_2024_155"/>
      <w:r>
        <w:t>AUTO 155/2024, de 16 de diciembre de 2024</w:t>
      </w:r>
    </w:p>
    <w:bookmarkEnd w:id="161"/>
    <w:p w14:paraId="0166F90C" w14:textId="77777777" w:rsidR="00C04533" w:rsidRDefault="00C04533" w:rsidP="00C04533">
      <w:pPr>
        <w:pStyle w:val="TtuloResolucin"/>
      </w:pPr>
      <w:r>
        <w:t>Sala Primera</w:t>
      </w:r>
    </w:p>
    <w:p w14:paraId="273C552D" w14:textId="77777777" w:rsidR="00C04533" w:rsidRDefault="00C04533" w:rsidP="00C04533">
      <w:pPr>
        <w:pStyle w:val="TextoNormalCentrado"/>
      </w:pPr>
      <w:r>
        <w:t>ECLI:ES:TC:2024:155A</w:t>
      </w:r>
    </w:p>
    <w:p w14:paraId="7F078FBF" w14:textId="6022845A" w:rsidR="00C04533" w:rsidRDefault="00C04533" w:rsidP="00C04533">
      <w:pPr>
        <w:pStyle w:val="TextoNormalCentrado"/>
      </w:pPr>
    </w:p>
    <w:p w14:paraId="27F5358F" w14:textId="77777777" w:rsidR="00C04533" w:rsidRDefault="00C04533" w:rsidP="00C04533">
      <w:pPr>
        <w:pStyle w:val="SntesisDescriptiva"/>
      </w:pPr>
      <w:r>
        <w:t>Excms. Srs. don Ricardo Enríquez Sancho, doña Concepción Espejel Jorquera, don Juan Carlos Campo Moreno y doña Laura Díez Bueso.</w:t>
      </w:r>
    </w:p>
    <w:p w14:paraId="0561BDF2" w14:textId="11C0AE8E" w:rsidR="00C04533" w:rsidRDefault="00C04533" w:rsidP="00C04533">
      <w:pPr>
        <w:pStyle w:val="SntesisDescriptiva"/>
      </w:pPr>
    </w:p>
    <w:p w14:paraId="60CEDC13" w14:textId="77777777" w:rsidR="00C04533" w:rsidRDefault="00C04533" w:rsidP="00C04533">
      <w:pPr>
        <w:pStyle w:val="SntesisDescriptiva"/>
      </w:pPr>
      <w:r>
        <w:t>Acepta una abstención en el recurso de amparo 6420-2021, promovido por doña María José Hernández Vitoria en proceso contencioso administrativo.</w:t>
      </w:r>
    </w:p>
    <w:p w14:paraId="1DF146E7" w14:textId="4C39CF34" w:rsidR="00C04533" w:rsidRDefault="00C04533" w:rsidP="00C04533">
      <w:pPr>
        <w:pStyle w:val="SntesisDescriptiva"/>
      </w:pPr>
    </w:p>
    <w:p w14:paraId="24F9FB5C" w14:textId="77777777" w:rsidR="00C04533" w:rsidRDefault="00C04533" w:rsidP="00C04533">
      <w:pPr>
        <w:pStyle w:val="SntesisDescriptiva"/>
      </w:pPr>
    </w:p>
    <w:p w14:paraId="3F5256A3" w14:textId="77777777" w:rsidR="00C04533" w:rsidRDefault="00C04533" w:rsidP="00C04533">
      <w:pPr>
        <w:pStyle w:val="SntesisDescriptiva"/>
      </w:pPr>
    </w:p>
    <w:p w14:paraId="58FFDE8E" w14:textId="77777777" w:rsidR="00C04533" w:rsidRDefault="00C04533" w:rsidP="00C04533">
      <w:pPr>
        <w:pStyle w:val="TextoNormalNegritaCentrado"/>
      </w:pPr>
      <w:r>
        <w:t>AUTO</w:t>
      </w:r>
    </w:p>
    <w:p w14:paraId="489B8C36" w14:textId="125EC6DE" w:rsidR="00C04533" w:rsidRDefault="00C04533" w:rsidP="00C04533">
      <w:pPr>
        <w:pStyle w:val="TextoNormalNegritaCentrado"/>
      </w:pPr>
    </w:p>
    <w:p w14:paraId="35811BD0" w14:textId="77777777" w:rsidR="00C04533" w:rsidRDefault="00C04533" w:rsidP="00C04533">
      <w:pPr>
        <w:pStyle w:val="TextoNormalNegritaCentrado"/>
        <w:keepNext/>
      </w:pPr>
      <w:r>
        <w:t>I. Antecedentes</w:t>
      </w:r>
    </w:p>
    <w:p w14:paraId="756116A0" w14:textId="28ADFAF4" w:rsidR="00C04533" w:rsidRDefault="00C04533" w:rsidP="00C04533">
      <w:pPr>
        <w:pStyle w:val="TextoNormalNegritaCentrado"/>
        <w:keepNext/>
      </w:pPr>
    </w:p>
    <w:p w14:paraId="0CE535EE" w14:textId="77777777" w:rsidR="00C04533" w:rsidRDefault="00C04533" w:rsidP="00C04533">
      <w:pPr>
        <w:pStyle w:val="TextoNormal"/>
      </w:pPr>
      <w:r w:rsidRPr="00C04533">
        <w:rPr>
          <w:rStyle w:val="NumeroAFNegritaCaracter"/>
        </w:rPr>
        <w:t>1</w:t>
      </w:r>
      <w:r>
        <w:t>. En el recurso de amparo núm. 6420-2021 se impugnan la sentencia de la sección sexta de la Sala de lo Contencioso-Administrativo del Tribunal Supremo de 4 de junio de 2021 y la providencia de inadmisión del incidente de nulidad de actuaciones de 22 de julio de 2021. La sentencia mencionada estimó el recurso contencioso administrativo planteado contra el acuerdo del Pleno del Consejo General del Poder Judicial de 27 de febrero de 2020, que rechazó la revisión de oficio de los previos acuerdos de la Comisión Permanente del Consejo General del Poder Judicial de 7 de marzo de 2019 y de 26 de junio de 2019.</w:t>
      </w:r>
    </w:p>
    <w:p w14:paraId="0DA2439D" w14:textId="77777777" w:rsidR="00C04533" w:rsidRDefault="00C04533" w:rsidP="00C04533">
      <w:pPr>
        <w:pStyle w:val="TextoNormal"/>
      </w:pPr>
    </w:p>
    <w:p w14:paraId="591D5F3C" w14:textId="7872160D" w:rsidR="00C04533" w:rsidRDefault="00C04533" w:rsidP="00C04533">
      <w:pPr>
        <w:pStyle w:val="TextoNormal"/>
      </w:pPr>
      <w:r>
        <w:t>Mediante escrito de 26 de noviembre de 2024 el magistrado don José María Macías Castaño comunicó a los efectos oportunos que se abstenía de intervenir en el antes indicado recurso de amparo, de conformidad con el art. 80 de la Ley Orgánica del Tribunal Constitucional, por concurrir la causa de abstención prevista en el art. 219.13 de la Ley Orgánica del Poder Judicial (LOPJ). En concreto, el magistrado informó que “tanto en lo que se refiere a los acuerdos mencionados del Pleno del Consejo General del Poder Judicial, como de la Comisión Permanente, en virtud de mi nombramiento como vocal del Consejo General del Poder Judicial, efectuado por el Real Decreto 20/2015, de 23 de enero, formé parte de los órganos que adoptaron las decisiones de las que trae causa la sentencia recurrida en amparo”.</w:t>
      </w:r>
    </w:p>
    <w:p w14:paraId="5A170B67" w14:textId="77777777" w:rsidR="00C04533" w:rsidRDefault="00C04533" w:rsidP="00C04533">
      <w:pPr>
        <w:pStyle w:val="TextoNormal"/>
      </w:pPr>
    </w:p>
    <w:p w14:paraId="1CD6ED3A" w14:textId="7C578ACE" w:rsidR="00C04533" w:rsidRDefault="00C04533" w:rsidP="00C04533">
      <w:pPr>
        <w:pStyle w:val="TextoNormal"/>
      </w:pPr>
      <w:r w:rsidRPr="00C04533">
        <w:rPr>
          <w:rStyle w:val="NumeroAFNegritaCaracter"/>
        </w:rPr>
        <w:t>2</w:t>
      </w:r>
      <w:r>
        <w:t>. Por acuerdo del presidente del Tribunal Constitucional, de 3 de diciembre de 2024, se integró en la Sala Primera doña Laura Díez Bueso.</w:t>
      </w:r>
    </w:p>
    <w:p w14:paraId="3459B285" w14:textId="77777777" w:rsidR="00C04533" w:rsidRDefault="00C04533" w:rsidP="00C04533">
      <w:pPr>
        <w:pStyle w:val="TextoNormal"/>
      </w:pPr>
    </w:p>
    <w:p w14:paraId="50189D92" w14:textId="77777777" w:rsidR="00C04533" w:rsidRDefault="00C04533" w:rsidP="00C04533">
      <w:pPr>
        <w:pStyle w:val="TextoNormalNegritaCentrado"/>
        <w:keepNext/>
      </w:pPr>
      <w:r>
        <w:t>II. Fundamentos jurídicos</w:t>
      </w:r>
    </w:p>
    <w:p w14:paraId="72407432" w14:textId="2DB69255" w:rsidR="00C04533" w:rsidRDefault="00C04533" w:rsidP="00C04533">
      <w:pPr>
        <w:pStyle w:val="TextoNormalNegritaCentrado"/>
        <w:keepNext/>
      </w:pPr>
    </w:p>
    <w:p w14:paraId="09B6376C" w14:textId="6F00B3B9" w:rsidR="00C04533" w:rsidRDefault="00C04533" w:rsidP="00C04533">
      <w:pPr>
        <w:pStyle w:val="TextoNormal"/>
      </w:pPr>
      <w:r w:rsidRPr="00C04533">
        <w:rPr>
          <w:rStyle w:val="TextoNormalNegritaCaracter"/>
        </w:rPr>
        <w:t xml:space="preserve">Único. </w:t>
      </w:r>
      <w:r>
        <w:t>Vista la comunicación efectuada por don José María Macías Castaño, magistrado de esta Sala Primera del Tribunal Constitucional, la Sala, en virtud de lo previsto en el art. 219.13 LOPJ, supletoria de la Ley Orgánica del Tribunal Constitucional (art. 80), estima justificada la causa de abstención formulada.</w:t>
      </w:r>
    </w:p>
    <w:p w14:paraId="3DDD64C9" w14:textId="77777777" w:rsidR="00C04533" w:rsidRDefault="00C04533" w:rsidP="00C04533">
      <w:pPr>
        <w:pStyle w:val="TextoNormal"/>
      </w:pPr>
    </w:p>
    <w:p w14:paraId="21B94F41" w14:textId="77777777" w:rsidR="00C04533" w:rsidRDefault="00C04533" w:rsidP="00C04533">
      <w:pPr>
        <w:pStyle w:val="TextoNormal"/>
      </w:pPr>
      <w:r>
        <w:t>Por lo expuesto, la Sala</w:t>
      </w:r>
    </w:p>
    <w:p w14:paraId="7AAC17D3" w14:textId="371AFF1A" w:rsidR="00C04533" w:rsidRDefault="00C04533" w:rsidP="00C04533">
      <w:pPr>
        <w:pStyle w:val="TextoNormal"/>
      </w:pPr>
    </w:p>
    <w:p w14:paraId="34222A17" w14:textId="77777777" w:rsidR="00C04533" w:rsidRDefault="00C04533" w:rsidP="00C04533">
      <w:pPr>
        <w:pStyle w:val="TextoNormalCentrado"/>
      </w:pPr>
      <w:r>
        <w:t>ACUERDA</w:t>
      </w:r>
    </w:p>
    <w:p w14:paraId="71433B91" w14:textId="3B512C6D" w:rsidR="00C04533" w:rsidRDefault="00C04533" w:rsidP="00C04533">
      <w:pPr>
        <w:pStyle w:val="TextoNormalCentrado"/>
      </w:pPr>
    </w:p>
    <w:p w14:paraId="1E64B07F" w14:textId="17D3B761" w:rsidR="00C04533" w:rsidRDefault="00C04533" w:rsidP="00C04533">
      <w:pPr>
        <w:pStyle w:val="TextoNormal"/>
      </w:pPr>
      <w:r>
        <w:t>Estimar justificada la abstención formulada por el magistrado don José María Macías Castaño en el recurso de amparo núm. 6420-2021, apartándole definitivamente del conocimiento del referido recurso y de todas sus incidencias.</w:t>
      </w:r>
    </w:p>
    <w:p w14:paraId="0D0B24FB" w14:textId="77777777" w:rsidR="00C04533" w:rsidRDefault="00C04533" w:rsidP="00C04533">
      <w:pPr>
        <w:pStyle w:val="TextoNormal"/>
      </w:pPr>
    </w:p>
    <w:p w14:paraId="3B3932D4" w14:textId="77777777" w:rsidR="00C04533" w:rsidRDefault="00C04533" w:rsidP="00C04533">
      <w:pPr>
        <w:pStyle w:val="TextoNormal"/>
      </w:pPr>
      <w:r>
        <w:t>Madrid, a dieciséis de diciembre de dos mil veinticuatro.</w:t>
      </w:r>
    </w:p>
    <w:p w14:paraId="2084186D" w14:textId="06A9BEFB" w:rsidR="00C04533" w:rsidRDefault="00C04533">
      <w:pPr>
        <w:spacing w:after="160" w:line="278" w:lineRule="auto"/>
        <w:rPr>
          <w:rFonts w:ascii="Times New Roman" w:eastAsia="Times New Roman" w:hAnsi="Times New Roman" w:cs="Times New Roman"/>
          <w:sz w:val="24"/>
          <w:szCs w:val="24"/>
          <w:lang w:eastAsia="es-ES"/>
        </w:rPr>
      </w:pPr>
      <w:r>
        <w:br w:type="page"/>
      </w:r>
    </w:p>
    <w:p w14:paraId="40A5134B" w14:textId="77777777" w:rsidR="00C04533" w:rsidRDefault="00C04533" w:rsidP="00C04533">
      <w:pPr>
        <w:pStyle w:val="TtuloResolucin"/>
      </w:pPr>
      <w:bookmarkStart w:id="162" w:name="AUTO_2024_156"/>
      <w:r>
        <w:t>AUTO 156/2024, de 16 de diciembre de 2024</w:t>
      </w:r>
    </w:p>
    <w:bookmarkEnd w:id="162"/>
    <w:p w14:paraId="273AF71F" w14:textId="77777777" w:rsidR="00C04533" w:rsidRDefault="00C04533" w:rsidP="00C04533">
      <w:pPr>
        <w:pStyle w:val="TtuloResolucin"/>
      </w:pPr>
      <w:r>
        <w:t>Sala Primera</w:t>
      </w:r>
    </w:p>
    <w:p w14:paraId="1C410F37" w14:textId="77777777" w:rsidR="00C04533" w:rsidRDefault="00C04533" w:rsidP="00C04533">
      <w:pPr>
        <w:pStyle w:val="TextoNormalCentrado"/>
      </w:pPr>
      <w:r>
        <w:t>ECLI:ES:TC:2024:156A</w:t>
      </w:r>
    </w:p>
    <w:p w14:paraId="22AB85A5" w14:textId="2932C876" w:rsidR="00C04533" w:rsidRDefault="00C04533" w:rsidP="00C04533">
      <w:pPr>
        <w:pStyle w:val="TextoNormalCentrado"/>
      </w:pPr>
    </w:p>
    <w:p w14:paraId="74D7BEC4" w14:textId="77777777" w:rsidR="00C04533" w:rsidRDefault="00C04533" w:rsidP="00C04533">
      <w:pPr>
        <w:pStyle w:val="SntesisDescriptiva"/>
      </w:pPr>
      <w:r>
        <w:t>Excms. Srs. don Cándido Conde-Pumpido Tourón, don Ricardo Enríquez Sancho, doña Concepción Espejel Jorquera, doña María Luisa Segoviano Astaburuaga, don Juan Carlos Campo Moreno y don José María Macías Castaño.</w:t>
      </w:r>
    </w:p>
    <w:p w14:paraId="426DD79A" w14:textId="0AF50544" w:rsidR="00C04533" w:rsidRDefault="00C04533" w:rsidP="00C04533">
      <w:pPr>
        <w:pStyle w:val="SntesisDescriptiva"/>
      </w:pPr>
    </w:p>
    <w:p w14:paraId="38A0DC3F" w14:textId="77777777" w:rsidR="00C04533" w:rsidRDefault="00C04533" w:rsidP="00C04533">
      <w:pPr>
        <w:pStyle w:val="SntesisDescriptiva"/>
      </w:pPr>
      <w:r>
        <w:t>Acuerda el desistimiento y archiva el recurso de amparo 5340-2023, promovido por don Manuel Fernández Chamorro en pleito civil.</w:t>
      </w:r>
    </w:p>
    <w:p w14:paraId="080D3E45" w14:textId="7F1A8D04" w:rsidR="00C04533" w:rsidRDefault="00C04533" w:rsidP="00C04533">
      <w:pPr>
        <w:pStyle w:val="SntesisDescriptiva"/>
      </w:pPr>
    </w:p>
    <w:p w14:paraId="1E2FCCA8" w14:textId="77777777" w:rsidR="00C04533" w:rsidRDefault="00C04533" w:rsidP="00C04533">
      <w:pPr>
        <w:pStyle w:val="SntesisDescriptiva"/>
      </w:pPr>
    </w:p>
    <w:p w14:paraId="4D19E14A" w14:textId="77777777" w:rsidR="00C04533" w:rsidRDefault="00C04533" w:rsidP="00C04533">
      <w:pPr>
        <w:pStyle w:val="SntesisDescriptiva"/>
      </w:pPr>
    </w:p>
    <w:p w14:paraId="31E28FB5" w14:textId="77777777" w:rsidR="00C04533" w:rsidRDefault="00C04533" w:rsidP="00C04533">
      <w:pPr>
        <w:pStyle w:val="TextoNormalNegritaCentrado"/>
      </w:pPr>
      <w:r>
        <w:t>AUTO</w:t>
      </w:r>
    </w:p>
    <w:p w14:paraId="4ADD52DE" w14:textId="27C0FE25" w:rsidR="00C04533" w:rsidRDefault="00C04533" w:rsidP="00C04533">
      <w:pPr>
        <w:pStyle w:val="TextoNormalNegritaCentrado"/>
      </w:pPr>
    </w:p>
    <w:p w14:paraId="24B40970" w14:textId="77777777" w:rsidR="00C04533" w:rsidRDefault="00C04533" w:rsidP="00C04533">
      <w:pPr>
        <w:pStyle w:val="TextoNormalNegritaCentrado"/>
        <w:keepNext/>
      </w:pPr>
      <w:r>
        <w:t>I. Antecedentes</w:t>
      </w:r>
    </w:p>
    <w:p w14:paraId="531684B0" w14:textId="21ED3918" w:rsidR="00C04533" w:rsidRDefault="00C04533" w:rsidP="00C04533">
      <w:pPr>
        <w:pStyle w:val="TextoNormalNegritaCentrado"/>
        <w:keepNext/>
      </w:pPr>
    </w:p>
    <w:p w14:paraId="4C20F11B" w14:textId="33156BF1" w:rsidR="00C04533" w:rsidRDefault="00C04533" w:rsidP="00C04533">
      <w:pPr>
        <w:pStyle w:val="TextoNormal"/>
      </w:pPr>
      <w:r w:rsidRPr="00C04533">
        <w:rPr>
          <w:rStyle w:val="NumeroAFNegritaCaracter"/>
        </w:rPr>
        <w:t>1</w:t>
      </w:r>
      <w:r>
        <w:t>. Por escrito que tuvo entrada en el registro general de este tribunal el día 27 de julio de 2023 el procurador de los tribunales don Pedro Mancha Suárez, en representación de don Manuel Fernández Chamorro, interpuso recurso de amparo contra el auto de 5 de julio de 2023 del Juzgado de Primera Instancia e Instrucción núm. 4 de Torremolinos, que desestimó la solicitud de nulidad de actuaciones que el demandante había promovido contra el decreto de 14 de junio de 2022 dictado por el letrado de la administración de justicia en el marco del juicio verbal de desahucio núm. 1183-2021.</w:t>
      </w:r>
    </w:p>
    <w:p w14:paraId="7E714DC0" w14:textId="77777777" w:rsidR="00C04533" w:rsidRDefault="00C04533" w:rsidP="00C04533">
      <w:pPr>
        <w:pStyle w:val="TextoNormal"/>
      </w:pPr>
    </w:p>
    <w:p w14:paraId="341BA901" w14:textId="77777777" w:rsidR="00C04533" w:rsidRDefault="00C04533" w:rsidP="00C04533">
      <w:pPr>
        <w:pStyle w:val="TextoNormal"/>
      </w:pPr>
      <w:r w:rsidRPr="00C04533">
        <w:rPr>
          <w:rStyle w:val="NumeroAFNegritaCaracter"/>
        </w:rPr>
        <w:t>2</w:t>
      </w:r>
      <w:r>
        <w:t>. Las circunstancias del procedimiento relevantes de cara a la tramitación del presente recurso de amparo son las siguientes:</w:t>
      </w:r>
    </w:p>
    <w:p w14:paraId="461169AF" w14:textId="77777777" w:rsidR="00C04533" w:rsidRDefault="00C04533" w:rsidP="00C04533">
      <w:pPr>
        <w:pStyle w:val="TextoNormal"/>
      </w:pPr>
    </w:p>
    <w:p w14:paraId="5F4A197C" w14:textId="77777777" w:rsidR="00C04533" w:rsidRDefault="00C04533" w:rsidP="00C04533">
      <w:pPr>
        <w:pStyle w:val="TextoNormal"/>
      </w:pPr>
      <w:r>
        <w:t>a) El 7 de julio de 2021 se interpuso ante los juzgados de primera instancia de Torremolinos demanda de desahucio respecto de dos locales de negocio por falta de pago de las rentas pactadas, así como en reclamación de las cantidades debidas, frente al demandante de amparo y otra persona. El Juzgado de Primera Instancia núm. 4 de Torremolinos, tras admitir la demanda a trámite, en autos de juicio verbal de desahucio núm. 1183-2021, intentó el emplazamiento de ambos demandados en el domicilio en Málaga que aparecía designado en la demanda, lo que resultó infructuoso (diligencia negativa de 12 de abril de 2022) y, a continuación, en los locales objeto de arrendamiento, intento nuevamente fallido (diligencia de 28 de abril de 2022), procediendo a continuación a dictar diligencia de ordenación de 28 de abril de 2022 en la que, negándose a evacuar consulta para averiguación domiciliaria en el punto neutro judicial, como le había pedido la parte demandante, acordó notificar, emplazar y requerir a la parte demandada por medio de edictos, edictos que se fijaron en el tablón de anuncios del juzgado. El juicio de desahucio se dio por terminado por decreto de 14 de junio de 2022 y el lanzamiento de los locales de negocio se hizo efectivo el 14 de julio de 2022.</w:t>
      </w:r>
    </w:p>
    <w:p w14:paraId="510879AA" w14:textId="77777777" w:rsidR="00C04533" w:rsidRDefault="00C04533" w:rsidP="00C04533">
      <w:pPr>
        <w:pStyle w:val="TextoNormal"/>
      </w:pPr>
    </w:p>
    <w:p w14:paraId="45BD81B9" w14:textId="77777777" w:rsidR="00C04533" w:rsidRDefault="00C04533" w:rsidP="00C04533">
      <w:pPr>
        <w:pStyle w:val="TextoNormal"/>
      </w:pPr>
      <w:r>
        <w:t>b) En el procedimiento de ejecución de título judicial núm. 1436-2022 iniciado a continuación para hacer efectiva la reclamación de las rentas adeudadas, el demandante de amparo, que había tomado conocimiento de la existencia del procedimiento por la notificación que le envió su entidad bancaria del embargo trabado en su cuenta corriente, se personó en el mismo, promoviendo el 30 de enero de 2023 incidente de nulidad de actuaciones en el que denunció que se había vulnerado su derecho a la tutela judicial efectiva sin indefensión (art. 24.1 CE) porque en el juicio de desahucio antecedente se había utilizado prematuramente la vía edictal de comunicación, sin haber agotado los medios posibles para averiguar su domicilio, tal y como exige la doctrina constitucional, con cita de la STC 39/2018, de 25 de abril, poniendo de relieve, entre otras cosas, que por problemas de salud había trasladado su residencia a la provincia de Madrid, lo que era conocido por el demandante de amparo. Solicitaba por ello que se anulase el decreto de terminación del juicio de desahucio y que se retrotrajesen las actuaciones al momento de notificación de la demanda de desahucio.</w:t>
      </w:r>
    </w:p>
    <w:p w14:paraId="66663C62" w14:textId="77777777" w:rsidR="00C04533" w:rsidRDefault="00C04533" w:rsidP="00C04533">
      <w:pPr>
        <w:pStyle w:val="TextoNormal"/>
      </w:pPr>
    </w:p>
    <w:p w14:paraId="0C8FC6A2" w14:textId="34440554" w:rsidR="00C04533" w:rsidRDefault="00C04533" w:rsidP="00C04533">
      <w:pPr>
        <w:pStyle w:val="TextoNormal"/>
      </w:pPr>
      <w:r>
        <w:t>c) Por auto de 5 de julio de 2023 el Juzgado de Primera Instancia núm. 4 de Torremolinos desestimó la petición de nulidad de actuaciones, argumentando que había obrado conforme a las reglas especiales establecidas en los arts. 153.3 y 164 de la Ley de enjuiciamiento civil (LEC) para la realización de los actos de comunicación en los juicios de desahucio.</w:t>
      </w:r>
    </w:p>
    <w:p w14:paraId="350E5D5F" w14:textId="77777777" w:rsidR="00C04533" w:rsidRDefault="00C04533" w:rsidP="00C04533">
      <w:pPr>
        <w:pStyle w:val="TextoNormal"/>
      </w:pPr>
    </w:p>
    <w:p w14:paraId="1D2B6822" w14:textId="2FAAA99B" w:rsidR="00C04533" w:rsidRDefault="00C04533" w:rsidP="00C04533">
      <w:pPr>
        <w:pStyle w:val="TextoNormal"/>
      </w:pPr>
      <w:r w:rsidRPr="00C04533">
        <w:rPr>
          <w:rStyle w:val="NumeroAFNegritaCaracter"/>
        </w:rPr>
        <w:t>3</w:t>
      </w:r>
      <w:r>
        <w:t>. El 27 de julio de 2023 se recibió en el registro del Tribunal demanda de amparo en la que el actor impugnó el auto de 5 de julio de 2023 desestimatorio del incidente de nulidad de actuaciones, alegando que el juzgado de primera instancia había vulnerado su derechos a la tutela judicial efectiva sin indefensión (art. 24.1 CE) y a un proceso con todas las garantías (art. 24.2 CE) al no haber dado cumplimiento a su obligación de asegurar el emplazamiento y citación personal del demandado, utilizando para ello los medios necesarios para la averiguación de su domicilio, antes de acudir al emplazamiento edictal, infringiendo de este modo la doctrina del Tribunal Constitucional. En el suplico de la demanda interesaba la nulidad del auto de 5 de julio de 2023 y la retroacción de las actuaciones del juicio verbal de desahucio al momento inmediatamente anterior al de efectuar el requerimiento previsto en el art. 440.3 LEC a fin de que este se llevara a cabo en términos que resultaran respetuosos con el derecho fundamental invocado. Por otrosí solicitaba la suspensión del procedimiento de ejecución de título judicial núm. 1436-2022, dimanante del juicio verbal de desahucio núm. 1183-2021, argumentando que la suspensión no ocasionaría ninguna perturbación grave a cualquier interés constitucionalmente protegido, siendo en cambio graves los perjuicios que pudieran derivarse para el recurrente de continuarse con la tramitación del mismo.</w:t>
      </w:r>
    </w:p>
    <w:p w14:paraId="52ECAF5E" w14:textId="77777777" w:rsidR="00C04533" w:rsidRDefault="00C04533" w:rsidP="00C04533">
      <w:pPr>
        <w:pStyle w:val="TextoNormal"/>
      </w:pPr>
    </w:p>
    <w:p w14:paraId="5D80D574" w14:textId="63A8C2BE" w:rsidR="00C04533" w:rsidRDefault="00C04533" w:rsidP="00C04533">
      <w:pPr>
        <w:pStyle w:val="TextoNormal"/>
      </w:pPr>
      <w:r w:rsidRPr="00C04533">
        <w:rPr>
          <w:rStyle w:val="NumeroAFNegritaCaracter"/>
        </w:rPr>
        <w:t>4</w:t>
      </w:r>
      <w:r>
        <w:t>. Por diligencia de ordenación de 30 de octubre de 2023, de conformidad con lo prevenido en el art. 88 de la Ley Orgánica del Tribunal Constitucional (LOTC), se requirió al Juzgado de Primera Instancia núm. 4 de Torremolinos para que en el plazo de diez días remitiera testimonio íntegro del juicio verbal de desahucio núm. 1183-2021 y de todos sus incidentes. El 3 de enero de 2024 se recibió en el Tribunal el testimonio solicitado.</w:t>
      </w:r>
    </w:p>
    <w:p w14:paraId="33334823" w14:textId="77777777" w:rsidR="00C04533" w:rsidRDefault="00C04533" w:rsidP="00C04533">
      <w:pPr>
        <w:pStyle w:val="TextoNormal"/>
      </w:pPr>
    </w:p>
    <w:p w14:paraId="01E2B97D" w14:textId="77777777" w:rsidR="00C04533" w:rsidRDefault="00C04533" w:rsidP="00C04533">
      <w:pPr>
        <w:pStyle w:val="TextoNormal"/>
      </w:pPr>
      <w:r w:rsidRPr="00C04533">
        <w:rPr>
          <w:rStyle w:val="NumeroAFNegritaCaracter"/>
        </w:rPr>
        <w:t>5</w:t>
      </w:r>
      <w:r>
        <w:t>. Por providencia de 21 de octubre de 2024 la Sección Primera de este tribunal admitió a trámite el recurso de amparo apreciando la concurrencia de una especial trascendencia constitucional (art. 50.1 LOTC) como consecuencia de que el órgano judicial pudiera haber incurrido en una negativa manifiesta del deber de acatamiento de la doctrina de este tribunal [STC 155/2009, de 25 de junio, FJ 2 f)]. Constando unidas al procedimiento de amparo las actuaciones correspondientes al juicio verbal de desahucio, se acordó dirigir atenta comunicación al Juzgado de Primera Instancia núm. 4 de Torremolinos a fin de que en plazo que no excediera de diez días emplazase a quienes hubieran sido parte en dicho juicio, excepto la parte recurrente en amparo, para que en el plazo de diez días pudieran comparecer, si lo deseasen, en el recurso de amparo, con traslado asimismo de copia de la demanda presentada.</w:t>
      </w:r>
    </w:p>
    <w:p w14:paraId="06F5D114" w14:textId="77777777" w:rsidR="00C04533" w:rsidRDefault="00C04533" w:rsidP="00C04533">
      <w:pPr>
        <w:pStyle w:val="TextoNormal"/>
      </w:pPr>
    </w:p>
    <w:p w14:paraId="6346AC15" w14:textId="5A03FB87" w:rsidR="00C04533" w:rsidRDefault="00C04533" w:rsidP="00C04533">
      <w:pPr>
        <w:pStyle w:val="TextoNormal"/>
      </w:pPr>
      <w:r>
        <w:t>En la misma fecha la Sala acuerda formar pieza separada para la tramitación del incidente de suspensión cautelar de los pronunciamientos impugnados, otorgando de conformidad con lo prevenido en el art. 56 LOTC un plazo común de tres días al Ministerio Fiscal y al solicitante de amparo para que dentro de dicho término alegasen lo que estimasen pertinente en relación con la petición de suspensión interesada.</w:t>
      </w:r>
    </w:p>
    <w:p w14:paraId="4215A136" w14:textId="77777777" w:rsidR="00C04533" w:rsidRDefault="00C04533" w:rsidP="00C04533">
      <w:pPr>
        <w:pStyle w:val="TextoNormal"/>
      </w:pPr>
    </w:p>
    <w:p w14:paraId="097797BD" w14:textId="706F0235" w:rsidR="00C04533" w:rsidRDefault="00C04533" w:rsidP="00C04533">
      <w:pPr>
        <w:pStyle w:val="TextoNormal"/>
      </w:pPr>
      <w:r w:rsidRPr="00C04533">
        <w:rPr>
          <w:rStyle w:val="NumeroAFNegritaCaracter"/>
        </w:rPr>
        <w:t>6</w:t>
      </w:r>
      <w:r>
        <w:t>. El 28 de octubre de 2024 tuvo entrada en el registro de este tribunal un escrito presentado por el procurador don Pedro Mancha Suárez, en representación de don Manuel Fernández Chamorro, en el que comunicaba al Tribunal que el día 25 de octubre de 2024 había alcanzado un acuerdo extrajudicial con la parte contraria en el juicio verbal núm. 1183-2021 del Juzgado de Primera Instancia núm. 4 de Torremolinos, y que por tal motivo renunciaba al procedimiento de amparo e interesaba su archivo.</w:t>
      </w:r>
    </w:p>
    <w:p w14:paraId="430388A3" w14:textId="77777777" w:rsidR="00C04533" w:rsidRDefault="00C04533" w:rsidP="00C04533">
      <w:pPr>
        <w:pStyle w:val="TextoNormal"/>
      </w:pPr>
    </w:p>
    <w:p w14:paraId="33B2E257" w14:textId="70A205D5" w:rsidR="00C04533" w:rsidRDefault="00C04533" w:rsidP="00C04533">
      <w:pPr>
        <w:pStyle w:val="TextoNormal"/>
      </w:pPr>
      <w:r w:rsidRPr="00C04533">
        <w:rPr>
          <w:rStyle w:val="NumeroAFNegritaCaracter"/>
        </w:rPr>
        <w:t>7</w:t>
      </w:r>
      <w:r>
        <w:t>. Por diligencia de ordenación de 29 de octubre de 2024 se tuvo por recibido y se unió al procedimiento el escrito de renuncia y se acordó dar traslado del mismo al Ministerio Fiscal por plazo de tres días para que alegara lo que estimara pertinente.</w:t>
      </w:r>
    </w:p>
    <w:p w14:paraId="6DFE0949" w14:textId="77777777" w:rsidR="00C04533" w:rsidRDefault="00C04533" w:rsidP="00C04533">
      <w:pPr>
        <w:pStyle w:val="TextoNormal"/>
      </w:pPr>
    </w:p>
    <w:p w14:paraId="1BB82408" w14:textId="10ADFC33" w:rsidR="00C04533" w:rsidRDefault="00C04533" w:rsidP="00C04533">
      <w:pPr>
        <w:pStyle w:val="TextoNormal"/>
      </w:pPr>
      <w:r w:rsidRPr="00C04533">
        <w:rPr>
          <w:rStyle w:val="NumeroAFNegritaCaracter"/>
        </w:rPr>
        <w:t>8</w:t>
      </w:r>
      <w:r>
        <w:t>. El 6 de noviembre de 2024 el fiscal presentó escrito en el que se advertía de la insuficiencia del apoderamiento otorgado, dado que el escrito no iba acompañado del poder especial exigido por el art. 25.2 LEC, ni constaba la ratificación personal del demandante.</w:t>
      </w:r>
    </w:p>
    <w:p w14:paraId="08752888" w14:textId="77777777" w:rsidR="00C04533" w:rsidRDefault="00C04533" w:rsidP="00C04533">
      <w:pPr>
        <w:pStyle w:val="TextoNormal"/>
      </w:pPr>
    </w:p>
    <w:p w14:paraId="58286D5C" w14:textId="4E9C4070" w:rsidR="00C04533" w:rsidRDefault="00C04533" w:rsidP="00C04533">
      <w:pPr>
        <w:pStyle w:val="TextoNormal"/>
      </w:pPr>
      <w:r w:rsidRPr="00C04533">
        <w:rPr>
          <w:rStyle w:val="NumeroAFNegritaCaracter"/>
        </w:rPr>
        <w:t>9</w:t>
      </w:r>
      <w:r>
        <w:t>. Por diligencia de ordenación de 7 de noviembre de 2024 se tuvo por recibido y se unió a las actuaciones el escrito del fiscal y se acordó, con suspensión de los plazos acordados en anteriores resoluciones, requerir al recurrente a fin de que en el plazo de cinco días presentara poder especial a favor del procurador que le representa, que comprendiera la renuncia al presente recurso de amparo, o escrito del recurrente ratificando la renuncia planteada.</w:t>
      </w:r>
    </w:p>
    <w:p w14:paraId="2F8B9EF5" w14:textId="77777777" w:rsidR="00C04533" w:rsidRDefault="00C04533" w:rsidP="00C04533">
      <w:pPr>
        <w:pStyle w:val="TextoNormal"/>
      </w:pPr>
    </w:p>
    <w:p w14:paraId="1F32EC68" w14:textId="7FA40A0D" w:rsidR="00C04533" w:rsidRDefault="00C04533" w:rsidP="00C04533">
      <w:pPr>
        <w:pStyle w:val="TextoNormal"/>
      </w:pPr>
      <w:r w:rsidRPr="00C04533">
        <w:rPr>
          <w:rStyle w:val="NumeroAFNegritaCaracter"/>
        </w:rPr>
        <w:t>10</w:t>
      </w:r>
      <w:r>
        <w:t>. El 11 de noviembre de 2024 la representación procesal del demandante presentó escrito, firmado por el propio demandante, de ratificación del escrito de renuncia.</w:t>
      </w:r>
    </w:p>
    <w:p w14:paraId="6D56E0D8" w14:textId="77777777" w:rsidR="00C04533" w:rsidRDefault="00C04533" w:rsidP="00C04533">
      <w:pPr>
        <w:pStyle w:val="TextoNormal"/>
      </w:pPr>
    </w:p>
    <w:p w14:paraId="515CD320" w14:textId="711C6543" w:rsidR="00C04533" w:rsidRDefault="00C04533" w:rsidP="00C04533">
      <w:pPr>
        <w:pStyle w:val="TextoNormal"/>
      </w:pPr>
      <w:r w:rsidRPr="00C04533">
        <w:rPr>
          <w:rStyle w:val="NumeroAFNegritaCaracter"/>
        </w:rPr>
        <w:t>11</w:t>
      </w:r>
      <w:r>
        <w:t>. Por diligencia de ordenación de 12 de noviembre de 2024 se dio de nuevo traslado para alegaciones al Ministerio Fiscal.</w:t>
      </w:r>
    </w:p>
    <w:p w14:paraId="7E545B30" w14:textId="77777777" w:rsidR="00C04533" w:rsidRDefault="00C04533" w:rsidP="00C04533">
      <w:pPr>
        <w:pStyle w:val="TextoNormal"/>
      </w:pPr>
    </w:p>
    <w:p w14:paraId="7D06049E" w14:textId="77777777" w:rsidR="00C04533" w:rsidRDefault="00C04533" w:rsidP="00C04533">
      <w:pPr>
        <w:pStyle w:val="TextoNormal"/>
      </w:pPr>
      <w:r w:rsidRPr="00C04533">
        <w:rPr>
          <w:rStyle w:val="NumeroAFNegritaCaracter"/>
        </w:rPr>
        <w:t>12</w:t>
      </w:r>
      <w:r>
        <w:t>. Por escrito presentado el 19 de noviembre de 2024 el fiscal evacuó sus alegaciones en las que interesó se tuviera por renunciada a la parte recurrente y se declarara concluso el recurso de amparo, de conformidad con lo establecido en los artículos 80 y 86.1 LOTC y los artículos 19.1, 20.3 y 22.1 LEC, manifestando asimismo que ello hacía innecesario el pronunciamiento sobre la suspensión solicitada.</w:t>
      </w:r>
    </w:p>
    <w:p w14:paraId="7FF46123" w14:textId="77777777" w:rsidR="00C04533" w:rsidRDefault="00C04533" w:rsidP="00C04533">
      <w:pPr>
        <w:pStyle w:val="TextoNormal"/>
      </w:pPr>
    </w:p>
    <w:p w14:paraId="43856A8C" w14:textId="77777777" w:rsidR="00C04533" w:rsidRDefault="00C04533" w:rsidP="00C04533">
      <w:pPr>
        <w:pStyle w:val="TextoNormal"/>
      </w:pPr>
      <w:r>
        <w:t>Argumenta el fiscal, con cita del ATC 89/2013, de 6 de mayo, FJ 2, que la regla general en caso de desistimiento es la de atender la solicitud de quien interpone el recurso de amparo, titular del interés cuya actuación sirve de soporte a su legitimación en el proceso, pues es razonable, en principio, tener en cuenta las alegaciones de los demandantes cuando la reclamación que motivó su recurso ha quedado satisfecha al margen del proceso constitucional, o ha obtenido una reparación adecuada. Se trata, no obstante, de una regla general que presenta excepciones, atendiendo a la trascendencia objetiva del contenido del recurso, excepciones que ya se acogían en resoluciones anteriores a la Ley Orgánica 6/2007, y que la introducción de la exigencia de la especial trascendencia constitucional como requisito para la admisión del recurso de amparo “dota de mayor relevancia” por “[l]a acentuada dimensión objetiva del recurso de amparo a partir de aquella reforma, [que] tendrá su reflejo inevitablemente en la valoración de la concurrencia de un interés que trascienda al propio de las partes”.</w:t>
      </w:r>
    </w:p>
    <w:p w14:paraId="134B1574" w14:textId="77777777" w:rsidR="00C04533" w:rsidRDefault="00C04533" w:rsidP="00C04533">
      <w:pPr>
        <w:pStyle w:val="TextoNormal"/>
      </w:pPr>
    </w:p>
    <w:p w14:paraId="7978F0B2" w14:textId="77777777" w:rsidR="00C04533" w:rsidRDefault="00C04533" w:rsidP="00C04533">
      <w:pPr>
        <w:pStyle w:val="TextoNormal"/>
      </w:pPr>
      <w:r>
        <w:t>Señala el fiscal que la estimación de la existencia del interés general prevalente que justifique la continuación del procedimiento debe instarse por la parte legitimada para ello, condición que ostenta el Ministerio Fiscal, siendo su oposición un dato a tener en cuenta, aunque no determinante, por lo que deben ser examinadas las circunstancias concretas de cada caso y relacionarlas con la necesidad de que se produzca un pronunciamiento de fondo por parte del Tribunal Constitucional, cuestión en la que debe tenerse en cuenta la consideración sobre la especial trascendencia constitucional que ha dado lugar a la admisión del recurso.</w:t>
      </w:r>
    </w:p>
    <w:p w14:paraId="148EEA79" w14:textId="77777777" w:rsidR="00C04533" w:rsidRDefault="00C04533" w:rsidP="00C04533">
      <w:pPr>
        <w:pStyle w:val="TextoNormal"/>
      </w:pPr>
    </w:p>
    <w:p w14:paraId="4DCF7DE1" w14:textId="7F92FF6B" w:rsidR="00C04533" w:rsidRDefault="00C04533" w:rsidP="00C04533">
      <w:pPr>
        <w:pStyle w:val="TextoNormal"/>
      </w:pPr>
      <w:r>
        <w:t>Refiriéndose a las circunstancias del caso, el fiscal apunta que el demandante se ha ratificado personalmente en el escrito de renuncia y petición de archivo, y que consta que ha alcanzado un acuerdo extrajudicial con la parte contraria, motivo de su renuncia, lo que pone de manifiesto que ha decaído el interés particular que sustentaba la impugnación de las resoluciones judiciales combatidas. El fiscal afirma que no se aprecia que dicha renuncia pueda perjudicar un interés púbico prevalente que justifique la continuación del procedimiento, considerando que no adquiere una especial relevancia a estos efectos la apreciación sobre la dimensión objetiva del recurso de amparo manifestada en la providencia de admisión a trámite.</w:t>
      </w:r>
    </w:p>
    <w:p w14:paraId="363D3F9D" w14:textId="77777777" w:rsidR="00C04533" w:rsidRDefault="00C04533" w:rsidP="00C04533">
      <w:pPr>
        <w:pStyle w:val="TextoNormal"/>
      </w:pPr>
    </w:p>
    <w:p w14:paraId="42964530" w14:textId="77777777" w:rsidR="00C04533" w:rsidRDefault="00C04533" w:rsidP="00C04533">
      <w:pPr>
        <w:pStyle w:val="TextoNormalNegritaCentrado"/>
        <w:keepNext/>
      </w:pPr>
      <w:r>
        <w:t>II. Fundamentos jurídicos</w:t>
      </w:r>
    </w:p>
    <w:p w14:paraId="290B7EE8" w14:textId="391054E9" w:rsidR="00C04533" w:rsidRDefault="00C04533" w:rsidP="00C04533">
      <w:pPr>
        <w:pStyle w:val="TextoNormalNegritaCentrado"/>
        <w:keepNext/>
      </w:pPr>
    </w:p>
    <w:p w14:paraId="3E0A5BB2" w14:textId="183FD590" w:rsidR="00C04533" w:rsidRDefault="00C04533" w:rsidP="00C04533">
      <w:pPr>
        <w:pStyle w:val="TextoNormal"/>
      </w:pPr>
      <w:r w:rsidRPr="00C04533">
        <w:rPr>
          <w:rStyle w:val="NumeroAFNegritaCaracter"/>
        </w:rPr>
        <w:t>1</w:t>
      </w:r>
      <w:r>
        <w:t>. Constituye el objeto del presente auto resolver la petición de desistimiento deducida por el actor en escrito presentado en el registro general de este tribunal el día 28 de octubre de 2024 en el que, tras poner de manifiesto que ha alcanzado un acuerdo extrajudicial con la parte contraria en el litigio antecedente, interesa “la renuncia del presente procedimiento y su consiguiente archivo”.</w:t>
      </w:r>
    </w:p>
    <w:p w14:paraId="22DB7B4E" w14:textId="77777777" w:rsidR="00C04533" w:rsidRDefault="00C04533" w:rsidP="00C04533">
      <w:pPr>
        <w:pStyle w:val="TextoNormal"/>
      </w:pPr>
    </w:p>
    <w:p w14:paraId="40ECD919" w14:textId="77777777" w:rsidR="00C04533" w:rsidRDefault="00C04533" w:rsidP="00C04533">
      <w:pPr>
        <w:pStyle w:val="TextoNormal"/>
      </w:pPr>
      <w:r w:rsidRPr="00C04533">
        <w:rPr>
          <w:rStyle w:val="NumeroAFNegritaCaracter"/>
        </w:rPr>
        <w:t>2</w:t>
      </w:r>
      <w:r>
        <w:t>. El art. 86.1 LOTC prevé que la decisión sobre el desistimiento adopte la forma de auto, siendo de aplicación supletoria, en virtud del art. 80 LOTC, los preceptos de la Ley Orgánica del Poder Judicial y de la Ley de enjuiciamiento civil, en particular, los arts. 19.1, 20.2 y 3 LEC. En virtud de esta normativa, el desistimiento manifestado por el promotor del recurso constituye una forma legítima de terminación anticipada del procedimiento de amparo, siempre que las partes personadas presten su conformidad o no se opongan al mismo dentro del plazo conferido a tal efecto. Es preciso además que no redunde en perjuicio de un interés prevalente al interés particular de las partes que haga necesaria su prosecución, siempre que tal continuación sea propuesta por quien ostente la debida legitimación al respecto, entendiendo por tal al Ministerio Fiscal “a quien incumbe la defensa de la legalidad en los procesos de amparo, la defensa de los derechos de los ciudadanos y del interés público tutelado por la ley, según el art. 47.2 LOTC” (por todas, AATC 89/2013, de 6 de mayo, FJ 3, y 49/2024, de 20 de mayo, FFJJ 1 y 2).</w:t>
      </w:r>
    </w:p>
    <w:p w14:paraId="20CB0CC0" w14:textId="77777777" w:rsidR="00C04533" w:rsidRDefault="00C04533" w:rsidP="00C04533">
      <w:pPr>
        <w:pStyle w:val="TextoNormal"/>
      </w:pPr>
    </w:p>
    <w:p w14:paraId="04A097C8" w14:textId="77777777" w:rsidR="00C04533" w:rsidRDefault="00C04533" w:rsidP="00C04533">
      <w:pPr>
        <w:pStyle w:val="TextoNormal"/>
      </w:pPr>
      <w:r>
        <w:t>En este caso existe una manifestación expresa del demandante de amparo, don Manuel Fernández Chamorro, de su voluntad de poner fin al procedimiento, al que dice renunciar solicitando su archivo, petición formulada inicialmente el 28 de octubre de 2024 en escrito suscrito por su representación procesal, que quedó debidamente ratificada, a requerimiento del Tribunal, en escrito suscrito por el propio demandante y presentado el 11 de noviembre de 2024.</w:t>
      </w:r>
    </w:p>
    <w:p w14:paraId="2C553660" w14:textId="77777777" w:rsidR="00C04533" w:rsidRDefault="00C04533" w:rsidP="00C04533">
      <w:pPr>
        <w:pStyle w:val="TextoNormal"/>
      </w:pPr>
    </w:p>
    <w:p w14:paraId="43E16D6D" w14:textId="7E05AF51" w:rsidR="00C04533" w:rsidRDefault="00C04533" w:rsidP="00C04533">
      <w:pPr>
        <w:pStyle w:val="TextoNormal"/>
      </w:pPr>
      <w:r>
        <w:t>El Ministerio Fiscal en su escrito final de alegaciones no ha mostrado oposición a otorgar plenos efectos al desistimiento formulado por el demandante, considerando que el mismo tras su ratificación personal satisface los requisitos formales, sin que se aprecie la subsistencia de un interés objetivo, prevalente al de las partes, que pudiera motivar la exigencia de dar continuidad al procedimiento de amparo.</w:t>
      </w:r>
    </w:p>
    <w:p w14:paraId="636CF84E" w14:textId="77777777" w:rsidR="00C04533" w:rsidRDefault="00C04533" w:rsidP="00C04533">
      <w:pPr>
        <w:pStyle w:val="TextoNormal"/>
      </w:pPr>
    </w:p>
    <w:p w14:paraId="65991E7C" w14:textId="77777777" w:rsidR="00C04533" w:rsidRDefault="00C04533" w:rsidP="00C04533">
      <w:pPr>
        <w:pStyle w:val="TextoNormal"/>
      </w:pPr>
      <w:r w:rsidRPr="00C04533">
        <w:rPr>
          <w:rStyle w:val="NumeroAFNegritaCaracter"/>
        </w:rPr>
        <w:t>3</w:t>
      </w:r>
      <w:r>
        <w:t>. Hemos de partir de que el ordenamiento procesal otorga una relevancia singular a la posición que adopten las partes ante la manifestación de desistimiento al disponer como regla general que, en caso de que el demandado prestase su conformidad o no se opusiere a él en el plazo concedido, se dictará resolución acordando el sobreseimiento, en tanto que si el demandado se opusiere al desistimiento, “el juez resolverá lo que estime oportuno” (art. 20.3 LEC). Es igualmente preciso recordar que, conforme a reiterada doctrina de este tribunal, la eficacia del desistimiento exige que no persista un interés general o público que aconseje dar continuidad al procedimiento de amparo pues, si bien es cierto que la regla general por la que se guía nuestra actuación es la de atender la solicitud de quien interpone el recurso de amparo, en su condición de titular del interés cuya actuación sirve de soporte a su legitimación en el proceso (ATC 34/1993, de 26 de enero, FJ 2, entre otros), inspirándonos en que la jurisdicción de amparo es una jurisdicción rogada (ATC 89/2013, de 6 de mayo, FJ 2), esta regla admite excepciones, no quedando este tribunal vinculado de forma absoluta por la voluntad unilateral de la parte que formula el desistimiento (STC 362/1993, de 13 de diciembre, entre otras).</w:t>
      </w:r>
    </w:p>
    <w:p w14:paraId="52DC13AB" w14:textId="77777777" w:rsidR="00C04533" w:rsidRDefault="00C04533" w:rsidP="00C04533">
      <w:pPr>
        <w:pStyle w:val="TextoNormal"/>
      </w:pPr>
    </w:p>
    <w:p w14:paraId="30AE0179" w14:textId="77777777" w:rsidR="00C04533" w:rsidRDefault="00C04533" w:rsidP="00C04533">
      <w:pPr>
        <w:pStyle w:val="TextoNormal"/>
      </w:pPr>
      <w:r>
        <w:t>También hemos afirmado que la oposición al desistimiento por parte del Ministerio Fiscal, en tanto que legitimado para ello como defensor de dicho interés según el art. 47.2 LOTC, es relevante aunque no necesariamente determinante (AATC 265/2002, de 9 de diciembre, y 89/2013, de 6 de mayo, FJ 3, y STC 141/2012, de 2 de julio).</w:t>
      </w:r>
    </w:p>
    <w:p w14:paraId="7BCB4A22" w14:textId="77777777" w:rsidR="00C04533" w:rsidRDefault="00C04533" w:rsidP="00C04533">
      <w:pPr>
        <w:pStyle w:val="TextoNormal"/>
      </w:pPr>
    </w:p>
    <w:p w14:paraId="49A0CB08" w14:textId="77777777" w:rsidR="00C04533" w:rsidRDefault="00C04533" w:rsidP="00C04533">
      <w:pPr>
        <w:pStyle w:val="TextoNormal"/>
      </w:pPr>
      <w:r>
        <w:t>Como hemos indicado en los antecedentes de esta resolución, el Ministerio Fiscal, al evacuar su escrito de alegaciones con motivo del traslado que se le ha dado del escrito de desistimiento, se ha mostrado favorable a otorgar plena eficacia al mismo por haberse dado cumplimiento a los requisitos exigidos en la ley para incorporarlo al procedimiento de amparo y no apreciar que de su aceptación por el Tribunal pueda derivarse daño al interés particular ni al interés objetivo que sirvió de fundamento a la apreciación de su especial trascendencia constitucional.</w:t>
      </w:r>
    </w:p>
    <w:p w14:paraId="7DEB1E69" w14:textId="77777777" w:rsidR="00C04533" w:rsidRDefault="00C04533" w:rsidP="00C04533">
      <w:pPr>
        <w:pStyle w:val="TextoNormal"/>
      </w:pPr>
    </w:p>
    <w:p w14:paraId="5F376D28" w14:textId="77777777" w:rsidR="00C04533" w:rsidRDefault="00C04533" w:rsidP="00C04533">
      <w:pPr>
        <w:pStyle w:val="TextoNormal"/>
      </w:pPr>
      <w:r>
        <w:t>Hemos de convenir con la postura del Ministerio Fiscal. Tomamos en consideración, para ello, tanto el objeto litigioso del procedimiento antecedente —un desahucio de locales de negocio— en los que se jugaban intereses de naturaleza estrictamente privada susceptibles de regirse por la autonomía de la voluntad de las partes contratantes, como el motivo en el que el recurso de amparo funda la vulneración del derecho a la tutela judicial efectiva sin indefensión del art. 24.1 CE, que no es otro que el de no haber utilizado el juzgado de primera instancia los medios a su alcance para averiguar el domicilio del demandado antes de acudir a la comunicación edictal, contraviniendo lo exigido para los juicios de desahucio por una doctrina constitucional consolidada y de general conocimiento.</w:t>
      </w:r>
    </w:p>
    <w:p w14:paraId="4198F1CD" w14:textId="77777777" w:rsidR="00C04533" w:rsidRDefault="00C04533" w:rsidP="00C04533">
      <w:pPr>
        <w:pStyle w:val="TextoNormal"/>
      </w:pPr>
    </w:p>
    <w:p w14:paraId="2778D7F9" w14:textId="0F332AB1" w:rsidR="00C04533" w:rsidRDefault="00C04533" w:rsidP="00C04533">
      <w:pPr>
        <w:pStyle w:val="TextoNormal"/>
      </w:pPr>
      <w:r>
        <w:t>El demandante de amparo ha obtenido, según manifiesta, plena satisfacción de su interés al margen del proceso, que queda salvaguardado de este modo por su propia estrategia negociadora. No es apreciable, por otra parte, la persistencia de un interés objetivo, trascedente de dicho interés, que justifique dar continuidad al procedimiento de amparo, pues el fundamento de vulneración alegado en el escrito iniciador del mismo es el supuesto incumplimiento en un caso particular de una doctrina constitucional que, en general, es acatada en la praxis judicial por lo que, aun concurriendo en el caso el motivo de especial trascendencia constitucional aducido en la providencia de admisión de 21 de octubre de 2024, no existe un interés especial en abundar en ella. Es procedente, por ello, aceptar la solicitud de desistimiento y otorgarle plenos efectos.</w:t>
      </w:r>
    </w:p>
    <w:p w14:paraId="558FD8A7" w14:textId="77777777" w:rsidR="00C04533" w:rsidRDefault="00C04533" w:rsidP="00C04533">
      <w:pPr>
        <w:pStyle w:val="TextoNormal"/>
      </w:pPr>
    </w:p>
    <w:p w14:paraId="09E8305B" w14:textId="77777777" w:rsidR="00C04533" w:rsidRDefault="00C04533" w:rsidP="00C04533">
      <w:pPr>
        <w:pStyle w:val="TextoNormal"/>
      </w:pPr>
      <w:r>
        <w:t>Por lo expuesto, la Sala</w:t>
      </w:r>
    </w:p>
    <w:p w14:paraId="23A75591" w14:textId="658A68ED" w:rsidR="00C04533" w:rsidRDefault="00C04533" w:rsidP="00C04533">
      <w:pPr>
        <w:pStyle w:val="TextoNormal"/>
      </w:pPr>
    </w:p>
    <w:p w14:paraId="0C46123B" w14:textId="77777777" w:rsidR="00C04533" w:rsidRDefault="00C04533" w:rsidP="00C04533">
      <w:pPr>
        <w:pStyle w:val="TextoNormalCentrado"/>
      </w:pPr>
      <w:r>
        <w:t>ACUERDA</w:t>
      </w:r>
    </w:p>
    <w:p w14:paraId="6D73C7EC" w14:textId="0DC9A831" w:rsidR="00C04533" w:rsidRDefault="00C04533" w:rsidP="00C04533">
      <w:pPr>
        <w:pStyle w:val="TextoNormalCentrado"/>
      </w:pPr>
    </w:p>
    <w:p w14:paraId="2EE2B572" w14:textId="1CA7D21D" w:rsidR="00C04533" w:rsidRDefault="00C04533" w:rsidP="00C04533">
      <w:pPr>
        <w:pStyle w:val="TextoNormal"/>
      </w:pPr>
      <w:r>
        <w:t>Tener por desistido del presente recurso de amparo a don Manuel Fernández Chamorro, debiendo tal desistimiento surtir plenos efectos y procediendo el archivo de las presentes actuaciones, tanto de su pieza principal como de la pieza separada de suspensión.</w:t>
      </w:r>
    </w:p>
    <w:p w14:paraId="0D025530" w14:textId="77777777" w:rsidR="00C04533" w:rsidRDefault="00C04533" w:rsidP="00C04533">
      <w:pPr>
        <w:pStyle w:val="TextoNormal"/>
      </w:pPr>
    </w:p>
    <w:p w14:paraId="54418B29" w14:textId="77777777" w:rsidR="00C04533" w:rsidRDefault="00C04533" w:rsidP="00C04533">
      <w:pPr>
        <w:pStyle w:val="TextoNormal"/>
      </w:pPr>
      <w:r>
        <w:t>Madrid, a dieciséis de diciembre de dos mil veinticuatro.</w:t>
      </w:r>
    </w:p>
    <w:p w14:paraId="041A587D" w14:textId="01C16564" w:rsidR="00C04533" w:rsidRDefault="00C04533">
      <w:pPr>
        <w:spacing w:after="160" w:line="278" w:lineRule="auto"/>
        <w:rPr>
          <w:rFonts w:ascii="Times New Roman" w:eastAsia="Times New Roman" w:hAnsi="Times New Roman" w:cs="Times New Roman"/>
          <w:sz w:val="24"/>
          <w:szCs w:val="24"/>
          <w:lang w:eastAsia="es-ES"/>
        </w:rPr>
      </w:pPr>
      <w:r>
        <w:br w:type="page"/>
      </w:r>
    </w:p>
    <w:p w14:paraId="267868FC" w14:textId="77777777" w:rsidR="00C04533" w:rsidRDefault="00C04533" w:rsidP="00C04533">
      <w:pPr>
        <w:pStyle w:val="TtuloResolucin"/>
      </w:pPr>
      <w:bookmarkStart w:id="163" w:name="AUTO_2024_157"/>
      <w:r>
        <w:t>AUTO 157/2024, de 17 de diciembre de 2024</w:t>
      </w:r>
    </w:p>
    <w:bookmarkEnd w:id="163"/>
    <w:p w14:paraId="0FB94EB8" w14:textId="77777777" w:rsidR="00C04533" w:rsidRDefault="00C04533" w:rsidP="00C04533">
      <w:pPr>
        <w:pStyle w:val="TtuloResolucin"/>
      </w:pPr>
      <w:r>
        <w:t>Pleno</w:t>
      </w:r>
    </w:p>
    <w:p w14:paraId="3EF7D7A7" w14:textId="77777777" w:rsidR="00C04533" w:rsidRDefault="00C04533" w:rsidP="00C04533">
      <w:pPr>
        <w:pStyle w:val="TtuloBOE"/>
      </w:pPr>
      <w:r>
        <w:t>(BOE núm. 21, de 24 de enero de 2025)</w:t>
      </w:r>
    </w:p>
    <w:p w14:paraId="77275A85" w14:textId="77777777" w:rsidR="00C04533" w:rsidRDefault="00C04533" w:rsidP="00C04533">
      <w:pPr>
        <w:pStyle w:val="TextoNormalCentrado"/>
      </w:pPr>
      <w:r>
        <w:t>ECLI:ES:TC:2024:157A</w:t>
      </w:r>
    </w:p>
    <w:p w14:paraId="6C86641A" w14:textId="7ABB1BD3" w:rsidR="00C04533" w:rsidRDefault="00C04533" w:rsidP="00C04533">
      <w:pPr>
        <w:pStyle w:val="TextoNormalCentrado"/>
      </w:pPr>
    </w:p>
    <w:p w14:paraId="69418258" w14:textId="77777777" w:rsidR="00C04533" w:rsidRDefault="00C04533" w:rsidP="00C04533">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3911C862" w14:textId="32D3250F" w:rsidR="00C04533" w:rsidRDefault="00C04533" w:rsidP="00C04533">
      <w:pPr>
        <w:pStyle w:val="SntesisDescriptiva"/>
      </w:pPr>
    </w:p>
    <w:p w14:paraId="0D70191A" w14:textId="77777777" w:rsidR="00C04533" w:rsidRDefault="00C04533" w:rsidP="00C04533">
      <w:pPr>
        <w:pStyle w:val="SntesisDescriptiva"/>
      </w:pPr>
      <w:r>
        <w:t>Inadmite las recusaciones formuladas en el recurso de amparo 8141-2024, promovido por don Fernando Argote Pons en causa penal.</w:t>
      </w:r>
    </w:p>
    <w:p w14:paraId="0D20CE00" w14:textId="3E8B9F6E" w:rsidR="00C04533" w:rsidRDefault="00C04533" w:rsidP="00C04533">
      <w:pPr>
        <w:pStyle w:val="SntesisDescriptiva"/>
      </w:pPr>
    </w:p>
    <w:p w14:paraId="60340664" w14:textId="77777777" w:rsidR="00C04533" w:rsidRDefault="00C04533" w:rsidP="00C04533">
      <w:pPr>
        <w:pStyle w:val="SntesisDescriptiva"/>
      </w:pPr>
    </w:p>
    <w:p w14:paraId="0576668A" w14:textId="77777777" w:rsidR="00C04533" w:rsidRDefault="00C04533" w:rsidP="00C04533">
      <w:pPr>
        <w:pStyle w:val="SntesisDescriptiva"/>
      </w:pPr>
    </w:p>
    <w:p w14:paraId="28B051D1" w14:textId="77777777" w:rsidR="00C04533" w:rsidRDefault="00C04533" w:rsidP="00C04533">
      <w:pPr>
        <w:pStyle w:val="TextoNormalNegritaCentrado"/>
      </w:pPr>
      <w:r>
        <w:t>AUTO</w:t>
      </w:r>
    </w:p>
    <w:p w14:paraId="4A2FEC8B" w14:textId="2B925AC0" w:rsidR="00C04533" w:rsidRDefault="00C04533" w:rsidP="00C04533">
      <w:pPr>
        <w:pStyle w:val="TextoNormalNegritaCentrado"/>
      </w:pPr>
    </w:p>
    <w:p w14:paraId="1006F075" w14:textId="77777777" w:rsidR="00C04533" w:rsidRDefault="00C04533" w:rsidP="00C04533">
      <w:pPr>
        <w:pStyle w:val="TextoNormalNegritaCentrado"/>
        <w:keepNext/>
      </w:pPr>
      <w:r>
        <w:t>I. Antecedentes</w:t>
      </w:r>
    </w:p>
    <w:p w14:paraId="035D3216" w14:textId="29572A85" w:rsidR="00C04533" w:rsidRDefault="00C04533" w:rsidP="00C04533">
      <w:pPr>
        <w:pStyle w:val="TextoNormalNegritaCentrado"/>
        <w:keepNext/>
      </w:pPr>
    </w:p>
    <w:p w14:paraId="45DF2925" w14:textId="77777777" w:rsidR="00C04533" w:rsidRDefault="00C04533" w:rsidP="00C04533">
      <w:pPr>
        <w:pStyle w:val="TextoNormal"/>
      </w:pPr>
      <w:r w:rsidRPr="00C04533">
        <w:rPr>
          <w:rStyle w:val="NumeroAFNegritaCaracter"/>
        </w:rPr>
        <w:t>1</w:t>
      </w:r>
      <w:r>
        <w:t>. Mediante escrito registrado en este tribunal el 29 de noviembre de 2024, doña Silvia Albaladejo Díaz-Alabart, procuradora de los tribunales, en nombre y representación de don Fernando Argote Pons, interpuso el recurso de amparo de referencia contra la resolución de 20 de septiembre de 2024, dictada por el promotor de la acción disciplinaria del Consejo General del Poder Judicial en el expediente de referencia CGPJ 056137/2023A01, en relación con la queja núm. 393-2023 remitida en virtud de acuerdo gubernativo dictado el 19 de octubre de 2023 por el juez decano de los juzgados de San Sebastián, y en el que, por medio de otrosí primero digo, promueve la recusación de todos los magistrados integrantes del Pleno.</w:t>
      </w:r>
    </w:p>
    <w:p w14:paraId="5F0A0BCB" w14:textId="77777777" w:rsidR="00C04533" w:rsidRDefault="00C04533" w:rsidP="00C04533">
      <w:pPr>
        <w:pStyle w:val="TextoNormal"/>
      </w:pPr>
    </w:p>
    <w:p w14:paraId="42AEE188" w14:textId="277F191C" w:rsidR="00C04533" w:rsidRDefault="00C04533" w:rsidP="00C04533">
      <w:pPr>
        <w:pStyle w:val="TextoNormal"/>
      </w:pPr>
      <w:r>
        <w:t>El recurso de amparo ha sido turnado, a efectos de adoptar la decisión correspondiente sobre su admisibilidad, a la Sección Tercera de este tribunal.</w:t>
      </w:r>
    </w:p>
    <w:p w14:paraId="74AB5FC3" w14:textId="77777777" w:rsidR="00C04533" w:rsidRDefault="00C04533" w:rsidP="00C04533">
      <w:pPr>
        <w:pStyle w:val="TextoNormal"/>
      </w:pPr>
    </w:p>
    <w:p w14:paraId="28B747CD" w14:textId="77777777" w:rsidR="00C04533" w:rsidRDefault="00C04533" w:rsidP="00C04533">
      <w:pPr>
        <w:pStyle w:val="TextoNormal"/>
      </w:pPr>
      <w:r w:rsidRPr="00C04533">
        <w:rPr>
          <w:rStyle w:val="NumeroAFNegritaCaracter"/>
        </w:rPr>
        <w:t>2</w:t>
      </w:r>
      <w:r>
        <w:t>. Los motivos de recusación alegados son idénticos a los que el mismo recurrente formuló en el recurso de amparo núm. 5554-2024, que ahora extiende al magistrado don José María Macías Castaño, y motivaron la inadmisión de todas las recusaciones planteadas mediante el ATC 128/2024, de 19 de noviembre.</w:t>
      </w:r>
    </w:p>
    <w:p w14:paraId="2DAEE87E" w14:textId="77777777" w:rsidR="00C04533" w:rsidRDefault="00C04533" w:rsidP="00C04533">
      <w:pPr>
        <w:pStyle w:val="TextoNormal"/>
      </w:pPr>
    </w:p>
    <w:p w14:paraId="3E0789B1" w14:textId="2B954583" w:rsidR="00C04533" w:rsidRDefault="00C04533" w:rsidP="00C04533">
      <w:pPr>
        <w:pStyle w:val="TextoNormal"/>
      </w:pPr>
      <w:r>
        <w:t>Las causas de recusación alegadas no coinciden en todos los casos, aunque mantienen un sustrato común. Así, en primer lugar, se formulan recusaciones contra un total de ocho magistrados y magistradas por su anterior intervención en varios recursos de amparo promovidos por el ahora recurrente, que fueron inadmitidas a trámite. En concreto, la magistrada Balaguer Callejón y los magistrados Sáez Valcárcel y Arnaldo Alcubilla, respecto de los recursos de amparo núm. 192-2024 y 216-2024; el magistrado Conde-Pumpido Tourón y las magistradas Espejel Jorquera y Segoviano Astaburuaga, por su anterior intervención en el recurso de amparo núm. 2909-2023; y los magistrados Enríquez Sancho y Campo Moreno respecto del recurso de amparo núm. 7178-2023. A lo anterior se añade, en segundo lugar, lo que el recurrente considera una vinculación política de todos y cada uno de los magistrados de este tribunal, derivada del sistema establecido para su nombramiento que, según el recurrente, le hace dudar legítimamente de la independencia y apariencia de imparcialidad para enjuiciar un asunto en el que, como cuestión de fondo, se abordan acusaciones cruzadas entre un ciudadano y responsables políticos, así como jueces y fiscales nombrados por estos. Y este es, precisamente, el motivo de recusación de los otros cuatro integrantes del Pleno, las magistradas Montalbán Huertas y Díez Bueso y los magistrados Tolosa Tribiño y Macías Castaño. Para el recurrente, este tribunal tiene una naturaleza política, en el que sus miembros dependen directamente del partido que les ha nombrado. Considera que la imparcialidad del Tribunal debe ser garantizada por el Estado, por lo que no corresponde al recurrente resolver esta cuestión sino alegar el estado de indefensión en que se encuentra ante unos magistrados políticos que amparan a políticos.</w:t>
      </w:r>
    </w:p>
    <w:p w14:paraId="2AAA1F2D" w14:textId="77777777" w:rsidR="00C04533" w:rsidRDefault="00C04533" w:rsidP="00C04533">
      <w:pPr>
        <w:pStyle w:val="TextoNormal"/>
      </w:pPr>
    </w:p>
    <w:p w14:paraId="751A8B92" w14:textId="77777777" w:rsidR="00C04533" w:rsidRDefault="00C04533" w:rsidP="00C04533">
      <w:pPr>
        <w:pStyle w:val="TextoNormalNegritaCentrado"/>
        <w:keepNext/>
      </w:pPr>
      <w:r>
        <w:t>II. Fundamentos jurídicos</w:t>
      </w:r>
    </w:p>
    <w:p w14:paraId="101E35CE" w14:textId="7202EBBC" w:rsidR="00C04533" w:rsidRDefault="00C04533" w:rsidP="00C04533">
      <w:pPr>
        <w:pStyle w:val="TextoNormalNegritaCentrado"/>
        <w:keepNext/>
      </w:pPr>
    </w:p>
    <w:p w14:paraId="27F83F45" w14:textId="77777777" w:rsidR="00C04533" w:rsidRDefault="00C04533" w:rsidP="00C04533">
      <w:pPr>
        <w:pStyle w:val="TextoNormal"/>
      </w:pPr>
      <w:r w:rsidRPr="00C04533">
        <w:rPr>
          <w:rStyle w:val="TextoNormalNegritaCaracter"/>
        </w:rPr>
        <w:t xml:space="preserve">Único. </w:t>
      </w:r>
      <w:r>
        <w:t>Objeto de la presente resolución</w:t>
      </w:r>
    </w:p>
    <w:p w14:paraId="0C6225E1" w14:textId="77777777" w:rsidR="00C04533" w:rsidRDefault="00C04533" w:rsidP="00C04533">
      <w:pPr>
        <w:pStyle w:val="TextoNormal"/>
      </w:pPr>
    </w:p>
    <w:p w14:paraId="29F34489" w14:textId="77777777" w:rsidR="00C04533" w:rsidRDefault="00C04533" w:rsidP="00C04533">
      <w:pPr>
        <w:pStyle w:val="TextoNormal"/>
      </w:pPr>
      <w:r>
        <w:t>Como ha quedado reseñado en el antecedente 2, hay una coincidencia prácticamente exacta entre las recusaciones formuladas en el presente recurso de amparo y las promovidas por el mismo recusante en el recurso de amparo núm. 5554-2024, las cuales fueron inadmitidas por el Pleno mediante el ATC 128/2024, de 19 de noviembre, lo que determina que las recusaciones ahora analizadas hayan de ser inadmitidas por los mismos fundamentos.</w:t>
      </w:r>
    </w:p>
    <w:p w14:paraId="2E32869D" w14:textId="77777777" w:rsidR="00C04533" w:rsidRDefault="00C04533" w:rsidP="00C04533">
      <w:pPr>
        <w:pStyle w:val="TextoNormal"/>
      </w:pPr>
    </w:p>
    <w:p w14:paraId="1D29C6F8" w14:textId="77777777" w:rsidR="00C04533" w:rsidRDefault="00C04533" w:rsidP="00C04533">
      <w:pPr>
        <w:pStyle w:val="TextoNormal"/>
      </w:pPr>
      <w:r>
        <w:t>Por tal motivo, han de reproducirse en este momento las siguientes consideraciones:</w:t>
      </w:r>
    </w:p>
    <w:p w14:paraId="5DEDE4D5" w14:textId="77777777" w:rsidR="00C04533" w:rsidRDefault="00C04533" w:rsidP="00C04533">
      <w:pPr>
        <w:pStyle w:val="TextoNormal"/>
      </w:pPr>
    </w:p>
    <w:p w14:paraId="6A39FF19" w14:textId="77777777" w:rsidR="00C04533" w:rsidRDefault="00C04533" w:rsidP="00C04533">
      <w:pPr>
        <w:pStyle w:val="TextoNormal"/>
      </w:pPr>
      <w:r>
        <w:t xml:space="preserve">a) En primer lugar, debe recordarse que el Pleno de este tribunal resulta competente para conocer de una recusación que afecta a todos sus miembros, pues es doctrina reiterada de este tribunal que cuando se recusa a la totalidad de sus miembros [o a un número de magistrados suficientemente relevante como para impedir el </w:t>
      </w:r>
      <w:r w:rsidRPr="00C04533">
        <w:rPr>
          <w:i/>
        </w:rPr>
        <w:t>quorum</w:t>
      </w:r>
      <w:r>
        <w:t xml:space="preserve"> para su constitución (ATC 107/2021, de 15 de diciembre, FJ 3 B)] es inaplicable el art. 227 de la Ley Orgánica del Poder Judicial (LOPJ; entre otros, AATC 269/2014, de 4 de noviembre, FJ 1, y 62/2020, de 17 de junio, FJ 2), dado que otra solución supondría una paralización inaceptable del ejercicio de la jurisdicción constitucional (AATC 80/2005, de 17 de febrero; 443/2007, de 27 de noviembre; 126/2008, de 14 de mayo; 268/2014, de 4 de noviembre; 269/2014 y 62/2020, FJ 2).</w:t>
      </w:r>
    </w:p>
    <w:p w14:paraId="63FD7717" w14:textId="77777777" w:rsidR="00C04533" w:rsidRDefault="00C04533" w:rsidP="00C04533">
      <w:pPr>
        <w:pStyle w:val="TextoNormal"/>
      </w:pPr>
    </w:p>
    <w:p w14:paraId="6BB8320B" w14:textId="77777777" w:rsidR="00C04533" w:rsidRDefault="00C04533" w:rsidP="00C04533">
      <w:pPr>
        <w:pStyle w:val="TextoNormal"/>
      </w:pPr>
      <w:r>
        <w:t>b) Ha de reseñarse, igualmente, que este tribunal ha admitido la posibilidad de denegar la tramitación de un incidente de recusación cuando razones procesales o de fondo así lo exijan (AATC 109/1981, de 30 de octubre, y 269/2014, entre otros muchos), lo que puede ser consecuencia de su defectuoso planteamiento procesal o de la existencia de una situación de manifiesto abuso de derecho o de fraude de ley o procesal (art. 11.2 LOPJ), tal y como reiteradamente ha sostenido la jurisprudencia constitucional (AATC 383/2006, de 2 de noviembre, FJ 2; 394/2006, de 7 de noviembre, FJ 2, y 119/2017, de 7 de septiembre, FJ 3).</w:t>
      </w:r>
    </w:p>
    <w:p w14:paraId="7ABC4476" w14:textId="77777777" w:rsidR="00C04533" w:rsidRDefault="00C04533" w:rsidP="00C04533">
      <w:pPr>
        <w:pStyle w:val="TextoNormal"/>
      </w:pPr>
    </w:p>
    <w:p w14:paraId="7FFBFA96" w14:textId="77777777" w:rsidR="00C04533" w:rsidRDefault="00C04533" w:rsidP="00C04533">
      <w:pPr>
        <w:pStyle w:val="TextoNormal"/>
      </w:pPr>
      <w:r>
        <w:t xml:space="preserve">c) Entre los motivos que justifican el rechazo </w:t>
      </w:r>
      <w:r w:rsidRPr="00C04533">
        <w:rPr>
          <w:i/>
        </w:rPr>
        <w:t>a limine</w:t>
      </w:r>
      <w:r>
        <w:t xml:space="preserve"> se incluyen los supuestos en los que la recusación se dirige contra la totalidad de los magistrados que forman el Tribunal Constitucional. En relación con este tipo de recusaciones este tribunal ha señalado que “vienen a coincidir dos órdenes de peculiaridades. El primero deriva de la especificidad del Tribunal Constitucional, órgano constitucional único en su género, no integrado en el Poder Judicial, compuesto por doce únicos magistrados, sin posibilidad alguna de sustitución interna, a cuyo Pleno corresponde la competencia en materia de recusación de sus magistrados [art. 10.1 k) LOTC]. El segundo y principal deriva de la naturaleza misma de la recusación, en la que, propiamente, no se recusa a los magistrados, sino al propio Tribunal Constitucional (ATC 380/1993, de 21 de diciembre, FJ 4). El Tribunal ha apreciado que, como en estos casos la recusación va referida al órgano mismo y no a sus integrantes, ‘carece de sustantividad jurídica’ y no es acreedora de una decisión sobre el fondo (ATC 269/2014, de 4 de noviembre, FJ 2). Por ello, las recusaciones que se formulan contra todo el colegio de magistrados ‘son impertinentes y abusivas y deben ser rechazadas sin más’ (ATC 80/2005, de 17 de febrero, FJ 5)” (ATC 62/2020, de 17 de junio, FJ 3).</w:t>
      </w:r>
    </w:p>
    <w:p w14:paraId="47958322" w14:textId="77777777" w:rsidR="00C04533" w:rsidRDefault="00C04533" w:rsidP="00C04533">
      <w:pPr>
        <w:pStyle w:val="TextoNormal"/>
      </w:pPr>
    </w:p>
    <w:p w14:paraId="49E2533B" w14:textId="77777777" w:rsidR="00C04533" w:rsidRDefault="00C04533" w:rsidP="00C04533">
      <w:pPr>
        <w:pStyle w:val="TextoNormal"/>
      </w:pPr>
      <w:r>
        <w:t>d) Como ya se dijo en el mismo ATC 62/2020, FJ 3, la inadmisión liminar a que se refiere la jurisprudencia citada en la letra anterior no se asocia al empleo de una determinada terminología en la redacción del incidente, sino al objeto y finalidad real de la recusación planteada. En el presente caso, aunque formalmente se recusa individualmente a cada uno de los magistrados, la recusación tiene como objeto recusar al Tribunal Constitucional. La referencia personalizada a cada uno de los magistrados no impide apreciar que se trata de una recusación genérica de todos ellos.</w:t>
      </w:r>
    </w:p>
    <w:p w14:paraId="3207BDCB" w14:textId="77777777" w:rsidR="00C04533" w:rsidRDefault="00C04533" w:rsidP="00C04533">
      <w:pPr>
        <w:pStyle w:val="TextoNormal"/>
      </w:pPr>
    </w:p>
    <w:p w14:paraId="35D49C6A" w14:textId="77777777" w:rsidR="00C04533" w:rsidRDefault="00C04533" w:rsidP="00C04533">
      <w:pPr>
        <w:pStyle w:val="TextoNormal"/>
      </w:pPr>
      <w:r>
        <w:t>Este planteamiento es incompatible con la naturaleza del Tribunal Constitucional que, como se ha señalado, es un tribunal único en su género cuyos miembros son insustituibles y al que le corresponde resolver los procesos constitucionales que la Constitución y su Ley Orgánica le atribuye.</w:t>
      </w:r>
    </w:p>
    <w:p w14:paraId="575C1234" w14:textId="77777777" w:rsidR="00C04533" w:rsidRDefault="00C04533" w:rsidP="00C04533">
      <w:pPr>
        <w:pStyle w:val="TextoNormal"/>
      </w:pPr>
    </w:p>
    <w:p w14:paraId="6C7E9111" w14:textId="77777777" w:rsidR="00C04533" w:rsidRDefault="00C04533" w:rsidP="00C04533">
      <w:pPr>
        <w:pStyle w:val="TextoNormal"/>
      </w:pPr>
      <w:r>
        <w:t>Así pues, la argumentación dada por quien promueve este incidente no puede prosperar. La tacha dirigida contra todos los magistrados que conforman este tribunal es equivalente a la descalificación del órgano mismo para conocer del presente recurso de amparo por lo que, de acuerdo con la jurisprudencia constitucional, la recusación formulada carece de sustantividad jurídica y no es acreedora de una decisión sobre el fondo (ATC 268/2014, FJ 2; 269/2014, FJ 2; 119/2017, FJ 3;125/2017, de 20 septiembre, FJ 5, y 132/2017, de 3 de octubre).</w:t>
      </w:r>
    </w:p>
    <w:p w14:paraId="09F0FE4A" w14:textId="77777777" w:rsidR="00C04533" w:rsidRDefault="00C04533" w:rsidP="00C04533">
      <w:pPr>
        <w:pStyle w:val="TextoNormal"/>
      </w:pPr>
    </w:p>
    <w:p w14:paraId="0E07F376" w14:textId="7E285010" w:rsidR="00C04533" w:rsidRDefault="00C04533" w:rsidP="00C04533">
      <w:pPr>
        <w:pStyle w:val="TextoNormal"/>
      </w:pPr>
      <w:r>
        <w:t xml:space="preserve">Como recuerda el ATC 17/2022, de 25 de enero, FJ 4 C) d), esta “actuación procesal ha de ser considerada objetivamente abusiva, en los términos en que el Tribunal Europeo de Derechos Humanos se pronuncia en la decisión de inadmisión de 21 de septiembre de 2021, adoptada en el asunto </w:t>
      </w:r>
      <w:r w:rsidRPr="00C04533">
        <w:rPr>
          <w:i/>
        </w:rPr>
        <w:t>Zambrano c. Francia</w:t>
      </w:r>
      <w:r>
        <w:t xml:space="preserve"> (§ 33 a 38) pues, como allí, no se dirige a ver resuelta la pretensión de amparo formulada en cada caso en relación con los procesos judiciales previos a los que afecta, sino más directamente, a la paralización del funcionamiento del Tribunal Constitucional, objetivo este que justifica la inadmisión </w:t>
      </w:r>
      <w:r w:rsidRPr="00C04533">
        <w:rPr>
          <w:i/>
        </w:rPr>
        <w:t>a limine</w:t>
      </w:r>
      <w:r>
        <w:t>”.</w:t>
      </w:r>
    </w:p>
    <w:p w14:paraId="3994685F" w14:textId="77777777" w:rsidR="00C04533" w:rsidRDefault="00C04533" w:rsidP="00C04533">
      <w:pPr>
        <w:pStyle w:val="TextoNormal"/>
      </w:pPr>
    </w:p>
    <w:p w14:paraId="4289F9FE" w14:textId="77777777" w:rsidR="00C04533" w:rsidRDefault="00C04533" w:rsidP="00C04533">
      <w:pPr>
        <w:pStyle w:val="TextoNormal"/>
      </w:pPr>
      <w:r>
        <w:t>Por lo expuesto, el Pleno</w:t>
      </w:r>
    </w:p>
    <w:p w14:paraId="55388EC0" w14:textId="75C931D7" w:rsidR="00C04533" w:rsidRDefault="00C04533" w:rsidP="00C04533">
      <w:pPr>
        <w:pStyle w:val="TextoNormal"/>
      </w:pPr>
    </w:p>
    <w:p w14:paraId="5AB1CF87" w14:textId="77777777" w:rsidR="00C04533" w:rsidRDefault="00C04533" w:rsidP="00C04533">
      <w:pPr>
        <w:pStyle w:val="TextoNormalCentrado"/>
      </w:pPr>
      <w:r>
        <w:t>ACUERDA</w:t>
      </w:r>
    </w:p>
    <w:p w14:paraId="4BA6648D" w14:textId="496C4C24" w:rsidR="00C04533" w:rsidRDefault="00C04533" w:rsidP="00C04533">
      <w:pPr>
        <w:pStyle w:val="TextoNormalCentrado"/>
      </w:pPr>
    </w:p>
    <w:p w14:paraId="782191EB" w14:textId="77777777" w:rsidR="00C04533" w:rsidRDefault="00C04533" w:rsidP="00C04533">
      <w:pPr>
        <w:pStyle w:val="TextoNormal"/>
      </w:pPr>
      <w:r>
        <w:t>Inadmitir las recusaciones promovidas por don Fernando Argote Pons en el recurso de amparo núm. 8141-2024.</w:t>
      </w:r>
    </w:p>
    <w:p w14:paraId="6A8C8BED" w14:textId="77777777" w:rsidR="00C04533" w:rsidRDefault="00C04533" w:rsidP="00C04533">
      <w:pPr>
        <w:pStyle w:val="TextoNormal"/>
      </w:pPr>
    </w:p>
    <w:p w14:paraId="25FF9557" w14:textId="2CE0F930" w:rsidR="00C04533" w:rsidRDefault="00C04533" w:rsidP="00C04533">
      <w:pPr>
        <w:pStyle w:val="TextoNormal"/>
      </w:pPr>
      <w:r>
        <w:t>Publíquese este auto en el “Boletín Oficial del Estado”.</w:t>
      </w:r>
    </w:p>
    <w:p w14:paraId="02412618" w14:textId="77777777" w:rsidR="00C04533" w:rsidRDefault="00C04533" w:rsidP="00C04533">
      <w:pPr>
        <w:pStyle w:val="TextoNormal"/>
      </w:pPr>
    </w:p>
    <w:p w14:paraId="0EFD0E37" w14:textId="77777777" w:rsidR="00C04533" w:rsidRDefault="00C04533" w:rsidP="007D5795">
      <w:pPr>
        <w:pStyle w:val="TextoNormal"/>
      </w:pPr>
      <w:r>
        <w:t>Madrid, a diecisiete de diciembre de dos mil veinticuatro.</w:t>
      </w:r>
    </w:p>
    <w:p w14:paraId="02B59995" w14:textId="0BD18B73" w:rsidR="007D5795" w:rsidRDefault="007D5795">
      <w:pPr>
        <w:spacing w:after="160" w:line="278" w:lineRule="auto"/>
        <w:rPr>
          <w:rFonts w:ascii="Times New Roman" w:eastAsia="Times New Roman" w:hAnsi="Times New Roman" w:cs="Times New Roman"/>
          <w:sz w:val="24"/>
          <w:szCs w:val="24"/>
          <w:lang w:eastAsia="es-ES"/>
        </w:rPr>
      </w:pPr>
      <w:r>
        <w:br w:type="page"/>
      </w:r>
    </w:p>
    <w:p w14:paraId="00DF759A" w14:textId="77777777" w:rsidR="007D5795" w:rsidRDefault="007D5795" w:rsidP="00C04533">
      <w:pPr>
        <w:pStyle w:val="ParrafoNormal"/>
      </w:pPr>
    </w:p>
    <w:p w14:paraId="3B8DC082" w14:textId="77777777" w:rsidR="007D5795" w:rsidRDefault="007D5795" w:rsidP="007D5795">
      <w:pPr>
        <w:pStyle w:val="TextoNormal"/>
      </w:pPr>
    </w:p>
    <w:p w14:paraId="6C1F6F4B" w14:textId="77777777" w:rsidR="007D5795" w:rsidRDefault="007D5795" w:rsidP="007D5795">
      <w:pPr>
        <w:pStyle w:val="TextoNormal"/>
      </w:pPr>
    </w:p>
    <w:p w14:paraId="74CC926B" w14:textId="77777777" w:rsidR="007D5795" w:rsidRDefault="007D5795" w:rsidP="007D5795">
      <w:pPr>
        <w:pStyle w:val="TextoNormal"/>
      </w:pPr>
    </w:p>
    <w:p w14:paraId="5CD79233" w14:textId="77777777" w:rsidR="007D5795" w:rsidRDefault="007D5795" w:rsidP="007D5795">
      <w:pPr>
        <w:pStyle w:val="Ttulondice"/>
        <w:suppressAutoHyphens/>
      </w:pPr>
      <w:r>
        <w:t>3. ÍNDICE DE DISPOSICIONES CON FUERZA DE LEY IMPUGNADAS</w:t>
      </w:r>
    </w:p>
    <w:p w14:paraId="6C524921" w14:textId="2BCC6F53" w:rsidR="007D5795" w:rsidRDefault="007D5795" w:rsidP="007D5795">
      <w:pPr>
        <w:pStyle w:val="TextoNormal"/>
        <w:suppressAutoHyphens/>
      </w:pPr>
    </w:p>
    <w:p w14:paraId="79ECC60B" w14:textId="77777777" w:rsidR="007D5795" w:rsidRDefault="007D5795" w:rsidP="007D5795">
      <w:pPr>
        <w:pStyle w:val="TextoNormal"/>
        <w:suppressAutoHyphens/>
      </w:pPr>
    </w:p>
    <w:p w14:paraId="60CC86EE" w14:textId="77777777" w:rsidR="007D5795" w:rsidRDefault="007D5795" w:rsidP="007D5795">
      <w:pPr>
        <w:pStyle w:val="TextoNormal"/>
        <w:suppressAutoHyphens/>
      </w:pPr>
    </w:p>
    <w:p w14:paraId="28B9A6CF" w14:textId="77777777" w:rsidR="007D5795" w:rsidRDefault="007D5795" w:rsidP="007D5795">
      <w:pPr>
        <w:pStyle w:val="TextoNormal"/>
        <w:suppressAutoHyphens/>
      </w:pPr>
    </w:p>
    <w:p w14:paraId="60278D47" w14:textId="77777777" w:rsidR="007D5795" w:rsidRDefault="007D5795" w:rsidP="007D5795">
      <w:pPr>
        <w:pStyle w:val="TextoNormal"/>
        <w:suppressAutoHyphens/>
      </w:pPr>
    </w:p>
    <w:p w14:paraId="57089800" w14:textId="77777777" w:rsidR="007D5795" w:rsidRDefault="007D5795" w:rsidP="007D5795">
      <w:pPr>
        <w:pStyle w:val="TextoNormal"/>
        <w:suppressAutoHyphens/>
      </w:pPr>
    </w:p>
    <w:p w14:paraId="70AE4C9D" w14:textId="77777777" w:rsidR="007D5795" w:rsidRDefault="007D5795" w:rsidP="007D5795">
      <w:pPr>
        <w:pStyle w:val="TextoNormal"/>
        <w:suppressAutoHyphens/>
      </w:pPr>
    </w:p>
    <w:p w14:paraId="3E2CAEFA" w14:textId="77777777" w:rsidR="007D5795" w:rsidRDefault="007D5795" w:rsidP="007D5795">
      <w:pPr>
        <w:pStyle w:val="TextoNormal"/>
        <w:suppressAutoHyphens/>
      </w:pPr>
    </w:p>
    <w:p w14:paraId="1333FA71" w14:textId="77777777" w:rsidR="007D5795" w:rsidRDefault="007D5795" w:rsidP="007D5795">
      <w:pPr>
        <w:pStyle w:val="TextoNormal"/>
        <w:suppressAutoHyphens/>
      </w:pPr>
    </w:p>
    <w:p w14:paraId="54F60958" w14:textId="77777777" w:rsidR="007D5795" w:rsidRDefault="007D5795" w:rsidP="007D5795">
      <w:pPr>
        <w:pStyle w:val="TextoNormal"/>
      </w:pPr>
    </w:p>
    <w:p w14:paraId="6102D5CB" w14:textId="77777777" w:rsidR="007D5795" w:rsidRDefault="007D5795" w:rsidP="007D5795">
      <w:pPr>
        <w:pStyle w:val="TextoNormal"/>
      </w:pPr>
      <w:bookmarkStart w:id="164" w:name="INDICE22802"/>
      <w:bookmarkEnd w:id="164"/>
    </w:p>
    <w:p w14:paraId="2D70364D" w14:textId="77777777" w:rsidR="007D5795" w:rsidRDefault="007D5795" w:rsidP="007D5795">
      <w:pPr>
        <w:pStyle w:val="TextoIndiceNivel2"/>
        <w:suppressAutoHyphens/>
      </w:pPr>
      <w:r>
        <w:t>A) Disposiciones con fuerza de ley del Estado</w:t>
      </w:r>
    </w:p>
    <w:p w14:paraId="15E3BF87" w14:textId="5D374C1F" w:rsidR="007D5795" w:rsidRDefault="007D5795" w:rsidP="007D5795">
      <w:pPr>
        <w:pStyle w:val="TextoIndiceNivel2"/>
      </w:pPr>
    </w:p>
    <w:p w14:paraId="04B945DB" w14:textId="77777777" w:rsidR="007D5795" w:rsidRDefault="007D5795" w:rsidP="007D5795">
      <w:pPr>
        <w:pStyle w:val="TextoNormalNegritaCursivandice"/>
        <w:keepNext/>
      </w:pPr>
      <w:r>
        <w:t>Ley 50/1981, de 30 de diciembre, por la que se regula el Estatuto orgánico del Ministerio Fiscal</w:t>
      </w:r>
    </w:p>
    <w:p w14:paraId="2C974BBB" w14:textId="6F5A8E5C" w:rsidR="007D5795" w:rsidRDefault="007D5795" w:rsidP="007D5795">
      <w:pPr>
        <w:pStyle w:val="SangriaFrancesaArticulo"/>
      </w:pPr>
      <w:r w:rsidRPr="007D5795">
        <w:rPr>
          <w:rStyle w:val="TextoNormalNegritaCaracter"/>
        </w:rPr>
        <w:t>Artículo 67.3, inciso tercero.</w:t>
      </w:r>
      <w:r w:rsidRPr="007D5795">
        <w:rPr>
          <w:rStyle w:val="TextoNormalCaracter"/>
        </w:rPr>
        <w:t>-</w:t>
      </w:r>
      <w:r>
        <w:t xml:space="preserve"> Auto </w:t>
      </w:r>
      <w:hyperlink w:anchor="AUTO_2024_65" w:history="1">
        <w:r w:rsidRPr="007D5795">
          <w:rPr>
            <w:rStyle w:val="TextoNormalCaracter"/>
          </w:rPr>
          <w:t>65/2024</w:t>
        </w:r>
      </w:hyperlink>
      <w:r>
        <w:t>.</w:t>
      </w:r>
    </w:p>
    <w:p w14:paraId="362D9863" w14:textId="0E3BF0F3" w:rsidR="007D5795" w:rsidRDefault="007D5795" w:rsidP="007D5795">
      <w:pPr>
        <w:pStyle w:val="SangriaFrancesaArticulo"/>
      </w:pPr>
    </w:p>
    <w:p w14:paraId="0D514FFE" w14:textId="77777777" w:rsidR="007D5795" w:rsidRDefault="007D5795" w:rsidP="007D5795">
      <w:pPr>
        <w:pStyle w:val="TextoNormalNegritaCursivandice"/>
        <w:keepNext/>
      </w:pPr>
      <w:r>
        <w:t>Ley 7/1985, de 2 de abril, reguladora de las bases del régimen local</w:t>
      </w:r>
    </w:p>
    <w:p w14:paraId="3F4E03BB" w14:textId="650DE676" w:rsidR="007D5795" w:rsidRDefault="007D5795" w:rsidP="007D5795">
      <w:pPr>
        <w:pStyle w:val="SangriaFrancesaArticulo"/>
      </w:pPr>
      <w:r w:rsidRPr="007D5795">
        <w:rPr>
          <w:rStyle w:val="TextoNormalNegritaCaracter"/>
        </w:rPr>
        <w:t>Disposición adicional segunda, apartado 7</w:t>
      </w:r>
      <w:r>
        <w:t xml:space="preserve"> (redactada por la Ley 22/2021, de 28 de diciembre)</w:t>
      </w:r>
      <w:r w:rsidRPr="007D5795">
        <w:rPr>
          <w:rStyle w:val="TextoNormalNegritaCaracter"/>
        </w:rPr>
        <w:t>.</w:t>
      </w:r>
      <w:r w:rsidRPr="007D5795">
        <w:rPr>
          <w:rStyle w:val="TextoNormalCaracter"/>
        </w:rPr>
        <w:t>-</w:t>
      </w:r>
      <w:r>
        <w:t xml:space="preserve"> Auto </w:t>
      </w:r>
      <w:hyperlink w:anchor="AUTO_2024_115" w:history="1">
        <w:r w:rsidRPr="007D5795">
          <w:rPr>
            <w:rStyle w:val="TextoNormalCaracter"/>
          </w:rPr>
          <w:t>115/2024</w:t>
        </w:r>
      </w:hyperlink>
      <w:r>
        <w:t>.</w:t>
      </w:r>
    </w:p>
    <w:p w14:paraId="73F2A731" w14:textId="3F050999" w:rsidR="007D5795" w:rsidRDefault="007D5795" w:rsidP="007D5795">
      <w:pPr>
        <w:pStyle w:val="SangriaFrancesaArticulo"/>
      </w:pPr>
    </w:p>
    <w:p w14:paraId="790F4393" w14:textId="77777777" w:rsidR="007D5795" w:rsidRDefault="007D5795" w:rsidP="007D5795">
      <w:pPr>
        <w:pStyle w:val="TextoNormalNegritaCursivandice"/>
        <w:keepNext/>
      </w:pPr>
      <w:r>
        <w:t>Ley Orgánica 6/1985, de 1 de julio. Poder judicial</w:t>
      </w:r>
    </w:p>
    <w:p w14:paraId="5F7EDC28" w14:textId="2A3D939D" w:rsidR="007D5795" w:rsidRDefault="007D5795" w:rsidP="007D5795">
      <w:pPr>
        <w:pStyle w:val="SangriaFrancesaArticulo"/>
      </w:pPr>
      <w:r w:rsidRPr="007D5795">
        <w:rPr>
          <w:rStyle w:val="TextoNormalNegritaCaracter"/>
        </w:rPr>
        <w:t>Artículo 570 bis</w:t>
      </w:r>
      <w:r>
        <w:t xml:space="preserve"> (redactado por la Ley Orgánica 8/2022, de 27 de julio)</w:t>
      </w:r>
      <w:r w:rsidRPr="007D5795">
        <w:rPr>
          <w:rStyle w:val="TextoNormalNegritaCaracter"/>
        </w:rPr>
        <w:t>.</w:t>
      </w:r>
      <w:r w:rsidRPr="007D5795">
        <w:rPr>
          <w:rStyle w:val="TextoNormalCaracter"/>
        </w:rPr>
        <w:t>-</w:t>
      </w:r>
      <w:r>
        <w:t xml:space="preserve"> Sentencia </w:t>
      </w:r>
      <w:hyperlink w:anchor="SENTENCIA_2024_139" w:history="1">
        <w:r w:rsidRPr="007D5795">
          <w:rPr>
            <w:rStyle w:val="TextoNormalCaracter"/>
          </w:rPr>
          <w:t>139/2024</w:t>
        </w:r>
      </w:hyperlink>
      <w:r>
        <w:t>.</w:t>
      </w:r>
    </w:p>
    <w:p w14:paraId="0FD71FBC" w14:textId="51B351A5" w:rsidR="007D5795" w:rsidRDefault="007D5795" w:rsidP="007D5795">
      <w:pPr>
        <w:pStyle w:val="SangriaFrancesaArticulo"/>
      </w:pPr>
      <w:r w:rsidRPr="007D5795">
        <w:rPr>
          <w:rStyle w:val="TextoNormalNegritaCaracter"/>
        </w:rPr>
        <w:t>Artículo 599</w:t>
      </w:r>
      <w:r>
        <w:t xml:space="preserve"> (redactado por la Ley Orgánica 8/2022, de 27 de julio)</w:t>
      </w:r>
      <w:r w:rsidRPr="007D5795">
        <w:rPr>
          <w:rStyle w:val="TextoNormalNegritaCaracter"/>
        </w:rPr>
        <w:t>.</w:t>
      </w:r>
      <w:r w:rsidRPr="007D5795">
        <w:rPr>
          <w:rStyle w:val="TextoNormalCaracter"/>
        </w:rPr>
        <w:t>-</w:t>
      </w:r>
      <w:r>
        <w:t xml:space="preserve"> Sentencia </w:t>
      </w:r>
      <w:hyperlink w:anchor="SENTENCIA_2024_139" w:history="1">
        <w:r w:rsidRPr="007D5795">
          <w:rPr>
            <w:rStyle w:val="TextoNormalCaracter"/>
          </w:rPr>
          <w:t>139/2024</w:t>
        </w:r>
      </w:hyperlink>
      <w:r>
        <w:t>.</w:t>
      </w:r>
    </w:p>
    <w:p w14:paraId="2A56B01E" w14:textId="5AAF3D7F" w:rsidR="007D5795" w:rsidRDefault="007D5795" w:rsidP="007D5795">
      <w:pPr>
        <w:pStyle w:val="SangriaFrancesaArticulo"/>
      </w:pPr>
    </w:p>
    <w:p w14:paraId="5C5975FA" w14:textId="77777777" w:rsidR="007D5795" w:rsidRDefault="007D5795" w:rsidP="007D5795">
      <w:pPr>
        <w:pStyle w:val="TextoNormalNegritaCursivandice"/>
        <w:keepNext/>
      </w:pPr>
      <w:r>
        <w:t>Ley 38/1988, de 28 de diciembre. Demarcación y planta judicial</w:t>
      </w:r>
    </w:p>
    <w:p w14:paraId="769839DF" w14:textId="74C5F559" w:rsidR="007D5795" w:rsidRDefault="007D5795" w:rsidP="007D5795">
      <w:pPr>
        <w:pStyle w:val="SangriaFrancesaArticulo"/>
      </w:pPr>
      <w:r w:rsidRPr="007D5795">
        <w:rPr>
          <w:rStyle w:val="TextoNormalNegritaCaracter"/>
        </w:rPr>
        <w:t>Artículo 23 inciso “y que además pertenezcan a la carrera judicial”</w:t>
      </w:r>
      <w:r>
        <w:t xml:space="preserve"> (redactado por la Ley Orgánica 7/2015, de 21 de julio)</w:t>
      </w:r>
      <w:r w:rsidRPr="007D5795">
        <w:rPr>
          <w:rStyle w:val="TextoNormalNegritaCaracter"/>
        </w:rPr>
        <w:t>.</w:t>
      </w:r>
      <w:r w:rsidRPr="007D5795">
        <w:rPr>
          <w:rStyle w:val="TextoNormalCaracter"/>
        </w:rPr>
        <w:t>-</w:t>
      </w:r>
      <w:r>
        <w:t xml:space="preserve"> Sentencia </w:t>
      </w:r>
      <w:hyperlink w:anchor="SENTENCIA_2024_131" w:history="1">
        <w:r w:rsidRPr="007D5795">
          <w:rPr>
            <w:rStyle w:val="TextoNormalCaracter"/>
          </w:rPr>
          <w:t>131/2024</w:t>
        </w:r>
      </w:hyperlink>
      <w:r>
        <w:t xml:space="preserve"> (anula).</w:t>
      </w:r>
    </w:p>
    <w:p w14:paraId="4CCE535C" w14:textId="2260CCA9" w:rsidR="007D5795" w:rsidRDefault="007D5795" w:rsidP="007D5795">
      <w:pPr>
        <w:pStyle w:val="SangriaFrancesaArticulo"/>
      </w:pPr>
    </w:p>
    <w:p w14:paraId="57C629B2" w14:textId="77777777" w:rsidR="007D5795" w:rsidRDefault="007D5795" w:rsidP="007D5795">
      <w:pPr>
        <w:pStyle w:val="TextoNormalNegritaCursivandice"/>
        <w:keepNext/>
      </w:pPr>
      <w:r>
        <w:t>Ley 1/2000, de 7 de enero, de enjuiciamiento civil</w:t>
      </w:r>
    </w:p>
    <w:p w14:paraId="7B0911CC" w14:textId="3ABCEFDF" w:rsidR="007D5795" w:rsidRDefault="007D5795" w:rsidP="007D5795">
      <w:pPr>
        <w:pStyle w:val="SangriaFrancesaArticulo"/>
      </w:pPr>
      <w:r w:rsidRPr="007D5795">
        <w:rPr>
          <w:rStyle w:val="TextoNormalNegritaCaracter"/>
        </w:rPr>
        <w:t>Artículo 487.1</w:t>
      </w:r>
      <w:r>
        <w:t xml:space="preserve"> (redactado por el Real Decreto-ley 5/2023, de 28 de junio)</w:t>
      </w:r>
      <w:r w:rsidRPr="007D5795">
        <w:rPr>
          <w:rStyle w:val="TextoNormalNegritaCaracter"/>
        </w:rPr>
        <w:t>.</w:t>
      </w:r>
      <w:r w:rsidRPr="007D5795">
        <w:rPr>
          <w:rStyle w:val="TextoNormalCaracter"/>
        </w:rPr>
        <w:t>-</w:t>
      </w:r>
      <w:r>
        <w:t xml:space="preserve"> Auto </w:t>
      </w:r>
      <w:hyperlink w:anchor="AUTO_2024_153" w:history="1">
        <w:r w:rsidRPr="007D5795">
          <w:rPr>
            <w:rStyle w:val="TextoNormalCaracter"/>
          </w:rPr>
          <w:t>153/2024</w:t>
        </w:r>
      </w:hyperlink>
      <w:r>
        <w:t>.</w:t>
      </w:r>
    </w:p>
    <w:p w14:paraId="25603859" w14:textId="775E6301" w:rsidR="007D5795" w:rsidRDefault="007D5795" w:rsidP="007D5795">
      <w:pPr>
        <w:pStyle w:val="SangriaFrancesaArticulo"/>
      </w:pPr>
    </w:p>
    <w:p w14:paraId="335E9F5B" w14:textId="77777777" w:rsidR="007D5795" w:rsidRDefault="007D5795" w:rsidP="007D5795">
      <w:pPr>
        <w:pStyle w:val="TextoNormalNegritaCursivandice"/>
        <w:keepNext/>
      </w:pPr>
      <w:r>
        <w:t>Ley Orgánica 8/2007, de 4 de julio, sobre financiación de los partidos políticos</w:t>
      </w:r>
    </w:p>
    <w:p w14:paraId="4DA22E43" w14:textId="6DF60D26" w:rsidR="007D5795" w:rsidRDefault="007D5795" w:rsidP="007D5795">
      <w:pPr>
        <w:pStyle w:val="SangriaFrancesaArticulo"/>
      </w:pPr>
      <w:r w:rsidRPr="007D5795">
        <w:rPr>
          <w:rStyle w:val="TextoNormalNegritaCaracter"/>
        </w:rPr>
        <w:t>Artículo 17 bis.2 b)</w:t>
      </w:r>
      <w:r>
        <w:t xml:space="preserve"> (redactado por la Ley Orgánica 3/2015, de 30 de marzo) inciso "sin que en ningún caso pueda ser inferior a veinticinco mil euros"</w:t>
      </w:r>
      <w:r w:rsidRPr="007D5795">
        <w:rPr>
          <w:rStyle w:val="TextoNormalNegritaCaracter"/>
        </w:rPr>
        <w:t>.</w:t>
      </w:r>
      <w:r w:rsidRPr="007D5795">
        <w:rPr>
          <w:rStyle w:val="TextoNormalCaracter"/>
        </w:rPr>
        <w:t>-</w:t>
      </w:r>
      <w:r>
        <w:t xml:space="preserve"> Auto </w:t>
      </w:r>
      <w:hyperlink w:anchor="AUTO_2024_80" w:history="1">
        <w:r w:rsidRPr="007D5795">
          <w:rPr>
            <w:rStyle w:val="TextoNormalCaracter"/>
          </w:rPr>
          <w:t>80/2024</w:t>
        </w:r>
      </w:hyperlink>
      <w:r>
        <w:t>.</w:t>
      </w:r>
    </w:p>
    <w:p w14:paraId="3085D307" w14:textId="18FD6F43" w:rsidR="007D5795" w:rsidRDefault="007D5795" w:rsidP="007D5795">
      <w:pPr>
        <w:pStyle w:val="SangriaFrancesaArticulo"/>
      </w:pPr>
    </w:p>
    <w:p w14:paraId="2CB4243E" w14:textId="77777777" w:rsidR="007D5795" w:rsidRDefault="007D5795" w:rsidP="007D5795">
      <w:pPr>
        <w:pStyle w:val="TextoNormalNegritaCursivandice"/>
        <w:keepNext/>
      </w:pPr>
      <w:r>
        <w:t>Ley Orgánica 7/2015, de 21 de julio, por la que se modifica la Ley Orgánica 6/1985, de 1 de julio, del Poder Judicial</w:t>
      </w:r>
    </w:p>
    <w:p w14:paraId="328169EA" w14:textId="5CF03BFD" w:rsidR="007D5795" w:rsidRDefault="007D5795" w:rsidP="007D5795">
      <w:pPr>
        <w:pStyle w:val="SangriaFrancesaArticulo"/>
      </w:pPr>
      <w:r w:rsidRPr="007D5795">
        <w:rPr>
          <w:rStyle w:val="TextoNormalNegritaCaracter"/>
        </w:rPr>
        <w:t>Disposición final primera, apartado 2, inciso “y que además pertenezcan a la carrera judicial”.</w:t>
      </w:r>
      <w:r w:rsidRPr="007D5795">
        <w:rPr>
          <w:rStyle w:val="TextoNormalCaracter"/>
        </w:rPr>
        <w:t>-</w:t>
      </w:r>
      <w:r>
        <w:t xml:space="preserve"> Sentencia </w:t>
      </w:r>
      <w:hyperlink w:anchor="SENTENCIA_2024_131" w:history="1">
        <w:r w:rsidRPr="007D5795">
          <w:rPr>
            <w:rStyle w:val="TextoNormalCaracter"/>
          </w:rPr>
          <w:t>131/2024</w:t>
        </w:r>
      </w:hyperlink>
      <w:r>
        <w:t xml:space="preserve"> (anula).</w:t>
      </w:r>
    </w:p>
    <w:p w14:paraId="2CA7FA4F" w14:textId="433A66AA" w:rsidR="007D5795" w:rsidRDefault="007D5795" w:rsidP="007D5795">
      <w:pPr>
        <w:pStyle w:val="SangriaFrancesaArticulo"/>
      </w:pPr>
    </w:p>
    <w:p w14:paraId="3A4F3ED2" w14:textId="77777777" w:rsidR="007D5795" w:rsidRDefault="007D5795" w:rsidP="007D5795">
      <w:pPr>
        <w:pStyle w:val="TextoNormalNegritaCursivandice"/>
        <w:keepNext/>
      </w:pPr>
      <w:r>
        <w:t>Real Decreto Legislativo 2/2015, de 23 de octubre, por el que se aprueba el texto refundido de la Ley del estatuto de los trabajadores</w:t>
      </w:r>
    </w:p>
    <w:p w14:paraId="1C52AE7A" w14:textId="3040CA48" w:rsidR="007D5795" w:rsidRDefault="007D5795" w:rsidP="007D5795">
      <w:pPr>
        <w:pStyle w:val="SangriaFrancesaArticulo"/>
      </w:pPr>
      <w:r w:rsidRPr="007D5795">
        <w:rPr>
          <w:rStyle w:val="TextoNormalNegritaCaracter"/>
        </w:rPr>
        <w:t>Artículo 48.4</w:t>
      </w:r>
      <w:r>
        <w:t xml:space="preserve"> (redactado por el Real Decreto-ley 6/2019, de 1 de marzo)</w:t>
      </w:r>
      <w:r w:rsidRPr="007D5795">
        <w:rPr>
          <w:rStyle w:val="TextoNormalNegritaCaracter"/>
        </w:rPr>
        <w:t>.</w:t>
      </w:r>
      <w:r w:rsidRPr="007D5795">
        <w:rPr>
          <w:rStyle w:val="TextoNormalCaracter"/>
        </w:rPr>
        <w:t>-</w:t>
      </w:r>
      <w:r>
        <w:t xml:space="preserve"> Sentencia </w:t>
      </w:r>
      <w:hyperlink w:anchor="SENTENCIA_2024_140" w:history="1">
        <w:r w:rsidRPr="007D5795">
          <w:rPr>
            <w:rStyle w:val="TextoNormalCaracter"/>
          </w:rPr>
          <w:t>140/2024</w:t>
        </w:r>
      </w:hyperlink>
      <w:r>
        <w:t xml:space="preserve"> (declara inconstitucional).</w:t>
      </w:r>
    </w:p>
    <w:p w14:paraId="5AB29CE6" w14:textId="56805FF0" w:rsidR="007D5795" w:rsidRDefault="007D5795" w:rsidP="007D5795">
      <w:pPr>
        <w:pStyle w:val="SangriaFrancesaArticulo"/>
      </w:pPr>
      <w:r w:rsidRPr="007D5795">
        <w:rPr>
          <w:rStyle w:val="TextoNormalNegritaCaracter"/>
        </w:rPr>
        <w:t>Artículo 48.5</w:t>
      </w:r>
      <w:r>
        <w:t xml:space="preserve"> (redactado por el Real Decreto-ley 6/2019, de 1 de marzo)</w:t>
      </w:r>
      <w:r w:rsidRPr="007D5795">
        <w:rPr>
          <w:rStyle w:val="TextoNormalNegritaCaracter"/>
        </w:rPr>
        <w:t>.</w:t>
      </w:r>
      <w:r w:rsidRPr="007D5795">
        <w:rPr>
          <w:rStyle w:val="TextoNormalCaracter"/>
        </w:rPr>
        <w:t>-</w:t>
      </w:r>
      <w:r>
        <w:t xml:space="preserve"> Sentencia </w:t>
      </w:r>
      <w:hyperlink w:anchor="SENTENCIA_2024_140" w:history="1">
        <w:r w:rsidRPr="007D5795">
          <w:rPr>
            <w:rStyle w:val="TextoNormalCaracter"/>
          </w:rPr>
          <w:t>140/2024</w:t>
        </w:r>
      </w:hyperlink>
      <w:r>
        <w:t>.</w:t>
      </w:r>
    </w:p>
    <w:p w14:paraId="7206F27B" w14:textId="0C63F9BC" w:rsidR="007D5795" w:rsidRDefault="007D5795" w:rsidP="007D5795">
      <w:pPr>
        <w:pStyle w:val="SangriaFrancesaArticulo"/>
      </w:pPr>
      <w:r w:rsidRPr="007D5795">
        <w:rPr>
          <w:rStyle w:val="TextoNormalNegritaCaracter"/>
        </w:rPr>
        <w:t>Artículo 48.6</w:t>
      </w:r>
      <w:r>
        <w:t xml:space="preserve"> (redactado por el Real Decreto-ley 6/2019, de 1 de marzo)</w:t>
      </w:r>
      <w:r w:rsidRPr="007D5795">
        <w:rPr>
          <w:rStyle w:val="TextoNormalNegritaCaracter"/>
        </w:rPr>
        <w:t>.</w:t>
      </w:r>
      <w:r w:rsidRPr="007D5795">
        <w:rPr>
          <w:rStyle w:val="TextoNormalCaracter"/>
        </w:rPr>
        <w:t>-</w:t>
      </w:r>
      <w:r>
        <w:t xml:space="preserve"> Sentencia </w:t>
      </w:r>
      <w:hyperlink w:anchor="SENTENCIA_2024_140" w:history="1">
        <w:r w:rsidRPr="007D5795">
          <w:rPr>
            <w:rStyle w:val="TextoNormalCaracter"/>
          </w:rPr>
          <w:t>140/2024</w:t>
        </w:r>
      </w:hyperlink>
      <w:r>
        <w:t>.</w:t>
      </w:r>
    </w:p>
    <w:p w14:paraId="4D55BB5C" w14:textId="6D019D93" w:rsidR="007D5795" w:rsidRDefault="007D5795" w:rsidP="007D5795">
      <w:pPr>
        <w:pStyle w:val="SangriaFrancesaArticulo"/>
      </w:pPr>
    </w:p>
    <w:p w14:paraId="24F76506" w14:textId="77777777" w:rsidR="007D5795" w:rsidRDefault="007D5795" w:rsidP="007D5795">
      <w:pPr>
        <w:pStyle w:val="TextoNormalNegritaCursivandice"/>
        <w:keepNext/>
      </w:pPr>
      <w:r>
        <w:t>Real Decreto Legislativo 8/2015, de 30 de octubre, por el que se aprueba el texto refundido de la Ley general de la Seguridad Social</w:t>
      </w:r>
    </w:p>
    <w:p w14:paraId="0866E279" w14:textId="4A16A1F8" w:rsidR="007D5795" w:rsidRDefault="007D5795" w:rsidP="007D5795">
      <w:pPr>
        <w:pStyle w:val="SangriaFrancesaArticulo"/>
      </w:pPr>
      <w:r w:rsidRPr="007D5795">
        <w:rPr>
          <w:rStyle w:val="TextoNormalNegritaCaracter"/>
        </w:rPr>
        <w:t>Artículo 12.2.</w:t>
      </w:r>
      <w:r w:rsidRPr="007D5795">
        <w:rPr>
          <w:rStyle w:val="TextoNormalCaracter"/>
        </w:rPr>
        <w:t>-</w:t>
      </w:r>
      <w:r>
        <w:t xml:space="preserve"> Auto </w:t>
      </w:r>
      <w:hyperlink w:anchor="AUTO_2024_73" w:history="1">
        <w:r w:rsidRPr="007D5795">
          <w:rPr>
            <w:rStyle w:val="TextoNormalCaracter"/>
          </w:rPr>
          <w:t>73/2024</w:t>
        </w:r>
      </w:hyperlink>
      <w:r>
        <w:t>.</w:t>
      </w:r>
    </w:p>
    <w:p w14:paraId="56EA5325" w14:textId="561DBF39" w:rsidR="007D5795" w:rsidRDefault="007D5795" w:rsidP="007D5795">
      <w:pPr>
        <w:pStyle w:val="SangriaFrancesaArticulo"/>
      </w:pPr>
      <w:r w:rsidRPr="007D5795">
        <w:rPr>
          <w:rStyle w:val="TextoNormalNegritaCaracter"/>
        </w:rPr>
        <w:t>Artículo 177</w:t>
      </w:r>
      <w:r>
        <w:t xml:space="preserve"> (redactado por el Real Decreto-ley 6/2019, de 1 de marzo)</w:t>
      </w:r>
      <w:r w:rsidRPr="007D5795">
        <w:rPr>
          <w:rStyle w:val="TextoNormalNegritaCaracter"/>
        </w:rPr>
        <w:t>.</w:t>
      </w:r>
      <w:r w:rsidRPr="007D5795">
        <w:rPr>
          <w:rStyle w:val="TextoNormalCaracter"/>
        </w:rPr>
        <w:t>-</w:t>
      </w:r>
      <w:r>
        <w:t xml:space="preserve"> Sentencia </w:t>
      </w:r>
      <w:hyperlink w:anchor="SENTENCIA_2024_140" w:history="1">
        <w:r w:rsidRPr="007D5795">
          <w:rPr>
            <w:rStyle w:val="TextoNormalCaracter"/>
          </w:rPr>
          <w:t>140/2024</w:t>
        </w:r>
      </w:hyperlink>
      <w:r>
        <w:t xml:space="preserve"> (declara inconstitucional).</w:t>
      </w:r>
    </w:p>
    <w:p w14:paraId="4663A9ED" w14:textId="4ED9F735" w:rsidR="007D5795" w:rsidRDefault="007D5795" w:rsidP="007D5795">
      <w:pPr>
        <w:pStyle w:val="SangriaFrancesaArticulo"/>
      </w:pPr>
      <w:r w:rsidRPr="007D5795">
        <w:rPr>
          <w:rStyle w:val="TextoNormalNegritaCaracter"/>
        </w:rPr>
        <w:t>Artículo 221.2 párrafo 2.</w:t>
      </w:r>
      <w:r w:rsidRPr="007D5795">
        <w:rPr>
          <w:rStyle w:val="TextoNormalCaracter"/>
        </w:rPr>
        <w:t>-</w:t>
      </w:r>
      <w:r>
        <w:t xml:space="preserve"> Autos </w:t>
      </w:r>
      <w:hyperlink w:anchor="AUTO_2024_89" w:history="1">
        <w:r w:rsidRPr="007D5795">
          <w:rPr>
            <w:rStyle w:val="TextoNormalCaracter"/>
          </w:rPr>
          <w:t>89/2024</w:t>
        </w:r>
      </w:hyperlink>
      <w:r>
        <w:t xml:space="preserve">; </w:t>
      </w:r>
      <w:hyperlink w:anchor="AUTO_2024_101" w:history="1">
        <w:r w:rsidRPr="007D5795">
          <w:rPr>
            <w:rStyle w:val="TextoNormalCaracter"/>
          </w:rPr>
          <w:t>101/2024</w:t>
        </w:r>
      </w:hyperlink>
      <w:r>
        <w:t xml:space="preserve">; </w:t>
      </w:r>
      <w:hyperlink w:anchor="AUTO_2024_102" w:history="1">
        <w:r w:rsidRPr="007D5795">
          <w:rPr>
            <w:rStyle w:val="TextoNormalCaracter"/>
          </w:rPr>
          <w:t>102/2024</w:t>
        </w:r>
      </w:hyperlink>
      <w:r>
        <w:t>.</w:t>
      </w:r>
    </w:p>
    <w:p w14:paraId="3722293C" w14:textId="3494AAA7" w:rsidR="007D5795" w:rsidRDefault="007D5795" w:rsidP="007D5795">
      <w:pPr>
        <w:pStyle w:val="SangriaFrancesaArticulo"/>
      </w:pPr>
    </w:p>
    <w:p w14:paraId="5259813A" w14:textId="77777777" w:rsidR="007D5795" w:rsidRDefault="007D5795" w:rsidP="007D5795">
      <w:pPr>
        <w:pStyle w:val="TextoNormalNegritaCursivandice"/>
        <w:keepNext/>
      </w:pPr>
      <w:r>
        <w:t>Ley 20/2021, de 28 de diciembre, de medidas urgentes para la reducción de la temporalidad en el empleo público</w:t>
      </w:r>
    </w:p>
    <w:p w14:paraId="6F72E9F8" w14:textId="10CA3C7B" w:rsidR="007D5795" w:rsidRDefault="007D5795" w:rsidP="007D5795">
      <w:pPr>
        <w:pStyle w:val="SangriaFrancesaArticulo"/>
      </w:pPr>
      <w:r w:rsidRPr="007D5795">
        <w:rPr>
          <w:rStyle w:val="TextoNormalNegritaCaracter"/>
        </w:rPr>
        <w:t>Disposción adicional octava.</w:t>
      </w:r>
      <w:r w:rsidRPr="007D5795">
        <w:rPr>
          <w:rStyle w:val="TextoNormalCaracter"/>
        </w:rPr>
        <w:t>-</w:t>
      </w:r>
      <w:r>
        <w:t xml:space="preserve"> Auto </w:t>
      </w:r>
      <w:hyperlink w:anchor="AUTO_2024_115" w:history="1">
        <w:r w:rsidRPr="007D5795">
          <w:rPr>
            <w:rStyle w:val="TextoNormalCaracter"/>
          </w:rPr>
          <w:t>115/2024</w:t>
        </w:r>
      </w:hyperlink>
      <w:r>
        <w:t>.</w:t>
      </w:r>
    </w:p>
    <w:p w14:paraId="21B713A9" w14:textId="077A0733" w:rsidR="007D5795" w:rsidRDefault="007D5795" w:rsidP="007D5795">
      <w:pPr>
        <w:pStyle w:val="SangriaFrancesaArticulo"/>
      </w:pPr>
    </w:p>
    <w:p w14:paraId="393B9897" w14:textId="77777777" w:rsidR="007D5795" w:rsidRDefault="007D5795" w:rsidP="007D5795">
      <w:pPr>
        <w:pStyle w:val="TextoNormalNegritaCursivandice"/>
        <w:keepNext/>
      </w:pPr>
      <w:r>
        <w:t>Ley 22/2021, de 28 de diciembre, de presupuestos generales del Estado para el año 2022</w:t>
      </w:r>
    </w:p>
    <w:p w14:paraId="300BC901" w14:textId="51BECF0D" w:rsidR="007D5795" w:rsidRDefault="007D5795" w:rsidP="007D5795">
      <w:pPr>
        <w:pStyle w:val="SangriaFrancesaArticulo"/>
      </w:pPr>
      <w:r w:rsidRPr="007D5795">
        <w:rPr>
          <w:rStyle w:val="TextoNormalNegritaCaracter"/>
        </w:rPr>
        <w:t>Disposición final primera.</w:t>
      </w:r>
      <w:r w:rsidRPr="007D5795">
        <w:rPr>
          <w:rStyle w:val="TextoNormalCaracter"/>
        </w:rPr>
        <w:t>-</w:t>
      </w:r>
      <w:r>
        <w:t xml:space="preserve"> Auto </w:t>
      </w:r>
      <w:hyperlink w:anchor="AUTO_2024_115" w:history="1">
        <w:r w:rsidRPr="007D5795">
          <w:rPr>
            <w:rStyle w:val="TextoNormalCaracter"/>
          </w:rPr>
          <w:t>115/2024</w:t>
        </w:r>
      </w:hyperlink>
      <w:r>
        <w:t>.</w:t>
      </w:r>
    </w:p>
    <w:p w14:paraId="0E9CD135" w14:textId="31128F2F" w:rsidR="007D5795" w:rsidRDefault="007D5795" w:rsidP="007D5795">
      <w:pPr>
        <w:pStyle w:val="SangriaFrancesaArticulo"/>
      </w:pPr>
    </w:p>
    <w:p w14:paraId="7E37CA95" w14:textId="77777777" w:rsidR="007D5795" w:rsidRDefault="007D5795" w:rsidP="007D5795">
      <w:pPr>
        <w:pStyle w:val="TextoNormalNegritaCursivandice"/>
        <w:keepNext/>
      </w:pPr>
      <w:r>
        <w:t>Ley Orgánica 8/2022, de 27 de julio, de modificación de los artículos 570 bis y 599 de la Ley Orgánica 6/1985, de 1 de julio, del Poder Judicial</w:t>
      </w:r>
    </w:p>
    <w:p w14:paraId="7BC3EDEA" w14:textId="5B18BDD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w:t>
      </w:r>
    </w:p>
    <w:p w14:paraId="34D55285" w14:textId="76CB9945" w:rsidR="007D5795" w:rsidRDefault="007D5795" w:rsidP="007D5795">
      <w:pPr>
        <w:pStyle w:val="SangriaFrancesaArticulo"/>
      </w:pPr>
    </w:p>
    <w:p w14:paraId="5E78CC44" w14:textId="77777777" w:rsidR="007D5795" w:rsidRDefault="007D5795" w:rsidP="007D5795">
      <w:pPr>
        <w:pStyle w:val="TextoNormalNegritaCursivandice"/>
        <w:keepNext/>
      </w:pPr>
      <w:r>
        <w:t>Ley 19/2022, de 30 de septiembre, para el reconocimiento de personalidad jurídica a la laguna del Mar Menor y su cuenca</w:t>
      </w:r>
    </w:p>
    <w:p w14:paraId="1197B814" w14:textId="275077F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w:t>
      </w:r>
    </w:p>
    <w:p w14:paraId="4F169DEC" w14:textId="62DAC34C"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Sentencia </w:t>
      </w:r>
      <w:hyperlink w:anchor="SENTENCIA_2024_142" w:history="1">
        <w:r w:rsidRPr="007D5795">
          <w:rPr>
            <w:rStyle w:val="TextoNormalCaracter"/>
          </w:rPr>
          <w:t>142/2024</w:t>
        </w:r>
      </w:hyperlink>
      <w:r>
        <w:t>.</w:t>
      </w:r>
    </w:p>
    <w:p w14:paraId="56C01000" w14:textId="64AD3D1B" w:rsidR="007D5795" w:rsidRDefault="007D5795" w:rsidP="007D5795">
      <w:pPr>
        <w:pStyle w:val="SangriaFrancesaArticulo"/>
      </w:pPr>
      <w:r w:rsidRPr="007D5795">
        <w:rPr>
          <w:rStyle w:val="TextoNormalNegritaCaracter"/>
        </w:rPr>
        <w:t>Artículo 2.</w:t>
      </w:r>
      <w:r w:rsidRPr="007D5795">
        <w:rPr>
          <w:rStyle w:val="TextoNormalCaracter"/>
        </w:rPr>
        <w:t>-</w:t>
      </w:r>
      <w:r>
        <w:t xml:space="preserve"> Sentencia </w:t>
      </w:r>
      <w:hyperlink w:anchor="SENTENCIA_2024_142" w:history="1">
        <w:r w:rsidRPr="007D5795">
          <w:rPr>
            <w:rStyle w:val="TextoNormalCaracter"/>
          </w:rPr>
          <w:t>142/2024</w:t>
        </w:r>
      </w:hyperlink>
      <w:r>
        <w:t>.</w:t>
      </w:r>
    </w:p>
    <w:p w14:paraId="2560C398" w14:textId="73C14FE1" w:rsidR="007D5795" w:rsidRDefault="007D5795" w:rsidP="007D5795">
      <w:pPr>
        <w:pStyle w:val="SangriaFrancesaArticulo"/>
      </w:pPr>
      <w:r w:rsidRPr="007D5795">
        <w:rPr>
          <w:rStyle w:val="TextoNormalNegritaCaracter"/>
        </w:rPr>
        <w:t>Artículo 3.</w:t>
      </w:r>
      <w:r w:rsidRPr="007D5795">
        <w:rPr>
          <w:rStyle w:val="TextoNormalCaracter"/>
        </w:rPr>
        <w:t>-</w:t>
      </w:r>
      <w:r>
        <w:t xml:space="preserve"> Sentencia </w:t>
      </w:r>
      <w:hyperlink w:anchor="SENTENCIA_2024_142" w:history="1">
        <w:r w:rsidRPr="007D5795">
          <w:rPr>
            <w:rStyle w:val="TextoNormalCaracter"/>
          </w:rPr>
          <w:t>142/2024</w:t>
        </w:r>
      </w:hyperlink>
      <w:r>
        <w:t>.</w:t>
      </w:r>
    </w:p>
    <w:p w14:paraId="324B2EB7" w14:textId="1804C9B0" w:rsidR="007D5795" w:rsidRDefault="007D5795" w:rsidP="007D5795">
      <w:pPr>
        <w:pStyle w:val="SangriaFrancesaArticulo"/>
      </w:pPr>
      <w:r w:rsidRPr="007D5795">
        <w:rPr>
          <w:rStyle w:val="TextoNormalNegritaCaracter"/>
        </w:rPr>
        <w:t>Artículo 4.</w:t>
      </w:r>
      <w:r w:rsidRPr="007D5795">
        <w:rPr>
          <w:rStyle w:val="TextoNormalCaracter"/>
        </w:rPr>
        <w:t>-</w:t>
      </w:r>
      <w:r>
        <w:t xml:space="preserve"> Sentencia </w:t>
      </w:r>
      <w:hyperlink w:anchor="SENTENCIA_2024_142" w:history="1">
        <w:r w:rsidRPr="007D5795">
          <w:rPr>
            <w:rStyle w:val="TextoNormalCaracter"/>
          </w:rPr>
          <w:t>142/2024</w:t>
        </w:r>
      </w:hyperlink>
      <w:r>
        <w:t>.</w:t>
      </w:r>
    </w:p>
    <w:p w14:paraId="35AD5853" w14:textId="74758387" w:rsidR="007D5795" w:rsidRDefault="007D5795" w:rsidP="007D5795">
      <w:pPr>
        <w:pStyle w:val="SangriaFrancesaArticulo"/>
      </w:pPr>
      <w:r w:rsidRPr="007D5795">
        <w:rPr>
          <w:rStyle w:val="TextoNormalNegritaCaracter"/>
        </w:rPr>
        <w:t>Artículo 5.</w:t>
      </w:r>
      <w:r w:rsidRPr="007D5795">
        <w:rPr>
          <w:rStyle w:val="TextoNormalCaracter"/>
        </w:rPr>
        <w:t>-</w:t>
      </w:r>
      <w:r>
        <w:t xml:space="preserve"> Sentencia </w:t>
      </w:r>
      <w:hyperlink w:anchor="SENTENCIA_2024_142" w:history="1">
        <w:r w:rsidRPr="007D5795">
          <w:rPr>
            <w:rStyle w:val="TextoNormalCaracter"/>
          </w:rPr>
          <w:t>142/2024</w:t>
        </w:r>
      </w:hyperlink>
      <w:r>
        <w:t>.</w:t>
      </w:r>
    </w:p>
    <w:p w14:paraId="55BD1AAC" w14:textId="55B920C1" w:rsidR="007D5795" w:rsidRDefault="007D5795" w:rsidP="007D5795">
      <w:pPr>
        <w:pStyle w:val="SangriaFrancesaArticulo"/>
      </w:pPr>
      <w:r w:rsidRPr="007D5795">
        <w:rPr>
          <w:rStyle w:val="TextoNormalNegritaCaracter"/>
        </w:rPr>
        <w:t>Artículo 6.</w:t>
      </w:r>
      <w:r w:rsidRPr="007D5795">
        <w:rPr>
          <w:rStyle w:val="TextoNormalCaracter"/>
        </w:rPr>
        <w:t>-</w:t>
      </w:r>
      <w:r>
        <w:t xml:space="preserve"> Sentencia </w:t>
      </w:r>
      <w:hyperlink w:anchor="SENTENCIA_2024_142" w:history="1">
        <w:r w:rsidRPr="007D5795">
          <w:rPr>
            <w:rStyle w:val="TextoNormalCaracter"/>
          </w:rPr>
          <w:t>142/2024</w:t>
        </w:r>
      </w:hyperlink>
      <w:r>
        <w:t>.</w:t>
      </w:r>
    </w:p>
    <w:p w14:paraId="5D3F45F0" w14:textId="5996392C" w:rsidR="007D5795" w:rsidRDefault="007D5795" w:rsidP="007D5795">
      <w:pPr>
        <w:pStyle w:val="SangriaFrancesaArticulo"/>
      </w:pPr>
      <w:r w:rsidRPr="007D5795">
        <w:rPr>
          <w:rStyle w:val="TextoNormalNegritaCaracter"/>
        </w:rPr>
        <w:t>Artículo 7.</w:t>
      </w:r>
      <w:r w:rsidRPr="007D5795">
        <w:rPr>
          <w:rStyle w:val="TextoNormalCaracter"/>
        </w:rPr>
        <w:t>-</w:t>
      </w:r>
      <w:r>
        <w:t xml:space="preserve"> Sentencia </w:t>
      </w:r>
      <w:hyperlink w:anchor="SENTENCIA_2024_142" w:history="1">
        <w:r w:rsidRPr="007D5795">
          <w:rPr>
            <w:rStyle w:val="TextoNormalCaracter"/>
          </w:rPr>
          <w:t>142/2024</w:t>
        </w:r>
      </w:hyperlink>
      <w:r>
        <w:t>.</w:t>
      </w:r>
    </w:p>
    <w:p w14:paraId="41F262A9" w14:textId="4EFFF9EF" w:rsidR="007D5795" w:rsidRDefault="007D5795" w:rsidP="007D5795">
      <w:pPr>
        <w:pStyle w:val="SangriaFrancesaArticulo"/>
      </w:pPr>
      <w:r w:rsidRPr="007D5795">
        <w:rPr>
          <w:rStyle w:val="TextoNormalNegritaCaracter"/>
        </w:rPr>
        <w:t>Disposición derogatoria única.</w:t>
      </w:r>
      <w:r w:rsidRPr="007D5795">
        <w:rPr>
          <w:rStyle w:val="TextoNormalCaracter"/>
        </w:rPr>
        <w:t>-</w:t>
      </w:r>
      <w:r>
        <w:t xml:space="preserve"> Sentencia </w:t>
      </w:r>
      <w:hyperlink w:anchor="SENTENCIA_2024_142" w:history="1">
        <w:r w:rsidRPr="007D5795">
          <w:rPr>
            <w:rStyle w:val="TextoNormalCaracter"/>
          </w:rPr>
          <w:t>142/2024</w:t>
        </w:r>
      </w:hyperlink>
      <w:r>
        <w:t>.</w:t>
      </w:r>
    </w:p>
    <w:p w14:paraId="319A031A" w14:textId="0AC950DB" w:rsidR="007D5795" w:rsidRDefault="007D5795" w:rsidP="007D5795">
      <w:pPr>
        <w:pStyle w:val="SangriaFrancesaArticulo"/>
      </w:pPr>
      <w:r w:rsidRPr="007D5795">
        <w:rPr>
          <w:rStyle w:val="TextoNormalNegritaCaracter"/>
        </w:rPr>
        <w:t>Disposición final segunda.</w:t>
      </w:r>
      <w:r w:rsidRPr="007D5795">
        <w:rPr>
          <w:rStyle w:val="TextoNormalCaracter"/>
        </w:rPr>
        <w:t>-</w:t>
      </w:r>
      <w:r>
        <w:t xml:space="preserve"> Sentencia </w:t>
      </w:r>
      <w:hyperlink w:anchor="SENTENCIA_2024_142" w:history="1">
        <w:r w:rsidRPr="007D5795">
          <w:rPr>
            <w:rStyle w:val="TextoNormalCaracter"/>
          </w:rPr>
          <w:t>142/2024</w:t>
        </w:r>
      </w:hyperlink>
      <w:r>
        <w:t>.</w:t>
      </w:r>
    </w:p>
    <w:p w14:paraId="7D7DD2D3" w14:textId="5F0DDB11" w:rsidR="007D5795" w:rsidRDefault="007D5795" w:rsidP="007D5795">
      <w:pPr>
        <w:pStyle w:val="TextoNormal"/>
      </w:pPr>
    </w:p>
    <w:p w14:paraId="040DD09A" w14:textId="77777777" w:rsidR="007D5795" w:rsidRDefault="007D5795" w:rsidP="007D5795">
      <w:pPr>
        <w:pStyle w:val="SangriaFrancesaArticulo"/>
      </w:pPr>
      <w:bookmarkStart w:id="165" w:name="INDICE22806"/>
    </w:p>
    <w:bookmarkEnd w:id="165"/>
    <w:p w14:paraId="7C20DCE9" w14:textId="77777777" w:rsidR="007D5795" w:rsidRDefault="007D5795" w:rsidP="007D5795">
      <w:pPr>
        <w:pStyle w:val="TextoIndiceNivel2"/>
        <w:suppressAutoHyphens/>
      </w:pPr>
      <w:r>
        <w:t>B) Disposiciones con fuerza de ley de las Comunidades Autónomas</w:t>
      </w:r>
    </w:p>
    <w:p w14:paraId="299821B5" w14:textId="4C51E090" w:rsidR="007D5795" w:rsidRDefault="007D5795" w:rsidP="007D5795">
      <w:pPr>
        <w:pStyle w:val="TextoNormal"/>
      </w:pPr>
    </w:p>
    <w:p w14:paraId="3AEF63A2" w14:textId="77777777" w:rsidR="007D5795" w:rsidRDefault="007D5795" w:rsidP="007D5795">
      <w:pPr>
        <w:pStyle w:val="TextoNormalNegritaCentrado"/>
        <w:suppressAutoHyphens/>
      </w:pPr>
      <w:r w:rsidRPr="007D5795">
        <w:rPr>
          <w:rStyle w:val="TextoNormalNegritaCentradoSombreado"/>
        </w:rPr>
        <w:t>B.1) Andalucía</w:t>
      </w:r>
    </w:p>
    <w:p w14:paraId="327A7345" w14:textId="1EA4FFA0" w:rsidR="007D5795" w:rsidRDefault="007D5795" w:rsidP="007D5795">
      <w:pPr>
        <w:pStyle w:val="TextoNormalNegritaCentrado"/>
      </w:pPr>
    </w:p>
    <w:p w14:paraId="1547AE85" w14:textId="77777777" w:rsidR="007D5795" w:rsidRDefault="007D5795" w:rsidP="007D5795">
      <w:pPr>
        <w:pStyle w:val="TextoNormalNegritaCursivandice"/>
        <w:keepNext/>
      </w:pPr>
      <w:r>
        <w:t>Comunidad Autónoma de Andalucía. Decreto-ley 8/2022, de 27 de septiembre, por el que se modifica la Ley 2/2003, de 12 de mayo, de transportes urbanos y metropolitanos de viajeros en Andalucía</w:t>
      </w:r>
    </w:p>
    <w:p w14:paraId="08B2B76F" w14:textId="25B9732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1" w:history="1">
        <w:r w:rsidRPr="007D5795">
          <w:rPr>
            <w:rStyle w:val="TextoNormalCaracter"/>
          </w:rPr>
          <w:t>111/2024</w:t>
        </w:r>
      </w:hyperlink>
      <w:r>
        <w:t>.</w:t>
      </w:r>
    </w:p>
    <w:p w14:paraId="424465ED" w14:textId="550700B3" w:rsidR="007D5795" w:rsidRDefault="007D5795" w:rsidP="007D5795">
      <w:pPr>
        <w:pStyle w:val="TextoNormal"/>
      </w:pPr>
    </w:p>
    <w:p w14:paraId="7C576765" w14:textId="77777777" w:rsidR="007D5795" w:rsidRDefault="007D5795" w:rsidP="007D5795">
      <w:pPr>
        <w:pStyle w:val="TextoNormalNegritaCentrado"/>
        <w:suppressAutoHyphens/>
      </w:pPr>
      <w:r w:rsidRPr="007D5795">
        <w:rPr>
          <w:rStyle w:val="TextoNormalNegritaCentradoSombreado"/>
        </w:rPr>
        <w:t>B.2) Aragón</w:t>
      </w:r>
    </w:p>
    <w:p w14:paraId="5AF744C5" w14:textId="5B162A08" w:rsidR="007D5795" w:rsidRDefault="007D5795" w:rsidP="007D5795">
      <w:pPr>
        <w:pStyle w:val="TextoNormalNegritaCentrado"/>
      </w:pPr>
    </w:p>
    <w:p w14:paraId="11DBB316" w14:textId="77777777" w:rsidR="007D5795" w:rsidRDefault="007D5795" w:rsidP="007D5795">
      <w:pPr>
        <w:pStyle w:val="TextoNormalNegritaCursivandice"/>
        <w:keepNext/>
      </w:pPr>
      <w:r>
        <w:t>Comunidad Autónoma de Aragón. Decreto-ley 1/2023, de 20 de marzo, de medidas urgentes para el impulso de la transición energética y el consumo de cercanía en Aragón</w:t>
      </w:r>
    </w:p>
    <w:p w14:paraId="7FF42CFE" w14:textId="5BE9E52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3" w:history="1">
        <w:r w:rsidRPr="007D5795">
          <w:rPr>
            <w:rStyle w:val="TextoNormalCaracter"/>
          </w:rPr>
          <w:t>113/2024</w:t>
        </w:r>
      </w:hyperlink>
      <w:r>
        <w:t xml:space="preserve"> (anula).</w:t>
      </w:r>
    </w:p>
    <w:p w14:paraId="17438630" w14:textId="147FA546" w:rsidR="007D5795" w:rsidRDefault="007D5795" w:rsidP="007D5795">
      <w:pPr>
        <w:pStyle w:val="TextoNormal"/>
      </w:pPr>
    </w:p>
    <w:p w14:paraId="1F6080BF" w14:textId="77777777" w:rsidR="007D5795" w:rsidRDefault="007D5795" w:rsidP="007D5795">
      <w:pPr>
        <w:pStyle w:val="TextoNormalNegritaCentrado"/>
        <w:suppressAutoHyphens/>
      </w:pPr>
      <w:r w:rsidRPr="007D5795">
        <w:rPr>
          <w:rStyle w:val="TextoNormalNegritaCentradoSombreado"/>
        </w:rPr>
        <w:t>B.3) Baleares</w:t>
      </w:r>
    </w:p>
    <w:p w14:paraId="35ABC2F9" w14:textId="1963A93E" w:rsidR="007D5795" w:rsidRDefault="007D5795" w:rsidP="007D5795">
      <w:pPr>
        <w:pStyle w:val="TextoNormalNegritaCentrado"/>
      </w:pPr>
    </w:p>
    <w:p w14:paraId="5E5008BB" w14:textId="77777777" w:rsidR="007D5795" w:rsidRDefault="007D5795" w:rsidP="007D5795">
      <w:pPr>
        <w:pStyle w:val="TextoNormalNegritaCursivandice"/>
        <w:keepNext/>
      </w:pPr>
      <w:r>
        <w:t>Comunidad Autónoma de las Illes Balears. Ley 16/2010, de 28 de diciembre, de salud pública de las Illes Balears</w:t>
      </w:r>
    </w:p>
    <w:p w14:paraId="66CE6C75" w14:textId="06587467" w:rsidR="007D5795" w:rsidRDefault="007D5795" w:rsidP="007D5795">
      <w:pPr>
        <w:pStyle w:val="SangriaFrancesaArticulo"/>
      </w:pPr>
      <w:r w:rsidRPr="007D5795">
        <w:rPr>
          <w:rStyle w:val="TextoNormalNegritaCaracter"/>
        </w:rPr>
        <w:t>Artículo 49 bis.2</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w:t>
      </w:r>
    </w:p>
    <w:p w14:paraId="2B1036C7" w14:textId="167C118B" w:rsidR="007D5795" w:rsidRDefault="007D5795" w:rsidP="007D5795">
      <w:pPr>
        <w:pStyle w:val="SangriaFrancesaArticulo"/>
      </w:pPr>
      <w:r w:rsidRPr="007D5795">
        <w:rPr>
          <w:rStyle w:val="TextoNormalNegritaCaracter"/>
        </w:rPr>
        <w:t>Artículo 49 bis.3</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 parcialmente).</w:t>
      </w:r>
    </w:p>
    <w:p w14:paraId="022728DB" w14:textId="38463BAA" w:rsidR="007D5795" w:rsidRDefault="007D5795" w:rsidP="007D5795">
      <w:pPr>
        <w:pStyle w:val="SangriaFrancesaArticulo"/>
      </w:pPr>
      <w:r w:rsidRPr="007D5795">
        <w:rPr>
          <w:rStyle w:val="TextoNormalNegritaCaracter"/>
        </w:rPr>
        <w:t>Artículo 49 bis.3 a)</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131C4249" w14:textId="563C34F0" w:rsidR="007D5795" w:rsidRDefault="007D5795" w:rsidP="007D5795">
      <w:pPr>
        <w:pStyle w:val="SangriaFrancesaArticulo"/>
      </w:pPr>
      <w:r w:rsidRPr="007D5795">
        <w:rPr>
          <w:rStyle w:val="TextoNormalNegritaCaracter"/>
        </w:rPr>
        <w:t>Artículo 49 bis.3 b)</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5E00EEF2" w14:textId="3BCD1DA8" w:rsidR="007D5795" w:rsidRDefault="007D5795" w:rsidP="007D5795">
      <w:pPr>
        <w:pStyle w:val="SangriaFrancesaArticulo"/>
      </w:pPr>
      <w:r w:rsidRPr="007D5795">
        <w:rPr>
          <w:rStyle w:val="TextoNormalNegritaCaracter"/>
        </w:rPr>
        <w:t>Artículo 49 bis.3 c)</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5B39F6C0" w14:textId="27503EAB" w:rsidR="007D5795" w:rsidRDefault="007D5795" w:rsidP="007D5795">
      <w:pPr>
        <w:pStyle w:val="SangriaFrancesaArticulo"/>
      </w:pPr>
      <w:r w:rsidRPr="007D5795">
        <w:rPr>
          <w:rStyle w:val="TextoNormalNegritaCaracter"/>
        </w:rPr>
        <w:t>Artículo 49 bis.3 d)</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63BAE00C" w14:textId="7EBFED2F" w:rsidR="007D5795" w:rsidRDefault="007D5795" w:rsidP="007D5795">
      <w:pPr>
        <w:pStyle w:val="SangriaFrancesaArticulo"/>
      </w:pPr>
      <w:r w:rsidRPr="007D5795">
        <w:rPr>
          <w:rStyle w:val="TextoNormalNegritaCaracter"/>
        </w:rPr>
        <w:t>Artículo 49 bis.3 e)</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620ADAF3" w14:textId="2943085F" w:rsidR="007D5795" w:rsidRDefault="007D5795" w:rsidP="007D5795">
      <w:pPr>
        <w:pStyle w:val="SangriaFrancesaArticulo"/>
      </w:pPr>
      <w:r w:rsidRPr="007D5795">
        <w:rPr>
          <w:rStyle w:val="TextoNormalNegritaCaracter"/>
        </w:rPr>
        <w:t>Artículo 49 bis.3 f), primer párrafo, inciso "Medidas de control del entorno inmediato [...] al resto de la población"</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0061AF0C" w14:textId="0F53D2CB" w:rsidR="007D5795" w:rsidRDefault="007D5795" w:rsidP="007D5795">
      <w:pPr>
        <w:pStyle w:val="SangriaFrancesaArticulo"/>
      </w:pPr>
      <w:r w:rsidRPr="007D5795">
        <w:rPr>
          <w:rStyle w:val="TextoNormalNegritaCaracter"/>
        </w:rPr>
        <w:t>Artículo 49 bis.3 f), quinto párrafo</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2F79E5F0" w14:textId="0FA8DB05" w:rsidR="007D5795" w:rsidRDefault="007D5795" w:rsidP="007D5795">
      <w:pPr>
        <w:pStyle w:val="SangriaFrancesaArticulo"/>
      </w:pPr>
      <w:r w:rsidRPr="007D5795">
        <w:rPr>
          <w:rStyle w:val="TextoNormalNegritaCaracter"/>
        </w:rPr>
        <w:t>Artículo 49 bis.3 f), segundo párrafo</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2948C05C" w14:textId="23687F6C" w:rsidR="007D5795" w:rsidRDefault="007D5795" w:rsidP="007D5795">
      <w:pPr>
        <w:pStyle w:val="SangriaFrancesaArticulo"/>
      </w:pPr>
      <w:r w:rsidRPr="007D5795">
        <w:rPr>
          <w:rStyle w:val="TextoNormalNegritaCaracter"/>
        </w:rPr>
        <w:t>Artículo 49 bis.3 f), sexto párrafo</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60130A7A" w14:textId="47974833" w:rsidR="007D5795" w:rsidRDefault="007D5795" w:rsidP="007D5795">
      <w:pPr>
        <w:pStyle w:val="SangriaFrancesaArticulo"/>
      </w:pPr>
      <w:r w:rsidRPr="007D5795">
        <w:rPr>
          <w:rStyle w:val="TextoNormalNegritaCaracter"/>
        </w:rPr>
        <w:t>Artículo 49 bis.3 f), tercer párrafo</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2266E0F3" w14:textId="4F6C9987" w:rsidR="007D5795" w:rsidRDefault="007D5795" w:rsidP="007D5795">
      <w:pPr>
        <w:pStyle w:val="SangriaFrancesaArticulo"/>
      </w:pPr>
      <w:r w:rsidRPr="007D5795">
        <w:rPr>
          <w:rStyle w:val="TextoNormalNegritaCaracter"/>
        </w:rPr>
        <w:t>Artículo 49 bis.3 f), último párrafo</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7D941273" w14:textId="41CD3179" w:rsidR="007D5795" w:rsidRDefault="007D5795" w:rsidP="007D5795">
      <w:pPr>
        <w:pStyle w:val="SangriaFrancesaArticulo"/>
      </w:pPr>
      <w:r w:rsidRPr="007D5795">
        <w:rPr>
          <w:rStyle w:val="TextoNormalNegritaCaracter"/>
        </w:rPr>
        <w:t>Artículo 49 bis.3 g), inciso "Aislamiento y cuarentena a las personas afectadas"</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74963D97" w14:textId="0C45E9EA" w:rsidR="007D5795" w:rsidRDefault="007D5795" w:rsidP="007D5795">
      <w:pPr>
        <w:pStyle w:val="SangriaFrancesaArticulo"/>
      </w:pPr>
      <w:r w:rsidRPr="007D5795">
        <w:rPr>
          <w:rStyle w:val="TextoNormalNegritaCaracter"/>
        </w:rPr>
        <w:t>Artículo 49 bis.3 g), inciso "Limitación del número de personas que se puede reunir, tanto en espacios públicos como privados"</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0F5A9323" w14:textId="4EFF92BC" w:rsidR="007D5795" w:rsidRDefault="007D5795" w:rsidP="007D5795">
      <w:pPr>
        <w:pStyle w:val="SangriaFrancesaArticulo"/>
      </w:pPr>
      <w:r w:rsidRPr="007D5795">
        <w:rPr>
          <w:rStyle w:val="TextoNormalNegritaCaracter"/>
        </w:rPr>
        <w:t>Artículo 49 bis.3 g), inciso "Limitaciones de desplazamientos territoriales que protejan del riesgo de transmisión y limitación de desplazamientos personales, manteniendo en todos los niveles de alerta los desplazamientos esenciales, siempre que se realicen de forma individual o con la unidad de convivencia y con todas las medidas de precaución higiénicas y de distanciamiento. Se incluye la limitación en horario nocturno"</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7F9F6864" w14:textId="571A713A" w:rsidR="007D5795" w:rsidRDefault="007D5795" w:rsidP="007D5795">
      <w:pPr>
        <w:pStyle w:val="SangriaFrancesaArticulo"/>
      </w:pPr>
      <w:r w:rsidRPr="007D5795">
        <w:rPr>
          <w:rStyle w:val="TextoNormalNegritaCaracter"/>
        </w:rPr>
        <w:t>Artículo 49 bis.3 g), inciso "Pruebas de cribado colectivas"</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6C2EA961" w14:textId="287A9D17" w:rsidR="007D5795" w:rsidRDefault="007D5795" w:rsidP="007D5795">
      <w:pPr>
        <w:pStyle w:val="SangriaFrancesaArticulo"/>
      </w:pPr>
      <w:r w:rsidRPr="007D5795">
        <w:rPr>
          <w:rStyle w:val="TextoNormalNegritaCaracter"/>
        </w:rPr>
        <w:t>Artículo 49 bis.3 g), inciso "Pruebas diagnósticas a todas las personas que presenten síntomas"</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xml:space="preserve"> (anula).</w:t>
      </w:r>
    </w:p>
    <w:p w14:paraId="5F3DF9D4" w14:textId="67A626E2" w:rsidR="007D5795" w:rsidRDefault="007D5795" w:rsidP="007D5795">
      <w:pPr>
        <w:pStyle w:val="SangriaFrancesaArticulo"/>
      </w:pPr>
    </w:p>
    <w:p w14:paraId="21F48007" w14:textId="77777777" w:rsidR="007D5795" w:rsidRDefault="007D5795" w:rsidP="007D5795">
      <w:pPr>
        <w:pStyle w:val="TextoNormalNegritaCursivandice"/>
        <w:keepNext/>
      </w:pPr>
      <w:r>
        <w:t>Comunidad Autónoma de las Illes Balears. Ley 4/2014, de 20 de junio, de transportes terrestres y movilidad sostenible de las Illes Balears</w:t>
      </w:r>
    </w:p>
    <w:p w14:paraId="1F1C11EA" w14:textId="379AA778" w:rsidR="007D5795" w:rsidRDefault="007D5795" w:rsidP="007D5795">
      <w:pPr>
        <w:pStyle w:val="SangriaFrancesaArticulo"/>
      </w:pPr>
      <w:r w:rsidRPr="007D5795">
        <w:rPr>
          <w:rStyle w:val="TextoNormalNegritaCaracter"/>
        </w:rPr>
        <w:t>Artículo 74 bis.1 b)</w:t>
      </w:r>
      <w:r>
        <w:t xml:space="preserve"> (redactado por el Decreto-ley 1/2019, de 22 de febrero)</w:t>
      </w:r>
      <w:r w:rsidRPr="007D5795">
        <w:rPr>
          <w:rStyle w:val="TextoNormalNegritaCaracter"/>
        </w:rPr>
        <w:t>.</w:t>
      </w:r>
      <w:r w:rsidRPr="007D5795">
        <w:rPr>
          <w:rStyle w:val="TextoNormalCaracter"/>
        </w:rPr>
        <w:t>-</w:t>
      </w:r>
      <w:r>
        <w:t xml:space="preserve"> Sentencia </w:t>
      </w:r>
      <w:hyperlink w:anchor="SENTENCIA_2024_112" w:history="1">
        <w:r w:rsidRPr="007D5795">
          <w:rPr>
            <w:rStyle w:val="TextoNormalCaracter"/>
          </w:rPr>
          <w:t>112/2024</w:t>
        </w:r>
      </w:hyperlink>
      <w:r>
        <w:t xml:space="preserve"> (anula).</w:t>
      </w:r>
    </w:p>
    <w:p w14:paraId="7DD7CD49" w14:textId="371D3E8F" w:rsidR="007D5795" w:rsidRDefault="007D5795" w:rsidP="007D5795">
      <w:pPr>
        <w:pStyle w:val="SangriaFrancesaArticulo"/>
      </w:pPr>
      <w:r w:rsidRPr="007D5795">
        <w:rPr>
          <w:rStyle w:val="TextoNormalNegritaCaracter"/>
        </w:rPr>
        <w:t>Disposición adicional segunda</w:t>
      </w:r>
      <w:r>
        <w:t xml:space="preserve"> (redactada por el Decreto-ley 1/2019, de 22 de febrero)</w:t>
      </w:r>
      <w:r w:rsidRPr="007D5795">
        <w:rPr>
          <w:rStyle w:val="TextoNormalNegritaCaracter"/>
        </w:rPr>
        <w:t>.</w:t>
      </w:r>
      <w:r w:rsidRPr="007D5795">
        <w:rPr>
          <w:rStyle w:val="TextoNormalCaracter"/>
        </w:rPr>
        <w:t>-</w:t>
      </w:r>
      <w:r>
        <w:t xml:space="preserve"> Sentencia </w:t>
      </w:r>
      <w:hyperlink w:anchor="SENTENCIA_2024_112" w:history="1">
        <w:r w:rsidRPr="007D5795">
          <w:rPr>
            <w:rStyle w:val="TextoNormalCaracter"/>
          </w:rPr>
          <w:t>112/2024</w:t>
        </w:r>
      </w:hyperlink>
      <w:r>
        <w:t xml:space="preserve"> (anula).</w:t>
      </w:r>
    </w:p>
    <w:p w14:paraId="75680DDC" w14:textId="33E89CE5" w:rsidR="007D5795" w:rsidRDefault="007D5795" w:rsidP="007D5795">
      <w:pPr>
        <w:pStyle w:val="SangriaFrancesaArticulo"/>
      </w:pPr>
    </w:p>
    <w:p w14:paraId="50DDD89D" w14:textId="77777777" w:rsidR="007D5795" w:rsidRDefault="007D5795" w:rsidP="007D5795">
      <w:pPr>
        <w:pStyle w:val="TextoNormalNegritaCursivandice"/>
        <w:keepNext/>
      </w:pPr>
      <w:r>
        <w:t>Comunidad Autónoma de las Illes Balears. Decreto-ley 1/2019, de 22 de febrero, de medidas urgentes sobre la explotación y el control de la actividad de alquiler de vehículos con conductor y otras medidas en materia de transportes terrestres</w:t>
      </w:r>
    </w:p>
    <w:p w14:paraId="1236E2E4" w14:textId="413C0944" w:rsidR="007D5795" w:rsidRDefault="007D5795" w:rsidP="007D5795">
      <w:pPr>
        <w:pStyle w:val="SangriaFrancesaArticulo"/>
      </w:pPr>
      <w:r w:rsidRPr="007D5795">
        <w:rPr>
          <w:rStyle w:val="TextoNormalNegritaCaracter"/>
        </w:rPr>
        <w:t>Artículo 2.2.</w:t>
      </w:r>
      <w:r w:rsidRPr="007D5795">
        <w:rPr>
          <w:rStyle w:val="TextoNormalCaracter"/>
        </w:rPr>
        <w:t>-</w:t>
      </w:r>
      <w:r>
        <w:t xml:space="preserve"> Sentencia </w:t>
      </w:r>
      <w:hyperlink w:anchor="SENTENCIA_2024_112" w:history="1">
        <w:r w:rsidRPr="007D5795">
          <w:rPr>
            <w:rStyle w:val="TextoNormalCaracter"/>
          </w:rPr>
          <w:t>112/2024</w:t>
        </w:r>
      </w:hyperlink>
      <w:r>
        <w:t xml:space="preserve"> (anula).</w:t>
      </w:r>
    </w:p>
    <w:p w14:paraId="4B20E87F" w14:textId="4884301F" w:rsidR="007D5795" w:rsidRDefault="007D5795" w:rsidP="007D5795">
      <w:pPr>
        <w:pStyle w:val="SangriaFrancesaArticulo"/>
      </w:pPr>
    </w:p>
    <w:p w14:paraId="31C0246B" w14:textId="77777777" w:rsidR="007D5795" w:rsidRDefault="007D5795" w:rsidP="007D5795">
      <w:pPr>
        <w:pStyle w:val="TextoNormalNegritaCursivandice"/>
        <w:keepNext/>
      </w:pPr>
      <w:r>
        <w:t>Comunidad Autónoma de las Illes Balears. Decreto-ley 5/2021, de 7 de mayo, por el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w:t>
      </w:r>
    </w:p>
    <w:p w14:paraId="2D043D15" w14:textId="5125A4E4"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 </w:t>
      </w:r>
      <w:hyperlink w:anchor="SENTENCIA_2024_141" w:history="1">
        <w:r w:rsidRPr="007D5795">
          <w:rPr>
            <w:rStyle w:val="TextoNormalCaracter"/>
          </w:rPr>
          <w:t>141/2024</w:t>
        </w:r>
      </w:hyperlink>
      <w:r>
        <w:t xml:space="preserve"> (anula parcialmente).</w:t>
      </w:r>
    </w:p>
    <w:p w14:paraId="01161EA9" w14:textId="48A2EA53" w:rsidR="007D5795" w:rsidRDefault="007D5795" w:rsidP="007D5795">
      <w:pPr>
        <w:pStyle w:val="TextoNormal"/>
      </w:pPr>
    </w:p>
    <w:p w14:paraId="3C82F6CC" w14:textId="77777777" w:rsidR="007D5795" w:rsidRDefault="007D5795" w:rsidP="007D5795">
      <w:pPr>
        <w:pStyle w:val="TextoNormalNegritaCentrado"/>
        <w:suppressAutoHyphens/>
      </w:pPr>
      <w:r w:rsidRPr="007D5795">
        <w:rPr>
          <w:rStyle w:val="TextoNormalNegritaCentradoSombreado"/>
        </w:rPr>
        <w:t>B.4) Cataluña</w:t>
      </w:r>
    </w:p>
    <w:p w14:paraId="538CBEB8" w14:textId="597D71C8" w:rsidR="007D5795" w:rsidRDefault="007D5795" w:rsidP="007D5795">
      <w:pPr>
        <w:pStyle w:val="TextoNormalNegritaCentrado"/>
      </w:pPr>
    </w:p>
    <w:p w14:paraId="41683B6D" w14:textId="77777777" w:rsidR="007D5795" w:rsidRDefault="007D5795" w:rsidP="007D5795">
      <w:pPr>
        <w:pStyle w:val="TextoNormalNegritaCursivandice"/>
        <w:keepNext/>
      </w:pPr>
      <w:r>
        <w:t>Comunidad Autónoma de Cataluña. Ley 24/2015, de 29 de julio, de medidas urgentes para afrontar la emergencia en el ámbito de la vivienda y la pobreza energética</w:t>
      </w:r>
    </w:p>
    <w:p w14:paraId="150C29A7" w14:textId="5893C116" w:rsidR="007D5795" w:rsidRDefault="007D5795" w:rsidP="007D5795">
      <w:pPr>
        <w:pStyle w:val="SangriaFrancesaArticulo"/>
      </w:pPr>
      <w:r w:rsidRPr="007D5795">
        <w:rPr>
          <w:rStyle w:val="TextoNormalNegritaCaracter"/>
        </w:rPr>
        <w:t>Artículo 6.4.</w:t>
      </w:r>
      <w:r w:rsidRPr="007D5795">
        <w:rPr>
          <w:rStyle w:val="TextoNormalCaracter"/>
        </w:rPr>
        <w:t>-</w:t>
      </w:r>
      <w:r>
        <w:t xml:space="preserve"> Auto </w:t>
      </w:r>
      <w:hyperlink w:anchor="AUTO_2024_66" w:history="1">
        <w:r w:rsidRPr="007D5795">
          <w:rPr>
            <w:rStyle w:val="TextoNormalCaracter"/>
          </w:rPr>
          <w:t>66/2024</w:t>
        </w:r>
      </w:hyperlink>
      <w:r>
        <w:t>.</w:t>
      </w:r>
    </w:p>
    <w:p w14:paraId="3C3C4C9A" w14:textId="24250E56" w:rsidR="007D5795" w:rsidRDefault="007D5795" w:rsidP="007D5795">
      <w:pPr>
        <w:pStyle w:val="SangriaFrancesaArticulo"/>
      </w:pPr>
      <w:r w:rsidRPr="007D5795">
        <w:rPr>
          <w:rStyle w:val="TextoNormalNegritaCaracter"/>
        </w:rPr>
        <w:t>Artículo 9.4.</w:t>
      </w:r>
      <w:r w:rsidRPr="007D5795">
        <w:rPr>
          <w:rStyle w:val="TextoNormalCaracter"/>
        </w:rPr>
        <w:t>-</w:t>
      </w:r>
      <w:r>
        <w:t xml:space="preserve"> Auto </w:t>
      </w:r>
      <w:hyperlink w:anchor="AUTO_2024_66" w:history="1">
        <w:r w:rsidRPr="007D5795">
          <w:rPr>
            <w:rStyle w:val="TextoNormalCaracter"/>
          </w:rPr>
          <w:t>66/2024</w:t>
        </w:r>
      </w:hyperlink>
      <w:r>
        <w:t>.</w:t>
      </w:r>
    </w:p>
    <w:p w14:paraId="043ECD6E" w14:textId="69881F6D" w:rsidR="007D5795" w:rsidRDefault="007D5795" w:rsidP="007D5795">
      <w:pPr>
        <w:pStyle w:val="SangriaFrancesaArticulo"/>
      </w:pPr>
      <w:r w:rsidRPr="007D5795">
        <w:rPr>
          <w:rStyle w:val="TextoNormalNegritaCaracter"/>
        </w:rPr>
        <w:t>Disposición adicional primera, apartado 1 c)</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30" w:history="1">
        <w:r w:rsidRPr="007D5795">
          <w:rPr>
            <w:rStyle w:val="TextoNormalCaracter"/>
          </w:rPr>
          <w:t>130/2024</w:t>
        </w:r>
      </w:hyperlink>
      <w:r>
        <w:t>.</w:t>
      </w:r>
    </w:p>
    <w:p w14:paraId="6E457F17" w14:textId="7B298E23" w:rsidR="007D5795" w:rsidRDefault="007D5795" w:rsidP="007D5795">
      <w:pPr>
        <w:pStyle w:val="SangriaFrancesaArticulo"/>
      </w:pPr>
    </w:p>
    <w:p w14:paraId="2CA67A39" w14:textId="77777777" w:rsidR="007D5795" w:rsidRDefault="007D5795" w:rsidP="007D5795">
      <w:pPr>
        <w:pStyle w:val="TextoNormalNegritaCursivandice"/>
        <w:keepNext/>
      </w:pPr>
      <w:r>
        <w:t>Comunidad Autónoma de Cataluña. Ley 5/2020, de 29 de abril, de medidas fiscales, financieras, administrativas y del sector público y de creación del impuesto sobre las instalaciones que inciden en el medio ambiente</w:t>
      </w:r>
    </w:p>
    <w:p w14:paraId="530F4F1E" w14:textId="1AE4CF58" w:rsidR="007D5795" w:rsidRDefault="007D5795" w:rsidP="007D5795">
      <w:pPr>
        <w:pStyle w:val="SangriaFrancesaArticulo"/>
      </w:pPr>
      <w:r w:rsidRPr="007D5795">
        <w:rPr>
          <w:rStyle w:val="TextoNormalNegritaCaracter"/>
        </w:rPr>
        <w:t>Disposición adicional primera, apartado 1.</w:t>
      </w:r>
      <w:r w:rsidRPr="007D5795">
        <w:rPr>
          <w:rStyle w:val="TextoNormalCaracter"/>
        </w:rPr>
        <w:t>-</w:t>
      </w:r>
      <w:r>
        <w:t xml:space="preserve"> Auto </w:t>
      </w:r>
      <w:hyperlink w:anchor="AUTO_2024_81" w:history="1">
        <w:r w:rsidRPr="007D5795">
          <w:rPr>
            <w:rStyle w:val="TextoNormalCaracter"/>
          </w:rPr>
          <w:t>81/2024</w:t>
        </w:r>
      </w:hyperlink>
      <w:r>
        <w:t>.</w:t>
      </w:r>
    </w:p>
    <w:p w14:paraId="1905E760" w14:textId="1289FF2E" w:rsidR="007D5795" w:rsidRDefault="007D5795" w:rsidP="007D5795">
      <w:pPr>
        <w:pStyle w:val="SangriaFrancesaArticulo"/>
      </w:pPr>
    </w:p>
    <w:p w14:paraId="0EB728A1" w14:textId="77777777" w:rsidR="007D5795" w:rsidRDefault="007D5795" w:rsidP="007D5795">
      <w:pPr>
        <w:pStyle w:val="TextoNormalNegritaCursivandice"/>
        <w:keepNext/>
      </w:pPr>
      <w:r>
        <w:t>Comunidad Autónoma de Cataluña. Decreto-ley 15/2021, de 6 de julio, de creación del fondo complementario de riesgos de la Generalitat de Cataluña</w:t>
      </w:r>
    </w:p>
    <w:p w14:paraId="7F8CA4BB" w14:textId="13FA0DC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1" w:history="1">
        <w:r w:rsidRPr="007D5795">
          <w:rPr>
            <w:rStyle w:val="TextoNormalCaracter"/>
          </w:rPr>
          <w:t>121/2024</w:t>
        </w:r>
      </w:hyperlink>
      <w:r>
        <w:t xml:space="preserve"> (anula).</w:t>
      </w:r>
    </w:p>
    <w:p w14:paraId="18AAB878" w14:textId="3DFA8BD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7" w:history="1">
        <w:r w:rsidRPr="007D5795">
          <w:rPr>
            <w:rStyle w:val="TextoNormalCaracter"/>
          </w:rPr>
          <w:t>127/2024</w:t>
        </w:r>
      </w:hyperlink>
      <w:r>
        <w:t>.</w:t>
      </w:r>
    </w:p>
    <w:p w14:paraId="20E9B726" w14:textId="4123E23B" w:rsidR="007D5795" w:rsidRDefault="007D5795" w:rsidP="007D5795">
      <w:pPr>
        <w:pStyle w:val="SangriaFrancesaArticulo"/>
      </w:pPr>
    </w:p>
    <w:p w14:paraId="71C08192" w14:textId="77777777" w:rsidR="007D5795" w:rsidRDefault="007D5795" w:rsidP="007D5795">
      <w:pPr>
        <w:pStyle w:val="TextoNormalNegritaCursivandice"/>
        <w:keepNext/>
      </w:pPr>
      <w:r>
        <w:t>Comunidad Autónoma de Cataluña. Ley 1/2022, de 3 de marzo, de modificación de la Ley 18/2007, la Ley 24/2015 y la Ley 4/2016, para afrontar la emergencia en el ámbito de la vivienda</w:t>
      </w:r>
    </w:p>
    <w:p w14:paraId="280E978C" w14:textId="7293CD2A"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 </w:t>
      </w:r>
      <w:hyperlink w:anchor="SENTENCIA_2024_120" w:history="1">
        <w:r w:rsidRPr="007D5795">
          <w:rPr>
            <w:rStyle w:val="TextoNormalCaracter"/>
          </w:rPr>
          <w:t>120/2024</w:t>
        </w:r>
      </w:hyperlink>
      <w:r>
        <w:t>.</w:t>
      </w:r>
    </w:p>
    <w:p w14:paraId="659ABF2F" w14:textId="6D19A22B" w:rsidR="007D5795" w:rsidRDefault="007D5795" w:rsidP="007D5795">
      <w:pPr>
        <w:pStyle w:val="SangriaFrancesaArticulo"/>
      </w:pPr>
      <w:r w:rsidRPr="007D5795">
        <w:rPr>
          <w:rStyle w:val="TextoNormalNegritaCaracter"/>
        </w:rPr>
        <w:t>Artículo 1.3.</w:t>
      </w:r>
      <w:r w:rsidRPr="007D5795">
        <w:rPr>
          <w:rStyle w:val="TextoNormalCaracter"/>
        </w:rPr>
        <w:t>-</w:t>
      </w:r>
      <w:r>
        <w:t xml:space="preserve"> Sentencia </w:t>
      </w:r>
      <w:hyperlink w:anchor="SENTENCIA_2024_120" w:history="1">
        <w:r w:rsidRPr="007D5795">
          <w:rPr>
            <w:rStyle w:val="TextoNormalCaracter"/>
          </w:rPr>
          <w:t>120/2024</w:t>
        </w:r>
      </w:hyperlink>
      <w:r>
        <w:t xml:space="preserve"> (anula).</w:t>
      </w:r>
    </w:p>
    <w:p w14:paraId="1F5766B2" w14:textId="64B988E4" w:rsidR="007D5795" w:rsidRDefault="007D5795" w:rsidP="007D5795">
      <w:pPr>
        <w:pStyle w:val="SangriaFrancesaArticulo"/>
      </w:pPr>
      <w:r w:rsidRPr="007D5795">
        <w:rPr>
          <w:rStyle w:val="TextoNormalNegritaCaracter"/>
        </w:rPr>
        <w:t>Artículo 7.</w:t>
      </w:r>
      <w:r w:rsidRPr="007D5795">
        <w:rPr>
          <w:rStyle w:val="TextoNormalCaracter"/>
        </w:rPr>
        <w:t>-</w:t>
      </w:r>
      <w:r>
        <w:t xml:space="preserve"> Sentencia </w:t>
      </w:r>
      <w:hyperlink w:anchor="SENTENCIA_2024_120" w:history="1">
        <w:r w:rsidRPr="007D5795">
          <w:rPr>
            <w:rStyle w:val="TextoNormalCaracter"/>
          </w:rPr>
          <w:t>120/2024</w:t>
        </w:r>
      </w:hyperlink>
      <w:r>
        <w:t xml:space="preserve"> (anula).</w:t>
      </w:r>
    </w:p>
    <w:p w14:paraId="5788819D" w14:textId="39EB4FFF" w:rsidR="007D5795" w:rsidRDefault="007D5795" w:rsidP="007D5795">
      <w:pPr>
        <w:pStyle w:val="SangriaFrancesaArticulo"/>
      </w:pPr>
      <w:r w:rsidRPr="007D5795">
        <w:rPr>
          <w:rStyle w:val="TextoNormalNegritaCaracter"/>
        </w:rPr>
        <w:t>Artículo 8.</w:t>
      </w:r>
      <w:r w:rsidRPr="007D5795">
        <w:rPr>
          <w:rStyle w:val="TextoNormalCaracter"/>
        </w:rPr>
        <w:t>-</w:t>
      </w:r>
      <w:r>
        <w:t xml:space="preserve"> Sentencia </w:t>
      </w:r>
      <w:hyperlink w:anchor="SENTENCIA_2024_120" w:history="1">
        <w:r w:rsidRPr="007D5795">
          <w:rPr>
            <w:rStyle w:val="TextoNormalCaracter"/>
          </w:rPr>
          <w:t>120/2024</w:t>
        </w:r>
      </w:hyperlink>
      <w:r>
        <w:t>.</w:t>
      </w:r>
    </w:p>
    <w:p w14:paraId="217C388B" w14:textId="2C07C93A" w:rsidR="007D5795" w:rsidRDefault="007D5795" w:rsidP="007D5795">
      <w:pPr>
        <w:pStyle w:val="SangriaFrancesaArticulo"/>
      </w:pPr>
      <w:r w:rsidRPr="007D5795">
        <w:rPr>
          <w:rStyle w:val="TextoNormalNegritaCaracter"/>
        </w:rPr>
        <w:t>Artículo 9.2.</w:t>
      </w:r>
      <w:r w:rsidRPr="007D5795">
        <w:rPr>
          <w:rStyle w:val="TextoNormalCaracter"/>
        </w:rPr>
        <w:t>-</w:t>
      </w:r>
      <w:r>
        <w:t xml:space="preserve"> Sentencia </w:t>
      </w:r>
      <w:hyperlink w:anchor="SENTENCIA_2024_120" w:history="1">
        <w:r w:rsidRPr="007D5795">
          <w:rPr>
            <w:rStyle w:val="TextoNormalCaracter"/>
          </w:rPr>
          <w:t>120/2024</w:t>
        </w:r>
      </w:hyperlink>
      <w:r>
        <w:t>.</w:t>
      </w:r>
    </w:p>
    <w:p w14:paraId="48B63B98" w14:textId="732A5FC5" w:rsidR="007D5795" w:rsidRDefault="007D5795" w:rsidP="007D5795">
      <w:pPr>
        <w:pStyle w:val="SangriaFrancesaArticulo"/>
      </w:pPr>
      <w:r w:rsidRPr="007D5795">
        <w:rPr>
          <w:rStyle w:val="TextoNormalNegritaCaracter"/>
        </w:rPr>
        <w:t>Artículo 10.</w:t>
      </w:r>
      <w:r w:rsidRPr="007D5795">
        <w:rPr>
          <w:rStyle w:val="TextoNormalCaracter"/>
        </w:rPr>
        <w:t>-</w:t>
      </w:r>
      <w:r>
        <w:t xml:space="preserve"> Sentencia </w:t>
      </w:r>
      <w:hyperlink w:anchor="SENTENCIA_2024_120" w:history="1">
        <w:r w:rsidRPr="007D5795">
          <w:rPr>
            <w:rStyle w:val="TextoNormalCaracter"/>
          </w:rPr>
          <w:t>120/2024</w:t>
        </w:r>
      </w:hyperlink>
      <w:r>
        <w:t>.</w:t>
      </w:r>
    </w:p>
    <w:p w14:paraId="0D4B6E88" w14:textId="17F7A988"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 </w:t>
      </w:r>
      <w:hyperlink w:anchor="SENTENCIA_2024_120" w:history="1">
        <w:r w:rsidRPr="007D5795">
          <w:rPr>
            <w:rStyle w:val="TextoNormalCaracter"/>
          </w:rPr>
          <w:t>120/2024</w:t>
        </w:r>
      </w:hyperlink>
      <w:r>
        <w:t xml:space="preserve"> (anula).</w:t>
      </w:r>
    </w:p>
    <w:p w14:paraId="759BE68B" w14:textId="21E24648" w:rsidR="007D5795" w:rsidRDefault="007D5795" w:rsidP="007D5795">
      <w:pPr>
        <w:pStyle w:val="SangriaFrancesaArticulo"/>
      </w:pPr>
      <w:r w:rsidRPr="007D5795">
        <w:rPr>
          <w:rStyle w:val="TextoNormalNegritaCaracter"/>
        </w:rPr>
        <w:t>Artículo 12.</w:t>
      </w:r>
      <w:r w:rsidRPr="007D5795">
        <w:rPr>
          <w:rStyle w:val="TextoNormalCaracter"/>
        </w:rPr>
        <w:t>-</w:t>
      </w:r>
      <w:r>
        <w:t xml:space="preserve"> Sentencia </w:t>
      </w:r>
      <w:hyperlink w:anchor="SENTENCIA_2024_120" w:history="1">
        <w:r w:rsidRPr="007D5795">
          <w:rPr>
            <w:rStyle w:val="TextoNormalCaracter"/>
          </w:rPr>
          <w:t>120/2024</w:t>
        </w:r>
      </w:hyperlink>
      <w:r>
        <w:t xml:space="preserve"> (anula parcialmente).</w:t>
      </w:r>
    </w:p>
    <w:p w14:paraId="7908A379" w14:textId="4B24388C" w:rsidR="007D5795" w:rsidRDefault="007D5795" w:rsidP="007D5795">
      <w:pPr>
        <w:pStyle w:val="SangriaFrancesaArticulo"/>
      </w:pPr>
      <w:r w:rsidRPr="007D5795">
        <w:rPr>
          <w:rStyle w:val="TextoNormalNegritaCaracter"/>
        </w:rPr>
        <w:t>Artículo 12.</w:t>
      </w:r>
      <w:r w:rsidRPr="007D5795">
        <w:rPr>
          <w:rStyle w:val="TextoNormalCaracter"/>
        </w:rPr>
        <w:t>-</w:t>
      </w:r>
      <w:r>
        <w:t xml:space="preserve"> Sentencia </w:t>
      </w:r>
      <w:hyperlink w:anchor="SENTENCIA_2024_130" w:history="1">
        <w:r w:rsidRPr="007D5795">
          <w:rPr>
            <w:rStyle w:val="TextoNormalCaracter"/>
          </w:rPr>
          <w:t>130/2024</w:t>
        </w:r>
      </w:hyperlink>
      <w:r>
        <w:t>.</w:t>
      </w:r>
    </w:p>
    <w:p w14:paraId="4A4A08FA" w14:textId="46AACDDF" w:rsidR="007D5795" w:rsidRDefault="007D5795" w:rsidP="007D5795">
      <w:pPr>
        <w:pStyle w:val="SangriaFrancesaArticulo"/>
      </w:pPr>
      <w:r w:rsidRPr="007D5795">
        <w:rPr>
          <w:rStyle w:val="TextoNormalNegritaCaracter"/>
        </w:rPr>
        <w:t>Disposición transitoria.</w:t>
      </w:r>
      <w:r w:rsidRPr="007D5795">
        <w:rPr>
          <w:rStyle w:val="TextoNormalCaracter"/>
        </w:rPr>
        <w:t>-</w:t>
      </w:r>
      <w:r>
        <w:t xml:space="preserve"> Sentencia </w:t>
      </w:r>
      <w:hyperlink w:anchor="SENTENCIA_2024_120" w:history="1">
        <w:r w:rsidRPr="007D5795">
          <w:rPr>
            <w:rStyle w:val="TextoNormalCaracter"/>
          </w:rPr>
          <w:t>120/2024</w:t>
        </w:r>
      </w:hyperlink>
      <w:r>
        <w:t xml:space="preserve"> (anula).</w:t>
      </w:r>
    </w:p>
    <w:p w14:paraId="0104FCF4" w14:textId="3768CB3F" w:rsidR="007D5795" w:rsidRDefault="007D5795" w:rsidP="007D5795">
      <w:pPr>
        <w:pStyle w:val="TextoNormal"/>
      </w:pPr>
    </w:p>
    <w:p w14:paraId="195DE714" w14:textId="77777777" w:rsidR="007D5795" w:rsidRDefault="007D5795" w:rsidP="007D5795">
      <w:pPr>
        <w:pStyle w:val="TextoNormalNegritaCentrado"/>
        <w:suppressAutoHyphens/>
      </w:pPr>
      <w:r w:rsidRPr="007D5795">
        <w:rPr>
          <w:rStyle w:val="TextoNormalNegritaCentradoSombreado"/>
        </w:rPr>
        <w:t>B.5) Galicia</w:t>
      </w:r>
    </w:p>
    <w:p w14:paraId="1FDBC27B" w14:textId="4CC0BEA0" w:rsidR="007D5795" w:rsidRDefault="007D5795" w:rsidP="007D5795">
      <w:pPr>
        <w:pStyle w:val="TextoNormalNegritaCentrado"/>
      </w:pPr>
    </w:p>
    <w:p w14:paraId="1B985C67" w14:textId="77777777" w:rsidR="007D5795" w:rsidRDefault="007D5795" w:rsidP="007D5795">
      <w:pPr>
        <w:pStyle w:val="TextoNormalNegritaCursivandice"/>
        <w:keepNext/>
      </w:pPr>
      <w:r>
        <w:t>Comunidad Autónoma de Galicia. Ley 8/2008, de 10 de julio, de salud de Galicia</w:t>
      </w:r>
    </w:p>
    <w:p w14:paraId="164D2C79" w14:textId="154A11BB" w:rsidR="007D5795" w:rsidRDefault="007D5795" w:rsidP="007D5795">
      <w:pPr>
        <w:pStyle w:val="SangriaFrancesaArticulo"/>
      </w:pPr>
      <w:r w:rsidRPr="007D5795">
        <w:rPr>
          <w:rStyle w:val="TextoNormalNegritaCaracter"/>
        </w:rPr>
        <w:t>Artículo 38.2 b) inciso 2</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xml:space="preserve"> (anula).</w:t>
      </w:r>
    </w:p>
    <w:p w14:paraId="298EFABB" w14:textId="2DFF899D" w:rsidR="007D5795" w:rsidRDefault="007D5795" w:rsidP="007D5795">
      <w:pPr>
        <w:pStyle w:val="SangriaFrancesaArticulo"/>
      </w:pPr>
      <w:r w:rsidRPr="007D5795">
        <w:rPr>
          <w:rStyle w:val="TextoNormalNegritaCaracter"/>
        </w:rPr>
        <w:t>Artículo 41 bis c), d), e) y f)</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xml:space="preserve"> (anula).</w:t>
      </w:r>
    </w:p>
    <w:p w14:paraId="539FC511" w14:textId="6875BAA1" w:rsidR="007D5795" w:rsidRDefault="007D5795" w:rsidP="007D5795">
      <w:pPr>
        <w:pStyle w:val="SangriaFrancesaArticulo"/>
      </w:pPr>
      <w:r w:rsidRPr="007D5795">
        <w:rPr>
          <w:rStyle w:val="TextoNormalNegritaCaracter"/>
        </w:rPr>
        <w:t>Artículo 42 bis d)</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xml:space="preserve"> (anula).</w:t>
      </w:r>
    </w:p>
    <w:p w14:paraId="72C9700A" w14:textId="7DAF55B1" w:rsidR="007D5795" w:rsidRDefault="007D5795" w:rsidP="007D5795">
      <w:pPr>
        <w:pStyle w:val="SangriaFrancesaArticulo"/>
      </w:pPr>
      <w:r w:rsidRPr="007D5795">
        <w:rPr>
          <w:rStyle w:val="TextoNormalNegritaCaracter"/>
        </w:rPr>
        <w:t>Artículo 42 bis e)</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xml:space="preserve"> (anula).</w:t>
      </w:r>
    </w:p>
    <w:p w14:paraId="6E163BEE" w14:textId="2B19ABC0" w:rsidR="007D5795" w:rsidRDefault="007D5795" w:rsidP="007D5795">
      <w:pPr>
        <w:pStyle w:val="SangriaFrancesaArticulo"/>
      </w:pPr>
      <w:r w:rsidRPr="007D5795">
        <w:rPr>
          <w:rStyle w:val="TextoNormalNegritaCaracter"/>
        </w:rPr>
        <w:t>Artículo 42 bis inciso "c), d),  f)"</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xml:space="preserve"> (anula).</w:t>
      </w:r>
    </w:p>
    <w:p w14:paraId="538F9433" w14:textId="01100215" w:rsidR="007D5795" w:rsidRDefault="007D5795" w:rsidP="007D5795">
      <w:pPr>
        <w:pStyle w:val="SangriaFrancesaArticulo"/>
      </w:pPr>
      <w:r w:rsidRPr="007D5795">
        <w:rPr>
          <w:rStyle w:val="TextoNormalNegritaCaracter"/>
        </w:rPr>
        <w:t>Artículo 43 bis b)</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xml:space="preserve"> (anula).</w:t>
      </w:r>
    </w:p>
    <w:p w14:paraId="502CFC3F" w14:textId="17A2E1F6" w:rsidR="007D5795" w:rsidRDefault="007D5795" w:rsidP="007D5795">
      <w:pPr>
        <w:pStyle w:val="SangriaFrancesaArticulo"/>
      </w:pPr>
      <w:r w:rsidRPr="007D5795">
        <w:rPr>
          <w:rStyle w:val="TextoNormalNegritaCaracter"/>
        </w:rPr>
        <w:t>Artículo 43 bis c)</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xml:space="preserve"> (anula).</w:t>
      </w:r>
    </w:p>
    <w:p w14:paraId="6EE6468C" w14:textId="132D694A" w:rsidR="007D5795" w:rsidRDefault="007D5795" w:rsidP="007D5795">
      <w:pPr>
        <w:pStyle w:val="SangriaFrancesaArticulo"/>
      </w:pPr>
    </w:p>
    <w:p w14:paraId="00672B2A" w14:textId="77777777" w:rsidR="007D5795" w:rsidRDefault="007D5795" w:rsidP="007D5795">
      <w:pPr>
        <w:pStyle w:val="TextoNormalNegritaCursivandice"/>
        <w:keepNext/>
      </w:pPr>
      <w:r>
        <w:t>Comunidad Autónoma de Galicia. Ley 8/2021, de 25 de febrero, de modificación de la Ley 8/2008, de 10 de julio, de salud de Galicia</w:t>
      </w:r>
    </w:p>
    <w:p w14:paraId="07261432" w14:textId="6390A35C" w:rsidR="007D5795" w:rsidRDefault="007D5795" w:rsidP="007D5795">
      <w:pPr>
        <w:pStyle w:val="SangriaFrancesaArticulo"/>
      </w:pPr>
      <w:r w:rsidRPr="007D5795">
        <w:rPr>
          <w:rStyle w:val="TextoNormalNegritaCaracter"/>
        </w:rPr>
        <w:t>Artículo único, apartado 5.</w:t>
      </w:r>
      <w:r w:rsidRPr="007D5795">
        <w:rPr>
          <w:rStyle w:val="TextoNormalCaracter"/>
        </w:rPr>
        <w:t>-</w:t>
      </w:r>
      <w:r>
        <w:t xml:space="preserve"> Sentencia </w:t>
      </w:r>
      <w:hyperlink w:anchor="SENTENCIA_2024_136" w:history="1">
        <w:r w:rsidRPr="007D5795">
          <w:rPr>
            <w:rStyle w:val="TextoNormalCaracter"/>
          </w:rPr>
          <w:t>136/2024</w:t>
        </w:r>
      </w:hyperlink>
      <w:r>
        <w:t xml:space="preserve"> (anula parcialmente).</w:t>
      </w:r>
    </w:p>
    <w:p w14:paraId="558B4F90" w14:textId="5C781E0F" w:rsidR="007D5795" w:rsidRDefault="007D5795" w:rsidP="007D5795">
      <w:pPr>
        <w:pStyle w:val="TextoNormal"/>
      </w:pPr>
    </w:p>
    <w:p w14:paraId="640DAC68" w14:textId="77777777" w:rsidR="007D5795" w:rsidRDefault="007D5795" w:rsidP="007D5795">
      <w:pPr>
        <w:pStyle w:val="TextoNormalNegritaCentrado"/>
        <w:suppressAutoHyphens/>
      </w:pPr>
      <w:r w:rsidRPr="007D5795">
        <w:rPr>
          <w:rStyle w:val="TextoNormalNegritaCentradoSombreado"/>
        </w:rPr>
        <w:t>B.6) Madrid</w:t>
      </w:r>
    </w:p>
    <w:p w14:paraId="6D6F516F" w14:textId="62940842" w:rsidR="007D5795" w:rsidRDefault="007D5795" w:rsidP="007D5795">
      <w:pPr>
        <w:pStyle w:val="TextoNormalNegritaCentrado"/>
      </w:pPr>
    </w:p>
    <w:p w14:paraId="0BE56774" w14:textId="77777777" w:rsidR="007D5795" w:rsidRDefault="007D5795" w:rsidP="007D5795">
      <w:pPr>
        <w:pStyle w:val="TextoNormalNegritaCursivandice"/>
        <w:keepNext/>
      </w:pPr>
      <w:r>
        <w:t>Comunidad de Madrid. Ley 2/2016, de 29 de marzo, de identidad y expresión de género e igualdad social y no discriminación de la Comunidad de Madrid</w:t>
      </w:r>
    </w:p>
    <w:p w14:paraId="7A6FF618" w14:textId="0D149D81" w:rsidR="007D5795" w:rsidRDefault="007D5795" w:rsidP="007D5795">
      <w:pPr>
        <w:pStyle w:val="SangriaFrancesaArticulo"/>
      </w:pPr>
      <w:r w:rsidRPr="007D5795">
        <w:rPr>
          <w:rStyle w:val="TextoNormalNegritaCaracter"/>
        </w:rPr>
        <w:t>Artículo 13.3</w:t>
      </w:r>
      <w:r>
        <w:t xml:space="preserve"> (redactado por la Ley 17/2023, de 27 de diciembre)</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w:t>
      </w:r>
    </w:p>
    <w:p w14:paraId="72BDD93A" w14:textId="6BA02642" w:rsidR="007D5795" w:rsidRDefault="007D5795" w:rsidP="007D5795">
      <w:pPr>
        <w:pStyle w:val="SangriaFrancesaArticulo"/>
      </w:pPr>
      <w:r w:rsidRPr="007D5795">
        <w:rPr>
          <w:rStyle w:val="TextoNormalNegritaCaracter"/>
        </w:rPr>
        <w:t>Artículo 14.2 b)</w:t>
      </w:r>
      <w:r>
        <w:t xml:space="preserve"> (redactado por la Ley 17/2023, de 27 de diciembre)</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w:t>
      </w:r>
    </w:p>
    <w:p w14:paraId="547B3F8F" w14:textId="068FF9C9" w:rsidR="007D5795" w:rsidRDefault="007D5795" w:rsidP="007D5795">
      <w:pPr>
        <w:pStyle w:val="SangriaFrancesaArticulo"/>
      </w:pPr>
      <w:r w:rsidRPr="007D5795">
        <w:rPr>
          <w:rStyle w:val="TextoNormalNegritaCaracter"/>
        </w:rPr>
        <w:t>Artículo 23.1 f)</w:t>
      </w:r>
      <w:r>
        <w:t xml:space="preserve"> (redactado por la Ley 17/2023, de 27 de diciembre)</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w:t>
      </w:r>
    </w:p>
    <w:p w14:paraId="559BD42D" w14:textId="7D8D4976" w:rsidR="007D5795" w:rsidRDefault="007D5795" w:rsidP="007D5795">
      <w:pPr>
        <w:pStyle w:val="SangriaFrancesaArticulo"/>
      </w:pPr>
      <w:r w:rsidRPr="007D5795">
        <w:rPr>
          <w:rStyle w:val="TextoNormalNegritaCaracter"/>
        </w:rPr>
        <w:t>Artículo 30.5</w:t>
      </w:r>
      <w:r>
        <w:t xml:space="preserve"> (redactado por la Ley 17/2023, de 27 de diciembre)</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w:t>
      </w:r>
    </w:p>
    <w:p w14:paraId="5AF35219" w14:textId="7A1FA0C8" w:rsidR="007D5795" w:rsidRDefault="007D5795" w:rsidP="007D5795">
      <w:pPr>
        <w:pStyle w:val="SangriaFrancesaArticulo"/>
      </w:pPr>
      <w:r w:rsidRPr="007D5795">
        <w:rPr>
          <w:rStyle w:val="TextoNormalNegritaCaracter"/>
        </w:rPr>
        <w:t>Artículo 47 d)</w:t>
      </w:r>
      <w:r>
        <w:t xml:space="preserve"> (redactado por la Ley 17/2023, de 27 de diciembre)</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w:t>
      </w:r>
    </w:p>
    <w:p w14:paraId="5ACF01A2" w14:textId="527E864E" w:rsidR="007D5795" w:rsidRDefault="007D5795" w:rsidP="007D5795">
      <w:pPr>
        <w:pStyle w:val="SangriaFrancesaArticulo"/>
      </w:pPr>
    </w:p>
    <w:p w14:paraId="1369EBA3" w14:textId="77777777" w:rsidR="007D5795" w:rsidRDefault="007D5795" w:rsidP="007D5795">
      <w:pPr>
        <w:pStyle w:val="TextoNormalNegritaCursivandice"/>
        <w:keepNext/>
      </w:pPr>
      <w:r>
        <w:t>Comunidad de Madrid. Ley 3/2016, de 22 de julio, de protección integral contra LGTBIfobia y la discriminación por razón de orientación e identidad sexual en la Comunidad de Madrid</w:t>
      </w:r>
    </w:p>
    <w:p w14:paraId="6E61998F" w14:textId="26120348" w:rsidR="007D5795" w:rsidRDefault="007D5795" w:rsidP="007D5795">
      <w:pPr>
        <w:pStyle w:val="SangriaFrancesaArticulo"/>
      </w:pPr>
      <w:r w:rsidRPr="007D5795">
        <w:rPr>
          <w:rStyle w:val="TextoNormalNegritaCaracter"/>
        </w:rPr>
        <w:t>Artículo 65 d)</w:t>
      </w:r>
      <w:r>
        <w:t xml:space="preserve"> (redactado por la Ley 18/2023, de 27 de diciembre)</w:t>
      </w:r>
      <w:r w:rsidRPr="007D5795">
        <w:rPr>
          <w:rStyle w:val="TextoNormalNegritaCaracter"/>
        </w:rPr>
        <w:t>.</w:t>
      </w:r>
      <w:r w:rsidRPr="007D5795">
        <w:rPr>
          <w:rStyle w:val="TextoNormalCaracter"/>
        </w:rPr>
        <w:t>-</w:t>
      </w:r>
      <w:r>
        <w:t xml:space="preserve"> Auto </w:t>
      </w:r>
      <w:hyperlink w:anchor="AUTO_2024_127" w:history="1">
        <w:r w:rsidRPr="007D5795">
          <w:rPr>
            <w:rStyle w:val="TextoNormalCaracter"/>
          </w:rPr>
          <w:t>127/2024</w:t>
        </w:r>
      </w:hyperlink>
      <w:r>
        <w:t>.</w:t>
      </w:r>
    </w:p>
    <w:p w14:paraId="4076D630" w14:textId="2A03C9CD" w:rsidR="007D5795" w:rsidRDefault="007D5795" w:rsidP="007D5795">
      <w:pPr>
        <w:pStyle w:val="SangriaFrancesaArticulo"/>
      </w:pPr>
    </w:p>
    <w:p w14:paraId="0677A9DD" w14:textId="77777777" w:rsidR="007D5795" w:rsidRDefault="007D5795" w:rsidP="007D5795">
      <w:pPr>
        <w:pStyle w:val="TextoNormalNegritaCursivandice"/>
        <w:keepNext/>
      </w:pPr>
      <w:r>
        <w:t>Comunidad de Madrid. Ley 17/2023, de 27 de diciembre, por la que se modifica la Ley 2/2016, de 29 de marzo, de identidad y expresión de género e igualdad social y no discriminación de la Comunidad de Madrid</w:t>
      </w:r>
    </w:p>
    <w:p w14:paraId="392EAD7C" w14:textId="16AE4C77" w:rsidR="007D5795" w:rsidRDefault="007D5795" w:rsidP="007D5795">
      <w:pPr>
        <w:pStyle w:val="SangriaFrancesaArticulo"/>
      </w:pPr>
      <w:r w:rsidRPr="007D5795">
        <w:rPr>
          <w:rStyle w:val="TextoNormalNegritaCaracter"/>
        </w:rPr>
        <w:t>Artículo único apartados 11, 12, 15 y 22 bis.</w:t>
      </w:r>
      <w:r w:rsidRPr="007D5795">
        <w:rPr>
          <w:rStyle w:val="TextoNormalCaracter"/>
        </w:rPr>
        <w:t>-</w:t>
      </w:r>
      <w:r>
        <w:t xml:space="preserve"> Auto </w:t>
      </w:r>
      <w:hyperlink w:anchor="AUTO_2024_126" w:history="1">
        <w:r w:rsidRPr="007D5795">
          <w:rPr>
            <w:rStyle w:val="TextoNormalCaracter"/>
          </w:rPr>
          <w:t>126/2024</w:t>
        </w:r>
      </w:hyperlink>
      <w:r>
        <w:t>.</w:t>
      </w:r>
    </w:p>
    <w:p w14:paraId="493A77C6" w14:textId="6311B3E1" w:rsidR="007D5795" w:rsidRDefault="007D5795" w:rsidP="007D5795">
      <w:pPr>
        <w:pStyle w:val="SangriaFrancesaArticulo"/>
      </w:pPr>
    </w:p>
    <w:p w14:paraId="6A8B5C38" w14:textId="77777777" w:rsidR="007D5795" w:rsidRDefault="007D5795" w:rsidP="007D5795">
      <w:pPr>
        <w:pStyle w:val="TextoNormalNegritaCursivandice"/>
        <w:keepNext/>
      </w:pPr>
      <w:r>
        <w:t>Comunidad de Madrid. Ley 18/2023, de 27 de diciembre, por la que se modifica la Ley 3/2016, de 22 de julio, de protección integral contra la LGTBIfobia y la discriminación por razón de orientación e identidad sexual en la Comunidad de Madrid</w:t>
      </w:r>
    </w:p>
    <w:p w14:paraId="1EB027D0" w14:textId="002DD056" w:rsidR="007D5795" w:rsidRDefault="007D5795" w:rsidP="007D5795">
      <w:pPr>
        <w:pStyle w:val="SangriaFrancesaArticulo"/>
      </w:pPr>
      <w:r w:rsidRPr="007D5795">
        <w:rPr>
          <w:rStyle w:val="TextoNormalNegritaCaracter"/>
        </w:rPr>
        <w:t>Artículo único apartado 14 ter.</w:t>
      </w:r>
      <w:r w:rsidRPr="007D5795">
        <w:rPr>
          <w:rStyle w:val="TextoNormalCaracter"/>
        </w:rPr>
        <w:t>-</w:t>
      </w:r>
      <w:r>
        <w:t xml:space="preserve"> Auto </w:t>
      </w:r>
      <w:hyperlink w:anchor="AUTO_2024_127" w:history="1">
        <w:r w:rsidRPr="007D5795">
          <w:rPr>
            <w:rStyle w:val="TextoNormalCaracter"/>
          </w:rPr>
          <w:t>127/2024</w:t>
        </w:r>
      </w:hyperlink>
      <w:r>
        <w:t>.</w:t>
      </w:r>
    </w:p>
    <w:p w14:paraId="688D7801" w14:textId="1641A564" w:rsidR="007D5795" w:rsidRDefault="007D5795">
      <w:pPr>
        <w:spacing w:after="160" w:line="278" w:lineRule="auto"/>
        <w:rPr>
          <w:rFonts w:ascii="Times New Roman" w:eastAsia="Times New Roman" w:hAnsi="Times New Roman" w:cs="Times New Roman"/>
          <w:sz w:val="24"/>
          <w:szCs w:val="24"/>
          <w:lang w:eastAsia="es-ES"/>
        </w:rPr>
      </w:pPr>
      <w:r>
        <w:br w:type="page"/>
      </w:r>
    </w:p>
    <w:p w14:paraId="6F72BDCC" w14:textId="77777777" w:rsidR="007D5795" w:rsidRDefault="007D5795" w:rsidP="007D5795">
      <w:pPr>
        <w:pStyle w:val="SangriaFrancesaArticulo"/>
      </w:pPr>
    </w:p>
    <w:p w14:paraId="2BB0F861" w14:textId="77777777" w:rsidR="007D5795" w:rsidRDefault="007D5795" w:rsidP="007D5795">
      <w:pPr>
        <w:pStyle w:val="TextoNormal"/>
      </w:pPr>
    </w:p>
    <w:p w14:paraId="7FC87691" w14:textId="77777777" w:rsidR="007D5795" w:rsidRDefault="007D5795" w:rsidP="007D5795">
      <w:pPr>
        <w:pStyle w:val="TextoNormal"/>
      </w:pPr>
    </w:p>
    <w:p w14:paraId="7AB16FA7" w14:textId="77777777" w:rsidR="007D5795" w:rsidRDefault="007D5795" w:rsidP="007D5795">
      <w:pPr>
        <w:pStyle w:val="TextoNormal"/>
      </w:pPr>
    </w:p>
    <w:p w14:paraId="6265BF05" w14:textId="77777777" w:rsidR="007D5795" w:rsidRDefault="007D5795" w:rsidP="007D5795">
      <w:pPr>
        <w:pStyle w:val="Ttulondice"/>
        <w:suppressAutoHyphens/>
      </w:pPr>
      <w:r>
        <w:t>4. ÍNDICE DE DISPOSICIONES GENERALES Y RESOLUCIONES IMPUGNADAS</w:t>
      </w:r>
    </w:p>
    <w:p w14:paraId="427EADD3" w14:textId="10DF5252" w:rsidR="007D5795" w:rsidRDefault="007D5795" w:rsidP="007D5795">
      <w:pPr>
        <w:pStyle w:val="TextoNormal"/>
        <w:suppressAutoHyphens/>
      </w:pPr>
    </w:p>
    <w:p w14:paraId="5955B54A" w14:textId="77777777" w:rsidR="007D5795" w:rsidRDefault="007D5795" w:rsidP="007D5795">
      <w:pPr>
        <w:pStyle w:val="TextoNormal"/>
        <w:suppressAutoHyphens/>
      </w:pPr>
    </w:p>
    <w:p w14:paraId="79FEAE7E" w14:textId="77777777" w:rsidR="007D5795" w:rsidRDefault="007D5795" w:rsidP="007D5795">
      <w:pPr>
        <w:pStyle w:val="TextoNormal"/>
        <w:suppressAutoHyphens/>
      </w:pPr>
    </w:p>
    <w:p w14:paraId="50607D2C" w14:textId="77777777" w:rsidR="007D5795" w:rsidRDefault="007D5795" w:rsidP="007D5795">
      <w:pPr>
        <w:pStyle w:val="TextoNormal"/>
        <w:suppressAutoHyphens/>
      </w:pPr>
    </w:p>
    <w:p w14:paraId="71946539" w14:textId="77777777" w:rsidR="007D5795" w:rsidRDefault="007D5795" w:rsidP="007D5795">
      <w:pPr>
        <w:pStyle w:val="TextoNormal"/>
        <w:suppressAutoHyphens/>
      </w:pPr>
    </w:p>
    <w:p w14:paraId="3A87D77F" w14:textId="77777777" w:rsidR="007D5795" w:rsidRDefault="007D5795" w:rsidP="007D5795">
      <w:pPr>
        <w:pStyle w:val="TextoNormal"/>
        <w:suppressAutoHyphens/>
      </w:pPr>
    </w:p>
    <w:p w14:paraId="54C72013" w14:textId="77777777" w:rsidR="007D5795" w:rsidRDefault="007D5795" w:rsidP="007D5795">
      <w:pPr>
        <w:pStyle w:val="TextoNormal"/>
        <w:suppressAutoHyphens/>
      </w:pPr>
    </w:p>
    <w:p w14:paraId="3857E827" w14:textId="77777777" w:rsidR="007D5795" w:rsidRDefault="007D5795" w:rsidP="007D5795">
      <w:pPr>
        <w:pStyle w:val="TextoNormal"/>
        <w:suppressAutoHyphens/>
      </w:pPr>
    </w:p>
    <w:p w14:paraId="70188CD9" w14:textId="77777777" w:rsidR="007D5795" w:rsidRDefault="007D5795" w:rsidP="007D5795">
      <w:pPr>
        <w:pStyle w:val="TextoNormal"/>
        <w:suppressAutoHyphens/>
      </w:pPr>
    </w:p>
    <w:p w14:paraId="50C9C11B" w14:textId="77777777" w:rsidR="007D5795" w:rsidRDefault="007D5795" w:rsidP="007D5795">
      <w:pPr>
        <w:pStyle w:val="TextoNormal"/>
      </w:pPr>
    </w:p>
    <w:p w14:paraId="533DAB33" w14:textId="77777777" w:rsidR="007D5795" w:rsidRDefault="007D5795" w:rsidP="007D5795">
      <w:pPr>
        <w:pStyle w:val="TextoNormal"/>
      </w:pPr>
      <w:bookmarkStart w:id="166" w:name="INDICE22803"/>
      <w:bookmarkEnd w:id="166"/>
    </w:p>
    <w:p w14:paraId="5969A1F0" w14:textId="77777777" w:rsidR="007D5795" w:rsidRDefault="007D5795" w:rsidP="007D5795">
      <w:pPr>
        <w:pStyle w:val="TextoIndiceNivel2"/>
        <w:suppressAutoHyphens/>
      </w:pPr>
      <w:r>
        <w:t>A) Disposiciones del Estado</w:t>
      </w:r>
    </w:p>
    <w:p w14:paraId="75E4DA0E" w14:textId="678E4E95" w:rsidR="007D5795" w:rsidRDefault="007D5795" w:rsidP="007D5795">
      <w:pPr>
        <w:pStyle w:val="TextoIndiceNivel2"/>
      </w:pPr>
    </w:p>
    <w:p w14:paraId="3BCFBA11" w14:textId="77777777" w:rsidR="007D5795" w:rsidRDefault="007D5795" w:rsidP="007D5795">
      <w:pPr>
        <w:pStyle w:val="TextoNormalNegritaCursivandice"/>
        <w:keepNext/>
      </w:pPr>
      <w:r>
        <w:t>Acuerdo 2/2020, de 3 de enero, de la Junta Electoral Central en relación con la causa de inelegibilidad sobrevenida a que se refiere el artículo 6.2 b) LOREG, que deja sin efecto la credencial de diputado electo del presidente de la Generalitat de Cataluña</w:t>
      </w:r>
    </w:p>
    <w:p w14:paraId="5B8AB478" w14:textId="7CEB0F4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52" w:history="1">
        <w:r w:rsidRPr="007D5795">
          <w:rPr>
            <w:rStyle w:val="TextoNormalCaracter"/>
          </w:rPr>
          <w:t>152/2024</w:t>
        </w:r>
      </w:hyperlink>
      <w:r>
        <w:t>.</w:t>
      </w:r>
    </w:p>
    <w:p w14:paraId="505CECD3" w14:textId="17F63638" w:rsidR="007D5795" w:rsidRDefault="007D5795" w:rsidP="007D5795">
      <w:pPr>
        <w:pStyle w:val="SangriaFrancesaArticulo"/>
      </w:pPr>
    </w:p>
    <w:p w14:paraId="1B931F41" w14:textId="77777777" w:rsidR="007D5795" w:rsidRDefault="007D5795" w:rsidP="007D5795">
      <w:pPr>
        <w:pStyle w:val="TextoNormalNegritaCursivandice"/>
        <w:keepNext/>
      </w:pPr>
      <w:r>
        <w:t>Decisiones de 3 de febrero de 2022, de la presidenta del Congreso de los Diputados, en relación con incidencias en voto telemático</w:t>
      </w:r>
    </w:p>
    <w:p w14:paraId="3BB4DE77" w14:textId="463BAAB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14" w:history="1">
        <w:r w:rsidRPr="007D5795">
          <w:rPr>
            <w:rStyle w:val="TextoNormalCaracter"/>
          </w:rPr>
          <w:t>114/2024</w:t>
        </w:r>
      </w:hyperlink>
      <w:r>
        <w:t xml:space="preserve">; </w:t>
      </w:r>
      <w:hyperlink w:anchor="SENTENCIA_2024_129" w:history="1">
        <w:r w:rsidRPr="007D5795">
          <w:rPr>
            <w:rStyle w:val="TextoNormalCaracter"/>
          </w:rPr>
          <w:t>129/2024</w:t>
        </w:r>
      </w:hyperlink>
      <w:r>
        <w:t xml:space="preserve">; </w:t>
      </w:r>
      <w:hyperlink w:anchor="SENTENCIA_2024_137" w:history="1">
        <w:r w:rsidRPr="007D5795">
          <w:rPr>
            <w:rStyle w:val="TextoNormalCaracter"/>
          </w:rPr>
          <w:t>137/2024</w:t>
        </w:r>
      </w:hyperlink>
      <w:r>
        <w:t xml:space="preserve">; </w:t>
      </w:r>
      <w:hyperlink w:anchor="SENTENCIA_2024_138" w:history="1">
        <w:r w:rsidRPr="007D5795">
          <w:rPr>
            <w:rStyle w:val="TextoNormalCaracter"/>
          </w:rPr>
          <w:t>138/2024</w:t>
        </w:r>
      </w:hyperlink>
      <w:r>
        <w:t>.</w:t>
      </w:r>
    </w:p>
    <w:p w14:paraId="2F68E53D" w14:textId="662F3298" w:rsidR="007D5795" w:rsidRDefault="007D5795" w:rsidP="007D5795">
      <w:pPr>
        <w:pStyle w:val="SangriaFrancesaArticulo"/>
      </w:pPr>
    </w:p>
    <w:p w14:paraId="6A469AF6" w14:textId="77777777" w:rsidR="007D5795" w:rsidRDefault="007D5795" w:rsidP="007D5795">
      <w:pPr>
        <w:pStyle w:val="TextoNormalNegritaCursivandice"/>
        <w:keepNext/>
      </w:pPr>
      <w:r>
        <w:t>Acuerdo de la mesa del Congreso de los Diputados de 15 de febrero de 2022 por el que se desestima la revisión y reconsideración del acuerdo de la presidenta del Congreso de los Diputados de 3 de febrero de 2022. En relación con incidencias en voto telemático</w:t>
      </w:r>
    </w:p>
    <w:p w14:paraId="39A7E252" w14:textId="06F0AFB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8" w:history="1">
        <w:r w:rsidRPr="007D5795">
          <w:rPr>
            <w:rStyle w:val="TextoNormalCaracter"/>
          </w:rPr>
          <w:t>138/2024</w:t>
        </w:r>
      </w:hyperlink>
      <w:r>
        <w:t>.</w:t>
      </w:r>
    </w:p>
    <w:p w14:paraId="58041EAB" w14:textId="31197B9C" w:rsidR="007D5795" w:rsidRDefault="007D5795" w:rsidP="007D5795">
      <w:pPr>
        <w:pStyle w:val="SangriaFrancesaArticulo"/>
      </w:pPr>
    </w:p>
    <w:p w14:paraId="215A2F84" w14:textId="77777777" w:rsidR="007D5795" w:rsidRDefault="007D5795" w:rsidP="007D5795">
      <w:pPr>
        <w:pStyle w:val="TextoNormalNegritaCursivandice"/>
        <w:keepNext/>
      </w:pPr>
      <w:r>
        <w:t>Acuerdos de la mesa del Congreso de los Diputados de 8 de septiembre y de 18 de octubre de 2022, que desestimaron una solicitud respecto de una proposición de ley, así como su posterior reconsideración</w:t>
      </w:r>
    </w:p>
    <w:p w14:paraId="1F7D040C" w14:textId="29AA2D4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53" w:history="1">
        <w:r w:rsidRPr="007D5795">
          <w:rPr>
            <w:rStyle w:val="TextoNormalCaracter"/>
          </w:rPr>
          <w:t>153/2024</w:t>
        </w:r>
      </w:hyperlink>
      <w:r>
        <w:t>.</w:t>
      </w:r>
    </w:p>
    <w:p w14:paraId="2220306C" w14:textId="47EE63F2" w:rsidR="007D5795" w:rsidRDefault="007D5795" w:rsidP="007D5795">
      <w:pPr>
        <w:pStyle w:val="SangriaFrancesaArticulo"/>
      </w:pPr>
    </w:p>
    <w:p w14:paraId="1E263B45" w14:textId="77777777" w:rsidR="007D5795" w:rsidRDefault="007D5795" w:rsidP="007D5795">
      <w:pPr>
        <w:pStyle w:val="TextoNormalNegritaCursivandice"/>
        <w:keepNext/>
      </w:pPr>
      <w:r>
        <w:t>Resolución de 27 de febrero de 2024, de la ministra para la Transición Ecológica y el Reto Demográfico por la que se declara la caducidad de la concesión otorgada por Orden Ministerial de 8 de julio de 2003, para la ocupación y aprovechamiento del dominio público</w:t>
      </w:r>
    </w:p>
    <w:p w14:paraId="1829852E" w14:textId="6A30A2B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9" w:history="1">
        <w:r w:rsidRPr="007D5795">
          <w:rPr>
            <w:rStyle w:val="TextoNormalCaracter"/>
          </w:rPr>
          <w:t>119/2024</w:t>
        </w:r>
      </w:hyperlink>
      <w:r>
        <w:t>.</w:t>
      </w:r>
    </w:p>
    <w:p w14:paraId="4A6FA592" w14:textId="382FADC1" w:rsidR="007D5795" w:rsidRDefault="007D5795" w:rsidP="007D5795">
      <w:pPr>
        <w:pStyle w:val="TextoNormal"/>
      </w:pPr>
    </w:p>
    <w:p w14:paraId="0604D4FE" w14:textId="77777777" w:rsidR="007D5795" w:rsidRDefault="007D5795" w:rsidP="007D5795">
      <w:pPr>
        <w:pStyle w:val="SangriaFrancesaArticulo"/>
      </w:pPr>
      <w:bookmarkStart w:id="167" w:name="INDICE22824"/>
    </w:p>
    <w:bookmarkEnd w:id="167"/>
    <w:p w14:paraId="01A9F5E9" w14:textId="77777777" w:rsidR="007D5795" w:rsidRDefault="007D5795" w:rsidP="007D5795">
      <w:pPr>
        <w:pStyle w:val="TextoIndiceNivel2"/>
        <w:suppressAutoHyphens/>
      </w:pPr>
      <w:r>
        <w:t>B) Disposiciones de las Comunidades y Ciudades Autónomas</w:t>
      </w:r>
    </w:p>
    <w:p w14:paraId="0F81974B" w14:textId="7995C4C0" w:rsidR="007D5795" w:rsidRDefault="007D5795" w:rsidP="007D5795">
      <w:pPr>
        <w:pStyle w:val="TextoNormal"/>
      </w:pPr>
    </w:p>
    <w:p w14:paraId="0A34AADE" w14:textId="77777777" w:rsidR="007D5795" w:rsidRDefault="007D5795" w:rsidP="007D5795">
      <w:pPr>
        <w:pStyle w:val="TextoNormalNegritaCentrado"/>
        <w:suppressAutoHyphens/>
      </w:pPr>
      <w:r w:rsidRPr="007D5795">
        <w:rPr>
          <w:rStyle w:val="TextoNormalNegritaCentradoSombreado"/>
        </w:rPr>
        <w:t>B.1) Cataluña</w:t>
      </w:r>
    </w:p>
    <w:p w14:paraId="17441944" w14:textId="2A89F97B" w:rsidR="007D5795" w:rsidRDefault="007D5795" w:rsidP="007D5795">
      <w:pPr>
        <w:pStyle w:val="TextoNormalNegritaCentrado"/>
      </w:pPr>
    </w:p>
    <w:p w14:paraId="2D80E18C" w14:textId="77777777" w:rsidR="007D5795" w:rsidRDefault="007D5795" w:rsidP="007D5795">
      <w:pPr>
        <w:pStyle w:val="TextoNormalNegritaCursivandice"/>
        <w:keepNext/>
      </w:pPr>
      <w:r>
        <w:t>Comunidad Autónoma de Cataluña. Acuerdos de la Junta Electoral Provincial de Barcelona, de 10 de enero y de 27 de enero de 2020. Ejecución del acuerdo 2/2020, de 3 de enero, de la Junta Electoral Central, en relación con la causa de inelegibilidad sobrevenida a que se refiere el artículo 6.2 b) LOREG, que deja sin efecto la credencial de diputado electo del presidente de la Generalitat de Cataluña y expedición de credencial de diputado al siguiente candidato de la lista de Junts per Catalunya</w:t>
      </w:r>
    </w:p>
    <w:p w14:paraId="6EFC71B7" w14:textId="173E542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52" w:history="1">
        <w:r w:rsidRPr="007D5795">
          <w:rPr>
            <w:rStyle w:val="TextoNormalCaracter"/>
          </w:rPr>
          <w:t>152/2024</w:t>
        </w:r>
      </w:hyperlink>
      <w:r>
        <w:t>.</w:t>
      </w:r>
    </w:p>
    <w:p w14:paraId="38DE8CBB" w14:textId="4CC9A645" w:rsidR="007D5795" w:rsidRDefault="007D5795" w:rsidP="007D5795">
      <w:pPr>
        <w:pStyle w:val="SangriaFrancesaArticulo"/>
      </w:pPr>
    </w:p>
    <w:p w14:paraId="3AEE95AE" w14:textId="77777777" w:rsidR="007D5795" w:rsidRDefault="007D5795" w:rsidP="007D5795">
      <w:pPr>
        <w:pStyle w:val="TextoNormalNegritaCursivandice"/>
        <w:keepNext/>
      </w:pPr>
      <w:r>
        <w:t>Comunidad Autónoma de Cataluña. Acuerdos de la mesa del Parlamento de Cataluña de 18 y de 19 de abril de 2023, sobre la regulación transitoria del voto telemático y la habilitación de voto telemático a un diputado. Acuerdo de 19 de abril de 2023 por el que se desestiman las reconsideraciones solicitadas respecto de los anteriores</w:t>
      </w:r>
    </w:p>
    <w:p w14:paraId="2752A4F4" w14:textId="7EF6078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09" w:history="1">
        <w:r w:rsidRPr="007D5795">
          <w:rPr>
            <w:rStyle w:val="TextoNormalCaracter"/>
          </w:rPr>
          <w:t>109/2024</w:t>
        </w:r>
      </w:hyperlink>
      <w:r>
        <w:t xml:space="preserve"> (anula); </w:t>
      </w:r>
      <w:hyperlink w:anchor="SENTENCIA_2024_110" w:history="1">
        <w:r w:rsidRPr="007D5795">
          <w:rPr>
            <w:rStyle w:val="TextoNormalCaracter"/>
          </w:rPr>
          <w:t>110/2024</w:t>
        </w:r>
      </w:hyperlink>
      <w:r>
        <w:t xml:space="preserve"> (anula).</w:t>
      </w:r>
    </w:p>
    <w:p w14:paraId="51A9B1EE" w14:textId="761BE5FA" w:rsidR="007D5795" w:rsidRDefault="007D5795" w:rsidP="007D5795">
      <w:pPr>
        <w:pStyle w:val="SangriaFrancesaArticulo"/>
      </w:pPr>
    </w:p>
    <w:p w14:paraId="229D58BE" w14:textId="77777777" w:rsidR="007D5795" w:rsidRDefault="007D5795" w:rsidP="007D5795">
      <w:pPr>
        <w:pStyle w:val="TextoNormalNegritaCursivandice"/>
        <w:keepNext/>
      </w:pPr>
      <w:r>
        <w:t>Comunidad Autónoma de Cataluña. Acuerdo de la mesa del Parlamento de Cataluña de 20 de febrero de 2024, que admite a trámite una iniciativa legislativa popular con el nombre de “Proposición de ley de declaración de la independencia de Cataluña”</w:t>
      </w:r>
    </w:p>
    <w:p w14:paraId="208FA811" w14:textId="1DB4664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72" w:history="1">
        <w:r w:rsidRPr="007D5795">
          <w:rPr>
            <w:rStyle w:val="TextoNormalCaracter"/>
          </w:rPr>
          <w:t>72/2024</w:t>
        </w:r>
      </w:hyperlink>
      <w:r>
        <w:t>.</w:t>
      </w:r>
    </w:p>
    <w:p w14:paraId="659126D9" w14:textId="6EA1C6E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3" w:history="1">
        <w:r w:rsidRPr="007D5795">
          <w:rPr>
            <w:rStyle w:val="TextoNormalCaracter"/>
          </w:rPr>
          <w:t>143/2024</w:t>
        </w:r>
      </w:hyperlink>
      <w:r>
        <w:t xml:space="preserve"> (anula).</w:t>
      </w:r>
    </w:p>
    <w:p w14:paraId="381D0E5F" w14:textId="3ACBB9D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54" w:history="1">
        <w:r w:rsidRPr="007D5795">
          <w:rPr>
            <w:rStyle w:val="TextoNormalCaracter"/>
          </w:rPr>
          <w:t>154/2024</w:t>
        </w:r>
      </w:hyperlink>
      <w:r>
        <w:t xml:space="preserve">; </w:t>
      </w:r>
      <w:hyperlink w:anchor="SENTENCIA_2024_156" w:history="1">
        <w:r w:rsidRPr="007D5795">
          <w:rPr>
            <w:rStyle w:val="TextoNormalCaracter"/>
          </w:rPr>
          <w:t>156/2024</w:t>
        </w:r>
      </w:hyperlink>
      <w:r>
        <w:t>.</w:t>
      </w:r>
    </w:p>
    <w:p w14:paraId="798CF851" w14:textId="301F3410" w:rsidR="007D5795" w:rsidRDefault="007D5795" w:rsidP="007D5795">
      <w:pPr>
        <w:pStyle w:val="SangriaFrancesaArticulo"/>
      </w:pPr>
    </w:p>
    <w:p w14:paraId="13206B19" w14:textId="77777777" w:rsidR="007D5795" w:rsidRDefault="007D5795" w:rsidP="007D5795">
      <w:pPr>
        <w:pStyle w:val="TextoNormalNegritaCursivandice"/>
        <w:keepNext/>
      </w:pPr>
      <w:r>
        <w:t>Comunidad Autónoma de Cataluña. Acuerdo de la mesa del Parlamento de Cataluña de 22 de febrero de 2024, que desestima la petición de reconsideración del acuerdo del mismo órgano de 20 de febrero de 2024, que admite a trámite una iniciativa legislativa popular con el nombre de “Proposición de ley de declaración de la independencia de Cataluña”</w:t>
      </w:r>
    </w:p>
    <w:p w14:paraId="3520B0AB" w14:textId="1D9D0E5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98" w:history="1">
        <w:r w:rsidRPr="007D5795">
          <w:rPr>
            <w:rStyle w:val="TextoNormalCaracter"/>
          </w:rPr>
          <w:t>98/2024</w:t>
        </w:r>
      </w:hyperlink>
      <w:r>
        <w:t>.</w:t>
      </w:r>
    </w:p>
    <w:p w14:paraId="47FFA44A" w14:textId="361CC97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54" w:history="1">
        <w:r w:rsidRPr="007D5795">
          <w:rPr>
            <w:rStyle w:val="TextoNormalCaracter"/>
          </w:rPr>
          <w:t>154/2024</w:t>
        </w:r>
      </w:hyperlink>
      <w:r>
        <w:t xml:space="preserve"> (anula); </w:t>
      </w:r>
      <w:hyperlink w:anchor="SENTENCIA_2024_156" w:history="1">
        <w:r w:rsidRPr="007D5795">
          <w:rPr>
            <w:rStyle w:val="TextoNormalCaracter"/>
          </w:rPr>
          <w:t>156/2024</w:t>
        </w:r>
      </w:hyperlink>
      <w:r>
        <w:t xml:space="preserve"> (anula).</w:t>
      </w:r>
    </w:p>
    <w:p w14:paraId="14D45DDC" w14:textId="3221712D" w:rsidR="007D5795" w:rsidRDefault="007D5795" w:rsidP="007D5795">
      <w:pPr>
        <w:pStyle w:val="SangriaFrancesaArticulo"/>
      </w:pPr>
    </w:p>
    <w:p w14:paraId="7BDA89CA" w14:textId="77777777" w:rsidR="007D5795" w:rsidRDefault="007D5795" w:rsidP="007D5795">
      <w:pPr>
        <w:pStyle w:val="TextoNormalNegritaCursivandice"/>
        <w:keepNext/>
      </w:pPr>
      <w:r>
        <w:t>Comunidad Autónoma de Cataluña. Acuerdo de 10 de junio de 2024 de la mesa de edad del Parlamento de Cataluña sobre delegación de voto</w:t>
      </w:r>
    </w:p>
    <w:p w14:paraId="2412BAFA" w14:textId="145F775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104" w:history="1">
        <w:r w:rsidRPr="007D5795">
          <w:rPr>
            <w:rStyle w:val="TextoNormalCaracter"/>
          </w:rPr>
          <w:t>104/2024</w:t>
        </w:r>
      </w:hyperlink>
      <w:r>
        <w:t>.</w:t>
      </w:r>
    </w:p>
    <w:p w14:paraId="30334C81" w14:textId="3B0AB01A" w:rsidR="007D5795" w:rsidRDefault="007D5795" w:rsidP="007D5795">
      <w:pPr>
        <w:pStyle w:val="SangriaFrancesaArticulo"/>
      </w:pPr>
    </w:p>
    <w:p w14:paraId="3FA33296" w14:textId="77777777" w:rsidR="007D5795" w:rsidRDefault="007D5795" w:rsidP="007D5795">
      <w:pPr>
        <w:pStyle w:val="TextoNormalNegritaCursivandice"/>
        <w:keepNext/>
      </w:pPr>
      <w:r>
        <w:t>Comunidad Autónoma de Cataluña. Acuerdo de 10 de junio de 2024 del presidente del Parlamento de Cataluña que declara constituido el Parlamento</w:t>
      </w:r>
    </w:p>
    <w:p w14:paraId="11079E9F" w14:textId="2C473C2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104" w:history="1">
        <w:r w:rsidRPr="007D5795">
          <w:rPr>
            <w:rStyle w:val="TextoNormalCaracter"/>
          </w:rPr>
          <w:t>104/2024</w:t>
        </w:r>
      </w:hyperlink>
      <w:r>
        <w:t>.</w:t>
      </w:r>
    </w:p>
    <w:p w14:paraId="78677E0C" w14:textId="355B7797" w:rsidR="007D5795" w:rsidRDefault="007D5795" w:rsidP="007D5795">
      <w:pPr>
        <w:pStyle w:val="TextoNormal"/>
      </w:pPr>
    </w:p>
    <w:p w14:paraId="0CC4A4F9" w14:textId="77777777" w:rsidR="007D5795" w:rsidRDefault="007D5795" w:rsidP="007D5795">
      <w:pPr>
        <w:pStyle w:val="TextoNormalNegritaCentrado"/>
        <w:suppressAutoHyphens/>
      </w:pPr>
      <w:r w:rsidRPr="007D5795">
        <w:rPr>
          <w:rStyle w:val="TextoNormalNegritaCentradoSombreado"/>
        </w:rPr>
        <w:t>B.2) Murcia</w:t>
      </w:r>
    </w:p>
    <w:p w14:paraId="78BD8DEA" w14:textId="1AFA3B60" w:rsidR="007D5795" w:rsidRDefault="007D5795" w:rsidP="007D5795">
      <w:pPr>
        <w:pStyle w:val="TextoNormalNegritaCentrado"/>
      </w:pPr>
    </w:p>
    <w:p w14:paraId="6CE6A94E" w14:textId="77777777" w:rsidR="007D5795" w:rsidRDefault="007D5795" w:rsidP="007D5795">
      <w:pPr>
        <w:pStyle w:val="TextoNormalNegritaCursivandice"/>
        <w:keepNext/>
      </w:pPr>
      <w:r>
        <w:t>Región de Murcia. Reglamento de la Asamblea Regional de Murcia, de 13 de junio de 2002</w:t>
      </w:r>
    </w:p>
    <w:p w14:paraId="0C0B906D" w14:textId="65576600" w:rsidR="007D5795" w:rsidRDefault="007D5795" w:rsidP="007D5795">
      <w:pPr>
        <w:pStyle w:val="SangriaFrancesaArticulo"/>
      </w:pPr>
      <w:r w:rsidRPr="007D5795">
        <w:rPr>
          <w:rStyle w:val="TextoNormalNegritaCaracter"/>
        </w:rPr>
        <w:t>Artículo 225.</w:t>
      </w:r>
      <w:r w:rsidRPr="007D5795">
        <w:rPr>
          <w:rStyle w:val="TextoNormalCaracter"/>
        </w:rPr>
        <w:t>-</w:t>
      </w:r>
      <w:r>
        <w:t xml:space="preserve"> Sentencia </w:t>
      </w:r>
      <w:hyperlink w:anchor="SENTENCIA_2024_157" w:history="1">
        <w:r w:rsidRPr="007D5795">
          <w:rPr>
            <w:rStyle w:val="TextoNormalCaracter"/>
          </w:rPr>
          <w:t>157/2024</w:t>
        </w:r>
      </w:hyperlink>
      <w:r>
        <w:t>.</w:t>
      </w:r>
    </w:p>
    <w:p w14:paraId="009A7AFD" w14:textId="416CF54E" w:rsidR="007D5795" w:rsidRDefault="007D5795" w:rsidP="007D5795">
      <w:pPr>
        <w:pStyle w:val="TextoNormal"/>
      </w:pPr>
    </w:p>
    <w:p w14:paraId="0D75E12E" w14:textId="77777777" w:rsidR="007D5795" w:rsidRDefault="007D5795" w:rsidP="007D5795">
      <w:pPr>
        <w:pStyle w:val="SangriaFrancesaArticulo"/>
      </w:pPr>
      <w:bookmarkStart w:id="168" w:name="INDICE22825"/>
    </w:p>
    <w:bookmarkEnd w:id="168"/>
    <w:p w14:paraId="54795F90" w14:textId="77777777" w:rsidR="007D5795" w:rsidRDefault="007D5795" w:rsidP="007D5795">
      <w:pPr>
        <w:pStyle w:val="TextoIndiceNivel2"/>
        <w:suppressAutoHyphens/>
      </w:pPr>
      <w:r>
        <w:t>C) Disposiciones de territorios históricos y corporaciones locales</w:t>
      </w:r>
    </w:p>
    <w:p w14:paraId="3D2BA297" w14:textId="4E0943C3" w:rsidR="007D5795" w:rsidRDefault="007D5795" w:rsidP="007D5795">
      <w:pPr>
        <w:pStyle w:val="TextoNormal"/>
      </w:pPr>
    </w:p>
    <w:p w14:paraId="39006563" w14:textId="77777777" w:rsidR="007D5795" w:rsidRDefault="007D5795" w:rsidP="007D5795">
      <w:pPr>
        <w:pStyle w:val="TextoNormalNegritaCentrado"/>
        <w:suppressAutoHyphens/>
      </w:pPr>
      <w:r w:rsidRPr="007D5795">
        <w:rPr>
          <w:rStyle w:val="TextoNormalNegritaCentradoSombreado"/>
        </w:rPr>
        <w:t>C.3) Territorios históricos</w:t>
      </w:r>
    </w:p>
    <w:p w14:paraId="4EE704F0" w14:textId="0FB54AB9" w:rsidR="007D5795" w:rsidRDefault="007D5795" w:rsidP="007D5795">
      <w:pPr>
        <w:pStyle w:val="TextoNormal"/>
      </w:pPr>
    </w:p>
    <w:p w14:paraId="6D89C006" w14:textId="77777777" w:rsidR="007D5795" w:rsidRDefault="007D5795" w:rsidP="007D5795">
      <w:pPr>
        <w:pStyle w:val="TextoNormalNegritaCentradoSubrayado"/>
        <w:suppressAutoHyphens/>
      </w:pPr>
      <w:r>
        <w:t>C.3.1) Gipuzkoa</w:t>
      </w:r>
    </w:p>
    <w:p w14:paraId="36FBDD73" w14:textId="776B6189" w:rsidR="007D5795" w:rsidRDefault="007D5795" w:rsidP="007D5795">
      <w:pPr>
        <w:pStyle w:val="TextoNormalNegritaCentradoSubrayado"/>
      </w:pPr>
    </w:p>
    <w:p w14:paraId="235C24A5" w14:textId="77777777" w:rsidR="007D5795" w:rsidRDefault="007D5795" w:rsidP="007D5795">
      <w:pPr>
        <w:pStyle w:val="TextoNormalNegritaCursivandice"/>
        <w:keepNext/>
      </w:pPr>
      <w:r>
        <w:t>Territorio Histórico de Gipuzkoa. Norma Foral 16/1989, de 5 de julio, del impuesto sobre el incremento de valor de los terrenos de naturaleza urbana</w:t>
      </w:r>
    </w:p>
    <w:p w14:paraId="273D800A" w14:textId="62C21045" w:rsidR="007D5795" w:rsidRDefault="007D5795" w:rsidP="007D5795">
      <w:pPr>
        <w:pStyle w:val="SangriaFrancesaArticulo"/>
      </w:pPr>
      <w:r w:rsidRPr="007D5795">
        <w:rPr>
          <w:rStyle w:val="TextoNormalNegritaCaracter"/>
        </w:rPr>
        <w:t>Artículo 4.1 párrafo 2.</w:t>
      </w:r>
      <w:r w:rsidRPr="007D5795">
        <w:rPr>
          <w:rStyle w:val="TextoNormalCaracter"/>
        </w:rPr>
        <w:t>-</w:t>
      </w:r>
      <w:r>
        <w:t xml:space="preserve"> Auto </w:t>
      </w:r>
      <w:hyperlink w:anchor="AUTO_2024_103" w:history="1">
        <w:r w:rsidRPr="007D5795">
          <w:rPr>
            <w:rStyle w:val="TextoNormalCaracter"/>
          </w:rPr>
          <w:t>103/2024</w:t>
        </w:r>
      </w:hyperlink>
      <w:r>
        <w:t>.</w:t>
      </w:r>
    </w:p>
    <w:p w14:paraId="2579DAF9" w14:textId="729C55D1" w:rsidR="007D5795" w:rsidRDefault="007D5795" w:rsidP="007D5795">
      <w:pPr>
        <w:pStyle w:val="SangriaFrancesaArticulo"/>
      </w:pPr>
      <w:r w:rsidRPr="007D5795">
        <w:rPr>
          <w:rStyle w:val="TextoNormalNegritaCaracter"/>
        </w:rPr>
        <w:t>Artículo 4.2 a).</w:t>
      </w:r>
      <w:r w:rsidRPr="007D5795">
        <w:rPr>
          <w:rStyle w:val="TextoNormalCaracter"/>
        </w:rPr>
        <w:t>-</w:t>
      </w:r>
      <w:r>
        <w:t xml:space="preserve"> Auto </w:t>
      </w:r>
      <w:hyperlink w:anchor="AUTO_2024_103" w:history="1">
        <w:r w:rsidRPr="007D5795">
          <w:rPr>
            <w:rStyle w:val="TextoNormalCaracter"/>
          </w:rPr>
          <w:t>103/2024</w:t>
        </w:r>
      </w:hyperlink>
      <w:r>
        <w:t>.</w:t>
      </w:r>
    </w:p>
    <w:p w14:paraId="6412E574" w14:textId="3A9EEEF0" w:rsidR="007D5795" w:rsidRDefault="007D5795" w:rsidP="007D5795">
      <w:pPr>
        <w:pStyle w:val="SangriaFrancesaArticulo"/>
      </w:pPr>
      <w:r w:rsidRPr="007D5795">
        <w:rPr>
          <w:rStyle w:val="TextoNormalNegritaCaracter"/>
        </w:rPr>
        <w:t>Artículo 4.3.</w:t>
      </w:r>
      <w:r w:rsidRPr="007D5795">
        <w:rPr>
          <w:rStyle w:val="TextoNormalCaracter"/>
        </w:rPr>
        <w:t>-</w:t>
      </w:r>
      <w:r>
        <w:t xml:space="preserve"> Auto </w:t>
      </w:r>
      <w:hyperlink w:anchor="AUTO_2024_103" w:history="1">
        <w:r w:rsidRPr="007D5795">
          <w:rPr>
            <w:rStyle w:val="TextoNormalCaracter"/>
          </w:rPr>
          <w:t>103/2024</w:t>
        </w:r>
      </w:hyperlink>
      <w:r>
        <w:t>.</w:t>
      </w:r>
    </w:p>
    <w:p w14:paraId="261B6E13" w14:textId="055A999C" w:rsidR="007D5795" w:rsidRDefault="007D5795">
      <w:pPr>
        <w:spacing w:after="160" w:line="278" w:lineRule="auto"/>
        <w:rPr>
          <w:rFonts w:ascii="Times New Roman" w:eastAsia="Times New Roman" w:hAnsi="Times New Roman" w:cs="Times New Roman"/>
          <w:sz w:val="24"/>
          <w:szCs w:val="24"/>
          <w:lang w:eastAsia="es-ES"/>
        </w:rPr>
      </w:pPr>
      <w:r>
        <w:br w:type="page"/>
      </w:r>
    </w:p>
    <w:p w14:paraId="7FC3ACD1" w14:textId="77777777" w:rsidR="007D5795" w:rsidRDefault="007D5795" w:rsidP="007D5795">
      <w:pPr>
        <w:pStyle w:val="SangriaFrancesaArticulo"/>
      </w:pPr>
    </w:p>
    <w:p w14:paraId="2729AE6E" w14:textId="77777777" w:rsidR="007D5795" w:rsidRDefault="007D5795" w:rsidP="007D5795">
      <w:pPr>
        <w:pStyle w:val="TextoNormal"/>
      </w:pPr>
    </w:p>
    <w:p w14:paraId="22EF53B2" w14:textId="77777777" w:rsidR="007D5795" w:rsidRDefault="007D5795" w:rsidP="007D5795">
      <w:pPr>
        <w:pStyle w:val="TextoNormal"/>
      </w:pPr>
    </w:p>
    <w:p w14:paraId="5DB50BE4" w14:textId="77777777" w:rsidR="007D5795" w:rsidRDefault="007D5795" w:rsidP="007D5795">
      <w:pPr>
        <w:pStyle w:val="TextoNormal"/>
      </w:pPr>
    </w:p>
    <w:p w14:paraId="2F33AC86" w14:textId="77777777" w:rsidR="007D5795" w:rsidRDefault="007D5795" w:rsidP="007D5795">
      <w:pPr>
        <w:pStyle w:val="Ttulondice"/>
        <w:suppressAutoHyphens/>
      </w:pPr>
      <w:r>
        <w:t>5. ÍNDICE DE DISPOSICIONES CITADAS</w:t>
      </w:r>
    </w:p>
    <w:p w14:paraId="6BE2F192" w14:textId="7C5A4C72" w:rsidR="007D5795" w:rsidRDefault="007D5795" w:rsidP="007D5795">
      <w:pPr>
        <w:pStyle w:val="TextoNormal"/>
        <w:suppressAutoHyphens/>
      </w:pPr>
    </w:p>
    <w:p w14:paraId="5FBD673C" w14:textId="77777777" w:rsidR="007D5795" w:rsidRDefault="007D5795" w:rsidP="007D5795">
      <w:pPr>
        <w:pStyle w:val="TextoNormal"/>
        <w:suppressAutoHyphens/>
      </w:pPr>
    </w:p>
    <w:p w14:paraId="0957BD8C" w14:textId="77777777" w:rsidR="007D5795" w:rsidRDefault="007D5795" w:rsidP="007D5795">
      <w:pPr>
        <w:pStyle w:val="TextoNormal"/>
        <w:suppressAutoHyphens/>
      </w:pPr>
    </w:p>
    <w:p w14:paraId="14C1A7DD" w14:textId="77777777" w:rsidR="007D5795" w:rsidRDefault="007D5795" w:rsidP="007D5795">
      <w:pPr>
        <w:pStyle w:val="TextoNormal"/>
        <w:suppressAutoHyphens/>
      </w:pPr>
    </w:p>
    <w:p w14:paraId="278E8F0F" w14:textId="77777777" w:rsidR="007D5795" w:rsidRDefault="007D5795" w:rsidP="007D5795">
      <w:pPr>
        <w:pStyle w:val="TextoNormal"/>
        <w:suppressAutoHyphens/>
      </w:pPr>
    </w:p>
    <w:p w14:paraId="282DD9B6" w14:textId="77777777" w:rsidR="007D5795" w:rsidRDefault="007D5795" w:rsidP="007D5795">
      <w:pPr>
        <w:pStyle w:val="TextoNormal"/>
        <w:suppressAutoHyphens/>
      </w:pPr>
    </w:p>
    <w:p w14:paraId="349F85B6" w14:textId="77777777" w:rsidR="007D5795" w:rsidRDefault="007D5795" w:rsidP="007D5795">
      <w:pPr>
        <w:pStyle w:val="TextoNormal"/>
        <w:suppressAutoHyphens/>
      </w:pPr>
    </w:p>
    <w:p w14:paraId="3B2359F8" w14:textId="77777777" w:rsidR="007D5795" w:rsidRDefault="007D5795" w:rsidP="007D5795">
      <w:pPr>
        <w:pStyle w:val="TextoNormal"/>
        <w:suppressAutoHyphens/>
      </w:pPr>
    </w:p>
    <w:p w14:paraId="56916283" w14:textId="77777777" w:rsidR="007D5795" w:rsidRDefault="007D5795" w:rsidP="007D5795">
      <w:pPr>
        <w:pStyle w:val="TextoNormal"/>
        <w:suppressAutoHyphens/>
      </w:pPr>
    </w:p>
    <w:p w14:paraId="376643B3" w14:textId="77777777" w:rsidR="007D5795" w:rsidRDefault="007D5795" w:rsidP="007D5795">
      <w:pPr>
        <w:pStyle w:val="TextoNormal"/>
      </w:pPr>
    </w:p>
    <w:p w14:paraId="53FE9A11" w14:textId="77777777" w:rsidR="007D5795" w:rsidRDefault="007D5795" w:rsidP="007D5795">
      <w:pPr>
        <w:pStyle w:val="TextoNormal"/>
      </w:pPr>
      <w:bookmarkStart w:id="169" w:name="INDICE22804"/>
      <w:bookmarkEnd w:id="169"/>
    </w:p>
    <w:p w14:paraId="752423E6" w14:textId="77777777" w:rsidR="007D5795" w:rsidRDefault="007D5795" w:rsidP="007D5795">
      <w:pPr>
        <w:pStyle w:val="TextoIndiceNivel2"/>
        <w:suppressAutoHyphens/>
      </w:pPr>
      <w:r>
        <w:t>A) Constitución</w:t>
      </w:r>
    </w:p>
    <w:p w14:paraId="0A4858C8" w14:textId="1482B345" w:rsidR="007D5795" w:rsidRDefault="007D5795" w:rsidP="007D5795">
      <w:pPr>
        <w:pStyle w:val="TextoIndiceNivel2"/>
      </w:pPr>
    </w:p>
    <w:p w14:paraId="1D504BE7" w14:textId="77777777" w:rsidR="007D5795" w:rsidRDefault="007D5795" w:rsidP="007D5795">
      <w:pPr>
        <w:pStyle w:val="TextoNormalNegritaCursivandice"/>
        <w:keepNext/>
      </w:pPr>
      <w:r>
        <w:t>Constitución política de la Monarquía española, promulgada en Cádiz el 19 de marzo de 1812</w:t>
      </w:r>
    </w:p>
    <w:p w14:paraId="5184C50E" w14:textId="1E0B427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VP II.</w:t>
      </w:r>
    </w:p>
    <w:p w14:paraId="462311AB" w14:textId="4A69A250" w:rsidR="007D5795" w:rsidRDefault="007D5795" w:rsidP="007D5795">
      <w:pPr>
        <w:pStyle w:val="SangriaFrancesaArticulo"/>
      </w:pPr>
    </w:p>
    <w:p w14:paraId="5CF88533" w14:textId="77777777" w:rsidR="007D5795" w:rsidRDefault="007D5795" w:rsidP="007D5795">
      <w:pPr>
        <w:pStyle w:val="TextoNormalNegritaCursivandice"/>
        <w:keepNext/>
      </w:pPr>
      <w:r>
        <w:t>Constitución española, de 27 de diciembre de 1978</w:t>
      </w:r>
    </w:p>
    <w:p w14:paraId="5FC49F4F" w14:textId="79C0D554" w:rsidR="007D5795" w:rsidRDefault="007D5795" w:rsidP="007D5795">
      <w:pPr>
        <w:pStyle w:val="SangriaFrancesaArticulo"/>
        <w:keepNext/>
      </w:pPr>
      <w:r w:rsidRPr="007D5795">
        <w:rPr>
          <w:rStyle w:val="TextoNormalNegritaCaracter"/>
        </w:rPr>
        <w:t>En general.</w:t>
      </w:r>
      <w:r w:rsidRPr="007D5795">
        <w:rPr>
          <w:rStyle w:val="TextoNormalCaracter"/>
        </w:rPr>
        <w:t>-</w:t>
      </w:r>
      <w:r>
        <w:t xml:space="preserve"> Sentencias </w:t>
      </w:r>
      <w:hyperlink w:anchor="SENTENCIA_2024_120" w:history="1">
        <w:r w:rsidRPr="007D5795">
          <w:rPr>
            <w:rStyle w:val="TextoNormalCaracter"/>
          </w:rPr>
          <w:t>120/2024</w:t>
        </w:r>
      </w:hyperlink>
      <w:r>
        <w:t xml:space="preserve">, f. 5; </w:t>
      </w:r>
      <w:hyperlink w:anchor="SENTENCIA_2024_131" w:history="1">
        <w:r w:rsidRPr="007D5795">
          <w:rPr>
            <w:rStyle w:val="TextoNormalCaracter"/>
          </w:rPr>
          <w:t>131/2024</w:t>
        </w:r>
      </w:hyperlink>
      <w:r>
        <w:t xml:space="preserve">, f. 2; </w:t>
      </w:r>
      <w:hyperlink w:anchor="SENTENCIA_2024_136" w:history="1">
        <w:r w:rsidRPr="007D5795">
          <w:rPr>
            <w:rStyle w:val="TextoNormalCaracter"/>
          </w:rPr>
          <w:t>136/2024</w:t>
        </w:r>
      </w:hyperlink>
      <w:r>
        <w:t xml:space="preserve">, f. 5; </w:t>
      </w:r>
      <w:hyperlink w:anchor="SENTENCIA_2024_140" w:history="1">
        <w:r w:rsidRPr="007D5795">
          <w:rPr>
            <w:rStyle w:val="TextoNormalCaracter"/>
          </w:rPr>
          <w:t>140/2024</w:t>
        </w:r>
      </w:hyperlink>
      <w:r>
        <w:t xml:space="preserve">, VP II; </w:t>
      </w:r>
      <w:hyperlink w:anchor="SENTENCIA_2024_142" w:history="1">
        <w:r w:rsidRPr="007D5795">
          <w:rPr>
            <w:rStyle w:val="TextoNormalCaracter"/>
          </w:rPr>
          <w:t>142/2024</w:t>
        </w:r>
      </w:hyperlink>
      <w:r>
        <w:t xml:space="preserve">, f. 7, VP; </w:t>
      </w:r>
      <w:hyperlink w:anchor="SENTENCIA_2024_143" w:history="1">
        <w:r w:rsidRPr="007D5795">
          <w:rPr>
            <w:rStyle w:val="TextoNormalCaracter"/>
          </w:rPr>
          <w:t>143/2024</w:t>
        </w:r>
      </w:hyperlink>
      <w:r>
        <w:t>, f. 3.</w:t>
      </w:r>
    </w:p>
    <w:p w14:paraId="7971171F" w14:textId="5E554AF7" w:rsidR="007D5795" w:rsidRDefault="007D5795" w:rsidP="007D5795">
      <w:pPr>
        <w:pStyle w:val="SangriaIzquierdaArticulo"/>
      </w:pPr>
      <w:r>
        <w:t xml:space="preserve">Autos </w:t>
      </w:r>
      <w:hyperlink w:anchor="AUTO_2024_91" w:history="1">
        <w:r w:rsidRPr="007D5795">
          <w:rPr>
            <w:rStyle w:val="TextoNormalCaracter"/>
          </w:rPr>
          <w:t>91/2024</w:t>
        </w:r>
      </w:hyperlink>
      <w:r>
        <w:t xml:space="preserve">, VP II; </w:t>
      </w:r>
      <w:hyperlink w:anchor="AUTO_2024_104" w:history="1">
        <w:r w:rsidRPr="007D5795">
          <w:rPr>
            <w:rStyle w:val="TextoNormalCaracter"/>
          </w:rPr>
          <w:t>104/2024</w:t>
        </w:r>
      </w:hyperlink>
      <w:r>
        <w:t>, f. 3.</w:t>
      </w:r>
    </w:p>
    <w:p w14:paraId="72717957" w14:textId="1B873D6D" w:rsidR="007D5795" w:rsidRDefault="007D5795" w:rsidP="007D5795">
      <w:pPr>
        <w:pStyle w:val="SangriaFrancesaArticulo"/>
      </w:pPr>
      <w:r w:rsidRPr="007D5795">
        <w:rPr>
          <w:rStyle w:val="TextoNormalNegritaCaracter"/>
        </w:rPr>
        <w:t>Título I.</w:t>
      </w:r>
      <w:r w:rsidRPr="007D5795">
        <w:rPr>
          <w:rStyle w:val="TextoNormalCaracter"/>
        </w:rPr>
        <w:t>-</w:t>
      </w:r>
      <w:r>
        <w:t xml:space="preserve"> Sentencia </w:t>
      </w:r>
      <w:hyperlink w:anchor="SENTENCIA_2024_141" w:history="1">
        <w:r w:rsidRPr="007D5795">
          <w:rPr>
            <w:rStyle w:val="TextoNormalCaracter"/>
          </w:rPr>
          <w:t>141/2024</w:t>
        </w:r>
      </w:hyperlink>
      <w:r>
        <w:t>, f. 3.</w:t>
      </w:r>
    </w:p>
    <w:p w14:paraId="5E94B4DD" w14:textId="183B5992" w:rsidR="007D5795" w:rsidRDefault="007D5795" w:rsidP="007D5795">
      <w:pPr>
        <w:pStyle w:val="SangriaFrancesaArticulo"/>
      </w:pPr>
      <w:r w:rsidRPr="007D5795">
        <w:rPr>
          <w:rStyle w:val="TextoNormalNegritaCaracter"/>
        </w:rPr>
        <w:t>Título I, capítulo II, sección primera.</w:t>
      </w:r>
      <w:r w:rsidRPr="007D5795">
        <w:rPr>
          <w:rStyle w:val="TextoNormalCaracter"/>
        </w:rPr>
        <w:t>-</w:t>
      </w:r>
      <w:r>
        <w:t xml:space="preserve"> Sentencias </w:t>
      </w:r>
      <w:hyperlink w:anchor="SENTENCIA_2024_122" w:history="1">
        <w:r w:rsidRPr="007D5795">
          <w:rPr>
            <w:rStyle w:val="TextoNormalCaracter"/>
          </w:rPr>
          <w:t>122/2024</w:t>
        </w:r>
      </w:hyperlink>
      <w:r>
        <w:t xml:space="preserve">, f. 2; </w:t>
      </w:r>
      <w:hyperlink w:anchor="SENTENCIA_2024_136" w:history="1">
        <w:r w:rsidRPr="007D5795">
          <w:rPr>
            <w:rStyle w:val="TextoNormalCaracter"/>
          </w:rPr>
          <w:t>136/2024</w:t>
        </w:r>
      </w:hyperlink>
      <w:r>
        <w:t xml:space="preserve">, f. 5; </w:t>
      </w:r>
      <w:hyperlink w:anchor="SENTENCIA_2024_142" w:history="1">
        <w:r w:rsidRPr="007D5795">
          <w:rPr>
            <w:rStyle w:val="TextoNormalCaracter"/>
          </w:rPr>
          <w:t>142/2024</w:t>
        </w:r>
      </w:hyperlink>
      <w:r>
        <w:t>, VP.</w:t>
      </w:r>
    </w:p>
    <w:p w14:paraId="03DA4EDA" w14:textId="4DD25587" w:rsidR="007D5795" w:rsidRDefault="007D5795" w:rsidP="007D5795">
      <w:pPr>
        <w:pStyle w:val="SangriaFrancesaArticulo"/>
      </w:pPr>
      <w:r w:rsidRPr="007D5795">
        <w:rPr>
          <w:rStyle w:val="TextoNormalNegritaCaracter"/>
        </w:rPr>
        <w:t>Título I, capítulo II, sección segunda.</w:t>
      </w:r>
      <w:r w:rsidRPr="007D5795">
        <w:rPr>
          <w:rStyle w:val="TextoNormalCaracter"/>
        </w:rPr>
        <w:t>-</w:t>
      </w:r>
      <w:r>
        <w:t xml:space="preserve"> Sentencia </w:t>
      </w:r>
      <w:hyperlink w:anchor="SENTENCIA_2024_142" w:history="1">
        <w:r w:rsidRPr="007D5795">
          <w:rPr>
            <w:rStyle w:val="TextoNormalCaracter"/>
          </w:rPr>
          <w:t>142/2024</w:t>
        </w:r>
      </w:hyperlink>
      <w:r>
        <w:t>, VP.</w:t>
      </w:r>
    </w:p>
    <w:p w14:paraId="4BBCB7DF" w14:textId="25943605" w:rsidR="007D5795" w:rsidRDefault="007D5795" w:rsidP="007D5795">
      <w:pPr>
        <w:pStyle w:val="SangriaFrancesaArticulo"/>
      </w:pPr>
      <w:r w:rsidRPr="007D5795">
        <w:rPr>
          <w:rStyle w:val="TextoNormalNegritaCaracter"/>
        </w:rPr>
        <w:t>Título I, capítulo III.</w:t>
      </w:r>
      <w:r w:rsidRPr="007D5795">
        <w:rPr>
          <w:rStyle w:val="TextoNormalCaracter"/>
        </w:rPr>
        <w:t>-</w:t>
      </w:r>
      <w:r>
        <w:t xml:space="preserve"> Sentencia </w:t>
      </w:r>
      <w:hyperlink w:anchor="SENTENCIA_2024_142" w:history="1">
        <w:r w:rsidRPr="007D5795">
          <w:rPr>
            <w:rStyle w:val="TextoNormalCaracter"/>
          </w:rPr>
          <w:t>142/2024</w:t>
        </w:r>
      </w:hyperlink>
      <w:r>
        <w:t>, VP.</w:t>
      </w:r>
    </w:p>
    <w:p w14:paraId="23F79378" w14:textId="2A1239AC" w:rsidR="007D5795" w:rsidRDefault="007D5795" w:rsidP="007D5795">
      <w:pPr>
        <w:pStyle w:val="SangriaFrancesaArticulo"/>
      </w:pPr>
      <w:r w:rsidRPr="007D5795">
        <w:rPr>
          <w:rStyle w:val="TextoNormalNegritaCaracter"/>
        </w:rPr>
        <w:t>Título III.</w:t>
      </w:r>
      <w:r w:rsidRPr="007D5795">
        <w:rPr>
          <w:rStyle w:val="TextoNormalCaracter"/>
        </w:rPr>
        <w:t>-</w:t>
      </w:r>
      <w:r>
        <w:t xml:space="preserve"> Sentencias </w:t>
      </w:r>
      <w:hyperlink w:anchor="SENTENCIA_2024_96" w:history="1">
        <w:r w:rsidRPr="007D5795">
          <w:rPr>
            <w:rStyle w:val="TextoNormalCaracter"/>
          </w:rPr>
          <w:t>96/2024</w:t>
        </w:r>
      </w:hyperlink>
      <w:r>
        <w:t xml:space="preserve">, f. 5; </w:t>
      </w:r>
      <w:hyperlink w:anchor="SENTENCIA_2024_97" w:history="1">
        <w:r w:rsidRPr="007D5795">
          <w:rPr>
            <w:rStyle w:val="TextoNormalCaracter"/>
          </w:rPr>
          <w:t>97/2024</w:t>
        </w:r>
      </w:hyperlink>
      <w:r>
        <w:t xml:space="preserve">, f. 4; </w:t>
      </w:r>
      <w:hyperlink w:anchor="SENTENCIA_2024_98" w:history="1">
        <w:r w:rsidRPr="007D5795">
          <w:rPr>
            <w:rStyle w:val="TextoNormalCaracter"/>
          </w:rPr>
          <w:t>98/2024</w:t>
        </w:r>
      </w:hyperlink>
      <w:r>
        <w:t xml:space="preserve">, f. 4; </w:t>
      </w:r>
      <w:hyperlink w:anchor="SENTENCIA_2024_99" w:history="1">
        <w:r w:rsidRPr="007D5795">
          <w:rPr>
            <w:rStyle w:val="TextoNormalCaracter"/>
          </w:rPr>
          <w:t>99/2024</w:t>
        </w:r>
      </w:hyperlink>
      <w:r>
        <w:t xml:space="preserve">, f. 3; </w:t>
      </w:r>
      <w:hyperlink w:anchor="SENTENCIA_2024_100" w:history="1">
        <w:r w:rsidRPr="007D5795">
          <w:rPr>
            <w:rStyle w:val="TextoNormalCaracter"/>
          </w:rPr>
          <w:t>100/2024</w:t>
        </w:r>
      </w:hyperlink>
      <w:r>
        <w:t xml:space="preserve">, f. 4; </w:t>
      </w:r>
      <w:hyperlink w:anchor="SENTENCIA_2024_102" w:history="1">
        <w:r w:rsidRPr="007D5795">
          <w:rPr>
            <w:rStyle w:val="TextoNormalCaracter"/>
          </w:rPr>
          <w:t>102/2024</w:t>
        </w:r>
      </w:hyperlink>
      <w:r>
        <w:t xml:space="preserve">, f. 4; </w:t>
      </w:r>
      <w:hyperlink w:anchor="SENTENCIA_2024_103" w:history="1">
        <w:r w:rsidRPr="007D5795">
          <w:rPr>
            <w:rStyle w:val="TextoNormalCaracter"/>
          </w:rPr>
          <w:t>103/2024</w:t>
        </w:r>
      </w:hyperlink>
      <w:r>
        <w:t>, f. 4.</w:t>
      </w:r>
    </w:p>
    <w:p w14:paraId="3ACAA506" w14:textId="73F2B2A3" w:rsidR="007D5795" w:rsidRDefault="007D5795" w:rsidP="007D5795">
      <w:pPr>
        <w:pStyle w:val="SangriaFrancesaArticulo"/>
      </w:pPr>
      <w:r w:rsidRPr="007D5795">
        <w:rPr>
          <w:rStyle w:val="TextoNormalNegritaCaracter"/>
        </w:rPr>
        <w:t>Título IV.</w:t>
      </w:r>
      <w:r w:rsidRPr="007D5795">
        <w:rPr>
          <w:rStyle w:val="TextoNormalCaracter"/>
        </w:rPr>
        <w:t>-</w:t>
      </w:r>
      <w:r>
        <w:t xml:space="preserve"> Sentencias </w:t>
      </w:r>
      <w:hyperlink w:anchor="SENTENCIA_2024_96" w:history="1">
        <w:r w:rsidRPr="007D5795">
          <w:rPr>
            <w:rStyle w:val="TextoNormalCaracter"/>
          </w:rPr>
          <w:t>96/2024</w:t>
        </w:r>
      </w:hyperlink>
      <w:r>
        <w:t xml:space="preserve">, f. 5; </w:t>
      </w:r>
      <w:hyperlink w:anchor="SENTENCIA_2024_97" w:history="1">
        <w:r w:rsidRPr="007D5795">
          <w:rPr>
            <w:rStyle w:val="TextoNormalCaracter"/>
          </w:rPr>
          <w:t>97/2024</w:t>
        </w:r>
      </w:hyperlink>
      <w:r>
        <w:t xml:space="preserve">, f. 4; </w:t>
      </w:r>
      <w:hyperlink w:anchor="SENTENCIA_2024_98" w:history="1">
        <w:r w:rsidRPr="007D5795">
          <w:rPr>
            <w:rStyle w:val="TextoNormalCaracter"/>
          </w:rPr>
          <w:t>98/2024</w:t>
        </w:r>
      </w:hyperlink>
      <w:r>
        <w:t xml:space="preserve">, f. 4; </w:t>
      </w:r>
      <w:hyperlink w:anchor="SENTENCIA_2024_99" w:history="1">
        <w:r w:rsidRPr="007D5795">
          <w:rPr>
            <w:rStyle w:val="TextoNormalCaracter"/>
          </w:rPr>
          <w:t>99/2024</w:t>
        </w:r>
      </w:hyperlink>
      <w:r>
        <w:t xml:space="preserve">, f. 3; </w:t>
      </w:r>
      <w:hyperlink w:anchor="SENTENCIA_2024_100" w:history="1">
        <w:r w:rsidRPr="007D5795">
          <w:rPr>
            <w:rStyle w:val="TextoNormalCaracter"/>
          </w:rPr>
          <w:t>100/2024</w:t>
        </w:r>
      </w:hyperlink>
      <w:r>
        <w:t xml:space="preserve">, f. 4; </w:t>
      </w:r>
      <w:hyperlink w:anchor="SENTENCIA_2024_102" w:history="1">
        <w:r w:rsidRPr="007D5795">
          <w:rPr>
            <w:rStyle w:val="TextoNormalCaracter"/>
          </w:rPr>
          <w:t>102/2024</w:t>
        </w:r>
      </w:hyperlink>
      <w:r>
        <w:t xml:space="preserve">, f. 4; </w:t>
      </w:r>
      <w:hyperlink w:anchor="SENTENCIA_2024_103" w:history="1">
        <w:r w:rsidRPr="007D5795">
          <w:rPr>
            <w:rStyle w:val="TextoNormalCaracter"/>
          </w:rPr>
          <w:t>103/2024</w:t>
        </w:r>
      </w:hyperlink>
      <w:r>
        <w:t>, f. 4.</w:t>
      </w:r>
    </w:p>
    <w:p w14:paraId="1ABFCCBB" w14:textId="724D1FCA" w:rsidR="007D5795" w:rsidRDefault="007D5795" w:rsidP="007D5795">
      <w:pPr>
        <w:pStyle w:val="SangriaFrancesaArticulo"/>
      </w:pPr>
      <w:r w:rsidRPr="007D5795">
        <w:rPr>
          <w:rStyle w:val="TextoNormalNegritaCaracter"/>
        </w:rPr>
        <w:t>Título V.</w:t>
      </w:r>
      <w:r w:rsidRPr="007D5795">
        <w:rPr>
          <w:rStyle w:val="TextoNormalCaracter"/>
        </w:rPr>
        <w:t>-</w:t>
      </w:r>
      <w:r>
        <w:t xml:space="preserve"> Sentencias </w:t>
      </w:r>
      <w:hyperlink w:anchor="SENTENCIA_2024_96" w:history="1">
        <w:r w:rsidRPr="007D5795">
          <w:rPr>
            <w:rStyle w:val="TextoNormalCaracter"/>
          </w:rPr>
          <w:t>96/2024</w:t>
        </w:r>
      </w:hyperlink>
      <w:r>
        <w:t xml:space="preserve">, f. 5; </w:t>
      </w:r>
      <w:hyperlink w:anchor="SENTENCIA_2024_97" w:history="1">
        <w:r w:rsidRPr="007D5795">
          <w:rPr>
            <w:rStyle w:val="TextoNormalCaracter"/>
          </w:rPr>
          <w:t>97/2024</w:t>
        </w:r>
      </w:hyperlink>
      <w:r>
        <w:t xml:space="preserve">, f. 4; </w:t>
      </w:r>
      <w:hyperlink w:anchor="SENTENCIA_2024_98" w:history="1">
        <w:r w:rsidRPr="007D5795">
          <w:rPr>
            <w:rStyle w:val="TextoNormalCaracter"/>
          </w:rPr>
          <w:t>98/2024</w:t>
        </w:r>
      </w:hyperlink>
      <w:r>
        <w:t xml:space="preserve">, f. 4; </w:t>
      </w:r>
      <w:hyperlink w:anchor="SENTENCIA_2024_99" w:history="1">
        <w:r w:rsidRPr="007D5795">
          <w:rPr>
            <w:rStyle w:val="TextoNormalCaracter"/>
          </w:rPr>
          <w:t>99/2024</w:t>
        </w:r>
      </w:hyperlink>
      <w:r>
        <w:t xml:space="preserve">, f. 3; </w:t>
      </w:r>
      <w:hyperlink w:anchor="SENTENCIA_2024_102" w:history="1">
        <w:r w:rsidRPr="007D5795">
          <w:rPr>
            <w:rStyle w:val="TextoNormalCaracter"/>
          </w:rPr>
          <w:t>102/2024</w:t>
        </w:r>
      </w:hyperlink>
      <w:r>
        <w:t xml:space="preserve">, f. 4; </w:t>
      </w:r>
      <w:hyperlink w:anchor="SENTENCIA_2024_103" w:history="1">
        <w:r w:rsidRPr="007D5795">
          <w:rPr>
            <w:rStyle w:val="TextoNormalCaracter"/>
          </w:rPr>
          <w:t>103/2024</w:t>
        </w:r>
      </w:hyperlink>
      <w:r>
        <w:t>, f. 4.</w:t>
      </w:r>
    </w:p>
    <w:p w14:paraId="445BD46E" w14:textId="096352BA" w:rsidR="007D5795" w:rsidRDefault="007D5795" w:rsidP="007D5795">
      <w:pPr>
        <w:pStyle w:val="SangriaFrancesaArticulo"/>
      </w:pPr>
      <w:r w:rsidRPr="007D5795">
        <w:rPr>
          <w:rStyle w:val="TextoNormalNegritaCaracter"/>
        </w:rPr>
        <w:t>Título VI.</w:t>
      </w:r>
      <w:r w:rsidRPr="007D5795">
        <w:rPr>
          <w:rStyle w:val="TextoNormalCaracter"/>
        </w:rPr>
        <w:t>-</w:t>
      </w:r>
      <w:r>
        <w:t xml:space="preserve"> Sentencia </w:t>
      </w:r>
      <w:hyperlink w:anchor="SENTENCIA_2024_146" w:history="1">
        <w:r w:rsidRPr="007D5795">
          <w:rPr>
            <w:rStyle w:val="TextoNormalCaracter"/>
          </w:rPr>
          <w:t>146/2024</w:t>
        </w:r>
      </w:hyperlink>
      <w:r>
        <w:t>, f. 8.</w:t>
      </w:r>
    </w:p>
    <w:p w14:paraId="54CC8EDC" w14:textId="5622933E" w:rsidR="007D5795" w:rsidRDefault="007D5795" w:rsidP="007D5795">
      <w:pPr>
        <w:pStyle w:val="SangriaFrancesaArticulo"/>
      </w:pPr>
      <w:r w:rsidRPr="007D5795">
        <w:rPr>
          <w:rStyle w:val="TextoNormalNegritaCaracter"/>
        </w:rPr>
        <w:t>Título VIII.</w:t>
      </w:r>
      <w:r w:rsidRPr="007D5795">
        <w:rPr>
          <w:rStyle w:val="TextoNormalCaracter"/>
        </w:rPr>
        <w:t>-</w:t>
      </w:r>
      <w:r>
        <w:t xml:space="preserve"> Sentencia </w:t>
      </w:r>
      <w:hyperlink w:anchor="SENTENCIA_2024_121" w:history="1">
        <w:r w:rsidRPr="007D5795">
          <w:rPr>
            <w:rStyle w:val="TextoNormalCaracter"/>
          </w:rPr>
          <w:t>121/2024</w:t>
        </w:r>
      </w:hyperlink>
      <w:r>
        <w:t>, VP II.</w:t>
      </w:r>
    </w:p>
    <w:p w14:paraId="187E230A" w14:textId="34EBCA82" w:rsidR="007D5795" w:rsidRDefault="007D5795" w:rsidP="007D5795">
      <w:pPr>
        <w:pStyle w:val="SangriaFrancesaArticulo"/>
      </w:pPr>
      <w:r w:rsidRPr="007D5795">
        <w:rPr>
          <w:rStyle w:val="TextoNormalNegritaCaracter"/>
        </w:rPr>
        <w:t>Título IX.</w:t>
      </w:r>
      <w:r w:rsidRPr="007D5795">
        <w:rPr>
          <w:rStyle w:val="TextoNormalCaracter"/>
        </w:rPr>
        <w:t>-</w:t>
      </w:r>
      <w:r>
        <w:t xml:space="preserve"> Sentencia </w:t>
      </w:r>
      <w:hyperlink w:anchor="SENTENCIA_2024_146" w:history="1">
        <w:r w:rsidRPr="007D5795">
          <w:rPr>
            <w:rStyle w:val="TextoNormalCaracter"/>
          </w:rPr>
          <w:t>146/2024</w:t>
        </w:r>
      </w:hyperlink>
      <w:r>
        <w:t>, f. 8.</w:t>
      </w:r>
    </w:p>
    <w:p w14:paraId="312D044C" w14:textId="667DE65E" w:rsidR="007D5795" w:rsidRDefault="007D5795" w:rsidP="007D5795">
      <w:pPr>
        <w:pStyle w:val="SangriaFrancesaArticulo"/>
      </w:pPr>
      <w:r w:rsidRPr="007D5795">
        <w:rPr>
          <w:rStyle w:val="TextoNormalNegritaCaracter"/>
        </w:rPr>
        <w:t>Preámbulo.</w:t>
      </w:r>
      <w:r w:rsidRPr="007D5795">
        <w:rPr>
          <w:rStyle w:val="TextoNormalCaracter"/>
        </w:rPr>
        <w:t>-</w:t>
      </w:r>
      <w:r>
        <w:t xml:space="preserve"> Sentencia </w:t>
      </w:r>
      <w:hyperlink w:anchor="SENTENCIA_2024_142" w:history="1">
        <w:r w:rsidRPr="007D5795">
          <w:rPr>
            <w:rStyle w:val="TextoNormalCaracter"/>
          </w:rPr>
          <w:t>142/2024</w:t>
        </w:r>
      </w:hyperlink>
      <w:r>
        <w:t>, VP.</w:t>
      </w:r>
    </w:p>
    <w:p w14:paraId="313A10CF" w14:textId="694A41EC"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Sentencias </w:t>
      </w:r>
      <w:hyperlink w:anchor="SENTENCIA_2024_120" w:history="1">
        <w:r w:rsidRPr="007D5795">
          <w:rPr>
            <w:rStyle w:val="TextoNormalCaracter"/>
          </w:rPr>
          <w:t>120/2024</w:t>
        </w:r>
      </w:hyperlink>
      <w:r>
        <w:t xml:space="preserve">, f. 3; </w:t>
      </w:r>
      <w:hyperlink w:anchor="SENTENCIA_2024_139" w:history="1">
        <w:r w:rsidRPr="007D5795">
          <w:rPr>
            <w:rStyle w:val="TextoNormalCaracter"/>
          </w:rPr>
          <w:t>139/2024</w:t>
        </w:r>
      </w:hyperlink>
      <w:r>
        <w:t xml:space="preserve">, VP I, VP II; </w:t>
      </w:r>
      <w:hyperlink w:anchor="SENTENCIA_2024_146" w:history="1">
        <w:r w:rsidRPr="007D5795">
          <w:rPr>
            <w:rStyle w:val="TextoNormalCaracter"/>
          </w:rPr>
          <w:t>146/2024</w:t>
        </w:r>
      </w:hyperlink>
      <w:r>
        <w:t>, ff. 3, 5, 8.</w:t>
      </w:r>
    </w:p>
    <w:p w14:paraId="08AE8ACC" w14:textId="56EDE4B8"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Sentencias </w:t>
      </w:r>
      <w:hyperlink w:anchor="SENTENCIA_2024_94" w:history="1">
        <w:r w:rsidRPr="007D5795">
          <w:rPr>
            <w:rStyle w:val="TextoNormalCaracter"/>
          </w:rPr>
          <w:t>94/2024</w:t>
        </w:r>
      </w:hyperlink>
      <w:r>
        <w:t xml:space="preserve">, VP II; </w:t>
      </w:r>
      <w:hyperlink w:anchor="SENTENCIA_2024_95" w:history="1">
        <w:r w:rsidRPr="007D5795">
          <w:rPr>
            <w:rStyle w:val="TextoNormalCaracter"/>
          </w:rPr>
          <w:t>95/2024</w:t>
        </w:r>
      </w:hyperlink>
      <w:r>
        <w:t xml:space="preserve">, VP II; </w:t>
      </w:r>
      <w:hyperlink w:anchor="SENTENCIA_2024_96" w:history="1">
        <w:r w:rsidRPr="007D5795">
          <w:rPr>
            <w:rStyle w:val="TextoNormalCaracter"/>
          </w:rPr>
          <w:t>96/2024</w:t>
        </w:r>
      </w:hyperlink>
      <w:r>
        <w:t xml:space="preserve">, VP II; </w:t>
      </w:r>
      <w:hyperlink w:anchor="SENTENCIA_2024_97" w:history="1">
        <w:r w:rsidRPr="007D5795">
          <w:rPr>
            <w:rStyle w:val="TextoNormalCaracter"/>
          </w:rPr>
          <w:t>97/2024</w:t>
        </w:r>
      </w:hyperlink>
      <w:r>
        <w:t xml:space="preserve">, VP II; </w:t>
      </w:r>
      <w:hyperlink w:anchor="SENTENCIA_2024_98" w:history="1">
        <w:r w:rsidRPr="007D5795">
          <w:rPr>
            <w:rStyle w:val="TextoNormalCaracter"/>
          </w:rPr>
          <w:t>98/2024</w:t>
        </w:r>
      </w:hyperlink>
      <w:r>
        <w:t xml:space="preserve">, VP II; </w:t>
      </w:r>
      <w:hyperlink w:anchor="SENTENCIA_2024_99" w:history="1">
        <w:r w:rsidRPr="007D5795">
          <w:rPr>
            <w:rStyle w:val="TextoNormalCaracter"/>
          </w:rPr>
          <w:t>99/2024</w:t>
        </w:r>
      </w:hyperlink>
      <w:r>
        <w:t xml:space="preserve">, VP II, VP III; </w:t>
      </w:r>
      <w:hyperlink w:anchor="SENTENCIA_2024_100" w:history="1">
        <w:r w:rsidRPr="007D5795">
          <w:rPr>
            <w:rStyle w:val="TextoNormalCaracter"/>
          </w:rPr>
          <w:t>100/2024</w:t>
        </w:r>
      </w:hyperlink>
      <w:r>
        <w:t xml:space="preserve">, VP II, VP III;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xml:space="preserve">, VP II; </w:t>
      </w:r>
      <w:hyperlink w:anchor="SENTENCIA_2024_120" w:history="1">
        <w:r w:rsidRPr="007D5795">
          <w:rPr>
            <w:rStyle w:val="TextoNormalCaracter"/>
          </w:rPr>
          <w:t>120/2024</w:t>
        </w:r>
      </w:hyperlink>
      <w:r>
        <w:t xml:space="preserve">, f. 5; </w:t>
      </w:r>
      <w:hyperlink w:anchor="SENTENCIA_2024_121" w:history="1">
        <w:r w:rsidRPr="007D5795">
          <w:rPr>
            <w:rStyle w:val="TextoNormalCaracter"/>
          </w:rPr>
          <w:t>121/2024</w:t>
        </w:r>
      </w:hyperlink>
      <w:r>
        <w:t xml:space="preserve">, ff. 1, 4; </w:t>
      </w:r>
      <w:hyperlink w:anchor="SENTENCIA_2024_132" w:history="1">
        <w:r w:rsidRPr="007D5795">
          <w:rPr>
            <w:rStyle w:val="TextoNormalCaracter"/>
          </w:rPr>
          <w:t>132/2024</w:t>
        </w:r>
      </w:hyperlink>
      <w:r>
        <w:t xml:space="preserve">, f. 3, VP I; </w:t>
      </w:r>
      <w:hyperlink w:anchor="SENTENCIA_2024_139" w:history="1">
        <w:r w:rsidRPr="007D5795">
          <w:rPr>
            <w:rStyle w:val="TextoNormalCaracter"/>
          </w:rPr>
          <w:t>139/2024</w:t>
        </w:r>
      </w:hyperlink>
      <w:r>
        <w:t xml:space="preserve">, f. 4, VP I; </w:t>
      </w:r>
      <w:hyperlink w:anchor="SENTENCIA_2024_140" w:history="1">
        <w:r w:rsidRPr="007D5795">
          <w:rPr>
            <w:rStyle w:val="TextoNormalCaracter"/>
          </w:rPr>
          <w:t>140/2024</w:t>
        </w:r>
      </w:hyperlink>
      <w:r>
        <w:t xml:space="preserve">, VP II; </w:t>
      </w:r>
      <w:hyperlink w:anchor="SENTENCIA_2024_142" w:history="1">
        <w:r w:rsidRPr="007D5795">
          <w:rPr>
            <w:rStyle w:val="TextoNormalCaracter"/>
          </w:rPr>
          <w:t>142/2024</w:t>
        </w:r>
      </w:hyperlink>
      <w:r>
        <w:t xml:space="preserve">, VP; </w:t>
      </w:r>
      <w:hyperlink w:anchor="SENTENCIA_2024_146" w:history="1">
        <w:r w:rsidRPr="007D5795">
          <w:rPr>
            <w:rStyle w:val="TextoNormalCaracter"/>
          </w:rPr>
          <w:t>146/2024</w:t>
        </w:r>
      </w:hyperlink>
      <w:r>
        <w:t xml:space="preserve">, f. 2; </w:t>
      </w:r>
      <w:hyperlink w:anchor="SENTENCIA_2024_152" w:history="1">
        <w:r w:rsidRPr="007D5795">
          <w:rPr>
            <w:rStyle w:val="TextoNormalCaracter"/>
          </w:rPr>
          <w:t>152/2024</w:t>
        </w:r>
      </w:hyperlink>
      <w:r>
        <w:t>, f. 4.</w:t>
      </w:r>
    </w:p>
    <w:p w14:paraId="3EDC9300" w14:textId="6627A928" w:rsidR="007D5795" w:rsidRDefault="007D5795" w:rsidP="007D5795">
      <w:pPr>
        <w:pStyle w:val="SangriaFrancesaArticulo"/>
      </w:pPr>
      <w:r w:rsidRPr="007D5795">
        <w:rPr>
          <w:rStyle w:val="TextoNormalNegritaCaracter"/>
        </w:rPr>
        <w:t>Artículo 1.2.</w:t>
      </w:r>
      <w:r w:rsidRPr="007D5795">
        <w:rPr>
          <w:rStyle w:val="TextoNormalCaracter"/>
        </w:rPr>
        <w:t>-</w:t>
      </w:r>
      <w:r>
        <w:t xml:space="preserve"> Sentencias </w:t>
      </w:r>
      <w:hyperlink w:anchor="SENTENCIA_2024_127" w:history="1">
        <w:r w:rsidRPr="007D5795">
          <w:rPr>
            <w:rStyle w:val="TextoNormalCaracter"/>
          </w:rPr>
          <w:t>127/2024</w:t>
        </w:r>
      </w:hyperlink>
      <w:r>
        <w:t xml:space="preserve">, f. 1; </w:t>
      </w:r>
      <w:hyperlink w:anchor="SENTENCIA_2024_143" w:history="1">
        <w:r w:rsidRPr="007D5795">
          <w:rPr>
            <w:rStyle w:val="TextoNormalCaracter"/>
          </w:rPr>
          <w:t>143/2024</w:t>
        </w:r>
      </w:hyperlink>
      <w:r>
        <w:t>, f. 3.</w:t>
      </w:r>
    </w:p>
    <w:p w14:paraId="6E4A6DDD" w14:textId="2901E6FB" w:rsidR="007D5795" w:rsidRDefault="007D5795" w:rsidP="007D5795">
      <w:pPr>
        <w:pStyle w:val="SangriaFrancesaArticulo"/>
      </w:pPr>
      <w:r w:rsidRPr="007D5795">
        <w:rPr>
          <w:rStyle w:val="TextoNormalNegritaCaracter"/>
        </w:rPr>
        <w:t>Artículo 1.3.</w:t>
      </w:r>
      <w:r w:rsidRPr="007D5795">
        <w:rPr>
          <w:rStyle w:val="TextoNormalCaracter"/>
        </w:rPr>
        <w:t>-</w:t>
      </w:r>
      <w:r>
        <w:t xml:space="preserve"> Sentencias </w:t>
      </w:r>
      <w:hyperlink w:anchor="SENTENCIA_2024_94" w:history="1">
        <w:r w:rsidRPr="007D5795">
          <w:rPr>
            <w:rStyle w:val="TextoNormalCaracter"/>
          </w:rPr>
          <w:t>94/2024</w:t>
        </w:r>
      </w:hyperlink>
      <w:r>
        <w:t xml:space="preserve">, f. 4; </w:t>
      </w:r>
      <w:hyperlink w:anchor="SENTENCIA_2024_96" w:history="1">
        <w:r w:rsidRPr="007D5795">
          <w:rPr>
            <w:rStyle w:val="TextoNormalCaracter"/>
          </w:rPr>
          <w:t>96/2024</w:t>
        </w:r>
      </w:hyperlink>
      <w:r>
        <w:t xml:space="preserve">, f. 5; </w:t>
      </w:r>
      <w:hyperlink w:anchor="SENTENCIA_2024_97" w:history="1">
        <w:r w:rsidRPr="007D5795">
          <w:rPr>
            <w:rStyle w:val="TextoNormalCaracter"/>
          </w:rPr>
          <w:t>97/2024</w:t>
        </w:r>
      </w:hyperlink>
      <w:r>
        <w:t xml:space="preserve">, f. 4; </w:t>
      </w:r>
      <w:hyperlink w:anchor="SENTENCIA_2024_98" w:history="1">
        <w:r w:rsidRPr="007D5795">
          <w:rPr>
            <w:rStyle w:val="TextoNormalCaracter"/>
          </w:rPr>
          <w:t>98/2024</w:t>
        </w:r>
      </w:hyperlink>
      <w:r>
        <w:t xml:space="preserve">, f. 4; </w:t>
      </w:r>
      <w:hyperlink w:anchor="SENTENCIA_2024_99" w:history="1">
        <w:r w:rsidRPr="007D5795">
          <w:rPr>
            <w:rStyle w:val="TextoNormalCaracter"/>
          </w:rPr>
          <w:t>99/2024</w:t>
        </w:r>
      </w:hyperlink>
      <w:r>
        <w:t xml:space="preserve">, f. 3; </w:t>
      </w:r>
      <w:hyperlink w:anchor="SENTENCIA_2024_100" w:history="1">
        <w:r w:rsidRPr="007D5795">
          <w:rPr>
            <w:rStyle w:val="TextoNormalCaracter"/>
          </w:rPr>
          <w:t>100/2024</w:t>
        </w:r>
      </w:hyperlink>
      <w:r>
        <w:t xml:space="preserve">, f. 4; </w:t>
      </w:r>
      <w:hyperlink w:anchor="SENTENCIA_2024_102" w:history="1">
        <w:r w:rsidRPr="007D5795">
          <w:rPr>
            <w:rStyle w:val="TextoNormalCaracter"/>
          </w:rPr>
          <w:t>102/2024</w:t>
        </w:r>
      </w:hyperlink>
      <w:r>
        <w:t xml:space="preserve">, f. 4; </w:t>
      </w:r>
      <w:hyperlink w:anchor="SENTENCIA_2024_103" w:history="1">
        <w:r w:rsidRPr="007D5795">
          <w:rPr>
            <w:rStyle w:val="TextoNormalCaracter"/>
          </w:rPr>
          <w:t>103/2024</w:t>
        </w:r>
      </w:hyperlink>
      <w:r>
        <w:t xml:space="preserve">, f. 4; </w:t>
      </w:r>
      <w:hyperlink w:anchor="SENTENCIA_2024_120" w:history="1">
        <w:r w:rsidRPr="007D5795">
          <w:rPr>
            <w:rStyle w:val="TextoNormalCaracter"/>
          </w:rPr>
          <w:t>120/2024</w:t>
        </w:r>
      </w:hyperlink>
      <w:r>
        <w:t xml:space="preserve">, f. 5; </w:t>
      </w:r>
      <w:hyperlink w:anchor="SENTENCIA_2024_127" w:history="1">
        <w:r w:rsidRPr="007D5795">
          <w:rPr>
            <w:rStyle w:val="TextoNormalCaracter"/>
          </w:rPr>
          <w:t>127/2024</w:t>
        </w:r>
      </w:hyperlink>
      <w:r>
        <w:t>, f. 1.</w:t>
      </w:r>
    </w:p>
    <w:p w14:paraId="5FAA4161" w14:textId="60D4EDA2" w:rsidR="007D5795" w:rsidRDefault="007D5795" w:rsidP="007D5795">
      <w:pPr>
        <w:pStyle w:val="SangriaFrancesaArticulo"/>
      </w:pPr>
      <w:r w:rsidRPr="007D5795">
        <w:rPr>
          <w:rStyle w:val="TextoNormalNegritaCaracter"/>
        </w:rPr>
        <w:t>Artículo 2.</w:t>
      </w:r>
      <w:r w:rsidRPr="007D5795">
        <w:rPr>
          <w:rStyle w:val="TextoNormalCaracter"/>
        </w:rPr>
        <w:t>-</w:t>
      </w:r>
      <w:r>
        <w:t xml:space="preserve"> Sentencias </w:t>
      </w:r>
      <w:hyperlink w:anchor="SENTENCIA_2024_120" w:history="1">
        <w:r w:rsidRPr="007D5795">
          <w:rPr>
            <w:rStyle w:val="TextoNormalCaracter"/>
          </w:rPr>
          <w:t>120/2024</w:t>
        </w:r>
      </w:hyperlink>
      <w:r>
        <w:t xml:space="preserve">, f. 5; </w:t>
      </w:r>
      <w:hyperlink w:anchor="SENTENCIA_2024_127" w:history="1">
        <w:r w:rsidRPr="007D5795">
          <w:rPr>
            <w:rStyle w:val="TextoNormalCaracter"/>
          </w:rPr>
          <w:t>127/2024</w:t>
        </w:r>
      </w:hyperlink>
      <w:r>
        <w:t xml:space="preserve">, f. 1; </w:t>
      </w:r>
      <w:hyperlink w:anchor="SENTENCIA_2024_143" w:history="1">
        <w:r w:rsidRPr="007D5795">
          <w:rPr>
            <w:rStyle w:val="TextoNormalCaracter"/>
          </w:rPr>
          <w:t>143/2024</w:t>
        </w:r>
      </w:hyperlink>
      <w:r>
        <w:t xml:space="preserve">, f. 3; </w:t>
      </w:r>
      <w:hyperlink w:anchor="SENTENCIA_2024_146" w:history="1">
        <w:r w:rsidRPr="007D5795">
          <w:rPr>
            <w:rStyle w:val="TextoNormalCaracter"/>
          </w:rPr>
          <w:t>146/2024</w:t>
        </w:r>
      </w:hyperlink>
      <w:r>
        <w:t>, f. 7.</w:t>
      </w:r>
    </w:p>
    <w:p w14:paraId="101BB51D" w14:textId="1CD6FDD8" w:rsidR="007D5795" w:rsidRDefault="007D5795" w:rsidP="007D5795">
      <w:pPr>
        <w:pStyle w:val="SangriaFrancesaArticulo"/>
      </w:pPr>
      <w:r w:rsidRPr="007D5795">
        <w:rPr>
          <w:rStyle w:val="TextoNormalNegritaCaracter"/>
        </w:rPr>
        <w:t>Artículo 8.</w:t>
      </w:r>
      <w:r w:rsidRPr="007D5795">
        <w:rPr>
          <w:rStyle w:val="TextoNormalCaracter"/>
        </w:rPr>
        <w:t>-</w:t>
      </w:r>
      <w:r>
        <w:t xml:space="preserve"> Sentencia </w:t>
      </w:r>
      <w:hyperlink w:anchor="SENTENCIA_2024_128" w:history="1">
        <w:r w:rsidRPr="007D5795">
          <w:rPr>
            <w:rStyle w:val="TextoNormalCaracter"/>
          </w:rPr>
          <w:t>128/2024</w:t>
        </w:r>
      </w:hyperlink>
      <w:r>
        <w:t>, ff. 4, 6.</w:t>
      </w:r>
    </w:p>
    <w:p w14:paraId="70256A07" w14:textId="79BD0BDE" w:rsidR="007D5795" w:rsidRDefault="007D5795" w:rsidP="007D5795">
      <w:pPr>
        <w:pStyle w:val="SangriaFrancesaArticulo"/>
      </w:pPr>
      <w:r w:rsidRPr="007D5795">
        <w:rPr>
          <w:rStyle w:val="TextoNormalNegritaCaracter"/>
        </w:rPr>
        <w:t>Artículo 9.</w:t>
      </w:r>
      <w:r w:rsidRPr="007D5795">
        <w:rPr>
          <w:rStyle w:val="TextoNormalCaracter"/>
        </w:rPr>
        <w:t>-</w:t>
      </w:r>
      <w:r>
        <w:t xml:space="preserve"> Sentencias </w:t>
      </w:r>
      <w:hyperlink w:anchor="SENTENCIA_2024_100" w:history="1">
        <w:r w:rsidRPr="007D5795">
          <w:rPr>
            <w:rStyle w:val="TextoNormalCaracter"/>
          </w:rPr>
          <w:t>100/2024</w:t>
        </w:r>
      </w:hyperlink>
      <w:r>
        <w:t xml:space="preserve">, f. 1; </w:t>
      </w:r>
      <w:hyperlink w:anchor="SENTENCIA_2024_122" w:history="1">
        <w:r w:rsidRPr="007D5795">
          <w:rPr>
            <w:rStyle w:val="TextoNormalCaracter"/>
          </w:rPr>
          <w:t>122/2024</w:t>
        </w:r>
      </w:hyperlink>
      <w:r>
        <w:t>, ff. 1, 2.</w:t>
      </w:r>
    </w:p>
    <w:p w14:paraId="1FB2E77F" w14:textId="1480CECE" w:rsidR="007D5795" w:rsidRDefault="007D5795" w:rsidP="007D5795">
      <w:pPr>
        <w:pStyle w:val="SangriaFrancesaArticulo"/>
      </w:pPr>
      <w:r w:rsidRPr="007D5795">
        <w:rPr>
          <w:rStyle w:val="TextoNormalNegritaCaracter"/>
        </w:rPr>
        <w:t>Artículo 9.1.</w:t>
      </w:r>
      <w:r w:rsidRPr="007D5795">
        <w:rPr>
          <w:rStyle w:val="TextoNormalCaracter"/>
        </w:rPr>
        <w:t>-</w:t>
      </w:r>
      <w:r>
        <w:t xml:space="preserve"> Sentencias </w:t>
      </w:r>
      <w:hyperlink w:anchor="SENTENCIA_2024_94" w:history="1">
        <w:r w:rsidRPr="007D5795">
          <w:rPr>
            <w:rStyle w:val="TextoNormalCaracter"/>
          </w:rPr>
          <w:t>94/2024</w:t>
        </w:r>
      </w:hyperlink>
      <w:r>
        <w:t xml:space="preserve">, f. 4; </w:t>
      </w:r>
      <w:hyperlink w:anchor="SENTENCIA_2024_95" w:history="1">
        <w:r w:rsidRPr="007D5795">
          <w:rPr>
            <w:rStyle w:val="TextoNormalCaracter"/>
          </w:rPr>
          <w:t>95/2024</w:t>
        </w:r>
      </w:hyperlink>
      <w:r>
        <w:t xml:space="preserve">, f. 3; </w:t>
      </w:r>
      <w:hyperlink w:anchor="SENTENCIA_2024_96" w:history="1">
        <w:r w:rsidRPr="007D5795">
          <w:rPr>
            <w:rStyle w:val="TextoNormalCaracter"/>
          </w:rPr>
          <w:t>96/2024</w:t>
        </w:r>
      </w:hyperlink>
      <w:r>
        <w:t xml:space="preserve">, ff. 5, 6, VP IV; </w:t>
      </w:r>
      <w:hyperlink w:anchor="SENTENCIA_2024_97" w:history="1">
        <w:r w:rsidRPr="007D5795">
          <w:rPr>
            <w:rStyle w:val="TextoNormalCaracter"/>
          </w:rPr>
          <w:t>97/2024</w:t>
        </w:r>
      </w:hyperlink>
      <w:r>
        <w:t xml:space="preserve">, ff. 4, 5, VP IV; </w:t>
      </w:r>
      <w:hyperlink w:anchor="SENTENCIA_2024_98" w:history="1">
        <w:r w:rsidRPr="007D5795">
          <w:rPr>
            <w:rStyle w:val="TextoNormalCaracter"/>
          </w:rPr>
          <w:t>98/2024</w:t>
        </w:r>
      </w:hyperlink>
      <w:r>
        <w:t xml:space="preserve">, ff. 4, 5, VP III; </w:t>
      </w:r>
      <w:hyperlink w:anchor="SENTENCIA_2024_99" w:history="1">
        <w:r w:rsidRPr="007D5795">
          <w:rPr>
            <w:rStyle w:val="TextoNormalCaracter"/>
          </w:rPr>
          <w:t>99/2024</w:t>
        </w:r>
      </w:hyperlink>
      <w:r>
        <w:t xml:space="preserve">, f. 3, VP III; </w:t>
      </w:r>
      <w:hyperlink w:anchor="SENTENCIA_2024_100" w:history="1">
        <w:r w:rsidRPr="007D5795">
          <w:rPr>
            <w:rStyle w:val="TextoNormalCaracter"/>
          </w:rPr>
          <w:t>100/2024</w:t>
        </w:r>
      </w:hyperlink>
      <w:r>
        <w:t xml:space="preserve">, ff. 4, 5, VP III; </w:t>
      </w:r>
      <w:hyperlink w:anchor="SENTENCIA_2024_102" w:history="1">
        <w:r w:rsidRPr="007D5795">
          <w:rPr>
            <w:rStyle w:val="TextoNormalCaracter"/>
          </w:rPr>
          <w:t>102/2024</w:t>
        </w:r>
      </w:hyperlink>
      <w:r>
        <w:t xml:space="preserve">, f. 4; </w:t>
      </w:r>
      <w:hyperlink w:anchor="SENTENCIA_2024_103" w:history="1">
        <w:r w:rsidRPr="007D5795">
          <w:rPr>
            <w:rStyle w:val="TextoNormalCaracter"/>
          </w:rPr>
          <w:t>103/2024</w:t>
        </w:r>
      </w:hyperlink>
      <w:r>
        <w:t>, f. 4.</w:t>
      </w:r>
    </w:p>
    <w:p w14:paraId="23796E79" w14:textId="06715B98" w:rsidR="007D5795" w:rsidRDefault="007D5795" w:rsidP="007D5795">
      <w:pPr>
        <w:pStyle w:val="SangriaFrancesaArticulo"/>
      </w:pPr>
      <w:r w:rsidRPr="007D5795">
        <w:rPr>
          <w:rStyle w:val="TextoNormalNegritaCaracter"/>
        </w:rPr>
        <w:t>Artículo 9.2.</w:t>
      </w:r>
      <w:r w:rsidRPr="007D5795">
        <w:rPr>
          <w:rStyle w:val="TextoNormalCaracter"/>
        </w:rPr>
        <w:t>-</w:t>
      </w:r>
      <w:r>
        <w:t xml:space="preserve"> Sentencias </w:t>
      </w:r>
      <w:hyperlink w:anchor="SENTENCIA_2024_94" w:history="1">
        <w:r w:rsidRPr="007D5795">
          <w:rPr>
            <w:rStyle w:val="TextoNormalCaracter"/>
          </w:rPr>
          <w:t>94/2024</w:t>
        </w:r>
      </w:hyperlink>
      <w:r>
        <w:t xml:space="preserve">, VP II; </w:t>
      </w:r>
      <w:hyperlink w:anchor="SENTENCIA_2024_95" w:history="1">
        <w:r w:rsidRPr="007D5795">
          <w:rPr>
            <w:rStyle w:val="TextoNormalCaracter"/>
          </w:rPr>
          <w:t>95/2024</w:t>
        </w:r>
      </w:hyperlink>
      <w:r>
        <w:t xml:space="preserve">, VP II; </w:t>
      </w:r>
      <w:hyperlink w:anchor="SENTENCIA_2024_96" w:history="1">
        <w:r w:rsidRPr="007D5795">
          <w:rPr>
            <w:rStyle w:val="TextoNormalCaracter"/>
          </w:rPr>
          <w:t>96/2024</w:t>
        </w:r>
      </w:hyperlink>
      <w:r>
        <w:t xml:space="preserve">, VP II; </w:t>
      </w:r>
      <w:hyperlink w:anchor="SENTENCIA_2024_97" w:history="1">
        <w:r w:rsidRPr="007D5795">
          <w:rPr>
            <w:rStyle w:val="TextoNormalCaracter"/>
          </w:rPr>
          <w:t>97/2024</w:t>
        </w:r>
      </w:hyperlink>
      <w:r>
        <w:t xml:space="preserve">, VP II; </w:t>
      </w:r>
      <w:hyperlink w:anchor="SENTENCIA_2024_98" w:history="1">
        <w:r w:rsidRPr="007D5795">
          <w:rPr>
            <w:rStyle w:val="TextoNormalCaracter"/>
          </w:rPr>
          <w:t>98/2024</w:t>
        </w:r>
      </w:hyperlink>
      <w:r>
        <w:t xml:space="preserve">, VP II; </w:t>
      </w:r>
      <w:hyperlink w:anchor="SENTENCIA_2024_99" w:history="1">
        <w:r w:rsidRPr="007D5795">
          <w:rPr>
            <w:rStyle w:val="TextoNormalCaracter"/>
          </w:rPr>
          <w:t>99/2024</w:t>
        </w:r>
      </w:hyperlink>
      <w:r>
        <w:t xml:space="preserve">, VP II;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xml:space="preserve">, VP II; </w:t>
      </w:r>
      <w:hyperlink w:anchor="SENTENCIA_2024_115" w:history="1">
        <w:r w:rsidRPr="007D5795">
          <w:rPr>
            <w:rStyle w:val="TextoNormalCaracter"/>
          </w:rPr>
          <w:t>115/2024</w:t>
        </w:r>
      </w:hyperlink>
      <w:r>
        <w:t xml:space="preserve">, f. 3; </w:t>
      </w:r>
      <w:hyperlink w:anchor="SENTENCIA_2024_120" w:history="1">
        <w:r w:rsidRPr="007D5795">
          <w:rPr>
            <w:rStyle w:val="TextoNormalCaracter"/>
          </w:rPr>
          <w:t>120/2024</w:t>
        </w:r>
      </w:hyperlink>
      <w:r>
        <w:t xml:space="preserve">, f. 3; </w:t>
      </w:r>
      <w:hyperlink w:anchor="SENTENCIA_2024_132" w:history="1">
        <w:r w:rsidRPr="007D5795">
          <w:rPr>
            <w:rStyle w:val="TextoNormalCaracter"/>
          </w:rPr>
          <w:t>132/2024</w:t>
        </w:r>
      </w:hyperlink>
      <w:r>
        <w:t xml:space="preserve">, VP I; </w:t>
      </w:r>
      <w:hyperlink w:anchor="SENTENCIA_2024_140" w:history="1">
        <w:r w:rsidRPr="007D5795">
          <w:rPr>
            <w:rStyle w:val="TextoNormalCaracter"/>
          </w:rPr>
          <w:t>140/2024</w:t>
        </w:r>
      </w:hyperlink>
      <w:r>
        <w:t>, ff. 4, 6.</w:t>
      </w:r>
    </w:p>
    <w:p w14:paraId="06B52FEA" w14:textId="254434BC" w:rsidR="007D5795" w:rsidRDefault="007D5795" w:rsidP="007D5795">
      <w:pPr>
        <w:pStyle w:val="SangriaIzquierdaArticulo"/>
      </w:pPr>
      <w:r>
        <w:t xml:space="preserve">Auto </w:t>
      </w:r>
      <w:hyperlink w:anchor="AUTO_2024_69" w:history="1">
        <w:r w:rsidRPr="007D5795">
          <w:rPr>
            <w:rStyle w:val="TextoNormalCaracter"/>
          </w:rPr>
          <w:t>69/2024</w:t>
        </w:r>
      </w:hyperlink>
      <w:r>
        <w:t>, f. 2.</w:t>
      </w:r>
    </w:p>
    <w:p w14:paraId="419A6562" w14:textId="0C7D248B" w:rsidR="007D5795" w:rsidRDefault="007D5795" w:rsidP="007D5795">
      <w:pPr>
        <w:pStyle w:val="SangriaFrancesaArticulo"/>
      </w:pPr>
      <w:r w:rsidRPr="007D5795">
        <w:rPr>
          <w:rStyle w:val="TextoNormalNegritaCaracter"/>
        </w:rPr>
        <w:t>Artículo 9.3.</w:t>
      </w:r>
      <w:r w:rsidRPr="007D5795">
        <w:rPr>
          <w:rStyle w:val="TextoNormalCaracter"/>
        </w:rPr>
        <w:t>-</w:t>
      </w:r>
      <w:r>
        <w:t xml:space="preserve"> Sentencias </w:t>
      </w:r>
      <w:hyperlink w:anchor="SENTENCIA_2024_94" w:history="1">
        <w:r w:rsidRPr="007D5795">
          <w:rPr>
            <w:rStyle w:val="TextoNormalCaracter"/>
          </w:rPr>
          <w:t>94/2024</w:t>
        </w:r>
      </w:hyperlink>
      <w:r>
        <w:t xml:space="preserve">, f. 3, VP I, VP II; </w:t>
      </w:r>
      <w:hyperlink w:anchor="SENTENCIA_2024_95" w:history="1">
        <w:r w:rsidRPr="007D5795">
          <w:rPr>
            <w:rStyle w:val="TextoNormalCaracter"/>
          </w:rPr>
          <w:t>95/2024</w:t>
        </w:r>
      </w:hyperlink>
      <w:r>
        <w:t xml:space="preserve">, f. 3, VP II; </w:t>
      </w:r>
      <w:hyperlink w:anchor="SENTENCIA_2024_96" w:history="1">
        <w:r w:rsidRPr="007D5795">
          <w:rPr>
            <w:rStyle w:val="TextoNormalCaracter"/>
          </w:rPr>
          <w:t>96/2024</w:t>
        </w:r>
      </w:hyperlink>
      <w:r>
        <w:t xml:space="preserve">, f. 4, VP II, VP IV; </w:t>
      </w:r>
      <w:hyperlink w:anchor="SENTENCIA_2024_97" w:history="1">
        <w:r w:rsidRPr="007D5795">
          <w:rPr>
            <w:rStyle w:val="TextoNormalCaracter"/>
          </w:rPr>
          <w:t>97/2024</w:t>
        </w:r>
      </w:hyperlink>
      <w:r>
        <w:t xml:space="preserve">, f. 3, VP II, VP IV; </w:t>
      </w:r>
      <w:hyperlink w:anchor="SENTENCIA_2024_98" w:history="1">
        <w:r w:rsidRPr="007D5795">
          <w:rPr>
            <w:rStyle w:val="TextoNormalCaracter"/>
          </w:rPr>
          <w:t>98/2024</w:t>
        </w:r>
      </w:hyperlink>
      <w:r>
        <w:t xml:space="preserve">, f. 3, VP II, VP III; </w:t>
      </w:r>
      <w:hyperlink w:anchor="SENTENCIA_2024_99" w:history="1">
        <w:r w:rsidRPr="007D5795">
          <w:rPr>
            <w:rStyle w:val="TextoNormalCaracter"/>
          </w:rPr>
          <w:t>99/2024</w:t>
        </w:r>
      </w:hyperlink>
      <w:r>
        <w:t xml:space="preserve">, f. 3, VP I, VP II; </w:t>
      </w:r>
      <w:hyperlink w:anchor="SENTENCIA_2024_100" w:history="1">
        <w:r w:rsidRPr="007D5795">
          <w:rPr>
            <w:rStyle w:val="TextoNormalCaracter"/>
          </w:rPr>
          <w:t>100/2024</w:t>
        </w:r>
      </w:hyperlink>
      <w:r>
        <w:t xml:space="preserve">, f. 3, VP I, VP II, VP III; </w:t>
      </w:r>
      <w:hyperlink w:anchor="SENTENCIA_2024_102" w:history="1">
        <w:r w:rsidRPr="007D5795">
          <w:rPr>
            <w:rStyle w:val="TextoNormalCaracter"/>
          </w:rPr>
          <w:t>102/2024</w:t>
        </w:r>
      </w:hyperlink>
      <w:r>
        <w:t xml:space="preserve">, f. 4, VP II; </w:t>
      </w:r>
      <w:hyperlink w:anchor="SENTENCIA_2024_103" w:history="1">
        <w:r w:rsidRPr="007D5795">
          <w:rPr>
            <w:rStyle w:val="TextoNormalCaracter"/>
          </w:rPr>
          <w:t>103/2024</w:t>
        </w:r>
      </w:hyperlink>
      <w:r>
        <w:t xml:space="preserve">, f. 3, VP I, VP II; </w:t>
      </w:r>
      <w:hyperlink w:anchor="SENTENCIA_2024_109" w:history="1">
        <w:r w:rsidRPr="007D5795">
          <w:rPr>
            <w:rStyle w:val="TextoNormalCaracter"/>
          </w:rPr>
          <w:t>109/2024</w:t>
        </w:r>
      </w:hyperlink>
      <w:r>
        <w:t xml:space="preserve">, f. 3; </w:t>
      </w:r>
      <w:hyperlink w:anchor="SENTENCIA_2024_118" w:history="1">
        <w:r w:rsidRPr="007D5795">
          <w:rPr>
            <w:rStyle w:val="TextoNormalCaracter"/>
          </w:rPr>
          <w:t>118/2024</w:t>
        </w:r>
      </w:hyperlink>
      <w:r>
        <w:t xml:space="preserve">, ff. 3, 5; </w:t>
      </w:r>
      <w:hyperlink w:anchor="SENTENCIA_2024_120" w:history="1">
        <w:r w:rsidRPr="007D5795">
          <w:rPr>
            <w:rStyle w:val="TextoNormalCaracter"/>
          </w:rPr>
          <w:t>120/2024</w:t>
        </w:r>
      </w:hyperlink>
      <w:r>
        <w:t xml:space="preserve">, ff. 5, 6, 8, 9, VP IV; </w:t>
      </w:r>
      <w:hyperlink w:anchor="SENTENCIA_2024_127" w:history="1">
        <w:r w:rsidRPr="007D5795">
          <w:rPr>
            <w:rStyle w:val="TextoNormalCaracter"/>
          </w:rPr>
          <w:t>127/2024</w:t>
        </w:r>
      </w:hyperlink>
      <w:r>
        <w:t xml:space="preserve">, f. 1; </w:t>
      </w:r>
      <w:hyperlink w:anchor="SENTENCIA_2024_131" w:history="1">
        <w:r w:rsidRPr="007D5795">
          <w:rPr>
            <w:rStyle w:val="TextoNormalCaracter"/>
          </w:rPr>
          <w:t>131/2024</w:t>
        </w:r>
      </w:hyperlink>
      <w:r>
        <w:t xml:space="preserve">, f. 2; </w:t>
      </w:r>
      <w:hyperlink w:anchor="SENTENCIA_2024_133" w:history="1">
        <w:r w:rsidRPr="007D5795">
          <w:rPr>
            <w:rStyle w:val="TextoNormalCaracter"/>
          </w:rPr>
          <w:t>133/2024</w:t>
        </w:r>
      </w:hyperlink>
      <w:r>
        <w:t xml:space="preserve">, f. 4; </w:t>
      </w:r>
      <w:hyperlink w:anchor="SENTENCIA_2024_134" w:history="1">
        <w:r w:rsidRPr="007D5795">
          <w:rPr>
            <w:rStyle w:val="TextoNormalCaracter"/>
          </w:rPr>
          <w:t>134/2024</w:t>
        </w:r>
      </w:hyperlink>
      <w:r>
        <w:t xml:space="preserve">, f. 4; </w:t>
      </w:r>
      <w:hyperlink w:anchor="SENTENCIA_2024_136" w:history="1">
        <w:r w:rsidRPr="007D5795">
          <w:rPr>
            <w:rStyle w:val="TextoNormalCaracter"/>
          </w:rPr>
          <w:t>136/2024</w:t>
        </w:r>
      </w:hyperlink>
      <w:r>
        <w:t xml:space="preserve">, ff. 1, 3; </w:t>
      </w:r>
      <w:hyperlink w:anchor="SENTENCIA_2024_140" w:history="1">
        <w:r w:rsidRPr="007D5795">
          <w:rPr>
            <w:rStyle w:val="TextoNormalCaracter"/>
          </w:rPr>
          <w:t>140/2024</w:t>
        </w:r>
      </w:hyperlink>
      <w:r>
        <w:t xml:space="preserve">, f. 7; </w:t>
      </w:r>
      <w:hyperlink w:anchor="SENTENCIA_2024_142" w:history="1">
        <w:r w:rsidRPr="007D5795">
          <w:rPr>
            <w:rStyle w:val="TextoNormalCaracter"/>
          </w:rPr>
          <w:t>142/2024</w:t>
        </w:r>
      </w:hyperlink>
      <w:r>
        <w:t>, ff. 1, 6, 7, VP.</w:t>
      </w:r>
    </w:p>
    <w:p w14:paraId="46F25ED1" w14:textId="348460BB" w:rsidR="007D5795" w:rsidRDefault="007D5795" w:rsidP="007D5795">
      <w:pPr>
        <w:pStyle w:val="SangriaIzquierdaArticulo"/>
      </w:pPr>
      <w:r>
        <w:t xml:space="preserve">Autos </w:t>
      </w:r>
      <w:hyperlink w:anchor="AUTO_2024_89" w:history="1">
        <w:r w:rsidRPr="007D5795">
          <w:rPr>
            <w:rStyle w:val="TextoNormalCaracter"/>
          </w:rPr>
          <w:t>89/2024</w:t>
        </w:r>
      </w:hyperlink>
      <w:r>
        <w:t xml:space="preserve">, f. 2; </w:t>
      </w:r>
      <w:hyperlink w:anchor="AUTO_2024_104" w:history="1">
        <w:r w:rsidRPr="007D5795">
          <w:rPr>
            <w:rStyle w:val="TextoNormalCaracter"/>
          </w:rPr>
          <w:t>104/2024</w:t>
        </w:r>
      </w:hyperlink>
      <w:r>
        <w:t xml:space="preserve">, f. 2; </w:t>
      </w:r>
      <w:hyperlink w:anchor="AUTO_2024_115" w:history="1">
        <w:r w:rsidRPr="007D5795">
          <w:rPr>
            <w:rStyle w:val="TextoNormalCaracter"/>
          </w:rPr>
          <w:t>115/2024</w:t>
        </w:r>
      </w:hyperlink>
      <w:r>
        <w:t xml:space="preserve">, f. único; </w:t>
      </w:r>
      <w:hyperlink w:anchor="AUTO_2024_153" w:history="1">
        <w:r w:rsidRPr="007D5795">
          <w:rPr>
            <w:rStyle w:val="TextoNormalCaracter"/>
          </w:rPr>
          <w:t>153/2024</w:t>
        </w:r>
      </w:hyperlink>
      <w:r>
        <w:t>, f. 1.</w:t>
      </w:r>
    </w:p>
    <w:p w14:paraId="7EDC7837" w14:textId="541494E3" w:rsidR="007D5795" w:rsidRDefault="007D5795" w:rsidP="007D5795">
      <w:pPr>
        <w:pStyle w:val="SangriaFrancesaArticulo"/>
      </w:pPr>
      <w:r w:rsidRPr="007D5795">
        <w:rPr>
          <w:rStyle w:val="TextoNormalNegritaCaracter"/>
        </w:rPr>
        <w:t>Artículo 9.3</w:t>
      </w:r>
      <w:r>
        <w:t xml:space="preserve"> (interdicción de la arbitrariedad de los poderes públicos)</w:t>
      </w:r>
      <w:r w:rsidRPr="007D5795">
        <w:rPr>
          <w:rStyle w:val="TextoNormalNegritaCaracter"/>
        </w:rPr>
        <w:t>.</w:t>
      </w:r>
      <w:r w:rsidRPr="007D5795">
        <w:rPr>
          <w:rStyle w:val="TextoNormalCaracter"/>
        </w:rPr>
        <w:t>-</w:t>
      </w:r>
      <w:r>
        <w:t xml:space="preserve"> Sentencias </w:t>
      </w:r>
      <w:hyperlink w:anchor="SENTENCIA_2024_96" w:history="1">
        <w:r w:rsidRPr="007D5795">
          <w:rPr>
            <w:rStyle w:val="TextoNormalCaracter"/>
          </w:rPr>
          <w:t>96/2024</w:t>
        </w:r>
      </w:hyperlink>
      <w:r>
        <w:t xml:space="preserve">, VP II; </w:t>
      </w:r>
      <w:hyperlink w:anchor="SENTENCIA_2024_100" w:history="1">
        <w:r w:rsidRPr="007D5795">
          <w:rPr>
            <w:rStyle w:val="TextoNormalCaracter"/>
          </w:rPr>
          <w:t>100/2024</w:t>
        </w:r>
      </w:hyperlink>
      <w:r>
        <w:t xml:space="preserve">, VP II; </w:t>
      </w:r>
      <w:hyperlink w:anchor="SENTENCIA_2024_121" w:history="1">
        <w:r w:rsidRPr="007D5795">
          <w:rPr>
            <w:rStyle w:val="TextoNormalCaracter"/>
          </w:rPr>
          <w:t>121/2024</w:t>
        </w:r>
      </w:hyperlink>
      <w:r>
        <w:t xml:space="preserve">, f. 1, VP II; </w:t>
      </w:r>
      <w:hyperlink w:anchor="SENTENCIA_2024_139" w:history="1">
        <w:r w:rsidRPr="007D5795">
          <w:rPr>
            <w:rStyle w:val="TextoNormalCaracter"/>
          </w:rPr>
          <w:t>139/2024</w:t>
        </w:r>
      </w:hyperlink>
      <w:r>
        <w:t>, ff. 1, 3, 5, VP I.</w:t>
      </w:r>
    </w:p>
    <w:p w14:paraId="34919585" w14:textId="22A8A07C" w:rsidR="007D5795" w:rsidRDefault="007D5795" w:rsidP="007D5795">
      <w:pPr>
        <w:pStyle w:val="SangriaFrancesaArticulo"/>
      </w:pPr>
      <w:r w:rsidRPr="007D5795">
        <w:rPr>
          <w:rStyle w:val="TextoNormalNegritaCaracter"/>
        </w:rPr>
        <w:t>Artículo 9.3</w:t>
      </w:r>
      <w:r>
        <w:t xml:space="preserve"> (principio de legalidad)</w:t>
      </w:r>
      <w:r w:rsidRPr="007D5795">
        <w:rPr>
          <w:rStyle w:val="TextoNormalNegritaCaracter"/>
        </w:rPr>
        <w:t>.</w:t>
      </w:r>
      <w:r w:rsidRPr="007D5795">
        <w:rPr>
          <w:rStyle w:val="TextoNormalCaracter"/>
        </w:rPr>
        <w:t>-</w:t>
      </w:r>
      <w:r>
        <w:t xml:space="preserve"> Sentencia </w:t>
      </w:r>
      <w:hyperlink w:anchor="SENTENCIA_2024_126" w:history="1">
        <w:r w:rsidRPr="007D5795">
          <w:rPr>
            <w:rStyle w:val="TextoNormalCaracter"/>
          </w:rPr>
          <w:t>126/2024</w:t>
        </w:r>
      </w:hyperlink>
      <w:r>
        <w:t>, f. 1.</w:t>
      </w:r>
    </w:p>
    <w:p w14:paraId="00C3BD8F" w14:textId="304CA011" w:rsidR="007D5795" w:rsidRDefault="007D5795" w:rsidP="007D5795">
      <w:pPr>
        <w:pStyle w:val="SangriaFrancesaArticulo"/>
      </w:pPr>
      <w:r w:rsidRPr="007D5795">
        <w:rPr>
          <w:rStyle w:val="TextoNormalNegritaCaracter"/>
        </w:rPr>
        <w:t>Artículo 9.3</w:t>
      </w:r>
      <w:r>
        <w:t xml:space="preserve"> (responsabilidad de los poderes públicos)</w:t>
      </w:r>
      <w:r w:rsidRPr="007D5795">
        <w:rPr>
          <w:rStyle w:val="TextoNormalNegritaCaracter"/>
        </w:rPr>
        <w:t>.</w:t>
      </w:r>
      <w:r w:rsidRPr="007D5795">
        <w:rPr>
          <w:rStyle w:val="TextoNormalCaracter"/>
        </w:rPr>
        <w:t>-</w:t>
      </w:r>
      <w:r>
        <w:t xml:space="preserve"> Sentencias </w:t>
      </w:r>
      <w:hyperlink w:anchor="SENTENCIA_2024_96" w:history="1">
        <w:r w:rsidRPr="007D5795">
          <w:rPr>
            <w:rStyle w:val="TextoNormalCaracter"/>
          </w:rPr>
          <w:t>96/2024</w:t>
        </w:r>
      </w:hyperlink>
      <w:r>
        <w:t xml:space="preserve">, VP II; </w:t>
      </w:r>
      <w:hyperlink w:anchor="SENTENCIA_2024_100" w:history="1">
        <w:r w:rsidRPr="007D5795">
          <w:rPr>
            <w:rStyle w:val="TextoNormalCaracter"/>
          </w:rPr>
          <w:t>100/2024</w:t>
        </w:r>
      </w:hyperlink>
      <w:r>
        <w:t>, VP II.</w:t>
      </w:r>
    </w:p>
    <w:p w14:paraId="0ECA5C33" w14:textId="56D0921E" w:rsidR="007D5795" w:rsidRDefault="007D5795" w:rsidP="007D5795">
      <w:pPr>
        <w:pStyle w:val="SangriaFrancesaArticulo"/>
      </w:pPr>
      <w:r w:rsidRPr="007D5795">
        <w:rPr>
          <w:rStyle w:val="TextoNormalNegritaCaracter"/>
        </w:rPr>
        <w:t>Artículo 9.3</w:t>
      </w:r>
      <w:r>
        <w:t xml:space="preserve"> (seguridad jurídica)</w:t>
      </w:r>
      <w:r w:rsidRPr="007D5795">
        <w:rPr>
          <w:rStyle w:val="TextoNormalNegritaCaracter"/>
        </w:rPr>
        <w:t>.</w:t>
      </w:r>
      <w:r w:rsidRPr="007D5795">
        <w:rPr>
          <w:rStyle w:val="TextoNormalCaracter"/>
        </w:rPr>
        <w:t>-</w:t>
      </w:r>
      <w:r>
        <w:t xml:space="preserve"> Sentencias </w:t>
      </w:r>
      <w:hyperlink w:anchor="SENTENCIA_2024_96" w:history="1">
        <w:r w:rsidRPr="007D5795">
          <w:rPr>
            <w:rStyle w:val="TextoNormalCaracter"/>
          </w:rPr>
          <w:t>96/2024</w:t>
        </w:r>
      </w:hyperlink>
      <w:r>
        <w:t xml:space="preserve">, VP II; </w:t>
      </w:r>
      <w:hyperlink w:anchor="SENTENCIA_2024_100" w:history="1">
        <w:r w:rsidRPr="007D5795">
          <w:rPr>
            <w:rStyle w:val="TextoNormalCaracter"/>
          </w:rPr>
          <w:t>100/2024</w:t>
        </w:r>
      </w:hyperlink>
      <w:r>
        <w:t xml:space="preserve">, VP II; </w:t>
      </w:r>
      <w:hyperlink w:anchor="SENTENCIA_2024_107" w:history="1">
        <w:r w:rsidRPr="007D5795">
          <w:rPr>
            <w:rStyle w:val="TextoNormalCaracter"/>
          </w:rPr>
          <w:t>107/2024</w:t>
        </w:r>
      </w:hyperlink>
      <w:r>
        <w:t xml:space="preserve">, ff. 1, 3; </w:t>
      </w:r>
      <w:hyperlink w:anchor="SENTENCIA_2024_110" w:history="1">
        <w:r w:rsidRPr="007D5795">
          <w:rPr>
            <w:rStyle w:val="TextoNormalCaracter"/>
          </w:rPr>
          <w:t>110/2024</w:t>
        </w:r>
      </w:hyperlink>
      <w:r>
        <w:t xml:space="preserve">, f. 3; </w:t>
      </w:r>
      <w:hyperlink w:anchor="SENTENCIA_2024_141" w:history="1">
        <w:r w:rsidRPr="007D5795">
          <w:rPr>
            <w:rStyle w:val="TextoNormalCaracter"/>
          </w:rPr>
          <w:t>141/2024</w:t>
        </w:r>
      </w:hyperlink>
      <w:r>
        <w:t>, f. 2.</w:t>
      </w:r>
    </w:p>
    <w:p w14:paraId="7B45C876" w14:textId="3BB8C515" w:rsidR="007D5795" w:rsidRDefault="007D5795" w:rsidP="007D5795">
      <w:pPr>
        <w:pStyle w:val="SangriaFrancesaArticulo"/>
      </w:pPr>
      <w:r w:rsidRPr="007D5795">
        <w:rPr>
          <w:rStyle w:val="TextoNormalNegritaCaracter"/>
        </w:rPr>
        <w:t>Artículo 10.</w:t>
      </w:r>
      <w:r w:rsidRPr="007D5795">
        <w:rPr>
          <w:rStyle w:val="TextoNormalCaracter"/>
        </w:rPr>
        <w:t>-</w:t>
      </w:r>
      <w:r>
        <w:t xml:space="preserve"> Sentencias </w:t>
      </w:r>
      <w:hyperlink w:anchor="SENTENCIA_2024_100" w:history="1">
        <w:r w:rsidRPr="007D5795">
          <w:rPr>
            <w:rStyle w:val="TextoNormalCaracter"/>
          </w:rPr>
          <w:t>100/2024</w:t>
        </w:r>
      </w:hyperlink>
      <w:r>
        <w:t xml:space="preserve">, f. 7; </w:t>
      </w:r>
      <w:hyperlink w:anchor="SENTENCIA_2024_120" w:history="1">
        <w:r w:rsidRPr="007D5795">
          <w:rPr>
            <w:rStyle w:val="TextoNormalCaracter"/>
          </w:rPr>
          <w:t>120/2024</w:t>
        </w:r>
      </w:hyperlink>
      <w:r>
        <w:t xml:space="preserve">, ff. 5, 6; </w:t>
      </w:r>
      <w:hyperlink w:anchor="SENTENCIA_2024_132" w:history="1">
        <w:r w:rsidRPr="007D5795">
          <w:rPr>
            <w:rStyle w:val="TextoNormalCaracter"/>
          </w:rPr>
          <w:t>132/2024</w:t>
        </w:r>
      </w:hyperlink>
      <w:r>
        <w:t xml:space="preserve">, VP I, VP II; </w:t>
      </w:r>
      <w:hyperlink w:anchor="SENTENCIA_2024_136" w:history="1">
        <w:r w:rsidRPr="007D5795">
          <w:rPr>
            <w:rStyle w:val="TextoNormalCaracter"/>
          </w:rPr>
          <w:t>136/2024</w:t>
        </w:r>
      </w:hyperlink>
      <w:r>
        <w:t xml:space="preserve">, f. 4; </w:t>
      </w:r>
      <w:hyperlink w:anchor="SENTENCIA_2024_142" w:history="1">
        <w:r w:rsidRPr="007D5795">
          <w:rPr>
            <w:rStyle w:val="TextoNormalCaracter"/>
          </w:rPr>
          <w:t>142/2024</w:t>
        </w:r>
      </w:hyperlink>
      <w:r>
        <w:t xml:space="preserve">, f. 5; </w:t>
      </w:r>
      <w:hyperlink w:anchor="SENTENCIA_2024_146" w:history="1">
        <w:r w:rsidRPr="007D5795">
          <w:rPr>
            <w:rStyle w:val="TextoNormalCaracter"/>
          </w:rPr>
          <w:t>146/2024</w:t>
        </w:r>
      </w:hyperlink>
      <w:r>
        <w:t>, ff. 2, 3, 5, 8.</w:t>
      </w:r>
    </w:p>
    <w:p w14:paraId="5B77904D" w14:textId="3F4A7A88" w:rsidR="007D5795" w:rsidRDefault="007D5795" w:rsidP="007D5795">
      <w:pPr>
        <w:pStyle w:val="SangriaFrancesaArticulo"/>
      </w:pPr>
      <w:r w:rsidRPr="007D5795">
        <w:rPr>
          <w:rStyle w:val="TextoNormalNegritaCaracter"/>
        </w:rPr>
        <w:t>Artículo 10.1.</w:t>
      </w:r>
      <w:r w:rsidRPr="007D5795">
        <w:rPr>
          <w:rStyle w:val="TextoNormalCaracter"/>
        </w:rPr>
        <w:t>-</w:t>
      </w:r>
      <w:r>
        <w:t xml:space="preserve"> Sentencias </w:t>
      </w:r>
      <w:hyperlink w:anchor="SENTENCIA_2024_120" w:history="1">
        <w:r w:rsidRPr="007D5795">
          <w:rPr>
            <w:rStyle w:val="TextoNormalCaracter"/>
          </w:rPr>
          <w:t>120/2024</w:t>
        </w:r>
      </w:hyperlink>
      <w:r>
        <w:t xml:space="preserve">, f. 5; </w:t>
      </w:r>
      <w:hyperlink w:anchor="SENTENCIA_2024_140" w:history="1">
        <w:r w:rsidRPr="007D5795">
          <w:rPr>
            <w:rStyle w:val="TextoNormalCaracter"/>
          </w:rPr>
          <w:t>140/2024</w:t>
        </w:r>
      </w:hyperlink>
      <w:r>
        <w:t xml:space="preserve">, ff. 1, 2; </w:t>
      </w:r>
      <w:hyperlink w:anchor="SENTENCIA_2024_142" w:history="1">
        <w:r w:rsidRPr="007D5795">
          <w:rPr>
            <w:rStyle w:val="TextoNormalCaracter"/>
          </w:rPr>
          <w:t>142/2024</w:t>
        </w:r>
      </w:hyperlink>
      <w:r>
        <w:t>, ff. 1, 5.</w:t>
      </w:r>
    </w:p>
    <w:p w14:paraId="1B1B2807" w14:textId="6F20057B" w:rsidR="007D5795" w:rsidRDefault="007D5795" w:rsidP="007D5795">
      <w:pPr>
        <w:pStyle w:val="SangriaIzquierdaArticulo"/>
      </w:pPr>
      <w:r>
        <w:t xml:space="preserve">Autos </w:t>
      </w:r>
      <w:hyperlink w:anchor="AUTO_2024_89" w:history="1">
        <w:r w:rsidRPr="007D5795">
          <w:rPr>
            <w:rStyle w:val="TextoNormalCaracter"/>
          </w:rPr>
          <w:t>89/2024</w:t>
        </w:r>
      </w:hyperlink>
      <w:r>
        <w:t xml:space="preserve">, f. 2; </w:t>
      </w:r>
      <w:hyperlink w:anchor="AUTO_2024_126" w:history="1">
        <w:r w:rsidRPr="007D5795">
          <w:rPr>
            <w:rStyle w:val="TextoNormalCaracter"/>
          </w:rPr>
          <w:t>126/2024</w:t>
        </w:r>
      </w:hyperlink>
      <w:r>
        <w:t>, f. 5.</w:t>
      </w:r>
    </w:p>
    <w:p w14:paraId="42EFE893" w14:textId="12065645" w:rsidR="007D5795" w:rsidRDefault="007D5795" w:rsidP="007D5795">
      <w:pPr>
        <w:pStyle w:val="SangriaFrancesaArticulo"/>
      </w:pPr>
      <w:r w:rsidRPr="007D5795">
        <w:rPr>
          <w:rStyle w:val="TextoNormalNegritaCaracter"/>
        </w:rPr>
        <w:t>Artículo 10.2.</w:t>
      </w:r>
      <w:r w:rsidRPr="007D5795">
        <w:rPr>
          <w:rStyle w:val="TextoNormalCaracter"/>
        </w:rPr>
        <w:t>-</w:t>
      </w:r>
      <w:r>
        <w:t xml:space="preserve"> Sentencias </w:t>
      </w:r>
      <w:hyperlink w:anchor="SENTENCIA_2024_115" w:history="1">
        <w:r w:rsidRPr="007D5795">
          <w:rPr>
            <w:rStyle w:val="TextoNormalCaracter"/>
          </w:rPr>
          <w:t>115/2024</w:t>
        </w:r>
      </w:hyperlink>
      <w:r>
        <w:t xml:space="preserve">, f. 3, VP I, VP II; </w:t>
      </w:r>
      <w:hyperlink w:anchor="SENTENCIA_2024_124" w:history="1">
        <w:r w:rsidRPr="007D5795">
          <w:rPr>
            <w:rStyle w:val="TextoNormalCaracter"/>
          </w:rPr>
          <w:t>124/2024</w:t>
        </w:r>
      </w:hyperlink>
      <w:r>
        <w:t xml:space="preserve">, f. 2; </w:t>
      </w:r>
      <w:hyperlink w:anchor="SENTENCIA_2024_126" w:history="1">
        <w:r w:rsidRPr="007D5795">
          <w:rPr>
            <w:rStyle w:val="TextoNormalCaracter"/>
          </w:rPr>
          <w:t>126/2024</w:t>
        </w:r>
      </w:hyperlink>
      <w:r>
        <w:t xml:space="preserve">, f. 2; </w:t>
      </w:r>
      <w:hyperlink w:anchor="SENTENCIA_2024_132" w:history="1">
        <w:r w:rsidRPr="007D5795">
          <w:rPr>
            <w:rStyle w:val="TextoNormalCaracter"/>
          </w:rPr>
          <w:t>132/2024</w:t>
        </w:r>
      </w:hyperlink>
      <w:r>
        <w:t xml:space="preserve">, f. 3, VP I; </w:t>
      </w:r>
      <w:hyperlink w:anchor="SENTENCIA_2024_139" w:history="1">
        <w:r w:rsidRPr="007D5795">
          <w:rPr>
            <w:rStyle w:val="TextoNormalCaracter"/>
          </w:rPr>
          <w:t>139/2024</w:t>
        </w:r>
      </w:hyperlink>
      <w:r>
        <w:t xml:space="preserve">, VP II; </w:t>
      </w:r>
      <w:hyperlink w:anchor="SENTENCIA_2024_140" w:history="1">
        <w:r w:rsidRPr="007D5795">
          <w:rPr>
            <w:rStyle w:val="TextoNormalCaracter"/>
          </w:rPr>
          <w:t>140/2024</w:t>
        </w:r>
      </w:hyperlink>
      <w:r>
        <w:t xml:space="preserve">, ff. 1, 2, 4; </w:t>
      </w:r>
      <w:hyperlink w:anchor="SENTENCIA_2024_142" w:history="1">
        <w:r w:rsidRPr="007D5795">
          <w:rPr>
            <w:rStyle w:val="TextoNormalCaracter"/>
          </w:rPr>
          <w:t>142/2024</w:t>
        </w:r>
      </w:hyperlink>
      <w:r>
        <w:t xml:space="preserve">, f. 3, VP; </w:t>
      </w:r>
      <w:hyperlink w:anchor="SENTENCIA_2024_145" w:history="1">
        <w:r w:rsidRPr="007D5795">
          <w:rPr>
            <w:rStyle w:val="TextoNormalCaracter"/>
          </w:rPr>
          <w:t>145/2024</w:t>
        </w:r>
      </w:hyperlink>
      <w:r>
        <w:t>, f. 4.</w:t>
      </w:r>
    </w:p>
    <w:p w14:paraId="3F087090" w14:textId="1B938D84"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 </w:t>
      </w:r>
      <w:hyperlink w:anchor="SENTENCIA_2024_120" w:history="1">
        <w:r w:rsidRPr="007D5795">
          <w:rPr>
            <w:rStyle w:val="TextoNormalCaracter"/>
          </w:rPr>
          <w:t>120/2024</w:t>
        </w:r>
      </w:hyperlink>
      <w:r>
        <w:t>, f. 6.</w:t>
      </w:r>
    </w:p>
    <w:p w14:paraId="496C045E" w14:textId="7A121AF5" w:rsidR="007D5795" w:rsidRDefault="007D5795" w:rsidP="007D5795">
      <w:pPr>
        <w:pStyle w:val="SangriaFrancesaArticulo"/>
      </w:pPr>
      <w:r w:rsidRPr="007D5795">
        <w:rPr>
          <w:rStyle w:val="TextoNormalNegritaCaracter"/>
        </w:rPr>
        <w:t>Artículo 12.</w:t>
      </w:r>
      <w:r w:rsidRPr="007D5795">
        <w:rPr>
          <w:rStyle w:val="TextoNormalCaracter"/>
        </w:rPr>
        <w:t>-</w:t>
      </w:r>
      <w:r>
        <w:t xml:space="preserve"> Sentencia </w:t>
      </w:r>
      <w:hyperlink w:anchor="SENTENCIA_2024_120" w:history="1">
        <w:r w:rsidRPr="007D5795">
          <w:rPr>
            <w:rStyle w:val="TextoNormalCaracter"/>
          </w:rPr>
          <w:t>120/2024</w:t>
        </w:r>
      </w:hyperlink>
      <w:r>
        <w:t>, ff. 5, 6.</w:t>
      </w:r>
    </w:p>
    <w:p w14:paraId="1E2080EA" w14:textId="1AFE82E6" w:rsidR="007D5795" w:rsidRDefault="007D5795" w:rsidP="007D5795">
      <w:pPr>
        <w:pStyle w:val="SangriaFrancesaArticulo"/>
      </w:pPr>
      <w:r w:rsidRPr="007D5795">
        <w:rPr>
          <w:rStyle w:val="TextoNormalNegritaCaracter"/>
        </w:rPr>
        <w:t>Artículo 13.</w:t>
      </w:r>
      <w:r w:rsidRPr="007D5795">
        <w:rPr>
          <w:rStyle w:val="TextoNormalCaracter"/>
        </w:rPr>
        <w:t>-</w:t>
      </w:r>
      <w:r>
        <w:t xml:space="preserve"> Sentencia </w:t>
      </w:r>
      <w:hyperlink w:anchor="SENTENCIA_2024_120" w:history="1">
        <w:r w:rsidRPr="007D5795">
          <w:rPr>
            <w:rStyle w:val="TextoNormalCaracter"/>
          </w:rPr>
          <w:t>120/2024</w:t>
        </w:r>
      </w:hyperlink>
      <w:r>
        <w:t>, ff. 2, 8, VP III.</w:t>
      </w:r>
    </w:p>
    <w:p w14:paraId="2EFE910E" w14:textId="5D48A0F2" w:rsidR="007D5795" w:rsidRDefault="007D5795" w:rsidP="007D5795">
      <w:pPr>
        <w:pStyle w:val="SangriaFrancesaArticulo"/>
      </w:pPr>
      <w:r w:rsidRPr="007D5795">
        <w:rPr>
          <w:rStyle w:val="TextoNormalNegritaCaracter"/>
        </w:rPr>
        <w:t>Artículo 14.</w:t>
      </w:r>
      <w:r w:rsidRPr="007D5795">
        <w:rPr>
          <w:rStyle w:val="TextoNormalCaracter"/>
        </w:rPr>
        <w:t>-</w:t>
      </w:r>
      <w:r>
        <w:t xml:space="preserve"> Sentencias </w:t>
      </w:r>
      <w:hyperlink w:anchor="SENTENCIA_2024_96" w:history="1">
        <w:r w:rsidRPr="007D5795">
          <w:rPr>
            <w:rStyle w:val="TextoNormalCaracter"/>
          </w:rPr>
          <w:t>96/2024</w:t>
        </w:r>
      </w:hyperlink>
      <w:r>
        <w:t xml:space="preserve">, VP II; </w:t>
      </w:r>
      <w:hyperlink w:anchor="SENTENCIA_2024_97" w:history="1">
        <w:r w:rsidRPr="007D5795">
          <w:rPr>
            <w:rStyle w:val="TextoNormalCaracter"/>
          </w:rPr>
          <w:t>97/2024</w:t>
        </w:r>
      </w:hyperlink>
      <w:r>
        <w:t xml:space="preserve">, VP II; </w:t>
      </w:r>
      <w:hyperlink w:anchor="SENTENCIA_2024_98" w:history="1">
        <w:r w:rsidRPr="007D5795">
          <w:rPr>
            <w:rStyle w:val="TextoNormalCaracter"/>
          </w:rPr>
          <w:t>98/2024</w:t>
        </w:r>
      </w:hyperlink>
      <w:r>
        <w:t xml:space="preserve">, VP II; </w:t>
      </w:r>
      <w:hyperlink w:anchor="SENTENCIA_2024_100" w:history="1">
        <w:r w:rsidRPr="007D5795">
          <w:rPr>
            <w:rStyle w:val="TextoNormalCaracter"/>
          </w:rPr>
          <w:t>100/2024</w:t>
        </w:r>
      </w:hyperlink>
      <w:r>
        <w:t xml:space="preserve">, VP II; </w:t>
      </w:r>
      <w:hyperlink w:anchor="SENTENCIA_2024_111" w:history="1">
        <w:r w:rsidRPr="007D5795">
          <w:rPr>
            <w:rStyle w:val="TextoNormalCaracter"/>
          </w:rPr>
          <w:t>111/2024</w:t>
        </w:r>
      </w:hyperlink>
      <w:r>
        <w:t xml:space="preserve">, ff. 1, 3; </w:t>
      </w:r>
      <w:hyperlink w:anchor="SENTENCIA_2024_112" w:history="1">
        <w:r w:rsidRPr="007D5795">
          <w:rPr>
            <w:rStyle w:val="TextoNormalCaracter"/>
          </w:rPr>
          <w:t>112/2024</w:t>
        </w:r>
      </w:hyperlink>
      <w:r>
        <w:t xml:space="preserve">, f. 2; </w:t>
      </w:r>
      <w:hyperlink w:anchor="SENTENCIA_2024_115" w:history="1">
        <w:r w:rsidRPr="007D5795">
          <w:rPr>
            <w:rStyle w:val="TextoNormalCaracter"/>
          </w:rPr>
          <w:t>115/2024</w:t>
        </w:r>
      </w:hyperlink>
      <w:r>
        <w:t xml:space="preserve">, f. 3, VP I; </w:t>
      </w:r>
      <w:hyperlink w:anchor="SENTENCIA_2024_116" w:history="1">
        <w:r w:rsidRPr="007D5795">
          <w:rPr>
            <w:rStyle w:val="TextoNormalCaracter"/>
          </w:rPr>
          <w:t>116/2024</w:t>
        </w:r>
      </w:hyperlink>
      <w:r>
        <w:t xml:space="preserve">, f. 3; </w:t>
      </w:r>
      <w:hyperlink w:anchor="SENTENCIA_2024_117" w:history="1">
        <w:r w:rsidRPr="007D5795">
          <w:rPr>
            <w:rStyle w:val="TextoNormalCaracter"/>
          </w:rPr>
          <w:t>117/2024</w:t>
        </w:r>
      </w:hyperlink>
      <w:r>
        <w:t xml:space="preserve">, f. 2; </w:t>
      </w:r>
      <w:hyperlink w:anchor="SENTENCIA_2024_120" w:history="1">
        <w:r w:rsidRPr="007D5795">
          <w:rPr>
            <w:rStyle w:val="TextoNormalCaracter"/>
          </w:rPr>
          <w:t>120/2024</w:t>
        </w:r>
      </w:hyperlink>
      <w:r>
        <w:t xml:space="preserve">, ff. 1, 3; </w:t>
      </w:r>
      <w:hyperlink w:anchor="SENTENCIA_2024_122" w:history="1">
        <w:r w:rsidRPr="007D5795">
          <w:rPr>
            <w:rStyle w:val="TextoNormalCaracter"/>
          </w:rPr>
          <w:t>122/2024</w:t>
        </w:r>
      </w:hyperlink>
      <w:r>
        <w:t xml:space="preserve">, f. 2; </w:t>
      </w:r>
      <w:hyperlink w:anchor="SENTENCIA_2024_123" w:history="1">
        <w:r w:rsidRPr="007D5795">
          <w:rPr>
            <w:rStyle w:val="TextoNormalCaracter"/>
          </w:rPr>
          <w:t>123/2024</w:t>
        </w:r>
      </w:hyperlink>
      <w:r>
        <w:t xml:space="preserve">, f. 1; </w:t>
      </w:r>
      <w:hyperlink w:anchor="SENTENCIA_2024_131" w:history="1">
        <w:r w:rsidRPr="007D5795">
          <w:rPr>
            <w:rStyle w:val="TextoNormalCaracter"/>
          </w:rPr>
          <w:t>131/2024</w:t>
        </w:r>
      </w:hyperlink>
      <w:r>
        <w:t xml:space="preserve">, ff. 1, 2; </w:t>
      </w:r>
      <w:hyperlink w:anchor="SENTENCIA_2024_140" w:history="1">
        <w:r w:rsidRPr="007D5795">
          <w:rPr>
            <w:rStyle w:val="TextoNormalCaracter"/>
          </w:rPr>
          <w:t>140/2024</w:t>
        </w:r>
      </w:hyperlink>
      <w:r>
        <w:t xml:space="preserve">, ff. 1 a 7, VP I, VP II; </w:t>
      </w:r>
      <w:hyperlink w:anchor="SENTENCIA_2024_145" w:history="1">
        <w:r w:rsidRPr="007D5795">
          <w:rPr>
            <w:rStyle w:val="TextoNormalCaracter"/>
          </w:rPr>
          <w:t>145/2024</w:t>
        </w:r>
      </w:hyperlink>
      <w:r>
        <w:t xml:space="preserve">, f. 3, VP I; </w:t>
      </w:r>
      <w:hyperlink w:anchor="SENTENCIA_2024_146" w:history="1">
        <w:r w:rsidRPr="007D5795">
          <w:rPr>
            <w:rStyle w:val="TextoNormalCaracter"/>
          </w:rPr>
          <w:t>146/2024</w:t>
        </w:r>
      </w:hyperlink>
      <w:r>
        <w:t xml:space="preserve">, f. 8; </w:t>
      </w:r>
      <w:hyperlink w:anchor="SENTENCIA_2024_147" w:history="1">
        <w:r w:rsidRPr="007D5795">
          <w:rPr>
            <w:rStyle w:val="TextoNormalCaracter"/>
          </w:rPr>
          <w:t>147/2024</w:t>
        </w:r>
      </w:hyperlink>
      <w:r>
        <w:t xml:space="preserve">, ff. 1, 3; </w:t>
      </w:r>
      <w:hyperlink w:anchor="SENTENCIA_2024_149" w:history="1">
        <w:r w:rsidRPr="007D5795">
          <w:rPr>
            <w:rStyle w:val="TextoNormalCaracter"/>
          </w:rPr>
          <w:t>149/2024</w:t>
        </w:r>
      </w:hyperlink>
      <w:r>
        <w:t xml:space="preserve">, ff. 1, 3; </w:t>
      </w:r>
      <w:hyperlink w:anchor="SENTENCIA_2024_150" w:history="1">
        <w:r w:rsidRPr="007D5795">
          <w:rPr>
            <w:rStyle w:val="TextoNormalCaracter"/>
          </w:rPr>
          <w:t>150/2024</w:t>
        </w:r>
      </w:hyperlink>
      <w:r>
        <w:t xml:space="preserve">, ff. 1 a 3; </w:t>
      </w:r>
      <w:hyperlink w:anchor="SENTENCIA_2024_151" w:history="1">
        <w:r w:rsidRPr="007D5795">
          <w:rPr>
            <w:rStyle w:val="TextoNormalCaracter"/>
          </w:rPr>
          <w:t>151/2024</w:t>
        </w:r>
      </w:hyperlink>
      <w:r>
        <w:t xml:space="preserve">, ff. 1, 3; </w:t>
      </w:r>
      <w:hyperlink w:anchor="SENTENCIA_2024_152" w:history="1">
        <w:r w:rsidRPr="007D5795">
          <w:rPr>
            <w:rStyle w:val="TextoNormalCaracter"/>
          </w:rPr>
          <w:t>152/2024</w:t>
        </w:r>
      </w:hyperlink>
      <w:r>
        <w:t xml:space="preserve">, ff. 1, 2; </w:t>
      </w:r>
      <w:hyperlink w:anchor="SENTENCIA_2024_155" w:history="1">
        <w:r w:rsidRPr="007D5795">
          <w:rPr>
            <w:rStyle w:val="TextoNormalCaracter"/>
          </w:rPr>
          <w:t>155/2024</w:t>
        </w:r>
      </w:hyperlink>
      <w:r>
        <w:t>, f. 1.</w:t>
      </w:r>
    </w:p>
    <w:p w14:paraId="67DA1A7D" w14:textId="6A07F57A" w:rsidR="007D5795" w:rsidRDefault="007D5795" w:rsidP="007D5795">
      <w:pPr>
        <w:pStyle w:val="SangriaIzquierdaArticulo"/>
      </w:pPr>
      <w:r>
        <w:t xml:space="preserve">Autos </w:t>
      </w:r>
      <w:hyperlink w:anchor="AUTO_2024_73" w:history="1">
        <w:r w:rsidRPr="007D5795">
          <w:rPr>
            <w:rStyle w:val="TextoNormalCaracter"/>
          </w:rPr>
          <w:t>73/2024</w:t>
        </w:r>
      </w:hyperlink>
      <w:r>
        <w:t xml:space="preserve">, f. 1; </w:t>
      </w:r>
      <w:hyperlink w:anchor="AUTO_2024_89" w:history="1">
        <w:r w:rsidRPr="007D5795">
          <w:rPr>
            <w:rStyle w:val="TextoNormalCaracter"/>
          </w:rPr>
          <w:t>89/2024</w:t>
        </w:r>
      </w:hyperlink>
      <w:r>
        <w:t xml:space="preserve">, ff. 1 a 3; </w:t>
      </w:r>
      <w:hyperlink w:anchor="AUTO_2024_101" w:history="1">
        <w:r w:rsidRPr="007D5795">
          <w:rPr>
            <w:rStyle w:val="TextoNormalCaracter"/>
          </w:rPr>
          <w:t>101/2024</w:t>
        </w:r>
      </w:hyperlink>
      <w:r>
        <w:t xml:space="preserve">, ff. 1, 2; </w:t>
      </w:r>
      <w:hyperlink w:anchor="AUTO_2024_102" w:history="1">
        <w:r w:rsidRPr="007D5795">
          <w:rPr>
            <w:rStyle w:val="TextoNormalCaracter"/>
          </w:rPr>
          <w:t>102/2024</w:t>
        </w:r>
      </w:hyperlink>
      <w:r>
        <w:t>, f. 1.</w:t>
      </w:r>
    </w:p>
    <w:p w14:paraId="02EC9F47" w14:textId="7F702D87" w:rsidR="007D5795" w:rsidRDefault="007D5795" w:rsidP="007D5795">
      <w:pPr>
        <w:pStyle w:val="SangriaFrancesaArticulo"/>
      </w:pPr>
      <w:r w:rsidRPr="007D5795">
        <w:rPr>
          <w:rStyle w:val="TextoNormalNegritaCaracter"/>
        </w:rPr>
        <w:t>Artículo 14</w:t>
      </w:r>
      <w:r>
        <w:t xml:space="preserve"> (discriminación por sexo)</w:t>
      </w:r>
      <w:r w:rsidRPr="007D5795">
        <w:rPr>
          <w:rStyle w:val="TextoNormalNegritaCaracter"/>
        </w:rPr>
        <w:t>.</w:t>
      </w:r>
      <w:r w:rsidRPr="007D5795">
        <w:rPr>
          <w:rStyle w:val="TextoNormalCaracter"/>
        </w:rPr>
        <w:t>-</w:t>
      </w:r>
      <w:r>
        <w:t xml:space="preserve"> Sentencias </w:t>
      </w:r>
      <w:hyperlink w:anchor="SENTENCIA_2024_115" w:history="1">
        <w:r w:rsidRPr="007D5795">
          <w:rPr>
            <w:rStyle w:val="TextoNormalCaracter"/>
          </w:rPr>
          <w:t>115/2024</w:t>
        </w:r>
      </w:hyperlink>
      <w:r>
        <w:t xml:space="preserve">, f. 2; </w:t>
      </w:r>
      <w:hyperlink w:anchor="SENTENCIA_2024_132" w:history="1">
        <w:r w:rsidRPr="007D5795">
          <w:rPr>
            <w:rStyle w:val="TextoNormalCaracter"/>
          </w:rPr>
          <w:t>132/2024</w:t>
        </w:r>
      </w:hyperlink>
      <w:r>
        <w:t>, ff. 1, 2, 4, 5, VP I, VP II, VP III.</w:t>
      </w:r>
    </w:p>
    <w:p w14:paraId="317CCCB9" w14:textId="15ACAADD" w:rsidR="007D5795" w:rsidRDefault="007D5795" w:rsidP="007D5795">
      <w:pPr>
        <w:pStyle w:val="SangriaFrancesaArticulo"/>
      </w:pPr>
      <w:r w:rsidRPr="007D5795">
        <w:rPr>
          <w:rStyle w:val="TextoNormalNegritaCaracter"/>
        </w:rPr>
        <w:t>Artículo 15.</w:t>
      </w:r>
      <w:r w:rsidRPr="007D5795">
        <w:rPr>
          <w:rStyle w:val="TextoNormalCaracter"/>
        </w:rPr>
        <w:t>-</w:t>
      </w:r>
      <w:r>
        <w:t xml:space="preserve"> Sentencias </w:t>
      </w:r>
      <w:hyperlink w:anchor="SENTENCIA_2024_105" w:history="1">
        <w:r w:rsidRPr="007D5795">
          <w:rPr>
            <w:rStyle w:val="TextoNormalCaracter"/>
          </w:rPr>
          <w:t>105/2024</w:t>
        </w:r>
      </w:hyperlink>
      <w:r>
        <w:t xml:space="preserve">, ff. 2, 4, 5; </w:t>
      </w:r>
      <w:hyperlink w:anchor="SENTENCIA_2024_115" w:history="1">
        <w:r w:rsidRPr="007D5795">
          <w:rPr>
            <w:rStyle w:val="TextoNormalCaracter"/>
          </w:rPr>
          <w:t>115/2024</w:t>
        </w:r>
      </w:hyperlink>
      <w:r>
        <w:t xml:space="preserve">, f. 2; </w:t>
      </w:r>
      <w:hyperlink w:anchor="SENTENCIA_2024_116" w:history="1">
        <w:r w:rsidRPr="007D5795">
          <w:rPr>
            <w:rStyle w:val="TextoNormalCaracter"/>
          </w:rPr>
          <w:t>116/2024</w:t>
        </w:r>
      </w:hyperlink>
      <w:r>
        <w:t xml:space="preserve">, ff. 1, 3; </w:t>
      </w:r>
      <w:hyperlink w:anchor="SENTENCIA_2024_136" w:history="1">
        <w:r w:rsidRPr="007D5795">
          <w:rPr>
            <w:rStyle w:val="TextoNormalCaracter"/>
          </w:rPr>
          <w:t>136/2024</w:t>
        </w:r>
      </w:hyperlink>
      <w:r>
        <w:t xml:space="preserve">, ff. 1, 2, 4, 5; </w:t>
      </w:r>
      <w:hyperlink w:anchor="SENTENCIA_2024_141" w:history="1">
        <w:r w:rsidRPr="007D5795">
          <w:rPr>
            <w:rStyle w:val="TextoNormalCaracter"/>
          </w:rPr>
          <w:t>141/2024</w:t>
        </w:r>
      </w:hyperlink>
      <w:r>
        <w:t xml:space="preserve">, ff. 1, 3, 4; </w:t>
      </w:r>
      <w:hyperlink w:anchor="SENTENCIA_2024_142" w:history="1">
        <w:r w:rsidRPr="007D5795">
          <w:rPr>
            <w:rStyle w:val="TextoNormalCaracter"/>
          </w:rPr>
          <w:t>142/2024</w:t>
        </w:r>
      </w:hyperlink>
      <w:r>
        <w:t xml:space="preserve">, f. 5, VP; </w:t>
      </w:r>
      <w:hyperlink w:anchor="SENTENCIA_2024_144" w:history="1">
        <w:r w:rsidRPr="007D5795">
          <w:rPr>
            <w:rStyle w:val="TextoNormalCaracter"/>
          </w:rPr>
          <w:t>144/2024</w:t>
        </w:r>
      </w:hyperlink>
      <w:r>
        <w:t>, ff. 1 a 6.</w:t>
      </w:r>
    </w:p>
    <w:p w14:paraId="7589EB20" w14:textId="47C29E24" w:rsidR="007D5795" w:rsidRDefault="007D5795" w:rsidP="007D5795">
      <w:pPr>
        <w:pStyle w:val="SangriaFrancesaArticulo"/>
      </w:pPr>
      <w:r w:rsidRPr="007D5795">
        <w:rPr>
          <w:rStyle w:val="TextoNormalNegritaCaracter"/>
        </w:rPr>
        <w:t>Artículo 16.</w:t>
      </w:r>
      <w:r w:rsidRPr="007D5795">
        <w:rPr>
          <w:rStyle w:val="TextoNormalCaracter"/>
        </w:rPr>
        <w:t>-</w:t>
      </w:r>
      <w:r>
        <w:t xml:space="preserve"> Sentencias </w:t>
      </w:r>
      <w:hyperlink w:anchor="SENTENCIA_2024_132" w:history="1">
        <w:r w:rsidRPr="007D5795">
          <w:rPr>
            <w:rStyle w:val="TextoNormalCaracter"/>
          </w:rPr>
          <w:t>132/2024</w:t>
        </w:r>
      </w:hyperlink>
      <w:r>
        <w:t xml:space="preserve">, ff. 1, 3, 4, VP I, VP II; </w:t>
      </w:r>
      <w:hyperlink w:anchor="SENTENCIA_2024_136" w:history="1">
        <w:r w:rsidRPr="007D5795">
          <w:rPr>
            <w:rStyle w:val="TextoNormalCaracter"/>
          </w:rPr>
          <w:t>136/2024</w:t>
        </w:r>
      </w:hyperlink>
      <w:r>
        <w:t xml:space="preserve">, f. 1; </w:t>
      </w:r>
      <w:hyperlink w:anchor="SENTENCIA_2024_152" w:history="1">
        <w:r w:rsidRPr="007D5795">
          <w:rPr>
            <w:rStyle w:val="TextoNormalCaracter"/>
          </w:rPr>
          <w:t>152/2024</w:t>
        </w:r>
      </w:hyperlink>
      <w:r>
        <w:t>, ff. 1, 2.</w:t>
      </w:r>
    </w:p>
    <w:p w14:paraId="17C5E2EC" w14:textId="2A3B014D" w:rsidR="007D5795" w:rsidRDefault="007D5795" w:rsidP="007D5795">
      <w:pPr>
        <w:pStyle w:val="SangriaIzquierdaArticulo"/>
      </w:pPr>
      <w:r>
        <w:t xml:space="preserve">Auto </w:t>
      </w:r>
      <w:hyperlink w:anchor="AUTO_2024_126" w:history="1">
        <w:r w:rsidRPr="007D5795">
          <w:rPr>
            <w:rStyle w:val="TextoNormalCaracter"/>
          </w:rPr>
          <w:t>126/2024</w:t>
        </w:r>
      </w:hyperlink>
      <w:r>
        <w:t>, f. 5.</w:t>
      </w:r>
    </w:p>
    <w:p w14:paraId="6649FAB8" w14:textId="44409120" w:rsidR="007D5795" w:rsidRDefault="007D5795" w:rsidP="007D5795">
      <w:pPr>
        <w:pStyle w:val="SangriaFrancesaArticulo"/>
      </w:pPr>
      <w:r w:rsidRPr="007D5795">
        <w:rPr>
          <w:rStyle w:val="TextoNormalNegritaCaracter"/>
        </w:rPr>
        <w:t>Artículo 16.1.</w:t>
      </w:r>
      <w:r w:rsidRPr="007D5795">
        <w:rPr>
          <w:rStyle w:val="TextoNormalCaracter"/>
        </w:rPr>
        <w:t>-</w:t>
      </w:r>
      <w:r>
        <w:t xml:space="preserve"> Sentencia </w:t>
      </w:r>
      <w:hyperlink w:anchor="SENTENCIA_2024_132" w:history="1">
        <w:r w:rsidRPr="007D5795">
          <w:rPr>
            <w:rStyle w:val="TextoNormalCaracter"/>
          </w:rPr>
          <w:t>132/2024</w:t>
        </w:r>
      </w:hyperlink>
      <w:r>
        <w:t>, ff. 3, 4, VP II.</w:t>
      </w:r>
    </w:p>
    <w:p w14:paraId="0E7C497A" w14:textId="53021FAA" w:rsidR="007D5795" w:rsidRDefault="007D5795" w:rsidP="007D5795">
      <w:pPr>
        <w:pStyle w:val="SangriaFrancesaArticulo"/>
      </w:pPr>
      <w:r w:rsidRPr="007D5795">
        <w:rPr>
          <w:rStyle w:val="TextoNormalNegritaCaracter"/>
        </w:rPr>
        <w:t>Artículo 16.2.</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591CD439" w14:textId="6F5175DF" w:rsidR="007D5795" w:rsidRDefault="007D5795" w:rsidP="007D5795">
      <w:pPr>
        <w:pStyle w:val="SangriaFrancesaArticulo"/>
      </w:pPr>
      <w:r w:rsidRPr="007D5795">
        <w:rPr>
          <w:rStyle w:val="TextoNormalNegritaCaracter"/>
        </w:rPr>
        <w:t>Artículo 17.</w:t>
      </w:r>
      <w:r w:rsidRPr="007D5795">
        <w:rPr>
          <w:rStyle w:val="TextoNormalCaracter"/>
        </w:rPr>
        <w:t>-</w:t>
      </w:r>
      <w:r>
        <w:t xml:space="preserve"> Sentencias </w:t>
      </w:r>
      <w:hyperlink w:anchor="SENTENCIA_2024_116" w:history="1">
        <w:r w:rsidRPr="007D5795">
          <w:rPr>
            <w:rStyle w:val="TextoNormalCaracter"/>
          </w:rPr>
          <w:t>116/2024</w:t>
        </w:r>
      </w:hyperlink>
      <w:r>
        <w:t xml:space="preserve">, f. 3; </w:t>
      </w:r>
      <w:hyperlink w:anchor="SENTENCIA_2024_122" w:history="1">
        <w:r w:rsidRPr="007D5795">
          <w:rPr>
            <w:rStyle w:val="TextoNormalCaracter"/>
          </w:rPr>
          <w:t>122/2024</w:t>
        </w:r>
      </w:hyperlink>
      <w:r>
        <w:t xml:space="preserve">, ff. 1, 2, 4, 5; </w:t>
      </w:r>
      <w:hyperlink w:anchor="SENTENCIA_2024_136" w:history="1">
        <w:r w:rsidRPr="007D5795">
          <w:rPr>
            <w:rStyle w:val="TextoNormalCaracter"/>
          </w:rPr>
          <w:t>136/2024</w:t>
        </w:r>
      </w:hyperlink>
      <w:r>
        <w:t xml:space="preserve">, ff. 1, 2, 4, 5; </w:t>
      </w:r>
      <w:hyperlink w:anchor="SENTENCIA_2024_141" w:history="1">
        <w:r w:rsidRPr="007D5795">
          <w:rPr>
            <w:rStyle w:val="TextoNormalCaracter"/>
          </w:rPr>
          <w:t>141/2024</w:t>
        </w:r>
      </w:hyperlink>
      <w:r>
        <w:t xml:space="preserve">, ff. 3, 4; </w:t>
      </w:r>
      <w:hyperlink w:anchor="SENTENCIA_2024_148" w:history="1">
        <w:r w:rsidRPr="007D5795">
          <w:rPr>
            <w:rStyle w:val="TextoNormalCaracter"/>
          </w:rPr>
          <w:t>148/2024</w:t>
        </w:r>
      </w:hyperlink>
      <w:r>
        <w:t>, f. 3.</w:t>
      </w:r>
    </w:p>
    <w:p w14:paraId="5B770A17" w14:textId="5BBEA9B4" w:rsidR="007D5795" w:rsidRDefault="007D5795" w:rsidP="007D5795">
      <w:pPr>
        <w:pStyle w:val="SangriaIzquierdaArticulo"/>
      </w:pPr>
      <w:r>
        <w:t xml:space="preserve">Auto </w:t>
      </w:r>
      <w:hyperlink w:anchor="AUTO_2024_86" w:history="1">
        <w:r w:rsidRPr="007D5795">
          <w:rPr>
            <w:rStyle w:val="TextoNormalCaracter"/>
          </w:rPr>
          <w:t>86/2024</w:t>
        </w:r>
      </w:hyperlink>
      <w:r>
        <w:t>, f. 2.</w:t>
      </w:r>
    </w:p>
    <w:p w14:paraId="3C0ABE9D" w14:textId="18C91CEF" w:rsidR="007D5795" w:rsidRDefault="007D5795" w:rsidP="007D5795">
      <w:pPr>
        <w:pStyle w:val="SangriaFrancesaArticulo"/>
      </w:pPr>
      <w:r w:rsidRPr="007D5795">
        <w:rPr>
          <w:rStyle w:val="TextoNormalNegritaCaracter"/>
        </w:rPr>
        <w:t>Artículo 17.1.</w:t>
      </w:r>
      <w:r w:rsidRPr="007D5795">
        <w:rPr>
          <w:rStyle w:val="TextoNormalCaracter"/>
        </w:rPr>
        <w:t>-</w:t>
      </w:r>
      <w:r>
        <w:t xml:space="preserve"> Sentencias </w:t>
      </w:r>
      <w:hyperlink w:anchor="SENTENCIA_2024_98" w:history="1">
        <w:r w:rsidRPr="007D5795">
          <w:rPr>
            <w:rStyle w:val="TextoNormalCaracter"/>
          </w:rPr>
          <w:t>98/2024</w:t>
        </w:r>
      </w:hyperlink>
      <w:r>
        <w:t xml:space="preserve">, f. 6; </w:t>
      </w:r>
      <w:hyperlink w:anchor="SENTENCIA_2024_115" w:history="1">
        <w:r w:rsidRPr="007D5795">
          <w:rPr>
            <w:rStyle w:val="TextoNormalCaracter"/>
          </w:rPr>
          <w:t>115/2024</w:t>
        </w:r>
      </w:hyperlink>
      <w:r>
        <w:t xml:space="preserve">, f. 2; </w:t>
      </w:r>
      <w:hyperlink w:anchor="SENTENCIA_2024_122" w:history="1">
        <w:r w:rsidRPr="007D5795">
          <w:rPr>
            <w:rStyle w:val="TextoNormalCaracter"/>
          </w:rPr>
          <w:t>122/2024</w:t>
        </w:r>
      </w:hyperlink>
      <w:r>
        <w:t xml:space="preserve">, f. 1; </w:t>
      </w:r>
      <w:hyperlink w:anchor="SENTENCIA_2024_141" w:history="1">
        <w:r w:rsidRPr="007D5795">
          <w:rPr>
            <w:rStyle w:val="TextoNormalCaracter"/>
          </w:rPr>
          <w:t>141/2024</w:t>
        </w:r>
      </w:hyperlink>
      <w:r>
        <w:t xml:space="preserve">, ff. 1, 3, 4; </w:t>
      </w:r>
      <w:hyperlink w:anchor="SENTENCIA_2024_148" w:history="1">
        <w:r w:rsidRPr="007D5795">
          <w:rPr>
            <w:rStyle w:val="TextoNormalCaracter"/>
          </w:rPr>
          <w:t>148/2024</w:t>
        </w:r>
      </w:hyperlink>
      <w:r>
        <w:t>, ff. 1 a 5.</w:t>
      </w:r>
    </w:p>
    <w:p w14:paraId="43A1F834" w14:textId="5BE846CE" w:rsidR="007D5795" w:rsidRDefault="007D5795" w:rsidP="007D5795">
      <w:pPr>
        <w:pStyle w:val="SangriaIzquierdaArticulo"/>
      </w:pPr>
      <w:r>
        <w:t xml:space="preserve">Autos </w:t>
      </w:r>
      <w:hyperlink w:anchor="AUTO_2024_94" w:history="1">
        <w:r w:rsidRPr="007D5795">
          <w:rPr>
            <w:rStyle w:val="TextoNormalCaracter"/>
          </w:rPr>
          <w:t>94/2024</w:t>
        </w:r>
      </w:hyperlink>
      <w:r>
        <w:t xml:space="preserve">, f. único; </w:t>
      </w:r>
      <w:hyperlink w:anchor="AUTO_2024_148" w:history="1">
        <w:r w:rsidRPr="007D5795">
          <w:rPr>
            <w:rStyle w:val="TextoNormalCaracter"/>
          </w:rPr>
          <w:t>148/2024</w:t>
        </w:r>
      </w:hyperlink>
      <w:r>
        <w:t>, f. 1.</w:t>
      </w:r>
    </w:p>
    <w:p w14:paraId="0056225E" w14:textId="28EC9113" w:rsidR="007D5795" w:rsidRDefault="007D5795" w:rsidP="007D5795">
      <w:pPr>
        <w:pStyle w:val="SangriaFrancesaArticulo"/>
      </w:pPr>
      <w:r w:rsidRPr="007D5795">
        <w:rPr>
          <w:rStyle w:val="TextoNormalNegritaCaracter"/>
        </w:rPr>
        <w:t>Artículo 17.2.</w:t>
      </w:r>
      <w:r w:rsidRPr="007D5795">
        <w:rPr>
          <w:rStyle w:val="TextoNormalCaracter"/>
        </w:rPr>
        <w:t>-</w:t>
      </w:r>
      <w:r>
        <w:t xml:space="preserve"> Sentencia </w:t>
      </w:r>
      <w:hyperlink w:anchor="SENTENCIA_2024_148" w:history="1">
        <w:r w:rsidRPr="007D5795">
          <w:rPr>
            <w:rStyle w:val="TextoNormalCaracter"/>
          </w:rPr>
          <w:t>148/2024</w:t>
        </w:r>
      </w:hyperlink>
      <w:r>
        <w:t>, f. 3.</w:t>
      </w:r>
    </w:p>
    <w:p w14:paraId="52A8EEBC" w14:textId="344F4A90" w:rsidR="007D5795" w:rsidRDefault="007D5795" w:rsidP="007D5795">
      <w:pPr>
        <w:pStyle w:val="SangriaFrancesaArticulo"/>
      </w:pPr>
      <w:r w:rsidRPr="007D5795">
        <w:rPr>
          <w:rStyle w:val="TextoNormalNegritaCaracter"/>
        </w:rPr>
        <w:t>Artículo 17.3.</w:t>
      </w:r>
      <w:r w:rsidRPr="007D5795">
        <w:rPr>
          <w:rStyle w:val="TextoNormalCaracter"/>
        </w:rPr>
        <w:t>-</w:t>
      </w:r>
      <w:r>
        <w:t xml:space="preserve"> Sentencia </w:t>
      </w:r>
      <w:hyperlink w:anchor="SENTENCIA_2024_148" w:history="1">
        <w:r w:rsidRPr="007D5795">
          <w:rPr>
            <w:rStyle w:val="TextoNormalCaracter"/>
          </w:rPr>
          <w:t>148/2024</w:t>
        </w:r>
      </w:hyperlink>
      <w:r>
        <w:t>, f. 3.</w:t>
      </w:r>
    </w:p>
    <w:p w14:paraId="5D742F3C" w14:textId="384C7523" w:rsidR="007D5795" w:rsidRDefault="007D5795" w:rsidP="007D5795">
      <w:pPr>
        <w:pStyle w:val="SangriaFrancesaArticulo"/>
      </w:pPr>
      <w:r w:rsidRPr="007D5795">
        <w:rPr>
          <w:rStyle w:val="TextoNormalNegritaCaracter"/>
        </w:rPr>
        <w:t>Artículo 17.4.</w:t>
      </w:r>
      <w:r w:rsidRPr="007D5795">
        <w:rPr>
          <w:rStyle w:val="TextoNormalCaracter"/>
        </w:rPr>
        <w:t>-</w:t>
      </w:r>
      <w:r>
        <w:t xml:space="preserve"> Sentencia </w:t>
      </w:r>
      <w:hyperlink w:anchor="SENTENCIA_2024_148" w:history="1">
        <w:r w:rsidRPr="007D5795">
          <w:rPr>
            <w:rStyle w:val="TextoNormalCaracter"/>
          </w:rPr>
          <w:t>148/2024</w:t>
        </w:r>
      </w:hyperlink>
      <w:r>
        <w:t>, f. 3.</w:t>
      </w:r>
    </w:p>
    <w:p w14:paraId="0FD258B9" w14:textId="5345C4FA" w:rsidR="007D5795" w:rsidRDefault="007D5795" w:rsidP="007D5795">
      <w:pPr>
        <w:pStyle w:val="SangriaFrancesaArticulo"/>
      </w:pPr>
      <w:r w:rsidRPr="007D5795">
        <w:rPr>
          <w:rStyle w:val="TextoNormalNegritaCaracter"/>
        </w:rPr>
        <w:t>Artículo 18.</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98" w:history="1">
        <w:r w:rsidRPr="007D5795">
          <w:rPr>
            <w:rStyle w:val="TextoNormalCaracter"/>
          </w:rPr>
          <w:t>98/2024</w:t>
        </w:r>
      </w:hyperlink>
      <w:r>
        <w:t xml:space="preserve">, ff. 1, 7;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xml:space="preserve">, f. 5; </w:t>
      </w:r>
      <w:hyperlink w:anchor="SENTENCIA_2024_116" w:history="1">
        <w:r w:rsidRPr="007D5795">
          <w:rPr>
            <w:rStyle w:val="TextoNormalCaracter"/>
          </w:rPr>
          <w:t>116/2024</w:t>
        </w:r>
      </w:hyperlink>
      <w:r>
        <w:t xml:space="preserve">, f. 3; </w:t>
      </w:r>
      <w:hyperlink w:anchor="SENTENCIA_2024_124" w:history="1">
        <w:r w:rsidRPr="007D5795">
          <w:rPr>
            <w:rStyle w:val="TextoNormalCaracter"/>
          </w:rPr>
          <w:t>124/2024</w:t>
        </w:r>
      </w:hyperlink>
      <w:r>
        <w:t xml:space="preserve">, f. 2; </w:t>
      </w:r>
      <w:hyperlink w:anchor="SENTENCIA_2024_136" w:history="1">
        <w:r w:rsidRPr="007D5795">
          <w:rPr>
            <w:rStyle w:val="TextoNormalCaracter"/>
          </w:rPr>
          <w:t>136/2024</w:t>
        </w:r>
      </w:hyperlink>
      <w:r>
        <w:t xml:space="preserve">, ff. 2, 4, 5; </w:t>
      </w:r>
      <w:hyperlink w:anchor="SENTENCIA_2024_140" w:history="1">
        <w:r w:rsidRPr="007D5795">
          <w:rPr>
            <w:rStyle w:val="TextoNormalCaracter"/>
          </w:rPr>
          <w:t>140/2024</w:t>
        </w:r>
      </w:hyperlink>
      <w:r>
        <w:t xml:space="preserve">, f. 6; </w:t>
      </w:r>
      <w:hyperlink w:anchor="SENTENCIA_2024_141" w:history="1">
        <w:r w:rsidRPr="007D5795">
          <w:rPr>
            <w:rStyle w:val="TextoNormalCaracter"/>
          </w:rPr>
          <w:t>141/2024</w:t>
        </w:r>
      </w:hyperlink>
      <w:r>
        <w:t>, ff. 3, 4.</w:t>
      </w:r>
    </w:p>
    <w:p w14:paraId="30E5C431" w14:textId="3FF678F7" w:rsidR="007D5795" w:rsidRDefault="007D5795" w:rsidP="007D5795">
      <w:pPr>
        <w:pStyle w:val="SangriaFrancesaArticulo"/>
      </w:pPr>
      <w:r w:rsidRPr="007D5795">
        <w:rPr>
          <w:rStyle w:val="TextoNormalNegritaCaracter"/>
        </w:rPr>
        <w:t>Artículo 18.1.</w:t>
      </w:r>
      <w:r w:rsidRPr="007D5795">
        <w:rPr>
          <w:rStyle w:val="TextoNormalCaracter"/>
        </w:rPr>
        <w:t>-</w:t>
      </w:r>
      <w:r>
        <w:t xml:space="preserve"> Sentencias </w:t>
      </w:r>
      <w:hyperlink w:anchor="SENTENCIA_2024_94" w:history="1">
        <w:r w:rsidRPr="007D5795">
          <w:rPr>
            <w:rStyle w:val="TextoNormalCaracter"/>
          </w:rPr>
          <w:t>94/2024</w:t>
        </w:r>
      </w:hyperlink>
      <w:r>
        <w:t xml:space="preserve">, ff. 1, 7; </w:t>
      </w:r>
      <w:hyperlink w:anchor="SENTENCIA_2024_95" w:history="1">
        <w:r w:rsidRPr="007D5795">
          <w:rPr>
            <w:rStyle w:val="TextoNormalCaracter"/>
          </w:rPr>
          <w:t>95/2024</w:t>
        </w:r>
      </w:hyperlink>
      <w:r>
        <w:t xml:space="preserve">, ff. 1, 5; </w:t>
      </w:r>
      <w:hyperlink w:anchor="SENTENCIA_2024_100" w:history="1">
        <w:r w:rsidRPr="007D5795">
          <w:rPr>
            <w:rStyle w:val="TextoNormalCaracter"/>
          </w:rPr>
          <w:t>100/2024</w:t>
        </w:r>
      </w:hyperlink>
      <w:r>
        <w:t xml:space="preserve">, f. 1; </w:t>
      </w:r>
      <w:hyperlink w:anchor="SENTENCIA_2024_101" w:history="1">
        <w:r w:rsidRPr="007D5795">
          <w:rPr>
            <w:rStyle w:val="TextoNormalCaracter"/>
          </w:rPr>
          <w:t>101/2024</w:t>
        </w:r>
      </w:hyperlink>
      <w:r>
        <w:t xml:space="preserve">, ff. 1, 5; </w:t>
      </w:r>
      <w:hyperlink w:anchor="SENTENCIA_2024_118" w:history="1">
        <w:r w:rsidRPr="007D5795">
          <w:rPr>
            <w:rStyle w:val="TextoNormalCaracter"/>
          </w:rPr>
          <w:t>118/2024</w:t>
        </w:r>
      </w:hyperlink>
      <w:r>
        <w:t xml:space="preserve">, VP I; </w:t>
      </w:r>
      <w:hyperlink w:anchor="SENTENCIA_2024_120" w:history="1">
        <w:r w:rsidRPr="007D5795">
          <w:rPr>
            <w:rStyle w:val="TextoNormalCaracter"/>
          </w:rPr>
          <w:t>120/2024</w:t>
        </w:r>
      </w:hyperlink>
      <w:r>
        <w:t xml:space="preserve">, f. 5; </w:t>
      </w:r>
      <w:hyperlink w:anchor="SENTENCIA_2024_136" w:history="1">
        <w:r w:rsidRPr="007D5795">
          <w:rPr>
            <w:rStyle w:val="TextoNormalCaracter"/>
          </w:rPr>
          <w:t>136/2024</w:t>
        </w:r>
      </w:hyperlink>
      <w:r>
        <w:t xml:space="preserve">, ff. 1, 5; </w:t>
      </w:r>
      <w:hyperlink w:anchor="SENTENCIA_2024_140" w:history="1">
        <w:r w:rsidRPr="007D5795">
          <w:rPr>
            <w:rStyle w:val="TextoNormalCaracter"/>
          </w:rPr>
          <w:t>140/2024</w:t>
        </w:r>
      </w:hyperlink>
      <w:r>
        <w:t xml:space="preserve">, f. 2; </w:t>
      </w:r>
      <w:hyperlink w:anchor="SENTENCIA_2024_141" w:history="1">
        <w:r w:rsidRPr="007D5795">
          <w:rPr>
            <w:rStyle w:val="TextoNormalCaracter"/>
          </w:rPr>
          <w:t>141/2024</w:t>
        </w:r>
      </w:hyperlink>
      <w:r>
        <w:t>, ff. 1, 3, 4.</w:t>
      </w:r>
    </w:p>
    <w:p w14:paraId="1E7F6DE8" w14:textId="2037C9BE" w:rsidR="007D5795" w:rsidRDefault="007D5795" w:rsidP="007D5795">
      <w:pPr>
        <w:pStyle w:val="SangriaFrancesaArticulo"/>
      </w:pPr>
      <w:r w:rsidRPr="007D5795">
        <w:rPr>
          <w:rStyle w:val="TextoNormalNegritaCaracter"/>
        </w:rPr>
        <w:t>Artículo 18.2.</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004870BF" w14:textId="01D5EACF" w:rsidR="007D5795" w:rsidRDefault="007D5795" w:rsidP="007D5795">
      <w:pPr>
        <w:pStyle w:val="SangriaFrancesaArticulo"/>
      </w:pPr>
      <w:r w:rsidRPr="007D5795">
        <w:rPr>
          <w:rStyle w:val="TextoNormalNegritaCaracter"/>
        </w:rPr>
        <w:t>Artículo 18.4.</w:t>
      </w:r>
      <w:r w:rsidRPr="007D5795">
        <w:rPr>
          <w:rStyle w:val="TextoNormalCaracter"/>
        </w:rPr>
        <w:t>-</w:t>
      </w:r>
      <w:r>
        <w:t xml:space="preserve"> Sentencia </w:t>
      </w:r>
      <w:hyperlink w:anchor="SENTENCIA_2024_140" w:history="1">
        <w:r w:rsidRPr="007D5795">
          <w:rPr>
            <w:rStyle w:val="TextoNormalCaracter"/>
          </w:rPr>
          <w:t>140/2024</w:t>
        </w:r>
      </w:hyperlink>
      <w:r>
        <w:t>, f. 2.</w:t>
      </w:r>
    </w:p>
    <w:p w14:paraId="156BBC17" w14:textId="5FB58D60" w:rsidR="007D5795" w:rsidRDefault="007D5795" w:rsidP="007D5795">
      <w:pPr>
        <w:pStyle w:val="SangriaFrancesaArticulo"/>
      </w:pPr>
      <w:r w:rsidRPr="007D5795">
        <w:rPr>
          <w:rStyle w:val="TextoNormalNegritaCaracter"/>
        </w:rPr>
        <w:t>Artículo 19.</w:t>
      </w:r>
      <w:r w:rsidRPr="007D5795">
        <w:rPr>
          <w:rStyle w:val="TextoNormalCaracter"/>
        </w:rPr>
        <w:t>-</w:t>
      </w:r>
      <w:r>
        <w:t xml:space="preserve"> Sentencias </w:t>
      </w:r>
      <w:hyperlink w:anchor="SENTENCIA_2024_115" w:history="1">
        <w:r w:rsidRPr="007D5795">
          <w:rPr>
            <w:rStyle w:val="TextoNormalCaracter"/>
          </w:rPr>
          <w:t>115/2024</w:t>
        </w:r>
      </w:hyperlink>
      <w:r>
        <w:t xml:space="preserve">, f. 2; </w:t>
      </w:r>
      <w:hyperlink w:anchor="SENTENCIA_2024_136" w:history="1">
        <w:r w:rsidRPr="007D5795">
          <w:rPr>
            <w:rStyle w:val="TextoNormalCaracter"/>
          </w:rPr>
          <w:t>136/2024</w:t>
        </w:r>
      </w:hyperlink>
      <w:r>
        <w:t xml:space="preserve">, ff. 1, 4, 5, VP; </w:t>
      </w:r>
      <w:hyperlink w:anchor="SENTENCIA_2024_141" w:history="1">
        <w:r w:rsidRPr="007D5795">
          <w:rPr>
            <w:rStyle w:val="TextoNormalCaracter"/>
          </w:rPr>
          <w:t>141/2024</w:t>
        </w:r>
      </w:hyperlink>
      <w:r>
        <w:t>, ff. 1, 3, 4.</w:t>
      </w:r>
    </w:p>
    <w:p w14:paraId="34FCD95B" w14:textId="264A6220" w:rsidR="007D5795" w:rsidRDefault="007D5795" w:rsidP="007D5795">
      <w:pPr>
        <w:pStyle w:val="SangriaFrancesaArticulo"/>
      </w:pPr>
      <w:r w:rsidRPr="007D5795">
        <w:rPr>
          <w:rStyle w:val="TextoNormalNegritaCaracter"/>
        </w:rPr>
        <w:t>Artículo 20.</w:t>
      </w:r>
      <w:r w:rsidRPr="007D5795">
        <w:rPr>
          <w:rStyle w:val="TextoNormalCaracter"/>
        </w:rPr>
        <w:t>-</w:t>
      </w:r>
      <w:r>
        <w:t xml:space="preserve"> Sentencia </w:t>
      </w:r>
      <w:hyperlink w:anchor="SENTENCIA_2024_152" w:history="1">
        <w:r w:rsidRPr="007D5795">
          <w:rPr>
            <w:rStyle w:val="TextoNormalCaracter"/>
          </w:rPr>
          <w:t>152/2024</w:t>
        </w:r>
      </w:hyperlink>
      <w:r>
        <w:t>, ff. 1, 2.</w:t>
      </w:r>
    </w:p>
    <w:p w14:paraId="667F8EE0" w14:textId="74EA4ECF" w:rsidR="007D5795" w:rsidRDefault="007D5795" w:rsidP="007D5795">
      <w:pPr>
        <w:pStyle w:val="SangriaFrancesaArticulo"/>
      </w:pPr>
      <w:r w:rsidRPr="007D5795">
        <w:rPr>
          <w:rStyle w:val="TextoNormalNegritaCaracter"/>
        </w:rPr>
        <w:t>Artículo 20.1.</w:t>
      </w:r>
      <w:r w:rsidRPr="007D5795">
        <w:rPr>
          <w:rStyle w:val="TextoNormalCaracter"/>
        </w:rPr>
        <w:t>-</w:t>
      </w:r>
      <w:r>
        <w:t xml:space="preserve"> Auto </w:t>
      </w:r>
      <w:hyperlink w:anchor="AUTO_2024_85" w:history="1">
        <w:r w:rsidRPr="007D5795">
          <w:rPr>
            <w:rStyle w:val="TextoNormalCaracter"/>
          </w:rPr>
          <w:t>85/2024</w:t>
        </w:r>
      </w:hyperlink>
      <w:r>
        <w:t>, f. único.</w:t>
      </w:r>
    </w:p>
    <w:p w14:paraId="4C580A75" w14:textId="604D4A26" w:rsidR="007D5795" w:rsidRDefault="007D5795" w:rsidP="007D5795">
      <w:pPr>
        <w:pStyle w:val="SangriaFrancesaArticulo"/>
      </w:pPr>
      <w:r w:rsidRPr="007D5795">
        <w:rPr>
          <w:rStyle w:val="TextoNormalNegritaCaracter"/>
        </w:rPr>
        <w:t>Artículo 20.1 a).</w:t>
      </w:r>
      <w:r w:rsidRPr="007D5795">
        <w:rPr>
          <w:rStyle w:val="TextoNormalCaracter"/>
        </w:rPr>
        <w:t>-</w:t>
      </w:r>
      <w:r>
        <w:t xml:space="preserve"> Sentencia </w:t>
      </w:r>
      <w:hyperlink w:anchor="SENTENCIA_2024_118" w:history="1">
        <w:r w:rsidRPr="007D5795">
          <w:rPr>
            <w:rStyle w:val="TextoNormalCaracter"/>
          </w:rPr>
          <w:t>118/2024</w:t>
        </w:r>
      </w:hyperlink>
      <w:r>
        <w:t>, VP I.</w:t>
      </w:r>
    </w:p>
    <w:p w14:paraId="599A32C5" w14:textId="15267E67" w:rsidR="007D5795" w:rsidRDefault="007D5795" w:rsidP="007D5795">
      <w:pPr>
        <w:pStyle w:val="SangriaIzquierdaArticulo"/>
      </w:pPr>
      <w:r>
        <w:t xml:space="preserve">Auto </w:t>
      </w:r>
      <w:hyperlink w:anchor="AUTO_2024_85" w:history="1">
        <w:r w:rsidRPr="007D5795">
          <w:rPr>
            <w:rStyle w:val="TextoNormalCaracter"/>
          </w:rPr>
          <w:t>85/2024</w:t>
        </w:r>
      </w:hyperlink>
      <w:r>
        <w:t>, VP.</w:t>
      </w:r>
    </w:p>
    <w:p w14:paraId="7E629D9E" w14:textId="2F8FE068" w:rsidR="007D5795" w:rsidRDefault="007D5795" w:rsidP="007D5795">
      <w:pPr>
        <w:pStyle w:val="SangriaFrancesaArticulo"/>
      </w:pPr>
      <w:r w:rsidRPr="007D5795">
        <w:rPr>
          <w:rStyle w:val="TextoNormalNegritaCaracter"/>
        </w:rPr>
        <w:t>Artículo 20.1 d).</w:t>
      </w:r>
      <w:r w:rsidRPr="007D5795">
        <w:rPr>
          <w:rStyle w:val="TextoNormalCaracter"/>
        </w:rPr>
        <w:t>-</w:t>
      </w:r>
      <w:r>
        <w:t xml:space="preserve"> Sentencia </w:t>
      </w:r>
      <w:hyperlink w:anchor="SENTENCIA_2024_118" w:history="1">
        <w:r w:rsidRPr="007D5795">
          <w:rPr>
            <w:rStyle w:val="TextoNormalCaracter"/>
          </w:rPr>
          <w:t>118/2024</w:t>
        </w:r>
      </w:hyperlink>
      <w:r>
        <w:t>, VP I.</w:t>
      </w:r>
    </w:p>
    <w:p w14:paraId="46B622DE" w14:textId="689510EF" w:rsidR="007D5795" w:rsidRDefault="007D5795" w:rsidP="007D5795">
      <w:pPr>
        <w:pStyle w:val="SangriaFrancesaArticulo"/>
      </w:pPr>
      <w:r w:rsidRPr="007D5795">
        <w:rPr>
          <w:rStyle w:val="TextoNormalNegritaCaracter"/>
        </w:rPr>
        <w:t>Artículo 21.</w:t>
      </w:r>
      <w:r w:rsidRPr="007D5795">
        <w:rPr>
          <w:rStyle w:val="TextoNormalCaracter"/>
        </w:rPr>
        <w:t>-</w:t>
      </w:r>
      <w:r>
        <w:t xml:space="preserve"> Sentencias </w:t>
      </w:r>
      <w:hyperlink w:anchor="SENTENCIA_2024_136" w:history="1">
        <w:r w:rsidRPr="007D5795">
          <w:rPr>
            <w:rStyle w:val="TextoNormalCaracter"/>
          </w:rPr>
          <w:t>136/2024</w:t>
        </w:r>
      </w:hyperlink>
      <w:r>
        <w:t xml:space="preserve">, ff. 1, 2, 4, 5; </w:t>
      </w:r>
      <w:hyperlink w:anchor="SENTENCIA_2024_141" w:history="1">
        <w:r w:rsidRPr="007D5795">
          <w:rPr>
            <w:rStyle w:val="TextoNormalCaracter"/>
          </w:rPr>
          <w:t>141/2024</w:t>
        </w:r>
      </w:hyperlink>
      <w:r>
        <w:t>, ff. 1, 3, 4.</w:t>
      </w:r>
    </w:p>
    <w:p w14:paraId="703C58B2" w14:textId="6F813254" w:rsidR="007D5795" w:rsidRDefault="007D5795" w:rsidP="007D5795">
      <w:pPr>
        <w:pStyle w:val="SangriaFrancesaArticulo"/>
      </w:pPr>
      <w:r w:rsidRPr="007D5795">
        <w:rPr>
          <w:rStyle w:val="TextoNormalNegritaCaracter"/>
        </w:rPr>
        <w:t>Artículo 21.1.</w:t>
      </w:r>
      <w:r w:rsidRPr="007D5795">
        <w:rPr>
          <w:rStyle w:val="TextoNormalCaracter"/>
        </w:rPr>
        <w:t>-</w:t>
      </w:r>
      <w:r>
        <w:t xml:space="preserve"> Sentencias </w:t>
      </w:r>
      <w:hyperlink w:anchor="SENTENCIA_2024_136" w:history="1">
        <w:r w:rsidRPr="007D5795">
          <w:rPr>
            <w:rStyle w:val="TextoNormalCaracter"/>
          </w:rPr>
          <w:t>136/2024</w:t>
        </w:r>
      </w:hyperlink>
      <w:r>
        <w:t xml:space="preserve">, f. 5; </w:t>
      </w:r>
      <w:hyperlink w:anchor="SENTENCIA_2024_141" w:history="1">
        <w:r w:rsidRPr="007D5795">
          <w:rPr>
            <w:rStyle w:val="TextoNormalCaracter"/>
          </w:rPr>
          <w:t>141/2024</w:t>
        </w:r>
      </w:hyperlink>
      <w:r>
        <w:t>, f. 3.</w:t>
      </w:r>
    </w:p>
    <w:p w14:paraId="59C65324" w14:textId="4F42EB38" w:rsidR="007D5795" w:rsidRDefault="007D5795" w:rsidP="007D5795">
      <w:pPr>
        <w:pStyle w:val="SangriaFrancesaArticulo"/>
      </w:pPr>
      <w:r w:rsidRPr="007D5795">
        <w:rPr>
          <w:rStyle w:val="TextoNormalNegritaCaracter"/>
        </w:rPr>
        <w:t>Artículo 21.2.</w:t>
      </w:r>
      <w:r w:rsidRPr="007D5795">
        <w:rPr>
          <w:rStyle w:val="TextoNormalCaracter"/>
        </w:rPr>
        <w:t>-</w:t>
      </w:r>
      <w:r>
        <w:t xml:space="preserve"> Sentencias </w:t>
      </w:r>
      <w:hyperlink w:anchor="SENTENCIA_2024_136" w:history="1">
        <w:r w:rsidRPr="007D5795">
          <w:rPr>
            <w:rStyle w:val="TextoNormalCaracter"/>
          </w:rPr>
          <w:t>136/2024</w:t>
        </w:r>
      </w:hyperlink>
      <w:r>
        <w:t xml:space="preserve">, f. 5; </w:t>
      </w:r>
      <w:hyperlink w:anchor="SENTENCIA_2024_141" w:history="1">
        <w:r w:rsidRPr="007D5795">
          <w:rPr>
            <w:rStyle w:val="TextoNormalCaracter"/>
          </w:rPr>
          <w:t>141/2024</w:t>
        </w:r>
      </w:hyperlink>
      <w:r>
        <w:t>, f. 3.</w:t>
      </w:r>
    </w:p>
    <w:p w14:paraId="5F1B5422" w14:textId="313DC681" w:rsidR="007D5795" w:rsidRDefault="007D5795" w:rsidP="007D5795">
      <w:pPr>
        <w:pStyle w:val="SangriaFrancesaArticulo"/>
      </w:pPr>
      <w:r w:rsidRPr="007D5795">
        <w:rPr>
          <w:rStyle w:val="TextoNormalNegritaCaracter"/>
        </w:rPr>
        <w:t>Artículo 22.</w:t>
      </w:r>
      <w:r w:rsidRPr="007D5795">
        <w:rPr>
          <w:rStyle w:val="TextoNormalCaracter"/>
        </w:rPr>
        <w:t>-</w:t>
      </w:r>
      <w:r>
        <w:t xml:space="preserve"> Sentencia </w:t>
      </w:r>
      <w:hyperlink w:anchor="SENTENCIA_2024_132" w:history="1">
        <w:r w:rsidRPr="007D5795">
          <w:rPr>
            <w:rStyle w:val="TextoNormalCaracter"/>
          </w:rPr>
          <w:t>132/2024</w:t>
        </w:r>
      </w:hyperlink>
      <w:r>
        <w:t>, ff. 1 a 5, VP II, VP III.</w:t>
      </w:r>
    </w:p>
    <w:p w14:paraId="7CF45FB8" w14:textId="006F0103" w:rsidR="007D5795" w:rsidRDefault="007D5795" w:rsidP="007D5795">
      <w:pPr>
        <w:pStyle w:val="SangriaIzquierdaArticulo"/>
      </w:pPr>
      <w:r>
        <w:t xml:space="preserve">Auto </w:t>
      </w:r>
      <w:hyperlink w:anchor="AUTO_2024_96" w:history="1">
        <w:r w:rsidRPr="007D5795">
          <w:rPr>
            <w:rStyle w:val="TextoNormalCaracter"/>
          </w:rPr>
          <w:t>96/2024</w:t>
        </w:r>
      </w:hyperlink>
      <w:r>
        <w:t>, f. 3.</w:t>
      </w:r>
    </w:p>
    <w:p w14:paraId="29416DE8" w14:textId="7D1E8639" w:rsidR="007D5795" w:rsidRDefault="007D5795" w:rsidP="007D5795">
      <w:pPr>
        <w:pStyle w:val="SangriaFrancesaArticulo"/>
      </w:pPr>
      <w:r w:rsidRPr="007D5795">
        <w:rPr>
          <w:rStyle w:val="TextoNormalNegritaCaracter"/>
        </w:rPr>
        <w:t>Artículo 23.</w:t>
      </w:r>
      <w:r w:rsidRPr="007D5795">
        <w:rPr>
          <w:rStyle w:val="TextoNormalCaracter"/>
        </w:rPr>
        <w:t>-</w:t>
      </w:r>
      <w:r>
        <w:t xml:space="preserve"> Sentencias </w:t>
      </w:r>
      <w:hyperlink w:anchor="SENTENCIA_2024_131" w:history="1">
        <w:r w:rsidRPr="007D5795">
          <w:rPr>
            <w:rStyle w:val="TextoNormalCaracter"/>
          </w:rPr>
          <w:t>131/2024</w:t>
        </w:r>
      </w:hyperlink>
      <w:r>
        <w:t xml:space="preserve">, f. 1; </w:t>
      </w:r>
      <w:hyperlink w:anchor="SENTENCIA_2024_139" w:history="1">
        <w:r w:rsidRPr="007D5795">
          <w:rPr>
            <w:rStyle w:val="TextoNormalCaracter"/>
          </w:rPr>
          <w:t>139/2024</w:t>
        </w:r>
      </w:hyperlink>
      <w:r>
        <w:t xml:space="preserve">, ff. 1, 4, VP II; </w:t>
      </w:r>
      <w:hyperlink w:anchor="SENTENCIA_2024_143" w:history="1">
        <w:r w:rsidRPr="007D5795">
          <w:rPr>
            <w:rStyle w:val="TextoNormalCaracter"/>
          </w:rPr>
          <w:t>143/2024</w:t>
        </w:r>
      </w:hyperlink>
      <w:r>
        <w:t xml:space="preserve">, f. 3; </w:t>
      </w:r>
      <w:hyperlink w:anchor="SENTENCIA_2024_152" w:history="1">
        <w:r w:rsidRPr="007D5795">
          <w:rPr>
            <w:rStyle w:val="TextoNormalCaracter"/>
          </w:rPr>
          <w:t>152/2024</w:t>
        </w:r>
      </w:hyperlink>
      <w:r>
        <w:t xml:space="preserve">, ff. 1 a 4; </w:t>
      </w:r>
      <w:hyperlink w:anchor="SENTENCIA_2024_153" w:history="1">
        <w:r w:rsidRPr="007D5795">
          <w:rPr>
            <w:rStyle w:val="TextoNormalCaracter"/>
          </w:rPr>
          <w:t>153/2024</w:t>
        </w:r>
      </w:hyperlink>
      <w:r>
        <w:t xml:space="preserve">, f. 2; </w:t>
      </w:r>
      <w:hyperlink w:anchor="SENTENCIA_2024_154" w:history="1">
        <w:r w:rsidRPr="007D5795">
          <w:rPr>
            <w:rStyle w:val="TextoNormalCaracter"/>
          </w:rPr>
          <w:t>154/2024</w:t>
        </w:r>
      </w:hyperlink>
      <w:r>
        <w:t xml:space="preserve">, f. único; </w:t>
      </w:r>
      <w:hyperlink w:anchor="SENTENCIA_2024_156" w:history="1">
        <w:r w:rsidRPr="007D5795">
          <w:rPr>
            <w:rStyle w:val="TextoNormalCaracter"/>
          </w:rPr>
          <w:t>156/2024</w:t>
        </w:r>
      </w:hyperlink>
      <w:r>
        <w:t>, f. único.</w:t>
      </w:r>
    </w:p>
    <w:p w14:paraId="1E3E2478" w14:textId="095E5A50" w:rsidR="007D5795" w:rsidRDefault="007D5795" w:rsidP="007D5795">
      <w:pPr>
        <w:pStyle w:val="SangriaFrancesaArticulo"/>
      </w:pPr>
      <w:r w:rsidRPr="007D5795">
        <w:rPr>
          <w:rStyle w:val="TextoNormalNegritaCaracter"/>
        </w:rPr>
        <w:t>Artículo 23.1.</w:t>
      </w:r>
      <w:r w:rsidRPr="007D5795">
        <w:rPr>
          <w:rStyle w:val="TextoNormalCaracter"/>
        </w:rPr>
        <w:t>-</w:t>
      </w:r>
      <w:r>
        <w:t xml:space="preserve"> Sentencias </w:t>
      </w:r>
      <w:hyperlink w:anchor="SENTENCIA_2024_109" w:history="1">
        <w:r w:rsidRPr="007D5795">
          <w:rPr>
            <w:rStyle w:val="TextoNormalCaracter"/>
          </w:rPr>
          <w:t>109/2024</w:t>
        </w:r>
      </w:hyperlink>
      <w:r>
        <w:t xml:space="preserve">, f. 3; </w:t>
      </w:r>
      <w:hyperlink w:anchor="SENTENCIA_2024_110" w:history="1">
        <w:r w:rsidRPr="007D5795">
          <w:rPr>
            <w:rStyle w:val="TextoNormalCaracter"/>
          </w:rPr>
          <w:t>110/2024</w:t>
        </w:r>
      </w:hyperlink>
      <w:r>
        <w:t xml:space="preserve">, f. 3; </w:t>
      </w:r>
      <w:hyperlink w:anchor="SENTENCIA_2024_152" w:history="1">
        <w:r w:rsidRPr="007D5795">
          <w:rPr>
            <w:rStyle w:val="TextoNormalCaracter"/>
          </w:rPr>
          <w:t>152/2024</w:t>
        </w:r>
      </w:hyperlink>
      <w:r>
        <w:t>, f. 4.</w:t>
      </w:r>
    </w:p>
    <w:p w14:paraId="605625B7" w14:textId="21841B10" w:rsidR="007D5795" w:rsidRDefault="007D5795" w:rsidP="007D5795">
      <w:pPr>
        <w:pStyle w:val="SangriaFrancesaArticulo"/>
      </w:pPr>
      <w:r w:rsidRPr="007D5795">
        <w:rPr>
          <w:rStyle w:val="TextoNormalNegritaCaracter"/>
        </w:rPr>
        <w:t>Artículo 23.2.</w:t>
      </w:r>
      <w:r w:rsidRPr="007D5795">
        <w:rPr>
          <w:rStyle w:val="TextoNormalCaracter"/>
        </w:rPr>
        <w:t>-</w:t>
      </w:r>
      <w:r>
        <w:t xml:space="preserve"> Sentencias </w:t>
      </w:r>
      <w:hyperlink w:anchor="SENTENCIA_2024_109" w:history="1">
        <w:r w:rsidRPr="007D5795">
          <w:rPr>
            <w:rStyle w:val="TextoNormalCaracter"/>
          </w:rPr>
          <w:t>109/2024</w:t>
        </w:r>
      </w:hyperlink>
      <w:r>
        <w:t xml:space="preserve">, ff. 1 a 3; </w:t>
      </w:r>
      <w:hyperlink w:anchor="SENTENCIA_2024_110" w:history="1">
        <w:r w:rsidRPr="007D5795">
          <w:rPr>
            <w:rStyle w:val="TextoNormalCaracter"/>
          </w:rPr>
          <w:t>110/2024</w:t>
        </w:r>
      </w:hyperlink>
      <w:r>
        <w:t xml:space="preserve">, ff. 1 a 3; </w:t>
      </w:r>
      <w:hyperlink w:anchor="SENTENCIA_2024_114" w:history="1">
        <w:r w:rsidRPr="007D5795">
          <w:rPr>
            <w:rStyle w:val="TextoNormalCaracter"/>
          </w:rPr>
          <w:t>114/2024</w:t>
        </w:r>
      </w:hyperlink>
      <w:r>
        <w:t xml:space="preserve">, f. 1, VP; </w:t>
      </w:r>
      <w:hyperlink w:anchor="SENTENCIA_2024_129" w:history="1">
        <w:r w:rsidRPr="007D5795">
          <w:rPr>
            <w:rStyle w:val="TextoNormalCaracter"/>
          </w:rPr>
          <w:t>129/2024</w:t>
        </w:r>
      </w:hyperlink>
      <w:r>
        <w:t xml:space="preserve">, ff. 1, 2; </w:t>
      </w:r>
      <w:hyperlink w:anchor="SENTENCIA_2024_131" w:history="1">
        <w:r w:rsidRPr="007D5795">
          <w:rPr>
            <w:rStyle w:val="TextoNormalCaracter"/>
          </w:rPr>
          <w:t>131/2024</w:t>
        </w:r>
      </w:hyperlink>
      <w:r>
        <w:t xml:space="preserve">, f. 2; </w:t>
      </w:r>
      <w:hyperlink w:anchor="SENTENCIA_2024_137" w:history="1">
        <w:r w:rsidRPr="007D5795">
          <w:rPr>
            <w:rStyle w:val="TextoNormalCaracter"/>
          </w:rPr>
          <w:t>137/2024</w:t>
        </w:r>
      </w:hyperlink>
      <w:r>
        <w:t xml:space="preserve">, ff. 1, 3; </w:t>
      </w:r>
      <w:hyperlink w:anchor="SENTENCIA_2024_138" w:history="1">
        <w:r w:rsidRPr="007D5795">
          <w:rPr>
            <w:rStyle w:val="TextoNormalCaracter"/>
          </w:rPr>
          <w:t>138/2024</w:t>
        </w:r>
      </w:hyperlink>
      <w:r>
        <w:t xml:space="preserve">, ff. 1, 3; </w:t>
      </w:r>
      <w:hyperlink w:anchor="SENTENCIA_2024_139" w:history="1">
        <w:r w:rsidRPr="007D5795">
          <w:rPr>
            <w:rStyle w:val="TextoNormalCaracter"/>
          </w:rPr>
          <w:t>139/2024</w:t>
        </w:r>
      </w:hyperlink>
      <w:r>
        <w:t xml:space="preserve">, f. 4; </w:t>
      </w:r>
      <w:hyperlink w:anchor="SENTENCIA_2024_152" w:history="1">
        <w:r w:rsidRPr="007D5795">
          <w:rPr>
            <w:rStyle w:val="TextoNormalCaracter"/>
          </w:rPr>
          <w:t>152/2024</w:t>
        </w:r>
      </w:hyperlink>
      <w:r>
        <w:t xml:space="preserve">, ff. 4, 5; </w:t>
      </w:r>
      <w:hyperlink w:anchor="SENTENCIA_2024_153" w:history="1">
        <w:r w:rsidRPr="007D5795">
          <w:rPr>
            <w:rStyle w:val="TextoNormalCaracter"/>
          </w:rPr>
          <w:t>153/2024</w:t>
        </w:r>
      </w:hyperlink>
      <w:r>
        <w:t>, ff. 1, 2.</w:t>
      </w:r>
    </w:p>
    <w:p w14:paraId="3E4A19FD" w14:textId="7EB3FFC7" w:rsidR="007D5795" w:rsidRDefault="007D5795" w:rsidP="007D5795">
      <w:pPr>
        <w:pStyle w:val="SangriaIzquierdaArticulo"/>
      </w:pPr>
      <w:r>
        <w:t xml:space="preserve">Auto </w:t>
      </w:r>
      <w:hyperlink w:anchor="AUTO_2024_96" w:history="1">
        <w:r w:rsidRPr="007D5795">
          <w:rPr>
            <w:rStyle w:val="TextoNormalCaracter"/>
          </w:rPr>
          <w:t>96/2024</w:t>
        </w:r>
      </w:hyperlink>
      <w:r>
        <w:t>, f. 3.</w:t>
      </w:r>
    </w:p>
    <w:p w14:paraId="6E6EDC6E" w14:textId="32AC3DC7" w:rsidR="007D5795" w:rsidRDefault="007D5795" w:rsidP="007D5795">
      <w:pPr>
        <w:pStyle w:val="SangriaFrancesaArticulo"/>
      </w:pPr>
      <w:r w:rsidRPr="007D5795">
        <w:rPr>
          <w:rStyle w:val="TextoNormalNegritaCaracter"/>
        </w:rPr>
        <w:t>Artículo 24.</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98" w:history="1">
        <w:r w:rsidRPr="007D5795">
          <w:rPr>
            <w:rStyle w:val="TextoNormalCaracter"/>
          </w:rPr>
          <w:t>98/2024</w:t>
        </w:r>
      </w:hyperlink>
      <w:r>
        <w:t xml:space="preserve">, f. 7; </w:t>
      </w:r>
      <w:hyperlink w:anchor="SENTENCIA_2024_99" w:history="1">
        <w:r w:rsidRPr="007D5795">
          <w:rPr>
            <w:rStyle w:val="TextoNormalCaracter"/>
          </w:rPr>
          <w:t>99/2024</w:t>
        </w:r>
      </w:hyperlink>
      <w:r>
        <w:t xml:space="preserve">, VP III;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xml:space="preserve">, f. 5; </w:t>
      </w:r>
      <w:hyperlink w:anchor="SENTENCIA_2024_106" w:history="1">
        <w:r w:rsidRPr="007D5795">
          <w:rPr>
            <w:rStyle w:val="TextoNormalCaracter"/>
          </w:rPr>
          <w:t>106/2024</w:t>
        </w:r>
      </w:hyperlink>
      <w:r>
        <w:t xml:space="preserve">, ff. 1 a 3; </w:t>
      </w:r>
      <w:hyperlink w:anchor="SENTENCIA_2024_115" w:history="1">
        <w:r w:rsidRPr="007D5795">
          <w:rPr>
            <w:rStyle w:val="TextoNormalCaracter"/>
          </w:rPr>
          <w:t>115/2024</w:t>
        </w:r>
      </w:hyperlink>
      <w:r>
        <w:t xml:space="preserve">, f. 1; </w:t>
      </w:r>
      <w:hyperlink w:anchor="SENTENCIA_2024_116" w:history="1">
        <w:r w:rsidRPr="007D5795">
          <w:rPr>
            <w:rStyle w:val="TextoNormalCaracter"/>
          </w:rPr>
          <w:t>116/2024</w:t>
        </w:r>
      </w:hyperlink>
      <w:r>
        <w:t xml:space="preserve">, ff. 1 a 3; </w:t>
      </w:r>
      <w:hyperlink w:anchor="SENTENCIA_2024_118" w:history="1">
        <w:r w:rsidRPr="007D5795">
          <w:rPr>
            <w:rStyle w:val="TextoNormalCaracter"/>
          </w:rPr>
          <w:t>118/2024</w:t>
        </w:r>
      </w:hyperlink>
      <w:r>
        <w:t xml:space="preserve">, f. 4, VP I; </w:t>
      </w:r>
      <w:hyperlink w:anchor="SENTENCIA_2024_120" w:history="1">
        <w:r w:rsidRPr="007D5795">
          <w:rPr>
            <w:rStyle w:val="TextoNormalCaracter"/>
          </w:rPr>
          <w:t>120/2024</w:t>
        </w:r>
      </w:hyperlink>
      <w:r>
        <w:t xml:space="preserve">, ff. 5, 6; </w:t>
      </w:r>
      <w:hyperlink w:anchor="SENTENCIA_2024_121" w:history="1">
        <w:r w:rsidRPr="007D5795">
          <w:rPr>
            <w:rStyle w:val="TextoNormalCaracter"/>
          </w:rPr>
          <w:t>121/2024</w:t>
        </w:r>
      </w:hyperlink>
      <w:r>
        <w:t xml:space="preserve">, VP I; </w:t>
      </w:r>
      <w:hyperlink w:anchor="SENTENCIA_2024_123" w:history="1">
        <w:r w:rsidRPr="007D5795">
          <w:rPr>
            <w:rStyle w:val="TextoNormalCaracter"/>
          </w:rPr>
          <w:t>123/2024</w:t>
        </w:r>
      </w:hyperlink>
      <w:r>
        <w:t xml:space="preserve">, ff. 2, 3; </w:t>
      </w:r>
      <w:hyperlink w:anchor="SENTENCIA_2024_124" w:history="1">
        <w:r w:rsidRPr="007D5795">
          <w:rPr>
            <w:rStyle w:val="TextoNormalCaracter"/>
          </w:rPr>
          <w:t>124/2024</w:t>
        </w:r>
      </w:hyperlink>
      <w:r>
        <w:t xml:space="preserve">, ff. 1, 2; </w:t>
      </w:r>
      <w:hyperlink w:anchor="SENTENCIA_2024_128" w:history="1">
        <w:r w:rsidRPr="007D5795">
          <w:rPr>
            <w:rStyle w:val="TextoNormalCaracter"/>
          </w:rPr>
          <w:t>128/2024</w:t>
        </w:r>
      </w:hyperlink>
      <w:r>
        <w:t xml:space="preserve">, ff. 1, 2, VP; </w:t>
      </w:r>
      <w:hyperlink w:anchor="SENTENCIA_2024_139" w:history="1">
        <w:r w:rsidRPr="007D5795">
          <w:rPr>
            <w:rStyle w:val="TextoNormalCaracter"/>
          </w:rPr>
          <w:t>139/2024</w:t>
        </w:r>
      </w:hyperlink>
      <w:r>
        <w:t xml:space="preserve">, VP II; </w:t>
      </w:r>
      <w:hyperlink w:anchor="SENTENCIA_2024_145" w:history="1">
        <w:r w:rsidRPr="007D5795">
          <w:rPr>
            <w:rStyle w:val="TextoNormalCaracter"/>
          </w:rPr>
          <w:t>145/2024</w:t>
        </w:r>
      </w:hyperlink>
      <w:r>
        <w:t xml:space="preserve">, f. 2; </w:t>
      </w:r>
      <w:hyperlink w:anchor="SENTENCIA_2024_146" w:history="1">
        <w:r w:rsidRPr="007D5795">
          <w:rPr>
            <w:rStyle w:val="TextoNormalCaracter"/>
          </w:rPr>
          <w:t>146/2024</w:t>
        </w:r>
      </w:hyperlink>
      <w:r>
        <w:t xml:space="preserve">, ff. 2, 3, 5; </w:t>
      </w:r>
      <w:hyperlink w:anchor="SENTENCIA_2024_152" w:history="1">
        <w:r w:rsidRPr="007D5795">
          <w:rPr>
            <w:rStyle w:val="TextoNormalCaracter"/>
          </w:rPr>
          <w:t>152/2024</w:t>
        </w:r>
      </w:hyperlink>
      <w:r>
        <w:t>, ff. 1 a 3, 5.</w:t>
      </w:r>
    </w:p>
    <w:p w14:paraId="79E30E50" w14:textId="20730E7F" w:rsidR="007D5795" w:rsidRDefault="007D5795" w:rsidP="007D5795">
      <w:pPr>
        <w:pStyle w:val="SangriaIzquierdaArticulo"/>
      </w:pPr>
      <w:r>
        <w:t xml:space="preserve">Autos </w:t>
      </w:r>
      <w:hyperlink w:anchor="AUTO_2024_65" w:history="1">
        <w:r w:rsidRPr="007D5795">
          <w:rPr>
            <w:rStyle w:val="TextoNormalCaracter"/>
          </w:rPr>
          <w:t>65/2024</w:t>
        </w:r>
      </w:hyperlink>
      <w:r>
        <w:t xml:space="preserve">, ff. 1, 2; </w:t>
      </w:r>
      <w:hyperlink w:anchor="AUTO_2024_101" w:history="1">
        <w:r w:rsidRPr="007D5795">
          <w:rPr>
            <w:rStyle w:val="TextoNormalCaracter"/>
          </w:rPr>
          <w:t>101/2024</w:t>
        </w:r>
      </w:hyperlink>
      <w:r>
        <w:t xml:space="preserve">, f. 2; </w:t>
      </w:r>
      <w:hyperlink w:anchor="AUTO_2024_127" w:history="1">
        <w:r w:rsidRPr="007D5795">
          <w:rPr>
            <w:rStyle w:val="TextoNormalCaracter"/>
          </w:rPr>
          <w:t>127/2024</w:t>
        </w:r>
      </w:hyperlink>
      <w:r>
        <w:t xml:space="preserve">, f. 3; </w:t>
      </w:r>
      <w:hyperlink w:anchor="AUTO_2024_153" w:history="1">
        <w:r w:rsidRPr="007D5795">
          <w:rPr>
            <w:rStyle w:val="TextoNormalCaracter"/>
          </w:rPr>
          <w:t>153/2024</w:t>
        </w:r>
      </w:hyperlink>
      <w:r>
        <w:t>, f. 1.</w:t>
      </w:r>
    </w:p>
    <w:p w14:paraId="1B65A0F4" w14:textId="4252745B" w:rsidR="007D5795" w:rsidRDefault="007D5795" w:rsidP="007D5795">
      <w:pPr>
        <w:pStyle w:val="SangriaFrancesaArticulo"/>
      </w:pPr>
      <w:r w:rsidRPr="007D5795">
        <w:rPr>
          <w:rStyle w:val="TextoNormalNegritaCaracter"/>
        </w:rPr>
        <w:t>Artículo 24.1.</w:t>
      </w:r>
      <w:r w:rsidRPr="007D5795">
        <w:rPr>
          <w:rStyle w:val="TextoNormalCaracter"/>
        </w:rPr>
        <w:t>-</w:t>
      </w:r>
      <w:r>
        <w:t xml:space="preserve"> Sentencias </w:t>
      </w:r>
      <w:hyperlink w:anchor="SENTENCIA_2024_94" w:history="1">
        <w:r w:rsidRPr="007D5795">
          <w:rPr>
            <w:rStyle w:val="TextoNormalCaracter"/>
          </w:rPr>
          <w:t>94/2024</w:t>
        </w:r>
      </w:hyperlink>
      <w:r>
        <w:t xml:space="preserve">, ff. 1, 7; </w:t>
      </w:r>
      <w:hyperlink w:anchor="SENTENCIA_2024_95" w:history="1">
        <w:r w:rsidRPr="007D5795">
          <w:rPr>
            <w:rStyle w:val="TextoNormalCaracter"/>
          </w:rPr>
          <w:t>95/2024</w:t>
        </w:r>
      </w:hyperlink>
      <w:r>
        <w:t xml:space="preserve">, ff. 1, 5, 6; </w:t>
      </w:r>
      <w:hyperlink w:anchor="SENTENCIA_2024_96" w:history="1">
        <w:r w:rsidRPr="007D5795">
          <w:rPr>
            <w:rStyle w:val="TextoNormalCaracter"/>
          </w:rPr>
          <w:t>96/2024</w:t>
        </w:r>
      </w:hyperlink>
      <w:r>
        <w:t xml:space="preserve">, ff. 1, 7, VP IV; </w:t>
      </w:r>
      <w:hyperlink w:anchor="SENTENCIA_2024_97" w:history="1">
        <w:r w:rsidRPr="007D5795">
          <w:rPr>
            <w:rStyle w:val="TextoNormalCaracter"/>
          </w:rPr>
          <w:t>97/2024</w:t>
        </w:r>
      </w:hyperlink>
      <w:r>
        <w:t xml:space="preserve">, f. 1, VP IV; </w:t>
      </w:r>
      <w:hyperlink w:anchor="SENTENCIA_2024_98" w:history="1">
        <w:r w:rsidRPr="007D5795">
          <w:rPr>
            <w:rStyle w:val="TextoNormalCaracter"/>
          </w:rPr>
          <w:t>98/2024</w:t>
        </w:r>
      </w:hyperlink>
      <w:r>
        <w:t xml:space="preserve">, ff. 1, 7; </w:t>
      </w:r>
      <w:hyperlink w:anchor="SENTENCIA_2024_100" w:history="1">
        <w:r w:rsidRPr="007D5795">
          <w:rPr>
            <w:rStyle w:val="TextoNormalCaracter"/>
          </w:rPr>
          <w:t>100/2024</w:t>
        </w:r>
      </w:hyperlink>
      <w:r>
        <w:t xml:space="preserve">, ff. 1, 7; </w:t>
      </w:r>
      <w:hyperlink w:anchor="SENTENCIA_2024_101" w:history="1">
        <w:r w:rsidRPr="007D5795">
          <w:rPr>
            <w:rStyle w:val="TextoNormalCaracter"/>
          </w:rPr>
          <w:t>101/2024</w:t>
        </w:r>
      </w:hyperlink>
      <w:r>
        <w:t xml:space="preserve">, ff. 1, 4, 5; </w:t>
      </w:r>
      <w:hyperlink w:anchor="SENTENCIA_2024_104" w:history="1">
        <w:r w:rsidRPr="007D5795">
          <w:rPr>
            <w:rStyle w:val="TextoNormalCaracter"/>
          </w:rPr>
          <w:t>104/2024</w:t>
        </w:r>
      </w:hyperlink>
      <w:r>
        <w:t xml:space="preserve">, ff. 1, 2; </w:t>
      </w:r>
      <w:hyperlink w:anchor="SENTENCIA_2024_105" w:history="1">
        <w:r w:rsidRPr="007D5795">
          <w:rPr>
            <w:rStyle w:val="TextoNormalCaracter"/>
          </w:rPr>
          <w:t>105/2024</w:t>
        </w:r>
      </w:hyperlink>
      <w:r>
        <w:t xml:space="preserve">, ff. 1, 2, 4, 5; </w:t>
      </w:r>
      <w:hyperlink w:anchor="SENTENCIA_2024_106" w:history="1">
        <w:r w:rsidRPr="007D5795">
          <w:rPr>
            <w:rStyle w:val="TextoNormalCaracter"/>
          </w:rPr>
          <w:t>106/2024</w:t>
        </w:r>
      </w:hyperlink>
      <w:r>
        <w:t xml:space="preserve">, ff. 1, 2; </w:t>
      </w:r>
      <w:hyperlink w:anchor="SENTENCIA_2024_107" w:history="1">
        <w:r w:rsidRPr="007D5795">
          <w:rPr>
            <w:rStyle w:val="TextoNormalCaracter"/>
          </w:rPr>
          <w:t>107/2024</w:t>
        </w:r>
      </w:hyperlink>
      <w:r>
        <w:t xml:space="preserve">, ff. 1 a 3, 5; </w:t>
      </w:r>
      <w:hyperlink w:anchor="SENTENCIA_2024_108" w:history="1">
        <w:r w:rsidRPr="007D5795">
          <w:rPr>
            <w:rStyle w:val="TextoNormalCaracter"/>
          </w:rPr>
          <w:t>108/2024</w:t>
        </w:r>
      </w:hyperlink>
      <w:r>
        <w:t xml:space="preserve">, ff. 1, 2, 4, 5; </w:t>
      </w:r>
      <w:hyperlink w:anchor="SENTENCIA_2024_115" w:history="1">
        <w:r w:rsidRPr="007D5795">
          <w:rPr>
            <w:rStyle w:val="TextoNormalCaracter"/>
          </w:rPr>
          <w:t>115/2024</w:t>
        </w:r>
      </w:hyperlink>
      <w:r>
        <w:t xml:space="preserve">, ff. 1 a 5, VP I, VP II; </w:t>
      </w:r>
      <w:hyperlink w:anchor="SENTENCIA_2024_116" w:history="1">
        <w:r w:rsidRPr="007D5795">
          <w:rPr>
            <w:rStyle w:val="TextoNormalCaracter"/>
          </w:rPr>
          <w:t>116/2024</w:t>
        </w:r>
      </w:hyperlink>
      <w:r>
        <w:t xml:space="preserve">, ff. 1, 3; </w:t>
      </w:r>
      <w:hyperlink w:anchor="SENTENCIA_2024_117" w:history="1">
        <w:r w:rsidRPr="007D5795">
          <w:rPr>
            <w:rStyle w:val="TextoNormalCaracter"/>
          </w:rPr>
          <w:t>117/2024</w:t>
        </w:r>
      </w:hyperlink>
      <w:r>
        <w:t xml:space="preserve">, ff. 1, 3, 4; </w:t>
      </w:r>
      <w:hyperlink w:anchor="SENTENCIA_2024_118" w:history="1">
        <w:r w:rsidRPr="007D5795">
          <w:rPr>
            <w:rStyle w:val="TextoNormalCaracter"/>
          </w:rPr>
          <w:t>118/2024</w:t>
        </w:r>
      </w:hyperlink>
      <w:r>
        <w:t xml:space="preserve">, ff. 1 a 5, VP I, VP II; </w:t>
      </w:r>
      <w:hyperlink w:anchor="SENTENCIA_2024_121" w:history="1">
        <w:r w:rsidRPr="007D5795">
          <w:rPr>
            <w:rStyle w:val="TextoNormalCaracter"/>
          </w:rPr>
          <w:t>121/2024</w:t>
        </w:r>
      </w:hyperlink>
      <w:r>
        <w:t xml:space="preserve">, VP I; </w:t>
      </w:r>
      <w:hyperlink w:anchor="SENTENCIA_2024_122" w:history="1">
        <w:r w:rsidRPr="007D5795">
          <w:rPr>
            <w:rStyle w:val="TextoNormalCaracter"/>
          </w:rPr>
          <w:t>122/2024</w:t>
        </w:r>
      </w:hyperlink>
      <w:r>
        <w:t xml:space="preserve">, ff. 1, 2, 4, 5; </w:t>
      </w:r>
      <w:hyperlink w:anchor="SENTENCIA_2024_123" w:history="1">
        <w:r w:rsidRPr="007D5795">
          <w:rPr>
            <w:rStyle w:val="TextoNormalCaracter"/>
          </w:rPr>
          <w:t>123/2024</w:t>
        </w:r>
      </w:hyperlink>
      <w:r>
        <w:t xml:space="preserve">, ff. 1 a 4, VP I, VP II; </w:t>
      </w:r>
      <w:hyperlink w:anchor="SENTENCIA_2024_124" w:history="1">
        <w:r w:rsidRPr="007D5795">
          <w:rPr>
            <w:rStyle w:val="TextoNormalCaracter"/>
          </w:rPr>
          <w:t>124/2024</w:t>
        </w:r>
      </w:hyperlink>
      <w:r>
        <w:t xml:space="preserve">, ff. 1 a 3, VP; </w:t>
      </w:r>
      <w:hyperlink w:anchor="SENTENCIA_2024_125" w:history="1">
        <w:r w:rsidRPr="007D5795">
          <w:rPr>
            <w:rStyle w:val="TextoNormalCaracter"/>
          </w:rPr>
          <w:t>125/2024</w:t>
        </w:r>
      </w:hyperlink>
      <w:r>
        <w:t xml:space="preserve">, f. 1; </w:t>
      </w:r>
      <w:hyperlink w:anchor="SENTENCIA_2024_126" w:history="1">
        <w:r w:rsidRPr="007D5795">
          <w:rPr>
            <w:rStyle w:val="TextoNormalCaracter"/>
          </w:rPr>
          <w:t>126/2024</w:t>
        </w:r>
      </w:hyperlink>
      <w:r>
        <w:t xml:space="preserve">, ff. 1, 2, VP; </w:t>
      </w:r>
      <w:hyperlink w:anchor="SENTENCIA_2024_130" w:history="1">
        <w:r w:rsidRPr="007D5795">
          <w:rPr>
            <w:rStyle w:val="TextoNormalCaracter"/>
          </w:rPr>
          <w:t>130/2024</w:t>
        </w:r>
      </w:hyperlink>
      <w:r>
        <w:t xml:space="preserve">, f. 1; </w:t>
      </w:r>
      <w:hyperlink w:anchor="SENTENCIA_2024_133" w:history="1">
        <w:r w:rsidRPr="007D5795">
          <w:rPr>
            <w:rStyle w:val="TextoNormalCaracter"/>
          </w:rPr>
          <w:t>133/2024</w:t>
        </w:r>
      </w:hyperlink>
      <w:r>
        <w:t xml:space="preserve">, ff. 1 a 5; </w:t>
      </w:r>
      <w:hyperlink w:anchor="SENTENCIA_2024_134" w:history="1">
        <w:r w:rsidRPr="007D5795">
          <w:rPr>
            <w:rStyle w:val="TextoNormalCaracter"/>
          </w:rPr>
          <w:t>134/2024</w:t>
        </w:r>
      </w:hyperlink>
      <w:r>
        <w:t xml:space="preserve">, ff. 1 a 4; </w:t>
      </w:r>
      <w:hyperlink w:anchor="SENTENCIA_2024_135" w:history="1">
        <w:r w:rsidRPr="007D5795">
          <w:rPr>
            <w:rStyle w:val="TextoNormalCaracter"/>
          </w:rPr>
          <w:t>135/2024</w:t>
        </w:r>
      </w:hyperlink>
      <w:r>
        <w:t xml:space="preserve">, f. 1; </w:t>
      </w:r>
      <w:hyperlink w:anchor="SENTENCIA_2024_139" w:history="1">
        <w:r w:rsidRPr="007D5795">
          <w:rPr>
            <w:rStyle w:val="TextoNormalCaracter"/>
          </w:rPr>
          <w:t>139/2024</w:t>
        </w:r>
      </w:hyperlink>
      <w:r>
        <w:t xml:space="preserve">, VP II; </w:t>
      </w:r>
      <w:hyperlink w:anchor="SENTENCIA_2024_142" w:history="1">
        <w:r w:rsidRPr="007D5795">
          <w:rPr>
            <w:rStyle w:val="TextoNormalCaracter"/>
          </w:rPr>
          <w:t>142/2024</w:t>
        </w:r>
      </w:hyperlink>
      <w:r>
        <w:t xml:space="preserve">, ff. 1, 5; </w:t>
      </w:r>
      <w:hyperlink w:anchor="SENTENCIA_2024_144" w:history="1">
        <w:r w:rsidRPr="007D5795">
          <w:rPr>
            <w:rStyle w:val="TextoNormalCaracter"/>
          </w:rPr>
          <w:t>144/2024</w:t>
        </w:r>
      </w:hyperlink>
      <w:r>
        <w:t xml:space="preserve">, ff. 1 a 4, 6, VP II; </w:t>
      </w:r>
      <w:hyperlink w:anchor="SENTENCIA_2024_145" w:history="1">
        <w:r w:rsidRPr="007D5795">
          <w:rPr>
            <w:rStyle w:val="TextoNormalCaracter"/>
          </w:rPr>
          <w:t>145/2024</w:t>
        </w:r>
      </w:hyperlink>
      <w:r>
        <w:t xml:space="preserve">, ff. 1 a 6; </w:t>
      </w:r>
      <w:hyperlink w:anchor="SENTENCIA_2024_146" w:history="1">
        <w:r w:rsidRPr="007D5795">
          <w:rPr>
            <w:rStyle w:val="TextoNormalCaracter"/>
          </w:rPr>
          <w:t>146/2024</w:t>
        </w:r>
      </w:hyperlink>
      <w:r>
        <w:t xml:space="preserve">, ff. 1 a 3, 5 a 7; </w:t>
      </w:r>
      <w:hyperlink w:anchor="SENTENCIA_2024_148" w:history="1">
        <w:r w:rsidRPr="007D5795">
          <w:rPr>
            <w:rStyle w:val="TextoNormalCaracter"/>
          </w:rPr>
          <w:t>148/2024</w:t>
        </w:r>
      </w:hyperlink>
      <w:r>
        <w:t xml:space="preserve">, ff. 1, 2, 4; </w:t>
      </w:r>
      <w:hyperlink w:anchor="SENTENCIA_2024_152" w:history="1">
        <w:r w:rsidRPr="007D5795">
          <w:rPr>
            <w:rStyle w:val="TextoNormalCaracter"/>
          </w:rPr>
          <w:t>152/2024</w:t>
        </w:r>
      </w:hyperlink>
      <w:r>
        <w:t>, f. 1.</w:t>
      </w:r>
    </w:p>
    <w:p w14:paraId="107FDFFC" w14:textId="04E8F579" w:rsidR="007D5795" w:rsidRDefault="007D5795" w:rsidP="007D5795">
      <w:pPr>
        <w:pStyle w:val="SangriaIzquierdaArticulo"/>
      </w:pPr>
      <w:r>
        <w:t xml:space="preserve">Autos </w:t>
      </w:r>
      <w:hyperlink w:anchor="AUTO_2024_92" w:history="1">
        <w:r w:rsidRPr="007D5795">
          <w:rPr>
            <w:rStyle w:val="TextoNormalCaracter"/>
          </w:rPr>
          <w:t>92/2024</w:t>
        </w:r>
      </w:hyperlink>
      <w:r>
        <w:t xml:space="preserve">, f. 1; </w:t>
      </w:r>
      <w:hyperlink w:anchor="AUTO_2024_94" w:history="1">
        <w:r w:rsidRPr="007D5795">
          <w:rPr>
            <w:rStyle w:val="TextoNormalCaracter"/>
          </w:rPr>
          <w:t>94/2024</w:t>
        </w:r>
      </w:hyperlink>
      <w:r>
        <w:t xml:space="preserve">, f. único; </w:t>
      </w:r>
      <w:hyperlink w:anchor="AUTO_2024_101" w:history="1">
        <w:r w:rsidRPr="007D5795">
          <w:rPr>
            <w:rStyle w:val="TextoNormalCaracter"/>
          </w:rPr>
          <w:t>101/2024</w:t>
        </w:r>
      </w:hyperlink>
      <w:r>
        <w:t xml:space="preserve">, ff. 1, 2; </w:t>
      </w:r>
      <w:hyperlink w:anchor="AUTO_2024_102" w:history="1">
        <w:r w:rsidRPr="007D5795">
          <w:rPr>
            <w:rStyle w:val="TextoNormalCaracter"/>
          </w:rPr>
          <w:t>102/2024</w:t>
        </w:r>
      </w:hyperlink>
      <w:r>
        <w:t xml:space="preserve">, f. 1; </w:t>
      </w:r>
      <w:hyperlink w:anchor="AUTO_2024_127" w:history="1">
        <w:r w:rsidRPr="007D5795">
          <w:rPr>
            <w:rStyle w:val="TextoNormalCaracter"/>
          </w:rPr>
          <w:t>127/2024</w:t>
        </w:r>
      </w:hyperlink>
      <w:r>
        <w:t xml:space="preserve">, f. 3; </w:t>
      </w:r>
      <w:hyperlink w:anchor="AUTO_2024_148" w:history="1">
        <w:r w:rsidRPr="007D5795">
          <w:rPr>
            <w:rStyle w:val="TextoNormalCaracter"/>
          </w:rPr>
          <w:t>148/2024</w:t>
        </w:r>
      </w:hyperlink>
      <w:r>
        <w:t xml:space="preserve">, f. 1; </w:t>
      </w:r>
      <w:hyperlink w:anchor="AUTO_2024_156" w:history="1">
        <w:r w:rsidRPr="007D5795">
          <w:rPr>
            <w:rStyle w:val="TextoNormalCaracter"/>
          </w:rPr>
          <w:t>156/2024</w:t>
        </w:r>
      </w:hyperlink>
      <w:r>
        <w:t>, f. 3.</w:t>
      </w:r>
    </w:p>
    <w:p w14:paraId="67A3AA7F" w14:textId="644FBDFC" w:rsidR="007D5795" w:rsidRDefault="007D5795" w:rsidP="007D5795">
      <w:pPr>
        <w:pStyle w:val="SangriaFrancesaArticulo"/>
      </w:pPr>
      <w:r w:rsidRPr="007D5795">
        <w:rPr>
          <w:rStyle w:val="TextoNormalNegritaCaracter"/>
        </w:rPr>
        <w:t>Artículo 24.2.</w:t>
      </w:r>
      <w:r w:rsidRPr="007D5795">
        <w:rPr>
          <w:rStyle w:val="TextoNormalCaracter"/>
        </w:rPr>
        <w:t>-</w:t>
      </w:r>
      <w:r>
        <w:t xml:space="preserve"> Sentencias </w:t>
      </w:r>
      <w:hyperlink w:anchor="SENTENCIA_2024_94" w:history="1">
        <w:r w:rsidRPr="007D5795">
          <w:rPr>
            <w:rStyle w:val="TextoNormalCaracter"/>
          </w:rPr>
          <w:t>94/2024</w:t>
        </w:r>
      </w:hyperlink>
      <w:r>
        <w:t xml:space="preserve">, ff. 1, 7, VP I, VP II, VP III; </w:t>
      </w:r>
      <w:hyperlink w:anchor="SENTENCIA_2024_95" w:history="1">
        <w:r w:rsidRPr="007D5795">
          <w:rPr>
            <w:rStyle w:val="TextoNormalCaracter"/>
          </w:rPr>
          <w:t>95/2024</w:t>
        </w:r>
      </w:hyperlink>
      <w:r>
        <w:t xml:space="preserve">, ff. 1, 3 a 6, 7; </w:t>
      </w:r>
      <w:hyperlink w:anchor="SENTENCIA_2024_96" w:history="1">
        <w:r w:rsidRPr="007D5795">
          <w:rPr>
            <w:rStyle w:val="TextoNormalCaracter"/>
          </w:rPr>
          <w:t>96/2024</w:t>
        </w:r>
      </w:hyperlink>
      <w:r>
        <w:t xml:space="preserve">, ff. 1, 3, 7, 8, VP I, VP II, VP III, VP IV; </w:t>
      </w:r>
      <w:hyperlink w:anchor="SENTENCIA_2024_97" w:history="1">
        <w:r w:rsidRPr="007D5795">
          <w:rPr>
            <w:rStyle w:val="TextoNormalCaracter"/>
          </w:rPr>
          <w:t>97/2024</w:t>
        </w:r>
      </w:hyperlink>
      <w:r>
        <w:t xml:space="preserve">, ff. 1, 6, 8, VP I, VP III, VP IV; </w:t>
      </w:r>
      <w:hyperlink w:anchor="SENTENCIA_2024_98" w:history="1">
        <w:r w:rsidRPr="007D5795">
          <w:rPr>
            <w:rStyle w:val="TextoNormalCaracter"/>
          </w:rPr>
          <w:t>98/2024</w:t>
        </w:r>
      </w:hyperlink>
      <w:r>
        <w:t xml:space="preserve">, ff. 1, 6 a 8, VP I, VP II; </w:t>
      </w:r>
      <w:hyperlink w:anchor="SENTENCIA_2024_100" w:history="1">
        <w:r w:rsidRPr="007D5795">
          <w:rPr>
            <w:rStyle w:val="TextoNormalCaracter"/>
          </w:rPr>
          <w:t>100/2024</w:t>
        </w:r>
      </w:hyperlink>
      <w:r>
        <w:t xml:space="preserve">, ff. 1, 3, 6 a 8, VP I, VP II, VP III; </w:t>
      </w:r>
      <w:hyperlink w:anchor="SENTENCIA_2024_101" w:history="1">
        <w:r w:rsidRPr="007D5795">
          <w:rPr>
            <w:rStyle w:val="TextoNormalCaracter"/>
          </w:rPr>
          <w:t>101/2024</w:t>
        </w:r>
      </w:hyperlink>
      <w:r>
        <w:t xml:space="preserve">, ff. 1, 3 a 5; </w:t>
      </w:r>
      <w:hyperlink w:anchor="SENTENCIA_2024_102" w:history="1">
        <w:r w:rsidRPr="007D5795">
          <w:rPr>
            <w:rStyle w:val="TextoNormalCaracter"/>
          </w:rPr>
          <w:t>102/2024</w:t>
        </w:r>
      </w:hyperlink>
      <w:r>
        <w:t xml:space="preserve">, ff. 1, 3 a 5; </w:t>
      </w:r>
      <w:hyperlink w:anchor="SENTENCIA_2024_106" w:history="1">
        <w:r w:rsidRPr="007D5795">
          <w:rPr>
            <w:rStyle w:val="TextoNormalCaracter"/>
          </w:rPr>
          <w:t>106/2024</w:t>
        </w:r>
      </w:hyperlink>
      <w:r>
        <w:t xml:space="preserve">, f. 3; </w:t>
      </w:r>
      <w:hyperlink w:anchor="SENTENCIA_2024_108" w:history="1">
        <w:r w:rsidRPr="007D5795">
          <w:rPr>
            <w:rStyle w:val="TextoNormalCaracter"/>
          </w:rPr>
          <w:t>108/2024</w:t>
        </w:r>
      </w:hyperlink>
      <w:r>
        <w:t xml:space="preserve">, ff. 1, 4, 5; </w:t>
      </w:r>
      <w:hyperlink w:anchor="SENTENCIA_2024_116" w:history="1">
        <w:r w:rsidRPr="007D5795">
          <w:rPr>
            <w:rStyle w:val="TextoNormalCaracter"/>
          </w:rPr>
          <w:t>116/2024</w:t>
        </w:r>
      </w:hyperlink>
      <w:r>
        <w:t xml:space="preserve">, f. 3; </w:t>
      </w:r>
      <w:hyperlink w:anchor="SENTENCIA_2024_123" w:history="1">
        <w:r w:rsidRPr="007D5795">
          <w:rPr>
            <w:rStyle w:val="TextoNormalCaracter"/>
          </w:rPr>
          <w:t>123/2024</w:t>
        </w:r>
      </w:hyperlink>
      <w:r>
        <w:t xml:space="preserve">, f. 1; </w:t>
      </w:r>
      <w:hyperlink w:anchor="SENTENCIA_2024_124" w:history="1">
        <w:r w:rsidRPr="007D5795">
          <w:rPr>
            <w:rStyle w:val="TextoNormalCaracter"/>
          </w:rPr>
          <w:t>124/2024</w:t>
        </w:r>
      </w:hyperlink>
      <w:r>
        <w:t xml:space="preserve">, ff. 1 a 3, VP; </w:t>
      </w:r>
      <w:hyperlink w:anchor="SENTENCIA_2024_125" w:history="1">
        <w:r w:rsidRPr="007D5795">
          <w:rPr>
            <w:rStyle w:val="TextoNormalCaracter"/>
          </w:rPr>
          <w:t>125/2024</w:t>
        </w:r>
      </w:hyperlink>
      <w:r>
        <w:t xml:space="preserve">, f. 1; </w:t>
      </w:r>
      <w:hyperlink w:anchor="SENTENCIA_2024_128" w:history="1">
        <w:r w:rsidRPr="007D5795">
          <w:rPr>
            <w:rStyle w:val="TextoNormalCaracter"/>
          </w:rPr>
          <w:t>128/2024</w:t>
        </w:r>
      </w:hyperlink>
      <w:r>
        <w:t xml:space="preserve">, ff. 1 a 4, 6, VP; </w:t>
      </w:r>
      <w:hyperlink w:anchor="SENTENCIA_2024_133" w:history="1">
        <w:r w:rsidRPr="007D5795">
          <w:rPr>
            <w:rStyle w:val="TextoNormalCaracter"/>
          </w:rPr>
          <w:t>133/2024</w:t>
        </w:r>
      </w:hyperlink>
      <w:r>
        <w:t xml:space="preserve">, f. 1; </w:t>
      </w:r>
      <w:hyperlink w:anchor="SENTENCIA_2024_135" w:history="1">
        <w:r w:rsidRPr="007D5795">
          <w:rPr>
            <w:rStyle w:val="TextoNormalCaracter"/>
          </w:rPr>
          <w:t>135/2024</w:t>
        </w:r>
      </w:hyperlink>
      <w:r>
        <w:t xml:space="preserve">, ff. 1, 3, 4; </w:t>
      </w:r>
      <w:hyperlink w:anchor="SENTENCIA_2024_144" w:history="1">
        <w:r w:rsidRPr="007D5795">
          <w:rPr>
            <w:rStyle w:val="TextoNormalCaracter"/>
          </w:rPr>
          <w:t>144/2024</w:t>
        </w:r>
      </w:hyperlink>
      <w:r>
        <w:t xml:space="preserve">, VP II; </w:t>
      </w:r>
      <w:hyperlink w:anchor="SENTENCIA_2024_145" w:history="1">
        <w:r w:rsidRPr="007D5795">
          <w:rPr>
            <w:rStyle w:val="TextoNormalCaracter"/>
          </w:rPr>
          <w:t>145/2024</w:t>
        </w:r>
      </w:hyperlink>
      <w:r>
        <w:t xml:space="preserve">, f. 1; </w:t>
      </w:r>
      <w:hyperlink w:anchor="SENTENCIA_2024_152" w:history="1">
        <w:r w:rsidRPr="007D5795">
          <w:rPr>
            <w:rStyle w:val="TextoNormalCaracter"/>
          </w:rPr>
          <w:t>152/2024</w:t>
        </w:r>
      </w:hyperlink>
      <w:r>
        <w:t>, f. 2.</w:t>
      </w:r>
    </w:p>
    <w:p w14:paraId="457A71E9" w14:textId="010E751A" w:rsidR="007D5795" w:rsidRDefault="007D5795" w:rsidP="007D5795">
      <w:pPr>
        <w:pStyle w:val="SangriaIzquierdaArticulo"/>
      </w:pPr>
      <w:r>
        <w:t xml:space="preserve">Autos </w:t>
      </w:r>
      <w:hyperlink w:anchor="AUTO_2024_65" w:history="1">
        <w:r w:rsidRPr="007D5795">
          <w:rPr>
            <w:rStyle w:val="TextoNormalCaracter"/>
          </w:rPr>
          <w:t>65/2024</w:t>
        </w:r>
      </w:hyperlink>
      <w:r>
        <w:t xml:space="preserve">, f. 1; </w:t>
      </w:r>
      <w:hyperlink w:anchor="AUTO_2024_70" w:history="1">
        <w:r w:rsidRPr="007D5795">
          <w:rPr>
            <w:rStyle w:val="TextoNormalCaracter"/>
          </w:rPr>
          <w:t>70/2024</w:t>
        </w:r>
      </w:hyperlink>
      <w:r>
        <w:t xml:space="preserve">, f. 2; </w:t>
      </w:r>
      <w:hyperlink w:anchor="AUTO_2024_93" w:history="1">
        <w:r w:rsidRPr="007D5795">
          <w:rPr>
            <w:rStyle w:val="TextoNormalCaracter"/>
          </w:rPr>
          <w:t>93/2024</w:t>
        </w:r>
      </w:hyperlink>
      <w:r>
        <w:t xml:space="preserve">, VP II; </w:t>
      </w:r>
      <w:hyperlink w:anchor="AUTO_2024_101" w:history="1">
        <w:r w:rsidRPr="007D5795">
          <w:rPr>
            <w:rStyle w:val="TextoNormalCaracter"/>
          </w:rPr>
          <w:t>101/2024</w:t>
        </w:r>
      </w:hyperlink>
      <w:r>
        <w:t xml:space="preserve">, ff. 1, 2; </w:t>
      </w:r>
      <w:hyperlink w:anchor="AUTO_2024_102" w:history="1">
        <w:r w:rsidRPr="007D5795">
          <w:rPr>
            <w:rStyle w:val="TextoNormalCaracter"/>
          </w:rPr>
          <w:t>102/2024</w:t>
        </w:r>
      </w:hyperlink>
      <w:r>
        <w:t xml:space="preserve">, f. 1; </w:t>
      </w:r>
      <w:hyperlink w:anchor="AUTO_2024_125" w:history="1">
        <w:r w:rsidRPr="007D5795">
          <w:rPr>
            <w:rStyle w:val="TextoNormalCaracter"/>
          </w:rPr>
          <w:t>125/2024</w:t>
        </w:r>
      </w:hyperlink>
      <w:r>
        <w:t>, f. 1.</w:t>
      </w:r>
    </w:p>
    <w:p w14:paraId="24B3D7BD" w14:textId="104B3561" w:rsidR="007D5795" w:rsidRDefault="007D5795" w:rsidP="007D5795">
      <w:pPr>
        <w:pStyle w:val="SangriaFrancesaArticulo"/>
      </w:pPr>
      <w:r w:rsidRPr="007D5795">
        <w:rPr>
          <w:rStyle w:val="TextoNormalNegritaCaracter"/>
        </w:rPr>
        <w:t>Artículo 24.2</w:t>
      </w:r>
      <w:r>
        <w:t xml:space="preserve"> (derecho a la asistencia de letrado)</w:t>
      </w:r>
      <w:r w:rsidRPr="007D5795">
        <w:rPr>
          <w:rStyle w:val="TextoNormalNegritaCaracter"/>
        </w:rPr>
        <w:t>.</w:t>
      </w:r>
      <w:r w:rsidRPr="007D5795">
        <w:rPr>
          <w:rStyle w:val="TextoNormalCaracter"/>
        </w:rPr>
        <w:t>-</w:t>
      </w:r>
      <w:r>
        <w:t xml:space="preserve"> Sentencia </w:t>
      </w:r>
      <w:hyperlink w:anchor="SENTENCIA_2024_104" w:history="1">
        <w:r w:rsidRPr="007D5795">
          <w:rPr>
            <w:rStyle w:val="TextoNormalCaracter"/>
          </w:rPr>
          <w:t>104/2024</w:t>
        </w:r>
      </w:hyperlink>
      <w:r>
        <w:t>, ff. 1, 2.</w:t>
      </w:r>
    </w:p>
    <w:p w14:paraId="64EA8638" w14:textId="4FADF62C" w:rsidR="007D5795" w:rsidRDefault="007D5795" w:rsidP="007D5795">
      <w:pPr>
        <w:pStyle w:val="SangriaIzquierdaArticulo"/>
      </w:pPr>
      <w:r>
        <w:t xml:space="preserve">Auto </w:t>
      </w:r>
      <w:hyperlink w:anchor="AUTO_2024_69" w:history="1">
        <w:r w:rsidRPr="007D5795">
          <w:rPr>
            <w:rStyle w:val="TextoNormalCaracter"/>
          </w:rPr>
          <w:t>69/2024</w:t>
        </w:r>
      </w:hyperlink>
      <w:r>
        <w:t>, f. 2.</w:t>
      </w:r>
    </w:p>
    <w:p w14:paraId="101991C9" w14:textId="736F1630" w:rsidR="007D5795" w:rsidRDefault="007D5795" w:rsidP="007D5795">
      <w:pPr>
        <w:pStyle w:val="SangriaFrancesaArticulo"/>
      </w:pPr>
      <w:r w:rsidRPr="007D5795">
        <w:rPr>
          <w:rStyle w:val="TextoNormalNegritaCaracter"/>
        </w:rPr>
        <w:t>Artículo 24.2</w:t>
      </w:r>
      <w:r>
        <w:t xml:space="preserve"> (derecho a la defensa)</w:t>
      </w:r>
      <w:r w:rsidRPr="007D5795">
        <w:rPr>
          <w:rStyle w:val="TextoNormalNegritaCaracter"/>
        </w:rPr>
        <w:t>.</w:t>
      </w:r>
      <w:r w:rsidRPr="007D5795">
        <w:rPr>
          <w:rStyle w:val="TextoNormalCaracter"/>
        </w:rPr>
        <w:t>-</w:t>
      </w:r>
      <w:r>
        <w:t xml:space="preserve"> Sentencia </w:t>
      </w:r>
      <w:hyperlink w:anchor="SENTENCIA_2024_104" w:history="1">
        <w:r w:rsidRPr="007D5795">
          <w:rPr>
            <w:rStyle w:val="TextoNormalCaracter"/>
          </w:rPr>
          <w:t>104/2024</w:t>
        </w:r>
      </w:hyperlink>
      <w:r>
        <w:t>, ff. 1, 2.</w:t>
      </w:r>
    </w:p>
    <w:p w14:paraId="4360DAB3" w14:textId="663AD12E" w:rsidR="007D5795" w:rsidRDefault="007D5795" w:rsidP="007D5795">
      <w:pPr>
        <w:pStyle w:val="SangriaIzquierdaArticulo"/>
      </w:pPr>
      <w:r>
        <w:t xml:space="preserve">Auto </w:t>
      </w:r>
      <w:hyperlink w:anchor="AUTO_2024_69" w:history="1">
        <w:r w:rsidRPr="007D5795">
          <w:rPr>
            <w:rStyle w:val="TextoNormalCaracter"/>
          </w:rPr>
          <w:t>69/2024</w:t>
        </w:r>
      </w:hyperlink>
      <w:r>
        <w:t>, f. 2.</w:t>
      </w:r>
    </w:p>
    <w:p w14:paraId="0A2A714E" w14:textId="4DA233E3" w:rsidR="007D5795" w:rsidRDefault="007D5795" w:rsidP="007D5795">
      <w:pPr>
        <w:pStyle w:val="SangriaFrancesaArticulo"/>
      </w:pPr>
      <w:r w:rsidRPr="007D5795">
        <w:rPr>
          <w:rStyle w:val="TextoNormalNegritaCaracter"/>
        </w:rPr>
        <w:t>Artículo 24.2</w:t>
      </w:r>
      <w:r>
        <w:t xml:space="preserve"> (derecho a un proceso con todas las garantías)</w:t>
      </w:r>
      <w:r w:rsidRPr="007D5795">
        <w:rPr>
          <w:rStyle w:val="TextoNormalNegritaCaracter"/>
        </w:rPr>
        <w:t>.</w:t>
      </w:r>
      <w:r w:rsidRPr="007D5795">
        <w:rPr>
          <w:rStyle w:val="TextoNormalCaracter"/>
        </w:rPr>
        <w:t>-</w:t>
      </w:r>
      <w:r>
        <w:t xml:space="preserve"> Sentencia </w:t>
      </w:r>
      <w:hyperlink w:anchor="SENTENCIA_2024_107" w:history="1">
        <w:r w:rsidRPr="007D5795">
          <w:rPr>
            <w:rStyle w:val="TextoNormalCaracter"/>
          </w:rPr>
          <w:t>107/2024</w:t>
        </w:r>
      </w:hyperlink>
      <w:r>
        <w:t>, f. 1.</w:t>
      </w:r>
    </w:p>
    <w:p w14:paraId="798A56C9" w14:textId="7CDABDB7" w:rsidR="007D5795" w:rsidRDefault="007D5795" w:rsidP="007D5795">
      <w:pPr>
        <w:pStyle w:val="SangriaFrancesaArticulo"/>
      </w:pPr>
      <w:r w:rsidRPr="007D5795">
        <w:rPr>
          <w:rStyle w:val="TextoNormalNegritaCaracter"/>
        </w:rPr>
        <w:t>Artículo 25.</w:t>
      </w:r>
      <w:r w:rsidRPr="007D5795">
        <w:rPr>
          <w:rStyle w:val="TextoNormalCaracter"/>
        </w:rPr>
        <w:t>-</w:t>
      </w:r>
      <w:r>
        <w:t xml:space="preserve"> Sentencias </w:t>
      </w:r>
      <w:hyperlink w:anchor="SENTENCIA_2024_96" w:history="1">
        <w:r w:rsidRPr="007D5795">
          <w:rPr>
            <w:rStyle w:val="TextoNormalCaracter"/>
          </w:rPr>
          <w:t>96/2024</w:t>
        </w:r>
      </w:hyperlink>
      <w:r>
        <w:t xml:space="preserve">, f. 5, VP IV; </w:t>
      </w:r>
      <w:hyperlink w:anchor="SENTENCIA_2024_97" w:history="1">
        <w:r w:rsidRPr="007D5795">
          <w:rPr>
            <w:rStyle w:val="TextoNormalCaracter"/>
          </w:rPr>
          <w:t>97/2024</w:t>
        </w:r>
      </w:hyperlink>
      <w:r>
        <w:t xml:space="preserve">, ff. 4, 6, VP IV; </w:t>
      </w:r>
      <w:hyperlink w:anchor="SENTENCIA_2024_98" w:history="1">
        <w:r w:rsidRPr="007D5795">
          <w:rPr>
            <w:rStyle w:val="TextoNormalCaracter"/>
          </w:rPr>
          <w:t>98/2024</w:t>
        </w:r>
      </w:hyperlink>
      <w:r>
        <w:t xml:space="preserve">, f. 4; </w:t>
      </w:r>
      <w:hyperlink w:anchor="SENTENCIA_2024_99" w:history="1">
        <w:r w:rsidRPr="007D5795">
          <w:rPr>
            <w:rStyle w:val="TextoNormalCaracter"/>
          </w:rPr>
          <w:t>99/2024</w:t>
        </w:r>
      </w:hyperlink>
      <w:r>
        <w:t xml:space="preserve">, ff. 1, 3; </w:t>
      </w:r>
      <w:hyperlink w:anchor="SENTENCIA_2024_100" w:history="1">
        <w:r w:rsidRPr="007D5795">
          <w:rPr>
            <w:rStyle w:val="TextoNormalCaracter"/>
          </w:rPr>
          <w:t>100/2024</w:t>
        </w:r>
      </w:hyperlink>
      <w:r>
        <w:t xml:space="preserve">, ff. 1, 4; </w:t>
      </w:r>
      <w:hyperlink w:anchor="SENTENCIA_2024_103" w:history="1">
        <w:r w:rsidRPr="007D5795">
          <w:rPr>
            <w:rStyle w:val="TextoNormalCaracter"/>
          </w:rPr>
          <w:t>103/2024</w:t>
        </w:r>
      </w:hyperlink>
      <w:r>
        <w:t xml:space="preserve">, f. 4; </w:t>
      </w:r>
      <w:hyperlink w:anchor="SENTENCIA_2024_115" w:history="1">
        <w:r w:rsidRPr="007D5795">
          <w:rPr>
            <w:rStyle w:val="TextoNormalCaracter"/>
          </w:rPr>
          <w:t>115/2024</w:t>
        </w:r>
      </w:hyperlink>
      <w:r>
        <w:t xml:space="preserve">, f. 1; </w:t>
      </w:r>
      <w:hyperlink w:anchor="SENTENCIA_2024_120" w:history="1">
        <w:r w:rsidRPr="007D5795">
          <w:rPr>
            <w:rStyle w:val="TextoNormalCaracter"/>
          </w:rPr>
          <w:t>120/2024</w:t>
        </w:r>
      </w:hyperlink>
      <w:r>
        <w:t xml:space="preserve">, f. 7, VP IV; </w:t>
      </w:r>
      <w:hyperlink w:anchor="SENTENCIA_2024_122" w:history="1">
        <w:r w:rsidRPr="007D5795">
          <w:rPr>
            <w:rStyle w:val="TextoNormalCaracter"/>
          </w:rPr>
          <w:t>122/2024</w:t>
        </w:r>
      </w:hyperlink>
      <w:r>
        <w:t xml:space="preserve">, f. 2; </w:t>
      </w:r>
      <w:hyperlink w:anchor="SENTENCIA_2024_126" w:history="1">
        <w:r w:rsidRPr="007D5795">
          <w:rPr>
            <w:rStyle w:val="TextoNormalCaracter"/>
          </w:rPr>
          <w:t>126/2024</w:t>
        </w:r>
      </w:hyperlink>
      <w:r>
        <w:t xml:space="preserve">, f. 1; </w:t>
      </w:r>
      <w:hyperlink w:anchor="SENTENCIA_2024_145" w:history="1">
        <w:r w:rsidRPr="007D5795">
          <w:rPr>
            <w:rStyle w:val="TextoNormalCaracter"/>
          </w:rPr>
          <w:t>145/2024</w:t>
        </w:r>
      </w:hyperlink>
      <w:r>
        <w:t xml:space="preserve">, f. 1; </w:t>
      </w:r>
      <w:hyperlink w:anchor="SENTENCIA_2024_152" w:history="1">
        <w:r w:rsidRPr="007D5795">
          <w:rPr>
            <w:rStyle w:val="TextoNormalCaracter"/>
          </w:rPr>
          <w:t>152/2024</w:t>
        </w:r>
      </w:hyperlink>
      <w:r>
        <w:t>, ff. 1, 5.</w:t>
      </w:r>
    </w:p>
    <w:p w14:paraId="5D3A971D" w14:textId="6B5E95EC" w:rsidR="007D5795" w:rsidRDefault="007D5795" w:rsidP="007D5795">
      <w:pPr>
        <w:pStyle w:val="SangriaFrancesaArticulo"/>
      </w:pPr>
      <w:r w:rsidRPr="007D5795">
        <w:rPr>
          <w:rStyle w:val="TextoNormalNegritaCaracter"/>
        </w:rPr>
        <w:t>Artículo 25.1.</w:t>
      </w:r>
      <w:r w:rsidRPr="007D5795">
        <w:rPr>
          <w:rStyle w:val="TextoNormalCaracter"/>
        </w:rPr>
        <w:t>-</w:t>
      </w:r>
      <w:r>
        <w:t xml:space="preserve"> Sentencias </w:t>
      </w:r>
      <w:hyperlink w:anchor="SENTENCIA_2024_94" w:history="1">
        <w:r w:rsidRPr="007D5795">
          <w:rPr>
            <w:rStyle w:val="TextoNormalCaracter"/>
          </w:rPr>
          <w:t>94/2024</w:t>
        </w:r>
      </w:hyperlink>
      <w:r>
        <w:t xml:space="preserve">, ff. 1, 3 a 7, VP I, VP II, VP III, VP IV; </w:t>
      </w:r>
      <w:hyperlink w:anchor="SENTENCIA_2024_95" w:history="1">
        <w:r w:rsidRPr="007D5795">
          <w:rPr>
            <w:rStyle w:val="TextoNormalCaracter"/>
          </w:rPr>
          <w:t>95/2024</w:t>
        </w:r>
      </w:hyperlink>
      <w:r>
        <w:t xml:space="preserve">, ff. 1, 3, 4, 7, VP I, VP II, VP III; </w:t>
      </w:r>
      <w:hyperlink w:anchor="SENTENCIA_2024_96" w:history="1">
        <w:r w:rsidRPr="007D5795">
          <w:rPr>
            <w:rStyle w:val="TextoNormalCaracter"/>
          </w:rPr>
          <w:t>96/2024</w:t>
        </w:r>
      </w:hyperlink>
      <w:r>
        <w:t xml:space="preserve">, ff. 1, 4 a 8, VPI, VPII, VP III, VP IV; </w:t>
      </w:r>
      <w:hyperlink w:anchor="SENTENCIA_2024_97" w:history="1">
        <w:r w:rsidRPr="007D5795">
          <w:rPr>
            <w:rStyle w:val="TextoNormalCaracter"/>
          </w:rPr>
          <w:t>97/2024</w:t>
        </w:r>
      </w:hyperlink>
      <w:r>
        <w:t xml:space="preserve">, ff. 1, 3 a 8, VP I, VP III, VP IV; </w:t>
      </w:r>
      <w:hyperlink w:anchor="SENTENCIA_2024_98" w:history="1">
        <w:r w:rsidRPr="007D5795">
          <w:rPr>
            <w:rStyle w:val="TextoNormalCaracter"/>
          </w:rPr>
          <w:t>98/2024</w:t>
        </w:r>
      </w:hyperlink>
      <w:r>
        <w:t xml:space="preserve">, ff. 1, 3 a 6, 8, VP I, VP II, VP III; </w:t>
      </w:r>
      <w:hyperlink w:anchor="SENTENCIA_2024_99" w:history="1">
        <w:r w:rsidRPr="007D5795">
          <w:rPr>
            <w:rStyle w:val="TextoNormalCaracter"/>
          </w:rPr>
          <w:t>99/2024</w:t>
        </w:r>
      </w:hyperlink>
      <w:r>
        <w:t xml:space="preserve">, ff. 1, 3, 4, VP I, VP II, VP III; </w:t>
      </w:r>
      <w:hyperlink w:anchor="SENTENCIA_2024_100" w:history="1">
        <w:r w:rsidRPr="007D5795">
          <w:rPr>
            <w:rStyle w:val="TextoNormalCaracter"/>
          </w:rPr>
          <w:t>100/2024</w:t>
        </w:r>
      </w:hyperlink>
      <w:r>
        <w:t xml:space="preserve">, ff. 1, 3 a 6, 8, VP I, VP II, VP III; </w:t>
      </w:r>
      <w:hyperlink w:anchor="SENTENCIA_2024_102" w:history="1">
        <w:r w:rsidRPr="007D5795">
          <w:rPr>
            <w:rStyle w:val="TextoNormalCaracter"/>
          </w:rPr>
          <w:t>102/2024</w:t>
        </w:r>
      </w:hyperlink>
      <w:r>
        <w:t xml:space="preserve">, ff. 1, 4 a 6, VP I, VP II, VP III; </w:t>
      </w:r>
      <w:hyperlink w:anchor="SENTENCIA_2024_103" w:history="1">
        <w:r w:rsidRPr="007D5795">
          <w:rPr>
            <w:rStyle w:val="TextoNormalCaracter"/>
          </w:rPr>
          <w:t>103/2024</w:t>
        </w:r>
      </w:hyperlink>
      <w:r>
        <w:t xml:space="preserve">, ff. 1 a 7, VP I, VP II, VP III; </w:t>
      </w:r>
      <w:hyperlink w:anchor="SENTENCIA_2024_120" w:history="1">
        <w:r w:rsidRPr="007D5795">
          <w:rPr>
            <w:rStyle w:val="TextoNormalCaracter"/>
          </w:rPr>
          <w:t>120/2024</w:t>
        </w:r>
      </w:hyperlink>
      <w:r>
        <w:t xml:space="preserve">, ff. 7, 9; </w:t>
      </w:r>
      <w:hyperlink w:anchor="SENTENCIA_2024_142" w:history="1">
        <w:r w:rsidRPr="007D5795">
          <w:rPr>
            <w:rStyle w:val="TextoNormalCaracter"/>
          </w:rPr>
          <w:t>142/2024</w:t>
        </w:r>
      </w:hyperlink>
      <w:r>
        <w:t>, ff. 1, 7.</w:t>
      </w:r>
    </w:p>
    <w:p w14:paraId="7ACF72A4" w14:textId="5196516C" w:rsidR="007D5795" w:rsidRDefault="007D5795" w:rsidP="007D5795">
      <w:pPr>
        <w:pStyle w:val="SangriaIzquierdaArticulo"/>
      </w:pPr>
      <w:r>
        <w:t xml:space="preserve">Autos </w:t>
      </w:r>
      <w:hyperlink w:anchor="AUTO_2024_80" w:history="1">
        <w:r w:rsidRPr="007D5795">
          <w:rPr>
            <w:rStyle w:val="TextoNormalCaracter"/>
          </w:rPr>
          <w:t>80/2024</w:t>
        </w:r>
      </w:hyperlink>
      <w:r>
        <w:t xml:space="preserve">, f. 1; </w:t>
      </w:r>
      <w:hyperlink w:anchor="AUTO_2024_81" w:history="1">
        <w:r w:rsidRPr="007D5795">
          <w:rPr>
            <w:rStyle w:val="TextoNormalCaracter"/>
          </w:rPr>
          <w:t>81/2024</w:t>
        </w:r>
      </w:hyperlink>
      <w:r>
        <w:t xml:space="preserve">, ff. 1, 2; </w:t>
      </w:r>
      <w:hyperlink w:anchor="AUTO_2024_85" w:history="1">
        <w:r w:rsidRPr="007D5795">
          <w:rPr>
            <w:rStyle w:val="TextoNormalCaracter"/>
          </w:rPr>
          <w:t>85/2024</w:t>
        </w:r>
      </w:hyperlink>
      <w:r>
        <w:t>, VP.</w:t>
      </w:r>
    </w:p>
    <w:p w14:paraId="65A44DC0" w14:textId="0514C299" w:rsidR="007D5795" w:rsidRDefault="007D5795" w:rsidP="007D5795">
      <w:pPr>
        <w:pStyle w:val="SangriaFrancesaArticulo"/>
      </w:pPr>
      <w:r w:rsidRPr="007D5795">
        <w:rPr>
          <w:rStyle w:val="TextoNormalNegritaCaracter"/>
        </w:rPr>
        <w:t>Artículo 25.2.</w:t>
      </w:r>
      <w:r w:rsidRPr="007D5795">
        <w:rPr>
          <w:rStyle w:val="TextoNormalCaracter"/>
        </w:rPr>
        <w:t>-</w:t>
      </w:r>
      <w:r>
        <w:t xml:space="preserve"> Sentencia </w:t>
      </w:r>
      <w:hyperlink w:anchor="SENTENCIA_2024_122" w:history="1">
        <w:r w:rsidRPr="007D5795">
          <w:rPr>
            <w:rStyle w:val="TextoNormalCaracter"/>
          </w:rPr>
          <w:t>122/2024</w:t>
        </w:r>
      </w:hyperlink>
      <w:r>
        <w:t>, f. 1.</w:t>
      </w:r>
    </w:p>
    <w:p w14:paraId="3CFBD8D4" w14:textId="794E5355" w:rsidR="007D5795" w:rsidRDefault="007D5795" w:rsidP="007D5795">
      <w:pPr>
        <w:pStyle w:val="SangriaFrancesaArticulo"/>
      </w:pPr>
      <w:r w:rsidRPr="007D5795">
        <w:rPr>
          <w:rStyle w:val="TextoNormalNegritaCaracter"/>
        </w:rPr>
        <w:t>Artículo 30.</w:t>
      </w:r>
      <w:r w:rsidRPr="007D5795">
        <w:rPr>
          <w:rStyle w:val="TextoNormalCaracter"/>
        </w:rPr>
        <w:t>-</w:t>
      </w:r>
      <w:r>
        <w:t xml:space="preserve"> Sentencia </w:t>
      </w:r>
      <w:hyperlink w:anchor="SENTENCIA_2024_128" w:history="1">
        <w:r w:rsidRPr="007D5795">
          <w:rPr>
            <w:rStyle w:val="TextoNormalCaracter"/>
          </w:rPr>
          <w:t>128/2024</w:t>
        </w:r>
      </w:hyperlink>
      <w:r>
        <w:t>, f. 4.</w:t>
      </w:r>
    </w:p>
    <w:p w14:paraId="4D60F9FB" w14:textId="42C76D26" w:rsidR="007D5795" w:rsidRDefault="007D5795" w:rsidP="007D5795">
      <w:pPr>
        <w:pStyle w:val="SangriaIzquierdaArticulo"/>
      </w:pPr>
      <w:r>
        <w:t xml:space="preserve">Auto </w:t>
      </w:r>
      <w:hyperlink w:anchor="AUTO_2024_126" w:history="1">
        <w:r w:rsidRPr="007D5795">
          <w:rPr>
            <w:rStyle w:val="TextoNormalCaracter"/>
          </w:rPr>
          <w:t>126/2024</w:t>
        </w:r>
      </w:hyperlink>
      <w:r>
        <w:t>, f. 2, VP.</w:t>
      </w:r>
    </w:p>
    <w:p w14:paraId="767839D3" w14:textId="6CC62AC0" w:rsidR="007D5795" w:rsidRDefault="007D5795" w:rsidP="007D5795">
      <w:pPr>
        <w:pStyle w:val="SangriaFrancesaArticulo"/>
      </w:pPr>
      <w:r w:rsidRPr="007D5795">
        <w:rPr>
          <w:rStyle w:val="TextoNormalNegritaCaracter"/>
        </w:rPr>
        <w:t>Artículo 31.1.</w:t>
      </w:r>
      <w:r w:rsidRPr="007D5795">
        <w:rPr>
          <w:rStyle w:val="TextoNormalCaracter"/>
        </w:rPr>
        <w:t>-</w:t>
      </w:r>
      <w:r>
        <w:t xml:space="preserve"> Sentencias </w:t>
      </w:r>
      <w:hyperlink w:anchor="SENTENCIA_2024_99" w:history="1">
        <w:r w:rsidRPr="007D5795">
          <w:rPr>
            <w:rStyle w:val="TextoNormalCaracter"/>
          </w:rPr>
          <w:t>99/2024</w:t>
        </w:r>
      </w:hyperlink>
      <w:r>
        <w:t xml:space="preserve">, VP II;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VP II.</w:t>
      </w:r>
    </w:p>
    <w:p w14:paraId="357E244C" w14:textId="688F6887" w:rsidR="007D5795" w:rsidRDefault="007D5795" w:rsidP="007D5795">
      <w:pPr>
        <w:pStyle w:val="SangriaIzquierdaArticulo"/>
      </w:pPr>
      <w:r>
        <w:t xml:space="preserve">Auto </w:t>
      </w:r>
      <w:hyperlink w:anchor="AUTO_2024_103" w:history="1">
        <w:r w:rsidRPr="007D5795">
          <w:rPr>
            <w:rStyle w:val="TextoNormalCaracter"/>
          </w:rPr>
          <w:t>103/2024</w:t>
        </w:r>
      </w:hyperlink>
      <w:r>
        <w:t>, f. 1.</w:t>
      </w:r>
    </w:p>
    <w:p w14:paraId="16D5FBB9" w14:textId="138B6738" w:rsidR="007D5795" w:rsidRDefault="007D5795" w:rsidP="007D5795">
      <w:pPr>
        <w:pStyle w:val="SangriaFrancesaArticulo"/>
      </w:pPr>
      <w:r w:rsidRPr="007D5795">
        <w:rPr>
          <w:rStyle w:val="TextoNormalNegritaCaracter"/>
        </w:rPr>
        <w:t>Artículo 31.2.</w:t>
      </w:r>
      <w:r w:rsidRPr="007D5795">
        <w:rPr>
          <w:rStyle w:val="TextoNormalCaracter"/>
        </w:rPr>
        <w:t>-</w:t>
      </w:r>
      <w:r>
        <w:t xml:space="preserve"> Sentencias </w:t>
      </w:r>
      <w:hyperlink w:anchor="SENTENCIA_2024_94" w:history="1">
        <w:r w:rsidRPr="007D5795">
          <w:rPr>
            <w:rStyle w:val="TextoNormalCaracter"/>
          </w:rPr>
          <w:t>94/2024</w:t>
        </w:r>
      </w:hyperlink>
      <w:r>
        <w:t xml:space="preserve">, VP II; </w:t>
      </w:r>
      <w:hyperlink w:anchor="SENTENCIA_2024_95" w:history="1">
        <w:r w:rsidRPr="007D5795">
          <w:rPr>
            <w:rStyle w:val="TextoNormalCaracter"/>
          </w:rPr>
          <w:t>95/2024</w:t>
        </w:r>
      </w:hyperlink>
      <w:r>
        <w:t xml:space="preserve">, VP II; </w:t>
      </w:r>
      <w:hyperlink w:anchor="SENTENCIA_2024_96" w:history="1">
        <w:r w:rsidRPr="007D5795">
          <w:rPr>
            <w:rStyle w:val="TextoNormalCaracter"/>
          </w:rPr>
          <w:t>96/2024</w:t>
        </w:r>
      </w:hyperlink>
      <w:r>
        <w:t xml:space="preserve">, VP II; </w:t>
      </w:r>
      <w:hyperlink w:anchor="SENTENCIA_2024_97" w:history="1">
        <w:r w:rsidRPr="007D5795">
          <w:rPr>
            <w:rStyle w:val="TextoNormalCaracter"/>
          </w:rPr>
          <w:t>97/2024</w:t>
        </w:r>
      </w:hyperlink>
      <w:r>
        <w:t xml:space="preserve">, VP II; </w:t>
      </w:r>
      <w:hyperlink w:anchor="SENTENCIA_2024_98" w:history="1">
        <w:r w:rsidRPr="007D5795">
          <w:rPr>
            <w:rStyle w:val="TextoNormalCaracter"/>
          </w:rPr>
          <w:t>98/2024</w:t>
        </w:r>
      </w:hyperlink>
      <w:r>
        <w:t xml:space="preserve">, VP II; </w:t>
      </w:r>
      <w:hyperlink w:anchor="SENTENCIA_2024_99" w:history="1">
        <w:r w:rsidRPr="007D5795">
          <w:rPr>
            <w:rStyle w:val="TextoNormalCaracter"/>
          </w:rPr>
          <w:t>99/2024</w:t>
        </w:r>
      </w:hyperlink>
      <w:r>
        <w:t xml:space="preserve">, VP II;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xml:space="preserve">, VP II; </w:t>
      </w:r>
      <w:hyperlink w:anchor="SENTENCIA_2024_121" w:history="1">
        <w:r w:rsidRPr="007D5795">
          <w:rPr>
            <w:rStyle w:val="TextoNormalCaracter"/>
          </w:rPr>
          <w:t>121/2024</w:t>
        </w:r>
      </w:hyperlink>
      <w:r>
        <w:t>, f. 1.</w:t>
      </w:r>
    </w:p>
    <w:p w14:paraId="14896ECB" w14:textId="36823215" w:rsidR="007D5795" w:rsidRDefault="007D5795" w:rsidP="007D5795">
      <w:pPr>
        <w:pStyle w:val="SangriaFrancesaArticulo"/>
      </w:pPr>
      <w:r w:rsidRPr="007D5795">
        <w:rPr>
          <w:rStyle w:val="TextoNormalNegritaCaracter"/>
        </w:rPr>
        <w:t>Artículo 32.</w:t>
      </w:r>
      <w:r w:rsidRPr="007D5795">
        <w:rPr>
          <w:rStyle w:val="TextoNormalCaracter"/>
        </w:rPr>
        <w:t>-</w:t>
      </w:r>
      <w:r>
        <w:t xml:space="preserve"> Auto </w:t>
      </w:r>
      <w:hyperlink w:anchor="AUTO_2024_89" w:history="1">
        <w:r w:rsidRPr="007D5795">
          <w:rPr>
            <w:rStyle w:val="TextoNormalCaracter"/>
          </w:rPr>
          <w:t>89/2024</w:t>
        </w:r>
      </w:hyperlink>
      <w:r>
        <w:t>, f. 2.</w:t>
      </w:r>
    </w:p>
    <w:p w14:paraId="7FF6F849" w14:textId="6C2738BB" w:rsidR="007D5795" w:rsidRDefault="007D5795" w:rsidP="007D5795">
      <w:pPr>
        <w:pStyle w:val="SangriaFrancesaArticulo"/>
      </w:pPr>
      <w:r w:rsidRPr="007D5795">
        <w:rPr>
          <w:rStyle w:val="TextoNormalNegritaCaracter"/>
        </w:rPr>
        <w:t>Artículo 32.1.</w:t>
      </w:r>
      <w:r w:rsidRPr="007D5795">
        <w:rPr>
          <w:rStyle w:val="TextoNormalCaracter"/>
        </w:rPr>
        <w:t>-</w:t>
      </w:r>
      <w:r>
        <w:t xml:space="preserve"> Auto </w:t>
      </w:r>
      <w:hyperlink w:anchor="AUTO_2024_89" w:history="1">
        <w:r w:rsidRPr="007D5795">
          <w:rPr>
            <w:rStyle w:val="TextoNormalCaracter"/>
          </w:rPr>
          <w:t>89/2024</w:t>
        </w:r>
      </w:hyperlink>
      <w:r>
        <w:t>, f. 2.</w:t>
      </w:r>
    </w:p>
    <w:p w14:paraId="507587F8" w14:textId="315ED061" w:rsidR="007D5795" w:rsidRDefault="007D5795" w:rsidP="007D5795">
      <w:pPr>
        <w:pStyle w:val="SangriaFrancesaArticulo"/>
      </w:pPr>
      <w:r w:rsidRPr="007D5795">
        <w:rPr>
          <w:rStyle w:val="TextoNormalNegritaCaracter"/>
        </w:rPr>
        <w:t>Artículo 33.</w:t>
      </w:r>
      <w:r w:rsidRPr="007D5795">
        <w:rPr>
          <w:rStyle w:val="TextoNormalCaracter"/>
        </w:rPr>
        <w:t>-</w:t>
      </w:r>
      <w:r>
        <w:t xml:space="preserve"> Sentencias </w:t>
      </w:r>
      <w:hyperlink w:anchor="SENTENCIA_2024_120" w:history="1">
        <w:r w:rsidRPr="007D5795">
          <w:rPr>
            <w:rStyle w:val="TextoNormalCaracter"/>
          </w:rPr>
          <w:t>120/2024</w:t>
        </w:r>
      </w:hyperlink>
      <w:r>
        <w:t xml:space="preserve">, ff. 1, 3 a 6, VP II; </w:t>
      </w:r>
      <w:hyperlink w:anchor="SENTENCIA_2024_126" w:history="1">
        <w:r w:rsidRPr="007D5795">
          <w:rPr>
            <w:rStyle w:val="TextoNormalCaracter"/>
          </w:rPr>
          <w:t>126/2024</w:t>
        </w:r>
      </w:hyperlink>
      <w:r>
        <w:t xml:space="preserve">, VP; </w:t>
      </w:r>
      <w:hyperlink w:anchor="SENTENCIA_2024_130" w:history="1">
        <w:r w:rsidRPr="007D5795">
          <w:rPr>
            <w:rStyle w:val="TextoNormalCaracter"/>
          </w:rPr>
          <w:t>130/2024</w:t>
        </w:r>
      </w:hyperlink>
      <w:r>
        <w:t>, f. 1.</w:t>
      </w:r>
    </w:p>
    <w:p w14:paraId="3A591B76" w14:textId="4DDC24D1" w:rsidR="007D5795" w:rsidRDefault="007D5795" w:rsidP="007D5795">
      <w:pPr>
        <w:pStyle w:val="SangriaFrancesaArticulo"/>
      </w:pPr>
      <w:r w:rsidRPr="007D5795">
        <w:rPr>
          <w:rStyle w:val="TextoNormalNegritaCaracter"/>
        </w:rPr>
        <w:t>Artículo 33.1.</w:t>
      </w:r>
      <w:r w:rsidRPr="007D5795">
        <w:rPr>
          <w:rStyle w:val="TextoNormalCaracter"/>
        </w:rPr>
        <w:t>-</w:t>
      </w:r>
      <w:r>
        <w:t xml:space="preserve"> Sentencia </w:t>
      </w:r>
      <w:hyperlink w:anchor="SENTENCIA_2024_130" w:history="1">
        <w:r w:rsidRPr="007D5795">
          <w:rPr>
            <w:rStyle w:val="TextoNormalCaracter"/>
          </w:rPr>
          <w:t>130/2024</w:t>
        </w:r>
      </w:hyperlink>
      <w:r>
        <w:t>, f. 1.</w:t>
      </w:r>
    </w:p>
    <w:p w14:paraId="6033E363" w14:textId="625EB287" w:rsidR="007D5795" w:rsidRDefault="007D5795" w:rsidP="007D5795">
      <w:pPr>
        <w:pStyle w:val="SangriaFrancesaArticulo"/>
      </w:pPr>
      <w:r w:rsidRPr="007D5795">
        <w:rPr>
          <w:rStyle w:val="TextoNormalNegritaCaracter"/>
        </w:rPr>
        <w:t>Artículo 33.2.</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1549AB5D" w14:textId="6BD6C514" w:rsidR="007D5795" w:rsidRDefault="007D5795" w:rsidP="007D5795">
      <w:pPr>
        <w:pStyle w:val="SangriaFrancesaArticulo"/>
      </w:pPr>
      <w:r w:rsidRPr="007D5795">
        <w:rPr>
          <w:rStyle w:val="TextoNormalNegritaCaracter"/>
        </w:rPr>
        <w:t>Artículo 33.3.</w:t>
      </w:r>
      <w:r w:rsidRPr="007D5795">
        <w:rPr>
          <w:rStyle w:val="TextoNormalCaracter"/>
        </w:rPr>
        <w:t>-</w:t>
      </w:r>
      <w:r>
        <w:t xml:space="preserve"> Sentencia </w:t>
      </w:r>
      <w:hyperlink w:anchor="SENTENCIA_2024_120" w:history="1">
        <w:r w:rsidRPr="007D5795">
          <w:rPr>
            <w:rStyle w:val="TextoNormalCaracter"/>
          </w:rPr>
          <w:t>120/2024</w:t>
        </w:r>
      </w:hyperlink>
      <w:r>
        <w:t>, VP I, VP IV.</w:t>
      </w:r>
    </w:p>
    <w:p w14:paraId="3BC72ADC" w14:textId="58419BEA" w:rsidR="007D5795" w:rsidRDefault="007D5795" w:rsidP="007D5795">
      <w:pPr>
        <w:pStyle w:val="SangriaFrancesaArticulo"/>
      </w:pPr>
      <w:r w:rsidRPr="007D5795">
        <w:rPr>
          <w:rStyle w:val="TextoNormalNegritaCaracter"/>
        </w:rPr>
        <w:t>Artículo 38.</w:t>
      </w:r>
      <w:r w:rsidRPr="007D5795">
        <w:rPr>
          <w:rStyle w:val="TextoNormalCaracter"/>
        </w:rPr>
        <w:t>-</w:t>
      </w:r>
      <w:r>
        <w:t xml:space="preserve"> Sentencias </w:t>
      </w:r>
      <w:hyperlink w:anchor="SENTENCIA_2024_112" w:history="1">
        <w:r w:rsidRPr="007D5795">
          <w:rPr>
            <w:rStyle w:val="TextoNormalCaracter"/>
          </w:rPr>
          <w:t>112/2024</w:t>
        </w:r>
      </w:hyperlink>
      <w:r>
        <w:t xml:space="preserve">, ff. 1 a 5; </w:t>
      </w:r>
      <w:hyperlink w:anchor="SENTENCIA_2024_120" w:history="1">
        <w:r w:rsidRPr="007D5795">
          <w:rPr>
            <w:rStyle w:val="TextoNormalCaracter"/>
          </w:rPr>
          <w:t>120/2024</w:t>
        </w:r>
      </w:hyperlink>
      <w:r>
        <w:t>, ff. 5, 6.</w:t>
      </w:r>
    </w:p>
    <w:p w14:paraId="101707D9" w14:textId="3D935FC0" w:rsidR="007D5795" w:rsidRDefault="007D5795" w:rsidP="007D5795">
      <w:pPr>
        <w:pStyle w:val="SangriaFrancesaArticulo"/>
      </w:pPr>
      <w:r w:rsidRPr="007D5795">
        <w:rPr>
          <w:rStyle w:val="TextoNormalNegritaCaracter"/>
        </w:rPr>
        <w:t>Artículo 39.</w:t>
      </w:r>
      <w:r w:rsidRPr="007D5795">
        <w:rPr>
          <w:rStyle w:val="TextoNormalCaracter"/>
        </w:rPr>
        <w:t>-</w:t>
      </w:r>
      <w:r>
        <w:t xml:space="preserve"> Sentencias </w:t>
      </w:r>
      <w:hyperlink w:anchor="SENTENCIA_2024_115" w:history="1">
        <w:r w:rsidRPr="007D5795">
          <w:rPr>
            <w:rStyle w:val="TextoNormalCaracter"/>
          </w:rPr>
          <w:t>115/2024</w:t>
        </w:r>
      </w:hyperlink>
      <w:r>
        <w:t xml:space="preserve">, f. 2; </w:t>
      </w:r>
      <w:hyperlink w:anchor="SENTENCIA_2024_124" w:history="1">
        <w:r w:rsidRPr="007D5795">
          <w:rPr>
            <w:rStyle w:val="TextoNormalCaracter"/>
          </w:rPr>
          <w:t>124/2024</w:t>
        </w:r>
      </w:hyperlink>
      <w:r>
        <w:t xml:space="preserve">, f. 2; </w:t>
      </w:r>
      <w:hyperlink w:anchor="SENTENCIA_2024_140" w:history="1">
        <w:r w:rsidRPr="007D5795">
          <w:rPr>
            <w:rStyle w:val="TextoNormalCaracter"/>
          </w:rPr>
          <w:t>140/2024</w:t>
        </w:r>
      </w:hyperlink>
      <w:r>
        <w:t xml:space="preserve">, ff. 1 a 3, 6, 7, VP I, VP II; </w:t>
      </w:r>
      <w:hyperlink w:anchor="SENTENCIA_2024_147" w:history="1">
        <w:r w:rsidRPr="007D5795">
          <w:rPr>
            <w:rStyle w:val="TextoNormalCaracter"/>
          </w:rPr>
          <w:t>147/2024</w:t>
        </w:r>
      </w:hyperlink>
      <w:r>
        <w:t xml:space="preserve">, ff. 1, 3; </w:t>
      </w:r>
      <w:hyperlink w:anchor="SENTENCIA_2024_149" w:history="1">
        <w:r w:rsidRPr="007D5795">
          <w:rPr>
            <w:rStyle w:val="TextoNormalCaracter"/>
          </w:rPr>
          <w:t>149/2024</w:t>
        </w:r>
      </w:hyperlink>
      <w:r>
        <w:t xml:space="preserve">, ff. 1, 3; </w:t>
      </w:r>
      <w:hyperlink w:anchor="SENTENCIA_2024_150" w:history="1">
        <w:r w:rsidRPr="007D5795">
          <w:rPr>
            <w:rStyle w:val="TextoNormalCaracter"/>
          </w:rPr>
          <w:t>150/2024</w:t>
        </w:r>
      </w:hyperlink>
      <w:r>
        <w:t xml:space="preserve">, ff. 1, 3; </w:t>
      </w:r>
      <w:hyperlink w:anchor="SENTENCIA_2024_151" w:history="1">
        <w:r w:rsidRPr="007D5795">
          <w:rPr>
            <w:rStyle w:val="TextoNormalCaracter"/>
          </w:rPr>
          <w:t>151/2024</w:t>
        </w:r>
      </w:hyperlink>
      <w:r>
        <w:t xml:space="preserve">, ff. 1, 3; </w:t>
      </w:r>
      <w:hyperlink w:anchor="SENTENCIA_2024_155" w:history="1">
        <w:r w:rsidRPr="007D5795">
          <w:rPr>
            <w:rStyle w:val="TextoNormalCaracter"/>
          </w:rPr>
          <w:t>155/2024</w:t>
        </w:r>
      </w:hyperlink>
      <w:r>
        <w:t>, f. 1.</w:t>
      </w:r>
    </w:p>
    <w:p w14:paraId="61FF3880" w14:textId="163BB128" w:rsidR="007D5795" w:rsidRDefault="007D5795" w:rsidP="007D5795">
      <w:pPr>
        <w:pStyle w:val="SangriaIzquierdaArticulo"/>
      </w:pPr>
      <w:r>
        <w:t xml:space="preserve">Auto </w:t>
      </w:r>
      <w:hyperlink w:anchor="AUTO_2024_89" w:history="1">
        <w:r w:rsidRPr="007D5795">
          <w:rPr>
            <w:rStyle w:val="TextoNormalCaracter"/>
          </w:rPr>
          <w:t>89/2024</w:t>
        </w:r>
      </w:hyperlink>
      <w:r>
        <w:t>, ff. 1, 2.</w:t>
      </w:r>
    </w:p>
    <w:p w14:paraId="0120547D" w14:textId="136D5073" w:rsidR="007D5795" w:rsidRDefault="007D5795" w:rsidP="007D5795">
      <w:pPr>
        <w:pStyle w:val="SangriaFrancesaArticulo"/>
      </w:pPr>
      <w:r w:rsidRPr="007D5795">
        <w:rPr>
          <w:rStyle w:val="TextoNormalNegritaCaracter"/>
        </w:rPr>
        <w:t>Artículo 39.1.</w:t>
      </w:r>
      <w:r w:rsidRPr="007D5795">
        <w:rPr>
          <w:rStyle w:val="TextoNormalCaracter"/>
        </w:rPr>
        <w:t>-</w:t>
      </w:r>
      <w:r>
        <w:t xml:space="preserve"> Sentencia </w:t>
      </w:r>
      <w:hyperlink w:anchor="SENTENCIA_2024_140" w:history="1">
        <w:r w:rsidRPr="007D5795">
          <w:rPr>
            <w:rStyle w:val="TextoNormalCaracter"/>
          </w:rPr>
          <w:t>140/2024</w:t>
        </w:r>
      </w:hyperlink>
      <w:r>
        <w:t>, ff. 1, 2, 5.</w:t>
      </w:r>
    </w:p>
    <w:p w14:paraId="64807896" w14:textId="0A7814EE" w:rsidR="007D5795" w:rsidRDefault="007D5795" w:rsidP="007D5795">
      <w:pPr>
        <w:pStyle w:val="SangriaIzquierdaArticulo"/>
      </w:pPr>
      <w:r>
        <w:t xml:space="preserve">Auto </w:t>
      </w:r>
      <w:hyperlink w:anchor="AUTO_2024_89" w:history="1">
        <w:r w:rsidRPr="007D5795">
          <w:rPr>
            <w:rStyle w:val="TextoNormalCaracter"/>
          </w:rPr>
          <w:t>89/2024</w:t>
        </w:r>
      </w:hyperlink>
      <w:r>
        <w:t>, f. 2.</w:t>
      </w:r>
    </w:p>
    <w:p w14:paraId="51620764" w14:textId="1EB2E228" w:rsidR="007D5795" w:rsidRDefault="007D5795" w:rsidP="007D5795">
      <w:pPr>
        <w:pStyle w:val="SangriaFrancesaArticulo"/>
      </w:pPr>
      <w:r w:rsidRPr="007D5795">
        <w:rPr>
          <w:rStyle w:val="TextoNormalNegritaCaracter"/>
        </w:rPr>
        <w:t>Artículo 39.2.</w:t>
      </w:r>
      <w:r w:rsidRPr="007D5795">
        <w:rPr>
          <w:rStyle w:val="TextoNormalCaracter"/>
        </w:rPr>
        <w:t>-</w:t>
      </w:r>
      <w:r>
        <w:t xml:space="preserve"> Sentencia </w:t>
      </w:r>
      <w:hyperlink w:anchor="SENTENCIA_2024_140" w:history="1">
        <w:r w:rsidRPr="007D5795">
          <w:rPr>
            <w:rStyle w:val="TextoNormalCaracter"/>
          </w:rPr>
          <w:t>140/2024</w:t>
        </w:r>
      </w:hyperlink>
      <w:r>
        <w:t>, ff. 1, 2, 4, 5.</w:t>
      </w:r>
    </w:p>
    <w:p w14:paraId="2825C066" w14:textId="3382C913" w:rsidR="007D5795" w:rsidRDefault="007D5795" w:rsidP="007D5795">
      <w:pPr>
        <w:pStyle w:val="SangriaFrancesaArticulo"/>
      </w:pPr>
      <w:r w:rsidRPr="007D5795">
        <w:rPr>
          <w:rStyle w:val="TextoNormalNegritaCaracter"/>
        </w:rPr>
        <w:t>Artículo 39.3.</w:t>
      </w:r>
      <w:r w:rsidRPr="007D5795">
        <w:rPr>
          <w:rStyle w:val="TextoNormalCaracter"/>
        </w:rPr>
        <w:t>-</w:t>
      </w:r>
      <w:r>
        <w:t xml:space="preserve"> Sentencia </w:t>
      </w:r>
      <w:hyperlink w:anchor="SENTENCIA_2024_140" w:history="1">
        <w:r w:rsidRPr="007D5795">
          <w:rPr>
            <w:rStyle w:val="TextoNormalCaracter"/>
          </w:rPr>
          <w:t>140/2024</w:t>
        </w:r>
      </w:hyperlink>
      <w:r>
        <w:t>, ff. 4 a 6, VP I.</w:t>
      </w:r>
    </w:p>
    <w:p w14:paraId="08045832" w14:textId="790A2252" w:rsidR="007D5795" w:rsidRDefault="007D5795" w:rsidP="007D5795">
      <w:pPr>
        <w:pStyle w:val="SangriaFrancesaArticulo"/>
      </w:pPr>
      <w:r w:rsidRPr="007D5795">
        <w:rPr>
          <w:rStyle w:val="TextoNormalNegritaCaracter"/>
        </w:rPr>
        <w:t>Artículo 39.4.</w:t>
      </w:r>
      <w:r w:rsidRPr="007D5795">
        <w:rPr>
          <w:rStyle w:val="TextoNormalCaracter"/>
        </w:rPr>
        <w:t>-</w:t>
      </w:r>
      <w:r>
        <w:t xml:space="preserve"> Sentencias </w:t>
      </w:r>
      <w:hyperlink w:anchor="SENTENCIA_2024_126" w:history="1">
        <w:r w:rsidRPr="007D5795">
          <w:rPr>
            <w:rStyle w:val="TextoNormalCaracter"/>
          </w:rPr>
          <w:t>126/2024</w:t>
        </w:r>
      </w:hyperlink>
      <w:r>
        <w:t xml:space="preserve">, f. 2; </w:t>
      </w:r>
      <w:hyperlink w:anchor="SENTENCIA_2024_140" w:history="1">
        <w:r w:rsidRPr="007D5795">
          <w:rPr>
            <w:rStyle w:val="TextoNormalCaracter"/>
          </w:rPr>
          <w:t>140/2024</w:t>
        </w:r>
      </w:hyperlink>
      <w:r>
        <w:t>, ff. 1, 2, 5.</w:t>
      </w:r>
    </w:p>
    <w:p w14:paraId="53AC5CEB" w14:textId="384AA887" w:rsidR="007D5795" w:rsidRDefault="007D5795" w:rsidP="007D5795">
      <w:pPr>
        <w:pStyle w:val="SangriaFrancesaArticulo"/>
      </w:pPr>
      <w:r w:rsidRPr="007D5795">
        <w:rPr>
          <w:rStyle w:val="TextoNormalNegritaCaracter"/>
        </w:rPr>
        <w:t>Artículo 41.</w:t>
      </w:r>
      <w:r w:rsidRPr="007D5795">
        <w:rPr>
          <w:rStyle w:val="TextoNormalCaracter"/>
        </w:rPr>
        <w:t>-</w:t>
      </w:r>
      <w:r>
        <w:t xml:space="preserve"> Sentencia </w:t>
      </w:r>
      <w:hyperlink w:anchor="SENTENCIA_2024_140" w:history="1">
        <w:r w:rsidRPr="007D5795">
          <w:rPr>
            <w:rStyle w:val="TextoNormalCaracter"/>
          </w:rPr>
          <w:t>140/2024</w:t>
        </w:r>
      </w:hyperlink>
      <w:r>
        <w:t>, ff. 1, 2.</w:t>
      </w:r>
    </w:p>
    <w:p w14:paraId="027F5CC6" w14:textId="27199B5F" w:rsidR="007D5795" w:rsidRDefault="007D5795" w:rsidP="007D5795">
      <w:pPr>
        <w:pStyle w:val="SangriaIzquierdaArticulo"/>
      </w:pPr>
      <w:r>
        <w:t xml:space="preserve">Auto </w:t>
      </w:r>
      <w:hyperlink w:anchor="AUTO_2024_89" w:history="1">
        <w:r w:rsidRPr="007D5795">
          <w:rPr>
            <w:rStyle w:val="TextoNormalCaracter"/>
          </w:rPr>
          <w:t>89/2024</w:t>
        </w:r>
      </w:hyperlink>
      <w:r>
        <w:t>, ff. 1, 2.</w:t>
      </w:r>
    </w:p>
    <w:p w14:paraId="5019581C" w14:textId="0F87F586" w:rsidR="007D5795" w:rsidRDefault="007D5795" w:rsidP="007D5795">
      <w:pPr>
        <w:pStyle w:val="SangriaFrancesaArticulo"/>
      </w:pPr>
      <w:r w:rsidRPr="007D5795">
        <w:rPr>
          <w:rStyle w:val="TextoNormalNegritaCaracter"/>
        </w:rPr>
        <w:t>Artículo 43.</w:t>
      </w:r>
      <w:r w:rsidRPr="007D5795">
        <w:rPr>
          <w:rStyle w:val="TextoNormalCaracter"/>
        </w:rPr>
        <w:t>-</w:t>
      </w:r>
      <w:r>
        <w:t xml:space="preserve"> Sentencias </w:t>
      </w:r>
      <w:hyperlink w:anchor="SENTENCIA_2024_116" w:history="1">
        <w:r w:rsidRPr="007D5795">
          <w:rPr>
            <w:rStyle w:val="TextoNormalCaracter"/>
          </w:rPr>
          <w:t>116/2024</w:t>
        </w:r>
      </w:hyperlink>
      <w:r>
        <w:t xml:space="preserve">, ff. 1, 3; </w:t>
      </w:r>
      <w:hyperlink w:anchor="SENTENCIA_2024_136" w:history="1">
        <w:r w:rsidRPr="007D5795">
          <w:rPr>
            <w:rStyle w:val="TextoNormalCaracter"/>
          </w:rPr>
          <w:t>136/2024</w:t>
        </w:r>
      </w:hyperlink>
      <w:r>
        <w:t>, f. 4.</w:t>
      </w:r>
    </w:p>
    <w:p w14:paraId="14358D8D" w14:textId="4B5AC026" w:rsidR="007D5795" w:rsidRDefault="007D5795" w:rsidP="007D5795">
      <w:pPr>
        <w:pStyle w:val="SangriaFrancesaArticulo"/>
      </w:pPr>
      <w:r w:rsidRPr="007D5795">
        <w:rPr>
          <w:rStyle w:val="TextoNormalNegritaCaracter"/>
        </w:rPr>
        <w:t>Artículo 43.2.</w:t>
      </w:r>
      <w:r w:rsidRPr="007D5795">
        <w:rPr>
          <w:rStyle w:val="TextoNormalCaracter"/>
        </w:rPr>
        <w:t>-</w:t>
      </w:r>
      <w:r>
        <w:t xml:space="preserve"> Sentencia </w:t>
      </w:r>
      <w:hyperlink w:anchor="SENTENCIA_2024_136" w:history="1">
        <w:r w:rsidRPr="007D5795">
          <w:rPr>
            <w:rStyle w:val="TextoNormalCaracter"/>
          </w:rPr>
          <w:t>136/2024</w:t>
        </w:r>
      </w:hyperlink>
      <w:r>
        <w:t>, f. 4.</w:t>
      </w:r>
    </w:p>
    <w:p w14:paraId="27F5CBCC" w14:textId="271F33FE" w:rsidR="007D5795" w:rsidRDefault="007D5795" w:rsidP="007D5795">
      <w:pPr>
        <w:pStyle w:val="SangriaFrancesaArticulo"/>
      </w:pPr>
      <w:r w:rsidRPr="007D5795">
        <w:rPr>
          <w:rStyle w:val="TextoNormalNegritaCaracter"/>
        </w:rPr>
        <w:t>Artículo 45.</w:t>
      </w:r>
      <w:r w:rsidRPr="007D5795">
        <w:rPr>
          <w:rStyle w:val="TextoNormalCaracter"/>
        </w:rPr>
        <w:t>-</w:t>
      </w:r>
      <w:r>
        <w:t xml:space="preserve"> Sentencia </w:t>
      </w:r>
      <w:hyperlink w:anchor="SENTENCIA_2024_142" w:history="1">
        <w:r w:rsidRPr="007D5795">
          <w:rPr>
            <w:rStyle w:val="TextoNormalCaracter"/>
          </w:rPr>
          <w:t>142/2024</w:t>
        </w:r>
      </w:hyperlink>
      <w:r>
        <w:t>, ff. 1, 3, 5, VP.</w:t>
      </w:r>
    </w:p>
    <w:p w14:paraId="1FEB2F37" w14:textId="6B6390A1" w:rsidR="007D5795" w:rsidRDefault="007D5795" w:rsidP="007D5795">
      <w:pPr>
        <w:pStyle w:val="SangriaFrancesaArticulo"/>
      </w:pPr>
      <w:r w:rsidRPr="007D5795">
        <w:rPr>
          <w:rStyle w:val="TextoNormalNegritaCaracter"/>
        </w:rPr>
        <w:t>Artículo 45.1.</w:t>
      </w:r>
      <w:r w:rsidRPr="007D5795">
        <w:rPr>
          <w:rStyle w:val="TextoNormalCaracter"/>
        </w:rPr>
        <w:t>-</w:t>
      </w:r>
      <w:r>
        <w:t xml:space="preserve"> Sentencia </w:t>
      </w:r>
      <w:hyperlink w:anchor="SENTENCIA_2024_142" w:history="1">
        <w:r w:rsidRPr="007D5795">
          <w:rPr>
            <w:rStyle w:val="TextoNormalCaracter"/>
          </w:rPr>
          <w:t>142/2024</w:t>
        </w:r>
      </w:hyperlink>
      <w:r>
        <w:t>, VP.</w:t>
      </w:r>
    </w:p>
    <w:p w14:paraId="1BA947BC" w14:textId="4F4B6A07" w:rsidR="007D5795" w:rsidRDefault="007D5795" w:rsidP="007D5795">
      <w:pPr>
        <w:pStyle w:val="SangriaFrancesaArticulo"/>
      </w:pPr>
      <w:r w:rsidRPr="007D5795">
        <w:rPr>
          <w:rStyle w:val="TextoNormalNegritaCaracter"/>
        </w:rPr>
        <w:t>Artículo 45.2.</w:t>
      </w:r>
      <w:r w:rsidRPr="007D5795">
        <w:rPr>
          <w:rStyle w:val="TextoNormalCaracter"/>
        </w:rPr>
        <w:t>-</w:t>
      </w:r>
      <w:r>
        <w:t xml:space="preserve"> Sentencia </w:t>
      </w:r>
      <w:hyperlink w:anchor="SENTENCIA_2024_142" w:history="1">
        <w:r w:rsidRPr="007D5795">
          <w:rPr>
            <w:rStyle w:val="TextoNormalCaracter"/>
          </w:rPr>
          <w:t>142/2024</w:t>
        </w:r>
      </w:hyperlink>
      <w:r>
        <w:t>, f. 3, VP.</w:t>
      </w:r>
    </w:p>
    <w:p w14:paraId="4CE3F933" w14:textId="42C0287B" w:rsidR="007D5795" w:rsidRDefault="007D5795" w:rsidP="007D5795">
      <w:pPr>
        <w:pStyle w:val="SangriaFrancesaArticulo"/>
      </w:pPr>
      <w:r w:rsidRPr="007D5795">
        <w:rPr>
          <w:rStyle w:val="TextoNormalNegritaCaracter"/>
        </w:rPr>
        <w:t>Artículo 45.3.</w:t>
      </w:r>
      <w:r w:rsidRPr="007D5795">
        <w:rPr>
          <w:rStyle w:val="TextoNormalCaracter"/>
        </w:rPr>
        <w:t>-</w:t>
      </w:r>
      <w:r>
        <w:t xml:space="preserve"> Sentencia </w:t>
      </w:r>
      <w:hyperlink w:anchor="SENTENCIA_2024_142" w:history="1">
        <w:r w:rsidRPr="007D5795">
          <w:rPr>
            <w:rStyle w:val="TextoNormalCaracter"/>
          </w:rPr>
          <w:t>142/2024</w:t>
        </w:r>
      </w:hyperlink>
      <w:r>
        <w:t>, VP.</w:t>
      </w:r>
    </w:p>
    <w:p w14:paraId="6A11F2D3" w14:textId="5FAD4197" w:rsidR="007D5795" w:rsidRDefault="007D5795" w:rsidP="007D5795">
      <w:pPr>
        <w:pStyle w:val="SangriaFrancesaArticulo"/>
      </w:pPr>
      <w:r w:rsidRPr="007D5795">
        <w:rPr>
          <w:rStyle w:val="TextoNormalNegritaCaracter"/>
        </w:rPr>
        <w:t>Artículo 47.</w:t>
      </w:r>
      <w:r w:rsidRPr="007D5795">
        <w:rPr>
          <w:rStyle w:val="TextoNormalCaracter"/>
        </w:rPr>
        <w:t>-</w:t>
      </w:r>
      <w:r>
        <w:t xml:space="preserve"> Sentencias </w:t>
      </w:r>
      <w:hyperlink w:anchor="SENTENCIA_2024_120" w:history="1">
        <w:r w:rsidRPr="007D5795">
          <w:rPr>
            <w:rStyle w:val="TextoNormalCaracter"/>
          </w:rPr>
          <w:t>120/2024</w:t>
        </w:r>
      </w:hyperlink>
      <w:r>
        <w:t xml:space="preserve">, ff. 2, 5, VP III; </w:t>
      </w:r>
      <w:hyperlink w:anchor="SENTENCIA_2024_126" w:history="1">
        <w:r w:rsidRPr="007D5795">
          <w:rPr>
            <w:rStyle w:val="TextoNormalCaracter"/>
          </w:rPr>
          <w:t>126/2024</w:t>
        </w:r>
      </w:hyperlink>
      <w:r>
        <w:t>, VP.</w:t>
      </w:r>
    </w:p>
    <w:p w14:paraId="37C3A433" w14:textId="55A96CE6" w:rsidR="007D5795" w:rsidRDefault="007D5795" w:rsidP="007D5795">
      <w:pPr>
        <w:pStyle w:val="SangriaFrancesaArticulo"/>
      </w:pPr>
      <w:r w:rsidRPr="007D5795">
        <w:rPr>
          <w:rStyle w:val="TextoNormalNegritaCaracter"/>
        </w:rPr>
        <w:t>Artículo 50.</w:t>
      </w:r>
      <w:r w:rsidRPr="007D5795">
        <w:rPr>
          <w:rStyle w:val="TextoNormalCaracter"/>
        </w:rPr>
        <w:t>-</w:t>
      </w:r>
      <w:r>
        <w:t xml:space="preserve"> Auto </w:t>
      </w:r>
      <w:hyperlink w:anchor="AUTO_2024_89" w:history="1">
        <w:r w:rsidRPr="007D5795">
          <w:rPr>
            <w:rStyle w:val="TextoNormalCaracter"/>
          </w:rPr>
          <w:t>89/2024</w:t>
        </w:r>
      </w:hyperlink>
      <w:r>
        <w:t>, f. 2.</w:t>
      </w:r>
    </w:p>
    <w:p w14:paraId="0F70C30A" w14:textId="0F07ACD1" w:rsidR="007D5795" w:rsidRDefault="007D5795" w:rsidP="007D5795">
      <w:pPr>
        <w:pStyle w:val="SangriaFrancesaArticulo"/>
      </w:pPr>
      <w:r w:rsidRPr="007D5795">
        <w:rPr>
          <w:rStyle w:val="TextoNormalNegritaCaracter"/>
        </w:rPr>
        <w:t>Artículo 53.</w:t>
      </w:r>
      <w:r w:rsidRPr="007D5795">
        <w:rPr>
          <w:rStyle w:val="TextoNormalCaracter"/>
        </w:rPr>
        <w:t>-</w:t>
      </w:r>
      <w:r>
        <w:t xml:space="preserve"> Sentencias </w:t>
      </w:r>
      <w:hyperlink w:anchor="SENTENCIA_2024_132" w:history="1">
        <w:r w:rsidRPr="007D5795">
          <w:rPr>
            <w:rStyle w:val="TextoNormalCaracter"/>
          </w:rPr>
          <w:t>132/2024</w:t>
        </w:r>
      </w:hyperlink>
      <w:r>
        <w:t xml:space="preserve">, f. 2; </w:t>
      </w:r>
      <w:hyperlink w:anchor="SENTENCIA_2024_136" w:history="1">
        <w:r w:rsidRPr="007D5795">
          <w:rPr>
            <w:rStyle w:val="TextoNormalCaracter"/>
          </w:rPr>
          <w:t>136/2024</w:t>
        </w:r>
      </w:hyperlink>
      <w:r>
        <w:t>, f. 4.</w:t>
      </w:r>
    </w:p>
    <w:p w14:paraId="0FB2DCAE" w14:textId="74B58C8E" w:rsidR="007D5795" w:rsidRDefault="007D5795" w:rsidP="007D5795">
      <w:pPr>
        <w:pStyle w:val="SangriaFrancesaArticulo"/>
      </w:pPr>
      <w:r w:rsidRPr="007D5795">
        <w:rPr>
          <w:rStyle w:val="TextoNormalNegritaCaracter"/>
        </w:rPr>
        <w:t>Artículo 53.1.</w:t>
      </w:r>
      <w:r w:rsidRPr="007D5795">
        <w:rPr>
          <w:rStyle w:val="TextoNormalCaracter"/>
        </w:rPr>
        <w:t>-</w:t>
      </w:r>
      <w:r>
        <w:t xml:space="preserve"> Sentencias </w:t>
      </w:r>
      <w:hyperlink w:anchor="SENTENCIA_2024_120" w:history="1">
        <w:r w:rsidRPr="007D5795">
          <w:rPr>
            <w:rStyle w:val="TextoNormalCaracter"/>
          </w:rPr>
          <w:t>120/2024</w:t>
        </w:r>
      </w:hyperlink>
      <w:r>
        <w:t xml:space="preserve">, f. 3; </w:t>
      </w:r>
      <w:hyperlink w:anchor="SENTENCIA_2024_136" w:history="1">
        <w:r w:rsidRPr="007D5795">
          <w:rPr>
            <w:rStyle w:val="TextoNormalCaracter"/>
          </w:rPr>
          <w:t>136/2024</w:t>
        </w:r>
      </w:hyperlink>
      <w:r>
        <w:t xml:space="preserve">, ff. 4, 5; </w:t>
      </w:r>
      <w:hyperlink w:anchor="SENTENCIA_2024_141" w:history="1">
        <w:r w:rsidRPr="007D5795">
          <w:rPr>
            <w:rStyle w:val="TextoNormalCaracter"/>
          </w:rPr>
          <w:t>141/2024</w:t>
        </w:r>
      </w:hyperlink>
      <w:r>
        <w:t xml:space="preserve">, f. 1; </w:t>
      </w:r>
      <w:hyperlink w:anchor="SENTENCIA_2024_142" w:history="1">
        <w:r w:rsidRPr="007D5795">
          <w:rPr>
            <w:rStyle w:val="TextoNormalCaracter"/>
          </w:rPr>
          <w:t>142/2024</w:t>
        </w:r>
      </w:hyperlink>
      <w:r>
        <w:t>, VP.</w:t>
      </w:r>
    </w:p>
    <w:p w14:paraId="0C817820" w14:textId="408ABC8D" w:rsidR="007D5795" w:rsidRDefault="007D5795" w:rsidP="007D5795">
      <w:pPr>
        <w:pStyle w:val="SangriaFrancesaArticulo"/>
      </w:pPr>
      <w:r w:rsidRPr="007D5795">
        <w:rPr>
          <w:rStyle w:val="TextoNormalNegritaCaracter"/>
        </w:rPr>
        <w:t>Artículo 53.2.</w:t>
      </w:r>
      <w:r w:rsidRPr="007D5795">
        <w:rPr>
          <w:rStyle w:val="TextoNormalCaracter"/>
        </w:rPr>
        <w:t>-</w:t>
      </w:r>
      <w:r>
        <w:t xml:space="preserve"> Sentencias </w:t>
      </w:r>
      <w:hyperlink w:anchor="SENTENCIA_2024_107" w:history="1">
        <w:r w:rsidRPr="007D5795">
          <w:rPr>
            <w:rStyle w:val="TextoNormalCaracter"/>
          </w:rPr>
          <w:t>107/2024</w:t>
        </w:r>
      </w:hyperlink>
      <w:r>
        <w:t xml:space="preserve">, VP; </w:t>
      </w:r>
      <w:hyperlink w:anchor="SENTENCIA_2024_118" w:history="1">
        <w:r w:rsidRPr="007D5795">
          <w:rPr>
            <w:rStyle w:val="TextoNormalCaracter"/>
          </w:rPr>
          <w:t>118/2024</w:t>
        </w:r>
      </w:hyperlink>
      <w:r>
        <w:t xml:space="preserve">, VP III; </w:t>
      </w:r>
      <w:hyperlink w:anchor="SENTENCIA_2024_122" w:history="1">
        <w:r w:rsidRPr="007D5795">
          <w:rPr>
            <w:rStyle w:val="TextoNormalCaracter"/>
          </w:rPr>
          <w:t>122/2024</w:t>
        </w:r>
      </w:hyperlink>
      <w:r>
        <w:t xml:space="preserve">, f. 2; </w:t>
      </w:r>
      <w:hyperlink w:anchor="SENTENCIA_2024_144" w:history="1">
        <w:r w:rsidRPr="007D5795">
          <w:rPr>
            <w:rStyle w:val="TextoNormalCaracter"/>
          </w:rPr>
          <w:t>144/2024</w:t>
        </w:r>
      </w:hyperlink>
      <w:r>
        <w:t>, f. 2.</w:t>
      </w:r>
    </w:p>
    <w:p w14:paraId="3821B8D5" w14:textId="6E9A72CD" w:rsidR="007D5795" w:rsidRDefault="007D5795" w:rsidP="007D5795">
      <w:pPr>
        <w:pStyle w:val="SangriaFrancesaArticulo"/>
      </w:pPr>
      <w:r w:rsidRPr="007D5795">
        <w:rPr>
          <w:rStyle w:val="TextoNormalNegritaCaracter"/>
        </w:rPr>
        <w:t>Artículo 53.3.</w:t>
      </w:r>
      <w:r w:rsidRPr="007D5795">
        <w:rPr>
          <w:rStyle w:val="TextoNormalCaracter"/>
        </w:rPr>
        <w:t>-</w:t>
      </w:r>
      <w:r>
        <w:t xml:space="preserve"> Sentencias </w:t>
      </w:r>
      <w:hyperlink w:anchor="SENTENCIA_2024_140" w:history="1">
        <w:r w:rsidRPr="007D5795">
          <w:rPr>
            <w:rStyle w:val="TextoNormalCaracter"/>
          </w:rPr>
          <w:t>140/2024</w:t>
        </w:r>
      </w:hyperlink>
      <w:r>
        <w:t xml:space="preserve">, VP I; </w:t>
      </w:r>
      <w:hyperlink w:anchor="SENTENCIA_2024_142" w:history="1">
        <w:r w:rsidRPr="007D5795">
          <w:rPr>
            <w:rStyle w:val="TextoNormalCaracter"/>
          </w:rPr>
          <w:t>142/2024</w:t>
        </w:r>
      </w:hyperlink>
      <w:r>
        <w:t>, VP.</w:t>
      </w:r>
    </w:p>
    <w:p w14:paraId="22F3CC06" w14:textId="01CCB44E" w:rsidR="007D5795" w:rsidRDefault="007D5795" w:rsidP="007D5795">
      <w:pPr>
        <w:pStyle w:val="SangriaIzquierdaArticulo"/>
      </w:pPr>
      <w:r>
        <w:t xml:space="preserve">Auto </w:t>
      </w:r>
      <w:hyperlink w:anchor="AUTO_2024_89" w:history="1">
        <w:r w:rsidRPr="007D5795">
          <w:rPr>
            <w:rStyle w:val="TextoNormalCaracter"/>
          </w:rPr>
          <w:t>89/2024</w:t>
        </w:r>
      </w:hyperlink>
      <w:r>
        <w:t>, f. 2.</w:t>
      </w:r>
    </w:p>
    <w:p w14:paraId="7EDFFE96" w14:textId="79FD2EEA" w:rsidR="007D5795" w:rsidRDefault="007D5795" w:rsidP="007D5795">
      <w:pPr>
        <w:pStyle w:val="SangriaFrancesaArticulo"/>
      </w:pPr>
      <w:r w:rsidRPr="007D5795">
        <w:rPr>
          <w:rStyle w:val="TextoNormalNegritaCaracter"/>
        </w:rPr>
        <w:t>Artículo 55.</w:t>
      </w:r>
      <w:r w:rsidRPr="007D5795">
        <w:rPr>
          <w:rStyle w:val="TextoNormalCaracter"/>
        </w:rPr>
        <w:t>-</w:t>
      </w:r>
      <w:r>
        <w:t xml:space="preserve"> Sentencia </w:t>
      </w:r>
      <w:hyperlink w:anchor="SENTENCIA_2024_141" w:history="1">
        <w:r w:rsidRPr="007D5795">
          <w:rPr>
            <w:rStyle w:val="TextoNormalCaracter"/>
          </w:rPr>
          <w:t>141/2024</w:t>
        </w:r>
      </w:hyperlink>
      <w:r>
        <w:t>, f. 2.</w:t>
      </w:r>
    </w:p>
    <w:p w14:paraId="73A3F0BB" w14:textId="698676E2" w:rsidR="007D5795" w:rsidRDefault="007D5795" w:rsidP="007D5795">
      <w:pPr>
        <w:pStyle w:val="SangriaFrancesaArticulo"/>
      </w:pPr>
      <w:r w:rsidRPr="007D5795">
        <w:rPr>
          <w:rStyle w:val="TextoNormalNegritaCaracter"/>
        </w:rPr>
        <w:t>Artículo 55.1.</w:t>
      </w:r>
      <w:r w:rsidRPr="007D5795">
        <w:rPr>
          <w:rStyle w:val="TextoNormalCaracter"/>
        </w:rPr>
        <w:t>-</w:t>
      </w:r>
      <w:r>
        <w:t xml:space="preserve"> Sentencia </w:t>
      </w:r>
      <w:hyperlink w:anchor="SENTENCIA_2024_136" w:history="1">
        <w:r w:rsidRPr="007D5795">
          <w:rPr>
            <w:rStyle w:val="TextoNormalCaracter"/>
          </w:rPr>
          <w:t>136/2024</w:t>
        </w:r>
      </w:hyperlink>
      <w:r>
        <w:t>, ff. 1, 2, 4.</w:t>
      </w:r>
    </w:p>
    <w:p w14:paraId="30C2AE32" w14:textId="32F1FFCA" w:rsidR="007D5795" w:rsidRDefault="007D5795" w:rsidP="007D5795">
      <w:pPr>
        <w:pStyle w:val="SangriaFrancesaArticulo"/>
      </w:pPr>
      <w:r w:rsidRPr="007D5795">
        <w:rPr>
          <w:rStyle w:val="TextoNormalNegritaCaracter"/>
        </w:rPr>
        <w:t>Artículo 56.3.</w:t>
      </w:r>
      <w:r w:rsidRPr="007D5795">
        <w:rPr>
          <w:rStyle w:val="TextoNormalCaracter"/>
        </w:rPr>
        <w:t>-</w:t>
      </w:r>
      <w:r>
        <w:t xml:space="preserve"> Sentencias </w:t>
      </w:r>
      <w:hyperlink w:anchor="SENTENCIA_2024_99" w:history="1">
        <w:r w:rsidRPr="007D5795">
          <w:rPr>
            <w:rStyle w:val="TextoNormalCaracter"/>
          </w:rPr>
          <w:t>99/2024</w:t>
        </w:r>
      </w:hyperlink>
      <w:r>
        <w:t xml:space="preserve">, VP IV; </w:t>
      </w:r>
      <w:hyperlink w:anchor="SENTENCIA_2024_100" w:history="1">
        <w:r w:rsidRPr="007D5795">
          <w:rPr>
            <w:rStyle w:val="TextoNormalCaracter"/>
          </w:rPr>
          <w:t>100/2024</w:t>
        </w:r>
      </w:hyperlink>
      <w:r>
        <w:t xml:space="preserve">, VP IV; </w:t>
      </w:r>
      <w:hyperlink w:anchor="SENTENCIA_2024_102" w:history="1">
        <w:r w:rsidRPr="007D5795">
          <w:rPr>
            <w:rStyle w:val="TextoNormalCaracter"/>
          </w:rPr>
          <w:t>102/2024</w:t>
        </w:r>
      </w:hyperlink>
      <w:r>
        <w:t xml:space="preserve">, VP IV; </w:t>
      </w:r>
      <w:hyperlink w:anchor="SENTENCIA_2024_103" w:history="1">
        <w:r w:rsidRPr="007D5795">
          <w:rPr>
            <w:rStyle w:val="TextoNormalCaracter"/>
          </w:rPr>
          <w:t>103/2024</w:t>
        </w:r>
      </w:hyperlink>
      <w:r>
        <w:t>, VP IV.</w:t>
      </w:r>
    </w:p>
    <w:p w14:paraId="2606ACAB" w14:textId="03E73F5D" w:rsidR="007D5795" w:rsidRDefault="007D5795" w:rsidP="007D5795">
      <w:pPr>
        <w:pStyle w:val="SangriaFrancesaArticulo"/>
      </w:pPr>
      <w:r w:rsidRPr="007D5795">
        <w:rPr>
          <w:rStyle w:val="TextoNormalNegritaCaracter"/>
        </w:rPr>
        <w:t>Artículo 66.1.</w:t>
      </w:r>
      <w:r w:rsidRPr="007D5795">
        <w:rPr>
          <w:rStyle w:val="TextoNormalCaracter"/>
        </w:rPr>
        <w:t>-</w:t>
      </w:r>
      <w:r>
        <w:t xml:space="preserve"> Sentencias </w:t>
      </w:r>
      <w:hyperlink w:anchor="SENTENCIA_2024_94" w:history="1">
        <w:r w:rsidRPr="007D5795">
          <w:rPr>
            <w:rStyle w:val="TextoNormalCaracter"/>
          </w:rPr>
          <w:t>94/2024</w:t>
        </w:r>
      </w:hyperlink>
      <w:r>
        <w:t xml:space="preserve">, f. 4; </w:t>
      </w:r>
      <w:hyperlink w:anchor="SENTENCIA_2024_143" w:history="1">
        <w:r w:rsidRPr="007D5795">
          <w:rPr>
            <w:rStyle w:val="TextoNormalCaracter"/>
          </w:rPr>
          <w:t>143/2024</w:t>
        </w:r>
      </w:hyperlink>
      <w:r>
        <w:t>, f. 3.</w:t>
      </w:r>
    </w:p>
    <w:p w14:paraId="10D0BC9C" w14:textId="01CAB719" w:rsidR="007D5795" w:rsidRDefault="007D5795" w:rsidP="007D5795">
      <w:pPr>
        <w:pStyle w:val="SangriaFrancesaArticulo"/>
      </w:pPr>
      <w:r w:rsidRPr="007D5795">
        <w:rPr>
          <w:rStyle w:val="TextoNormalNegritaCaracter"/>
        </w:rPr>
        <w:t>Artículo 66.2.</w:t>
      </w:r>
      <w:r w:rsidRPr="007D5795">
        <w:rPr>
          <w:rStyle w:val="TextoNormalCaracter"/>
        </w:rPr>
        <w:t>-</w:t>
      </w:r>
      <w:r>
        <w:t xml:space="preserve"> Sentencias </w:t>
      </w:r>
      <w:hyperlink w:anchor="SENTENCIA_2024_94" w:history="1">
        <w:r w:rsidRPr="007D5795">
          <w:rPr>
            <w:rStyle w:val="TextoNormalCaracter"/>
          </w:rPr>
          <w:t>94/2024</w:t>
        </w:r>
      </w:hyperlink>
      <w:r>
        <w:t xml:space="preserve">, f. 4; </w:t>
      </w:r>
      <w:hyperlink w:anchor="SENTENCIA_2024_96" w:history="1">
        <w:r w:rsidRPr="007D5795">
          <w:rPr>
            <w:rStyle w:val="TextoNormalCaracter"/>
          </w:rPr>
          <w:t>96/2024</w:t>
        </w:r>
      </w:hyperlink>
      <w:r>
        <w:t xml:space="preserve">, f. 5; </w:t>
      </w:r>
      <w:hyperlink w:anchor="SENTENCIA_2024_97" w:history="1">
        <w:r w:rsidRPr="007D5795">
          <w:rPr>
            <w:rStyle w:val="TextoNormalCaracter"/>
          </w:rPr>
          <w:t>97/2024</w:t>
        </w:r>
      </w:hyperlink>
      <w:r>
        <w:t xml:space="preserve">, f. 4; </w:t>
      </w:r>
      <w:hyperlink w:anchor="SENTENCIA_2024_98" w:history="1">
        <w:r w:rsidRPr="007D5795">
          <w:rPr>
            <w:rStyle w:val="TextoNormalCaracter"/>
          </w:rPr>
          <w:t>98/2024</w:t>
        </w:r>
      </w:hyperlink>
      <w:r>
        <w:t xml:space="preserve">, f. 4; </w:t>
      </w:r>
      <w:hyperlink w:anchor="SENTENCIA_2024_99" w:history="1">
        <w:r w:rsidRPr="007D5795">
          <w:rPr>
            <w:rStyle w:val="TextoNormalCaracter"/>
          </w:rPr>
          <w:t>99/2024</w:t>
        </w:r>
      </w:hyperlink>
      <w:r>
        <w:t xml:space="preserve">, f. 3; </w:t>
      </w:r>
      <w:hyperlink w:anchor="SENTENCIA_2024_100" w:history="1">
        <w:r w:rsidRPr="007D5795">
          <w:rPr>
            <w:rStyle w:val="TextoNormalCaracter"/>
          </w:rPr>
          <w:t>100/2024</w:t>
        </w:r>
      </w:hyperlink>
      <w:r>
        <w:t xml:space="preserve">, f. 4; </w:t>
      </w:r>
      <w:hyperlink w:anchor="SENTENCIA_2024_102" w:history="1">
        <w:r w:rsidRPr="007D5795">
          <w:rPr>
            <w:rStyle w:val="TextoNormalCaracter"/>
          </w:rPr>
          <w:t>102/2024</w:t>
        </w:r>
      </w:hyperlink>
      <w:r>
        <w:t xml:space="preserve">, f. 4; </w:t>
      </w:r>
      <w:hyperlink w:anchor="SENTENCIA_2024_103" w:history="1">
        <w:r w:rsidRPr="007D5795">
          <w:rPr>
            <w:rStyle w:val="TextoNormalCaracter"/>
          </w:rPr>
          <w:t>103/2024</w:t>
        </w:r>
      </w:hyperlink>
      <w:r>
        <w:t xml:space="preserve">, f. 4; </w:t>
      </w:r>
      <w:hyperlink w:anchor="SENTENCIA_2024_139" w:history="1">
        <w:r w:rsidRPr="007D5795">
          <w:rPr>
            <w:rStyle w:val="TextoNormalCaracter"/>
          </w:rPr>
          <w:t>139/2024</w:t>
        </w:r>
      </w:hyperlink>
      <w:r>
        <w:t xml:space="preserve">, f. 4; </w:t>
      </w:r>
      <w:hyperlink w:anchor="SENTENCIA_2024_148" w:history="1">
        <w:r w:rsidRPr="007D5795">
          <w:rPr>
            <w:rStyle w:val="TextoNormalCaracter"/>
          </w:rPr>
          <w:t>148/2024</w:t>
        </w:r>
      </w:hyperlink>
      <w:r>
        <w:t xml:space="preserve">, f. 3; </w:t>
      </w:r>
      <w:hyperlink w:anchor="SENTENCIA_2024_153" w:history="1">
        <w:r w:rsidRPr="007D5795">
          <w:rPr>
            <w:rStyle w:val="TextoNormalCaracter"/>
          </w:rPr>
          <w:t>153/2024</w:t>
        </w:r>
      </w:hyperlink>
      <w:r>
        <w:t>, f. 2.</w:t>
      </w:r>
    </w:p>
    <w:p w14:paraId="536D8069" w14:textId="177F9860" w:rsidR="007D5795" w:rsidRDefault="007D5795" w:rsidP="007D5795">
      <w:pPr>
        <w:pStyle w:val="SangriaIzquierdaArticulo"/>
      </w:pPr>
      <w:r>
        <w:t xml:space="preserve">Auto </w:t>
      </w:r>
      <w:hyperlink w:anchor="AUTO_2024_115" w:history="1">
        <w:r w:rsidRPr="007D5795">
          <w:rPr>
            <w:rStyle w:val="TextoNormalCaracter"/>
          </w:rPr>
          <w:t>115/2024</w:t>
        </w:r>
      </w:hyperlink>
      <w:r>
        <w:t>, f. único.</w:t>
      </w:r>
    </w:p>
    <w:p w14:paraId="1C8BC0D1" w14:textId="60457255" w:rsidR="007D5795" w:rsidRDefault="007D5795" w:rsidP="007D5795">
      <w:pPr>
        <w:pStyle w:val="SangriaFrancesaArticulo"/>
      </w:pPr>
      <w:r w:rsidRPr="007D5795">
        <w:rPr>
          <w:rStyle w:val="TextoNormalNegritaCaracter"/>
        </w:rPr>
        <w:t>Artículo 71.1.</w:t>
      </w:r>
      <w:r w:rsidRPr="007D5795">
        <w:rPr>
          <w:rStyle w:val="TextoNormalCaracter"/>
        </w:rPr>
        <w:t>-</w:t>
      </w:r>
      <w:r>
        <w:t xml:space="preserve"> Sentencias </w:t>
      </w:r>
      <w:hyperlink w:anchor="SENTENCIA_2024_99" w:history="1">
        <w:r w:rsidRPr="007D5795">
          <w:rPr>
            <w:rStyle w:val="TextoNormalCaracter"/>
          </w:rPr>
          <w:t>99/2024</w:t>
        </w:r>
      </w:hyperlink>
      <w:r>
        <w:t xml:space="preserve">, VP IV; </w:t>
      </w:r>
      <w:hyperlink w:anchor="SENTENCIA_2024_100" w:history="1">
        <w:r w:rsidRPr="007D5795">
          <w:rPr>
            <w:rStyle w:val="TextoNormalCaracter"/>
          </w:rPr>
          <w:t>100/2024</w:t>
        </w:r>
      </w:hyperlink>
      <w:r>
        <w:t xml:space="preserve">, VP III; </w:t>
      </w:r>
      <w:hyperlink w:anchor="SENTENCIA_2024_102" w:history="1">
        <w:r w:rsidRPr="007D5795">
          <w:rPr>
            <w:rStyle w:val="TextoNormalCaracter"/>
          </w:rPr>
          <w:t>102/2024</w:t>
        </w:r>
      </w:hyperlink>
      <w:r>
        <w:t xml:space="preserve">, VP IV; </w:t>
      </w:r>
      <w:hyperlink w:anchor="SENTENCIA_2024_103" w:history="1">
        <w:r w:rsidRPr="007D5795">
          <w:rPr>
            <w:rStyle w:val="TextoNormalCaracter"/>
          </w:rPr>
          <w:t>103/2024</w:t>
        </w:r>
      </w:hyperlink>
      <w:r>
        <w:t>, VP IV.</w:t>
      </w:r>
    </w:p>
    <w:p w14:paraId="6557B4B9" w14:textId="71CFFE96" w:rsidR="007D5795" w:rsidRDefault="007D5795" w:rsidP="007D5795">
      <w:pPr>
        <w:pStyle w:val="SangriaFrancesaArticulo"/>
      </w:pPr>
      <w:r w:rsidRPr="007D5795">
        <w:rPr>
          <w:rStyle w:val="TextoNormalNegritaCaracter"/>
        </w:rPr>
        <w:t>Artículo 72.</w:t>
      </w:r>
      <w:r w:rsidRPr="007D5795">
        <w:rPr>
          <w:rStyle w:val="TextoNormalCaracter"/>
        </w:rPr>
        <w:t>-</w:t>
      </w:r>
      <w:r>
        <w:t xml:space="preserve"> Sentencia </w:t>
      </w:r>
      <w:hyperlink w:anchor="SENTENCIA_2024_139" w:history="1">
        <w:r w:rsidRPr="007D5795">
          <w:rPr>
            <w:rStyle w:val="TextoNormalCaracter"/>
          </w:rPr>
          <w:t>139/2024</w:t>
        </w:r>
      </w:hyperlink>
      <w:r>
        <w:t>, f. 4.</w:t>
      </w:r>
    </w:p>
    <w:p w14:paraId="581DB6BA" w14:textId="35FFEE70" w:rsidR="007D5795" w:rsidRDefault="007D5795" w:rsidP="007D5795">
      <w:pPr>
        <w:pStyle w:val="SangriaFrancesaArticulo"/>
      </w:pPr>
      <w:r w:rsidRPr="007D5795">
        <w:rPr>
          <w:rStyle w:val="TextoNormalNegritaCaracter"/>
        </w:rPr>
        <w:t>Artículo 72.1.</w:t>
      </w:r>
      <w:r w:rsidRPr="007D5795">
        <w:rPr>
          <w:rStyle w:val="TextoNormalCaracter"/>
        </w:rPr>
        <w:t>-</w:t>
      </w:r>
      <w:r>
        <w:t xml:space="preserve"> Sentencia </w:t>
      </w:r>
      <w:hyperlink w:anchor="SENTENCIA_2024_153" w:history="1">
        <w:r w:rsidRPr="007D5795">
          <w:rPr>
            <w:rStyle w:val="TextoNormalCaracter"/>
          </w:rPr>
          <w:t>153/2024</w:t>
        </w:r>
      </w:hyperlink>
      <w:r>
        <w:t>, f. 2.</w:t>
      </w:r>
    </w:p>
    <w:p w14:paraId="6EB2040F" w14:textId="2D059EF3" w:rsidR="007D5795" w:rsidRDefault="007D5795" w:rsidP="007D5795">
      <w:pPr>
        <w:pStyle w:val="SangriaFrancesaArticulo"/>
      </w:pPr>
      <w:r w:rsidRPr="007D5795">
        <w:rPr>
          <w:rStyle w:val="TextoNormalNegritaCaracter"/>
        </w:rPr>
        <w:t>Artículo 79.</w:t>
      </w:r>
      <w:r w:rsidRPr="007D5795">
        <w:rPr>
          <w:rStyle w:val="TextoNormalCaracter"/>
        </w:rPr>
        <w:t>-</w:t>
      </w:r>
      <w:r>
        <w:t xml:space="preserve"> Sentencia </w:t>
      </w:r>
      <w:hyperlink w:anchor="SENTENCIA_2024_137" w:history="1">
        <w:r w:rsidRPr="007D5795">
          <w:rPr>
            <w:rStyle w:val="TextoNormalCaracter"/>
          </w:rPr>
          <w:t>137/2024</w:t>
        </w:r>
      </w:hyperlink>
      <w:r>
        <w:t>, f. 3.</w:t>
      </w:r>
    </w:p>
    <w:p w14:paraId="724B0303" w14:textId="360A2EDE" w:rsidR="007D5795" w:rsidRDefault="007D5795" w:rsidP="007D5795">
      <w:pPr>
        <w:pStyle w:val="SangriaFrancesaArticulo"/>
      </w:pPr>
      <w:r w:rsidRPr="007D5795">
        <w:rPr>
          <w:rStyle w:val="TextoNormalNegritaCaracter"/>
        </w:rPr>
        <w:t>Artículo 79.3.</w:t>
      </w:r>
      <w:r w:rsidRPr="007D5795">
        <w:rPr>
          <w:rStyle w:val="TextoNormalCaracter"/>
        </w:rPr>
        <w:t>-</w:t>
      </w:r>
      <w:r>
        <w:t xml:space="preserve"> Sentencia </w:t>
      </w:r>
      <w:hyperlink w:anchor="SENTENCIA_2024_114" w:history="1">
        <w:r w:rsidRPr="007D5795">
          <w:rPr>
            <w:rStyle w:val="TextoNormalCaracter"/>
          </w:rPr>
          <w:t>114/2024</w:t>
        </w:r>
      </w:hyperlink>
      <w:r>
        <w:t>, f. 3.</w:t>
      </w:r>
    </w:p>
    <w:p w14:paraId="61ED8B96" w14:textId="3066C626" w:rsidR="007D5795" w:rsidRDefault="007D5795" w:rsidP="007D5795">
      <w:pPr>
        <w:pStyle w:val="SangriaFrancesaArticulo"/>
      </w:pPr>
      <w:r w:rsidRPr="007D5795">
        <w:rPr>
          <w:rStyle w:val="TextoNormalNegritaCaracter"/>
        </w:rPr>
        <w:t>Artículo 81.</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56D46D97" w14:textId="213858CE" w:rsidR="007D5795" w:rsidRDefault="007D5795" w:rsidP="007D5795">
      <w:pPr>
        <w:pStyle w:val="SangriaFrancesaArticulo"/>
      </w:pPr>
      <w:r w:rsidRPr="007D5795">
        <w:rPr>
          <w:rStyle w:val="TextoNormalNegritaCaracter"/>
        </w:rPr>
        <w:t>Artículo 81.1.</w:t>
      </w:r>
      <w:r w:rsidRPr="007D5795">
        <w:rPr>
          <w:rStyle w:val="TextoNormalCaracter"/>
        </w:rPr>
        <w:t>-</w:t>
      </w:r>
      <w:r>
        <w:t xml:space="preserve"> Sentencias </w:t>
      </w:r>
      <w:hyperlink w:anchor="SENTENCIA_2024_136" w:history="1">
        <w:r w:rsidRPr="007D5795">
          <w:rPr>
            <w:rStyle w:val="TextoNormalCaracter"/>
          </w:rPr>
          <w:t>136/2024</w:t>
        </w:r>
      </w:hyperlink>
      <w:r>
        <w:t xml:space="preserve">, ff. 1 a 5, VP; </w:t>
      </w:r>
      <w:hyperlink w:anchor="SENTENCIA_2024_141" w:history="1">
        <w:r w:rsidRPr="007D5795">
          <w:rPr>
            <w:rStyle w:val="TextoNormalCaracter"/>
          </w:rPr>
          <w:t>141/2024</w:t>
        </w:r>
      </w:hyperlink>
      <w:r>
        <w:t xml:space="preserve">, ff. 1 a 4; </w:t>
      </w:r>
      <w:hyperlink w:anchor="SENTENCIA_2024_142" w:history="1">
        <w:r w:rsidRPr="007D5795">
          <w:rPr>
            <w:rStyle w:val="TextoNormalCaracter"/>
          </w:rPr>
          <w:t>142/2024</w:t>
        </w:r>
      </w:hyperlink>
      <w:r>
        <w:t xml:space="preserve">, ff. 1, 7; </w:t>
      </w:r>
      <w:hyperlink w:anchor="SENTENCIA_2024_148" w:history="1">
        <w:r w:rsidRPr="007D5795">
          <w:rPr>
            <w:rStyle w:val="TextoNormalCaracter"/>
          </w:rPr>
          <w:t>148/2024</w:t>
        </w:r>
      </w:hyperlink>
      <w:r>
        <w:t xml:space="preserve">, f. 3; </w:t>
      </w:r>
      <w:hyperlink w:anchor="SENTENCIA_2024_152" w:history="1">
        <w:r w:rsidRPr="007D5795">
          <w:rPr>
            <w:rStyle w:val="TextoNormalCaracter"/>
          </w:rPr>
          <w:t>152/2024</w:t>
        </w:r>
      </w:hyperlink>
      <w:r>
        <w:t>, f. 4.</w:t>
      </w:r>
    </w:p>
    <w:p w14:paraId="6CFE9D56" w14:textId="3E0F5891" w:rsidR="007D5795" w:rsidRDefault="007D5795" w:rsidP="007D5795">
      <w:pPr>
        <w:pStyle w:val="SangriaFrancesaArticulo"/>
      </w:pPr>
      <w:r w:rsidRPr="007D5795">
        <w:rPr>
          <w:rStyle w:val="TextoNormalNegritaCaracter"/>
        </w:rPr>
        <w:t>Artículo 81.2.</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30D1F08E" w14:textId="23B3F73E" w:rsidR="007D5795" w:rsidRDefault="007D5795" w:rsidP="007D5795">
      <w:pPr>
        <w:pStyle w:val="SangriaFrancesaArticulo"/>
      </w:pPr>
      <w:r w:rsidRPr="007D5795">
        <w:rPr>
          <w:rStyle w:val="TextoNormalNegritaCaracter"/>
        </w:rPr>
        <w:t>Artículo 86.</w:t>
      </w:r>
      <w:r w:rsidRPr="007D5795">
        <w:rPr>
          <w:rStyle w:val="TextoNormalCaracter"/>
        </w:rPr>
        <w:t>-</w:t>
      </w:r>
      <w:r>
        <w:t xml:space="preserve"> Sentencias </w:t>
      </w:r>
      <w:hyperlink w:anchor="SENTENCIA_2024_111" w:history="1">
        <w:r w:rsidRPr="007D5795">
          <w:rPr>
            <w:rStyle w:val="TextoNormalCaracter"/>
          </w:rPr>
          <w:t>111/2024</w:t>
        </w:r>
      </w:hyperlink>
      <w:r>
        <w:t xml:space="preserve">, ff. 3, 4; </w:t>
      </w:r>
      <w:hyperlink w:anchor="SENTENCIA_2024_113" w:history="1">
        <w:r w:rsidRPr="007D5795">
          <w:rPr>
            <w:rStyle w:val="TextoNormalCaracter"/>
          </w:rPr>
          <w:t>113/2024</w:t>
        </w:r>
      </w:hyperlink>
      <w:r>
        <w:t xml:space="preserve">, ff. 1, 5; </w:t>
      </w:r>
      <w:hyperlink w:anchor="SENTENCIA_2024_121" w:history="1">
        <w:r w:rsidRPr="007D5795">
          <w:rPr>
            <w:rStyle w:val="TextoNormalCaracter"/>
          </w:rPr>
          <w:t>121/2024</w:t>
        </w:r>
      </w:hyperlink>
      <w:r>
        <w:t xml:space="preserve">, f. 4; </w:t>
      </w:r>
      <w:hyperlink w:anchor="SENTENCIA_2024_127" w:history="1">
        <w:r w:rsidRPr="007D5795">
          <w:rPr>
            <w:rStyle w:val="TextoNormalCaracter"/>
          </w:rPr>
          <w:t>127/2024</w:t>
        </w:r>
      </w:hyperlink>
      <w:r>
        <w:t>, f. 1.</w:t>
      </w:r>
    </w:p>
    <w:p w14:paraId="335DB693" w14:textId="4D2A8AC7" w:rsidR="007D5795" w:rsidRDefault="007D5795" w:rsidP="007D5795">
      <w:pPr>
        <w:pStyle w:val="SangriaIzquierdaArticulo"/>
      </w:pPr>
      <w:r>
        <w:t xml:space="preserve">Auto </w:t>
      </w:r>
      <w:hyperlink w:anchor="AUTO_2024_153" w:history="1">
        <w:r w:rsidRPr="007D5795">
          <w:rPr>
            <w:rStyle w:val="TextoNormalCaracter"/>
          </w:rPr>
          <w:t>153/2024</w:t>
        </w:r>
      </w:hyperlink>
      <w:r>
        <w:t>, f. 1.</w:t>
      </w:r>
    </w:p>
    <w:p w14:paraId="01F081CA" w14:textId="4C5C9589" w:rsidR="007D5795" w:rsidRDefault="007D5795" w:rsidP="007D5795">
      <w:pPr>
        <w:pStyle w:val="SangriaFrancesaArticulo"/>
      </w:pPr>
      <w:r w:rsidRPr="007D5795">
        <w:rPr>
          <w:rStyle w:val="TextoNormalNegritaCaracter"/>
        </w:rPr>
        <w:t>Artículo 86.1.</w:t>
      </w:r>
      <w:r w:rsidRPr="007D5795">
        <w:rPr>
          <w:rStyle w:val="TextoNormalCaracter"/>
        </w:rPr>
        <w:t>-</w:t>
      </w:r>
      <w:r>
        <w:t xml:space="preserve"> Sentencias </w:t>
      </w:r>
      <w:hyperlink w:anchor="SENTENCIA_2024_111" w:history="1">
        <w:r w:rsidRPr="007D5795">
          <w:rPr>
            <w:rStyle w:val="TextoNormalCaracter"/>
          </w:rPr>
          <w:t>111/2024</w:t>
        </w:r>
      </w:hyperlink>
      <w:r>
        <w:t xml:space="preserve">, ff. 1, 4, 5; </w:t>
      </w:r>
      <w:hyperlink w:anchor="SENTENCIA_2024_113" w:history="1">
        <w:r w:rsidRPr="007D5795">
          <w:rPr>
            <w:rStyle w:val="TextoNormalCaracter"/>
          </w:rPr>
          <w:t>113/2024</w:t>
        </w:r>
      </w:hyperlink>
      <w:r>
        <w:t xml:space="preserve">, ff. 1, 2, 4; </w:t>
      </w:r>
      <w:hyperlink w:anchor="SENTENCIA_2024_120" w:history="1">
        <w:r w:rsidRPr="007D5795">
          <w:rPr>
            <w:rStyle w:val="TextoNormalCaracter"/>
          </w:rPr>
          <w:t>120/2024</w:t>
        </w:r>
      </w:hyperlink>
      <w:r>
        <w:t xml:space="preserve">, ff. 2, 4; </w:t>
      </w:r>
      <w:hyperlink w:anchor="SENTENCIA_2024_121" w:history="1">
        <w:r w:rsidRPr="007D5795">
          <w:rPr>
            <w:rStyle w:val="TextoNormalCaracter"/>
          </w:rPr>
          <w:t>121/2024</w:t>
        </w:r>
      </w:hyperlink>
      <w:r>
        <w:t xml:space="preserve">, ff. 1, 2, 4, VP I; </w:t>
      </w:r>
      <w:hyperlink w:anchor="SENTENCIA_2024_141" w:history="1">
        <w:r w:rsidRPr="007D5795">
          <w:rPr>
            <w:rStyle w:val="TextoNormalCaracter"/>
          </w:rPr>
          <w:t>141/2024</w:t>
        </w:r>
      </w:hyperlink>
      <w:r>
        <w:t>, ff. 1 a 4.</w:t>
      </w:r>
    </w:p>
    <w:p w14:paraId="16A712CF" w14:textId="001E9E1D" w:rsidR="007D5795" w:rsidRDefault="007D5795" w:rsidP="007D5795">
      <w:pPr>
        <w:pStyle w:val="SangriaFrancesaArticulo"/>
      </w:pPr>
      <w:r w:rsidRPr="007D5795">
        <w:rPr>
          <w:rStyle w:val="TextoNormalNegritaCaracter"/>
        </w:rPr>
        <w:t>Artículo 86.2.</w:t>
      </w:r>
      <w:r w:rsidRPr="007D5795">
        <w:rPr>
          <w:rStyle w:val="TextoNormalCaracter"/>
        </w:rPr>
        <w:t>-</w:t>
      </w:r>
      <w:r>
        <w:t xml:space="preserve"> Sentencias </w:t>
      </w:r>
      <w:hyperlink w:anchor="SENTENCIA_2024_113" w:history="1">
        <w:r w:rsidRPr="007D5795">
          <w:rPr>
            <w:rStyle w:val="TextoNormalCaracter"/>
          </w:rPr>
          <w:t>113/2024</w:t>
        </w:r>
      </w:hyperlink>
      <w:r>
        <w:t xml:space="preserve">, f. 2; </w:t>
      </w:r>
      <w:hyperlink w:anchor="SENTENCIA_2024_121" w:history="1">
        <w:r w:rsidRPr="007D5795">
          <w:rPr>
            <w:rStyle w:val="TextoNormalCaracter"/>
          </w:rPr>
          <w:t>121/2024</w:t>
        </w:r>
      </w:hyperlink>
      <w:r>
        <w:t>, f. 4.</w:t>
      </w:r>
    </w:p>
    <w:p w14:paraId="0C3ECEC9" w14:textId="3E02AD5E" w:rsidR="007D5795" w:rsidRDefault="007D5795" w:rsidP="007D5795">
      <w:pPr>
        <w:pStyle w:val="SangriaFrancesaArticulo"/>
      </w:pPr>
      <w:r w:rsidRPr="007D5795">
        <w:rPr>
          <w:rStyle w:val="TextoNormalNegritaCaracter"/>
        </w:rPr>
        <w:t>Artículo 87.1.</w:t>
      </w:r>
      <w:r w:rsidRPr="007D5795">
        <w:rPr>
          <w:rStyle w:val="TextoNormalCaracter"/>
        </w:rPr>
        <w:t>-</w:t>
      </w:r>
      <w:r>
        <w:t xml:space="preserve"> Sentencias </w:t>
      </w:r>
      <w:hyperlink w:anchor="SENTENCIA_2024_96" w:history="1">
        <w:r w:rsidRPr="007D5795">
          <w:rPr>
            <w:rStyle w:val="TextoNormalCaracter"/>
          </w:rPr>
          <w:t>96/2024</w:t>
        </w:r>
      </w:hyperlink>
      <w:r>
        <w:t xml:space="preserve">, f. 5; </w:t>
      </w:r>
      <w:hyperlink w:anchor="SENTENCIA_2024_97" w:history="1">
        <w:r w:rsidRPr="007D5795">
          <w:rPr>
            <w:rStyle w:val="TextoNormalCaracter"/>
          </w:rPr>
          <w:t>97/2024</w:t>
        </w:r>
      </w:hyperlink>
      <w:r>
        <w:t xml:space="preserve">, f. 4; </w:t>
      </w:r>
      <w:hyperlink w:anchor="SENTENCIA_2024_98" w:history="1">
        <w:r w:rsidRPr="007D5795">
          <w:rPr>
            <w:rStyle w:val="TextoNormalCaracter"/>
          </w:rPr>
          <w:t>98/2024</w:t>
        </w:r>
      </w:hyperlink>
      <w:r>
        <w:t xml:space="preserve">, f. 4; </w:t>
      </w:r>
      <w:hyperlink w:anchor="SENTENCIA_2024_99" w:history="1">
        <w:r w:rsidRPr="007D5795">
          <w:rPr>
            <w:rStyle w:val="TextoNormalCaracter"/>
          </w:rPr>
          <w:t>99/2024</w:t>
        </w:r>
      </w:hyperlink>
      <w:r>
        <w:t xml:space="preserve">, f. 3; </w:t>
      </w:r>
      <w:hyperlink w:anchor="SENTENCIA_2024_100" w:history="1">
        <w:r w:rsidRPr="007D5795">
          <w:rPr>
            <w:rStyle w:val="TextoNormalCaracter"/>
          </w:rPr>
          <w:t>100/2024</w:t>
        </w:r>
      </w:hyperlink>
      <w:r>
        <w:t xml:space="preserve">, f. 4; </w:t>
      </w:r>
      <w:hyperlink w:anchor="SENTENCIA_2024_102" w:history="1">
        <w:r w:rsidRPr="007D5795">
          <w:rPr>
            <w:rStyle w:val="TextoNormalCaracter"/>
          </w:rPr>
          <w:t>102/2024</w:t>
        </w:r>
      </w:hyperlink>
      <w:r>
        <w:t xml:space="preserve">, f. 4; </w:t>
      </w:r>
      <w:hyperlink w:anchor="SENTENCIA_2024_103" w:history="1">
        <w:r w:rsidRPr="007D5795">
          <w:rPr>
            <w:rStyle w:val="TextoNormalCaracter"/>
          </w:rPr>
          <w:t>103/2024</w:t>
        </w:r>
      </w:hyperlink>
      <w:r>
        <w:t>, f. 4.</w:t>
      </w:r>
    </w:p>
    <w:p w14:paraId="55DA06DD" w14:textId="2EAEC351" w:rsidR="007D5795" w:rsidRDefault="007D5795" w:rsidP="007D5795">
      <w:pPr>
        <w:pStyle w:val="SangriaFrancesaArticulo"/>
      </w:pPr>
      <w:r w:rsidRPr="007D5795">
        <w:rPr>
          <w:rStyle w:val="TextoNormalNegritaCaracter"/>
        </w:rPr>
        <w:t>Artículo 87.2.</w:t>
      </w:r>
      <w:r w:rsidRPr="007D5795">
        <w:rPr>
          <w:rStyle w:val="TextoNormalCaracter"/>
        </w:rPr>
        <w:t>-</w:t>
      </w:r>
      <w:r>
        <w:t xml:space="preserve"> Sentencia </w:t>
      </w:r>
      <w:hyperlink w:anchor="SENTENCIA_2024_143" w:history="1">
        <w:r w:rsidRPr="007D5795">
          <w:rPr>
            <w:rStyle w:val="TextoNormalCaracter"/>
          </w:rPr>
          <w:t>143/2024</w:t>
        </w:r>
      </w:hyperlink>
      <w:r>
        <w:t>, f. 3.</w:t>
      </w:r>
    </w:p>
    <w:p w14:paraId="187CB415" w14:textId="2EDCBE4D" w:rsidR="007D5795" w:rsidRDefault="007D5795" w:rsidP="007D5795">
      <w:pPr>
        <w:pStyle w:val="SangriaFrancesaArticulo"/>
      </w:pPr>
      <w:r w:rsidRPr="007D5795">
        <w:rPr>
          <w:rStyle w:val="TextoNormalNegritaCaracter"/>
        </w:rPr>
        <w:t>Artículo 88.</w:t>
      </w:r>
      <w:r w:rsidRPr="007D5795">
        <w:rPr>
          <w:rStyle w:val="TextoNormalCaracter"/>
        </w:rPr>
        <w:t>-</w:t>
      </w:r>
      <w:r>
        <w:t xml:space="preserve"> Sentencias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xml:space="preserve">, VP I, VP III; </w:t>
      </w:r>
      <w:hyperlink w:anchor="SENTENCIA_2024_103" w:history="1">
        <w:r w:rsidRPr="007D5795">
          <w:rPr>
            <w:rStyle w:val="TextoNormalCaracter"/>
          </w:rPr>
          <w:t>103/2024</w:t>
        </w:r>
      </w:hyperlink>
      <w:r>
        <w:t>, VP I.</w:t>
      </w:r>
    </w:p>
    <w:p w14:paraId="5FF49F3E" w14:textId="3AAFFC83" w:rsidR="007D5795" w:rsidRDefault="007D5795" w:rsidP="007D5795">
      <w:pPr>
        <w:pStyle w:val="SangriaFrancesaArticulo"/>
      </w:pPr>
      <w:r w:rsidRPr="007D5795">
        <w:rPr>
          <w:rStyle w:val="TextoNormalNegritaCaracter"/>
        </w:rPr>
        <w:t>Artículo 89.1.</w:t>
      </w:r>
      <w:r w:rsidRPr="007D5795">
        <w:rPr>
          <w:rStyle w:val="TextoNormalCaracter"/>
        </w:rPr>
        <w:t>-</w:t>
      </w:r>
      <w:r>
        <w:t xml:space="preserve"> Sentencias </w:t>
      </w:r>
      <w:hyperlink w:anchor="SENTENCIA_2024_139" w:history="1">
        <w:r w:rsidRPr="007D5795">
          <w:rPr>
            <w:rStyle w:val="TextoNormalCaracter"/>
          </w:rPr>
          <w:t>139/2024</w:t>
        </w:r>
      </w:hyperlink>
      <w:r>
        <w:t xml:space="preserve">, f. 4; </w:t>
      </w:r>
      <w:hyperlink w:anchor="SENTENCIA_2024_153" w:history="1">
        <w:r w:rsidRPr="007D5795">
          <w:rPr>
            <w:rStyle w:val="TextoNormalCaracter"/>
          </w:rPr>
          <w:t>153/2024</w:t>
        </w:r>
      </w:hyperlink>
      <w:r>
        <w:t>, f. 2.</w:t>
      </w:r>
    </w:p>
    <w:p w14:paraId="1CBA0561" w14:textId="7FA624F9" w:rsidR="007D5795" w:rsidRDefault="007D5795" w:rsidP="007D5795">
      <w:pPr>
        <w:pStyle w:val="SangriaFrancesaArticulo"/>
      </w:pPr>
      <w:r w:rsidRPr="007D5795">
        <w:rPr>
          <w:rStyle w:val="TextoNormalNegritaCaracter"/>
        </w:rPr>
        <w:t>Artículo 93.</w:t>
      </w:r>
      <w:r w:rsidRPr="007D5795">
        <w:rPr>
          <w:rStyle w:val="TextoNormalCaracter"/>
        </w:rPr>
        <w:t>-</w:t>
      </w:r>
      <w:r>
        <w:t xml:space="preserve"> Sentencia </w:t>
      </w:r>
      <w:hyperlink w:anchor="SENTENCIA_2024_139" w:history="1">
        <w:r w:rsidRPr="007D5795">
          <w:rPr>
            <w:rStyle w:val="TextoNormalCaracter"/>
          </w:rPr>
          <w:t>139/2024</w:t>
        </w:r>
      </w:hyperlink>
      <w:r>
        <w:t>, ff. 1, 4, VP II.</w:t>
      </w:r>
    </w:p>
    <w:p w14:paraId="5D43DA36" w14:textId="6D07A392" w:rsidR="007D5795" w:rsidRDefault="007D5795" w:rsidP="007D5795">
      <w:pPr>
        <w:pStyle w:val="SangriaFrancesaArticulo"/>
      </w:pPr>
      <w:r w:rsidRPr="007D5795">
        <w:rPr>
          <w:rStyle w:val="TextoNormalNegritaCaracter"/>
        </w:rPr>
        <w:t>Artículo 97.</w:t>
      </w:r>
      <w:r w:rsidRPr="007D5795">
        <w:rPr>
          <w:rStyle w:val="TextoNormalCaracter"/>
        </w:rPr>
        <w:t>-</w:t>
      </w:r>
      <w:r>
        <w:t xml:space="preserve"> Sentencia </w:t>
      </w:r>
      <w:hyperlink w:anchor="SENTENCIA_2024_140" w:history="1">
        <w:r w:rsidRPr="007D5795">
          <w:rPr>
            <w:rStyle w:val="TextoNormalCaracter"/>
          </w:rPr>
          <w:t>140/2024</w:t>
        </w:r>
      </w:hyperlink>
      <w:r>
        <w:t>, VP II.</w:t>
      </w:r>
    </w:p>
    <w:p w14:paraId="00536E6A" w14:textId="7CDC2DD8" w:rsidR="007D5795" w:rsidRDefault="007D5795" w:rsidP="007D5795">
      <w:pPr>
        <w:pStyle w:val="SangriaFrancesaArticulo"/>
      </w:pPr>
      <w:r w:rsidRPr="007D5795">
        <w:rPr>
          <w:rStyle w:val="TextoNormalNegritaCaracter"/>
        </w:rPr>
        <w:t>Artículo 103.</w:t>
      </w:r>
      <w:r w:rsidRPr="007D5795">
        <w:rPr>
          <w:rStyle w:val="TextoNormalCaracter"/>
        </w:rPr>
        <w:t>-</w:t>
      </w:r>
      <w:r>
        <w:t xml:space="preserve"> Sentencias </w:t>
      </w:r>
      <w:hyperlink w:anchor="SENTENCIA_2024_94" w:history="1">
        <w:r w:rsidRPr="007D5795">
          <w:rPr>
            <w:rStyle w:val="TextoNormalCaracter"/>
          </w:rPr>
          <w:t>94/2024</w:t>
        </w:r>
      </w:hyperlink>
      <w:r>
        <w:t xml:space="preserve">, f. 5; </w:t>
      </w:r>
      <w:hyperlink w:anchor="SENTENCIA_2024_95" w:history="1">
        <w:r w:rsidRPr="007D5795">
          <w:rPr>
            <w:rStyle w:val="TextoNormalCaracter"/>
          </w:rPr>
          <w:t>95/2024</w:t>
        </w:r>
      </w:hyperlink>
      <w:r>
        <w:t xml:space="preserve">, f. 3; </w:t>
      </w:r>
      <w:hyperlink w:anchor="SENTENCIA_2024_96" w:history="1">
        <w:r w:rsidRPr="007D5795">
          <w:rPr>
            <w:rStyle w:val="TextoNormalCaracter"/>
          </w:rPr>
          <w:t>96/2024</w:t>
        </w:r>
      </w:hyperlink>
      <w:r>
        <w:t xml:space="preserve">, f. 6; </w:t>
      </w:r>
      <w:hyperlink w:anchor="SENTENCIA_2024_98" w:history="1">
        <w:r w:rsidRPr="007D5795">
          <w:rPr>
            <w:rStyle w:val="TextoNormalCaracter"/>
          </w:rPr>
          <w:t>98/2024</w:t>
        </w:r>
      </w:hyperlink>
      <w:r>
        <w:t xml:space="preserve">, f. 5, VP II; </w:t>
      </w:r>
      <w:hyperlink w:anchor="SENTENCIA_2024_99" w:history="1">
        <w:r w:rsidRPr="007D5795">
          <w:rPr>
            <w:rStyle w:val="TextoNormalCaracter"/>
          </w:rPr>
          <w:t>99/2024</w:t>
        </w:r>
      </w:hyperlink>
      <w:r>
        <w:t xml:space="preserve">, VP III; </w:t>
      </w:r>
      <w:hyperlink w:anchor="SENTENCIA_2024_100" w:history="1">
        <w:r w:rsidRPr="007D5795">
          <w:rPr>
            <w:rStyle w:val="TextoNormalCaracter"/>
          </w:rPr>
          <w:t>100/2024</w:t>
        </w:r>
      </w:hyperlink>
      <w:r>
        <w:t xml:space="preserve">, f. 5, VP III; </w:t>
      </w:r>
      <w:hyperlink w:anchor="SENTENCIA_2024_127" w:history="1">
        <w:r w:rsidRPr="007D5795">
          <w:rPr>
            <w:rStyle w:val="TextoNormalCaracter"/>
          </w:rPr>
          <w:t>127/2024</w:t>
        </w:r>
      </w:hyperlink>
      <w:r>
        <w:t>, f. 1.</w:t>
      </w:r>
    </w:p>
    <w:p w14:paraId="38E58B5D" w14:textId="54F008B7" w:rsidR="007D5795" w:rsidRDefault="007D5795" w:rsidP="007D5795">
      <w:pPr>
        <w:pStyle w:val="SangriaFrancesaArticulo"/>
      </w:pPr>
      <w:r w:rsidRPr="007D5795">
        <w:rPr>
          <w:rStyle w:val="TextoNormalNegritaCaracter"/>
        </w:rPr>
        <w:t>Artículo 103.1.</w:t>
      </w:r>
      <w:r w:rsidRPr="007D5795">
        <w:rPr>
          <w:rStyle w:val="TextoNormalCaracter"/>
        </w:rPr>
        <w:t>-</w:t>
      </w:r>
      <w:r>
        <w:t xml:space="preserve"> Sentencias </w:t>
      </w:r>
      <w:hyperlink w:anchor="SENTENCIA_2024_94" w:history="1">
        <w:r w:rsidRPr="007D5795">
          <w:rPr>
            <w:rStyle w:val="TextoNormalCaracter"/>
          </w:rPr>
          <w:t>94/2024</w:t>
        </w:r>
      </w:hyperlink>
      <w:r>
        <w:t xml:space="preserve">, VP II; </w:t>
      </w:r>
      <w:hyperlink w:anchor="SENTENCIA_2024_95" w:history="1">
        <w:r w:rsidRPr="007D5795">
          <w:rPr>
            <w:rStyle w:val="TextoNormalCaracter"/>
          </w:rPr>
          <w:t>95/2024</w:t>
        </w:r>
      </w:hyperlink>
      <w:r>
        <w:t xml:space="preserve">, VP II; </w:t>
      </w:r>
      <w:hyperlink w:anchor="SENTENCIA_2024_96" w:history="1">
        <w:r w:rsidRPr="007D5795">
          <w:rPr>
            <w:rStyle w:val="TextoNormalCaracter"/>
          </w:rPr>
          <w:t>96/2024</w:t>
        </w:r>
      </w:hyperlink>
      <w:r>
        <w:t xml:space="preserve">, VP II; </w:t>
      </w:r>
      <w:hyperlink w:anchor="SENTENCIA_2024_97" w:history="1">
        <w:r w:rsidRPr="007D5795">
          <w:rPr>
            <w:rStyle w:val="TextoNormalCaracter"/>
          </w:rPr>
          <w:t>97/2024</w:t>
        </w:r>
      </w:hyperlink>
      <w:r>
        <w:t xml:space="preserve">, VP II; </w:t>
      </w:r>
      <w:hyperlink w:anchor="SENTENCIA_2024_98" w:history="1">
        <w:r w:rsidRPr="007D5795">
          <w:rPr>
            <w:rStyle w:val="TextoNormalCaracter"/>
          </w:rPr>
          <w:t>98/2024</w:t>
        </w:r>
      </w:hyperlink>
      <w:r>
        <w:t xml:space="preserve">, VP II; </w:t>
      </w:r>
      <w:hyperlink w:anchor="SENTENCIA_2024_99" w:history="1">
        <w:r w:rsidRPr="007D5795">
          <w:rPr>
            <w:rStyle w:val="TextoNormalCaracter"/>
          </w:rPr>
          <w:t>99/2024</w:t>
        </w:r>
      </w:hyperlink>
      <w:r>
        <w:t xml:space="preserve">, VP II;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xml:space="preserve">, VP II; </w:t>
      </w:r>
      <w:hyperlink w:anchor="SENTENCIA_2024_121" w:history="1">
        <w:r w:rsidRPr="007D5795">
          <w:rPr>
            <w:rStyle w:val="TextoNormalCaracter"/>
          </w:rPr>
          <w:t>121/2024</w:t>
        </w:r>
      </w:hyperlink>
      <w:r>
        <w:t xml:space="preserve">, f. 1; </w:t>
      </w:r>
      <w:hyperlink w:anchor="SENTENCIA_2024_131" w:history="1">
        <w:r w:rsidRPr="007D5795">
          <w:rPr>
            <w:rStyle w:val="TextoNormalCaracter"/>
          </w:rPr>
          <w:t>131/2024</w:t>
        </w:r>
      </w:hyperlink>
      <w:r>
        <w:t>, f. 2.</w:t>
      </w:r>
    </w:p>
    <w:p w14:paraId="73E8E97C" w14:textId="106E8208" w:rsidR="007D5795" w:rsidRDefault="007D5795" w:rsidP="007D5795">
      <w:pPr>
        <w:pStyle w:val="SangriaFrancesaArticulo"/>
      </w:pPr>
      <w:r w:rsidRPr="007D5795">
        <w:rPr>
          <w:rStyle w:val="TextoNormalNegritaCaracter"/>
        </w:rPr>
        <w:t>Artículo 103.3.</w:t>
      </w:r>
      <w:r w:rsidRPr="007D5795">
        <w:rPr>
          <w:rStyle w:val="TextoNormalCaracter"/>
        </w:rPr>
        <w:t>-</w:t>
      </w:r>
      <w:r>
        <w:t xml:space="preserve"> Auto </w:t>
      </w:r>
      <w:hyperlink w:anchor="AUTO_2024_115" w:history="1">
        <w:r w:rsidRPr="007D5795">
          <w:rPr>
            <w:rStyle w:val="TextoNormalCaracter"/>
          </w:rPr>
          <w:t>115/2024</w:t>
        </w:r>
      </w:hyperlink>
      <w:r>
        <w:t>, f. único.</w:t>
      </w:r>
    </w:p>
    <w:p w14:paraId="3D050443" w14:textId="3EB949DB" w:rsidR="007D5795" w:rsidRDefault="007D5795" w:rsidP="007D5795">
      <w:pPr>
        <w:pStyle w:val="SangriaFrancesaArticulo"/>
      </w:pPr>
      <w:r w:rsidRPr="007D5795">
        <w:rPr>
          <w:rStyle w:val="TextoNormalNegritaCaracter"/>
        </w:rPr>
        <w:t>Artículo 105.</w:t>
      </w:r>
      <w:r w:rsidRPr="007D5795">
        <w:rPr>
          <w:rStyle w:val="TextoNormalCaracter"/>
        </w:rPr>
        <w:t>-</w:t>
      </w:r>
      <w:r>
        <w:t xml:space="preserve"> Sentencias </w:t>
      </w:r>
      <w:hyperlink w:anchor="SENTENCIA_2024_94" w:history="1">
        <w:r w:rsidRPr="007D5795">
          <w:rPr>
            <w:rStyle w:val="TextoNormalCaracter"/>
          </w:rPr>
          <w:t>94/2024</w:t>
        </w:r>
      </w:hyperlink>
      <w:r>
        <w:t xml:space="preserve">, VP II; </w:t>
      </w:r>
      <w:hyperlink w:anchor="SENTENCIA_2024_95" w:history="1">
        <w:r w:rsidRPr="007D5795">
          <w:rPr>
            <w:rStyle w:val="TextoNormalCaracter"/>
          </w:rPr>
          <w:t>95/2024</w:t>
        </w:r>
      </w:hyperlink>
      <w:r>
        <w:t xml:space="preserve">, VP II; </w:t>
      </w:r>
      <w:hyperlink w:anchor="SENTENCIA_2024_96" w:history="1">
        <w:r w:rsidRPr="007D5795">
          <w:rPr>
            <w:rStyle w:val="TextoNormalCaracter"/>
          </w:rPr>
          <w:t>96/2024</w:t>
        </w:r>
      </w:hyperlink>
      <w:r>
        <w:t xml:space="preserve">, VP II; </w:t>
      </w:r>
      <w:hyperlink w:anchor="SENTENCIA_2024_97" w:history="1">
        <w:r w:rsidRPr="007D5795">
          <w:rPr>
            <w:rStyle w:val="TextoNormalCaracter"/>
          </w:rPr>
          <w:t>97/2024</w:t>
        </w:r>
      </w:hyperlink>
      <w:r>
        <w:t xml:space="preserve">, VP II; </w:t>
      </w:r>
      <w:hyperlink w:anchor="SENTENCIA_2024_98" w:history="1">
        <w:r w:rsidRPr="007D5795">
          <w:rPr>
            <w:rStyle w:val="TextoNormalCaracter"/>
          </w:rPr>
          <w:t>98/2024</w:t>
        </w:r>
      </w:hyperlink>
      <w:r>
        <w:t xml:space="preserve">, VP II; </w:t>
      </w:r>
      <w:hyperlink w:anchor="SENTENCIA_2024_99" w:history="1">
        <w:r w:rsidRPr="007D5795">
          <w:rPr>
            <w:rStyle w:val="TextoNormalCaracter"/>
          </w:rPr>
          <w:t>99/2024</w:t>
        </w:r>
      </w:hyperlink>
      <w:r>
        <w:t xml:space="preserve">, VP II;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VP II.</w:t>
      </w:r>
    </w:p>
    <w:p w14:paraId="1B09C7B7" w14:textId="573A16E5" w:rsidR="007D5795" w:rsidRDefault="007D5795" w:rsidP="007D5795">
      <w:pPr>
        <w:pStyle w:val="SangriaFrancesaArticulo"/>
      </w:pPr>
      <w:r w:rsidRPr="007D5795">
        <w:rPr>
          <w:rStyle w:val="TextoNormalNegritaCaracter"/>
        </w:rPr>
        <w:t>Artículo 105</w:t>
      </w:r>
      <w:r>
        <w:t xml:space="preserve"> (participación y transparencia)</w:t>
      </w:r>
      <w:r w:rsidRPr="007D5795">
        <w:rPr>
          <w:rStyle w:val="TextoNormalNegritaCaracter"/>
        </w:rPr>
        <w:t>.</w:t>
      </w:r>
      <w:r w:rsidRPr="007D5795">
        <w:rPr>
          <w:rStyle w:val="TextoNormalCaracter"/>
        </w:rPr>
        <w:t>-</w:t>
      </w:r>
      <w:r>
        <w:t xml:space="preserve"> Sentencias </w:t>
      </w:r>
      <w:hyperlink w:anchor="SENTENCIA_2024_96" w:history="1">
        <w:r w:rsidRPr="007D5795">
          <w:rPr>
            <w:rStyle w:val="TextoNormalCaracter"/>
          </w:rPr>
          <w:t>96/2024</w:t>
        </w:r>
      </w:hyperlink>
      <w:r>
        <w:t xml:space="preserve">, VP II; </w:t>
      </w:r>
      <w:hyperlink w:anchor="SENTENCIA_2024_100" w:history="1">
        <w:r w:rsidRPr="007D5795">
          <w:rPr>
            <w:rStyle w:val="TextoNormalCaracter"/>
          </w:rPr>
          <w:t>100/2024</w:t>
        </w:r>
      </w:hyperlink>
      <w:r>
        <w:t>, VP II.</w:t>
      </w:r>
    </w:p>
    <w:p w14:paraId="17EEA386" w14:textId="341D8AE0" w:rsidR="007D5795" w:rsidRDefault="007D5795" w:rsidP="007D5795">
      <w:pPr>
        <w:pStyle w:val="SangriaFrancesaArticulo"/>
      </w:pPr>
      <w:r w:rsidRPr="007D5795">
        <w:rPr>
          <w:rStyle w:val="TextoNormalNegritaCaracter"/>
        </w:rPr>
        <w:t>Artículo 106.1.</w:t>
      </w:r>
      <w:r w:rsidRPr="007D5795">
        <w:rPr>
          <w:rStyle w:val="TextoNormalCaracter"/>
        </w:rPr>
        <w:t>-</w:t>
      </w:r>
      <w:r>
        <w:t xml:space="preserve"> Sentencias </w:t>
      </w:r>
      <w:hyperlink w:anchor="SENTENCIA_2024_94" w:history="1">
        <w:r w:rsidRPr="007D5795">
          <w:rPr>
            <w:rStyle w:val="TextoNormalCaracter"/>
          </w:rPr>
          <w:t>94/2024</w:t>
        </w:r>
      </w:hyperlink>
      <w:r>
        <w:t xml:space="preserve">, VP II; </w:t>
      </w:r>
      <w:hyperlink w:anchor="SENTENCIA_2024_95" w:history="1">
        <w:r w:rsidRPr="007D5795">
          <w:rPr>
            <w:rStyle w:val="TextoNormalCaracter"/>
          </w:rPr>
          <w:t>95/2024</w:t>
        </w:r>
      </w:hyperlink>
      <w:r>
        <w:t xml:space="preserve">, VP II; </w:t>
      </w:r>
      <w:hyperlink w:anchor="SENTENCIA_2024_96" w:history="1">
        <w:r w:rsidRPr="007D5795">
          <w:rPr>
            <w:rStyle w:val="TextoNormalCaracter"/>
          </w:rPr>
          <w:t>96/2024</w:t>
        </w:r>
      </w:hyperlink>
      <w:r>
        <w:t xml:space="preserve">, VP II; </w:t>
      </w:r>
      <w:hyperlink w:anchor="SENTENCIA_2024_97" w:history="1">
        <w:r w:rsidRPr="007D5795">
          <w:rPr>
            <w:rStyle w:val="TextoNormalCaracter"/>
          </w:rPr>
          <w:t>97/2024</w:t>
        </w:r>
      </w:hyperlink>
      <w:r>
        <w:t xml:space="preserve">, VP II; </w:t>
      </w:r>
      <w:hyperlink w:anchor="SENTENCIA_2024_98" w:history="1">
        <w:r w:rsidRPr="007D5795">
          <w:rPr>
            <w:rStyle w:val="TextoNormalCaracter"/>
          </w:rPr>
          <w:t>98/2024</w:t>
        </w:r>
      </w:hyperlink>
      <w:r>
        <w:t xml:space="preserve">, VP II; </w:t>
      </w:r>
      <w:hyperlink w:anchor="SENTENCIA_2024_99" w:history="1">
        <w:r w:rsidRPr="007D5795">
          <w:rPr>
            <w:rStyle w:val="TextoNormalCaracter"/>
          </w:rPr>
          <w:t>99/2024</w:t>
        </w:r>
      </w:hyperlink>
      <w:r>
        <w:t xml:space="preserve">, VP II;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VP II.</w:t>
      </w:r>
    </w:p>
    <w:p w14:paraId="3439CC20" w14:textId="3CBCED51" w:rsidR="007D5795" w:rsidRDefault="007D5795" w:rsidP="007D5795">
      <w:pPr>
        <w:pStyle w:val="SangriaFrancesaArticulo"/>
      </w:pPr>
      <w:r w:rsidRPr="007D5795">
        <w:rPr>
          <w:rStyle w:val="TextoNormalNegritaCaracter"/>
        </w:rPr>
        <w:t>Artículo 106.2.</w:t>
      </w:r>
      <w:r w:rsidRPr="007D5795">
        <w:rPr>
          <w:rStyle w:val="TextoNormalCaracter"/>
        </w:rPr>
        <w:t>-</w:t>
      </w:r>
      <w:r>
        <w:t xml:space="preserve"> Sentencias </w:t>
      </w:r>
      <w:hyperlink w:anchor="SENTENCIA_2024_97" w:history="1">
        <w:r w:rsidRPr="007D5795">
          <w:rPr>
            <w:rStyle w:val="TextoNormalCaracter"/>
          </w:rPr>
          <w:t>97/2024</w:t>
        </w:r>
      </w:hyperlink>
      <w:r>
        <w:t xml:space="preserve">, f. 4; </w:t>
      </w:r>
      <w:hyperlink w:anchor="SENTENCIA_2024_98" w:history="1">
        <w:r w:rsidRPr="007D5795">
          <w:rPr>
            <w:rStyle w:val="TextoNormalCaracter"/>
          </w:rPr>
          <w:t>98/2024</w:t>
        </w:r>
      </w:hyperlink>
      <w:r>
        <w:t xml:space="preserve">, f. 4; </w:t>
      </w:r>
      <w:hyperlink w:anchor="SENTENCIA_2024_118" w:history="1">
        <w:r w:rsidRPr="007D5795">
          <w:rPr>
            <w:rStyle w:val="TextoNormalCaracter"/>
          </w:rPr>
          <w:t>118/2024</w:t>
        </w:r>
      </w:hyperlink>
      <w:r>
        <w:t>, f. 3.</w:t>
      </w:r>
    </w:p>
    <w:p w14:paraId="48C9DE65" w14:textId="5D556A01" w:rsidR="007D5795" w:rsidRDefault="007D5795" w:rsidP="007D5795">
      <w:pPr>
        <w:pStyle w:val="SangriaFrancesaArticulo"/>
      </w:pPr>
      <w:r w:rsidRPr="007D5795">
        <w:rPr>
          <w:rStyle w:val="TextoNormalNegritaCaracter"/>
        </w:rPr>
        <w:t>Artículo 116.</w:t>
      </w:r>
      <w:r w:rsidRPr="007D5795">
        <w:rPr>
          <w:rStyle w:val="TextoNormalCaracter"/>
        </w:rPr>
        <w:t>-</w:t>
      </w:r>
      <w:r>
        <w:t xml:space="preserve"> Sentencias </w:t>
      </w:r>
      <w:hyperlink w:anchor="SENTENCIA_2024_136" w:history="1">
        <w:r w:rsidRPr="007D5795">
          <w:rPr>
            <w:rStyle w:val="TextoNormalCaracter"/>
          </w:rPr>
          <w:t>136/2024</w:t>
        </w:r>
      </w:hyperlink>
      <w:r>
        <w:t xml:space="preserve">, ff. 2, 4; </w:t>
      </w:r>
      <w:hyperlink w:anchor="SENTENCIA_2024_141" w:history="1">
        <w:r w:rsidRPr="007D5795">
          <w:rPr>
            <w:rStyle w:val="TextoNormalCaracter"/>
          </w:rPr>
          <w:t>141/2024</w:t>
        </w:r>
      </w:hyperlink>
      <w:r>
        <w:t>, ff. 1, 2, 4.</w:t>
      </w:r>
    </w:p>
    <w:p w14:paraId="5B73A441" w14:textId="6DD14466" w:rsidR="007D5795" w:rsidRDefault="007D5795" w:rsidP="007D5795">
      <w:pPr>
        <w:pStyle w:val="SangriaFrancesaArticulo"/>
      </w:pPr>
      <w:r w:rsidRPr="007D5795">
        <w:rPr>
          <w:rStyle w:val="TextoNormalNegritaCaracter"/>
        </w:rPr>
        <w:t>Artículo 117.</w:t>
      </w:r>
      <w:r w:rsidRPr="007D5795">
        <w:rPr>
          <w:rStyle w:val="TextoNormalCaracter"/>
        </w:rPr>
        <w:t>-</w:t>
      </w:r>
      <w:r>
        <w:t xml:space="preserve"> Sentencias </w:t>
      </w:r>
      <w:hyperlink w:anchor="SENTENCIA_2024_121" w:history="1">
        <w:r w:rsidRPr="007D5795">
          <w:rPr>
            <w:rStyle w:val="TextoNormalCaracter"/>
          </w:rPr>
          <w:t>121/2024</w:t>
        </w:r>
      </w:hyperlink>
      <w:r>
        <w:t xml:space="preserve">, f. 2, VP I, VP II; </w:t>
      </w:r>
      <w:hyperlink w:anchor="SENTENCIA_2024_139" w:history="1">
        <w:r w:rsidRPr="007D5795">
          <w:rPr>
            <w:rStyle w:val="TextoNormalCaracter"/>
          </w:rPr>
          <w:t>139/2024</w:t>
        </w:r>
      </w:hyperlink>
      <w:r>
        <w:t xml:space="preserve">, VP II; </w:t>
      </w:r>
      <w:hyperlink w:anchor="SENTENCIA_2024_140" w:history="1">
        <w:r w:rsidRPr="007D5795">
          <w:rPr>
            <w:rStyle w:val="TextoNormalCaracter"/>
          </w:rPr>
          <w:t>140/2024</w:t>
        </w:r>
      </w:hyperlink>
      <w:r>
        <w:t xml:space="preserve">, VP II; </w:t>
      </w:r>
      <w:hyperlink w:anchor="SENTENCIA_2024_146" w:history="1">
        <w:r w:rsidRPr="007D5795">
          <w:rPr>
            <w:rStyle w:val="TextoNormalCaracter"/>
          </w:rPr>
          <w:t>146/2024</w:t>
        </w:r>
      </w:hyperlink>
      <w:r>
        <w:t>, f. 2.</w:t>
      </w:r>
    </w:p>
    <w:p w14:paraId="7C644CF9" w14:textId="6D5D5001" w:rsidR="007D5795" w:rsidRDefault="007D5795" w:rsidP="007D5795">
      <w:pPr>
        <w:pStyle w:val="SangriaIzquierdaArticulo"/>
      </w:pPr>
      <w:r>
        <w:t xml:space="preserve">Auto </w:t>
      </w:r>
      <w:hyperlink w:anchor="AUTO_2024_153" w:history="1">
        <w:r w:rsidRPr="007D5795">
          <w:rPr>
            <w:rStyle w:val="TextoNormalCaracter"/>
          </w:rPr>
          <w:t>153/2024</w:t>
        </w:r>
      </w:hyperlink>
      <w:r>
        <w:t>, f. 1.</w:t>
      </w:r>
    </w:p>
    <w:p w14:paraId="66B21802" w14:textId="6CDB11A2" w:rsidR="007D5795" w:rsidRDefault="007D5795" w:rsidP="007D5795">
      <w:pPr>
        <w:pStyle w:val="SangriaFrancesaArticulo"/>
      </w:pPr>
      <w:r w:rsidRPr="007D5795">
        <w:rPr>
          <w:rStyle w:val="TextoNormalNegritaCaracter"/>
        </w:rPr>
        <w:t>Artículo 117.1.</w:t>
      </w:r>
      <w:r w:rsidRPr="007D5795">
        <w:rPr>
          <w:rStyle w:val="TextoNormalCaracter"/>
        </w:rPr>
        <w:t>-</w:t>
      </w:r>
      <w:r>
        <w:t xml:space="preserve"> Sentencias </w:t>
      </w:r>
      <w:hyperlink w:anchor="SENTENCIA_2024_94" w:history="1">
        <w:r w:rsidRPr="007D5795">
          <w:rPr>
            <w:rStyle w:val="TextoNormalCaracter"/>
          </w:rPr>
          <w:t>94/2024</w:t>
        </w:r>
      </w:hyperlink>
      <w:r>
        <w:t xml:space="preserve">, ff. 3, 4; </w:t>
      </w:r>
      <w:hyperlink w:anchor="SENTENCIA_2024_95" w:history="1">
        <w:r w:rsidRPr="007D5795">
          <w:rPr>
            <w:rStyle w:val="TextoNormalCaracter"/>
          </w:rPr>
          <w:t>95/2024</w:t>
        </w:r>
      </w:hyperlink>
      <w:r>
        <w:t xml:space="preserve">, f. 3; </w:t>
      </w:r>
      <w:hyperlink w:anchor="SENTENCIA_2024_96" w:history="1">
        <w:r w:rsidRPr="007D5795">
          <w:rPr>
            <w:rStyle w:val="TextoNormalCaracter"/>
          </w:rPr>
          <w:t>96/2024</w:t>
        </w:r>
      </w:hyperlink>
      <w:r>
        <w:t xml:space="preserve">, ff. 4, 5; </w:t>
      </w:r>
      <w:hyperlink w:anchor="SENTENCIA_2024_97" w:history="1">
        <w:r w:rsidRPr="007D5795">
          <w:rPr>
            <w:rStyle w:val="TextoNormalCaracter"/>
          </w:rPr>
          <w:t>97/2024</w:t>
        </w:r>
      </w:hyperlink>
      <w:r>
        <w:t xml:space="preserve">, ff. 3, 4; </w:t>
      </w:r>
      <w:hyperlink w:anchor="SENTENCIA_2024_98" w:history="1">
        <w:r w:rsidRPr="007D5795">
          <w:rPr>
            <w:rStyle w:val="TextoNormalCaracter"/>
          </w:rPr>
          <w:t>98/2024</w:t>
        </w:r>
      </w:hyperlink>
      <w:r>
        <w:t xml:space="preserve">, f. 4; </w:t>
      </w:r>
      <w:hyperlink w:anchor="SENTENCIA_2024_99" w:history="1">
        <w:r w:rsidRPr="007D5795">
          <w:rPr>
            <w:rStyle w:val="TextoNormalCaracter"/>
          </w:rPr>
          <w:t>99/2024</w:t>
        </w:r>
      </w:hyperlink>
      <w:r>
        <w:t xml:space="preserve">, f. 3, VP II; </w:t>
      </w:r>
      <w:hyperlink w:anchor="SENTENCIA_2024_100" w:history="1">
        <w:r w:rsidRPr="007D5795">
          <w:rPr>
            <w:rStyle w:val="TextoNormalCaracter"/>
          </w:rPr>
          <w:t>100/2024</w:t>
        </w:r>
      </w:hyperlink>
      <w:r>
        <w:t xml:space="preserve">, ff. 3, 4, VP II; </w:t>
      </w:r>
      <w:hyperlink w:anchor="SENTENCIA_2024_102" w:history="1">
        <w:r w:rsidRPr="007D5795">
          <w:rPr>
            <w:rStyle w:val="TextoNormalCaracter"/>
          </w:rPr>
          <w:t>102/2024</w:t>
        </w:r>
      </w:hyperlink>
      <w:r>
        <w:t xml:space="preserve">, f. 4, VP II; </w:t>
      </w:r>
      <w:hyperlink w:anchor="SENTENCIA_2024_103" w:history="1">
        <w:r w:rsidRPr="007D5795">
          <w:rPr>
            <w:rStyle w:val="TextoNormalCaracter"/>
          </w:rPr>
          <w:t>103/2024</w:t>
        </w:r>
      </w:hyperlink>
      <w:r>
        <w:t xml:space="preserve">, f. 3, VP II; </w:t>
      </w:r>
      <w:hyperlink w:anchor="SENTENCIA_2024_139" w:history="1">
        <w:r w:rsidRPr="007D5795">
          <w:rPr>
            <w:rStyle w:val="TextoNormalCaracter"/>
          </w:rPr>
          <w:t>139/2024</w:t>
        </w:r>
      </w:hyperlink>
      <w:r>
        <w:t xml:space="preserve">, VP I; </w:t>
      </w:r>
      <w:hyperlink w:anchor="SENTENCIA_2024_146" w:history="1">
        <w:r w:rsidRPr="007D5795">
          <w:rPr>
            <w:rStyle w:val="TextoNormalCaracter"/>
          </w:rPr>
          <w:t>146/2024</w:t>
        </w:r>
      </w:hyperlink>
      <w:r>
        <w:t>, f. 8.</w:t>
      </w:r>
    </w:p>
    <w:p w14:paraId="722AABA4" w14:textId="1DEC52A3" w:rsidR="007D5795" w:rsidRDefault="007D5795" w:rsidP="007D5795">
      <w:pPr>
        <w:pStyle w:val="SangriaFrancesaArticulo"/>
      </w:pPr>
      <w:r w:rsidRPr="007D5795">
        <w:rPr>
          <w:rStyle w:val="TextoNormalNegritaCaracter"/>
        </w:rPr>
        <w:t>Artículo 117.3.</w:t>
      </w:r>
      <w:r w:rsidRPr="007D5795">
        <w:rPr>
          <w:rStyle w:val="TextoNormalCaracter"/>
        </w:rPr>
        <w:t>-</w:t>
      </w:r>
      <w:r>
        <w:t xml:space="preserve"> Sentencias </w:t>
      </w:r>
      <w:hyperlink w:anchor="SENTENCIA_2024_94" w:history="1">
        <w:r w:rsidRPr="007D5795">
          <w:rPr>
            <w:rStyle w:val="TextoNormalCaracter"/>
          </w:rPr>
          <w:t>94/2024</w:t>
        </w:r>
      </w:hyperlink>
      <w:r>
        <w:t xml:space="preserve">, f. 3, VP II, VP IV; </w:t>
      </w:r>
      <w:hyperlink w:anchor="SENTENCIA_2024_95" w:history="1">
        <w:r w:rsidRPr="007D5795">
          <w:rPr>
            <w:rStyle w:val="TextoNormalCaracter"/>
          </w:rPr>
          <w:t>95/2024</w:t>
        </w:r>
      </w:hyperlink>
      <w:r>
        <w:t xml:space="preserve">, ff. 3, 4, VP II, VP III; </w:t>
      </w:r>
      <w:hyperlink w:anchor="SENTENCIA_2024_96" w:history="1">
        <w:r w:rsidRPr="007D5795">
          <w:rPr>
            <w:rStyle w:val="TextoNormalCaracter"/>
          </w:rPr>
          <w:t>96/2024</w:t>
        </w:r>
      </w:hyperlink>
      <w:r>
        <w:t xml:space="preserve">, ff. 4, 7, VP II, VP IV; </w:t>
      </w:r>
      <w:hyperlink w:anchor="SENTENCIA_2024_97" w:history="1">
        <w:r w:rsidRPr="007D5795">
          <w:rPr>
            <w:rStyle w:val="TextoNormalCaracter"/>
          </w:rPr>
          <w:t>97/2024</w:t>
        </w:r>
      </w:hyperlink>
      <w:r>
        <w:t xml:space="preserve">, VP II, VP IV; </w:t>
      </w:r>
      <w:hyperlink w:anchor="SENTENCIA_2024_98" w:history="1">
        <w:r w:rsidRPr="007D5795">
          <w:rPr>
            <w:rStyle w:val="TextoNormalCaracter"/>
          </w:rPr>
          <w:t>98/2024</w:t>
        </w:r>
      </w:hyperlink>
      <w:r>
        <w:t xml:space="preserve">, ff. 3, 6, VP II, VP III; </w:t>
      </w:r>
      <w:hyperlink w:anchor="SENTENCIA_2024_99" w:history="1">
        <w:r w:rsidRPr="007D5795">
          <w:rPr>
            <w:rStyle w:val="TextoNormalCaracter"/>
          </w:rPr>
          <w:t>99/2024</w:t>
        </w:r>
      </w:hyperlink>
      <w:r>
        <w:t xml:space="preserve">, f. 3, VP II, VP III, VP IV; </w:t>
      </w:r>
      <w:hyperlink w:anchor="SENTENCIA_2024_100" w:history="1">
        <w:r w:rsidRPr="007D5795">
          <w:rPr>
            <w:rStyle w:val="TextoNormalCaracter"/>
          </w:rPr>
          <w:t>100/2024</w:t>
        </w:r>
      </w:hyperlink>
      <w:r>
        <w:t xml:space="preserve">, ff. 3, 6, VP II, VP III, VP IV; </w:t>
      </w:r>
      <w:hyperlink w:anchor="SENTENCIA_2024_101" w:history="1">
        <w:r w:rsidRPr="007D5795">
          <w:rPr>
            <w:rStyle w:val="TextoNormalCaracter"/>
          </w:rPr>
          <w:t>101/2024</w:t>
        </w:r>
      </w:hyperlink>
      <w:r>
        <w:t xml:space="preserve">, f. 3; </w:t>
      </w:r>
      <w:hyperlink w:anchor="SENTENCIA_2024_102" w:history="1">
        <w:r w:rsidRPr="007D5795">
          <w:rPr>
            <w:rStyle w:val="TextoNormalCaracter"/>
          </w:rPr>
          <w:t>102/2024</w:t>
        </w:r>
      </w:hyperlink>
      <w:r>
        <w:t xml:space="preserve">, ff. 4, 5, VP II, VP IV; </w:t>
      </w:r>
      <w:hyperlink w:anchor="SENTENCIA_2024_103" w:history="1">
        <w:r w:rsidRPr="007D5795">
          <w:rPr>
            <w:rStyle w:val="TextoNormalCaracter"/>
          </w:rPr>
          <w:t>103/2024</w:t>
        </w:r>
      </w:hyperlink>
      <w:r>
        <w:t xml:space="preserve">, VP II, VP IV; </w:t>
      </w:r>
      <w:hyperlink w:anchor="SENTENCIA_2024_107" w:history="1">
        <w:r w:rsidRPr="007D5795">
          <w:rPr>
            <w:rStyle w:val="TextoNormalCaracter"/>
          </w:rPr>
          <w:t>107/2024</w:t>
        </w:r>
      </w:hyperlink>
      <w:r>
        <w:t xml:space="preserve">, f. 3; </w:t>
      </w:r>
      <w:hyperlink w:anchor="SENTENCIA_2024_117" w:history="1">
        <w:r w:rsidRPr="007D5795">
          <w:rPr>
            <w:rStyle w:val="TextoNormalCaracter"/>
          </w:rPr>
          <w:t>117/2024</w:t>
        </w:r>
      </w:hyperlink>
      <w:r>
        <w:t xml:space="preserve">, f. 3; </w:t>
      </w:r>
      <w:hyperlink w:anchor="SENTENCIA_2024_118" w:history="1">
        <w:r w:rsidRPr="007D5795">
          <w:rPr>
            <w:rStyle w:val="TextoNormalCaracter"/>
          </w:rPr>
          <w:t>118/2024</w:t>
        </w:r>
      </w:hyperlink>
      <w:r>
        <w:t xml:space="preserve">, f. 4, VP II; </w:t>
      </w:r>
      <w:hyperlink w:anchor="SENTENCIA_2024_121" w:history="1">
        <w:r w:rsidRPr="007D5795">
          <w:rPr>
            <w:rStyle w:val="TextoNormalCaracter"/>
          </w:rPr>
          <w:t>121/2024</w:t>
        </w:r>
      </w:hyperlink>
      <w:r>
        <w:t xml:space="preserve">, f. 1, VP I; </w:t>
      </w:r>
      <w:hyperlink w:anchor="SENTENCIA_2024_133" w:history="1">
        <w:r w:rsidRPr="007D5795">
          <w:rPr>
            <w:rStyle w:val="TextoNormalCaracter"/>
          </w:rPr>
          <w:t>133/2024</w:t>
        </w:r>
      </w:hyperlink>
      <w:r>
        <w:t xml:space="preserve">, f. 2; </w:t>
      </w:r>
      <w:hyperlink w:anchor="SENTENCIA_2024_134" w:history="1">
        <w:r w:rsidRPr="007D5795">
          <w:rPr>
            <w:rStyle w:val="TextoNormalCaracter"/>
          </w:rPr>
          <w:t>134/2024</w:t>
        </w:r>
      </w:hyperlink>
      <w:r>
        <w:t xml:space="preserve">, f. 2; </w:t>
      </w:r>
      <w:hyperlink w:anchor="SENTENCIA_2024_145" w:history="1">
        <w:r w:rsidRPr="007D5795">
          <w:rPr>
            <w:rStyle w:val="TextoNormalCaracter"/>
          </w:rPr>
          <w:t>145/2024</w:t>
        </w:r>
      </w:hyperlink>
      <w:r>
        <w:t xml:space="preserve">, VP I; </w:t>
      </w:r>
      <w:hyperlink w:anchor="SENTENCIA_2024_146" w:history="1">
        <w:r w:rsidRPr="007D5795">
          <w:rPr>
            <w:rStyle w:val="TextoNormalCaracter"/>
          </w:rPr>
          <w:t>146/2024</w:t>
        </w:r>
      </w:hyperlink>
      <w:r>
        <w:t>, ff. 2, 5, 8.</w:t>
      </w:r>
    </w:p>
    <w:p w14:paraId="2944FCC4" w14:textId="6572DE1E" w:rsidR="007D5795" w:rsidRDefault="007D5795" w:rsidP="007D5795">
      <w:pPr>
        <w:pStyle w:val="SangriaIzquierdaArticulo"/>
      </w:pPr>
      <w:r>
        <w:t xml:space="preserve">Autos </w:t>
      </w:r>
      <w:hyperlink w:anchor="AUTO_2024_73" w:history="1">
        <w:r w:rsidRPr="007D5795">
          <w:rPr>
            <w:rStyle w:val="TextoNormalCaracter"/>
          </w:rPr>
          <w:t>73/2024</w:t>
        </w:r>
      </w:hyperlink>
      <w:r>
        <w:t xml:space="preserve">, f. 3; </w:t>
      </w:r>
      <w:hyperlink w:anchor="AUTO_2024_85" w:history="1">
        <w:r w:rsidRPr="007D5795">
          <w:rPr>
            <w:rStyle w:val="TextoNormalCaracter"/>
          </w:rPr>
          <w:t>85/2024</w:t>
        </w:r>
      </w:hyperlink>
      <w:r>
        <w:t xml:space="preserve">, VP; </w:t>
      </w:r>
      <w:hyperlink w:anchor="AUTO_2024_86" w:history="1">
        <w:r w:rsidRPr="007D5795">
          <w:rPr>
            <w:rStyle w:val="TextoNormalCaracter"/>
          </w:rPr>
          <w:t>86/2024</w:t>
        </w:r>
      </w:hyperlink>
      <w:r>
        <w:t xml:space="preserve">, ff. 1, 2; </w:t>
      </w:r>
      <w:hyperlink w:anchor="AUTO_2024_94" w:history="1">
        <w:r w:rsidRPr="007D5795">
          <w:rPr>
            <w:rStyle w:val="TextoNormalCaracter"/>
          </w:rPr>
          <w:t>94/2024</w:t>
        </w:r>
      </w:hyperlink>
      <w:r>
        <w:t xml:space="preserve">, f. único; </w:t>
      </w:r>
      <w:hyperlink w:anchor="AUTO_2024_99" w:history="1">
        <w:r w:rsidRPr="007D5795">
          <w:rPr>
            <w:rStyle w:val="TextoNormalCaracter"/>
          </w:rPr>
          <w:t>99/2024</w:t>
        </w:r>
      </w:hyperlink>
      <w:r>
        <w:t xml:space="preserve">, f. 1; </w:t>
      </w:r>
      <w:hyperlink w:anchor="AUTO_2024_152" w:history="1">
        <w:r w:rsidRPr="007D5795">
          <w:rPr>
            <w:rStyle w:val="TextoNormalCaracter"/>
          </w:rPr>
          <w:t>152/2024</w:t>
        </w:r>
      </w:hyperlink>
      <w:r>
        <w:t xml:space="preserve">, f. 2; </w:t>
      </w:r>
      <w:hyperlink w:anchor="AUTO_2024_153" w:history="1">
        <w:r w:rsidRPr="007D5795">
          <w:rPr>
            <w:rStyle w:val="TextoNormalCaracter"/>
          </w:rPr>
          <w:t>153/2024</w:t>
        </w:r>
      </w:hyperlink>
      <w:r>
        <w:t>, f. 4.</w:t>
      </w:r>
    </w:p>
    <w:p w14:paraId="614D75FD" w14:textId="65641C71" w:rsidR="007D5795" w:rsidRDefault="007D5795" w:rsidP="007D5795">
      <w:pPr>
        <w:pStyle w:val="SangriaFrancesaArticulo"/>
      </w:pPr>
      <w:r w:rsidRPr="007D5795">
        <w:rPr>
          <w:rStyle w:val="TextoNormalNegritaCaracter"/>
        </w:rPr>
        <w:t>Artículo 117.5.</w:t>
      </w:r>
      <w:r w:rsidRPr="007D5795">
        <w:rPr>
          <w:rStyle w:val="TextoNormalCaracter"/>
        </w:rPr>
        <w:t>-</w:t>
      </w:r>
      <w:r>
        <w:t xml:space="preserve"> Sentencia </w:t>
      </w:r>
      <w:hyperlink w:anchor="SENTENCIA_2024_128" w:history="1">
        <w:r w:rsidRPr="007D5795">
          <w:rPr>
            <w:rStyle w:val="TextoNormalCaracter"/>
          </w:rPr>
          <w:t>128/2024</w:t>
        </w:r>
      </w:hyperlink>
      <w:r>
        <w:t>, ff. 4, 6, VP.</w:t>
      </w:r>
    </w:p>
    <w:p w14:paraId="236BBECD" w14:textId="26BC0DA6" w:rsidR="007D5795" w:rsidRDefault="007D5795" w:rsidP="007D5795">
      <w:pPr>
        <w:pStyle w:val="SangriaFrancesaArticulo"/>
      </w:pPr>
      <w:r w:rsidRPr="007D5795">
        <w:rPr>
          <w:rStyle w:val="TextoNormalNegritaCaracter"/>
        </w:rPr>
        <w:t>Artículo 117.6.</w:t>
      </w:r>
      <w:r w:rsidRPr="007D5795">
        <w:rPr>
          <w:rStyle w:val="TextoNormalCaracter"/>
        </w:rPr>
        <w:t>-</w:t>
      </w:r>
      <w:r>
        <w:t xml:space="preserve"> Sentencia </w:t>
      </w:r>
      <w:hyperlink w:anchor="SENTENCIA_2024_128" w:history="1">
        <w:r w:rsidRPr="007D5795">
          <w:rPr>
            <w:rStyle w:val="TextoNormalCaracter"/>
          </w:rPr>
          <w:t>128/2024</w:t>
        </w:r>
      </w:hyperlink>
      <w:r>
        <w:t>, f. 3.</w:t>
      </w:r>
    </w:p>
    <w:p w14:paraId="4867B1DE" w14:textId="052027B8" w:rsidR="007D5795" w:rsidRDefault="007D5795" w:rsidP="007D5795">
      <w:pPr>
        <w:pStyle w:val="SangriaFrancesaArticulo"/>
      </w:pPr>
      <w:r w:rsidRPr="007D5795">
        <w:rPr>
          <w:rStyle w:val="TextoNormalNegritaCaracter"/>
        </w:rPr>
        <w:t>Artículo 118.</w:t>
      </w:r>
      <w:r w:rsidRPr="007D5795">
        <w:rPr>
          <w:rStyle w:val="TextoNormalCaracter"/>
        </w:rPr>
        <w:t>-</w:t>
      </w:r>
      <w:r>
        <w:t xml:space="preserve"> Sentencias </w:t>
      </w:r>
      <w:hyperlink w:anchor="SENTENCIA_2024_120" w:history="1">
        <w:r w:rsidRPr="007D5795">
          <w:rPr>
            <w:rStyle w:val="TextoNormalCaracter"/>
          </w:rPr>
          <w:t>120/2024</w:t>
        </w:r>
      </w:hyperlink>
      <w:r>
        <w:t xml:space="preserve">, ff. 5, 6; </w:t>
      </w:r>
      <w:hyperlink w:anchor="SENTENCIA_2024_121" w:history="1">
        <w:r w:rsidRPr="007D5795">
          <w:rPr>
            <w:rStyle w:val="TextoNormalCaracter"/>
          </w:rPr>
          <w:t>121/2024</w:t>
        </w:r>
      </w:hyperlink>
      <w:r>
        <w:t xml:space="preserve">, ff. 1, 2, VP I, VP II; </w:t>
      </w:r>
      <w:hyperlink w:anchor="SENTENCIA_2024_152" w:history="1">
        <w:r w:rsidRPr="007D5795">
          <w:rPr>
            <w:rStyle w:val="TextoNormalCaracter"/>
          </w:rPr>
          <w:t>152/2024</w:t>
        </w:r>
      </w:hyperlink>
      <w:r>
        <w:t>, f. 4.</w:t>
      </w:r>
    </w:p>
    <w:p w14:paraId="1828C981" w14:textId="2E058D26" w:rsidR="007D5795" w:rsidRDefault="007D5795" w:rsidP="007D5795">
      <w:pPr>
        <w:pStyle w:val="SangriaIzquierdaArticulo"/>
      </w:pPr>
      <w:r>
        <w:t xml:space="preserve">Auto </w:t>
      </w:r>
      <w:hyperlink w:anchor="AUTO_2024_78" w:history="1">
        <w:r w:rsidRPr="007D5795">
          <w:rPr>
            <w:rStyle w:val="TextoNormalCaracter"/>
          </w:rPr>
          <w:t>78/2024</w:t>
        </w:r>
      </w:hyperlink>
      <w:r>
        <w:t>, f. 2.</w:t>
      </w:r>
    </w:p>
    <w:p w14:paraId="293593E9" w14:textId="14C32237" w:rsidR="007D5795" w:rsidRDefault="007D5795" w:rsidP="007D5795">
      <w:pPr>
        <w:pStyle w:val="SangriaFrancesaArticulo"/>
      </w:pPr>
      <w:r w:rsidRPr="007D5795">
        <w:rPr>
          <w:rStyle w:val="TextoNormalNegritaCaracter"/>
        </w:rPr>
        <w:t>Artículo 120.3.</w:t>
      </w:r>
      <w:r w:rsidRPr="007D5795">
        <w:rPr>
          <w:rStyle w:val="TextoNormalCaracter"/>
        </w:rPr>
        <w:t>-</w:t>
      </w:r>
      <w:r>
        <w:t xml:space="preserve"> Sentencias </w:t>
      </w:r>
      <w:hyperlink w:anchor="SENTENCIA_2024_94" w:history="1">
        <w:r w:rsidRPr="007D5795">
          <w:rPr>
            <w:rStyle w:val="TextoNormalCaracter"/>
          </w:rPr>
          <w:t>94/2024</w:t>
        </w:r>
      </w:hyperlink>
      <w:r>
        <w:t xml:space="preserve">, f. 6; </w:t>
      </w:r>
      <w:hyperlink w:anchor="SENTENCIA_2024_95" w:history="1">
        <w:r w:rsidRPr="007D5795">
          <w:rPr>
            <w:rStyle w:val="TextoNormalCaracter"/>
          </w:rPr>
          <w:t>95/2024</w:t>
        </w:r>
      </w:hyperlink>
      <w:r>
        <w:t xml:space="preserve">, f. 4; </w:t>
      </w:r>
      <w:hyperlink w:anchor="SENTENCIA_2024_96" w:history="1">
        <w:r w:rsidRPr="007D5795">
          <w:rPr>
            <w:rStyle w:val="TextoNormalCaracter"/>
          </w:rPr>
          <w:t>96/2024</w:t>
        </w:r>
      </w:hyperlink>
      <w:r>
        <w:t xml:space="preserve">, f. 7; </w:t>
      </w:r>
      <w:hyperlink w:anchor="SENTENCIA_2024_97" w:history="1">
        <w:r w:rsidRPr="007D5795">
          <w:rPr>
            <w:rStyle w:val="TextoNormalCaracter"/>
          </w:rPr>
          <w:t>97/2024</w:t>
        </w:r>
      </w:hyperlink>
      <w:r>
        <w:t xml:space="preserve">, f. 6; </w:t>
      </w:r>
      <w:hyperlink w:anchor="SENTENCIA_2024_98" w:history="1">
        <w:r w:rsidRPr="007D5795">
          <w:rPr>
            <w:rStyle w:val="TextoNormalCaracter"/>
          </w:rPr>
          <w:t>98/2024</w:t>
        </w:r>
      </w:hyperlink>
      <w:r>
        <w:t xml:space="preserve">, f. 6; </w:t>
      </w:r>
      <w:hyperlink w:anchor="SENTENCIA_2024_100" w:history="1">
        <w:r w:rsidRPr="007D5795">
          <w:rPr>
            <w:rStyle w:val="TextoNormalCaracter"/>
          </w:rPr>
          <w:t>100/2024</w:t>
        </w:r>
      </w:hyperlink>
      <w:r>
        <w:t xml:space="preserve">, f. 6; </w:t>
      </w:r>
      <w:hyperlink w:anchor="SENTENCIA_2024_115" w:history="1">
        <w:r w:rsidRPr="007D5795">
          <w:rPr>
            <w:rStyle w:val="TextoNormalCaracter"/>
          </w:rPr>
          <w:t>115/2024</w:t>
        </w:r>
      </w:hyperlink>
      <w:r>
        <w:t xml:space="preserve">, f. 2; </w:t>
      </w:r>
      <w:hyperlink w:anchor="SENTENCIA_2024_116" w:history="1">
        <w:r w:rsidRPr="007D5795">
          <w:rPr>
            <w:rStyle w:val="TextoNormalCaracter"/>
          </w:rPr>
          <w:t>116/2024</w:t>
        </w:r>
      </w:hyperlink>
      <w:r>
        <w:t xml:space="preserve">, f. 3; </w:t>
      </w:r>
      <w:hyperlink w:anchor="SENTENCIA_2024_122" w:history="1">
        <w:r w:rsidRPr="007D5795">
          <w:rPr>
            <w:rStyle w:val="TextoNormalCaracter"/>
          </w:rPr>
          <w:t>122/2024</w:t>
        </w:r>
      </w:hyperlink>
      <w:r>
        <w:t xml:space="preserve">, f. 2; </w:t>
      </w:r>
      <w:hyperlink w:anchor="SENTENCIA_2024_133" w:history="1">
        <w:r w:rsidRPr="007D5795">
          <w:rPr>
            <w:rStyle w:val="TextoNormalCaracter"/>
          </w:rPr>
          <w:t>133/2024</w:t>
        </w:r>
      </w:hyperlink>
      <w:r>
        <w:t xml:space="preserve">, f. 4; </w:t>
      </w:r>
      <w:hyperlink w:anchor="SENTENCIA_2024_134" w:history="1">
        <w:r w:rsidRPr="007D5795">
          <w:rPr>
            <w:rStyle w:val="TextoNormalCaracter"/>
          </w:rPr>
          <w:t>134/2024</w:t>
        </w:r>
      </w:hyperlink>
      <w:r>
        <w:t xml:space="preserve">, f. 4; </w:t>
      </w:r>
      <w:hyperlink w:anchor="SENTENCIA_2024_145" w:history="1">
        <w:r w:rsidRPr="007D5795">
          <w:rPr>
            <w:rStyle w:val="TextoNormalCaracter"/>
          </w:rPr>
          <w:t>145/2024</w:t>
        </w:r>
      </w:hyperlink>
      <w:r>
        <w:t>, f. 3.</w:t>
      </w:r>
    </w:p>
    <w:p w14:paraId="16423616" w14:textId="2208297B" w:rsidR="007D5795" w:rsidRDefault="007D5795" w:rsidP="007D5795">
      <w:pPr>
        <w:pStyle w:val="SangriaFrancesaArticulo"/>
      </w:pPr>
      <w:r w:rsidRPr="007D5795">
        <w:rPr>
          <w:rStyle w:val="TextoNormalNegritaCaracter"/>
        </w:rPr>
        <w:t>Artículo 121.</w:t>
      </w:r>
      <w:r w:rsidRPr="007D5795">
        <w:rPr>
          <w:rStyle w:val="TextoNormalCaracter"/>
        </w:rPr>
        <w:t>-</w:t>
      </w:r>
      <w:r>
        <w:t xml:space="preserve"> Sentencias </w:t>
      </w:r>
      <w:hyperlink w:anchor="SENTENCIA_2024_118" w:history="1">
        <w:r w:rsidRPr="007D5795">
          <w:rPr>
            <w:rStyle w:val="TextoNormalCaracter"/>
          </w:rPr>
          <w:t>118/2024</w:t>
        </w:r>
      </w:hyperlink>
      <w:r>
        <w:t xml:space="preserve">, ff. 3, 5; </w:t>
      </w:r>
      <w:hyperlink w:anchor="SENTENCIA_2024_135" w:history="1">
        <w:r w:rsidRPr="007D5795">
          <w:rPr>
            <w:rStyle w:val="TextoNormalCaracter"/>
          </w:rPr>
          <w:t>135/2024</w:t>
        </w:r>
      </w:hyperlink>
      <w:r>
        <w:t>, f. 4.</w:t>
      </w:r>
    </w:p>
    <w:p w14:paraId="2619A9F3" w14:textId="46D15BAC" w:rsidR="007D5795" w:rsidRDefault="007D5795" w:rsidP="007D5795">
      <w:pPr>
        <w:pStyle w:val="SangriaFrancesaArticulo"/>
      </w:pPr>
      <w:r w:rsidRPr="007D5795">
        <w:rPr>
          <w:rStyle w:val="TextoNormalNegritaCaracter"/>
        </w:rPr>
        <w:t>Artículo 122.</w:t>
      </w:r>
      <w:r w:rsidRPr="007D5795">
        <w:rPr>
          <w:rStyle w:val="TextoNormalCaracter"/>
        </w:rPr>
        <w:t>-</w:t>
      </w:r>
      <w:r>
        <w:t xml:space="preserve"> Sentencias </w:t>
      </w:r>
      <w:hyperlink w:anchor="SENTENCIA_2024_128" w:history="1">
        <w:r w:rsidRPr="007D5795">
          <w:rPr>
            <w:rStyle w:val="TextoNormalCaracter"/>
          </w:rPr>
          <w:t>128/2024</w:t>
        </w:r>
      </w:hyperlink>
      <w:r>
        <w:t xml:space="preserve">, VP; </w:t>
      </w:r>
      <w:hyperlink w:anchor="SENTENCIA_2024_139" w:history="1">
        <w:r w:rsidRPr="007D5795">
          <w:rPr>
            <w:rStyle w:val="TextoNormalCaracter"/>
          </w:rPr>
          <w:t>139/2024</w:t>
        </w:r>
      </w:hyperlink>
      <w:r>
        <w:t>, VP I, VP II.</w:t>
      </w:r>
    </w:p>
    <w:p w14:paraId="79FCDF0F" w14:textId="7C31E048" w:rsidR="007D5795" w:rsidRDefault="007D5795" w:rsidP="007D5795">
      <w:pPr>
        <w:pStyle w:val="SangriaFrancesaArticulo"/>
      </w:pPr>
      <w:r w:rsidRPr="007D5795">
        <w:rPr>
          <w:rStyle w:val="TextoNormalNegritaCaracter"/>
        </w:rPr>
        <w:t>Artículo 123.</w:t>
      </w:r>
      <w:r w:rsidRPr="007D5795">
        <w:rPr>
          <w:rStyle w:val="TextoNormalCaracter"/>
        </w:rPr>
        <w:t>-</w:t>
      </w:r>
      <w:r>
        <w:t xml:space="preserve"> Sentencias </w:t>
      </w:r>
      <w:hyperlink w:anchor="SENTENCIA_2024_94" w:history="1">
        <w:r w:rsidRPr="007D5795">
          <w:rPr>
            <w:rStyle w:val="TextoNormalCaracter"/>
          </w:rPr>
          <w:t>94/2024</w:t>
        </w:r>
      </w:hyperlink>
      <w:r>
        <w:t xml:space="preserve">, VP IV; </w:t>
      </w:r>
      <w:hyperlink w:anchor="SENTENCIA_2024_95" w:history="1">
        <w:r w:rsidRPr="007D5795">
          <w:rPr>
            <w:rStyle w:val="TextoNormalCaracter"/>
          </w:rPr>
          <w:t>95/2024</w:t>
        </w:r>
      </w:hyperlink>
      <w:r>
        <w:t xml:space="preserve">, VP III; </w:t>
      </w:r>
      <w:hyperlink w:anchor="SENTENCIA_2024_96" w:history="1">
        <w:r w:rsidRPr="007D5795">
          <w:rPr>
            <w:rStyle w:val="TextoNormalCaracter"/>
          </w:rPr>
          <w:t>96/2024</w:t>
        </w:r>
      </w:hyperlink>
      <w:r>
        <w:t xml:space="preserve">, VP IV; </w:t>
      </w:r>
      <w:hyperlink w:anchor="SENTENCIA_2024_97" w:history="1">
        <w:r w:rsidRPr="007D5795">
          <w:rPr>
            <w:rStyle w:val="TextoNormalCaracter"/>
          </w:rPr>
          <w:t>97/2024</w:t>
        </w:r>
      </w:hyperlink>
      <w:r>
        <w:t xml:space="preserve">, VP IV; </w:t>
      </w:r>
      <w:hyperlink w:anchor="SENTENCIA_2024_98" w:history="1">
        <w:r w:rsidRPr="007D5795">
          <w:rPr>
            <w:rStyle w:val="TextoNormalCaracter"/>
          </w:rPr>
          <w:t>98/2024</w:t>
        </w:r>
      </w:hyperlink>
      <w:r>
        <w:t xml:space="preserve">, VP III; </w:t>
      </w:r>
      <w:hyperlink w:anchor="SENTENCIA_2024_146" w:history="1">
        <w:r w:rsidRPr="007D5795">
          <w:rPr>
            <w:rStyle w:val="TextoNormalCaracter"/>
          </w:rPr>
          <w:t>146/2024</w:t>
        </w:r>
      </w:hyperlink>
      <w:r>
        <w:t>, f. 8.</w:t>
      </w:r>
    </w:p>
    <w:p w14:paraId="74E9C15A" w14:textId="4B731B6F" w:rsidR="007D5795" w:rsidRDefault="007D5795" w:rsidP="007D5795">
      <w:pPr>
        <w:pStyle w:val="SangriaFrancesaArticulo"/>
      </w:pPr>
      <w:r w:rsidRPr="007D5795">
        <w:rPr>
          <w:rStyle w:val="TextoNormalNegritaCaracter"/>
        </w:rPr>
        <w:t>Artículo 123.1.</w:t>
      </w:r>
      <w:r w:rsidRPr="007D5795">
        <w:rPr>
          <w:rStyle w:val="TextoNormalCaracter"/>
        </w:rPr>
        <w:t>-</w:t>
      </w:r>
      <w:r>
        <w:t xml:space="preserve"> Sentencias </w:t>
      </w:r>
      <w:hyperlink w:anchor="SENTENCIA_2024_94" w:history="1">
        <w:r w:rsidRPr="007D5795">
          <w:rPr>
            <w:rStyle w:val="TextoNormalCaracter"/>
          </w:rPr>
          <w:t>94/2024</w:t>
        </w:r>
      </w:hyperlink>
      <w:r>
        <w:t xml:space="preserve">, VP II, VP IV; </w:t>
      </w:r>
      <w:hyperlink w:anchor="SENTENCIA_2024_95" w:history="1">
        <w:r w:rsidRPr="007D5795">
          <w:rPr>
            <w:rStyle w:val="TextoNormalCaracter"/>
          </w:rPr>
          <w:t>95/2024</w:t>
        </w:r>
      </w:hyperlink>
      <w:r>
        <w:t xml:space="preserve">, VP II, VP III; </w:t>
      </w:r>
      <w:hyperlink w:anchor="SENTENCIA_2024_96" w:history="1">
        <w:r w:rsidRPr="007D5795">
          <w:rPr>
            <w:rStyle w:val="TextoNormalCaracter"/>
          </w:rPr>
          <w:t>96/2024</w:t>
        </w:r>
      </w:hyperlink>
      <w:r>
        <w:t xml:space="preserve">, VP II, VP IV; </w:t>
      </w:r>
      <w:hyperlink w:anchor="SENTENCIA_2024_97" w:history="1">
        <w:r w:rsidRPr="007D5795">
          <w:rPr>
            <w:rStyle w:val="TextoNormalCaracter"/>
          </w:rPr>
          <w:t>97/2024</w:t>
        </w:r>
      </w:hyperlink>
      <w:r>
        <w:t xml:space="preserve">, VP II, VP IV; </w:t>
      </w:r>
      <w:hyperlink w:anchor="SENTENCIA_2024_98" w:history="1">
        <w:r w:rsidRPr="007D5795">
          <w:rPr>
            <w:rStyle w:val="TextoNormalCaracter"/>
          </w:rPr>
          <w:t>98/2024</w:t>
        </w:r>
      </w:hyperlink>
      <w:r>
        <w:t xml:space="preserve">, VP II, VP III; </w:t>
      </w:r>
      <w:hyperlink w:anchor="SENTENCIA_2024_99" w:history="1">
        <w:r w:rsidRPr="007D5795">
          <w:rPr>
            <w:rStyle w:val="TextoNormalCaracter"/>
          </w:rPr>
          <w:t>99/2024</w:t>
        </w:r>
      </w:hyperlink>
      <w:r>
        <w:t xml:space="preserve">, VP I, VP II, VP III, VP IV; </w:t>
      </w:r>
      <w:hyperlink w:anchor="SENTENCIA_2024_100" w:history="1">
        <w:r w:rsidRPr="007D5795">
          <w:rPr>
            <w:rStyle w:val="TextoNormalCaracter"/>
          </w:rPr>
          <w:t>100/2024</w:t>
        </w:r>
      </w:hyperlink>
      <w:r>
        <w:t xml:space="preserve">, VP I, VP II, VP III, VP IV; </w:t>
      </w:r>
      <w:hyperlink w:anchor="SENTENCIA_2024_102" w:history="1">
        <w:r w:rsidRPr="007D5795">
          <w:rPr>
            <w:rStyle w:val="TextoNormalCaracter"/>
          </w:rPr>
          <w:t>102/2024</w:t>
        </w:r>
      </w:hyperlink>
      <w:r>
        <w:t xml:space="preserve">, VP II, VP IV; </w:t>
      </w:r>
      <w:hyperlink w:anchor="SENTENCIA_2024_103" w:history="1">
        <w:r w:rsidRPr="007D5795">
          <w:rPr>
            <w:rStyle w:val="TextoNormalCaracter"/>
          </w:rPr>
          <w:t>103/2024</w:t>
        </w:r>
      </w:hyperlink>
      <w:r>
        <w:t xml:space="preserve">, VP I, VP II, VP IV; </w:t>
      </w:r>
      <w:hyperlink w:anchor="SENTENCIA_2024_118" w:history="1">
        <w:r w:rsidRPr="007D5795">
          <w:rPr>
            <w:rStyle w:val="TextoNormalCaracter"/>
          </w:rPr>
          <w:t>118/2024</w:t>
        </w:r>
      </w:hyperlink>
      <w:r>
        <w:t>, VP II.</w:t>
      </w:r>
    </w:p>
    <w:p w14:paraId="259E0D31" w14:textId="330BD1EB" w:rsidR="007D5795" w:rsidRDefault="007D5795" w:rsidP="007D5795">
      <w:pPr>
        <w:pStyle w:val="SangriaFrancesaArticulo"/>
      </w:pPr>
      <w:r w:rsidRPr="007D5795">
        <w:rPr>
          <w:rStyle w:val="TextoNormalNegritaCaracter"/>
        </w:rPr>
        <w:t>Artículo 124.2.</w:t>
      </w:r>
      <w:r w:rsidRPr="007D5795">
        <w:rPr>
          <w:rStyle w:val="TextoNormalCaracter"/>
        </w:rPr>
        <w:t>-</w:t>
      </w:r>
      <w:r>
        <w:t xml:space="preserve"> Sentencia </w:t>
      </w:r>
      <w:hyperlink w:anchor="SENTENCIA_2024_94" w:history="1">
        <w:r w:rsidRPr="007D5795">
          <w:rPr>
            <w:rStyle w:val="TextoNormalCaracter"/>
          </w:rPr>
          <w:t>94/2024</w:t>
        </w:r>
      </w:hyperlink>
      <w:r>
        <w:t>, VP IV.</w:t>
      </w:r>
    </w:p>
    <w:p w14:paraId="7707A025" w14:textId="6D48D3BD" w:rsidR="007D5795" w:rsidRDefault="007D5795" w:rsidP="007D5795">
      <w:pPr>
        <w:pStyle w:val="SangriaIzquierdaArticulo"/>
      </w:pPr>
      <w:r>
        <w:t xml:space="preserve">Auto </w:t>
      </w:r>
      <w:hyperlink w:anchor="AUTO_2024_65" w:history="1">
        <w:r w:rsidRPr="007D5795">
          <w:rPr>
            <w:rStyle w:val="TextoNormalCaracter"/>
          </w:rPr>
          <w:t>65/2024</w:t>
        </w:r>
      </w:hyperlink>
      <w:r>
        <w:t>, ff. 1, 2.</w:t>
      </w:r>
    </w:p>
    <w:p w14:paraId="3BD0E3FF" w14:textId="6A95EC1F" w:rsidR="007D5795" w:rsidRDefault="007D5795" w:rsidP="007D5795">
      <w:pPr>
        <w:pStyle w:val="SangriaFrancesaArticulo"/>
      </w:pPr>
      <w:r w:rsidRPr="007D5795">
        <w:rPr>
          <w:rStyle w:val="TextoNormalNegritaCaracter"/>
        </w:rPr>
        <w:t>Artículo 124.4.</w:t>
      </w:r>
      <w:r w:rsidRPr="007D5795">
        <w:rPr>
          <w:rStyle w:val="TextoNormalCaracter"/>
        </w:rPr>
        <w:t>-</w:t>
      </w:r>
      <w:r>
        <w:t xml:space="preserve"> Auto </w:t>
      </w:r>
      <w:hyperlink w:anchor="AUTO_2024_65" w:history="1">
        <w:r w:rsidRPr="007D5795">
          <w:rPr>
            <w:rStyle w:val="TextoNormalCaracter"/>
          </w:rPr>
          <w:t>65/2024</w:t>
        </w:r>
      </w:hyperlink>
      <w:r>
        <w:t>, ff. 1, 2.</w:t>
      </w:r>
    </w:p>
    <w:p w14:paraId="45A3994E" w14:textId="77E86A3B" w:rsidR="007D5795" w:rsidRDefault="007D5795" w:rsidP="007D5795">
      <w:pPr>
        <w:pStyle w:val="SangriaFrancesaArticulo"/>
      </w:pPr>
      <w:r w:rsidRPr="007D5795">
        <w:rPr>
          <w:rStyle w:val="TextoNormalNegritaCaracter"/>
        </w:rPr>
        <w:t>Artículo 128.1.</w:t>
      </w:r>
      <w:r w:rsidRPr="007D5795">
        <w:rPr>
          <w:rStyle w:val="TextoNormalCaracter"/>
        </w:rPr>
        <w:t>-</w:t>
      </w:r>
      <w:r>
        <w:t xml:space="preserve"> Sentencias </w:t>
      </w:r>
      <w:hyperlink w:anchor="SENTENCIA_2024_94" w:history="1">
        <w:r w:rsidRPr="007D5795">
          <w:rPr>
            <w:rStyle w:val="TextoNormalCaracter"/>
          </w:rPr>
          <w:t>94/2024</w:t>
        </w:r>
      </w:hyperlink>
      <w:r>
        <w:t xml:space="preserve">, VP II; </w:t>
      </w:r>
      <w:hyperlink w:anchor="SENTENCIA_2024_95" w:history="1">
        <w:r w:rsidRPr="007D5795">
          <w:rPr>
            <w:rStyle w:val="TextoNormalCaracter"/>
          </w:rPr>
          <w:t>95/2024</w:t>
        </w:r>
      </w:hyperlink>
      <w:r>
        <w:t xml:space="preserve">, VP II; </w:t>
      </w:r>
      <w:hyperlink w:anchor="SENTENCIA_2024_96" w:history="1">
        <w:r w:rsidRPr="007D5795">
          <w:rPr>
            <w:rStyle w:val="TextoNormalCaracter"/>
          </w:rPr>
          <w:t>96/2024</w:t>
        </w:r>
      </w:hyperlink>
      <w:r>
        <w:t xml:space="preserve">, VP II; </w:t>
      </w:r>
      <w:hyperlink w:anchor="SENTENCIA_2024_97" w:history="1">
        <w:r w:rsidRPr="007D5795">
          <w:rPr>
            <w:rStyle w:val="TextoNormalCaracter"/>
          </w:rPr>
          <w:t>97/2024</w:t>
        </w:r>
      </w:hyperlink>
      <w:r>
        <w:t xml:space="preserve">, VP II; </w:t>
      </w:r>
      <w:hyperlink w:anchor="SENTENCIA_2024_99" w:history="1">
        <w:r w:rsidRPr="007D5795">
          <w:rPr>
            <w:rStyle w:val="TextoNormalCaracter"/>
          </w:rPr>
          <w:t>99/2024</w:t>
        </w:r>
      </w:hyperlink>
      <w:r>
        <w:t xml:space="preserve">, VP II;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VP II.</w:t>
      </w:r>
    </w:p>
    <w:p w14:paraId="30CD2F58" w14:textId="20BD98BE" w:rsidR="007D5795" w:rsidRDefault="007D5795" w:rsidP="007D5795">
      <w:pPr>
        <w:pStyle w:val="SangriaFrancesaArticulo"/>
      </w:pPr>
      <w:r w:rsidRPr="007D5795">
        <w:rPr>
          <w:rStyle w:val="TextoNormalNegritaCaracter"/>
        </w:rPr>
        <w:t>Artículo 129.1.</w:t>
      </w:r>
      <w:r w:rsidRPr="007D5795">
        <w:rPr>
          <w:rStyle w:val="TextoNormalCaracter"/>
        </w:rPr>
        <w:t>-</w:t>
      </w:r>
      <w:r>
        <w:t xml:space="preserve"> Sentencia </w:t>
      </w:r>
      <w:hyperlink w:anchor="SENTENCIA_2024_142" w:history="1">
        <w:r w:rsidRPr="007D5795">
          <w:rPr>
            <w:rStyle w:val="TextoNormalCaracter"/>
          </w:rPr>
          <w:t>142/2024</w:t>
        </w:r>
      </w:hyperlink>
      <w:r>
        <w:t>, VP.</w:t>
      </w:r>
    </w:p>
    <w:p w14:paraId="3A70A1EB" w14:textId="53C30153" w:rsidR="007D5795" w:rsidRDefault="007D5795" w:rsidP="007D5795">
      <w:pPr>
        <w:pStyle w:val="SangriaFrancesaArticulo"/>
      </w:pPr>
      <w:r w:rsidRPr="007D5795">
        <w:rPr>
          <w:rStyle w:val="TextoNormalNegritaCaracter"/>
        </w:rPr>
        <w:t>Artículo 130.1.</w:t>
      </w:r>
      <w:r w:rsidRPr="007D5795">
        <w:rPr>
          <w:rStyle w:val="TextoNormalCaracter"/>
        </w:rPr>
        <w:t>-</w:t>
      </w:r>
      <w:r>
        <w:t xml:space="preserve"> Sentencia </w:t>
      </w:r>
      <w:hyperlink w:anchor="SENTENCIA_2024_142" w:history="1">
        <w:r w:rsidRPr="007D5795">
          <w:rPr>
            <w:rStyle w:val="TextoNormalCaracter"/>
          </w:rPr>
          <w:t>142/2024</w:t>
        </w:r>
      </w:hyperlink>
      <w:r>
        <w:t>, VP.</w:t>
      </w:r>
    </w:p>
    <w:p w14:paraId="31EC40BD" w14:textId="699D1FD8" w:rsidR="007D5795" w:rsidRDefault="007D5795" w:rsidP="007D5795">
      <w:pPr>
        <w:pStyle w:val="SangriaFrancesaArticulo"/>
      </w:pPr>
      <w:r w:rsidRPr="007D5795">
        <w:rPr>
          <w:rStyle w:val="TextoNormalNegritaCaracter"/>
        </w:rPr>
        <w:t>Artículo 131.</w:t>
      </w:r>
      <w:r w:rsidRPr="007D5795">
        <w:rPr>
          <w:rStyle w:val="TextoNormalCaracter"/>
        </w:rPr>
        <w:t>-</w:t>
      </w:r>
      <w:r>
        <w:t xml:space="preserve"> Sentencias </w:t>
      </w:r>
      <w:hyperlink w:anchor="SENTENCIA_2024_120" w:history="1">
        <w:r w:rsidRPr="007D5795">
          <w:rPr>
            <w:rStyle w:val="TextoNormalCaracter"/>
          </w:rPr>
          <w:t>120/2024</w:t>
        </w:r>
      </w:hyperlink>
      <w:r>
        <w:t xml:space="preserve">, f. 5; </w:t>
      </w:r>
      <w:hyperlink w:anchor="SENTENCIA_2024_146" w:history="1">
        <w:r w:rsidRPr="007D5795">
          <w:rPr>
            <w:rStyle w:val="TextoNormalCaracter"/>
          </w:rPr>
          <w:t>146/2024</w:t>
        </w:r>
      </w:hyperlink>
      <w:r>
        <w:t>, f. 7.</w:t>
      </w:r>
    </w:p>
    <w:p w14:paraId="5EDD1693" w14:textId="76C6C970" w:rsidR="007D5795" w:rsidRDefault="007D5795" w:rsidP="007D5795">
      <w:pPr>
        <w:pStyle w:val="SangriaFrancesaArticulo"/>
      </w:pPr>
      <w:r w:rsidRPr="007D5795">
        <w:rPr>
          <w:rStyle w:val="TextoNormalNegritaCaracter"/>
        </w:rPr>
        <w:t>Artículo 132.2.</w:t>
      </w:r>
      <w:r w:rsidRPr="007D5795">
        <w:rPr>
          <w:rStyle w:val="TextoNormalCaracter"/>
        </w:rPr>
        <w:t>-</w:t>
      </w:r>
      <w:r>
        <w:t xml:space="preserve"> Sentencia </w:t>
      </w:r>
      <w:hyperlink w:anchor="SENTENCIA_2024_119" w:history="1">
        <w:r w:rsidRPr="007D5795">
          <w:rPr>
            <w:rStyle w:val="TextoNormalCaracter"/>
          </w:rPr>
          <w:t>119/2024</w:t>
        </w:r>
      </w:hyperlink>
      <w:r>
        <w:t>, ff. 1, 3 a 5.</w:t>
      </w:r>
    </w:p>
    <w:p w14:paraId="27852F5F" w14:textId="2E1C042C" w:rsidR="007D5795" w:rsidRDefault="007D5795" w:rsidP="007D5795">
      <w:pPr>
        <w:pStyle w:val="SangriaFrancesaArticulo"/>
      </w:pPr>
      <w:r w:rsidRPr="007D5795">
        <w:rPr>
          <w:rStyle w:val="TextoNormalNegritaCaracter"/>
        </w:rPr>
        <w:t>Artículo 133.4.</w:t>
      </w:r>
      <w:r w:rsidRPr="007D5795">
        <w:rPr>
          <w:rStyle w:val="TextoNormalCaracter"/>
        </w:rPr>
        <w:t>-</w:t>
      </w:r>
      <w:r>
        <w:t xml:space="preserve"> Sentencias </w:t>
      </w:r>
      <w:hyperlink w:anchor="SENTENCIA_2024_94" w:history="1">
        <w:r w:rsidRPr="007D5795">
          <w:rPr>
            <w:rStyle w:val="TextoNormalCaracter"/>
          </w:rPr>
          <w:t>94/2024</w:t>
        </w:r>
      </w:hyperlink>
      <w:r>
        <w:t xml:space="preserve">, VP II; </w:t>
      </w:r>
      <w:hyperlink w:anchor="SENTENCIA_2024_95" w:history="1">
        <w:r w:rsidRPr="007D5795">
          <w:rPr>
            <w:rStyle w:val="TextoNormalCaracter"/>
          </w:rPr>
          <w:t>95/2024</w:t>
        </w:r>
      </w:hyperlink>
      <w:r>
        <w:t xml:space="preserve">, VP II; </w:t>
      </w:r>
      <w:hyperlink w:anchor="SENTENCIA_2024_96" w:history="1">
        <w:r w:rsidRPr="007D5795">
          <w:rPr>
            <w:rStyle w:val="TextoNormalCaracter"/>
          </w:rPr>
          <w:t>96/2024</w:t>
        </w:r>
      </w:hyperlink>
      <w:r>
        <w:t xml:space="preserve">, VP II; </w:t>
      </w:r>
      <w:hyperlink w:anchor="SENTENCIA_2024_97" w:history="1">
        <w:r w:rsidRPr="007D5795">
          <w:rPr>
            <w:rStyle w:val="TextoNormalCaracter"/>
          </w:rPr>
          <w:t>97/2024</w:t>
        </w:r>
      </w:hyperlink>
      <w:r>
        <w:t xml:space="preserve">, VP II; </w:t>
      </w:r>
      <w:hyperlink w:anchor="SENTENCIA_2024_98" w:history="1">
        <w:r w:rsidRPr="007D5795">
          <w:rPr>
            <w:rStyle w:val="TextoNormalCaracter"/>
          </w:rPr>
          <w:t>98/2024</w:t>
        </w:r>
      </w:hyperlink>
      <w:r>
        <w:t xml:space="preserve">, VP II; </w:t>
      </w:r>
      <w:hyperlink w:anchor="SENTENCIA_2024_99" w:history="1">
        <w:r w:rsidRPr="007D5795">
          <w:rPr>
            <w:rStyle w:val="TextoNormalCaracter"/>
          </w:rPr>
          <w:t>99/2024</w:t>
        </w:r>
      </w:hyperlink>
      <w:r>
        <w:t xml:space="preserve">, VP II;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VP II.</w:t>
      </w:r>
    </w:p>
    <w:p w14:paraId="4DC57B99" w14:textId="0CE5BB17" w:rsidR="007D5795" w:rsidRDefault="007D5795" w:rsidP="007D5795">
      <w:pPr>
        <w:pStyle w:val="SangriaFrancesaArticulo"/>
      </w:pPr>
      <w:r w:rsidRPr="007D5795">
        <w:rPr>
          <w:rStyle w:val="TextoNormalNegritaCaracter"/>
        </w:rPr>
        <w:t>Artículo 134.</w:t>
      </w:r>
      <w:r w:rsidRPr="007D5795">
        <w:rPr>
          <w:rStyle w:val="TextoNormalCaracter"/>
        </w:rPr>
        <w:t>-</w:t>
      </w:r>
      <w:r>
        <w:t xml:space="preserve"> Sentencia </w:t>
      </w:r>
      <w:hyperlink w:anchor="SENTENCIA_2024_98" w:history="1">
        <w:r w:rsidRPr="007D5795">
          <w:rPr>
            <w:rStyle w:val="TextoNormalCaracter"/>
          </w:rPr>
          <w:t>98/2024</w:t>
        </w:r>
      </w:hyperlink>
      <w:r>
        <w:t>, f. 4.</w:t>
      </w:r>
    </w:p>
    <w:p w14:paraId="17D46DC6" w14:textId="02629E44" w:rsidR="007D5795" w:rsidRDefault="007D5795" w:rsidP="007D5795">
      <w:pPr>
        <w:pStyle w:val="SangriaFrancesaArticulo"/>
      </w:pPr>
      <w:r w:rsidRPr="007D5795">
        <w:rPr>
          <w:rStyle w:val="TextoNormalNegritaCaracter"/>
        </w:rPr>
        <w:t>Artículo 134.1.</w:t>
      </w:r>
      <w:r w:rsidRPr="007D5795">
        <w:rPr>
          <w:rStyle w:val="TextoNormalCaracter"/>
        </w:rPr>
        <w:t>-</w:t>
      </w:r>
      <w:r>
        <w:t xml:space="preserve"> Sentencias </w:t>
      </w:r>
      <w:hyperlink w:anchor="SENTENCIA_2024_96" w:history="1">
        <w:r w:rsidRPr="007D5795">
          <w:rPr>
            <w:rStyle w:val="TextoNormalCaracter"/>
          </w:rPr>
          <w:t>96/2024</w:t>
        </w:r>
      </w:hyperlink>
      <w:r>
        <w:t xml:space="preserve">, f. 5; </w:t>
      </w:r>
      <w:hyperlink w:anchor="SENTENCIA_2024_97" w:history="1">
        <w:r w:rsidRPr="007D5795">
          <w:rPr>
            <w:rStyle w:val="TextoNormalCaracter"/>
          </w:rPr>
          <w:t>97/2024</w:t>
        </w:r>
      </w:hyperlink>
      <w:r>
        <w:t xml:space="preserve">, f. 4; </w:t>
      </w:r>
      <w:hyperlink w:anchor="SENTENCIA_2024_98" w:history="1">
        <w:r w:rsidRPr="007D5795">
          <w:rPr>
            <w:rStyle w:val="TextoNormalCaracter"/>
          </w:rPr>
          <w:t>98/2024</w:t>
        </w:r>
      </w:hyperlink>
      <w:r>
        <w:t xml:space="preserve">, f. 4; </w:t>
      </w:r>
      <w:hyperlink w:anchor="SENTENCIA_2024_99" w:history="1">
        <w:r w:rsidRPr="007D5795">
          <w:rPr>
            <w:rStyle w:val="TextoNormalCaracter"/>
          </w:rPr>
          <w:t>99/2024</w:t>
        </w:r>
      </w:hyperlink>
      <w:r>
        <w:t xml:space="preserve">, f. 3; </w:t>
      </w:r>
      <w:hyperlink w:anchor="SENTENCIA_2024_100" w:history="1">
        <w:r w:rsidRPr="007D5795">
          <w:rPr>
            <w:rStyle w:val="TextoNormalCaracter"/>
          </w:rPr>
          <w:t>100/2024</w:t>
        </w:r>
      </w:hyperlink>
      <w:r>
        <w:t xml:space="preserve">, f. 4; </w:t>
      </w:r>
      <w:hyperlink w:anchor="SENTENCIA_2024_102" w:history="1">
        <w:r w:rsidRPr="007D5795">
          <w:rPr>
            <w:rStyle w:val="TextoNormalCaracter"/>
          </w:rPr>
          <w:t>102/2024</w:t>
        </w:r>
      </w:hyperlink>
      <w:r>
        <w:t xml:space="preserve">, f. 4; </w:t>
      </w:r>
      <w:hyperlink w:anchor="SENTENCIA_2024_103" w:history="1">
        <w:r w:rsidRPr="007D5795">
          <w:rPr>
            <w:rStyle w:val="TextoNormalCaracter"/>
          </w:rPr>
          <w:t>103/2024</w:t>
        </w:r>
      </w:hyperlink>
      <w:r>
        <w:t>, f. 4.</w:t>
      </w:r>
    </w:p>
    <w:p w14:paraId="31A99397" w14:textId="45D71701" w:rsidR="007D5795" w:rsidRDefault="007D5795" w:rsidP="007D5795">
      <w:pPr>
        <w:pStyle w:val="SangriaFrancesaArticulo"/>
      </w:pPr>
      <w:r w:rsidRPr="007D5795">
        <w:rPr>
          <w:rStyle w:val="TextoNormalNegritaCaracter"/>
        </w:rPr>
        <w:t>Artículo 134.2.</w:t>
      </w:r>
      <w:r w:rsidRPr="007D5795">
        <w:rPr>
          <w:rStyle w:val="TextoNormalCaracter"/>
        </w:rPr>
        <w:t>-</w:t>
      </w:r>
      <w:r>
        <w:t xml:space="preserve"> Auto </w:t>
      </w:r>
      <w:hyperlink w:anchor="AUTO_2024_115" w:history="1">
        <w:r w:rsidRPr="007D5795">
          <w:rPr>
            <w:rStyle w:val="TextoNormalCaracter"/>
          </w:rPr>
          <w:t>115/2024</w:t>
        </w:r>
      </w:hyperlink>
      <w:r>
        <w:t>, f. único.</w:t>
      </w:r>
    </w:p>
    <w:p w14:paraId="1C7EE46E" w14:textId="3822AC19" w:rsidR="007D5795" w:rsidRDefault="007D5795" w:rsidP="007D5795">
      <w:pPr>
        <w:pStyle w:val="SangriaFrancesaArticulo"/>
      </w:pPr>
      <w:r w:rsidRPr="007D5795">
        <w:rPr>
          <w:rStyle w:val="TextoNormalNegritaCaracter"/>
        </w:rPr>
        <w:t>Artículo 135.</w:t>
      </w:r>
      <w:r w:rsidRPr="007D5795">
        <w:rPr>
          <w:rStyle w:val="TextoNormalCaracter"/>
        </w:rPr>
        <w:t>-</w:t>
      </w:r>
      <w:r>
        <w:t xml:space="preserve"> Sentencias </w:t>
      </w:r>
      <w:hyperlink w:anchor="SENTENCIA_2024_94" w:history="1">
        <w:r w:rsidRPr="007D5795">
          <w:rPr>
            <w:rStyle w:val="TextoNormalCaracter"/>
          </w:rPr>
          <w:t>94/2024</w:t>
        </w:r>
      </w:hyperlink>
      <w:r>
        <w:t xml:space="preserve">, VP II; </w:t>
      </w:r>
      <w:hyperlink w:anchor="SENTENCIA_2024_95" w:history="1">
        <w:r w:rsidRPr="007D5795">
          <w:rPr>
            <w:rStyle w:val="TextoNormalCaracter"/>
          </w:rPr>
          <w:t>95/2024</w:t>
        </w:r>
      </w:hyperlink>
      <w:r>
        <w:t xml:space="preserve">, VP II; </w:t>
      </w:r>
      <w:hyperlink w:anchor="SENTENCIA_2024_96" w:history="1">
        <w:r w:rsidRPr="007D5795">
          <w:rPr>
            <w:rStyle w:val="TextoNormalCaracter"/>
          </w:rPr>
          <w:t>96/2024</w:t>
        </w:r>
      </w:hyperlink>
      <w:r>
        <w:t xml:space="preserve">, VP II; </w:t>
      </w:r>
      <w:hyperlink w:anchor="SENTENCIA_2024_97" w:history="1">
        <w:r w:rsidRPr="007D5795">
          <w:rPr>
            <w:rStyle w:val="TextoNormalCaracter"/>
          </w:rPr>
          <w:t>97/2024</w:t>
        </w:r>
      </w:hyperlink>
      <w:r>
        <w:t xml:space="preserve">, VP II; </w:t>
      </w:r>
      <w:hyperlink w:anchor="SENTENCIA_2024_99" w:history="1">
        <w:r w:rsidRPr="007D5795">
          <w:rPr>
            <w:rStyle w:val="TextoNormalCaracter"/>
          </w:rPr>
          <w:t>99/2024</w:t>
        </w:r>
      </w:hyperlink>
      <w:r>
        <w:t xml:space="preserve">, VP II;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VP II.</w:t>
      </w:r>
    </w:p>
    <w:p w14:paraId="2F25F3FD" w14:textId="32AFF120" w:rsidR="007D5795" w:rsidRDefault="007D5795" w:rsidP="007D5795">
      <w:pPr>
        <w:pStyle w:val="SangriaFrancesaArticulo"/>
      </w:pPr>
      <w:r w:rsidRPr="007D5795">
        <w:rPr>
          <w:rStyle w:val="TextoNormalNegritaCaracter"/>
        </w:rPr>
        <w:t>Artículo 136.</w:t>
      </w:r>
      <w:r w:rsidRPr="007D5795">
        <w:rPr>
          <w:rStyle w:val="TextoNormalCaracter"/>
        </w:rPr>
        <w:t>-</w:t>
      </w:r>
      <w:r>
        <w:t xml:space="preserve"> Sentencias </w:t>
      </w:r>
      <w:hyperlink w:anchor="SENTENCIA_2024_94" w:history="1">
        <w:r w:rsidRPr="007D5795">
          <w:rPr>
            <w:rStyle w:val="TextoNormalCaracter"/>
          </w:rPr>
          <w:t>94/2024</w:t>
        </w:r>
      </w:hyperlink>
      <w:r>
        <w:t xml:space="preserve">, VP II; </w:t>
      </w:r>
      <w:hyperlink w:anchor="SENTENCIA_2024_95" w:history="1">
        <w:r w:rsidRPr="007D5795">
          <w:rPr>
            <w:rStyle w:val="TextoNormalCaracter"/>
          </w:rPr>
          <w:t>95/2024</w:t>
        </w:r>
      </w:hyperlink>
      <w:r>
        <w:t xml:space="preserve">, VP II; </w:t>
      </w:r>
      <w:hyperlink w:anchor="SENTENCIA_2024_96" w:history="1">
        <w:r w:rsidRPr="007D5795">
          <w:rPr>
            <w:rStyle w:val="TextoNormalCaracter"/>
          </w:rPr>
          <w:t>96/2024</w:t>
        </w:r>
      </w:hyperlink>
      <w:r>
        <w:t xml:space="preserve">, VP II; </w:t>
      </w:r>
      <w:hyperlink w:anchor="SENTENCIA_2024_97" w:history="1">
        <w:r w:rsidRPr="007D5795">
          <w:rPr>
            <w:rStyle w:val="TextoNormalCaracter"/>
          </w:rPr>
          <w:t>97/2024</w:t>
        </w:r>
      </w:hyperlink>
      <w:r>
        <w:t xml:space="preserve">, VP II; </w:t>
      </w:r>
      <w:hyperlink w:anchor="SENTENCIA_2024_99" w:history="1">
        <w:r w:rsidRPr="007D5795">
          <w:rPr>
            <w:rStyle w:val="TextoNormalCaracter"/>
          </w:rPr>
          <w:t>99/2024</w:t>
        </w:r>
      </w:hyperlink>
      <w:r>
        <w:t xml:space="preserve">, VP II;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xml:space="preserve">, VP II; </w:t>
      </w:r>
      <w:hyperlink w:anchor="SENTENCIA_2024_121" w:history="1">
        <w:r w:rsidRPr="007D5795">
          <w:rPr>
            <w:rStyle w:val="TextoNormalCaracter"/>
          </w:rPr>
          <w:t>121/2024</w:t>
        </w:r>
      </w:hyperlink>
      <w:r>
        <w:t>, f. 2, VP I, VP II.</w:t>
      </w:r>
    </w:p>
    <w:p w14:paraId="21226484" w14:textId="6C1D981A" w:rsidR="007D5795" w:rsidRDefault="007D5795" w:rsidP="007D5795">
      <w:pPr>
        <w:pStyle w:val="SangriaFrancesaArticulo"/>
      </w:pPr>
      <w:r w:rsidRPr="007D5795">
        <w:rPr>
          <w:rStyle w:val="TextoNormalNegritaCaracter"/>
        </w:rPr>
        <w:t>Artículo 136.1.</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48DC9BDF" w14:textId="23B21E10" w:rsidR="007D5795" w:rsidRDefault="007D5795" w:rsidP="007D5795">
      <w:pPr>
        <w:pStyle w:val="SangriaFrancesaArticulo"/>
      </w:pPr>
      <w:r w:rsidRPr="007D5795">
        <w:rPr>
          <w:rStyle w:val="TextoNormalNegritaCaracter"/>
        </w:rPr>
        <w:t>Artículo 136.2.</w:t>
      </w:r>
      <w:r w:rsidRPr="007D5795">
        <w:rPr>
          <w:rStyle w:val="TextoNormalCaracter"/>
        </w:rPr>
        <w:t>-</w:t>
      </w:r>
      <w:r>
        <w:t xml:space="preserve"> Sentencia </w:t>
      </w:r>
      <w:hyperlink w:anchor="SENTENCIA_2024_121" w:history="1">
        <w:r w:rsidRPr="007D5795">
          <w:rPr>
            <w:rStyle w:val="TextoNormalCaracter"/>
          </w:rPr>
          <w:t>121/2024</w:t>
        </w:r>
      </w:hyperlink>
      <w:r>
        <w:t>, f. 1, VP I.</w:t>
      </w:r>
    </w:p>
    <w:p w14:paraId="5C099BD7" w14:textId="54EB3EEF" w:rsidR="007D5795" w:rsidRDefault="007D5795" w:rsidP="007D5795">
      <w:pPr>
        <w:pStyle w:val="SangriaFrancesaArticulo"/>
      </w:pPr>
      <w:r w:rsidRPr="007D5795">
        <w:rPr>
          <w:rStyle w:val="TextoNormalNegritaCaracter"/>
        </w:rPr>
        <w:t>Artículo 136.2 párrafo 2.</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4F451F5D" w14:textId="07BF9C4B" w:rsidR="007D5795" w:rsidRDefault="007D5795" w:rsidP="007D5795">
      <w:pPr>
        <w:pStyle w:val="SangriaFrancesaArticulo"/>
      </w:pPr>
      <w:r w:rsidRPr="007D5795">
        <w:rPr>
          <w:rStyle w:val="TextoNormalNegritaCaracter"/>
        </w:rPr>
        <w:t>Artículo 136.3.</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6B0F80AB" w14:textId="7B54790F" w:rsidR="007D5795" w:rsidRDefault="007D5795" w:rsidP="007D5795">
      <w:pPr>
        <w:pStyle w:val="SangriaFrancesaArticulo"/>
      </w:pPr>
      <w:r w:rsidRPr="007D5795">
        <w:rPr>
          <w:rStyle w:val="TextoNormalNegritaCaracter"/>
        </w:rPr>
        <w:t>Artículo 137.</w:t>
      </w:r>
      <w:r w:rsidRPr="007D5795">
        <w:rPr>
          <w:rStyle w:val="TextoNormalCaracter"/>
        </w:rPr>
        <w:t>-</w:t>
      </w:r>
      <w:r>
        <w:t xml:space="preserve"> Sentencia </w:t>
      </w:r>
      <w:hyperlink w:anchor="SENTENCIA_2024_111" w:history="1">
        <w:r w:rsidRPr="007D5795">
          <w:rPr>
            <w:rStyle w:val="TextoNormalCaracter"/>
          </w:rPr>
          <w:t>111/2024</w:t>
        </w:r>
      </w:hyperlink>
      <w:r>
        <w:t>, ff. 1, 3, 5.</w:t>
      </w:r>
    </w:p>
    <w:p w14:paraId="7AF46775" w14:textId="04755C6A" w:rsidR="007D5795" w:rsidRDefault="007D5795" w:rsidP="007D5795">
      <w:pPr>
        <w:pStyle w:val="SangriaIzquierdaArticulo"/>
      </w:pPr>
      <w:r>
        <w:t xml:space="preserve">Auto </w:t>
      </w:r>
      <w:hyperlink w:anchor="AUTO_2024_81" w:history="1">
        <w:r w:rsidRPr="007D5795">
          <w:rPr>
            <w:rStyle w:val="TextoNormalCaracter"/>
          </w:rPr>
          <w:t>81/2024</w:t>
        </w:r>
      </w:hyperlink>
      <w:r>
        <w:t>, f. 2.</w:t>
      </w:r>
    </w:p>
    <w:p w14:paraId="62433354" w14:textId="6776F3CB" w:rsidR="007D5795" w:rsidRDefault="007D5795" w:rsidP="007D5795">
      <w:pPr>
        <w:pStyle w:val="SangriaFrancesaArticulo"/>
      </w:pPr>
      <w:r w:rsidRPr="007D5795">
        <w:rPr>
          <w:rStyle w:val="TextoNormalNegritaCaracter"/>
        </w:rPr>
        <w:t>Artículo 138.</w:t>
      </w:r>
      <w:r w:rsidRPr="007D5795">
        <w:rPr>
          <w:rStyle w:val="TextoNormalCaracter"/>
        </w:rPr>
        <w:t>-</w:t>
      </w:r>
      <w:r>
        <w:t xml:space="preserve"> Sentencias </w:t>
      </w:r>
      <w:hyperlink w:anchor="SENTENCIA_2024_120" w:history="1">
        <w:r w:rsidRPr="007D5795">
          <w:rPr>
            <w:rStyle w:val="TextoNormalCaracter"/>
          </w:rPr>
          <w:t>120/2024</w:t>
        </w:r>
      </w:hyperlink>
      <w:r>
        <w:t xml:space="preserve">, f. 5; </w:t>
      </w:r>
      <w:hyperlink w:anchor="SENTENCIA_2024_146" w:history="1">
        <w:r w:rsidRPr="007D5795">
          <w:rPr>
            <w:rStyle w:val="TextoNormalCaracter"/>
          </w:rPr>
          <w:t>146/2024</w:t>
        </w:r>
      </w:hyperlink>
      <w:r>
        <w:t>, f. 7.</w:t>
      </w:r>
    </w:p>
    <w:p w14:paraId="5E5DE34E" w14:textId="0A96F913" w:rsidR="007D5795" w:rsidRDefault="007D5795" w:rsidP="007D5795">
      <w:pPr>
        <w:pStyle w:val="SangriaFrancesaArticulo"/>
      </w:pPr>
      <w:r w:rsidRPr="007D5795">
        <w:rPr>
          <w:rStyle w:val="TextoNormalNegritaCaracter"/>
        </w:rPr>
        <w:t>Artículo 138.2.</w:t>
      </w:r>
      <w:r w:rsidRPr="007D5795">
        <w:rPr>
          <w:rStyle w:val="TextoNormalCaracter"/>
        </w:rPr>
        <w:t>-</w:t>
      </w:r>
      <w:r>
        <w:t xml:space="preserve"> Sentencia </w:t>
      </w:r>
      <w:hyperlink w:anchor="SENTENCIA_2024_120" w:history="1">
        <w:r w:rsidRPr="007D5795">
          <w:rPr>
            <w:rStyle w:val="TextoNormalCaracter"/>
          </w:rPr>
          <w:t>120/2024</w:t>
        </w:r>
      </w:hyperlink>
      <w:r>
        <w:t>, f. 3.</w:t>
      </w:r>
    </w:p>
    <w:p w14:paraId="654E1378" w14:textId="46323A7E" w:rsidR="007D5795" w:rsidRDefault="007D5795" w:rsidP="007D5795">
      <w:pPr>
        <w:pStyle w:val="SangriaFrancesaArticulo"/>
      </w:pPr>
      <w:r w:rsidRPr="007D5795">
        <w:rPr>
          <w:rStyle w:val="TextoNormalNegritaCaracter"/>
        </w:rPr>
        <w:t>Artículo 139.</w:t>
      </w:r>
      <w:r w:rsidRPr="007D5795">
        <w:rPr>
          <w:rStyle w:val="TextoNormalCaracter"/>
        </w:rPr>
        <w:t>-</w:t>
      </w:r>
      <w:r>
        <w:t xml:space="preserve"> Sentencias </w:t>
      </w:r>
      <w:hyperlink w:anchor="SENTENCIA_2024_120" w:history="1">
        <w:r w:rsidRPr="007D5795">
          <w:rPr>
            <w:rStyle w:val="TextoNormalCaracter"/>
          </w:rPr>
          <w:t>120/2024</w:t>
        </w:r>
      </w:hyperlink>
      <w:r>
        <w:t xml:space="preserve">, ff. 1, 3, 5; </w:t>
      </w:r>
      <w:hyperlink w:anchor="SENTENCIA_2024_146" w:history="1">
        <w:r w:rsidRPr="007D5795">
          <w:rPr>
            <w:rStyle w:val="TextoNormalCaracter"/>
          </w:rPr>
          <w:t>146/2024</w:t>
        </w:r>
      </w:hyperlink>
      <w:r>
        <w:t>, f. 7.</w:t>
      </w:r>
    </w:p>
    <w:p w14:paraId="46AA3CC6" w14:textId="057BE874" w:rsidR="007D5795" w:rsidRDefault="007D5795" w:rsidP="007D5795">
      <w:pPr>
        <w:pStyle w:val="SangriaFrancesaArticulo"/>
      </w:pPr>
      <w:r w:rsidRPr="007D5795">
        <w:rPr>
          <w:rStyle w:val="TextoNormalNegritaCaracter"/>
        </w:rPr>
        <w:t>Artículo 139.1.</w:t>
      </w:r>
      <w:r w:rsidRPr="007D5795">
        <w:rPr>
          <w:rStyle w:val="TextoNormalCaracter"/>
        </w:rPr>
        <w:t>-</w:t>
      </w:r>
      <w:r>
        <w:t xml:space="preserve"> Sentencia </w:t>
      </w:r>
      <w:hyperlink w:anchor="SENTENCIA_2024_120" w:history="1">
        <w:r w:rsidRPr="007D5795">
          <w:rPr>
            <w:rStyle w:val="TextoNormalCaracter"/>
          </w:rPr>
          <w:t>120/2024</w:t>
        </w:r>
      </w:hyperlink>
      <w:r>
        <w:t>, f. 3, VP III.</w:t>
      </w:r>
    </w:p>
    <w:p w14:paraId="1D3FBA90" w14:textId="1045FC97" w:rsidR="007D5795" w:rsidRDefault="007D5795" w:rsidP="007D5795">
      <w:pPr>
        <w:pStyle w:val="SangriaFrancesaArticulo"/>
      </w:pPr>
      <w:r w:rsidRPr="007D5795">
        <w:rPr>
          <w:rStyle w:val="TextoNormalNegritaCaracter"/>
        </w:rPr>
        <w:t>Artículo 139.2.</w:t>
      </w:r>
      <w:r w:rsidRPr="007D5795">
        <w:rPr>
          <w:rStyle w:val="TextoNormalCaracter"/>
        </w:rPr>
        <w:t>-</w:t>
      </w:r>
      <w:r>
        <w:t xml:space="preserve"> Sentencia </w:t>
      </w:r>
      <w:hyperlink w:anchor="SENTENCIA_2024_120" w:history="1">
        <w:r w:rsidRPr="007D5795">
          <w:rPr>
            <w:rStyle w:val="TextoNormalCaracter"/>
          </w:rPr>
          <w:t>120/2024</w:t>
        </w:r>
      </w:hyperlink>
      <w:r>
        <w:t>, f. 3.</w:t>
      </w:r>
    </w:p>
    <w:p w14:paraId="3E81D303" w14:textId="40624EE8" w:rsidR="007D5795" w:rsidRDefault="007D5795" w:rsidP="007D5795">
      <w:pPr>
        <w:pStyle w:val="SangriaFrancesaArticulo"/>
      </w:pPr>
      <w:r w:rsidRPr="007D5795">
        <w:rPr>
          <w:rStyle w:val="TextoNormalNegritaCaracter"/>
        </w:rPr>
        <w:t>Artículo 140.</w:t>
      </w:r>
      <w:r w:rsidRPr="007D5795">
        <w:rPr>
          <w:rStyle w:val="TextoNormalCaracter"/>
        </w:rPr>
        <w:t>-</w:t>
      </w:r>
      <w:r>
        <w:t xml:space="preserve"> Sentencia </w:t>
      </w:r>
      <w:hyperlink w:anchor="SENTENCIA_2024_111" w:history="1">
        <w:r w:rsidRPr="007D5795">
          <w:rPr>
            <w:rStyle w:val="TextoNormalCaracter"/>
          </w:rPr>
          <w:t>111/2024</w:t>
        </w:r>
      </w:hyperlink>
      <w:r>
        <w:t>, ff. 1, 3, 5.</w:t>
      </w:r>
    </w:p>
    <w:p w14:paraId="568EEA6B" w14:textId="334E9B18" w:rsidR="007D5795" w:rsidRDefault="007D5795" w:rsidP="007D5795">
      <w:pPr>
        <w:pStyle w:val="SangriaFrancesaArticulo"/>
      </w:pPr>
      <w:r w:rsidRPr="007D5795">
        <w:rPr>
          <w:rStyle w:val="TextoNormalNegritaCaracter"/>
        </w:rPr>
        <w:t>Artículo 141.</w:t>
      </w:r>
      <w:r w:rsidRPr="007D5795">
        <w:rPr>
          <w:rStyle w:val="TextoNormalCaracter"/>
        </w:rPr>
        <w:t>-</w:t>
      </w:r>
      <w:r>
        <w:t xml:space="preserve"> Sentencia </w:t>
      </w:r>
      <w:hyperlink w:anchor="SENTENCIA_2024_111" w:history="1">
        <w:r w:rsidRPr="007D5795">
          <w:rPr>
            <w:rStyle w:val="TextoNormalCaracter"/>
          </w:rPr>
          <w:t>111/2024</w:t>
        </w:r>
      </w:hyperlink>
      <w:r>
        <w:t>, ff. 1, 3, 5.</w:t>
      </w:r>
    </w:p>
    <w:p w14:paraId="1C41EA53" w14:textId="19B15169" w:rsidR="007D5795" w:rsidRDefault="007D5795" w:rsidP="007D5795">
      <w:pPr>
        <w:pStyle w:val="SangriaFrancesaArticulo"/>
      </w:pPr>
      <w:r w:rsidRPr="007D5795">
        <w:rPr>
          <w:rStyle w:val="TextoNormalNegritaCaracter"/>
        </w:rPr>
        <w:t>Artículo 147.1 d).</w:t>
      </w:r>
      <w:r w:rsidRPr="007D5795">
        <w:rPr>
          <w:rStyle w:val="TextoNormalCaracter"/>
        </w:rPr>
        <w:t>-</w:t>
      </w:r>
      <w:r>
        <w:t xml:space="preserve"> Auto </w:t>
      </w:r>
      <w:hyperlink w:anchor="AUTO_2024_81" w:history="1">
        <w:r w:rsidRPr="007D5795">
          <w:rPr>
            <w:rStyle w:val="TextoNormalCaracter"/>
          </w:rPr>
          <w:t>81/2024</w:t>
        </w:r>
      </w:hyperlink>
      <w:r>
        <w:t>, f. 2.</w:t>
      </w:r>
    </w:p>
    <w:p w14:paraId="2857ECE2" w14:textId="24086913" w:rsidR="007D5795" w:rsidRDefault="007D5795" w:rsidP="007D5795">
      <w:pPr>
        <w:pStyle w:val="SangriaFrancesaArticulo"/>
      </w:pPr>
      <w:r w:rsidRPr="007D5795">
        <w:rPr>
          <w:rStyle w:val="TextoNormalNegritaCaracter"/>
        </w:rPr>
        <w:t>Artículo 148.1.1.</w:t>
      </w:r>
      <w:r w:rsidRPr="007D5795">
        <w:rPr>
          <w:rStyle w:val="TextoNormalCaracter"/>
        </w:rPr>
        <w:t>-</w:t>
      </w:r>
      <w:r>
        <w:t xml:space="preserve"> Sentencias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xml:space="preserve">, VP I, VP III; </w:t>
      </w:r>
      <w:hyperlink w:anchor="SENTENCIA_2024_102" w:history="1">
        <w:r w:rsidRPr="007D5795">
          <w:rPr>
            <w:rStyle w:val="TextoNormalCaracter"/>
          </w:rPr>
          <w:t>102/2024</w:t>
        </w:r>
      </w:hyperlink>
      <w:r>
        <w:t xml:space="preserve">, VP I; </w:t>
      </w:r>
      <w:hyperlink w:anchor="SENTENCIA_2024_103" w:history="1">
        <w:r w:rsidRPr="007D5795">
          <w:rPr>
            <w:rStyle w:val="TextoNormalCaracter"/>
          </w:rPr>
          <w:t>103/2024</w:t>
        </w:r>
      </w:hyperlink>
      <w:r>
        <w:t>, VP I.</w:t>
      </w:r>
    </w:p>
    <w:p w14:paraId="6934AC4D" w14:textId="31C4E7BD" w:rsidR="007D5795" w:rsidRDefault="007D5795" w:rsidP="007D5795">
      <w:pPr>
        <w:pStyle w:val="SangriaFrancesaArticulo"/>
      </w:pPr>
      <w:r w:rsidRPr="007D5795">
        <w:rPr>
          <w:rStyle w:val="TextoNormalNegritaCaracter"/>
        </w:rPr>
        <w:t>Artículo 148.1.3.</w:t>
      </w:r>
      <w:r w:rsidRPr="007D5795">
        <w:rPr>
          <w:rStyle w:val="TextoNormalCaracter"/>
        </w:rPr>
        <w:t>-</w:t>
      </w:r>
      <w:r>
        <w:t xml:space="preserve"> Sentencia </w:t>
      </w:r>
      <w:hyperlink w:anchor="SENTENCIA_2024_120" w:history="1">
        <w:r w:rsidRPr="007D5795">
          <w:rPr>
            <w:rStyle w:val="TextoNormalCaracter"/>
          </w:rPr>
          <w:t>120/2024</w:t>
        </w:r>
      </w:hyperlink>
      <w:r>
        <w:t>, f. 8, VP IV.</w:t>
      </w:r>
    </w:p>
    <w:p w14:paraId="055ACA3B" w14:textId="39A258FC" w:rsidR="007D5795" w:rsidRDefault="007D5795" w:rsidP="007D5795">
      <w:pPr>
        <w:pStyle w:val="SangriaFrancesaArticulo"/>
      </w:pPr>
      <w:r w:rsidRPr="007D5795">
        <w:rPr>
          <w:rStyle w:val="TextoNormalNegritaCaracter"/>
        </w:rPr>
        <w:t>Artículo 148.1.9.</w:t>
      </w:r>
      <w:r w:rsidRPr="007D5795">
        <w:rPr>
          <w:rStyle w:val="TextoNormalCaracter"/>
        </w:rPr>
        <w:t>-</w:t>
      </w:r>
      <w:r>
        <w:t xml:space="preserve"> Sentencia </w:t>
      </w:r>
      <w:hyperlink w:anchor="SENTENCIA_2024_142" w:history="1">
        <w:r w:rsidRPr="007D5795">
          <w:rPr>
            <w:rStyle w:val="TextoNormalCaracter"/>
          </w:rPr>
          <w:t>142/2024</w:t>
        </w:r>
      </w:hyperlink>
      <w:r>
        <w:t>, f. 4.</w:t>
      </w:r>
    </w:p>
    <w:p w14:paraId="7BD64C48" w14:textId="18FEA0B8" w:rsidR="007D5795" w:rsidRDefault="007D5795" w:rsidP="007D5795">
      <w:pPr>
        <w:pStyle w:val="SangriaFrancesaArticulo"/>
      </w:pPr>
      <w:r w:rsidRPr="007D5795">
        <w:rPr>
          <w:rStyle w:val="TextoNormalNegritaCaracter"/>
        </w:rPr>
        <w:t>Artículo 148.1.20.</w:t>
      </w:r>
      <w:r w:rsidRPr="007D5795">
        <w:rPr>
          <w:rStyle w:val="TextoNormalCaracter"/>
        </w:rPr>
        <w:t>-</w:t>
      </w:r>
      <w:r>
        <w:t xml:space="preserve"> Auto </w:t>
      </w:r>
      <w:hyperlink w:anchor="AUTO_2024_127" w:history="1">
        <w:r w:rsidRPr="007D5795">
          <w:rPr>
            <w:rStyle w:val="TextoNormalCaracter"/>
          </w:rPr>
          <w:t>127/2024</w:t>
        </w:r>
      </w:hyperlink>
      <w:r>
        <w:t>, f. 3.</w:t>
      </w:r>
    </w:p>
    <w:p w14:paraId="2D9B8627" w14:textId="74407409" w:rsidR="007D5795" w:rsidRDefault="007D5795" w:rsidP="007D5795">
      <w:pPr>
        <w:pStyle w:val="SangriaFrancesaArticulo"/>
      </w:pPr>
      <w:r w:rsidRPr="007D5795">
        <w:rPr>
          <w:rStyle w:val="TextoNormalNegritaCaracter"/>
        </w:rPr>
        <w:t>Artículo 149.1.</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7CAF9DAF" w14:textId="7FD4D08D" w:rsidR="007D5795" w:rsidRDefault="007D5795" w:rsidP="007D5795">
      <w:pPr>
        <w:pStyle w:val="SangriaFrancesaArticulo"/>
      </w:pPr>
      <w:r w:rsidRPr="007D5795">
        <w:rPr>
          <w:rStyle w:val="TextoNormalNegritaCaracter"/>
        </w:rPr>
        <w:t>Artículo 149.1.1.</w:t>
      </w:r>
      <w:r w:rsidRPr="007D5795">
        <w:rPr>
          <w:rStyle w:val="TextoNormalCaracter"/>
        </w:rPr>
        <w:t>-</w:t>
      </w:r>
      <w:r>
        <w:t xml:space="preserve"> Sentencias </w:t>
      </w:r>
      <w:hyperlink w:anchor="SENTENCIA_2024_120" w:history="1">
        <w:r w:rsidRPr="007D5795">
          <w:rPr>
            <w:rStyle w:val="TextoNormalCaracter"/>
          </w:rPr>
          <w:t>120/2024</w:t>
        </w:r>
      </w:hyperlink>
      <w:r>
        <w:t xml:space="preserve">, ff. 1 a 4, 8, VP II, VP III, VP IV; </w:t>
      </w:r>
      <w:hyperlink w:anchor="SENTENCIA_2024_130" w:history="1">
        <w:r w:rsidRPr="007D5795">
          <w:rPr>
            <w:rStyle w:val="TextoNormalCaracter"/>
          </w:rPr>
          <w:t>130/2024</w:t>
        </w:r>
      </w:hyperlink>
      <w:r>
        <w:t xml:space="preserve">, f. 1; </w:t>
      </w:r>
      <w:hyperlink w:anchor="SENTENCIA_2024_136" w:history="1">
        <w:r w:rsidRPr="007D5795">
          <w:rPr>
            <w:rStyle w:val="TextoNormalCaracter"/>
          </w:rPr>
          <w:t>136/2024</w:t>
        </w:r>
      </w:hyperlink>
      <w:r>
        <w:t xml:space="preserve">, ff. 1, 3, 5, 6; </w:t>
      </w:r>
      <w:hyperlink w:anchor="SENTENCIA_2024_141" w:history="1">
        <w:r w:rsidRPr="007D5795">
          <w:rPr>
            <w:rStyle w:val="TextoNormalCaracter"/>
          </w:rPr>
          <w:t>141/2024</w:t>
        </w:r>
      </w:hyperlink>
      <w:r>
        <w:t xml:space="preserve">, ff. 1, 2, 4, 5; </w:t>
      </w:r>
      <w:hyperlink w:anchor="SENTENCIA_2024_152" w:history="1">
        <w:r w:rsidRPr="007D5795">
          <w:rPr>
            <w:rStyle w:val="TextoNormalCaracter"/>
          </w:rPr>
          <w:t>152/2024</w:t>
        </w:r>
      </w:hyperlink>
      <w:r>
        <w:t>, f. 4.</w:t>
      </w:r>
    </w:p>
    <w:p w14:paraId="1B7BD9E7" w14:textId="670455C6" w:rsidR="007D5795" w:rsidRDefault="007D5795" w:rsidP="007D5795">
      <w:pPr>
        <w:pStyle w:val="SangriaIzquierdaArticulo"/>
      </w:pPr>
      <w:r>
        <w:t xml:space="preserve">Auto </w:t>
      </w:r>
      <w:hyperlink w:anchor="AUTO_2024_126" w:history="1">
        <w:r w:rsidRPr="007D5795">
          <w:rPr>
            <w:rStyle w:val="TextoNormalCaracter"/>
          </w:rPr>
          <w:t>126/2024</w:t>
        </w:r>
      </w:hyperlink>
      <w:r>
        <w:t>, f. 5.</w:t>
      </w:r>
    </w:p>
    <w:p w14:paraId="0DB45C9B" w14:textId="2E382007" w:rsidR="007D5795" w:rsidRDefault="007D5795" w:rsidP="007D5795">
      <w:pPr>
        <w:pStyle w:val="SangriaFrancesaArticulo"/>
      </w:pPr>
      <w:r w:rsidRPr="007D5795">
        <w:rPr>
          <w:rStyle w:val="TextoNormalNegritaCaracter"/>
        </w:rPr>
        <w:t>Artículo 149.1.6.</w:t>
      </w:r>
      <w:r w:rsidRPr="007D5795">
        <w:rPr>
          <w:rStyle w:val="TextoNormalCaracter"/>
        </w:rPr>
        <w:t>-</w:t>
      </w:r>
      <w:r>
        <w:t xml:space="preserve"> Sentencias </w:t>
      </w:r>
      <w:hyperlink w:anchor="SENTENCIA_2024_120" w:history="1">
        <w:r w:rsidRPr="007D5795">
          <w:rPr>
            <w:rStyle w:val="TextoNormalCaracter"/>
          </w:rPr>
          <w:t>120/2024</w:t>
        </w:r>
      </w:hyperlink>
      <w:r>
        <w:t xml:space="preserve">, ff. 2, 5, 6, VP III, VP IV; </w:t>
      </w:r>
      <w:hyperlink w:anchor="SENTENCIA_2024_121" w:history="1">
        <w:r w:rsidRPr="007D5795">
          <w:rPr>
            <w:rStyle w:val="TextoNormalCaracter"/>
          </w:rPr>
          <w:t>121/2024</w:t>
        </w:r>
      </w:hyperlink>
      <w:r>
        <w:t xml:space="preserve">, f. 2, VP I, VP II; </w:t>
      </w:r>
      <w:hyperlink w:anchor="SENTENCIA_2024_130" w:history="1">
        <w:r w:rsidRPr="007D5795">
          <w:rPr>
            <w:rStyle w:val="TextoNormalCaracter"/>
          </w:rPr>
          <w:t>130/2024</w:t>
        </w:r>
      </w:hyperlink>
      <w:r>
        <w:t>, ff. 1, 2.</w:t>
      </w:r>
    </w:p>
    <w:p w14:paraId="7148C2F5" w14:textId="043F3108" w:rsidR="007D5795" w:rsidRDefault="007D5795" w:rsidP="007D5795">
      <w:pPr>
        <w:pStyle w:val="SangriaIzquierdaArticulo"/>
      </w:pPr>
      <w:r>
        <w:t xml:space="preserve">Auto </w:t>
      </w:r>
      <w:hyperlink w:anchor="AUTO_2024_127" w:history="1">
        <w:r w:rsidRPr="007D5795">
          <w:rPr>
            <w:rStyle w:val="TextoNormalCaracter"/>
          </w:rPr>
          <w:t>127/2024</w:t>
        </w:r>
      </w:hyperlink>
      <w:r>
        <w:t>, f. 1.</w:t>
      </w:r>
    </w:p>
    <w:p w14:paraId="5C55BF80" w14:textId="100CE070" w:rsidR="007D5795" w:rsidRDefault="007D5795" w:rsidP="007D5795">
      <w:pPr>
        <w:pStyle w:val="SangriaFrancesaArticulo"/>
      </w:pPr>
      <w:r w:rsidRPr="007D5795">
        <w:rPr>
          <w:rStyle w:val="TextoNormalNegritaCaracter"/>
        </w:rPr>
        <w:t>Artículo 149.1.8.</w:t>
      </w:r>
      <w:r w:rsidRPr="007D5795">
        <w:rPr>
          <w:rStyle w:val="TextoNormalCaracter"/>
        </w:rPr>
        <w:t>-</w:t>
      </w:r>
      <w:r>
        <w:t xml:space="preserve"> Sentencias </w:t>
      </w:r>
      <w:hyperlink w:anchor="SENTENCIA_2024_120" w:history="1">
        <w:r w:rsidRPr="007D5795">
          <w:rPr>
            <w:rStyle w:val="TextoNormalCaracter"/>
          </w:rPr>
          <w:t>120/2024</w:t>
        </w:r>
      </w:hyperlink>
      <w:r>
        <w:t xml:space="preserve">, ff. 2, 4 a 6, VP III, VP IV; </w:t>
      </w:r>
      <w:hyperlink w:anchor="SENTENCIA_2024_130" w:history="1">
        <w:r w:rsidRPr="007D5795">
          <w:rPr>
            <w:rStyle w:val="TextoNormalCaracter"/>
          </w:rPr>
          <w:t>130/2024</w:t>
        </w:r>
      </w:hyperlink>
      <w:r>
        <w:t>, f. 1.</w:t>
      </w:r>
    </w:p>
    <w:p w14:paraId="4871E49B" w14:textId="4FF7B563" w:rsidR="007D5795" w:rsidRDefault="007D5795" w:rsidP="007D5795">
      <w:pPr>
        <w:pStyle w:val="SangriaFrancesaArticulo"/>
      </w:pPr>
      <w:r w:rsidRPr="007D5795">
        <w:rPr>
          <w:rStyle w:val="TextoNormalNegritaCaracter"/>
        </w:rPr>
        <w:t>Artículo 149.1.13.</w:t>
      </w:r>
      <w:r w:rsidRPr="007D5795">
        <w:rPr>
          <w:rStyle w:val="TextoNormalCaracter"/>
        </w:rPr>
        <w:t>-</w:t>
      </w:r>
      <w:r>
        <w:t xml:space="preserve"> Sentencias </w:t>
      </w:r>
      <w:hyperlink w:anchor="SENTENCIA_2024_112" w:history="1">
        <w:r w:rsidRPr="007D5795">
          <w:rPr>
            <w:rStyle w:val="TextoNormalCaracter"/>
          </w:rPr>
          <w:t>112/2024</w:t>
        </w:r>
      </w:hyperlink>
      <w:r>
        <w:t xml:space="preserve">, f. 2; </w:t>
      </w:r>
      <w:hyperlink w:anchor="SENTENCIA_2024_113" w:history="1">
        <w:r w:rsidRPr="007D5795">
          <w:rPr>
            <w:rStyle w:val="TextoNormalCaracter"/>
          </w:rPr>
          <w:t>113/2024</w:t>
        </w:r>
      </w:hyperlink>
      <w:r>
        <w:t xml:space="preserve">, f. 1; </w:t>
      </w:r>
      <w:hyperlink w:anchor="SENTENCIA_2024_120" w:history="1">
        <w:r w:rsidRPr="007D5795">
          <w:rPr>
            <w:rStyle w:val="TextoNormalCaracter"/>
          </w:rPr>
          <w:t>120/2024</w:t>
        </w:r>
      </w:hyperlink>
      <w:r>
        <w:t>, VP III.</w:t>
      </w:r>
    </w:p>
    <w:p w14:paraId="70B2FC44" w14:textId="6686E5BB" w:rsidR="007D5795" w:rsidRDefault="007D5795" w:rsidP="007D5795">
      <w:pPr>
        <w:pStyle w:val="SangriaIzquierdaArticulo"/>
      </w:pPr>
      <w:r>
        <w:t xml:space="preserve">Auto </w:t>
      </w:r>
      <w:hyperlink w:anchor="AUTO_2024_66" w:history="1">
        <w:r w:rsidRPr="007D5795">
          <w:rPr>
            <w:rStyle w:val="TextoNormalCaracter"/>
          </w:rPr>
          <w:t>66/2024</w:t>
        </w:r>
      </w:hyperlink>
      <w:r>
        <w:t>, f. 1.</w:t>
      </w:r>
    </w:p>
    <w:p w14:paraId="6B927373" w14:textId="4B7AA16D" w:rsidR="007D5795" w:rsidRDefault="007D5795" w:rsidP="007D5795">
      <w:pPr>
        <w:pStyle w:val="SangriaFrancesaArticulo"/>
      </w:pPr>
      <w:r w:rsidRPr="007D5795">
        <w:rPr>
          <w:rStyle w:val="TextoNormalNegritaCaracter"/>
        </w:rPr>
        <w:t>Artículo 149.1.14.</w:t>
      </w:r>
      <w:r w:rsidRPr="007D5795">
        <w:rPr>
          <w:rStyle w:val="TextoNormalCaracter"/>
        </w:rPr>
        <w:t>-</w:t>
      </w:r>
      <w:r>
        <w:t xml:space="preserve"> Sentencia </w:t>
      </w:r>
      <w:hyperlink w:anchor="SENTENCIA_2024_120" w:history="1">
        <w:r w:rsidRPr="007D5795">
          <w:rPr>
            <w:rStyle w:val="TextoNormalCaracter"/>
          </w:rPr>
          <w:t>120/2024</w:t>
        </w:r>
      </w:hyperlink>
      <w:r>
        <w:t>, f. 2, VP III.</w:t>
      </w:r>
    </w:p>
    <w:p w14:paraId="17CC00BD" w14:textId="6C80D959" w:rsidR="007D5795" w:rsidRDefault="007D5795" w:rsidP="007D5795">
      <w:pPr>
        <w:pStyle w:val="SangriaFrancesaArticulo"/>
      </w:pPr>
      <w:r w:rsidRPr="007D5795">
        <w:rPr>
          <w:rStyle w:val="TextoNormalNegritaCaracter"/>
        </w:rPr>
        <w:t>Artículo 149.1.16.</w:t>
      </w:r>
      <w:r w:rsidRPr="007D5795">
        <w:rPr>
          <w:rStyle w:val="TextoNormalCaracter"/>
        </w:rPr>
        <w:t>-</w:t>
      </w:r>
      <w:r>
        <w:t xml:space="preserve"> Sentencias </w:t>
      </w:r>
      <w:hyperlink w:anchor="SENTENCIA_2024_121" w:history="1">
        <w:r w:rsidRPr="007D5795">
          <w:rPr>
            <w:rStyle w:val="TextoNormalCaracter"/>
          </w:rPr>
          <w:t>121/2024</w:t>
        </w:r>
      </w:hyperlink>
      <w:r>
        <w:t xml:space="preserve">, f. 1; </w:t>
      </w:r>
      <w:hyperlink w:anchor="SENTENCIA_2024_136" w:history="1">
        <w:r w:rsidRPr="007D5795">
          <w:rPr>
            <w:rStyle w:val="TextoNormalCaracter"/>
          </w:rPr>
          <w:t>136/2024</w:t>
        </w:r>
      </w:hyperlink>
      <w:r>
        <w:t xml:space="preserve">, ff. 1, 3, 5, 6; </w:t>
      </w:r>
      <w:hyperlink w:anchor="SENTENCIA_2024_141" w:history="1">
        <w:r w:rsidRPr="007D5795">
          <w:rPr>
            <w:rStyle w:val="TextoNormalCaracter"/>
          </w:rPr>
          <w:t>141/2024</w:t>
        </w:r>
      </w:hyperlink>
      <w:r>
        <w:t>, ff. 1, 2, 4, 5.</w:t>
      </w:r>
    </w:p>
    <w:p w14:paraId="430A61D2" w14:textId="4E914E27" w:rsidR="007D5795" w:rsidRDefault="007D5795" w:rsidP="007D5795">
      <w:pPr>
        <w:pStyle w:val="SangriaFrancesaArticulo"/>
      </w:pPr>
      <w:r w:rsidRPr="007D5795">
        <w:rPr>
          <w:rStyle w:val="TextoNormalNegritaCaracter"/>
        </w:rPr>
        <w:t>Artículo 149.1.18.</w:t>
      </w:r>
      <w:r w:rsidRPr="007D5795">
        <w:rPr>
          <w:rStyle w:val="TextoNormalCaracter"/>
        </w:rPr>
        <w:t>-</w:t>
      </w:r>
      <w:r>
        <w:t xml:space="preserve"> Sentencias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xml:space="preserve">, VP I, VP III; </w:t>
      </w:r>
      <w:hyperlink w:anchor="SENTENCIA_2024_102" w:history="1">
        <w:r w:rsidRPr="007D5795">
          <w:rPr>
            <w:rStyle w:val="TextoNormalCaracter"/>
          </w:rPr>
          <w:t>102/2024</w:t>
        </w:r>
      </w:hyperlink>
      <w:r>
        <w:t xml:space="preserve">, VP I; </w:t>
      </w:r>
      <w:hyperlink w:anchor="SENTENCIA_2024_103" w:history="1">
        <w:r w:rsidRPr="007D5795">
          <w:rPr>
            <w:rStyle w:val="TextoNormalCaracter"/>
          </w:rPr>
          <w:t>103/2024</w:t>
        </w:r>
      </w:hyperlink>
      <w:r>
        <w:t xml:space="preserve">, VP I; </w:t>
      </w:r>
      <w:hyperlink w:anchor="SENTENCIA_2024_111" w:history="1">
        <w:r w:rsidRPr="007D5795">
          <w:rPr>
            <w:rStyle w:val="TextoNormalCaracter"/>
          </w:rPr>
          <w:t>111/2024</w:t>
        </w:r>
      </w:hyperlink>
      <w:r>
        <w:t xml:space="preserve">, ff. 1, 3; </w:t>
      </w:r>
      <w:hyperlink w:anchor="SENTENCIA_2024_121" w:history="1">
        <w:r w:rsidRPr="007D5795">
          <w:rPr>
            <w:rStyle w:val="TextoNormalCaracter"/>
          </w:rPr>
          <w:t>121/2024</w:t>
        </w:r>
      </w:hyperlink>
      <w:r>
        <w:t>, f. 1.</w:t>
      </w:r>
    </w:p>
    <w:p w14:paraId="79305192" w14:textId="7CF7C4E9" w:rsidR="007D5795" w:rsidRDefault="007D5795" w:rsidP="007D5795">
      <w:pPr>
        <w:pStyle w:val="SangriaIzquierdaArticulo"/>
      </w:pPr>
      <w:r>
        <w:t xml:space="preserve">Auto </w:t>
      </w:r>
      <w:hyperlink w:anchor="AUTO_2024_127" w:history="1">
        <w:r w:rsidRPr="007D5795">
          <w:rPr>
            <w:rStyle w:val="TextoNormalCaracter"/>
          </w:rPr>
          <w:t>127/2024</w:t>
        </w:r>
      </w:hyperlink>
      <w:r>
        <w:t>, f. 1.</w:t>
      </w:r>
    </w:p>
    <w:p w14:paraId="625F5B28" w14:textId="1FAAB7A7" w:rsidR="007D5795" w:rsidRDefault="007D5795" w:rsidP="007D5795">
      <w:pPr>
        <w:pStyle w:val="SangriaFrancesaArticulo"/>
      </w:pPr>
      <w:r w:rsidRPr="007D5795">
        <w:rPr>
          <w:rStyle w:val="TextoNormalNegritaCaracter"/>
        </w:rPr>
        <w:t>Artículo 149.1.21.</w:t>
      </w:r>
      <w:r w:rsidRPr="007D5795">
        <w:rPr>
          <w:rStyle w:val="TextoNormalCaracter"/>
        </w:rPr>
        <w:t>-</w:t>
      </w:r>
      <w:r>
        <w:t xml:space="preserve"> Sentencia </w:t>
      </w:r>
      <w:hyperlink w:anchor="SENTENCIA_2024_111" w:history="1">
        <w:r w:rsidRPr="007D5795">
          <w:rPr>
            <w:rStyle w:val="TextoNormalCaracter"/>
          </w:rPr>
          <w:t>111/2024</w:t>
        </w:r>
      </w:hyperlink>
      <w:r>
        <w:t>, ff. 1, 3, 6.</w:t>
      </w:r>
    </w:p>
    <w:p w14:paraId="1696E7B0" w14:textId="431DEECC" w:rsidR="007D5795" w:rsidRDefault="007D5795" w:rsidP="007D5795">
      <w:pPr>
        <w:pStyle w:val="SangriaFrancesaArticulo"/>
      </w:pPr>
      <w:r w:rsidRPr="007D5795">
        <w:rPr>
          <w:rStyle w:val="TextoNormalNegritaCaracter"/>
        </w:rPr>
        <w:t>Artículo 149.1.23.</w:t>
      </w:r>
      <w:r w:rsidRPr="007D5795">
        <w:rPr>
          <w:rStyle w:val="TextoNormalCaracter"/>
        </w:rPr>
        <w:t>-</w:t>
      </w:r>
      <w:r>
        <w:t xml:space="preserve"> Sentencias </w:t>
      </w:r>
      <w:hyperlink w:anchor="SENTENCIA_2024_120" w:history="1">
        <w:r w:rsidRPr="007D5795">
          <w:rPr>
            <w:rStyle w:val="TextoNormalCaracter"/>
          </w:rPr>
          <w:t>120/2024</w:t>
        </w:r>
      </w:hyperlink>
      <w:r>
        <w:t xml:space="preserve">, VP III; </w:t>
      </w:r>
      <w:hyperlink w:anchor="SENTENCIA_2024_142" w:history="1">
        <w:r w:rsidRPr="007D5795">
          <w:rPr>
            <w:rStyle w:val="TextoNormalCaracter"/>
          </w:rPr>
          <w:t>142/2024</w:t>
        </w:r>
      </w:hyperlink>
      <w:r>
        <w:t>, f. 4, VP.</w:t>
      </w:r>
    </w:p>
    <w:p w14:paraId="05C809C6" w14:textId="642E9DB5" w:rsidR="007D5795" w:rsidRDefault="007D5795" w:rsidP="007D5795">
      <w:pPr>
        <w:pStyle w:val="SangriaFrancesaArticulo"/>
      </w:pPr>
      <w:r w:rsidRPr="007D5795">
        <w:rPr>
          <w:rStyle w:val="TextoNormalNegritaCaracter"/>
        </w:rPr>
        <w:t>Artículo 149.1.25.</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472CC269" w14:textId="55407DD3" w:rsidR="007D5795" w:rsidRDefault="007D5795" w:rsidP="007D5795">
      <w:pPr>
        <w:pStyle w:val="SangriaIzquierdaArticulo"/>
      </w:pPr>
      <w:r>
        <w:t xml:space="preserve">Auto </w:t>
      </w:r>
      <w:hyperlink w:anchor="AUTO_2024_66" w:history="1">
        <w:r w:rsidRPr="007D5795">
          <w:rPr>
            <w:rStyle w:val="TextoNormalCaracter"/>
          </w:rPr>
          <w:t>66/2024</w:t>
        </w:r>
      </w:hyperlink>
      <w:r>
        <w:t>, f. 1.</w:t>
      </w:r>
    </w:p>
    <w:p w14:paraId="5684A8E7" w14:textId="2772C29D" w:rsidR="007D5795" w:rsidRDefault="007D5795" w:rsidP="007D5795">
      <w:pPr>
        <w:pStyle w:val="SangriaFrancesaArticulo"/>
      </w:pPr>
      <w:r w:rsidRPr="007D5795">
        <w:rPr>
          <w:rStyle w:val="TextoNormalNegritaCaracter"/>
        </w:rPr>
        <w:t>Artículo 149.3.</w:t>
      </w:r>
      <w:r w:rsidRPr="007D5795">
        <w:rPr>
          <w:rStyle w:val="TextoNormalCaracter"/>
        </w:rPr>
        <w:t>-</w:t>
      </w:r>
      <w:r>
        <w:t xml:space="preserve"> Sentencias </w:t>
      </w:r>
      <w:hyperlink w:anchor="SENTENCIA_2024_120" w:history="1">
        <w:r w:rsidRPr="007D5795">
          <w:rPr>
            <w:rStyle w:val="TextoNormalCaracter"/>
          </w:rPr>
          <w:t>120/2024</w:t>
        </w:r>
      </w:hyperlink>
      <w:r>
        <w:t xml:space="preserve">, VP IV; </w:t>
      </w:r>
      <w:hyperlink w:anchor="SENTENCIA_2024_136" w:history="1">
        <w:r w:rsidRPr="007D5795">
          <w:rPr>
            <w:rStyle w:val="TextoNormalCaracter"/>
          </w:rPr>
          <w:t>136/2024</w:t>
        </w:r>
      </w:hyperlink>
      <w:r>
        <w:t>, f. 5.</w:t>
      </w:r>
    </w:p>
    <w:p w14:paraId="44FF423C" w14:textId="43058E49" w:rsidR="007D5795" w:rsidRDefault="007D5795" w:rsidP="007D5795">
      <w:pPr>
        <w:pStyle w:val="SangriaIzquierdaArticulo"/>
      </w:pPr>
      <w:r>
        <w:t xml:space="preserve">Auto </w:t>
      </w:r>
      <w:hyperlink w:anchor="AUTO_2024_81" w:history="1">
        <w:r w:rsidRPr="007D5795">
          <w:rPr>
            <w:rStyle w:val="TextoNormalCaracter"/>
          </w:rPr>
          <w:t>81/2024</w:t>
        </w:r>
      </w:hyperlink>
      <w:r>
        <w:t>, f. 2.</w:t>
      </w:r>
    </w:p>
    <w:p w14:paraId="5504DE9D" w14:textId="4E3E56F8" w:rsidR="007D5795" w:rsidRDefault="007D5795" w:rsidP="007D5795">
      <w:pPr>
        <w:pStyle w:val="SangriaFrancesaArticulo"/>
      </w:pPr>
      <w:r w:rsidRPr="007D5795">
        <w:rPr>
          <w:rStyle w:val="TextoNormalNegritaCaracter"/>
        </w:rPr>
        <w:t>Artículo 155.</w:t>
      </w:r>
      <w:r w:rsidRPr="007D5795">
        <w:rPr>
          <w:rStyle w:val="TextoNormalCaracter"/>
        </w:rPr>
        <w:t>-</w:t>
      </w:r>
      <w:r>
        <w:t xml:space="preserve"> Auto </w:t>
      </w:r>
      <w:hyperlink w:anchor="AUTO_2024_105" w:history="1">
        <w:r w:rsidRPr="007D5795">
          <w:rPr>
            <w:rStyle w:val="TextoNormalCaracter"/>
          </w:rPr>
          <w:t>105/2024</w:t>
        </w:r>
      </w:hyperlink>
      <w:r>
        <w:t>, f. 3.</w:t>
      </w:r>
    </w:p>
    <w:p w14:paraId="52070088" w14:textId="1BF01403" w:rsidR="007D5795" w:rsidRDefault="007D5795" w:rsidP="007D5795">
      <w:pPr>
        <w:pStyle w:val="SangriaFrancesaArticulo"/>
      </w:pPr>
      <w:r w:rsidRPr="007D5795">
        <w:rPr>
          <w:rStyle w:val="TextoNormalNegritaCaracter"/>
        </w:rPr>
        <w:t>Artículo 159.</w:t>
      </w:r>
      <w:r w:rsidRPr="007D5795">
        <w:rPr>
          <w:rStyle w:val="TextoNormalCaracter"/>
        </w:rPr>
        <w:t>-</w:t>
      </w:r>
      <w:r>
        <w:t xml:space="preserve"> Sentencias </w:t>
      </w:r>
      <w:hyperlink w:anchor="SENTENCIA_2024_139" w:history="1">
        <w:r w:rsidRPr="007D5795">
          <w:rPr>
            <w:rStyle w:val="TextoNormalCaracter"/>
          </w:rPr>
          <w:t>139/2024</w:t>
        </w:r>
      </w:hyperlink>
      <w:r>
        <w:t xml:space="preserve">, ff. 3, 5, VP I; </w:t>
      </w:r>
      <w:hyperlink w:anchor="SENTENCIA_2024_153" w:history="1">
        <w:r w:rsidRPr="007D5795">
          <w:rPr>
            <w:rStyle w:val="TextoNormalCaracter"/>
          </w:rPr>
          <w:t>153/2024</w:t>
        </w:r>
      </w:hyperlink>
      <w:r>
        <w:t>, VP.</w:t>
      </w:r>
    </w:p>
    <w:p w14:paraId="4647B276" w14:textId="2A189B8E" w:rsidR="007D5795" w:rsidRDefault="007D5795" w:rsidP="007D5795">
      <w:pPr>
        <w:pStyle w:val="SangriaFrancesaArticulo"/>
      </w:pPr>
      <w:r w:rsidRPr="007D5795">
        <w:rPr>
          <w:rStyle w:val="TextoNormalNegritaCaracter"/>
        </w:rPr>
        <w:t>Artículo 159.1.</w:t>
      </w:r>
      <w:r w:rsidRPr="007D5795">
        <w:rPr>
          <w:rStyle w:val="TextoNormalCaracter"/>
        </w:rPr>
        <w:t>-</w:t>
      </w:r>
      <w:r>
        <w:t xml:space="preserve"> Sentencia </w:t>
      </w:r>
      <w:hyperlink w:anchor="SENTENCIA_2024_139" w:history="1">
        <w:r w:rsidRPr="007D5795">
          <w:rPr>
            <w:rStyle w:val="TextoNormalCaracter"/>
          </w:rPr>
          <w:t>139/2024</w:t>
        </w:r>
      </w:hyperlink>
      <w:r>
        <w:t>, ff. 1, 5, VP I, VP II.</w:t>
      </w:r>
    </w:p>
    <w:p w14:paraId="001FA85F" w14:textId="0ECAF72C" w:rsidR="007D5795" w:rsidRDefault="007D5795" w:rsidP="007D5795">
      <w:pPr>
        <w:pStyle w:val="SangriaFrancesaArticulo"/>
      </w:pPr>
      <w:r w:rsidRPr="007D5795">
        <w:rPr>
          <w:rStyle w:val="TextoNormalNegritaCaracter"/>
        </w:rPr>
        <w:t>Artículo 161.1.</w:t>
      </w:r>
      <w:r w:rsidRPr="007D5795">
        <w:rPr>
          <w:rStyle w:val="TextoNormalCaracter"/>
        </w:rPr>
        <w:t>-</w:t>
      </w:r>
      <w:r>
        <w:t xml:space="preserve"> Sentencias </w:t>
      </w:r>
      <w:hyperlink w:anchor="SENTENCIA_2024_96" w:history="1">
        <w:r w:rsidRPr="007D5795">
          <w:rPr>
            <w:rStyle w:val="TextoNormalCaracter"/>
          </w:rPr>
          <w:t>96/2024</w:t>
        </w:r>
      </w:hyperlink>
      <w:r>
        <w:t xml:space="preserve">, f. 5; </w:t>
      </w:r>
      <w:hyperlink w:anchor="SENTENCIA_2024_97" w:history="1">
        <w:r w:rsidRPr="007D5795">
          <w:rPr>
            <w:rStyle w:val="TextoNormalCaracter"/>
          </w:rPr>
          <w:t>97/2024</w:t>
        </w:r>
      </w:hyperlink>
      <w:r>
        <w:t xml:space="preserve">, f. 4; </w:t>
      </w:r>
      <w:hyperlink w:anchor="SENTENCIA_2024_99" w:history="1">
        <w:r w:rsidRPr="007D5795">
          <w:rPr>
            <w:rStyle w:val="TextoNormalCaracter"/>
          </w:rPr>
          <w:t>99/2024</w:t>
        </w:r>
      </w:hyperlink>
      <w:r>
        <w:t xml:space="preserve">, f. 3; </w:t>
      </w:r>
      <w:hyperlink w:anchor="SENTENCIA_2024_100" w:history="1">
        <w:r w:rsidRPr="007D5795">
          <w:rPr>
            <w:rStyle w:val="TextoNormalCaracter"/>
          </w:rPr>
          <w:t>100/2024</w:t>
        </w:r>
      </w:hyperlink>
      <w:r>
        <w:t xml:space="preserve">, f. 4; </w:t>
      </w:r>
      <w:hyperlink w:anchor="SENTENCIA_2024_102" w:history="1">
        <w:r w:rsidRPr="007D5795">
          <w:rPr>
            <w:rStyle w:val="TextoNormalCaracter"/>
          </w:rPr>
          <w:t>102/2024</w:t>
        </w:r>
      </w:hyperlink>
      <w:r>
        <w:t xml:space="preserve">, f. 4; </w:t>
      </w:r>
      <w:hyperlink w:anchor="SENTENCIA_2024_103" w:history="1">
        <w:r w:rsidRPr="007D5795">
          <w:rPr>
            <w:rStyle w:val="TextoNormalCaracter"/>
          </w:rPr>
          <w:t>103/2024</w:t>
        </w:r>
      </w:hyperlink>
      <w:r>
        <w:t>, f. 4.</w:t>
      </w:r>
    </w:p>
    <w:p w14:paraId="04769F60" w14:textId="5A3690EC" w:rsidR="007D5795" w:rsidRDefault="007D5795" w:rsidP="007D5795">
      <w:pPr>
        <w:pStyle w:val="SangriaFrancesaArticulo"/>
      </w:pPr>
      <w:r w:rsidRPr="007D5795">
        <w:rPr>
          <w:rStyle w:val="TextoNormalNegritaCaracter"/>
        </w:rPr>
        <w:t>Artículo 161.1 a).</w:t>
      </w:r>
      <w:r w:rsidRPr="007D5795">
        <w:rPr>
          <w:rStyle w:val="TextoNormalCaracter"/>
        </w:rPr>
        <w:t>-</w:t>
      </w:r>
      <w:r>
        <w:t xml:space="preserve"> Sentencia </w:t>
      </w:r>
      <w:hyperlink w:anchor="SENTENCIA_2024_120" w:history="1">
        <w:r w:rsidRPr="007D5795">
          <w:rPr>
            <w:rStyle w:val="TextoNormalCaracter"/>
          </w:rPr>
          <w:t>120/2024</w:t>
        </w:r>
      </w:hyperlink>
      <w:r>
        <w:t>, f. 9.</w:t>
      </w:r>
    </w:p>
    <w:p w14:paraId="287935C0" w14:textId="4CAE80E0" w:rsidR="007D5795" w:rsidRDefault="007D5795" w:rsidP="007D5795">
      <w:pPr>
        <w:pStyle w:val="SangriaFrancesaArticulo"/>
      </w:pPr>
      <w:r w:rsidRPr="007D5795">
        <w:rPr>
          <w:rStyle w:val="TextoNormalNegritaCaracter"/>
        </w:rPr>
        <w:t>Artículo 161.2.</w:t>
      </w:r>
      <w:r w:rsidRPr="007D5795">
        <w:rPr>
          <w:rStyle w:val="TextoNormalCaracter"/>
        </w:rPr>
        <w:t>-</w:t>
      </w:r>
      <w:r>
        <w:t xml:space="preserve"> Sentencia </w:t>
      </w:r>
      <w:hyperlink w:anchor="SENTENCIA_2024_143" w:history="1">
        <w:r w:rsidRPr="007D5795">
          <w:rPr>
            <w:rStyle w:val="TextoNormalCaracter"/>
          </w:rPr>
          <w:t>143/2024</w:t>
        </w:r>
      </w:hyperlink>
      <w:r>
        <w:t>, ff. 1, 2.</w:t>
      </w:r>
    </w:p>
    <w:p w14:paraId="681053C8" w14:textId="32BE5408" w:rsidR="007D5795" w:rsidRDefault="007D5795" w:rsidP="007D5795">
      <w:pPr>
        <w:pStyle w:val="SangriaIzquierdaArticulo"/>
      </w:pPr>
      <w:r>
        <w:t xml:space="preserve">Autos </w:t>
      </w:r>
      <w:hyperlink w:anchor="AUTO_2024_72" w:history="1">
        <w:r w:rsidRPr="007D5795">
          <w:rPr>
            <w:rStyle w:val="TextoNormalCaracter"/>
          </w:rPr>
          <w:t>72/2024</w:t>
        </w:r>
      </w:hyperlink>
      <w:r>
        <w:t xml:space="preserve">, f. único; </w:t>
      </w:r>
      <w:hyperlink w:anchor="AUTO_2024_126" w:history="1">
        <w:r w:rsidRPr="007D5795">
          <w:rPr>
            <w:rStyle w:val="TextoNormalCaracter"/>
          </w:rPr>
          <w:t>126/2024</w:t>
        </w:r>
      </w:hyperlink>
      <w:r>
        <w:t xml:space="preserve">, ff. 1, 2, VP; </w:t>
      </w:r>
      <w:hyperlink w:anchor="AUTO_2024_127" w:history="1">
        <w:r w:rsidRPr="007D5795">
          <w:rPr>
            <w:rStyle w:val="TextoNormalCaracter"/>
          </w:rPr>
          <w:t>127/2024</w:t>
        </w:r>
      </w:hyperlink>
      <w:r>
        <w:t>, ff. 1 a 3.</w:t>
      </w:r>
    </w:p>
    <w:p w14:paraId="23EFA545" w14:textId="7BD02404" w:rsidR="007D5795" w:rsidRDefault="007D5795" w:rsidP="007D5795">
      <w:pPr>
        <w:pStyle w:val="SangriaFrancesaArticulo"/>
      </w:pPr>
      <w:r w:rsidRPr="007D5795">
        <w:rPr>
          <w:rStyle w:val="TextoNormalNegritaCaracter"/>
        </w:rPr>
        <w:t>Artículo 162.1 a).</w:t>
      </w:r>
      <w:r w:rsidRPr="007D5795">
        <w:rPr>
          <w:rStyle w:val="TextoNormalCaracter"/>
        </w:rPr>
        <w:t>-</w:t>
      </w:r>
      <w:r>
        <w:t xml:space="preserve"> Sentencia </w:t>
      </w:r>
      <w:hyperlink w:anchor="SENTENCIA_2024_157" w:history="1">
        <w:r w:rsidRPr="007D5795">
          <w:rPr>
            <w:rStyle w:val="TextoNormalCaracter"/>
          </w:rPr>
          <w:t>157/2024</w:t>
        </w:r>
      </w:hyperlink>
      <w:r>
        <w:t>, f. 2.</w:t>
      </w:r>
    </w:p>
    <w:p w14:paraId="524454F6" w14:textId="6FBF0976" w:rsidR="007D5795" w:rsidRDefault="007D5795" w:rsidP="007D5795">
      <w:pPr>
        <w:pStyle w:val="SangriaIzquierdaArticulo"/>
      </w:pPr>
      <w:r>
        <w:t xml:space="preserve">Autos </w:t>
      </w:r>
      <w:hyperlink w:anchor="AUTO_2024_102" w:history="1">
        <w:r w:rsidRPr="007D5795">
          <w:rPr>
            <w:rStyle w:val="TextoNormalCaracter"/>
          </w:rPr>
          <w:t>102/2024</w:t>
        </w:r>
      </w:hyperlink>
      <w:r>
        <w:t xml:space="preserve">, f. 2; </w:t>
      </w:r>
      <w:hyperlink w:anchor="AUTO_2024_153" w:history="1">
        <w:r w:rsidRPr="007D5795">
          <w:rPr>
            <w:rStyle w:val="TextoNormalCaracter"/>
          </w:rPr>
          <w:t>153/2024</w:t>
        </w:r>
      </w:hyperlink>
      <w:r>
        <w:t>, f. 4.</w:t>
      </w:r>
    </w:p>
    <w:p w14:paraId="2FEC2F92" w14:textId="3DBA5F62" w:rsidR="007D5795" w:rsidRDefault="007D5795" w:rsidP="007D5795">
      <w:pPr>
        <w:pStyle w:val="SangriaFrancesaArticulo"/>
      </w:pPr>
      <w:r w:rsidRPr="007D5795">
        <w:rPr>
          <w:rStyle w:val="TextoNormalNegritaCaracter"/>
        </w:rPr>
        <w:t>Artículo 162.1 b).</w:t>
      </w:r>
      <w:r w:rsidRPr="007D5795">
        <w:rPr>
          <w:rStyle w:val="TextoNormalCaracter"/>
        </w:rPr>
        <w:t>-</w:t>
      </w:r>
      <w:r>
        <w:t xml:space="preserve"> Sentencias </w:t>
      </w:r>
      <w:hyperlink w:anchor="SENTENCIA_2024_116" w:history="1">
        <w:r w:rsidRPr="007D5795">
          <w:rPr>
            <w:rStyle w:val="TextoNormalCaracter"/>
          </w:rPr>
          <w:t>116/2024</w:t>
        </w:r>
      </w:hyperlink>
      <w:r>
        <w:t xml:space="preserve">, f. 2; </w:t>
      </w:r>
      <w:hyperlink w:anchor="SENTENCIA_2024_137" w:history="1">
        <w:r w:rsidRPr="007D5795">
          <w:rPr>
            <w:rStyle w:val="TextoNormalCaracter"/>
          </w:rPr>
          <w:t>137/2024</w:t>
        </w:r>
      </w:hyperlink>
      <w:r>
        <w:t>, f. 2.</w:t>
      </w:r>
    </w:p>
    <w:p w14:paraId="2230A8AF" w14:textId="5756BE68" w:rsidR="007D5795" w:rsidRDefault="007D5795" w:rsidP="007D5795">
      <w:pPr>
        <w:pStyle w:val="SangriaFrancesaArticulo"/>
      </w:pPr>
      <w:r w:rsidRPr="007D5795">
        <w:rPr>
          <w:rStyle w:val="TextoNormalNegritaCaracter"/>
        </w:rPr>
        <w:t>Artículo 163.</w:t>
      </w:r>
      <w:r w:rsidRPr="007D5795">
        <w:rPr>
          <w:rStyle w:val="TextoNormalCaracter"/>
        </w:rPr>
        <w:t>-</w:t>
      </w:r>
      <w:r>
        <w:t xml:space="preserve"> Sentencias </w:t>
      </w:r>
      <w:hyperlink w:anchor="SENTENCIA_2024_94" w:history="1">
        <w:r w:rsidRPr="007D5795">
          <w:rPr>
            <w:rStyle w:val="TextoNormalCaracter"/>
          </w:rPr>
          <w:t>94/2024</w:t>
        </w:r>
      </w:hyperlink>
      <w:r>
        <w:t xml:space="preserve">, f. 4; </w:t>
      </w:r>
      <w:hyperlink w:anchor="SENTENCIA_2024_98" w:history="1">
        <w:r w:rsidRPr="007D5795">
          <w:rPr>
            <w:rStyle w:val="TextoNormalCaracter"/>
          </w:rPr>
          <w:t>98/2024</w:t>
        </w:r>
      </w:hyperlink>
      <w:r>
        <w:t>, f. 4.</w:t>
      </w:r>
    </w:p>
    <w:p w14:paraId="263F2A9F" w14:textId="17D37127" w:rsidR="007D5795" w:rsidRDefault="007D5795" w:rsidP="007D5795">
      <w:pPr>
        <w:pStyle w:val="SangriaIzquierdaArticulo"/>
      </w:pPr>
      <w:r>
        <w:t xml:space="preserve">Autos </w:t>
      </w:r>
      <w:hyperlink w:anchor="AUTO_2024_73" w:history="1">
        <w:r w:rsidRPr="007D5795">
          <w:rPr>
            <w:rStyle w:val="TextoNormalCaracter"/>
          </w:rPr>
          <w:t>73/2024</w:t>
        </w:r>
      </w:hyperlink>
      <w:r>
        <w:t xml:space="preserve">, f. 3; </w:t>
      </w:r>
      <w:hyperlink w:anchor="AUTO_2024_102" w:history="1">
        <w:r w:rsidRPr="007D5795">
          <w:rPr>
            <w:rStyle w:val="TextoNormalCaracter"/>
          </w:rPr>
          <w:t>102/2024</w:t>
        </w:r>
      </w:hyperlink>
      <w:r>
        <w:t xml:space="preserve">, ff. 2, 3; </w:t>
      </w:r>
      <w:hyperlink w:anchor="AUTO_2024_153" w:history="1">
        <w:r w:rsidRPr="007D5795">
          <w:rPr>
            <w:rStyle w:val="TextoNormalCaracter"/>
          </w:rPr>
          <w:t>153/2024</w:t>
        </w:r>
      </w:hyperlink>
      <w:r>
        <w:t>, ff. 2, 4.</w:t>
      </w:r>
    </w:p>
    <w:p w14:paraId="2F39938B" w14:textId="115F3748" w:rsidR="007D5795" w:rsidRDefault="007D5795" w:rsidP="007D5795">
      <w:pPr>
        <w:pStyle w:val="SangriaFrancesaArticulo"/>
      </w:pPr>
      <w:r w:rsidRPr="007D5795">
        <w:rPr>
          <w:rStyle w:val="TextoNormalNegritaCaracter"/>
        </w:rPr>
        <w:t>Artículo 164.</w:t>
      </w:r>
      <w:r w:rsidRPr="007D5795">
        <w:rPr>
          <w:rStyle w:val="TextoNormalCaracter"/>
        </w:rPr>
        <w:t>-</w:t>
      </w:r>
      <w:r>
        <w:t xml:space="preserve"> Sentencia </w:t>
      </w:r>
      <w:hyperlink w:anchor="SENTENCIA_2024_117" w:history="1">
        <w:r w:rsidRPr="007D5795">
          <w:rPr>
            <w:rStyle w:val="TextoNormalCaracter"/>
          </w:rPr>
          <w:t>117/2024</w:t>
        </w:r>
      </w:hyperlink>
      <w:r>
        <w:t>, f. 4.</w:t>
      </w:r>
    </w:p>
    <w:p w14:paraId="34A8BD83" w14:textId="4C648779" w:rsidR="007D5795" w:rsidRDefault="007D5795" w:rsidP="007D5795">
      <w:pPr>
        <w:pStyle w:val="SangriaFrancesaArticulo"/>
      </w:pPr>
      <w:r w:rsidRPr="007D5795">
        <w:rPr>
          <w:rStyle w:val="TextoNormalNegritaCaracter"/>
        </w:rPr>
        <w:t>Artículo 164.1.</w:t>
      </w:r>
      <w:r w:rsidRPr="007D5795">
        <w:rPr>
          <w:rStyle w:val="TextoNormalCaracter"/>
        </w:rPr>
        <w:t>-</w:t>
      </w:r>
      <w:r>
        <w:t xml:space="preserve"> Sentencia </w:t>
      </w:r>
      <w:hyperlink w:anchor="SENTENCIA_2024_117" w:history="1">
        <w:r w:rsidRPr="007D5795">
          <w:rPr>
            <w:rStyle w:val="TextoNormalCaracter"/>
          </w:rPr>
          <w:t>117/2024</w:t>
        </w:r>
      </w:hyperlink>
      <w:r>
        <w:t>, f. 4.</w:t>
      </w:r>
    </w:p>
    <w:p w14:paraId="3F6D22EA" w14:textId="65A21C2F" w:rsidR="007D5795" w:rsidRDefault="007D5795" w:rsidP="007D5795">
      <w:pPr>
        <w:pStyle w:val="SangriaFrancesaArticulo"/>
      </w:pPr>
      <w:r w:rsidRPr="007D5795">
        <w:rPr>
          <w:rStyle w:val="TextoNormalNegritaCaracter"/>
        </w:rPr>
        <w:t>Artículo 165.</w:t>
      </w:r>
      <w:r w:rsidRPr="007D5795">
        <w:rPr>
          <w:rStyle w:val="TextoNormalCaracter"/>
        </w:rPr>
        <w:t>-</w:t>
      </w:r>
      <w:r>
        <w:t xml:space="preserve"> Sentencia </w:t>
      </w:r>
      <w:hyperlink w:anchor="SENTENCIA_2024_139" w:history="1">
        <w:r w:rsidRPr="007D5795">
          <w:rPr>
            <w:rStyle w:val="TextoNormalCaracter"/>
          </w:rPr>
          <w:t>139/2024</w:t>
        </w:r>
      </w:hyperlink>
      <w:r>
        <w:t>, ff. 1, 3, 5, VP I, VP II.</w:t>
      </w:r>
    </w:p>
    <w:p w14:paraId="09B1B473" w14:textId="619C7DDB" w:rsidR="007D5795" w:rsidRDefault="007D5795" w:rsidP="007D5795">
      <w:pPr>
        <w:pStyle w:val="SangriaFrancesaArticulo"/>
      </w:pPr>
      <w:r w:rsidRPr="007D5795">
        <w:rPr>
          <w:rStyle w:val="TextoNormalNegritaCaracter"/>
        </w:rPr>
        <w:t>Artículo 166.</w:t>
      </w:r>
      <w:r w:rsidRPr="007D5795">
        <w:rPr>
          <w:rStyle w:val="TextoNormalCaracter"/>
        </w:rPr>
        <w:t>-</w:t>
      </w:r>
      <w:r>
        <w:t xml:space="preserve"> Sentencia </w:t>
      </w:r>
      <w:hyperlink w:anchor="SENTENCIA_2024_143" w:history="1">
        <w:r w:rsidRPr="007D5795">
          <w:rPr>
            <w:rStyle w:val="TextoNormalCaracter"/>
          </w:rPr>
          <w:t>143/2024</w:t>
        </w:r>
      </w:hyperlink>
      <w:r>
        <w:t>, f. 3.</w:t>
      </w:r>
    </w:p>
    <w:p w14:paraId="76D811AF" w14:textId="792AF3BB" w:rsidR="007D5795" w:rsidRDefault="007D5795" w:rsidP="007D5795">
      <w:pPr>
        <w:pStyle w:val="SangriaFrancesaArticulo"/>
      </w:pPr>
      <w:r w:rsidRPr="007D5795">
        <w:rPr>
          <w:rStyle w:val="TextoNormalNegritaCaracter"/>
        </w:rPr>
        <w:t>Artículo 168.</w:t>
      </w:r>
      <w:r w:rsidRPr="007D5795">
        <w:rPr>
          <w:rStyle w:val="TextoNormalCaracter"/>
        </w:rPr>
        <w:t>-</w:t>
      </w:r>
      <w:r>
        <w:t xml:space="preserve"> Sentencias </w:t>
      </w:r>
      <w:hyperlink w:anchor="SENTENCIA_2024_127" w:history="1">
        <w:r w:rsidRPr="007D5795">
          <w:rPr>
            <w:rStyle w:val="TextoNormalCaracter"/>
          </w:rPr>
          <w:t>127/2024</w:t>
        </w:r>
      </w:hyperlink>
      <w:r>
        <w:t xml:space="preserve">, f. 1; </w:t>
      </w:r>
      <w:hyperlink w:anchor="SENTENCIA_2024_143" w:history="1">
        <w:r w:rsidRPr="007D5795">
          <w:rPr>
            <w:rStyle w:val="TextoNormalCaracter"/>
          </w:rPr>
          <w:t>143/2024</w:t>
        </w:r>
      </w:hyperlink>
      <w:r>
        <w:t>, f. 3.</w:t>
      </w:r>
    </w:p>
    <w:p w14:paraId="35ABCBA5" w14:textId="1AB041C6" w:rsidR="007D5795" w:rsidRDefault="007D5795" w:rsidP="007D5795">
      <w:pPr>
        <w:pStyle w:val="TextoNormal"/>
      </w:pPr>
    </w:p>
    <w:p w14:paraId="35E2FF1E" w14:textId="77777777" w:rsidR="007D5795" w:rsidRDefault="007D5795" w:rsidP="007D5795">
      <w:pPr>
        <w:pStyle w:val="SangriaFrancesaArticulo"/>
      </w:pPr>
      <w:bookmarkStart w:id="170" w:name="INDICE22843"/>
    </w:p>
    <w:bookmarkEnd w:id="170"/>
    <w:p w14:paraId="0E1E5B31" w14:textId="77777777" w:rsidR="007D5795" w:rsidRDefault="007D5795" w:rsidP="007D5795">
      <w:pPr>
        <w:pStyle w:val="TextoIndiceNivel2"/>
        <w:suppressAutoHyphens/>
      </w:pPr>
      <w:r>
        <w:t>B) Tribunal Constitucional</w:t>
      </w:r>
    </w:p>
    <w:p w14:paraId="5526227E" w14:textId="3306274C" w:rsidR="007D5795" w:rsidRDefault="007D5795" w:rsidP="007D5795">
      <w:pPr>
        <w:pStyle w:val="TextoIndiceNivel2"/>
      </w:pPr>
    </w:p>
    <w:p w14:paraId="100ED024" w14:textId="77777777" w:rsidR="007D5795" w:rsidRDefault="007D5795" w:rsidP="007D5795">
      <w:pPr>
        <w:pStyle w:val="TextoNormalNegritaCursivandice"/>
        <w:keepNext/>
      </w:pPr>
      <w:r>
        <w:t>Ley Orgánica 2/1979, de 3 de octubre. Tribunal Constitucional</w:t>
      </w:r>
    </w:p>
    <w:p w14:paraId="2308C0EB" w14:textId="27150248" w:rsidR="007D5795" w:rsidRDefault="007D5795" w:rsidP="007D5795">
      <w:pPr>
        <w:pStyle w:val="SangriaFrancesaArticulo"/>
        <w:keepNext/>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f. 5.</w:t>
      </w:r>
    </w:p>
    <w:p w14:paraId="3A86CC46" w14:textId="0D6A5858" w:rsidR="007D5795" w:rsidRDefault="007D5795" w:rsidP="007D5795">
      <w:pPr>
        <w:pStyle w:val="SangriaIzquierdaArticulo"/>
      </w:pPr>
      <w:r>
        <w:t xml:space="preserve">Auto </w:t>
      </w:r>
      <w:hyperlink w:anchor="AUTO_2024_126" w:history="1">
        <w:r w:rsidRPr="007D5795">
          <w:rPr>
            <w:rStyle w:val="TextoNormalCaracter"/>
          </w:rPr>
          <w:t>126/2024</w:t>
        </w:r>
      </w:hyperlink>
      <w:r>
        <w:t>, VP.</w:t>
      </w:r>
    </w:p>
    <w:p w14:paraId="28F8F961" w14:textId="6A480E2A" w:rsidR="007D5795" w:rsidRDefault="007D5795" w:rsidP="007D5795">
      <w:pPr>
        <w:pStyle w:val="SangriaFrancesaArticulo"/>
      </w:pPr>
      <w:r w:rsidRPr="007D5795">
        <w:rPr>
          <w:rStyle w:val="TextoNormalNegritaCaracter"/>
        </w:rPr>
        <w:t>Título V.</w:t>
      </w:r>
      <w:r w:rsidRPr="007D5795">
        <w:rPr>
          <w:rStyle w:val="TextoNormalCaracter"/>
        </w:rPr>
        <w:t>-</w:t>
      </w:r>
      <w:r>
        <w:t xml:space="preserve"> Sentencias </w:t>
      </w:r>
      <w:hyperlink w:anchor="SENTENCIA_2024_143" w:history="1">
        <w:r w:rsidRPr="007D5795">
          <w:rPr>
            <w:rStyle w:val="TextoNormalCaracter"/>
          </w:rPr>
          <w:t>143/2024</w:t>
        </w:r>
      </w:hyperlink>
      <w:r>
        <w:t xml:space="preserve">, ff. 1, 2; </w:t>
      </w:r>
      <w:hyperlink w:anchor="SENTENCIA_2024_154" w:history="1">
        <w:r w:rsidRPr="007D5795">
          <w:rPr>
            <w:rStyle w:val="TextoNormalCaracter"/>
          </w:rPr>
          <w:t>154/2024</w:t>
        </w:r>
      </w:hyperlink>
      <w:r>
        <w:t xml:space="preserve">, f. único; </w:t>
      </w:r>
      <w:hyperlink w:anchor="SENTENCIA_2024_156" w:history="1">
        <w:r w:rsidRPr="007D5795">
          <w:rPr>
            <w:rStyle w:val="TextoNormalCaracter"/>
          </w:rPr>
          <w:t>156/2024</w:t>
        </w:r>
      </w:hyperlink>
      <w:r>
        <w:t>, f. único.</w:t>
      </w:r>
    </w:p>
    <w:p w14:paraId="2C991B00" w14:textId="790942B2" w:rsidR="007D5795" w:rsidRDefault="007D5795" w:rsidP="007D5795">
      <w:pPr>
        <w:pStyle w:val="SangriaIzquierdaArticulo"/>
      </w:pPr>
      <w:r>
        <w:t xml:space="preserve">Auto </w:t>
      </w:r>
      <w:hyperlink w:anchor="AUTO_2024_72" w:history="1">
        <w:r w:rsidRPr="007D5795">
          <w:rPr>
            <w:rStyle w:val="TextoNormalCaracter"/>
          </w:rPr>
          <w:t>72/2024</w:t>
        </w:r>
      </w:hyperlink>
      <w:r>
        <w:t>, f. único.</w:t>
      </w:r>
    </w:p>
    <w:p w14:paraId="5A1698C2" w14:textId="2EB1FDEC"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Sentencia </w:t>
      </w:r>
      <w:hyperlink w:anchor="SENTENCIA_2024_119" w:history="1">
        <w:r w:rsidRPr="007D5795">
          <w:rPr>
            <w:rStyle w:val="TextoNormalCaracter"/>
          </w:rPr>
          <w:t>119/2024</w:t>
        </w:r>
      </w:hyperlink>
      <w:r>
        <w:t>, f. 5.</w:t>
      </w:r>
    </w:p>
    <w:p w14:paraId="5DB54274" w14:textId="6BA9BF03"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Sentencias </w:t>
      </w:r>
      <w:hyperlink w:anchor="SENTENCIA_2024_95" w:history="1">
        <w:r w:rsidRPr="007D5795">
          <w:rPr>
            <w:rStyle w:val="TextoNormalCaracter"/>
          </w:rPr>
          <w:t>95/2024</w:t>
        </w:r>
      </w:hyperlink>
      <w:r>
        <w:t xml:space="preserve">, f. 3; </w:t>
      </w:r>
      <w:hyperlink w:anchor="SENTENCIA_2024_96" w:history="1">
        <w:r w:rsidRPr="007D5795">
          <w:rPr>
            <w:rStyle w:val="TextoNormalCaracter"/>
          </w:rPr>
          <w:t>96/2024</w:t>
        </w:r>
      </w:hyperlink>
      <w:r>
        <w:t xml:space="preserve">, ff. 5, 6; </w:t>
      </w:r>
      <w:hyperlink w:anchor="SENTENCIA_2024_97" w:history="1">
        <w:r w:rsidRPr="007D5795">
          <w:rPr>
            <w:rStyle w:val="TextoNormalCaracter"/>
          </w:rPr>
          <w:t>97/2024</w:t>
        </w:r>
      </w:hyperlink>
      <w:r>
        <w:t xml:space="preserve">, ff. 4, 5; </w:t>
      </w:r>
      <w:hyperlink w:anchor="SENTENCIA_2024_98" w:history="1">
        <w:r w:rsidRPr="007D5795">
          <w:rPr>
            <w:rStyle w:val="TextoNormalCaracter"/>
          </w:rPr>
          <w:t>98/2024</w:t>
        </w:r>
      </w:hyperlink>
      <w:r>
        <w:t xml:space="preserve">, ff. 4, 5; </w:t>
      </w:r>
      <w:hyperlink w:anchor="SENTENCIA_2024_99" w:history="1">
        <w:r w:rsidRPr="007D5795">
          <w:rPr>
            <w:rStyle w:val="TextoNormalCaracter"/>
          </w:rPr>
          <w:t>99/2024</w:t>
        </w:r>
      </w:hyperlink>
      <w:r>
        <w:t xml:space="preserve">, f. 3; </w:t>
      </w:r>
      <w:hyperlink w:anchor="SENTENCIA_2024_100" w:history="1">
        <w:r w:rsidRPr="007D5795">
          <w:rPr>
            <w:rStyle w:val="TextoNormalCaracter"/>
          </w:rPr>
          <w:t>100/2024</w:t>
        </w:r>
      </w:hyperlink>
      <w:r>
        <w:t xml:space="preserve">, f. 5; </w:t>
      </w:r>
      <w:hyperlink w:anchor="SENTENCIA_2024_102" w:history="1">
        <w:r w:rsidRPr="007D5795">
          <w:rPr>
            <w:rStyle w:val="TextoNormalCaracter"/>
          </w:rPr>
          <w:t>102/2024</w:t>
        </w:r>
      </w:hyperlink>
      <w:r>
        <w:t xml:space="preserve">, f. 4; </w:t>
      </w:r>
      <w:hyperlink w:anchor="SENTENCIA_2024_103" w:history="1">
        <w:r w:rsidRPr="007D5795">
          <w:rPr>
            <w:rStyle w:val="TextoNormalCaracter"/>
          </w:rPr>
          <w:t>103/2024</w:t>
        </w:r>
      </w:hyperlink>
      <w:r>
        <w:t xml:space="preserve">, f. 4; </w:t>
      </w:r>
      <w:hyperlink w:anchor="SENTENCIA_2024_140" w:history="1">
        <w:r w:rsidRPr="007D5795">
          <w:rPr>
            <w:rStyle w:val="TextoNormalCaracter"/>
          </w:rPr>
          <w:t>140/2024</w:t>
        </w:r>
      </w:hyperlink>
      <w:r>
        <w:t xml:space="preserve">, VP II; </w:t>
      </w:r>
      <w:hyperlink w:anchor="SENTENCIA_2024_144" w:history="1">
        <w:r w:rsidRPr="007D5795">
          <w:rPr>
            <w:rStyle w:val="TextoNormalCaracter"/>
          </w:rPr>
          <w:t>144/2024</w:t>
        </w:r>
      </w:hyperlink>
      <w:r>
        <w:t>, VP I.</w:t>
      </w:r>
    </w:p>
    <w:p w14:paraId="09C789E4" w14:textId="7DFE149E" w:rsidR="007D5795" w:rsidRDefault="007D5795" w:rsidP="007D5795">
      <w:pPr>
        <w:pStyle w:val="SangriaFrancesaArticulo"/>
      </w:pPr>
      <w:r w:rsidRPr="007D5795">
        <w:rPr>
          <w:rStyle w:val="TextoNormalNegritaCaracter"/>
        </w:rPr>
        <w:t>Artículo 10.1 k).</w:t>
      </w:r>
      <w:r w:rsidRPr="007D5795">
        <w:rPr>
          <w:rStyle w:val="TextoNormalCaracter"/>
        </w:rPr>
        <w:t>-</w:t>
      </w:r>
      <w:r>
        <w:t xml:space="preserve"> Autos </w:t>
      </w:r>
      <w:hyperlink w:anchor="AUTO_2024_128" w:history="1">
        <w:r w:rsidRPr="007D5795">
          <w:rPr>
            <w:rStyle w:val="TextoNormalCaracter"/>
          </w:rPr>
          <w:t>128/2024</w:t>
        </w:r>
      </w:hyperlink>
      <w:r>
        <w:t xml:space="preserve">, f. único; </w:t>
      </w:r>
      <w:hyperlink w:anchor="AUTO_2024_157" w:history="1">
        <w:r w:rsidRPr="007D5795">
          <w:rPr>
            <w:rStyle w:val="TextoNormalCaracter"/>
          </w:rPr>
          <w:t>157/2024</w:t>
        </w:r>
      </w:hyperlink>
      <w:r>
        <w:t>, f. único.</w:t>
      </w:r>
    </w:p>
    <w:p w14:paraId="73E675A8" w14:textId="51200951" w:rsidR="007D5795" w:rsidRDefault="007D5795" w:rsidP="007D5795">
      <w:pPr>
        <w:pStyle w:val="SangriaFrancesaArticulo"/>
      </w:pPr>
      <w:r w:rsidRPr="007D5795">
        <w:rPr>
          <w:rStyle w:val="TextoNormalNegritaCaracter"/>
        </w:rPr>
        <w:t>Artículo 14.</w:t>
      </w:r>
      <w:r w:rsidRPr="007D5795">
        <w:rPr>
          <w:rStyle w:val="TextoNormalCaracter"/>
        </w:rPr>
        <w:t>-</w:t>
      </w:r>
      <w:r>
        <w:t xml:space="preserve"> Autos </w:t>
      </w:r>
      <w:hyperlink w:anchor="AUTO_2024_63" w:history="1">
        <w:r w:rsidRPr="007D5795">
          <w:rPr>
            <w:rStyle w:val="TextoNormalCaracter"/>
          </w:rPr>
          <w:t>63/2024</w:t>
        </w:r>
      </w:hyperlink>
      <w:r>
        <w:t xml:space="preserve">, f. único; </w:t>
      </w:r>
      <w:hyperlink w:anchor="AUTO_2024_93" w:history="1">
        <w:r w:rsidRPr="007D5795">
          <w:rPr>
            <w:rStyle w:val="TextoNormalCaracter"/>
          </w:rPr>
          <w:t>93/2024</w:t>
        </w:r>
      </w:hyperlink>
      <w:r>
        <w:t xml:space="preserve">, VP I; </w:t>
      </w:r>
      <w:hyperlink w:anchor="AUTO_2024_105" w:history="1">
        <w:r w:rsidRPr="007D5795">
          <w:rPr>
            <w:rStyle w:val="TextoNormalCaracter"/>
          </w:rPr>
          <w:t>105/2024</w:t>
        </w:r>
      </w:hyperlink>
      <w:r>
        <w:t xml:space="preserve">, VP I; </w:t>
      </w:r>
      <w:hyperlink w:anchor="AUTO_2024_106" w:history="1">
        <w:r w:rsidRPr="007D5795">
          <w:rPr>
            <w:rStyle w:val="TextoNormalCaracter"/>
          </w:rPr>
          <w:t>106/2024</w:t>
        </w:r>
      </w:hyperlink>
      <w:r>
        <w:t xml:space="preserve">, VP I; </w:t>
      </w:r>
      <w:hyperlink w:anchor="AUTO_2024_107" w:history="1">
        <w:r w:rsidRPr="007D5795">
          <w:rPr>
            <w:rStyle w:val="TextoNormalCaracter"/>
          </w:rPr>
          <w:t>107/2024</w:t>
        </w:r>
      </w:hyperlink>
      <w:r>
        <w:t xml:space="preserve">, VP I; </w:t>
      </w:r>
      <w:hyperlink w:anchor="AUTO_2024_108" w:history="1">
        <w:r w:rsidRPr="007D5795">
          <w:rPr>
            <w:rStyle w:val="TextoNormalCaracter"/>
          </w:rPr>
          <w:t>108/2024</w:t>
        </w:r>
      </w:hyperlink>
      <w:r>
        <w:t xml:space="preserve">, VP I; </w:t>
      </w:r>
      <w:hyperlink w:anchor="AUTO_2024_109" w:history="1">
        <w:r w:rsidRPr="007D5795">
          <w:rPr>
            <w:rStyle w:val="TextoNormalCaracter"/>
          </w:rPr>
          <w:t>109/2024</w:t>
        </w:r>
      </w:hyperlink>
      <w:r>
        <w:t xml:space="preserve">, VP I; </w:t>
      </w:r>
      <w:hyperlink w:anchor="AUTO_2024_110" w:history="1">
        <w:r w:rsidRPr="007D5795">
          <w:rPr>
            <w:rStyle w:val="TextoNormalCaracter"/>
          </w:rPr>
          <w:t>110/2024</w:t>
        </w:r>
      </w:hyperlink>
      <w:r>
        <w:t xml:space="preserve">, VP I; </w:t>
      </w:r>
      <w:hyperlink w:anchor="AUTO_2024_111" w:history="1">
        <w:r w:rsidRPr="007D5795">
          <w:rPr>
            <w:rStyle w:val="TextoNormalCaracter"/>
          </w:rPr>
          <w:t>111/2024</w:t>
        </w:r>
      </w:hyperlink>
      <w:r>
        <w:t xml:space="preserve">, VP I; </w:t>
      </w:r>
      <w:hyperlink w:anchor="AUTO_2024_112" w:history="1">
        <w:r w:rsidRPr="007D5795">
          <w:rPr>
            <w:rStyle w:val="TextoNormalCaracter"/>
          </w:rPr>
          <w:t>112/2024</w:t>
        </w:r>
      </w:hyperlink>
      <w:r>
        <w:t xml:space="preserve">, VP I; </w:t>
      </w:r>
      <w:hyperlink w:anchor="AUTO_2024_113" w:history="1">
        <w:r w:rsidRPr="007D5795">
          <w:rPr>
            <w:rStyle w:val="TextoNormalCaracter"/>
          </w:rPr>
          <w:t>113/2024</w:t>
        </w:r>
      </w:hyperlink>
      <w:r>
        <w:t xml:space="preserve">, VP I; </w:t>
      </w:r>
      <w:hyperlink w:anchor="AUTO_2024_117" w:history="1">
        <w:r w:rsidRPr="007D5795">
          <w:rPr>
            <w:rStyle w:val="TextoNormalCaracter"/>
          </w:rPr>
          <w:t>117/2024</w:t>
        </w:r>
      </w:hyperlink>
      <w:r>
        <w:t xml:space="preserve">, VP I; </w:t>
      </w:r>
      <w:hyperlink w:anchor="AUTO_2024_118" w:history="1">
        <w:r w:rsidRPr="007D5795">
          <w:rPr>
            <w:rStyle w:val="TextoNormalCaracter"/>
          </w:rPr>
          <w:t>118/2024</w:t>
        </w:r>
      </w:hyperlink>
      <w:r>
        <w:t xml:space="preserve">, VP I; </w:t>
      </w:r>
      <w:hyperlink w:anchor="AUTO_2024_119" w:history="1">
        <w:r w:rsidRPr="007D5795">
          <w:rPr>
            <w:rStyle w:val="TextoNormalCaracter"/>
          </w:rPr>
          <w:t>119/2024</w:t>
        </w:r>
      </w:hyperlink>
      <w:r>
        <w:t xml:space="preserve">, VP I; </w:t>
      </w:r>
      <w:hyperlink w:anchor="AUTO_2024_120" w:history="1">
        <w:r w:rsidRPr="007D5795">
          <w:rPr>
            <w:rStyle w:val="TextoNormalCaracter"/>
          </w:rPr>
          <w:t>120/2024</w:t>
        </w:r>
      </w:hyperlink>
      <w:r>
        <w:t xml:space="preserve">, VP I; </w:t>
      </w:r>
      <w:hyperlink w:anchor="AUTO_2024_121" w:history="1">
        <w:r w:rsidRPr="007D5795">
          <w:rPr>
            <w:rStyle w:val="TextoNormalCaracter"/>
          </w:rPr>
          <w:t>121/2024</w:t>
        </w:r>
      </w:hyperlink>
      <w:r>
        <w:t xml:space="preserve">, VP I; </w:t>
      </w:r>
      <w:hyperlink w:anchor="AUTO_2024_122" w:history="1">
        <w:r w:rsidRPr="007D5795">
          <w:rPr>
            <w:rStyle w:val="TextoNormalCaracter"/>
          </w:rPr>
          <w:t>122/2024</w:t>
        </w:r>
      </w:hyperlink>
      <w:r>
        <w:t xml:space="preserve">, VP I; </w:t>
      </w:r>
      <w:hyperlink w:anchor="AUTO_2024_123" w:history="1">
        <w:r w:rsidRPr="007D5795">
          <w:rPr>
            <w:rStyle w:val="TextoNormalCaracter"/>
          </w:rPr>
          <w:t>123/2024</w:t>
        </w:r>
      </w:hyperlink>
      <w:r>
        <w:t xml:space="preserve">, VP I; </w:t>
      </w:r>
      <w:hyperlink w:anchor="AUTO_2024_124" w:history="1">
        <w:r w:rsidRPr="007D5795">
          <w:rPr>
            <w:rStyle w:val="TextoNormalCaracter"/>
          </w:rPr>
          <w:t>124/2024</w:t>
        </w:r>
      </w:hyperlink>
      <w:r>
        <w:t>, VP I.</w:t>
      </w:r>
    </w:p>
    <w:p w14:paraId="762BB4BB" w14:textId="01745495" w:rsidR="007D5795" w:rsidRDefault="007D5795" w:rsidP="007D5795">
      <w:pPr>
        <w:pStyle w:val="SangriaFrancesaArticulo"/>
      </w:pPr>
      <w:r w:rsidRPr="007D5795">
        <w:rPr>
          <w:rStyle w:val="TextoNormalNegritaCaracter"/>
        </w:rPr>
        <w:t>Artículo 15.</w:t>
      </w:r>
      <w:r w:rsidRPr="007D5795">
        <w:rPr>
          <w:rStyle w:val="TextoNormalCaracter"/>
        </w:rPr>
        <w:t>-</w:t>
      </w:r>
      <w:r>
        <w:t xml:space="preserve"> Auto </w:t>
      </w:r>
      <w:hyperlink w:anchor="AUTO_2024_91" w:history="1">
        <w:r w:rsidRPr="007D5795">
          <w:rPr>
            <w:rStyle w:val="TextoNormalCaracter"/>
          </w:rPr>
          <w:t>91/2024</w:t>
        </w:r>
      </w:hyperlink>
      <w:r>
        <w:t>, VP I, VP II.</w:t>
      </w:r>
    </w:p>
    <w:p w14:paraId="0DDA2E1F" w14:textId="4C48376B" w:rsidR="007D5795" w:rsidRDefault="007D5795" w:rsidP="007D5795">
      <w:pPr>
        <w:pStyle w:val="SangriaFrancesaArticulo"/>
      </w:pPr>
      <w:r w:rsidRPr="007D5795">
        <w:rPr>
          <w:rStyle w:val="TextoNormalNegritaCaracter"/>
        </w:rPr>
        <w:t>Artículo 16.</w:t>
      </w:r>
      <w:r w:rsidRPr="007D5795">
        <w:rPr>
          <w:rStyle w:val="TextoNormalCaracter"/>
        </w:rPr>
        <w:t>-</w:t>
      </w:r>
      <w:r>
        <w:t xml:space="preserve"> Sentencia </w:t>
      </w:r>
      <w:hyperlink w:anchor="SENTENCIA_2024_139" w:history="1">
        <w:r w:rsidRPr="007D5795">
          <w:rPr>
            <w:rStyle w:val="TextoNormalCaracter"/>
          </w:rPr>
          <w:t>139/2024</w:t>
        </w:r>
      </w:hyperlink>
      <w:r>
        <w:t>, f. 5.</w:t>
      </w:r>
    </w:p>
    <w:p w14:paraId="319362FA" w14:textId="7F46D798" w:rsidR="007D5795" w:rsidRDefault="007D5795" w:rsidP="007D5795">
      <w:pPr>
        <w:pStyle w:val="SangriaFrancesaArticulo"/>
      </w:pPr>
      <w:r w:rsidRPr="007D5795">
        <w:rPr>
          <w:rStyle w:val="TextoNormalNegritaCaracter"/>
        </w:rPr>
        <w:t>Artículo 16.1.</w:t>
      </w:r>
      <w:r w:rsidRPr="007D5795">
        <w:rPr>
          <w:rStyle w:val="TextoNormalCaracter"/>
        </w:rPr>
        <w:t>-</w:t>
      </w:r>
      <w:r>
        <w:t xml:space="preserve"> Sentencia </w:t>
      </w:r>
      <w:hyperlink w:anchor="SENTENCIA_2024_139" w:history="1">
        <w:r w:rsidRPr="007D5795">
          <w:rPr>
            <w:rStyle w:val="TextoNormalCaracter"/>
          </w:rPr>
          <w:t>139/2024</w:t>
        </w:r>
      </w:hyperlink>
      <w:r>
        <w:t>, f. 5, VP I.</w:t>
      </w:r>
    </w:p>
    <w:p w14:paraId="5792BF89" w14:textId="3903771A" w:rsidR="007D5795" w:rsidRDefault="007D5795" w:rsidP="007D5795">
      <w:pPr>
        <w:pStyle w:val="SangriaFrancesaArticulo"/>
      </w:pPr>
      <w:r w:rsidRPr="007D5795">
        <w:rPr>
          <w:rStyle w:val="TextoNormalNegritaCaracter"/>
        </w:rPr>
        <w:t>Artículo 22.</w:t>
      </w:r>
      <w:r w:rsidRPr="007D5795">
        <w:rPr>
          <w:rStyle w:val="TextoNormalCaracter"/>
        </w:rPr>
        <w:t>-</w:t>
      </w:r>
      <w:r>
        <w:t xml:space="preserve"> Autos </w:t>
      </w:r>
      <w:hyperlink w:anchor="AUTO_2024_68" w:history="1">
        <w:r w:rsidRPr="007D5795">
          <w:rPr>
            <w:rStyle w:val="TextoNormalCaracter"/>
          </w:rPr>
          <w:t>68/2024</w:t>
        </w:r>
      </w:hyperlink>
      <w:r>
        <w:t xml:space="preserve">, f. 2; </w:t>
      </w:r>
      <w:hyperlink w:anchor="AUTO_2024_78" w:history="1">
        <w:r w:rsidRPr="007D5795">
          <w:rPr>
            <w:rStyle w:val="TextoNormalCaracter"/>
          </w:rPr>
          <w:t>78/2024</w:t>
        </w:r>
      </w:hyperlink>
      <w:r>
        <w:t>, f. 2.</w:t>
      </w:r>
    </w:p>
    <w:p w14:paraId="66A39FBE" w14:textId="715E99E3" w:rsidR="007D5795" w:rsidRDefault="007D5795" w:rsidP="007D5795">
      <w:pPr>
        <w:pStyle w:val="SangriaFrancesaArticulo"/>
      </w:pPr>
      <w:r w:rsidRPr="007D5795">
        <w:rPr>
          <w:rStyle w:val="TextoNormalNegritaCaracter"/>
        </w:rPr>
        <w:t>Artículo 27.1.</w:t>
      </w:r>
      <w:r w:rsidRPr="007D5795">
        <w:rPr>
          <w:rStyle w:val="TextoNormalCaracter"/>
        </w:rPr>
        <w:t>-</w:t>
      </w:r>
      <w:r>
        <w:t xml:space="preserve"> Sentencias </w:t>
      </w:r>
      <w:hyperlink w:anchor="SENTENCIA_2024_140" w:history="1">
        <w:r w:rsidRPr="007D5795">
          <w:rPr>
            <w:rStyle w:val="TextoNormalCaracter"/>
          </w:rPr>
          <w:t>140/2024</w:t>
        </w:r>
      </w:hyperlink>
      <w:r>
        <w:t xml:space="preserve">, VP II; </w:t>
      </w:r>
      <w:hyperlink w:anchor="SENTENCIA_2024_142" w:history="1">
        <w:r w:rsidRPr="007D5795">
          <w:rPr>
            <w:rStyle w:val="TextoNormalCaracter"/>
          </w:rPr>
          <w:t>142/2024</w:t>
        </w:r>
      </w:hyperlink>
      <w:r>
        <w:t>, VP.</w:t>
      </w:r>
    </w:p>
    <w:p w14:paraId="3C0C8873" w14:textId="493DB538" w:rsidR="007D5795" w:rsidRDefault="007D5795" w:rsidP="007D5795">
      <w:pPr>
        <w:pStyle w:val="SangriaFrancesaArticulo"/>
      </w:pPr>
      <w:r w:rsidRPr="007D5795">
        <w:rPr>
          <w:rStyle w:val="TextoNormalNegritaCaracter"/>
        </w:rPr>
        <w:t>Artículo 28.1.</w:t>
      </w:r>
      <w:r w:rsidRPr="007D5795">
        <w:rPr>
          <w:rStyle w:val="TextoNormalCaracter"/>
        </w:rPr>
        <w:t>-</w:t>
      </w:r>
      <w:r>
        <w:t xml:space="preserve"> Sentencias </w:t>
      </w:r>
      <w:hyperlink w:anchor="SENTENCIA_2024_111" w:history="1">
        <w:r w:rsidRPr="007D5795">
          <w:rPr>
            <w:rStyle w:val="TextoNormalCaracter"/>
          </w:rPr>
          <w:t>111/2024</w:t>
        </w:r>
      </w:hyperlink>
      <w:r>
        <w:t xml:space="preserve">, f. 5; </w:t>
      </w:r>
      <w:hyperlink w:anchor="SENTENCIA_2024_139" w:history="1">
        <w:r w:rsidRPr="007D5795">
          <w:rPr>
            <w:rStyle w:val="TextoNormalCaracter"/>
          </w:rPr>
          <w:t>139/2024</w:t>
        </w:r>
      </w:hyperlink>
      <w:r>
        <w:t>, f. 4.</w:t>
      </w:r>
    </w:p>
    <w:p w14:paraId="1E2C1E86" w14:textId="515F5740" w:rsidR="007D5795" w:rsidRDefault="007D5795" w:rsidP="007D5795">
      <w:pPr>
        <w:pStyle w:val="SangriaFrancesaArticulo"/>
      </w:pPr>
      <w:r w:rsidRPr="007D5795">
        <w:rPr>
          <w:rStyle w:val="TextoNormalNegritaCaracter"/>
        </w:rPr>
        <w:t>Artículo 32.1.</w:t>
      </w:r>
      <w:r w:rsidRPr="007D5795">
        <w:rPr>
          <w:rStyle w:val="TextoNormalCaracter"/>
        </w:rPr>
        <w:t>-</w:t>
      </w:r>
      <w:r>
        <w:t xml:space="preserve"> Autos </w:t>
      </w:r>
      <w:hyperlink w:anchor="AUTO_2024_102" w:history="1">
        <w:r w:rsidRPr="007D5795">
          <w:rPr>
            <w:rStyle w:val="TextoNormalCaracter"/>
          </w:rPr>
          <w:t>102/2024</w:t>
        </w:r>
      </w:hyperlink>
      <w:r>
        <w:t xml:space="preserve">, f. 2; </w:t>
      </w:r>
      <w:hyperlink w:anchor="AUTO_2024_153" w:history="1">
        <w:r w:rsidRPr="007D5795">
          <w:rPr>
            <w:rStyle w:val="TextoNormalCaracter"/>
          </w:rPr>
          <w:t>153/2024</w:t>
        </w:r>
      </w:hyperlink>
      <w:r>
        <w:t>, f. 4.</w:t>
      </w:r>
    </w:p>
    <w:p w14:paraId="2E77B4F0" w14:textId="47EB8C45" w:rsidR="007D5795" w:rsidRDefault="007D5795" w:rsidP="007D5795">
      <w:pPr>
        <w:pStyle w:val="SangriaFrancesaArticulo"/>
      </w:pPr>
      <w:r w:rsidRPr="007D5795">
        <w:rPr>
          <w:rStyle w:val="TextoNormalNegritaCaracter"/>
        </w:rPr>
        <w:t>Artículo 32.1 c).</w:t>
      </w:r>
      <w:r w:rsidRPr="007D5795">
        <w:rPr>
          <w:rStyle w:val="TextoNormalCaracter"/>
        </w:rPr>
        <w:t>-</w:t>
      </w:r>
      <w:r>
        <w:t xml:space="preserve"> Sentencia </w:t>
      </w:r>
      <w:hyperlink w:anchor="SENTENCIA_2024_157" w:history="1">
        <w:r w:rsidRPr="007D5795">
          <w:rPr>
            <w:rStyle w:val="TextoNormalCaracter"/>
          </w:rPr>
          <w:t>157/2024</w:t>
        </w:r>
      </w:hyperlink>
      <w:r>
        <w:t>, f. 2.</w:t>
      </w:r>
    </w:p>
    <w:p w14:paraId="36C1A4AB" w14:textId="5F9D53CA" w:rsidR="007D5795" w:rsidRDefault="007D5795" w:rsidP="007D5795">
      <w:pPr>
        <w:pStyle w:val="SangriaFrancesaArticulo"/>
      </w:pPr>
      <w:r w:rsidRPr="007D5795">
        <w:rPr>
          <w:rStyle w:val="TextoNormalNegritaCaracter"/>
        </w:rPr>
        <w:t>Artículo 33.</w:t>
      </w:r>
      <w:r w:rsidRPr="007D5795">
        <w:rPr>
          <w:rStyle w:val="TextoNormalCaracter"/>
        </w:rPr>
        <w:t>-</w:t>
      </w:r>
      <w:r>
        <w:t xml:space="preserve"> Sentencia </w:t>
      </w:r>
      <w:hyperlink w:anchor="SENTENCIA_2024_120" w:history="1">
        <w:r w:rsidRPr="007D5795">
          <w:rPr>
            <w:rStyle w:val="TextoNormalCaracter"/>
          </w:rPr>
          <w:t>120/2024</w:t>
        </w:r>
      </w:hyperlink>
      <w:r>
        <w:t>, ff. 5, 6.</w:t>
      </w:r>
    </w:p>
    <w:p w14:paraId="2552A87C" w14:textId="3C964F45" w:rsidR="007D5795" w:rsidRDefault="007D5795" w:rsidP="007D5795">
      <w:pPr>
        <w:pStyle w:val="SangriaFrancesaArticulo"/>
      </w:pPr>
      <w:r w:rsidRPr="007D5795">
        <w:rPr>
          <w:rStyle w:val="TextoNormalNegritaCaracter"/>
        </w:rPr>
        <w:t>Artículo 34.1.</w:t>
      </w:r>
      <w:r w:rsidRPr="007D5795">
        <w:rPr>
          <w:rStyle w:val="TextoNormalCaracter"/>
        </w:rPr>
        <w:t>-</w:t>
      </w:r>
      <w:r>
        <w:t xml:space="preserve"> Auto </w:t>
      </w:r>
      <w:hyperlink w:anchor="AUTO_2024_116" w:history="1">
        <w:r w:rsidRPr="007D5795">
          <w:rPr>
            <w:rStyle w:val="TextoNormalCaracter"/>
          </w:rPr>
          <w:t>116/2024</w:t>
        </w:r>
      </w:hyperlink>
      <w:r>
        <w:t>, f. 2.</w:t>
      </w:r>
    </w:p>
    <w:p w14:paraId="7230763E" w14:textId="673253AB" w:rsidR="007D5795" w:rsidRDefault="007D5795" w:rsidP="007D5795">
      <w:pPr>
        <w:pStyle w:val="SangriaFrancesaArticulo"/>
      </w:pPr>
      <w:r w:rsidRPr="007D5795">
        <w:rPr>
          <w:rStyle w:val="TextoNormalNegritaCaracter"/>
        </w:rPr>
        <w:t>Artículo 34.2.</w:t>
      </w:r>
      <w:r w:rsidRPr="007D5795">
        <w:rPr>
          <w:rStyle w:val="TextoNormalCaracter"/>
        </w:rPr>
        <w:t>-</w:t>
      </w:r>
      <w:r>
        <w:t xml:space="preserve"> Autos </w:t>
      </w:r>
      <w:hyperlink w:anchor="AUTO_2024_116" w:history="1">
        <w:r w:rsidRPr="007D5795">
          <w:rPr>
            <w:rStyle w:val="TextoNormalCaracter"/>
          </w:rPr>
          <w:t>116/2024</w:t>
        </w:r>
      </w:hyperlink>
      <w:r>
        <w:t xml:space="preserve">, f. 2; </w:t>
      </w:r>
      <w:hyperlink w:anchor="AUTO_2024_129" w:history="1">
        <w:r w:rsidRPr="007D5795">
          <w:rPr>
            <w:rStyle w:val="TextoNormalCaracter"/>
          </w:rPr>
          <w:t>129/2024</w:t>
        </w:r>
      </w:hyperlink>
      <w:r>
        <w:t xml:space="preserve">, f. único; </w:t>
      </w:r>
      <w:hyperlink w:anchor="AUTO_2024_130" w:history="1">
        <w:r w:rsidRPr="007D5795">
          <w:rPr>
            <w:rStyle w:val="TextoNormalCaracter"/>
          </w:rPr>
          <w:t>130/2024</w:t>
        </w:r>
      </w:hyperlink>
      <w:r>
        <w:t xml:space="preserve">, f. único; </w:t>
      </w:r>
      <w:hyperlink w:anchor="AUTO_2024_131" w:history="1">
        <w:r w:rsidRPr="007D5795">
          <w:rPr>
            <w:rStyle w:val="TextoNormalCaracter"/>
          </w:rPr>
          <w:t>131/2024</w:t>
        </w:r>
      </w:hyperlink>
      <w:r>
        <w:t xml:space="preserve">, f. único; </w:t>
      </w:r>
      <w:hyperlink w:anchor="AUTO_2024_132" w:history="1">
        <w:r w:rsidRPr="007D5795">
          <w:rPr>
            <w:rStyle w:val="TextoNormalCaracter"/>
          </w:rPr>
          <w:t>132/2024</w:t>
        </w:r>
      </w:hyperlink>
      <w:r>
        <w:t xml:space="preserve">, f. único; </w:t>
      </w:r>
      <w:hyperlink w:anchor="AUTO_2024_133" w:history="1">
        <w:r w:rsidRPr="007D5795">
          <w:rPr>
            <w:rStyle w:val="TextoNormalCaracter"/>
          </w:rPr>
          <w:t>133/2024</w:t>
        </w:r>
      </w:hyperlink>
      <w:r>
        <w:t xml:space="preserve">, f. único; </w:t>
      </w:r>
      <w:hyperlink w:anchor="AUTO_2024_134" w:history="1">
        <w:r w:rsidRPr="007D5795">
          <w:rPr>
            <w:rStyle w:val="TextoNormalCaracter"/>
          </w:rPr>
          <w:t>134/2024</w:t>
        </w:r>
      </w:hyperlink>
      <w:r>
        <w:t xml:space="preserve">, f. único; </w:t>
      </w:r>
      <w:hyperlink w:anchor="AUTO_2024_135" w:history="1">
        <w:r w:rsidRPr="007D5795">
          <w:rPr>
            <w:rStyle w:val="TextoNormalCaracter"/>
          </w:rPr>
          <w:t>135/2024</w:t>
        </w:r>
      </w:hyperlink>
      <w:r>
        <w:t xml:space="preserve">, f. único; </w:t>
      </w:r>
      <w:hyperlink w:anchor="AUTO_2024_136" w:history="1">
        <w:r w:rsidRPr="007D5795">
          <w:rPr>
            <w:rStyle w:val="TextoNormalCaracter"/>
          </w:rPr>
          <w:t>136/2024</w:t>
        </w:r>
      </w:hyperlink>
      <w:r>
        <w:t xml:space="preserve">, f. único; </w:t>
      </w:r>
      <w:hyperlink w:anchor="AUTO_2024_137" w:history="1">
        <w:r w:rsidRPr="007D5795">
          <w:rPr>
            <w:rStyle w:val="TextoNormalCaracter"/>
          </w:rPr>
          <w:t>137/2024</w:t>
        </w:r>
      </w:hyperlink>
      <w:r>
        <w:t xml:space="preserve">, f. único; </w:t>
      </w:r>
      <w:hyperlink w:anchor="AUTO_2024_138" w:history="1">
        <w:r w:rsidRPr="007D5795">
          <w:rPr>
            <w:rStyle w:val="TextoNormalCaracter"/>
          </w:rPr>
          <w:t>138/2024</w:t>
        </w:r>
      </w:hyperlink>
      <w:r>
        <w:t xml:space="preserve">, f. único; </w:t>
      </w:r>
      <w:hyperlink w:anchor="AUTO_2024_139" w:history="1">
        <w:r w:rsidRPr="007D5795">
          <w:rPr>
            <w:rStyle w:val="TextoNormalCaracter"/>
          </w:rPr>
          <w:t>139/2024</w:t>
        </w:r>
      </w:hyperlink>
      <w:r>
        <w:t xml:space="preserve">, f. único; </w:t>
      </w:r>
      <w:hyperlink w:anchor="AUTO_2024_140" w:history="1">
        <w:r w:rsidRPr="007D5795">
          <w:rPr>
            <w:rStyle w:val="TextoNormalCaracter"/>
          </w:rPr>
          <w:t>140/2024</w:t>
        </w:r>
      </w:hyperlink>
      <w:r>
        <w:t xml:space="preserve">, f. único; </w:t>
      </w:r>
      <w:hyperlink w:anchor="AUTO_2024_141" w:history="1">
        <w:r w:rsidRPr="007D5795">
          <w:rPr>
            <w:rStyle w:val="TextoNormalCaracter"/>
          </w:rPr>
          <w:t>141/2024</w:t>
        </w:r>
      </w:hyperlink>
      <w:r>
        <w:t xml:space="preserve">, f. único; </w:t>
      </w:r>
      <w:hyperlink w:anchor="AUTO_2024_142" w:history="1">
        <w:r w:rsidRPr="007D5795">
          <w:rPr>
            <w:rStyle w:val="TextoNormalCaracter"/>
          </w:rPr>
          <w:t>142/2024</w:t>
        </w:r>
      </w:hyperlink>
      <w:r>
        <w:t xml:space="preserve">, f. único; </w:t>
      </w:r>
      <w:hyperlink w:anchor="AUTO_2024_143" w:history="1">
        <w:r w:rsidRPr="007D5795">
          <w:rPr>
            <w:rStyle w:val="TextoNormalCaracter"/>
          </w:rPr>
          <w:t>143/2024</w:t>
        </w:r>
      </w:hyperlink>
      <w:r>
        <w:t xml:space="preserve">, f. único; </w:t>
      </w:r>
      <w:hyperlink w:anchor="AUTO_2024_144" w:history="1">
        <w:r w:rsidRPr="007D5795">
          <w:rPr>
            <w:rStyle w:val="TextoNormalCaracter"/>
          </w:rPr>
          <w:t>144/2024</w:t>
        </w:r>
      </w:hyperlink>
      <w:r>
        <w:t xml:space="preserve">, f. único; </w:t>
      </w:r>
      <w:hyperlink w:anchor="AUTO_2024_145" w:history="1">
        <w:r w:rsidRPr="007D5795">
          <w:rPr>
            <w:rStyle w:val="TextoNormalCaracter"/>
          </w:rPr>
          <w:t>145/2024</w:t>
        </w:r>
      </w:hyperlink>
      <w:r>
        <w:t xml:space="preserve">, f. único; </w:t>
      </w:r>
      <w:hyperlink w:anchor="AUTO_2024_146" w:history="1">
        <w:r w:rsidRPr="007D5795">
          <w:rPr>
            <w:rStyle w:val="TextoNormalCaracter"/>
          </w:rPr>
          <w:t>146/2024</w:t>
        </w:r>
      </w:hyperlink>
      <w:r>
        <w:t>, f. único.</w:t>
      </w:r>
    </w:p>
    <w:p w14:paraId="11B87349" w14:textId="7BD1B8E6" w:rsidR="007D5795" w:rsidRDefault="007D5795" w:rsidP="007D5795">
      <w:pPr>
        <w:pStyle w:val="SangriaFrancesaArticulo"/>
      </w:pPr>
      <w:r w:rsidRPr="007D5795">
        <w:rPr>
          <w:rStyle w:val="TextoNormalNegritaCaracter"/>
        </w:rPr>
        <w:t>Artículo 35.</w:t>
      </w:r>
      <w:r w:rsidRPr="007D5795">
        <w:rPr>
          <w:rStyle w:val="TextoNormalCaracter"/>
        </w:rPr>
        <w:t>-</w:t>
      </w:r>
      <w:r>
        <w:t xml:space="preserve"> Sentencias </w:t>
      </w:r>
      <w:hyperlink w:anchor="SENTENCIA_2024_112" w:history="1">
        <w:r w:rsidRPr="007D5795">
          <w:rPr>
            <w:rStyle w:val="TextoNormalCaracter"/>
          </w:rPr>
          <w:t>112/2024</w:t>
        </w:r>
      </w:hyperlink>
      <w:r>
        <w:t xml:space="preserve">, ff. 1, 2; </w:t>
      </w:r>
      <w:hyperlink w:anchor="SENTENCIA_2024_140" w:history="1">
        <w:r w:rsidRPr="007D5795">
          <w:rPr>
            <w:rStyle w:val="TextoNormalCaracter"/>
          </w:rPr>
          <w:t>140/2024</w:t>
        </w:r>
      </w:hyperlink>
      <w:r>
        <w:t>, f. 2.</w:t>
      </w:r>
    </w:p>
    <w:p w14:paraId="52FD4C95" w14:textId="0F153E71" w:rsidR="007D5795" w:rsidRDefault="007D5795" w:rsidP="007D5795">
      <w:pPr>
        <w:pStyle w:val="SangriaIzquierdaArticulo"/>
      </w:pPr>
      <w:r>
        <w:t xml:space="preserve">Autos </w:t>
      </w:r>
      <w:hyperlink w:anchor="AUTO_2024_73" w:history="1">
        <w:r w:rsidRPr="007D5795">
          <w:rPr>
            <w:rStyle w:val="TextoNormalCaracter"/>
          </w:rPr>
          <w:t>73/2024</w:t>
        </w:r>
      </w:hyperlink>
      <w:r>
        <w:t xml:space="preserve">, ff. 1, 3; </w:t>
      </w:r>
      <w:hyperlink w:anchor="AUTO_2024_102" w:history="1">
        <w:r w:rsidRPr="007D5795">
          <w:rPr>
            <w:rStyle w:val="TextoNormalCaracter"/>
          </w:rPr>
          <w:t>102/2024</w:t>
        </w:r>
      </w:hyperlink>
      <w:r>
        <w:t xml:space="preserve">, ff. 1 a 3; </w:t>
      </w:r>
      <w:hyperlink w:anchor="AUTO_2024_153" w:history="1">
        <w:r w:rsidRPr="007D5795">
          <w:rPr>
            <w:rStyle w:val="TextoNormalCaracter"/>
          </w:rPr>
          <w:t>153/2024</w:t>
        </w:r>
      </w:hyperlink>
      <w:r>
        <w:t>, ff. 1, 4.</w:t>
      </w:r>
    </w:p>
    <w:p w14:paraId="421583E5" w14:textId="0AC7780A" w:rsidR="007D5795" w:rsidRDefault="007D5795" w:rsidP="007D5795">
      <w:pPr>
        <w:pStyle w:val="SangriaFrancesaArticulo"/>
      </w:pPr>
      <w:r w:rsidRPr="007D5795">
        <w:rPr>
          <w:rStyle w:val="TextoNormalNegritaCaracter"/>
        </w:rPr>
        <w:t>Artículo 35.1.</w:t>
      </w:r>
      <w:r w:rsidRPr="007D5795">
        <w:rPr>
          <w:rStyle w:val="TextoNormalCaracter"/>
        </w:rPr>
        <w:t>-</w:t>
      </w:r>
      <w:r>
        <w:t xml:space="preserve"> Auto </w:t>
      </w:r>
      <w:hyperlink w:anchor="AUTO_2024_153" w:history="1">
        <w:r w:rsidRPr="007D5795">
          <w:rPr>
            <w:rStyle w:val="TextoNormalCaracter"/>
          </w:rPr>
          <w:t>153/2024</w:t>
        </w:r>
      </w:hyperlink>
      <w:r>
        <w:t>, f. 4.</w:t>
      </w:r>
    </w:p>
    <w:p w14:paraId="15D2A4FE" w14:textId="247D3FE7" w:rsidR="007D5795" w:rsidRDefault="007D5795" w:rsidP="007D5795">
      <w:pPr>
        <w:pStyle w:val="SangriaFrancesaArticulo"/>
      </w:pPr>
      <w:r w:rsidRPr="007D5795">
        <w:rPr>
          <w:rStyle w:val="TextoNormalNegritaCaracter"/>
        </w:rPr>
        <w:t>Artículo 35.2.</w:t>
      </w:r>
      <w:r w:rsidRPr="007D5795">
        <w:rPr>
          <w:rStyle w:val="TextoNormalCaracter"/>
        </w:rPr>
        <w:t>-</w:t>
      </w:r>
      <w:r>
        <w:t xml:space="preserve"> Sentencias </w:t>
      </w:r>
      <w:hyperlink w:anchor="SENTENCIA_2024_112" w:history="1">
        <w:r w:rsidRPr="007D5795">
          <w:rPr>
            <w:rStyle w:val="TextoNormalCaracter"/>
          </w:rPr>
          <w:t>112/2024</w:t>
        </w:r>
      </w:hyperlink>
      <w:r>
        <w:t xml:space="preserve">, f. 2; </w:t>
      </w:r>
      <w:hyperlink w:anchor="SENTENCIA_2024_140" w:history="1">
        <w:r w:rsidRPr="007D5795">
          <w:rPr>
            <w:rStyle w:val="TextoNormalCaracter"/>
          </w:rPr>
          <w:t>140/2024</w:t>
        </w:r>
      </w:hyperlink>
      <w:r>
        <w:t>, f. 2.</w:t>
      </w:r>
    </w:p>
    <w:p w14:paraId="4AF62291" w14:textId="55D827FF" w:rsidR="007D5795" w:rsidRDefault="007D5795" w:rsidP="007D5795">
      <w:pPr>
        <w:pStyle w:val="SangriaIzquierdaArticulo"/>
      </w:pPr>
      <w:r>
        <w:t xml:space="preserve">Autos </w:t>
      </w:r>
      <w:hyperlink w:anchor="AUTO_2024_65" w:history="1">
        <w:r w:rsidRPr="007D5795">
          <w:rPr>
            <w:rStyle w:val="TextoNormalCaracter"/>
          </w:rPr>
          <w:t>65/2024</w:t>
        </w:r>
      </w:hyperlink>
      <w:r>
        <w:t xml:space="preserve">, ff. 1, 2; </w:t>
      </w:r>
      <w:hyperlink w:anchor="AUTO_2024_66" w:history="1">
        <w:r w:rsidRPr="007D5795">
          <w:rPr>
            <w:rStyle w:val="TextoNormalCaracter"/>
          </w:rPr>
          <w:t>66/2024</w:t>
        </w:r>
      </w:hyperlink>
      <w:r>
        <w:t xml:space="preserve">, ff. 1, 2; </w:t>
      </w:r>
      <w:hyperlink w:anchor="AUTO_2024_73" w:history="1">
        <w:r w:rsidRPr="007D5795">
          <w:rPr>
            <w:rStyle w:val="TextoNormalCaracter"/>
          </w:rPr>
          <w:t>73/2024</w:t>
        </w:r>
      </w:hyperlink>
      <w:r>
        <w:t xml:space="preserve">, f. 3; </w:t>
      </w:r>
      <w:hyperlink w:anchor="AUTO_2024_153" w:history="1">
        <w:r w:rsidRPr="007D5795">
          <w:rPr>
            <w:rStyle w:val="TextoNormalCaracter"/>
          </w:rPr>
          <w:t>153/2024</w:t>
        </w:r>
      </w:hyperlink>
      <w:r>
        <w:t>, f. 3.</w:t>
      </w:r>
    </w:p>
    <w:p w14:paraId="787FBB8B" w14:textId="5FFEEA2D" w:rsidR="007D5795" w:rsidRDefault="007D5795" w:rsidP="007D5795">
      <w:pPr>
        <w:pStyle w:val="SangriaFrancesaArticulo"/>
      </w:pPr>
      <w:r w:rsidRPr="007D5795">
        <w:rPr>
          <w:rStyle w:val="TextoNormalNegritaCaracter"/>
        </w:rPr>
        <w:t>Artículos 35 a 37.</w:t>
      </w:r>
      <w:r w:rsidRPr="007D5795">
        <w:rPr>
          <w:rStyle w:val="TextoNormalCaracter"/>
        </w:rPr>
        <w:t>-</w:t>
      </w:r>
      <w:r>
        <w:t xml:space="preserve"> Auto </w:t>
      </w:r>
      <w:hyperlink w:anchor="AUTO_2024_153" w:history="1">
        <w:r w:rsidRPr="007D5795">
          <w:rPr>
            <w:rStyle w:val="TextoNormalCaracter"/>
          </w:rPr>
          <w:t>153/2024</w:t>
        </w:r>
      </w:hyperlink>
      <w:r>
        <w:t>, f. 2.</w:t>
      </w:r>
    </w:p>
    <w:p w14:paraId="14D63DD3" w14:textId="1C08168F" w:rsidR="007D5795" w:rsidRDefault="007D5795" w:rsidP="007D5795">
      <w:pPr>
        <w:pStyle w:val="SangriaFrancesaArticulo"/>
      </w:pPr>
      <w:r w:rsidRPr="007D5795">
        <w:rPr>
          <w:rStyle w:val="TextoNormalNegritaCaracter"/>
        </w:rPr>
        <w:t>Artículo 36.</w:t>
      </w:r>
      <w:r w:rsidRPr="007D5795">
        <w:rPr>
          <w:rStyle w:val="TextoNormalCaracter"/>
        </w:rPr>
        <w:t>-</w:t>
      </w:r>
      <w:r>
        <w:t xml:space="preserve"> Auto </w:t>
      </w:r>
      <w:hyperlink w:anchor="AUTO_2024_65" w:history="1">
        <w:r w:rsidRPr="007D5795">
          <w:rPr>
            <w:rStyle w:val="TextoNormalCaracter"/>
          </w:rPr>
          <w:t>65/2024</w:t>
        </w:r>
      </w:hyperlink>
      <w:r>
        <w:t>, f. 2.</w:t>
      </w:r>
    </w:p>
    <w:p w14:paraId="5E1514D2" w14:textId="4E24933A" w:rsidR="007D5795" w:rsidRDefault="007D5795" w:rsidP="007D5795">
      <w:pPr>
        <w:pStyle w:val="SangriaFrancesaArticulo"/>
      </w:pPr>
      <w:r w:rsidRPr="007D5795">
        <w:rPr>
          <w:rStyle w:val="TextoNormalNegritaCaracter"/>
        </w:rPr>
        <w:t>Artículo 37.1.</w:t>
      </w:r>
      <w:r w:rsidRPr="007D5795">
        <w:rPr>
          <w:rStyle w:val="TextoNormalCaracter"/>
        </w:rPr>
        <w:t>-</w:t>
      </w:r>
      <w:r>
        <w:t xml:space="preserve"> Autos </w:t>
      </w:r>
      <w:hyperlink w:anchor="AUTO_2024_65" w:history="1">
        <w:r w:rsidRPr="007D5795">
          <w:rPr>
            <w:rStyle w:val="TextoNormalCaracter"/>
          </w:rPr>
          <w:t>65/2024</w:t>
        </w:r>
      </w:hyperlink>
      <w:r>
        <w:t xml:space="preserve">, ff. 1, 2; </w:t>
      </w:r>
      <w:hyperlink w:anchor="AUTO_2024_66" w:history="1">
        <w:r w:rsidRPr="007D5795">
          <w:rPr>
            <w:rStyle w:val="TextoNormalCaracter"/>
          </w:rPr>
          <w:t>66/2024</w:t>
        </w:r>
      </w:hyperlink>
      <w:r>
        <w:t xml:space="preserve">, ff. 1, 2; </w:t>
      </w:r>
      <w:hyperlink w:anchor="AUTO_2024_73" w:history="1">
        <w:r w:rsidRPr="007D5795">
          <w:rPr>
            <w:rStyle w:val="TextoNormalCaracter"/>
          </w:rPr>
          <w:t>73/2024</w:t>
        </w:r>
      </w:hyperlink>
      <w:r>
        <w:t xml:space="preserve">, ff. 1, 2; </w:t>
      </w:r>
      <w:hyperlink w:anchor="AUTO_2024_81" w:history="1">
        <w:r w:rsidRPr="007D5795">
          <w:rPr>
            <w:rStyle w:val="TextoNormalCaracter"/>
          </w:rPr>
          <w:t>81/2024</w:t>
        </w:r>
      </w:hyperlink>
      <w:r>
        <w:t xml:space="preserve">, f. 2; </w:t>
      </w:r>
      <w:hyperlink w:anchor="AUTO_2024_89" w:history="1">
        <w:r w:rsidRPr="007D5795">
          <w:rPr>
            <w:rStyle w:val="TextoNormalCaracter"/>
          </w:rPr>
          <w:t>89/2024</w:t>
        </w:r>
      </w:hyperlink>
      <w:r>
        <w:t xml:space="preserve">, f. 2; </w:t>
      </w:r>
      <w:hyperlink w:anchor="AUTO_2024_101" w:history="1">
        <w:r w:rsidRPr="007D5795">
          <w:rPr>
            <w:rStyle w:val="TextoNormalCaracter"/>
          </w:rPr>
          <w:t>101/2024</w:t>
        </w:r>
      </w:hyperlink>
      <w:r>
        <w:t xml:space="preserve">, ff. 1, 2; </w:t>
      </w:r>
      <w:hyperlink w:anchor="AUTO_2024_102" w:history="1">
        <w:r w:rsidRPr="007D5795">
          <w:rPr>
            <w:rStyle w:val="TextoNormalCaracter"/>
          </w:rPr>
          <w:t>102/2024</w:t>
        </w:r>
      </w:hyperlink>
      <w:r>
        <w:t xml:space="preserve">, ff. 1 a 3; </w:t>
      </w:r>
      <w:hyperlink w:anchor="AUTO_2024_153" w:history="1">
        <w:r w:rsidRPr="007D5795">
          <w:rPr>
            <w:rStyle w:val="TextoNormalCaracter"/>
          </w:rPr>
          <w:t>153/2024</w:t>
        </w:r>
      </w:hyperlink>
      <w:r>
        <w:t>, ff. 1, 2.</w:t>
      </w:r>
    </w:p>
    <w:p w14:paraId="38AAD8F3" w14:textId="3AD5F5DF" w:rsidR="007D5795" w:rsidRDefault="007D5795" w:rsidP="007D5795">
      <w:pPr>
        <w:pStyle w:val="SangriaFrancesaArticulo"/>
      </w:pPr>
      <w:r w:rsidRPr="007D5795">
        <w:rPr>
          <w:rStyle w:val="TextoNormalNegritaCaracter"/>
        </w:rPr>
        <w:t>Artículo 38.1.</w:t>
      </w:r>
      <w:r w:rsidRPr="007D5795">
        <w:rPr>
          <w:rStyle w:val="TextoNormalCaracter"/>
        </w:rPr>
        <w:t>-</w:t>
      </w:r>
      <w:r>
        <w:t xml:space="preserve"> Sentencia </w:t>
      </w:r>
      <w:hyperlink w:anchor="SENTENCIA_2024_140" w:history="1">
        <w:r w:rsidRPr="007D5795">
          <w:rPr>
            <w:rStyle w:val="TextoNormalCaracter"/>
          </w:rPr>
          <w:t>140/2024</w:t>
        </w:r>
      </w:hyperlink>
      <w:r>
        <w:t>, f. 7.</w:t>
      </w:r>
    </w:p>
    <w:p w14:paraId="2BFB7024" w14:textId="512E1ACC" w:rsidR="007D5795" w:rsidRDefault="007D5795" w:rsidP="007D5795">
      <w:pPr>
        <w:pStyle w:val="SangriaFrancesaArticulo"/>
      </w:pPr>
      <w:r w:rsidRPr="007D5795">
        <w:rPr>
          <w:rStyle w:val="TextoNormalNegritaCaracter"/>
        </w:rPr>
        <w:t>Artículo 39.</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7B743D95" w14:textId="406AF2C4" w:rsidR="007D5795" w:rsidRDefault="007D5795" w:rsidP="007D5795">
      <w:pPr>
        <w:pStyle w:val="SangriaFrancesaArticulo"/>
      </w:pPr>
      <w:r w:rsidRPr="007D5795">
        <w:rPr>
          <w:rStyle w:val="TextoNormalNegritaCaracter"/>
        </w:rPr>
        <w:t>Artículo 39.1.</w:t>
      </w:r>
      <w:r w:rsidRPr="007D5795">
        <w:rPr>
          <w:rStyle w:val="TextoNormalCaracter"/>
        </w:rPr>
        <w:t>-</w:t>
      </w:r>
      <w:r>
        <w:t xml:space="preserve"> Sentencias </w:t>
      </w:r>
      <w:hyperlink w:anchor="SENTENCIA_2024_112" w:history="1">
        <w:r w:rsidRPr="007D5795">
          <w:rPr>
            <w:rStyle w:val="TextoNormalCaracter"/>
          </w:rPr>
          <w:t>112/2024</w:t>
        </w:r>
      </w:hyperlink>
      <w:r>
        <w:t xml:space="preserve">, f. 5; </w:t>
      </w:r>
      <w:hyperlink w:anchor="SENTENCIA_2024_120" w:history="1">
        <w:r w:rsidRPr="007D5795">
          <w:rPr>
            <w:rStyle w:val="TextoNormalCaracter"/>
          </w:rPr>
          <w:t>120/2024</w:t>
        </w:r>
      </w:hyperlink>
      <w:r>
        <w:t xml:space="preserve">, VP I; </w:t>
      </w:r>
      <w:hyperlink w:anchor="SENTENCIA_2024_121" w:history="1">
        <w:r w:rsidRPr="007D5795">
          <w:rPr>
            <w:rStyle w:val="TextoNormalCaracter"/>
          </w:rPr>
          <w:t>121/2024</w:t>
        </w:r>
      </w:hyperlink>
      <w:r>
        <w:t xml:space="preserve">, VP I; </w:t>
      </w:r>
      <w:hyperlink w:anchor="SENTENCIA_2024_136" w:history="1">
        <w:r w:rsidRPr="007D5795">
          <w:rPr>
            <w:rStyle w:val="TextoNormalCaracter"/>
          </w:rPr>
          <w:t>136/2024</w:t>
        </w:r>
      </w:hyperlink>
      <w:r>
        <w:t xml:space="preserve">, f. 5; </w:t>
      </w:r>
      <w:hyperlink w:anchor="SENTENCIA_2024_140" w:history="1">
        <w:r w:rsidRPr="007D5795">
          <w:rPr>
            <w:rStyle w:val="TextoNormalCaracter"/>
          </w:rPr>
          <w:t>140/2024</w:t>
        </w:r>
      </w:hyperlink>
      <w:r>
        <w:t xml:space="preserve">, f. 7, VP II; </w:t>
      </w:r>
      <w:hyperlink w:anchor="SENTENCIA_2024_141" w:history="1">
        <w:r w:rsidRPr="007D5795">
          <w:rPr>
            <w:rStyle w:val="TextoNormalCaracter"/>
          </w:rPr>
          <w:t>141/2024</w:t>
        </w:r>
      </w:hyperlink>
      <w:r>
        <w:t>, ff. 3, 4.</w:t>
      </w:r>
    </w:p>
    <w:p w14:paraId="3D62FAB4" w14:textId="25084DFF" w:rsidR="007D5795" w:rsidRDefault="007D5795" w:rsidP="007D5795">
      <w:pPr>
        <w:pStyle w:val="SangriaFrancesaArticulo"/>
      </w:pPr>
      <w:r w:rsidRPr="007D5795">
        <w:rPr>
          <w:rStyle w:val="TextoNormalNegritaCaracter"/>
        </w:rPr>
        <w:t>Artículo 39.2.</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756B4F2A" w14:textId="055AC67E" w:rsidR="007D5795" w:rsidRDefault="007D5795" w:rsidP="007D5795">
      <w:pPr>
        <w:pStyle w:val="SangriaFrancesaArticulo"/>
      </w:pPr>
      <w:r w:rsidRPr="007D5795">
        <w:rPr>
          <w:rStyle w:val="TextoNormalNegritaCaracter"/>
        </w:rPr>
        <w:t>Artículo 40.</w:t>
      </w:r>
      <w:r w:rsidRPr="007D5795">
        <w:rPr>
          <w:rStyle w:val="TextoNormalCaracter"/>
        </w:rPr>
        <w:t>-</w:t>
      </w:r>
      <w:r>
        <w:t xml:space="preserve"> Sentencias </w:t>
      </w:r>
      <w:hyperlink w:anchor="SENTENCIA_2024_117" w:history="1">
        <w:r w:rsidRPr="007D5795">
          <w:rPr>
            <w:rStyle w:val="TextoNormalCaracter"/>
          </w:rPr>
          <w:t>117/2024</w:t>
        </w:r>
      </w:hyperlink>
      <w:r>
        <w:t xml:space="preserve">, f. 4; </w:t>
      </w:r>
      <w:hyperlink w:anchor="SENTENCIA_2024_139" w:history="1">
        <w:r w:rsidRPr="007D5795">
          <w:rPr>
            <w:rStyle w:val="TextoNormalCaracter"/>
          </w:rPr>
          <w:t>139/2024</w:t>
        </w:r>
      </w:hyperlink>
      <w:r>
        <w:t>, VP II.</w:t>
      </w:r>
    </w:p>
    <w:p w14:paraId="6282D72B" w14:textId="625F5ED0" w:rsidR="007D5795" w:rsidRDefault="007D5795" w:rsidP="007D5795">
      <w:pPr>
        <w:pStyle w:val="SangriaFrancesaArticulo"/>
      </w:pPr>
      <w:r w:rsidRPr="007D5795">
        <w:rPr>
          <w:rStyle w:val="TextoNormalNegritaCaracter"/>
        </w:rPr>
        <w:t>Artículo 40.1.</w:t>
      </w:r>
      <w:r w:rsidRPr="007D5795">
        <w:rPr>
          <w:rStyle w:val="TextoNormalCaracter"/>
        </w:rPr>
        <w:t>-</w:t>
      </w:r>
      <w:r>
        <w:t xml:space="preserve"> Sentencias </w:t>
      </w:r>
      <w:hyperlink w:anchor="SENTENCIA_2024_120" w:history="1">
        <w:r w:rsidRPr="007D5795">
          <w:rPr>
            <w:rStyle w:val="TextoNormalCaracter"/>
          </w:rPr>
          <w:t>120/2024</w:t>
        </w:r>
      </w:hyperlink>
      <w:r>
        <w:t xml:space="preserve">, f. 9; </w:t>
      </w:r>
      <w:hyperlink w:anchor="SENTENCIA_2024_140" w:history="1">
        <w:r w:rsidRPr="007D5795">
          <w:rPr>
            <w:rStyle w:val="TextoNormalCaracter"/>
          </w:rPr>
          <w:t>140/2024</w:t>
        </w:r>
      </w:hyperlink>
      <w:r>
        <w:t>, f. 7.</w:t>
      </w:r>
    </w:p>
    <w:p w14:paraId="1E5F4E88" w14:textId="4641DF7D" w:rsidR="007D5795" w:rsidRDefault="007D5795" w:rsidP="007D5795">
      <w:pPr>
        <w:pStyle w:val="SangriaFrancesaArticulo"/>
      </w:pPr>
      <w:r w:rsidRPr="007D5795">
        <w:rPr>
          <w:rStyle w:val="TextoNormalNegritaCaracter"/>
        </w:rPr>
        <w:t xml:space="preserve">Artículo 40.1 </w:t>
      </w:r>
      <w:r w:rsidRPr="007D5795">
        <w:rPr>
          <w:rStyle w:val="TextoNormalNegritaCursivaCaracter"/>
        </w:rPr>
        <w:t>in fine</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9.</w:t>
      </w:r>
    </w:p>
    <w:p w14:paraId="4BE5A4AA" w14:textId="3D9325B7" w:rsidR="007D5795" w:rsidRDefault="007D5795" w:rsidP="007D5795">
      <w:pPr>
        <w:pStyle w:val="SangriaFrancesaArticulo"/>
      </w:pPr>
      <w:r w:rsidRPr="007D5795">
        <w:rPr>
          <w:rStyle w:val="TextoNormalNegritaCaracter"/>
        </w:rPr>
        <w:t>Artículo 40.2.</w:t>
      </w:r>
      <w:r w:rsidRPr="007D5795">
        <w:rPr>
          <w:rStyle w:val="TextoNormalCaracter"/>
        </w:rPr>
        <w:t>-</w:t>
      </w:r>
      <w:r>
        <w:t xml:space="preserve"> Sentencias </w:t>
      </w:r>
      <w:hyperlink w:anchor="SENTENCIA_2024_95" w:history="1">
        <w:r w:rsidRPr="007D5795">
          <w:rPr>
            <w:rStyle w:val="TextoNormalCaracter"/>
          </w:rPr>
          <w:t>95/2024</w:t>
        </w:r>
      </w:hyperlink>
      <w:r>
        <w:t xml:space="preserve">, f. 3; </w:t>
      </w:r>
      <w:hyperlink w:anchor="SENTENCIA_2024_96" w:history="1">
        <w:r w:rsidRPr="007D5795">
          <w:rPr>
            <w:rStyle w:val="TextoNormalCaracter"/>
          </w:rPr>
          <w:t>96/2024</w:t>
        </w:r>
      </w:hyperlink>
      <w:r>
        <w:t xml:space="preserve">, ff. 5, 6; </w:t>
      </w:r>
      <w:hyperlink w:anchor="SENTENCIA_2024_97" w:history="1">
        <w:r w:rsidRPr="007D5795">
          <w:rPr>
            <w:rStyle w:val="TextoNormalCaracter"/>
          </w:rPr>
          <w:t>97/2024</w:t>
        </w:r>
      </w:hyperlink>
      <w:r>
        <w:t xml:space="preserve">, ff. 4, 5; </w:t>
      </w:r>
      <w:hyperlink w:anchor="SENTENCIA_2024_98" w:history="1">
        <w:r w:rsidRPr="007D5795">
          <w:rPr>
            <w:rStyle w:val="TextoNormalCaracter"/>
          </w:rPr>
          <w:t>98/2024</w:t>
        </w:r>
      </w:hyperlink>
      <w:r>
        <w:t xml:space="preserve">, ff. 4, 5; </w:t>
      </w:r>
      <w:hyperlink w:anchor="SENTENCIA_2024_99" w:history="1">
        <w:r w:rsidRPr="007D5795">
          <w:rPr>
            <w:rStyle w:val="TextoNormalCaracter"/>
          </w:rPr>
          <w:t>99/2024</w:t>
        </w:r>
      </w:hyperlink>
      <w:r>
        <w:t xml:space="preserve">, f. 3; </w:t>
      </w:r>
      <w:hyperlink w:anchor="SENTENCIA_2024_100" w:history="1">
        <w:r w:rsidRPr="007D5795">
          <w:rPr>
            <w:rStyle w:val="TextoNormalCaracter"/>
          </w:rPr>
          <w:t>100/2024</w:t>
        </w:r>
      </w:hyperlink>
      <w:r>
        <w:t xml:space="preserve">, ff. 4, 5; </w:t>
      </w:r>
      <w:hyperlink w:anchor="SENTENCIA_2024_102" w:history="1">
        <w:r w:rsidRPr="007D5795">
          <w:rPr>
            <w:rStyle w:val="TextoNormalCaracter"/>
          </w:rPr>
          <w:t>102/2024</w:t>
        </w:r>
      </w:hyperlink>
      <w:r>
        <w:t xml:space="preserve">, f. 4; </w:t>
      </w:r>
      <w:hyperlink w:anchor="SENTENCIA_2024_103" w:history="1">
        <w:r w:rsidRPr="007D5795">
          <w:rPr>
            <w:rStyle w:val="TextoNormalCaracter"/>
          </w:rPr>
          <w:t>103/2024</w:t>
        </w:r>
      </w:hyperlink>
      <w:r>
        <w:t xml:space="preserve">, f. 4; </w:t>
      </w:r>
      <w:hyperlink w:anchor="SENTENCIA_2024_117" w:history="1">
        <w:r w:rsidRPr="007D5795">
          <w:rPr>
            <w:rStyle w:val="TextoNormalCaracter"/>
          </w:rPr>
          <w:t>117/2024</w:t>
        </w:r>
      </w:hyperlink>
      <w:r>
        <w:t xml:space="preserve">, f. 4; </w:t>
      </w:r>
      <w:hyperlink w:anchor="SENTENCIA_2024_146" w:history="1">
        <w:r w:rsidRPr="007D5795">
          <w:rPr>
            <w:rStyle w:val="TextoNormalCaracter"/>
          </w:rPr>
          <w:t>146/2024</w:t>
        </w:r>
      </w:hyperlink>
      <w:r>
        <w:t>, f. 8.</w:t>
      </w:r>
    </w:p>
    <w:p w14:paraId="61A8FA27" w14:textId="78797C6E" w:rsidR="007D5795" w:rsidRDefault="007D5795" w:rsidP="007D5795">
      <w:pPr>
        <w:pStyle w:val="SangriaFrancesaArticulo"/>
      </w:pPr>
      <w:r w:rsidRPr="007D5795">
        <w:rPr>
          <w:rStyle w:val="TextoNormalNegritaCaracter"/>
        </w:rPr>
        <w:t>Artículo 41.1.</w:t>
      </w:r>
      <w:r w:rsidRPr="007D5795">
        <w:rPr>
          <w:rStyle w:val="TextoNormalCaracter"/>
        </w:rPr>
        <w:t>-</w:t>
      </w:r>
      <w:r>
        <w:t xml:space="preserve"> Sentencia </w:t>
      </w:r>
      <w:hyperlink w:anchor="SENTENCIA_2024_122" w:history="1">
        <w:r w:rsidRPr="007D5795">
          <w:rPr>
            <w:rStyle w:val="TextoNormalCaracter"/>
          </w:rPr>
          <w:t>122/2024</w:t>
        </w:r>
      </w:hyperlink>
      <w:r>
        <w:t>, f. 2.</w:t>
      </w:r>
    </w:p>
    <w:p w14:paraId="381FF129" w14:textId="7D2AD0B4" w:rsidR="007D5795" w:rsidRDefault="007D5795" w:rsidP="007D5795">
      <w:pPr>
        <w:pStyle w:val="SangriaFrancesaArticulo"/>
      </w:pPr>
      <w:r w:rsidRPr="007D5795">
        <w:rPr>
          <w:rStyle w:val="TextoNormalNegritaCaracter"/>
        </w:rPr>
        <w:t>Artículo 42.</w:t>
      </w:r>
      <w:r w:rsidRPr="007D5795">
        <w:rPr>
          <w:rStyle w:val="TextoNormalCaracter"/>
        </w:rPr>
        <w:t>-</w:t>
      </w:r>
      <w:r>
        <w:t xml:space="preserve"> Sentencias </w:t>
      </w:r>
      <w:hyperlink w:anchor="SENTENCIA_2024_114" w:history="1">
        <w:r w:rsidRPr="007D5795">
          <w:rPr>
            <w:rStyle w:val="TextoNormalCaracter"/>
          </w:rPr>
          <w:t>114/2024</w:t>
        </w:r>
      </w:hyperlink>
      <w:r>
        <w:t xml:space="preserve">, f. 2; </w:t>
      </w:r>
      <w:hyperlink w:anchor="SENTENCIA_2024_137" w:history="1">
        <w:r w:rsidRPr="007D5795">
          <w:rPr>
            <w:rStyle w:val="TextoNormalCaracter"/>
          </w:rPr>
          <w:t>137/2024</w:t>
        </w:r>
      </w:hyperlink>
      <w:r>
        <w:t>, f. 2.</w:t>
      </w:r>
    </w:p>
    <w:p w14:paraId="00C0DEE4" w14:textId="5C296492" w:rsidR="007D5795" w:rsidRDefault="007D5795" w:rsidP="007D5795">
      <w:pPr>
        <w:pStyle w:val="SangriaIzquierdaArticulo"/>
      </w:pPr>
      <w:r>
        <w:t xml:space="preserve">Auto </w:t>
      </w:r>
      <w:hyperlink w:anchor="AUTO_2024_96" w:history="1">
        <w:r w:rsidRPr="007D5795">
          <w:rPr>
            <w:rStyle w:val="TextoNormalCaracter"/>
          </w:rPr>
          <w:t>96/2024</w:t>
        </w:r>
      </w:hyperlink>
      <w:r>
        <w:t>, f. 1.</w:t>
      </w:r>
    </w:p>
    <w:p w14:paraId="4DE93A9A" w14:textId="61CE8DA6" w:rsidR="007D5795" w:rsidRDefault="007D5795" w:rsidP="007D5795">
      <w:pPr>
        <w:pStyle w:val="SangriaFrancesaArticulo"/>
      </w:pPr>
      <w:r w:rsidRPr="007D5795">
        <w:rPr>
          <w:rStyle w:val="TextoNormalNegritaCaracter"/>
        </w:rPr>
        <w:t>Artículo 43.</w:t>
      </w:r>
      <w:r w:rsidRPr="007D5795">
        <w:rPr>
          <w:rStyle w:val="TextoNormalCaracter"/>
        </w:rPr>
        <w:t>-</w:t>
      </w:r>
      <w:r>
        <w:t xml:space="preserve"> Sentencia </w:t>
      </w:r>
      <w:hyperlink w:anchor="SENTENCIA_2024_116" w:history="1">
        <w:r w:rsidRPr="007D5795">
          <w:rPr>
            <w:rStyle w:val="TextoNormalCaracter"/>
          </w:rPr>
          <w:t>116/2024</w:t>
        </w:r>
      </w:hyperlink>
      <w:r>
        <w:t>, f. 2.</w:t>
      </w:r>
    </w:p>
    <w:p w14:paraId="147BA9E8" w14:textId="49E1EB8E" w:rsidR="007D5795" w:rsidRDefault="007D5795" w:rsidP="007D5795">
      <w:pPr>
        <w:pStyle w:val="SangriaFrancesaArticulo"/>
      </w:pPr>
      <w:r w:rsidRPr="007D5795">
        <w:rPr>
          <w:rStyle w:val="TextoNormalNegritaCaracter"/>
        </w:rPr>
        <w:t>Artículo 44.</w:t>
      </w:r>
      <w:r w:rsidRPr="007D5795">
        <w:rPr>
          <w:rStyle w:val="TextoNormalCaracter"/>
        </w:rPr>
        <w:t>-</w:t>
      </w:r>
      <w:r>
        <w:t xml:space="preserve"> Sentencias </w:t>
      </w:r>
      <w:hyperlink w:anchor="SENTENCIA_2024_100" w:history="1">
        <w:r w:rsidRPr="007D5795">
          <w:rPr>
            <w:rStyle w:val="TextoNormalCaracter"/>
          </w:rPr>
          <w:t>100/2024</w:t>
        </w:r>
      </w:hyperlink>
      <w:r>
        <w:t xml:space="preserve">, f. 1; </w:t>
      </w:r>
      <w:hyperlink w:anchor="SENTENCIA_2024_116" w:history="1">
        <w:r w:rsidRPr="007D5795">
          <w:rPr>
            <w:rStyle w:val="TextoNormalCaracter"/>
          </w:rPr>
          <w:t>116/2024</w:t>
        </w:r>
      </w:hyperlink>
      <w:r>
        <w:t xml:space="preserve">, ff. 1, 2; </w:t>
      </w:r>
      <w:hyperlink w:anchor="SENTENCIA_2024_118" w:history="1">
        <w:r w:rsidRPr="007D5795">
          <w:rPr>
            <w:rStyle w:val="TextoNormalCaracter"/>
          </w:rPr>
          <w:t>118/2024</w:t>
        </w:r>
      </w:hyperlink>
      <w:r>
        <w:t xml:space="preserve">, VP I; </w:t>
      </w:r>
      <w:hyperlink w:anchor="SENTENCIA_2024_152" w:history="1">
        <w:r w:rsidRPr="007D5795">
          <w:rPr>
            <w:rStyle w:val="TextoNormalCaracter"/>
          </w:rPr>
          <w:t>152/2024</w:t>
        </w:r>
      </w:hyperlink>
      <w:r>
        <w:t>, f. 4.</w:t>
      </w:r>
    </w:p>
    <w:p w14:paraId="4068B4A0" w14:textId="6901E735" w:rsidR="007D5795" w:rsidRDefault="007D5795" w:rsidP="007D5795">
      <w:pPr>
        <w:pStyle w:val="SangriaFrancesaArticulo"/>
      </w:pPr>
      <w:r w:rsidRPr="007D5795">
        <w:rPr>
          <w:rStyle w:val="TextoNormalNegritaCaracter"/>
        </w:rPr>
        <w:t>Artículo 44.1.</w:t>
      </w:r>
      <w:r w:rsidRPr="007D5795">
        <w:rPr>
          <w:rStyle w:val="TextoNormalCaracter"/>
        </w:rPr>
        <w:t>-</w:t>
      </w:r>
      <w:r>
        <w:t xml:space="preserve"> Sentencia </w:t>
      </w:r>
      <w:hyperlink w:anchor="SENTENCIA_2024_103" w:history="1">
        <w:r w:rsidRPr="007D5795">
          <w:rPr>
            <w:rStyle w:val="TextoNormalCaracter"/>
          </w:rPr>
          <w:t>103/2024</w:t>
        </w:r>
      </w:hyperlink>
      <w:r>
        <w:t>, VP I.</w:t>
      </w:r>
    </w:p>
    <w:p w14:paraId="1465A271" w14:textId="4771C491" w:rsidR="007D5795" w:rsidRDefault="007D5795" w:rsidP="007D5795">
      <w:pPr>
        <w:pStyle w:val="SangriaIzquierdaArticulo"/>
      </w:pPr>
      <w:r>
        <w:t xml:space="preserve">Auto </w:t>
      </w:r>
      <w:hyperlink w:anchor="AUTO_2024_92" w:history="1">
        <w:r w:rsidRPr="007D5795">
          <w:rPr>
            <w:rStyle w:val="TextoNormalCaracter"/>
          </w:rPr>
          <w:t>92/2024</w:t>
        </w:r>
      </w:hyperlink>
      <w:r>
        <w:t>, f. 1.</w:t>
      </w:r>
    </w:p>
    <w:p w14:paraId="46833134" w14:textId="717EA69C" w:rsidR="007D5795" w:rsidRDefault="007D5795" w:rsidP="007D5795">
      <w:pPr>
        <w:pStyle w:val="SangriaFrancesaArticulo"/>
      </w:pPr>
      <w:r w:rsidRPr="007D5795">
        <w:rPr>
          <w:rStyle w:val="TextoNormalNegritaCaracter"/>
        </w:rPr>
        <w:t>Artículo 44.1 a).</w:t>
      </w:r>
      <w:r w:rsidRPr="007D5795">
        <w:rPr>
          <w:rStyle w:val="TextoNormalCaracter"/>
        </w:rPr>
        <w:t>-</w:t>
      </w:r>
      <w:r>
        <w:t xml:space="preserve"> Sentencias </w:t>
      </w:r>
      <w:hyperlink w:anchor="SENTENCIA_2024_106" w:history="1">
        <w:r w:rsidRPr="007D5795">
          <w:rPr>
            <w:rStyle w:val="TextoNormalCaracter"/>
          </w:rPr>
          <w:t>106/2024</w:t>
        </w:r>
      </w:hyperlink>
      <w:r>
        <w:t xml:space="preserve">, f. 1; </w:t>
      </w:r>
      <w:hyperlink w:anchor="SENTENCIA_2024_116" w:history="1">
        <w:r w:rsidRPr="007D5795">
          <w:rPr>
            <w:rStyle w:val="TextoNormalCaracter"/>
          </w:rPr>
          <w:t>116/2024</w:t>
        </w:r>
      </w:hyperlink>
      <w:r>
        <w:t xml:space="preserve">, f. 2; </w:t>
      </w:r>
      <w:hyperlink w:anchor="SENTENCIA_2024_118" w:history="1">
        <w:r w:rsidRPr="007D5795">
          <w:rPr>
            <w:rStyle w:val="TextoNormalCaracter"/>
          </w:rPr>
          <w:t>118/2024</w:t>
        </w:r>
      </w:hyperlink>
      <w:r>
        <w:t xml:space="preserve">, f. 2, VP I, VP II, VP III; </w:t>
      </w:r>
      <w:hyperlink w:anchor="SENTENCIA_2024_133" w:history="1">
        <w:r w:rsidRPr="007D5795">
          <w:rPr>
            <w:rStyle w:val="TextoNormalCaracter"/>
          </w:rPr>
          <w:t>133/2024</w:t>
        </w:r>
      </w:hyperlink>
      <w:r>
        <w:t xml:space="preserve">, f. 2; </w:t>
      </w:r>
      <w:hyperlink w:anchor="SENTENCIA_2024_134" w:history="1">
        <w:r w:rsidRPr="007D5795">
          <w:rPr>
            <w:rStyle w:val="TextoNormalCaracter"/>
          </w:rPr>
          <w:t>134/2024</w:t>
        </w:r>
      </w:hyperlink>
      <w:r>
        <w:t xml:space="preserve">, f. 2; </w:t>
      </w:r>
      <w:hyperlink w:anchor="SENTENCIA_2024_144" w:history="1">
        <w:r w:rsidRPr="007D5795">
          <w:rPr>
            <w:rStyle w:val="TextoNormalCaracter"/>
          </w:rPr>
          <w:t>144/2024</w:t>
        </w:r>
      </w:hyperlink>
      <w:r>
        <w:t xml:space="preserve">, VP II; </w:t>
      </w:r>
      <w:hyperlink w:anchor="SENTENCIA_2024_152" w:history="1">
        <w:r w:rsidRPr="007D5795">
          <w:rPr>
            <w:rStyle w:val="TextoNormalCaracter"/>
          </w:rPr>
          <w:t>152/2024</w:t>
        </w:r>
      </w:hyperlink>
      <w:r>
        <w:t>, f. 3.</w:t>
      </w:r>
    </w:p>
    <w:p w14:paraId="34F68483" w14:textId="11A89C31" w:rsidR="007D5795" w:rsidRDefault="007D5795" w:rsidP="007D5795">
      <w:pPr>
        <w:pStyle w:val="SangriaFrancesaArticulo"/>
      </w:pPr>
      <w:r w:rsidRPr="007D5795">
        <w:rPr>
          <w:rStyle w:val="TextoNormalNegritaCaracter"/>
        </w:rPr>
        <w:t>Artículo 44.1 b).</w:t>
      </w:r>
      <w:r w:rsidRPr="007D5795">
        <w:rPr>
          <w:rStyle w:val="TextoNormalCaracter"/>
        </w:rPr>
        <w:t>-</w:t>
      </w:r>
      <w:r>
        <w:t xml:space="preserve"> Sentencias </w:t>
      </w:r>
      <w:hyperlink w:anchor="SENTENCIA_2024_94" w:history="1">
        <w:r w:rsidRPr="007D5795">
          <w:rPr>
            <w:rStyle w:val="TextoNormalCaracter"/>
          </w:rPr>
          <w:t>94/2024</w:t>
        </w:r>
      </w:hyperlink>
      <w:r>
        <w:t xml:space="preserve">, VP II; </w:t>
      </w:r>
      <w:hyperlink w:anchor="SENTENCIA_2024_95" w:history="1">
        <w:r w:rsidRPr="007D5795">
          <w:rPr>
            <w:rStyle w:val="TextoNormalCaracter"/>
          </w:rPr>
          <w:t>95/2024</w:t>
        </w:r>
      </w:hyperlink>
      <w:r>
        <w:t xml:space="preserve">, VP II; </w:t>
      </w:r>
      <w:hyperlink w:anchor="SENTENCIA_2024_96" w:history="1">
        <w:r w:rsidRPr="007D5795">
          <w:rPr>
            <w:rStyle w:val="TextoNormalCaracter"/>
          </w:rPr>
          <w:t>96/2024</w:t>
        </w:r>
      </w:hyperlink>
      <w:r>
        <w:t xml:space="preserve">, VP II, VP IV; </w:t>
      </w:r>
      <w:hyperlink w:anchor="SENTENCIA_2024_97" w:history="1">
        <w:r w:rsidRPr="007D5795">
          <w:rPr>
            <w:rStyle w:val="TextoNormalCaracter"/>
          </w:rPr>
          <w:t>97/2024</w:t>
        </w:r>
      </w:hyperlink>
      <w:r>
        <w:t xml:space="preserve">, VP II, VP IV; </w:t>
      </w:r>
      <w:hyperlink w:anchor="SENTENCIA_2024_98" w:history="1">
        <w:r w:rsidRPr="007D5795">
          <w:rPr>
            <w:rStyle w:val="TextoNormalCaracter"/>
          </w:rPr>
          <w:t>98/2024</w:t>
        </w:r>
      </w:hyperlink>
      <w:r>
        <w:t xml:space="preserve">, VP II, VP III; </w:t>
      </w:r>
      <w:hyperlink w:anchor="SENTENCIA_2024_99" w:history="1">
        <w:r w:rsidRPr="007D5795">
          <w:rPr>
            <w:rStyle w:val="TextoNormalCaracter"/>
          </w:rPr>
          <w:t>99/2024</w:t>
        </w:r>
      </w:hyperlink>
      <w:r>
        <w:t xml:space="preserve">, VP II;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VP II.</w:t>
      </w:r>
    </w:p>
    <w:p w14:paraId="5A95066B" w14:textId="0597BE04" w:rsidR="007D5795" w:rsidRDefault="007D5795" w:rsidP="007D5795">
      <w:pPr>
        <w:pStyle w:val="SangriaFrancesaArticulo"/>
      </w:pPr>
      <w:r w:rsidRPr="007D5795">
        <w:rPr>
          <w:rStyle w:val="TextoNormalNegritaCaracter"/>
        </w:rPr>
        <w:t>Artículo 44.1 c).</w:t>
      </w:r>
      <w:r w:rsidRPr="007D5795">
        <w:rPr>
          <w:rStyle w:val="TextoNormalCaracter"/>
        </w:rPr>
        <w:t>-</w:t>
      </w:r>
      <w:r>
        <w:t xml:space="preserve"> Sentencias </w:t>
      </w:r>
      <w:hyperlink w:anchor="SENTENCIA_2024_98" w:history="1">
        <w:r w:rsidRPr="007D5795">
          <w:rPr>
            <w:rStyle w:val="TextoNormalCaracter"/>
          </w:rPr>
          <w:t>98/2024</w:t>
        </w:r>
      </w:hyperlink>
      <w:r>
        <w:t xml:space="preserve">, f. 1; </w:t>
      </w:r>
      <w:hyperlink w:anchor="SENTENCIA_2024_100" w:history="1">
        <w:r w:rsidRPr="007D5795">
          <w:rPr>
            <w:rStyle w:val="TextoNormalCaracter"/>
          </w:rPr>
          <w:t>100/2024</w:t>
        </w:r>
      </w:hyperlink>
      <w:r>
        <w:t xml:space="preserve">, f. 1, VP I; </w:t>
      </w:r>
      <w:hyperlink w:anchor="SENTENCIA_2024_103" w:history="1">
        <w:r w:rsidRPr="007D5795">
          <w:rPr>
            <w:rStyle w:val="TextoNormalCaracter"/>
          </w:rPr>
          <w:t>103/2024</w:t>
        </w:r>
      </w:hyperlink>
      <w:r>
        <w:t xml:space="preserve">, f. 1, VP I; </w:t>
      </w:r>
      <w:hyperlink w:anchor="SENTENCIA_2024_108" w:history="1">
        <w:r w:rsidRPr="007D5795">
          <w:rPr>
            <w:rStyle w:val="TextoNormalCaracter"/>
          </w:rPr>
          <w:t>108/2024</w:t>
        </w:r>
      </w:hyperlink>
      <w:r>
        <w:t xml:space="preserve">, f. 1; </w:t>
      </w:r>
      <w:hyperlink w:anchor="SENTENCIA_2024_144" w:history="1">
        <w:r w:rsidRPr="007D5795">
          <w:rPr>
            <w:rStyle w:val="TextoNormalCaracter"/>
          </w:rPr>
          <w:t>144/2024</w:t>
        </w:r>
      </w:hyperlink>
      <w:r>
        <w:t>, ff. 1, 2.</w:t>
      </w:r>
    </w:p>
    <w:p w14:paraId="69F9C56B" w14:textId="2BA74F8B" w:rsidR="007D5795" w:rsidRDefault="007D5795" w:rsidP="007D5795">
      <w:pPr>
        <w:pStyle w:val="SangriaIzquierdaArticulo"/>
      </w:pPr>
      <w:r>
        <w:t xml:space="preserve">Auto </w:t>
      </w:r>
      <w:hyperlink w:anchor="AUTO_2024_70" w:history="1">
        <w:r w:rsidRPr="007D5795">
          <w:rPr>
            <w:rStyle w:val="TextoNormalCaracter"/>
          </w:rPr>
          <w:t>70/2024</w:t>
        </w:r>
      </w:hyperlink>
      <w:r>
        <w:t>, f. 2.</w:t>
      </w:r>
    </w:p>
    <w:p w14:paraId="798046E2" w14:textId="5EE3CC2D" w:rsidR="007D5795" w:rsidRDefault="007D5795" w:rsidP="007D5795">
      <w:pPr>
        <w:pStyle w:val="SangriaFrancesaArticulo"/>
      </w:pPr>
      <w:r w:rsidRPr="007D5795">
        <w:rPr>
          <w:rStyle w:val="TextoNormalNegritaCaracter"/>
        </w:rPr>
        <w:t>Artículo 44.2.</w:t>
      </w:r>
      <w:r w:rsidRPr="007D5795">
        <w:rPr>
          <w:rStyle w:val="TextoNormalCaracter"/>
        </w:rPr>
        <w:t>-</w:t>
      </w:r>
      <w:r>
        <w:t xml:space="preserve"> Sentencia </w:t>
      </w:r>
      <w:hyperlink w:anchor="SENTENCIA_2024_144" w:history="1">
        <w:r w:rsidRPr="007D5795">
          <w:rPr>
            <w:rStyle w:val="TextoNormalCaracter"/>
          </w:rPr>
          <w:t>144/2024</w:t>
        </w:r>
      </w:hyperlink>
      <w:r>
        <w:t>, ff. 1, 2, VP I, VP II.</w:t>
      </w:r>
    </w:p>
    <w:p w14:paraId="40F50CB4" w14:textId="4CE9CB4D" w:rsidR="007D5795" w:rsidRDefault="007D5795" w:rsidP="007D5795">
      <w:pPr>
        <w:pStyle w:val="SangriaFrancesaArticulo"/>
      </w:pPr>
      <w:r w:rsidRPr="007D5795">
        <w:rPr>
          <w:rStyle w:val="TextoNormalNegritaCaracter"/>
        </w:rPr>
        <w:t>Artículo 46.1.</w:t>
      </w:r>
      <w:r w:rsidRPr="007D5795">
        <w:rPr>
          <w:rStyle w:val="TextoNormalCaracter"/>
        </w:rPr>
        <w:t>-</w:t>
      </w:r>
      <w:r>
        <w:t xml:space="preserve"> Sentencia </w:t>
      </w:r>
      <w:hyperlink w:anchor="SENTENCIA_2024_116" w:history="1">
        <w:r w:rsidRPr="007D5795">
          <w:rPr>
            <w:rStyle w:val="TextoNormalCaracter"/>
          </w:rPr>
          <w:t>116/2024</w:t>
        </w:r>
      </w:hyperlink>
      <w:r>
        <w:t>, f. 2.</w:t>
      </w:r>
    </w:p>
    <w:p w14:paraId="6F745570" w14:textId="088B7A89" w:rsidR="007D5795" w:rsidRDefault="007D5795" w:rsidP="007D5795">
      <w:pPr>
        <w:pStyle w:val="SangriaFrancesaArticulo"/>
      </w:pPr>
      <w:r w:rsidRPr="007D5795">
        <w:rPr>
          <w:rStyle w:val="TextoNormalNegritaCaracter"/>
        </w:rPr>
        <w:t>Artículo 47.2.</w:t>
      </w:r>
      <w:r w:rsidRPr="007D5795">
        <w:rPr>
          <w:rStyle w:val="TextoNormalCaracter"/>
        </w:rPr>
        <w:t>-</w:t>
      </w:r>
      <w:r>
        <w:t xml:space="preserve"> Auto </w:t>
      </w:r>
      <w:hyperlink w:anchor="AUTO_2024_156" w:history="1">
        <w:r w:rsidRPr="007D5795">
          <w:rPr>
            <w:rStyle w:val="TextoNormalCaracter"/>
          </w:rPr>
          <w:t>156/2024</w:t>
        </w:r>
      </w:hyperlink>
      <w:r>
        <w:t>, ff. 2, 3.</w:t>
      </w:r>
    </w:p>
    <w:p w14:paraId="483D7B79" w14:textId="36577A12" w:rsidR="007D5795" w:rsidRDefault="007D5795" w:rsidP="007D5795">
      <w:pPr>
        <w:pStyle w:val="SangriaFrancesaArticulo"/>
      </w:pPr>
      <w:r w:rsidRPr="007D5795">
        <w:rPr>
          <w:rStyle w:val="TextoNormalNegritaCaracter"/>
        </w:rPr>
        <w:t>Artículo 49.1.</w:t>
      </w:r>
      <w:r w:rsidRPr="007D5795">
        <w:rPr>
          <w:rStyle w:val="TextoNormalCaracter"/>
        </w:rPr>
        <w:t>-</w:t>
      </w:r>
      <w:r>
        <w:t xml:space="preserve"> Sentencia </w:t>
      </w:r>
      <w:hyperlink w:anchor="SENTENCIA_2024_152" w:history="1">
        <w:r w:rsidRPr="007D5795">
          <w:rPr>
            <w:rStyle w:val="TextoNormalCaracter"/>
          </w:rPr>
          <w:t>152/2024</w:t>
        </w:r>
      </w:hyperlink>
      <w:r>
        <w:t>, f. 2.</w:t>
      </w:r>
    </w:p>
    <w:p w14:paraId="425D9F7A" w14:textId="28DFA0CC" w:rsidR="007D5795" w:rsidRDefault="007D5795" w:rsidP="007D5795">
      <w:pPr>
        <w:pStyle w:val="SangriaIzquierdaArticulo"/>
      </w:pPr>
      <w:r>
        <w:t xml:space="preserve">Auto </w:t>
      </w:r>
      <w:hyperlink w:anchor="AUTO_2024_94" w:history="1">
        <w:r w:rsidRPr="007D5795">
          <w:rPr>
            <w:rStyle w:val="TextoNormalCaracter"/>
          </w:rPr>
          <w:t>94/2024</w:t>
        </w:r>
      </w:hyperlink>
      <w:r>
        <w:t>, f. único.</w:t>
      </w:r>
    </w:p>
    <w:p w14:paraId="54B6BCB6" w14:textId="3BB69726" w:rsidR="007D5795" w:rsidRDefault="007D5795" w:rsidP="007D5795">
      <w:pPr>
        <w:pStyle w:val="SangriaFrancesaArticulo"/>
      </w:pPr>
      <w:r w:rsidRPr="007D5795">
        <w:rPr>
          <w:rStyle w:val="TextoNormalNegritaCaracter"/>
        </w:rPr>
        <w:t xml:space="preserve">Artículo 49.1 </w:t>
      </w:r>
      <w:r w:rsidRPr="007D5795">
        <w:rPr>
          <w:rStyle w:val="TextoNormalNegritaCursivaCaracter"/>
        </w:rPr>
        <w:t>in fine</w:t>
      </w:r>
      <w:r w:rsidRPr="007D5795">
        <w:rPr>
          <w:rStyle w:val="TextoNormalNegritaCaracter"/>
        </w:rPr>
        <w:t>.</w:t>
      </w:r>
      <w:r w:rsidRPr="007D5795">
        <w:rPr>
          <w:rStyle w:val="TextoNormalCaracter"/>
        </w:rPr>
        <w:t>-</w:t>
      </w:r>
      <w:r>
        <w:t xml:space="preserve"> Sentencias </w:t>
      </w:r>
      <w:hyperlink w:anchor="SENTENCIA_2024_108" w:history="1">
        <w:r w:rsidRPr="007D5795">
          <w:rPr>
            <w:rStyle w:val="TextoNormalCaracter"/>
          </w:rPr>
          <w:t>108/2024</w:t>
        </w:r>
      </w:hyperlink>
      <w:r>
        <w:t xml:space="preserve">, f. 1; </w:t>
      </w:r>
      <w:hyperlink w:anchor="SENTENCIA_2024_151" w:history="1">
        <w:r w:rsidRPr="007D5795">
          <w:rPr>
            <w:rStyle w:val="TextoNormalCaracter"/>
          </w:rPr>
          <w:t>151/2024</w:t>
        </w:r>
      </w:hyperlink>
      <w:r>
        <w:t>, f. 2.</w:t>
      </w:r>
    </w:p>
    <w:p w14:paraId="2E9282D5" w14:textId="25F778F4" w:rsidR="007D5795" w:rsidRDefault="007D5795" w:rsidP="007D5795">
      <w:pPr>
        <w:pStyle w:val="SangriaIzquierdaArticulo"/>
      </w:pPr>
      <w:r>
        <w:t xml:space="preserve">Auto </w:t>
      </w:r>
      <w:hyperlink w:anchor="AUTO_2024_85" w:history="1">
        <w:r w:rsidRPr="007D5795">
          <w:rPr>
            <w:rStyle w:val="TextoNormalCaracter"/>
          </w:rPr>
          <w:t>85/2024</w:t>
        </w:r>
      </w:hyperlink>
      <w:r>
        <w:t>, VP.</w:t>
      </w:r>
    </w:p>
    <w:p w14:paraId="4E6FE40A" w14:textId="4C79A074" w:rsidR="007D5795" w:rsidRDefault="007D5795" w:rsidP="007D5795">
      <w:pPr>
        <w:pStyle w:val="SangriaFrancesaArticulo"/>
      </w:pPr>
      <w:r w:rsidRPr="007D5795">
        <w:rPr>
          <w:rStyle w:val="TextoNormalNegritaCaracter"/>
        </w:rPr>
        <w:t>Artículo 50.1.</w:t>
      </w:r>
      <w:r w:rsidRPr="007D5795">
        <w:rPr>
          <w:rStyle w:val="TextoNormalCaracter"/>
        </w:rPr>
        <w:t>-</w:t>
      </w:r>
      <w:r>
        <w:t xml:space="preserve"> Sentencias </w:t>
      </w:r>
      <w:hyperlink w:anchor="SENTENCIA_2024_117" w:history="1">
        <w:r w:rsidRPr="007D5795">
          <w:rPr>
            <w:rStyle w:val="TextoNormalCaracter"/>
          </w:rPr>
          <w:t>117/2024</w:t>
        </w:r>
      </w:hyperlink>
      <w:r>
        <w:t xml:space="preserve">, f. 4; </w:t>
      </w:r>
      <w:hyperlink w:anchor="SENTENCIA_2024_135" w:history="1">
        <w:r w:rsidRPr="007D5795">
          <w:rPr>
            <w:rStyle w:val="TextoNormalCaracter"/>
          </w:rPr>
          <w:t>135/2024</w:t>
        </w:r>
      </w:hyperlink>
      <w:r>
        <w:t xml:space="preserve">, f. 2; </w:t>
      </w:r>
      <w:hyperlink w:anchor="SENTENCIA_2024_148" w:history="1">
        <w:r w:rsidRPr="007D5795">
          <w:rPr>
            <w:rStyle w:val="TextoNormalCaracter"/>
          </w:rPr>
          <w:t>148/2024</w:t>
        </w:r>
      </w:hyperlink>
      <w:r>
        <w:t>, f. 2.</w:t>
      </w:r>
    </w:p>
    <w:p w14:paraId="77EE954A" w14:textId="702CF2FA" w:rsidR="007D5795" w:rsidRDefault="007D5795" w:rsidP="007D5795">
      <w:pPr>
        <w:pStyle w:val="SangriaIzquierdaArticulo"/>
      </w:pPr>
      <w:r>
        <w:t xml:space="preserve">Autos </w:t>
      </w:r>
      <w:hyperlink w:anchor="AUTO_2024_68" w:history="1">
        <w:r w:rsidRPr="007D5795">
          <w:rPr>
            <w:rStyle w:val="TextoNormalCaracter"/>
          </w:rPr>
          <w:t>68/2024</w:t>
        </w:r>
      </w:hyperlink>
      <w:r>
        <w:t xml:space="preserve">, f. 3; </w:t>
      </w:r>
      <w:hyperlink w:anchor="AUTO_2024_85" w:history="1">
        <w:r w:rsidRPr="007D5795">
          <w:rPr>
            <w:rStyle w:val="TextoNormalCaracter"/>
          </w:rPr>
          <w:t>85/2024</w:t>
        </w:r>
      </w:hyperlink>
      <w:r>
        <w:t>, f. único.</w:t>
      </w:r>
    </w:p>
    <w:p w14:paraId="4A3BCF9F" w14:textId="4CACA0B2" w:rsidR="007D5795" w:rsidRDefault="007D5795" w:rsidP="007D5795">
      <w:pPr>
        <w:pStyle w:val="SangriaFrancesaArticulo"/>
      </w:pPr>
      <w:r w:rsidRPr="007D5795">
        <w:rPr>
          <w:rStyle w:val="TextoNormalNegritaCaracter"/>
        </w:rPr>
        <w:t>Artículo 50.1 a).</w:t>
      </w:r>
      <w:r w:rsidRPr="007D5795">
        <w:rPr>
          <w:rStyle w:val="TextoNormalCaracter"/>
        </w:rPr>
        <w:t>-</w:t>
      </w:r>
      <w:r>
        <w:t xml:space="preserve"> Sentencias </w:t>
      </w:r>
      <w:hyperlink w:anchor="SENTENCIA_2024_98" w:history="1">
        <w:r w:rsidRPr="007D5795">
          <w:rPr>
            <w:rStyle w:val="TextoNormalCaracter"/>
          </w:rPr>
          <w:t>98/2024</w:t>
        </w:r>
      </w:hyperlink>
      <w:r>
        <w:t xml:space="preserve">, f. 1; </w:t>
      </w:r>
      <w:hyperlink w:anchor="SENTENCIA_2024_118" w:history="1">
        <w:r w:rsidRPr="007D5795">
          <w:rPr>
            <w:rStyle w:val="TextoNormalCaracter"/>
          </w:rPr>
          <w:t>118/2024</w:t>
        </w:r>
      </w:hyperlink>
      <w:r>
        <w:t xml:space="preserve">, f. 2; </w:t>
      </w:r>
      <w:hyperlink w:anchor="SENTENCIA_2024_128" w:history="1">
        <w:r w:rsidRPr="007D5795">
          <w:rPr>
            <w:rStyle w:val="TextoNormalCaracter"/>
          </w:rPr>
          <w:t>128/2024</w:t>
        </w:r>
      </w:hyperlink>
      <w:r>
        <w:t xml:space="preserve">, f. 2; </w:t>
      </w:r>
      <w:hyperlink w:anchor="SENTENCIA_2024_144" w:history="1">
        <w:r w:rsidRPr="007D5795">
          <w:rPr>
            <w:rStyle w:val="TextoNormalCaracter"/>
          </w:rPr>
          <w:t>144/2024</w:t>
        </w:r>
      </w:hyperlink>
      <w:r>
        <w:t>, VP I.</w:t>
      </w:r>
    </w:p>
    <w:p w14:paraId="62D5A6F5" w14:textId="2050716D" w:rsidR="007D5795" w:rsidRDefault="007D5795" w:rsidP="007D5795">
      <w:pPr>
        <w:pStyle w:val="SangriaIzquierdaArticulo"/>
      </w:pPr>
      <w:r>
        <w:t xml:space="preserve">Autos </w:t>
      </w:r>
      <w:hyperlink w:anchor="AUTO_2024_92" w:history="1">
        <w:r w:rsidRPr="007D5795">
          <w:rPr>
            <w:rStyle w:val="TextoNormalCaracter"/>
          </w:rPr>
          <w:t>92/2024</w:t>
        </w:r>
      </w:hyperlink>
      <w:r>
        <w:t xml:space="preserve">, f. 1; </w:t>
      </w:r>
      <w:hyperlink w:anchor="AUTO_2024_96" w:history="1">
        <w:r w:rsidRPr="007D5795">
          <w:rPr>
            <w:rStyle w:val="TextoNormalCaracter"/>
          </w:rPr>
          <w:t>96/2024</w:t>
        </w:r>
      </w:hyperlink>
      <w:r>
        <w:t>, f. 1.</w:t>
      </w:r>
    </w:p>
    <w:p w14:paraId="1264F5DD" w14:textId="404B6B8A" w:rsidR="007D5795" w:rsidRDefault="007D5795" w:rsidP="007D5795">
      <w:pPr>
        <w:pStyle w:val="SangriaFrancesaArticulo"/>
      </w:pPr>
      <w:r w:rsidRPr="007D5795">
        <w:rPr>
          <w:rStyle w:val="TextoNormalNegritaCaracter"/>
        </w:rPr>
        <w:t>Artículo 50.1 b).</w:t>
      </w:r>
      <w:r w:rsidRPr="007D5795">
        <w:rPr>
          <w:rStyle w:val="TextoNormalCaracter"/>
        </w:rPr>
        <w:t>-</w:t>
      </w:r>
      <w:r>
        <w:t xml:space="preserve"> Sentencias </w:t>
      </w:r>
      <w:hyperlink w:anchor="SENTENCIA_2024_94" w:history="1">
        <w:r w:rsidRPr="007D5795">
          <w:rPr>
            <w:rStyle w:val="TextoNormalCaracter"/>
          </w:rPr>
          <w:t>94/2024</w:t>
        </w:r>
      </w:hyperlink>
      <w:r>
        <w:t xml:space="preserve">, f. 4; </w:t>
      </w:r>
      <w:hyperlink w:anchor="SENTENCIA_2024_96" w:history="1">
        <w:r w:rsidRPr="007D5795">
          <w:rPr>
            <w:rStyle w:val="TextoNormalCaracter"/>
          </w:rPr>
          <w:t>96/2024</w:t>
        </w:r>
      </w:hyperlink>
      <w:r>
        <w:t xml:space="preserve">, f. 5; </w:t>
      </w:r>
      <w:hyperlink w:anchor="SENTENCIA_2024_97" w:history="1">
        <w:r w:rsidRPr="007D5795">
          <w:rPr>
            <w:rStyle w:val="TextoNormalCaracter"/>
          </w:rPr>
          <w:t>97/2024</w:t>
        </w:r>
      </w:hyperlink>
      <w:r>
        <w:t xml:space="preserve">, f. 4; </w:t>
      </w:r>
      <w:hyperlink w:anchor="SENTENCIA_2024_98" w:history="1">
        <w:r w:rsidRPr="007D5795">
          <w:rPr>
            <w:rStyle w:val="TextoNormalCaracter"/>
          </w:rPr>
          <w:t>98/2024</w:t>
        </w:r>
      </w:hyperlink>
      <w:r>
        <w:t xml:space="preserve">, f. 4; </w:t>
      </w:r>
      <w:hyperlink w:anchor="SENTENCIA_2024_99" w:history="1">
        <w:r w:rsidRPr="007D5795">
          <w:rPr>
            <w:rStyle w:val="TextoNormalCaracter"/>
          </w:rPr>
          <w:t>99/2024</w:t>
        </w:r>
      </w:hyperlink>
      <w:r>
        <w:t xml:space="preserve">, f. 3; </w:t>
      </w:r>
      <w:hyperlink w:anchor="SENTENCIA_2024_100" w:history="1">
        <w:r w:rsidRPr="007D5795">
          <w:rPr>
            <w:rStyle w:val="TextoNormalCaracter"/>
          </w:rPr>
          <w:t>100/2024</w:t>
        </w:r>
      </w:hyperlink>
      <w:r>
        <w:t xml:space="preserve">, f. 4; </w:t>
      </w:r>
      <w:hyperlink w:anchor="SENTENCIA_2024_102" w:history="1">
        <w:r w:rsidRPr="007D5795">
          <w:rPr>
            <w:rStyle w:val="TextoNormalCaracter"/>
          </w:rPr>
          <w:t>102/2024</w:t>
        </w:r>
      </w:hyperlink>
      <w:r>
        <w:t xml:space="preserve">, f. 4; </w:t>
      </w:r>
      <w:hyperlink w:anchor="SENTENCIA_2024_103" w:history="1">
        <w:r w:rsidRPr="007D5795">
          <w:rPr>
            <w:rStyle w:val="TextoNormalCaracter"/>
          </w:rPr>
          <w:t>103/2024</w:t>
        </w:r>
      </w:hyperlink>
      <w:r>
        <w:t xml:space="preserve">, f. 4; </w:t>
      </w:r>
      <w:hyperlink w:anchor="SENTENCIA_2024_108" w:history="1">
        <w:r w:rsidRPr="007D5795">
          <w:rPr>
            <w:rStyle w:val="TextoNormalCaracter"/>
          </w:rPr>
          <w:t>108/2024</w:t>
        </w:r>
      </w:hyperlink>
      <w:r>
        <w:t xml:space="preserve">, f. 1; </w:t>
      </w:r>
      <w:hyperlink w:anchor="SENTENCIA_2024_117" w:history="1">
        <w:r w:rsidRPr="007D5795">
          <w:rPr>
            <w:rStyle w:val="TextoNormalCaracter"/>
          </w:rPr>
          <w:t>117/2024</w:t>
        </w:r>
      </w:hyperlink>
      <w:r>
        <w:t xml:space="preserve">, f. 2; </w:t>
      </w:r>
      <w:hyperlink w:anchor="SENTENCIA_2024_146" w:history="1">
        <w:r w:rsidRPr="007D5795">
          <w:rPr>
            <w:rStyle w:val="TextoNormalCaracter"/>
          </w:rPr>
          <w:t>146/2024</w:t>
        </w:r>
      </w:hyperlink>
      <w:r>
        <w:t xml:space="preserve">, f. 8; </w:t>
      </w:r>
      <w:hyperlink w:anchor="SENTENCIA_2024_151" w:history="1">
        <w:r w:rsidRPr="007D5795">
          <w:rPr>
            <w:rStyle w:val="TextoNormalCaracter"/>
          </w:rPr>
          <w:t>151/2024</w:t>
        </w:r>
      </w:hyperlink>
      <w:r>
        <w:t>, f. 2.</w:t>
      </w:r>
    </w:p>
    <w:p w14:paraId="6B93253A" w14:textId="674FD3C4" w:rsidR="007D5795" w:rsidRDefault="007D5795" w:rsidP="007D5795">
      <w:pPr>
        <w:pStyle w:val="SangriaIzquierdaArticulo"/>
      </w:pPr>
      <w:r>
        <w:t xml:space="preserve">Autos </w:t>
      </w:r>
      <w:hyperlink w:anchor="AUTO_2024_69" w:history="1">
        <w:r w:rsidRPr="007D5795">
          <w:rPr>
            <w:rStyle w:val="TextoNormalCaracter"/>
          </w:rPr>
          <w:t>69/2024</w:t>
        </w:r>
      </w:hyperlink>
      <w:r>
        <w:t xml:space="preserve">, f. 1; </w:t>
      </w:r>
      <w:hyperlink w:anchor="AUTO_2024_85" w:history="1">
        <w:r w:rsidRPr="007D5795">
          <w:rPr>
            <w:rStyle w:val="TextoNormalCaracter"/>
          </w:rPr>
          <w:t>85/2024</w:t>
        </w:r>
      </w:hyperlink>
      <w:r>
        <w:t xml:space="preserve">, VP; </w:t>
      </w:r>
      <w:hyperlink w:anchor="AUTO_2024_94" w:history="1">
        <w:r w:rsidRPr="007D5795">
          <w:rPr>
            <w:rStyle w:val="TextoNormalCaracter"/>
          </w:rPr>
          <w:t>94/2024</w:t>
        </w:r>
      </w:hyperlink>
      <w:r>
        <w:t xml:space="preserve">, f. único; </w:t>
      </w:r>
      <w:hyperlink w:anchor="AUTO_2024_148" w:history="1">
        <w:r w:rsidRPr="007D5795">
          <w:rPr>
            <w:rStyle w:val="TextoNormalCaracter"/>
          </w:rPr>
          <w:t>148/2024</w:t>
        </w:r>
      </w:hyperlink>
      <w:r>
        <w:t>, f. 1.</w:t>
      </w:r>
    </w:p>
    <w:p w14:paraId="5FF544A9" w14:textId="30747283" w:rsidR="007D5795" w:rsidRDefault="007D5795" w:rsidP="007D5795">
      <w:pPr>
        <w:pStyle w:val="SangriaFrancesaArticulo"/>
      </w:pPr>
      <w:r w:rsidRPr="007D5795">
        <w:rPr>
          <w:rStyle w:val="TextoNormalNegritaCaracter"/>
        </w:rPr>
        <w:t>Artículo 51.</w:t>
      </w:r>
      <w:r w:rsidRPr="007D5795">
        <w:rPr>
          <w:rStyle w:val="TextoNormalCaracter"/>
        </w:rPr>
        <w:t>-</w:t>
      </w:r>
      <w:r>
        <w:t xml:space="preserve"> Sentencia </w:t>
      </w:r>
      <w:hyperlink w:anchor="SENTENCIA_2024_117" w:history="1">
        <w:r w:rsidRPr="007D5795">
          <w:rPr>
            <w:rStyle w:val="TextoNormalCaracter"/>
          </w:rPr>
          <w:t>117/2024</w:t>
        </w:r>
      </w:hyperlink>
      <w:r>
        <w:t>, f. 4.</w:t>
      </w:r>
    </w:p>
    <w:p w14:paraId="23E5FC19" w14:textId="60700B8B" w:rsidR="007D5795" w:rsidRDefault="007D5795" w:rsidP="007D5795">
      <w:pPr>
        <w:pStyle w:val="SangriaIzquierdaArticulo"/>
      </w:pPr>
      <w:r>
        <w:t xml:space="preserve">Auto </w:t>
      </w:r>
      <w:hyperlink w:anchor="AUTO_2024_70" w:history="1">
        <w:r w:rsidRPr="007D5795">
          <w:rPr>
            <w:rStyle w:val="TextoNormalCaracter"/>
          </w:rPr>
          <w:t>70/2024</w:t>
        </w:r>
      </w:hyperlink>
      <w:r>
        <w:t>, f. 1.</w:t>
      </w:r>
    </w:p>
    <w:p w14:paraId="26AE2763" w14:textId="2EC59C03" w:rsidR="007D5795" w:rsidRDefault="007D5795" w:rsidP="007D5795">
      <w:pPr>
        <w:pStyle w:val="SangriaFrancesaArticulo"/>
      </w:pPr>
      <w:r w:rsidRPr="007D5795">
        <w:rPr>
          <w:rStyle w:val="TextoNormalNegritaCaracter"/>
        </w:rPr>
        <w:t>Artículo 52.</w:t>
      </w:r>
      <w:r w:rsidRPr="007D5795">
        <w:rPr>
          <w:rStyle w:val="TextoNormalCaracter"/>
        </w:rPr>
        <w:t>-</w:t>
      </w:r>
      <w:r>
        <w:t xml:space="preserve"> Sentencias </w:t>
      </w:r>
      <w:hyperlink w:anchor="SENTENCIA_2024_95" w:history="1">
        <w:r w:rsidRPr="007D5795">
          <w:rPr>
            <w:rStyle w:val="TextoNormalCaracter"/>
          </w:rPr>
          <w:t>95/2024</w:t>
        </w:r>
      </w:hyperlink>
      <w:r>
        <w:t xml:space="preserve">, f. 1; </w:t>
      </w:r>
      <w:hyperlink w:anchor="SENTENCIA_2024_100" w:history="1">
        <w:r w:rsidRPr="007D5795">
          <w:rPr>
            <w:rStyle w:val="TextoNormalCaracter"/>
          </w:rPr>
          <w:t>100/2024</w:t>
        </w:r>
      </w:hyperlink>
      <w:r>
        <w:t xml:space="preserve">, VP I; </w:t>
      </w:r>
      <w:hyperlink w:anchor="SENTENCIA_2024_103" w:history="1">
        <w:r w:rsidRPr="007D5795">
          <w:rPr>
            <w:rStyle w:val="TextoNormalCaracter"/>
          </w:rPr>
          <w:t>103/2024</w:t>
        </w:r>
      </w:hyperlink>
      <w:r>
        <w:t xml:space="preserve">, VP I; </w:t>
      </w:r>
      <w:hyperlink w:anchor="SENTENCIA_2024_146" w:history="1">
        <w:r w:rsidRPr="007D5795">
          <w:rPr>
            <w:rStyle w:val="TextoNormalCaracter"/>
          </w:rPr>
          <w:t>146/2024</w:t>
        </w:r>
      </w:hyperlink>
      <w:r>
        <w:t xml:space="preserve">, f. 1; </w:t>
      </w:r>
      <w:hyperlink w:anchor="SENTENCIA_2024_151" w:history="1">
        <w:r w:rsidRPr="007D5795">
          <w:rPr>
            <w:rStyle w:val="TextoNormalCaracter"/>
          </w:rPr>
          <w:t>151/2024</w:t>
        </w:r>
      </w:hyperlink>
      <w:r>
        <w:t>, f. 2.</w:t>
      </w:r>
    </w:p>
    <w:p w14:paraId="497D24DB" w14:textId="079CDEB5" w:rsidR="007D5795" w:rsidRDefault="007D5795" w:rsidP="007D5795">
      <w:pPr>
        <w:pStyle w:val="SangriaFrancesaArticulo"/>
      </w:pPr>
      <w:r w:rsidRPr="007D5795">
        <w:rPr>
          <w:rStyle w:val="TextoNormalNegritaCaracter"/>
        </w:rPr>
        <w:t>Artículo 52.1.</w:t>
      </w:r>
      <w:r w:rsidRPr="007D5795">
        <w:rPr>
          <w:rStyle w:val="TextoNormalCaracter"/>
        </w:rPr>
        <w:t>-</w:t>
      </w:r>
      <w:r>
        <w:t xml:space="preserve"> Sentencias </w:t>
      </w:r>
      <w:hyperlink w:anchor="SENTENCIA_2024_95" w:history="1">
        <w:r w:rsidRPr="007D5795">
          <w:rPr>
            <w:rStyle w:val="TextoNormalCaracter"/>
          </w:rPr>
          <w:t>95/2024</w:t>
        </w:r>
      </w:hyperlink>
      <w:r>
        <w:t xml:space="preserve">, VP II; </w:t>
      </w:r>
      <w:hyperlink w:anchor="SENTENCIA_2024_117" w:history="1">
        <w:r w:rsidRPr="007D5795">
          <w:rPr>
            <w:rStyle w:val="TextoNormalCaracter"/>
          </w:rPr>
          <w:t>117/2024</w:t>
        </w:r>
      </w:hyperlink>
      <w:r>
        <w:t>, f. 2.</w:t>
      </w:r>
    </w:p>
    <w:p w14:paraId="0B2282D3" w14:textId="22436624" w:rsidR="007D5795" w:rsidRDefault="007D5795" w:rsidP="007D5795">
      <w:pPr>
        <w:pStyle w:val="SangriaFrancesaArticulo"/>
      </w:pPr>
      <w:r w:rsidRPr="007D5795">
        <w:rPr>
          <w:rStyle w:val="TextoNormalNegritaCaracter"/>
        </w:rPr>
        <w:t>Artículo 52.2.</w:t>
      </w:r>
      <w:r w:rsidRPr="007D5795">
        <w:rPr>
          <w:rStyle w:val="TextoNormalCaracter"/>
        </w:rPr>
        <w:t>-</w:t>
      </w:r>
      <w:r>
        <w:t xml:space="preserve"> Autos </w:t>
      </w:r>
      <w:hyperlink w:anchor="AUTO_2024_61" w:history="1">
        <w:r w:rsidRPr="007D5795">
          <w:rPr>
            <w:rStyle w:val="TextoNormalCaracter"/>
          </w:rPr>
          <w:t>61/2024</w:t>
        </w:r>
      </w:hyperlink>
      <w:r>
        <w:t xml:space="preserve">, f. 2; </w:t>
      </w:r>
      <w:hyperlink w:anchor="AUTO_2024_62" w:history="1">
        <w:r w:rsidRPr="007D5795">
          <w:rPr>
            <w:rStyle w:val="TextoNormalCaracter"/>
          </w:rPr>
          <w:t>62/2024</w:t>
        </w:r>
      </w:hyperlink>
      <w:r>
        <w:t xml:space="preserve">, f. 2; </w:t>
      </w:r>
      <w:hyperlink w:anchor="AUTO_2024_152" w:history="1">
        <w:r w:rsidRPr="007D5795">
          <w:rPr>
            <w:rStyle w:val="TextoNormalCaracter"/>
          </w:rPr>
          <w:t>152/2024</w:t>
        </w:r>
      </w:hyperlink>
      <w:r>
        <w:t>, f. 2.</w:t>
      </w:r>
    </w:p>
    <w:p w14:paraId="60ED25F0" w14:textId="421660D5" w:rsidR="007D5795" w:rsidRDefault="007D5795" w:rsidP="007D5795">
      <w:pPr>
        <w:pStyle w:val="SangriaFrancesaArticulo"/>
      </w:pPr>
      <w:r w:rsidRPr="007D5795">
        <w:rPr>
          <w:rStyle w:val="TextoNormalNegritaCaracter"/>
        </w:rPr>
        <w:t>Artículo 53.</w:t>
      </w:r>
      <w:r w:rsidRPr="007D5795">
        <w:rPr>
          <w:rStyle w:val="TextoNormalCaracter"/>
        </w:rPr>
        <w:t>-</w:t>
      </w:r>
      <w:r>
        <w:t xml:space="preserve"> Sentencias </w:t>
      </w:r>
      <w:hyperlink w:anchor="SENTENCIA_2024_128" w:history="1">
        <w:r w:rsidRPr="007D5795">
          <w:rPr>
            <w:rStyle w:val="TextoNormalCaracter"/>
          </w:rPr>
          <w:t>128/2024</w:t>
        </w:r>
      </w:hyperlink>
      <w:r>
        <w:t xml:space="preserve">, f. 2; </w:t>
      </w:r>
      <w:hyperlink w:anchor="SENTENCIA_2024_137" w:history="1">
        <w:r w:rsidRPr="007D5795">
          <w:rPr>
            <w:rStyle w:val="TextoNormalCaracter"/>
          </w:rPr>
          <w:t>137/2024</w:t>
        </w:r>
      </w:hyperlink>
      <w:r>
        <w:t xml:space="preserve">, f. 2; </w:t>
      </w:r>
      <w:hyperlink w:anchor="SENTENCIA_2024_144" w:history="1">
        <w:r w:rsidRPr="007D5795">
          <w:rPr>
            <w:rStyle w:val="TextoNormalCaracter"/>
          </w:rPr>
          <w:t>144/2024</w:t>
        </w:r>
      </w:hyperlink>
      <w:r>
        <w:t>, VP I, VP II.</w:t>
      </w:r>
    </w:p>
    <w:p w14:paraId="7FC44DFA" w14:textId="04CBD8B1" w:rsidR="007D5795" w:rsidRDefault="007D5795" w:rsidP="007D5795">
      <w:pPr>
        <w:pStyle w:val="SangriaFrancesaArticulo"/>
      </w:pPr>
      <w:r w:rsidRPr="007D5795">
        <w:rPr>
          <w:rStyle w:val="TextoNormalNegritaCaracter"/>
        </w:rPr>
        <w:t>Artículo 53 a).</w:t>
      </w:r>
      <w:r w:rsidRPr="007D5795">
        <w:rPr>
          <w:rStyle w:val="TextoNormalCaracter"/>
        </w:rPr>
        <w:t>-</w:t>
      </w:r>
      <w:r>
        <w:t xml:space="preserve"> Sentencia </w:t>
      </w:r>
      <w:hyperlink w:anchor="SENTENCIA_2024_107" w:history="1">
        <w:r w:rsidRPr="007D5795">
          <w:rPr>
            <w:rStyle w:val="TextoNormalCaracter"/>
          </w:rPr>
          <w:t>107/2024</w:t>
        </w:r>
      </w:hyperlink>
      <w:r>
        <w:t>, f. 5.</w:t>
      </w:r>
    </w:p>
    <w:p w14:paraId="32F47972" w14:textId="12F6F9F0" w:rsidR="007D5795" w:rsidRDefault="007D5795" w:rsidP="007D5795">
      <w:pPr>
        <w:pStyle w:val="SangriaFrancesaArticulo"/>
      </w:pPr>
      <w:r w:rsidRPr="007D5795">
        <w:rPr>
          <w:rStyle w:val="TextoNormalNegritaCaracter"/>
        </w:rPr>
        <w:t>Artículo 55.1.</w:t>
      </w:r>
      <w:r w:rsidRPr="007D5795">
        <w:rPr>
          <w:rStyle w:val="TextoNormalCaracter"/>
        </w:rPr>
        <w:t>-</w:t>
      </w:r>
      <w:r>
        <w:t xml:space="preserve"> Sentencia </w:t>
      </w:r>
      <w:hyperlink w:anchor="SENTENCIA_2024_107" w:history="1">
        <w:r w:rsidRPr="007D5795">
          <w:rPr>
            <w:rStyle w:val="TextoNormalCaracter"/>
          </w:rPr>
          <w:t>107/2024</w:t>
        </w:r>
      </w:hyperlink>
      <w:r>
        <w:t>, f. 5.</w:t>
      </w:r>
    </w:p>
    <w:p w14:paraId="5D281813" w14:textId="71C86814" w:rsidR="007D5795" w:rsidRDefault="007D5795" w:rsidP="007D5795">
      <w:pPr>
        <w:pStyle w:val="SangriaIzquierdaArticulo"/>
      </w:pPr>
      <w:r>
        <w:t xml:space="preserve">Auto </w:t>
      </w:r>
      <w:hyperlink w:anchor="AUTO_2024_125" w:history="1">
        <w:r w:rsidRPr="007D5795">
          <w:rPr>
            <w:rStyle w:val="TextoNormalCaracter"/>
          </w:rPr>
          <w:t>125/2024</w:t>
        </w:r>
      </w:hyperlink>
      <w:r>
        <w:t>, f. 1.</w:t>
      </w:r>
    </w:p>
    <w:p w14:paraId="63C21D26" w14:textId="3F603A94" w:rsidR="007D5795" w:rsidRDefault="007D5795" w:rsidP="007D5795">
      <w:pPr>
        <w:pStyle w:val="SangriaFrancesaArticulo"/>
      </w:pPr>
      <w:r w:rsidRPr="007D5795">
        <w:rPr>
          <w:rStyle w:val="TextoNormalNegritaCaracter"/>
        </w:rPr>
        <w:t>Artículo 56.</w:t>
      </w:r>
      <w:r w:rsidRPr="007D5795">
        <w:rPr>
          <w:rStyle w:val="TextoNormalCaracter"/>
        </w:rPr>
        <w:t>-</w:t>
      </w:r>
      <w:r>
        <w:t xml:space="preserve"> Sentencia </w:t>
      </w:r>
      <w:hyperlink w:anchor="SENTENCIA_2024_125" w:history="1">
        <w:r w:rsidRPr="007D5795">
          <w:rPr>
            <w:rStyle w:val="TextoNormalCaracter"/>
          </w:rPr>
          <w:t>125/2024</w:t>
        </w:r>
      </w:hyperlink>
      <w:r>
        <w:t>, f. 2.</w:t>
      </w:r>
    </w:p>
    <w:p w14:paraId="4FFF6978" w14:textId="585E2511" w:rsidR="007D5795" w:rsidRDefault="007D5795" w:rsidP="007D5795">
      <w:pPr>
        <w:pStyle w:val="SangriaIzquierdaArticulo"/>
      </w:pPr>
      <w:r>
        <w:t xml:space="preserve">Autos </w:t>
      </w:r>
      <w:hyperlink w:anchor="AUTO_2024_61" w:history="1">
        <w:r w:rsidRPr="007D5795">
          <w:rPr>
            <w:rStyle w:val="TextoNormalCaracter"/>
          </w:rPr>
          <w:t>61/2024</w:t>
        </w:r>
      </w:hyperlink>
      <w:r>
        <w:t xml:space="preserve">, f. 2; </w:t>
      </w:r>
      <w:hyperlink w:anchor="AUTO_2024_62" w:history="1">
        <w:r w:rsidRPr="007D5795">
          <w:rPr>
            <w:rStyle w:val="TextoNormalCaracter"/>
          </w:rPr>
          <w:t>62/2024</w:t>
        </w:r>
      </w:hyperlink>
      <w:r>
        <w:t xml:space="preserve">, f. 2; </w:t>
      </w:r>
      <w:hyperlink w:anchor="AUTO_2024_77" w:history="1">
        <w:r w:rsidRPr="007D5795">
          <w:rPr>
            <w:rStyle w:val="TextoNormalCaracter"/>
          </w:rPr>
          <w:t>77/2024</w:t>
        </w:r>
      </w:hyperlink>
      <w:r>
        <w:t xml:space="preserve">, f. 1; </w:t>
      </w:r>
      <w:hyperlink w:anchor="AUTO_2024_86" w:history="1">
        <w:r w:rsidRPr="007D5795">
          <w:rPr>
            <w:rStyle w:val="TextoNormalCaracter"/>
          </w:rPr>
          <w:t>86/2024</w:t>
        </w:r>
      </w:hyperlink>
      <w:r>
        <w:t xml:space="preserve">, f. 1; </w:t>
      </w:r>
      <w:hyperlink w:anchor="AUTO_2024_98" w:history="1">
        <w:r w:rsidRPr="007D5795">
          <w:rPr>
            <w:rStyle w:val="TextoNormalCaracter"/>
          </w:rPr>
          <w:t>98/2024</w:t>
        </w:r>
      </w:hyperlink>
      <w:r>
        <w:t xml:space="preserve">, f. único; </w:t>
      </w:r>
      <w:hyperlink w:anchor="AUTO_2024_151" w:history="1">
        <w:r w:rsidRPr="007D5795">
          <w:rPr>
            <w:rStyle w:val="TextoNormalCaracter"/>
          </w:rPr>
          <w:t>151/2024</w:t>
        </w:r>
      </w:hyperlink>
      <w:r>
        <w:t xml:space="preserve">, f. único; </w:t>
      </w:r>
      <w:hyperlink w:anchor="AUTO_2024_152" w:history="1">
        <w:r w:rsidRPr="007D5795">
          <w:rPr>
            <w:rStyle w:val="TextoNormalCaracter"/>
          </w:rPr>
          <w:t>152/2024</w:t>
        </w:r>
      </w:hyperlink>
      <w:r>
        <w:t>, ff. 3, 4.</w:t>
      </w:r>
    </w:p>
    <w:p w14:paraId="04D25943" w14:textId="45816E42" w:rsidR="007D5795" w:rsidRDefault="007D5795" w:rsidP="007D5795">
      <w:pPr>
        <w:pStyle w:val="SangriaFrancesaArticulo"/>
      </w:pPr>
      <w:r w:rsidRPr="007D5795">
        <w:rPr>
          <w:rStyle w:val="TextoNormalNegritaCaracter"/>
        </w:rPr>
        <w:t>Artículo 56.1.</w:t>
      </w:r>
      <w:r w:rsidRPr="007D5795">
        <w:rPr>
          <w:rStyle w:val="TextoNormalCaracter"/>
        </w:rPr>
        <w:t>-</w:t>
      </w:r>
      <w:r>
        <w:t xml:space="preserve"> Autos </w:t>
      </w:r>
      <w:hyperlink w:anchor="AUTO_2024_84" w:history="1">
        <w:r w:rsidRPr="007D5795">
          <w:rPr>
            <w:rStyle w:val="TextoNormalCaracter"/>
          </w:rPr>
          <w:t>84/2024</w:t>
        </w:r>
      </w:hyperlink>
      <w:r>
        <w:t xml:space="preserve">, f. 2; </w:t>
      </w:r>
      <w:hyperlink w:anchor="AUTO_2024_86" w:history="1">
        <w:r w:rsidRPr="007D5795">
          <w:rPr>
            <w:rStyle w:val="TextoNormalCaracter"/>
          </w:rPr>
          <w:t>86/2024</w:t>
        </w:r>
      </w:hyperlink>
      <w:r>
        <w:t xml:space="preserve">, f. 1; </w:t>
      </w:r>
      <w:hyperlink w:anchor="AUTO_2024_92" w:history="1">
        <w:r w:rsidRPr="007D5795">
          <w:rPr>
            <w:rStyle w:val="TextoNormalCaracter"/>
          </w:rPr>
          <w:t>92/2024</w:t>
        </w:r>
      </w:hyperlink>
      <w:r>
        <w:t xml:space="preserve">, f. 2; </w:t>
      </w:r>
      <w:hyperlink w:anchor="AUTO_2024_99" w:history="1">
        <w:r w:rsidRPr="007D5795">
          <w:rPr>
            <w:rStyle w:val="TextoNormalCaracter"/>
          </w:rPr>
          <w:t>99/2024</w:t>
        </w:r>
      </w:hyperlink>
      <w:r>
        <w:t xml:space="preserve">, f. 1; </w:t>
      </w:r>
      <w:hyperlink w:anchor="AUTO_2024_104" w:history="1">
        <w:r w:rsidRPr="007D5795">
          <w:rPr>
            <w:rStyle w:val="TextoNormalCaracter"/>
          </w:rPr>
          <w:t>104/2024</w:t>
        </w:r>
      </w:hyperlink>
      <w:r>
        <w:t xml:space="preserve">, f. 1; </w:t>
      </w:r>
      <w:hyperlink w:anchor="AUTO_2024_152" w:history="1">
        <w:r w:rsidRPr="007D5795">
          <w:rPr>
            <w:rStyle w:val="TextoNormalCaracter"/>
          </w:rPr>
          <w:t>152/2024</w:t>
        </w:r>
      </w:hyperlink>
      <w:r>
        <w:t>, f. 2.</w:t>
      </w:r>
    </w:p>
    <w:p w14:paraId="29BFB1A7" w14:textId="390C9679" w:rsidR="007D5795" w:rsidRDefault="007D5795" w:rsidP="007D5795">
      <w:pPr>
        <w:pStyle w:val="SangriaFrancesaArticulo"/>
      </w:pPr>
      <w:r w:rsidRPr="007D5795">
        <w:rPr>
          <w:rStyle w:val="TextoNormalNegritaCaracter"/>
        </w:rPr>
        <w:t>Artículo 56.2.</w:t>
      </w:r>
      <w:r w:rsidRPr="007D5795">
        <w:rPr>
          <w:rStyle w:val="TextoNormalCaracter"/>
        </w:rPr>
        <w:t>-</w:t>
      </w:r>
      <w:r>
        <w:t xml:space="preserve"> Autos </w:t>
      </w:r>
      <w:hyperlink w:anchor="AUTO_2024_61" w:history="1">
        <w:r w:rsidRPr="007D5795">
          <w:rPr>
            <w:rStyle w:val="TextoNormalCaracter"/>
          </w:rPr>
          <w:t>61/2024</w:t>
        </w:r>
      </w:hyperlink>
      <w:r>
        <w:t xml:space="preserve">, ff. 2, 3; </w:t>
      </w:r>
      <w:hyperlink w:anchor="AUTO_2024_62" w:history="1">
        <w:r w:rsidRPr="007D5795">
          <w:rPr>
            <w:rStyle w:val="TextoNormalCaracter"/>
          </w:rPr>
          <w:t>62/2024</w:t>
        </w:r>
      </w:hyperlink>
      <w:r>
        <w:t xml:space="preserve">, ff. 2, 3; </w:t>
      </w:r>
      <w:hyperlink w:anchor="AUTO_2024_77" w:history="1">
        <w:r w:rsidRPr="007D5795">
          <w:rPr>
            <w:rStyle w:val="TextoNormalCaracter"/>
          </w:rPr>
          <w:t>77/2024</w:t>
        </w:r>
      </w:hyperlink>
      <w:r>
        <w:t xml:space="preserve">, f. 2; </w:t>
      </w:r>
      <w:hyperlink w:anchor="AUTO_2024_84" w:history="1">
        <w:r w:rsidRPr="007D5795">
          <w:rPr>
            <w:rStyle w:val="TextoNormalCaracter"/>
          </w:rPr>
          <w:t>84/2024</w:t>
        </w:r>
      </w:hyperlink>
      <w:r>
        <w:t xml:space="preserve">, f. 2; </w:t>
      </w:r>
      <w:hyperlink w:anchor="AUTO_2024_86" w:history="1">
        <w:r w:rsidRPr="007D5795">
          <w:rPr>
            <w:rStyle w:val="TextoNormalCaracter"/>
          </w:rPr>
          <w:t>86/2024</w:t>
        </w:r>
      </w:hyperlink>
      <w:r>
        <w:t xml:space="preserve">, f. 1; </w:t>
      </w:r>
      <w:hyperlink w:anchor="AUTO_2024_92" w:history="1">
        <w:r w:rsidRPr="007D5795">
          <w:rPr>
            <w:rStyle w:val="TextoNormalCaracter"/>
          </w:rPr>
          <w:t>92/2024</w:t>
        </w:r>
      </w:hyperlink>
      <w:r>
        <w:t xml:space="preserve">, f. 2; </w:t>
      </w:r>
      <w:hyperlink w:anchor="AUTO_2024_98" w:history="1">
        <w:r w:rsidRPr="007D5795">
          <w:rPr>
            <w:rStyle w:val="TextoNormalCaracter"/>
          </w:rPr>
          <w:t>98/2024</w:t>
        </w:r>
      </w:hyperlink>
      <w:r>
        <w:t xml:space="preserve">, f. único; </w:t>
      </w:r>
      <w:hyperlink w:anchor="AUTO_2024_99" w:history="1">
        <w:r w:rsidRPr="007D5795">
          <w:rPr>
            <w:rStyle w:val="TextoNormalCaracter"/>
          </w:rPr>
          <w:t>99/2024</w:t>
        </w:r>
      </w:hyperlink>
      <w:r>
        <w:t xml:space="preserve">, f. 1; </w:t>
      </w:r>
      <w:hyperlink w:anchor="AUTO_2024_104" w:history="1">
        <w:r w:rsidRPr="007D5795">
          <w:rPr>
            <w:rStyle w:val="TextoNormalCaracter"/>
          </w:rPr>
          <w:t>104/2024</w:t>
        </w:r>
      </w:hyperlink>
      <w:r>
        <w:t>, f. 1.</w:t>
      </w:r>
    </w:p>
    <w:p w14:paraId="244E4D9E" w14:textId="18C4180C" w:rsidR="007D5795" w:rsidRDefault="007D5795" w:rsidP="007D5795">
      <w:pPr>
        <w:pStyle w:val="SangriaFrancesaArticulo"/>
      </w:pPr>
      <w:r w:rsidRPr="007D5795">
        <w:rPr>
          <w:rStyle w:val="TextoNormalNegritaCaracter"/>
        </w:rPr>
        <w:t>Artículo 56.3.</w:t>
      </w:r>
      <w:r w:rsidRPr="007D5795">
        <w:rPr>
          <w:rStyle w:val="TextoNormalCaracter"/>
        </w:rPr>
        <w:t>-</w:t>
      </w:r>
      <w:r>
        <w:t xml:space="preserve"> Auto </w:t>
      </w:r>
      <w:hyperlink w:anchor="AUTO_2024_92" w:history="1">
        <w:r w:rsidRPr="007D5795">
          <w:rPr>
            <w:rStyle w:val="TextoNormalCaracter"/>
          </w:rPr>
          <w:t>92/2024</w:t>
        </w:r>
      </w:hyperlink>
      <w:r>
        <w:t>, f. 2.</w:t>
      </w:r>
    </w:p>
    <w:p w14:paraId="56B2149F" w14:textId="0918FD7D" w:rsidR="007D5795" w:rsidRDefault="007D5795" w:rsidP="007D5795">
      <w:pPr>
        <w:pStyle w:val="SangriaFrancesaArticulo"/>
      </w:pPr>
      <w:r w:rsidRPr="007D5795">
        <w:rPr>
          <w:rStyle w:val="TextoNormalNegritaCaracter"/>
        </w:rPr>
        <w:t>Artículo 57.</w:t>
      </w:r>
      <w:r w:rsidRPr="007D5795">
        <w:rPr>
          <w:rStyle w:val="TextoNormalCaracter"/>
        </w:rPr>
        <w:t>-</w:t>
      </w:r>
      <w:r>
        <w:t xml:space="preserve"> Auto </w:t>
      </w:r>
      <w:hyperlink w:anchor="AUTO_2024_98" w:history="1">
        <w:r w:rsidRPr="007D5795">
          <w:rPr>
            <w:rStyle w:val="TextoNormalCaracter"/>
          </w:rPr>
          <w:t>98/2024</w:t>
        </w:r>
      </w:hyperlink>
      <w:r>
        <w:t>, f. único.</w:t>
      </w:r>
    </w:p>
    <w:p w14:paraId="6FE661BE" w14:textId="07E0F4FB" w:rsidR="007D5795" w:rsidRDefault="007D5795" w:rsidP="007D5795">
      <w:pPr>
        <w:pStyle w:val="SangriaFrancesaArticulo"/>
      </w:pPr>
      <w:r w:rsidRPr="007D5795">
        <w:rPr>
          <w:rStyle w:val="TextoNormalNegritaCaracter"/>
        </w:rPr>
        <w:t>Artículo 76.</w:t>
      </w:r>
      <w:r w:rsidRPr="007D5795">
        <w:rPr>
          <w:rStyle w:val="TextoNormalCaracter"/>
        </w:rPr>
        <w:t>-</w:t>
      </w:r>
      <w:r>
        <w:t xml:space="preserve"> Sentencia </w:t>
      </w:r>
      <w:hyperlink w:anchor="SENTENCIA_2024_143" w:history="1">
        <w:r w:rsidRPr="007D5795">
          <w:rPr>
            <w:rStyle w:val="TextoNormalCaracter"/>
          </w:rPr>
          <w:t>143/2024</w:t>
        </w:r>
      </w:hyperlink>
      <w:r>
        <w:t>, f. 1.</w:t>
      </w:r>
    </w:p>
    <w:p w14:paraId="36988548" w14:textId="643F6FB0" w:rsidR="007D5795" w:rsidRDefault="007D5795" w:rsidP="007D5795">
      <w:pPr>
        <w:pStyle w:val="SangriaFrancesaArticulo"/>
      </w:pPr>
      <w:r w:rsidRPr="007D5795">
        <w:rPr>
          <w:rStyle w:val="TextoNormalNegritaCaracter"/>
        </w:rPr>
        <w:t>Artículo 77.</w:t>
      </w:r>
      <w:r w:rsidRPr="007D5795">
        <w:rPr>
          <w:rStyle w:val="TextoNormalCaracter"/>
        </w:rPr>
        <w:t>-</w:t>
      </w:r>
      <w:r>
        <w:t xml:space="preserve"> Sentencia </w:t>
      </w:r>
      <w:hyperlink w:anchor="SENTENCIA_2024_143" w:history="1">
        <w:r w:rsidRPr="007D5795">
          <w:rPr>
            <w:rStyle w:val="TextoNormalCaracter"/>
          </w:rPr>
          <w:t>143/2024</w:t>
        </w:r>
      </w:hyperlink>
      <w:r>
        <w:t>, f. 1.</w:t>
      </w:r>
    </w:p>
    <w:p w14:paraId="03F4682C" w14:textId="0F69364A" w:rsidR="007D5795" w:rsidRDefault="007D5795" w:rsidP="007D5795">
      <w:pPr>
        <w:pStyle w:val="SangriaIzquierdaArticulo"/>
      </w:pPr>
      <w:r>
        <w:t xml:space="preserve">Auto </w:t>
      </w:r>
      <w:hyperlink w:anchor="AUTO_2024_72" w:history="1">
        <w:r w:rsidRPr="007D5795">
          <w:rPr>
            <w:rStyle w:val="TextoNormalCaracter"/>
          </w:rPr>
          <w:t>72/2024</w:t>
        </w:r>
      </w:hyperlink>
      <w:r>
        <w:t>, f. único.</w:t>
      </w:r>
    </w:p>
    <w:p w14:paraId="60053DC1" w14:textId="6627710B" w:rsidR="007D5795" w:rsidRDefault="007D5795" w:rsidP="007D5795">
      <w:pPr>
        <w:pStyle w:val="SangriaFrancesaArticulo"/>
      </w:pPr>
      <w:r w:rsidRPr="007D5795">
        <w:rPr>
          <w:rStyle w:val="TextoNormalNegritaCaracter"/>
        </w:rPr>
        <w:t>Artículo 80.</w:t>
      </w:r>
      <w:r w:rsidRPr="007D5795">
        <w:rPr>
          <w:rStyle w:val="TextoNormalCaracter"/>
        </w:rPr>
        <w:t>-</w:t>
      </w:r>
      <w:r>
        <w:t xml:space="preserve"> Autos </w:t>
      </w:r>
      <w:hyperlink w:anchor="AUTO_2024_63" w:history="1">
        <w:r w:rsidRPr="007D5795">
          <w:rPr>
            <w:rStyle w:val="TextoNormalCaracter"/>
          </w:rPr>
          <w:t>63/2024</w:t>
        </w:r>
      </w:hyperlink>
      <w:r>
        <w:t xml:space="preserve">, f. único; </w:t>
      </w:r>
      <w:hyperlink w:anchor="AUTO_2024_67" w:history="1">
        <w:r w:rsidRPr="007D5795">
          <w:rPr>
            <w:rStyle w:val="TextoNormalCaracter"/>
          </w:rPr>
          <w:t>67/2024</w:t>
        </w:r>
      </w:hyperlink>
      <w:r>
        <w:t xml:space="preserve">, f. único; </w:t>
      </w:r>
      <w:hyperlink w:anchor="AUTO_2024_68" w:history="1">
        <w:r w:rsidRPr="007D5795">
          <w:rPr>
            <w:rStyle w:val="TextoNormalCaracter"/>
          </w:rPr>
          <w:t>68/2024</w:t>
        </w:r>
      </w:hyperlink>
      <w:r>
        <w:t xml:space="preserve">, ff. 2, 3; </w:t>
      </w:r>
      <w:hyperlink w:anchor="AUTO_2024_70" w:history="1">
        <w:r w:rsidRPr="007D5795">
          <w:rPr>
            <w:rStyle w:val="TextoNormalCaracter"/>
          </w:rPr>
          <w:t>70/2024</w:t>
        </w:r>
      </w:hyperlink>
      <w:r>
        <w:t xml:space="preserve">, f. 2; </w:t>
      </w:r>
      <w:hyperlink w:anchor="AUTO_2024_75" w:history="1">
        <w:r w:rsidRPr="007D5795">
          <w:rPr>
            <w:rStyle w:val="TextoNormalCaracter"/>
          </w:rPr>
          <w:t>75/2024</w:t>
        </w:r>
      </w:hyperlink>
      <w:r>
        <w:t xml:space="preserve">, f. único; </w:t>
      </w:r>
      <w:hyperlink w:anchor="AUTO_2024_76" w:history="1">
        <w:r w:rsidRPr="007D5795">
          <w:rPr>
            <w:rStyle w:val="TextoNormalCaracter"/>
          </w:rPr>
          <w:t>76/2024</w:t>
        </w:r>
      </w:hyperlink>
      <w:r>
        <w:t xml:space="preserve">, f- único; </w:t>
      </w:r>
      <w:hyperlink w:anchor="AUTO_2024_78" w:history="1">
        <w:r w:rsidRPr="007D5795">
          <w:rPr>
            <w:rStyle w:val="TextoNormalCaracter"/>
          </w:rPr>
          <w:t>78/2024</w:t>
        </w:r>
      </w:hyperlink>
      <w:r>
        <w:t xml:space="preserve">, f. 2; </w:t>
      </w:r>
      <w:hyperlink w:anchor="AUTO_2024_82" w:history="1">
        <w:r w:rsidRPr="007D5795">
          <w:rPr>
            <w:rStyle w:val="TextoNormalCaracter"/>
          </w:rPr>
          <w:t>82/2024</w:t>
        </w:r>
      </w:hyperlink>
      <w:r>
        <w:t xml:space="preserve">, f. único; </w:t>
      </w:r>
      <w:hyperlink w:anchor="AUTO_2024_83" w:history="1">
        <w:r w:rsidRPr="007D5795">
          <w:rPr>
            <w:rStyle w:val="TextoNormalCaracter"/>
          </w:rPr>
          <w:t>83/2024</w:t>
        </w:r>
      </w:hyperlink>
      <w:r>
        <w:t xml:space="preserve">, f. único; </w:t>
      </w:r>
      <w:hyperlink w:anchor="AUTO_2024_87" w:history="1">
        <w:r w:rsidRPr="007D5795">
          <w:rPr>
            <w:rStyle w:val="TextoNormalCaracter"/>
          </w:rPr>
          <w:t>87/2024</w:t>
        </w:r>
      </w:hyperlink>
      <w:r>
        <w:t xml:space="preserve">, f. único; </w:t>
      </w:r>
      <w:hyperlink w:anchor="AUTO_2024_88" w:history="1">
        <w:r w:rsidRPr="007D5795">
          <w:rPr>
            <w:rStyle w:val="TextoNormalCaracter"/>
          </w:rPr>
          <w:t>88/2024</w:t>
        </w:r>
      </w:hyperlink>
      <w:r>
        <w:t xml:space="preserve">, f. único; </w:t>
      </w:r>
      <w:hyperlink w:anchor="AUTO_2024_91" w:history="1">
        <w:r w:rsidRPr="007D5795">
          <w:rPr>
            <w:rStyle w:val="TextoNormalCaracter"/>
          </w:rPr>
          <w:t>91/2024</w:t>
        </w:r>
      </w:hyperlink>
      <w:r>
        <w:t xml:space="preserve">, f. 1, VP II; </w:t>
      </w:r>
      <w:hyperlink w:anchor="AUTO_2024_95" w:history="1">
        <w:r w:rsidRPr="007D5795">
          <w:rPr>
            <w:rStyle w:val="TextoNormalCaracter"/>
          </w:rPr>
          <w:t>95/2024</w:t>
        </w:r>
      </w:hyperlink>
      <w:r>
        <w:t xml:space="preserve">, f. único; </w:t>
      </w:r>
      <w:hyperlink w:anchor="AUTO_2024_97" w:history="1">
        <w:r w:rsidRPr="007D5795">
          <w:rPr>
            <w:rStyle w:val="TextoNormalCaracter"/>
          </w:rPr>
          <w:t>97/2024</w:t>
        </w:r>
      </w:hyperlink>
      <w:r>
        <w:t xml:space="preserve">, f. único; </w:t>
      </w:r>
      <w:hyperlink w:anchor="AUTO_2024_114" w:history="1">
        <w:r w:rsidRPr="007D5795">
          <w:rPr>
            <w:rStyle w:val="TextoNormalCaracter"/>
          </w:rPr>
          <w:t>114/2024</w:t>
        </w:r>
      </w:hyperlink>
      <w:r>
        <w:t xml:space="preserve">, f. único; </w:t>
      </w:r>
      <w:hyperlink w:anchor="AUTO_2024_147" w:history="1">
        <w:r w:rsidRPr="007D5795">
          <w:rPr>
            <w:rStyle w:val="TextoNormalCaracter"/>
          </w:rPr>
          <w:t>147/2024</w:t>
        </w:r>
      </w:hyperlink>
      <w:r>
        <w:t xml:space="preserve">, f. único; </w:t>
      </w:r>
      <w:hyperlink w:anchor="AUTO_2024_149" w:history="1">
        <w:r w:rsidRPr="007D5795">
          <w:rPr>
            <w:rStyle w:val="TextoNormalCaracter"/>
          </w:rPr>
          <w:t>149/2024</w:t>
        </w:r>
      </w:hyperlink>
      <w:r>
        <w:t xml:space="preserve">, f. único; </w:t>
      </w:r>
      <w:hyperlink w:anchor="AUTO_2024_150" w:history="1">
        <w:r w:rsidRPr="007D5795">
          <w:rPr>
            <w:rStyle w:val="TextoNormalCaracter"/>
          </w:rPr>
          <w:t>150/2024</w:t>
        </w:r>
      </w:hyperlink>
      <w:r>
        <w:t xml:space="preserve">, f. único; </w:t>
      </w:r>
      <w:hyperlink w:anchor="AUTO_2024_154" w:history="1">
        <w:r w:rsidRPr="007D5795">
          <w:rPr>
            <w:rStyle w:val="TextoNormalCaracter"/>
          </w:rPr>
          <w:t>154/2024</w:t>
        </w:r>
      </w:hyperlink>
      <w:r>
        <w:t xml:space="preserve">, f. único; </w:t>
      </w:r>
      <w:hyperlink w:anchor="AUTO_2024_155" w:history="1">
        <w:r w:rsidRPr="007D5795">
          <w:rPr>
            <w:rStyle w:val="TextoNormalCaracter"/>
          </w:rPr>
          <w:t>155/2024</w:t>
        </w:r>
      </w:hyperlink>
      <w:r>
        <w:t xml:space="preserve">, f. único; </w:t>
      </w:r>
      <w:hyperlink w:anchor="AUTO_2024_156" w:history="1">
        <w:r w:rsidRPr="007D5795">
          <w:rPr>
            <w:rStyle w:val="TextoNormalCaracter"/>
          </w:rPr>
          <w:t>156/2024</w:t>
        </w:r>
      </w:hyperlink>
      <w:r>
        <w:t>, f. 2.</w:t>
      </w:r>
    </w:p>
    <w:p w14:paraId="2F5ABE74" w14:textId="56ED7B97" w:rsidR="007D5795" w:rsidRDefault="007D5795" w:rsidP="007D5795">
      <w:pPr>
        <w:pStyle w:val="SangriaFrancesaArticulo"/>
      </w:pPr>
      <w:r w:rsidRPr="007D5795">
        <w:rPr>
          <w:rStyle w:val="TextoNormalNegritaCaracter"/>
        </w:rPr>
        <w:t>Artículo 82.2.</w:t>
      </w:r>
      <w:r w:rsidRPr="007D5795">
        <w:rPr>
          <w:rStyle w:val="TextoNormalCaracter"/>
        </w:rPr>
        <w:t>-</w:t>
      </w:r>
      <w:r>
        <w:t xml:space="preserve"> Auto </w:t>
      </w:r>
      <w:hyperlink w:anchor="AUTO_2024_116" w:history="1">
        <w:r w:rsidRPr="007D5795">
          <w:rPr>
            <w:rStyle w:val="TextoNormalCaracter"/>
          </w:rPr>
          <w:t>116/2024</w:t>
        </w:r>
      </w:hyperlink>
      <w:r>
        <w:t>, f. 2.</w:t>
      </w:r>
    </w:p>
    <w:p w14:paraId="6112FB1E" w14:textId="54BB18CF" w:rsidR="007D5795" w:rsidRDefault="007D5795" w:rsidP="007D5795">
      <w:pPr>
        <w:pStyle w:val="SangriaFrancesaArticulo"/>
      </w:pPr>
      <w:r w:rsidRPr="007D5795">
        <w:rPr>
          <w:rStyle w:val="TextoNormalNegritaCaracter"/>
        </w:rPr>
        <w:t>Artículo 84.</w:t>
      </w:r>
      <w:r w:rsidRPr="007D5795">
        <w:rPr>
          <w:rStyle w:val="TextoNormalCaracter"/>
        </w:rPr>
        <w:t>-</w:t>
      </w:r>
      <w:r>
        <w:t xml:space="preserve"> Sentencia </w:t>
      </w:r>
      <w:hyperlink w:anchor="SENTENCIA_2024_152" w:history="1">
        <w:r w:rsidRPr="007D5795">
          <w:rPr>
            <w:rStyle w:val="TextoNormalCaracter"/>
          </w:rPr>
          <w:t>152/2024</w:t>
        </w:r>
      </w:hyperlink>
      <w:r>
        <w:t>, f. 2.</w:t>
      </w:r>
    </w:p>
    <w:p w14:paraId="2DF0E281" w14:textId="50AD770A" w:rsidR="007D5795" w:rsidRDefault="007D5795" w:rsidP="007D5795">
      <w:pPr>
        <w:pStyle w:val="SangriaFrancesaArticulo"/>
      </w:pPr>
      <w:r w:rsidRPr="007D5795">
        <w:rPr>
          <w:rStyle w:val="TextoNormalNegritaCaracter"/>
        </w:rPr>
        <w:t>Artículo 86.1.</w:t>
      </w:r>
      <w:r w:rsidRPr="007D5795">
        <w:rPr>
          <w:rStyle w:val="TextoNormalCaracter"/>
        </w:rPr>
        <w:t>-</w:t>
      </w:r>
      <w:r>
        <w:t xml:space="preserve"> Sentencia </w:t>
      </w:r>
      <w:hyperlink w:anchor="SENTENCIA_2024_127" w:history="1">
        <w:r w:rsidRPr="007D5795">
          <w:rPr>
            <w:rStyle w:val="TextoNormalCaracter"/>
          </w:rPr>
          <w:t>127/2024</w:t>
        </w:r>
      </w:hyperlink>
      <w:r>
        <w:t>, f. 2.</w:t>
      </w:r>
    </w:p>
    <w:p w14:paraId="6987100B" w14:textId="46BCCFAE" w:rsidR="007D5795" w:rsidRDefault="007D5795" w:rsidP="007D5795">
      <w:pPr>
        <w:pStyle w:val="SangriaIzquierdaArticulo"/>
      </w:pPr>
      <w:r>
        <w:t xml:space="preserve">Autos </w:t>
      </w:r>
      <w:hyperlink w:anchor="AUTO_2024_75" w:history="1">
        <w:r w:rsidRPr="007D5795">
          <w:rPr>
            <w:rStyle w:val="TextoNormalCaracter"/>
          </w:rPr>
          <w:t>75/2024</w:t>
        </w:r>
      </w:hyperlink>
      <w:r>
        <w:t xml:space="preserve">, f. único; </w:t>
      </w:r>
      <w:hyperlink w:anchor="AUTO_2024_96" w:history="1">
        <w:r w:rsidRPr="007D5795">
          <w:rPr>
            <w:rStyle w:val="TextoNormalCaracter"/>
          </w:rPr>
          <w:t>96/2024</w:t>
        </w:r>
      </w:hyperlink>
      <w:r>
        <w:t xml:space="preserve">, f. 3; </w:t>
      </w:r>
      <w:hyperlink w:anchor="AUTO_2024_97" w:history="1">
        <w:r w:rsidRPr="007D5795">
          <w:rPr>
            <w:rStyle w:val="TextoNormalCaracter"/>
          </w:rPr>
          <w:t>97/2024</w:t>
        </w:r>
      </w:hyperlink>
      <w:r>
        <w:t xml:space="preserve">, f. único; </w:t>
      </w:r>
      <w:hyperlink w:anchor="AUTO_2024_116" w:history="1">
        <w:r w:rsidRPr="007D5795">
          <w:rPr>
            <w:rStyle w:val="TextoNormalCaracter"/>
          </w:rPr>
          <w:t>116/2024</w:t>
        </w:r>
      </w:hyperlink>
      <w:r>
        <w:t xml:space="preserve">, f. 2; </w:t>
      </w:r>
      <w:hyperlink w:anchor="AUTO_2024_156" w:history="1">
        <w:r w:rsidRPr="007D5795">
          <w:rPr>
            <w:rStyle w:val="TextoNormalCaracter"/>
          </w:rPr>
          <w:t>156/2024</w:t>
        </w:r>
      </w:hyperlink>
      <w:r>
        <w:t>, f. 2.</w:t>
      </w:r>
    </w:p>
    <w:p w14:paraId="5F1E54D0" w14:textId="601BFC1A" w:rsidR="007D5795" w:rsidRDefault="007D5795" w:rsidP="007D5795">
      <w:pPr>
        <w:pStyle w:val="SangriaFrancesaArticulo"/>
      </w:pPr>
      <w:r w:rsidRPr="007D5795">
        <w:rPr>
          <w:rStyle w:val="TextoNormalNegritaCaracter"/>
        </w:rPr>
        <w:t>Artículo 86.3.</w:t>
      </w:r>
      <w:r w:rsidRPr="007D5795">
        <w:rPr>
          <w:rStyle w:val="TextoNormalCaracter"/>
        </w:rPr>
        <w:t>-</w:t>
      </w:r>
      <w:r>
        <w:t xml:space="preserve"> Sentencias </w:t>
      </w:r>
      <w:hyperlink w:anchor="SENTENCIA_2024_106" w:history="1">
        <w:r w:rsidRPr="007D5795">
          <w:rPr>
            <w:rStyle w:val="TextoNormalCaracter"/>
          </w:rPr>
          <w:t>106/2024</w:t>
        </w:r>
      </w:hyperlink>
      <w:r>
        <w:t xml:space="preserve">, f. 1; </w:t>
      </w:r>
      <w:hyperlink w:anchor="SENTENCIA_2024_115" w:history="1">
        <w:r w:rsidRPr="007D5795">
          <w:rPr>
            <w:rStyle w:val="TextoNormalCaracter"/>
          </w:rPr>
          <w:t>115/2024</w:t>
        </w:r>
      </w:hyperlink>
      <w:r>
        <w:t xml:space="preserve">, f. 1; </w:t>
      </w:r>
      <w:hyperlink w:anchor="SENTENCIA_2024_140" w:history="1">
        <w:r w:rsidRPr="007D5795">
          <w:rPr>
            <w:rStyle w:val="TextoNormalCaracter"/>
          </w:rPr>
          <w:t>140/2024</w:t>
        </w:r>
      </w:hyperlink>
      <w:r>
        <w:t xml:space="preserve">, f. 2; </w:t>
      </w:r>
      <w:hyperlink w:anchor="SENTENCIA_2024_145" w:history="1">
        <w:r w:rsidRPr="007D5795">
          <w:rPr>
            <w:rStyle w:val="TextoNormalCaracter"/>
          </w:rPr>
          <w:t>145/2024</w:t>
        </w:r>
      </w:hyperlink>
      <w:r>
        <w:t>, f. 1.</w:t>
      </w:r>
    </w:p>
    <w:p w14:paraId="31512A42" w14:textId="6A0414F2" w:rsidR="007D5795" w:rsidRDefault="007D5795" w:rsidP="007D5795">
      <w:pPr>
        <w:pStyle w:val="SangriaFrancesaArticulo"/>
      </w:pPr>
      <w:r w:rsidRPr="007D5795">
        <w:rPr>
          <w:rStyle w:val="TextoNormalNegritaCaracter"/>
        </w:rPr>
        <w:t>Artículo 87.1.</w:t>
      </w:r>
      <w:r w:rsidRPr="007D5795">
        <w:rPr>
          <w:rStyle w:val="TextoNormalCaracter"/>
        </w:rPr>
        <w:t>-</w:t>
      </w:r>
      <w:r>
        <w:t xml:space="preserve"> Sentencias </w:t>
      </w:r>
      <w:hyperlink w:anchor="SENTENCIA_2024_117" w:history="1">
        <w:r w:rsidRPr="007D5795">
          <w:rPr>
            <w:rStyle w:val="TextoNormalCaracter"/>
          </w:rPr>
          <w:t>117/2024</w:t>
        </w:r>
      </w:hyperlink>
      <w:r>
        <w:t xml:space="preserve">, f. 4; </w:t>
      </w:r>
      <w:hyperlink w:anchor="SENTENCIA_2024_140" w:history="1">
        <w:r w:rsidRPr="007D5795">
          <w:rPr>
            <w:rStyle w:val="TextoNormalCaracter"/>
          </w:rPr>
          <w:t>140/2024</w:t>
        </w:r>
      </w:hyperlink>
      <w:r>
        <w:t>, VP II.</w:t>
      </w:r>
    </w:p>
    <w:p w14:paraId="7584536E" w14:textId="3D82A7E0" w:rsidR="007D5795" w:rsidRDefault="007D5795" w:rsidP="007D5795">
      <w:pPr>
        <w:pStyle w:val="SangriaIzquierdaArticulo"/>
      </w:pPr>
      <w:r>
        <w:t xml:space="preserve">Auto </w:t>
      </w:r>
      <w:hyperlink w:anchor="AUTO_2024_125" w:history="1">
        <w:r w:rsidRPr="007D5795">
          <w:rPr>
            <w:rStyle w:val="TextoNormalCaracter"/>
          </w:rPr>
          <w:t>125/2024</w:t>
        </w:r>
      </w:hyperlink>
      <w:r>
        <w:t>, f. 2.</w:t>
      </w:r>
    </w:p>
    <w:p w14:paraId="65DCD4EC" w14:textId="2BF5524C" w:rsidR="007D5795" w:rsidRDefault="007D5795" w:rsidP="007D5795">
      <w:pPr>
        <w:pStyle w:val="SangriaFrancesaArticulo"/>
      </w:pPr>
      <w:r w:rsidRPr="007D5795">
        <w:rPr>
          <w:rStyle w:val="TextoNormalNegritaCaracter"/>
        </w:rPr>
        <w:t>Artículo 90.1.</w:t>
      </w:r>
      <w:r w:rsidRPr="007D5795">
        <w:rPr>
          <w:rStyle w:val="TextoNormalCaracter"/>
        </w:rPr>
        <w:t>-</w:t>
      </w:r>
      <w:r>
        <w:t xml:space="preserve"> Sentencia </w:t>
      </w:r>
      <w:hyperlink w:anchor="SENTENCIA_2024_144" w:history="1">
        <w:r w:rsidRPr="007D5795">
          <w:rPr>
            <w:rStyle w:val="TextoNormalCaracter"/>
          </w:rPr>
          <w:t>144/2024</w:t>
        </w:r>
      </w:hyperlink>
      <w:r>
        <w:t>, VP I.</w:t>
      </w:r>
    </w:p>
    <w:p w14:paraId="319AAD61" w14:textId="2C31CA98" w:rsidR="007D5795" w:rsidRDefault="007D5795" w:rsidP="007D5795">
      <w:pPr>
        <w:pStyle w:val="SangriaFrancesaArticulo"/>
      </w:pPr>
      <w:r w:rsidRPr="007D5795">
        <w:rPr>
          <w:rStyle w:val="TextoNormalNegritaCaracter"/>
        </w:rPr>
        <w:t>Artículo 90.2.</w:t>
      </w:r>
      <w:r w:rsidRPr="007D5795">
        <w:rPr>
          <w:rStyle w:val="TextoNormalCaracter"/>
        </w:rPr>
        <w:t>-</w:t>
      </w:r>
      <w:r>
        <w:t xml:space="preserve"> Sentencias </w:t>
      </w:r>
      <w:hyperlink w:anchor="SENTENCIA_2024_94" w:history="1">
        <w:r w:rsidRPr="007D5795">
          <w:rPr>
            <w:rStyle w:val="TextoNormalCaracter"/>
          </w:rPr>
          <w:t>94/2024</w:t>
        </w:r>
      </w:hyperlink>
      <w:r>
        <w:t xml:space="preserve">, VP I, VP II, VP III, VP IV; </w:t>
      </w:r>
      <w:hyperlink w:anchor="SENTENCIA_2024_95" w:history="1">
        <w:r w:rsidRPr="007D5795">
          <w:rPr>
            <w:rStyle w:val="TextoNormalCaracter"/>
          </w:rPr>
          <w:t>95/2024</w:t>
        </w:r>
      </w:hyperlink>
      <w:r>
        <w:t xml:space="preserve">, VP I, VP II, VP III; </w:t>
      </w:r>
      <w:hyperlink w:anchor="SENTENCIA_2024_96" w:history="1">
        <w:r w:rsidRPr="007D5795">
          <w:rPr>
            <w:rStyle w:val="TextoNormalCaracter"/>
          </w:rPr>
          <w:t>96/2024</w:t>
        </w:r>
      </w:hyperlink>
      <w:r>
        <w:t xml:space="preserve">, VP I, VP II, VP III, VP IV; </w:t>
      </w:r>
      <w:hyperlink w:anchor="SENTENCIA_2024_97" w:history="1">
        <w:r w:rsidRPr="007D5795">
          <w:rPr>
            <w:rStyle w:val="TextoNormalCaracter"/>
          </w:rPr>
          <w:t>97/2024</w:t>
        </w:r>
      </w:hyperlink>
      <w:r>
        <w:t xml:space="preserve">, VP I, VP II, VP III, VP IV; </w:t>
      </w:r>
      <w:hyperlink w:anchor="SENTENCIA_2024_98" w:history="1">
        <w:r w:rsidRPr="007D5795">
          <w:rPr>
            <w:rStyle w:val="TextoNormalCaracter"/>
          </w:rPr>
          <w:t>98/2024</w:t>
        </w:r>
      </w:hyperlink>
      <w:r>
        <w:t xml:space="preserve">, VP I, VP II, VP III; </w:t>
      </w:r>
      <w:hyperlink w:anchor="SENTENCIA_2024_99" w:history="1">
        <w:r w:rsidRPr="007D5795">
          <w:rPr>
            <w:rStyle w:val="TextoNormalCaracter"/>
          </w:rPr>
          <w:t>99/2024</w:t>
        </w:r>
      </w:hyperlink>
      <w:r>
        <w:t xml:space="preserve">, VP I, VP II, VP III, VP IV; </w:t>
      </w:r>
      <w:hyperlink w:anchor="SENTENCIA_2024_100" w:history="1">
        <w:r w:rsidRPr="007D5795">
          <w:rPr>
            <w:rStyle w:val="TextoNormalCaracter"/>
          </w:rPr>
          <w:t>100/2024</w:t>
        </w:r>
      </w:hyperlink>
      <w:r>
        <w:t xml:space="preserve">, VP I, VP II, VP III, VP IV; </w:t>
      </w:r>
      <w:hyperlink w:anchor="SENTENCIA_2024_102" w:history="1">
        <w:r w:rsidRPr="007D5795">
          <w:rPr>
            <w:rStyle w:val="TextoNormalCaracter"/>
          </w:rPr>
          <w:t>102/2024</w:t>
        </w:r>
      </w:hyperlink>
      <w:r>
        <w:t xml:space="preserve">, VP I, VP II, VP III, VP IV; </w:t>
      </w:r>
      <w:hyperlink w:anchor="SENTENCIA_2024_103" w:history="1">
        <w:r w:rsidRPr="007D5795">
          <w:rPr>
            <w:rStyle w:val="TextoNormalCaracter"/>
          </w:rPr>
          <w:t>103/2024</w:t>
        </w:r>
      </w:hyperlink>
      <w:r>
        <w:t xml:space="preserve">, VP I, VP II, VP III, VP IV; </w:t>
      </w:r>
      <w:hyperlink w:anchor="SENTENCIA_2024_107" w:history="1">
        <w:r w:rsidRPr="007D5795">
          <w:rPr>
            <w:rStyle w:val="TextoNormalCaracter"/>
          </w:rPr>
          <w:t>107/2024</w:t>
        </w:r>
      </w:hyperlink>
      <w:r>
        <w:t xml:space="preserve">, VP; </w:t>
      </w:r>
      <w:hyperlink w:anchor="SENTENCIA_2024_114" w:history="1">
        <w:r w:rsidRPr="007D5795">
          <w:rPr>
            <w:rStyle w:val="TextoNormalCaracter"/>
          </w:rPr>
          <w:t>114/2024</w:t>
        </w:r>
      </w:hyperlink>
      <w:r>
        <w:t xml:space="preserve">, VP; </w:t>
      </w:r>
      <w:hyperlink w:anchor="SENTENCIA_2024_115" w:history="1">
        <w:r w:rsidRPr="007D5795">
          <w:rPr>
            <w:rStyle w:val="TextoNormalCaracter"/>
          </w:rPr>
          <w:t>115/2024</w:t>
        </w:r>
      </w:hyperlink>
      <w:r>
        <w:t xml:space="preserve">, VP I, VP II; </w:t>
      </w:r>
      <w:hyperlink w:anchor="SENTENCIA_2024_118" w:history="1">
        <w:r w:rsidRPr="007D5795">
          <w:rPr>
            <w:rStyle w:val="TextoNormalCaracter"/>
          </w:rPr>
          <w:t>118/2024</w:t>
        </w:r>
      </w:hyperlink>
      <w:r>
        <w:t xml:space="preserve">, VP I, VP II; </w:t>
      </w:r>
      <w:hyperlink w:anchor="SENTENCIA_2024_120" w:history="1">
        <w:r w:rsidRPr="007D5795">
          <w:rPr>
            <w:rStyle w:val="TextoNormalCaracter"/>
          </w:rPr>
          <w:t>120/2024</w:t>
        </w:r>
      </w:hyperlink>
      <w:r>
        <w:t xml:space="preserve">, VP II, VP III; </w:t>
      </w:r>
      <w:hyperlink w:anchor="SENTENCIA_2024_121" w:history="1">
        <w:r w:rsidRPr="007D5795">
          <w:rPr>
            <w:rStyle w:val="TextoNormalCaracter"/>
          </w:rPr>
          <w:t>121/2024</w:t>
        </w:r>
      </w:hyperlink>
      <w:r>
        <w:t xml:space="preserve">, VP I, VP II; </w:t>
      </w:r>
      <w:hyperlink w:anchor="SENTENCIA_2024_123" w:history="1">
        <w:r w:rsidRPr="007D5795">
          <w:rPr>
            <w:rStyle w:val="TextoNormalCaracter"/>
          </w:rPr>
          <w:t>123/2024</w:t>
        </w:r>
      </w:hyperlink>
      <w:r>
        <w:t xml:space="preserve">, VP I. VP II; </w:t>
      </w:r>
      <w:hyperlink w:anchor="SENTENCIA_2024_126" w:history="1">
        <w:r w:rsidRPr="007D5795">
          <w:rPr>
            <w:rStyle w:val="TextoNormalCaracter"/>
          </w:rPr>
          <w:t>126/2024</w:t>
        </w:r>
      </w:hyperlink>
      <w:r>
        <w:t xml:space="preserve">, VP; </w:t>
      </w:r>
      <w:hyperlink w:anchor="SENTENCIA_2024_128" w:history="1">
        <w:r w:rsidRPr="007D5795">
          <w:rPr>
            <w:rStyle w:val="TextoNormalCaracter"/>
          </w:rPr>
          <w:t>128/2024</w:t>
        </w:r>
      </w:hyperlink>
      <w:r>
        <w:t xml:space="preserve">, VP; </w:t>
      </w:r>
      <w:hyperlink w:anchor="SENTENCIA_2024_129" w:history="1">
        <w:r w:rsidRPr="007D5795">
          <w:rPr>
            <w:rStyle w:val="TextoNormalCaracter"/>
          </w:rPr>
          <w:t>129/2024</w:t>
        </w:r>
      </w:hyperlink>
      <w:r>
        <w:t xml:space="preserve">, VP I; </w:t>
      </w:r>
      <w:hyperlink w:anchor="SENTENCIA_2024_132" w:history="1">
        <w:r w:rsidRPr="007D5795">
          <w:rPr>
            <w:rStyle w:val="TextoNormalCaracter"/>
          </w:rPr>
          <w:t>132/2024</w:t>
        </w:r>
      </w:hyperlink>
      <w:r>
        <w:t xml:space="preserve">, VP I, VP II, VP III; </w:t>
      </w:r>
      <w:hyperlink w:anchor="SENTENCIA_2024_136" w:history="1">
        <w:r w:rsidRPr="007D5795">
          <w:rPr>
            <w:rStyle w:val="TextoNormalCaracter"/>
          </w:rPr>
          <w:t>136/2024</w:t>
        </w:r>
      </w:hyperlink>
      <w:r>
        <w:t xml:space="preserve">, VP; </w:t>
      </w:r>
      <w:hyperlink w:anchor="SENTENCIA_2024_137" w:history="1">
        <w:r w:rsidRPr="007D5795">
          <w:rPr>
            <w:rStyle w:val="TextoNormalCaracter"/>
          </w:rPr>
          <w:t>137/2024</w:t>
        </w:r>
      </w:hyperlink>
      <w:r>
        <w:t xml:space="preserve">, VP; </w:t>
      </w:r>
      <w:hyperlink w:anchor="SENTENCIA_2024_138" w:history="1">
        <w:r w:rsidRPr="007D5795">
          <w:rPr>
            <w:rStyle w:val="TextoNormalCaracter"/>
          </w:rPr>
          <w:t>138/2024</w:t>
        </w:r>
      </w:hyperlink>
      <w:r>
        <w:t xml:space="preserve">, VP I; </w:t>
      </w:r>
      <w:hyperlink w:anchor="SENTENCIA_2024_139" w:history="1">
        <w:r w:rsidRPr="007D5795">
          <w:rPr>
            <w:rStyle w:val="TextoNormalCaracter"/>
          </w:rPr>
          <w:t>139/2024</w:t>
        </w:r>
      </w:hyperlink>
      <w:r>
        <w:t xml:space="preserve">, VP I, VP I, VP II; </w:t>
      </w:r>
      <w:hyperlink w:anchor="SENTENCIA_2024_140" w:history="1">
        <w:r w:rsidRPr="007D5795">
          <w:rPr>
            <w:rStyle w:val="TextoNormalCaracter"/>
          </w:rPr>
          <w:t>140/2024</w:t>
        </w:r>
      </w:hyperlink>
      <w:r>
        <w:t xml:space="preserve">, VP I, VP II; </w:t>
      </w:r>
      <w:hyperlink w:anchor="SENTENCIA_2024_142" w:history="1">
        <w:r w:rsidRPr="007D5795">
          <w:rPr>
            <w:rStyle w:val="TextoNormalCaracter"/>
          </w:rPr>
          <w:t>142/2024</w:t>
        </w:r>
      </w:hyperlink>
      <w:r>
        <w:t xml:space="preserve">, VP; </w:t>
      </w:r>
      <w:hyperlink w:anchor="SENTENCIA_2024_144" w:history="1">
        <w:r w:rsidRPr="007D5795">
          <w:rPr>
            <w:rStyle w:val="TextoNormalCaracter"/>
          </w:rPr>
          <w:t>144/2024</w:t>
        </w:r>
      </w:hyperlink>
      <w:r>
        <w:t xml:space="preserve">, VP I; </w:t>
      </w:r>
      <w:hyperlink w:anchor="SENTENCIA_2024_145" w:history="1">
        <w:r w:rsidRPr="007D5795">
          <w:rPr>
            <w:rStyle w:val="TextoNormalCaracter"/>
          </w:rPr>
          <w:t>145/2024</w:t>
        </w:r>
      </w:hyperlink>
      <w:r>
        <w:t>, VP I.</w:t>
      </w:r>
    </w:p>
    <w:p w14:paraId="2DEFA21E" w14:textId="7048144C" w:rsidR="007D5795" w:rsidRDefault="007D5795" w:rsidP="007D5795">
      <w:pPr>
        <w:pStyle w:val="SangriaIzquierdaArticulo"/>
      </w:pPr>
      <w:r>
        <w:t xml:space="preserve">Autos </w:t>
      </w:r>
      <w:hyperlink w:anchor="AUTO_2024_85" w:history="1">
        <w:r w:rsidRPr="007D5795">
          <w:rPr>
            <w:rStyle w:val="TextoNormalCaracter"/>
          </w:rPr>
          <w:t>85/2024</w:t>
        </w:r>
      </w:hyperlink>
      <w:r>
        <w:t xml:space="preserve">, VP; </w:t>
      </w:r>
      <w:hyperlink w:anchor="AUTO_2024_91" w:history="1">
        <w:r w:rsidRPr="007D5795">
          <w:rPr>
            <w:rStyle w:val="TextoNormalCaracter"/>
          </w:rPr>
          <w:t>91/2024</w:t>
        </w:r>
      </w:hyperlink>
      <w:r>
        <w:t xml:space="preserve">, VP I; </w:t>
      </w:r>
      <w:hyperlink w:anchor="AUTO_2024_93" w:history="1">
        <w:r w:rsidRPr="007D5795">
          <w:rPr>
            <w:rStyle w:val="TextoNormalCaracter"/>
          </w:rPr>
          <w:t>93/2024</w:t>
        </w:r>
      </w:hyperlink>
      <w:r>
        <w:t xml:space="preserve">, VP I, VP II; </w:t>
      </w:r>
      <w:hyperlink w:anchor="AUTO_2024_105" w:history="1">
        <w:r w:rsidRPr="007D5795">
          <w:rPr>
            <w:rStyle w:val="TextoNormalCaracter"/>
          </w:rPr>
          <w:t>105/2024</w:t>
        </w:r>
      </w:hyperlink>
      <w:r>
        <w:t xml:space="preserve">, VP I, VP II; </w:t>
      </w:r>
      <w:hyperlink w:anchor="AUTO_2024_106" w:history="1">
        <w:r w:rsidRPr="007D5795">
          <w:rPr>
            <w:rStyle w:val="TextoNormalCaracter"/>
          </w:rPr>
          <w:t>106/2024</w:t>
        </w:r>
      </w:hyperlink>
      <w:r>
        <w:t xml:space="preserve">, VP I, VP II; </w:t>
      </w:r>
      <w:hyperlink w:anchor="AUTO_2024_107" w:history="1">
        <w:r w:rsidRPr="007D5795">
          <w:rPr>
            <w:rStyle w:val="TextoNormalCaracter"/>
          </w:rPr>
          <w:t>107/2024</w:t>
        </w:r>
      </w:hyperlink>
      <w:r>
        <w:t xml:space="preserve">, VP I, VP II; </w:t>
      </w:r>
      <w:hyperlink w:anchor="AUTO_2024_108" w:history="1">
        <w:r w:rsidRPr="007D5795">
          <w:rPr>
            <w:rStyle w:val="TextoNormalCaracter"/>
          </w:rPr>
          <w:t>108/2024</w:t>
        </w:r>
      </w:hyperlink>
      <w:r>
        <w:t xml:space="preserve">, VP I, VP II; </w:t>
      </w:r>
      <w:hyperlink w:anchor="AUTO_2024_109" w:history="1">
        <w:r w:rsidRPr="007D5795">
          <w:rPr>
            <w:rStyle w:val="TextoNormalCaracter"/>
          </w:rPr>
          <w:t>109/2024</w:t>
        </w:r>
      </w:hyperlink>
      <w:r>
        <w:t xml:space="preserve">, VP I VP II; </w:t>
      </w:r>
      <w:hyperlink w:anchor="AUTO_2024_110" w:history="1">
        <w:r w:rsidRPr="007D5795">
          <w:rPr>
            <w:rStyle w:val="TextoNormalCaracter"/>
          </w:rPr>
          <w:t>110/2024</w:t>
        </w:r>
      </w:hyperlink>
      <w:r>
        <w:t xml:space="preserve">, VP I, VP II; </w:t>
      </w:r>
      <w:hyperlink w:anchor="AUTO_2024_111" w:history="1">
        <w:r w:rsidRPr="007D5795">
          <w:rPr>
            <w:rStyle w:val="TextoNormalCaracter"/>
          </w:rPr>
          <w:t>111/2024</w:t>
        </w:r>
      </w:hyperlink>
      <w:r>
        <w:t xml:space="preserve">, VP I, VP II; </w:t>
      </w:r>
      <w:hyperlink w:anchor="AUTO_2024_112" w:history="1">
        <w:r w:rsidRPr="007D5795">
          <w:rPr>
            <w:rStyle w:val="TextoNormalCaracter"/>
          </w:rPr>
          <w:t>112/2024</w:t>
        </w:r>
      </w:hyperlink>
      <w:r>
        <w:t xml:space="preserve">, VP I, VP II; </w:t>
      </w:r>
      <w:hyperlink w:anchor="AUTO_2024_113" w:history="1">
        <w:r w:rsidRPr="007D5795">
          <w:rPr>
            <w:rStyle w:val="TextoNormalCaracter"/>
          </w:rPr>
          <w:t>113/2024</w:t>
        </w:r>
      </w:hyperlink>
      <w:r>
        <w:t xml:space="preserve">, VP I, VP II; </w:t>
      </w:r>
      <w:hyperlink w:anchor="AUTO_2024_117" w:history="1">
        <w:r w:rsidRPr="007D5795">
          <w:rPr>
            <w:rStyle w:val="TextoNormalCaracter"/>
          </w:rPr>
          <w:t>117/2024</w:t>
        </w:r>
      </w:hyperlink>
      <w:r>
        <w:t xml:space="preserve">, VP I, VP II; </w:t>
      </w:r>
      <w:hyperlink w:anchor="AUTO_2024_118" w:history="1">
        <w:r w:rsidRPr="007D5795">
          <w:rPr>
            <w:rStyle w:val="TextoNormalCaracter"/>
          </w:rPr>
          <w:t>118/2024</w:t>
        </w:r>
      </w:hyperlink>
      <w:r>
        <w:t xml:space="preserve">, VP I, VP II; </w:t>
      </w:r>
      <w:hyperlink w:anchor="AUTO_2024_119" w:history="1">
        <w:r w:rsidRPr="007D5795">
          <w:rPr>
            <w:rStyle w:val="TextoNormalCaracter"/>
          </w:rPr>
          <w:t>119/2024</w:t>
        </w:r>
      </w:hyperlink>
      <w:r>
        <w:t xml:space="preserve">, VP I, VP II; </w:t>
      </w:r>
      <w:hyperlink w:anchor="AUTO_2024_120" w:history="1">
        <w:r w:rsidRPr="007D5795">
          <w:rPr>
            <w:rStyle w:val="TextoNormalCaracter"/>
          </w:rPr>
          <w:t>120/2024</w:t>
        </w:r>
      </w:hyperlink>
      <w:r>
        <w:t xml:space="preserve">, VP I, VP II; </w:t>
      </w:r>
      <w:hyperlink w:anchor="AUTO_2024_121" w:history="1">
        <w:r w:rsidRPr="007D5795">
          <w:rPr>
            <w:rStyle w:val="TextoNormalCaracter"/>
          </w:rPr>
          <w:t>121/2024</w:t>
        </w:r>
      </w:hyperlink>
      <w:r>
        <w:t xml:space="preserve">, VP I, VP II; </w:t>
      </w:r>
      <w:hyperlink w:anchor="AUTO_2024_122" w:history="1">
        <w:r w:rsidRPr="007D5795">
          <w:rPr>
            <w:rStyle w:val="TextoNormalCaracter"/>
          </w:rPr>
          <w:t>122/2024</w:t>
        </w:r>
      </w:hyperlink>
      <w:r>
        <w:t xml:space="preserve">, VP I, VP II; </w:t>
      </w:r>
      <w:hyperlink w:anchor="AUTO_2024_123" w:history="1">
        <w:r w:rsidRPr="007D5795">
          <w:rPr>
            <w:rStyle w:val="TextoNormalCaracter"/>
          </w:rPr>
          <w:t>123/2024</w:t>
        </w:r>
      </w:hyperlink>
      <w:r>
        <w:t xml:space="preserve">, VP I, VP II; </w:t>
      </w:r>
      <w:hyperlink w:anchor="AUTO_2024_124" w:history="1">
        <w:r w:rsidRPr="007D5795">
          <w:rPr>
            <w:rStyle w:val="TextoNormalCaracter"/>
          </w:rPr>
          <w:t>124/2024</w:t>
        </w:r>
      </w:hyperlink>
      <w:r>
        <w:t xml:space="preserve">, VP I, VP II; </w:t>
      </w:r>
      <w:hyperlink w:anchor="AUTO_2024_126" w:history="1">
        <w:r w:rsidRPr="007D5795">
          <w:rPr>
            <w:rStyle w:val="TextoNormalCaracter"/>
          </w:rPr>
          <w:t>126/2024</w:t>
        </w:r>
      </w:hyperlink>
      <w:r>
        <w:t>, VP.</w:t>
      </w:r>
    </w:p>
    <w:p w14:paraId="3A6B5904" w14:textId="568D9EFB" w:rsidR="007D5795" w:rsidRDefault="007D5795" w:rsidP="007D5795">
      <w:pPr>
        <w:pStyle w:val="SangriaFrancesaArticulo"/>
      </w:pPr>
      <w:r w:rsidRPr="007D5795">
        <w:rPr>
          <w:rStyle w:val="TextoNormalNegritaCaracter"/>
        </w:rPr>
        <w:t>Artículo 92.</w:t>
      </w:r>
      <w:r w:rsidRPr="007D5795">
        <w:rPr>
          <w:rStyle w:val="TextoNormalCaracter"/>
        </w:rPr>
        <w:t>-</w:t>
      </w:r>
      <w:r>
        <w:t xml:space="preserve"> Auto </w:t>
      </w:r>
      <w:hyperlink w:anchor="AUTO_2024_125" w:history="1">
        <w:r w:rsidRPr="007D5795">
          <w:rPr>
            <w:rStyle w:val="TextoNormalCaracter"/>
          </w:rPr>
          <w:t>125/2024</w:t>
        </w:r>
      </w:hyperlink>
      <w:r>
        <w:t>, f. 2.</w:t>
      </w:r>
    </w:p>
    <w:p w14:paraId="5F04191A" w14:textId="0BD60A71" w:rsidR="007D5795" w:rsidRDefault="007D5795" w:rsidP="007D5795">
      <w:pPr>
        <w:pStyle w:val="SangriaFrancesaArticulo"/>
      </w:pPr>
      <w:r w:rsidRPr="007D5795">
        <w:rPr>
          <w:rStyle w:val="TextoNormalNegritaCaracter"/>
        </w:rPr>
        <w:t>Artículo 92.1.</w:t>
      </w:r>
      <w:r w:rsidRPr="007D5795">
        <w:rPr>
          <w:rStyle w:val="TextoNormalCaracter"/>
        </w:rPr>
        <w:t>-</w:t>
      </w:r>
      <w:r>
        <w:t xml:space="preserve"> Auto </w:t>
      </w:r>
      <w:hyperlink w:anchor="AUTO_2024_125" w:history="1">
        <w:r w:rsidRPr="007D5795">
          <w:rPr>
            <w:rStyle w:val="TextoNormalCaracter"/>
          </w:rPr>
          <w:t>125/2024</w:t>
        </w:r>
      </w:hyperlink>
      <w:r>
        <w:t>, f. 2.</w:t>
      </w:r>
    </w:p>
    <w:p w14:paraId="20FF06FF" w14:textId="7913AFEB" w:rsidR="007D5795" w:rsidRDefault="007D5795" w:rsidP="007D5795">
      <w:pPr>
        <w:pStyle w:val="SangriaFrancesaArticulo"/>
      </w:pPr>
      <w:r w:rsidRPr="007D5795">
        <w:rPr>
          <w:rStyle w:val="TextoNormalNegritaCaracter"/>
        </w:rPr>
        <w:t>Artículo 92.1 párrafo 2.</w:t>
      </w:r>
      <w:r w:rsidRPr="007D5795">
        <w:rPr>
          <w:rStyle w:val="TextoNormalCaracter"/>
        </w:rPr>
        <w:t>-</w:t>
      </w:r>
      <w:r>
        <w:t xml:space="preserve"> Auto </w:t>
      </w:r>
      <w:hyperlink w:anchor="AUTO_2024_125" w:history="1">
        <w:r w:rsidRPr="007D5795">
          <w:rPr>
            <w:rStyle w:val="TextoNormalCaracter"/>
          </w:rPr>
          <w:t>125/2024</w:t>
        </w:r>
      </w:hyperlink>
      <w:r>
        <w:t>, f. 2.</w:t>
      </w:r>
    </w:p>
    <w:p w14:paraId="452A65F2" w14:textId="533ED616" w:rsidR="007D5795" w:rsidRDefault="007D5795" w:rsidP="007D5795">
      <w:pPr>
        <w:pStyle w:val="SangriaFrancesaArticulo"/>
      </w:pPr>
      <w:r w:rsidRPr="007D5795">
        <w:rPr>
          <w:rStyle w:val="TextoNormalNegritaCaracter"/>
        </w:rPr>
        <w:t>Artículo 92.3.</w:t>
      </w:r>
      <w:r w:rsidRPr="007D5795">
        <w:rPr>
          <w:rStyle w:val="TextoNormalCaracter"/>
        </w:rPr>
        <w:t>-</w:t>
      </w:r>
      <w:r>
        <w:t xml:space="preserve"> Auto </w:t>
      </w:r>
      <w:hyperlink w:anchor="AUTO_2024_125" w:history="1">
        <w:r w:rsidRPr="007D5795">
          <w:rPr>
            <w:rStyle w:val="TextoNormalCaracter"/>
          </w:rPr>
          <w:t>125/2024</w:t>
        </w:r>
      </w:hyperlink>
      <w:r>
        <w:t>, f. 2.</w:t>
      </w:r>
    </w:p>
    <w:p w14:paraId="24771602" w14:textId="31945FEF" w:rsidR="007D5795" w:rsidRDefault="007D5795" w:rsidP="007D5795">
      <w:pPr>
        <w:pStyle w:val="SangriaFrancesaArticulo"/>
      </w:pPr>
      <w:r w:rsidRPr="007D5795">
        <w:rPr>
          <w:rStyle w:val="TextoNormalNegritaCaracter"/>
        </w:rPr>
        <w:t>Artículo 92.4 párrafo 2.</w:t>
      </w:r>
      <w:r w:rsidRPr="007D5795">
        <w:rPr>
          <w:rStyle w:val="TextoNormalCaracter"/>
        </w:rPr>
        <w:t>-</w:t>
      </w:r>
      <w:r>
        <w:t xml:space="preserve"> Auto </w:t>
      </w:r>
      <w:hyperlink w:anchor="AUTO_2024_125" w:history="1">
        <w:r w:rsidRPr="007D5795">
          <w:rPr>
            <w:rStyle w:val="TextoNormalCaracter"/>
          </w:rPr>
          <w:t>125/2024</w:t>
        </w:r>
      </w:hyperlink>
      <w:r>
        <w:t>, f. 2.</w:t>
      </w:r>
    </w:p>
    <w:p w14:paraId="7BA32F12" w14:textId="3CF729E9" w:rsidR="007D5795" w:rsidRDefault="007D5795" w:rsidP="007D5795">
      <w:pPr>
        <w:pStyle w:val="SangriaFrancesaArticulo"/>
      </w:pPr>
      <w:r w:rsidRPr="007D5795">
        <w:rPr>
          <w:rStyle w:val="TextoNormalNegritaCaracter"/>
        </w:rPr>
        <w:t>Artículo 93.2.</w:t>
      </w:r>
      <w:r w:rsidRPr="007D5795">
        <w:rPr>
          <w:rStyle w:val="TextoNormalCaracter"/>
        </w:rPr>
        <w:t>-</w:t>
      </w:r>
      <w:r>
        <w:t xml:space="preserve"> Auto </w:t>
      </w:r>
      <w:hyperlink w:anchor="AUTO_2024_125" w:history="1">
        <w:r w:rsidRPr="007D5795">
          <w:rPr>
            <w:rStyle w:val="TextoNormalCaracter"/>
          </w:rPr>
          <w:t>125/2024</w:t>
        </w:r>
      </w:hyperlink>
      <w:r>
        <w:t>, f. 2.</w:t>
      </w:r>
    </w:p>
    <w:p w14:paraId="0C801760" w14:textId="5EA24A80" w:rsidR="007D5795" w:rsidRDefault="007D5795" w:rsidP="007D5795">
      <w:pPr>
        <w:pStyle w:val="SangriaFrancesaArticulo"/>
      </w:pPr>
      <w:r w:rsidRPr="007D5795">
        <w:rPr>
          <w:rStyle w:val="TextoNormalNegritaCaracter"/>
        </w:rPr>
        <w:t>Artículo 94.</w:t>
      </w:r>
      <w:r w:rsidRPr="007D5795">
        <w:rPr>
          <w:rStyle w:val="TextoNormalCaracter"/>
        </w:rPr>
        <w:t>-</w:t>
      </w:r>
      <w:r>
        <w:t xml:space="preserve"> Sentencia </w:t>
      </w:r>
      <w:hyperlink w:anchor="SENTENCIA_2024_123" w:history="1">
        <w:r w:rsidRPr="007D5795">
          <w:rPr>
            <w:rStyle w:val="TextoNormalCaracter"/>
          </w:rPr>
          <w:t>123/2024</w:t>
        </w:r>
      </w:hyperlink>
      <w:r>
        <w:t>, VP II.</w:t>
      </w:r>
    </w:p>
    <w:p w14:paraId="674A621E" w14:textId="3B2080BF" w:rsidR="007D5795" w:rsidRDefault="007D5795" w:rsidP="007D5795">
      <w:pPr>
        <w:pStyle w:val="SangriaFrancesaArticulo"/>
      </w:pPr>
      <w:r w:rsidRPr="007D5795">
        <w:rPr>
          <w:rStyle w:val="TextoNormalNegritaCaracter"/>
        </w:rPr>
        <w:t>Artículo 95 c).</w:t>
      </w:r>
      <w:r w:rsidRPr="007D5795">
        <w:rPr>
          <w:rStyle w:val="TextoNormalCaracter"/>
        </w:rPr>
        <w:t>-</w:t>
      </w:r>
      <w:r>
        <w:t xml:space="preserve"> Sentencia </w:t>
      </w:r>
      <w:hyperlink w:anchor="SENTENCIA_2024_123" w:history="1">
        <w:r w:rsidRPr="007D5795">
          <w:rPr>
            <w:rStyle w:val="TextoNormalCaracter"/>
          </w:rPr>
          <w:t>123/2024</w:t>
        </w:r>
      </w:hyperlink>
      <w:r>
        <w:t>, VP II.</w:t>
      </w:r>
    </w:p>
    <w:p w14:paraId="2E2A30FF" w14:textId="2C8F087C" w:rsidR="007D5795" w:rsidRDefault="007D5795" w:rsidP="007D5795">
      <w:pPr>
        <w:pStyle w:val="SangriaFrancesaArticulo"/>
      </w:pPr>
      <w:r w:rsidRPr="007D5795">
        <w:rPr>
          <w:rStyle w:val="TextoNormalNegritaCaracter"/>
        </w:rPr>
        <w:t>Artículo 95.2.</w:t>
      </w:r>
      <w:r w:rsidRPr="007D5795">
        <w:rPr>
          <w:rStyle w:val="TextoNormalCaracter"/>
        </w:rPr>
        <w:t>-</w:t>
      </w:r>
      <w:r>
        <w:t xml:space="preserve"> Sentencias </w:t>
      </w:r>
      <w:hyperlink w:anchor="SENTENCIA_2024_108" w:history="1">
        <w:r w:rsidRPr="007D5795">
          <w:rPr>
            <w:rStyle w:val="TextoNormalCaracter"/>
          </w:rPr>
          <w:t>108/2024</w:t>
        </w:r>
      </w:hyperlink>
      <w:r>
        <w:t xml:space="preserve">, f. 1; </w:t>
      </w:r>
      <w:hyperlink w:anchor="SENTENCIA_2024_125" w:history="1">
        <w:r w:rsidRPr="007D5795">
          <w:rPr>
            <w:rStyle w:val="TextoNormalCaracter"/>
          </w:rPr>
          <w:t>125/2024</w:t>
        </w:r>
      </w:hyperlink>
      <w:r>
        <w:t xml:space="preserve">, ff. 1, 2; </w:t>
      </w:r>
      <w:hyperlink w:anchor="SENTENCIA_2024_133" w:history="1">
        <w:r w:rsidRPr="007D5795">
          <w:rPr>
            <w:rStyle w:val="TextoNormalCaracter"/>
          </w:rPr>
          <w:t>133/2024</w:t>
        </w:r>
      </w:hyperlink>
      <w:r>
        <w:t xml:space="preserve">, ff. 1, 2; </w:t>
      </w:r>
      <w:hyperlink w:anchor="SENTENCIA_2024_134" w:history="1">
        <w:r w:rsidRPr="007D5795">
          <w:rPr>
            <w:rStyle w:val="TextoNormalCaracter"/>
          </w:rPr>
          <w:t>134/2024</w:t>
        </w:r>
      </w:hyperlink>
      <w:r>
        <w:t>, ff. 1, 2.</w:t>
      </w:r>
    </w:p>
    <w:p w14:paraId="1C2A7AA0" w14:textId="50178D98" w:rsidR="007D5795" w:rsidRDefault="007D5795" w:rsidP="007D5795">
      <w:pPr>
        <w:pStyle w:val="SangriaFrancesaArticulo"/>
      </w:pPr>
      <w:r w:rsidRPr="007D5795">
        <w:rPr>
          <w:rStyle w:val="TextoNormalNegritaCaracter"/>
        </w:rPr>
        <w:t>Disposición adicional quinta, apartado 1.</w:t>
      </w:r>
      <w:r w:rsidRPr="007D5795">
        <w:rPr>
          <w:rStyle w:val="TextoNormalCaracter"/>
        </w:rPr>
        <w:t>-</w:t>
      </w:r>
      <w:r>
        <w:t xml:space="preserve"> Auto </w:t>
      </w:r>
      <w:hyperlink w:anchor="AUTO_2024_103" w:history="1">
        <w:r w:rsidRPr="007D5795">
          <w:rPr>
            <w:rStyle w:val="TextoNormalCaracter"/>
          </w:rPr>
          <w:t>103/2024</w:t>
        </w:r>
      </w:hyperlink>
      <w:r>
        <w:t>, f. 1.</w:t>
      </w:r>
    </w:p>
    <w:p w14:paraId="29D8DA08" w14:textId="7F312A23" w:rsidR="007D5795" w:rsidRDefault="007D5795" w:rsidP="007D5795">
      <w:pPr>
        <w:pStyle w:val="SangriaFrancesaArticulo"/>
      </w:pPr>
    </w:p>
    <w:p w14:paraId="2D720D2B" w14:textId="77777777" w:rsidR="007D5795" w:rsidRDefault="007D5795" w:rsidP="007D5795">
      <w:pPr>
        <w:pStyle w:val="TextoNormalNegritaCursivandice"/>
        <w:keepNext/>
      </w:pPr>
      <w:r>
        <w:t>Acuerdo del Tribunal Constitucional de 14 de julio de 1980. Fija la fecha en el que comenzará a ejercer sus competencias</w:t>
      </w:r>
    </w:p>
    <w:p w14:paraId="466612D8" w14:textId="77284FE2" w:rsidR="007D5795" w:rsidRDefault="007D5795" w:rsidP="007D5795">
      <w:pPr>
        <w:pStyle w:val="SangriaFrancesaArticulo"/>
      </w:pPr>
      <w:r w:rsidRPr="007D5795">
        <w:rPr>
          <w:rStyle w:val="TextoNormalNegritaCaracter"/>
        </w:rPr>
        <w:t>Regla tercera.</w:t>
      </w:r>
      <w:r w:rsidRPr="007D5795">
        <w:rPr>
          <w:rStyle w:val="TextoNormalCaracter"/>
        </w:rPr>
        <w:t>-</w:t>
      </w:r>
      <w:r>
        <w:t xml:space="preserve"> Auto </w:t>
      </w:r>
      <w:hyperlink w:anchor="AUTO_2024_91" w:history="1">
        <w:r w:rsidRPr="007D5795">
          <w:rPr>
            <w:rStyle w:val="TextoNormalCaracter"/>
          </w:rPr>
          <w:t>91/2024</w:t>
        </w:r>
      </w:hyperlink>
      <w:r>
        <w:t>, VP II.</w:t>
      </w:r>
    </w:p>
    <w:p w14:paraId="5FE9FCC2" w14:textId="2E928787" w:rsidR="007D5795" w:rsidRDefault="007D5795" w:rsidP="007D5795">
      <w:pPr>
        <w:pStyle w:val="SangriaFrancesaArticulo"/>
      </w:pPr>
    </w:p>
    <w:p w14:paraId="11EF7741" w14:textId="77777777" w:rsidR="007D5795" w:rsidRDefault="007D5795" w:rsidP="007D5795">
      <w:pPr>
        <w:pStyle w:val="TextoNormalNegritaCursivandice"/>
        <w:keepNext/>
      </w:pPr>
      <w:r>
        <w:t>Acuerdo de 23 de julio de 2015, del Pleno del Tribunal Constitucional, por el que se regula la exclusión de los datos de identidad personal en la publicación de las resoluciones jurisdiccionales</w:t>
      </w:r>
    </w:p>
    <w:p w14:paraId="5DE0BD78" w14:textId="064D920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15" w:history="1">
        <w:r w:rsidRPr="007D5795">
          <w:rPr>
            <w:rStyle w:val="TextoNormalCaracter"/>
          </w:rPr>
          <w:t>115/2024</w:t>
        </w:r>
      </w:hyperlink>
      <w:r>
        <w:t xml:space="preserve">, f. 1; </w:t>
      </w:r>
      <w:hyperlink w:anchor="SENTENCIA_2024_140" w:history="1">
        <w:r w:rsidRPr="007D5795">
          <w:rPr>
            <w:rStyle w:val="TextoNormalCaracter"/>
          </w:rPr>
          <w:t>140/2024</w:t>
        </w:r>
      </w:hyperlink>
      <w:r>
        <w:t xml:space="preserve">, f. 2; </w:t>
      </w:r>
      <w:hyperlink w:anchor="SENTENCIA_2024_145" w:history="1">
        <w:r w:rsidRPr="007D5795">
          <w:rPr>
            <w:rStyle w:val="TextoNormalCaracter"/>
          </w:rPr>
          <w:t>145/2024</w:t>
        </w:r>
      </w:hyperlink>
      <w:r>
        <w:t>, f. 1.</w:t>
      </w:r>
    </w:p>
    <w:p w14:paraId="1B6C78C3" w14:textId="1A9F2A15"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Auto </w:t>
      </w:r>
      <w:hyperlink w:anchor="AUTO_2024_94" w:history="1">
        <w:r w:rsidRPr="007D5795">
          <w:rPr>
            <w:rStyle w:val="TextoNormalCaracter"/>
          </w:rPr>
          <w:t>94/2024</w:t>
        </w:r>
      </w:hyperlink>
      <w:r>
        <w:t>, f. único.</w:t>
      </w:r>
    </w:p>
    <w:p w14:paraId="2A0B3714" w14:textId="0B4CC69F" w:rsidR="007D5795" w:rsidRDefault="007D5795" w:rsidP="007D5795">
      <w:pPr>
        <w:pStyle w:val="SangriaFrancesaArticulo"/>
      </w:pPr>
    </w:p>
    <w:p w14:paraId="35D8BDF7" w14:textId="77777777" w:rsidR="007D5795" w:rsidRDefault="007D5795" w:rsidP="007D5795">
      <w:pPr>
        <w:pStyle w:val="TextoNormalNegritaCursivandice"/>
        <w:keepNext/>
      </w:pPr>
      <w:r>
        <w:t>Acuerdo de 17 de enero de 2023, del Pleno del Tribunal Constitucional, por el que se dispone la composición de las Salas y Secciones del Tribunal Constitucional</w:t>
      </w:r>
    </w:p>
    <w:p w14:paraId="1534245D" w14:textId="5DF9BB3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68" w:history="1">
        <w:r w:rsidRPr="007D5795">
          <w:rPr>
            <w:rStyle w:val="TextoNormalCaracter"/>
          </w:rPr>
          <w:t>68/2024</w:t>
        </w:r>
      </w:hyperlink>
      <w:r>
        <w:t>, f. 3.</w:t>
      </w:r>
    </w:p>
    <w:p w14:paraId="6B4BB935" w14:textId="6E1AE283" w:rsidR="007D5795" w:rsidRDefault="007D5795" w:rsidP="007D5795">
      <w:pPr>
        <w:pStyle w:val="SangriaFrancesaArticulo"/>
      </w:pPr>
      <w:r w:rsidRPr="007D5795">
        <w:rPr>
          <w:rStyle w:val="TextoNormalNegritaCaracter"/>
        </w:rPr>
        <w:t>Artículo 1.3.</w:t>
      </w:r>
      <w:r w:rsidRPr="007D5795">
        <w:rPr>
          <w:rStyle w:val="TextoNormalCaracter"/>
        </w:rPr>
        <w:t>-</w:t>
      </w:r>
      <w:r>
        <w:t xml:space="preserve"> Auto </w:t>
      </w:r>
      <w:hyperlink w:anchor="AUTO_2024_68" w:history="1">
        <w:r w:rsidRPr="007D5795">
          <w:rPr>
            <w:rStyle w:val="TextoNormalCaracter"/>
          </w:rPr>
          <w:t>68/2024</w:t>
        </w:r>
      </w:hyperlink>
      <w:r>
        <w:t>, f. 3.</w:t>
      </w:r>
    </w:p>
    <w:p w14:paraId="6B8C06D4" w14:textId="75EEF576" w:rsidR="007D5795" w:rsidRDefault="007D5795" w:rsidP="007D5795">
      <w:pPr>
        <w:pStyle w:val="TextoNormal"/>
      </w:pPr>
    </w:p>
    <w:p w14:paraId="37E6EC3C" w14:textId="77777777" w:rsidR="007D5795" w:rsidRDefault="007D5795" w:rsidP="007D5795">
      <w:pPr>
        <w:pStyle w:val="SangriaFrancesaArticulo"/>
      </w:pPr>
      <w:bookmarkStart w:id="171" w:name="INDICE22844"/>
    </w:p>
    <w:bookmarkEnd w:id="171"/>
    <w:p w14:paraId="1ED75410" w14:textId="77777777" w:rsidR="007D5795" w:rsidRDefault="007D5795" w:rsidP="007D5795">
      <w:pPr>
        <w:pStyle w:val="TextoIndiceNivel2"/>
        <w:suppressAutoHyphens/>
      </w:pPr>
      <w:r>
        <w:t>C) Cortes Generales</w:t>
      </w:r>
    </w:p>
    <w:p w14:paraId="0E0A4120" w14:textId="3A711249" w:rsidR="007D5795" w:rsidRDefault="007D5795" w:rsidP="007D5795">
      <w:pPr>
        <w:pStyle w:val="TextoIndiceNivel2"/>
      </w:pPr>
    </w:p>
    <w:p w14:paraId="5AE0E47B" w14:textId="77777777" w:rsidR="007D5795" w:rsidRDefault="007D5795" w:rsidP="007D5795">
      <w:pPr>
        <w:pStyle w:val="TextoNormalNegritaCursivandice"/>
        <w:keepNext/>
      </w:pPr>
      <w:r>
        <w:t>Reglamento del Congreso de los Diputados, de 10 de febrero de 1982</w:t>
      </w:r>
    </w:p>
    <w:p w14:paraId="6E4122F4" w14:textId="04C495B0" w:rsidR="007D5795" w:rsidRDefault="007D5795" w:rsidP="007D5795">
      <w:pPr>
        <w:pStyle w:val="SangriaFrancesaArticulo"/>
      </w:pPr>
      <w:r w:rsidRPr="007D5795">
        <w:rPr>
          <w:rStyle w:val="TextoNormalNegritaCaracter"/>
        </w:rPr>
        <w:t>Artículo 6.1.</w:t>
      </w:r>
      <w:r w:rsidRPr="007D5795">
        <w:rPr>
          <w:rStyle w:val="TextoNormalCaracter"/>
        </w:rPr>
        <w:t>-</w:t>
      </w:r>
      <w:r>
        <w:t xml:space="preserve"> Sentencia </w:t>
      </w:r>
      <w:hyperlink w:anchor="SENTENCIA_2024_114" w:history="1">
        <w:r w:rsidRPr="007D5795">
          <w:rPr>
            <w:rStyle w:val="TextoNormalCaracter"/>
          </w:rPr>
          <w:t>114/2024</w:t>
        </w:r>
      </w:hyperlink>
      <w:r>
        <w:t>, f. 5.</w:t>
      </w:r>
    </w:p>
    <w:p w14:paraId="77693209" w14:textId="72C25E29" w:rsidR="007D5795" w:rsidRDefault="007D5795" w:rsidP="007D5795">
      <w:pPr>
        <w:pStyle w:val="SangriaFrancesaArticulo"/>
      </w:pPr>
      <w:r w:rsidRPr="007D5795">
        <w:rPr>
          <w:rStyle w:val="TextoNormalNegritaCaracter"/>
        </w:rPr>
        <w:t>Artículo 15.</w:t>
      </w:r>
      <w:r w:rsidRPr="007D5795">
        <w:rPr>
          <w:rStyle w:val="TextoNormalCaracter"/>
        </w:rPr>
        <w:t>-</w:t>
      </w:r>
      <w:r>
        <w:t xml:space="preserve"> Sentencia </w:t>
      </w:r>
      <w:hyperlink w:anchor="SENTENCIA_2024_114" w:history="1">
        <w:r w:rsidRPr="007D5795">
          <w:rPr>
            <w:rStyle w:val="TextoNormalCaracter"/>
          </w:rPr>
          <w:t>114/2024</w:t>
        </w:r>
      </w:hyperlink>
      <w:r>
        <w:t>, f. 5.</w:t>
      </w:r>
    </w:p>
    <w:p w14:paraId="54B253AF" w14:textId="1E40D2F8" w:rsidR="007D5795" w:rsidRDefault="007D5795" w:rsidP="007D5795">
      <w:pPr>
        <w:pStyle w:val="SangriaFrancesaArticulo"/>
      </w:pPr>
      <w:r w:rsidRPr="007D5795">
        <w:rPr>
          <w:rStyle w:val="TextoNormalNegritaCaracter"/>
        </w:rPr>
        <w:t>Artículo 31.</w:t>
      </w:r>
      <w:r w:rsidRPr="007D5795">
        <w:rPr>
          <w:rStyle w:val="TextoNormalCaracter"/>
        </w:rPr>
        <w:t>-</w:t>
      </w:r>
      <w:r>
        <w:t xml:space="preserve"> Sentencias </w:t>
      </w:r>
      <w:hyperlink w:anchor="SENTENCIA_2024_139" w:history="1">
        <w:r w:rsidRPr="007D5795">
          <w:rPr>
            <w:rStyle w:val="TextoNormalCaracter"/>
          </w:rPr>
          <w:t>139/2024</w:t>
        </w:r>
      </w:hyperlink>
      <w:r>
        <w:t xml:space="preserve">, VP I; </w:t>
      </w:r>
      <w:hyperlink w:anchor="SENTENCIA_2024_153" w:history="1">
        <w:r w:rsidRPr="007D5795">
          <w:rPr>
            <w:rStyle w:val="TextoNormalCaracter"/>
          </w:rPr>
          <w:t>153/2024</w:t>
        </w:r>
      </w:hyperlink>
      <w:r>
        <w:t>, VP.</w:t>
      </w:r>
    </w:p>
    <w:p w14:paraId="0A866426" w14:textId="5055CEAE" w:rsidR="007D5795" w:rsidRDefault="007D5795" w:rsidP="007D5795">
      <w:pPr>
        <w:pStyle w:val="SangriaFrancesaArticulo"/>
      </w:pPr>
      <w:r w:rsidRPr="007D5795">
        <w:rPr>
          <w:rStyle w:val="TextoNormalNegritaCaracter"/>
        </w:rPr>
        <w:t>Artículo 31.1.</w:t>
      </w:r>
      <w:r w:rsidRPr="007D5795">
        <w:rPr>
          <w:rStyle w:val="TextoNormalCaracter"/>
        </w:rPr>
        <w:t>-</w:t>
      </w:r>
      <w:r>
        <w:t xml:space="preserve"> Sentencia </w:t>
      </w:r>
      <w:hyperlink w:anchor="SENTENCIA_2024_138" w:history="1">
        <w:r w:rsidRPr="007D5795">
          <w:rPr>
            <w:rStyle w:val="TextoNormalCaracter"/>
          </w:rPr>
          <w:t>138/2024</w:t>
        </w:r>
      </w:hyperlink>
      <w:r>
        <w:t>, f. 2.</w:t>
      </w:r>
    </w:p>
    <w:p w14:paraId="17F87967" w14:textId="650286F0" w:rsidR="007D5795" w:rsidRDefault="007D5795" w:rsidP="007D5795">
      <w:pPr>
        <w:pStyle w:val="SangriaFrancesaArticulo"/>
      </w:pPr>
      <w:r w:rsidRPr="007D5795">
        <w:rPr>
          <w:rStyle w:val="TextoNormalNegritaCaracter"/>
        </w:rPr>
        <w:t>Artículo 31.1.4.</w:t>
      </w:r>
      <w:r w:rsidRPr="007D5795">
        <w:rPr>
          <w:rStyle w:val="TextoNormalCaracter"/>
        </w:rPr>
        <w:t>-</w:t>
      </w:r>
      <w:r>
        <w:t xml:space="preserve"> Sentencia </w:t>
      </w:r>
      <w:hyperlink w:anchor="SENTENCIA_2024_153" w:history="1">
        <w:r w:rsidRPr="007D5795">
          <w:rPr>
            <w:rStyle w:val="TextoNormalCaracter"/>
          </w:rPr>
          <w:t>153/2024</w:t>
        </w:r>
      </w:hyperlink>
      <w:r>
        <w:t>, f. 2.</w:t>
      </w:r>
    </w:p>
    <w:p w14:paraId="1EB98994" w14:textId="29D23E28" w:rsidR="007D5795" w:rsidRDefault="007D5795" w:rsidP="007D5795">
      <w:pPr>
        <w:pStyle w:val="SangriaFrancesaArticulo"/>
      </w:pPr>
      <w:r w:rsidRPr="007D5795">
        <w:rPr>
          <w:rStyle w:val="TextoNormalNegritaCaracter"/>
        </w:rPr>
        <w:t>Artículo 31.1.5.</w:t>
      </w:r>
      <w:r w:rsidRPr="007D5795">
        <w:rPr>
          <w:rStyle w:val="TextoNormalCaracter"/>
        </w:rPr>
        <w:t>-</w:t>
      </w:r>
      <w:r>
        <w:t xml:space="preserve"> Sentencia </w:t>
      </w:r>
      <w:hyperlink w:anchor="SENTENCIA_2024_153" w:history="1">
        <w:r w:rsidRPr="007D5795">
          <w:rPr>
            <w:rStyle w:val="TextoNormalCaracter"/>
          </w:rPr>
          <w:t>153/2024</w:t>
        </w:r>
      </w:hyperlink>
      <w:r>
        <w:t>, f. 2.</w:t>
      </w:r>
    </w:p>
    <w:p w14:paraId="7E3FE98D" w14:textId="52D9D081" w:rsidR="007D5795" w:rsidRDefault="007D5795" w:rsidP="007D5795">
      <w:pPr>
        <w:pStyle w:val="SangriaFrancesaArticulo"/>
      </w:pPr>
      <w:r w:rsidRPr="007D5795">
        <w:rPr>
          <w:rStyle w:val="TextoNormalNegritaCaracter"/>
        </w:rPr>
        <w:t>Artículo 31.2.</w:t>
      </w:r>
      <w:r w:rsidRPr="007D5795">
        <w:rPr>
          <w:rStyle w:val="TextoNormalCaracter"/>
        </w:rPr>
        <w:t>-</w:t>
      </w:r>
      <w:r>
        <w:t xml:space="preserve"> Sentencias </w:t>
      </w:r>
      <w:hyperlink w:anchor="SENTENCIA_2024_114" w:history="1">
        <w:r w:rsidRPr="007D5795">
          <w:rPr>
            <w:rStyle w:val="TextoNormalCaracter"/>
          </w:rPr>
          <w:t>114/2024</w:t>
        </w:r>
      </w:hyperlink>
      <w:r>
        <w:t xml:space="preserve">, f. 2; </w:t>
      </w:r>
      <w:hyperlink w:anchor="SENTENCIA_2024_138" w:history="1">
        <w:r w:rsidRPr="007D5795">
          <w:rPr>
            <w:rStyle w:val="TextoNormalCaracter"/>
          </w:rPr>
          <w:t>138/2024</w:t>
        </w:r>
      </w:hyperlink>
      <w:r>
        <w:t>, f. 2.</w:t>
      </w:r>
    </w:p>
    <w:p w14:paraId="7E4CD118" w14:textId="5033E2E7" w:rsidR="007D5795" w:rsidRDefault="007D5795" w:rsidP="007D5795">
      <w:pPr>
        <w:pStyle w:val="SangriaFrancesaArticulo"/>
      </w:pPr>
      <w:r w:rsidRPr="007D5795">
        <w:rPr>
          <w:rStyle w:val="TextoNormalNegritaCaracter"/>
        </w:rPr>
        <w:t>Artículo 79.</w:t>
      </w:r>
      <w:r w:rsidRPr="007D5795">
        <w:rPr>
          <w:rStyle w:val="TextoNormalCaracter"/>
        </w:rPr>
        <w:t>-</w:t>
      </w:r>
      <w:r>
        <w:t xml:space="preserve"> Sentencia </w:t>
      </w:r>
      <w:hyperlink w:anchor="SENTENCIA_2024_114" w:history="1">
        <w:r w:rsidRPr="007D5795">
          <w:rPr>
            <w:rStyle w:val="TextoNormalCaracter"/>
          </w:rPr>
          <w:t>114/2024</w:t>
        </w:r>
      </w:hyperlink>
      <w:r>
        <w:t>, f. 3.</w:t>
      </w:r>
    </w:p>
    <w:p w14:paraId="6F71D60C" w14:textId="2F20EA93" w:rsidR="007D5795" w:rsidRDefault="007D5795" w:rsidP="007D5795">
      <w:pPr>
        <w:pStyle w:val="SangriaFrancesaArticulo"/>
      </w:pPr>
      <w:r w:rsidRPr="007D5795">
        <w:rPr>
          <w:rStyle w:val="TextoNormalNegritaCaracter"/>
        </w:rPr>
        <w:t>Artículo 82.</w:t>
      </w:r>
      <w:r w:rsidRPr="007D5795">
        <w:rPr>
          <w:rStyle w:val="TextoNormalCaracter"/>
        </w:rPr>
        <w:t>-</w:t>
      </w:r>
      <w:r>
        <w:t xml:space="preserve"> Sentencia </w:t>
      </w:r>
      <w:hyperlink w:anchor="SENTENCIA_2024_114" w:history="1">
        <w:r w:rsidRPr="007D5795">
          <w:rPr>
            <w:rStyle w:val="TextoNormalCaracter"/>
          </w:rPr>
          <w:t>114/2024</w:t>
        </w:r>
      </w:hyperlink>
      <w:r>
        <w:t>, f. 3.</w:t>
      </w:r>
    </w:p>
    <w:p w14:paraId="6CAD38EF" w14:textId="00107A06" w:rsidR="007D5795" w:rsidRDefault="007D5795" w:rsidP="007D5795">
      <w:pPr>
        <w:pStyle w:val="SangriaFrancesaArticulo"/>
      </w:pPr>
      <w:r w:rsidRPr="007D5795">
        <w:rPr>
          <w:rStyle w:val="TextoNormalNegritaCaracter"/>
        </w:rPr>
        <w:t>Artículo 82.2.</w:t>
      </w:r>
      <w:r w:rsidRPr="007D5795">
        <w:rPr>
          <w:rStyle w:val="TextoNormalCaracter"/>
        </w:rPr>
        <w:t>-</w:t>
      </w:r>
      <w:r>
        <w:t xml:space="preserve"> Sentencia </w:t>
      </w:r>
      <w:hyperlink w:anchor="SENTENCIA_2024_114" w:history="1">
        <w:r w:rsidRPr="007D5795">
          <w:rPr>
            <w:rStyle w:val="TextoNormalCaracter"/>
          </w:rPr>
          <w:t>114/2024</w:t>
        </w:r>
      </w:hyperlink>
      <w:r>
        <w:t>, ff. 3, 4.</w:t>
      </w:r>
    </w:p>
    <w:p w14:paraId="6240F4B5" w14:textId="633AEABC" w:rsidR="007D5795" w:rsidRDefault="007D5795" w:rsidP="007D5795">
      <w:pPr>
        <w:pStyle w:val="SangriaFrancesaArticulo"/>
      </w:pPr>
      <w:r w:rsidRPr="007D5795">
        <w:rPr>
          <w:rStyle w:val="TextoNormalNegritaCaracter"/>
        </w:rPr>
        <w:t>Artículo 93.</w:t>
      </w:r>
      <w:r w:rsidRPr="007D5795">
        <w:rPr>
          <w:rStyle w:val="TextoNormalCaracter"/>
        </w:rPr>
        <w:t>-</w:t>
      </w:r>
      <w:r>
        <w:t xml:space="preserve"> Sentencias </w:t>
      </w:r>
      <w:hyperlink w:anchor="SENTENCIA_2024_139" w:history="1">
        <w:r w:rsidRPr="007D5795">
          <w:rPr>
            <w:rStyle w:val="TextoNormalCaracter"/>
          </w:rPr>
          <w:t>139/2024</w:t>
        </w:r>
      </w:hyperlink>
      <w:r>
        <w:t xml:space="preserve">, f. 4; </w:t>
      </w:r>
      <w:hyperlink w:anchor="SENTENCIA_2024_153" w:history="1">
        <w:r w:rsidRPr="007D5795">
          <w:rPr>
            <w:rStyle w:val="TextoNormalCaracter"/>
          </w:rPr>
          <w:t>153/2024</w:t>
        </w:r>
      </w:hyperlink>
      <w:r>
        <w:t>, f. 2.</w:t>
      </w:r>
    </w:p>
    <w:p w14:paraId="53FCAF61" w14:textId="1AA4B49C" w:rsidR="007D5795" w:rsidRDefault="007D5795" w:rsidP="007D5795">
      <w:pPr>
        <w:pStyle w:val="SangriaFrancesaArticulo"/>
      </w:pPr>
      <w:r w:rsidRPr="007D5795">
        <w:rPr>
          <w:rStyle w:val="TextoNormalNegritaCaracter"/>
        </w:rPr>
        <w:t>Artículo 93.1.</w:t>
      </w:r>
      <w:r w:rsidRPr="007D5795">
        <w:rPr>
          <w:rStyle w:val="TextoNormalCaracter"/>
        </w:rPr>
        <w:t>-</w:t>
      </w:r>
      <w:r>
        <w:t xml:space="preserve"> Sentencias </w:t>
      </w:r>
      <w:hyperlink w:anchor="SENTENCIA_2024_139" w:history="1">
        <w:r w:rsidRPr="007D5795">
          <w:rPr>
            <w:rStyle w:val="TextoNormalCaracter"/>
          </w:rPr>
          <w:t>139/2024</w:t>
        </w:r>
      </w:hyperlink>
      <w:r>
        <w:t xml:space="preserve">, f. 4; </w:t>
      </w:r>
      <w:hyperlink w:anchor="SENTENCIA_2024_153" w:history="1">
        <w:r w:rsidRPr="007D5795">
          <w:rPr>
            <w:rStyle w:val="TextoNormalCaracter"/>
          </w:rPr>
          <w:t>153/2024</w:t>
        </w:r>
      </w:hyperlink>
      <w:r>
        <w:t>, f. 2.</w:t>
      </w:r>
    </w:p>
    <w:p w14:paraId="68A30387" w14:textId="005ABE5D" w:rsidR="007D5795" w:rsidRDefault="007D5795" w:rsidP="007D5795">
      <w:pPr>
        <w:pStyle w:val="SangriaFrancesaArticulo"/>
      </w:pPr>
      <w:r w:rsidRPr="007D5795">
        <w:rPr>
          <w:rStyle w:val="TextoNormalNegritaCaracter"/>
        </w:rPr>
        <w:t>Artículo 94.</w:t>
      </w:r>
      <w:r w:rsidRPr="007D5795">
        <w:rPr>
          <w:rStyle w:val="TextoNormalCaracter"/>
        </w:rPr>
        <w:t>-</w:t>
      </w:r>
      <w:r>
        <w:t xml:space="preserve"> Sentencias </w:t>
      </w:r>
      <w:hyperlink w:anchor="SENTENCIA_2024_139" w:history="1">
        <w:r w:rsidRPr="007D5795">
          <w:rPr>
            <w:rStyle w:val="TextoNormalCaracter"/>
          </w:rPr>
          <w:t>139/2024</w:t>
        </w:r>
      </w:hyperlink>
      <w:r>
        <w:t xml:space="preserve">, f. 4; </w:t>
      </w:r>
      <w:hyperlink w:anchor="SENTENCIA_2024_153" w:history="1">
        <w:r w:rsidRPr="007D5795">
          <w:rPr>
            <w:rStyle w:val="TextoNormalCaracter"/>
          </w:rPr>
          <w:t>153/2024</w:t>
        </w:r>
      </w:hyperlink>
      <w:r>
        <w:t>, f. 2.</w:t>
      </w:r>
    </w:p>
    <w:p w14:paraId="32BD450B" w14:textId="26DD01D9" w:rsidR="007D5795" w:rsidRDefault="007D5795" w:rsidP="007D5795">
      <w:pPr>
        <w:pStyle w:val="SangriaFrancesaArticulo"/>
      </w:pPr>
      <w:r w:rsidRPr="007D5795">
        <w:rPr>
          <w:rStyle w:val="TextoNormalNegritaCaracter"/>
        </w:rPr>
        <w:t>Artículo 108.</w:t>
      </w:r>
      <w:r w:rsidRPr="007D5795">
        <w:rPr>
          <w:rStyle w:val="TextoNormalCaracter"/>
        </w:rPr>
        <w:t>-</w:t>
      </w:r>
      <w:r>
        <w:t xml:space="preserve"> Sentencia </w:t>
      </w:r>
      <w:hyperlink w:anchor="SENTENCIA_2024_96" w:history="1">
        <w:r w:rsidRPr="007D5795">
          <w:rPr>
            <w:rStyle w:val="TextoNormalCaracter"/>
          </w:rPr>
          <w:t>96/2024</w:t>
        </w:r>
      </w:hyperlink>
      <w:r>
        <w:t>, VP IV.</w:t>
      </w:r>
    </w:p>
    <w:p w14:paraId="0AEEB4E0" w14:textId="547490A4" w:rsidR="007D5795" w:rsidRDefault="007D5795" w:rsidP="007D5795">
      <w:pPr>
        <w:pStyle w:val="SangriaFrancesaArticulo"/>
      </w:pPr>
      <w:r w:rsidRPr="007D5795">
        <w:rPr>
          <w:rStyle w:val="TextoNormalNegritaCaracter"/>
        </w:rPr>
        <w:t>Artículo 124.</w:t>
      </w:r>
      <w:r w:rsidRPr="007D5795">
        <w:rPr>
          <w:rStyle w:val="TextoNormalCaracter"/>
        </w:rPr>
        <w:t>-</w:t>
      </w:r>
      <w:r>
        <w:t xml:space="preserve"> Sentencia </w:t>
      </w:r>
      <w:hyperlink w:anchor="SENTENCIA_2024_139" w:history="1">
        <w:r w:rsidRPr="007D5795">
          <w:rPr>
            <w:rStyle w:val="TextoNormalCaracter"/>
          </w:rPr>
          <w:t>139/2024</w:t>
        </w:r>
      </w:hyperlink>
      <w:r>
        <w:t>, f. 4.</w:t>
      </w:r>
    </w:p>
    <w:p w14:paraId="43263F77" w14:textId="1908D117" w:rsidR="007D5795" w:rsidRDefault="007D5795" w:rsidP="007D5795">
      <w:pPr>
        <w:pStyle w:val="SangriaFrancesaArticulo"/>
      </w:pPr>
      <w:r w:rsidRPr="007D5795">
        <w:rPr>
          <w:rStyle w:val="TextoNormalNegritaCaracter"/>
        </w:rPr>
        <w:t>Artículo 128.</w:t>
      </w:r>
      <w:r w:rsidRPr="007D5795">
        <w:rPr>
          <w:rStyle w:val="TextoNormalCaracter"/>
        </w:rPr>
        <w:t>-</w:t>
      </w:r>
      <w:r>
        <w:t xml:space="preserve"> Sentencias </w:t>
      </w:r>
      <w:hyperlink w:anchor="SENTENCIA_2024_94" w:history="1">
        <w:r w:rsidRPr="007D5795">
          <w:rPr>
            <w:rStyle w:val="TextoNormalCaracter"/>
          </w:rPr>
          <w:t>94/2024</w:t>
        </w:r>
      </w:hyperlink>
      <w:r>
        <w:t xml:space="preserve">, f. 4; </w:t>
      </w:r>
      <w:hyperlink w:anchor="SENTENCIA_2024_103" w:history="1">
        <w:r w:rsidRPr="007D5795">
          <w:rPr>
            <w:rStyle w:val="TextoNormalCaracter"/>
          </w:rPr>
          <w:t>103/2024</w:t>
        </w:r>
      </w:hyperlink>
      <w:r>
        <w:t>, f. 4.</w:t>
      </w:r>
    </w:p>
    <w:p w14:paraId="0D201586" w14:textId="3A718D2E" w:rsidR="007D5795" w:rsidRDefault="007D5795" w:rsidP="007D5795">
      <w:pPr>
        <w:pStyle w:val="SangriaFrancesaArticulo"/>
      </w:pPr>
      <w:r w:rsidRPr="007D5795">
        <w:rPr>
          <w:rStyle w:val="TextoNormalNegritaCaracter"/>
        </w:rPr>
        <w:t>Artículo 134.2.</w:t>
      </w:r>
      <w:r w:rsidRPr="007D5795">
        <w:rPr>
          <w:rStyle w:val="TextoNormalCaracter"/>
        </w:rPr>
        <w:t>-</w:t>
      </w:r>
      <w:r>
        <w:t xml:space="preserve"> Sentencias </w:t>
      </w:r>
      <w:hyperlink w:anchor="SENTENCIA_2024_94" w:history="1">
        <w:r w:rsidRPr="007D5795">
          <w:rPr>
            <w:rStyle w:val="TextoNormalCaracter"/>
          </w:rPr>
          <w:t>94/2024</w:t>
        </w:r>
      </w:hyperlink>
      <w:r>
        <w:t xml:space="preserve">, VP I;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xml:space="preserve">, VP I, VP III; </w:t>
      </w:r>
      <w:hyperlink w:anchor="SENTENCIA_2024_103" w:history="1">
        <w:r w:rsidRPr="007D5795">
          <w:rPr>
            <w:rStyle w:val="TextoNormalCaracter"/>
          </w:rPr>
          <w:t>103/2024</w:t>
        </w:r>
      </w:hyperlink>
      <w:r>
        <w:t>, VP I.</w:t>
      </w:r>
    </w:p>
    <w:p w14:paraId="6E93491E" w14:textId="2368F8DE" w:rsidR="007D5795" w:rsidRDefault="007D5795" w:rsidP="007D5795">
      <w:pPr>
        <w:pStyle w:val="SangriaFrancesaArticulo"/>
      </w:pPr>
    </w:p>
    <w:p w14:paraId="61C73ABF" w14:textId="77777777" w:rsidR="007D5795" w:rsidRDefault="007D5795" w:rsidP="007D5795">
      <w:pPr>
        <w:pStyle w:val="TextoNormalNegritaCursivandice"/>
        <w:keepNext/>
      </w:pPr>
      <w:r>
        <w:t>Texto refundido del Reglamento del Senado aprobado por la mesa del Senado, oída la junta de portavoces, en su reunión del día 3 de mayo de 1994</w:t>
      </w:r>
    </w:p>
    <w:p w14:paraId="56AA65D5" w14:textId="4A559C8A" w:rsidR="007D5795" w:rsidRDefault="007D5795" w:rsidP="007D5795">
      <w:pPr>
        <w:pStyle w:val="SangriaFrancesaArticulo"/>
      </w:pPr>
      <w:r w:rsidRPr="007D5795">
        <w:rPr>
          <w:rStyle w:val="TextoNormalNegritaCaracter"/>
        </w:rPr>
        <w:t>Artículo 150.1.</w:t>
      </w:r>
      <w:r w:rsidRPr="007D5795">
        <w:rPr>
          <w:rStyle w:val="TextoNormalCaracter"/>
        </w:rPr>
        <w:t>-</w:t>
      </w:r>
      <w:r>
        <w:t xml:space="preserve"> Sentencia </w:t>
      </w:r>
      <w:hyperlink w:anchor="SENTENCIA_2024_100" w:history="1">
        <w:r w:rsidRPr="007D5795">
          <w:rPr>
            <w:rStyle w:val="TextoNormalCaracter"/>
          </w:rPr>
          <w:t>100/2024</w:t>
        </w:r>
      </w:hyperlink>
      <w:r>
        <w:t>, VP III.</w:t>
      </w:r>
    </w:p>
    <w:p w14:paraId="6BDB06B0" w14:textId="56F9E661" w:rsidR="007D5795" w:rsidRDefault="007D5795" w:rsidP="007D5795">
      <w:pPr>
        <w:pStyle w:val="SangriaFrancesaArticulo"/>
      </w:pPr>
      <w:r w:rsidRPr="007D5795">
        <w:rPr>
          <w:rStyle w:val="TextoNormalNegritaCaracter"/>
        </w:rPr>
        <w:t>Artículo 150.2.</w:t>
      </w:r>
      <w:r w:rsidRPr="007D5795">
        <w:rPr>
          <w:rStyle w:val="TextoNormalCaracter"/>
        </w:rPr>
        <w:t>-</w:t>
      </w:r>
      <w:r>
        <w:t xml:space="preserve"> Sentencias </w:t>
      </w:r>
      <w:hyperlink w:anchor="SENTENCIA_2024_94" w:history="1">
        <w:r w:rsidRPr="007D5795">
          <w:rPr>
            <w:rStyle w:val="TextoNormalCaracter"/>
          </w:rPr>
          <w:t>94/2024</w:t>
        </w:r>
      </w:hyperlink>
      <w:r>
        <w:t xml:space="preserve">, VP I;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xml:space="preserve">, VP I; </w:t>
      </w:r>
      <w:hyperlink w:anchor="SENTENCIA_2024_103" w:history="1">
        <w:r w:rsidRPr="007D5795">
          <w:rPr>
            <w:rStyle w:val="TextoNormalCaracter"/>
          </w:rPr>
          <w:t>103/2024</w:t>
        </w:r>
      </w:hyperlink>
      <w:r>
        <w:t>, VP I.</w:t>
      </w:r>
    </w:p>
    <w:p w14:paraId="67885536" w14:textId="7439E389" w:rsidR="007D5795" w:rsidRDefault="007D5795" w:rsidP="007D5795">
      <w:pPr>
        <w:pStyle w:val="SangriaFrancesaArticulo"/>
      </w:pPr>
    </w:p>
    <w:p w14:paraId="6D3FDFC1" w14:textId="77777777" w:rsidR="007D5795" w:rsidRDefault="007D5795" w:rsidP="007D5795">
      <w:pPr>
        <w:pStyle w:val="TextoNormalNegritaCursivandice"/>
        <w:keepNext/>
      </w:pPr>
      <w:r>
        <w:t>Resolución de la Mesa del Congreso de los Diputados de 21 de mayo de 2012. Procedimiento para la votación no presencial de los diputados en supuestos tasados y con la debida autorización de la mesa de la Cámara.</w:t>
      </w:r>
    </w:p>
    <w:p w14:paraId="3DB85C51" w14:textId="341EF1FC" w:rsidR="007D5795" w:rsidRDefault="007D5795" w:rsidP="007D5795">
      <w:pPr>
        <w:pStyle w:val="SangriaFrancesaArticulo"/>
      </w:pPr>
      <w:r w:rsidRPr="007D5795">
        <w:rPr>
          <w:rStyle w:val="TextoNormalNegritaCaracter"/>
        </w:rPr>
        <w:t>Apartado IV.</w:t>
      </w:r>
      <w:r w:rsidRPr="007D5795">
        <w:rPr>
          <w:rStyle w:val="TextoNormalCaracter"/>
        </w:rPr>
        <w:t>-</w:t>
      </w:r>
      <w:r>
        <w:t xml:space="preserve"> Sentencia </w:t>
      </w:r>
      <w:hyperlink w:anchor="SENTENCIA_2024_138" w:history="1">
        <w:r w:rsidRPr="007D5795">
          <w:rPr>
            <w:rStyle w:val="TextoNormalCaracter"/>
          </w:rPr>
          <w:t>138/2024</w:t>
        </w:r>
      </w:hyperlink>
      <w:r>
        <w:t>, f. 1.</w:t>
      </w:r>
    </w:p>
    <w:p w14:paraId="47A35DCD" w14:textId="53EB0F47" w:rsidR="007D5795" w:rsidRDefault="007D5795" w:rsidP="007D5795">
      <w:pPr>
        <w:pStyle w:val="SangriaFrancesaArticulo"/>
      </w:pPr>
      <w:r w:rsidRPr="007D5795">
        <w:rPr>
          <w:rStyle w:val="TextoNormalNegritaCaracter"/>
        </w:rPr>
        <w:t>Apartado VI.</w:t>
      </w:r>
      <w:r w:rsidRPr="007D5795">
        <w:rPr>
          <w:rStyle w:val="TextoNormalCaracter"/>
        </w:rPr>
        <w:t>-</w:t>
      </w:r>
      <w:r>
        <w:t xml:space="preserve"> Sentencias </w:t>
      </w:r>
      <w:hyperlink w:anchor="SENTENCIA_2024_137" w:history="1">
        <w:r w:rsidRPr="007D5795">
          <w:rPr>
            <w:rStyle w:val="TextoNormalCaracter"/>
          </w:rPr>
          <w:t>137/2024</w:t>
        </w:r>
      </w:hyperlink>
      <w:r>
        <w:t xml:space="preserve">, f. 3; </w:t>
      </w:r>
      <w:hyperlink w:anchor="SENTENCIA_2024_138" w:history="1">
        <w:r w:rsidRPr="007D5795">
          <w:rPr>
            <w:rStyle w:val="TextoNormalCaracter"/>
          </w:rPr>
          <w:t>138/2024</w:t>
        </w:r>
      </w:hyperlink>
      <w:r>
        <w:t>, f. 1.</w:t>
      </w:r>
    </w:p>
    <w:p w14:paraId="3C41645E" w14:textId="05C9CB3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7" w:history="1">
        <w:r w:rsidRPr="007D5795">
          <w:rPr>
            <w:rStyle w:val="TextoNormalCaracter"/>
          </w:rPr>
          <w:t>137/2024</w:t>
        </w:r>
      </w:hyperlink>
      <w:r>
        <w:t>, f. 1.</w:t>
      </w:r>
    </w:p>
    <w:p w14:paraId="10D70641" w14:textId="2417B32C" w:rsidR="007D5795" w:rsidRDefault="007D5795" w:rsidP="007D5795">
      <w:pPr>
        <w:pStyle w:val="SangriaFrancesaArticulo"/>
      </w:pPr>
    </w:p>
    <w:p w14:paraId="69E758CF" w14:textId="77777777" w:rsidR="007D5795" w:rsidRDefault="007D5795" w:rsidP="007D5795">
      <w:pPr>
        <w:pStyle w:val="TextoNormalNegritaCursivandice"/>
        <w:keepNext/>
      </w:pPr>
      <w:r>
        <w:t>Decisiones de 3 de febrero de 2022, de la presidenta del Congreso de los Diputados, en relación con incidencias en voto telemático</w:t>
      </w:r>
    </w:p>
    <w:p w14:paraId="75AC7D81" w14:textId="76583DF4"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29" w:history="1">
        <w:r w:rsidRPr="007D5795">
          <w:rPr>
            <w:rStyle w:val="TextoNormalCaracter"/>
          </w:rPr>
          <w:t>129/2024</w:t>
        </w:r>
      </w:hyperlink>
      <w:r>
        <w:t xml:space="preserve">, f. 1; </w:t>
      </w:r>
      <w:hyperlink w:anchor="SENTENCIA_2024_137" w:history="1">
        <w:r w:rsidRPr="007D5795">
          <w:rPr>
            <w:rStyle w:val="TextoNormalCaracter"/>
          </w:rPr>
          <w:t>137/2024</w:t>
        </w:r>
      </w:hyperlink>
      <w:r>
        <w:t xml:space="preserve">, f. 1; </w:t>
      </w:r>
      <w:hyperlink w:anchor="SENTENCIA_2024_138" w:history="1">
        <w:r w:rsidRPr="007D5795">
          <w:rPr>
            <w:rStyle w:val="TextoNormalCaracter"/>
          </w:rPr>
          <w:t>138/2024</w:t>
        </w:r>
      </w:hyperlink>
      <w:r>
        <w:t>, ff. 1 a 3, VP I.</w:t>
      </w:r>
    </w:p>
    <w:p w14:paraId="1A4C6E6F" w14:textId="0135528C" w:rsidR="007D5795" w:rsidRDefault="007D5795" w:rsidP="007D5795">
      <w:pPr>
        <w:pStyle w:val="SangriaFrancesaArticulo"/>
      </w:pPr>
    </w:p>
    <w:p w14:paraId="3CEE5FAB" w14:textId="77777777" w:rsidR="007D5795" w:rsidRDefault="007D5795" w:rsidP="007D5795">
      <w:pPr>
        <w:pStyle w:val="TextoNormalNegritaCursivandice"/>
        <w:keepNext/>
      </w:pPr>
      <w:r>
        <w:t>Acuerdo de la mesa del Congreso de los Diputados de 15 de febrero de 2022 por el que se desestima la revisión y reconsideración del acuerdo de la presidenta del Congreso de los Diputados de 3 de febrero de 2022. En relación con incidencias en voto telemático</w:t>
      </w:r>
    </w:p>
    <w:p w14:paraId="7A1E84D8" w14:textId="6B59EAF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8" w:history="1">
        <w:r w:rsidRPr="007D5795">
          <w:rPr>
            <w:rStyle w:val="TextoNormalCaracter"/>
          </w:rPr>
          <w:t>138/2024</w:t>
        </w:r>
      </w:hyperlink>
      <w:r>
        <w:t>, ff. 1, 2, 4.</w:t>
      </w:r>
    </w:p>
    <w:p w14:paraId="5F599E79" w14:textId="0C2171FC" w:rsidR="007D5795" w:rsidRDefault="007D5795" w:rsidP="007D5795">
      <w:pPr>
        <w:pStyle w:val="TextoNormal"/>
      </w:pPr>
    </w:p>
    <w:p w14:paraId="3C4502E5" w14:textId="77777777" w:rsidR="007D5795" w:rsidRDefault="007D5795" w:rsidP="007D5795">
      <w:pPr>
        <w:pStyle w:val="SangriaFrancesaArticulo"/>
      </w:pPr>
      <w:bookmarkStart w:id="172" w:name="INDICE22845"/>
    </w:p>
    <w:bookmarkEnd w:id="172"/>
    <w:p w14:paraId="37E83AF6" w14:textId="77777777" w:rsidR="007D5795" w:rsidRDefault="007D5795" w:rsidP="007D5795">
      <w:pPr>
        <w:pStyle w:val="TextoIndiceNivel2"/>
        <w:suppressAutoHyphens/>
      </w:pPr>
      <w:r>
        <w:t>D) Leyes Orgánicas</w:t>
      </w:r>
    </w:p>
    <w:p w14:paraId="6C86D78E" w14:textId="0C085D19" w:rsidR="007D5795" w:rsidRDefault="007D5795" w:rsidP="007D5795">
      <w:pPr>
        <w:pStyle w:val="TextoIndiceNivel2"/>
      </w:pPr>
    </w:p>
    <w:p w14:paraId="5E8A07F9" w14:textId="77777777" w:rsidR="007D5795" w:rsidRDefault="007D5795" w:rsidP="007D5795">
      <w:pPr>
        <w:pStyle w:val="TextoNormalNegritaCursivandice"/>
        <w:keepNext/>
      </w:pPr>
      <w:r>
        <w:t>Ley Orgánica 7/1980, de 5 de julio, de libertad religiosa</w:t>
      </w:r>
    </w:p>
    <w:p w14:paraId="17BC8D50" w14:textId="00EAD1E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2" w:history="1">
        <w:r w:rsidRPr="007D5795">
          <w:rPr>
            <w:rStyle w:val="TextoNormalCaracter"/>
          </w:rPr>
          <w:t>132/2024</w:t>
        </w:r>
      </w:hyperlink>
      <w:r>
        <w:t>, f. 4.</w:t>
      </w:r>
    </w:p>
    <w:p w14:paraId="51CF3C15" w14:textId="358ACE44" w:rsidR="007D5795" w:rsidRDefault="007D5795" w:rsidP="007D5795">
      <w:pPr>
        <w:pStyle w:val="SangriaFrancesaArticulo"/>
      </w:pPr>
      <w:r w:rsidRPr="007D5795">
        <w:rPr>
          <w:rStyle w:val="TextoNormalNegritaCaracter"/>
        </w:rPr>
        <w:t>Artículo 2.1.</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6E5E77E1" w14:textId="53C1C18C" w:rsidR="007D5795" w:rsidRDefault="007D5795" w:rsidP="007D5795">
      <w:pPr>
        <w:pStyle w:val="SangriaFrancesaArticulo"/>
      </w:pPr>
      <w:r w:rsidRPr="007D5795">
        <w:rPr>
          <w:rStyle w:val="TextoNormalNegritaCaracter"/>
        </w:rPr>
        <w:t>Artículo 2.1 d).</w:t>
      </w:r>
      <w:r w:rsidRPr="007D5795">
        <w:rPr>
          <w:rStyle w:val="TextoNormalCaracter"/>
        </w:rPr>
        <w:t>-</w:t>
      </w:r>
      <w:r>
        <w:t xml:space="preserve"> Sentencia </w:t>
      </w:r>
      <w:hyperlink w:anchor="SENTENCIA_2024_132" w:history="1">
        <w:r w:rsidRPr="007D5795">
          <w:rPr>
            <w:rStyle w:val="TextoNormalCaracter"/>
          </w:rPr>
          <w:t>132/2024</w:t>
        </w:r>
      </w:hyperlink>
      <w:r>
        <w:t>, VP II.</w:t>
      </w:r>
    </w:p>
    <w:p w14:paraId="3C840814" w14:textId="45FA5E1C" w:rsidR="007D5795" w:rsidRDefault="007D5795" w:rsidP="007D5795">
      <w:pPr>
        <w:pStyle w:val="SangriaFrancesaArticulo"/>
      </w:pPr>
      <w:r w:rsidRPr="007D5795">
        <w:rPr>
          <w:rStyle w:val="TextoNormalNegritaCaracter"/>
        </w:rPr>
        <w:t>Artículo 2.5.</w:t>
      </w:r>
      <w:r w:rsidRPr="007D5795">
        <w:rPr>
          <w:rStyle w:val="TextoNormalCaracter"/>
        </w:rPr>
        <w:t>-</w:t>
      </w:r>
      <w:r>
        <w:t xml:space="preserve"> Sentencia </w:t>
      </w:r>
      <w:hyperlink w:anchor="SENTENCIA_2024_132" w:history="1">
        <w:r w:rsidRPr="007D5795">
          <w:rPr>
            <w:rStyle w:val="TextoNormalCaracter"/>
          </w:rPr>
          <w:t>132/2024</w:t>
        </w:r>
      </w:hyperlink>
      <w:r>
        <w:t>, VP II.</w:t>
      </w:r>
    </w:p>
    <w:p w14:paraId="6327968F" w14:textId="360D06ED" w:rsidR="007D5795" w:rsidRDefault="007D5795" w:rsidP="007D5795">
      <w:pPr>
        <w:pStyle w:val="SangriaFrancesaArticulo"/>
      </w:pPr>
      <w:r w:rsidRPr="007D5795">
        <w:rPr>
          <w:rStyle w:val="TextoNormalNegritaCaracter"/>
        </w:rPr>
        <w:t>Artículo 3.1.</w:t>
      </w:r>
      <w:r w:rsidRPr="007D5795">
        <w:rPr>
          <w:rStyle w:val="TextoNormalCaracter"/>
        </w:rPr>
        <w:t>-</w:t>
      </w:r>
      <w:r>
        <w:t xml:space="preserve"> Sentencia </w:t>
      </w:r>
      <w:hyperlink w:anchor="SENTENCIA_2024_132" w:history="1">
        <w:r w:rsidRPr="007D5795">
          <w:rPr>
            <w:rStyle w:val="TextoNormalCaracter"/>
          </w:rPr>
          <w:t>132/2024</w:t>
        </w:r>
      </w:hyperlink>
      <w:r>
        <w:t>, ff. 3, 4.</w:t>
      </w:r>
    </w:p>
    <w:p w14:paraId="31FF1460" w14:textId="46B801BD" w:rsidR="007D5795" w:rsidRDefault="007D5795" w:rsidP="007D5795">
      <w:pPr>
        <w:pStyle w:val="SangriaFrancesaArticulo"/>
      </w:pPr>
      <w:r w:rsidRPr="007D5795">
        <w:rPr>
          <w:rStyle w:val="TextoNormalNegritaCaracter"/>
        </w:rPr>
        <w:t>Artículo 5.</w:t>
      </w:r>
      <w:r w:rsidRPr="007D5795">
        <w:rPr>
          <w:rStyle w:val="TextoNormalCaracter"/>
        </w:rPr>
        <w:t>-</w:t>
      </w:r>
      <w:r>
        <w:t xml:space="preserve"> Sentencia </w:t>
      </w:r>
      <w:hyperlink w:anchor="SENTENCIA_2024_132" w:history="1">
        <w:r w:rsidRPr="007D5795">
          <w:rPr>
            <w:rStyle w:val="TextoNormalCaracter"/>
          </w:rPr>
          <w:t>132/2024</w:t>
        </w:r>
      </w:hyperlink>
      <w:r>
        <w:t>, VP II.</w:t>
      </w:r>
    </w:p>
    <w:p w14:paraId="54D0E645" w14:textId="557682EB" w:rsidR="007D5795" w:rsidRDefault="007D5795" w:rsidP="007D5795">
      <w:pPr>
        <w:pStyle w:val="SangriaFrancesaArticulo"/>
      </w:pPr>
      <w:r w:rsidRPr="007D5795">
        <w:rPr>
          <w:rStyle w:val="TextoNormalNegritaCaracter"/>
        </w:rPr>
        <w:t>Artículo 6.</w:t>
      </w:r>
      <w:r w:rsidRPr="007D5795">
        <w:rPr>
          <w:rStyle w:val="TextoNormalCaracter"/>
        </w:rPr>
        <w:t>-</w:t>
      </w:r>
      <w:r>
        <w:t xml:space="preserve"> Sentencia </w:t>
      </w:r>
      <w:hyperlink w:anchor="SENTENCIA_2024_132" w:history="1">
        <w:r w:rsidRPr="007D5795">
          <w:rPr>
            <w:rStyle w:val="TextoNormalCaracter"/>
          </w:rPr>
          <w:t>132/2024</w:t>
        </w:r>
      </w:hyperlink>
      <w:r>
        <w:t>, f. 4, VP I.</w:t>
      </w:r>
    </w:p>
    <w:p w14:paraId="2DF54015" w14:textId="4159996E" w:rsidR="007D5795" w:rsidRDefault="007D5795" w:rsidP="007D5795">
      <w:pPr>
        <w:pStyle w:val="SangriaFrancesaArticulo"/>
      </w:pPr>
      <w:r w:rsidRPr="007D5795">
        <w:rPr>
          <w:rStyle w:val="TextoNormalNegritaCaracter"/>
        </w:rPr>
        <w:t>Artículo 6.1.</w:t>
      </w:r>
      <w:r w:rsidRPr="007D5795">
        <w:rPr>
          <w:rStyle w:val="TextoNormalCaracter"/>
        </w:rPr>
        <w:t>-</w:t>
      </w:r>
      <w:r>
        <w:t xml:space="preserve"> Sentencia </w:t>
      </w:r>
      <w:hyperlink w:anchor="SENTENCIA_2024_132" w:history="1">
        <w:r w:rsidRPr="007D5795">
          <w:rPr>
            <w:rStyle w:val="TextoNormalCaracter"/>
          </w:rPr>
          <w:t>132/2024</w:t>
        </w:r>
      </w:hyperlink>
      <w:r>
        <w:t>, f. 4.</w:t>
      </w:r>
    </w:p>
    <w:p w14:paraId="376FC1C0" w14:textId="5568BBB0" w:rsidR="007D5795" w:rsidRDefault="007D5795" w:rsidP="007D5795">
      <w:pPr>
        <w:pStyle w:val="SangriaFrancesaArticulo"/>
      </w:pPr>
    </w:p>
    <w:p w14:paraId="1C8B18C4" w14:textId="77777777" w:rsidR="007D5795" w:rsidRDefault="007D5795" w:rsidP="007D5795">
      <w:pPr>
        <w:pStyle w:val="TextoNormalNegritaCursivandice"/>
        <w:keepNext/>
      </w:pPr>
      <w:r>
        <w:t>Ley Orgánica 4/1981, de 1 de junio, de los estados de alarma, excepción y sitio</w:t>
      </w:r>
    </w:p>
    <w:p w14:paraId="272EFA25" w14:textId="53067BB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6" w:history="1">
        <w:r w:rsidRPr="007D5795">
          <w:rPr>
            <w:rStyle w:val="TextoNormalCaracter"/>
          </w:rPr>
          <w:t>136/2024</w:t>
        </w:r>
      </w:hyperlink>
      <w:r>
        <w:t>, f. 4.</w:t>
      </w:r>
    </w:p>
    <w:p w14:paraId="3B6DB6D9" w14:textId="7B0C6FEE" w:rsidR="007D5795" w:rsidRDefault="007D5795" w:rsidP="007D5795">
      <w:pPr>
        <w:pStyle w:val="SangriaFrancesaArticulo"/>
      </w:pPr>
    </w:p>
    <w:p w14:paraId="0E9C2789" w14:textId="77777777" w:rsidR="007D5795" w:rsidRDefault="007D5795" w:rsidP="007D5795">
      <w:pPr>
        <w:pStyle w:val="TextoNormalNegritaCursivandice"/>
        <w:keepNext/>
      </w:pPr>
      <w:r>
        <w:t>Ley Orgánica 2/1982, de 12 de mayo, del Tribunal de Cuentas</w:t>
      </w:r>
    </w:p>
    <w:p w14:paraId="4CA82375" w14:textId="473DFE43" w:rsidR="007D5795" w:rsidRDefault="007D5795" w:rsidP="007D5795">
      <w:pPr>
        <w:pStyle w:val="SangriaFrancesaArticulo"/>
      </w:pPr>
      <w:r w:rsidRPr="007D5795">
        <w:rPr>
          <w:rStyle w:val="TextoNormalNegritaCaracter"/>
        </w:rPr>
        <w:t>Título V, capítulo III.</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30F4C42D" w14:textId="4F4C74D0" w:rsidR="007D5795" w:rsidRDefault="007D5795" w:rsidP="007D5795">
      <w:pPr>
        <w:pStyle w:val="SangriaFrancesaArticulo"/>
      </w:pPr>
      <w:r w:rsidRPr="007D5795">
        <w:rPr>
          <w:rStyle w:val="TextoNormalNegritaCaracter"/>
        </w:rPr>
        <w:t>Artículo 1.2.</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0D5E9A28" w14:textId="15C2E446" w:rsidR="007D5795" w:rsidRDefault="007D5795" w:rsidP="007D5795">
      <w:pPr>
        <w:pStyle w:val="SangriaFrancesaArticulo"/>
      </w:pPr>
      <w:r w:rsidRPr="007D5795">
        <w:rPr>
          <w:rStyle w:val="TextoNormalNegritaCaracter"/>
        </w:rPr>
        <w:t>Artículo 2 b).</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5C35C447" w14:textId="24FC3109" w:rsidR="007D5795" w:rsidRDefault="007D5795" w:rsidP="007D5795">
      <w:pPr>
        <w:pStyle w:val="SangriaFrancesaArticulo"/>
      </w:pPr>
      <w:r w:rsidRPr="007D5795">
        <w:rPr>
          <w:rStyle w:val="TextoNormalNegritaCaracter"/>
        </w:rPr>
        <w:t>Artículo 7.1.</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1994ABBE" w14:textId="092ACFE7" w:rsidR="007D5795" w:rsidRDefault="007D5795" w:rsidP="007D5795">
      <w:pPr>
        <w:pStyle w:val="SangriaFrancesaArticulo"/>
      </w:pPr>
      <w:r w:rsidRPr="007D5795">
        <w:rPr>
          <w:rStyle w:val="TextoNormalNegritaCaracter"/>
        </w:rPr>
        <w:t>Artículo 46.1.</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506BCCD7" w14:textId="529E2F98" w:rsidR="007D5795" w:rsidRDefault="007D5795" w:rsidP="007D5795">
      <w:pPr>
        <w:pStyle w:val="SangriaFrancesaArticulo"/>
      </w:pPr>
    </w:p>
    <w:p w14:paraId="3FA1F2B3" w14:textId="77777777" w:rsidR="007D5795" w:rsidRDefault="007D5795" w:rsidP="007D5795">
      <w:pPr>
        <w:pStyle w:val="TextoNormalNegritaCursivandice"/>
        <w:keepNext/>
      </w:pPr>
      <w:r>
        <w:t>Ley Orgánica 9/1983, de 15 de julio, reguladora del derecho de reunión</w:t>
      </w:r>
    </w:p>
    <w:p w14:paraId="37328F73" w14:textId="50D41FC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36" w:history="1">
        <w:r w:rsidRPr="007D5795">
          <w:rPr>
            <w:rStyle w:val="TextoNormalCaracter"/>
          </w:rPr>
          <w:t>136/2024</w:t>
        </w:r>
      </w:hyperlink>
      <w:r>
        <w:t xml:space="preserve">, f. 5; </w:t>
      </w:r>
      <w:hyperlink w:anchor="SENTENCIA_2024_141" w:history="1">
        <w:r w:rsidRPr="007D5795">
          <w:rPr>
            <w:rStyle w:val="TextoNormalCaracter"/>
          </w:rPr>
          <w:t>141/2024</w:t>
        </w:r>
      </w:hyperlink>
      <w:r>
        <w:t>, f. 3.</w:t>
      </w:r>
    </w:p>
    <w:p w14:paraId="70E7C932" w14:textId="071E79C8" w:rsidR="007D5795" w:rsidRDefault="007D5795" w:rsidP="007D5795">
      <w:pPr>
        <w:pStyle w:val="SangriaFrancesaArticulo"/>
      </w:pPr>
    </w:p>
    <w:p w14:paraId="0152336F" w14:textId="77777777" w:rsidR="007D5795" w:rsidRDefault="007D5795" w:rsidP="007D5795">
      <w:pPr>
        <w:pStyle w:val="TextoNormalNegritaCursivandice"/>
        <w:keepNext/>
      </w:pPr>
      <w:r>
        <w:t>Ley Orgánica 5/1985, de 19 de junio, del régimen electoral general</w:t>
      </w:r>
    </w:p>
    <w:p w14:paraId="45E7692E" w14:textId="509B4714"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52" w:history="1">
        <w:r w:rsidRPr="007D5795">
          <w:rPr>
            <w:rStyle w:val="TextoNormalCaracter"/>
          </w:rPr>
          <w:t>152/2024</w:t>
        </w:r>
      </w:hyperlink>
      <w:r>
        <w:t>, ff. 2, 4.</w:t>
      </w:r>
    </w:p>
    <w:p w14:paraId="4D8EC300" w14:textId="5A0B77F9" w:rsidR="007D5795" w:rsidRDefault="007D5795" w:rsidP="007D5795">
      <w:pPr>
        <w:pStyle w:val="SangriaFrancesaArticulo"/>
      </w:pPr>
      <w:r w:rsidRPr="007D5795">
        <w:rPr>
          <w:rStyle w:val="TextoNormalNegritaCaracter"/>
        </w:rPr>
        <w:t>Artículo 4.</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590D93AB" w14:textId="316716DB" w:rsidR="007D5795" w:rsidRDefault="007D5795" w:rsidP="007D5795">
      <w:pPr>
        <w:pStyle w:val="SangriaFrancesaArticulo"/>
      </w:pPr>
      <w:r w:rsidRPr="007D5795">
        <w:rPr>
          <w:rStyle w:val="TextoNormalNegritaCaracter"/>
        </w:rPr>
        <w:t>Artículo 5.</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41FBBCF8" w14:textId="04307447" w:rsidR="007D5795" w:rsidRDefault="007D5795" w:rsidP="007D5795">
      <w:pPr>
        <w:pStyle w:val="SangriaFrancesaArticulo"/>
      </w:pPr>
      <w:r w:rsidRPr="007D5795">
        <w:rPr>
          <w:rStyle w:val="TextoNormalNegritaCaracter"/>
        </w:rPr>
        <w:t>Artículo 6.</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3456F3B1" w14:textId="0FEE0B7A" w:rsidR="007D5795" w:rsidRDefault="007D5795" w:rsidP="007D5795">
      <w:pPr>
        <w:pStyle w:val="SangriaFrancesaArticulo"/>
      </w:pPr>
      <w:r w:rsidRPr="007D5795">
        <w:rPr>
          <w:rStyle w:val="TextoNormalNegritaCaracter"/>
        </w:rPr>
        <w:t>Artículo 6.2 b).</w:t>
      </w:r>
      <w:r w:rsidRPr="007D5795">
        <w:rPr>
          <w:rStyle w:val="TextoNormalCaracter"/>
        </w:rPr>
        <w:t>-</w:t>
      </w:r>
      <w:r>
        <w:t xml:space="preserve"> Sentencia </w:t>
      </w:r>
      <w:hyperlink w:anchor="SENTENCIA_2024_152" w:history="1">
        <w:r w:rsidRPr="007D5795">
          <w:rPr>
            <w:rStyle w:val="TextoNormalCaracter"/>
          </w:rPr>
          <w:t>152/2024</w:t>
        </w:r>
      </w:hyperlink>
      <w:r>
        <w:t>, ff. 1, 2, 4, 5.</w:t>
      </w:r>
    </w:p>
    <w:p w14:paraId="5C0C0261" w14:textId="1F961069" w:rsidR="007D5795" w:rsidRDefault="007D5795" w:rsidP="007D5795">
      <w:pPr>
        <w:pStyle w:val="SangriaFrancesaArticulo"/>
      </w:pPr>
      <w:r w:rsidRPr="007D5795">
        <w:rPr>
          <w:rStyle w:val="TextoNormalNegritaCaracter"/>
        </w:rPr>
        <w:t>Artículo 8.</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6B760465" w14:textId="11037123" w:rsidR="007D5795" w:rsidRDefault="007D5795" w:rsidP="007D5795">
      <w:pPr>
        <w:pStyle w:val="SangriaFrancesaArticulo"/>
      </w:pPr>
      <w:r w:rsidRPr="007D5795">
        <w:rPr>
          <w:rStyle w:val="TextoNormalNegritaCaracter"/>
        </w:rPr>
        <w:t>Artículo 8.1.</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3E8BDFFB" w14:textId="13F726EC" w:rsidR="007D5795" w:rsidRDefault="007D5795" w:rsidP="007D5795">
      <w:pPr>
        <w:pStyle w:val="SangriaFrancesaArticulo"/>
      </w:pPr>
      <w:r w:rsidRPr="007D5795">
        <w:rPr>
          <w:rStyle w:val="TextoNormalNegritaCaracter"/>
        </w:rPr>
        <w:t>Artículo 9 y ss..</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4A61A262" w14:textId="1180D140" w:rsidR="007D5795" w:rsidRDefault="007D5795" w:rsidP="007D5795">
      <w:pPr>
        <w:pStyle w:val="SangriaFrancesaArticulo"/>
      </w:pPr>
      <w:r w:rsidRPr="007D5795">
        <w:rPr>
          <w:rStyle w:val="TextoNormalNegritaCaracter"/>
        </w:rPr>
        <w:t>Artículo 9.1.</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7F2D450D" w14:textId="034D9AA1" w:rsidR="007D5795" w:rsidRDefault="007D5795" w:rsidP="007D5795">
      <w:pPr>
        <w:pStyle w:val="SangriaFrancesaArticulo"/>
      </w:pPr>
      <w:r w:rsidRPr="007D5795">
        <w:rPr>
          <w:rStyle w:val="TextoNormalNegritaCaracter"/>
        </w:rPr>
        <w:t>Artículo 14.1.</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4AE39449" w14:textId="469EF368" w:rsidR="007D5795" w:rsidRDefault="007D5795" w:rsidP="007D5795">
      <w:pPr>
        <w:pStyle w:val="SangriaFrancesaArticulo"/>
      </w:pPr>
      <w:r w:rsidRPr="007D5795">
        <w:rPr>
          <w:rStyle w:val="TextoNormalNegritaCaracter"/>
        </w:rPr>
        <w:t>Artículo 16.</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303187EA" w14:textId="391943B4" w:rsidR="007D5795" w:rsidRDefault="007D5795" w:rsidP="007D5795">
      <w:pPr>
        <w:pStyle w:val="SangriaFrancesaArticulo"/>
      </w:pPr>
      <w:r w:rsidRPr="007D5795">
        <w:rPr>
          <w:rStyle w:val="TextoNormalNegritaCaracter"/>
        </w:rPr>
        <w:t>Artículo 19.1 c).</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6F125DD4" w14:textId="7B5C2B3F" w:rsidR="007D5795" w:rsidRDefault="007D5795" w:rsidP="007D5795">
      <w:pPr>
        <w:pStyle w:val="SangriaFrancesaArticulo"/>
      </w:pPr>
      <w:r w:rsidRPr="007D5795">
        <w:rPr>
          <w:rStyle w:val="TextoNormalNegritaCaracter"/>
        </w:rPr>
        <w:t>Artículo 19.1 e).</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68393056" w14:textId="060FC5FB" w:rsidR="007D5795" w:rsidRDefault="007D5795" w:rsidP="007D5795">
      <w:pPr>
        <w:pStyle w:val="SangriaFrancesaArticulo"/>
      </w:pPr>
      <w:r w:rsidRPr="007D5795">
        <w:rPr>
          <w:rStyle w:val="TextoNormalNegritaCaracter"/>
        </w:rPr>
        <w:t>Artículo 19.2.</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0773BC20" w14:textId="15C1B542" w:rsidR="007D5795" w:rsidRDefault="007D5795" w:rsidP="007D5795">
      <w:pPr>
        <w:pStyle w:val="SangriaFrancesaArticulo"/>
      </w:pPr>
      <w:r w:rsidRPr="007D5795">
        <w:rPr>
          <w:rStyle w:val="TextoNormalNegritaCaracter"/>
        </w:rPr>
        <w:t>Artículo 21.</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235DA62A" w14:textId="562BABA2" w:rsidR="007D5795" w:rsidRDefault="007D5795" w:rsidP="007D5795">
      <w:pPr>
        <w:pStyle w:val="SangriaFrancesaArticulo"/>
      </w:pPr>
      <w:r w:rsidRPr="007D5795">
        <w:rPr>
          <w:rStyle w:val="TextoNormalNegritaCaracter"/>
        </w:rPr>
        <w:t>Artículo 47.</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043F7AE9" w14:textId="2BB405E7" w:rsidR="007D5795" w:rsidRDefault="007D5795" w:rsidP="007D5795">
      <w:pPr>
        <w:pStyle w:val="SangriaFrancesaArticulo"/>
      </w:pPr>
      <w:r w:rsidRPr="007D5795">
        <w:rPr>
          <w:rStyle w:val="TextoNormalNegritaCaracter"/>
        </w:rPr>
        <w:t>Artículo 120.</w:t>
      </w:r>
      <w:r w:rsidRPr="007D5795">
        <w:rPr>
          <w:rStyle w:val="TextoNormalCaracter"/>
        </w:rPr>
        <w:t>-</w:t>
      </w:r>
      <w:r>
        <w:t xml:space="preserve"> Sentencia </w:t>
      </w:r>
      <w:hyperlink w:anchor="SENTENCIA_2024_152" w:history="1">
        <w:r w:rsidRPr="007D5795">
          <w:rPr>
            <w:rStyle w:val="TextoNormalCaracter"/>
          </w:rPr>
          <w:t>152/2024</w:t>
        </w:r>
      </w:hyperlink>
      <w:r>
        <w:t>, f. 5.</w:t>
      </w:r>
    </w:p>
    <w:p w14:paraId="7DF6DFF1" w14:textId="4065F509" w:rsidR="007D5795" w:rsidRDefault="007D5795" w:rsidP="007D5795">
      <w:pPr>
        <w:pStyle w:val="SangriaFrancesaArticulo"/>
      </w:pPr>
      <w:r w:rsidRPr="007D5795">
        <w:rPr>
          <w:rStyle w:val="TextoNormalNegritaCaracter"/>
        </w:rPr>
        <w:t>Artículo 134.</w:t>
      </w:r>
      <w:r w:rsidRPr="007D5795">
        <w:rPr>
          <w:rStyle w:val="TextoNormalCaracter"/>
        </w:rPr>
        <w:t>-</w:t>
      </w:r>
      <w:r>
        <w:t xml:space="preserve"> Auto </w:t>
      </w:r>
      <w:hyperlink w:anchor="AUTO_2024_80" w:history="1">
        <w:r w:rsidRPr="007D5795">
          <w:rPr>
            <w:rStyle w:val="TextoNormalCaracter"/>
          </w:rPr>
          <w:t>80/2024</w:t>
        </w:r>
      </w:hyperlink>
      <w:r>
        <w:t>, f. 1.</w:t>
      </w:r>
    </w:p>
    <w:p w14:paraId="3E934B83" w14:textId="0AD9547F" w:rsidR="007D5795" w:rsidRDefault="007D5795" w:rsidP="007D5795">
      <w:pPr>
        <w:pStyle w:val="SangriaFrancesaArticulo"/>
      </w:pPr>
      <w:r w:rsidRPr="007D5795">
        <w:rPr>
          <w:rStyle w:val="TextoNormalNegritaCaracter"/>
        </w:rPr>
        <w:t>Artículo 160.</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29025E25" w14:textId="5AE2819D" w:rsidR="007D5795" w:rsidRDefault="007D5795" w:rsidP="007D5795">
      <w:pPr>
        <w:pStyle w:val="SangriaFrancesaArticulo"/>
      </w:pPr>
    </w:p>
    <w:p w14:paraId="3D655377" w14:textId="77777777" w:rsidR="007D5795" w:rsidRDefault="007D5795" w:rsidP="007D5795">
      <w:pPr>
        <w:pStyle w:val="TextoNormalNegritaCursivandice"/>
        <w:keepNext/>
      </w:pPr>
      <w:r>
        <w:t>Ley Orgánica 6/1985, de 1 de julio. Poder judicial</w:t>
      </w:r>
    </w:p>
    <w:p w14:paraId="07DDAEEF" w14:textId="34413FC7" w:rsidR="007D5795" w:rsidRDefault="007D5795" w:rsidP="007D5795">
      <w:pPr>
        <w:pStyle w:val="SangriaFrancesaArticulo"/>
        <w:keepNext/>
      </w:pPr>
      <w:r w:rsidRPr="007D5795">
        <w:rPr>
          <w:rStyle w:val="TextoNormalNegritaCaracter"/>
        </w:rPr>
        <w:t>En general.</w:t>
      </w:r>
      <w:r w:rsidRPr="007D5795">
        <w:rPr>
          <w:rStyle w:val="TextoNormalCaracter"/>
        </w:rPr>
        <w:t>-</w:t>
      </w:r>
      <w:r>
        <w:t xml:space="preserve"> Sentencias </w:t>
      </w:r>
      <w:hyperlink w:anchor="SENTENCIA_2024_131" w:history="1">
        <w:r w:rsidRPr="007D5795">
          <w:rPr>
            <w:rStyle w:val="TextoNormalCaracter"/>
          </w:rPr>
          <w:t>131/2024</w:t>
        </w:r>
      </w:hyperlink>
      <w:r>
        <w:t xml:space="preserve">, f. 3; </w:t>
      </w:r>
      <w:hyperlink w:anchor="SENTENCIA_2024_139" w:history="1">
        <w:r w:rsidRPr="007D5795">
          <w:rPr>
            <w:rStyle w:val="TextoNormalCaracter"/>
          </w:rPr>
          <w:t>139/2024</w:t>
        </w:r>
      </w:hyperlink>
      <w:r>
        <w:t xml:space="preserve">, ff. 2 a 5, VP I, VP II; </w:t>
      </w:r>
      <w:hyperlink w:anchor="SENTENCIA_2024_142" w:history="1">
        <w:r w:rsidRPr="007D5795">
          <w:rPr>
            <w:rStyle w:val="TextoNormalCaracter"/>
          </w:rPr>
          <w:t>142/2024</w:t>
        </w:r>
      </w:hyperlink>
      <w:r>
        <w:t xml:space="preserve">, VP; </w:t>
      </w:r>
      <w:hyperlink w:anchor="SENTENCIA_2024_152" w:history="1">
        <w:r w:rsidRPr="007D5795">
          <w:rPr>
            <w:rStyle w:val="TextoNormalCaracter"/>
          </w:rPr>
          <w:t>152/2024</w:t>
        </w:r>
      </w:hyperlink>
      <w:r>
        <w:t>, f. 5.</w:t>
      </w:r>
    </w:p>
    <w:p w14:paraId="2B85D26B" w14:textId="5FF6717E" w:rsidR="007D5795" w:rsidRDefault="007D5795" w:rsidP="007D5795">
      <w:pPr>
        <w:pStyle w:val="SangriaIzquierdaArticulo"/>
      </w:pPr>
      <w:r>
        <w:t xml:space="preserve">Autos </w:t>
      </w:r>
      <w:hyperlink w:anchor="AUTO_2024_68" w:history="1">
        <w:r w:rsidRPr="007D5795">
          <w:rPr>
            <w:rStyle w:val="TextoNormalCaracter"/>
          </w:rPr>
          <w:t>68/2024</w:t>
        </w:r>
      </w:hyperlink>
      <w:r>
        <w:t xml:space="preserve">, f. 2; </w:t>
      </w:r>
      <w:hyperlink w:anchor="AUTO_2024_91" w:history="1">
        <w:r w:rsidRPr="007D5795">
          <w:rPr>
            <w:rStyle w:val="TextoNormalCaracter"/>
          </w:rPr>
          <w:t>91/2024</w:t>
        </w:r>
      </w:hyperlink>
      <w:r>
        <w:t xml:space="preserve">, VP II; </w:t>
      </w:r>
      <w:hyperlink w:anchor="AUTO_2024_100" w:history="1">
        <w:r w:rsidRPr="007D5795">
          <w:rPr>
            <w:rStyle w:val="TextoNormalCaracter"/>
          </w:rPr>
          <w:t>100/2024</w:t>
        </w:r>
      </w:hyperlink>
      <w:r>
        <w:t xml:space="preserve">, f. 1; </w:t>
      </w:r>
      <w:hyperlink w:anchor="AUTO_2024_156" w:history="1">
        <w:r w:rsidRPr="007D5795">
          <w:rPr>
            <w:rStyle w:val="TextoNormalCaracter"/>
          </w:rPr>
          <w:t>156/2024</w:t>
        </w:r>
      </w:hyperlink>
      <w:r>
        <w:t>, f. 2.</w:t>
      </w:r>
    </w:p>
    <w:p w14:paraId="026CAA3A" w14:textId="5675EC3F" w:rsidR="007D5795" w:rsidRDefault="007D5795" w:rsidP="007D5795">
      <w:pPr>
        <w:pStyle w:val="SangriaFrancesaArticulo"/>
      </w:pPr>
      <w:r w:rsidRPr="007D5795">
        <w:rPr>
          <w:rStyle w:val="TextoNormalNegritaCaracter"/>
        </w:rPr>
        <w:t>Artículo 5.</w:t>
      </w:r>
      <w:r w:rsidRPr="007D5795">
        <w:rPr>
          <w:rStyle w:val="TextoNormalCaracter"/>
        </w:rPr>
        <w:t>-</w:t>
      </w:r>
      <w:r>
        <w:t xml:space="preserve"> Auto </w:t>
      </w:r>
      <w:hyperlink w:anchor="AUTO_2024_148" w:history="1">
        <w:r w:rsidRPr="007D5795">
          <w:rPr>
            <w:rStyle w:val="TextoNormalCaracter"/>
          </w:rPr>
          <w:t>148/2024</w:t>
        </w:r>
      </w:hyperlink>
      <w:r>
        <w:t>, f. 1.</w:t>
      </w:r>
    </w:p>
    <w:p w14:paraId="27FEF55D" w14:textId="0934A693" w:rsidR="007D5795" w:rsidRDefault="007D5795" w:rsidP="007D5795">
      <w:pPr>
        <w:pStyle w:val="SangriaFrancesaArticulo"/>
      </w:pPr>
      <w:r w:rsidRPr="007D5795">
        <w:rPr>
          <w:rStyle w:val="TextoNormalNegritaCaracter"/>
        </w:rPr>
        <w:t>Artículo 5.1.</w:t>
      </w:r>
      <w:r w:rsidRPr="007D5795">
        <w:rPr>
          <w:rStyle w:val="TextoNormalCaracter"/>
        </w:rPr>
        <w:t>-</w:t>
      </w:r>
      <w:r>
        <w:t xml:space="preserve"> Sentencias </w:t>
      </w:r>
      <w:hyperlink w:anchor="SENTENCIA_2024_95" w:history="1">
        <w:r w:rsidRPr="007D5795">
          <w:rPr>
            <w:rStyle w:val="TextoNormalCaracter"/>
          </w:rPr>
          <w:t>95/2024</w:t>
        </w:r>
      </w:hyperlink>
      <w:r>
        <w:t xml:space="preserve">, f. 3; </w:t>
      </w:r>
      <w:hyperlink w:anchor="SENTENCIA_2024_96" w:history="1">
        <w:r w:rsidRPr="007D5795">
          <w:rPr>
            <w:rStyle w:val="TextoNormalCaracter"/>
          </w:rPr>
          <w:t>96/2024</w:t>
        </w:r>
      </w:hyperlink>
      <w:r>
        <w:t xml:space="preserve">, ff. 5, 6; </w:t>
      </w:r>
      <w:hyperlink w:anchor="SENTENCIA_2024_97" w:history="1">
        <w:r w:rsidRPr="007D5795">
          <w:rPr>
            <w:rStyle w:val="TextoNormalCaracter"/>
          </w:rPr>
          <w:t>97/2024</w:t>
        </w:r>
      </w:hyperlink>
      <w:r>
        <w:t xml:space="preserve">, ff. 4, 5; </w:t>
      </w:r>
      <w:hyperlink w:anchor="SENTENCIA_2024_98" w:history="1">
        <w:r w:rsidRPr="007D5795">
          <w:rPr>
            <w:rStyle w:val="TextoNormalCaracter"/>
          </w:rPr>
          <w:t>98/2024</w:t>
        </w:r>
      </w:hyperlink>
      <w:r>
        <w:t xml:space="preserve">, ff. 4, 5; </w:t>
      </w:r>
      <w:hyperlink w:anchor="SENTENCIA_2024_99" w:history="1">
        <w:r w:rsidRPr="007D5795">
          <w:rPr>
            <w:rStyle w:val="TextoNormalCaracter"/>
          </w:rPr>
          <w:t>99/2024</w:t>
        </w:r>
      </w:hyperlink>
      <w:r>
        <w:t xml:space="preserve">, f. 3; </w:t>
      </w:r>
      <w:hyperlink w:anchor="SENTENCIA_2024_100" w:history="1">
        <w:r w:rsidRPr="007D5795">
          <w:rPr>
            <w:rStyle w:val="TextoNormalCaracter"/>
          </w:rPr>
          <w:t>100/2024</w:t>
        </w:r>
      </w:hyperlink>
      <w:r>
        <w:t xml:space="preserve">, ff. 4, 5; </w:t>
      </w:r>
      <w:hyperlink w:anchor="SENTENCIA_2024_102" w:history="1">
        <w:r w:rsidRPr="007D5795">
          <w:rPr>
            <w:rStyle w:val="TextoNormalCaracter"/>
          </w:rPr>
          <w:t>102/2024</w:t>
        </w:r>
      </w:hyperlink>
      <w:r>
        <w:t xml:space="preserve">, f. 4; </w:t>
      </w:r>
      <w:hyperlink w:anchor="SENTENCIA_2024_103" w:history="1">
        <w:r w:rsidRPr="007D5795">
          <w:rPr>
            <w:rStyle w:val="TextoNormalCaracter"/>
          </w:rPr>
          <w:t>103/2024</w:t>
        </w:r>
      </w:hyperlink>
      <w:r>
        <w:t xml:space="preserve">, f. 4; </w:t>
      </w:r>
      <w:hyperlink w:anchor="SENTENCIA_2024_146" w:history="1">
        <w:r w:rsidRPr="007D5795">
          <w:rPr>
            <w:rStyle w:val="TextoNormalCaracter"/>
          </w:rPr>
          <w:t>146/2024</w:t>
        </w:r>
      </w:hyperlink>
      <w:r>
        <w:t>, f. 8.</w:t>
      </w:r>
    </w:p>
    <w:p w14:paraId="3DF94AC7" w14:textId="344B11E3" w:rsidR="007D5795" w:rsidRDefault="007D5795" w:rsidP="007D5795">
      <w:pPr>
        <w:pStyle w:val="SangriaFrancesaArticulo"/>
      </w:pPr>
      <w:r w:rsidRPr="007D5795">
        <w:rPr>
          <w:rStyle w:val="TextoNormalNegritaCaracter"/>
        </w:rPr>
        <w:t>Artículo 5.4.</w:t>
      </w:r>
      <w:r w:rsidRPr="007D5795">
        <w:rPr>
          <w:rStyle w:val="TextoNormalCaracter"/>
        </w:rPr>
        <w:t>-</w:t>
      </w:r>
      <w:r>
        <w:t xml:space="preserve"> Sentencias </w:t>
      </w:r>
      <w:hyperlink w:anchor="SENTENCIA_2024_100" w:history="1">
        <w:r w:rsidRPr="007D5795">
          <w:rPr>
            <w:rStyle w:val="TextoNormalCaracter"/>
          </w:rPr>
          <w:t>100/2024</w:t>
        </w:r>
      </w:hyperlink>
      <w:r>
        <w:t xml:space="preserve">, f. 1, VP I; </w:t>
      </w:r>
      <w:hyperlink w:anchor="SENTENCIA_2024_103" w:history="1">
        <w:r w:rsidRPr="007D5795">
          <w:rPr>
            <w:rStyle w:val="TextoNormalCaracter"/>
          </w:rPr>
          <w:t>103/2024</w:t>
        </w:r>
      </w:hyperlink>
      <w:r>
        <w:t>, VP I.</w:t>
      </w:r>
    </w:p>
    <w:p w14:paraId="1FF7B041" w14:textId="78BB4DB8" w:rsidR="007D5795" w:rsidRDefault="007D5795" w:rsidP="007D5795">
      <w:pPr>
        <w:pStyle w:val="SangriaFrancesaArticulo"/>
      </w:pPr>
      <w:r w:rsidRPr="007D5795">
        <w:rPr>
          <w:rStyle w:val="TextoNormalNegritaCaracter"/>
        </w:rPr>
        <w:t>Artículo 6.</w:t>
      </w:r>
      <w:r w:rsidRPr="007D5795">
        <w:rPr>
          <w:rStyle w:val="TextoNormalCaracter"/>
        </w:rPr>
        <w:t>-</w:t>
      </w:r>
      <w:r>
        <w:t xml:space="preserve"> Sentencias </w:t>
      </w:r>
      <w:hyperlink w:anchor="SENTENCIA_2024_94" w:history="1">
        <w:r w:rsidRPr="007D5795">
          <w:rPr>
            <w:rStyle w:val="TextoNormalCaracter"/>
          </w:rPr>
          <w:t>94/2024</w:t>
        </w:r>
      </w:hyperlink>
      <w:r>
        <w:t xml:space="preserve">, f. 4; </w:t>
      </w:r>
      <w:hyperlink w:anchor="SENTENCIA_2024_96" w:history="1">
        <w:r w:rsidRPr="007D5795">
          <w:rPr>
            <w:rStyle w:val="TextoNormalCaracter"/>
          </w:rPr>
          <w:t>96/2024</w:t>
        </w:r>
      </w:hyperlink>
      <w:r>
        <w:t xml:space="preserve">, f. 5; </w:t>
      </w:r>
      <w:hyperlink w:anchor="SENTENCIA_2024_97" w:history="1">
        <w:r w:rsidRPr="007D5795">
          <w:rPr>
            <w:rStyle w:val="TextoNormalCaracter"/>
          </w:rPr>
          <w:t>97/2024</w:t>
        </w:r>
      </w:hyperlink>
      <w:r>
        <w:t xml:space="preserve">, f. 4; </w:t>
      </w:r>
      <w:hyperlink w:anchor="SENTENCIA_2024_98" w:history="1">
        <w:r w:rsidRPr="007D5795">
          <w:rPr>
            <w:rStyle w:val="TextoNormalCaracter"/>
          </w:rPr>
          <w:t>98/2024</w:t>
        </w:r>
      </w:hyperlink>
      <w:r>
        <w:t xml:space="preserve">, f. 4; </w:t>
      </w:r>
      <w:hyperlink w:anchor="SENTENCIA_2024_99" w:history="1">
        <w:r w:rsidRPr="007D5795">
          <w:rPr>
            <w:rStyle w:val="TextoNormalCaracter"/>
          </w:rPr>
          <w:t>99/2024</w:t>
        </w:r>
      </w:hyperlink>
      <w:r>
        <w:t xml:space="preserve">, f. 3; </w:t>
      </w:r>
      <w:hyperlink w:anchor="SENTENCIA_2024_100" w:history="1">
        <w:r w:rsidRPr="007D5795">
          <w:rPr>
            <w:rStyle w:val="TextoNormalCaracter"/>
          </w:rPr>
          <w:t>100/2024</w:t>
        </w:r>
      </w:hyperlink>
      <w:r>
        <w:t xml:space="preserve">, f. 4; </w:t>
      </w:r>
      <w:hyperlink w:anchor="SENTENCIA_2024_102" w:history="1">
        <w:r w:rsidRPr="007D5795">
          <w:rPr>
            <w:rStyle w:val="TextoNormalCaracter"/>
          </w:rPr>
          <w:t>102/2024</w:t>
        </w:r>
      </w:hyperlink>
      <w:r>
        <w:t xml:space="preserve">, f. 4; </w:t>
      </w:r>
      <w:hyperlink w:anchor="SENTENCIA_2024_103" w:history="1">
        <w:r w:rsidRPr="007D5795">
          <w:rPr>
            <w:rStyle w:val="TextoNormalCaracter"/>
          </w:rPr>
          <w:t>103/2024</w:t>
        </w:r>
      </w:hyperlink>
      <w:r>
        <w:t>, f. 4.</w:t>
      </w:r>
    </w:p>
    <w:p w14:paraId="3A09A95C" w14:textId="25BC03A3" w:rsidR="007D5795" w:rsidRDefault="007D5795" w:rsidP="007D5795">
      <w:pPr>
        <w:pStyle w:val="SangriaFrancesaArticulo"/>
      </w:pPr>
      <w:r w:rsidRPr="007D5795">
        <w:rPr>
          <w:rStyle w:val="TextoNormalNegritaCaracter"/>
        </w:rPr>
        <w:t>Artículo 7.</w:t>
      </w:r>
      <w:r w:rsidRPr="007D5795">
        <w:rPr>
          <w:rStyle w:val="TextoNormalCaracter"/>
        </w:rPr>
        <w:t>-</w:t>
      </w:r>
      <w:r>
        <w:t xml:space="preserve"> Sentencia </w:t>
      </w:r>
      <w:hyperlink w:anchor="SENTENCIA_2024_144" w:history="1">
        <w:r w:rsidRPr="007D5795">
          <w:rPr>
            <w:rStyle w:val="TextoNormalCaracter"/>
          </w:rPr>
          <w:t>144/2024</w:t>
        </w:r>
      </w:hyperlink>
      <w:r>
        <w:t>, f. 2.</w:t>
      </w:r>
    </w:p>
    <w:p w14:paraId="3F63AE5A" w14:textId="58E688CC" w:rsidR="007D5795" w:rsidRDefault="007D5795" w:rsidP="007D5795">
      <w:pPr>
        <w:pStyle w:val="SangriaFrancesaArticulo"/>
      </w:pPr>
      <w:r w:rsidRPr="007D5795">
        <w:rPr>
          <w:rStyle w:val="TextoNormalNegritaCaracter"/>
        </w:rPr>
        <w:t>Artículo 11.2.</w:t>
      </w:r>
      <w:r w:rsidRPr="007D5795">
        <w:rPr>
          <w:rStyle w:val="TextoNormalCaracter"/>
        </w:rPr>
        <w:t>-</w:t>
      </w:r>
      <w:r>
        <w:t xml:space="preserve"> Autos </w:t>
      </w:r>
      <w:hyperlink w:anchor="AUTO_2024_68" w:history="1">
        <w:r w:rsidRPr="007D5795">
          <w:rPr>
            <w:rStyle w:val="TextoNormalCaracter"/>
          </w:rPr>
          <w:t>68/2024</w:t>
        </w:r>
      </w:hyperlink>
      <w:r>
        <w:t xml:space="preserve">, f. 2; </w:t>
      </w:r>
      <w:hyperlink w:anchor="AUTO_2024_70" w:history="1">
        <w:r w:rsidRPr="007D5795">
          <w:rPr>
            <w:rStyle w:val="TextoNormalCaracter"/>
          </w:rPr>
          <w:t>70/2024</w:t>
        </w:r>
      </w:hyperlink>
      <w:r>
        <w:t xml:space="preserve">, f. 2; </w:t>
      </w:r>
      <w:hyperlink w:anchor="AUTO_2024_78" w:history="1">
        <w:r w:rsidRPr="007D5795">
          <w:rPr>
            <w:rStyle w:val="TextoNormalCaracter"/>
          </w:rPr>
          <w:t>78/2024</w:t>
        </w:r>
      </w:hyperlink>
      <w:r>
        <w:t xml:space="preserve">, f. 2; </w:t>
      </w:r>
      <w:hyperlink w:anchor="AUTO_2024_93" w:history="1">
        <w:r w:rsidRPr="007D5795">
          <w:rPr>
            <w:rStyle w:val="TextoNormalCaracter"/>
          </w:rPr>
          <w:t>93/2024</w:t>
        </w:r>
      </w:hyperlink>
      <w:r>
        <w:t xml:space="preserve">, f. 2; </w:t>
      </w:r>
      <w:hyperlink w:anchor="AUTO_2024_105" w:history="1">
        <w:r w:rsidRPr="007D5795">
          <w:rPr>
            <w:rStyle w:val="TextoNormalCaracter"/>
          </w:rPr>
          <w:t>105/2024</w:t>
        </w:r>
      </w:hyperlink>
      <w:r>
        <w:t xml:space="preserve">, f. 2; </w:t>
      </w:r>
      <w:hyperlink w:anchor="AUTO_2024_128" w:history="1">
        <w:r w:rsidRPr="007D5795">
          <w:rPr>
            <w:rStyle w:val="TextoNormalCaracter"/>
          </w:rPr>
          <w:t>128/2024</w:t>
        </w:r>
      </w:hyperlink>
      <w:r>
        <w:t xml:space="preserve">, f. único; </w:t>
      </w:r>
      <w:hyperlink w:anchor="AUTO_2024_157" w:history="1">
        <w:r w:rsidRPr="007D5795">
          <w:rPr>
            <w:rStyle w:val="TextoNormalCaracter"/>
          </w:rPr>
          <w:t>157/2024</w:t>
        </w:r>
      </w:hyperlink>
      <w:r>
        <w:t>, f. único.</w:t>
      </w:r>
    </w:p>
    <w:p w14:paraId="35E3FA9C" w14:textId="6E27236D" w:rsidR="007D5795" w:rsidRDefault="007D5795" w:rsidP="007D5795">
      <w:pPr>
        <w:pStyle w:val="SangriaFrancesaArticulo"/>
      </w:pPr>
      <w:r w:rsidRPr="007D5795">
        <w:rPr>
          <w:rStyle w:val="TextoNormalNegritaCaracter"/>
        </w:rPr>
        <w:t>Artículo 60.2.</w:t>
      </w:r>
      <w:r w:rsidRPr="007D5795">
        <w:rPr>
          <w:rStyle w:val="TextoNormalCaracter"/>
        </w:rPr>
        <w:t>-</w:t>
      </w:r>
      <w:r>
        <w:t xml:space="preserve"> Auto </w:t>
      </w:r>
      <w:hyperlink w:anchor="AUTO_2024_91" w:history="1">
        <w:r w:rsidRPr="007D5795">
          <w:rPr>
            <w:rStyle w:val="TextoNormalCaracter"/>
          </w:rPr>
          <w:t>91/2024</w:t>
        </w:r>
      </w:hyperlink>
      <w:r>
        <w:t>, VP II.</w:t>
      </w:r>
    </w:p>
    <w:p w14:paraId="21AC1765" w14:textId="02F4A1EA" w:rsidR="007D5795" w:rsidRDefault="007D5795" w:rsidP="007D5795">
      <w:pPr>
        <w:pStyle w:val="SangriaFrancesaArticulo"/>
      </w:pPr>
      <w:r w:rsidRPr="007D5795">
        <w:rPr>
          <w:rStyle w:val="TextoNormalNegritaCaracter"/>
        </w:rPr>
        <w:t>Artículo 61.</w:t>
      </w:r>
      <w:r w:rsidRPr="007D5795">
        <w:rPr>
          <w:rStyle w:val="TextoNormalCaracter"/>
        </w:rPr>
        <w:t>-</w:t>
      </w:r>
      <w:r>
        <w:t xml:space="preserve"> Sentencia </w:t>
      </w:r>
      <w:hyperlink w:anchor="SENTENCIA_2024_118" w:history="1">
        <w:r w:rsidRPr="007D5795">
          <w:rPr>
            <w:rStyle w:val="TextoNormalCaracter"/>
          </w:rPr>
          <w:t>118/2024</w:t>
        </w:r>
      </w:hyperlink>
      <w:r>
        <w:t>, f. 3, VP II.</w:t>
      </w:r>
    </w:p>
    <w:p w14:paraId="554EC1AD" w14:textId="4FDD37F1" w:rsidR="007D5795" w:rsidRDefault="007D5795" w:rsidP="007D5795">
      <w:pPr>
        <w:pStyle w:val="SangriaFrancesaArticulo"/>
      </w:pPr>
      <w:r w:rsidRPr="007D5795">
        <w:rPr>
          <w:rStyle w:val="TextoNormalNegritaCaracter"/>
        </w:rPr>
        <w:t>Artículo 61 bis.</w:t>
      </w:r>
      <w:r w:rsidRPr="007D5795">
        <w:rPr>
          <w:rStyle w:val="TextoNormalCaracter"/>
        </w:rPr>
        <w:t>-</w:t>
      </w:r>
      <w:r>
        <w:t xml:space="preserve"> Sentencia </w:t>
      </w:r>
      <w:hyperlink w:anchor="SENTENCIA_2024_131" w:history="1">
        <w:r w:rsidRPr="007D5795">
          <w:rPr>
            <w:rStyle w:val="TextoNormalCaracter"/>
          </w:rPr>
          <w:t>131/2024</w:t>
        </w:r>
      </w:hyperlink>
      <w:r>
        <w:t>, f. 3.</w:t>
      </w:r>
    </w:p>
    <w:p w14:paraId="4C5D67FF" w14:textId="73643F4D" w:rsidR="007D5795" w:rsidRDefault="007D5795" w:rsidP="007D5795">
      <w:pPr>
        <w:pStyle w:val="SangriaFrancesaArticulo"/>
      </w:pPr>
      <w:r w:rsidRPr="007D5795">
        <w:rPr>
          <w:rStyle w:val="TextoNormalNegritaCaracter"/>
        </w:rPr>
        <w:t>Artículo 61 bis.1.</w:t>
      </w:r>
      <w:r w:rsidRPr="007D5795">
        <w:rPr>
          <w:rStyle w:val="TextoNormalCaracter"/>
        </w:rPr>
        <w:t>-</w:t>
      </w:r>
      <w:r>
        <w:t xml:space="preserve"> Sentencia </w:t>
      </w:r>
      <w:hyperlink w:anchor="SENTENCIA_2024_131" w:history="1">
        <w:r w:rsidRPr="007D5795">
          <w:rPr>
            <w:rStyle w:val="TextoNormalCaracter"/>
          </w:rPr>
          <w:t>131/2024</w:t>
        </w:r>
      </w:hyperlink>
      <w:r>
        <w:t>, f. 3.</w:t>
      </w:r>
    </w:p>
    <w:p w14:paraId="12016A82" w14:textId="4619B30F" w:rsidR="007D5795" w:rsidRDefault="007D5795" w:rsidP="007D5795">
      <w:pPr>
        <w:pStyle w:val="SangriaFrancesaArticulo"/>
      </w:pPr>
      <w:r w:rsidRPr="007D5795">
        <w:rPr>
          <w:rStyle w:val="TextoNormalNegritaCaracter"/>
        </w:rPr>
        <w:t>Artículo 61 bis.2.</w:t>
      </w:r>
      <w:r w:rsidRPr="007D5795">
        <w:rPr>
          <w:rStyle w:val="TextoNormalCaracter"/>
        </w:rPr>
        <w:t>-</w:t>
      </w:r>
      <w:r>
        <w:t xml:space="preserve"> Sentencia </w:t>
      </w:r>
      <w:hyperlink w:anchor="SENTENCIA_2024_131" w:history="1">
        <w:r w:rsidRPr="007D5795">
          <w:rPr>
            <w:rStyle w:val="TextoNormalCaracter"/>
          </w:rPr>
          <w:t>131/2024</w:t>
        </w:r>
      </w:hyperlink>
      <w:r>
        <w:t>, f. 3.</w:t>
      </w:r>
    </w:p>
    <w:p w14:paraId="76894621" w14:textId="7AF6E5FA" w:rsidR="007D5795" w:rsidRDefault="007D5795" w:rsidP="007D5795">
      <w:pPr>
        <w:pStyle w:val="SangriaFrancesaArticulo"/>
      </w:pPr>
      <w:r w:rsidRPr="007D5795">
        <w:rPr>
          <w:rStyle w:val="TextoNormalNegritaCaracter"/>
        </w:rPr>
        <w:t>Artículo 61 bis.3.</w:t>
      </w:r>
      <w:r w:rsidRPr="007D5795">
        <w:rPr>
          <w:rStyle w:val="TextoNormalCaracter"/>
        </w:rPr>
        <w:t>-</w:t>
      </w:r>
      <w:r>
        <w:t xml:space="preserve"> Sentencia </w:t>
      </w:r>
      <w:hyperlink w:anchor="SENTENCIA_2024_131" w:history="1">
        <w:r w:rsidRPr="007D5795">
          <w:rPr>
            <w:rStyle w:val="TextoNormalCaracter"/>
          </w:rPr>
          <w:t>131/2024</w:t>
        </w:r>
      </w:hyperlink>
      <w:r>
        <w:t>, f. 3.</w:t>
      </w:r>
    </w:p>
    <w:p w14:paraId="51C91F34" w14:textId="6B8BFC18" w:rsidR="007D5795" w:rsidRDefault="007D5795" w:rsidP="007D5795">
      <w:pPr>
        <w:pStyle w:val="SangriaFrancesaArticulo"/>
      </w:pPr>
      <w:r w:rsidRPr="007D5795">
        <w:rPr>
          <w:rStyle w:val="TextoNormalNegritaCaracter"/>
        </w:rPr>
        <w:t>Artículo 61 bis.4.</w:t>
      </w:r>
      <w:r w:rsidRPr="007D5795">
        <w:rPr>
          <w:rStyle w:val="TextoNormalCaracter"/>
        </w:rPr>
        <w:t>-</w:t>
      </w:r>
      <w:r>
        <w:t xml:space="preserve"> Sentencia </w:t>
      </w:r>
      <w:hyperlink w:anchor="SENTENCIA_2024_131" w:history="1">
        <w:r w:rsidRPr="007D5795">
          <w:rPr>
            <w:rStyle w:val="TextoNormalCaracter"/>
          </w:rPr>
          <w:t>131/2024</w:t>
        </w:r>
      </w:hyperlink>
      <w:r>
        <w:t>, ff. 1, 3.</w:t>
      </w:r>
    </w:p>
    <w:p w14:paraId="4F463B22" w14:textId="53C5F146" w:rsidR="007D5795" w:rsidRDefault="007D5795" w:rsidP="007D5795">
      <w:pPr>
        <w:pStyle w:val="SangriaFrancesaArticulo"/>
      </w:pPr>
      <w:r w:rsidRPr="007D5795">
        <w:rPr>
          <w:rStyle w:val="TextoNormalNegritaCaracter"/>
        </w:rPr>
        <w:t>Artículo 61 quater.</w:t>
      </w:r>
      <w:r w:rsidRPr="007D5795">
        <w:rPr>
          <w:rStyle w:val="TextoNormalCaracter"/>
        </w:rPr>
        <w:t>-</w:t>
      </w:r>
      <w:r>
        <w:t xml:space="preserve"> Sentencia </w:t>
      </w:r>
      <w:hyperlink w:anchor="SENTENCIA_2024_131" w:history="1">
        <w:r w:rsidRPr="007D5795">
          <w:rPr>
            <w:rStyle w:val="TextoNormalCaracter"/>
          </w:rPr>
          <w:t>131/2024</w:t>
        </w:r>
      </w:hyperlink>
      <w:r>
        <w:t>, f. 3.</w:t>
      </w:r>
    </w:p>
    <w:p w14:paraId="0E4FF222" w14:textId="2727BBED" w:rsidR="007D5795" w:rsidRDefault="007D5795" w:rsidP="007D5795">
      <w:pPr>
        <w:pStyle w:val="SangriaFrancesaArticulo"/>
      </w:pPr>
      <w:r w:rsidRPr="007D5795">
        <w:rPr>
          <w:rStyle w:val="TextoNormalNegritaCaracter"/>
        </w:rPr>
        <w:t>Artículo 61 quater.2.</w:t>
      </w:r>
      <w:r w:rsidRPr="007D5795">
        <w:rPr>
          <w:rStyle w:val="TextoNormalCaracter"/>
        </w:rPr>
        <w:t>-</w:t>
      </w:r>
      <w:r>
        <w:t xml:space="preserve"> Sentencia </w:t>
      </w:r>
      <w:hyperlink w:anchor="SENTENCIA_2024_131" w:history="1">
        <w:r w:rsidRPr="007D5795">
          <w:rPr>
            <w:rStyle w:val="TextoNormalCaracter"/>
          </w:rPr>
          <w:t>131/2024</w:t>
        </w:r>
      </w:hyperlink>
      <w:r>
        <w:t>, f. 3.</w:t>
      </w:r>
    </w:p>
    <w:p w14:paraId="798912DD" w14:textId="2D8F9350" w:rsidR="007D5795" w:rsidRDefault="007D5795" w:rsidP="007D5795">
      <w:pPr>
        <w:pStyle w:val="SangriaFrancesaArticulo"/>
      </w:pPr>
      <w:r w:rsidRPr="007D5795">
        <w:rPr>
          <w:rStyle w:val="TextoNormalNegritaCaracter"/>
        </w:rPr>
        <w:t>Artículo 61.2.</w:t>
      </w:r>
      <w:r w:rsidRPr="007D5795">
        <w:rPr>
          <w:rStyle w:val="TextoNormalCaracter"/>
        </w:rPr>
        <w:t>-</w:t>
      </w:r>
      <w:r>
        <w:t xml:space="preserve"> Auto </w:t>
      </w:r>
      <w:hyperlink w:anchor="AUTO_2024_91" w:history="1">
        <w:r w:rsidRPr="007D5795">
          <w:rPr>
            <w:rStyle w:val="TextoNormalCaracter"/>
          </w:rPr>
          <w:t>91/2024</w:t>
        </w:r>
      </w:hyperlink>
      <w:r>
        <w:t>, VP II.</w:t>
      </w:r>
    </w:p>
    <w:p w14:paraId="2EFA23EA" w14:textId="4DE8DB94" w:rsidR="007D5795" w:rsidRDefault="007D5795" w:rsidP="007D5795">
      <w:pPr>
        <w:pStyle w:val="SangriaFrancesaArticulo"/>
      </w:pPr>
      <w:r w:rsidRPr="007D5795">
        <w:rPr>
          <w:rStyle w:val="TextoNormalNegritaCaracter"/>
        </w:rPr>
        <w:t>Artículo 68.2.</w:t>
      </w:r>
      <w:r w:rsidRPr="007D5795">
        <w:rPr>
          <w:rStyle w:val="TextoNormalCaracter"/>
        </w:rPr>
        <w:t>-</w:t>
      </w:r>
      <w:r>
        <w:t xml:space="preserve"> Auto </w:t>
      </w:r>
      <w:hyperlink w:anchor="AUTO_2024_91" w:history="1">
        <w:r w:rsidRPr="007D5795">
          <w:rPr>
            <w:rStyle w:val="TextoNormalCaracter"/>
          </w:rPr>
          <w:t>91/2024</w:t>
        </w:r>
      </w:hyperlink>
      <w:r>
        <w:t>, VP II.</w:t>
      </w:r>
    </w:p>
    <w:p w14:paraId="07573509" w14:textId="204E22E8" w:rsidR="007D5795" w:rsidRDefault="007D5795" w:rsidP="007D5795">
      <w:pPr>
        <w:pStyle w:val="SangriaFrancesaArticulo"/>
      </w:pPr>
      <w:r w:rsidRPr="007D5795">
        <w:rPr>
          <w:rStyle w:val="TextoNormalNegritaCaracter"/>
        </w:rPr>
        <w:t>Artículo 69.</w:t>
      </w:r>
      <w:r w:rsidRPr="007D5795">
        <w:rPr>
          <w:rStyle w:val="TextoNormalCaracter"/>
        </w:rPr>
        <w:t>-</w:t>
      </w:r>
      <w:r>
        <w:t xml:space="preserve"> Auto </w:t>
      </w:r>
      <w:hyperlink w:anchor="AUTO_2024_91" w:history="1">
        <w:r w:rsidRPr="007D5795">
          <w:rPr>
            <w:rStyle w:val="TextoNormalCaracter"/>
          </w:rPr>
          <w:t>91/2024</w:t>
        </w:r>
      </w:hyperlink>
      <w:r>
        <w:t>, VP II.</w:t>
      </w:r>
    </w:p>
    <w:p w14:paraId="4697F31A" w14:textId="5CCB9F07" w:rsidR="007D5795" w:rsidRDefault="007D5795" w:rsidP="007D5795">
      <w:pPr>
        <w:pStyle w:val="SangriaFrancesaArticulo"/>
      </w:pPr>
      <w:r w:rsidRPr="007D5795">
        <w:rPr>
          <w:rStyle w:val="TextoNormalNegritaCaracter"/>
        </w:rPr>
        <w:t>Artículo 77.1.</w:t>
      </w:r>
      <w:r w:rsidRPr="007D5795">
        <w:rPr>
          <w:rStyle w:val="TextoNormalCaracter"/>
        </w:rPr>
        <w:t>-</w:t>
      </w:r>
      <w:r>
        <w:t xml:space="preserve"> Auto </w:t>
      </w:r>
      <w:hyperlink w:anchor="AUTO_2024_91" w:history="1">
        <w:r w:rsidRPr="007D5795">
          <w:rPr>
            <w:rStyle w:val="TextoNormalCaracter"/>
          </w:rPr>
          <w:t>91/2024</w:t>
        </w:r>
      </w:hyperlink>
      <w:r>
        <w:t>, VP II.</w:t>
      </w:r>
    </w:p>
    <w:p w14:paraId="265C8099" w14:textId="674733D4" w:rsidR="007D5795" w:rsidRDefault="007D5795" w:rsidP="007D5795">
      <w:pPr>
        <w:pStyle w:val="SangriaFrancesaArticulo"/>
      </w:pPr>
      <w:r w:rsidRPr="007D5795">
        <w:rPr>
          <w:rStyle w:val="TextoNormalNegritaCaracter"/>
        </w:rPr>
        <w:t>Artículo 77.2.</w:t>
      </w:r>
      <w:r w:rsidRPr="007D5795">
        <w:rPr>
          <w:rStyle w:val="TextoNormalCaracter"/>
        </w:rPr>
        <w:t>-</w:t>
      </w:r>
      <w:r>
        <w:t xml:space="preserve"> Auto </w:t>
      </w:r>
      <w:hyperlink w:anchor="AUTO_2024_91" w:history="1">
        <w:r w:rsidRPr="007D5795">
          <w:rPr>
            <w:rStyle w:val="TextoNormalCaracter"/>
          </w:rPr>
          <w:t>91/2024</w:t>
        </w:r>
      </w:hyperlink>
      <w:r>
        <w:t>, VP II.</w:t>
      </w:r>
    </w:p>
    <w:p w14:paraId="1E3B2E14" w14:textId="53E31C48" w:rsidR="007D5795" w:rsidRDefault="007D5795" w:rsidP="007D5795">
      <w:pPr>
        <w:pStyle w:val="SangriaFrancesaArticulo"/>
      </w:pPr>
      <w:r w:rsidRPr="007D5795">
        <w:rPr>
          <w:rStyle w:val="TextoNormalNegritaCaracter"/>
        </w:rPr>
        <w:t>Artículo 154.</w:t>
      </w:r>
      <w:r w:rsidRPr="007D5795">
        <w:rPr>
          <w:rStyle w:val="TextoNormalCaracter"/>
        </w:rPr>
        <w:t>-</w:t>
      </w:r>
      <w:r>
        <w:t xml:space="preserve"> Auto </w:t>
      </w:r>
      <w:hyperlink w:anchor="AUTO_2024_91" w:history="1">
        <w:r w:rsidRPr="007D5795">
          <w:rPr>
            <w:rStyle w:val="TextoNormalCaracter"/>
          </w:rPr>
          <w:t>91/2024</w:t>
        </w:r>
      </w:hyperlink>
      <w:r>
        <w:t>, VP II.</w:t>
      </w:r>
    </w:p>
    <w:p w14:paraId="0CFB273C" w14:textId="431E9B7C" w:rsidR="007D5795" w:rsidRDefault="007D5795" w:rsidP="007D5795">
      <w:pPr>
        <w:pStyle w:val="SangriaFrancesaArticulo"/>
      </w:pPr>
      <w:r w:rsidRPr="007D5795">
        <w:rPr>
          <w:rStyle w:val="TextoNormalNegritaCaracter"/>
        </w:rPr>
        <w:t>Artículos 179 a 184.</w:t>
      </w:r>
      <w:r w:rsidRPr="007D5795">
        <w:rPr>
          <w:rStyle w:val="TextoNormalCaracter"/>
        </w:rPr>
        <w:t>-</w:t>
      </w:r>
      <w:r>
        <w:t xml:space="preserve"> Sentencia </w:t>
      </w:r>
      <w:hyperlink w:anchor="SENTENCIA_2024_107" w:history="1">
        <w:r w:rsidRPr="007D5795">
          <w:rPr>
            <w:rStyle w:val="TextoNormalCaracter"/>
          </w:rPr>
          <w:t>107/2024</w:t>
        </w:r>
      </w:hyperlink>
      <w:r>
        <w:t>, f. 4.</w:t>
      </w:r>
    </w:p>
    <w:p w14:paraId="477335A4" w14:textId="399508DA" w:rsidR="007D5795" w:rsidRDefault="007D5795" w:rsidP="007D5795">
      <w:pPr>
        <w:pStyle w:val="SangriaFrancesaArticulo"/>
      </w:pPr>
      <w:r w:rsidRPr="007D5795">
        <w:rPr>
          <w:rStyle w:val="TextoNormalNegritaCaracter"/>
        </w:rPr>
        <w:t>Artículo 180.</w:t>
      </w:r>
      <w:r w:rsidRPr="007D5795">
        <w:rPr>
          <w:rStyle w:val="TextoNormalCaracter"/>
        </w:rPr>
        <w:t>-</w:t>
      </w:r>
      <w:r>
        <w:t xml:space="preserve"> Sentencia </w:t>
      </w:r>
      <w:hyperlink w:anchor="SENTENCIA_2024_107" w:history="1">
        <w:r w:rsidRPr="007D5795">
          <w:rPr>
            <w:rStyle w:val="TextoNormalCaracter"/>
          </w:rPr>
          <w:t>107/2024</w:t>
        </w:r>
      </w:hyperlink>
      <w:r>
        <w:t>, f. 4.</w:t>
      </w:r>
    </w:p>
    <w:p w14:paraId="62383381" w14:textId="4E71FEB3" w:rsidR="007D5795" w:rsidRDefault="007D5795" w:rsidP="007D5795">
      <w:pPr>
        <w:pStyle w:val="SangriaFrancesaArticulo"/>
      </w:pPr>
      <w:r w:rsidRPr="007D5795">
        <w:rPr>
          <w:rStyle w:val="TextoNormalNegritaCaracter"/>
        </w:rPr>
        <w:t>Artículo 216 bis 1.</w:t>
      </w:r>
      <w:r w:rsidRPr="007D5795">
        <w:rPr>
          <w:rStyle w:val="TextoNormalCaracter"/>
        </w:rPr>
        <w:t>-</w:t>
      </w:r>
      <w:r>
        <w:t xml:space="preserve"> Sentencia </w:t>
      </w:r>
      <w:hyperlink w:anchor="SENTENCIA_2024_102" w:history="1">
        <w:r w:rsidRPr="007D5795">
          <w:rPr>
            <w:rStyle w:val="TextoNormalCaracter"/>
          </w:rPr>
          <w:t>102/2024</w:t>
        </w:r>
      </w:hyperlink>
      <w:r>
        <w:t>, f. 3.</w:t>
      </w:r>
    </w:p>
    <w:p w14:paraId="06B7AC56" w14:textId="00575DFA" w:rsidR="007D5795" w:rsidRDefault="007D5795" w:rsidP="007D5795">
      <w:pPr>
        <w:pStyle w:val="SangriaFrancesaArticulo"/>
      </w:pPr>
      <w:r w:rsidRPr="007D5795">
        <w:rPr>
          <w:rStyle w:val="TextoNormalNegritaCaracter"/>
        </w:rPr>
        <w:t>Artículo 216 bis 2.4.</w:t>
      </w:r>
      <w:r w:rsidRPr="007D5795">
        <w:rPr>
          <w:rStyle w:val="TextoNormalCaracter"/>
        </w:rPr>
        <w:t>-</w:t>
      </w:r>
      <w:r>
        <w:t xml:space="preserve"> Sentencias </w:t>
      </w:r>
      <w:hyperlink w:anchor="SENTENCIA_2024_96" w:history="1">
        <w:r w:rsidRPr="007D5795">
          <w:rPr>
            <w:rStyle w:val="TextoNormalCaracter"/>
          </w:rPr>
          <w:t>96/2024</w:t>
        </w:r>
      </w:hyperlink>
      <w:r>
        <w:t xml:space="preserve">, ff. 1, 3; </w:t>
      </w:r>
      <w:hyperlink w:anchor="SENTENCIA_2024_102" w:history="1">
        <w:r w:rsidRPr="007D5795">
          <w:rPr>
            <w:rStyle w:val="TextoNormalCaracter"/>
          </w:rPr>
          <w:t>102/2024</w:t>
        </w:r>
      </w:hyperlink>
      <w:r>
        <w:t>, ff. 1, 3.</w:t>
      </w:r>
    </w:p>
    <w:p w14:paraId="708F510F" w14:textId="57B2B439" w:rsidR="007D5795" w:rsidRDefault="007D5795" w:rsidP="007D5795">
      <w:pPr>
        <w:pStyle w:val="SangriaFrancesaArticulo"/>
      </w:pPr>
      <w:r w:rsidRPr="007D5795">
        <w:rPr>
          <w:rStyle w:val="TextoNormalNegritaCaracter"/>
        </w:rPr>
        <w:t>Artículo 219.</w:t>
      </w:r>
      <w:r w:rsidRPr="007D5795">
        <w:rPr>
          <w:rStyle w:val="TextoNormalCaracter"/>
        </w:rPr>
        <w:t>-</w:t>
      </w:r>
      <w:r>
        <w:t xml:space="preserve"> Autos </w:t>
      </w:r>
      <w:hyperlink w:anchor="AUTO_2024_68" w:history="1">
        <w:r w:rsidRPr="007D5795">
          <w:rPr>
            <w:rStyle w:val="TextoNormalCaracter"/>
          </w:rPr>
          <w:t>68/2024</w:t>
        </w:r>
      </w:hyperlink>
      <w:r>
        <w:t xml:space="preserve">, f. 2; </w:t>
      </w:r>
      <w:hyperlink w:anchor="AUTO_2024_70" w:history="1">
        <w:r w:rsidRPr="007D5795">
          <w:rPr>
            <w:rStyle w:val="TextoNormalCaracter"/>
          </w:rPr>
          <w:t>70/2024</w:t>
        </w:r>
      </w:hyperlink>
      <w:r>
        <w:t xml:space="preserve">, ff. 1, 2; </w:t>
      </w:r>
      <w:hyperlink w:anchor="AUTO_2024_78" w:history="1">
        <w:r w:rsidRPr="007D5795">
          <w:rPr>
            <w:rStyle w:val="TextoNormalCaracter"/>
          </w:rPr>
          <w:t>78/2024</w:t>
        </w:r>
      </w:hyperlink>
      <w:r>
        <w:t xml:space="preserve">, ff. 1 a 3; </w:t>
      </w:r>
      <w:hyperlink w:anchor="AUTO_2024_105" w:history="1">
        <w:r w:rsidRPr="007D5795">
          <w:rPr>
            <w:rStyle w:val="TextoNormalCaracter"/>
          </w:rPr>
          <w:t>105/2024</w:t>
        </w:r>
      </w:hyperlink>
      <w:r>
        <w:t>, f. 1.</w:t>
      </w:r>
    </w:p>
    <w:p w14:paraId="0ECB5755" w14:textId="4D9DA117" w:rsidR="007D5795" w:rsidRDefault="007D5795" w:rsidP="007D5795">
      <w:pPr>
        <w:pStyle w:val="SangriaFrancesaArticulo"/>
      </w:pPr>
      <w:r w:rsidRPr="007D5795">
        <w:rPr>
          <w:rStyle w:val="TextoNormalNegritaCaracter"/>
        </w:rPr>
        <w:t>Artículo 219.1.</w:t>
      </w:r>
      <w:r w:rsidRPr="007D5795">
        <w:rPr>
          <w:rStyle w:val="TextoNormalCaracter"/>
        </w:rPr>
        <w:t>-</w:t>
      </w:r>
      <w:r>
        <w:t xml:space="preserve"> Autos </w:t>
      </w:r>
      <w:hyperlink w:anchor="AUTO_2024_95" w:history="1">
        <w:r w:rsidRPr="007D5795">
          <w:rPr>
            <w:rStyle w:val="TextoNormalCaracter"/>
          </w:rPr>
          <w:t>95/2024</w:t>
        </w:r>
      </w:hyperlink>
      <w:r>
        <w:t xml:space="preserve">, f. único; </w:t>
      </w:r>
      <w:hyperlink w:anchor="AUTO_2024_114" w:history="1">
        <w:r w:rsidRPr="007D5795">
          <w:rPr>
            <w:rStyle w:val="TextoNormalCaracter"/>
          </w:rPr>
          <w:t>114/2024</w:t>
        </w:r>
      </w:hyperlink>
      <w:r>
        <w:t>, f. único.</w:t>
      </w:r>
    </w:p>
    <w:p w14:paraId="113D4012" w14:textId="4B81EF2C" w:rsidR="007D5795" w:rsidRDefault="007D5795" w:rsidP="007D5795">
      <w:pPr>
        <w:pStyle w:val="SangriaFrancesaArticulo"/>
      </w:pPr>
      <w:r w:rsidRPr="007D5795">
        <w:rPr>
          <w:rStyle w:val="TextoNormalNegritaCaracter"/>
        </w:rPr>
        <w:t>Artículo 219.1 a 9.</w:t>
      </w:r>
      <w:r w:rsidRPr="007D5795">
        <w:rPr>
          <w:rStyle w:val="TextoNormalCaracter"/>
        </w:rPr>
        <w:t>-</w:t>
      </w:r>
      <w:r>
        <w:t xml:space="preserve"> Autos </w:t>
      </w:r>
      <w:hyperlink w:anchor="AUTO_2024_95" w:history="1">
        <w:r w:rsidRPr="007D5795">
          <w:rPr>
            <w:rStyle w:val="TextoNormalCaracter"/>
          </w:rPr>
          <w:t>95/2024</w:t>
        </w:r>
      </w:hyperlink>
      <w:r>
        <w:t xml:space="preserve">, f. único; </w:t>
      </w:r>
      <w:hyperlink w:anchor="AUTO_2024_114" w:history="1">
        <w:r w:rsidRPr="007D5795">
          <w:rPr>
            <w:rStyle w:val="TextoNormalCaracter"/>
          </w:rPr>
          <w:t>114/2024</w:t>
        </w:r>
      </w:hyperlink>
      <w:r>
        <w:t>, f. único.</w:t>
      </w:r>
    </w:p>
    <w:p w14:paraId="499366E4" w14:textId="540832CC" w:rsidR="007D5795" w:rsidRDefault="007D5795" w:rsidP="007D5795">
      <w:pPr>
        <w:pStyle w:val="SangriaFrancesaArticulo"/>
      </w:pPr>
      <w:r w:rsidRPr="007D5795">
        <w:rPr>
          <w:rStyle w:val="TextoNormalNegritaCaracter"/>
        </w:rPr>
        <w:t>Artículo 219.8.</w:t>
      </w:r>
      <w:r w:rsidRPr="007D5795">
        <w:rPr>
          <w:rStyle w:val="TextoNormalCaracter"/>
        </w:rPr>
        <w:t>-</w:t>
      </w:r>
      <w:r>
        <w:t xml:space="preserve"> Auto </w:t>
      </w:r>
      <w:hyperlink w:anchor="AUTO_2024_71" w:history="1">
        <w:r w:rsidRPr="007D5795">
          <w:rPr>
            <w:rStyle w:val="TextoNormalCaracter"/>
          </w:rPr>
          <w:t>71/2024</w:t>
        </w:r>
      </w:hyperlink>
      <w:r>
        <w:t>, f. 2.</w:t>
      </w:r>
    </w:p>
    <w:p w14:paraId="5BC8840F" w14:textId="1662B1BE" w:rsidR="007D5795" w:rsidRDefault="007D5795" w:rsidP="007D5795">
      <w:pPr>
        <w:pStyle w:val="SangriaFrancesaArticulo"/>
      </w:pPr>
      <w:r w:rsidRPr="007D5795">
        <w:rPr>
          <w:rStyle w:val="TextoNormalNegritaCaracter"/>
        </w:rPr>
        <w:t>Artículo 219.10.</w:t>
      </w:r>
      <w:r w:rsidRPr="007D5795">
        <w:rPr>
          <w:rStyle w:val="TextoNormalCaracter"/>
        </w:rPr>
        <w:t>-</w:t>
      </w:r>
      <w:r>
        <w:t xml:space="preserve"> Autos </w:t>
      </w:r>
      <w:hyperlink w:anchor="AUTO_2024_70" w:history="1">
        <w:r w:rsidRPr="007D5795">
          <w:rPr>
            <w:rStyle w:val="TextoNormalCaracter"/>
          </w:rPr>
          <w:t>70/2024</w:t>
        </w:r>
      </w:hyperlink>
      <w:r>
        <w:t xml:space="preserve">, f. 1; </w:t>
      </w:r>
      <w:hyperlink w:anchor="AUTO_2024_82" w:history="1">
        <w:r w:rsidRPr="007D5795">
          <w:rPr>
            <w:rStyle w:val="TextoNormalCaracter"/>
          </w:rPr>
          <w:t>82/2024</w:t>
        </w:r>
      </w:hyperlink>
      <w:r>
        <w:t xml:space="preserve">, f. único; </w:t>
      </w:r>
      <w:hyperlink w:anchor="AUTO_2024_91" w:history="1">
        <w:r w:rsidRPr="007D5795">
          <w:rPr>
            <w:rStyle w:val="TextoNormalCaracter"/>
          </w:rPr>
          <w:t>91/2024</w:t>
        </w:r>
      </w:hyperlink>
      <w:r>
        <w:t xml:space="preserve">, f. 1, VP II; </w:t>
      </w:r>
      <w:hyperlink w:anchor="AUTO_2024_100" w:history="1">
        <w:r w:rsidRPr="007D5795">
          <w:rPr>
            <w:rStyle w:val="TextoNormalCaracter"/>
          </w:rPr>
          <w:t>100/2024</w:t>
        </w:r>
      </w:hyperlink>
      <w:r>
        <w:t xml:space="preserve">, f. 1; </w:t>
      </w:r>
      <w:hyperlink w:anchor="AUTO_2024_105" w:history="1">
        <w:r w:rsidRPr="007D5795">
          <w:rPr>
            <w:rStyle w:val="TextoNormalCaracter"/>
          </w:rPr>
          <w:t>105/2024</w:t>
        </w:r>
      </w:hyperlink>
      <w:r>
        <w:t xml:space="preserve">, f. 1; </w:t>
      </w:r>
      <w:hyperlink w:anchor="AUTO_2024_106" w:history="1">
        <w:r w:rsidRPr="007D5795">
          <w:rPr>
            <w:rStyle w:val="TextoNormalCaracter"/>
          </w:rPr>
          <w:t>106/2024</w:t>
        </w:r>
      </w:hyperlink>
      <w:r>
        <w:t xml:space="preserve">, f. 1; </w:t>
      </w:r>
      <w:hyperlink w:anchor="AUTO_2024_107" w:history="1">
        <w:r w:rsidRPr="007D5795">
          <w:rPr>
            <w:rStyle w:val="TextoNormalCaracter"/>
          </w:rPr>
          <w:t>107/2024</w:t>
        </w:r>
      </w:hyperlink>
      <w:r>
        <w:t xml:space="preserve">, f. 1; </w:t>
      </w:r>
      <w:hyperlink w:anchor="AUTO_2024_108" w:history="1">
        <w:r w:rsidRPr="007D5795">
          <w:rPr>
            <w:rStyle w:val="TextoNormalCaracter"/>
          </w:rPr>
          <w:t>108/2024</w:t>
        </w:r>
      </w:hyperlink>
      <w:r>
        <w:t xml:space="preserve">, f. 1; </w:t>
      </w:r>
      <w:hyperlink w:anchor="AUTO_2024_109" w:history="1">
        <w:r w:rsidRPr="007D5795">
          <w:rPr>
            <w:rStyle w:val="TextoNormalCaracter"/>
          </w:rPr>
          <w:t>109/2024</w:t>
        </w:r>
      </w:hyperlink>
      <w:r>
        <w:t xml:space="preserve">, f. 1; </w:t>
      </w:r>
      <w:hyperlink w:anchor="AUTO_2024_110" w:history="1">
        <w:r w:rsidRPr="007D5795">
          <w:rPr>
            <w:rStyle w:val="TextoNormalCaracter"/>
          </w:rPr>
          <w:t>110/2024</w:t>
        </w:r>
      </w:hyperlink>
      <w:r>
        <w:t xml:space="preserve">, f. 1; </w:t>
      </w:r>
      <w:hyperlink w:anchor="AUTO_2024_111" w:history="1">
        <w:r w:rsidRPr="007D5795">
          <w:rPr>
            <w:rStyle w:val="TextoNormalCaracter"/>
          </w:rPr>
          <w:t>111/2024</w:t>
        </w:r>
      </w:hyperlink>
      <w:r>
        <w:t xml:space="preserve">, f. 1; </w:t>
      </w:r>
      <w:hyperlink w:anchor="AUTO_2024_113" w:history="1">
        <w:r w:rsidRPr="007D5795">
          <w:rPr>
            <w:rStyle w:val="TextoNormalCaracter"/>
          </w:rPr>
          <w:t>113/2024</w:t>
        </w:r>
      </w:hyperlink>
      <w:r>
        <w:t xml:space="preserve">, f. único; </w:t>
      </w:r>
      <w:hyperlink w:anchor="AUTO_2024_123" w:history="1">
        <w:r w:rsidRPr="007D5795">
          <w:rPr>
            <w:rStyle w:val="TextoNormalCaracter"/>
          </w:rPr>
          <w:t>123/2024</w:t>
        </w:r>
      </w:hyperlink>
      <w:r>
        <w:t xml:space="preserve">, f. 1; </w:t>
      </w:r>
      <w:hyperlink w:anchor="AUTO_2024_147" w:history="1">
        <w:r w:rsidRPr="007D5795">
          <w:rPr>
            <w:rStyle w:val="TextoNormalCaracter"/>
          </w:rPr>
          <w:t>147/2024</w:t>
        </w:r>
      </w:hyperlink>
      <w:r>
        <w:t xml:space="preserve">, f. único, VP; </w:t>
      </w:r>
      <w:hyperlink w:anchor="AUTO_2024_154" w:history="1">
        <w:r w:rsidRPr="007D5795">
          <w:rPr>
            <w:rStyle w:val="TextoNormalCaracter"/>
          </w:rPr>
          <w:t>154/2024</w:t>
        </w:r>
      </w:hyperlink>
      <w:r>
        <w:t>, f. único, VP.</w:t>
      </w:r>
    </w:p>
    <w:p w14:paraId="7CBD7512" w14:textId="401DC08E" w:rsidR="007D5795" w:rsidRDefault="007D5795" w:rsidP="007D5795">
      <w:pPr>
        <w:pStyle w:val="SangriaFrancesaArticulo"/>
      </w:pPr>
      <w:r w:rsidRPr="007D5795">
        <w:rPr>
          <w:rStyle w:val="TextoNormalNegritaCaracter"/>
        </w:rPr>
        <w:t>Artículo 219.10 y 13.</w:t>
      </w:r>
      <w:r w:rsidRPr="007D5795">
        <w:rPr>
          <w:rStyle w:val="TextoNormalCaracter"/>
        </w:rPr>
        <w:t>-</w:t>
      </w:r>
      <w:r>
        <w:t xml:space="preserve"> Auto </w:t>
      </w:r>
      <w:hyperlink w:anchor="AUTO_2024_124" w:history="1">
        <w:r w:rsidRPr="007D5795">
          <w:rPr>
            <w:rStyle w:val="TextoNormalCaracter"/>
          </w:rPr>
          <w:t>124/2024</w:t>
        </w:r>
      </w:hyperlink>
      <w:r>
        <w:t>, f. 1.</w:t>
      </w:r>
    </w:p>
    <w:p w14:paraId="2F56F4E8" w14:textId="4B78A7DA" w:rsidR="007D5795" w:rsidRDefault="007D5795" w:rsidP="007D5795">
      <w:pPr>
        <w:pStyle w:val="SangriaFrancesaArticulo"/>
      </w:pPr>
      <w:r w:rsidRPr="007D5795">
        <w:rPr>
          <w:rStyle w:val="TextoNormalNegritaCaracter"/>
        </w:rPr>
        <w:t>Artículo 219.10, 12, 13, 14 y 16.</w:t>
      </w:r>
      <w:r w:rsidRPr="007D5795">
        <w:rPr>
          <w:rStyle w:val="TextoNormalCaracter"/>
        </w:rPr>
        <w:t>-</w:t>
      </w:r>
      <w:r>
        <w:t xml:space="preserve"> Autos </w:t>
      </w:r>
      <w:hyperlink w:anchor="AUTO_2024_118" w:history="1">
        <w:r w:rsidRPr="007D5795">
          <w:rPr>
            <w:rStyle w:val="TextoNormalCaracter"/>
          </w:rPr>
          <w:t>118/2024</w:t>
        </w:r>
      </w:hyperlink>
      <w:r>
        <w:t xml:space="preserve">, f. 1; </w:t>
      </w:r>
      <w:hyperlink w:anchor="AUTO_2024_120" w:history="1">
        <w:r w:rsidRPr="007D5795">
          <w:rPr>
            <w:rStyle w:val="TextoNormalCaracter"/>
          </w:rPr>
          <w:t>120/2024</w:t>
        </w:r>
      </w:hyperlink>
      <w:r>
        <w:t>, f. 1.</w:t>
      </w:r>
    </w:p>
    <w:p w14:paraId="0A8D9C00" w14:textId="719B734E" w:rsidR="007D5795" w:rsidRDefault="007D5795" w:rsidP="007D5795">
      <w:pPr>
        <w:pStyle w:val="SangriaFrancesaArticulo"/>
      </w:pPr>
      <w:r w:rsidRPr="007D5795">
        <w:rPr>
          <w:rStyle w:val="TextoNormalNegritaCaracter"/>
        </w:rPr>
        <w:t>Artículo 219.10, 13, 14 y 16.</w:t>
      </w:r>
      <w:r w:rsidRPr="007D5795">
        <w:rPr>
          <w:rStyle w:val="TextoNormalCaracter"/>
        </w:rPr>
        <w:t>-</w:t>
      </w:r>
      <w:r>
        <w:t xml:space="preserve"> Auto </w:t>
      </w:r>
      <w:hyperlink w:anchor="AUTO_2024_117" w:history="1">
        <w:r w:rsidRPr="007D5795">
          <w:rPr>
            <w:rStyle w:val="TextoNormalCaracter"/>
          </w:rPr>
          <w:t>117/2024</w:t>
        </w:r>
      </w:hyperlink>
      <w:r>
        <w:t>, f. 1.</w:t>
      </w:r>
    </w:p>
    <w:p w14:paraId="5B6684DA" w14:textId="2E47C473" w:rsidR="007D5795" w:rsidRDefault="007D5795" w:rsidP="007D5795">
      <w:pPr>
        <w:pStyle w:val="SangriaFrancesaArticulo"/>
      </w:pPr>
      <w:r w:rsidRPr="007D5795">
        <w:rPr>
          <w:rStyle w:val="TextoNormalNegritaCaracter"/>
        </w:rPr>
        <w:t>Artículo 219.11.</w:t>
      </w:r>
      <w:r w:rsidRPr="007D5795">
        <w:rPr>
          <w:rStyle w:val="TextoNormalCaracter"/>
        </w:rPr>
        <w:t>-</w:t>
      </w:r>
      <w:r>
        <w:t xml:space="preserve"> Autos </w:t>
      </w:r>
      <w:hyperlink w:anchor="AUTO_2024_71" w:history="1">
        <w:r w:rsidRPr="007D5795">
          <w:rPr>
            <w:rStyle w:val="TextoNormalCaracter"/>
          </w:rPr>
          <w:t>71/2024</w:t>
        </w:r>
      </w:hyperlink>
      <w:r>
        <w:t xml:space="preserve">, f. 2; </w:t>
      </w:r>
      <w:hyperlink w:anchor="AUTO_2024_79" w:history="1">
        <w:r w:rsidRPr="007D5795">
          <w:rPr>
            <w:rStyle w:val="TextoNormalCaracter"/>
          </w:rPr>
          <w:t>79/2024</w:t>
        </w:r>
      </w:hyperlink>
      <w:r>
        <w:t xml:space="preserve">, f. única; </w:t>
      </w:r>
      <w:hyperlink w:anchor="AUTO_2024_83" w:history="1">
        <w:r w:rsidRPr="007D5795">
          <w:rPr>
            <w:rStyle w:val="TextoNormalCaracter"/>
          </w:rPr>
          <w:t>83/2024</w:t>
        </w:r>
      </w:hyperlink>
      <w:r>
        <w:t xml:space="preserve">, f. único; </w:t>
      </w:r>
      <w:hyperlink w:anchor="AUTO_2024_87" w:history="1">
        <w:r w:rsidRPr="007D5795">
          <w:rPr>
            <w:rStyle w:val="TextoNormalCaracter"/>
          </w:rPr>
          <w:t>87/2024</w:t>
        </w:r>
      </w:hyperlink>
      <w:r>
        <w:t xml:space="preserve">, f. único; </w:t>
      </w:r>
      <w:hyperlink w:anchor="AUTO_2024_88" w:history="1">
        <w:r w:rsidRPr="007D5795">
          <w:rPr>
            <w:rStyle w:val="TextoNormalCaracter"/>
          </w:rPr>
          <w:t>88/2024</w:t>
        </w:r>
      </w:hyperlink>
      <w:r>
        <w:t xml:space="preserve">, f. único; </w:t>
      </w:r>
      <w:hyperlink w:anchor="AUTO_2024_100" w:history="1">
        <w:r w:rsidRPr="007D5795">
          <w:rPr>
            <w:rStyle w:val="TextoNormalCaracter"/>
          </w:rPr>
          <w:t>100/2024</w:t>
        </w:r>
      </w:hyperlink>
      <w:r>
        <w:t>, f. 1.</w:t>
      </w:r>
    </w:p>
    <w:p w14:paraId="4300340E" w14:textId="4900DA92" w:rsidR="007D5795" w:rsidRDefault="007D5795" w:rsidP="007D5795">
      <w:pPr>
        <w:pStyle w:val="SangriaFrancesaArticulo"/>
      </w:pPr>
      <w:r w:rsidRPr="007D5795">
        <w:rPr>
          <w:rStyle w:val="TextoNormalNegritaCaracter"/>
        </w:rPr>
        <w:t>Artículo 219.12.</w:t>
      </w:r>
      <w:r w:rsidRPr="007D5795">
        <w:rPr>
          <w:rStyle w:val="TextoNormalCaracter"/>
        </w:rPr>
        <w:t>-</w:t>
      </w:r>
      <w:r>
        <w:t xml:space="preserve"> Autos </w:t>
      </w:r>
      <w:hyperlink w:anchor="AUTO_2024_95" w:history="1">
        <w:r w:rsidRPr="007D5795">
          <w:rPr>
            <w:rStyle w:val="TextoNormalCaracter"/>
          </w:rPr>
          <w:t>95/2024</w:t>
        </w:r>
      </w:hyperlink>
      <w:r>
        <w:t xml:space="preserve">, f. único; </w:t>
      </w:r>
      <w:hyperlink w:anchor="AUTO_2024_105" w:history="1">
        <w:r w:rsidRPr="007D5795">
          <w:rPr>
            <w:rStyle w:val="TextoNormalCaracter"/>
          </w:rPr>
          <w:t>105/2024</w:t>
        </w:r>
      </w:hyperlink>
      <w:r>
        <w:t xml:space="preserve">, ff. 1, 3, VP I; </w:t>
      </w:r>
      <w:hyperlink w:anchor="AUTO_2024_118" w:history="1">
        <w:r w:rsidRPr="007D5795">
          <w:rPr>
            <w:rStyle w:val="TextoNormalCaracter"/>
          </w:rPr>
          <w:t>118/2024</w:t>
        </w:r>
      </w:hyperlink>
      <w:r>
        <w:t xml:space="preserve">, f. 3; </w:t>
      </w:r>
      <w:hyperlink w:anchor="AUTO_2024_120" w:history="1">
        <w:r w:rsidRPr="007D5795">
          <w:rPr>
            <w:rStyle w:val="TextoNormalCaracter"/>
          </w:rPr>
          <w:t>120/2024</w:t>
        </w:r>
      </w:hyperlink>
      <w:r>
        <w:t xml:space="preserve">, f. 4; </w:t>
      </w:r>
      <w:hyperlink w:anchor="AUTO_2024_122" w:history="1">
        <w:r w:rsidRPr="007D5795">
          <w:rPr>
            <w:rStyle w:val="TextoNormalCaracter"/>
          </w:rPr>
          <w:t>122/2024</w:t>
        </w:r>
      </w:hyperlink>
      <w:r>
        <w:t xml:space="preserve">, f. 3; </w:t>
      </w:r>
      <w:hyperlink w:anchor="AUTO_2024_123" w:history="1">
        <w:r w:rsidRPr="007D5795">
          <w:rPr>
            <w:rStyle w:val="TextoNormalCaracter"/>
          </w:rPr>
          <w:t>123/2024</w:t>
        </w:r>
      </w:hyperlink>
      <w:r>
        <w:t>, f. 4.</w:t>
      </w:r>
    </w:p>
    <w:p w14:paraId="179E7850" w14:textId="336675C6" w:rsidR="007D5795" w:rsidRDefault="007D5795" w:rsidP="007D5795">
      <w:pPr>
        <w:pStyle w:val="SangriaFrancesaArticulo"/>
      </w:pPr>
      <w:r w:rsidRPr="007D5795">
        <w:rPr>
          <w:rStyle w:val="TextoNormalNegritaCaracter"/>
        </w:rPr>
        <w:t>Artículo 219.13.</w:t>
      </w:r>
      <w:r w:rsidRPr="007D5795">
        <w:rPr>
          <w:rStyle w:val="TextoNormalCaracter"/>
        </w:rPr>
        <w:t>-</w:t>
      </w:r>
      <w:r>
        <w:t xml:space="preserve"> Autos </w:t>
      </w:r>
      <w:hyperlink w:anchor="AUTO_2024_67" w:history="1">
        <w:r w:rsidRPr="007D5795">
          <w:rPr>
            <w:rStyle w:val="TextoNormalCaracter"/>
          </w:rPr>
          <w:t>67/2024</w:t>
        </w:r>
      </w:hyperlink>
      <w:r>
        <w:t xml:space="preserve">, f. único; </w:t>
      </w:r>
      <w:hyperlink w:anchor="AUTO_2024_68" w:history="1">
        <w:r w:rsidRPr="007D5795">
          <w:rPr>
            <w:rStyle w:val="TextoNormalCaracter"/>
          </w:rPr>
          <w:t>68/2024</w:t>
        </w:r>
      </w:hyperlink>
      <w:r>
        <w:t xml:space="preserve">, f. 1; </w:t>
      </w:r>
      <w:hyperlink w:anchor="AUTO_2024_70" w:history="1">
        <w:r w:rsidRPr="007D5795">
          <w:rPr>
            <w:rStyle w:val="TextoNormalCaracter"/>
          </w:rPr>
          <w:t>70/2024</w:t>
        </w:r>
      </w:hyperlink>
      <w:r>
        <w:t xml:space="preserve">, f. 1; </w:t>
      </w:r>
      <w:hyperlink w:anchor="AUTO_2024_76" w:history="1">
        <w:r w:rsidRPr="007D5795">
          <w:rPr>
            <w:rStyle w:val="TextoNormalCaracter"/>
          </w:rPr>
          <w:t>76/2024</w:t>
        </w:r>
      </w:hyperlink>
      <w:r>
        <w:t xml:space="preserve">, f. único; </w:t>
      </w:r>
      <w:hyperlink w:anchor="AUTO_2024_95" w:history="1">
        <w:r w:rsidRPr="007D5795">
          <w:rPr>
            <w:rStyle w:val="TextoNormalCaracter"/>
          </w:rPr>
          <w:t>95/2024</w:t>
        </w:r>
      </w:hyperlink>
      <w:r>
        <w:t xml:space="preserve">, f. único; </w:t>
      </w:r>
      <w:hyperlink w:anchor="AUTO_2024_105" w:history="1">
        <w:r w:rsidRPr="007D5795">
          <w:rPr>
            <w:rStyle w:val="TextoNormalCaracter"/>
          </w:rPr>
          <w:t>105/2024</w:t>
        </w:r>
      </w:hyperlink>
      <w:r>
        <w:t xml:space="preserve">, f. 1; </w:t>
      </w:r>
      <w:hyperlink w:anchor="AUTO_2024_119" w:history="1">
        <w:r w:rsidRPr="007D5795">
          <w:rPr>
            <w:rStyle w:val="TextoNormalCaracter"/>
          </w:rPr>
          <w:t>119/2024</w:t>
        </w:r>
      </w:hyperlink>
      <w:r>
        <w:t xml:space="preserve">, f. 1; </w:t>
      </w:r>
      <w:hyperlink w:anchor="AUTO_2024_122" w:history="1">
        <w:r w:rsidRPr="007D5795">
          <w:rPr>
            <w:rStyle w:val="TextoNormalCaracter"/>
          </w:rPr>
          <w:t>122/2024</w:t>
        </w:r>
      </w:hyperlink>
      <w:r>
        <w:t xml:space="preserve">, f. 1; </w:t>
      </w:r>
      <w:hyperlink w:anchor="AUTO_2024_149" w:history="1">
        <w:r w:rsidRPr="007D5795">
          <w:rPr>
            <w:rStyle w:val="TextoNormalCaracter"/>
          </w:rPr>
          <w:t>149/2024</w:t>
        </w:r>
      </w:hyperlink>
      <w:r>
        <w:t xml:space="preserve">, f. único; </w:t>
      </w:r>
      <w:hyperlink w:anchor="AUTO_2024_155" w:history="1">
        <w:r w:rsidRPr="007D5795">
          <w:rPr>
            <w:rStyle w:val="TextoNormalCaracter"/>
          </w:rPr>
          <w:t>155/2024</w:t>
        </w:r>
      </w:hyperlink>
      <w:r>
        <w:t>, f. único.</w:t>
      </w:r>
    </w:p>
    <w:p w14:paraId="50CAED56" w14:textId="51F77C14" w:rsidR="007D5795" w:rsidRDefault="007D5795" w:rsidP="007D5795">
      <w:pPr>
        <w:pStyle w:val="SangriaFrancesaArticulo"/>
      </w:pPr>
      <w:r w:rsidRPr="007D5795">
        <w:rPr>
          <w:rStyle w:val="TextoNormalNegritaCaracter"/>
        </w:rPr>
        <w:t>Artículo 219.13 y 16.</w:t>
      </w:r>
      <w:r w:rsidRPr="007D5795">
        <w:rPr>
          <w:rStyle w:val="TextoNormalCaracter"/>
        </w:rPr>
        <w:t>-</w:t>
      </w:r>
      <w:r>
        <w:t xml:space="preserve"> Auto </w:t>
      </w:r>
      <w:hyperlink w:anchor="AUTO_2024_121" w:history="1">
        <w:r w:rsidRPr="007D5795">
          <w:rPr>
            <w:rStyle w:val="TextoNormalCaracter"/>
          </w:rPr>
          <w:t>121/2024</w:t>
        </w:r>
      </w:hyperlink>
      <w:r>
        <w:t>, ff. 1, 2.</w:t>
      </w:r>
    </w:p>
    <w:p w14:paraId="5D407C18" w14:textId="54DF1F17" w:rsidR="007D5795" w:rsidRDefault="007D5795" w:rsidP="007D5795">
      <w:pPr>
        <w:pStyle w:val="SangriaFrancesaArticulo"/>
      </w:pPr>
      <w:r w:rsidRPr="007D5795">
        <w:rPr>
          <w:rStyle w:val="TextoNormalNegritaCaracter"/>
        </w:rPr>
        <w:t>Artículo 219.14.</w:t>
      </w:r>
      <w:r w:rsidRPr="007D5795">
        <w:rPr>
          <w:rStyle w:val="TextoNormalCaracter"/>
        </w:rPr>
        <w:t>-</w:t>
      </w:r>
      <w:r>
        <w:t xml:space="preserve"> Autos </w:t>
      </w:r>
      <w:hyperlink w:anchor="AUTO_2024_95" w:history="1">
        <w:r w:rsidRPr="007D5795">
          <w:rPr>
            <w:rStyle w:val="TextoNormalCaracter"/>
          </w:rPr>
          <w:t>95/2024</w:t>
        </w:r>
      </w:hyperlink>
      <w:r>
        <w:t xml:space="preserve">, f. único; </w:t>
      </w:r>
      <w:hyperlink w:anchor="AUTO_2024_100" w:history="1">
        <w:r w:rsidRPr="007D5795">
          <w:rPr>
            <w:rStyle w:val="TextoNormalCaracter"/>
          </w:rPr>
          <w:t>100/2024</w:t>
        </w:r>
      </w:hyperlink>
      <w:r>
        <w:t xml:space="preserve">, f. 1; </w:t>
      </w:r>
      <w:hyperlink w:anchor="AUTO_2024_105" w:history="1">
        <w:r w:rsidRPr="007D5795">
          <w:rPr>
            <w:rStyle w:val="TextoNormalCaracter"/>
          </w:rPr>
          <w:t>105/2024</w:t>
        </w:r>
      </w:hyperlink>
      <w:r>
        <w:t xml:space="preserve">, ff. 1, 3; </w:t>
      </w:r>
      <w:hyperlink w:anchor="AUTO_2024_114" w:history="1">
        <w:r w:rsidRPr="007D5795">
          <w:rPr>
            <w:rStyle w:val="TextoNormalCaracter"/>
          </w:rPr>
          <w:t>114/2024</w:t>
        </w:r>
      </w:hyperlink>
      <w:r>
        <w:t>, f. único.</w:t>
      </w:r>
    </w:p>
    <w:p w14:paraId="344A7F52" w14:textId="6CA04F55" w:rsidR="007D5795" w:rsidRDefault="007D5795" w:rsidP="007D5795">
      <w:pPr>
        <w:pStyle w:val="SangriaFrancesaArticulo"/>
      </w:pPr>
      <w:r w:rsidRPr="007D5795">
        <w:rPr>
          <w:rStyle w:val="TextoNormalNegritaCaracter"/>
        </w:rPr>
        <w:t>Artículo 219.15.</w:t>
      </w:r>
      <w:r w:rsidRPr="007D5795">
        <w:rPr>
          <w:rStyle w:val="TextoNormalCaracter"/>
        </w:rPr>
        <w:t>-</w:t>
      </w:r>
      <w:r>
        <w:t xml:space="preserve"> Autos </w:t>
      </w:r>
      <w:hyperlink w:anchor="AUTO_2024_95" w:history="1">
        <w:r w:rsidRPr="007D5795">
          <w:rPr>
            <w:rStyle w:val="TextoNormalCaracter"/>
          </w:rPr>
          <w:t>95/2024</w:t>
        </w:r>
      </w:hyperlink>
      <w:r>
        <w:t xml:space="preserve">, f. único; </w:t>
      </w:r>
      <w:hyperlink w:anchor="AUTO_2024_150" w:history="1">
        <w:r w:rsidRPr="007D5795">
          <w:rPr>
            <w:rStyle w:val="TextoNormalCaracter"/>
          </w:rPr>
          <w:t>150/2024</w:t>
        </w:r>
      </w:hyperlink>
      <w:r>
        <w:t>, f. único.</w:t>
      </w:r>
    </w:p>
    <w:p w14:paraId="56960EE5" w14:textId="3E2B20A8" w:rsidR="007D5795" w:rsidRDefault="007D5795" w:rsidP="007D5795">
      <w:pPr>
        <w:pStyle w:val="SangriaFrancesaArticulo"/>
      </w:pPr>
      <w:r w:rsidRPr="007D5795">
        <w:rPr>
          <w:rStyle w:val="TextoNormalNegritaCaracter"/>
        </w:rPr>
        <w:t>Artículo 219.16.</w:t>
      </w:r>
      <w:r w:rsidRPr="007D5795">
        <w:rPr>
          <w:rStyle w:val="TextoNormalCaracter"/>
        </w:rPr>
        <w:t>-</w:t>
      </w:r>
      <w:r>
        <w:t xml:space="preserve"> Autos </w:t>
      </w:r>
      <w:hyperlink w:anchor="AUTO_2024_68" w:history="1">
        <w:r w:rsidRPr="007D5795">
          <w:rPr>
            <w:rStyle w:val="TextoNormalCaracter"/>
          </w:rPr>
          <w:t>68/2024</w:t>
        </w:r>
      </w:hyperlink>
      <w:r>
        <w:t xml:space="preserve">, f. 1; </w:t>
      </w:r>
      <w:hyperlink w:anchor="AUTO_2024_82" w:history="1">
        <w:r w:rsidRPr="007D5795">
          <w:rPr>
            <w:rStyle w:val="TextoNormalCaracter"/>
          </w:rPr>
          <w:t>82/2024</w:t>
        </w:r>
      </w:hyperlink>
      <w:r>
        <w:t xml:space="preserve">, f. único; </w:t>
      </w:r>
      <w:hyperlink w:anchor="AUTO_2024_105" w:history="1">
        <w:r w:rsidRPr="007D5795">
          <w:rPr>
            <w:rStyle w:val="TextoNormalCaracter"/>
          </w:rPr>
          <w:t>105/2024</w:t>
        </w:r>
      </w:hyperlink>
      <w:r>
        <w:t xml:space="preserve">, ff. 1, 3; </w:t>
      </w:r>
      <w:hyperlink w:anchor="AUTO_2024_147" w:history="1">
        <w:r w:rsidRPr="007D5795">
          <w:rPr>
            <w:rStyle w:val="TextoNormalCaracter"/>
          </w:rPr>
          <w:t>147/2024</w:t>
        </w:r>
      </w:hyperlink>
      <w:r>
        <w:t>, f. único.</w:t>
      </w:r>
    </w:p>
    <w:p w14:paraId="486A6682" w14:textId="119EE6F7" w:rsidR="007D5795" w:rsidRDefault="007D5795" w:rsidP="007D5795">
      <w:pPr>
        <w:pStyle w:val="SangriaFrancesaArticulo"/>
      </w:pPr>
      <w:r w:rsidRPr="007D5795">
        <w:rPr>
          <w:rStyle w:val="TextoNormalNegritaCaracter"/>
        </w:rPr>
        <w:t>Artículo 221.</w:t>
      </w:r>
      <w:r w:rsidRPr="007D5795">
        <w:rPr>
          <w:rStyle w:val="TextoNormalCaracter"/>
        </w:rPr>
        <w:t>-</w:t>
      </w:r>
      <w:r>
        <w:t xml:space="preserve"> Auto </w:t>
      </w:r>
      <w:hyperlink w:anchor="AUTO_2024_91" w:history="1">
        <w:r w:rsidRPr="007D5795">
          <w:rPr>
            <w:rStyle w:val="TextoNormalCaracter"/>
          </w:rPr>
          <w:t>91/2024</w:t>
        </w:r>
      </w:hyperlink>
      <w:r>
        <w:t>, VP II.</w:t>
      </w:r>
    </w:p>
    <w:p w14:paraId="67563733" w14:textId="124334BE" w:rsidR="007D5795" w:rsidRDefault="007D5795" w:rsidP="007D5795">
      <w:pPr>
        <w:pStyle w:val="SangriaFrancesaArticulo"/>
      </w:pPr>
      <w:r w:rsidRPr="007D5795">
        <w:rPr>
          <w:rStyle w:val="TextoNormalNegritaCaracter"/>
        </w:rPr>
        <w:t>Artículo 221.4.</w:t>
      </w:r>
      <w:r w:rsidRPr="007D5795">
        <w:rPr>
          <w:rStyle w:val="TextoNormalCaracter"/>
        </w:rPr>
        <w:t>-</w:t>
      </w:r>
      <w:r>
        <w:t xml:space="preserve"> Autos </w:t>
      </w:r>
      <w:hyperlink w:anchor="AUTO_2024_67" w:history="1">
        <w:r w:rsidRPr="007D5795">
          <w:rPr>
            <w:rStyle w:val="TextoNormalCaracter"/>
          </w:rPr>
          <w:t>67/2024</w:t>
        </w:r>
      </w:hyperlink>
      <w:r>
        <w:t xml:space="preserve">, f. único; </w:t>
      </w:r>
      <w:hyperlink w:anchor="AUTO_2024_82" w:history="1">
        <w:r w:rsidRPr="007D5795">
          <w:rPr>
            <w:rStyle w:val="TextoNormalCaracter"/>
          </w:rPr>
          <w:t>82/2024</w:t>
        </w:r>
      </w:hyperlink>
      <w:r>
        <w:t xml:space="preserve">, f. único; </w:t>
      </w:r>
      <w:hyperlink w:anchor="AUTO_2024_83" w:history="1">
        <w:r w:rsidRPr="007D5795">
          <w:rPr>
            <w:rStyle w:val="TextoNormalCaracter"/>
          </w:rPr>
          <w:t>83/2024</w:t>
        </w:r>
      </w:hyperlink>
      <w:r>
        <w:t xml:space="preserve">, f. único; </w:t>
      </w:r>
      <w:hyperlink w:anchor="AUTO_2024_87" w:history="1">
        <w:r w:rsidRPr="007D5795">
          <w:rPr>
            <w:rStyle w:val="TextoNormalCaracter"/>
          </w:rPr>
          <w:t>87/2024</w:t>
        </w:r>
      </w:hyperlink>
      <w:r>
        <w:t xml:space="preserve">, f. único; </w:t>
      </w:r>
      <w:hyperlink w:anchor="AUTO_2024_88" w:history="1">
        <w:r w:rsidRPr="007D5795">
          <w:rPr>
            <w:rStyle w:val="TextoNormalCaracter"/>
          </w:rPr>
          <w:t>88/2024</w:t>
        </w:r>
      </w:hyperlink>
      <w:r>
        <w:t xml:space="preserve">, f. único; </w:t>
      </w:r>
      <w:hyperlink w:anchor="AUTO_2024_91" w:history="1">
        <w:r w:rsidRPr="007D5795">
          <w:rPr>
            <w:rStyle w:val="TextoNormalCaracter"/>
          </w:rPr>
          <w:t>91/2024</w:t>
        </w:r>
      </w:hyperlink>
      <w:r>
        <w:t xml:space="preserve">, f. 1; </w:t>
      </w:r>
      <w:hyperlink w:anchor="AUTO_2024_95" w:history="1">
        <w:r w:rsidRPr="007D5795">
          <w:rPr>
            <w:rStyle w:val="TextoNormalCaracter"/>
          </w:rPr>
          <w:t>95/2024</w:t>
        </w:r>
      </w:hyperlink>
      <w:r>
        <w:t xml:space="preserve">, f. único; </w:t>
      </w:r>
      <w:hyperlink w:anchor="AUTO_2024_114" w:history="1">
        <w:r w:rsidRPr="007D5795">
          <w:rPr>
            <w:rStyle w:val="TextoNormalCaracter"/>
          </w:rPr>
          <w:t>114/2024</w:t>
        </w:r>
      </w:hyperlink>
      <w:r>
        <w:t xml:space="preserve">, f. único; </w:t>
      </w:r>
      <w:hyperlink w:anchor="AUTO_2024_147" w:history="1">
        <w:r w:rsidRPr="007D5795">
          <w:rPr>
            <w:rStyle w:val="TextoNormalCaracter"/>
          </w:rPr>
          <w:t>147/2024</w:t>
        </w:r>
      </w:hyperlink>
      <w:r>
        <w:t xml:space="preserve">, f. único; </w:t>
      </w:r>
      <w:hyperlink w:anchor="AUTO_2024_149" w:history="1">
        <w:r w:rsidRPr="007D5795">
          <w:rPr>
            <w:rStyle w:val="TextoNormalCaracter"/>
          </w:rPr>
          <w:t>149/2024</w:t>
        </w:r>
      </w:hyperlink>
      <w:r>
        <w:t xml:space="preserve">, f. único; </w:t>
      </w:r>
      <w:hyperlink w:anchor="AUTO_2024_154" w:history="1">
        <w:r w:rsidRPr="007D5795">
          <w:rPr>
            <w:rStyle w:val="TextoNormalCaracter"/>
          </w:rPr>
          <w:t>154/2024</w:t>
        </w:r>
      </w:hyperlink>
      <w:r>
        <w:t>, f. único.</w:t>
      </w:r>
    </w:p>
    <w:p w14:paraId="4FD0DFF6" w14:textId="1B7429EF" w:rsidR="007D5795" w:rsidRDefault="007D5795" w:rsidP="007D5795">
      <w:pPr>
        <w:pStyle w:val="SangriaFrancesaArticulo"/>
      </w:pPr>
      <w:r w:rsidRPr="007D5795">
        <w:rPr>
          <w:rStyle w:val="TextoNormalNegritaCaracter"/>
        </w:rPr>
        <w:t>Artículo 223.1.</w:t>
      </w:r>
      <w:r w:rsidRPr="007D5795">
        <w:rPr>
          <w:rStyle w:val="TextoNormalCaracter"/>
        </w:rPr>
        <w:t>-</w:t>
      </w:r>
      <w:r>
        <w:t xml:space="preserve"> Autos </w:t>
      </w:r>
      <w:hyperlink w:anchor="AUTO_2024_63" w:history="1">
        <w:r w:rsidRPr="007D5795">
          <w:rPr>
            <w:rStyle w:val="TextoNormalCaracter"/>
          </w:rPr>
          <w:t>63/2024</w:t>
        </w:r>
      </w:hyperlink>
      <w:r>
        <w:t xml:space="preserve">, f. único; </w:t>
      </w:r>
      <w:hyperlink w:anchor="AUTO_2024_68" w:history="1">
        <w:r w:rsidRPr="007D5795">
          <w:rPr>
            <w:rStyle w:val="TextoNormalCaracter"/>
          </w:rPr>
          <w:t>68/2024</w:t>
        </w:r>
      </w:hyperlink>
      <w:r>
        <w:t xml:space="preserve">, f. 3; </w:t>
      </w:r>
      <w:hyperlink w:anchor="AUTO_2024_70" w:history="1">
        <w:r w:rsidRPr="007D5795">
          <w:rPr>
            <w:rStyle w:val="TextoNormalCaracter"/>
          </w:rPr>
          <w:t>70/2024</w:t>
        </w:r>
      </w:hyperlink>
      <w:r>
        <w:t xml:space="preserve">, f. 2; </w:t>
      </w:r>
      <w:hyperlink w:anchor="AUTO_2024_90" w:history="1">
        <w:r w:rsidRPr="007D5795">
          <w:rPr>
            <w:rStyle w:val="TextoNormalCaracter"/>
          </w:rPr>
          <w:t>90/2024</w:t>
        </w:r>
      </w:hyperlink>
      <w:r>
        <w:t>, f. único.</w:t>
      </w:r>
    </w:p>
    <w:p w14:paraId="3250C8DF" w14:textId="292ECFDF" w:rsidR="007D5795" w:rsidRDefault="007D5795" w:rsidP="007D5795">
      <w:pPr>
        <w:pStyle w:val="SangriaFrancesaArticulo"/>
      </w:pPr>
      <w:r w:rsidRPr="007D5795">
        <w:rPr>
          <w:rStyle w:val="TextoNormalNegritaCaracter"/>
        </w:rPr>
        <w:t>Artículo 223.2.</w:t>
      </w:r>
      <w:r w:rsidRPr="007D5795">
        <w:rPr>
          <w:rStyle w:val="TextoNormalCaracter"/>
        </w:rPr>
        <w:t>-</w:t>
      </w:r>
      <w:r>
        <w:t xml:space="preserve"> Auto </w:t>
      </w:r>
      <w:hyperlink w:anchor="AUTO_2024_100" w:history="1">
        <w:r w:rsidRPr="007D5795">
          <w:rPr>
            <w:rStyle w:val="TextoNormalCaracter"/>
          </w:rPr>
          <w:t>100/2024</w:t>
        </w:r>
      </w:hyperlink>
      <w:r>
        <w:t>, f. 1.</w:t>
      </w:r>
    </w:p>
    <w:p w14:paraId="5770F3D5" w14:textId="313FDAAE" w:rsidR="007D5795" w:rsidRDefault="007D5795" w:rsidP="007D5795">
      <w:pPr>
        <w:pStyle w:val="SangriaFrancesaArticulo"/>
      </w:pPr>
      <w:r w:rsidRPr="007D5795">
        <w:rPr>
          <w:rStyle w:val="TextoNormalNegritaCaracter"/>
        </w:rPr>
        <w:t>Artículos 223 y ss.</w:t>
      </w:r>
      <w:r w:rsidRPr="007D5795">
        <w:rPr>
          <w:rStyle w:val="TextoNormalCaracter"/>
        </w:rPr>
        <w:t>-</w:t>
      </w:r>
      <w:r>
        <w:t xml:space="preserve"> Auto </w:t>
      </w:r>
      <w:hyperlink w:anchor="AUTO_2024_68" w:history="1">
        <w:r w:rsidRPr="007D5795">
          <w:rPr>
            <w:rStyle w:val="TextoNormalCaracter"/>
          </w:rPr>
          <w:t>68/2024</w:t>
        </w:r>
      </w:hyperlink>
      <w:r>
        <w:t>, f. 2.</w:t>
      </w:r>
    </w:p>
    <w:p w14:paraId="3229AC2A" w14:textId="20C2D4EE" w:rsidR="007D5795" w:rsidRDefault="007D5795" w:rsidP="007D5795">
      <w:pPr>
        <w:pStyle w:val="SangriaFrancesaArticulo"/>
      </w:pPr>
      <w:r w:rsidRPr="007D5795">
        <w:rPr>
          <w:rStyle w:val="TextoNormalNegritaCaracter"/>
        </w:rPr>
        <w:t>Artículo 224.1.</w:t>
      </w:r>
      <w:r w:rsidRPr="007D5795">
        <w:rPr>
          <w:rStyle w:val="TextoNormalCaracter"/>
        </w:rPr>
        <w:t>-</w:t>
      </w:r>
      <w:r>
        <w:t xml:space="preserve"> Auto </w:t>
      </w:r>
      <w:hyperlink w:anchor="AUTO_2024_91" w:history="1">
        <w:r w:rsidRPr="007D5795">
          <w:rPr>
            <w:rStyle w:val="TextoNormalCaracter"/>
          </w:rPr>
          <w:t>91/2024</w:t>
        </w:r>
      </w:hyperlink>
      <w:r>
        <w:t>, VP II.</w:t>
      </w:r>
    </w:p>
    <w:p w14:paraId="163D1ED7" w14:textId="79BA3C40" w:rsidR="007D5795" w:rsidRDefault="007D5795" w:rsidP="007D5795">
      <w:pPr>
        <w:pStyle w:val="SangriaFrancesaArticulo"/>
      </w:pPr>
      <w:r w:rsidRPr="007D5795">
        <w:rPr>
          <w:rStyle w:val="TextoNormalNegritaCaracter"/>
        </w:rPr>
        <w:t>Artículo 225.1.</w:t>
      </w:r>
      <w:r w:rsidRPr="007D5795">
        <w:rPr>
          <w:rStyle w:val="TextoNormalCaracter"/>
        </w:rPr>
        <w:t>-</w:t>
      </w:r>
      <w:r>
        <w:t xml:space="preserve"> Auto </w:t>
      </w:r>
      <w:hyperlink w:anchor="AUTO_2024_91" w:history="1">
        <w:r w:rsidRPr="007D5795">
          <w:rPr>
            <w:rStyle w:val="TextoNormalCaracter"/>
          </w:rPr>
          <w:t>91/2024</w:t>
        </w:r>
      </w:hyperlink>
      <w:r>
        <w:t>, VP II.</w:t>
      </w:r>
    </w:p>
    <w:p w14:paraId="764E8B76" w14:textId="0BC2EC53" w:rsidR="007D5795" w:rsidRDefault="007D5795" w:rsidP="007D5795">
      <w:pPr>
        <w:pStyle w:val="SangriaFrancesaArticulo"/>
      </w:pPr>
      <w:r w:rsidRPr="007D5795">
        <w:rPr>
          <w:rStyle w:val="TextoNormalNegritaCaracter"/>
        </w:rPr>
        <w:t>Artículo 225.4.</w:t>
      </w:r>
      <w:r w:rsidRPr="007D5795">
        <w:rPr>
          <w:rStyle w:val="TextoNormalCaracter"/>
        </w:rPr>
        <w:t>-</w:t>
      </w:r>
      <w:r>
        <w:t xml:space="preserve"> Auto </w:t>
      </w:r>
      <w:hyperlink w:anchor="AUTO_2024_91" w:history="1">
        <w:r w:rsidRPr="007D5795">
          <w:rPr>
            <w:rStyle w:val="TextoNormalCaracter"/>
          </w:rPr>
          <w:t>91/2024</w:t>
        </w:r>
      </w:hyperlink>
      <w:r>
        <w:t>, VP II.</w:t>
      </w:r>
    </w:p>
    <w:p w14:paraId="2503849B" w14:textId="1C93AE05" w:rsidR="007D5795" w:rsidRDefault="007D5795" w:rsidP="007D5795">
      <w:pPr>
        <w:pStyle w:val="SangriaFrancesaArticulo"/>
      </w:pPr>
      <w:r w:rsidRPr="007D5795">
        <w:rPr>
          <w:rStyle w:val="TextoNormalNegritaCaracter"/>
        </w:rPr>
        <w:t>Artículo 227.</w:t>
      </w:r>
      <w:r w:rsidRPr="007D5795">
        <w:rPr>
          <w:rStyle w:val="TextoNormalCaracter"/>
        </w:rPr>
        <w:t>-</w:t>
      </w:r>
      <w:r>
        <w:t xml:space="preserve"> Autos </w:t>
      </w:r>
      <w:hyperlink w:anchor="AUTO_2024_63" w:history="1">
        <w:r w:rsidRPr="007D5795">
          <w:rPr>
            <w:rStyle w:val="TextoNormalCaracter"/>
          </w:rPr>
          <w:t>63/2024</w:t>
        </w:r>
      </w:hyperlink>
      <w:r>
        <w:t xml:space="preserve">, f. único; </w:t>
      </w:r>
      <w:hyperlink w:anchor="AUTO_2024_128" w:history="1">
        <w:r w:rsidRPr="007D5795">
          <w:rPr>
            <w:rStyle w:val="TextoNormalCaracter"/>
          </w:rPr>
          <w:t>128/2024</w:t>
        </w:r>
      </w:hyperlink>
      <w:r>
        <w:t xml:space="preserve">, f. único; </w:t>
      </w:r>
      <w:hyperlink w:anchor="AUTO_2024_157" w:history="1">
        <w:r w:rsidRPr="007D5795">
          <w:rPr>
            <w:rStyle w:val="TextoNormalCaracter"/>
          </w:rPr>
          <w:t>157/2024</w:t>
        </w:r>
      </w:hyperlink>
      <w:r>
        <w:t>, f. único.</w:t>
      </w:r>
    </w:p>
    <w:p w14:paraId="2B86F4CC" w14:textId="6434C3D4" w:rsidR="007D5795" w:rsidRDefault="007D5795" w:rsidP="007D5795">
      <w:pPr>
        <w:pStyle w:val="SangriaFrancesaArticulo"/>
      </w:pPr>
      <w:r w:rsidRPr="007D5795">
        <w:rPr>
          <w:rStyle w:val="TextoNormalNegritaCaracter"/>
        </w:rPr>
        <w:t>Artículo 227.1.</w:t>
      </w:r>
      <w:r w:rsidRPr="007D5795">
        <w:rPr>
          <w:rStyle w:val="TextoNormalCaracter"/>
        </w:rPr>
        <w:t>-</w:t>
      </w:r>
      <w:r>
        <w:t xml:space="preserve"> Auto </w:t>
      </w:r>
      <w:hyperlink w:anchor="AUTO_2024_91" w:history="1">
        <w:r w:rsidRPr="007D5795">
          <w:rPr>
            <w:rStyle w:val="TextoNormalCaracter"/>
          </w:rPr>
          <w:t>91/2024</w:t>
        </w:r>
      </w:hyperlink>
      <w:r>
        <w:t>, VP II.</w:t>
      </w:r>
    </w:p>
    <w:p w14:paraId="4587D733" w14:textId="771F966F" w:rsidR="007D5795" w:rsidRDefault="007D5795" w:rsidP="007D5795">
      <w:pPr>
        <w:pStyle w:val="SangriaFrancesaArticulo"/>
      </w:pPr>
      <w:r w:rsidRPr="007D5795">
        <w:rPr>
          <w:rStyle w:val="TextoNormalNegritaCaracter"/>
        </w:rPr>
        <w:t>Artículo 227.2.</w:t>
      </w:r>
      <w:r w:rsidRPr="007D5795">
        <w:rPr>
          <w:rStyle w:val="TextoNormalCaracter"/>
        </w:rPr>
        <w:t>-</w:t>
      </w:r>
      <w:r>
        <w:t xml:space="preserve"> Auto </w:t>
      </w:r>
      <w:hyperlink w:anchor="AUTO_2024_91" w:history="1">
        <w:r w:rsidRPr="007D5795">
          <w:rPr>
            <w:rStyle w:val="TextoNormalCaracter"/>
          </w:rPr>
          <w:t>91/2024</w:t>
        </w:r>
      </w:hyperlink>
      <w:r>
        <w:t>, VP II.</w:t>
      </w:r>
    </w:p>
    <w:p w14:paraId="334F37C0" w14:textId="776C9B72" w:rsidR="007D5795" w:rsidRDefault="007D5795" w:rsidP="007D5795">
      <w:pPr>
        <w:pStyle w:val="SangriaFrancesaArticulo"/>
      </w:pPr>
      <w:r w:rsidRPr="007D5795">
        <w:rPr>
          <w:rStyle w:val="TextoNormalNegritaCaracter"/>
        </w:rPr>
        <w:t>Artículo 227.3.</w:t>
      </w:r>
      <w:r w:rsidRPr="007D5795">
        <w:rPr>
          <w:rStyle w:val="TextoNormalCaracter"/>
        </w:rPr>
        <w:t>-</w:t>
      </w:r>
      <w:r>
        <w:t xml:space="preserve"> Auto </w:t>
      </w:r>
      <w:hyperlink w:anchor="AUTO_2024_91" w:history="1">
        <w:r w:rsidRPr="007D5795">
          <w:rPr>
            <w:rStyle w:val="TextoNormalCaracter"/>
          </w:rPr>
          <w:t>91/2024</w:t>
        </w:r>
      </w:hyperlink>
      <w:r>
        <w:t>, VP II.</w:t>
      </w:r>
    </w:p>
    <w:p w14:paraId="0992234A" w14:textId="1390D9FD" w:rsidR="007D5795" w:rsidRDefault="007D5795" w:rsidP="007D5795">
      <w:pPr>
        <w:pStyle w:val="SangriaFrancesaArticulo"/>
      </w:pPr>
      <w:r w:rsidRPr="007D5795">
        <w:rPr>
          <w:rStyle w:val="TextoNormalNegritaCaracter"/>
        </w:rPr>
        <w:t>Artículo 227.5.</w:t>
      </w:r>
      <w:r w:rsidRPr="007D5795">
        <w:rPr>
          <w:rStyle w:val="TextoNormalCaracter"/>
        </w:rPr>
        <w:t>-</w:t>
      </w:r>
      <w:r>
        <w:t xml:space="preserve"> Auto </w:t>
      </w:r>
      <w:hyperlink w:anchor="AUTO_2024_91" w:history="1">
        <w:r w:rsidRPr="007D5795">
          <w:rPr>
            <w:rStyle w:val="TextoNormalCaracter"/>
          </w:rPr>
          <w:t>91/2024</w:t>
        </w:r>
      </w:hyperlink>
      <w:r>
        <w:t>, VP II.</w:t>
      </w:r>
    </w:p>
    <w:p w14:paraId="4C45B0D3" w14:textId="3A5ECAAE" w:rsidR="007D5795" w:rsidRDefault="007D5795" w:rsidP="007D5795">
      <w:pPr>
        <w:pStyle w:val="SangriaFrancesaArticulo"/>
      </w:pPr>
      <w:r w:rsidRPr="007D5795">
        <w:rPr>
          <w:rStyle w:val="TextoNormalNegritaCaracter"/>
        </w:rPr>
        <w:t>Artículo 227.6.</w:t>
      </w:r>
      <w:r w:rsidRPr="007D5795">
        <w:rPr>
          <w:rStyle w:val="TextoNormalCaracter"/>
        </w:rPr>
        <w:t>-</w:t>
      </w:r>
      <w:r>
        <w:t xml:space="preserve"> Auto </w:t>
      </w:r>
      <w:hyperlink w:anchor="AUTO_2024_91" w:history="1">
        <w:r w:rsidRPr="007D5795">
          <w:rPr>
            <w:rStyle w:val="TextoNormalCaracter"/>
          </w:rPr>
          <w:t>91/2024</w:t>
        </w:r>
      </w:hyperlink>
      <w:r>
        <w:t>, VP II.</w:t>
      </w:r>
    </w:p>
    <w:p w14:paraId="2722BBDA" w14:textId="14C25CC6" w:rsidR="007D5795" w:rsidRDefault="007D5795" w:rsidP="007D5795">
      <w:pPr>
        <w:pStyle w:val="SangriaFrancesaArticulo"/>
      </w:pPr>
      <w:r w:rsidRPr="007D5795">
        <w:rPr>
          <w:rStyle w:val="TextoNormalNegritaCaracter"/>
        </w:rPr>
        <w:t>Artículo 227.7.</w:t>
      </w:r>
      <w:r w:rsidRPr="007D5795">
        <w:rPr>
          <w:rStyle w:val="TextoNormalCaracter"/>
        </w:rPr>
        <w:t>-</w:t>
      </w:r>
      <w:r>
        <w:t xml:space="preserve"> Auto </w:t>
      </w:r>
      <w:hyperlink w:anchor="AUTO_2024_91" w:history="1">
        <w:r w:rsidRPr="007D5795">
          <w:rPr>
            <w:rStyle w:val="TextoNormalCaracter"/>
          </w:rPr>
          <w:t>91/2024</w:t>
        </w:r>
      </w:hyperlink>
      <w:r>
        <w:t>, VP II.</w:t>
      </w:r>
    </w:p>
    <w:p w14:paraId="294463F8" w14:textId="6735AC2E" w:rsidR="007D5795" w:rsidRDefault="007D5795" w:rsidP="007D5795">
      <w:pPr>
        <w:pStyle w:val="SangriaFrancesaArticulo"/>
      </w:pPr>
      <w:r w:rsidRPr="007D5795">
        <w:rPr>
          <w:rStyle w:val="TextoNormalNegritaCaracter"/>
        </w:rPr>
        <w:t>Artículo 240.2.</w:t>
      </w:r>
      <w:r w:rsidRPr="007D5795">
        <w:rPr>
          <w:rStyle w:val="TextoNormalCaracter"/>
        </w:rPr>
        <w:t>-</w:t>
      </w:r>
      <w:r>
        <w:t xml:space="preserve"> Sentencias </w:t>
      </w:r>
      <w:hyperlink w:anchor="SENTENCIA_2024_107" w:history="1">
        <w:r w:rsidRPr="007D5795">
          <w:rPr>
            <w:rStyle w:val="TextoNormalCaracter"/>
          </w:rPr>
          <w:t>107/2024</w:t>
        </w:r>
      </w:hyperlink>
      <w:r>
        <w:t xml:space="preserve">, f. 4; </w:t>
      </w:r>
      <w:hyperlink w:anchor="SENTENCIA_2024_123" w:history="1">
        <w:r w:rsidRPr="007D5795">
          <w:rPr>
            <w:rStyle w:val="TextoNormalCaracter"/>
          </w:rPr>
          <w:t>123/2024</w:t>
        </w:r>
      </w:hyperlink>
      <w:r>
        <w:t>, f. 3.</w:t>
      </w:r>
    </w:p>
    <w:p w14:paraId="3D2116F4" w14:textId="0B238AE3" w:rsidR="007D5795" w:rsidRDefault="007D5795" w:rsidP="007D5795">
      <w:pPr>
        <w:pStyle w:val="SangriaFrancesaArticulo"/>
      </w:pPr>
      <w:r w:rsidRPr="007D5795">
        <w:rPr>
          <w:rStyle w:val="TextoNormalNegritaCaracter"/>
        </w:rPr>
        <w:t>Artículo 241.</w:t>
      </w:r>
      <w:r w:rsidRPr="007D5795">
        <w:rPr>
          <w:rStyle w:val="TextoNormalCaracter"/>
        </w:rPr>
        <w:t>-</w:t>
      </w:r>
      <w:r>
        <w:t xml:space="preserve"> Sentencias </w:t>
      </w:r>
      <w:hyperlink w:anchor="SENTENCIA_2024_107" w:history="1">
        <w:r w:rsidRPr="007D5795">
          <w:rPr>
            <w:rStyle w:val="TextoNormalCaracter"/>
          </w:rPr>
          <w:t>107/2024</w:t>
        </w:r>
      </w:hyperlink>
      <w:r>
        <w:t xml:space="preserve">, ff. 1, 2, 4, VP; </w:t>
      </w:r>
      <w:hyperlink w:anchor="SENTENCIA_2024_116" w:history="1">
        <w:r w:rsidRPr="007D5795">
          <w:rPr>
            <w:rStyle w:val="TextoNormalCaracter"/>
          </w:rPr>
          <w:t>116/2024</w:t>
        </w:r>
      </w:hyperlink>
      <w:r>
        <w:t xml:space="preserve">, f. 2; </w:t>
      </w:r>
      <w:hyperlink w:anchor="SENTENCIA_2024_118" w:history="1">
        <w:r w:rsidRPr="007D5795">
          <w:rPr>
            <w:rStyle w:val="TextoNormalCaracter"/>
          </w:rPr>
          <w:t>118/2024</w:t>
        </w:r>
      </w:hyperlink>
      <w:r>
        <w:t xml:space="preserve">, VP II, VP III; </w:t>
      </w:r>
      <w:hyperlink w:anchor="SENTENCIA_2024_128" w:history="1">
        <w:r w:rsidRPr="007D5795">
          <w:rPr>
            <w:rStyle w:val="TextoNormalCaracter"/>
          </w:rPr>
          <w:t>128/2024</w:t>
        </w:r>
      </w:hyperlink>
      <w:r>
        <w:t>, f. 2.</w:t>
      </w:r>
    </w:p>
    <w:p w14:paraId="266AA01C" w14:textId="644D471A" w:rsidR="007D5795" w:rsidRDefault="007D5795" w:rsidP="007D5795">
      <w:pPr>
        <w:pStyle w:val="SangriaFrancesaArticulo"/>
      </w:pPr>
      <w:r w:rsidRPr="007D5795">
        <w:rPr>
          <w:rStyle w:val="TextoNormalNegritaCaracter"/>
        </w:rPr>
        <w:t>Artículo 241</w:t>
      </w:r>
      <w:r>
        <w:t xml:space="preserve"> (redactado por la Ley Orgánica 6/2007, de 24 de mayo)</w:t>
      </w:r>
      <w:r w:rsidRPr="007D5795">
        <w:rPr>
          <w:rStyle w:val="TextoNormalNegritaCaracter"/>
        </w:rPr>
        <w:t>.</w:t>
      </w:r>
      <w:r w:rsidRPr="007D5795">
        <w:rPr>
          <w:rStyle w:val="TextoNormalCaracter"/>
        </w:rPr>
        <w:t>-</w:t>
      </w:r>
      <w:r>
        <w:t xml:space="preserve"> Sentencia </w:t>
      </w:r>
      <w:hyperlink w:anchor="SENTENCIA_2024_118" w:history="1">
        <w:r w:rsidRPr="007D5795">
          <w:rPr>
            <w:rStyle w:val="TextoNormalCaracter"/>
          </w:rPr>
          <w:t>118/2024</w:t>
        </w:r>
      </w:hyperlink>
      <w:r>
        <w:t>, VP II, VP III.</w:t>
      </w:r>
    </w:p>
    <w:p w14:paraId="3CE6A3A7" w14:textId="6234C9D8" w:rsidR="007D5795" w:rsidRDefault="007D5795" w:rsidP="007D5795">
      <w:pPr>
        <w:pStyle w:val="SangriaFrancesaArticulo"/>
      </w:pPr>
      <w:r w:rsidRPr="007D5795">
        <w:rPr>
          <w:rStyle w:val="TextoNormalNegritaCaracter"/>
        </w:rPr>
        <w:t>Artículo 241.1.</w:t>
      </w:r>
      <w:r w:rsidRPr="007D5795">
        <w:rPr>
          <w:rStyle w:val="TextoNormalCaracter"/>
        </w:rPr>
        <w:t>-</w:t>
      </w:r>
      <w:r>
        <w:t xml:space="preserve"> Sentencias </w:t>
      </w:r>
      <w:hyperlink w:anchor="SENTENCIA_2024_107" w:history="1">
        <w:r w:rsidRPr="007D5795">
          <w:rPr>
            <w:rStyle w:val="TextoNormalCaracter"/>
          </w:rPr>
          <w:t>107/2024</w:t>
        </w:r>
      </w:hyperlink>
      <w:r>
        <w:t xml:space="preserve">, VP; </w:t>
      </w:r>
      <w:hyperlink w:anchor="SENTENCIA_2024_118" w:history="1">
        <w:r w:rsidRPr="007D5795">
          <w:rPr>
            <w:rStyle w:val="TextoNormalCaracter"/>
          </w:rPr>
          <w:t>118/2024</w:t>
        </w:r>
      </w:hyperlink>
      <w:r>
        <w:t>, VP II, VP III.</w:t>
      </w:r>
    </w:p>
    <w:p w14:paraId="43202BE0" w14:textId="7F05B03F" w:rsidR="007D5795" w:rsidRDefault="007D5795" w:rsidP="007D5795">
      <w:pPr>
        <w:pStyle w:val="SangriaFrancesaArticulo"/>
      </w:pPr>
      <w:r w:rsidRPr="007D5795">
        <w:rPr>
          <w:rStyle w:val="TextoNormalNegritaCaracter"/>
        </w:rPr>
        <w:t>Artículo 243.1.</w:t>
      </w:r>
      <w:r w:rsidRPr="007D5795">
        <w:rPr>
          <w:rStyle w:val="TextoNormalCaracter"/>
        </w:rPr>
        <w:t>-</w:t>
      </w:r>
      <w:r>
        <w:t xml:space="preserve"> Sentencia </w:t>
      </w:r>
      <w:hyperlink w:anchor="SENTENCIA_2024_123" w:history="1">
        <w:r w:rsidRPr="007D5795">
          <w:rPr>
            <w:rStyle w:val="TextoNormalCaracter"/>
          </w:rPr>
          <w:t>123/2024</w:t>
        </w:r>
      </w:hyperlink>
      <w:r>
        <w:t>, VP I.</w:t>
      </w:r>
    </w:p>
    <w:p w14:paraId="13D2DD71" w14:textId="47CB0E7F" w:rsidR="007D5795" w:rsidRDefault="007D5795" w:rsidP="007D5795">
      <w:pPr>
        <w:pStyle w:val="SangriaFrancesaArticulo"/>
      </w:pPr>
      <w:r w:rsidRPr="007D5795">
        <w:rPr>
          <w:rStyle w:val="TextoNormalNegritaCaracter"/>
        </w:rPr>
        <w:t>Artículo 245.2.</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3234C8D0" w14:textId="1801CE67" w:rsidR="007D5795" w:rsidRDefault="007D5795" w:rsidP="007D5795">
      <w:pPr>
        <w:pStyle w:val="SangriaFrancesaArticulo"/>
      </w:pPr>
      <w:r w:rsidRPr="007D5795">
        <w:rPr>
          <w:rStyle w:val="TextoNormalNegritaCaracter"/>
        </w:rPr>
        <w:t>Artículo 248.</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f. 5.</w:t>
      </w:r>
    </w:p>
    <w:p w14:paraId="1BEF7B36" w14:textId="76FAAF0C" w:rsidR="007D5795" w:rsidRDefault="007D5795" w:rsidP="007D5795">
      <w:pPr>
        <w:pStyle w:val="SangriaFrancesaArticulo"/>
      </w:pPr>
      <w:r w:rsidRPr="007D5795">
        <w:rPr>
          <w:rStyle w:val="TextoNormalNegritaCaracter"/>
        </w:rPr>
        <w:t>Artículo 255.</w:t>
      </w:r>
      <w:r w:rsidRPr="007D5795">
        <w:rPr>
          <w:rStyle w:val="TextoNormalCaracter"/>
        </w:rPr>
        <w:t>-</w:t>
      </w:r>
      <w:r>
        <w:t xml:space="preserve"> Sentencia </w:t>
      </w:r>
      <w:hyperlink w:anchor="SENTENCIA_2024_94" w:history="1">
        <w:r w:rsidRPr="007D5795">
          <w:rPr>
            <w:rStyle w:val="TextoNormalCaracter"/>
          </w:rPr>
          <w:t>94/2024</w:t>
        </w:r>
      </w:hyperlink>
      <w:r>
        <w:t>, f. 7.</w:t>
      </w:r>
    </w:p>
    <w:p w14:paraId="098A6AFA" w14:textId="69061CE3" w:rsidR="007D5795" w:rsidRDefault="007D5795" w:rsidP="007D5795">
      <w:pPr>
        <w:pStyle w:val="SangriaFrancesaArticulo"/>
      </w:pPr>
      <w:r w:rsidRPr="007D5795">
        <w:rPr>
          <w:rStyle w:val="TextoNormalNegritaCaracter"/>
        </w:rPr>
        <w:t>Artículo 260.1.</w:t>
      </w:r>
      <w:r w:rsidRPr="007D5795">
        <w:rPr>
          <w:rStyle w:val="TextoNormalCaracter"/>
        </w:rPr>
        <w:t>-</w:t>
      </w:r>
      <w:r>
        <w:t xml:space="preserve"> Sentencias </w:t>
      </w:r>
      <w:hyperlink w:anchor="SENTENCIA_2024_95" w:history="1">
        <w:r w:rsidRPr="007D5795">
          <w:rPr>
            <w:rStyle w:val="TextoNormalCaracter"/>
          </w:rPr>
          <w:t>95/2024</w:t>
        </w:r>
      </w:hyperlink>
      <w:r>
        <w:t xml:space="preserve">, f. 6; </w:t>
      </w:r>
      <w:hyperlink w:anchor="SENTENCIA_2024_98" w:history="1">
        <w:r w:rsidRPr="007D5795">
          <w:rPr>
            <w:rStyle w:val="TextoNormalCaracter"/>
          </w:rPr>
          <w:t>98/2024</w:t>
        </w:r>
      </w:hyperlink>
      <w:r>
        <w:t xml:space="preserve">, f. 7; </w:t>
      </w:r>
      <w:hyperlink w:anchor="SENTENCIA_2024_101" w:history="1">
        <w:r w:rsidRPr="007D5795">
          <w:rPr>
            <w:rStyle w:val="TextoNormalCaracter"/>
          </w:rPr>
          <w:t>101/2024</w:t>
        </w:r>
      </w:hyperlink>
      <w:r>
        <w:t>, f. 5.</w:t>
      </w:r>
    </w:p>
    <w:p w14:paraId="3EB05164" w14:textId="557982F7" w:rsidR="007D5795" w:rsidRDefault="007D5795" w:rsidP="007D5795">
      <w:pPr>
        <w:pStyle w:val="SangriaFrancesaArticulo"/>
      </w:pPr>
      <w:r w:rsidRPr="007D5795">
        <w:rPr>
          <w:rStyle w:val="TextoNormalNegritaCaracter"/>
        </w:rPr>
        <w:t>Artículo 260.2.</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98" w:history="1">
        <w:r w:rsidRPr="007D5795">
          <w:rPr>
            <w:rStyle w:val="TextoNormalCaracter"/>
          </w:rPr>
          <w:t>98/2024</w:t>
        </w:r>
      </w:hyperlink>
      <w:r>
        <w:t xml:space="preserve">, f. 7;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f. 5.</w:t>
      </w:r>
    </w:p>
    <w:p w14:paraId="0F99362D" w14:textId="05E74F48" w:rsidR="007D5795" w:rsidRDefault="007D5795" w:rsidP="007D5795">
      <w:pPr>
        <w:pStyle w:val="SangriaFrancesaArticulo"/>
      </w:pPr>
      <w:r w:rsidRPr="007D5795">
        <w:rPr>
          <w:rStyle w:val="TextoNormalNegritaCaracter"/>
        </w:rPr>
        <w:t>Artículo 266.</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f. 5.</w:t>
      </w:r>
    </w:p>
    <w:p w14:paraId="52745231" w14:textId="0F7BE420" w:rsidR="007D5795" w:rsidRDefault="007D5795" w:rsidP="007D5795">
      <w:pPr>
        <w:pStyle w:val="SangriaFrancesaArticulo"/>
      </w:pPr>
      <w:r w:rsidRPr="007D5795">
        <w:rPr>
          <w:rStyle w:val="TextoNormalNegritaCaracter"/>
        </w:rPr>
        <w:t>Artículo 267.</w:t>
      </w:r>
      <w:r w:rsidRPr="007D5795">
        <w:rPr>
          <w:rStyle w:val="TextoNormalCaracter"/>
        </w:rPr>
        <w:t>-</w:t>
      </w:r>
      <w:r>
        <w:t xml:space="preserve"> Sentencia </w:t>
      </w:r>
      <w:hyperlink w:anchor="SENTENCIA_2024_134" w:history="1">
        <w:r w:rsidRPr="007D5795">
          <w:rPr>
            <w:rStyle w:val="TextoNormalCaracter"/>
          </w:rPr>
          <w:t>134/2024</w:t>
        </w:r>
      </w:hyperlink>
      <w:r>
        <w:t>, f. 4.</w:t>
      </w:r>
    </w:p>
    <w:p w14:paraId="7AC7FA84" w14:textId="263718A4" w:rsidR="007D5795" w:rsidRDefault="007D5795" w:rsidP="007D5795">
      <w:pPr>
        <w:pStyle w:val="SangriaFrancesaArticulo"/>
      </w:pPr>
      <w:r w:rsidRPr="007D5795">
        <w:rPr>
          <w:rStyle w:val="TextoNormalNegritaCaracter"/>
        </w:rPr>
        <w:t>Artículo 267.9.</w:t>
      </w:r>
      <w:r w:rsidRPr="007D5795">
        <w:rPr>
          <w:rStyle w:val="TextoNormalCaracter"/>
        </w:rPr>
        <w:t>-</w:t>
      </w:r>
      <w:r>
        <w:t xml:space="preserve"> Sentencia </w:t>
      </w:r>
      <w:hyperlink w:anchor="SENTENCIA_2024_144" w:history="1">
        <w:r w:rsidRPr="007D5795">
          <w:rPr>
            <w:rStyle w:val="TextoNormalCaracter"/>
          </w:rPr>
          <w:t>144/2024</w:t>
        </w:r>
      </w:hyperlink>
      <w:r>
        <w:t>, f. 2, VP I, VP II.</w:t>
      </w:r>
    </w:p>
    <w:p w14:paraId="7A751510" w14:textId="63714EDA" w:rsidR="007D5795" w:rsidRDefault="007D5795" w:rsidP="007D5795">
      <w:pPr>
        <w:pStyle w:val="SangriaFrancesaArticulo"/>
      </w:pPr>
      <w:r w:rsidRPr="007D5795">
        <w:rPr>
          <w:rStyle w:val="TextoNormalNegritaCaracter"/>
        </w:rPr>
        <w:t>Artículo 270.</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f. 5.</w:t>
      </w:r>
    </w:p>
    <w:p w14:paraId="1714E260" w14:textId="218BA809" w:rsidR="007D5795" w:rsidRDefault="007D5795" w:rsidP="007D5795">
      <w:pPr>
        <w:pStyle w:val="SangriaFrancesaArticulo"/>
      </w:pPr>
      <w:r w:rsidRPr="007D5795">
        <w:rPr>
          <w:rStyle w:val="TextoNormalNegritaCaracter"/>
        </w:rPr>
        <w:t>Artículo 270 y ss..</w:t>
      </w:r>
      <w:r w:rsidRPr="007D5795">
        <w:rPr>
          <w:rStyle w:val="TextoNormalCaracter"/>
        </w:rPr>
        <w:t>-</w:t>
      </w:r>
      <w:r>
        <w:t xml:space="preserve"> Sentencia </w:t>
      </w:r>
      <w:hyperlink w:anchor="SENTENCIA_2024_94" w:history="1">
        <w:r w:rsidRPr="007D5795">
          <w:rPr>
            <w:rStyle w:val="TextoNormalCaracter"/>
          </w:rPr>
          <w:t>94/2024</w:t>
        </w:r>
      </w:hyperlink>
      <w:r>
        <w:t>, f. 7.</w:t>
      </w:r>
    </w:p>
    <w:p w14:paraId="653AA32C" w14:textId="11BD8CB1" w:rsidR="007D5795" w:rsidRDefault="007D5795" w:rsidP="007D5795">
      <w:pPr>
        <w:pStyle w:val="SangriaFrancesaArticulo"/>
      </w:pPr>
      <w:r w:rsidRPr="007D5795">
        <w:rPr>
          <w:rStyle w:val="TextoNormalNegritaCaracter"/>
        </w:rPr>
        <w:t>Artículo 292.</w:t>
      </w:r>
      <w:r w:rsidRPr="007D5795">
        <w:rPr>
          <w:rStyle w:val="TextoNormalCaracter"/>
        </w:rPr>
        <w:t>-</w:t>
      </w:r>
      <w:r>
        <w:t xml:space="preserve"> Sentencia </w:t>
      </w:r>
      <w:hyperlink w:anchor="SENTENCIA_2024_118" w:history="1">
        <w:r w:rsidRPr="007D5795">
          <w:rPr>
            <w:rStyle w:val="TextoNormalCaracter"/>
          </w:rPr>
          <w:t>118/2024</w:t>
        </w:r>
      </w:hyperlink>
      <w:r>
        <w:t>, f. 3.</w:t>
      </w:r>
    </w:p>
    <w:p w14:paraId="555CD1F1" w14:textId="62C557EA" w:rsidR="007D5795" w:rsidRDefault="007D5795" w:rsidP="007D5795">
      <w:pPr>
        <w:pStyle w:val="SangriaFrancesaArticulo"/>
      </w:pPr>
      <w:r w:rsidRPr="007D5795">
        <w:rPr>
          <w:rStyle w:val="TextoNormalNegritaCaracter"/>
        </w:rPr>
        <w:t>Artículos 292 y siguientes.</w:t>
      </w:r>
      <w:r w:rsidRPr="007D5795">
        <w:rPr>
          <w:rStyle w:val="TextoNormalCaracter"/>
        </w:rPr>
        <w:t>-</w:t>
      </w:r>
      <w:r>
        <w:t xml:space="preserve"> Sentencia </w:t>
      </w:r>
      <w:hyperlink w:anchor="SENTENCIA_2024_118" w:history="1">
        <w:r w:rsidRPr="007D5795">
          <w:rPr>
            <w:rStyle w:val="TextoNormalCaracter"/>
          </w:rPr>
          <w:t>118/2024</w:t>
        </w:r>
      </w:hyperlink>
      <w:r>
        <w:t>, f. 3.</w:t>
      </w:r>
    </w:p>
    <w:p w14:paraId="47176D0F" w14:textId="3FD92227" w:rsidR="007D5795" w:rsidRDefault="007D5795" w:rsidP="007D5795">
      <w:pPr>
        <w:pStyle w:val="SangriaFrancesaArticulo"/>
      </w:pPr>
      <w:r w:rsidRPr="007D5795">
        <w:rPr>
          <w:rStyle w:val="TextoNormalNegritaCaracter"/>
        </w:rPr>
        <w:t>Artículo 293.</w:t>
      </w:r>
      <w:r w:rsidRPr="007D5795">
        <w:rPr>
          <w:rStyle w:val="TextoNormalCaracter"/>
        </w:rPr>
        <w:t>-</w:t>
      </w:r>
      <w:r>
        <w:t xml:space="preserve"> Sentencia </w:t>
      </w:r>
      <w:hyperlink w:anchor="SENTENCIA_2024_118" w:history="1">
        <w:r w:rsidRPr="007D5795">
          <w:rPr>
            <w:rStyle w:val="TextoNormalCaracter"/>
          </w:rPr>
          <w:t>118/2024</w:t>
        </w:r>
      </w:hyperlink>
      <w:r>
        <w:t>, f. 3.</w:t>
      </w:r>
    </w:p>
    <w:p w14:paraId="6EEA46CA" w14:textId="36709A0E" w:rsidR="007D5795" w:rsidRDefault="007D5795" w:rsidP="007D5795">
      <w:pPr>
        <w:pStyle w:val="SangriaFrancesaArticulo"/>
      </w:pPr>
      <w:r w:rsidRPr="007D5795">
        <w:rPr>
          <w:rStyle w:val="TextoNormalNegritaCaracter"/>
        </w:rPr>
        <w:t>Artículo 293.1.</w:t>
      </w:r>
      <w:r w:rsidRPr="007D5795">
        <w:rPr>
          <w:rStyle w:val="TextoNormalCaracter"/>
        </w:rPr>
        <w:t>-</w:t>
      </w:r>
      <w:r>
        <w:t xml:space="preserve"> Sentencia </w:t>
      </w:r>
      <w:hyperlink w:anchor="SENTENCIA_2024_118" w:history="1">
        <w:r w:rsidRPr="007D5795">
          <w:rPr>
            <w:rStyle w:val="TextoNormalCaracter"/>
          </w:rPr>
          <w:t>118/2024</w:t>
        </w:r>
      </w:hyperlink>
      <w:r>
        <w:t>, ff. 4, 5.</w:t>
      </w:r>
    </w:p>
    <w:p w14:paraId="00D6C65A" w14:textId="4EAB72B0" w:rsidR="007D5795" w:rsidRDefault="007D5795" w:rsidP="007D5795">
      <w:pPr>
        <w:pStyle w:val="SangriaFrancesaArticulo"/>
      </w:pPr>
      <w:r w:rsidRPr="007D5795">
        <w:rPr>
          <w:rStyle w:val="TextoNormalNegritaCaracter"/>
        </w:rPr>
        <w:t>Artículo 293.1 a).</w:t>
      </w:r>
      <w:r w:rsidRPr="007D5795">
        <w:rPr>
          <w:rStyle w:val="TextoNormalCaracter"/>
        </w:rPr>
        <w:t>-</w:t>
      </w:r>
      <w:r>
        <w:t xml:space="preserve"> Sentencia </w:t>
      </w:r>
      <w:hyperlink w:anchor="SENTENCIA_2024_118" w:history="1">
        <w:r w:rsidRPr="007D5795">
          <w:rPr>
            <w:rStyle w:val="TextoNormalCaracter"/>
          </w:rPr>
          <w:t>118/2024</w:t>
        </w:r>
      </w:hyperlink>
      <w:r>
        <w:t>, ff. 1, 2, 4, 5, VP I, VP II, VP III.</w:t>
      </w:r>
    </w:p>
    <w:p w14:paraId="152FC138" w14:textId="6B724952" w:rsidR="007D5795" w:rsidRDefault="007D5795" w:rsidP="007D5795">
      <w:pPr>
        <w:pStyle w:val="SangriaFrancesaArticulo"/>
      </w:pPr>
      <w:r w:rsidRPr="007D5795">
        <w:rPr>
          <w:rStyle w:val="TextoNormalNegritaCaracter"/>
        </w:rPr>
        <w:t>Artículo 293.1 c).</w:t>
      </w:r>
      <w:r w:rsidRPr="007D5795">
        <w:rPr>
          <w:rStyle w:val="TextoNormalCaracter"/>
        </w:rPr>
        <w:t>-</w:t>
      </w:r>
      <w:r>
        <w:t xml:space="preserve"> Sentencia </w:t>
      </w:r>
      <w:hyperlink w:anchor="SENTENCIA_2024_118" w:history="1">
        <w:r w:rsidRPr="007D5795">
          <w:rPr>
            <w:rStyle w:val="TextoNormalCaracter"/>
          </w:rPr>
          <w:t>118/2024</w:t>
        </w:r>
      </w:hyperlink>
      <w:r>
        <w:t>, f. 5.</w:t>
      </w:r>
    </w:p>
    <w:p w14:paraId="0924A245" w14:textId="16FD2915" w:rsidR="007D5795" w:rsidRDefault="007D5795" w:rsidP="007D5795">
      <w:pPr>
        <w:pStyle w:val="SangriaFrancesaArticulo"/>
      </w:pPr>
      <w:r w:rsidRPr="007D5795">
        <w:rPr>
          <w:rStyle w:val="TextoNormalNegritaCaracter"/>
        </w:rPr>
        <w:t>Artículo 293.1 f).</w:t>
      </w:r>
      <w:r w:rsidRPr="007D5795">
        <w:rPr>
          <w:rStyle w:val="TextoNormalCaracter"/>
        </w:rPr>
        <w:t>-</w:t>
      </w:r>
      <w:r>
        <w:t xml:space="preserve"> Sentencia </w:t>
      </w:r>
      <w:hyperlink w:anchor="SENTENCIA_2024_118" w:history="1">
        <w:r w:rsidRPr="007D5795">
          <w:rPr>
            <w:rStyle w:val="TextoNormalCaracter"/>
          </w:rPr>
          <w:t>118/2024</w:t>
        </w:r>
      </w:hyperlink>
      <w:r>
        <w:t>, ff. 2, 5.</w:t>
      </w:r>
    </w:p>
    <w:p w14:paraId="2FD01172" w14:textId="265A879C" w:rsidR="007D5795" w:rsidRDefault="007D5795" w:rsidP="007D5795">
      <w:pPr>
        <w:pStyle w:val="SangriaFrancesaArticulo"/>
      </w:pPr>
      <w:r w:rsidRPr="007D5795">
        <w:rPr>
          <w:rStyle w:val="TextoNormalNegritaCaracter"/>
        </w:rPr>
        <w:t>Artículo 561.1.</w:t>
      </w:r>
      <w:r w:rsidRPr="007D5795">
        <w:rPr>
          <w:rStyle w:val="TextoNormalCaracter"/>
        </w:rPr>
        <w:t>-</w:t>
      </w:r>
      <w:r>
        <w:t xml:space="preserve"> Sentencias </w:t>
      </w:r>
      <w:hyperlink w:anchor="SENTENCIA_2024_139" w:history="1">
        <w:r w:rsidRPr="007D5795">
          <w:rPr>
            <w:rStyle w:val="TextoNormalCaracter"/>
          </w:rPr>
          <w:t>139/2024</w:t>
        </w:r>
      </w:hyperlink>
      <w:r>
        <w:t xml:space="preserve">, ff. 3, 4; </w:t>
      </w:r>
      <w:hyperlink w:anchor="SENTENCIA_2024_153" w:history="1">
        <w:r w:rsidRPr="007D5795">
          <w:rPr>
            <w:rStyle w:val="TextoNormalCaracter"/>
          </w:rPr>
          <w:t>153/2024</w:t>
        </w:r>
      </w:hyperlink>
      <w:r>
        <w:t>, f. 2.</w:t>
      </w:r>
    </w:p>
    <w:p w14:paraId="3744E939" w14:textId="4AF17C8F" w:rsidR="007D5795" w:rsidRDefault="007D5795" w:rsidP="007D5795">
      <w:pPr>
        <w:pStyle w:val="SangriaFrancesaArticulo"/>
      </w:pPr>
      <w:r w:rsidRPr="007D5795">
        <w:rPr>
          <w:rStyle w:val="TextoNormalNegritaCaracter"/>
        </w:rPr>
        <w:t>Artículo 561.1.9.</w:t>
      </w:r>
      <w:r w:rsidRPr="007D5795">
        <w:rPr>
          <w:rStyle w:val="TextoNormalCaracter"/>
        </w:rPr>
        <w:t>-</w:t>
      </w:r>
      <w:r>
        <w:t xml:space="preserve"> Sentencia </w:t>
      </w:r>
      <w:hyperlink w:anchor="SENTENCIA_2024_139" w:history="1">
        <w:r w:rsidRPr="007D5795">
          <w:rPr>
            <w:rStyle w:val="TextoNormalCaracter"/>
          </w:rPr>
          <w:t>139/2024</w:t>
        </w:r>
      </w:hyperlink>
      <w:r>
        <w:t>, f. 4, VP II.</w:t>
      </w:r>
    </w:p>
    <w:p w14:paraId="35408FC3" w14:textId="3087E3C6" w:rsidR="007D5795" w:rsidRDefault="007D5795" w:rsidP="007D5795">
      <w:pPr>
        <w:pStyle w:val="SangriaFrancesaArticulo"/>
      </w:pPr>
      <w:r w:rsidRPr="007D5795">
        <w:rPr>
          <w:rStyle w:val="TextoNormalNegritaCaracter"/>
        </w:rPr>
        <w:t>Artículo 570 bis</w:t>
      </w:r>
      <w:r>
        <w:t xml:space="preserve"> (redactado por la Ley Orgánica 4/2021, de 29 de marzo)</w:t>
      </w:r>
      <w:r w:rsidRPr="007D5795">
        <w:rPr>
          <w:rStyle w:val="TextoNormalNegritaCaracter"/>
        </w:rPr>
        <w:t>.</w:t>
      </w:r>
      <w:r w:rsidRPr="007D5795">
        <w:rPr>
          <w:rStyle w:val="TextoNormalCaracter"/>
        </w:rPr>
        <w:t>-</w:t>
      </w:r>
      <w:r>
        <w:t xml:space="preserve"> Sentencia </w:t>
      </w:r>
      <w:hyperlink w:anchor="SENTENCIA_2024_139" w:history="1">
        <w:r w:rsidRPr="007D5795">
          <w:rPr>
            <w:rStyle w:val="TextoNormalCaracter"/>
          </w:rPr>
          <w:t>139/2024</w:t>
        </w:r>
      </w:hyperlink>
      <w:r>
        <w:t>, f. 2, VP II.</w:t>
      </w:r>
    </w:p>
    <w:p w14:paraId="6DAAE79C" w14:textId="415BBBE4" w:rsidR="007D5795" w:rsidRDefault="007D5795" w:rsidP="007D5795">
      <w:pPr>
        <w:pStyle w:val="SangriaFrancesaArticulo"/>
      </w:pPr>
      <w:r w:rsidRPr="007D5795">
        <w:rPr>
          <w:rStyle w:val="TextoNormalNegritaCaracter"/>
        </w:rPr>
        <w:t>Artículo 570 bis</w:t>
      </w:r>
      <w:r>
        <w:t xml:space="preserve"> (redactado por la Ley Orgánica 8/2022, de 27 de julio)</w:t>
      </w:r>
      <w:r w:rsidRPr="007D5795">
        <w:rPr>
          <w:rStyle w:val="TextoNormalNegritaCaracter"/>
        </w:rPr>
        <w:t>.</w:t>
      </w:r>
      <w:r w:rsidRPr="007D5795">
        <w:rPr>
          <w:rStyle w:val="TextoNormalCaracter"/>
        </w:rPr>
        <w:t>-</w:t>
      </w:r>
      <w:r>
        <w:t xml:space="preserve"> Sentencia </w:t>
      </w:r>
      <w:hyperlink w:anchor="SENTENCIA_2024_139" w:history="1">
        <w:r w:rsidRPr="007D5795">
          <w:rPr>
            <w:rStyle w:val="TextoNormalCaracter"/>
          </w:rPr>
          <w:t>139/2024</w:t>
        </w:r>
      </w:hyperlink>
      <w:r>
        <w:t>, ff. 1, 2, VP I, VP II.</w:t>
      </w:r>
    </w:p>
    <w:p w14:paraId="4F2279D0" w14:textId="00C0EBEF" w:rsidR="007D5795" w:rsidRDefault="007D5795" w:rsidP="007D5795">
      <w:pPr>
        <w:pStyle w:val="SangriaFrancesaArticulo"/>
      </w:pPr>
      <w:r w:rsidRPr="007D5795">
        <w:rPr>
          <w:rStyle w:val="TextoNormalNegritaCaracter"/>
        </w:rPr>
        <w:t>Artículo 570 bis.1.</w:t>
      </w:r>
      <w:r w:rsidRPr="007D5795">
        <w:rPr>
          <w:rStyle w:val="TextoNormalCaracter"/>
        </w:rPr>
        <w:t>-</w:t>
      </w:r>
      <w:r>
        <w:t xml:space="preserve"> Sentencia </w:t>
      </w:r>
      <w:hyperlink w:anchor="SENTENCIA_2024_139" w:history="1">
        <w:r w:rsidRPr="007D5795">
          <w:rPr>
            <w:rStyle w:val="TextoNormalCaracter"/>
          </w:rPr>
          <w:t>139/2024</w:t>
        </w:r>
      </w:hyperlink>
      <w:r>
        <w:t>, f. 2.</w:t>
      </w:r>
    </w:p>
    <w:p w14:paraId="7081994E" w14:textId="586F6E21" w:rsidR="007D5795" w:rsidRDefault="007D5795" w:rsidP="007D5795">
      <w:pPr>
        <w:pStyle w:val="SangriaFrancesaArticulo"/>
      </w:pPr>
      <w:r w:rsidRPr="007D5795">
        <w:rPr>
          <w:rStyle w:val="TextoNormalNegritaCaracter"/>
        </w:rPr>
        <w:t>Artículo 570 bis.1.1</w:t>
      </w:r>
      <w:r>
        <w:t xml:space="preserve"> (redactado por la Ley Orgánica 8/2022, de 27 de julio)</w:t>
      </w:r>
      <w:r w:rsidRPr="007D5795">
        <w:rPr>
          <w:rStyle w:val="TextoNormalNegritaCaracter"/>
        </w:rPr>
        <w:t>.</w:t>
      </w:r>
      <w:r w:rsidRPr="007D5795">
        <w:rPr>
          <w:rStyle w:val="TextoNormalCaracter"/>
        </w:rPr>
        <w:t>-</w:t>
      </w:r>
      <w:r>
        <w:t xml:space="preserve"> Sentencia </w:t>
      </w:r>
      <w:hyperlink w:anchor="SENTENCIA_2024_139" w:history="1">
        <w:r w:rsidRPr="007D5795">
          <w:rPr>
            <w:rStyle w:val="TextoNormalCaracter"/>
          </w:rPr>
          <w:t>139/2024</w:t>
        </w:r>
      </w:hyperlink>
      <w:r>
        <w:t>, ff. 2, 5.</w:t>
      </w:r>
    </w:p>
    <w:p w14:paraId="7F3B845E" w14:textId="55213C94" w:rsidR="007D5795" w:rsidRDefault="007D5795" w:rsidP="007D5795">
      <w:pPr>
        <w:pStyle w:val="SangriaFrancesaArticulo"/>
      </w:pPr>
      <w:r w:rsidRPr="007D5795">
        <w:rPr>
          <w:rStyle w:val="TextoNormalNegritaCaracter"/>
        </w:rPr>
        <w:t>Artículo 570.2.</w:t>
      </w:r>
      <w:r w:rsidRPr="007D5795">
        <w:rPr>
          <w:rStyle w:val="TextoNormalCaracter"/>
        </w:rPr>
        <w:t>-</w:t>
      </w:r>
      <w:r>
        <w:t xml:space="preserve"> Sentencia </w:t>
      </w:r>
      <w:hyperlink w:anchor="SENTENCIA_2024_139" w:history="1">
        <w:r w:rsidRPr="007D5795">
          <w:rPr>
            <w:rStyle w:val="TextoNormalCaracter"/>
          </w:rPr>
          <w:t>139/2024</w:t>
        </w:r>
      </w:hyperlink>
      <w:r>
        <w:t>, f. 2.</w:t>
      </w:r>
    </w:p>
    <w:p w14:paraId="5AA83921" w14:textId="452EB7F8" w:rsidR="007D5795" w:rsidRDefault="007D5795" w:rsidP="007D5795">
      <w:pPr>
        <w:pStyle w:val="SangriaFrancesaArticulo"/>
      </w:pPr>
      <w:r w:rsidRPr="007D5795">
        <w:rPr>
          <w:rStyle w:val="TextoNormalNegritaCaracter"/>
        </w:rPr>
        <w:t>Artículo 599.</w:t>
      </w:r>
      <w:r w:rsidRPr="007D5795">
        <w:rPr>
          <w:rStyle w:val="TextoNormalCaracter"/>
        </w:rPr>
        <w:t>-</w:t>
      </w:r>
      <w:r>
        <w:t xml:space="preserve"> Sentencia </w:t>
      </w:r>
      <w:hyperlink w:anchor="SENTENCIA_2024_139" w:history="1">
        <w:r w:rsidRPr="007D5795">
          <w:rPr>
            <w:rStyle w:val="TextoNormalCaracter"/>
          </w:rPr>
          <w:t>139/2024</w:t>
        </w:r>
      </w:hyperlink>
      <w:r>
        <w:t>, f. 2.</w:t>
      </w:r>
    </w:p>
    <w:p w14:paraId="75915524" w14:textId="6C542734" w:rsidR="007D5795" w:rsidRDefault="007D5795" w:rsidP="007D5795">
      <w:pPr>
        <w:pStyle w:val="SangriaFrancesaArticulo"/>
      </w:pPr>
      <w:r w:rsidRPr="007D5795">
        <w:rPr>
          <w:rStyle w:val="TextoNormalNegritaCaracter"/>
        </w:rPr>
        <w:t>Artículo 599</w:t>
      </w:r>
      <w:r>
        <w:t xml:space="preserve"> (redactado por la Ley Orgánica 8/2022, de 27 de julio)</w:t>
      </w:r>
      <w:r w:rsidRPr="007D5795">
        <w:rPr>
          <w:rStyle w:val="TextoNormalNegritaCaracter"/>
        </w:rPr>
        <w:t>.</w:t>
      </w:r>
      <w:r w:rsidRPr="007D5795">
        <w:rPr>
          <w:rStyle w:val="TextoNormalCaracter"/>
        </w:rPr>
        <w:t>-</w:t>
      </w:r>
      <w:r>
        <w:t xml:space="preserve"> Sentencia </w:t>
      </w:r>
      <w:hyperlink w:anchor="SENTENCIA_2024_139" w:history="1">
        <w:r w:rsidRPr="007D5795">
          <w:rPr>
            <w:rStyle w:val="TextoNormalCaracter"/>
          </w:rPr>
          <w:t>139/2024</w:t>
        </w:r>
      </w:hyperlink>
      <w:r>
        <w:t>, ff. 1, 2, VP I, VP II.</w:t>
      </w:r>
    </w:p>
    <w:p w14:paraId="2EB00BAF" w14:textId="2FEB0168" w:rsidR="007D5795" w:rsidRDefault="007D5795" w:rsidP="007D5795">
      <w:pPr>
        <w:pStyle w:val="SangriaFrancesaArticulo"/>
      </w:pPr>
      <w:r w:rsidRPr="007D5795">
        <w:rPr>
          <w:rStyle w:val="TextoNormalNegritaCaracter"/>
        </w:rPr>
        <w:t>Artículo 599.1.1</w:t>
      </w:r>
      <w:r>
        <w:t xml:space="preserve"> (redactado por la Ley Orgánica 8/2022, de 27 de julio)</w:t>
      </w:r>
      <w:r w:rsidRPr="007D5795">
        <w:rPr>
          <w:rStyle w:val="TextoNormalNegritaCaracter"/>
        </w:rPr>
        <w:t>.</w:t>
      </w:r>
      <w:r w:rsidRPr="007D5795">
        <w:rPr>
          <w:rStyle w:val="TextoNormalCaracter"/>
        </w:rPr>
        <w:t>-</w:t>
      </w:r>
      <w:r>
        <w:t xml:space="preserve"> Sentencia </w:t>
      </w:r>
      <w:hyperlink w:anchor="SENTENCIA_2024_139" w:history="1">
        <w:r w:rsidRPr="007D5795">
          <w:rPr>
            <w:rStyle w:val="TextoNormalCaracter"/>
          </w:rPr>
          <w:t>139/2024</w:t>
        </w:r>
      </w:hyperlink>
      <w:r>
        <w:t>, ff. 2, 5.</w:t>
      </w:r>
    </w:p>
    <w:p w14:paraId="4D64A212" w14:textId="28AA7750" w:rsidR="007D5795" w:rsidRDefault="007D5795" w:rsidP="007D5795">
      <w:pPr>
        <w:pStyle w:val="SangriaFrancesaArticulo"/>
      </w:pPr>
    </w:p>
    <w:p w14:paraId="520A3D4E" w14:textId="77777777" w:rsidR="007D5795" w:rsidRDefault="007D5795" w:rsidP="007D5795">
      <w:pPr>
        <w:pStyle w:val="TextoNormalNegritaCursivandice"/>
        <w:keepNext/>
      </w:pPr>
      <w:r>
        <w:t>Ley Orgánica 7/1985, de 1 de julio. Derechos y libertades de los extranjeros en España</w:t>
      </w:r>
    </w:p>
    <w:p w14:paraId="7429AD8A" w14:textId="56B91DF2" w:rsidR="007D5795" w:rsidRDefault="007D5795" w:rsidP="007D5795">
      <w:pPr>
        <w:pStyle w:val="SangriaFrancesaArticulo"/>
      </w:pPr>
      <w:r w:rsidRPr="007D5795">
        <w:rPr>
          <w:rStyle w:val="TextoNormalNegritaCaracter"/>
        </w:rPr>
        <w:t>Artículo 21.2.</w:t>
      </w:r>
      <w:r w:rsidRPr="007D5795">
        <w:rPr>
          <w:rStyle w:val="TextoNormalCaracter"/>
        </w:rPr>
        <w:t>-</w:t>
      </w:r>
      <w:r>
        <w:t xml:space="preserve"> Sentencia </w:t>
      </w:r>
      <w:hyperlink w:anchor="SENTENCIA_2024_124" w:history="1">
        <w:r w:rsidRPr="007D5795">
          <w:rPr>
            <w:rStyle w:val="TextoNormalCaracter"/>
          </w:rPr>
          <w:t>124/2024</w:t>
        </w:r>
      </w:hyperlink>
      <w:r>
        <w:t>, VP.</w:t>
      </w:r>
    </w:p>
    <w:p w14:paraId="266C4308" w14:textId="1D61FA9A" w:rsidR="007D5795" w:rsidRDefault="007D5795" w:rsidP="007D5795">
      <w:pPr>
        <w:pStyle w:val="SangriaFrancesaArticulo"/>
      </w:pPr>
      <w:r w:rsidRPr="007D5795">
        <w:rPr>
          <w:rStyle w:val="TextoNormalNegritaCaracter"/>
        </w:rPr>
        <w:t>Artículo 26.1.</w:t>
      </w:r>
      <w:r w:rsidRPr="007D5795">
        <w:rPr>
          <w:rStyle w:val="TextoNormalCaracter"/>
        </w:rPr>
        <w:t>-</w:t>
      </w:r>
      <w:r>
        <w:t xml:space="preserve"> Sentencia </w:t>
      </w:r>
      <w:hyperlink w:anchor="SENTENCIA_2024_124" w:history="1">
        <w:r w:rsidRPr="007D5795">
          <w:rPr>
            <w:rStyle w:val="TextoNormalCaracter"/>
          </w:rPr>
          <w:t>124/2024</w:t>
        </w:r>
      </w:hyperlink>
      <w:r>
        <w:t>, VP.</w:t>
      </w:r>
    </w:p>
    <w:p w14:paraId="2F5CFA41" w14:textId="1CF96389" w:rsidR="007D5795" w:rsidRDefault="007D5795" w:rsidP="007D5795">
      <w:pPr>
        <w:pStyle w:val="SangriaFrancesaArticulo"/>
      </w:pPr>
    </w:p>
    <w:p w14:paraId="37B91918" w14:textId="77777777" w:rsidR="007D5795" w:rsidRDefault="007D5795" w:rsidP="007D5795">
      <w:pPr>
        <w:pStyle w:val="TextoNormalNegritaCursivandice"/>
        <w:keepNext/>
      </w:pPr>
      <w:r>
        <w:t>Ley Orgánica 3/1986, de 14 de abril, de medidas especiales en materia de salud pública</w:t>
      </w:r>
    </w:p>
    <w:p w14:paraId="1913E4B2" w14:textId="122B64C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36" w:history="1">
        <w:r w:rsidRPr="007D5795">
          <w:rPr>
            <w:rStyle w:val="TextoNormalCaracter"/>
          </w:rPr>
          <w:t>136/2024</w:t>
        </w:r>
      </w:hyperlink>
      <w:r>
        <w:t xml:space="preserve">, ff. 1 a 6; </w:t>
      </w:r>
      <w:hyperlink w:anchor="SENTENCIA_2024_141" w:history="1">
        <w:r w:rsidRPr="007D5795">
          <w:rPr>
            <w:rStyle w:val="TextoNormalCaracter"/>
          </w:rPr>
          <w:t>141/2024</w:t>
        </w:r>
      </w:hyperlink>
      <w:r>
        <w:t>, f. 1.</w:t>
      </w:r>
    </w:p>
    <w:p w14:paraId="5D55657C" w14:textId="2FD905BD"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Sentencia </w:t>
      </w:r>
      <w:hyperlink w:anchor="SENTENCIA_2024_136" w:history="1">
        <w:r w:rsidRPr="007D5795">
          <w:rPr>
            <w:rStyle w:val="TextoNormalCaracter"/>
          </w:rPr>
          <w:t>136/2024</w:t>
        </w:r>
      </w:hyperlink>
      <w:r>
        <w:t>, f. 6.</w:t>
      </w:r>
    </w:p>
    <w:p w14:paraId="6E4012BB" w14:textId="7C0BF700" w:rsidR="007D5795" w:rsidRDefault="007D5795" w:rsidP="007D5795">
      <w:pPr>
        <w:pStyle w:val="SangriaFrancesaArticulo"/>
      </w:pPr>
      <w:r w:rsidRPr="007D5795">
        <w:rPr>
          <w:rStyle w:val="TextoNormalNegritaCaracter"/>
        </w:rPr>
        <w:t>Artículo 2.</w:t>
      </w:r>
      <w:r w:rsidRPr="007D5795">
        <w:rPr>
          <w:rStyle w:val="TextoNormalCaracter"/>
        </w:rPr>
        <w:t>-</w:t>
      </w:r>
      <w:r>
        <w:t xml:space="preserve"> Sentencias </w:t>
      </w:r>
      <w:hyperlink w:anchor="SENTENCIA_2024_136" w:history="1">
        <w:r w:rsidRPr="007D5795">
          <w:rPr>
            <w:rStyle w:val="TextoNormalCaracter"/>
          </w:rPr>
          <w:t>136/2024</w:t>
        </w:r>
      </w:hyperlink>
      <w:r>
        <w:t xml:space="preserve">, ff. 1 a 3, 6; </w:t>
      </w:r>
      <w:hyperlink w:anchor="SENTENCIA_2024_141" w:history="1">
        <w:r w:rsidRPr="007D5795">
          <w:rPr>
            <w:rStyle w:val="TextoNormalCaracter"/>
          </w:rPr>
          <w:t>141/2024</w:t>
        </w:r>
      </w:hyperlink>
      <w:r>
        <w:t>, f. 5.</w:t>
      </w:r>
    </w:p>
    <w:p w14:paraId="2217353D" w14:textId="2CC2E812" w:rsidR="007D5795" w:rsidRDefault="007D5795" w:rsidP="007D5795">
      <w:pPr>
        <w:pStyle w:val="SangriaFrancesaArticulo"/>
      </w:pPr>
      <w:r w:rsidRPr="007D5795">
        <w:rPr>
          <w:rStyle w:val="TextoNormalNegritaCaracter"/>
        </w:rPr>
        <w:t>Artículo 3.</w:t>
      </w:r>
      <w:r w:rsidRPr="007D5795">
        <w:rPr>
          <w:rStyle w:val="TextoNormalCaracter"/>
        </w:rPr>
        <w:t>-</w:t>
      </w:r>
      <w:r>
        <w:t xml:space="preserve"> Sentencias </w:t>
      </w:r>
      <w:hyperlink w:anchor="SENTENCIA_2024_136" w:history="1">
        <w:r w:rsidRPr="007D5795">
          <w:rPr>
            <w:rStyle w:val="TextoNormalCaracter"/>
          </w:rPr>
          <w:t>136/2024</w:t>
        </w:r>
      </w:hyperlink>
      <w:r>
        <w:t xml:space="preserve">, ff. 1, 3, 6; </w:t>
      </w:r>
      <w:hyperlink w:anchor="SENTENCIA_2024_141" w:history="1">
        <w:r w:rsidRPr="007D5795">
          <w:rPr>
            <w:rStyle w:val="TextoNormalCaracter"/>
          </w:rPr>
          <w:t>141/2024</w:t>
        </w:r>
      </w:hyperlink>
      <w:r>
        <w:t>, f. 5.</w:t>
      </w:r>
    </w:p>
    <w:p w14:paraId="5D1B1344" w14:textId="72BEF057" w:rsidR="007D5795" w:rsidRDefault="007D5795" w:rsidP="007D5795">
      <w:pPr>
        <w:pStyle w:val="SangriaFrancesaArticulo"/>
      </w:pPr>
    </w:p>
    <w:p w14:paraId="13F66968" w14:textId="77777777" w:rsidR="007D5795" w:rsidRDefault="007D5795" w:rsidP="007D5795">
      <w:pPr>
        <w:pStyle w:val="TextoNormalNegritaCursivandice"/>
        <w:keepNext/>
      </w:pPr>
      <w:r>
        <w:t>Ley Orgánica 2/1987, de 18 de mayo, de conflictos jurisdiccionales</w:t>
      </w:r>
    </w:p>
    <w:p w14:paraId="12FFB2B5" w14:textId="71050B0E" w:rsidR="007D5795" w:rsidRDefault="007D5795" w:rsidP="007D5795">
      <w:pPr>
        <w:pStyle w:val="SangriaFrancesaArticulo"/>
      </w:pPr>
      <w:r w:rsidRPr="007D5795">
        <w:rPr>
          <w:rStyle w:val="TextoNormalNegritaCaracter"/>
        </w:rPr>
        <w:t>Artículo 20.</w:t>
      </w:r>
      <w:r w:rsidRPr="007D5795">
        <w:rPr>
          <w:rStyle w:val="TextoNormalCaracter"/>
        </w:rPr>
        <w:t>-</w:t>
      </w:r>
      <w:r>
        <w:t xml:space="preserve"> Sentencia </w:t>
      </w:r>
      <w:hyperlink w:anchor="SENTENCIA_2024_128" w:history="1">
        <w:r w:rsidRPr="007D5795">
          <w:rPr>
            <w:rStyle w:val="TextoNormalCaracter"/>
          </w:rPr>
          <w:t>128/2024</w:t>
        </w:r>
      </w:hyperlink>
      <w:r>
        <w:t>, f. 2.</w:t>
      </w:r>
    </w:p>
    <w:p w14:paraId="43C8C832" w14:textId="57331520" w:rsidR="007D5795" w:rsidRDefault="007D5795" w:rsidP="007D5795">
      <w:pPr>
        <w:pStyle w:val="SangriaFrancesaArticulo"/>
      </w:pPr>
      <w:r w:rsidRPr="007D5795">
        <w:rPr>
          <w:rStyle w:val="TextoNormalNegritaCaracter"/>
        </w:rPr>
        <w:t>Artículo 53.</w:t>
      </w:r>
      <w:r w:rsidRPr="007D5795">
        <w:rPr>
          <w:rStyle w:val="TextoNormalCaracter"/>
        </w:rPr>
        <w:t>-</w:t>
      </w:r>
      <w:r>
        <w:t xml:space="preserve"> Sentencia </w:t>
      </w:r>
      <w:hyperlink w:anchor="SENTENCIA_2024_128" w:history="1">
        <w:r w:rsidRPr="007D5795">
          <w:rPr>
            <w:rStyle w:val="TextoNormalCaracter"/>
          </w:rPr>
          <w:t>128/2024</w:t>
        </w:r>
      </w:hyperlink>
      <w:r>
        <w:t>, f. 2.</w:t>
      </w:r>
    </w:p>
    <w:p w14:paraId="541D3191" w14:textId="7F037C69" w:rsidR="007D5795" w:rsidRDefault="007D5795" w:rsidP="007D5795">
      <w:pPr>
        <w:pStyle w:val="SangriaFrancesaArticulo"/>
      </w:pPr>
    </w:p>
    <w:p w14:paraId="2CFA1E11" w14:textId="77777777" w:rsidR="007D5795" w:rsidRDefault="007D5795" w:rsidP="007D5795">
      <w:pPr>
        <w:pStyle w:val="TextoNormalNegritaCursivandice"/>
        <w:keepNext/>
      </w:pPr>
      <w:r>
        <w:t>Ley Orgánica 4/1987, de 15 de julio. Competencia y organización de la jurisdicción militar</w:t>
      </w:r>
    </w:p>
    <w:p w14:paraId="7A2312D4" w14:textId="60BA7B72" w:rsidR="007D5795" w:rsidRDefault="007D5795" w:rsidP="007D5795">
      <w:pPr>
        <w:pStyle w:val="SangriaFrancesaArticulo"/>
      </w:pPr>
      <w:r w:rsidRPr="007D5795">
        <w:rPr>
          <w:rStyle w:val="TextoNormalNegritaCaracter"/>
        </w:rPr>
        <w:t>Exposición de motivos.</w:t>
      </w:r>
      <w:r w:rsidRPr="007D5795">
        <w:rPr>
          <w:rStyle w:val="TextoNormalCaracter"/>
        </w:rPr>
        <w:t>-</w:t>
      </w:r>
      <w:r>
        <w:t xml:space="preserve"> Sentencia </w:t>
      </w:r>
      <w:hyperlink w:anchor="SENTENCIA_2024_128" w:history="1">
        <w:r w:rsidRPr="007D5795">
          <w:rPr>
            <w:rStyle w:val="TextoNormalCaracter"/>
          </w:rPr>
          <w:t>128/2024</w:t>
        </w:r>
      </w:hyperlink>
      <w:r>
        <w:t>, VP.</w:t>
      </w:r>
    </w:p>
    <w:p w14:paraId="46EF4037" w14:textId="2A1A770B" w:rsidR="007D5795" w:rsidRDefault="007D5795" w:rsidP="007D5795">
      <w:pPr>
        <w:pStyle w:val="SangriaFrancesaArticulo"/>
      </w:pPr>
      <w:r w:rsidRPr="007D5795">
        <w:rPr>
          <w:rStyle w:val="TextoNormalNegritaCaracter"/>
        </w:rPr>
        <w:t>Artículo 12.4.</w:t>
      </w:r>
      <w:r w:rsidRPr="007D5795">
        <w:rPr>
          <w:rStyle w:val="TextoNormalCaracter"/>
        </w:rPr>
        <w:t>-</w:t>
      </w:r>
      <w:r>
        <w:t xml:space="preserve"> Sentencia </w:t>
      </w:r>
      <w:hyperlink w:anchor="SENTENCIA_2024_128" w:history="1">
        <w:r w:rsidRPr="007D5795">
          <w:rPr>
            <w:rStyle w:val="TextoNormalCaracter"/>
          </w:rPr>
          <w:t>128/2024</w:t>
        </w:r>
      </w:hyperlink>
      <w:r>
        <w:t>, VP.</w:t>
      </w:r>
    </w:p>
    <w:p w14:paraId="5152FF25" w14:textId="0793DC7E" w:rsidR="007D5795" w:rsidRDefault="007D5795" w:rsidP="007D5795">
      <w:pPr>
        <w:pStyle w:val="SangriaFrancesaArticulo"/>
      </w:pPr>
      <w:r w:rsidRPr="007D5795">
        <w:rPr>
          <w:rStyle w:val="TextoNormalNegritaCaracter"/>
        </w:rPr>
        <w:t>Artículo 14.</w:t>
      </w:r>
      <w:r w:rsidRPr="007D5795">
        <w:rPr>
          <w:rStyle w:val="TextoNormalCaracter"/>
        </w:rPr>
        <w:t>-</w:t>
      </w:r>
      <w:r>
        <w:t xml:space="preserve"> Sentencia </w:t>
      </w:r>
      <w:hyperlink w:anchor="SENTENCIA_2024_128" w:history="1">
        <w:r w:rsidRPr="007D5795">
          <w:rPr>
            <w:rStyle w:val="TextoNormalCaracter"/>
          </w:rPr>
          <w:t>128/2024</w:t>
        </w:r>
      </w:hyperlink>
      <w:r>
        <w:t>, f. 6, VP.</w:t>
      </w:r>
    </w:p>
    <w:p w14:paraId="77C81718" w14:textId="522ADC51" w:rsidR="007D5795" w:rsidRDefault="007D5795" w:rsidP="007D5795">
      <w:pPr>
        <w:pStyle w:val="SangriaFrancesaArticulo"/>
      </w:pPr>
    </w:p>
    <w:p w14:paraId="019DEDF9" w14:textId="77777777" w:rsidR="007D5795" w:rsidRDefault="007D5795" w:rsidP="007D5795">
      <w:pPr>
        <w:pStyle w:val="TextoNormalNegritaCursivandice"/>
        <w:keepNext/>
      </w:pPr>
      <w:r>
        <w:t>Ley Orgánica 10/1995, de 23 de noviembre, del Código penal</w:t>
      </w:r>
    </w:p>
    <w:p w14:paraId="6D2A9169" w14:textId="70E37C3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9" w:history="1">
        <w:r w:rsidRPr="007D5795">
          <w:rPr>
            <w:rStyle w:val="TextoNormalCaracter"/>
          </w:rPr>
          <w:t>99/2024</w:t>
        </w:r>
      </w:hyperlink>
      <w:r>
        <w:t xml:space="preserve">, VP I; </w:t>
      </w:r>
      <w:hyperlink w:anchor="SENTENCIA_2024_103" w:history="1">
        <w:r w:rsidRPr="007D5795">
          <w:rPr>
            <w:rStyle w:val="TextoNormalCaracter"/>
          </w:rPr>
          <w:t>103/2024</w:t>
        </w:r>
      </w:hyperlink>
      <w:r>
        <w:t xml:space="preserve">, f. 5; </w:t>
      </w:r>
      <w:hyperlink w:anchor="SENTENCIA_2024_122" w:history="1">
        <w:r w:rsidRPr="007D5795">
          <w:rPr>
            <w:rStyle w:val="TextoNormalCaracter"/>
          </w:rPr>
          <w:t>122/2024</w:t>
        </w:r>
      </w:hyperlink>
      <w:r>
        <w:t>, f. 1.</w:t>
      </w:r>
    </w:p>
    <w:p w14:paraId="13E8A46E" w14:textId="36F470A3" w:rsidR="007D5795" w:rsidRDefault="007D5795" w:rsidP="007D5795">
      <w:pPr>
        <w:pStyle w:val="SangriaFrancesaArticulo"/>
      </w:pPr>
      <w:r w:rsidRPr="007D5795">
        <w:rPr>
          <w:rStyle w:val="TextoNormalNegritaCaracter"/>
        </w:rPr>
        <w:t>Libro I, título III, capítulo III, sección primera.</w:t>
      </w:r>
      <w:r w:rsidRPr="007D5795">
        <w:rPr>
          <w:rStyle w:val="TextoNormalCaracter"/>
        </w:rPr>
        <w:t>-</w:t>
      </w:r>
      <w:r>
        <w:t xml:space="preserve"> Sentencia </w:t>
      </w:r>
      <w:hyperlink w:anchor="SENTENCIA_2024_122" w:history="1">
        <w:r w:rsidRPr="007D5795">
          <w:rPr>
            <w:rStyle w:val="TextoNormalCaracter"/>
          </w:rPr>
          <w:t>122/2024</w:t>
        </w:r>
      </w:hyperlink>
      <w:r>
        <w:t>, f. 3.</w:t>
      </w:r>
    </w:p>
    <w:p w14:paraId="4FDBD648" w14:textId="720E43F4"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Sentencias </w:t>
      </w:r>
      <w:hyperlink w:anchor="SENTENCIA_2024_95" w:history="1">
        <w:r w:rsidRPr="007D5795">
          <w:rPr>
            <w:rStyle w:val="TextoNormalCaracter"/>
          </w:rPr>
          <w:t>95/2024</w:t>
        </w:r>
      </w:hyperlink>
      <w:r>
        <w:t xml:space="preserve">, f. 3, VP III; </w:t>
      </w:r>
      <w:hyperlink w:anchor="SENTENCIA_2024_96" w:history="1">
        <w:r w:rsidRPr="007D5795">
          <w:rPr>
            <w:rStyle w:val="TextoNormalCaracter"/>
          </w:rPr>
          <w:t>96/2024</w:t>
        </w:r>
      </w:hyperlink>
      <w:r>
        <w:t xml:space="preserve">, f. 6; </w:t>
      </w:r>
      <w:hyperlink w:anchor="SENTENCIA_2024_97" w:history="1">
        <w:r w:rsidRPr="007D5795">
          <w:rPr>
            <w:rStyle w:val="TextoNormalCaracter"/>
          </w:rPr>
          <w:t>97/2024</w:t>
        </w:r>
      </w:hyperlink>
      <w:r>
        <w:t xml:space="preserve">, f. 5; </w:t>
      </w:r>
      <w:hyperlink w:anchor="SENTENCIA_2024_100" w:history="1">
        <w:r w:rsidRPr="007D5795">
          <w:rPr>
            <w:rStyle w:val="TextoNormalCaracter"/>
          </w:rPr>
          <w:t>100/2024</w:t>
        </w:r>
      </w:hyperlink>
      <w:r>
        <w:t>, f. 5.</w:t>
      </w:r>
    </w:p>
    <w:p w14:paraId="4DF71A52" w14:textId="5AA68EB0" w:rsidR="007D5795" w:rsidRDefault="007D5795" w:rsidP="007D5795">
      <w:pPr>
        <w:pStyle w:val="SangriaFrancesaArticulo"/>
      </w:pPr>
      <w:r w:rsidRPr="007D5795">
        <w:rPr>
          <w:rStyle w:val="TextoNormalNegritaCaracter"/>
        </w:rPr>
        <w:t>Artículo 21.7.</w:t>
      </w:r>
      <w:r w:rsidRPr="007D5795">
        <w:rPr>
          <w:rStyle w:val="TextoNormalCaracter"/>
        </w:rPr>
        <w:t>-</w:t>
      </w:r>
      <w:r>
        <w:t xml:space="preserve"> Sentencia </w:t>
      </w:r>
      <w:hyperlink w:anchor="SENTENCIA_2024_101" w:history="1">
        <w:r w:rsidRPr="007D5795">
          <w:rPr>
            <w:rStyle w:val="TextoNormalCaracter"/>
          </w:rPr>
          <w:t>101/2024</w:t>
        </w:r>
      </w:hyperlink>
      <w:r>
        <w:t>, f. 1.</w:t>
      </w:r>
    </w:p>
    <w:p w14:paraId="08262E4F" w14:textId="00C9760C" w:rsidR="007D5795" w:rsidRDefault="007D5795" w:rsidP="007D5795">
      <w:pPr>
        <w:pStyle w:val="SangriaFrancesaArticulo"/>
      </w:pPr>
      <w:r w:rsidRPr="007D5795">
        <w:rPr>
          <w:rStyle w:val="TextoNormalNegritaCaracter"/>
        </w:rPr>
        <w:t>Artículo 33.</w:t>
      </w:r>
      <w:r w:rsidRPr="007D5795">
        <w:rPr>
          <w:rStyle w:val="TextoNormalCaracter"/>
        </w:rPr>
        <w:t>-</w:t>
      </w:r>
      <w:r>
        <w:t xml:space="preserve"> Auto </w:t>
      </w:r>
      <w:hyperlink w:anchor="AUTO_2024_84" w:history="1">
        <w:r w:rsidRPr="007D5795">
          <w:rPr>
            <w:rStyle w:val="TextoNormalCaracter"/>
          </w:rPr>
          <w:t>84/2024</w:t>
        </w:r>
      </w:hyperlink>
      <w:r>
        <w:t>, f. 2.</w:t>
      </w:r>
    </w:p>
    <w:p w14:paraId="2FD4B7F7" w14:textId="03F1ACEB" w:rsidR="007D5795" w:rsidRDefault="007D5795" w:rsidP="007D5795">
      <w:pPr>
        <w:pStyle w:val="SangriaFrancesaArticulo"/>
      </w:pPr>
      <w:r w:rsidRPr="007D5795">
        <w:rPr>
          <w:rStyle w:val="TextoNormalNegritaCaracter"/>
        </w:rPr>
        <w:t>Artículo 76.1.</w:t>
      </w:r>
      <w:r w:rsidRPr="007D5795">
        <w:rPr>
          <w:rStyle w:val="TextoNormalCaracter"/>
        </w:rPr>
        <w:t>-</w:t>
      </w:r>
      <w:r>
        <w:t xml:space="preserve"> Sentencia </w:t>
      </w:r>
      <w:hyperlink w:anchor="SENTENCIA_2024_123" w:history="1">
        <w:r w:rsidRPr="007D5795">
          <w:rPr>
            <w:rStyle w:val="TextoNormalCaracter"/>
          </w:rPr>
          <w:t>123/2024</w:t>
        </w:r>
      </w:hyperlink>
      <w:r>
        <w:t>, VP II.</w:t>
      </w:r>
    </w:p>
    <w:p w14:paraId="67B15BC1" w14:textId="48702AAF" w:rsidR="007D5795" w:rsidRDefault="007D5795" w:rsidP="007D5795">
      <w:pPr>
        <w:pStyle w:val="SangriaFrancesaArticulo"/>
      </w:pPr>
      <w:r w:rsidRPr="007D5795">
        <w:rPr>
          <w:rStyle w:val="TextoNormalNegritaCaracter"/>
        </w:rPr>
        <w:t>Artículo 80.</w:t>
      </w:r>
      <w:r w:rsidRPr="007D5795">
        <w:rPr>
          <w:rStyle w:val="TextoNormalCaracter"/>
        </w:rPr>
        <w:t>-</w:t>
      </w:r>
      <w:r>
        <w:t xml:space="preserve"> Sentencia </w:t>
      </w:r>
      <w:hyperlink w:anchor="SENTENCIA_2024_122" w:history="1">
        <w:r w:rsidRPr="007D5795">
          <w:rPr>
            <w:rStyle w:val="TextoNormalCaracter"/>
          </w:rPr>
          <w:t>122/2024</w:t>
        </w:r>
      </w:hyperlink>
      <w:r>
        <w:t>, f. 4.</w:t>
      </w:r>
    </w:p>
    <w:p w14:paraId="1F30020C" w14:textId="659FE95D" w:rsidR="007D5795" w:rsidRDefault="007D5795" w:rsidP="007D5795">
      <w:pPr>
        <w:pStyle w:val="SangriaFrancesaArticulo"/>
      </w:pPr>
      <w:r w:rsidRPr="007D5795">
        <w:rPr>
          <w:rStyle w:val="TextoNormalNegritaCaracter"/>
        </w:rPr>
        <w:t>Artículo 80</w:t>
      </w:r>
      <w:r>
        <w:t xml:space="preserve"> (redactado por la Ley Orgánica 1/2015, de 30 de marzo)</w:t>
      </w:r>
      <w:r w:rsidRPr="007D5795">
        <w:rPr>
          <w:rStyle w:val="TextoNormalNegritaCaracter"/>
        </w:rPr>
        <w:t>.</w:t>
      </w:r>
      <w:r w:rsidRPr="007D5795">
        <w:rPr>
          <w:rStyle w:val="TextoNormalCaracter"/>
        </w:rPr>
        <w:t>-</w:t>
      </w:r>
      <w:r>
        <w:t xml:space="preserve"> Sentencia </w:t>
      </w:r>
      <w:hyperlink w:anchor="SENTENCIA_2024_122" w:history="1">
        <w:r w:rsidRPr="007D5795">
          <w:rPr>
            <w:rStyle w:val="TextoNormalCaracter"/>
          </w:rPr>
          <w:t>122/2024</w:t>
        </w:r>
      </w:hyperlink>
      <w:r>
        <w:t>, f. 3.</w:t>
      </w:r>
    </w:p>
    <w:p w14:paraId="76AADCB0" w14:textId="545853DE" w:rsidR="007D5795" w:rsidRDefault="007D5795" w:rsidP="007D5795">
      <w:pPr>
        <w:pStyle w:val="SangriaFrancesaArticulo"/>
      </w:pPr>
      <w:r w:rsidRPr="007D5795">
        <w:rPr>
          <w:rStyle w:val="TextoNormalNegritaCaracter"/>
        </w:rPr>
        <w:t>Artículo 80.2.1.</w:t>
      </w:r>
      <w:r w:rsidRPr="007D5795">
        <w:rPr>
          <w:rStyle w:val="TextoNormalCaracter"/>
        </w:rPr>
        <w:t>-</w:t>
      </w:r>
      <w:r>
        <w:t xml:space="preserve"> Sentencia </w:t>
      </w:r>
      <w:hyperlink w:anchor="SENTENCIA_2024_118" w:history="1">
        <w:r w:rsidRPr="007D5795">
          <w:rPr>
            <w:rStyle w:val="TextoNormalCaracter"/>
          </w:rPr>
          <w:t>118/2024</w:t>
        </w:r>
      </w:hyperlink>
      <w:r>
        <w:t>, VP I.</w:t>
      </w:r>
    </w:p>
    <w:p w14:paraId="19FB8E6B" w14:textId="615B3BF3" w:rsidR="007D5795" w:rsidRDefault="007D5795" w:rsidP="007D5795">
      <w:pPr>
        <w:pStyle w:val="SangriaFrancesaArticulo"/>
      </w:pPr>
      <w:r w:rsidRPr="007D5795">
        <w:rPr>
          <w:rStyle w:val="TextoNormalNegritaCaracter"/>
        </w:rPr>
        <w:t>Artículo 80.3.</w:t>
      </w:r>
      <w:r w:rsidRPr="007D5795">
        <w:rPr>
          <w:rStyle w:val="TextoNormalCaracter"/>
        </w:rPr>
        <w:t>-</w:t>
      </w:r>
      <w:r>
        <w:t xml:space="preserve"> Sentencia </w:t>
      </w:r>
      <w:hyperlink w:anchor="SENTENCIA_2024_122" w:history="1">
        <w:r w:rsidRPr="007D5795">
          <w:rPr>
            <w:rStyle w:val="TextoNormalCaracter"/>
          </w:rPr>
          <w:t>122/2024</w:t>
        </w:r>
      </w:hyperlink>
      <w:r>
        <w:t>, f. 4.</w:t>
      </w:r>
    </w:p>
    <w:p w14:paraId="6598811F" w14:textId="2283FE2E" w:rsidR="007D5795" w:rsidRDefault="007D5795" w:rsidP="007D5795">
      <w:pPr>
        <w:pStyle w:val="SangriaFrancesaArticulo"/>
      </w:pPr>
      <w:r w:rsidRPr="007D5795">
        <w:rPr>
          <w:rStyle w:val="TextoNormalNegritaCaracter"/>
        </w:rPr>
        <w:t>Artículo 80.5.</w:t>
      </w:r>
      <w:r w:rsidRPr="007D5795">
        <w:rPr>
          <w:rStyle w:val="TextoNormalCaracter"/>
        </w:rPr>
        <w:t>-</w:t>
      </w:r>
      <w:r>
        <w:t xml:space="preserve"> Sentencia </w:t>
      </w:r>
      <w:hyperlink w:anchor="SENTENCIA_2024_122" w:history="1">
        <w:r w:rsidRPr="007D5795">
          <w:rPr>
            <w:rStyle w:val="TextoNormalCaracter"/>
          </w:rPr>
          <w:t>122/2024</w:t>
        </w:r>
      </w:hyperlink>
      <w:r>
        <w:t>, f. 4.</w:t>
      </w:r>
    </w:p>
    <w:p w14:paraId="0D2D0CE2" w14:textId="656F8762" w:rsidR="007D5795" w:rsidRDefault="007D5795" w:rsidP="007D5795">
      <w:pPr>
        <w:pStyle w:val="SangriaFrancesaArticulo"/>
      </w:pPr>
      <w:r w:rsidRPr="007D5795">
        <w:rPr>
          <w:rStyle w:val="TextoNormalNegritaCaracter"/>
        </w:rPr>
        <w:t>Artículo 86.</w:t>
      </w:r>
      <w:r w:rsidRPr="007D5795">
        <w:rPr>
          <w:rStyle w:val="TextoNormalCaracter"/>
        </w:rPr>
        <w:t>-</w:t>
      </w:r>
      <w:r>
        <w:t xml:space="preserve"> Sentencia </w:t>
      </w:r>
      <w:hyperlink w:anchor="SENTENCIA_2024_122" w:history="1">
        <w:r w:rsidRPr="007D5795">
          <w:rPr>
            <w:rStyle w:val="TextoNormalCaracter"/>
          </w:rPr>
          <w:t>122/2024</w:t>
        </w:r>
      </w:hyperlink>
      <w:r>
        <w:t>, f. 4.</w:t>
      </w:r>
    </w:p>
    <w:p w14:paraId="155FD868" w14:textId="73173662" w:rsidR="007D5795" w:rsidRDefault="007D5795" w:rsidP="007D5795">
      <w:pPr>
        <w:pStyle w:val="SangriaIzquierdaArticulo"/>
      </w:pPr>
      <w:r>
        <w:t xml:space="preserve">Auto </w:t>
      </w:r>
      <w:hyperlink w:anchor="AUTO_2024_94" w:history="1">
        <w:r w:rsidRPr="007D5795">
          <w:rPr>
            <w:rStyle w:val="TextoNormalCaracter"/>
          </w:rPr>
          <w:t>94/2024</w:t>
        </w:r>
      </w:hyperlink>
      <w:r>
        <w:t>, f. único.</w:t>
      </w:r>
    </w:p>
    <w:p w14:paraId="411F2847" w14:textId="06987C55" w:rsidR="007D5795" w:rsidRDefault="007D5795" w:rsidP="007D5795">
      <w:pPr>
        <w:pStyle w:val="SangriaFrancesaArticulo"/>
      </w:pPr>
      <w:r w:rsidRPr="007D5795">
        <w:rPr>
          <w:rStyle w:val="TextoNormalNegritaCaracter"/>
        </w:rPr>
        <w:t>Artículo 86.1 a).</w:t>
      </w:r>
      <w:r w:rsidRPr="007D5795">
        <w:rPr>
          <w:rStyle w:val="TextoNormalCaracter"/>
        </w:rPr>
        <w:t>-</w:t>
      </w:r>
      <w:r>
        <w:t xml:space="preserve"> Sentencia </w:t>
      </w:r>
      <w:hyperlink w:anchor="SENTENCIA_2024_122" w:history="1">
        <w:r w:rsidRPr="007D5795">
          <w:rPr>
            <w:rStyle w:val="TextoNormalCaracter"/>
          </w:rPr>
          <w:t>122/2024</w:t>
        </w:r>
      </w:hyperlink>
      <w:r>
        <w:t>, f. 4.</w:t>
      </w:r>
    </w:p>
    <w:p w14:paraId="4F65D004" w14:textId="5E0C7973" w:rsidR="007D5795" w:rsidRDefault="007D5795" w:rsidP="007D5795">
      <w:pPr>
        <w:pStyle w:val="SangriaFrancesaArticulo"/>
      </w:pPr>
      <w:r w:rsidRPr="007D5795">
        <w:rPr>
          <w:rStyle w:val="TextoNormalNegritaCaracter"/>
        </w:rPr>
        <w:t>Artículo 86.1 d).</w:t>
      </w:r>
      <w:r w:rsidRPr="007D5795">
        <w:rPr>
          <w:rStyle w:val="TextoNormalCaracter"/>
        </w:rPr>
        <w:t>-</w:t>
      </w:r>
      <w:r>
        <w:t xml:space="preserve"> Sentencia </w:t>
      </w:r>
      <w:hyperlink w:anchor="SENTENCIA_2024_122" w:history="1">
        <w:r w:rsidRPr="007D5795">
          <w:rPr>
            <w:rStyle w:val="TextoNormalCaracter"/>
          </w:rPr>
          <w:t>122/2024</w:t>
        </w:r>
      </w:hyperlink>
      <w:r>
        <w:t>, ff. 2 a 4.</w:t>
      </w:r>
    </w:p>
    <w:p w14:paraId="321FD2F4" w14:textId="0B4E47AA" w:rsidR="007D5795" w:rsidRDefault="007D5795" w:rsidP="007D5795">
      <w:pPr>
        <w:pStyle w:val="SangriaIzquierdaArticulo"/>
      </w:pPr>
      <w:r>
        <w:t xml:space="preserve">Auto </w:t>
      </w:r>
      <w:hyperlink w:anchor="AUTO_2024_94" w:history="1">
        <w:r w:rsidRPr="007D5795">
          <w:rPr>
            <w:rStyle w:val="TextoNormalCaracter"/>
          </w:rPr>
          <w:t>94/2024</w:t>
        </w:r>
      </w:hyperlink>
      <w:r>
        <w:t>, f. unico.</w:t>
      </w:r>
    </w:p>
    <w:p w14:paraId="46215ADB" w14:textId="039DB114" w:rsidR="007D5795" w:rsidRDefault="007D5795" w:rsidP="007D5795">
      <w:pPr>
        <w:pStyle w:val="SangriaFrancesaArticulo"/>
      </w:pPr>
      <w:r w:rsidRPr="007D5795">
        <w:rPr>
          <w:rStyle w:val="TextoNormalNegritaCaracter"/>
        </w:rPr>
        <w:t>Artículo 86.4.</w:t>
      </w:r>
      <w:r w:rsidRPr="007D5795">
        <w:rPr>
          <w:rStyle w:val="TextoNormalCaracter"/>
        </w:rPr>
        <w:t>-</w:t>
      </w:r>
      <w:r>
        <w:t xml:space="preserve"> Sentencia </w:t>
      </w:r>
      <w:hyperlink w:anchor="SENTENCIA_2024_122" w:history="1">
        <w:r w:rsidRPr="007D5795">
          <w:rPr>
            <w:rStyle w:val="TextoNormalCaracter"/>
          </w:rPr>
          <w:t>122/2024</w:t>
        </w:r>
      </w:hyperlink>
      <w:r>
        <w:t>, f. 4.</w:t>
      </w:r>
    </w:p>
    <w:p w14:paraId="49CD0852" w14:textId="7271EB00" w:rsidR="007D5795" w:rsidRDefault="007D5795" w:rsidP="007D5795">
      <w:pPr>
        <w:pStyle w:val="SangriaIzquierdaArticulo"/>
      </w:pPr>
      <w:r>
        <w:t xml:space="preserve">Auto </w:t>
      </w:r>
      <w:hyperlink w:anchor="AUTO_2024_94" w:history="1">
        <w:r w:rsidRPr="007D5795">
          <w:rPr>
            <w:rStyle w:val="TextoNormalCaracter"/>
          </w:rPr>
          <w:t>94/2024</w:t>
        </w:r>
      </w:hyperlink>
      <w:r>
        <w:t>, f. único.</w:t>
      </w:r>
    </w:p>
    <w:p w14:paraId="4F154B9B" w14:textId="60310DEF" w:rsidR="007D5795" w:rsidRDefault="007D5795" w:rsidP="007D5795">
      <w:pPr>
        <w:pStyle w:val="SangriaFrancesaArticulo"/>
      </w:pPr>
      <w:r w:rsidRPr="007D5795">
        <w:rPr>
          <w:rStyle w:val="TextoNormalNegritaCaracter"/>
        </w:rPr>
        <w:t>Artículo 89.</w:t>
      </w:r>
      <w:r w:rsidRPr="007D5795">
        <w:rPr>
          <w:rStyle w:val="TextoNormalCaracter"/>
        </w:rPr>
        <w:t>-</w:t>
      </w:r>
      <w:r>
        <w:t xml:space="preserve"> Sentencia </w:t>
      </w:r>
      <w:hyperlink w:anchor="SENTENCIA_2024_124" w:history="1">
        <w:r w:rsidRPr="007D5795">
          <w:rPr>
            <w:rStyle w:val="TextoNormalCaracter"/>
          </w:rPr>
          <w:t>124/2024</w:t>
        </w:r>
      </w:hyperlink>
      <w:r>
        <w:t>, f. 1, VP.</w:t>
      </w:r>
    </w:p>
    <w:p w14:paraId="65C23D25" w14:textId="1DDDFADA" w:rsidR="007D5795" w:rsidRDefault="007D5795" w:rsidP="007D5795">
      <w:pPr>
        <w:pStyle w:val="SangriaFrancesaArticulo"/>
      </w:pPr>
      <w:r w:rsidRPr="007D5795">
        <w:rPr>
          <w:rStyle w:val="TextoNormalNegritaCaracter"/>
        </w:rPr>
        <w:t>Artículo 89</w:t>
      </w:r>
      <w:r>
        <w:t xml:space="preserve"> (redactado por la Ley Orgánica 5/2010, de 22 de junio)</w:t>
      </w:r>
      <w:r w:rsidRPr="007D5795">
        <w:rPr>
          <w:rStyle w:val="TextoNormalNegritaCaracter"/>
        </w:rPr>
        <w:t>.</w:t>
      </w:r>
      <w:r w:rsidRPr="007D5795">
        <w:rPr>
          <w:rStyle w:val="TextoNormalCaracter"/>
        </w:rPr>
        <w:t>-</w:t>
      </w:r>
      <w:r>
        <w:t xml:space="preserve"> Sentencia </w:t>
      </w:r>
      <w:hyperlink w:anchor="SENTENCIA_2024_124" w:history="1">
        <w:r w:rsidRPr="007D5795">
          <w:rPr>
            <w:rStyle w:val="TextoNormalCaracter"/>
          </w:rPr>
          <w:t>124/2024</w:t>
        </w:r>
      </w:hyperlink>
      <w:r>
        <w:t>, f. 2.</w:t>
      </w:r>
    </w:p>
    <w:p w14:paraId="42CD241F" w14:textId="5A4A86F3" w:rsidR="007D5795" w:rsidRDefault="007D5795" w:rsidP="007D5795">
      <w:pPr>
        <w:pStyle w:val="SangriaFrancesaArticulo"/>
      </w:pPr>
      <w:r w:rsidRPr="007D5795">
        <w:rPr>
          <w:rStyle w:val="TextoNormalNegritaCaracter"/>
        </w:rPr>
        <w:t>Artículo 89.1.</w:t>
      </w:r>
      <w:r w:rsidRPr="007D5795">
        <w:rPr>
          <w:rStyle w:val="TextoNormalCaracter"/>
        </w:rPr>
        <w:t>-</w:t>
      </w:r>
      <w:r>
        <w:t xml:space="preserve"> Sentencia </w:t>
      </w:r>
      <w:hyperlink w:anchor="SENTENCIA_2024_124" w:history="1">
        <w:r w:rsidRPr="007D5795">
          <w:rPr>
            <w:rStyle w:val="TextoNormalCaracter"/>
          </w:rPr>
          <w:t>124/2024</w:t>
        </w:r>
      </w:hyperlink>
      <w:r>
        <w:t>, f. 2.</w:t>
      </w:r>
    </w:p>
    <w:p w14:paraId="051640EB" w14:textId="160752E8" w:rsidR="007D5795" w:rsidRDefault="007D5795" w:rsidP="007D5795">
      <w:pPr>
        <w:pStyle w:val="SangriaFrancesaArticulo"/>
      </w:pPr>
      <w:r w:rsidRPr="007D5795">
        <w:rPr>
          <w:rStyle w:val="TextoNormalNegritaCaracter"/>
        </w:rPr>
        <w:t>Artículo 130.</w:t>
      </w:r>
      <w:r w:rsidRPr="007D5795">
        <w:rPr>
          <w:rStyle w:val="TextoNormalCaracter"/>
        </w:rPr>
        <w:t>-</w:t>
      </w:r>
      <w:r>
        <w:t xml:space="preserve"> Sentencia </w:t>
      </w:r>
      <w:hyperlink w:anchor="SENTENCIA_2024_103" w:history="1">
        <w:r w:rsidRPr="007D5795">
          <w:rPr>
            <w:rStyle w:val="TextoNormalCaracter"/>
          </w:rPr>
          <w:t>103/2024</w:t>
        </w:r>
      </w:hyperlink>
      <w:r>
        <w:t>, ff. 1, 5, 6.</w:t>
      </w:r>
    </w:p>
    <w:p w14:paraId="1827B736" w14:textId="28A88F91" w:rsidR="007D5795" w:rsidRDefault="007D5795" w:rsidP="007D5795">
      <w:pPr>
        <w:pStyle w:val="SangriaFrancesaArticulo"/>
      </w:pPr>
      <w:r w:rsidRPr="007D5795">
        <w:rPr>
          <w:rStyle w:val="TextoNormalNegritaCaracter"/>
        </w:rPr>
        <w:t>Artículo 131.</w:t>
      </w:r>
      <w:r w:rsidRPr="007D5795">
        <w:rPr>
          <w:rStyle w:val="TextoNormalCaracter"/>
        </w:rPr>
        <w:t>-</w:t>
      </w:r>
      <w:r>
        <w:t xml:space="preserve"> Sentencia </w:t>
      </w:r>
      <w:hyperlink w:anchor="SENTENCIA_2024_103" w:history="1">
        <w:r w:rsidRPr="007D5795">
          <w:rPr>
            <w:rStyle w:val="TextoNormalCaracter"/>
          </w:rPr>
          <w:t>103/2024</w:t>
        </w:r>
      </w:hyperlink>
      <w:r>
        <w:t>, ff. 1, 5, 6.</w:t>
      </w:r>
    </w:p>
    <w:p w14:paraId="48C8B025" w14:textId="3DBD1EA7" w:rsidR="007D5795" w:rsidRDefault="007D5795" w:rsidP="007D5795">
      <w:pPr>
        <w:pStyle w:val="SangriaFrancesaArticulo"/>
      </w:pPr>
      <w:r w:rsidRPr="007D5795">
        <w:rPr>
          <w:rStyle w:val="TextoNormalNegritaCaracter"/>
        </w:rPr>
        <w:t>Artículo 132.</w:t>
      </w:r>
      <w:r w:rsidRPr="007D5795">
        <w:rPr>
          <w:rStyle w:val="TextoNormalCaracter"/>
        </w:rPr>
        <w:t>-</w:t>
      </w:r>
      <w:r>
        <w:t xml:space="preserve"> Sentencia </w:t>
      </w:r>
      <w:hyperlink w:anchor="SENTENCIA_2024_103" w:history="1">
        <w:r w:rsidRPr="007D5795">
          <w:rPr>
            <w:rStyle w:val="TextoNormalCaracter"/>
          </w:rPr>
          <w:t>103/2024</w:t>
        </w:r>
      </w:hyperlink>
      <w:r>
        <w:t>, ff. 1, 5, 6.</w:t>
      </w:r>
    </w:p>
    <w:p w14:paraId="5EF1F506" w14:textId="2843B6BE" w:rsidR="007D5795" w:rsidRDefault="007D5795" w:rsidP="007D5795">
      <w:pPr>
        <w:pStyle w:val="SangriaFrancesaArticulo"/>
      </w:pPr>
      <w:r w:rsidRPr="007D5795">
        <w:rPr>
          <w:rStyle w:val="TextoNormalNegritaCaracter"/>
        </w:rPr>
        <w:t>Artículo 132.1.</w:t>
      </w:r>
      <w:r w:rsidRPr="007D5795">
        <w:rPr>
          <w:rStyle w:val="TextoNormalCaracter"/>
        </w:rPr>
        <w:t>-</w:t>
      </w:r>
      <w:r>
        <w:t xml:space="preserve"> Sentencia </w:t>
      </w:r>
      <w:hyperlink w:anchor="SENTENCIA_2024_103" w:history="1">
        <w:r w:rsidRPr="007D5795">
          <w:rPr>
            <w:rStyle w:val="TextoNormalCaracter"/>
          </w:rPr>
          <w:t>103/2024</w:t>
        </w:r>
      </w:hyperlink>
      <w:r>
        <w:t>, f. 5.</w:t>
      </w:r>
    </w:p>
    <w:p w14:paraId="213BB77F" w14:textId="5D649AAF" w:rsidR="007D5795" w:rsidRDefault="007D5795" w:rsidP="007D5795">
      <w:pPr>
        <w:pStyle w:val="SangriaFrancesaArticulo"/>
      </w:pPr>
      <w:r w:rsidRPr="007D5795">
        <w:rPr>
          <w:rStyle w:val="TextoNormalNegritaCaracter"/>
        </w:rPr>
        <w:t>Artículo 172.2.</w:t>
      </w:r>
      <w:r w:rsidRPr="007D5795">
        <w:rPr>
          <w:rStyle w:val="TextoNormalCaracter"/>
        </w:rPr>
        <w:t>-</w:t>
      </w:r>
      <w:r>
        <w:t xml:space="preserve"> Sentencia </w:t>
      </w:r>
      <w:hyperlink w:anchor="SENTENCIA_2024_118" w:history="1">
        <w:r w:rsidRPr="007D5795">
          <w:rPr>
            <w:rStyle w:val="TextoNormalCaracter"/>
          </w:rPr>
          <w:t>118/2024</w:t>
        </w:r>
      </w:hyperlink>
      <w:r>
        <w:t>, VP I.</w:t>
      </w:r>
    </w:p>
    <w:p w14:paraId="5E3EFE3A" w14:textId="3B6F559A" w:rsidR="007D5795" w:rsidRDefault="007D5795" w:rsidP="007D5795">
      <w:pPr>
        <w:pStyle w:val="SangriaFrancesaArticulo"/>
      </w:pPr>
      <w:r w:rsidRPr="007D5795">
        <w:rPr>
          <w:rStyle w:val="TextoNormalNegritaCaracter"/>
        </w:rPr>
        <w:t>Artículo 270.</w:t>
      </w:r>
      <w:r w:rsidRPr="007D5795">
        <w:rPr>
          <w:rStyle w:val="TextoNormalCaracter"/>
        </w:rPr>
        <w:t>-</w:t>
      </w:r>
      <w:r>
        <w:t xml:space="preserve"> Sentencias </w:t>
      </w:r>
      <w:hyperlink w:anchor="SENTENCIA_2024_133" w:history="1">
        <w:r w:rsidRPr="007D5795">
          <w:rPr>
            <w:rStyle w:val="TextoNormalCaracter"/>
          </w:rPr>
          <w:t>133/2024</w:t>
        </w:r>
      </w:hyperlink>
      <w:r>
        <w:t xml:space="preserve">, f. 2; </w:t>
      </w:r>
      <w:hyperlink w:anchor="SENTENCIA_2024_134" w:history="1">
        <w:r w:rsidRPr="007D5795">
          <w:rPr>
            <w:rStyle w:val="TextoNormalCaracter"/>
          </w:rPr>
          <w:t>134/2024</w:t>
        </w:r>
      </w:hyperlink>
      <w:r>
        <w:t>, f. 2.</w:t>
      </w:r>
    </w:p>
    <w:p w14:paraId="215F8BDA" w14:textId="17645E8F" w:rsidR="007D5795" w:rsidRDefault="007D5795" w:rsidP="007D5795">
      <w:pPr>
        <w:pStyle w:val="SangriaFrancesaArticulo"/>
      </w:pPr>
      <w:r w:rsidRPr="007D5795">
        <w:rPr>
          <w:rStyle w:val="TextoNormalNegritaCaracter"/>
        </w:rPr>
        <w:t>Artículo 270.1.</w:t>
      </w:r>
      <w:r w:rsidRPr="007D5795">
        <w:rPr>
          <w:rStyle w:val="TextoNormalCaracter"/>
        </w:rPr>
        <w:t>-</w:t>
      </w:r>
      <w:r>
        <w:t xml:space="preserve"> Sentencias </w:t>
      </w:r>
      <w:hyperlink w:anchor="SENTENCIA_2024_133" w:history="1">
        <w:r w:rsidRPr="007D5795">
          <w:rPr>
            <w:rStyle w:val="TextoNormalCaracter"/>
          </w:rPr>
          <w:t>133/2024</w:t>
        </w:r>
      </w:hyperlink>
      <w:r>
        <w:t xml:space="preserve">, ff. 2, 4, 5; </w:t>
      </w:r>
      <w:hyperlink w:anchor="SENTENCIA_2024_134" w:history="1">
        <w:r w:rsidRPr="007D5795">
          <w:rPr>
            <w:rStyle w:val="TextoNormalCaracter"/>
          </w:rPr>
          <w:t>134/2024</w:t>
        </w:r>
      </w:hyperlink>
      <w:r>
        <w:t>, ff. 2, 4.</w:t>
      </w:r>
    </w:p>
    <w:p w14:paraId="10767E5F" w14:textId="00D588F1" w:rsidR="007D5795" w:rsidRDefault="007D5795" w:rsidP="007D5795">
      <w:pPr>
        <w:pStyle w:val="SangriaFrancesaArticulo"/>
      </w:pPr>
      <w:r w:rsidRPr="007D5795">
        <w:rPr>
          <w:rStyle w:val="TextoNormalNegritaCaracter"/>
        </w:rPr>
        <w:t>Artículo 270.4</w:t>
      </w:r>
      <w:r>
        <w:t xml:space="preserve"> (redactado por la Ley Orgánica 1/2015, de 30 de marzo)</w:t>
      </w:r>
      <w:r w:rsidRPr="007D5795">
        <w:rPr>
          <w:rStyle w:val="TextoNormalNegritaCaracter"/>
        </w:rPr>
        <w:t>.</w:t>
      </w:r>
      <w:r w:rsidRPr="007D5795">
        <w:rPr>
          <w:rStyle w:val="TextoNormalCaracter"/>
        </w:rPr>
        <w:t>-</w:t>
      </w:r>
      <w:r>
        <w:t xml:space="preserve"> Sentencia </w:t>
      </w:r>
      <w:hyperlink w:anchor="SENTENCIA_2024_133" w:history="1">
        <w:r w:rsidRPr="007D5795">
          <w:rPr>
            <w:rStyle w:val="TextoNormalCaracter"/>
          </w:rPr>
          <w:t>133/2024</w:t>
        </w:r>
      </w:hyperlink>
      <w:r>
        <w:t>, f. 2.</w:t>
      </w:r>
    </w:p>
    <w:p w14:paraId="6F3EEFC3" w14:textId="133A1F1B" w:rsidR="007D5795" w:rsidRDefault="007D5795" w:rsidP="007D5795">
      <w:pPr>
        <w:pStyle w:val="SangriaFrancesaArticulo"/>
      </w:pPr>
      <w:r w:rsidRPr="007D5795">
        <w:rPr>
          <w:rStyle w:val="TextoNormalNegritaCaracter"/>
        </w:rPr>
        <w:t>Artículo 321.1.</w:t>
      </w:r>
      <w:r w:rsidRPr="007D5795">
        <w:rPr>
          <w:rStyle w:val="TextoNormalCaracter"/>
        </w:rPr>
        <w:t>-</w:t>
      </w:r>
      <w:r>
        <w:t xml:space="preserve"> Sentencia </w:t>
      </w:r>
      <w:hyperlink w:anchor="SENTENCIA_2024_95" w:history="1">
        <w:r w:rsidRPr="007D5795">
          <w:rPr>
            <w:rStyle w:val="TextoNormalCaracter"/>
          </w:rPr>
          <w:t>95/2024</w:t>
        </w:r>
      </w:hyperlink>
      <w:r>
        <w:t>, VP III.</w:t>
      </w:r>
    </w:p>
    <w:p w14:paraId="24F512A3" w14:textId="13FC6440" w:rsidR="007D5795" w:rsidRDefault="007D5795" w:rsidP="007D5795">
      <w:pPr>
        <w:pStyle w:val="SangriaFrancesaArticulo"/>
      </w:pPr>
      <w:r w:rsidRPr="007D5795">
        <w:rPr>
          <w:rStyle w:val="TextoNormalNegritaCaracter"/>
        </w:rPr>
        <w:t>Artículo 404.</w:t>
      </w:r>
      <w:r w:rsidRPr="007D5795">
        <w:rPr>
          <w:rStyle w:val="TextoNormalCaracter"/>
        </w:rPr>
        <w:t>-</w:t>
      </w:r>
      <w:r>
        <w:t xml:space="preserve"> Sentencias </w:t>
      </w:r>
      <w:hyperlink w:anchor="SENTENCIA_2024_94" w:history="1">
        <w:r w:rsidRPr="007D5795">
          <w:rPr>
            <w:rStyle w:val="TextoNormalCaracter"/>
          </w:rPr>
          <w:t>94/2024</w:t>
        </w:r>
      </w:hyperlink>
      <w:r>
        <w:t xml:space="preserve">, ff. 1, 4, 6, VP I; </w:t>
      </w:r>
      <w:hyperlink w:anchor="SENTENCIA_2024_95" w:history="1">
        <w:r w:rsidRPr="007D5795">
          <w:rPr>
            <w:rStyle w:val="TextoNormalCaracter"/>
          </w:rPr>
          <w:t>95/2024</w:t>
        </w:r>
      </w:hyperlink>
      <w:r>
        <w:t xml:space="preserve">, ff. 1, 5, VP III; </w:t>
      </w:r>
      <w:hyperlink w:anchor="SENTENCIA_2024_96" w:history="1">
        <w:r w:rsidRPr="007D5795">
          <w:rPr>
            <w:rStyle w:val="TextoNormalCaracter"/>
          </w:rPr>
          <w:t>96/2024</w:t>
        </w:r>
      </w:hyperlink>
      <w:r>
        <w:t xml:space="preserve">, ff. 1, 2, 5, 7, 8, VP I, VP II, VP IV; </w:t>
      </w:r>
      <w:hyperlink w:anchor="SENTENCIA_2024_97" w:history="1">
        <w:r w:rsidRPr="007D5795">
          <w:rPr>
            <w:rStyle w:val="TextoNormalCaracter"/>
          </w:rPr>
          <w:t>97/2024</w:t>
        </w:r>
      </w:hyperlink>
      <w:r>
        <w:t xml:space="preserve">, ff. 1, 4, 6, 8, VP I, VP IV; </w:t>
      </w:r>
      <w:hyperlink w:anchor="SENTENCIA_2024_98" w:history="1">
        <w:r w:rsidRPr="007D5795">
          <w:rPr>
            <w:rStyle w:val="TextoNormalCaracter"/>
          </w:rPr>
          <w:t>98/2024</w:t>
        </w:r>
      </w:hyperlink>
      <w:r>
        <w:t xml:space="preserve">, ff. 1, 4, 6 a 8, VP II, VP III; </w:t>
      </w:r>
      <w:hyperlink w:anchor="SENTENCIA_2024_99" w:history="1">
        <w:r w:rsidRPr="007D5795">
          <w:rPr>
            <w:rStyle w:val="TextoNormalCaracter"/>
          </w:rPr>
          <w:t>99/2024</w:t>
        </w:r>
      </w:hyperlink>
      <w:r>
        <w:t xml:space="preserve">, ff. 1, 3, 4, VP I, VP III; </w:t>
      </w:r>
      <w:hyperlink w:anchor="SENTENCIA_2024_100" w:history="1">
        <w:r w:rsidRPr="007D5795">
          <w:rPr>
            <w:rStyle w:val="TextoNormalCaracter"/>
          </w:rPr>
          <w:t>100/2024</w:t>
        </w:r>
      </w:hyperlink>
      <w:r>
        <w:t xml:space="preserve">, ff. 1, 4, 6, 8, VP I, VP II, VP III; </w:t>
      </w:r>
      <w:hyperlink w:anchor="SENTENCIA_2024_101" w:history="1">
        <w:r w:rsidRPr="007D5795">
          <w:rPr>
            <w:rStyle w:val="TextoNormalCaracter"/>
          </w:rPr>
          <w:t>101/2024</w:t>
        </w:r>
      </w:hyperlink>
      <w:r>
        <w:t xml:space="preserve">, f. 1; </w:t>
      </w:r>
      <w:hyperlink w:anchor="SENTENCIA_2024_102" w:history="1">
        <w:r w:rsidRPr="007D5795">
          <w:rPr>
            <w:rStyle w:val="TextoNormalCaracter"/>
          </w:rPr>
          <w:t>102/2024</w:t>
        </w:r>
      </w:hyperlink>
      <w:r>
        <w:t xml:space="preserve">, ff. 1, 4, 6, VP I, VP II; </w:t>
      </w:r>
      <w:hyperlink w:anchor="SENTENCIA_2024_103" w:history="1">
        <w:r w:rsidRPr="007D5795">
          <w:rPr>
            <w:rStyle w:val="TextoNormalCaracter"/>
          </w:rPr>
          <w:t>103/2024</w:t>
        </w:r>
      </w:hyperlink>
      <w:r>
        <w:t>, ff. 1, 4, 6, 7, VP I, VP II.</w:t>
      </w:r>
    </w:p>
    <w:p w14:paraId="1AFFCF63" w14:textId="48FDE57C" w:rsidR="007D5795" w:rsidRDefault="007D5795" w:rsidP="007D5795">
      <w:pPr>
        <w:pStyle w:val="SangriaFrancesaArticulo"/>
      </w:pPr>
      <w:r w:rsidRPr="007D5795">
        <w:rPr>
          <w:rStyle w:val="TextoNormalNegritaCaracter"/>
        </w:rPr>
        <w:t>Artículo 432.</w:t>
      </w:r>
      <w:r w:rsidRPr="007D5795">
        <w:rPr>
          <w:rStyle w:val="TextoNormalCaracter"/>
        </w:rPr>
        <w:t>-</w:t>
      </w:r>
      <w:r>
        <w:t xml:space="preserve"> Sentencias </w:t>
      </w:r>
      <w:hyperlink w:anchor="SENTENCIA_2024_94" w:history="1">
        <w:r w:rsidRPr="007D5795">
          <w:rPr>
            <w:rStyle w:val="TextoNormalCaracter"/>
          </w:rPr>
          <w:t>94/2024</w:t>
        </w:r>
      </w:hyperlink>
      <w:r>
        <w:t xml:space="preserve">, ff. 1, 5, 6, VP I, VP III, VP IV; </w:t>
      </w:r>
      <w:hyperlink w:anchor="SENTENCIA_2024_95" w:history="1">
        <w:r w:rsidRPr="007D5795">
          <w:rPr>
            <w:rStyle w:val="TextoNormalCaracter"/>
          </w:rPr>
          <w:t>95/2024</w:t>
        </w:r>
      </w:hyperlink>
      <w:r>
        <w:t xml:space="preserve">, ff. 1, 3 a 5, 7, VP I, VP III; </w:t>
      </w:r>
      <w:hyperlink w:anchor="SENTENCIA_2024_96" w:history="1">
        <w:r w:rsidRPr="007D5795">
          <w:rPr>
            <w:rStyle w:val="TextoNormalCaracter"/>
          </w:rPr>
          <w:t>96/2024</w:t>
        </w:r>
      </w:hyperlink>
      <w:r>
        <w:t xml:space="preserve">, ff. 1, 6 a 8, VP I, VP III, VP IV; </w:t>
      </w:r>
      <w:hyperlink w:anchor="SENTENCIA_2024_97" w:history="1">
        <w:r w:rsidRPr="007D5795">
          <w:rPr>
            <w:rStyle w:val="TextoNormalCaracter"/>
          </w:rPr>
          <w:t>97/2024</w:t>
        </w:r>
      </w:hyperlink>
      <w:r>
        <w:t xml:space="preserve">, ff. 1, 5, 6, 8, VP I, VP III, VP IV; </w:t>
      </w:r>
      <w:hyperlink w:anchor="SENTENCIA_2024_98" w:history="1">
        <w:r w:rsidRPr="007D5795">
          <w:rPr>
            <w:rStyle w:val="TextoNormalCaracter"/>
          </w:rPr>
          <w:t>98/2024</w:t>
        </w:r>
      </w:hyperlink>
      <w:r>
        <w:t xml:space="preserve">, ff. 1, 5 a 8, VP I, VP III; </w:t>
      </w:r>
      <w:hyperlink w:anchor="SENTENCIA_2024_99" w:history="1">
        <w:r w:rsidRPr="007D5795">
          <w:rPr>
            <w:rStyle w:val="TextoNormalCaracter"/>
          </w:rPr>
          <w:t>99/2024</w:t>
        </w:r>
      </w:hyperlink>
      <w:r>
        <w:t xml:space="preserve">, VP I; </w:t>
      </w:r>
      <w:hyperlink w:anchor="SENTENCIA_2024_100" w:history="1">
        <w:r w:rsidRPr="007D5795">
          <w:rPr>
            <w:rStyle w:val="TextoNormalCaracter"/>
          </w:rPr>
          <w:t>100/2024</w:t>
        </w:r>
      </w:hyperlink>
      <w:r>
        <w:t xml:space="preserve">, ff. 1, 5 a 8, VP I; </w:t>
      </w:r>
      <w:hyperlink w:anchor="SENTENCIA_2024_101" w:history="1">
        <w:r w:rsidRPr="007D5795">
          <w:rPr>
            <w:rStyle w:val="TextoNormalCaracter"/>
          </w:rPr>
          <w:t>101/2024</w:t>
        </w:r>
      </w:hyperlink>
      <w:r>
        <w:t xml:space="preserve">, ff. 1, 3; </w:t>
      </w:r>
      <w:hyperlink w:anchor="SENTENCIA_2024_102" w:history="1">
        <w:r w:rsidRPr="007D5795">
          <w:rPr>
            <w:rStyle w:val="TextoNormalCaracter"/>
          </w:rPr>
          <w:t>102/2024</w:t>
        </w:r>
      </w:hyperlink>
      <w:r>
        <w:t xml:space="preserve">, VP I; </w:t>
      </w:r>
      <w:hyperlink w:anchor="SENTENCIA_2024_103" w:history="1">
        <w:r w:rsidRPr="007D5795">
          <w:rPr>
            <w:rStyle w:val="TextoNormalCaracter"/>
          </w:rPr>
          <w:t>103/2024</w:t>
        </w:r>
      </w:hyperlink>
      <w:r>
        <w:t>, VP I.</w:t>
      </w:r>
    </w:p>
    <w:p w14:paraId="5504EA2F" w14:textId="7432E5D6" w:rsidR="007D5795" w:rsidRDefault="007D5795" w:rsidP="007D5795">
      <w:pPr>
        <w:pStyle w:val="SangriaFrancesaArticulo"/>
      </w:pPr>
      <w:r w:rsidRPr="007D5795">
        <w:rPr>
          <w:rStyle w:val="TextoNormalNegritaCaracter"/>
        </w:rPr>
        <w:t>Artículo 432.1.</w:t>
      </w:r>
      <w:r w:rsidRPr="007D5795">
        <w:rPr>
          <w:rStyle w:val="TextoNormalCaracter"/>
        </w:rPr>
        <w:t>-</w:t>
      </w:r>
      <w:r>
        <w:t xml:space="preserve"> Sentencias </w:t>
      </w:r>
      <w:hyperlink w:anchor="SENTENCIA_2024_94" w:history="1">
        <w:r w:rsidRPr="007D5795">
          <w:rPr>
            <w:rStyle w:val="TextoNormalCaracter"/>
          </w:rPr>
          <w:t>94/2024</w:t>
        </w:r>
      </w:hyperlink>
      <w:r>
        <w:t xml:space="preserve">, f. 5; </w:t>
      </w:r>
      <w:hyperlink w:anchor="SENTENCIA_2024_95" w:history="1">
        <w:r w:rsidRPr="007D5795">
          <w:rPr>
            <w:rStyle w:val="TextoNormalCaracter"/>
          </w:rPr>
          <w:t>95/2024</w:t>
        </w:r>
      </w:hyperlink>
      <w:r>
        <w:t xml:space="preserve">, ff. 3, 4; </w:t>
      </w:r>
      <w:hyperlink w:anchor="SENTENCIA_2024_96" w:history="1">
        <w:r w:rsidRPr="007D5795">
          <w:rPr>
            <w:rStyle w:val="TextoNormalCaracter"/>
          </w:rPr>
          <w:t>96/2024</w:t>
        </w:r>
      </w:hyperlink>
      <w:r>
        <w:t xml:space="preserve">, f. 6; </w:t>
      </w:r>
      <w:hyperlink w:anchor="SENTENCIA_2024_97" w:history="1">
        <w:r w:rsidRPr="007D5795">
          <w:rPr>
            <w:rStyle w:val="TextoNormalCaracter"/>
          </w:rPr>
          <w:t>97/2024</w:t>
        </w:r>
      </w:hyperlink>
      <w:r>
        <w:t xml:space="preserve">, f. 5, VP IV; </w:t>
      </w:r>
      <w:hyperlink w:anchor="SENTENCIA_2024_98" w:history="1">
        <w:r w:rsidRPr="007D5795">
          <w:rPr>
            <w:rStyle w:val="TextoNormalCaracter"/>
          </w:rPr>
          <w:t>98/2024</w:t>
        </w:r>
      </w:hyperlink>
      <w:r>
        <w:t xml:space="preserve">, f. 5; </w:t>
      </w:r>
      <w:hyperlink w:anchor="SENTENCIA_2024_100" w:history="1">
        <w:r w:rsidRPr="007D5795">
          <w:rPr>
            <w:rStyle w:val="TextoNormalCaracter"/>
          </w:rPr>
          <w:t>100/2024</w:t>
        </w:r>
      </w:hyperlink>
      <w:r>
        <w:t>, f. 5, VP I.</w:t>
      </w:r>
    </w:p>
    <w:p w14:paraId="53C17C5F" w14:textId="2A21DAC7" w:rsidR="007D5795" w:rsidRDefault="007D5795" w:rsidP="007D5795">
      <w:pPr>
        <w:pStyle w:val="SangriaFrancesaArticulo"/>
      </w:pPr>
      <w:r w:rsidRPr="007D5795">
        <w:rPr>
          <w:rStyle w:val="TextoNormalNegritaCaracter"/>
        </w:rPr>
        <w:t>Artículo 432.2.</w:t>
      </w:r>
      <w:r w:rsidRPr="007D5795">
        <w:rPr>
          <w:rStyle w:val="TextoNormalCaracter"/>
        </w:rPr>
        <w:t>-</w:t>
      </w:r>
      <w:r>
        <w:t xml:space="preserve"> Sentencias </w:t>
      </w:r>
      <w:hyperlink w:anchor="SENTENCIA_2024_95" w:history="1">
        <w:r w:rsidRPr="007D5795">
          <w:rPr>
            <w:rStyle w:val="TextoNormalCaracter"/>
          </w:rPr>
          <w:t>95/2024</w:t>
        </w:r>
      </w:hyperlink>
      <w:r>
        <w:t xml:space="preserve">, ff. 3, 4; </w:t>
      </w:r>
      <w:hyperlink w:anchor="SENTENCIA_2024_98" w:history="1">
        <w:r w:rsidRPr="007D5795">
          <w:rPr>
            <w:rStyle w:val="TextoNormalCaracter"/>
          </w:rPr>
          <w:t>98/2024</w:t>
        </w:r>
      </w:hyperlink>
      <w:r>
        <w:t>, f. 6.</w:t>
      </w:r>
    </w:p>
    <w:p w14:paraId="54C71174" w14:textId="1F518830" w:rsidR="007D5795" w:rsidRDefault="007D5795" w:rsidP="007D5795">
      <w:pPr>
        <w:pStyle w:val="SangriaFrancesaArticulo"/>
      </w:pPr>
      <w:r w:rsidRPr="007D5795">
        <w:rPr>
          <w:rStyle w:val="TextoNormalNegritaCaracter"/>
        </w:rPr>
        <w:t>Artículo 490. 3.</w:t>
      </w:r>
      <w:r w:rsidRPr="007D5795">
        <w:rPr>
          <w:rStyle w:val="TextoNormalCaracter"/>
        </w:rPr>
        <w:t>-</w:t>
      </w:r>
      <w:r>
        <w:t xml:space="preserve"> Auto </w:t>
      </w:r>
      <w:hyperlink w:anchor="AUTO_2024_85" w:history="1">
        <w:r w:rsidRPr="007D5795">
          <w:rPr>
            <w:rStyle w:val="TextoNormalCaracter"/>
          </w:rPr>
          <w:t>85/2024</w:t>
        </w:r>
      </w:hyperlink>
      <w:r>
        <w:t>, f. único.</w:t>
      </w:r>
    </w:p>
    <w:p w14:paraId="6348D378" w14:textId="773C0044" w:rsidR="007D5795" w:rsidRDefault="007D5795" w:rsidP="007D5795">
      <w:pPr>
        <w:pStyle w:val="SangriaFrancesaArticulo"/>
      </w:pPr>
      <w:r w:rsidRPr="007D5795">
        <w:rPr>
          <w:rStyle w:val="TextoNormalNegritaCaracter"/>
        </w:rPr>
        <w:t>Artículo 504.2.</w:t>
      </w:r>
      <w:r w:rsidRPr="007D5795">
        <w:rPr>
          <w:rStyle w:val="TextoNormalCaracter"/>
        </w:rPr>
        <w:t>-</w:t>
      </w:r>
      <w:r>
        <w:t xml:space="preserve"> Auto </w:t>
      </w:r>
      <w:hyperlink w:anchor="AUTO_2024_85" w:history="1">
        <w:r w:rsidRPr="007D5795">
          <w:rPr>
            <w:rStyle w:val="TextoNormalCaracter"/>
          </w:rPr>
          <w:t>85/2024</w:t>
        </w:r>
      </w:hyperlink>
      <w:r>
        <w:t>, f. único, VP.</w:t>
      </w:r>
    </w:p>
    <w:p w14:paraId="6B67709E" w14:textId="68F1FCC0" w:rsidR="007D5795" w:rsidRDefault="007D5795" w:rsidP="007D5795">
      <w:pPr>
        <w:pStyle w:val="SangriaFrancesaArticulo"/>
      </w:pPr>
      <w:r w:rsidRPr="007D5795">
        <w:rPr>
          <w:rStyle w:val="TextoNormalNegritaCaracter"/>
        </w:rPr>
        <w:t>Artículo 543.</w:t>
      </w:r>
      <w:r w:rsidRPr="007D5795">
        <w:rPr>
          <w:rStyle w:val="TextoNormalCaracter"/>
        </w:rPr>
        <w:t>-</w:t>
      </w:r>
      <w:r>
        <w:t xml:space="preserve"> Auto </w:t>
      </w:r>
      <w:hyperlink w:anchor="AUTO_2024_85" w:history="1">
        <w:r w:rsidRPr="007D5795">
          <w:rPr>
            <w:rStyle w:val="TextoNormalCaracter"/>
          </w:rPr>
          <w:t>85/2024</w:t>
        </w:r>
      </w:hyperlink>
      <w:r>
        <w:t>, f. único, VP.</w:t>
      </w:r>
    </w:p>
    <w:p w14:paraId="49C774D8" w14:textId="03DA5E7C" w:rsidR="007D5795" w:rsidRDefault="007D5795" w:rsidP="007D5795">
      <w:pPr>
        <w:pStyle w:val="SangriaFrancesaArticulo"/>
      </w:pPr>
    </w:p>
    <w:p w14:paraId="20567BB4" w14:textId="77777777" w:rsidR="007D5795" w:rsidRDefault="007D5795" w:rsidP="007D5795">
      <w:pPr>
        <w:pStyle w:val="TextoNormalNegritaCursivandice"/>
        <w:keepNext/>
      </w:pPr>
      <w:r>
        <w:t>Ley Orgánica 1/1996, de 15 de enero, de protección jurídica del menor, de modificación parcial del Código civil y de la Ley de enjuiciamiento civil</w:t>
      </w:r>
    </w:p>
    <w:p w14:paraId="4169AD42" w14:textId="54B69379" w:rsidR="007D5795" w:rsidRDefault="007D5795" w:rsidP="007D5795">
      <w:pPr>
        <w:pStyle w:val="SangriaFrancesaArticulo"/>
      </w:pPr>
      <w:r w:rsidRPr="007D5795">
        <w:rPr>
          <w:rStyle w:val="TextoNormalNegritaCaracter"/>
        </w:rPr>
        <w:t>Artículo 2.2 c).</w:t>
      </w:r>
      <w:r w:rsidRPr="007D5795">
        <w:rPr>
          <w:rStyle w:val="TextoNormalCaracter"/>
        </w:rPr>
        <w:t>-</w:t>
      </w:r>
      <w:r>
        <w:t xml:space="preserve"> Sentencia </w:t>
      </w:r>
      <w:hyperlink w:anchor="SENTENCIA_2024_115" w:history="1">
        <w:r w:rsidRPr="007D5795">
          <w:rPr>
            <w:rStyle w:val="TextoNormalCaracter"/>
          </w:rPr>
          <w:t>115/2024</w:t>
        </w:r>
      </w:hyperlink>
      <w:r>
        <w:t>, f. 3.</w:t>
      </w:r>
    </w:p>
    <w:p w14:paraId="5FB683B9" w14:textId="6DE473B2" w:rsidR="007D5795" w:rsidRDefault="007D5795" w:rsidP="007D5795">
      <w:pPr>
        <w:pStyle w:val="SangriaFrancesaArticulo"/>
      </w:pPr>
      <w:r w:rsidRPr="007D5795">
        <w:rPr>
          <w:rStyle w:val="TextoNormalNegritaCaracter"/>
        </w:rPr>
        <w:t>Artículo 2.4.</w:t>
      </w:r>
      <w:r w:rsidRPr="007D5795">
        <w:rPr>
          <w:rStyle w:val="TextoNormalCaracter"/>
        </w:rPr>
        <w:t>-</w:t>
      </w:r>
      <w:r>
        <w:t xml:space="preserve"> Sentencia </w:t>
      </w:r>
      <w:hyperlink w:anchor="SENTENCIA_2024_140" w:history="1">
        <w:r w:rsidRPr="007D5795">
          <w:rPr>
            <w:rStyle w:val="TextoNormalCaracter"/>
          </w:rPr>
          <w:t>140/2024</w:t>
        </w:r>
      </w:hyperlink>
      <w:r>
        <w:t>, ff. 1, 2.</w:t>
      </w:r>
    </w:p>
    <w:p w14:paraId="57F9D72D" w14:textId="49FE9EED" w:rsidR="007D5795" w:rsidRDefault="007D5795" w:rsidP="007D5795">
      <w:pPr>
        <w:pStyle w:val="SangriaFrancesaArticulo"/>
      </w:pPr>
      <w:r w:rsidRPr="007D5795">
        <w:rPr>
          <w:rStyle w:val="TextoNormalNegritaCaracter"/>
        </w:rPr>
        <w:t>Artículo 2.5 c).</w:t>
      </w:r>
      <w:r w:rsidRPr="007D5795">
        <w:rPr>
          <w:rStyle w:val="TextoNormalCaracter"/>
        </w:rPr>
        <w:t>-</w:t>
      </w:r>
      <w:r>
        <w:t xml:space="preserve"> Sentencia </w:t>
      </w:r>
      <w:hyperlink w:anchor="SENTENCIA_2024_106" w:history="1">
        <w:r w:rsidRPr="007D5795">
          <w:rPr>
            <w:rStyle w:val="TextoNormalCaracter"/>
          </w:rPr>
          <w:t>106/2024</w:t>
        </w:r>
      </w:hyperlink>
      <w:r>
        <w:t>, f. 4.</w:t>
      </w:r>
    </w:p>
    <w:p w14:paraId="78D3B88E" w14:textId="793D69AB" w:rsidR="007D5795" w:rsidRDefault="007D5795" w:rsidP="007D5795">
      <w:pPr>
        <w:pStyle w:val="SangriaFrancesaArticulo"/>
      </w:pPr>
      <w:r w:rsidRPr="007D5795">
        <w:rPr>
          <w:rStyle w:val="TextoNormalNegritaCaracter"/>
        </w:rPr>
        <w:t>Artículo 9.2.</w:t>
      </w:r>
      <w:r w:rsidRPr="007D5795">
        <w:rPr>
          <w:rStyle w:val="TextoNormalCaracter"/>
        </w:rPr>
        <w:t>-</w:t>
      </w:r>
      <w:r>
        <w:t xml:space="preserve"> Sentencia </w:t>
      </w:r>
      <w:hyperlink w:anchor="SENTENCIA_2024_106" w:history="1">
        <w:r w:rsidRPr="007D5795">
          <w:rPr>
            <w:rStyle w:val="TextoNormalCaracter"/>
          </w:rPr>
          <w:t>106/2024</w:t>
        </w:r>
      </w:hyperlink>
      <w:r>
        <w:t>, f. 3.</w:t>
      </w:r>
    </w:p>
    <w:p w14:paraId="1CFB9890" w14:textId="7B189331" w:rsidR="007D5795" w:rsidRDefault="007D5795" w:rsidP="007D5795">
      <w:pPr>
        <w:pStyle w:val="SangriaFrancesaArticulo"/>
      </w:pPr>
    </w:p>
    <w:p w14:paraId="49461171" w14:textId="77777777" w:rsidR="007D5795" w:rsidRDefault="007D5795" w:rsidP="007D5795">
      <w:pPr>
        <w:pStyle w:val="TextoNormalNegritaCursivandice"/>
        <w:keepNext/>
      </w:pPr>
      <w:r>
        <w:t>Ley Orgánica 4/2000, de 11 de enero, sobre derechos y libertades de los extranjeros en España y su integración social</w:t>
      </w:r>
    </w:p>
    <w:p w14:paraId="25795328" w14:textId="42218C60" w:rsidR="007D5795" w:rsidRDefault="007D5795" w:rsidP="007D5795">
      <w:pPr>
        <w:pStyle w:val="SangriaFrancesaArticulo"/>
      </w:pPr>
      <w:r w:rsidRPr="007D5795">
        <w:rPr>
          <w:rStyle w:val="TextoNormalNegritaCaracter"/>
        </w:rPr>
        <w:t>Artículo 21.2.</w:t>
      </w:r>
      <w:r w:rsidRPr="007D5795">
        <w:rPr>
          <w:rStyle w:val="TextoNormalCaracter"/>
        </w:rPr>
        <w:t>-</w:t>
      </w:r>
      <w:r>
        <w:t xml:space="preserve"> Sentencia </w:t>
      </w:r>
      <w:hyperlink w:anchor="SENTENCIA_2024_124" w:history="1">
        <w:r w:rsidRPr="007D5795">
          <w:rPr>
            <w:rStyle w:val="TextoNormalCaracter"/>
          </w:rPr>
          <w:t>124/2024</w:t>
        </w:r>
      </w:hyperlink>
      <w:r>
        <w:t>, f. 2.</w:t>
      </w:r>
    </w:p>
    <w:p w14:paraId="4A6A671E" w14:textId="3FE9D5C9" w:rsidR="007D5795" w:rsidRDefault="007D5795" w:rsidP="007D5795">
      <w:pPr>
        <w:pStyle w:val="SangriaFrancesaArticulo"/>
      </w:pPr>
      <w:r w:rsidRPr="007D5795">
        <w:rPr>
          <w:rStyle w:val="TextoNormalNegritaCaracter"/>
        </w:rPr>
        <w:t>Artículo 57.7.</w:t>
      </w:r>
      <w:r w:rsidRPr="007D5795">
        <w:rPr>
          <w:rStyle w:val="TextoNormalCaracter"/>
        </w:rPr>
        <w:t>-</w:t>
      </w:r>
      <w:r>
        <w:t xml:space="preserve"> Sentencia </w:t>
      </w:r>
      <w:hyperlink w:anchor="SENTENCIA_2024_124" w:history="1">
        <w:r w:rsidRPr="007D5795">
          <w:rPr>
            <w:rStyle w:val="TextoNormalCaracter"/>
          </w:rPr>
          <w:t>124/2024</w:t>
        </w:r>
      </w:hyperlink>
      <w:r>
        <w:t>, ff. 1 a 3, VP.</w:t>
      </w:r>
    </w:p>
    <w:p w14:paraId="25DE3CAD" w14:textId="59CA8C04" w:rsidR="007D5795" w:rsidRDefault="007D5795" w:rsidP="007D5795">
      <w:pPr>
        <w:pStyle w:val="SangriaFrancesaArticulo"/>
      </w:pPr>
    </w:p>
    <w:p w14:paraId="2198C108" w14:textId="77777777" w:rsidR="007D5795" w:rsidRDefault="007D5795" w:rsidP="007D5795">
      <w:pPr>
        <w:pStyle w:val="TextoNormalNegritaCursivandice"/>
        <w:keepNext/>
      </w:pPr>
      <w:r>
        <w:t>Ley Orgánica 1/2002, de 22 de marzo, reguladora del derecho de asociación</w:t>
      </w:r>
    </w:p>
    <w:p w14:paraId="323F6BAB" w14:textId="33B48BF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2" w:history="1">
        <w:r w:rsidRPr="007D5795">
          <w:rPr>
            <w:rStyle w:val="TextoNormalCaracter"/>
          </w:rPr>
          <w:t>132/2024</w:t>
        </w:r>
      </w:hyperlink>
      <w:r>
        <w:t>, f. 2, VP II.</w:t>
      </w:r>
    </w:p>
    <w:p w14:paraId="3B5C1A70" w14:textId="5EE368BA" w:rsidR="007D5795" w:rsidRDefault="007D5795" w:rsidP="007D5795">
      <w:pPr>
        <w:pStyle w:val="SangriaFrancesaArticulo"/>
      </w:pPr>
      <w:r w:rsidRPr="007D5795">
        <w:rPr>
          <w:rStyle w:val="TextoNormalNegritaCaracter"/>
        </w:rPr>
        <w:t>Artículo 1.3.</w:t>
      </w:r>
      <w:r w:rsidRPr="007D5795">
        <w:rPr>
          <w:rStyle w:val="TextoNormalCaracter"/>
        </w:rPr>
        <w:t>-</w:t>
      </w:r>
      <w:r>
        <w:t xml:space="preserve"> Sentencia </w:t>
      </w:r>
      <w:hyperlink w:anchor="SENTENCIA_2024_132" w:history="1">
        <w:r w:rsidRPr="007D5795">
          <w:rPr>
            <w:rStyle w:val="TextoNormalCaracter"/>
          </w:rPr>
          <w:t>132/2024</w:t>
        </w:r>
      </w:hyperlink>
      <w:r>
        <w:t>, VP I.</w:t>
      </w:r>
    </w:p>
    <w:p w14:paraId="1DE4FCFA" w14:textId="076BBA54" w:rsidR="007D5795" w:rsidRDefault="007D5795" w:rsidP="007D5795">
      <w:pPr>
        <w:pStyle w:val="SangriaFrancesaArticulo"/>
      </w:pPr>
      <w:r w:rsidRPr="007D5795">
        <w:rPr>
          <w:rStyle w:val="TextoNormalNegritaCaracter"/>
        </w:rPr>
        <w:t>Artículo 1.3, párrafo segundo.</w:t>
      </w:r>
      <w:r w:rsidRPr="007D5795">
        <w:rPr>
          <w:rStyle w:val="TextoNormalCaracter"/>
        </w:rPr>
        <w:t>-</w:t>
      </w:r>
      <w:r>
        <w:t xml:space="preserve"> Sentencia </w:t>
      </w:r>
      <w:hyperlink w:anchor="SENTENCIA_2024_132" w:history="1">
        <w:r w:rsidRPr="007D5795">
          <w:rPr>
            <w:rStyle w:val="TextoNormalCaracter"/>
          </w:rPr>
          <w:t>132/2024</w:t>
        </w:r>
      </w:hyperlink>
      <w:r>
        <w:t>, f. 4, VP II.</w:t>
      </w:r>
    </w:p>
    <w:p w14:paraId="05417650" w14:textId="3B649CED" w:rsidR="007D5795" w:rsidRDefault="007D5795" w:rsidP="007D5795">
      <w:pPr>
        <w:pStyle w:val="SangriaFrancesaArticulo"/>
      </w:pPr>
    </w:p>
    <w:p w14:paraId="51124D58" w14:textId="77777777" w:rsidR="007D5795" w:rsidRDefault="007D5795" w:rsidP="007D5795">
      <w:pPr>
        <w:pStyle w:val="TextoNormalNegritaCursivandice"/>
        <w:keepNext/>
      </w:pPr>
      <w:r>
        <w:t>Ley Orgánica 9/2003, de 15 de julio, por la que se modifica la Ley Orgánica 4/1987, de 15 de julio, de competencia y organización de la jurisdicción militar</w:t>
      </w:r>
    </w:p>
    <w:p w14:paraId="247DF0D1" w14:textId="7ADFA214"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8" w:history="1">
        <w:r w:rsidRPr="007D5795">
          <w:rPr>
            <w:rStyle w:val="TextoNormalCaracter"/>
          </w:rPr>
          <w:t>128/2024</w:t>
        </w:r>
      </w:hyperlink>
      <w:r>
        <w:t>, VP.</w:t>
      </w:r>
    </w:p>
    <w:p w14:paraId="6FE65D15" w14:textId="738DDDAB" w:rsidR="007D5795" w:rsidRDefault="007D5795" w:rsidP="007D5795">
      <w:pPr>
        <w:pStyle w:val="SangriaFrancesaArticulo"/>
      </w:pPr>
    </w:p>
    <w:p w14:paraId="17AA9447" w14:textId="77777777" w:rsidR="007D5795" w:rsidRDefault="007D5795" w:rsidP="007D5795">
      <w:pPr>
        <w:pStyle w:val="TextoNormalNegritaCursivandice"/>
        <w:keepNext/>
      </w:pPr>
      <w:r>
        <w:t>Ley Orgánica 1/2004, de 28 de diciembre, de medidas de protección integral contra la violencia de género</w:t>
      </w:r>
    </w:p>
    <w:p w14:paraId="769C9F0B" w14:textId="3F95C1C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15" w:history="1">
        <w:r w:rsidRPr="007D5795">
          <w:rPr>
            <w:rStyle w:val="TextoNormalCaracter"/>
          </w:rPr>
          <w:t>115/2024</w:t>
        </w:r>
      </w:hyperlink>
      <w:r>
        <w:t xml:space="preserve">, f. 3; </w:t>
      </w:r>
      <w:hyperlink w:anchor="SENTENCIA_2024_145" w:history="1">
        <w:r w:rsidRPr="007D5795">
          <w:rPr>
            <w:rStyle w:val="TextoNormalCaracter"/>
          </w:rPr>
          <w:t>145/2024</w:t>
        </w:r>
      </w:hyperlink>
      <w:r>
        <w:t>, f. 4.</w:t>
      </w:r>
    </w:p>
    <w:p w14:paraId="5C825726" w14:textId="0F562380" w:rsidR="007D5795" w:rsidRDefault="007D5795" w:rsidP="007D5795">
      <w:pPr>
        <w:pStyle w:val="SangriaFrancesaArticulo"/>
      </w:pPr>
    </w:p>
    <w:p w14:paraId="2AC318B2" w14:textId="77777777" w:rsidR="007D5795" w:rsidRDefault="007D5795" w:rsidP="007D5795">
      <w:pPr>
        <w:pStyle w:val="TextoNormalNegritaCursivandice"/>
        <w:keepNext/>
      </w:pPr>
      <w:r>
        <w:t>Ley Orgánica 3/2007, de 22 de marzo, para la igualdad efectiva de mujeres y hombres</w:t>
      </w:r>
    </w:p>
    <w:p w14:paraId="124BC5BF" w14:textId="74119FF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15" w:history="1">
        <w:r w:rsidRPr="007D5795">
          <w:rPr>
            <w:rStyle w:val="TextoNormalCaracter"/>
          </w:rPr>
          <w:t>115/2024</w:t>
        </w:r>
      </w:hyperlink>
      <w:r>
        <w:t xml:space="preserve">, f. 3; </w:t>
      </w:r>
      <w:hyperlink w:anchor="SENTENCIA_2024_132" w:history="1">
        <w:r w:rsidRPr="007D5795">
          <w:rPr>
            <w:rStyle w:val="TextoNormalCaracter"/>
          </w:rPr>
          <w:t>132/2024</w:t>
        </w:r>
      </w:hyperlink>
      <w:r>
        <w:t xml:space="preserve">, VP I; </w:t>
      </w:r>
      <w:hyperlink w:anchor="SENTENCIA_2024_140" w:history="1">
        <w:r w:rsidRPr="007D5795">
          <w:rPr>
            <w:rStyle w:val="TextoNormalCaracter"/>
          </w:rPr>
          <w:t>140/2024</w:t>
        </w:r>
      </w:hyperlink>
      <w:r>
        <w:t xml:space="preserve">, f. 3; </w:t>
      </w:r>
      <w:hyperlink w:anchor="SENTENCIA_2024_145" w:history="1">
        <w:r w:rsidRPr="007D5795">
          <w:rPr>
            <w:rStyle w:val="TextoNormalCaracter"/>
          </w:rPr>
          <w:t>145/2024</w:t>
        </w:r>
      </w:hyperlink>
      <w:r>
        <w:t>, f. 4.</w:t>
      </w:r>
    </w:p>
    <w:p w14:paraId="16C29ED7" w14:textId="6EC7B97A" w:rsidR="007D5795" w:rsidRDefault="007D5795" w:rsidP="007D5795">
      <w:pPr>
        <w:pStyle w:val="SangriaFrancesaArticulo"/>
      </w:pPr>
      <w:r w:rsidRPr="007D5795">
        <w:rPr>
          <w:rStyle w:val="TextoNormalNegritaCaracter"/>
        </w:rPr>
        <w:t>Artículo 4.</w:t>
      </w:r>
      <w:r w:rsidRPr="007D5795">
        <w:rPr>
          <w:rStyle w:val="TextoNormalCaracter"/>
        </w:rPr>
        <w:t>-</w:t>
      </w:r>
      <w:r>
        <w:t xml:space="preserve"> Sentencia </w:t>
      </w:r>
      <w:hyperlink w:anchor="SENTENCIA_2024_132" w:history="1">
        <w:r w:rsidRPr="007D5795">
          <w:rPr>
            <w:rStyle w:val="TextoNormalCaracter"/>
          </w:rPr>
          <w:t>132/2024</w:t>
        </w:r>
      </w:hyperlink>
      <w:r>
        <w:t>, VP I.</w:t>
      </w:r>
    </w:p>
    <w:p w14:paraId="64969C00" w14:textId="3DE8A49B" w:rsidR="007D5795" w:rsidRDefault="007D5795" w:rsidP="007D5795">
      <w:pPr>
        <w:pStyle w:val="SangriaFrancesaArticulo"/>
      </w:pPr>
      <w:r w:rsidRPr="007D5795">
        <w:rPr>
          <w:rStyle w:val="TextoNormalNegritaCaracter"/>
        </w:rPr>
        <w:t>Artículo 6.</w:t>
      </w:r>
      <w:r w:rsidRPr="007D5795">
        <w:rPr>
          <w:rStyle w:val="TextoNormalCaracter"/>
        </w:rPr>
        <w:t>-</w:t>
      </w:r>
      <w:r>
        <w:t xml:space="preserve"> Sentencia </w:t>
      </w:r>
      <w:hyperlink w:anchor="SENTENCIA_2024_140" w:history="1">
        <w:r w:rsidRPr="007D5795">
          <w:rPr>
            <w:rStyle w:val="TextoNormalCaracter"/>
          </w:rPr>
          <w:t>140/2024</w:t>
        </w:r>
      </w:hyperlink>
      <w:r>
        <w:t>, ff. 1, 2.</w:t>
      </w:r>
    </w:p>
    <w:p w14:paraId="4407972E" w14:textId="46125FF1" w:rsidR="007D5795" w:rsidRDefault="007D5795" w:rsidP="007D5795">
      <w:pPr>
        <w:pStyle w:val="SangriaFrancesaArticulo"/>
      </w:pPr>
      <w:r w:rsidRPr="007D5795">
        <w:rPr>
          <w:rStyle w:val="TextoNormalNegritaCaracter"/>
        </w:rPr>
        <w:t>Artículo 15.</w:t>
      </w:r>
      <w:r w:rsidRPr="007D5795">
        <w:rPr>
          <w:rStyle w:val="TextoNormalCaracter"/>
        </w:rPr>
        <w:t>-</w:t>
      </w:r>
      <w:r>
        <w:t xml:space="preserve"> Sentencia </w:t>
      </w:r>
      <w:hyperlink w:anchor="SENTENCIA_2024_115" w:history="1">
        <w:r w:rsidRPr="007D5795">
          <w:rPr>
            <w:rStyle w:val="TextoNormalCaracter"/>
          </w:rPr>
          <w:t>115/2024</w:t>
        </w:r>
      </w:hyperlink>
      <w:r>
        <w:t>, f. 3.</w:t>
      </w:r>
    </w:p>
    <w:p w14:paraId="0B0AC9AB" w14:textId="37E76B2E" w:rsidR="007D5795" w:rsidRDefault="007D5795" w:rsidP="007D5795">
      <w:pPr>
        <w:pStyle w:val="SangriaFrancesaArticulo"/>
      </w:pPr>
    </w:p>
    <w:p w14:paraId="76EC2224" w14:textId="77777777" w:rsidR="007D5795" w:rsidRDefault="007D5795" w:rsidP="007D5795">
      <w:pPr>
        <w:pStyle w:val="TextoNormalNegritaCursivandice"/>
        <w:keepNext/>
      </w:pPr>
      <w:r>
        <w:t>Ley Orgánica 8/2007, de 4 de julio, sobre financiación de los partidos políticos</w:t>
      </w:r>
    </w:p>
    <w:p w14:paraId="250C168B" w14:textId="3EBD1B6F" w:rsidR="007D5795" w:rsidRDefault="007D5795" w:rsidP="007D5795">
      <w:pPr>
        <w:pStyle w:val="SangriaFrancesaArticulo"/>
      </w:pPr>
      <w:r w:rsidRPr="007D5795">
        <w:rPr>
          <w:rStyle w:val="TextoNormalNegritaCaracter"/>
        </w:rPr>
        <w:t>Artículo 17 bis.2 b)</w:t>
      </w:r>
      <w:r>
        <w:t xml:space="preserve"> (redactado por la Ley Orgánica 3/2015, de 30 de marzo)</w:t>
      </w:r>
      <w:r w:rsidRPr="007D5795">
        <w:rPr>
          <w:rStyle w:val="TextoNormalNegritaCaracter"/>
        </w:rPr>
        <w:t>.</w:t>
      </w:r>
      <w:r w:rsidRPr="007D5795">
        <w:rPr>
          <w:rStyle w:val="TextoNormalCaracter"/>
        </w:rPr>
        <w:t>-</w:t>
      </w:r>
      <w:r>
        <w:t xml:space="preserve"> Auto </w:t>
      </w:r>
      <w:hyperlink w:anchor="AUTO_2024_80" w:history="1">
        <w:r w:rsidRPr="007D5795">
          <w:rPr>
            <w:rStyle w:val="TextoNormalCaracter"/>
          </w:rPr>
          <w:t>80/2024</w:t>
        </w:r>
      </w:hyperlink>
      <w:r>
        <w:t>, f. 1.</w:t>
      </w:r>
    </w:p>
    <w:p w14:paraId="65366490" w14:textId="1AC30A65" w:rsidR="007D5795" w:rsidRDefault="007D5795" w:rsidP="007D5795">
      <w:pPr>
        <w:pStyle w:val="SangriaFrancesaArticulo"/>
      </w:pPr>
      <w:r w:rsidRPr="007D5795">
        <w:rPr>
          <w:rStyle w:val="TextoNormalNegritaCaracter"/>
        </w:rPr>
        <w:t>Artículo 17 bis.2 b)</w:t>
      </w:r>
      <w:r>
        <w:t xml:space="preserve"> (redactado por la Ley Orgánica 3/2015, de 30 de marzo) inciso "sin que en ningún caso pueda ser inferior a veinticinco mil euros"</w:t>
      </w:r>
      <w:r w:rsidRPr="007D5795">
        <w:rPr>
          <w:rStyle w:val="TextoNormalNegritaCaracter"/>
        </w:rPr>
        <w:t>.</w:t>
      </w:r>
      <w:r w:rsidRPr="007D5795">
        <w:rPr>
          <w:rStyle w:val="TextoNormalCaracter"/>
        </w:rPr>
        <w:t>-</w:t>
      </w:r>
      <w:r>
        <w:t xml:space="preserve"> Auto </w:t>
      </w:r>
      <w:hyperlink w:anchor="AUTO_2024_80" w:history="1">
        <w:r w:rsidRPr="007D5795">
          <w:rPr>
            <w:rStyle w:val="TextoNormalCaracter"/>
          </w:rPr>
          <w:t>80/2024</w:t>
        </w:r>
      </w:hyperlink>
      <w:r>
        <w:t>, f. 2.</w:t>
      </w:r>
    </w:p>
    <w:p w14:paraId="21A5FB06" w14:textId="0DA1B186" w:rsidR="007D5795" w:rsidRDefault="007D5795" w:rsidP="007D5795">
      <w:pPr>
        <w:pStyle w:val="SangriaFrancesaArticulo"/>
      </w:pPr>
      <w:r w:rsidRPr="007D5795">
        <w:rPr>
          <w:rStyle w:val="TextoNormalNegritaCaracter"/>
        </w:rPr>
        <w:t>Artículo 17 bis.3 b)</w:t>
      </w:r>
      <w:r>
        <w:t xml:space="preserve"> (redactado por la Ley Orgánica 3/2015, de 30 de marzo)</w:t>
      </w:r>
      <w:r w:rsidRPr="007D5795">
        <w:rPr>
          <w:rStyle w:val="TextoNormalNegritaCaracter"/>
        </w:rPr>
        <w:t>.</w:t>
      </w:r>
      <w:r w:rsidRPr="007D5795">
        <w:rPr>
          <w:rStyle w:val="TextoNormalCaracter"/>
        </w:rPr>
        <w:t>-</w:t>
      </w:r>
      <w:r>
        <w:t xml:space="preserve"> Auto </w:t>
      </w:r>
      <w:hyperlink w:anchor="AUTO_2024_80" w:history="1">
        <w:r w:rsidRPr="007D5795">
          <w:rPr>
            <w:rStyle w:val="TextoNormalCaracter"/>
          </w:rPr>
          <w:t>80/2024</w:t>
        </w:r>
      </w:hyperlink>
      <w:r>
        <w:t>, f. 2.</w:t>
      </w:r>
    </w:p>
    <w:p w14:paraId="2CBAD550" w14:textId="6D383FE9" w:rsidR="007D5795" w:rsidRDefault="007D5795" w:rsidP="007D5795">
      <w:pPr>
        <w:pStyle w:val="SangriaFrancesaArticulo"/>
      </w:pPr>
      <w:r w:rsidRPr="007D5795">
        <w:rPr>
          <w:rStyle w:val="TextoNormalNegritaCaracter"/>
        </w:rPr>
        <w:t>Artículo 17.3 b).</w:t>
      </w:r>
      <w:r w:rsidRPr="007D5795">
        <w:rPr>
          <w:rStyle w:val="TextoNormalCaracter"/>
        </w:rPr>
        <w:t>-</w:t>
      </w:r>
      <w:r>
        <w:t xml:space="preserve"> Auto </w:t>
      </w:r>
      <w:hyperlink w:anchor="AUTO_2024_80" w:history="1">
        <w:r w:rsidRPr="007D5795">
          <w:rPr>
            <w:rStyle w:val="TextoNormalCaracter"/>
          </w:rPr>
          <w:t>80/2024</w:t>
        </w:r>
      </w:hyperlink>
      <w:r>
        <w:t>, f. 1.</w:t>
      </w:r>
    </w:p>
    <w:p w14:paraId="78F2D2AE" w14:textId="16894F7B" w:rsidR="007D5795" w:rsidRDefault="007D5795" w:rsidP="007D5795">
      <w:pPr>
        <w:pStyle w:val="SangriaFrancesaArticulo"/>
      </w:pPr>
    </w:p>
    <w:p w14:paraId="6067AA07" w14:textId="77777777" w:rsidR="007D5795" w:rsidRDefault="007D5795" w:rsidP="007D5795">
      <w:pPr>
        <w:pStyle w:val="TextoNormalNegritaCursivandice"/>
        <w:keepNext/>
      </w:pPr>
      <w:r>
        <w:t>Ley Orgánica 2/2012, de 27 de abril, de estabilidad presupuestaria y sostenibilidad financiera</w:t>
      </w:r>
    </w:p>
    <w:p w14:paraId="615E2D0D" w14:textId="355D2B20" w:rsidR="007D5795" w:rsidRDefault="007D5795" w:rsidP="007D5795">
      <w:pPr>
        <w:pStyle w:val="SangriaFrancesaArticulo"/>
      </w:pPr>
      <w:r w:rsidRPr="007D5795">
        <w:rPr>
          <w:rStyle w:val="TextoNormalNegritaCaracter"/>
        </w:rPr>
        <w:t>Artículo 30.</w:t>
      </w:r>
      <w:r w:rsidRPr="007D5795">
        <w:rPr>
          <w:rStyle w:val="TextoNormalCaracter"/>
        </w:rPr>
        <w:t>-</w:t>
      </w:r>
      <w:r>
        <w:t xml:space="preserve"> Sentencias </w:t>
      </w:r>
      <w:hyperlink w:anchor="SENTENCIA_2024_99" w:history="1">
        <w:r w:rsidRPr="007D5795">
          <w:rPr>
            <w:rStyle w:val="TextoNormalCaracter"/>
          </w:rPr>
          <w:t>99/2024</w:t>
        </w:r>
      </w:hyperlink>
      <w:r>
        <w:t xml:space="preserve">, VP III; </w:t>
      </w:r>
      <w:hyperlink w:anchor="SENTENCIA_2024_100" w:history="1">
        <w:r w:rsidRPr="007D5795">
          <w:rPr>
            <w:rStyle w:val="TextoNormalCaracter"/>
          </w:rPr>
          <w:t>100/2024</w:t>
        </w:r>
      </w:hyperlink>
      <w:r>
        <w:t>, VP III.</w:t>
      </w:r>
    </w:p>
    <w:p w14:paraId="1163100F" w14:textId="206BC480" w:rsidR="007D5795" w:rsidRDefault="007D5795" w:rsidP="007D5795">
      <w:pPr>
        <w:pStyle w:val="SangriaFrancesaArticulo"/>
      </w:pPr>
    </w:p>
    <w:p w14:paraId="3E243283" w14:textId="77777777" w:rsidR="007D5795" w:rsidRDefault="007D5795" w:rsidP="007D5795">
      <w:pPr>
        <w:pStyle w:val="TextoNormalNegritaCursivandice"/>
        <w:keepNext/>
      </w:pPr>
      <w:r>
        <w:t>Ley Orgánica 1/2015, de 30 de marzo, por la que se modifica la Ley Orgánica 10/1995, de 23 de noviembre, del Código penal</w:t>
      </w:r>
    </w:p>
    <w:p w14:paraId="6EE872E5" w14:textId="5E13C43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4" w:history="1">
        <w:r w:rsidRPr="007D5795">
          <w:rPr>
            <w:rStyle w:val="TextoNormalCaracter"/>
          </w:rPr>
          <w:t>94/2024</w:t>
        </w:r>
      </w:hyperlink>
      <w:r>
        <w:t xml:space="preserve">, f. 5; </w:t>
      </w:r>
      <w:hyperlink w:anchor="SENTENCIA_2024_96" w:history="1">
        <w:r w:rsidRPr="007D5795">
          <w:rPr>
            <w:rStyle w:val="TextoNormalCaracter"/>
          </w:rPr>
          <w:t>96/2024</w:t>
        </w:r>
      </w:hyperlink>
      <w:r>
        <w:t xml:space="preserve">, f. 6; </w:t>
      </w:r>
      <w:hyperlink w:anchor="SENTENCIA_2024_97" w:history="1">
        <w:r w:rsidRPr="007D5795">
          <w:rPr>
            <w:rStyle w:val="TextoNormalCaracter"/>
          </w:rPr>
          <w:t>97/2024</w:t>
        </w:r>
      </w:hyperlink>
      <w:r>
        <w:t xml:space="preserve">, f. 5; </w:t>
      </w:r>
      <w:hyperlink w:anchor="SENTENCIA_2024_100" w:history="1">
        <w:r w:rsidRPr="007D5795">
          <w:rPr>
            <w:rStyle w:val="TextoNormalCaracter"/>
          </w:rPr>
          <w:t>100/2024</w:t>
        </w:r>
      </w:hyperlink>
      <w:r>
        <w:t xml:space="preserve">, f. 5; </w:t>
      </w:r>
      <w:hyperlink w:anchor="SENTENCIA_2024_122" w:history="1">
        <w:r w:rsidRPr="007D5795">
          <w:rPr>
            <w:rStyle w:val="TextoNormalCaracter"/>
          </w:rPr>
          <w:t>122/2024</w:t>
        </w:r>
      </w:hyperlink>
      <w:r>
        <w:t xml:space="preserve">, ff. 1, 3, 4; </w:t>
      </w:r>
      <w:hyperlink w:anchor="SENTENCIA_2024_133" w:history="1">
        <w:r w:rsidRPr="007D5795">
          <w:rPr>
            <w:rStyle w:val="TextoNormalCaracter"/>
          </w:rPr>
          <w:t>133/2024</w:t>
        </w:r>
      </w:hyperlink>
      <w:r>
        <w:t xml:space="preserve">, ff. 2 a 4; </w:t>
      </w:r>
      <w:hyperlink w:anchor="SENTENCIA_2024_134" w:history="1">
        <w:r w:rsidRPr="007D5795">
          <w:rPr>
            <w:rStyle w:val="TextoNormalCaracter"/>
          </w:rPr>
          <w:t>134/2024</w:t>
        </w:r>
      </w:hyperlink>
      <w:r>
        <w:t>, f. 2.</w:t>
      </w:r>
    </w:p>
    <w:p w14:paraId="194AA118" w14:textId="5F12CA51" w:rsidR="007D5795" w:rsidRDefault="007D5795" w:rsidP="007D5795">
      <w:pPr>
        <w:pStyle w:val="SangriaFrancesaArticulo"/>
      </w:pPr>
    </w:p>
    <w:p w14:paraId="59BAFABC" w14:textId="77777777" w:rsidR="007D5795" w:rsidRDefault="007D5795" w:rsidP="007D5795">
      <w:pPr>
        <w:pStyle w:val="TextoNormalNegritaCursivandice"/>
        <w:keepNext/>
      </w:pPr>
      <w:r>
        <w:t>Ley Orgánica 7/2015, de 21 de julio, por la que se modifica la Ley Orgánica 6/1985, de 1 de julio, del Poder Judicial</w:t>
      </w:r>
    </w:p>
    <w:p w14:paraId="0A15EF62" w14:textId="49EAC30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8" w:history="1">
        <w:r w:rsidRPr="007D5795">
          <w:rPr>
            <w:rStyle w:val="TextoNormalCaracter"/>
          </w:rPr>
          <w:t>128/2024</w:t>
        </w:r>
      </w:hyperlink>
      <w:r>
        <w:t>, VP.</w:t>
      </w:r>
    </w:p>
    <w:p w14:paraId="144484C8" w14:textId="0CF27749" w:rsidR="007D5795" w:rsidRDefault="007D5795" w:rsidP="007D5795">
      <w:pPr>
        <w:pStyle w:val="SangriaFrancesaArticulo"/>
      </w:pPr>
      <w:r w:rsidRPr="007D5795">
        <w:rPr>
          <w:rStyle w:val="TextoNormalNegritaCaracter"/>
        </w:rPr>
        <w:t>Preámbulo.</w:t>
      </w:r>
      <w:r w:rsidRPr="007D5795">
        <w:rPr>
          <w:rStyle w:val="TextoNormalCaracter"/>
        </w:rPr>
        <w:t>-</w:t>
      </w:r>
      <w:r>
        <w:t xml:space="preserve"> Sentencia </w:t>
      </w:r>
      <w:hyperlink w:anchor="SENTENCIA_2024_131" w:history="1">
        <w:r w:rsidRPr="007D5795">
          <w:rPr>
            <w:rStyle w:val="TextoNormalCaracter"/>
          </w:rPr>
          <w:t>131/2024</w:t>
        </w:r>
      </w:hyperlink>
      <w:r>
        <w:t>, f. 3.</w:t>
      </w:r>
    </w:p>
    <w:p w14:paraId="3B46D2A8" w14:textId="512020DF" w:rsidR="007D5795" w:rsidRDefault="007D5795" w:rsidP="007D5795">
      <w:pPr>
        <w:pStyle w:val="SangriaFrancesaArticulo"/>
      </w:pPr>
      <w:r w:rsidRPr="007D5795">
        <w:rPr>
          <w:rStyle w:val="TextoNormalNegritaCaracter"/>
        </w:rPr>
        <w:t>Disposición final primera.</w:t>
      </w:r>
      <w:r w:rsidRPr="007D5795">
        <w:rPr>
          <w:rStyle w:val="TextoNormalCaracter"/>
        </w:rPr>
        <w:t>-</w:t>
      </w:r>
      <w:r>
        <w:t xml:space="preserve"> Sentencia </w:t>
      </w:r>
      <w:hyperlink w:anchor="SENTENCIA_2024_131" w:history="1">
        <w:r w:rsidRPr="007D5795">
          <w:rPr>
            <w:rStyle w:val="TextoNormalCaracter"/>
          </w:rPr>
          <w:t>131/2024</w:t>
        </w:r>
      </w:hyperlink>
      <w:r>
        <w:t>, ff. 1, 3.</w:t>
      </w:r>
    </w:p>
    <w:p w14:paraId="6708F064" w14:textId="16B6E8E0" w:rsidR="007D5795" w:rsidRDefault="007D5795" w:rsidP="007D5795">
      <w:pPr>
        <w:pStyle w:val="SangriaFrancesaArticulo"/>
      </w:pPr>
      <w:r w:rsidRPr="007D5795">
        <w:rPr>
          <w:rStyle w:val="TextoNormalNegritaCaracter"/>
        </w:rPr>
        <w:t>Disposición final primera, apartado 2.</w:t>
      </w:r>
      <w:r w:rsidRPr="007D5795">
        <w:rPr>
          <w:rStyle w:val="TextoNormalCaracter"/>
        </w:rPr>
        <w:t>-</w:t>
      </w:r>
      <w:r>
        <w:t xml:space="preserve"> Sentencia </w:t>
      </w:r>
      <w:hyperlink w:anchor="SENTENCIA_2024_131" w:history="1">
        <w:r w:rsidRPr="007D5795">
          <w:rPr>
            <w:rStyle w:val="TextoNormalCaracter"/>
          </w:rPr>
          <w:t>131/2024</w:t>
        </w:r>
      </w:hyperlink>
      <w:r>
        <w:t>, f. 1.</w:t>
      </w:r>
    </w:p>
    <w:p w14:paraId="40E8F3F3" w14:textId="273DD9BF" w:rsidR="007D5795" w:rsidRDefault="007D5795" w:rsidP="007D5795">
      <w:pPr>
        <w:pStyle w:val="SangriaFrancesaArticulo"/>
      </w:pPr>
      <w:r w:rsidRPr="007D5795">
        <w:rPr>
          <w:rStyle w:val="TextoNormalNegritaCaracter"/>
        </w:rPr>
        <w:t>Disposición final primera, apartado 2, inciso “y que además pertenezcan a la carrera judicial”.</w:t>
      </w:r>
      <w:r w:rsidRPr="007D5795">
        <w:rPr>
          <w:rStyle w:val="TextoNormalCaracter"/>
        </w:rPr>
        <w:t>-</w:t>
      </w:r>
      <w:r>
        <w:t xml:space="preserve"> Sentencia </w:t>
      </w:r>
      <w:hyperlink w:anchor="SENTENCIA_2024_131" w:history="1">
        <w:r w:rsidRPr="007D5795">
          <w:rPr>
            <w:rStyle w:val="TextoNormalCaracter"/>
          </w:rPr>
          <w:t>131/2024</w:t>
        </w:r>
      </w:hyperlink>
      <w:r>
        <w:t>, ff. 1, 3, 4.</w:t>
      </w:r>
    </w:p>
    <w:p w14:paraId="53930F5A" w14:textId="4BC0DCF1" w:rsidR="007D5795" w:rsidRDefault="007D5795" w:rsidP="007D5795">
      <w:pPr>
        <w:pStyle w:val="SangriaFrancesaArticulo"/>
      </w:pPr>
    </w:p>
    <w:p w14:paraId="59EAB610" w14:textId="77777777" w:rsidR="007D5795" w:rsidRDefault="007D5795" w:rsidP="007D5795">
      <w:pPr>
        <w:pStyle w:val="TextoNormalNegritaCursivandice"/>
        <w:keepNext/>
      </w:pPr>
      <w:r>
        <w:t>Ley Orgánica 14/2015, de 14 de octubre, del Código penal militar</w:t>
      </w:r>
    </w:p>
    <w:p w14:paraId="08B665D7" w14:textId="3B9FA87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8" w:history="1">
        <w:r w:rsidRPr="007D5795">
          <w:rPr>
            <w:rStyle w:val="TextoNormalCaracter"/>
          </w:rPr>
          <w:t>128/2024</w:t>
        </w:r>
      </w:hyperlink>
      <w:r>
        <w:t>, f. 6.</w:t>
      </w:r>
    </w:p>
    <w:p w14:paraId="43DF26A8" w14:textId="0A73898E" w:rsidR="007D5795" w:rsidRDefault="007D5795" w:rsidP="007D5795">
      <w:pPr>
        <w:pStyle w:val="SangriaFrancesaArticulo"/>
      </w:pPr>
      <w:r w:rsidRPr="007D5795">
        <w:rPr>
          <w:rStyle w:val="TextoNormalNegritaCaracter"/>
        </w:rPr>
        <w:t>Exposición de motivos.</w:t>
      </w:r>
      <w:r w:rsidRPr="007D5795">
        <w:rPr>
          <w:rStyle w:val="TextoNormalCaracter"/>
        </w:rPr>
        <w:t>-</w:t>
      </w:r>
      <w:r>
        <w:t xml:space="preserve"> Sentencia </w:t>
      </w:r>
      <w:hyperlink w:anchor="SENTENCIA_2024_128" w:history="1">
        <w:r w:rsidRPr="007D5795">
          <w:rPr>
            <w:rStyle w:val="TextoNormalCaracter"/>
          </w:rPr>
          <w:t>128/2024</w:t>
        </w:r>
      </w:hyperlink>
      <w:r>
        <w:t>, f. 6.</w:t>
      </w:r>
    </w:p>
    <w:p w14:paraId="1DAE3A46" w14:textId="18650250" w:rsidR="007D5795" w:rsidRDefault="007D5795" w:rsidP="007D5795">
      <w:pPr>
        <w:pStyle w:val="SangriaFrancesaArticulo"/>
      </w:pPr>
      <w:r w:rsidRPr="007D5795">
        <w:rPr>
          <w:rStyle w:val="TextoNormalNegritaCaracter"/>
        </w:rPr>
        <w:t>Artículo 127.</w:t>
      </w:r>
      <w:r w:rsidRPr="007D5795">
        <w:rPr>
          <w:rStyle w:val="TextoNormalCaracter"/>
        </w:rPr>
        <w:t>-</w:t>
      </w:r>
      <w:r>
        <w:t xml:space="preserve"> Sentencia </w:t>
      </w:r>
      <w:hyperlink w:anchor="SENTENCIA_2024_128" w:history="1">
        <w:r w:rsidRPr="007D5795">
          <w:rPr>
            <w:rStyle w:val="TextoNormalCaracter"/>
          </w:rPr>
          <w:t>128/2024</w:t>
        </w:r>
      </w:hyperlink>
      <w:r>
        <w:t>, VP.</w:t>
      </w:r>
    </w:p>
    <w:p w14:paraId="13E17266" w14:textId="69723A63" w:rsidR="007D5795" w:rsidRDefault="007D5795" w:rsidP="007D5795">
      <w:pPr>
        <w:pStyle w:val="SangriaFrancesaArticulo"/>
      </w:pPr>
      <w:r w:rsidRPr="007D5795">
        <w:rPr>
          <w:rStyle w:val="TextoNormalNegritaCaracter"/>
        </w:rPr>
        <w:t>Artículo 501.</w:t>
      </w:r>
      <w:r w:rsidRPr="007D5795">
        <w:rPr>
          <w:rStyle w:val="TextoNormalCaracter"/>
        </w:rPr>
        <w:t>-</w:t>
      </w:r>
      <w:r>
        <w:t xml:space="preserve"> Sentencia </w:t>
      </w:r>
      <w:hyperlink w:anchor="SENTENCIA_2024_128" w:history="1">
        <w:r w:rsidRPr="007D5795">
          <w:rPr>
            <w:rStyle w:val="TextoNormalCaracter"/>
          </w:rPr>
          <w:t>128/2024</w:t>
        </w:r>
      </w:hyperlink>
      <w:r>
        <w:t>, VP.</w:t>
      </w:r>
    </w:p>
    <w:p w14:paraId="5521A062" w14:textId="0612A21A" w:rsidR="007D5795" w:rsidRDefault="007D5795" w:rsidP="007D5795">
      <w:pPr>
        <w:pStyle w:val="SangriaFrancesaArticulo"/>
      </w:pPr>
    </w:p>
    <w:p w14:paraId="056DD95F" w14:textId="77777777" w:rsidR="007D5795" w:rsidRDefault="007D5795" w:rsidP="007D5795">
      <w:pPr>
        <w:pStyle w:val="TextoNormalNegritaCursivandice"/>
        <w:keepNext/>
      </w:pPr>
      <w:r>
        <w:t>Ley Orgánica 4/2021, de 29 de marzo, por la que se modifica la Ley Orgánica 6/1985, de 1 de julio, del Poder Judicial, para el establecimiento del régimen jurídico aplicable al Consejo General del Poder Judicial en funciones</w:t>
      </w:r>
    </w:p>
    <w:p w14:paraId="2F6E4A50" w14:textId="04D0DCB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ff. 2 a 5, VP I, VP II.</w:t>
      </w:r>
    </w:p>
    <w:p w14:paraId="36CA5101" w14:textId="0A9273BA" w:rsidR="007D5795" w:rsidRDefault="007D5795" w:rsidP="007D5795">
      <w:pPr>
        <w:pStyle w:val="SangriaFrancesaArticulo"/>
      </w:pPr>
    </w:p>
    <w:p w14:paraId="07649452" w14:textId="77777777" w:rsidR="007D5795" w:rsidRDefault="007D5795" w:rsidP="007D5795">
      <w:pPr>
        <w:pStyle w:val="TextoNormalNegritaCursivandice"/>
        <w:keepNext/>
      </w:pPr>
      <w:r>
        <w:t>Ley Orgánica 8/2021, de 4 de junio, de protección integral a la infancia y la adolescencia frente a la violencia</w:t>
      </w:r>
    </w:p>
    <w:p w14:paraId="3A4548C9" w14:textId="22A2250C" w:rsidR="007D5795" w:rsidRDefault="007D5795" w:rsidP="007D5795">
      <w:pPr>
        <w:pStyle w:val="SangriaFrancesaArticulo"/>
      </w:pPr>
      <w:r w:rsidRPr="007D5795">
        <w:rPr>
          <w:rStyle w:val="TextoNormalNegritaCaracter"/>
        </w:rPr>
        <w:t>Disposición final decimoquinta.</w:t>
      </w:r>
      <w:r w:rsidRPr="007D5795">
        <w:rPr>
          <w:rStyle w:val="TextoNormalCaracter"/>
        </w:rPr>
        <w:t>-</w:t>
      </w:r>
      <w:r>
        <w:t xml:space="preserve"> Sentencia </w:t>
      </w:r>
      <w:hyperlink w:anchor="SENTENCIA_2024_106" w:history="1">
        <w:r w:rsidRPr="007D5795">
          <w:rPr>
            <w:rStyle w:val="TextoNormalCaracter"/>
          </w:rPr>
          <w:t>106/2024</w:t>
        </w:r>
      </w:hyperlink>
      <w:r>
        <w:t>, f. 3.</w:t>
      </w:r>
    </w:p>
    <w:p w14:paraId="2290AF6A" w14:textId="23A634D3" w:rsidR="007D5795" w:rsidRDefault="007D5795" w:rsidP="007D5795">
      <w:pPr>
        <w:pStyle w:val="SangriaFrancesaArticulo"/>
      </w:pPr>
    </w:p>
    <w:p w14:paraId="6EFD037B" w14:textId="77777777" w:rsidR="007D5795" w:rsidRDefault="007D5795" w:rsidP="007D5795">
      <w:pPr>
        <w:pStyle w:val="TextoNormalNegritaCursivandice"/>
        <w:keepNext/>
      </w:pPr>
      <w:r>
        <w:t>Ley Orgánica 8/2022, de 27 de julio, de modificación de los artículos 570 bis y 599 de la Ley Orgánica 6/1985, de 1 de julio, del Poder Judicial</w:t>
      </w:r>
    </w:p>
    <w:p w14:paraId="659A777A" w14:textId="3B29D00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39" w:history="1">
        <w:r w:rsidRPr="007D5795">
          <w:rPr>
            <w:rStyle w:val="TextoNormalCaracter"/>
          </w:rPr>
          <w:t>139/2024</w:t>
        </w:r>
      </w:hyperlink>
      <w:r>
        <w:t xml:space="preserve">, ff. 1 a 5, VP I, VP II; </w:t>
      </w:r>
      <w:hyperlink w:anchor="SENTENCIA_2024_153" w:history="1">
        <w:r w:rsidRPr="007D5795">
          <w:rPr>
            <w:rStyle w:val="TextoNormalCaracter"/>
          </w:rPr>
          <w:t>153/2024</w:t>
        </w:r>
      </w:hyperlink>
      <w:r>
        <w:t>, ff. 1, 2, VP.</w:t>
      </w:r>
    </w:p>
    <w:p w14:paraId="1453615E" w14:textId="424BDB98" w:rsidR="007D5795" w:rsidRDefault="007D5795" w:rsidP="007D5795">
      <w:pPr>
        <w:pStyle w:val="SangriaFrancesaArticulo"/>
      </w:pPr>
      <w:r w:rsidRPr="007D5795">
        <w:rPr>
          <w:rStyle w:val="TextoNormalNegritaCaracter"/>
        </w:rPr>
        <w:t>Preámbulo.</w:t>
      </w:r>
      <w:r w:rsidRPr="007D5795">
        <w:rPr>
          <w:rStyle w:val="TextoNormalCaracter"/>
        </w:rPr>
        <w:t>-</w:t>
      </w:r>
      <w:r>
        <w:t xml:space="preserve"> Sentencia </w:t>
      </w:r>
      <w:hyperlink w:anchor="SENTENCIA_2024_139" w:history="1">
        <w:r w:rsidRPr="007D5795">
          <w:rPr>
            <w:rStyle w:val="TextoNormalCaracter"/>
          </w:rPr>
          <w:t>139/2024</w:t>
        </w:r>
      </w:hyperlink>
      <w:r>
        <w:t>, f. 2.</w:t>
      </w:r>
    </w:p>
    <w:p w14:paraId="3B861DA0" w14:textId="4655D545" w:rsidR="007D5795" w:rsidRDefault="007D5795" w:rsidP="007D5795">
      <w:pPr>
        <w:pStyle w:val="SangriaFrancesaArticulo"/>
      </w:pPr>
      <w:r w:rsidRPr="007D5795">
        <w:rPr>
          <w:rStyle w:val="TextoNormalNegritaCaracter"/>
        </w:rPr>
        <w:t>Artículo único, apartado 2.</w:t>
      </w:r>
      <w:r w:rsidRPr="007D5795">
        <w:rPr>
          <w:rStyle w:val="TextoNormalCaracter"/>
        </w:rPr>
        <w:t>-</w:t>
      </w:r>
      <w:r>
        <w:t xml:space="preserve"> Sentencia </w:t>
      </w:r>
      <w:hyperlink w:anchor="SENTENCIA_2024_139" w:history="1">
        <w:r w:rsidRPr="007D5795">
          <w:rPr>
            <w:rStyle w:val="TextoNormalCaracter"/>
          </w:rPr>
          <w:t>139/2024</w:t>
        </w:r>
      </w:hyperlink>
      <w:r>
        <w:t>, ff. 3, 5.</w:t>
      </w:r>
    </w:p>
    <w:p w14:paraId="151F7B29" w14:textId="7C487C8E" w:rsidR="007D5795" w:rsidRDefault="007D5795" w:rsidP="007D5795">
      <w:pPr>
        <w:pStyle w:val="SangriaFrancesaArticulo"/>
      </w:pPr>
      <w:r w:rsidRPr="007D5795">
        <w:rPr>
          <w:rStyle w:val="TextoNormalNegritaCaracter"/>
        </w:rPr>
        <w:t>Artículo único.</w:t>
      </w:r>
      <w:r w:rsidRPr="007D5795">
        <w:rPr>
          <w:rStyle w:val="TextoNormalCaracter"/>
        </w:rPr>
        <w:t>-</w:t>
      </w:r>
      <w:r>
        <w:t xml:space="preserve"> Sentencia </w:t>
      </w:r>
      <w:hyperlink w:anchor="SENTENCIA_2024_139" w:history="1">
        <w:r w:rsidRPr="007D5795">
          <w:rPr>
            <w:rStyle w:val="TextoNormalCaracter"/>
          </w:rPr>
          <w:t>139/2024</w:t>
        </w:r>
      </w:hyperlink>
      <w:r>
        <w:t>, f. 3.</w:t>
      </w:r>
    </w:p>
    <w:p w14:paraId="640E3DB9" w14:textId="1162C4AA" w:rsidR="007D5795" w:rsidRDefault="007D5795" w:rsidP="007D5795">
      <w:pPr>
        <w:pStyle w:val="SangriaFrancesaArticulo"/>
      </w:pPr>
    </w:p>
    <w:p w14:paraId="5546930E" w14:textId="77777777" w:rsidR="007D5795" w:rsidRDefault="007D5795" w:rsidP="007D5795">
      <w:pPr>
        <w:pStyle w:val="TextoNormalNegritaCursivandice"/>
        <w:keepNext/>
      </w:pPr>
      <w:r>
        <w:t>Ley Orgánica 14/2022, de 22 de diciembre, de transposición de directivas europeas y otras disposiciones para la adaptación de la legislación penal al ordenamiento de la Unión Europea, y reforma de los delitos contra la integridad moral, desórdenes públicos y contrabando de armas de doble uso</w:t>
      </w:r>
    </w:p>
    <w:p w14:paraId="46DC04DC" w14:textId="714612F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4" w:history="1">
        <w:r w:rsidRPr="007D5795">
          <w:rPr>
            <w:rStyle w:val="TextoNormalCaracter"/>
          </w:rPr>
          <w:t>94/2024</w:t>
        </w:r>
      </w:hyperlink>
      <w:r>
        <w:t xml:space="preserve">, f. 5; </w:t>
      </w:r>
      <w:hyperlink w:anchor="SENTENCIA_2024_139" w:history="1">
        <w:r w:rsidRPr="007D5795">
          <w:rPr>
            <w:rStyle w:val="TextoNormalCaracter"/>
          </w:rPr>
          <w:t>139/2024</w:t>
        </w:r>
      </w:hyperlink>
      <w:r>
        <w:t>, f. 3.</w:t>
      </w:r>
    </w:p>
    <w:p w14:paraId="653B1698" w14:textId="26DEA7E7" w:rsidR="007D5795" w:rsidRDefault="007D5795" w:rsidP="007D5795">
      <w:pPr>
        <w:pStyle w:val="SangriaFrancesaArticulo"/>
      </w:pPr>
    </w:p>
    <w:p w14:paraId="4A21206B" w14:textId="77777777" w:rsidR="007D5795" w:rsidRDefault="007D5795" w:rsidP="007D5795">
      <w:pPr>
        <w:pStyle w:val="TextoNormalNegritaCursivandice"/>
        <w:keepNext/>
      </w:pPr>
      <w:r>
        <w:t>Ley Orgánica 1/2023, de 28 de febrero, por la que se modifica la Ley Orgánica 2/2010, de 3 de marzo, de salud sexual y reproductiva y de la interrupción voluntaria del embarazo</w:t>
      </w:r>
    </w:p>
    <w:p w14:paraId="27E230CA" w14:textId="72A6CC5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1.</w:t>
      </w:r>
    </w:p>
    <w:p w14:paraId="466156F6" w14:textId="1F52004C" w:rsidR="007D5795" w:rsidRDefault="007D5795" w:rsidP="007D5795">
      <w:pPr>
        <w:pStyle w:val="SangriaFrancesaArticulo"/>
      </w:pPr>
    </w:p>
    <w:p w14:paraId="5C74AE3D" w14:textId="77777777" w:rsidR="007D5795" w:rsidRDefault="007D5795" w:rsidP="007D5795">
      <w:pPr>
        <w:pStyle w:val="TextoNormalNegritaCursivandice"/>
        <w:keepNext/>
      </w:pPr>
      <w:r>
        <w:t>Ley Orgánica 1/2024, de 10 de junio, de amnistía para la normalización institucional, política y social en Cataluña</w:t>
      </w:r>
    </w:p>
    <w:p w14:paraId="08BC74D4" w14:textId="3774802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Autos </w:t>
      </w:r>
      <w:hyperlink w:anchor="AUTO_2024_82" w:history="1">
        <w:r w:rsidRPr="007D5795">
          <w:rPr>
            <w:rStyle w:val="TextoNormalCaracter"/>
          </w:rPr>
          <w:t>82/2024</w:t>
        </w:r>
      </w:hyperlink>
      <w:r>
        <w:t xml:space="preserve">, f. único; </w:t>
      </w:r>
      <w:hyperlink w:anchor="AUTO_2024_91" w:history="1">
        <w:r w:rsidRPr="007D5795">
          <w:rPr>
            <w:rStyle w:val="TextoNormalCaracter"/>
          </w:rPr>
          <w:t>91/2024</w:t>
        </w:r>
      </w:hyperlink>
      <w:r>
        <w:t xml:space="preserve">, f. 1; VP I; </w:t>
      </w:r>
      <w:hyperlink w:anchor="AUTO_2024_93" w:history="1">
        <w:r w:rsidRPr="007D5795">
          <w:rPr>
            <w:rStyle w:val="TextoNormalCaracter"/>
          </w:rPr>
          <w:t>93/2024</w:t>
        </w:r>
      </w:hyperlink>
      <w:r>
        <w:t xml:space="preserve">, ff. 1, 3, VP I; </w:t>
      </w:r>
      <w:hyperlink w:anchor="AUTO_2024_105" w:history="1">
        <w:r w:rsidRPr="007D5795">
          <w:rPr>
            <w:rStyle w:val="TextoNormalCaracter"/>
          </w:rPr>
          <w:t>105/2024</w:t>
        </w:r>
      </w:hyperlink>
      <w:r>
        <w:t xml:space="preserve">, f. 3, VP I; </w:t>
      </w:r>
      <w:hyperlink w:anchor="AUTO_2024_106" w:history="1">
        <w:r w:rsidRPr="007D5795">
          <w:rPr>
            <w:rStyle w:val="TextoNormalCaracter"/>
          </w:rPr>
          <w:t>106/2024</w:t>
        </w:r>
      </w:hyperlink>
      <w:r>
        <w:t xml:space="preserve">, ff. 1, 2, VP I; </w:t>
      </w:r>
      <w:hyperlink w:anchor="AUTO_2024_107" w:history="1">
        <w:r w:rsidRPr="007D5795">
          <w:rPr>
            <w:rStyle w:val="TextoNormalCaracter"/>
          </w:rPr>
          <w:t>107/2024</w:t>
        </w:r>
      </w:hyperlink>
      <w:r>
        <w:t xml:space="preserve">, ff. 1, 2, VP I; </w:t>
      </w:r>
      <w:hyperlink w:anchor="AUTO_2024_108" w:history="1">
        <w:r w:rsidRPr="007D5795">
          <w:rPr>
            <w:rStyle w:val="TextoNormalCaracter"/>
          </w:rPr>
          <w:t>108/2024</w:t>
        </w:r>
      </w:hyperlink>
      <w:r>
        <w:t xml:space="preserve">, ff. 1, 2, VP I; </w:t>
      </w:r>
      <w:hyperlink w:anchor="AUTO_2024_109" w:history="1">
        <w:r w:rsidRPr="007D5795">
          <w:rPr>
            <w:rStyle w:val="TextoNormalCaracter"/>
          </w:rPr>
          <w:t>109/2024</w:t>
        </w:r>
      </w:hyperlink>
      <w:r>
        <w:t xml:space="preserve">, ff. 1, 2, VP I; </w:t>
      </w:r>
      <w:hyperlink w:anchor="AUTO_2024_110" w:history="1">
        <w:r w:rsidRPr="007D5795">
          <w:rPr>
            <w:rStyle w:val="TextoNormalCaracter"/>
          </w:rPr>
          <w:t>110/2024</w:t>
        </w:r>
      </w:hyperlink>
      <w:r>
        <w:t xml:space="preserve">, ff. 1, 2, VP I; </w:t>
      </w:r>
      <w:hyperlink w:anchor="AUTO_2024_111" w:history="1">
        <w:r w:rsidRPr="007D5795">
          <w:rPr>
            <w:rStyle w:val="TextoNormalCaracter"/>
          </w:rPr>
          <w:t>111/2024</w:t>
        </w:r>
      </w:hyperlink>
      <w:r>
        <w:t xml:space="preserve">, ff. 1, 2, VP I; </w:t>
      </w:r>
      <w:hyperlink w:anchor="AUTO_2024_112" w:history="1">
        <w:r w:rsidRPr="007D5795">
          <w:rPr>
            <w:rStyle w:val="TextoNormalCaracter"/>
          </w:rPr>
          <w:t>112/2024</w:t>
        </w:r>
      </w:hyperlink>
      <w:r>
        <w:t xml:space="preserve">, f. 1, VP I; </w:t>
      </w:r>
      <w:hyperlink w:anchor="AUTO_2024_113" w:history="1">
        <w:r w:rsidRPr="007D5795">
          <w:rPr>
            <w:rStyle w:val="TextoNormalCaracter"/>
          </w:rPr>
          <w:t>113/2024</w:t>
        </w:r>
      </w:hyperlink>
      <w:r>
        <w:t xml:space="preserve">, f. único, VP I; </w:t>
      </w:r>
      <w:hyperlink w:anchor="AUTO_2024_117" w:history="1">
        <w:r w:rsidRPr="007D5795">
          <w:rPr>
            <w:rStyle w:val="TextoNormalCaracter"/>
          </w:rPr>
          <w:t>117/2024</w:t>
        </w:r>
      </w:hyperlink>
      <w:r>
        <w:t xml:space="preserve">, f. 1, VP I; </w:t>
      </w:r>
      <w:hyperlink w:anchor="AUTO_2024_118" w:history="1">
        <w:r w:rsidRPr="007D5795">
          <w:rPr>
            <w:rStyle w:val="TextoNormalCaracter"/>
          </w:rPr>
          <w:t>118/2024</w:t>
        </w:r>
      </w:hyperlink>
      <w:r>
        <w:t xml:space="preserve">, ff. 1, 2, VP I; </w:t>
      </w:r>
      <w:hyperlink w:anchor="AUTO_2024_119" w:history="1">
        <w:r w:rsidRPr="007D5795">
          <w:rPr>
            <w:rStyle w:val="TextoNormalCaracter"/>
          </w:rPr>
          <w:t>119/2024</w:t>
        </w:r>
      </w:hyperlink>
      <w:r>
        <w:t xml:space="preserve">, ff. 1, 2; </w:t>
      </w:r>
      <w:hyperlink w:anchor="AUTO_2024_120" w:history="1">
        <w:r w:rsidRPr="007D5795">
          <w:rPr>
            <w:rStyle w:val="TextoNormalCaracter"/>
          </w:rPr>
          <w:t>120/2024</w:t>
        </w:r>
      </w:hyperlink>
      <w:r>
        <w:t xml:space="preserve">, ff. 1, 2, VP I; </w:t>
      </w:r>
      <w:hyperlink w:anchor="AUTO_2024_121" w:history="1">
        <w:r w:rsidRPr="007D5795">
          <w:rPr>
            <w:rStyle w:val="TextoNormalCaracter"/>
          </w:rPr>
          <w:t>121/2024</w:t>
        </w:r>
      </w:hyperlink>
      <w:r>
        <w:t xml:space="preserve">, ff. 1, 2, VP I; </w:t>
      </w:r>
      <w:hyperlink w:anchor="AUTO_2024_122" w:history="1">
        <w:r w:rsidRPr="007D5795">
          <w:rPr>
            <w:rStyle w:val="TextoNormalCaracter"/>
          </w:rPr>
          <w:t>122/2024</w:t>
        </w:r>
      </w:hyperlink>
      <w:r>
        <w:t xml:space="preserve">, ff. 1, 2, VP I; </w:t>
      </w:r>
      <w:hyperlink w:anchor="AUTO_2024_123" w:history="1">
        <w:r w:rsidRPr="007D5795">
          <w:rPr>
            <w:rStyle w:val="TextoNormalCaracter"/>
          </w:rPr>
          <w:t>123/2024</w:t>
        </w:r>
      </w:hyperlink>
      <w:r>
        <w:t xml:space="preserve">, ff. 1, 2, VP I; </w:t>
      </w:r>
      <w:hyperlink w:anchor="AUTO_2024_124" w:history="1">
        <w:r w:rsidRPr="007D5795">
          <w:rPr>
            <w:rStyle w:val="TextoNormalCaracter"/>
          </w:rPr>
          <w:t>124/2024</w:t>
        </w:r>
      </w:hyperlink>
      <w:r>
        <w:t xml:space="preserve">, ff. 1, 2, VP I; </w:t>
      </w:r>
      <w:hyperlink w:anchor="AUTO_2024_147" w:history="1">
        <w:r w:rsidRPr="007D5795">
          <w:rPr>
            <w:rStyle w:val="TextoNormalCaracter"/>
          </w:rPr>
          <w:t>147/2024</w:t>
        </w:r>
      </w:hyperlink>
      <w:r>
        <w:t xml:space="preserve">, f. único; </w:t>
      </w:r>
      <w:hyperlink w:anchor="AUTO_2024_154" w:history="1">
        <w:r w:rsidRPr="007D5795">
          <w:rPr>
            <w:rStyle w:val="TextoNormalCaracter"/>
          </w:rPr>
          <w:t>154/2024</w:t>
        </w:r>
      </w:hyperlink>
      <w:r>
        <w:t>, f. único.</w:t>
      </w:r>
    </w:p>
    <w:p w14:paraId="606B3090" w14:textId="523F9354" w:rsidR="007D5795" w:rsidRDefault="007D5795" w:rsidP="007D5795">
      <w:pPr>
        <w:pStyle w:val="SangriaFrancesaArticulo"/>
      </w:pPr>
      <w:r w:rsidRPr="007D5795">
        <w:rPr>
          <w:rStyle w:val="TextoNormalNegritaCaracter"/>
        </w:rPr>
        <w:t>Preámbulo.</w:t>
      </w:r>
      <w:r w:rsidRPr="007D5795">
        <w:rPr>
          <w:rStyle w:val="TextoNormalCaracter"/>
        </w:rPr>
        <w:t>-</w:t>
      </w:r>
      <w:r>
        <w:t xml:space="preserve"> Auto </w:t>
      </w:r>
      <w:hyperlink w:anchor="AUTO_2024_105" w:history="1">
        <w:r w:rsidRPr="007D5795">
          <w:rPr>
            <w:rStyle w:val="TextoNormalCaracter"/>
          </w:rPr>
          <w:t>105/2024</w:t>
        </w:r>
      </w:hyperlink>
      <w:r>
        <w:t>, f. 1.</w:t>
      </w:r>
    </w:p>
    <w:p w14:paraId="7B22E4B9" w14:textId="46E5EB03"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Autos </w:t>
      </w:r>
      <w:hyperlink w:anchor="AUTO_2024_82" w:history="1">
        <w:r w:rsidRPr="007D5795">
          <w:rPr>
            <w:rStyle w:val="TextoNormalCaracter"/>
          </w:rPr>
          <w:t>82/2024</w:t>
        </w:r>
      </w:hyperlink>
      <w:r>
        <w:t xml:space="preserve">, f. único; </w:t>
      </w:r>
      <w:hyperlink w:anchor="AUTO_2024_91" w:history="1">
        <w:r w:rsidRPr="007D5795">
          <w:rPr>
            <w:rStyle w:val="TextoNormalCaracter"/>
          </w:rPr>
          <w:t>91/2024</w:t>
        </w:r>
      </w:hyperlink>
      <w:r>
        <w:t>, VP I.</w:t>
      </w:r>
    </w:p>
    <w:p w14:paraId="6A35D20E" w14:textId="2DC8604B" w:rsidR="007D5795" w:rsidRDefault="007D5795" w:rsidP="007D5795">
      <w:pPr>
        <w:pStyle w:val="SangriaFrancesaArticulo"/>
      </w:pPr>
    </w:p>
    <w:p w14:paraId="3ACFA08A" w14:textId="77777777" w:rsidR="007D5795" w:rsidRDefault="007D5795" w:rsidP="007D5795">
      <w:pPr>
        <w:pStyle w:val="TextoNormalNegritaCursivandice"/>
        <w:keepNext/>
      </w:pPr>
      <w:r>
        <w:t>Ley Orgánica 2/2024, de 1 de agosto, de representación paritaria y presencia equilibrada de mujeres y hombres</w:t>
      </w:r>
    </w:p>
    <w:p w14:paraId="36E4993C" w14:textId="5390B83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f. 3.</w:t>
      </w:r>
    </w:p>
    <w:p w14:paraId="466F2E8D" w14:textId="3259B795" w:rsidR="007D5795" w:rsidRDefault="007D5795" w:rsidP="007D5795">
      <w:pPr>
        <w:pStyle w:val="SangriaFrancesaArticulo"/>
      </w:pPr>
    </w:p>
    <w:p w14:paraId="2D469269" w14:textId="77777777" w:rsidR="007D5795" w:rsidRDefault="007D5795" w:rsidP="007D5795">
      <w:pPr>
        <w:pStyle w:val="TextoNormalNegritaCursivandice"/>
        <w:keepNext/>
      </w:pPr>
      <w:r>
        <w:t>Ley Orgánica 3/2024, de 2 de agosto, de reforma de la Ley Orgánica 6/1985, de 1 de julio, del Poder Judicial y de reforma de la Ley 50/1981, de 30 de diciembre, por la que se regula el Estatuto orgánico del Ministerio Fiscal</w:t>
      </w:r>
    </w:p>
    <w:p w14:paraId="03D1B0ED" w14:textId="62BD548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f. 3.</w:t>
      </w:r>
    </w:p>
    <w:p w14:paraId="43A69D98" w14:textId="69F8AB54" w:rsidR="007D5795" w:rsidRDefault="007D5795" w:rsidP="007D5795">
      <w:pPr>
        <w:pStyle w:val="TextoNormal"/>
      </w:pPr>
    </w:p>
    <w:p w14:paraId="5C9E9C30" w14:textId="77777777" w:rsidR="007D5795" w:rsidRDefault="007D5795" w:rsidP="007D5795">
      <w:pPr>
        <w:pStyle w:val="SangriaFrancesaArticulo"/>
      </w:pPr>
      <w:bookmarkStart w:id="173" w:name="INDICE22846"/>
    </w:p>
    <w:bookmarkEnd w:id="173"/>
    <w:p w14:paraId="47AD1908" w14:textId="77777777" w:rsidR="007D5795" w:rsidRDefault="007D5795" w:rsidP="007D5795">
      <w:pPr>
        <w:pStyle w:val="TextoIndiceNivel2"/>
        <w:suppressAutoHyphens/>
      </w:pPr>
      <w:r>
        <w:t>E) Leyes de las Cortes Generales</w:t>
      </w:r>
    </w:p>
    <w:p w14:paraId="454989B4" w14:textId="31348A5F" w:rsidR="007D5795" w:rsidRDefault="007D5795" w:rsidP="007D5795">
      <w:pPr>
        <w:pStyle w:val="TextoIndiceNivel2"/>
      </w:pPr>
    </w:p>
    <w:p w14:paraId="7066E878" w14:textId="77777777" w:rsidR="007D5795" w:rsidRDefault="007D5795" w:rsidP="007D5795">
      <w:pPr>
        <w:pStyle w:val="TextoNormalNegritaCursivandice"/>
        <w:keepNext/>
      </w:pPr>
      <w:r>
        <w:t>Ley 34/1979, de 16 de noviembre, sobre fincas manifiestamente mejorables</w:t>
      </w:r>
    </w:p>
    <w:p w14:paraId="555254F7" w14:textId="112B4A9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VP I.</w:t>
      </w:r>
    </w:p>
    <w:p w14:paraId="5BC2CF64" w14:textId="5F9087A0" w:rsidR="007D5795" w:rsidRDefault="007D5795" w:rsidP="007D5795">
      <w:pPr>
        <w:pStyle w:val="SangriaFrancesaArticulo"/>
      </w:pPr>
      <w:r w:rsidRPr="007D5795">
        <w:rPr>
          <w:rStyle w:val="TextoNormalNegritaCaracter"/>
        </w:rPr>
        <w:t>Artículo 10 a 12.</w:t>
      </w:r>
      <w:r w:rsidRPr="007D5795">
        <w:rPr>
          <w:rStyle w:val="TextoNormalCaracter"/>
        </w:rPr>
        <w:t>-</w:t>
      </w:r>
      <w:r>
        <w:t xml:space="preserve"> Sentencia </w:t>
      </w:r>
      <w:hyperlink w:anchor="SENTENCIA_2024_120" w:history="1">
        <w:r w:rsidRPr="007D5795">
          <w:rPr>
            <w:rStyle w:val="TextoNormalCaracter"/>
          </w:rPr>
          <w:t>120/2024</w:t>
        </w:r>
      </w:hyperlink>
      <w:r>
        <w:t>, VP I.</w:t>
      </w:r>
    </w:p>
    <w:p w14:paraId="749D5153" w14:textId="5245D32A" w:rsidR="007D5795" w:rsidRDefault="007D5795" w:rsidP="007D5795">
      <w:pPr>
        <w:pStyle w:val="SangriaFrancesaArticulo"/>
      </w:pPr>
    </w:p>
    <w:p w14:paraId="69D5F452" w14:textId="77777777" w:rsidR="007D5795" w:rsidRDefault="007D5795" w:rsidP="007D5795">
      <w:pPr>
        <w:pStyle w:val="TextoNormalNegritaCursivandice"/>
        <w:keepNext/>
      </w:pPr>
      <w:r>
        <w:t>Ley 50/1981, de 30 de diciembre, por la que se regula el Estatuto orgánico del Ministerio Fiscal</w:t>
      </w:r>
    </w:p>
    <w:p w14:paraId="5FB12F88" w14:textId="1DCC8BEF" w:rsidR="007D5795" w:rsidRDefault="007D5795" w:rsidP="007D5795">
      <w:pPr>
        <w:pStyle w:val="SangriaFrancesaArticulo"/>
      </w:pPr>
      <w:r w:rsidRPr="007D5795">
        <w:rPr>
          <w:rStyle w:val="TextoNormalNegritaCaracter"/>
        </w:rPr>
        <w:t>Artículo 2.1.</w:t>
      </w:r>
      <w:r w:rsidRPr="007D5795">
        <w:rPr>
          <w:rStyle w:val="TextoNormalCaracter"/>
        </w:rPr>
        <w:t>-</w:t>
      </w:r>
      <w:r>
        <w:t xml:space="preserve"> Sentencias </w:t>
      </w:r>
      <w:hyperlink w:anchor="SENTENCIA_2024_96" w:history="1">
        <w:r w:rsidRPr="007D5795">
          <w:rPr>
            <w:rStyle w:val="TextoNormalCaracter"/>
          </w:rPr>
          <w:t>96/2024</w:t>
        </w:r>
      </w:hyperlink>
      <w:r>
        <w:t xml:space="preserve">, VP IV; </w:t>
      </w:r>
      <w:hyperlink w:anchor="SENTENCIA_2024_97" w:history="1">
        <w:r w:rsidRPr="007D5795">
          <w:rPr>
            <w:rStyle w:val="TextoNormalCaracter"/>
          </w:rPr>
          <w:t>97/2024</w:t>
        </w:r>
      </w:hyperlink>
      <w:r>
        <w:t xml:space="preserve">, VP IV; </w:t>
      </w:r>
      <w:hyperlink w:anchor="SENTENCIA_2024_98" w:history="1">
        <w:r w:rsidRPr="007D5795">
          <w:rPr>
            <w:rStyle w:val="TextoNormalCaracter"/>
          </w:rPr>
          <w:t>98/2024</w:t>
        </w:r>
      </w:hyperlink>
      <w:r>
        <w:t>, VP III.</w:t>
      </w:r>
    </w:p>
    <w:p w14:paraId="7F10742D" w14:textId="186A18F8" w:rsidR="007D5795" w:rsidRDefault="007D5795" w:rsidP="007D5795">
      <w:pPr>
        <w:pStyle w:val="SangriaFrancesaArticulo"/>
      </w:pPr>
      <w:r w:rsidRPr="007D5795">
        <w:rPr>
          <w:rStyle w:val="TextoNormalNegritaCaracter"/>
        </w:rPr>
        <w:t>Artículo 67.</w:t>
      </w:r>
      <w:r w:rsidRPr="007D5795">
        <w:rPr>
          <w:rStyle w:val="TextoNormalCaracter"/>
        </w:rPr>
        <w:t>-</w:t>
      </w:r>
      <w:r>
        <w:t xml:space="preserve"> Auto </w:t>
      </w:r>
      <w:hyperlink w:anchor="AUTO_2024_65" w:history="1">
        <w:r w:rsidRPr="007D5795">
          <w:rPr>
            <w:rStyle w:val="TextoNormalCaracter"/>
          </w:rPr>
          <w:t>65/2024</w:t>
        </w:r>
      </w:hyperlink>
      <w:r>
        <w:t>, f. 1.</w:t>
      </w:r>
    </w:p>
    <w:p w14:paraId="4E79B5D4" w14:textId="36323494" w:rsidR="007D5795" w:rsidRDefault="007D5795" w:rsidP="007D5795">
      <w:pPr>
        <w:pStyle w:val="SangriaFrancesaArticulo"/>
      </w:pPr>
      <w:r w:rsidRPr="007D5795">
        <w:rPr>
          <w:rStyle w:val="TextoNormalNegritaCaracter"/>
        </w:rPr>
        <w:t>Artículo 67.3, inciso tercero.</w:t>
      </w:r>
      <w:r w:rsidRPr="007D5795">
        <w:rPr>
          <w:rStyle w:val="TextoNormalCaracter"/>
        </w:rPr>
        <w:t>-</w:t>
      </w:r>
      <w:r>
        <w:t xml:space="preserve"> Auto </w:t>
      </w:r>
      <w:hyperlink w:anchor="AUTO_2024_65" w:history="1">
        <w:r w:rsidRPr="007D5795">
          <w:rPr>
            <w:rStyle w:val="TextoNormalCaracter"/>
          </w:rPr>
          <w:t>65/2024</w:t>
        </w:r>
      </w:hyperlink>
      <w:r>
        <w:t>, f. 1.</w:t>
      </w:r>
    </w:p>
    <w:p w14:paraId="49FBD4BF" w14:textId="5D1D7761" w:rsidR="007D5795" w:rsidRDefault="007D5795" w:rsidP="007D5795">
      <w:pPr>
        <w:pStyle w:val="SangriaFrancesaArticulo"/>
      </w:pPr>
    </w:p>
    <w:p w14:paraId="39F5E789" w14:textId="77777777" w:rsidR="007D5795" w:rsidRDefault="007D5795" w:rsidP="007D5795">
      <w:pPr>
        <w:pStyle w:val="TextoNormalNegritaCursivandice"/>
        <w:keepNext/>
      </w:pPr>
      <w:r>
        <w:t>Ley 7/1985, de 2 de abril, reguladora de las bases del régimen local</w:t>
      </w:r>
    </w:p>
    <w:p w14:paraId="2FF410E1" w14:textId="697F0125" w:rsidR="007D5795" w:rsidRDefault="007D5795" w:rsidP="007D5795">
      <w:pPr>
        <w:pStyle w:val="SangriaFrancesaArticulo"/>
      </w:pPr>
      <w:r w:rsidRPr="007D5795">
        <w:rPr>
          <w:rStyle w:val="TextoNormalNegritaCaracter"/>
        </w:rPr>
        <w:t>Artículo 25.</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55B15D65" w14:textId="7924F28B" w:rsidR="007D5795" w:rsidRDefault="007D5795" w:rsidP="007D5795">
      <w:pPr>
        <w:pStyle w:val="SangriaFrancesaArticulo"/>
      </w:pPr>
      <w:r w:rsidRPr="007D5795">
        <w:rPr>
          <w:rStyle w:val="TextoNormalNegritaCaracter"/>
        </w:rPr>
        <w:t>Artículo 25.2 a).</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57FB203C" w14:textId="7582CFFE" w:rsidR="007D5795" w:rsidRDefault="007D5795" w:rsidP="007D5795">
      <w:pPr>
        <w:pStyle w:val="SangriaFrancesaArticulo"/>
      </w:pPr>
      <w:r w:rsidRPr="007D5795">
        <w:rPr>
          <w:rStyle w:val="TextoNormalNegritaCaracter"/>
        </w:rPr>
        <w:t>Artículo 25.2 b).</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17F81C82" w14:textId="3016E740" w:rsidR="007D5795" w:rsidRDefault="007D5795" w:rsidP="007D5795">
      <w:pPr>
        <w:pStyle w:val="SangriaFrancesaArticulo"/>
      </w:pPr>
      <w:r w:rsidRPr="007D5795">
        <w:rPr>
          <w:rStyle w:val="TextoNormalNegritaCaracter"/>
        </w:rPr>
        <w:t>Artículo 25.2 d).</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23F8416A" w14:textId="35331859" w:rsidR="007D5795" w:rsidRDefault="007D5795" w:rsidP="007D5795">
      <w:pPr>
        <w:pStyle w:val="SangriaFrancesaArticulo"/>
      </w:pPr>
      <w:r w:rsidRPr="007D5795">
        <w:rPr>
          <w:rStyle w:val="TextoNormalNegritaCaracter"/>
        </w:rPr>
        <w:t>Artículo 25.2 g).</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6C4C2ADF" w14:textId="45B9B027" w:rsidR="007D5795" w:rsidRDefault="007D5795" w:rsidP="007D5795">
      <w:pPr>
        <w:pStyle w:val="SangriaFrancesaArticulo"/>
      </w:pPr>
      <w:r w:rsidRPr="007D5795">
        <w:rPr>
          <w:rStyle w:val="TextoNormalNegritaCaracter"/>
        </w:rPr>
        <w:t>Artículo 86.2.</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2C03E1A9" w14:textId="0AA641C2" w:rsidR="007D5795" w:rsidRDefault="007D5795" w:rsidP="007D5795">
      <w:pPr>
        <w:pStyle w:val="SangriaFrancesaArticulo"/>
      </w:pPr>
      <w:r w:rsidRPr="007D5795">
        <w:rPr>
          <w:rStyle w:val="TextoNormalNegritaCaracter"/>
        </w:rPr>
        <w:t>Disposición adicional segunda, apartado 7</w:t>
      </w:r>
      <w:r>
        <w:t xml:space="preserve"> (redactada por la Ley 22/2021, de 28 de diciembre)</w:t>
      </w:r>
      <w:r w:rsidRPr="007D5795">
        <w:rPr>
          <w:rStyle w:val="TextoNormalNegritaCaracter"/>
        </w:rPr>
        <w:t>.</w:t>
      </w:r>
      <w:r w:rsidRPr="007D5795">
        <w:rPr>
          <w:rStyle w:val="TextoNormalCaracter"/>
        </w:rPr>
        <w:t>-</w:t>
      </w:r>
      <w:r>
        <w:t xml:space="preserve"> Auto </w:t>
      </w:r>
      <w:hyperlink w:anchor="AUTO_2024_115" w:history="1">
        <w:r w:rsidRPr="007D5795">
          <w:rPr>
            <w:rStyle w:val="TextoNormalCaracter"/>
          </w:rPr>
          <w:t>115/2024</w:t>
        </w:r>
      </w:hyperlink>
      <w:r>
        <w:t>, f. único.</w:t>
      </w:r>
    </w:p>
    <w:p w14:paraId="5CC85ADB" w14:textId="0D525E9A" w:rsidR="007D5795" w:rsidRDefault="007D5795" w:rsidP="007D5795">
      <w:pPr>
        <w:pStyle w:val="SangriaFrancesaArticulo"/>
      </w:pPr>
    </w:p>
    <w:p w14:paraId="62A2120A" w14:textId="77777777" w:rsidR="007D5795" w:rsidRDefault="007D5795" w:rsidP="007D5795">
      <w:pPr>
        <w:pStyle w:val="TextoNormalNegritaCursivandice"/>
        <w:keepNext/>
      </w:pPr>
      <w:r>
        <w:t>Ley 14/1986, de 25 de abril, general de sanidad</w:t>
      </w:r>
    </w:p>
    <w:p w14:paraId="11052CF8" w14:textId="281C22F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6E831968" w14:textId="0942C630" w:rsidR="007D5795" w:rsidRDefault="007D5795" w:rsidP="007D5795">
      <w:pPr>
        <w:pStyle w:val="SangriaFrancesaArticulo"/>
      </w:pPr>
      <w:r w:rsidRPr="007D5795">
        <w:rPr>
          <w:rStyle w:val="TextoNormalNegritaCaracter"/>
        </w:rPr>
        <w:t>Artículo 54.</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605BCB09" w14:textId="3C88FDF3" w:rsidR="007D5795" w:rsidRDefault="007D5795" w:rsidP="007D5795">
      <w:pPr>
        <w:pStyle w:val="SangriaFrancesaArticulo"/>
      </w:pPr>
    </w:p>
    <w:p w14:paraId="34613B87" w14:textId="77777777" w:rsidR="007D5795" w:rsidRDefault="007D5795" w:rsidP="007D5795">
      <w:pPr>
        <w:pStyle w:val="TextoNormalNegritaCursivandice"/>
        <w:keepNext/>
      </w:pPr>
      <w:r>
        <w:t>Ley 16/1987, de 30 de julio, de ordenación de los transportes terrestres</w:t>
      </w:r>
    </w:p>
    <w:p w14:paraId="4546EF33" w14:textId="66C28A3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2" w:history="1">
        <w:r w:rsidRPr="007D5795">
          <w:rPr>
            <w:rStyle w:val="TextoNormalCaracter"/>
          </w:rPr>
          <w:t>112/2024</w:t>
        </w:r>
      </w:hyperlink>
      <w:r>
        <w:t>, ff. 2, 3.</w:t>
      </w:r>
    </w:p>
    <w:p w14:paraId="6D4976BE" w14:textId="4D2C9283" w:rsidR="007D5795" w:rsidRDefault="007D5795" w:rsidP="007D5795">
      <w:pPr>
        <w:pStyle w:val="SangriaFrancesaArticulo"/>
      </w:pPr>
      <w:r w:rsidRPr="007D5795">
        <w:rPr>
          <w:rStyle w:val="TextoNormalNegritaCaracter"/>
        </w:rPr>
        <w:t>Título V.</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014A60BE" w14:textId="1DF0BCD0" w:rsidR="007D5795" w:rsidRDefault="007D5795" w:rsidP="007D5795">
      <w:pPr>
        <w:pStyle w:val="SangriaFrancesaArticulo"/>
      </w:pPr>
      <w:r w:rsidRPr="007D5795">
        <w:rPr>
          <w:rStyle w:val="TextoNormalNegritaCaracter"/>
        </w:rPr>
        <w:t>Artículo 42.1</w:t>
      </w:r>
      <w:r>
        <w:t xml:space="preserve"> (redactado por la Ley 9/2013, de 4 de julio)</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 6.</w:t>
      </w:r>
    </w:p>
    <w:p w14:paraId="79E64DC8" w14:textId="4FDAED16" w:rsidR="007D5795" w:rsidRDefault="007D5795" w:rsidP="007D5795">
      <w:pPr>
        <w:pStyle w:val="SangriaFrancesaArticulo"/>
      </w:pPr>
      <w:r w:rsidRPr="007D5795">
        <w:rPr>
          <w:rStyle w:val="TextoNormalNegritaCaracter"/>
        </w:rPr>
        <w:t>Artículo  91.</w:t>
      </w:r>
      <w:r w:rsidRPr="007D5795">
        <w:rPr>
          <w:rStyle w:val="TextoNormalCaracter"/>
        </w:rPr>
        <w:t>-</w:t>
      </w:r>
      <w:r>
        <w:t xml:space="preserve"> Sentencia </w:t>
      </w:r>
      <w:hyperlink w:anchor="SENTENCIA_2024_112" w:history="1">
        <w:r w:rsidRPr="007D5795">
          <w:rPr>
            <w:rStyle w:val="TextoNormalCaracter"/>
          </w:rPr>
          <w:t>112/2024</w:t>
        </w:r>
      </w:hyperlink>
      <w:r>
        <w:t>, f. 3.</w:t>
      </w:r>
    </w:p>
    <w:p w14:paraId="288007F0" w14:textId="6D931217" w:rsidR="007D5795" w:rsidRDefault="007D5795" w:rsidP="007D5795">
      <w:pPr>
        <w:pStyle w:val="SangriaFrancesaArticulo"/>
      </w:pPr>
      <w:r w:rsidRPr="007D5795">
        <w:rPr>
          <w:rStyle w:val="TextoNormalNegritaCaracter"/>
        </w:rPr>
        <w:t>Artículo 91</w:t>
      </w:r>
      <w:r>
        <w:t xml:space="preserve"> (redactado por el Real Decreto-ley 13/2018, de 28 de septiembre)</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 4.</w:t>
      </w:r>
    </w:p>
    <w:p w14:paraId="647C0860" w14:textId="3C90E88B" w:rsidR="007D5795" w:rsidRDefault="007D5795" w:rsidP="007D5795">
      <w:pPr>
        <w:pStyle w:val="SangriaFrancesaArticulo"/>
      </w:pPr>
      <w:r w:rsidRPr="007D5795">
        <w:rPr>
          <w:rStyle w:val="TextoNormalNegritaCaracter"/>
        </w:rPr>
        <w:t>Artículo 99.</w:t>
      </w:r>
      <w:r w:rsidRPr="007D5795">
        <w:rPr>
          <w:rStyle w:val="TextoNormalCaracter"/>
        </w:rPr>
        <w:t>-</w:t>
      </w:r>
      <w:r>
        <w:t xml:space="preserve"> Sentencia </w:t>
      </w:r>
      <w:hyperlink w:anchor="SENTENCIA_2024_112" w:history="1">
        <w:r w:rsidRPr="007D5795">
          <w:rPr>
            <w:rStyle w:val="TextoNormalCaracter"/>
          </w:rPr>
          <w:t>112/2024</w:t>
        </w:r>
      </w:hyperlink>
      <w:r>
        <w:t>, f. 3.</w:t>
      </w:r>
    </w:p>
    <w:p w14:paraId="4F8FA631" w14:textId="51F99093" w:rsidR="007D5795" w:rsidRDefault="007D5795" w:rsidP="007D5795">
      <w:pPr>
        <w:pStyle w:val="SangriaFrancesaArticulo"/>
      </w:pPr>
      <w:r w:rsidRPr="007D5795">
        <w:rPr>
          <w:rStyle w:val="TextoNormalNegritaCaracter"/>
        </w:rPr>
        <w:t>Artículo 140.39.5.</w:t>
      </w:r>
      <w:r w:rsidRPr="007D5795">
        <w:rPr>
          <w:rStyle w:val="TextoNormalCaracter"/>
        </w:rPr>
        <w:t>-</w:t>
      </w:r>
      <w:r>
        <w:t xml:space="preserve"> Sentencia </w:t>
      </w:r>
      <w:hyperlink w:anchor="SENTENCIA_2024_112" w:history="1">
        <w:r w:rsidRPr="007D5795">
          <w:rPr>
            <w:rStyle w:val="TextoNormalCaracter"/>
          </w:rPr>
          <w:t>112/2024</w:t>
        </w:r>
      </w:hyperlink>
      <w:r>
        <w:t>, f. 3.</w:t>
      </w:r>
    </w:p>
    <w:p w14:paraId="160D205E" w14:textId="109F6FC6" w:rsidR="007D5795" w:rsidRDefault="007D5795" w:rsidP="007D5795">
      <w:pPr>
        <w:pStyle w:val="SangriaFrancesaArticulo"/>
      </w:pPr>
    </w:p>
    <w:p w14:paraId="776AB0B3" w14:textId="77777777" w:rsidR="007D5795" w:rsidRDefault="007D5795" w:rsidP="007D5795">
      <w:pPr>
        <w:pStyle w:val="TextoNormalNegritaCursivandice"/>
        <w:keepNext/>
      </w:pPr>
      <w:r>
        <w:t>Ley 7/1988, de 5 de abril, de funcionamiento del Tribunal de Cuentas</w:t>
      </w:r>
    </w:p>
    <w:p w14:paraId="0BA373B1" w14:textId="210363B2" w:rsidR="007D5795" w:rsidRDefault="007D5795" w:rsidP="007D5795">
      <w:pPr>
        <w:pStyle w:val="SangriaFrancesaArticulo"/>
      </w:pPr>
      <w:r w:rsidRPr="007D5795">
        <w:rPr>
          <w:rStyle w:val="TextoNormalNegritaCaracter"/>
        </w:rPr>
        <w:t>Artículos 45 a 48.</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6827418D" w14:textId="3AC515AC" w:rsidR="007D5795" w:rsidRDefault="007D5795" w:rsidP="007D5795">
      <w:pPr>
        <w:pStyle w:val="SangriaFrancesaArticulo"/>
      </w:pPr>
      <w:r w:rsidRPr="007D5795">
        <w:rPr>
          <w:rStyle w:val="TextoNormalNegritaCaracter"/>
        </w:rPr>
        <w:t>Artículos 49 a 87.</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1E38CC74" w14:textId="0BE4879B" w:rsidR="007D5795" w:rsidRDefault="007D5795" w:rsidP="007D5795">
      <w:pPr>
        <w:pStyle w:val="SangriaFrancesaArticulo"/>
      </w:pPr>
      <w:r w:rsidRPr="007D5795">
        <w:rPr>
          <w:rStyle w:val="TextoNormalNegritaCaracter"/>
        </w:rPr>
        <w:t>Artículo 55.1.</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6AE480B4" w14:textId="1A10895B" w:rsidR="007D5795" w:rsidRDefault="007D5795" w:rsidP="007D5795">
      <w:pPr>
        <w:pStyle w:val="SangriaFrancesaArticulo"/>
      </w:pPr>
      <w:r w:rsidRPr="007D5795">
        <w:rPr>
          <w:rStyle w:val="TextoNormalNegritaCaracter"/>
        </w:rPr>
        <w:t>Artículo 71.4 d).</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4683A4D5" w14:textId="6E4B6618" w:rsidR="007D5795" w:rsidRDefault="007D5795" w:rsidP="007D5795">
      <w:pPr>
        <w:pStyle w:val="SangriaFrancesaArticulo"/>
      </w:pPr>
      <w:r w:rsidRPr="007D5795">
        <w:rPr>
          <w:rStyle w:val="TextoNormalNegritaCaracter"/>
        </w:rPr>
        <w:t>Artículo 71.4 e).</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380868BC" w14:textId="57EFE18A" w:rsidR="007D5795" w:rsidRDefault="007D5795" w:rsidP="007D5795">
      <w:pPr>
        <w:pStyle w:val="SangriaFrancesaArticulo"/>
      </w:pPr>
      <w:r w:rsidRPr="007D5795">
        <w:rPr>
          <w:rStyle w:val="TextoNormalNegritaCaracter"/>
        </w:rPr>
        <w:t>Artículo 74.3.</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501B8C6D" w14:textId="4A6966BC" w:rsidR="007D5795" w:rsidRDefault="007D5795" w:rsidP="007D5795">
      <w:pPr>
        <w:pStyle w:val="SangriaFrancesaArticulo"/>
      </w:pPr>
      <w:r w:rsidRPr="007D5795">
        <w:rPr>
          <w:rStyle w:val="TextoNormalNegritaCaracter"/>
        </w:rPr>
        <w:t>Artículo 85.1.</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784B632C" w14:textId="7F28824C" w:rsidR="007D5795" w:rsidRDefault="007D5795" w:rsidP="007D5795">
      <w:pPr>
        <w:pStyle w:val="SangriaFrancesaArticulo"/>
      </w:pPr>
    </w:p>
    <w:p w14:paraId="44467584" w14:textId="77777777" w:rsidR="007D5795" w:rsidRDefault="007D5795" w:rsidP="007D5795">
      <w:pPr>
        <w:pStyle w:val="TextoNormalNegritaCursivandice"/>
        <w:keepNext/>
      </w:pPr>
      <w:r>
        <w:t>Ley 22/1988, de 28 de julio, de costas</w:t>
      </w:r>
    </w:p>
    <w:p w14:paraId="5D81D903" w14:textId="3A2E4BA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19" w:history="1">
        <w:r w:rsidRPr="007D5795">
          <w:rPr>
            <w:rStyle w:val="TextoNormalCaracter"/>
          </w:rPr>
          <w:t>119/2024</w:t>
        </w:r>
      </w:hyperlink>
      <w:r>
        <w:t xml:space="preserve">, f. 3; </w:t>
      </w:r>
      <w:hyperlink w:anchor="SENTENCIA_2024_142" w:history="1">
        <w:r w:rsidRPr="007D5795">
          <w:rPr>
            <w:rStyle w:val="TextoNormalCaracter"/>
          </w:rPr>
          <w:t>142/2024</w:t>
        </w:r>
      </w:hyperlink>
      <w:r>
        <w:t>, VP.</w:t>
      </w:r>
    </w:p>
    <w:p w14:paraId="4FA268D8" w14:textId="0221DE18" w:rsidR="007D5795" w:rsidRDefault="007D5795" w:rsidP="007D5795">
      <w:pPr>
        <w:pStyle w:val="SangriaFrancesaArticulo"/>
      </w:pPr>
      <w:r w:rsidRPr="007D5795">
        <w:rPr>
          <w:rStyle w:val="TextoNormalNegritaCaracter"/>
        </w:rPr>
        <w:t>Título III.</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5A7986F2" w14:textId="2DF5443F" w:rsidR="007D5795" w:rsidRDefault="007D5795" w:rsidP="007D5795">
      <w:pPr>
        <w:pStyle w:val="SangriaFrancesaArticulo"/>
      </w:pPr>
      <w:r w:rsidRPr="007D5795">
        <w:rPr>
          <w:rStyle w:val="TextoNormalNegritaCaracter"/>
        </w:rPr>
        <w:t>Título III, capítulo V.</w:t>
      </w:r>
      <w:r w:rsidRPr="007D5795">
        <w:rPr>
          <w:rStyle w:val="TextoNormalCaracter"/>
        </w:rPr>
        <w:t>-</w:t>
      </w:r>
      <w:r>
        <w:t xml:space="preserve"> Sentencia </w:t>
      </w:r>
      <w:hyperlink w:anchor="SENTENCIA_2024_119" w:history="1">
        <w:r w:rsidRPr="007D5795">
          <w:rPr>
            <w:rStyle w:val="TextoNormalCaracter"/>
          </w:rPr>
          <w:t>119/2024</w:t>
        </w:r>
      </w:hyperlink>
      <w:r>
        <w:t>, f. 5.</w:t>
      </w:r>
    </w:p>
    <w:p w14:paraId="0A2EB0FF" w14:textId="79DDE8B6" w:rsidR="007D5795" w:rsidRDefault="007D5795" w:rsidP="007D5795">
      <w:pPr>
        <w:pStyle w:val="SangriaFrancesaArticulo"/>
      </w:pPr>
      <w:r w:rsidRPr="007D5795">
        <w:rPr>
          <w:rStyle w:val="TextoNormalNegritaCaracter"/>
        </w:rPr>
        <w:t>Exposición de motivos.</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042D0566" w14:textId="442D4904" w:rsidR="007D5795" w:rsidRDefault="007D5795" w:rsidP="007D5795">
      <w:pPr>
        <w:pStyle w:val="SangriaFrancesaArticulo"/>
      </w:pPr>
      <w:r w:rsidRPr="007D5795">
        <w:rPr>
          <w:rStyle w:val="TextoNormalNegritaCaracter"/>
        </w:rPr>
        <w:t>Artículo 9.1.</w:t>
      </w:r>
      <w:r w:rsidRPr="007D5795">
        <w:rPr>
          <w:rStyle w:val="TextoNormalCaracter"/>
        </w:rPr>
        <w:t>-</w:t>
      </w:r>
      <w:r>
        <w:t xml:space="preserve"> Sentencia </w:t>
      </w:r>
      <w:hyperlink w:anchor="SENTENCIA_2024_119" w:history="1">
        <w:r w:rsidRPr="007D5795">
          <w:rPr>
            <w:rStyle w:val="TextoNormalCaracter"/>
          </w:rPr>
          <w:t>119/2024</w:t>
        </w:r>
      </w:hyperlink>
      <w:r>
        <w:t>, f. 5.</w:t>
      </w:r>
    </w:p>
    <w:p w14:paraId="36BB7129" w14:textId="61A8B2B9" w:rsidR="007D5795" w:rsidRDefault="007D5795" w:rsidP="007D5795">
      <w:pPr>
        <w:pStyle w:val="SangriaFrancesaArticulo"/>
      </w:pPr>
      <w:r w:rsidRPr="007D5795">
        <w:rPr>
          <w:rStyle w:val="TextoNormalNegritaCaracter"/>
        </w:rPr>
        <w:t>Artículo 13 ter.</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1D973BD3" w14:textId="219E95B4" w:rsidR="007D5795" w:rsidRDefault="007D5795" w:rsidP="007D5795">
      <w:pPr>
        <w:pStyle w:val="SangriaFrancesaArticulo"/>
      </w:pPr>
      <w:r w:rsidRPr="007D5795">
        <w:rPr>
          <w:rStyle w:val="TextoNormalNegritaCaracter"/>
        </w:rPr>
        <w:t>Artículo 25.1 a).</w:t>
      </w:r>
      <w:r w:rsidRPr="007D5795">
        <w:rPr>
          <w:rStyle w:val="TextoNormalCaracter"/>
        </w:rPr>
        <w:t>-</w:t>
      </w:r>
      <w:r>
        <w:t xml:space="preserve"> Sentencia </w:t>
      </w:r>
      <w:hyperlink w:anchor="SENTENCIA_2024_119" w:history="1">
        <w:r w:rsidRPr="007D5795">
          <w:rPr>
            <w:rStyle w:val="TextoNormalCaracter"/>
          </w:rPr>
          <w:t>119/2024</w:t>
        </w:r>
      </w:hyperlink>
      <w:r>
        <w:t>, f. 4.</w:t>
      </w:r>
    </w:p>
    <w:p w14:paraId="657D0C88" w14:textId="1E12703D" w:rsidR="007D5795" w:rsidRDefault="007D5795" w:rsidP="007D5795">
      <w:pPr>
        <w:pStyle w:val="SangriaFrancesaArticulo"/>
      </w:pPr>
      <w:r w:rsidRPr="007D5795">
        <w:rPr>
          <w:rStyle w:val="TextoNormalNegritaCaracter"/>
        </w:rPr>
        <w:t>Artículo 25.1 b).</w:t>
      </w:r>
      <w:r w:rsidRPr="007D5795">
        <w:rPr>
          <w:rStyle w:val="TextoNormalCaracter"/>
        </w:rPr>
        <w:t>-</w:t>
      </w:r>
      <w:r>
        <w:t xml:space="preserve"> Sentencia </w:t>
      </w:r>
      <w:hyperlink w:anchor="SENTENCIA_2024_119" w:history="1">
        <w:r w:rsidRPr="007D5795">
          <w:rPr>
            <w:rStyle w:val="TextoNormalCaracter"/>
          </w:rPr>
          <w:t>119/2024</w:t>
        </w:r>
      </w:hyperlink>
      <w:r>
        <w:t>, f. 4.</w:t>
      </w:r>
    </w:p>
    <w:p w14:paraId="1BBD5E4E" w14:textId="7CB6DFB3" w:rsidR="007D5795" w:rsidRDefault="007D5795" w:rsidP="007D5795">
      <w:pPr>
        <w:pStyle w:val="SangriaFrancesaArticulo"/>
      </w:pPr>
      <w:r w:rsidRPr="007D5795">
        <w:rPr>
          <w:rStyle w:val="TextoNormalNegritaCaracter"/>
        </w:rPr>
        <w:t>Artículo 25.1 d).</w:t>
      </w:r>
      <w:r w:rsidRPr="007D5795">
        <w:rPr>
          <w:rStyle w:val="TextoNormalCaracter"/>
        </w:rPr>
        <w:t>-</w:t>
      </w:r>
      <w:r>
        <w:t xml:space="preserve"> Sentencia </w:t>
      </w:r>
      <w:hyperlink w:anchor="SENTENCIA_2024_119" w:history="1">
        <w:r w:rsidRPr="007D5795">
          <w:rPr>
            <w:rStyle w:val="TextoNormalCaracter"/>
          </w:rPr>
          <w:t>119/2024</w:t>
        </w:r>
      </w:hyperlink>
      <w:r>
        <w:t>, f. 4.</w:t>
      </w:r>
    </w:p>
    <w:p w14:paraId="4F4D43E6" w14:textId="4F61C3C7" w:rsidR="007D5795" w:rsidRDefault="007D5795" w:rsidP="007D5795">
      <w:pPr>
        <w:pStyle w:val="SangriaFrancesaArticulo"/>
      </w:pPr>
      <w:r w:rsidRPr="007D5795">
        <w:rPr>
          <w:rStyle w:val="TextoNormalNegritaCaracter"/>
        </w:rPr>
        <w:t>Artículo 25.2.</w:t>
      </w:r>
      <w:r w:rsidRPr="007D5795">
        <w:rPr>
          <w:rStyle w:val="TextoNormalCaracter"/>
        </w:rPr>
        <w:t>-</w:t>
      </w:r>
      <w:r>
        <w:t xml:space="preserve"> Sentencia </w:t>
      </w:r>
      <w:hyperlink w:anchor="SENTENCIA_2024_119" w:history="1">
        <w:r w:rsidRPr="007D5795">
          <w:rPr>
            <w:rStyle w:val="TextoNormalCaracter"/>
          </w:rPr>
          <w:t>119/2024</w:t>
        </w:r>
      </w:hyperlink>
      <w:r>
        <w:t>, f. 4.</w:t>
      </w:r>
    </w:p>
    <w:p w14:paraId="4DD6F52E" w14:textId="2E71E8D2" w:rsidR="007D5795" w:rsidRDefault="007D5795" w:rsidP="007D5795">
      <w:pPr>
        <w:pStyle w:val="SangriaFrancesaArticulo"/>
      </w:pPr>
      <w:r w:rsidRPr="007D5795">
        <w:rPr>
          <w:rStyle w:val="TextoNormalNegritaCaracter"/>
        </w:rPr>
        <w:t>Artículo 25.3.</w:t>
      </w:r>
      <w:r w:rsidRPr="007D5795">
        <w:rPr>
          <w:rStyle w:val="TextoNormalCaracter"/>
        </w:rPr>
        <w:t>-</w:t>
      </w:r>
      <w:r>
        <w:t xml:space="preserve"> Sentencia </w:t>
      </w:r>
      <w:hyperlink w:anchor="SENTENCIA_2024_119" w:history="1">
        <w:r w:rsidRPr="007D5795">
          <w:rPr>
            <w:rStyle w:val="TextoNormalCaracter"/>
          </w:rPr>
          <w:t>119/2024</w:t>
        </w:r>
      </w:hyperlink>
      <w:r>
        <w:t>, ff. 4, 5.</w:t>
      </w:r>
    </w:p>
    <w:p w14:paraId="7038DDBA" w14:textId="60601A55" w:rsidR="007D5795" w:rsidRDefault="007D5795" w:rsidP="007D5795">
      <w:pPr>
        <w:pStyle w:val="SangriaFrancesaArticulo"/>
      </w:pPr>
      <w:r w:rsidRPr="007D5795">
        <w:rPr>
          <w:rStyle w:val="TextoNormalNegritaCaracter"/>
        </w:rPr>
        <w:t>Artículo 32.</w:t>
      </w:r>
      <w:r w:rsidRPr="007D5795">
        <w:rPr>
          <w:rStyle w:val="TextoNormalCaracter"/>
        </w:rPr>
        <w:t>-</w:t>
      </w:r>
      <w:r>
        <w:t xml:space="preserve"> Sentencia </w:t>
      </w:r>
      <w:hyperlink w:anchor="SENTENCIA_2024_119" w:history="1">
        <w:r w:rsidRPr="007D5795">
          <w:rPr>
            <w:rStyle w:val="TextoNormalCaracter"/>
          </w:rPr>
          <w:t>119/2024</w:t>
        </w:r>
      </w:hyperlink>
      <w:r>
        <w:t>, ff. 3, 5.</w:t>
      </w:r>
    </w:p>
    <w:p w14:paraId="6516589C" w14:textId="1DFBDA8F" w:rsidR="007D5795" w:rsidRDefault="007D5795" w:rsidP="007D5795">
      <w:pPr>
        <w:pStyle w:val="SangriaFrancesaArticulo"/>
      </w:pPr>
      <w:r w:rsidRPr="007D5795">
        <w:rPr>
          <w:rStyle w:val="TextoNormalNegritaCaracter"/>
        </w:rPr>
        <w:t>Artículo 64.</w:t>
      </w:r>
      <w:r w:rsidRPr="007D5795">
        <w:rPr>
          <w:rStyle w:val="TextoNormalCaracter"/>
        </w:rPr>
        <w:t>-</w:t>
      </w:r>
      <w:r>
        <w:t xml:space="preserve"> Sentencia </w:t>
      </w:r>
      <w:hyperlink w:anchor="SENTENCIA_2024_119" w:history="1">
        <w:r w:rsidRPr="007D5795">
          <w:rPr>
            <w:rStyle w:val="TextoNormalCaracter"/>
          </w:rPr>
          <w:t>119/2024</w:t>
        </w:r>
      </w:hyperlink>
      <w:r>
        <w:t>, f. 1.</w:t>
      </w:r>
    </w:p>
    <w:p w14:paraId="392FF2FF" w14:textId="7CF1F86C" w:rsidR="007D5795" w:rsidRDefault="007D5795" w:rsidP="007D5795">
      <w:pPr>
        <w:pStyle w:val="SangriaFrancesaArticulo"/>
      </w:pPr>
      <w:r w:rsidRPr="007D5795">
        <w:rPr>
          <w:rStyle w:val="TextoNormalNegritaCaracter"/>
        </w:rPr>
        <w:t>Artículo 64 y ss..</w:t>
      </w:r>
      <w:r w:rsidRPr="007D5795">
        <w:rPr>
          <w:rStyle w:val="TextoNormalCaracter"/>
        </w:rPr>
        <w:t>-</w:t>
      </w:r>
      <w:r>
        <w:t xml:space="preserve"> Sentencia </w:t>
      </w:r>
      <w:hyperlink w:anchor="SENTENCIA_2024_119" w:history="1">
        <w:r w:rsidRPr="007D5795">
          <w:rPr>
            <w:rStyle w:val="TextoNormalCaracter"/>
          </w:rPr>
          <w:t>119/2024</w:t>
        </w:r>
      </w:hyperlink>
      <w:r>
        <w:t>, f. 5.</w:t>
      </w:r>
    </w:p>
    <w:p w14:paraId="39AE39A6" w14:textId="0D7DF0E9" w:rsidR="007D5795" w:rsidRDefault="007D5795" w:rsidP="007D5795">
      <w:pPr>
        <w:pStyle w:val="SangriaFrancesaArticulo"/>
      </w:pPr>
      <w:r w:rsidRPr="007D5795">
        <w:rPr>
          <w:rStyle w:val="TextoNormalNegritaCaracter"/>
        </w:rPr>
        <w:t>Artículo 66.2</w:t>
      </w:r>
      <w:r>
        <w:t xml:space="preserve"> (redactado por la Ley 2/2013, de 29 de mayo)</w:t>
      </w:r>
      <w:r w:rsidRPr="007D5795">
        <w:rPr>
          <w:rStyle w:val="TextoNormalNegritaCaracter"/>
        </w:rPr>
        <w:t>.</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1AC47A48" w14:textId="3900272A" w:rsidR="007D5795" w:rsidRDefault="007D5795" w:rsidP="007D5795">
      <w:pPr>
        <w:pStyle w:val="SangriaFrancesaArticulo"/>
      </w:pPr>
      <w:r w:rsidRPr="007D5795">
        <w:rPr>
          <w:rStyle w:val="TextoNormalNegritaCaracter"/>
        </w:rPr>
        <w:t>Artículo 70.2</w:t>
      </w:r>
      <w:r>
        <w:t xml:space="preserve"> (redactado por la Ley 2/2013, de 29 de mayo)</w:t>
      </w:r>
      <w:r w:rsidRPr="007D5795">
        <w:rPr>
          <w:rStyle w:val="TextoNormalNegritaCaracter"/>
        </w:rPr>
        <w:t>.</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6EB12ABD" w14:textId="66A6654C" w:rsidR="007D5795" w:rsidRDefault="007D5795" w:rsidP="007D5795">
      <w:pPr>
        <w:pStyle w:val="SangriaFrancesaArticulo"/>
      </w:pPr>
      <w:r w:rsidRPr="007D5795">
        <w:rPr>
          <w:rStyle w:val="TextoNormalNegritaCaracter"/>
        </w:rPr>
        <w:t>Disposición transitoria primera.</w:t>
      </w:r>
      <w:r w:rsidRPr="007D5795">
        <w:rPr>
          <w:rStyle w:val="TextoNormalCaracter"/>
        </w:rPr>
        <w:t>-</w:t>
      </w:r>
      <w:r>
        <w:t xml:space="preserve"> Sentencia </w:t>
      </w:r>
      <w:hyperlink w:anchor="SENTENCIA_2024_119" w:history="1">
        <w:r w:rsidRPr="007D5795">
          <w:rPr>
            <w:rStyle w:val="TextoNormalCaracter"/>
          </w:rPr>
          <w:t>119/2024</w:t>
        </w:r>
      </w:hyperlink>
      <w:r>
        <w:t>, ff. 1 a 3, 5.</w:t>
      </w:r>
    </w:p>
    <w:p w14:paraId="2BA57987" w14:textId="3DE1FE66" w:rsidR="007D5795" w:rsidRDefault="007D5795" w:rsidP="007D5795">
      <w:pPr>
        <w:pStyle w:val="SangriaFrancesaArticulo"/>
      </w:pPr>
      <w:r w:rsidRPr="007D5795">
        <w:rPr>
          <w:rStyle w:val="TextoNormalNegritaCaracter"/>
        </w:rPr>
        <w:t>Disposición transitoria primera, apartado 4.</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5D6087B3" w14:textId="5B42C5A7" w:rsidR="007D5795" w:rsidRDefault="007D5795" w:rsidP="007D5795">
      <w:pPr>
        <w:pStyle w:val="SangriaFrancesaArticulo"/>
      </w:pPr>
    </w:p>
    <w:p w14:paraId="77DF695C" w14:textId="77777777" w:rsidR="007D5795" w:rsidRDefault="007D5795" w:rsidP="007D5795">
      <w:pPr>
        <w:pStyle w:val="TextoNormalNegritaCursivandice"/>
        <w:keepNext/>
      </w:pPr>
      <w:r>
        <w:t>Ley 38/1988, de 28 de diciembre. Demarcación y planta judicial</w:t>
      </w:r>
    </w:p>
    <w:p w14:paraId="64D4E36F" w14:textId="633C850A" w:rsidR="007D5795" w:rsidRDefault="007D5795" w:rsidP="007D5795">
      <w:pPr>
        <w:pStyle w:val="SangriaFrancesaArticulo"/>
      </w:pPr>
      <w:r w:rsidRPr="007D5795">
        <w:rPr>
          <w:rStyle w:val="TextoNormalNegritaCaracter"/>
        </w:rPr>
        <w:t>Artículo 23</w:t>
      </w:r>
      <w:r>
        <w:t xml:space="preserve"> (redactado por la Ley Orgánica 19/2003, de 23 de diciembre)</w:t>
      </w:r>
      <w:r w:rsidRPr="007D5795">
        <w:rPr>
          <w:rStyle w:val="TextoNormalNegritaCaracter"/>
        </w:rPr>
        <w:t>.</w:t>
      </w:r>
      <w:r w:rsidRPr="007D5795">
        <w:rPr>
          <w:rStyle w:val="TextoNormalCaracter"/>
        </w:rPr>
        <w:t>-</w:t>
      </w:r>
      <w:r>
        <w:t xml:space="preserve"> Sentencia </w:t>
      </w:r>
      <w:hyperlink w:anchor="SENTENCIA_2024_131" w:history="1">
        <w:r w:rsidRPr="007D5795">
          <w:rPr>
            <w:rStyle w:val="TextoNormalCaracter"/>
          </w:rPr>
          <w:t>131/2024</w:t>
        </w:r>
      </w:hyperlink>
      <w:r>
        <w:t>, f. 3.</w:t>
      </w:r>
    </w:p>
    <w:p w14:paraId="18BA408E" w14:textId="5715B0D1" w:rsidR="007D5795" w:rsidRDefault="007D5795" w:rsidP="007D5795">
      <w:pPr>
        <w:pStyle w:val="SangriaFrancesaArticulo"/>
      </w:pPr>
      <w:r w:rsidRPr="007D5795">
        <w:rPr>
          <w:rStyle w:val="TextoNormalNegritaCaracter"/>
        </w:rPr>
        <w:t>Artículo 23</w:t>
      </w:r>
      <w:r>
        <w:t xml:space="preserve"> (redactado por la Ley Orgánica 7/2015, de 21 de julio)</w:t>
      </w:r>
      <w:r w:rsidRPr="007D5795">
        <w:rPr>
          <w:rStyle w:val="TextoNormalNegritaCaracter"/>
        </w:rPr>
        <w:t>.</w:t>
      </w:r>
      <w:r w:rsidRPr="007D5795">
        <w:rPr>
          <w:rStyle w:val="TextoNormalCaracter"/>
        </w:rPr>
        <w:t>-</w:t>
      </w:r>
      <w:r>
        <w:t xml:space="preserve"> Sentencia </w:t>
      </w:r>
      <w:hyperlink w:anchor="SENTENCIA_2024_131" w:history="1">
        <w:r w:rsidRPr="007D5795">
          <w:rPr>
            <w:rStyle w:val="TextoNormalCaracter"/>
          </w:rPr>
          <w:t>131/2024</w:t>
        </w:r>
      </w:hyperlink>
      <w:r>
        <w:t>, ff. 1, 3.</w:t>
      </w:r>
    </w:p>
    <w:p w14:paraId="1166B6FC" w14:textId="21BA3910" w:rsidR="007D5795" w:rsidRDefault="007D5795" w:rsidP="007D5795">
      <w:pPr>
        <w:pStyle w:val="SangriaFrancesaArticulo"/>
      </w:pPr>
      <w:r w:rsidRPr="007D5795">
        <w:rPr>
          <w:rStyle w:val="TextoNormalNegritaCaracter"/>
        </w:rPr>
        <w:t>Artículo 23 inciso “y que además pertenezcan a la carrera judicial”</w:t>
      </w:r>
      <w:r>
        <w:t xml:space="preserve"> (redactado por la Ley Orgánica 7/2015, de 21 de julio)</w:t>
      </w:r>
      <w:r w:rsidRPr="007D5795">
        <w:rPr>
          <w:rStyle w:val="TextoNormalNegritaCaracter"/>
        </w:rPr>
        <w:t>.</w:t>
      </w:r>
      <w:r w:rsidRPr="007D5795">
        <w:rPr>
          <w:rStyle w:val="TextoNormalCaracter"/>
        </w:rPr>
        <w:t>-</w:t>
      </w:r>
      <w:r>
        <w:t xml:space="preserve"> Sentencia </w:t>
      </w:r>
      <w:hyperlink w:anchor="SENTENCIA_2024_131" w:history="1">
        <w:r w:rsidRPr="007D5795">
          <w:rPr>
            <w:rStyle w:val="TextoNormalCaracter"/>
          </w:rPr>
          <w:t>131/2024</w:t>
        </w:r>
      </w:hyperlink>
      <w:r>
        <w:t>, ff. 1, 3, 4.</w:t>
      </w:r>
    </w:p>
    <w:p w14:paraId="3F23F69F" w14:textId="61B900F6" w:rsidR="007D5795" w:rsidRDefault="007D5795" w:rsidP="007D5795">
      <w:pPr>
        <w:pStyle w:val="SangriaFrancesaArticulo"/>
      </w:pPr>
    </w:p>
    <w:p w14:paraId="05489831" w14:textId="77777777" w:rsidR="007D5795" w:rsidRDefault="007D5795" w:rsidP="007D5795">
      <w:pPr>
        <w:pStyle w:val="TextoNormalNegritaCursivandice"/>
        <w:keepNext/>
      </w:pPr>
      <w:r>
        <w:t>Ley 3/1989, de 3 de marzo. Amplía a dieciséis semanas el permiso de maternidad y se establecen medidas para favorecer la igualdad de trato de la mujer en el trabajo</w:t>
      </w:r>
    </w:p>
    <w:p w14:paraId="202CA391" w14:textId="339E60C1" w:rsidR="007D5795" w:rsidRDefault="007D5795" w:rsidP="007D5795">
      <w:pPr>
        <w:pStyle w:val="SangriaFrancesaArticulo"/>
      </w:pPr>
      <w:r w:rsidRPr="007D5795">
        <w:rPr>
          <w:rStyle w:val="TextoNormalNegritaCaracter"/>
        </w:rPr>
        <w:t>Artículo 1.4.</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104FF6F2" w14:textId="66C14979" w:rsidR="007D5795" w:rsidRDefault="007D5795" w:rsidP="007D5795">
      <w:pPr>
        <w:pStyle w:val="SangriaFrancesaArticulo"/>
      </w:pPr>
    </w:p>
    <w:p w14:paraId="7DA8BCF8" w14:textId="77777777" w:rsidR="007D5795" w:rsidRDefault="007D5795" w:rsidP="007D5795">
      <w:pPr>
        <w:pStyle w:val="TextoNormalNegritaCursivandice"/>
        <w:keepNext/>
      </w:pPr>
      <w:r>
        <w:t>Ley 29/1994, de 24 de noviembre, de arrendamientos urbanos</w:t>
      </w:r>
    </w:p>
    <w:p w14:paraId="77085BCD" w14:textId="512ACDA4"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20" w:history="1">
        <w:r w:rsidRPr="007D5795">
          <w:rPr>
            <w:rStyle w:val="TextoNormalCaracter"/>
          </w:rPr>
          <w:t>120/2024</w:t>
        </w:r>
      </w:hyperlink>
      <w:r>
        <w:t xml:space="preserve">, f. 5, VP III; </w:t>
      </w:r>
      <w:hyperlink w:anchor="SENTENCIA_2024_126" w:history="1">
        <w:r w:rsidRPr="007D5795">
          <w:rPr>
            <w:rStyle w:val="TextoNormalCaracter"/>
          </w:rPr>
          <w:t>126/2024</w:t>
        </w:r>
      </w:hyperlink>
      <w:r>
        <w:t>, f. 2.</w:t>
      </w:r>
    </w:p>
    <w:p w14:paraId="23158703" w14:textId="495DD3FB" w:rsidR="007D5795" w:rsidRDefault="007D5795" w:rsidP="007D5795">
      <w:pPr>
        <w:pStyle w:val="SangriaFrancesaArticulo"/>
      </w:pPr>
      <w:r w:rsidRPr="007D5795">
        <w:rPr>
          <w:rStyle w:val="TextoNormalNegritaCaracter"/>
        </w:rPr>
        <w:t>Título II.</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559D8422" w14:textId="5508A040" w:rsidR="007D5795" w:rsidRDefault="007D5795" w:rsidP="007D5795">
      <w:pPr>
        <w:pStyle w:val="SangriaFrancesaArticulo"/>
      </w:pPr>
      <w:r w:rsidRPr="007D5795">
        <w:rPr>
          <w:rStyle w:val="TextoNormalNegritaCaracter"/>
        </w:rPr>
        <w:t>Título IV.</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40EC8ABF" w14:textId="5B06DB8F" w:rsidR="007D5795" w:rsidRDefault="007D5795" w:rsidP="007D5795">
      <w:pPr>
        <w:pStyle w:val="SangriaFrancesaArticulo"/>
      </w:pPr>
      <w:r w:rsidRPr="007D5795">
        <w:rPr>
          <w:rStyle w:val="TextoNormalNegritaCaracter"/>
        </w:rPr>
        <w:t>Artículo 9.1.</w:t>
      </w:r>
      <w:r w:rsidRPr="007D5795">
        <w:rPr>
          <w:rStyle w:val="TextoNormalCaracter"/>
        </w:rPr>
        <w:t>-</w:t>
      </w:r>
      <w:r>
        <w:t xml:space="preserve"> Sentencia </w:t>
      </w:r>
      <w:hyperlink w:anchor="SENTENCIA_2024_120" w:history="1">
        <w:r w:rsidRPr="007D5795">
          <w:rPr>
            <w:rStyle w:val="TextoNormalCaracter"/>
          </w:rPr>
          <w:t>120/2024</w:t>
        </w:r>
      </w:hyperlink>
      <w:r>
        <w:t>, f. 5, VP IV.</w:t>
      </w:r>
    </w:p>
    <w:p w14:paraId="02A541A0" w14:textId="5148506D" w:rsidR="007D5795" w:rsidRDefault="007D5795" w:rsidP="007D5795">
      <w:pPr>
        <w:pStyle w:val="SangriaFrancesaArticulo"/>
      </w:pPr>
      <w:r w:rsidRPr="007D5795">
        <w:rPr>
          <w:rStyle w:val="TextoNormalNegritaCaracter"/>
        </w:rPr>
        <w:t>Artículo 9.3.</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7C4480E5" w14:textId="48BC25B1" w:rsidR="007D5795" w:rsidRDefault="007D5795" w:rsidP="007D5795">
      <w:pPr>
        <w:pStyle w:val="SangriaFrancesaArticulo"/>
      </w:pPr>
      <w:r w:rsidRPr="007D5795">
        <w:rPr>
          <w:rStyle w:val="TextoNormalNegritaCaracter"/>
        </w:rPr>
        <w:t>Artículo 10.</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7802345C" w14:textId="136FD26F" w:rsidR="007D5795" w:rsidRDefault="007D5795" w:rsidP="007D5795">
      <w:pPr>
        <w:pStyle w:val="SangriaFrancesaArticulo"/>
      </w:pPr>
      <w:r w:rsidRPr="007D5795">
        <w:rPr>
          <w:rStyle w:val="TextoNormalNegritaCaracter"/>
        </w:rPr>
        <w:t>Artículo 10.1</w:t>
      </w:r>
      <w:r>
        <w:t xml:space="preserve"> (redactado por la Ley 12/2023, de 24 de mayo)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6613AD88" w14:textId="410E8B98" w:rsidR="007D5795" w:rsidRDefault="007D5795" w:rsidP="007D5795">
      <w:pPr>
        <w:pStyle w:val="SangriaFrancesaArticulo"/>
      </w:pPr>
      <w:r w:rsidRPr="007D5795">
        <w:rPr>
          <w:rStyle w:val="TextoNormalNegritaCaracter"/>
        </w:rPr>
        <w:t>Artículo 10.2</w:t>
      </w:r>
      <w:r>
        <w:t xml:space="preserve"> (redactado por la Ley 12/2023, de 24 de mayo)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5648D175" w14:textId="54E8321D" w:rsidR="007D5795" w:rsidRDefault="007D5795" w:rsidP="007D5795">
      <w:pPr>
        <w:pStyle w:val="SangriaFrancesaArticulo"/>
      </w:pPr>
      <w:r w:rsidRPr="007D5795">
        <w:rPr>
          <w:rStyle w:val="TextoNormalNegritaCaracter"/>
        </w:rPr>
        <w:t>Artículo 17.6</w:t>
      </w:r>
      <w:r>
        <w:t xml:space="preserve"> (redactado por la Ley 12/2023, de 24 de mayo)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5EC1D1E1" w14:textId="0131F8BB" w:rsidR="007D5795" w:rsidRDefault="007D5795" w:rsidP="007D5795">
      <w:pPr>
        <w:pStyle w:val="SangriaFrancesaArticulo"/>
      </w:pPr>
      <w:r w:rsidRPr="007D5795">
        <w:rPr>
          <w:rStyle w:val="TextoNormalNegritaCaracter"/>
        </w:rPr>
        <w:t>Artículo 17.7</w:t>
      </w:r>
      <w:r>
        <w:t xml:space="preserve"> (redactado por la Ley 12/2023, de 24 de mayo)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438D13A3" w14:textId="23725FB6" w:rsidR="007D5795" w:rsidRDefault="007D5795" w:rsidP="007D5795">
      <w:pPr>
        <w:pStyle w:val="SangriaFrancesaArticulo"/>
      </w:pPr>
      <w:r w:rsidRPr="007D5795">
        <w:rPr>
          <w:rStyle w:val="TextoNormalNegritaCaracter"/>
        </w:rPr>
        <w:t>Disposición transitoria séptima, apartado 1</w:t>
      </w:r>
      <w:r>
        <w:t xml:space="preserve"> (redactado por la Ley 12/2023, de 24 de mayo)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5DDD1B68" w14:textId="06714C69" w:rsidR="007D5795" w:rsidRDefault="007D5795" w:rsidP="007D5795">
      <w:pPr>
        <w:pStyle w:val="SangriaFrancesaArticulo"/>
      </w:pPr>
    </w:p>
    <w:p w14:paraId="6BCD4589" w14:textId="77777777" w:rsidR="007D5795" w:rsidRDefault="007D5795" w:rsidP="007D5795">
      <w:pPr>
        <w:pStyle w:val="TextoNormalNegritaCursivandice"/>
        <w:keepNext/>
      </w:pPr>
      <w:r>
        <w:t>Ley 42/1994, de 30 de diciembre. Medidas fiscales, administrativas y de orden social</w:t>
      </w:r>
    </w:p>
    <w:p w14:paraId="2440C5DC" w14:textId="0C3AF66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1980F17C" w14:textId="02BCE8EF" w:rsidR="007D5795" w:rsidRDefault="007D5795" w:rsidP="007D5795">
      <w:pPr>
        <w:pStyle w:val="SangriaFrancesaArticulo"/>
      </w:pPr>
    </w:p>
    <w:p w14:paraId="2D5B1239" w14:textId="77777777" w:rsidR="007D5795" w:rsidRDefault="007D5795" w:rsidP="007D5795">
      <w:pPr>
        <w:pStyle w:val="TextoNormalNegritaCursivandice"/>
        <w:keepNext/>
      </w:pPr>
      <w:r>
        <w:t>Ley 50/1997, de 27 de noviembre, del Gobierno</w:t>
      </w:r>
    </w:p>
    <w:p w14:paraId="24B1B827" w14:textId="69F92F1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xml:space="preserve">, VP I, VP III; </w:t>
      </w:r>
      <w:hyperlink w:anchor="SENTENCIA_2024_102" w:history="1">
        <w:r w:rsidRPr="007D5795">
          <w:rPr>
            <w:rStyle w:val="TextoNormalCaracter"/>
          </w:rPr>
          <w:t>102/2024</w:t>
        </w:r>
      </w:hyperlink>
      <w:r>
        <w:t xml:space="preserve">, VP I; </w:t>
      </w:r>
      <w:hyperlink w:anchor="SENTENCIA_2024_103" w:history="1">
        <w:r w:rsidRPr="007D5795">
          <w:rPr>
            <w:rStyle w:val="TextoNormalCaracter"/>
          </w:rPr>
          <w:t>103/2024</w:t>
        </w:r>
      </w:hyperlink>
      <w:r>
        <w:t>, VP I.</w:t>
      </w:r>
    </w:p>
    <w:p w14:paraId="2223ABED" w14:textId="4A25A898" w:rsidR="007D5795" w:rsidRDefault="007D5795" w:rsidP="007D5795">
      <w:pPr>
        <w:pStyle w:val="SangriaFrancesaArticulo"/>
      </w:pPr>
      <w:r w:rsidRPr="007D5795">
        <w:rPr>
          <w:rStyle w:val="TextoNormalNegritaCaracter"/>
        </w:rPr>
        <w:t>Artículo 26.</w:t>
      </w:r>
      <w:r w:rsidRPr="007D5795">
        <w:rPr>
          <w:rStyle w:val="TextoNormalCaracter"/>
        </w:rPr>
        <w:t>-</w:t>
      </w:r>
      <w:r>
        <w:t xml:space="preserve"> Sentencias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xml:space="preserve">, VP I, VP III; </w:t>
      </w:r>
      <w:hyperlink w:anchor="SENTENCIA_2024_103" w:history="1">
        <w:r w:rsidRPr="007D5795">
          <w:rPr>
            <w:rStyle w:val="TextoNormalCaracter"/>
          </w:rPr>
          <w:t>103/2024</w:t>
        </w:r>
      </w:hyperlink>
      <w:r>
        <w:t>, VP I.</w:t>
      </w:r>
    </w:p>
    <w:p w14:paraId="51D980E0" w14:textId="7A32568F" w:rsidR="007D5795" w:rsidRDefault="007D5795" w:rsidP="007D5795">
      <w:pPr>
        <w:pStyle w:val="SangriaFrancesaArticulo"/>
      </w:pPr>
      <w:r w:rsidRPr="007D5795">
        <w:rPr>
          <w:rStyle w:val="TextoNormalNegritaCaracter"/>
        </w:rPr>
        <w:t>Artículos 26 y ss..</w:t>
      </w:r>
      <w:r w:rsidRPr="007D5795">
        <w:rPr>
          <w:rStyle w:val="TextoNormalCaracter"/>
        </w:rPr>
        <w:t>-</w:t>
      </w:r>
      <w:r>
        <w:t xml:space="preserve"> Sentencias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xml:space="preserve">, VP III; </w:t>
      </w:r>
      <w:hyperlink w:anchor="SENTENCIA_2024_102" w:history="1">
        <w:r w:rsidRPr="007D5795">
          <w:rPr>
            <w:rStyle w:val="TextoNormalCaracter"/>
          </w:rPr>
          <w:t>102/2024</w:t>
        </w:r>
      </w:hyperlink>
      <w:r>
        <w:t xml:space="preserve">, VP I; </w:t>
      </w:r>
      <w:hyperlink w:anchor="SENTENCIA_2024_103" w:history="1">
        <w:r w:rsidRPr="007D5795">
          <w:rPr>
            <w:rStyle w:val="TextoNormalCaracter"/>
          </w:rPr>
          <w:t>103/2024</w:t>
        </w:r>
      </w:hyperlink>
      <w:r>
        <w:t>, VP I.</w:t>
      </w:r>
    </w:p>
    <w:p w14:paraId="1C9C6057" w14:textId="3628AF4A" w:rsidR="007D5795" w:rsidRDefault="007D5795" w:rsidP="007D5795">
      <w:pPr>
        <w:pStyle w:val="SangriaFrancesaArticulo"/>
      </w:pPr>
    </w:p>
    <w:p w14:paraId="1C576337" w14:textId="77777777" w:rsidR="007D5795" w:rsidRDefault="007D5795" w:rsidP="007D5795">
      <w:pPr>
        <w:pStyle w:val="TextoNormalNegritaCursivandice"/>
        <w:keepNext/>
      </w:pPr>
      <w:r>
        <w:t>Ley 52/1997, de 27 de noviembre, de asistencia jurídica al Estado e instituciones públicas</w:t>
      </w:r>
    </w:p>
    <w:p w14:paraId="7C1FEEBB" w14:textId="66CC6FCF"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Auto </w:t>
      </w:r>
      <w:hyperlink w:anchor="AUTO_2024_116" w:history="1">
        <w:r w:rsidRPr="007D5795">
          <w:rPr>
            <w:rStyle w:val="TextoNormalCaracter"/>
          </w:rPr>
          <w:t>116/2024</w:t>
        </w:r>
      </w:hyperlink>
      <w:r>
        <w:t>, f. 2.</w:t>
      </w:r>
    </w:p>
    <w:p w14:paraId="31054D3A" w14:textId="33707407" w:rsidR="007D5795" w:rsidRDefault="007D5795" w:rsidP="007D5795">
      <w:pPr>
        <w:pStyle w:val="SangriaFrancesaArticulo"/>
      </w:pPr>
    </w:p>
    <w:p w14:paraId="4FDC8BA0" w14:textId="77777777" w:rsidR="007D5795" w:rsidRDefault="007D5795" w:rsidP="007D5795">
      <w:pPr>
        <w:pStyle w:val="TextoNormalNegritaCursivandice"/>
        <w:keepNext/>
      </w:pPr>
      <w:r>
        <w:t>Ley 29/1998, de 13 de julio, reguladora de la jurisdicción contencioso-administrativa</w:t>
      </w:r>
    </w:p>
    <w:p w14:paraId="228BF887" w14:textId="3A14E6E3" w:rsidR="007D5795" w:rsidRDefault="007D5795" w:rsidP="007D5795">
      <w:pPr>
        <w:pStyle w:val="SangriaFrancesaArticulo"/>
      </w:pPr>
      <w:r w:rsidRPr="007D5795">
        <w:rPr>
          <w:rStyle w:val="TextoNormalNegritaCaracter"/>
        </w:rPr>
        <w:t>Artículo 2 a).</w:t>
      </w:r>
      <w:r w:rsidRPr="007D5795">
        <w:rPr>
          <w:rStyle w:val="TextoNormalCaracter"/>
        </w:rPr>
        <w:t>-</w:t>
      </w:r>
      <w:r>
        <w:t xml:space="preserve"> Sentencias </w:t>
      </w:r>
      <w:hyperlink w:anchor="SENTENCIA_2024_99" w:history="1">
        <w:r w:rsidRPr="007D5795">
          <w:rPr>
            <w:rStyle w:val="TextoNormalCaracter"/>
          </w:rPr>
          <w:t>99/2024</w:t>
        </w:r>
      </w:hyperlink>
      <w:r>
        <w:t xml:space="preserve">, VP III; </w:t>
      </w:r>
      <w:hyperlink w:anchor="SENTENCIA_2024_100" w:history="1">
        <w:r w:rsidRPr="007D5795">
          <w:rPr>
            <w:rStyle w:val="TextoNormalCaracter"/>
          </w:rPr>
          <w:t>100/2024</w:t>
        </w:r>
      </w:hyperlink>
      <w:r>
        <w:t>, VP III.</w:t>
      </w:r>
    </w:p>
    <w:p w14:paraId="605F4789" w14:textId="08F2C434" w:rsidR="007D5795" w:rsidRDefault="007D5795" w:rsidP="007D5795">
      <w:pPr>
        <w:pStyle w:val="SangriaFrancesaArticulo"/>
      </w:pPr>
      <w:r w:rsidRPr="007D5795">
        <w:rPr>
          <w:rStyle w:val="TextoNormalNegritaCaracter"/>
        </w:rPr>
        <w:t>Artículo 23.1.</w:t>
      </w:r>
      <w:r w:rsidRPr="007D5795">
        <w:rPr>
          <w:rStyle w:val="TextoNormalCaracter"/>
        </w:rPr>
        <w:t>-</w:t>
      </w:r>
      <w:r>
        <w:t xml:space="preserve"> Sentencia </w:t>
      </w:r>
      <w:hyperlink w:anchor="SENTENCIA_2024_104" w:history="1">
        <w:r w:rsidRPr="007D5795">
          <w:rPr>
            <w:rStyle w:val="TextoNormalCaracter"/>
          </w:rPr>
          <w:t>104/2024</w:t>
        </w:r>
      </w:hyperlink>
      <w:r>
        <w:t>, f. 2.</w:t>
      </w:r>
    </w:p>
    <w:p w14:paraId="2E0BDB62" w14:textId="6E32DDE6" w:rsidR="007D5795" w:rsidRDefault="007D5795" w:rsidP="007D5795">
      <w:pPr>
        <w:pStyle w:val="SangriaFrancesaArticulo"/>
      </w:pPr>
      <w:r w:rsidRPr="007D5795">
        <w:rPr>
          <w:rStyle w:val="TextoNormalNegritaCaracter"/>
        </w:rPr>
        <w:t>Artículo 23.2.</w:t>
      </w:r>
      <w:r w:rsidRPr="007D5795">
        <w:rPr>
          <w:rStyle w:val="TextoNormalCaracter"/>
        </w:rPr>
        <w:t>-</w:t>
      </w:r>
      <w:r>
        <w:t xml:space="preserve"> Sentencia </w:t>
      </w:r>
      <w:hyperlink w:anchor="SENTENCIA_2024_104" w:history="1">
        <w:r w:rsidRPr="007D5795">
          <w:rPr>
            <w:rStyle w:val="TextoNormalCaracter"/>
          </w:rPr>
          <w:t>104/2024</w:t>
        </w:r>
      </w:hyperlink>
      <w:r>
        <w:t>, f. 2.</w:t>
      </w:r>
    </w:p>
    <w:p w14:paraId="29A950E1" w14:textId="50050D8B" w:rsidR="007D5795" w:rsidRDefault="007D5795" w:rsidP="007D5795">
      <w:pPr>
        <w:pStyle w:val="SangriaFrancesaArticulo"/>
      </w:pPr>
      <w:r w:rsidRPr="007D5795">
        <w:rPr>
          <w:rStyle w:val="TextoNormalNegritaCaracter"/>
        </w:rPr>
        <w:t>Artículo 23.3.</w:t>
      </w:r>
      <w:r w:rsidRPr="007D5795">
        <w:rPr>
          <w:rStyle w:val="TextoNormalCaracter"/>
        </w:rPr>
        <w:t>-</w:t>
      </w:r>
      <w:r>
        <w:t xml:space="preserve"> Sentencia </w:t>
      </w:r>
      <w:hyperlink w:anchor="SENTENCIA_2024_104" w:history="1">
        <w:r w:rsidRPr="007D5795">
          <w:rPr>
            <w:rStyle w:val="TextoNormalCaracter"/>
          </w:rPr>
          <w:t>104/2024</w:t>
        </w:r>
      </w:hyperlink>
      <w:r>
        <w:t>, f. 2.</w:t>
      </w:r>
    </w:p>
    <w:p w14:paraId="7855810D" w14:textId="166D5E78" w:rsidR="007D5795" w:rsidRDefault="007D5795" w:rsidP="007D5795">
      <w:pPr>
        <w:pStyle w:val="SangriaFrancesaArticulo"/>
      </w:pPr>
      <w:r w:rsidRPr="007D5795">
        <w:rPr>
          <w:rStyle w:val="TextoNormalNegritaCaracter"/>
        </w:rPr>
        <w:t>Artículo 23.3</w:t>
      </w:r>
      <w:r>
        <w:t xml:space="preserve"> (redactado por la Ley 42/2015, de 5 de octubre)</w:t>
      </w:r>
      <w:r w:rsidRPr="007D5795">
        <w:rPr>
          <w:rStyle w:val="TextoNormalNegritaCaracter"/>
        </w:rPr>
        <w:t>.</w:t>
      </w:r>
      <w:r w:rsidRPr="007D5795">
        <w:rPr>
          <w:rStyle w:val="TextoNormalCaracter"/>
        </w:rPr>
        <w:t>-</w:t>
      </w:r>
      <w:r>
        <w:t xml:space="preserve"> Sentencia </w:t>
      </w:r>
      <w:hyperlink w:anchor="SENTENCIA_2024_104" w:history="1">
        <w:r w:rsidRPr="007D5795">
          <w:rPr>
            <w:rStyle w:val="TextoNormalCaracter"/>
          </w:rPr>
          <w:t>104/2024</w:t>
        </w:r>
      </w:hyperlink>
      <w:r>
        <w:t>, f. 2.</w:t>
      </w:r>
    </w:p>
    <w:p w14:paraId="3E7AE77F" w14:textId="2D2944C7" w:rsidR="007D5795" w:rsidRDefault="007D5795" w:rsidP="007D5795">
      <w:pPr>
        <w:pStyle w:val="SangriaFrancesaArticulo"/>
      </w:pPr>
      <w:r w:rsidRPr="007D5795">
        <w:rPr>
          <w:rStyle w:val="TextoNormalNegritaCaracter"/>
        </w:rPr>
        <w:t>Artículo 89.2.</w:t>
      </w:r>
      <w:r w:rsidRPr="007D5795">
        <w:rPr>
          <w:rStyle w:val="TextoNormalCaracter"/>
        </w:rPr>
        <w:t>-</w:t>
      </w:r>
      <w:r>
        <w:t xml:space="preserve"> Sentencia </w:t>
      </w:r>
      <w:hyperlink w:anchor="SENTENCIA_2024_116" w:history="1">
        <w:r w:rsidRPr="007D5795">
          <w:rPr>
            <w:rStyle w:val="TextoNormalCaracter"/>
          </w:rPr>
          <w:t>116/2024</w:t>
        </w:r>
      </w:hyperlink>
      <w:r>
        <w:t>, f. 3.</w:t>
      </w:r>
    </w:p>
    <w:p w14:paraId="57FF089D" w14:textId="3E9510DF" w:rsidR="007D5795" w:rsidRDefault="007D5795" w:rsidP="007D5795">
      <w:pPr>
        <w:pStyle w:val="SangriaFrancesaArticulo"/>
      </w:pPr>
      <w:r w:rsidRPr="007D5795">
        <w:rPr>
          <w:rStyle w:val="TextoNormalNegritaCaracter"/>
        </w:rPr>
        <w:t>Artículo 89.2 f).</w:t>
      </w:r>
      <w:r w:rsidRPr="007D5795">
        <w:rPr>
          <w:rStyle w:val="TextoNormalCaracter"/>
        </w:rPr>
        <w:t>-</w:t>
      </w:r>
      <w:r>
        <w:t xml:space="preserve"> Sentencia </w:t>
      </w:r>
      <w:hyperlink w:anchor="SENTENCIA_2024_116" w:history="1">
        <w:r w:rsidRPr="007D5795">
          <w:rPr>
            <w:rStyle w:val="TextoNormalCaracter"/>
          </w:rPr>
          <w:t>116/2024</w:t>
        </w:r>
      </w:hyperlink>
      <w:r>
        <w:t>, f. 3.</w:t>
      </w:r>
    </w:p>
    <w:p w14:paraId="5E5D182C" w14:textId="59B938C5" w:rsidR="007D5795" w:rsidRDefault="007D5795" w:rsidP="007D5795">
      <w:pPr>
        <w:pStyle w:val="SangriaFrancesaArticulo"/>
      </w:pPr>
      <w:r w:rsidRPr="007D5795">
        <w:rPr>
          <w:rStyle w:val="TextoNormalNegritaCaracter"/>
        </w:rPr>
        <w:t>Artículo 89.3.</w:t>
      </w:r>
      <w:r w:rsidRPr="007D5795">
        <w:rPr>
          <w:rStyle w:val="TextoNormalCaracter"/>
        </w:rPr>
        <w:t>-</w:t>
      </w:r>
      <w:r>
        <w:t xml:space="preserve"> Sentencia </w:t>
      </w:r>
      <w:hyperlink w:anchor="SENTENCIA_2024_116" w:history="1">
        <w:r w:rsidRPr="007D5795">
          <w:rPr>
            <w:rStyle w:val="TextoNormalCaracter"/>
          </w:rPr>
          <w:t>116/2024</w:t>
        </w:r>
      </w:hyperlink>
      <w:r>
        <w:t>, f. 3.</w:t>
      </w:r>
    </w:p>
    <w:p w14:paraId="7C337B9D" w14:textId="4A327647" w:rsidR="007D5795" w:rsidRDefault="007D5795" w:rsidP="007D5795">
      <w:pPr>
        <w:pStyle w:val="SangriaFrancesaArticulo"/>
      </w:pPr>
      <w:r w:rsidRPr="007D5795">
        <w:rPr>
          <w:rStyle w:val="TextoNormalNegritaCaracter"/>
        </w:rPr>
        <w:t>Artículo 90.4.</w:t>
      </w:r>
      <w:r w:rsidRPr="007D5795">
        <w:rPr>
          <w:rStyle w:val="TextoNormalCaracter"/>
        </w:rPr>
        <w:t>-</w:t>
      </w:r>
      <w:r>
        <w:t xml:space="preserve"> Sentencia </w:t>
      </w:r>
      <w:hyperlink w:anchor="SENTENCIA_2024_116" w:history="1">
        <w:r w:rsidRPr="007D5795">
          <w:rPr>
            <w:rStyle w:val="TextoNormalCaracter"/>
          </w:rPr>
          <w:t>116/2024</w:t>
        </w:r>
      </w:hyperlink>
      <w:r>
        <w:t>, f. 3.</w:t>
      </w:r>
    </w:p>
    <w:p w14:paraId="31C09916" w14:textId="0C13A225" w:rsidR="007D5795" w:rsidRDefault="007D5795" w:rsidP="007D5795">
      <w:pPr>
        <w:pStyle w:val="SangriaFrancesaArticulo"/>
      </w:pPr>
      <w:r w:rsidRPr="007D5795">
        <w:rPr>
          <w:rStyle w:val="TextoNormalNegritaCaracter"/>
        </w:rPr>
        <w:t>Artículo 90.4 b).</w:t>
      </w:r>
      <w:r w:rsidRPr="007D5795">
        <w:rPr>
          <w:rStyle w:val="TextoNormalCaracter"/>
        </w:rPr>
        <w:t>-</w:t>
      </w:r>
      <w:r>
        <w:t xml:space="preserve"> Sentencia </w:t>
      </w:r>
      <w:hyperlink w:anchor="SENTENCIA_2024_116" w:history="1">
        <w:r w:rsidRPr="007D5795">
          <w:rPr>
            <w:rStyle w:val="TextoNormalCaracter"/>
          </w:rPr>
          <w:t>116/2024</w:t>
        </w:r>
      </w:hyperlink>
      <w:r>
        <w:t>, f. 3.</w:t>
      </w:r>
    </w:p>
    <w:p w14:paraId="69F51E04" w14:textId="5DA83D46" w:rsidR="007D5795" w:rsidRDefault="007D5795" w:rsidP="007D5795">
      <w:pPr>
        <w:pStyle w:val="SangriaFrancesaArticulo"/>
      </w:pPr>
      <w:r w:rsidRPr="007D5795">
        <w:rPr>
          <w:rStyle w:val="TextoNormalNegritaCaracter"/>
        </w:rPr>
        <w:t>Artículo 139.1, párrafo primero.</w:t>
      </w:r>
      <w:r w:rsidRPr="007D5795">
        <w:rPr>
          <w:rStyle w:val="TextoNormalCaracter"/>
        </w:rPr>
        <w:t>-</w:t>
      </w:r>
      <w:r>
        <w:t xml:space="preserve"> Sentencia </w:t>
      </w:r>
      <w:hyperlink w:anchor="SENTENCIA_2024_116" w:history="1">
        <w:r w:rsidRPr="007D5795">
          <w:rPr>
            <w:rStyle w:val="TextoNormalCaracter"/>
          </w:rPr>
          <w:t>116/2024</w:t>
        </w:r>
      </w:hyperlink>
      <w:r>
        <w:t>, f. 3.</w:t>
      </w:r>
    </w:p>
    <w:p w14:paraId="009263D2" w14:textId="0B0C17AE" w:rsidR="007D5795" w:rsidRDefault="007D5795" w:rsidP="007D5795">
      <w:pPr>
        <w:pStyle w:val="SangriaFrancesaArticulo"/>
      </w:pPr>
    </w:p>
    <w:p w14:paraId="769A290D" w14:textId="77777777" w:rsidR="007D5795" w:rsidRDefault="007D5795" w:rsidP="007D5795">
      <w:pPr>
        <w:pStyle w:val="TextoNormalNegritaCursivandice"/>
        <w:keepNext/>
      </w:pPr>
      <w:r>
        <w:t>Ley 39/1999, de 5 de noviembre. Promoción de la conciliación de la vida familiar y laboral de las personas trabajadoras</w:t>
      </w:r>
    </w:p>
    <w:p w14:paraId="7900B3D1" w14:textId="72B56E2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2B752C78" w14:textId="4937B3FC" w:rsidR="007D5795" w:rsidRDefault="007D5795" w:rsidP="007D5795">
      <w:pPr>
        <w:pStyle w:val="SangriaFrancesaArticulo"/>
      </w:pPr>
    </w:p>
    <w:p w14:paraId="01960D88" w14:textId="77777777" w:rsidR="007D5795" w:rsidRDefault="007D5795" w:rsidP="007D5795">
      <w:pPr>
        <w:pStyle w:val="TextoNormalNegritaCursivandice"/>
        <w:keepNext/>
      </w:pPr>
      <w:r>
        <w:t>Ley 1/2000, de 7 de enero, de enjuiciamiento civil</w:t>
      </w:r>
    </w:p>
    <w:p w14:paraId="6A2CC791" w14:textId="4E54A7EB" w:rsidR="007D5795" w:rsidRDefault="007D5795" w:rsidP="007D5795">
      <w:pPr>
        <w:pStyle w:val="SangriaFrancesaArticulo"/>
        <w:keepNext/>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ff. 5, 8.</w:t>
      </w:r>
    </w:p>
    <w:p w14:paraId="0FB90883" w14:textId="5CF9D8BC" w:rsidR="007D5795" w:rsidRDefault="007D5795" w:rsidP="007D5795">
      <w:pPr>
        <w:pStyle w:val="SangriaIzquierdaArticulo"/>
      </w:pPr>
      <w:r>
        <w:t xml:space="preserve">Auto </w:t>
      </w:r>
      <w:hyperlink w:anchor="AUTO_2024_68" w:history="1">
        <w:r w:rsidRPr="007D5795">
          <w:rPr>
            <w:rStyle w:val="TextoNormalCaracter"/>
          </w:rPr>
          <w:t>68/2024</w:t>
        </w:r>
      </w:hyperlink>
      <w:r>
        <w:t>, f. 2.</w:t>
      </w:r>
    </w:p>
    <w:p w14:paraId="35BFE503" w14:textId="38D3710A" w:rsidR="007D5795" w:rsidRDefault="007D5795" w:rsidP="007D5795">
      <w:pPr>
        <w:pStyle w:val="SangriaFrancesaArticulo"/>
      </w:pPr>
      <w:r w:rsidRPr="007D5795">
        <w:rPr>
          <w:rStyle w:val="TextoNormalNegritaCaracter"/>
        </w:rPr>
        <w:t>Artículo 19.1.</w:t>
      </w:r>
      <w:r w:rsidRPr="007D5795">
        <w:rPr>
          <w:rStyle w:val="TextoNormalCaracter"/>
        </w:rPr>
        <w:t>-</w:t>
      </w:r>
      <w:r>
        <w:t xml:space="preserve"> Autos </w:t>
      </w:r>
      <w:hyperlink w:anchor="AUTO_2024_75" w:history="1">
        <w:r w:rsidRPr="007D5795">
          <w:rPr>
            <w:rStyle w:val="TextoNormalCaracter"/>
          </w:rPr>
          <w:t>75/2024</w:t>
        </w:r>
      </w:hyperlink>
      <w:r>
        <w:t xml:space="preserve">, f. único; </w:t>
      </w:r>
      <w:hyperlink w:anchor="AUTO_2024_97" w:history="1">
        <w:r w:rsidRPr="007D5795">
          <w:rPr>
            <w:rStyle w:val="TextoNormalCaracter"/>
          </w:rPr>
          <w:t>97/2024</w:t>
        </w:r>
      </w:hyperlink>
      <w:r>
        <w:t xml:space="preserve">, f. único; </w:t>
      </w:r>
      <w:hyperlink w:anchor="AUTO_2024_156" w:history="1">
        <w:r w:rsidRPr="007D5795">
          <w:rPr>
            <w:rStyle w:val="TextoNormalCaracter"/>
          </w:rPr>
          <w:t>156/2024</w:t>
        </w:r>
      </w:hyperlink>
      <w:r>
        <w:t>, f. 2.</w:t>
      </w:r>
    </w:p>
    <w:p w14:paraId="6DC43A31" w14:textId="5A79DB4C" w:rsidR="007D5795" w:rsidRDefault="007D5795" w:rsidP="007D5795">
      <w:pPr>
        <w:pStyle w:val="SangriaFrancesaArticulo"/>
      </w:pPr>
      <w:r w:rsidRPr="007D5795">
        <w:rPr>
          <w:rStyle w:val="TextoNormalNegritaCaracter"/>
        </w:rPr>
        <w:t>Artículo 20 apartados 2, 3.</w:t>
      </w:r>
      <w:r w:rsidRPr="007D5795">
        <w:rPr>
          <w:rStyle w:val="TextoNormalCaracter"/>
        </w:rPr>
        <w:t>-</w:t>
      </w:r>
      <w:r>
        <w:t xml:space="preserve"> Auto </w:t>
      </w:r>
      <w:hyperlink w:anchor="AUTO_2024_75" w:history="1">
        <w:r w:rsidRPr="007D5795">
          <w:rPr>
            <w:rStyle w:val="TextoNormalCaracter"/>
          </w:rPr>
          <w:t>75/2024</w:t>
        </w:r>
      </w:hyperlink>
      <w:r>
        <w:t>, f. único.</w:t>
      </w:r>
    </w:p>
    <w:p w14:paraId="33C07B40" w14:textId="0E327C98" w:rsidR="007D5795" w:rsidRDefault="007D5795" w:rsidP="007D5795">
      <w:pPr>
        <w:pStyle w:val="SangriaFrancesaArticulo"/>
      </w:pPr>
      <w:r w:rsidRPr="007D5795">
        <w:rPr>
          <w:rStyle w:val="TextoNormalNegritaCaracter"/>
        </w:rPr>
        <w:t>Artículo 20.2.</w:t>
      </w:r>
      <w:r w:rsidRPr="007D5795">
        <w:rPr>
          <w:rStyle w:val="TextoNormalCaracter"/>
        </w:rPr>
        <w:t>-</w:t>
      </w:r>
      <w:r>
        <w:t xml:space="preserve"> Autos </w:t>
      </w:r>
      <w:hyperlink w:anchor="AUTO_2024_97" w:history="1">
        <w:r w:rsidRPr="007D5795">
          <w:rPr>
            <w:rStyle w:val="TextoNormalCaracter"/>
          </w:rPr>
          <w:t>97/2024</w:t>
        </w:r>
      </w:hyperlink>
      <w:r>
        <w:t xml:space="preserve">, f. único; </w:t>
      </w:r>
      <w:hyperlink w:anchor="AUTO_2024_156" w:history="1">
        <w:r w:rsidRPr="007D5795">
          <w:rPr>
            <w:rStyle w:val="TextoNormalCaracter"/>
          </w:rPr>
          <w:t>156/2024</w:t>
        </w:r>
      </w:hyperlink>
      <w:r>
        <w:t>, f. 2.</w:t>
      </w:r>
    </w:p>
    <w:p w14:paraId="73F40BEE" w14:textId="149EE41F" w:rsidR="007D5795" w:rsidRDefault="007D5795" w:rsidP="007D5795">
      <w:pPr>
        <w:pStyle w:val="SangriaFrancesaArticulo"/>
      </w:pPr>
      <w:r w:rsidRPr="007D5795">
        <w:rPr>
          <w:rStyle w:val="TextoNormalNegritaCaracter"/>
        </w:rPr>
        <w:t>Artículo 20.3.</w:t>
      </w:r>
      <w:r w:rsidRPr="007D5795">
        <w:rPr>
          <w:rStyle w:val="TextoNormalCaracter"/>
        </w:rPr>
        <w:t>-</w:t>
      </w:r>
      <w:r>
        <w:t xml:space="preserve"> Autos </w:t>
      </w:r>
      <w:hyperlink w:anchor="AUTO_2024_97" w:history="1">
        <w:r w:rsidRPr="007D5795">
          <w:rPr>
            <w:rStyle w:val="TextoNormalCaracter"/>
          </w:rPr>
          <w:t>97/2024</w:t>
        </w:r>
      </w:hyperlink>
      <w:r>
        <w:t xml:space="preserve">, f. único; </w:t>
      </w:r>
      <w:hyperlink w:anchor="AUTO_2024_156" w:history="1">
        <w:r w:rsidRPr="007D5795">
          <w:rPr>
            <w:rStyle w:val="TextoNormalCaracter"/>
          </w:rPr>
          <w:t>156/2024</w:t>
        </w:r>
      </w:hyperlink>
      <w:r>
        <w:t>, ff. 2, 3.</w:t>
      </w:r>
    </w:p>
    <w:p w14:paraId="0447E7D0" w14:textId="20BD50F5" w:rsidR="007D5795" w:rsidRDefault="007D5795" w:rsidP="007D5795">
      <w:pPr>
        <w:pStyle w:val="SangriaFrancesaArticulo"/>
      </w:pPr>
      <w:r w:rsidRPr="007D5795">
        <w:rPr>
          <w:rStyle w:val="TextoNormalNegritaCaracter"/>
        </w:rPr>
        <w:t>Artículo 32.5.</w:t>
      </w:r>
      <w:r w:rsidRPr="007D5795">
        <w:rPr>
          <w:rStyle w:val="TextoNormalCaracter"/>
        </w:rPr>
        <w:t>-</w:t>
      </w:r>
      <w:r>
        <w:t xml:space="preserve"> Sentencia </w:t>
      </w:r>
      <w:hyperlink w:anchor="SENTENCIA_2024_104" w:history="1">
        <w:r w:rsidRPr="007D5795">
          <w:rPr>
            <w:rStyle w:val="TextoNormalCaracter"/>
          </w:rPr>
          <w:t>104/2024</w:t>
        </w:r>
      </w:hyperlink>
      <w:r>
        <w:t>, f. 2.</w:t>
      </w:r>
    </w:p>
    <w:p w14:paraId="7ECA5962" w14:textId="6C0BD1E3" w:rsidR="007D5795" w:rsidRDefault="007D5795" w:rsidP="007D5795">
      <w:pPr>
        <w:pStyle w:val="SangriaFrancesaArticulo"/>
      </w:pPr>
      <w:r w:rsidRPr="007D5795">
        <w:rPr>
          <w:rStyle w:val="TextoNormalNegritaCaracter"/>
        </w:rPr>
        <w:t>Artículo 207.2.</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4DDC0451" w14:textId="350DA487" w:rsidR="007D5795" w:rsidRDefault="007D5795" w:rsidP="007D5795">
      <w:pPr>
        <w:pStyle w:val="SangriaFrancesaArticulo"/>
      </w:pPr>
      <w:r w:rsidRPr="007D5795">
        <w:rPr>
          <w:rStyle w:val="TextoNormalNegritaCaracter"/>
        </w:rPr>
        <w:t>Artículo 228.</w:t>
      </w:r>
      <w:r w:rsidRPr="007D5795">
        <w:rPr>
          <w:rStyle w:val="TextoNormalCaracter"/>
        </w:rPr>
        <w:t>-</w:t>
      </w:r>
      <w:r>
        <w:t xml:space="preserve"> Sentencia </w:t>
      </w:r>
      <w:hyperlink w:anchor="SENTENCIA_2024_106" w:history="1">
        <w:r w:rsidRPr="007D5795">
          <w:rPr>
            <w:rStyle w:val="TextoNormalCaracter"/>
          </w:rPr>
          <w:t>106/2024</w:t>
        </w:r>
      </w:hyperlink>
      <w:r>
        <w:t>, f. 2.</w:t>
      </w:r>
    </w:p>
    <w:p w14:paraId="77DB6AB4" w14:textId="3C2DD057" w:rsidR="007D5795" w:rsidRDefault="007D5795" w:rsidP="007D5795">
      <w:pPr>
        <w:pStyle w:val="SangriaFrancesaArticulo"/>
      </w:pPr>
      <w:r w:rsidRPr="007D5795">
        <w:rPr>
          <w:rStyle w:val="TextoNormalNegritaCaracter"/>
        </w:rPr>
        <w:t>Artículo 440.3.</w:t>
      </w:r>
      <w:r w:rsidRPr="007D5795">
        <w:rPr>
          <w:rStyle w:val="TextoNormalCaracter"/>
        </w:rPr>
        <w:t>-</w:t>
      </w:r>
      <w:r>
        <w:t xml:space="preserve"> Sentencia </w:t>
      </w:r>
      <w:hyperlink w:anchor="SENTENCIA_2024_126" w:history="1">
        <w:r w:rsidRPr="007D5795">
          <w:rPr>
            <w:rStyle w:val="TextoNormalCaracter"/>
          </w:rPr>
          <w:t>126/2024</w:t>
        </w:r>
      </w:hyperlink>
      <w:r>
        <w:t>, f. 2.</w:t>
      </w:r>
    </w:p>
    <w:p w14:paraId="18FE9000" w14:textId="2C80EA03" w:rsidR="007D5795" w:rsidRDefault="007D5795" w:rsidP="007D5795">
      <w:pPr>
        <w:pStyle w:val="SangriaFrancesaArticulo"/>
      </w:pPr>
      <w:r w:rsidRPr="007D5795">
        <w:rPr>
          <w:rStyle w:val="TextoNormalNegritaCaracter"/>
        </w:rPr>
        <w:t>Artículo 441.5.</w:t>
      </w:r>
      <w:r w:rsidRPr="007D5795">
        <w:rPr>
          <w:rStyle w:val="TextoNormalCaracter"/>
        </w:rPr>
        <w:t>-</w:t>
      </w:r>
      <w:r>
        <w:t xml:space="preserve"> Sentencia </w:t>
      </w:r>
      <w:hyperlink w:anchor="SENTENCIA_2024_126" w:history="1">
        <w:r w:rsidRPr="007D5795">
          <w:rPr>
            <w:rStyle w:val="TextoNormalCaracter"/>
          </w:rPr>
          <w:t>126/2024</w:t>
        </w:r>
      </w:hyperlink>
      <w:r>
        <w:t>, f. 2.</w:t>
      </w:r>
    </w:p>
    <w:p w14:paraId="41CC660C" w14:textId="74E5EED5" w:rsidR="007D5795" w:rsidRDefault="007D5795" w:rsidP="007D5795">
      <w:pPr>
        <w:pStyle w:val="SangriaFrancesaArticulo"/>
      </w:pPr>
      <w:r w:rsidRPr="007D5795">
        <w:rPr>
          <w:rStyle w:val="TextoNormalNegritaCaracter"/>
        </w:rPr>
        <w:t>Artículo 487.1</w:t>
      </w:r>
      <w:r>
        <w:t xml:space="preserve"> (redactado por el Real Decreto-ley 5/2023, de 28 de junio)</w:t>
      </w:r>
      <w:r w:rsidRPr="007D5795">
        <w:rPr>
          <w:rStyle w:val="TextoNormalNegritaCaracter"/>
        </w:rPr>
        <w:t>.</w:t>
      </w:r>
      <w:r w:rsidRPr="007D5795">
        <w:rPr>
          <w:rStyle w:val="TextoNormalCaracter"/>
        </w:rPr>
        <w:t>-</w:t>
      </w:r>
      <w:r>
        <w:t xml:space="preserve"> Auto </w:t>
      </w:r>
      <w:hyperlink w:anchor="AUTO_2024_153" w:history="1">
        <w:r w:rsidRPr="007D5795">
          <w:rPr>
            <w:rStyle w:val="TextoNormalCaracter"/>
          </w:rPr>
          <w:t>153/2024</w:t>
        </w:r>
      </w:hyperlink>
      <w:r>
        <w:t>, ff. 1, 4.</w:t>
      </w:r>
    </w:p>
    <w:p w14:paraId="5E63A79C" w14:textId="100A465A" w:rsidR="007D5795" w:rsidRDefault="007D5795" w:rsidP="007D5795">
      <w:pPr>
        <w:pStyle w:val="SangriaFrancesaArticulo"/>
      </w:pPr>
      <w:r w:rsidRPr="007D5795">
        <w:rPr>
          <w:rStyle w:val="TextoNormalNegritaCaracter"/>
        </w:rPr>
        <w:t>Artículo 510.</w:t>
      </w:r>
      <w:r w:rsidRPr="007D5795">
        <w:rPr>
          <w:rStyle w:val="TextoNormalCaracter"/>
        </w:rPr>
        <w:t>-</w:t>
      </w:r>
      <w:r>
        <w:t xml:space="preserve"> Sentencia </w:t>
      </w:r>
      <w:hyperlink w:anchor="SENTENCIA_2024_118" w:history="1">
        <w:r w:rsidRPr="007D5795">
          <w:rPr>
            <w:rStyle w:val="TextoNormalCaracter"/>
          </w:rPr>
          <w:t>118/2024</w:t>
        </w:r>
      </w:hyperlink>
      <w:r>
        <w:t>, f. 5.</w:t>
      </w:r>
    </w:p>
    <w:p w14:paraId="25C81AC2" w14:textId="36D94771" w:rsidR="007D5795" w:rsidRDefault="007D5795" w:rsidP="007D5795">
      <w:pPr>
        <w:pStyle w:val="SangriaFrancesaArticulo"/>
      </w:pPr>
      <w:r w:rsidRPr="007D5795">
        <w:rPr>
          <w:rStyle w:val="TextoNormalNegritaCaracter"/>
        </w:rPr>
        <w:t>Artículo 512.1.</w:t>
      </w:r>
      <w:r w:rsidRPr="007D5795">
        <w:rPr>
          <w:rStyle w:val="TextoNormalCaracter"/>
        </w:rPr>
        <w:t>-</w:t>
      </w:r>
      <w:r>
        <w:t xml:space="preserve"> Sentencia </w:t>
      </w:r>
      <w:hyperlink w:anchor="SENTENCIA_2024_118" w:history="1">
        <w:r w:rsidRPr="007D5795">
          <w:rPr>
            <w:rStyle w:val="TextoNormalCaracter"/>
          </w:rPr>
          <w:t>118/2024</w:t>
        </w:r>
      </w:hyperlink>
      <w:r>
        <w:t>, f. 5.</w:t>
      </w:r>
    </w:p>
    <w:p w14:paraId="4B9314E1" w14:textId="16F75C0E" w:rsidR="007D5795" w:rsidRDefault="007D5795" w:rsidP="007D5795">
      <w:pPr>
        <w:pStyle w:val="SangriaFrancesaArticulo"/>
      </w:pPr>
      <w:r w:rsidRPr="007D5795">
        <w:rPr>
          <w:rStyle w:val="TextoNormalNegritaCaracter"/>
        </w:rPr>
        <w:t>Artículo 512.2.</w:t>
      </w:r>
      <w:r w:rsidRPr="007D5795">
        <w:rPr>
          <w:rStyle w:val="TextoNormalCaracter"/>
        </w:rPr>
        <w:t>-</w:t>
      </w:r>
      <w:r>
        <w:t xml:space="preserve"> Sentencia </w:t>
      </w:r>
      <w:hyperlink w:anchor="SENTENCIA_2024_118" w:history="1">
        <w:r w:rsidRPr="007D5795">
          <w:rPr>
            <w:rStyle w:val="TextoNormalCaracter"/>
          </w:rPr>
          <w:t>118/2024</w:t>
        </w:r>
      </w:hyperlink>
      <w:r>
        <w:t>, f. 5.</w:t>
      </w:r>
    </w:p>
    <w:p w14:paraId="19DEA77C" w14:textId="2F300586" w:rsidR="007D5795" w:rsidRDefault="007D5795" w:rsidP="007D5795">
      <w:pPr>
        <w:pStyle w:val="SangriaFrancesaArticulo"/>
      </w:pPr>
      <w:r w:rsidRPr="007D5795">
        <w:rPr>
          <w:rStyle w:val="TextoNormalNegritaCaracter"/>
        </w:rPr>
        <w:t>Artículo 589.</w:t>
      </w:r>
      <w:r w:rsidRPr="007D5795">
        <w:rPr>
          <w:rStyle w:val="TextoNormalCaracter"/>
        </w:rPr>
        <w:t>-</w:t>
      </w:r>
      <w:r>
        <w:t xml:space="preserve"> Sentencia </w:t>
      </w:r>
      <w:hyperlink w:anchor="SENTENCIA_2024_122" w:history="1">
        <w:r w:rsidRPr="007D5795">
          <w:rPr>
            <w:rStyle w:val="TextoNormalCaracter"/>
          </w:rPr>
          <w:t>122/2024</w:t>
        </w:r>
      </w:hyperlink>
      <w:r>
        <w:t>, f. 3.</w:t>
      </w:r>
    </w:p>
    <w:p w14:paraId="435B307F" w14:textId="7BA51EE7" w:rsidR="007D5795" w:rsidRDefault="007D5795" w:rsidP="007D5795">
      <w:pPr>
        <w:pStyle w:val="SangriaFrancesaArticulo"/>
      </w:pPr>
      <w:r w:rsidRPr="007D5795">
        <w:rPr>
          <w:rStyle w:val="TextoNormalNegritaCaracter"/>
        </w:rPr>
        <w:t>Artículo 656.</w:t>
      </w:r>
      <w:r w:rsidRPr="007D5795">
        <w:rPr>
          <w:rStyle w:val="TextoNormalCaracter"/>
        </w:rPr>
        <w:t>-</w:t>
      </w:r>
      <w:r>
        <w:t xml:space="preserve"> Auto </w:t>
      </w:r>
      <w:hyperlink w:anchor="AUTO_2024_92" w:history="1">
        <w:r w:rsidRPr="007D5795">
          <w:rPr>
            <w:rStyle w:val="TextoNormalCaracter"/>
          </w:rPr>
          <w:t>92/2024</w:t>
        </w:r>
      </w:hyperlink>
      <w:r>
        <w:t>, f. 2.</w:t>
      </w:r>
    </w:p>
    <w:p w14:paraId="37A92FA0" w14:textId="67D6CBA1" w:rsidR="007D5795" w:rsidRDefault="007D5795" w:rsidP="007D5795">
      <w:pPr>
        <w:pStyle w:val="SangriaFrancesaArticulo"/>
      </w:pPr>
      <w:r w:rsidRPr="007D5795">
        <w:rPr>
          <w:rStyle w:val="TextoNormalNegritaCaracter"/>
        </w:rPr>
        <w:t>Artículo 673.1</w:t>
      </w:r>
      <w:r>
        <w:t xml:space="preserve"> (redactado por la Ley 19/2015, de 13 de julio)</w:t>
      </w:r>
      <w:r w:rsidRPr="007D5795">
        <w:rPr>
          <w:rStyle w:val="TextoNormalNegritaCaracter"/>
        </w:rPr>
        <w:t>.</w:t>
      </w:r>
      <w:r w:rsidRPr="007D5795">
        <w:rPr>
          <w:rStyle w:val="TextoNormalCaracter"/>
        </w:rPr>
        <w:t>-</w:t>
      </w:r>
      <w:r>
        <w:t xml:space="preserve"> Auto </w:t>
      </w:r>
      <w:hyperlink w:anchor="AUTO_2024_92" w:history="1">
        <w:r w:rsidRPr="007D5795">
          <w:rPr>
            <w:rStyle w:val="TextoNormalCaracter"/>
          </w:rPr>
          <w:t>92/2024</w:t>
        </w:r>
      </w:hyperlink>
      <w:r>
        <w:t>, f. 2.</w:t>
      </w:r>
    </w:p>
    <w:p w14:paraId="6337E6CF" w14:textId="5E69C574" w:rsidR="007D5795" w:rsidRDefault="007D5795" w:rsidP="007D5795">
      <w:pPr>
        <w:pStyle w:val="SangriaFrancesaArticulo"/>
      </w:pPr>
      <w:r w:rsidRPr="007D5795">
        <w:rPr>
          <w:rStyle w:val="TextoNormalNegritaCaracter"/>
        </w:rPr>
        <w:t>Artículo 674</w:t>
      </w:r>
      <w:r>
        <w:t xml:space="preserve"> (redactado por la Ley 13/2009, de 3 de noviembre)</w:t>
      </w:r>
      <w:r w:rsidRPr="007D5795">
        <w:rPr>
          <w:rStyle w:val="TextoNormalNegritaCaracter"/>
        </w:rPr>
        <w:t>.</w:t>
      </w:r>
      <w:r w:rsidRPr="007D5795">
        <w:rPr>
          <w:rStyle w:val="TextoNormalCaracter"/>
        </w:rPr>
        <w:t>-</w:t>
      </w:r>
      <w:r>
        <w:t xml:space="preserve"> Auto </w:t>
      </w:r>
      <w:hyperlink w:anchor="AUTO_2024_92" w:history="1">
        <w:r w:rsidRPr="007D5795">
          <w:rPr>
            <w:rStyle w:val="TextoNormalCaracter"/>
          </w:rPr>
          <w:t>92/2024</w:t>
        </w:r>
      </w:hyperlink>
      <w:r>
        <w:t>, f. 2.</w:t>
      </w:r>
    </w:p>
    <w:p w14:paraId="45DBF027" w14:textId="02635B85" w:rsidR="007D5795" w:rsidRDefault="007D5795" w:rsidP="007D5795">
      <w:pPr>
        <w:pStyle w:val="SangriaFrancesaArticulo"/>
      </w:pPr>
      <w:r w:rsidRPr="007D5795">
        <w:rPr>
          <w:rStyle w:val="TextoNormalNegritaCaracter"/>
        </w:rPr>
        <w:t>Artículo 674.1.</w:t>
      </w:r>
      <w:r w:rsidRPr="007D5795">
        <w:rPr>
          <w:rStyle w:val="TextoNormalCaracter"/>
        </w:rPr>
        <w:t>-</w:t>
      </w:r>
      <w:r>
        <w:t xml:space="preserve"> Auto </w:t>
      </w:r>
      <w:hyperlink w:anchor="AUTO_2024_92" w:history="1">
        <w:r w:rsidRPr="007D5795">
          <w:rPr>
            <w:rStyle w:val="TextoNormalCaracter"/>
          </w:rPr>
          <w:t>92/2024</w:t>
        </w:r>
      </w:hyperlink>
      <w:r>
        <w:t>, f. 2.</w:t>
      </w:r>
    </w:p>
    <w:p w14:paraId="297FD067" w14:textId="276AC388" w:rsidR="007D5795" w:rsidRDefault="007D5795" w:rsidP="007D5795">
      <w:pPr>
        <w:pStyle w:val="SangriaFrancesaArticulo"/>
      </w:pPr>
    </w:p>
    <w:p w14:paraId="20987A02" w14:textId="77777777" w:rsidR="007D5795" w:rsidRDefault="007D5795" w:rsidP="007D5795">
      <w:pPr>
        <w:pStyle w:val="TextoNormalNegritaCursivandice"/>
        <w:keepNext/>
      </w:pPr>
      <w:r>
        <w:t>Ley 16/2002, de 1 de julio. Prevención y control integrados de la contaminación</w:t>
      </w:r>
    </w:p>
    <w:p w14:paraId="1F085A53" w14:textId="01E4119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0F746596" w14:textId="7F69F5D1" w:rsidR="007D5795" w:rsidRDefault="007D5795" w:rsidP="007D5795">
      <w:pPr>
        <w:pStyle w:val="SangriaFrancesaArticulo"/>
      </w:pPr>
    </w:p>
    <w:p w14:paraId="04E6D44F" w14:textId="77777777" w:rsidR="007D5795" w:rsidRDefault="007D5795" w:rsidP="007D5795">
      <w:pPr>
        <w:pStyle w:val="TextoNormalNegritaCursivandice"/>
        <w:keepNext/>
      </w:pPr>
      <w:r>
        <w:t>Ley 34/2002, de 11 de julio, de servicios de la sociedad de la información y de comercio electrónico</w:t>
      </w:r>
    </w:p>
    <w:p w14:paraId="191E6CF4" w14:textId="64C92F3A" w:rsidR="007D5795" w:rsidRDefault="007D5795" w:rsidP="007D5795">
      <w:pPr>
        <w:pStyle w:val="SangriaFrancesaArticulo"/>
      </w:pPr>
      <w:r w:rsidRPr="007D5795">
        <w:rPr>
          <w:rStyle w:val="TextoNormalNegritaCaracter"/>
        </w:rPr>
        <w:t>artículo 17.</w:t>
      </w:r>
      <w:r w:rsidRPr="007D5795">
        <w:rPr>
          <w:rStyle w:val="TextoNormalCaracter"/>
        </w:rPr>
        <w:t>-</w:t>
      </w:r>
      <w:r>
        <w:t xml:space="preserve"> Sentencia </w:t>
      </w:r>
      <w:hyperlink w:anchor="SENTENCIA_2024_133" w:history="1">
        <w:r w:rsidRPr="007D5795">
          <w:rPr>
            <w:rStyle w:val="TextoNormalCaracter"/>
          </w:rPr>
          <w:t>133/2024</w:t>
        </w:r>
      </w:hyperlink>
      <w:r>
        <w:t>, f. 5.</w:t>
      </w:r>
    </w:p>
    <w:p w14:paraId="0922D00A" w14:textId="1793B89F" w:rsidR="007D5795" w:rsidRDefault="007D5795" w:rsidP="007D5795">
      <w:pPr>
        <w:pStyle w:val="SangriaFrancesaArticulo"/>
      </w:pPr>
    </w:p>
    <w:p w14:paraId="07ABF2F3" w14:textId="77777777" w:rsidR="007D5795" w:rsidRDefault="007D5795" w:rsidP="007D5795">
      <w:pPr>
        <w:pStyle w:val="TextoNormalNegritaCursivandice"/>
        <w:keepNext/>
      </w:pPr>
      <w:r>
        <w:t>Ley 15/2003, de 26 de mayo, reguladora del régimen retributivo de las carreras judicial y fiscal</w:t>
      </w:r>
    </w:p>
    <w:p w14:paraId="104512E8" w14:textId="639E5944" w:rsidR="007D5795" w:rsidRDefault="007D5795" w:rsidP="007D5795">
      <w:pPr>
        <w:pStyle w:val="SangriaFrancesaArticulo"/>
      </w:pPr>
      <w:r w:rsidRPr="007D5795">
        <w:rPr>
          <w:rStyle w:val="TextoNormalNegritaCaracter"/>
        </w:rPr>
        <w:t>Anexo II.2.</w:t>
      </w:r>
      <w:r w:rsidRPr="007D5795">
        <w:rPr>
          <w:rStyle w:val="TextoNormalCaracter"/>
        </w:rPr>
        <w:t>-</w:t>
      </w:r>
      <w:r>
        <w:t xml:space="preserve"> Sentencia </w:t>
      </w:r>
      <w:hyperlink w:anchor="SENTENCIA_2024_131" w:history="1">
        <w:r w:rsidRPr="007D5795">
          <w:rPr>
            <w:rStyle w:val="TextoNormalCaracter"/>
          </w:rPr>
          <w:t>131/2024</w:t>
        </w:r>
      </w:hyperlink>
      <w:r>
        <w:t>, ff. 1, 3.</w:t>
      </w:r>
    </w:p>
    <w:p w14:paraId="4D561923" w14:textId="7B0F2D2D" w:rsidR="007D5795" w:rsidRDefault="007D5795" w:rsidP="007D5795">
      <w:pPr>
        <w:pStyle w:val="SangriaFrancesaArticulo"/>
      </w:pPr>
    </w:p>
    <w:p w14:paraId="0753CD73" w14:textId="77777777" w:rsidR="007D5795" w:rsidRDefault="007D5795" w:rsidP="007D5795">
      <w:pPr>
        <w:pStyle w:val="TextoNormalNegritaCursivandice"/>
        <w:keepNext/>
      </w:pPr>
      <w:r>
        <w:t>Ley 33/2003, de 3 de noviembre, del patrimonio de las administraciones públicas</w:t>
      </w:r>
    </w:p>
    <w:p w14:paraId="559D95BC" w14:textId="7DB2264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6E51AD45" w14:textId="12ED8B1E" w:rsidR="007D5795" w:rsidRDefault="007D5795" w:rsidP="007D5795">
      <w:pPr>
        <w:pStyle w:val="SangriaFrancesaArticulo"/>
      </w:pPr>
      <w:r w:rsidRPr="007D5795">
        <w:rPr>
          <w:rStyle w:val="TextoNormalNegritaCaracter"/>
        </w:rPr>
        <w:t>Artículo 84.1.</w:t>
      </w:r>
      <w:r w:rsidRPr="007D5795">
        <w:rPr>
          <w:rStyle w:val="TextoNormalCaracter"/>
        </w:rPr>
        <w:t>-</w:t>
      </w:r>
      <w:r>
        <w:t xml:space="preserve"> Sentencia </w:t>
      </w:r>
      <w:hyperlink w:anchor="SENTENCIA_2024_111" w:history="1">
        <w:r w:rsidRPr="007D5795">
          <w:rPr>
            <w:rStyle w:val="TextoNormalCaracter"/>
          </w:rPr>
          <w:t>111/2024</w:t>
        </w:r>
      </w:hyperlink>
      <w:r>
        <w:t>, f. 3.</w:t>
      </w:r>
    </w:p>
    <w:p w14:paraId="1DD0E1FA" w14:textId="7179F24F" w:rsidR="007D5795" w:rsidRDefault="007D5795" w:rsidP="007D5795">
      <w:pPr>
        <w:pStyle w:val="SangriaFrancesaArticulo"/>
      </w:pPr>
    </w:p>
    <w:p w14:paraId="56AC65CB" w14:textId="77777777" w:rsidR="007D5795" w:rsidRDefault="007D5795" w:rsidP="007D5795">
      <w:pPr>
        <w:pStyle w:val="TextoNormalNegritaCursivandice"/>
        <w:keepNext/>
      </w:pPr>
      <w:r>
        <w:t>Ley 38/2003, de 17 de noviembre, general de subvenciones</w:t>
      </w:r>
    </w:p>
    <w:p w14:paraId="62412A03" w14:textId="46E79D6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4" w:history="1">
        <w:r w:rsidRPr="007D5795">
          <w:rPr>
            <w:rStyle w:val="TextoNormalCaracter"/>
          </w:rPr>
          <w:t>94/2024</w:t>
        </w:r>
      </w:hyperlink>
      <w:r>
        <w:t xml:space="preserve">, f. 5, VP I, VP II; </w:t>
      </w:r>
      <w:hyperlink w:anchor="SENTENCIA_2024_95" w:history="1">
        <w:r w:rsidRPr="007D5795">
          <w:rPr>
            <w:rStyle w:val="TextoNormalCaracter"/>
          </w:rPr>
          <w:t>95/2024</w:t>
        </w:r>
      </w:hyperlink>
      <w:r>
        <w:t xml:space="preserve">, f. 3, VP II; </w:t>
      </w:r>
      <w:hyperlink w:anchor="SENTENCIA_2024_96" w:history="1">
        <w:r w:rsidRPr="007D5795">
          <w:rPr>
            <w:rStyle w:val="TextoNormalCaracter"/>
          </w:rPr>
          <w:t>96/2024</w:t>
        </w:r>
      </w:hyperlink>
      <w:r>
        <w:t xml:space="preserve">, f. 6, VP II; </w:t>
      </w:r>
      <w:hyperlink w:anchor="SENTENCIA_2024_97" w:history="1">
        <w:r w:rsidRPr="007D5795">
          <w:rPr>
            <w:rStyle w:val="TextoNormalCaracter"/>
          </w:rPr>
          <w:t>97/2024</w:t>
        </w:r>
      </w:hyperlink>
      <w:r>
        <w:t xml:space="preserve">, f. 5, VP II; </w:t>
      </w:r>
      <w:hyperlink w:anchor="SENTENCIA_2024_98" w:history="1">
        <w:r w:rsidRPr="007D5795">
          <w:rPr>
            <w:rStyle w:val="TextoNormalCaracter"/>
          </w:rPr>
          <w:t>98/2024</w:t>
        </w:r>
      </w:hyperlink>
      <w:r>
        <w:t xml:space="preserve">, f. 5, VP II; </w:t>
      </w:r>
      <w:hyperlink w:anchor="SENTENCIA_2024_99" w:history="1">
        <w:r w:rsidRPr="007D5795">
          <w:rPr>
            <w:rStyle w:val="TextoNormalCaracter"/>
          </w:rPr>
          <w:t>99/2024</w:t>
        </w:r>
      </w:hyperlink>
      <w:r>
        <w:t xml:space="preserve">, VP I, VP II, VP III; </w:t>
      </w:r>
      <w:hyperlink w:anchor="SENTENCIA_2024_100" w:history="1">
        <w:r w:rsidRPr="007D5795">
          <w:rPr>
            <w:rStyle w:val="TextoNormalCaracter"/>
          </w:rPr>
          <w:t>100/2024</w:t>
        </w:r>
      </w:hyperlink>
      <w:r>
        <w:t xml:space="preserve">, ff. 5, 6, VP I, VP II, VP III; </w:t>
      </w:r>
      <w:hyperlink w:anchor="SENTENCIA_2024_101" w:history="1">
        <w:r w:rsidRPr="007D5795">
          <w:rPr>
            <w:rStyle w:val="TextoNormalCaracter"/>
          </w:rPr>
          <w:t>101/2024</w:t>
        </w:r>
      </w:hyperlink>
      <w:r>
        <w:t xml:space="preserve">, f. 2;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VP I, VP II.</w:t>
      </w:r>
    </w:p>
    <w:p w14:paraId="154AA710" w14:textId="1D8DC166" w:rsidR="007D5795" w:rsidRDefault="007D5795" w:rsidP="007D5795">
      <w:pPr>
        <w:pStyle w:val="SangriaFrancesaArticulo"/>
      </w:pPr>
    </w:p>
    <w:p w14:paraId="1FF0CBEE" w14:textId="77777777" w:rsidR="007D5795" w:rsidRDefault="007D5795" w:rsidP="007D5795">
      <w:pPr>
        <w:pStyle w:val="TextoNormalNegritaCursivandice"/>
        <w:keepNext/>
      </w:pPr>
      <w:r>
        <w:t>Ley 40/2003, de 18 de noviembre. Protección a las familias numerosas</w:t>
      </w:r>
    </w:p>
    <w:p w14:paraId="58D6E65A" w14:textId="2C724AC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7BB50FDE" w14:textId="6C2EC20A" w:rsidR="007D5795" w:rsidRDefault="007D5795" w:rsidP="007D5795">
      <w:pPr>
        <w:pStyle w:val="SangriaFrancesaArticulo"/>
      </w:pPr>
    </w:p>
    <w:p w14:paraId="0BACC735" w14:textId="77777777" w:rsidR="007D5795" w:rsidRDefault="007D5795" w:rsidP="007D5795">
      <w:pPr>
        <w:pStyle w:val="TextoNormalNegritaCursivandice"/>
        <w:keepNext/>
      </w:pPr>
      <w:r>
        <w:t>Ley 47/2003, de 26 de noviembre, general presupuestaria</w:t>
      </w:r>
    </w:p>
    <w:p w14:paraId="67CDA08E" w14:textId="1AD38E0A"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0" w:history="1">
        <w:r w:rsidRPr="007D5795">
          <w:rPr>
            <w:rStyle w:val="TextoNormalCaracter"/>
          </w:rPr>
          <w:t>100/2024</w:t>
        </w:r>
      </w:hyperlink>
      <w:r>
        <w:t>, VP III.</w:t>
      </w:r>
    </w:p>
    <w:p w14:paraId="2275F8EE" w14:textId="5A3876AC" w:rsidR="007D5795" w:rsidRDefault="007D5795" w:rsidP="007D5795">
      <w:pPr>
        <w:pStyle w:val="SangriaFrancesaArticulo"/>
      </w:pPr>
      <w:r w:rsidRPr="007D5795">
        <w:rPr>
          <w:rStyle w:val="TextoNormalNegritaCaracter"/>
        </w:rPr>
        <w:t>Artículo 36.1.</w:t>
      </w:r>
      <w:r w:rsidRPr="007D5795">
        <w:rPr>
          <w:rStyle w:val="TextoNormalCaracter"/>
        </w:rPr>
        <w:t>-</w:t>
      </w:r>
      <w:r>
        <w:t xml:space="preserve"> Sentencias </w:t>
      </w:r>
      <w:hyperlink w:anchor="SENTENCIA_2024_99" w:history="1">
        <w:r w:rsidRPr="007D5795">
          <w:rPr>
            <w:rStyle w:val="TextoNormalCaracter"/>
          </w:rPr>
          <w:t>99/2024</w:t>
        </w:r>
      </w:hyperlink>
      <w:r>
        <w:t xml:space="preserve">, VP III; </w:t>
      </w:r>
      <w:hyperlink w:anchor="SENTENCIA_2024_100" w:history="1">
        <w:r w:rsidRPr="007D5795">
          <w:rPr>
            <w:rStyle w:val="TextoNormalCaracter"/>
          </w:rPr>
          <w:t>100/2024</w:t>
        </w:r>
      </w:hyperlink>
      <w:r>
        <w:t>, VP III.</w:t>
      </w:r>
    </w:p>
    <w:p w14:paraId="703D9DEE" w14:textId="38618BCA" w:rsidR="007D5795" w:rsidRDefault="007D5795" w:rsidP="007D5795">
      <w:pPr>
        <w:pStyle w:val="SangriaFrancesaArticulo"/>
      </w:pPr>
      <w:r w:rsidRPr="007D5795">
        <w:rPr>
          <w:rStyle w:val="TextoNormalNegritaCaracter"/>
        </w:rPr>
        <w:t>Artículo 36.2.</w:t>
      </w:r>
      <w:r w:rsidRPr="007D5795">
        <w:rPr>
          <w:rStyle w:val="TextoNormalCaracter"/>
        </w:rPr>
        <w:t>-</w:t>
      </w:r>
      <w:r>
        <w:t xml:space="preserve"> Sentencias </w:t>
      </w:r>
      <w:hyperlink w:anchor="SENTENCIA_2024_100" w:history="1">
        <w:r w:rsidRPr="007D5795">
          <w:rPr>
            <w:rStyle w:val="TextoNormalCaracter"/>
          </w:rPr>
          <w:t>100/2024</w:t>
        </w:r>
      </w:hyperlink>
      <w:r>
        <w:t xml:space="preserve">, VP II; </w:t>
      </w:r>
      <w:hyperlink w:anchor="SENTENCIA_2024_103" w:history="1">
        <w:r w:rsidRPr="007D5795">
          <w:rPr>
            <w:rStyle w:val="TextoNormalCaracter"/>
          </w:rPr>
          <w:t>103/2024</w:t>
        </w:r>
      </w:hyperlink>
      <w:r>
        <w:t>, VP II.</w:t>
      </w:r>
    </w:p>
    <w:p w14:paraId="286FAC77" w14:textId="634B8CEF" w:rsidR="007D5795" w:rsidRDefault="007D5795" w:rsidP="007D5795">
      <w:pPr>
        <w:pStyle w:val="SangriaFrancesaArticulo"/>
      </w:pPr>
      <w:r w:rsidRPr="007D5795">
        <w:rPr>
          <w:rStyle w:val="TextoNormalNegritaCaracter"/>
        </w:rPr>
        <w:t>Artículo 37.</w:t>
      </w:r>
      <w:r w:rsidRPr="007D5795">
        <w:rPr>
          <w:rStyle w:val="TextoNormalCaracter"/>
        </w:rPr>
        <w:t>-</w:t>
      </w:r>
      <w:r>
        <w:t xml:space="preserve"> Sentencias </w:t>
      </w:r>
      <w:hyperlink w:anchor="SENTENCIA_2024_94" w:history="1">
        <w:r w:rsidRPr="007D5795">
          <w:rPr>
            <w:rStyle w:val="TextoNormalCaracter"/>
          </w:rPr>
          <w:t>94/2024</w:t>
        </w:r>
      </w:hyperlink>
      <w:r>
        <w:t xml:space="preserve">, VP I;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xml:space="preserve">, VP I, VP III; </w:t>
      </w:r>
      <w:hyperlink w:anchor="SENTENCIA_2024_103" w:history="1">
        <w:r w:rsidRPr="007D5795">
          <w:rPr>
            <w:rStyle w:val="TextoNormalCaracter"/>
          </w:rPr>
          <w:t>103/2024</w:t>
        </w:r>
      </w:hyperlink>
      <w:r>
        <w:t>, VP I.</w:t>
      </w:r>
    </w:p>
    <w:p w14:paraId="0FA854B9" w14:textId="76D48C2C" w:rsidR="007D5795" w:rsidRDefault="007D5795" w:rsidP="007D5795">
      <w:pPr>
        <w:pStyle w:val="SangriaFrancesaArticulo"/>
      </w:pPr>
      <w:r w:rsidRPr="007D5795">
        <w:rPr>
          <w:rStyle w:val="TextoNormalNegritaCaracter"/>
        </w:rPr>
        <w:t>Artículo 46.</w:t>
      </w:r>
      <w:r w:rsidRPr="007D5795">
        <w:rPr>
          <w:rStyle w:val="TextoNormalCaracter"/>
        </w:rPr>
        <w:t>-</w:t>
      </w:r>
      <w:r>
        <w:t xml:space="preserve"> Sentencias </w:t>
      </w:r>
      <w:hyperlink w:anchor="SENTENCIA_2024_99" w:history="1">
        <w:r w:rsidRPr="007D5795">
          <w:rPr>
            <w:rStyle w:val="TextoNormalCaracter"/>
          </w:rPr>
          <w:t>99/2024</w:t>
        </w:r>
      </w:hyperlink>
      <w:r>
        <w:t xml:space="preserve">, VP III; </w:t>
      </w:r>
      <w:hyperlink w:anchor="SENTENCIA_2024_100" w:history="1">
        <w:r w:rsidRPr="007D5795">
          <w:rPr>
            <w:rStyle w:val="TextoNormalCaracter"/>
          </w:rPr>
          <w:t>100/2024</w:t>
        </w:r>
      </w:hyperlink>
      <w:r>
        <w:t>, VP III.</w:t>
      </w:r>
    </w:p>
    <w:p w14:paraId="6A99A16E" w14:textId="22D2E502" w:rsidR="007D5795" w:rsidRDefault="007D5795" w:rsidP="007D5795">
      <w:pPr>
        <w:pStyle w:val="SangriaFrancesaArticulo"/>
      </w:pPr>
    </w:p>
    <w:p w14:paraId="2F0E58F7" w14:textId="77777777" w:rsidR="007D5795" w:rsidRDefault="007D5795" w:rsidP="007D5795">
      <w:pPr>
        <w:pStyle w:val="TextoNormalNegritaCursivandice"/>
        <w:keepNext/>
      </w:pPr>
      <w:r>
        <w:t>Ley 58/2003, de 17 de diciembre, general tributaria</w:t>
      </w:r>
    </w:p>
    <w:p w14:paraId="07E5B844" w14:textId="57D16311" w:rsidR="007D5795" w:rsidRDefault="007D5795" w:rsidP="007D5795">
      <w:pPr>
        <w:pStyle w:val="SangriaFrancesaArticulo"/>
      </w:pPr>
      <w:r w:rsidRPr="007D5795">
        <w:rPr>
          <w:rStyle w:val="TextoNormalNegritaCaracter"/>
        </w:rPr>
        <w:t>Artículo 120.3.</w:t>
      </w:r>
      <w:r w:rsidRPr="007D5795">
        <w:rPr>
          <w:rStyle w:val="TextoNormalCaracter"/>
        </w:rPr>
        <w:t>-</w:t>
      </w:r>
      <w:r>
        <w:t xml:space="preserve"> Sentencia </w:t>
      </w:r>
      <w:hyperlink w:anchor="SENTENCIA_2024_117" w:history="1">
        <w:r w:rsidRPr="007D5795">
          <w:rPr>
            <w:rStyle w:val="TextoNormalCaracter"/>
          </w:rPr>
          <w:t>117/2024</w:t>
        </w:r>
      </w:hyperlink>
      <w:r>
        <w:t>, f. 3.</w:t>
      </w:r>
    </w:p>
    <w:p w14:paraId="6E0EEBDD" w14:textId="5D7B3694" w:rsidR="007D5795" w:rsidRDefault="007D5795" w:rsidP="007D5795">
      <w:pPr>
        <w:pStyle w:val="SangriaFrancesaArticulo"/>
      </w:pPr>
      <w:r w:rsidRPr="007D5795">
        <w:rPr>
          <w:rStyle w:val="TextoNormalNegritaCaracter"/>
        </w:rPr>
        <w:t>Disposición adicional décima.</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1F3BB4A5" w14:textId="508DE173" w:rsidR="007D5795" w:rsidRDefault="007D5795" w:rsidP="007D5795">
      <w:pPr>
        <w:pStyle w:val="SangriaFrancesaArticulo"/>
      </w:pPr>
    </w:p>
    <w:p w14:paraId="669E5243" w14:textId="77777777" w:rsidR="007D5795" w:rsidRDefault="007D5795" w:rsidP="007D5795">
      <w:pPr>
        <w:pStyle w:val="TextoNormalNegritaCursivandice"/>
        <w:keepNext/>
      </w:pPr>
      <w:r>
        <w:t>Ley 60/2003, de 23 diciembre, de arbitraje</w:t>
      </w:r>
    </w:p>
    <w:p w14:paraId="0C4D977B" w14:textId="297794E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6" w:history="1">
        <w:r w:rsidRPr="007D5795">
          <w:rPr>
            <w:rStyle w:val="TextoNormalCaracter"/>
          </w:rPr>
          <w:t>146/2024</w:t>
        </w:r>
      </w:hyperlink>
      <w:r>
        <w:t>, f. 2.</w:t>
      </w:r>
    </w:p>
    <w:p w14:paraId="53DE3942" w14:textId="036D1CA5" w:rsidR="007D5795" w:rsidRDefault="007D5795" w:rsidP="007D5795">
      <w:pPr>
        <w:pStyle w:val="SangriaFrancesaArticulo"/>
      </w:pPr>
      <w:r w:rsidRPr="007D5795">
        <w:rPr>
          <w:rStyle w:val="TextoNormalNegritaCaracter"/>
        </w:rPr>
        <w:t>Artículo 37.4.</w:t>
      </w:r>
      <w:r w:rsidRPr="007D5795">
        <w:rPr>
          <w:rStyle w:val="TextoNormalCaracter"/>
        </w:rPr>
        <w:t>-</w:t>
      </w:r>
      <w:r>
        <w:t xml:space="preserve"> Sentencia </w:t>
      </w:r>
      <w:hyperlink w:anchor="SENTENCIA_2024_146" w:history="1">
        <w:r w:rsidRPr="007D5795">
          <w:rPr>
            <w:rStyle w:val="TextoNormalCaracter"/>
          </w:rPr>
          <w:t>146/2024</w:t>
        </w:r>
      </w:hyperlink>
      <w:r>
        <w:t>, ff. 3, 5.</w:t>
      </w:r>
    </w:p>
    <w:p w14:paraId="0F89BBFC" w14:textId="06268908" w:rsidR="007D5795" w:rsidRDefault="007D5795" w:rsidP="007D5795">
      <w:pPr>
        <w:pStyle w:val="SangriaFrancesaArticulo"/>
      </w:pPr>
      <w:r w:rsidRPr="007D5795">
        <w:rPr>
          <w:rStyle w:val="TextoNormalNegritaCaracter"/>
        </w:rPr>
        <w:t>Artículo 39.1 c).</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295171A0" w14:textId="374F6A2D" w:rsidR="007D5795" w:rsidRDefault="007D5795" w:rsidP="007D5795">
      <w:pPr>
        <w:pStyle w:val="SangriaFrancesaArticulo"/>
      </w:pPr>
      <w:r w:rsidRPr="007D5795">
        <w:rPr>
          <w:rStyle w:val="TextoNormalNegritaCaracter"/>
        </w:rPr>
        <w:t>Artículo 40 y ss..</w:t>
      </w:r>
      <w:r w:rsidRPr="007D5795">
        <w:rPr>
          <w:rStyle w:val="TextoNormalCaracter"/>
        </w:rPr>
        <w:t>-</w:t>
      </w:r>
      <w:r>
        <w:t xml:space="preserve"> Sentencia </w:t>
      </w:r>
      <w:hyperlink w:anchor="SENTENCIA_2024_146" w:history="1">
        <w:r w:rsidRPr="007D5795">
          <w:rPr>
            <w:rStyle w:val="TextoNormalCaracter"/>
          </w:rPr>
          <w:t>146/2024</w:t>
        </w:r>
      </w:hyperlink>
      <w:r>
        <w:t>, f. 2.</w:t>
      </w:r>
    </w:p>
    <w:p w14:paraId="1C0E4595" w14:textId="256DA03E" w:rsidR="007D5795" w:rsidRDefault="007D5795" w:rsidP="007D5795">
      <w:pPr>
        <w:pStyle w:val="SangriaFrancesaArticulo"/>
      </w:pPr>
      <w:r w:rsidRPr="007D5795">
        <w:rPr>
          <w:rStyle w:val="TextoNormalNegritaCaracter"/>
        </w:rPr>
        <w:t>Artículos 40 a 43.</w:t>
      </w:r>
      <w:r w:rsidRPr="007D5795">
        <w:rPr>
          <w:rStyle w:val="TextoNormalCaracter"/>
        </w:rPr>
        <w:t>-</w:t>
      </w:r>
      <w:r>
        <w:t xml:space="preserve"> Sentencia </w:t>
      </w:r>
      <w:hyperlink w:anchor="SENTENCIA_2024_146" w:history="1">
        <w:r w:rsidRPr="007D5795">
          <w:rPr>
            <w:rStyle w:val="TextoNormalCaracter"/>
          </w:rPr>
          <w:t>146/2024</w:t>
        </w:r>
      </w:hyperlink>
      <w:r>
        <w:t>, f. 1.</w:t>
      </w:r>
    </w:p>
    <w:p w14:paraId="26359273" w14:textId="55025124" w:rsidR="007D5795" w:rsidRDefault="007D5795" w:rsidP="007D5795">
      <w:pPr>
        <w:pStyle w:val="SangriaFrancesaArticulo"/>
      </w:pPr>
      <w:r w:rsidRPr="007D5795">
        <w:rPr>
          <w:rStyle w:val="TextoNormalNegritaCaracter"/>
        </w:rPr>
        <w:t>Artículo 41.</w:t>
      </w:r>
      <w:r w:rsidRPr="007D5795">
        <w:rPr>
          <w:rStyle w:val="TextoNormalCaracter"/>
        </w:rPr>
        <w:t>-</w:t>
      </w:r>
      <w:r>
        <w:t xml:space="preserve"> Sentencia </w:t>
      </w:r>
      <w:hyperlink w:anchor="SENTENCIA_2024_146" w:history="1">
        <w:r w:rsidRPr="007D5795">
          <w:rPr>
            <w:rStyle w:val="TextoNormalCaracter"/>
          </w:rPr>
          <w:t>146/2024</w:t>
        </w:r>
      </w:hyperlink>
      <w:r>
        <w:t>, f. 2.</w:t>
      </w:r>
    </w:p>
    <w:p w14:paraId="1A044926" w14:textId="76C48CBC" w:rsidR="007D5795" w:rsidRDefault="007D5795" w:rsidP="007D5795">
      <w:pPr>
        <w:pStyle w:val="SangriaFrancesaArticulo"/>
      </w:pPr>
      <w:r w:rsidRPr="007D5795">
        <w:rPr>
          <w:rStyle w:val="TextoNormalNegritaCaracter"/>
        </w:rPr>
        <w:t>Artículo 41.1.</w:t>
      </w:r>
      <w:r w:rsidRPr="007D5795">
        <w:rPr>
          <w:rStyle w:val="TextoNormalCaracter"/>
        </w:rPr>
        <w:t>-</w:t>
      </w:r>
      <w:r>
        <w:t xml:space="preserve"> Sentencia </w:t>
      </w:r>
      <w:hyperlink w:anchor="SENTENCIA_2024_146" w:history="1">
        <w:r w:rsidRPr="007D5795">
          <w:rPr>
            <w:rStyle w:val="TextoNormalCaracter"/>
          </w:rPr>
          <w:t>146/2024</w:t>
        </w:r>
      </w:hyperlink>
      <w:r>
        <w:t>, ff. 2, 3.</w:t>
      </w:r>
    </w:p>
    <w:p w14:paraId="66F36EC8" w14:textId="4CD9F848" w:rsidR="007D5795" w:rsidRDefault="007D5795" w:rsidP="007D5795">
      <w:pPr>
        <w:pStyle w:val="SangriaFrancesaArticulo"/>
      </w:pPr>
      <w:r w:rsidRPr="007D5795">
        <w:rPr>
          <w:rStyle w:val="TextoNormalNegritaCaracter"/>
        </w:rPr>
        <w:t>Artículo 41.1 f).</w:t>
      </w:r>
      <w:r w:rsidRPr="007D5795">
        <w:rPr>
          <w:rStyle w:val="TextoNormalCaracter"/>
        </w:rPr>
        <w:t>-</w:t>
      </w:r>
      <w:r>
        <w:t xml:space="preserve"> Sentencia </w:t>
      </w:r>
      <w:hyperlink w:anchor="SENTENCIA_2024_146" w:history="1">
        <w:r w:rsidRPr="007D5795">
          <w:rPr>
            <w:rStyle w:val="TextoNormalCaracter"/>
          </w:rPr>
          <w:t>146/2024</w:t>
        </w:r>
      </w:hyperlink>
      <w:r>
        <w:t>, ff. 1, 4, 5, 7.</w:t>
      </w:r>
    </w:p>
    <w:p w14:paraId="63CC9985" w14:textId="3B2A75BC" w:rsidR="007D5795" w:rsidRDefault="007D5795" w:rsidP="007D5795">
      <w:pPr>
        <w:pStyle w:val="SangriaFrancesaArticulo"/>
      </w:pPr>
    </w:p>
    <w:p w14:paraId="1D667884" w14:textId="77777777" w:rsidR="007D5795" w:rsidRDefault="007D5795" w:rsidP="007D5795">
      <w:pPr>
        <w:pStyle w:val="TextoNormalNegritaCursivandice"/>
        <w:keepNext/>
      </w:pPr>
      <w:r>
        <w:t>Ley 15/2007, de 3 de julio, de defensa de la competencia</w:t>
      </w:r>
    </w:p>
    <w:p w14:paraId="4BBF8391" w14:textId="45B87D6D"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Sentencia </w:t>
      </w:r>
      <w:hyperlink w:anchor="SENTENCIA_2024_146" w:history="1">
        <w:r w:rsidRPr="007D5795">
          <w:rPr>
            <w:rStyle w:val="TextoNormalCaracter"/>
          </w:rPr>
          <w:t>146/2024</w:t>
        </w:r>
      </w:hyperlink>
      <w:r>
        <w:t>, ff. 1, 4, 7.</w:t>
      </w:r>
    </w:p>
    <w:p w14:paraId="24549B15" w14:textId="68FF69B4"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0371154B" w14:textId="16A62E3A" w:rsidR="007D5795" w:rsidRDefault="007D5795" w:rsidP="007D5795">
      <w:pPr>
        <w:pStyle w:val="SangriaFrancesaArticulo"/>
      </w:pPr>
      <w:r w:rsidRPr="007D5795">
        <w:rPr>
          <w:rStyle w:val="TextoNormalNegritaCaracter"/>
        </w:rPr>
        <w:t>Artículo 1.2.</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356D980D" w14:textId="0D9799A8" w:rsidR="007D5795" w:rsidRDefault="007D5795" w:rsidP="007D5795">
      <w:pPr>
        <w:pStyle w:val="SangriaFrancesaArticulo"/>
      </w:pPr>
      <w:r w:rsidRPr="007D5795">
        <w:rPr>
          <w:rStyle w:val="TextoNormalNegritaCaracter"/>
        </w:rPr>
        <w:t>Artículo 1.4.</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572D281D" w14:textId="7E776723" w:rsidR="007D5795" w:rsidRDefault="007D5795" w:rsidP="007D5795">
      <w:pPr>
        <w:pStyle w:val="SangriaFrancesaArticulo"/>
      </w:pPr>
      <w:r w:rsidRPr="007D5795">
        <w:rPr>
          <w:rStyle w:val="TextoNormalNegritaCaracter"/>
        </w:rPr>
        <w:t>Artículo 5.</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546701AF" w14:textId="0EB880AD" w:rsidR="007D5795" w:rsidRDefault="007D5795" w:rsidP="007D5795">
      <w:pPr>
        <w:pStyle w:val="SangriaFrancesaArticulo"/>
      </w:pPr>
    </w:p>
    <w:p w14:paraId="4116BFE6" w14:textId="77777777" w:rsidR="007D5795" w:rsidRDefault="007D5795" w:rsidP="007D5795">
      <w:pPr>
        <w:pStyle w:val="TextoNormalNegritaCursivandice"/>
        <w:keepNext/>
      </w:pPr>
      <w:r>
        <w:t>Ley 20/2007, de 11 de julio, del estatuto del trabajo autónomo</w:t>
      </w:r>
    </w:p>
    <w:p w14:paraId="3A040857" w14:textId="5492378F" w:rsidR="007D5795" w:rsidRDefault="007D5795" w:rsidP="007D5795">
      <w:pPr>
        <w:pStyle w:val="SangriaFrancesaArticulo"/>
      </w:pPr>
      <w:r w:rsidRPr="007D5795">
        <w:rPr>
          <w:rStyle w:val="TextoNormalNegritaCaracter"/>
        </w:rPr>
        <w:t>Disposición adicional décima.</w:t>
      </w:r>
      <w:r w:rsidRPr="007D5795">
        <w:rPr>
          <w:rStyle w:val="TextoNormalCaracter"/>
        </w:rPr>
        <w:t>-</w:t>
      </w:r>
      <w:r>
        <w:t xml:space="preserve"> Auto </w:t>
      </w:r>
      <w:hyperlink w:anchor="AUTO_2024_73" w:history="1">
        <w:r w:rsidRPr="007D5795">
          <w:rPr>
            <w:rStyle w:val="TextoNormalCaracter"/>
          </w:rPr>
          <w:t>73/2024</w:t>
        </w:r>
      </w:hyperlink>
      <w:r>
        <w:t>, ff. 1, 4, 5.</w:t>
      </w:r>
    </w:p>
    <w:p w14:paraId="673D035B" w14:textId="2AB69878" w:rsidR="007D5795" w:rsidRDefault="007D5795" w:rsidP="007D5795">
      <w:pPr>
        <w:pStyle w:val="SangriaFrancesaArticulo"/>
      </w:pPr>
    </w:p>
    <w:p w14:paraId="0F003F86" w14:textId="77777777" w:rsidR="007D5795" w:rsidRDefault="007D5795" w:rsidP="007D5795">
      <w:pPr>
        <w:pStyle w:val="TextoNormalNegritaCursivandice"/>
        <w:keepNext/>
      </w:pPr>
      <w:r>
        <w:t>Ley 26/2007, de 23 de octubre, de responsabilidad medioambiental</w:t>
      </w:r>
    </w:p>
    <w:p w14:paraId="4D0ADF87" w14:textId="323176D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VP.</w:t>
      </w:r>
    </w:p>
    <w:p w14:paraId="06927842" w14:textId="0E26B9C9" w:rsidR="007D5795" w:rsidRDefault="007D5795" w:rsidP="007D5795">
      <w:pPr>
        <w:pStyle w:val="SangriaFrancesaArticulo"/>
      </w:pPr>
      <w:r w:rsidRPr="007D5795">
        <w:rPr>
          <w:rStyle w:val="TextoNormalNegritaCaracter"/>
        </w:rPr>
        <w:t>Artículo 17.</w:t>
      </w:r>
      <w:r w:rsidRPr="007D5795">
        <w:rPr>
          <w:rStyle w:val="TextoNormalCaracter"/>
        </w:rPr>
        <w:t>-</w:t>
      </w:r>
      <w:r>
        <w:t xml:space="preserve"> Sentencia </w:t>
      </w:r>
      <w:hyperlink w:anchor="SENTENCIA_2024_142" w:history="1">
        <w:r w:rsidRPr="007D5795">
          <w:rPr>
            <w:rStyle w:val="TextoNormalCaracter"/>
          </w:rPr>
          <w:t>142/2024</w:t>
        </w:r>
      </w:hyperlink>
      <w:r>
        <w:t>, VP.</w:t>
      </w:r>
    </w:p>
    <w:p w14:paraId="50D3EDAF" w14:textId="6D523A46" w:rsidR="007D5795" w:rsidRDefault="007D5795" w:rsidP="007D5795">
      <w:pPr>
        <w:pStyle w:val="SangriaFrancesaArticulo"/>
      </w:pPr>
    </w:p>
    <w:p w14:paraId="2BC38D7D" w14:textId="77777777" w:rsidR="007D5795" w:rsidRDefault="007D5795" w:rsidP="007D5795">
      <w:pPr>
        <w:pStyle w:val="TextoNormalNegritaCursivandice"/>
        <w:keepNext/>
      </w:pPr>
      <w:r>
        <w:t>Ley 35/2007, de 15 de noviembre, por la que se establece la deducción por nacimiento o adopción en el impuesto sobre la renta de las personas físicas y la prestación económica de pago único de la Seguridad Social por nacimiento o adopción.</w:t>
      </w:r>
    </w:p>
    <w:p w14:paraId="240DF4FD" w14:textId="061C3C39" w:rsidR="007D5795" w:rsidRDefault="007D5795" w:rsidP="007D5795">
      <w:pPr>
        <w:pStyle w:val="SangriaFrancesaArticulo"/>
      </w:pPr>
      <w:r w:rsidRPr="007D5795">
        <w:rPr>
          <w:rStyle w:val="TextoNormalNegritaCaracter"/>
        </w:rPr>
        <w:t>Disposición final segunda.</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10007096" w14:textId="7BEBE71B" w:rsidR="007D5795" w:rsidRDefault="007D5795" w:rsidP="007D5795">
      <w:pPr>
        <w:pStyle w:val="SangriaFrancesaArticulo"/>
      </w:pPr>
    </w:p>
    <w:p w14:paraId="1659F994" w14:textId="77777777" w:rsidR="007D5795" w:rsidRDefault="007D5795" w:rsidP="007D5795">
      <w:pPr>
        <w:pStyle w:val="TextoNormalNegritaCursivandice"/>
        <w:keepNext/>
      </w:pPr>
      <w:r>
        <w:t>Ley 40/2007, de 4 de diciembre. Medidas en materia de Seguridad Social</w:t>
      </w:r>
    </w:p>
    <w:p w14:paraId="37588280" w14:textId="1E910CB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89" w:history="1">
        <w:r w:rsidRPr="007D5795">
          <w:rPr>
            <w:rStyle w:val="TextoNormalCaracter"/>
          </w:rPr>
          <w:t>89/2024</w:t>
        </w:r>
      </w:hyperlink>
      <w:r>
        <w:t>, f. 2.</w:t>
      </w:r>
    </w:p>
    <w:p w14:paraId="4D032411" w14:textId="1317939F" w:rsidR="007D5795" w:rsidRDefault="007D5795" w:rsidP="007D5795">
      <w:pPr>
        <w:pStyle w:val="SangriaFrancesaArticulo"/>
      </w:pPr>
      <w:r w:rsidRPr="007D5795">
        <w:rPr>
          <w:rStyle w:val="TextoNormalNegritaCaracter"/>
        </w:rPr>
        <w:t>Disposición adicional tercera.</w:t>
      </w:r>
      <w:r w:rsidRPr="007D5795">
        <w:rPr>
          <w:rStyle w:val="TextoNormalCaracter"/>
        </w:rPr>
        <w:t>-</w:t>
      </w:r>
      <w:r>
        <w:t xml:space="preserve"> Auto </w:t>
      </w:r>
      <w:hyperlink w:anchor="AUTO_2024_89" w:history="1">
        <w:r w:rsidRPr="007D5795">
          <w:rPr>
            <w:rStyle w:val="TextoNormalCaracter"/>
          </w:rPr>
          <w:t>89/2024</w:t>
        </w:r>
      </w:hyperlink>
      <w:r>
        <w:t>, f. 3.</w:t>
      </w:r>
    </w:p>
    <w:p w14:paraId="7CD30F0D" w14:textId="497B349B" w:rsidR="007D5795" w:rsidRDefault="007D5795" w:rsidP="007D5795">
      <w:pPr>
        <w:pStyle w:val="SangriaFrancesaArticulo"/>
      </w:pPr>
      <w:r w:rsidRPr="007D5795">
        <w:rPr>
          <w:rStyle w:val="TextoNormalNegritaCaracter"/>
        </w:rPr>
        <w:t>Disposición adicional tercera, apartado c).</w:t>
      </w:r>
      <w:r w:rsidRPr="007D5795">
        <w:rPr>
          <w:rStyle w:val="TextoNormalCaracter"/>
        </w:rPr>
        <w:t>-</w:t>
      </w:r>
      <w:r>
        <w:t xml:space="preserve"> Auto </w:t>
      </w:r>
      <w:hyperlink w:anchor="AUTO_2024_89" w:history="1">
        <w:r w:rsidRPr="007D5795">
          <w:rPr>
            <w:rStyle w:val="TextoNormalCaracter"/>
          </w:rPr>
          <w:t>89/2024</w:t>
        </w:r>
      </w:hyperlink>
      <w:r>
        <w:t>, f. 2.</w:t>
      </w:r>
    </w:p>
    <w:p w14:paraId="78512A98" w14:textId="5CDBF1AB" w:rsidR="007D5795" w:rsidRDefault="007D5795" w:rsidP="007D5795">
      <w:pPr>
        <w:pStyle w:val="SangriaFrancesaArticulo"/>
      </w:pPr>
    </w:p>
    <w:p w14:paraId="47A7D250" w14:textId="77777777" w:rsidR="007D5795" w:rsidRDefault="007D5795" w:rsidP="007D5795">
      <w:pPr>
        <w:pStyle w:val="TextoNormalNegritaCursivandice"/>
        <w:keepNext/>
      </w:pPr>
      <w:r>
        <w:t>Ley 42/2007, de 13 de diciembre, del patrimonio natural y de la biodiversidad</w:t>
      </w:r>
    </w:p>
    <w:p w14:paraId="0DE508D1" w14:textId="63BB7AB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VP.</w:t>
      </w:r>
    </w:p>
    <w:p w14:paraId="135F8608" w14:textId="3380B169" w:rsidR="007D5795" w:rsidRDefault="007D5795" w:rsidP="007D5795">
      <w:pPr>
        <w:pStyle w:val="SangriaFrancesaArticulo"/>
      </w:pPr>
      <w:r w:rsidRPr="007D5795">
        <w:rPr>
          <w:rStyle w:val="TextoNormalNegritaCaracter"/>
        </w:rPr>
        <w:t>Artículo 31.</w:t>
      </w:r>
      <w:r w:rsidRPr="007D5795">
        <w:rPr>
          <w:rStyle w:val="TextoNormalCaracter"/>
        </w:rPr>
        <w:t>-</w:t>
      </w:r>
      <w:r>
        <w:t xml:space="preserve"> Sentencia </w:t>
      </w:r>
      <w:hyperlink w:anchor="SENTENCIA_2024_142" w:history="1">
        <w:r w:rsidRPr="007D5795">
          <w:rPr>
            <w:rStyle w:val="TextoNormalCaracter"/>
          </w:rPr>
          <w:t>142/2024</w:t>
        </w:r>
      </w:hyperlink>
      <w:r>
        <w:t>, VP.</w:t>
      </w:r>
    </w:p>
    <w:p w14:paraId="5DA46763" w14:textId="3669C4FA" w:rsidR="007D5795" w:rsidRDefault="007D5795" w:rsidP="007D5795">
      <w:pPr>
        <w:pStyle w:val="SangriaFrancesaArticulo"/>
      </w:pPr>
      <w:r w:rsidRPr="007D5795">
        <w:rPr>
          <w:rStyle w:val="TextoNormalNegritaCaracter"/>
        </w:rPr>
        <w:t>Artículo 43.</w:t>
      </w:r>
      <w:r w:rsidRPr="007D5795">
        <w:rPr>
          <w:rStyle w:val="TextoNormalCaracter"/>
        </w:rPr>
        <w:t>-</w:t>
      </w:r>
      <w:r>
        <w:t xml:space="preserve"> Sentencia </w:t>
      </w:r>
      <w:hyperlink w:anchor="SENTENCIA_2024_142" w:history="1">
        <w:r w:rsidRPr="007D5795">
          <w:rPr>
            <w:rStyle w:val="TextoNormalCaracter"/>
          </w:rPr>
          <w:t>142/2024</w:t>
        </w:r>
      </w:hyperlink>
      <w:r>
        <w:t>, VP.</w:t>
      </w:r>
    </w:p>
    <w:p w14:paraId="0A0B994F" w14:textId="6916EEE8" w:rsidR="007D5795" w:rsidRDefault="007D5795" w:rsidP="007D5795">
      <w:pPr>
        <w:pStyle w:val="SangriaFrancesaArticulo"/>
      </w:pPr>
      <w:r w:rsidRPr="007D5795">
        <w:rPr>
          <w:rStyle w:val="TextoNormalNegritaCaracter"/>
        </w:rPr>
        <w:t>Artículo 44.</w:t>
      </w:r>
      <w:r w:rsidRPr="007D5795">
        <w:rPr>
          <w:rStyle w:val="TextoNormalCaracter"/>
        </w:rPr>
        <w:t>-</w:t>
      </w:r>
      <w:r>
        <w:t xml:space="preserve"> Sentencia </w:t>
      </w:r>
      <w:hyperlink w:anchor="SENTENCIA_2024_142" w:history="1">
        <w:r w:rsidRPr="007D5795">
          <w:rPr>
            <w:rStyle w:val="TextoNormalCaracter"/>
          </w:rPr>
          <w:t>142/2024</w:t>
        </w:r>
      </w:hyperlink>
      <w:r>
        <w:t>, VP.</w:t>
      </w:r>
    </w:p>
    <w:p w14:paraId="7F7B7C12" w14:textId="3F53B9CC" w:rsidR="007D5795" w:rsidRDefault="007D5795" w:rsidP="007D5795">
      <w:pPr>
        <w:pStyle w:val="SangriaFrancesaArticulo"/>
      </w:pPr>
    </w:p>
    <w:p w14:paraId="6B1B4D73" w14:textId="77777777" w:rsidR="007D5795" w:rsidRDefault="007D5795" w:rsidP="007D5795">
      <w:pPr>
        <w:pStyle w:val="TextoNormalNegritaCursivandice"/>
        <w:keepNext/>
      </w:pPr>
      <w:r>
        <w:t>Ley 9/2009, de 6 de octubre. Amplia la duración del permiso de paternidad en los casos de nacimiento, adopción o acogida</w:t>
      </w:r>
    </w:p>
    <w:p w14:paraId="0090E693" w14:textId="5C2AAD94"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25916F00" w14:textId="575C074D" w:rsidR="007D5795" w:rsidRDefault="007D5795" w:rsidP="007D5795">
      <w:pPr>
        <w:pStyle w:val="SangriaFrancesaArticulo"/>
      </w:pPr>
    </w:p>
    <w:p w14:paraId="5384B901" w14:textId="77777777" w:rsidR="007D5795" w:rsidRDefault="007D5795" w:rsidP="007D5795">
      <w:pPr>
        <w:pStyle w:val="TextoNormalNegritaCursivandice"/>
        <w:keepNext/>
      </w:pPr>
      <w:r>
        <w:t>Ley 33/2011, de 4 de octubre, general de salud pública</w:t>
      </w:r>
    </w:p>
    <w:p w14:paraId="06EA282A" w14:textId="0EB4F5C3" w:rsidR="007D5795" w:rsidRDefault="007D5795" w:rsidP="007D5795">
      <w:pPr>
        <w:pStyle w:val="SangriaFrancesaArticulo"/>
      </w:pPr>
      <w:r w:rsidRPr="007D5795">
        <w:rPr>
          <w:rStyle w:val="TextoNormalNegritaCaracter"/>
        </w:rPr>
        <w:t>Título V.</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75808793" w14:textId="5EDE081D" w:rsidR="007D5795" w:rsidRDefault="007D5795" w:rsidP="007D5795">
      <w:pPr>
        <w:pStyle w:val="SangriaFrancesaArticulo"/>
      </w:pPr>
    </w:p>
    <w:p w14:paraId="34ECF3A5" w14:textId="77777777" w:rsidR="007D5795" w:rsidRDefault="007D5795" w:rsidP="007D5795">
      <w:pPr>
        <w:pStyle w:val="TextoNormalNegritaCursivandice"/>
        <w:keepNext/>
      </w:pPr>
      <w:r>
        <w:t>Ley 10/2012, de 20 de noviembre, por la que se regulan determinadas tasas en el ámbito de la administración de justicia y del Instituto Nacional de Toxicología y Ciencias Forenses</w:t>
      </w:r>
    </w:p>
    <w:p w14:paraId="14B9825B" w14:textId="0BAEF8F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4" w:history="1">
        <w:r w:rsidRPr="007D5795">
          <w:rPr>
            <w:rStyle w:val="TextoNormalCaracter"/>
          </w:rPr>
          <w:t>104/2024</w:t>
        </w:r>
      </w:hyperlink>
      <w:r>
        <w:t>, f. 2.</w:t>
      </w:r>
    </w:p>
    <w:p w14:paraId="51F32BEB" w14:textId="78E8C424" w:rsidR="007D5795" w:rsidRDefault="007D5795" w:rsidP="007D5795">
      <w:pPr>
        <w:pStyle w:val="SangriaFrancesaArticulo"/>
      </w:pPr>
    </w:p>
    <w:p w14:paraId="373A05E7" w14:textId="77777777" w:rsidR="007D5795" w:rsidRDefault="007D5795" w:rsidP="007D5795">
      <w:pPr>
        <w:pStyle w:val="TextoNormalNegritaCursivandice"/>
        <w:keepNext/>
      </w:pPr>
      <w:r>
        <w:t>Ley 1/2013, de 14 de mayo, de medidas para reforzar la protección a los deudores hipotecarios, reestructuración de deuda y alquiler social</w:t>
      </w:r>
    </w:p>
    <w:p w14:paraId="7F54B346" w14:textId="4E429EA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99" w:history="1">
        <w:r w:rsidRPr="007D5795">
          <w:rPr>
            <w:rStyle w:val="TextoNormalCaracter"/>
          </w:rPr>
          <w:t>99/2024</w:t>
        </w:r>
      </w:hyperlink>
      <w:r>
        <w:t>, f. 3.</w:t>
      </w:r>
    </w:p>
    <w:p w14:paraId="716E4D62" w14:textId="2F9B994C" w:rsidR="007D5795" w:rsidRDefault="007D5795" w:rsidP="007D5795">
      <w:pPr>
        <w:pStyle w:val="SangriaFrancesaArticulo"/>
      </w:pPr>
    </w:p>
    <w:p w14:paraId="36CC8B53" w14:textId="77777777" w:rsidR="007D5795" w:rsidRDefault="007D5795" w:rsidP="007D5795">
      <w:pPr>
        <w:pStyle w:val="TextoNormalNegritaCursivandice"/>
        <w:keepNext/>
      </w:pPr>
      <w:r>
        <w:t>Ley 2/2013, de 29 de mayo, de protección y uso sostenible del litoral y de modificación de la Ley 22/1988, de 28 de julio, de costas</w:t>
      </w:r>
    </w:p>
    <w:p w14:paraId="05B571C8" w14:textId="5CAD164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5DBAB5CE" w14:textId="3FFB1500" w:rsidR="007D5795" w:rsidRDefault="007D5795" w:rsidP="007D5795">
      <w:pPr>
        <w:pStyle w:val="SangriaFrancesaArticulo"/>
      </w:pPr>
      <w:r w:rsidRPr="007D5795">
        <w:rPr>
          <w:rStyle w:val="TextoNormalNegritaCaracter"/>
        </w:rPr>
        <w:t>Artículo 1.9.</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050FC3E8" w14:textId="5502F4DA" w:rsidR="007D5795" w:rsidRDefault="007D5795" w:rsidP="007D5795">
      <w:pPr>
        <w:pStyle w:val="SangriaFrancesaArticulo"/>
      </w:pPr>
      <w:r w:rsidRPr="007D5795">
        <w:rPr>
          <w:rStyle w:val="TextoNormalNegritaCaracter"/>
        </w:rPr>
        <w:t>Artículo 1.21.</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6C548D91" w14:textId="24E066A5" w:rsidR="007D5795" w:rsidRDefault="007D5795" w:rsidP="007D5795">
      <w:pPr>
        <w:pStyle w:val="SangriaFrancesaArticulo"/>
      </w:pPr>
      <w:r w:rsidRPr="007D5795">
        <w:rPr>
          <w:rStyle w:val="TextoNormalNegritaCaracter"/>
        </w:rPr>
        <w:t>Artículo 2.</w:t>
      </w:r>
      <w:r w:rsidRPr="007D5795">
        <w:rPr>
          <w:rStyle w:val="TextoNormalCaracter"/>
        </w:rPr>
        <w:t>-</w:t>
      </w:r>
      <w:r>
        <w:t xml:space="preserve"> Sentencia </w:t>
      </w:r>
      <w:hyperlink w:anchor="SENTENCIA_2024_119" w:history="1">
        <w:r w:rsidRPr="007D5795">
          <w:rPr>
            <w:rStyle w:val="TextoNormalCaracter"/>
          </w:rPr>
          <w:t>119/2024</w:t>
        </w:r>
      </w:hyperlink>
      <w:r>
        <w:t>, ff. 1, 3.</w:t>
      </w:r>
    </w:p>
    <w:p w14:paraId="0F8A6549" w14:textId="615370AE" w:rsidR="007D5795" w:rsidRDefault="007D5795" w:rsidP="007D5795">
      <w:pPr>
        <w:pStyle w:val="SangriaFrancesaArticulo"/>
      </w:pPr>
      <w:r w:rsidRPr="007D5795">
        <w:rPr>
          <w:rStyle w:val="TextoNormalNegritaCaracter"/>
        </w:rPr>
        <w:t>Artículo 2.5.</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43669B3F" w14:textId="525E87BE" w:rsidR="007D5795" w:rsidRDefault="007D5795" w:rsidP="007D5795">
      <w:pPr>
        <w:pStyle w:val="SangriaFrancesaArticulo"/>
      </w:pPr>
    </w:p>
    <w:p w14:paraId="5D6D5F22" w14:textId="77777777" w:rsidR="007D5795" w:rsidRDefault="007D5795" w:rsidP="007D5795">
      <w:pPr>
        <w:pStyle w:val="TextoNormalNegritaCursivandice"/>
        <w:keepNext/>
      </w:pPr>
      <w:r>
        <w:t>Ley 20/2013, de 9 de diciembre, de garantía de la unidad de mercado</w:t>
      </w:r>
    </w:p>
    <w:p w14:paraId="6A686B9F" w14:textId="438FF993" w:rsidR="007D5795" w:rsidRDefault="007D5795" w:rsidP="007D5795">
      <w:pPr>
        <w:pStyle w:val="SangriaFrancesaArticulo"/>
      </w:pPr>
      <w:r w:rsidRPr="007D5795">
        <w:rPr>
          <w:rStyle w:val="TextoNormalNegritaCaracter"/>
        </w:rPr>
        <w:t>Artículo 5.</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19DA58AF" w14:textId="6888FD40" w:rsidR="007D5795" w:rsidRDefault="007D5795" w:rsidP="007D5795">
      <w:pPr>
        <w:pStyle w:val="SangriaFrancesaArticulo"/>
      </w:pPr>
    </w:p>
    <w:p w14:paraId="5EEF314A" w14:textId="77777777" w:rsidR="007D5795" w:rsidRDefault="007D5795" w:rsidP="007D5795">
      <w:pPr>
        <w:pStyle w:val="TextoNormalNegritaCursivandice"/>
        <w:keepNext/>
      </w:pPr>
      <w:r>
        <w:t>Ley 24/2013, de 26 de diciembre, del sector eléctrico</w:t>
      </w:r>
    </w:p>
    <w:p w14:paraId="6AB5F514" w14:textId="604AB0F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3" w:history="1">
        <w:r w:rsidRPr="007D5795">
          <w:rPr>
            <w:rStyle w:val="TextoNormalCaracter"/>
          </w:rPr>
          <w:t>113/2024</w:t>
        </w:r>
      </w:hyperlink>
      <w:r>
        <w:t>, ff. 1, 3, 4.</w:t>
      </w:r>
    </w:p>
    <w:p w14:paraId="471DEB2D" w14:textId="7DB085B3" w:rsidR="007D5795" w:rsidRDefault="007D5795" w:rsidP="007D5795">
      <w:pPr>
        <w:pStyle w:val="SangriaFrancesaArticulo"/>
      </w:pPr>
      <w:r w:rsidRPr="007D5795">
        <w:rPr>
          <w:rStyle w:val="TextoNormalNegritaCaracter"/>
        </w:rPr>
        <w:t>Artículo 45.</w:t>
      </w:r>
      <w:r w:rsidRPr="007D5795">
        <w:rPr>
          <w:rStyle w:val="TextoNormalCaracter"/>
        </w:rPr>
        <w:t>-</w:t>
      </w:r>
      <w:r>
        <w:t xml:space="preserve"> Auto </w:t>
      </w:r>
      <w:hyperlink w:anchor="AUTO_2024_66" w:history="1">
        <w:r w:rsidRPr="007D5795">
          <w:rPr>
            <w:rStyle w:val="TextoNormalCaracter"/>
          </w:rPr>
          <w:t>66/2024</w:t>
        </w:r>
      </w:hyperlink>
      <w:r>
        <w:t>, f. 1.</w:t>
      </w:r>
    </w:p>
    <w:p w14:paraId="7ED3F155" w14:textId="6A6AD0B1" w:rsidR="007D5795" w:rsidRDefault="007D5795" w:rsidP="007D5795">
      <w:pPr>
        <w:pStyle w:val="SangriaFrancesaArticulo"/>
      </w:pPr>
      <w:r w:rsidRPr="007D5795">
        <w:rPr>
          <w:rStyle w:val="TextoNormalNegritaCaracter"/>
        </w:rPr>
        <w:t>Artículo 52.</w:t>
      </w:r>
      <w:r w:rsidRPr="007D5795">
        <w:rPr>
          <w:rStyle w:val="TextoNormalCaracter"/>
        </w:rPr>
        <w:t>-</w:t>
      </w:r>
      <w:r>
        <w:t xml:space="preserve"> Auto </w:t>
      </w:r>
      <w:hyperlink w:anchor="AUTO_2024_66" w:history="1">
        <w:r w:rsidRPr="007D5795">
          <w:rPr>
            <w:rStyle w:val="TextoNormalCaracter"/>
          </w:rPr>
          <w:t>66/2024</w:t>
        </w:r>
      </w:hyperlink>
      <w:r>
        <w:t>, f. 1.</w:t>
      </w:r>
    </w:p>
    <w:p w14:paraId="205DA986" w14:textId="443D4D86" w:rsidR="007D5795" w:rsidRDefault="007D5795" w:rsidP="007D5795">
      <w:pPr>
        <w:pStyle w:val="SangriaFrancesaArticulo"/>
      </w:pPr>
    </w:p>
    <w:p w14:paraId="663E2C45" w14:textId="77777777" w:rsidR="007D5795" w:rsidRDefault="007D5795" w:rsidP="007D5795">
      <w:pPr>
        <w:pStyle w:val="TextoNormalNegritaCursivandice"/>
        <w:keepNext/>
      </w:pPr>
      <w:r>
        <w:t>Ley 27/2014, de 27 de noviembre, del impuesto sobre sociedades</w:t>
      </w:r>
    </w:p>
    <w:p w14:paraId="13640997" w14:textId="5CED8543" w:rsidR="007D5795" w:rsidRDefault="007D5795" w:rsidP="007D5795">
      <w:pPr>
        <w:pStyle w:val="SangriaFrancesaArticulo"/>
      </w:pPr>
      <w:r w:rsidRPr="007D5795">
        <w:rPr>
          <w:rStyle w:val="TextoNormalNegritaCaracter"/>
        </w:rPr>
        <w:t>Disposición adicional decimocuarta.</w:t>
      </w:r>
      <w:r w:rsidRPr="007D5795">
        <w:rPr>
          <w:rStyle w:val="TextoNormalCaracter"/>
        </w:rPr>
        <w:t>-</w:t>
      </w:r>
      <w:r>
        <w:t xml:space="preserve"> Auto </w:t>
      </w:r>
      <w:hyperlink w:anchor="AUTO_2024_67" w:history="1">
        <w:r w:rsidRPr="007D5795">
          <w:rPr>
            <w:rStyle w:val="TextoNormalCaracter"/>
          </w:rPr>
          <w:t>67/2024</w:t>
        </w:r>
      </w:hyperlink>
      <w:r>
        <w:t>, f. único.</w:t>
      </w:r>
    </w:p>
    <w:p w14:paraId="6952A08C" w14:textId="21E61944" w:rsidR="007D5795" w:rsidRDefault="007D5795" w:rsidP="007D5795">
      <w:pPr>
        <w:pStyle w:val="SangriaFrancesaArticulo"/>
      </w:pPr>
    </w:p>
    <w:p w14:paraId="109BF583" w14:textId="77777777" w:rsidR="007D5795" w:rsidRDefault="007D5795" w:rsidP="007D5795">
      <w:pPr>
        <w:pStyle w:val="TextoNormalNegritaCursivandice"/>
        <w:keepNext/>
      </w:pPr>
      <w:r>
        <w:t>Ley 30/2014, de 3 de diciembre, de parques nacionales</w:t>
      </w:r>
    </w:p>
    <w:p w14:paraId="5706D73D" w14:textId="4E814D3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VP.</w:t>
      </w:r>
    </w:p>
    <w:p w14:paraId="3DD1840D" w14:textId="29C3C91B" w:rsidR="007D5795" w:rsidRDefault="007D5795" w:rsidP="007D5795">
      <w:pPr>
        <w:pStyle w:val="SangriaFrancesaArticulo"/>
      </w:pPr>
    </w:p>
    <w:p w14:paraId="28E06527" w14:textId="77777777" w:rsidR="007D5795" w:rsidRDefault="007D5795" w:rsidP="007D5795">
      <w:pPr>
        <w:pStyle w:val="TextoNormalNegritaCursivandice"/>
        <w:keepNext/>
      </w:pPr>
      <w:r>
        <w:t>Ley 15/2015, de 2 de julio, de la jurisdicción voluntaria</w:t>
      </w:r>
    </w:p>
    <w:p w14:paraId="7515011B" w14:textId="2671D2E7" w:rsidR="007D5795" w:rsidRDefault="007D5795" w:rsidP="007D5795">
      <w:pPr>
        <w:pStyle w:val="SangriaFrancesaArticulo"/>
      </w:pPr>
      <w:r w:rsidRPr="007D5795">
        <w:rPr>
          <w:rStyle w:val="TextoNormalNegritaCaracter"/>
        </w:rPr>
        <w:t>Artículo 18.2.4.</w:t>
      </w:r>
      <w:r w:rsidRPr="007D5795">
        <w:rPr>
          <w:rStyle w:val="TextoNormalCaracter"/>
        </w:rPr>
        <w:t>-</w:t>
      </w:r>
      <w:r>
        <w:t xml:space="preserve"> Sentencia </w:t>
      </w:r>
      <w:hyperlink w:anchor="SENTENCIA_2024_106" w:history="1">
        <w:r w:rsidRPr="007D5795">
          <w:rPr>
            <w:rStyle w:val="TextoNormalCaracter"/>
          </w:rPr>
          <w:t>106/2024</w:t>
        </w:r>
      </w:hyperlink>
      <w:r>
        <w:t>, ff. 1, 3, 4.</w:t>
      </w:r>
    </w:p>
    <w:p w14:paraId="547CFB7A" w14:textId="59C85295" w:rsidR="007D5795" w:rsidRDefault="007D5795" w:rsidP="007D5795">
      <w:pPr>
        <w:pStyle w:val="SangriaFrancesaArticulo"/>
      </w:pPr>
    </w:p>
    <w:p w14:paraId="5A011E1F" w14:textId="77777777" w:rsidR="007D5795" w:rsidRDefault="007D5795" w:rsidP="007D5795">
      <w:pPr>
        <w:pStyle w:val="TextoNormalNegritaCursivandice"/>
        <w:keepNext/>
      </w:pPr>
      <w:r>
        <w:t>Ley 39/2015, de 1 de octubre, del procedimiento administrativo común de las administraciones públicas</w:t>
      </w:r>
    </w:p>
    <w:p w14:paraId="11F7B217" w14:textId="658B1BB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xml:space="preserve">, VP I, VP III; </w:t>
      </w:r>
      <w:hyperlink w:anchor="SENTENCIA_2024_102" w:history="1">
        <w:r w:rsidRPr="007D5795">
          <w:rPr>
            <w:rStyle w:val="TextoNormalCaracter"/>
          </w:rPr>
          <w:t>102/2024</w:t>
        </w:r>
      </w:hyperlink>
      <w:r>
        <w:t xml:space="preserve">, VP I, VP III; </w:t>
      </w:r>
      <w:hyperlink w:anchor="SENTENCIA_2024_103" w:history="1">
        <w:r w:rsidRPr="007D5795">
          <w:rPr>
            <w:rStyle w:val="TextoNormalCaracter"/>
          </w:rPr>
          <w:t>103/2024</w:t>
        </w:r>
      </w:hyperlink>
      <w:r>
        <w:t>, VP I, VP III.</w:t>
      </w:r>
    </w:p>
    <w:p w14:paraId="06334286" w14:textId="3EDC19F0" w:rsidR="007D5795" w:rsidRDefault="007D5795" w:rsidP="007D5795">
      <w:pPr>
        <w:pStyle w:val="SangriaFrancesaArticulo"/>
      </w:pPr>
      <w:r w:rsidRPr="007D5795">
        <w:rPr>
          <w:rStyle w:val="TextoNormalNegritaCaracter"/>
        </w:rPr>
        <w:t>Artículo 23.2.</w:t>
      </w:r>
      <w:r w:rsidRPr="007D5795">
        <w:rPr>
          <w:rStyle w:val="TextoNormalCaracter"/>
        </w:rPr>
        <w:t>-</w:t>
      </w:r>
      <w:r>
        <w:t xml:space="preserve"> Sentencia </w:t>
      </w:r>
      <w:hyperlink w:anchor="SENTENCIA_2024_152" w:history="1">
        <w:r w:rsidRPr="007D5795">
          <w:rPr>
            <w:rStyle w:val="TextoNormalCaracter"/>
          </w:rPr>
          <w:t>152/2024</w:t>
        </w:r>
      </w:hyperlink>
      <w:r>
        <w:t>, f. 5.</w:t>
      </w:r>
    </w:p>
    <w:p w14:paraId="38601B1F" w14:textId="398DDCF2" w:rsidR="007D5795" w:rsidRDefault="007D5795" w:rsidP="007D5795">
      <w:pPr>
        <w:pStyle w:val="SangriaFrancesaArticulo"/>
      </w:pPr>
      <w:r w:rsidRPr="007D5795">
        <w:rPr>
          <w:rStyle w:val="TextoNormalNegritaCaracter"/>
        </w:rPr>
        <w:t>Artículo 48.1.</w:t>
      </w:r>
      <w:r w:rsidRPr="007D5795">
        <w:rPr>
          <w:rStyle w:val="TextoNormalCaracter"/>
        </w:rPr>
        <w:t>-</w:t>
      </w:r>
      <w:r>
        <w:t xml:space="preserve"> Sentencia </w:t>
      </w:r>
      <w:hyperlink w:anchor="SENTENCIA_2024_142" w:history="1">
        <w:r w:rsidRPr="007D5795">
          <w:rPr>
            <w:rStyle w:val="TextoNormalCaracter"/>
          </w:rPr>
          <w:t>142/2024</w:t>
        </w:r>
      </w:hyperlink>
      <w:r>
        <w:t>, f. 7.</w:t>
      </w:r>
    </w:p>
    <w:p w14:paraId="18A5F864" w14:textId="49D38603" w:rsidR="007D5795" w:rsidRDefault="007D5795" w:rsidP="007D5795">
      <w:pPr>
        <w:pStyle w:val="SangriaFrancesaArticulo"/>
      </w:pPr>
      <w:r w:rsidRPr="007D5795">
        <w:rPr>
          <w:rStyle w:val="TextoNormalNegritaCaracter"/>
        </w:rPr>
        <w:t>Artículo 67.1.</w:t>
      </w:r>
      <w:r w:rsidRPr="007D5795">
        <w:rPr>
          <w:rStyle w:val="TextoNormalCaracter"/>
        </w:rPr>
        <w:t>-</w:t>
      </w:r>
      <w:r>
        <w:t xml:space="preserve"> Sentencia </w:t>
      </w:r>
      <w:hyperlink w:anchor="SENTENCIA_2024_118" w:history="1">
        <w:r w:rsidRPr="007D5795">
          <w:rPr>
            <w:rStyle w:val="TextoNormalCaracter"/>
          </w:rPr>
          <w:t>118/2024</w:t>
        </w:r>
      </w:hyperlink>
      <w:r>
        <w:t>, f. 5.</w:t>
      </w:r>
    </w:p>
    <w:p w14:paraId="69349236" w14:textId="3A492C09" w:rsidR="007D5795" w:rsidRDefault="007D5795" w:rsidP="007D5795">
      <w:pPr>
        <w:pStyle w:val="SangriaFrancesaArticulo"/>
      </w:pPr>
      <w:r w:rsidRPr="007D5795">
        <w:rPr>
          <w:rStyle w:val="TextoNormalNegritaCaracter"/>
        </w:rPr>
        <w:t>Artículo 112.</w:t>
      </w:r>
      <w:r w:rsidRPr="007D5795">
        <w:rPr>
          <w:rStyle w:val="TextoNormalCaracter"/>
        </w:rPr>
        <w:t>-</w:t>
      </w:r>
      <w:r>
        <w:t xml:space="preserve"> Sentencia </w:t>
      </w:r>
      <w:hyperlink w:anchor="SENTENCIA_2024_99" w:history="1">
        <w:r w:rsidRPr="007D5795">
          <w:rPr>
            <w:rStyle w:val="TextoNormalCaracter"/>
          </w:rPr>
          <w:t>99/2024</w:t>
        </w:r>
      </w:hyperlink>
      <w:r>
        <w:t>, VP III.</w:t>
      </w:r>
    </w:p>
    <w:p w14:paraId="0880A1D3" w14:textId="1A56D3F0" w:rsidR="007D5795" w:rsidRDefault="007D5795" w:rsidP="007D5795">
      <w:pPr>
        <w:pStyle w:val="SangriaFrancesaArticulo"/>
      </w:pPr>
      <w:r w:rsidRPr="007D5795">
        <w:rPr>
          <w:rStyle w:val="TextoNormalNegritaCaracter"/>
        </w:rPr>
        <w:t>Artículos 127 y siguientes.</w:t>
      </w:r>
      <w:r w:rsidRPr="007D5795">
        <w:rPr>
          <w:rStyle w:val="TextoNormalCaracter"/>
        </w:rPr>
        <w:t>-</w:t>
      </w:r>
      <w:r>
        <w:t xml:space="preserve"> Sentencias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xml:space="preserve">, VP I, VP III; </w:t>
      </w:r>
      <w:hyperlink w:anchor="SENTENCIA_2024_102" w:history="1">
        <w:r w:rsidRPr="007D5795">
          <w:rPr>
            <w:rStyle w:val="TextoNormalCaracter"/>
          </w:rPr>
          <w:t>102/2024</w:t>
        </w:r>
      </w:hyperlink>
      <w:r>
        <w:t xml:space="preserve">, VP I; </w:t>
      </w:r>
      <w:hyperlink w:anchor="SENTENCIA_2024_103" w:history="1">
        <w:r w:rsidRPr="007D5795">
          <w:rPr>
            <w:rStyle w:val="TextoNormalCaracter"/>
          </w:rPr>
          <w:t>103/2024</w:t>
        </w:r>
      </w:hyperlink>
      <w:r>
        <w:t>, VP I.</w:t>
      </w:r>
    </w:p>
    <w:p w14:paraId="00DAEE78" w14:textId="453A800F" w:rsidR="007D5795" w:rsidRDefault="007D5795" w:rsidP="007D5795">
      <w:pPr>
        <w:pStyle w:val="SangriaFrancesaArticulo"/>
      </w:pPr>
      <w:r w:rsidRPr="007D5795">
        <w:rPr>
          <w:rStyle w:val="TextoNormalNegritaCaracter"/>
        </w:rPr>
        <w:t>Artículo 129.</w:t>
      </w:r>
      <w:r w:rsidRPr="007D5795">
        <w:rPr>
          <w:rStyle w:val="TextoNormalCaracter"/>
        </w:rPr>
        <w:t>-</w:t>
      </w:r>
      <w:r>
        <w:t xml:space="preserve"> Sentencias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xml:space="preserve">, VP I, VP III; </w:t>
      </w:r>
      <w:hyperlink w:anchor="SENTENCIA_2024_102" w:history="1">
        <w:r w:rsidRPr="007D5795">
          <w:rPr>
            <w:rStyle w:val="TextoNormalCaracter"/>
          </w:rPr>
          <w:t>102/2024</w:t>
        </w:r>
      </w:hyperlink>
      <w:r>
        <w:t>, VP I.</w:t>
      </w:r>
    </w:p>
    <w:p w14:paraId="6A9831B4" w14:textId="6BB7AFAA" w:rsidR="007D5795" w:rsidRDefault="007D5795" w:rsidP="007D5795">
      <w:pPr>
        <w:pStyle w:val="SangriaFrancesaArticulo"/>
      </w:pPr>
    </w:p>
    <w:p w14:paraId="253A6B7D" w14:textId="77777777" w:rsidR="007D5795" w:rsidRDefault="007D5795" w:rsidP="007D5795">
      <w:pPr>
        <w:pStyle w:val="TextoNormalNegritaCursivandice"/>
        <w:keepNext/>
      </w:pPr>
      <w:r>
        <w:t>Ley 40/2015, de 1 de octubre, de régimen jurídico del sector público</w:t>
      </w:r>
    </w:p>
    <w:p w14:paraId="0ADF9D26" w14:textId="75AE8207" w:rsidR="007D5795" w:rsidRDefault="007D5795" w:rsidP="007D5795">
      <w:pPr>
        <w:pStyle w:val="SangriaFrancesaArticulo"/>
      </w:pPr>
      <w:r w:rsidRPr="007D5795">
        <w:rPr>
          <w:rStyle w:val="TextoNormalNegritaCaracter"/>
        </w:rPr>
        <w:t>Artículo 23.2.</w:t>
      </w:r>
      <w:r w:rsidRPr="007D5795">
        <w:rPr>
          <w:rStyle w:val="TextoNormalCaracter"/>
        </w:rPr>
        <w:t>-</w:t>
      </w:r>
      <w:r>
        <w:t xml:space="preserve"> Sentencia </w:t>
      </w:r>
      <w:hyperlink w:anchor="SENTENCIA_2024_152" w:history="1">
        <w:r w:rsidRPr="007D5795">
          <w:rPr>
            <w:rStyle w:val="TextoNormalCaracter"/>
          </w:rPr>
          <w:t>152/2024</w:t>
        </w:r>
      </w:hyperlink>
      <w:r>
        <w:t>, f. 5.</w:t>
      </w:r>
    </w:p>
    <w:p w14:paraId="73651362" w14:textId="6B0BA2DB" w:rsidR="007D5795" w:rsidRDefault="007D5795" w:rsidP="007D5795">
      <w:pPr>
        <w:pStyle w:val="SangriaFrancesaArticulo"/>
      </w:pPr>
      <w:r w:rsidRPr="007D5795">
        <w:rPr>
          <w:rStyle w:val="TextoNormalNegritaCaracter"/>
        </w:rPr>
        <w:t>Artículo 29.3.</w:t>
      </w:r>
      <w:r w:rsidRPr="007D5795">
        <w:rPr>
          <w:rStyle w:val="TextoNormalCaracter"/>
        </w:rPr>
        <w:t>-</w:t>
      </w:r>
      <w:r>
        <w:t xml:space="preserve"> Auto </w:t>
      </w:r>
      <w:hyperlink w:anchor="AUTO_2024_81" w:history="1">
        <w:r w:rsidRPr="007D5795">
          <w:rPr>
            <w:rStyle w:val="TextoNormalCaracter"/>
          </w:rPr>
          <w:t>81/2024</w:t>
        </w:r>
      </w:hyperlink>
      <w:r>
        <w:t>, f. 2.</w:t>
      </w:r>
    </w:p>
    <w:p w14:paraId="715EE87B" w14:textId="7CBF8C08" w:rsidR="007D5795" w:rsidRDefault="007D5795" w:rsidP="007D5795">
      <w:pPr>
        <w:pStyle w:val="SangriaFrancesaArticulo"/>
      </w:pPr>
      <w:r w:rsidRPr="007D5795">
        <w:rPr>
          <w:rStyle w:val="TextoNormalNegritaCaracter"/>
        </w:rPr>
        <w:t>Disposición final decimocuarta.</w:t>
      </w:r>
      <w:r w:rsidRPr="007D5795">
        <w:rPr>
          <w:rStyle w:val="TextoNormalCaracter"/>
        </w:rPr>
        <w:t>-</w:t>
      </w:r>
      <w:r>
        <w:t xml:space="preserve"> Auto </w:t>
      </w:r>
      <w:hyperlink w:anchor="AUTO_2024_81" w:history="1">
        <w:r w:rsidRPr="007D5795">
          <w:rPr>
            <w:rStyle w:val="TextoNormalCaracter"/>
          </w:rPr>
          <w:t>81/2024</w:t>
        </w:r>
      </w:hyperlink>
      <w:r>
        <w:t>, f. 2.</w:t>
      </w:r>
    </w:p>
    <w:p w14:paraId="47B0F3AD" w14:textId="6A80FC60" w:rsidR="007D5795" w:rsidRDefault="007D5795" w:rsidP="007D5795">
      <w:pPr>
        <w:pStyle w:val="SangriaFrancesaArticulo"/>
      </w:pPr>
    </w:p>
    <w:p w14:paraId="1E726564" w14:textId="77777777" w:rsidR="007D5795" w:rsidRDefault="007D5795" w:rsidP="007D5795">
      <w:pPr>
        <w:pStyle w:val="TextoNormalNegritaCursivandice"/>
        <w:keepNext/>
      </w:pPr>
      <w:r>
        <w:t>Ley 41/2015, de 5 de octubre, de modificación de la Ley de enjuiciamiento criminal para la agilización de la justicia penal y el fortalecimiento de las garantías procesales</w:t>
      </w:r>
    </w:p>
    <w:p w14:paraId="32BDD960" w14:textId="1D259AEF" w:rsidR="007D5795" w:rsidRDefault="007D5795" w:rsidP="007D5795">
      <w:pPr>
        <w:pStyle w:val="SangriaFrancesaArticulo"/>
      </w:pPr>
      <w:r w:rsidRPr="007D5795">
        <w:rPr>
          <w:rStyle w:val="TextoNormalNegritaCaracter"/>
        </w:rPr>
        <w:t>Disposición transitoria única, apartado 1.</w:t>
      </w:r>
      <w:r w:rsidRPr="007D5795">
        <w:rPr>
          <w:rStyle w:val="TextoNormalCaracter"/>
        </w:rPr>
        <w:t>-</w:t>
      </w:r>
      <w:r>
        <w:t xml:space="preserve"> Sentencias </w:t>
      </w:r>
      <w:hyperlink w:anchor="SENTENCIA_2024_108" w:history="1">
        <w:r w:rsidRPr="007D5795">
          <w:rPr>
            <w:rStyle w:val="TextoNormalCaracter"/>
          </w:rPr>
          <w:t>108/2024</w:t>
        </w:r>
      </w:hyperlink>
      <w:r>
        <w:t xml:space="preserve">, f. 2; </w:t>
      </w:r>
      <w:hyperlink w:anchor="SENTENCIA_2024_133" w:history="1">
        <w:r w:rsidRPr="007D5795">
          <w:rPr>
            <w:rStyle w:val="TextoNormalCaracter"/>
          </w:rPr>
          <w:t>133/2024</w:t>
        </w:r>
      </w:hyperlink>
      <w:r>
        <w:t xml:space="preserve">, f. 3; </w:t>
      </w:r>
      <w:hyperlink w:anchor="SENTENCIA_2024_134" w:history="1">
        <w:r w:rsidRPr="007D5795">
          <w:rPr>
            <w:rStyle w:val="TextoNormalCaracter"/>
          </w:rPr>
          <w:t>134/2024</w:t>
        </w:r>
      </w:hyperlink>
      <w:r>
        <w:t>, f. 3.</w:t>
      </w:r>
    </w:p>
    <w:p w14:paraId="1C1C92BD" w14:textId="3A4BAAFE" w:rsidR="007D5795" w:rsidRDefault="007D5795" w:rsidP="007D5795">
      <w:pPr>
        <w:pStyle w:val="SangriaFrancesaArticulo"/>
      </w:pPr>
      <w:r w:rsidRPr="007D5795">
        <w:rPr>
          <w:rStyle w:val="TextoNormalNegritaCaracter"/>
        </w:rPr>
        <w:t>Disposición final cuarta.</w:t>
      </w:r>
      <w:r w:rsidRPr="007D5795">
        <w:rPr>
          <w:rStyle w:val="TextoNormalCaracter"/>
        </w:rPr>
        <w:t>-</w:t>
      </w:r>
      <w:r>
        <w:t xml:space="preserve"> Sentencias </w:t>
      </w:r>
      <w:hyperlink w:anchor="SENTENCIA_2024_108" w:history="1">
        <w:r w:rsidRPr="007D5795">
          <w:rPr>
            <w:rStyle w:val="TextoNormalCaracter"/>
          </w:rPr>
          <w:t>108/2024</w:t>
        </w:r>
      </w:hyperlink>
      <w:r>
        <w:t xml:space="preserve">, f. 2; </w:t>
      </w:r>
      <w:hyperlink w:anchor="SENTENCIA_2024_133" w:history="1">
        <w:r w:rsidRPr="007D5795">
          <w:rPr>
            <w:rStyle w:val="TextoNormalCaracter"/>
          </w:rPr>
          <w:t>133/2024</w:t>
        </w:r>
      </w:hyperlink>
      <w:r>
        <w:t xml:space="preserve">, f. 3; </w:t>
      </w:r>
      <w:hyperlink w:anchor="SENTENCIA_2024_134" w:history="1">
        <w:r w:rsidRPr="007D5795">
          <w:rPr>
            <w:rStyle w:val="TextoNormalCaracter"/>
          </w:rPr>
          <w:t>134/2024</w:t>
        </w:r>
      </w:hyperlink>
      <w:r>
        <w:t>, f. 3.</w:t>
      </w:r>
    </w:p>
    <w:p w14:paraId="3C48A578" w14:textId="4A00CF46" w:rsidR="007D5795" w:rsidRDefault="007D5795" w:rsidP="007D5795">
      <w:pPr>
        <w:pStyle w:val="SangriaFrancesaArticulo"/>
      </w:pPr>
    </w:p>
    <w:p w14:paraId="74C9D1BF" w14:textId="77777777" w:rsidR="007D5795" w:rsidRDefault="007D5795" w:rsidP="007D5795">
      <w:pPr>
        <w:pStyle w:val="TextoNormalNegritaCursivandice"/>
        <w:keepNext/>
      </w:pPr>
      <w:r>
        <w:t>Ley 42/2015, de 5 de octubre, de reforma de la Ley 1/2000, de 7 de enero, de enjuiciamiento civil</w:t>
      </w:r>
    </w:p>
    <w:p w14:paraId="056523F2" w14:textId="7491910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4" w:history="1">
        <w:r w:rsidRPr="007D5795">
          <w:rPr>
            <w:rStyle w:val="TextoNormalCaracter"/>
          </w:rPr>
          <w:t>104/2024</w:t>
        </w:r>
      </w:hyperlink>
      <w:r>
        <w:t>, f. 2.</w:t>
      </w:r>
    </w:p>
    <w:p w14:paraId="447F328E" w14:textId="5EC34CC6" w:rsidR="007D5795" w:rsidRDefault="007D5795" w:rsidP="007D5795">
      <w:pPr>
        <w:pStyle w:val="SangriaFrancesaArticulo"/>
      </w:pPr>
    </w:p>
    <w:p w14:paraId="0DE5D919" w14:textId="77777777" w:rsidR="007D5795" w:rsidRDefault="007D5795" w:rsidP="007D5795">
      <w:pPr>
        <w:pStyle w:val="TextoNormalNegritaCursivandice"/>
        <w:keepNext/>
      </w:pPr>
      <w:r>
        <w:t>Ley 6/2018, de 3 de julio, de presupuestos generales del Estado para el año 2018</w:t>
      </w:r>
    </w:p>
    <w:p w14:paraId="57A2D21C" w14:textId="307BDE1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67" w:history="1">
        <w:r w:rsidRPr="007D5795">
          <w:rPr>
            <w:rStyle w:val="TextoNormalCaracter"/>
          </w:rPr>
          <w:t>67/2024</w:t>
        </w:r>
      </w:hyperlink>
      <w:r>
        <w:t>, f. único.</w:t>
      </w:r>
    </w:p>
    <w:p w14:paraId="2850881D" w14:textId="352CF373" w:rsidR="007D5795" w:rsidRDefault="007D5795" w:rsidP="007D5795">
      <w:pPr>
        <w:pStyle w:val="SangriaFrancesaArticulo"/>
      </w:pPr>
      <w:r w:rsidRPr="007D5795">
        <w:rPr>
          <w:rStyle w:val="TextoNormalNegritaCaracter"/>
        </w:rPr>
        <w:t>Disposición final trigésima ostava, apartado 1.</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24130ADE" w14:textId="0994B0D5" w:rsidR="007D5795" w:rsidRDefault="007D5795" w:rsidP="007D5795">
      <w:pPr>
        <w:pStyle w:val="SangriaFrancesaArticulo"/>
      </w:pPr>
    </w:p>
    <w:p w14:paraId="63BA3B65" w14:textId="77777777" w:rsidR="007D5795" w:rsidRDefault="007D5795" w:rsidP="007D5795">
      <w:pPr>
        <w:pStyle w:val="TextoNormalNegritaCursivandice"/>
        <w:keepNext/>
      </w:pPr>
      <w:r>
        <w:t>Ley 2/2021, de 29 de marzo, de medidas urgentes de prevención, contención y coordinación para hacer frente a la crisis sanitaria ocasionada por el COVID-19</w:t>
      </w:r>
    </w:p>
    <w:p w14:paraId="39DE9921" w14:textId="468C83FD" w:rsidR="007D5795" w:rsidRDefault="007D5795" w:rsidP="007D5795">
      <w:pPr>
        <w:pStyle w:val="SangriaFrancesaArticulo"/>
      </w:pPr>
      <w:r w:rsidRPr="007D5795">
        <w:rPr>
          <w:rStyle w:val="TextoNormalNegritaCaracter"/>
        </w:rPr>
        <w:t>Artículo 2.3.</w:t>
      </w:r>
      <w:r w:rsidRPr="007D5795">
        <w:rPr>
          <w:rStyle w:val="TextoNormalCaracter"/>
        </w:rPr>
        <w:t>-</w:t>
      </w:r>
      <w:r>
        <w:t xml:space="preserve"> Sentencia </w:t>
      </w:r>
      <w:hyperlink w:anchor="SENTENCIA_2024_114" w:history="1">
        <w:r w:rsidRPr="007D5795">
          <w:rPr>
            <w:rStyle w:val="TextoNormalCaracter"/>
          </w:rPr>
          <w:t>114/2024</w:t>
        </w:r>
      </w:hyperlink>
      <w:r>
        <w:t>, f. 3.</w:t>
      </w:r>
    </w:p>
    <w:p w14:paraId="6BB48F7D" w14:textId="08F1A89F" w:rsidR="007D5795" w:rsidRDefault="007D5795" w:rsidP="007D5795">
      <w:pPr>
        <w:pStyle w:val="SangriaFrancesaArticulo"/>
      </w:pPr>
    </w:p>
    <w:p w14:paraId="047238F3" w14:textId="77777777" w:rsidR="007D5795" w:rsidRDefault="007D5795" w:rsidP="007D5795">
      <w:pPr>
        <w:pStyle w:val="TextoNormalNegritaCursivandice"/>
        <w:keepNext/>
      </w:pPr>
      <w:r>
        <w:t>Ley 7/2021, de 20 de mayo, de cambio climático y transición energética</w:t>
      </w:r>
    </w:p>
    <w:p w14:paraId="3187CD07" w14:textId="09F3709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19" w:history="1">
        <w:r w:rsidRPr="007D5795">
          <w:rPr>
            <w:rStyle w:val="TextoNormalCaracter"/>
          </w:rPr>
          <w:t>119/2024</w:t>
        </w:r>
      </w:hyperlink>
      <w:r>
        <w:t xml:space="preserve">, f. 3; </w:t>
      </w:r>
      <w:hyperlink w:anchor="SENTENCIA_2024_142" w:history="1">
        <w:r w:rsidRPr="007D5795">
          <w:rPr>
            <w:rStyle w:val="TextoNormalCaracter"/>
          </w:rPr>
          <w:t>142/2024</w:t>
        </w:r>
      </w:hyperlink>
      <w:r>
        <w:t>, f. 6, VP.</w:t>
      </w:r>
    </w:p>
    <w:p w14:paraId="1187E24D" w14:textId="0165A526" w:rsidR="007D5795" w:rsidRDefault="007D5795" w:rsidP="007D5795">
      <w:pPr>
        <w:pStyle w:val="SangriaFrancesaArticulo"/>
      </w:pPr>
      <w:r w:rsidRPr="007D5795">
        <w:rPr>
          <w:rStyle w:val="TextoNormalNegritaCaracter"/>
        </w:rPr>
        <w:t>Artículo 20.</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7A2ABA90" w14:textId="2B3BC9DB" w:rsidR="007D5795" w:rsidRDefault="007D5795" w:rsidP="007D5795">
      <w:pPr>
        <w:pStyle w:val="SangriaFrancesaArticulo"/>
      </w:pPr>
      <w:r w:rsidRPr="007D5795">
        <w:rPr>
          <w:rStyle w:val="TextoNormalNegritaCaracter"/>
        </w:rPr>
        <w:t>Artículo 20.3.</w:t>
      </w:r>
      <w:r w:rsidRPr="007D5795">
        <w:rPr>
          <w:rStyle w:val="TextoNormalCaracter"/>
        </w:rPr>
        <w:t>-</w:t>
      </w:r>
      <w:r>
        <w:t xml:space="preserve"> Sentencia </w:t>
      </w:r>
      <w:hyperlink w:anchor="SENTENCIA_2024_119" w:history="1">
        <w:r w:rsidRPr="007D5795">
          <w:rPr>
            <w:rStyle w:val="TextoNormalCaracter"/>
          </w:rPr>
          <w:t>119/2024</w:t>
        </w:r>
      </w:hyperlink>
      <w:r>
        <w:t>, ff. 3, 5.</w:t>
      </w:r>
    </w:p>
    <w:p w14:paraId="02DC047E" w14:textId="10FF55DB" w:rsidR="007D5795" w:rsidRDefault="007D5795" w:rsidP="007D5795">
      <w:pPr>
        <w:pStyle w:val="SangriaFrancesaArticulo"/>
      </w:pPr>
      <w:r w:rsidRPr="007D5795">
        <w:rPr>
          <w:rStyle w:val="TextoNormalNegritaCaracter"/>
        </w:rPr>
        <w:t>Artículo 20.4.</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4ECCC654" w14:textId="20E16B3F" w:rsidR="007D5795" w:rsidRDefault="007D5795" w:rsidP="007D5795">
      <w:pPr>
        <w:pStyle w:val="SangriaFrancesaArticulo"/>
      </w:pPr>
    </w:p>
    <w:p w14:paraId="0E2F8C5A" w14:textId="77777777" w:rsidR="007D5795" w:rsidRDefault="007D5795" w:rsidP="007D5795">
      <w:pPr>
        <w:pStyle w:val="TextoNormalNegritaCursivandice"/>
        <w:keepNext/>
      </w:pPr>
      <w:r>
        <w:t>Ley 8/2021, de 2 de junio, por la que se reforma la legislación civil y procesal para el apoyo a las personas con discapacidad en el ejercicio de su capacidad jurídica</w:t>
      </w:r>
    </w:p>
    <w:p w14:paraId="48386F35" w14:textId="49024C3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5" w:history="1">
        <w:r w:rsidRPr="007D5795">
          <w:rPr>
            <w:rStyle w:val="TextoNormalCaracter"/>
          </w:rPr>
          <w:t>115/2024</w:t>
        </w:r>
      </w:hyperlink>
      <w:r>
        <w:t>, f. 3, VP II.</w:t>
      </w:r>
    </w:p>
    <w:p w14:paraId="0B6FE2BE" w14:textId="5E5A45E6" w:rsidR="007D5795" w:rsidRDefault="007D5795" w:rsidP="007D5795">
      <w:pPr>
        <w:pStyle w:val="SangriaFrancesaArticulo"/>
      </w:pPr>
    </w:p>
    <w:p w14:paraId="1D5A72A1" w14:textId="77777777" w:rsidR="007D5795" w:rsidRDefault="007D5795" w:rsidP="007D5795">
      <w:pPr>
        <w:pStyle w:val="TextoNormalNegritaCursivandice"/>
        <w:keepNext/>
      </w:pPr>
      <w:r>
        <w:t>Ley 20/2021, de 28 de diciembre, de medidas urgentes para la reducción de la temporalidad en el empleo público</w:t>
      </w:r>
    </w:p>
    <w:p w14:paraId="1D3E62F0" w14:textId="23BFCA2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115" w:history="1">
        <w:r w:rsidRPr="007D5795">
          <w:rPr>
            <w:rStyle w:val="TextoNormalCaracter"/>
          </w:rPr>
          <w:t>115/2024</w:t>
        </w:r>
      </w:hyperlink>
      <w:r>
        <w:t>, f. único.</w:t>
      </w:r>
    </w:p>
    <w:p w14:paraId="22E91F7B" w14:textId="18565C43" w:rsidR="007D5795" w:rsidRDefault="007D5795" w:rsidP="007D5795">
      <w:pPr>
        <w:pStyle w:val="SangriaFrancesaArticulo"/>
      </w:pPr>
      <w:r w:rsidRPr="007D5795">
        <w:rPr>
          <w:rStyle w:val="TextoNormalNegritaCaracter"/>
        </w:rPr>
        <w:t>Disposción adicional octava.</w:t>
      </w:r>
      <w:r w:rsidRPr="007D5795">
        <w:rPr>
          <w:rStyle w:val="TextoNormalCaracter"/>
        </w:rPr>
        <w:t>-</w:t>
      </w:r>
      <w:r>
        <w:t xml:space="preserve"> Auto </w:t>
      </w:r>
      <w:hyperlink w:anchor="AUTO_2024_115" w:history="1">
        <w:r w:rsidRPr="007D5795">
          <w:rPr>
            <w:rStyle w:val="TextoNormalCaracter"/>
          </w:rPr>
          <w:t>115/2024</w:t>
        </w:r>
      </w:hyperlink>
      <w:r>
        <w:t>, f. único.</w:t>
      </w:r>
    </w:p>
    <w:p w14:paraId="3FBAED13" w14:textId="0125D1AA" w:rsidR="007D5795" w:rsidRDefault="007D5795" w:rsidP="007D5795">
      <w:pPr>
        <w:pStyle w:val="SangriaFrancesaArticulo"/>
      </w:pPr>
    </w:p>
    <w:p w14:paraId="6F46BDED" w14:textId="77777777" w:rsidR="007D5795" w:rsidRDefault="007D5795" w:rsidP="007D5795">
      <w:pPr>
        <w:pStyle w:val="TextoNormalNegritaCursivandice"/>
        <w:keepNext/>
      </w:pPr>
      <w:r>
        <w:t>Ley 22/2021, de 28 de diciembre, de presupuestos generales del Estado para el año 2022</w:t>
      </w:r>
    </w:p>
    <w:p w14:paraId="3CFEA7D9" w14:textId="70FBE80D" w:rsidR="007D5795" w:rsidRDefault="007D5795" w:rsidP="007D5795">
      <w:pPr>
        <w:pStyle w:val="SangriaFrancesaArticulo"/>
      </w:pPr>
      <w:r w:rsidRPr="007D5795">
        <w:rPr>
          <w:rStyle w:val="TextoNormalNegritaCaracter"/>
        </w:rPr>
        <w:t>Disposición final primera.</w:t>
      </w:r>
      <w:r w:rsidRPr="007D5795">
        <w:rPr>
          <w:rStyle w:val="TextoNormalCaracter"/>
        </w:rPr>
        <w:t>-</w:t>
      </w:r>
      <w:r>
        <w:t xml:space="preserve"> Auto </w:t>
      </w:r>
      <w:hyperlink w:anchor="AUTO_2024_115" w:history="1">
        <w:r w:rsidRPr="007D5795">
          <w:rPr>
            <w:rStyle w:val="TextoNormalCaracter"/>
          </w:rPr>
          <w:t>115/2024</w:t>
        </w:r>
      </w:hyperlink>
      <w:r>
        <w:t>, f. único.</w:t>
      </w:r>
    </w:p>
    <w:p w14:paraId="482A8E53" w14:textId="23A2F0DA" w:rsidR="007D5795" w:rsidRDefault="007D5795" w:rsidP="007D5795">
      <w:pPr>
        <w:pStyle w:val="SangriaFrancesaArticulo"/>
      </w:pPr>
    </w:p>
    <w:p w14:paraId="7035BE06" w14:textId="77777777" w:rsidR="007D5795" w:rsidRDefault="007D5795" w:rsidP="007D5795">
      <w:pPr>
        <w:pStyle w:val="TextoNormalNegritaCursivandice"/>
        <w:keepNext/>
      </w:pPr>
      <w:r>
        <w:t>Ley 15/2022, de 12 de julio, integral para la igualdad de trato y la no discriminación</w:t>
      </w:r>
    </w:p>
    <w:p w14:paraId="343F6232" w14:textId="704439EA"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5" w:history="1">
        <w:r w:rsidRPr="007D5795">
          <w:rPr>
            <w:rStyle w:val="TextoNormalCaracter"/>
          </w:rPr>
          <w:t>145/2024</w:t>
        </w:r>
      </w:hyperlink>
      <w:r>
        <w:t>, f. 4.</w:t>
      </w:r>
    </w:p>
    <w:p w14:paraId="03919E08" w14:textId="24075D30" w:rsidR="007D5795" w:rsidRDefault="007D5795" w:rsidP="007D5795">
      <w:pPr>
        <w:pStyle w:val="SangriaFrancesaArticulo"/>
      </w:pPr>
      <w:r w:rsidRPr="007D5795">
        <w:rPr>
          <w:rStyle w:val="TextoNormalNegritaCaracter"/>
        </w:rPr>
        <w:t>Artículo 4.3.</w:t>
      </w:r>
      <w:r w:rsidRPr="007D5795">
        <w:rPr>
          <w:rStyle w:val="TextoNormalCaracter"/>
        </w:rPr>
        <w:t>-</w:t>
      </w:r>
      <w:r>
        <w:t xml:space="preserve"> Sentencias </w:t>
      </w:r>
      <w:hyperlink w:anchor="SENTENCIA_2024_115" w:history="1">
        <w:r w:rsidRPr="007D5795">
          <w:rPr>
            <w:rStyle w:val="TextoNormalCaracter"/>
          </w:rPr>
          <w:t>115/2024</w:t>
        </w:r>
      </w:hyperlink>
      <w:r>
        <w:t xml:space="preserve">, f. 3; </w:t>
      </w:r>
      <w:hyperlink w:anchor="SENTENCIA_2024_132" w:history="1">
        <w:r w:rsidRPr="007D5795">
          <w:rPr>
            <w:rStyle w:val="TextoNormalCaracter"/>
          </w:rPr>
          <w:t>132/2024</w:t>
        </w:r>
      </w:hyperlink>
      <w:r>
        <w:t>, VP I.</w:t>
      </w:r>
    </w:p>
    <w:p w14:paraId="3CF50B2A" w14:textId="7E02466D" w:rsidR="007D5795" w:rsidRDefault="007D5795" w:rsidP="007D5795">
      <w:pPr>
        <w:pStyle w:val="SangriaFrancesaArticulo"/>
      </w:pPr>
      <w:r w:rsidRPr="007D5795">
        <w:rPr>
          <w:rStyle w:val="TextoNormalNegritaCaracter"/>
        </w:rPr>
        <w:t>Artículo 7.1.</w:t>
      </w:r>
      <w:r w:rsidRPr="007D5795">
        <w:rPr>
          <w:rStyle w:val="TextoNormalCaracter"/>
        </w:rPr>
        <w:t>-</w:t>
      </w:r>
      <w:r>
        <w:t xml:space="preserve"> Sentencia </w:t>
      </w:r>
      <w:hyperlink w:anchor="SENTENCIA_2024_115" w:history="1">
        <w:r w:rsidRPr="007D5795">
          <w:rPr>
            <w:rStyle w:val="TextoNormalCaracter"/>
          </w:rPr>
          <w:t>115/2024</w:t>
        </w:r>
      </w:hyperlink>
      <w:r>
        <w:t>, f. 3.</w:t>
      </w:r>
    </w:p>
    <w:p w14:paraId="04E8D6B2" w14:textId="73812854" w:rsidR="007D5795" w:rsidRDefault="007D5795" w:rsidP="007D5795">
      <w:pPr>
        <w:pStyle w:val="SangriaFrancesaArticulo"/>
      </w:pPr>
    </w:p>
    <w:p w14:paraId="3161BE11" w14:textId="77777777" w:rsidR="007D5795" w:rsidRDefault="007D5795" w:rsidP="007D5795">
      <w:pPr>
        <w:pStyle w:val="TextoNormalNegritaCursivandice"/>
        <w:keepNext/>
      </w:pPr>
      <w:r>
        <w:t>Ley 19/2022, de 30 de septiembre, para el reconocimiento de personalidad jurídica a la laguna del Mar Menor y su cuenca</w:t>
      </w:r>
    </w:p>
    <w:p w14:paraId="677A2692" w14:textId="2111973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ff. 1 a 7, VP.</w:t>
      </w:r>
    </w:p>
    <w:p w14:paraId="4F3C0C95" w14:textId="6F75C15C"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Sentencia </w:t>
      </w:r>
      <w:hyperlink w:anchor="SENTENCIA_2024_142" w:history="1">
        <w:r w:rsidRPr="007D5795">
          <w:rPr>
            <w:rStyle w:val="TextoNormalCaracter"/>
          </w:rPr>
          <w:t>142/2024</w:t>
        </w:r>
      </w:hyperlink>
      <w:r>
        <w:t>, ff. 1, 2, 5, VP.</w:t>
      </w:r>
    </w:p>
    <w:p w14:paraId="62CFF606" w14:textId="2C9FFC15" w:rsidR="007D5795" w:rsidRDefault="007D5795" w:rsidP="007D5795">
      <w:pPr>
        <w:pStyle w:val="SangriaFrancesaArticulo"/>
      </w:pPr>
      <w:r w:rsidRPr="007D5795">
        <w:rPr>
          <w:rStyle w:val="TextoNormalNegritaCaracter"/>
        </w:rPr>
        <w:t>Artículo 2.</w:t>
      </w:r>
      <w:r w:rsidRPr="007D5795">
        <w:rPr>
          <w:rStyle w:val="TextoNormalCaracter"/>
        </w:rPr>
        <w:t>-</w:t>
      </w:r>
      <w:r>
        <w:t xml:space="preserve"> Sentencia </w:t>
      </w:r>
      <w:hyperlink w:anchor="SENTENCIA_2024_142" w:history="1">
        <w:r w:rsidRPr="007D5795">
          <w:rPr>
            <w:rStyle w:val="TextoNormalCaracter"/>
          </w:rPr>
          <w:t>142/2024</w:t>
        </w:r>
      </w:hyperlink>
      <w:r>
        <w:t>, ff. 1, 2, 5, 6, VP.</w:t>
      </w:r>
    </w:p>
    <w:p w14:paraId="6BE4EE96" w14:textId="5F817121" w:rsidR="007D5795" w:rsidRDefault="007D5795" w:rsidP="007D5795">
      <w:pPr>
        <w:pStyle w:val="SangriaFrancesaArticulo"/>
      </w:pPr>
      <w:r w:rsidRPr="007D5795">
        <w:rPr>
          <w:rStyle w:val="TextoNormalNegritaCaracter"/>
        </w:rPr>
        <w:t>Artículo 2.1.</w:t>
      </w:r>
      <w:r w:rsidRPr="007D5795">
        <w:rPr>
          <w:rStyle w:val="TextoNormalCaracter"/>
        </w:rPr>
        <w:t>-</w:t>
      </w:r>
      <w:r>
        <w:t xml:space="preserve"> Sentencia </w:t>
      </w:r>
      <w:hyperlink w:anchor="SENTENCIA_2024_142" w:history="1">
        <w:r w:rsidRPr="007D5795">
          <w:rPr>
            <w:rStyle w:val="TextoNormalCaracter"/>
          </w:rPr>
          <w:t>142/2024</w:t>
        </w:r>
      </w:hyperlink>
      <w:r>
        <w:t>, VP.</w:t>
      </w:r>
    </w:p>
    <w:p w14:paraId="446A453C" w14:textId="1F1B487D" w:rsidR="007D5795" w:rsidRDefault="007D5795" w:rsidP="007D5795">
      <w:pPr>
        <w:pStyle w:val="SangriaFrancesaArticulo"/>
      </w:pPr>
      <w:r w:rsidRPr="007D5795">
        <w:rPr>
          <w:rStyle w:val="TextoNormalNegritaCaracter"/>
        </w:rPr>
        <w:t>Artículo 2.2.</w:t>
      </w:r>
      <w:r w:rsidRPr="007D5795">
        <w:rPr>
          <w:rStyle w:val="TextoNormalCaracter"/>
        </w:rPr>
        <w:t>-</w:t>
      </w:r>
      <w:r>
        <w:t xml:space="preserve"> Sentencia </w:t>
      </w:r>
      <w:hyperlink w:anchor="SENTENCIA_2024_142" w:history="1">
        <w:r w:rsidRPr="007D5795">
          <w:rPr>
            <w:rStyle w:val="TextoNormalCaracter"/>
          </w:rPr>
          <w:t>142/2024</w:t>
        </w:r>
      </w:hyperlink>
      <w:r>
        <w:t>, f. 2.</w:t>
      </w:r>
    </w:p>
    <w:p w14:paraId="26962332" w14:textId="1C05B925" w:rsidR="007D5795" w:rsidRDefault="007D5795" w:rsidP="007D5795">
      <w:pPr>
        <w:pStyle w:val="SangriaFrancesaArticulo"/>
      </w:pPr>
      <w:r w:rsidRPr="007D5795">
        <w:rPr>
          <w:rStyle w:val="TextoNormalNegritaCaracter"/>
        </w:rPr>
        <w:t>Artículo 2.2 a).</w:t>
      </w:r>
      <w:r w:rsidRPr="007D5795">
        <w:rPr>
          <w:rStyle w:val="TextoNormalCaracter"/>
        </w:rPr>
        <w:t>-</w:t>
      </w:r>
      <w:r>
        <w:t xml:space="preserve"> Sentencia </w:t>
      </w:r>
      <w:hyperlink w:anchor="SENTENCIA_2024_142" w:history="1">
        <w:r w:rsidRPr="007D5795">
          <w:rPr>
            <w:rStyle w:val="TextoNormalCaracter"/>
          </w:rPr>
          <w:t>142/2024</w:t>
        </w:r>
      </w:hyperlink>
      <w:r>
        <w:t>, VP.</w:t>
      </w:r>
    </w:p>
    <w:p w14:paraId="32B9CD7A" w14:textId="3106FBBB" w:rsidR="007D5795" w:rsidRDefault="007D5795" w:rsidP="007D5795">
      <w:pPr>
        <w:pStyle w:val="SangriaFrancesaArticulo"/>
      </w:pPr>
      <w:r w:rsidRPr="007D5795">
        <w:rPr>
          <w:rStyle w:val="TextoNormalNegritaCaracter"/>
        </w:rPr>
        <w:t>Artículo 2.2 b).</w:t>
      </w:r>
      <w:r w:rsidRPr="007D5795">
        <w:rPr>
          <w:rStyle w:val="TextoNormalCaracter"/>
        </w:rPr>
        <w:t>-</w:t>
      </w:r>
      <w:r>
        <w:t xml:space="preserve"> Sentencia </w:t>
      </w:r>
      <w:hyperlink w:anchor="SENTENCIA_2024_142" w:history="1">
        <w:r w:rsidRPr="007D5795">
          <w:rPr>
            <w:rStyle w:val="TextoNormalCaracter"/>
          </w:rPr>
          <w:t>142/2024</w:t>
        </w:r>
      </w:hyperlink>
      <w:r>
        <w:t>, VP.</w:t>
      </w:r>
    </w:p>
    <w:p w14:paraId="6C8039C7" w14:textId="1547C7EB" w:rsidR="007D5795" w:rsidRDefault="007D5795" w:rsidP="007D5795">
      <w:pPr>
        <w:pStyle w:val="SangriaFrancesaArticulo"/>
      </w:pPr>
      <w:r w:rsidRPr="007D5795">
        <w:rPr>
          <w:rStyle w:val="TextoNormalNegritaCaracter"/>
        </w:rPr>
        <w:t>Artículo 2.2 d).</w:t>
      </w:r>
      <w:r w:rsidRPr="007D5795">
        <w:rPr>
          <w:rStyle w:val="TextoNormalCaracter"/>
        </w:rPr>
        <w:t>-</w:t>
      </w:r>
      <w:r>
        <w:t xml:space="preserve"> Sentencia </w:t>
      </w:r>
      <w:hyperlink w:anchor="SENTENCIA_2024_142" w:history="1">
        <w:r w:rsidRPr="007D5795">
          <w:rPr>
            <w:rStyle w:val="TextoNormalCaracter"/>
          </w:rPr>
          <w:t>142/2024</w:t>
        </w:r>
      </w:hyperlink>
      <w:r>
        <w:t>, VP.</w:t>
      </w:r>
    </w:p>
    <w:p w14:paraId="40C939A6" w14:textId="1F73704B" w:rsidR="007D5795" w:rsidRDefault="007D5795" w:rsidP="007D5795">
      <w:pPr>
        <w:pStyle w:val="SangriaFrancesaArticulo"/>
      </w:pPr>
      <w:r w:rsidRPr="007D5795">
        <w:rPr>
          <w:rStyle w:val="TextoNormalNegritaCaracter"/>
        </w:rPr>
        <w:t>Artículo 3.</w:t>
      </w:r>
      <w:r w:rsidRPr="007D5795">
        <w:rPr>
          <w:rStyle w:val="TextoNormalCaracter"/>
        </w:rPr>
        <w:t>-</w:t>
      </w:r>
      <w:r>
        <w:t xml:space="preserve"> Sentencia </w:t>
      </w:r>
      <w:hyperlink w:anchor="SENTENCIA_2024_142" w:history="1">
        <w:r w:rsidRPr="007D5795">
          <w:rPr>
            <w:rStyle w:val="TextoNormalCaracter"/>
          </w:rPr>
          <w:t>142/2024</w:t>
        </w:r>
      </w:hyperlink>
      <w:r>
        <w:t>, ff. 1, 2, 5, VP.</w:t>
      </w:r>
    </w:p>
    <w:p w14:paraId="09F60AFB" w14:textId="1BF5BE16" w:rsidR="007D5795" w:rsidRDefault="007D5795" w:rsidP="007D5795">
      <w:pPr>
        <w:pStyle w:val="SangriaFrancesaArticulo"/>
      </w:pPr>
      <w:r w:rsidRPr="007D5795">
        <w:rPr>
          <w:rStyle w:val="TextoNormalNegritaCaracter"/>
        </w:rPr>
        <w:t>Artículo 4.</w:t>
      </w:r>
      <w:r w:rsidRPr="007D5795">
        <w:rPr>
          <w:rStyle w:val="TextoNormalCaracter"/>
        </w:rPr>
        <w:t>-</w:t>
      </w:r>
      <w:r>
        <w:t xml:space="preserve"> Sentencia </w:t>
      </w:r>
      <w:hyperlink w:anchor="SENTENCIA_2024_142" w:history="1">
        <w:r w:rsidRPr="007D5795">
          <w:rPr>
            <w:rStyle w:val="TextoNormalCaracter"/>
          </w:rPr>
          <w:t>142/2024</w:t>
        </w:r>
      </w:hyperlink>
      <w:r>
        <w:t>, ff. 1, 2, VP.</w:t>
      </w:r>
    </w:p>
    <w:p w14:paraId="4CFD82C2" w14:textId="66F7CF9C" w:rsidR="007D5795" w:rsidRDefault="007D5795" w:rsidP="007D5795">
      <w:pPr>
        <w:pStyle w:val="SangriaFrancesaArticulo"/>
      </w:pPr>
      <w:r w:rsidRPr="007D5795">
        <w:rPr>
          <w:rStyle w:val="TextoNormalNegritaCaracter"/>
        </w:rPr>
        <w:t>Artículo 5.</w:t>
      </w:r>
      <w:r w:rsidRPr="007D5795">
        <w:rPr>
          <w:rStyle w:val="TextoNormalCaracter"/>
        </w:rPr>
        <w:t>-</w:t>
      </w:r>
      <w:r>
        <w:t xml:space="preserve"> Sentencia </w:t>
      </w:r>
      <w:hyperlink w:anchor="SENTENCIA_2024_142" w:history="1">
        <w:r w:rsidRPr="007D5795">
          <w:rPr>
            <w:rStyle w:val="TextoNormalCaracter"/>
          </w:rPr>
          <w:t>142/2024</w:t>
        </w:r>
      </w:hyperlink>
      <w:r>
        <w:t>, ff. 1, 2, VP.</w:t>
      </w:r>
    </w:p>
    <w:p w14:paraId="7316DA16" w14:textId="6DAA2B1F" w:rsidR="007D5795" w:rsidRDefault="007D5795" w:rsidP="007D5795">
      <w:pPr>
        <w:pStyle w:val="SangriaFrancesaArticulo"/>
      </w:pPr>
      <w:r w:rsidRPr="007D5795">
        <w:rPr>
          <w:rStyle w:val="TextoNormalNegritaCaracter"/>
        </w:rPr>
        <w:t>Artículo 6.</w:t>
      </w:r>
      <w:r w:rsidRPr="007D5795">
        <w:rPr>
          <w:rStyle w:val="TextoNormalCaracter"/>
        </w:rPr>
        <w:t>-</w:t>
      </w:r>
      <w:r>
        <w:t xml:space="preserve"> Sentencia </w:t>
      </w:r>
      <w:hyperlink w:anchor="SENTENCIA_2024_142" w:history="1">
        <w:r w:rsidRPr="007D5795">
          <w:rPr>
            <w:rStyle w:val="TextoNormalCaracter"/>
          </w:rPr>
          <w:t>142/2024</w:t>
        </w:r>
      </w:hyperlink>
      <w:r>
        <w:t>, ff. 1, 2, 5.</w:t>
      </w:r>
    </w:p>
    <w:p w14:paraId="61E1BFA4" w14:textId="1DA54CB5" w:rsidR="007D5795" w:rsidRDefault="007D5795" w:rsidP="007D5795">
      <w:pPr>
        <w:pStyle w:val="SangriaFrancesaArticulo"/>
      </w:pPr>
      <w:r w:rsidRPr="007D5795">
        <w:rPr>
          <w:rStyle w:val="TextoNormalNegritaCaracter"/>
        </w:rPr>
        <w:t>Artículo 7.</w:t>
      </w:r>
      <w:r w:rsidRPr="007D5795">
        <w:rPr>
          <w:rStyle w:val="TextoNormalCaracter"/>
        </w:rPr>
        <w:t>-</w:t>
      </w:r>
      <w:r>
        <w:t xml:space="preserve"> Sentencia </w:t>
      </w:r>
      <w:hyperlink w:anchor="SENTENCIA_2024_142" w:history="1">
        <w:r w:rsidRPr="007D5795">
          <w:rPr>
            <w:rStyle w:val="TextoNormalCaracter"/>
          </w:rPr>
          <w:t>142/2024</w:t>
        </w:r>
      </w:hyperlink>
      <w:r>
        <w:t>, ff. 1, 2.</w:t>
      </w:r>
    </w:p>
    <w:p w14:paraId="6A500CC4" w14:textId="34C6C34F" w:rsidR="007D5795" w:rsidRDefault="007D5795" w:rsidP="007D5795">
      <w:pPr>
        <w:pStyle w:val="SangriaFrancesaArticulo"/>
      </w:pPr>
      <w:r w:rsidRPr="007D5795">
        <w:rPr>
          <w:rStyle w:val="TextoNormalNegritaCaracter"/>
        </w:rPr>
        <w:t>Disposición derogatoria única.</w:t>
      </w:r>
      <w:r w:rsidRPr="007D5795">
        <w:rPr>
          <w:rStyle w:val="TextoNormalCaracter"/>
        </w:rPr>
        <w:t>-</w:t>
      </w:r>
      <w:r>
        <w:t xml:space="preserve"> Sentencia </w:t>
      </w:r>
      <w:hyperlink w:anchor="SENTENCIA_2024_142" w:history="1">
        <w:r w:rsidRPr="007D5795">
          <w:rPr>
            <w:rStyle w:val="TextoNormalCaracter"/>
          </w:rPr>
          <w:t>142/2024</w:t>
        </w:r>
      </w:hyperlink>
      <w:r>
        <w:t>, ff. 1, 2, 6, VP.</w:t>
      </w:r>
    </w:p>
    <w:p w14:paraId="6280865D" w14:textId="7F384751" w:rsidR="007D5795" w:rsidRDefault="007D5795" w:rsidP="007D5795">
      <w:pPr>
        <w:pStyle w:val="SangriaFrancesaArticulo"/>
      </w:pPr>
      <w:r w:rsidRPr="007D5795">
        <w:rPr>
          <w:rStyle w:val="TextoNormalNegritaCaracter"/>
        </w:rPr>
        <w:t>Disposición final primera.</w:t>
      </w:r>
      <w:r w:rsidRPr="007D5795">
        <w:rPr>
          <w:rStyle w:val="TextoNormalCaracter"/>
        </w:rPr>
        <w:t>-</w:t>
      </w:r>
      <w:r>
        <w:t xml:space="preserve"> Sentencia </w:t>
      </w:r>
      <w:hyperlink w:anchor="SENTENCIA_2024_142" w:history="1">
        <w:r w:rsidRPr="007D5795">
          <w:rPr>
            <w:rStyle w:val="TextoNormalCaracter"/>
          </w:rPr>
          <w:t>142/2024</w:t>
        </w:r>
      </w:hyperlink>
      <w:r>
        <w:t>, f. 1.</w:t>
      </w:r>
    </w:p>
    <w:p w14:paraId="46C719B0" w14:textId="147C6BB4" w:rsidR="007D5795" w:rsidRDefault="007D5795" w:rsidP="007D5795">
      <w:pPr>
        <w:pStyle w:val="SangriaFrancesaArticulo"/>
      </w:pPr>
      <w:r w:rsidRPr="007D5795">
        <w:rPr>
          <w:rStyle w:val="TextoNormalNegritaCaracter"/>
        </w:rPr>
        <w:t>Disposición final segunda.</w:t>
      </w:r>
      <w:r w:rsidRPr="007D5795">
        <w:rPr>
          <w:rStyle w:val="TextoNormalCaracter"/>
        </w:rPr>
        <w:t>-</w:t>
      </w:r>
      <w:r>
        <w:t xml:space="preserve"> Sentencia </w:t>
      </w:r>
      <w:hyperlink w:anchor="SENTENCIA_2024_142" w:history="1">
        <w:r w:rsidRPr="007D5795">
          <w:rPr>
            <w:rStyle w:val="TextoNormalCaracter"/>
          </w:rPr>
          <w:t>142/2024</w:t>
        </w:r>
      </w:hyperlink>
      <w:r>
        <w:t>, ff. 1, 2.</w:t>
      </w:r>
    </w:p>
    <w:p w14:paraId="06BF3802" w14:textId="068D8BB0" w:rsidR="007D5795" w:rsidRDefault="007D5795" w:rsidP="007D5795">
      <w:pPr>
        <w:pStyle w:val="SangriaFrancesaArticulo"/>
      </w:pPr>
      <w:r w:rsidRPr="007D5795">
        <w:rPr>
          <w:rStyle w:val="TextoNormalNegritaCaracter"/>
        </w:rPr>
        <w:t>Disposición final tercera.</w:t>
      </w:r>
      <w:r w:rsidRPr="007D5795">
        <w:rPr>
          <w:rStyle w:val="TextoNormalCaracter"/>
        </w:rPr>
        <w:t>-</w:t>
      </w:r>
      <w:r>
        <w:t xml:space="preserve"> Sentencia </w:t>
      </w:r>
      <w:hyperlink w:anchor="SENTENCIA_2024_142" w:history="1">
        <w:r w:rsidRPr="007D5795">
          <w:rPr>
            <w:rStyle w:val="TextoNormalCaracter"/>
          </w:rPr>
          <w:t>142/2024</w:t>
        </w:r>
      </w:hyperlink>
      <w:r>
        <w:t>, f. 1, VP.</w:t>
      </w:r>
    </w:p>
    <w:p w14:paraId="24863607" w14:textId="4BD35DB8" w:rsidR="007D5795" w:rsidRDefault="007D5795" w:rsidP="007D5795">
      <w:pPr>
        <w:pStyle w:val="SangriaFrancesaArticulo"/>
      </w:pPr>
    </w:p>
    <w:p w14:paraId="2FBA345F" w14:textId="77777777" w:rsidR="007D5795" w:rsidRDefault="007D5795" w:rsidP="007D5795">
      <w:pPr>
        <w:pStyle w:val="TextoNormalNegritaCursivandice"/>
        <w:keepNext/>
      </w:pPr>
      <w:r>
        <w:t>Ley 4/2023, de 28 de febrero, para la igualdad real y efectiva de las personas trans y para la garantía de los derechos de las personas LGTBI</w:t>
      </w:r>
    </w:p>
    <w:p w14:paraId="1E673848" w14:textId="74000D9D" w:rsidR="007D5795" w:rsidRDefault="007D5795" w:rsidP="007D5795">
      <w:pPr>
        <w:pStyle w:val="SangriaFrancesaArticulo"/>
        <w:keepNext/>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1.</w:t>
      </w:r>
    </w:p>
    <w:p w14:paraId="18D8F2EB" w14:textId="2454FBC7" w:rsidR="007D5795" w:rsidRDefault="007D5795" w:rsidP="007D5795">
      <w:pPr>
        <w:pStyle w:val="SangriaIzquierdaArticulo"/>
      </w:pPr>
      <w:r>
        <w:t xml:space="preserve">Auto </w:t>
      </w:r>
      <w:hyperlink w:anchor="AUTO_2024_126" w:history="1">
        <w:r w:rsidRPr="007D5795">
          <w:rPr>
            <w:rStyle w:val="TextoNormalCaracter"/>
          </w:rPr>
          <w:t>126/2024</w:t>
        </w:r>
      </w:hyperlink>
      <w:r>
        <w:t>, f. 5.</w:t>
      </w:r>
    </w:p>
    <w:p w14:paraId="349ACF63" w14:textId="3212DDEF" w:rsidR="007D5795" w:rsidRDefault="007D5795" w:rsidP="007D5795">
      <w:pPr>
        <w:pStyle w:val="SangriaIzquierdaArticulo"/>
      </w:pPr>
    </w:p>
    <w:p w14:paraId="34B19BCA" w14:textId="77777777" w:rsidR="007D5795" w:rsidRDefault="007D5795" w:rsidP="007D5795">
      <w:pPr>
        <w:pStyle w:val="TextoNormalNegritaCursivandice"/>
        <w:keepNext/>
      </w:pPr>
      <w:r>
        <w:t>Ley 7/2023, de 28 de marzo, de protección de los derechos y el bienestar de los animales</w:t>
      </w:r>
    </w:p>
    <w:p w14:paraId="50C0EAB6" w14:textId="6564B39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VP.</w:t>
      </w:r>
    </w:p>
    <w:p w14:paraId="043B5262" w14:textId="72D42CA0" w:rsidR="007D5795" w:rsidRDefault="007D5795" w:rsidP="007D5795">
      <w:pPr>
        <w:pStyle w:val="SangriaFrancesaArticulo"/>
      </w:pPr>
    </w:p>
    <w:p w14:paraId="6F8076B4" w14:textId="77777777" w:rsidR="007D5795" w:rsidRDefault="007D5795" w:rsidP="007D5795">
      <w:pPr>
        <w:pStyle w:val="TextoNormalNegritaCursivandice"/>
        <w:keepNext/>
      </w:pPr>
      <w:r>
        <w:t>Ley 12/2023, de 24 de mayo, por el derecho a la vivienda</w:t>
      </w:r>
    </w:p>
    <w:p w14:paraId="35E1796F" w14:textId="536758A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ff. 2 a 5, VP II, VP III.</w:t>
      </w:r>
    </w:p>
    <w:p w14:paraId="043E8569" w14:textId="5C0FB181" w:rsidR="007D5795" w:rsidRDefault="007D5795" w:rsidP="007D5795">
      <w:pPr>
        <w:pStyle w:val="SangriaFrancesaArticulo"/>
      </w:pPr>
      <w:r w:rsidRPr="007D5795">
        <w:rPr>
          <w:rStyle w:val="TextoNormalNegritaCaracter"/>
        </w:rPr>
        <w:t>Preámbulo, apartado segundo.</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0956D4CB" w14:textId="71C7B713" w:rsidR="007D5795" w:rsidRDefault="007D5795" w:rsidP="007D5795">
      <w:pPr>
        <w:pStyle w:val="SangriaFrancesaArticulo"/>
      </w:pPr>
      <w:r w:rsidRPr="007D5795">
        <w:rPr>
          <w:rStyle w:val="TextoNormalNegritaCaracter"/>
        </w:rPr>
        <w:t>Preámbulo, apartado tercero.</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48A14162" w14:textId="01524C41"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3E20CF08" w14:textId="4831CA90" w:rsidR="007D5795" w:rsidRDefault="007D5795" w:rsidP="007D5795">
      <w:pPr>
        <w:pStyle w:val="SangriaFrancesaArticulo"/>
      </w:pPr>
      <w:r w:rsidRPr="007D5795">
        <w:rPr>
          <w:rStyle w:val="TextoNormalNegritaCaracter"/>
        </w:rPr>
        <w:t>Artículo 2 g).</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12F47B7B" w14:textId="6D33FD2F" w:rsidR="007D5795" w:rsidRDefault="007D5795" w:rsidP="007D5795">
      <w:pPr>
        <w:pStyle w:val="SangriaFrancesaArticulo"/>
      </w:pPr>
      <w:r w:rsidRPr="007D5795">
        <w:rPr>
          <w:rStyle w:val="TextoNormalNegritaCaracter"/>
        </w:rPr>
        <w:t>Artículo 3 k).</w:t>
      </w:r>
      <w:r w:rsidRPr="007D5795">
        <w:rPr>
          <w:rStyle w:val="TextoNormalCaracter"/>
        </w:rPr>
        <w:t>-</w:t>
      </w:r>
      <w:r>
        <w:t xml:space="preserve"> Sentencia </w:t>
      </w:r>
      <w:hyperlink w:anchor="SENTENCIA_2024_120" w:history="1">
        <w:r w:rsidRPr="007D5795">
          <w:rPr>
            <w:rStyle w:val="TextoNormalCaracter"/>
          </w:rPr>
          <w:t>120/2024</w:t>
        </w:r>
      </w:hyperlink>
      <w:r>
        <w:t>, f. 8, VP IV.</w:t>
      </w:r>
    </w:p>
    <w:p w14:paraId="07780851" w14:textId="315D91F4" w:rsidR="007D5795" w:rsidRDefault="007D5795" w:rsidP="007D5795">
      <w:pPr>
        <w:pStyle w:val="SangriaFrancesaArticulo"/>
      </w:pPr>
      <w:r w:rsidRPr="007D5795">
        <w:rPr>
          <w:rStyle w:val="TextoNormalNegritaCaracter"/>
        </w:rPr>
        <w:t>Artículo 3 primer inciso.</w:t>
      </w:r>
      <w:r w:rsidRPr="007D5795">
        <w:rPr>
          <w:rStyle w:val="TextoNormalCaracter"/>
        </w:rPr>
        <w:t>-</w:t>
      </w:r>
      <w:r>
        <w:t xml:space="preserve"> Sentencia </w:t>
      </w:r>
      <w:hyperlink w:anchor="SENTENCIA_2024_120" w:history="1">
        <w:r w:rsidRPr="007D5795">
          <w:rPr>
            <w:rStyle w:val="TextoNormalCaracter"/>
          </w:rPr>
          <w:t>120/2024</w:t>
        </w:r>
      </w:hyperlink>
      <w:r>
        <w:t>, VP IV.</w:t>
      </w:r>
    </w:p>
    <w:p w14:paraId="7692277D" w14:textId="4283915B" w:rsidR="007D5795" w:rsidRDefault="007D5795" w:rsidP="007D5795">
      <w:pPr>
        <w:pStyle w:val="SangriaFrancesaArticulo"/>
      </w:pPr>
      <w:r w:rsidRPr="007D5795">
        <w:rPr>
          <w:rStyle w:val="TextoNormalNegritaCaracter"/>
        </w:rPr>
        <w:t>Artículo 4.</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3BE27E04" w14:textId="5DE1CC37" w:rsidR="007D5795" w:rsidRDefault="007D5795" w:rsidP="007D5795">
      <w:pPr>
        <w:pStyle w:val="SangriaFrancesaArticulo"/>
      </w:pPr>
      <w:r w:rsidRPr="007D5795">
        <w:rPr>
          <w:rStyle w:val="TextoNormalNegritaCaracter"/>
        </w:rPr>
        <w:t>Artículo 6.</w:t>
      </w:r>
      <w:r w:rsidRPr="007D5795">
        <w:rPr>
          <w:rStyle w:val="TextoNormalCaracter"/>
        </w:rPr>
        <w:t>-</w:t>
      </w:r>
      <w:r>
        <w:t xml:space="preserve"> Sentencia </w:t>
      </w:r>
      <w:hyperlink w:anchor="SENTENCIA_2024_120" w:history="1">
        <w:r w:rsidRPr="007D5795">
          <w:rPr>
            <w:rStyle w:val="TextoNormalCaracter"/>
          </w:rPr>
          <w:t>120/2024</w:t>
        </w:r>
      </w:hyperlink>
      <w:r>
        <w:t>, VP IV.</w:t>
      </w:r>
    </w:p>
    <w:p w14:paraId="15A071A3" w14:textId="12CE1A9B" w:rsidR="007D5795" w:rsidRDefault="007D5795" w:rsidP="007D5795">
      <w:pPr>
        <w:pStyle w:val="SangriaFrancesaArticulo"/>
      </w:pPr>
      <w:r w:rsidRPr="007D5795">
        <w:rPr>
          <w:rStyle w:val="TextoNormalNegritaCaracter"/>
        </w:rPr>
        <w:t>Artículo 10.</w:t>
      </w:r>
      <w:r w:rsidRPr="007D5795">
        <w:rPr>
          <w:rStyle w:val="TextoNormalCaracter"/>
        </w:rPr>
        <w:t>-</w:t>
      </w:r>
      <w:r>
        <w:t xml:space="preserve"> Sentencia </w:t>
      </w:r>
      <w:hyperlink w:anchor="SENTENCIA_2024_120" w:history="1">
        <w:r w:rsidRPr="007D5795">
          <w:rPr>
            <w:rStyle w:val="TextoNormalCaracter"/>
          </w:rPr>
          <w:t>120/2024</w:t>
        </w:r>
      </w:hyperlink>
      <w:r>
        <w:t>, VP IV.</w:t>
      </w:r>
    </w:p>
    <w:p w14:paraId="4AA00967" w14:textId="3DDE3CB6" w:rsidR="007D5795" w:rsidRDefault="007D5795" w:rsidP="007D5795">
      <w:pPr>
        <w:pStyle w:val="SangriaFrancesaArticulo"/>
      </w:pPr>
      <w:r w:rsidRPr="007D5795">
        <w:rPr>
          <w:rStyle w:val="TextoNormalNegritaCaracter"/>
        </w:rPr>
        <w:t>Artículo 10.1 a).</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3BB1D3A5" w14:textId="2DF6BF04" w:rsidR="007D5795" w:rsidRDefault="007D5795" w:rsidP="007D5795">
      <w:pPr>
        <w:pStyle w:val="SangriaFrancesaArticulo"/>
      </w:pPr>
      <w:r w:rsidRPr="007D5795">
        <w:rPr>
          <w:rStyle w:val="TextoNormalNegritaCaracter"/>
        </w:rPr>
        <w:t>Artículo 10.2 e).</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10690AA0" w14:textId="1AB2166E" w:rsidR="007D5795" w:rsidRDefault="007D5795" w:rsidP="007D5795">
      <w:pPr>
        <w:pStyle w:val="SangriaFrancesaArticulo"/>
      </w:pPr>
      <w:r w:rsidRPr="007D5795">
        <w:rPr>
          <w:rStyle w:val="TextoNormalNegritaCaracter"/>
        </w:rPr>
        <w:t>Artículo 10.2 f).</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6E1780E8" w14:textId="70FEF1B3" w:rsidR="007D5795" w:rsidRDefault="007D5795" w:rsidP="007D5795">
      <w:pPr>
        <w:pStyle w:val="SangriaFrancesaArticulo"/>
      </w:pPr>
      <w:r w:rsidRPr="007D5795">
        <w:rPr>
          <w:rStyle w:val="TextoNormalNegritaCaracter"/>
        </w:rPr>
        <w:t>Artículo 10.2 g).</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0679EB17" w14:textId="06F824B6"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 </w:t>
      </w:r>
      <w:hyperlink w:anchor="SENTENCIA_2024_120" w:history="1">
        <w:r w:rsidRPr="007D5795">
          <w:rPr>
            <w:rStyle w:val="TextoNormalCaracter"/>
          </w:rPr>
          <w:t>120/2024</w:t>
        </w:r>
      </w:hyperlink>
      <w:r>
        <w:t>, VP IV.</w:t>
      </w:r>
    </w:p>
    <w:p w14:paraId="67A755D6" w14:textId="12F00052" w:rsidR="007D5795" w:rsidRDefault="007D5795" w:rsidP="007D5795">
      <w:pPr>
        <w:pStyle w:val="SangriaFrancesaArticulo"/>
      </w:pPr>
      <w:r w:rsidRPr="007D5795">
        <w:rPr>
          <w:rStyle w:val="TextoNormalNegritaCaracter"/>
        </w:rPr>
        <w:t>Artículo 11.1 a).</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511F3CF3" w14:textId="11E807FE" w:rsidR="007D5795" w:rsidRDefault="007D5795" w:rsidP="007D5795">
      <w:pPr>
        <w:pStyle w:val="SangriaFrancesaArticulo"/>
      </w:pPr>
      <w:r w:rsidRPr="007D5795">
        <w:rPr>
          <w:rStyle w:val="TextoNormalNegritaCaracter"/>
        </w:rPr>
        <w:t>Artículo 11.2.</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5F004F1E" w14:textId="0B6326A2" w:rsidR="007D5795" w:rsidRDefault="007D5795" w:rsidP="007D5795">
      <w:pPr>
        <w:pStyle w:val="SangriaFrancesaArticulo"/>
      </w:pPr>
      <w:r w:rsidRPr="007D5795">
        <w:rPr>
          <w:rStyle w:val="TextoNormalNegritaCaracter"/>
        </w:rPr>
        <w:t>Artículo 14.</w:t>
      </w:r>
      <w:r w:rsidRPr="007D5795">
        <w:rPr>
          <w:rStyle w:val="TextoNormalCaracter"/>
        </w:rPr>
        <w:t>-</w:t>
      </w:r>
      <w:r>
        <w:t xml:space="preserve"> Sentencia </w:t>
      </w:r>
      <w:hyperlink w:anchor="SENTENCIA_2024_120" w:history="1">
        <w:r w:rsidRPr="007D5795">
          <w:rPr>
            <w:rStyle w:val="TextoNormalCaracter"/>
          </w:rPr>
          <w:t>120/2024</w:t>
        </w:r>
      </w:hyperlink>
      <w:r>
        <w:t>, VP IV.</w:t>
      </w:r>
    </w:p>
    <w:p w14:paraId="38F4C9A1" w14:textId="62CFF92C" w:rsidR="007D5795" w:rsidRDefault="007D5795" w:rsidP="007D5795">
      <w:pPr>
        <w:pStyle w:val="SangriaFrancesaArticulo"/>
      </w:pPr>
      <w:r w:rsidRPr="007D5795">
        <w:rPr>
          <w:rStyle w:val="TextoNormalNegritaCaracter"/>
        </w:rPr>
        <w:t>Artículo 16.</w:t>
      </w:r>
      <w:r w:rsidRPr="007D5795">
        <w:rPr>
          <w:rStyle w:val="TextoNormalCaracter"/>
        </w:rPr>
        <w:t>-</w:t>
      </w:r>
      <w:r>
        <w:t xml:space="preserve"> Sentencia </w:t>
      </w:r>
      <w:hyperlink w:anchor="SENTENCIA_2024_120" w:history="1">
        <w:r w:rsidRPr="007D5795">
          <w:rPr>
            <w:rStyle w:val="TextoNormalCaracter"/>
          </w:rPr>
          <w:t>120/2024</w:t>
        </w:r>
      </w:hyperlink>
      <w:r>
        <w:t>, VP II.</w:t>
      </w:r>
    </w:p>
    <w:p w14:paraId="23B08329" w14:textId="2DDAC266" w:rsidR="007D5795" w:rsidRDefault="007D5795" w:rsidP="007D5795">
      <w:pPr>
        <w:pStyle w:val="SangriaFrancesaArticulo"/>
      </w:pPr>
      <w:r w:rsidRPr="007D5795">
        <w:rPr>
          <w:rStyle w:val="TextoNormalNegritaCaracter"/>
        </w:rPr>
        <w:t>Artículo 18 a 22.</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48CBB81C" w14:textId="186D5A39" w:rsidR="007D5795" w:rsidRDefault="007D5795" w:rsidP="007D5795">
      <w:pPr>
        <w:pStyle w:val="SangriaFrancesaArticulo"/>
      </w:pPr>
      <w:r w:rsidRPr="007D5795">
        <w:rPr>
          <w:rStyle w:val="TextoNormalNegritaCaracter"/>
        </w:rPr>
        <w:t>Artículo 18.5 a).</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1F26F3F8" w14:textId="719EB15C" w:rsidR="007D5795" w:rsidRDefault="007D5795" w:rsidP="007D5795">
      <w:pPr>
        <w:pStyle w:val="SangriaFrancesaArticulo"/>
      </w:pPr>
      <w:r w:rsidRPr="007D5795">
        <w:rPr>
          <w:rStyle w:val="TextoNormalNegritaCaracter"/>
        </w:rPr>
        <w:t>Artículo 19.2.</w:t>
      </w:r>
      <w:r w:rsidRPr="007D5795">
        <w:rPr>
          <w:rStyle w:val="TextoNormalCaracter"/>
        </w:rPr>
        <w:t>-</w:t>
      </w:r>
      <w:r>
        <w:t xml:space="preserve"> Sentencia </w:t>
      </w:r>
      <w:hyperlink w:anchor="SENTENCIA_2024_120" w:history="1">
        <w:r w:rsidRPr="007D5795">
          <w:rPr>
            <w:rStyle w:val="TextoNormalCaracter"/>
          </w:rPr>
          <w:t>120/2024</w:t>
        </w:r>
      </w:hyperlink>
      <w:r>
        <w:t>, f. 8.</w:t>
      </w:r>
    </w:p>
    <w:p w14:paraId="3BFAD9B9" w14:textId="2B15F2BA" w:rsidR="007D5795" w:rsidRDefault="007D5795" w:rsidP="007D5795">
      <w:pPr>
        <w:pStyle w:val="SangriaFrancesaArticulo"/>
      </w:pPr>
      <w:r w:rsidRPr="007D5795">
        <w:rPr>
          <w:rStyle w:val="TextoNormalNegritaCaracter"/>
        </w:rPr>
        <w:t>Artículo 19.3 a partir del inciso "que incluirá, con respecto a las viviendas de titularidad del gran tenedor en la zona de mercado residencial tensionado, al menos, los siguientes datos".</w:t>
      </w:r>
      <w:r w:rsidRPr="007D5795">
        <w:rPr>
          <w:rStyle w:val="TextoNormalCaracter"/>
        </w:rPr>
        <w:t>-</w:t>
      </w:r>
      <w:r>
        <w:t xml:space="preserve"> Sentencia </w:t>
      </w:r>
      <w:hyperlink w:anchor="SENTENCIA_2024_120" w:history="1">
        <w:r w:rsidRPr="007D5795">
          <w:rPr>
            <w:rStyle w:val="TextoNormalCaracter"/>
          </w:rPr>
          <w:t>120/2024</w:t>
        </w:r>
      </w:hyperlink>
      <w:r>
        <w:t>, VP II.</w:t>
      </w:r>
    </w:p>
    <w:p w14:paraId="3E2405AA" w14:textId="6B4C5181" w:rsidR="007D5795" w:rsidRDefault="007D5795" w:rsidP="007D5795">
      <w:pPr>
        <w:pStyle w:val="SangriaFrancesaArticulo"/>
      </w:pPr>
      <w:r w:rsidRPr="007D5795">
        <w:rPr>
          <w:rStyle w:val="TextoNormalNegritaCaracter"/>
        </w:rPr>
        <w:t>Artículo 23 a 25.</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53442278" w14:textId="65019232" w:rsidR="007D5795" w:rsidRDefault="007D5795" w:rsidP="007D5795">
      <w:pPr>
        <w:pStyle w:val="SangriaFrancesaArticulo"/>
      </w:pPr>
      <w:r w:rsidRPr="007D5795">
        <w:rPr>
          <w:rStyle w:val="TextoNormalNegritaCaracter"/>
        </w:rPr>
        <w:t>Artículo 27.1, tercer párrafo.</w:t>
      </w:r>
      <w:r w:rsidRPr="007D5795">
        <w:rPr>
          <w:rStyle w:val="TextoNormalCaracter"/>
        </w:rPr>
        <w:t>-</w:t>
      </w:r>
      <w:r>
        <w:t xml:space="preserve"> Sentencia </w:t>
      </w:r>
      <w:hyperlink w:anchor="SENTENCIA_2024_120" w:history="1">
        <w:r w:rsidRPr="007D5795">
          <w:rPr>
            <w:rStyle w:val="TextoNormalCaracter"/>
          </w:rPr>
          <w:t>120/2024</w:t>
        </w:r>
      </w:hyperlink>
      <w:r>
        <w:t>, VP II.</w:t>
      </w:r>
    </w:p>
    <w:p w14:paraId="3986DD79" w14:textId="565A9669" w:rsidR="007D5795" w:rsidRDefault="007D5795" w:rsidP="007D5795">
      <w:pPr>
        <w:pStyle w:val="SangriaFrancesaArticulo"/>
      </w:pPr>
      <w:r w:rsidRPr="007D5795">
        <w:rPr>
          <w:rStyle w:val="TextoNormalNegritaCaracter"/>
        </w:rPr>
        <w:t>Artículo 27.3.</w:t>
      </w:r>
      <w:r w:rsidRPr="007D5795">
        <w:rPr>
          <w:rStyle w:val="TextoNormalCaracter"/>
        </w:rPr>
        <w:t>-</w:t>
      </w:r>
      <w:r>
        <w:t xml:space="preserve"> Sentencia </w:t>
      </w:r>
      <w:hyperlink w:anchor="SENTENCIA_2024_120" w:history="1">
        <w:r w:rsidRPr="007D5795">
          <w:rPr>
            <w:rStyle w:val="TextoNormalCaracter"/>
          </w:rPr>
          <w:t>120/2024</w:t>
        </w:r>
      </w:hyperlink>
      <w:r>
        <w:t>, VP II.</w:t>
      </w:r>
    </w:p>
    <w:p w14:paraId="4D52DF1E" w14:textId="07F0A3C8" w:rsidR="007D5795" w:rsidRDefault="007D5795" w:rsidP="007D5795">
      <w:pPr>
        <w:pStyle w:val="SangriaFrancesaArticulo"/>
      </w:pPr>
      <w:r w:rsidRPr="007D5795">
        <w:rPr>
          <w:rStyle w:val="TextoNormalNegritaCaracter"/>
        </w:rPr>
        <w:t>Artículo 28.</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351A905F" w14:textId="64E6E5F8" w:rsidR="007D5795" w:rsidRDefault="007D5795" w:rsidP="007D5795">
      <w:pPr>
        <w:pStyle w:val="SangriaFrancesaArticulo"/>
      </w:pPr>
      <w:r w:rsidRPr="007D5795">
        <w:rPr>
          <w:rStyle w:val="TextoNormalNegritaCaracter"/>
        </w:rPr>
        <w:t>Artículo 29.</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3891FAC2" w14:textId="67159534" w:rsidR="007D5795" w:rsidRDefault="007D5795" w:rsidP="007D5795">
      <w:pPr>
        <w:pStyle w:val="SangriaFrancesaArticulo"/>
      </w:pPr>
      <w:r w:rsidRPr="007D5795">
        <w:rPr>
          <w:rStyle w:val="TextoNormalNegritaCaracter"/>
        </w:rPr>
        <w:t>Artículo 30.</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56031C1B" w14:textId="48E8CB13" w:rsidR="007D5795" w:rsidRDefault="007D5795" w:rsidP="007D5795">
      <w:pPr>
        <w:pStyle w:val="SangriaFrancesaArticulo"/>
      </w:pPr>
      <w:r w:rsidRPr="007D5795">
        <w:rPr>
          <w:rStyle w:val="TextoNormalNegritaCaracter"/>
        </w:rPr>
        <w:t>Artículo 31.</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6F3633C2" w14:textId="4E1A8CA9" w:rsidR="007D5795" w:rsidRDefault="007D5795" w:rsidP="007D5795">
      <w:pPr>
        <w:pStyle w:val="SangriaFrancesaArticulo"/>
      </w:pPr>
      <w:r w:rsidRPr="007D5795">
        <w:rPr>
          <w:rStyle w:val="TextoNormalNegritaCaracter"/>
        </w:rPr>
        <w:t>Artículo 124</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07955E50" w14:textId="285EB68F" w:rsidR="007D5795" w:rsidRDefault="007D5795" w:rsidP="007D5795">
      <w:pPr>
        <w:pStyle w:val="SangriaFrancesaArticulo"/>
      </w:pPr>
      <w:r w:rsidRPr="007D5795">
        <w:rPr>
          <w:rStyle w:val="TextoNormalNegritaCaracter"/>
        </w:rPr>
        <w:t>Artículo 126</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3F372416" w14:textId="6B50413A" w:rsidR="007D5795" w:rsidRDefault="007D5795" w:rsidP="007D5795">
      <w:pPr>
        <w:pStyle w:val="SangriaFrancesaArticulo"/>
      </w:pPr>
      <w:r w:rsidRPr="007D5795">
        <w:rPr>
          <w:rStyle w:val="TextoNormalNegritaCaracter"/>
        </w:rPr>
        <w:t>Artículo 149.1.25.</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25FB98EA" w14:textId="71749A49" w:rsidR="007D5795" w:rsidRDefault="007D5795" w:rsidP="007D5795">
      <w:pPr>
        <w:pStyle w:val="SangriaFrancesaArticulo"/>
      </w:pPr>
      <w:r w:rsidRPr="007D5795">
        <w:rPr>
          <w:rStyle w:val="TextoNormalNegritaCaracter"/>
        </w:rPr>
        <w:t>Disposición transitoria primera.</w:t>
      </w:r>
      <w:r w:rsidRPr="007D5795">
        <w:rPr>
          <w:rStyle w:val="TextoNormalCaracter"/>
        </w:rPr>
        <w:t>-</w:t>
      </w:r>
      <w:r>
        <w:t xml:space="preserve"> Sentencia </w:t>
      </w:r>
      <w:hyperlink w:anchor="SENTENCIA_2024_120" w:history="1">
        <w:r w:rsidRPr="007D5795">
          <w:rPr>
            <w:rStyle w:val="TextoNormalCaracter"/>
          </w:rPr>
          <w:t>120/2024</w:t>
        </w:r>
      </w:hyperlink>
      <w:r>
        <w:t>, VP II.</w:t>
      </w:r>
    </w:p>
    <w:p w14:paraId="32091969" w14:textId="5268F2A1" w:rsidR="007D5795" w:rsidRDefault="007D5795" w:rsidP="007D5795">
      <w:pPr>
        <w:pStyle w:val="SangriaFrancesaArticulo"/>
      </w:pPr>
      <w:r w:rsidRPr="007D5795">
        <w:rPr>
          <w:rStyle w:val="TextoNormalNegritaCaracter"/>
        </w:rPr>
        <w:t>Disposición final primera.</w:t>
      </w:r>
      <w:r w:rsidRPr="007D5795">
        <w:rPr>
          <w:rStyle w:val="TextoNormalCaracter"/>
        </w:rPr>
        <w:t>-</w:t>
      </w:r>
      <w:r>
        <w:t xml:space="preserve"> Sentencia </w:t>
      </w:r>
      <w:hyperlink w:anchor="SENTENCIA_2024_120" w:history="1">
        <w:r w:rsidRPr="007D5795">
          <w:rPr>
            <w:rStyle w:val="TextoNormalCaracter"/>
          </w:rPr>
          <w:t>120/2024</w:t>
        </w:r>
      </w:hyperlink>
      <w:r>
        <w:t>, f. 5, VP III.</w:t>
      </w:r>
    </w:p>
    <w:p w14:paraId="141B658A" w14:textId="77C5B666" w:rsidR="007D5795" w:rsidRDefault="007D5795" w:rsidP="007D5795">
      <w:pPr>
        <w:pStyle w:val="SangriaFrancesaArticulo"/>
      </w:pPr>
      <w:r w:rsidRPr="007D5795">
        <w:rPr>
          <w:rStyle w:val="TextoNormalNegritaCaracter"/>
        </w:rPr>
        <w:t>Disposición final segunda.</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68F39497" w14:textId="1BC8B750" w:rsidR="007D5795" w:rsidRDefault="007D5795" w:rsidP="007D5795">
      <w:pPr>
        <w:pStyle w:val="SangriaFrancesaArticulo"/>
      </w:pPr>
      <w:r w:rsidRPr="007D5795">
        <w:rPr>
          <w:rStyle w:val="TextoNormalNegritaCaracter"/>
        </w:rPr>
        <w:t>Disposición final tercera.</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3192F02C" w14:textId="1AC1AE97" w:rsidR="007D5795" w:rsidRDefault="007D5795" w:rsidP="007D5795">
      <w:pPr>
        <w:pStyle w:val="SangriaFrancesaArticulo"/>
      </w:pPr>
      <w:r w:rsidRPr="007D5795">
        <w:rPr>
          <w:rStyle w:val="TextoNormalNegritaCaracter"/>
        </w:rPr>
        <w:t>Disposición final sexta.</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2930992C" w14:textId="4870FC7C" w:rsidR="007D5795" w:rsidRDefault="007D5795" w:rsidP="007D5795">
      <w:pPr>
        <w:pStyle w:val="TextoNormal"/>
      </w:pPr>
    </w:p>
    <w:p w14:paraId="0A6F8834" w14:textId="77777777" w:rsidR="007D5795" w:rsidRDefault="007D5795" w:rsidP="007D5795">
      <w:pPr>
        <w:pStyle w:val="SangriaFrancesaArticulo"/>
      </w:pPr>
      <w:bookmarkStart w:id="174" w:name="INDICE22847"/>
    </w:p>
    <w:bookmarkEnd w:id="174"/>
    <w:p w14:paraId="685BEB6D" w14:textId="77777777" w:rsidR="007D5795" w:rsidRDefault="007D5795" w:rsidP="007D5795">
      <w:pPr>
        <w:pStyle w:val="TextoIndiceNivel2"/>
        <w:suppressAutoHyphens/>
      </w:pPr>
      <w:r>
        <w:t>F) Reales Decretos Legislativos</w:t>
      </w:r>
    </w:p>
    <w:p w14:paraId="72B0FC94" w14:textId="0AD6AA9C" w:rsidR="007D5795" w:rsidRDefault="007D5795" w:rsidP="007D5795">
      <w:pPr>
        <w:pStyle w:val="TextoIndiceNivel2"/>
      </w:pPr>
    </w:p>
    <w:p w14:paraId="0F8CFDD3" w14:textId="77777777" w:rsidR="007D5795" w:rsidRDefault="007D5795" w:rsidP="007D5795">
      <w:pPr>
        <w:pStyle w:val="TextoNormalNegritaCursivandice"/>
        <w:keepNext/>
      </w:pPr>
      <w:r>
        <w:t>Real Decreto Legislativo 1/1994, de 20 de junio. Texto refundido de la Ley general de la Seguridad Social</w:t>
      </w:r>
    </w:p>
    <w:p w14:paraId="2767405F" w14:textId="6F299C6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4FDEBFF6" w14:textId="5BDC99F7" w:rsidR="007D5795" w:rsidRDefault="007D5795" w:rsidP="007D5795">
      <w:pPr>
        <w:pStyle w:val="SangriaFrancesaArticulo"/>
      </w:pPr>
      <w:r w:rsidRPr="007D5795">
        <w:rPr>
          <w:rStyle w:val="TextoNormalNegritaCaracter"/>
        </w:rPr>
        <w:t>Artículo 133 octies.</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7D5BEC31" w14:textId="1E8F7A86" w:rsidR="007D5795" w:rsidRDefault="007D5795" w:rsidP="007D5795">
      <w:pPr>
        <w:pStyle w:val="SangriaFrancesaArticulo"/>
      </w:pPr>
      <w:r w:rsidRPr="007D5795">
        <w:rPr>
          <w:rStyle w:val="TextoNormalNegritaCaracter"/>
        </w:rPr>
        <w:t>Artículo 174.3.</w:t>
      </w:r>
      <w:r w:rsidRPr="007D5795">
        <w:rPr>
          <w:rStyle w:val="TextoNormalCaracter"/>
        </w:rPr>
        <w:t>-</w:t>
      </w:r>
      <w:r>
        <w:t xml:space="preserve"> Auto </w:t>
      </w:r>
      <w:hyperlink w:anchor="AUTO_2024_89" w:history="1">
        <w:r w:rsidRPr="007D5795">
          <w:rPr>
            <w:rStyle w:val="TextoNormalCaracter"/>
          </w:rPr>
          <w:t>89/2024</w:t>
        </w:r>
      </w:hyperlink>
      <w:r>
        <w:t>, f. 1.</w:t>
      </w:r>
    </w:p>
    <w:p w14:paraId="683E92DC" w14:textId="1C2B75F3" w:rsidR="007D5795" w:rsidRDefault="007D5795" w:rsidP="007D5795">
      <w:pPr>
        <w:pStyle w:val="SangriaFrancesaArticulo"/>
      </w:pPr>
      <w:r w:rsidRPr="007D5795">
        <w:rPr>
          <w:rStyle w:val="TextoNormalNegritaCaracter"/>
        </w:rPr>
        <w:t>Artículo 174.3 párrafo 4.</w:t>
      </w:r>
      <w:r w:rsidRPr="007D5795">
        <w:rPr>
          <w:rStyle w:val="TextoNormalCaracter"/>
        </w:rPr>
        <w:t>-</w:t>
      </w:r>
      <w:r>
        <w:t xml:space="preserve"> Auto </w:t>
      </w:r>
      <w:hyperlink w:anchor="AUTO_2024_89" w:history="1">
        <w:r w:rsidRPr="007D5795">
          <w:rPr>
            <w:rStyle w:val="TextoNormalCaracter"/>
          </w:rPr>
          <w:t>89/2024</w:t>
        </w:r>
      </w:hyperlink>
      <w:r>
        <w:t>, f. 3.</w:t>
      </w:r>
    </w:p>
    <w:p w14:paraId="0B06962B" w14:textId="645CE615" w:rsidR="007D5795" w:rsidRDefault="007D5795" w:rsidP="007D5795">
      <w:pPr>
        <w:pStyle w:val="SangriaFrancesaArticulo"/>
      </w:pPr>
      <w:r w:rsidRPr="007D5795">
        <w:rPr>
          <w:rStyle w:val="TextoNormalNegritaCaracter"/>
        </w:rPr>
        <w:t>Artículo 185.1</w:t>
      </w:r>
      <w:r>
        <w:t xml:space="preserve"> (redactado por la Ley 35/2007, de 15 de noviembre)</w:t>
      </w:r>
      <w:r w:rsidRPr="007D5795">
        <w:rPr>
          <w:rStyle w:val="TextoNormalNegritaCaracter"/>
        </w:rPr>
        <w:t>.</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48D7155B" w14:textId="7E5B2E27" w:rsidR="007D5795" w:rsidRDefault="007D5795" w:rsidP="007D5795">
      <w:pPr>
        <w:pStyle w:val="SangriaFrancesaArticulo"/>
      </w:pPr>
    </w:p>
    <w:p w14:paraId="516809C8" w14:textId="77777777" w:rsidR="007D5795" w:rsidRDefault="007D5795" w:rsidP="007D5795">
      <w:pPr>
        <w:pStyle w:val="TextoNormalNegritaCursivandice"/>
        <w:keepNext/>
      </w:pPr>
      <w:r>
        <w:t>Real Decreto Legislativo 1/1995, de 24 de marzo, por el que se aprueba el texto refundido de la Ley del estatuto de los trabajadores</w:t>
      </w:r>
    </w:p>
    <w:p w14:paraId="3C5E4804" w14:textId="0B85B7D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13A6D4F4" w14:textId="62E4FA93" w:rsidR="007D5795" w:rsidRDefault="007D5795" w:rsidP="007D5795">
      <w:pPr>
        <w:pStyle w:val="SangriaFrancesaArticulo"/>
      </w:pPr>
      <w:r w:rsidRPr="007D5795">
        <w:rPr>
          <w:rStyle w:val="TextoNormalNegritaCaracter"/>
        </w:rPr>
        <w:t>Artículo 48 bis.</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6A7B0F5C" w14:textId="0E093E47" w:rsidR="007D5795" w:rsidRDefault="007D5795" w:rsidP="007D5795">
      <w:pPr>
        <w:pStyle w:val="SangriaFrancesaArticulo"/>
      </w:pPr>
    </w:p>
    <w:p w14:paraId="2C7DA4AF" w14:textId="77777777" w:rsidR="007D5795" w:rsidRDefault="007D5795" w:rsidP="007D5795">
      <w:pPr>
        <w:pStyle w:val="TextoNormalNegritaCursivandice"/>
        <w:keepNext/>
      </w:pPr>
      <w:r>
        <w:t>Real Decreto Legislativo 1/1996, de 12 de abril. Texto refundido de la Ley de propiedad intelectual, regularizando, aclarando y armonizando las disposiciones legales vigentes sobre la materia</w:t>
      </w:r>
    </w:p>
    <w:p w14:paraId="7F045477" w14:textId="4BECFAD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33" w:history="1">
        <w:r w:rsidRPr="007D5795">
          <w:rPr>
            <w:rStyle w:val="TextoNormalCaracter"/>
          </w:rPr>
          <w:t>133/2024</w:t>
        </w:r>
      </w:hyperlink>
      <w:r>
        <w:t xml:space="preserve">, f. 2; </w:t>
      </w:r>
      <w:hyperlink w:anchor="SENTENCIA_2024_134" w:history="1">
        <w:r w:rsidRPr="007D5795">
          <w:rPr>
            <w:rStyle w:val="TextoNormalCaracter"/>
          </w:rPr>
          <w:t>134/2024</w:t>
        </w:r>
      </w:hyperlink>
      <w:r>
        <w:t>, f. 2.</w:t>
      </w:r>
    </w:p>
    <w:p w14:paraId="5213DC98" w14:textId="5F028710" w:rsidR="007D5795" w:rsidRDefault="007D5795" w:rsidP="007D5795">
      <w:pPr>
        <w:pStyle w:val="SangriaFrancesaArticulo"/>
      </w:pPr>
    </w:p>
    <w:p w14:paraId="55609D8A" w14:textId="77777777" w:rsidR="007D5795" w:rsidRDefault="007D5795" w:rsidP="007D5795">
      <w:pPr>
        <w:pStyle w:val="TextoNormalNegritaCursivandice"/>
        <w:keepNext/>
      </w:pPr>
      <w:r>
        <w:t>Real Decreto Legislativo 1/2001, de 20 de julio, por el que se aprueba el texto refundido de la Ley de aguas</w:t>
      </w:r>
    </w:p>
    <w:p w14:paraId="655C35C6" w14:textId="6566280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VP.</w:t>
      </w:r>
    </w:p>
    <w:p w14:paraId="73928B12" w14:textId="57EE205B" w:rsidR="007D5795" w:rsidRDefault="007D5795" w:rsidP="007D5795">
      <w:pPr>
        <w:pStyle w:val="SangriaFrancesaArticulo"/>
      </w:pPr>
    </w:p>
    <w:p w14:paraId="4596E10C" w14:textId="77777777" w:rsidR="007D5795" w:rsidRDefault="007D5795" w:rsidP="007D5795">
      <w:pPr>
        <w:pStyle w:val="TextoNormalNegritaCursivandice"/>
        <w:keepNext/>
      </w:pPr>
      <w:r>
        <w:t>Real Decreto Legislativo 2/2004, de 5 de marzo, por el que se aprueba el texto refundido de la Ley reguladora de las haciendas locales</w:t>
      </w:r>
    </w:p>
    <w:p w14:paraId="2293508F" w14:textId="2CE533EA" w:rsidR="007D5795" w:rsidRDefault="007D5795" w:rsidP="007D5795">
      <w:pPr>
        <w:pStyle w:val="SangriaFrancesaArticulo"/>
        <w:keepNext/>
      </w:pPr>
      <w:r w:rsidRPr="007D5795">
        <w:rPr>
          <w:rStyle w:val="TextoNormalNegritaCaracter"/>
        </w:rPr>
        <w:t>En general.</w:t>
      </w:r>
      <w:r w:rsidRPr="007D5795">
        <w:rPr>
          <w:rStyle w:val="TextoNormalCaracter"/>
        </w:rPr>
        <w:t>-</w:t>
      </w:r>
      <w:r>
        <w:t xml:space="preserve"> Sentencia </w:t>
      </w:r>
      <w:hyperlink w:anchor="SENTENCIA_2024_117" w:history="1">
        <w:r w:rsidRPr="007D5795">
          <w:rPr>
            <w:rStyle w:val="TextoNormalCaracter"/>
          </w:rPr>
          <w:t>117/2024</w:t>
        </w:r>
      </w:hyperlink>
      <w:r>
        <w:t>, ff. 1, 3.</w:t>
      </w:r>
    </w:p>
    <w:p w14:paraId="07247887" w14:textId="0A5B55DB" w:rsidR="007D5795" w:rsidRDefault="007D5795" w:rsidP="007D5795">
      <w:pPr>
        <w:pStyle w:val="SangriaIzquierdaArticulo"/>
      </w:pPr>
      <w:r>
        <w:t xml:space="preserve">Auto </w:t>
      </w:r>
      <w:hyperlink w:anchor="AUTO_2024_103" w:history="1">
        <w:r w:rsidRPr="007D5795">
          <w:rPr>
            <w:rStyle w:val="TextoNormalCaracter"/>
          </w:rPr>
          <w:t>103/2024</w:t>
        </w:r>
      </w:hyperlink>
      <w:r>
        <w:t>, f. 1.</w:t>
      </w:r>
    </w:p>
    <w:p w14:paraId="7BED3CDE" w14:textId="23F0302B" w:rsidR="007D5795" w:rsidRDefault="007D5795" w:rsidP="007D5795">
      <w:pPr>
        <w:pStyle w:val="SangriaFrancesaArticulo"/>
      </w:pPr>
      <w:r w:rsidRPr="007D5795">
        <w:rPr>
          <w:rStyle w:val="TextoNormalNegritaCaracter"/>
        </w:rPr>
        <w:t>Artículo 107.1.</w:t>
      </w:r>
      <w:r w:rsidRPr="007D5795">
        <w:rPr>
          <w:rStyle w:val="TextoNormalCaracter"/>
        </w:rPr>
        <w:t>-</w:t>
      </w:r>
      <w:r>
        <w:t xml:space="preserve"> Sentencia </w:t>
      </w:r>
      <w:hyperlink w:anchor="SENTENCIA_2024_117" w:history="1">
        <w:r w:rsidRPr="007D5795">
          <w:rPr>
            <w:rStyle w:val="TextoNormalCaracter"/>
          </w:rPr>
          <w:t>117/2024</w:t>
        </w:r>
      </w:hyperlink>
      <w:r>
        <w:t>, f. 4.</w:t>
      </w:r>
    </w:p>
    <w:p w14:paraId="341E6F86" w14:textId="0B7B3AD3" w:rsidR="007D5795" w:rsidRDefault="007D5795" w:rsidP="007D5795">
      <w:pPr>
        <w:pStyle w:val="SangriaFrancesaArticulo"/>
      </w:pPr>
      <w:r w:rsidRPr="007D5795">
        <w:rPr>
          <w:rStyle w:val="TextoNormalNegritaCaracter"/>
        </w:rPr>
        <w:t>Artículo 107.1 párrafo 2.</w:t>
      </w:r>
      <w:r w:rsidRPr="007D5795">
        <w:rPr>
          <w:rStyle w:val="TextoNormalCaracter"/>
        </w:rPr>
        <w:t>-</w:t>
      </w:r>
      <w:r>
        <w:t xml:space="preserve"> Sentencia </w:t>
      </w:r>
      <w:hyperlink w:anchor="SENTENCIA_2024_117" w:history="1">
        <w:r w:rsidRPr="007D5795">
          <w:rPr>
            <w:rStyle w:val="TextoNormalCaracter"/>
          </w:rPr>
          <w:t>117/2024</w:t>
        </w:r>
      </w:hyperlink>
      <w:r>
        <w:t>, f. 3.</w:t>
      </w:r>
    </w:p>
    <w:p w14:paraId="7B48C93D" w14:textId="1C381DA7" w:rsidR="007D5795" w:rsidRDefault="007D5795" w:rsidP="007D5795">
      <w:pPr>
        <w:pStyle w:val="SangriaFrancesaArticulo"/>
      </w:pPr>
      <w:r w:rsidRPr="007D5795">
        <w:rPr>
          <w:rStyle w:val="TextoNormalNegritaCaracter"/>
        </w:rPr>
        <w:t>Artículo 107.2.</w:t>
      </w:r>
      <w:r w:rsidRPr="007D5795">
        <w:rPr>
          <w:rStyle w:val="TextoNormalCaracter"/>
        </w:rPr>
        <w:t>-</w:t>
      </w:r>
      <w:r>
        <w:t xml:space="preserve"> Sentencia </w:t>
      </w:r>
      <w:hyperlink w:anchor="SENTENCIA_2024_117" w:history="1">
        <w:r w:rsidRPr="007D5795">
          <w:rPr>
            <w:rStyle w:val="TextoNormalCaracter"/>
          </w:rPr>
          <w:t>117/2024</w:t>
        </w:r>
      </w:hyperlink>
      <w:r>
        <w:t>, f. 4.</w:t>
      </w:r>
    </w:p>
    <w:p w14:paraId="00C32F06" w14:textId="47C5DA94" w:rsidR="007D5795" w:rsidRDefault="007D5795" w:rsidP="007D5795">
      <w:pPr>
        <w:pStyle w:val="SangriaFrancesaArticulo"/>
      </w:pPr>
      <w:r w:rsidRPr="007D5795">
        <w:rPr>
          <w:rStyle w:val="TextoNormalNegritaCaracter"/>
        </w:rPr>
        <w:t>Artículo 107.4.</w:t>
      </w:r>
      <w:r w:rsidRPr="007D5795">
        <w:rPr>
          <w:rStyle w:val="TextoNormalCaracter"/>
        </w:rPr>
        <w:t>-</w:t>
      </w:r>
      <w:r>
        <w:t xml:space="preserve"> Sentencia </w:t>
      </w:r>
      <w:hyperlink w:anchor="SENTENCIA_2024_117" w:history="1">
        <w:r w:rsidRPr="007D5795">
          <w:rPr>
            <w:rStyle w:val="TextoNormalCaracter"/>
          </w:rPr>
          <w:t>117/2024</w:t>
        </w:r>
      </w:hyperlink>
      <w:r>
        <w:t>, f. 4.</w:t>
      </w:r>
    </w:p>
    <w:p w14:paraId="3F2F849B" w14:textId="04B45C6B" w:rsidR="007D5795" w:rsidRDefault="007D5795" w:rsidP="007D5795">
      <w:pPr>
        <w:pStyle w:val="SangriaFrancesaArticulo"/>
      </w:pPr>
      <w:r w:rsidRPr="007D5795">
        <w:rPr>
          <w:rStyle w:val="TextoNormalNegritaCaracter"/>
        </w:rPr>
        <w:t>Artículo 110.4.</w:t>
      </w:r>
      <w:r w:rsidRPr="007D5795">
        <w:rPr>
          <w:rStyle w:val="TextoNormalCaracter"/>
        </w:rPr>
        <w:t>-</w:t>
      </w:r>
      <w:r>
        <w:t xml:space="preserve"> Sentencia </w:t>
      </w:r>
      <w:hyperlink w:anchor="SENTENCIA_2024_117" w:history="1">
        <w:r w:rsidRPr="007D5795">
          <w:rPr>
            <w:rStyle w:val="TextoNormalCaracter"/>
          </w:rPr>
          <w:t>117/2024</w:t>
        </w:r>
      </w:hyperlink>
      <w:r>
        <w:t>, f. 2.</w:t>
      </w:r>
    </w:p>
    <w:p w14:paraId="3A79F4C5" w14:textId="73AFED4C" w:rsidR="007D5795" w:rsidRDefault="007D5795" w:rsidP="007D5795">
      <w:pPr>
        <w:pStyle w:val="SangriaFrancesaArticulo"/>
      </w:pPr>
    </w:p>
    <w:p w14:paraId="49313A39" w14:textId="77777777" w:rsidR="007D5795" w:rsidRDefault="007D5795" w:rsidP="007D5795">
      <w:pPr>
        <w:pStyle w:val="TextoNormalNegritaCursivandice"/>
        <w:keepNext/>
      </w:pPr>
      <w:r>
        <w:t>Real Decreto Legislativo 2/2015, de 23 de octubre, por el que se aprueba el texto refundido de la Ley del estatuto de los trabajadores</w:t>
      </w:r>
    </w:p>
    <w:p w14:paraId="1ACA56FE" w14:textId="1E0DDB7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1" w:history="1">
        <w:r w:rsidRPr="007D5795">
          <w:rPr>
            <w:rStyle w:val="TextoNormalCaracter"/>
          </w:rPr>
          <w:t>131/2024</w:t>
        </w:r>
      </w:hyperlink>
      <w:r>
        <w:t>, f. 2.</w:t>
      </w:r>
    </w:p>
    <w:p w14:paraId="592D5ADF" w14:textId="620A5CD1"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Auto </w:t>
      </w:r>
      <w:hyperlink w:anchor="AUTO_2024_73" w:history="1">
        <w:r w:rsidRPr="007D5795">
          <w:rPr>
            <w:rStyle w:val="TextoNormalCaracter"/>
          </w:rPr>
          <w:t>73/2024</w:t>
        </w:r>
      </w:hyperlink>
      <w:r>
        <w:t>, f. 4.</w:t>
      </w:r>
    </w:p>
    <w:p w14:paraId="3EC599EF" w14:textId="4239DE14" w:rsidR="007D5795" w:rsidRDefault="007D5795" w:rsidP="007D5795">
      <w:pPr>
        <w:pStyle w:val="SangriaFrancesaArticulo"/>
      </w:pPr>
      <w:r w:rsidRPr="007D5795">
        <w:rPr>
          <w:rStyle w:val="TextoNormalNegritaCaracter"/>
        </w:rPr>
        <w:t>Artículo 1.3.</w:t>
      </w:r>
      <w:r w:rsidRPr="007D5795">
        <w:rPr>
          <w:rStyle w:val="TextoNormalCaracter"/>
        </w:rPr>
        <w:t>-</w:t>
      </w:r>
      <w:r>
        <w:t xml:space="preserve"> Auto </w:t>
      </w:r>
      <w:hyperlink w:anchor="AUTO_2024_73" w:history="1">
        <w:r w:rsidRPr="007D5795">
          <w:rPr>
            <w:rStyle w:val="TextoNormalCaracter"/>
          </w:rPr>
          <w:t>73/2024</w:t>
        </w:r>
      </w:hyperlink>
      <w:r>
        <w:t>, f. 4.</w:t>
      </w:r>
    </w:p>
    <w:p w14:paraId="60FEDC1A" w14:textId="01A8BD51" w:rsidR="007D5795" w:rsidRDefault="007D5795" w:rsidP="007D5795">
      <w:pPr>
        <w:pStyle w:val="SangriaFrancesaArticulo"/>
      </w:pPr>
      <w:r w:rsidRPr="007D5795">
        <w:rPr>
          <w:rStyle w:val="TextoNormalNegritaCaracter"/>
        </w:rPr>
        <w:t>Artículo 1.3 e).</w:t>
      </w:r>
      <w:r w:rsidRPr="007D5795">
        <w:rPr>
          <w:rStyle w:val="TextoNormalCaracter"/>
        </w:rPr>
        <w:t>-</w:t>
      </w:r>
      <w:r>
        <w:t xml:space="preserve"> Auto </w:t>
      </w:r>
      <w:hyperlink w:anchor="AUTO_2024_73" w:history="1">
        <w:r w:rsidRPr="007D5795">
          <w:rPr>
            <w:rStyle w:val="TextoNormalCaracter"/>
          </w:rPr>
          <w:t>73/2024</w:t>
        </w:r>
      </w:hyperlink>
      <w:r>
        <w:t>, f. 4.</w:t>
      </w:r>
    </w:p>
    <w:p w14:paraId="2A809119" w14:textId="43F23EC2" w:rsidR="007D5795" w:rsidRDefault="007D5795" w:rsidP="007D5795">
      <w:pPr>
        <w:pStyle w:val="SangriaFrancesaArticulo"/>
      </w:pPr>
      <w:r w:rsidRPr="007D5795">
        <w:rPr>
          <w:rStyle w:val="TextoNormalNegritaCaracter"/>
        </w:rPr>
        <w:t>Artículo 48</w:t>
      </w:r>
      <w:r>
        <w:t xml:space="preserve"> (redactado por el Real Decreto-ley 6/2019, de 1 de marzo)</w:t>
      </w:r>
      <w:r w:rsidRPr="007D5795">
        <w:rPr>
          <w:rStyle w:val="TextoNormalNegritaCaracter"/>
        </w:rPr>
        <w:t>.</w:t>
      </w:r>
      <w:r w:rsidRPr="007D5795">
        <w:rPr>
          <w:rStyle w:val="TextoNormalCaracter"/>
        </w:rPr>
        <w:t>-</w:t>
      </w:r>
      <w:r>
        <w:t xml:space="preserve"> Sentencia </w:t>
      </w:r>
      <w:hyperlink w:anchor="SENTENCIA_2024_140" w:history="1">
        <w:r w:rsidRPr="007D5795">
          <w:rPr>
            <w:rStyle w:val="TextoNormalCaracter"/>
          </w:rPr>
          <w:t>140/2024</w:t>
        </w:r>
      </w:hyperlink>
      <w:r>
        <w:t>, f. 2.</w:t>
      </w:r>
    </w:p>
    <w:p w14:paraId="153C8A85" w14:textId="1C3626A1" w:rsidR="007D5795" w:rsidRDefault="007D5795" w:rsidP="007D5795">
      <w:pPr>
        <w:pStyle w:val="SangriaFrancesaArticulo"/>
      </w:pPr>
      <w:r w:rsidRPr="007D5795">
        <w:rPr>
          <w:rStyle w:val="TextoNormalNegritaCaracter"/>
        </w:rPr>
        <w:t>Artículo 48.4</w:t>
      </w:r>
      <w:r>
        <w:t xml:space="preserve"> (redactado por el Real Decreto-ley 6/2019, de 1 de marzo)</w:t>
      </w:r>
      <w:r w:rsidRPr="007D5795">
        <w:rPr>
          <w:rStyle w:val="TextoNormalNegritaCaracter"/>
        </w:rPr>
        <w:t>.</w:t>
      </w:r>
      <w:r w:rsidRPr="007D5795">
        <w:rPr>
          <w:rStyle w:val="TextoNormalCaracter"/>
        </w:rPr>
        <w:t>-</w:t>
      </w:r>
      <w:r>
        <w:t xml:space="preserve"> Sentencias </w:t>
      </w:r>
      <w:hyperlink w:anchor="SENTENCIA_2024_140" w:history="1">
        <w:r w:rsidRPr="007D5795">
          <w:rPr>
            <w:rStyle w:val="TextoNormalCaracter"/>
          </w:rPr>
          <w:t>140/2024</w:t>
        </w:r>
      </w:hyperlink>
      <w:r>
        <w:t xml:space="preserve">, ff. 1 a 7, VP I, VP II; </w:t>
      </w:r>
      <w:hyperlink w:anchor="SENTENCIA_2024_147" w:history="1">
        <w:r w:rsidRPr="007D5795">
          <w:rPr>
            <w:rStyle w:val="TextoNormalCaracter"/>
          </w:rPr>
          <w:t>147/2024</w:t>
        </w:r>
      </w:hyperlink>
      <w:r>
        <w:t xml:space="preserve">, ff. 1 a 3; </w:t>
      </w:r>
      <w:hyperlink w:anchor="SENTENCIA_2024_149" w:history="1">
        <w:r w:rsidRPr="007D5795">
          <w:rPr>
            <w:rStyle w:val="TextoNormalCaracter"/>
          </w:rPr>
          <w:t>149/2024</w:t>
        </w:r>
      </w:hyperlink>
      <w:r>
        <w:t xml:space="preserve">, ff. 1 a 3; </w:t>
      </w:r>
      <w:hyperlink w:anchor="SENTENCIA_2024_150" w:history="1">
        <w:r w:rsidRPr="007D5795">
          <w:rPr>
            <w:rStyle w:val="TextoNormalCaracter"/>
          </w:rPr>
          <w:t>150/2024</w:t>
        </w:r>
      </w:hyperlink>
      <w:r>
        <w:t xml:space="preserve">, ff. 1 a 3; </w:t>
      </w:r>
      <w:hyperlink w:anchor="SENTENCIA_2024_151" w:history="1">
        <w:r w:rsidRPr="007D5795">
          <w:rPr>
            <w:rStyle w:val="TextoNormalCaracter"/>
          </w:rPr>
          <w:t>151/2024</w:t>
        </w:r>
      </w:hyperlink>
      <w:r>
        <w:t xml:space="preserve">, ff. 1, 3; </w:t>
      </w:r>
      <w:hyperlink w:anchor="SENTENCIA_2024_155" w:history="1">
        <w:r w:rsidRPr="007D5795">
          <w:rPr>
            <w:rStyle w:val="TextoNormalCaracter"/>
          </w:rPr>
          <w:t>155/2024</w:t>
        </w:r>
      </w:hyperlink>
      <w:r>
        <w:t>, ff. 1.</w:t>
      </w:r>
    </w:p>
    <w:p w14:paraId="2A27DF32" w14:textId="598AAAC0" w:rsidR="007D5795" w:rsidRDefault="007D5795" w:rsidP="007D5795">
      <w:pPr>
        <w:pStyle w:val="SangriaFrancesaArticulo"/>
      </w:pPr>
      <w:r w:rsidRPr="007D5795">
        <w:rPr>
          <w:rStyle w:val="TextoNormalNegritaCaracter"/>
        </w:rPr>
        <w:t>Artículo 48.4</w:t>
      </w:r>
      <w:r>
        <w:t xml:space="preserve"> (redactado por la Ley 4/2023, de 28 de febrero)</w:t>
      </w:r>
      <w:r w:rsidRPr="007D5795">
        <w:rPr>
          <w:rStyle w:val="TextoNormalNegritaCaracter"/>
        </w:rPr>
        <w:t>.</w:t>
      </w:r>
      <w:r w:rsidRPr="007D5795">
        <w:rPr>
          <w:rStyle w:val="TextoNormalCaracter"/>
        </w:rPr>
        <w:t>-</w:t>
      </w:r>
      <w:r>
        <w:t xml:space="preserve"> Sentencia </w:t>
      </w:r>
      <w:hyperlink w:anchor="SENTENCIA_2024_140" w:history="1">
        <w:r w:rsidRPr="007D5795">
          <w:rPr>
            <w:rStyle w:val="TextoNormalCaracter"/>
          </w:rPr>
          <w:t>140/2024</w:t>
        </w:r>
      </w:hyperlink>
      <w:r>
        <w:t>, f. 1.</w:t>
      </w:r>
    </w:p>
    <w:p w14:paraId="37B98C32" w14:textId="00062800" w:rsidR="007D5795" w:rsidRDefault="007D5795" w:rsidP="007D5795">
      <w:pPr>
        <w:pStyle w:val="SangriaFrancesaArticulo"/>
      </w:pPr>
      <w:r w:rsidRPr="007D5795">
        <w:rPr>
          <w:rStyle w:val="TextoNormalNegritaCaracter"/>
        </w:rPr>
        <w:t>Artículo 48.5</w:t>
      </w:r>
      <w:r>
        <w:t xml:space="preserve"> (redactado por el Real Decreto-ley 6/2019, de 1 de marzo)</w:t>
      </w:r>
      <w:r w:rsidRPr="007D5795">
        <w:rPr>
          <w:rStyle w:val="TextoNormalNegritaCaracter"/>
        </w:rPr>
        <w:t>.</w:t>
      </w:r>
      <w:r w:rsidRPr="007D5795">
        <w:rPr>
          <w:rStyle w:val="TextoNormalCaracter"/>
        </w:rPr>
        <w:t>-</w:t>
      </w:r>
      <w:r>
        <w:t xml:space="preserve"> Sentencia </w:t>
      </w:r>
      <w:hyperlink w:anchor="SENTENCIA_2024_140" w:history="1">
        <w:r w:rsidRPr="007D5795">
          <w:rPr>
            <w:rStyle w:val="TextoNormalCaracter"/>
          </w:rPr>
          <w:t>140/2024</w:t>
        </w:r>
      </w:hyperlink>
      <w:r>
        <w:t>, ff. 1 a 3, VP II.</w:t>
      </w:r>
    </w:p>
    <w:p w14:paraId="083E3764" w14:textId="7B0D1C45" w:rsidR="007D5795" w:rsidRDefault="007D5795" w:rsidP="007D5795">
      <w:pPr>
        <w:pStyle w:val="SangriaFrancesaArticulo"/>
      </w:pPr>
      <w:r w:rsidRPr="007D5795">
        <w:rPr>
          <w:rStyle w:val="TextoNormalNegritaCaracter"/>
        </w:rPr>
        <w:t>Artículo 48.6</w:t>
      </w:r>
      <w:r>
        <w:t xml:space="preserve"> (redactado por el Real Decreto-ley 5/2023, de 28 de junio)</w:t>
      </w:r>
      <w:r w:rsidRPr="007D5795">
        <w:rPr>
          <w:rStyle w:val="TextoNormalNegritaCaracter"/>
        </w:rPr>
        <w:t>.</w:t>
      </w:r>
      <w:r w:rsidRPr="007D5795">
        <w:rPr>
          <w:rStyle w:val="TextoNormalCaracter"/>
        </w:rPr>
        <w:t>-</w:t>
      </w:r>
      <w:r>
        <w:t xml:space="preserve"> Sentencia </w:t>
      </w:r>
      <w:hyperlink w:anchor="SENTENCIA_2024_140" w:history="1">
        <w:r w:rsidRPr="007D5795">
          <w:rPr>
            <w:rStyle w:val="TextoNormalCaracter"/>
          </w:rPr>
          <w:t>140/2024</w:t>
        </w:r>
      </w:hyperlink>
      <w:r>
        <w:t>, ff. 1, 3.</w:t>
      </w:r>
    </w:p>
    <w:p w14:paraId="118FED72" w14:textId="193EB9CC" w:rsidR="007D5795" w:rsidRDefault="007D5795" w:rsidP="007D5795">
      <w:pPr>
        <w:pStyle w:val="SangriaFrancesaArticulo"/>
      </w:pPr>
      <w:r w:rsidRPr="007D5795">
        <w:rPr>
          <w:rStyle w:val="TextoNormalNegritaCaracter"/>
        </w:rPr>
        <w:t>Artículo 48.6</w:t>
      </w:r>
      <w:r>
        <w:t xml:space="preserve"> (redactado por el Real Decreto-ley 6/2019, de 1 de marzo)</w:t>
      </w:r>
      <w:r w:rsidRPr="007D5795">
        <w:rPr>
          <w:rStyle w:val="TextoNormalNegritaCaracter"/>
        </w:rPr>
        <w:t>.</w:t>
      </w:r>
      <w:r w:rsidRPr="007D5795">
        <w:rPr>
          <w:rStyle w:val="TextoNormalCaracter"/>
        </w:rPr>
        <w:t>-</w:t>
      </w:r>
      <w:r>
        <w:t xml:space="preserve"> Sentencia </w:t>
      </w:r>
      <w:hyperlink w:anchor="SENTENCIA_2024_140" w:history="1">
        <w:r w:rsidRPr="007D5795">
          <w:rPr>
            <w:rStyle w:val="TextoNormalCaracter"/>
          </w:rPr>
          <w:t>140/2024</w:t>
        </w:r>
      </w:hyperlink>
      <w:r>
        <w:t>, ff. 1, 2. VP II.</w:t>
      </w:r>
    </w:p>
    <w:p w14:paraId="1733AE19" w14:textId="34AAA530" w:rsidR="007D5795" w:rsidRDefault="007D5795" w:rsidP="007D5795">
      <w:pPr>
        <w:pStyle w:val="SangriaFrancesaArticulo"/>
      </w:pPr>
    </w:p>
    <w:p w14:paraId="07E40E22" w14:textId="77777777" w:rsidR="007D5795" w:rsidRDefault="007D5795" w:rsidP="007D5795">
      <w:pPr>
        <w:pStyle w:val="TextoNormalNegritaCursivandice"/>
        <w:keepNext/>
      </w:pPr>
      <w:r>
        <w:t>Real Decreto Legislativo 5/2015, de 30 de octubre, por el que se aprueba el texto refundido de la Ley del estatuto básico del empleado público</w:t>
      </w:r>
    </w:p>
    <w:p w14:paraId="14C7D358" w14:textId="7B9975D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48D0A6C0" w14:textId="4EAE5B13" w:rsidR="007D5795" w:rsidRDefault="007D5795" w:rsidP="007D5795">
      <w:pPr>
        <w:pStyle w:val="SangriaFrancesaArticulo"/>
      </w:pPr>
      <w:r w:rsidRPr="007D5795">
        <w:rPr>
          <w:rStyle w:val="TextoNormalNegritaCaracter"/>
        </w:rPr>
        <w:t>Artículo 49.</w:t>
      </w:r>
      <w:r w:rsidRPr="007D5795">
        <w:rPr>
          <w:rStyle w:val="TextoNormalCaracter"/>
        </w:rPr>
        <w:t>-</w:t>
      </w:r>
      <w:r>
        <w:t xml:space="preserve"> Sentencia </w:t>
      </w:r>
      <w:hyperlink w:anchor="SENTENCIA_2024_140" w:history="1">
        <w:r w:rsidRPr="007D5795">
          <w:rPr>
            <w:rStyle w:val="TextoNormalCaracter"/>
          </w:rPr>
          <w:t>140/2024</w:t>
        </w:r>
      </w:hyperlink>
      <w:r>
        <w:t>, f. 3, VP II.</w:t>
      </w:r>
    </w:p>
    <w:p w14:paraId="0E31E34D" w14:textId="6FEA2B79" w:rsidR="007D5795" w:rsidRDefault="007D5795" w:rsidP="007D5795">
      <w:pPr>
        <w:pStyle w:val="SangriaFrancesaArticulo"/>
      </w:pPr>
      <w:r w:rsidRPr="007D5795">
        <w:rPr>
          <w:rStyle w:val="TextoNormalNegritaCaracter"/>
        </w:rPr>
        <w:t>Artículo 49 a).</w:t>
      </w:r>
      <w:r w:rsidRPr="007D5795">
        <w:rPr>
          <w:rStyle w:val="TextoNormalCaracter"/>
        </w:rPr>
        <w:t>-</w:t>
      </w:r>
      <w:r>
        <w:t xml:space="preserve"> Sentencia </w:t>
      </w:r>
      <w:hyperlink w:anchor="SENTENCIA_2024_140" w:history="1">
        <w:r w:rsidRPr="007D5795">
          <w:rPr>
            <w:rStyle w:val="TextoNormalCaracter"/>
          </w:rPr>
          <w:t>140/2024</w:t>
        </w:r>
      </w:hyperlink>
      <w:r>
        <w:t>, ff. 2, 3.</w:t>
      </w:r>
    </w:p>
    <w:p w14:paraId="7F5FE46C" w14:textId="0692DAFE" w:rsidR="007D5795" w:rsidRDefault="007D5795" w:rsidP="007D5795">
      <w:pPr>
        <w:pStyle w:val="SangriaFrancesaArticulo"/>
      </w:pPr>
      <w:r w:rsidRPr="007D5795">
        <w:rPr>
          <w:rStyle w:val="TextoNormalNegritaCaracter"/>
        </w:rPr>
        <w:t>Artículo 49 b).</w:t>
      </w:r>
      <w:r w:rsidRPr="007D5795">
        <w:rPr>
          <w:rStyle w:val="TextoNormalCaracter"/>
        </w:rPr>
        <w:t>-</w:t>
      </w:r>
      <w:r>
        <w:t xml:space="preserve"> Sentencia </w:t>
      </w:r>
      <w:hyperlink w:anchor="SENTENCIA_2024_140" w:history="1">
        <w:r w:rsidRPr="007D5795">
          <w:rPr>
            <w:rStyle w:val="TextoNormalCaracter"/>
          </w:rPr>
          <w:t>140/2024</w:t>
        </w:r>
      </w:hyperlink>
      <w:r>
        <w:t>, ff. 2, 3.</w:t>
      </w:r>
    </w:p>
    <w:p w14:paraId="4DC5AB3E" w14:textId="69D34B95" w:rsidR="007D5795" w:rsidRDefault="007D5795" w:rsidP="007D5795">
      <w:pPr>
        <w:pStyle w:val="SangriaFrancesaArticulo"/>
      </w:pPr>
      <w:r w:rsidRPr="007D5795">
        <w:rPr>
          <w:rStyle w:val="TextoNormalNegritaCaracter"/>
        </w:rPr>
        <w:t>Artículo 49 c).</w:t>
      </w:r>
      <w:r w:rsidRPr="007D5795">
        <w:rPr>
          <w:rStyle w:val="TextoNormalCaracter"/>
        </w:rPr>
        <w:t>-</w:t>
      </w:r>
      <w:r>
        <w:t xml:space="preserve"> Sentencia </w:t>
      </w:r>
      <w:hyperlink w:anchor="SENTENCIA_2024_140" w:history="1">
        <w:r w:rsidRPr="007D5795">
          <w:rPr>
            <w:rStyle w:val="TextoNormalCaracter"/>
          </w:rPr>
          <w:t>140/2024</w:t>
        </w:r>
      </w:hyperlink>
      <w:r>
        <w:t>, f. 2.</w:t>
      </w:r>
    </w:p>
    <w:p w14:paraId="56895EEA" w14:textId="097F5E52" w:rsidR="007D5795" w:rsidRDefault="007D5795" w:rsidP="007D5795">
      <w:pPr>
        <w:pStyle w:val="SangriaFrancesaArticulo"/>
      </w:pPr>
      <w:r w:rsidRPr="007D5795">
        <w:rPr>
          <w:rStyle w:val="TextoNormalNegritaCaracter"/>
        </w:rPr>
        <w:t>Artículo 61.6.</w:t>
      </w:r>
      <w:r w:rsidRPr="007D5795">
        <w:rPr>
          <w:rStyle w:val="TextoNormalCaracter"/>
        </w:rPr>
        <w:t>-</w:t>
      </w:r>
      <w:r>
        <w:t xml:space="preserve"> Auto </w:t>
      </w:r>
      <w:hyperlink w:anchor="AUTO_2024_115" w:history="1">
        <w:r w:rsidRPr="007D5795">
          <w:rPr>
            <w:rStyle w:val="TextoNormalCaracter"/>
          </w:rPr>
          <w:t>115/2024</w:t>
        </w:r>
      </w:hyperlink>
      <w:r>
        <w:t>, f. único.</w:t>
      </w:r>
    </w:p>
    <w:p w14:paraId="3BD4E1C8" w14:textId="70E68501" w:rsidR="007D5795" w:rsidRDefault="007D5795" w:rsidP="007D5795">
      <w:pPr>
        <w:pStyle w:val="SangriaFrancesaArticulo"/>
      </w:pPr>
    </w:p>
    <w:p w14:paraId="5FF7F9C0" w14:textId="77777777" w:rsidR="007D5795" w:rsidRDefault="007D5795" w:rsidP="007D5795">
      <w:pPr>
        <w:pStyle w:val="TextoNormalNegritaCursivandice"/>
        <w:keepNext/>
      </w:pPr>
      <w:r>
        <w:t>Real Decreto Legislativo 7/2015, de 30 de octubre, por el que se aprueba el texto refundido de la Ley de suelo y rehabilitación urbana</w:t>
      </w:r>
    </w:p>
    <w:p w14:paraId="2960D831" w14:textId="34BDFDCA"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5DCD8F36" w14:textId="31FBF132" w:rsidR="007D5795" w:rsidRDefault="007D5795" w:rsidP="007D5795">
      <w:pPr>
        <w:pStyle w:val="SangriaFrancesaArticulo"/>
      </w:pPr>
    </w:p>
    <w:p w14:paraId="78286362" w14:textId="77777777" w:rsidR="007D5795" w:rsidRDefault="007D5795" w:rsidP="007D5795">
      <w:pPr>
        <w:pStyle w:val="TextoNormalNegritaCursivandice"/>
        <w:keepNext/>
      </w:pPr>
      <w:r>
        <w:t>Real Decreto Legislativo 8/2015, de 30 de octubre, por el que se aprueba el texto refundido de la Ley general de la Seguridad Social</w:t>
      </w:r>
    </w:p>
    <w:p w14:paraId="7710543B" w14:textId="2D9CB46F" w:rsidR="007D5795" w:rsidRDefault="007D5795" w:rsidP="007D5795">
      <w:pPr>
        <w:pStyle w:val="SangriaFrancesaArticulo"/>
      </w:pPr>
      <w:r w:rsidRPr="007D5795">
        <w:rPr>
          <w:rStyle w:val="TextoNormalNegritaCaracter"/>
        </w:rPr>
        <w:t>Artículo 12.</w:t>
      </w:r>
      <w:r w:rsidRPr="007D5795">
        <w:rPr>
          <w:rStyle w:val="TextoNormalCaracter"/>
        </w:rPr>
        <w:t>-</w:t>
      </w:r>
      <w:r>
        <w:t xml:space="preserve"> Auto </w:t>
      </w:r>
      <w:hyperlink w:anchor="AUTO_2024_73" w:history="1">
        <w:r w:rsidRPr="007D5795">
          <w:rPr>
            <w:rStyle w:val="TextoNormalCaracter"/>
          </w:rPr>
          <w:t>73/2024</w:t>
        </w:r>
      </w:hyperlink>
      <w:r>
        <w:t>, f. 4.</w:t>
      </w:r>
    </w:p>
    <w:p w14:paraId="5C849A51" w14:textId="1495494A" w:rsidR="007D5795" w:rsidRDefault="007D5795" w:rsidP="007D5795">
      <w:pPr>
        <w:pStyle w:val="SangriaFrancesaArticulo"/>
      </w:pPr>
      <w:r w:rsidRPr="007D5795">
        <w:rPr>
          <w:rStyle w:val="TextoNormalNegritaCaracter"/>
        </w:rPr>
        <w:t>Artículo 12.1.</w:t>
      </w:r>
      <w:r w:rsidRPr="007D5795">
        <w:rPr>
          <w:rStyle w:val="TextoNormalCaracter"/>
        </w:rPr>
        <w:t>-</w:t>
      </w:r>
      <w:r>
        <w:t xml:space="preserve"> Auto </w:t>
      </w:r>
      <w:hyperlink w:anchor="AUTO_2024_73" w:history="1">
        <w:r w:rsidRPr="007D5795">
          <w:rPr>
            <w:rStyle w:val="TextoNormalCaracter"/>
          </w:rPr>
          <w:t>73/2024</w:t>
        </w:r>
      </w:hyperlink>
      <w:r>
        <w:t>, f. 4.</w:t>
      </w:r>
    </w:p>
    <w:p w14:paraId="6204CCE9" w14:textId="0ADC9932" w:rsidR="007D5795" w:rsidRDefault="007D5795" w:rsidP="007D5795">
      <w:pPr>
        <w:pStyle w:val="SangriaFrancesaArticulo"/>
      </w:pPr>
      <w:r w:rsidRPr="007D5795">
        <w:rPr>
          <w:rStyle w:val="TextoNormalNegritaCaracter"/>
        </w:rPr>
        <w:t>Artículo 12.2.</w:t>
      </w:r>
      <w:r w:rsidRPr="007D5795">
        <w:rPr>
          <w:rStyle w:val="TextoNormalCaracter"/>
        </w:rPr>
        <w:t>-</w:t>
      </w:r>
      <w:r>
        <w:t xml:space="preserve"> Auto </w:t>
      </w:r>
      <w:hyperlink w:anchor="AUTO_2024_73" w:history="1">
        <w:r w:rsidRPr="007D5795">
          <w:rPr>
            <w:rStyle w:val="TextoNormalCaracter"/>
          </w:rPr>
          <w:t>73/2024</w:t>
        </w:r>
      </w:hyperlink>
      <w:r>
        <w:t>, ff. 1, 4, 5.</w:t>
      </w:r>
    </w:p>
    <w:p w14:paraId="7B0D2569" w14:textId="058D4B20" w:rsidR="007D5795" w:rsidRDefault="007D5795" w:rsidP="007D5795">
      <w:pPr>
        <w:pStyle w:val="SangriaFrancesaArticulo"/>
      </w:pPr>
      <w:r w:rsidRPr="007D5795">
        <w:rPr>
          <w:rStyle w:val="TextoNormalNegritaCaracter"/>
        </w:rPr>
        <w:t>Artículo 12.2, párrafo 2.</w:t>
      </w:r>
      <w:r w:rsidRPr="007D5795">
        <w:rPr>
          <w:rStyle w:val="TextoNormalCaracter"/>
        </w:rPr>
        <w:t>-</w:t>
      </w:r>
      <w:r>
        <w:t xml:space="preserve"> Auto </w:t>
      </w:r>
      <w:hyperlink w:anchor="AUTO_2024_73" w:history="1">
        <w:r w:rsidRPr="007D5795">
          <w:rPr>
            <w:rStyle w:val="TextoNormalCaracter"/>
          </w:rPr>
          <w:t>73/2024</w:t>
        </w:r>
      </w:hyperlink>
      <w:r>
        <w:t>, ff. 4, 5.</w:t>
      </w:r>
    </w:p>
    <w:p w14:paraId="42E59A62" w14:textId="19D70173" w:rsidR="007D5795" w:rsidRDefault="007D5795" w:rsidP="007D5795">
      <w:pPr>
        <w:pStyle w:val="SangriaFrancesaArticulo"/>
      </w:pPr>
      <w:r w:rsidRPr="007D5795">
        <w:rPr>
          <w:rStyle w:val="TextoNormalNegritaCaracter"/>
        </w:rPr>
        <w:t>Artículo 12.2, párrafo 2, a).</w:t>
      </w:r>
      <w:r w:rsidRPr="007D5795">
        <w:rPr>
          <w:rStyle w:val="TextoNormalCaracter"/>
        </w:rPr>
        <w:t>-</w:t>
      </w:r>
      <w:r>
        <w:t xml:space="preserve"> Auto </w:t>
      </w:r>
      <w:hyperlink w:anchor="AUTO_2024_73" w:history="1">
        <w:r w:rsidRPr="007D5795">
          <w:rPr>
            <w:rStyle w:val="TextoNormalCaracter"/>
          </w:rPr>
          <w:t>73/2024</w:t>
        </w:r>
      </w:hyperlink>
      <w:r>
        <w:t>, f. 4.</w:t>
      </w:r>
    </w:p>
    <w:p w14:paraId="5A9FA224" w14:textId="6B8F2B81" w:rsidR="007D5795" w:rsidRDefault="007D5795" w:rsidP="007D5795">
      <w:pPr>
        <w:pStyle w:val="SangriaFrancesaArticulo"/>
      </w:pPr>
      <w:r w:rsidRPr="007D5795">
        <w:rPr>
          <w:rStyle w:val="TextoNormalNegritaCaracter"/>
        </w:rPr>
        <w:t>Artículo 165.1.</w:t>
      </w:r>
      <w:r w:rsidRPr="007D5795">
        <w:rPr>
          <w:rStyle w:val="TextoNormalCaracter"/>
        </w:rPr>
        <w:t>-</w:t>
      </w:r>
      <w:r>
        <w:t xml:space="preserve"> Sentencia </w:t>
      </w:r>
      <w:hyperlink w:anchor="SENTENCIA_2024_140" w:history="1">
        <w:r w:rsidRPr="007D5795">
          <w:rPr>
            <w:rStyle w:val="TextoNormalCaracter"/>
          </w:rPr>
          <w:t>140/2024</w:t>
        </w:r>
      </w:hyperlink>
      <w:r>
        <w:t>, ff. 2, 3.</w:t>
      </w:r>
    </w:p>
    <w:p w14:paraId="61D0B54E" w14:textId="11210835" w:rsidR="007D5795" w:rsidRDefault="007D5795" w:rsidP="007D5795">
      <w:pPr>
        <w:pStyle w:val="SangriaFrancesaArticulo"/>
      </w:pPr>
      <w:r w:rsidRPr="007D5795">
        <w:rPr>
          <w:rStyle w:val="TextoNormalNegritaCaracter"/>
        </w:rPr>
        <w:t>Artículo 174.3 párrafo 4.</w:t>
      </w:r>
      <w:r w:rsidRPr="007D5795">
        <w:rPr>
          <w:rStyle w:val="TextoNormalCaracter"/>
        </w:rPr>
        <w:t>-</w:t>
      </w:r>
      <w:r>
        <w:t xml:space="preserve"> Auto </w:t>
      </w:r>
      <w:hyperlink w:anchor="AUTO_2024_101" w:history="1">
        <w:r w:rsidRPr="007D5795">
          <w:rPr>
            <w:rStyle w:val="TextoNormalCaracter"/>
          </w:rPr>
          <w:t>101/2024</w:t>
        </w:r>
      </w:hyperlink>
      <w:r>
        <w:t>, f. 2.</w:t>
      </w:r>
    </w:p>
    <w:p w14:paraId="28B8BFE2" w14:textId="030DE589" w:rsidR="007D5795" w:rsidRDefault="007D5795" w:rsidP="007D5795">
      <w:pPr>
        <w:pStyle w:val="SangriaFrancesaArticulo"/>
      </w:pPr>
      <w:r w:rsidRPr="007D5795">
        <w:rPr>
          <w:rStyle w:val="TextoNormalNegritaCaracter"/>
        </w:rPr>
        <w:t>Artículo 177</w:t>
      </w:r>
      <w:r>
        <w:t xml:space="preserve"> (redactado por el Real Decreto-ley 6/2019, de 1 de marzo)</w:t>
      </w:r>
      <w:r w:rsidRPr="007D5795">
        <w:rPr>
          <w:rStyle w:val="TextoNormalNegritaCaracter"/>
        </w:rPr>
        <w:t>.</w:t>
      </w:r>
      <w:r w:rsidRPr="007D5795">
        <w:rPr>
          <w:rStyle w:val="TextoNormalCaracter"/>
        </w:rPr>
        <w:t>-</w:t>
      </w:r>
      <w:r>
        <w:t xml:space="preserve"> Sentencias </w:t>
      </w:r>
      <w:hyperlink w:anchor="SENTENCIA_2024_140" w:history="1">
        <w:r w:rsidRPr="007D5795">
          <w:rPr>
            <w:rStyle w:val="TextoNormalCaracter"/>
          </w:rPr>
          <w:t>140/2024</w:t>
        </w:r>
      </w:hyperlink>
      <w:r>
        <w:t xml:space="preserve">, ff. 1 a 7, VP I, VP II; </w:t>
      </w:r>
      <w:hyperlink w:anchor="SENTENCIA_2024_147" w:history="1">
        <w:r w:rsidRPr="007D5795">
          <w:rPr>
            <w:rStyle w:val="TextoNormalCaracter"/>
          </w:rPr>
          <w:t>147/2024</w:t>
        </w:r>
      </w:hyperlink>
      <w:r>
        <w:t xml:space="preserve">, ff. 1 a 3; </w:t>
      </w:r>
      <w:hyperlink w:anchor="SENTENCIA_2024_149" w:history="1">
        <w:r w:rsidRPr="007D5795">
          <w:rPr>
            <w:rStyle w:val="TextoNormalCaracter"/>
          </w:rPr>
          <w:t>149/2024</w:t>
        </w:r>
      </w:hyperlink>
      <w:r>
        <w:t xml:space="preserve">, ff. 1 a 3; </w:t>
      </w:r>
      <w:hyperlink w:anchor="SENTENCIA_2024_150" w:history="1">
        <w:r w:rsidRPr="007D5795">
          <w:rPr>
            <w:rStyle w:val="TextoNormalCaracter"/>
          </w:rPr>
          <w:t>150/2024</w:t>
        </w:r>
      </w:hyperlink>
      <w:r>
        <w:t xml:space="preserve">, ff. 1 a 3; </w:t>
      </w:r>
      <w:hyperlink w:anchor="SENTENCIA_2024_151" w:history="1">
        <w:r w:rsidRPr="007D5795">
          <w:rPr>
            <w:rStyle w:val="TextoNormalCaracter"/>
          </w:rPr>
          <w:t>151/2024</w:t>
        </w:r>
      </w:hyperlink>
      <w:r>
        <w:t xml:space="preserve">, ff. 1, 3; </w:t>
      </w:r>
      <w:hyperlink w:anchor="SENTENCIA_2024_155" w:history="1">
        <w:r w:rsidRPr="007D5795">
          <w:rPr>
            <w:rStyle w:val="TextoNormalCaracter"/>
          </w:rPr>
          <w:t>155/2024</w:t>
        </w:r>
      </w:hyperlink>
      <w:r>
        <w:t>, f.1.</w:t>
      </w:r>
    </w:p>
    <w:p w14:paraId="4AFCE15E" w14:textId="76DC9431" w:rsidR="007D5795" w:rsidRDefault="007D5795" w:rsidP="007D5795">
      <w:pPr>
        <w:pStyle w:val="SangriaFrancesaArticulo"/>
      </w:pPr>
      <w:r w:rsidRPr="007D5795">
        <w:rPr>
          <w:rStyle w:val="TextoNormalNegritaCaracter"/>
        </w:rPr>
        <w:t>Artículo 177</w:t>
      </w:r>
      <w:r>
        <w:t xml:space="preserve"> (redactado por la Ley Orgánica 1/2023, de 28 de febrero)</w:t>
      </w:r>
      <w:r w:rsidRPr="007D5795">
        <w:rPr>
          <w:rStyle w:val="TextoNormalNegritaCaracter"/>
        </w:rPr>
        <w:t>.</w:t>
      </w:r>
      <w:r w:rsidRPr="007D5795">
        <w:rPr>
          <w:rStyle w:val="TextoNormalCaracter"/>
        </w:rPr>
        <w:t>-</w:t>
      </w:r>
      <w:r>
        <w:t xml:space="preserve"> Sentencia </w:t>
      </w:r>
      <w:hyperlink w:anchor="SENTENCIA_2024_140" w:history="1">
        <w:r w:rsidRPr="007D5795">
          <w:rPr>
            <w:rStyle w:val="TextoNormalCaracter"/>
          </w:rPr>
          <w:t>140/2024</w:t>
        </w:r>
      </w:hyperlink>
      <w:r>
        <w:t>, f. 1.</w:t>
      </w:r>
    </w:p>
    <w:p w14:paraId="5FCC5F84" w14:textId="7C53ABFA" w:rsidR="007D5795" w:rsidRDefault="007D5795" w:rsidP="007D5795">
      <w:pPr>
        <w:pStyle w:val="SangriaFrancesaArticulo"/>
      </w:pPr>
      <w:r w:rsidRPr="007D5795">
        <w:rPr>
          <w:rStyle w:val="TextoNormalNegritaCaracter"/>
        </w:rPr>
        <w:t>Artículo 178.1.</w:t>
      </w:r>
      <w:r w:rsidRPr="007D5795">
        <w:rPr>
          <w:rStyle w:val="TextoNormalCaracter"/>
        </w:rPr>
        <w:t>-</w:t>
      </w:r>
      <w:r>
        <w:t xml:space="preserve"> Sentencia </w:t>
      </w:r>
      <w:hyperlink w:anchor="SENTENCIA_2024_140" w:history="1">
        <w:r w:rsidRPr="007D5795">
          <w:rPr>
            <w:rStyle w:val="TextoNormalCaracter"/>
          </w:rPr>
          <w:t>140/2024</w:t>
        </w:r>
      </w:hyperlink>
      <w:r>
        <w:t>, ff. 2, 3.</w:t>
      </w:r>
    </w:p>
    <w:p w14:paraId="4173A65F" w14:textId="08B4EFA3" w:rsidR="007D5795" w:rsidRDefault="007D5795" w:rsidP="007D5795">
      <w:pPr>
        <w:pStyle w:val="SangriaFrancesaArticulo"/>
      </w:pPr>
      <w:r w:rsidRPr="007D5795">
        <w:rPr>
          <w:rStyle w:val="TextoNormalNegritaCaracter"/>
        </w:rPr>
        <w:t>Artículo 179.</w:t>
      </w:r>
      <w:r w:rsidRPr="007D5795">
        <w:rPr>
          <w:rStyle w:val="TextoNormalCaracter"/>
        </w:rPr>
        <w:t>-</w:t>
      </w:r>
      <w:r>
        <w:t xml:space="preserve"> Sentencia </w:t>
      </w:r>
      <w:hyperlink w:anchor="SENTENCIA_2024_140" w:history="1">
        <w:r w:rsidRPr="007D5795">
          <w:rPr>
            <w:rStyle w:val="TextoNormalCaracter"/>
          </w:rPr>
          <w:t>140/2024</w:t>
        </w:r>
      </w:hyperlink>
      <w:r>
        <w:t>, VP I.</w:t>
      </w:r>
    </w:p>
    <w:p w14:paraId="09A6F0F4" w14:textId="3C953B80" w:rsidR="007D5795" w:rsidRDefault="007D5795" w:rsidP="007D5795">
      <w:pPr>
        <w:pStyle w:val="SangriaFrancesaArticulo"/>
      </w:pPr>
      <w:r w:rsidRPr="007D5795">
        <w:rPr>
          <w:rStyle w:val="TextoNormalNegritaCaracter"/>
        </w:rPr>
        <w:t>Artículo 180.</w:t>
      </w:r>
      <w:r w:rsidRPr="007D5795">
        <w:rPr>
          <w:rStyle w:val="TextoNormalCaracter"/>
        </w:rPr>
        <w:t>-</w:t>
      </w:r>
      <w:r>
        <w:t xml:space="preserve"> Sentencia </w:t>
      </w:r>
      <w:hyperlink w:anchor="SENTENCIA_2024_140" w:history="1">
        <w:r w:rsidRPr="007D5795">
          <w:rPr>
            <w:rStyle w:val="TextoNormalCaracter"/>
          </w:rPr>
          <w:t>140/2024</w:t>
        </w:r>
      </w:hyperlink>
      <w:r>
        <w:t>, VP I.</w:t>
      </w:r>
    </w:p>
    <w:p w14:paraId="38C3C10A" w14:textId="57296318" w:rsidR="007D5795" w:rsidRDefault="007D5795" w:rsidP="007D5795">
      <w:pPr>
        <w:pStyle w:val="SangriaFrancesaArticulo"/>
      </w:pPr>
      <w:r w:rsidRPr="007D5795">
        <w:rPr>
          <w:rStyle w:val="TextoNormalNegritaCaracter"/>
        </w:rPr>
        <w:t>Artículo 182.</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7506C924" w14:textId="30F6832C" w:rsidR="007D5795" w:rsidRDefault="007D5795" w:rsidP="007D5795">
      <w:pPr>
        <w:pStyle w:val="SangriaFrancesaArticulo"/>
      </w:pPr>
      <w:r w:rsidRPr="007D5795">
        <w:rPr>
          <w:rStyle w:val="TextoNormalNegritaCaracter"/>
        </w:rPr>
        <w:t>Artículo 220.</w:t>
      </w:r>
      <w:r w:rsidRPr="007D5795">
        <w:rPr>
          <w:rStyle w:val="TextoNormalCaracter"/>
        </w:rPr>
        <w:t>-</w:t>
      </w:r>
      <w:r>
        <w:t xml:space="preserve"> Auto </w:t>
      </w:r>
      <w:hyperlink w:anchor="AUTO_2024_102" w:history="1">
        <w:r w:rsidRPr="007D5795">
          <w:rPr>
            <w:rStyle w:val="TextoNormalCaracter"/>
          </w:rPr>
          <w:t>102/2024</w:t>
        </w:r>
      </w:hyperlink>
      <w:r>
        <w:t>, f. 3.</w:t>
      </w:r>
    </w:p>
    <w:p w14:paraId="77D41371" w14:textId="237AA768" w:rsidR="007D5795" w:rsidRDefault="007D5795" w:rsidP="007D5795">
      <w:pPr>
        <w:pStyle w:val="SangriaFrancesaArticulo"/>
      </w:pPr>
      <w:r w:rsidRPr="007D5795">
        <w:rPr>
          <w:rStyle w:val="TextoNormalNegritaCaracter"/>
        </w:rPr>
        <w:t>Artículo 221.</w:t>
      </w:r>
      <w:r w:rsidRPr="007D5795">
        <w:rPr>
          <w:rStyle w:val="TextoNormalCaracter"/>
        </w:rPr>
        <w:t>-</w:t>
      </w:r>
      <w:r>
        <w:t xml:space="preserve"> Auto </w:t>
      </w:r>
      <w:hyperlink w:anchor="AUTO_2024_102" w:history="1">
        <w:r w:rsidRPr="007D5795">
          <w:rPr>
            <w:rStyle w:val="TextoNormalCaracter"/>
          </w:rPr>
          <w:t>102/2024</w:t>
        </w:r>
      </w:hyperlink>
      <w:r>
        <w:t>, f. 3.</w:t>
      </w:r>
    </w:p>
    <w:p w14:paraId="5D226BB1" w14:textId="5FDA72A3" w:rsidR="007D5795" w:rsidRDefault="007D5795" w:rsidP="007D5795">
      <w:pPr>
        <w:pStyle w:val="SangriaFrancesaArticulo"/>
      </w:pPr>
      <w:r w:rsidRPr="007D5795">
        <w:rPr>
          <w:rStyle w:val="TextoNormalNegritaCaracter"/>
        </w:rPr>
        <w:t>Artículo 221.2 párrafo 1.</w:t>
      </w:r>
      <w:r w:rsidRPr="007D5795">
        <w:rPr>
          <w:rStyle w:val="TextoNormalCaracter"/>
        </w:rPr>
        <w:t>-</w:t>
      </w:r>
      <w:r>
        <w:t xml:space="preserve"> Auto </w:t>
      </w:r>
      <w:hyperlink w:anchor="AUTO_2024_102" w:history="1">
        <w:r w:rsidRPr="007D5795">
          <w:rPr>
            <w:rStyle w:val="TextoNormalCaracter"/>
          </w:rPr>
          <w:t>102/2024</w:t>
        </w:r>
      </w:hyperlink>
      <w:r>
        <w:t>, f. 3.</w:t>
      </w:r>
    </w:p>
    <w:p w14:paraId="754B4D7F" w14:textId="2549D6F2" w:rsidR="007D5795" w:rsidRDefault="007D5795" w:rsidP="007D5795">
      <w:pPr>
        <w:pStyle w:val="SangriaFrancesaArticulo"/>
      </w:pPr>
      <w:r w:rsidRPr="007D5795">
        <w:rPr>
          <w:rStyle w:val="TextoNormalNegritaCaracter"/>
        </w:rPr>
        <w:t>Artículo 221.2 párrafo 2.</w:t>
      </w:r>
      <w:r w:rsidRPr="007D5795">
        <w:rPr>
          <w:rStyle w:val="TextoNormalCaracter"/>
        </w:rPr>
        <w:t>-</w:t>
      </w:r>
      <w:r>
        <w:t xml:space="preserve"> Autos </w:t>
      </w:r>
      <w:hyperlink w:anchor="AUTO_2024_89" w:history="1">
        <w:r w:rsidRPr="007D5795">
          <w:rPr>
            <w:rStyle w:val="TextoNormalCaracter"/>
          </w:rPr>
          <w:t>89/2024</w:t>
        </w:r>
      </w:hyperlink>
      <w:r>
        <w:t xml:space="preserve">, ff, 1 a 3; </w:t>
      </w:r>
      <w:hyperlink w:anchor="AUTO_2024_101" w:history="1">
        <w:r w:rsidRPr="007D5795">
          <w:rPr>
            <w:rStyle w:val="TextoNormalCaracter"/>
          </w:rPr>
          <w:t>101/2024</w:t>
        </w:r>
      </w:hyperlink>
      <w:r>
        <w:t xml:space="preserve">, ff. 1, 2; </w:t>
      </w:r>
      <w:hyperlink w:anchor="AUTO_2024_102" w:history="1">
        <w:r w:rsidRPr="007D5795">
          <w:rPr>
            <w:rStyle w:val="TextoNormalCaracter"/>
          </w:rPr>
          <w:t>102/2024</w:t>
        </w:r>
      </w:hyperlink>
      <w:r>
        <w:t>, ff. 1, 3.</w:t>
      </w:r>
    </w:p>
    <w:p w14:paraId="0F0DFC83" w14:textId="13067C8B" w:rsidR="007D5795" w:rsidRDefault="007D5795" w:rsidP="007D5795">
      <w:pPr>
        <w:pStyle w:val="SangriaFrancesaArticulo"/>
      </w:pPr>
      <w:r w:rsidRPr="007D5795">
        <w:rPr>
          <w:rStyle w:val="TextoNormalNegritaCaracter"/>
        </w:rPr>
        <w:t>Disposición transitoria decimotercera.</w:t>
      </w:r>
      <w:r w:rsidRPr="007D5795">
        <w:rPr>
          <w:rStyle w:val="TextoNormalCaracter"/>
        </w:rPr>
        <w:t>-</w:t>
      </w:r>
      <w:r>
        <w:t xml:space="preserve"> Auto </w:t>
      </w:r>
      <w:hyperlink w:anchor="AUTO_2024_102" w:history="1">
        <w:r w:rsidRPr="007D5795">
          <w:rPr>
            <w:rStyle w:val="TextoNormalCaracter"/>
          </w:rPr>
          <w:t>102/2024</w:t>
        </w:r>
      </w:hyperlink>
      <w:r>
        <w:t>, f. 3.</w:t>
      </w:r>
    </w:p>
    <w:p w14:paraId="38664262" w14:textId="460D80AB" w:rsidR="007D5795" w:rsidRDefault="007D5795" w:rsidP="007D5795">
      <w:pPr>
        <w:pStyle w:val="TextoNormal"/>
      </w:pPr>
    </w:p>
    <w:p w14:paraId="2D838F57" w14:textId="77777777" w:rsidR="007D5795" w:rsidRDefault="007D5795" w:rsidP="007D5795">
      <w:pPr>
        <w:pStyle w:val="SangriaFrancesaArticulo"/>
      </w:pPr>
      <w:bookmarkStart w:id="175" w:name="INDICE22848"/>
    </w:p>
    <w:bookmarkEnd w:id="175"/>
    <w:p w14:paraId="53B64156" w14:textId="77777777" w:rsidR="007D5795" w:rsidRDefault="007D5795" w:rsidP="007D5795">
      <w:pPr>
        <w:pStyle w:val="TextoIndiceNivel2"/>
        <w:suppressAutoHyphens/>
      </w:pPr>
      <w:r>
        <w:t>G) Reales Decretos-leyes</w:t>
      </w:r>
    </w:p>
    <w:p w14:paraId="3F4DE36C" w14:textId="2A1A72E3" w:rsidR="007D5795" w:rsidRDefault="007D5795" w:rsidP="007D5795">
      <w:pPr>
        <w:pStyle w:val="TextoIndiceNivel2"/>
      </w:pPr>
    </w:p>
    <w:p w14:paraId="7561693D" w14:textId="77777777" w:rsidR="007D5795" w:rsidRDefault="007D5795" w:rsidP="007D5795">
      <w:pPr>
        <w:pStyle w:val="TextoNormalNegritaCursivandice"/>
        <w:keepNext/>
      </w:pPr>
      <w:r>
        <w:t>Real Decreto-ley 2/1985, de 30 de abril, sobre Medidas de Política Económica</w:t>
      </w:r>
    </w:p>
    <w:p w14:paraId="2AC496F6" w14:textId="6CD4706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22A732C3" w14:textId="03533929" w:rsidR="007D5795" w:rsidRDefault="007D5795" w:rsidP="007D5795">
      <w:pPr>
        <w:pStyle w:val="SangriaFrancesaArticulo"/>
      </w:pPr>
    </w:p>
    <w:p w14:paraId="2ADF0918" w14:textId="77777777" w:rsidR="007D5795" w:rsidRDefault="007D5795" w:rsidP="007D5795">
      <w:pPr>
        <w:pStyle w:val="TextoNormalNegritaCursivandice"/>
        <w:keepNext/>
      </w:pPr>
      <w:r>
        <w:t>Real Decreto-ley 13/2018, de 28 de septiembre, por el que se modifica la Ley 16/1987, de 30 de julio, de ordenación de los transportes terrestres, en materia de arrendamiento de vehículos con conductor</w:t>
      </w:r>
    </w:p>
    <w:p w14:paraId="10E0F84F" w14:textId="2498F5E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11" w:history="1">
        <w:r w:rsidRPr="007D5795">
          <w:rPr>
            <w:rStyle w:val="TextoNormalCaracter"/>
          </w:rPr>
          <w:t>111/2024</w:t>
        </w:r>
      </w:hyperlink>
      <w:r>
        <w:t xml:space="preserve">, ff. 2, 4; </w:t>
      </w:r>
      <w:hyperlink w:anchor="SENTENCIA_2024_112" w:history="1">
        <w:r w:rsidRPr="007D5795">
          <w:rPr>
            <w:rStyle w:val="TextoNormalCaracter"/>
          </w:rPr>
          <w:t>112/2024</w:t>
        </w:r>
      </w:hyperlink>
      <w:r>
        <w:t>, ff. 2, 5.</w:t>
      </w:r>
    </w:p>
    <w:p w14:paraId="31AD50AA" w14:textId="429574D9" w:rsidR="007D5795" w:rsidRDefault="007D5795" w:rsidP="007D5795">
      <w:pPr>
        <w:pStyle w:val="SangriaFrancesaArticulo"/>
      </w:pPr>
      <w:r w:rsidRPr="007D5795">
        <w:rPr>
          <w:rStyle w:val="TextoNormalNegritaCaracter"/>
        </w:rPr>
        <w:t>Disposición adicional primera.</w:t>
      </w:r>
      <w:r w:rsidRPr="007D5795">
        <w:rPr>
          <w:rStyle w:val="TextoNormalCaracter"/>
        </w:rPr>
        <w:t>-</w:t>
      </w:r>
      <w:r>
        <w:t xml:space="preserve"> Sentencia </w:t>
      </w:r>
      <w:hyperlink w:anchor="SENTENCIA_2024_111" w:history="1">
        <w:r w:rsidRPr="007D5795">
          <w:rPr>
            <w:rStyle w:val="TextoNormalCaracter"/>
          </w:rPr>
          <w:t>111/2024</w:t>
        </w:r>
      </w:hyperlink>
      <w:r>
        <w:t>, f. 4.</w:t>
      </w:r>
    </w:p>
    <w:p w14:paraId="6C12C95D" w14:textId="7C691D3D" w:rsidR="007D5795" w:rsidRDefault="007D5795" w:rsidP="007D5795">
      <w:pPr>
        <w:pStyle w:val="SangriaFrancesaArticulo"/>
      </w:pPr>
      <w:r w:rsidRPr="007D5795">
        <w:rPr>
          <w:rStyle w:val="TextoNormalNegritaCaracter"/>
        </w:rPr>
        <w:t>Disposición transitoria única.</w:t>
      </w:r>
      <w:r w:rsidRPr="007D5795">
        <w:rPr>
          <w:rStyle w:val="TextoNormalCaracter"/>
        </w:rPr>
        <w:t>-</w:t>
      </w:r>
      <w:r>
        <w:t xml:space="preserve"> Sentencia </w:t>
      </w:r>
      <w:hyperlink w:anchor="SENTENCIA_2024_111" w:history="1">
        <w:r w:rsidRPr="007D5795">
          <w:rPr>
            <w:rStyle w:val="TextoNormalCaracter"/>
          </w:rPr>
          <w:t>111/2024</w:t>
        </w:r>
      </w:hyperlink>
      <w:r>
        <w:t>, ff. 2, 5, 6.</w:t>
      </w:r>
    </w:p>
    <w:p w14:paraId="609791E5" w14:textId="31C4F5B4" w:rsidR="007D5795" w:rsidRDefault="007D5795" w:rsidP="007D5795">
      <w:pPr>
        <w:pStyle w:val="SangriaFrancesaArticulo"/>
      </w:pPr>
    </w:p>
    <w:p w14:paraId="420B4617" w14:textId="77777777" w:rsidR="007D5795" w:rsidRDefault="007D5795" w:rsidP="007D5795">
      <w:pPr>
        <w:pStyle w:val="TextoNormalNegritaCursivandice"/>
        <w:keepNext/>
      </w:pPr>
      <w:r>
        <w:t>Real Decreto-ley 20/2018, de 7 de diciembre, de medidas urgentes para el impulso de la competitividad económica en el sector de la industria y el comercio en España</w:t>
      </w:r>
    </w:p>
    <w:p w14:paraId="4D870BC6" w14:textId="043173F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3" w:history="1">
        <w:r w:rsidRPr="007D5795">
          <w:rPr>
            <w:rStyle w:val="TextoNormalCaracter"/>
          </w:rPr>
          <w:t>113/2024</w:t>
        </w:r>
      </w:hyperlink>
      <w:r>
        <w:t>, ff. 3, 4.</w:t>
      </w:r>
    </w:p>
    <w:p w14:paraId="446DCF37" w14:textId="43B33863" w:rsidR="007D5795" w:rsidRDefault="007D5795" w:rsidP="007D5795">
      <w:pPr>
        <w:pStyle w:val="SangriaFrancesaArticulo"/>
      </w:pPr>
    </w:p>
    <w:p w14:paraId="3DA62424" w14:textId="77777777" w:rsidR="007D5795" w:rsidRDefault="007D5795" w:rsidP="007D5795">
      <w:pPr>
        <w:pStyle w:val="TextoNormalNegritaCursivandice"/>
        <w:keepNext/>
      </w:pPr>
      <w:r>
        <w:t>Real Decreto-ley 6/2019, de 1 de marzo, de medidas urgentes para garantía de la igualdad de trato y de oportunidades entre mujeres y hombres en el empleo y la ocupación</w:t>
      </w:r>
    </w:p>
    <w:p w14:paraId="3E09E397" w14:textId="2DD738F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40" w:history="1">
        <w:r w:rsidRPr="007D5795">
          <w:rPr>
            <w:rStyle w:val="TextoNormalCaracter"/>
          </w:rPr>
          <w:t>140/2024</w:t>
        </w:r>
      </w:hyperlink>
      <w:r>
        <w:t xml:space="preserve">, ff. 1, 3, 4, VP I; </w:t>
      </w:r>
      <w:hyperlink w:anchor="SENTENCIA_2024_147" w:history="1">
        <w:r w:rsidRPr="007D5795">
          <w:rPr>
            <w:rStyle w:val="TextoNormalCaracter"/>
          </w:rPr>
          <w:t>147/2024</w:t>
        </w:r>
      </w:hyperlink>
      <w:r>
        <w:t xml:space="preserve">, f. 1; </w:t>
      </w:r>
      <w:hyperlink w:anchor="SENTENCIA_2024_149" w:history="1">
        <w:r w:rsidRPr="007D5795">
          <w:rPr>
            <w:rStyle w:val="TextoNormalCaracter"/>
          </w:rPr>
          <w:t>149/2024</w:t>
        </w:r>
      </w:hyperlink>
      <w:r>
        <w:t xml:space="preserve">, f. 1; </w:t>
      </w:r>
      <w:hyperlink w:anchor="SENTENCIA_2024_150" w:history="1">
        <w:r w:rsidRPr="007D5795">
          <w:rPr>
            <w:rStyle w:val="TextoNormalCaracter"/>
          </w:rPr>
          <w:t>150/2024</w:t>
        </w:r>
      </w:hyperlink>
      <w:r>
        <w:t xml:space="preserve">, f. 1; </w:t>
      </w:r>
      <w:hyperlink w:anchor="SENTENCIA_2024_151" w:history="1">
        <w:r w:rsidRPr="007D5795">
          <w:rPr>
            <w:rStyle w:val="TextoNormalCaracter"/>
          </w:rPr>
          <w:t>151/2024</w:t>
        </w:r>
      </w:hyperlink>
      <w:r>
        <w:t>, f. 1.</w:t>
      </w:r>
    </w:p>
    <w:p w14:paraId="2BA88EB2" w14:textId="3F81E5B6" w:rsidR="007D5795" w:rsidRDefault="007D5795" w:rsidP="007D5795">
      <w:pPr>
        <w:pStyle w:val="SangriaFrancesaArticulo"/>
      </w:pPr>
      <w:r w:rsidRPr="007D5795">
        <w:rPr>
          <w:rStyle w:val="TextoNormalNegritaCaracter"/>
        </w:rPr>
        <w:t>Exposición de motivos.</w:t>
      </w:r>
      <w:r w:rsidRPr="007D5795">
        <w:rPr>
          <w:rStyle w:val="TextoNormalCaracter"/>
        </w:rPr>
        <w:t>-</w:t>
      </w:r>
      <w:r>
        <w:t xml:space="preserve"> Sentencia </w:t>
      </w:r>
      <w:hyperlink w:anchor="SENTENCIA_2024_140" w:history="1">
        <w:r w:rsidRPr="007D5795">
          <w:rPr>
            <w:rStyle w:val="TextoNormalCaracter"/>
          </w:rPr>
          <w:t>140/2024</w:t>
        </w:r>
      </w:hyperlink>
      <w:r>
        <w:t>, VP I.</w:t>
      </w:r>
    </w:p>
    <w:p w14:paraId="6DE1FE78" w14:textId="11EC2733" w:rsidR="007D5795" w:rsidRDefault="007D5795" w:rsidP="007D5795">
      <w:pPr>
        <w:pStyle w:val="SangriaFrancesaArticulo"/>
      </w:pPr>
    </w:p>
    <w:p w14:paraId="1C82F13D" w14:textId="77777777" w:rsidR="007D5795" w:rsidRDefault="007D5795" w:rsidP="007D5795">
      <w:pPr>
        <w:pStyle w:val="TextoNormalNegritaCursivandice"/>
        <w:keepNext/>
      </w:pPr>
      <w:r>
        <w:t>Real Decreto-ley 7/2019, de 1 de marzo, de medidas urgentes en materia de vivienda y alquiler</w:t>
      </w:r>
    </w:p>
    <w:p w14:paraId="61DCE24E" w14:textId="665ECCD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352AA5BD" w14:textId="6F23F2E5" w:rsidR="007D5795" w:rsidRDefault="007D5795" w:rsidP="007D5795">
      <w:pPr>
        <w:pStyle w:val="SangriaFrancesaArticulo"/>
      </w:pPr>
      <w:r w:rsidRPr="007D5795">
        <w:rPr>
          <w:rStyle w:val="TextoNormalNegritaCaracter"/>
        </w:rPr>
        <w:t>Artículo 1.5.</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3B5C12BD" w14:textId="347B63B8" w:rsidR="007D5795" w:rsidRDefault="007D5795" w:rsidP="007D5795">
      <w:pPr>
        <w:pStyle w:val="SangriaFrancesaArticulo"/>
      </w:pPr>
      <w:r w:rsidRPr="007D5795">
        <w:rPr>
          <w:rStyle w:val="TextoNormalNegritaCaracter"/>
        </w:rPr>
        <w:t>Disposición adicional segunda.</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58754EA2" w14:textId="27567891" w:rsidR="007D5795" w:rsidRDefault="007D5795" w:rsidP="007D5795">
      <w:pPr>
        <w:pStyle w:val="SangriaFrancesaArticulo"/>
      </w:pPr>
    </w:p>
    <w:p w14:paraId="76C143E0" w14:textId="77777777" w:rsidR="007D5795" w:rsidRDefault="007D5795" w:rsidP="007D5795">
      <w:pPr>
        <w:pStyle w:val="TextoNormalNegritaCursivandice"/>
        <w:keepNext/>
      </w:pPr>
      <w:r>
        <w:t>Real Decreto-ley 8/2020, de 17 de marzo, de medidas urgentes extraordinarias para hacer frente al impacto económico y social del COVID-19</w:t>
      </w:r>
    </w:p>
    <w:p w14:paraId="55EAFDC6" w14:textId="5DEE6FAE" w:rsidR="007D5795" w:rsidRDefault="007D5795" w:rsidP="007D5795">
      <w:pPr>
        <w:pStyle w:val="SangriaFrancesaArticulo"/>
      </w:pPr>
      <w:r w:rsidRPr="007D5795">
        <w:rPr>
          <w:rStyle w:val="TextoNormalNegritaCaracter"/>
        </w:rPr>
        <w:t>Artículo 25.1 a).</w:t>
      </w:r>
      <w:r w:rsidRPr="007D5795">
        <w:rPr>
          <w:rStyle w:val="TextoNormalCaracter"/>
        </w:rPr>
        <w:t>-</w:t>
      </w:r>
      <w:r>
        <w:t xml:space="preserve"> Auto </w:t>
      </w:r>
      <w:hyperlink w:anchor="AUTO_2024_73" w:history="1">
        <w:r w:rsidRPr="007D5795">
          <w:rPr>
            <w:rStyle w:val="TextoNormalCaracter"/>
          </w:rPr>
          <w:t>73/2024</w:t>
        </w:r>
      </w:hyperlink>
      <w:r>
        <w:t>, f. 4.</w:t>
      </w:r>
    </w:p>
    <w:p w14:paraId="4D18EF7A" w14:textId="50A7F190" w:rsidR="007D5795" w:rsidRDefault="007D5795" w:rsidP="007D5795">
      <w:pPr>
        <w:pStyle w:val="SangriaFrancesaArticulo"/>
      </w:pPr>
    </w:p>
    <w:p w14:paraId="06A23E47" w14:textId="77777777" w:rsidR="007D5795" w:rsidRDefault="007D5795" w:rsidP="007D5795">
      <w:pPr>
        <w:pStyle w:val="TextoNormalNegritaCursivandice"/>
        <w:keepNext/>
      </w:pPr>
      <w:r>
        <w:t>Real Decreto-ley 11/2020, de 31 de marzo, por el que se adoptan medidas urgentes complementarias en el ámbito social y económico para hacer frente al Covid-19</w:t>
      </w:r>
    </w:p>
    <w:p w14:paraId="075E125C" w14:textId="4BB8E2F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6" w:history="1">
        <w:r w:rsidRPr="007D5795">
          <w:rPr>
            <w:rStyle w:val="TextoNormalCaracter"/>
          </w:rPr>
          <w:t>126/2024</w:t>
        </w:r>
      </w:hyperlink>
      <w:r>
        <w:t>, f. 2, VP.</w:t>
      </w:r>
    </w:p>
    <w:p w14:paraId="535D9096" w14:textId="4F25D78E"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Sentencia </w:t>
      </w:r>
      <w:hyperlink w:anchor="SENTENCIA_2024_126" w:history="1">
        <w:r w:rsidRPr="007D5795">
          <w:rPr>
            <w:rStyle w:val="TextoNormalCaracter"/>
          </w:rPr>
          <w:t>126/2024</w:t>
        </w:r>
      </w:hyperlink>
      <w:r>
        <w:t>, f. 2.</w:t>
      </w:r>
    </w:p>
    <w:p w14:paraId="7AC0C2DE" w14:textId="407B94B4" w:rsidR="007D5795" w:rsidRDefault="007D5795" w:rsidP="007D5795">
      <w:pPr>
        <w:pStyle w:val="SangriaFrancesaArticulo"/>
      </w:pPr>
      <w:r w:rsidRPr="007D5795">
        <w:rPr>
          <w:rStyle w:val="TextoNormalNegritaCaracter"/>
        </w:rPr>
        <w:t>Artículo 1</w:t>
      </w:r>
      <w:r>
        <w:t xml:space="preserve"> (redactado por el Real Decreto-ley 8/2023, de 27 de diciembre)</w:t>
      </w:r>
      <w:r w:rsidRPr="007D5795">
        <w:rPr>
          <w:rStyle w:val="TextoNormalNegritaCaracter"/>
        </w:rPr>
        <w:t>.</w:t>
      </w:r>
      <w:r w:rsidRPr="007D5795">
        <w:rPr>
          <w:rStyle w:val="TextoNormalCaracter"/>
        </w:rPr>
        <w:t>-</w:t>
      </w:r>
      <w:r>
        <w:t xml:space="preserve"> Sentencia </w:t>
      </w:r>
      <w:hyperlink w:anchor="SENTENCIA_2024_126" w:history="1">
        <w:r w:rsidRPr="007D5795">
          <w:rPr>
            <w:rStyle w:val="TextoNormalCaracter"/>
          </w:rPr>
          <w:t>126/2024</w:t>
        </w:r>
      </w:hyperlink>
      <w:r>
        <w:t>, f. 2.</w:t>
      </w:r>
    </w:p>
    <w:p w14:paraId="66438AFA" w14:textId="113DD865" w:rsidR="007D5795" w:rsidRDefault="007D5795" w:rsidP="007D5795">
      <w:pPr>
        <w:pStyle w:val="SangriaFrancesaArticulo"/>
      </w:pPr>
      <w:r w:rsidRPr="007D5795">
        <w:rPr>
          <w:rStyle w:val="TextoNormalNegritaCaracter"/>
        </w:rPr>
        <w:t>Artículo 1.1</w:t>
      </w:r>
      <w:r>
        <w:t xml:space="preserve"> (redactado por el Real Decreto-ley 8/2023, de 27 de diciembre)</w:t>
      </w:r>
      <w:r w:rsidRPr="007D5795">
        <w:rPr>
          <w:rStyle w:val="TextoNormalNegritaCaracter"/>
        </w:rPr>
        <w:t>.</w:t>
      </w:r>
      <w:r w:rsidRPr="007D5795">
        <w:rPr>
          <w:rStyle w:val="TextoNormalCaracter"/>
        </w:rPr>
        <w:t>-</w:t>
      </w:r>
      <w:r>
        <w:t xml:space="preserve"> Sentencia </w:t>
      </w:r>
      <w:hyperlink w:anchor="SENTENCIA_2024_126" w:history="1">
        <w:r w:rsidRPr="007D5795">
          <w:rPr>
            <w:rStyle w:val="TextoNormalCaracter"/>
          </w:rPr>
          <w:t>126/2024</w:t>
        </w:r>
      </w:hyperlink>
      <w:r>
        <w:t>, f. 2.</w:t>
      </w:r>
    </w:p>
    <w:p w14:paraId="053F2858" w14:textId="00E5BA3F" w:rsidR="007D5795" w:rsidRDefault="007D5795" w:rsidP="007D5795">
      <w:pPr>
        <w:pStyle w:val="SangriaFrancesaArticulo"/>
      </w:pPr>
      <w:r w:rsidRPr="007D5795">
        <w:rPr>
          <w:rStyle w:val="TextoNormalNegritaCaracter"/>
        </w:rPr>
        <w:t>Artículo 4.1</w:t>
      </w:r>
      <w:r>
        <w:t xml:space="preserve"> (redactado por el Real Decreto-ley 21/2021, de 26 de octubre)</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8.</w:t>
      </w:r>
    </w:p>
    <w:p w14:paraId="72843C10" w14:textId="560126ED" w:rsidR="007D5795" w:rsidRDefault="007D5795" w:rsidP="007D5795">
      <w:pPr>
        <w:pStyle w:val="SangriaFrancesaArticulo"/>
      </w:pPr>
    </w:p>
    <w:p w14:paraId="26CDBFC5" w14:textId="77777777" w:rsidR="007D5795" w:rsidRDefault="007D5795" w:rsidP="007D5795">
      <w:pPr>
        <w:pStyle w:val="TextoNormalNegritaCursivandice"/>
        <w:keepNext/>
      </w:pPr>
      <w:r>
        <w:t>Real Decreto-ley 15/2020, de 21 de abril. Medidas urgentes complementarias para apoyar la economía y el empleo.</w:t>
      </w:r>
    </w:p>
    <w:p w14:paraId="398916F8" w14:textId="0E5D25D0"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 </w:t>
      </w:r>
      <w:hyperlink w:anchor="SENTENCIA_2024_120" w:history="1">
        <w:r w:rsidRPr="007D5795">
          <w:rPr>
            <w:rStyle w:val="TextoNormalCaracter"/>
          </w:rPr>
          <w:t>120/2024</w:t>
        </w:r>
      </w:hyperlink>
      <w:r>
        <w:t>, f. 8.</w:t>
      </w:r>
    </w:p>
    <w:p w14:paraId="1F77007E" w14:textId="335AB2C6" w:rsidR="007D5795" w:rsidRDefault="007D5795" w:rsidP="007D5795">
      <w:pPr>
        <w:pStyle w:val="SangriaFrancesaArticulo"/>
      </w:pPr>
    </w:p>
    <w:p w14:paraId="3C9A06A4" w14:textId="77777777" w:rsidR="007D5795" w:rsidRDefault="007D5795" w:rsidP="007D5795">
      <w:pPr>
        <w:pStyle w:val="TextoNormalNegritaCursivandice"/>
        <w:keepNext/>
      </w:pPr>
      <w:r>
        <w:t>Real Decreto-ley 21/2020, de 9 de junio, de medidas urgentes de prevención, contención y coordinación para hacer frente a la crisis sanitaria ocasionada por el COVID-19</w:t>
      </w:r>
    </w:p>
    <w:p w14:paraId="57C43185" w14:textId="7D847DD6" w:rsidR="007D5795" w:rsidRDefault="007D5795" w:rsidP="007D5795">
      <w:pPr>
        <w:pStyle w:val="SangriaFrancesaArticulo"/>
      </w:pPr>
      <w:r w:rsidRPr="007D5795">
        <w:rPr>
          <w:rStyle w:val="TextoNormalNegritaCaracter"/>
        </w:rPr>
        <w:t>Artículo 2.3.</w:t>
      </w:r>
      <w:r w:rsidRPr="007D5795">
        <w:rPr>
          <w:rStyle w:val="TextoNormalCaracter"/>
        </w:rPr>
        <w:t>-</w:t>
      </w:r>
      <w:r>
        <w:t xml:space="preserve"> Sentencia </w:t>
      </w:r>
      <w:hyperlink w:anchor="SENTENCIA_2024_114" w:history="1">
        <w:r w:rsidRPr="007D5795">
          <w:rPr>
            <w:rStyle w:val="TextoNormalCaracter"/>
          </w:rPr>
          <w:t>114/2024</w:t>
        </w:r>
      </w:hyperlink>
      <w:r>
        <w:t>, f. 3.</w:t>
      </w:r>
    </w:p>
    <w:p w14:paraId="4C6B1C18" w14:textId="442197AA" w:rsidR="007D5795" w:rsidRDefault="007D5795" w:rsidP="007D5795">
      <w:pPr>
        <w:pStyle w:val="SangriaFrancesaArticulo"/>
      </w:pPr>
    </w:p>
    <w:p w14:paraId="02E33451" w14:textId="77777777" w:rsidR="007D5795" w:rsidRDefault="007D5795" w:rsidP="007D5795">
      <w:pPr>
        <w:pStyle w:val="TextoNormalNegritaCursivandice"/>
        <w:keepNext/>
      </w:pPr>
      <w:r>
        <w:t>Real Decreto-ley 37/2020, de 22 de diciembre, de medidas urgentes para hacer frente a las situaciones de vulnerabilidad social y económica en el ámbito de la vivienda y en materia de transportes</w:t>
      </w:r>
    </w:p>
    <w:p w14:paraId="5E1260EF" w14:textId="46874B1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6" w:history="1">
        <w:r w:rsidRPr="007D5795">
          <w:rPr>
            <w:rStyle w:val="TextoNormalCaracter"/>
          </w:rPr>
          <w:t>126/2024</w:t>
        </w:r>
      </w:hyperlink>
      <w:r>
        <w:t>, f. 2.</w:t>
      </w:r>
    </w:p>
    <w:p w14:paraId="6E03A125" w14:textId="1C4A00EE" w:rsidR="007D5795" w:rsidRDefault="007D5795" w:rsidP="007D5795">
      <w:pPr>
        <w:pStyle w:val="SangriaFrancesaArticulo"/>
      </w:pPr>
    </w:p>
    <w:p w14:paraId="677ADC56" w14:textId="77777777" w:rsidR="007D5795" w:rsidRDefault="007D5795" w:rsidP="007D5795">
      <w:pPr>
        <w:pStyle w:val="TextoNormalNegritaCursivandice"/>
        <w:keepNext/>
      </w:pPr>
      <w:r>
        <w:t>Real Decreto-ley 21/2021, de 26 de octubre, por el que se prorrogan las medidas de protección social para hacer frente a situaciones de vulnerabilidad social y económica</w:t>
      </w:r>
    </w:p>
    <w:p w14:paraId="543F199A" w14:textId="322C338E" w:rsidR="007D5795" w:rsidRDefault="007D5795" w:rsidP="007D5795">
      <w:pPr>
        <w:pStyle w:val="SangriaFrancesaArticulo"/>
      </w:pPr>
      <w:r w:rsidRPr="007D5795">
        <w:rPr>
          <w:rStyle w:val="TextoNormalNegritaCaracter"/>
        </w:rPr>
        <w:t>Artículo 2.4.</w:t>
      </w:r>
      <w:r w:rsidRPr="007D5795">
        <w:rPr>
          <w:rStyle w:val="TextoNormalCaracter"/>
        </w:rPr>
        <w:t>-</w:t>
      </w:r>
      <w:r>
        <w:t xml:space="preserve"> Sentencia </w:t>
      </w:r>
      <w:hyperlink w:anchor="SENTENCIA_2024_120" w:history="1">
        <w:r w:rsidRPr="007D5795">
          <w:rPr>
            <w:rStyle w:val="TextoNormalCaracter"/>
          </w:rPr>
          <w:t>120/2024</w:t>
        </w:r>
      </w:hyperlink>
      <w:r>
        <w:t>, f. 8.</w:t>
      </w:r>
    </w:p>
    <w:p w14:paraId="615F6E00" w14:textId="250BE439" w:rsidR="007D5795" w:rsidRDefault="007D5795" w:rsidP="007D5795">
      <w:pPr>
        <w:pStyle w:val="SangriaFrancesaArticulo"/>
      </w:pPr>
    </w:p>
    <w:p w14:paraId="3DAA2D15" w14:textId="77777777" w:rsidR="007D5795" w:rsidRDefault="007D5795" w:rsidP="007D5795">
      <w:pPr>
        <w:pStyle w:val="TextoNormalNegritaCursivandice"/>
        <w:keepNext/>
      </w:pPr>
      <w:r>
        <w:t>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w:t>
      </w:r>
    </w:p>
    <w:p w14:paraId="545BBC6F" w14:textId="31C61ED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7" w:history="1">
        <w:r w:rsidRPr="007D5795">
          <w:rPr>
            <w:rStyle w:val="TextoNormalCaracter"/>
          </w:rPr>
          <w:t>117/2024</w:t>
        </w:r>
      </w:hyperlink>
      <w:r>
        <w:t>, ff. 1, 3.</w:t>
      </w:r>
    </w:p>
    <w:p w14:paraId="6D6E69FE" w14:textId="3FE52225" w:rsidR="007D5795" w:rsidRDefault="007D5795" w:rsidP="007D5795">
      <w:pPr>
        <w:pStyle w:val="SangriaFrancesaArticulo"/>
      </w:pPr>
    </w:p>
    <w:p w14:paraId="0364B0D8" w14:textId="77777777" w:rsidR="007D5795" w:rsidRDefault="007D5795" w:rsidP="007D5795">
      <w:pPr>
        <w:pStyle w:val="TextoNormalNegritaCursivandice"/>
        <w:keepNext/>
      </w:pPr>
      <w:r>
        <w:t>Real Decreto-ley 32/2021, de 28 de diciembre, de medidas urgentes para la reforma laboral, la garantía de la estabilidad en el empleo y la transformación del mercado de trabajo</w:t>
      </w:r>
    </w:p>
    <w:p w14:paraId="3BCBA0B3" w14:textId="3C73EF5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14" w:history="1">
        <w:r w:rsidRPr="007D5795">
          <w:rPr>
            <w:rStyle w:val="TextoNormalCaracter"/>
          </w:rPr>
          <w:t>114/2024</w:t>
        </w:r>
      </w:hyperlink>
      <w:r>
        <w:t xml:space="preserve">, f. 1, VP; </w:t>
      </w:r>
      <w:hyperlink w:anchor="SENTENCIA_2024_129" w:history="1">
        <w:r w:rsidRPr="007D5795">
          <w:rPr>
            <w:rStyle w:val="TextoNormalCaracter"/>
          </w:rPr>
          <w:t>129/2024</w:t>
        </w:r>
      </w:hyperlink>
      <w:r>
        <w:t xml:space="preserve">, f. 1; </w:t>
      </w:r>
      <w:hyperlink w:anchor="SENTENCIA_2024_137" w:history="1">
        <w:r w:rsidRPr="007D5795">
          <w:rPr>
            <w:rStyle w:val="TextoNormalCaracter"/>
          </w:rPr>
          <w:t>137/2024</w:t>
        </w:r>
      </w:hyperlink>
      <w:r>
        <w:t xml:space="preserve">, f. 2; </w:t>
      </w:r>
      <w:hyperlink w:anchor="SENTENCIA_2024_138" w:history="1">
        <w:r w:rsidRPr="007D5795">
          <w:rPr>
            <w:rStyle w:val="TextoNormalCaracter"/>
          </w:rPr>
          <w:t>138/2024</w:t>
        </w:r>
      </w:hyperlink>
      <w:r>
        <w:t>, f. 1, VP I.</w:t>
      </w:r>
    </w:p>
    <w:p w14:paraId="7C988120" w14:textId="019E9520" w:rsidR="007D5795" w:rsidRDefault="007D5795" w:rsidP="007D5795">
      <w:pPr>
        <w:pStyle w:val="SangriaFrancesaArticulo"/>
      </w:pPr>
    </w:p>
    <w:p w14:paraId="402BF79D" w14:textId="77777777" w:rsidR="007D5795" w:rsidRDefault="007D5795" w:rsidP="007D5795">
      <w:pPr>
        <w:pStyle w:val="TextoNormalNegritaCursivandice"/>
        <w:keepNext/>
      </w:pPr>
      <w:r>
        <w:t>Real Decreto-ley 6/2022, de 29 de marzo, por el que se adoptan medidas urgentes en el marco del plan nacional de respuesta a las consecuencias económicas y sociales de la guerra en Ucrania</w:t>
      </w:r>
    </w:p>
    <w:p w14:paraId="44A429E4" w14:textId="19C0A87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8.</w:t>
      </w:r>
    </w:p>
    <w:p w14:paraId="7EAD703C" w14:textId="5EB79A37" w:rsidR="007D5795" w:rsidRDefault="007D5795" w:rsidP="007D5795">
      <w:pPr>
        <w:pStyle w:val="SangriaFrancesaArticulo"/>
      </w:pPr>
    </w:p>
    <w:p w14:paraId="74991550" w14:textId="77777777" w:rsidR="007D5795" w:rsidRDefault="007D5795" w:rsidP="007D5795">
      <w:pPr>
        <w:pStyle w:val="TextoNormalNegritaCursivandice"/>
        <w:keepNext/>
      </w:pPr>
      <w:r>
        <w:t>Real Decreto-ley 14/2022, de 1 de agosto, de medidas de sostenibilidad económica en el ámbito del transporte, en materia de becas y ayudas al estudio, así como de medidas de ahorro, eficiencia energética y de reducción de la dependencia energética del gas natural</w:t>
      </w:r>
    </w:p>
    <w:p w14:paraId="202D5CC9" w14:textId="354AE66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3" w:history="1">
        <w:r w:rsidRPr="007D5795">
          <w:rPr>
            <w:rStyle w:val="TextoNormalCaracter"/>
          </w:rPr>
          <w:t>113/2024</w:t>
        </w:r>
      </w:hyperlink>
      <w:r>
        <w:t>, f. 4.</w:t>
      </w:r>
    </w:p>
    <w:p w14:paraId="62A53CE2" w14:textId="781D8968" w:rsidR="007D5795" w:rsidRDefault="007D5795" w:rsidP="007D5795">
      <w:pPr>
        <w:pStyle w:val="SangriaFrancesaArticulo"/>
      </w:pPr>
    </w:p>
    <w:p w14:paraId="461FE5C9" w14:textId="77777777" w:rsidR="007D5795" w:rsidRDefault="007D5795" w:rsidP="007D5795">
      <w:pPr>
        <w:pStyle w:val="TextoNormalNegritaCursivandice"/>
        <w:keepNext/>
      </w:pPr>
      <w:r>
        <w:t>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w:t>
      </w:r>
    </w:p>
    <w:p w14:paraId="27863EB0" w14:textId="39780340" w:rsidR="007D5795" w:rsidRDefault="007D5795" w:rsidP="007D5795">
      <w:pPr>
        <w:pStyle w:val="SangriaFrancesaArticulo"/>
        <w:keepNext/>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1.</w:t>
      </w:r>
    </w:p>
    <w:p w14:paraId="35AA2B6C" w14:textId="2E292650" w:rsidR="007D5795" w:rsidRDefault="007D5795" w:rsidP="007D5795">
      <w:pPr>
        <w:pStyle w:val="SangriaIzquierdaArticulo"/>
      </w:pPr>
      <w:r>
        <w:t xml:space="preserve">Auto </w:t>
      </w:r>
      <w:hyperlink w:anchor="AUTO_2024_153" w:history="1">
        <w:r w:rsidRPr="007D5795">
          <w:rPr>
            <w:rStyle w:val="TextoNormalCaracter"/>
          </w:rPr>
          <w:t>153/2024</w:t>
        </w:r>
      </w:hyperlink>
      <w:r>
        <w:t>, f. 1.</w:t>
      </w:r>
    </w:p>
    <w:p w14:paraId="0D951163" w14:textId="1E90DDE2" w:rsidR="007D5795" w:rsidRDefault="007D5795" w:rsidP="007D5795">
      <w:pPr>
        <w:pStyle w:val="SangriaFrancesaArticulo"/>
      </w:pPr>
      <w:r w:rsidRPr="007D5795">
        <w:rPr>
          <w:rStyle w:val="TextoNormalNegritaCaracter"/>
        </w:rPr>
        <w:t>Artículo 151.</w:t>
      </w:r>
      <w:r w:rsidRPr="007D5795">
        <w:rPr>
          <w:rStyle w:val="TextoNormalCaracter"/>
        </w:rPr>
        <w:t>-</w:t>
      </w:r>
      <w:r>
        <w:t xml:space="preserve"> Sentencia </w:t>
      </w:r>
      <w:hyperlink w:anchor="SENTENCIA_2024_112" w:history="1">
        <w:r w:rsidRPr="007D5795">
          <w:rPr>
            <w:rStyle w:val="TextoNormalCaracter"/>
          </w:rPr>
          <w:t>112/2024</w:t>
        </w:r>
      </w:hyperlink>
      <w:r>
        <w:t>, f. 3.</w:t>
      </w:r>
    </w:p>
    <w:p w14:paraId="4D089BB3" w14:textId="0738BA5B" w:rsidR="007D5795" w:rsidRDefault="007D5795" w:rsidP="007D5795">
      <w:pPr>
        <w:pStyle w:val="SangriaFrancesaArticulo"/>
      </w:pPr>
      <w:r w:rsidRPr="007D5795">
        <w:rPr>
          <w:rStyle w:val="TextoNormalNegritaCaracter"/>
        </w:rPr>
        <w:t>Artículo 225.</w:t>
      </w:r>
      <w:r w:rsidRPr="007D5795">
        <w:rPr>
          <w:rStyle w:val="TextoNormalCaracter"/>
        </w:rPr>
        <w:t>-</w:t>
      </w:r>
      <w:r>
        <w:t xml:space="preserve"> Auto </w:t>
      </w:r>
      <w:hyperlink w:anchor="AUTO_2024_153" w:history="1">
        <w:r w:rsidRPr="007D5795">
          <w:rPr>
            <w:rStyle w:val="TextoNormalCaracter"/>
          </w:rPr>
          <w:t>153/2024</w:t>
        </w:r>
      </w:hyperlink>
      <w:r>
        <w:t>, f. 1.</w:t>
      </w:r>
    </w:p>
    <w:p w14:paraId="4AC398C8" w14:textId="0FBDD40D" w:rsidR="007D5795" w:rsidRDefault="007D5795" w:rsidP="007D5795">
      <w:pPr>
        <w:pStyle w:val="SangriaFrancesaArticulo"/>
      </w:pPr>
      <w:r w:rsidRPr="007D5795">
        <w:rPr>
          <w:rStyle w:val="TextoNormalNegritaCaracter"/>
        </w:rPr>
        <w:t>Artículo 225.16.</w:t>
      </w:r>
      <w:r w:rsidRPr="007D5795">
        <w:rPr>
          <w:rStyle w:val="TextoNormalCaracter"/>
        </w:rPr>
        <w:t>-</w:t>
      </w:r>
      <w:r>
        <w:t xml:space="preserve"> Auto </w:t>
      </w:r>
      <w:hyperlink w:anchor="AUTO_2024_153" w:history="1">
        <w:r w:rsidRPr="007D5795">
          <w:rPr>
            <w:rStyle w:val="TextoNormalCaracter"/>
          </w:rPr>
          <w:t>153/2024</w:t>
        </w:r>
      </w:hyperlink>
      <w:r>
        <w:t>, f. 1.</w:t>
      </w:r>
    </w:p>
    <w:p w14:paraId="2E21EF27" w14:textId="66E06D07" w:rsidR="007D5795" w:rsidRDefault="007D5795" w:rsidP="007D5795">
      <w:pPr>
        <w:pStyle w:val="SangriaFrancesaArticulo"/>
      </w:pPr>
    </w:p>
    <w:p w14:paraId="5BE9E955" w14:textId="77777777" w:rsidR="007D5795" w:rsidRDefault="007D5795" w:rsidP="007D5795">
      <w:pPr>
        <w:pStyle w:val="TextoNormalNegritaCursivandice"/>
        <w:keepNext/>
      </w:pPr>
      <w:r>
        <w:t>Real Decreto-ley 8/2023, de 27 de diciembre, por el que se adoptan medidas para afrontar las consecuencias económicas y sociales derivadas de los conflictos en Ucrania y Oriente Próximo, así como para paliar los efectos de la sequía</w:t>
      </w:r>
    </w:p>
    <w:p w14:paraId="0E295F02" w14:textId="6464BC4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6" w:history="1">
        <w:r w:rsidRPr="007D5795">
          <w:rPr>
            <w:rStyle w:val="TextoNormalCaracter"/>
          </w:rPr>
          <w:t>126/2024</w:t>
        </w:r>
      </w:hyperlink>
      <w:r>
        <w:t>, ff. 1, 2.</w:t>
      </w:r>
    </w:p>
    <w:p w14:paraId="7A931833" w14:textId="396D7EBC" w:rsidR="007D5795" w:rsidRDefault="007D5795" w:rsidP="007D5795">
      <w:pPr>
        <w:pStyle w:val="SangriaFrancesaArticulo"/>
      </w:pPr>
      <w:r w:rsidRPr="007D5795">
        <w:rPr>
          <w:rStyle w:val="TextoNormalNegritaCaracter"/>
        </w:rPr>
        <w:t>Preámbulo.</w:t>
      </w:r>
      <w:r w:rsidRPr="007D5795">
        <w:rPr>
          <w:rStyle w:val="TextoNormalCaracter"/>
        </w:rPr>
        <w:t>-</w:t>
      </w:r>
      <w:r>
        <w:t xml:space="preserve"> Sentencia </w:t>
      </w:r>
      <w:hyperlink w:anchor="SENTENCIA_2024_126" w:history="1">
        <w:r w:rsidRPr="007D5795">
          <w:rPr>
            <w:rStyle w:val="TextoNormalCaracter"/>
          </w:rPr>
          <w:t>126/2024</w:t>
        </w:r>
      </w:hyperlink>
      <w:r>
        <w:t>, f. 2.</w:t>
      </w:r>
    </w:p>
    <w:p w14:paraId="6C5A0B6A" w14:textId="470F4339" w:rsidR="007D5795" w:rsidRDefault="007D5795" w:rsidP="007D5795">
      <w:pPr>
        <w:pStyle w:val="SangriaFrancesaArticulo"/>
      </w:pPr>
      <w:r w:rsidRPr="007D5795">
        <w:rPr>
          <w:rStyle w:val="TextoNormalNegritaCaracter"/>
        </w:rPr>
        <w:t>Artículo 87.</w:t>
      </w:r>
      <w:r w:rsidRPr="007D5795">
        <w:rPr>
          <w:rStyle w:val="TextoNormalCaracter"/>
        </w:rPr>
        <w:t>-</w:t>
      </w:r>
      <w:r>
        <w:t xml:space="preserve"> Sentencia </w:t>
      </w:r>
      <w:hyperlink w:anchor="SENTENCIA_2024_126" w:history="1">
        <w:r w:rsidRPr="007D5795">
          <w:rPr>
            <w:rStyle w:val="TextoNormalCaracter"/>
          </w:rPr>
          <w:t>126/2024</w:t>
        </w:r>
      </w:hyperlink>
      <w:r>
        <w:t>, f. 2, VP.</w:t>
      </w:r>
    </w:p>
    <w:p w14:paraId="7B09D85B" w14:textId="43BE0887" w:rsidR="007D5795" w:rsidRDefault="007D5795" w:rsidP="007D5795">
      <w:pPr>
        <w:pStyle w:val="TextoNormal"/>
      </w:pPr>
    </w:p>
    <w:p w14:paraId="2B937723" w14:textId="77777777" w:rsidR="007D5795" w:rsidRDefault="007D5795" w:rsidP="007D5795">
      <w:pPr>
        <w:pStyle w:val="SangriaFrancesaArticulo"/>
      </w:pPr>
      <w:bookmarkStart w:id="176" w:name="INDICE22849"/>
    </w:p>
    <w:bookmarkEnd w:id="176"/>
    <w:p w14:paraId="2135252B" w14:textId="77777777" w:rsidR="007D5795" w:rsidRDefault="007D5795" w:rsidP="007D5795">
      <w:pPr>
        <w:pStyle w:val="TextoIndiceNivel2"/>
        <w:suppressAutoHyphens/>
      </w:pPr>
      <w:r>
        <w:t>H) Reales Decretos y otras disposiciones generales del Estado</w:t>
      </w:r>
    </w:p>
    <w:p w14:paraId="4CAB4882" w14:textId="62097E0A" w:rsidR="007D5795" w:rsidRDefault="007D5795" w:rsidP="007D5795">
      <w:pPr>
        <w:pStyle w:val="TextoIndiceNivel2"/>
      </w:pPr>
    </w:p>
    <w:p w14:paraId="639B76CD" w14:textId="77777777" w:rsidR="007D5795" w:rsidRDefault="007D5795" w:rsidP="007D5795">
      <w:pPr>
        <w:pStyle w:val="TextoNormalNegritaCursivandice"/>
        <w:keepNext/>
      </w:pPr>
      <w:r>
        <w:t>Real Decreto del Ministerio de Gracia y Justicia, de 21 de junio de 1920. De arrendamientos</w:t>
      </w:r>
    </w:p>
    <w:p w14:paraId="3A637B15" w14:textId="5A912614"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76A6E027" w14:textId="7AF23EE3" w:rsidR="007D5795" w:rsidRDefault="007D5795" w:rsidP="007D5795">
      <w:pPr>
        <w:pStyle w:val="SangriaFrancesaArticulo"/>
      </w:pPr>
    </w:p>
    <w:p w14:paraId="7D4C1EE1" w14:textId="77777777" w:rsidR="007D5795" w:rsidRDefault="007D5795" w:rsidP="007D5795">
      <w:pPr>
        <w:pStyle w:val="TextoNormalNegritaCursivandice"/>
        <w:keepNext/>
      </w:pPr>
      <w:r>
        <w:t>Real Decreto 1471/1989, de 1 de diciembre, por el que se aprueba el Reglamento general para desarrollo y ejecución de la Ley 22/1988, de 28 de julio, de costas</w:t>
      </w:r>
    </w:p>
    <w:p w14:paraId="59F08E86" w14:textId="671EB82B" w:rsidR="007D5795" w:rsidRDefault="007D5795" w:rsidP="007D5795">
      <w:pPr>
        <w:pStyle w:val="SangriaFrancesaArticulo"/>
      </w:pPr>
      <w:r w:rsidRPr="007D5795">
        <w:rPr>
          <w:rStyle w:val="TextoNormalNegritaCaracter"/>
        </w:rPr>
        <w:t>Disposición transitoria primera, apartado 2.</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5CAAB5FD" w14:textId="1C1482F4" w:rsidR="007D5795" w:rsidRDefault="007D5795" w:rsidP="007D5795">
      <w:pPr>
        <w:pStyle w:val="SangriaFrancesaArticulo"/>
      </w:pPr>
    </w:p>
    <w:p w14:paraId="074FD141" w14:textId="77777777" w:rsidR="007D5795" w:rsidRDefault="007D5795" w:rsidP="007D5795">
      <w:pPr>
        <w:pStyle w:val="TextoNormalNegritaCursivandice"/>
        <w:keepNext/>
      </w:pPr>
      <w:r>
        <w:t>Real Decreto 1211/1990, de 28 de septiembre, por el que se aprueba el Reglamento de la Ley de ordenación de los transportes terrestres</w:t>
      </w:r>
    </w:p>
    <w:p w14:paraId="6DA6522D" w14:textId="6F8EB27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2" w:history="1">
        <w:r w:rsidRPr="007D5795">
          <w:rPr>
            <w:rStyle w:val="TextoNormalCaracter"/>
          </w:rPr>
          <w:t>112/2024</w:t>
        </w:r>
      </w:hyperlink>
      <w:r>
        <w:t>, f. 3.</w:t>
      </w:r>
    </w:p>
    <w:p w14:paraId="21E15D0D" w14:textId="1A671887" w:rsidR="007D5795" w:rsidRDefault="007D5795" w:rsidP="007D5795">
      <w:pPr>
        <w:pStyle w:val="SangriaFrancesaArticulo"/>
      </w:pPr>
      <w:r w:rsidRPr="007D5795">
        <w:rPr>
          <w:rStyle w:val="TextoNormalNegritaCaracter"/>
        </w:rPr>
        <w:t>Artículo 180.2.</w:t>
      </w:r>
      <w:r w:rsidRPr="007D5795">
        <w:rPr>
          <w:rStyle w:val="TextoNormalCaracter"/>
        </w:rPr>
        <w:t>-</w:t>
      </w:r>
      <w:r>
        <w:t xml:space="preserve"> Sentencia </w:t>
      </w:r>
      <w:hyperlink w:anchor="SENTENCIA_2024_111" w:history="1">
        <w:r w:rsidRPr="007D5795">
          <w:rPr>
            <w:rStyle w:val="TextoNormalCaracter"/>
          </w:rPr>
          <w:t>111/2024</w:t>
        </w:r>
      </w:hyperlink>
      <w:r>
        <w:t>, f. 6.</w:t>
      </w:r>
    </w:p>
    <w:p w14:paraId="1E34C009" w14:textId="3E13E3B9" w:rsidR="007D5795" w:rsidRDefault="007D5795" w:rsidP="007D5795">
      <w:pPr>
        <w:pStyle w:val="SangriaFrancesaArticulo"/>
      </w:pPr>
      <w:r w:rsidRPr="007D5795">
        <w:rPr>
          <w:rStyle w:val="TextoNormalNegritaCaracter"/>
        </w:rPr>
        <w:t>Artículo 182.1.</w:t>
      </w:r>
      <w:r w:rsidRPr="007D5795">
        <w:rPr>
          <w:rStyle w:val="TextoNormalCaracter"/>
        </w:rPr>
        <w:t>-</w:t>
      </w:r>
      <w:r>
        <w:t xml:space="preserve"> Sentencias </w:t>
      </w:r>
      <w:hyperlink w:anchor="SENTENCIA_2024_111" w:history="1">
        <w:r w:rsidRPr="007D5795">
          <w:rPr>
            <w:rStyle w:val="TextoNormalCaracter"/>
          </w:rPr>
          <w:t>111/2024</w:t>
        </w:r>
      </w:hyperlink>
      <w:r>
        <w:t xml:space="preserve">, f. 4; </w:t>
      </w:r>
      <w:hyperlink w:anchor="SENTENCIA_2024_112" w:history="1">
        <w:r w:rsidRPr="007D5795">
          <w:rPr>
            <w:rStyle w:val="TextoNormalCaracter"/>
          </w:rPr>
          <w:t>112/2024</w:t>
        </w:r>
      </w:hyperlink>
      <w:r>
        <w:t>, ff. 3, 5.</w:t>
      </w:r>
    </w:p>
    <w:p w14:paraId="1CED91B2" w14:textId="60FB27DA" w:rsidR="007D5795" w:rsidRDefault="007D5795" w:rsidP="007D5795">
      <w:pPr>
        <w:pStyle w:val="SangriaFrancesaArticulo"/>
      </w:pPr>
    </w:p>
    <w:p w14:paraId="7D8B0208" w14:textId="77777777" w:rsidR="007D5795" w:rsidRDefault="007D5795" w:rsidP="007D5795">
      <w:pPr>
        <w:pStyle w:val="TextoNormalNegritaCursivandice"/>
        <w:keepNext/>
      </w:pPr>
      <w:r>
        <w:t>Orden del Ministerio de Obras Públicas y Transportes de 22 de Mayo de 1992 por la que se aprueban el acta y los planos en los que se define el deslinde del dominio público marítimo terrestre del tramo de costas entre Playa del Moro y Corralejo, término municipal de La Oliva (Fuerteventura)</w:t>
      </w:r>
    </w:p>
    <w:p w14:paraId="44D4BC0D" w14:textId="7D8698E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9" w:history="1">
        <w:r w:rsidRPr="007D5795">
          <w:rPr>
            <w:rStyle w:val="TextoNormalCaracter"/>
          </w:rPr>
          <w:t>119/2024</w:t>
        </w:r>
      </w:hyperlink>
      <w:r>
        <w:t>.</w:t>
      </w:r>
    </w:p>
    <w:p w14:paraId="3908B856" w14:textId="1E9492E9" w:rsidR="007D5795" w:rsidRDefault="007D5795" w:rsidP="007D5795">
      <w:pPr>
        <w:pStyle w:val="SangriaFrancesaArticulo"/>
      </w:pPr>
    </w:p>
    <w:p w14:paraId="2934F473" w14:textId="77777777" w:rsidR="007D5795" w:rsidRDefault="007D5795" w:rsidP="007D5795">
      <w:pPr>
        <w:pStyle w:val="TextoNormalNegritaCursivandice"/>
        <w:keepNext/>
      </w:pPr>
      <w:r>
        <w:t>Orden Ministerial de 8 de julio de 2003 mediante la que se otorga a Geadfond Número Uno Lanzarote S.A. concesión administrativa para la ocupación y aprovechamiento del dominio público, al amparo de lo dispuesto en la Disposición Transitoria Primera de la Ley 22/1988, de 28 de julio, de Costas, en el término municipal de La Oliva (Fuerteventura)</w:t>
      </w:r>
    </w:p>
    <w:p w14:paraId="4A8C008D" w14:textId="58385CC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9" w:history="1">
        <w:r w:rsidRPr="007D5795">
          <w:rPr>
            <w:rStyle w:val="TextoNormalCaracter"/>
          </w:rPr>
          <w:t>119/2024</w:t>
        </w:r>
      </w:hyperlink>
      <w:r>
        <w:t>, ff. 2, 5.</w:t>
      </w:r>
    </w:p>
    <w:p w14:paraId="67A339B4" w14:textId="7BE991D1" w:rsidR="007D5795" w:rsidRDefault="007D5795" w:rsidP="007D5795">
      <w:pPr>
        <w:pStyle w:val="SangriaFrancesaArticulo"/>
      </w:pPr>
    </w:p>
    <w:p w14:paraId="3722A02C" w14:textId="77777777" w:rsidR="007D5795" w:rsidRDefault="007D5795" w:rsidP="007D5795">
      <w:pPr>
        <w:pStyle w:val="TextoNormalNegritaCursivandice"/>
        <w:keepNext/>
      </w:pPr>
      <w:r>
        <w:t>Real Decreto 939/2005, de 29 de julio, por el que se aprueba el reglamento general de recaudación</w:t>
      </w:r>
    </w:p>
    <w:p w14:paraId="5A90CEC4" w14:textId="6C44FF0A"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748A8BAB" w14:textId="084212E0" w:rsidR="007D5795" w:rsidRDefault="007D5795" w:rsidP="007D5795">
      <w:pPr>
        <w:pStyle w:val="SangriaFrancesaArticulo"/>
      </w:pPr>
      <w:r w:rsidRPr="007D5795">
        <w:rPr>
          <w:rStyle w:val="TextoNormalNegritaCaracter"/>
        </w:rPr>
        <w:t>Artículo 128.</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44DAB59E" w14:textId="15764039" w:rsidR="007D5795" w:rsidRDefault="007D5795" w:rsidP="007D5795">
      <w:pPr>
        <w:pStyle w:val="SangriaFrancesaArticulo"/>
      </w:pPr>
    </w:p>
    <w:p w14:paraId="0D41AF02" w14:textId="77777777" w:rsidR="007D5795" w:rsidRDefault="007D5795" w:rsidP="007D5795">
      <w:pPr>
        <w:pStyle w:val="TextoNormalNegritaCursivandice"/>
        <w:keepNext/>
      </w:pPr>
      <w:r>
        <w:t>Real Decreto 887/2006, de 21 de julio. Reglamento de la Ley 38/2003, de 17 de noviembre, general de subvenciones</w:t>
      </w:r>
    </w:p>
    <w:p w14:paraId="0935D8BE" w14:textId="7D29BD40" w:rsidR="007D5795" w:rsidRDefault="007D5795" w:rsidP="007D5795">
      <w:pPr>
        <w:pStyle w:val="SangriaFrancesaArticulo"/>
      </w:pPr>
      <w:r w:rsidRPr="007D5795">
        <w:rPr>
          <w:rStyle w:val="TextoNormalNegritaCaracter"/>
        </w:rPr>
        <w:t>Artículo 15.1.</w:t>
      </w:r>
      <w:r w:rsidRPr="007D5795">
        <w:rPr>
          <w:rStyle w:val="TextoNormalCaracter"/>
        </w:rPr>
        <w:t>-</w:t>
      </w:r>
      <w:r>
        <w:t xml:space="preserve"> Sentencias </w:t>
      </w:r>
      <w:hyperlink w:anchor="SENTENCIA_2024_96" w:history="1">
        <w:r w:rsidRPr="007D5795">
          <w:rPr>
            <w:rStyle w:val="TextoNormalCaracter"/>
          </w:rPr>
          <w:t>96/2024</w:t>
        </w:r>
      </w:hyperlink>
      <w:r>
        <w:t xml:space="preserve">, f. 7; </w:t>
      </w:r>
      <w:hyperlink w:anchor="SENTENCIA_2024_100" w:history="1">
        <w:r w:rsidRPr="007D5795">
          <w:rPr>
            <w:rStyle w:val="TextoNormalCaracter"/>
          </w:rPr>
          <w:t>100/2024</w:t>
        </w:r>
      </w:hyperlink>
      <w:r>
        <w:t>, f. 6.</w:t>
      </w:r>
    </w:p>
    <w:p w14:paraId="52A499CE" w14:textId="0FAD5F83" w:rsidR="007D5795" w:rsidRDefault="007D5795" w:rsidP="007D5795">
      <w:pPr>
        <w:pStyle w:val="SangriaFrancesaArticulo"/>
      </w:pPr>
    </w:p>
    <w:p w14:paraId="59534DF9" w14:textId="77777777" w:rsidR="007D5795" w:rsidRDefault="007D5795" w:rsidP="007D5795">
      <w:pPr>
        <w:pStyle w:val="TextoNormalNegritaCursivandice"/>
        <w:keepNext/>
      </w:pPr>
      <w:r>
        <w:t>Real Decreto 557/2011, de 20 de abril, por el que se aprueba el Reglamento de la Ley Orgánica 4/2000, sobre derechos y libertades de los extranjeros en España y su integración social, tras su reforma por Ley Orgánica 2/2009</w:t>
      </w:r>
    </w:p>
    <w:p w14:paraId="58150895" w14:textId="66DF8DD8" w:rsidR="007D5795" w:rsidRDefault="007D5795" w:rsidP="007D5795">
      <w:pPr>
        <w:pStyle w:val="SangriaFrancesaArticulo"/>
      </w:pPr>
      <w:r w:rsidRPr="007D5795">
        <w:rPr>
          <w:rStyle w:val="TextoNormalNegritaCaracter"/>
        </w:rPr>
        <w:t>Artículo 247.</w:t>
      </w:r>
      <w:r w:rsidRPr="007D5795">
        <w:rPr>
          <w:rStyle w:val="TextoNormalCaracter"/>
        </w:rPr>
        <w:t>-</w:t>
      </w:r>
      <w:r>
        <w:t xml:space="preserve"> Sentencia </w:t>
      </w:r>
      <w:hyperlink w:anchor="SENTENCIA_2024_124" w:history="1">
        <w:r w:rsidRPr="007D5795">
          <w:rPr>
            <w:rStyle w:val="TextoNormalCaracter"/>
          </w:rPr>
          <w:t>124/2024</w:t>
        </w:r>
      </w:hyperlink>
      <w:r>
        <w:t>, f. 1, VP.</w:t>
      </w:r>
    </w:p>
    <w:p w14:paraId="039FEE5B" w14:textId="2987C172" w:rsidR="007D5795" w:rsidRDefault="007D5795" w:rsidP="007D5795">
      <w:pPr>
        <w:pStyle w:val="SangriaFrancesaArticulo"/>
      </w:pPr>
    </w:p>
    <w:p w14:paraId="51D7FB28" w14:textId="77777777" w:rsidR="007D5795" w:rsidRDefault="007D5795" w:rsidP="007D5795">
      <w:pPr>
        <w:pStyle w:val="TextoNormalNegritaCursivandice"/>
        <w:keepNext/>
      </w:pPr>
      <w:r>
        <w:t>Real Decreto 876/2014, de 10 de octubre, por el que se aprueba el Reglamento General de Costas</w:t>
      </w:r>
    </w:p>
    <w:p w14:paraId="0564D945" w14:textId="74AE820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38F218AB" w14:textId="3AA92107" w:rsidR="007D5795" w:rsidRDefault="007D5795" w:rsidP="007D5795">
      <w:pPr>
        <w:pStyle w:val="SangriaFrancesaArticulo"/>
      </w:pPr>
    </w:p>
    <w:p w14:paraId="7A992178" w14:textId="77777777" w:rsidR="007D5795" w:rsidRDefault="007D5795" w:rsidP="007D5795">
      <w:pPr>
        <w:pStyle w:val="TextoNormalNegritaCursivandice"/>
        <w:keepNext/>
      </w:pPr>
      <w:r>
        <w:t>Real Decreto 897/2017, de 6 de octubre. Regula la figura del consumidor vulnerable, el bono social y otras medidas de protección para los consumidores domésticos de energía eléctrica</w:t>
      </w:r>
    </w:p>
    <w:p w14:paraId="5B01E18D" w14:textId="29989006" w:rsidR="007D5795" w:rsidRDefault="007D5795" w:rsidP="007D5795">
      <w:pPr>
        <w:pStyle w:val="SangriaFrancesaArticulo"/>
      </w:pPr>
      <w:r w:rsidRPr="007D5795">
        <w:rPr>
          <w:rStyle w:val="TextoNormalNegritaCaracter"/>
        </w:rPr>
        <w:t>Artículo 19.3.</w:t>
      </w:r>
      <w:r w:rsidRPr="007D5795">
        <w:rPr>
          <w:rStyle w:val="TextoNormalCaracter"/>
        </w:rPr>
        <w:t>-</w:t>
      </w:r>
      <w:r>
        <w:t xml:space="preserve"> Auto </w:t>
      </w:r>
      <w:hyperlink w:anchor="AUTO_2024_66" w:history="1">
        <w:r w:rsidRPr="007D5795">
          <w:rPr>
            <w:rStyle w:val="TextoNormalCaracter"/>
          </w:rPr>
          <w:t>66/2024</w:t>
        </w:r>
      </w:hyperlink>
      <w:r>
        <w:t>, f. 1.</w:t>
      </w:r>
    </w:p>
    <w:p w14:paraId="79BA24B8" w14:textId="751FAB77" w:rsidR="007D5795" w:rsidRDefault="007D5795" w:rsidP="007D5795">
      <w:pPr>
        <w:pStyle w:val="SangriaFrancesaArticulo"/>
      </w:pPr>
    </w:p>
    <w:p w14:paraId="471BED70" w14:textId="77777777" w:rsidR="007D5795" w:rsidRDefault="007D5795" w:rsidP="007D5795">
      <w:pPr>
        <w:pStyle w:val="TextoNormalNegritaCursivandice"/>
        <w:keepNext/>
      </w:pPr>
      <w:r>
        <w:t>Acuerdo de la Junta Electoral Central 55/2019, de 11 de marzo. Reclamación contra las acciones y omisiones del Gobierno de la Generalidad de Cataluña, ante la exhibición de símbolos ideológicos o partidistas en edificios y espacios públicos.</w:t>
      </w:r>
    </w:p>
    <w:p w14:paraId="2ACAE3C4" w14:textId="2D70328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52" w:history="1">
        <w:r w:rsidRPr="007D5795">
          <w:rPr>
            <w:rStyle w:val="TextoNormalCaracter"/>
          </w:rPr>
          <w:t>152/2024</w:t>
        </w:r>
      </w:hyperlink>
      <w:r>
        <w:t>, f. 5.</w:t>
      </w:r>
    </w:p>
    <w:p w14:paraId="22F92325" w14:textId="4AC60C18" w:rsidR="007D5795" w:rsidRDefault="007D5795" w:rsidP="007D5795">
      <w:pPr>
        <w:pStyle w:val="SangriaFrancesaArticulo"/>
      </w:pPr>
    </w:p>
    <w:p w14:paraId="25E6D3A7" w14:textId="77777777" w:rsidR="007D5795" w:rsidRDefault="007D5795" w:rsidP="007D5795">
      <w:pPr>
        <w:pStyle w:val="TextoNormalNegritaCursivandice"/>
        <w:keepNext/>
      </w:pPr>
      <w:r>
        <w:t>Acuerdo de la Junta Electoral Central 67/2019, de 18 de marzo. Denuncia contra el presidente de la Generalitat de Cataluña, por el incumplimiento del requerimiento emitido por la Junta Electoral Central en su acuerdo 55/2019, de 11 de marzo</w:t>
      </w:r>
    </w:p>
    <w:p w14:paraId="257CA825" w14:textId="557F872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52" w:history="1">
        <w:r w:rsidRPr="007D5795">
          <w:rPr>
            <w:rStyle w:val="TextoNormalCaracter"/>
          </w:rPr>
          <w:t>152/2024</w:t>
        </w:r>
      </w:hyperlink>
      <w:r>
        <w:t>, f. 5.</w:t>
      </w:r>
    </w:p>
    <w:p w14:paraId="2C1A8675" w14:textId="10A5034F" w:rsidR="007D5795" w:rsidRDefault="007D5795" w:rsidP="007D5795">
      <w:pPr>
        <w:pStyle w:val="SangriaFrancesaArticulo"/>
      </w:pPr>
    </w:p>
    <w:p w14:paraId="77F1B75E" w14:textId="77777777" w:rsidR="007D5795" w:rsidRDefault="007D5795" w:rsidP="007D5795">
      <w:pPr>
        <w:pStyle w:val="TextoNormalNegritaCursivandice"/>
        <w:keepNext/>
      </w:pPr>
      <w:r>
        <w:t>Acuerdo de la Junta Electoral Central 91/2019, de 21 de marzo. Reclamación contra las acciones y omisiones del Gobierno de la Generalitat de Cataluña, ante la exhibición de símbolos ideológicos o partidistas en edificios y espacios públicos</w:t>
      </w:r>
    </w:p>
    <w:p w14:paraId="5B870828" w14:textId="3AFBFD9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52" w:history="1">
        <w:r w:rsidRPr="007D5795">
          <w:rPr>
            <w:rStyle w:val="TextoNormalCaracter"/>
          </w:rPr>
          <w:t>152/2024</w:t>
        </w:r>
      </w:hyperlink>
      <w:r>
        <w:t>, f. 5.</w:t>
      </w:r>
    </w:p>
    <w:p w14:paraId="21195277" w14:textId="637D5DDE" w:rsidR="007D5795" w:rsidRDefault="007D5795" w:rsidP="007D5795">
      <w:pPr>
        <w:pStyle w:val="SangriaFrancesaArticulo"/>
      </w:pPr>
    </w:p>
    <w:p w14:paraId="0DF14FCD" w14:textId="77777777" w:rsidR="007D5795" w:rsidRDefault="007D5795" w:rsidP="007D5795">
      <w:pPr>
        <w:pStyle w:val="TextoNormalNegritaCursivandice"/>
        <w:keepNext/>
      </w:pPr>
      <w:r>
        <w:t>Acuerdo 2/2020, de 3 de enero, de la Junta Electoral Central en relación con la causa de inelegibilidad sobrevenida a que se refiere el artículo 6.2 b) LOREG, que deja sin efecto la credencial de diputado electo del presidente de la Generalitat de Cataluña</w:t>
      </w:r>
    </w:p>
    <w:p w14:paraId="56D2EB78" w14:textId="1FF8134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52" w:history="1">
        <w:r w:rsidRPr="007D5795">
          <w:rPr>
            <w:rStyle w:val="TextoNormalCaracter"/>
          </w:rPr>
          <w:t>152/2024</w:t>
        </w:r>
      </w:hyperlink>
      <w:r>
        <w:t>, f. 1.</w:t>
      </w:r>
    </w:p>
    <w:p w14:paraId="775DF98A" w14:textId="6B3B23A2" w:rsidR="007D5795" w:rsidRDefault="007D5795" w:rsidP="007D5795">
      <w:pPr>
        <w:pStyle w:val="SangriaFrancesaArticulo"/>
      </w:pPr>
    </w:p>
    <w:p w14:paraId="649AAB99" w14:textId="77777777" w:rsidR="007D5795" w:rsidRDefault="007D5795" w:rsidP="007D5795">
      <w:pPr>
        <w:pStyle w:val="TextoNormalNegritaCursivandice"/>
        <w:keepNext/>
      </w:pPr>
      <w:r>
        <w:t>Real Decreto 463/2020, de 14 de marzo, por el que se declara el estado de alarma para la gestión de la situación de crisis sanitaria ocasionada por el COVID-19</w:t>
      </w:r>
    </w:p>
    <w:p w14:paraId="71E781DD" w14:textId="318F8CC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14" w:history="1">
        <w:r w:rsidRPr="007D5795">
          <w:rPr>
            <w:rStyle w:val="TextoNormalCaracter"/>
          </w:rPr>
          <w:t>114/2024</w:t>
        </w:r>
      </w:hyperlink>
      <w:r>
        <w:t xml:space="preserve">, f. 3; </w:t>
      </w:r>
      <w:hyperlink w:anchor="SENTENCIA_2024_136" w:history="1">
        <w:r w:rsidRPr="007D5795">
          <w:rPr>
            <w:rStyle w:val="TextoNormalCaracter"/>
          </w:rPr>
          <w:t>136/2024</w:t>
        </w:r>
      </w:hyperlink>
      <w:r>
        <w:t>, VP.</w:t>
      </w:r>
    </w:p>
    <w:p w14:paraId="773755FF" w14:textId="36D05778" w:rsidR="007D5795" w:rsidRDefault="007D5795" w:rsidP="007D5795">
      <w:pPr>
        <w:pStyle w:val="SangriaFrancesaArticulo"/>
      </w:pPr>
      <w:r w:rsidRPr="007D5795">
        <w:rPr>
          <w:rStyle w:val="TextoNormalNegritaCaracter"/>
        </w:rPr>
        <w:t>Artículo 7.</w:t>
      </w:r>
      <w:r w:rsidRPr="007D5795">
        <w:rPr>
          <w:rStyle w:val="TextoNormalCaracter"/>
        </w:rPr>
        <w:t>-</w:t>
      </w:r>
      <w:r>
        <w:t xml:space="preserve"> Sentencia </w:t>
      </w:r>
      <w:hyperlink w:anchor="SENTENCIA_2024_136" w:history="1">
        <w:r w:rsidRPr="007D5795">
          <w:rPr>
            <w:rStyle w:val="TextoNormalCaracter"/>
          </w:rPr>
          <w:t>136/2024</w:t>
        </w:r>
      </w:hyperlink>
      <w:r>
        <w:t>, f. 4.</w:t>
      </w:r>
    </w:p>
    <w:p w14:paraId="7D7984D8" w14:textId="216BA4A7" w:rsidR="007D5795" w:rsidRDefault="007D5795" w:rsidP="007D5795">
      <w:pPr>
        <w:pStyle w:val="SangriaFrancesaArticulo"/>
      </w:pPr>
      <w:r w:rsidRPr="007D5795">
        <w:rPr>
          <w:rStyle w:val="TextoNormalNegritaCaracter"/>
        </w:rPr>
        <w:t>Artículo 7.1.</w:t>
      </w:r>
      <w:r w:rsidRPr="007D5795">
        <w:rPr>
          <w:rStyle w:val="TextoNormalCaracter"/>
        </w:rPr>
        <w:t>-</w:t>
      </w:r>
      <w:r>
        <w:t xml:space="preserve"> Sentencia </w:t>
      </w:r>
      <w:hyperlink w:anchor="SENTENCIA_2024_136" w:history="1">
        <w:r w:rsidRPr="007D5795">
          <w:rPr>
            <w:rStyle w:val="TextoNormalCaracter"/>
          </w:rPr>
          <w:t>136/2024</w:t>
        </w:r>
      </w:hyperlink>
      <w:r>
        <w:t>, VP.</w:t>
      </w:r>
    </w:p>
    <w:p w14:paraId="0709E0A6" w14:textId="5AAF074C" w:rsidR="007D5795" w:rsidRDefault="007D5795" w:rsidP="007D5795">
      <w:pPr>
        <w:pStyle w:val="SangriaFrancesaArticulo"/>
      </w:pPr>
      <w:r w:rsidRPr="007D5795">
        <w:rPr>
          <w:rStyle w:val="TextoNormalNegritaCaracter"/>
        </w:rPr>
        <w:t>Artículo 7.3.</w:t>
      </w:r>
      <w:r w:rsidRPr="007D5795">
        <w:rPr>
          <w:rStyle w:val="TextoNormalCaracter"/>
        </w:rPr>
        <w:t>-</w:t>
      </w:r>
      <w:r>
        <w:t xml:space="preserve"> Sentencia </w:t>
      </w:r>
      <w:hyperlink w:anchor="SENTENCIA_2024_136" w:history="1">
        <w:r w:rsidRPr="007D5795">
          <w:rPr>
            <w:rStyle w:val="TextoNormalCaracter"/>
          </w:rPr>
          <w:t>136/2024</w:t>
        </w:r>
      </w:hyperlink>
      <w:r>
        <w:t>, VP.</w:t>
      </w:r>
    </w:p>
    <w:p w14:paraId="2519FAAC" w14:textId="70B26642" w:rsidR="007D5795" w:rsidRDefault="007D5795" w:rsidP="007D5795">
      <w:pPr>
        <w:pStyle w:val="SangriaFrancesaArticulo"/>
      </w:pPr>
    </w:p>
    <w:p w14:paraId="48636F0F" w14:textId="77777777" w:rsidR="007D5795" w:rsidRDefault="007D5795" w:rsidP="007D5795">
      <w:pPr>
        <w:pStyle w:val="TextoNormalNegritaCursivandice"/>
        <w:keepNext/>
      </w:pPr>
      <w:r>
        <w:t>Real Decreto 456/2021, de 22 de junio, por el que se indulta a doña Dolors Bassa i Coll</w:t>
      </w:r>
    </w:p>
    <w:p w14:paraId="64069746" w14:textId="711DDE6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Autos </w:t>
      </w:r>
      <w:hyperlink w:anchor="AUTO_2024_91" w:history="1">
        <w:r w:rsidRPr="007D5795">
          <w:rPr>
            <w:rStyle w:val="TextoNormalCaracter"/>
          </w:rPr>
          <w:t>91/2024</w:t>
        </w:r>
      </w:hyperlink>
      <w:r>
        <w:t xml:space="preserve">, f. 1; </w:t>
      </w:r>
      <w:hyperlink w:anchor="AUTO_2024_154" w:history="1">
        <w:r w:rsidRPr="007D5795">
          <w:rPr>
            <w:rStyle w:val="TextoNormalCaracter"/>
          </w:rPr>
          <w:t>154/2024</w:t>
        </w:r>
      </w:hyperlink>
      <w:r>
        <w:t>, f. único.</w:t>
      </w:r>
    </w:p>
    <w:p w14:paraId="3FDE8712" w14:textId="56F0840C" w:rsidR="007D5795" w:rsidRDefault="007D5795" w:rsidP="007D5795">
      <w:pPr>
        <w:pStyle w:val="SangriaFrancesaArticulo"/>
      </w:pPr>
    </w:p>
    <w:p w14:paraId="604FFBAD" w14:textId="77777777" w:rsidR="007D5795" w:rsidRDefault="007D5795" w:rsidP="007D5795">
      <w:pPr>
        <w:pStyle w:val="TextoNormalNegritaCursivandice"/>
        <w:keepNext/>
      </w:pPr>
      <w:r>
        <w:t>Real Decreto 457/2021, de 22 de junio, por el que se indulta a don Jordi Cuixart i Navarro</w:t>
      </w:r>
    </w:p>
    <w:p w14:paraId="1DC4728C" w14:textId="4B137AC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Autos </w:t>
      </w:r>
      <w:hyperlink w:anchor="AUTO_2024_91" w:history="1">
        <w:r w:rsidRPr="007D5795">
          <w:rPr>
            <w:rStyle w:val="TextoNormalCaracter"/>
          </w:rPr>
          <w:t>91/2024</w:t>
        </w:r>
      </w:hyperlink>
      <w:r>
        <w:t xml:space="preserve">, f. 1; </w:t>
      </w:r>
      <w:hyperlink w:anchor="AUTO_2024_154" w:history="1">
        <w:r w:rsidRPr="007D5795">
          <w:rPr>
            <w:rStyle w:val="TextoNormalCaracter"/>
          </w:rPr>
          <w:t>154/2024</w:t>
        </w:r>
      </w:hyperlink>
      <w:r>
        <w:t>, f. único.</w:t>
      </w:r>
    </w:p>
    <w:p w14:paraId="2EC118CD" w14:textId="40E14943" w:rsidR="007D5795" w:rsidRDefault="007D5795" w:rsidP="007D5795">
      <w:pPr>
        <w:pStyle w:val="SangriaFrancesaArticulo"/>
      </w:pPr>
    </w:p>
    <w:p w14:paraId="652C87A4" w14:textId="77777777" w:rsidR="007D5795" w:rsidRDefault="007D5795" w:rsidP="007D5795">
      <w:pPr>
        <w:pStyle w:val="TextoNormalNegritaCursivandice"/>
        <w:keepNext/>
      </w:pPr>
      <w:r>
        <w:t>Real Decreto 458/2021, de 22 de junio, por el que se indulta a doña Carme Forcadell i Lluís</w:t>
      </w:r>
    </w:p>
    <w:p w14:paraId="677D100C" w14:textId="2466334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Autos </w:t>
      </w:r>
      <w:hyperlink w:anchor="AUTO_2024_91" w:history="1">
        <w:r w:rsidRPr="007D5795">
          <w:rPr>
            <w:rStyle w:val="TextoNormalCaracter"/>
          </w:rPr>
          <w:t>91/2024</w:t>
        </w:r>
      </w:hyperlink>
      <w:r>
        <w:t xml:space="preserve">, f. 1; </w:t>
      </w:r>
      <w:hyperlink w:anchor="AUTO_2024_154" w:history="1">
        <w:r w:rsidRPr="007D5795">
          <w:rPr>
            <w:rStyle w:val="TextoNormalCaracter"/>
          </w:rPr>
          <w:t>154/2024</w:t>
        </w:r>
      </w:hyperlink>
      <w:r>
        <w:t>, f. único.</w:t>
      </w:r>
    </w:p>
    <w:p w14:paraId="11503258" w14:textId="4CA816BC" w:rsidR="007D5795" w:rsidRDefault="007D5795" w:rsidP="007D5795">
      <w:pPr>
        <w:pStyle w:val="SangriaFrancesaArticulo"/>
      </w:pPr>
    </w:p>
    <w:p w14:paraId="5931641E" w14:textId="77777777" w:rsidR="007D5795" w:rsidRDefault="007D5795" w:rsidP="007D5795">
      <w:pPr>
        <w:pStyle w:val="TextoNormalNegritaCursivandice"/>
        <w:keepNext/>
      </w:pPr>
      <w:r>
        <w:t>Real Decreto 459/2021, de 22 de junio, por el que se indulta a don Joaquim Forn i Chiarello</w:t>
      </w:r>
    </w:p>
    <w:p w14:paraId="23D1C416" w14:textId="76DB56C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Autos </w:t>
      </w:r>
      <w:hyperlink w:anchor="AUTO_2024_91" w:history="1">
        <w:r w:rsidRPr="007D5795">
          <w:rPr>
            <w:rStyle w:val="TextoNormalCaracter"/>
          </w:rPr>
          <w:t>91/2024</w:t>
        </w:r>
      </w:hyperlink>
      <w:r>
        <w:t xml:space="preserve">, f. 1; </w:t>
      </w:r>
      <w:hyperlink w:anchor="AUTO_2024_149" w:history="1">
        <w:r w:rsidRPr="007D5795">
          <w:rPr>
            <w:rStyle w:val="TextoNormalCaracter"/>
          </w:rPr>
          <w:t>149/2024</w:t>
        </w:r>
      </w:hyperlink>
      <w:r>
        <w:t xml:space="preserve">, f. único; </w:t>
      </w:r>
      <w:hyperlink w:anchor="AUTO_2024_154" w:history="1">
        <w:r w:rsidRPr="007D5795">
          <w:rPr>
            <w:rStyle w:val="TextoNormalCaracter"/>
          </w:rPr>
          <w:t>154/2024</w:t>
        </w:r>
      </w:hyperlink>
      <w:r>
        <w:t>, f. único.</w:t>
      </w:r>
    </w:p>
    <w:p w14:paraId="1D4A0A09" w14:textId="3C6FB078" w:rsidR="007D5795" w:rsidRDefault="007D5795" w:rsidP="007D5795">
      <w:pPr>
        <w:pStyle w:val="SangriaFrancesaArticulo"/>
      </w:pPr>
    </w:p>
    <w:p w14:paraId="60D48384" w14:textId="77777777" w:rsidR="007D5795" w:rsidRDefault="007D5795" w:rsidP="007D5795">
      <w:pPr>
        <w:pStyle w:val="TextoNormalNegritaCursivandice"/>
        <w:keepNext/>
      </w:pPr>
      <w:r>
        <w:t>Real Decreto 460/2021, de 22 de junio, por el que se indulta a don Oriol Junqueras i Vies</w:t>
      </w:r>
    </w:p>
    <w:p w14:paraId="37A29F70" w14:textId="1D0F7E0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Autos </w:t>
      </w:r>
      <w:hyperlink w:anchor="AUTO_2024_91" w:history="1">
        <w:r w:rsidRPr="007D5795">
          <w:rPr>
            <w:rStyle w:val="TextoNormalCaracter"/>
          </w:rPr>
          <w:t>91/2024</w:t>
        </w:r>
      </w:hyperlink>
      <w:r>
        <w:t xml:space="preserve">, f. 1; </w:t>
      </w:r>
      <w:hyperlink w:anchor="AUTO_2024_154" w:history="1">
        <w:r w:rsidRPr="007D5795">
          <w:rPr>
            <w:rStyle w:val="TextoNormalCaracter"/>
          </w:rPr>
          <w:t>154/2024</w:t>
        </w:r>
      </w:hyperlink>
      <w:r>
        <w:t>, f. único.</w:t>
      </w:r>
    </w:p>
    <w:p w14:paraId="7A070CAD" w14:textId="7B7E4ED1" w:rsidR="007D5795" w:rsidRDefault="007D5795" w:rsidP="007D5795">
      <w:pPr>
        <w:pStyle w:val="SangriaFrancesaArticulo"/>
      </w:pPr>
    </w:p>
    <w:p w14:paraId="4C1548F4" w14:textId="77777777" w:rsidR="007D5795" w:rsidRDefault="007D5795" w:rsidP="007D5795">
      <w:pPr>
        <w:pStyle w:val="TextoNormalNegritaCursivandice"/>
        <w:keepNext/>
      </w:pPr>
      <w:r>
        <w:t>Real Decreto 461/2021, de 22 de junio, por el que se indulta a don Raül Romeva i Rueda</w:t>
      </w:r>
    </w:p>
    <w:p w14:paraId="44F828E9" w14:textId="10713EF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Autos </w:t>
      </w:r>
      <w:hyperlink w:anchor="AUTO_2024_91" w:history="1">
        <w:r w:rsidRPr="007D5795">
          <w:rPr>
            <w:rStyle w:val="TextoNormalCaracter"/>
          </w:rPr>
          <w:t>91/2024</w:t>
        </w:r>
      </w:hyperlink>
      <w:r>
        <w:t xml:space="preserve">, f. 1; </w:t>
      </w:r>
      <w:hyperlink w:anchor="AUTO_2024_154" w:history="1">
        <w:r w:rsidRPr="007D5795">
          <w:rPr>
            <w:rStyle w:val="TextoNormalCaracter"/>
          </w:rPr>
          <w:t>154/2024</w:t>
        </w:r>
      </w:hyperlink>
      <w:r>
        <w:t>, f. único.</w:t>
      </w:r>
    </w:p>
    <w:p w14:paraId="7EEE105B" w14:textId="0DF6827A" w:rsidR="007D5795" w:rsidRDefault="007D5795" w:rsidP="007D5795">
      <w:pPr>
        <w:pStyle w:val="SangriaFrancesaArticulo"/>
      </w:pPr>
    </w:p>
    <w:p w14:paraId="55242BC8" w14:textId="77777777" w:rsidR="007D5795" w:rsidRDefault="007D5795" w:rsidP="007D5795">
      <w:pPr>
        <w:pStyle w:val="TextoNormalNegritaCursivandice"/>
        <w:keepNext/>
      </w:pPr>
      <w:r>
        <w:t>Real Decreto 462/2021, de 22 de junio, por el que se indulta a don Josep Rull i Andreu</w:t>
      </w:r>
    </w:p>
    <w:p w14:paraId="05FFD7D3" w14:textId="06E6793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Autos </w:t>
      </w:r>
      <w:hyperlink w:anchor="AUTO_2024_91" w:history="1">
        <w:r w:rsidRPr="007D5795">
          <w:rPr>
            <w:rStyle w:val="TextoNormalCaracter"/>
          </w:rPr>
          <w:t>91/2024</w:t>
        </w:r>
      </w:hyperlink>
      <w:r>
        <w:t xml:space="preserve">, f. 1; </w:t>
      </w:r>
      <w:hyperlink w:anchor="AUTO_2024_154" w:history="1">
        <w:r w:rsidRPr="007D5795">
          <w:rPr>
            <w:rStyle w:val="TextoNormalCaracter"/>
          </w:rPr>
          <w:t>154/2024</w:t>
        </w:r>
      </w:hyperlink>
      <w:r>
        <w:t>, f. único.</w:t>
      </w:r>
    </w:p>
    <w:p w14:paraId="78943492" w14:textId="68B1BF2C" w:rsidR="007D5795" w:rsidRDefault="007D5795" w:rsidP="007D5795">
      <w:pPr>
        <w:pStyle w:val="SangriaFrancesaArticulo"/>
      </w:pPr>
    </w:p>
    <w:p w14:paraId="1C3E0920" w14:textId="77777777" w:rsidR="007D5795" w:rsidRDefault="007D5795" w:rsidP="007D5795">
      <w:pPr>
        <w:pStyle w:val="TextoNormalNegritaCursivandice"/>
        <w:keepNext/>
      </w:pPr>
      <w:r>
        <w:t>Real Decreto 463/2021, de 22 de junio, por el que se indulta a don Jordi Sánchez i Picanyol</w:t>
      </w:r>
    </w:p>
    <w:p w14:paraId="6D662C46" w14:textId="79C0A9A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Autos </w:t>
      </w:r>
      <w:hyperlink w:anchor="AUTO_2024_91" w:history="1">
        <w:r w:rsidRPr="007D5795">
          <w:rPr>
            <w:rStyle w:val="TextoNormalCaracter"/>
          </w:rPr>
          <w:t>91/2024</w:t>
        </w:r>
      </w:hyperlink>
      <w:r>
        <w:t xml:space="preserve">, f. 1; </w:t>
      </w:r>
      <w:hyperlink w:anchor="AUTO_2024_154" w:history="1">
        <w:r w:rsidRPr="007D5795">
          <w:rPr>
            <w:rStyle w:val="TextoNormalCaracter"/>
          </w:rPr>
          <w:t>154/2024</w:t>
        </w:r>
      </w:hyperlink>
      <w:r>
        <w:t>, f. único.</w:t>
      </w:r>
    </w:p>
    <w:p w14:paraId="3A4C635C" w14:textId="1F8C88BB" w:rsidR="007D5795" w:rsidRDefault="007D5795" w:rsidP="007D5795">
      <w:pPr>
        <w:pStyle w:val="SangriaFrancesaArticulo"/>
      </w:pPr>
    </w:p>
    <w:p w14:paraId="7567142B" w14:textId="77777777" w:rsidR="007D5795" w:rsidRDefault="007D5795" w:rsidP="007D5795">
      <w:pPr>
        <w:pStyle w:val="TextoNormalNegritaCursivandice"/>
        <w:keepNext/>
      </w:pPr>
      <w:r>
        <w:t>Real Decreto 464/2021, de 22 de junio, por el que se indulta a don Jordi Turull i Negre</w:t>
      </w:r>
    </w:p>
    <w:p w14:paraId="437EA7B3" w14:textId="34BFA89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Autos </w:t>
      </w:r>
      <w:hyperlink w:anchor="AUTO_2024_91" w:history="1">
        <w:r w:rsidRPr="007D5795">
          <w:rPr>
            <w:rStyle w:val="TextoNormalCaracter"/>
          </w:rPr>
          <w:t>91/2024</w:t>
        </w:r>
      </w:hyperlink>
      <w:r>
        <w:t xml:space="preserve">, f. 1; </w:t>
      </w:r>
      <w:hyperlink w:anchor="AUTO_2024_154" w:history="1">
        <w:r w:rsidRPr="007D5795">
          <w:rPr>
            <w:rStyle w:val="TextoNormalCaracter"/>
          </w:rPr>
          <w:t>154/2024</w:t>
        </w:r>
      </w:hyperlink>
      <w:r>
        <w:t>, f. único.</w:t>
      </w:r>
    </w:p>
    <w:p w14:paraId="04009C15" w14:textId="2670767F" w:rsidR="007D5795" w:rsidRDefault="007D5795" w:rsidP="007D5795">
      <w:pPr>
        <w:pStyle w:val="SangriaFrancesaArticulo"/>
      </w:pPr>
    </w:p>
    <w:p w14:paraId="5B32A25C" w14:textId="77777777" w:rsidR="007D5795" w:rsidRDefault="007D5795" w:rsidP="007D5795">
      <w:pPr>
        <w:pStyle w:val="TextoNormalNegritaCursivandice"/>
        <w:keepNext/>
      </w:pPr>
      <w:r>
        <w:t>Real Decreto 785/2021, de 7 de septiembre, sobre el control de la explotación de las autorizaciones de arrendamiento de vehículos con conductor</w:t>
      </w:r>
    </w:p>
    <w:p w14:paraId="4E087B62" w14:textId="176D88D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2" w:history="1">
        <w:r w:rsidRPr="007D5795">
          <w:rPr>
            <w:rStyle w:val="TextoNormalCaracter"/>
          </w:rPr>
          <w:t>112/2024</w:t>
        </w:r>
      </w:hyperlink>
      <w:r>
        <w:t>, f. 5.</w:t>
      </w:r>
    </w:p>
    <w:p w14:paraId="429EE185" w14:textId="643E8886" w:rsidR="007D5795" w:rsidRDefault="007D5795" w:rsidP="007D5795">
      <w:pPr>
        <w:pStyle w:val="SangriaFrancesaArticulo"/>
      </w:pPr>
    </w:p>
    <w:p w14:paraId="01224B2D" w14:textId="77777777" w:rsidR="007D5795" w:rsidRDefault="007D5795" w:rsidP="007D5795">
      <w:pPr>
        <w:pStyle w:val="TextoNormalNegritaCursivandice"/>
        <w:keepNext/>
      </w:pPr>
      <w:r>
        <w:t>Real Decreto 668/2022, de 1 de agosto, por el que se modifica el Reglamento general de costas, aprobado por Real Decreto 876/2014, de 10 de octubre</w:t>
      </w:r>
    </w:p>
    <w:p w14:paraId="1102E6C5" w14:textId="514AB7D3" w:rsidR="007D5795" w:rsidRDefault="007D5795" w:rsidP="007D5795">
      <w:pPr>
        <w:pStyle w:val="SangriaFrancesaArticulo"/>
      </w:pPr>
      <w:r w:rsidRPr="007D5795">
        <w:rPr>
          <w:rStyle w:val="TextoNormalNegritaCaracter"/>
        </w:rPr>
        <w:t>Artículo 135.</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548CC895" w14:textId="63D06C54" w:rsidR="007D5795" w:rsidRDefault="007D5795" w:rsidP="007D5795">
      <w:pPr>
        <w:pStyle w:val="SangriaFrancesaArticulo"/>
      </w:pPr>
      <w:r w:rsidRPr="007D5795">
        <w:rPr>
          <w:rStyle w:val="TextoNormalNegritaCaracter"/>
        </w:rPr>
        <w:t>Artículo 172.</w:t>
      </w:r>
      <w:r w:rsidRPr="007D5795">
        <w:rPr>
          <w:rStyle w:val="TextoNormalCaracter"/>
        </w:rPr>
        <w:t>-</w:t>
      </w:r>
      <w:r>
        <w:t xml:space="preserve"> Sentencia </w:t>
      </w:r>
      <w:hyperlink w:anchor="SENTENCIA_2024_119" w:history="1">
        <w:r w:rsidRPr="007D5795">
          <w:rPr>
            <w:rStyle w:val="TextoNormalCaracter"/>
          </w:rPr>
          <w:t>119/2024</w:t>
        </w:r>
      </w:hyperlink>
      <w:r>
        <w:t>, f. 3.</w:t>
      </w:r>
    </w:p>
    <w:p w14:paraId="18B9A783" w14:textId="255BF9D9" w:rsidR="007D5795" w:rsidRDefault="007D5795" w:rsidP="007D5795">
      <w:pPr>
        <w:pStyle w:val="SangriaFrancesaArticulo"/>
      </w:pPr>
    </w:p>
    <w:p w14:paraId="71E82A2E" w14:textId="77777777" w:rsidR="007D5795" w:rsidRDefault="007D5795" w:rsidP="007D5795">
      <w:pPr>
        <w:pStyle w:val="TextoNormalNegritaCursivandice"/>
        <w:keepNext/>
      </w:pPr>
      <w:r>
        <w:t>Real Decreto 713/2022, de 30 de agosto, de traspaso de funciones y servicios de la Administración General del Estado a la Comunidad Autónoma de Canarias en materia de ordenación y gestión del litoral</w:t>
      </w:r>
    </w:p>
    <w:p w14:paraId="5C07149D" w14:textId="60F9A0B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9" w:history="1">
        <w:r w:rsidRPr="007D5795">
          <w:rPr>
            <w:rStyle w:val="TextoNormalCaracter"/>
          </w:rPr>
          <w:t>119/2024</w:t>
        </w:r>
      </w:hyperlink>
      <w:r>
        <w:t>, ff. 1, 5.</w:t>
      </w:r>
    </w:p>
    <w:p w14:paraId="0DD25BB2" w14:textId="5A1468D8" w:rsidR="007D5795" w:rsidRDefault="007D5795" w:rsidP="007D5795">
      <w:pPr>
        <w:pStyle w:val="SangriaFrancesaArticulo"/>
      </w:pPr>
    </w:p>
    <w:p w14:paraId="64DDF6FB" w14:textId="77777777" w:rsidR="007D5795" w:rsidRDefault="007D5795" w:rsidP="007D5795">
      <w:pPr>
        <w:pStyle w:val="TextoNormalNegritaCursivandice"/>
        <w:keepNext/>
      </w:pPr>
      <w:r>
        <w:t>Resolución de 27 de febrero de 2024, de la ministra para la Transición Ecológica y el Reto Demográfico por la que se declara la caducidad de la concesión otorgada por Orden Ministerial de 8 de julio de 2003, para la ocupación y aprovechamiento del dominio público</w:t>
      </w:r>
    </w:p>
    <w:p w14:paraId="4429E69E" w14:textId="6AA5676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9" w:history="1">
        <w:r w:rsidRPr="007D5795">
          <w:rPr>
            <w:rStyle w:val="TextoNormalCaracter"/>
          </w:rPr>
          <w:t>119/2024</w:t>
        </w:r>
      </w:hyperlink>
      <w:r>
        <w:t>.</w:t>
      </w:r>
    </w:p>
    <w:p w14:paraId="18974ED3" w14:textId="7FB7AB0C" w:rsidR="007D5795" w:rsidRDefault="007D5795" w:rsidP="007D5795">
      <w:pPr>
        <w:pStyle w:val="TextoNormal"/>
      </w:pPr>
    </w:p>
    <w:p w14:paraId="793EE784" w14:textId="77777777" w:rsidR="007D5795" w:rsidRDefault="007D5795" w:rsidP="007D5795">
      <w:pPr>
        <w:pStyle w:val="SangriaFrancesaArticulo"/>
      </w:pPr>
      <w:bookmarkStart w:id="177" w:name="INDICE22850"/>
    </w:p>
    <w:bookmarkEnd w:id="177"/>
    <w:p w14:paraId="23FD7622" w14:textId="77777777" w:rsidR="007D5795" w:rsidRDefault="007D5795" w:rsidP="007D5795">
      <w:pPr>
        <w:pStyle w:val="TextoIndiceNivel2"/>
        <w:suppressAutoHyphens/>
      </w:pPr>
      <w:r>
        <w:t>I) Legislación preconstitucional</w:t>
      </w:r>
    </w:p>
    <w:p w14:paraId="6F949619" w14:textId="324F36FE" w:rsidR="007D5795" w:rsidRDefault="007D5795" w:rsidP="007D5795">
      <w:pPr>
        <w:pStyle w:val="TextoIndiceNivel2"/>
      </w:pPr>
    </w:p>
    <w:p w14:paraId="213C364F" w14:textId="77777777" w:rsidR="007D5795" w:rsidRDefault="007D5795" w:rsidP="007D5795">
      <w:pPr>
        <w:pStyle w:val="TextoNormalNegritaCursivandice"/>
        <w:keepNext/>
      </w:pPr>
      <w:r>
        <w:t>Real Decreto de 14 de septiembre de 1882. Ley de enjuiciamiento criminal</w:t>
      </w:r>
    </w:p>
    <w:p w14:paraId="668A709B" w14:textId="6785367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8" w:history="1">
        <w:r w:rsidRPr="007D5795">
          <w:rPr>
            <w:rStyle w:val="TextoNormalCaracter"/>
          </w:rPr>
          <w:t>148/2024</w:t>
        </w:r>
      </w:hyperlink>
      <w:r>
        <w:t>, f. 4.</w:t>
      </w:r>
    </w:p>
    <w:p w14:paraId="075D7E35" w14:textId="03C17F6D" w:rsidR="007D5795" w:rsidRDefault="007D5795" w:rsidP="007D5795">
      <w:pPr>
        <w:pStyle w:val="SangriaFrancesaArticulo"/>
      </w:pPr>
      <w:r w:rsidRPr="007D5795">
        <w:rPr>
          <w:rStyle w:val="TextoNormalNegritaCaracter"/>
        </w:rPr>
        <w:t>Artículo 16.</w:t>
      </w:r>
      <w:r w:rsidRPr="007D5795">
        <w:rPr>
          <w:rStyle w:val="TextoNormalCaracter"/>
        </w:rPr>
        <w:t>-</w:t>
      </w:r>
      <w:r>
        <w:t xml:space="preserve"> Sentencia </w:t>
      </w:r>
      <w:hyperlink w:anchor="SENTENCIA_2024_128" w:history="1">
        <w:r w:rsidRPr="007D5795">
          <w:rPr>
            <w:rStyle w:val="TextoNormalCaracter"/>
          </w:rPr>
          <w:t>128/2024</w:t>
        </w:r>
      </w:hyperlink>
      <w:r>
        <w:t>, VP.</w:t>
      </w:r>
    </w:p>
    <w:p w14:paraId="40E9DFD3" w14:textId="0F44FB6C" w:rsidR="007D5795" w:rsidRDefault="007D5795" w:rsidP="007D5795">
      <w:pPr>
        <w:pStyle w:val="SangriaFrancesaArticulo"/>
      </w:pPr>
      <w:r w:rsidRPr="007D5795">
        <w:rPr>
          <w:rStyle w:val="TextoNormalNegritaCaracter"/>
        </w:rPr>
        <w:t>Artículo 142.</w:t>
      </w:r>
      <w:r w:rsidRPr="007D5795">
        <w:rPr>
          <w:rStyle w:val="TextoNormalCaracter"/>
        </w:rPr>
        <w:t>-</w:t>
      </w:r>
      <w:r>
        <w:t xml:space="preserve"> Sentencia </w:t>
      </w:r>
      <w:hyperlink w:anchor="SENTENCIA_2024_98" w:history="1">
        <w:r w:rsidRPr="007D5795">
          <w:rPr>
            <w:rStyle w:val="TextoNormalCaracter"/>
          </w:rPr>
          <w:t>98/2024</w:t>
        </w:r>
      </w:hyperlink>
      <w:r>
        <w:t>, f. 7.</w:t>
      </w:r>
    </w:p>
    <w:p w14:paraId="6146D3B2" w14:textId="2EBC3643" w:rsidR="007D5795" w:rsidRDefault="007D5795" w:rsidP="007D5795">
      <w:pPr>
        <w:pStyle w:val="SangriaFrancesaArticulo"/>
      </w:pPr>
      <w:r w:rsidRPr="007D5795">
        <w:rPr>
          <w:rStyle w:val="TextoNormalNegritaCaracter"/>
        </w:rPr>
        <w:t>Artículo 160.</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f. 5.</w:t>
      </w:r>
    </w:p>
    <w:p w14:paraId="3BB5D948" w14:textId="3B0DBDB2" w:rsidR="007D5795" w:rsidRDefault="007D5795" w:rsidP="007D5795">
      <w:pPr>
        <w:pStyle w:val="SangriaFrancesaArticulo"/>
      </w:pPr>
      <w:r w:rsidRPr="007D5795">
        <w:rPr>
          <w:rStyle w:val="TextoNormalNegritaCaracter"/>
        </w:rPr>
        <w:t>Artículo 161.</w:t>
      </w:r>
      <w:r w:rsidRPr="007D5795">
        <w:rPr>
          <w:rStyle w:val="TextoNormalCaracter"/>
        </w:rPr>
        <w:t>-</w:t>
      </w:r>
      <w:r>
        <w:t xml:space="preserve"> Sentencias </w:t>
      </w:r>
      <w:hyperlink w:anchor="SENTENCIA_2024_134" w:history="1">
        <w:r w:rsidRPr="007D5795">
          <w:rPr>
            <w:rStyle w:val="TextoNormalCaracter"/>
          </w:rPr>
          <w:t>134/2024</w:t>
        </w:r>
      </w:hyperlink>
      <w:r>
        <w:t xml:space="preserve">, f. 4; </w:t>
      </w:r>
      <w:hyperlink w:anchor="SENTENCIA_2024_144" w:history="1">
        <w:r w:rsidRPr="007D5795">
          <w:rPr>
            <w:rStyle w:val="TextoNormalCaracter"/>
          </w:rPr>
          <w:t>144/2024</w:t>
        </w:r>
      </w:hyperlink>
      <w:r>
        <w:t>, f. 2.</w:t>
      </w:r>
    </w:p>
    <w:p w14:paraId="238C32C3" w14:textId="17621C0C" w:rsidR="007D5795" w:rsidRDefault="007D5795" w:rsidP="007D5795">
      <w:pPr>
        <w:pStyle w:val="SangriaFrancesaArticulo"/>
      </w:pPr>
      <w:r w:rsidRPr="007D5795">
        <w:rPr>
          <w:rStyle w:val="TextoNormalNegritaCaracter"/>
        </w:rPr>
        <w:t>Artículo 384 bis.</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152" w:history="1">
        <w:r w:rsidRPr="007D5795">
          <w:rPr>
            <w:rStyle w:val="TextoNormalCaracter"/>
          </w:rPr>
          <w:t>152/2024</w:t>
        </w:r>
      </w:hyperlink>
      <w:r>
        <w:t>, ff. 4, 5.</w:t>
      </w:r>
    </w:p>
    <w:p w14:paraId="22FC0602" w14:textId="2DC73A01" w:rsidR="007D5795" w:rsidRDefault="007D5795" w:rsidP="007D5795">
      <w:pPr>
        <w:pStyle w:val="SangriaFrancesaArticulo"/>
      </w:pPr>
      <w:r w:rsidRPr="007D5795">
        <w:rPr>
          <w:rStyle w:val="TextoNormalNegritaCaracter"/>
        </w:rPr>
        <w:t>Artículo 504.2.</w:t>
      </w:r>
      <w:r w:rsidRPr="007D5795">
        <w:rPr>
          <w:rStyle w:val="TextoNormalCaracter"/>
        </w:rPr>
        <w:t>-</w:t>
      </w:r>
      <w:r>
        <w:t xml:space="preserve"> Sentencia </w:t>
      </w:r>
      <w:hyperlink w:anchor="SENTENCIA_2024_148" w:history="1">
        <w:r w:rsidRPr="007D5795">
          <w:rPr>
            <w:rStyle w:val="TextoNormalCaracter"/>
          </w:rPr>
          <w:t>148/2024</w:t>
        </w:r>
      </w:hyperlink>
      <w:r>
        <w:t>, f. 3.</w:t>
      </w:r>
    </w:p>
    <w:p w14:paraId="4106ACD9" w14:textId="5DA5C588" w:rsidR="007D5795" w:rsidRDefault="007D5795" w:rsidP="007D5795">
      <w:pPr>
        <w:pStyle w:val="SangriaFrancesaArticulo"/>
      </w:pPr>
      <w:r w:rsidRPr="007D5795">
        <w:rPr>
          <w:rStyle w:val="TextoNormalNegritaCaracter"/>
        </w:rPr>
        <w:t>Artículo 530.</w:t>
      </w:r>
      <w:r w:rsidRPr="007D5795">
        <w:rPr>
          <w:rStyle w:val="TextoNormalCaracter"/>
        </w:rPr>
        <w:t>-</w:t>
      </w:r>
      <w:r>
        <w:t xml:space="preserve"> Sentencia </w:t>
      </w:r>
      <w:hyperlink w:anchor="SENTENCIA_2024_148" w:history="1">
        <w:r w:rsidRPr="007D5795">
          <w:rPr>
            <w:rStyle w:val="TextoNormalCaracter"/>
          </w:rPr>
          <w:t>148/2024</w:t>
        </w:r>
      </w:hyperlink>
      <w:r>
        <w:t>, f. 3.</w:t>
      </w:r>
    </w:p>
    <w:p w14:paraId="049D92DD" w14:textId="13AF4462" w:rsidR="007D5795" w:rsidRDefault="007D5795" w:rsidP="007D5795">
      <w:pPr>
        <w:pStyle w:val="SangriaFrancesaArticulo"/>
      </w:pPr>
      <w:r w:rsidRPr="007D5795">
        <w:rPr>
          <w:rStyle w:val="TextoNormalNegritaCaracter"/>
        </w:rPr>
        <w:t>Artículo 539.</w:t>
      </w:r>
      <w:r w:rsidRPr="007D5795">
        <w:rPr>
          <w:rStyle w:val="TextoNormalCaracter"/>
        </w:rPr>
        <w:t>-</w:t>
      </w:r>
      <w:r>
        <w:t xml:space="preserve"> Sentencia </w:t>
      </w:r>
      <w:hyperlink w:anchor="SENTENCIA_2024_148" w:history="1">
        <w:r w:rsidRPr="007D5795">
          <w:rPr>
            <w:rStyle w:val="TextoNormalCaracter"/>
          </w:rPr>
          <w:t>148/2024</w:t>
        </w:r>
      </w:hyperlink>
      <w:r>
        <w:t>, f. 4.</w:t>
      </w:r>
    </w:p>
    <w:p w14:paraId="3EE783A8" w14:textId="750489CB" w:rsidR="007D5795" w:rsidRDefault="007D5795" w:rsidP="007D5795">
      <w:pPr>
        <w:pStyle w:val="SangriaFrancesaArticulo"/>
      </w:pPr>
      <w:r w:rsidRPr="007D5795">
        <w:rPr>
          <w:rStyle w:val="TextoNormalNegritaCaracter"/>
        </w:rPr>
        <w:t>Artículo 539.1.</w:t>
      </w:r>
      <w:r w:rsidRPr="007D5795">
        <w:rPr>
          <w:rStyle w:val="TextoNormalCaracter"/>
        </w:rPr>
        <w:t>-</w:t>
      </w:r>
      <w:r>
        <w:t xml:space="preserve"> Sentencia </w:t>
      </w:r>
      <w:hyperlink w:anchor="SENTENCIA_2024_148" w:history="1">
        <w:r w:rsidRPr="007D5795">
          <w:rPr>
            <w:rStyle w:val="TextoNormalCaracter"/>
          </w:rPr>
          <w:t>148/2024</w:t>
        </w:r>
      </w:hyperlink>
      <w:r>
        <w:t>, f. 4.</w:t>
      </w:r>
    </w:p>
    <w:p w14:paraId="3565AC8F" w14:textId="3F5A3C5C" w:rsidR="007D5795" w:rsidRDefault="007D5795" w:rsidP="007D5795">
      <w:pPr>
        <w:pStyle w:val="SangriaFrancesaArticulo"/>
      </w:pPr>
      <w:r w:rsidRPr="007D5795">
        <w:rPr>
          <w:rStyle w:val="TextoNormalNegritaCaracter"/>
        </w:rPr>
        <w:t>Artículo 637.</w:t>
      </w:r>
      <w:r w:rsidRPr="007D5795">
        <w:rPr>
          <w:rStyle w:val="TextoNormalCaracter"/>
        </w:rPr>
        <w:t>-</w:t>
      </w:r>
      <w:r>
        <w:t xml:space="preserve"> Sentencia </w:t>
      </w:r>
      <w:hyperlink w:anchor="SENTENCIA_2024_148" w:history="1">
        <w:r w:rsidRPr="007D5795">
          <w:rPr>
            <w:rStyle w:val="TextoNormalCaracter"/>
          </w:rPr>
          <w:t>148/2024</w:t>
        </w:r>
      </w:hyperlink>
      <w:r>
        <w:t>, ff. 2, 4.</w:t>
      </w:r>
    </w:p>
    <w:p w14:paraId="50BB8F3E" w14:textId="6B6F5D11" w:rsidR="007D5795" w:rsidRDefault="007D5795" w:rsidP="007D5795">
      <w:pPr>
        <w:pStyle w:val="SangriaIzquierdaArticulo"/>
      </w:pPr>
      <w:r>
        <w:t xml:space="preserve">Auto </w:t>
      </w:r>
      <w:hyperlink w:anchor="AUTO_2024_86" w:history="1">
        <w:r w:rsidRPr="007D5795">
          <w:rPr>
            <w:rStyle w:val="TextoNormalCaracter"/>
          </w:rPr>
          <w:t>86/2024</w:t>
        </w:r>
      </w:hyperlink>
      <w:r>
        <w:t>, f. 2.</w:t>
      </w:r>
    </w:p>
    <w:p w14:paraId="0FCEE181" w14:textId="7ECA1E49" w:rsidR="007D5795" w:rsidRDefault="007D5795" w:rsidP="007D5795">
      <w:pPr>
        <w:pStyle w:val="SangriaFrancesaArticulo"/>
      </w:pPr>
      <w:r w:rsidRPr="007D5795">
        <w:rPr>
          <w:rStyle w:val="TextoNormalNegritaCaracter"/>
        </w:rPr>
        <w:t>Artículo 637.1.</w:t>
      </w:r>
      <w:r w:rsidRPr="007D5795">
        <w:rPr>
          <w:rStyle w:val="TextoNormalCaracter"/>
        </w:rPr>
        <w:t>-</w:t>
      </w:r>
      <w:r>
        <w:t xml:space="preserve"> Sentencia </w:t>
      </w:r>
      <w:hyperlink w:anchor="SENTENCIA_2024_148" w:history="1">
        <w:r w:rsidRPr="007D5795">
          <w:rPr>
            <w:rStyle w:val="TextoNormalCaracter"/>
          </w:rPr>
          <w:t>148/2024</w:t>
        </w:r>
      </w:hyperlink>
      <w:r>
        <w:t>, f. 1.</w:t>
      </w:r>
    </w:p>
    <w:p w14:paraId="7CFA4820" w14:textId="603D8D15" w:rsidR="007D5795" w:rsidRDefault="007D5795" w:rsidP="007D5795">
      <w:pPr>
        <w:pStyle w:val="SangriaFrancesaArticulo"/>
      </w:pPr>
      <w:r w:rsidRPr="007D5795">
        <w:rPr>
          <w:rStyle w:val="TextoNormalNegritaCaracter"/>
        </w:rPr>
        <w:t>Artículo 641.</w:t>
      </w:r>
      <w:r w:rsidRPr="007D5795">
        <w:rPr>
          <w:rStyle w:val="TextoNormalCaracter"/>
        </w:rPr>
        <w:t>-</w:t>
      </w:r>
      <w:r>
        <w:t xml:space="preserve"> Sentencia </w:t>
      </w:r>
      <w:hyperlink w:anchor="SENTENCIA_2024_148" w:history="1">
        <w:r w:rsidRPr="007D5795">
          <w:rPr>
            <w:rStyle w:val="TextoNormalCaracter"/>
          </w:rPr>
          <w:t>148/2024</w:t>
        </w:r>
      </w:hyperlink>
      <w:r>
        <w:t>, f. 4.</w:t>
      </w:r>
    </w:p>
    <w:p w14:paraId="40D4993A" w14:textId="25180242" w:rsidR="007D5795" w:rsidRDefault="007D5795" w:rsidP="007D5795">
      <w:pPr>
        <w:pStyle w:val="SangriaFrancesaArticulo"/>
      </w:pPr>
      <w:r w:rsidRPr="007D5795">
        <w:rPr>
          <w:rStyle w:val="TextoNormalNegritaCaracter"/>
        </w:rPr>
        <w:t>Artículo 666.2.</w:t>
      </w:r>
      <w:r w:rsidRPr="007D5795">
        <w:rPr>
          <w:rStyle w:val="TextoNormalCaracter"/>
        </w:rPr>
        <w:t>-</w:t>
      </w:r>
      <w:r>
        <w:t xml:space="preserve"> Sentencia </w:t>
      </w:r>
      <w:hyperlink w:anchor="SENTENCIA_2024_148" w:history="1">
        <w:r w:rsidRPr="007D5795">
          <w:rPr>
            <w:rStyle w:val="TextoNormalCaracter"/>
          </w:rPr>
          <w:t>148/2024</w:t>
        </w:r>
      </w:hyperlink>
      <w:r>
        <w:t>, f. 4.</w:t>
      </w:r>
    </w:p>
    <w:p w14:paraId="6E03A1DE" w14:textId="1E3B054D" w:rsidR="007D5795" w:rsidRDefault="007D5795" w:rsidP="007D5795">
      <w:pPr>
        <w:pStyle w:val="SangriaFrancesaArticulo"/>
      </w:pPr>
      <w:r w:rsidRPr="007D5795">
        <w:rPr>
          <w:rStyle w:val="TextoNormalNegritaCaracter"/>
        </w:rPr>
        <w:t>Artículo 666.3.</w:t>
      </w:r>
      <w:r w:rsidRPr="007D5795">
        <w:rPr>
          <w:rStyle w:val="TextoNormalCaracter"/>
        </w:rPr>
        <w:t>-</w:t>
      </w:r>
      <w:r>
        <w:t xml:space="preserve"> Sentencia </w:t>
      </w:r>
      <w:hyperlink w:anchor="SENTENCIA_2024_148" w:history="1">
        <w:r w:rsidRPr="007D5795">
          <w:rPr>
            <w:rStyle w:val="TextoNormalCaracter"/>
          </w:rPr>
          <w:t>148/2024</w:t>
        </w:r>
      </w:hyperlink>
      <w:r>
        <w:t>, f. 4.</w:t>
      </w:r>
    </w:p>
    <w:p w14:paraId="20A13768" w14:textId="3541B4F3" w:rsidR="007D5795" w:rsidRDefault="007D5795" w:rsidP="007D5795">
      <w:pPr>
        <w:pStyle w:val="SangriaFrancesaArticulo"/>
      </w:pPr>
      <w:r w:rsidRPr="007D5795">
        <w:rPr>
          <w:rStyle w:val="TextoNormalNegritaCaracter"/>
        </w:rPr>
        <w:t>Artículo 666.4.</w:t>
      </w:r>
      <w:r w:rsidRPr="007D5795">
        <w:rPr>
          <w:rStyle w:val="TextoNormalCaracter"/>
        </w:rPr>
        <w:t>-</w:t>
      </w:r>
      <w:r>
        <w:t xml:space="preserve"> Sentencia </w:t>
      </w:r>
      <w:hyperlink w:anchor="SENTENCIA_2024_148" w:history="1">
        <w:r w:rsidRPr="007D5795">
          <w:rPr>
            <w:rStyle w:val="TextoNormalCaracter"/>
          </w:rPr>
          <w:t>148/2024</w:t>
        </w:r>
      </w:hyperlink>
      <w:r>
        <w:t>, f. 4.</w:t>
      </w:r>
    </w:p>
    <w:p w14:paraId="62024D4A" w14:textId="166D056B" w:rsidR="007D5795" w:rsidRDefault="007D5795" w:rsidP="007D5795">
      <w:pPr>
        <w:pStyle w:val="SangriaFrancesaArticulo"/>
      </w:pPr>
      <w:r w:rsidRPr="007D5795">
        <w:rPr>
          <w:rStyle w:val="TextoNormalNegritaCaracter"/>
        </w:rPr>
        <w:t>Artículo 675.</w:t>
      </w:r>
      <w:r w:rsidRPr="007D5795">
        <w:rPr>
          <w:rStyle w:val="TextoNormalCaracter"/>
        </w:rPr>
        <w:t>-</w:t>
      </w:r>
      <w:r>
        <w:t xml:space="preserve"> Sentencia </w:t>
      </w:r>
      <w:hyperlink w:anchor="SENTENCIA_2024_148" w:history="1">
        <w:r w:rsidRPr="007D5795">
          <w:rPr>
            <w:rStyle w:val="TextoNormalCaracter"/>
          </w:rPr>
          <w:t>148/2024</w:t>
        </w:r>
      </w:hyperlink>
      <w:r>
        <w:t>, f. 4.</w:t>
      </w:r>
    </w:p>
    <w:p w14:paraId="0A02D5CA" w14:textId="77BD9554" w:rsidR="007D5795" w:rsidRDefault="007D5795" w:rsidP="007D5795">
      <w:pPr>
        <w:pStyle w:val="SangriaFrancesaArticulo"/>
      </w:pPr>
      <w:r w:rsidRPr="007D5795">
        <w:rPr>
          <w:rStyle w:val="TextoNormalNegritaCaracter"/>
        </w:rPr>
        <w:t>Artículo 768.</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f. 5.</w:t>
      </w:r>
    </w:p>
    <w:p w14:paraId="07729FBD" w14:textId="57201D87" w:rsidR="007D5795" w:rsidRDefault="007D5795" w:rsidP="007D5795">
      <w:pPr>
        <w:pStyle w:val="SangriaFrancesaArticulo"/>
      </w:pPr>
      <w:r w:rsidRPr="007D5795">
        <w:rPr>
          <w:rStyle w:val="TextoNormalNegritaCaracter"/>
        </w:rPr>
        <w:t>Artículo 775.1.</w:t>
      </w:r>
      <w:r w:rsidRPr="007D5795">
        <w:rPr>
          <w:rStyle w:val="TextoNormalCaracter"/>
        </w:rPr>
        <w:t>-</w:t>
      </w:r>
      <w:r>
        <w:t xml:space="preserve"> Sentencia </w:t>
      </w:r>
      <w:hyperlink w:anchor="SENTENCIA_2024_148" w:history="1">
        <w:r w:rsidRPr="007D5795">
          <w:rPr>
            <w:rStyle w:val="TextoNormalCaracter"/>
          </w:rPr>
          <w:t>148/2024</w:t>
        </w:r>
      </w:hyperlink>
      <w:r>
        <w:t>, f. 3.</w:t>
      </w:r>
    </w:p>
    <w:p w14:paraId="27107F15" w14:textId="1A488AB8" w:rsidR="007D5795" w:rsidRDefault="007D5795" w:rsidP="007D5795">
      <w:pPr>
        <w:pStyle w:val="SangriaFrancesaArticulo"/>
      </w:pPr>
      <w:r w:rsidRPr="007D5795">
        <w:rPr>
          <w:rStyle w:val="TextoNormalNegritaCaracter"/>
        </w:rPr>
        <w:t>Artículo 782.1.</w:t>
      </w:r>
      <w:r w:rsidRPr="007D5795">
        <w:rPr>
          <w:rStyle w:val="TextoNormalCaracter"/>
        </w:rPr>
        <w:t>-</w:t>
      </w:r>
      <w:r>
        <w:t xml:space="preserve"> Sentencia </w:t>
      </w:r>
      <w:hyperlink w:anchor="SENTENCIA_2024_148" w:history="1">
        <w:r w:rsidRPr="007D5795">
          <w:rPr>
            <w:rStyle w:val="TextoNormalCaracter"/>
          </w:rPr>
          <w:t>148/2024</w:t>
        </w:r>
      </w:hyperlink>
      <w:r>
        <w:t>, f. 4.</w:t>
      </w:r>
    </w:p>
    <w:p w14:paraId="5CD6018D" w14:textId="54323C19" w:rsidR="007D5795" w:rsidRDefault="007D5795" w:rsidP="007D5795">
      <w:pPr>
        <w:pStyle w:val="SangriaFrancesaArticulo"/>
      </w:pPr>
      <w:r w:rsidRPr="007D5795">
        <w:rPr>
          <w:rStyle w:val="TextoNormalNegritaCaracter"/>
        </w:rPr>
        <w:t>Artículo 786.2</w:t>
      </w:r>
      <w:r>
        <w:t xml:space="preserve"> (redactado por la Ley 38/2002, de 24 de octubre)</w:t>
      </w:r>
      <w:r w:rsidRPr="007D5795">
        <w:rPr>
          <w:rStyle w:val="TextoNormalNegritaCaracter"/>
        </w:rPr>
        <w:t>.</w:t>
      </w:r>
      <w:r w:rsidRPr="007D5795">
        <w:rPr>
          <w:rStyle w:val="TextoNormalCaracter"/>
        </w:rPr>
        <w:t>-</w:t>
      </w:r>
      <w:r>
        <w:t xml:space="preserve"> Sentencia </w:t>
      </w:r>
      <w:hyperlink w:anchor="SENTENCIA_2024_98" w:history="1">
        <w:r w:rsidRPr="007D5795">
          <w:rPr>
            <w:rStyle w:val="TextoNormalCaracter"/>
          </w:rPr>
          <w:t>98/2024</w:t>
        </w:r>
      </w:hyperlink>
      <w:r>
        <w:t>, f. 1.</w:t>
      </w:r>
    </w:p>
    <w:p w14:paraId="72F5EC8F" w14:textId="256F8DA3" w:rsidR="007D5795" w:rsidRDefault="007D5795" w:rsidP="007D5795">
      <w:pPr>
        <w:pStyle w:val="SangriaFrancesaArticulo"/>
      </w:pPr>
      <w:r w:rsidRPr="007D5795">
        <w:rPr>
          <w:rStyle w:val="TextoNormalNegritaCaracter"/>
        </w:rPr>
        <w:t>Artículo 787.</w:t>
      </w:r>
      <w:r w:rsidRPr="007D5795">
        <w:rPr>
          <w:rStyle w:val="TextoNormalCaracter"/>
        </w:rPr>
        <w:t>-</w:t>
      </w:r>
      <w:r>
        <w:t xml:space="preserve"> Auto </w:t>
      </w:r>
      <w:hyperlink w:anchor="AUTO_2024_69" w:history="1">
        <w:r w:rsidRPr="007D5795">
          <w:rPr>
            <w:rStyle w:val="TextoNormalCaracter"/>
          </w:rPr>
          <w:t>69/2024</w:t>
        </w:r>
      </w:hyperlink>
      <w:r>
        <w:t>, f. 3.</w:t>
      </w:r>
    </w:p>
    <w:p w14:paraId="0621D939" w14:textId="4C3267F4" w:rsidR="007D5795" w:rsidRDefault="007D5795" w:rsidP="007D5795">
      <w:pPr>
        <w:pStyle w:val="SangriaFrancesaArticulo"/>
      </w:pPr>
      <w:r w:rsidRPr="007D5795">
        <w:rPr>
          <w:rStyle w:val="TextoNormalNegritaCaracter"/>
        </w:rPr>
        <w:t>Artículo 787.1.</w:t>
      </w:r>
      <w:r w:rsidRPr="007D5795">
        <w:rPr>
          <w:rStyle w:val="TextoNormalCaracter"/>
        </w:rPr>
        <w:t>-</w:t>
      </w:r>
      <w:r>
        <w:t xml:space="preserve"> Auto </w:t>
      </w:r>
      <w:hyperlink w:anchor="AUTO_2024_69" w:history="1">
        <w:r w:rsidRPr="007D5795">
          <w:rPr>
            <w:rStyle w:val="TextoNormalCaracter"/>
          </w:rPr>
          <w:t>69/2024</w:t>
        </w:r>
      </w:hyperlink>
      <w:r>
        <w:t>, f. 3.</w:t>
      </w:r>
    </w:p>
    <w:p w14:paraId="05F57898" w14:textId="308DB936" w:rsidR="007D5795" w:rsidRDefault="007D5795" w:rsidP="007D5795">
      <w:pPr>
        <w:pStyle w:val="SangriaFrancesaArticulo"/>
      </w:pPr>
      <w:r w:rsidRPr="007D5795">
        <w:rPr>
          <w:rStyle w:val="TextoNormalNegritaCaracter"/>
        </w:rPr>
        <w:t>Artículo 787.2.</w:t>
      </w:r>
      <w:r w:rsidRPr="007D5795">
        <w:rPr>
          <w:rStyle w:val="TextoNormalCaracter"/>
        </w:rPr>
        <w:t>-</w:t>
      </w:r>
      <w:r>
        <w:t xml:space="preserve"> Auto </w:t>
      </w:r>
      <w:hyperlink w:anchor="AUTO_2024_69" w:history="1">
        <w:r w:rsidRPr="007D5795">
          <w:rPr>
            <w:rStyle w:val="TextoNormalCaracter"/>
          </w:rPr>
          <w:t>69/2024</w:t>
        </w:r>
      </w:hyperlink>
      <w:r>
        <w:t>, f. 3.</w:t>
      </w:r>
    </w:p>
    <w:p w14:paraId="27694772" w14:textId="2EF99200" w:rsidR="007D5795" w:rsidRDefault="007D5795" w:rsidP="007D5795">
      <w:pPr>
        <w:pStyle w:val="SangriaFrancesaArticulo"/>
      </w:pPr>
      <w:r w:rsidRPr="007D5795">
        <w:rPr>
          <w:rStyle w:val="TextoNormalNegritaCaracter"/>
        </w:rPr>
        <w:t>Artículo 787.4.</w:t>
      </w:r>
      <w:r w:rsidRPr="007D5795">
        <w:rPr>
          <w:rStyle w:val="TextoNormalCaracter"/>
        </w:rPr>
        <w:t>-</w:t>
      </w:r>
      <w:r>
        <w:t xml:space="preserve"> Auto </w:t>
      </w:r>
      <w:hyperlink w:anchor="AUTO_2024_69" w:history="1">
        <w:r w:rsidRPr="007D5795">
          <w:rPr>
            <w:rStyle w:val="TextoNormalCaracter"/>
          </w:rPr>
          <w:t>69/2024</w:t>
        </w:r>
      </w:hyperlink>
      <w:r>
        <w:t>, f. 3.</w:t>
      </w:r>
    </w:p>
    <w:p w14:paraId="1881E79D" w14:textId="3084289E" w:rsidR="007D5795" w:rsidRDefault="007D5795" w:rsidP="007D5795">
      <w:pPr>
        <w:pStyle w:val="SangriaFrancesaArticulo"/>
      </w:pPr>
      <w:r w:rsidRPr="007D5795">
        <w:rPr>
          <w:rStyle w:val="TextoNormalNegritaCaracter"/>
        </w:rPr>
        <w:t>Artículo 787.6.</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8" w:history="1">
        <w:r w:rsidRPr="007D5795">
          <w:rPr>
            <w:rStyle w:val="TextoNormalCaracter"/>
          </w:rPr>
          <w:t>98/2024</w:t>
        </w:r>
      </w:hyperlink>
      <w:r>
        <w:t xml:space="preserve">, f. 7; </w:t>
      </w:r>
      <w:hyperlink w:anchor="SENTENCIA_2024_100" w:history="1">
        <w:r w:rsidRPr="007D5795">
          <w:rPr>
            <w:rStyle w:val="TextoNormalCaracter"/>
          </w:rPr>
          <w:t>100/2024</w:t>
        </w:r>
      </w:hyperlink>
      <w:r>
        <w:t>, f. 7.</w:t>
      </w:r>
    </w:p>
    <w:p w14:paraId="7CD6C74A" w14:textId="1E1D52C0" w:rsidR="007D5795" w:rsidRDefault="007D5795" w:rsidP="007D5795">
      <w:pPr>
        <w:pStyle w:val="SangriaFrancesaArticulo"/>
      </w:pPr>
      <w:r w:rsidRPr="007D5795">
        <w:rPr>
          <w:rStyle w:val="TextoNormalNegritaCaracter"/>
        </w:rPr>
        <w:t>Artículo 789.</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f. 5.</w:t>
      </w:r>
    </w:p>
    <w:p w14:paraId="61AEE0A2" w14:textId="0F9129DF" w:rsidR="007D5795" w:rsidRDefault="007D5795" w:rsidP="007D5795">
      <w:pPr>
        <w:pStyle w:val="SangriaFrancesaArticulo"/>
      </w:pPr>
      <w:r w:rsidRPr="007D5795">
        <w:rPr>
          <w:rStyle w:val="TextoNormalNegritaCaracter"/>
        </w:rPr>
        <w:t>Artículo 789.2.</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8" w:history="1">
        <w:r w:rsidRPr="007D5795">
          <w:rPr>
            <w:rStyle w:val="TextoNormalCaracter"/>
          </w:rPr>
          <w:t>98/2024</w:t>
        </w:r>
      </w:hyperlink>
      <w:r>
        <w:t xml:space="preserve">, f. 7; </w:t>
      </w:r>
      <w:hyperlink w:anchor="SENTENCIA_2024_100" w:history="1">
        <w:r w:rsidRPr="007D5795">
          <w:rPr>
            <w:rStyle w:val="TextoNormalCaracter"/>
          </w:rPr>
          <w:t>100/2024</w:t>
        </w:r>
      </w:hyperlink>
      <w:r>
        <w:t>, f. 7.</w:t>
      </w:r>
    </w:p>
    <w:p w14:paraId="229A0D57" w14:textId="4F6579BD" w:rsidR="007D5795" w:rsidRDefault="007D5795" w:rsidP="007D5795">
      <w:pPr>
        <w:pStyle w:val="SangriaFrancesaArticulo"/>
      </w:pPr>
      <w:r w:rsidRPr="007D5795">
        <w:rPr>
          <w:rStyle w:val="TextoNormalNegritaCaracter"/>
        </w:rPr>
        <w:t>Artículo 790</w:t>
      </w:r>
      <w:r>
        <w:t xml:space="preserve"> (redactado por la Ley 41/2015, de 5 de octubre)</w:t>
      </w:r>
      <w:r w:rsidRPr="007D5795">
        <w:rPr>
          <w:rStyle w:val="TextoNormalNegritaCaracter"/>
        </w:rPr>
        <w:t>.</w:t>
      </w:r>
      <w:r w:rsidRPr="007D5795">
        <w:rPr>
          <w:rStyle w:val="TextoNormalCaracter"/>
        </w:rPr>
        <w:t>-</w:t>
      </w:r>
      <w:r>
        <w:t xml:space="preserve"> Sentencia </w:t>
      </w:r>
      <w:hyperlink w:anchor="SENTENCIA_2024_108" w:history="1">
        <w:r w:rsidRPr="007D5795">
          <w:rPr>
            <w:rStyle w:val="TextoNormalCaracter"/>
          </w:rPr>
          <w:t>108/2024</w:t>
        </w:r>
      </w:hyperlink>
      <w:r>
        <w:t>, f. 3.</w:t>
      </w:r>
    </w:p>
    <w:p w14:paraId="5EE298D9" w14:textId="1B08087E" w:rsidR="007D5795" w:rsidRDefault="007D5795" w:rsidP="007D5795">
      <w:pPr>
        <w:pStyle w:val="SangriaFrancesaArticulo"/>
      </w:pPr>
      <w:r w:rsidRPr="007D5795">
        <w:rPr>
          <w:rStyle w:val="TextoNormalNegritaCaracter"/>
        </w:rPr>
        <w:t>Artículo 790.2</w:t>
      </w:r>
      <w:r>
        <w:t xml:space="preserve"> (redactado por la Ley 41/2015, de 5 de octubre)</w:t>
      </w:r>
      <w:r w:rsidRPr="007D5795">
        <w:rPr>
          <w:rStyle w:val="TextoNormalNegritaCaracter"/>
        </w:rPr>
        <w:t>.</w:t>
      </w:r>
      <w:r w:rsidRPr="007D5795">
        <w:rPr>
          <w:rStyle w:val="TextoNormalCaracter"/>
        </w:rPr>
        <w:t>-</w:t>
      </w:r>
      <w:r>
        <w:t xml:space="preserve"> Sentencias </w:t>
      </w:r>
      <w:hyperlink w:anchor="SENTENCIA_2024_108" w:history="1">
        <w:r w:rsidRPr="007D5795">
          <w:rPr>
            <w:rStyle w:val="TextoNormalCaracter"/>
          </w:rPr>
          <w:t>108/2024</w:t>
        </w:r>
      </w:hyperlink>
      <w:r>
        <w:t xml:space="preserve">, ff. 1, 2; </w:t>
      </w:r>
      <w:hyperlink w:anchor="SENTENCIA_2024_133" w:history="1">
        <w:r w:rsidRPr="007D5795">
          <w:rPr>
            <w:rStyle w:val="TextoNormalCaracter"/>
          </w:rPr>
          <w:t>133/2024</w:t>
        </w:r>
      </w:hyperlink>
      <w:r>
        <w:t xml:space="preserve">, f. 3; </w:t>
      </w:r>
      <w:hyperlink w:anchor="SENTENCIA_2024_134" w:history="1">
        <w:r w:rsidRPr="007D5795">
          <w:rPr>
            <w:rStyle w:val="TextoNormalCaracter"/>
          </w:rPr>
          <w:t>134/2024</w:t>
        </w:r>
      </w:hyperlink>
      <w:r>
        <w:t>, f. 3.</w:t>
      </w:r>
    </w:p>
    <w:p w14:paraId="59F5049D" w14:textId="59CB61BB" w:rsidR="007D5795" w:rsidRDefault="007D5795" w:rsidP="007D5795">
      <w:pPr>
        <w:pStyle w:val="SangriaFrancesaArticulo"/>
      </w:pPr>
      <w:r w:rsidRPr="007D5795">
        <w:rPr>
          <w:rStyle w:val="TextoNormalNegritaCaracter"/>
        </w:rPr>
        <w:t>Artículo 792</w:t>
      </w:r>
      <w:r>
        <w:t xml:space="preserve"> (redactado por la Ley 41/2015, de 5 de octubre)</w:t>
      </w:r>
      <w:r w:rsidRPr="007D5795">
        <w:rPr>
          <w:rStyle w:val="TextoNormalNegritaCaracter"/>
        </w:rPr>
        <w:t>.</w:t>
      </w:r>
      <w:r w:rsidRPr="007D5795">
        <w:rPr>
          <w:rStyle w:val="TextoNormalCaracter"/>
        </w:rPr>
        <w:t>-</w:t>
      </w:r>
      <w:r>
        <w:t xml:space="preserve"> Sentencia </w:t>
      </w:r>
      <w:hyperlink w:anchor="SENTENCIA_2024_108" w:history="1">
        <w:r w:rsidRPr="007D5795">
          <w:rPr>
            <w:rStyle w:val="TextoNormalCaracter"/>
          </w:rPr>
          <w:t>108/2024</w:t>
        </w:r>
      </w:hyperlink>
      <w:r>
        <w:t>, f. 1.</w:t>
      </w:r>
    </w:p>
    <w:p w14:paraId="11B39715" w14:textId="57D0E636" w:rsidR="007D5795" w:rsidRDefault="007D5795" w:rsidP="007D5795">
      <w:pPr>
        <w:pStyle w:val="SangriaFrancesaArticulo"/>
      </w:pPr>
      <w:r w:rsidRPr="007D5795">
        <w:rPr>
          <w:rStyle w:val="TextoNormalNegritaCaracter"/>
        </w:rPr>
        <w:t>Artículo 792.2</w:t>
      </w:r>
      <w:r>
        <w:t xml:space="preserve"> (redactado por la Ley 41/2015, de 5 de octubre)</w:t>
      </w:r>
      <w:r w:rsidRPr="007D5795">
        <w:rPr>
          <w:rStyle w:val="TextoNormalNegritaCaracter"/>
        </w:rPr>
        <w:t>.</w:t>
      </w:r>
      <w:r w:rsidRPr="007D5795">
        <w:rPr>
          <w:rStyle w:val="TextoNormalCaracter"/>
        </w:rPr>
        <w:t>-</w:t>
      </w:r>
      <w:r>
        <w:t xml:space="preserve"> Sentencias </w:t>
      </w:r>
      <w:hyperlink w:anchor="SENTENCIA_2024_108" w:history="1">
        <w:r w:rsidRPr="007D5795">
          <w:rPr>
            <w:rStyle w:val="TextoNormalCaracter"/>
          </w:rPr>
          <w:t>108/2024</w:t>
        </w:r>
      </w:hyperlink>
      <w:r>
        <w:t xml:space="preserve">, f. 2; </w:t>
      </w:r>
      <w:hyperlink w:anchor="SENTENCIA_2024_133" w:history="1">
        <w:r w:rsidRPr="007D5795">
          <w:rPr>
            <w:rStyle w:val="TextoNormalCaracter"/>
          </w:rPr>
          <w:t>133/2024</w:t>
        </w:r>
      </w:hyperlink>
      <w:r>
        <w:t xml:space="preserve">, f. 3; </w:t>
      </w:r>
      <w:hyperlink w:anchor="SENTENCIA_2024_134" w:history="1">
        <w:r w:rsidRPr="007D5795">
          <w:rPr>
            <w:rStyle w:val="TextoNormalCaracter"/>
          </w:rPr>
          <w:t>134/2024</w:t>
        </w:r>
      </w:hyperlink>
      <w:r>
        <w:t>, f. 3.</w:t>
      </w:r>
    </w:p>
    <w:p w14:paraId="6936D3ED" w14:textId="39C0B18D" w:rsidR="007D5795" w:rsidRDefault="007D5795" w:rsidP="007D5795">
      <w:pPr>
        <w:pStyle w:val="SangriaFrancesaArticulo"/>
      </w:pPr>
      <w:r w:rsidRPr="007D5795">
        <w:rPr>
          <w:rStyle w:val="TextoNormalNegritaCaracter"/>
        </w:rPr>
        <w:t>Artículo 801.2.</w:t>
      </w:r>
      <w:r w:rsidRPr="007D5795">
        <w:rPr>
          <w:rStyle w:val="TextoNormalCaracter"/>
        </w:rPr>
        <w:t>-</w:t>
      </w:r>
      <w:r>
        <w:t xml:space="preserve"> Sentencia </w:t>
      </w:r>
      <w:hyperlink w:anchor="SENTENCIA_2024_98" w:history="1">
        <w:r w:rsidRPr="007D5795">
          <w:rPr>
            <w:rStyle w:val="TextoNormalCaracter"/>
          </w:rPr>
          <w:t>98/2024</w:t>
        </w:r>
      </w:hyperlink>
      <w:r>
        <w:t>, f. 7.</w:t>
      </w:r>
    </w:p>
    <w:p w14:paraId="5C6E6B36" w14:textId="32B8A215" w:rsidR="007D5795" w:rsidRDefault="007D5795" w:rsidP="007D5795">
      <w:pPr>
        <w:pStyle w:val="SangriaFrancesaArticulo"/>
      </w:pPr>
      <w:r w:rsidRPr="007D5795">
        <w:rPr>
          <w:rStyle w:val="TextoNormalNegritaCaracter"/>
        </w:rPr>
        <w:t>Artículo 849.1.</w:t>
      </w:r>
      <w:r w:rsidRPr="007D5795">
        <w:rPr>
          <w:rStyle w:val="TextoNormalCaracter"/>
        </w:rPr>
        <w:t>-</w:t>
      </w:r>
      <w:r>
        <w:t xml:space="preserve"> Sentencias </w:t>
      </w:r>
      <w:hyperlink w:anchor="SENTENCIA_2024_95" w:history="1">
        <w:r w:rsidRPr="007D5795">
          <w:rPr>
            <w:rStyle w:val="TextoNormalCaracter"/>
          </w:rPr>
          <w:t>95/2024</w:t>
        </w:r>
      </w:hyperlink>
      <w:r>
        <w:t xml:space="preserve">, f. 5; </w:t>
      </w:r>
      <w:hyperlink w:anchor="SENTENCIA_2024_97" w:history="1">
        <w:r w:rsidRPr="007D5795">
          <w:rPr>
            <w:rStyle w:val="TextoNormalCaracter"/>
          </w:rPr>
          <w:t>97/2024</w:t>
        </w:r>
      </w:hyperlink>
      <w:r>
        <w:t xml:space="preserve">, f. 7; </w:t>
      </w:r>
      <w:hyperlink w:anchor="SENTENCIA_2024_100" w:history="1">
        <w:r w:rsidRPr="007D5795">
          <w:rPr>
            <w:rStyle w:val="TextoNormalCaracter"/>
          </w:rPr>
          <w:t>100/2024</w:t>
        </w:r>
      </w:hyperlink>
      <w:r>
        <w:t xml:space="preserve">, VP I; </w:t>
      </w:r>
      <w:hyperlink w:anchor="SENTENCIA_2024_103" w:history="1">
        <w:r w:rsidRPr="007D5795">
          <w:rPr>
            <w:rStyle w:val="TextoNormalCaracter"/>
          </w:rPr>
          <w:t>103/2024</w:t>
        </w:r>
      </w:hyperlink>
      <w:r>
        <w:t>, VP I.</w:t>
      </w:r>
    </w:p>
    <w:p w14:paraId="1CC2254E" w14:textId="5E96587D" w:rsidR="007D5795" w:rsidRDefault="007D5795" w:rsidP="007D5795">
      <w:pPr>
        <w:pStyle w:val="SangriaFrancesaArticulo"/>
      </w:pPr>
      <w:r w:rsidRPr="007D5795">
        <w:rPr>
          <w:rStyle w:val="TextoNormalNegritaCaracter"/>
        </w:rPr>
        <w:t>Artículo 849.2.</w:t>
      </w:r>
      <w:r w:rsidRPr="007D5795">
        <w:rPr>
          <w:rStyle w:val="TextoNormalCaracter"/>
        </w:rPr>
        <w:t>-</w:t>
      </w:r>
      <w:r>
        <w:t xml:space="preserve"> Sentencia </w:t>
      </w:r>
      <w:hyperlink w:anchor="SENTENCIA_2024_95" w:history="1">
        <w:r w:rsidRPr="007D5795">
          <w:rPr>
            <w:rStyle w:val="TextoNormalCaracter"/>
          </w:rPr>
          <w:t>95/2024</w:t>
        </w:r>
      </w:hyperlink>
      <w:r>
        <w:t>, f. 5.</w:t>
      </w:r>
    </w:p>
    <w:p w14:paraId="50B0CE17" w14:textId="54D9C9F5" w:rsidR="007D5795" w:rsidRDefault="007D5795" w:rsidP="007D5795">
      <w:pPr>
        <w:pStyle w:val="SangriaFrancesaArticulo"/>
      </w:pPr>
      <w:r w:rsidRPr="007D5795">
        <w:rPr>
          <w:rStyle w:val="TextoNormalNegritaCaracter"/>
        </w:rPr>
        <w:t>Artículo 852.</w:t>
      </w:r>
      <w:r w:rsidRPr="007D5795">
        <w:rPr>
          <w:rStyle w:val="TextoNormalCaracter"/>
        </w:rPr>
        <w:t>-</w:t>
      </w:r>
      <w:r>
        <w:t xml:space="preserve"> Sentencias </w:t>
      </w:r>
      <w:hyperlink w:anchor="SENTENCIA_2024_100" w:history="1">
        <w:r w:rsidRPr="007D5795">
          <w:rPr>
            <w:rStyle w:val="TextoNormalCaracter"/>
          </w:rPr>
          <w:t>100/2024</w:t>
        </w:r>
      </w:hyperlink>
      <w:r>
        <w:t xml:space="preserve">, f. 1, VP I; </w:t>
      </w:r>
      <w:hyperlink w:anchor="SENTENCIA_2024_103" w:history="1">
        <w:r w:rsidRPr="007D5795">
          <w:rPr>
            <w:rStyle w:val="TextoNormalCaracter"/>
          </w:rPr>
          <w:t>103/2024</w:t>
        </w:r>
      </w:hyperlink>
      <w:r>
        <w:t>, VP I.</w:t>
      </w:r>
    </w:p>
    <w:p w14:paraId="7DDB8E20" w14:textId="476B48BF" w:rsidR="007D5795" w:rsidRDefault="007D5795" w:rsidP="007D5795">
      <w:pPr>
        <w:pStyle w:val="SangriaFrancesaArticulo"/>
      </w:pPr>
      <w:r w:rsidRPr="007D5795">
        <w:rPr>
          <w:rStyle w:val="TextoNormalNegritaCaracter"/>
        </w:rPr>
        <w:t>Artículo 861.</w:t>
      </w:r>
      <w:r w:rsidRPr="007D5795">
        <w:rPr>
          <w:rStyle w:val="TextoNormalCaracter"/>
        </w:rPr>
        <w:t>-</w:t>
      </w:r>
      <w:r>
        <w:t xml:space="preserve"> Sentencia </w:t>
      </w:r>
      <w:hyperlink w:anchor="SENTENCIA_2024_148" w:history="1">
        <w:r w:rsidRPr="007D5795">
          <w:rPr>
            <w:rStyle w:val="TextoNormalCaracter"/>
          </w:rPr>
          <w:t>148/2024</w:t>
        </w:r>
      </w:hyperlink>
      <w:r>
        <w:t>, f. 4.</w:t>
      </w:r>
    </w:p>
    <w:p w14:paraId="063B8B6F" w14:textId="701317E2" w:rsidR="007D5795" w:rsidRDefault="007D5795" w:rsidP="007D5795">
      <w:pPr>
        <w:pStyle w:val="SangriaFrancesaArticulo"/>
      </w:pPr>
      <w:r w:rsidRPr="007D5795">
        <w:rPr>
          <w:rStyle w:val="TextoNormalNegritaCaracter"/>
        </w:rPr>
        <w:t>Artículo 861 bis.</w:t>
      </w:r>
      <w:r w:rsidRPr="007D5795">
        <w:rPr>
          <w:rStyle w:val="TextoNormalCaracter"/>
        </w:rPr>
        <w:t>-</w:t>
      </w:r>
      <w:r>
        <w:t xml:space="preserve"> Sentencia </w:t>
      </w:r>
      <w:hyperlink w:anchor="SENTENCIA_2024_148" w:history="1">
        <w:r w:rsidRPr="007D5795">
          <w:rPr>
            <w:rStyle w:val="TextoNormalCaracter"/>
          </w:rPr>
          <w:t>148/2024</w:t>
        </w:r>
      </w:hyperlink>
      <w:r>
        <w:t>, f. 4.</w:t>
      </w:r>
    </w:p>
    <w:p w14:paraId="4E3AE305" w14:textId="50B0E93B" w:rsidR="007D5795" w:rsidRDefault="007D5795" w:rsidP="007D5795">
      <w:pPr>
        <w:pStyle w:val="SangriaFrancesaArticulo"/>
      </w:pPr>
      <w:r w:rsidRPr="007D5795">
        <w:rPr>
          <w:rStyle w:val="TextoNormalNegritaCaracter"/>
        </w:rPr>
        <w:t>Artículo 900.</w:t>
      </w:r>
      <w:r w:rsidRPr="007D5795">
        <w:rPr>
          <w:rStyle w:val="TextoNormalCaracter"/>
        </w:rPr>
        <w:t>-</w:t>
      </w:r>
      <w:r>
        <w:t xml:space="preserve"> Sentencia </w:t>
      </w:r>
      <w:hyperlink w:anchor="SENTENCIA_2024_98" w:history="1">
        <w:r w:rsidRPr="007D5795">
          <w:rPr>
            <w:rStyle w:val="TextoNormalCaracter"/>
          </w:rPr>
          <w:t>98/2024</w:t>
        </w:r>
      </w:hyperlink>
      <w:r>
        <w:t>, f. 7.</w:t>
      </w:r>
    </w:p>
    <w:p w14:paraId="56669210" w14:textId="2A672FB2" w:rsidR="007D5795" w:rsidRDefault="007D5795" w:rsidP="007D5795">
      <w:pPr>
        <w:pStyle w:val="SangriaFrancesaArticulo"/>
      </w:pPr>
      <w:r w:rsidRPr="007D5795">
        <w:rPr>
          <w:rStyle w:val="TextoNormalNegritaCaracter"/>
        </w:rPr>
        <w:t>Artículo 983.</w:t>
      </w:r>
      <w:r w:rsidRPr="007D5795">
        <w:rPr>
          <w:rStyle w:val="TextoNormalCaracter"/>
        </w:rPr>
        <w:t>-</w:t>
      </w:r>
      <w:r>
        <w:t xml:space="preserve"> Sentencia </w:t>
      </w:r>
      <w:hyperlink w:anchor="SENTENCIA_2024_148" w:history="1">
        <w:r w:rsidRPr="007D5795">
          <w:rPr>
            <w:rStyle w:val="TextoNormalCaracter"/>
          </w:rPr>
          <w:t>148/2024</w:t>
        </w:r>
      </w:hyperlink>
      <w:r>
        <w:t>, f. 4.</w:t>
      </w:r>
    </w:p>
    <w:p w14:paraId="788F2892" w14:textId="27147203" w:rsidR="007D5795" w:rsidRDefault="007D5795" w:rsidP="007D5795">
      <w:pPr>
        <w:pStyle w:val="SangriaFrancesaArticulo"/>
      </w:pPr>
    </w:p>
    <w:p w14:paraId="77CDDF59" w14:textId="77777777" w:rsidR="007D5795" w:rsidRDefault="007D5795" w:rsidP="007D5795">
      <w:pPr>
        <w:pStyle w:val="TextoNormalNegritaCursivandice"/>
        <w:keepNext/>
      </w:pPr>
      <w:r>
        <w:t>Real Decreto de 24 de julio de 1889. Código civil</w:t>
      </w:r>
    </w:p>
    <w:p w14:paraId="0A2A690A" w14:textId="0314EE6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16" w:history="1">
        <w:r w:rsidRPr="007D5795">
          <w:rPr>
            <w:rStyle w:val="TextoNormalCaracter"/>
          </w:rPr>
          <w:t>116/2024</w:t>
        </w:r>
      </w:hyperlink>
      <w:r>
        <w:t xml:space="preserve">, f. 3; </w:t>
      </w:r>
      <w:hyperlink w:anchor="SENTENCIA_2024_120" w:history="1">
        <w:r w:rsidRPr="007D5795">
          <w:rPr>
            <w:rStyle w:val="TextoNormalCaracter"/>
          </w:rPr>
          <w:t>120/2024</w:t>
        </w:r>
      </w:hyperlink>
      <w:r>
        <w:t xml:space="preserve">, f. 5; </w:t>
      </w:r>
      <w:hyperlink w:anchor="SENTENCIA_2024_142" w:history="1">
        <w:r w:rsidRPr="007D5795">
          <w:rPr>
            <w:rStyle w:val="TextoNormalCaracter"/>
          </w:rPr>
          <w:t>142/2024</w:t>
        </w:r>
      </w:hyperlink>
      <w:r>
        <w:t>, f. 5.</w:t>
      </w:r>
    </w:p>
    <w:p w14:paraId="7247A2A2" w14:textId="766B7CD7" w:rsidR="007D5795" w:rsidRDefault="007D5795" w:rsidP="007D5795">
      <w:pPr>
        <w:pStyle w:val="SangriaFrancesaArticulo"/>
      </w:pPr>
      <w:r w:rsidRPr="007D5795">
        <w:rPr>
          <w:rStyle w:val="TextoNormalNegritaCaracter"/>
        </w:rPr>
        <w:t>Libro IV.</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066D78B7" w14:textId="038C2AA2" w:rsidR="007D5795" w:rsidRDefault="007D5795" w:rsidP="007D5795">
      <w:pPr>
        <w:pStyle w:val="SangriaFrancesaArticulo"/>
      </w:pPr>
      <w:r w:rsidRPr="007D5795">
        <w:rPr>
          <w:rStyle w:val="TextoNormalNegritaCaracter"/>
        </w:rPr>
        <w:t>Libro IV, títulos I y II.</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4C9CC5F1" w14:textId="13458626" w:rsidR="007D5795" w:rsidRDefault="007D5795" w:rsidP="007D5795">
      <w:pPr>
        <w:pStyle w:val="SangriaFrancesaArticulo"/>
      </w:pPr>
      <w:r w:rsidRPr="007D5795">
        <w:rPr>
          <w:rStyle w:val="TextoNormalNegritaCaracter"/>
        </w:rPr>
        <w:t>Artículo 2.2.</w:t>
      </w:r>
      <w:r w:rsidRPr="007D5795">
        <w:rPr>
          <w:rStyle w:val="TextoNormalCaracter"/>
        </w:rPr>
        <w:t>-</w:t>
      </w:r>
      <w:r>
        <w:t xml:space="preserve"> Sentencia </w:t>
      </w:r>
      <w:hyperlink w:anchor="SENTENCIA_2024_142" w:history="1">
        <w:r w:rsidRPr="007D5795">
          <w:rPr>
            <w:rStyle w:val="TextoNormalCaracter"/>
          </w:rPr>
          <w:t>142/2024</w:t>
        </w:r>
      </w:hyperlink>
      <w:r>
        <w:t>, f. 6, VP.</w:t>
      </w:r>
    </w:p>
    <w:p w14:paraId="20BDECC8" w14:textId="72508A01" w:rsidR="007D5795" w:rsidRDefault="007D5795" w:rsidP="007D5795">
      <w:pPr>
        <w:pStyle w:val="SangriaFrancesaArticulo"/>
      </w:pPr>
      <w:r w:rsidRPr="007D5795">
        <w:rPr>
          <w:rStyle w:val="TextoNormalNegritaCaracter"/>
        </w:rPr>
        <w:t>Artículo 3.1.</w:t>
      </w:r>
      <w:r w:rsidRPr="007D5795">
        <w:rPr>
          <w:rStyle w:val="TextoNormalCaracter"/>
        </w:rPr>
        <w:t>-</w:t>
      </w:r>
      <w:r>
        <w:t xml:space="preserve"> Sentencias </w:t>
      </w:r>
      <w:hyperlink w:anchor="SENTENCIA_2024_120" w:history="1">
        <w:r w:rsidRPr="007D5795">
          <w:rPr>
            <w:rStyle w:val="TextoNormalCaracter"/>
          </w:rPr>
          <w:t>120/2024</w:t>
        </w:r>
      </w:hyperlink>
      <w:r>
        <w:t xml:space="preserve">, VP I; </w:t>
      </w:r>
      <w:hyperlink w:anchor="SENTENCIA_2024_146" w:history="1">
        <w:r w:rsidRPr="007D5795">
          <w:rPr>
            <w:rStyle w:val="TextoNormalCaracter"/>
          </w:rPr>
          <w:t>146/2024</w:t>
        </w:r>
      </w:hyperlink>
      <w:r>
        <w:t>, f. 8.</w:t>
      </w:r>
    </w:p>
    <w:p w14:paraId="2D50B981" w14:textId="5C939661" w:rsidR="007D5795" w:rsidRDefault="007D5795" w:rsidP="007D5795">
      <w:pPr>
        <w:pStyle w:val="SangriaFrancesaArticulo"/>
      </w:pPr>
      <w:r w:rsidRPr="007D5795">
        <w:rPr>
          <w:rStyle w:val="TextoNormalNegritaCaracter"/>
        </w:rPr>
        <w:t>Artículo 68.</w:t>
      </w:r>
      <w:r w:rsidRPr="007D5795">
        <w:rPr>
          <w:rStyle w:val="TextoNormalCaracter"/>
        </w:rPr>
        <w:t>-</w:t>
      </w:r>
      <w:r>
        <w:t xml:space="preserve"> Sentencia </w:t>
      </w:r>
      <w:hyperlink w:anchor="SENTENCIA_2024_140" w:history="1">
        <w:r w:rsidRPr="007D5795">
          <w:rPr>
            <w:rStyle w:val="TextoNormalCaracter"/>
          </w:rPr>
          <w:t>140/2024</w:t>
        </w:r>
      </w:hyperlink>
      <w:r>
        <w:t>, ff. 2 a 4, VP I.</w:t>
      </w:r>
    </w:p>
    <w:p w14:paraId="3C5AAA65" w14:textId="32D7F885" w:rsidR="007D5795" w:rsidRDefault="007D5795" w:rsidP="007D5795">
      <w:pPr>
        <w:pStyle w:val="SangriaFrancesaArticulo"/>
      </w:pPr>
      <w:r w:rsidRPr="007D5795">
        <w:rPr>
          <w:rStyle w:val="TextoNormalNegritaCaracter"/>
        </w:rPr>
        <w:t>Artículo 83.</w:t>
      </w:r>
      <w:r w:rsidRPr="007D5795">
        <w:rPr>
          <w:rStyle w:val="TextoNormalCaracter"/>
        </w:rPr>
        <w:t>-</w:t>
      </w:r>
      <w:r>
        <w:t xml:space="preserve"> Auto </w:t>
      </w:r>
      <w:hyperlink w:anchor="AUTO_2024_102" w:history="1">
        <w:r w:rsidRPr="007D5795">
          <w:rPr>
            <w:rStyle w:val="TextoNormalCaracter"/>
          </w:rPr>
          <w:t>102/2024</w:t>
        </w:r>
      </w:hyperlink>
      <w:r>
        <w:t>, f. 3.</w:t>
      </w:r>
    </w:p>
    <w:p w14:paraId="1D334278" w14:textId="09AF861F" w:rsidR="007D5795" w:rsidRDefault="007D5795" w:rsidP="007D5795">
      <w:pPr>
        <w:pStyle w:val="SangriaFrancesaArticulo"/>
      </w:pPr>
      <w:r w:rsidRPr="007D5795">
        <w:rPr>
          <w:rStyle w:val="TextoNormalNegritaCaracter"/>
        </w:rPr>
        <w:t>Artículo 84.</w:t>
      </w:r>
      <w:r w:rsidRPr="007D5795">
        <w:rPr>
          <w:rStyle w:val="TextoNormalCaracter"/>
        </w:rPr>
        <w:t>-</w:t>
      </w:r>
      <w:r>
        <w:t xml:space="preserve"> Auto </w:t>
      </w:r>
      <w:hyperlink w:anchor="AUTO_2024_102" w:history="1">
        <w:r w:rsidRPr="007D5795">
          <w:rPr>
            <w:rStyle w:val="TextoNormalCaracter"/>
          </w:rPr>
          <w:t>102/2024</w:t>
        </w:r>
      </w:hyperlink>
      <w:r>
        <w:t>, f. 3.</w:t>
      </w:r>
    </w:p>
    <w:p w14:paraId="7DB039F4" w14:textId="4C893E01" w:rsidR="007D5795" w:rsidRDefault="007D5795" w:rsidP="007D5795">
      <w:pPr>
        <w:pStyle w:val="SangriaFrancesaArticulo"/>
      </w:pPr>
      <w:r w:rsidRPr="007D5795">
        <w:rPr>
          <w:rStyle w:val="TextoNormalNegritaCaracter"/>
        </w:rPr>
        <w:t>Artículo 94</w:t>
      </w:r>
      <w:r>
        <w:t xml:space="preserve"> (redactado por la Ley 8/2021, de 2 de junio)</w:t>
      </w:r>
      <w:r w:rsidRPr="007D5795">
        <w:rPr>
          <w:rStyle w:val="TextoNormalNegritaCaracter"/>
        </w:rPr>
        <w:t>.</w:t>
      </w:r>
      <w:r w:rsidRPr="007D5795">
        <w:rPr>
          <w:rStyle w:val="TextoNormalCaracter"/>
        </w:rPr>
        <w:t>-</w:t>
      </w:r>
      <w:r>
        <w:t xml:space="preserve"> Sentencias </w:t>
      </w:r>
      <w:hyperlink w:anchor="SENTENCIA_2024_115" w:history="1">
        <w:r w:rsidRPr="007D5795">
          <w:rPr>
            <w:rStyle w:val="TextoNormalCaracter"/>
          </w:rPr>
          <w:t>115/2024</w:t>
        </w:r>
      </w:hyperlink>
      <w:r>
        <w:t xml:space="preserve">, ff. 3, 4, VP II; </w:t>
      </w:r>
      <w:hyperlink w:anchor="SENTENCIA_2024_145" w:history="1">
        <w:r w:rsidRPr="007D5795">
          <w:rPr>
            <w:rStyle w:val="TextoNormalCaracter"/>
          </w:rPr>
          <w:t>145/2024</w:t>
        </w:r>
      </w:hyperlink>
      <w:r>
        <w:t>, ff. 1, 2, 4, 5.</w:t>
      </w:r>
    </w:p>
    <w:p w14:paraId="1083F282" w14:textId="137F345D" w:rsidR="007D5795" w:rsidRDefault="007D5795" w:rsidP="007D5795">
      <w:pPr>
        <w:pStyle w:val="SangriaFrancesaArticulo"/>
      </w:pPr>
      <w:r w:rsidRPr="007D5795">
        <w:rPr>
          <w:rStyle w:val="TextoNormalNegritaCaracter"/>
        </w:rPr>
        <w:t>Artículos 1088 a 1314.</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48994C34" w14:textId="627B920F" w:rsidR="007D5795" w:rsidRDefault="007D5795" w:rsidP="007D5795">
      <w:pPr>
        <w:pStyle w:val="SangriaFrancesaArticulo"/>
      </w:pPr>
      <w:r w:rsidRPr="007D5795">
        <w:rPr>
          <w:rStyle w:val="TextoNormalNegritaCaracter"/>
        </w:rPr>
        <w:t>Artículos 1089 y siguientes.</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06A556CC" w14:textId="188945A2" w:rsidR="007D5795" w:rsidRDefault="007D5795" w:rsidP="007D5795">
      <w:pPr>
        <w:pStyle w:val="SangriaFrancesaArticulo"/>
      </w:pPr>
      <w:r w:rsidRPr="007D5795">
        <w:rPr>
          <w:rStyle w:val="TextoNormalNegritaCaracter"/>
        </w:rPr>
        <w:t>Artículo 1091.</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3D483983" w14:textId="2736A3A3" w:rsidR="007D5795" w:rsidRDefault="007D5795" w:rsidP="007D5795">
      <w:pPr>
        <w:pStyle w:val="SangriaFrancesaArticulo"/>
      </w:pPr>
      <w:r w:rsidRPr="007D5795">
        <w:rPr>
          <w:rStyle w:val="TextoNormalNegritaCaracter"/>
        </w:rPr>
        <w:t>Artículo 1192, primer párrafo.</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7F0AD96D" w14:textId="1B0E8CEE" w:rsidR="007D5795" w:rsidRDefault="007D5795" w:rsidP="007D5795">
      <w:pPr>
        <w:pStyle w:val="SangriaFrancesaArticulo"/>
      </w:pPr>
      <w:r w:rsidRPr="007D5795">
        <w:rPr>
          <w:rStyle w:val="TextoNormalNegritaCaracter"/>
        </w:rPr>
        <w:t>Articulo 1193.</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33726B22" w14:textId="64E56E27" w:rsidR="007D5795" w:rsidRDefault="007D5795" w:rsidP="007D5795">
      <w:pPr>
        <w:pStyle w:val="SangriaFrancesaArticulo"/>
      </w:pPr>
      <w:r w:rsidRPr="007D5795">
        <w:rPr>
          <w:rStyle w:val="TextoNormalNegritaCaracter"/>
        </w:rPr>
        <w:t>Artículos 1254 a 1280.</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2B5741E4" w14:textId="2BB1BE10" w:rsidR="007D5795" w:rsidRDefault="007D5795" w:rsidP="007D5795">
      <w:pPr>
        <w:pStyle w:val="SangriaFrancesaArticulo"/>
      </w:pPr>
      <w:r w:rsidRPr="007D5795">
        <w:rPr>
          <w:rStyle w:val="TextoNormalNegritaCaracter"/>
        </w:rPr>
        <w:t>Artículo 1255.</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522575F2" w14:textId="4E39259B" w:rsidR="007D5795" w:rsidRDefault="007D5795" w:rsidP="007D5795">
      <w:pPr>
        <w:pStyle w:val="SangriaFrancesaArticulo"/>
      </w:pPr>
      <w:r w:rsidRPr="007D5795">
        <w:rPr>
          <w:rStyle w:val="TextoNormalNegritaCaracter"/>
        </w:rPr>
        <w:t>Artículo 1261.1.</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0D422372" w14:textId="1E6246FE" w:rsidR="007D5795" w:rsidRDefault="007D5795" w:rsidP="007D5795">
      <w:pPr>
        <w:pStyle w:val="SangriaFrancesaArticulo"/>
      </w:pPr>
      <w:r w:rsidRPr="007D5795">
        <w:rPr>
          <w:rStyle w:val="TextoNormalNegritaCaracter"/>
        </w:rPr>
        <w:t>Artículo 1462.</w:t>
      </w:r>
      <w:r w:rsidRPr="007D5795">
        <w:rPr>
          <w:rStyle w:val="TextoNormalCaracter"/>
        </w:rPr>
        <w:t>-</w:t>
      </w:r>
      <w:r>
        <w:t xml:space="preserve"> Auto </w:t>
      </w:r>
      <w:hyperlink w:anchor="AUTO_2024_92" w:history="1">
        <w:r w:rsidRPr="007D5795">
          <w:rPr>
            <w:rStyle w:val="TextoNormalCaracter"/>
          </w:rPr>
          <w:t>92/2024</w:t>
        </w:r>
      </w:hyperlink>
      <w:r>
        <w:t>, f. 2.</w:t>
      </w:r>
    </w:p>
    <w:p w14:paraId="06B4073C" w14:textId="43862B91" w:rsidR="007D5795" w:rsidRDefault="007D5795" w:rsidP="007D5795">
      <w:pPr>
        <w:pStyle w:val="SangriaFrancesaArticulo"/>
      </w:pPr>
    </w:p>
    <w:p w14:paraId="38A3D6EF" w14:textId="77777777" w:rsidR="007D5795" w:rsidRDefault="007D5795" w:rsidP="007D5795">
      <w:pPr>
        <w:pStyle w:val="TextoNormalNegritaCursivandice"/>
        <w:keepNext/>
      </w:pPr>
      <w:r>
        <w:t>Decretos de 26 de enero y 31 de marzo de 1944. Texto refundido de la Ley reguladora de contrato de trabajo</w:t>
      </w:r>
    </w:p>
    <w:p w14:paraId="7EECB365" w14:textId="11D3632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3EF6FB54" w14:textId="000D3DB0" w:rsidR="007D5795" w:rsidRDefault="007D5795" w:rsidP="007D5795">
      <w:pPr>
        <w:pStyle w:val="SangriaFrancesaArticulo"/>
      </w:pPr>
      <w:r w:rsidRPr="007D5795">
        <w:rPr>
          <w:rStyle w:val="TextoNormalNegritaCaracter"/>
        </w:rPr>
        <w:t>Artículo 79.3.</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7E45AE2C" w14:textId="5237BA68" w:rsidR="007D5795" w:rsidRDefault="007D5795" w:rsidP="007D5795">
      <w:pPr>
        <w:pStyle w:val="SangriaFrancesaArticulo"/>
      </w:pPr>
    </w:p>
    <w:p w14:paraId="244CA57D" w14:textId="77777777" w:rsidR="007D5795" w:rsidRDefault="007D5795" w:rsidP="007D5795">
      <w:pPr>
        <w:pStyle w:val="TextoNormalNegritaCursivandice"/>
        <w:keepNext/>
      </w:pPr>
      <w:r>
        <w:t>Decreto de 8 de febrero de 1946 por el que se aprueba la nueva redacción oficial de la Ley hipotecaria</w:t>
      </w:r>
    </w:p>
    <w:p w14:paraId="74B82951" w14:textId="38A7E7C2" w:rsidR="007D5795" w:rsidRDefault="007D5795" w:rsidP="007D5795">
      <w:pPr>
        <w:pStyle w:val="SangriaFrancesaArticulo"/>
      </w:pPr>
      <w:r w:rsidRPr="007D5795">
        <w:rPr>
          <w:rStyle w:val="TextoNormalNegritaCaracter"/>
        </w:rPr>
        <w:t>Artículo 42.1.</w:t>
      </w:r>
      <w:r w:rsidRPr="007D5795">
        <w:rPr>
          <w:rStyle w:val="TextoNormalCaracter"/>
        </w:rPr>
        <w:t>-</w:t>
      </w:r>
      <w:r>
        <w:t xml:space="preserve"> Auto </w:t>
      </w:r>
      <w:hyperlink w:anchor="AUTO_2024_152" w:history="1">
        <w:r w:rsidRPr="007D5795">
          <w:rPr>
            <w:rStyle w:val="TextoNormalCaracter"/>
          </w:rPr>
          <w:t>152/2024</w:t>
        </w:r>
      </w:hyperlink>
      <w:r>
        <w:t>, f. 4.</w:t>
      </w:r>
    </w:p>
    <w:p w14:paraId="51457520" w14:textId="70AB3FB6" w:rsidR="007D5795" w:rsidRDefault="007D5795" w:rsidP="007D5795">
      <w:pPr>
        <w:pStyle w:val="SangriaFrancesaArticulo"/>
      </w:pPr>
    </w:p>
    <w:p w14:paraId="52108DA8" w14:textId="77777777" w:rsidR="007D5795" w:rsidRDefault="007D5795" w:rsidP="007D5795">
      <w:pPr>
        <w:pStyle w:val="TextoNormalNegritaCursivandice"/>
        <w:keepNext/>
      </w:pPr>
      <w:r>
        <w:t>Ley de 31 de diciembre de 1946. Bases de arrendamientos urbanos</w:t>
      </w:r>
    </w:p>
    <w:p w14:paraId="5261286E" w14:textId="2C91DB42" w:rsidR="007D5795" w:rsidRDefault="007D5795" w:rsidP="007D5795">
      <w:pPr>
        <w:pStyle w:val="SangriaFrancesaArticulo"/>
      </w:pPr>
      <w:r w:rsidRPr="007D5795">
        <w:rPr>
          <w:rStyle w:val="TextoNormalNegritaCaracter"/>
        </w:rPr>
        <w:t>Apartado 23.</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7747BC30" w14:textId="160B8104" w:rsidR="007D5795" w:rsidRDefault="007D5795" w:rsidP="007D5795">
      <w:pPr>
        <w:pStyle w:val="SangriaFrancesaArticulo"/>
      </w:pPr>
    </w:p>
    <w:p w14:paraId="5473B83B" w14:textId="77777777" w:rsidR="007D5795" w:rsidRDefault="007D5795" w:rsidP="007D5795">
      <w:pPr>
        <w:pStyle w:val="TextoNormalNegritaCursivandice"/>
        <w:keepNext/>
      </w:pPr>
      <w:r>
        <w:t>Ley de 3 de diciembre de 1953, de reforma y desarrollo agrario</w:t>
      </w:r>
    </w:p>
    <w:p w14:paraId="376690DD" w14:textId="4A06E127" w:rsidR="007D5795" w:rsidRDefault="007D5795" w:rsidP="007D5795">
      <w:pPr>
        <w:pStyle w:val="SangriaFrancesaArticulo"/>
      </w:pPr>
      <w:r w:rsidRPr="007D5795">
        <w:rPr>
          <w:rStyle w:val="TextoNormalNegritaCaracter"/>
        </w:rPr>
        <w:t>e.</w:t>
      </w:r>
      <w:r w:rsidRPr="007D5795">
        <w:rPr>
          <w:rStyle w:val="TextoNormalCaracter"/>
        </w:rPr>
        <w:t>-</w:t>
      </w:r>
      <w:r>
        <w:t xml:space="preserve"> Sentencia </w:t>
      </w:r>
      <w:hyperlink w:anchor="SENTENCIA_2024_120" w:history="1">
        <w:r w:rsidRPr="007D5795">
          <w:rPr>
            <w:rStyle w:val="TextoNormalCaracter"/>
          </w:rPr>
          <w:t>120/2024</w:t>
        </w:r>
      </w:hyperlink>
      <w:r>
        <w:t>, VP I.</w:t>
      </w:r>
    </w:p>
    <w:p w14:paraId="32FFF0ED" w14:textId="1FCA853F" w:rsidR="007D5795" w:rsidRDefault="007D5795" w:rsidP="007D5795">
      <w:pPr>
        <w:pStyle w:val="SangriaFrancesaArticulo"/>
      </w:pPr>
    </w:p>
    <w:p w14:paraId="4FCFB1BD" w14:textId="77777777" w:rsidR="007D5795" w:rsidRDefault="007D5795" w:rsidP="007D5795">
      <w:pPr>
        <w:pStyle w:val="TextoNormalNegritaCursivandice"/>
        <w:keepNext/>
      </w:pPr>
      <w:r>
        <w:t>Ley de 16 de diciembre de 1954 sobre expropiación forzosa</w:t>
      </w:r>
    </w:p>
    <w:p w14:paraId="3FB2DD92" w14:textId="6169A369"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 </w:t>
      </w:r>
      <w:hyperlink w:anchor="SENTENCIA_2024_120" w:history="1">
        <w:r w:rsidRPr="007D5795">
          <w:rPr>
            <w:rStyle w:val="TextoNormalCaracter"/>
          </w:rPr>
          <w:t>120/2024</w:t>
        </w:r>
      </w:hyperlink>
      <w:r>
        <w:t>, VP I.</w:t>
      </w:r>
    </w:p>
    <w:p w14:paraId="26449F30" w14:textId="319BC3CA" w:rsidR="007D5795" w:rsidRDefault="007D5795" w:rsidP="007D5795">
      <w:pPr>
        <w:pStyle w:val="SangriaFrancesaArticulo"/>
      </w:pPr>
    </w:p>
    <w:p w14:paraId="176232F0" w14:textId="77777777" w:rsidR="007D5795" w:rsidRDefault="007D5795" w:rsidP="007D5795">
      <w:pPr>
        <w:pStyle w:val="TextoNormalNegritaCursivandice"/>
        <w:keepNext/>
      </w:pPr>
      <w:r>
        <w:t>Decreto de 13 de abril de 1956, por el que se aprueba el texto articulado de la Ley de arrendamientos urbanos</w:t>
      </w:r>
    </w:p>
    <w:p w14:paraId="7526F3C4" w14:textId="631EBD7C" w:rsidR="007D5795" w:rsidRDefault="007D5795" w:rsidP="007D5795">
      <w:pPr>
        <w:pStyle w:val="SangriaFrancesaArticulo"/>
      </w:pPr>
      <w:r w:rsidRPr="007D5795">
        <w:rPr>
          <w:rStyle w:val="TextoNormalNegritaCaracter"/>
        </w:rPr>
        <w:t>Disposición adicional segunda.</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5FE4FA7A" w14:textId="6E6A0AA3" w:rsidR="007D5795" w:rsidRDefault="007D5795" w:rsidP="007D5795">
      <w:pPr>
        <w:pStyle w:val="SangriaFrancesaArticulo"/>
      </w:pPr>
    </w:p>
    <w:p w14:paraId="534D9956" w14:textId="77777777" w:rsidR="007D5795" w:rsidRDefault="007D5795" w:rsidP="007D5795">
      <w:pPr>
        <w:pStyle w:val="TextoNormalNegritaCursivandice"/>
        <w:keepNext/>
      </w:pPr>
      <w:r>
        <w:t>Decreto 4104/1964, de 24 de diciembre, por el que se aprueba el texto refundido de la Ley de arrendamientos urbanos</w:t>
      </w:r>
    </w:p>
    <w:p w14:paraId="391BCF06" w14:textId="2333A882" w:rsidR="007D5795" w:rsidRDefault="007D5795" w:rsidP="007D5795">
      <w:pPr>
        <w:pStyle w:val="SangriaFrancesaArticulo"/>
      </w:pPr>
      <w:r w:rsidRPr="007D5795">
        <w:rPr>
          <w:rStyle w:val="TextoNormalNegritaCaracter"/>
        </w:rPr>
        <w:t>Disposición adicional segunda.</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1E6820A8" w14:textId="1BB991D1" w:rsidR="007D5795" w:rsidRDefault="007D5795" w:rsidP="007D5795">
      <w:pPr>
        <w:pStyle w:val="SangriaFrancesaArticulo"/>
      </w:pPr>
    </w:p>
    <w:p w14:paraId="5B20EB28" w14:textId="77777777" w:rsidR="007D5795" w:rsidRDefault="007D5795" w:rsidP="007D5795">
      <w:pPr>
        <w:pStyle w:val="TextoNormalNegritaCursivandice"/>
        <w:keepNext/>
      </w:pPr>
      <w:r>
        <w:t>Decreto 907/1966, de 21 de abril, que aprueba el texto articulado de la Ley 193/1963, de 28 de diciembre, sobre Bases de la Seguridad Social</w:t>
      </w:r>
    </w:p>
    <w:p w14:paraId="1B5730F4" w14:textId="4AA4DB6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6DE087B2" w14:textId="59C2A595" w:rsidR="007D5795" w:rsidRDefault="007D5795" w:rsidP="007D5795">
      <w:pPr>
        <w:pStyle w:val="SangriaFrancesaArticulo"/>
      </w:pPr>
    </w:p>
    <w:p w14:paraId="73F6F604" w14:textId="77777777" w:rsidR="007D5795" w:rsidRDefault="007D5795" w:rsidP="007D5795">
      <w:pPr>
        <w:pStyle w:val="TextoNormalNegritaCursivandice"/>
        <w:keepNext/>
      </w:pPr>
      <w:r>
        <w:t>Ley 28/1969, de 26 de abril, sobre costas</w:t>
      </w:r>
    </w:p>
    <w:p w14:paraId="45AF559D" w14:textId="3B5BD08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9" w:history="1">
        <w:r w:rsidRPr="007D5795">
          <w:rPr>
            <w:rStyle w:val="TextoNormalCaracter"/>
          </w:rPr>
          <w:t>119/2024</w:t>
        </w:r>
      </w:hyperlink>
      <w:r>
        <w:t>, f. 5.</w:t>
      </w:r>
    </w:p>
    <w:p w14:paraId="5A6F2686" w14:textId="7525C97A" w:rsidR="007D5795" w:rsidRDefault="007D5795" w:rsidP="007D5795">
      <w:pPr>
        <w:pStyle w:val="SangriaFrancesaArticulo"/>
      </w:pPr>
    </w:p>
    <w:p w14:paraId="21469AE9" w14:textId="77777777" w:rsidR="007D5795" w:rsidRDefault="007D5795" w:rsidP="007D5795">
      <w:pPr>
        <w:pStyle w:val="TextoNormalNegritaCursivandice"/>
        <w:keepNext/>
      </w:pPr>
      <w:r>
        <w:t>Ley 1/1970, de 4 de abril, de caza</w:t>
      </w:r>
    </w:p>
    <w:p w14:paraId="01D43010" w14:textId="606C1D4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81" w:history="1">
        <w:r w:rsidRPr="007D5795">
          <w:rPr>
            <w:rStyle w:val="TextoNormalCaracter"/>
          </w:rPr>
          <w:t>81/2024</w:t>
        </w:r>
      </w:hyperlink>
      <w:r>
        <w:t>, f. 1.</w:t>
      </w:r>
    </w:p>
    <w:p w14:paraId="4CEAFF53" w14:textId="10BF19A8" w:rsidR="007D5795" w:rsidRDefault="007D5795" w:rsidP="007D5795">
      <w:pPr>
        <w:pStyle w:val="SangriaFrancesaArticulo"/>
      </w:pPr>
      <w:r w:rsidRPr="007D5795">
        <w:rPr>
          <w:rStyle w:val="TextoNormalNegritaCaracter"/>
        </w:rPr>
        <w:t>Artículo 42.3.</w:t>
      </w:r>
      <w:r w:rsidRPr="007D5795">
        <w:rPr>
          <w:rStyle w:val="TextoNormalCaracter"/>
        </w:rPr>
        <w:t>-</w:t>
      </w:r>
      <w:r>
        <w:t xml:space="preserve"> Auto </w:t>
      </w:r>
      <w:hyperlink w:anchor="AUTO_2024_81" w:history="1">
        <w:r w:rsidRPr="007D5795">
          <w:rPr>
            <w:rStyle w:val="TextoNormalCaracter"/>
          </w:rPr>
          <w:t>81/2024</w:t>
        </w:r>
      </w:hyperlink>
      <w:r>
        <w:t>, f. 2.</w:t>
      </w:r>
    </w:p>
    <w:p w14:paraId="30E7650A" w14:textId="0578AACE" w:rsidR="007D5795" w:rsidRDefault="007D5795" w:rsidP="007D5795">
      <w:pPr>
        <w:pStyle w:val="SangriaFrancesaArticulo"/>
      </w:pPr>
      <w:r w:rsidRPr="007D5795">
        <w:rPr>
          <w:rStyle w:val="TextoNormalNegritaCaracter"/>
        </w:rPr>
        <w:t>Artículo 49.</w:t>
      </w:r>
      <w:r w:rsidRPr="007D5795">
        <w:rPr>
          <w:rStyle w:val="TextoNormalCaracter"/>
        </w:rPr>
        <w:t>-</w:t>
      </w:r>
      <w:r>
        <w:t xml:space="preserve"> Auto </w:t>
      </w:r>
      <w:hyperlink w:anchor="AUTO_2024_81" w:history="1">
        <w:r w:rsidRPr="007D5795">
          <w:rPr>
            <w:rStyle w:val="TextoNormalCaracter"/>
          </w:rPr>
          <w:t>81/2024</w:t>
        </w:r>
      </w:hyperlink>
      <w:r>
        <w:t>, f. 2.</w:t>
      </w:r>
    </w:p>
    <w:p w14:paraId="7C2BF0AB" w14:textId="3CBCC53C" w:rsidR="007D5795" w:rsidRDefault="007D5795" w:rsidP="007D5795">
      <w:pPr>
        <w:pStyle w:val="SangriaFrancesaArticulo"/>
      </w:pPr>
    </w:p>
    <w:p w14:paraId="74490E75" w14:textId="77777777" w:rsidR="007D5795" w:rsidRDefault="007D5795" w:rsidP="007D5795">
      <w:pPr>
        <w:pStyle w:val="TextoNormalNegritaCursivandice"/>
        <w:keepNext/>
      </w:pPr>
      <w:r>
        <w:t>Decreto 506/1971, de 25 de marzo, por el que se aprueba el reglamento para la ejecución de la Ley de caza de 4 de abril de 1970</w:t>
      </w:r>
    </w:p>
    <w:p w14:paraId="65E6082B" w14:textId="3BD0238C" w:rsidR="007D5795" w:rsidRDefault="007D5795" w:rsidP="007D5795">
      <w:pPr>
        <w:pStyle w:val="SangriaFrancesaArticulo"/>
      </w:pPr>
      <w:r w:rsidRPr="007D5795">
        <w:rPr>
          <w:rStyle w:val="TextoNormalNegritaCaracter"/>
        </w:rPr>
        <w:t>Artículo 47.2.</w:t>
      </w:r>
      <w:r w:rsidRPr="007D5795">
        <w:rPr>
          <w:rStyle w:val="TextoNormalCaracter"/>
        </w:rPr>
        <w:t>-</w:t>
      </w:r>
      <w:r>
        <w:t xml:space="preserve"> Auto </w:t>
      </w:r>
      <w:hyperlink w:anchor="AUTO_2024_81" w:history="1">
        <w:r w:rsidRPr="007D5795">
          <w:rPr>
            <w:rStyle w:val="TextoNormalCaracter"/>
          </w:rPr>
          <w:t>81/2024</w:t>
        </w:r>
      </w:hyperlink>
      <w:r>
        <w:t>, f. 2.</w:t>
      </w:r>
    </w:p>
    <w:p w14:paraId="11E7FA3F" w14:textId="363D9B6A" w:rsidR="007D5795" w:rsidRDefault="007D5795" w:rsidP="007D5795">
      <w:pPr>
        <w:pStyle w:val="SangriaFrancesaArticulo"/>
      </w:pPr>
      <w:r w:rsidRPr="007D5795">
        <w:rPr>
          <w:rStyle w:val="TextoNormalNegritaCaracter"/>
        </w:rPr>
        <w:t>Artículo 49.10.</w:t>
      </w:r>
      <w:r w:rsidRPr="007D5795">
        <w:rPr>
          <w:rStyle w:val="TextoNormalCaracter"/>
        </w:rPr>
        <w:t>-</w:t>
      </w:r>
      <w:r>
        <w:t xml:space="preserve"> Auto </w:t>
      </w:r>
      <w:hyperlink w:anchor="AUTO_2024_81" w:history="1">
        <w:r w:rsidRPr="007D5795">
          <w:rPr>
            <w:rStyle w:val="TextoNormalCaracter"/>
          </w:rPr>
          <w:t>81/2024</w:t>
        </w:r>
      </w:hyperlink>
      <w:r>
        <w:t>, f. 2.</w:t>
      </w:r>
    </w:p>
    <w:p w14:paraId="222F2457" w14:textId="4140822D" w:rsidR="007D5795" w:rsidRDefault="007D5795" w:rsidP="007D5795">
      <w:pPr>
        <w:pStyle w:val="SangriaFrancesaArticulo"/>
      </w:pPr>
      <w:r w:rsidRPr="007D5795">
        <w:rPr>
          <w:rStyle w:val="TextoNormalNegritaCaracter"/>
        </w:rPr>
        <w:t>Artículo 49.11.</w:t>
      </w:r>
      <w:r w:rsidRPr="007D5795">
        <w:rPr>
          <w:rStyle w:val="TextoNormalCaracter"/>
        </w:rPr>
        <w:t>-</w:t>
      </w:r>
      <w:r>
        <w:t xml:space="preserve"> Auto </w:t>
      </w:r>
      <w:hyperlink w:anchor="AUTO_2024_81" w:history="1">
        <w:r w:rsidRPr="007D5795">
          <w:rPr>
            <w:rStyle w:val="TextoNormalCaracter"/>
          </w:rPr>
          <w:t>81/2024</w:t>
        </w:r>
      </w:hyperlink>
      <w:r>
        <w:t>, f. 2.</w:t>
      </w:r>
    </w:p>
    <w:p w14:paraId="6D09E07B" w14:textId="2EF5AE5E" w:rsidR="007D5795" w:rsidRDefault="007D5795" w:rsidP="007D5795">
      <w:pPr>
        <w:pStyle w:val="SangriaFrancesaArticulo"/>
      </w:pPr>
    </w:p>
    <w:p w14:paraId="5DBC6258" w14:textId="77777777" w:rsidR="007D5795" w:rsidRDefault="007D5795" w:rsidP="007D5795">
      <w:pPr>
        <w:pStyle w:val="TextoNormalNegritaCursivandice"/>
        <w:keepNext/>
      </w:pPr>
      <w:r>
        <w:t>Decreto 118/1973, de 12 de enero, por el que se aprueba el texto de la Ley de reforma y desarrollo agrario</w:t>
      </w:r>
    </w:p>
    <w:p w14:paraId="38C3E914" w14:textId="782B134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VP I.</w:t>
      </w:r>
    </w:p>
    <w:p w14:paraId="1C5C8C52" w14:textId="257FF417" w:rsidR="007D5795" w:rsidRDefault="007D5795" w:rsidP="007D5795">
      <w:pPr>
        <w:pStyle w:val="SangriaFrancesaArticulo"/>
      </w:pPr>
    </w:p>
    <w:p w14:paraId="1DC66902" w14:textId="77777777" w:rsidR="007D5795" w:rsidRDefault="007D5795" w:rsidP="007D5795">
      <w:pPr>
        <w:pStyle w:val="TextoNormalNegritaCursivandice"/>
        <w:keepNext/>
      </w:pPr>
      <w:r>
        <w:t>Decreto 2065/1974, de 30 de mayo. Texto refundido de la Ley general de la Seguridad Social</w:t>
      </w:r>
    </w:p>
    <w:p w14:paraId="4A8B83CF" w14:textId="50CDC15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10E44483" w14:textId="20251B0D" w:rsidR="007D5795" w:rsidRDefault="007D5795" w:rsidP="007D5795">
      <w:pPr>
        <w:pStyle w:val="SangriaFrancesaArticulo"/>
      </w:pPr>
    </w:p>
    <w:p w14:paraId="4C3E187C" w14:textId="77777777" w:rsidR="007D5795" w:rsidRDefault="007D5795" w:rsidP="007D5795">
      <w:pPr>
        <w:pStyle w:val="TextoNormalNegritaCursivandice"/>
        <w:keepNext/>
      </w:pPr>
      <w:r>
        <w:t>Ley 16/1976, de 8 de abril, de Relaciones Laborales</w:t>
      </w:r>
    </w:p>
    <w:p w14:paraId="43D36FEA" w14:textId="71AF2B7E" w:rsidR="007D5795" w:rsidRDefault="007D5795" w:rsidP="007D5795">
      <w:pPr>
        <w:pStyle w:val="SangriaFrancesaArticulo"/>
      </w:pPr>
      <w:r w:rsidRPr="007D5795">
        <w:rPr>
          <w:rStyle w:val="TextoNormalNegritaCaracter"/>
        </w:rPr>
        <w:t>Artículo 25.4.</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3A4A3C73" w14:textId="4CFDE8A9" w:rsidR="007D5795" w:rsidRDefault="007D5795" w:rsidP="007D5795">
      <w:pPr>
        <w:pStyle w:val="TextoNormal"/>
      </w:pPr>
    </w:p>
    <w:p w14:paraId="5C0D21A3" w14:textId="77777777" w:rsidR="007D5795" w:rsidRDefault="007D5795" w:rsidP="007D5795">
      <w:pPr>
        <w:pStyle w:val="SangriaFrancesaArticulo"/>
      </w:pPr>
      <w:bookmarkStart w:id="178" w:name="INDICE22851"/>
    </w:p>
    <w:bookmarkEnd w:id="178"/>
    <w:p w14:paraId="3D47050B" w14:textId="77777777" w:rsidR="007D5795" w:rsidRDefault="007D5795" w:rsidP="007D5795">
      <w:pPr>
        <w:pStyle w:val="TextoIndiceNivel2"/>
        <w:suppressAutoHyphens/>
      </w:pPr>
      <w:r>
        <w:t>J) Comunidades y Ciudades Autónomas</w:t>
      </w:r>
    </w:p>
    <w:p w14:paraId="36F9AE5D" w14:textId="23A2F2BD" w:rsidR="007D5795" w:rsidRDefault="007D5795" w:rsidP="007D5795">
      <w:pPr>
        <w:pStyle w:val="TextoNormal"/>
      </w:pPr>
    </w:p>
    <w:p w14:paraId="14A956C3" w14:textId="77777777" w:rsidR="007D5795" w:rsidRDefault="007D5795" w:rsidP="007D5795">
      <w:pPr>
        <w:pStyle w:val="TextoNormalNegritaCentrado"/>
        <w:suppressAutoHyphens/>
      </w:pPr>
      <w:r w:rsidRPr="007D5795">
        <w:rPr>
          <w:rStyle w:val="TextoNormalNegritaCentradoSombreado"/>
        </w:rPr>
        <w:t>J.1) Andalucía</w:t>
      </w:r>
    </w:p>
    <w:p w14:paraId="49072839" w14:textId="329EE44E" w:rsidR="007D5795" w:rsidRDefault="007D5795" w:rsidP="007D5795">
      <w:pPr>
        <w:pStyle w:val="TextoNormal"/>
      </w:pPr>
    </w:p>
    <w:p w14:paraId="7D3C7B58" w14:textId="77777777" w:rsidR="007D5795" w:rsidRDefault="007D5795" w:rsidP="007D5795">
      <w:pPr>
        <w:pStyle w:val="TextoNormalNegritaCentradoSubrayado"/>
        <w:suppressAutoHyphens/>
      </w:pPr>
      <w:r>
        <w:t>J.1.a) Estatuto de Autonomía</w:t>
      </w:r>
    </w:p>
    <w:p w14:paraId="276B02E8" w14:textId="4F5B50ED" w:rsidR="007D5795" w:rsidRDefault="007D5795" w:rsidP="007D5795">
      <w:pPr>
        <w:pStyle w:val="TextoNormalNegritaCentradoSubrayado"/>
      </w:pPr>
    </w:p>
    <w:p w14:paraId="73DFF7D9" w14:textId="77777777" w:rsidR="007D5795" w:rsidRDefault="007D5795" w:rsidP="007D5795">
      <w:pPr>
        <w:pStyle w:val="TextoNormalNegritaCursivandice"/>
        <w:keepNext/>
      </w:pPr>
      <w:r>
        <w:t>Ley Orgánica 6/1981, de 30 de diciembre.  Estatuto de Autonomía para Andalucía</w:t>
      </w:r>
    </w:p>
    <w:p w14:paraId="6D629CDF" w14:textId="0A88D5A3" w:rsidR="007D5795" w:rsidRDefault="007D5795" w:rsidP="007D5795">
      <w:pPr>
        <w:pStyle w:val="SangriaFrancesaArticulo"/>
      </w:pPr>
      <w:r w:rsidRPr="007D5795">
        <w:rPr>
          <w:rStyle w:val="TextoNormalNegritaCaracter"/>
        </w:rPr>
        <w:t>Artículo 190.</w:t>
      </w:r>
      <w:r w:rsidRPr="007D5795">
        <w:rPr>
          <w:rStyle w:val="TextoNormalCaracter"/>
        </w:rPr>
        <w:t>-</w:t>
      </w:r>
      <w:r>
        <w:t xml:space="preserve"> Sentencia </w:t>
      </w:r>
      <w:hyperlink w:anchor="SENTENCIA_2024_96" w:history="1">
        <w:r w:rsidRPr="007D5795">
          <w:rPr>
            <w:rStyle w:val="TextoNormalCaracter"/>
          </w:rPr>
          <w:t>96/2024</w:t>
        </w:r>
      </w:hyperlink>
      <w:r>
        <w:t>, f. 2.</w:t>
      </w:r>
    </w:p>
    <w:p w14:paraId="56D78A0E" w14:textId="25D81321" w:rsidR="007D5795" w:rsidRDefault="007D5795" w:rsidP="007D5795">
      <w:pPr>
        <w:pStyle w:val="SangriaFrancesaArticulo"/>
      </w:pPr>
    </w:p>
    <w:p w14:paraId="279EF3CC" w14:textId="77777777" w:rsidR="007D5795" w:rsidRDefault="007D5795" w:rsidP="007D5795">
      <w:pPr>
        <w:pStyle w:val="TextoNormalNegritaCursivandice"/>
        <w:keepNext/>
      </w:pPr>
      <w:r>
        <w:t>Ley Orgánica 2/2007, de 19 de marzo, de reforma del Estatuto de Autonomía de Andalucía</w:t>
      </w:r>
    </w:p>
    <w:p w14:paraId="6D50A426" w14:textId="52FEE27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1" w:history="1">
        <w:r w:rsidRPr="007D5795">
          <w:rPr>
            <w:rStyle w:val="TextoNormalCaracter"/>
          </w:rPr>
          <w:t>111/2024</w:t>
        </w:r>
      </w:hyperlink>
      <w:r>
        <w:t>, f. 1.</w:t>
      </w:r>
    </w:p>
    <w:p w14:paraId="5E7A7B92" w14:textId="6A4B835D" w:rsidR="007D5795" w:rsidRDefault="007D5795" w:rsidP="007D5795">
      <w:pPr>
        <w:pStyle w:val="SangriaFrancesaArticulo"/>
      </w:pPr>
      <w:r w:rsidRPr="007D5795">
        <w:rPr>
          <w:rStyle w:val="TextoNormalNegritaCaracter"/>
        </w:rPr>
        <w:t>Artículo 64.1.3.</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08ECBD1B" w14:textId="40F32AC2" w:rsidR="007D5795" w:rsidRDefault="007D5795" w:rsidP="007D5795">
      <w:pPr>
        <w:pStyle w:val="SangriaFrancesaArticulo"/>
      </w:pPr>
      <w:r w:rsidRPr="007D5795">
        <w:rPr>
          <w:rStyle w:val="TextoNormalNegritaCaracter"/>
        </w:rPr>
        <w:t>Artículo 95.</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50ED82B9" w14:textId="62C04D35" w:rsidR="007D5795" w:rsidRDefault="007D5795" w:rsidP="007D5795">
      <w:pPr>
        <w:pStyle w:val="SangriaFrancesaArticulo"/>
      </w:pPr>
      <w:r w:rsidRPr="007D5795">
        <w:rPr>
          <w:rStyle w:val="TextoNormalNegritaCaracter"/>
        </w:rPr>
        <w:t>Artículo 110.</w:t>
      </w:r>
      <w:r w:rsidRPr="007D5795">
        <w:rPr>
          <w:rStyle w:val="TextoNormalCaracter"/>
        </w:rPr>
        <w:t>-</w:t>
      </w:r>
      <w:r>
        <w:t xml:space="preserve"> Sentencia </w:t>
      </w:r>
      <w:hyperlink w:anchor="SENTENCIA_2024_111" w:history="1">
        <w:r w:rsidRPr="007D5795">
          <w:rPr>
            <w:rStyle w:val="TextoNormalCaracter"/>
          </w:rPr>
          <w:t>111/2024</w:t>
        </w:r>
      </w:hyperlink>
      <w:r>
        <w:t>, ff. 1, 3, 4.</w:t>
      </w:r>
    </w:p>
    <w:p w14:paraId="531577DE" w14:textId="5EDC2986" w:rsidR="007D5795" w:rsidRDefault="007D5795" w:rsidP="007D5795">
      <w:pPr>
        <w:pStyle w:val="SangriaFrancesaArticulo"/>
      </w:pPr>
      <w:r w:rsidRPr="007D5795">
        <w:rPr>
          <w:rStyle w:val="TextoNormalNegritaCaracter"/>
        </w:rPr>
        <w:t>Artículo 110.1.</w:t>
      </w:r>
      <w:r w:rsidRPr="007D5795">
        <w:rPr>
          <w:rStyle w:val="TextoNormalCaracter"/>
        </w:rPr>
        <w:t>-</w:t>
      </w:r>
      <w:r>
        <w:t xml:space="preserve"> Sentencia </w:t>
      </w:r>
      <w:hyperlink w:anchor="SENTENCIA_2024_111" w:history="1">
        <w:r w:rsidRPr="007D5795">
          <w:rPr>
            <w:rStyle w:val="TextoNormalCaracter"/>
          </w:rPr>
          <w:t>111/2024</w:t>
        </w:r>
      </w:hyperlink>
      <w:r>
        <w:t>, ff. 4, 5.</w:t>
      </w:r>
    </w:p>
    <w:p w14:paraId="68061C63" w14:textId="6415CA1E" w:rsidR="007D5795" w:rsidRDefault="007D5795" w:rsidP="007D5795">
      <w:pPr>
        <w:pStyle w:val="SangriaFrancesaArticulo"/>
      </w:pPr>
      <w:r w:rsidRPr="007D5795">
        <w:rPr>
          <w:rStyle w:val="TextoNormalNegritaCaracter"/>
        </w:rPr>
        <w:t>Artículo 110.2.</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370CC208" w14:textId="394A2340" w:rsidR="007D5795" w:rsidRDefault="007D5795" w:rsidP="007D5795">
      <w:pPr>
        <w:pStyle w:val="SangriaFrancesaArticulo"/>
      </w:pPr>
      <w:r w:rsidRPr="007D5795">
        <w:rPr>
          <w:rStyle w:val="TextoNormalNegritaCaracter"/>
        </w:rPr>
        <w:t>Artículo 190.</w:t>
      </w:r>
      <w:r w:rsidRPr="007D5795">
        <w:rPr>
          <w:rStyle w:val="TextoNormalCaracter"/>
        </w:rPr>
        <w:t>-</w:t>
      </w:r>
      <w:r>
        <w:t xml:space="preserve"> Sentencias </w:t>
      </w:r>
      <w:hyperlink w:anchor="SENTENCIA_2024_95" w:history="1">
        <w:r w:rsidRPr="007D5795">
          <w:rPr>
            <w:rStyle w:val="TextoNormalCaracter"/>
          </w:rPr>
          <w:t>95/2024</w:t>
        </w:r>
      </w:hyperlink>
      <w:r>
        <w:t xml:space="preserve">, f. 2; </w:t>
      </w:r>
      <w:hyperlink w:anchor="SENTENCIA_2024_100" w:history="1">
        <w:r w:rsidRPr="007D5795">
          <w:rPr>
            <w:rStyle w:val="TextoNormalCaracter"/>
          </w:rPr>
          <w:t>100/2024</w:t>
        </w:r>
      </w:hyperlink>
      <w:r>
        <w:t>, f. 2.</w:t>
      </w:r>
    </w:p>
    <w:p w14:paraId="6622668D" w14:textId="50C52AEE" w:rsidR="007D5795" w:rsidRDefault="007D5795" w:rsidP="007D5795">
      <w:pPr>
        <w:pStyle w:val="TextoNormal"/>
      </w:pPr>
    </w:p>
    <w:p w14:paraId="69D31AB8" w14:textId="77777777" w:rsidR="007D5795" w:rsidRDefault="007D5795" w:rsidP="007D5795">
      <w:pPr>
        <w:pStyle w:val="TextoNormalNegritaCentradoSubrayado"/>
        <w:suppressAutoHyphens/>
      </w:pPr>
      <w:r>
        <w:t>J.1.b) Leyes y disposiciones con fuerza de Ley</w:t>
      </w:r>
    </w:p>
    <w:p w14:paraId="781228E0" w14:textId="6BB715FA" w:rsidR="007D5795" w:rsidRDefault="007D5795" w:rsidP="007D5795">
      <w:pPr>
        <w:pStyle w:val="TextoNormalNegritaCentradoSubrayado"/>
      </w:pPr>
    </w:p>
    <w:p w14:paraId="5F64895F" w14:textId="77777777" w:rsidR="007D5795" w:rsidRDefault="007D5795" w:rsidP="007D5795">
      <w:pPr>
        <w:pStyle w:val="TextoNormalNegritaCursivandice"/>
        <w:keepNext/>
      </w:pPr>
      <w:r>
        <w:t>Comunidad Autónoma de Andalucía. Ley 5/1983, de 19 de julio, de la hacienda pública de la Comunidad Autónoma de Andalucía</w:t>
      </w:r>
    </w:p>
    <w:p w14:paraId="5B33698D" w14:textId="058B491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4" w:history="1">
        <w:r w:rsidRPr="007D5795">
          <w:rPr>
            <w:rStyle w:val="TextoNormalCaracter"/>
          </w:rPr>
          <w:t>94/2024</w:t>
        </w:r>
      </w:hyperlink>
      <w:r>
        <w:t xml:space="preserve">, f. 5, VP I, VP II; </w:t>
      </w:r>
      <w:hyperlink w:anchor="SENTENCIA_2024_95" w:history="1">
        <w:r w:rsidRPr="007D5795">
          <w:rPr>
            <w:rStyle w:val="TextoNormalCaracter"/>
          </w:rPr>
          <w:t>95/2024</w:t>
        </w:r>
      </w:hyperlink>
      <w:r>
        <w:t xml:space="preserve">, f. 3, VP II; </w:t>
      </w:r>
      <w:hyperlink w:anchor="SENTENCIA_2024_96" w:history="1">
        <w:r w:rsidRPr="007D5795">
          <w:rPr>
            <w:rStyle w:val="TextoNormalCaracter"/>
          </w:rPr>
          <w:t>96/2024</w:t>
        </w:r>
      </w:hyperlink>
      <w:r>
        <w:t xml:space="preserve">, f. 6, VP II; </w:t>
      </w:r>
      <w:hyperlink w:anchor="SENTENCIA_2024_97" w:history="1">
        <w:r w:rsidRPr="007D5795">
          <w:rPr>
            <w:rStyle w:val="TextoNormalCaracter"/>
          </w:rPr>
          <w:t>97/2024</w:t>
        </w:r>
      </w:hyperlink>
      <w:r>
        <w:t xml:space="preserve">, ff. 5, 6, VP II; </w:t>
      </w:r>
      <w:hyperlink w:anchor="SENTENCIA_2024_98" w:history="1">
        <w:r w:rsidRPr="007D5795">
          <w:rPr>
            <w:rStyle w:val="TextoNormalCaracter"/>
          </w:rPr>
          <w:t>98/2024</w:t>
        </w:r>
      </w:hyperlink>
      <w:r>
        <w:t xml:space="preserve">, f. 5; </w:t>
      </w:r>
      <w:hyperlink w:anchor="SENTENCIA_2024_99" w:history="1">
        <w:r w:rsidRPr="007D5795">
          <w:rPr>
            <w:rStyle w:val="TextoNormalCaracter"/>
          </w:rPr>
          <w:t>99/2024</w:t>
        </w:r>
      </w:hyperlink>
      <w:r>
        <w:t xml:space="preserve">, VP I, VP II, VP III; </w:t>
      </w:r>
      <w:hyperlink w:anchor="SENTENCIA_2024_100" w:history="1">
        <w:r w:rsidRPr="007D5795">
          <w:rPr>
            <w:rStyle w:val="TextoNormalCaracter"/>
          </w:rPr>
          <w:t>100/2024</w:t>
        </w:r>
      </w:hyperlink>
      <w:r>
        <w:t xml:space="preserve">, ff. 5, 6, VP I, VP II; </w:t>
      </w:r>
      <w:hyperlink w:anchor="SENTENCIA_2024_101" w:history="1">
        <w:r w:rsidRPr="007D5795">
          <w:rPr>
            <w:rStyle w:val="TextoNormalCaracter"/>
          </w:rPr>
          <w:t>101/2024</w:t>
        </w:r>
      </w:hyperlink>
      <w:r>
        <w:t xml:space="preserve">, f. 2;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VP I, VP II.</w:t>
      </w:r>
    </w:p>
    <w:p w14:paraId="6571A965" w14:textId="3C93101F" w:rsidR="007D5795" w:rsidRDefault="007D5795" w:rsidP="007D5795">
      <w:pPr>
        <w:pStyle w:val="SangriaFrancesaArticulo"/>
      </w:pPr>
      <w:r w:rsidRPr="007D5795">
        <w:rPr>
          <w:rStyle w:val="TextoNormalNegritaCaracter"/>
        </w:rPr>
        <w:t>Título II.</w:t>
      </w:r>
      <w:r w:rsidRPr="007D5795">
        <w:rPr>
          <w:rStyle w:val="TextoNormalCaracter"/>
        </w:rPr>
        <w:t>-</w:t>
      </w:r>
      <w:r>
        <w:t xml:space="preserve"> Sentencias </w:t>
      </w:r>
      <w:hyperlink w:anchor="SENTENCIA_2024_99" w:history="1">
        <w:r w:rsidRPr="007D5795">
          <w:rPr>
            <w:rStyle w:val="TextoNormalCaracter"/>
          </w:rPr>
          <w:t>99/2024</w:t>
        </w:r>
      </w:hyperlink>
      <w:r>
        <w:t xml:space="preserve">, VP III; </w:t>
      </w:r>
      <w:hyperlink w:anchor="SENTENCIA_2024_100" w:history="1">
        <w:r w:rsidRPr="007D5795">
          <w:rPr>
            <w:rStyle w:val="TextoNormalCaracter"/>
          </w:rPr>
          <w:t>100/2024</w:t>
        </w:r>
      </w:hyperlink>
      <w:r>
        <w:t>, VP III.</w:t>
      </w:r>
    </w:p>
    <w:p w14:paraId="210C87EC" w14:textId="11C45539" w:rsidR="007D5795" w:rsidRDefault="007D5795" w:rsidP="007D5795">
      <w:pPr>
        <w:pStyle w:val="SangriaFrancesaArticulo"/>
      </w:pPr>
      <w:r w:rsidRPr="007D5795">
        <w:rPr>
          <w:rStyle w:val="TextoNormalNegritaCaracter"/>
        </w:rPr>
        <w:t>Título VIII.</w:t>
      </w:r>
      <w:r w:rsidRPr="007D5795">
        <w:rPr>
          <w:rStyle w:val="TextoNormalCaracter"/>
        </w:rPr>
        <w:t>-</w:t>
      </w:r>
      <w:r>
        <w:t xml:space="preserve"> Sentencia </w:t>
      </w:r>
      <w:hyperlink w:anchor="SENTENCIA_2024_97" w:history="1">
        <w:r w:rsidRPr="007D5795">
          <w:rPr>
            <w:rStyle w:val="TextoNormalCaracter"/>
          </w:rPr>
          <w:t>97/2024</w:t>
        </w:r>
      </w:hyperlink>
      <w:r>
        <w:t>, f. 5.</w:t>
      </w:r>
    </w:p>
    <w:p w14:paraId="5B98F4C5" w14:textId="76E3895A" w:rsidR="007D5795" w:rsidRDefault="007D5795" w:rsidP="007D5795">
      <w:pPr>
        <w:pStyle w:val="SangriaFrancesaArticulo"/>
      </w:pPr>
      <w:r w:rsidRPr="007D5795">
        <w:rPr>
          <w:rStyle w:val="TextoNormalNegritaCaracter"/>
        </w:rPr>
        <w:t>Artículo 9 b).</w:t>
      </w:r>
      <w:r w:rsidRPr="007D5795">
        <w:rPr>
          <w:rStyle w:val="TextoNormalCaracter"/>
        </w:rPr>
        <w:t>-</w:t>
      </w:r>
      <w:r>
        <w:t xml:space="preserve"> Sentencia </w:t>
      </w:r>
      <w:hyperlink w:anchor="SENTENCIA_2024_100" w:history="1">
        <w:r w:rsidRPr="007D5795">
          <w:rPr>
            <w:rStyle w:val="TextoNormalCaracter"/>
          </w:rPr>
          <w:t>100/2024</w:t>
        </w:r>
      </w:hyperlink>
      <w:r>
        <w:t>, f. 6.</w:t>
      </w:r>
    </w:p>
    <w:p w14:paraId="097A035E" w14:textId="5AF0D1AE" w:rsidR="007D5795" w:rsidRDefault="007D5795" w:rsidP="007D5795">
      <w:pPr>
        <w:pStyle w:val="SangriaFrancesaArticulo"/>
      </w:pPr>
      <w:r w:rsidRPr="007D5795">
        <w:rPr>
          <w:rStyle w:val="TextoNormalNegritaCaracter"/>
        </w:rPr>
        <w:t>Artículo 33.</w:t>
      </w:r>
      <w:r w:rsidRPr="007D5795">
        <w:rPr>
          <w:rStyle w:val="TextoNormalCaracter"/>
        </w:rPr>
        <w:t>-</w:t>
      </w:r>
      <w:r>
        <w:t xml:space="preserve"> Sentencias </w:t>
      </w:r>
      <w:hyperlink w:anchor="SENTENCIA_2024_95" w:history="1">
        <w:r w:rsidRPr="007D5795">
          <w:rPr>
            <w:rStyle w:val="TextoNormalCaracter"/>
          </w:rPr>
          <w:t>95/2024</w:t>
        </w:r>
      </w:hyperlink>
      <w:r>
        <w:t xml:space="preserve">, f. 3; </w:t>
      </w:r>
      <w:hyperlink w:anchor="SENTENCIA_2024_97" w:history="1">
        <w:r w:rsidRPr="007D5795">
          <w:rPr>
            <w:rStyle w:val="TextoNormalCaracter"/>
          </w:rPr>
          <w:t>97/2024</w:t>
        </w:r>
      </w:hyperlink>
      <w:r>
        <w:t>, f. 5.</w:t>
      </w:r>
    </w:p>
    <w:p w14:paraId="226226B9" w14:textId="6937C909" w:rsidR="007D5795" w:rsidRDefault="007D5795" w:rsidP="007D5795">
      <w:pPr>
        <w:pStyle w:val="SangriaFrancesaArticulo"/>
      </w:pPr>
      <w:r w:rsidRPr="007D5795">
        <w:rPr>
          <w:rStyle w:val="TextoNormalNegritaCaracter"/>
        </w:rPr>
        <w:t>Artículo 34.</w:t>
      </w:r>
      <w:r w:rsidRPr="007D5795">
        <w:rPr>
          <w:rStyle w:val="TextoNormalCaracter"/>
        </w:rPr>
        <w:t>-</w:t>
      </w:r>
      <w:r>
        <w:t xml:space="preserve"> Sentencias </w:t>
      </w:r>
      <w:hyperlink w:anchor="SENTENCIA_2024_99" w:history="1">
        <w:r w:rsidRPr="007D5795">
          <w:rPr>
            <w:rStyle w:val="TextoNormalCaracter"/>
          </w:rPr>
          <w:t>99/2024</w:t>
        </w:r>
      </w:hyperlink>
      <w:r>
        <w:t xml:space="preserve">, VP III; </w:t>
      </w:r>
      <w:hyperlink w:anchor="SENTENCIA_2024_100" w:history="1">
        <w:r w:rsidRPr="007D5795">
          <w:rPr>
            <w:rStyle w:val="TextoNormalCaracter"/>
          </w:rPr>
          <w:t>100/2024</w:t>
        </w:r>
      </w:hyperlink>
      <w:r>
        <w:t>, VP III.</w:t>
      </w:r>
    </w:p>
    <w:p w14:paraId="4F8D1170" w14:textId="182F6827" w:rsidR="007D5795" w:rsidRDefault="007D5795" w:rsidP="007D5795">
      <w:pPr>
        <w:pStyle w:val="SangriaFrancesaArticulo"/>
      </w:pPr>
      <w:r w:rsidRPr="007D5795">
        <w:rPr>
          <w:rStyle w:val="TextoNormalNegritaCaracter"/>
        </w:rPr>
        <w:t>Artículo 34.5.</w:t>
      </w:r>
      <w:r w:rsidRPr="007D5795">
        <w:rPr>
          <w:rStyle w:val="TextoNormalCaracter"/>
        </w:rPr>
        <w:t>-</w:t>
      </w:r>
      <w:r>
        <w:t xml:space="preserve"> Sentencias </w:t>
      </w:r>
      <w:hyperlink w:anchor="SENTENCIA_2024_94" w:history="1">
        <w:r w:rsidRPr="007D5795">
          <w:rPr>
            <w:rStyle w:val="TextoNormalCaracter"/>
          </w:rPr>
          <w:t>94/2024</w:t>
        </w:r>
      </w:hyperlink>
      <w:r>
        <w:t xml:space="preserve">, VP I;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xml:space="preserve">, VP I, VP III; </w:t>
      </w:r>
      <w:hyperlink w:anchor="SENTENCIA_2024_103" w:history="1">
        <w:r w:rsidRPr="007D5795">
          <w:rPr>
            <w:rStyle w:val="TextoNormalCaracter"/>
          </w:rPr>
          <w:t>103/2024</w:t>
        </w:r>
      </w:hyperlink>
      <w:r>
        <w:t>, VP I.</w:t>
      </w:r>
    </w:p>
    <w:p w14:paraId="66A00B89" w14:textId="5B0B4F13" w:rsidR="007D5795" w:rsidRDefault="007D5795" w:rsidP="007D5795">
      <w:pPr>
        <w:pStyle w:val="SangriaFrancesaArticulo"/>
      </w:pPr>
      <w:r w:rsidRPr="007D5795">
        <w:rPr>
          <w:rStyle w:val="TextoNormalNegritaCaracter"/>
        </w:rPr>
        <w:t>Artículo 35.</w:t>
      </w:r>
      <w:r w:rsidRPr="007D5795">
        <w:rPr>
          <w:rStyle w:val="TextoNormalCaracter"/>
        </w:rPr>
        <w:t>-</w:t>
      </w:r>
      <w:r>
        <w:t xml:space="preserve"> Sentencias </w:t>
      </w:r>
      <w:hyperlink w:anchor="SENTENCIA_2024_94" w:history="1">
        <w:r w:rsidRPr="007D5795">
          <w:rPr>
            <w:rStyle w:val="TextoNormalCaracter"/>
          </w:rPr>
          <w:t>94/2024</w:t>
        </w:r>
      </w:hyperlink>
      <w:r>
        <w:t xml:space="preserve">, VP I;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xml:space="preserve">, VP I, VP III; </w:t>
      </w:r>
      <w:hyperlink w:anchor="SENTENCIA_2024_103" w:history="1">
        <w:r w:rsidRPr="007D5795">
          <w:rPr>
            <w:rStyle w:val="TextoNormalCaracter"/>
          </w:rPr>
          <w:t>103/2024</w:t>
        </w:r>
      </w:hyperlink>
      <w:r>
        <w:t>, VP I.</w:t>
      </w:r>
    </w:p>
    <w:p w14:paraId="250CB7C7" w14:textId="69629C0C" w:rsidR="007D5795" w:rsidRDefault="007D5795" w:rsidP="007D5795">
      <w:pPr>
        <w:pStyle w:val="SangriaFrancesaArticulo"/>
      </w:pPr>
      <w:r w:rsidRPr="007D5795">
        <w:rPr>
          <w:rStyle w:val="TextoNormalNegritaCaracter"/>
        </w:rPr>
        <w:t>Artículo 36.2.</w:t>
      </w:r>
      <w:r w:rsidRPr="007D5795">
        <w:rPr>
          <w:rStyle w:val="TextoNormalCaracter"/>
        </w:rPr>
        <w:t>-</w:t>
      </w:r>
      <w:r>
        <w:t xml:space="preserve"> Sentencia </w:t>
      </w:r>
      <w:hyperlink w:anchor="SENTENCIA_2024_102" w:history="1">
        <w:r w:rsidRPr="007D5795">
          <w:rPr>
            <w:rStyle w:val="TextoNormalCaracter"/>
          </w:rPr>
          <w:t>102/2024</w:t>
        </w:r>
      </w:hyperlink>
      <w:r>
        <w:t>, VP II.</w:t>
      </w:r>
    </w:p>
    <w:p w14:paraId="6AC9A685" w14:textId="01A4EE85" w:rsidR="007D5795" w:rsidRDefault="007D5795" w:rsidP="007D5795">
      <w:pPr>
        <w:pStyle w:val="SangriaFrancesaArticulo"/>
      </w:pPr>
      <w:r w:rsidRPr="007D5795">
        <w:rPr>
          <w:rStyle w:val="TextoNormalNegritaCaracter"/>
        </w:rPr>
        <w:t>Artículo 38.</w:t>
      </w:r>
      <w:r w:rsidRPr="007D5795">
        <w:rPr>
          <w:rStyle w:val="TextoNormalCaracter"/>
        </w:rPr>
        <w:t>-</w:t>
      </w:r>
      <w:r>
        <w:t xml:space="preserve"> Sentencia </w:t>
      </w:r>
      <w:hyperlink w:anchor="SENTENCIA_2024_94" w:history="1">
        <w:r w:rsidRPr="007D5795">
          <w:rPr>
            <w:rStyle w:val="TextoNormalCaracter"/>
          </w:rPr>
          <w:t>94/2024</w:t>
        </w:r>
      </w:hyperlink>
      <w:r>
        <w:t>, f. 4.</w:t>
      </w:r>
    </w:p>
    <w:p w14:paraId="38794035" w14:textId="5E0CC274" w:rsidR="007D5795" w:rsidRDefault="007D5795" w:rsidP="007D5795">
      <w:pPr>
        <w:pStyle w:val="SangriaFrancesaArticulo"/>
      </w:pPr>
      <w:r w:rsidRPr="007D5795">
        <w:rPr>
          <w:rStyle w:val="TextoNormalNegritaCaracter"/>
        </w:rPr>
        <w:t>Artículo 103</w:t>
      </w:r>
      <w:r>
        <w:t xml:space="preserve"> (redactado por la Ley 7/1996, de 31 de julio)</w:t>
      </w:r>
      <w:r w:rsidRPr="007D5795">
        <w:rPr>
          <w:rStyle w:val="TextoNormalNegritaCaracter"/>
        </w:rPr>
        <w:t>.</w:t>
      </w:r>
      <w:r w:rsidRPr="007D5795">
        <w:rPr>
          <w:rStyle w:val="TextoNormalCaracter"/>
        </w:rPr>
        <w:t>-</w:t>
      </w:r>
      <w:r>
        <w:t xml:space="preserve"> Sentencia </w:t>
      </w:r>
      <w:hyperlink w:anchor="SENTENCIA_2024_94" w:history="1">
        <w:r w:rsidRPr="007D5795">
          <w:rPr>
            <w:rStyle w:val="TextoNormalCaracter"/>
          </w:rPr>
          <w:t>94/2024</w:t>
        </w:r>
      </w:hyperlink>
      <w:r>
        <w:t>, VP I.</w:t>
      </w:r>
    </w:p>
    <w:p w14:paraId="33661F25" w14:textId="35EF5A8D" w:rsidR="007D5795" w:rsidRDefault="007D5795" w:rsidP="007D5795">
      <w:pPr>
        <w:pStyle w:val="SangriaFrancesaArticulo"/>
      </w:pPr>
      <w:r w:rsidRPr="007D5795">
        <w:rPr>
          <w:rStyle w:val="TextoNormalNegritaCaracter"/>
        </w:rPr>
        <w:t>Artículos 103 y ss.</w:t>
      </w:r>
      <w:r>
        <w:t xml:space="preserve"> (redactados por la Ley 7/1996, de 31 de julio)</w:t>
      </w:r>
      <w:r w:rsidRPr="007D5795">
        <w:rPr>
          <w:rStyle w:val="TextoNormalNegritaCaracter"/>
        </w:rPr>
        <w:t>.</w:t>
      </w:r>
      <w:r w:rsidRPr="007D5795">
        <w:rPr>
          <w:rStyle w:val="TextoNormalCaracter"/>
        </w:rPr>
        <w:t>-</w:t>
      </w:r>
      <w:r>
        <w:t xml:space="preserve"> Sentencia </w:t>
      </w:r>
      <w:hyperlink w:anchor="SENTENCIA_2024_100" w:history="1">
        <w:r w:rsidRPr="007D5795">
          <w:rPr>
            <w:rStyle w:val="TextoNormalCaracter"/>
          </w:rPr>
          <w:t>100/2024</w:t>
        </w:r>
      </w:hyperlink>
      <w:r>
        <w:t>, VP I.</w:t>
      </w:r>
    </w:p>
    <w:p w14:paraId="2344F466" w14:textId="36F8A489" w:rsidR="007D5795" w:rsidRDefault="007D5795" w:rsidP="007D5795">
      <w:pPr>
        <w:pStyle w:val="SangriaFrancesaArticulo"/>
      </w:pPr>
      <w:r w:rsidRPr="007D5795">
        <w:rPr>
          <w:rStyle w:val="TextoNormalNegritaCaracter"/>
        </w:rPr>
        <w:t>Artículo 105.</w:t>
      </w:r>
      <w:r w:rsidRPr="007D5795">
        <w:rPr>
          <w:rStyle w:val="TextoNormalCaracter"/>
        </w:rPr>
        <w:t>-</w:t>
      </w:r>
      <w:r>
        <w:t xml:space="preserve"> Sentencias </w:t>
      </w:r>
      <w:hyperlink w:anchor="SENTENCIA_2024_96" w:history="1">
        <w:r w:rsidRPr="007D5795">
          <w:rPr>
            <w:rStyle w:val="TextoNormalCaracter"/>
          </w:rPr>
          <w:t>96/2024</w:t>
        </w:r>
      </w:hyperlink>
      <w:r>
        <w:t xml:space="preserve">, f. 7; </w:t>
      </w:r>
      <w:hyperlink w:anchor="SENTENCIA_2024_98" w:history="1">
        <w:r w:rsidRPr="007D5795">
          <w:rPr>
            <w:rStyle w:val="TextoNormalCaracter"/>
          </w:rPr>
          <w:t>98/2024</w:t>
        </w:r>
      </w:hyperlink>
      <w:r>
        <w:t xml:space="preserve">, f. 6; </w:t>
      </w:r>
      <w:hyperlink w:anchor="SENTENCIA_2024_100" w:history="1">
        <w:r w:rsidRPr="007D5795">
          <w:rPr>
            <w:rStyle w:val="TextoNormalCaracter"/>
          </w:rPr>
          <w:t>100/2024</w:t>
        </w:r>
      </w:hyperlink>
      <w:r>
        <w:t>, f. 6.</w:t>
      </w:r>
    </w:p>
    <w:p w14:paraId="33D070D4" w14:textId="355AC935" w:rsidR="007D5795" w:rsidRDefault="007D5795" w:rsidP="007D5795">
      <w:pPr>
        <w:pStyle w:val="SangriaFrancesaArticulo"/>
      </w:pPr>
      <w:r w:rsidRPr="007D5795">
        <w:rPr>
          <w:rStyle w:val="TextoNormalNegritaCaracter"/>
        </w:rPr>
        <w:t>Artículo 106.</w:t>
      </w:r>
      <w:r w:rsidRPr="007D5795">
        <w:rPr>
          <w:rStyle w:val="TextoNormalCaracter"/>
        </w:rPr>
        <w:t>-</w:t>
      </w:r>
      <w:r>
        <w:t xml:space="preserve"> Sentencia </w:t>
      </w:r>
      <w:hyperlink w:anchor="SENTENCIA_2024_97" w:history="1">
        <w:r w:rsidRPr="007D5795">
          <w:rPr>
            <w:rStyle w:val="TextoNormalCaracter"/>
          </w:rPr>
          <w:t>97/2024</w:t>
        </w:r>
      </w:hyperlink>
      <w:r>
        <w:t>, f. 5.</w:t>
      </w:r>
    </w:p>
    <w:p w14:paraId="09EC4777" w14:textId="7010DE7F" w:rsidR="007D5795" w:rsidRDefault="007D5795" w:rsidP="007D5795">
      <w:pPr>
        <w:pStyle w:val="SangriaFrancesaArticulo"/>
      </w:pPr>
      <w:r w:rsidRPr="007D5795">
        <w:rPr>
          <w:rStyle w:val="TextoNormalNegritaCaracter"/>
        </w:rPr>
        <w:t>Artículo 111.</w:t>
      </w:r>
      <w:r w:rsidRPr="007D5795">
        <w:rPr>
          <w:rStyle w:val="TextoNormalCaracter"/>
        </w:rPr>
        <w:t>-</w:t>
      </w:r>
      <w:r>
        <w:t xml:space="preserve"> Sentencias </w:t>
      </w:r>
      <w:hyperlink w:anchor="SENTENCIA_2024_96" w:history="1">
        <w:r w:rsidRPr="007D5795">
          <w:rPr>
            <w:rStyle w:val="TextoNormalCaracter"/>
          </w:rPr>
          <w:t>96/2024</w:t>
        </w:r>
      </w:hyperlink>
      <w:r>
        <w:t xml:space="preserve">, f. 7; </w:t>
      </w:r>
      <w:hyperlink w:anchor="SENTENCIA_2024_98" w:history="1">
        <w:r w:rsidRPr="007D5795">
          <w:rPr>
            <w:rStyle w:val="TextoNormalCaracter"/>
          </w:rPr>
          <w:t>98/2024</w:t>
        </w:r>
      </w:hyperlink>
      <w:r>
        <w:t xml:space="preserve">, f. 6; </w:t>
      </w:r>
      <w:hyperlink w:anchor="SENTENCIA_2024_100" w:history="1">
        <w:r w:rsidRPr="007D5795">
          <w:rPr>
            <w:rStyle w:val="TextoNormalCaracter"/>
          </w:rPr>
          <w:t>100/2024</w:t>
        </w:r>
      </w:hyperlink>
      <w:r>
        <w:t>, f. 6.</w:t>
      </w:r>
    </w:p>
    <w:p w14:paraId="684AA773" w14:textId="1306E0D7" w:rsidR="007D5795" w:rsidRDefault="007D5795" w:rsidP="007D5795">
      <w:pPr>
        <w:pStyle w:val="SangriaFrancesaArticulo"/>
      </w:pPr>
    </w:p>
    <w:p w14:paraId="6020F40A" w14:textId="77777777" w:rsidR="007D5795" w:rsidRDefault="007D5795" w:rsidP="007D5795">
      <w:pPr>
        <w:pStyle w:val="TextoNormalNegritaCursivandice"/>
        <w:keepNext/>
      </w:pPr>
      <w:r>
        <w:t>Comunidad Autónoma de Andalucía. Ley 8/1984, de 3 de julio, de reforma agraria</w:t>
      </w:r>
    </w:p>
    <w:p w14:paraId="216A4D32" w14:textId="0AA9B2C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4.</w:t>
      </w:r>
    </w:p>
    <w:p w14:paraId="6AE7F89E" w14:textId="6039B890" w:rsidR="007D5795" w:rsidRDefault="007D5795" w:rsidP="007D5795">
      <w:pPr>
        <w:pStyle w:val="SangriaFrancesaArticulo"/>
      </w:pPr>
    </w:p>
    <w:p w14:paraId="3BAF7C88" w14:textId="77777777" w:rsidR="007D5795" w:rsidRDefault="007D5795" w:rsidP="007D5795">
      <w:pPr>
        <w:pStyle w:val="TextoNormalNegritaCursivandice"/>
        <w:keepNext/>
      </w:pPr>
      <w:r>
        <w:t>Comunidad Autónoma de Andalucía. Ley del Parlamento de Andalucía 7/1996, de 31 de julio, del presupuesto de la Comunidad Autónoma de Andalucía para 1996</w:t>
      </w:r>
    </w:p>
    <w:p w14:paraId="5A066F42" w14:textId="00D0733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4" w:history="1">
        <w:r w:rsidRPr="007D5795">
          <w:rPr>
            <w:rStyle w:val="TextoNormalCaracter"/>
          </w:rPr>
          <w:t>94/2024</w:t>
        </w:r>
      </w:hyperlink>
      <w:r>
        <w:t>, VP I.</w:t>
      </w:r>
    </w:p>
    <w:p w14:paraId="511D11A4" w14:textId="633A98D8" w:rsidR="007D5795" w:rsidRDefault="007D5795" w:rsidP="007D5795">
      <w:pPr>
        <w:pStyle w:val="SangriaFrancesaArticulo"/>
      </w:pPr>
    </w:p>
    <w:p w14:paraId="6D99961E" w14:textId="77777777" w:rsidR="007D5795" w:rsidRDefault="007D5795" w:rsidP="007D5795">
      <w:pPr>
        <w:pStyle w:val="TextoNormalNegritaCursivandice"/>
        <w:keepNext/>
      </w:pPr>
      <w:r>
        <w:t>Comunidad Autónoma de Andalucía. Ley del Parlamento de Andalucía 14/2001, de 26 de diciembre, del presupuesto de la Comunidad Autónoma de Andalucía para el año 2002</w:t>
      </w:r>
    </w:p>
    <w:p w14:paraId="7B8A4B27" w14:textId="77E0603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4" w:history="1">
        <w:r w:rsidRPr="007D5795">
          <w:rPr>
            <w:rStyle w:val="TextoNormalCaracter"/>
          </w:rPr>
          <w:t>94/2024</w:t>
        </w:r>
      </w:hyperlink>
      <w:r>
        <w:t>, VP I.</w:t>
      </w:r>
    </w:p>
    <w:p w14:paraId="45A5BA53" w14:textId="6C970122" w:rsidR="007D5795" w:rsidRDefault="007D5795" w:rsidP="007D5795">
      <w:pPr>
        <w:pStyle w:val="SangriaFrancesaArticulo"/>
      </w:pPr>
      <w:r w:rsidRPr="007D5795">
        <w:rPr>
          <w:rStyle w:val="TextoNormalNegritaCaracter"/>
        </w:rPr>
        <w:t>Artículo 18.</w:t>
      </w:r>
      <w:r w:rsidRPr="007D5795">
        <w:rPr>
          <w:rStyle w:val="TextoNormalCaracter"/>
        </w:rPr>
        <w:t>-</w:t>
      </w:r>
      <w:r>
        <w:t xml:space="preserve"> Sentencia </w:t>
      </w:r>
      <w:hyperlink w:anchor="SENTENCIA_2024_100" w:history="1">
        <w:r w:rsidRPr="007D5795">
          <w:rPr>
            <w:rStyle w:val="TextoNormalCaracter"/>
          </w:rPr>
          <w:t>100/2024</w:t>
        </w:r>
      </w:hyperlink>
      <w:r>
        <w:t>, VP I.</w:t>
      </w:r>
    </w:p>
    <w:p w14:paraId="7A0E7C3D" w14:textId="18C12B45" w:rsidR="007D5795" w:rsidRDefault="007D5795" w:rsidP="007D5795">
      <w:pPr>
        <w:pStyle w:val="SangriaFrancesaArticulo"/>
      </w:pPr>
    </w:p>
    <w:p w14:paraId="3B80E85B" w14:textId="77777777" w:rsidR="007D5795" w:rsidRDefault="007D5795" w:rsidP="007D5795">
      <w:pPr>
        <w:pStyle w:val="TextoNormalNegritaCursivandice"/>
        <w:keepNext/>
      </w:pPr>
      <w:r>
        <w:t>Comunidad Autónoma de Andalucía. Ley 15/2001, de 26 de diciembre, por la que se aprueban medidas fiscales, presupuestarias, de control y administrativas</w:t>
      </w:r>
    </w:p>
    <w:p w14:paraId="2FBC62EA" w14:textId="5DA4926C" w:rsidR="007D5795" w:rsidRDefault="007D5795" w:rsidP="007D5795">
      <w:pPr>
        <w:pStyle w:val="SangriaFrancesaArticulo"/>
      </w:pPr>
      <w:r w:rsidRPr="007D5795">
        <w:rPr>
          <w:rStyle w:val="TextoNormalNegritaCaracter"/>
        </w:rPr>
        <w:t>Artículo 18.</w:t>
      </w:r>
      <w:r w:rsidRPr="007D5795">
        <w:rPr>
          <w:rStyle w:val="TextoNormalCaracter"/>
        </w:rPr>
        <w:t>-</w:t>
      </w:r>
      <w:r>
        <w:t xml:space="preserve"> Sentencias </w:t>
      </w:r>
      <w:hyperlink w:anchor="SENTENCIA_2024_97" w:history="1">
        <w:r w:rsidRPr="007D5795">
          <w:rPr>
            <w:rStyle w:val="TextoNormalCaracter"/>
          </w:rPr>
          <w:t>97/2024</w:t>
        </w:r>
      </w:hyperlink>
      <w:r>
        <w:t xml:space="preserve">, f. 6; </w:t>
      </w:r>
      <w:hyperlink w:anchor="SENTENCIA_2024_103" w:history="1">
        <w:r w:rsidRPr="007D5795">
          <w:rPr>
            <w:rStyle w:val="TextoNormalCaracter"/>
          </w:rPr>
          <w:t>103/2024</w:t>
        </w:r>
      </w:hyperlink>
      <w:r>
        <w:t>, f. 4.</w:t>
      </w:r>
    </w:p>
    <w:p w14:paraId="5F696991" w14:textId="6A03D2D7" w:rsidR="007D5795" w:rsidRDefault="007D5795" w:rsidP="007D5795">
      <w:pPr>
        <w:pStyle w:val="SangriaFrancesaArticulo"/>
      </w:pPr>
    </w:p>
    <w:p w14:paraId="64F67CA4" w14:textId="77777777" w:rsidR="007D5795" w:rsidRDefault="007D5795" w:rsidP="007D5795">
      <w:pPr>
        <w:pStyle w:val="TextoNormalNegritaCursivandice"/>
        <w:keepNext/>
      </w:pPr>
      <w:r>
        <w:t>Comunidad Autónoma de Andalucía. Ley 2/2003, de 12 de mayo, de ordenación de los transportes urbanos y metropolitanos de viajeros en Andalucía</w:t>
      </w:r>
    </w:p>
    <w:p w14:paraId="06A37456" w14:textId="0867041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1" w:history="1">
        <w:r w:rsidRPr="007D5795">
          <w:rPr>
            <w:rStyle w:val="TextoNormalCaracter"/>
          </w:rPr>
          <w:t>111/2024</w:t>
        </w:r>
      </w:hyperlink>
      <w:r>
        <w:t>, ff. 1, 2.</w:t>
      </w:r>
    </w:p>
    <w:p w14:paraId="32869972" w14:textId="25101680" w:rsidR="007D5795" w:rsidRDefault="007D5795" w:rsidP="007D5795">
      <w:pPr>
        <w:pStyle w:val="SangriaFrancesaArticulo"/>
      </w:pPr>
      <w:r w:rsidRPr="007D5795">
        <w:rPr>
          <w:rStyle w:val="TextoNormalNegritaCaracter"/>
        </w:rPr>
        <w:t>Título II.</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55AE6B98" w14:textId="4AF6B6CB" w:rsidR="007D5795" w:rsidRDefault="007D5795" w:rsidP="007D5795">
      <w:pPr>
        <w:pStyle w:val="SangriaFrancesaArticulo"/>
      </w:pPr>
      <w:r w:rsidRPr="007D5795">
        <w:rPr>
          <w:rStyle w:val="TextoNormalNegritaCaracter"/>
        </w:rPr>
        <w:t>Artículo 4.1.</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1BE161EB" w14:textId="070BCEF1" w:rsidR="007D5795" w:rsidRDefault="007D5795" w:rsidP="007D5795">
      <w:pPr>
        <w:pStyle w:val="SangriaFrancesaArticulo"/>
      </w:pPr>
      <w:r w:rsidRPr="007D5795">
        <w:rPr>
          <w:rStyle w:val="TextoNormalNegritaCaracter"/>
        </w:rPr>
        <w:t>Artículo 4.2.</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3933F490" w14:textId="688C6842" w:rsidR="007D5795" w:rsidRDefault="007D5795" w:rsidP="007D5795">
      <w:pPr>
        <w:pStyle w:val="SangriaFrancesaArticulo"/>
      </w:pPr>
      <w:r w:rsidRPr="007D5795">
        <w:rPr>
          <w:rStyle w:val="TextoNormalNegritaCaracter"/>
        </w:rPr>
        <w:t>Artículo 14.1.</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51A93076" w14:textId="778FF259" w:rsidR="007D5795" w:rsidRDefault="007D5795" w:rsidP="007D5795">
      <w:pPr>
        <w:pStyle w:val="SangriaFrancesaArticulo"/>
      </w:pPr>
      <w:r w:rsidRPr="007D5795">
        <w:rPr>
          <w:rStyle w:val="TextoNormalNegritaCaracter"/>
        </w:rPr>
        <w:t>Artículo 18 bis</w:t>
      </w:r>
      <w:r>
        <w:t xml:space="preserve"> (redactado por el Decreto-ley 8/2022, de 27 de septiembre)</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ff. 2, 5.</w:t>
      </w:r>
    </w:p>
    <w:p w14:paraId="389F35CF" w14:textId="66693A58" w:rsidR="007D5795" w:rsidRDefault="007D5795" w:rsidP="007D5795">
      <w:pPr>
        <w:pStyle w:val="SangriaFrancesaArticulo"/>
      </w:pPr>
      <w:r w:rsidRPr="007D5795">
        <w:rPr>
          <w:rStyle w:val="TextoNormalNegritaCaracter"/>
        </w:rPr>
        <w:t>Artículo 18 bis 2</w:t>
      </w:r>
      <w:r>
        <w:t xml:space="preserve"> (redactado por el Decreto-ley 8/2022, de 27 de septiembre)</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ff. 2, 3, 5, 6.</w:t>
      </w:r>
    </w:p>
    <w:p w14:paraId="125D960E" w14:textId="62AB4692" w:rsidR="007D5795" w:rsidRDefault="007D5795" w:rsidP="007D5795">
      <w:pPr>
        <w:pStyle w:val="SangriaFrancesaArticulo"/>
      </w:pPr>
      <w:r w:rsidRPr="007D5795">
        <w:rPr>
          <w:rStyle w:val="TextoNormalNegritaCaracter"/>
        </w:rPr>
        <w:t>Artículo 18 bis 3</w:t>
      </w:r>
      <w:r>
        <w:t xml:space="preserve"> (redactado por el Decreto-ley 8/2022, de 27 de septiembre)</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ff. 1, 3, 5, 6.</w:t>
      </w:r>
    </w:p>
    <w:p w14:paraId="3C23E5F3" w14:textId="19603307" w:rsidR="007D5795" w:rsidRDefault="007D5795" w:rsidP="007D5795">
      <w:pPr>
        <w:pStyle w:val="SangriaFrancesaArticulo"/>
      </w:pPr>
      <w:r w:rsidRPr="007D5795">
        <w:rPr>
          <w:rStyle w:val="TextoNormalNegritaCaracter"/>
        </w:rPr>
        <w:t>Artículo 18 bis 4</w:t>
      </w:r>
      <w:r>
        <w:t xml:space="preserve"> (redactado por el Decreto-ley 8/2022, de 27 de septiembre)</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4290A3F9" w14:textId="07C85EBE" w:rsidR="007D5795" w:rsidRDefault="007D5795" w:rsidP="007D5795">
      <w:pPr>
        <w:pStyle w:val="SangriaFrancesaArticulo"/>
      </w:pPr>
      <w:r w:rsidRPr="007D5795">
        <w:rPr>
          <w:rStyle w:val="TextoNormalNegritaCaracter"/>
        </w:rPr>
        <w:t>Artículo 18 octies</w:t>
      </w:r>
      <w:r>
        <w:t xml:space="preserve"> (redactado por el Decreto-ley 8/2022, de 27 de septiembre)</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658C5810" w14:textId="55D2F9C3" w:rsidR="007D5795" w:rsidRDefault="007D5795" w:rsidP="007D5795">
      <w:pPr>
        <w:pStyle w:val="SangriaFrancesaArticulo"/>
      </w:pPr>
      <w:r w:rsidRPr="007D5795">
        <w:rPr>
          <w:rStyle w:val="TextoNormalNegritaCaracter"/>
        </w:rPr>
        <w:t>Artículo 18 quater</w:t>
      </w:r>
      <w:r>
        <w:t xml:space="preserve"> (redactado por el Decreto-ley 8/2022, de 27 de septiembre)</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3E5357B2" w14:textId="32CE8275" w:rsidR="007D5795" w:rsidRDefault="007D5795" w:rsidP="007D5795">
      <w:pPr>
        <w:pStyle w:val="SangriaFrancesaArticulo"/>
      </w:pPr>
      <w:r w:rsidRPr="007D5795">
        <w:rPr>
          <w:rStyle w:val="TextoNormalNegritaCaracter"/>
        </w:rPr>
        <w:t>Artículo 18 quinquies</w:t>
      </w:r>
      <w:r>
        <w:t xml:space="preserve"> (redactado por el Decreto-ley 8/2022, de 27 de septiembre)</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19930A14" w14:textId="5E2139D5" w:rsidR="007D5795" w:rsidRDefault="007D5795" w:rsidP="007D5795">
      <w:pPr>
        <w:pStyle w:val="SangriaFrancesaArticulo"/>
      </w:pPr>
      <w:r w:rsidRPr="007D5795">
        <w:rPr>
          <w:rStyle w:val="TextoNormalNegritaCaracter"/>
        </w:rPr>
        <w:t>Artículo 18 septies</w:t>
      </w:r>
      <w:r>
        <w:t xml:space="preserve"> (redactado por el Decreto-ley 8/2022, de 27 de septiembre)</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4C4ECCED" w14:textId="137EF244" w:rsidR="007D5795" w:rsidRDefault="007D5795" w:rsidP="007D5795">
      <w:pPr>
        <w:pStyle w:val="SangriaFrancesaArticulo"/>
      </w:pPr>
      <w:r w:rsidRPr="007D5795">
        <w:rPr>
          <w:rStyle w:val="TextoNormalNegritaCaracter"/>
        </w:rPr>
        <w:t>Artículo 18 sexies</w:t>
      </w:r>
      <w:r>
        <w:t xml:space="preserve"> (redactado por el Decreto-ley 8/2022, de 27 de septiembre)</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219540F7" w14:textId="0E2286F1" w:rsidR="007D5795" w:rsidRDefault="007D5795" w:rsidP="007D5795">
      <w:pPr>
        <w:pStyle w:val="SangriaFrancesaArticulo"/>
      </w:pPr>
      <w:r w:rsidRPr="007D5795">
        <w:rPr>
          <w:rStyle w:val="TextoNormalNegritaCaracter"/>
        </w:rPr>
        <w:t>Artículo 18 sexies 2</w:t>
      </w:r>
      <w:r>
        <w:t xml:space="preserve"> (redactado por el Decreto-ley 8/2022, de 27 de septiembre)</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4795360E" w14:textId="6B194248" w:rsidR="007D5795" w:rsidRDefault="007D5795" w:rsidP="007D5795">
      <w:pPr>
        <w:pStyle w:val="SangriaFrancesaArticulo"/>
      </w:pPr>
      <w:r w:rsidRPr="007D5795">
        <w:rPr>
          <w:rStyle w:val="TextoNormalNegritaCaracter"/>
        </w:rPr>
        <w:t>Artículo 18 ter</w:t>
      </w:r>
      <w:r>
        <w:t xml:space="preserve"> (redactado por el Decreto-ley 8/2022, de 27 de septiembre)</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53EE2449" w14:textId="0E6D4DD4" w:rsidR="007D5795" w:rsidRDefault="007D5795" w:rsidP="007D5795">
      <w:pPr>
        <w:pStyle w:val="SangriaFrancesaArticulo"/>
      </w:pPr>
      <w:r w:rsidRPr="007D5795">
        <w:rPr>
          <w:rStyle w:val="TextoNormalNegritaCaracter"/>
        </w:rPr>
        <w:t>Artículos 18 bis a 18 octies</w:t>
      </w:r>
      <w:r>
        <w:t xml:space="preserve"> (redactados por el Decreto-ley 8/2022, de 27 de septiembre)</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35DF1AF8" w14:textId="49C1EA08" w:rsidR="007D5795" w:rsidRDefault="007D5795" w:rsidP="007D5795">
      <w:pPr>
        <w:pStyle w:val="SangriaFrancesaArticulo"/>
      </w:pPr>
      <w:r w:rsidRPr="007D5795">
        <w:rPr>
          <w:rStyle w:val="TextoNormalNegritaCaracter"/>
        </w:rPr>
        <w:t>Artículo 44.1 d)</w:t>
      </w:r>
      <w:r>
        <w:t xml:space="preserve"> (redactado por el Decreto-ley 8/2022, de 27 de septiembre)</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05FE5274" w14:textId="6FB79477" w:rsidR="007D5795" w:rsidRDefault="007D5795" w:rsidP="007D5795">
      <w:pPr>
        <w:pStyle w:val="SangriaFrancesaArticulo"/>
      </w:pPr>
      <w:r w:rsidRPr="007D5795">
        <w:rPr>
          <w:rStyle w:val="TextoNormalNegritaCaracter"/>
        </w:rPr>
        <w:t>Artículo 48.</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1177CCB8" w14:textId="7C0237A8" w:rsidR="007D5795" w:rsidRDefault="007D5795" w:rsidP="007D5795">
      <w:pPr>
        <w:pStyle w:val="SangriaFrancesaArticulo"/>
      </w:pPr>
      <w:r w:rsidRPr="007D5795">
        <w:rPr>
          <w:rStyle w:val="TextoNormalNegritaCaracter"/>
        </w:rPr>
        <w:t>Artículo 48.2.</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3375D329" w14:textId="4A329480" w:rsidR="007D5795" w:rsidRDefault="007D5795" w:rsidP="007D5795">
      <w:pPr>
        <w:pStyle w:val="SangriaFrancesaArticulo"/>
      </w:pPr>
    </w:p>
    <w:p w14:paraId="594B68FC" w14:textId="77777777" w:rsidR="007D5795" w:rsidRDefault="007D5795" w:rsidP="007D5795">
      <w:pPr>
        <w:pStyle w:val="TextoNormalNegritaCursivandice"/>
        <w:keepNext/>
      </w:pPr>
      <w:r>
        <w:t>Comunidad Autónoma de Andalucía. Decreto Legislativo 1/2010, de 2 de marzo, por el que se aprueba el texto refundido de la Ley general de la hacienda pública de la Junta de Andalucía</w:t>
      </w:r>
    </w:p>
    <w:p w14:paraId="12C99A3E" w14:textId="4D271B1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9" w:history="1">
        <w:r w:rsidRPr="007D5795">
          <w:rPr>
            <w:rStyle w:val="TextoNormalCaracter"/>
          </w:rPr>
          <w:t>99/2024</w:t>
        </w:r>
      </w:hyperlink>
      <w:r>
        <w:t xml:space="preserve">, VP III; </w:t>
      </w:r>
      <w:hyperlink w:anchor="SENTENCIA_2024_100" w:history="1">
        <w:r w:rsidRPr="007D5795">
          <w:rPr>
            <w:rStyle w:val="TextoNormalCaracter"/>
          </w:rPr>
          <w:t>100/2024</w:t>
        </w:r>
      </w:hyperlink>
      <w:r>
        <w:t>, VP III.</w:t>
      </w:r>
    </w:p>
    <w:p w14:paraId="5FEBE28C" w14:textId="775F0181" w:rsidR="007D5795" w:rsidRDefault="007D5795" w:rsidP="007D5795">
      <w:pPr>
        <w:pStyle w:val="SangriaFrancesaArticulo"/>
      </w:pPr>
    </w:p>
    <w:p w14:paraId="507953A9" w14:textId="77777777" w:rsidR="007D5795" w:rsidRDefault="007D5795" w:rsidP="007D5795">
      <w:pPr>
        <w:pStyle w:val="TextoNormalNegritaCursivandice"/>
        <w:keepNext/>
      </w:pPr>
      <w:r>
        <w:t>Comunidad Autónoma de Andalucía. Ley 5/2010, de 11 de junio, de autonomía local de Andalucía</w:t>
      </w:r>
    </w:p>
    <w:p w14:paraId="523BA393" w14:textId="70D8A9CC" w:rsidR="007D5795" w:rsidRDefault="007D5795" w:rsidP="007D5795">
      <w:pPr>
        <w:pStyle w:val="SangriaFrancesaArticulo"/>
      </w:pPr>
      <w:r w:rsidRPr="007D5795">
        <w:rPr>
          <w:rStyle w:val="TextoNormalNegritaCaracter"/>
        </w:rPr>
        <w:t>Artículo 57.</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6BFBBCAD" w14:textId="59852111" w:rsidR="007D5795" w:rsidRDefault="007D5795" w:rsidP="007D5795">
      <w:pPr>
        <w:pStyle w:val="SangriaFrancesaArticulo"/>
      </w:pPr>
      <w:r w:rsidRPr="007D5795">
        <w:rPr>
          <w:rStyle w:val="TextoNormalNegritaCaracter"/>
        </w:rPr>
        <w:t>Artículo 57.1.</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305AAE7F" w14:textId="5E39C5AA" w:rsidR="007D5795" w:rsidRDefault="007D5795" w:rsidP="007D5795">
      <w:pPr>
        <w:pStyle w:val="SangriaFrancesaArticulo"/>
      </w:pPr>
      <w:r w:rsidRPr="007D5795">
        <w:rPr>
          <w:rStyle w:val="TextoNormalNegritaCaracter"/>
        </w:rPr>
        <w:t>Artículo 57.2.</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6BC43594" w14:textId="61485E68" w:rsidR="007D5795" w:rsidRDefault="007D5795" w:rsidP="007D5795">
      <w:pPr>
        <w:pStyle w:val="SangriaFrancesaArticulo"/>
      </w:pPr>
    </w:p>
    <w:p w14:paraId="69778ED6" w14:textId="77777777" w:rsidR="007D5795" w:rsidRDefault="007D5795" w:rsidP="007D5795">
      <w:pPr>
        <w:pStyle w:val="TextoNormalNegritaCursivandice"/>
        <w:keepNext/>
      </w:pPr>
      <w:r>
        <w:t>Comunidad Autónoma de Andalucía. Decreto-ley 4/2012, de 16 de octubre, de medidas extraordinarias y urgentes en materia de protección sociolaboral a ex-trabajadores y ex-trabajadoras andaluces afectados por procesos de reestructuración de empresas y sectores en crisis</w:t>
      </w:r>
    </w:p>
    <w:p w14:paraId="240DBB04" w14:textId="06FA0A14"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4" w:history="1">
        <w:r w:rsidRPr="007D5795">
          <w:rPr>
            <w:rStyle w:val="TextoNormalCaracter"/>
          </w:rPr>
          <w:t>94/2024</w:t>
        </w:r>
      </w:hyperlink>
      <w:r>
        <w:t xml:space="preserve">, f. 2, VP I, VP II; </w:t>
      </w:r>
      <w:hyperlink w:anchor="SENTENCIA_2024_95" w:history="1">
        <w:r w:rsidRPr="007D5795">
          <w:rPr>
            <w:rStyle w:val="TextoNormalCaracter"/>
          </w:rPr>
          <w:t>95/2024</w:t>
        </w:r>
      </w:hyperlink>
      <w:r>
        <w:t xml:space="preserve">, f. 2, VP II; </w:t>
      </w:r>
      <w:hyperlink w:anchor="SENTENCIA_2024_96" w:history="1">
        <w:r w:rsidRPr="007D5795">
          <w:rPr>
            <w:rStyle w:val="TextoNormalCaracter"/>
          </w:rPr>
          <w:t>96/2024</w:t>
        </w:r>
      </w:hyperlink>
      <w:r>
        <w:t xml:space="preserve">, f. 2; </w:t>
      </w:r>
      <w:hyperlink w:anchor="SENTENCIA_2024_97" w:history="1">
        <w:r w:rsidRPr="007D5795">
          <w:rPr>
            <w:rStyle w:val="TextoNormalCaracter"/>
          </w:rPr>
          <w:t>97/2024</w:t>
        </w:r>
      </w:hyperlink>
      <w:r>
        <w:t xml:space="preserve">, f. 2, VP II; </w:t>
      </w:r>
      <w:hyperlink w:anchor="SENTENCIA_2024_98" w:history="1">
        <w:r w:rsidRPr="007D5795">
          <w:rPr>
            <w:rStyle w:val="TextoNormalCaracter"/>
          </w:rPr>
          <w:t>98/2024</w:t>
        </w:r>
      </w:hyperlink>
      <w:r>
        <w:t xml:space="preserve">, f. 2, VP II; </w:t>
      </w:r>
      <w:hyperlink w:anchor="SENTENCIA_2024_99" w:history="1">
        <w:r w:rsidRPr="007D5795">
          <w:rPr>
            <w:rStyle w:val="TextoNormalCaracter"/>
          </w:rPr>
          <w:t>99/2024</w:t>
        </w:r>
      </w:hyperlink>
      <w:r>
        <w:t xml:space="preserve">, f. 2, VP I; </w:t>
      </w:r>
      <w:hyperlink w:anchor="SENTENCIA_2024_100" w:history="1">
        <w:r w:rsidRPr="007D5795">
          <w:rPr>
            <w:rStyle w:val="TextoNormalCaracter"/>
          </w:rPr>
          <w:t>100/2024</w:t>
        </w:r>
      </w:hyperlink>
      <w:r>
        <w:t xml:space="preserve">, f. 2, VP I, VP III; </w:t>
      </w:r>
      <w:hyperlink w:anchor="SENTENCIA_2024_101" w:history="1">
        <w:r w:rsidRPr="007D5795">
          <w:rPr>
            <w:rStyle w:val="TextoNormalCaracter"/>
          </w:rPr>
          <w:t>101/2024</w:t>
        </w:r>
      </w:hyperlink>
      <w:r>
        <w:t xml:space="preserve">, f. 2; </w:t>
      </w:r>
      <w:hyperlink w:anchor="SENTENCIA_2024_102" w:history="1">
        <w:r w:rsidRPr="007D5795">
          <w:rPr>
            <w:rStyle w:val="TextoNormalCaracter"/>
          </w:rPr>
          <w:t>102/2024</w:t>
        </w:r>
      </w:hyperlink>
      <w:r>
        <w:t xml:space="preserve">, f. 2; </w:t>
      </w:r>
      <w:hyperlink w:anchor="SENTENCIA_2024_103" w:history="1">
        <w:r w:rsidRPr="007D5795">
          <w:rPr>
            <w:rStyle w:val="TextoNormalCaracter"/>
          </w:rPr>
          <w:t>103/2024</w:t>
        </w:r>
      </w:hyperlink>
      <w:r>
        <w:t>, f. 2, VP I, VP II.</w:t>
      </w:r>
    </w:p>
    <w:p w14:paraId="02199C46" w14:textId="2CC36415"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Sentencias </w:t>
      </w:r>
      <w:hyperlink w:anchor="SENTENCIA_2024_99" w:history="1">
        <w:r w:rsidRPr="007D5795">
          <w:rPr>
            <w:rStyle w:val="TextoNormalCaracter"/>
          </w:rPr>
          <w:t>99/2024</w:t>
        </w:r>
      </w:hyperlink>
      <w:r>
        <w:t xml:space="preserve">, VP I, VP II, VP III; </w:t>
      </w:r>
      <w:hyperlink w:anchor="SENTENCIA_2024_100" w:history="1">
        <w:r w:rsidRPr="007D5795">
          <w:rPr>
            <w:rStyle w:val="TextoNormalCaracter"/>
          </w:rPr>
          <w:t>100/2024</w:t>
        </w:r>
      </w:hyperlink>
      <w:r>
        <w:t>, VP I, VP II, VP III.</w:t>
      </w:r>
    </w:p>
    <w:p w14:paraId="50417492" w14:textId="7A21E9F7" w:rsidR="007D5795" w:rsidRDefault="007D5795" w:rsidP="007D5795">
      <w:pPr>
        <w:pStyle w:val="SangriaFrancesaArticulo"/>
      </w:pPr>
    </w:p>
    <w:p w14:paraId="706B09FB" w14:textId="77777777" w:rsidR="007D5795" w:rsidRDefault="007D5795" w:rsidP="007D5795">
      <w:pPr>
        <w:pStyle w:val="TextoNormalNegritaCursivandice"/>
        <w:keepNext/>
      </w:pPr>
      <w:r>
        <w:t>Comunidad Autónoma de Andalucía. Ley 5/2014, de 30 de diciembre, del Consejo Andaluz de Concertación Local</w:t>
      </w:r>
    </w:p>
    <w:p w14:paraId="3BDDC288" w14:textId="4C429BC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03E0BB58" w14:textId="2248B18D" w:rsidR="007D5795" w:rsidRDefault="007D5795" w:rsidP="007D5795">
      <w:pPr>
        <w:pStyle w:val="SangriaFrancesaArticulo"/>
      </w:pPr>
      <w:r w:rsidRPr="007D5795">
        <w:rPr>
          <w:rStyle w:val="TextoNormalNegritaCaracter"/>
        </w:rPr>
        <w:t>Artículo 3.1 a).</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64940439" w14:textId="1F809F61" w:rsidR="007D5795" w:rsidRDefault="007D5795" w:rsidP="007D5795">
      <w:pPr>
        <w:pStyle w:val="SangriaFrancesaArticulo"/>
      </w:pPr>
      <w:r w:rsidRPr="007D5795">
        <w:rPr>
          <w:rStyle w:val="TextoNormalNegritaCaracter"/>
        </w:rPr>
        <w:t>Artículo 3.1 b).</w:t>
      </w:r>
      <w:r w:rsidRPr="007D5795">
        <w:rPr>
          <w:rStyle w:val="TextoNormalCaracter"/>
        </w:rPr>
        <w:t>-</w:t>
      </w:r>
      <w:r>
        <w:t xml:space="preserve"> Sentencia </w:t>
      </w:r>
      <w:hyperlink w:anchor="SENTENCIA_2024_111" w:history="1">
        <w:r w:rsidRPr="007D5795">
          <w:rPr>
            <w:rStyle w:val="TextoNormalCaracter"/>
          </w:rPr>
          <w:t>111/2024</w:t>
        </w:r>
      </w:hyperlink>
      <w:r>
        <w:t>, f. 5.</w:t>
      </w:r>
    </w:p>
    <w:p w14:paraId="21FFB250" w14:textId="69686267" w:rsidR="007D5795" w:rsidRDefault="007D5795" w:rsidP="007D5795">
      <w:pPr>
        <w:pStyle w:val="SangriaFrancesaArticulo"/>
      </w:pPr>
    </w:p>
    <w:p w14:paraId="683EC893" w14:textId="77777777" w:rsidR="007D5795" w:rsidRDefault="007D5795" w:rsidP="007D5795">
      <w:pPr>
        <w:pStyle w:val="TextoNormalNegritaCursivandice"/>
        <w:keepNext/>
      </w:pPr>
      <w:r>
        <w:t>Comunidad Autónoma de Andalucía. Decreto-ley 8/2022, de 27 de septiembre, por el que se modifica la Ley 2/2003, de 12 de mayo, de transportes urbanos y metropolitanos de viajeros en Andalucía</w:t>
      </w:r>
    </w:p>
    <w:p w14:paraId="0102D906" w14:textId="47184FD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1" w:history="1">
        <w:r w:rsidRPr="007D5795">
          <w:rPr>
            <w:rStyle w:val="TextoNormalCaracter"/>
          </w:rPr>
          <w:t>111/2024</w:t>
        </w:r>
      </w:hyperlink>
      <w:r>
        <w:t>, ff. 2 a 5.</w:t>
      </w:r>
    </w:p>
    <w:p w14:paraId="220F5AAA" w14:textId="506A6473" w:rsidR="007D5795" w:rsidRDefault="007D5795" w:rsidP="007D5795">
      <w:pPr>
        <w:pStyle w:val="SangriaFrancesaArticulo"/>
      </w:pPr>
      <w:r w:rsidRPr="007D5795">
        <w:rPr>
          <w:rStyle w:val="TextoNormalNegritaCaracter"/>
        </w:rPr>
        <w:t>Capítulo I</w:t>
      </w:r>
      <w:r>
        <w:t xml:space="preserve"> (artículos 14 a 18)</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61ED7063" w14:textId="0C87FAF7" w:rsidR="007D5795" w:rsidRDefault="007D5795" w:rsidP="007D5795">
      <w:pPr>
        <w:pStyle w:val="SangriaFrancesaArticulo"/>
      </w:pPr>
      <w:r w:rsidRPr="007D5795">
        <w:rPr>
          <w:rStyle w:val="TextoNormalNegritaCaracter"/>
        </w:rPr>
        <w:t>Capítulo II</w:t>
      </w:r>
      <w:r>
        <w:t xml:space="preserve"> (artículos 18 bis a 18 octies)</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1BB5DC3D" w14:textId="7A8EAF04" w:rsidR="007D5795" w:rsidRDefault="007D5795" w:rsidP="007D5795">
      <w:pPr>
        <w:pStyle w:val="SangriaFrancesaArticulo"/>
      </w:pPr>
      <w:r w:rsidRPr="007D5795">
        <w:rPr>
          <w:rStyle w:val="TextoNormalNegritaCaracter"/>
        </w:rPr>
        <w:t>Artículo único apartado 2.</w:t>
      </w:r>
      <w:r w:rsidRPr="007D5795">
        <w:rPr>
          <w:rStyle w:val="TextoNormalCaracter"/>
        </w:rPr>
        <w:t>-</w:t>
      </w:r>
      <w:r>
        <w:t xml:space="preserve"> Sentencia </w:t>
      </w:r>
      <w:hyperlink w:anchor="SENTENCIA_2024_111" w:history="1">
        <w:r w:rsidRPr="007D5795">
          <w:rPr>
            <w:rStyle w:val="TextoNormalCaracter"/>
          </w:rPr>
          <w:t>111/2024</w:t>
        </w:r>
      </w:hyperlink>
      <w:r>
        <w:t>, ff. 1, 2.</w:t>
      </w:r>
    </w:p>
    <w:p w14:paraId="5AD56ED6" w14:textId="6C21DE82" w:rsidR="007D5795" w:rsidRDefault="007D5795" w:rsidP="007D5795">
      <w:pPr>
        <w:pStyle w:val="SangriaFrancesaArticulo"/>
      </w:pPr>
      <w:r w:rsidRPr="007D5795">
        <w:rPr>
          <w:rStyle w:val="TextoNormalNegritaCaracter"/>
        </w:rPr>
        <w:t>Artículo único apartados 3 a 10.</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06341FA3" w14:textId="2217163A" w:rsidR="007D5795" w:rsidRDefault="007D5795" w:rsidP="007D5795">
      <w:pPr>
        <w:pStyle w:val="SangriaFrancesaArticulo"/>
      </w:pPr>
      <w:r w:rsidRPr="007D5795">
        <w:rPr>
          <w:rStyle w:val="TextoNormalNegritaCaracter"/>
        </w:rPr>
        <w:t>Artículo único apartado 11.</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17EB8A12" w14:textId="02D607E6" w:rsidR="007D5795" w:rsidRDefault="007D5795" w:rsidP="007D5795">
      <w:pPr>
        <w:pStyle w:val="SangriaFrancesaArticulo"/>
      </w:pPr>
      <w:r w:rsidRPr="007D5795">
        <w:rPr>
          <w:rStyle w:val="TextoNormalNegritaCaracter"/>
        </w:rPr>
        <w:t>Artículo único.</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4C59682C" w14:textId="4CE37FA7" w:rsidR="007D5795" w:rsidRDefault="007D5795" w:rsidP="007D5795">
      <w:pPr>
        <w:pStyle w:val="SangriaFrancesaArticulo"/>
      </w:pPr>
      <w:r w:rsidRPr="007D5795">
        <w:rPr>
          <w:rStyle w:val="TextoNormalNegritaCaracter"/>
        </w:rPr>
        <w:t>Artículo único apartado 12.</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26BA6398" w14:textId="5C732D67" w:rsidR="007D5795" w:rsidRDefault="007D5795" w:rsidP="007D5795">
      <w:pPr>
        <w:pStyle w:val="SangriaFrancesaArticulo"/>
      </w:pPr>
      <w:r w:rsidRPr="007D5795">
        <w:rPr>
          <w:rStyle w:val="TextoNormalNegritaCaracter"/>
        </w:rPr>
        <w:t>Disposición final primera.</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3FE39CF4" w14:textId="34E45BE9" w:rsidR="007D5795" w:rsidRDefault="007D5795" w:rsidP="007D5795">
      <w:pPr>
        <w:pStyle w:val="SangriaFrancesaArticulo"/>
      </w:pPr>
      <w:r w:rsidRPr="007D5795">
        <w:rPr>
          <w:rStyle w:val="TextoNormalNegritaCaracter"/>
        </w:rPr>
        <w:t>Disposiciones finales primera y segunda.</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408152E7" w14:textId="6D027861" w:rsidR="007D5795" w:rsidRDefault="007D5795" w:rsidP="007D5795">
      <w:pPr>
        <w:pStyle w:val="SangriaFrancesaArticulo"/>
      </w:pPr>
      <w:r w:rsidRPr="007D5795">
        <w:rPr>
          <w:rStyle w:val="TextoNormalNegritaCaracter"/>
        </w:rPr>
        <w:t>Disposición final segunda.</w:t>
      </w:r>
      <w:r w:rsidRPr="007D5795">
        <w:rPr>
          <w:rStyle w:val="TextoNormalCaracter"/>
        </w:rPr>
        <w:t>-</w:t>
      </w:r>
      <w:r>
        <w:t xml:space="preserve"> Sentencia </w:t>
      </w:r>
      <w:hyperlink w:anchor="SENTENCIA_2024_111" w:history="1">
        <w:r w:rsidRPr="007D5795">
          <w:rPr>
            <w:rStyle w:val="TextoNormalCaracter"/>
          </w:rPr>
          <w:t>111/2024</w:t>
        </w:r>
      </w:hyperlink>
      <w:r>
        <w:t>, f. 2.</w:t>
      </w:r>
    </w:p>
    <w:p w14:paraId="165F69F9" w14:textId="6571240F" w:rsidR="007D5795" w:rsidRDefault="007D5795" w:rsidP="007D5795">
      <w:pPr>
        <w:pStyle w:val="TextoNormal"/>
      </w:pPr>
    </w:p>
    <w:p w14:paraId="7DC7A1F8" w14:textId="77777777" w:rsidR="007D5795" w:rsidRDefault="007D5795" w:rsidP="007D5795">
      <w:pPr>
        <w:pStyle w:val="TextoNormalNegritaCentradoSubrayado"/>
        <w:suppressAutoHyphens/>
      </w:pPr>
      <w:r>
        <w:t>J.1.c) Decretos y otras disposiciones reglamentarias</w:t>
      </w:r>
    </w:p>
    <w:p w14:paraId="25C56260" w14:textId="205BD358" w:rsidR="007D5795" w:rsidRDefault="007D5795" w:rsidP="007D5795">
      <w:pPr>
        <w:pStyle w:val="TextoNormalNegritaCentradoSubrayado"/>
      </w:pPr>
    </w:p>
    <w:p w14:paraId="54C62E28" w14:textId="77777777" w:rsidR="007D5795" w:rsidRDefault="007D5795" w:rsidP="007D5795">
      <w:pPr>
        <w:pStyle w:val="TextoNormalNegritaCursivandice"/>
        <w:keepNext/>
      </w:pPr>
      <w:r>
        <w:t>Comunidad Autónoma de Andalucía. Orden de 22 de mayo de 1998, por la que se dictan normas para la elaboración del presupuesto de la Comunidad Autónoma de Andalucía para 1999</w:t>
      </w:r>
    </w:p>
    <w:p w14:paraId="7440F9F6" w14:textId="13A5666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5" w:history="1">
        <w:r w:rsidRPr="007D5795">
          <w:rPr>
            <w:rStyle w:val="TextoNormalCaracter"/>
          </w:rPr>
          <w:t>95/2024</w:t>
        </w:r>
      </w:hyperlink>
      <w:r>
        <w:t xml:space="preserve">, f. 3; </w:t>
      </w:r>
      <w:hyperlink w:anchor="SENTENCIA_2024_96" w:history="1">
        <w:r w:rsidRPr="007D5795">
          <w:rPr>
            <w:rStyle w:val="TextoNormalCaracter"/>
          </w:rPr>
          <w:t>96/2024</w:t>
        </w:r>
      </w:hyperlink>
      <w:r>
        <w:t xml:space="preserve">, f. 5; </w:t>
      </w:r>
      <w:hyperlink w:anchor="SENTENCIA_2024_97" w:history="1">
        <w:r w:rsidRPr="007D5795">
          <w:rPr>
            <w:rStyle w:val="TextoNormalCaracter"/>
          </w:rPr>
          <w:t>97/2024</w:t>
        </w:r>
      </w:hyperlink>
      <w:r>
        <w:t xml:space="preserve">, ff. 4, 5; </w:t>
      </w:r>
      <w:hyperlink w:anchor="SENTENCIA_2024_100" w:history="1">
        <w:r w:rsidRPr="007D5795">
          <w:rPr>
            <w:rStyle w:val="TextoNormalCaracter"/>
          </w:rPr>
          <w:t>100/2024</w:t>
        </w:r>
      </w:hyperlink>
      <w:r>
        <w:t xml:space="preserve">, f. 4; </w:t>
      </w:r>
      <w:hyperlink w:anchor="SENTENCIA_2024_102" w:history="1">
        <w:r w:rsidRPr="007D5795">
          <w:rPr>
            <w:rStyle w:val="TextoNormalCaracter"/>
          </w:rPr>
          <w:t>102/2024</w:t>
        </w:r>
      </w:hyperlink>
      <w:r>
        <w:t>, f. 4.</w:t>
      </w:r>
    </w:p>
    <w:p w14:paraId="6D998F6F" w14:textId="37207BFA" w:rsidR="007D5795" w:rsidRDefault="007D5795" w:rsidP="007D5795">
      <w:pPr>
        <w:pStyle w:val="SangriaFrancesaArticulo"/>
      </w:pPr>
    </w:p>
    <w:p w14:paraId="257EC500" w14:textId="77777777" w:rsidR="007D5795" w:rsidRDefault="007D5795" w:rsidP="007D5795">
      <w:pPr>
        <w:pStyle w:val="TextoNormalNegritaCursivandice"/>
        <w:keepNext/>
      </w:pPr>
      <w:r>
        <w:t>Comunidad Autónoma de Andalucía. Decreto 9/1999, de 19 de enero, sobre régimen presupuestario, financiero, de control y contable, de las empresas de la Junta de Andalucía</w:t>
      </w:r>
    </w:p>
    <w:p w14:paraId="00A826DF" w14:textId="36F54398" w:rsidR="007D5795" w:rsidRDefault="007D5795" w:rsidP="007D5795">
      <w:pPr>
        <w:pStyle w:val="SangriaFrancesaArticulo"/>
      </w:pPr>
      <w:r w:rsidRPr="007D5795">
        <w:rPr>
          <w:rStyle w:val="TextoNormalNegritaCaracter"/>
        </w:rPr>
        <w:t>Artículo 12.</w:t>
      </w:r>
      <w:r w:rsidRPr="007D5795">
        <w:rPr>
          <w:rStyle w:val="TextoNormalCaracter"/>
        </w:rPr>
        <w:t>-</w:t>
      </w:r>
      <w:r>
        <w:t xml:space="preserve"> Sentencia </w:t>
      </w:r>
      <w:hyperlink w:anchor="SENTENCIA_2024_96" w:history="1">
        <w:r w:rsidRPr="007D5795">
          <w:rPr>
            <w:rStyle w:val="TextoNormalCaracter"/>
          </w:rPr>
          <w:t>96/2024</w:t>
        </w:r>
      </w:hyperlink>
      <w:r>
        <w:t>, f. 7.</w:t>
      </w:r>
    </w:p>
    <w:p w14:paraId="556FE0AC" w14:textId="400AFD67" w:rsidR="007D5795" w:rsidRDefault="007D5795" w:rsidP="007D5795">
      <w:pPr>
        <w:pStyle w:val="SangriaFrancesaArticulo"/>
      </w:pPr>
    </w:p>
    <w:p w14:paraId="03D0EEB7" w14:textId="77777777" w:rsidR="007D5795" w:rsidRDefault="007D5795" w:rsidP="007D5795">
      <w:pPr>
        <w:pStyle w:val="TextoNormalNegritaCursivandice"/>
        <w:keepNext/>
      </w:pPr>
      <w:r>
        <w:t>Comunidad Autónoma de Andalucía. Decreto 137/2000, de 16 de mayo, de estructura orgánica de la Consejería de Economía y Hacienda</w:t>
      </w:r>
    </w:p>
    <w:p w14:paraId="09E546EB" w14:textId="71C48D5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3" w:history="1">
        <w:r w:rsidRPr="007D5795">
          <w:rPr>
            <w:rStyle w:val="TextoNormalCaracter"/>
          </w:rPr>
          <w:t>103/2024</w:t>
        </w:r>
      </w:hyperlink>
      <w:r>
        <w:t>, f. 6.</w:t>
      </w:r>
    </w:p>
    <w:p w14:paraId="3B230C14" w14:textId="4A932452" w:rsidR="007D5795" w:rsidRDefault="007D5795" w:rsidP="007D5795">
      <w:pPr>
        <w:pStyle w:val="SangriaFrancesaArticulo"/>
      </w:pPr>
    </w:p>
    <w:p w14:paraId="511491B5" w14:textId="77777777" w:rsidR="007D5795" w:rsidRDefault="007D5795" w:rsidP="007D5795">
      <w:pPr>
        <w:pStyle w:val="TextoNormalNegritaCursivandice"/>
        <w:keepNext/>
      </w:pPr>
      <w:r>
        <w:t>Comunidad Autónoma de Andalucía. Decreto 254/2001, de 20 de noviembre, por el que se aprueba el Reglamento por el que se regulan los procedimientos para la concesión de subvenciones y ayudas públicas por la administración de la Junta de Andalucía y sus Organismos Autónomos y su régimen jurídico.</w:t>
      </w:r>
    </w:p>
    <w:p w14:paraId="13B72C80" w14:textId="3F2E8BF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00" w:history="1">
        <w:r w:rsidRPr="007D5795">
          <w:rPr>
            <w:rStyle w:val="TextoNormalCaracter"/>
          </w:rPr>
          <w:t>100/2024</w:t>
        </w:r>
      </w:hyperlink>
      <w:r>
        <w:t xml:space="preserve">, f. 6; </w:t>
      </w:r>
      <w:hyperlink w:anchor="SENTENCIA_2024_101" w:history="1">
        <w:r w:rsidRPr="007D5795">
          <w:rPr>
            <w:rStyle w:val="TextoNormalCaracter"/>
          </w:rPr>
          <w:t>101/2024</w:t>
        </w:r>
      </w:hyperlink>
      <w:r>
        <w:t xml:space="preserve">, f. 2; </w:t>
      </w:r>
      <w:hyperlink w:anchor="SENTENCIA_2024_102" w:history="1">
        <w:r w:rsidRPr="007D5795">
          <w:rPr>
            <w:rStyle w:val="TextoNormalCaracter"/>
          </w:rPr>
          <w:t>102/2024</w:t>
        </w:r>
      </w:hyperlink>
      <w:r>
        <w:t>, f. 5.</w:t>
      </w:r>
    </w:p>
    <w:p w14:paraId="7178485E" w14:textId="2E7D306A" w:rsidR="007D5795" w:rsidRDefault="007D5795" w:rsidP="007D5795">
      <w:pPr>
        <w:pStyle w:val="SangriaFrancesaArticulo"/>
      </w:pPr>
    </w:p>
    <w:p w14:paraId="1F720B9F" w14:textId="77777777" w:rsidR="007D5795" w:rsidRDefault="007D5795" w:rsidP="007D5795">
      <w:pPr>
        <w:pStyle w:val="TextoNormalNegritaCursivandice"/>
        <w:keepNext/>
      </w:pPr>
      <w:r>
        <w:t>Comunidad Autónoma de Andalucía. Orden de 1 de abril de 2011, por la que se aprueban las bases reguladoras de las ayudas sociolaborales destinadas a trabajadores y trabajadoras afectados por expedientes de reestructuración de empresas, en el ámbito de la Comunidad Autónoma de Andalucía, y se efectúa su convocatoria para el año 2011</w:t>
      </w:r>
    </w:p>
    <w:p w14:paraId="0902789F" w14:textId="0C1538B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4" w:history="1">
        <w:r w:rsidRPr="007D5795">
          <w:rPr>
            <w:rStyle w:val="TextoNormalCaracter"/>
          </w:rPr>
          <w:t>94/2024</w:t>
        </w:r>
      </w:hyperlink>
      <w:r>
        <w:t xml:space="preserve">, f. 2; </w:t>
      </w:r>
      <w:hyperlink w:anchor="SENTENCIA_2024_96" w:history="1">
        <w:r w:rsidRPr="007D5795">
          <w:rPr>
            <w:rStyle w:val="TextoNormalCaracter"/>
          </w:rPr>
          <w:t>96/2024</w:t>
        </w:r>
      </w:hyperlink>
      <w:r>
        <w:t xml:space="preserve">, f. 2; </w:t>
      </w:r>
      <w:hyperlink w:anchor="SENTENCIA_2024_97" w:history="1">
        <w:r w:rsidRPr="007D5795">
          <w:rPr>
            <w:rStyle w:val="TextoNormalCaracter"/>
          </w:rPr>
          <w:t>97/2024</w:t>
        </w:r>
      </w:hyperlink>
      <w:r>
        <w:t xml:space="preserve">, f. 2; </w:t>
      </w:r>
      <w:hyperlink w:anchor="SENTENCIA_2024_98" w:history="1">
        <w:r w:rsidRPr="007D5795">
          <w:rPr>
            <w:rStyle w:val="TextoNormalCaracter"/>
          </w:rPr>
          <w:t>98/2024</w:t>
        </w:r>
      </w:hyperlink>
      <w:r>
        <w:t xml:space="preserve">, f. 2; </w:t>
      </w:r>
      <w:hyperlink w:anchor="SENTENCIA_2024_99" w:history="1">
        <w:r w:rsidRPr="007D5795">
          <w:rPr>
            <w:rStyle w:val="TextoNormalCaracter"/>
          </w:rPr>
          <w:t>99/2024</w:t>
        </w:r>
      </w:hyperlink>
      <w:r>
        <w:t xml:space="preserve">, f. 2; </w:t>
      </w:r>
      <w:hyperlink w:anchor="SENTENCIA_2024_101" w:history="1">
        <w:r w:rsidRPr="007D5795">
          <w:rPr>
            <w:rStyle w:val="TextoNormalCaracter"/>
          </w:rPr>
          <w:t>101/2024</w:t>
        </w:r>
      </w:hyperlink>
      <w:r>
        <w:t xml:space="preserve">, f. 2; </w:t>
      </w:r>
      <w:hyperlink w:anchor="SENTENCIA_2024_102" w:history="1">
        <w:r w:rsidRPr="007D5795">
          <w:rPr>
            <w:rStyle w:val="TextoNormalCaracter"/>
          </w:rPr>
          <w:t>102/2024</w:t>
        </w:r>
      </w:hyperlink>
      <w:r>
        <w:t xml:space="preserve">, f. 2; </w:t>
      </w:r>
      <w:hyperlink w:anchor="SENTENCIA_2024_103" w:history="1">
        <w:r w:rsidRPr="007D5795">
          <w:rPr>
            <w:rStyle w:val="TextoNormalCaracter"/>
          </w:rPr>
          <w:t>103/2024</w:t>
        </w:r>
      </w:hyperlink>
      <w:r>
        <w:t>, f. 2.</w:t>
      </w:r>
    </w:p>
    <w:p w14:paraId="7B620014" w14:textId="79A9FAAB" w:rsidR="007D5795" w:rsidRDefault="007D5795" w:rsidP="007D5795">
      <w:pPr>
        <w:pStyle w:val="SangriaFrancesaArticulo"/>
      </w:pPr>
    </w:p>
    <w:p w14:paraId="721A5920" w14:textId="77777777" w:rsidR="007D5795" w:rsidRDefault="007D5795" w:rsidP="007D5795">
      <w:pPr>
        <w:pStyle w:val="TextoNormalNegritaCursivandice"/>
        <w:keepNext/>
      </w:pPr>
      <w:r>
        <w:t>Comunidad Autónoma de Andalucía. Orden de 13 de marzo de 2012, por la que se establecen las bases reguladoras y convocatoria para la concesión de subvenciones en régimen de concurrencia no competitiva destinadas a las personas trabajadoras beneficiarias de una ayuda sociolaboral en virtud de un expediente de reestructuración de empresa en el ámbito de la Comunidad Autónoma de Andalucía, afectadas por la situación de liquidación de la Compañía Aseguradora APRA LEVEN, N.V.</w:t>
      </w:r>
    </w:p>
    <w:p w14:paraId="6F3BB122" w14:textId="0AC40A5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4" w:history="1">
        <w:r w:rsidRPr="007D5795">
          <w:rPr>
            <w:rStyle w:val="TextoNormalCaracter"/>
          </w:rPr>
          <w:t>94/2024</w:t>
        </w:r>
      </w:hyperlink>
      <w:r>
        <w:t xml:space="preserve">, f. 2; </w:t>
      </w:r>
      <w:hyperlink w:anchor="SENTENCIA_2024_95" w:history="1">
        <w:r w:rsidRPr="007D5795">
          <w:rPr>
            <w:rStyle w:val="TextoNormalCaracter"/>
          </w:rPr>
          <w:t>95/2024</w:t>
        </w:r>
      </w:hyperlink>
      <w:r>
        <w:t xml:space="preserve">, f. 2; </w:t>
      </w:r>
      <w:hyperlink w:anchor="SENTENCIA_2024_96" w:history="1">
        <w:r w:rsidRPr="007D5795">
          <w:rPr>
            <w:rStyle w:val="TextoNormalCaracter"/>
          </w:rPr>
          <w:t>96/2024</w:t>
        </w:r>
      </w:hyperlink>
      <w:r>
        <w:t xml:space="preserve">, f. 2; </w:t>
      </w:r>
      <w:hyperlink w:anchor="SENTENCIA_2024_97" w:history="1">
        <w:r w:rsidRPr="007D5795">
          <w:rPr>
            <w:rStyle w:val="TextoNormalCaracter"/>
          </w:rPr>
          <w:t>97/2024</w:t>
        </w:r>
      </w:hyperlink>
      <w:r>
        <w:t xml:space="preserve">, f. 2; </w:t>
      </w:r>
      <w:hyperlink w:anchor="SENTENCIA_2024_98" w:history="1">
        <w:r w:rsidRPr="007D5795">
          <w:rPr>
            <w:rStyle w:val="TextoNormalCaracter"/>
          </w:rPr>
          <w:t>98/2024</w:t>
        </w:r>
      </w:hyperlink>
      <w:r>
        <w:t xml:space="preserve">, f. 2; </w:t>
      </w:r>
      <w:hyperlink w:anchor="SENTENCIA_2024_99" w:history="1">
        <w:r w:rsidRPr="007D5795">
          <w:rPr>
            <w:rStyle w:val="TextoNormalCaracter"/>
          </w:rPr>
          <w:t>99/2024</w:t>
        </w:r>
      </w:hyperlink>
      <w:r>
        <w:t xml:space="preserve">, f. 2; </w:t>
      </w:r>
      <w:hyperlink w:anchor="SENTENCIA_2024_101" w:history="1">
        <w:r w:rsidRPr="007D5795">
          <w:rPr>
            <w:rStyle w:val="TextoNormalCaracter"/>
          </w:rPr>
          <w:t>101/2024</w:t>
        </w:r>
      </w:hyperlink>
      <w:r>
        <w:t xml:space="preserve">, f. 2; </w:t>
      </w:r>
      <w:hyperlink w:anchor="SENTENCIA_2024_102" w:history="1">
        <w:r w:rsidRPr="007D5795">
          <w:rPr>
            <w:rStyle w:val="TextoNormalCaracter"/>
          </w:rPr>
          <w:t>102/2024</w:t>
        </w:r>
      </w:hyperlink>
      <w:r>
        <w:t xml:space="preserve">, f. 2; </w:t>
      </w:r>
      <w:hyperlink w:anchor="SENTENCIA_2024_103" w:history="1">
        <w:r w:rsidRPr="007D5795">
          <w:rPr>
            <w:rStyle w:val="TextoNormalCaracter"/>
          </w:rPr>
          <w:t>103/2024</w:t>
        </w:r>
      </w:hyperlink>
      <w:r>
        <w:t>, f. 2.</w:t>
      </w:r>
    </w:p>
    <w:p w14:paraId="030B1AB8" w14:textId="5C0CB9AB" w:rsidR="007D5795" w:rsidRDefault="007D5795" w:rsidP="007D5795">
      <w:pPr>
        <w:pStyle w:val="SangriaFrancesaArticulo"/>
      </w:pPr>
    </w:p>
    <w:p w14:paraId="2C3DA9D3" w14:textId="77777777" w:rsidR="007D5795" w:rsidRDefault="007D5795" w:rsidP="007D5795">
      <w:pPr>
        <w:pStyle w:val="TextoNormalNegritaCursivandice"/>
        <w:keepNext/>
      </w:pPr>
      <w:r>
        <w:t>Comunidad Autónoma de Andalucía. Orden de 16 de marzo de 2012, por la que se modifica la Orden de 1 de abril de 2011, por la que se aprueban las bases reguladoras de las ayudas sociolaborales destinadas a trabajadores y trabajadoras afectadas por expedientes de reestructuración de empresas, en el ámbito de la Comunidad Autónoma de Andalucía, y efectúa su convocatoria para el año 2011, y se procede a una nueva convocatoria para el año 2012</w:t>
      </w:r>
    </w:p>
    <w:p w14:paraId="67ACD8E2" w14:textId="31FE110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4" w:history="1">
        <w:r w:rsidRPr="007D5795">
          <w:rPr>
            <w:rStyle w:val="TextoNormalCaracter"/>
          </w:rPr>
          <w:t>94/2024</w:t>
        </w:r>
      </w:hyperlink>
      <w:r>
        <w:t xml:space="preserve">, f. 2; </w:t>
      </w:r>
      <w:hyperlink w:anchor="SENTENCIA_2024_95" w:history="1">
        <w:r w:rsidRPr="007D5795">
          <w:rPr>
            <w:rStyle w:val="TextoNormalCaracter"/>
          </w:rPr>
          <w:t>95/2024</w:t>
        </w:r>
      </w:hyperlink>
      <w:r>
        <w:t xml:space="preserve">, f. 2; </w:t>
      </w:r>
      <w:hyperlink w:anchor="SENTENCIA_2024_96" w:history="1">
        <w:r w:rsidRPr="007D5795">
          <w:rPr>
            <w:rStyle w:val="TextoNormalCaracter"/>
          </w:rPr>
          <w:t>96/2024</w:t>
        </w:r>
      </w:hyperlink>
      <w:r>
        <w:t xml:space="preserve">, f. 2; </w:t>
      </w:r>
      <w:hyperlink w:anchor="SENTENCIA_2024_97" w:history="1">
        <w:r w:rsidRPr="007D5795">
          <w:rPr>
            <w:rStyle w:val="TextoNormalCaracter"/>
          </w:rPr>
          <w:t>97/2024</w:t>
        </w:r>
      </w:hyperlink>
      <w:r>
        <w:t xml:space="preserve">, f. 2; </w:t>
      </w:r>
      <w:hyperlink w:anchor="SENTENCIA_2024_98" w:history="1">
        <w:r w:rsidRPr="007D5795">
          <w:rPr>
            <w:rStyle w:val="TextoNormalCaracter"/>
          </w:rPr>
          <w:t>98/2024</w:t>
        </w:r>
      </w:hyperlink>
      <w:r>
        <w:t xml:space="preserve">, f. 2; </w:t>
      </w:r>
      <w:hyperlink w:anchor="SENTENCIA_2024_99" w:history="1">
        <w:r w:rsidRPr="007D5795">
          <w:rPr>
            <w:rStyle w:val="TextoNormalCaracter"/>
          </w:rPr>
          <w:t>99/2024</w:t>
        </w:r>
      </w:hyperlink>
      <w:r>
        <w:t xml:space="preserve">, f. 2; </w:t>
      </w:r>
      <w:hyperlink w:anchor="SENTENCIA_2024_101" w:history="1">
        <w:r w:rsidRPr="007D5795">
          <w:rPr>
            <w:rStyle w:val="TextoNormalCaracter"/>
          </w:rPr>
          <w:t>101/2024</w:t>
        </w:r>
      </w:hyperlink>
      <w:r>
        <w:t xml:space="preserve">, f. 2; </w:t>
      </w:r>
      <w:hyperlink w:anchor="SENTENCIA_2024_102" w:history="1">
        <w:r w:rsidRPr="007D5795">
          <w:rPr>
            <w:rStyle w:val="TextoNormalCaracter"/>
          </w:rPr>
          <w:t>102/2024</w:t>
        </w:r>
      </w:hyperlink>
      <w:r>
        <w:t xml:space="preserve">, f. 2; </w:t>
      </w:r>
      <w:hyperlink w:anchor="SENTENCIA_2024_103" w:history="1">
        <w:r w:rsidRPr="007D5795">
          <w:rPr>
            <w:rStyle w:val="TextoNormalCaracter"/>
          </w:rPr>
          <w:t>103/2024</w:t>
        </w:r>
      </w:hyperlink>
      <w:r>
        <w:t>, f. 2.</w:t>
      </w:r>
    </w:p>
    <w:p w14:paraId="68805368" w14:textId="1E0CAF46" w:rsidR="007D5795" w:rsidRDefault="007D5795" w:rsidP="007D5795">
      <w:pPr>
        <w:pStyle w:val="TextoNormal"/>
      </w:pPr>
    </w:p>
    <w:p w14:paraId="19D13A91" w14:textId="77777777" w:rsidR="007D5795" w:rsidRDefault="007D5795" w:rsidP="007D5795">
      <w:pPr>
        <w:pStyle w:val="TextoNormalNegritaCentradoSubrayado"/>
        <w:suppressAutoHyphens/>
      </w:pPr>
      <w:r>
        <w:t>J.1.d) Disposiciones parlamentarias autonómicas</w:t>
      </w:r>
    </w:p>
    <w:p w14:paraId="594E88A4" w14:textId="34DCE886" w:rsidR="007D5795" w:rsidRDefault="007D5795" w:rsidP="007D5795">
      <w:pPr>
        <w:pStyle w:val="TextoNormalNegritaCentradoSubrayado"/>
      </w:pPr>
    </w:p>
    <w:p w14:paraId="7306F392" w14:textId="77777777" w:rsidR="007D5795" w:rsidRDefault="007D5795" w:rsidP="007D5795">
      <w:pPr>
        <w:pStyle w:val="TextoNormalNegritaCursivandice"/>
        <w:keepNext/>
      </w:pPr>
      <w:r>
        <w:t>Comunidad Autónoma de Andalucía. Reglamento del Parlamento de Andalucía, de 28 de septiembre de 2005</w:t>
      </w:r>
    </w:p>
    <w:p w14:paraId="175E3FC1" w14:textId="1C9CC00F" w:rsidR="007D5795" w:rsidRDefault="007D5795" w:rsidP="007D5795">
      <w:pPr>
        <w:pStyle w:val="SangriaFrancesaArticulo"/>
      </w:pPr>
      <w:r w:rsidRPr="007D5795">
        <w:rPr>
          <w:rStyle w:val="TextoNormalNegritaCaracter"/>
        </w:rPr>
        <w:t>Artículo 108.</w:t>
      </w:r>
      <w:r w:rsidRPr="007D5795">
        <w:rPr>
          <w:rStyle w:val="TextoNormalCaracter"/>
        </w:rPr>
        <w:t>-</w:t>
      </w:r>
      <w:r>
        <w:t xml:space="preserve"> Sentencias </w:t>
      </w:r>
      <w:hyperlink w:anchor="SENTENCIA_2024_97" w:history="1">
        <w:r w:rsidRPr="007D5795">
          <w:rPr>
            <w:rStyle w:val="TextoNormalCaracter"/>
          </w:rPr>
          <w:t>97/2024</w:t>
        </w:r>
      </w:hyperlink>
      <w:r>
        <w:t xml:space="preserve">, VP IV; </w:t>
      </w:r>
      <w:hyperlink w:anchor="SENTENCIA_2024_98" w:history="1">
        <w:r w:rsidRPr="007D5795">
          <w:rPr>
            <w:rStyle w:val="TextoNormalCaracter"/>
          </w:rPr>
          <w:t>98/2024</w:t>
        </w:r>
      </w:hyperlink>
      <w:r>
        <w:t>, VP III.</w:t>
      </w:r>
    </w:p>
    <w:p w14:paraId="15691D75" w14:textId="58B8CD20" w:rsidR="007D5795" w:rsidRDefault="007D5795" w:rsidP="007D5795">
      <w:pPr>
        <w:pStyle w:val="SangriaFrancesaArticulo"/>
      </w:pPr>
      <w:r w:rsidRPr="007D5795">
        <w:rPr>
          <w:rStyle w:val="TextoNormalNegritaCaracter"/>
        </w:rPr>
        <w:t>Artículo 129.3.</w:t>
      </w:r>
      <w:r w:rsidRPr="007D5795">
        <w:rPr>
          <w:rStyle w:val="TextoNormalCaracter"/>
        </w:rPr>
        <w:t>-</w:t>
      </w:r>
      <w:r>
        <w:t xml:space="preserve"> Sentencias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xml:space="preserve">, VP I, VP III; </w:t>
      </w:r>
      <w:hyperlink w:anchor="SENTENCIA_2024_103" w:history="1">
        <w:r w:rsidRPr="007D5795">
          <w:rPr>
            <w:rStyle w:val="TextoNormalCaracter"/>
          </w:rPr>
          <w:t>103/2024</w:t>
        </w:r>
      </w:hyperlink>
      <w:r>
        <w:t>, VP I.</w:t>
      </w:r>
    </w:p>
    <w:p w14:paraId="1763B743" w14:textId="38297BF9" w:rsidR="007D5795" w:rsidRDefault="007D5795" w:rsidP="007D5795">
      <w:pPr>
        <w:pStyle w:val="SangriaFrancesaArticulo"/>
      </w:pPr>
      <w:r w:rsidRPr="007D5795">
        <w:rPr>
          <w:rStyle w:val="TextoNormalNegritaCaracter"/>
        </w:rPr>
        <w:t>Artículo 130.</w:t>
      </w:r>
      <w:r w:rsidRPr="007D5795">
        <w:rPr>
          <w:rStyle w:val="TextoNormalCaracter"/>
        </w:rPr>
        <w:t>-</w:t>
      </w:r>
      <w:r>
        <w:t xml:space="preserve"> Sentencias </w:t>
      </w:r>
      <w:hyperlink w:anchor="SENTENCIA_2024_94" w:history="1">
        <w:r w:rsidRPr="007D5795">
          <w:rPr>
            <w:rStyle w:val="TextoNormalCaracter"/>
          </w:rPr>
          <w:t>94/2024</w:t>
        </w:r>
      </w:hyperlink>
      <w:r>
        <w:t xml:space="preserve">, f. 4; </w:t>
      </w:r>
      <w:hyperlink w:anchor="SENTENCIA_2024_103" w:history="1">
        <w:r w:rsidRPr="007D5795">
          <w:rPr>
            <w:rStyle w:val="TextoNormalCaracter"/>
          </w:rPr>
          <w:t>103/2024</w:t>
        </w:r>
      </w:hyperlink>
      <w:r>
        <w:t>, f. 4.</w:t>
      </w:r>
    </w:p>
    <w:p w14:paraId="1C5A82A4" w14:textId="57529D27" w:rsidR="007D5795" w:rsidRDefault="007D5795" w:rsidP="007D5795">
      <w:pPr>
        <w:pStyle w:val="TextoNormal"/>
      </w:pPr>
    </w:p>
    <w:p w14:paraId="3D06CDDA" w14:textId="77777777" w:rsidR="007D5795" w:rsidRDefault="007D5795" w:rsidP="007D5795">
      <w:pPr>
        <w:pStyle w:val="TextoNormalNegritaCentrado"/>
        <w:suppressAutoHyphens/>
      </w:pPr>
      <w:r w:rsidRPr="007D5795">
        <w:rPr>
          <w:rStyle w:val="TextoNormalNegritaCentradoSombreado"/>
        </w:rPr>
        <w:t>J.2) Aragón</w:t>
      </w:r>
    </w:p>
    <w:p w14:paraId="55DF81BC" w14:textId="7A80DF63" w:rsidR="007D5795" w:rsidRDefault="007D5795" w:rsidP="007D5795">
      <w:pPr>
        <w:pStyle w:val="TextoNormal"/>
      </w:pPr>
    </w:p>
    <w:p w14:paraId="300AD620" w14:textId="77777777" w:rsidR="007D5795" w:rsidRDefault="007D5795" w:rsidP="007D5795">
      <w:pPr>
        <w:pStyle w:val="TextoNormalNegritaCentradoSubrayado"/>
        <w:suppressAutoHyphens/>
      </w:pPr>
      <w:r>
        <w:t>J.2.a) Estatuto de Autonomía</w:t>
      </w:r>
    </w:p>
    <w:p w14:paraId="0E4CDF17" w14:textId="36171EF1" w:rsidR="007D5795" w:rsidRDefault="007D5795" w:rsidP="007D5795">
      <w:pPr>
        <w:pStyle w:val="TextoNormalNegritaCentradoSubrayado"/>
      </w:pPr>
    </w:p>
    <w:p w14:paraId="31218212" w14:textId="77777777" w:rsidR="007D5795" w:rsidRDefault="007D5795" w:rsidP="007D5795">
      <w:pPr>
        <w:pStyle w:val="TextoNormalNegritaCursivandice"/>
        <w:keepNext/>
      </w:pPr>
      <w:r>
        <w:t>Ley Orgánica 5/2007, de 20 de abril, de reforma del Estatuto de Autonomía de Aragón</w:t>
      </w:r>
    </w:p>
    <w:p w14:paraId="7E829A04" w14:textId="7599A3CC" w:rsidR="007D5795" w:rsidRDefault="007D5795" w:rsidP="007D5795">
      <w:pPr>
        <w:pStyle w:val="SangriaFrancesaArticulo"/>
      </w:pPr>
      <w:r w:rsidRPr="007D5795">
        <w:rPr>
          <w:rStyle w:val="TextoNormalNegritaCaracter"/>
        </w:rPr>
        <w:t>Artículo 44.</w:t>
      </w:r>
      <w:r w:rsidRPr="007D5795">
        <w:rPr>
          <w:rStyle w:val="TextoNormalCaracter"/>
        </w:rPr>
        <w:t>-</w:t>
      </w:r>
      <w:r>
        <w:t xml:space="preserve"> Sentencia </w:t>
      </w:r>
      <w:hyperlink w:anchor="SENTENCIA_2024_113" w:history="1">
        <w:r w:rsidRPr="007D5795">
          <w:rPr>
            <w:rStyle w:val="TextoNormalCaracter"/>
          </w:rPr>
          <w:t>113/2024</w:t>
        </w:r>
      </w:hyperlink>
      <w:r>
        <w:t>, f. 2.</w:t>
      </w:r>
    </w:p>
    <w:p w14:paraId="7197A5D2" w14:textId="37FD052C" w:rsidR="007D5795" w:rsidRDefault="007D5795" w:rsidP="007D5795">
      <w:pPr>
        <w:pStyle w:val="SangriaFrancesaArticulo"/>
      </w:pPr>
      <w:r w:rsidRPr="007D5795">
        <w:rPr>
          <w:rStyle w:val="TextoNormalNegritaCaracter"/>
        </w:rPr>
        <w:t>Artículo 75.4.</w:t>
      </w:r>
      <w:r w:rsidRPr="007D5795">
        <w:rPr>
          <w:rStyle w:val="TextoNormalCaracter"/>
        </w:rPr>
        <w:t>-</w:t>
      </w:r>
      <w:r>
        <w:t xml:space="preserve"> Sentencia </w:t>
      </w:r>
      <w:hyperlink w:anchor="SENTENCIA_2024_113" w:history="1">
        <w:r w:rsidRPr="007D5795">
          <w:rPr>
            <w:rStyle w:val="TextoNormalCaracter"/>
          </w:rPr>
          <w:t>113/2024</w:t>
        </w:r>
      </w:hyperlink>
      <w:r>
        <w:t>, f. 4.</w:t>
      </w:r>
    </w:p>
    <w:p w14:paraId="4F01714C" w14:textId="05643D7D" w:rsidR="007D5795" w:rsidRDefault="007D5795" w:rsidP="007D5795">
      <w:pPr>
        <w:pStyle w:val="TextoNormal"/>
      </w:pPr>
    </w:p>
    <w:p w14:paraId="3F448A09" w14:textId="77777777" w:rsidR="007D5795" w:rsidRDefault="007D5795" w:rsidP="007D5795">
      <w:pPr>
        <w:pStyle w:val="TextoNormalNegritaCentradoSubrayado"/>
        <w:suppressAutoHyphens/>
      </w:pPr>
      <w:r>
        <w:t>J.2.b) Leyes y disposiciones con fuerza de Ley</w:t>
      </w:r>
    </w:p>
    <w:p w14:paraId="3D243AF0" w14:textId="31F5D6F7" w:rsidR="007D5795" w:rsidRDefault="007D5795" w:rsidP="007D5795">
      <w:pPr>
        <w:pStyle w:val="TextoNormalNegritaCentradoSubrayado"/>
      </w:pPr>
    </w:p>
    <w:p w14:paraId="41CF355C" w14:textId="77777777" w:rsidR="007D5795" w:rsidRDefault="007D5795" w:rsidP="007D5795">
      <w:pPr>
        <w:pStyle w:val="TextoNormalNegritaCursivandice"/>
        <w:keepNext/>
      </w:pPr>
      <w:r>
        <w:t>Ley de las Cortes de Aragón 10/2016, de 1 de diciembre. Medidas de emergencia en relación con las prestaciones económicas del sistema público de servicios sociales y con el acceso a la vivienda</w:t>
      </w:r>
    </w:p>
    <w:p w14:paraId="5A7FA47C" w14:textId="5DE82B0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1A4E9E6D" w14:textId="55207D9C" w:rsidR="007D5795" w:rsidRDefault="007D5795" w:rsidP="007D5795">
      <w:pPr>
        <w:pStyle w:val="SangriaFrancesaArticulo"/>
      </w:pPr>
    </w:p>
    <w:p w14:paraId="2CA94DDC" w14:textId="77777777" w:rsidR="007D5795" w:rsidRDefault="007D5795" w:rsidP="007D5795">
      <w:pPr>
        <w:pStyle w:val="TextoNormalNegritaCursivandice"/>
        <w:keepNext/>
      </w:pPr>
      <w:r>
        <w:t>Comunidad Autónoma de Aragón. Decreto-ley 1/2023, de 20 de marzo, de medidas urgentes para el impulso de la transición energética y el consumo de cercanía en Aragón</w:t>
      </w:r>
    </w:p>
    <w:p w14:paraId="52E2F8A2" w14:textId="23FDCB6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3" w:history="1">
        <w:r w:rsidRPr="007D5795">
          <w:rPr>
            <w:rStyle w:val="TextoNormalCaracter"/>
          </w:rPr>
          <w:t>113/2024</w:t>
        </w:r>
      </w:hyperlink>
      <w:r>
        <w:t>, ff. 2 a 5.</w:t>
      </w:r>
    </w:p>
    <w:p w14:paraId="510AB971" w14:textId="11462E4D" w:rsidR="007D5795" w:rsidRDefault="007D5795" w:rsidP="007D5795">
      <w:pPr>
        <w:pStyle w:val="SangriaFrancesaArticulo"/>
      </w:pPr>
      <w:r w:rsidRPr="007D5795">
        <w:rPr>
          <w:rStyle w:val="TextoNormalNegritaCaracter"/>
        </w:rPr>
        <w:t>Preámbulo.</w:t>
      </w:r>
      <w:r w:rsidRPr="007D5795">
        <w:rPr>
          <w:rStyle w:val="TextoNormalCaracter"/>
        </w:rPr>
        <w:t>-</w:t>
      </w:r>
      <w:r>
        <w:t xml:space="preserve"> Sentencia </w:t>
      </w:r>
      <w:hyperlink w:anchor="SENTENCIA_2024_113" w:history="1">
        <w:r w:rsidRPr="007D5795">
          <w:rPr>
            <w:rStyle w:val="TextoNormalCaracter"/>
          </w:rPr>
          <w:t>113/2024</w:t>
        </w:r>
      </w:hyperlink>
      <w:r>
        <w:t>, f. 3.</w:t>
      </w:r>
    </w:p>
    <w:p w14:paraId="33563071" w14:textId="354E9F07" w:rsidR="007D5795" w:rsidRDefault="007D5795" w:rsidP="007D5795">
      <w:pPr>
        <w:pStyle w:val="SangriaFrancesaArticulo"/>
      </w:pPr>
      <w:r w:rsidRPr="007D5795">
        <w:rPr>
          <w:rStyle w:val="TextoNormalNegritaCaracter"/>
        </w:rPr>
        <w:t>Preámbulo, apartado I.</w:t>
      </w:r>
      <w:r w:rsidRPr="007D5795">
        <w:rPr>
          <w:rStyle w:val="TextoNormalCaracter"/>
        </w:rPr>
        <w:t>-</w:t>
      </w:r>
      <w:r>
        <w:t xml:space="preserve"> Sentencia </w:t>
      </w:r>
      <w:hyperlink w:anchor="SENTENCIA_2024_113" w:history="1">
        <w:r w:rsidRPr="007D5795">
          <w:rPr>
            <w:rStyle w:val="TextoNormalCaracter"/>
          </w:rPr>
          <w:t>113/2024</w:t>
        </w:r>
      </w:hyperlink>
      <w:r>
        <w:t>, ff. 3, 4.</w:t>
      </w:r>
    </w:p>
    <w:p w14:paraId="0BF147DD" w14:textId="7D0C9836" w:rsidR="007D5795" w:rsidRDefault="007D5795" w:rsidP="007D5795">
      <w:pPr>
        <w:pStyle w:val="SangriaFrancesaArticulo"/>
      </w:pPr>
      <w:r w:rsidRPr="007D5795">
        <w:rPr>
          <w:rStyle w:val="TextoNormalNegritaCaracter"/>
        </w:rPr>
        <w:t>Preámbulo, apartado III.</w:t>
      </w:r>
      <w:r w:rsidRPr="007D5795">
        <w:rPr>
          <w:rStyle w:val="TextoNormalCaracter"/>
        </w:rPr>
        <w:t>-</w:t>
      </w:r>
      <w:r>
        <w:t xml:space="preserve"> Sentencia </w:t>
      </w:r>
      <w:hyperlink w:anchor="SENTENCIA_2024_113" w:history="1">
        <w:r w:rsidRPr="007D5795">
          <w:rPr>
            <w:rStyle w:val="TextoNormalCaracter"/>
          </w:rPr>
          <w:t>113/2024</w:t>
        </w:r>
      </w:hyperlink>
      <w:r>
        <w:t>, ff. 3, 4.</w:t>
      </w:r>
    </w:p>
    <w:p w14:paraId="695A20C9" w14:textId="2BEFAF1D" w:rsidR="007D5795" w:rsidRDefault="007D5795" w:rsidP="007D5795">
      <w:pPr>
        <w:pStyle w:val="SangriaFrancesaArticulo"/>
      </w:pPr>
      <w:r w:rsidRPr="007D5795">
        <w:rPr>
          <w:rStyle w:val="TextoNormalNegritaCaracter"/>
        </w:rPr>
        <w:t>Preámbulo, apartado VII.</w:t>
      </w:r>
      <w:r w:rsidRPr="007D5795">
        <w:rPr>
          <w:rStyle w:val="TextoNormalCaracter"/>
        </w:rPr>
        <w:t>-</w:t>
      </w:r>
      <w:r>
        <w:t xml:space="preserve"> Sentencia </w:t>
      </w:r>
      <w:hyperlink w:anchor="SENTENCIA_2024_113" w:history="1">
        <w:r w:rsidRPr="007D5795">
          <w:rPr>
            <w:rStyle w:val="TextoNormalCaracter"/>
          </w:rPr>
          <w:t>113/2024</w:t>
        </w:r>
      </w:hyperlink>
      <w:r>
        <w:t>, ff. 3, 4.</w:t>
      </w:r>
    </w:p>
    <w:p w14:paraId="07042849" w14:textId="286E8E45" w:rsidR="007D5795" w:rsidRDefault="007D5795" w:rsidP="007D5795">
      <w:pPr>
        <w:pStyle w:val="SangriaFrancesaArticulo"/>
      </w:pPr>
      <w:r w:rsidRPr="007D5795">
        <w:rPr>
          <w:rStyle w:val="TextoNormalNegritaCaracter"/>
        </w:rPr>
        <w:t>Artículo 4.</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1835A21E" w14:textId="0A5FD7EF" w:rsidR="007D5795" w:rsidRDefault="007D5795" w:rsidP="007D5795">
      <w:pPr>
        <w:pStyle w:val="SangriaFrancesaArticulo"/>
      </w:pPr>
      <w:r w:rsidRPr="007D5795">
        <w:rPr>
          <w:rStyle w:val="TextoNormalNegritaCaracter"/>
        </w:rPr>
        <w:t>Artículo 5 apartados 1, 2, 4.</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4EE55045" w14:textId="1B09E0F4" w:rsidR="007D5795" w:rsidRDefault="007D5795" w:rsidP="007D5795">
      <w:pPr>
        <w:pStyle w:val="SangriaFrancesaArticulo"/>
      </w:pPr>
      <w:r w:rsidRPr="007D5795">
        <w:rPr>
          <w:rStyle w:val="TextoNormalNegritaCaracter"/>
        </w:rPr>
        <w:t>Artículo 6.</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4BE5AD2E" w14:textId="67B69022" w:rsidR="007D5795" w:rsidRDefault="007D5795" w:rsidP="007D5795">
      <w:pPr>
        <w:pStyle w:val="SangriaFrancesaArticulo"/>
      </w:pPr>
      <w:r w:rsidRPr="007D5795">
        <w:rPr>
          <w:rStyle w:val="TextoNormalNegritaCaracter"/>
        </w:rPr>
        <w:t>Artículo 7 apartados 1, 2, 3 epígrafes a), b), c).</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667672E4" w14:textId="5881A33E" w:rsidR="007D5795" w:rsidRDefault="007D5795" w:rsidP="007D5795">
      <w:pPr>
        <w:pStyle w:val="SangriaFrancesaArticulo"/>
      </w:pPr>
      <w:r w:rsidRPr="007D5795">
        <w:rPr>
          <w:rStyle w:val="TextoNormalNegritaCaracter"/>
        </w:rPr>
        <w:t>Artículo 12 apartados 2 inciso "Las redes interiores podrán establecerse en cualquier nivel de tensión a efectos de autoconsumo", 3 inciso "y a establecer y operar redes interiores de cualquier nivel de tension para establecer sistemas de autoconsumo".</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60CD241E" w14:textId="6D01EA68" w:rsidR="007D5795" w:rsidRDefault="007D5795" w:rsidP="007D5795">
      <w:pPr>
        <w:pStyle w:val="SangriaFrancesaArticulo"/>
      </w:pPr>
      <w:r w:rsidRPr="007D5795">
        <w:rPr>
          <w:rStyle w:val="TextoNormalNegritaCaracter"/>
        </w:rPr>
        <w:t>Artículo 13 apartados 2, 3, 4.</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6FF0B83D" w14:textId="479A7C69" w:rsidR="007D5795" w:rsidRDefault="007D5795" w:rsidP="007D5795">
      <w:pPr>
        <w:pStyle w:val="SangriaFrancesaArticulo"/>
      </w:pPr>
      <w:r w:rsidRPr="007D5795">
        <w:rPr>
          <w:rStyle w:val="TextoNormalNegritaCaracter"/>
        </w:rPr>
        <w:t>Artículo 19.</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068EF214" w14:textId="75CAC9CA" w:rsidR="007D5795" w:rsidRDefault="007D5795" w:rsidP="007D5795">
      <w:pPr>
        <w:pStyle w:val="SangriaFrancesaArticulo"/>
      </w:pPr>
      <w:r w:rsidRPr="007D5795">
        <w:rPr>
          <w:rStyle w:val="TextoNormalNegritaCaracter"/>
        </w:rPr>
        <w:t>Artículo 22.2.</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6E5F8BFA" w14:textId="1A067341" w:rsidR="007D5795" w:rsidRDefault="007D5795" w:rsidP="007D5795">
      <w:pPr>
        <w:pStyle w:val="SangriaFrancesaArticulo"/>
      </w:pPr>
      <w:r w:rsidRPr="007D5795">
        <w:rPr>
          <w:rStyle w:val="TextoNormalNegritaCaracter"/>
        </w:rPr>
        <w:t>Artículo 33.</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4DB30256" w14:textId="372D2BC8" w:rsidR="007D5795" w:rsidRDefault="007D5795" w:rsidP="007D5795">
      <w:pPr>
        <w:pStyle w:val="SangriaFrancesaArticulo"/>
      </w:pPr>
      <w:r w:rsidRPr="007D5795">
        <w:rPr>
          <w:rStyle w:val="TextoNormalNegritaCaracter"/>
        </w:rPr>
        <w:t>Artículo 38.</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5EBC538F" w14:textId="6794562B" w:rsidR="007D5795" w:rsidRDefault="007D5795" w:rsidP="007D5795">
      <w:pPr>
        <w:pStyle w:val="SangriaFrancesaArticulo"/>
      </w:pPr>
      <w:r w:rsidRPr="007D5795">
        <w:rPr>
          <w:rStyle w:val="TextoNormalNegritaCaracter"/>
        </w:rPr>
        <w:t>Artículo 39.</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75534F91" w14:textId="62685991" w:rsidR="007D5795" w:rsidRDefault="007D5795" w:rsidP="007D5795">
      <w:pPr>
        <w:pStyle w:val="SangriaFrancesaArticulo"/>
      </w:pPr>
      <w:r w:rsidRPr="007D5795">
        <w:rPr>
          <w:rStyle w:val="TextoNormalNegritaCaracter"/>
        </w:rPr>
        <w:t>Artículo 40 apartados 2, 3.</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45EDF015" w14:textId="5B9621BE" w:rsidR="007D5795" w:rsidRDefault="007D5795" w:rsidP="007D5795">
      <w:pPr>
        <w:pStyle w:val="SangriaFrancesaArticulo"/>
      </w:pPr>
      <w:r w:rsidRPr="007D5795">
        <w:rPr>
          <w:rStyle w:val="TextoNormalNegritaCaracter"/>
        </w:rPr>
        <w:t>Artículo 59.</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596ABD9C" w14:textId="0E3BC379" w:rsidR="007D5795" w:rsidRDefault="007D5795" w:rsidP="007D5795">
      <w:pPr>
        <w:pStyle w:val="SangriaFrancesaArticulo"/>
      </w:pPr>
      <w:r w:rsidRPr="007D5795">
        <w:rPr>
          <w:rStyle w:val="TextoNormalNegritaCaracter"/>
        </w:rPr>
        <w:t>Disposición adicional cuarta.</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6D0A0E8A" w14:textId="2302A170" w:rsidR="007D5795" w:rsidRDefault="007D5795" w:rsidP="007D5795">
      <w:pPr>
        <w:pStyle w:val="SangriaFrancesaArticulo"/>
      </w:pPr>
      <w:r w:rsidRPr="007D5795">
        <w:rPr>
          <w:rStyle w:val="TextoNormalNegritaCaracter"/>
        </w:rPr>
        <w:t>Disposición adicional quinta.</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4C5FF666" w14:textId="1F3617ED" w:rsidR="007D5795" w:rsidRDefault="007D5795" w:rsidP="007D5795">
      <w:pPr>
        <w:pStyle w:val="SangriaFrancesaArticulo"/>
      </w:pPr>
      <w:r w:rsidRPr="007D5795">
        <w:rPr>
          <w:rStyle w:val="TextoNormalNegritaCaracter"/>
        </w:rPr>
        <w:t>Disposición transitoria tercera.</w:t>
      </w:r>
      <w:r w:rsidRPr="007D5795">
        <w:rPr>
          <w:rStyle w:val="TextoNormalCaracter"/>
        </w:rPr>
        <w:t>-</w:t>
      </w:r>
      <w:r>
        <w:t xml:space="preserve"> Sentencia </w:t>
      </w:r>
      <w:hyperlink w:anchor="SENTENCIA_2024_113" w:history="1">
        <w:r w:rsidRPr="007D5795">
          <w:rPr>
            <w:rStyle w:val="TextoNormalCaracter"/>
          </w:rPr>
          <w:t>113/2024</w:t>
        </w:r>
      </w:hyperlink>
      <w:r>
        <w:t>, f. 1.</w:t>
      </w:r>
    </w:p>
    <w:p w14:paraId="62D689A7" w14:textId="5B6BA9DA" w:rsidR="007D5795" w:rsidRDefault="007D5795" w:rsidP="007D5795">
      <w:pPr>
        <w:pStyle w:val="TextoNormal"/>
      </w:pPr>
    </w:p>
    <w:p w14:paraId="73C108F4" w14:textId="77777777" w:rsidR="007D5795" w:rsidRDefault="007D5795" w:rsidP="007D5795">
      <w:pPr>
        <w:pStyle w:val="TextoNormalNegritaCentrado"/>
        <w:suppressAutoHyphens/>
      </w:pPr>
      <w:r w:rsidRPr="007D5795">
        <w:rPr>
          <w:rStyle w:val="TextoNormalNegritaCentradoSombreado"/>
        </w:rPr>
        <w:t>J.3) Baleares</w:t>
      </w:r>
    </w:p>
    <w:p w14:paraId="2D04C4C9" w14:textId="2AFE2AE9" w:rsidR="007D5795" w:rsidRDefault="007D5795" w:rsidP="007D5795">
      <w:pPr>
        <w:pStyle w:val="TextoNormal"/>
      </w:pPr>
    </w:p>
    <w:p w14:paraId="61ADE6B1" w14:textId="77777777" w:rsidR="007D5795" w:rsidRDefault="007D5795" w:rsidP="007D5795">
      <w:pPr>
        <w:pStyle w:val="TextoNormalNegritaCentradoSubrayado"/>
        <w:suppressAutoHyphens/>
      </w:pPr>
      <w:r>
        <w:t>J.3.a) Estatuto de Autonomía</w:t>
      </w:r>
    </w:p>
    <w:p w14:paraId="4108AB00" w14:textId="0494F5FF" w:rsidR="007D5795" w:rsidRDefault="007D5795" w:rsidP="007D5795">
      <w:pPr>
        <w:pStyle w:val="TextoNormalNegritaCentradoSubrayado"/>
      </w:pPr>
    </w:p>
    <w:p w14:paraId="5765BA65" w14:textId="77777777" w:rsidR="007D5795" w:rsidRDefault="007D5795" w:rsidP="007D5795">
      <w:pPr>
        <w:pStyle w:val="TextoNormalNegritaCursivandice"/>
        <w:keepNext/>
      </w:pPr>
      <w:r>
        <w:t>Ley Orgánica 1/2007, de 28 de febrero, de reforma del Estatuto de Autonomía de las Illes Balears</w:t>
      </w:r>
    </w:p>
    <w:p w14:paraId="49AA5C8D" w14:textId="29EFE0AA" w:rsidR="007D5795" w:rsidRDefault="007D5795" w:rsidP="007D5795">
      <w:pPr>
        <w:pStyle w:val="SangriaFrancesaArticulo"/>
      </w:pPr>
      <w:r w:rsidRPr="007D5795">
        <w:rPr>
          <w:rStyle w:val="TextoNormalNegritaCaracter"/>
        </w:rPr>
        <w:t>Artículo 49.1.</w:t>
      </w:r>
      <w:r w:rsidRPr="007D5795">
        <w:rPr>
          <w:rStyle w:val="TextoNormalCaracter"/>
        </w:rPr>
        <w:t>-</w:t>
      </w:r>
      <w:r>
        <w:t xml:space="preserve"> Sentencia </w:t>
      </w:r>
      <w:hyperlink w:anchor="SENTENCIA_2024_141" w:history="1">
        <w:r w:rsidRPr="007D5795">
          <w:rPr>
            <w:rStyle w:val="TextoNormalCaracter"/>
          </w:rPr>
          <w:t>141/2024</w:t>
        </w:r>
      </w:hyperlink>
      <w:r>
        <w:t>, f. 3.</w:t>
      </w:r>
    </w:p>
    <w:p w14:paraId="1A778DFF" w14:textId="778F25CF" w:rsidR="007D5795" w:rsidRDefault="007D5795" w:rsidP="007D5795">
      <w:pPr>
        <w:pStyle w:val="TextoNormal"/>
      </w:pPr>
    </w:p>
    <w:p w14:paraId="1AC3E760" w14:textId="77777777" w:rsidR="007D5795" w:rsidRDefault="007D5795" w:rsidP="007D5795">
      <w:pPr>
        <w:pStyle w:val="TextoNormalNegritaCentradoSubrayado"/>
        <w:suppressAutoHyphens/>
      </w:pPr>
      <w:r>
        <w:t>J.3.b) Leyes y disposiciones con fuerza de Ley</w:t>
      </w:r>
    </w:p>
    <w:p w14:paraId="71A0031E" w14:textId="22A47908" w:rsidR="007D5795" w:rsidRDefault="007D5795" w:rsidP="007D5795">
      <w:pPr>
        <w:pStyle w:val="TextoNormalNegritaCentradoSubrayado"/>
      </w:pPr>
    </w:p>
    <w:p w14:paraId="6A152D87" w14:textId="77777777" w:rsidR="007D5795" w:rsidRDefault="007D5795" w:rsidP="007D5795">
      <w:pPr>
        <w:pStyle w:val="TextoNormalNegritaCursivandice"/>
        <w:keepNext/>
      </w:pPr>
      <w:r>
        <w:t>Comunidad Autónoma de las Illes Balears. Ley 16/2010, de 28 de diciembre, de salud pública de las Illes Balears</w:t>
      </w:r>
    </w:p>
    <w:p w14:paraId="107DED05" w14:textId="5CE4549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1" w:history="1">
        <w:r w:rsidRPr="007D5795">
          <w:rPr>
            <w:rStyle w:val="TextoNormalCaracter"/>
          </w:rPr>
          <w:t>141/2024</w:t>
        </w:r>
      </w:hyperlink>
      <w:r>
        <w:t>, ff. 1, 2.</w:t>
      </w:r>
    </w:p>
    <w:p w14:paraId="6BFA2150" w14:textId="799111DC" w:rsidR="007D5795" w:rsidRDefault="007D5795" w:rsidP="007D5795">
      <w:pPr>
        <w:pStyle w:val="SangriaFrancesaArticulo"/>
      </w:pPr>
      <w:r w:rsidRPr="007D5795">
        <w:rPr>
          <w:rStyle w:val="TextoNormalNegritaCaracter"/>
        </w:rPr>
        <w:t>Artículo 49 bis.2</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ff. 1, 3, 5.</w:t>
      </w:r>
    </w:p>
    <w:p w14:paraId="2C0D7590" w14:textId="1EF5496F" w:rsidR="007D5795" w:rsidRDefault="007D5795" w:rsidP="007D5795">
      <w:pPr>
        <w:pStyle w:val="SangriaFrancesaArticulo"/>
      </w:pPr>
      <w:r w:rsidRPr="007D5795">
        <w:rPr>
          <w:rStyle w:val="TextoNormalNegritaCaracter"/>
        </w:rPr>
        <w:t>Artículo 49 bis.3</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ff. 1, 3.</w:t>
      </w:r>
    </w:p>
    <w:p w14:paraId="60946335" w14:textId="58246EF4" w:rsidR="007D5795" w:rsidRDefault="007D5795" w:rsidP="007D5795">
      <w:pPr>
        <w:pStyle w:val="SangriaFrancesaArticulo"/>
      </w:pPr>
      <w:r w:rsidRPr="007D5795">
        <w:rPr>
          <w:rStyle w:val="TextoNormalNegritaCaracter"/>
        </w:rPr>
        <w:t>Artículo 49 bis.3 a)</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ff. 3, 4.</w:t>
      </w:r>
    </w:p>
    <w:p w14:paraId="707336D4" w14:textId="0609D81A" w:rsidR="007D5795" w:rsidRDefault="007D5795" w:rsidP="007D5795">
      <w:pPr>
        <w:pStyle w:val="SangriaFrancesaArticulo"/>
      </w:pPr>
      <w:r w:rsidRPr="007D5795">
        <w:rPr>
          <w:rStyle w:val="TextoNormalNegritaCaracter"/>
        </w:rPr>
        <w:t>Artículo 49 bis.3 b)</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 4.</w:t>
      </w:r>
    </w:p>
    <w:p w14:paraId="0B540AFF" w14:textId="544E398F" w:rsidR="007D5795" w:rsidRDefault="007D5795" w:rsidP="007D5795">
      <w:pPr>
        <w:pStyle w:val="SangriaFrancesaArticulo"/>
      </w:pPr>
      <w:r w:rsidRPr="007D5795">
        <w:rPr>
          <w:rStyle w:val="TextoNormalNegritaCaracter"/>
        </w:rPr>
        <w:t>Artículo 49 bis.3 c)</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ff. 3, 4.</w:t>
      </w:r>
    </w:p>
    <w:p w14:paraId="643925B8" w14:textId="1F81D330" w:rsidR="007D5795" w:rsidRDefault="007D5795" w:rsidP="007D5795">
      <w:pPr>
        <w:pStyle w:val="SangriaFrancesaArticulo"/>
      </w:pPr>
      <w:r w:rsidRPr="007D5795">
        <w:rPr>
          <w:rStyle w:val="TextoNormalNegritaCaracter"/>
        </w:rPr>
        <w:t>Artículo 49 bis.3 d)</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 4.</w:t>
      </w:r>
    </w:p>
    <w:p w14:paraId="2D378B44" w14:textId="5EACC9A0" w:rsidR="007D5795" w:rsidRDefault="007D5795" w:rsidP="007D5795">
      <w:pPr>
        <w:pStyle w:val="SangriaFrancesaArticulo"/>
      </w:pPr>
      <w:r w:rsidRPr="007D5795">
        <w:rPr>
          <w:rStyle w:val="TextoNormalNegritaCaracter"/>
        </w:rPr>
        <w:t>Artículo 49 bis.3 e)</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ff. 3, 4.</w:t>
      </w:r>
    </w:p>
    <w:p w14:paraId="4ED12F9D" w14:textId="0A3E615B" w:rsidR="007D5795" w:rsidRDefault="007D5795" w:rsidP="007D5795">
      <w:pPr>
        <w:pStyle w:val="SangriaFrancesaArticulo"/>
      </w:pPr>
      <w:r w:rsidRPr="007D5795">
        <w:rPr>
          <w:rStyle w:val="TextoNormalNegritaCaracter"/>
        </w:rPr>
        <w:t>Artículo 49 bis.3 e)</w:t>
      </w:r>
      <w:r>
        <w:t xml:space="preserve"> (redactado por la Ley 2/2021, de 8 de noviembre)</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 2.</w:t>
      </w:r>
    </w:p>
    <w:p w14:paraId="70DFFF3F" w14:textId="6D1BE028" w:rsidR="007D5795" w:rsidRDefault="007D5795" w:rsidP="007D5795">
      <w:pPr>
        <w:pStyle w:val="SangriaFrancesaArticulo"/>
      </w:pPr>
      <w:r w:rsidRPr="007D5795">
        <w:rPr>
          <w:rStyle w:val="TextoNormalNegritaCaracter"/>
        </w:rPr>
        <w:t>Artículo 49 bis.3 f), primer párrafo, inciso "Medidas de control del entorno inmediato [...] al resto de la población"</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 4.</w:t>
      </w:r>
    </w:p>
    <w:p w14:paraId="6213C718" w14:textId="6B2EB8DF" w:rsidR="007D5795" w:rsidRDefault="007D5795" w:rsidP="007D5795">
      <w:pPr>
        <w:pStyle w:val="SangriaFrancesaArticulo"/>
      </w:pPr>
      <w:r w:rsidRPr="007D5795">
        <w:rPr>
          <w:rStyle w:val="TextoNormalNegritaCaracter"/>
        </w:rPr>
        <w:t>Artículo 49 bis.3 f), primer párrafo, primer inciso.</w:t>
      </w:r>
      <w:r w:rsidRPr="007D5795">
        <w:rPr>
          <w:rStyle w:val="TextoNormalCaracter"/>
        </w:rPr>
        <w:t>-</w:t>
      </w:r>
      <w:r>
        <w:t xml:space="preserve"> Sentencia </w:t>
      </w:r>
      <w:hyperlink w:anchor="SENTENCIA_2024_141" w:history="1">
        <w:r w:rsidRPr="007D5795">
          <w:rPr>
            <w:rStyle w:val="TextoNormalCaracter"/>
          </w:rPr>
          <w:t>141/2024</w:t>
        </w:r>
      </w:hyperlink>
      <w:r>
        <w:t>, f. 4.</w:t>
      </w:r>
    </w:p>
    <w:p w14:paraId="0A16729A" w14:textId="6BB5E544" w:rsidR="007D5795" w:rsidRDefault="007D5795" w:rsidP="007D5795">
      <w:pPr>
        <w:pStyle w:val="SangriaFrancesaArticulo"/>
      </w:pPr>
      <w:r w:rsidRPr="007D5795">
        <w:rPr>
          <w:rStyle w:val="TextoNormalNegritaCaracter"/>
        </w:rPr>
        <w:t>Artículo 49 bis.3 f), quinto párrafo</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ff. 3, 4.</w:t>
      </w:r>
    </w:p>
    <w:p w14:paraId="7145197D" w14:textId="75757FB7" w:rsidR="007D5795" w:rsidRDefault="007D5795" w:rsidP="007D5795">
      <w:pPr>
        <w:pStyle w:val="SangriaFrancesaArticulo"/>
      </w:pPr>
      <w:r w:rsidRPr="007D5795">
        <w:rPr>
          <w:rStyle w:val="TextoNormalNegritaCaracter"/>
        </w:rPr>
        <w:t>Artículo 49 bis.3 f), segundo párrafo</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ff. 3, 4.</w:t>
      </w:r>
    </w:p>
    <w:p w14:paraId="0E457CAE" w14:textId="2FDF2D58" w:rsidR="007D5795" w:rsidRDefault="007D5795" w:rsidP="007D5795">
      <w:pPr>
        <w:pStyle w:val="SangriaFrancesaArticulo"/>
      </w:pPr>
      <w:r w:rsidRPr="007D5795">
        <w:rPr>
          <w:rStyle w:val="TextoNormalNegritaCaracter"/>
        </w:rPr>
        <w:t>Artículo 49 bis.3 f), sexto párrafo</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 4.</w:t>
      </w:r>
    </w:p>
    <w:p w14:paraId="0CA15B1F" w14:textId="4142E7B1" w:rsidR="007D5795" w:rsidRDefault="007D5795" w:rsidP="007D5795">
      <w:pPr>
        <w:pStyle w:val="SangriaFrancesaArticulo"/>
      </w:pPr>
      <w:r w:rsidRPr="007D5795">
        <w:rPr>
          <w:rStyle w:val="TextoNormalNegritaCaracter"/>
        </w:rPr>
        <w:t>Artículo 49 bis.3 f), tercer párrafo</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ff. 3, 4.</w:t>
      </w:r>
    </w:p>
    <w:p w14:paraId="4908CE66" w14:textId="301B4B86" w:rsidR="007D5795" w:rsidRDefault="007D5795" w:rsidP="007D5795">
      <w:pPr>
        <w:pStyle w:val="SangriaFrancesaArticulo"/>
      </w:pPr>
      <w:r w:rsidRPr="007D5795">
        <w:rPr>
          <w:rStyle w:val="TextoNormalNegritaCaracter"/>
        </w:rPr>
        <w:t>Artículo 49 bis.3 f), último párrafo</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 3.</w:t>
      </w:r>
    </w:p>
    <w:p w14:paraId="03591698" w14:textId="6AA50AF5" w:rsidR="007D5795" w:rsidRDefault="007D5795" w:rsidP="007D5795">
      <w:pPr>
        <w:pStyle w:val="SangriaFrancesaArticulo"/>
      </w:pPr>
      <w:r w:rsidRPr="007D5795">
        <w:rPr>
          <w:rStyle w:val="TextoNormalNegritaCaracter"/>
        </w:rPr>
        <w:t>Artículo 49 bis.3 g)</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 2.</w:t>
      </w:r>
    </w:p>
    <w:p w14:paraId="6074A8EF" w14:textId="1D1B3523" w:rsidR="007D5795" w:rsidRDefault="007D5795" w:rsidP="007D5795">
      <w:pPr>
        <w:pStyle w:val="SangriaFrancesaArticulo"/>
      </w:pPr>
      <w:r w:rsidRPr="007D5795">
        <w:rPr>
          <w:rStyle w:val="TextoNormalNegritaCaracter"/>
        </w:rPr>
        <w:t>Artículo 49 bis.3 g), inciso "Aislamiento y cuarentena a las personas afectadas"</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 3.</w:t>
      </w:r>
    </w:p>
    <w:p w14:paraId="40CD54A0" w14:textId="52321B54" w:rsidR="007D5795" w:rsidRDefault="007D5795" w:rsidP="007D5795">
      <w:pPr>
        <w:pStyle w:val="SangriaFrancesaArticulo"/>
      </w:pPr>
      <w:r w:rsidRPr="007D5795">
        <w:rPr>
          <w:rStyle w:val="TextoNormalNegritaCaracter"/>
        </w:rPr>
        <w:t>Artículo 49 bis.3 g), inciso "Limitación del número de personas que se puede reunir, tanto en espacios públicos como privados"</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 3.</w:t>
      </w:r>
    </w:p>
    <w:p w14:paraId="36BF60EF" w14:textId="4CCEC416" w:rsidR="007D5795" w:rsidRDefault="007D5795" w:rsidP="007D5795">
      <w:pPr>
        <w:pStyle w:val="SangriaFrancesaArticulo"/>
      </w:pPr>
      <w:r w:rsidRPr="007D5795">
        <w:rPr>
          <w:rStyle w:val="TextoNormalNegritaCaracter"/>
        </w:rPr>
        <w:t>Artículo 49 bis.3 g), inciso "Limitaciones de desplazamientos territoriales que protejan del riesgo de transmisión y limitación de desplazamientos personales, manteniendo en todos los niveles de alerta los desplazamientos esenciales, siempre que se realicen de forma individual o con la unidad de convivencia y con todas las medidas de precaución higiénicas y de distanciamiento. Se incluye la limitación en horario nocturno"</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 3.</w:t>
      </w:r>
    </w:p>
    <w:p w14:paraId="06186CD6" w14:textId="56FCB244" w:rsidR="007D5795" w:rsidRDefault="007D5795" w:rsidP="007D5795">
      <w:pPr>
        <w:pStyle w:val="SangriaFrancesaArticulo"/>
      </w:pPr>
      <w:r w:rsidRPr="007D5795">
        <w:rPr>
          <w:rStyle w:val="TextoNormalNegritaCaracter"/>
        </w:rPr>
        <w:t>Artículo 49 bis.3 g), inciso "Pruebas de cribado colectivas"</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 4.</w:t>
      </w:r>
    </w:p>
    <w:p w14:paraId="50B56E9C" w14:textId="4584AC6E" w:rsidR="007D5795" w:rsidRDefault="007D5795" w:rsidP="007D5795">
      <w:pPr>
        <w:pStyle w:val="SangriaFrancesaArticulo"/>
      </w:pPr>
      <w:r w:rsidRPr="007D5795">
        <w:rPr>
          <w:rStyle w:val="TextoNormalNegritaCaracter"/>
        </w:rPr>
        <w:t>Artículo 49 bis.3 g), inciso "Pruebas diagnósticas a todas las personas que presenten síntomas"</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 4.</w:t>
      </w:r>
    </w:p>
    <w:p w14:paraId="22D51A99" w14:textId="33D48AEE" w:rsidR="007D5795" w:rsidRDefault="007D5795" w:rsidP="007D5795">
      <w:pPr>
        <w:pStyle w:val="SangriaFrancesaArticulo"/>
      </w:pPr>
      <w:r w:rsidRPr="007D5795">
        <w:rPr>
          <w:rStyle w:val="TextoNormalNegritaCaracter"/>
        </w:rPr>
        <w:t>Artículo 49 bis.3, primer párrafo</w:t>
      </w:r>
      <w:r>
        <w:t xml:space="preserve"> (redactado por el Decreto-ley 5/2021, de 7 de mayo)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 5.</w:t>
      </w:r>
    </w:p>
    <w:p w14:paraId="2C5ECE39" w14:textId="4C1A2A49" w:rsidR="007D5795" w:rsidRDefault="007D5795" w:rsidP="007D5795">
      <w:pPr>
        <w:pStyle w:val="SangriaFrancesaArticulo"/>
      </w:pPr>
    </w:p>
    <w:p w14:paraId="29BB4253" w14:textId="77777777" w:rsidR="007D5795" w:rsidRDefault="007D5795" w:rsidP="007D5795">
      <w:pPr>
        <w:pStyle w:val="TextoNormalNegritaCursivandice"/>
        <w:keepNext/>
      </w:pPr>
      <w:r>
        <w:t>Comunidad Autónoma de las Illes Balears. Ley 4/2014, de 20 de junio, de transportes terrestres y movilidad sostenible de las Illes Balears</w:t>
      </w:r>
    </w:p>
    <w:p w14:paraId="3FCC710A" w14:textId="5E32F5A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3394F90B" w14:textId="36FEBC8D" w:rsidR="007D5795" w:rsidRDefault="007D5795" w:rsidP="007D5795">
      <w:pPr>
        <w:pStyle w:val="SangriaFrancesaArticulo"/>
      </w:pPr>
      <w:r w:rsidRPr="007D5795">
        <w:rPr>
          <w:rStyle w:val="TextoNormalNegritaCaracter"/>
        </w:rPr>
        <w:t>Artículo 6.</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720D66F8" w14:textId="338EA1E6" w:rsidR="007D5795" w:rsidRDefault="007D5795" w:rsidP="007D5795">
      <w:pPr>
        <w:pStyle w:val="SangriaFrancesaArticulo"/>
      </w:pPr>
      <w:r w:rsidRPr="007D5795">
        <w:rPr>
          <w:rStyle w:val="TextoNormalNegritaCaracter"/>
        </w:rPr>
        <w:t>Artículo 6 k).</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055EF673" w14:textId="3F56F3C2" w:rsidR="007D5795" w:rsidRDefault="007D5795" w:rsidP="007D5795">
      <w:pPr>
        <w:pStyle w:val="SangriaFrancesaArticulo"/>
      </w:pPr>
      <w:r w:rsidRPr="007D5795">
        <w:rPr>
          <w:rStyle w:val="TextoNormalNegritaCaracter"/>
        </w:rPr>
        <w:t>Artículo 74 bis</w:t>
      </w:r>
      <w:r>
        <w:t xml:space="preserve"> (redactado por el Decreto-ley 1/2019, de 22 de febrero)</w:t>
      </w:r>
      <w:r w:rsidRPr="007D5795">
        <w:rPr>
          <w:rStyle w:val="TextoNormalNegritaCaracter"/>
        </w:rPr>
        <w:t>.</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79E5A90E" w14:textId="51000192" w:rsidR="007D5795" w:rsidRDefault="007D5795" w:rsidP="007D5795">
      <w:pPr>
        <w:pStyle w:val="SangriaFrancesaArticulo"/>
      </w:pPr>
      <w:r w:rsidRPr="007D5795">
        <w:rPr>
          <w:rStyle w:val="TextoNormalNegritaCaracter"/>
        </w:rPr>
        <w:t>Artículo 74 bis.1 b)</w:t>
      </w:r>
      <w:r>
        <w:t xml:space="preserve"> (redactado por el Decreto-ley 1/2019, de 22 de febrero)</w:t>
      </w:r>
      <w:r w:rsidRPr="007D5795">
        <w:rPr>
          <w:rStyle w:val="TextoNormalNegritaCaracter"/>
        </w:rPr>
        <w:t>.</w:t>
      </w:r>
      <w:r w:rsidRPr="007D5795">
        <w:rPr>
          <w:rStyle w:val="TextoNormalCaracter"/>
        </w:rPr>
        <w:t>-</w:t>
      </w:r>
      <w:r>
        <w:t xml:space="preserve"> Sentencia </w:t>
      </w:r>
      <w:hyperlink w:anchor="SENTENCIA_2024_112" w:history="1">
        <w:r w:rsidRPr="007D5795">
          <w:rPr>
            <w:rStyle w:val="TextoNormalCaracter"/>
          </w:rPr>
          <w:t>112/2024</w:t>
        </w:r>
      </w:hyperlink>
      <w:r>
        <w:t>, ff. 1, 2, 5.</w:t>
      </w:r>
    </w:p>
    <w:p w14:paraId="61E6BBE1" w14:textId="55E51B64" w:rsidR="007D5795" w:rsidRDefault="007D5795" w:rsidP="007D5795">
      <w:pPr>
        <w:pStyle w:val="SangriaFrancesaArticulo"/>
      </w:pPr>
      <w:r w:rsidRPr="007D5795">
        <w:rPr>
          <w:rStyle w:val="TextoNormalNegritaCaracter"/>
        </w:rPr>
        <w:t>Artículo 74 bis.4</w:t>
      </w:r>
      <w:r>
        <w:t xml:space="preserve"> (redactado por el Decreto-ley 1/2019, de 22 de febrero)</w:t>
      </w:r>
      <w:r w:rsidRPr="007D5795">
        <w:rPr>
          <w:rStyle w:val="TextoNormalNegritaCaracter"/>
        </w:rPr>
        <w:t>.</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259672B2" w14:textId="3A46DF8A" w:rsidR="007D5795" w:rsidRDefault="007D5795" w:rsidP="007D5795">
      <w:pPr>
        <w:pStyle w:val="SangriaFrancesaArticulo"/>
      </w:pPr>
      <w:r w:rsidRPr="007D5795">
        <w:rPr>
          <w:rStyle w:val="TextoNormalNegritaCaracter"/>
        </w:rPr>
        <w:t>Artículo 74 bis.6</w:t>
      </w:r>
      <w:r>
        <w:t xml:space="preserve"> (redactado por el Decreto-ley 1/2019, de 22 de febrero)</w:t>
      </w:r>
      <w:r w:rsidRPr="007D5795">
        <w:rPr>
          <w:rStyle w:val="TextoNormalNegritaCaracter"/>
        </w:rPr>
        <w:t>.</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3ED1DAD0" w14:textId="52EC61BB" w:rsidR="007D5795" w:rsidRDefault="007D5795" w:rsidP="007D5795">
      <w:pPr>
        <w:pStyle w:val="SangriaFrancesaArticulo"/>
      </w:pPr>
      <w:r w:rsidRPr="007D5795">
        <w:rPr>
          <w:rStyle w:val="TextoNormalNegritaCaracter"/>
        </w:rPr>
        <w:t>Artículo 74 ter.1</w:t>
      </w:r>
      <w:r>
        <w:t xml:space="preserve"> (redactado por el Decreto-ley 1/2019, de 22 de febrero)</w:t>
      </w:r>
      <w:r w:rsidRPr="007D5795">
        <w:rPr>
          <w:rStyle w:val="TextoNormalNegritaCaracter"/>
        </w:rPr>
        <w:t>.</w:t>
      </w:r>
      <w:r w:rsidRPr="007D5795">
        <w:rPr>
          <w:rStyle w:val="TextoNormalCaracter"/>
        </w:rPr>
        <w:t>-</w:t>
      </w:r>
      <w:r>
        <w:t xml:space="preserve"> Sentencia </w:t>
      </w:r>
      <w:hyperlink w:anchor="SENTENCIA_2024_112" w:history="1">
        <w:r w:rsidRPr="007D5795">
          <w:rPr>
            <w:rStyle w:val="TextoNormalCaracter"/>
          </w:rPr>
          <w:t>112/2024</w:t>
        </w:r>
      </w:hyperlink>
      <w:r>
        <w:t>, ff. 2, 3, 5.</w:t>
      </w:r>
    </w:p>
    <w:p w14:paraId="764CCBAB" w14:textId="71A65E3B" w:rsidR="007D5795" w:rsidRDefault="007D5795" w:rsidP="007D5795">
      <w:pPr>
        <w:pStyle w:val="SangriaFrancesaArticulo"/>
      </w:pPr>
      <w:r w:rsidRPr="007D5795">
        <w:rPr>
          <w:rStyle w:val="TextoNormalNegritaCaracter"/>
        </w:rPr>
        <w:t>Disposición adicional segunda</w:t>
      </w:r>
      <w:r>
        <w:t xml:space="preserve"> (redactada por el Decreto-ley 1/2019, de 22 de febrero)</w:t>
      </w:r>
      <w:r w:rsidRPr="007D5795">
        <w:rPr>
          <w:rStyle w:val="TextoNormalNegritaCaracter"/>
        </w:rPr>
        <w:t>.</w:t>
      </w:r>
      <w:r w:rsidRPr="007D5795">
        <w:rPr>
          <w:rStyle w:val="TextoNormalCaracter"/>
        </w:rPr>
        <w:t>-</w:t>
      </w:r>
      <w:r>
        <w:t xml:space="preserve"> Sentencia </w:t>
      </w:r>
      <w:hyperlink w:anchor="SENTENCIA_2024_112" w:history="1">
        <w:r w:rsidRPr="007D5795">
          <w:rPr>
            <w:rStyle w:val="TextoNormalCaracter"/>
          </w:rPr>
          <w:t>112/2024</w:t>
        </w:r>
      </w:hyperlink>
      <w:r>
        <w:t>, ff. 1, 5.</w:t>
      </w:r>
    </w:p>
    <w:p w14:paraId="0855897A" w14:textId="5487BC39" w:rsidR="007D5795" w:rsidRDefault="007D5795" w:rsidP="007D5795">
      <w:pPr>
        <w:pStyle w:val="SangriaFrancesaArticulo"/>
      </w:pPr>
    </w:p>
    <w:p w14:paraId="5DA164DB" w14:textId="77777777" w:rsidR="007D5795" w:rsidRDefault="007D5795" w:rsidP="007D5795">
      <w:pPr>
        <w:pStyle w:val="TextoNormalNegritaCursivandice"/>
        <w:keepNext/>
      </w:pPr>
      <w:r>
        <w:t>Comunidad Autónoma de las Illes Balears. Decreto-ley 1/2019, de 22 de febrero, de medidas urgentes sobre la explotación y el control de la actividad de alquiler de vehículos con conductor y otras medidas en materia de transportes terrestres</w:t>
      </w:r>
    </w:p>
    <w:p w14:paraId="649FCF77" w14:textId="250A0B9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2" w:history="1">
        <w:r w:rsidRPr="007D5795">
          <w:rPr>
            <w:rStyle w:val="TextoNormalCaracter"/>
          </w:rPr>
          <w:t>112/2024</w:t>
        </w:r>
      </w:hyperlink>
      <w:r>
        <w:t>, ff. 2, 5.</w:t>
      </w:r>
    </w:p>
    <w:p w14:paraId="5CC3E0E0" w14:textId="5B1C7A71" w:rsidR="007D5795" w:rsidRDefault="007D5795" w:rsidP="007D5795">
      <w:pPr>
        <w:pStyle w:val="SangriaFrancesaArticulo"/>
      </w:pPr>
      <w:r w:rsidRPr="007D5795">
        <w:rPr>
          <w:rStyle w:val="TextoNormalNegritaCaracter"/>
        </w:rPr>
        <w:t>Artículo 2.</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663F78CD" w14:textId="3E2A770C" w:rsidR="007D5795" w:rsidRDefault="007D5795" w:rsidP="007D5795">
      <w:pPr>
        <w:pStyle w:val="SangriaFrancesaArticulo"/>
      </w:pPr>
      <w:r w:rsidRPr="007D5795">
        <w:rPr>
          <w:rStyle w:val="TextoNormalNegritaCaracter"/>
        </w:rPr>
        <w:t>Artículo 2.2.</w:t>
      </w:r>
      <w:r w:rsidRPr="007D5795">
        <w:rPr>
          <w:rStyle w:val="TextoNormalCaracter"/>
        </w:rPr>
        <w:t>-</w:t>
      </w:r>
      <w:r>
        <w:t xml:space="preserve"> Sentencia </w:t>
      </w:r>
      <w:hyperlink w:anchor="SENTENCIA_2024_112" w:history="1">
        <w:r w:rsidRPr="007D5795">
          <w:rPr>
            <w:rStyle w:val="TextoNormalCaracter"/>
          </w:rPr>
          <w:t>112/2024</w:t>
        </w:r>
      </w:hyperlink>
      <w:r>
        <w:t>, ff. 1, 2, 5.</w:t>
      </w:r>
    </w:p>
    <w:p w14:paraId="759A3472" w14:textId="37DAF6EB" w:rsidR="007D5795" w:rsidRDefault="007D5795" w:rsidP="007D5795">
      <w:pPr>
        <w:pStyle w:val="SangriaFrancesaArticulo"/>
      </w:pPr>
    </w:p>
    <w:p w14:paraId="250D97F2" w14:textId="77777777" w:rsidR="007D5795" w:rsidRDefault="007D5795" w:rsidP="007D5795">
      <w:pPr>
        <w:pStyle w:val="TextoNormalNegritaCursivandice"/>
        <w:keepNext/>
      </w:pPr>
      <w:r>
        <w:t>Comunidad Autónoma de las Illes Balears. Decreto-ley 5/2021, de 7 de mayo, por el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w:t>
      </w:r>
    </w:p>
    <w:p w14:paraId="1851932B" w14:textId="4040381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1" w:history="1">
        <w:r w:rsidRPr="007D5795">
          <w:rPr>
            <w:rStyle w:val="TextoNormalCaracter"/>
          </w:rPr>
          <w:t>141/2024</w:t>
        </w:r>
      </w:hyperlink>
      <w:r>
        <w:t>, ff. 1 a 3.</w:t>
      </w:r>
    </w:p>
    <w:p w14:paraId="324AE6F6" w14:textId="1E55A2F8"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 </w:t>
      </w:r>
      <w:hyperlink w:anchor="SENTENCIA_2024_141" w:history="1">
        <w:r w:rsidRPr="007D5795">
          <w:rPr>
            <w:rStyle w:val="TextoNormalCaracter"/>
          </w:rPr>
          <w:t>141/2024</w:t>
        </w:r>
      </w:hyperlink>
      <w:r>
        <w:t>, f. 1.</w:t>
      </w:r>
    </w:p>
    <w:p w14:paraId="27473477" w14:textId="71B47073" w:rsidR="007D5795" w:rsidRDefault="007D5795" w:rsidP="007D5795">
      <w:pPr>
        <w:pStyle w:val="SangriaFrancesaArticulo"/>
      </w:pPr>
    </w:p>
    <w:p w14:paraId="065DBB58" w14:textId="77777777" w:rsidR="007D5795" w:rsidRDefault="007D5795" w:rsidP="007D5795">
      <w:pPr>
        <w:pStyle w:val="TextoNormalNegritaCursivandice"/>
        <w:keepNext/>
      </w:pPr>
      <w:r>
        <w:t>Comunidad Autónoma de las Illes Balears. Ley 2/2021, de 8 de noviembre, por la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w:t>
      </w:r>
    </w:p>
    <w:p w14:paraId="3791AFF5" w14:textId="388BCD0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1" w:history="1">
        <w:r w:rsidRPr="007D5795">
          <w:rPr>
            <w:rStyle w:val="TextoNormalCaracter"/>
          </w:rPr>
          <w:t>141/2024</w:t>
        </w:r>
      </w:hyperlink>
      <w:r>
        <w:t>, f. 2.</w:t>
      </w:r>
    </w:p>
    <w:p w14:paraId="2AA18CE4" w14:textId="3F063650" w:rsidR="007D5795" w:rsidRDefault="007D5795" w:rsidP="007D5795">
      <w:pPr>
        <w:pStyle w:val="SangriaFrancesaArticulo"/>
      </w:pPr>
      <w:r w:rsidRPr="007D5795">
        <w:rPr>
          <w:rStyle w:val="TextoNormalNegritaCaracter"/>
        </w:rPr>
        <w:t>Disposición derogatoria única.</w:t>
      </w:r>
      <w:r w:rsidRPr="007D5795">
        <w:rPr>
          <w:rStyle w:val="TextoNormalCaracter"/>
        </w:rPr>
        <w:t>-</w:t>
      </w:r>
      <w:r>
        <w:t xml:space="preserve"> Sentencia </w:t>
      </w:r>
      <w:hyperlink w:anchor="SENTENCIA_2024_141" w:history="1">
        <w:r w:rsidRPr="007D5795">
          <w:rPr>
            <w:rStyle w:val="TextoNormalCaracter"/>
          </w:rPr>
          <w:t>141/2024</w:t>
        </w:r>
      </w:hyperlink>
      <w:r>
        <w:t>, ff. 1, 2.</w:t>
      </w:r>
    </w:p>
    <w:p w14:paraId="3135137E" w14:textId="5C39A5FC" w:rsidR="007D5795" w:rsidRDefault="007D5795" w:rsidP="007D5795">
      <w:pPr>
        <w:pStyle w:val="SangriaFrancesaArticulo"/>
      </w:pPr>
    </w:p>
    <w:p w14:paraId="3C7BC63D" w14:textId="77777777" w:rsidR="007D5795" w:rsidRDefault="007D5795" w:rsidP="007D5795">
      <w:pPr>
        <w:pStyle w:val="TextoNormalNegritaCursivandice"/>
        <w:keepNext/>
      </w:pPr>
      <w:r>
        <w:t>Comunidad Autónoma de las Illes Balears. Ley 1/2024, de 16 de febrero, de mejora de la regulación de los servicios de transporte con vehículos de hasta nueve plazas en las Illes Balears</w:t>
      </w:r>
    </w:p>
    <w:p w14:paraId="18952C5C" w14:textId="0E6C337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470FF21F" w14:textId="63AF426D" w:rsidR="007D5795" w:rsidRDefault="007D5795" w:rsidP="007D5795">
      <w:pPr>
        <w:pStyle w:val="SangriaFrancesaArticulo"/>
      </w:pPr>
      <w:r w:rsidRPr="007D5795">
        <w:rPr>
          <w:rStyle w:val="TextoNormalNegritaCaracter"/>
        </w:rPr>
        <w:t>Artículo único, apartado 19.</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2EC34A0D" w14:textId="5B3A2EE4" w:rsidR="007D5795" w:rsidRDefault="007D5795" w:rsidP="007D5795">
      <w:pPr>
        <w:pStyle w:val="SangriaFrancesaArticulo"/>
      </w:pPr>
      <w:r w:rsidRPr="007D5795">
        <w:rPr>
          <w:rStyle w:val="TextoNormalNegritaCaracter"/>
        </w:rPr>
        <w:t>Artículo 74 ter.1.</w:t>
      </w:r>
      <w:r w:rsidRPr="007D5795">
        <w:rPr>
          <w:rStyle w:val="TextoNormalCaracter"/>
        </w:rPr>
        <w:t>-</w:t>
      </w:r>
      <w:r>
        <w:t xml:space="preserve"> Sentencia </w:t>
      </w:r>
      <w:hyperlink w:anchor="SENTENCIA_2024_112" w:history="1">
        <w:r w:rsidRPr="007D5795">
          <w:rPr>
            <w:rStyle w:val="TextoNormalCaracter"/>
          </w:rPr>
          <w:t>112/2024</w:t>
        </w:r>
      </w:hyperlink>
      <w:r>
        <w:t>, f. 5.</w:t>
      </w:r>
    </w:p>
    <w:p w14:paraId="33875703" w14:textId="6A21D3B2" w:rsidR="007D5795" w:rsidRDefault="007D5795" w:rsidP="007D5795">
      <w:pPr>
        <w:pStyle w:val="TextoNormal"/>
      </w:pPr>
    </w:p>
    <w:p w14:paraId="696EE235" w14:textId="77777777" w:rsidR="007D5795" w:rsidRDefault="007D5795" w:rsidP="007D5795">
      <w:pPr>
        <w:pStyle w:val="TextoNormalNegritaCentradoSubrayado"/>
        <w:suppressAutoHyphens/>
      </w:pPr>
      <w:r>
        <w:t>J.3.c) Decretos y otras disposiciones reglamentarias</w:t>
      </w:r>
    </w:p>
    <w:p w14:paraId="49E8BC2A" w14:textId="00878110" w:rsidR="007D5795" w:rsidRDefault="007D5795" w:rsidP="007D5795">
      <w:pPr>
        <w:pStyle w:val="TextoNormalNegritaCentradoSubrayado"/>
      </w:pPr>
    </w:p>
    <w:p w14:paraId="289EC389" w14:textId="77777777" w:rsidR="007D5795" w:rsidRDefault="007D5795" w:rsidP="007D5795">
      <w:pPr>
        <w:pStyle w:val="TextoNormalNegritaCursivandice"/>
        <w:keepNext/>
      </w:pPr>
      <w:r>
        <w:t>Comunidad Autónoma de las Illes Balears. Decreto 43/2014, de 3 de octubre, por el que se desarrollan y concretan determinados aspectos de la actividad de arrendamiento de vehículos con conductor en el ámbito territorial de las Islas Baleares</w:t>
      </w:r>
    </w:p>
    <w:p w14:paraId="16A2B69D" w14:textId="43FA995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2" w:history="1">
        <w:r w:rsidRPr="007D5795">
          <w:rPr>
            <w:rStyle w:val="TextoNormalCaracter"/>
          </w:rPr>
          <w:t>112/2024</w:t>
        </w:r>
      </w:hyperlink>
      <w:r>
        <w:t>, ff. 1, 2.</w:t>
      </w:r>
    </w:p>
    <w:p w14:paraId="00825EC8" w14:textId="247AD0A3" w:rsidR="007D5795" w:rsidRDefault="007D5795" w:rsidP="007D5795">
      <w:pPr>
        <w:pStyle w:val="SangriaFrancesaArticulo"/>
      </w:pPr>
    </w:p>
    <w:p w14:paraId="5DCABCBC" w14:textId="77777777" w:rsidR="007D5795" w:rsidRDefault="007D5795" w:rsidP="007D5795">
      <w:pPr>
        <w:pStyle w:val="TextoNormalNegritaCursivandice"/>
        <w:keepNext/>
      </w:pPr>
      <w:r>
        <w:t>Comunidad Autónoma de las Illes Balears. Decreto 56/2016, de 16 de septiembre, de desarrollo de la Ley 4/2014, de 20 de junio, de transportes terrestres y movilidad sostenible de las Illes Balears, con relación a los vehículos dedicados a la actividad de transporte público urbano e interurbano de viajeros en vehículos de turismo</w:t>
      </w:r>
    </w:p>
    <w:p w14:paraId="37E13DAD" w14:textId="0C1C2A1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2" w:history="1">
        <w:r w:rsidRPr="007D5795">
          <w:rPr>
            <w:rStyle w:val="TextoNormalCaracter"/>
          </w:rPr>
          <w:t>112/2024</w:t>
        </w:r>
      </w:hyperlink>
      <w:r>
        <w:t>, f. 1.</w:t>
      </w:r>
    </w:p>
    <w:p w14:paraId="24CE3AC7" w14:textId="16B1A3AF" w:rsidR="007D5795" w:rsidRDefault="007D5795" w:rsidP="007D5795">
      <w:pPr>
        <w:pStyle w:val="SangriaFrancesaArticulo"/>
      </w:pPr>
    </w:p>
    <w:p w14:paraId="726EAC3F" w14:textId="77777777" w:rsidR="007D5795" w:rsidRDefault="007D5795" w:rsidP="007D5795">
      <w:pPr>
        <w:pStyle w:val="TextoNormalNegritaCursivandice"/>
        <w:keepNext/>
      </w:pPr>
      <w:r>
        <w:t>Comunidad Autónoma de las Illes Balears. Decreto 46/2019, de 7 de junio, por el que se establecen las autorizaciones de alquiler de vehículos con conductor de ámbito insular y carácter temporal en la isla de Mallorca</w:t>
      </w:r>
    </w:p>
    <w:p w14:paraId="52476FCC" w14:textId="35F3E5C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36E3DAB8" w14:textId="4BBFB08D" w:rsidR="007D5795" w:rsidRDefault="007D5795" w:rsidP="007D5795">
      <w:pPr>
        <w:pStyle w:val="SangriaFrancesaArticulo"/>
      </w:pPr>
      <w:r w:rsidRPr="007D5795">
        <w:rPr>
          <w:rStyle w:val="TextoNormalNegritaCaracter"/>
        </w:rPr>
        <w:t>Preámbulo.</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18BF0B9E" w14:textId="6C8FE91C" w:rsidR="007D5795" w:rsidRDefault="007D5795" w:rsidP="007D5795">
      <w:pPr>
        <w:pStyle w:val="SangriaFrancesaArticulo"/>
      </w:pPr>
      <w:r w:rsidRPr="007D5795">
        <w:rPr>
          <w:rStyle w:val="TextoNormalNegritaCaracter"/>
        </w:rPr>
        <w:t>Artículo 3.</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64EF2E4D" w14:textId="7B977209" w:rsidR="007D5795" w:rsidRDefault="007D5795" w:rsidP="007D5795">
      <w:pPr>
        <w:pStyle w:val="SangriaFrancesaArticulo"/>
      </w:pPr>
      <w:r w:rsidRPr="007D5795">
        <w:rPr>
          <w:rStyle w:val="TextoNormalNegritaCaracter"/>
        </w:rPr>
        <w:t>Artículo 11.1.</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4D214646" w14:textId="26D143F3" w:rsidR="007D5795" w:rsidRDefault="007D5795" w:rsidP="007D5795">
      <w:pPr>
        <w:pStyle w:val="SangriaFrancesaArticulo"/>
      </w:pPr>
      <w:r w:rsidRPr="007D5795">
        <w:rPr>
          <w:rStyle w:val="TextoNormalNegritaCaracter"/>
        </w:rPr>
        <w:t>Artículo 11.2.</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785E621C" w14:textId="57E6D25E" w:rsidR="007D5795" w:rsidRDefault="007D5795" w:rsidP="007D5795">
      <w:pPr>
        <w:pStyle w:val="TextoNormal"/>
      </w:pPr>
    </w:p>
    <w:p w14:paraId="3BDD695A" w14:textId="77777777" w:rsidR="007D5795" w:rsidRDefault="007D5795" w:rsidP="007D5795">
      <w:pPr>
        <w:pStyle w:val="TextoNormalNegritaCentrado"/>
        <w:suppressAutoHyphens/>
      </w:pPr>
      <w:r w:rsidRPr="007D5795">
        <w:rPr>
          <w:rStyle w:val="TextoNormalNegritaCentradoSombreado"/>
        </w:rPr>
        <w:t>J.4) Canarias</w:t>
      </w:r>
    </w:p>
    <w:p w14:paraId="761CAFF0" w14:textId="45968E49" w:rsidR="007D5795" w:rsidRDefault="007D5795" w:rsidP="007D5795">
      <w:pPr>
        <w:pStyle w:val="TextoNormal"/>
      </w:pPr>
    </w:p>
    <w:p w14:paraId="744243C3" w14:textId="77777777" w:rsidR="007D5795" w:rsidRDefault="007D5795" w:rsidP="007D5795">
      <w:pPr>
        <w:pStyle w:val="TextoNormalNegritaCentradoSubrayado"/>
        <w:suppressAutoHyphens/>
      </w:pPr>
      <w:r>
        <w:t>J.4.a) Estatuto de Autonomía</w:t>
      </w:r>
    </w:p>
    <w:p w14:paraId="06B9F217" w14:textId="268916F4" w:rsidR="007D5795" w:rsidRDefault="007D5795" w:rsidP="007D5795">
      <w:pPr>
        <w:pStyle w:val="TextoNormalNegritaCentradoSubrayado"/>
      </w:pPr>
    </w:p>
    <w:p w14:paraId="0DEF345C" w14:textId="77777777" w:rsidR="007D5795" w:rsidRDefault="007D5795" w:rsidP="007D5795">
      <w:pPr>
        <w:pStyle w:val="TextoNormalNegritaCursivandice"/>
        <w:keepNext/>
      </w:pPr>
      <w:r>
        <w:t>Ley Orgánica 1/2018, de 5 de noviembre, de reforma del Estatuto de Autonomía de Canarias</w:t>
      </w:r>
    </w:p>
    <w:p w14:paraId="7C4259C9" w14:textId="7FA628CA" w:rsidR="007D5795" w:rsidRDefault="007D5795" w:rsidP="007D5795">
      <w:pPr>
        <w:pStyle w:val="SangriaFrancesaArticulo"/>
      </w:pPr>
      <w:r w:rsidRPr="007D5795">
        <w:rPr>
          <w:rStyle w:val="TextoNormalNegritaCaracter"/>
        </w:rPr>
        <w:t>Artículo 157 b).</w:t>
      </w:r>
      <w:r w:rsidRPr="007D5795">
        <w:rPr>
          <w:rStyle w:val="TextoNormalCaracter"/>
        </w:rPr>
        <w:t>-</w:t>
      </w:r>
      <w:r>
        <w:t xml:space="preserve"> Sentencia </w:t>
      </w:r>
      <w:hyperlink w:anchor="SENTENCIA_2024_119" w:history="1">
        <w:r w:rsidRPr="007D5795">
          <w:rPr>
            <w:rStyle w:val="TextoNormalCaracter"/>
          </w:rPr>
          <w:t>119/2024</w:t>
        </w:r>
      </w:hyperlink>
      <w:r>
        <w:t>, ff. 1, 4, 5.</w:t>
      </w:r>
    </w:p>
    <w:p w14:paraId="372DF774" w14:textId="797AEF7C" w:rsidR="007D5795" w:rsidRDefault="007D5795" w:rsidP="007D5795">
      <w:pPr>
        <w:pStyle w:val="TextoNormal"/>
      </w:pPr>
    </w:p>
    <w:p w14:paraId="40EA4B9D" w14:textId="77777777" w:rsidR="007D5795" w:rsidRDefault="007D5795" w:rsidP="007D5795">
      <w:pPr>
        <w:pStyle w:val="TextoNormalNegritaCentrado"/>
        <w:suppressAutoHyphens/>
      </w:pPr>
      <w:r w:rsidRPr="007D5795">
        <w:rPr>
          <w:rStyle w:val="TextoNormalNegritaCentradoSombreado"/>
        </w:rPr>
        <w:t>J.5) Cataluña</w:t>
      </w:r>
    </w:p>
    <w:p w14:paraId="67DD54BE" w14:textId="3108FD4D" w:rsidR="007D5795" w:rsidRDefault="007D5795" w:rsidP="007D5795">
      <w:pPr>
        <w:pStyle w:val="TextoNormal"/>
      </w:pPr>
    </w:p>
    <w:p w14:paraId="5B2DE1E7" w14:textId="77777777" w:rsidR="007D5795" w:rsidRDefault="007D5795" w:rsidP="007D5795">
      <w:pPr>
        <w:pStyle w:val="TextoNormalNegritaCentradoSubrayado"/>
        <w:suppressAutoHyphens/>
      </w:pPr>
      <w:r>
        <w:t>J.5.a) Estatuto de Autonomía</w:t>
      </w:r>
    </w:p>
    <w:p w14:paraId="7C7A1E79" w14:textId="73F00CF4" w:rsidR="007D5795" w:rsidRDefault="007D5795" w:rsidP="007D5795">
      <w:pPr>
        <w:pStyle w:val="TextoNormalNegritaCentradoSubrayado"/>
      </w:pPr>
    </w:p>
    <w:p w14:paraId="268755B2" w14:textId="77777777" w:rsidR="007D5795" w:rsidRDefault="007D5795" w:rsidP="007D5795">
      <w:pPr>
        <w:pStyle w:val="TextoNormalNegritaCursivandice"/>
        <w:keepNext/>
      </w:pPr>
      <w:r>
        <w:t>Ley Orgánica 4/1979, de 18 de diciembre, de Estatuto de Autonomía de Cataluña</w:t>
      </w:r>
    </w:p>
    <w:p w14:paraId="2B1D8116" w14:textId="4B9FD3C9" w:rsidR="007D5795" w:rsidRDefault="007D5795" w:rsidP="007D5795">
      <w:pPr>
        <w:pStyle w:val="SangriaFrancesaArticulo"/>
      </w:pPr>
      <w:r w:rsidRPr="007D5795">
        <w:rPr>
          <w:rStyle w:val="TextoNormalNegritaCaracter"/>
        </w:rPr>
        <w:t>Artículo 150.</w:t>
      </w:r>
      <w:r w:rsidRPr="007D5795">
        <w:rPr>
          <w:rStyle w:val="TextoNormalCaracter"/>
        </w:rPr>
        <w:t>-</w:t>
      </w:r>
      <w:r>
        <w:t xml:space="preserve"> Sentencias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VP I.</w:t>
      </w:r>
    </w:p>
    <w:p w14:paraId="2AD5312A" w14:textId="42207408" w:rsidR="007D5795" w:rsidRDefault="007D5795" w:rsidP="007D5795">
      <w:pPr>
        <w:pStyle w:val="SangriaFrancesaArticulo"/>
      </w:pPr>
      <w:r w:rsidRPr="007D5795">
        <w:rPr>
          <w:rStyle w:val="TextoNormalNegritaCaracter"/>
        </w:rPr>
        <w:t>Artículo 159.</w:t>
      </w:r>
      <w:r w:rsidRPr="007D5795">
        <w:rPr>
          <w:rStyle w:val="TextoNormalCaracter"/>
        </w:rPr>
        <w:t>-</w:t>
      </w:r>
      <w:r>
        <w:t xml:space="preserve"> Sentencias </w:t>
      </w:r>
      <w:hyperlink w:anchor="SENTENCIA_2024_99" w:history="1">
        <w:r w:rsidRPr="007D5795">
          <w:rPr>
            <w:rStyle w:val="TextoNormalCaracter"/>
          </w:rPr>
          <w:t>99/2024</w:t>
        </w:r>
      </w:hyperlink>
      <w:r>
        <w:t xml:space="preserve">, VP I, VP III; </w:t>
      </w:r>
      <w:hyperlink w:anchor="SENTENCIA_2024_100" w:history="1">
        <w:r w:rsidRPr="007D5795">
          <w:rPr>
            <w:rStyle w:val="TextoNormalCaracter"/>
          </w:rPr>
          <w:t>100/2024</w:t>
        </w:r>
      </w:hyperlink>
      <w:r>
        <w:t>, VP I.</w:t>
      </w:r>
    </w:p>
    <w:p w14:paraId="265392CE" w14:textId="6F33A1DB" w:rsidR="007D5795" w:rsidRDefault="007D5795" w:rsidP="007D5795">
      <w:pPr>
        <w:pStyle w:val="SangriaFrancesaArticulo"/>
      </w:pPr>
    </w:p>
    <w:p w14:paraId="35606D1C" w14:textId="77777777" w:rsidR="007D5795" w:rsidRDefault="007D5795" w:rsidP="007D5795">
      <w:pPr>
        <w:pStyle w:val="TextoNormalNegritaCursivandice"/>
        <w:keepNext/>
      </w:pPr>
      <w:r>
        <w:t>Ley Orgánica 6/2006, de 19 de julio, de reforma del Estatuto de Autonomía de Cataluña</w:t>
      </w:r>
    </w:p>
    <w:p w14:paraId="21DB9B3E" w14:textId="4CBCA8A8" w:rsidR="007D5795" w:rsidRDefault="007D5795" w:rsidP="007D5795">
      <w:pPr>
        <w:pStyle w:val="SangriaFrancesaArticulo"/>
      </w:pPr>
      <w:r w:rsidRPr="007D5795">
        <w:rPr>
          <w:rStyle w:val="TextoNormalNegritaCaracter"/>
        </w:rPr>
        <w:t>Artículo 2.</w:t>
      </w:r>
      <w:r w:rsidRPr="007D5795">
        <w:rPr>
          <w:rStyle w:val="TextoNormalCaracter"/>
        </w:rPr>
        <w:t>-</w:t>
      </w:r>
      <w:r>
        <w:t xml:space="preserve"> Sentencia </w:t>
      </w:r>
      <w:hyperlink w:anchor="SENTENCIA_2024_143" w:history="1">
        <w:r w:rsidRPr="007D5795">
          <w:rPr>
            <w:rStyle w:val="TextoNormalCaracter"/>
          </w:rPr>
          <w:t>143/2024</w:t>
        </w:r>
      </w:hyperlink>
      <w:r>
        <w:t>, f. 2.</w:t>
      </w:r>
    </w:p>
    <w:p w14:paraId="3CA4A81F" w14:textId="28502C48" w:rsidR="007D5795" w:rsidRDefault="007D5795" w:rsidP="007D5795">
      <w:pPr>
        <w:pStyle w:val="SangriaFrancesaArticulo"/>
      </w:pPr>
      <w:r w:rsidRPr="007D5795">
        <w:rPr>
          <w:rStyle w:val="TextoNormalNegritaCaracter"/>
        </w:rPr>
        <w:t>Artículo 29.3.</w:t>
      </w:r>
      <w:r w:rsidRPr="007D5795">
        <w:rPr>
          <w:rStyle w:val="TextoNormalCaracter"/>
        </w:rPr>
        <w:t>-</w:t>
      </w:r>
      <w:r>
        <w:t xml:space="preserve"> Sentencia </w:t>
      </w:r>
      <w:hyperlink w:anchor="SENTENCIA_2024_143" w:history="1">
        <w:r w:rsidRPr="007D5795">
          <w:rPr>
            <w:rStyle w:val="TextoNormalCaracter"/>
          </w:rPr>
          <w:t>143/2024</w:t>
        </w:r>
      </w:hyperlink>
      <w:r>
        <w:t>, ff. 2, 3.</w:t>
      </w:r>
    </w:p>
    <w:p w14:paraId="74EDBA5C" w14:textId="404BC689" w:rsidR="007D5795" w:rsidRDefault="007D5795" w:rsidP="007D5795">
      <w:pPr>
        <w:pStyle w:val="SangriaFrancesaArticulo"/>
      </w:pPr>
      <w:r w:rsidRPr="007D5795">
        <w:rPr>
          <w:rStyle w:val="TextoNormalNegritaCaracter"/>
        </w:rPr>
        <w:t>Artículo 62.1.</w:t>
      </w:r>
      <w:r w:rsidRPr="007D5795">
        <w:rPr>
          <w:rStyle w:val="TextoNormalCaracter"/>
        </w:rPr>
        <w:t>-</w:t>
      </w:r>
      <w:r>
        <w:t xml:space="preserve"> Sentencia </w:t>
      </w:r>
      <w:hyperlink w:anchor="SENTENCIA_2024_143" w:history="1">
        <w:r w:rsidRPr="007D5795">
          <w:rPr>
            <w:rStyle w:val="TextoNormalCaracter"/>
          </w:rPr>
          <w:t>143/2024</w:t>
        </w:r>
      </w:hyperlink>
      <w:r>
        <w:t>, ff. 2, 3.</w:t>
      </w:r>
    </w:p>
    <w:p w14:paraId="22499499" w14:textId="29DDF40A" w:rsidR="007D5795" w:rsidRDefault="007D5795" w:rsidP="007D5795">
      <w:pPr>
        <w:pStyle w:val="SangriaFrancesaArticulo"/>
      </w:pPr>
      <w:r w:rsidRPr="007D5795">
        <w:rPr>
          <w:rStyle w:val="TextoNormalNegritaCaracter"/>
        </w:rPr>
        <w:t>Artículo 62.2.</w:t>
      </w:r>
      <w:r w:rsidRPr="007D5795">
        <w:rPr>
          <w:rStyle w:val="TextoNormalCaracter"/>
        </w:rPr>
        <w:t>-</w:t>
      </w:r>
      <w:r>
        <w:t xml:space="preserve"> Sentencia </w:t>
      </w:r>
      <w:hyperlink w:anchor="SENTENCIA_2024_121" w:history="1">
        <w:r w:rsidRPr="007D5795">
          <w:rPr>
            <w:rStyle w:val="TextoNormalCaracter"/>
          </w:rPr>
          <w:t>121/2024</w:t>
        </w:r>
      </w:hyperlink>
      <w:r>
        <w:t>, f. 1.</w:t>
      </w:r>
    </w:p>
    <w:p w14:paraId="78617FCF" w14:textId="671821B5" w:rsidR="007D5795" w:rsidRDefault="007D5795" w:rsidP="007D5795">
      <w:pPr>
        <w:pStyle w:val="SangriaFrancesaArticulo"/>
      </w:pPr>
      <w:r w:rsidRPr="007D5795">
        <w:rPr>
          <w:rStyle w:val="TextoNormalNegritaCaracter"/>
        </w:rPr>
        <w:t>Artículo 64.</w:t>
      </w:r>
      <w:r w:rsidRPr="007D5795">
        <w:rPr>
          <w:rStyle w:val="TextoNormalCaracter"/>
        </w:rPr>
        <w:t>-</w:t>
      </w:r>
      <w:r>
        <w:t xml:space="preserve"> Sentencia </w:t>
      </w:r>
      <w:hyperlink w:anchor="SENTENCIA_2024_121" w:history="1">
        <w:r w:rsidRPr="007D5795">
          <w:rPr>
            <w:rStyle w:val="TextoNormalCaracter"/>
          </w:rPr>
          <w:t>121/2024</w:t>
        </w:r>
      </w:hyperlink>
      <w:r>
        <w:t>, ff. 1, 4.</w:t>
      </w:r>
    </w:p>
    <w:p w14:paraId="518BE985" w14:textId="558728E2" w:rsidR="007D5795" w:rsidRDefault="007D5795" w:rsidP="007D5795">
      <w:pPr>
        <w:pStyle w:val="SangriaFrancesaArticulo"/>
      </w:pPr>
      <w:r w:rsidRPr="007D5795">
        <w:rPr>
          <w:rStyle w:val="TextoNormalNegritaCaracter"/>
        </w:rPr>
        <w:t>Artículo 64.1.</w:t>
      </w:r>
      <w:r w:rsidRPr="007D5795">
        <w:rPr>
          <w:rStyle w:val="TextoNormalCaracter"/>
        </w:rPr>
        <w:t>-</w:t>
      </w:r>
      <w:r>
        <w:t xml:space="preserve"> Sentencias </w:t>
      </w:r>
      <w:hyperlink w:anchor="SENTENCIA_2024_120" w:history="1">
        <w:r w:rsidRPr="007D5795">
          <w:rPr>
            <w:rStyle w:val="TextoNormalCaracter"/>
          </w:rPr>
          <w:t>120/2024</w:t>
        </w:r>
      </w:hyperlink>
      <w:r>
        <w:t xml:space="preserve">, ff. 2, 4; </w:t>
      </w:r>
      <w:hyperlink w:anchor="SENTENCIA_2024_121" w:history="1">
        <w:r w:rsidRPr="007D5795">
          <w:rPr>
            <w:rStyle w:val="TextoNormalCaracter"/>
          </w:rPr>
          <w:t>121/2024</w:t>
        </w:r>
      </w:hyperlink>
      <w:r>
        <w:t xml:space="preserve">, ff. 1, 2, 4; </w:t>
      </w:r>
      <w:hyperlink w:anchor="SENTENCIA_2024_127" w:history="1">
        <w:r w:rsidRPr="007D5795">
          <w:rPr>
            <w:rStyle w:val="TextoNormalCaracter"/>
          </w:rPr>
          <w:t>127/2024</w:t>
        </w:r>
      </w:hyperlink>
      <w:r>
        <w:t>, f. 1.</w:t>
      </w:r>
    </w:p>
    <w:p w14:paraId="61D0E8A7" w14:textId="4DC8AF6A" w:rsidR="007D5795" w:rsidRDefault="007D5795" w:rsidP="007D5795">
      <w:pPr>
        <w:pStyle w:val="SangriaFrancesaArticulo"/>
      </w:pPr>
      <w:r w:rsidRPr="007D5795">
        <w:rPr>
          <w:rStyle w:val="TextoNormalNegritaCaracter"/>
        </w:rPr>
        <w:t>Artículo 64.2.</w:t>
      </w:r>
      <w:r w:rsidRPr="007D5795">
        <w:rPr>
          <w:rStyle w:val="TextoNormalCaracter"/>
        </w:rPr>
        <w:t>-</w:t>
      </w:r>
      <w:r>
        <w:t xml:space="preserve"> Sentencias </w:t>
      </w:r>
      <w:hyperlink w:anchor="SENTENCIA_2024_120" w:history="1">
        <w:r w:rsidRPr="007D5795">
          <w:rPr>
            <w:rStyle w:val="TextoNormalCaracter"/>
          </w:rPr>
          <w:t>120/2024</w:t>
        </w:r>
      </w:hyperlink>
      <w:r>
        <w:t xml:space="preserve">, f. 4; </w:t>
      </w:r>
      <w:hyperlink w:anchor="SENTENCIA_2024_121" w:history="1">
        <w:r w:rsidRPr="007D5795">
          <w:rPr>
            <w:rStyle w:val="TextoNormalCaracter"/>
          </w:rPr>
          <w:t>121/2024</w:t>
        </w:r>
      </w:hyperlink>
      <w:r>
        <w:t>, ff. 2, 4.</w:t>
      </w:r>
    </w:p>
    <w:p w14:paraId="4D8C7F58" w14:textId="17E1A63D" w:rsidR="007D5795" w:rsidRDefault="007D5795" w:rsidP="007D5795">
      <w:pPr>
        <w:pStyle w:val="SangriaFrancesaArticulo"/>
      </w:pPr>
      <w:r w:rsidRPr="007D5795">
        <w:rPr>
          <w:rStyle w:val="TextoNormalNegritaCaracter"/>
        </w:rPr>
        <w:t>Artículo 64.3.</w:t>
      </w:r>
      <w:r w:rsidRPr="007D5795">
        <w:rPr>
          <w:rStyle w:val="TextoNormalCaracter"/>
        </w:rPr>
        <w:t>-</w:t>
      </w:r>
      <w:r>
        <w:t xml:space="preserve"> Sentencia </w:t>
      </w:r>
      <w:hyperlink w:anchor="SENTENCIA_2024_121" w:history="1">
        <w:r w:rsidRPr="007D5795">
          <w:rPr>
            <w:rStyle w:val="TextoNormalCaracter"/>
          </w:rPr>
          <w:t>121/2024</w:t>
        </w:r>
      </w:hyperlink>
      <w:r>
        <w:t>, f. 2.</w:t>
      </w:r>
    </w:p>
    <w:p w14:paraId="51B5571A" w14:textId="04792D05" w:rsidR="007D5795" w:rsidRDefault="007D5795" w:rsidP="007D5795">
      <w:pPr>
        <w:pStyle w:val="SangriaFrancesaArticulo"/>
      </w:pPr>
      <w:r w:rsidRPr="007D5795">
        <w:rPr>
          <w:rStyle w:val="TextoNormalNegritaCaracter"/>
        </w:rPr>
        <w:t>Artículo 68.3.</w:t>
      </w:r>
      <w:r w:rsidRPr="007D5795">
        <w:rPr>
          <w:rStyle w:val="TextoNormalCaracter"/>
        </w:rPr>
        <w:t>-</w:t>
      </w:r>
      <w:r>
        <w:t xml:space="preserve"> Sentencia </w:t>
      </w:r>
      <w:hyperlink w:anchor="SENTENCIA_2024_121" w:history="1">
        <w:r w:rsidRPr="007D5795">
          <w:rPr>
            <w:rStyle w:val="TextoNormalCaracter"/>
          </w:rPr>
          <w:t>121/2024</w:t>
        </w:r>
      </w:hyperlink>
      <w:r>
        <w:t>, ff. 1, 4.</w:t>
      </w:r>
    </w:p>
    <w:p w14:paraId="09E801CF" w14:textId="54450E06" w:rsidR="007D5795" w:rsidRDefault="007D5795" w:rsidP="007D5795">
      <w:pPr>
        <w:pStyle w:val="SangriaFrancesaArticulo"/>
      </w:pPr>
      <w:r w:rsidRPr="007D5795">
        <w:rPr>
          <w:rStyle w:val="TextoNormalNegritaCaracter"/>
        </w:rPr>
        <w:t>Artículo 71.</w:t>
      </w:r>
      <w:r w:rsidRPr="007D5795">
        <w:rPr>
          <w:rStyle w:val="TextoNormalCaracter"/>
        </w:rPr>
        <w:t>-</w:t>
      </w:r>
      <w:r>
        <w:t xml:space="preserve"> Sentencias </w:t>
      </w:r>
      <w:hyperlink w:anchor="SENTENCIA_2024_121" w:history="1">
        <w:r w:rsidRPr="007D5795">
          <w:rPr>
            <w:rStyle w:val="TextoNormalCaracter"/>
          </w:rPr>
          <w:t>121/2024</w:t>
        </w:r>
      </w:hyperlink>
      <w:r>
        <w:t xml:space="preserve">, f. 1; </w:t>
      </w:r>
      <w:hyperlink w:anchor="SENTENCIA_2024_127" w:history="1">
        <w:r w:rsidRPr="007D5795">
          <w:rPr>
            <w:rStyle w:val="TextoNormalCaracter"/>
          </w:rPr>
          <w:t>127/2024</w:t>
        </w:r>
      </w:hyperlink>
      <w:r>
        <w:t>, f. 1.</w:t>
      </w:r>
    </w:p>
    <w:p w14:paraId="3ADE8517" w14:textId="23A49436" w:rsidR="007D5795" w:rsidRDefault="007D5795" w:rsidP="007D5795">
      <w:pPr>
        <w:pStyle w:val="SangriaFrancesaArticulo"/>
      </w:pPr>
      <w:r w:rsidRPr="007D5795">
        <w:rPr>
          <w:rStyle w:val="TextoNormalNegritaCaracter"/>
        </w:rPr>
        <w:t>Artículo 86.</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24819136" w14:textId="64BAA6D1" w:rsidR="007D5795" w:rsidRDefault="007D5795" w:rsidP="007D5795">
      <w:pPr>
        <w:pStyle w:val="SangriaFrancesaArticulo"/>
      </w:pPr>
      <w:r w:rsidRPr="007D5795">
        <w:rPr>
          <w:rStyle w:val="TextoNormalNegritaCaracter"/>
        </w:rPr>
        <w:t>Artículo 119.1.</w:t>
      </w:r>
      <w:r w:rsidRPr="007D5795">
        <w:rPr>
          <w:rStyle w:val="TextoNormalCaracter"/>
        </w:rPr>
        <w:t>-</w:t>
      </w:r>
      <w:r>
        <w:t xml:space="preserve"> Auto </w:t>
      </w:r>
      <w:hyperlink w:anchor="AUTO_2024_81" w:history="1">
        <w:r w:rsidRPr="007D5795">
          <w:rPr>
            <w:rStyle w:val="TextoNormalCaracter"/>
          </w:rPr>
          <w:t>81/2024</w:t>
        </w:r>
      </w:hyperlink>
      <w:r>
        <w:t>, ff. 1, 2.</w:t>
      </w:r>
    </w:p>
    <w:p w14:paraId="58EDDE74" w14:textId="0CCBBEF2" w:rsidR="007D5795" w:rsidRDefault="007D5795" w:rsidP="007D5795">
      <w:pPr>
        <w:pStyle w:val="SangriaFrancesaArticulo"/>
      </w:pPr>
      <w:r w:rsidRPr="007D5795">
        <w:rPr>
          <w:rStyle w:val="TextoNormalNegritaCaracter"/>
        </w:rPr>
        <w:t>Artículo 123.</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10F9A9E0" w14:textId="34BCA202" w:rsidR="007D5795" w:rsidRDefault="007D5795" w:rsidP="007D5795">
      <w:pPr>
        <w:pStyle w:val="SangriaFrancesaArticulo"/>
      </w:pPr>
      <w:r w:rsidRPr="007D5795">
        <w:rPr>
          <w:rStyle w:val="TextoNormalNegritaCaracter"/>
        </w:rPr>
        <w:t>Artículo 129.</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3847F3C3" w14:textId="2B3209E4" w:rsidR="007D5795" w:rsidRDefault="007D5795" w:rsidP="007D5795">
      <w:pPr>
        <w:pStyle w:val="SangriaFrancesaArticulo"/>
      </w:pPr>
      <w:r w:rsidRPr="007D5795">
        <w:rPr>
          <w:rStyle w:val="TextoNormalNegritaCaracter"/>
        </w:rPr>
        <w:t>Artículo 130.</w:t>
      </w:r>
      <w:r w:rsidRPr="007D5795">
        <w:rPr>
          <w:rStyle w:val="TextoNormalCaracter"/>
        </w:rPr>
        <w:t>-</w:t>
      </w:r>
      <w:r>
        <w:t xml:space="preserve"> Sentencias </w:t>
      </w:r>
      <w:hyperlink w:anchor="SENTENCIA_2024_120" w:history="1">
        <w:r w:rsidRPr="007D5795">
          <w:rPr>
            <w:rStyle w:val="TextoNormalCaracter"/>
          </w:rPr>
          <w:t>120/2024</w:t>
        </w:r>
      </w:hyperlink>
      <w:r>
        <w:t xml:space="preserve">, f. 5; </w:t>
      </w:r>
      <w:hyperlink w:anchor="SENTENCIA_2024_121" w:history="1">
        <w:r w:rsidRPr="007D5795">
          <w:rPr>
            <w:rStyle w:val="TextoNormalCaracter"/>
          </w:rPr>
          <w:t>121/2024</w:t>
        </w:r>
      </w:hyperlink>
      <w:r>
        <w:t>, VP I.</w:t>
      </w:r>
    </w:p>
    <w:p w14:paraId="6B097B04" w14:textId="36CAF330" w:rsidR="007D5795" w:rsidRDefault="007D5795" w:rsidP="007D5795">
      <w:pPr>
        <w:pStyle w:val="SangriaFrancesaArticulo"/>
      </w:pPr>
      <w:r w:rsidRPr="007D5795">
        <w:rPr>
          <w:rStyle w:val="TextoNormalNegritaCaracter"/>
        </w:rPr>
        <w:t>Artículo 136.</w:t>
      </w:r>
      <w:r w:rsidRPr="007D5795">
        <w:rPr>
          <w:rStyle w:val="TextoNormalCaracter"/>
        </w:rPr>
        <w:t>-</w:t>
      </w:r>
      <w:r>
        <w:t xml:space="preserve"> Sentencia </w:t>
      </w:r>
      <w:hyperlink w:anchor="SENTENCIA_2024_121" w:history="1">
        <w:r w:rsidRPr="007D5795">
          <w:rPr>
            <w:rStyle w:val="TextoNormalCaracter"/>
          </w:rPr>
          <w:t>121/2024</w:t>
        </w:r>
      </w:hyperlink>
      <w:r>
        <w:t>, f. 1.</w:t>
      </w:r>
    </w:p>
    <w:p w14:paraId="07D59163" w14:textId="259E21B6" w:rsidR="007D5795" w:rsidRDefault="007D5795" w:rsidP="007D5795">
      <w:pPr>
        <w:pStyle w:val="SangriaFrancesaArticulo"/>
      </w:pPr>
      <w:r w:rsidRPr="007D5795">
        <w:rPr>
          <w:rStyle w:val="TextoNormalNegritaCaracter"/>
        </w:rPr>
        <w:t>Artículo 137.</w:t>
      </w:r>
      <w:r w:rsidRPr="007D5795">
        <w:rPr>
          <w:rStyle w:val="TextoNormalCaracter"/>
        </w:rPr>
        <w:t>-</w:t>
      </w:r>
      <w:r>
        <w:t xml:space="preserve"> Sentencias </w:t>
      </w:r>
      <w:hyperlink w:anchor="SENTENCIA_2024_120" w:history="1">
        <w:r w:rsidRPr="007D5795">
          <w:rPr>
            <w:rStyle w:val="TextoNormalCaracter"/>
          </w:rPr>
          <w:t>120/2024</w:t>
        </w:r>
      </w:hyperlink>
      <w:r>
        <w:t xml:space="preserve">, ff. 4, 5, 8, VP III; </w:t>
      </w:r>
      <w:hyperlink w:anchor="SENTENCIA_2024_130" w:history="1">
        <w:r w:rsidRPr="007D5795">
          <w:rPr>
            <w:rStyle w:val="TextoNormalCaracter"/>
          </w:rPr>
          <w:t>130/2024</w:t>
        </w:r>
      </w:hyperlink>
      <w:r>
        <w:t>, f. 1.</w:t>
      </w:r>
    </w:p>
    <w:p w14:paraId="14C82F69" w14:textId="31D8AE25" w:rsidR="007D5795" w:rsidRDefault="007D5795" w:rsidP="007D5795">
      <w:pPr>
        <w:pStyle w:val="SangriaFrancesaArticulo"/>
      </w:pPr>
      <w:r w:rsidRPr="007D5795">
        <w:rPr>
          <w:rStyle w:val="TextoNormalNegritaCaracter"/>
        </w:rPr>
        <w:t>Artículo 137.1.</w:t>
      </w:r>
      <w:r w:rsidRPr="007D5795">
        <w:rPr>
          <w:rStyle w:val="TextoNormalCaracter"/>
        </w:rPr>
        <w:t>-</w:t>
      </w:r>
      <w:r>
        <w:t xml:space="preserve"> Sentencia </w:t>
      </w:r>
      <w:hyperlink w:anchor="SENTENCIA_2024_120" w:history="1">
        <w:r w:rsidRPr="007D5795">
          <w:rPr>
            <w:rStyle w:val="TextoNormalCaracter"/>
          </w:rPr>
          <w:t>120/2024</w:t>
        </w:r>
      </w:hyperlink>
      <w:r>
        <w:t>, ff. 4, 5.</w:t>
      </w:r>
    </w:p>
    <w:p w14:paraId="4DFFB56D" w14:textId="4536873F" w:rsidR="007D5795" w:rsidRDefault="007D5795" w:rsidP="007D5795">
      <w:pPr>
        <w:pStyle w:val="SangriaFrancesaArticulo"/>
      </w:pPr>
      <w:r w:rsidRPr="007D5795">
        <w:rPr>
          <w:rStyle w:val="TextoNormalNegritaCaracter"/>
        </w:rPr>
        <w:t>Artículo 137.1 a).</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3BC045F7" w14:textId="1FC28DED" w:rsidR="007D5795" w:rsidRDefault="007D5795" w:rsidP="007D5795">
      <w:pPr>
        <w:pStyle w:val="SangriaFrancesaArticulo"/>
      </w:pPr>
      <w:r w:rsidRPr="007D5795">
        <w:rPr>
          <w:rStyle w:val="TextoNormalNegritaCaracter"/>
        </w:rPr>
        <w:t>Artículo 137.1 b).</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14CF067E" w14:textId="7391454A" w:rsidR="007D5795" w:rsidRDefault="007D5795" w:rsidP="007D5795">
      <w:pPr>
        <w:pStyle w:val="SangriaFrancesaArticulo"/>
      </w:pPr>
      <w:r w:rsidRPr="007D5795">
        <w:rPr>
          <w:rStyle w:val="TextoNormalNegritaCaracter"/>
        </w:rPr>
        <w:t>Artículo 137.1 c).</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258B3D03" w14:textId="0A1ED41F" w:rsidR="007D5795" w:rsidRDefault="007D5795" w:rsidP="007D5795">
      <w:pPr>
        <w:pStyle w:val="SangriaFrancesaArticulo"/>
      </w:pPr>
      <w:r w:rsidRPr="007D5795">
        <w:rPr>
          <w:rStyle w:val="TextoNormalNegritaCaracter"/>
        </w:rPr>
        <w:t>Artículo 150.</w:t>
      </w:r>
      <w:r w:rsidRPr="007D5795">
        <w:rPr>
          <w:rStyle w:val="TextoNormalCaracter"/>
        </w:rPr>
        <w:t>-</w:t>
      </w:r>
      <w:r>
        <w:t xml:space="preserve"> Sentencias </w:t>
      </w:r>
      <w:hyperlink w:anchor="SENTENCIA_2024_102" w:history="1">
        <w:r w:rsidRPr="007D5795">
          <w:rPr>
            <w:rStyle w:val="TextoNormalCaracter"/>
          </w:rPr>
          <w:t>102/2024</w:t>
        </w:r>
      </w:hyperlink>
      <w:r>
        <w:t xml:space="preserve">, VP I; </w:t>
      </w:r>
      <w:hyperlink w:anchor="SENTENCIA_2024_103" w:history="1">
        <w:r w:rsidRPr="007D5795">
          <w:rPr>
            <w:rStyle w:val="TextoNormalCaracter"/>
          </w:rPr>
          <w:t>103/2024</w:t>
        </w:r>
      </w:hyperlink>
      <w:r>
        <w:t xml:space="preserve">, VP I; </w:t>
      </w:r>
      <w:hyperlink w:anchor="SENTENCIA_2024_121" w:history="1">
        <w:r w:rsidRPr="007D5795">
          <w:rPr>
            <w:rStyle w:val="TextoNormalCaracter"/>
          </w:rPr>
          <w:t>121/2024</w:t>
        </w:r>
      </w:hyperlink>
      <w:r>
        <w:t>, f. 1.</w:t>
      </w:r>
    </w:p>
    <w:p w14:paraId="53EADFCE" w14:textId="247EBC56" w:rsidR="007D5795" w:rsidRDefault="007D5795" w:rsidP="007D5795">
      <w:pPr>
        <w:pStyle w:val="SangriaFrancesaArticulo"/>
      </w:pPr>
      <w:r w:rsidRPr="007D5795">
        <w:rPr>
          <w:rStyle w:val="TextoNormalNegritaCaracter"/>
        </w:rPr>
        <w:t>Artículo 159.</w:t>
      </w:r>
      <w:r w:rsidRPr="007D5795">
        <w:rPr>
          <w:rStyle w:val="TextoNormalCaracter"/>
        </w:rPr>
        <w:t>-</w:t>
      </w:r>
      <w:r>
        <w:t xml:space="preserve"> Sentencias </w:t>
      </w:r>
      <w:hyperlink w:anchor="SENTENCIA_2024_102" w:history="1">
        <w:r w:rsidRPr="007D5795">
          <w:rPr>
            <w:rStyle w:val="TextoNormalCaracter"/>
          </w:rPr>
          <w:t>102/2024</w:t>
        </w:r>
      </w:hyperlink>
      <w:r>
        <w:t xml:space="preserve">, VP I; </w:t>
      </w:r>
      <w:hyperlink w:anchor="SENTENCIA_2024_103" w:history="1">
        <w:r w:rsidRPr="007D5795">
          <w:rPr>
            <w:rStyle w:val="TextoNormalCaracter"/>
          </w:rPr>
          <w:t>103/2024</w:t>
        </w:r>
      </w:hyperlink>
      <w:r>
        <w:t xml:space="preserve">, VP I; </w:t>
      </w:r>
      <w:hyperlink w:anchor="SENTENCIA_2024_121" w:history="1">
        <w:r w:rsidRPr="007D5795">
          <w:rPr>
            <w:rStyle w:val="TextoNormalCaracter"/>
          </w:rPr>
          <w:t>121/2024</w:t>
        </w:r>
      </w:hyperlink>
      <w:r>
        <w:t>, f. 1.</w:t>
      </w:r>
    </w:p>
    <w:p w14:paraId="151B61F4" w14:textId="679A4F84" w:rsidR="007D5795" w:rsidRDefault="007D5795" w:rsidP="007D5795">
      <w:pPr>
        <w:pStyle w:val="SangriaFrancesaArticulo"/>
      </w:pPr>
      <w:r w:rsidRPr="007D5795">
        <w:rPr>
          <w:rStyle w:val="TextoNormalNegritaCaracter"/>
        </w:rPr>
        <w:t>Artículo 211.</w:t>
      </w:r>
      <w:r w:rsidRPr="007D5795">
        <w:rPr>
          <w:rStyle w:val="TextoNormalCaracter"/>
        </w:rPr>
        <w:t>-</w:t>
      </w:r>
      <w:r>
        <w:t xml:space="preserve"> Sentencia </w:t>
      </w:r>
      <w:hyperlink w:anchor="SENTENCIA_2024_121" w:history="1">
        <w:r w:rsidRPr="007D5795">
          <w:rPr>
            <w:rStyle w:val="TextoNormalCaracter"/>
          </w:rPr>
          <w:t>121/2024</w:t>
        </w:r>
      </w:hyperlink>
      <w:r>
        <w:t>, f. 1.</w:t>
      </w:r>
    </w:p>
    <w:p w14:paraId="3E474486" w14:textId="4F1C8B5E" w:rsidR="007D5795" w:rsidRDefault="007D5795" w:rsidP="007D5795">
      <w:pPr>
        <w:pStyle w:val="TextoNormal"/>
      </w:pPr>
    </w:p>
    <w:p w14:paraId="3CA01972" w14:textId="77777777" w:rsidR="007D5795" w:rsidRDefault="007D5795" w:rsidP="007D5795">
      <w:pPr>
        <w:pStyle w:val="TextoNormalNegritaCentradoSubrayado"/>
        <w:suppressAutoHyphens/>
      </w:pPr>
      <w:r>
        <w:t>J.5.b) Leyes y disposiciones con fuerza de Ley</w:t>
      </w:r>
    </w:p>
    <w:p w14:paraId="6203A427" w14:textId="40BD6387" w:rsidR="007D5795" w:rsidRDefault="007D5795" w:rsidP="007D5795">
      <w:pPr>
        <w:pStyle w:val="TextoNormalNegritaCentradoSubrayado"/>
      </w:pPr>
    </w:p>
    <w:p w14:paraId="6B31AD45" w14:textId="77777777" w:rsidR="007D5795" w:rsidRDefault="007D5795" w:rsidP="007D5795">
      <w:pPr>
        <w:pStyle w:val="TextoNormalNegritaCursivandice"/>
        <w:keepNext/>
      </w:pPr>
      <w:r>
        <w:t>Comunidad Autónoma de Cataluña. Decreto Legislativo 3/2002, de 24 de diciembre,  por el que se aprueba el texto refundido de la Ley de finanzas públicas de Cataluña</w:t>
      </w:r>
    </w:p>
    <w:p w14:paraId="6756E867" w14:textId="2BA16DCE" w:rsidR="007D5795" w:rsidRDefault="007D5795" w:rsidP="007D5795">
      <w:pPr>
        <w:pStyle w:val="SangriaFrancesaArticulo"/>
      </w:pPr>
      <w:r w:rsidRPr="007D5795">
        <w:rPr>
          <w:rStyle w:val="TextoNormalNegritaCaracter"/>
        </w:rPr>
        <w:t>Artículo 13.1.</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51F9670A" w14:textId="67F2C405" w:rsidR="007D5795" w:rsidRDefault="007D5795" w:rsidP="007D5795">
      <w:pPr>
        <w:pStyle w:val="SangriaFrancesaArticulo"/>
      </w:pPr>
    </w:p>
    <w:p w14:paraId="2046DEC4" w14:textId="77777777" w:rsidR="007D5795" w:rsidRDefault="007D5795" w:rsidP="007D5795">
      <w:pPr>
        <w:pStyle w:val="TextoNormalNegritaCursivandice"/>
        <w:keepNext/>
      </w:pPr>
      <w:r>
        <w:t>Comunidad Autónoma de Cataluña. Ley 1/2006, de 16 de febrero, de la iniciativa legislativa popular</w:t>
      </w:r>
    </w:p>
    <w:p w14:paraId="03E6EF98" w14:textId="4CD0DD54" w:rsidR="007D5795" w:rsidRDefault="007D5795" w:rsidP="007D5795">
      <w:pPr>
        <w:pStyle w:val="SangriaFrancesaArticulo"/>
        <w:keepNext/>
      </w:pPr>
      <w:r w:rsidRPr="007D5795">
        <w:rPr>
          <w:rStyle w:val="TextoNormalNegritaCaracter"/>
        </w:rPr>
        <w:t>En general.</w:t>
      </w:r>
      <w:r w:rsidRPr="007D5795">
        <w:rPr>
          <w:rStyle w:val="TextoNormalCaracter"/>
        </w:rPr>
        <w:t>-</w:t>
      </w:r>
      <w:r>
        <w:t xml:space="preserve"> Sentencia </w:t>
      </w:r>
      <w:hyperlink w:anchor="SENTENCIA_2024_143" w:history="1">
        <w:r w:rsidRPr="007D5795">
          <w:rPr>
            <w:rStyle w:val="TextoNormalCaracter"/>
          </w:rPr>
          <w:t>143/2024</w:t>
        </w:r>
      </w:hyperlink>
      <w:r>
        <w:t>, f. 2.</w:t>
      </w:r>
    </w:p>
    <w:p w14:paraId="7662BE7B" w14:textId="1C59DACB" w:rsidR="007D5795" w:rsidRDefault="007D5795" w:rsidP="007D5795">
      <w:pPr>
        <w:pStyle w:val="SangriaIzquierdaArticulo"/>
      </w:pPr>
      <w:r>
        <w:t xml:space="preserve">Auto </w:t>
      </w:r>
      <w:hyperlink w:anchor="AUTO_2024_98" w:history="1">
        <w:r w:rsidRPr="007D5795">
          <w:rPr>
            <w:rStyle w:val="TextoNormalCaracter"/>
          </w:rPr>
          <w:t>98/2024</w:t>
        </w:r>
      </w:hyperlink>
      <w:r>
        <w:t>, f. único.</w:t>
      </w:r>
    </w:p>
    <w:p w14:paraId="2DF5A442" w14:textId="31383445"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Sentencia </w:t>
      </w:r>
      <w:hyperlink w:anchor="SENTENCIA_2024_143" w:history="1">
        <w:r w:rsidRPr="007D5795">
          <w:rPr>
            <w:rStyle w:val="TextoNormalCaracter"/>
          </w:rPr>
          <w:t>143/2024</w:t>
        </w:r>
      </w:hyperlink>
      <w:r>
        <w:t>, f. 3.</w:t>
      </w:r>
    </w:p>
    <w:p w14:paraId="6AA24C8D" w14:textId="102B3344" w:rsidR="007D5795" w:rsidRDefault="007D5795" w:rsidP="007D5795">
      <w:pPr>
        <w:pStyle w:val="SangriaFrancesaArticulo"/>
      </w:pPr>
      <w:r w:rsidRPr="007D5795">
        <w:rPr>
          <w:rStyle w:val="TextoNormalNegritaCaracter"/>
        </w:rPr>
        <w:t>Artículos 1 a 6.</w:t>
      </w:r>
      <w:r w:rsidRPr="007D5795">
        <w:rPr>
          <w:rStyle w:val="TextoNormalCaracter"/>
        </w:rPr>
        <w:t>-</w:t>
      </w:r>
      <w:r>
        <w:t xml:space="preserve"> Sentencia </w:t>
      </w:r>
      <w:hyperlink w:anchor="SENTENCIA_2024_143" w:history="1">
        <w:r w:rsidRPr="007D5795">
          <w:rPr>
            <w:rStyle w:val="TextoNormalCaracter"/>
          </w:rPr>
          <w:t>143/2024</w:t>
        </w:r>
      </w:hyperlink>
      <w:r>
        <w:t>, f. 1.</w:t>
      </w:r>
    </w:p>
    <w:p w14:paraId="7C68BC37" w14:textId="0CB0A7F6" w:rsidR="007D5795" w:rsidRDefault="007D5795" w:rsidP="007D5795">
      <w:pPr>
        <w:pStyle w:val="SangriaFrancesaArticulo"/>
      </w:pPr>
      <w:r w:rsidRPr="007D5795">
        <w:rPr>
          <w:rStyle w:val="TextoNormalNegritaCaracter"/>
        </w:rPr>
        <w:t>Artículo 2.</w:t>
      </w:r>
      <w:r w:rsidRPr="007D5795">
        <w:rPr>
          <w:rStyle w:val="TextoNormalCaracter"/>
        </w:rPr>
        <w:t>-</w:t>
      </w:r>
      <w:r>
        <w:t xml:space="preserve"> Sentencia </w:t>
      </w:r>
      <w:hyperlink w:anchor="SENTENCIA_2024_143" w:history="1">
        <w:r w:rsidRPr="007D5795">
          <w:rPr>
            <w:rStyle w:val="TextoNormalCaracter"/>
          </w:rPr>
          <w:t>143/2024</w:t>
        </w:r>
      </w:hyperlink>
      <w:r>
        <w:t>, f. 2.</w:t>
      </w:r>
    </w:p>
    <w:p w14:paraId="4EFFBCFA" w14:textId="7F73F224" w:rsidR="007D5795" w:rsidRDefault="007D5795" w:rsidP="007D5795">
      <w:pPr>
        <w:pStyle w:val="SangriaFrancesaArticulo"/>
      </w:pPr>
      <w:r w:rsidRPr="007D5795">
        <w:rPr>
          <w:rStyle w:val="TextoNormalNegritaCaracter"/>
        </w:rPr>
        <w:t>Artículo 2.1.</w:t>
      </w:r>
      <w:r w:rsidRPr="007D5795">
        <w:rPr>
          <w:rStyle w:val="TextoNormalCaracter"/>
        </w:rPr>
        <w:t>-</w:t>
      </w:r>
      <w:r>
        <w:t xml:space="preserve"> Sentencia </w:t>
      </w:r>
      <w:hyperlink w:anchor="SENTENCIA_2024_143" w:history="1">
        <w:r w:rsidRPr="007D5795">
          <w:rPr>
            <w:rStyle w:val="TextoNormalCaracter"/>
          </w:rPr>
          <w:t>143/2024</w:t>
        </w:r>
      </w:hyperlink>
      <w:r>
        <w:t>, f. 2.</w:t>
      </w:r>
    </w:p>
    <w:p w14:paraId="03A3F709" w14:textId="4F872565" w:rsidR="007D5795" w:rsidRDefault="007D5795" w:rsidP="007D5795">
      <w:pPr>
        <w:pStyle w:val="SangriaFrancesaArticulo"/>
      </w:pPr>
      <w:r w:rsidRPr="007D5795">
        <w:rPr>
          <w:rStyle w:val="TextoNormalNegritaCaracter"/>
        </w:rPr>
        <w:t>Artículo 2.2.</w:t>
      </w:r>
      <w:r w:rsidRPr="007D5795">
        <w:rPr>
          <w:rStyle w:val="TextoNormalCaracter"/>
        </w:rPr>
        <w:t>-</w:t>
      </w:r>
      <w:r>
        <w:t xml:space="preserve"> Sentencia </w:t>
      </w:r>
      <w:hyperlink w:anchor="SENTENCIA_2024_143" w:history="1">
        <w:r w:rsidRPr="007D5795">
          <w:rPr>
            <w:rStyle w:val="TextoNormalCaracter"/>
          </w:rPr>
          <w:t>143/2024</w:t>
        </w:r>
      </w:hyperlink>
      <w:r>
        <w:t>, f. 2.</w:t>
      </w:r>
    </w:p>
    <w:p w14:paraId="611AD7EF" w14:textId="35ABB56A" w:rsidR="007D5795" w:rsidRDefault="007D5795" w:rsidP="007D5795">
      <w:pPr>
        <w:pStyle w:val="SangriaFrancesaArticulo"/>
      </w:pPr>
      <w:r w:rsidRPr="007D5795">
        <w:rPr>
          <w:rStyle w:val="TextoNormalNegritaCaracter"/>
        </w:rPr>
        <w:t>Artículo 4.1.</w:t>
      </w:r>
      <w:r w:rsidRPr="007D5795">
        <w:rPr>
          <w:rStyle w:val="TextoNormalCaracter"/>
        </w:rPr>
        <w:t>-</w:t>
      </w:r>
      <w:r>
        <w:t xml:space="preserve"> Sentencia </w:t>
      </w:r>
      <w:hyperlink w:anchor="SENTENCIA_2024_143" w:history="1">
        <w:r w:rsidRPr="007D5795">
          <w:rPr>
            <w:rStyle w:val="TextoNormalCaracter"/>
          </w:rPr>
          <w:t>143/2024</w:t>
        </w:r>
      </w:hyperlink>
      <w:r>
        <w:t>, f. 2.</w:t>
      </w:r>
    </w:p>
    <w:p w14:paraId="3F3355F4" w14:textId="4614EAA6" w:rsidR="007D5795" w:rsidRDefault="007D5795" w:rsidP="007D5795">
      <w:pPr>
        <w:pStyle w:val="SangriaFrancesaArticulo"/>
      </w:pPr>
      <w:r w:rsidRPr="007D5795">
        <w:rPr>
          <w:rStyle w:val="TextoNormalNegritaCaracter"/>
        </w:rPr>
        <w:t>Artículo 6.2.</w:t>
      </w:r>
      <w:r w:rsidRPr="007D5795">
        <w:rPr>
          <w:rStyle w:val="TextoNormalCaracter"/>
        </w:rPr>
        <w:t>-</w:t>
      </w:r>
      <w:r>
        <w:t xml:space="preserve"> Sentencia </w:t>
      </w:r>
      <w:hyperlink w:anchor="SENTENCIA_2024_143" w:history="1">
        <w:r w:rsidRPr="007D5795">
          <w:rPr>
            <w:rStyle w:val="TextoNormalCaracter"/>
          </w:rPr>
          <w:t>143/2024</w:t>
        </w:r>
      </w:hyperlink>
      <w:r>
        <w:t>, ff. 2, 3.</w:t>
      </w:r>
    </w:p>
    <w:p w14:paraId="14682B17" w14:textId="7B470D52" w:rsidR="007D5795" w:rsidRDefault="007D5795" w:rsidP="007D5795">
      <w:pPr>
        <w:pStyle w:val="SangriaFrancesaArticulo"/>
      </w:pPr>
      <w:r w:rsidRPr="007D5795">
        <w:rPr>
          <w:rStyle w:val="TextoNormalNegritaCaracter"/>
        </w:rPr>
        <w:t>Artículo 6.5.</w:t>
      </w:r>
      <w:r w:rsidRPr="007D5795">
        <w:rPr>
          <w:rStyle w:val="TextoNormalCaracter"/>
        </w:rPr>
        <w:t>-</w:t>
      </w:r>
      <w:r>
        <w:t xml:space="preserve"> Sentencia </w:t>
      </w:r>
      <w:hyperlink w:anchor="SENTENCIA_2024_143" w:history="1">
        <w:r w:rsidRPr="007D5795">
          <w:rPr>
            <w:rStyle w:val="TextoNormalCaracter"/>
          </w:rPr>
          <w:t>143/2024</w:t>
        </w:r>
      </w:hyperlink>
      <w:r>
        <w:t>, ff. 1, 2.</w:t>
      </w:r>
    </w:p>
    <w:p w14:paraId="41946BFE" w14:textId="4599043E" w:rsidR="007D5795" w:rsidRDefault="007D5795" w:rsidP="007D5795">
      <w:pPr>
        <w:pStyle w:val="SangriaFrancesaArticulo"/>
      </w:pPr>
      <w:r w:rsidRPr="007D5795">
        <w:rPr>
          <w:rStyle w:val="TextoNormalNegritaCaracter"/>
        </w:rPr>
        <w:t>Artículo 7.</w:t>
      </w:r>
      <w:r w:rsidRPr="007D5795">
        <w:rPr>
          <w:rStyle w:val="TextoNormalCaracter"/>
        </w:rPr>
        <w:t>-</w:t>
      </w:r>
      <w:r>
        <w:t xml:space="preserve"> Sentencia </w:t>
      </w:r>
      <w:hyperlink w:anchor="SENTENCIA_2024_143" w:history="1">
        <w:r w:rsidRPr="007D5795">
          <w:rPr>
            <w:rStyle w:val="TextoNormalCaracter"/>
          </w:rPr>
          <w:t>143/2024</w:t>
        </w:r>
      </w:hyperlink>
      <w:r>
        <w:t>, f. 2.</w:t>
      </w:r>
    </w:p>
    <w:p w14:paraId="595ACD32" w14:textId="57094DB1"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 </w:t>
      </w:r>
      <w:hyperlink w:anchor="SENTENCIA_2024_143" w:history="1">
        <w:r w:rsidRPr="007D5795">
          <w:rPr>
            <w:rStyle w:val="TextoNormalCaracter"/>
          </w:rPr>
          <w:t>143/2024</w:t>
        </w:r>
      </w:hyperlink>
      <w:r>
        <w:t>, f. 2.</w:t>
      </w:r>
    </w:p>
    <w:p w14:paraId="7D2DC12C" w14:textId="71709437" w:rsidR="007D5795" w:rsidRDefault="007D5795" w:rsidP="007D5795">
      <w:pPr>
        <w:pStyle w:val="SangriaFrancesaArticulo"/>
      </w:pPr>
      <w:r w:rsidRPr="007D5795">
        <w:rPr>
          <w:rStyle w:val="TextoNormalNegritaCaracter"/>
        </w:rPr>
        <w:t>Artículo 11.2.</w:t>
      </w:r>
      <w:r w:rsidRPr="007D5795">
        <w:rPr>
          <w:rStyle w:val="TextoNormalCaracter"/>
        </w:rPr>
        <w:t>-</w:t>
      </w:r>
      <w:r>
        <w:t xml:space="preserve"> Sentencia </w:t>
      </w:r>
      <w:hyperlink w:anchor="SENTENCIA_2024_143" w:history="1">
        <w:r w:rsidRPr="007D5795">
          <w:rPr>
            <w:rStyle w:val="TextoNormalCaracter"/>
          </w:rPr>
          <w:t>143/2024</w:t>
        </w:r>
      </w:hyperlink>
      <w:r>
        <w:t>, f. 2.</w:t>
      </w:r>
    </w:p>
    <w:p w14:paraId="050ABFAB" w14:textId="79189382" w:rsidR="007D5795" w:rsidRDefault="007D5795" w:rsidP="007D5795">
      <w:pPr>
        <w:pStyle w:val="SangriaFrancesaArticulo"/>
      </w:pPr>
      <w:r w:rsidRPr="007D5795">
        <w:rPr>
          <w:rStyle w:val="TextoNormalNegritaCaracter"/>
        </w:rPr>
        <w:t>Artículo 14.</w:t>
      </w:r>
      <w:r w:rsidRPr="007D5795">
        <w:rPr>
          <w:rStyle w:val="TextoNormalCaracter"/>
        </w:rPr>
        <w:t>-</w:t>
      </w:r>
      <w:r>
        <w:t xml:space="preserve"> Sentencia </w:t>
      </w:r>
      <w:hyperlink w:anchor="SENTENCIA_2024_143" w:history="1">
        <w:r w:rsidRPr="007D5795">
          <w:rPr>
            <w:rStyle w:val="TextoNormalCaracter"/>
          </w:rPr>
          <w:t>143/2024</w:t>
        </w:r>
      </w:hyperlink>
      <w:r>
        <w:t>, f. 2.</w:t>
      </w:r>
    </w:p>
    <w:p w14:paraId="176C2880" w14:textId="175C9575" w:rsidR="007D5795" w:rsidRDefault="007D5795" w:rsidP="007D5795">
      <w:pPr>
        <w:pStyle w:val="SangriaFrancesaArticulo"/>
      </w:pPr>
      <w:r w:rsidRPr="007D5795">
        <w:rPr>
          <w:rStyle w:val="TextoNormalNegritaCaracter"/>
        </w:rPr>
        <w:t>Artículo 15.</w:t>
      </w:r>
      <w:r w:rsidRPr="007D5795">
        <w:rPr>
          <w:rStyle w:val="TextoNormalCaracter"/>
        </w:rPr>
        <w:t>-</w:t>
      </w:r>
      <w:r>
        <w:t xml:space="preserve"> Sentencia </w:t>
      </w:r>
      <w:hyperlink w:anchor="SENTENCIA_2024_143" w:history="1">
        <w:r w:rsidRPr="007D5795">
          <w:rPr>
            <w:rStyle w:val="TextoNormalCaracter"/>
          </w:rPr>
          <w:t>143/2024</w:t>
        </w:r>
      </w:hyperlink>
      <w:r>
        <w:t>, f. 2.</w:t>
      </w:r>
    </w:p>
    <w:p w14:paraId="0710C1BE" w14:textId="23191D6E" w:rsidR="007D5795" w:rsidRDefault="007D5795" w:rsidP="007D5795">
      <w:pPr>
        <w:pStyle w:val="SangriaFrancesaArticulo"/>
      </w:pPr>
      <w:r w:rsidRPr="007D5795">
        <w:rPr>
          <w:rStyle w:val="TextoNormalNegritaCaracter"/>
        </w:rPr>
        <w:t>Artículo 16.</w:t>
      </w:r>
      <w:r w:rsidRPr="007D5795">
        <w:rPr>
          <w:rStyle w:val="TextoNormalCaracter"/>
        </w:rPr>
        <w:t>-</w:t>
      </w:r>
      <w:r>
        <w:t xml:space="preserve"> Sentencia </w:t>
      </w:r>
      <w:hyperlink w:anchor="SENTENCIA_2024_143" w:history="1">
        <w:r w:rsidRPr="007D5795">
          <w:rPr>
            <w:rStyle w:val="TextoNormalCaracter"/>
          </w:rPr>
          <w:t>143/2024</w:t>
        </w:r>
      </w:hyperlink>
      <w:r>
        <w:t>, f. 2.</w:t>
      </w:r>
    </w:p>
    <w:p w14:paraId="1EA56FD1" w14:textId="45E07DAA" w:rsidR="007D5795" w:rsidRDefault="007D5795" w:rsidP="007D5795">
      <w:pPr>
        <w:pStyle w:val="SangriaFrancesaArticulo"/>
      </w:pPr>
      <w:r w:rsidRPr="007D5795">
        <w:rPr>
          <w:rStyle w:val="TextoNormalNegritaCaracter"/>
        </w:rPr>
        <w:t>Disposición transitoria primera.</w:t>
      </w:r>
      <w:r w:rsidRPr="007D5795">
        <w:rPr>
          <w:rStyle w:val="TextoNormalCaracter"/>
        </w:rPr>
        <w:t>-</w:t>
      </w:r>
      <w:r>
        <w:t xml:space="preserve"> Sentencia </w:t>
      </w:r>
      <w:hyperlink w:anchor="SENTENCIA_2024_143" w:history="1">
        <w:r w:rsidRPr="007D5795">
          <w:rPr>
            <w:rStyle w:val="TextoNormalCaracter"/>
          </w:rPr>
          <w:t>143/2024</w:t>
        </w:r>
      </w:hyperlink>
      <w:r>
        <w:t>, f. 2.</w:t>
      </w:r>
    </w:p>
    <w:p w14:paraId="0ACEB8F1" w14:textId="3799B444" w:rsidR="007D5795" w:rsidRDefault="007D5795" w:rsidP="007D5795">
      <w:pPr>
        <w:pStyle w:val="SangriaFrancesaArticulo"/>
      </w:pPr>
    </w:p>
    <w:p w14:paraId="6D382FD6" w14:textId="77777777" w:rsidR="007D5795" w:rsidRDefault="007D5795" w:rsidP="007D5795">
      <w:pPr>
        <w:pStyle w:val="TextoNormalNegritaCursivandice"/>
        <w:keepNext/>
      </w:pPr>
      <w:r>
        <w:t>Comunidad Autónoma de Cataluña. Ley del Parlamento 18/2007, de 28 de diciembre, del derecho a la vivienda</w:t>
      </w:r>
    </w:p>
    <w:p w14:paraId="3477E62F" w14:textId="281CC45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ff. 2, 5, 7.</w:t>
      </w:r>
    </w:p>
    <w:p w14:paraId="25A2A570" w14:textId="675D6E53" w:rsidR="007D5795" w:rsidRDefault="007D5795" w:rsidP="007D5795">
      <w:pPr>
        <w:pStyle w:val="SangriaFrancesaArticulo"/>
      </w:pPr>
      <w:r w:rsidRPr="007D5795">
        <w:rPr>
          <w:rStyle w:val="TextoNormalNegritaCaracter"/>
        </w:rPr>
        <w:t>Título VII, capítulo II.</w:t>
      </w:r>
      <w:r w:rsidRPr="007D5795">
        <w:rPr>
          <w:rStyle w:val="TextoNormalCaracter"/>
        </w:rPr>
        <w:t>-</w:t>
      </w:r>
      <w:r>
        <w:t xml:space="preserve"> Sentencia </w:t>
      </w:r>
      <w:hyperlink w:anchor="SENTENCIA_2024_120" w:history="1">
        <w:r w:rsidRPr="007D5795">
          <w:rPr>
            <w:rStyle w:val="TextoNormalCaracter"/>
          </w:rPr>
          <w:t>120/2024</w:t>
        </w:r>
      </w:hyperlink>
      <w:r>
        <w:t>, f. 7.</w:t>
      </w:r>
    </w:p>
    <w:p w14:paraId="4E0F0C01" w14:textId="1FC0D869" w:rsidR="007D5795" w:rsidRDefault="007D5795" w:rsidP="007D5795">
      <w:pPr>
        <w:pStyle w:val="SangriaFrancesaArticulo"/>
      </w:pPr>
      <w:r w:rsidRPr="007D5795">
        <w:rPr>
          <w:rStyle w:val="TextoNormalNegritaCaracter"/>
        </w:rPr>
        <w:t>Artículo 5</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00D927F6" w14:textId="38C1E21E" w:rsidR="007D5795" w:rsidRDefault="007D5795" w:rsidP="007D5795">
      <w:pPr>
        <w:pStyle w:val="SangriaFrancesaArticulo"/>
      </w:pPr>
      <w:r w:rsidRPr="007D5795">
        <w:rPr>
          <w:rStyle w:val="TextoNormalNegritaCaracter"/>
        </w:rPr>
        <w:t>Artículo 5.2 b)</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ff. 4, 7.</w:t>
      </w:r>
    </w:p>
    <w:p w14:paraId="1AB7CEC0" w14:textId="27B2CFE9" w:rsidR="007D5795" w:rsidRDefault="007D5795" w:rsidP="007D5795">
      <w:pPr>
        <w:pStyle w:val="SangriaFrancesaArticulo"/>
      </w:pPr>
      <w:r w:rsidRPr="007D5795">
        <w:rPr>
          <w:rStyle w:val="TextoNormalNegritaCaracter"/>
        </w:rPr>
        <w:t>Artículo 5.2 f)</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6B8A5572" w14:textId="0A1FE8B7" w:rsidR="007D5795" w:rsidRDefault="007D5795" w:rsidP="007D5795">
      <w:pPr>
        <w:pStyle w:val="SangriaFrancesaArticulo"/>
      </w:pPr>
      <w:r w:rsidRPr="007D5795">
        <w:rPr>
          <w:rStyle w:val="TextoNormalNegritaCaracter"/>
        </w:rPr>
        <w:t>Artículo 5.3 bis.</w:t>
      </w:r>
      <w:r w:rsidRPr="007D5795">
        <w:rPr>
          <w:rStyle w:val="TextoNormalCaracter"/>
        </w:rPr>
        <w:t>-</w:t>
      </w:r>
      <w:r>
        <w:t xml:space="preserve"> Sentencia </w:t>
      </w:r>
      <w:hyperlink w:anchor="SENTENCIA_2024_120" w:history="1">
        <w:r w:rsidRPr="007D5795">
          <w:rPr>
            <w:rStyle w:val="TextoNormalCaracter"/>
          </w:rPr>
          <w:t>120/2024</w:t>
        </w:r>
      </w:hyperlink>
      <w:r>
        <w:t>, f. 7.</w:t>
      </w:r>
    </w:p>
    <w:p w14:paraId="5C7D377F" w14:textId="41634F65" w:rsidR="007D5795" w:rsidRDefault="007D5795" w:rsidP="007D5795">
      <w:pPr>
        <w:pStyle w:val="SangriaFrancesaArticulo"/>
      </w:pPr>
      <w:r w:rsidRPr="007D5795">
        <w:rPr>
          <w:rStyle w:val="TextoNormalNegritaCaracter"/>
        </w:rPr>
        <w:t>Artículo 15.2</w:t>
      </w:r>
      <w:r>
        <w:t xml:space="preserve"> (redactado por el Decreto-ley 6/2024, de 24 de abril)</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796F721F" w14:textId="6FF6698C" w:rsidR="007D5795" w:rsidRDefault="007D5795" w:rsidP="007D5795">
      <w:pPr>
        <w:pStyle w:val="SangriaFrancesaArticulo"/>
      </w:pPr>
      <w:r w:rsidRPr="007D5795">
        <w:rPr>
          <w:rStyle w:val="TextoNormalNegritaCaracter"/>
        </w:rPr>
        <w:t>Artículo 41</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2C442566" w14:textId="66B920F4" w:rsidR="007D5795" w:rsidRDefault="007D5795" w:rsidP="007D5795">
      <w:pPr>
        <w:pStyle w:val="SangriaFrancesaArticulo"/>
      </w:pPr>
      <w:r w:rsidRPr="007D5795">
        <w:rPr>
          <w:rStyle w:val="TextoNormalNegritaCaracter"/>
        </w:rPr>
        <w:t>Artículo 42</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78F19039" w14:textId="27F8B23C" w:rsidR="007D5795" w:rsidRDefault="007D5795" w:rsidP="007D5795">
      <w:pPr>
        <w:pStyle w:val="SangriaFrancesaArticulo"/>
      </w:pPr>
      <w:r w:rsidRPr="007D5795">
        <w:rPr>
          <w:rStyle w:val="TextoNormalNegritaCaracter"/>
        </w:rPr>
        <w:t>Artículo 42.4 y 5</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112EF590" w14:textId="2393EEED" w:rsidR="007D5795" w:rsidRDefault="007D5795" w:rsidP="007D5795">
      <w:pPr>
        <w:pStyle w:val="SangriaFrancesaArticulo"/>
      </w:pPr>
      <w:r w:rsidRPr="007D5795">
        <w:rPr>
          <w:rStyle w:val="TextoNormalNegritaCaracter"/>
        </w:rPr>
        <w:t>Artículo 59 g)</w:t>
      </w:r>
      <w:r>
        <w:t xml:space="preserve"> (redactado por el Decreto-ley 6/2024, de 24 de abril)</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59018A7E" w14:textId="007BDF71" w:rsidR="007D5795" w:rsidRDefault="007D5795" w:rsidP="007D5795">
      <w:pPr>
        <w:pStyle w:val="SangriaFrancesaArticulo"/>
      </w:pPr>
      <w:r w:rsidRPr="007D5795">
        <w:rPr>
          <w:rStyle w:val="TextoNormalNegritaCaracter"/>
        </w:rPr>
        <w:t>Artículo 61.2</w:t>
      </w:r>
      <w:r>
        <w:t xml:space="preserve"> (redactado por el Decreto-ley 6/2024, de 24 de abril)</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6525C3A4" w14:textId="74071991" w:rsidR="007D5795" w:rsidRDefault="007D5795" w:rsidP="007D5795">
      <w:pPr>
        <w:pStyle w:val="SangriaFrancesaArticulo"/>
      </w:pPr>
      <w:r w:rsidRPr="007D5795">
        <w:rPr>
          <w:rStyle w:val="TextoNormalNegritaCaracter"/>
        </w:rPr>
        <w:t>Artículo 66 bis</w:t>
      </w:r>
      <w:r>
        <w:t xml:space="preserve"> (redactado por el Decreto-ley 6/2024, de 24 de abril)</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4A8ECF6E" w14:textId="08368903" w:rsidR="007D5795" w:rsidRDefault="007D5795" w:rsidP="007D5795">
      <w:pPr>
        <w:pStyle w:val="SangriaFrancesaArticulo"/>
      </w:pPr>
      <w:r w:rsidRPr="007D5795">
        <w:rPr>
          <w:rStyle w:val="TextoNormalNegritaCaracter"/>
        </w:rPr>
        <w:t>Artículo 66.2</w:t>
      </w:r>
      <w:r>
        <w:t xml:space="preserve"> (redactado por el Decreto-ley 6/2024, de 24 de abril)</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7F2D1CAC" w14:textId="42FCD982" w:rsidR="007D5795" w:rsidRDefault="007D5795" w:rsidP="007D5795">
      <w:pPr>
        <w:pStyle w:val="SangriaFrancesaArticulo"/>
      </w:pPr>
      <w:r w:rsidRPr="007D5795">
        <w:rPr>
          <w:rStyle w:val="TextoNormalNegritaCaracter"/>
        </w:rPr>
        <w:t>Artículo 113</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0F0DCD62" w14:textId="4557D8F2" w:rsidR="007D5795" w:rsidRDefault="007D5795" w:rsidP="007D5795">
      <w:pPr>
        <w:pStyle w:val="SangriaFrancesaArticulo"/>
      </w:pPr>
      <w:r w:rsidRPr="007D5795">
        <w:rPr>
          <w:rStyle w:val="TextoNormalNegritaCaracter"/>
        </w:rPr>
        <w:t>Artículo 118.1.</w:t>
      </w:r>
      <w:r w:rsidRPr="007D5795">
        <w:rPr>
          <w:rStyle w:val="TextoNormalCaracter"/>
        </w:rPr>
        <w:t>-</w:t>
      </w:r>
      <w:r>
        <w:t xml:space="preserve"> Sentencia </w:t>
      </w:r>
      <w:hyperlink w:anchor="SENTENCIA_2024_120" w:history="1">
        <w:r w:rsidRPr="007D5795">
          <w:rPr>
            <w:rStyle w:val="TextoNormalCaracter"/>
          </w:rPr>
          <w:t>120/2024</w:t>
        </w:r>
      </w:hyperlink>
      <w:r>
        <w:t>, f. 7.</w:t>
      </w:r>
    </w:p>
    <w:p w14:paraId="72405335" w14:textId="216DC043" w:rsidR="007D5795" w:rsidRDefault="007D5795" w:rsidP="007D5795">
      <w:pPr>
        <w:pStyle w:val="SangriaFrancesaArticulo"/>
      </w:pPr>
      <w:r w:rsidRPr="007D5795">
        <w:rPr>
          <w:rStyle w:val="TextoNormalNegritaCaracter"/>
        </w:rPr>
        <w:t>Artículo 118.2.</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05C9724F" w14:textId="3FB94346" w:rsidR="007D5795" w:rsidRDefault="007D5795" w:rsidP="007D5795">
      <w:pPr>
        <w:pStyle w:val="SangriaFrancesaArticulo"/>
      </w:pPr>
      <w:r w:rsidRPr="007D5795">
        <w:rPr>
          <w:rStyle w:val="TextoNormalNegritaCaracter"/>
        </w:rPr>
        <w:t>Artículo 123</w:t>
      </w:r>
      <w:r>
        <w:t xml:space="preserve"> (redactado por el Decreto-ley 6/2024, de 24 de abril)</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306C0215" w14:textId="35952929" w:rsidR="007D5795" w:rsidRDefault="007D5795" w:rsidP="007D5795">
      <w:pPr>
        <w:pStyle w:val="SangriaFrancesaArticulo"/>
      </w:pPr>
      <w:r w:rsidRPr="007D5795">
        <w:rPr>
          <w:rStyle w:val="TextoNormalNegritaCaracter"/>
        </w:rPr>
        <w:t>Artículo 123.1 h)</w:t>
      </w:r>
      <w:r>
        <w:t xml:space="preserve"> (redactado por el Decreto-ley 6/2024, de 24 de abril)</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7.</w:t>
      </w:r>
    </w:p>
    <w:p w14:paraId="65AD7EE1" w14:textId="2C315C66" w:rsidR="007D5795" w:rsidRDefault="007D5795" w:rsidP="007D5795">
      <w:pPr>
        <w:pStyle w:val="SangriaFrancesaArticulo"/>
      </w:pPr>
      <w:r w:rsidRPr="007D5795">
        <w:rPr>
          <w:rStyle w:val="TextoNormalNegritaCaracter"/>
        </w:rPr>
        <w:t>Artículo 123.1 h)</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7.</w:t>
      </w:r>
    </w:p>
    <w:p w14:paraId="04631AD5" w14:textId="6CB5EB28" w:rsidR="007D5795" w:rsidRDefault="007D5795" w:rsidP="007D5795">
      <w:pPr>
        <w:pStyle w:val="SangriaFrancesaArticulo"/>
      </w:pPr>
      <w:r w:rsidRPr="007D5795">
        <w:rPr>
          <w:rStyle w:val="TextoNormalNegritaCaracter"/>
        </w:rPr>
        <w:t>Artículo 124</w:t>
      </w:r>
      <w:r>
        <w:t xml:space="preserve"> (redactado por el Decreto-ley 6/2024, de 24 de abril)</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47083041" w14:textId="08A80C0F" w:rsidR="007D5795" w:rsidRDefault="007D5795" w:rsidP="007D5795">
      <w:pPr>
        <w:pStyle w:val="SangriaFrancesaArticulo"/>
      </w:pPr>
      <w:r w:rsidRPr="007D5795">
        <w:rPr>
          <w:rStyle w:val="TextoNormalNegritaCaracter"/>
        </w:rPr>
        <w:t>Artículo 124.2 i).</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21F2D05A" w14:textId="444D44D4" w:rsidR="007D5795" w:rsidRDefault="007D5795" w:rsidP="007D5795">
      <w:pPr>
        <w:pStyle w:val="SangriaFrancesaArticulo"/>
      </w:pPr>
      <w:r w:rsidRPr="007D5795">
        <w:rPr>
          <w:rStyle w:val="TextoNormalNegritaCaracter"/>
        </w:rPr>
        <w:t>Artículo 125</w:t>
      </w:r>
      <w:r>
        <w:t xml:space="preserve"> (redactado por el Decreto-ley 6/2024, de 24 de abril)</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215C807B" w14:textId="5245841F" w:rsidR="007D5795" w:rsidRDefault="007D5795" w:rsidP="007D5795">
      <w:pPr>
        <w:pStyle w:val="SangriaFrancesaArticulo"/>
      </w:pPr>
      <w:r w:rsidRPr="007D5795">
        <w:rPr>
          <w:rStyle w:val="TextoNormalNegritaCaracter"/>
        </w:rPr>
        <w:t>Artículo 126.5</w:t>
      </w:r>
      <w:r>
        <w:t xml:space="preserve"> (redactado por el Decreto-ley 6/2024, de 24 de abril)</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7.</w:t>
      </w:r>
    </w:p>
    <w:p w14:paraId="243B2363" w14:textId="03C1645C" w:rsidR="007D5795" w:rsidRDefault="007D5795" w:rsidP="007D5795">
      <w:pPr>
        <w:pStyle w:val="SangriaFrancesaArticulo"/>
      </w:pPr>
      <w:r w:rsidRPr="007D5795">
        <w:rPr>
          <w:rStyle w:val="TextoNormalNegritaCaracter"/>
        </w:rPr>
        <w:t>Artículo 126.5</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ff. 7, 9.</w:t>
      </w:r>
    </w:p>
    <w:p w14:paraId="261EAF23" w14:textId="3AC49B62" w:rsidR="007D5795" w:rsidRDefault="007D5795" w:rsidP="007D5795">
      <w:pPr>
        <w:pStyle w:val="SangriaFrancesaArticulo"/>
      </w:pPr>
      <w:r w:rsidRPr="007D5795">
        <w:rPr>
          <w:rStyle w:val="TextoNormalNegritaCaracter"/>
        </w:rPr>
        <w:t>disposición adicional vigésima séptima</w:t>
      </w:r>
      <w:r>
        <w:t xml:space="preserve"> (redactada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3A7CBB39" w14:textId="5E275618" w:rsidR="007D5795" w:rsidRDefault="007D5795" w:rsidP="007D5795">
      <w:pPr>
        <w:pStyle w:val="SangriaFrancesaArticulo"/>
      </w:pPr>
    </w:p>
    <w:p w14:paraId="32F869E5" w14:textId="77777777" w:rsidR="007D5795" w:rsidRDefault="007D5795" w:rsidP="007D5795">
      <w:pPr>
        <w:pStyle w:val="TextoNormalNegritaCursivandice"/>
        <w:keepNext/>
      </w:pPr>
      <w:r>
        <w:t>Comunidad Autónoma de Cataluña. Ley 5/2015, de 13 de mayo, de modificación del libro quinto del Código civil de Cataluña, relativo a los derechos reales</w:t>
      </w:r>
    </w:p>
    <w:p w14:paraId="0E26A868" w14:textId="259135F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3DD72C6E" w14:textId="02D05A59" w:rsidR="007D5795" w:rsidRDefault="007D5795" w:rsidP="007D5795">
      <w:pPr>
        <w:pStyle w:val="SangriaFrancesaArticulo"/>
      </w:pPr>
    </w:p>
    <w:p w14:paraId="139AC33A" w14:textId="77777777" w:rsidR="007D5795" w:rsidRDefault="007D5795" w:rsidP="007D5795">
      <w:pPr>
        <w:pStyle w:val="TextoNormalNegritaCursivandice"/>
        <w:keepNext/>
      </w:pPr>
      <w:r>
        <w:t>Comunidad Autónoma de Cataluña. Ley 24/2015, de 29 de julio, de medidas urgentes para afrontar la emergencia en el ámbito de la vivienda y la pobreza energética</w:t>
      </w:r>
    </w:p>
    <w:p w14:paraId="6A0D9992" w14:textId="2C532D2E" w:rsidR="007D5795" w:rsidRDefault="007D5795" w:rsidP="007D5795">
      <w:pPr>
        <w:pStyle w:val="SangriaFrancesaArticulo"/>
        <w:keepNext/>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ff. 2, 4, 5, 8, VP I, VP II, VP IV.</w:t>
      </w:r>
    </w:p>
    <w:p w14:paraId="62C69C8A" w14:textId="0D584B75" w:rsidR="007D5795" w:rsidRDefault="007D5795" w:rsidP="007D5795">
      <w:pPr>
        <w:pStyle w:val="SangriaIzquierdaArticulo"/>
      </w:pPr>
      <w:r>
        <w:t xml:space="preserve">Auto </w:t>
      </w:r>
      <w:hyperlink w:anchor="AUTO_2024_66" w:history="1">
        <w:r w:rsidRPr="007D5795">
          <w:rPr>
            <w:rStyle w:val="TextoNormalCaracter"/>
          </w:rPr>
          <w:t>66/2024</w:t>
        </w:r>
      </w:hyperlink>
      <w:r>
        <w:t>, f. 2.</w:t>
      </w:r>
    </w:p>
    <w:p w14:paraId="6B46297D" w14:textId="646E501B" w:rsidR="007D5795" w:rsidRDefault="007D5795" w:rsidP="007D5795">
      <w:pPr>
        <w:pStyle w:val="SangriaFrancesaArticulo"/>
      </w:pPr>
      <w:r w:rsidRPr="007D5795">
        <w:rPr>
          <w:rStyle w:val="TextoNormalNegritaCaracter"/>
        </w:rPr>
        <w:t>Artículo 5.</w:t>
      </w:r>
      <w:r w:rsidRPr="007D5795">
        <w:rPr>
          <w:rStyle w:val="TextoNormalCaracter"/>
        </w:rPr>
        <w:t>-</w:t>
      </w:r>
      <w:r>
        <w:t xml:space="preserve"> Sentencia </w:t>
      </w:r>
      <w:hyperlink w:anchor="SENTENCIA_2024_120" w:history="1">
        <w:r w:rsidRPr="007D5795">
          <w:rPr>
            <w:rStyle w:val="TextoNormalCaracter"/>
          </w:rPr>
          <w:t>120/2024</w:t>
        </w:r>
      </w:hyperlink>
      <w:r>
        <w:t>, f. 5, VP I.</w:t>
      </w:r>
    </w:p>
    <w:p w14:paraId="7C479F1A" w14:textId="190D384A" w:rsidR="007D5795" w:rsidRDefault="007D5795" w:rsidP="007D5795">
      <w:pPr>
        <w:pStyle w:val="SangriaFrancesaArticulo"/>
      </w:pPr>
      <w:r w:rsidRPr="007D5795">
        <w:rPr>
          <w:rStyle w:val="TextoNormalNegritaCaracter"/>
        </w:rPr>
        <w:t>Artículo 5.1.</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4E2ACEB7" w14:textId="2D3142A1" w:rsidR="007D5795" w:rsidRDefault="007D5795" w:rsidP="007D5795">
      <w:pPr>
        <w:pStyle w:val="SangriaFrancesaArticulo"/>
      </w:pPr>
      <w:r w:rsidRPr="007D5795">
        <w:rPr>
          <w:rStyle w:val="TextoNormalNegritaCaracter"/>
        </w:rPr>
        <w:t>Artículo 5.2.</w:t>
      </w:r>
      <w:r w:rsidRPr="007D5795">
        <w:rPr>
          <w:rStyle w:val="TextoNormalCaracter"/>
        </w:rPr>
        <w:t>-</w:t>
      </w:r>
      <w:r>
        <w:t xml:space="preserve"> Sentencias </w:t>
      </w:r>
      <w:hyperlink w:anchor="SENTENCIA_2024_120" w:history="1">
        <w:r w:rsidRPr="007D5795">
          <w:rPr>
            <w:rStyle w:val="TextoNormalCaracter"/>
          </w:rPr>
          <w:t>120/2024</w:t>
        </w:r>
      </w:hyperlink>
      <w:r>
        <w:t xml:space="preserve">, ff. 5, 6; </w:t>
      </w:r>
      <w:hyperlink w:anchor="SENTENCIA_2024_130" w:history="1">
        <w:r w:rsidRPr="007D5795">
          <w:rPr>
            <w:rStyle w:val="TextoNormalCaracter"/>
          </w:rPr>
          <w:t>130/2024</w:t>
        </w:r>
      </w:hyperlink>
      <w:r>
        <w:t>, f. 1.</w:t>
      </w:r>
    </w:p>
    <w:p w14:paraId="61B65786" w14:textId="10A53416" w:rsidR="007D5795" w:rsidRDefault="007D5795" w:rsidP="007D5795">
      <w:pPr>
        <w:pStyle w:val="SangriaFrancesaArticulo"/>
      </w:pPr>
      <w:r w:rsidRPr="007D5795">
        <w:rPr>
          <w:rStyle w:val="TextoNormalNegritaCaracter"/>
        </w:rPr>
        <w:t>Artículo 5.3.</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0410039F" w14:textId="19B75E67" w:rsidR="007D5795" w:rsidRDefault="007D5795" w:rsidP="007D5795">
      <w:pPr>
        <w:pStyle w:val="SangriaFrancesaArticulo"/>
      </w:pPr>
      <w:r w:rsidRPr="007D5795">
        <w:rPr>
          <w:rStyle w:val="TextoNormalNegritaCaracter"/>
        </w:rPr>
        <w:t>Artículo 5.4.</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28C65369" w14:textId="4CF67EB5" w:rsidR="007D5795" w:rsidRDefault="007D5795" w:rsidP="007D5795">
      <w:pPr>
        <w:pStyle w:val="SangriaFrancesaArticulo"/>
      </w:pPr>
      <w:r w:rsidRPr="007D5795">
        <w:rPr>
          <w:rStyle w:val="TextoNormalNegritaCaracter"/>
        </w:rPr>
        <w:t>Artículo 5.7</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ff. 5, 6.</w:t>
      </w:r>
    </w:p>
    <w:p w14:paraId="10C3EF11" w14:textId="27F5C60A" w:rsidR="007D5795" w:rsidRDefault="007D5795" w:rsidP="007D5795">
      <w:pPr>
        <w:pStyle w:val="SangriaFrancesaArticulo"/>
      </w:pPr>
      <w:r w:rsidRPr="007D5795">
        <w:rPr>
          <w:rStyle w:val="TextoNormalNegritaCaracter"/>
        </w:rPr>
        <w:t>Artículo 5.7 a)</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ff. 4, 6.</w:t>
      </w:r>
    </w:p>
    <w:p w14:paraId="26D017EA" w14:textId="66E1F3A4" w:rsidR="007D5795" w:rsidRDefault="007D5795" w:rsidP="007D5795">
      <w:pPr>
        <w:pStyle w:val="SangriaFrancesaArticulo"/>
      </w:pPr>
      <w:r w:rsidRPr="007D5795">
        <w:rPr>
          <w:rStyle w:val="TextoNormalNegritaCaracter"/>
        </w:rPr>
        <w:t>Artículo 5.9.</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58116453" w14:textId="7066AF0E" w:rsidR="007D5795" w:rsidRDefault="007D5795" w:rsidP="007D5795">
      <w:pPr>
        <w:pStyle w:val="SangriaFrancesaArticulo"/>
      </w:pPr>
      <w:r w:rsidRPr="007D5795">
        <w:rPr>
          <w:rStyle w:val="TextoNormalNegritaCaracter"/>
        </w:rPr>
        <w:t>Artículo 5.9 a).</w:t>
      </w:r>
      <w:r w:rsidRPr="007D5795">
        <w:rPr>
          <w:rStyle w:val="TextoNormalCaracter"/>
        </w:rPr>
        <w:t>-</w:t>
      </w:r>
      <w:r>
        <w:t xml:space="preserve"> Sentencia </w:t>
      </w:r>
      <w:hyperlink w:anchor="SENTENCIA_2024_130" w:history="1">
        <w:r w:rsidRPr="007D5795">
          <w:rPr>
            <w:rStyle w:val="TextoNormalCaracter"/>
          </w:rPr>
          <w:t>130/2024</w:t>
        </w:r>
      </w:hyperlink>
      <w:r>
        <w:t>, f. 1.</w:t>
      </w:r>
    </w:p>
    <w:p w14:paraId="42F13275" w14:textId="5B2D95B6" w:rsidR="007D5795" w:rsidRDefault="007D5795" w:rsidP="007D5795">
      <w:pPr>
        <w:pStyle w:val="SangriaFrancesaArticulo"/>
      </w:pPr>
      <w:r w:rsidRPr="007D5795">
        <w:rPr>
          <w:rStyle w:val="TextoNormalNegritaCaracter"/>
        </w:rPr>
        <w:t>Artículo 5.9 b)</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8.</w:t>
      </w:r>
    </w:p>
    <w:p w14:paraId="675CFF9A" w14:textId="51BC0F1A" w:rsidR="007D5795" w:rsidRDefault="007D5795" w:rsidP="007D5795">
      <w:pPr>
        <w:pStyle w:val="SangriaFrancesaArticulo"/>
      </w:pPr>
      <w:r w:rsidRPr="007D5795">
        <w:rPr>
          <w:rStyle w:val="TextoNormalNegritaCaracter"/>
        </w:rPr>
        <w:t>Artículo 5.9 bis</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8.</w:t>
      </w:r>
    </w:p>
    <w:p w14:paraId="37A3EDFF" w14:textId="4C089A04" w:rsidR="007D5795" w:rsidRDefault="007D5795" w:rsidP="007D5795">
      <w:pPr>
        <w:pStyle w:val="SangriaFrancesaArticulo"/>
      </w:pPr>
      <w:r w:rsidRPr="007D5795">
        <w:rPr>
          <w:rStyle w:val="TextoNormalNegritaCaracter"/>
        </w:rPr>
        <w:t>Artículo 5.9 c).</w:t>
      </w:r>
      <w:r w:rsidRPr="007D5795">
        <w:rPr>
          <w:rStyle w:val="TextoNormalCaracter"/>
        </w:rPr>
        <w:t>-</w:t>
      </w:r>
      <w:r>
        <w:t xml:space="preserve"> Sentencia </w:t>
      </w:r>
      <w:hyperlink w:anchor="SENTENCIA_2024_130" w:history="1">
        <w:r w:rsidRPr="007D5795">
          <w:rPr>
            <w:rStyle w:val="TextoNormalCaracter"/>
          </w:rPr>
          <w:t>130/2024</w:t>
        </w:r>
      </w:hyperlink>
      <w:r>
        <w:t>, f. 1.</w:t>
      </w:r>
    </w:p>
    <w:p w14:paraId="3B54226A" w14:textId="2A41DF4C" w:rsidR="007D5795" w:rsidRDefault="007D5795" w:rsidP="007D5795">
      <w:pPr>
        <w:pStyle w:val="SangriaFrancesaArticulo"/>
      </w:pPr>
      <w:r w:rsidRPr="007D5795">
        <w:rPr>
          <w:rStyle w:val="TextoNormalNegritaCaracter"/>
        </w:rPr>
        <w:t>Artículo 5.10.</w:t>
      </w:r>
      <w:r w:rsidRPr="007D5795">
        <w:rPr>
          <w:rStyle w:val="TextoNormalCaracter"/>
        </w:rPr>
        <w:t>-</w:t>
      </w:r>
      <w:r>
        <w:t xml:space="preserve"> Auto </w:t>
      </w:r>
      <w:hyperlink w:anchor="AUTO_2024_66" w:history="1">
        <w:r w:rsidRPr="007D5795">
          <w:rPr>
            <w:rStyle w:val="TextoNormalCaracter"/>
          </w:rPr>
          <w:t>66/2024</w:t>
        </w:r>
      </w:hyperlink>
      <w:r>
        <w:t>, f. 1.</w:t>
      </w:r>
    </w:p>
    <w:p w14:paraId="7ECACB3E" w14:textId="54891C0B" w:rsidR="007D5795" w:rsidRDefault="007D5795" w:rsidP="007D5795">
      <w:pPr>
        <w:pStyle w:val="SangriaFrancesaArticulo"/>
      </w:pPr>
      <w:r w:rsidRPr="007D5795">
        <w:rPr>
          <w:rStyle w:val="TextoNormalNegritaCaracter"/>
        </w:rPr>
        <w:t>Artículo 6.</w:t>
      </w:r>
      <w:r w:rsidRPr="007D5795">
        <w:rPr>
          <w:rStyle w:val="TextoNormalCaracter"/>
        </w:rPr>
        <w:t>-</w:t>
      </w:r>
      <w:r>
        <w:t xml:space="preserve"> Auto </w:t>
      </w:r>
      <w:hyperlink w:anchor="AUTO_2024_66" w:history="1">
        <w:r w:rsidRPr="007D5795">
          <w:rPr>
            <w:rStyle w:val="TextoNormalCaracter"/>
          </w:rPr>
          <w:t>66/2024</w:t>
        </w:r>
      </w:hyperlink>
      <w:r>
        <w:t>, f. 1.</w:t>
      </w:r>
    </w:p>
    <w:p w14:paraId="1AAAEC0E" w14:textId="6E860F94" w:rsidR="007D5795" w:rsidRDefault="007D5795" w:rsidP="007D5795">
      <w:pPr>
        <w:pStyle w:val="SangriaFrancesaArticulo"/>
      </w:pPr>
      <w:r w:rsidRPr="007D5795">
        <w:rPr>
          <w:rStyle w:val="TextoNormalNegritaCaracter"/>
        </w:rPr>
        <w:t>Artículo 6.1.</w:t>
      </w:r>
      <w:r w:rsidRPr="007D5795">
        <w:rPr>
          <w:rStyle w:val="TextoNormalCaracter"/>
        </w:rPr>
        <w:t>-</w:t>
      </w:r>
      <w:r>
        <w:t xml:space="preserve"> Auto </w:t>
      </w:r>
      <w:hyperlink w:anchor="AUTO_2024_66" w:history="1">
        <w:r w:rsidRPr="007D5795">
          <w:rPr>
            <w:rStyle w:val="TextoNormalCaracter"/>
          </w:rPr>
          <w:t>66/2024</w:t>
        </w:r>
      </w:hyperlink>
      <w:r>
        <w:t>, f. 1.</w:t>
      </w:r>
    </w:p>
    <w:p w14:paraId="40D10226" w14:textId="3FB96C76" w:rsidR="007D5795" w:rsidRDefault="007D5795" w:rsidP="007D5795">
      <w:pPr>
        <w:pStyle w:val="SangriaFrancesaArticulo"/>
      </w:pPr>
      <w:r w:rsidRPr="007D5795">
        <w:rPr>
          <w:rStyle w:val="TextoNormalNegritaCaracter"/>
        </w:rPr>
        <w:t>Artículo 6.2.</w:t>
      </w:r>
      <w:r w:rsidRPr="007D5795">
        <w:rPr>
          <w:rStyle w:val="TextoNormalCaracter"/>
        </w:rPr>
        <w:t>-</w:t>
      </w:r>
      <w:r>
        <w:t xml:space="preserve"> Auto </w:t>
      </w:r>
      <w:hyperlink w:anchor="AUTO_2024_66" w:history="1">
        <w:r w:rsidRPr="007D5795">
          <w:rPr>
            <w:rStyle w:val="TextoNormalCaracter"/>
          </w:rPr>
          <w:t>66/2024</w:t>
        </w:r>
      </w:hyperlink>
      <w:r>
        <w:t>, f. 1.</w:t>
      </w:r>
    </w:p>
    <w:p w14:paraId="69756967" w14:textId="3F18E403" w:rsidR="007D5795" w:rsidRDefault="007D5795" w:rsidP="007D5795">
      <w:pPr>
        <w:pStyle w:val="SangriaFrancesaArticulo"/>
      </w:pPr>
      <w:r w:rsidRPr="007D5795">
        <w:rPr>
          <w:rStyle w:val="TextoNormalNegritaCaracter"/>
        </w:rPr>
        <w:t>Artículo 6.3.</w:t>
      </w:r>
      <w:r w:rsidRPr="007D5795">
        <w:rPr>
          <w:rStyle w:val="TextoNormalCaracter"/>
        </w:rPr>
        <w:t>-</w:t>
      </w:r>
      <w:r>
        <w:t xml:space="preserve"> Auto </w:t>
      </w:r>
      <w:hyperlink w:anchor="AUTO_2024_66" w:history="1">
        <w:r w:rsidRPr="007D5795">
          <w:rPr>
            <w:rStyle w:val="TextoNormalCaracter"/>
          </w:rPr>
          <w:t>66/2024</w:t>
        </w:r>
      </w:hyperlink>
      <w:r>
        <w:t>, f. 1.</w:t>
      </w:r>
    </w:p>
    <w:p w14:paraId="33AEED86" w14:textId="0E0FA71F" w:rsidR="007D5795" w:rsidRDefault="007D5795" w:rsidP="007D5795">
      <w:pPr>
        <w:pStyle w:val="SangriaFrancesaArticulo"/>
      </w:pPr>
      <w:r w:rsidRPr="007D5795">
        <w:rPr>
          <w:rStyle w:val="TextoNormalNegritaCaracter"/>
        </w:rPr>
        <w:t>Artículo 6.4.</w:t>
      </w:r>
      <w:r w:rsidRPr="007D5795">
        <w:rPr>
          <w:rStyle w:val="TextoNormalCaracter"/>
        </w:rPr>
        <w:t>-</w:t>
      </w:r>
      <w:r>
        <w:t xml:space="preserve"> Auto </w:t>
      </w:r>
      <w:hyperlink w:anchor="AUTO_2024_66" w:history="1">
        <w:r w:rsidRPr="007D5795">
          <w:rPr>
            <w:rStyle w:val="TextoNormalCaracter"/>
          </w:rPr>
          <w:t>66/2024</w:t>
        </w:r>
      </w:hyperlink>
      <w:r>
        <w:t>, f. 1.</w:t>
      </w:r>
    </w:p>
    <w:p w14:paraId="087D7642" w14:textId="3A18E9D8" w:rsidR="007D5795" w:rsidRDefault="007D5795" w:rsidP="007D5795">
      <w:pPr>
        <w:pStyle w:val="SangriaFrancesaArticulo"/>
      </w:pPr>
      <w:r w:rsidRPr="007D5795">
        <w:rPr>
          <w:rStyle w:val="TextoNormalNegritaCaracter"/>
        </w:rPr>
        <w:t>Artículo 7.</w:t>
      </w:r>
      <w:r w:rsidRPr="007D5795">
        <w:rPr>
          <w:rStyle w:val="TextoNormalCaracter"/>
        </w:rPr>
        <w:t>-</w:t>
      </w:r>
      <w:r>
        <w:t xml:space="preserve"> Sentencia </w:t>
      </w:r>
      <w:hyperlink w:anchor="SENTENCIA_2024_120" w:history="1">
        <w:r w:rsidRPr="007D5795">
          <w:rPr>
            <w:rStyle w:val="TextoNormalCaracter"/>
          </w:rPr>
          <w:t>120/2024</w:t>
        </w:r>
      </w:hyperlink>
      <w:r>
        <w:t>, f. 4, VP III.</w:t>
      </w:r>
    </w:p>
    <w:p w14:paraId="4424CBD7" w14:textId="09B6D1DF" w:rsidR="007D5795" w:rsidRDefault="007D5795" w:rsidP="007D5795">
      <w:pPr>
        <w:pStyle w:val="SangriaFrancesaArticulo"/>
      </w:pPr>
      <w:r w:rsidRPr="007D5795">
        <w:rPr>
          <w:rStyle w:val="TextoNormalNegritaCaracter"/>
        </w:rPr>
        <w:t>Artículo 7.1</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4, VP I, VP II.</w:t>
      </w:r>
    </w:p>
    <w:p w14:paraId="2E10B7CA" w14:textId="1396E783" w:rsidR="007D5795" w:rsidRDefault="007D5795" w:rsidP="007D5795">
      <w:pPr>
        <w:pStyle w:val="SangriaFrancesaArticulo"/>
      </w:pPr>
      <w:r w:rsidRPr="007D5795">
        <w:rPr>
          <w:rStyle w:val="TextoNormalNegritaCaracter"/>
        </w:rPr>
        <w:t>Artículo 7.1 c)</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4.</w:t>
      </w:r>
    </w:p>
    <w:p w14:paraId="50587638" w14:textId="68F5A0F0" w:rsidR="007D5795" w:rsidRDefault="007D5795" w:rsidP="007D5795">
      <w:pPr>
        <w:pStyle w:val="SangriaFrancesaArticulo"/>
      </w:pPr>
      <w:r w:rsidRPr="007D5795">
        <w:rPr>
          <w:rStyle w:val="TextoNormalNegritaCaracter"/>
        </w:rPr>
        <w:t>Artículo 7.3.</w:t>
      </w:r>
      <w:r w:rsidRPr="007D5795">
        <w:rPr>
          <w:rStyle w:val="TextoNormalCaracter"/>
        </w:rPr>
        <w:t>-</w:t>
      </w:r>
      <w:r>
        <w:t xml:space="preserve"> Sentencia </w:t>
      </w:r>
      <w:hyperlink w:anchor="SENTENCIA_2024_120" w:history="1">
        <w:r w:rsidRPr="007D5795">
          <w:rPr>
            <w:rStyle w:val="TextoNormalCaracter"/>
          </w:rPr>
          <w:t>120/2024</w:t>
        </w:r>
      </w:hyperlink>
      <w:r>
        <w:t>, VP I.</w:t>
      </w:r>
    </w:p>
    <w:p w14:paraId="515D02BA" w14:textId="400EBF18" w:rsidR="007D5795" w:rsidRDefault="007D5795" w:rsidP="007D5795">
      <w:pPr>
        <w:pStyle w:val="SangriaFrancesaArticulo"/>
      </w:pPr>
      <w:r w:rsidRPr="007D5795">
        <w:rPr>
          <w:rStyle w:val="TextoNormalNegritaCaracter"/>
        </w:rPr>
        <w:t>Artículo 9.</w:t>
      </w:r>
      <w:r w:rsidRPr="007D5795">
        <w:rPr>
          <w:rStyle w:val="TextoNormalCaracter"/>
        </w:rPr>
        <w:t>-</w:t>
      </w:r>
      <w:r>
        <w:t xml:space="preserve"> Auto </w:t>
      </w:r>
      <w:hyperlink w:anchor="AUTO_2024_66" w:history="1">
        <w:r w:rsidRPr="007D5795">
          <w:rPr>
            <w:rStyle w:val="TextoNormalCaracter"/>
          </w:rPr>
          <w:t>66/2024</w:t>
        </w:r>
      </w:hyperlink>
      <w:r>
        <w:t>, f. 1.</w:t>
      </w:r>
    </w:p>
    <w:p w14:paraId="10AE6109" w14:textId="0C6F721A" w:rsidR="007D5795" w:rsidRDefault="007D5795" w:rsidP="007D5795">
      <w:pPr>
        <w:pStyle w:val="SangriaFrancesaArticulo"/>
      </w:pPr>
      <w:r w:rsidRPr="007D5795">
        <w:rPr>
          <w:rStyle w:val="TextoNormalNegritaCaracter"/>
        </w:rPr>
        <w:t>Artículo 9.2 b).</w:t>
      </w:r>
      <w:r w:rsidRPr="007D5795">
        <w:rPr>
          <w:rStyle w:val="TextoNormalCaracter"/>
        </w:rPr>
        <w:t>-</w:t>
      </w:r>
      <w:r>
        <w:t xml:space="preserve"> Sentencia </w:t>
      </w:r>
      <w:hyperlink w:anchor="SENTENCIA_2024_120" w:history="1">
        <w:r w:rsidRPr="007D5795">
          <w:rPr>
            <w:rStyle w:val="TextoNormalCaracter"/>
          </w:rPr>
          <w:t>120/2024</w:t>
        </w:r>
      </w:hyperlink>
      <w:r>
        <w:t>, VP IV.</w:t>
      </w:r>
    </w:p>
    <w:p w14:paraId="2F628A99" w14:textId="3D88CEAD" w:rsidR="007D5795" w:rsidRDefault="007D5795" w:rsidP="007D5795">
      <w:pPr>
        <w:pStyle w:val="SangriaFrancesaArticulo"/>
      </w:pPr>
      <w:r w:rsidRPr="007D5795">
        <w:rPr>
          <w:rStyle w:val="TextoNormalNegritaCaracter"/>
        </w:rPr>
        <w:t>Artículo 9.4.</w:t>
      </w:r>
      <w:r w:rsidRPr="007D5795">
        <w:rPr>
          <w:rStyle w:val="TextoNormalCaracter"/>
        </w:rPr>
        <w:t>-</w:t>
      </w:r>
      <w:r>
        <w:t xml:space="preserve"> Auto </w:t>
      </w:r>
      <w:hyperlink w:anchor="AUTO_2024_66" w:history="1">
        <w:r w:rsidRPr="007D5795">
          <w:rPr>
            <w:rStyle w:val="TextoNormalCaracter"/>
          </w:rPr>
          <w:t>66/2024</w:t>
        </w:r>
      </w:hyperlink>
      <w:r>
        <w:t>, f. 1.</w:t>
      </w:r>
    </w:p>
    <w:p w14:paraId="220CCA36" w14:textId="61354B21" w:rsidR="007D5795" w:rsidRDefault="007D5795" w:rsidP="007D5795">
      <w:pPr>
        <w:pStyle w:val="SangriaFrancesaArticulo"/>
      </w:pPr>
      <w:r w:rsidRPr="007D5795">
        <w:rPr>
          <w:rStyle w:val="TextoNormalNegritaCaracter"/>
        </w:rPr>
        <w:t>Artículo 9.5 b)</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8.</w:t>
      </w:r>
    </w:p>
    <w:p w14:paraId="7EE73A54" w14:textId="558E8DAC" w:rsidR="007D5795" w:rsidRDefault="007D5795" w:rsidP="007D5795">
      <w:pPr>
        <w:pStyle w:val="SangriaFrancesaArticulo"/>
      </w:pPr>
      <w:r w:rsidRPr="007D5795">
        <w:rPr>
          <w:rStyle w:val="TextoNormalNegritaCaracter"/>
        </w:rPr>
        <w:t>Artículo 10</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ff. 5, 6.</w:t>
      </w:r>
    </w:p>
    <w:p w14:paraId="3298DDA7" w14:textId="476949D2" w:rsidR="007D5795" w:rsidRDefault="007D5795" w:rsidP="007D5795">
      <w:pPr>
        <w:pStyle w:val="SangriaFrancesaArticulo"/>
      </w:pPr>
      <w:r w:rsidRPr="007D5795">
        <w:rPr>
          <w:rStyle w:val="TextoNormalNegritaCaracter"/>
        </w:rPr>
        <w:t>Artículo 12.</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4545D2D2" w14:textId="709BF916" w:rsidR="007D5795" w:rsidRDefault="007D5795" w:rsidP="007D5795">
      <w:pPr>
        <w:pStyle w:val="SangriaFrancesaArticulo"/>
      </w:pPr>
      <w:r w:rsidRPr="007D5795">
        <w:rPr>
          <w:rStyle w:val="TextoNormalNegritaCaracter"/>
        </w:rPr>
        <w:t>Disposición adicional primera</w:t>
      </w:r>
      <w:r>
        <w:t xml:space="preserve"> (redactado por la Ley 1/2022, de 3 de marzo)</w:t>
      </w:r>
      <w:r w:rsidRPr="007D5795">
        <w:rPr>
          <w:rStyle w:val="TextoNormalNegritaCaracter"/>
        </w:rPr>
        <w:t>.</w:t>
      </w:r>
      <w:r w:rsidRPr="007D5795">
        <w:rPr>
          <w:rStyle w:val="TextoNormalCaracter"/>
        </w:rPr>
        <w:t>-</w:t>
      </w:r>
      <w:r>
        <w:t xml:space="preserve"> Sentencias </w:t>
      </w:r>
      <w:hyperlink w:anchor="SENTENCIA_2024_120" w:history="1">
        <w:r w:rsidRPr="007D5795">
          <w:rPr>
            <w:rStyle w:val="TextoNormalCaracter"/>
          </w:rPr>
          <w:t>120/2024</w:t>
        </w:r>
      </w:hyperlink>
      <w:r>
        <w:t xml:space="preserve">, ff. 5, 6; </w:t>
      </w:r>
      <w:hyperlink w:anchor="SENTENCIA_2024_130" w:history="1">
        <w:r w:rsidRPr="007D5795">
          <w:rPr>
            <w:rStyle w:val="TextoNormalCaracter"/>
          </w:rPr>
          <w:t>130/2024</w:t>
        </w:r>
      </w:hyperlink>
      <w:r>
        <w:t>, f. 1.</w:t>
      </w:r>
    </w:p>
    <w:p w14:paraId="35E43F7D" w14:textId="100768EA" w:rsidR="007D5795" w:rsidRDefault="007D5795" w:rsidP="007D5795">
      <w:pPr>
        <w:pStyle w:val="SangriaFrancesaArticulo"/>
      </w:pPr>
      <w:r w:rsidRPr="007D5795">
        <w:rPr>
          <w:rStyle w:val="TextoNormalNegritaCaracter"/>
        </w:rPr>
        <w:t>Disposición adicional primera, apartado 1</w:t>
      </w:r>
      <w:r>
        <w:t xml:space="preserve"> (redactado por la Ley 1/2022, de 3 de marzo)</w:t>
      </w:r>
      <w:r w:rsidRPr="007D5795">
        <w:rPr>
          <w:rStyle w:val="TextoNormalNegritaCaracter"/>
        </w:rPr>
        <w:t>.</w:t>
      </w:r>
      <w:r w:rsidRPr="007D5795">
        <w:rPr>
          <w:rStyle w:val="TextoNormalCaracter"/>
        </w:rPr>
        <w:t>-</w:t>
      </w:r>
      <w:r>
        <w:t xml:space="preserve"> Sentencias </w:t>
      </w:r>
      <w:hyperlink w:anchor="SENTENCIA_2024_120" w:history="1">
        <w:r w:rsidRPr="007D5795">
          <w:rPr>
            <w:rStyle w:val="TextoNormalCaracter"/>
          </w:rPr>
          <w:t>120/2024</w:t>
        </w:r>
      </w:hyperlink>
      <w:r>
        <w:t xml:space="preserve">, ff. 5, 6; </w:t>
      </w:r>
      <w:hyperlink w:anchor="SENTENCIA_2024_130" w:history="1">
        <w:r w:rsidRPr="007D5795">
          <w:rPr>
            <w:rStyle w:val="TextoNormalCaracter"/>
          </w:rPr>
          <w:t>130/2024</w:t>
        </w:r>
      </w:hyperlink>
      <w:r>
        <w:t>, f. 2.</w:t>
      </w:r>
    </w:p>
    <w:p w14:paraId="702B689E" w14:textId="7BA9AD8C" w:rsidR="007D5795" w:rsidRDefault="007D5795" w:rsidP="007D5795">
      <w:pPr>
        <w:pStyle w:val="SangriaFrancesaArticulo"/>
      </w:pPr>
      <w:r w:rsidRPr="007D5795">
        <w:rPr>
          <w:rStyle w:val="TextoNormalNegritaCaracter"/>
        </w:rPr>
        <w:t>Disposición adicional primera, apartado 1 a)</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0C3ECD04" w14:textId="35BD2D03" w:rsidR="007D5795" w:rsidRDefault="007D5795" w:rsidP="007D5795">
      <w:pPr>
        <w:pStyle w:val="SangriaFrancesaArticulo"/>
      </w:pPr>
      <w:r w:rsidRPr="007D5795">
        <w:rPr>
          <w:rStyle w:val="TextoNormalNegritaCaracter"/>
        </w:rPr>
        <w:t>Disposición adicional primera, apartado 1 b)</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19C0B3CC" w14:textId="377E5CC2" w:rsidR="007D5795" w:rsidRDefault="007D5795" w:rsidP="007D5795">
      <w:pPr>
        <w:pStyle w:val="SangriaFrancesaArticulo"/>
      </w:pPr>
      <w:r w:rsidRPr="007D5795">
        <w:rPr>
          <w:rStyle w:val="TextoNormalNegritaCaracter"/>
        </w:rPr>
        <w:t>Disposición adicional primera, apartado 1 c)</w:t>
      </w:r>
      <w:r>
        <w:t xml:space="preserve"> (redactado por la Ley 1/2022, de 3 de marzo)</w:t>
      </w:r>
      <w:r w:rsidRPr="007D5795">
        <w:rPr>
          <w:rStyle w:val="TextoNormalNegritaCaracter"/>
        </w:rPr>
        <w:t>.</w:t>
      </w:r>
      <w:r w:rsidRPr="007D5795">
        <w:rPr>
          <w:rStyle w:val="TextoNormalCaracter"/>
        </w:rPr>
        <w:t>-</w:t>
      </w:r>
      <w:r>
        <w:t xml:space="preserve"> Sentencias </w:t>
      </w:r>
      <w:hyperlink w:anchor="SENTENCIA_2024_120" w:history="1">
        <w:r w:rsidRPr="007D5795">
          <w:rPr>
            <w:rStyle w:val="TextoNormalCaracter"/>
          </w:rPr>
          <w:t>120/2024</w:t>
        </w:r>
      </w:hyperlink>
      <w:r>
        <w:t xml:space="preserve">, f. 5; </w:t>
      </w:r>
      <w:hyperlink w:anchor="SENTENCIA_2024_130" w:history="1">
        <w:r w:rsidRPr="007D5795">
          <w:rPr>
            <w:rStyle w:val="TextoNormalCaracter"/>
          </w:rPr>
          <w:t>130/2024</w:t>
        </w:r>
      </w:hyperlink>
      <w:r>
        <w:t>, ff. 1, 2.</w:t>
      </w:r>
    </w:p>
    <w:p w14:paraId="648AEE90" w14:textId="659B43BC" w:rsidR="007D5795" w:rsidRDefault="007D5795" w:rsidP="007D5795">
      <w:pPr>
        <w:pStyle w:val="SangriaFrancesaArticulo"/>
      </w:pPr>
      <w:r w:rsidRPr="007D5795">
        <w:rPr>
          <w:rStyle w:val="TextoNormalNegritaCaracter"/>
        </w:rPr>
        <w:t>Disposición adicional primera, apartado 2</w:t>
      </w:r>
      <w:r>
        <w:t xml:space="preserve"> (redactado por la Ley 1/2022, de 3 de marzo)</w:t>
      </w:r>
      <w:r w:rsidRPr="007D5795">
        <w:rPr>
          <w:rStyle w:val="TextoNormalNegritaCaracter"/>
        </w:rPr>
        <w:t>.</w:t>
      </w:r>
      <w:r w:rsidRPr="007D5795">
        <w:rPr>
          <w:rStyle w:val="TextoNormalCaracter"/>
        </w:rPr>
        <w:t>-</w:t>
      </w:r>
      <w:r>
        <w:t xml:space="preserve"> Sentencias </w:t>
      </w:r>
      <w:hyperlink w:anchor="SENTENCIA_2024_120" w:history="1">
        <w:r w:rsidRPr="007D5795">
          <w:rPr>
            <w:rStyle w:val="TextoNormalCaracter"/>
          </w:rPr>
          <w:t>120/2024</w:t>
        </w:r>
      </w:hyperlink>
      <w:r>
        <w:t xml:space="preserve">, ff. 5, 6; </w:t>
      </w:r>
      <w:hyperlink w:anchor="SENTENCIA_2024_130" w:history="1">
        <w:r w:rsidRPr="007D5795">
          <w:rPr>
            <w:rStyle w:val="TextoNormalCaracter"/>
          </w:rPr>
          <w:t>130/2024</w:t>
        </w:r>
      </w:hyperlink>
      <w:r>
        <w:t>, f. 2.</w:t>
      </w:r>
    </w:p>
    <w:p w14:paraId="5BCDB338" w14:textId="2470A8B0" w:rsidR="007D5795" w:rsidRDefault="007D5795" w:rsidP="007D5795">
      <w:pPr>
        <w:pStyle w:val="SangriaFrancesaArticulo"/>
      </w:pPr>
      <w:r w:rsidRPr="007D5795">
        <w:rPr>
          <w:rStyle w:val="TextoNormalNegritaCaracter"/>
        </w:rPr>
        <w:t>Disposición adicional primera, apartado 3</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ff. 5, 6.</w:t>
      </w:r>
    </w:p>
    <w:p w14:paraId="14FB9594" w14:textId="39E5F2A8" w:rsidR="007D5795" w:rsidRDefault="007D5795" w:rsidP="007D5795">
      <w:pPr>
        <w:pStyle w:val="SangriaFrancesaArticulo"/>
      </w:pPr>
      <w:r w:rsidRPr="007D5795">
        <w:rPr>
          <w:rStyle w:val="TextoNormalNegritaCaracter"/>
        </w:rPr>
        <w:t>Disposición adicional primera, apartado 3, primer inciso</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6.</w:t>
      </w:r>
    </w:p>
    <w:p w14:paraId="4EEFB268" w14:textId="628BCF29" w:rsidR="007D5795" w:rsidRDefault="007D5795" w:rsidP="007D5795">
      <w:pPr>
        <w:pStyle w:val="SangriaFrancesaArticulo"/>
      </w:pPr>
      <w:r w:rsidRPr="007D5795">
        <w:rPr>
          <w:rStyle w:val="TextoNormalNegritaCaracter"/>
        </w:rPr>
        <w:t>Disposición adicional primera, apartado 3, último inciso</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ff. 5, 6.</w:t>
      </w:r>
    </w:p>
    <w:p w14:paraId="603D790A" w14:textId="31596E78" w:rsidR="007D5795" w:rsidRDefault="007D5795" w:rsidP="007D5795">
      <w:pPr>
        <w:pStyle w:val="SangriaFrancesaArticulo"/>
      </w:pPr>
    </w:p>
    <w:p w14:paraId="34D89EA5" w14:textId="77777777" w:rsidR="007D5795" w:rsidRDefault="007D5795" w:rsidP="007D5795">
      <w:pPr>
        <w:pStyle w:val="TextoNormalNegritaCursivandice"/>
        <w:keepNext/>
      </w:pPr>
      <w:r>
        <w:t>Comunidad Autónoma de Cataluña. Ley 4/2016, de 23 de diciembre, de medidas de protección del derecho a la vivienda de las personas en riesgo de exclusión residencial</w:t>
      </w:r>
    </w:p>
    <w:p w14:paraId="2FF78943" w14:textId="34EDC9B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63F228A0" w14:textId="281A5484" w:rsidR="007D5795" w:rsidRDefault="007D5795" w:rsidP="007D5795">
      <w:pPr>
        <w:pStyle w:val="SangriaFrancesaArticulo"/>
      </w:pPr>
      <w:r w:rsidRPr="007D5795">
        <w:rPr>
          <w:rStyle w:val="TextoNormalNegritaCaracter"/>
        </w:rPr>
        <w:t>Capítulo II</w:t>
      </w:r>
      <w:r>
        <w:t xml:space="preserve"> (redactado por la Ley 24/2015, de 29 de julio)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8.</w:t>
      </w:r>
    </w:p>
    <w:p w14:paraId="2C6C2B3D" w14:textId="22D4B422" w:rsidR="007D5795" w:rsidRDefault="007D5795" w:rsidP="007D5795">
      <w:pPr>
        <w:pStyle w:val="SangriaFrancesaArticulo"/>
      </w:pPr>
      <w:r w:rsidRPr="007D5795">
        <w:rPr>
          <w:rStyle w:val="TextoNormalNegritaCaracter"/>
        </w:rPr>
        <w:t>Artículo 15.3</w:t>
      </w:r>
      <w:r>
        <w:t xml:space="preserve"> (redactado por la Ley 1/2022, de 3 de marzo)</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76714E05" w14:textId="5E204517" w:rsidR="007D5795" w:rsidRDefault="007D5795" w:rsidP="007D5795">
      <w:pPr>
        <w:pStyle w:val="SangriaFrancesaArticulo"/>
      </w:pPr>
      <w:r w:rsidRPr="007D5795">
        <w:rPr>
          <w:rStyle w:val="TextoNormalNegritaCaracter"/>
        </w:rPr>
        <w:t>Artículo 15.3</w:t>
      </w:r>
      <w:r>
        <w:t xml:space="preserve"> (redactado por la Ley 4/2016, de 23 de diciembre)</w:t>
      </w:r>
      <w:r w:rsidRPr="007D5795">
        <w:rPr>
          <w:rStyle w:val="TextoNormalNegritaCaracter"/>
        </w:rPr>
        <w:t>.</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449ED32F" w14:textId="1C18974E" w:rsidR="007D5795" w:rsidRDefault="007D5795" w:rsidP="007D5795">
      <w:pPr>
        <w:pStyle w:val="SangriaFrancesaArticulo"/>
      </w:pPr>
    </w:p>
    <w:p w14:paraId="350E4221" w14:textId="77777777" w:rsidR="007D5795" w:rsidRDefault="007D5795" w:rsidP="007D5795">
      <w:pPr>
        <w:pStyle w:val="TextoNormalNegritaCursivandice"/>
        <w:keepNext/>
      </w:pPr>
      <w:r>
        <w:t>Comunidad Autónoma de Cataluña. Ley 20/2017, de 8 de septiembre, de transitoriedad jurídica y fundacional de la República</w:t>
      </w:r>
    </w:p>
    <w:p w14:paraId="02AB41ED" w14:textId="555D733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3" w:history="1">
        <w:r w:rsidRPr="007D5795">
          <w:rPr>
            <w:rStyle w:val="TextoNormalCaracter"/>
          </w:rPr>
          <w:t>143/2024</w:t>
        </w:r>
      </w:hyperlink>
      <w:r>
        <w:t>, f. 3.</w:t>
      </w:r>
    </w:p>
    <w:p w14:paraId="7DC5F4D2" w14:textId="2E4E0890" w:rsidR="007D5795" w:rsidRDefault="007D5795" w:rsidP="007D5795">
      <w:pPr>
        <w:pStyle w:val="SangriaFrancesaArticulo"/>
      </w:pPr>
    </w:p>
    <w:p w14:paraId="11C00B08" w14:textId="77777777" w:rsidR="007D5795" w:rsidRDefault="007D5795" w:rsidP="007D5795">
      <w:pPr>
        <w:pStyle w:val="TextoNormalNegritaCursivandice"/>
        <w:keepNext/>
      </w:pPr>
      <w:r>
        <w:t>Comunidad Autónoma de Cataluña. Decreto-ley 5/2019, de 5 de marzo, de medidas urgentes para mejorar el acceso a la vivienda</w:t>
      </w:r>
    </w:p>
    <w:p w14:paraId="4BE61E13" w14:textId="64DE24A4"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4.</w:t>
      </w:r>
    </w:p>
    <w:p w14:paraId="6BBAF7B4" w14:textId="7EBDA168" w:rsidR="007D5795" w:rsidRDefault="007D5795" w:rsidP="007D5795">
      <w:pPr>
        <w:pStyle w:val="SangriaFrancesaArticulo"/>
      </w:pPr>
    </w:p>
    <w:p w14:paraId="0C043056" w14:textId="77777777" w:rsidR="007D5795" w:rsidRDefault="007D5795" w:rsidP="007D5795">
      <w:pPr>
        <w:pStyle w:val="TextoNormalNegritaCursivandice"/>
        <w:keepNext/>
      </w:pPr>
      <w:r>
        <w:t>Comunidad Autónoma de Cataluña. Decreto-ley 17/2019, de 23 de diciembre, de medidas urgentes para mejorar el acceso a la vivienda</w:t>
      </w:r>
    </w:p>
    <w:p w14:paraId="14E0DB8E" w14:textId="331E128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ff. 2 a 4, 8, VP IV.</w:t>
      </w:r>
    </w:p>
    <w:p w14:paraId="185159EC" w14:textId="24209F6F" w:rsidR="007D5795" w:rsidRDefault="007D5795" w:rsidP="007D5795">
      <w:pPr>
        <w:pStyle w:val="SangriaFrancesaArticulo"/>
      </w:pPr>
      <w:r w:rsidRPr="007D5795">
        <w:rPr>
          <w:rStyle w:val="TextoNormalNegritaCaracter"/>
        </w:rPr>
        <w:t>Artículo 2.2.</w:t>
      </w:r>
      <w:r w:rsidRPr="007D5795">
        <w:rPr>
          <w:rStyle w:val="TextoNormalCaracter"/>
        </w:rPr>
        <w:t>-</w:t>
      </w:r>
      <w:r>
        <w:t xml:space="preserve"> Sentencia </w:t>
      </w:r>
      <w:hyperlink w:anchor="SENTENCIA_2024_120" w:history="1">
        <w:r w:rsidRPr="007D5795">
          <w:rPr>
            <w:rStyle w:val="TextoNormalCaracter"/>
          </w:rPr>
          <w:t>120/2024</w:t>
        </w:r>
      </w:hyperlink>
      <w:r>
        <w:t>, f. 4.</w:t>
      </w:r>
    </w:p>
    <w:p w14:paraId="68758415" w14:textId="019EF3CA" w:rsidR="007D5795" w:rsidRDefault="007D5795" w:rsidP="007D5795">
      <w:pPr>
        <w:pStyle w:val="SangriaFrancesaArticulo"/>
      </w:pPr>
      <w:r w:rsidRPr="007D5795">
        <w:rPr>
          <w:rStyle w:val="TextoNormalNegritaCaracter"/>
        </w:rPr>
        <w:t>Artículo 5.4.</w:t>
      </w:r>
      <w:r w:rsidRPr="007D5795">
        <w:rPr>
          <w:rStyle w:val="TextoNormalCaracter"/>
        </w:rPr>
        <w:t>-</w:t>
      </w:r>
      <w:r>
        <w:t xml:space="preserve"> Sentencia </w:t>
      </w:r>
      <w:hyperlink w:anchor="SENTENCIA_2024_120" w:history="1">
        <w:r w:rsidRPr="007D5795">
          <w:rPr>
            <w:rStyle w:val="TextoNormalCaracter"/>
          </w:rPr>
          <w:t>120/2024</w:t>
        </w:r>
      </w:hyperlink>
      <w:r>
        <w:t>, f. 8.</w:t>
      </w:r>
    </w:p>
    <w:p w14:paraId="2634D892" w14:textId="78F47525" w:rsidR="007D5795" w:rsidRDefault="007D5795" w:rsidP="007D5795">
      <w:pPr>
        <w:pStyle w:val="SangriaFrancesaArticulo"/>
      </w:pPr>
      <w:r w:rsidRPr="007D5795">
        <w:rPr>
          <w:rStyle w:val="TextoNormalNegritaCaracter"/>
        </w:rPr>
        <w:t>Artículo 5.5.</w:t>
      </w:r>
      <w:r w:rsidRPr="007D5795">
        <w:rPr>
          <w:rStyle w:val="TextoNormalCaracter"/>
        </w:rPr>
        <w:t>-</w:t>
      </w:r>
      <w:r>
        <w:t xml:space="preserve"> Sentencia </w:t>
      </w:r>
      <w:hyperlink w:anchor="SENTENCIA_2024_120" w:history="1">
        <w:r w:rsidRPr="007D5795">
          <w:rPr>
            <w:rStyle w:val="TextoNormalCaracter"/>
          </w:rPr>
          <w:t>120/2024</w:t>
        </w:r>
      </w:hyperlink>
      <w:r>
        <w:t>, f. 4.</w:t>
      </w:r>
    </w:p>
    <w:p w14:paraId="0FD04506" w14:textId="44E0D032" w:rsidR="007D5795" w:rsidRDefault="007D5795" w:rsidP="007D5795">
      <w:pPr>
        <w:pStyle w:val="SangriaFrancesaArticulo"/>
      </w:pPr>
      <w:r w:rsidRPr="007D5795">
        <w:rPr>
          <w:rStyle w:val="TextoNormalNegritaCaracter"/>
        </w:rPr>
        <w:t>Artículo 5.7.</w:t>
      </w:r>
      <w:r w:rsidRPr="007D5795">
        <w:rPr>
          <w:rStyle w:val="TextoNormalCaracter"/>
        </w:rPr>
        <w:t>-</w:t>
      </w:r>
      <w:r>
        <w:t xml:space="preserve"> Sentencia </w:t>
      </w:r>
      <w:hyperlink w:anchor="SENTENCIA_2024_120" w:history="1">
        <w:r w:rsidRPr="007D5795">
          <w:rPr>
            <w:rStyle w:val="TextoNormalCaracter"/>
          </w:rPr>
          <w:t>120/2024</w:t>
        </w:r>
      </w:hyperlink>
      <w:r>
        <w:t>, f. 8.</w:t>
      </w:r>
    </w:p>
    <w:p w14:paraId="6FD4BC1A" w14:textId="4F411BB1" w:rsidR="007D5795" w:rsidRDefault="007D5795" w:rsidP="007D5795">
      <w:pPr>
        <w:pStyle w:val="SangriaFrancesaArticulo"/>
      </w:pPr>
    </w:p>
    <w:p w14:paraId="17D01FAD" w14:textId="77777777" w:rsidR="007D5795" w:rsidRDefault="007D5795" w:rsidP="007D5795">
      <w:pPr>
        <w:pStyle w:val="TextoNormalNegritaCursivandice"/>
        <w:keepNext/>
      </w:pPr>
      <w:r>
        <w:t>Comunidad Autónoma de Cataluña. Ley 5/2020, de 29 de abril, de medidas fiscales, financieras, administrativas y del sector público y de creación del impuesto sobre las instalaciones que inciden en el medio ambiente</w:t>
      </w:r>
    </w:p>
    <w:p w14:paraId="00746171" w14:textId="25DEFB9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8.</w:t>
      </w:r>
    </w:p>
    <w:p w14:paraId="2D3F4F49" w14:textId="4F9C7808" w:rsidR="007D5795" w:rsidRDefault="007D5795" w:rsidP="007D5795">
      <w:pPr>
        <w:pStyle w:val="SangriaFrancesaArticulo"/>
      </w:pPr>
      <w:r w:rsidRPr="007D5795">
        <w:rPr>
          <w:rStyle w:val="TextoNormalNegritaCaracter"/>
        </w:rPr>
        <w:t>Disposición adicional primera, apartado 1.</w:t>
      </w:r>
      <w:r w:rsidRPr="007D5795">
        <w:rPr>
          <w:rStyle w:val="TextoNormalCaracter"/>
        </w:rPr>
        <w:t>-</w:t>
      </w:r>
      <w:r>
        <w:t xml:space="preserve"> Auto </w:t>
      </w:r>
      <w:hyperlink w:anchor="AUTO_2024_81" w:history="1">
        <w:r w:rsidRPr="007D5795">
          <w:rPr>
            <w:rStyle w:val="TextoNormalCaracter"/>
          </w:rPr>
          <w:t>81/2024</w:t>
        </w:r>
      </w:hyperlink>
      <w:r>
        <w:t>.</w:t>
      </w:r>
    </w:p>
    <w:p w14:paraId="56673E70" w14:textId="51D32BAC" w:rsidR="007D5795" w:rsidRDefault="007D5795" w:rsidP="007D5795">
      <w:pPr>
        <w:pStyle w:val="SangriaFrancesaArticulo"/>
      </w:pPr>
    </w:p>
    <w:p w14:paraId="4B85C377" w14:textId="77777777" w:rsidR="007D5795" w:rsidRDefault="007D5795" w:rsidP="007D5795">
      <w:pPr>
        <w:pStyle w:val="TextoNormalNegritaCursivandice"/>
        <w:keepNext/>
      </w:pPr>
      <w:r>
        <w:t>Comunidad Autónoma de Cataluña. Ley 11/2020, de 18 de septiembre, de medidas urgentes en materia de contención de rentas en los contratos de arrendamiento de vivienda y de modificación de la Ley 18/2007, de la Ley 24/2015 y de la Ley 4/2016, relativas a la protección del derecho a la vivienda</w:t>
      </w:r>
    </w:p>
    <w:p w14:paraId="7A3403E7" w14:textId="110AF1B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8.</w:t>
      </w:r>
    </w:p>
    <w:p w14:paraId="193A9435" w14:textId="27F43CC8" w:rsidR="007D5795" w:rsidRDefault="007D5795" w:rsidP="007D5795">
      <w:pPr>
        <w:pStyle w:val="SangriaFrancesaArticulo"/>
      </w:pPr>
      <w:r w:rsidRPr="007D5795">
        <w:rPr>
          <w:rStyle w:val="TextoNormalNegritaCaracter"/>
        </w:rPr>
        <w:t>Artículo 17.</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52AC8B0B" w14:textId="405F0B20" w:rsidR="007D5795" w:rsidRDefault="007D5795" w:rsidP="007D5795">
      <w:pPr>
        <w:pStyle w:val="SangriaFrancesaArticulo"/>
      </w:pPr>
    </w:p>
    <w:p w14:paraId="1D94AC36" w14:textId="77777777" w:rsidR="007D5795" w:rsidRDefault="007D5795" w:rsidP="007D5795">
      <w:pPr>
        <w:pStyle w:val="TextoNormalNegritaCursivandice"/>
        <w:keepNext/>
      </w:pPr>
      <w:r>
        <w:t>Comunidad Autónoma de Cataluña. Decreto-ley 37/2020, de 3 de noviembre, de refuerzo de la protección del derecho a la vivienda ante los efectos de la pandemia de la covid-19</w:t>
      </w:r>
    </w:p>
    <w:p w14:paraId="7FF22C60" w14:textId="071F54D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5BDE2E34" w14:textId="759F6BA9" w:rsidR="007D5795" w:rsidRDefault="007D5795" w:rsidP="007D5795">
      <w:pPr>
        <w:pStyle w:val="SangriaFrancesaArticulo"/>
      </w:pPr>
    </w:p>
    <w:p w14:paraId="04094D72" w14:textId="77777777" w:rsidR="007D5795" w:rsidRDefault="007D5795" w:rsidP="007D5795">
      <w:pPr>
        <w:pStyle w:val="TextoNormalNegritaCursivandice"/>
        <w:keepNext/>
      </w:pPr>
      <w:r>
        <w:t>Comunidad Autónoma de Cataluña. Decreto-ley 46/2020, de 24 de noviembre, de medidas urgentes de carácter administrativo, tributario y de control financiero</w:t>
      </w:r>
    </w:p>
    <w:p w14:paraId="0D870CC3" w14:textId="04D3FE4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1" w:history="1">
        <w:r w:rsidRPr="007D5795">
          <w:rPr>
            <w:rStyle w:val="TextoNormalCaracter"/>
          </w:rPr>
          <w:t>121/2024</w:t>
        </w:r>
      </w:hyperlink>
      <w:r>
        <w:t>, f. 1.</w:t>
      </w:r>
    </w:p>
    <w:p w14:paraId="5D445496" w14:textId="216DD4BD" w:rsidR="007D5795" w:rsidRDefault="007D5795" w:rsidP="007D5795">
      <w:pPr>
        <w:pStyle w:val="SangriaFrancesaArticulo"/>
      </w:pPr>
    </w:p>
    <w:p w14:paraId="6DADE3DF" w14:textId="77777777" w:rsidR="007D5795" w:rsidRDefault="007D5795" w:rsidP="007D5795">
      <w:pPr>
        <w:pStyle w:val="TextoNormalNegritaCursivandice"/>
        <w:keepNext/>
      </w:pPr>
      <w:r>
        <w:t>Comunidad Autónoma de Cataluña. Decreto-ley 15/2021, de 6 de julio, de creación del fondo complementario de riesgos de la Generalitat de Cataluña</w:t>
      </w:r>
    </w:p>
    <w:p w14:paraId="02394AF7" w14:textId="4EE30F0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21" w:history="1">
        <w:r w:rsidRPr="007D5795">
          <w:rPr>
            <w:rStyle w:val="TextoNormalCaracter"/>
          </w:rPr>
          <w:t>121/2024</w:t>
        </w:r>
      </w:hyperlink>
      <w:r>
        <w:t xml:space="preserve">, ff. 1, 2, 4, VP I, VP II; </w:t>
      </w:r>
      <w:hyperlink w:anchor="SENTENCIA_2024_127" w:history="1">
        <w:r w:rsidRPr="007D5795">
          <w:rPr>
            <w:rStyle w:val="TextoNormalCaracter"/>
          </w:rPr>
          <w:t>127/2024</w:t>
        </w:r>
      </w:hyperlink>
      <w:r>
        <w:t>, ff. 1, 2.</w:t>
      </w:r>
    </w:p>
    <w:p w14:paraId="2F448B5D" w14:textId="2B403DB3" w:rsidR="007D5795" w:rsidRDefault="007D5795" w:rsidP="007D5795">
      <w:pPr>
        <w:pStyle w:val="SangriaFrancesaArticulo"/>
      </w:pPr>
      <w:r w:rsidRPr="007D5795">
        <w:rPr>
          <w:rStyle w:val="TextoNormalNegritaCaracter"/>
        </w:rPr>
        <w:t>Exposición de motivos.</w:t>
      </w:r>
      <w:r w:rsidRPr="007D5795">
        <w:rPr>
          <w:rStyle w:val="TextoNormalCaracter"/>
        </w:rPr>
        <w:t>-</w:t>
      </w:r>
      <w:r>
        <w:t xml:space="preserve"> Sentencia </w:t>
      </w:r>
      <w:hyperlink w:anchor="SENTENCIA_2024_121" w:history="1">
        <w:r w:rsidRPr="007D5795">
          <w:rPr>
            <w:rStyle w:val="TextoNormalCaracter"/>
          </w:rPr>
          <w:t>121/2024</w:t>
        </w:r>
      </w:hyperlink>
      <w:r>
        <w:t>, ff. 1, 4, VP I, VP II.</w:t>
      </w:r>
    </w:p>
    <w:p w14:paraId="4BF9FD61" w14:textId="5C0C7D9D" w:rsidR="007D5795" w:rsidRDefault="007D5795" w:rsidP="007D5795">
      <w:pPr>
        <w:pStyle w:val="SangriaFrancesaArticulo"/>
      </w:pPr>
      <w:r w:rsidRPr="007D5795">
        <w:rPr>
          <w:rStyle w:val="TextoNormalNegritaCaracter"/>
        </w:rPr>
        <w:t>Exposición de motivos, apartado III.</w:t>
      </w:r>
      <w:r w:rsidRPr="007D5795">
        <w:rPr>
          <w:rStyle w:val="TextoNormalCaracter"/>
        </w:rPr>
        <w:t>-</w:t>
      </w:r>
      <w:r>
        <w:t xml:space="preserve"> Sentencia </w:t>
      </w:r>
      <w:hyperlink w:anchor="SENTENCIA_2024_121" w:history="1">
        <w:r w:rsidRPr="007D5795">
          <w:rPr>
            <w:rStyle w:val="TextoNormalCaracter"/>
          </w:rPr>
          <w:t>121/2024</w:t>
        </w:r>
      </w:hyperlink>
      <w:r>
        <w:t>, f. 4.</w:t>
      </w:r>
    </w:p>
    <w:p w14:paraId="5009B1EA" w14:textId="62DE2709"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Sentencia </w:t>
      </w:r>
      <w:hyperlink w:anchor="SENTENCIA_2024_121" w:history="1">
        <w:r w:rsidRPr="007D5795">
          <w:rPr>
            <w:rStyle w:val="TextoNormalCaracter"/>
          </w:rPr>
          <w:t>121/2024</w:t>
        </w:r>
      </w:hyperlink>
      <w:r>
        <w:t>, f. 1.</w:t>
      </w:r>
    </w:p>
    <w:p w14:paraId="2C1595DF" w14:textId="412EA07D" w:rsidR="007D5795" w:rsidRDefault="007D5795" w:rsidP="007D5795">
      <w:pPr>
        <w:pStyle w:val="SangriaFrancesaArticulo"/>
      </w:pPr>
      <w:r w:rsidRPr="007D5795">
        <w:rPr>
          <w:rStyle w:val="TextoNormalNegritaCaracter"/>
        </w:rPr>
        <w:t>Artículo 1.2.</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16A7AE63" w14:textId="7BEBB3FC" w:rsidR="007D5795" w:rsidRDefault="007D5795" w:rsidP="007D5795">
      <w:pPr>
        <w:pStyle w:val="SangriaFrancesaArticulo"/>
      </w:pPr>
      <w:r w:rsidRPr="007D5795">
        <w:rPr>
          <w:rStyle w:val="TextoNormalNegritaCaracter"/>
        </w:rPr>
        <w:t>Artículo 1.3.</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1ECF8E00" w14:textId="006B4B0C" w:rsidR="007D5795" w:rsidRDefault="007D5795" w:rsidP="007D5795">
      <w:pPr>
        <w:pStyle w:val="SangriaFrancesaArticulo"/>
      </w:pPr>
      <w:r w:rsidRPr="007D5795">
        <w:rPr>
          <w:rStyle w:val="TextoNormalNegritaCaracter"/>
        </w:rPr>
        <w:t>Artículo 2.</w:t>
      </w:r>
      <w:r w:rsidRPr="007D5795">
        <w:rPr>
          <w:rStyle w:val="TextoNormalCaracter"/>
        </w:rPr>
        <w:t>-</w:t>
      </w:r>
      <w:r>
        <w:t xml:space="preserve"> Sentencia </w:t>
      </w:r>
      <w:hyperlink w:anchor="SENTENCIA_2024_121" w:history="1">
        <w:r w:rsidRPr="007D5795">
          <w:rPr>
            <w:rStyle w:val="TextoNormalCaracter"/>
          </w:rPr>
          <w:t>121/2024</w:t>
        </w:r>
      </w:hyperlink>
      <w:r>
        <w:t>, ff. 1, 4.</w:t>
      </w:r>
    </w:p>
    <w:p w14:paraId="355295C3" w14:textId="70C2102B" w:rsidR="007D5795" w:rsidRDefault="007D5795" w:rsidP="007D5795">
      <w:pPr>
        <w:pStyle w:val="SangriaFrancesaArticulo"/>
      </w:pPr>
      <w:r w:rsidRPr="007D5795">
        <w:rPr>
          <w:rStyle w:val="TextoNormalNegritaCaracter"/>
        </w:rPr>
        <w:t>Artículo 3.</w:t>
      </w:r>
      <w:r w:rsidRPr="007D5795">
        <w:rPr>
          <w:rStyle w:val="TextoNormalCaracter"/>
        </w:rPr>
        <w:t>-</w:t>
      </w:r>
      <w:r>
        <w:t xml:space="preserve"> Sentencia </w:t>
      </w:r>
      <w:hyperlink w:anchor="SENTENCIA_2024_121" w:history="1">
        <w:r w:rsidRPr="007D5795">
          <w:rPr>
            <w:rStyle w:val="TextoNormalCaracter"/>
          </w:rPr>
          <w:t>121/2024</w:t>
        </w:r>
      </w:hyperlink>
      <w:r>
        <w:t>, f. 1.</w:t>
      </w:r>
    </w:p>
    <w:p w14:paraId="06D254F3" w14:textId="3E618B96" w:rsidR="007D5795" w:rsidRDefault="007D5795" w:rsidP="007D5795">
      <w:pPr>
        <w:pStyle w:val="SangriaFrancesaArticulo"/>
      </w:pPr>
      <w:r w:rsidRPr="007D5795">
        <w:rPr>
          <w:rStyle w:val="TextoNormalNegritaCaracter"/>
        </w:rPr>
        <w:t>Artículo 4.</w:t>
      </w:r>
      <w:r w:rsidRPr="007D5795">
        <w:rPr>
          <w:rStyle w:val="TextoNormalCaracter"/>
        </w:rPr>
        <w:t>-</w:t>
      </w:r>
      <w:r>
        <w:t xml:space="preserve"> Sentencia </w:t>
      </w:r>
      <w:hyperlink w:anchor="SENTENCIA_2024_121" w:history="1">
        <w:r w:rsidRPr="007D5795">
          <w:rPr>
            <w:rStyle w:val="TextoNormalCaracter"/>
          </w:rPr>
          <w:t>121/2024</w:t>
        </w:r>
      </w:hyperlink>
      <w:r>
        <w:t>, f. 1.</w:t>
      </w:r>
    </w:p>
    <w:p w14:paraId="3A7017B5" w14:textId="459E8884" w:rsidR="007D5795" w:rsidRDefault="007D5795" w:rsidP="007D5795">
      <w:pPr>
        <w:pStyle w:val="SangriaFrancesaArticulo"/>
      </w:pPr>
      <w:r w:rsidRPr="007D5795">
        <w:rPr>
          <w:rStyle w:val="TextoNormalNegritaCaracter"/>
        </w:rPr>
        <w:t>Artículo 4.1 c).</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7366399D" w14:textId="6ABF2850" w:rsidR="007D5795" w:rsidRDefault="007D5795" w:rsidP="007D5795">
      <w:pPr>
        <w:pStyle w:val="SangriaFrancesaArticulo"/>
      </w:pPr>
      <w:r w:rsidRPr="007D5795">
        <w:rPr>
          <w:rStyle w:val="TextoNormalNegritaCaracter"/>
        </w:rPr>
        <w:t>Artículo 4.5.</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3A273392" w14:textId="1EB96E14" w:rsidR="007D5795" w:rsidRDefault="007D5795" w:rsidP="007D5795">
      <w:pPr>
        <w:pStyle w:val="SangriaFrancesaArticulo"/>
      </w:pPr>
      <w:r w:rsidRPr="007D5795">
        <w:rPr>
          <w:rStyle w:val="TextoNormalNegritaCaracter"/>
        </w:rPr>
        <w:t>Artículo 4.7.</w:t>
      </w:r>
      <w:r w:rsidRPr="007D5795">
        <w:rPr>
          <w:rStyle w:val="TextoNormalCaracter"/>
        </w:rPr>
        <w:t>-</w:t>
      </w:r>
      <w:r>
        <w:t xml:space="preserve"> Sentencia </w:t>
      </w:r>
      <w:hyperlink w:anchor="SENTENCIA_2024_121" w:history="1">
        <w:r w:rsidRPr="007D5795">
          <w:rPr>
            <w:rStyle w:val="TextoNormalCaracter"/>
          </w:rPr>
          <w:t>121/2024</w:t>
        </w:r>
      </w:hyperlink>
      <w:r>
        <w:t>, f. 1, VP I.</w:t>
      </w:r>
    </w:p>
    <w:p w14:paraId="534643BC" w14:textId="4480743B" w:rsidR="007D5795" w:rsidRDefault="007D5795" w:rsidP="007D5795">
      <w:pPr>
        <w:pStyle w:val="SangriaFrancesaArticulo"/>
      </w:pPr>
      <w:r w:rsidRPr="007D5795">
        <w:rPr>
          <w:rStyle w:val="TextoNormalNegritaCaracter"/>
        </w:rPr>
        <w:t>Artículo 5.</w:t>
      </w:r>
      <w:r w:rsidRPr="007D5795">
        <w:rPr>
          <w:rStyle w:val="TextoNormalCaracter"/>
        </w:rPr>
        <w:t>-</w:t>
      </w:r>
      <w:r>
        <w:t xml:space="preserve"> Sentencia </w:t>
      </w:r>
      <w:hyperlink w:anchor="SENTENCIA_2024_121" w:history="1">
        <w:r w:rsidRPr="007D5795">
          <w:rPr>
            <w:rStyle w:val="TextoNormalCaracter"/>
          </w:rPr>
          <w:t>121/2024</w:t>
        </w:r>
      </w:hyperlink>
      <w:r>
        <w:t>, f. 1, VP I.</w:t>
      </w:r>
    </w:p>
    <w:p w14:paraId="3FD784F4" w14:textId="5DEEA976" w:rsidR="007D5795" w:rsidRDefault="007D5795" w:rsidP="007D5795">
      <w:pPr>
        <w:pStyle w:val="SangriaFrancesaArticulo"/>
      </w:pPr>
      <w:r w:rsidRPr="007D5795">
        <w:rPr>
          <w:rStyle w:val="TextoNormalNegritaCaracter"/>
        </w:rPr>
        <w:t>Artículo 5.1.</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5E6199FF" w14:textId="01837DAE" w:rsidR="007D5795" w:rsidRDefault="007D5795" w:rsidP="007D5795">
      <w:pPr>
        <w:pStyle w:val="SangriaFrancesaArticulo"/>
      </w:pPr>
      <w:r w:rsidRPr="007D5795">
        <w:rPr>
          <w:rStyle w:val="TextoNormalNegritaCaracter"/>
        </w:rPr>
        <w:t>Artículo 5.2.</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34F7D2C2" w14:textId="0E657A35" w:rsidR="007D5795" w:rsidRDefault="007D5795" w:rsidP="007D5795">
      <w:pPr>
        <w:pStyle w:val="SangriaFrancesaArticulo"/>
      </w:pPr>
      <w:r w:rsidRPr="007D5795">
        <w:rPr>
          <w:rStyle w:val="TextoNormalNegritaCaracter"/>
        </w:rPr>
        <w:t>Artículo 6.</w:t>
      </w:r>
      <w:r w:rsidRPr="007D5795">
        <w:rPr>
          <w:rStyle w:val="TextoNormalCaracter"/>
        </w:rPr>
        <w:t>-</w:t>
      </w:r>
      <w:r>
        <w:t xml:space="preserve"> Sentencia </w:t>
      </w:r>
      <w:hyperlink w:anchor="SENTENCIA_2024_121" w:history="1">
        <w:r w:rsidRPr="007D5795">
          <w:rPr>
            <w:rStyle w:val="TextoNormalCaracter"/>
          </w:rPr>
          <w:t>121/2024</w:t>
        </w:r>
      </w:hyperlink>
      <w:r>
        <w:t>, f. 1.</w:t>
      </w:r>
    </w:p>
    <w:p w14:paraId="60773CCA" w14:textId="7AAFE48B" w:rsidR="007D5795" w:rsidRDefault="007D5795" w:rsidP="007D5795">
      <w:pPr>
        <w:pStyle w:val="SangriaFrancesaArticulo"/>
      </w:pPr>
      <w:r w:rsidRPr="007D5795">
        <w:rPr>
          <w:rStyle w:val="TextoNormalNegritaCaracter"/>
        </w:rPr>
        <w:t>Artículo 6.1.</w:t>
      </w:r>
      <w:r w:rsidRPr="007D5795">
        <w:rPr>
          <w:rStyle w:val="TextoNormalCaracter"/>
        </w:rPr>
        <w:t>-</w:t>
      </w:r>
      <w:r>
        <w:t xml:space="preserve"> Sentencia </w:t>
      </w:r>
      <w:hyperlink w:anchor="SENTENCIA_2024_121" w:history="1">
        <w:r w:rsidRPr="007D5795">
          <w:rPr>
            <w:rStyle w:val="TextoNormalCaracter"/>
          </w:rPr>
          <w:t>121/2024</w:t>
        </w:r>
      </w:hyperlink>
      <w:r>
        <w:t>, VP I.</w:t>
      </w:r>
    </w:p>
    <w:p w14:paraId="5AB6B5C9" w14:textId="443EA056" w:rsidR="007D5795" w:rsidRDefault="007D5795" w:rsidP="007D5795">
      <w:pPr>
        <w:pStyle w:val="SangriaFrancesaArticulo"/>
      </w:pPr>
      <w:r w:rsidRPr="007D5795">
        <w:rPr>
          <w:rStyle w:val="TextoNormalNegritaCaracter"/>
        </w:rPr>
        <w:t>Disposición transitoria.</w:t>
      </w:r>
      <w:r w:rsidRPr="007D5795">
        <w:rPr>
          <w:rStyle w:val="TextoNormalCaracter"/>
        </w:rPr>
        <w:t>-</w:t>
      </w:r>
      <w:r>
        <w:t xml:space="preserve"> Sentencia </w:t>
      </w:r>
      <w:hyperlink w:anchor="SENTENCIA_2024_121" w:history="1">
        <w:r w:rsidRPr="007D5795">
          <w:rPr>
            <w:rStyle w:val="TextoNormalCaracter"/>
          </w:rPr>
          <w:t>121/2024</w:t>
        </w:r>
      </w:hyperlink>
      <w:r>
        <w:t>, f. 1.</w:t>
      </w:r>
    </w:p>
    <w:p w14:paraId="23E1130A" w14:textId="2E9DED57" w:rsidR="007D5795" w:rsidRDefault="007D5795" w:rsidP="007D5795">
      <w:pPr>
        <w:pStyle w:val="SangriaFrancesaArticulo"/>
      </w:pPr>
      <w:r w:rsidRPr="007D5795">
        <w:rPr>
          <w:rStyle w:val="TextoNormalNegritaCaracter"/>
        </w:rPr>
        <w:t>Disposición final.</w:t>
      </w:r>
      <w:r w:rsidRPr="007D5795">
        <w:rPr>
          <w:rStyle w:val="TextoNormalCaracter"/>
        </w:rPr>
        <w:t>-</w:t>
      </w:r>
      <w:r>
        <w:t xml:space="preserve"> Sentencia </w:t>
      </w:r>
      <w:hyperlink w:anchor="SENTENCIA_2024_121" w:history="1">
        <w:r w:rsidRPr="007D5795">
          <w:rPr>
            <w:rStyle w:val="TextoNormalCaracter"/>
          </w:rPr>
          <w:t>121/2024</w:t>
        </w:r>
      </w:hyperlink>
      <w:r>
        <w:t>, f. 1.</w:t>
      </w:r>
    </w:p>
    <w:p w14:paraId="63A43E23" w14:textId="13F80377" w:rsidR="007D5795" w:rsidRDefault="007D5795" w:rsidP="007D5795">
      <w:pPr>
        <w:pStyle w:val="SangriaFrancesaArticulo"/>
      </w:pPr>
      <w:r w:rsidRPr="007D5795">
        <w:rPr>
          <w:rStyle w:val="TextoNormalNegritaCaracter"/>
        </w:rPr>
        <w:t>Anexo.</w:t>
      </w:r>
      <w:r w:rsidRPr="007D5795">
        <w:rPr>
          <w:rStyle w:val="TextoNormalCaracter"/>
        </w:rPr>
        <w:t>-</w:t>
      </w:r>
      <w:r>
        <w:t xml:space="preserve"> Sentencia </w:t>
      </w:r>
      <w:hyperlink w:anchor="SENTENCIA_2024_121" w:history="1">
        <w:r w:rsidRPr="007D5795">
          <w:rPr>
            <w:rStyle w:val="TextoNormalCaracter"/>
          </w:rPr>
          <w:t>121/2024</w:t>
        </w:r>
      </w:hyperlink>
      <w:r>
        <w:t>, f. 1.</w:t>
      </w:r>
    </w:p>
    <w:p w14:paraId="4F8B9A75" w14:textId="39B158B1" w:rsidR="007D5795" w:rsidRDefault="007D5795" w:rsidP="007D5795">
      <w:pPr>
        <w:pStyle w:val="SangriaFrancesaArticulo"/>
      </w:pPr>
    </w:p>
    <w:p w14:paraId="3873157F" w14:textId="77777777" w:rsidR="007D5795" w:rsidRDefault="007D5795" w:rsidP="007D5795">
      <w:pPr>
        <w:pStyle w:val="TextoNormalNegritaCursivandice"/>
        <w:keepNext/>
      </w:pPr>
      <w:r>
        <w:t>Comunidad Autónoma de Cataluña. Ley 1/2022, de 3 de marzo, de modificación de la Ley 18/2007, la Ley 24/2015 y la Ley 4/2016, para afrontar la emergencia en el ámbito de la vivienda</w:t>
      </w:r>
    </w:p>
    <w:p w14:paraId="3B94422C" w14:textId="316FC86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ff. 1 a 5, 8, VP I, VP II, VP III, VP IV.</w:t>
      </w:r>
    </w:p>
    <w:p w14:paraId="2E7435A0" w14:textId="4B73E787" w:rsidR="007D5795" w:rsidRDefault="007D5795" w:rsidP="007D5795">
      <w:pPr>
        <w:pStyle w:val="SangriaFrancesaArticulo"/>
      </w:pPr>
      <w:r w:rsidRPr="007D5795">
        <w:rPr>
          <w:rStyle w:val="TextoNormalNegritaCaracter"/>
        </w:rPr>
        <w:t>Título I.</w:t>
      </w:r>
      <w:r w:rsidRPr="007D5795">
        <w:rPr>
          <w:rStyle w:val="TextoNormalCaracter"/>
        </w:rPr>
        <w:t>-</w:t>
      </w:r>
      <w:r>
        <w:t xml:space="preserve"> Sentencia </w:t>
      </w:r>
      <w:hyperlink w:anchor="SENTENCIA_2024_120" w:history="1">
        <w:r w:rsidRPr="007D5795">
          <w:rPr>
            <w:rStyle w:val="TextoNormalCaracter"/>
          </w:rPr>
          <w:t>120/2024</w:t>
        </w:r>
      </w:hyperlink>
      <w:r>
        <w:t>, VP III.</w:t>
      </w:r>
    </w:p>
    <w:p w14:paraId="30A294B1" w14:textId="27D9288C" w:rsidR="007D5795" w:rsidRDefault="007D5795" w:rsidP="007D5795">
      <w:pPr>
        <w:pStyle w:val="SangriaFrancesaArticulo"/>
      </w:pPr>
      <w:r w:rsidRPr="007D5795">
        <w:rPr>
          <w:rStyle w:val="TextoNormalNegritaCaracter"/>
        </w:rPr>
        <w:t>Título II.</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66ECE32B" w14:textId="47C80ACC" w:rsidR="007D5795" w:rsidRDefault="007D5795" w:rsidP="007D5795">
      <w:pPr>
        <w:pStyle w:val="SangriaFrancesaArticulo"/>
      </w:pPr>
      <w:r w:rsidRPr="007D5795">
        <w:rPr>
          <w:rStyle w:val="TextoNormalNegritaCaracter"/>
        </w:rPr>
        <w:t>Preámbulo.</w:t>
      </w:r>
      <w:r w:rsidRPr="007D5795">
        <w:rPr>
          <w:rStyle w:val="TextoNormalCaracter"/>
        </w:rPr>
        <w:t>-</w:t>
      </w:r>
      <w:r>
        <w:t xml:space="preserve"> Sentencia </w:t>
      </w:r>
      <w:hyperlink w:anchor="SENTENCIA_2024_120" w:history="1">
        <w:r w:rsidRPr="007D5795">
          <w:rPr>
            <w:rStyle w:val="TextoNormalCaracter"/>
          </w:rPr>
          <w:t>120/2024</w:t>
        </w:r>
      </w:hyperlink>
      <w:r>
        <w:t>, ff. 2, 8.</w:t>
      </w:r>
    </w:p>
    <w:p w14:paraId="1330E31F" w14:textId="03E74129" w:rsidR="007D5795" w:rsidRDefault="007D5795" w:rsidP="007D5795">
      <w:pPr>
        <w:pStyle w:val="SangriaFrancesaArticulo"/>
      </w:pPr>
      <w:r w:rsidRPr="007D5795">
        <w:rPr>
          <w:rStyle w:val="TextoNormalNegritaCaracter"/>
        </w:rPr>
        <w:t>Preámbulo, apartado IV, párafo tercero.</w:t>
      </w:r>
      <w:r w:rsidRPr="007D5795">
        <w:rPr>
          <w:rStyle w:val="TextoNormalCaracter"/>
        </w:rPr>
        <w:t>-</w:t>
      </w:r>
      <w:r>
        <w:t xml:space="preserve"> Sentencia </w:t>
      </w:r>
      <w:hyperlink w:anchor="SENTENCIA_2024_120" w:history="1">
        <w:r w:rsidRPr="007D5795">
          <w:rPr>
            <w:rStyle w:val="TextoNormalCaracter"/>
          </w:rPr>
          <w:t>120/2024</w:t>
        </w:r>
      </w:hyperlink>
      <w:r>
        <w:t>, f. 8.</w:t>
      </w:r>
    </w:p>
    <w:p w14:paraId="76BE62DC" w14:textId="1A4844E9"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Sentencia </w:t>
      </w:r>
      <w:hyperlink w:anchor="SENTENCIA_2024_120" w:history="1">
        <w:r w:rsidRPr="007D5795">
          <w:rPr>
            <w:rStyle w:val="TextoNormalCaracter"/>
          </w:rPr>
          <w:t>120/2024</w:t>
        </w:r>
      </w:hyperlink>
      <w:r>
        <w:t>, VP II.</w:t>
      </w:r>
    </w:p>
    <w:p w14:paraId="20D639F8" w14:textId="23D13099"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 </w:t>
      </w:r>
      <w:hyperlink w:anchor="SENTENCIA_2024_120" w:history="1">
        <w:r w:rsidRPr="007D5795">
          <w:rPr>
            <w:rStyle w:val="TextoNormalCaracter"/>
          </w:rPr>
          <w:t>120/2024</w:t>
        </w:r>
      </w:hyperlink>
      <w:r>
        <w:t>, ff. 1, 4, 7, VP II.</w:t>
      </w:r>
    </w:p>
    <w:p w14:paraId="215B48F8" w14:textId="3A544B8E" w:rsidR="007D5795" w:rsidRDefault="007D5795" w:rsidP="007D5795">
      <w:pPr>
        <w:pStyle w:val="SangriaFrancesaArticulo"/>
      </w:pPr>
      <w:r w:rsidRPr="007D5795">
        <w:rPr>
          <w:rStyle w:val="TextoNormalNegritaCaracter"/>
        </w:rPr>
        <w:t>Artículo 1.3.</w:t>
      </w:r>
      <w:r w:rsidRPr="007D5795">
        <w:rPr>
          <w:rStyle w:val="TextoNormalCaracter"/>
        </w:rPr>
        <w:t>-</w:t>
      </w:r>
      <w:r>
        <w:t xml:space="preserve"> Sentencia </w:t>
      </w:r>
      <w:hyperlink w:anchor="SENTENCIA_2024_120" w:history="1">
        <w:r w:rsidRPr="007D5795">
          <w:rPr>
            <w:rStyle w:val="TextoNormalCaracter"/>
          </w:rPr>
          <w:t>120/2024</w:t>
        </w:r>
      </w:hyperlink>
      <w:r>
        <w:t>, ff. 1, 2, 5, 6, 9, VP II, VP IV.</w:t>
      </w:r>
    </w:p>
    <w:p w14:paraId="356D372B" w14:textId="23416CED" w:rsidR="007D5795" w:rsidRDefault="007D5795" w:rsidP="007D5795">
      <w:pPr>
        <w:pStyle w:val="SangriaFrancesaArticulo"/>
      </w:pPr>
      <w:r w:rsidRPr="007D5795">
        <w:rPr>
          <w:rStyle w:val="TextoNormalNegritaCaracter"/>
        </w:rPr>
        <w:t>Artículo 1.5.</w:t>
      </w:r>
      <w:r w:rsidRPr="007D5795">
        <w:rPr>
          <w:rStyle w:val="TextoNormalCaracter"/>
        </w:rPr>
        <w:t>-</w:t>
      </w:r>
      <w:r>
        <w:t xml:space="preserve"> Sentencia </w:t>
      </w:r>
      <w:hyperlink w:anchor="SENTENCIA_2024_120" w:history="1">
        <w:r w:rsidRPr="007D5795">
          <w:rPr>
            <w:rStyle w:val="TextoNormalCaracter"/>
          </w:rPr>
          <w:t>120/2024</w:t>
        </w:r>
      </w:hyperlink>
      <w:r>
        <w:t>, f. 7.</w:t>
      </w:r>
    </w:p>
    <w:p w14:paraId="60E94553" w14:textId="3C289F70" w:rsidR="007D5795" w:rsidRDefault="007D5795" w:rsidP="007D5795">
      <w:pPr>
        <w:pStyle w:val="SangriaFrancesaArticulo"/>
      </w:pPr>
      <w:r w:rsidRPr="007D5795">
        <w:rPr>
          <w:rStyle w:val="TextoNormalNegritaCaracter"/>
        </w:rPr>
        <w:t>Artículo 3 a 7.</w:t>
      </w:r>
      <w:r w:rsidRPr="007D5795">
        <w:rPr>
          <w:rStyle w:val="TextoNormalCaracter"/>
        </w:rPr>
        <w:t>-</w:t>
      </w:r>
      <w:r>
        <w:t xml:space="preserve"> Sentencia </w:t>
      </w:r>
      <w:hyperlink w:anchor="SENTENCIA_2024_120" w:history="1">
        <w:r w:rsidRPr="007D5795">
          <w:rPr>
            <w:rStyle w:val="TextoNormalCaracter"/>
          </w:rPr>
          <w:t>120/2024</w:t>
        </w:r>
      </w:hyperlink>
      <w:r>
        <w:t>, VP IV.</w:t>
      </w:r>
    </w:p>
    <w:p w14:paraId="4C27D9E4" w14:textId="208BA3B1" w:rsidR="007D5795" w:rsidRDefault="007D5795" w:rsidP="007D5795">
      <w:pPr>
        <w:pStyle w:val="SangriaFrancesaArticulo"/>
      </w:pPr>
      <w:r w:rsidRPr="007D5795">
        <w:rPr>
          <w:rStyle w:val="TextoNormalNegritaCaracter"/>
        </w:rPr>
        <w:t>Artículo 5.</w:t>
      </w:r>
      <w:r w:rsidRPr="007D5795">
        <w:rPr>
          <w:rStyle w:val="TextoNormalCaracter"/>
        </w:rPr>
        <w:t>-</w:t>
      </w:r>
      <w:r>
        <w:t xml:space="preserve"> Sentencia </w:t>
      </w:r>
      <w:hyperlink w:anchor="SENTENCIA_2024_120" w:history="1">
        <w:r w:rsidRPr="007D5795">
          <w:rPr>
            <w:rStyle w:val="TextoNormalCaracter"/>
          </w:rPr>
          <w:t>120/2024</w:t>
        </w:r>
      </w:hyperlink>
      <w:r>
        <w:t>, f. 7.</w:t>
      </w:r>
    </w:p>
    <w:p w14:paraId="5F879287" w14:textId="6CF97F60" w:rsidR="007D5795" w:rsidRDefault="007D5795" w:rsidP="007D5795">
      <w:pPr>
        <w:pStyle w:val="SangriaFrancesaArticulo"/>
      </w:pPr>
      <w:r w:rsidRPr="007D5795">
        <w:rPr>
          <w:rStyle w:val="TextoNormalNegritaCaracter"/>
        </w:rPr>
        <w:t>Artículo 7.</w:t>
      </w:r>
      <w:r w:rsidRPr="007D5795">
        <w:rPr>
          <w:rStyle w:val="TextoNormalCaracter"/>
        </w:rPr>
        <w:t>-</w:t>
      </w:r>
      <w:r>
        <w:t xml:space="preserve"> Sentencia </w:t>
      </w:r>
      <w:hyperlink w:anchor="SENTENCIA_2024_120" w:history="1">
        <w:r w:rsidRPr="007D5795">
          <w:rPr>
            <w:rStyle w:val="TextoNormalCaracter"/>
          </w:rPr>
          <w:t>120/2024</w:t>
        </w:r>
      </w:hyperlink>
      <w:r>
        <w:t>, ff. 1, 7, 9, VP II, VP III, VP IV.</w:t>
      </w:r>
    </w:p>
    <w:p w14:paraId="59800AAA" w14:textId="116F31EE" w:rsidR="007D5795" w:rsidRDefault="007D5795" w:rsidP="007D5795">
      <w:pPr>
        <w:pStyle w:val="SangriaFrancesaArticulo"/>
      </w:pPr>
      <w:r w:rsidRPr="007D5795">
        <w:rPr>
          <w:rStyle w:val="TextoNormalNegritaCaracter"/>
        </w:rPr>
        <w:t>Artículo 8.</w:t>
      </w:r>
      <w:r w:rsidRPr="007D5795">
        <w:rPr>
          <w:rStyle w:val="TextoNormalCaracter"/>
        </w:rPr>
        <w:t>-</w:t>
      </w:r>
      <w:r>
        <w:t xml:space="preserve"> Sentencia </w:t>
      </w:r>
      <w:hyperlink w:anchor="SENTENCIA_2024_120" w:history="1">
        <w:r w:rsidRPr="007D5795">
          <w:rPr>
            <w:rStyle w:val="TextoNormalCaracter"/>
          </w:rPr>
          <w:t>120/2024</w:t>
        </w:r>
      </w:hyperlink>
      <w:r>
        <w:t>, ff. 1, 2, VP II.</w:t>
      </w:r>
    </w:p>
    <w:p w14:paraId="45428FAC" w14:textId="7A8D4EF0" w:rsidR="007D5795" w:rsidRDefault="007D5795" w:rsidP="007D5795">
      <w:pPr>
        <w:pStyle w:val="SangriaFrancesaArticulo"/>
      </w:pPr>
      <w:r w:rsidRPr="007D5795">
        <w:rPr>
          <w:rStyle w:val="TextoNormalNegritaCaracter"/>
        </w:rPr>
        <w:t>Artículo 9.</w:t>
      </w:r>
      <w:r w:rsidRPr="007D5795">
        <w:rPr>
          <w:rStyle w:val="TextoNormalCaracter"/>
        </w:rPr>
        <w:t>-</w:t>
      </w:r>
      <w:r>
        <w:t xml:space="preserve"> Sentencia </w:t>
      </w:r>
      <w:hyperlink w:anchor="SENTENCIA_2024_120" w:history="1">
        <w:r w:rsidRPr="007D5795">
          <w:rPr>
            <w:rStyle w:val="TextoNormalCaracter"/>
          </w:rPr>
          <w:t>120/2024</w:t>
        </w:r>
      </w:hyperlink>
      <w:r>
        <w:t>, f. 1, VP III.</w:t>
      </w:r>
    </w:p>
    <w:p w14:paraId="1ED81E6C" w14:textId="45901ACC" w:rsidR="007D5795" w:rsidRDefault="007D5795" w:rsidP="007D5795">
      <w:pPr>
        <w:pStyle w:val="SangriaFrancesaArticulo"/>
      </w:pPr>
      <w:r w:rsidRPr="007D5795">
        <w:rPr>
          <w:rStyle w:val="TextoNormalNegritaCaracter"/>
        </w:rPr>
        <w:t>Artículo 9.2.</w:t>
      </w:r>
      <w:r w:rsidRPr="007D5795">
        <w:rPr>
          <w:rStyle w:val="TextoNormalCaracter"/>
        </w:rPr>
        <w:t>-</w:t>
      </w:r>
      <w:r>
        <w:t xml:space="preserve"> Sentencia </w:t>
      </w:r>
      <w:hyperlink w:anchor="SENTENCIA_2024_120" w:history="1">
        <w:r w:rsidRPr="007D5795">
          <w:rPr>
            <w:rStyle w:val="TextoNormalCaracter"/>
          </w:rPr>
          <w:t>120/2024</w:t>
        </w:r>
      </w:hyperlink>
      <w:r>
        <w:t>, ff. 1, 8, VP II, VP IV.</w:t>
      </w:r>
    </w:p>
    <w:p w14:paraId="64064C38" w14:textId="3C52F794" w:rsidR="007D5795" w:rsidRDefault="007D5795" w:rsidP="007D5795">
      <w:pPr>
        <w:pStyle w:val="SangriaFrancesaArticulo"/>
      </w:pPr>
      <w:r w:rsidRPr="007D5795">
        <w:rPr>
          <w:rStyle w:val="TextoNormalNegritaCaracter"/>
        </w:rPr>
        <w:t>Artículo 10.</w:t>
      </w:r>
      <w:r w:rsidRPr="007D5795">
        <w:rPr>
          <w:rStyle w:val="TextoNormalCaracter"/>
        </w:rPr>
        <w:t>-</w:t>
      </w:r>
      <w:r>
        <w:t xml:space="preserve"> Sentencia </w:t>
      </w:r>
      <w:hyperlink w:anchor="SENTENCIA_2024_120" w:history="1">
        <w:r w:rsidRPr="007D5795">
          <w:rPr>
            <w:rStyle w:val="TextoNormalCaracter"/>
          </w:rPr>
          <w:t>120/2024</w:t>
        </w:r>
      </w:hyperlink>
      <w:r>
        <w:t>, ff. 1, 4, VP I, VP II.</w:t>
      </w:r>
    </w:p>
    <w:p w14:paraId="68B2230A" w14:textId="5015ABEF"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 </w:t>
      </w:r>
      <w:hyperlink w:anchor="SENTENCIA_2024_120" w:history="1">
        <w:r w:rsidRPr="007D5795">
          <w:rPr>
            <w:rStyle w:val="TextoNormalCaracter"/>
          </w:rPr>
          <w:t>120/2024</w:t>
        </w:r>
      </w:hyperlink>
      <w:r>
        <w:t>, ff. 1, 2, 5, 6, 9, VP II, VP IV.</w:t>
      </w:r>
    </w:p>
    <w:p w14:paraId="56119102" w14:textId="5406F495" w:rsidR="007D5795" w:rsidRDefault="007D5795" w:rsidP="007D5795">
      <w:pPr>
        <w:pStyle w:val="SangriaFrancesaArticulo"/>
      </w:pPr>
      <w:r w:rsidRPr="007D5795">
        <w:rPr>
          <w:rStyle w:val="TextoNormalNegritaCaracter"/>
        </w:rPr>
        <w:t>Artículo 12.</w:t>
      </w:r>
      <w:r w:rsidRPr="007D5795">
        <w:rPr>
          <w:rStyle w:val="TextoNormalCaracter"/>
        </w:rPr>
        <w:t>-</w:t>
      </w:r>
      <w:r>
        <w:t xml:space="preserve"> Sentencias </w:t>
      </w:r>
      <w:hyperlink w:anchor="SENTENCIA_2024_120" w:history="1">
        <w:r w:rsidRPr="007D5795">
          <w:rPr>
            <w:rStyle w:val="TextoNormalCaracter"/>
          </w:rPr>
          <w:t>120/2024</w:t>
        </w:r>
      </w:hyperlink>
      <w:r>
        <w:t xml:space="preserve">, ff. 1, 2, 5, 6, 9, VP I, VP IV; </w:t>
      </w:r>
      <w:hyperlink w:anchor="SENTENCIA_2024_130" w:history="1">
        <w:r w:rsidRPr="007D5795">
          <w:rPr>
            <w:rStyle w:val="TextoNormalCaracter"/>
          </w:rPr>
          <w:t>130/2024</w:t>
        </w:r>
      </w:hyperlink>
      <w:r>
        <w:t>, ff. 1, 2.</w:t>
      </w:r>
    </w:p>
    <w:p w14:paraId="46292CFC" w14:textId="39049358" w:rsidR="007D5795" w:rsidRDefault="007D5795" w:rsidP="007D5795">
      <w:pPr>
        <w:pStyle w:val="SangriaFrancesaArticulo"/>
      </w:pPr>
      <w:r w:rsidRPr="007D5795">
        <w:rPr>
          <w:rStyle w:val="TextoNormalNegritaCaracter"/>
        </w:rPr>
        <w:t>Artículo 15.</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65B5D143" w14:textId="279965B7" w:rsidR="007D5795" w:rsidRDefault="007D5795" w:rsidP="007D5795">
      <w:pPr>
        <w:pStyle w:val="SangriaFrancesaArticulo"/>
      </w:pPr>
      <w:r w:rsidRPr="007D5795">
        <w:rPr>
          <w:rStyle w:val="TextoNormalNegritaCaracter"/>
        </w:rPr>
        <w:t>Disposición transitoria.</w:t>
      </w:r>
      <w:r w:rsidRPr="007D5795">
        <w:rPr>
          <w:rStyle w:val="TextoNormalCaracter"/>
        </w:rPr>
        <w:t>-</w:t>
      </w:r>
      <w:r>
        <w:t xml:space="preserve"> Sentencia </w:t>
      </w:r>
      <w:hyperlink w:anchor="SENTENCIA_2024_120" w:history="1">
        <w:r w:rsidRPr="007D5795">
          <w:rPr>
            <w:rStyle w:val="TextoNormalCaracter"/>
          </w:rPr>
          <w:t>120/2024</w:t>
        </w:r>
      </w:hyperlink>
      <w:r>
        <w:t>, ff. 1, 2, 5, 6, VP IV.</w:t>
      </w:r>
    </w:p>
    <w:p w14:paraId="24829673" w14:textId="40D27A97" w:rsidR="007D5795" w:rsidRDefault="007D5795" w:rsidP="007D5795">
      <w:pPr>
        <w:pStyle w:val="SangriaFrancesaArticulo"/>
      </w:pPr>
    </w:p>
    <w:p w14:paraId="25D8536E" w14:textId="77777777" w:rsidR="007D5795" w:rsidRDefault="007D5795" w:rsidP="007D5795">
      <w:pPr>
        <w:pStyle w:val="TextoNormalNegritaCursivandice"/>
        <w:keepNext/>
      </w:pPr>
      <w:r>
        <w:t>Comunidad Autónoma de Cataluña. Ley 2/2022, de 3 de marzo, del fondo complementario de riesgos de la Generalitat de Cataluña</w:t>
      </w:r>
    </w:p>
    <w:p w14:paraId="26801F38" w14:textId="66008A6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1" w:history="1">
        <w:r w:rsidRPr="007D5795">
          <w:rPr>
            <w:rStyle w:val="TextoNormalCaracter"/>
          </w:rPr>
          <w:t>121/2024</w:t>
        </w:r>
      </w:hyperlink>
      <w:r>
        <w:t>, f. 2.</w:t>
      </w:r>
    </w:p>
    <w:p w14:paraId="285538DD" w14:textId="68733333" w:rsidR="007D5795" w:rsidRDefault="007D5795" w:rsidP="007D5795">
      <w:pPr>
        <w:pStyle w:val="SangriaFrancesaArticulo"/>
      </w:pPr>
    </w:p>
    <w:p w14:paraId="0CF11485" w14:textId="77777777" w:rsidR="007D5795" w:rsidRDefault="007D5795" w:rsidP="007D5795">
      <w:pPr>
        <w:pStyle w:val="TextoNormalNegritaCursivandice"/>
        <w:keepNext/>
      </w:pPr>
      <w:r>
        <w:t>Comunidad Autónoma de Cataluña. Ley 1/2023, de 15 de febrero, de modificación de la Ley 18/2007, del derecho a la vivienda, y del libro quinto del Código civil de Cataluña, relativo a los derechos reales, en relación con la adopción de medidas urgentes para afrontar la inactividad de los propietarios en los casos de ocupación ilegal de viviendas con alteración de la convivencia vecinal</w:t>
      </w:r>
    </w:p>
    <w:p w14:paraId="4055274B" w14:textId="050D5B1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611D75B7" w14:textId="4239D961" w:rsidR="007D5795" w:rsidRDefault="007D5795" w:rsidP="007D5795">
      <w:pPr>
        <w:pStyle w:val="SangriaFrancesaArticulo"/>
      </w:pPr>
    </w:p>
    <w:p w14:paraId="4C9C2AE5" w14:textId="77777777" w:rsidR="007D5795" w:rsidRDefault="007D5795" w:rsidP="007D5795">
      <w:pPr>
        <w:pStyle w:val="TextoNormalNegritaCursivandice"/>
        <w:keepNext/>
      </w:pPr>
      <w:r>
        <w:t>Comunidad Autónoma de Cataluña. Ley 3/2023, de 16 de marzo, de medidas fiscales, financieras, administrativas y del sector público para el 2023</w:t>
      </w:r>
    </w:p>
    <w:p w14:paraId="6865281C" w14:textId="238FDCB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43D29656" w14:textId="00DE3A09" w:rsidR="007D5795" w:rsidRDefault="007D5795" w:rsidP="007D5795">
      <w:pPr>
        <w:pStyle w:val="SangriaFrancesaArticulo"/>
      </w:pPr>
    </w:p>
    <w:p w14:paraId="40A08AB5" w14:textId="77777777" w:rsidR="007D5795" w:rsidRDefault="007D5795" w:rsidP="007D5795">
      <w:pPr>
        <w:pStyle w:val="TextoNormalNegritaCursivandice"/>
        <w:keepNext/>
      </w:pPr>
      <w:r>
        <w:t>Comunidad Autónoma de Cataluña. Acuerdo de la Diputación Permanente de derogación del Decreto-ley 6/2024, de 24 de abril, de medidas urgentes en materia de vivienda</w:t>
      </w:r>
    </w:p>
    <w:p w14:paraId="607D73B0" w14:textId="4475248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1ECA47B5" w14:textId="512DAE1D" w:rsidR="007D5795" w:rsidRDefault="007D5795" w:rsidP="007D5795">
      <w:pPr>
        <w:pStyle w:val="SangriaFrancesaArticulo"/>
      </w:pPr>
    </w:p>
    <w:p w14:paraId="70DD33E7" w14:textId="51CB85BA" w:rsidR="007D5795" w:rsidRDefault="007D5795" w:rsidP="007D5795">
      <w:pPr>
        <w:pStyle w:val="TextoNormalNegritaCursivandice"/>
        <w:keepNext/>
      </w:pPr>
      <w:r>
        <w:t>Comunidad Autónoma de Cataluña. Decr</w:t>
      </w:r>
      <w:r w:rsidR="00450063">
        <w:fldChar w:fldCharType="begin"/>
      </w:r>
      <w:r w:rsidR="00450063">
        <w:instrText xml:space="preserve"> PAGEREF SUMARIOSINDICES \h </w:instrText>
      </w:r>
      <w:r w:rsidR="00450063">
        <w:fldChar w:fldCharType="separate"/>
      </w:r>
      <w:r w:rsidR="00450063">
        <w:rPr>
          <w:noProof/>
        </w:rPr>
        <w:t>2</w:t>
      </w:r>
      <w:r w:rsidR="00450063">
        <w:fldChar w:fldCharType="end"/>
      </w:r>
      <w:r>
        <w:t>eto-ley 6/2024, de 24 de abril, de medidas urgentes en materia de vivienda</w:t>
      </w:r>
    </w:p>
    <w:p w14:paraId="01CA8D6A" w14:textId="6C0BCCA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2.</w:t>
      </w:r>
    </w:p>
    <w:p w14:paraId="05F50A49" w14:textId="24984CE4" w:rsidR="007D5795" w:rsidRDefault="007D5795" w:rsidP="007D5795">
      <w:pPr>
        <w:pStyle w:val="TextoNormal"/>
      </w:pPr>
    </w:p>
    <w:p w14:paraId="27F041B1" w14:textId="77777777" w:rsidR="007D5795" w:rsidRDefault="007D5795" w:rsidP="007D5795">
      <w:pPr>
        <w:pStyle w:val="TextoNormalNegritaCentradoSubrayado"/>
        <w:suppressAutoHyphens/>
      </w:pPr>
      <w:r>
        <w:t>J.5.c) Decretos y otras disposiciones reglamentarias</w:t>
      </w:r>
    </w:p>
    <w:p w14:paraId="6892414D" w14:textId="4DE010C5" w:rsidR="007D5795" w:rsidRDefault="007D5795" w:rsidP="007D5795">
      <w:pPr>
        <w:pStyle w:val="TextoNormalNegritaCentradoSubrayado"/>
      </w:pPr>
    </w:p>
    <w:p w14:paraId="2635FA2D" w14:textId="77777777" w:rsidR="007D5795" w:rsidRDefault="007D5795" w:rsidP="007D5795">
      <w:pPr>
        <w:pStyle w:val="TextoNormalNegritaCursivandice"/>
        <w:keepNext/>
      </w:pPr>
      <w:r>
        <w:t>Comunidad Autónoma de Cataluña. Acuerdos de la Junta Electoral Provincial de Barcelona, de 10 de enero y de 27 de enero de 2020. Ejecución del acuerdo 2/2020, de 3 de enero, de la Junta Electoral Central, en relación con la causa de inelegibilidad sobrevenida a que se refiere el artículo 6.2 b) LOREG, que deja sin efecto la credencial de diputado electo del presidente de la Generalitat de Cataluña y expedición de credencial de diputado al siguiente candidato de la lista de Junts per Catalunya</w:t>
      </w:r>
    </w:p>
    <w:p w14:paraId="7F442689" w14:textId="2A8AEBAA"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52" w:history="1">
        <w:r w:rsidRPr="007D5795">
          <w:rPr>
            <w:rStyle w:val="TextoNormalCaracter"/>
          </w:rPr>
          <w:t>152/2024</w:t>
        </w:r>
      </w:hyperlink>
      <w:r>
        <w:t>, f. 1.</w:t>
      </w:r>
    </w:p>
    <w:p w14:paraId="37821E75" w14:textId="15D74A25" w:rsidR="007D5795" w:rsidRDefault="007D5795" w:rsidP="007D5795">
      <w:pPr>
        <w:pStyle w:val="TextoNormal"/>
      </w:pPr>
    </w:p>
    <w:p w14:paraId="03E7B80F" w14:textId="77777777" w:rsidR="007D5795" w:rsidRDefault="007D5795" w:rsidP="007D5795">
      <w:pPr>
        <w:pStyle w:val="TextoNormalNegritaCentradoSubrayado"/>
        <w:suppressAutoHyphens/>
      </w:pPr>
      <w:r>
        <w:t>J.5.d) Disposiciones parlamentarias autonómicas</w:t>
      </w:r>
    </w:p>
    <w:p w14:paraId="326C6EB1" w14:textId="04DF41B0" w:rsidR="007D5795" w:rsidRDefault="007D5795" w:rsidP="007D5795">
      <w:pPr>
        <w:pStyle w:val="TextoNormalNegritaCentradoSubrayado"/>
      </w:pPr>
    </w:p>
    <w:p w14:paraId="796C428D" w14:textId="77777777" w:rsidR="007D5795" w:rsidRDefault="007D5795" w:rsidP="007D5795">
      <w:pPr>
        <w:pStyle w:val="TextoNormalNegritaCursivandice"/>
        <w:keepNext/>
      </w:pPr>
      <w:r>
        <w:t>Comunidad Autónoma de Cataluña. Acuerdo del Pleno del Parlamento de Cataluña de 22 de diciembre de 2005, que aprueba el Reglamento del Parlamento de Cataluña</w:t>
      </w:r>
    </w:p>
    <w:p w14:paraId="3FDAD1C1" w14:textId="275F75E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52" w:history="1">
        <w:r w:rsidRPr="007D5795">
          <w:rPr>
            <w:rStyle w:val="TextoNormalCaracter"/>
          </w:rPr>
          <w:t>152/2024</w:t>
        </w:r>
      </w:hyperlink>
      <w:r>
        <w:t>, f. 4.</w:t>
      </w:r>
    </w:p>
    <w:p w14:paraId="07DDF974" w14:textId="69B780F3" w:rsidR="007D5795" w:rsidRDefault="007D5795" w:rsidP="007D5795">
      <w:pPr>
        <w:pStyle w:val="SangriaFrancesaArticulo"/>
      </w:pPr>
    </w:p>
    <w:p w14:paraId="11283EB4" w14:textId="77777777" w:rsidR="007D5795" w:rsidRDefault="007D5795" w:rsidP="007D5795">
      <w:pPr>
        <w:pStyle w:val="TextoNormalNegritaCursivandice"/>
        <w:keepNext/>
      </w:pPr>
      <w:r>
        <w:t>Comunidad Autónoma de Cataluña. Reglamento del Parlamento de Cataluña, texto refundido aprobado por acuerdo de la mesa del Parlamento de Cataluña de 20 de febrero de 2018</w:t>
      </w:r>
    </w:p>
    <w:p w14:paraId="1E071F7D" w14:textId="430294D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09" w:history="1">
        <w:r w:rsidRPr="007D5795">
          <w:rPr>
            <w:rStyle w:val="TextoNormalCaracter"/>
          </w:rPr>
          <w:t>109/2024</w:t>
        </w:r>
      </w:hyperlink>
      <w:r>
        <w:t xml:space="preserve">, f. 1; </w:t>
      </w:r>
      <w:hyperlink w:anchor="SENTENCIA_2024_110" w:history="1">
        <w:r w:rsidRPr="007D5795">
          <w:rPr>
            <w:rStyle w:val="TextoNormalCaracter"/>
          </w:rPr>
          <w:t>110/2024</w:t>
        </w:r>
      </w:hyperlink>
      <w:r>
        <w:t>, f. 1.</w:t>
      </w:r>
    </w:p>
    <w:p w14:paraId="07F4D135" w14:textId="3E6832A8" w:rsidR="007D5795" w:rsidRDefault="007D5795" w:rsidP="007D5795">
      <w:pPr>
        <w:pStyle w:val="SangriaFrancesaArticulo"/>
      </w:pPr>
      <w:r w:rsidRPr="007D5795">
        <w:rPr>
          <w:rStyle w:val="TextoNormalNegritaCaracter"/>
        </w:rPr>
        <w:t>Artículo 111 d) y concordantes.</w:t>
      </w:r>
      <w:r w:rsidRPr="007D5795">
        <w:rPr>
          <w:rStyle w:val="TextoNormalCaracter"/>
        </w:rPr>
        <w:t>-</w:t>
      </w:r>
      <w:r>
        <w:t xml:space="preserve"> Sentencia </w:t>
      </w:r>
      <w:hyperlink w:anchor="SENTENCIA_2024_143" w:history="1">
        <w:r w:rsidRPr="007D5795">
          <w:rPr>
            <w:rStyle w:val="TextoNormalCaracter"/>
          </w:rPr>
          <w:t>143/2024</w:t>
        </w:r>
      </w:hyperlink>
      <w:r>
        <w:t>, f. 1.</w:t>
      </w:r>
    </w:p>
    <w:p w14:paraId="280C549B" w14:textId="7C168B8E" w:rsidR="007D5795" w:rsidRDefault="007D5795" w:rsidP="007D5795">
      <w:pPr>
        <w:pStyle w:val="SangriaFrancesaArticulo"/>
      </w:pPr>
    </w:p>
    <w:p w14:paraId="0527830B" w14:textId="77777777" w:rsidR="007D5795" w:rsidRDefault="007D5795" w:rsidP="007D5795">
      <w:pPr>
        <w:pStyle w:val="TextoNormalNegritaCursivandice"/>
        <w:keepNext/>
      </w:pPr>
      <w:r>
        <w:t>Comunidad Autónoma de Cataluña. Acuerdo de la mesa del Parlamento de Cataluña de 20 de febrero de 2024, que admite a trámite una iniciativa legislativa popular con el nombre de “Proposición de ley de declaración de la independencia de Cataluña”</w:t>
      </w:r>
    </w:p>
    <w:p w14:paraId="0DA2C7C1" w14:textId="22598893" w:rsidR="007D5795" w:rsidRDefault="007D5795" w:rsidP="007D5795">
      <w:pPr>
        <w:pStyle w:val="SangriaFrancesaArticulo"/>
        <w:keepNext/>
      </w:pPr>
      <w:r w:rsidRPr="007D5795">
        <w:rPr>
          <w:rStyle w:val="TextoNormalNegritaCaracter"/>
        </w:rPr>
        <w:t>En general.</w:t>
      </w:r>
      <w:r w:rsidRPr="007D5795">
        <w:rPr>
          <w:rStyle w:val="TextoNormalCaracter"/>
        </w:rPr>
        <w:t>-</w:t>
      </w:r>
      <w:r>
        <w:t xml:space="preserve"> Sentencias </w:t>
      </w:r>
      <w:hyperlink w:anchor="SENTENCIA_2024_154" w:history="1">
        <w:r w:rsidRPr="007D5795">
          <w:rPr>
            <w:rStyle w:val="TextoNormalCaracter"/>
          </w:rPr>
          <w:t>154/2024</w:t>
        </w:r>
      </w:hyperlink>
      <w:r>
        <w:t xml:space="preserve">, f. único; </w:t>
      </w:r>
      <w:hyperlink w:anchor="SENTENCIA_2024_156" w:history="1">
        <w:r w:rsidRPr="007D5795">
          <w:rPr>
            <w:rStyle w:val="TextoNormalCaracter"/>
          </w:rPr>
          <w:t>156/2024</w:t>
        </w:r>
      </w:hyperlink>
      <w:r>
        <w:t>, f. único.</w:t>
      </w:r>
    </w:p>
    <w:p w14:paraId="4799B3A7" w14:textId="394BE066" w:rsidR="007D5795" w:rsidRDefault="007D5795" w:rsidP="007D5795">
      <w:pPr>
        <w:pStyle w:val="SangriaIzquierdaArticulo"/>
      </w:pPr>
      <w:r>
        <w:t xml:space="preserve">Auto </w:t>
      </w:r>
      <w:hyperlink w:anchor="AUTO_2024_72" w:history="1">
        <w:r w:rsidRPr="007D5795">
          <w:rPr>
            <w:rStyle w:val="TextoNormalCaracter"/>
          </w:rPr>
          <w:t>72/2024</w:t>
        </w:r>
      </w:hyperlink>
      <w:r>
        <w:t>, f. único.</w:t>
      </w:r>
    </w:p>
    <w:p w14:paraId="29F90DF2" w14:textId="5298B662" w:rsidR="007D5795" w:rsidRDefault="007D5795" w:rsidP="007D5795">
      <w:pPr>
        <w:pStyle w:val="SangriaIzquierdaArticulo"/>
      </w:pPr>
    </w:p>
    <w:p w14:paraId="62CFCC6C" w14:textId="77777777" w:rsidR="007D5795" w:rsidRDefault="007D5795" w:rsidP="007D5795">
      <w:pPr>
        <w:pStyle w:val="TextoNormalNegritaCursivandice"/>
        <w:keepNext/>
      </w:pPr>
      <w:r>
        <w:t>Comunidad Autónoma de Cataluña. Acuerdo de la mesa del Parlamento de Cataluña de 22 de febrero de 2024, que desestima la petición de reconsideración del acuerdo del mismo órgano de 20 de febrero de 2024, que admite a trámite una iniciativa legislativa popular con el nombre de “Proposición de ley de declaración de la independencia de Cataluña”</w:t>
      </w:r>
    </w:p>
    <w:p w14:paraId="56C905DB" w14:textId="4D5CDFB1" w:rsidR="007D5795" w:rsidRDefault="007D5795" w:rsidP="007D5795">
      <w:pPr>
        <w:pStyle w:val="SangriaFrancesaArticulo"/>
        <w:keepNext/>
      </w:pPr>
      <w:r w:rsidRPr="007D5795">
        <w:rPr>
          <w:rStyle w:val="TextoNormalNegritaCaracter"/>
        </w:rPr>
        <w:t>En general.</w:t>
      </w:r>
      <w:r w:rsidRPr="007D5795">
        <w:rPr>
          <w:rStyle w:val="TextoNormalCaracter"/>
        </w:rPr>
        <w:t>-</w:t>
      </w:r>
      <w:r>
        <w:t xml:space="preserve"> Sentencias </w:t>
      </w:r>
      <w:hyperlink w:anchor="SENTENCIA_2024_154" w:history="1">
        <w:r w:rsidRPr="007D5795">
          <w:rPr>
            <w:rStyle w:val="TextoNormalCaracter"/>
          </w:rPr>
          <w:t>154/2024</w:t>
        </w:r>
      </w:hyperlink>
      <w:r>
        <w:t xml:space="preserve">, f. único; </w:t>
      </w:r>
      <w:hyperlink w:anchor="SENTENCIA_2024_156" w:history="1">
        <w:r w:rsidRPr="007D5795">
          <w:rPr>
            <w:rStyle w:val="TextoNormalCaracter"/>
          </w:rPr>
          <w:t>156/2024</w:t>
        </w:r>
      </w:hyperlink>
      <w:r>
        <w:t>, f. único.</w:t>
      </w:r>
    </w:p>
    <w:p w14:paraId="5C23397F" w14:textId="0DE43040" w:rsidR="007D5795" w:rsidRDefault="007D5795" w:rsidP="007D5795">
      <w:pPr>
        <w:pStyle w:val="SangriaIzquierdaArticulo"/>
      </w:pPr>
      <w:r>
        <w:t xml:space="preserve">Auto </w:t>
      </w:r>
      <w:hyperlink w:anchor="AUTO_2024_98" w:history="1">
        <w:r w:rsidRPr="007D5795">
          <w:rPr>
            <w:rStyle w:val="TextoNormalCaracter"/>
          </w:rPr>
          <w:t>98/2024</w:t>
        </w:r>
      </w:hyperlink>
      <w:r>
        <w:t>, f. único.</w:t>
      </w:r>
    </w:p>
    <w:p w14:paraId="00F764B4" w14:textId="2DDEEC7D" w:rsidR="007D5795" w:rsidRDefault="007D5795" w:rsidP="007D5795">
      <w:pPr>
        <w:pStyle w:val="TextoNormal"/>
      </w:pPr>
    </w:p>
    <w:p w14:paraId="20DC3807" w14:textId="77777777" w:rsidR="007D5795" w:rsidRDefault="007D5795" w:rsidP="007D5795">
      <w:pPr>
        <w:pStyle w:val="TextoNormalNegritaCentrado"/>
        <w:suppressAutoHyphens/>
      </w:pPr>
      <w:r w:rsidRPr="007D5795">
        <w:rPr>
          <w:rStyle w:val="TextoNormalNegritaCentradoSombreado"/>
        </w:rPr>
        <w:t>J.6) Galicia</w:t>
      </w:r>
    </w:p>
    <w:p w14:paraId="1CEC0F48" w14:textId="27130CBB" w:rsidR="007D5795" w:rsidRDefault="007D5795" w:rsidP="007D5795">
      <w:pPr>
        <w:pStyle w:val="TextoNormal"/>
      </w:pPr>
    </w:p>
    <w:p w14:paraId="1DB916BB" w14:textId="77777777" w:rsidR="007D5795" w:rsidRDefault="007D5795" w:rsidP="007D5795">
      <w:pPr>
        <w:pStyle w:val="TextoNormalNegritaCentradoSubrayado"/>
        <w:suppressAutoHyphens/>
      </w:pPr>
      <w:r>
        <w:t>J.6.a) Estatuto de Autonomía</w:t>
      </w:r>
    </w:p>
    <w:p w14:paraId="3083B4E6" w14:textId="47BFA210" w:rsidR="007D5795" w:rsidRDefault="007D5795" w:rsidP="007D5795">
      <w:pPr>
        <w:pStyle w:val="TextoNormalNegritaCentradoSubrayado"/>
      </w:pPr>
    </w:p>
    <w:p w14:paraId="0DA13D4C" w14:textId="77777777" w:rsidR="007D5795" w:rsidRDefault="007D5795" w:rsidP="007D5795">
      <w:pPr>
        <w:pStyle w:val="TextoNormalNegritaCursivandice"/>
        <w:keepNext/>
      </w:pPr>
      <w:r>
        <w:t>Ley Orgánica 1/1981, de 6 de abril, de Estatuto de Autonomía para Galicia</w:t>
      </w:r>
    </w:p>
    <w:p w14:paraId="27BE88E6" w14:textId="7401FA0E" w:rsidR="007D5795" w:rsidRDefault="007D5795" w:rsidP="007D5795">
      <w:pPr>
        <w:pStyle w:val="SangriaFrancesaArticulo"/>
      </w:pPr>
      <w:r w:rsidRPr="007D5795">
        <w:rPr>
          <w:rStyle w:val="TextoNormalNegritaCaracter"/>
        </w:rPr>
        <w:t>Artículo 33.1.</w:t>
      </w:r>
      <w:r w:rsidRPr="007D5795">
        <w:rPr>
          <w:rStyle w:val="TextoNormalCaracter"/>
        </w:rPr>
        <w:t>-</w:t>
      </w:r>
      <w:r>
        <w:t xml:space="preserve"> Sentencia </w:t>
      </w:r>
      <w:hyperlink w:anchor="SENTENCIA_2024_136" w:history="1">
        <w:r w:rsidRPr="007D5795">
          <w:rPr>
            <w:rStyle w:val="TextoNormalCaracter"/>
          </w:rPr>
          <w:t>136/2024</w:t>
        </w:r>
      </w:hyperlink>
      <w:r>
        <w:t>, f. 6.</w:t>
      </w:r>
    </w:p>
    <w:p w14:paraId="44EDF3E8" w14:textId="77B2F71A" w:rsidR="007D5795" w:rsidRDefault="007D5795" w:rsidP="007D5795">
      <w:pPr>
        <w:pStyle w:val="TextoNormal"/>
      </w:pPr>
    </w:p>
    <w:p w14:paraId="67F7A680" w14:textId="77777777" w:rsidR="007D5795" w:rsidRDefault="007D5795" w:rsidP="007D5795">
      <w:pPr>
        <w:pStyle w:val="TextoNormalNegritaCentradoSubrayado"/>
        <w:suppressAutoHyphens/>
      </w:pPr>
      <w:r>
        <w:t>J.6.b) Leyes y disposiciones con fuerza de Ley</w:t>
      </w:r>
    </w:p>
    <w:p w14:paraId="4C594842" w14:textId="1835EDFC" w:rsidR="007D5795" w:rsidRDefault="007D5795" w:rsidP="007D5795">
      <w:pPr>
        <w:pStyle w:val="TextoNormalNegritaCentradoSubrayado"/>
      </w:pPr>
    </w:p>
    <w:p w14:paraId="4F742751" w14:textId="77777777" w:rsidR="007D5795" w:rsidRDefault="007D5795" w:rsidP="007D5795">
      <w:pPr>
        <w:pStyle w:val="TextoNormalNegritaCursivandice"/>
        <w:keepNext/>
      </w:pPr>
      <w:r>
        <w:t>Comunidad Autónoma de Galicia. Ley 8/2008, de 10 de julio, de salud de Galicia</w:t>
      </w:r>
    </w:p>
    <w:p w14:paraId="49E10BE1" w14:textId="45675D8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6" w:history="1">
        <w:r w:rsidRPr="007D5795">
          <w:rPr>
            <w:rStyle w:val="TextoNormalCaracter"/>
          </w:rPr>
          <w:t>136/2024</w:t>
        </w:r>
      </w:hyperlink>
      <w:r>
        <w:t>, f. 2, VP.</w:t>
      </w:r>
    </w:p>
    <w:p w14:paraId="2FB6AC00" w14:textId="0238F6BC" w:rsidR="007D5795" w:rsidRDefault="007D5795" w:rsidP="007D5795">
      <w:pPr>
        <w:pStyle w:val="SangriaFrancesaArticulo"/>
      </w:pPr>
      <w:r w:rsidRPr="007D5795">
        <w:rPr>
          <w:rStyle w:val="TextoNormalNegritaCaracter"/>
        </w:rPr>
        <w:t>Artículo 38.</w:t>
      </w:r>
      <w:r w:rsidRPr="007D5795">
        <w:rPr>
          <w:rStyle w:val="TextoNormalCaracter"/>
        </w:rPr>
        <w:t>-</w:t>
      </w:r>
      <w:r>
        <w:t xml:space="preserve"> Sentencia </w:t>
      </w:r>
      <w:hyperlink w:anchor="SENTENCIA_2024_136" w:history="1">
        <w:r w:rsidRPr="007D5795">
          <w:rPr>
            <w:rStyle w:val="TextoNormalCaracter"/>
          </w:rPr>
          <w:t>136/2024</w:t>
        </w:r>
      </w:hyperlink>
      <w:r>
        <w:t>, ff. 2, 5.</w:t>
      </w:r>
    </w:p>
    <w:p w14:paraId="3CC85CC8" w14:textId="5B5E8E3F" w:rsidR="007D5795" w:rsidRDefault="007D5795" w:rsidP="007D5795">
      <w:pPr>
        <w:pStyle w:val="SangriaFrancesaArticulo"/>
      </w:pPr>
      <w:r w:rsidRPr="007D5795">
        <w:rPr>
          <w:rStyle w:val="TextoNormalNegritaCaracter"/>
        </w:rPr>
        <w:t>Artículo 38 ter.</w:t>
      </w:r>
      <w:r w:rsidRPr="007D5795">
        <w:rPr>
          <w:rStyle w:val="TextoNormalCaracter"/>
        </w:rPr>
        <w:t>-</w:t>
      </w:r>
      <w:r>
        <w:t xml:space="preserve"> Sentencia </w:t>
      </w:r>
      <w:hyperlink w:anchor="SENTENCIA_2024_136" w:history="1">
        <w:r w:rsidRPr="007D5795">
          <w:rPr>
            <w:rStyle w:val="TextoNormalCaracter"/>
          </w:rPr>
          <w:t>136/2024</w:t>
        </w:r>
      </w:hyperlink>
      <w:r>
        <w:t>, ff. 1, 4 a 6.</w:t>
      </w:r>
    </w:p>
    <w:p w14:paraId="5009A32D" w14:textId="29FC2870" w:rsidR="007D5795" w:rsidRDefault="007D5795" w:rsidP="007D5795">
      <w:pPr>
        <w:pStyle w:val="SangriaFrancesaArticulo"/>
      </w:pPr>
      <w:r w:rsidRPr="007D5795">
        <w:rPr>
          <w:rStyle w:val="TextoNormalNegritaCaracter"/>
        </w:rPr>
        <w:t>Artículo 38 ter.2 c).</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3C791BAA" w14:textId="74E0A223" w:rsidR="007D5795" w:rsidRDefault="007D5795" w:rsidP="007D5795">
      <w:pPr>
        <w:pStyle w:val="SangriaFrancesaArticulo"/>
      </w:pPr>
      <w:r w:rsidRPr="007D5795">
        <w:rPr>
          <w:rStyle w:val="TextoNormalNegritaCaracter"/>
        </w:rPr>
        <w:t>Artículo 38 ter.6.</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1A0538BA" w14:textId="5A599D69" w:rsidR="007D5795" w:rsidRDefault="007D5795" w:rsidP="007D5795">
      <w:pPr>
        <w:pStyle w:val="SangriaFrancesaArticulo"/>
      </w:pPr>
      <w:r w:rsidRPr="007D5795">
        <w:rPr>
          <w:rStyle w:val="TextoNormalNegritaCaracter"/>
        </w:rPr>
        <w:t>Artículo 38.2</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ff. 1, 2.</w:t>
      </w:r>
    </w:p>
    <w:p w14:paraId="2AA79FED" w14:textId="09AFB8AA" w:rsidR="007D5795" w:rsidRDefault="007D5795" w:rsidP="007D5795">
      <w:pPr>
        <w:pStyle w:val="SangriaFrancesaArticulo"/>
      </w:pPr>
      <w:r w:rsidRPr="007D5795">
        <w:rPr>
          <w:rStyle w:val="TextoNormalNegritaCaracter"/>
        </w:rPr>
        <w:t>Artículo 38.2 a)</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ff. 3, 6.</w:t>
      </w:r>
    </w:p>
    <w:p w14:paraId="4EE974EC" w14:textId="6182E8E5" w:rsidR="007D5795" w:rsidRDefault="007D5795" w:rsidP="007D5795">
      <w:pPr>
        <w:pStyle w:val="SangriaFrancesaArticulo"/>
      </w:pPr>
      <w:r w:rsidRPr="007D5795">
        <w:rPr>
          <w:rStyle w:val="TextoNormalNegritaCaracter"/>
        </w:rPr>
        <w:t>Artículo 38.2 b)</w:t>
      </w:r>
      <w:r>
        <w:t xml:space="preserve"> (redactado por la Ley 8/2021, de 25 de febrero)</w:t>
      </w:r>
      <w:r w:rsidRPr="007D5795">
        <w:rPr>
          <w:rStyle w:val="TextoNormalNegritaCaracter"/>
        </w:rPr>
        <w:t>.</w:t>
      </w:r>
      <w:r w:rsidRPr="007D5795">
        <w:rPr>
          <w:rStyle w:val="TextoNormalCaracter"/>
        </w:rPr>
        <w:t>-</w:t>
      </w:r>
      <w:r>
        <w:t xml:space="preserve"> Sentencias </w:t>
      </w:r>
      <w:hyperlink w:anchor="SENTENCIA_2024_136" w:history="1">
        <w:r w:rsidRPr="007D5795">
          <w:rPr>
            <w:rStyle w:val="TextoNormalCaracter"/>
          </w:rPr>
          <w:t>136/2024</w:t>
        </w:r>
      </w:hyperlink>
      <w:r>
        <w:t xml:space="preserve">, ff. 1, 4, 5; </w:t>
      </w:r>
      <w:hyperlink w:anchor="SENTENCIA_2024_141" w:history="1">
        <w:r w:rsidRPr="007D5795">
          <w:rPr>
            <w:rStyle w:val="TextoNormalCaracter"/>
          </w:rPr>
          <w:t>141/2024</w:t>
        </w:r>
      </w:hyperlink>
      <w:r>
        <w:t>, f. 3.</w:t>
      </w:r>
    </w:p>
    <w:p w14:paraId="05F94D28" w14:textId="03995672" w:rsidR="007D5795" w:rsidRDefault="007D5795" w:rsidP="007D5795">
      <w:pPr>
        <w:pStyle w:val="SangriaFrancesaArticulo"/>
      </w:pPr>
      <w:r w:rsidRPr="007D5795">
        <w:rPr>
          <w:rStyle w:val="TextoNormalNegritaCaracter"/>
        </w:rPr>
        <w:t>Artículo 38.2 b) 1</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ff. 4 a 6.</w:t>
      </w:r>
    </w:p>
    <w:p w14:paraId="7D2E814B" w14:textId="5E5D92C7" w:rsidR="007D5795" w:rsidRDefault="007D5795" w:rsidP="007D5795">
      <w:pPr>
        <w:pStyle w:val="SangriaFrancesaArticulo"/>
      </w:pPr>
      <w:r w:rsidRPr="007D5795">
        <w:rPr>
          <w:rStyle w:val="TextoNormalNegritaCaracter"/>
        </w:rPr>
        <w:t>Artículo 38.2 b) 2</w:t>
      </w:r>
      <w:r>
        <w:t xml:space="preserve"> (redactado por la Ley 8/2021, de 25 de febrero)</w:t>
      </w:r>
      <w:r w:rsidRPr="007D5795">
        <w:rPr>
          <w:rStyle w:val="TextoNormalNegritaCaracter"/>
        </w:rPr>
        <w:t>.</w:t>
      </w:r>
      <w:r w:rsidRPr="007D5795">
        <w:rPr>
          <w:rStyle w:val="TextoNormalCaracter"/>
        </w:rPr>
        <w:t>-</w:t>
      </w:r>
      <w:r>
        <w:t xml:space="preserve"> Sentencias </w:t>
      </w:r>
      <w:hyperlink w:anchor="SENTENCIA_2024_136" w:history="1">
        <w:r w:rsidRPr="007D5795">
          <w:rPr>
            <w:rStyle w:val="TextoNormalCaracter"/>
          </w:rPr>
          <w:t>136/2024</w:t>
        </w:r>
      </w:hyperlink>
      <w:r>
        <w:t xml:space="preserve">, ff. 4 a 6; </w:t>
      </w:r>
      <w:hyperlink w:anchor="SENTENCIA_2024_141" w:history="1">
        <w:r w:rsidRPr="007D5795">
          <w:rPr>
            <w:rStyle w:val="TextoNormalCaracter"/>
          </w:rPr>
          <w:t>141/2024</w:t>
        </w:r>
      </w:hyperlink>
      <w:r>
        <w:t>, f. 4.</w:t>
      </w:r>
    </w:p>
    <w:p w14:paraId="38BD4AF3" w14:textId="33F5D8F9" w:rsidR="007D5795" w:rsidRDefault="007D5795" w:rsidP="007D5795">
      <w:pPr>
        <w:pStyle w:val="SangriaFrancesaArticulo"/>
      </w:pPr>
      <w:r w:rsidRPr="007D5795">
        <w:rPr>
          <w:rStyle w:val="TextoNormalNegritaCaracter"/>
        </w:rPr>
        <w:t>Artículo 38.2 b) 3</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ff. 4, 6.</w:t>
      </w:r>
    </w:p>
    <w:p w14:paraId="2734EC5C" w14:textId="078664EC" w:rsidR="007D5795" w:rsidRDefault="007D5795" w:rsidP="007D5795">
      <w:pPr>
        <w:pStyle w:val="SangriaFrancesaArticulo"/>
      </w:pPr>
      <w:r w:rsidRPr="007D5795">
        <w:rPr>
          <w:rStyle w:val="TextoNormalNegritaCaracter"/>
        </w:rPr>
        <w:t>Artículo 38.2 b) 4</w:t>
      </w:r>
      <w:r>
        <w:t xml:space="preserve"> (redactado por la Ley 8/2021, de 25 de febrero)</w:t>
      </w:r>
      <w:r w:rsidRPr="007D5795">
        <w:rPr>
          <w:rStyle w:val="TextoNormalNegritaCaracter"/>
        </w:rPr>
        <w:t>.</w:t>
      </w:r>
      <w:r w:rsidRPr="007D5795">
        <w:rPr>
          <w:rStyle w:val="TextoNormalCaracter"/>
        </w:rPr>
        <w:t>-</w:t>
      </w:r>
      <w:r>
        <w:t xml:space="preserve"> Sentencias </w:t>
      </w:r>
      <w:hyperlink w:anchor="SENTENCIA_2024_136" w:history="1">
        <w:r w:rsidRPr="007D5795">
          <w:rPr>
            <w:rStyle w:val="TextoNormalCaracter"/>
          </w:rPr>
          <w:t>136/2024</w:t>
        </w:r>
      </w:hyperlink>
      <w:r>
        <w:t xml:space="preserve">, ff. 4 a 6; </w:t>
      </w:r>
      <w:hyperlink w:anchor="SENTENCIA_2024_141" w:history="1">
        <w:r w:rsidRPr="007D5795">
          <w:rPr>
            <w:rStyle w:val="TextoNormalCaracter"/>
          </w:rPr>
          <w:t>141/2024</w:t>
        </w:r>
      </w:hyperlink>
      <w:r>
        <w:t>, f. 4.</w:t>
      </w:r>
    </w:p>
    <w:p w14:paraId="3FCE1CB2" w14:textId="4658EC39" w:rsidR="007D5795" w:rsidRDefault="007D5795" w:rsidP="007D5795">
      <w:pPr>
        <w:pStyle w:val="SangriaFrancesaArticulo"/>
      </w:pPr>
      <w:r w:rsidRPr="007D5795">
        <w:rPr>
          <w:rStyle w:val="TextoNormalNegritaCaracter"/>
        </w:rPr>
        <w:t>Artículo 38.2 b) 5</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ff. 2, 4 a 6.</w:t>
      </w:r>
    </w:p>
    <w:p w14:paraId="04513B18" w14:textId="4298DF92" w:rsidR="007D5795" w:rsidRDefault="007D5795" w:rsidP="007D5795">
      <w:pPr>
        <w:pStyle w:val="SangriaFrancesaArticulo"/>
      </w:pPr>
      <w:r w:rsidRPr="007D5795">
        <w:rPr>
          <w:rStyle w:val="TextoNormalNegritaCaracter"/>
        </w:rPr>
        <w:t>Artículo 38.2 b) 6</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ff. 4, 6.</w:t>
      </w:r>
    </w:p>
    <w:p w14:paraId="0B45D48A" w14:textId="049F95F6" w:rsidR="007D5795" w:rsidRDefault="007D5795" w:rsidP="007D5795">
      <w:pPr>
        <w:pStyle w:val="SangriaFrancesaArticulo"/>
      </w:pPr>
      <w:r w:rsidRPr="007D5795">
        <w:rPr>
          <w:rStyle w:val="TextoNormalNegritaCaracter"/>
        </w:rPr>
        <w:t>Artículo 38.2 b) 6 i)</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ff. 4, 5, VP.</w:t>
      </w:r>
    </w:p>
    <w:p w14:paraId="75784189" w14:textId="57705D33" w:rsidR="007D5795" w:rsidRDefault="007D5795" w:rsidP="007D5795">
      <w:pPr>
        <w:pStyle w:val="SangriaFrancesaArticulo"/>
      </w:pPr>
      <w:r w:rsidRPr="007D5795">
        <w:rPr>
          <w:rStyle w:val="TextoNormalNegritaCaracter"/>
        </w:rPr>
        <w:t>Artículo 38.2 b) 6 ii)</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ff. 4, 5.</w:t>
      </w:r>
    </w:p>
    <w:p w14:paraId="368AF9CD" w14:textId="12B943F4" w:rsidR="007D5795" w:rsidRDefault="007D5795" w:rsidP="007D5795">
      <w:pPr>
        <w:pStyle w:val="SangriaFrancesaArticulo"/>
      </w:pPr>
      <w:r w:rsidRPr="007D5795">
        <w:rPr>
          <w:rStyle w:val="TextoNormalNegritaCaracter"/>
        </w:rPr>
        <w:t>Artículo 38.2 b) 6 iii)</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 4.</w:t>
      </w:r>
    </w:p>
    <w:p w14:paraId="5E80670E" w14:textId="664548A5" w:rsidR="007D5795" w:rsidRDefault="007D5795" w:rsidP="007D5795">
      <w:pPr>
        <w:pStyle w:val="SangriaFrancesaArticulo"/>
      </w:pPr>
      <w:r w:rsidRPr="007D5795">
        <w:rPr>
          <w:rStyle w:val="TextoNormalNegritaCaracter"/>
        </w:rPr>
        <w:t>Artículo 38.2 b) 6 iv)</w:t>
      </w:r>
      <w:r>
        <w:t xml:space="preserve"> (redactado por la Ley 8/2021, de 25 de febrero)</w:t>
      </w:r>
      <w:r w:rsidRPr="007D5795">
        <w:rPr>
          <w:rStyle w:val="TextoNormalNegritaCaracter"/>
        </w:rPr>
        <w:t>.</w:t>
      </w:r>
      <w:r w:rsidRPr="007D5795">
        <w:rPr>
          <w:rStyle w:val="TextoNormalCaracter"/>
        </w:rPr>
        <w:t>-</w:t>
      </w:r>
      <w:r>
        <w:t xml:space="preserve"> Sentencias </w:t>
      </w:r>
      <w:hyperlink w:anchor="SENTENCIA_2024_136" w:history="1">
        <w:r w:rsidRPr="007D5795">
          <w:rPr>
            <w:rStyle w:val="TextoNormalCaracter"/>
          </w:rPr>
          <w:t>136/2024</w:t>
        </w:r>
      </w:hyperlink>
      <w:r>
        <w:t xml:space="preserve">, ff. 4, 5; </w:t>
      </w:r>
      <w:hyperlink w:anchor="SENTENCIA_2024_141" w:history="1">
        <w:r w:rsidRPr="007D5795">
          <w:rPr>
            <w:rStyle w:val="TextoNormalCaracter"/>
          </w:rPr>
          <w:t>141/2024</w:t>
        </w:r>
      </w:hyperlink>
      <w:r>
        <w:t>, f. 4.</w:t>
      </w:r>
    </w:p>
    <w:p w14:paraId="1FB39A79" w14:textId="4C2E6E35" w:rsidR="007D5795" w:rsidRDefault="007D5795" w:rsidP="007D5795">
      <w:pPr>
        <w:pStyle w:val="SangriaFrancesaArticulo"/>
      </w:pPr>
      <w:r w:rsidRPr="007D5795">
        <w:rPr>
          <w:rStyle w:val="TextoNormalNegritaCaracter"/>
        </w:rPr>
        <w:t>Artículo 38.2 b) 6, primer inciso</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41" w:history="1">
        <w:r w:rsidRPr="007D5795">
          <w:rPr>
            <w:rStyle w:val="TextoNormalCaracter"/>
          </w:rPr>
          <w:t>141/2024</w:t>
        </w:r>
      </w:hyperlink>
      <w:r>
        <w:t>, f. 4.</w:t>
      </w:r>
    </w:p>
    <w:p w14:paraId="64ADC2BA" w14:textId="36954725" w:rsidR="007D5795" w:rsidRDefault="007D5795" w:rsidP="007D5795">
      <w:pPr>
        <w:pStyle w:val="SangriaFrancesaArticulo"/>
      </w:pPr>
      <w:r w:rsidRPr="007D5795">
        <w:rPr>
          <w:rStyle w:val="TextoNormalNegritaCaracter"/>
        </w:rPr>
        <w:t>Artículo 38.2 b) 7</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ff. 3, 5, 6.</w:t>
      </w:r>
    </w:p>
    <w:p w14:paraId="6CFD02D9" w14:textId="5648C2D3" w:rsidR="007D5795" w:rsidRDefault="007D5795" w:rsidP="007D5795">
      <w:pPr>
        <w:pStyle w:val="SangriaFrancesaArticulo"/>
      </w:pPr>
      <w:r w:rsidRPr="007D5795">
        <w:rPr>
          <w:rStyle w:val="TextoNormalNegritaCaracter"/>
        </w:rPr>
        <w:t>Artículo 38.2 b) inciso 1</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ff. 2, 6.</w:t>
      </w:r>
    </w:p>
    <w:p w14:paraId="6448088A" w14:textId="0E23265B" w:rsidR="007D5795" w:rsidRDefault="007D5795" w:rsidP="007D5795">
      <w:pPr>
        <w:pStyle w:val="SangriaFrancesaArticulo"/>
      </w:pPr>
      <w:r w:rsidRPr="007D5795">
        <w:rPr>
          <w:rStyle w:val="TextoNormalNegritaCaracter"/>
        </w:rPr>
        <w:t>Artículo 38.2 b) inciso 2</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ff. 2 a 6.</w:t>
      </w:r>
    </w:p>
    <w:p w14:paraId="0C4558CC" w14:textId="7D4DC988" w:rsidR="007D5795" w:rsidRDefault="007D5795" w:rsidP="007D5795">
      <w:pPr>
        <w:pStyle w:val="SangriaFrancesaArticulo"/>
      </w:pPr>
      <w:r w:rsidRPr="007D5795">
        <w:rPr>
          <w:rStyle w:val="TextoNormalNegritaCaracter"/>
        </w:rPr>
        <w:t>Artículo 41 bis</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127CC78B" w14:textId="63FF0452" w:rsidR="007D5795" w:rsidRDefault="007D5795" w:rsidP="007D5795">
      <w:pPr>
        <w:pStyle w:val="SangriaFrancesaArticulo"/>
      </w:pPr>
      <w:r w:rsidRPr="007D5795">
        <w:rPr>
          <w:rStyle w:val="TextoNormalNegritaCaracter"/>
        </w:rPr>
        <w:t>Artículo 41 bis c), d), e) y f)</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41CD9A4D" w14:textId="05B1D2F8" w:rsidR="007D5795" w:rsidRDefault="007D5795" w:rsidP="007D5795">
      <w:pPr>
        <w:pStyle w:val="SangriaFrancesaArticulo"/>
      </w:pPr>
      <w:r w:rsidRPr="007D5795">
        <w:rPr>
          <w:rStyle w:val="TextoNormalNegritaCaracter"/>
        </w:rPr>
        <w:t>Artículo 41 bis d)</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46F172A2" w14:textId="490991F2" w:rsidR="007D5795" w:rsidRDefault="007D5795" w:rsidP="007D5795">
      <w:pPr>
        <w:pStyle w:val="SangriaFrancesaArticulo"/>
      </w:pPr>
      <w:r w:rsidRPr="007D5795">
        <w:rPr>
          <w:rStyle w:val="TextoNormalNegritaCaracter"/>
        </w:rPr>
        <w:t>Artículo 42 bis</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6E27B963" w14:textId="04CB1CC7" w:rsidR="007D5795" w:rsidRDefault="007D5795" w:rsidP="007D5795">
      <w:pPr>
        <w:pStyle w:val="SangriaFrancesaArticulo"/>
      </w:pPr>
      <w:r w:rsidRPr="007D5795">
        <w:rPr>
          <w:rStyle w:val="TextoNormalNegritaCaracter"/>
        </w:rPr>
        <w:t>Artículo 42 bis c)</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11B40A17" w14:textId="17BF93C2" w:rsidR="007D5795" w:rsidRDefault="007D5795" w:rsidP="007D5795">
      <w:pPr>
        <w:pStyle w:val="SangriaFrancesaArticulo"/>
      </w:pPr>
      <w:r w:rsidRPr="007D5795">
        <w:rPr>
          <w:rStyle w:val="TextoNormalNegritaCaracter"/>
        </w:rPr>
        <w:t>Artículo 42 bis d)</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6873AC38" w14:textId="1A436EB0" w:rsidR="007D5795" w:rsidRDefault="007D5795" w:rsidP="007D5795">
      <w:pPr>
        <w:pStyle w:val="SangriaFrancesaArticulo"/>
      </w:pPr>
      <w:r w:rsidRPr="007D5795">
        <w:rPr>
          <w:rStyle w:val="TextoNormalNegritaCaracter"/>
        </w:rPr>
        <w:t>Artículo 42 bis e)</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356A31D8" w14:textId="4816CE64" w:rsidR="007D5795" w:rsidRDefault="007D5795" w:rsidP="007D5795">
      <w:pPr>
        <w:pStyle w:val="SangriaFrancesaArticulo"/>
      </w:pPr>
      <w:r w:rsidRPr="007D5795">
        <w:rPr>
          <w:rStyle w:val="TextoNormalNegritaCaracter"/>
        </w:rPr>
        <w:t>Artículo 42 bis inciso "c), d),  f)"</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427AE5E5" w14:textId="54A23F4D" w:rsidR="007D5795" w:rsidRDefault="007D5795" w:rsidP="007D5795">
      <w:pPr>
        <w:pStyle w:val="SangriaFrancesaArticulo"/>
      </w:pPr>
      <w:r w:rsidRPr="007D5795">
        <w:rPr>
          <w:rStyle w:val="TextoNormalNegritaCaracter"/>
        </w:rPr>
        <w:t>Artículo 43 bis</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0D0733C9" w14:textId="0F9B9FBF" w:rsidR="007D5795" w:rsidRDefault="007D5795" w:rsidP="007D5795">
      <w:pPr>
        <w:pStyle w:val="SangriaFrancesaArticulo"/>
      </w:pPr>
      <w:r w:rsidRPr="007D5795">
        <w:rPr>
          <w:rStyle w:val="TextoNormalNegritaCaracter"/>
        </w:rPr>
        <w:t>Artículo 43 bis b)</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2F986BA1" w14:textId="270CC4D6" w:rsidR="007D5795" w:rsidRDefault="007D5795" w:rsidP="007D5795">
      <w:pPr>
        <w:pStyle w:val="SangriaFrancesaArticulo"/>
      </w:pPr>
      <w:r w:rsidRPr="007D5795">
        <w:rPr>
          <w:rStyle w:val="TextoNormalNegritaCaracter"/>
        </w:rPr>
        <w:t>Artículo 43 bis c)</w:t>
      </w:r>
      <w:r>
        <w:t xml:space="preserve"> (redactado por la Ley 8/2021, de 25 de febrero)</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2D81DA99" w14:textId="4474ACF7" w:rsidR="007D5795" w:rsidRDefault="007D5795" w:rsidP="007D5795">
      <w:pPr>
        <w:pStyle w:val="SangriaFrancesaArticulo"/>
      </w:pPr>
      <w:r w:rsidRPr="007D5795">
        <w:rPr>
          <w:rStyle w:val="TextoNormalNegritaCaracter"/>
        </w:rPr>
        <w:t>Disposición adicional segunda</w:t>
      </w:r>
      <w:r>
        <w:t xml:space="preserve"> (redactada por la Ley 18/2021, de 27 de diciembre)</w:t>
      </w:r>
      <w:r w:rsidRPr="007D5795">
        <w:rPr>
          <w:rStyle w:val="TextoNormalNegritaCaracter"/>
        </w:rPr>
        <w:t>.</w:t>
      </w:r>
      <w:r w:rsidRPr="007D5795">
        <w:rPr>
          <w:rStyle w:val="TextoNormalCaracter"/>
        </w:rPr>
        <w:t>-</w:t>
      </w:r>
      <w:r>
        <w:t xml:space="preserve"> Sentencia </w:t>
      </w:r>
      <w:hyperlink w:anchor="SENTENCIA_2024_136" w:history="1">
        <w:r w:rsidRPr="007D5795">
          <w:rPr>
            <w:rStyle w:val="TextoNormalCaracter"/>
          </w:rPr>
          <w:t>136/2024</w:t>
        </w:r>
      </w:hyperlink>
      <w:r>
        <w:t>, ff. 2, 5.</w:t>
      </w:r>
    </w:p>
    <w:p w14:paraId="75CB9769" w14:textId="1E7C9C38" w:rsidR="007D5795" w:rsidRDefault="007D5795" w:rsidP="007D5795">
      <w:pPr>
        <w:pStyle w:val="SangriaFrancesaArticulo"/>
      </w:pPr>
    </w:p>
    <w:p w14:paraId="146D64DB" w14:textId="77777777" w:rsidR="007D5795" w:rsidRDefault="007D5795" w:rsidP="007D5795">
      <w:pPr>
        <w:pStyle w:val="TextoNormalNegritaCursivandice"/>
        <w:keepNext/>
      </w:pPr>
      <w:r>
        <w:t>Comunidad Autónoma de Galicia. Ley 8/2021, de 25 de febrero, de modificación de la Ley 8/2008, de 10 de julio, de salud de Galicia</w:t>
      </w:r>
    </w:p>
    <w:p w14:paraId="33766069" w14:textId="209A617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36" w:history="1">
        <w:r w:rsidRPr="007D5795">
          <w:rPr>
            <w:rStyle w:val="TextoNormalCaracter"/>
          </w:rPr>
          <w:t>136/2024</w:t>
        </w:r>
      </w:hyperlink>
      <w:r>
        <w:t xml:space="preserve">, ff. 2, 4; </w:t>
      </w:r>
      <w:hyperlink w:anchor="SENTENCIA_2024_141" w:history="1">
        <w:r w:rsidRPr="007D5795">
          <w:rPr>
            <w:rStyle w:val="TextoNormalCaracter"/>
          </w:rPr>
          <w:t>141/2024</w:t>
        </w:r>
      </w:hyperlink>
      <w:r>
        <w:t>, f. 3.</w:t>
      </w:r>
    </w:p>
    <w:p w14:paraId="31871F7A" w14:textId="3D3B9F45" w:rsidR="007D5795" w:rsidRDefault="007D5795" w:rsidP="007D5795">
      <w:pPr>
        <w:pStyle w:val="SangriaFrancesaArticulo"/>
      </w:pPr>
      <w:r w:rsidRPr="007D5795">
        <w:rPr>
          <w:rStyle w:val="TextoNormalNegritaCaracter"/>
        </w:rPr>
        <w:t>Exposición de motivos.</w:t>
      </w:r>
      <w:r w:rsidRPr="007D5795">
        <w:rPr>
          <w:rStyle w:val="TextoNormalCaracter"/>
        </w:rPr>
        <w:t>-</w:t>
      </w:r>
      <w:r>
        <w:t xml:space="preserve"> Sentencia </w:t>
      </w:r>
      <w:hyperlink w:anchor="SENTENCIA_2024_136" w:history="1">
        <w:r w:rsidRPr="007D5795">
          <w:rPr>
            <w:rStyle w:val="TextoNormalCaracter"/>
          </w:rPr>
          <w:t>136/2024</w:t>
        </w:r>
      </w:hyperlink>
      <w:r>
        <w:t>, ff. 1, 5.</w:t>
      </w:r>
    </w:p>
    <w:p w14:paraId="39ADD1CE" w14:textId="116F4BF5" w:rsidR="007D5795" w:rsidRDefault="007D5795" w:rsidP="007D5795">
      <w:pPr>
        <w:pStyle w:val="SangriaFrancesaArticulo"/>
      </w:pPr>
      <w:r w:rsidRPr="007D5795">
        <w:rPr>
          <w:rStyle w:val="TextoNormalNegritaCaracter"/>
        </w:rPr>
        <w:t>Exposición de motivos apartado II.</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3CA2BFAF" w14:textId="68D298B6" w:rsidR="007D5795" w:rsidRDefault="007D5795" w:rsidP="007D5795">
      <w:pPr>
        <w:pStyle w:val="SangriaFrancesaArticulo"/>
      </w:pPr>
      <w:r w:rsidRPr="007D5795">
        <w:rPr>
          <w:rStyle w:val="TextoNormalNegritaCaracter"/>
        </w:rPr>
        <w:t>Preámbulo.</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2BB5B6C7" w14:textId="0D2B93F1" w:rsidR="007D5795" w:rsidRDefault="007D5795" w:rsidP="007D5795">
      <w:pPr>
        <w:pStyle w:val="SangriaFrancesaArticulo"/>
      </w:pPr>
      <w:r w:rsidRPr="007D5795">
        <w:rPr>
          <w:rStyle w:val="TextoNormalNegritaCaracter"/>
        </w:rPr>
        <w:t>Artículo único, apartado 5.</w:t>
      </w:r>
      <w:r w:rsidRPr="007D5795">
        <w:rPr>
          <w:rStyle w:val="TextoNormalCaracter"/>
        </w:rPr>
        <w:t>-</w:t>
      </w:r>
      <w:r>
        <w:t xml:space="preserve"> Sentencia </w:t>
      </w:r>
      <w:hyperlink w:anchor="SENTENCIA_2024_136" w:history="1">
        <w:r w:rsidRPr="007D5795">
          <w:rPr>
            <w:rStyle w:val="TextoNormalCaracter"/>
          </w:rPr>
          <w:t>136/2024</w:t>
        </w:r>
      </w:hyperlink>
      <w:r>
        <w:t>, f. 2.</w:t>
      </w:r>
    </w:p>
    <w:p w14:paraId="22036939" w14:textId="77E873F7" w:rsidR="007D5795" w:rsidRDefault="007D5795" w:rsidP="007D5795">
      <w:pPr>
        <w:pStyle w:val="SangriaFrancesaArticulo"/>
      </w:pPr>
    </w:p>
    <w:p w14:paraId="5CA45F8D" w14:textId="77777777" w:rsidR="007D5795" w:rsidRDefault="007D5795" w:rsidP="007D5795">
      <w:pPr>
        <w:pStyle w:val="TextoNormalNegritaCursivandice"/>
        <w:keepNext/>
      </w:pPr>
      <w:r>
        <w:t>Comunidad Autónoma de Galicia. Ley 18/2021, de 27 de diciembre, de medidas fiscales y administrativas</w:t>
      </w:r>
    </w:p>
    <w:p w14:paraId="52158257" w14:textId="220A804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1D1D4D24" w14:textId="68482483" w:rsidR="007D5795" w:rsidRDefault="007D5795" w:rsidP="007D5795">
      <w:pPr>
        <w:pStyle w:val="SangriaFrancesaArticulo"/>
      </w:pPr>
      <w:r w:rsidRPr="007D5795">
        <w:rPr>
          <w:rStyle w:val="TextoNormalNegritaCaracter"/>
        </w:rPr>
        <w:t>Artículo 34.</w:t>
      </w:r>
      <w:r w:rsidRPr="007D5795">
        <w:rPr>
          <w:rStyle w:val="TextoNormalCaracter"/>
        </w:rPr>
        <w:t>-</w:t>
      </w:r>
      <w:r>
        <w:t xml:space="preserve"> Sentencia </w:t>
      </w:r>
      <w:hyperlink w:anchor="SENTENCIA_2024_136" w:history="1">
        <w:r w:rsidRPr="007D5795">
          <w:rPr>
            <w:rStyle w:val="TextoNormalCaracter"/>
          </w:rPr>
          <w:t>136/2024</w:t>
        </w:r>
      </w:hyperlink>
      <w:r>
        <w:t>, f. 2.</w:t>
      </w:r>
    </w:p>
    <w:p w14:paraId="667C20BF" w14:textId="43011F5F" w:rsidR="007D5795" w:rsidRDefault="007D5795" w:rsidP="007D5795">
      <w:pPr>
        <w:pStyle w:val="TextoNormal"/>
      </w:pPr>
    </w:p>
    <w:p w14:paraId="458B0AB8" w14:textId="77777777" w:rsidR="007D5795" w:rsidRDefault="007D5795" w:rsidP="007D5795">
      <w:pPr>
        <w:pStyle w:val="TextoNormalNegritaCentrado"/>
        <w:suppressAutoHyphens/>
      </w:pPr>
      <w:r w:rsidRPr="007D5795">
        <w:rPr>
          <w:rStyle w:val="TextoNormalNegritaCentradoSombreado"/>
        </w:rPr>
        <w:t>J.7) La Rioja</w:t>
      </w:r>
    </w:p>
    <w:p w14:paraId="5ACFE087" w14:textId="73E57A20" w:rsidR="007D5795" w:rsidRDefault="007D5795" w:rsidP="007D5795">
      <w:pPr>
        <w:pStyle w:val="TextoNormal"/>
      </w:pPr>
    </w:p>
    <w:p w14:paraId="128EC700" w14:textId="77777777" w:rsidR="007D5795" w:rsidRDefault="007D5795" w:rsidP="007D5795">
      <w:pPr>
        <w:pStyle w:val="TextoNormalNegritaCentradoSubrayado"/>
        <w:suppressAutoHyphens/>
      </w:pPr>
      <w:r>
        <w:t>J.7.b) Leyes y disposiciones con fuerza de Ley</w:t>
      </w:r>
    </w:p>
    <w:p w14:paraId="4A3184AF" w14:textId="68BC156C" w:rsidR="007D5795" w:rsidRDefault="007D5795" w:rsidP="007D5795">
      <w:pPr>
        <w:pStyle w:val="TextoNormalNegritaCentradoSubrayado"/>
      </w:pPr>
    </w:p>
    <w:p w14:paraId="7B19CFB8" w14:textId="77777777" w:rsidR="007D5795" w:rsidRDefault="007D5795" w:rsidP="007D5795">
      <w:pPr>
        <w:pStyle w:val="TextoNormalNegritaCursivandice"/>
        <w:keepNext/>
      </w:pPr>
      <w:r>
        <w:t>Comunidad Autónoma de La Rioja. Ley 6/2018, de 26 de noviembre, de protección de los animales en la Comunidad Autónoma de La Rioja</w:t>
      </w:r>
    </w:p>
    <w:p w14:paraId="6CD81DC7" w14:textId="7CC0F1B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5.</w:t>
      </w:r>
    </w:p>
    <w:p w14:paraId="22F1407D" w14:textId="1C43B735" w:rsidR="007D5795" w:rsidRDefault="007D5795" w:rsidP="007D5795">
      <w:pPr>
        <w:pStyle w:val="TextoNormal"/>
      </w:pPr>
    </w:p>
    <w:p w14:paraId="6D2DC3C4" w14:textId="77777777" w:rsidR="007D5795" w:rsidRDefault="007D5795" w:rsidP="007D5795">
      <w:pPr>
        <w:pStyle w:val="TextoNormalNegritaCentrado"/>
        <w:suppressAutoHyphens/>
      </w:pPr>
      <w:r w:rsidRPr="007D5795">
        <w:rPr>
          <w:rStyle w:val="TextoNormalNegritaCentradoSombreado"/>
        </w:rPr>
        <w:t>J.8) Madrid</w:t>
      </w:r>
    </w:p>
    <w:p w14:paraId="21CEE4BB" w14:textId="1929A1B8" w:rsidR="007D5795" w:rsidRDefault="007D5795" w:rsidP="007D5795">
      <w:pPr>
        <w:pStyle w:val="TextoNormal"/>
      </w:pPr>
    </w:p>
    <w:p w14:paraId="38143C2E" w14:textId="77777777" w:rsidR="007D5795" w:rsidRDefault="007D5795" w:rsidP="007D5795">
      <w:pPr>
        <w:pStyle w:val="TextoNormalNegritaCentradoSubrayado"/>
        <w:suppressAutoHyphens/>
      </w:pPr>
      <w:r>
        <w:t>J.8.a) Estatuto de Autonomía</w:t>
      </w:r>
    </w:p>
    <w:p w14:paraId="174BCEDC" w14:textId="524B915B" w:rsidR="007D5795" w:rsidRDefault="007D5795" w:rsidP="007D5795">
      <w:pPr>
        <w:pStyle w:val="TextoNormalNegritaCentradoSubrayado"/>
      </w:pPr>
    </w:p>
    <w:p w14:paraId="67677598" w14:textId="77777777" w:rsidR="007D5795" w:rsidRDefault="007D5795" w:rsidP="007D5795">
      <w:pPr>
        <w:pStyle w:val="TextoNormalNegritaCursivandice"/>
        <w:keepNext/>
      </w:pPr>
      <w:r>
        <w:t>Ley Orgánica 3/1983, de 25 de febrero, de Estatuto de Autonomía de la Comunidad de Madrid</w:t>
      </w:r>
    </w:p>
    <w:p w14:paraId="733E4E97" w14:textId="1EC5336C" w:rsidR="007D5795" w:rsidRDefault="007D5795" w:rsidP="007D5795">
      <w:pPr>
        <w:pStyle w:val="SangriaFrancesaArticulo"/>
      </w:pPr>
      <w:r w:rsidRPr="007D5795">
        <w:rPr>
          <w:rStyle w:val="TextoNormalNegritaCaracter"/>
        </w:rPr>
        <w:t>Artículo 26.1.23.</w:t>
      </w:r>
      <w:r w:rsidRPr="007D5795">
        <w:rPr>
          <w:rStyle w:val="TextoNormalCaracter"/>
        </w:rPr>
        <w:t>-</w:t>
      </w:r>
      <w:r>
        <w:t xml:space="preserve"> Auto </w:t>
      </w:r>
      <w:hyperlink w:anchor="AUTO_2024_127" w:history="1">
        <w:r w:rsidRPr="007D5795">
          <w:rPr>
            <w:rStyle w:val="TextoNormalCaracter"/>
          </w:rPr>
          <w:t>127/2024</w:t>
        </w:r>
      </w:hyperlink>
      <w:r>
        <w:t>, f. 3.</w:t>
      </w:r>
    </w:p>
    <w:p w14:paraId="21FA77A7" w14:textId="20CCFE23" w:rsidR="007D5795" w:rsidRDefault="007D5795" w:rsidP="007D5795">
      <w:pPr>
        <w:pStyle w:val="TextoNormal"/>
      </w:pPr>
    </w:p>
    <w:p w14:paraId="51625A78" w14:textId="77777777" w:rsidR="007D5795" w:rsidRDefault="007D5795" w:rsidP="007D5795">
      <w:pPr>
        <w:pStyle w:val="TextoNormalNegritaCentradoSubrayado"/>
        <w:suppressAutoHyphens/>
      </w:pPr>
      <w:r>
        <w:t>J.8.b) Leyes y disposiciones con fuerza de Ley</w:t>
      </w:r>
    </w:p>
    <w:p w14:paraId="4DA8EE62" w14:textId="64CE1757" w:rsidR="007D5795" w:rsidRDefault="007D5795" w:rsidP="007D5795">
      <w:pPr>
        <w:pStyle w:val="TextoNormalNegritaCentradoSubrayado"/>
      </w:pPr>
    </w:p>
    <w:p w14:paraId="0AB27B26" w14:textId="77777777" w:rsidR="007D5795" w:rsidRDefault="007D5795" w:rsidP="007D5795">
      <w:pPr>
        <w:pStyle w:val="TextoNormalNegritaCursivandice"/>
        <w:keepNext/>
      </w:pPr>
      <w:r>
        <w:t>Comunidad de Madrid. Ley 20/1998, de 27 de noviembre, de ordenación y coordinación de los transportes urbanos de la Comunidad de Madrid</w:t>
      </w:r>
    </w:p>
    <w:p w14:paraId="55EC05C3" w14:textId="655B75B3" w:rsidR="007D5795" w:rsidRDefault="007D5795" w:rsidP="007D5795">
      <w:pPr>
        <w:pStyle w:val="SangriaFrancesaArticulo"/>
      </w:pPr>
      <w:r w:rsidRPr="007D5795">
        <w:rPr>
          <w:rStyle w:val="TextoNormalNegritaCaracter"/>
        </w:rPr>
        <w:t>Artículo 14 ter apartados 1 y 2</w:t>
      </w:r>
      <w:r>
        <w:t xml:space="preserve"> (redactado por la Ley 5/2022, de 9 de junio)</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 3.</w:t>
      </w:r>
    </w:p>
    <w:p w14:paraId="2192D6CD" w14:textId="5285B976" w:rsidR="007D5795" w:rsidRDefault="007D5795" w:rsidP="007D5795">
      <w:pPr>
        <w:pStyle w:val="SangriaFrancesaArticulo"/>
      </w:pPr>
      <w:r w:rsidRPr="007D5795">
        <w:rPr>
          <w:rStyle w:val="TextoNormalNegritaCaracter"/>
        </w:rPr>
        <w:t>Disposición adicional cuarta</w:t>
      </w:r>
      <w:r>
        <w:t xml:space="preserve"> (redactada por la Ley 5/2022, de 9 de junio)</w:t>
      </w:r>
      <w:r w:rsidRPr="007D5795">
        <w:rPr>
          <w:rStyle w:val="TextoNormalNegritaCaracter"/>
        </w:rPr>
        <w:t>.</w:t>
      </w:r>
      <w:r w:rsidRPr="007D5795">
        <w:rPr>
          <w:rStyle w:val="TextoNormalCaracter"/>
        </w:rPr>
        <w:t>-</w:t>
      </w:r>
      <w:r>
        <w:t xml:space="preserve"> Sentencia </w:t>
      </w:r>
      <w:hyperlink w:anchor="SENTENCIA_2024_111" w:history="1">
        <w:r w:rsidRPr="007D5795">
          <w:rPr>
            <w:rStyle w:val="TextoNormalCaracter"/>
          </w:rPr>
          <w:t>111/2024</w:t>
        </w:r>
      </w:hyperlink>
      <w:r>
        <w:t>, ff. 3, 6.</w:t>
      </w:r>
    </w:p>
    <w:p w14:paraId="448B4A13" w14:textId="2EA596B1" w:rsidR="007D5795" w:rsidRDefault="007D5795" w:rsidP="007D5795">
      <w:pPr>
        <w:pStyle w:val="SangriaFrancesaArticulo"/>
      </w:pPr>
    </w:p>
    <w:p w14:paraId="04F9D8A7" w14:textId="77777777" w:rsidR="007D5795" w:rsidRDefault="007D5795" w:rsidP="007D5795">
      <w:pPr>
        <w:pStyle w:val="TextoNormalNegritaCursivandice"/>
        <w:keepNext/>
      </w:pPr>
      <w:r>
        <w:t>Comunidad de Madrid. Ley 2/2016, de 29 de marzo, de identidad y expresión de género e igualdad social y no discriminación de la Comunidad de Madrid</w:t>
      </w:r>
    </w:p>
    <w:p w14:paraId="3EBC48FA" w14:textId="59B09DF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126" w:history="1">
        <w:r w:rsidRPr="007D5795">
          <w:rPr>
            <w:rStyle w:val="TextoNormalCaracter"/>
          </w:rPr>
          <w:t>126/2024</w:t>
        </w:r>
      </w:hyperlink>
      <w:r>
        <w:t>, VP.</w:t>
      </w:r>
    </w:p>
    <w:p w14:paraId="47FC1D7C" w14:textId="61971661" w:rsidR="007D5795" w:rsidRDefault="007D5795" w:rsidP="007D5795">
      <w:pPr>
        <w:pStyle w:val="SangriaFrancesaArticulo"/>
      </w:pPr>
      <w:r w:rsidRPr="007D5795">
        <w:rPr>
          <w:rStyle w:val="TextoNormalNegritaCaracter"/>
        </w:rPr>
        <w:t>Artículo 13.3</w:t>
      </w:r>
      <w:r>
        <w:t xml:space="preserve"> (redactado por la Ley 17/2023, de 27 de diciembre)</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 ff. 1, 3.</w:t>
      </w:r>
    </w:p>
    <w:p w14:paraId="49754BD4" w14:textId="2E157DA8" w:rsidR="007D5795" w:rsidRDefault="007D5795" w:rsidP="007D5795">
      <w:pPr>
        <w:pStyle w:val="SangriaFrancesaArticulo"/>
      </w:pPr>
      <w:r w:rsidRPr="007D5795">
        <w:rPr>
          <w:rStyle w:val="TextoNormalNegritaCaracter"/>
        </w:rPr>
        <w:t>Artículo 13.3</w:t>
      </w:r>
      <w:r>
        <w:t xml:space="preserve"> (redactado por la Ley 17/2023, de 27 de diciembre) inciso "sin que el asesoramiento ...persona transexual"</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 f. 3.</w:t>
      </w:r>
    </w:p>
    <w:p w14:paraId="2529C428" w14:textId="21FBD902" w:rsidR="007D5795" w:rsidRDefault="007D5795" w:rsidP="007D5795">
      <w:pPr>
        <w:pStyle w:val="SangriaFrancesaArticulo"/>
      </w:pPr>
      <w:r w:rsidRPr="007D5795">
        <w:rPr>
          <w:rStyle w:val="TextoNormalNegritaCaracter"/>
        </w:rPr>
        <w:t>Artículo 14.2 b)</w:t>
      </w:r>
      <w:r>
        <w:t xml:space="preserve"> (redactado por la Ley 17/2023, de 27 de diciembre)</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 f. 1.</w:t>
      </w:r>
    </w:p>
    <w:p w14:paraId="3237AAED" w14:textId="3DB4C6B4" w:rsidR="007D5795" w:rsidRDefault="007D5795" w:rsidP="007D5795">
      <w:pPr>
        <w:pStyle w:val="SangriaFrancesaArticulo"/>
      </w:pPr>
      <w:r w:rsidRPr="007D5795">
        <w:rPr>
          <w:rStyle w:val="TextoNormalNegritaCaracter"/>
        </w:rPr>
        <w:t>Artículo 14.2 b)</w:t>
      </w:r>
      <w:r>
        <w:t xml:space="preserve"> (redactado por la Ley 17/2023, de 27 de diciembre) inciso "para iniciar el tratamiento ...durante todo el proceso"</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 f. 3.</w:t>
      </w:r>
    </w:p>
    <w:p w14:paraId="33C5E29A" w14:textId="2E5616E9" w:rsidR="007D5795" w:rsidRDefault="007D5795" w:rsidP="007D5795">
      <w:pPr>
        <w:pStyle w:val="SangriaFrancesaArticulo"/>
      </w:pPr>
      <w:r w:rsidRPr="007D5795">
        <w:rPr>
          <w:rStyle w:val="TextoNormalNegritaCaracter"/>
        </w:rPr>
        <w:t>Artículo 14.2 b) párrafo 2</w:t>
      </w:r>
      <w:r>
        <w:t xml:space="preserve"> (redactado por la Ley 17/2023, de 27 de diciembre)</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 f. 4.</w:t>
      </w:r>
    </w:p>
    <w:p w14:paraId="4741F1D4" w14:textId="7B9B5A2B" w:rsidR="007D5795" w:rsidRDefault="007D5795" w:rsidP="007D5795">
      <w:pPr>
        <w:pStyle w:val="SangriaFrancesaArticulo"/>
      </w:pPr>
      <w:r w:rsidRPr="007D5795">
        <w:rPr>
          <w:rStyle w:val="TextoNormalNegritaCaracter"/>
        </w:rPr>
        <w:t>Artículo 14.2 b) párrafo 2</w:t>
      </w:r>
      <w:r>
        <w:t xml:space="preserve"> (redactado por la Ley 17/2023, de 27 de diciembre) inciso "y en el caso de que existiera ... en dichas patologías"</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 ff. 3, 5.</w:t>
      </w:r>
    </w:p>
    <w:p w14:paraId="0D627316" w14:textId="1AABBB12" w:rsidR="007D5795" w:rsidRDefault="007D5795" w:rsidP="007D5795">
      <w:pPr>
        <w:pStyle w:val="SangriaFrancesaArticulo"/>
      </w:pPr>
      <w:r w:rsidRPr="007D5795">
        <w:rPr>
          <w:rStyle w:val="TextoNormalNegritaCaracter"/>
        </w:rPr>
        <w:t>Artículo 14.2 b) párrafo 2</w:t>
      </w:r>
      <w:r>
        <w:t xml:space="preserve"> (redactado por la Ley 17/2023, de 27 de diciembre) inciso final</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 f. 5, VP.</w:t>
      </w:r>
    </w:p>
    <w:p w14:paraId="15AABF1E" w14:textId="1266B2B8" w:rsidR="007D5795" w:rsidRDefault="007D5795" w:rsidP="007D5795">
      <w:pPr>
        <w:pStyle w:val="SangriaFrancesaArticulo"/>
      </w:pPr>
      <w:r w:rsidRPr="007D5795">
        <w:rPr>
          <w:rStyle w:val="TextoNormalNegritaCaracter"/>
        </w:rPr>
        <w:t>Artículo 23.1 f)</w:t>
      </w:r>
      <w:r>
        <w:t xml:space="preserve"> (redactado por la Ley 17/2023, de 27 de diciembre)</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 f. 1.</w:t>
      </w:r>
    </w:p>
    <w:p w14:paraId="4B3AFEC9" w14:textId="2E7A8ED3" w:rsidR="007D5795" w:rsidRDefault="007D5795" w:rsidP="007D5795">
      <w:pPr>
        <w:pStyle w:val="SangriaFrancesaArticulo"/>
      </w:pPr>
      <w:r w:rsidRPr="007D5795">
        <w:rPr>
          <w:rStyle w:val="TextoNormalNegritaCaracter"/>
        </w:rPr>
        <w:t>Artículo 23.1 f)</w:t>
      </w:r>
      <w:r>
        <w:t xml:space="preserve"> (redactado por la Ley 17/2023, de 27 de diciembre) inciso "especialmente de las chicas"</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 ff. 3, 4.</w:t>
      </w:r>
    </w:p>
    <w:p w14:paraId="4A3DCC73" w14:textId="744D6278" w:rsidR="007D5795" w:rsidRDefault="007D5795" w:rsidP="007D5795">
      <w:pPr>
        <w:pStyle w:val="SangriaFrancesaArticulo"/>
      </w:pPr>
      <w:r w:rsidRPr="007D5795">
        <w:rPr>
          <w:rStyle w:val="TextoNormalNegritaCaracter"/>
        </w:rPr>
        <w:t>Artículo 30.5</w:t>
      </w:r>
      <w:r>
        <w:t xml:space="preserve"> (redactado por la Ley 17/2023, de 27 de diciembre)</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 f. 1.</w:t>
      </w:r>
    </w:p>
    <w:p w14:paraId="299DBB97" w14:textId="50A8D717" w:rsidR="007D5795" w:rsidRDefault="007D5795" w:rsidP="007D5795">
      <w:pPr>
        <w:pStyle w:val="SangriaFrancesaArticulo"/>
      </w:pPr>
      <w:r w:rsidRPr="007D5795">
        <w:rPr>
          <w:rStyle w:val="TextoNormalNegritaCaracter"/>
        </w:rPr>
        <w:t>Artículo 30.5</w:t>
      </w:r>
      <w:r>
        <w:t xml:space="preserve"> (redactado por la Ley 17/2023, de 27 de diciembre) inciso "especialmente de las niñas y mujeres"</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 ff. 3, 4.</w:t>
      </w:r>
    </w:p>
    <w:p w14:paraId="543616D7" w14:textId="5EABA491" w:rsidR="007D5795" w:rsidRDefault="007D5795" w:rsidP="007D5795">
      <w:pPr>
        <w:pStyle w:val="SangriaFrancesaArticulo"/>
      </w:pPr>
      <w:r w:rsidRPr="007D5795">
        <w:rPr>
          <w:rStyle w:val="TextoNormalNegritaCaracter"/>
        </w:rPr>
        <w:t>Artículo 47 d)</w:t>
      </w:r>
      <w:r>
        <w:t xml:space="preserve"> (redactado por la Ley 17/2023, de 27 de diciembre)</w:t>
      </w:r>
      <w:r w:rsidRPr="007D5795">
        <w:rPr>
          <w:rStyle w:val="TextoNormalNegritaCaracter"/>
        </w:rPr>
        <w:t>.</w:t>
      </w:r>
      <w:r w:rsidRPr="007D5795">
        <w:rPr>
          <w:rStyle w:val="TextoNormalCaracter"/>
        </w:rPr>
        <w:t>-</w:t>
      </w:r>
      <w:r>
        <w:t xml:space="preserve"> Auto </w:t>
      </w:r>
      <w:hyperlink w:anchor="AUTO_2024_126" w:history="1">
        <w:r w:rsidRPr="007D5795">
          <w:rPr>
            <w:rStyle w:val="TextoNormalCaracter"/>
          </w:rPr>
          <w:t>126/2024</w:t>
        </w:r>
      </w:hyperlink>
      <w:r>
        <w:t>, ff. 1, 3, 4.</w:t>
      </w:r>
    </w:p>
    <w:p w14:paraId="3E350A9D" w14:textId="13E50679" w:rsidR="007D5795" w:rsidRDefault="007D5795" w:rsidP="007D5795">
      <w:pPr>
        <w:pStyle w:val="SangriaFrancesaArticulo"/>
      </w:pPr>
    </w:p>
    <w:p w14:paraId="6F03C394" w14:textId="77777777" w:rsidR="007D5795" w:rsidRDefault="007D5795" w:rsidP="007D5795">
      <w:pPr>
        <w:pStyle w:val="TextoNormalNegritaCursivandice"/>
        <w:keepNext/>
      </w:pPr>
      <w:r>
        <w:t>Comunidad de Madrid. Ley 3/2016, de 22 de julio, de protección integral contra LGTBIfobia y la discriminación por razón de orientación e identidad sexual en la Comunidad de Madrid</w:t>
      </w:r>
    </w:p>
    <w:p w14:paraId="677557B7" w14:textId="56A982B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127" w:history="1">
        <w:r w:rsidRPr="007D5795">
          <w:rPr>
            <w:rStyle w:val="TextoNormalCaracter"/>
          </w:rPr>
          <w:t>127/2024</w:t>
        </w:r>
      </w:hyperlink>
      <w:r>
        <w:t>, f. 3.</w:t>
      </w:r>
    </w:p>
    <w:p w14:paraId="28C5689E" w14:textId="5ADECDE7" w:rsidR="007D5795" w:rsidRDefault="007D5795" w:rsidP="007D5795">
      <w:pPr>
        <w:pStyle w:val="SangriaFrancesaArticulo"/>
      </w:pPr>
      <w:r w:rsidRPr="007D5795">
        <w:rPr>
          <w:rStyle w:val="TextoNormalNegritaCaracter"/>
        </w:rPr>
        <w:t>Artículo 65.</w:t>
      </w:r>
      <w:r w:rsidRPr="007D5795">
        <w:rPr>
          <w:rStyle w:val="TextoNormalCaracter"/>
        </w:rPr>
        <w:t>-</w:t>
      </w:r>
      <w:r>
        <w:t xml:space="preserve"> Auto </w:t>
      </w:r>
      <w:hyperlink w:anchor="AUTO_2024_127" w:history="1">
        <w:r w:rsidRPr="007D5795">
          <w:rPr>
            <w:rStyle w:val="TextoNormalCaracter"/>
          </w:rPr>
          <w:t>127/2024</w:t>
        </w:r>
      </w:hyperlink>
      <w:r>
        <w:t>, f. 1.</w:t>
      </w:r>
    </w:p>
    <w:p w14:paraId="2B808E07" w14:textId="248D8ACE" w:rsidR="007D5795" w:rsidRDefault="007D5795" w:rsidP="007D5795">
      <w:pPr>
        <w:pStyle w:val="SangriaFrancesaArticulo"/>
      </w:pPr>
      <w:r w:rsidRPr="007D5795">
        <w:rPr>
          <w:rStyle w:val="TextoNormalNegritaCaracter"/>
        </w:rPr>
        <w:t>Artículo 65 d)</w:t>
      </w:r>
      <w:r>
        <w:t xml:space="preserve"> (redactado por la Ley 18/2023, de 27 de diciembre)</w:t>
      </w:r>
      <w:r w:rsidRPr="007D5795">
        <w:rPr>
          <w:rStyle w:val="TextoNormalNegritaCaracter"/>
        </w:rPr>
        <w:t>.</w:t>
      </w:r>
      <w:r w:rsidRPr="007D5795">
        <w:rPr>
          <w:rStyle w:val="TextoNormalCaracter"/>
        </w:rPr>
        <w:t>-</w:t>
      </w:r>
      <w:r>
        <w:t xml:space="preserve"> Auto </w:t>
      </w:r>
      <w:hyperlink w:anchor="AUTO_2024_127" w:history="1">
        <w:r w:rsidRPr="007D5795">
          <w:rPr>
            <w:rStyle w:val="TextoNormalCaracter"/>
          </w:rPr>
          <w:t>127/2024</w:t>
        </w:r>
      </w:hyperlink>
      <w:r>
        <w:t>, ff. 1, 3.</w:t>
      </w:r>
    </w:p>
    <w:p w14:paraId="52EF3667" w14:textId="3E06F20C" w:rsidR="007D5795" w:rsidRDefault="007D5795" w:rsidP="007D5795">
      <w:pPr>
        <w:pStyle w:val="SangriaFrancesaArticulo"/>
      </w:pPr>
    </w:p>
    <w:p w14:paraId="566DEE84" w14:textId="77777777" w:rsidR="007D5795" w:rsidRDefault="007D5795" w:rsidP="007D5795">
      <w:pPr>
        <w:pStyle w:val="TextoNormalNegritaCursivandice"/>
        <w:keepNext/>
      </w:pPr>
      <w:r>
        <w:t>Comunidad de Madrid. Ley 5/2022, de 9 de junio, por la que se modifica la Ley 20/1998, de 27 de noviembre, de ordenación y coordinación de los transportes urbanos de la Comunidad de Madrid</w:t>
      </w:r>
    </w:p>
    <w:p w14:paraId="3CD9C904" w14:textId="6485190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1" w:history="1">
        <w:r w:rsidRPr="007D5795">
          <w:rPr>
            <w:rStyle w:val="TextoNormalCaracter"/>
          </w:rPr>
          <w:t>111/2024</w:t>
        </w:r>
      </w:hyperlink>
      <w:r>
        <w:t>, f. 3.</w:t>
      </w:r>
    </w:p>
    <w:p w14:paraId="6E8D473F" w14:textId="44DCF8C2" w:rsidR="007D5795" w:rsidRDefault="007D5795" w:rsidP="007D5795">
      <w:pPr>
        <w:pStyle w:val="SangriaFrancesaArticulo"/>
      </w:pPr>
      <w:r w:rsidRPr="007D5795">
        <w:rPr>
          <w:rStyle w:val="TextoNormalNegritaCaracter"/>
        </w:rPr>
        <w:t>Artículo único, apartado 4.</w:t>
      </w:r>
      <w:r w:rsidRPr="007D5795">
        <w:rPr>
          <w:rStyle w:val="TextoNormalCaracter"/>
        </w:rPr>
        <w:t>-</w:t>
      </w:r>
      <w:r>
        <w:t xml:space="preserve"> Sentencia </w:t>
      </w:r>
      <w:hyperlink w:anchor="SENTENCIA_2024_111" w:history="1">
        <w:r w:rsidRPr="007D5795">
          <w:rPr>
            <w:rStyle w:val="TextoNormalCaracter"/>
          </w:rPr>
          <w:t>111/2024</w:t>
        </w:r>
      </w:hyperlink>
      <w:r>
        <w:t>, f. 3.</w:t>
      </w:r>
    </w:p>
    <w:p w14:paraId="01D2BA7E" w14:textId="0C492E98" w:rsidR="007D5795" w:rsidRDefault="007D5795" w:rsidP="007D5795">
      <w:pPr>
        <w:pStyle w:val="SangriaFrancesaArticulo"/>
      </w:pPr>
    </w:p>
    <w:p w14:paraId="66A31BC3" w14:textId="77777777" w:rsidR="007D5795" w:rsidRDefault="007D5795" w:rsidP="007D5795">
      <w:pPr>
        <w:pStyle w:val="TextoNormalNegritaCursivandice"/>
        <w:keepNext/>
      </w:pPr>
      <w:r>
        <w:t>Comunidad de Madrid. Ley 17/2023, de 27 de diciembre, por la que se modifica la Ley 2/2016, de 29 de marzo, de identidad y expresión de género e igualdad social y no discriminación de la Comunidad de Madrid</w:t>
      </w:r>
    </w:p>
    <w:p w14:paraId="0C631336" w14:textId="4A23AEC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126" w:history="1">
        <w:r w:rsidRPr="007D5795">
          <w:rPr>
            <w:rStyle w:val="TextoNormalCaracter"/>
          </w:rPr>
          <w:t>126/2024</w:t>
        </w:r>
      </w:hyperlink>
      <w:r>
        <w:t>, ff. 1, 2.</w:t>
      </w:r>
    </w:p>
    <w:p w14:paraId="0C84B98D" w14:textId="0FCD0FF0" w:rsidR="007D5795" w:rsidRDefault="007D5795" w:rsidP="007D5795">
      <w:pPr>
        <w:pStyle w:val="SangriaFrancesaArticulo"/>
      </w:pPr>
      <w:r w:rsidRPr="007D5795">
        <w:rPr>
          <w:rStyle w:val="TextoNormalNegritaCaracter"/>
        </w:rPr>
        <w:t>Artículo único apartados 11, 12, 15 y 22 bis.</w:t>
      </w:r>
      <w:r w:rsidRPr="007D5795">
        <w:rPr>
          <w:rStyle w:val="TextoNormalCaracter"/>
        </w:rPr>
        <w:t>-</w:t>
      </w:r>
      <w:r>
        <w:t xml:space="preserve"> Auto </w:t>
      </w:r>
      <w:hyperlink w:anchor="AUTO_2024_126" w:history="1">
        <w:r w:rsidRPr="007D5795">
          <w:rPr>
            <w:rStyle w:val="TextoNormalCaracter"/>
          </w:rPr>
          <w:t>126/2024</w:t>
        </w:r>
      </w:hyperlink>
      <w:r>
        <w:t>, f. 1.</w:t>
      </w:r>
    </w:p>
    <w:p w14:paraId="13FDA33E" w14:textId="28A18711" w:rsidR="007D5795" w:rsidRDefault="007D5795" w:rsidP="007D5795">
      <w:pPr>
        <w:pStyle w:val="SangriaFrancesaArticulo"/>
      </w:pPr>
      <w:r w:rsidRPr="007D5795">
        <w:rPr>
          <w:rStyle w:val="TextoNormalNegritaCaracter"/>
        </w:rPr>
        <w:t>Artículo único apartado 12.</w:t>
      </w:r>
      <w:r w:rsidRPr="007D5795">
        <w:rPr>
          <w:rStyle w:val="TextoNormalCaracter"/>
        </w:rPr>
        <w:t>-</w:t>
      </w:r>
      <w:r>
        <w:t xml:space="preserve"> Auto </w:t>
      </w:r>
      <w:hyperlink w:anchor="AUTO_2024_126" w:history="1">
        <w:r w:rsidRPr="007D5795">
          <w:rPr>
            <w:rStyle w:val="TextoNormalCaracter"/>
          </w:rPr>
          <w:t>126/2024</w:t>
        </w:r>
      </w:hyperlink>
      <w:r>
        <w:t>, f. 3.</w:t>
      </w:r>
    </w:p>
    <w:p w14:paraId="42E6B1E0" w14:textId="5404F287" w:rsidR="007D5795" w:rsidRDefault="007D5795" w:rsidP="007D5795">
      <w:pPr>
        <w:pStyle w:val="SangriaFrancesaArticulo"/>
      </w:pPr>
      <w:r w:rsidRPr="007D5795">
        <w:rPr>
          <w:rStyle w:val="TextoNormalNegritaCaracter"/>
        </w:rPr>
        <w:t>Artículo único apartado 11.</w:t>
      </w:r>
      <w:r w:rsidRPr="007D5795">
        <w:rPr>
          <w:rStyle w:val="TextoNormalCaracter"/>
        </w:rPr>
        <w:t>-</w:t>
      </w:r>
      <w:r>
        <w:t xml:space="preserve"> Auto </w:t>
      </w:r>
      <w:hyperlink w:anchor="AUTO_2024_126" w:history="1">
        <w:r w:rsidRPr="007D5795">
          <w:rPr>
            <w:rStyle w:val="TextoNormalCaracter"/>
          </w:rPr>
          <w:t>126/2024</w:t>
        </w:r>
      </w:hyperlink>
      <w:r>
        <w:t>, f. 3.</w:t>
      </w:r>
    </w:p>
    <w:p w14:paraId="51010C8F" w14:textId="6A7F6348" w:rsidR="007D5795" w:rsidRDefault="007D5795" w:rsidP="007D5795">
      <w:pPr>
        <w:pStyle w:val="SangriaFrancesaArticulo"/>
      </w:pPr>
      <w:r w:rsidRPr="007D5795">
        <w:rPr>
          <w:rStyle w:val="TextoNormalNegritaCaracter"/>
        </w:rPr>
        <w:t>Artículo único.</w:t>
      </w:r>
      <w:r w:rsidRPr="007D5795">
        <w:rPr>
          <w:rStyle w:val="TextoNormalCaracter"/>
        </w:rPr>
        <w:t>-</w:t>
      </w:r>
      <w:r>
        <w:t xml:space="preserve"> Auto </w:t>
      </w:r>
      <w:hyperlink w:anchor="AUTO_2024_126" w:history="1">
        <w:r w:rsidRPr="007D5795">
          <w:rPr>
            <w:rStyle w:val="TextoNormalCaracter"/>
          </w:rPr>
          <w:t>126/2024</w:t>
        </w:r>
      </w:hyperlink>
      <w:r>
        <w:t>, f. 3.</w:t>
      </w:r>
    </w:p>
    <w:p w14:paraId="0EBC32FD" w14:textId="64FCCAE8" w:rsidR="007D5795" w:rsidRDefault="007D5795" w:rsidP="007D5795">
      <w:pPr>
        <w:pStyle w:val="SangriaFrancesaArticulo"/>
      </w:pPr>
    </w:p>
    <w:p w14:paraId="3DF071FC" w14:textId="77777777" w:rsidR="007D5795" w:rsidRDefault="007D5795" w:rsidP="007D5795">
      <w:pPr>
        <w:pStyle w:val="TextoNormalNegritaCursivandice"/>
        <w:keepNext/>
      </w:pPr>
      <w:r>
        <w:t>Comunidad de Madrid. Ley 18/2023, de 27 de diciembre, por la que se modifica la Ley 3/2016, de 22 de julio, de protección integral contra la LGTBIfobia y la discriminación por razón de orientación e identidad sexual en la Comunidad de Madrid</w:t>
      </w:r>
    </w:p>
    <w:p w14:paraId="5DA68B2F" w14:textId="730EE9A0" w:rsidR="007D5795" w:rsidRDefault="007D5795" w:rsidP="007D5795">
      <w:pPr>
        <w:pStyle w:val="SangriaFrancesaArticulo"/>
      </w:pPr>
      <w:r w:rsidRPr="007D5795">
        <w:rPr>
          <w:rStyle w:val="TextoNormalNegritaCaracter"/>
        </w:rPr>
        <w:t>Artículo único apartado 14 ter.</w:t>
      </w:r>
      <w:r w:rsidRPr="007D5795">
        <w:rPr>
          <w:rStyle w:val="TextoNormalCaracter"/>
        </w:rPr>
        <w:t>-</w:t>
      </w:r>
      <w:r>
        <w:t xml:space="preserve"> Auto </w:t>
      </w:r>
      <w:hyperlink w:anchor="AUTO_2024_127" w:history="1">
        <w:r w:rsidRPr="007D5795">
          <w:rPr>
            <w:rStyle w:val="TextoNormalCaracter"/>
          </w:rPr>
          <w:t>127/2024</w:t>
        </w:r>
      </w:hyperlink>
      <w:r>
        <w:t>, f. 1.</w:t>
      </w:r>
    </w:p>
    <w:p w14:paraId="70A9D02C" w14:textId="3DA42830" w:rsidR="007D5795" w:rsidRDefault="007D5795" w:rsidP="007D5795">
      <w:pPr>
        <w:pStyle w:val="TextoNormal"/>
      </w:pPr>
    </w:p>
    <w:p w14:paraId="00FD4646" w14:textId="77777777" w:rsidR="007D5795" w:rsidRDefault="007D5795" w:rsidP="007D5795">
      <w:pPr>
        <w:pStyle w:val="TextoNormalNegritaCentrado"/>
        <w:suppressAutoHyphens/>
      </w:pPr>
      <w:r w:rsidRPr="007D5795">
        <w:rPr>
          <w:rStyle w:val="TextoNormalNegritaCentradoSombreado"/>
        </w:rPr>
        <w:t>J.9) Murcia</w:t>
      </w:r>
    </w:p>
    <w:p w14:paraId="0C31933B" w14:textId="64EA0637" w:rsidR="007D5795" w:rsidRDefault="007D5795" w:rsidP="007D5795">
      <w:pPr>
        <w:pStyle w:val="TextoNormal"/>
      </w:pPr>
    </w:p>
    <w:p w14:paraId="10FEDCDD" w14:textId="77777777" w:rsidR="007D5795" w:rsidRDefault="007D5795" w:rsidP="007D5795">
      <w:pPr>
        <w:pStyle w:val="TextoNormalNegritaCentradoSubrayado"/>
        <w:suppressAutoHyphens/>
      </w:pPr>
      <w:r>
        <w:t>J.9.a) Estatuto de Autonomía</w:t>
      </w:r>
    </w:p>
    <w:p w14:paraId="52F01578" w14:textId="5F747023" w:rsidR="007D5795" w:rsidRDefault="007D5795" w:rsidP="007D5795">
      <w:pPr>
        <w:pStyle w:val="TextoNormalNegritaCentradoSubrayado"/>
      </w:pPr>
    </w:p>
    <w:p w14:paraId="6AABD1DC" w14:textId="77777777" w:rsidR="007D5795" w:rsidRDefault="007D5795" w:rsidP="007D5795">
      <w:pPr>
        <w:pStyle w:val="TextoNormalNegritaCursivandice"/>
        <w:keepNext/>
      </w:pPr>
      <w:r>
        <w:t>Ley Orgánica 4/1982, de 9 de junio, de Estatuto de Autonomía de la Región de Murcia</w:t>
      </w:r>
    </w:p>
    <w:p w14:paraId="3E424FE6" w14:textId="0CB7FBA2" w:rsidR="007D5795" w:rsidRDefault="007D5795" w:rsidP="007D5795">
      <w:pPr>
        <w:pStyle w:val="SangriaFrancesaArticulo"/>
      </w:pPr>
      <w:r w:rsidRPr="007D5795">
        <w:rPr>
          <w:rStyle w:val="TextoNormalNegritaCaracter"/>
        </w:rPr>
        <w:t>Artículo 11.3.</w:t>
      </w:r>
      <w:r w:rsidRPr="007D5795">
        <w:rPr>
          <w:rStyle w:val="TextoNormalCaracter"/>
        </w:rPr>
        <w:t>-</w:t>
      </w:r>
      <w:r>
        <w:t xml:space="preserve"> Sentencia </w:t>
      </w:r>
      <w:hyperlink w:anchor="SENTENCIA_2024_142" w:history="1">
        <w:r w:rsidRPr="007D5795">
          <w:rPr>
            <w:rStyle w:val="TextoNormalCaracter"/>
          </w:rPr>
          <w:t>142/2024</w:t>
        </w:r>
      </w:hyperlink>
      <w:r>
        <w:t>, f. 4, VP.</w:t>
      </w:r>
    </w:p>
    <w:p w14:paraId="53D4D04F" w14:textId="264849C2" w:rsidR="007D5795" w:rsidRDefault="007D5795" w:rsidP="007D5795">
      <w:pPr>
        <w:pStyle w:val="TextoNormal"/>
      </w:pPr>
    </w:p>
    <w:p w14:paraId="4314AFCA" w14:textId="77777777" w:rsidR="007D5795" w:rsidRDefault="007D5795" w:rsidP="007D5795">
      <w:pPr>
        <w:pStyle w:val="TextoNormalNegritaCentradoSubrayado"/>
        <w:suppressAutoHyphens/>
      </w:pPr>
      <w:r>
        <w:t>J.9.b) Leyes y disposiciones con fuerza de Ley</w:t>
      </w:r>
    </w:p>
    <w:p w14:paraId="3D7C5061" w14:textId="652477CC" w:rsidR="007D5795" w:rsidRDefault="007D5795" w:rsidP="007D5795">
      <w:pPr>
        <w:pStyle w:val="TextoNormalNegritaCentradoSubrayado"/>
      </w:pPr>
    </w:p>
    <w:p w14:paraId="1C4C5834" w14:textId="77777777" w:rsidR="007D5795" w:rsidRDefault="007D5795" w:rsidP="007D5795">
      <w:pPr>
        <w:pStyle w:val="TextoNormalNegritaCursivandice"/>
        <w:keepNext/>
      </w:pPr>
      <w:r>
        <w:t>Comunidad Autónoma de la Región de Murcia. Ley  4/1992, de 30 de julio, de ordenación y protección del territorio de la Región de Murcia</w:t>
      </w:r>
    </w:p>
    <w:p w14:paraId="6187743A" w14:textId="40DAF4AF" w:rsidR="007D5795" w:rsidRDefault="007D5795" w:rsidP="007D5795">
      <w:pPr>
        <w:pStyle w:val="SangriaFrancesaArticulo"/>
      </w:pPr>
      <w:r w:rsidRPr="007D5795">
        <w:rPr>
          <w:rStyle w:val="TextoNormalNegritaCaracter"/>
        </w:rPr>
        <w:t>Disposición adicional tercera.</w:t>
      </w:r>
      <w:r w:rsidRPr="007D5795">
        <w:rPr>
          <w:rStyle w:val="TextoNormalCaracter"/>
        </w:rPr>
        <w:t>-</w:t>
      </w:r>
      <w:r>
        <w:t xml:space="preserve"> Sentencia </w:t>
      </w:r>
      <w:hyperlink w:anchor="SENTENCIA_2024_142" w:history="1">
        <w:r w:rsidRPr="007D5795">
          <w:rPr>
            <w:rStyle w:val="TextoNormalCaracter"/>
          </w:rPr>
          <w:t>142/2024</w:t>
        </w:r>
      </w:hyperlink>
      <w:r>
        <w:t>, VP.</w:t>
      </w:r>
    </w:p>
    <w:p w14:paraId="3D31B765" w14:textId="3755616D" w:rsidR="007D5795" w:rsidRDefault="007D5795" w:rsidP="007D5795">
      <w:pPr>
        <w:pStyle w:val="SangriaFrancesaArticulo"/>
      </w:pPr>
    </w:p>
    <w:p w14:paraId="3E9454DA" w14:textId="77777777" w:rsidR="007D5795" w:rsidRDefault="007D5795" w:rsidP="007D5795">
      <w:pPr>
        <w:pStyle w:val="TextoNormalNegritaCursivandice"/>
        <w:keepNext/>
      </w:pPr>
      <w:r>
        <w:t>Comunidad Autónoma de la Región de Murcia. Ley 3/2020, de 27 de julio, de recuperación y protección del mar Menor</w:t>
      </w:r>
    </w:p>
    <w:p w14:paraId="6E7A1459" w14:textId="3FBBD85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VP.</w:t>
      </w:r>
    </w:p>
    <w:p w14:paraId="0976D67C" w14:textId="2F0F0686" w:rsidR="007D5795" w:rsidRDefault="007D5795" w:rsidP="007D5795">
      <w:pPr>
        <w:pStyle w:val="SangriaFrancesaArticulo"/>
      </w:pPr>
    </w:p>
    <w:p w14:paraId="0C74B22C" w14:textId="77777777" w:rsidR="007D5795" w:rsidRDefault="007D5795" w:rsidP="007D5795">
      <w:pPr>
        <w:pStyle w:val="TextoNormalNegritaCursivandice"/>
        <w:keepNext/>
      </w:pPr>
      <w:r>
        <w:t>Comunidad Autónoma de la Región de Murcia. Decreto-ley 5/2021, de 27 de agosto, de modificación de la Ley 3/2020, de 27 de julio, de recuperación y protección del mar Menor</w:t>
      </w:r>
    </w:p>
    <w:p w14:paraId="222BF0AD" w14:textId="2AAA178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VP.</w:t>
      </w:r>
    </w:p>
    <w:p w14:paraId="0A132FA4" w14:textId="1D174E84" w:rsidR="007D5795" w:rsidRDefault="007D5795" w:rsidP="007D5795">
      <w:pPr>
        <w:pStyle w:val="TextoNormal"/>
      </w:pPr>
    </w:p>
    <w:p w14:paraId="75D18214" w14:textId="77777777" w:rsidR="007D5795" w:rsidRDefault="007D5795" w:rsidP="007D5795">
      <w:pPr>
        <w:pStyle w:val="TextoNormalNegritaCentradoSubrayado"/>
        <w:suppressAutoHyphens/>
      </w:pPr>
      <w:r>
        <w:t>J.9.c) Decretos y otras disposiciones reglamentarias</w:t>
      </w:r>
    </w:p>
    <w:p w14:paraId="75C665D6" w14:textId="573DB83B" w:rsidR="007D5795" w:rsidRDefault="007D5795" w:rsidP="007D5795">
      <w:pPr>
        <w:pStyle w:val="TextoNormalNegritaCentradoSubrayado"/>
      </w:pPr>
    </w:p>
    <w:p w14:paraId="6D50F691" w14:textId="77777777" w:rsidR="007D5795" w:rsidRDefault="007D5795" w:rsidP="007D5795">
      <w:pPr>
        <w:pStyle w:val="TextoNormalNegritaCursivandice"/>
        <w:keepNext/>
      </w:pPr>
      <w:r>
        <w:t>Comunidad Autónoma de la Región de Murcia. Decreto 259/2019, de 10 de octubre, de declaración de zonas especiales de conservación (ZEC), y de aprobación del Plan de gestión integral de los espacios protegidos del Mar Menor y la franja litoral mediterránea de la Región de Murcia</w:t>
      </w:r>
    </w:p>
    <w:p w14:paraId="5C610702" w14:textId="2B3F58D3" w:rsidR="007D5795" w:rsidRDefault="007D5795" w:rsidP="007D5795">
      <w:pPr>
        <w:pStyle w:val="SangriaFrancesaArticulo"/>
      </w:pPr>
      <w:r w:rsidRPr="007D5795">
        <w:rPr>
          <w:rStyle w:val="TextoNormalNegritaCaracter"/>
        </w:rPr>
        <w:t>Artículo 1.1 f).</w:t>
      </w:r>
      <w:r w:rsidRPr="007D5795">
        <w:rPr>
          <w:rStyle w:val="TextoNormalCaracter"/>
        </w:rPr>
        <w:t>-</w:t>
      </w:r>
      <w:r>
        <w:t xml:space="preserve"> Sentencia </w:t>
      </w:r>
      <w:hyperlink w:anchor="SENTENCIA_2024_142" w:history="1">
        <w:r w:rsidRPr="007D5795">
          <w:rPr>
            <w:rStyle w:val="TextoNormalCaracter"/>
          </w:rPr>
          <w:t>142/2024</w:t>
        </w:r>
      </w:hyperlink>
      <w:r>
        <w:t>, VP.</w:t>
      </w:r>
    </w:p>
    <w:p w14:paraId="1B90C75B" w14:textId="6D718B33" w:rsidR="007D5795" w:rsidRDefault="007D5795" w:rsidP="007D5795">
      <w:pPr>
        <w:pStyle w:val="SangriaFrancesaArticulo"/>
      </w:pPr>
      <w:r w:rsidRPr="007D5795">
        <w:rPr>
          <w:rStyle w:val="TextoNormalNegritaCaracter"/>
        </w:rPr>
        <w:t>Artículo 2.1.</w:t>
      </w:r>
      <w:r w:rsidRPr="007D5795">
        <w:rPr>
          <w:rStyle w:val="TextoNormalCaracter"/>
        </w:rPr>
        <w:t>-</w:t>
      </w:r>
      <w:r>
        <w:t xml:space="preserve"> Sentencia </w:t>
      </w:r>
      <w:hyperlink w:anchor="SENTENCIA_2024_142" w:history="1">
        <w:r w:rsidRPr="007D5795">
          <w:rPr>
            <w:rStyle w:val="TextoNormalCaracter"/>
          </w:rPr>
          <w:t>142/2024</w:t>
        </w:r>
      </w:hyperlink>
      <w:r>
        <w:t>, VP.</w:t>
      </w:r>
    </w:p>
    <w:p w14:paraId="2586ADCA" w14:textId="256FB56F" w:rsidR="007D5795" w:rsidRDefault="007D5795" w:rsidP="007D5795">
      <w:pPr>
        <w:pStyle w:val="SangriaFrancesaArticulo"/>
      </w:pPr>
      <w:r w:rsidRPr="007D5795">
        <w:rPr>
          <w:rStyle w:val="TextoNormalNegritaCaracter"/>
        </w:rPr>
        <w:t>Artículo 4.</w:t>
      </w:r>
      <w:r w:rsidRPr="007D5795">
        <w:rPr>
          <w:rStyle w:val="TextoNormalCaracter"/>
        </w:rPr>
        <w:t>-</w:t>
      </w:r>
      <w:r>
        <w:t xml:space="preserve"> Sentencia </w:t>
      </w:r>
      <w:hyperlink w:anchor="SENTENCIA_2024_142" w:history="1">
        <w:r w:rsidRPr="007D5795">
          <w:rPr>
            <w:rStyle w:val="TextoNormalCaracter"/>
          </w:rPr>
          <w:t>142/2024</w:t>
        </w:r>
      </w:hyperlink>
      <w:r>
        <w:t>, VP.</w:t>
      </w:r>
    </w:p>
    <w:p w14:paraId="46477480" w14:textId="79A2F6B0" w:rsidR="007D5795" w:rsidRDefault="007D5795" w:rsidP="007D5795">
      <w:pPr>
        <w:pStyle w:val="SangriaFrancesaArticulo"/>
      </w:pPr>
      <w:r w:rsidRPr="007D5795">
        <w:rPr>
          <w:rStyle w:val="TextoNormalNegritaCaracter"/>
        </w:rPr>
        <w:t>Artículo 5.</w:t>
      </w:r>
      <w:r w:rsidRPr="007D5795">
        <w:rPr>
          <w:rStyle w:val="TextoNormalCaracter"/>
        </w:rPr>
        <w:t>-</w:t>
      </w:r>
      <w:r>
        <w:t xml:space="preserve"> Sentencia </w:t>
      </w:r>
      <w:hyperlink w:anchor="SENTENCIA_2024_142" w:history="1">
        <w:r w:rsidRPr="007D5795">
          <w:rPr>
            <w:rStyle w:val="TextoNormalCaracter"/>
          </w:rPr>
          <w:t>142/2024</w:t>
        </w:r>
      </w:hyperlink>
      <w:r>
        <w:t>, VP.</w:t>
      </w:r>
    </w:p>
    <w:p w14:paraId="1183338D" w14:textId="32182514" w:rsidR="007D5795" w:rsidRDefault="007D5795" w:rsidP="007D5795">
      <w:pPr>
        <w:pStyle w:val="SangriaFrancesaArticulo"/>
      </w:pPr>
      <w:r w:rsidRPr="007D5795">
        <w:rPr>
          <w:rStyle w:val="TextoNormalNegritaCaracter"/>
        </w:rPr>
        <w:t>Anexos.</w:t>
      </w:r>
      <w:r w:rsidRPr="007D5795">
        <w:rPr>
          <w:rStyle w:val="TextoNormalCaracter"/>
        </w:rPr>
        <w:t>-</w:t>
      </w:r>
      <w:r>
        <w:t xml:space="preserve"> Sentencia </w:t>
      </w:r>
      <w:hyperlink w:anchor="SENTENCIA_2024_142" w:history="1">
        <w:r w:rsidRPr="007D5795">
          <w:rPr>
            <w:rStyle w:val="TextoNormalCaracter"/>
          </w:rPr>
          <w:t>142/2024</w:t>
        </w:r>
      </w:hyperlink>
      <w:r>
        <w:t>, VP.</w:t>
      </w:r>
    </w:p>
    <w:p w14:paraId="2AB88242" w14:textId="0369EBAE" w:rsidR="007D5795" w:rsidRDefault="007D5795" w:rsidP="007D5795">
      <w:pPr>
        <w:pStyle w:val="TextoNormal"/>
      </w:pPr>
    </w:p>
    <w:p w14:paraId="0003AC9C" w14:textId="77777777" w:rsidR="007D5795" w:rsidRDefault="007D5795" w:rsidP="007D5795">
      <w:pPr>
        <w:pStyle w:val="TextoNormalNegritaCentradoSubrayado"/>
        <w:suppressAutoHyphens/>
      </w:pPr>
      <w:r>
        <w:t>J.9.d) Disposiciones parlamentarias autonómicas</w:t>
      </w:r>
    </w:p>
    <w:p w14:paraId="4BF67FA8" w14:textId="4A8C3615" w:rsidR="007D5795" w:rsidRDefault="007D5795" w:rsidP="007D5795">
      <w:pPr>
        <w:pStyle w:val="TextoNormalNegritaCentradoSubrayado"/>
      </w:pPr>
    </w:p>
    <w:p w14:paraId="01798A99" w14:textId="77777777" w:rsidR="007D5795" w:rsidRDefault="007D5795" w:rsidP="007D5795">
      <w:pPr>
        <w:pStyle w:val="TextoNormalNegritaCursivandice"/>
        <w:keepNext/>
      </w:pPr>
      <w:r>
        <w:t>Región de Murcia. Reglamento de la Asamblea Regional de Murcia, de 13 de junio de 2002</w:t>
      </w:r>
    </w:p>
    <w:p w14:paraId="210C9835" w14:textId="2AC42F96" w:rsidR="007D5795" w:rsidRDefault="007D5795" w:rsidP="007D5795">
      <w:pPr>
        <w:pStyle w:val="SangriaFrancesaArticulo"/>
      </w:pPr>
      <w:r w:rsidRPr="007D5795">
        <w:rPr>
          <w:rStyle w:val="TextoNormalNegritaCaracter"/>
        </w:rPr>
        <w:t>Artículo 225.</w:t>
      </w:r>
      <w:r w:rsidRPr="007D5795">
        <w:rPr>
          <w:rStyle w:val="TextoNormalCaracter"/>
        </w:rPr>
        <w:t>-</w:t>
      </w:r>
      <w:r>
        <w:t xml:space="preserve"> Sentencia </w:t>
      </w:r>
      <w:hyperlink w:anchor="SENTENCIA_2024_157" w:history="1">
        <w:r w:rsidRPr="007D5795">
          <w:rPr>
            <w:rStyle w:val="TextoNormalCaracter"/>
          </w:rPr>
          <w:t>157/2024</w:t>
        </w:r>
      </w:hyperlink>
      <w:r>
        <w:t>, f. 1.</w:t>
      </w:r>
    </w:p>
    <w:p w14:paraId="1C7D6DDF" w14:textId="12ECC9F6" w:rsidR="007D5795" w:rsidRDefault="007D5795" w:rsidP="007D5795">
      <w:pPr>
        <w:pStyle w:val="TextoNormal"/>
      </w:pPr>
    </w:p>
    <w:p w14:paraId="4885B08A" w14:textId="77777777" w:rsidR="007D5795" w:rsidRDefault="007D5795" w:rsidP="007D5795">
      <w:pPr>
        <w:pStyle w:val="TextoNormalNegritaCentrado"/>
        <w:suppressAutoHyphens/>
      </w:pPr>
      <w:r w:rsidRPr="007D5795">
        <w:rPr>
          <w:rStyle w:val="TextoNormalNegritaCentradoSombreado"/>
        </w:rPr>
        <w:t>J.10) Navarra</w:t>
      </w:r>
    </w:p>
    <w:p w14:paraId="1133D670" w14:textId="0CB64BC6" w:rsidR="007D5795" w:rsidRDefault="007D5795" w:rsidP="007D5795">
      <w:pPr>
        <w:pStyle w:val="TextoNormal"/>
      </w:pPr>
    </w:p>
    <w:p w14:paraId="5739A5C8" w14:textId="77777777" w:rsidR="007D5795" w:rsidRDefault="007D5795" w:rsidP="007D5795">
      <w:pPr>
        <w:pStyle w:val="TextoNormalNegritaCentradoSubrayado"/>
        <w:suppressAutoHyphens/>
      </w:pPr>
      <w:r>
        <w:t>J.10.a) Estatuto de Autonomía</w:t>
      </w:r>
    </w:p>
    <w:p w14:paraId="1D3210E7" w14:textId="24BF3AA6" w:rsidR="007D5795" w:rsidRDefault="007D5795" w:rsidP="007D5795">
      <w:pPr>
        <w:pStyle w:val="TextoNormalNegritaCentradoSubrayado"/>
      </w:pPr>
    </w:p>
    <w:p w14:paraId="080EB8C8" w14:textId="77777777" w:rsidR="007D5795" w:rsidRDefault="007D5795" w:rsidP="007D5795">
      <w:pPr>
        <w:pStyle w:val="TextoNormalNegritaCursivandice"/>
        <w:keepNext/>
      </w:pPr>
      <w:r>
        <w:t>Ley Orgánica 13/1982, de 10 de agosto, de reintegración y amejoramiento del régimen foral de Navarra</w:t>
      </w:r>
    </w:p>
    <w:p w14:paraId="426521DE" w14:textId="6A5C620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3" w:history="1">
        <w:r w:rsidRPr="007D5795">
          <w:rPr>
            <w:rStyle w:val="TextoNormalCaracter"/>
          </w:rPr>
          <w:t>143/2024</w:t>
        </w:r>
      </w:hyperlink>
      <w:r>
        <w:t>, f. 2.</w:t>
      </w:r>
    </w:p>
    <w:p w14:paraId="47B4C735" w14:textId="7D4B0754" w:rsidR="007D5795" w:rsidRDefault="007D5795" w:rsidP="007D5795">
      <w:pPr>
        <w:pStyle w:val="TextoNormal"/>
      </w:pPr>
    </w:p>
    <w:p w14:paraId="1D681EB2" w14:textId="77777777" w:rsidR="007D5795" w:rsidRDefault="007D5795" w:rsidP="007D5795">
      <w:pPr>
        <w:pStyle w:val="TextoNormalNegritaCentrado"/>
        <w:suppressAutoHyphens/>
      </w:pPr>
      <w:r w:rsidRPr="007D5795">
        <w:rPr>
          <w:rStyle w:val="TextoNormalNegritaCentradoSombreado"/>
        </w:rPr>
        <w:t>J.11) País Vasco</w:t>
      </w:r>
    </w:p>
    <w:p w14:paraId="4073D06F" w14:textId="360FF649" w:rsidR="007D5795" w:rsidRDefault="007D5795" w:rsidP="007D5795">
      <w:pPr>
        <w:pStyle w:val="TextoNormal"/>
      </w:pPr>
    </w:p>
    <w:p w14:paraId="6E20E54D" w14:textId="77777777" w:rsidR="007D5795" w:rsidRDefault="007D5795" w:rsidP="007D5795">
      <w:pPr>
        <w:pStyle w:val="TextoNormalNegritaCentradoSubrayado"/>
        <w:suppressAutoHyphens/>
      </w:pPr>
      <w:r>
        <w:t>J.11.b) Leyes y disposiciones con fuerza de Ley</w:t>
      </w:r>
    </w:p>
    <w:p w14:paraId="0D0DBF36" w14:textId="636D2B3E" w:rsidR="007D5795" w:rsidRDefault="007D5795" w:rsidP="007D5795">
      <w:pPr>
        <w:pStyle w:val="TextoNormalNegritaCentradoSubrayado"/>
      </w:pPr>
    </w:p>
    <w:p w14:paraId="7CB7D9DD" w14:textId="77777777" w:rsidR="007D5795" w:rsidRDefault="007D5795" w:rsidP="007D5795">
      <w:pPr>
        <w:pStyle w:val="TextoNormalNegritaCursivandice"/>
        <w:keepNext/>
      </w:pPr>
      <w:r>
        <w:t>Comunidad Autónoma del País Vasco. Ley 7/2015, de 30 de junio, de relaciones familiares en supuestos de separación o ruptura de los progenitores</w:t>
      </w:r>
    </w:p>
    <w:p w14:paraId="4B4C2F60" w14:textId="340A0DF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15" w:history="1">
        <w:r w:rsidRPr="007D5795">
          <w:rPr>
            <w:rStyle w:val="TextoNormalCaracter"/>
          </w:rPr>
          <w:t>115/2024</w:t>
        </w:r>
      </w:hyperlink>
      <w:r>
        <w:t xml:space="preserve">, VP II; </w:t>
      </w:r>
      <w:hyperlink w:anchor="SENTENCIA_2024_145" w:history="1">
        <w:r w:rsidRPr="007D5795">
          <w:rPr>
            <w:rStyle w:val="TextoNormalCaracter"/>
          </w:rPr>
          <w:t>145/2024</w:t>
        </w:r>
      </w:hyperlink>
      <w:r>
        <w:t>, f. 4.</w:t>
      </w:r>
    </w:p>
    <w:p w14:paraId="077E25E9" w14:textId="64CD773E"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Sentencias </w:t>
      </w:r>
      <w:hyperlink w:anchor="SENTENCIA_2024_115" w:history="1">
        <w:r w:rsidRPr="007D5795">
          <w:rPr>
            <w:rStyle w:val="TextoNormalCaracter"/>
          </w:rPr>
          <w:t>115/2024</w:t>
        </w:r>
      </w:hyperlink>
      <w:r>
        <w:t xml:space="preserve">, f. 3, VP II; </w:t>
      </w:r>
      <w:hyperlink w:anchor="SENTENCIA_2024_145" w:history="1">
        <w:r w:rsidRPr="007D5795">
          <w:rPr>
            <w:rStyle w:val="TextoNormalCaracter"/>
          </w:rPr>
          <w:t>145/2024</w:t>
        </w:r>
      </w:hyperlink>
      <w:r>
        <w:t>, f. 5.</w:t>
      </w:r>
    </w:p>
    <w:p w14:paraId="4F5257EB" w14:textId="5737AA9E" w:rsidR="007D5795" w:rsidRDefault="007D5795" w:rsidP="007D5795">
      <w:pPr>
        <w:pStyle w:val="SangriaFrancesaArticulo"/>
      </w:pPr>
      <w:r w:rsidRPr="007D5795">
        <w:rPr>
          <w:rStyle w:val="TextoNormalNegritaCaracter"/>
        </w:rPr>
        <w:t>Artículo 11.3.</w:t>
      </w:r>
      <w:r w:rsidRPr="007D5795">
        <w:rPr>
          <w:rStyle w:val="TextoNormalCaracter"/>
        </w:rPr>
        <w:t>-</w:t>
      </w:r>
      <w:r>
        <w:t xml:space="preserve"> Sentencia </w:t>
      </w:r>
      <w:hyperlink w:anchor="SENTENCIA_2024_145" w:history="1">
        <w:r w:rsidRPr="007D5795">
          <w:rPr>
            <w:rStyle w:val="TextoNormalCaracter"/>
          </w:rPr>
          <w:t>145/2024</w:t>
        </w:r>
      </w:hyperlink>
      <w:r>
        <w:t>, f. 5.</w:t>
      </w:r>
    </w:p>
    <w:p w14:paraId="5B159FAC" w14:textId="679B63D9" w:rsidR="007D5795" w:rsidRDefault="007D5795" w:rsidP="007D5795">
      <w:pPr>
        <w:pStyle w:val="TextoNormal"/>
      </w:pPr>
    </w:p>
    <w:p w14:paraId="1D99EB05" w14:textId="77777777" w:rsidR="007D5795" w:rsidRDefault="007D5795" w:rsidP="007D5795">
      <w:pPr>
        <w:pStyle w:val="TextoNormalNegritaCentradoSubrayado"/>
        <w:suppressAutoHyphens/>
      </w:pPr>
      <w:r>
        <w:t>J.11.c) Decretos y otras disposiciones reglamentarias</w:t>
      </w:r>
    </w:p>
    <w:p w14:paraId="42AB7BF8" w14:textId="47BFA140" w:rsidR="007D5795" w:rsidRDefault="007D5795" w:rsidP="007D5795">
      <w:pPr>
        <w:pStyle w:val="TextoNormalNegritaCentradoSubrayado"/>
      </w:pPr>
    </w:p>
    <w:p w14:paraId="70F3F1E6" w14:textId="77777777" w:rsidR="007D5795" w:rsidRDefault="007D5795" w:rsidP="007D5795">
      <w:pPr>
        <w:pStyle w:val="TextoNormalNegritaCursivandice"/>
        <w:keepNext/>
      </w:pPr>
      <w:r>
        <w:t>Comunidad Autónoma de País Vasco. Decreto 200/2019, de 17 de diciembre, de condiciones de prestación del servicio de arrendamiento de vehículos con conductor o conductora y con autorización de ámbito nacional (VTC-N) en la Comunidad Autónoma de Euskadi</w:t>
      </w:r>
    </w:p>
    <w:p w14:paraId="244775B9" w14:textId="59048C5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2" w:history="1">
        <w:r w:rsidRPr="007D5795">
          <w:rPr>
            <w:rStyle w:val="TextoNormalCaracter"/>
          </w:rPr>
          <w:t>112/2024</w:t>
        </w:r>
      </w:hyperlink>
      <w:r>
        <w:t>, f. 2.</w:t>
      </w:r>
    </w:p>
    <w:p w14:paraId="1B73BBA9" w14:textId="41F30D06" w:rsidR="007D5795" w:rsidRDefault="007D5795" w:rsidP="007D5795">
      <w:pPr>
        <w:pStyle w:val="TextoNormal"/>
      </w:pPr>
    </w:p>
    <w:p w14:paraId="1078905D" w14:textId="77777777" w:rsidR="007D5795" w:rsidRDefault="007D5795" w:rsidP="007D5795">
      <w:pPr>
        <w:pStyle w:val="TextoNormalNegritaCentrado"/>
        <w:suppressAutoHyphens/>
      </w:pPr>
      <w:r w:rsidRPr="007D5795">
        <w:rPr>
          <w:rStyle w:val="TextoNormalNegritaCentradoSombreado"/>
        </w:rPr>
        <w:t>J.12) Valencia</w:t>
      </w:r>
    </w:p>
    <w:p w14:paraId="0E8B76D7" w14:textId="175AC65D" w:rsidR="007D5795" w:rsidRDefault="007D5795" w:rsidP="007D5795">
      <w:pPr>
        <w:pStyle w:val="TextoNormal"/>
      </w:pPr>
    </w:p>
    <w:p w14:paraId="57C1F623" w14:textId="77777777" w:rsidR="007D5795" w:rsidRDefault="007D5795" w:rsidP="007D5795">
      <w:pPr>
        <w:pStyle w:val="TextoNormalNegritaCentradoSubrayado"/>
        <w:suppressAutoHyphens/>
      </w:pPr>
      <w:r>
        <w:t>J.12.b) Leyes y disposiciones con fuerza de Ley</w:t>
      </w:r>
    </w:p>
    <w:p w14:paraId="578DA2D7" w14:textId="6FACEB0B" w:rsidR="007D5795" w:rsidRDefault="007D5795" w:rsidP="007D5795">
      <w:pPr>
        <w:pStyle w:val="TextoNormalNegritaCentradoSubrayado"/>
      </w:pPr>
    </w:p>
    <w:p w14:paraId="26FFA0FF" w14:textId="77777777" w:rsidR="007D5795" w:rsidRDefault="007D5795" w:rsidP="007D5795">
      <w:pPr>
        <w:pStyle w:val="TextoNormalNegritaCursivandice"/>
        <w:keepNext/>
      </w:pPr>
      <w:r>
        <w:t>Comunitat Valenciana. Ley 2/2017, de 3 de febrero, por la función social de la vivienda</w:t>
      </w:r>
    </w:p>
    <w:p w14:paraId="11D58C79" w14:textId="354291E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20" w:history="1">
        <w:r w:rsidRPr="007D5795">
          <w:rPr>
            <w:rStyle w:val="TextoNormalCaracter"/>
          </w:rPr>
          <w:t>120/2024</w:t>
        </w:r>
      </w:hyperlink>
      <w:r>
        <w:t>, f. 5.</w:t>
      </w:r>
    </w:p>
    <w:p w14:paraId="445CFDFB" w14:textId="3E88669E" w:rsidR="007D5795" w:rsidRDefault="007D5795" w:rsidP="007D5795">
      <w:pPr>
        <w:pStyle w:val="TextoNormal"/>
      </w:pPr>
    </w:p>
    <w:p w14:paraId="427BF9A3" w14:textId="77777777" w:rsidR="007D5795" w:rsidRDefault="007D5795" w:rsidP="007D5795">
      <w:pPr>
        <w:pStyle w:val="SangriaFrancesaArticulo"/>
      </w:pPr>
      <w:bookmarkStart w:id="179" w:name="INDICE22869"/>
    </w:p>
    <w:bookmarkEnd w:id="179"/>
    <w:p w14:paraId="36C6D1E1" w14:textId="77777777" w:rsidR="007D5795" w:rsidRDefault="007D5795" w:rsidP="007D5795">
      <w:pPr>
        <w:pStyle w:val="TextoIndiceNivel2"/>
        <w:suppressAutoHyphens/>
      </w:pPr>
      <w:r>
        <w:t>K) Territorios históricos y corporaciones locales</w:t>
      </w:r>
    </w:p>
    <w:p w14:paraId="3C8ECC8F" w14:textId="4D4A4F08" w:rsidR="007D5795" w:rsidRDefault="007D5795" w:rsidP="007D5795">
      <w:pPr>
        <w:pStyle w:val="TextoNormal"/>
      </w:pPr>
    </w:p>
    <w:p w14:paraId="2CDF9747" w14:textId="77777777" w:rsidR="007D5795" w:rsidRDefault="007D5795" w:rsidP="007D5795">
      <w:pPr>
        <w:pStyle w:val="TextoNormalNegritaCentrado"/>
        <w:suppressAutoHyphens/>
      </w:pPr>
      <w:r w:rsidRPr="007D5795">
        <w:rPr>
          <w:rStyle w:val="TextoNormalNegritaCentradoSombreado"/>
        </w:rPr>
        <w:t>K.13) Territorios históricos</w:t>
      </w:r>
    </w:p>
    <w:p w14:paraId="532849ED" w14:textId="4BA8FC30" w:rsidR="007D5795" w:rsidRDefault="007D5795" w:rsidP="007D5795">
      <w:pPr>
        <w:pStyle w:val="TextoNormal"/>
      </w:pPr>
    </w:p>
    <w:p w14:paraId="64757E54" w14:textId="77777777" w:rsidR="007D5795" w:rsidRDefault="007D5795" w:rsidP="007D5795">
      <w:pPr>
        <w:pStyle w:val="TextoNormalNegritaCentradoSubrayado"/>
        <w:suppressAutoHyphens/>
      </w:pPr>
      <w:r>
        <w:t>K.13.1) Gipuzkoa</w:t>
      </w:r>
    </w:p>
    <w:p w14:paraId="6D1C60A9" w14:textId="74B525BB" w:rsidR="007D5795" w:rsidRDefault="007D5795" w:rsidP="007D5795">
      <w:pPr>
        <w:pStyle w:val="TextoNormalNegritaCentradoSubrayado"/>
      </w:pPr>
    </w:p>
    <w:p w14:paraId="25756C66" w14:textId="77777777" w:rsidR="007D5795" w:rsidRDefault="007D5795" w:rsidP="007D5795">
      <w:pPr>
        <w:pStyle w:val="TextoNormalNegritaCursivandice"/>
        <w:keepNext/>
      </w:pPr>
      <w:r>
        <w:t>Territorio Histórico de Gipuzkoa. Norma Foral 16/1989, de 5 de julio, del impuesto sobre el incremento de valor de los terrenos de naturaleza urbana</w:t>
      </w:r>
    </w:p>
    <w:p w14:paraId="29CC8E42" w14:textId="1B3433E9" w:rsidR="007D5795" w:rsidRDefault="007D5795" w:rsidP="007D5795">
      <w:pPr>
        <w:pStyle w:val="SangriaFrancesaArticulo"/>
      </w:pPr>
      <w:r w:rsidRPr="007D5795">
        <w:rPr>
          <w:rStyle w:val="TextoNormalNegritaCaracter"/>
        </w:rPr>
        <w:t>Artículo 4.1 párrafo 2.</w:t>
      </w:r>
      <w:r w:rsidRPr="007D5795">
        <w:rPr>
          <w:rStyle w:val="TextoNormalCaracter"/>
        </w:rPr>
        <w:t>-</w:t>
      </w:r>
      <w:r>
        <w:t xml:space="preserve"> Auto </w:t>
      </w:r>
      <w:hyperlink w:anchor="AUTO_2024_103" w:history="1">
        <w:r w:rsidRPr="007D5795">
          <w:rPr>
            <w:rStyle w:val="TextoNormalCaracter"/>
          </w:rPr>
          <w:t>103/2024</w:t>
        </w:r>
      </w:hyperlink>
      <w:r>
        <w:t>, f. 1.</w:t>
      </w:r>
    </w:p>
    <w:p w14:paraId="2B25D01B" w14:textId="71477D94" w:rsidR="007D5795" w:rsidRDefault="007D5795" w:rsidP="007D5795">
      <w:pPr>
        <w:pStyle w:val="SangriaFrancesaArticulo"/>
      </w:pPr>
      <w:r w:rsidRPr="007D5795">
        <w:rPr>
          <w:rStyle w:val="TextoNormalNegritaCaracter"/>
        </w:rPr>
        <w:t>Artículo 4.2 a).</w:t>
      </w:r>
      <w:r w:rsidRPr="007D5795">
        <w:rPr>
          <w:rStyle w:val="TextoNormalCaracter"/>
        </w:rPr>
        <w:t>-</w:t>
      </w:r>
      <w:r>
        <w:t xml:space="preserve"> Auto </w:t>
      </w:r>
      <w:hyperlink w:anchor="AUTO_2024_103" w:history="1">
        <w:r w:rsidRPr="007D5795">
          <w:rPr>
            <w:rStyle w:val="TextoNormalCaracter"/>
          </w:rPr>
          <w:t>103/2024</w:t>
        </w:r>
      </w:hyperlink>
      <w:r>
        <w:t>, f. 1.</w:t>
      </w:r>
    </w:p>
    <w:p w14:paraId="1793E6F0" w14:textId="54E63F16" w:rsidR="007D5795" w:rsidRDefault="007D5795" w:rsidP="007D5795">
      <w:pPr>
        <w:pStyle w:val="SangriaFrancesaArticulo"/>
      </w:pPr>
      <w:r w:rsidRPr="007D5795">
        <w:rPr>
          <w:rStyle w:val="TextoNormalNegritaCaracter"/>
        </w:rPr>
        <w:t>Artículo 4.3.</w:t>
      </w:r>
      <w:r w:rsidRPr="007D5795">
        <w:rPr>
          <w:rStyle w:val="TextoNormalCaracter"/>
        </w:rPr>
        <w:t>-</w:t>
      </w:r>
      <w:r>
        <w:t xml:space="preserve"> Auto </w:t>
      </w:r>
      <w:hyperlink w:anchor="AUTO_2024_103" w:history="1">
        <w:r w:rsidRPr="007D5795">
          <w:rPr>
            <w:rStyle w:val="TextoNormalCaracter"/>
          </w:rPr>
          <w:t>103/2024</w:t>
        </w:r>
      </w:hyperlink>
      <w:r>
        <w:t>, f. 1.</w:t>
      </w:r>
    </w:p>
    <w:p w14:paraId="2BE07088" w14:textId="5C49D597" w:rsidR="007D5795" w:rsidRDefault="007D5795" w:rsidP="007D5795">
      <w:pPr>
        <w:pStyle w:val="SangriaFrancesaArticulo"/>
      </w:pPr>
    </w:p>
    <w:p w14:paraId="27825336" w14:textId="77777777" w:rsidR="007D5795" w:rsidRDefault="007D5795" w:rsidP="007D5795">
      <w:pPr>
        <w:pStyle w:val="TextoNormalNegritaCursivandice"/>
        <w:keepNext/>
      </w:pPr>
      <w:r>
        <w:t>Territorio Histórico de Gipuzkoa. Decreto Foral-Norma 7/2021, de 16 de noviembre, de adaptación de la Norma Foral 16/1989, de 5 de julio, del impuesto sobre el incremento de valor de los terrenos de naturaleza urbana a la jurisprudencia del Tribunal Constitucional</w:t>
      </w:r>
    </w:p>
    <w:p w14:paraId="1A661353" w14:textId="7A22BEF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103" w:history="1">
        <w:r w:rsidRPr="007D5795">
          <w:rPr>
            <w:rStyle w:val="TextoNormalCaracter"/>
          </w:rPr>
          <w:t>103/2024</w:t>
        </w:r>
      </w:hyperlink>
      <w:r>
        <w:t>, f. 1.</w:t>
      </w:r>
    </w:p>
    <w:p w14:paraId="35A1831E" w14:textId="102FF210" w:rsidR="007D5795" w:rsidRDefault="007D5795" w:rsidP="007D5795">
      <w:pPr>
        <w:pStyle w:val="TextoNormal"/>
      </w:pPr>
    </w:p>
    <w:p w14:paraId="0F1C8B7E" w14:textId="77777777" w:rsidR="007D5795" w:rsidRDefault="007D5795" w:rsidP="007D5795">
      <w:pPr>
        <w:pStyle w:val="SangriaFrancesaArticulo"/>
      </w:pPr>
      <w:bookmarkStart w:id="180" w:name="INDICE22870"/>
    </w:p>
    <w:bookmarkEnd w:id="180"/>
    <w:p w14:paraId="2DE8F0C4" w14:textId="77777777" w:rsidR="007D5795" w:rsidRDefault="007D5795" w:rsidP="007D5795">
      <w:pPr>
        <w:pStyle w:val="TextoIndiceNivel2"/>
        <w:suppressAutoHyphens/>
      </w:pPr>
      <w:r>
        <w:t>L) Tratados y acuerdos internacionales</w:t>
      </w:r>
    </w:p>
    <w:p w14:paraId="12A83D42" w14:textId="5B42D4C2" w:rsidR="007D5795" w:rsidRDefault="007D5795" w:rsidP="007D5795">
      <w:pPr>
        <w:pStyle w:val="TextoIndiceNivel2"/>
      </w:pPr>
    </w:p>
    <w:p w14:paraId="3365D115" w14:textId="77777777" w:rsidR="007D5795" w:rsidRDefault="007D5795" w:rsidP="007D5795">
      <w:pPr>
        <w:pStyle w:val="TextoNormalNegritaCursivandice"/>
        <w:keepNext/>
      </w:pPr>
      <w:r>
        <w:t>Convenio de la Organización Internacional del Trabajo (núm. 103), de 28 de junio de 1952. Protección de la maternidad. Ratificado por Instrumento de 26 de mayo de 1965</w:t>
      </w:r>
    </w:p>
    <w:p w14:paraId="4F96D518" w14:textId="785FB207" w:rsidR="007D5795" w:rsidRDefault="007D5795" w:rsidP="007D5795">
      <w:pPr>
        <w:pStyle w:val="SangriaFrancesaArticulo"/>
      </w:pPr>
      <w:r w:rsidRPr="007D5795">
        <w:rPr>
          <w:rStyle w:val="TextoNormalNegritaCaracter"/>
        </w:rPr>
        <w:t>Artículo 3.</w:t>
      </w:r>
      <w:r w:rsidRPr="007D5795">
        <w:rPr>
          <w:rStyle w:val="TextoNormalCaracter"/>
        </w:rPr>
        <w:t>-</w:t>
      </w:r>
      <w:r>
        <w:t xml:space="preserve"> Sentencia </w:t>
      </w:r>
      <w:hyperlink w:anchor="SENTENCIA_2024_140" w:history="1">
        <w:r w:rsidRPr="007D5795">
          <w:rPr>
            <w:rStyle w:val="TextoNormalCaracter"/>
          </w:rPr>
          <w:t>140/2024</w:t>
        </w:r>
      </w:hyperlink>
      <w:r>
        <w:t>, f. 4.</w:t>
      </w:r>
    </w:p>
    <w:p w14:paraId="45A4A227" w14:textId="57ED8F14" w:rsidR="007D5795" w:rsidRDefault="007D5795" w:rsidP="007D5795">
      <w:pPr>
        <w:pStyle w:val="SangriaFrancesaArticulo"/>
      </w:pPr>
    </w:p>
    <w:p w14:paraId="5F7FF9C1" w14:textId="77777777" w:rsidR="007D5795" w:rsidRDefault="007D5795" w:rsidP="007D5795">
      <w:pPr>
        <w:pStyle w:val="TextoNormalNegritaCursivandice"/>
        <w:keepNext/>
      </w:pPr>
      <w:r>
        <w:t>Convenio de Nueva York, de 10 de junio de 1958. Arbitraje. Reconocimiento y ejecución de Sentencias arbitrales extranjeras</w:t>
      </w:r>
    </w:p>
    <w:p w14:paraId="6387E2AE" w14:textId="28CA8272" w:rsidR="007D5795" w:rsidRDefault="007D5795" w:rsidP="007D5795">
      <w:pPr>
        <w:pStyle w:val="SangriaFrancesaArticulo"/>
      </w:pPr>
      <w:r w:rsidRPr="007D5795">
        <w:rPr>
          <w:rStyle w:val="TextoNormalNegritaCaracter"/>
        </w:rPr>
        <w:t>Artículo V.2 B).</w:t>
      </w:r>
      <w:r w:rsidRPr="007D5795">
        <w:rPr>
          <w:rStyle w:val="TextoNormalCaracter"/>
        </w:rPr>
        <w:t>-</w:t>
      </w:r>
      <w:r>
        <w:t xml:space="preserve"> Sentencia </w:t>
      </w:r>
      <w:hyperlink w:anchor="SENTENCIA_2024_146" w:history="1">
        <w:r w:rsidRPr="007D5795">
          <w:rPr>
            <w:rStyle w:val="TextoNormalCaracter"/>
          </w:rPr>
          <w:t>146/2024</w:t>
        </w:r>
      </w:hyperlink>
      <w:r>
        <w:t>, f. 4.</w:t>
      </w:r>
    </w:p>
    <w:p w14:paraId="6D914E44" w14:textId="7A7487BA" w:rsidR="007D5795" w:rsidRDefault="007D5795" w:rsidP="007D5795">
      <w:pPr>
        <w:pStyle w:val="SangriaFrancesaArticulo"/>
      </w:pPr>
    </w:p>
    <w:p w14:paraId="68605999" w14:textId="77777777" w:rsidR="007D5795" w:rsidRDefault="007D5795" w:rsidP="007D5795">
      <w:pPr>
        <w:pStyle w:val="TextoNormalNegritaCursivandice"/>
        <w:keepNext/>
      </w:pPr>
      <w:r>
        <w:t>Pacto internacional de derechos civiles y políticos. Nueva York, 19 de diciembre de 1966. Ratificado por Instrumento de 13 de abril de 1977</w:t>
      </w:r>
    </w:p>
    <w:p w14:paraId="5685682E" w14:textId="2A2C6F95" w:rsidR="007D5795" w:rsidRDefault="007D5795" w:rsidP="007D5795">
      <w:pPr>
        <w:pStyle w:val="SangriaFrancesaArticulo"/>
      </w:pPr>
      <w:r w:rsidRPr="007D5795">
        <w:rPr>
          <w:rStyle w:val="TextoNormalNegritaCaracter"/>
        </w:rPr>
        <w:t>Artículo 14.1.</w:t>
      </w:r>
      <w:r w:rsidRPr="007D5795">
        <w:rPr>
          <w:rStyle w:val="TextoNormalCaracter"/>
        </w:rPr>
        <w:t>-</w:t>
      </w:r>
      <w:r>
        <w:t xml:space="preserve"> Sentencias </w:t>
      </w:r>
      <w:hyperlink w:anchor="SENTENCIA_2024_96" w:history="1">
        <w:r w:rsidRPr="007D5795">
          <w:rPr>
            <w:rStyle w:val="TextoNormalCaracter"/>
          </w:rPr>
          <w:t>96/2024</w:t>
        </w:r>
      </w:hyperlink>
      <w:r>
        <w:t xml:space="preserve">, f. 3; </w:t>
      </w:r>
      <w:hyperlink w:anchor="SENTENCIA_2024_102" w:history="1">
        <w:r w:rsidRPr="007D5795">
          <w:rPr>
            <w:rStyle w:val="TextoNormalCaracter"/>
          </w:rPr>
          <w:t>102/2024</w:t>
        </w:r>
      </w:hyperlink>
      <w:r>
        <w:t>, f. 3.</w:t>
      </w:r>
    </w:p>
    <w:p w14:paraId="47599ADB" w14:textId="5396AD5B" w:rsidR="007D5795" w:rsidRDefault="007D5795" w:rsidP="007D5795">
      <w:pPr>
        <w:pStyle w:val="SangriaFrancesaArticulo"/>
      </w:pPr>
    </w:p>
    <w:p w14:paraId="723D98CD" w14:textId="77777777" w:rsidR="007D5795" w:rsidRDefault="007D5795" w:rsidP="007D5795">
      <w:pPr>
        <w:pStyle w:val="TextoNormalNegritaCursivandice"/>
        <w:keepNext/>
      </w:pPr>
      <w:r>
        <w:t>Pacto internacional de derechos económicos, sociales y culturales, adoptado por la Asamblea General de las Naciones Unidas (Nueva York), de 16 de diciembre de 1966. Ratificado por Instrumento de 13 de abril de 1977</w:t>
      </w:r>
    </w:p>
    <w:p w14:paraId="35BA61A5" w14:textId="56BFF117" w:rsidR="007D5795" w:rsidRDefault="007D5795" w:rsidP="007D5795">
      <w:pPr>
        <w:pStyle w:val="SangriaFrancesaArticulo"/>
      </w:pPr>
      <w:r w:rsidRPr="007D5795">
        <w:rPr>
          <w:rStyle w:val="TextoNormalNegritaCaracter"/>
        </w:rPr>
        <w:t>Artículo 10.2.</w:t>
      </w:r>
      <w:r w:rsidRPr="007D5795">
        <w:rPr>
          <w:rStyle w:val="TextoNormalCaracter"/>
        </w:rPr>
        <w:t>-</w:t>
      </w:r>
      <w:r>
        <w:t xml:space="preserve"> Sentencia </w:t>
      </w:r>
      <w:hyperlink w:anchor="SENTENCIA_2024_140" w:history="1">
        <w:r w:rsidRPr="007D5795">
          <w:rPr>
            <w:rStyle w:val="TextoNormalCaracter"/>
          </w:rPr>
          <w:t>140/2024</w:t>
        </w:r>
      </w:hyperlink>
      <w:r>
        <w:t>, f. 4.</w:t>
      </w:r>
    </w:p>
    <w:p w14:paraId="0B575547" w14:textId="306F37BF" w:rsidR="007D5795" w:rsidRDefault="007D5795" w:rsidP="007D5795">
      <w:pPr>
        <w:pStyle w:val="SangriaFrancesaArticulo"/>
      </w:pPr>
    </w:p>
    <w:p w14:paraId="2D3AE58E" w14:textId="77777777" w:rsidR="007D5795" w:rsidRDefault="007D5795" w:rsidP="007D5795">
      <w:pPr>
        <w:pStyle w:val="TextoNormalNegritaCursivandice"/>
        <w:keepNext/>
      </w:pPr>
      <w:r>
        <w:t>Convención de Ramsar de 2 de febrero de 1971, de humedales de importancia internacional, especialmente como hábitat de aves acuáticas. Ratificada por Instrumento de 18 de marzo de 1982</w:t>
      </w:r>
    </w:p>
    <w:p w14:paraId="0C9D9A68" w14:textId="257B4334"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3, VP.</w:t>
      </w:r>
    </w:p>
    <w:p w14:paraId="5DC3F348" w14:textId="4158F436" w:rsidR="007D5795" w:rsidRDefault="007D5795" w:rsidP="007D5795">
      <w:pPr>
        <w:pStyle w:val="SangriaFrancesaArticulo"/>
      </w:pPr>
    </w:p>
    <w:p w14:paraId="1200FEC0" w14:textId="77777777" w:rsidR="007D5795" w:rsidRDefault="007D5795" w:rsidP="007D5795">
      <w:pPr>
        <w:pStyle w:val="TextoNormalNegritaCursivandice"/>
        <w:keepNext/>
      </w:pPr>
      <w:r>
        <w:t>Convenio para la protección del mar Mediterráneo contra la contaminación y de los protocolos anejos, hechos en Barcelona el 16 de febrero de 1976</w:t>
      </w:r>
    </w:p>
    <w:p w14:paraId="3C3E4E4C" w14:textId="5C509D3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VP.</w:t>
      </w:r>
    </w:p>
    <w:p w14:paraId="055238BE" w14:textId="3E57755D" w:rsidR="007D5795" w:rsidRDefault="007D5795" w:rsidP="007D5795">
      <w:pPr>
        <w:pStyle w:val="SangriaFrancesaArticulo"/>
      </w:pPr>
    </w:p>
    <w:p w14:paraId="730E91D9" w14:textId="77777777" w:rsidR="007D5795" w:rsidRDefault="007D5795" w:rsidP="007D5795">
      <w:pPr>
        <w:pStyle w:val="TextoNormalNegritaCursivandice"/>
        <w:keepNext/>
      </w:pPr>
      <w:r>
        <w:t>Acuerdo entre el Estado español y la Santa Sede de 3 de enero de 1979, sobre asuntos jurídicos. Ratificado por Instrumento de 4 de diciembre de 1979</w:t>
      </w:r>
    </w:p>
    <w:p w14:paraId="1EBA3CAF" w14:textId="52B0831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2" w:history="1">
        <w:r w:rsidRPr="007D5795">
          <w:rPr>
            <w:rStyle w:val="TextoNormalCaracter"/>
          </w:rPr>
          <w:t>132/2024</w:t>
        </w:r>
      </w:hyperlink>
      <w:r>
        <w:t>, VP II.</w:t>
      </w:r>
    </w:p>
    <w:p w14:paraId="4F442410" w14:textId="1CC3A0C4" w:rsidR="007D5795" w:rsidRDefault="007D5795" w:rsidP="007D5795">
      <w:pPr>
        <w:pStyle w:val="SangriaFrancesaArticulo"/>
      </w:pPr>
      <w:r w:rsidRPr="007D5795">
        <w:rPr>
          <w:rStyle w:val="TextoNormalNegritaCaracter"/>
        </w:rPr>
        <w:t>Artículo I.</w:t>
      </w:r>
      <w:r w:rsidRPr="007D5795">
        <w:rPr>
          <w:rStyle w:val="TextoNormalCaracter"/>
        </w:rPr>
        <w:t>-</w:t>
      </w:r>
      <w:r>
        <w:t xml:space="preserve"> Sentencia </w:t>
      </w:r>
      <w:hyperlink w:anchor="SENTENCIA_2024_132" w:history="1">
        <w:r w:rsidRPr="007D5795">
          <w:rPr>
            <w:rStyle w:val="TextoNormalCaracter"/>
          </w:rPr>
          <w:t>132/2024</w:t>
        </w:r>
      </w:hyperlink>
      <w:r>
        <w:t>, f. 4.</w:t>
      </w:r>
    </w:p>
    <w:p w14:paraId="2BEFA422" w14:textId="08DA5398" w:rsidR="007D5795" w:rsidRDefault="007D5795" w:rsidP="007D5795">
      <w:pPr>
        <w:pStyle w:val="SangriaFrancesaArticulo"/>
      </w:pPr>
      <w:r w:rsidRPr="007D5795">
        <w:rPr>
          <w:rStyle w:val="TextoNormalNegritaCaracter"/>
        </w:rPr>
        <w:t>Artículo I, apartado 4.</w:t>
      </w:r>
      <w:r w:rsidRPr="007D5795">
        <w:rPr>
          <w:rStyle w:val="TextoNormalCaracter"/>
        </w:rPr>
        <w:t>-</w:t>
      </w:r>
      <w:r>
        <w:t xml:space="preserve"> Sentencia </w:t>
      </w:r>
      <w:hyperlink w:anchor="SENTENCIA_2024_132" w:history="1">
        <w:r w:rsidRPr="007D5795">
          <w:rPr>
            <w:rStyle w:val="TextoNormalCaracter"/>
          </w:rPr>
          <w:t>132/2024</w:t>
        </w:r>
      </w:hyperlink>
      <w:r>
        <w:t>, VP II.</w:t>
      </w:r>
    </w:p>
    <w:p w14:paraId="1A8F11FD" w14:textId="7DB1E01D" w:rsidR="007D5795" w:rsidRDefault="007D5795" w:rsidP="007D5795">
      <w:pPr>
        <w:pStyle w:val="SangriaFrancesaArticulo"/>
      </w:pPr>
    </w:p>
    <w:p w14:paraId="1265DB5A" w14:textId="77777777" w:rsidR="007D5795" w:rsidRDefault="007D5795" w:rsidP="007D5795">
      <w:pPr>
        <w:pStyle w:val="TextoNormalNegritaCursivandice"/>
        <w:keepNext/>
      </w:pPr>
      <w:r>
        <w:t>Convención de Naciones Unidas sobre la eliminación de todas las formas de discriminación contra la mujer, hecha en Nueva York el 18 de diciembre de 1979. Ratificada por Instrumento de 16 de diciembre de 1983</w:t>
      </w:r>
    </w:p>
    <w:p w14:paraId="31F88B4B" w14:textId="608C713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5" w:history="1">
        <w:r w:rsidRPr="007D5795">
          <w:rPr>
            <w:rStyle w:val="TextoNormalCaracter"/>
          </w:rPr>
          <w:t>115/2024</w:t>
        </w:r>
      </w:hyperlink>
      <w:r>
        <w:t>, f. 3.</w:t>
      </w:r>
    </w:p>
    <w:p w14:paraId="66349929" w14:textId="05A3C28A"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Sentencia </w:t>
      </w:r>
      <w:hyperlink w:anchor="SENTENCIA_2024_115" w:history="1">
        <w:r w:rsidRPr="007D5795">
          <w:rPr>
            <w:rStyle w:val="TextoNormalCaracter"/>
          </w:rPr>
          <w:t>115/2024</w:t>
        </w:r>
      </w:hyperlink>
      <w:r>
        <w:t>, f. 3.</w:t>
      </w:r>
    </w:p>
    <w:p w14:paraId="1B02E7E6" w14:textId="38A71A7F" w:rsidR="007D5795" w:rsidRDefault="007D5795" w:rsidP="007D5795">
      <w:pPr>
        <w:pStyle w:val="SangriaFrancesaArticulo"/>
      </w:pPr>
      <w:r w:rsidRPr="007D5795">
        <w:rPr>
          <w:rStyle w:val="TextoNormalNegritaCaracter"/>
        </w:rPr>
        <w:t>Artículo 5.1.</w:t>
      </w:r>
      <w:r w:rsidRPr="007D5795">
        <w:rPr>
          <w:rStyle w:val="TextoNormalCaracter"/>
        </w:rPr>
        <w:t>-</w:t>
      </w:r>
      <w:r>
        <w:t xml:space="preserve"> Sentencia </w:t>
      </w:r>
      <w:hyperlink w:anchor="SENTENCIA_2024_132" w:history="1">
        <w:r w:rsidRPr="007D5795">
          <w:rPr>
            <w:rStyle w:val="TextoNormalCaracter"/>
          </w:rPr>
          <w:t>132/2024</w:t>
        </w:r>
      </w:hyperlink>
      <w:r>
        <w:t>, VP I.</w:t>
      </w:r>
    </w:p>
    <w:p w14:paraId="241C61CF" w14:textId="1AAECCF2" w:rsidR="007D5795" w:rsidRDefault="007D5795" w:rsidP="007D5795">
      <w:pPr>
        <w:pStyle w:val="SangriaFrancesaArticulo"/>
      </w:pPr>
      <w:r w:rsidRPr="007D5795">
        <w:rPr>
          <w:rStyle w:val="TextoNormalNegritaCaracter"/>
        </w:rPr>
        <w:t>Artículos 17 a 21.</w:t>
      </w:r>
      <w:r w:rsidRPr="007D5795">
        <w:rPr>
          <w:rStyle w:val="TextoNormalCaracter"/>
        </w:rPr>
        <w:t>-</w:t>
      </w:r>
      <w:r>
        <w:t xml:space="preserve"> Sentencia </w:t>
      </w:r>
      <w:hyperlink w:anchor="SENTENCIA_2024_115" w:history="1">
        <w:r w:rsidRPr="007D5795">
          <w:rPr>
            <w:rStyle w:val="TextoNormalCaracter"/>
          </w:rPr>
          <w:t>115/2024</w:t>
        </w:r>
      </w:hyperlink>
      <w:r>
        <w:t>, VP II.</w:t>
      </w:r>
    </w:p>
    <w:p w14:paraId="719523DA" w14:textId="018D4854" w:rsidR="007D5795" w:rsidRDefault="007D5795" w:rsidP="007D5795">
      <w:pPr>
        <w:pStyle w:val="SangriaFrancesaArticulo"/>
      </w:pPr>
    </w:p>
    <w:p w14:paraId="7752CFAF" w14:textId="77777777" w:rsidR="007D5795" w:rsidRDefault="007D5795" w:rsidP="007D5795">
      <w:pPr>
        <w:pStyle w:val="TextoNormalNegritaCursivandice"/>
        <w:keepNext/>
      </w:pPr>
      <w:r>
        <w:t>Convención sobre la eliminación de todas las formas de discriminación contra la mujer, aprobada por las Naciones Unidas el 18 de diciembre de 1979, ratificado por España en 1983 (CEDAW)</w:t>
      </w:r>
    </w:p>
    <w:p w14:paraId="48A37E74" w14:textId="003B6E8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5" w:history="1">
        <w:r w:rsidRPr="007D5795">
          <w:rPr>
            <w:rStyle w:val="TextoNormalCaracter"/>
          </w:rPr>
          <w:t>145/2024</w:t>
        </w:r>
      </w:hyperlink>
      <w:r>
        <w:t>, f. 4.</w:t>
      </w:r>
    </w:p>
    <w:p w14:paraId="10362EC5" w14:textId="09ACE395" w:rsidR="007D5795" w:rsidRDefault="007D5795" w:rsidP="007D5795">
      <w:pPr>
        <w:pStyle w:val="SangriaFrancesaArticulo"/>
      </w:pPr>
    </w:p>
    <w:p w14:paraId="1E861992" w14:textId="77777777" w:rsidR="007D5795" w:rsidRDefault="007D5795" w:rsidP="007D5795">
      <w:pPr>
        <w:pStyle w:val="TextoNormalNegritaCursivandice"/>
        <w:keepNext/>
      </w:pPr>
      <w:r>
        <w:t>Convención de las Naciones Unidas sobre el derecho del mar, hecho en Montego Bay el 10 de diciembre de 1982. Ratificado por Instrumento de 20 de diciembre de 1996</w:t>
      </w:r>
    </w:p>
    <w:p w14:paraId="72D29A33" w14:textId="7BBBC9D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3.</w:t>
      </w:r>
    </w:p>
    <w:p w14:paraId="391ECAD7" w14:textId="6D5862C9" w:rsidR="007D5795" w:rsidRDefault="007D5795" w:rsidP="007D5795">
      <w:pPr>
        <w:pStyle w:val="SangriaFrancesaArticulo"/>
      </w:pPr>
    </w:p>
    <w:p w14:paraId="4F6AA485" w14:textId="77777777" w:rsidR="007D5795" w:rsidRDefault="007D5795" w:rsidP="007D5795">
      <w:pPr>
        <w:pStyle w:val="TextoNormalNegritaCursivandice"/>
        <w:keepNext/>
      </w:pPr>
      <w:r>
        <w:t>Convención sobre los derechos del niño, adoptada por la Asamblea General de Naciones Unidas el 20 de noviembre de 1989. Ratificada por Instrumento de 30 de noviembre de 1990</w:t>
      </w:r>
    </w:p>
    <w:p w14:paraId="448DA326" w14:textId="5C6785FD" w:rsidR="007D5795" w:rsidRDefault="007D5795" w:rsidP="007D5795">
      <w:pPr>
        <w:pStyle w:val="SangriaFrancesaArticulo"/>
      </w:pPr>
      <w:r w:rsidRPr="007D5795">
        <w:rPr>
          <w:rStyle w:val="TextoNormalNegritaCaracter"/>
        </w:rPr>
        <w:t>Artículo 2.</w:t>
      </w:r>
      <w:r w:rsidRPr="007D5795">
        <w:rPr>
          <w:rStyle w:val="TextoNormalCaracter"/>
        </w:rPr>
        <w:t>-</w:t>
      </w:r>
      <w:r>
        <w:t xml:space="preserve"> Sentencia </w:t>
      </w:r>
      <w:hyperlink w:anchor="SENTENCIA_2024_140" w:history="1">
        <w:r w:rsidRPr="007D5795">
          <w:rPr>
            <w:rStyle w:val="TextoNormalCaracter"/>
          </w:rPr>
          <w:t>140/2024</w:t>
        </w:r>
      </w:hyperlink>
      <w:r>
        <w:t>, f. 5.</w:t>
      </w:r>
    </w:p>
    <w:p w14:paraId="1A8C9B47" w14:textId="69016CBE" w:rsidR="007D5795" w:rsidRDefault="007D5795" w:rsidP="007D5795">
      <w:pPr>
        <w:pStyle w:val="SangriaFrancesaArticulo"/>
      </w:pPr>
      <w:r w:rsidRPr="007D5795">
        <w:rPr>
          <w:rStyle w:val="TextoNormalNegritaCaracter"/>
        </w:rPr>
        <w:t>Artículo 3.1.</w:t>
      </w:r>
      <w:r w:rsidRPr="007D5795">
        <w:rPr>
          <w:rStyle w:val="TextoNormalCaracter"/>
        </w:rPr>
        <w:t>-</w:t>
      </w:r>
      <w:r>
        <w:t xml:space="preserve"> Sentencias </w:t>
      </w:r>
      <w:hyperlink w:anchor="SENTENCIA_2024_124" w:history="1">
        <w:r w:rsidRPr="007D5795">
          <w:rPr>
            <w:rStyle w:val="TextoNormalCaracter"/>
          </w:rPr>
          <w:t>124/2024</w:t>
        </w:r>
      </w:hyperlink>
      <w:r>
        <w:t xml:space="preserve">, f. 2; </w:t>
      </w:r>
      <w:hyperlink w:anchor="SENTENCIA_2024_126" w:history="1">
        <w:r w:rsidRPr="007D5795">
          <w:rPr>
            <w:rStyle w:val="TextoNormalCaracter"/>
          </w:rPr>
          <w:t>126/2024</w:t>
        </w:r>
      </w:hyperlink>
      <w:r>
        <w:t xml:space="preserve">, f. 2; </w:t>
      </w:r>
      <w:hyperlink w:anchor="SENTENCIA_2024_140" w:history="1">
        <w:r w:rsidRPr="007D5795">
          <w:rPr>
            <w:rStyle w:val="TextoNormalCaracter"/>
          </w:rPr>
          <w:t>140/2024</w:t>
        </w:r>
      </w:hyperlink>
      <w:r>
        <w:t>, ff. 1, 2, 5.</w:t>
      </w:r>
    </w:p>
    <w:p w14:paraId="3C580C29" w14:textId="18D766BA" w:rsidR="007D5795" w:rsidRDefault="007D5795" w:rsidP="007D5795">
      <w:pPr>
        <w:pStyle w:val="SangriaFrancesaArticulo"/>
      </w:pPr>
    </w:p>
    <w:p w14:paraId="7BDEB2D7" w14:textId="77777777" w:rsidR="007D5795" w:rsidRDefault="007D5795" w:rsidP="007D5795">
      <w:pPr>
        <w:pStyle w:val="TextoNormalNegritaCursivandice"/>
        <w:keepNext/>
      </w:pPr>
      <w:r>
        <w:t>Recomendación general núm. 19 (1992) del Comité para la eliminación de la discriminación contra la mujer de Naciones Unidas, de 20 de enero de 1992, sobre la violencia contra la mujer</w:t>
      </w:r>
    </w:p>
    <w:p w14:paraId="0870F662" w14:textId="2D64031E" w:rsidR="007D5795" w:rsidRDefault="007D5795" w:rsidP="007D5795">
      <w:pPr>
        <w:pStyle w:val="SangriaFrancesaArticulo"/>
      </w:pPr>
      <w:r w:rsidRPr="007D5795">
        <w:rPr>
          <w:rStyle w:val="TextoNormalNegritaCaracter"/>
        </w:rPr>
        <w:t>Antecedentes.</w:t>
      </w:r>
      <w:r w:rsidRPr="007D5795">
        <w:rPr>
          <w:rStyle w:val="TextoNormalCaracter"/>
        </w:rPr>
        <w:t>-</w:t>
      </w:r>
      <w:r>
        <w:t xml:space="preserve"> Sentencia </w:t>
      </w:r>
      <w:hyperlink w:anchor="SENTENCIA_2024_115" w:history="1">
        <w:r w:rsidRPr="007D5795">
          <w:rPr>
            <w:rStyle w:val="TextoNormalCaracter"/>
          </w:rPr>
          <w:t>115/2024</w:t>
        </w:r>
      </w:hyperlink>
      <w:r>
        <w:t>, f. 3.</w:t>
      </w:r>
    </w:p>
    <w:p w14:paraId="7538098D" w14:textId="7D09F747" w:rsidR="007D5795" w:rsidRDefault="007D5795" w:rsidP="007D5795">
      <w:pPr>
        <w:pStyle w:val="SangriaFrancesaArticulo"/>
      </w:pPr>
      <w:r w:rsidRPr="007D5795">
        <w:rPr>
          <w:rStyle w:val="TextoNormalNegritaCaracter"/>
        </w:rPr>
        <w:t>Observaciones generales.</w:t>
      </w:r>
      <w:r w:rsidRPr="007D5795">
        <w:rPr>
          <w:rStyle w:val="TextoNormalCaracter"/>
        </w:rPr>
        <w:t>-</w:t>
      </w:r>
      <w:r>
        <w:t xml:space="preserve"> Sentencia </w:t>
      </w:r>
      <w:hyperlink w:anchor="SENTENCIA_2024_115" w:history="1">
        <w:r w:rsidRPr="007D5795">
          <w:rPr>
            <w:rStyle w:val="TextoNormalCaracter"/>
          </w:rPr>
          <w:t>115/2024</w:t>
        </w:r>
      </w:hyperlink>
      <w:r>
        <w:t>, f. 3.</w:t>
      </w:r>
    </w:p>
    <w:p w14:paraId="355B4FD9" w14:textId="0B130F21" w:rsidR="007D5795" w:rsidRDefault="007D5795" w:rsidP="007D5795">
      <w:pPr>
        <w:pStyle w:val="SangriaFrancesaArticulo"/>
      </w:pPr>
    </w:p>
    <w:p w14:paraId="3D6E84C1" w14:textId="77777777" w:rsidR="007D5795" w:rsidRDefault="007D5795" w:rsidP="007D5795">
      <w:pPr>
        <w:pStyle w:val="TextoNormalNegritaCursivandice"/>
        <w:keepNext/>
      </w:pPr>
      <w:r>
        <w:t>Convención sobre los derechos de las personas con discapacidad, hecho en Nueva York el 13 de diciembre de 2006. Ratificada por Instrumento de 23 de noviembre de 2007</w:t>
      </w:r>
    </w:p>
    <w:p w14:paraId="499FEED7" w14:textId="2A46356E" w:rsidR="007D5795" w:rsidRDefault="007D5795" w:rsidP="007D5795">
      <w:pPr>
        <w:pStyle w:val="SangriaFrancesaArticulo"/>
      </w:pPr>
      <w:r w:rsidRPr="007D5795">
        <w:rPr>
          <w:rStyle w:val="TextoNormalNegritaCaracter"/>
        </w:rPr>
        <w:t>Artículo 13.</w:t>
      </w:r>
      <w:r w:rsidRPr="007D5795">
        <w:rPr>
          <w:rStyle w:val="TextoNormalCaracter"/>
        </w:rPr>
        <w:t>-</w:t>
      </w:r>
      <w:r>
        <w:t xml:space="preserve"> Auto </w:t>
      </w:r>
      <w:hyperlink w:anchor="AUTO_2024_69" w:history="1">
        <w:r w:rsidRPr="007D5795">
          <w:rPr>
            <w:rStyle w:val="TextoNormalCaracter"/>
          </w:rPr>
          <w:t>69/2024</w:t>
        </w:r>
      </w:hyperlink>
      <w:r>
        <w:t>, f. 2.</w:t>
      </w:r>
    </w:p>
    <w:p w14:paraId="17703043" w14:textId="62D256A5" w:rsidR="007D5795" w:rsidRDefault="007D5795" w:rsidP="007D5795">
      <w:pPr>
        <w:pStyle w:val="SangriaFrancesaArticulo"/>
      </w:pPr>
      <w:r w:rsidRPr="007D5795">
        <w:rPr>
          <w:rStyle w:val="TextoNormalNegritaCaracter"/>
        </w:rPr>
        <w:t>Artículo 13.1.</w:t>
      </w:r>
      <w:r w:rsidRPr="007D5795">
        <w:rPr>
          <w:rStyle w:val="TextoNormalCaracter"/>
        </w:rPr>
        <w:t>-</w:t>
      </w:r>
      <w:r>
        <w:t xml:space="preserve"> Auto </w:t>
      </w:r>
      <w:hyperlink w:anchor="AUTO_2024_69" w:history="1">
        <w:r w:rsidRPr="007D5795">
          <w:rPr>
            <w:rStyle w:val="TextoNormalCaracter"/>
          </w:rPr>
          <w:t>69/2024</w:t>
        </w:r>
      </w:hyperlink>
      <w:r>
        <w:t>, f. 2.</w:t>
      </w:r>
    </w:p>
    <w:p w14:paraId="5CDAF45F" w14:textId="56DDD639" w:rsidR="007D5795" w:rsidRDefault="007D5795" w:rsidP="007D5795">
      <w:pPr>
        <w:pStyle w:val="SangriaFrancesaArticulo"/>
      </w:pPr>
    </w:p>
    <w:p w14:paraId="05319C45" w14:textId="77777777" w:rsidR="007D5795" w:rsidRDefault="007D5795" w:rsidP="007D5795">
      <w:pPr>
        <w:pStyle w:val="TextoNormalNegritaCursivandice"/>
        <w:keepNext/>
      </w:pPr>
      <w:r>
        <w:t>Resolución de la Asamblea General de Naciones Unidas 64/196, de 21 de diciembre de 2009. Armonía con la naturaleza</w:t>
      </w:r>
    </w:p>
    <w:p w14:paraId="1F5F11C6" w14:textId="09494D1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VP.</w:t>
      </w:r>
    </w:p>
    <w:p w14:paraId="76D97BA1" w14:textId="1068CBCC" w:rsidR="007D5795" w:rsidRDefault="007D5795" w:rsidP="007D5795">
      <w:pPr>
        <w:pStyle w:val="SangriaFrancesaArticulo"/>
      </w:pPr>
    </w:p>
    <w:p w14:paraId="773D02BF" w14:textId="77777777" w:rsidR="007D5795" w:rsidRDefault="007D5795" w:rsidP="007D5795">
      <w:pPr>
        <w:pStyle w:val="TextoNormalNegritaCursivandice"/>
        <w:keepNext/>
      </w:pPr>
      <w:r>
        <w:t>Resolución de la Asamblea General de Naciones Unidas 66/288, de 27 de julio de 2012. El futuro que queremos</w:t>
      </w:r>
    </w:p>
    <w:p w14:paraId="0B5865C2" w14:textId="4BD052D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VP.</w:t>
      </w:r>
    </w:p>
    <w:p w14:paraId="4728519D" w14:textId="1243E1CB" w:rsidR="007D5795" w:rsidRDefault="007D5795" w:rsidP="007D5795">
      <w:pPr>
        <w:pStyle w:val="SangriaFrancesaArticulo"/>
      </w:pPr>
      <w:r w:rsidRPr="007D5795">
        <w:rPr>
          <w:rStyle w:val="TextoNormalNegritaCaracter"/>
        </w:rPr>
        <w:t>§ 39.</w:t>
      </w:r>
      <w:r w:rsidRPr="007D5795">
        <w:rPr>
          <w:rStyle w:val="TextoNormalCaracter"/>
        </w:rPr>
        <w:t>-</w:t>
      </w:r>
      <w:r>
        <w:t xml:space="preserve"> Sentencia </w:t>
      </w:r>
      <w:hyperlink w:anchor="SENTENCIA_2024_142" w:history="1">
        <w:r w:rsidRPr="007D5795">
          <w:rPr>
            <w:rStyle w:val="TextoNormalCaracter"/>
          </w:rPr>
          <w:t>142/2024</w:t>
        </w:r>
      </w:hyperlink>
      <w:r>
        <w:t>, VP.</w:t>
      </w:r>
    </w:p>
    <w:p w14:paraId="08D30CA5" w14:textId="1A9E2ABD" w:rsidR="007D5795" w:rsidRDefault="007D5795" w:rsidP="007D5795">
      <w:pPr>
        <w:pStyle w:val="SangriaFrancesaArticulo"/>
      </w:pPr>
      <w:r w:rsidRPr="007D5795">
        <w:rPr>
          <w:rStyle w:val="TextoNormalNegritaCaracter"/>
        </w:rPr>
        <w:t>§ 40.</w:t>
      </w:r>
      <w:r w:rsidRPr="007D5795">
        <w:rPr>
          <w:rStyle w:val="TextoNormalCaracter"/>
        </w:rPr>
        <w:t>-</w:t>
      </w:r>
      <w:r>
        <w:t xml:space="preserve"> Sentencia </w:t>
      </w:r>
      <w:hyperlink w:anchor="SENTENCIA_2024_142" w:history="1">
        <w:r w:rsidRPr="007D5795">
          <w:rPr>
            <w:rStyle w:val="TextoNormalCaracter"/>
          </w:rPr>
          <w:t>142/2024</w:t>
        </w:r>
      </w:hyperlink>
      <w:r>
        <w:t>, VP.</w:t>
      </w:r>
    </w:p>
    <w:p w14:paraId="32A5B52F" w14:textId="1A249774" w:rsidR="007D5795" w:rsidRDefault="007D5795" w:rsidP="007D5795">
      <w:pPr>
        <w:pStyle w:val="SangriaFrancesaArticulo"/>
      </w:pPr>
    </w:p>
    <w:p w14:paraId="59EA16C8" w14:textId="77777777" w:rsidR="007D5795" w:rsidRDefault="007D5795" w:rsidP="007D5795">
      <w:pPr>
        <w:pStyle w:val="TextoNormalNegritaCursivandice"/>
        <w:keepNext/>
      </w:pPr>
      <w:r>
        <w:t>Informe de 7 de agosto de 2013, presentado por el relator especial sobre la libertad de religión o de creencias de la Asamblea General de Naciones Unidas (A/68/290)</w:t>
      </w:r>
    </w:p>
    <w:p w14:paraId="56ABB928" w14:textId="4BF6BD9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2" w:history="1">
        <w:r w:rsidRPr="007D5795">
          <w:rPr>
            <w:rStyle w:val="TextoNormalCaracter"/>
          </w:rPr>
          <w:t>132/2024</w:t>
        </w:r>
      </w:hyperlink>
      <w:r>
        <w:t>, VP II.</w:t>
      </w:r>
    </w:p>
    <w:p w14:paraId="2BD4B370" w14:textId="19F492AD" w:rsidR="007D5795" w:rsidRDefault="007D5795" w:rsidP="007D5795">
      <w:pPr>
        <w:pStyle w:val="SangriaFrancesaArticulo"/>
      </w:pPr>
    </w:p>
    <w:p w14:paraId="5542983E" w14:textId="77777777" w:rsidR="007D5795" w:rsidRDefault="007D5795" w:rsidP="007D5795">
      <w:pPr>
        <w:pStyle w:val="TextoNormalNegritaCursivandice"/>
        <w:keepNext/>
      </w:pPr>
      <w:r>
        <w:t>Dictamen de la Convención sobre la eliminación de todas las formas de discriminación contra la mujer de Naciones Unidas, de 16 de julio de 2014 (A.G.C. c. España, comunicación núm. 47/2012, de 19 de septiembre de 2012, CEDAW/C/58/D/47/2012)</w:t>
      </w:r>
    </w:p>
    <w:p w14:paraId="5B4FA0AD" w14:textId="43ADB49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5" w:history="1">
        <w:r w:rsidRPr="007D5795">
          <w:rPr>
            <w:rStyle w:val="TextoNormalCaracter"/>
          </w:rPr>
          <w:t>115/2024</w:t>
        </w:r>
      </w:hyperlink>
      <w:r>
        <w:t>, f. 3, VP II.</w:t>
      </w:r>
    </w:p>
    <w:p w14:paraId="3EF68DD8" w14:textId="13AC7D4D" w:rsidR="007D5795" w:rsidRDefault="007D5795" w:rsidP="007D5795">
      <w:pPr>
        <w:pStyle w:val="TextoNormal"/>
      </w:pPr>
    </w:p>
    <w:p w14:paraId="6733D26E" w14:textId="77777777" w:rsidR="007D5795" w:rsidRDefault="007D5795" w:rsidP="007D5795">
      <w:pPr>
        <w:pStyle w:val="SangriaFrancesaArticulo"/>
      </w:pPr>
      <w:bookmarkStart w:id="181" w:name="INDICE22871"/>
    </w:p>
    <w:bookmarkEnd w:id="181"/>
    <w:p w14:paraId="688E024B" w14:textId="77777777" w:rsidR="007D5795" w:rsidRDefault="007D5795" w:rsidP="007D5795">
      <w:pPr>
        <w:pStyle w:val="TextoIndiceNivel2"/>
        <w:suppressAutoHyphens/>
      </w:pPr>
      <w:r>
        <w:t>M) Unión Europea</w:t>
      </w:r>
    </w:p>
    <w:p w14:paraId="1443AB33" w14:textId="030B6E2A" w:rsidR="007D5795" w:rsidRDefault="007D5795" w:rsidP="007D5795">
      <w:pPr>
        <w:pStyle w:val="TextoIndiceNivel2"/>
      </w:pPr>
    </w:p>
    <w:p w14:paraId="26C2D0D8" w14:textId="77777777" w:rsidR="007D5795" w:rsidRDefault="007D5795" w:rsidP="007D5795">
      <w:pPr>
        <w:pStyle w:val="TextoNormalNegritaCursivandice"/>
        <w:keepNext/>
      </w:pPr>
      <w:r>
        <w:t>Tratado constitutivo de la Comunidad Europea de la Energía Atómica, firmado en Roma el 25 de marzo de 1957</w:t>
      </w:r>
    </w:p>
    <w:p w14:paraId="2080A1FE" w14:textId="498BD01F" w:rsidR="007D5795" w:rsidRDefault="007D5795" w:rsidP="007D5795">
      <w:pPr>
        <w:pStyle w:val="SangriaFrancesaArticulo"/>
      </w:pPr>
      <w:r w:rsidRPr="007D5795">
        <w:rPr>
          <w:rStyle w:val="TextoNormalNegritaCaracter"/>
        </w:rPr>
        <w:t>Artículo 3. g)</w:t>
      </w:r>
      <w:r>
        <w:t xml:space="preserve"> (versión del Tratado de Maastricht, firmado el 7 de febrero de 1992)</w:t>
      </w:r>
      <w:r w:rsidRPr="007D5795">
        <w:rPr>
          <w:rStyle w:val="TextoNormalNegritaCaracter"/>
        </w:rPr>
        <w:t>.</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0061517E" w14:textId="4CF01878" w:rsidR="007D5795" w:rsidRDefault="007D5795" w:rsidP="007D5795">
      <w:pPr>
        <w:pStyle w:val="SangriaFrancesaArticulo"/>
      </w:pPr>
      <w:r w:rsidRPr="007D5795">
        <w:rPr>
          <w:rStyle w:val="TextoNormalNegritaCaracter"/>
        </w:rPr>
        <w:t>Artículo 3.1 g)</w:t>
      </w:r>
      <w:r>
        <w:t xml:space="preserve"> (versión del Tratado de Amsterdam, firmado el 2 de octubre de 1997)</w:t>
      </w:r>
      <w:r w:rsidRPr="007D5795">
        <w:rPr>
          <w:rStyle w:val="TextoNormalNegritaCaracter"/>
        </w:rPr>
        <w:t>.</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2E2769D0" w14:textId="538B44EB" w:rsidR="007D5795" w:rsidRDefault="007D5795" w:rsidP="007D5795">
      <w:pPr>
        <w:pStyle w:val="SangriaFrancesaArticulo"/>
      </w:pPr>
      <w:r w:rsidRPr="007D5795">
        <w:rPr>
          <w:rStyle w:val="TextoNormalNegritaCaracter"/>
        </w:rPr>
        <w:t>Artículo 81</w:t>
      </w:r>
      <w:r>
        <w:t xml:space="preserve"> (versión del Tratado de Amsterdam, firmado el 2 de octubre de 1997)</w:t>
      </w:r>
      <w:r w:rsidRPr="007D5795">
        <w:rPr>
          <w:rStyle w:val="TextoNormalNegritaCaracter"/>
        </w:rPr>
        <w:t>.</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60C07D90" w14:textId="3C8E025B" w:rsidR="007D5795" w:rsidRDefault="007D5795" w:rsidP="007D5795">
      <w:pPr>
        <w:pStyle w:val="SangriaFrancesaArticulo"/>
      </w:pPr>
      <w:r w:rsidRPr="007D5795">
        <w:rPr>
          <w:rStyle w:val="TextoNormalNegritaCaracter"/>
        </w:rPr>
        <w:t>Artículo 81.1</w:t>
      </w:r>
      <w:r>
        <w:t xml:space="preserve"> (versión del Tratado de Amsterdam, firmado el 2 de octubre de 1997)</w:t>
      </w:r>
      <w:r w:rsidRPr="007D5795">
        <w:rPr>
          <w:rStyle w:val="TextoNormalNegritaCaracter"/>
        </w:rPr>
        <w:t>.</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7155235D" w14:textId="24E14787" w:rsidR="007D5795" w:rsidRDefault="007D5795" w:rsidP="007D5795">
      <w:pPr>
        <w:pStyle w:val="SangriaFrancesaArticulo"/>
      </w:pPr>
      <w:r w:rsidRPr="007D5795">
        <w:rPr>
          <w:rStyle w:val="TextoNormalNegritaCaracter"/>
        </w:rPr>
        <w:t>Artículo 81.3</w:t>
      </w:r>
      <w:r>
        <w:t xml:space="preserve"> (versión del Tratado de Amsterdam, firmado el 2 de octubre de 1997)</w:t>
      </w:r>
      <w:r w:rsidRPr="007D5795">
        <w:rPr>
          <w:rStyle w:val="TextoNormalNegritaCaracter"/>
        </w:rPr>
        <w:t>.</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29E07362" w14:textId="4B651104" w:rsidR="007D5795" w:rsidRDefault="007D5795" w:rsidP="007D5795">
      <w:pPr>
        <w:pStyle w:val="SangriaFrancesaArticulo"/>
      </w:pPr>
      <w:r w:rsidRPr="007D5795">
        <w:rPr>
          <w:rStyle w:val="TextoNormalNegritaCaracter"/>
        </w:rPr>
        <w:t>Artículo 85</w:t>
      </w:r>
      <w:r>
        <w:t xml:space="preserve"> (versión del Tratado de Maastricht, firmado el 7 de febrero de 1992)</w:t>
      </w:r>
      <w:r w:rsidRPr="007D5795">
        <w:rPr>
          <w:rStyle w:val="TextoNormalNegritaCaracter"/>
        </w:rPr>
        <w:t>.</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044750FA" w14:textId="7F36C653" w:rsidR="007D5795" w:rsidRDefault="007D5795" w:rsidP="007D5795">
      <w:pPr>
        <w:pStyle w:val="SangriaFrancesaArticulo"/>
      </w:pPr>
      <w:r w:rsidRPr="007D5795">
        <w:rPr>
          <w:rStyle w:val="TextoNormalNegritaCaracter"/>
        </w:rPr>
        <w:t>Artículo 85.1</w:t>
      </w:r>
      <w:r>
        <w:t xml:space="preserve"> (versión del Tratado de Maastricht, firmado el 7 de febrero de 1992)</w:t>
      </w:r>
      <w:r w:rsidRPr="007D5795">
        <w:rPr>
          <w:rStyle w:val="TextoNormalNegritaCaracter"/>
        </w:rPr>
        <w:t>.</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6D9DC749" w14:textId="58F32E62" w:rsidR="007D5795" w:rsidRDefault="007D5795" w:rsidP="007D5795">
      <w:pPr>
        <w:pStyle w:val="SangriaFrancesaArticulo"/>
      </w:pPr>
    </w:p>
    <w:p w14:paraId="605BA798" w14:textId="77777777" w:rsidR="007D5795" w:rsidRDefault="007D5795" w:rsidP="007D5795">
      <w:pPr>
        <w:pStyle w:val="TextoNormalNegritaCursivandice"/>
        <w:keepNext/>
      </w:pPr>
      <w:r>
        <w:t>Tratado de la Unión Europea —TUE—, hecho en Maastricht el 7 de febrero de 1992</w:t>
      </w:r>
    </w:p>
    <w:p w14:paraId="4D46DAE1" w14:textId="7EDE68D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39" w:history="1">
        <w:r w:rsidRPr="007D5795">
          <w:rPr>
            <w:rStyle w:val="TextoNormalCaracter"/>
          </w:rPr>
          <w:t>139/2024</w:t>
        </w:r>
      </w:hyperlink>
      <w:r>
        <w:t xml:space="preserve">, VP II; </w:t>
      </w:r>
      <w:hyperlink w:anchor="SENTENCIA_2024_146" w:history="1">
        <w:r w:rsidRPr="007D5795">
          <w:rPr>
            <w:rStyle w:val="TextoNormalCaracter"/>
          </w:rPr>
          <w:t>146/2024</w:t>
        </w:r>
      </w:hyperlink>
      <w:r>
        <w:t>, f. 7.</w:t>
      </w:r>
    </w:p>
    <w:p w14:paraId="716F9F97" w14:textId="4996CC8D" w:rsidR="007D5795" w:rsidRDefault="007D5795" w:rsidP="007D5795">
      <w:pPr>
        <w:pStyle w:val="SangriaFrancesaArticulo"/>
      </w:pPr>
      <w:r w:rsidRPr="007D5795">
        <w:rPr>
          <w:rStyle w:val="TextoNormalNegritaCaracter"/>
        </w:rPr>
        <w:t>Artículo 2.</w:t>
      </w:r>
      <w:r w:rsidRPr="007D5795">
        <w:rPr>
          <w:rStyle w:val="TextoNormalCaracter"/>
        </w:rPr>
        <w:t>-</w:t>
      </w:r>
      <w:r>
        <w:t xml:space="preserve"> Sentencia </w:t>
      </w:r>
      <w:hyperlink w:anchor="SENTENCIA_2024_139" w:history="1">
        <w:r w:rsidRPr="007D5795">
          <w:rPr>
            <w:rStyle w:val="TextoNormalCaracter"/>
          </w:rPr>
          <w:t>139/2024</w:t>
        </w:r>
      </w:hyperlink>
      <w:r>
        <w:t>, f. 4, VP II.</w:t>
      </w:r>
    </w:p>
    <w:p w14:paraId="519855D8" w14:textId="215B0D44" w:rsidR="007D5795" w:rsidRDefault="007D5795" w:rsidP="007D5795">
      <w:pPr>
        <w:pStyle w:val="SangriaFrancesaArticulo"/>
      </w:pPr>
      <w:r w:rsidRPr="007D5795">
        <w:rPr>
          <w:rStyle w:val="TextoNormalNegritaCaracter"/>
        </w:rPr>
        <w:t>Artículo 4.</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5D70BB45" w14:textId="6636E322" w:rsidR="007D5795" w:rsidRDefault="007D5795" w:rsidP="007D5795">
      <w:pPr>
        <w:pStyle w:val="SangriaFrancesaArticulo"/>
      </w:pPr>
      <w:r w:rsidRPr="007D5795">
        <w:rPr>
          <w:rStyle w:val="TextoNormalNegritaCaracter"/>
        </w:rPr>
        <w:t>Artículo 5.</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2D4048AD" w14:textId="7EBA6763" w:rsidR="007D5795" w:rsidRDefault="007D5795" w:rsidP="007D5795">
      <w:pPr>
        <w:pStyle w:val="SangriaFrancesaArticulo"/>
      </w:pPr>
      <w:r w:rsidRPr="007D5795">
        <w:rPr>
          <w:rStyle w:val="TextoNormalNegritaCaracter"/>
        </w:rPr>
        <w:t>Artículo 6.</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51653F77" w14:textId="793EE99E" w:rsidR="007D5795" w:rsidRDefault="007D5795" w:rsidP="007D5795">
      <w:pPr>
        <w:pStyle w:val="SangriaFrancesaArticulo"/>
      </w:pPr>
      <w:r w:rsidRPr="007D5795">
        <w:rPr>
          <w:rStyle w:val="TextoNormalNegritaCaracter"/>
        </w:rPr>
        <w:t>Artículo 6.3.</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5EAFED80" w14:textId="0B2BEDC4" w:rsidR="007D5795" w:rsidRDefault="007D5795" w:rsidP="007D5795">
      <w:pPr>
        <w:pStyle w:val="SangriaFrancesaArticulo"/>
      </w:pPr>
      <w:r w:rsidRPr="007D5795">
        <w:rPr>
          <w:rStyle w:val="TextoNormalNegritaCaracter"/>
        </w:rPr>
        <w:t>Articulo 19.</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775A82B7" w14:textId="3C0BAC78" w:rsidR="007D5795" w:rsidRDefault="007D5795" w:rsidP="007D5795">
      <w:pPr>
        <w:pStyle w:val="SangriaFrancesaArticulo"/>
      </w:pPr>
      <w:r w:rsidRPr="007D5795">
        <w:rPr>
          <w:rStyle w:val="TextoNormalNegritaCaracter"/>
        </w:rPr>
        <w:t>Artículo 19.1.</w:t>
      </w:r>
      <w:r w:rsidRPr="007D5795">
        <w:rPr>
          <w:rStyle w:val="TextoNormalCaracter"/>
        </w:rPr>
        <w:t>-</w:t>
      </w:r>
      <w:r>
        <w:t xml:space="preserve"> Sentencia </w:t>
      </w:r>
      <w:hyperlink w:anchor="SENTENCIA_2024_139" w:history="1">
        <w:r w:rsidRPr="007D5795">
          <w:rPr>
            <w:rStyle w:val="TextoNormalCaracter"/>
          </w:rPr>
          <w:t>139/2024</w:t>
        </w:r>
      </w:hyperlink>
      <w:r>
        <w:t>, f. 4.</w:t>
      </w:r>
    </w:p>
    <w:p w14:paraId="5A9BE3DF" w14:textId="4E15268B" w:rsidR="007D5795" w:rsidRDefault="007D5795" w:rsidP="007D5795">
      <w:pPr>
        <w:pStyle w:val="SangriaFrancesaArticulo"/>
      </w:pPr>
      <w:r w:rsidRPr="007D5795">
        <w:rPr>
          <w:rStyle w:val="TextoNormalNegritaCaracter"/>
        </w:rPr>
        <w:t>Artículo 19.1, párrafo 2.</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1FB32565" w14:textId="36AE5FBF" w:rsidR="007D5795" w:rsidRDefault="007D5795" w:rsidP="007D5795">
      <w:pPr>
        <w:pStyle w:val="SangriaFrancesaArticulo"/>
      </w:pPr>
    </w:p>
    <w:p w14:paraId="2FD12911" w14:textId="77777777" w:rsidR="007D5795" w:rsidRDefault="007D5795" w:rsidP="007D5795">
      <w:pPr>
        <w:pStyle w:val="TextoNormalNegritaCursivandice"/>
        <w:keepNext/>
      </w:pPr>
      <w:r>
        <w:t>Directiva 92/85/CEE del Consejo, de 19 de octubre de 1992. Aplicación de medidas para promover la mejora de la seguridad y de la salud en el trabajo de la trabajadora embarazada, que haya dado a luz o en período de lactancia (décima Directiva específica con arreglo al apartado 1 del artículo 16 de la Directiva 89/391/CEE)</w:t>
      </w:r>
    </w:p>
    <w:p w14:paraId="1467E53E" w14:textId="0299D140" w:rsidR="007D5795" w:rsidRDefault="007D5795" w:rsidP="007D5795">
      <w:pPr>
        <w:pStyle w:val="SangriaFrancesaArticulo"/>
      </w:pPr>
      <w:r w:rsidRPr="007D5795">
        <w:rPr>
          <w:rStyle w:val="TextoNormalNegritaCaracter"/>
        </w:rPr>
        <w:t>Artículo 8.</w:t>
      </w:r>
      <w:r w:rsidRPr="007D5795">
        <w:rPr>
          <w:rStyle w:val="TextoNormalCaracter"/>
        </w:rPr>
        <w:t>-</w:t>
      </w:r>
      <w:r>
        <w:t xml:space="preserve"> Sentencia </w:t>
      </w:r>
      <w:hyperlink w:anchor="SENTENCIA_2024_140" w:history="1">
        <w:r w:rsidRPr="007D5795">
          <w:rPr>
            <w:rStyle w:val="TextoNormalCaracter"/>
          </w:rPr>
          <w:t>140/2024</w:t>
        </w:r>
      </w:hyperlink>
      <w:r>
        <w:t>, f. 4.</w:t>
      </w:r>
    </w:p>
    <w:p w14:paraId="42E0B150" w14:textId="40FF1225" w:rsidR="007D5795" w:rsidRDefault="007D5795" w:rsidP="007D5795">
      <w:pPr>
        <w:pStyle w:val="SangriaFrancesaArticulo"/>
      </w:pPr>
    </w:p>
    <w:p w14:paraId="2D2E3EBF" w14:textId="77777777" w:rsidR="007D5795" w:rsidRDefault="007D5795" w:rsidP="007D5795">
      <w:pPr>
        <w:pStyle w:val="TextoNormalNegritaCursivandice"/>
        <w:keepNext/>
      </w:pPr>
      <w:r>
        <w:t>Directiva 93/13/CEE del Consejo, de 5 de abril de 1993, sobre las cláusulas abusivas en los contratos celebrados con consumidores</w:t>
      </w:r>
    </w:p>
    <w:p w14:paraId="1D597797" w14:textId="5A12B1C1" w:rsidR="007D5795" w:rsidRDefault="007D5795" w:rsidP="007D5795">
      <w:pPr>
        <w:pStyle w:val="SangriaFrancesaArticulo"/>
      </w:pPr>
      <w:r w:rsidRPr="007D5795">
        <w:rPr>
          <w:rStyle w:val="TextoNormalNegritaCaracter"/>
        </w:rPr>
        <w:t>Artículo 6.1.</w:t>
      </w:r>
      <w:r w:rsidRPr="007D5795">
        <w:rPr>
          <w:rStyle w:val="TextoNormalCaracter"/>
        </w:rPr>
        <w:t>-</w:t>
      </w:r>
      <w:r>
        <w:t xml:space="preserve"> Auto </w:t>
      </w:r>
      <w:hyperlink w:anchor="AUTO_2024_92" w:history="1">
        <w:r w:rsidRPr="007D5795">
          <w:rPr>
            <w:rStyle w:val="TextoNormalCaracter"/>
          </w:rPr>
          <w:t>92/2024</w:t>
        </w:r>
      </w:hyperlink>
      <w:r>
        <w:t>, f. 2.</w:t>
      </w:r>
    </w:p>
    <w:p w14:paraId="6E778B78" w14:textId="1A55864C" w:rsidR="007D5795" w:rsidRDefault="007D5795" w:rsidP="007D5795">
      <w:pPr>
        <w:pStyle w:val="SangriaFrancesaArticulo"/>
      </w:pPr>
      <w:r w:rsidRPr="007D5795">
        <w:rPr>
          <w:rStyle w:val="TextoNormalNegritaCaracter"/>
        </w:rPr>
        <w:t>Artículo 7.1.</w:t>
      </w:r>
      <w:r w:rsidRPr="007D5795">
        <w:rPr>
          <w:rStyle w:val="TextoNormalCaracter"/>
        </w:rPr>
        <w:t>-</w:t>
      </w:r>
      <w:r>
        <w:t xml:space="preserve"> Auto </w:t>
      </w:r>
      <w:hyperlink w:anchor="AUTO_2024_92" w:history="1">
        <w:r w:rsidRPr="007D5795">
          <w:rPr>
            <w:rStyle w:val="TextoNormalCaracter"/>
          </w:rPr>
          <w:t>92/2024</w:t>
        </w:r>
      </w:hyperlink>
      <w:r>
        <w:t>, f. 2.</w:t>
      </w:r>
    </w:p>
    <w:p w14:paraId="4573B895" w14:textId="037D06B9" w:rsidR="007D5795" w:rsidRDefault="007D5795" w:rsidP="007D5795">
      <w:pPr>
        <w:pStyle w:val="SangriaFrancesaArticulo"/>
      </w:pPr>
    </w:p>
    <w:p w14:paraId="1BCFBB2E" w14:textId="77777777" w:rsidR="007D5795" w:rsidRDefault="007D5795" w:rsidP="007D5795">
      <w:pPr>
        <w:pStyle w:val="TextoNormalNegritaCursivandice"/>
        <w:keepNext/>
      </w:pPr>
      <w:r>
        <w:t>Tratado de Amsterdam, de 22 de octubre de 1997. Modificación del Tratado de la Unión Europea, los Tratados constitutivos de las Comunidades Europeas y determinados actos conexos</w:t>
      </w:r>
    </w:p>
    <w:p w14:paraId="428CAA28" w14:textId="1E7E0B1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160CDE85" w14:textId="06C15954" w:rsidR="007D5795" w:rsidRDefault="007D5795" w:rsidP="007D5795">
      <w:pPr>
        <w:pStyle w:val="SangriaFrancesaArticulo"/>
      </w:pPr>
    </w:p>
    <w:p w14:paraId="5224F342" w14:textId="77777777" w:rsidR="007D5795" w:rsidRDefault="007D5795" w:rsidP="007D5795">
      <w:pPr>
        <w:pStyle w:val="TextoNormalNegritaCursivandice"/>
        <w:keepNext/>
      </w:pPr>
      <w:r>
        <w:t>Directiva 2000/31/CE del Parlamento Europeo y del Consejo, de 8 de junio de 2000, relativa a determinados aspectos jurídicos de los servicios de la sociedad de la información, en particular el comercio electrónico en el mercado interior (Directiva sobre el comercio electrónico)</w:t>
      </w:r>
    </w:p>
    <w:p w14:paraId="2C708364" w14:textId="5838DCB0" w:rsidR="007D5795" w:rsidRDefault="007D5795" w:rsidP="007D5795">
      <w:pPr>
        <w:pStyle w:val="SangriaFrancesaArticulo"/>
      </w:pPr>
      <w:r w:rsidRPr="007D5795">
        <w:rPr>
          <w:rStyle w:val="TextoNormalNegritaCaracter"/>
        </w:rPr>
        <w:t>Artículo 14.</w:t>
      </w:r>
      <w:r w:rsidRPr="007D5795">
        <w:rPr>
          <w:rStyle w:val="TextoNormalCaracter"/>
        </w:rPr>
        <w:t>-</w:t>
      </w:r>
      <w:r>
        <w:t xml:space="preserve"> Sentencia </w:t>
      </w:r>
      <w:hyperlink w:anchor="SENTENCIA_2024_133" w:history="1">
        <w:r w:rsidRPr="007D5795">
          <w:rPr>
            <w:rStyle w:val="TextoNormalCaracter"/>
          </w:rPr>
          <w:t>133/2024</w:t>
        </w:r>
      </w:hyperlink>
      <w:r>
        <w:t>, f. 5.</w:t>
      </w:r>
    </w:p>
    <w:p w14:paraId="6653D2AE" w14:textId="38C659D1" w:rsidR="007D5795" w:rsidRDefault="007D5795" w:rsidP="007D5795">
      <w:pPr>
        <w:pStyle w:val="SangriaFrancesaArticulo"/>
      </w:pPr>
    </w:p>
    <w:p w14:paraId="6783401D" w14:textId="77777777" w:rsidR="007D5795" w:rsidRDefault="007D5795" w:rsidP="007D5795">
      <w:pPr>
        <w:pStyle w:val="TextoNormalNegritaCursivandice"/>
        <w:keepNext/>
      </w:pPr>
      <w:r>
        <w:t>Directiva 2000/78/CE, del Consejo, de 27 de noviembre, relativa al establecimiento de un marco general para la igualdad de trato en el empleo y la ocupación</w:t>
      </w:r>
    </w:p>
    <w:p w14:paraId="618F6B53" w14:textId="564D66CF" w:rsidR="007D5795" w:rsidRDefault="007D5795" w:rsidP="007D5795">
      <w:pPr>
        <w:pStyle w:val="SangriaFrancesaArticulo"/>
      </w:pPr>
      <w:r w:rsidRPr="007D5795">
        <w:rPr>
          <w:rStyle w:val="TextoNormalNegritaCaracter"/>
        </w:rPr>
        <w:t>Artículo 4.</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6A4A3C16" w14:textId="3CF0162C" w:rsidR="007D5795" w:rsidRDefault="007D5795" w:rsidP="007D5795">
      <w:pPr>
        <w:pStyle w:val="SangriaFrancesaArticulo"/>
      </w:pPr>
    </w:p>
    <w:p w14:paraId="22F8B268" w14:textId="77777777" w:rsidR="007D5795" w:rsidRDefault="007D5795" w:rsidP="007D5795">
      <w:pPr>
        <w:pStyle w:val="TextoNormalNegritaCursivandice"/>
        <w:keepNext/>
      </w:pPr>
      <w:r>
        <w:t>Carta de los derechos fundamentales de la Unión Europea, firmada en Niza el 7 de diciembre de 2000</w:t>
      </w:r>
    </w:p>
    <w:p w14:paraId="1FC1278B" w14:textId="0B1E166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4C5B4C68" w14:textId="432DF47A" w:rsidR="007D5795" w:rsidRDefault="007D5795" w:rsidP="007D5795">
      <w:pPr>
        <w:pStyle w:val="SangriaFrancesaArticulo"/>
      </w:pPr>
      <w:r w:rsidRPr="007D5795">
        <w:rPr>
          <w:rStyle w:val="TextoNormalNegritaCaracter"/>
        </w:rPr>
        <w:t>Artículo 10.</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0AE239DF" w14:textId="3E1FAE7A" w:rsidR="007D5795" w:rsidRDefault="007D5795" w:rsidP="007D5795">
      <w:pPr>
        <w:pStyle w:val="SangriaFrancesaArticulo"/>
      </w:pPr>
      <w:r w:rsidRPr="007D5795">
        <w:rPr>
          <w:rStyle w:val="TextoNormalNegritaCaracter"/>
        </w:rPr>
        <w:t>Artículo 12.</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1C495718" w14:textId="64B5C1FD" w:rsidR="007D5795" w:rsidRDefault="007D5795" w:rsidP="007D5795">
      <w:pPr>
        <w:pStyle w:val="SangriaFrancesaArticulo"/>
      </w:pPr>
      <w:r w:rsidRPr="007D5795">
        <w:rPr>
          <w:rStyle w:val="TextoNormalNegritaCaracter"/>
        </w:rPr>
        <w:t>Artículo 24.</w:t>
      </w:r>
      <w:r w:rsidRPr="007D5795">
        <w:rPr>
          <w:rStyle w:val="TextoNormalCaracter"/>
        </w:rPr>
        <w:t>-</w:t>
      </w:r>
      <w:r>
        <w:t xml:space="preserve"> Sentencia </w:t>
      </w:r>
      <w:hyperlink w:anchor="SENTENCIA_2024_140" w:history="1">
        <w:r w:rsidRPr="007D5795">
          <w:rPr>
            <w:rStyle w:val="TextoNormalCaracter"/>
          </w:rPr>
          <w:t>140/2024</w:t>
        </w:r>
      </w:hyperlink>
      <w:r>
        <w:t>, ff. 1, 2, 5.</w:t>
      </w:r>
    </w:p>
    <w:p w14:paraId="4161A515" w14:textId="797B6A17" w:rsidR="007D5795" w:rsidRDefault="007D5795" w:rsidP="007D5795">
      <w:pPr>
        <w:pStyle w:val="SangriaFrancesaArticulo"/>
      </w:pPr>
      <w:r w:rsidRPr="007D5795">
        <w:rPr>
          <w:rStyle w:val="TextoNormalNegritaCaracter"/>
        </w:rPr>
        <w:t>Artículo 33.2.</w:t>
      </w:r>
      <w:r w:rsidRPr="007D5795">
        <w:rPr>
          <w:rStyle w:val="TextoNormalCaracter"/>
        </w:rPr>
        <w:t>-</w:t>
      </w:r>
      <w:r>
        <w:t xml:space="preserve"> Sentencia </w:t>
      </w:r>
      <w:hyperlink w:anchor="SENTENCIA_2024_140" w:history="1">
        <w:r w:rsidRPr="007D5795">
          <w:rPr>
            <w:rStyle w:val="TextoNormalCaracter"/>
          </w:rPr>
          <w:t>140/2024</w:t>
        </w:r>
      </w:hyperlink>
      <w:r>
        <w:t>, f. 4.</w:t>
      </w:r>
    </w:p>
    <w:p w14:paraId="74F110C6" w14:textId="2F64D36D" w:rsidR="007D5795" w:rsidRDefault="007D5795" w:rsidP="007D5795">
      <w:pPr>
        <w:pStyle w:val="SangriaFrancesaArticulo"/>
      </w:pPr>
      <w:r w:rsidRPr="007D5795">
        <w:rPr>
          <w:rStyle w:val="TextoNormalNegritaCaracter"/>
        </w:rPr>
        <w:t>Artículo 37.</w:t>
      </w:r>
      <w:r w:rsidRPr="007D5795">
        <w:rPr>
          <w:rStyle w:val="TextoNormalCaracter"/>
        </w:rPr>
        <w:t>-</w:t>
      </w:r>
      <w:r>
        <w:t xml:space="preserve"> Sentencia </w:t>
      </w:r>
      <w:hyperlink w:anchor="SENTENCIA_2024_142" w:history="1">
        <w:r w:rsidRPr="007D5795">
          <w:rPr>
            <w:rStyle w:val="TextoNormalCaracter"/>
          </w:rPr>
          <w:t>142/2024</w:t>
        </w:r>
      </w:hyperlink>
      <w:r>
        <w:t>, VP.</w:t>
      </w:r>
    </w:p>
    <w:p w14:paraId="7787510A" w14:textId="30BF8F23" w:rsidR="007D5795" w:rsidRDefault="007D5795" w:rsidP="007D5795">
      <w:pPr>
        <w:pStyle w:val="SangriaFrancesaArticulo"/>
      </w:pPr>
      <w:r w:rsidRPr="007D5795">
        <w:rPr>
          <w:rStyle w:val="TextoNormalNegritaCaracter"/>
        </w:rPr>
        <w:t>Artículo 47.</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5626186A" w14:textId="02506328" w:rsidR="007D5795" w:rsidRDefault="007D5795" w:rsidP="007D5795">
      <w:pPr>
        <w:pStyle w:val="SangriaFrancesaArticulo"/>
      </w:pPr>
      <w:r w:rsidRPr="007D5795">
        <w:rPr>
          <w:rStyle w:val="TextoNormalNegritaCaracter"/>
        </w:rPr>
        <w:t>Artículo 48.</w:t>
      </w:r>
      <w:r w:rsidRPr="007D5795">
        <w:rPr>
          <w:rStyle w:val="TextoNormalCaracter"/>
        </w:rPr>
        <w:t>-</w:t>
      </w:r>
      <w:r>
        <w:t xml:space="preserve"> Sentencia </w:t>
      </w:r>
      <w:hyperlink w:anchor="SENTENCIA_2024_152" w:history="1">
        <w:r w:rsidRPr="007D5795">
          <w:rPr>
            <w:rStyle w:val="TextoNormalCaracter"/>
          </w:rPr>
          <w:t>152/2024</w:t>
        </w:r>
      </w:hyperlink>
      <w:r>
        <w:t>, f. 5.</w:t>
      </w:r>
    </w:p>
    <w:p w14:paraId="046A3652" w14:textId="79B2A9B9" w:rsidR="007D5795" w:rsidRDefault="007D5795" w:rsidP="007D5795">
      <w:pPr>
        <w:pStyle w:val="SangriaFrancesaArticulo"/>
      </w:pPr>
    </w:p>
    <w:p w14:paraId="1E0A83FC" w14:textId="77777777" w:rsidR="007D5795" w:rsidRDefault="007D5795" w:rsidP="007D5795">
      <w:pPr>
        <w:pStyle w:val="TextoNormalNegritaCursivandice"/>
        <w:keepNext/>
      </w:pPr>
      <w:r>
        <w:t>Reglamento (CE) 1/2003 del Consejo, de 16 de diciembre de 2002, relativo a la aplicación de las normas sobre competencia previstas en los artículos 81 y 82 del Tratado</w:t>
      </w:r>
    </w:p>
    <w:p w14:paraId="60C06A74" w14:textId="2895A727" w:rsidR="007D5795" w:rsidRDefault="007D5795" w:rsidP="007D5795">
      <w:pPr>
        <w:pStyle w:val="SangriaFrancesaArticulo"/>
      </w:pPr>
      <w:r w:rsidRPr="007D5795">
        <w:rPr>
          <w:rStyle w:val="TextoNormalNegritaCaracter"/>
        </w:rPr>
        <w:t>Artículo 3.2.</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11637E14" w14:textId="30E8743F" w:rsidR="007D5795" w:rsidRDefault="007D5795" w:rsidP="007D5795">
      <w:pPr>
        <w:pStyle w:val="SangriaFrancesaArticulo"/>
      </w:pPr>
    </w:p>
    <w:p w14:paraId="06A7BDBB" w14:textId="77777777" w:rsidR="007D5795" w:rsidRDefault="007D5795" w:rsidP="007D5795">
      <w:pPr>
        <w:pStyle w:val="TextoNormalNegritaCursivandice"/>
        <w:keepNext/>
      </w:pPr>
      <w:r>
        <w:t>Decisión (UE) del Consejo núm. 2006/928, de 13 de diciembre de 2006. Establecimiento de un mecanismo de cooperación y verificación de los avances logrados por Rumanía para cumplir indicadores concretos en materia de reforma judicial y lucha contra la corrupción [notificada con el número C(2006) 6569]</w:t>
      </w:r>
    </w:p>
    <w:p w14:paraId="5AD9765C" w14:textId="5B8A675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4" w:history="1">
        <w:r w:rsidRPr="007D5795">
          <w:rPr>
            <w:rStyle w:val="TextoNormalCaracter"/>
          </w:rPr>
          <w:t>94/2024</w:t>
        </w:r>
      </w:hyperlink>
      <w:r>
        <w:t xml:space="preserve">, VP II; </w:t>
      </w:r>
      <w:hyperlink w:anchor="SENTENCIA_2024_95" w:history="1">
        <w:r w:rsidRPr="007D5795">
          <w:rPr>
            <w:rStyle w:val="TextoNormalCaracter"/>
          </w:rPr>
          <w:t>95/2024</w:t>
        </w:r>
      </w:hyperlink>
      <w:r>
        <w:t xml:space="preserve">, VP II; </w:t>
      </w:r>
      <w:hyperlink w:anchor="SENTENCIA_2024_96" w:history="1">
        <w:r w:rsidRPr="007D5795">
          <w:rPr>
            <w:rStyle w:val="TextoNormalCaracter"/>
          </w:rPr>
          <w:t>96/2024</w:t>
        </w:r>
      </w:hyperlink>
      <w:r>
        <w:t xml:space="preserve">, VP II; </w:t>
      </w:r>
      <w:hyperlink w:anchor="SENTENCIA_2024_97" w:history="1">
        <w:r w:rsidRPr="007D5795">
          <w:rPr>
            <w:rStyle w:val="TextoNormalCaracter"/>
          </w:rPr>
          <w:t>97/2024</w:t>
        </w:r>
      </w:hyperlink>
      <w:r>
        <w:t xml:space="preserve">, VP II; </w:t>
      </w:r>
      <w:hyperlink w:anchor="SENTENCIA_2024_98" w:history="1">
        <w:r w:rsidRPr="007D5795">
          <w:rPr>
            <w:rStyle w:val="TextoNormalCaracter"/>
          </w:rPr>
          <w:t>98/2024</w:t>
        </w:r>
      </w:hyperlink>
      <w:r>
        <w:t xml:space="preserve">, VP  II; </w:t>
      </w:r>
      <w:hyperlink w:anchor="SENTENCIA_2024_99" w:history="1">
        <w:r w:rsidRPr="007D5795">
          <w:rPr>
            <w:rStyle w:val="TextoNormalCaracter"/>
          </w:rPr>
          <w:t>99/2024</w:t>
        </w:r>
      </w:hyperlink>
      <w:r>
        <w:t xml:space="preserve">, VP II;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VP II.</w:t>
      </w:r>
    </w:p>
    <w:p w14:paraId="1552A213" w14:textId="1E205E97" w:rsidR="007D5795" w:rsidRDefault="007D5795" w:rsidP="007D5795">
      <w:pPr>
        <w:pStyle w:val="SangriaFrancesaArticulo"/>
      </w:pPr>
    </w:p>
    <w:p w14:paraId="4328FE76" w14:textId="77777777" w:rsidR="007D5795" w:rsidRDefault="007D5795" w:rsidP="007D5795">
      <w:pPr>
        <w:pStyle w:val="TextoNormalNegritaCursivandice"/>
        <w:keepNext/>
      </w:pPr>
      <w:r>
        <w:t>Tratado de funcionamiento de la Unión Europea —TFUE— hecho en Lisboa, de 13 de diciembre de 2007</w:t>
      </w:r>
    </w:p>
    <w:p w14:paraId="3F7B713B" w14:textId="0DA73377" w:rsidR="007D5795" w:rsidRDefault="007D5795" w:rsidP="007D5795">
      <w:pPr>
        <w:pStyle w:val="SangriaFrancesaArticulo"/>
      </w:pPr>
      <w:r w:rsidRPr="007D5795">
        <w:rPr>
          <w:rStyle w:val="TextoNormalNegritaCaracter"/>
        </w:rPr>
        <w:t>Artículo 3.</w:t>
      </w:r>
      <w:r w:rsidRPr="007D5795">
        <w:rPr>
          <w:rStyle w:val="TextoNormalCaracter"/>
        </w:rPr>
        <w:t>-</w:t>
      </w:r>
      <w:r>
        <w:t xml:space="preserve"> Sentencia </w:t>
      </w:r>
      <w:hyperlink w:anchor="SENTENCIA_2024_142" w:history="1">
        <w:r w:rsidRPr="007D5795">
          <w:rPr>
            <w:rStyle w:val="TextoNormalCaracter"/>
          </w:rPr>
          <w:t>142/2024</w:t>
        </w:r>
      </w:hyperlink>
      <w:r>
        <w:t>, VP.</w:t>
      </w:r>
    </w:p>
    <w:p w14:paraId="258F19D3" w14:textId="58FCA338"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 </w:t>
      </w:r>
      <w:hyperlink w:anchor="SENTENCIA_2024_142" w:history="1">
        <w:r w:rsidRPr="007D5795">
          <w:rPr>
            <w:rStyle w:val="TextoNormalCaracter"/>
          </w:rPr>
          <w:t>142/2024</w:t>
        </w:r>
      </w:hyperlink>
      <w:r>
        <w:t>, VP.</w:t>
      </w:r>
    </w:p>
    <w:p w14:paraId="1D326501" w14:textId="5B828977" w:rsidR="007D5795" w:rsidRDefault="007D5795" w:rsidP="007D5795">
      <w:pPr>
        <w:pStyle w:val="SangriaFrancesaArticulo"/>
      </w:pPr>
      <w:r w:rsidRPr="007D5795">
        <w:rPr>
          <w:rStyle w:val="TextoNormalNegritaCaracter"/>
        </w:rPr>
        <w:t>Artículo 17.</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1D023C82" w14:textId="6C5A0FFF" w:rsidR="007D5795" w:rsidRDefault="007D5795" w:rsidP="007D5795">
      <w:pPr>
        <w:pStyle w:val="SangriaFrancesaArticulo"/>
      </w:pPr>
      <w:r w:rsidRPr="007D5795">
        <w:rPr>
          <w:rStyle w:val="TextoNormalNegritaCaracter"/>
        </w:rPr>
        <w:t>Artículo 101.</w:t>
      </w:r>
      <w:r w:rsidRPr="007D5795">
        <w:rPr>
          <w:rStyle w:val="TextoNormalCaracter"/>
        </w:rPr>
        <w:t>-</w:t>
      </w:r>
      <w:r>
        <w:t xml:space="preserve"> Sentencia </w:t>
      </w:r>
      <w:hyperlink w:anchor="SENTENCIA_2024_146" w:history="1">
        <w:r w:rsidRPr="007D5795">
          <w:rPr>
            <w:rStyle w:val="TextoNormalCaracter"/>
          </w:rPr>
          <w:t>146/2024</w:t>
        </w:r>
      </w:hyperlink>
      <w:r>
        <w:t>, ff. 1, 7.</w:t>
      </w:r>
    </w:p>
    <w:p w14:paraId="691C3441" w14:textId="1D9F90F9" w:rsidR="007D5795" w:rsidRDefault="007D5795" w:rsidP="007D5795">
      <w:pPr>
        <w:pStyle w:val="SangriaFrancesaArticulo"/>
      </w:pPr>
      <w:r w:rsidRPr="007D5795">
        <w:rPr>
          <w:rStyle w:val="TextoNormalNegritaCaracter"/>
        </w:rPr>
        <w:t>Artículo 101.2.</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28068C1A" w14:textId="35790766" w:rsidR="007D5795" w:rsidRDefault="007D5795" w:rsidP="007D5795">
      <w:pPr>
        <w:pStyle w:val="SangriaFrancesaArticulo"/>
      </w:pPr>
      <w:r w:rsidRPr="007D5795">
        <w:rPr>
          <w:rStyle w:val="TextoNormalNegritaCaracter"/>
        </w:rPr>
        <w:t>Artículo 101.3.</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62BD06DC" w14:textId="0092045B" w:rsidR="007D5795" w:rsidRDefault="007D5795" w:rsidP="007D5795">
      <w:pPr>
        <w:pStyle w:val="SangriaFrancesaArticulo"/>
      </w:pPr>
      <w:r w:rsidRPr="007D5795">
        <w:rPr>
          <w:rStyle w:val="TextoNormalNegritaCaracter"/>
        </w:rPr>
        <w:t>Artículo 191.2.</w:t>
      </w:r>
      <w:r w:rsidRPr="007D5795">
        <w:rPr>
          <w:rStyle w:val="TextoNormalCaracter"/>
        </w:rPr>
        <w:t>-</w:t>
      </w:r>
      <w:r>
        <w:t xml:space="preserve"> Sentencia </w:t>
      </w:r>
      <w:hyperlink w:anchor="SENTENCIA_2024_142" w:history="1">
        <w:r w:rsidRPr="007D5795">
          <w:rPr>
            <w:rStyle w:val="TextoNormalCaracter"/>
          </w:rPr>
          <w:t>142/2024</w:t>
        </w:r>
      </w:hyperlink>
      <w:r>
        <w:t>, VP.</w:t>
      </w:r>
    </w:p>
    <w:p w14:paraId="132DF7C1" w14:textId="69C1F754" w:rsidR="007D5795" w:rsidRDefault="007D5795" w:rsidP="007D5795">
      <w:pPr>
        <w:pStyle w:val="SangriaFrancesaArticulo"/>
      </w:pPr>
      <w:r w:rsidRPr="007D5795">
        <w:rPr>
          <w:rStyle w:val="TextoNormalNegritaCaracter"/>
        </w:rPr>
        <w:t>Artículos 191 a 193.</w:t>
      </w:r>
      <w:r w:rsidRPr="007D5795">
        <w:rPr>
          <w:rStyle w:val="TextoNormalCaracter"/>
        </w:rPr>
        <w:t>-</w:t>
      </w:r>
      <w:r>
        <w:t xml:space="preserve"> Sentencia </w:t>
      </w:r>
      <w:hyperlink w:anchor="SENTENCIA_2024_142" w:history="1">
        <w:r w:rsidRPr="007D5795">
          <w:rPr>
            <w:rStyle w:val="TextoNormalCaracter"/>
          </w:rPr>
          <w:t>142/2024</w:t>
        </w:r>
      </w:hyperlink>
      <w:r>
        <w:t>, VP.</w:t>
      </w:r>
    </w:p>
    <w:p w14:paraId="26689F83" w14:textId="2F28C1B5" w:rsidR="007D5795" w:rsidRDefault="007D5795" w:rsidP="007D5795">
      <w:pPr>
        <w:pStyle w:val="SangriaFrancesaArticulo"/>
      </w:pPr>
      <w:r w:rsidRPr="007D5795">
        <w:rPr>
          <w:rStyle w:val="TextoNormalNegritaCaracter"/>
        </w:rPr>
        <w:t>Artículo 267.</w:t>
      </w:r>
      <w:r w:rsidRPr="007D5795">
        <w:rPr>
          <w:rStyle w:val="TextoNormalCaracter"/>
        </w:rPr>
        <w:t>-</w:t>
      </w:r>
      <w:r>
        <w:t xml:space="preserve"> Sentencias </w:t>
      </w:r>
      <w:hyperlink w:anchor="SENTENCIA_2024_139" w:history="1">
        <w:r w:rsidRPr="007D5795">
          <w:rPr>
            <w:rStyle w:val="TextoNormalCaracter"/>
          </w:rPr>
          <w:t>139/2024</w:t>
        </w:r>
      </w:hyperlink>
      <w:r>
        <w:t xml:space="preserve">, f. 4, VP II; </w:t>
      </w:r>
      <w:hyperlink w:anchor="SENTENCIA_2024_152" w:history="1">
        <w:r w:rsidRPr="007D5795">
          <w:rPr>
            <w:rStyle w:val="TextoNormalCaracter"/>
          </w:rPr>
          <w:t>152/2024</w:t>
        </w:r>
      </w:hyperlink>
      <w:r>
        <w:t>, f. 5.</w:t>
      </w:r>
    </w:p>
    <w:p w14:paraId="3B55C9AD" w14:textId="0DB44681" w:rsidR="007D5795" w:rsidRDefault="007D5795" w:rsidP="007D5795">
      <w:pPr>
        <w:pStyle w:val="SangriaIzquierdaArticulo"/>
      </w:pPr>
      <w:r>
        <w:t xml:space="preserve">Auto </w:t>
      </w:r>
      <w:hyperlink w:anchor="AUTO_2024_153" w:history="1">
        <w:r w:rsidRPr="007D5795">
          <w:rPr>
            <w:rStyle w:val="TextoNormalCaracter"/>
          </w:rPr>
          <w:t>153/2024</w:t>
        </w:r>
      </w:hyperlink>
      <w:r>
        <w:t>, f. 4.</w:t>
      </w:r>
    </w:p>
    <w:p w14:paraId="6EAC8D08" w14:textId="4C4FA62A" w:rsidR="007D5795" w:rsidRDefault="007D5795" w:rsidP="007D5795">
      <w:pPr>
        <w:pStyle w:val="SangriaFrancesaArticulo"/>
      </w:pPr>
      <w:r w:rsidRPr="007D5795">
        <w:rPr>
          <w:rStyle w:val="TextoNormalNegritaCaracter"/>
        </w:rPr>
        <w:t>Artículo 267, párrafo tercero.</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3E1DAC66" w14:textId="08DFAFC7" w:rsidR="007D5795" w:rsidRDefault="007D5795" w:rsidP="007D5795">
      <w:pPr>
        <w:pStyle w:val="SangriaFrancesaArticulo"/>
      </w:pPr>
      <w:r w:rsidRPr="007D5795">
        <w:rPr>
          <w:rStyle w:val="TextoNormalNegritaCaracter"/>
        </w:rPr>
        <w:t>Artículo 280.</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5F4A91DD" w14:textId="6C576792" w:rsidR="007D5795" w:rsidRDefault="007D5795" w:rsidP="007D5795">
      <w:pPr>
        <w:pStyle w:val="SangriaFrancesaArticulo"/>
      </w:pPr>
      <w:r w:rsidRPr="007D5795">
        <w:rPr>
          <w:rStyle w:val="TextoNormalNegritaCaracter"/>
        </w:rPr>
        <w:t>Artículo 325.</w:t>
      </w:r>
      <w:r w:rsidRPr="007D5795">
        <w:rPr>
          <w:rStyle w:val="TextoNormalCaracter"/>
        </w:rPr>
        <w:t>-</w:t>
      </w:r>
      <w:r>
        <w:t xml:space="preserve"> Sentencias </w:t>
      </w:r>
      <w:hyperlink w:anchor="SENTENCIA_2024_95" w:history="1">
        <w:r w:rsidRPr="007D5795">
          <w:rPr>
            <w:rStyle w:val="TextoNormalCaracter"/>
          </w:rPr>
          <w:t>95/2024</w:t>
        </w:r>
      </w:hyperlink>
      <w:r>
        <w:t xml:space="preserve">, VP II; </w:t>
      </w:r>
      <w:hyperlink w:anchor="SENTENCIA_2024_97" w:history="1">
        <w:r w:rsidRPr="007D5795">
          <w:rPr>
            <w:rStyle w:val="TextoNormalCaracter"/>
          </w:rPr>
          <w:t>97/2024</w:t>
        </w:r>
      </w:hyperlink>
      <w:r>
        <w:t xml:space="preserve">, VP II; </w:t>
      </w:r>
      <w:hyperlink w:anchor="SENTENCIA_2024_98" w:history="1">
        <w:r w:rsidRPr="007D5795">
          <w:rPr>
            <w:rStyle w:val="TextoNormalCaracter"/>
          </w:rPr>
          <w:t>98/2024</w:t>
        </w:r>
      </w:hyperlink>
      <w:r>
        <w:t xml:space="preserve">, VP II; </w:t>
      </w:r>
      <w:hyperlink w:anchor="SENTENCIA_2024_99" w:history="1">
        <w:r w:rsidRPr="007D5795">
          <w:rPr>
            <w:rStyle w:val="TextoNormalCaracter"/>
          </w:rPr>
          <w:t>99/2024</w:t>
        </w:r>
      </w:hyperlink>
      <w:r>
        <w:t xml:space="preserve">, VP II;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VP II, VP IV.</w:t>
      </w:r>
    </w:p>
    <w:p w14:paraId="54F38CA5" w14:textId="427E1807" w:rsidR="007D5795" w:rsidRDefault="007D5795" w:rsidP="007D5795">
      <w:pPr>
        <w:pStyle w:val="SangriaFrancesaArticulo"/>
      </w:pPr>
      <w:r w:rsidRPr="007D5795">
        <w:rPr>
          <w:rStyle w:val="TextoNormalNegritaCaracter"/>
        </w:rPr>
        <w:t>Artículo 325.1.</w:t>
      </w:r>
      <w:r w:rsidRPr="007D5795">
        <w:rPr>
          <w:rStyle w:val="TextoNormalCaracter"/>
        </w:rPr>
        <w:t>-</w:t>
      </w:r>
      <w:r>
        <w:t xml:space="preserve"> Sentencias </w:t>
      </w:r>
      <w:hyperlink w:anchor="SENTENCIA_2024_94" w:history="1">
        <w:r w:rsidRPr="007D5795">
          <w:rPr>
            <w:rStyle w:val="TextoNormalCaracter"/>
          </w:rPr>
          <w:t>94/2024</w:t>
        </w:r>
      </w:hyperlink>
      <w:r>
        <w:t xml:space="preserve">, VP II, VP IV; </w:t>
      </w:r>
      <w:hyperlink w:anchor="SENTENCIA_2024_95" w:history="1">
        <w:r w:rsidRPr="007D5795">
          <w:rPr>
            <w:rStyle w:val="TextoNormalCaracter"/>
          </w:rPr>
          <w:t>95/2024</w:t>
        </w:r>
      </w:hyperlink>
      <w:r>
        <w:t xml:space="preserve">, VP II, VP III; </w:t>
      </w:r>
      <w:hyperlink w:anchor="SENTENCIA_2024_96" w:history="1">
        <w:r w:rsidRPr="007D5795">
          <w:rPr>
            <w:rStyle w:val="TextoNormalCaracter"/>
          </w:rPr>
          <w:t>96/2024</w:t>
        </w:r>
      </w:hyperlink>
      <w:r>
        <w:t xml:space="preserve">, VP II, VP IV; </w:t>
      </w:r>
      <w:hyperlink w:anchor="SENTENCIA_2024_97" w:history="1">
        <w:r w:rsidRPr="007D5795">
          <w:rPr>
            <w:rStyle w:val="TextoNormalCaracter"/>
          </w:rPr>
          <w:t>97/2024</w:t>
        </w:r>
      </w:hyperlink>
      <w:r>
        <w:t xml:space="preserve">, VP II, VP IV; </w:t>
      </w:r>
      <w:hyperlink w:anchor="SENTENCIA_2024_98" w:history="1">
        <w:r w:rsidRPr="007D5795">
          <w:rPr>
            <w:rStyle w:val="TextoNormalCaracter"/>
          </w:rPr>
          <w:t>98/2024</w:t>
        </w:r>
      </w:hyperlink>
      <w:r>
        <w:t xml:space="preserve">, VP II, VP III; </w:t>
      </w:r>
      <w:hyperlink w:anchor="SENTENCIA_2024_99" w:history="1">
        <w:r w:rsidRPr="007D5795">
          <w:rPr>
            <w:rStyle w:val="TextoNormalCaracter"/>
          </w:rPr>
          <w:t>99/2024</w:t>
        </w:r>
      </w:hyperlink>
      <w:r>
        <w:t xml:space="preserve">, VP II, VP III, VP IV; </w:t>
      </w:r>
      <w:hyperlink w:anchor="SENTENCIA_2024_100" w:history="1">
        <w:r w:rsidRPr="007D5795">
          <w:rPr>
            <w:rStyle w:val="TextoNormalCaracter"/>
          </w:rPr>
          <w:t>100/2024</w:t>
        </w:r>
      </w:hyperlink>
      <w:r>
        <w:t xml:space="preserve">, VP II, VP III;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VP II.</w:t>
      </w:r>
    </w:p>
    <w:p w14:paraId="701A8621" w14:textId="002640F3" w:rsidR="007D5795" w:rsidRDefault="007D5795" w:rsidP="007D5795">
      <w:pPr>
        <w:pStyle w:val="SangriaFrancesaArticulo"/>
      </w:pPr>
      <w:r w:rsidRPr="007D5795">
        <w:rPr>
          <w:rStyle w:val="TextoNormalNegritaCaracter"/>
        </w:rPr>
        <w:t>Artículo 325.2.</w:t>
      </w:r>
      <w:r w:rsidRPr="007D5795">
        <w:rPr>
          <w:rStyle w:val="TextoNormalCaracter"/>
        </w:rPr>
        <w:t>-</w:t>
      </w:r>
      <w:r>
        <w:t xml:space="preserve"> Sentencias </w:t>
      </w:r>
      <w:hyperlink w:anchor="SENTENCIA_2024_94" w:history="1">
        <w:r w:rsidRPr="007D5795">
          <w:rPr>
            <w:rStyle w:val="TextoNormalCaracter"/>
          </w:rPr>
          <w:t>94/2024</w:t>
        </w:r>
      </w:hyperlink>
      <w:r>
        <w:t xml:space="preserve">, VP II; </w:t>
      </w:r>
      <w:hyperlink w:anchor="SENTENCIA_2024_95" w:history="1">
        <w:r w:rsidRPr="007D5795">
          <w:rPr>
            <w:rStyle w:val="TextoNormalCaracter"/>
          </w:rPr>
          <w:t>95/2024</w:t>
        </w:r>
      </w:hyperlink>
      <w:r>
        <w:t xml:space="preserve">, VP II; </w:t>
      </w:r>
      <w:hyperlink w:anchor="SENTENCIA_2024_96" w:history="1">
        <w:r w:rsidRPr="007D5795">
          <w:rPr>
            <w:rStyle w:val="TextoNormalCaracter"/>
          </w:rPr>
          <w:t>96/2024</w:t>
        </w:r>
      </w:hyperlink>
      <w:r>
        <w:t xml:space="preserve">, VP II; </w:t>
      </w:r>
      <w:hyperlink w:anchor="SENTENCIA_2024_97" w:history="1">
        <w:r w:rsidRPr="007D5795">
          <w:rPr>
            <w:rStyle w:val="TextoNormalCaracter"/>
          </w:rPr>
          <w:t>97/2024</w:t>
        </w:r>
      </w:hyperlink>
      <w:r>
        <w:t xml:space="preserve">, VP II; </w:t>
      </w:r>
      <w:hyperlink w:anchor="SENTENCIA_2024_98" w:history="1">
        <w:r w:rsidRPr="007D5795">
          <w:rPr>
            <w:rStyle w:val="TextoNormalCaracter"/>
          </w:rPr>
          <w:t>98/2024</w:t>
        </w:r>
      </w:hyperlink>
      <w:r>
        <w:t xml:space="preserve">, VP II; </w:t>
      </w:r>
      <w:hyperlink w:anchor="SENTENCIA_2024_99" w:history="1">
        <w:r w:rsidRPr="007D5795">
          <w:rPr>
            <w:rStyle w:val="TextoNormalCaracter"/>
          </w:rPr>
          <w:t>99/2024</w:t>
        </w:r>
      </w:hyperlink>
      <w:r>
        <w:t xml:space="preserve">, VP II;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VP II.</w:t>
      </w:r>
    </w:p>
    <w:p w14:paraId="35F35108" w14:textId="5278672A" w:rsidR="007D5795" w:rsidRDefault="007D5795" w:rsidP="007D5795">
      <w:pPr>
        <w:pStyle w:val="SangriaFrancesaArticulo"/>
      </w:pPr>
    </w:p>
    <w:p w14:paraId="46556BDD" w14:textId="77777777" w:rsidR="007D5795" w:rsidRDefault="007D5795" w:rsidP="007D5795">
      <w:pPr>
        <w:pStyle w:val="TextoNormalNegritaCursivandice"/>
        <w:keepNext/>
      </w:pPr>
      <w:r>
        <w:t>Directiva (UE) 2016/343 del Parlamento Europeo y del Consejo, de 9 de marzo de 2016, por la que se refuerzan en el proceso penal determinados aspectos de la presunción de inocencia y el derecho a estar presente en el juicio</w:t>
      </w:r>
    </w:p>
    <w:p w14:paraId="6CB15E65" w14:textId="4D153D3A" w:rsidR="007D5795" w:rsidRDefault="007D5795" w:rsidP="007D5795">
      <w:pPr>
        <w:pStyle w:val="SangriaFrancesaArticulo"/>
      </w:pPr>
      <w:r w:rsidRPr="007D5795">
        <w:rPr>
          <w:rStyle w:val="TextoNormalNegritaCaracter"/>
        </w:rPr>
        <w:t>Artículo 2.</w:t>
      </w:r>
      <w:r w:rsidRPr="007D5795">
        <w:rPr>
          <w:rStyle w:val="TextoNormalCaracter"/>
        </w:rPr>
        <w:t>-</w:t>
      </w:r>
      <w:r>
        <w:t xml:space="preserve"> Sentencia </w:t>
      </w:r>
      <w:hyperlink w:anchor="SENTENCIA_2024_94" w:history="1">
        <w:r w:rsidRPr="007D5795">
          <w:rPr>
            <w:rStyle w:val="TextoNormalCaracter"/>
          </w:rPr>
          <w:t>94/2024</w:t>
        </w:r>
      </w:hyperlink>
      <w:r>
        <w:t>, f. 7.</w:t>
      </w:r>
    </w:p>
    <w:p w14:paraId="49AA6FB4" w14:textId="2885A6E6" w:rsidR="007D5795" w:rsidRDefault="007D5795" w:rsidP="007D5795">
      <w:pPr>
        <w:pStyle w:val="SangriaFrancesaArticulo"/>
      </w:pPr>
      <w:r w:rsidRPr="007D5795">
        <w:rPr>
          <w:rStyle w:val="TextoNormalNegritaCaracter"/>
        </w:rPr>
        <w:t>Artículo 4.</w:t>
      </w:r>
      <w:r w:rsidRPr="007D5795">
        <w:rPr>
          <w:rStyle w:val="TextoNormalCaracter"/>
        </w:rPr>
        <w:t>-</w:t>
      </w:r>
      <w:r>
        <w:t xml:space="preserve"> Sentencia </w:t>
      </w:r>
      <w:hyperlink w:anchor="SENTENCIA_2024_152" w:history="1">
        <w:r w:rsidRPr="007D5795">
          <w:rPr>
            <w:rStyle w:val="TextoNormalCaracter"/>
          </w:rPr>
          <w:t>152/2024</w:t>
        </w:r>
      </w:hyperlink>
      <w:r>
        <w:t>, f. 5.</w:t>
      </w:r>
    </w:p>
    <w:p w14:paraId="6E0CC488" w14:textId="455DB1AF" w:rsidR="007D5795" w:rsidRDefault="007D5795" w:rsidP="007D5795">
      <w:pPr>
        <w:pStyle w:val="SangriaFrancesaArticulo"/>
      </w:pPr>
      <w:r w:rsidRPr="007D5795">
        <w:rPr>
          <w:rStyle w:val="TextoNormalNegritaCaracter"/>
        </w:rPr>
        <w:t>Artículo 4.1.</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98" w:history="1">
        <w:r w:rsidRPr="007D5795">
          <w:rPr>
            <w:rStyle w:val="TextoNormalCaracter"/>
          </w:rPr>
          <w:t>98/2024</w:t>
        </w:r>
      </w:hyperlink>
      <w:r>
        <w:t xml:space="preserve">, f. 7; </w:t>
      </w:r>
      <w:hyperlink w:anchor="SENTENCIA_2024_101" w:history="1">
        <w:r w:rsidRPr="007D5795">
          <w:rPr>
            <w:rStyle w:val="TextoNormalCaracter"/>
          </w:rPr>
          <w:t>101/2024</w:t>
        </w:r>
      </w:hyperlink>
      <w:r>
        <w:t>, f. 5.</w:t>
      </w:r>
    </w:p>
    <w:p w14:paraId="246D3363" w14:textId="15BB8806" w:rsidR="007D5795" w:rsidRDefault="007D5795" w:rsidP="007D5795">
      <w:pPr>
        <w:pStyle w:val="SangriaFrancesaArticulo"/>
      </w:pPr>
      <w:r w:rsidRPr="007D5795">
        <w:rPr>
          <w:rStyle w:val="TextoNormalNegritaCaracter"/>
        </w:rPr>
        <w:t>Artículo 4.3.</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98" w:history="1">
        <w:r w:rsidRPr="007D5795">
          <w:rPr>
            <w:rStyle w:val="TextoNormalCaracter"/>
          </w:rPr>
          <w:t>98/2024</w:t>
        </w:r>
      </w:hyperlink>
      <w:r>
        <w:t xml:space="preserve">, f. 7;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f. 5.</w:t>
      </w:r>
    </w:p>
    <w:p w14:paraId="74E7E4FD" w14:textId="7F48BC50" w:rsidR="007D5795" w:rsidRDefault="007D5795" w:rsidP="007D5795">
      <w:pPr>
        <w:pStyle w:val="SangriaFrancesaArticulo"/>
      </w:pPr>
    </w:p>
    <w:p w14:paraId="289CADC5" w14:textId="77777777" w:rsidR="007D5795" w:rsidRDefault="007D5795" w:rsidP="007D5795">
      <w:pPr>
        <w:pStyle w:val="TextoNormalNegritaCursivandice"/>
        <w:keepNext/>
      </w:pPr>
      <w:r>
        <w:t>Declaración de París, de la Red europea de consejos de justicia, reunidos entre el 7 y el 9 de junio de 2017, sobre justicia resiliente</w:t>
      </w:r>
    </w:p>
    <w:p w14:paraId="1E9A32CC" w14:textId="2FF2D71A"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652F8143" w14:textId="6A7ED40F" w:rsidR="007D5795" w:rsidRDefault="007D5795" w:rsidP="007D5795">
      <w:pPr>
        <w:pStyle w:val="SangriaFrancesaArticulo"/>
      </w:pPr>
    </w:p>
    <w:p w14:paraId="6D5354F8" w14:textId="77777777" w:rsidR="007D5795" w:rsidRDefault="007D5795" w:rsidP="007D5795">
      <w:pPr>
        <w:pStyle w:val="TextoNormalNegritaCursivandice"/>
        <w:keepNext/>
      </w:pPr>
      <w:r>
        <w:t>Recomendación (UE) 2018/103, de la Comisión, de 20 de diciembre de 2017, por lo que respecta al Estado de Derecho en Polonia complementaria a las Recomendaciones (UE) 2016/1374, (UE) 2017/146 y (UE) 2017/1520</w:t>
      </w:r>
    </w:p>
    <w:p w14:paraId="713B98BC" w14:textId="5C6107F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76A523DA" w14:textId="385D6013" w:rsidR="007D5795" w:rsidRDefault="007D5795" w:rsidP="007D5795">
      <w:pPr>
        <w:pStyle w:val="SangriaFrancesaArticulo"/>
      </w:pPr>
    </w:p>
    <w:p w14:paraId="6FF6AB63" w14:textId="77777777" w:rsidR="007D5795" w:rsidRDefault="007D5795" w:rsidP="007D5795">
      <w:pPr>
        <w:pStyle w:val="TextoNormalNegritaCursivandice"/>
        <w:keepNext/>
      </w:pPr>
      <w:r>
        <w:t>Directiva (UE) 2019/1158 del Parlamento Europeo y del Consejo de 20 de junio de 2019 relativa a la conciliación de la vida familiar y la vida profesional de los progenitores y los cuidadores, y por la que se deroga la Directiva 2010/18/UE del Consejo</w:t>
      </w:r>
    </w:p>
    <w:p w14:paraId="2BF8991A" w14:textId="3FF8303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4.</w:t>
      </w:r>
    </w:p>
    <w:p w14:paraId="3E5715B5" w14:textId="3BDADCD7" w:rsidR="007D5795" w:rsidRDefault="007D5795" w:rsidP="007D5795">
      <w:pPr>
        <w:pStyle w:val="SangriaFrancesaArticulo"/>
      </w:pPr>
      <w:r w:rsidRPr="007D5795">
        <w:rPr>
          <w:rStyle w:val="TextoNormalNegritaCaracter"/>
        </w:rPr>
        <w:t>Artículo 3.1 a).</w:t>
      </w:r>
      <w:r w:rsidRPr="007D5795">
        <w:rPr>
          <w:rStyle w:val="TextoNormalCaracter"/>
        </w:rPr>
        <w:t>-</w:t>
      </w:r>
      <w:r>
        <w:t xml:space="preserve"> Sentencia </w:t>
      </w:r>
      <w:hyperlink w:anchor="SENTENCIA_2024_140" w:history="1">
        <w:r w:rsidRPr="007D5795">
          <w:rPr>
            <w:rStyle w:val="TextoNormalCaracter"/>
          </w:rPr>
          <w:t>140/2024</w:t>
        </w:r>
      </w:hyperlink>
      <w:r>
        <w:t>, f. 4.</w:t>
      </w:r>
    </w:p>
    <w:p w14:paraId="5FAFC61E" w14:textId="2322361C" w:rsidR="007D5795" w:rsidRDefault="007D5795" w:rsidP="007D5795">
      <w:pPr>
        <w:pStyle w:val="SangriaFrancesaArticulo"/>
      </w:pPr>
      <w:r w:rsidRPr="007D5795">
        <w:rPr>
          <w:rStyle w:val="TextoNormalNegritaCaracter"/>
        </w:rPr>
        <w:t>Artículo 4.</w:t>
      </w:r>
      <w:r w:rsidRPr="007D5795">
        <w:rPr>
          <w:rStyle w:val="TextoNormalCaracter"/>
        </w:rPr>
        <w:t>-</w:t>
      </w:r>
      <w:r>
        <w:t xml:space="preserve"> Sentencia </w:t>
      </w:r>
      <w:hyperlink w:anchor="SENTENCIA_2024_140" w:history="1">
        <w:r w:rsidRPr="007D5795">
          <w:rPr>
            <w:rStyle w:val="TextoNormalCaracter"/>
          </w:rPr>
          <w:t>140/2024</w:t>
        </w:r>
      </w:hyperlink>
      <w:r>
        <w:t>, f. 4.</w:t>
      </w:r>
    </w:p>
    <w:p w14:paraId="677C0582" w14:textId="081D1EE9" w:rsidR="007D5795" w:rsidRDefault="007D5795" w:rsidP="007D5795">
      <w:pPr>
        <w:pStyle w:val="SangriaFrancesaArticulo"/>
      </w:pPr>
      <w:r w:rsidRPr="007D5795">
        <w:rPr>
          <w:rStyle w:val="TextoNormalNegritaCaracter"/>
        </w:rPr>
        <w:t>Artículo 4.1.</w:t>
      </w:r>
      <w:r w:rsidRPr="007D5795">
        <w:rPr>
          <w:rStyle w:val="TextoNormalCaracter"/>
        </w:rPr>
        <w:t>-</w:t>
      </w:r>
      <w:r>
        <w:t xml:space="preserve"> Sentencia </w:t>
      </w:r>
      <w:hyperlink w:anchor="SENTENCIA_2024_140" w:history="1">
        <w:r w:rsidRPr="007D5795">
          <w:rPr>
            <w:rStyle w:val="TextoNormalCaracter"/>
          </w:rPr>
          <w:t>140/2024</w:t>
        </w:r>
      </w:hyperlink>
      <w:r>
        <w:t>, f. 4.</w:t>
      </w:r>
    </w:p>
    <w:p w14:paraId="4733D5F5" w14:textId="71CEB14D" w:rsidR="007D5795" w:rsidRDefault="007D5795" w:rsidP="007D5795">
      <w:pPr>
        <w:pStyle w:val="SangriaFrancesaArticulo"/>
      </w:pPr>
      <w:r w:rsidRPr="007D5795">
        <w:rPr>
          <w:rStyle w:val="TextoNormalNegritaCaracter"/>
        </w:rPr>
        <w:t>Artículo 5.</w:t>
      </w:r>
      <w:r w:rsidRPr="007D5795">
        <w:rPr>
          <w:rStyle w:val="TextoNormalCaracter"/>
        </w:rPr>
        <w:t>-</w:t>
      </w:r>
      <w:r>
        <w:t xml:space="preserve"> Sentencia </w:t>
      </w:r>
      <w:hyperlink w:anchor="SENTENCIA_2024_140" w:history="1">
        <w:r w:rsidRPr="007D5795">
          <w:rPr>
            <w:rStyle w:val="TextoNormalCaracter"/>
          </w:rPr>
          <w:t>140/2024</w:t>
        </w:r>
      </w:hyperlink>
      <w:r>
        <w:t>, f. 4.</w:t>
      </w:r>
    </w:p>
    <w:p w14:paraId="4BD1B693" w14:textId="4755F20E" w:rsidR="007D5795" w:rsidRDefault="007D5795" w:rsidP="007D5795">
      <w:pPr>
        <w:pStyle w:val="SangriaFrancesaArticulo"/>
      </w:pPr>
    </w:p>
    <w:p w14:paraId="13E4992A" w14:textId="77777777" w:rsidR="007D5795" w:rsidRDefault="007D5795" w:rsidP="007D5795">
      <w:pPr>
        <w:pStyle w:val="TextoNormalNegritaCursivandice"/>
        <w:keepNext/>
      </w:pPr>
      <w:r>
        <w:t>Comunicación de la Comisión 2022/C 62/01, sobre un transporte local de pasajeros bajo demanda que funcione correctamente y sea sostenible (taxis y VTC) (publicada en el Diario Oficial de la Unión Europea el 4 de febrero de 2022)</w:t>
      </w:r>
    </w:p>
    <w:p w14:paraId="5D44072C" w14:textId="49B3D20A" w:rsidR="007D5795" w:rsidRDefault="007D5795" w:rsidP="007D5795">
      <w:pPr>
        <w:pStyle w:val="SangriaFrancesaArticulo"/>
      </w:pPr>
      <w:r w:rsidRPr="007D5795">
        <w:rPr>
          <w:rStyle w:val="TextoNormalNegritaCaracter"/>
        </w:rPr>
        <w:t>Apartado I.</w:t>
      </w:r>
      <w:r w:rsidRPr="007D5795">
        <w:rPr>
          <w:rStyle w:val="TextoNormalCaracter"/>
        </w:rPr>
        <w:t>-</w:t>
      </w:r>
      <w:r>
        <w:t xml:space="preserve"> Sentencia </w:t>
      </w:r>
      <w:hyperlink w:anchor="SENTENCIA_2024_112" w:history="1">
        <w:r w:rsidRPr="007D5795">
          <w:rPr>
            <w:rStyle w:val="TextoNormalCaracter"/>
          </w:rPr>
          <w:t>112/2024</w:t>
        </w:r>
      </w:hyperlink>
      <w:r>
        <w:t>, f. 5.</w:t>
      </w:r>
    </w:p>
    <w:p w14:paraId="4CCFC97F" w14:textId="5A71DD4F" w:rsidR="007D5795" w:rsidRDefault="007D5795" w:rsidP="007D5795">
      <w:pPr>
        <w:pStyle w:val="TextoNormal"/>
      </w:pPr>
    </w:p>
    <w:p w14:paraId="5E6EEE82" w14:textId="77777777" w:rsidR="007D5795" w:rsidRDefault="007D5795" w:rsidP="007D5795">
      <w:pPr>
        <w:pStyle w:val="SangriaFrancesaArticulo"/>
      </w:pPr>
      <w:bookmarkStart w:id="182" w:name="INDICE27994"/>
    </w:p>
    <w:bookmarkEnd w:id="182"/>
    <w:p w14:paraId="66AAA9A3" w14:textId="77777777" w:rsidR="007D5795" w:rsidRDefault="007D5795" w:rsidP="007D5795">
      <w:pPr>
        <w:pStyle w:val="TextoIndiceNivel2"/>
        <w:suppressAutoHyphens/>
      </w:pPr>
      <w:r>
        <w:t>N) Consejo de Europa</w:t>
      </w:r>
    </w:p>
    <w:p w14:paraId="67CB50D4" w14:textId="7DE8CA6D" w:rsidR="007D5795" w:rsidRDefault="007D5795" w:rsidP="007D5795">
      <w:pPr>
        <w:pStyle w:val="TextoIndiceNivel2"/>
      </w:pPr>
    </w:p>
    <w:p w14:paraId="73D133E2" w14:textId="77777777" w:rsidR="007D5795" w:rsidRDefault="007D5795" w:rsidP="007D5795">
      <w:pPr>
        <w:pStyle w:val="TextoNormalNegritaCursivandice"/>
        <w:keepNext/>
      </w:pPr>
      <w:r>
        <w:t>Convenio europeo para la protección de los derechos humanos y de las libertades fundamentales, hecho en Roma el 4 de noviembre de 1950. Ratificado por Instrumento de 26 de septiembre de 1979</w:t>
      </w:r>
    </w:p>
    <w:p w14:paraId="76ED9199" w14:textId="796724C8" w:rsidR="007D5795" w:rsidRDefault="007D5795" w:rsidP="007D5795">
      <w:pPr>
        <w:pStyle w:val="SangriaFrancesaArticulo"/>
        <w:keepNext/>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3BCED2C4" w14:textId="2D1E1B9F" w:rsidR="007D5795" w:rsidRDefault="007D5795" w:rsidP="007D5795">
      <w:pPr>
        <w:pStyle w:val="SangriaIzquierdaArticulo"/>
      </w:pPr>
      <w:r>
        <w:t xml:space="preserve">Auto </w:t>
      </w:r>
      <w:hyperlink w:anchor="AUTO_2024_96" w:history="1">
        <w:r w:rsidRPr="007D5795">
          <w:rPr>
            <w:rStyle w:val="TextoNormalCaracter"/>
          </w:rPr>
          <w:t>96/2024</w:t>
        </w:r>
      </w:hyperlink>
      <w:r>
        <w:t>, f. 2.</w:t>
      </w:r>
    </w:p>
    <w:p w14:paraId="1D473F20" w14:textId="1198D3EA" w:rsidR="007D5795" w:rsidRDefault="007D5795" w:rsidP="007D5795">
      <w:pPr>
        <w:pStyle w:val="SangriaFrancesaArticulo"/>
      </w:pPr>
      <w:r w:rsidRPr="007D5795">
        <w:rPr>
          <w:rStyle w:val="TextoNormalNegritaCaracter"/>
        </w:rPr>
        <w:t>Artículo 2.</w:t>
      </w:r>
      <w:r w:rsidRPr="007D5795">
        <w:rPr>
          <w:rStyle w:val="TextoNormalCaracter"/>
        </w:rPr>
        <w:t>-</w:t>
      </w:r>
      <w:r>
        <w:t xml:space="preserve"> Sentencias </w:t>
      </w:r>
      <w:hyperlink w:anchor="SENTENCIA_2024_142" w:history="1">
        <w:r w:rsidRPr="007D5795">
          <w:rPr>
            <w:rStyle w:val="TextoNormalCaracter"/>
          </w:rPr>
          <w:t>142/2024</w:t>
        </w:r>
      </w:hyperlink>
      <w:r>
        <w:t xml:space="preserve">, f. 3, VP; </w:t>
      </w:r>
      <w:hyperlink w:anchor="SENTENCIA_2024_144" w:history="1">
        <w:r w:rsidRPr="007D5795">
          <w:rPr>
            <w:rStyle w:val="TextoNormalCaracter"/>
          </w:rPr>
          <w:t>144/2024</w:t>
        </w:r>
      </w:hyperlink>
      <w:r>
        <w:t>, f. 4.</w:t>
      </w:r>
    </w:p>
    <w:p w14:paraId="3FA3DE55" w14:textId="4608B43E" w:rsidR="007D5795" w:rsidRDefault="007D5795" w:rsidP="007D5795">
      <w:pPr>
        <w:pStyle w:val="SangriaFrancesaArticulo"/>
      </w:pPr>
      <w:r w:rsidRPr="007D5795">
        <w:rPr>
          <w:rStyle w:val="TextoNormalNegritaCaracter"/>
        </w:rPr>
        <w:t>Artículo 3.</w:t>
      </w:r>
      <w:r w:rsidRPr="007D5795">
        <w:rPr>
          <w:rStyle w:val="TextoNormalCaracter"/>
        </w:rPr>
        <w:t>-</w:t>
      </w:r>
      <w:r>
        <w:t xml:space="preserve"> Sentencia </w:t>
      </w:r>
      <w:hyperlink w:anchor="SENTENCIA_2024_144" w:history="1">
        <w:r w:rsidRPr="007D5795">
          <w:rPr>
            <w:rStyle w:val="TextoNormalCaracter"/>
          </w:rPr>
          <w:t>144/2024</w:t>
        </w:r>
      </w:hyperlink>
      <w:r>
        <w:t>, f. 4.</w:t>
      </w:r>
    </w:p>
    <w:p w14:paraId="26DA5CE7" w14:textId="5F768B26" w:rsidR="007D5795" w:rsidRDefault="007D5795" w:rsidP="007D5795">
      <w:pPr>
        <w:pStyle w:val="SangriaFrancesaArticulo"/>
      </w:pPr>
      <w:r w:rsidRPr="007D5795">
        <w:rPr>
          <w:rStyle w:val="TextoNormalNegritaCaracter"/>
        </w:rPr>
        <w:t>Artículo 6.</w:t>
      </w:r>
      <w:r w:rsidRPr="007D5795">
        <w:rPr>
          <w:rStyle w:val="TextoNormalCaracter"/>
        </w:rPr>
        <w:t>-</w:t>
      </w:r>
      <w:r>
        <w:t xml:space="preserve"> Sentencias </w:t>
      </w:r>
      <w:hyperlink w:anchor="SENTENCIA_2024_96" w:history="1">
        <w:r w:rsidRPr="007D5795">
          <w:rPr>
            <w:rStyle w:val="TextoNormalCaracter"/>
          </w:rPr>
          <w:t>96/2024</w:t>
        </w:r>
      </w:hyperlink>
      <w:r>
        <w:t xml:space="preserve">, ff. 1, 7, VP IV; </w:t>
      </w:r>
      <w:hyperlink w:anchor="SENTENCIA_2024_97" w:history="1">
        <w:r w:rsidRPr="007D5795">
          <w:rPr>
            <w:rStyle w:val="TextoNormalCaracter"/>
          </w:rPr>
          <w:t>97/2024</w:t>
        </w:r>
      </w:hyperlink>
      <w:r>
        <w:t>, VP IV.</w:t>
      </w:r>
    </w:p>
    <w:p w14:paraId="63E44304" w14:textId="00629081" w:rsidR="007D5795" w:rsidRDefault="007D5795" w:rsidP="007D5795">
      <w:pPr>
        <w:pStyle w:val="SangriaIzquierdaArticulo"/>
      </w:pPr>
      <w:r>
        <w:t xml:space="preserve">Auto </w:t>
      </w:r>
      <w:hyperlink w:anchor="AUTO_2024_70" w:history="1">
        <w:r w:rsidRPr="007D5795">
          <w:rPr>
            <w:rStyle w:val="TextoNormalCaracter"/>
          </w:rPr>
          <w:t>70/2024</w:t>
        </w:r>
      </w:hyperlink>
      <w:r>
        <w:t>, f. 2.</w:t>
      </w:r>
    </w:p>
    <w:p w14:paraId="546B4466" w14:textId="27F268B9" w:rsidR="007D5795" w:rsidRDefault="007D5795" w:rsidP="007D5795">
      <w:pPr>
        <w:pStyle w:val="SangriaFrancesaArticulo"/>
      </w:pPr>
      <w:r w:rsidRPr="007D5795">
        <w:rPr>
          <w:rStyle w:val="TextoNormalNegritaCaracter"/>
        </w:rPr>
        <w:t>Artículo 6.1.</w:t>
      </w:r>
      <w:r w:rsidRPr="007D5795">
        <w:rPr>
          <w:rStyle w:val="TextoNormalCaracter"/>
        </w:rPr>
        <w:t>-</w:t>
      </w:r>
      <w:r>
        <w:t xml:space="preserve"> Sentencias </w:t>
      </w:r>
      <w:hyperlink w:anchor="SENTENCIA_2024_96" w:history="1">
        <w:r w:rsidRPr="007D5795">
          <w:rPr>
            <w:rStyle w:val="TextoNormalCaracter"/>
          </w:rPr>
          <w:t>96/2024</w:t>
        </w:r>
      </w:hyperlink>
      <w:r>
        <w:t xml:space="preserve">, ff. 1, 3; </w:t>
      </w:r>
      <w:hyperlink w:anchor="SENTENCIA_2024_97" w:history="1">
        <w:r w:rsidRPr="007D5795">
          <w:rPr>
            <w:rStyle w:val="TextoNormalCaracter"/>
          </w:rPr>
          <w:t>97/2024</w:t>
        </w:r>
      </w:hyperlink>
      <w:r>
        <w:t xml:space="preserve">, f. 1; </w:t>
      </w:r>
      <w:hyperlink w:anchor="SENTENCIA_2024_102" w:history="1">
        <w:r w:rsidRPr="007D5795">
          <w:rPr>
            <w:rStyle w:val="TextoNormalCaracter"/>
          </w:rPr>
          <w:t>102/2024</w:t>
        </w:r>
      </w:hyperlink>
      <w:r>
        <w:t xml:space="preserve">, f. 3; </w:t>
      </w:r>
      <w:hyperlink w:anchor="SENTENCIA_2024_128" w:history="1">
        <w:r w:rsidRPr="007D5795">
          <w:rPr>
            <w:rStyle w:val="TextoNormalCaracter"/>
          </w:rPr>
          <w:t>128/2024</w:t>
        </w:r>
      </w:hyperlink>
      <w:r>
        <w:t xml:space="preserve">, f. 5; </w:t>
      </w:r>
      <w:hyperlink w:anchor="SENTENCIA_2024_144" w:history="1">
        <w:r w:rsidRPr="007D5795">
          <w:rPr>
            <w:rStyle w:val="TextoNormalCaracter"/>
          </w:rPr>
          <w:t>144/2024</w:t>
        </w:r>
      </w:hyperlink>
      <w:r>
        <w:t>, VP II.</w:t>
      </w:r>
    </w:p>
    <w:p w14:paraId="584CB160" w14:textId="10C94C22" w:rsidR="007D5795" w:rsidRDefault="007D5795" w:rsidP="007D5795">
      <w:pPr>
        <w:pStyle w:val="SangriaIzquierdaArticulo"/>
      </w:pPr>
      <w:r>
        <w:t xml:space="preserve">Auto </w:t>
      </w:r>
      <w:hyperlink w:anchor="AUTO_2024_96" w:history="1">
        <w:r w:rsidRPr="007D5795">
          <w:rPr>
            <w:rStyle w:val="TextoNormalCaracter"/>
          </w:rPr>
          <w:t>96/2024</w:t>
        </w:r>
      </w:hyperlink>
      <w:r>
        <w:t>, f. 1.</w:t>
      </w:r>
    </w:p>
    <w:p w14:paraId="7DF61367" w14:textId="24200494" w:rsidR="007D5795" w:rsidRDefault="007D5795" w:rsidP="007D5795">
      <w:pPr>
        <w:pStyle w:val="SangriaFrancesaArticulo"/>
      </w:pPr>
      <w:r w:rsidRPr="007D5795">
        <w:rPr>
          <w:rStyle w:val="TextoNormalNegritaCaracter"/>
        </w:rPr>
        <w:t>Artículo 6.2.</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98" w:history="1">
        <w:r w:rsidRPr="007D5795">
          <w:rPr>
            <w:rStyle w:val="TextoNormalCaracter"/>
          </w:rPr>
          <w:t>98/2024</w:t>
        </w:r>
      </w:hyperlink>
      <w:r>
        <w:t xml:space="preserve">, f. 7;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xml:space="preserve">, f. 5; </w:t>
      </w:r>
      <w:hyperlink w:anchor="SENTENCIA_2024_152" w:history="1">
        <w:r w:rsidRPr="007D5795">
          <w:rPr>
            <w:rStyle w:val="TextoNormalCaracter"/>
          </w:rPr>
          <w:t>152/2024</w:t>
        </w:r>
      </w:hyperlink>
      <w:r>
        <w:t>, f. 5.</w:t>
      </w:r>
    </w:p>
    <w:p w14:paraId="6C3F4A0C" w14:textId="2B67C2EE" w:rsidR="007D5795" w:rsidRDefault="007D5795" w:rsidP="007D5795">
      <w:pPr>
        <w:pStyle w:val="SangriaFrancesaArticulo"/>
      </w:pPr>
      <w:r w:rsidRPr="007D5795">
        <w:rPr>
          <w:rStyle w:val="TextoNormalNegritaCaracter"/>
        </w:rPr>
        <w:t>Artículo 7.</w:t>
      </w:r>
      <w:r w:rsidRPr="007D5795">
        <w:rPr>
          <w:rStyle w:val="TextoNormalCaracter"/>
        </w:rPr>
        <w:t>-</w:t>
      </w:r>
      <w:r>
        <w:t xml:space="preserve"> Sentencias </w:t>
      </w:r>
      <w:hyperlink w:anchor="SENTENCIA_2024_96" w:history="1">
        <w:r w:rsidRPr="007D5795">
          <w:rPr>
            <w:rStyle w:val="TextoNormalCaracter"/>
          </w:rPr>
          <w:t>96/2024</w:t>
        </w:r>
      </w:hyperlink>
      <w:r>
        <w:t xml:space="preserve">, f. 1, VP IV; </w:t>
      </w:r>
      <w:hyperlink w:anchor="SENTENCIA_2024_97" w:history="1">
        <w:r w:rsidRPr="007D5795">
          <w:rPr>
            <w:rStyle w:val="TextoNormalCaracter"/>
          </w:rPr>
          <w:t>97/2024</w:t>
        </w:r>
      </w:hyperlink>
      <w:r>
        <w:t xml:space="preserve">, VP IV; </w:t>
      </w:r>
      <w:hyperlink w:anchor="SENTENCIA_2024_98" w:history="1">
        <w:r w:rsidRPr="007D5795">
          <w:rPr>
            <w:rStyle w:val="TextoNormalCaracter"/>
          </w:rPr>
          <w:t>98/2024</w:t>
        </w:r>
      </w:hyperlink>
      <w:r>
        <w:t>, VP III.</w:t>
      </w:r>
    </w:p>
    <w:p w14:paraId="7076E58D" w14:textId="348452C2" w:rsidR="007D5795" w:rsidRDefault="007D5795" w:rsidP="007D5795">
      <w:pPr>
        <w:pStyle w:val="SangriaFrancesaArticulo"/>
      </w:pPr>
      <w:r w:rsidRPr="007D5795">
        <w:rPr>
          <w:rStyle w:val="TextoNormalNegritaCaracter"/>
        </w:rPr>
        <w:t>Artículo 8.</w:t>
      </w:r>
      <w:r w:rsidRPr="007D5795">
        <w:rPr>
          <w:rStyle w:val="TextoNormalCaracter"/>
        </w:rPr>
        <w:t>-</w:t>
      </w:r>
      <w:r>
        <w:t xml:space="preserve"> Sentencias </w:t>
      </w:r>
      <w:hyperlink w:anchor="SENTENCIA_2024_140" w:history="1">
        <w:r w:rsidRPr="007D5795">
          <w:rPr>
            <w:rStyle w:val="TextoNormalCaracter"/>
          </w:rPr>
          <w:t>140/2024</w:t>
        </w:r>
      </w:hyperlink>
      <w:r>
        <w:t xml:space="preserve">, f. 4; </w:t>
      </w:r>
      <w:hyperlink w:anchor="SENTENCIA_2024_141" w:history="1">
        <w:r w:rsidRPr="007D5795">
          <w:rPr>
            <w:rStyle w:val="TextoNormalCaracter"/>
          </w:rPr>
          <w:t>141/2024</w:t>
        </w:r>
      </w:hyperlink>
      <w:r>
        <w:t xml:space="preserve">, f. 3; </w:t>
      </w:r>
      <w:hyperlink w:anchor="SENTENCIA_2024_142" w:history="1">
        <w:r w:rsidRPr="007D5795">
          <w:rPr>
            <w:rStyle w:val="TextoNormalCaracter"/>
          </w:rPr>
          <w:t>142/2024</w:t>
        </w:r>
      </w:hyperlink>
      <w:r>
        <w:t>, f. 3, VP.</w:t>
      </w:r>
    </w:p>
    <w:p w14:paraId="4DDB779B" w14:textId="2C7E6C36" w:rsidR="007D5795" w:rsidRDefault="007D5795" w:rsidP="007D5795">
      <w:pPr>
        <w:pStyle w:val="SangriaFrancesaArticulo"/>
      </w:pPr>
      <w:r w:rsidRPr="007D5795">
        <w:rPr>
          <w:rStyle w:val="TextoNormalNegritaCaracter"/>
        </w:rPr>
        <w:t>Artículo 8.1.</w:t>
      </w:r>
      <w:r w:rsidRPr="007D5795">
        <w:rPr>
          <w:rStyle w:val="TextoNormalCaracter"/>
        </w:rPr>
        <w:t>-</w:t>
      </w:r>
      <w:r>
        <w:t xml:space="preserve"> Sentencias </w:t>
      </w:r>
      <w:hyperlink w:anchor="SENTENCIA_2024_136" w:history="1">
        <w:r w:rsidRPr="007D5795">
          <w:rPr>
            <w:rStyle w:val="TextoNormalCaracter"/>
          </w:rPr>
          <w:t>136/2024</w:t>
        </w:r>
      </w:hyperlink>
      <w:r>
        <w:t xml:space="preserve">, f. 5; </w:t>
      </w:r>
      <w:hyperlink w:anchor="SENTENCIA_2024_141" w:history="1">
        <w:r w:rsidRPr="007D5795">
          <w:rPr>
            <w:rStyle w:val="TextoNormalCaracter"/>
          </w:rPr>
          <w:t>141/2024</w:t>
        </w:r>
      </w:hyperlink>
      <w:r>
        <w:t>, f. 3.</w:t>
      </w:r>
    </w:p>
    <w:p w14:paraId="249AF362" w14:textId="558E5C4D" w:rsidR="007D5795" w:rsidRDefault="007D5795" w:rsidP="007D5795">
      <w:pPr>
        <w:pStyle w:val="SangriaFrancesaArticulo"/>
      </w:pPr>
      <w:r w:rsidRPr="007D5795">
        <w:rPr>
          <w:rStyle w:val="TextoNormalNegritaCaracter"/>
        </w:rPr>
        <w:t>Artículo 9.</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79389964" w14:textId="3A820A90" w:rsidR="007D5795" w:rsidRDefault="007D5795" w:rsidP="007D5795">
      <w:pPr>
        <w:pStyle w:val="SangriaFrancesaArticulo"/>
      </w:pPr>
      <w:r w:rsidRPr="007D5795">
        <w:rPr>
          <w:rStyle w:val="TextoNormalNegritaCaracter"/>
        </w:rPr>
        <w:t>Artículo 10.</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98" w:history="1">
        <w:r w:rsidRPr="007D5795">
          <w:rPr>
            <w:rStyle w:val="TextoNormalCaracter"/>
          </w:rPr>
          <w:t>98/2024</w:t>
        </w:r>
      </w:hyperlink>
      <w:r>
        <w:t xml:space="preserve">, f. 7; </w:t>
      </w:r>
      <w:hyperlink w:anchor="SENTENCIA_2024_100" w:history="1">
        <w:r w:rsidRPr="007D5795">
          <w:rPr>
            <w:rStyle w:val="TextoNormalCaracter"/>
          </w:rPr>
          <w:t>100/2024</w:t>
        </w:r>
      </w:hyperlink>
      <w:r>
        <w:t>, f. 7.</w:t>
      </w:r>
    </w:p>
    <w:p w14:paraId="379CCC9B" w14:textId="5D61562C" w:rsidR="007D5795" w:rsidRDefault="007D5795" w:rsidP="007D5795">
      <w:pPr>
        <w:pStyle w:val="SangriaIzquierdaArticulo"/>
      </w:pPr>
      <w:r>
        <w:t xml:space="preserve">Auto </w:t>
      </w:r>
      <w:hyperlink w:anchor="AUTO_2024_85" w:history="1">
        <w:r w:rsidRPr="007D5795">
          <w:rPr>
            <w:rStyle w:val="TextoNormalCaracter"/>
          </w:rPr>
          <w:t>85/2024</w:t>
        </w:r>
      </w:hyperlink>
      <w:r>
        <w:t>, VP.</w:t>
      </w:r>
    </w:p>
    <w:p w14:paraId="3871CEED" w14:textId="7F25B0C1" w:rsidR="007D5795" w:rsidRDefault="007D5795" w:rsidP="007D5795">
      <w:pPr>
        <w:pStyle w:val="SangriaFrancesaArticulo"/>
      </w:pPr>
      <w:r w:rsidRPr="007D5795">
        <w:rPr>
          <w:rStyle w:val="TextoNormalNegritaCaracter"/>
        </w:rPr>
        <w:t>Artículo 11.</w:t>
      </w:r>
      <w:r w:rsidRPr="007D5795">
        <w:rPr>
          <w:rStyle w:val="TextoNormalCaracter"/>
        </w:rPr>
        <w:t>-</w:t>
      </w:r>
      <w:r>
        <w:t xml:space="preserve"> Sentencias </w:t>
      </w:r>
      <w:hyperlink w:anchor="SENTENCIA_2024_132" w:history="1">
        <w:r w:rsidRPr="007D5795">
          <w:rPr>
            <w:rStyle w:val="TextoNormalCaracter"/>
          </w:rPr>
          <w:t>132/2024</w:t>
        </w:r>
      </w:hyperlink>
      <w:r>
        <w:t xml:space="preserve">, f. 3; </w:t>
      </w:r>
      <w:hyperlink w:anchor="SENTENCIA_2024_136" w:history="1">
        <w:r w:rsidRPr="007D5795">
          <w:rPr>
            <w:rStyle w:val="TextoNormalCaracter"/>
          </w:rPr>
          <w:t>136/2024</w:t>
        </w:r>
      </w:hyperlink>
      <w:r>
        <w:t xml:space="preserve">, f. 5; </w:t>
      </w:r>
      <w:hyperlink w:anchor="SENTENCIA_2024_141" w:history="1">
        <w:r w:rsidRPr="007D5795">
          <w:rPr>
            <w:rStyle w:val="TextoNormalCaracter"/>
          </w:rPr>
          <w:t>141/2024</w:t>
        </w:r>
      </w:hyperlink>
      <w:r>
        <w:t>, f. 3.</w:t>
      </w:r>
    </w:p>
    <w:p w14:paraId="49805EAF" w14:textId="1E6E6BDF" w:rsidR="007D5795" w:rsidRDefault="007D5795" w:rsidP="007D5795">
      <w:pPr>
        <w:pStyle w:val="SangriaFrancesaArticulo"/>
      </w:pPr>
      <w:r w:rsidRPr="007D5795">
        <w:rPr>
          <w:rStyle w:val="TextoNormalNegritaCaracter"/>
        </w:rPr>
        <w:t>Artículo 13.</w:t>
      </w:r>
      <w:r w:rsidRPr="007D5795">
        <w:rPr>
          <w:rStyle w:val="TextoNormalCaracter"/>
        </w:rPr>
        <w:t>-</w:t>
      </w:r>
      <w:r>
        <w:t xml:space="preserve"> Sentencia </w:t>
      </w:r>
      <w:hyperlink w:anchor="SENTENCIA_2024_142" w:history="1">
        <w:r w:rsidRPr="007D5795">
          <w:rPr>
            <w:rStyle w:val="TextoNormalCaracter"/>
          </w:rPr>
          <w:t>142/2024</w:t>
        </w:r>
      </w:hyperlink>
      <w:r>
        <w:t>, VP.</w:t>
      </w:r>
    </w:p>
    <w:p w14:paraId="17FC3026" w14:textId="65AAD20C" w:rsidR="007D5795" w:rsidRDefault="007D5795" w:rsidP="007D5795">
      <w:pPr>
        <w:pStyle w:val="SangriaFrancesaArticulo"/>
      </w:pPr>
      <w:r w:rsidRPr="007D5795">
        <w:rPr>
          <w:rStyle w:val="TextoNormalNegritaCaracter"/>
        </w:rPr>
        <w:t>Artículo 14.</w:t>
      </w:r>
      <w:r w:rsidRPr="007D5795">
        <w:rPr>
          <w:rStyle w:val="TextoNormalCaracter"/>
        </w:rPr>
        <w:t>-</w:t>
      </w:r>
      <w:r>
        <w:t xml:space="preserve"> Sentencia </w:t>
      </w:r>
      <w:hyperlink w:anchor="SENTENCIA_2024_140" w:history="1">
        <w:r w:rsidRPr="007D5795">
          <w:rPr>
            <w:rStyle w:val="TextoNormalCaracter"/>
          </w:rPr>
          <w:t>140/2024</w:t>
        </w:r>
      </w:hyperlink>
      <w:r>
        <w:t>, f. 5.</w:t>
      </w:r>
    </w:p>
    <w:p w14:paraId="00AB21C8" w14:textId="70EE71D0" w:rsidR="007D5795" w:rsidRDefault="007D5795" w:rsidP="007D5795">
      <w:pPr>
        <w:pStyle w:val="SangriaFrancesaArticulo"/>
      </w:pPr>
      <w:r w:rsidRPr="007D5795">
        <w:rPr>
          <w:rStyle w:val="TextoNormalNegritaCaracter"/>
        </w:rPr>
        <w:t>Artículo 46.</w:t>
      </w:r>
      <w:r w:rsidRPr="007D5795">
        <w:rPr>
          <w:rStyle w:val="TextoNormalCaracter"/>
        </w:rPr>
        <w:t>-</w:t>
      </w:r>
      <w:r>
        <w:t xml:space="preserve"> Auto </w:t>
      </w:r>
      <w:hyperlink w:anchor="AUTO_2024_96" w:history="1">
        <w:r w:rsidRPr="007D5795">
          <w:rPr>
            <w:rStyle w:val="TextoNormalCaracter"/>
          </w:rPr>
          <w:t>96/2024</w:t>
        </w:r>
      </w:hyperlink>
      <w:r>
        <w:t>, f. 2.</w:t>
      </w:r>
    </w:p>
    <w:p w14:paraId="3AEE7DCB" w14:textId="6A5CAECF" w:rsidR="007D5795" w:rsidRDefault="007D5795" w:rsidP="007D5795">
      <w:pPr>
        <w:pStyle w:val="SangriaFrancesaArticulo"/>
      </w:pPr>
    </w:p>
    <w:p w14:paraId="2D888CAD" w14:textId="77777777" w:rsidR="007D5795" w:rsidRDefault="007D5795" w:rsidP="007D5795">
      <w:pPr>
        <w:pStyle w:val="TextoNormalNegritaCursivandice"/>
        <w:keepNext/>
      </w:pPr>
      <w:r>
        <w:t>Protocolo adicional (conocido como núm. 1) al Convenio europeo para la protección de los derechos humanos y de las libertades fundamentales, de 20 de marzo de 1952. Ratificado por Instrumento de 2 de noviembre de 1990</w:t>
      </w:r>
    </w:p>
    <w:p w14:paraId="38895806" w14:textId="4976926A" w:rsidR="007D5795" w:rsidRDefault="007D5795" w:rsidP="007D5795">
      <w:pPr>
        <w:pStyle w:val="SangriaFrancesaArticulo"/>
      </w:pPr>
      <w:r w:rsidRPr="007D5795">
        <w:rPr>
          <w:rStyle w:val="TextoNormalNegritaCaracter"/>
        </w:rPr>
        <w:t>Artículo 3.</w:t>
      </w:r>
      <w:r w:rsidRPr="007D5795">
        <w:rPr>
          <w:rStyle w:val="TextoNormalCaracter"/>
        </w:rPr>
        <w:t>-</w:t>
      </w:r>
      <w:r>
        <w:t xml:space="preserve"> Sentencia </w:t>
      </w:r>
      <w:hyperlink w:anchor="SENTENCIA_2024_152" w:history="1">
        <w:r w:rsidRPr="007D5795">
          <w:rPr>
            <w:rStyle w:val="TextoNormalCaracter"/>
          </w:rPr>
          <w:t>152/2024</w:t>
        </w:r>
      </w:hyperlink>
      <w:r>
        <w:t>, f. 1.</w:t>
      </w:r>
    </w:p>
    <w:p w14:paraId="3D24AC42" w14:textId="42F1279C" w:rsidR="007D5795" w:rsidRDefault="007D5795" w:rsidP="007D5795">
      <w:pPr>
        <w:pStyle w:val="SangriaFrancesaArticulo"/>
      </w:pPr>
    </w:p>
    <w:p w14:paraId="4E43C820" w14:textId="77777777" w:rsidR="007D5795" w:rsidRDefault="007D5795" w:rsidP="007D5795">
      <w:pPr>
        <w:pStyle w:val="TextoNormalNegritaCursivandice"/>
        <w:keepNext/>
      </w:pPr>
      <w:r>
        <w:t>Protocolo núm. 11 al Convenio europeo para la protección de los derechos humanos y de las libertades fundamentales, de 11 de mayo de 1994</w:t>
      </w:r>
    </w:p>
    <w:p w14:paraId="5FA49011" w14:textId="7C4F3F4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96" w:history="1">
        <w:r w:rsidRPr="007D5795">
          <w:rPr>
            <w:rStyle w:val="TextoNormalCaracter"/>
          </w:rPr>
          <w:t>96/2024</w:t>
        </w:r>
      </w:hyperlink>
      <w:r>
        <w:t>, f. 2.</w:t>
      </w:r>
    </w:p>
    <w:p w14:paraId="464A0FDE" w14:textId="224F84C0" w:rsidR="007D5795" w:rsidRDefault="007D5795" w:rsidP="007D5795">
      <w:pPr>
        <w:pStyle w:val="SangriaFrancesaArticulo"/>
      </w:pPr>
    </w:p>
    <w:p w14:paraId="1EC08A32" w14:textId="77777777" w:rsidR="007D5795" w:rsidRDefault="007D5795" w:rsidP="007D5795">
      <w:pPr>
        <w:pStyle w:val="TextoNormalNegritaCursivandice"/>
        <w:keepNext/>
      </w:pPr>
      <w:r>
        <w:t>Carta europea sobre el estatuto de los jueces, adoptada en reunión multilateral organizada por el Consejo de Europa los días 8 al 10 de julio de 1998</w:t>
      </w:r>
    </w:p>
    <w:p w14:paraId="78BB23E7" w14:textId="42F41F2A"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3308DE28" w14:textId="763F62B8" w:rsidR="007D5795" w:rsidRDefault="007D5795" w:rsidP="007D5795">
      <w:pPr>
        <w:pStyle w:val="SangriaFrancesaArticulo"/>
      </w:pPr>
    </w:p>
    <w:p w14:paraId="49597B9E" w14:textId="77777777" w:rsidR="007D5795" w:rsidRDefault="007D5795" w:rsidP="007D5795">
      <w:pPr>
        <w:pStyle w:val="TextoNormalNegritaCursivandice"/>
        <w:keepNext/>
      </w:pPr>
      <w:r>
        <w:t>Protocolo núm. 12 al Convenio europeo para la protección de los derechos humanos y de las libertades fundamentales, de 4 de noviembre de 2000. Ratificado por Instrumento de 6 de marzo de 2008</w:t>
      </w:r>
    </w:p>
    <w:p w14:paraId="3A263EEC" w14:textId="75B3DE1D" w:rsidR="007D5795" w:rsidRDefault="007D5795" w:rsidP="007D5795">
      <w:pPr>
        <w:pStyle w:val="SangriaFrancesaArticulo"/>
      </w:pPr>
      <w:r w:rsidRPr="007D5795">
        <w:rPr>
          <w:rStyle w:val="TextoNormalNegritaCaracter"/>
        </w:rPr>
        <w:t>Artículo 1.</w:t>
      </w:r>
      <w:r w:rsidRPr="007D5795">
        <w:rPr>
          <w:rStyle w:val="TextoNormalCaracter"/>
        </w:rPr>
        <w:t>-</w:t>
      </w:r>
      <w:r>
        <w:t xml:space="preserve"> Sentencias </w:t>
      </w:r>
      <w:hyperlink w:anchor="SENTENCIA_2024_140" w:history="1">
        <w:r w:rsidRPr="007D5795">
          <w:rPr>
            <w:rStyle w:val="TextoNormalCaracter"/>
          </w:rPr>
          <w:t>140/2024</w:t>
        </w:r>
      </w:hyperlink>
      <w:r>
        <w:t xml:space="preserve">, f. 5; </w:t>
      </w:r>
      <w:hyperlink w:anchor="SENTENCIA_2024_152" w:history="1">
        <w:r w:rsidRPr="007D5795">
          <w:rPr>
            <w:rStyle w:val="TextoNormalCaracter"/>
          </w:rPr>
          <w:t>152/2024</w:t>
        </w:r>
      </w:hyperlink>
      <w:r>
        <w:t>, f. 1.</w:t>
      </w:r>
    </w:p>
    <w:p w14:paraId="073636F7" w14:textId="0677348A" w:rsidR="007D5795" w:rsidRDefault="007D5795" w:rsidP="007D5795">
      <w:pPr>
        <w:pStyle w:val="SangriaFrancesaArticulo"/>
      </w:pPr>
      <w:r w:rsidRPr="007D5795">
        <w:rPr>
          <w:rStyle w:val="TextoNormalNegritaCaracter"/>
        </w:rPr>
        <w:t>Artículo 6.</w:t>
      </w:r>
      <w:r w:rsidRPr="007D5795">
        <w:rPr>
          <w:rStyle w:val="TextoNormalCaracter"/>
        </w:rPr>
        <w:t>-</w:t>
      </w:r>
      <w:r>
        <w:t xml:space="preserve"> Sentencia </w:t>
      </w:r>
      <w:hyperlink w:anchor="SENTENCIA_2024_152" w:history="1">
        <w:r w:rsidRPr="007D5795">
          <w:rPr>
            <w:rStyle w:val="TextoNormalCaracter"/>
          </w:rPr>
          <w:t>152/2024</w:t>
        </w:r>
      </w:hyperlink>
      <w:r>
        <w:t>, f. 1.</w:t>
      </w:r>
    </w:p>
    <w:p w14:paraId="57E4BE1E" w14:textId="1F02CA15" w:rsidR="007D5795" w:rsidRDefault="007D5795" w:rsidP="007D5795">
      <w:pPr>
        <w:pStyle w:val="SangriaFrancesaArticulo"/>
      </w:pPr>
      <w:r w:rsidRPr="007D5795">
        <w:rPr>
          <w:rStyle w:val="TextoNormalNegritaCaracter"/>
        </w:rPr>
        <w:t>Artículo 13.</w:t>
      </w:r>
      <w:r w:rsidRPr="007D5795">
        <w:rPr>
          <w:rStyle w:val="TextoNormalCaracter"/>
        </w:rPr>
        <w:t>-</w:t>
      </w:r>
      <w:r>
        <w:t xml:space="preserve"> Sentencia </w:t>
      </w:r>
      <w:hyperlink w:anchor="SENTENCIA_2024_152" w:history="1">
        <w:r w:rsidRPr="007D5795">
          <w:rPr>
            <w:rStyle w:val="TextoNormalCaracter"/>
          </w:rPr>
          <w:t>152/2024</w:t>
        </w:r>
      </w:hyperlink>
      <w:r>
        <w:t>, f. 1.</w:t>
      </w:r>
    </w:p>
    <w:p w14:paraId="4B1F296C" w14:textId="0584EF80" w:rsidR="007D5795" w:rsidRDefault="007D5795" w:rsidP="007D5795">
      <w:pPr>
        <w:pStyle w:val="SangriaFrancesaArticulo"/>
      </w:pPr>
    </w:p>
    <w:p w14:paraId="4BED9686" w14:textId="77777777" w:rsidR="007D5795" w:rsidRDefault="007D5795" w:rsidP="007D5795">
      <w:pPr>
        <w:pStyle w:val="TextoNormalNegritaCursivandice"/>
        <w:keepNext/>
      </w:pPr>
      <w:r>
        <w:t>Informe 403/2006 adoptado por la Comisión de Venecia, en su 70ª sesión plenaria, el 16 y 17 de marzo de 2007, CDL-AD(2007)028, sobre nombramientos judiciales</w:t>
      </w:r>
    </w:p>
    <w:p w14:paraId="02DED6B3" w14:textId="33CFD06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472FED72" w14:textId="14B51B23" w:rsidR="007D5795" w:rsidRDefault="007D5795" w:rsidP="007D5795">
      <w:pPr>
        <w:pStyle w:val="SangriaFrancesaArticulo"/>
      </w:pPr>
    </w:p>
    <w:p w14:paraId="5DB18269" w14:textId="77777777" w:rsidR="007D5795" w:rsidRDefault="007D5795" w:rsidP="007D5795">
      <w:pPr>
        <w:pStyle w:val="TextoNormalNegritaCursivandice"/>
        <w:keepNext/>
      </w:pPr>
      <w:r>
        <w:t>Informe 10(2007), del Consejo Consultivo de Jueces Europeos, de 23 de noviembre de 2007, sobre el Consejo de la Justicia al servicio de la sociedad</w:t>
      </w:r>
    </w:p>
    <w:p w14:paraId="5BA342DB" w14:textId="155FD91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52E59059" w14:textId="4BDF96A6" w:rsidR="007D5795" w:rsidRDefault="007D5795" w:rsidP="007D5795">
      <w:pPr>
        <w:pStyle w:val="SangriaFrancesaArticulo"/>
      </w:pPr>
    </w:p>
    <w:p w14:paraId="40FCB0AA" w14:textId="77777777" w:rsidR="007D5795" w:rsidRDefault="007D5795" w:rsidP="007D5795">
      <w:pPr>
        <w:pStyle w:val="TextoNormalNegritaCursivandice"/>
        <w:keepNext/>
      </w:pPr>
      <w:r>
        <w:t>Informe 494/2008 adoptado por la Comisión de Venecia, en su 82ª sesión plenaria, el 12 y 13 de marzo de 2010, CDL-AD(2010)004, sobre la independencia del sistema judicial</w:t>
      </w:r>
    </w:p>
    <w:p w14:paraId="202B0E46" w14:textId="247C2E2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0B6D8521" w14:textId="03990395" w:rsidR="007D5795" w:rsidRDefault="007D5795" w:rsidP="007D5795">
      <w:pPr>
        <w:pStyle w:val="SangriaFrancesaArticulo"/>
      </w:pPr>
    </w:p>
    <w:p w14:paraId="6AE3DBDF" w14:textId="77777777" w:rsidR="007D5795" w:rsidRDefault="007D5795" w:rsidP="007D5795">
      <w:pPr>
        <w:pStyle w:val="TextoNormalNegritaCursivandice"/>
        <w:keepNext/>
      </w:pPr>
      <w:r>
        <w:t>Carta magna de los jueces, adoptada por el Consejo de Europa y proclamada el 17 de noviembre de 2010</w:t>
      </w:r>
    </w:p>
    <w:p w14:paraId="42D393B1" w14:textId="2CE99CC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657EAEEF" w14:textId="480A00F5" w:rsidR="007D5795" w:rsidRDefault="007D5795" w:rsidP="007D5795">
      <w:pPr>
        <w:pStyle w:val="SangriaFrancesaArticulo"/>
      </w:pPr>
    </w:p>
    <w:p w14:paraId="405A580B" w14:textId="77777777" w:rsidR="007D5795" w:rsidRDefault="007D5795" w:rsidP="007D5795">
      <w:pPr>
        <w:pStyle w:val="TextoNormalNegritaCursivandice"/>
        <w:keepNext/>
      </w:pPr>
      <w:r>
        <w:t>Recomendación CM/Rec(2010)12, del Comité de Ministros del Consejo de Europa, de 17 de noviembre de 2010, sobre los jueces: independencia, eficiencia y responsabilidad</w:t>
      </w:r>
    </w:p>
    <w:p w14:paraId="7A80FAAF" w14:textId="183D2A3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78A2395E" w14:textId="027FC3A3" w:rsidR="007D5795" w:rsidRDefault="007D5795" w:rsidP="007D5795">
      <w:pPr>
        <w:pStyle w:val="SangriaFrancesaArticulo"/>
      </w:pPr>
    </w:p>
    <w:p w14:paraId="56A83CA3" w14:textId="77777777" w:rsidR="007D5795" w:rsidRDefault="007D5795" w:rsidP="007D5795">
      <w:pPr>
        <w:pStyle w:val="TextoNormalNegritaCursivandice"/>
        <w:keepNext/>
      </w:pPr>
      <w:r>
        <w:t>Convenio del Consejo de Europa sobre prevención y lucha contra la violencia contra la mujer y la violencia doméstica, hecho en Estambul el 11 de mayo de 2011. Ratificado por Instrumento de 18 de marzo de 2014</w:t>
      </w:r>
    </w:p>
    <w:p w14:paraId="251B198D" w14:textId="6BE8194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5" w:history="1">
        <w:r w:rsidRPr="007D5795">
          <w:rPr>
            <w:rStyle w:val="TextoNormalCaracter"/>
          </w:rPr>
          <w:t>145/2024</w:t>
        </w:r>
      </w:hyperlink>
      <w:r>
        <w:t>, f. 4.</w:t>
      </w:r>
    </w:p>
    <w:p w14:paraId="546B9E3B" w14:textId="31EA770E" w:rsidR="007D5795" w:rsidRDefault="007D5795" w:rsidP="007D5795">
      <w:pPr>
        <w:pStyle w:val="SangriaFrancesaArticulo"/>
      </w:pPr>
      <w:r w:rsidRPr="007D5795">
        <w:rPr>
          <w:rStyle w:val="TextoNormalNegritaCaracter"/>
        </w:rPr>
        <w:t>Artículo 31.</w:t>
      </w:r>
      <w:r w:rsidRPr="007D5795">
        <w:rPr>
          <w:rStyle w:val="TextoNormalCaracter"/>
        </w:rPr>
        <w:t>-</w:t>
      </w:r>
      <w:r>
        <w:t xml:space="preserve"> Sentencia </w:t>
      </w:r>
      <w:hyperlink w:anchor="SENTENCIA_2024_115" w:history="1">
        <w:r w:rsidRPr="007D5795">
          <w:rPr>
            <w:rStyle w:val="TextoNormalCaracter"/>
          </w:rPr>
          <w:t>115/2024</w:t>
        </w:r>
      </w:hyperlink>
      <w:r>
        <w:t>, f. 3, VP II.</w:t>
      </w:r>
    </w:p>
    <w:p w14:paraId="1684E652" w14:textId="4F9F6C4A" w:rsidR="007D5795" w:rsidRDefault="007D5795" w:rsidP="007D5795">
      <w:pPr>
        <w:pStyle w:val="SangriaFrancesaArticulo"/>
      </w:pPr>
      <w:r w:rsidRPr="007D5795">
        <w:rPr>
          <w:rStyle w:val="TextoNormalNegritaCaracter"/>
        </w:rPr>
        <w:t>Artículo 66.</w:t>
      </w:r>
      <w:r w:rsidRPr="007D5795">
        <w:rPr>
          <w:rStyle w:val="TextoNormalCaracter"/>
        </w:rPr>
        <w:t>-</w:t>
      </w:r>
      <w:r>
        <w:t xml:space="preserve"> Sentencia </w:t>
      </w:r>
      <w:hyperlink w:anchor="SENTENCIA_2024_115" w:history="1">
        <w:r w:rsidRPr="007D5795">
          <w:rPr>
            <w:rStyle w:val="TextoNormalCaracter"/>
          </w:rPr>
          <w:t>115/2024</w:t>
        </w:r>
      </w:hyperlink>
      <w:r>
        <w:t>, VP II.</w:t>
      </w:r>
    </w:p>
    <w:p w14:paraId="5971E345" w14:textId="4FC641D5" w:rsidR="007D5795" w:rsidRDefault="007D5795" w:rsidP="007D5795">
      <w:pPr>
        <w:pStyle w:val="SangriaFrancesaArticulo"/>
      </w:pPr>
      <w:r w:rsidRPr="007D5795">
        <w:rPr>
          <w:rStyle w:val="TextoNormalNegritaCaracter"/>
        </w:rPr>
        <w:t>Artículo 68.</w:t>
      </w:r>
      <w:r w:rsidRPr="007D5795">
        <w:rPr>
          <w:rStyle w:val="TextoNormalCaracter"/>
        </w:rPr>
        <w:t>-</w:t>
      </w:r>
      <w:r>
        <w:t xml:space="preserve"> Sentencia </w:t>
      </w:r>
      <w:hyperlink w:anchor="SENTENCIA_2024_115" w:history="1">
        <w:r w:rsidRPr="007D5795">
          <w:rPr>
            <w:rStyle w:val="TextoNormalCaracter"/>
          </w:rPr>
          <w:t>115/2024</w:t>
        </w:r>
      </w:hyperlink>
      <w:r>
        <w:t>, VP II.</w:t>
      </w:r>
    </w:p>
    <w:p w14:paraId="4E0BC83A" w14:textId="350D4737" w:rsidR="007D5795" w:rsidRDefault="007D5795" w:rsidP="007D5795">
      <w:pPr>
        <w:pStyle w:val="SangriaFrancesaArticulo"/>
      </w:pPr>
    </w:p>
    <w:p w14:paraId="415BC342" w14:textId="77777777" w:rsidR="007D5795" w:rsidRDefault="007D5795" w:rsidP="007D5795">
      <w:pPr>
        <w:pStyle w:val="TextoNormalNegritaCursivandice"/>
        <w:keepNext/>
      </w:pPr>
      <w:r>
        <w:t>Tercer informe general de actividades (2021) del Grupo de expertos en la lucha contra la violencia contra las mujeres y la violencia doméstica (GREVIO)</w:t>
      </w:r>
    </w:p>
    <w:p w14:paraId="514C488C" w14:textId="76A8E10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5" w:history="1">
        <w:r w:rsidRPr="007D5795">
          <w:rPr>
            <w:rStyle w:val="TextoNormalCaracter"/>
          </w:rPr>
          <w:t>115/2024</w:t>
        </w:r>
      </w:hyperlink>
      <w:r>
        <w:t>, f. 3, VP II.</w:t>
      </w:r>
    </w:p>
    <w:p w14:paraId="63394245" w14:textId="0181F16B" w:rsidR="007D5795" w:rsidRDefault="007D5795" w:rsidP="007D5795">
      <w:pPr>
        <w:pStyle w:val="SangriaFrancesaArticulo"/>
      </w:pPr>
      <w:r w:rsidRPr="007D5795">
        <w:rPr>
          <w:rStyle w:val="TextoNormalNegritaCaracter"/>
        </w:rPr>
        <w:t>§ 76.</w:t>
      </w:r>
      <w:r w:rsidRPr="007D5795">
        <w:rPr>
          <w:rStyle w:val="TextoNormalCaracter"/>
        </w:rPr>
        <w:t>-</w:t>
      </w:r>
      <w:r>
        <w:t xml:space="preserve"> Sentencia </w:t>
      </w:r>
      <w:hyperlink w:anchor="SENTENCIA_2024_115" w:history="1">
        <w:r w:rsidRPr="007D5795">
          <w:rPr>
            <w:rStyle w:val="TextoNormalCaracter"/>
          </w:rPr>
          <w:t>115/2024</w:t>
        </w:r>
      </w:hyperlink>
      <w:r>
        <w:t>, f. 3.</w:t>
      </w:r>
    </w:p>
    <w:p w14:paraId="7752272A" w14:textId="1418D77E" w:rsidR="007D5795" w:rsidRDefault="007D5795" w:rsidP="007D5795">
      <w:pPr>
        <w:pStyle w:val="SangriaFrancesaArticulo"/>
      </w:pPr>
      <w:r w:rsidRPr="007D5795">
        <w:rPr>
          <w:rStyle w:val="TextoNormalNegritaCaracter"/>
        </w:rPr>
        <w:t>§ 79.</w:t>
      </w:r>
      <w:r w:rsidRPr="007D5795">
        <w:rPr>
          <w:rStyle w:val="TextoNormalCaracter"/>
        </w:rPr>
        <w:t>-</w:t>
      </w:r>
      <w:r>
        <w:t xml:space="preserve"> Sentencia </w:t>
      </w:r>
      <w:hyperlink w:anchor="SENTENCIA_2024_115" w:history="1">
        <w:r w:rsidRPr="007D5795">
          <w:rPr>
            <w:rStyle w:val="TextoNormalCaracter"/>
          </w:rPr>
          <w:t>115/2024</w:t>
        </w:r>
      </w:hyperlink>
      <w:r>
        <w:t>, f. 3.</w:t>
      </w:r>
    </w:p>
    <w:p w14:paraId="0E143774" w14:textId="09A0DCD1" w:rsidR="007D5795" w:rsidRDefault="007D5795" w:rsidP="007D5795">
      <w:pPr>
        <w:pStyle w:val="SangriaFrancesaArticulo"/>
      </w:pPr>
      <w:r w:rsidRPr="007D5795">
        <w:rPr>
          <w:rStyle w:val="TextoNormalNegritaCaracter"/>
        </w:rPr>
        <w:t>§ 80.</w:t>
      </w:r>
      <w:r w:rsidRPr="007D5795">
        <w:rPr>
          <w:rStyle w:val="TextoNormalCaracter"/>
        </w:rPr>
        <w:t>-</w:t>
      </w:r>
      <w:r>
        <w:t xml:space="preserve"> Sentencia </w:t>
      </w:r>
      <w:hyperlink w:anchor="SENTENCIA_2024_115" w:history="1">
        <w:r w:rsidRPr="007D5795">
          <w:rPr>
            <w:rStyle w:val="TextoNormalCaracter"/>
          </w:rPr>
          <w:t>115/2024</w:t>
        </w:r>
      </w:hyperlink>
      <w:r>
        <w:t>, f. 3.</w:t>
      </w:r>
    </w:p>
    <w:p w14:paraId="57B5B5C8" w14:textId="19E18B22" w:rsidR="007D5795" w:rsidRDefault="007D5795" w:rsidP="007D5795">
      <w:pPr>
        <w:pStyle w:val="SangriaFrancesaArticulo"/>
      </w:pPr>
      <w:r w:rsidRPr="007D5795">
        <w:rPr>
          <w:rStyle w:val="TextoNormalNegritaCaracter"/>
        </w:rPr>
        <w:t>§ 82.</w:t>
      </w:r>
      <w:r w:rsidRPr="007D5795">
        <w:rPr>
          <w:rStyle w:val="TextoNormalCaracter"/>
        </w:rPr>
        <w:t>-</w:t>
      </w:r>
      <w:r>
        <w:t xml:space="preserve"> Sentencia </w:t>
      </w:r>
      <w:hyperlink w:anchor="SENTENCIA_2024_115" w:history="1">
        <w:r w:rsidRPr="007D5795">
          <w:rPr>
            <w:rStyle w:val="TextoNormalCaracter"/>
          </w:rPr>
          <w:t>115/2024</w:t>
        </w:r>
      </w:hyperlink>
      <w:r>
        <w:t>, f. 3.</w:t>
      </w:r>
    </w:p>
    <w:p w14:paraId="7931C6D8" w14:textId="05A64BC7" w:rsidR="007D5795" w:rsidRDefault="007D5795" w:rsidP="007D5795">
      <w:pPr>
        <w:pStyle w:val="TextoNormal"/>
      </w:pPr>
    </w:p>
    <w:p w14:paraId="236E4B2B" w14:textId="77777777" w:rsidR="007D5795" w:rsidRDefault="007D5795" w:rsidP="007D5795">
      <w:pPr>
        <w:pStyle w:val="SangriaFrancesaArticulo"/>
      </w:pPr>
      <w:bookmarkStart w:id="183" w:name="INDICE22872"/>
    </w:p>
    <w:bookmarkEnd w:id="183"/>
    <w:p w14:paraId="0A0D7170" w14:textId="77777777" w:rsidR="007D5795" w:rsidRDefault="007D5795" w:rsidP="007D5795">
      <w:pPr>
        <w:pStyle w:val="TextoIndiceNivel2"/>
        <w:suppressAutoHyphens/>
      </w:pPr>
      <w:r>
        <w:t>Ñ) Legislación extranjera</w:t>
      </w:r>
    </w:p>
    <w:p w14:paraId="6EC88AD1" w14:textId="1E825BEE" w:rsidR="007D5795" w:rsidRDefault="007D5795" w:rsidP="007D5795">
      <w:pPr>
        <w:pStyle w:val="TextoIndiceNivel2"/>
      </w:pPr>
    </w:p>
    <w:p w14:paraId="4132B4F3" w14:textId="77777777" w:rsidR="007D5795" w:rsidRDefault="007D5795" w:rsidP="007D5795">
      <w:pPr>
        <w:pStyle w:val="TextoNormalNegritaCursivandice"/>
        <w:keepNext/>
      </w:pPr>
      <w:r>
        <w:t>Carta Magna inglesa de 1215</w:t>
      </w:r>
    </w:p>
    <w:p w14:paraId="2C61F5D9" w14:textId="253F84CA"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0" w:history="1">
        <w:r w:rsidRPr="007D5795">
          <w:rPr>
            <w:rStyle w:val="TextoNormalCaracter"/>
          </w:rPr>
          <w:t>100/2024</w:t>
        </w:r>
      </w:hyperlink>
      <w:r>
        <w:t>, VP II.</w:t>
      </w:r>
    </w:p>
    <w:p w14:paraId="399F831A" w14:textId="37755C48" w:rsidR="007D5795" w:rsidRDefault="007D5795" w:rsidP="007D5795">
      <w:pPr>
        <w:pStyle w:val="SangriaFrancesaArticulo"/>
      </w:pPr>
    </w:p>
    <w:p w14:paraId="7533B3B1" w14:textId="77777777" w:rsidR="007D5795" w:rsidRDefault="007D5795" w:rsidP="007D5795">
      <w:pPr>
        <w:pStyle w:val="TextoNormalNegritaCursivandice"/>
        <w:keepNext/>
      </w:pPr>
      <w:r>
        <w:t>Declaración de derechos inglesa de 1689</w:t>
      </w:r>
    </w:p>
    <w:p w14:paraId="37B99275" w14:textId="4861BEC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2" w:history="1">
        <w:r w:rsidRPr="007D5795">
          <w:rPr>
            <w:rStyle w:val="TextoNormalCaracter"/>
          </w:rPr>
          <w:t>102/2024</w:t>
        </w:r>
      </w:hyperlink>
      <w:r>
        <w:t>, VP II.</w:t>
      </w:r>
    </w:p>
    <w:p w14:paraId="13DC4283" w14:textId="03F060AD" w:rsidR="007D5795" w:rsidRDefault="007D5795" w:rsidP="007D5795">
      <w:pPr>
        <w:pStyle w:val="SangriaFrancesaArticulo"/>
      </w:pPr>
    </w:p>
    <w:p w14:paraId="54C5F6DE" w14:textId="77777777" w:rsidR="007D5795" w:rsidRDefault="007D5795" w:rsidP="007D5795">
      <w:pPr>
        <w:pStyle w:val="TextoNormalNegritaCursivandice"/>
        <w:keepNext/>
      </w:pPr>
      <w:r>
        <w:t>Declaración de los derechos del hombre y del ciudadano de 1789</w:t>
      </w:r>
    </w:p>
    <w:p w14:paraId="6C9B188C" w14:textId="067D8C8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VP II.</w:t>
      </w:r>
    </w:p>
    <w:p w14:paraId="149FAABB" w14:textId="4C657DE2" w:rsidR="007D5795" w:rsidRDefault="007D5795" w:rsidP="007D5795">
      <w:pPr>
        <w:pStyle w:val="SangriaFrancesaArticulo"/>
      </w:pPr>
    </w:p>
    <w:p w14:paraId="6DD8AFAB" w14:textId="77777777" w:rsidR="007D5795" w:rsidRDefault="007D5795" w:rsidP="007D5795">
      <w:pPr>
        <w:pStyle w:val="TextoNormalNegritaCursivandice"/>
        <w:keepNext/>
      </w:pPr>
      <w:r>
        <w:t>Constitución de Italia, de 27 de diciembre de 1947</w:t>
      </w:r>
    </w:p>
    <w:p w14:paraId="4386AEDA" w14:textId="6D6E8602" w:rsidR="007D5795" w:rsidRDefault="007D5795" w:rsidP="007D5795">
      <w:pPr>
        <w:pStyle w:val="SangriaFrancesaArticulo"/>
      </w:pPr>
      <w:r w:rsidRPr="007D5795">
        <w:rPr>
          <w:rStyle w:val="TextoNormalNegritaCaracter"/>
        </w:rPr>
        <w:t>Artículo 9.</w:t>
      </w:r>
      <w:r w:rsidRPr="007D5795">
        <w:rPr>
          <w:rStyle w:val="TextoNormalCaracter"/>
        </w:rPr>
        <w:t>-</w:t>
      </w:r>
      <w:r>
        <w:t xml:space="preserve"> Sentencia </w:t>
      </w:r>
      <w:hyperlink w:anchor="SENTENCIA_2024_142" w:history="1">
        <w:r w:rsidRPr="007D5795">
          <w:rPr>
            <w:rStyle w:val="TextoNormalCaracter"/>
          </w:rPr>
          <w:t>142/2024</w:t>
        </w:r>
      </w:hyperlink>
      <w:r>
        <w:t>, VP.</w:t>
      </w:r>
    </w:p>
    <w:p w14:paraId="7C5B52B9" w14:textId="56819039" w:rsidR="007D5795" w:rsidRDefault="007D5795" w:rsidP="007D5795">
      <w:pPr>
        <w:pStyle w:val="SangriaFrancesaArticulo"/>
      </w:pPr>
    </w:p>
    <w:p w14:paraId="12475D22" w14:textId="77777777" w:rsidR="007D5795" w:rsidRDefault="007D5795" w:rsidP="007D5795">
      <w:pPr>
        <w:pStyle w:val="TextoNormalNegritaCursivandice"/>
        <w:keepNext/>
      </w:pPr>
      <w:r>
        <w:t>Constitución de Alemania, de 23 de mayo de 1949</w:t>
      </w:r>
    </w:p>
    <w:p w14:paraId="20A22DE7" w14:textId="35B1AD4E" w:rsidR="007D5795" w:rsidRDefault="007D5795" w:rsidP="007D5795">
      <w:pPr>
        <w:pStyle w:val="SangriaFrancesaArticulo"/>
      </w:pPr>
      <w:r w:rsidRPr="007D5795">
        <w:rPr>
          <w:rStyle w:val="TextoNormalNegritaCaracter"/>
        </w:rPr>
        <w:t>Artículos 1 a 12.</w:t>
      </w:r>
      <w:r w:rsidRPr="007D5795">
        <w:rPr>
          <w:rStyle w:val="TextoNormalCaracter"/>
        </w:rPr>
        <w:t>-</w:t>
      </w:r>
      <w:r>
        <w:t xml:space="preserve"> Sentencia </w:t>
      </w:r>
      <w:hyperlink w:anchor="SENTENCIA_2024_142" w:history="1">
        <w:r w:rsidRPr="007D5795">
          <w:rPr>
            <w:rStyle w:val="TextoNormalCaracter"/>
          </w:rPr>
          <w:t>142/2024</w:t>
        </w:r>
      </w:hyperlink>
      <w:r>
        <w:t>, VP.</w:t>
      </w:r>
    </w:p>
    <w:p w14:paraId="01569BED" w14:textId="35AB75FD" w:rsidR="007D5795" w:rsidRDefault="007D5795" w:rsidP="007D5795">
      <w:pPr>
        <w:pStyle w:val="SangriaFrancesaArticulo"/>
      </w:pPr>
      <w:r w:rsidRPr="007D5795">
        <w:rPr>
          <w:rStyle w:val="TextoNormalNegritaCaracter"/>
        </w:rPr>
        <w:t>Artículos 1 a 19.</w:t>
      </w:r>
      <w:r w:rsidRPr="007D5795">
        <w:rPr>
          <w:rStyle w:val="TextoNormalCaracter"/>
        </w:rPr>
        <w:t>-</w:t>
      </w:r>
      <w:r>
        <w:t xml:space="preserve"> Sentencia </w:t>
      </w:r>
      <w:hyperlink w:anchor="SENTENCIA_2024_142" w:history="1">
        <w:r w:rsidRPr="007D5795">
          <w:rPr>
            <w:rStyle w:val="TextoNormalCaracter"/>
          </w:rPr>
          <w:t>142/2024</w:t>
        </w:r>
      </w:hyperlink>
      <w:r>
        <w:t>, VP.</w:t>
      </w:r>
    </w:p>
    <w:p w14:paraId="363109A8" w14:textId="52C1522C" w:rsidR="007D5795" w:rsidRDefault="007D5795" w:rsidP="007D5795">
      <w:pPr>
        <w:pStyle w:val="SangriaFrancesaArticulo"/>
      </w:pPr>
      <w:r w:rsidRPr="007D5795">
        <w:rPr>
          <w:rStyle w:val="TextoNormalNegritaCaracter"/>
        </w:rPr>
        <w:t>Artículo 2.1.</w:t>
      </w:r>
      <w:r w:rsidRPr="007D5795">
        <w:rPr>
          <w:rStyle w:val="TextoNormalCaracter"/>
        </w:rPr>
        <w:t>-</w:t>
      </w:r>
      <w:r>
        <w:t xml:space="preserve"> Sentencia </w:t>
      </w:r>
      <w:hyperlink w:anchor="SENTENCIA_2024_142" w:history="1">
        <w:r w:rsidRPr="007D5795">
          <w:rPr>
            <w:rStyle w:val="TextoNormalCaracter"/>
          </w:rPr>
          <w:t>142/2024</w:t>
        </w:r>
      </w:hyperlink>
      <w:r>
        <w:t>, VP.</w:t>
      </w:r>
    </w:p>
    <w:p w14:paraId="051FA820" w14:textId="17C5E1A4" w:rsidR="007D5795" w:rsidRDefault="007D5795" w:rsidP="007D5795">
      <w:pPr>
        <w:pStyle w:val="SangriaFrancesaArticulo"/>
      </w:pPr>
      <w:r w:rsidRPr="007D5795">
        <w:rPr>
          <w:rStyle w:val="TextoNormalNegritaCaracter"/>
        </w:rPr>
        <w:t>Artículo 2.2.</w:t>
      </w:r>
      <w:r w:rsidRPr="007D5795">
        <w:rPr>
          <w:rStyle w:val="TextoNormalCaracter"/>
        </w:rPr>
        <w:t>-</w:t>
      </w:r>
      <w:r>
        <w:t xml:space="preserve"> Sentencia </w:t>
      </w:r>
      <w:hyperlink w:anchor="SENTENCIA_2024_142" w:history="1">
        <w:r w:rsidRPr="007D5795">
          <w:rPr>
            <w:rStyle w:val="TextoNormalCaracter"/>
          </w:rPr>
          <w:t>142/2024</w:t>
        </w:r>
      </w:hyperlink>
      <w:r>
        <w:t>, VP.</w:t>
      </w:r>
    </w:p>
    <w:p w14:paraId="654CF892" w14:textId="0C335959" w:rsidR="007D5795" w:rsidRDefault="007D5795" w:rsidP="007D5795">
      <w:pPr>
        <w:pStyle w:val="SangriaFrancesaArticulo"/>
      </w:pPr>
      <w:r w:rsidRPr="007D5795">
        <w:rPr>
          <w:rStyle w:val="TextoNormalNegritaCaracter"/>
        </w:rPr>
        <w:t>Artículos 13 a 54.</w:t>
      </w:r>
      <w:r w:rsidRPr="007D5795">
        <w:rPr>
          <w:rStyle w:val="TextoNormalCaracter"/>
        </w:rPr>
        <w:t>-</w:t>
      </w:r>
      <w:r>
        <w:t xml:space="preserve"> Sentencia </w:t>
      </w:r>
      <w:hyperlink w:anchor="SENTENCIA_2024_142" w:history="1">
        <w:r w:rsidRPr="007D5795">
          <w:rPr>
            <w:rStyle w:val="TextoNormalCaracter"/>
          </w:rPr>
          <w:t>142/2024</w:t>
        </w:r>
      </w:hyperlink>
      <w:r>
        <w:t>, VP.</w:t>
      </w:r>
    </w:p>
    <w:p w14:paraId="0F593225" w14:textId="6CCFA829" w:rsidR="007D5795" w:rsidRDefault="007D5795" w:rsidP="007D5795">
      <w:pPr>
        <w:pStyle w:val="SangriaFrancesaArticulo"/>
      </w:pPr>
      <w:r w:rsidRPr="007D5795">
        <w:rPr>
          <w:rStyle w:val="TextoNormalNegritaCaracter"/>
        </w:rPr>
        <w:t>Artículo 20 a)</w:t>
      </w:r>
      <w:r>
        <w:t xml:space="preserve"> (redactado por la reforma de 2002)</w:t>
      </w:r>
      <w:r w:rsidRPr="007D5795">
        <w:rPr>
          <w:rStyle w:val="TextoNormalNegritaCaracter"/>
        </w:rPr>
        <w:t>.</w:t>
      </w:r>
      <w:r w:rsidRPr="007D5795">
        <w:rPr>
          <w:rStyle w:val="TextoNormalCaracter"/>
        </w:rPr>
        <w:t>-</w:t>
      </w:r>
      <w:r>
        <w:t xml:space="preserve"> Sentencia </w:t>
      </w:r>
      <w:hyperlink w:anchor="SENTENCIA_2024_142" w:history="1">
        <w:r w:rsidRPr="007D5795">
          <w:rPr>
            <w:rStyle w:val="TextoNormalCaracter"/>
          </w:rPr>
          <w:t>142/2024</w:t>
        </w:r>
      </w:hyperlink>
      <w:r>
        <w:t>, VP.</w:t>
      </w:r>
    </w:p>
    <w:p w14:paraId="3DD4E818" w14:textId="7AD14381" w:rsidR="007D5795" w:rsidRDefault="007D5795" w:rsidP="007D5795">
      <w:pPr>
        <w:pStyle w:val="SangriaFrancesaArticulo"/>
      </w:pPr>
      <w:r w:rsidRPr="007D5795">
        <w:rPr>
          <w:rStyle w:val="TextoNormalNegritaCaracter"/>
        </w:rPr>
        <w:t>Artículos 20 y ss..</w:t>
      </w:r>
      <w:r w:rsidRPr="007D5795">
        <w:rPr>
          <w:rStyle w:val="TextoNormalCaracter"/>
        </w:rPr>
        <w:t>-</w:t>
      </w:r>
      <w:r>
        <w:t xml:space="preserve"> Sentencia </w:t>
      </w:r>
      <w:hyperlink w:anchor="SENTENCIA_2024_142" w:history="1">
        <w:r w:rsidRPr="007D5795">
          <w:rPr>
            <w:rStyle w:val="TextoNormalCaracter"/>
          </w:rPr>
          <w:t>142/2024</w:t>
        </w:r>
      </w:hyperlink>
      <w:r>
        <w:t>, VP.</w:t>
      </w:r>
    </w:p>
    <w:p w14:paraId="33FC32EC" w14:textId="31507603" w:rsidR="007D5795" w:rsidRDefault="007D5795" w:rsidP="007D5795">
      <w:pPr>
        <w:pStyle w:val="SangriaFrancesaArticulo"/>
      </w:pPr>
      <w:r w:rsidRPr="007D5795">
        <w:rPr>
          <w:rStyle w:val="TextoNormalNegritaCaracter"/>
        </w:rPr>
        <w:t>Artículo 21.</w:t>
      </w:r>
      <w:r w:rsidRPr="007D5795">
        <w:rPr>
          <w:rStyle w:val="TextoNormalCaracter"/>
        </w:rPr>
        <w:t>-</w:t>
      </w:r>
      <w:r>
        <w:t xml:space="preserve"> Sentencia </w:t>
      </w:r>
      <w:hyperlink w:anchor="SENTENCIA_2024_142" w:history="1">
        <w:r w:rsidRPr="007D5795">
          <w:rPr>
            <w:rStyle w:val="TextoNormalCaracter"/>
          </w:rPr>
          <w:t>142/2024</w:t>
        </w:r>
      </w:hyperlink>
      <w:r>
        <w:t>, f. 3, VP.</w:t>
      </w:r>
    </w:p>
    <w:p w14:paraId="2D08704D" w14:textId="37C8F8C3" w:rsidR="007D5795" w:rsidRDefault="007D5795" w:rsidP="007D5795">
      <w:pPr>
        <w:pStyle w:val="SangriaFrancesaArticulo"/>
      </w:pPr>
    </w:p>
    <w:p w14:paraId="4111D4CA" w14:textId="77777777" w:rsidR="007D5795" w:rsidRDefault="007D5795" w:rsidP="007D5795">
      <w:pPr>
        <w:pStyle w:val="TextoNormalNegritaCursivandice"/>
        <w:keepNext/>
      </w:pPr>
      <w:r>
        <w:t>Constitución de la República del Ecuador, de 28 de septiembre de 2008</w:t>
      </w:r>
    </w:p>
    <w:p w14:paraId="6CA9871A" w14:textId="3E68C4D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VP.</w:t>
      </w:r>
    </w:p>
    <w:p w14:paraId="7926DC18" w14:textId="3293EFF6" w:rsidR="007D5795" w:rsidRDefault="007D5795" w:rsidP="007D5795">
      <w:pPr>
        <w:pStyle w:val="SangriaFrancesaArticulo"/>
      </w:pPr>
      <w:r w:rsidRPr="007D5795">
        <w:rPr>
          <w:rStyle w:val="TextoNormalNegritaCaracter"/>
        </w:rPr>
        <w:t>Artículo 71.</w:t>
      </w:r>
      <w:r w:rsidRPr="007D5795">
        <w:rPr>
          <w:rStyle w:val="TextoNormalCaracter"/>
        </w:rPr>
        <w:t>-</w:t>
      </w:r>
      <w:r>
        <w:t xml:space="preserve"> Sentencia </w:t>
      </w:r>
      <w:hyperlink w:anchor="SENTENCIA_2024_142" w:history="1">
        <w:r w:rsidRPr="007D5795">
          <w:rPr>
            <w:rStyle w:val="TextoNormalCaracter"/>
          </w:rPr>
          <w:t>142/2024</w:t>
        </w:r>
      </w:hyperlink>
      <w:r>
        <w:t>, f. 3, VP.</w:t>
      </w:r>
    </w:p>
    <w:p w14:paraId="7F24E8F4" w14:textId="50F17D8F" w:rsidR="007D5795" w:rsidRDefault="007D5795" w:rsidP="007D5795">
      <w:pPr>
        <w:pStyle w:val="SangriaFrancesaArticulo"/>
      </w:pPr>
      <w:r w:rsidRPr="007D5795">
        <w:rPr>
          <w:rStyle w:val="TextoNormalNegritaCaracter"/>
        </w:rPr>
        <w:t>Artículo 73.</w:t>
      </w:r>
      <w:r w:rsidRPr="007D5795">
        <w:rPr>
          <w:rStyle w:val="TextoNormalCaracter"/>
        </w:rPr>
        <w:t>-</w:t>
      </w:r>
      <w:r>
        <w:t xml:space="preserve"> Sentencia </w:t>
      </w:r>
      <w:hyperlink w:anchor="SENTENCIA_2024_142" w:history="1">
        <w:r w:rsidRPr="007D5795">
          <w:rPr>
            <w:rStyle w:val="TextoNormalCaracter"/>
          </w:rPr>
          <w:t>142/2024</w:t>
        </w:r>
      </w:hyperlink>
      <w:r>
        <w:t>, VP.</w:t>
      </w:r>
    </w:p>
    <w:p w14:paraId="476DF918" w14:textId="33070870" w:rsidR="007D5795" w:rsidRDefault="007D5795" w:rsidP="007D5795">
      <w:pPr>
        <w:pStyle w:val="SangriaFrancesaArticulo"/>
      </w:pPr>
      <w:r w:rsidRPr="007D5795">
        <w:rPr>
          <w:rStyle w:val="TextoNormalNegritaCaracter"/>
        </w:rPr>
        <w:t>Artículo 395.4.</w:t>
      </w:r>
      <w:r w:rsidRPr="007D5795">
        <w:rPr>
          <w:rStyle w:val="TextoNormalCaracter"/>
        </w:rPr>
        <w:t>-</w:t>
      </w:r>
      <w:r>
        <w:t xml:space="preserve"> Sentencia </w:t>
      </w:r>
      <w:hyperlink w:anchor="SENTENCIA_2024_142" w:history="1">
        <w:r w:rsidRPr="007D5795">
          <w:rPr>
            <w:rStyle w:val="TextoNormalCaracter"/>
          </w:rPr>
          <w:t>142/2024</w:t>
        </w:r>
      </w:hyperlink>
      <w:r>
        <w:t>, VP.</w:t>
      </w:r>
    </w:p>
    <w:p w14:paraId="287736C3" w14:textId="007C9BB4" w:rsidR="007D5795" w:rsidRDefault="007D5795" w:rsidP="007D5795">
      <w:pPr>
        <w:pStyle w:val="SangriaFrancesaArticulo"/>
      </w:pPr>
    </w:p>
    <w:p w14:paraId="2AA358B0" w14:textId="77777777" w:rsidR="007D5795" w:rsidRDefault="007D5795" w:rsidP="007D5795">
      <w:pPr>
        <w:pStyle w:val="TextoNormalNegritaCursivandice"/>
        <w:keepNext/>
      </w:pPr>
      <w:r>
        <w:t>Ley núm. 71 del Estado plurinacional de Bolivia, de 21 de diciembre de 2010, de derechos de la madre tierra</w:t>
      </w:r>
    </w:p>
    <w:p w14:paraId="5A8BE37E" w14:textId="01929DF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3.</w:t>
      </w:r>
    </w:p>
    <w:p w14:paraId="23AAE4D0" w14:textId="0D9954B0" w:rsidR="007D5795" w:rsidRDefault="007D5795" w:rsidP="007D5795">
      <w:pPr>
        <w:pStyle w:val="SangriaFrancesaArticulo"/>
      </w:pPr>
      <w:r w:rsidRPr="007D5795">
        <w:rPr>
          <w:rStyle w:val="TextoNormalNegritaCaracter"/>
        </w:rPr>
        <w:t>Artículo 3.</w:t>
      </w:r>
      <w:r w:rsidRPr="007D5795">
        <w:rPr>
          <w:rStyle w:val="TextoNormalCaracter"/>
        </w:rPr>
        <w:t>-</w:t>
      </w:r>
      <w:r>
        <w:t xml:space="preserve"> Sentencia </w:t>
      </w:r>
      <w:hyperlink w:anchor="SENTENCIA_2024_142" w:history="1">
        <w:r w:rsidRPr="007D5795">
          <w:rPr>
            <w:rStyle w:val="TextoNormalCaracter"/>
          </w:rPr>
          <w:t>142/2024</w:t>
        </w:r>
      </w:hyperlink>
      <w:r>
        <w:t>, VP.</w:t>
      </w:r>
    </w:p>
    <w:p w14:paraId="6F08C507" w14:textId="3E7B8505" w:rsidR="007D5795" w:rsidRDefault="007D5795" w:rsidP="007D5795">
      <w:pPr>
        <w:pStyle w:val="SangriaFrancesaArticulo"/>
      </w:pPr>
    </w:p>
    <w:p w14:paraId="131DD77F" w14:textId="77777777" w:rsidR="007D5795" w:rsidRDefault="007D5795" w:rsidP="007D5795">
      <w:pPr>
        <w:pStyle w:val="TextoNormalNegritaCursivandice"/>
        <w:keepNext/>
      </w:pPr>
      <w:r>
        <w:t>Ley núm. 300 del Estado plurinacional de Bolivia, de 15 de octubre de 2012, marco de la madre tierra y desarrollo integral para vivir bien</w:t>
      </w:r>
    </w:p>
    <w:p w14:paraId="1F8B53E5" w14:textId="764FAF5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3.</w:t>
      </w:r>
    </w:p>
    <w:p w14:paraId="2050C2CB" w14:textId="554DAA4E" w:rsidR="007D5795" w:rsidRDefault="007D5795" w:rsidP="007D5795">
      <w:pPr>
        <w:pStyle w:val="SangriaFrancesaArticulo"/>
      </w:pPr>
    </w:p>
    <w:p w14:paraId="0B18CB00" w14:textId="77777777" w:rsidR="007D5795" w:rsidRDefault="007D5795" w:rsidP="007D5795">
      <w:pPr>
        <w:pStyle w:val="TextoNormalNegritaCursivandice"/>
        <w:keepNext/>
      </w:pPr>
      <w:r>
        <w:t>Ordenanza del Ayuntamiento de la ciudad de Santa Mónica (Estados Unidos de América), de 9 de abril de 2013, por la que se establecen derechos de movilidad sostenible</w:t>
      </w:r>
    </w:p>
    <w:p w14:paraId="0DF70262" w14:textId="3795D88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3.</w:t>
      </w:r>
    </w:p>
    <w:p w14:paraId="4DE05EBF" w14:textId="339FA12D" w:rsidR="007D5795" w:rsidRDefault="007D5795" w:rsidP="007D5795">
      <w:pPr>
        <w:pStyle w:val="SangriaFrancesaArticulo"/>
      </w:pPr>
    </w:p>
    <w:p w14:paraId="79AA9B38" w14:textId="77777777" w:rsidR="007D5795" w:rsidRDefault="007D5795" w:rsidP="007D5795">
      <w:pPr>
        <w:pStyle w:val="TextoNormalNegritaCursivandice"/>
        <w:keepNext/>
      </w:pPr>
      <w:r>
        <w:t>Ley del Reino de Nueva Zelanda, de 27 de julio de 2014, Te Urewera</w:t>
      </w:r>
    </w:p>
    <w:p w14:paraId="4688FF1D" w14:textId="02DD531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3.</w:t>
      </w:r>
    </w:p>
    <w:p w14:paraId="3EAED8C8" w14:textId="54BF360A" w:rsidR="007D5795" w:rsidRDefault="007D5795" w:rsidP="007D5795">
      <w:pPr>
        <w:pStyle w:val="SangriaFrancesaArticulo"/>
      </w:pPr>
    </w:p>
    <w:p w14:paraId="308C6175" w14:textId="77777777" w:rsidR="007D5795" w:rsidRDefault="007D5795" w:rsidP="007D5795">
      <w:pPr>
        <w:pStyle w:val="TextoNormalNegritaCursivandice"/>
        <w:keepNext/>
      </w:pPr>
      <w:r>
        <w:t>Ley del Reino de Nueva Zelanda, de 20 de marzo de 2017, Te Awa Tupua (resolución de reclamaciones sobre el río Whanganui)</w:t>
      </w:r>
    </w:p>
    <w:p w14:paraId="5D4FAE29" w14:textId="67D0D27A"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3.</w:t>
      </w:r>
    </w:p>
    <w:p w14:paraId="1711F554" w14:textId="26FD4513" w:rsidR="007D5795" w:rsidRDefault="007D5795" w:rsidP="007D5795">
      <w:pPr>
        <w:pStyle w:val="SangriaFrancesaArticulo"/>
      </w:pPr>
    </w:p>
    <w:p w14:paraId="69CB8EE2" w14:textId="77777777" w:rsidR="007D5795" w:rsidRDefault="007D5795" w:rsidP="007D5795">
      <w:pPr>
        <w:pStyle w:val="TextoNormalNegritaCursivandice"/>
        <w:keepNext/>
      </w:pPr>
      <w:r>
        <w:t>Ley 49/2017, de la Mancomunidad de Australia, de 1 de diciembre, de protección del río Yarra</w:t>
      </w:r>
    </w:p>
    <w:p w14:paraId="701BB2B0" w14:textId="3840149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3.</w:t>
      </w:r>
    </w:p>
    <w:p w14:paraId="382963A0" w14:textId="26DFBB28" w:rsidR="007D5795" w:rsidRDefault="007D5795" w:rsidP="007D5795">
      <w:pPr>
        <w:pStyle w:val="SangriaFrancesaArticulo"/>
      </w:pPr>
    </w:p>
    <w:p w14:paraId="5805DDC5" w14:textId="77777777" w:rsidR="007D5795" w:rsidRDefault="007D5795" w:rsidP="007D5795">
      <w:pPr>
        <w:pStyle w:val="TextoNormalNegritaCursivandice"/>
        <w:keepNext/>
      </w:pPr>
      <w:r>
        <w:t>Ley Orgánica 1/2017, de 21 de diciembre, de la Municipalidad de Bonito (Estado de Pernambuco), que modifica el artículo 236 de la Ley Orgánica municipal por la que se reconocen los derechos de la naturaleza</w:t>
      </w:r>
    </w:p>
    <w:p w14:paraId="5499DD69" w14:textId="44D2E6C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3.</w:t>
      </w:r>
    </w:p>
    <w:p w14:paraId="17CE8A6A" w14:textId="69A0B057" w:rsidR="007D5795" w:rsidRDefault="007D5795" w:rsidP="007D5795">
      <w:pPr>
        <w:pStyle w:val="SangriaFrancesaArticulo"/>
      </w:pPr>
    </w:p>
    <w:p w14:paraId="73AD4405" w14:textId="77777777" w:rsidR="007D5795" w:rsidRDefault="007D5795" w:rsidP="007D5795">
      <w:pPr>
        <w:pStyle w:val="TextoNormalNegritaCursivandice"/>
        <w:keepNext/>
      </w:pPr>
      <w:r>
        <w:t>Ley Orgánica 3/2018, de 2 de mayo, de la Municipalidad de Paudalho (Estado de Pernambuco), que modifica el artículo 181 de la Ley Orgánica municipal por la que se reconocen los derechos de la naturaleza</w:t>
      </w:r>
    </w:p>
    <w:p w14:paraId="3B876B6F" w14:textId="1A3341E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3.</w:t>
      </w:r>
    </w:p>
    <w:p w14:paraId="6FE8224F" w14:textId="37791780" w:rsidR="007D5795" w:rsidRDefault="007D5795" w:rsidP="007D5795">
      <w:pPr>
        <w:pStyle w:val="SangriaFrancesaArticulo"/>
      </w:pPr>
    </w:p>
    <w:p w14:paraId="75121B6D" w14:textId="77777777" w:rsidR="007D5795" w:rsidRDefault="007D5795" w:rsidP="007D5795">
      <w:pPr>
        <w:pStyle w:val="TextoNormalNegritaCursivandice"/>
        <w:keepNext/>
      </w:pPr>
      <w:r>
        <w:t>Ley Orgánica 47/2019, de 12 de noviembre, de la Municipalidad de Florianópolis (Estado de Santa Catarina), que modifica el artículo 133 de la Ley Orgánica del municipio de Florianópolis</w:t>
      </w:r>
    </w:p>
    <w:p w14:paraId="2D4C6E98" w14:textId="56B4AEB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3.</w:t>
      </w:r>
    </w:p>
    <w:p w14:paraId="3E6F3498" w14:textId="4B41905F" w:rsidR="007D5795" w:rsidRDefault="007D5795" w:rsidP="007D5795">
      <w:pPr>
        <w:pStyle w:val="SangriaFrancesaArticulo"/>
      </w:pPr>
    </w:p>
    <w:p w14:paraId="2E29E749" w14:textId="77777777" w:rsidR="007D5795" w:rsidRDefault="007D5795" w:rsidP="007D5795">
      <w:pPr>
        <w:pStyle w:val="TextoNormalNegritaCursivandice"/>
        <w:keepNext/>
      </w:pPr>
      <w:r>
        <w:t>Ley de la República Federal de Alemania, de 12 de diciembre de 2019, de protección del clima</w:t>
      </w:r>
    </w:p>
    <w:p w14:paraId="490963EE" w14:textId="58A41D34" w:rsidR="007D5795" w:rsidRDefault="007D5795" w:rsidP="007D5795">
      <w:pPr>
        <w:pStyle w:val="SangriaFrancesaArticulo"/>
      </w:pPr>
      <w:r w:rsidRPr="007D5795">
        <w:rPr>
          <w:rStyle w:val="TextoNormalNegritaCaracter"/>
        </w:rPr>
        <w:t>Artículo 3.</w:t>
      </w:r>
      <w:r w:rsidRPr="007D5795">
        <w:rPr>
          <w:rStyle w:val="TextoNormalCaracter"/>
        </w:rPr>
        <w:t>-</w:t>
      </w:r>
      <w:r>
        <w:t xml:space="preserve"> Sentencia </w:t>
      </w:r>
      <w:hyperlink w:anchor="SENTENCIA_2024_142" w:history="1">
        <w:r w:rsidRPr="007D5795">
          <w:rPr>
            <w:rStyle w:val="TextoNormalCaracter"/>
          </w:rPr>
          <w:t>142/2024</w:t>
        </w:r>
      </w:hyperlink>
      <w:r>
        <w:t>, VP.</w:t>
      </w:r>
    </w:p>
    <w:p w14:paraId="02E8D7D5" w14:textId="4FEAD976" w:rsidR="007D5795" w:rsidRDefault="007D5795" w:rsidP="007D5795">
      <w:pPr>
        <w:pStyle w:val="SangriaFrancesaArticulo"/>
      </w:pPr>
      <w:r w:rsidRPr="007D5795">
        <w:rPr>
          <w:rStyle w:val="TextoNormalNegritaCaracter"/>
        </w:rPr>
        <w:t>Artículo 4.</w:t>
      </w:r>
      <w:r w:rsidRPr="007D5795">
        <w:rPr>
          <w:rStyle w:val="TextoNormalCaracter"/>
        </w:rPr>
        <w:t>-</w:t>
      </w:r>
      <w:r>
        <w:t xml:space="preserve"> Sentencia </w:t>
      </w:r>
      <w:hyperlink w:anchor="SENTENCIA_2024_142" w:history="1">
        <w:r w:rsidRPr="007D5795">
          <w:rPr>
            <w:rStyle w:val="TextoNormalCaracter"/>
          </w:rPr>
          <w:t>142/2024</w:t>
        </w:r>
      </w:hyperlink>
      <w:r>
        <w:t>, VP.</w:t>
      </w:r>
    </w:p>
    <w:p w14:paraId="665B5B14" w14:textId="59C2028E" w:rsidR="007D5795" w:rsidRDefault="007D5795" w:rsidP="007D5795">
      <w:pPr>
        <w:pStyle w:val="SangriaFrancesaArticulo"/>
      </w:pPr>
    </w:p>
    <w:p w14:paraId="6D314183" w14:textId="77777777" w:rsidR="007D5795" w:rsidRDefault="007D5795" w:rsidP="007D5795">
      <w:pPr>
        <w:pStyle w:val="TextoNormalNegritaCursivandice"/>
        <w:keepNext/>
      </w:pPr>
      <w:r>
        <w:t>Resolución 25-21, de 16 de febrero de 2021, del condado regional del municipio de Minganie en Côte-Nord, Quebec, Canadá, de Reconocimiento de la personalidad jurídica y los derechos del río Magpie (Mutehekau Shipu)</w:t>
      </w:r>
    </w:p>
    <w:p w14:paraId="5B547D9A" w14:textId="5312290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3.</w:t>
      </w:r>
    </w:p>
    <w:p w14:paraId="5D6B0F4A" w14:textId="6F3670E8" w:rsidR="007D5795" w:rsidRDefault="007D5795">
      <w:pPr>
        <w:spacing w:after="160" w:line="278" w:lineRule="auto"/>
        <w:rPr>
          <w:rFonts w:ascii="Times New Roman" w:eastAsia="Times New Roman" w:hAnsi="Times New Roman" w:cs="Times New Roman"/>
          <w:sz w:val="24"/>
          <w:szCs w:val="24"/>
          <w:lang w:eastAsia="es-ES"/>
        </w:rPr>
      </w:pPr>
      <w:r>
        <w:br w:type="page"/>
      </w:r>
    </w:p>
    <w:p w14:paraId="16966B1F" w14:textId="77777777" w:rsidR="007D5795" w:rsidRDefault="007D5795" w:rsidP="007D5795">
      <w:pPr>
        <w:pStyle w:val="SangriaFrancesaArticulo"/>
      </w:pPr>
    </w:p>
    <w:p w14:paraId="221D99A5" w14:textId="77777777" w:rsidR="007D5795" w:rsidRDefault="007D5795" w:rsidP="007D5795">
      <w:pPr>
        <w:pStyle w:val="TextoNormal"/>
      </w:pPr>
    </w:p>
    <w:p w14:paraId="5196C336" w14:textId="77777777" w:rsidR="007D5795" w:rsidRDefault="007D5795" w:rsidP="007D5795">
      <w:pPr>
        <w:pStyle w:val="TextoNormal"/>
      </w:pPr>
    </w:p>
    <w:p w14:paraId="6B3FDADC" w14:textId="77777777" w:rsidR="007D5795" w:rsidRDefault="007D5795" w:rsidP="007D5795">
      <w:pPr>
        <w:pStyle w:val="TextoNormal"/>
      </w:pPr>
    </w:p>
    <w:p w14:paraId="507652C5" w14:textId="77777777" w:rsidR="007D5795" w:rsidRDefault="007D5795" w:rsidP="007D5795">
      <w:pPr>
        <w:pStyle w:val="Ttulondice"/>
        <w:suppressAutoHyphens/>
      </w:pPr>
      <w:r>
        <w:t>6. ÍNDICE DE RESOLUCIONES DE OTROS TRIBUNALES CITADAS</w:t>
      </w:r>
    </w:p>
    <w:p w14:paraId="48D1CB9A" w14:textId="337CA944" w:rsidR="007D5795" w:rsidRDefault="007D5795" w:rsidP="007D5795">
      <w:pPr>
        <w:pStyle w:val="TextoNormal"/>
        <w:suppressAutoHyphens/>
      </w:pPr>
    </w:p>
    <w:p w14:paraId="7941E9FE" w14:textId="77777777" w:rsidR="007D5795" w:rsidRDefault="007D5795" w:rsidP="007D5795">
      <w:pPr>
        <w:pStyle w:val="TextoNormal"/>
        <w:suppressAutoHyphens/>
      </w:pPr>
    </w:p>
    <w:p w14:paraId="45833E7C" w14:textId="77777777" w:rsidR="007D5795" w:rsidRDefault="007D5795" w:rsidP="007D5795">
      <w:pPr>
        <w:pStyle w:val="TextoNormal"/>
        <w:suppressAutoHyphens/>
      </w:pPr>
    </w:p>
    <w:p w14:paraId="5A1E8161" w14:textId="77777777" w:rsidR="007D5795" w:rsidRDefault="007D5795" w:rsidP="007D5795">
      <w:pPr>
        <w:pStyle w:val="TextoNormal"/>
        <w:suppressAutoHyphens/>
      </w:pPr>
    </w:p>
    <w:p w14:paraId="0AEAD0AF" w14:textId="77777777" w:rsidR="007D5795" w:rsidRDefault="007D5795" w:rsidP="007D5795">
      <w:pPr>
        <w:pStyle w:val="TextoNormal"/>
        <w:suppressAutoHyphens/>
      </w:pPr>
    </w:p>
    <w:p w14:paraId="5C00BC65" w14:textId="77777777" w:rsidR="007D5795" w:rsidRDefault="007D5795" w:rsidP="007D5795">
      <w:pPr>
        <w:pStyle w:val="TextoNormal"/>
        <w:suppressAutoHyphens/>
      </w:pPr>
    </w:p>
    <w:p w14:paraId="29AE3D14" w14:textId="77777777" w:rsidR="007D5795" w:rsidRDefault="007D5795" w:rsidP="007D5795">
      <w:pPr>
        <w:pStyle w:val="TextoNormal"/>
        <w:suppressAutoHyphens/>
      </w:pPr>
    </w:p>
    <w:p w14:paraId="2481954D" w14:textId="77777777" w:rsidR="007D5795" w:rsidRDefault="007D5795" w:rsidP="007D5795">
      <w:pPr>
        <w:pStyle w:val="TextoNormal"/>
        <w:suppressAutoHyphens/>
      </w:pPr>
    </w:p>
    <w:p w14:paraId="0DA79D35" w14:textId="77777777" w:rsidR="007D5795" w:rsidRDefault="007D5795" w:rsidP="007D5795">
      <w:pPr>
        <w:pStyle w:val="TextoNormal"/>
        <w:suppressAutoHyphens/>
      </w:pPr>
    </w:p>
    <w:p w14:paraId="1F74CEB9" w14:textId="77777777" w:rsidR="007D5795" w:rsidRDefault="007D5795" w:rsidP="007D5795">
      <w:pPr>
        <w:pStyle w:val="TextoNormal"/>
      </w:pPr>
    </w:p>
    <w:p w14:paraId="1E83CD61" w14:textId="77777777" w:rsidR="007D5795" w:rsidRDefault="007D5795" w:rsidP="007D5795">
      <w:pPr>
        <w:pStyle w:val="TextoNormal"/>
      </w:pPr>
      <w:bookmarkStart w:id="184" w:name="INDICE22805"/>
      <w:bookmarkEnd w:id="184"/>
    </w:p>
    <w:p w14:paraId="2BE41C9A" w14:textId="77777777" w:rsidR="007D5795" w:rsidRDefault="007D5795" w:rsidP="007D5795">
      <w:pPr>
        <w:pStyle w:val="TextoIndiceNivel2"/>
        <w:suppressAutoHyphens/>
      </w:pPr>
      <w:r>
        <w:t>A) Tribunal Europeo de Derechos Humanos</w:t>
      </w:r>
    </w:p>
    <w:p w14:paraId="3922989D" w14:textId="7F4597F9" w:rsidR="007D5795" w:rsidRDefault="007D5795" w:rsidP="007D5795">
      <w:pPr>
        <w:pStyle w:val="TextoIndiceNivel2"/>
      </w:pPr>
    </w:p>
    <w:p w14:paraId="20E34285" w14:textId="77777777" w:rsidR="007D5795" w:rsidRDefault="007D5795" w:rsidP="007D5795">
      <w:pPr>
        <w:pStyle w:val="TextoNormalNegritaCursivandice"/>
        <w:keepNext/>
      </w:pPr>
      <w:r>
        <w:t>Sentencia del Tribunal Europeo de Derechos Humanos de 18 de enero de 1978 (Irlanda c. Reino Unido)</w:t>
      </w:r>
    </w:p>
    <w:p w14:paraId="2E6954DF" w14:textId="0CE0DACB" w:rsidR="007D5795" w:rsidRDefault="007D5795" w:rsidP="007D5795">
      <w:pPr>
        <w:pStyle w:val="SangriaFrancesaArticulo"/>
      </w:pPr>
      <w:r w:rsidRPr="007D5795">
        <w:rPr>
          <w:rStyle w:val="TextoNormalNegritaCaracter"/>
        </w:rPr>
        <w:t>§ 162.</w:t>
      </w:r>
      <w:r w:rsidRPr="007D5795">
        <w:rPr>
          <w:rStyle w:val="TextoNormalCaracter"/>
        </w:rPr>
        <w:t>-</w:t>
      </w:r>
      <w:r>
        <w:t xml:space="preserve"> Sentencia </w:t>
      </w:r>
      <w:hyperlink w:anchor="SENTENCIA_2024_105" w:history="1">
        <w:r w:rsidRPr="007D5795">
          <w:rPr>
            <w:rStyle w:val="TextoNormalCaracter"/>
          </w:rPr>
          <w:t>105/2024</w:t>
        </w:r>
      </w:hyperlink>
      <w:r>
        <w:t>, f. 2.</w:t>
      </w:r>
    </w:p>
    <w:p w14:paraId="2750BE32" w14:textId="5F9D3E3B" w:rsidR="007D5795" w:rsidRDefault="007D5795" w:rsidP="007D5795">
      <w:pPr>
        <w:pStyle w:val="SangriaFrancesaArticulo"/>
      </w:pPr>
    </w:p>
    <w:p w14:paraId="040C7A1E" w14:textId="77777777" w:rsidR="007D5795" w:rsidRDefault="007D5795" w:rsidP="007D5795">
      <w:pPr>
        <w:pStyle w:val="TextoNormalNegritaCursivandice"/>
        <w:keepNext/>
      </w:pPr>
      <w:r>
        <w:t>Sentencia del Tribunal Europeo de Derechos Humanos de 26 de abril de 1979 (The Sunday Times c. Reino Unido —núm. 1—)</w:t>
      </w:r>
    </w:p>
    <w:p w14:paraId="269CBD7F" w14:textId="0E29F1D5" w:rsidR="007D5795" w:rsidRDefault="007D5795" w:rsidP="007D5795">
      <w:pPr>
        <w:pStyle w:val="SangriaFrancesaArticulo"/>
      </w:pPr>
      <w:r w:rsidRPr="007D5795">
        <w:rPr>
          <w:rStyle w:val="TextoNormalNegritaCaracter"/>
        </w:rPr>
        <w:t>§ 49.</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676D8B01" w14:textId="707A8066" w:rsidR="007D5795" w:rsidRDefault="007D5795" w:rsidP="007D5795">
      <w:pPr>
        <w:pStyle w:val="SangriaFrancesaArticulo"/>
      </w:pPr>
    </w:p>
    <w:p w14:paraId="45E78FB1" w14:textId="77777777" w:rsidR="007D5795" w:rsidRDefault="007D5795" w:rsidP="007D5795">
      <w:pPr>
        <w:pStyle w:val="TextoNormalNegritaCursivandice"/>
        <w:keepNext/>
      </w:pPr>
      <w:r>
        <w:t>Sentencia del Tribunal Europeo de Derechos Humanos de 13 de junio de 1979 (Marckx c. Bélgica)</w:t>
      </w:r>
    </w:p>
    <w:p w14:paraId="75E9C026" w14:textId="27CD534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5.</w:t>
      </w:r>
    </w:p>
    <w:p w14:paraId="586444DD" w14:textId="19B2A828" w:rsidR="007D5795" w:rsidRDefault="007D5795" w:rsidP="007D5795">
      <w:pPr>
        <w:pStyle w:val="SangriaFrancesaArticulo"/>
      </w:pPr>
    </w:p>
    <w:p w14:paraId="14FF62DB" w14:textId="77777777" w:rsidR="007D5795" w:rsidRDefault="007D5795" w:rsidP="007D5795">
      <w:pPr>
        <w:pStyle w:val="TextoNormalNegritaCursivandice"/>
        <w:keepNext/>
      </w:pPr>
      <w:r>
        <w:t>Sentencia del Tribunal Europeo de Derechos Humanos de 25 de febrero de 1982 (Campbell y Cosans c. Reino Unido)</w:t>
      </w:r>
    </w:p>
    <w:p w14:paraId="2803F713" w14:textId="565006C8" w:rsidR="007D5795" w:rsidRDefault="007D5795" w:rsidP="007D5795">
      <w:pPr>
        <w:pStyle w:val="SangriaFrancesaArticulo"/>
      </w:pPr>
      <w:r w:rsidRPr="007D5795">
        <w:rPr>
          <w:rStyle w:val="TextoNormalNegritaCaracter"/>
        </w:rPr>
        <w:t>§ 28.</w:t>
      </w:r>
      <w:r w:rsidRPr="007D5795">
        <w:rPr>
          <w:rStyle w:val="TextoNormalCaracter"/>
        </w:rPr>
        <w:t>-</w:t>
      </w:r>
      <w:r>
        <w:t xml:space="preserve"> Sentencia </w:t>
      </w:r>
      <w:hyperlink w:anchor="SENTENCIA_2024_105" w:history="1">
        <w:r w:rsidRPr="007D5795">
          <w:rPr>
            <w:rStyle w:val="TextoNormalCaracter"/>
          </w:rPr>
          <w:t>105/2024</w:t>
        </w:r>
      </w:hyperlink>
      <w:r>
        <w:t>, f. 2.</w:t>
      </w:r>
    </w:p>
    <w:p w14:paraId="61C632DB" w14:textId="0B99D819" w:rsidR="007D5795" w:rsidRDefault="007D5795" w:rsidP="007D5795">
      <w:pPr>
        <w:pStyle w:val="SangriaFrancesaArticulo"/>
      </w:pPr>
    </w:p>
    <w:p w14:paraId="059DB66D" w14:textId="77777777" w:rsidR="007D5795" w:rsidRDefault="007D5795" w:rsidP="007D5795">
      <w:pPr>
        <w:pStyle w:val="TextoNormalNegritaCursivandice"/>
        <w:keepNext/>
      </w:pPr>
      <w:r>
        <w:t>Sentencia del Tribunal Europeo de Derechos Humanos de 25 de marzo de 1993 (Costello-Roberts c. Reino Unido)</w:t>
      </w:r>
    </w:p>
    <w:p w14:paraId="2224F500" w14:textId="71DFA296" w:rsidR="007D5795" w:rsidRDefault="007D5795" w:rsidP="007D5795">
      <w:pPr>
        <w:pStyle w:val="SangriaFrancesaArticulo"/>
      </w:pPr>
      <w:r w:rsidRPr="007D5795">
        <w:rPr>
          <w:rStyle w:val="TextoNormalNegritaCaracter"/>
        </w:rPr>
        <w:t>§ 30.</w:t>
      </w:r>
      <w:r w:rsidRPr="007D5795">
        <w:rPr>
          <w:rStyle w:val="TextoNormalCaracter"/>
        </w:rPr>
        <w:t>-</w:t>
      </w:r>
      <w:r>
        <w:t xml:space="preserve"> Sentencia </w:t>
      </w:r>
      <w:hyperlink w:anchor="SENTENCIA_2024_105" w:history="1">
        <w:r w:rsidRPr="007D5795">
          <w:rPr>
            <w:rStyle w:val="TextoNormalCaracter"/>
          </w:rPr>
          <w:t>105/2024</w:t>
        </w:r>
      </w:hyperlink>
      <w:r>
        <w:t>, f. 2.</w:t>
      </w:r>
    </w:p>
    <w:p w14:paraId="68B05837" w14:textId="503526F9" w:rsidR="007D5795" w:rsidRDefault="007D5795" w:rsidP="007D5795">
      <w:pPr>
        <w:pStyle w:val="SangriaFrancesaArticulo"/>
      </w:pPr>
    </w:p>
    <w:p w14:paraId="36E03C1B" w14:textId="77777777" w:rsidR="007D5795" w:rsidRDefault="007D5795" w:rsidP="007D5795">
      <w:pPr>
        <w:pStyle w:val="TextoNormalNegritaCursivandice"/>
        <w:keepNext/>
      </w:pPr>
      <w:r>
        <w:t>Sentencia del Tribunal Europeo de Derechos Humanos de 10 de febrero de 1995 (Allenet de Ribemont c. Francia)</w:t>
      </w:r>
    </w:p>
    <w:p w14:paraId="74A4E976" w14:textId="5C17E544"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5" w:history="1">
        <w:r w:rsidRPr="007D5795">
          <w:rPr>
            <w:rStyle w:val="TextoNormalCaracter"/>
          </w:rPr>
          <w:t>95/2024</w:t>
        </w:r>
      </w:hyperlink>
      <w:r>
        <w:t>, f. 6.</w:t>
      </w:r>
    </w:p>
    <w:p w14:paraId="23CF6ECB" w14:textId="2BB1CD42" w:rsidR="007D5795" w:rsidRDefault="007D5795" w:rsidP="007D5795">
      <w:pPr>
        <w:pStyle w:val="SangriaFrancesaArticulo"/>
      </w:pPr>
      <w:r w:rsidRPr="007D5795">
        <w:rPr>
          <w:rStyle w:val="TextoNormalNegritaCaracter"/>
        </w:rPr>
        <w:t>§ 36.</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8" w:history="1">
        <w:r w:rsidRPr="007D5795">
          <w:rPr>
            <w:rStyle w:val="TextoNormalCaracter"/>
          </w:rPr>
          <w:t>98/2024</w:t>
        </w:r>
      </w:hyperlink>
      <w:r>
        <w:t>, f. 7.</w:t>
      </w:r>
    </w:p>
    <w:p w14:paraId="265304AC" w14:textId="19186973" w:rsidR="007D5795" w:rsidRDefault="007D5795" w:rsidP="007D5795">
      <w:pPr>
        <w:pStyle w:val="SangriaFrancesaArticulo"/>
      </w:pPr>
      <w:r w:rsidRPr="007D5795">
        <w:rPr>
          <w:rStyle w:val="TextoNormalNegritaCaracter"/>
        </w:rPr>
        <w:t>§ 36-37.</w:t>
      </w:r>
      <w:r w:rsidRPr="007D5795">
        <w:rPr>
          <w:rStyle w:val="TextoNormalCaracter"/>
        </w:rPr>
        <w:t>-</w:t>
      </w:r>
      <w:r>
        <w:t xml:space="preserve"> Sentencia </w:t>
      </w:r>
      <w:hyperlink w:anchor="SENTENCIA_2024_100" w:history="1">
        <w:r w:rsidRPr="007D5795">
          <w:rPr>
            <w:rStyle w:val="TextoNormalCaracter"/>
          </w:rPr>
          <w:t>100/2024</w:t>
        </w:r>
      </w:hyperlink>
      <w:r>
        <w:t>, f. 7.</w:t>
      </w:r>
    </w:p>
    <w:p w14:paraId="5B1886E5" w14:textId="7EB578F9" w:rsidR="007D5795" w:rsidRDefault="007D5795" w:rsidP="007D5795">
      <w:pPr>
        <w:pStyle w:val="SangriaFrancesaArticulo"/>
      </w:pPr>
      <w:r w:rsidRPr="007D5795">
        <w:rPr>
          <w:rStyle w:val="TextoNormalNegritaCaracter"/>
        </w:rPr>
        <w:t>§ 36.</w:t>
      </w:r>
      <w:r w:rsidRPr="007D5795">
        <w:rPr>
          <w:rStyle w:val="TextoNormalCaracter"/>
        </w:rPr>
        <w:t>-</w:t>
      </w:r>
      <w:r>
        <w:t xml:space="preserve"> Sentencia </w:t>
      </w:r>
      <w:hyperlink w:anchor="SENTENCIA_2024_101" w:history="1">
        <w:r w:rsidRPr="007D5795">
          <w:rPr>
            <w:rStyle w:val="TextoNormalCaracter"/>
          </w:rPr>
          <w:t>101/2024</w:t>
        </w:r>
      </w:hyperlink>
      <w:r>
        <w:t>, f. 5.</w:t>
      </w:r>
    </w:p>
    <w:p w14:paraId="3FA6E61A" w14:textId="46E41FA0" w:rsidR="007D5795" w:rsidRDefault="007D5795" w:rsidP="007D5795">
      <w:pPr>
        <w:pStyle w:val="SangriaFrancesaArticulo"/>
      </w:pPr>
      <w:r w:rsidRPr="007D5795">
        <w:rPr>
          <w:rStyle w:val="TextoNormalNegritaCaracter"/>
        </w:rPr>
        <w:t>§ 37.</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8" w:history="1">
        <w:r w:rsidRPr="007D5795">
          <w:rPr>
            <w:rStyle w:val="TextoNormalCaracter"/>
          </w:rPr>
          <w:t>98/2024</w:t>
        </w:r>
      </w:hyperlink>
      <w:r>
        <w:t xml:space="preserve">, f. 7; </w:t>
      </w:r>
      <w:hyperlink w:anchor="SENTENCIA_2024_101" w:history="1">
        <w:r w:rsidRPr="007D5795">
          <w:rPr>
            <w:rStyle w:val="TextoNormalCaracter"/>
          </w:rPr>
          <w:t>101/2024</w:t>
        </w:r>
      </w:hyperlink>
      <w:r>
        <w:t>, f. 5.</w:t>
      </w:r>
    </w:p>
    <w:p w14:paraId="2C65FAA1" w14:textId="71115A90" w:rsidR="007D5795" w:rsidRDefault="007D5795" w:rsidP="007D5795">
      <w:pPr>
        <w:pStyle w:val="SangriaFrancesaArticulo"/>
      </w:pPr>
      <w:r w:rsidRPr="007D5795">
        <w:rPr>
          <w:rStyle w:val="TextoNormalNegritaCaracter"/>
        </w:rPr>
        <w:t>§ 38.</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98" w:history="1">
        <w:r w:rsidRPr="007D5795">
          <w:rPr>
            <w:rStyle w:val="TextoNormalCaracter"/>
          </w:rPr>
          <w:t>98/2024</w:t>
        </w:r>
      </w:hyperlink>
      <w:r>
        <w:t xml:space="preserve">, f. 7;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f. 5.</w:t>
      </w:r>
    </w:p>
    <w:p w14:paraId="2176EF57" w14:textId="6AC8976C" w:rsidR="007D5795" w:rsidRDefault="007D5795" w:rsidP="007D5795">
      <w:pPr>
        <w:pStyle w:val="SangriaFrancesaArticulo"/>
      </w:pPr>
    </w:p>
    <w:p w14:paraId="52EFC538" w14:textId="77777777" w:rsidR="007D5795" w:rsidRDefault="007D5795" w:rsidP="007D5795">
      <w:pPr>
        <w:pStyle w:val="TextoNormalNegritaCursivandice"/>
        <w:keepNext/>
      </w:pPr>
      <w:r>
        <w:t>Sentencia del Tribunal Europeo de Derechos Humanos de 16 de diciembre de 1997 (Tejedor García c. España)</w:t>
      </w:r>
    </w:p>
    <w:p w14:paraId="19FCBDE1" w14:textId="62EDAA8D" w:rsidR="007D5795" w:rsidRDefault="007D5795" w:rsidP="007D5795">
      <w:pPr>
        <w:pStyle w:val="SangriaFrancesaArticulo"/>
      </w:pPr>
      <w:r w:rsidRPr="007D5795">
        <w:rPr>
          <w:rStyle w:val="TextoNormalNegritaCaracter"/>
        </w:rPr>
        <w:t>§ 27.</w:t>
      </w:r>
      <w:r w:rsidRPr="007D5795">
        <w:rPr>
          <w:rStyle w:val="TextoNormalCaracter"/>
        </w:rPr>
        <w:t>-</w:t>
      </w:r>
      <w:r>
        <w:t xml:space="preserve"> Sentencia </w:t>
      </w:r>
      <w:hyperlink w:anchor="SENTENCIA_2024_144" w:history="1">
        <w:r w:rsidRPr="007D5795">
          <w:rPr>
            <w:rStyle w:val="TextoNormalCaracter"/>
          </w:rPr>
          <w:t>144/2024</w:t>
        </w:r>
      </w:hyperlink>
      <w:r>
        <w:t>, VP II.</w:t>
      </w:r>
    </w:p>
    <w:p w14:paraId="35B7FB00" w14:textId="6E24EF49" w:rsidR="007D5795" w:rsidRDefault="007D5795" w:rsidP="007D5795">
      <w:pPr>
        <w:pStyle w:val="SangriaFrancesaArticulo"/>
      </w:pPr>
    </w:p>
    <w:p w14:paraId="697D1A3F" w14:textId="77777777" w:rsidR="007D5795" w:rsidRDefault="007D5795" w:rsidP="007D5795">
      <w:pPr>
        <w:pStyle w:val="TextoNormalNegritaCursivandice"/>
        <w:keepNext/>
      </w:pPr>
      <w:r>
        <w:t>Sentencia del Tribunal Europeo de Derechos Humanos de 27 de marzo de 1998 (Petrovic c. Austria)</w:t>
      </w:r>
    </w:p>
    <w:p w14:paraId="59B893D2" w14:textId="661F229B" w:rsidR="007D5795" w:rsidRDefault="007D5795" w:rsidP="007D5795">
      <w:pPr>
        <w:pStyle w:val="SangriaFrancesaArticulo"/>
      </w:pPr>
      <w:r w:rsidRPr="007D5795">
        <w:rPr>
          <w:rStyle w:val="TextoNormalNegritaCaracter"/>
        </w:rPr>
        <w:t>§ 27.</w:t>
      </w:r>
      <w:r w:rsidRPr="007D5795">
        <w:rPr>
          <w:rStyle w:val="TextoNormalCaracter"/>
        </w:rPr>
        <w:t>-</w:t>
      </w:r>
      <w:r>
        <w:t xml:space="preserve"> Sentencia </w:t>
      </w:r>
      <w:hyperlink w:anchor="SENTENCIA_2024_140" w:history="1">
        <w:r w:rsidRPr="007D5795">
          <w:rPr>
            <w:rStyle w:val="TextoNormalCaracter"/>
          </w:rPr>
          <w:t>140/2024</w:t>
        </w:r>
      </w:hyperlink>
      <w:r>
        <w:t>, f. 4.</w:t>
      </w:r>
    </w:p>
    <w:p w14:paraId="03B53060" w14:textId="13B98E63" w:rsidR="007D5795" w:rsidRDefault="007D5795" w:rsidP="007D5795">
      <w:pPr>
        <w:pStyle w:val="SangriaFrancesaArticulo"/>
      </w:pPr>
      <w:r w:rsidRPr="007D5795">
        <w:rPr>
          <w:rStyle w:val="TextoNormalNegritaCaracter"/>
        </w:rPr>
        <w:t>§ 36.</w:t>
      </w:r>
      <w:r w:rsidRPr="007D5795">
        <w:rPr>
          <w:rStyle w:val="TextoNormalCaracter"/>
        </w:rPr>
        <w:t>-</w:t>
      </w:r>
      <w:r>
        <w:t xml:space="preserve"> Sentencia </w:t>
      </w:r>
      <w:hyperlink w:anchor="SENTENCIA_2024_140" w:history="1">
        <w:r w:rsidRPr="007D5795">
          <w:rPr>
            <w:rStyle w:val="TextoNormalCaracter"/>
          </w:rPr>
          <w:t>140/2024</w:t>
        </w:r>
      </w:hyperlink>
      <w:r>
        <w:t>, f. 4.</w:t>
      </w:r>
    </w:p>
    <w:p w14:paraId="5D3DFC1E" w14:textId="2DFDFBE4" w:rsidR="007D5795" w:rsidRDefault="007D5795" w:rsidP="007D5795">
      <w:pPr>
        <w:pStyle w:val="SangriaFrancesaArticulo"/>
      </w:pPr>
    </w:p>
    <w:p w14:paraId="4507CB44" w14:textId="77777777" w:rsidR="007D5795" w:rsidRDefault="007D5795" w:rsidP="007D5795">
      <w:pPr>
        <w:pStyle w:val="TextoNormalNegritaCursivandice"/>
        <w:keepNext/>
      </w:pPr>
      <w:r>
        <w:t>Sentencia del Tribunal Europeo de Derechos Humanos de 28 de octubre de 1998 (Castillo Algar c. España)</w:t>
      </w:r>
    </w:p>
    <w:p w14:paraId="6D56ABC6" w14:textId="6E5EEECB" w:rsidR="007D5795" w:rsidRDefault="007D5795" w:rsidP="007D5795">
      <w:pPr>
        <w:pStyle w:val="SangriaFrancesaArticulo"/>
      </w:pPr>
      <w:r w:rsidRPr="007D5795">
        <w:rPr>
          <w:rStyle w:val="TextoNormalNegritaCaracter"/>
        </w:rPr>
        <w:t>§ 45.</w:t>
      </w:r>
      <w:r w:rsidRPr="007D5795">
        <w:rPr>
          <w:rStyle w:val="TextoNormalCaracter"/>
        </w:rPr>
        <w:t>-</w:t>
      </w:r>
      <w:r>
        <w:t xml:space="preserve"> Auto </w:t>
      </w:r>
      <w:hyperlink w:anchor="AUTO_2024_100" w:history="1">
        <w:r w:rsidRPr="007D5795">
          <w:rPr>
            <w:rStyle w:val="TextoNormalCaracter"/>
          </w:rPr>
          <w:t>100/2024</w:t>
        </w:r>
      </w:hyperlink>
      <w:r>
        <w:t>, f. 2.</w:t>
      </w:r>
    </w:p>
    <w:p w14:paraId="44C92463" w14:textId="7385C154" w:rsidR="007D5795" w:rsidRDefault="007D5795" w:rsidP="007D5795">
      <w:pPr>
        <w:pStyle w:val="SangriaFrancesaArticulo"/>
      </w:pPr>
    </w:p>
    <w:p w14:paraId="48F76ECE" w14:textId="77777777" w:rsidR="007D5795" w:rsidRDefault="007D5795" w:rsidP="007D5795">
      <w:pPr>
        <w:pStyle w:val="TextoNormalNegritaCursivandice"/>
        <w:keepNext/>
      </w:pPr>
      <w:r>
        <w:t>Sentencia del Tribunal Europeo de Derechos Humanos de 28 de julio de 1999 (Selmouni c. Francia)</w:t>
      </w:r>
    </w:p>
    <w:p w14:paraId="11354275" w14:textId="38D4E87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5" w:history="1">
        <w:r w:rsidRPr="007D5795">
          <w:rPr>
            <w:rStyle w:val="TextoNormalCaracter"/>
          </w:rPr>
          <w:t>105/2024</w:t>
        </w:r>
      </w:hyperlink>
      <w:r>
        <w:t>, f. 2.</w:t>
      </w:r>
    </w:p>
    <w:p w14:paraId="00219108" w14:textId="22C596C2" w:rsidR="007D5795" w:rsidRDefault="007D5795" w:rsidP="007D5795">
      <w:pPr>
        <w:pStyle w:val="SangriaFrancesaArticulo"/>
      </w:pPr>
    </w:p>
    <w:p w14:paraId="60B4050D" w14:textId="77777777" w:rsidR="007D5795" w:rsidRDefault="007D5795" w:rsidP="007D5795">
      <w:pPr>
        <w:pStyle w:val="TextoNormalNegritaCursivandice"/>
        <w:keepNext/>
      </w:pPr>
      <w:r>
        <w:t>Sentencia del Tribunal Europeo de Derechos Humanos de 6 de abril de 2000 (Thlimmenos c. Grecia)</w:t>
      </w:r>
    </w:p>
    <w:p w14:paraId="18201406" w14:textId="33272115" w:rsidR="007D5795" w:rsidRDefault="007D5795" w:rsidP="007D5795">
      <w:pPr>
        <w:pStyle w:val="SangriaFrancesaArticulo"/>
      </w:pPr>
      <w:r w:rsidRPr="007D5795">
        <w:rPr>
          <w:rStyle w:val="TextoNormalNegritaCaracter"/>
        </w:rPr>
        <w:t>§ 44.</w:t>
      </w:r>
      <w:r w:rsidRPr="007D5795">
        <w:rPr>
          <w:rStyle w:val="TextoNormalCaracter"/>
        </w:rPr>
        <w:t>-</w:t>
      </w:r>
      <w:r>
        <w:t xml:space="preserve"> Sentencia </w:t>
      </w:r>
      <w:hyperlink w:anchor="SENTENCIA_2024_140" w:history="1">
        <w:r w:rsidRPr="007D5795">
          <w:rPr>
            <w:rStyle w:val="TextoNormalCaracter"/>
          </w:rPr>
          <w:t>140/2024</w:t>
        </w:r>
      </w:hyperlink>
      <w:r>
        <w:t>, f. 5.</w:t>
      </w:r>
    </w:p>
    <w:p w14:paraId="32186BE2" w14:textId="6DEF8076" w:rsidR="007D5795" w:rsidRDefault="007D5795" w:rsidP="007D5795">
      <w:pPr>
        <w:pStyle w:val="SangriaFrancesaArticulo"/>
      </w:pPr>
    </w:p>
    <w:p w14:paraId="3C901B88" w14:textId="77777777" w:rsidR="007D5795" w:rsidRDefault="007D5795" w:rsidP="007D5795">
      <w:pPr>
        <w:pStyle w:val="TextoNormalNegritaCursivandice"/>
        <w:keepNext/>
      </w:pPr>
      <w:r>
        <w:t>Sentencia del Tribunal Europeo de Derechos Humanos de 11 de abril de 2000 (Sevtap Veznedaroglu c. Turquía)</w:t>
      </w:r>
    </w:p>
    <w:p w14:paraId="436A4CB1" w14:textId="61D723A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5" w:history="1">
        <w:r w:rsidRPr="007D5795">
          <w:rPr>
            <w:rStyle w:val="TextoNormalCaracter"/>
          </w:rPr>
          <w:t>105/2024</w:t>
        </w:r>
      </w:hyperlink>
      <w:r>
        <w:t>, f. 2.</w:t>
      </w:r>
    </w:p>
    <w:p w14:paraId="798EF51C" w14:textId="7C5E297B" w:rsidR="007D5795" w:rsidRDefault="007D5795" w:rsidP="007D5795">
      <w:pPr>
        <w:pStyle w:val="SangriaFrancesaArticulo"/>
      </w:pPr>
    </w:p>
    <w:p w14:paraId="2A6F9505" w14:textId="77777777" w:rsidR="007D5795" w:rsidRDefault="007D5795" w:rsidP="007D5795">
      <w:pPr>
        <w:pStyle w:val="TextoNormalNegritaCursivandice"/>
        <w:keepNext/>
      </w:pPr>
      <w:r>
        <w:t>Sentencia del Tribunal Europeo de Derechos Humanos de 28 de septiembre de 2000 (Lopes Gomes da Silva c. Portugal)</w:t>
      </w:r>
    </w:p>
    <w:p w14:paraId="6C00860F" w14:textId="0772D188" w:rsidR="007D5795" w:rsidRDefault="007D5795" w:rsidP="007D5795">
      <w:pPr>
        <w:pStyle w:val="SangriaFrancesaArticulo"/>
      </w:pPr>
      <w:r w:rsidRPr="007D5795">
        <w:rPr>
          <w:rStyle w:val="TextoNormalNegritaCaracter"/>
        </w:rPr>
        <w:t>§ 30.</w:t>
      </w:r>
      <w:r w:rsidRPr="007D5795">
        <w:rPr>
          <w:rStyle w:val="TextoNormalCaracter"/>
        </w:rPr>
        <w:t>-</w:t>
      </w:r>
      <w:r>
        <w:t xml:space="preserve"> Auto </w:t>
      </w:r>
      <w:hyperlink w:anchor="AUTO_2024_85" w:history="1">
        <w:r w:rsidRPr="007D5795">
          <w:rPr>
            <w:rStyle w:val="TextoNormalCaracter"/>
          </w:rPr>
          <w:t>85/2024</w:t>
        </w:r>
      </w:hyperlink>
      <w:r>
        <w:t>, VP.</w:t>
      </w:r>
    </w:p>
    <w:p w14:paraId="4D44E06D" w14:textId="66628120" w:rsidR="007D5795" w:rsidRDefault="007D5795" w:rsidP="007D5795">
      <w:pPr>
        <w:pStyle w:val="SangriaFrancesaArticulo"/>
      </w:pPr>
    </w:p>
    <w:p w14:paraId="1E718261" w14:textId="77777777" w:rsidR="007D5795" w:rsidRDefault="007D5795" w:rsidP="007D5795">
      <w:pPr>
        <w:pStyle w:val="TextoNormalNegritaCursivandice"/>
        <w:keepNext/>
      </w:pPr>
      <w:r>
        <w:t>Sentencia del Tribunal Europeo de Derechos Humanos de 26 de octubre de 2000 (Kudla c. Polonia)</w:t>
      </w:r>
    </w:p>
    <w:p w14:paraId="43190FC6" w14:textId="2809F5EA" w:rsidR="007D5795" w:rsidRDefault="007D5795" w:rsidP="007D5795">
      <w:pPr>
        <w:pStyle w:val="SangriaFrancesaArticulo"/>
      </w:pPr>
      <w:r w:rsidRPr="007D5795">
        <w:rPr>
          <w:rStyle w:val="TextoNormalNegritaCaracter"/>
        </w:rPr>
        <w:t>§ 91.</w:t>
      </w:r>
      <w:r w:rsidRPr="007D5795">
        <w:rPr>
          <w:rStyle w:val="TextoNormalCaracter"/>
        </w:rPr>
        <w:t>-</w:t>
      </w:r>
      <w:r>
        <w:t xml:space="preserve"> Sentencia </w:t>
      </w:r>
      <w:hyperlink w:anchor="SENTENCIA_2024_105" w:history="1">
        <w:r w:rsidRPr="007D5795">
          <w:rPr>
            <w:rStyle w:val="TextoNormalCaracter"/>
          </w:rPr>
          <w:t>105/2024</w:t>
        </w:r>
      </w:hyperlink>
      <w:r>
        <w:t>, f. 2.</w:t>
      </w:r>
    </w:p>
    <w:p w14:paraId="344CD6C7" w14:textId="02D867F7" w:rsidR="007D5795" w:rsidRDefault="007D5795" w:rsidP="007D5795">
      <w:pPr>
        <w:pStyle w:val="SangriaFrancesaArticulo"/>
      </w:pPr>
    </w:p>
    <w:p w14:paraId="3EBAD1C8" w14:textId="77777777" w:rsidR="007D5795" w:rsidRDefault="007D5795" w:rsidP="007D5795">
      <w:pPr>
        <w:pStyle w:val="TextoNormalNegritaCursivandice"/>
        <w:keepNext/>
      </w:pPr>
      <w:r>
        <w:t>Sentencia del Tribunal Europeo de Derechos Humanos de 19 de abril de 2001 (Peers c. Grecia )</w:t>
      </w:r>
    </w:p>
    <w:p w14:paraId="1D8B36E4" w14:textId="35359F79" w:rsidR="007D5795" w:rsidRDefault="007D5795" w:rsidP="007D5795">
      <w:pPr>
        <w:pStyle w:val="SangriaFrancesaArticulo"/>
      </w:pPr>
      <w:r w:rsidRPr="007D5795">
        <w:rPr>
          <w:rStyle w:val="TextoNormalNegritaCaracter"/>
        </w:rPr>
        <w:t>§ 67.</w:t>
      </w:r>
      <w:r w:rsidRPr="007D5795">
        <w:rPr>
          <w:rStyle w:val="TextoNormalCaracter"/>
        </w:rPr>
        <w:t>-</w:t>
      </w:r>
      <w:r>
        <w:t xml:space="preserve"> Sentencia </w:t>
      </w:r>
      <w:hyperlink w:anchor="SENTENCIA_2024_105" w:history="1">
        <w:r w:rsidRPr="007D5795">
          <w:rPr>
            <w:rStyle w:val="TextoNormalCaracter"/>
          </w:rPr>
          <w:t>105/2024</w:t>
        </w:r>
      </w:hyperlink>
      <w:r>
        <w:t>, f. 2.</w:t>
      </w:r>
    </w:p>
    <w:p w14:paraId="7042A367" w14:textId="4783922A" w:rsidR="007D5795" w:rsidRDefault="007D5795" w:rsidP="007D5795">
      <w:pPr>
        <w:pStyle w:val="SangriaFrancesaArticulo"/>
      </w:pPr>
    </w:p>
    <w:p w14:paraId="1241BC54" w14:textId="77777777" w:rsidR="007D5795" w:rsidRDefault="007D5795" w:rsidP="007D5795">
      <w:pPr>
        <w:pStyle w:val="TextoNormalNegritaCursivandice"/>
        <w:keepNext/>
      </w:pPr>
      <w:r>
        <w:t>Sentencia del Tribunal Europeo de Derechos Humanos de 29 de abril de 2002 (Pretty c. Reino Unido)</w:t>
      </w:r>
    </w:p>
    <w:p w14:paraId="5DF760E5" w14:textId="671A21B5" w:rsidR="007D5795" w:rsidRDefault="007D5795" w:rsidP="007D5795">
      <w:pPr>
        <w:pStyle w:val="SangriaFrancesaArticulo"/>
      </w:pPr>
      <w:r w:rsidRPr="007D5795">
        <w:rPr>
          <w:rStyle w:val="TextoNormalNegritaCaracter"/>
        </w:rPr>
        <w:t>§ 63.</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57CEA9DB" w14:textId="2E571618" w:rsidR="007D5795" w:rsidRDefault="007D5795" w:rsidP="007D5795">
      <w:pPr>
        <w:pStyle w:val="SangriaFrancesaArticulo"/>
      </w:pPr>
    </w:p>
    <w:p w14:paraId="2ADBB1F6" w14:textId="77777777" w:rsidR="007D5795" w:rsidRDefault="007D5795" w:rsidP="007D5795">
      <w:pPr>
        <w:pStyle w:val="TextoNormalNegritaCursivandice"/>
        <w:keepNext/>
      </w:pPr>
      <w:r>
        <w:t>Sentencia del Tribunal Europeo de Derechos Humanos de 28 de noviembre de 2002 (Lavents c. Letonia)</w:t>
      </w:r>
    </w:p>
    <w:p w14:paraId="47A90B2E" w14:textId="4EF0F5BA"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5" w:history="1">
        <w:r w:rsidRPr="007D5795">
          <w:rPr>
            <w:rStyle w:val="TextoNormalCaracter"/>
          </w:rPr>
          <w:t>95/2024</w:t>
        </w:r>
      </w:hyperlink>
      <w:r>
        <w:t>, f. 6.</w:t>
      </w:r>
    </w:p>
    <w:p w14:paraId="73149021" w14:textId="4A74E44E" w:rsidR="007D5795" w:rsidRDefault="007D5795" w:rsidP="007D5795">
      <w:pPr>
        <w:pStyle w:val="SangriaFrancesaArticulo"/>
      </w:pPr>
      <w:r w:rsidRPr="007D5795">
        <w:rPr>
          <w:rStyle w:val="TextoNormalNegritaCaracter"/>
        </w:rPr>
        <w:t>§ 126.</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8" w:history="1">
        <w:r w:rsidRPr="007D5795">
          <w:rPr>
            <w:rStyle w:val="TextoNormalCaracter"/>
          </w:rPr>
          <w:t>98/2024</w:t>
        </w:r>
      </w:hyperlink>
      <w:r>
        <w:t xml:space="preserve">, f. 7;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f. 5.</w:t>
      </w:r>
    </w:p>
    <w:p w14:paraId="2E21AED2" w14:textId="5D3C72FF" w:rsidR="007D5795" w:rsidRDefault="007D5795" w:rsidP="007D5795">
      <w:pPr>
        <w:pStyle w:val="SangriaFrancesaArticulo"/>
      </w:pPr>
    </w:p>
    <w:p w14:paraId="684C76C1" w14:textId="77777777" w:rsidR="007D5795" w:rsidRDefault="007D5795" w:rsidP="007D5795">
      <w:pPr>
        <w:pStyle w:val="TextoNormalNegritaCursivandice"/>
        <w:keepNext/>
      </w:pPr>
      <w:r>
        <w:t>Sentencia del Tribunal Europeo de Derechos Humanos de 17 de junio de 2003 (Pescador Valero c. España)</w:t>
      </w:r>
    </w:p>
    <w:p w14:paraId="6E71207D" w14:textId="4174C512" w:rsidR="007D5795" w:rsidRDefault="007D5795" w:rsidP="007D5795">
      <w:pPr>
        <w:pStyle w:val="SangriaFrancesaArticulo"/>
      </w:pPr>
      <w:r w:rsidRPr="007D5795">
        <w:rPr>
          <w:rStyle w:val="TextoNormalNegritaCaracter"/>
        </w:rPr>
        <w:t>§ 23.</w:t>
      </w:r>
      <w:r w:rsidRPr="007D5795">
        <w:rPr>
          <w:rStyle w:val="TextoNormalCaracter"/>
        </w:rPr>
        <w:t>-</w:t>
      </w:r>
      <w:r>
        <w:t xml:space="preserve"> Auto </w:t>
      </w:r>
      <w:hyperlink w:anchor="AUTO_2024_100" w:history="1">
        <w:r w:rsidRPr="007D5795">
          <w:rPr>
            <w:rStyle w:val="TextoNormalCaracter"/>
          </w:rPr>
          <w:t>100/2024</w:t>
        </w:r>
      </w:hyperlink>
      <w:r>
        <w:t>, f. 2.</w:t>
      </w:r>
    </w:p>
    <w:p w14:paraId="13237B5E" w14:textId="53408D14" w:rsidR="007D5795" w:rsidRDefault="007D5795" w:rsidP="007D5795">
      <w:pPr>
        <w:pStyle w:val="SangriaFrancesaArticulo"/>
      </w:pPr>
    </w:p>
    <w:p w14:paraId="2EFED223" w14:textId="77777777" w:rsidR="007D5795" w:rsidRDefault="007D5795" w:rsidP="007D5795">
      <w:pPr>
        <w:pStyle w:val="TextoNormalNegritaCursivandice"/>
        <w:keepNext/>
      </w:pPr>
      <w:r>
        <w:t>Sentencia del Tribunal Europeo de Derechos Humanos de 16 de diciembre de 2003 (Kmetty c. Hungría)</w:t>
      </w:r>
    </w:p>
    <w:p w14:paraId="2E45CF7D" w14:textId="44C0DA2A"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5" w:history="1">
        <w:r w:rsidRPr="007D5795">
          <w:rPr>
            <w:rStyle w:val="TextoNormalCaracter"/>
          </w:rPr>
          <w:t>105/2024</w:t>
        </w:r>
      </w:hyperlink>
      <w:r>
        <w:t>, f. 2.</w:t>
      </w:r>
    </w:p>
    <w:p w14:paraId="50B5E90F" w14:textId="6DBAB1D9" w:rsidR="007D5795" w:rsidRDefault="007D5795" w:rsidP="007D5795">
      <w:pPr>
        <w:pStyle w:val="SangriaFrancesaArticulo"/>
      </w:pPr>
    </w:p>
    <w:p w14:paraId="1161FC65" w14:textId="77777777" w:rsidR="007D5795" w:rsidRDefault="007D5795" w:rsidP="007D5795">
      <w:pPr>
        <w:pStyle w:val="TextoNormalNegritaCursivandice"/>
        <w:keepNext/>
      </w:pPr>
      <w:r>
        <w:t>Decisión del Tribunal Europeo de Derechos Humanos de 11 de octubre de 2005 (Stern c. Francia)</w:t>
      </w:r>
    </w:p>
    <w:p w14:paraId="21EED30D" w14:textId="4C8E93D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4" w:history="1">
        <w:r w:rsidRPr="007D5795">
          <w:rPr>
            <w:rStyle w:val="TextoNormalCaracter"/>
          </w:rPr>
          <w:t>144/2024</w:t>
        </w:r>
      </w:hyperlink>
      <w:r>
        <w:t>, f. 5.</w:t>
      </w:r>
    </w:p>
    <w:p w14:paraId="1ABD5174" w14:textId="6BEA98A5" w:rsidR="007D5795" w:rsidRDefault="007D5795" w:rsidP="007D5795">
      <w:pPr>
        <w:pStyle w:val="SangriaFrancesaArticulo"/>
      </w:pPr>
    </w:p>
    <w:p w14:paraId="3CCF3701" w14:textId="77777777" w:rsidR="007D5795" w:rsidRDefault="007D5795" w:rsidP="007D5795">
      <w:pPr>
        <w:pStyle w:val="TextoNormalNegritaCursivandice"/>
        <w:keepNext/>
      </w:pPr>
      <w:r>
        <w:t>Sentencia del Tribunal Europeo de Derechos Humanos de 28 de febrero de 2006 (Savinski c. Ucrania)</w:t>
      </w:r>
    </w:p>
    <w:p w14:paraId="3C61D78F" w14:textId="7F1C9F5D" w:rsidR="007D5795" w:rsidRDefault="007D5795" w:rsidP="007D5795">
      <w:pPr>
        <w:pStyle w:val="SangriaFrancesaArticulo"/>
      </w:pPr>
      <w:r w:rsidRPr="007D5795">
        <w:rPr>
          <w:rStyle w:val="TextoNormalNegritaCaracter"/>
        </w:rPr>
        <w:t>§ 25.</w:t>
      </w:r>
      <w:r w:rsidRPr="007D5795">
        <w:rPr>
          <w:rStyle w:val="TextoNormalCaracter"/>
        </w:rPr>
        <w:t>-</w:t>
      </w:r>
      <w:r>
        <w:t xml:space="preserve"> Sentencia </w:t>
      </w:r>
      <w:hyperlink w:anchor="SENTENCIA_2024_144" w:history="1">
        <w:r w:rsidRPr="007D5795">
          <w:rPr>
            <w:rStyle w:val="TextoNormalCaracter"/>
          </w:rPr>
          <w:t>144/2024</w:t>
        </w:r>
      </w:hyperlink>
      <w:r>
        <w:t>, VP II.</w:t>
      </w:r>
    </w:p>
    <w:p w14:paraId="1DADE780" w14:textId="3396D478" w:rsidR="007D5795" w:rsidRDefault="007D5795" w:rsidP="007D5795">
      <w:pPr>
        <w:pStyle w:val="SangriaFrancesaArticulo"/>
      </w:pPr>
    </w:p>
    <w:p w14:paraId="036D1201" w14:textId="77777777" w:rsidR="007D5795" w:rsidRDefault="007D5795" w:rsidP="007D5795">
      <w:pPr>
        <w:pStyle w:val="TextoNormalNegritaCursivandice"/>
        <w:keepNext/>
      </w:pPr>
      <w:r>
        <w:t>Sentencia del Tribunal Europeo de Derechos Humanos de 19 de septiembre de 2006 (Matijasevic c. Serbia)</w:t>
      </w:r>
    </w:p>
    <w:p w14:paraId="335A722D" w14:textId="6C04812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4" w:history="1">
        <w:r w:rsidRPr="007D5795">
          <w:rPr>
            <w:rStyle w:val="TextoNormalCaracter"/>
          </w:rPr>
          <w:t>94/2024</w:t>
        </w:r>
      </w:hyperlink>
      <w:r>
        <w:t>, f. 7.</w:t>
      </w:r>
    </w:p>
    <w:p w14:paraId="6941718F" w14:textId="43C525F1" w:rsidR="007D5795" w:rsidRDefault="007D5795" w:rsidP="007D5795">
      <w:pPr>
        <w:pStyle w:val="SangriaFrancesaArticulo"/>
      </w:pPr>
      <w:r w:rsidRPr="007D5795">
        <w:rPr>
          <w:rStyle w:val="TextoNormalNegritaCaracter"/>
        </w:rPr>
        <w:t>§ 49.</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98" w:history="1">
        <w:r w:rsidRPr="007D5795">
          <w:rPr>
            <w:rStyle w:val="TextoNormalCaracter"/>
          </w:rPr>
          <w:t>98/2024</w:t>
        </w:r>
      </w:hyperlink>
      <w:r>
        <w:t xml:space="preserve">, f. 7;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f. 5.</w:t>
      </w:r>
    </w:p>
    <w:p w14:paraId="7F64B8DA" w14:textId="5614710A" w:rsidR="007D5795" w:rsidRDefault="007D5795" w:rsidP="007D5795">
      <w:pPr>
        <w:pStyle w:val="SangriaFrancesaArticulo"/>
      </w:pPr>
    </w:p>
    <w:p w14:paraId="556D336F" w14:textId="77777777" w:rsidR="007D5795" w:rsidRDefault="007D5795" w:rsidP="007D5795">
      <w:pPr>
        <w:pStyle w:val="TextoNormalNegritaCursivandice"/>
        <w:keepNext/>
      </w:pPr>
      <w:r>
        <w:t>Sentencia del Tribunal Europeo de Derechos Humanos de 16 de enero de 2007 (Bujnita c. Moldavia)</w:t>
      </w:r>
    </w:p>
    <w:p w14:paraId="43801AAA" w14:textId="5789A775" w:rsidR="007D5795" w:rsidRDefault="007D5795" w:rsidP="007D5795">
      <w:pPr>
        <w:pStyle w:val="SangriaFrancesaArticulo"/>
      </w:pPr>
      <w:r w:rsidRPr="007D5795">
        <w:rPr>
          <w:rStyle w:val="TextoNormalNegritaCaracter"/>
        </w:rPr>
        <w:t>§ 20.</w:t>
      </w:r>
      <w:r w:rsidRPr="007D5795">
        <w:rPr>
          <w:rStyle w:val="TextoNormalCaracter"/>
        </w:rPr>
        <w:t>-</w:t>
      </w:r>
      <w:r>
        <w:t xml:space="preserve"> Sentencia </w:t>
      </w:r>
      <w:hyperlink w:anchor="SENTENCIA_2024_144" w:history="1">
        <w:r w:rsidRPr="007D5795">
          <w:rPr>
            <w:rStyle w:val="TextoNormalCaracter"/>
          </w:rPr>
          <w:t>144/2024</w:t>
        </w:r>
      </w:hyperlink>
      <w:r>
        <w:t>, VP II.</w:t>
      </w:r>
    </w:p>
    <w:p w14:paraId="1632F5CD" w14:textId="3C0C6B60" w:rsidR="007D5795" w:rsidRDefault="007D5795" w:rsidP="007D5795">
      <w:pPr>
        <w:pStyle w:val="SangriaFrancesaArticulo"/>
      </w:pPr>
    </w:p>
    <w:p w14:paraId="41549FE3" w14:textId="77777777" w:rsidR="007D5795" w:rsidRDefault="007D5795" w:rsidP="007D5795">
      <w:pPr>
        <w:pStyle w:val="TextoNormalNegritaCursivandice"/>
        <w:keepNext/>
      </w:pPr>
      <w:r>
        <w:t>Sentencia del Tribunal Europeo de Derechos Humanos de 24 de mayo de 2007 (Radchikov c. Rusia)</w:t>
      </w:r>
    </w:p>
    <w:p w14:paraId="76A8E7F7" w14:textId="2453197F" w:rsidR="007D5795" w:rsidRDefault="007D5795" w:rsidP="007D5795">
      <w:pPr>
        <w:pStyle w:val="SangriaFrancesaArticulo"/>
      </w:pPr>
      <w:r w:rsidRPr="007D5795">
        <w:rPr>
          <w:rStyle w:val="TextoNormalNegritaCaracter"/>
        </w:rPr>
        <w:t>§ 48.</w:t>
      </w:r>
      <w:r w:rsidRPr="007D5795">
        <w:rPr>
          <w:rStyle w:val="TextoNormalCaracter"/>
        </w:rPr>
        <w:t>-</w:t>
      </w:r>
      <w:r>
        <w:t xml:space="preserve"> Sentencia </w:t>
      </w:r>
      <w:hyperlink w:anchor="SENTENCIA_2024_144" w:history="1">
        <w:r w:rsidRPr="007D5795">
          <w:rPr>
            <w:rStyle w:val="TextoNormalCaracter"/>
          </w:rPr>
          <w:t>144/2024</w:t>
        </w:r>
      </w:hyperlink>
      <w:r>
        <w:t>, VP II.</w:t>
      </w:r>
    </w:p>
    <w:p w14:paraId="54742FB1" w14:textId="08566D39" w:rsidR="007D5795" w:rsidRDefault="007D5795" w:rsidP="007D5795">
      <w:pPr>
        <w:pStyle w:val="SangriaFrancesaArticulo"/>
      </w:pPr>
    </w:p>
    <w:p w14:paraId="2CFAEDA1" w14:textId="77777777" w:rsidR="007D5795" w:rsidRDefault="007D5795" w:rsidP="007D5795">
      <w:pPr>
        <w:pStyle w:val="TextoNormalNegritaCursivandice"/>
        <w:keepNext/>
      </w:pPr>
      <w:r>
        <w:t>Sentencia del Tribunal Europeo de Derechos Humanos de 31 de julio de 2008 (Religionsgemeinschaft der Zeugen Jehovas y otros c. Austria)</w:t>
      </w:r>
    </w:p>
    <w:p w14:paraId="2A1609FE" w14:textId="696C5E66" w:rsidR="007D5795" w:rsidRDefault="007D5795" w:rsidP="007D5795">
      <w:pPr>
        <w:pStyle w:val="SangriaFrancesaArticulo"/>
      </w:pPr>
      <w:r w:rsidRPr="007D5795">
        <w:rPr>
          <w:rStyle w:val="TextoNormalNegritaCaracter"/>
        </w:rPr>
        <w:t>§ 61.</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589E9AD3" w14:textId="57A683AB" w:rsidR="007D5795" w:rsidRDefault="007D5795" w:rsidP="007D5795">
      <w:pPr>
        <w:pStyle w:val="SangriaFrancesaArticulo"/>
      </w:pPr>
    </w:p>
    <w:p w14:paraId="18AB1E55" w14:textId="77777777" w:rsidR="007D5795" w:rsidRDefault="007D5795" w:rsidP="007D5795">
      <w:pPr>
        <w:pStyle w:val="TextoNormalNegritaCursivandice"/>
        <w:keepNext/>
      </w:pPr>
      <w:r>
        <w:t>Sentencia del Tribunal Europeo de Derechos Humanos de 6 de abril de 2010 (Stefan c. Rumanía)</w:t>
      </w:r>
    </w:p>
    <w:p w14:paraId="47F101CB" w14:textId="52E43BE1" w:rsidR="007D5795" w:rsidRDefault="007D5795" w:rsidP="007D5795">
      <w:pPr>
        <w:pStyle w:val="SangriaFrancesaArticulo"/>
      </w:pPr>
      <w:r w:rsidRPr="007D5795">
        <w:rPr>
          <w:rStyle w:val="TextoNormalNegritaCaracter"/>
        </w:rPr>
        <w:t>§ 18.</w:t>
      </w:r>
      <w:r w:rsidRPr="007D5795">
        <w:rPr>
          <w:rStyle w:val="TextoNormalCaracter"/>
        </w:rPr>
        <w:t>-</w:t>
      </w:r>
      <w:r>
        <w:t xml:space="preserve"> Sentencia </w:t>
      </w:r>
      <w:hyperlink w:anchor="SENTENCIA_2024_144" w:history="1">
        <w:r w:rsidRPr="007D5795">
          <w:rPr>
            <w:rStyle w:val="TextoNormalCaracter"/>
          </w:rPr>
          <w:t>144/2024</w:t>
        </w:r>
      </w:hyperlink>
      <w:r>
        <w:t>, VP II.</w:t>
      </w:r>
    </w:p>
    <w:p w14:paraId="5127DF55" w14:textId="01AF94ED" w:rsidR="007D5795" w:rsidRDefault="007D5795" w:rsidP="007D5795">
      <w:pPr>
        <w:pStyle w:val="SangriaFrancesaArticulo"/>
      </w:pPr>
    </w:p>
    <w:p w14:paraId="43601389" w14:textId="77777777" w:rsidR="007D5795" w:rsidRDefault="007D5795" w:rsidP="007D5795">
      <w:pPr>
        <w:pStyle w:val="TextoNormalNegritaCursivandice"/>
        <w:keepNext/>
      </w:pPr>
      <w:r>
        <w:t>Sentencia del Tribunal Europeo de Derechos Humanos de 1 de junio de 2010 (Gäfgen c. Alemania)</w:t>
      </w:r>
    </w:p>
    <w:p w14:paraId="7F9F938C" w14:textId="060E672B" w:rsidR="007D5795" w:rsidRDefault="007D5795" w:rsidP="007D5795">
      <w:pPr>
        <w:pStyle w:val="SangriaFrancesaArticulo"/>
      </w:pPr>
      <w:r w:rsidRPr="007D5795">
        <w:rPr>
          <w:rStyle w:val="TextoNormalNegritaCaracter"/>
        </w:rPr>
        <w:t>§ 107.</w:t>
      </w:r>
      <w:r w:rsidRPr="007D5795">
        <w:rPr>
          <w:rStyle w:val="TextoNormalCaracter"/>
        </w:rPr>
        <w:t>-</w:t>
      </w:r>
      <w:r>
        <w:t xml:space="preserve"> Sentencia </w:t>
      </w:r>
      <w:hyperlink w:anchor="SENTENCIA_2024_144" w:history="1">
        <w:r w:rsidRPr="007D5795">
          <w:rPr>
            <w:rStyle w:val="TextoNormalCaracter"/>
          </w:rPr>
          <w:t>144/2024</w:t>
        </w:r>
      </w:hyperlink>
      <w:r>
        <w:t>, f. 4.</w:t>
      </w:r>
    </w:p>
    <w:p w14:paraId="694BFAEE" w14:textId="22E67EEA" w:rsidR="007D5795" w:rsidRDefault="007D5795" w:rsidP="007D5795">
      <w:pPr>
        <w:pStyle w:val="SangriaFrancesaArticulo"/>
      </w:pPr>
    </w:p>
    <w:p w14:paraId="77299730" w14:textId="77777777" w:rsidR="007D5795" w:rsidRDefault="007D5795" w:rsidP="007D5795">
      <w:pPr>
        <w:pStyle w:val="TextoNormalNegritaCursivandice"/>
        <w:keepNext/>
      </w:pPr>
      <w:r>
        <w:t>Sentencia del Tribunal Europeo de Derechos Humanos de 15 de marzo de 2011 (Otegi Mondragón c. España)</w:t>
      </w:r>
    </w:p>
    <w:p w14:paraId="760A4BEB" w14:textId="5FB3BD3A"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85" w:history="1">
        <w:r w:rsidRPr="007D5795">
          <w:rPr>
            <w:rStyle w:val="TextoNormalCaracter"/>
          </w:rPr>
          <w:t>85/2024</w:t>
        </w:r>
      </w:hyperlink>
      <w:r>
        <w:t>, VP.</w:t>
      </w:r>
    </w:p>
    <w:p w14:paraId="5ABEE589" w14:textId="68789C1F" w:rsidR="007D5795" w:rsidRDefault="007D5795" w:rsidP="007D5795">
      <w:pPr>
        <w:pStyle w:val="SangriaFrancesaArticulo"/>
      </w:pPr>
    </w:p>
    <w:p w14:paraId="13E0725B" w14:textId="77777777" w:rsidR="007D5795" w:rsidRDefault="007D5795" w:rsidP="007D5795">
      <w:pPr>
        <w:pStyle w:val="TextoNormalNegritaCursivandice"/>
        <w:keepNext/>
      </w:pPr>
      <w:r>
        <w:t>Sentencia del Tribunal Europeo de Derechos Humanos de 24 de marzo de 2011 (Giuliani y Gaggio c. Italia)</w:t>
      </w:r>
    </w:p>
    <w:p w14:paraId="2B3661CC" w14:textId="00908F37" w:rsidR="007D5795" w:rsidRDefault="007D5795" w:rsidP="007D5795">
      <w:pPr>
        <w:pStyle w:val="SangriaFrancesaArticulo"/>
      </w:pPr>
      <w:r w:rsidRPr="007D5795">
        <w:rPr>
          <w:rStyle w:val="TextoNormalNegritaCaracter"/>
        </w:rPr>
        <w:t>§ 301.</w:t>
      </w:r>
      <w:r w:rsidRPr="007D5795">
        <w:rPr>
          <w:rStyle w:val="TextoNormalCaracter"/>
        </w:rPr>
        <w:t>-</w:t>
      </w:r>
      <w:r>
        <w:t xml:space="preserve"> Sentencia </w:t>
      </w:r>
      <w:hyperlink w:anchor="SENTENCIA_2024_144" w:history="1">
        <w:r w:rsidRPr="007D5795">
          <w:rPr>
            <w:rStyle w:val="TextoNormalCaracter"/>
          </w:rPr>
          <w:t>144/2024</w:t>
        </w:r>
      </w:hyperlink>
      <w:r>
        <w:t>, f. 4.</w:t>
      </w:r>
    </w:p>
    <w:p w14:paraId="38B7C681" w14:textId="7D47167B" w:rsidR="007D5795" w:rsidRDefault="007D5795" w:rsidP="007D5795">
      <w:pPr>
        <w:pStyle w:val="SangriaFrancesaArticulo"/>
      </w:pPr>
    </w:p>
    <w:p w14:paraId="5064B698" w14:textId="77777777" w:rsidR="007D5795" w:rsidRDefault="007D5795" w:rsidP="007D5795">
      <w:pPr>
        <w:pStyle w:val="TextoNormalNegritaCursivandice"/>
        <w:keepNext/>
      </w:pPr>
      <w:r>
        <w:t>Sentencia del Tribunal Europeo de Derechos Humanos de 24 de mayo de 2011 (Konstas c. Grecia)</w:t>
      </w:r>
    </w:p>
    <w:p w14:paraId="3DEF818C" w14:textId="0E552596" w:rsidR="007D5795" w:rsidRDefault="007D5795" w:rsidP="007D5795">
      <w:pPr>
        <w:pStyle w:val="SangriaFrancesaArticulo"/>
      </w:pPr>
      <w:r w:rsidRPr="007D5795">
        <w:rPr>
          <w:rStyle w:val="TextoNormalNegritaCaracter"/>
        </w:rPr>
        <w:t>§ 35.</w:t>
      </w:r>
      <w:r w:rsidRPr="007D5795">
        <w:rPr>
          <w:rStyle w:val="TextoNormalCaracter"/>
        </w:rPr>
        <w:t>-</w:t>
      </w:r>
      <w:r>
        <w:t xml:space="preserve"> Sentencia </w:t>
      </w:r>
      <w:hyperlink w:anchor="SENTENCIA_2024_94" w:history="1">
        <w:r w:rsidRPr="007D5795">
          <w:rPr>
            <w:rStyle w:val="TextoNormalCaracter"/>
          </w:rPr>
          <w:t>94/2024</w:t>
        </w:r>
      </w:hyperlink>
      <w:r>
        <w:t>, f. 7.</w:t>
      </w:r>
    </w:p>
    <w:p w14:paraId="055FE83A" w14:textId="4B5CB098" w:rsidR="007D5795" w:rsidRDefault="007D5795" w:rsidP="007D5795">
      <w:pPr>
        <w:pStyle w:val="SangriaFrancesaArticulo"/>
      </w:pPr>
    </w:p>
    <w:p w14:paraId="54B86525" w14:textId="77777777" w:rsidR="007D5795" w:rsidRDefault="007D5795" w:rsidP="007D5795">
      <w:pPr>
        <w:pStyle w:val="TextoNormalNegritaCursivandice"/>
        <w:keepNext/>
      </w:pPr>
      <w:r>
        <w:t>Decisión del Tribunal Europeo de Derechos Humanos de 14 de junio de 2011 (Pino García y Ortín Méndez c. España)</w:t>
      </w:r>
    </w:p>
    <w:p w14:paraId="74F5186C" w14:textId="5E3AB179" w:rsidR="007D5795" w:rsidRDefault="007D5795" w:rsidP="007D5795">
      <w:pPr>
        <w:pStyle w:val="SangriaFrancesaArticulo"/>
      </w:pPr>
      <w:r w:rsidRPr="007D5795">
        <w:rPr>
          <w:rStyle w:val="TextoNormalNegritaCaracter"/>
        </w:rPr>
        <w:t>§ 33.</w:t>
      </w:r>
      <w:r w:rsidRPr="007D5795">
        <w:rPr>
          <w:rStyle w:val="TextoNormalCaracter"/>
        </w:rPr>
        <w:t>-</w:t>
      </w:r>
      <w:r>
        <w:t xml:space="preserve"> Sentencia </w:t>
      </w:r>
      <w:hyperlink w:anchor="SENTENCIA_2024_144" w:history="1">
        <w:r w:rsidRPr="007D5795">
          <w:rPr>
            <w:rStyle w:val="TextoNormalCaracter"/>
          </w:rPr>
          <w:t>144/2024</w:t>
        </w:r>
      </w:hyperlink>
      <w:r>
        <w:t>, VP II.</w:t>
      </w:r>
    </w:p>
    <w:p w14:paraId="30A07CDC" w14:textId="17E2DAEB" w:rsidR="007D5795" w:rsidRDefault="007D5795" w:rsidP="007D5795">
      <w:pPr>
        <w:pStyle w:val="SangriaFrancesaArticulo"/>
      </w:pPr>
    </w:p>
    <w:p w14:paraId="5452A0F8" w14:textId="77777777" w:rsidR="007D5795" w:rsidRDefault="007D5795" w:rsidP="007D5795">
      <w:pPr>
        <w:pStyle w:val="TextoNormalNegritaCursivandice"/>
        <w:keepNext/>
      </w:pPr>
      <w:r>
        <w:t>Sentencia del Tribunal Europeo de Derechos Humanos de 28 de junio de 2011 (Lizaso Azconobieta c. España)</w:t>
      </w:r>
    </w:p>
    <w:p w14:paraId="17C6A720" w14:textId="3381C0A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0" w:history="1">
        <w:r w:rsidRPr="007D5795">
          <w:rPr>
            <w:rStyle w:val="TextoNormalCaracter"/>
          </w:rPr>
          <w:t>100/2024</w:t>
        </w:r>
      </w:hyperlink>
      <w:r>
        <w:t>, f. 7.</w:t>
      </w:r>
    </w:p>
    <w:p w14:paraId="7F4BB3C2" w14:textId="163C0634" w:rsidR="007D5795" w:rsidRDefault="007D5795" w:rsidP="007D5795">
      <w:pPr>
        <w:pStyle w:val="SangriaFrancesaArticulo"/>
      </w:pPr>
    </w:p>
    <w:p w14:paraId="4A1E9F86" w14:textId="77777777" w:rsidR="007D5795" w:rsidRDefault="007D5795" w:rsidP="007D5795">
      <w:pPr>
        <w:pStyle w:val="TextoNormalNegritaCursivandice"/>
        <w:keepNext/>
      </w:pPr>
      <w:r>
        <w:t>Sentencia del Tribunal Europeo de Derechos Humanos de 20 de septiembre de 2011 (Ullens de Schooten y Rezabek c. Bélgica)</w:t>
      </w:r>
    </w:p>
    <w:p w14:paraId="39E3AD01" w14:textId="04DAB330" w:rsidR="007D5795" w:rsidRDefault="007D5795" w:rsidP="007D5795">
      <w:pPr>
        <w:pStyle w:val="SangriaFrancesaArticulo"/>
      </w:pPr>
      <w:r w:rsidRPr="007D5795">
        <w:rPr>
          <w:rStyle w:val="TextoNormalNegritaCaracter"/>
        </w:rPr>
        <w:t>§ 57 a 62.</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470FD60A" w14:textId="45932AF4" w:rsidR="007D5795" w:rsidRDefault="007D5795" w:rsidP="007D5795">
      <w:pPr>
        <w:pStyle w:val="SangriaFrancesaArticulo"/>
      </w:pPr>
    </w:p>
    <w:p w14:paraId="69080699" w14:textId="77777777" w:rsidR="007D5795" w:rsidRDefault="007D5795" w:rsidP="007D5795">
      <w:pPr>
        <w:pStyle w:val="TextoNormalNegritaCursivandice"/>
        <w:keepNext/>
      </w:pPr>
      <w:r>
        <w:t>Decisión del Tribunal Europeo de Derechos Humanos de 10 de abril de 2012 (Vergauwen y otros c. Bélgica)</w:t>
      </w:r>
    </w:p>
    <w:p w14:paraId="4F111AA7" w14:textId="7A3ABF0A"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29070C5E" w14:textId="0E723969" w:rsidR="007D5795" w:rsidRDefault="007D5795" w:rsidP="007D5795">
      <w:pPr>
        <w:pStyle w:val="SangriaFrancesaArticulo"/>
      </w:pPr>
    </w:p>
    <w:p w14:paraId="2590B1B9" w14:textId="77777777" w:rsidR="007D5795" w:rsidRDefault="007D5795" w:rsidP="007D5795">
      <w:pPr>
        <w:pStyle w:val="TextoNormalNegritaCursivandice"/>
        <w:keepNext/>
      </w:pPr>
      <w:r>
        <w:t>Sentencia del Tribunal Europeo de Derechos Humanos de 17 de abril de 2012 (Rizvanov c. Azerbaiyán)</w:t>
      </w:r>
    </w:p>
    <w:p w14:paraId="472E4BF7" w14:textId="67F61FA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5" w:history="1">
        <w:r w:rsidRPr="007D5795">
          <w:rPr>
            <w:rStyle w:val="TextoNormalCaracter"/>
          </w:rPr>
          <w:t>105/2024</w:t>
        </w:r>
      </w:hyperlink>
      <w:r>
        <w:t>, f. 2.</w:t>
      </w:r>
    </w:p>
    <w:p w14:paraId="5B5C86C4" w14:textId="07AB06BE" w:rsidR="007D5795" w:rsidRDefault="007D5795" w:rsidP="007D5795">
      <w:pPr>
        <w:pStyle w:val="SangriaFrancesaArticulo"/>
      </w:pPr>
    </w:p>
    <w:p w14:paraId="25DABDA2" w14:textId="77777777" w:rsidR="007D5795" w:rsidRDefault="007D5795" w:rsidP="007D5795">
      <w:pPr>
        <w:pStyle w:val="TextoNormalNegritaCursivandice"/>
        <w:keepNext/>
      </w:pPr>
      <w:r>
        <w:t>Sentencia del Tribunal Europeo de Derechos Humanos de 24 de julio de 2012 (B.S. c. España)</w:t>
      </w:r>
    </w:p>
    <w:p w14:paraId="0D5C6302" w14:textId="2DBBB62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5" w:history="1">
        <w:r w:rsidRPr="007D5795">
          <w:rPr>
            <w:rStyle w:val="TextoNormalCaracter"/>
          </w:rPr>
          <w:t>105/2024</w:t>
        </w:r>
      </w:hyperlink>
      <w:r>
        <w:t>, f. 2.</w:t>
      </w:r>
    </w:p>
    <w:p w14:paraId="31D6D20E" w14:textId="194529AC" w:rsidR="007D5795" w:rsidRDefault="007D5795" w:rsidP="007D5795">
      <w:pPr>
        <w:pStyle w:val="SangriaFrancesaArticulo"/>
      </w:pPr>
    </w:p>
    <w:p w14:paraId="4E67EE91" w14:textId="77777777" w:rsidR="007D5795" w:rsidRDefault="007D5795" w:rsidP="007D5795">
      <w:pPr>
        <w:pStyle w:val="TextoNormalNegritaCursivandice"/>
        <w:keepNext/>
      </w:pPr>
      <w:r>
        <w:t>Sentencia del Tribunal Europeo de Derechos Humanos de 22 de marzo de 2012 (Konstantin Markin c. Rusia)</w:t>
      </w:r>
    </w:p>
    <w:p w14:paraId="10F4A88D" w14:textId="09BED97D" w:rsidR="007D5795" w:rsidRDefault="007D5795" w:rsidP="007D5795">
      <w:pPr>
        <w:pStyle w:val="SangriaFrancesaArticulo"/>
      </w:pPr>
      <w:r w:rsidRPr="007D5795">
        <w:rPr>
          <w:rStyle w:val="TextoNormalNegritaCaracter"/>
        </w:rPr>
        <w:t>§ 130.</w:t>
      </w:r>
      <w:r w:rsidRPr="007D5795">
        <w:rPr>
          <w:rStyle w:val="TextoNormalCaracter"/>
        </w:rPr>
        <w:t>-</w:t>
      </w:r>
      <w:r>
        <w:t xml:space="preserve"> Sentencia </w:t>
      </w:r>
      <w:hyperlink w:anchor="SENTENCIA_2024_140" w:history="1">
        <w:r w:rsidRPr="007D5795">
          <w:rPr>
            <w:rStyle w:val="TextoNormalCaracter"/>
          </w:rPr>
          <w:t>140/2024</w:t>
        </w:r>
      </w:hyperlink>
      <w:r>
        <w:t>, f. 4.</w:t>
      </w:r>
    </w:p>
    <w:p w14:paraId="4880667B" w14:textId="58BE6FFF" w:rsidR="007D5795" w:rsidRDefault="007D5795" w:rsidP="007D5795">
      <w:pPr>
        <w:pStyle w:val="SangriaFrancesaArticulo"/>
      </w:pPr>
      <w:r w:rsidRPr="007D5795">
        <w:rPr>
          <w:rStyle w:val="TextoNormalNegritaCaracter"/>
        </w:rPr>
        <w:t>§ 132.</w:t>
      </w:r>
      <w:r w:rsidRPr="007D5795">
        <w:rPr>
          <w:rStyle w:val="TextoNormalCaracter"/>
        </w:rPr>
        <w:t>-</w:t>
      </w:r>
      <w:r>
        <w:t xml:space="preserve"> Sentencia </w:t>
      </w:r>
      <w:hyperlink w:anchor="SENTENCIA_2024_140" w:history="1">
        <w:r w:rsidRPr="007D5795">
          <w:rPr>
            <w:rStyle w:val="TextoNormalCaracter"/>
          </w:rPr>
          <w:t>140/2024</w:t>
        </w:r>
      </w:hyperlink>
      <w:r>
        <w:t>, f. 4.</w:t>
      </w:r>
    </w:p>
    <w:p w14:paraId="1312579D" w14:textId="41B7F009" w:rsidR="007D5795" w:rsidRDefault="007D5795" w:rsidP="007D5795">
      <w:pPr>
        <w:pStyle w:val="SangriaFrancesaArticulo"/>
      </w:pPr>
    </w:p>
    <w:p w14:paraId="6FB1FC7E" w14:textId="77777777" w:rsidR="007D5795" w:rsidRDefault="007D5795" w:rsidP="007D5795">
      <w:pPr>
        <w:pStyle w:val="TextoNormalNegritaCursivandice"/>
        <w:keepNext/>
      </w:pPr>
      <w:r>
        <w:t>Sentencia del Tribunal Europeo de Derechos Humanos de 12 de septiembre de 2012 (Nada c. Suiza)</w:t>
      </w:r>
    </w:p>
    <w:p w14:paraId="38BF48A5" w14:textId="2E873420" w:rsidR="007D5795" w:rsidRDefault="007D5795" w:rsidP="007D5795">
      <w:pPr>
        <w:pStyle w:val="SangriaFrancesaArticulo"/>
      </w:pPr>
      <w:r w:rsidRPr="007D5795">
        <w:rPr>
          <w:rStyle w:val="TextoNormalNegritaCaracter"/>
        </w:rPr>
        <w:t>§ 165.</w:t>
      </w:r>
      <w:r w:rsidRPr="007D5795">
        <w:rPr>
          <w:rStyle w:val="TextoNormalCaracter"/>
        </w:rPr>
        <w:t>-</w:t>
      </w:r>
      <w:r>
        <w:t xml:space="preserve"> Sentencias </w:t>
      </w:r>
      <w:hyperlink w:anchor="SENTENCIA_2024_136" w:history="1">
        <w:r w:rsidRPr="007D5795">
          <w:rPr>
            <w:rStyle w:val="TextoNormalCaracter"/>
          </w:rPr>
          <w:t>136/2024</w:t>
        </w:r>
      </w:hyperlink>
      <w:r>
        <w:t xml:space="preserve">, f. 5; </w:t>
      </w:r>
      <w:hyperlink w:anchor="SENTENCIA_2024_141" w:history="1">
        <w:r w:rsidRPr="007D5795">
          <w:rPr>
            <w:rStyle w:val="TextoNormalCaracter"/>
          </w:rPr>
          <w:t>141/2024</w:t>
        </w:r>
      </w:hyperlink>
      <w:r>
        <w:t>, f. 3.</w:t>
      </w:r>
    </w:p>
    <w:p w14:paraId="4A631655" w14:textId="565C94A4" w:rsidR="007D5795" w:rsidRDefault="007D5795" w:rsidP="007D5795">
      <w:pPr>
        <w:pStyle w:val="SangriaFrancesaArticulo"/>
      </w:pPr>
    </w:p>
    <w:p w14:paraId="232CF96A" w14:textId="77777777" w:rsidR="007D5795" w:rsidRDefault="007D5795" w:rsidP="007D5795">
      <w:pPr>
        <w:pStyle w:val="TextoNormalNegritaCursivandice"/>
        <w:keepNext/>
      </w:pPr>
      <w:r>
        <w:t>Sentencia del Tribunal Europeo de Derechos Humanos de 23 de octubre de 2012 (Yotova c. Bulgaria)</w:t>
      </w:r>
    </w:p>
    <w:p w14:paraId="08136129" w14:textId="4E75974E" w:rsidR="007D5795" w:rsidRDefault="007D5795" w:rsidP="007D5795">
      <w:pPr>
        <w:pStyle w:val="SangriaFrancesaArticulo"/>
      </w:pPr>
      <w:r w:rsidRPr="007D5795">
        <w:rPr>
          <w:rStyle w:val="TextoNormalNegritaCaracter"/>
        </w:rPr>
        <w:t>§ 68.</w:t>
      </w:r>
      <w:r w:rsidRPr="007D5795">
        <w:rPr>
          <w:rStyle w:val="TextoNormalCaracter"/>
        </w:rPr>
        <w:t>-</w:t>
      </w:r>
      <w:r>
        <w:t xml:space="preserve"> Sentencia </w:t>
      </w:r>
      <w:hyperlink w:anchor="SENTENCIA_2024_144" w:history="1">
        <w:r w:rsidRPr="007D5795">
          <w:rPr>
            <w:rStyle w:val="TextoNormalCaracter"/>
          </w:rPr>
          <w:t>144/2024</w:t>
        </w:r>
      </w:hyperlink>
      <w:r>
        <w:t>, f. 4.</w:t>
      </w:r>
    </w:p>
    <w:p w14:paraId="4E6C5979" w14:textId="2DB15B96" w:rsidR="007D5795" w:rsidRDefault="007D5795" w:rsidP="007D5795">
      <w:pPr>
        <w:pStyle w:val="SangriaFrancesaArticulo"/>
      </w:pPr>
    </w:p>
    <w:p w14:paraId="6DA236F0" w14:textId="77777777" w:rsidR="007D5795" w:rsidRDefault="007D5795" w:rsidP="007D5795">
      <w:pPr>
        <w:pStyle w:val="TextoNormalNegritaCursivandice"/>
        <w:keepNext/>
      </w:pPr>
      <w:r>
        <w:t>Sentencia del Tribunal Europeo de Derechos Humanos de 7 de febrero de 2013 (Fabris c. Francia)</w:t>
      </w:r>
    </w:p>
    <w:p w14:paraId="016E9534" w14:textId="081219C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5.</w:t>
      </w:r>
    </w:p>
    <w:p w14:paraId="5FC73AB6" w14:textId="7924521A" w:rsidR="007D5795" w:rsidRDefault="007D5795" w:rsidP="007D5795">
      <w:pPr>
        <w:pStyle w:val="SangriaFrancesaArticulo"/>
      </w:pPr>
    </w:p>
    <w:p w14:paraId="1AF135C5" w14:textId="77777777" w:rsidR="007D5795" w:rsidRDefault="007D5795" w:rsidP="007D5795">
      <w:pPr>
        <w:pStyle w:val="TextoNormalNegritaCursivandice"/>
        <w:keepNext/>
      </w:pPr>
      <w:r>
        <w:t>Sentencia del Tribunal Europeo de Derechos Humanos de 14 de marzo de 2013 (Eon c. Francia)</w:t>
      </w:r>
    </w:p>
    <w:p w14:paraId="7B57C469" w14:textId="6BA938A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85" w:history="1">
        <w:r w:rsidRPr="007D5795">
          <w:rPr>
            <w:rStyle w:val="TextoNormalCaracter"/>
          </w:rPr>
          <w:t>85/2024</w:t>
        </w:r>
      </w:hyperlink>
      <w:r>
        <w:t>, VP.</w:t>
      </w:r>
    </w:p>
    <w:p w14:paraId="052DC05C" w14:textId="473946A3" w:rsidR="007D5795" w:rsidRDefault="007D5795" w:rsidP="007D5795">
      <w:pPr>
        <w:pStyle w:val="SangriaFrancesaArticulo"/>
      </w:pPr>
    </w:p>
    <w:p w14:paraId="349FB71A" w14:textId="77777777" w:rsidR="007D5795" w:rsidRDefault="007D5795" w:rsidP="007D5795">
      <w:pPr>
        <w:pStyle w:val="TextoNormalNegritaCursivandice"/>
        <w:keepNext/>
      </w:pPr>
      <w:r>
        <w:t>Sentencia del Tribunal Europeo de Derechos Humanos de 9 de julio de 2013 (Sindicatul “Pastorul Cel Bun” c. Rumanía)</w:t>
      </w:r>
    </w:p>
    <w:p w14:paraId="40E2D8FB" w14:textId="43B5191D" w:rsidR="007D5795" w:rsidRDefault="007D5795" w:rsidP="007D5795">
      <w:pPr>
        <w:pStyle w:val="SangriaFrancesaArticulo"/>
      </w:pPr>
      <w:r w:rsidRPr="007D5795">
        <w:rPr>
          <w:rStyle w:val="TextoNormalNegritaCaracter"/>
        </w:rPr>
        <w:t>§ 136.</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017C875B" w14:textId="7BD362A4" w:rsidR="007D5795" w:rsidRDefault="007D5795" w:rsidP="007D5795">
      <w:pPr>
        <w:pStyle w:val="SangriaFrancesaArticulo"/>
      </w:pPr>
      <w:r w:rsidRPr="007D5795">
        <w:rPr>
          <w:rStyle w:val="TextoNormalNegritaCaracter"/>
        </w:rPr>
        <w:t>§ 137.</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0C8F4C9A" w14:textId="5F07CC59" w:rsidR="007D5795" w:rsidRDefault="007D5795" w:rsidP="007D5795">
      <w:pPr>
        <w:pStyle w:val="SangriaFrancesaArticulo"/>
      </w:pPr>
      <w:r w:rsidRPr="007D5795">
        <w:rPr>
          <w:rStyle w:val="TextoNormalNegritaCaracter"/>
        </w:rPr>
        <w:t>§ 161.</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30C265A5" w14:textId="515EB2E1" w:rsidR="007D5795" w:rsidRDefault="007D5795" w:rsidP="007D5795">
      <w:pPr>
        <w:pStyle w:val="SangriaFrancesaArticulo"/>
      </w:pPr>
      <w:r w:rsidRPr="007D5795">
        <w:rPr>
          <w:rStyle w:val="TextoNormalNegritaCaracter"/>
        </w:rPr>
        <w:t>§ 165 a 170.</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6CD33EBA" w14:textId="7F1A5882" w:rsidR="007D5795" w:rsidRDefault="007D5795" w:rsidP="007D5795">
      <w:pPr>
        <w:pStyle w:val="SangriaFrancesaArticulo"/>
      </w:pPr>
    </w:p>
    <w:p w14:paraId="4C78586F" w14:textId="77777777" w:rsidR="007D5795" w:rsidRDefault="007D5795" w:rsidP="007D5795">
      <w:pPr>
        <w:pStyle w:val="TextoNormalNegritaCursivandice"/>
        <w:keepNext/>
      </w:pPr>
      <w:r>
        <w:t>Sentencia del Tribunal Europeo de Derechos Humanos de 12 de julio de 2013 (Allen c. Reino Unido)</w:t>
      </w:r>
    </w:p>
    <w:p w14:paraId="7EB4F811" w14:textId="0737746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5" w:history="1">
        <w:r w:rsidRPr="007D5795">
          <w:rPr>
            <w:rStyle w:val="TextoNormalCaracter"/>
          </w:rPr>
          <w:t>95/2024</w:t>
        </w:r>
      </w:hyperlink>
      <w:r>
        <w:t>, f. 6.</w:t>
      </w:r>
    </w:p>
    <w:p w14:paraId="599CB36C" w14:textId="3FEE2248" w:rsidR="007D5795" w:rsidRDefault="007D5795" w:rsidP="007D5795">
      <w:pPr>
        <w:pStyle w:val="SangriaFrancesaArticulo"/>
      </w:pPr>
      <w:r w:rsidRPr="007D5795">
        <w:rPr>
          <w:rStyle w:val="TextoNormalNegritaCaracter"/>
        </w:rPr>
        <w:t>§ 93.</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8" w:history="1">
        <w:r w:rsidRPr="007D5795">
          <w:rPr>
            <w:rStyle w:val="TextoNormalCaracter"/>
          </w:rPr>
          <w:t>98/2024</w:t>
        </w:r>
      </w:hyperlink>
      <w:r>
        <w:t xml:space="preserve">, f. 7;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f. 5.</w:t>
      </w:r>
    </w:p>
    <w:p w14:paraId="18F8CFAB" w14:textId="20E76F1E" w:rsidR="007D5795" w:rsidRDefault="007D5795" w:rsidP="007D5795">
      <w:pPr>
        <w:pStyle w:val="SangriaFrancesaArticulo"/>
      </w:pPr>
      <w:r w:rsidRPr="007D5795">
        <w:rPr>
          <w:rStyle w:val="TextoNormalNegritaCaracter"/>
        </w:rPr>
        <w:t>§ 94.</w:t>
      </w:r>
      <w:r w:rsidRPr="007D5795">
        <w:rPr>
          <w:rStyle w:val="TextoNormalCaracter"/>
        </w:rPr>
        <w:t>-</w:t>
      </w:r>
      <w:r>
        <w:t xml:space="preserve"> Sentencia </w:t>
      </w:r>
      <w:hyperlink w:anchor="SENTENCIA_2024_94" w:history="1">
        <w:r w:rsidRPr="007D5795">
          <w:rPr>
            <w:rStyle w:val="TextoNormalCaracter"/>
          </w:rPr>
          <w:t>94/2024</w:t>
        </w:r>
      </w:hyperlink>
      <w:r>
        <w:t>, f. 7.</w:t>
      </w:r>
    </w:p>
    <w:p w14:paraId="54642D6E" w14:textId="222FA5D0" w:rsidR="007D5795" w:rsidRDefault="007D5795" w:rsidP="007D5795">
      <w:pPr>
        <w:pStyle w:val="SangriaFrancesaArticulo"/>
      </w:pPr>
    </w:p>
    <w:p w14:paraId="29501C74" w14:textId="77777777" w:rsidR="007D5795" w:rsidRDefault="007D5795" w:rsidP="007D5795">
      <w:pPr>
        <w:pStyle w:val="TextoNormalNegritaCursivandice"/>
        <w:keepNext/>
      </w:pPr>
      <w:r>
        <w:t>Sentencia del Tribunal Europeo de Derechos Humanos de 15 de octubre de 2013 (Gutsanovi c. Bulgaria)</w:t>
      </w:r>
    </w:p>
    <w:p w14:paraId="0ECC6EF8" w14:textId="10E506F8" w:rsidR="007D5795" w:rsidRDefault="007D5795" w:rsidP="007D5795">
      <w:pPr>
        <w:pStyle w:val="SangriaFrancesaArticulo"/>
      </w:pPr>
      <w:r w:rsidRPr="007D5795">
        <w:rPr>
          <w:rStyle w:val="TextoNormalNegritaCaracter"/>
        </w:rPr>
        <w:t>§ 202, 203.</w:t>
      </w:r>
      <w:r w:rsidRPr="007D5795">
        <w:rPr>
          <w:rStyle w:val="TextoNormalCaracter"/>
        </w:rPr>
        <w:t>-</w:t>
      </w:r>
      <w:r>
        <w:t xml:space="preserve"> Sentencia </w:t>
      </w:r>
      <w:hyperlink w:anchor="SENTENCIA_2024_94" w:history="1">
        <w:r w:rsidRPr="007D5795">
          <w:rPr>
            <w:rStyle w:val="TextoNormalCaracter"/>
          </w:rPr>
          <w:t>94/2024</w:t>
        </w:r>
      </w:hyperlink>
      <w:r>
        <w:t>, f. 7.</w:t>
      </w:r>
    </w:p>
    <w:p w14:paraId="65A251FB" w14:textId="1F2FFB67" w:rsidR="007D5795" w:rsidRDefault="007D5795" w:rsidP="007D5795">
      <w:pPr>
        <w:pStyle w:val="SangriaFrancesaArticulo"/>
      </w:pPr>
    </w:p>
    <w:p w14:paraId="13F9CB38" w14:textId="77777777" w:rsidR="007D5795" w:rsidRDefault="007D5795" w:rsidP="007D5795">
      <w:pPr>
        <w:pStyle w:val="TextoNormalNegritaCursivandice"/>
        <w:keepNext/>
      </w:pPr>
      <w:r>
        <w:t>Sentencia del Tribunal Europeo de Derechos Humanos de 8 de abril de 2014 (Dhahbi c. Italia)</w:t>
      </w:r>
    </w:p>
    <w:p w14:paraId="043A24AD" w14:textId="211F0A8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262D1AB3" w14:textId="2B66077E" w:rsidR="007D5795" w:rsidRDefault="007D5795" w:rsidP="007D5795">
      <w:pPr>
        <w:pStyle w:val="SangriaFrancesaArticulo"/>
      </w:pPr>
    </w:p>
    <w:p w14:paraId="36D8B25B" w14:textId="77777777" w:rsidR="007D5795" w:rsidRDefault="007D5795" w:rsidP="007D5795">
      <w:pPr>
        <w:pStyle w:val="TextoNormalNegritaCursivandice"/>
        <w:keepNext/>
      </w:pPr>
      <w:r>
        <w:t>Sentencia del Tribunal Europeo de Derechos Humanos de 12 de junio de 2014 (Fernández Martínez c. España)</w:t>
      </w:r>
    </w:p>
    <w:p w14:paraId="6D00755A" w14:textId="46AAA632" w:rsidR="007D5795" w:rsidRDefault="007D5795" w:rsidP="007D5795">
      <w:pPr>
        <w:pStyle w:val="SangriaFrancesaArticulo"/>
      </w:pPr>
      <w:r w:rsidRPr="007D5795">
        <w:rPr>
          <w:rStyle w:val="TextoNormalNegritaCaracter"/>
        </w:rPr>
        <w:t>§ 127.</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4521BF2B" w14:textId="0018C55C" w:rsidR="007D5795" w:rsidRDefault="007D5795" w:rsidP="007D5795">
      <w:pPr>
        <w:pStyle w:val="SangriaFrancesaArticulo"/>
      </w:pPr>
      <w:r w:rsidRPr="007D5795">
        <w:rPr>
          <w:rStyle w:val="TextoNormalNegritaCaracter"/>
        </w:rPr>
        <w:t>§ 129.</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14D89BF4" w14:textId="782E55A9" w:rsidR="007D5795" w:rsidRDefault="007D5795" w:rsidP="007D5795">
      <w:pPr>
        <w:pStyle w:val="SangriaFrancesaArticulo"/>
      </w:pPr>
      <w:r w:rsidRPr="007D5795">
        <w:rPr>
          <w:rStyle w:val="TextoNormalNegritaCaracter"/>
        </w:rPr>
        <w:t>§ 136.</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3E656217" w14:textId="5100DD7E" w:rsidR="007D5795" w:rsidRDefault="007D5795" w:rsidP="007D5795">
      <w:pPr>
        <w:pStyle w:val="SangriaFrancesaArticulo"/>
      </w:pPr>
      <w:r w:rsidRPr="007D5795">
        <w:rPr>
          <w:rStyle w:val="TextoNormalNegritaCaracter"/>
        </w:rPr>
        <w:t>§ 138.</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2596D091" w14:textId="69EBC312" w:rsidR="007D5795" w:rsidRDefault="007D5795" w:rsidP="007D5795">
      <w:pPr>
        <w:pStyle w:val="SangriaFrancesaArticulo"/>
      </w:pPr>
      <w:r w:rsidRPr="007D5795">
        <w:rPr>
          <w:rStyle w:val="TextoNormalNegritaCaracter"/>
        </w:rPr>
        <w:t>§ 151.</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4C7A3EBD" w14:textId="08C5C157" w:rsidR="007D5795" w:rsidRDefault="007D5795" w:rsidP="007D5795">
      <w:pPr>
        <w:pStyle w:val="SangriaFrancesaArticulo"/>
      </w:pPr>
    </w:p>
    <w:p w14:paraId="35909C1F" w14:textId="77777777" w:rsidR="007D5795" w:rsidRDefault="007D5795" w:rsidP="007D5795">
      <w:pPr>
        <w:pStyle w:val="TextoNormalNegritaCursivandice"/>
        <w:keepNext/>
      </w:pPr>
      <w:r>
        <w:t>Decisión del Tribunal Europeo de Derechos Humanos de 9 de diciembre de 2014 (Taner c. Turquía)</w:t>
      </w:r>
    </w:p>
    <w:p w14:paraId="76825478" w14:textId="2D83F958" w:rsidR="007D5795" w:rsidRDefault="007D5795" w:rsidP="007D5795">
      <w:pPr>
        <w:pStyle w:val="SangriaFrancesaArticulo"/>
      </w:pPr>
      <w:r w:rsidRPr="007D5795">
        <w:rPr>
          <w:rStyle w:val="TextoNormalNegritaCaracter"/>
        </w:rPr>
        <w:t>§ 53.</w:t>
      </w:r>
      <w:r w:rsidRPr="007D5795">
        <w:rPr>
          <w:rStyle w:val="TextoNormalCaracter"/>
        </w:rPr>
        <w:t>-</w:t>
      </w:r>
      <w:r>
        <w:t xml:space="preserve"> Sentencia </w:t>
      </w:r>
      <w:hyperlink w:anchor="SENTENCIA_2024_144" w:history="1">
        <w:r w:rsidRPr="007D5795">
          <w:rPr>
            <w:rStyle w:val="TextoNormalCaracter"/>
          </w:rPr>
          <w:t>144/2024</w:t>
        </w:r>
      </w:hyperlink>
      <w:r>
        <w:t>, f. 4.</w:t>
      </w:r>
    </w:p>
    <w:p w14:paraId="219941E3" w14:textId="68895DA3" w:rsidR="007D5795" w:rsidRDefault="007D5795" w:rsidP="007D5795">
      <w:pPr>
        <w:pStyle w:val="SangriaFrancesaArticulo"/>
      </w:pPr>
      <w:r w:rsidRPr="007D5795">
        <w:rPr>
          <w:rStyle w:val="TextoNormalNegritaCaracter"/>
        </w:rPr>
        <w:t>§ 55.</w:t>
      </w:r>
      <w:r w:rsidRPr="007D5795">
        <w:rPr>
          <w:rStyle w:val="TextoNormalCaracter"/>
        </w:rPr>
        <w:t>-</w:t>
      </w:r>
      <w:r>
        <w:t xml:space="preserve"> Sentencia </w:t>
      </w:r>
      <w:hyperlink w:anchor="SENTENCIA_2024_144" w:history="1">
        <w:r w:rsidRPr="007D5795">
          <w:rPr>
            <w:rStyle w:val="TextoNormalCaracter"/>
          </w:rPr>
          <w:t>144/2024</w:t>
        </w:r>
      </w:hyperlink>
      <w:r>
        <w:t>, f. 4.</w:t>
      </w:r>
    </w:p>
    <w:p w14:paraId="42C3E45F" w14:textId="701CF2BD" w:rsidR="007D5795" w:rsidRDefault="007D5795" w:rsidP="007D5795">
      <w:pPr>
        <w:pStyle w:val="SangriaFrancesaArticulo"/>
      </w:pPr>
    </w:p>
    <w:p w14:paraId="087C6C52" w14:textId="77777777" w:rsidR="007D5795" w:rsidRDefault="007D5795" w:rsidP="007D5795">
      <w:pPr>
        <w:pStyle w:val="TextoNormalNegritaCursivandice"/>
        <w:keepNext/>
      </w:pPr>
      <w:r>
        <w:t>Sentencia del Tribunal Europeo de Derechos Humanos de 20 de enero de 2015 (Arribas Antón c. España)</w:t>
      </w:r>
    </w:p>
    <w:p w14:paraId="01B464E2" w14:textId="537A1BA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85" w:history="1">
        <w:r w:rsidRPr="007D5795">
          <w:rPr>
            <w:rStyle w:val="TextoNormalCaracter"/>
          </w:rPr>
          <w:t>85/2024</w:t>
        </w:r>
      </w:hyperlink>
      <w:r>
        <w:t>, VP.</w:t>
      </w:r>
    </w:p>
    <w:p w14:paraId="7C7B4C5E" w14:textId="4D59F801" w:rsidR="007D5795" w:rsidRDefault="007D5795" w:rsidP="007D5795">
      <w:pPr>
        <w:pStyle w:val="SangriaFrancesaArticulo"/>
      </w:pPr>
      <w:r w:rsidRPr="007D5795">
        <w:rPr>
          <w:rStyle w:val="TextoNormalNegritaCaracter"/>
        </w:rPr>
        <w:t>§ 37.</w:t>
      </w:r>
      <w:r w:rsidRPr="007D5795">
        <w:rPr>
          <w:rStyle w:val="TextoNormalCaracter"/>
        </w:rPr>
        <w:t>-</w:t>
      </w:r>
      <w:r>
        <w:t xml:space="preserve"> Sentencia </w:t>
      </w:r>
      <w:hyperlink w:anchor="SENTENCIA_2024_108" w:history="1">
        <w:r w:rsidRPr="007D5795">
          <w:rPr>
            <w:rStyle w:val="TextoNormalCaracter"/>
          </w:rPr>
          <w:t>108/2024</w:t>
        </w:r>
      </w:hyperlink>
      <w:r>
        <w:t>, f. 1.</w:t>
      </w:r>
    </w:p>
    <w:p w14:paraId="291B2746" w14:textId="6594A1A1" w:rsidR="007D5795" w:rsidRDefault="007D5795" w:rsidP="007D5795">
      <w:pPr>
        <w:pStyle w:val="SangriaFrancesaArticulo"/>
      </w:pPr>
      <w:r w:rsidRPr="007D5795">
        <w:rPr>
          <w:rStyle w:val="TextoNormalNegritaCaracter"/>
        </w:rPr>
        <w:t>§ 46.</w:t>
      </w:r>
      <w:r w:rsidRPr="007D5795">
        <w:rPr>
          <w:rStyle w:val="TextoNormalCaracter"/>
        </w:rPr>
        <w:t>-</w:t>
      </w:r>
      <w:r>
        <w:t xml:space="preserve"> Sentencias </w:t>
      </w:r>
      <w:hyperlink w:anchor="SENTENCIA_2024_107" w:history="1">
        <w:r w:rsidRPr="007D5795">
          <w:rPr>
            <w:rStyle w:val="TextoNormalCaracter"/>
          </w:rPr>
          <w:t>107/2024</w:t>
        </w:r>
      </w:hyperlink>
      <w:r>
        <w:t xml:space="preserve">, f. 2; </w:t>
      </w:r>
      <w:hyperlink w:anchor="SENTENCIA_2024_118" w:history="1">
        <w:r w:rsidRPr="007D5795">
          <w:rPr>
            <w:rStyle w:val="TextoNormalCaracter"/>
          </w:rPr>
          <w:t>118/2024</w:t>
        </w:r>
      </w:hyperlink>
      <w:r>
        <w:t>, f. 2.</w:t>
      </w:r>
    </w:p>
    <w:p w14:paraId="572DAF72" w14:textId="0949ECDC" w:rsidR="007D5795" w:rsidRDefault="007D5795" w:rsidP="007D5795">
      <w:pPr>
        <w:pStyle w:val="SangriaFrancesaArticulo"/>
      </w:pPr>
      <w:r w:rsidRPr="007D5795">
        <w:rPr>
          <w:rStyle w:val="TextoNormalNegritaCaracter"/>
        </w:rPr>
        <w:t>§ 47.</w:t>
      </w:r>
      <w:r w:rsidRPr="007D5795">
        <w:rPr>
          <w:rStyle w:val="TextoNormalCaracter"/>
        </w:rPr>
        <w:t>-</w:t>
      </w:r>
      <w:r>
        <w:t xml:space="preserve"> Sentencia </w:t>
      </w:r>
      <w:hyperlink w:anchor="SENTENCIA_2024_116" w:history="1">
        <w:r w:rsidRPr="007D5795">
          <w:rPr>
            <w:rStyle w:val="TextoNormalCaracter"/>
          </w:rPr>
          <w:t>116/2024</w:t>
        </w:r>
      </w:hyperlink>
      <w:r>
        <w:t>, f. 3.</w:t>
      </w:r>
    </w:p>
    <w:p w14:paraId="110B397E" w14:textId="76A947A0" w:rsidR="007D5795" w:rsidRDefault="007D5795" w:rsidP="007D5795">
      <w:pPr>
        <w:pStyle w:val="SangriaFrancesaArticulo"/>
      </w:pPr>
    </w:p>
    <w:p w14:paraId="20BB9269" w14:textId="77777777" w:rsidR="007D5795" w:rsidRDefault="007D5795" w:rsidP="007D5795">
      <w:pPr>
        <w:pStyle w:val="TextoNormalNegritaCursivandice"/>
        <w:keepNext/>
      </w:pPr>
      <w:r>
        <w:t>Sentencia del Tribunal Europeo de Derechos Humanos de 14 de abril de 2015 (Mustafa Tunç y Fecire Tunç c. Turquía)</w:t>
      </w:r>
    </w:p>
    <w:p w14:paraId="71AD5228" w14:textId="0D928DA6" w:rsidR="007D5795" w:rsidRDefault="007D5795" w:rsidP="007D5795">
      <w:pPr>
        <w:pStyle w:val="SangriaFrancesaArticulo"/>
      </w:pPr>
      <w:r w:rsidRPr="007D5795">
        <w:rPr>
          <w:rStyle w:val="TextoNormalNegritaCaracter"/>
        </w:rPr>
        <w:t>§ 225.</w:t>
      </w:r>
      <w:r w:rsidRPr="007D5795">
        <w:rPr>
          <w:rStyle w:val="TextoNormalCaracter"/>
        </w:rPr>
        <w:t>-</w:t>
      </w:r>
      <w:r>
        <w:t xml:space="preserve"> Sentencia </w:t>
      </w:r>
      <w:hyperlink w:anchor="SENTENCIA_2024_144" w:history="1">
        <w:r w:rsidRPr="007D5795">
          <w:rPr>
            <w:rStyle w:val="TextoNormalCaracter"/>
          </w:rPr>
          <w:t>144/2024</w:t>
        </w:r>
      </w:hyperlink>
      <w:r>
        <w:t>, f. 4.</w:t>
      </w:r>
    </w:p>
    <w:p w14:paraId="4C77F29A" w14:textId="30A2D40A" w:rsidR="007D5795" w:rsidRDefault="007D5795" w:rsidP="007D5795">
      <w:pPr>
        <w:pStyle w:val="SangriaFrancesaArticulo"/>
      </w:pPr>
    </w:p>
    <w:p w14:paraId="00585DEA" w14:textId="77777777" w:rsidR="007D5795" w:rsidRDefault="007D5795" w:rsidP="007D5795">
      <w:pPr>
        <w:pStyle w:val="TextoNormalNegritaCursivandice"/>
        <w:keepNext/>
      </w:pPr>
      <w:r>
        <w:t>Sentencia del Tribunal Europeo de Derechos Humanos de 5 de mayo de 2015 (Arratibel Garciandia c. España)</w:t>
      </w:r>
    </w:p>
    <w:p w14:paraId="4FC57C7A" w14:textId="6768361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5" w:history="1">
        <w:r w:rsidRPr="007D5795">
          <w:rPr>
            <w:rStyle w:val="TextoNormalCaracter"/>
          </w:rPr>
          <w:t>105/2024</w:t>
        </w:r>
      </w:hyperlink>
      <w:r>
        <w:t>, f. 2.</w:t>
      </w:r>
    </w:p>
    <w:p w14:paraId="77F4BBB5" w14:textId="02D2103C" w:rsidR="007D5795" w:rsidRDefault="007D5795" w:rsidP="007D5795">
      <w:pPr>
        <w:pStyle w:val="SangriaFrancesaArticulo"/>
      </w:pPr>
    </w:p>
    <w:p w14:paraId="0B8BBDBD" w14:textId="77777777" w:rsidR="007D5795" w:rsidRDefault="007D5795" w:rsidP="007D5795">
      <w:pPr>
        <w:pStyle w:val="TextoNormalNegritaCursivandice"/>
        <w:keepNext/>
      </w:pPr>
      <w:r>
        <w:t>Sentencia del Tribunal Europeo de Derechos Humanos de 9 de julio de 2015 (A.K. c. Liechtenstein)</w:t>
      </w:r>
    </w:p>
    <w:p w14:paraId="06C601B4" w14:textId="168A5F03" w:rsidR="007D5795" w:rsidRDefault="007D5795" w:rsidP="007D5795">
      <w:pPr>
        <w:pStyle w:val="SangriaFrancesaArticulo"/>
      </w:pPr>
      <w:r w:rsidRPr="007D5795">
        <w:rPr>
          <w:rStyle w:val="TextoNormalNegritaCaracter"/>
        </w:rPr>
        <w:t>§ 82.</w:t>
      </w:r>
      <w:r w:rsidRPr="007D5795">
        <w:rPr>
          <w:rStyle w:val="TextoNormalCaracter"/>
        </w:rPr>
        <w:t>-</w:t>
      </w:r>
      <w:r>
        <w:t xml:space="preserve"> Auto </w:t>
      </w:r>
      <w:hyperlink w:anchor="AUTO_2024_70" w:history="1">
        <w:r w:rsidRPr="007D5795">
          <w:rPr>
            <w:rStyle w:val="TextoNormalCaracter"/>
          </w:rPr>
          <w:t>70/2024</w:t>
        </w:r>
      </w:hyperlink>
      <w:r>
        <w:t>, f. 2.</w:t>
      </w:r>
    </w:p>
    <w:p w14:paraId="4D5D0C0D" w14:textId="05A42FAF" w:rsidR="007D5795" w:rsidRDefault="007D5795" w:rsidP="007D5795">
      <w:pPr>
        <w:pStyle w:val="SangriaFrancesaArticulo"/>
      </w:pPr>
    </w:p>
    <w:p w14:paraId="32256F53" w14:textId="77777777" w:rsidR="007D5795" w:rsidRDefault="007D5795" w:rsidP="007D5795">
      <w:pPr>
        <w:pStyle w:val="TextoNormalNegritaCursivandice"/>
        <w:keepNext/>
      </w:pPr>
      <w:r>
        <w:t>Sentencia del Tribunal Europeo de Derechos Humanos de 21 de julio de 2015 (Neagoe c. Rumanía)</w:t>
      </w:r>
    </w:p>
    <w:p w14:paraId="748A4D92" w14:textId="73268237" w:rsidR="007D5795" w:rsidRDefault="007D5795" w:rsidP="007D5795">
      <w:pPr>
        <w:pStyle w:val="SangriaFrancesaArticulo"/>
      </w:pPr>
      <w:r w:rsidRPr="007D5795">
        <w:rPr>
          <w:rStyle w:val="TextoNormalNegritaCaracter"/>
        </w:rPr>
        <w:t>§ 45.</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98" w:history="1">
        <w:r w:rsidRPr="007D5795">
          <w:rPr>
            <w:rStyle w:val="TextoNormalCaracter"/>
          </w:rPr>
          <w:t>98/2024</w:t>
        </w:r>
      </w:hyperlink>
      <w:r>
        <w:t xml:space="preserve">, f. 7;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f. 5.</w:t>
      </w:r>
    </w:p>
    <w:p w14:paraId="2499AD05" w14:textId="4BB5776E" w:rsidR="007D5795" w:rsidRDefault="007D5795" w:rsidP="007D5795">
      <w:pPr>
        <w:pStyle w:val="SangriaFrancesaArticulo"/>
      </w:pPr>
      <w:r w:rsidRPr="007D5795">
        <w:rPr>
          <w:rStyle w:val="TextoNormalNegritaCaracter"/>
        </w:rPr>
        <w:t>§ 46.</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98" w:history="1">
        <w:r w:rsidRPr="007D5795">
          <w:rPr>
            <w:rStyle w:val="TextoNormalCaracter"/>
          </w:rPr>
          <w:t>98/2024</w:t>
        </w:r>
      </w:hyperlink>
      <w:r>
        <w:t>, f. 7.</w:t>
      </w:r>
    </w:p>
    <w:p w14:paraId="04003A19" w14:textId="44994A71" w:rsidR="007D5795" w:rsidRDefault="007D5795" w:rsidP="007D5795">
      <w:pPr>
        <w:pStyle w:val="SangriaFrancesaArticulo"/>
      </w:pPr>
      <w:r w:rsidRPr="007D5795">
        <w:rPr>
          <w:rStyle w:val="TextoNormalNegritaCaracter"/>
        </w:rPr>
        <w:t>§ 46 y 48.</w:t>
      </w:r>
      <w:r w:rsidRPr="007D5795">
        <w:rPr>
          <w:rStyle w:val="TextoNormalCaracter"/>
        </w:rPr>
        <w:t>-</w:t>
      </w:r>
      <w:r>
        <w:t xml:space="preserve"> Sentencia </w:t>
      </w:r>
      <w:hyperlink w:anchor="SENTENCIA_2024_100" w:history="1">
        <w:r w:rsidRPr="007D5795">
          <w:rPr>
            <w:rStyle w:val="TextoNormalCaracter"/>
          </w:rPr>
          <w:t>100/2024</w:t>
        </w:r>
      </w:hyperlink>
      <w:r>
        <w:t>, f. 7.</w:t>
      </w:r>
    </w:p>
    <w:p w14:paraId="44AE58F3" w14:textId="49D77E1D" w:rsidR="007D5795" w:rsidRDefault="007D5795" w:rsidP="007D5795">
      <w:pPr>
        <w:pStyle w:val="SangriaFrancesaArticulo"/>
      </w:pPr>
      <w:r w:rsidRPr="007D5795">
        <w:rPr>
          <w:rStyle w:val="TextoNormalNegritaCaracter"/>
        </w:rPr>
        <w:t>§ 46.</w:t>
      </w:r>
      <w:r w:rsidRPr="007D5795">
        <w:rPr>
          <w:rStyle w:val="TextoNormalCaracter"/>
        </w:rPr>
        <w:t>-</w:t>
      </w:r>
      <w:r>
        <w:t xml:space="preserve"> Sentencia </w:t>
      </w:r>
      <w:hyperlink w:anchor="SENTENCIA_2024_101" w:history="1">
        <w:r w:rsidRPr="007D5795">
          <w:rPr>
            <w:rStyle w:val="TextoNormalCaracter"/>
          </w:rPr>
          <w:t>101/2024</w:t>
        </w:r>
      </w:hyperlink>
      <w:r>
        <w:t>, f. 5.</w:t>
      </w:r>
    </w:p>
    <w:p w14:paraId="4BDF40B8" w14:textId="232D3CE5" w:rsidR="007D5795" w:rsidRDefault="007D5795" w:rsidP="007D5795">
      <w:pPr>
        <w:pStyle w:val="SangriaFrancesaArticulo"/>
      </w:pPr>
      <w:r w:rsidRPr="007D5795">
        <w:rPr>
          <w:rStyle w:val="TextoNormalNegritaCaracter"/>
        </w:rPr>
        <w:t>§ 48.</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98" w:history="1">
        <w:r w:rsidRPr="007D5795">
          <w:rPr>
            <w:rStyle w:val="TextoNormalCaracter"/>
          </w:rPr>
          <w:t>98/2024</w:t>
        </w:r>
      </w:hyperlink>
      <w:r>
        <w:t xml:space="preserve">, f. 7; </w:t>
      </w:r>
      <w:hyperlink w:anchor="SENTENCIA_2024_101" w:history="1">
        <w:r w:rsidRPr="007D5795">
          <w:rPr>
            <w:rStyle w:val="TextoNormalCaracter"/>
          </w:rPr>
          <w:t>101/2024</w:t>
        </w:r>
      </w:hyperlink>
      <w:r>
        <w:t>, f. 5.</w:t>
      </w:r>
    </w:p>
    <w:p w14:paraId="7D389FB6" w14:textId="6ED1E5CF" w:rsidR="007D5795" w:rsidRDefault="007D5795" w:rsidP="007D5795">
      <w:pPr>
        <w:pStyle w:val="SangriaFrancesaArticulo"/>
      </w:pPr>
      <w:r w:rsidRPr="007D5795">
        <w:rPr>
          <w:rStyle w:val="TextoNormalNegritaCaracter"/>
        </w:rPr>
        <w:t>§ 49.</w:t>
      </w:r>
      <w:r w:rsidRPr="007D5795">
        <w:rPr>
          <w:rStyle w:val="TextoNormalCaracter"/>
        </w:rPr>
        <w:t>-</w:t>
      </w:r>
      <w:r>
        <w:t xml:space="preserve"> Sentencias </w:t>
      </w:r>
      <w:hyperlink w:anchor="SENTENCIA_2024_94" w:history="1">
        <w:r w:rsidRPr="007D5795">
          <w:rPr>
            <w:rStyle w:val="TextoNormalCaracter"/>
          </w:rPr>
          <w:t>94/2024</w:t>
        </w:r>
      </w:hyperlink>
      <w:r>
        <w:t xml:space="preserve">, f. 7; </w:t>
      </w:r>
      <w:hyperlink w:anchor="SENTENCIA_2024_95" w:history="1">
        <w:r w:rsidRPr="007D5795">
          <w:rPr>
            <w:rStyle w:val="TextoNormalCaracter"/>
          </w:rPr>
          <w:t>95/2024</w:t>
        </w:r>
      </w:hyperlink>
      <w:r>
        <w:t xml:space="preserve">, f. 6; </w:t>
      </w:r>
      <w:hyperlink w:anchor="SENTENCIA_2024_98" w:history="1">
        <w:r w:rsidRPr="007D5795">
          <w:rPr>
            <w:rStyle w:val="TextoNormalCaracter"/>
          </w:rPr>
          <w:t>98/2024</w:t>
        </w:r>
      </w:hyperlink>
      <w:r>
        <w:t xml:space="preserve">, f. 7; </w:t>
      </w:r>
      <w:hyperlink w:anchor="SENTENCIA_2024_100" w:history="1">
        <w:r w:rsidRPr="007D5795">
          <w:rPr>
            <w:rStyle w:val="TextoNormalCaracter"/>
          </w:rPr>
          <w:t>100/2024</w:t>
        </w:r>
      </w:hyperlink>
      <w:r>
        <w:t xml:space="preserve">, f. 7; </w:t>
      </w:r>
      <w:hyperlink w:anchor="SENTENCIA_2024_101" w:history="1">
        <w:r w:rsidRPr="007D5795">
          <w:rPr>
            <w:rStyle w:val="TextoNormalCaracter"/>
          </w:rPr>
          <w:t>101/2024</w:t>
        </w:r>
      </w:hyperlink>
      <w:r>
        <w:t>, f. 5.</w:t>
      </w:r>
    </w:p>
    <w:p w14:paraId="40C7DD95" w14:textId="4E8C7385" w:rsidR="007D5795" w:rsidRDefault="007D5795" w:rsidP="007D5795">
      <w:pPr>
        <w:pStyle w:val="SangriaFrancesaArticulo"/>
      </w:pPr>
    </w:p>
    <w:p w14:paraId="52C55402" w14:textId="77777777" w:rsidR="007D5795" w:rsidRDefault="007D5795" w:rsidP="007D5795">
      <w:pPr>
        <w:pStyle w:val="TextoNormalNegritaCursivandice"/>
        <w:keepNext/>
      </w:pPr>
      <w:r>
        <w:t>Sentencia del Tribunal Europeo de Derechos Humanos de 28 de septiembre de 2015 (Bouyid c. Bélgica)</w:t>
      </w:r>
    </w:p>
    <w:p w14:paraId="32394840" w14:textId="36ECB2C4" w:rsidR="007D5795" w:rsidRDefault="007D5795" w:rsidP="007D5795">
      <w:pPr>
        <w:pStyle w:val="SangriaFrancesaArticulo"/>
      </w:pPr>
      <w:r w:rsidRPr="007D5795">
        <w:rPr>
          <w:rStyle w:val="TextoNormalNegritaCaracter"/>
        </w:rPr>
        <w:t>§ 81.</w:t>
      </w:r>
      <w:r w:rsidRPr="007D5795">
        <w:rPr>
          <w:rStyle w:val="TextoNormalCaracter"/>
        </w:rPr>
        <w:t>-</w:t>
      </w:r>
      <w:r>
        <w:t xml:space="preserve"> Sentencia </w:t>
      </w:r>
      <w:hyperlink w:anchor="SENTENCIA_2024_144" w:history="1">
        <w:r w:rsidRPr="007D5795">
          <w:rPr>
            <w:rStyle w:val="TextoNormalCaracter"/>
          </w:rPr>
          <w:t>144/2024</w:t>
        </w:r>
      </w:hyperlink>
      <w:r>
        <w:t>, f. 4.</w:t>
      </w:r>
    </w:p>
    <w:p w14:paraId="3B608443" w14:textId="00BEC933" w:rsidR="007D5795" w:rsidRDefault="007D5795" w:rsidP="007D5795">
      <w:pPr>
        <w:pStyle w:val="SangriaFrancesaArticulo"/>
      </w:pPr>
    </w:p>
    <w:p w14:paraId="6083A6C0" w14:textId="77777777" w:rsidR="007D5795" w:rsidRDefault="007D5795" w:rsidP="007D5795">
      <w:pPr>
        <w:pStyle w:val="TextoNormalNegritaCursivandice"/>
        <w:keepNext/>
      </w:pPr>
      <w:r>
        <w:t>Sentencia del Tribunal Europeo de Derechos Humanos de 15 de octubre de 2015 (Kudrevicius y otros c. Lituania)</w:t>
      </w:r>
    </w:p>
    <w:p w14:paraId="190F607E" w14:textId="4F25C95E" w:rsidR="007D5795" w:rsidRDefault="007D5795" w:rsidP="007D5795">
      <w:pPr>
        <w:pStyle w:val="SangriaFrancesaArticulo"/>
      </w:pPr>
      <w:r w:rsidRPr="007D5795">
        <w:rPr>
          <w:rStyle w:val="TextoNormalNegritaCaracter"/>
        </w:rPr>
        <w:t>§ 108.</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7B291B9E" w14:textId="731573FB" w:rsidR="007D5795" w:rsidRDefault="007D5795" w:rsidP="007D5795">
      <w:pPr>
        <w:pStyle w:val="SangriaFrancesaArticulo"/>
      </w:pPr>
    </w:p>
    <w:p w14:paraId="053899C3" w14:textId="77777777" w:rsidR="007D5795" w:rsidRDefault="007D5795" w:rsidP="007D5795">
      <w:pPr>
        <w:pStyle w:val="TextoNormalNegritaCursivandice"/>
        <w:keepNext/>
      </w:pPr>
      <w:r>
        <w:t>Sentencia del Tribunal Europeo de Derechos Humanos de 31 de mayo de 2016 (Beortegui Martínez c. España)</w:t>
      </w:r>
    </w:p>
    <w:p w14:paraId="7552FC5F" w14:textId="4829AC7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5" w:history="1">
        <w:r w:rsidRPr="007D5795">
          <w:rPr>
            <w:rStyle w:val="TextoNormalCaracter"/>
          </w:rPr>
          <w:t>105/2024</w:t>
        </w:r>
      </w:hyperlink>
      <w:r>
        <w:t>, f. 2.</w:t>
      </w:r>
    </w:p>
    <w:p w14:paraId="3A1A451C" w14:textId="1CDA148C" w:rsidR="007D5795" w:rsidRDefault="007D5795" w:rsidP="007D5795">
      <w:pPr>
        <w:pStyle w:val="SangriaFrancesaArticulo"/>
      </w:pPr>
    </w:p>
    <w:p w14:paraId="42F7E30B" w14:textId="77777777" w:rsidR="007D5795" w:rsidRDefault="007D5795" w:rsidP="007D5795">
      <w:pPr>
        <w:pStyle w:val="TextoNormalNegritaCursivandice"/>
        <w:keepNext/>
      </w:pPr>
      <w:r>
        <w:t>Sentencia del Tribunal Europeo de Derechos Humanos de 13 de marzo de 2018 (Stern Taulats y Roura Capellera c. España)</w:t>
      </w:r>
    </w:p>
    <w:p w14:paraId="003C2726" w14:textId="4F44794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85" w:history="1">
        <w:r w:rsidRPr="007D5795">
          <w:rPr>
            <w:rStyle w:val="TextoNormalCaracter"/>
          </w:rPr>
          <w:t>85/2024</w:t>
        </w:r>
      </w:hyperlink>
      <w:r>
        <w:t>, f. único, VP.</w:t>
      </w:r>
    </w:p>
    <w:p w14:paraId="5817E3A7" w14:textId="6A02FFBC" w:rsidR="007D5795" w:rsidRDefault="007D5795" w:rsidP="007D5795">
      <w:pPr>
        <w:pStyle w:val="SangriaFrancesaArticulo"/>
      </w:pPr>
      <w:r w:rsidRPr="007D5795">
        <w:rPr>
          <w:rStyle w:val="TextoNormalNegritaCaracter"/>
        </w:rPr>
        <w:t>§ 32.</w:t>
      </w:r>
      <w:r w:rsidRPr="007D5795">
        <w:rPr>
          <w:rStyle w:val="TextoNormalCaracter"/>
        </w:rPr>
        <w:t>-</w:t>
      </w:r>
      <w:r>
        <w:t xml:space="preserve"> Auto </w:t>
      </w:r>
      <w:hyperlink w:anchor="AUTO_2024_85" w:history="1">
        <w:r w:rsidRPr="007D5795">
          <w:rPr>
            <w:rStyle w:val="TextoNormalCaracter"/>
          </w:rPr>
          <w:t>85/2024</w:t>
        </w:r>
      </w:hyperlink>
      <w:r>
        <w:t>, f. único.</w:t>
      </w:r>
    </w:p>
    <w:p w14:paraId="3DB3380D" w14:textId="300CD8FF" w:rsidR="007D5795" w:rsidRDefault="007D5795" w:rsidP="007D5795">
      <w:pPr>
        <w:pStyle w:val="SangriaFrancesaArticulo"/>
      </w:pPr>
      <w:r w:rsidRPr="007D5795">
        <w:rPr>
          <w:rStyle w:val="TextoNormalNegritaCaracter"/>
        </w:rPr>
        <w:t>§ 36.</w:t>
      </w:r>
      <w:r w:rsidRPr="007D5795">
        <w:rPr>
          <w:rStyle w:val="TextoNormalCaracter"/>
        </w:rPr>
        <w:t>-</w:t>
      </w:r>
      <w:r>
        <w:t xml:space="preserve"> Auto </w:t>
      </w:r>
      <w:hyperlink w:anchor="AUTO_2024_85" w:history="1">
        <w:r w:rsidRPr="007D5795">
          <w:rPr>
            <w:rStyle w:val="TextoNormalCaracter"/>
          </w:rPr>
          <w:t>85/2024</w:t>
        </w:r>
      </w:hyperlink>
      <w:r>
        <w:t>, f. único.</w:t>
      </w:r>
    </w:p>
    <w:p w14:paraId="4765A840" w14:textId="21F48C33" w:rsidR="007D5795" w:rsidRDefault="007D5795" w:rsidP="007D5795">
      <w:pPr>
        <w:pStyle w:val="SangriaFrancesaArticulo"/>
      </w:pPr>
    </w:p>
    <w:p w14:paraId="5A8A45A7" w14:textId="77777777" w:rsidR="007D5795" w:rsidRDefault="007D5795" w:rsidP="007D5795">
      <w:pPr>
        <w:pStyle w:val="TextoNormalNegritaCursivandice"/>
        <w:keepNext/>
      </w:pPr>
      <w:r>
        <w:t>Sentencia del Tribunal Europeo de Derechos Humanos de 28 de noviembre de 2019 (Mustafa c. Bulgaria)</w:t>
      </w:r>
    </w:p>
    <w:p w14:paraId="7FD8EEE1" w14:textId="481BB3AC" w:rsidR="007D5795" w:rsidRDefault="007D5795" w:rsidP="007D5795">
      <w:pPr>
        <w:pStyle w:val="SangriaFrancesaArticulo"/>
      </w:pPr>
      <w:r w:rsidRPr="007D5795">
        <w:rPr>
          <w:rStyle w:val="TextoNormalNegritaCaracter"/>
        </w:rPr>
        <w:t>§ 30 y ss..</w:t>
      </w:r>
      <w:r w:rsidRPr="007D5795">
        <w:rPr>
          <w:rStyle w:val="TextoNormalCaracter"/>
        </w:rPr>
        <w:t>-</w:t>
      </w:r>
      <w:r>
        <w:t xml:space="preserve"> Sentencia </w:t>
      </w:r>
      <w:hyperlink w:anchor="SENTENCIA_2024_128" w:history="1">
        <w:r w:rsidRPr="007D5795">
          <w:rPr>
            <w:rStyle w:val="TextoNormalCaracter"/>
          </w:rPr>
          <w:t>128/2024</w:t>
        </w:r>
      </w:hyperlink>
      <w:r>
        <w:t>, f. 5.</w:t>
      </w:r>
    </w:p>
    <w:p w14:paraId="41D51D12" w14:textId="152D80EB" w:rsidR="007D5795" w:rsidRDefault="007D5795" w:rsidP="007D5795">
      <w:pPr>
        <w:pStyle w:val="SangriaFrancesaArticulo"/>
      </w:pPr>
      <w:r w:rsidRPr="007D5795">
        <w:rPr>
          <w:rStyle w:val="TextoNormalNegritaCaracter"/>
        </w:rPr>
        <w:t>§ 31.</w:t>
      </w:r>
      <w:r w:rsidRPr="007D5795">
        <w:rPr>
          <w:rStyle w:val="TextoNormalCaracter"/>
        </w:rPr>
        <w:t>-</w:t>
      </w:r>
      <w:r>
        <w:t xml:space="preserve"> Sentencia </w:t>
      </w:r>
      <w:hyperlink w:anchor="SENTENCIA_2024_128" w:history="1">
        <w:r w:rsidRPr="007D5795">
          <w:rPr>
            <w:rStyle w:val="TextoNormalCaracter"/>
          </w:rPr>
          <w:t>128/2024</w:t>
        </w:r>
      </w:hyperlink>
      <w:r>
        <w:t>, VP.</w:t>
      </w:r>
    </w:p>
    <w:p w14:paraId="3C82B23A" w14:textId="14A19294" w:rsidR="007D5795" w:rsidRDefault="007D5795" w:rsidP="007D5795">
      <w:pPr>
        <w:pStyle w:val="SangriaFrancesaArticulo"/>
      </w:pPr>
      <w:r w:rsidRPr="007D5795">
        <w:rPr>
          <w:rStyle w:val="TextoNormalNegritaCaracter"/>
        </w:rPr>
        <w:t>§ 32.</w:t>
      </w:r>
      <w:r w:rsidRPr="007D5795">
        <w:rPr>
          <w:rStyle w:val="TextoNormalCaracter"/>
        </w:rPr>
        <w:t>-</w:t>
      </w:r>
      <w:r>
        <w:t xml:space="preserve"> Sentencia </w:t>
      </w:r>
      <w:hyperlink w:anchor="SENTENCIA_2024_128" w:history="1">
        <w:r w:rsidRPr="007D5795">
          <w:rPr>
            <w:rStyle w:val="TextoNormalCaracter"/>
          </w:rPr>
          <w:t>128/2024</w:t>
        </w:r>
      </w:hyperlink>
      <w:r>
        <w:t>, VP.</w:t>
      </w:r>
    </w:p>
    <w:p w14:paraId="212198EB" w14:textId="08185E6A" w:rsidR="007D5795" w:rsidRDefault="007D5795" w:rsidP="007D5795">
      <w:pPr>
        <w:pStyle w:val="SangriaFrancesaArticulo"/>
      </w:pPr>
      <w:r w:rsidRPr="007D5795">
        <w:rPr>
          <w:rStyle w:val="TextoNormalNegritaCaracter"/>
        </w:rPr>
        <w:t>§ 34.</w:t>
      </w:r>
      <w:r w:rsidRPr="007D5795">
        <w:rPr>
          <w:rStyle w:val="TextoNormalCaracter"/>
        </w:rPr>
        <w:t>-</w:t>
      </w:r>
      <w:r>
        <w:t xml:space="preserve"> Sentencia </w:t>
      </w:r>
      <w:hyperlink w:anchor="SENTENCIA_2024_128" w:history="1">
        <w:r w:rsidRPr="007D5795">
          <w:rPr>
            <w:rStyle w:val="TextoNormalCaracter"/>
          </w:rPr>
          <w:t>128/2024</w:t>
        </w:r>
      </w:hyperlink>
      <w:r>
        <w:t>, VP.</w:t>
      </w:r>
    </w:p>
    <w:p w14:paraId="3A35FE9A" w14:textId="6585CA1D" w:rsidR="007D5795" w:rsidRDefault="007D5795" w:rsidP="007D5795">
      <w:pPr>
        <w:pStyle w:val="SangriaFrancesaArticulo"/>
      </w:pPr>
      <w:r w:rsidRPr="007D5795">
        <w:rPr>
          <w:rStyle w:val="TextoNormalNegritaCaracter"/>
        </w:rPr>
        <w:t>§ 36.</w:t>
      </w:r>
      <w:r w:rsidRPr="007D5795">
        <w:rPr>
          <w:rStyle w:val="TextoNormalCaracter"/>
        </w:rPr>
        <w:t>-</w:t>
      </w:r>
      <w:r>
        <w:t xml:space="preserve"> Sentencia </w:t>
      </w:r>
      <w:hyperlink w:anchor="SENTENCIA_2024_128" w:history="1">
        <w:r w:rsidRPr="007D5795">
          <w:rPr>
            <w:rStyle w:val="TextoNormalCaracter"/>
          </w:rPr>
          <w:t>128/2024</w:t>
        </w:r>
      </w:hyperlink>
      <w:r>
        <w:t>, VP.</w:t>
      </w:r>
    </w:p>
    <w:p w14:paraId="42CF7F8F" w14:textId="57419E61" w:rsidR="007D5795" w:rsidRDefault="007D5795" w:rsidP="007D5795">
      <w:pPr>
        <w:pStyle w:val="SangriaFrancesaArticulo"/>
      </w:pPr>
      <w:r w:rsidRPr="007D5795">
        <w:rPr>
          <w:rStyle w:val="TextoNormalNegritaCaracter"/>
        </w:rPr>
        <w:t>§ 46.</w:t>
      </w:r>
      <w:r w:rsidRPr="007D5795">
        <w:rPr>
          <w:rStyle w:val="TextoNormalCaracter"/>
        </w:rPr>
        <w:t>-</w:t>
      </w:r>
      <w:r>
        <w:t xml:space="preserve"> Sentencia </w:t>
      </w:r>
      <w:hyperlink w:anchor="SENTENCIA_2024_128" w:history="1">
        <w:r w:rsidRPr="007D5795">
          <w:rPr>
            <w:rStyle w:val="TextoNormalCaracter"/>
          </w:rPr>
          <w:t>128/2024</w:t>
        </w:r>
      </w:hyperlink>
      <w:r>
        <w:t>, VP.</w:t>
      </w:r>
    </w:p>
    <w:p w14:paraId="4D64090C" w14:textId="02457098" w:rsidR="007D5795" w:rsidRDefault="007D5795" w:rsidP="007D5795">
      <w:pPr>
        <w:pStyle w:val="SangriaFrancesaArticulo"/>
      </w:pPr>
      <w:r w:rsidRPr="007D5795">
        <w:rPr>
          <w:rStyle w:val="TextoNormalNegritaCaracter"/>
        </w:rPr>
        <w:t>§ 47.</w:t>
      </w:r>
      <w:r w:rsidRPr="007D5795">
        <w:rPr>
          <w:rStyle w:val="TextoNormalCaracter"/>
        </w:rPr>
        <w:t>-</w:t>
      </w:r>
      <w:r>
        <w:t xml:space="preserve"> Sentencia </w:t>
      </w:r>
      <w:hyperlink w:anchor="SENTENCIA_2024_128" w:history="1">
        <w:r w:rsidRPr="007D5795">
          <w:rPr>
            <w:rStyle w:val="TextoNormalCaracter"/>
          </w:rPr>
          <w:t>128/2024</w:t>
        </w:r>
      </w:hyperlink>
      <w:r>
        <w:t>, VP.</w:t>
      </w:r>
    </w:p>
    <w:p w14:paraId="6727C1E3" w14:textId="4A28445B" w:rsidR="007D5795" w:rsidRDefault="007D5795" w:rsidP="007D5795">
      <w:pPr>
        <w:pStyle w:val="SangriaFrancesaArticulo"/>
      </w:pPr>
      <w:r w:rsidRPr="007D5795">
        <w:rPr>
          <w:rStyle w:val="TextoNormalNegritaCaracter"/>
        </w:rPr>
        <w:t>§ 48.</w:t>
      </w:r>
      <w:r w:rsidRPr="007D5795">
        <w:rPr>
          <w:rStyle w:val="TextoNormalCaracter"/>
        </w:rPr>
        <w:t>-</w:t>
      </w:r>
      <w:r>
        <w:t xml:space="preserve"> Sentencia </w:t>
      </w:r>
      <w:hyperlink w:anchor="SENTENCIA_2024_128" w:history="1">
        <w:r w:rsidRPr="007D5795">
          <w:rPr>
            <w:rStyle w:val="TextoNormalCaracter"/>
          </w:rPr>
          <w:t>128/2024</w:t>
        </w:r>
      </w:hyperlink>
      <w:r>
        <w:t>, VP.</w:t>
      </w:r>
    </w:p>
    <w:p w14:paraId="57D47AE8" w14:textId="0D7BF30C" w:rsidR="007D5795" w:rsidRDefault="007D5795" w:rsidP="007D5795">
      <w:pPr>
        <w:pStyle w:val="SangriaFrancesaArticulo"/>
      </w:pPr>
    </w:p>
    <w:p w14:paraId="76A133F4" w14:textId="77777777" w:rsidR="007D5795" w:rsidRDefault="007D5795" w:rsidP="007D5795">
      <w:pPr>
        <w:pStyle w:val="TextoNormalNegritaCursivandice"/>
        <w:keepNext/>
      </w:pPr>
      <w:r>
        <w:t>Sentencia del Tribunal Europeo de Derechos Humanos de 30 de junio de 2020 (S.F. c. Suiza)</w:t>
      </w:r>
    </w:p>
    <w:p w14:paraId="5C314122" w14:textId="60E7225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4" w:history="1">
        <w:r w:rsidRPr="007D5795">
          <w:rPr>
            <w:rStyle w:val="TextoNormalCaracter"/>
          </w:rPr>
          <w:t>144/2024</w:t>
        </w:r>
      </w:hyperlink>
      <w:r>
        <w:t>, f. 4.</w:t>
      </w:r>
    </w:p>
    <w:p w14:paraId="5B857349" w14:textId="31D64470" w:rsidR="007D5795" w:rsidRDefault="007D5795" w:rsidP="007D5795">
      <w:pPr>
        <w:pStyle w:val="SangriaFrancesaArticulo"/>
      </w:pPr>
      <w:r w:rsidRPr="007D5795">
        <w:rPr>
          <w:rStyle w:val="TextoNormalNegritaCaracter"/>
        </w:rPr>
        <w:t>§ 120.</w:t>
      </w:r>
      <w:r w:rsidRPr="007D5795">
        <w:rPr>
          <w:rStyle w:val="TextoNormalCaracter"/>
        </w:rPr>
        <w:t>-</w:t>
      </w:r>
      <w:r>
        <w:t xml:space="preserve"> Sentencia </w:t>
      </w:r>
      <w:hyperlink w:anchor="SENTENCIA_2024_144" w:history="1">
        <w:r w:rsidRPr="007D5795">
          <w:rPr>
            <w:rStyle w:val="TextoNormalCaracter"/>
          </w:rPr>
          <w:t>144/2024</w:t>
        </w:r>
      </w:hyperlink>
      <w:r>
        <w:t>, f. 4.</w:t>
      </w:r>
    </w:p>
    <w:p w14:paraId="594B3D7F" w14:textId="368305E2" w:rsidR="007D5795" w:rsidRDefault="007D5795" w:rsidP="007D5795">
      <w:pPr>
        <w:pStyle w:val="SangriaFrancesaArticulo"/>
      </w:pPr>
    </w:p>
    <w:p w14:paraId="60AFD68B" w14:textId="77777777" w:rsidR="007D5795" w:rsidRDefault="007D5795" w:rsidP="007D5795">
      <w:pPr>
        <w:pStyle w:val="TextoNormalNegritaCursivandice"/>
        <w:keepNext/>
      </w:pPr>
      <w:r>
        <w:t>Sentencia del Tribunal Europeo de Derechos Humanos de 13 de octubre de 2020 (Ádám y otros c. Rumanía)</w:t>
      </w:r>
    </w:p>
    <w:p w14:paraId="3A006701" w14:textId="42B97C64"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5.</w:t>
      </w:r>
    </w:p>
    <w:p w14:paraId="5ED49E46" w14:textId="1DC8C37D" w:rsidR="007D5795" w:rsidRDefault="007D5795" w:rsidP="007D5795">
      <w:pPr>
        <w:pStyle w:val="SangriaFrancesaArticulo"/>
      </w:pPr>
    </w:p>
    <w:p w14:paraId="6915B72C" w14:textId="77777777" w:rsidR="007D5795" w:rsidRDefault="007D5795" w:rsidP="007D5795">
      <w:pPr>
        <w:pStyle w:val="TextoNormalNegritaCursivandice"/>
        <w:keepNext/>
      </w:pPr>
      <w:r>
        <w:t>Sentencia del Tribunal Europeo de Derechos Humanos de 19 de enero de 2021 (González Etayo c. España)</w:t>
      </w:r>
    </w:p>
    <w:p w14:paraId="235BAE36" w14:textId="5365F8D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5" w:history="1">
        <w:r w:rsidRPr="007D5795">
          <w:rPr>
            <w:rStyle w:val="TextoNormalCaracter"/>
          </w:rPr>
          <w:t>105/2024</w:t>
        </w:r>
      </w:hyperlink>
      <w:r>
        <w:t>, f. 2.</w:t>
      </w:r>
    </w:p>
    <w:p w14:paraId="68E1F889" w14:textId="40088ED1" w:rsidR="007D5795" w:rsidRDefault="007D5795" w:rsidP="007D5795">
      <w:pPr>
        <w:pStyle w:val="SangriaFrancesaArticulo"/>
      </w:pPr>
    </w:p>
    <w:p w14:paraId="1923BFB0" w14:textId="77777777" w:rsidR="007D5795" w:rsidRDefault="007D5795" w:rsidP="007D5795">
      <w:pPr>
        <w:pStyle w:val="TextoNormalNegritaCursivandice"/>
        <w:keepNext/>
      </w:pPr>
      <w:r>
        <w:t>Sentencia del Tribunal Europeo de Derechos Humanos de 9 de marzo de 2021 (López Martínez c. España)</w:t>
      </w:r>
    </w:p>
    <w:p w14:paraId="7E62987A" w14:textId="01E2C10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5" w:history="1">
        <w:r w:rsidRPr="007D5795">
          <w:rPr>
            <w:rStyle w:val="TextoNormalCaracter"/>
          </w:rPr>
          <w:t>105/2024</w:t>
        </w:r>
      </w:hyperlink>
      <w:r>
        <w:t>, ff. 2.</w:t>
      </w:r>
    </w:p>
    <w:p w14:paraId="69AFD599" w14:textId="19A231F1" w:rsidR="007D5795" w:rsidRDefault="007D5795" w:rsidP="007D5795">
      <w:pPr>
        <w:pStyle w:val="SangriaFrancesaArticulo"/>
      </w:pPr>
    </w:p>
    <w:p w14:paraId="76FE1996" w14:textId="77777777" w:rsidR="007D5795" w:rsidRDefault="007D5795" w:rsidP="007D5795">
      <w:pPr>
        <w:pStyle w:val="TextoNormalNegritaCursivandice"/>
        <w:keepNext/>
      </w:pPr>
      <w:r>
        <w:t>Sentencia del Tribunal Europeo de Derechos Humanos de 9 de abril de 2009 (Šilih c. Eslovenia)</w:t>
      </w:r>
    </w:p>
    <w:p w14:paraId="0FABBE38" w14:textId="1EDCBC91" w:rsidR="007D5795" w:rsidRDefault="007D5795" w:rsidP="007D5795">
      <w:pPr>
        <w:pStyle w:val="SangriaFrancesaArticulo"/>
      </w:pPr>
      <w:r w:rsidRPr="007D5795">
        <w:rPr>
          <w:rStyle w:val="TextoNormalNegritaCaracter"/>
        </w:rPr>
        <w:t>§ 157.</w:t>
      </w:r>
      <w:r w:rsidRPr="007D5795">
        <w:rPr>
          <w:rStyle w:val="TextoNormalCaracter"/>
        </w:rPr>
        <w:t>-</w:t>
      </w:r>
      <w:r>
        <w:t xml:space="preserve"> Sentencia </w:t>
      </w:r>
      <w:hyperlink w:anchor="SENTENCIA_2024_144" w:history="1">
        <w:r w:rsidRPr="007D5795">
          <w:rPr>
            <w:rStyle w:val="TextoNormalCaracter"/>
          </w:rPr>
          <w:t>144/2024</w:t>
        </w:r>
      </w:hyperlink>
      <w:r>
        <w:t>, f. 4.</w:t>
      </w:r>
    </w:p>
    <w:p w14:paraId="64409DE6" w14:textId="1DF65F1E" w:rsidR="007D5795" w:rsidRDefault="007D5795" w:rsidP="007D5795">
      <w:pPr>
        <w:pStyle w:val="SangriaFrancesaArticulo"/>
      </w:pPr>
    </w:p>
    <w:p w14:paraId="5E2B57F9" w14:textId="77777777" w:rsidR="007D5795" w:rsidRDefault="007D5795" w:rsidP="007D5795">
      <w:pPr>
        <w:pStyle w:val="TextoNormalNegritaCursivandice"/>
        <w:keepNext/>
      </w:pPr>
      <w:r>
        <w:t>Decisión del Tribunal Europeo de Derechos Humanos de 13 de abril de 2021 (Terhes c. Rumanía)</w:t>
      </w:r>
    </w:p>
    <w:p w14:paraId="6D99D8FF" w14:textId="1B574597" w:rsidR="007D5795" w:rsidRDefault="007D5795" w:rsidP="007D5795">
      <w:pPr>
        <w:pStyle w:val="SangriaFrancesaArticulo"/>
      </w:pPr>
      <w:r w:rsidRPr="007D5795">
        <w:rPr>
          <w:rStyle w:val="TextoNormalNegritaCaracter"/>
        </w:rPr>
        <w:t>§ 36.</w:t>
      </w:r>
      <w:r w:rsidRPr="007D5795">
        <w:rPr>
          <w:rStyle w:val="TextoNormalCaracter"/>
        </w:rPr>
        <w:t>-</w:t>
      </w:r>
      <w:r>
        <w:t xml:space="preserve"> Sentencia </w:t>
      </w:r>
      <w:hyperlink w:anchor="SENTENCIA_2024_136" w:history="1">
        <w:r w:rsidRPr="007D5795">
          <w:rPr>
            <w:rStyle w:val="TextoNormalCaracter"/>
          </w:rPr>
          <w:t>136/2024</w:t>
        </w:r>
      </w:hyperlink>
      <w:r>
        <w:t>, f. 5.</w:t>
      </w:r>
    </w:p>
    <w:p w14:paraId="4A845B9A" w14:textId="52BB1177" w:rsidR="007D5795" w:rsidRDefault="007D5795" w:rsidP="007D5795">
      <w:pPr>
        <w:pStyle w:val="SangriaFrancesaArticulo"/>
      </w:pPr>
    </w:p>
    <w:p w14:paraId="4D877E8E" w14:textId="77777777" w:rsidR="007D5795" w:rsidRDefault="007D5795" w:rsidP="007D5795">
      <w:pPr>
        <w:pStyle w:val="TextoNormalNegritaCursivandice"/>
        <w:keepNext/>
      </w:pPr>
      <w:r>
        <w:t>Sentencia del Tribunal Europeo de Derechos Humanos de 22 de abril de 2021 (Avaz Zeynalov c. Azerbayán)</w:t>
      </w:r>
    </w:p>
    <w:p w14:paraId="6C0DFD11" w14:textId="13E7610A" w:rsidR="007D5795" w:rsidRDefault="007D5795" w:rsidP="007D5795">
      <w:pPr>
        <w:pStyle w:val="SangriaFrancesaArticulo"/>
      </w:pPr>
      <w:r w:rsidRPr="007D5795">
        <w:rPr>
          <w:rStyle w:val="TextoNormalNegritaCaracter"/>
        </w:rPr>
        <w:t>§ 69.</w:t>
      </w:r>
      <w:r w:rsidRPr="007D5795">
        <w:rPr>
          <w:rStyle w:val="TextoNormalCaracter"/>
        </w:rPr>
        <w:t>-</w:t>
      </w:r>
      <w:r>
        <w:t xml:space="preserve"> Sentencia </w:t>
      </w:r>
      <w:hyperlink w:anchor="SENTENCIA_2024_94" w:history="1">
        <w:r w:rsidRPr="007D5795">
          <w:rPr>
            <w:rStyle w:val="TextoNormalCaracter"/>
          </w:rPr>
          <w:t>94/2024</w:t>
        </w:r>
      </w:hyperlink>
      <w:r>
        <w:t>, f. 7.</w:t>
      </w:r>
    </w:p>
    <w:p w14:paraId="717D9825" w14:textId="7A42B45B" w:rsidR="007D5795" w:rsidRDefault="007D5795" w:rsidP="007D5795">
      <w:pPr>
        <w:pStyle w:val="SangriaFrancesaArticulo"/>
      </w:pPr>
    </w:p>
    <w:p w14:paraId="68A14EC4" w14:textId="77777777" w:rsidR="007D5795" w:rsidRDefault="007D5795" w:rsidP="007D5795">
      <w:pPr>
        <w:pStyle w:val="TextoNormalNegritaCursivandice"/>
        <w:keepNext/>
      </w:pPr>
      <w:r>
        <w:t>Decisión del Tribunal Europeo de Derechos Humanos de 21 de septiembre de 2021 (Zambrano c. Francia)</w:t>
      </w:r>
    </w:p>
    <w:p w14:paraId="52C2D38D" w14:textId="5973C789" w:rsidR="007D5795" w:rsidRDefault="007D5795" w:rsidP="007D5795">
      <w:pPr>
        <w:pStyle w:val="SangriaFrancesaArticulo"/>
      </w:pPr>
      <w:r w:rsidRPr="007D5795">
        <w:rPr>
          <w:rStyle w:val="TextoNormalNegritaCaracter"/>
        </w:rPr>
        <w:t>§ 33 a 38.</w:t>
      </w:r>
      <w:r w:rsidRPr="007D5795">
        <w:rPr>
          <w:rStyle w:val="TextoNormalCaracter"/>
        </w:rPr>
        <w:t>-</w:t>
      </w:r>
      <w:r>
        <w:t xml:space="preserve"> Autos </w:t>
      </w:r>
      <w:hyperlink w:anchor="AUTO_2024_128" w:history="1">
        <w:r w:rsidRPr="007D5795">
          <w:rPr>
            <w:rStyle w:val="TextoNormalCaracter"/>
          </w:rPr>
          <w:t>128/2024</w:t>
        </w:r>
      </w:hyperlink>
      <w:r>
        <w:t xml:space="preserve">; </w:t>
      </w:r>
      <w:hyperlink w:anchor="AUTO_2024_157" w:history="1">
        <w:r w:rsidRPr="007D5795">
          <w:rPr>
            <w:rStyle w:val="TextoNormalCaracter"/>
          </w:rPr>
          <w:t>157/2024</w:t>
        </w:r>
      </w:hyperlink>
      <w:r>
        <w:t>, f. único.</w:t>
      </w:r>
    </w:p>
    <w:p w14:paraId="30E5DED4" w14:textId="7DA23471" w:rsidR="007D5795" w:rsidRDefault="007D5795" w:rsidP="007D5795">
      <w:pPr>
        <w:pStyle w:val="SangriaFrancesaArticulo"/>
      </w:pPr>
    </w:p>
    <w:p w14:paraId="36B0BCAD" w14:textId="77777777" w:rsidR="007D5795" w:rsidRDefault="007D5795" w:rsidP="007D5795">
      <w:pPr>
        <w:pStyle w:val="TextoNormalNegritaCursivandice"/>
        <w:keepNext/>
      </w:pPr>
      <w:r>
        <w:t>Sentencia del Tribunal Europeo de Derechos Humanos de 3 de febrero de 2022 (Advance Pharma sp. z o.o c. Polonia)</w:t>
      </w:r>
    </w:p>
    <w:p w14:paraId="37ABA6BC" w14:textId="2CEBCA1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6584C5E6" w14:textId="31A8E6D1" w:rsidR="007D5795" w:rsidRDefault="007D5795" w:rsidP="007D5795">
      <w:pPr>
        <w:pStyle w:val="SangriaFrancesaArticulo"/>
      </w:pPr>
    </w:p>
    <w:p w14:paraId="390402F1" w14:textId="77777777" w:rsidR="007D5795" w:rsidRDefault="007D5795" w:rsidP="007D5795">
      <w:pPr>
        <w:pStyle w:val="TextoNormalNegritaCursivandice"/>
        <w:keepNext/>
      </w:pPr>
      <w:r>
        <w:t>Sentencia del Tribunal Europeo de Derechos Humanos de 24 de marzo de 2022 (Benghezal c. Francia)</w:t>
      </w:r>
    </w:p>
    <w:p w14:paraId="0CBE2966" w14:textId="060E1F1E" w:rsidR="007D5795" w:rsidRDefault="007D5795" w:rsidP="007D5795">
      <w:pPr>
        <w:pStyle w:val="SangriaFrancesaArticulo"/>
      </w:pPr>
      <w:r w:rsidRPr="007D5795">
        <w:rPr>
          <w:rStyle w:val="TextoNormalNegritaCaracter"/>
        </w:rPr>
        <w:t>§ 36.</w:t>
      </w:r>
      <w:r w:rsidRPr="007D5795">
        <w:rPr>
          <w:rStyle w:val="TextoNormalCaracter"/>
        </w:rPr>
        <w:t>-</w:t>
      </w:r>
      <w:r>
        <w:t xml:space="preserve"> Sentencia </w:t>
      </w:r>
      <w:hyperlink w:anchor="SENTENCIA_2024_94" w:history="1">
        <w:r w:rsidRPr="007D5795">
          <w:rPr>
            <w:rStyle w:val="TextoNormalCaracter"/>
          </w:rPr>
          <w:t>94/2024</w:t>
        </w:r>
      </w:hyperlink>
      <w:r>
        <w:t>, f. 7.</w:t>
      </w:r>
    </w:p>
    <w:p w14:paraId="788DF6BB" w14:textId="793F4EC7" w:rsidR="007D5795" w:rsidRDefault="007D5795" w:rsidP="007D5795">
      <w:pPr>
        <w:pStyle w:val="SangriaFrancesaArticulo"/>
      </w:pPr>
    </w:p>
    <w:p w14:paraId="7927EFAC" w14:textId="77777777" w:rsidR="007D5795" w:rsidRDefault="007D5795" w:rsidP="007D5795">
      <w:pPr>
        <w:pStyle w:val="TextoNormalNegritaCursivandice"/>
        <w:keepNext/>
      </w:pPr>
      <w:r>
        <w:t>Sentencia del Tribunal Europeo de Derechos Humanos de 7 de julio de 2022 (Torosian c. Grecia)</w:t>
      </w:r>
    </w:p>
    <w:p w14:paraId="63F92457" w14:textId="6B02287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5" w:history="1">
        <w:r w:rsidRPr="007D5795">
          <w:rPr>
            <w:rStyle w:val="TextoNormalCaracter"/>
          </w:rPr>
          <w:t>105/2024</w:t>
        </w:r>
      </w:hyperlink>
      <w:r>
        <w:t>, f. 2.</w:t>
      </w:r>
    </w:p>
    <w:p w14:paraId="281DF34A" w14:textId="200B1389" w:rsidR="007D5795" w:rsidRDefault="007D5795" w:rsidP="007D5795">
      <w:pPr>
        <w:pStyle w:val="SangriaFrancesaArticulo"/>
      </w:pPr>
    </w:p>
    <w:p w14:paraId="31FFF8AF" w14:textId="77777777" w:rsidR="007D5795" w:rsidRDefault="007D5795" w:rsidP="007D5795">
      <w:pPr>
        <w:pStyle w:val="TextoNormalNegritaCursivandice"/>
        <w:keepNext/>
      </w:pPr>
      <w:r>
        <w:t>Sentencia del Tribunal Europeo de Derechos Humanos de 13 de octubre de 2022 (Zeggai c. Francia)</w:t>
      </w:r>
    </w:p>
    <w:p w14:paraId="1E94A49E" w14:textId="66A210B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5.</w:t>
      </w:r>
    </w:p>
    <w:p w14:paraId="068911D5" w14:textId="537DDD03" w:rsidR="007D5795" w:rsidRDefault="007D5795" w:rsidP="007D5795">
      <w:pPr>
        <w:pStyle w:val="SangriaFrancesaArticulo"/>
      </w:pPr>
    </w:p>
    <w:p w14:paraId="44649786" w14:textId="77777777" w:rsidR="007D5795" w:rsidRDefault="007D5795" w:rsidP="007D5795">
      <w:pPr>
        <w:pStyle w:val="TextoNormalNegritaCursivandice"/>
        <w:keepNext/>
      </w:pPr>
      <w:r>
        <w:t>Sentencia del Tribunal Europeo de Derechos Humanos de 15 de diciembre de 2022 (Rutar y Rutar Marketing d.o.o., c. Eslovenia)</w:t>
      </w:r>
    </w:p>
    <w:p w14:paraId="48AA3D73" w14:textId="7D2594C4"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7B36AA16" w14:textId="7B28008E" w:rsidR="007D5795" w:rsidRDefault="007D5795" w:rsidP="007D5795">
      <w:pPr>
        <w:pStyle w:val="SangriaFrancesaArticulo"/>
      </w:pPr>
    </w:p>
    <w:p w14:paraId="75BEE55B" w14:textId="77777777" w:rsidR="007D5795" w:rsidRDefault="007D5795" w:rsidP="007D5795">
      <w:pPr>
        <w:pStyle w:val="TextoNormalNegritaCursivandice"/>
        <w:keepNext/>
      </w:pPr>
      <w:r>
        <w:t>Sentencia del Tribunal Europeo de Derechos Humanos de 19 de enero de 2023 (Doménech Aradilla y Rodríguez González c. España)</w:t>
      </w:r>
    </w:p>
    <w:p w14:paraId="5B2876BC" w14:textId="3C0B458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89" w:history="1">
        <w:r w:rsidRPr="007D5795">
          <w:rPr>
            <w:rStyle w:val="TextoNormalCaracter"/>
          </w:rPr>
          <w:t>89/2024</w:t>
        </w:r>
      </w:hyperlink>
      <w:r>
        <w:t>, f. 2.</w:t>
      </w:r>
    </w:p>
    <w:p w14:paraId="21092CC8" w14:textId="7807B7F0" w:rsidR="007D5795" w:rsidRDefault="007D5795" w:rsidP="007D5795">
      <w:pPr>
        <w:pStyle w:val="SangriaFrancesaArticulo"/>
      </w:pPr>
    </w:p>
    <w:p w14:paraId="0BD568B3" w14:textId="77777777" w:rsidR="007D5795" w:rsidRDefault="007D5795" w:rsidP="007D5795">
      <w:pPr>
        <w:pStyle w:val="TextoNormalNegritaCursivandice"/>
        <w:keepNext/>
      </w:pPr>
      <w:r>
        <w:t>Sentencia del Tribunal Europeo de Derechos Humanos de 26 de enero de 2023 (Valverde Digon c. España)</w:t>
      </w:r>
    </w:p>
    <w:p w14:paraId="33D9F3DD" w14:textId="2D7875B4"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89" w:history="1">
        <w:r w:rsidRPr="007D5795">
          <w:rPr>
            <w:rStyle w:val="TextoNormalCaracter"/>
          </w:rPr>
          <w:t>89/2024</w:t>
        </w:r>
      </w:hyperlink>
      <w:r>
        <w:t>, f. 2.</w:t>
      </w:r>
    </w:p>
    <w:p w14:paraId="48E9E330" w14:textId="4FBD7FBA" w:rsidR="007D5795" w:rsidRDefault="007D5795" w:rsidP="007D5795">
      <w:pPr>
        <w:pStyle w:val="SangriaFrancesaArticulo"/>
      </w:pPr>
    </w:p>
    <w:p w14:paraId="0A6E9310" w14:textId="77777777" w:rsidR="007D5795" w:rsidRDefault="007D5795" w:rsidP="007D5795">
      <w:pPr>
        <w:pStyle w:val="TextoNormalNegritaCursivandice"/>
        <w:keepNext/>
      </w:pPr>
      <w:r>
        <w:t>Sentencia del Tribunal Europeo de Derechos Humanos de 8 de junio de 2023 de 2023 (Fragoso Dacosta c. España)</w:t>
      </w:r>
    </w:p>
    <w:p w14:paraId="08047F51" w14:textId="3D3AB46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85" w:history="1">
        <w:r w:rsidRPr="007D5795">
          <w:rPr>
            <w:rStyle w:val="TextoNormalCaracter"/>
          </w:rPr>
          <w:t>85/2024</w:t>
        </w:r>
      </w:hyperlink>
      <w:r>
        <w:t>, f. único, VP.</w:t>
      </w:r>
    </w:p>
    <w:p w14:paraId="5D4676C9" w14:textId="0CB91EE6" w:rsidR="007D5795" w:rsidRDefault="007D5795" w:rsidP="007D5795">
      <w:pPr>
        <w:pStyle w:val="SangriaFrancesaArticulo"/>
      </w:pPr>
      <w:r w:rsidRPr="007D5795">
        <w:rPr>
          <w:rStyle w:val="TextoNormalNegritaCaracter"/>
        </w:rPr>
        <w:t>§ 26.</w:t>
      </w:r>
      <w:r w:rsidRPr="007D5795">
        <w:rPr>
          <w:rStyle w:val="TextoNormalCaracter"/>
        </w:rPr>
        <w:t>-</w:t>
      </w:r>
      <w:r>
        <w:t xml:space="preserve"> Auto </w:t>
      </w:r>
      <w:hyperlink w:anchor="AUTO_2024_85" w:history="1">
        <w:r w:rsidRPr="007D5795">
          <w:rPr>
            <w:rStyle w:val="TextoNormalCaracter"/>
          </w:rPr>
          <w:t>85/2024</w:t>
        </w:r>
      </w:hyperlink>
      <w:r>
        <w:t>, f. único.</w:t>
      </w:r>
    </w:p>
    <w:p w14:paraId="2B01F120" w14:textId="28E29A80" w:rsidR="007D5795" w:rsidRDefault="007D5795" w:rsidP="007D5795">
      <w:pPr>
        <w:pStyle w:val="SangriaFrancesaArticulo"/>
      </w:pPr>
      <w:r w:rsidRPr="007D5795">
        <w:rPr>
          <w:rStyle w:val="TextoNormalNegritaCaracter"/>
        </w:rPr>
        <w:t>§ 30.</w:t>
      </w:r>
      <w:r w:rsidRPr="007D5795">
        <w:rPr>
          <w:rStyle w:val="TextoNormalCaracter"/>
        </w:rPr>
        <w:t>-</w:t>
      </w:r>
      <w:r>
        <w:t xml:space="preserve"> Auto </w:t>
      </w:r>
      <w:hyperlink w:anchor="AUTO_2024_85" w:history="1">
        <w:r w:rsidRPr="007D5795">
          <w:rPr>
            <w:rStyle w:val="TextoNormalCaracter"/>
          </w:rPr>
          <w:t>85/2024</w:t>
        </w:r>
      </w:hyperlink>
      <w:r>
        <w:t>, f. único.</w:t>
      </w:r>
    </w:p>
    <w:p w14:paraId="4ADA6AD2" w14:textId="33FBF5A8" w:rsidR="007D5795" w:rsidRDefault="007D5795" w:rsidP="007D5795">
      <w:pPr>
        <w:pStyle w:val="SangriaFrancesaArticulo"/>
      </w:pPr>
      <w:r w:rsidRPr="007D5795">
        <w:rPr>
          <w:rStyle w:val="TextoNormalNegritaCaracter"/>
        </w:rPr>
        <w:t>§ 33.</w:t>
      </w:r>
      <w:r w:rsidRPr="007D5795">
        <w:rPr>
          <w:rStyle w:val="TextoNormalCaracter"/>
        </w:rPr>
        <w:t>-</w:t>
      </w:r>
      <w:r>
        <w:t xml:space="preserve"> Auto </w:t>
      </w:r>
      <w:hyperlink w:anchor="AUTO_2024_85" w:history="1">
        <w:r w:rsidRPr="007D5795">
          <w:rPr>
            <w:rStyle w:val="TextoNormalCaracter"/>
          </w:rPr>
          <w:t>85/2024</w:t>
        </w:r>
      </w:hyperlink>
      <w:r>
        <w:t>, VP.</w:t>
      </w:r>
    </w:p>
    <w:p w14:paraId="117F41DA" w14:textId="12F0DFFF" w:rsidR="007D5795" w:rsidRDefault="007D5795" w:rsidP="007D5795">
      <w:pPr>
        <w:pStyle w:val="SangriaFrancesaArticulo"/>
      </w:pPr>
      <w:r w:rsidRPr="007D5795">
        <w:rPr>
          <w:rStyle w:val="TextoNormalNegritaCaracter"/>
        </w:rPr>
        <w:t>§ 34.</w:t>
      </w:r>
      <w:r w:rsidRPr="007D5795">
        <w:rPr>
          <w:rStyle w:val="TextoNormalCaracter"/>
        </w:rPr>
        <w:t>-</w:t>
      </w:r>
      <w:r>
        <w:t xml:space="preserve"> Auto </w:t>
      </w:r>
      <w:hyperlink w:anchor="AUTO_2024_85" w:history="1">
        <w:r w:rsidRPr="007D5795">
          <w:rPr>
            <w:rStyle w:val="TextoNormalCaracter"/>
          </w:rPr>
          <w:t>85/2024</w:t>
        </w:r>
      </w:hyperlink>
      <w:r>
        <w:t>, VP.</w:t>
      </w:r>
    </w:p>
    <w:p w14:paraId="3CF88349" w14:textId="24D16E40" w:rsidR="007D5795" w:rsidRDefault="007D5795" w:rsidP="007D5795">
      <w:pPr>
        <w:pStyle w:val="SangriaFrancesaArticulo"/>
      </w:pPr>
    </w:p>
    <w:p w14:paraId="7F0501D3" w14:textId="77777777" w:rsidR="007D5795" w:rsidRDefault="007D5795" w:rsidP="007D5795">
      <w:pPr>
        <w:pStyle w:val="TextoNormalNegritaCursivandice"/>
        <w:keepNext/>
      </w:pPr>
      <w:r>
        <w:t>Sentencia del Tribunal Europeo de Derechos Humanos de 22 de junio de 2023 (Lorenzo Bragado y otros c. España)</w:t>
      </w:r>
    </w:p>
    <w:p w14:paraId="12F4463F" w14:textId="30CAF87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96" w:history="1">
        <w:r w:rsidRPr="007D5795">
          <w:rPr>
            <w:rStyle w:val="TextoNormalCaracter"/>
          </w:rPr>
          <w:t>96/2024</w:t>
        </w:r>
      </w:hyperlink>
      <w:r>
        <w:t>, f. 1.</w:t>
      </w:r>
    </w:p>
    <w:p w14:paraId="47257F6C" w14:textId="04963ECF" w:rsidR="007D5795" w:rsidRDefault="007D5795" w:rsidP="007D5795">
      <w:pPr>
        <w:pStyle w:val="SangriaFrancesaArticulo"/>
      </w:pPr>
    </w:p>
    <w:p w14:paraId="26401F66" w14:textId="77777777" w:rsidR="007D5795" w:rsidRDefault="007D5795" w:rsidP="007D5795">
      <w:pPr>
        <w:pStyle w:val="TextoNormalNegritaCursivandice"/>
        <w:keepNext/>
      </w:pPr>
      <w:r>
        <w:t>Sentencia del Tribunal Europeo de Derechos Humanos de 20 de julio de 2023 (Del Pino Ortiz y otros c. España)</w:t>
      </w:r>
    </w:p>
    <w:p w14:paraId="12B6DB33" w14:textId="33EB427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89" w:history="1">
        <w:r w:rsidRPr="007D5795">
          <w:rPr>
            <w:rStyle w:val="TextoNormalCaracter"/>
          </w:rPr>
          <w:t>89/2024</w:t>
        </w:r>
      </w:hyperlink>
      <w:r>
        <w:t>, f. 2.</w:t>
      </w:r>
    </w:p>
    <w:p w14:paraId="1FAF3663" w14:textId="1FC63A4A" w:rsidR="007D5795" w:rsidRDefault="007D5795" w:rsidP="007D5795">
      <w:pPr>
        <w:pStyle w:val="SangriaFrancesaArticulo"/>
      </w:pPr>
    </w:p>
    <w:p w14:paraId="70163304" w14:textId="77777777" w:rsidR="007D5795" w:rsidRDefault="007D5795" w:rsidP="007D5795">
      <w:pPr>
        <w:pStyle w:val="TextoNormalNegritaCursivandice"/>
        <w:keepNext/>
      </w:pPr>
      <w:r>
        <w:t>Sentencia del Tribunal Europeo de Derechos Humanos de 9 de abril de 2024 (Verein Klimaseniorinnen Schweiz y otras c Suiza)</w:t>
      </w:r>
    </w:p>
    <w:p w14:paraId="3A31B137" w14:textId="56AAE8B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3, VP.</w:t>
      </w:r>
    </w:p>
    <w:p w14:paraId="584E89E1" w14:textId="71B8803E" w:rsidR="007D5795" w:rsidRDefault="007D5795" w:rsidP="007D5795">
      <w:pPr>
        <w:pStyle w:val="SangriaFrancesaArticulo"/>
      </w:pPr>
      <w:r w:rsidRPr="007D5795">
        <w:rPr>
          <w:rStyle w:val="TextoNormalNegritaCaracter"/>
        </w:rPr>
        <w:t>§ 555 a 574.</w:t>
      </w:r>
      <w:r w:rsidRPr="007D5795">
        <w:rPr>
          <w:rStyle w:val="TextoNormalCaracter"/>
        </w:rPr>
        <w:t>-</w:t>
      </w:r>
      <w:r>
        <w:t xml:space="preserve"> Sentencia </w:t>
      </w:r>
      <w:hyperlink w:anchor="SENTENCIA_2024_142" w:history="1">
        <w:r w:rsidRPr="007D5795">
          <w:rPr>
            <w:rStyle w:val="TextoNormalCaracter"/>
          </w:rPr>
          <w:t>142/2024</w:t>
        </w:r>
      </w:hyperlink>
      <w:r>
        <w:t>, VP.</w:t>
      </w:r>
    </w:p>
    <w:p w14:paraId="6DB7F7BD" w14:textId="45A7FAD5" w:rsidR="007D5795" w:rsidRDefault="007D5795" w:rsidP="007D5795">
      <w:pPr>
        <w:pStyle w:val="TextoNormal"/>
      </w:pPr>
    </w:p>
    <w:p w14:paraId="42942824" w14:textId="77777777" w:rsidR="007D5795" w:rsidRDefault="007D5795" w:rsidP="007D5795">
      <w:pPr>
        <w:pStyle w:val="SangriaFrancesaArticulo"/>
      </w:pPr>
      <w:bookmarkStart w:id="185" w:name="INDICE22924"/>
    </w:p>
    <w:bookmarkEnd w:id="185"/>
    <w:p w14:paraId="4459796F" w14:textId="77777777" w:rsidR="007D5795" w:rsidRDefault="007D5795" w:rsidP="007D5795">
      <w:pPr>
        <w:pStyle w:val="TextoIndiceNivel2"/>
        <w:suppressAutoHyphens/>
      </w:pPr>
      <w:r>
        <w:t>B) Tribunales de Justicia de las Comunidades Europeas y de la Unión Europea</w:t>
      </w:r>
    </w:p>
    <w:p w14:paraId="7F52A6CB" w14:textId="20D5C7AA" w:rsidR="007D5795" w:rsidRDefault="007D5795" w:rsidP="007D5795">
      <w:pPr>
        <w:pStyle w:val="TextoIndiceNivel2"/>
      </w:pPr>
    </w:p>
    <w:p w14:paraId="02B88895" w14:textId="77777777" w:rsidR="007D5795" w:rsidRDefault="007D5795" w:rsidP="007D5795">
      <w:pPr>
        <w:pStyle w:val="TextoNormalNegritaCursivandice"/>
        <w:keepNext/>
      </w:pPr>
      <w:r>
        <w:t>Sentencia del Tribunal de Justicia de las Comunidades Europeas de 6 de octubre de 1982 (Srl Cilfit y Lanificio di Gavardo SpA c. Ministero della Sanità, asunto C-283/81)</w:t>
      </w:r>
    </w:p>
    <w:p w14:paraId="10BE97EB" w14:textId="41A721E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39" w:history="1">
        <w:r w:rsidRPr="007D5795">
          <w:rPr>
            <w:rStyle w:val="TextoNormalCaracter"/>
          </w:rPr>
          <w:t>139/2024</w:t>
        </w:r>
      </w:hyperlink>
      <w:r>
        <w:t xml:space="preserve">, VP II; </w:t>
      </w:r>
      <w:hyperlink w:anchor="SENTENCIA_2024_152" w:history="1">
        <w:r w:rsidRPr="007D5795">
          <w:rPr>
            <w:rStyle w:val="TextoNormalCaracter"/>
          </w:rPr>
          <w:t>152/2024</w:t>
        </w:r>
      </w:hyperlink>
      <w:r>
        <w:t>, f. 5.</w:t>
      </w:r>
    </w:p>
    <w:p w14:paraId="7E6C5EEC" w14:textId="1E828896" w:rsidR="007D5795" w:rsidRDefault="007D5795" w:rsidP="007D5795">
      <w:pPr>
        <w:pStyle w:val="SangriaFrancesaArticulo"/>
      </w:pPr>
    </w:p>
    <w:p w14:paraId="3BE4E9B1" w14:textId="77777777" w:rsidR="007D5795" w:rsidRDefault="007D5795" w:rsidP="007D5795">
      <w:pPr>
        <w:pStyle w:val="TextoNormalNegritaCursivandice"/>
        <w:keepNext/>
      </w:pPr>
      <w:r>
        <w:t>Sentencia del Tribunal de Justicia de las Comunidades Europeas de 1 de junio de 1999 (Eco Swiss China Time Ltd. c. Benetton International NV, asunto C-126/97)</w:t>
      </w:r>
    </w:p>
    <w:p w14:paraId="42F0C717" w14:textId="205C0C5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2CB3BB05" w14:textId="061A886F" w:rsidR="007D5795" w:rsidRDefault="007D5795" w:rsidP="007D5795">
      <w:pPr>
        <w:pStyle w:val="SangriaFrancesaArticulo"/>
      </w:pPr>
    </w:p>
    <w:p w14:paraId="0FE2117E" w14:textId="77777777" w:rsidR="007D5795" w:rsidRDefault="007D5795" w:rsidP="007D5795">
      <w:pPr>
        <w:pStyle w:val="TextoNormalNegritaCursivandice"/>
        <w:keepNext/>
      </w:pPr>
      <w:r>
        <w:t>Sentencia del Tribunal de Justicia de las Comunidades Europeas de 26 de octubre de 2006 (Mostaza Claro c. Centro Móvil Milenium, S.L., asunto C-168/05)</w:t>
      </w:r>
    </w:p>
    <w:p w14:paraId="17DFEE8F" w14:textId="41C144C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6" w:history="1">
        <w:r w:rsidRPr="007D5795">
          <w:rPr>
            <w:rStyle w:val="TextoNormalCaracter"/>
          </w:rPr>
          <w:t>146/2024</w:t>
        </w:r>
      </w:hyperlink>
      <w:r>
        <w:t>, f. 2.</w:t>
      </w:r>
    </w:p>
    <w:p w14:paraId="34271E02" w14:textId="5BB708F8" w:rsidR="007D5795" w:rsidRDefault="007D5795" w:rsidP="007D5795">
      <w:pPr>
        <w:pStyle w:val="SangriaFrancesaArticulo"/>
      </w:pPr>
    </w:p>
    <w:p w14:paraId="03D13641" w14:textId="77777777" w:rsidR="007D5795" w:rsidRDefault="007D5795" w:rsidP="007D5795">
      <w:pPr>
        <w:pStyle w:val="TextoNormalNegritaCursivandice"/>
        <w:keepNext/>
      </w:pPr>
      <w:r>
        <w:t>Sentencia del Tribunal de Justicia de la Unión Europea de 26 de enero de 2010 (Transportes Urbanos y Servicios Generales, S.A.L., c. Administración del Estado, asunto C-118/08)</w:t>
      </w:r>
    </w:p>
    <w:p w14:paraId="0D128CCA" w14:textId="53879A74" w:rsidR="007D5795" w:rsidRDefault="007D5795" w:rsidP="007D5795">
      <w:pPr>
        <w:pStyle w:val="SangriaFrancesaArticulo"/>
      </w:pPr>
      <w:r w:rsidRPr="007D5795">
        <w:rPr>
          <w:rStyle w:val="TextoNormalNegritaCaracter"/>
        </w:rPr>
        <w:t>§ 31.</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0338ECE3" w14:textId="39E47969" w:rsidR="007D5795" w:rsidRDefault="007D5795" w:rsidP="007D5795">
      <w:pPr>
        <w:pStyle w:val="SangriaFrancesaArticulo"/>
      </w:pPr>
    </w:p>
    <w:p w14:paraId="7C3DC949" w14:textId="77777777" w:rsidR="007D5795" w:rsidRDefault="007D5795" w:rsidP="007D5795">
      <w:pPr>
        <w:pStyle w:val="TextoNormalNegritaCursivandice"/>
        <w:keepNext/>
      </w:pPr>
      <w:r>
        <w:t>Sentencia del Tribunal de Justicia de la Unión Europea de 12 de julio de 2011 (L’Oréal c. Ebay, asunto C-324/09)</w:t>
      </w:r>
    </w:p>
    <w:p w14:paraId="561E0084" w14:textId="498C49C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3" w:history="1">
        <w:r w:rsidRPr="007D5795">
          <w:rPr>
            <w:rStyle w:val="TextoNormalCaracter"/>
          </w:rPr>
          <w:t>133/2024</w:t>
        </w:r>
      </w:hyperlink>
      <w:r>
        <w:t>, f. 5.</w:t>
      </w:r>
    </w:p>
    <w:p w14:paraId="1E3230AF" w14:textId="0682770E" w:rsidR="007D5795" w:rsidRDefault="007D5795" w:rsidP="007D5795">
      <w:pPr>
        <w:pStyle w:val="SangriaFrancesaArticulo"/>
      </w:pPr>
    </w:p>
    <w:p w14:paraId="0FC80C4B" w14:textId="77777777" w:rsidR="007D5795" w:rsidRDefault="007D5795" w:rsidP="007D5795">
      <w:pPr>
        <w:pStyle w:val="TextoNormalNegritaCursivandice"/>
        <w:keepNext/>
      </w:pPr>
      <w:r>
        <w:t>Sentencia del Tribunal de Justicia de la Unión Europea de 3 de octubre de 2013 (Inuit Tapiriit Kanatami, asunto C-583/11 P)</w:t>
      </w:r>
    </w:p>
    <w:p w14:paraId="007311DF" w14:textId="4CF123EC" w:rsidR="007D5795" w:rsidRDefault="007D5795" w:rsidP="007D5795">
      <w:pPr>
        <w:pStyle w:val="SangriaFrancesaArticulo"/>
      </w:pPr>
      <w:r w:rsidRPr="007D5795">
        <w:rPr>
          <w:rStyle w:val="TextoNormalNegritaCaracter"/>
        </w:rPr>
        <w:t>§ 52 a 60.</w:t>
      </w:r>
      <w:r w:rsidRPr="007D5795">
        <w:rPr>
          <w:rStyle w:val="TextoNormalCaracter"/>
        </w:rPr>
        <w:t>-</w:t>
      </w:r>
      <w:r>
        <w:t xml:space="preserve"> Sentencia </w:t>
      </w:r>
      <w:hyperlink w:anchor="SENTENCIA_2024_142" w:history="1">
        <w:r w:rsidRPr="007D5795">
          <w:rPr>
            <w:rStyle w:val="TextoNormalCaracter"/>
          </w:rPr>
          <w:t>142/2024</w:t>
        </w:r>
      </w:hyperlink>
      <w:r>
        <w:t>, VP.</w:t>
      </w:r>
    </w:p>
    <w:p w14:paraId="227D379B" w14:textId="33045EE8" w:rsidR="007D5795" w:rsidRDefault="007D5795" w:rsidP="007D5795">
      <w:pPr>
        <w:pStyle w:val="SangriaFrancesaArticulo"/>
      </w:pPr>
      <w:r w:rsidRPr="007D5795">
        <w:rPr>
          <w:rStyle w:val="TextoNormalNegritaCaracter"/>
        </w:rPr>
        <w:t>§ 69 a 76.</w:t>
      </w:r>
      <w:r w:rsidRPr="007D5795">
        <w:rPr>
          <w:rStyle w:val="TextoNormalCaracter"/>
        </w:rPr>
        <w:t>-</w:t>
      </w:r>
      <w:r>
        <w:t xml:space="preserve"> Sentencia </w:t>
      </w:r>
      <w:hyperlink w:anchor="SENTENCIA_2024_142" w:history="1">
        <w:r w:rsidRPr="007D5795">
          <w:rPr>
            <w:rStyle w:val="TextoNormalCaracter"/>
          </w:rPr>
          <w:t>142/2024</w:t>
        </w:r>
      </w:hyperlink>
      <w:r>
        <w:t>, VP.</w:t>
      </w:r>
    </w:p>
    <w:p w14:paraId="30B7522E" w14:textId="03D877EB" w:rsidR="007D5795" w:rsidRDefault="007D5795" w:rsidP="007D5795">
      <w:pPr>
        <w:pStyle w:val="SangriaFrancesaArticulo"/>
      </w:pPr>
    </w:p>
    <w:p w14:paraId="2B5FB486" w14:textId="77777777" w:rsidR="007D5795" w:rsidRDefault="007D5795" w:rsidP="007D5795">
      <w:pPr>
        <w:pStyle w:val="TextoNormalNegritaCursivandice"/>
        <w:keepNext/>
      </w:pPr>
      <w:r>
        <w:t>Sentencia del Tribunal de Justicia de la Unión Europea de 13 de enero de 2015 (Consejo y Comisión/Stichting Natuur en Milieu y Pesticide Action Network Europe, asuntos acumulados C-404/12 P y C-405/12 P)</w:t>
      </w:r>
    </w:p>
    <w:p w14:paraId="629E0285" w14:textId="7EE6405E" w:rsidR="007D5795" w:rsidRDefault="007D5795" w:rsidP="007D5795">
      <w:pPr>
        <w:pStyle w:val="SangriaFrancesaArticulo"/>
      </w:pPr>
      <w:r w:rsidRPr="007D5795">
        <w:rPr>
          <w:rStyle w:val="TextoNormalNegritaCaracter"/>
        </w:rPr>
        <w:t>§ 53.</w:t>
      </w:r>
      <w:r w:rsidRPr="007D5795">
        <w:rPr>
          <w:rStyle w:val="TextoNormalCaracter"/>
        </w:rPr>
        <w:t>-</w:t>
      </w:r>
      <w:r>
        <w:t xml:space="preserve"> Sentencia </w:t>
      </w:r>
      <w:hyperlink w:anchor="SENTENCIA_2024_142" w:history="1">
        <w:r w:rsidRPr="007D5795">
          <w:rPr>
            <w:rStyle w:val="TextoNormalCaracter"/>
          </w:rPr>
          <w:t>142/2024</w:t>
        </w:r>
      </w:hyperlink>
      <w:r>
        <w:t>, VP.</w:t>
      </w:r>
    </w:p>
    <w:p w14:paraId="564385BC" w14:textId="776E6ECF" w:rsidR="007D5795" w:rsidRDefault="007D5795" w:rsidP="007D5795">
      <w:pPr>
        <w:pStyle w:val="SangriaFrancesaArticulo"/>
      </w:pPr>
    </w:p>
    <w:p w14:paraId="5A55188B" w14:textId="77777777" w:rsidR="007D5795" w:rsidRDefault="007D5795" w:rsidP="007D5795">
      <w:pPr>
        <w:pStyle w:val="TextoNormalNegritaCursivandice"/>
        <w:keepNext/>
      </w:pPr>
      <w:r>
        <w:t>Sentencia del Tribunal de Justicia de la Unión Europea de 16 de julio de 2015 (ClientEarth/Comisión, asunto C-612/13 P)</w:t>
      </w:r>
    </w:p>
    <w:p w14:paraId="528DDA44" w14:textId="4462D207" w:rsidR="007D5795" w:rsidRDefault="007D5795" w:rsidP="007D5795">
      <w:pPr>
        <w:pStyle w:val="SangriaFrancesaArticulo"/>
      </w:pPr>
      <w:r w:rsidRPr="007D5795">
        <w:rPr>
          <w:rStyle w:val="TextoNormalNegritaCaracter"/>
        </w:rPr>
        <w:t>§ 40.</w:t>
      </w:r>
      <w:r w:rsidRPr="007D5795">
        <w:rPr>
          <w:rStyle w:val="TextoNormalCaracter"/>
        </w:rPr>
        <w:t>-</w:t>
      </w:r>
      <w:r>
        <w:t xml:space="preserve"> Sentencia </w:t>
      </w:r>
      <w:hyperlink w:anchor="SENTENCIA_2024_142" w:history="1">
        <w:r w:rsidRPr="007D5795">
          <w:rPr>
            <w:rStyle w:val="TextoNormalCaracter"/>
          </w:rPr>
          <w:t>142/2024</w:t>
        </w:r>
      </w:hyperlink>
      <w:r>
        <w:t>, VP.</w:t>
      </w:r>
    </w:p>
    <w:p w14:paraId="1DA36390" w14:textId="202F52F2" w:rsidR="007D5795" w:rsidRDefault="007D5795" w:rsidP="007D5795">
      <w:pPr>
        <w:pStyle w:val="SangriaFrancesaArticulo"/>
      </w:pPr>
    </w:p>
    <w:p w14:paraId="25488F00" w14:textId="77777777" w:rsidR="007D5795" w:rsidRDefault="007D5795" w:rsidP="007D5795">
      <w:pPr>
        <w:pStyle w:val="TextoNormalNegritaCursivandice"/>
        <w:keepNext/>
      </w:pPr>
      <w:r>
        <w:t>Sentencia del Tribunal de Justicia de la Unión Europea de 16 de junio de 2016 (Estrella Rodríguez Sánchez c. Consum Sociedad Cooperativa Valenciana, asunto C-351/14)</w:t>
      </w:r>
    </w:p>
    <w:p w14:paraId="6AABD207" w14:textId="100E40A5" w:rsidR="007D5795" w:rsidRDefault="007D5795" w:rsidP="007D5795">
      <w:pPr>
        <w:pStyle w:val="SangriaFrancesaArticulo"/>
      </w:pPr>
      <w:r w:rsidRPr="007D5795">
        <w:rPr>
          <w:rStyle w:val="TextoNormalNegritaCaracter"/>
        </w:rPr>
        <w:t>§ 44.</w:t>
      </w:r>
      <w:r w:rsidRPr="007D5795">
        <w:rPr>
          <w:rStyle w:val="TextoNormalCaracter"/>
        </w:rPr>
        <w:t>-</w:t>
      </w:r>
      <w:r>
        <w:t xml:space="preserve"> Sentencia </w:t>
      </w:r>
      <w:hyperlink w:anchor="SENTENCIA_2024_140" w:history="1">
        <w:r w:rsidRPr="007D5795">
          <w:rPr>
            <w:rStyle w:val="TextoNormalCaracter"/>
          </w:rPr>
          <w:t>140/2024</w:t>
        </w:r>
      </w:hyperlink>
      <w:r>
        <w:t>, f. 4.</w:t>
      </w:r>
    </w:p>
    <w:p w14:paraId="5E9F1107" w14:textId="175D2046" w:rsidR="007D5795" w:rsidRDefault="007D5795" w:rsidP="007D5795">
      <w:pPr>
        <w:pStyle w:val="SangriaFrancesaArticulo"/>
      </w:pPr>
    </w:p>
    <w:p w14:paraId="13A8520B" w14:textId="77777777" w:rsidR="007D5795" w:rsidRDefault="007D5795" w:rsidP="007D5795">
      <w:pPr>
        <w:pStyle w:val="TextoNormalNegritaCursivandice"/>
        <w:keepNext/>
      </w:pPr>
      <w:r>
        <w:t>Sentencia del Tribunal de Justicia de la Unión Europea de 8 de septiembre de 2016 (GS Media, asunto C-160/15)</w:t>
      </w:r>
    </w:p>
    <w:p w14:paraId="61B8E283" w14:textId="6B35081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3" w:history="1">
        <w:r w:rsidRPr="007D5795">
          <w:rPr>
            <w:rStyle w:val="TextoNormalCaracter"/>
          </w:rPr>
          <w:t>133/2024</w:t>
        </w:r>
      </w:hyperlink>
      <w:r>
        <w:t>, f. 5.</w:t>
      </w:r>
    </w:p>
    <w:p w14:paraId="73DE77E0" w14:textId="38A9B606" w:rsidR="007D5795" w:rsidRDefault="007D5795" w:rsidP="007D5795">
      <w:pPr>
        <w:pStyle w:val="SangriaFrancesaArticulo"/>
      </w:pPr>
    </w:p>
    <w:p w14:paraId="4E0EBD98" w14:textId="77777777" w:rsidR="007D5795" w:rsidRDefault="007D5795" w:rsidP="007D5795">
      <w:pPr>
        <w:pStyle w:val="TextoNormalNegritaCursivandice"/>
        <w:keepNext/>
      </w:pPr>
      <w:r>
        <w:t>Sentencia del Tribunal de Justicia de la Unión Europea de 27 de febrero de 2018 (Asociación Sindical de Jueces Portugueses, asunto C-64/16)</w:t>
      </w:r>
    </w:p>
    <w:p w14:paraId="6D42BE2B" w14:textId="2CC58EBB" w:rsidR="007D5795" w:rsidRDefault="007D5795" w:rsidP="007D5795">
      <w:pPr>
        <w:pStyle w:val="SangriaFrancesaArticulo"/>
      </w:pPr>
      <w:r w:rsidRPr="007D5795">
        <w:rPr>
          <w:rStyle w:val="TextoNormalNegritaCaracter"/>
        </w:rPr>
        <w:t>§ 31.</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6DB1A240" w14:textId="52AA6071" w:rsidR="007D5795" w:rsidRDefault="007D5795" w:rsidP="007D5795">
      <w:pPr>
        <w:pStyle w:val="SangriaFrancesaArticulo"/>
      </w:pPr>
    </w:p>
    <w:p w14:paraId="7BF73A95" w14:textId="77777777" w:rsidR="007D5795" w:rsidRDefault="007D5795" w:rsidP="007D5795">
      <w:pPr>
        <w:pStyle w:val="TextoNormalNegritaCursivandice"/>
        <w:keepNext/>
      </w:pPr>
      <w:r>
        <w:t>Sentencia del Tribunal de Justicia de la Unión Europea de 17 de abril de 2018 (Vera Egenberger c. Evangelisches Werk für Diakonie und Entwicklung e.V., C-414/16)</w:t>
      </w:r>
    </w:p>
    <w:p w14:paraId="1D8DD657" w14:textId="4DA8DAA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425B0A1D" w14:textId="19ECF6C2" w:rsidR="007D5795" w:rsidRDefault="007D5795" w:rsidP="007D5795">
      <w:pPr>
        <w:pStyle w:val="SangriaFrancesaArticulo"/>
      </w:pPr>
      <w:r w:rsidRPr="007D5795">
        <w:rPr>
          <w:rStyle w:val="TextoNormalNegritaCaracter"/>
        </w:rPr>
        <w:t>§ 63.</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75A74823" w14:textId="4908DA7A" w:rsidR="007D5795" w:rsidRDefault="007D5795" w:rsidP="007D5795">
      <w:pPr>
        <w:pStyle w:val="SangriaFrancesaArticulo"/>
      </w:pPr>
      <w:r w:rsidRPr="007D5795">
        <w:rPr>
          <w:rStyle w:val="TextoNormalNegritaCaracter"/>
        </w:rPr>
        <w:t>§ 67.</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60F4A2C2" w14:textId="28B4AF46" w:rsidR="007D5795" w:rsidRDefault="007D5795" w:rsidP="007D5795">
      <w:pPr>
        <w:pStyle w:val="SangriaFrancesaArticulo"/>
      </w:pPr>
      <w:r w:rsidRPr="007D5795">
        <w:rPr>
          <w:rStyle w:val="TextoNormalNegritaCaracter"/>
        </w:rPr>
        <w:t>§ 68.</w:t>
      </w:r>
      <w:r w:rsidRPr="007D5795">
        <w:rPr>
          <w:rStyle w:val="TextoNormalCaracter"/>
        </w:rPr>
        <w:t>-</w:t>
      </w:r>
      <w:r>
        <w:t xml:space="preserve"> Sentencia </w:t>
      </w:r>
      <w:hyperlink w:anchor="SENTENCIA_2024_132" w:history="1">
        <w:r w:rsidRPr="007D5795">
          <w:rPr>
            <w:rStyle w:val="TextoNormalCaracter"/>
          </w:rPr>
          <w:t>132/2024</w:t>
        </w:r>
      </w:hyperlink>
      <w:r>
        <w:t>, f. 3.</w:t>
      </w:r>
    </w:p>
    <w:p w14:paraId="1CC929C2" w14:textId="6C53ABD9" w:rsidR="007D5795" w:rsidRDefault="007D5795" w:rsidP="007D5795">
      <w:pPr>
        <w:pStyle w:val="SangriaFrancesaArticulo"/>
      </w:pPr>
    </w:p>
    <w:p w14:paraId="5C37E9D5" w14:textId="77777777" w:rsidR="007D5795" w:rsidRDefault="007D5795" w:rsidP="007D5795">
      <w:pPr>
        <w:pStyle w:val="TextoNormalNegritaCursivandice"/>
        <w:keepNext/>
      </w:pPr>
      <w:r>
        <w:t>Sentencia del Tribunal de Justicia de la Unión Europea de 25 de julio de 2018 (L.M., asunto C-216/18)</w:t>
      </w:r>
    </w:p>
    <w:p w14:paraId="21A6A15E" w14:textId="34F11BD3" w:rsidR="007D5795" w:rsidRDefault="007D5795" w:rsidP="007D5795">
      <w:pPr>
        <w:pStyle w:val="SangriaFrancesaArticulo"/>
      </w:pPr>
      <w:r w:rsidRPr="007D5795">
        <w:rPr>
          <w:rStyle w:val="TextoNormalNegritaCaracter"/>
        </w:rPr>
        <w:t>§ 66.</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276D41E7" w14:textId="25860626" w:rsidR="007D5795" w:rsidRDefault="007D5795" w:rsidP="007D5795">
      <w:pPr>
        <w:pStyle w:val="SangriaFrancesaArticulo"/>
      </w:pPr>
    </w:p>
    <w:p w14:paraId="07F870BD" w14:textId="77777777" w:rsidR="007D5795" w:rsidRDefault="007D5795" w:rsidP="007D5795">
      <w:pPr>
        <w:pStyle w:val="TextoNormalNegritaCursivandice"/>
        <w:keepNext/>
      </w:pPr>
      <w:r>
        <w:t>Sentencia del Tribunal de Justicia de la Unión Europea de 4 de diciembre de 2018 (The Minister for Justice and Equality y The Commissioner of the Garda Síochána c. Workplace Relations Commission. Petición de decisión prejudical planteada por la Supreme Court (Irlanda), asunto C-378/17)</w:t>
      </w:r>
    </w:p>
    <w:p w14:paraId="343CD47F" w14:textId="0117ABFD" w:rsidR="007D5795" w:rsidRDefault="007D5795" w:rsidP="007D5795">
      <w:pPr>
        <w:pStyle w:val="SangriaFrancesaArticulo"/>
      </w:pPr>
      <w:r w:rsidRPr="007D5795">
        <w:rPr>
          <w:rStyle w:val="TextoNormalNegritaCaracter"/>
        </w:rPr>
        <w:t>§ 27.</w:t>
      </w:r>
      <w:r w:rsidRPr="007D5795">
        <w:rPr>
          <w:rStyle w:val="TextoNormalCaracter"/>
        </w:rPr>
        <w:t>-</w:t>
      </w:r>
      <w:r>
        <w:t xml:space="preserve"> Sentencia </w:t>
      </w:r>
      <w:hyperlink w:anchor="SENTENCIA_2024_152" w:history="1">
        <w:r w:rsidRPr="007D5795">
          <w:rPr>
            <w:rStyle w:val="TextoNormalCaracter"/>
          </w:rPr>
          <w:t>152/2024</w:t>
        </w:r>
      </w:hyperlink>
      <w:r>
        <w:t>, f. 5.</w:t>
      </w:r>
    </w:p>
    <w:p w14:paraId="4BD9B72E" w14:textId="7A5544C9" w:rsidR="007D5795" w:rsidRDefault="007D5795" w:rsidP="007D5795">
      <w:pPr>
        <w:pStyle w:val="SangriaFrancesaArticulo"/>
      </w:pPr>
    </w:p>
    <w:p w14:paraId="3BC7E1BF" w14:textId="77777777" w:rsidR="007D5795" w:rsidRDefault="007D5795" w:rsidP="007D5795">
      <w:pPr>
        <w:pStyle w:val="TextoNormalNegritaCursivandice"/>
        <w:keepNext/>
      </w:pPr>
      <w:r>
        <w:t>Sentencia del Tribunal de Justicia de la Unión Europea de 24 de junio de 2019 (Comisión Europea c. República de Polonia, asunto C-619/18)</w:t>
      </w:r>
    </w:p>
    <w:p w14:paraId="1D1C411D" w14:textId="1710D907" w:rsidR="007D5795" w:rsidRDefault="007D5795" w:rsidP="007D5795">
      <w:pPr>
        <w:pStyle w:val="SangriaFrancesaArticulo"/>
      </w:pPr>
      <w:r w:rsidRPr="007D5795">
        <w:rPr>
          <w:rStyle w:val="TextoNormalNegritaCaracter"/>
        </w:rPr>
        <w:t>§ 45.</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2B30F8DE" w14:textId="02BB98E8" w:rsidR="007D5795" w:rsidRDefault="007D5795" w:rsidP="007D5795">
      <w:pPr>
        <w:pStyle w:val="SangriaFrancesaArticulo"/>
      </w:pPr>
      <w:r w:rsidRPr="007D5795">
        <w:rPr>
          <w:rStyle w:val="TextoNormalNegritaCaracter"/>
        </w:rPr>
        <w:t>§ 46.</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0954CC68" w14:textId="3857EA52" w:rsidR="007D5795" w:rsidRDefault="007D5795" w:rsidP="007D5795">
      <w:pPr>
        <w:pStyle w:val="SangriaFrancesaArticulo"/>
      </w:pPr>
      <w:r w:rsidRPr="007D5795">
        <w:rPr>
          <w:rStyle w:val="TextoNormalNegritaCaracter"/>
        </w:rPr>
        <w:t>§ 50 a 53.</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457D6365" w14:textId="7F4F9C11" w:rsidR="007D5795" w:rsidRDefault="007D5795" w:rsidP="007D5795">
      <w:pPr>
        <w:pStyle w:val="SangriaFrancesaArticulo"/>
      </w:pPr>
      <w:r w:rsidRPr="007D5795">
        <w:rPr>
          <w:rStyle w:val="TextoNormalNegritaCaracter"/>
        </w:rPr>
        <w:t>§ 115.</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58E5CB5E" w14:textId="23845250" w:rsidR="007D5795" w:rsidRDefault="007D5795" w:rsidP="007D5795">
      <w:pPr>
        <w:pStyle w:val="SangriaFrancesaArticulo"/>
      </w:pPr>
      <w:r w:rsidRPr="007D5795">
        <w:rPr>
          <w:rStyle w:val="TextoNormalNegritaCaracter"/>
        </w:rPr>
        <w:t>§ 116.</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5AE3D944" w14:textId="7212DE44" w:rsidR="007D5795" w:rsidRDefault="007D5795" w:rsidP="007D5795">
      <w:pPr>
        <w:pStyle w:val="SangriaFrancesaArticulo"/>
      </w:pPr>
    </w:p>
    <w:p w14:paraId="2227C072" w14:textId="77777777" w:rsidR="007D5795" w:rsidRDefault="007D5795" w:rsidP="007D5795">
      <w:pPr>
        <w:pStyle w:val="TextoNormalNegritaCursivandice"/>
        <w:keepNext/>
      </w:pPr>
      <w:r>
        <w:t>Sentencia del Tribunal de Justicia de la Unión Europea de 17 de octubre de 2019 (Caseificio Cirigliana Srl., y otros, c. Ministero delle Politiche agricole, alimentari e forestali y otros, asunto C-569/18)</w:t>
      </w:r>
    </w:p>
    <w:p w14:paraId="7F0EEA2C" w14:textId="377BD164" w:rsidR="007D5795" w:rsidRDefault="007D5795" w:rsidP="007D5795">
      <w:pPr>
        <w:pStyle w:val="SangriaFrancesaArticulo"/>
      </w:pPr>
      <w:r w:rsidRPr="007D5795">
        <w:rPr>
          <w:rStyle w:val="TextoNormalNegritaCaracter"/>
        </w:rPr>
        <w:t>§ 24.</w:t>
      </w:r>
      <w:r w:rsidRPr="007D5795">
        <w:rPr>
          <w:rStyle w:val="TextoNormalCaracter"/>
        </w:rPr>
        <w:t>-</w:t>
      </w:r>
      <w:r>
        <w:t xml:space="preserve"> Sentencia </w:t>
      </w:r>
      <w:hyperlink w:anchor="SENTENCIA_2024_152" w:history="1">
        <w:r w:rsidRPr="007D5795">
          <w:rPr>
            <w:rStyle w:val="TextoNormalCaracter"/>
          </w:rPr>
          <w:t>152/2024</w:t>
        </w:r>
      </w:hyperlink>
      <w:r>
        <w:t>, f. 5.</w:t>
      </w:r>
    </w:p>
    <w:p w14:paraId="4F32901F" w14:textId="61CFE19B" w:rsidR="007D5795" w:rsidRDefault="007D5795" w:rsidP="007D5795">
      <w:pPr>
        <w:pStyle w:val="SangriaFrancesaArticulo"/>
      </w:pPr>
    </w:p>
    <w:p w14:paraId="6F5BDA79" w14:textId="77777777" w:rsidR="007D5795" w:rsidRDefault="007D5795" w:rsidP="007D5795">
      <w:pPr>
        <w:pStyle w:val="TextoNormalNegritaCursivandice"/>
        <w:keepNext/>
      </w:pPr>
      <w:r>
        <w:t>Sentencia del Tribunal de Justicia de la Unión Europea de 5 de noviembre de 2019 (Comisión Europea c. Polonia, asunto C-192/18)</w:t>
      </w:r>
    </w:p>
    <w:p w14:paraId="664338C0" w14:textId="373285A5" w:rsidR="007D5795" w:rsidRDefault="007D5795" w:rsidP="007D5795">
      <w:pPr>
        <w:pStyle w:val="SangriaFrancesaArticulo"/>
      </w:pPr>
      <w:r w:rsidRPr="007D5795">
        <w:rPr>
          <w:rStyle w:val="TextoNormalNegritaCaracter"/>
        </w:rPr>
        <w:t>§ 101 a 103.</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1BFAA74E" w14:textId="388EDA61" w:rsidR="007D5795" w:rsidRDefault="007D5795" w:rsidP="007D5795">
      <w:pPr>
        <w:pStyle w:val="SangriaFrancesaArticulo"/>
      </w:pPr>
      <w:r w:rsidRPr="007D5795">
        <w:rPr>
          <w:rStyle w:val="TextoNormalNegritaCaracter"/>
        </w:rPr>
        <w:t>§ 111.</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670BFA85" w14:textId="5196A9BD" w:rsidR="007D5795" w:rsidRDefault="007D5795" w:rsidP="007D5795">
      <w:pPr>
        <w:pStyle w:val="SangriaFrancesaArticulo"/>
      </w:pPr>
    </w:p>
    <w:p w14:paraId="43F81D03" w14:textId="77777777" w:rsidR="007D5795" w:rsidRDefault="007D5795" w:rsidP="007D5795">
      <w:pPr>
        <w:pStyle w:val="TextoNormalNegritaCursivandice"/>
        <w:keepNext/>
      </w:pPr>
      <w:r>
        <w:t>Sentencia del Tribunal de Justicia de la Unión Europea de 19 de noviembre de 2019 (A.K. c. Krajowa Rada Sadownictwa y CP y DO c. Sad Najwyzszy, asuntos acumulados C-585/18, C-624/18 y C-625/18)</w:t>
      </w:r>
    </w:p>
    <w:p w14:paraId="347CA89F" w14:textId="36BC9352" w:rsidR="007D5795" w:rsidRDefault="007D5795" w:rsidP="007D5795">
      <w:pPr>
        <w:pStyle w:val="SangriaFrancesaArticulo"/>
      </w:pPr>
      <w:r w:rsidRPr="007D5795">
        <w:rPr>
          <w:rStyle w:val="TextoNormalNegritaCaracter"/>
        </w:rPr>
        <w:t>§ 74.</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698CB9D0" w14:textId="5C1D8D88" w:rsidR="007D5795" w:rsidRDefault="007D5795" w:rsidP="007D5795">
      <w:pPr>
        <w:pStyle w:val="SangriaFrancesaArticulo"/>
      </w:pPr>
      <w:r w:rsidRPr="007D5795">
        <w:rPr>
          <w:rStyle w:val="TextoNormalNegritaCaracter"/>
        </w:rPr>
        <w:t>§ 75.</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097E836A" w14:textId="456C11B5" w:rsidR="007D5795" w:rsidRDefault="007D5795" w:rsidP="007D5795">
      <w:pPr>
        <w:pStyle w:val="SangriaFrancesaArticulo"/>
      </w:pPr>
      <w:r w:rsidRPr="007D5795">
        <w:rPr>
          <w:rStyle w:val="TextoNormalNegritaCaracter"/>
        </w:rPr>
        <w:t>§ 112.</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29442ACD" w14:textId="6F67C40B" w:rsidR="007D5795" w:rsidRDefault="007D5795" w:rsidP="007D5795">
      <w:pPr>
        <w:pStyle w:val="SangriaFrancesaArticulo"/>
      </w:pPr>
      <w:r w:rsidRPr="007D5795">
        <w:rPr>
          <w:rStyle w:val="TextoNormalNegritaCaracter"/>
        </w:rPr>
        <w:t>§ 123.</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2DE2D75D" w14:textId="02648927" w:rsidR="007D5795" w:rsidRDefault="007D5795" w:rsidP="007D5795">
      <w:pPr>
        <w:pStyle w:val="SangriaFrancesaArticulo"/>
      </w:pPr>
      <w:r w:rsidRPr="007D5795">
        <w:rPr>
          <w:rStyle w:val="TextoNormalNegritaCaracter"/>
        </w:rPr>
        <w:t>§ 124.</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2748BE7A" w14:textId="4A700CD0" w:rsidR="007D5795" w:rsidRDefault="007D5795" w:rsidP="007D5795">
      <w:pPr>
        <w:pStyle w:val="SangriaFrancesaArticulo"/>
      </w:pPr>
      <w:r w:rsidRPr="007D5795">
        <w:rPr>
          <w:rStyle w:val="TextoNormalNegritaCaracter"/>
        </w:rPr>
        <w:t>§ 134.</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3E4C80A8" w14:textId="7F086EA7" w:rsidR="007D5795" w:rsidRDefault="007D5795" w:rsidP="007D5795">
      <w:pPr>
        <w:pStyle w:val="SangriaFrancesaArticulo"/>
      </w:pPr>
      <w:r w:rsidRPr="007D5795">
        <w:rPr>
          <w:rStyle w:val="TextoNormalNegritaCaracter"/>
        </w:rPr>
        <w:t>§ 137 a 140.</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479791C8" w14:textId="1AAC7893" w:rsidR="007D5795" w:rsidRDefault="007D5795" w:rsidP="007D5795">
      <w:pPr>
        <w:pStyle w:val="SangriaFrancesaArticulo"/>
      </w:pPr>
      <w:r w:rsidRPr="007D5795">
        <w:rPr>
          <w:rStyle w:val="TextoNormalNegritaCaracter"/>
        </w:rPr>
        <w:t>§ 143.</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670C9BA7" w14:textId="6CABBE15" w:rsidR="007D5795" w:rsidRDefault="007D5795" w:rsidP="007D5795">
      <w:pPr>
        <w:pStyle w:val="SangriaFrancesaArticulo"/>
      </w:pPr>
      <w:r w:rsidRPr="007D5795">
        <w:rPr>
          <w:rStyle w:val="TextoNormalNegritaCaracter"/>
        </w:rPr>
        <w:t>§ 145.</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04B9FF4A" w14:textId="236895D7" w:rsidR="007D5795" w:rsidRDefault="007D5795" w:rsidP="007D5795">
      <w:pPr>
        <w:pStyle w:val="SangriaFrancesaArticulo"/>
      </w:pPr>
      <w:r w:rsidRPr="007D5795">
        <w:rPr>
          <w:rStyle w:val="TextoNormalNegritaCaracter"/>
        </w:rPr>
        <w:t>§ 162.</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335BF682" w14:textId="6A0CB649" w:rsidR="007D5795" w:rsidRDefault="007D5795" w:rsidP="007D5795">
      <w:pPr>
        <w:pStyle w:val="SangriaFrancesaArticulo"/>
      </w:pPr>
    </w:p>
    <w:p w14:paraId="7D70F439" w14:textId="77777777" w:rsidR="007D5795" w:rsidRDefault="007D5795" w:rsidP="007D5795">
      <w:pPr>
        <w:pStyle w:val="TextoNormalNegritaCursivandice"/>
        <w:keepNext/>
      </w:pPr>
      <w:r>
        <w:t>Sentencia del Tribunal de Justicia de la Unión Europea de 3 de diciembre de 2020 ( Région de Bruxelles-Capitale/Comisión, asunto C-352/19 P)</w:t>
      </w:r>
    </w:p>
    <w:p w14:paraId="411A0670" w14:textId="39B71E52" w:rsidR="007D5795" w:rsidRDefault="007D5795" w:rsidP="007D5795">
      <w:pPr>
        <w:pStyle w:val="SangriaFrancesaArticulo"/>
      </w:pPr>
      <w:r w:rsidRPr="007D5795">
        <w:rPr>
          <w:rStyle w:val="TextoNormalNegritaCaracter"/>
        </w:rPr>
        <w:t>§ 25.</w:t>
      </w:r>
      <w:r w:rsidRPr="007D5795">
        <w:rPr>
          <w:rStyle w:val="TextoNormalCaracter"/>
        </w:rPr>
        <w:t>-</w:t>
      </w:r>
      <w:r>
        <w:t xml:space="preserve"> Sentencia </w:t>
      </w:r>
      <w:hyperlink w:anchor="SENTENCIA_2024_142" w:history="1">
        <w:r w:rsidRPr="007D5795">
          <w:rPr>
            <w:rStyle w:val="TextoNormalCaracter"/>
          </w:rPr>
          <w:t>142/2024</w:t>
        </w:r>
      </w:hyperlink>
      <w:r>
        <w:t>, VP.</w:t>
      </w:r>
    </w:p>
    <w:p w14:paraId="0F9511F3" w14:textId="64DE5970" w:rsidR="007D5795" w:rsidRDefault="007D5795" w:rsidP="007D5795">
      <w:pPr>
        <w:pStyle w:val="SangriaFrancesaArticulo"/>
      </w:pPr>
    </w:p>
    <w:p w14:paraId="386E1022" w14:textId="77777777" w:rsidR="007D5795" w:rsidRDefault="007D5795" w:rsidP="007D5795">
      <w:pPr>
        <w:pStyle w:val="TextoNormalNegritaCursivandice"/>
        <w:keepNext/>
      </w:pPr>
      <w:r>
        <w:t>Sentencia del Tribunal de Justicia de la Unión Europea de 20 de enero de 2021 (Land Baden-Württemberg (Communications internes, asunto C-619/19)</w:t>
      </w:r>
    </w:p>
    <w:p w14:paraId="28399F00" w14:textId="379845CB" w:rsidR="007D5795" w:rsidRDefault="007D5795" w:rsidP="007D5795">
      <w:pPr>
        <w:pStyle w:val="SangriaFrancesaArticulo"/>
      </w:pPr>
      <w:r w:rsidRPr="007D5795">
        <w:rPr>
          <w:rStyle w:val="TextoNormalNegritaCaracter"/>
        </w:rPr>
        <w:t>§ 33.</w:t>
      </w:r>
      <w:r w:rsidRPr="007D5795">
        <w:rPr>
          <w:rStyle w:val="TextoNormalCaracter"/>
        </w:rPr>
        <w:t>-</w:t>
      </w:r>
      <w:r>
        <w:t xml:space="preserve"> Sentencia </w:t>
      </w:r>
      <w:hyperlink w:anchor="SENTENCIA_2024_142" w:history="1">
        <w:r w:rsidRPr="007D5795">
          <w:rPr>
            <w:rStyle w:val="TextoNormalCaracter"/>
          </w:rPr>
          <w:t>142/2024</w:t>
        </w:r>
      </w:hyperlink>
      <w:r>
        <w:t>, VP.</w:t>
      </w:r>
    </w:p>
    <w:p w14:paraId="0BA89080" w14:textId="1C719F61" w:rsidR="007D5795" w:rsidRDefault="007D5795" w:rsidP="007D5795">
      <w:pPr>
        <w:pStyle w:val="SangriaFrancesaArticulo"/>
      </w:pPr>
      <w:r w:rsidRPr="007D5795">
        <w:rPr>
          <w:rStyle w:val="TextoNormalNegritaCaracter"/>
        </w:rPr>
        <w:t>§ 44.</w:t>
      </w:r>
      <w:r w:rsidRPr="007D5795">
        <w:rPr>
          <w:rStyle w:val="TextoNormalCaracter"/>
        </w:rPr>
        <w:t>-</w:t>
      </w:r>
      <w:r>
        <w:t xml:space="preserve"> Sentencia </w:t>
      </w:r>
      <w:hyperlink w:anchor="SENTENCIA_2024_142" w:history="1">
        <w:r w:rsidRPr="007D5795">
          <w:rPr>
            <w:rStyle w:val="TextoNormalCaracter"/>
          </w:rPr>
          <w:t>142/2024</w:t>
        </w:r>
      </w:hyperlink>
      <w:r>
        <w:t>, VP.</w:t>
      </w:r>
    </w:p>
    <w:p w14:paraId="26DEDB7C" w14:textId="43B3AEA0" w:rsidR="007D5795" w:rsidRDefault="007D5795" w:rsidP="007D5795">
      <w:pPr>
        <w:pStyle w:val="SangriaFrancesaArticulo"/>
      </w:pPr>
      <w:r w:rsidRPr="007D5795">
        <w:rPr>
          <w:rStyle w:val="TextoNormalNegritaCaracter"/>
        </w:rPr>
        <w:t>§ 56.</w:t>
      </w:r>
      <w:r w:rsidRPr="007D5795">
        <w:rPr>
          <w:rStyle w:val="TextoNormalCaracter"/>
        </w:rPr>
        <w:t>-</w:t>
      </w:r>
      <w:r>
        <w:t xml:space="preserve"> Sentencia </w:t>
      </w:r>
      <w:hyperlink w:anchor="SENTENCIA_2024_142" w:history="1">
        <w:r w:rsidRPr="007D5795">
          <w:rPr>
            <w:rStyle w:val="TextoNormalCaracter"/>
          </w:rPr>
          <w:t>142/2024</w:t>
        </w:r>
      </w:hyperlink>
      <w:r>
        <w:t>, VP.</w:t>
      </w:r>
    </w:p>
    <w:p w14:paraId="1171538C" w14:textId="28D05DCD" w:rsidR="007D5795" w:rsidRDefault="007D5795" w:rsidP="007D5795">
      <w:pPr>
        <w:pStyle w:val="SangriaFrancesaArticulo"/>
      </w:pPr>
      <w:r w:rsidRPr="007D5795">
        <w:rPr>
          <w:rStyle w:val="TextoNormalNegritaCaracter"/>
        </w:rPr>
        <w:t>§ 58.</w:t>
      </w:r>
      <w:r w:rsidRPr="007D5795">
        <w:rPr>
          <w:rStyle w:val="TextoNormalCaracter"/>
        </w:rPr>
        <w:t>-</w:t>
      </w:r>
      <w:r>
        <w:t xml:space="preserve"> Sentencia </w:t>
      </w:r>
      <w:hyperlink w:anchor="SENTENCIA_2024_142" w:history="1">
        <w:r w:rsidRPr="007D5795">
          <w:rPr>
            <w:rStyle w:val="TextoNormalCaracter"/>
          </w:rPr>
          <w:t>142/2024</w:t>
        </w:r>
      </w:hyperlink>
      <w:r>
        <w:t>, VP.</w:t>
      </w:r>
    </w:p>
    <w:p w14:paraId="49E04220" w14:textId="4139BB1E" w:rsidR="007D5795" w:rsidRDefault="007D5795" w:rsidP="007D5795">
      <w:pPr>
        <w:pStyle w:val="SangriaFrancesaArticulo"/>
      </w:pPr>
      <w:r w:rsidRPr="007D5795">
        <w:rPr>
          <w:rStyle w:val="TextoNormalNegritaCaracter"/>
        </w:rPr>
        <w:t>§ 69.</w:t>
      </w:r>
      <w:r w:rsidRPr="007D5795">
        <w:rPr>
          <w:rStyle w:val="TextoNormalCaracter"/>
        </w:rPr>
        <w:t>-</w:t>
      </w:r>
      <w:r>
        <w:t xml:space="preserve"> Sentencia </w:t>
      </w:r>
      <w:hyperlink w:anchor="SENTENCIA_2024_142" w:history="1">
        <w:r w:rsidRPr="007D5795">
          <w:rPr>
            <w:rStyle w:val="TextoNormalCaracter"/>
          </w:rPr>
          <w:t>142/2024</w:t>
        </w:r>
      </w:hyperlink>
      <w:r>
        <w:t>, VP.</w:t>
      </w:r>
    </w:p>
    <w:p w14:paraId="308286CA" w14:textId="1A79B34D" w:rsidR="007D5795" w:rsidRDefault="007D5795" w:rsidP="007D5795">
      <w:pPr>
        <w:pStyle w:val="SangriaFrancesaArticulo"/>
      </w:pPr>
    </w:p>
    <w:p w14:paraId="5DC6DC36" w14:textId="77777777" w:rsidR="007D5795" w:rsidRDefault="007D5795" w:rsidP="007D5795">
      <w:pPr>
        <w:pStyle w:val="TextoNormalNegritaCursivandice"/>
        <w:keepNext/>
      </w:pPr>
      <w:r>
        <w:t>Sentencia del Tribunal de Justicia de la Unión Europea de 2 de marzo de 2021 (A.B. y otros c. Krajowa Rada Sadownictwa y otros, asunto C-824/18)</w:t>
      </w:r>
    </w:p>
    <w:p w14:paraId="5A97DF6B" w14:textId="3B43E222" w:rsidR="007D5795" w:rsidRDefault="007D5795" w:rsidP="007D5795">
      <w:pPr>
        <w:pStyle w:val="SangriaFrancesaArticulo"/>
      </w:pPr>
      <w:r w:rsidRPr="007D5795">
        <w:rPr>
          <w:rStyle w:val="TextoNormalNegritaCaracter"/>
        </w:rPr>
        <w:t>§ 68.</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274E57FD" w14:textId="7E147A3B" w:rsidR="007D5795" w:rsidRDefault="007D5795" w:rsidP="007D5795">
      <w:pPr>
        <w:pStyle w:val="SangriaFrancesaArticulo"/>
      </w:pPr>
      <w:r w:rsidRPr="007D5795">
        <w:rPr>
          <w:rStyle w:val="TextoNormalNegritaCaracter"/>
        </w:rPr>
        <w:t>§ 69.</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6D6479B5" w14:textId="0D63632C" w:rsidR="007D5795" w:rsidRDefault="007D5795" w:rsidP="007D5795">
      <w:pPr>
        <w:pStyle w:val="SangriaFrancesaArticulo"/>
      </w:pPr>
      <w:r w:rsidRPr="007D5795">
        <w:rPr>
          <w:rStyle w:val="TextoNormalNegritaCaracter"/>
        </w:rPr>
        <w:t>§ 108.</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4ADCA545" w14:textId="5F4B7972" w:rsidR="007D5795" w:rsidRDefault="007D5795" w:rsidP="007D5795">
      <w:pPr>
        <w:pStyle w:val="SangriaFrancesaArticulo"/>
      </w:pPr>
      <w:r w:rsidRPr="007D5795">
        <w:rPr>
          <w:rStyle w:val="TextoNormalNegritaCaracter"/>
        </w:rPr>
        <w:t>§ 116.</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3AF64F52" w14:textId="6C53BF48" w:rsidR="007D5795" w:rsidRDefault="007D5795" w:rsidP="007D5795">
      <w:pPr>
        <w:pStyle w:val="SangriaFrancesaArticulo"/>
      </w:pPr>
      <w:r w:rsidRPr="007D5795">
        <w:rPr>
          <w:rStyle w:val="TextoNormalNegritaCaracter"/>
        </w:rPr>
        <w:t>§ 117.</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5D3A1434" w14:textId="7C534519" w:rsidR="007D5795" w:rsidRDefault="007D5795" w:rsidP="007D5795">
      <w:pPr>
        <w:pStyle w:val="SangriaFrancesaArticulo"/>
      </w:pPr>
      <w:r w:rsidRPr="007D5795">
        <w:rPr>
          <w:rStyle w:val="TextoNormalNegritaCaracter"/>
        </w:rPr>
        <w:t>§ 118.</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1610F2A3" w14:textId="6EFC460B" w:rsidR="007D5795" w:rsidRDefault="007D5795" w:rsidP="007D5795">
      <w:pPr>
        <w:pStyle w:val="SangriaFrancesaArticulo"/>
      </w:pPr>
      <w:r w:rsidRPr="007D5795">
        <w:rPr>
          <w:rStyle w:val="TextoNormalNegritaCaracter"/>
        </w:rPr>
        <w:t>§ 121.</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678E4D22" w14:textId="1CCFE9D1" w:rsidR="007D5795" w:rsidRDefault="007D5795" w:rsidP="007D5795">
      <w:pPr>
        <w:pStyle w:val="SangriaFrancesaArticulo"/>
      </w:pPr>
      <w:r w:rsidRPr="007D5795">
        <w:rPr>
          <w:rStyle w:val="TextoNormalNegritaCaracter"/>
        </w:rPr>
        <w:t>§ 123.</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3A37858D" w14:textId="534D68BB" w:rsidR="007D5795" w:rsidRDefault="007D5795" w:rsidP="007D5795">
      <w:pPr>
        <w:pStyle w:val="SangriaFrancesaArticulo"/>
      </w:pPr>
      <w:r w:rsidRPr="007D5795">
        <w:rPr>
          <w:rStyle w:val="TextoNormalNegritaCaracter"/>
        </w:rPr>
        <w:t>§ 125 a 127.</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78E15A2A" w14:textId="784CED46" w:rsidR="007D5795" w:rsidRDefault="007D5795" w:rsidP="007D5795">
      <w:pPr>
        <w:pStyle w:val="SangriaFrancesaArticulo"/>
      </w:pPr>
    </w:p>
    <w:p w14:paraId="2A690BB1" w14:textId="77777777" w:rsidR="007D5795" w:rsidRDefault="007D5795" w:rsidP="007D5795">
      <w:pPr>
        <w:pStyle w:val="TextoNormalNegritaCursivandice"/>
        <w:keepNext/>
      </w:pPr>
      <w:r>
        <w:t>Sentencia del Tribunal de Justicia de la Unión Europea de 20 de abril de 2021 (Repubblika c. Il-Prim Ministru, asunto C-896/19)</w:t>
      </w:r>
    </w:p>
    <w:p w14:paraId="227C64A7" w14:textId="60F21F42" w:rsidR="007D5795" w:rsidRDefault="007D5795" w:rsidP="007D5795">
      <w:pPr>
        <w:pStyle w:val="SangriaFrancesaArticulo"/>
      </w:pPr>
      <w:r w:rsidRPr="007D5795">
        <w:rPr>
          <w:rStyle w:val="TextoNormalNegritaCaracter"/>
        </w:rPr>
        <w:t>§ 62.</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16941BF1" w14:textId="1A7B6FC6" w:rsidR="007D5795" w:rsidRDefault="007D5795" w:rsidP="007D5795">
      <w:pPr>
        <w:pStyle w:val="SangriaFrancesaArticulo"/>
      </w:pPr>
      <w:r w:rsidRPr="007D5795">
        <w:rPr>
          <w:rStyle w:val="TextoNormalNegritaCaracter"/>
        </w:rPr>
        <w:t>§ 64.</w:t>
      </w:r>
      <w:r w:rsidRPr="007D5795">
        <w:rPr>
          <w:rStyle w:val="TextoNormalCaracter"/>
        </w:rPr>
        <w:t>-</w:t>
      </w:r>
      <w:r>
        <w:t xml:space="preserve"> Sentencia </w:t>
      </w:r>
      <w:hyperlink w:anchor="SENTENCIA_2024_139" w:history="1">
        <w:r w:rsidRPr="007D5795">
          <w:rPr>
            <w:rStyle w:val="TextoNormalCaracter"/>
          </w:rPr>
          <w:t>139/2024</w:t>
        </w:r>
      </w:hyperlink>
      <w:r>
        <w:t>, VP I.</w:t>
      </w:r>
    </w:p>
    <w:p w14:paraId="0FBBDDC2" w14:textId="72B217ED" w:rsidR="007D5795" w:rsidRDefault="007D5795" w:rsidP="007D5795">
      <w:pPr>
        <w:pStyle w:val="SangriaFrancesaArticulo"/>
      </w:pPr>
      <w:r w:rsidRPr="007D5795">
        <w:rPr>
          <w:rStyle w:val="TextoNormalNegritaCaracter"/>
        </w:rPr>
        <w:t>§ 65.</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02947925" w14:textId="14F82BFA" w:rsidR="007D5795" w:rsidRDefault="007D5795" w:rsidP="007D5795">
      <w:pPr>
        <w:pStyle w:val="SangriaFrancesaArticulo"/>
      </w:pPr>
    </w:p>
    <w:p w14:paraId="687F8CCD" w14:textId="77777777" w:rsidR="007D5795" w:rsidRDefault="007D5795" w:rsidP="007D5795">
      <w:pPr>
        <w:pStyle w:val="TextoNormalNegritaCursivandice"/>
        <w:keepNext/>
      </w:pPr>
      <w:r>
        <w:t>Sentencia del Tribunal de Justicia de la Unión Europea de 18 de mayo de 2021 (Asociatia “Forumul Judecatorilor din România”, asuntos acumulados C-83/19, C-127/19, C-195/19, C-291/19, C-355/19 y C-397/19)</w:t>
      </w:r>
    </w:p>
    <w:p w14:paraId="66BCB0CF" w14:textId="266FD869" w:rsidR="007D5795" w:rsidRDefault="007D5795" w:rsidP="007D5795">
      <w:pPr>
        <w:pStyle w:val="SangriaFrancesaArticulo"/>
      </w:pPr>
      <w:r w:rsidRPr="007D5795">
        <w:rPr>
          <w:rStyle w:val="TextoNormalNegritaCaracter"/>
        </w:rPr>
        <w:t>§ 245.</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1F9A9C63" w14:textId="096E4794" w:rsidR="007D5795" w:rsidRDefault="007D5795" w:rsidP="007D5795">
      <w:pPr>
        <w:pStyle w:val="SangriaFrancesaArticulo"/>
      </w:pPr>
    </w:p>
    <w:p w14:paraId="18836708" w14:textId="77777777" w:rsidR="007D5795" w:rsidRDefault="007D5795" w:rsidP="007D5795">
      <w:pPr>
        <w:pStyle w:val="TextoNormalNegritaCursivandice"/>
        <w:keepNext/>
      </w:pPr>
      <w:r>
        <w:t>Sentencia del Tribunal de Justicia de la Unión Europea de 15 de julio de 2021 (Comisión Europea c. Polonia, asunto C-791/19)</w:t>
      </w:r>
    </w:p>
    <w:p w14:paraId="23EE8CB1" w14:textId="63341427" w:rsidR="007D5795" w:rsidRDefault="007D5795" w:rsidP="007D5795">
      <w:pPr>
        <w:pStyle w:val="SangriaFrancesaArticulo"/>
      </w:pPr>
      <w:r w:rsidRPr="007D5795">
        <w:rPr>
          <w:rStyle w:val="TextoNormalNegritaCaracter"/>
        </w:rPr>
        <w:t>§ 103.</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5B6DF3B9" w14:textId="11121F55" w:rsidR="007D5795" w:rsidRDefault="007D5795" w:rsidP="007D5795">
      <w:pPr>
        <w:pStyle w:val="SangriaFrancesaArticulo"/>
      </w:pPr>
      <w:r w:rsidRPr="007D5795">
        <w:rPr>
          <w:rStyle w:val="TextoNormalNegritaCaracter"/>
        </w:rPr>
        <w:t>§ 104.</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010007C6" w14:textId="1AAFB325" w:rsidR="007D5795" w:rsidRDefault="007D5795" w:rsidP="007D5795">
      <w:pPr>
        <w:pStyle w:val="SangriaFrancesaArticulo"/>
      </w:pPr>
      <w:r w:rsidRPr="007D5795">
        <w:rPr>
          <w:rStyle w:val="TextoNormalNegritaCaracter"/>
        </w:rPr>
        <w:t>§ 108.</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2A7F95B1" w14:textId="4BDEAF66" w:rsidR="007D5795" w:rsidRDefault="007D5795" w:rsidP="007D5795">
      <w:pPr>
        <w:pStyle w:val="SangriaFrancesaArticulo"/>
      </w:pPr>
      <w:r w:rsidRPr="007D5795">
        <w:rPr>
          <w:rStyle w:val="TextoNormalNegritaCaracter"/>
        </w:rPr>
        <w:t>§ 110.</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602482C3" w14:textId="73B965B4" w:rsidR="007D5795" w:rsidRDefault="007D5795" w:rsidP="007D5795">
      <w:pPr>
        <w:pStyle w:val="SangriaFrancesaArticulo"/>
      </w:pPr>
    </w:p>
    <w:p w14:paraId="364D7213" w14:textId="77777777" w:rsidR="007D5795" w:rsidRDefault="007D5795" w:rsidP="007D5795">
      <w:pPr>
        <w:pStyle w:val="TextoNormalNegritaCursivandice"/>
        <w:keepNext/>
      </w:pPr>
      <w:r>
        <w:t>Sentencia del Tribunal de Justicia de la Unión Europea de 6 de octubre de 2021 (Consorzio Italian Management y Catania Multiservizi SpA c. Rete Ferroviaria Italiana SpA, asunto C-561/19)</w:t>
      </w:r>
    </w:p>
    <w:p w14:paraId="216184F4" w14:textId="2205B58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1E5C0393" w14:textId="4B01DBFE" w:rsidR="007D5795" w:rsidRDefault="007D5795" w:rsidP="007D5795">
      <w:pPr>
        <w:pStyle w:val="SangriaFrancesaArticulo"/>
      </w:pPr>
    </w:p>
    <w:p w14:paraId="0AE815D8" w14:textId="77777777" w:rsidR="007D5795" w:rsidRDefault="007D5795" w:rsidP="007D5795">
      <w:pPr>
        <w:pStyle w:val="TextoNormalNegritaCursivandice"/>
        <w:keepNext/>
      </w:pPr>
      <w:r>
        <w:t>Sentencia del Tribunal de Justicia de la Unión Europea de 21 de diciembre de 2021 (Euro Box Promotion y otros, asuntos acumulados C-357/19, C-379/19, C-547/19, C-811/19 y C-840/19)</w:t>
      </w:r>
    </w:p>
    <w:p w14:paraId="3F70EC5B" w14:textId="63BCBEF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4" w:history="1">
        <w:r w:rsidRPr="007D5795">
          <w:rPr>
            <w:rStyle w:val="TextoNormalCaracter"/>
          </w:rPr>
          <w:t>94/2024</w:t>
        </w:r>
      </w:hyperlink>
      <w:r>
        <w:t xml:space="preserve">, VP II; </w:t>
      </w:r>
      <w:hyperlink w:anchor="SENTENCIA_2024_95" w:history="1">
        <w:r w:rsidRPr="007D5795">
          <w:rPr>
            <w:rStyle w:val="TextoNormalCaracter"/>
          </w:rPr>
          <w:t>95/2024</w:t>
        </w:r>
      </w:hyperlink>
      <w:r>
        <w:t xml:space="preserve">, VP II, VP III; </w:t>
      </w:r>
      <w:hyperlink w:anchor="SENTENCIA_2024_97" w:history="1">
        <w:r w:rsidRPr="007D5795">
          <w:rPr>
            <w:rStyle w:val="TextoNormalCaracter"/>
          </w:rPr>
          <w:t>97/2024</w:t>
        </w:r>
      </w:hyperlink>
      <w:r>
        <w:t xml:space="preserve">, VP II, VP IV; </w:t>
      </w:r>
      <w:hyperlink w:anchor="SENTENCIA_2024_98" w:history="1">
        <w:r w:rsidRPr="007D5795">
          <w:rPr>
            <w:rStyle w:val="TextoNormalCaracter"/>
          </w:rPr>
          <w:t>98/2024</w:t>
        </w:r>
      </w:hyperlink>
      <w:r>
        <w:t xml:space="preserve">, VP II; </w:t>
      </w:r>
      <w:hyperlink w:anchor="SENTENCIA_2024_99" w:history="1">
        <w:r w:rsidRPr="007D5795">
          <w:rPr>
            <w:rStyle w:val="TextoNormalCaracter"/>
          </w:rPr>
          <w:t>99/2024</w:t>
        </w:r>
      </w:hyperlink>
      <w:r>
        <w:t xml:space="preserve">, VP II; </w:t>
      </w:r>
      <w:hyperlink w:anchor="SENTENCIA_2024_100" w:history="1">
        <w:r w:rsidRPr="007D5795">
          <w:rPr>
            <w:rStyle w:val="TextoNormalCaracter"/>
          </w:rPr>
          <w:t>100/2024</w:t>
        </w:r>
      </w:hyperlink>
      <w:r>
        <w:t xml:space="preserve">, VP II; </w:t>
      </w:r>
      <w:hyperlink w:anchor="SENTENCIA_2024_102" w:history="1">
        <w:r w:rsidRPr="007D5795">
          <w:rPr>
            <w:rStyle w:val="TextoNormalCaracter"/>
          </w:rPr>
          <w:t>102/2024</w:t>
        </w:r>
      </w:hyperlink>
      <w:r>
        <w:t xml:space="preserve">, VP II; </w:t>
      </w:r>
      <w:hyperlink w:anchor="SENTENCIA_2024_103" w:history="1">
        <w:r w:rsidRPr="007D5795">
          <w:rPr>
            <w:rStyle w:val="TextoNormalCaracter"/>
          </w:rPr>
          <w:t>103/2024</w:t>
        </w:r>
      </w:hyperlink>
      <w:r>
        <w:t>, VP II.</w:t>
      </w:r>
    </w:p>
    <w:p w14:paraId="0940DFB8" w14:textId="13E8031D" w:rsidR="007D5795" w:rsidRDefault="007D5795" w:rsidP="007D5795">
      <w:pPr>
        <w:pStyle w:val="SangriaFrancesaArticulo"/>
      </w:pPr>
      <w:r w:rsidRPr="007D5795">
        <w:rPr>
          <w:rStyle w:val="TextoNormalNegritaCaracter"/>
        </w:rPr>
        <w:t>§ 86.</w:t>
      </w:r>
      <w:r w:rsidRPr="007D5795">
        <w:rPr>
          <w:rStyle w:val="TextoNormalCaracter"/>
        </w:rPr>
        <w:t>-</w:t>
      </w:r>
      <w:r>
        <w:t xml:space="preserve"> Sentencia </w:t>
      </w:r>
      <w:hyperlink w:anchor="SENTENCIA_2024_94" w:history="1">
        <w:r w:rsidRPr="007D5795">
          <w:rPr>
            <w:rStyle w:val="TextoNormalCaracter"/>
          </w:rPr>
          <w:t>94/2024</w:t>
        </w:r>
      </w:hyperlink>
      <w:r>
        <w:t>, VP IV.</w:t>
      </w:r>
    </w:p>
    <w:p w14:paraId="2FB0F275" w14:textId="321A86F5" w:rsidR="007D5795" w:rsidRDefault="007D5795" w:rsidP="007D5795">
      <w:pPr>
        <w:pStyle w:val="SangriaFrancesaArticulo"/>
      </w:pPr>
      <w:r w:rsidRPr="007D5795">
        <w:rPr>
          <w:rStyle w:val="TextoNormalNegritaCaracter"/>
        </w:rPr>
        <w:t>§ 91-94.</w:t>
      </w:r>
      <w:r w:rsidRPr="007D5795">
        <w:rPr>
          <w:rStyle w:val="TextoNormalCaracter"/>
        </w:rPr>
        <w:t>-</w:t>
      </w:r>
      <w:r>
        <w:t xml:space="preserve"> Sentencia </w:t>
      </w:r>
      <w:hyperlink w:anchor="SENTENCIA_2024_94" w:history="1">
        <w:r w:rsidRPr="007D5795">
          <w:rPr>
            <w:rStyle w:val="TextoNormalCaracter"/>
          </w:rPr>
          <w:t>94/2024</w:t>
        </w:r>
      </w:hyperlink>
      <w:r>
        <w:t>, VP II.</w:t>
      </w:r>
    </w:p>
    <w:p w14:paraId="726A9F12" w14:textId="07122E29" w:rsidR="007D5795" w:rsidRDefault="007D5795" w:rsidP="007D5795">
      <w:pPr>
        <w:pStyle w:val="SangriaFrancesaArticulo"/>
      </w:pPr>
      <w:r w:rsidRPr="007D5795">
        <w:rPr>
          <w:rStyle w:val="TextoNormalNegritaCaracter"/>
        </w:rPr>
        <w:t>§ 184-187.</w:t>
      </w:r>
      <w:r w:rsidRPr="007D5795">
        <w:rPr>
          <w:rStyle w:val="TextoNormalCaracter"/>
        </w:rPr>
        <w:t>-</w:t>
      </w:r>
      <w:r>
        <w:t xml:space="preserve"> Sentencias </w:t>
      </w:r>
      <w:hyperlink w:anchor="SENTENCIA_2024_94" w:history="1">
        <w:r w:rsidRPr="007D5795">
          <w:rPr>
            <w:rStyle w:val="TextoNormalCaracter"/>
          </w:rPr>
          <w:t>94/2024</w:t>
        </w:r>
      </w:hyperlink>
      <w:r>
        <w:t xml:space="preserve">, VP IV; </w:t>
      </w:r>
      <w:hyperlink w:anchor="SENTENCIA_2024_96" w:history="1">
        <w:r w:rsidRPr="007D5795">
          <w:rPr>
            <w:rStyle w:val="TextoNormalCaracter"/>
          </w:rPr>
          <w:t>96/2024</w:t>
        </w:r>
      </w:hyperlink>
      <w:r>
        <w:t xml:space="preserve">, VP IV; </w:t>
      </w:r>
      <w:hyperlink w:anchor="SENTENCIA_2024_98" w:history="1">
        <w:r w:rsidRPr="007D5795">
          <w:rPr>
            <w:rStyle w:val="TextoNormalCaracter"/>
          </w:rPr>
          <w:t>98/2024</w:t>
        </w:r>
      </w:hyperlink>
      <w:r>
        <w:t xml:space="preserve">, VP III; </w:t>
      </w:r>
      <w:hyperlink w:anchor="SENTENCIA_2024_100" w:history="1">
        <w:r w:rsidRPr="007D5795">
          <w:rPr>
            <w:rStyle w:val="TextoNormalCaracter"/>
          </w:rPr>
          <w:t>100/2024</w:t>
        </w:r>
      </w:hyperlink>
      <w:r>
        <w:t>, VP III.</w:t>
      </w:r>
    </w:p>
    <w:p w14:paraId="541F9CB5" w14:textId="3BCC5C87" w:rsidR="007D5795" w:rsidRDefault="007D5795" w:rsidP="007D5795">
      <w:pPr>
        <w:pStyle w:val="SangriaFrancesaArticulo"/>
      </w:pPr>
      <w:r w:rsidRPr="007D5795">
        <w:rPr>
          <w:rStyle w:val="TextoNormalNegritaCaracter"/>
        </w:rPr>
        <w:t>§ 193-194.</w:t>
      </w:r>
      <w:r w:rsidRPr="007D5795">
        <w:rPr>
          <w:rStyle w:val="TextoNormalCaracter"/>
        </w:rPr>
        <w:t>-</w:t>
      </w:r>
      <w:r>
        <w:t xml:space="preserve"> Sentencias </w:t>
      </w:r>
      <w:hyperlink w:anchor="SENTENCIA_2024_96" w:history="1">
        <w:r w:rsidRPr="007D5795">
          <w:rPr>
            <w:rStyle w:val="TextoNormalCaracter"/>
          </w:rPr>
          <w:t>96/2024</w:t>
        </w:r>
      </w:hyperlink>
      <w:r>
        <w:t xml:space="preserve">, VP IV; </w:t>
      </w:r>
      <w:hyperlink w:anchor="SENTENCIA_2024_98" w:history="1">
        <w:r w:rsidRPr="007D5795">
          <w:rPr>
            <w:rStyle w:val="TextoNormalCaracter"/>
          </w:rPr>
          <w:t>98/2024</w:t>
        </w:r>
      </w:hyperlink>
      <w:r>
        <w:t xml:space="preserve">, VP III; </w:t>
      </w:r>
      <w:hyperlink w:anchor="SENTENCIA_2024_100" w:history="1">
        <w:r w:rsidRPr="007D5795">
          <w:rPr>
            <w:rStyle w:val="TextoNormalCaracter"/>
          </w:rPr>
          <w:t>100/2024</w:t>
        </w:r>
      </w:hyperlink>
      <w:r>
        <w:t>, VP III.</w:t>
      </w:r>
    </w:p>
    <w:p w14:paraId="64643D60" w14:textId="2A81AF4B" w:rsidR="007D5795" w:rsidRDefault="007D5795" w:rsidP="007D5795">
      <w:pPr>
        <w:pStyle w:val="SangriaFrancesaArticulo"/>
      </w:pPr>
      <w:r w:rsidRPr="007D5795">
        <w:rPr>
          <w:rStyle w:val="TextoNormalNegritaCaracter"/>
        </w:rPr>
        <w:t>§ 217.</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5665D174" w14:textId="1B2137BE" w:rsidR="007D5795" w:rsidRDefault="007D5795" w:rsidP="007D5795">
      <w:pPr>
        <w:pStyle w:val="SangriaFrancesaArticulo"/>
      </w:pPr>
    </w:p>
    <w:p w14:paraId="1494940D" w14:textId="77777777" w:rsidR="007D5795" w:rsidRDefault="007D5795" w:rsidP="007D5795">
      <w:pPr>
        <w:pStyle w:val="TextoNormalNegritaCursivandice"/>
        <w:keepNext/>
      </w:pPr>
      <w:r>
        <w:t>Sentencia del Tribunal de Justicia de la Unión Europea de 16 de febrero de 2022 (Hungría c. Parlamento Europeo y Consejo de la Unión Europea, asunto C-156/21)</w:t>
      </w:r>
    </w:p>
    <w:p w14:paraId="2540E4F5" w14:textId="49A4E33B" w:rsidR="007D5795" w:rsidRDefault="007D5795" w:rsidP="007D5795">
      <w:pPr>
        <w:pStyle w:val="SangriaFrancesaArticulo"/>
      </w:pPr>
      <w:r w:rsidRPr="007D5795">
        <w:rPr>
          <w:rStyle w:val="TextoNormalNegritaCaracter"/>
        </w:rPr>
        <w:t>§ 162.</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60FCE373" w14:textId="60AE996D" w:rsidR="007D5795" w:rsidRDefault="007D5795" w:rsidP="007D5795">
      <w:pPr>
        <w:pStyle w:val="SangriaFrancesaArticulo"/>
      </w:pPr>
    </w:p>
    <w:p w14:paraId="1CFD650E" w14:textId="77777777" w:rsidR="007D5795" w:rsidRDefault="007D5795" w:rsidP="007D5795">
      <w:pPr>
        <w:pStyle w:val="TextoNormalNegritaCursivandice"/>
        <w:keepNext/>
      </w:pPr>
      <w:r>
        <w:t>Sentencia del Tribunal de Justicia de la Unión Europea de 16 de febrero de 2022 (Polonia apoyada por Hungría c. Parlamento Europeo y Consejo de la Unión Europea, asunto C-157/21)</w:t>
      </w:r>
    </w:p>
    <w:p w14:paraId="0121FED4" w14:textId="2F510221" w:rsidR="007D5795" w:rsidRDefault="007D5795" w:rsidP="007D5795">
      <w:pPr>
        <w:pStyle w:val="SangriaFrancesaArticulo"/>
      </w:pPr>
      <w:r w:rsidRPr="007D5795">
        <w:rPr>
          <w:rStyle w:val="TextoNormalNegritaCaracter"/>
        </w:rPr>
        <w:t>§ 162.</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542A4528" w14:textId="74ABE2A0" w:rsidR="007D5795" w:rsidRDefault="007D5795" w:rsidP="007D5795">
      <w:pPr>
        <w:pStyle w:val="SangriaFrancesaArticulo"/>
      </w:pPr>
    </w:p>
    <w:p w14:paraId="234933BD" w14:textId="77777777" w:rsidR="007D5795" w:rsidRDefault="007D5795" w:rsidP="007D5795">
      <w:pPr>
        <w:pStyle w:val="TextoNormalNegritaCursivandice"/>
        <w:keepNext/>
      </w:pPr>
      <w:r>
        <w:t>Sentencia del Tribunal de Justicia de la Unión Europea de 22 de febrero de 2022 (R.S., asunto C-430/21)</w:t>
      </w:r>
    </w:p>
    <w:p w14:paraId="4B0BB5B5" w14:textId="1D28BEF5" w:rsidR="007D5795" w:rsidRDefault="007D5795" w:rsidP="007D5795">
      <w:pPr>
        <w:pStyle w:val="SangriaFrancesaArticulo"/>
      </w:pPr>
      <w:r w:rsidRPr="007D5795">
        <w:rPr>
          <w:rStyle w:val="TextoNormalNegritaCaracter"/>
        </w:rPr>
        <w:t>§ 44.</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5CE61EE9" w14:textId="033CB581" w:rsidR="007D5795" w:rsidRDefault="007D5795" w:rsidP="007D5795">
      <w:pPr>
        <w:pStyle w:val="SangriaFrancesaArticulo"/>
      </w:pPr>
    </w:p>
    <w:p w14:paraId="68F8C1B8" w14:textId="77777777" w:rsidR="007D5795" w:rsidRDefault="007D5795" w:rsidP="007D5795">
      <w:pPr>
        <w:pStyle w:val="TextoNormalNegritaCursivandice"/>
        <w:keepNext/>
      </w:pPr>
      <w:r>
        <w:t>Sentencia del Tribunal de Justicia de la Unión Europea de 17 de mayo de 2022 (M.A. c. Ibercaja Banco, S.A., asunto C-600/19)</w:t>
      </w:r>
    </w:p>
    <w:p w14:paraId="4228ADC0" w14:textId="156CAD64" w:rsidR="007D5795" w:rsidRDefault="007D5795" w:rsidP="007D5795">
      <w:pPr>
        <w:pStyle w:val="SangriaFrancesaArticulo"/>
      </w:pPr>
      <w:r w:rsidRPr="007D5795">
        <w:rPr>
          <w:rStyle w:val="TextoNormalNegritaCaracter"/>
        </w:rPr>
        <w:t>En general.</w:t>
      </w:r>
      <w:r w:rsidRPr="007D5795">
        <w:rPr>
          <w:rStyle w:val="TextoNormalCaracter"/>
        </w:rPr>
        <w:t>-</w:t>
      </w:r>
      <w:r>
        <w:t xml:space="preserve"> Auto </w:t>
      </w:r>
      <w:hyperlink w:anchor="AUTO_2024_92" w:history="1">
        <w:r w:rsidRPr="007D5795">
          <w:rPr>
            <w:rStyle w:val="TextoNormalCaracter"/>
          </w:rPr>
          <w:t>92/2024</w:t>
        </w:r>
      </w:hyperlink>
      <w:r>
        <w:t>, f. 2.</w:t>
      </w:r>
    </w:p>
    <w:p w14:paraId="0A34CA0B" w14:textId="2637B508" w:rsidR="007D5795" w:rsidRDefault="007D5795" w:rsidP="007D5795">
      <w:pPr>
        <w:pStyle w:val="SangriaFrancesaArticulo"/>
      </w:pPr>
    </w:p>
    <w:p w14:paraId="2353C5D6" w14:textId="77777777" w:rsidR="007D5795" w:rsidRDefault="007D5795" w:rsidP="007D5795">
      <w:pPr>
        <w:pStyle w:val="TextoNormalNegritaCursivandice"/>
        <w:keepNext/>
      </w:pPr>
      <w:r>
        <w:t>Sentencia del Tribunal de Justicia de la Unión Europea de 28 de junio de 2022 (Comisión Europea c. Reino de España, asunto C-278/20)</w:t>
      </w:r>
    </w:p>
    <w:p w14:paraId="090576F0" w14:textId="2ABD9315" w:rsidR="007D5795" w:rsidRDefault="007D5795" w:rsidP="007D5795">
      <w:pPr>
        <w:pStyle w:val="SangriaFrancesaArticulo"/>
      </w:pPr>
      <w:r w:rsidRPr="007D5795">
        <w:rPr>
          <w:rStyle w:val="TextoNormalNegritaCaracter"/>
        </w:rPr>
        <w:t>§ 33.</w:t>
      </w:r>
      <w:r w:rsidRPr="007D5795">
        <w:rPr>
          <w:rStyle w:val="TextoNormalCaracter"/>
        </w:rPr>
        <w:t>-</w:t>
      </w:r>
      <w:r>
        <w:t xml:space="preserve"> Sentencia </w:t>
      </w:r>
      <w:hyperlink w:anchor="SENTENCIA_2024_146" w:history="1">
        <w:r w:rsidRPr="007D5795">
          <w:rPr>
            <w:rStyle w:val="TextoNormalCaracter"/>
          </w:rPr>
          <w:t>146/2024</w:t>
        </w:r>
      </w:hyperlink>
      <w:r>
        <w:t>, f. 7.</w:t>
      </w:r>
    </w:p>
    <w:p w14:paraId="34064364" w14:textId="6F541DBB" w:rsidR="007D5795" w:rsidRDefault="007D5795" w:rsidP="007D5795">
      <w:pPr>
        <w:pStyle w:val="SangriaFrancesaArticulo"/>
      </w:pPr>
    </w:p>
    <w:p w14:paraId="14B0B97A" w14:textId="77777777" w:rsidR="007D5795" w:rsidRDefault="007D5795" w:rsidP="007D5795">
      <w:pPr>
        <w:pStyle w:val="TextoNormalNegritaCursivandice"/>
        <w:keepNext/>
      </w:pPr>
      <w:r>
        <w:t>Auto del Tribunal de Justicia de la Unión Europea de 7 de noviembre de 2022 (F.X., y otros, asuntos acumulados C-859/19, C-926/19 y C-929/19))</w:t>
      </w:r>
    </w:p>
    <w:p w14:paraId="76A54AB2" w14:textId="7AB3747F"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7" w:history="1">
        <w:r w:rsidRPr="007D5795">
          <w:rPr>
            <w:rStyle w:val="TextoNormalCaracter"/>
          </w:rPr>
          <w:t>97/2024</w:t>
        </w:r>
      </w:hyperlink>
      <w:r>
        <w:t xml:space="preserve">, VP II, VP IV; </w:t>
      </w:r>
      <w:hyperlink w:anchor="SENTENCIA_2024_100" w:history="1">
        <w:r w:rsidRPr="007D5795">
          <w:rPr>
            <w:rStyle w:val="TextoNormalCaracter"/>
          </w:rPr>
          <w:t>100/2024</w:t>
        </w:r>
      </w:hyperlink>
      <w:r>
        <w:t>, VP II.</w:t>
      </w:r>
    </w:p>
    <w:p w14:paraId="65C4A6F3" w14:textId="7CC073B7" w:rsidR="007D5795" w:rsidRDefault="007D5795" w:rsidP="007D5795">
      <w:pPr>
        <w:pStyle w:val="SangriaFrancesaArticulo"/>
      </w:pPr>
      <w:r w:rsidRPr="007D5795">
        <w:rPr>
          <w:rStyle w:val="TextoNormalNegritaCaracter"/>
        </w:rPr>
        <w:t>§ 92.</w:t>
      </w:r>
      <w:r w:rsidRPr="007D5795">
        <w:rPr>
          <w:rStyle w:val="TextoNormalCaracter"/>
        </w:rPr>
        <w:t>-</w:t>
      </w:r>
      <w:r>
        <w:t xml:space="preserve"> Sentencias </w:t>
      </w:r>
      <w:hyperlink w:anchor="SENTENCIA_2024_94" w:history="1">
        <w:r w:rsidRPr="007D5795">
          <w:rPr>
            <w:rStyle w:val="TextoNormalCaracter"/>
          </w:rPr>
          <w:t>94/2024</w:t>
        </w:r>
      </w:hyperlink>
      <w:r>
        <w:t xml:space="preserve">, VP IV; </w:t>
      </w:r>
      <w:hyperlink w:anchor="SENTENCIA_2024_95" w:history="1">
        <w:r w:rsidRPr="007D5795">
          <w:rPr>
            <w:rStyle w:val="TextoNormalCaracter"/>
          </w:rPr>
          <w:t>95/2024</w:t>
        </w:r>
      </w:hyperlink>
      <w:r>
        <w:t xml:space="preserve">, VP III; </w:t>
      </w:r>
      <w:hyperlink w:anchor="SENTENCIA_2024_96" w:history="1">
        <w:r w:rsidRPr="007D5795">
          <w:rPr>
            <w:rStyle w:val="TextoNormalCaracter"/>
          </w:rPr>
          <w:t>96/2024</w:t>
        </w:r>
      </w:hyperlink>
      <w:r>
        <w:t xml:space="preserve">, VP IV; </w:t>
      </w:r>
      <w:hyperlink w:anchor="SENTENCIA_2024_98" w:history="1">
        <w:r w:rsidRPr="007D5795">
          <w:rPr>
            <w:rStyle w:val="TextoNormalCaracter"/>
          </w:rPr>
          <w:t>98/2024</w:t>
        </w:r>
      </w:hyperlink>
      <w:r>
        <w:t xml:space="preserve">, VP III; </w:t>
      </w:r>
      <w:hyperlink w:anchor="SENTENCIA_2024_100" w:history="1">
        <w:r w:rsidRPr="007D5795">
          <w:rPr>
            <w:rStyle w:val="TextoNormalCaracter"/>
          </w:rPr>
          <w:t>100/2024</w:t>
        </w:r>
      </w:hyperlink>
      <w:r>
        <w:t>, VP III.</w:t>
      </w:r>
    </w:p>
    <w:p w14:paraId="29905965" w14:textId="6AF98C7F" w:rsidR="007D5795" w:rsidRDefault="007D5795" w:rsidP="007D5795">
      <w:pPr>
        <w:pStyle w:val="SangriaFrancesaArticulo"/>
      </w:pPr>
      <w:r w:rsidRPr="007D5795">
        <w:rPr>
          <w:rStyle w:val="TextoNormalNegritaCaracter"/>
        </w:rPr>
        <w:t>§ 108.</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4A505B64" w14:textId="07CEF4C2" w:rsidR="007D5795" w:rsidRDefault="007D5795" w:rsidP="007D5795">
      <w:pPr>
        <w:pStyle w:val="SangriaFrancesaArticulo"/>
      </w:pPr>
    </w:p>
    <w:p w14:paraId="77761159" w14:textId="77777777" w:rsidR="007D5795" w:rsidRDefault="007D5795" w:rsidP="007D5795">
      <w:pPr>
        <w:pStyle w:val="TextoNormalNegritaCursivandice"/>
        <w:keepNext/>
      </w:pPr>
      <w:r>
        <w:t>Sentencia del Tribunal de Justicia de la Unión Europea de 5 de junio de 2023 (Comisión Europea c. República de Polonia, asunto C-204/21)</w:t>
      </w:r>
    </w:p>
    <w:p w14:paraId="3EA1CCF5" w14:textId="7CFE5E7E" w:rsidR="007D5795" w:rsidRDefault="007D5795" w:rsidP="007D5795">
      <w:pPr>
        <w:pStyle w:val="SangriaFrancesaArticulo"/>
      </w:pPr>
      <w:r w:rsidRPr="007D5795">
        <w:rPr>
          <w:rStyle w:val="TextoNormalNegritaCaracter"/>
        </w:rPr>
        <w:t>§ 74 a 80.</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7FABDEFA" w14:textId="7F9628A2" w:rsidR="007D5795" w:rsidRDefault="007D5795" w:rsidP="007D5795">
      <w:pPr>
        <w:pStyle w:val="SangriaFrancesaArticulo"/>
      </w:pPr>
    </w:p>
    <w:p w14:paraId="05F240ED" w14:textId="77777777" w:rsidR="007D5795" w:rsidRDefault="007D5795" w:rsidP="007D5795">
      <w:pPr>
        <w:pStyle w:val="TextoNormalNegritaCursivandice"/>
        <w:keepNext/>
      </w:pPr>
      <w:r>
        <w:t>Sentencia del Tribunal de Justicia de la Unión Europea de 8 de junio de 2023 (Prestige and Limousine, C-50/21)</w:t>
      </w:r>
    </w:p>
    <w:p w14:paraId="726A3F5E" w14:textId="1521F06C" w:rsidR="007D5795" w:rsidRDefault="007D5795" w:rsidP="007D5795">
      <w:pPr>
        <w:pStyle w:val="SangriaFrancesaArticulo"/>
      </w:pPr>
      <w:r w:rsidRPr="007D5795">
        <w:rPr>
          <w:rStyle w:val="TextoNormalNegritaCaracter"/>
        </w:rPr>
        <w:t>§ 99.</w:t>
      </w:r>
      <w:r w:rsidRPr="007D5795">
        <w:rPr>
          <w:rStyle w:val="TextoNormalCaracter"/>
        </w:rPr>
        <w:t>-</w:t>
      </w:r>
      <w:r>
        <w:t xml:space="preserve"> Sentencia </w:t>
      </w:r>
      <w:hyperlink w:anchor="SENTENCIA_2024_112" w:history="1">
        <w:r w:rsidRPr="007D5795">
          <w:rPr>
            <w:rStyle w:val="TextoNormalCaracter"/>
          </w:rPr>
          <w:t>112/2024</w:t>
        </w:r>
      </w:hyperlink>
      <w:r>
        <w:t>, f. 5.</w:t>
      </w:r>
    </w:p>
    <w:p w14:paraId="697B861B" w14:textId="42D4A27C" w:rsidR="007D5795" w:rsidRDefault="007D5795" w:rsidP="007D5795">
      <w:pPr>
        <w:pStyle w:val="SangriaFrancesaArticulo"/>
      </w:pPr>
    </w:p>
    <w:p w14:paraId="46D1C0AA" w14:textId="77777777" w:rsidR="007D5795" w:rsidRDefault="007D5795" w:rsidP="007D5795">
      <w:pPr>
        <w:pStyle w:val="TextoNormalNegritaCursivandice"/>
        <w:keepNext/>
      </w:pPr>
      <w:r>
        <w:t>Sentencia del Tribunal de Justicia de la Unión Europea de 13 de julio de 2023 (Y.P. y otros y M.M., asuntos acumulados C-615/20 y C-671/20)</w:t>
      </w:r>
    </w:p>
    <w:p w14:paraId="29C13EF4" w14:textId="1E8548DF" w:rsidR="007D5795" w:rsidRDefault="007D5795" w:rsidP="007D5795">
      <w:pPr>
        <w:pStyle w:val="SangriaFrancesaArticulo"/>
      </w:pPr>
      <w:r w:rsidRPr="007D5795">
        <w:rPr>
          <w:rStyle w:val="TextoNormalNegritaCaracter"/>
        </w:rPr>
        <w:t>§ 40.</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5C92949C" w14:textId="7E5BFB36" w:rsidR="007D5795" w:rsidRDefault="007D5795" w:rsidP="007D5795">
      <w:pPr>
        <w:pStyle w:val="SangriaFrancesaArticulo"/>
      </w:pPr>
    </w:p>
    <w:p w14:paraId="29155D26" w14:textId="77777777" w:rsidR="007D5795" w:rsidRDefault="007D5795" w:rsidP="007D5795">
      <w:pPr>
        <w:pStyle w:val="TextoNormalNegritaCursivandice"/>
        <w:keepNext/>
      </w:pPr>
      <w:r>
        <w:t>Sentencia del Tribunal de Justicia de la Unión Europea de 24 de julio de 2023 (Lin, asunto C-107/23)</w:t>
      </w:r>
    </w:p>
    <w:p w14:paraId="2CF16FFC" w14:textId="5C797E5C" w:rsidR="007D5795" w:rsidRDefault="007D5795" w:rsidP="007D5795">
      <w:pPr>
        <w:pStyle w:val="SangriaFrancesaArticulo"/>
      </w:pPr>
      <w:r w:rsidRPr="007D5795">
        <w:rPr>
          <w:rStyle w:val="TextoNormalNegritaCaracter"/>
        </w:rPr>
        <w:t>§ 83.</w:t>
      </w:r>
      <w:r w:rsidRPr="007D5795">
        <w:rPr>
          <w:rStyle w:val="TextoNormalCaracter"/>
        </w:rPr>
        <w:t>-</w:t>
      </w:r>
      <w:r>
        <w:t xml:space="preserve"> Sentencia </w:t>
      </w:r>
      <w:hyperlink w:anchor="SENTENCIA_2024_95" w:history="1">
        <w:r w:rsidRPr="007D5795">
          <w:rPr>
            <w:rStyle w:val="TextoNormalCaracter"/>
          </w:rPr>
          <w:t>95/2024</w:t>
        </w:r>
      </w:hyperlink>
      <w:r>
        <w:t>, VP III.</w:t>
      </w:r>
    </w:p>
    <w:p w14:paraId="5E5BF642" w14:textId="69FCADE8" w:rsidR="007D5795" w:rsidRDefault="007D5795" w:rsidP="007D5795">
      <w:pPr>
        <w:pStyle w:val="SangriaFrancesaArticulo"/>
      </w:pPr>
      <w:r w:rsidRPr="007D5795">
        <w:rPr>
          <w:rStyle w:val="TextoNormalNegritaCaracter"/>
        </w:rPr>
        <w:t>§ 83-84, 86 y 91-94.</w:t>
      </w:r>
      <w:r w:rsidRPr="007D5795">
        <w:rPr>
          <w:rStyle w:val="TextoNormalCaracter"/>
        </w:rPr>
        <w:t>-</w:t>
      </w:r>
      <w:r>
        <w:t xml:space="preserve"> Sentencias </w:t>
      </w:r>
      <w:hyperlink w:anchor="SENTENCIA_2024_96" w:history="1">
        <w:r w:rsidRPr="007D5795">
          <w:rPr>
            <w:rStyle w:val="TextoNormalCaracter"/>
          </w:rPr>
          <w:t>96/2024</w:t>
        </w:r>
      </w:hyperlink>
      <w:r>
        <w:t xml:space="preserve">, VP IV; </w:t>
      </w:r>
      <w:hyperlink w:anchor="SENTENCIA_2024_98" w:history="1">
        <w:r w:rsidRPr="007D5795">
          <w:rPr>
            <w:rStyle w:val="TextoNormalCaracter"/>
          </w:rPr>
          <w:t>98/2024</w:t>
        </w:r>
      </w:hyperlink>
      <w:r>
        <w:t xml:space="preserve">, VP III; </w:t>
      </w:r>
      <w:hyperlink w:anchor="SENTENCIA_2024_100" w:history="1">
        <w:r w:rsidRPr="007D5795">
          <w:rPr>
            <w:rStyle w:val="TextoNormalCaracter"/>
          </w:rPr>
          <w:t>100/2024</w:t>
        </w:r>
      </w:hyperlink>
      <w:r>
        <w:t>, VP III.</w:t>
      </w:r>
    </w:p>
    <w:p w14:paraId="6FA1220B" w14:textId="32C797B5" w:rsidR="007D5795" w:rsidRDefault="007D5795" w:rsidP="007D5795">
      <w:pPr>
        <w:pStyle w:val="SangriaFrancesaArticulo"/>
      </w:pPr>
      <w:r w:rsidRPr="007D5795">
        <w:rPr>
          <w:rStyle w:val="TextoNormalNegritaCaracter"/>
        </w:rPr>
        <w:t>§ 84.</w:t>
      </w:r>
      <w:r w:rsidRPr="007D5795">
        <w:rPr>
          <w:rStyle w:val="TextoNormalCaracter"/>
        </w:rPr>
        <w:t>-</w:t>
      </w:r>
      <w:r>
        <w:t xml:space="preserve"> Sentencia </w:t>
      </w:r>
      <w:hyperlink w:anchor="SENTENCIA_2024_95" w:history="1">
        <w:r w:rsidRPr="007D5795">
          <w:rPr>
            <w:rStyle w:val="TextoNormalCaracter"/>
          </w:rPr>
          <w:t>95/2024</w:t>
        </w:r>
      </w:hyperlink>
      <w:r>
        <w:t>, VP III.</w:t>
      </w:r>
    </w:p>
    <w:p w14:paraId="17DBAAAF" w14:textId="722026F7" w:rsidR="007D5795" w:rsidRDefault="007D5795" w:rsidP="007D5795">
      <w:pPr>
        <w:pStyle w:val="SangriaFrancesaArticulo"/>
      </w:pPr>
      <w:r w:rsidRPr="007D5795">
        <w:rPr>
          <w:rStyle w:val="TextoNormalNegritaCaracter"/>
        </w:rPr>
        <w:t>§ 86.</w:t>
      </w:r>
      <w:r w:rsidRPr="007D5795">
        <w:rPr>
          <w:rStyle w:val="TextoNormalCaracter"/>
        </w:rPr>
        <w:t>-</w:t>
      </w:r>
      <w:r>
        <w:t xml:space="preserve"> Sentencia </w:t>
      </w:r>
      <w:hyperlink w:anchor="SENTENCIA_2024_95" w:history="1">
        <w:r w:rsidRPr="007D5795">
          <w:rPr>
            <w:rStyle w:val="TextoNormalCaracter"/>
          </w:rPr>
          <w:t>95/2024</w:t>
        </w:r>
      </w:hyperlink>
      <w:r>
        <w:t>, VP III.</w:t>
      </w:r>
    </w:p>
    <w:p w14:paraId="4E019930" w14:textId="07766718" w:rsidR="007D5795" w:rsidRDefault="007D5795" w:rsidP="007D5795">
      <w:pPr>
        <w:pStyle w:val="SangriaFrancesaArticulo"/>
      </w:pPr>
      <w:r w:rsidRPr="007D5795">
        <w:rPr>
          <w:rStyle w:val="TextoNormalNegritaCaracter"/>
        </w:rPr>
        <w:t>§ 91-94.</w:t>
      </w:r>
      <w:r w:rsidRPr="007D5795">
        <w:rPr>
          <w:rStyle w:val="TextoNormalCaracter"/>
        </w:rPr>
        <w:t>-</w:t>
      </w:r>
      <w:r>
        <w:t xml:space="preserve"> Sentencia </w:t>
      </w:r>
      <w:hyperlink w:anchor="SENTENCIA_2024_95" w:history="1">
        <w:r w:rsidRPr="007D5795">
          <w:rPr>
            <w:rStyle w:val="TextoNormalCaracter"/>
          </w:rPr>
          <w:t>95/2024</w:t>
        </w:r>
      </w:hyperlink>
      <w:r>
        <w:t>, VP III.</w:t>
      </w:r>
    </w:p>
    <w:p w14:paraId="63B0CF81" w14:textId="27DDC2E0" w:rsidR="007D5795" w:rsidRDefault="007D5795" w:rsidP="007D5795">
      <w:pPr>
        <w:pStyle w:val="SangriaFrancesaArticulo"/>
      </w:pPr>
      <w:r w:rsidRPr="007D5795">
        <w:rPr>
          <w:rStyle w:val="TextoNormalNegritaCaracter"/>
        </w:rPr>
        <w:t>§ 128.</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21EB39F8" w14:textId="644A1001" w:rsidR="007D5795" w:rsidRDefault="007D5795" w:rsidP="007D5795">
      <w:pPr>
        <w:pStyle w:val="SangriaFrancesaArticulo"/>
      </w:pPr>
      <w:r w:rsidRPr="007D5795">
        <w:rPr>
          <w:rStyle w:val="TextoNormalNegritaCaracter"/>
        </w:rPr>
        <w:t>§ 129.</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2D48C914" w14:textId="1ADBB033" w:rsidR="007D5795" w:rsidRDefault="007D5795" w:rsidP="007D5795">
      <w:pPr>
        <w:pStyle w:val="SangriaFrancesaArticulo"/>
      </w:pPr>
      <w:r w:rsidRPr="007D5795">
        <w:rPr>
          <w:rStyle w:val="TextoNormalNegritaCaracter"/>
        </w:rPr>
        <w:t>§ 133.</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387B6B2E" w14:textId="4041F7D8" w:rsidR="007D5795" w:rsidRDefault="007D5795" w:rsidP="007D5795">
      <w:pPr>
        <w:pStyle w:val="SangriaFrancesaArticulo"/>
      </w:pPr>
      <w:r w:rsidRPr="007D5795">
        <w:rPr>
          <w:rStyle w:val="TextoNormalNegritaCaracter"/>
        </w:rPr>
        <w:t>§ 134.</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1257CD37" w14:textId="4D6861C4" w:rsidR="007D5795" w:rsidRDefault="007D5795" w:rsidP="007D5795">
      <w:pPr>
        <w:pStyle w:val="SangriaFrancesaArticulo"/>
      </w:pPr>
    </w:p>
    <w:p w14:paraId="3DA62DD3" w14:textId="77777777" w:rsidR="007D5795" w:rsidRDefault="007D5795" w:rsidP="007D5795">
      <w:pPr>
        <w:pStyle w:val="TextoNormalNegritaCursivandice"/>
        <w:keepNext/>
      </w:pPr>
      <w:r>
        <w:t>Sentencia del Tribunal de Justicia de la Unión Europea de 7 de septiembre de 2023 (Asociatia "Forumul Judecatorilor din România" e Y.N., c. Consiliul Superior al Magistraturii, asunto C-216/21)</w:t>
      </w:r>
    </w:p>
    <w:p w14:paraId="4E6D65E1" w14:textId="03916621" w:rsidR="007D5795" w:rsidRDefault="007D5795" w:rsidP="007D5795">
      <w:pPr>
        <w:pStyle w:val="SangriaFrancesaArticulo"/>
      </w:pPr>
      <w:r w:rsidRPr="007D5795">
        <w:rPr>
          <w:rStyle w:val="TextoNormalNegritaCaracter"/>
        </w:rPr>
        <w:t>§ 43 a 45.</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2F52F414" w14:textId="4C78FC4B" w:rsidR="007D5795" w:rsidRDefault="007D5795" w:rsidP="007D5795">
      <w:pPr>
        <w:pStyle w:val="SangriaFrancesaArticulo"/>
      </w:pPr>
      <w:r w:rsidRPr="007D5795">
        <w:rPr>
          <w:rStyle w:val="TextoNormalNegritaCaracter"/>
        </w:rPr>
        <w:t>§ 63.</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4CAB02DA" w14:textId="57994E05" w:rsidR="007D5795" w:rsidRDefault="007D5795" w:rsidP="007D5795">
      <w:pPr>
        <w:pStyle w:val="SangriaFrancesaArticulo"/>
      </w:pPr>
    </w:p>
    <w:p w14:paraId="4F052EB9" w14:textId="77777777" w:rsidR="007D5795" w:rsidRDefault="007D5795" w:rsidP="007D5795">
      <w:pPr>
        <w:pStyle w:val="TextoNormalNegritaCursivandice"/>
        <w:keepNext/>
      </w:pPr>
      <w:r>
        <w:t>Sentencia del Tribunal de Justicia de la Unión Europea de 16 de mayo de 2024 (CCC c. INSS, asunto C-673/22)</w:t>
      </w:r>
    </w:p>
    <w:p w14:paraId="554E3B15" w14:textId="4273D421" w:rsidR="007D5795" w:rsidRDefault="007D5795" w:rsidP="007D5795">
      <w:pPr>
        <w:pStyle w:val="SangriaFrancesaArticulo"/>
      </w:pPr>
      <w:r w:rsidRPr="007D5795">
        <w:rPr>
          <w:rStyle w:val="TextoNormalNegritaCaracter"/>
        </w:rPr>
        <w:t>§ 29.</w:t>
      </w:r>
      <w:r w:rsidRPr="007D5795">
        <w:rPr>
          <w:rStyle w:val="TextoNormalCaracter"/>
        </w:rPr>
        <w:t>-</w:t>
      </w:r>
      <w:r>
        <w:t xml:space="preserve"> Sentencia </w:t>
      </w:r>
      <w:hyperlink w:anchor="SENTENCIA_2024_140" w:history="1">
        <w:r w:rsidRPr="007D5795">
          <w:rPr>
            <w:rStyle w:val="TextoNormalCaracter"/>
          </w:rPr>
          <w:t>140/2024</w:t>
        </w:r>
      </w:hyperlink>
      <w:r>
        <w:t>, f. 4.</w:t>
      </w:r>
    </w:p>
    <w:p w14:paraId="2FA7D765" w14:textId="54FEFD74" w:rsidR="007D5795" w:rsidRDefault="007D5795" w:rsidP="007D5795">
      <w:pPr>
        <w:pStyle w:val="SangriaFrancesaArticulo"/>
      </w:pPr>
    </w:p>
    <w:p w14:paraId="60AD8DCE" w14:textId="77777777" w:rsidR="007D5795" w:rsidRDefault="007D5795" w:rsidP="007D5795">
      <w:pPr>
        <w:pStyle w:val="TextoNormalNegritaCursivandice"/>
        <w:keepNext/>
      </w:pPr>
      <w:r>
        <w:t>Sentencia del Tribunal de Justicia de la Unión Europea de 15 de octubre de 2024 (Kubera, asunto C-144/23)</w:t>
      </w:r>
    </w:p>
    <w:p w14:paraId="2E604AFC" w14:textId="01E900F1" w:rsidR="007D5795" w:rsidRDefault="007D5795" w:rsidP="007D5795">
      <w:pPr>
        <w:pStyle w:val="SangriaFrancesaArticulo"/>
      </w:pPr>
      <w:r w:rsidRPr="007D5795">
        <w:rPr>
          <w:rStyle w:val="TextoNormalNegritaCaracter"/>
        </w:rPr>
        <w:t>§ 52.</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6B27485A" w14:textId="6E54BD3A" w:rsidR="007D5795" w:rsidRDefault="007D5795" w:rsidP="007D5795">
      <w:pPr>
        <w:pStyle w:val="SangriaFrancesaArticulo"/>
      </w:pPr>
      <w:r w:rsidRPr="007D5795">
        <w:rPr>
          <w:rStyle w:val="TextoNormalNegritaCaracter"/>
        </w:rPr>
        <w:t>§ 64.</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2B3E9DA7" w14:textId="053BC9AA" w:rsidR="007D5795" w:rsidRDefault="007D5795" w:rsidP="007D5795">
      <w:pPr>
        <w:pStyle w:val="SangriaFrancesaArticulo"/>
      </w:pPr>
      <w:r w:rsidRPr="007D5795">
        <w:rPr>
          <w:rStyle w:val="TextoNormalNegritaCaracter"/>
        </w:rPr>
        <w:t>§ 65.</w:t>
      </w:r>
      <w:r w:rsidRPr="007D5795">
        <w:rPr>
          <w:rStyle w:val="TextoNormalCaracter"/>
        </w:rPr>
        <w:t>-</w:t>
      </w:r>
      <w:r>
        <w:t xml:space="preserve"> Sentencia </w:t>
      </w:r>
      <w:hyperlink w:anchor="SENTENCIA_2024_139" w:history="1">
        <w:r w:rsidRPr="007D5795">
          <w:rPr>
            <w:rStyle w:val="TextoNormalCaracter"/>
          </w:rPr>
          <w:t>139/2024</w:t>
        </w:r>
      </w:hyperlink>
      <w:r>
        <w:t>, VP II.</w:t>
      </w:r>
    </w:p>
    <w:p w14:paraId="5A08A6F0" w14:textId="18F933A2" w:rsidR="007D5795" w:rsidRDefault="007D5795" w:rsidP="007D5795">
      <w:pPr>
        <w:pStyle w:val="TextoNormal"/>
      </w:pPr>
    </w:p>
    <w:p w14:paraId="566896F4" w14:textId="77777777" w:rsidR="007D5795" w:rsidRDefault="007D5795" w:rsidP="007D5795">
      <w:pPr>
        <w:pStyle w:val="SangriaFrancesaArticulo"/>
      </w:pPr>
      <w:bookmarkStart w:id="186" w:name="INDICE22925"/>
    </w:p>
    <w:bookmarkEnd w:id="186"/>
    <w:p w14:paraId="5942E4DA" w14:textId="77777777" w:rsidR="007D5795" w:rsidRDefault="007D5795" w:rsidP="007D5795">
      <w:pPr>
        <w:pStyle w:val="TextoIndiceNivel2"/>
        <w:suppressAutoHyphens/>
      </w:pPr>
      <w:r>
        <w:t>C) Tribunal Supremo</w:t>
      </w:r>
    </w:p>
    <w:p w14:paraId="0BC6EFE3" w14:textId="69ED8CE4" w:rsidR="007D5795" w:rsidRDefault="007D5795" w:rsidP="007D5795">
      <w:pPr>
        <w:pStyle w:val="TextoIndiceNivel2"/>
      </w:pPr>
    </w:p>
    <w:p w14:paraId="5C0A50C3" w14:textId="77777777" w:rsidR="007D5795" w:rsidRDefault="007D5795" w:rsidP="007D5795">
      <w:pPr>
        <w:pStyle w:val="TextoNormalNegritaCursivandice"/>
        <w:keepNext/>
      </w:pPr>
      <w:r>
        <w:t>Sentencia 445/1992, de 2 de marzo de 1992, de la Sala de lo Civil del Tribunal Supremo (ECLI:ES:TS:1992:3666)</w:t>
      </w:r>
    </w:p>
    <w:p w14:paraId="796EE6CD" w14:textId="4044C74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5" w:history="1">
        <w:r w:rsidRPr="007D5795">
          <w:rPr>
            <w:rStyle w:val="TextoNormalCaracter"/>
          </w:rPr>
          <w:t>95/2024</w:t>
        </w:r>
      </w:hyperlink>
      <w:r>
        <w:t>, f. 3.</w:t>
      </w:r>
    </w:p>
    <w:p w14:paraId="4AEACBDF" w14:textId="2C9C0B6C" w:rsidR="007D5795" w:rsidRDefault="007D5795" w:rsidP="007D5795">
      <w:pPr>
        <w:pStyle w:val="SangriaFrancesaArticulo"/>
      </w:pPr>
    </w:p>
    <w:p w14:paraId="7D0AB586" w14:textId="77777777" w:rsidR="007D5795" w:rsidRDefault="007D5795" w:rsidP="007D5795">
      <w:pPr>
        <w:pStyle w:val="TextoNormalNegritaCursivandice"/>
        <w:keepNext/>
      </w:pPr>
      <w:r>
        <w:t>Sentencia 2/1998, de 29 de julio de 2008, de la Sala de lo Penal del Tribunal Supremo (ECLI:ES:TS:1998:8421)</w:t>
      </w:r>
    </w:p>
    <w:p w14:paraId="4D275645" w14:textId="3B2F8D3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5" w:history="1">
        <w:r w:rsidRPr="007D5795">
          <w:rPr>
            <w:rStyle w:val="TextoNormalCaracter"/>
          </w:rPr>
          <w:t>95/2024</w:t>
        </w:r>
      </w:hyperlink>
      <w:r>
        <w:t>, f. 3.</w:t>
      </w:r>
    </w:p>
    <w:p w14:paraId="7C62913B" w14:textId="6C6A82C3" w:rsidR="007D5795" w:rsidRDefault="007D5795" w:rsidP="007D5795">
      <w:pPr>
        <w:pStyle w:val="SangriaFrancesaArticulo"/>
      </w:pPr>
    </w:p>
    <w:p w14:paraId="1AE1D41C" w14:textId="77777777" w:rsidR="007D5795" w:rsidRDefault="007D5795" w:rsidP="007D5795">
      <w:pPr>
        <w:pStyle w:val="TextoNormalNegritaCursivandice"/>
        <w:keepNext/>
      </w:pPr>
      <w:r>
        <w:t>Sentencia 941/2009, de 29 de septiembre de 2009, de la Sala de lo Penal del Tribunal Supremo (ECLI:ES:TS:2009:5849)</w:t>
      </w:r>
    </w:p>
    <w:p w14:paraId="242C7F2A" w14:textId="51DEBF83"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9" w:history="1">
        <w:r w:rsidRPr="007D5795">
          <w:rPr>
            <w:rStyle w:val="TextoNormalCaracter"/>
          </w:rPr>
          <w:t>99/2024</w:t>
        </w:r>
      </w:hyperlink>
      <w:r>
        <w:t>, VP III.</w:t>
      </w:r>
    </w:p>
    <w:p w14:paraId="5DAD015F" w14:textId="649BF96B" w:rsidR="007D5795" w:rsidRDefault="007D5795" w:rsidP="007D5795">
      <w:pPr>
        <w:pStyle w:val="SangriaFrancesaArticulo"/>
      </w:pPr>
      <w:r>
        <w:t xml:space="preserve">Sentencia </w:t>
      </w:r>
      <w:hyperlink w:anchor="SENTENCIA_2024_100" w:history="1">
        <w:r w:rsidRPr="007D5795">
          <w:rPr>
            <w:rStyle w:val="TextoNormalCaracter"/>
          </w:rPr>
          <w:t>100/2024</w:t>
        </w:r>
      </w:hyperlink>
      <w:r>
        <w:t>, VP III.</w:t>
      </w:r>
    </w:p>
    <w:p w14:paraId="0699B68A" w14:textId="51FC78A4" w:rsidR="007D5795" w:rsidRDefault="007D5795" w:rsidP="007D5795">
      <w:pPr>
        <w:pStyle w:val="SangriaFrancesaArticulo"/>
      </w:pPr>
    </w:p>
    <w:p w14:paraId="72E6EFD3" w14:textId="77777777" w:rsidR="007D5795" w:rsidRDefault="007D5795" w:rsidP="007D5795">
      <w:pPr>
        <w:pStyle w:val="TextoNormalNegritaCursivandice"/>
        <w:keepNext/>
      </w:pPr>
      <w:r>
        <w:t>Sentencia de 6 de noviembre de 2009, de la Sala de lo Contencioso-Administrativo del Tribunal Supremo (ECLI:ES:TS:2009:8364)</w:t>
      </w:r>
    </w:p>
    <w:p w14:paraId="5441209A" w14:textId="5056409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2" w:history="1">
        <w:r w:rsidRPr="007D5795">
          <w:rPr>
            <w:rStyle w:val="TextoNormalCaracter"/>
          </w:rPr>
          <w:t>102/2024</w:t>
        </w:r>
      </w:hyperlink>
      <w:r>
        <w:t>, f. 3.</w:t>
      </w:r>
    </w:p>
    <w:p w14:paraId="6B9FD40A" w14:textId="250CDF2B" w:rsidR="007D5795" w:rsidRDefault="007D5795" w:rsidP="007D5795">
      <w:pPr>
        <w:pStyle w:val="SangriaFrancesaArticulo"/>
      </w:pPr>
      <w:r>
        <w:t xml:space="preserve">Sentencia </w:t>
      </w:r>
      <w:hyperlink w:anchor="SENTENCIA_2024_96" w:history="1">
        <w:r w:rsidRPr="007D5795">
          <w:rPr>
            <w:rStyle w:val="TextoNormalCaracter"/>
          </w:rPr>
          <w:t>96/2024</w:t>
        </w:r>
      </w:hyperlink>
      <w:r>
        <w:t>, f. 3.</w:t>
      </w:r>
    </w:p>
    <w:p w14:paraId="1B80A808" w14:textId="31BAF042" w:rsidR="007D5795" w:rsidRDefault="007D5795" w:rsidP="007D5795">
      <w:pPr>
        <w:pStyle w:val="SangriaFrancesaArticulo"/>
      </w:pPr>
    </w:p>
    <w:p w14:paraId="3E85711F" w14:textId="77777777" w:rsidR="007D5795" w:rsidRDefault="007D5795" w:rsidP="007D5795">
      <w:pPr>
        <w:pStyle w:val="TextoNormalNegritaCursivandice"/>
        <w:keepNext/>
      </w:pPr>
      <w:r>
        <w:t>Sentencia 21/2010, de 26 de enero de 2010, de la Sala de lo Penal del Tribunal Supremo (ECLI:ES:TS:2010:501)</w:t>
      </w:r>
    </w:p>
    <w:p w14:paraId="2B4DED6B" w14:textId="69DDDE4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33" w:history="1">
        <w:r w:rsidRPr="007D5795">
          <w:rPr>
            <w:rStyle w:val="TextoNormalCaracter"/>
          </w:rPr>
          <w:t>133/2024</w:t>
        </w:r>
      </w:hyperlink>
      <w:r>
        <w:t xml:space="preserve">, f. 4; </w:t>
      </w:r>
      <w:hyperlink w:anchor="SENTENCIA_2024_134" w:history="1">
        <w:r w:rsidRPr="007D5795">
          <w:rPr>
            <w:rStyle w:val="TextoNormalCaracter"/>
          </w:rPr>
          <w:t>134/2024</w:t>
        </w:r>
      </w:hyperlink>
      <w:r>
        <w:t>, f. 4.</w:t>
      </w:r>
    </w:p>
    <w:p w14:paraId="71FD242F" w14:textId="176225B9" w:rsidR="007D5795" w:rsidRDefault="007D5795" w:rsidP="007D5795">
      <w:pPr>
        <w:pStyle w:val="SangriaFrancesaArticulo"/>
      </w:pPr>
    </w:p>
    <w:p w14:paraId="1CD9BA04" w14:textId="77777777" w:rsidR="007D5795" w:rsidRDefault="007D5795" w:rsidP="007D5795">
      <w:pPr>
        <w:pStyle w:val="TextoNormalNegritaCursivandice"/>
        <w:keepNext/>
      </w:pPr>
      <w:r>
        <w:t>Sentencia 520/2012, de 19 de junio de 2012, de la Sala de lo Penal del Tribunal Supremo (ECLI:ES:TS:2012:4737)</w:t>
      </w:r>
    </w:p>
    <w:p w14:paraId="23E9C3E4" w14:textId="46977E5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33" w:history="1">
        <w:r w:rsidRPr="007D5795">
          <w:rPr>
            <w:rStyle w:val="TextoNormalCaracter"/>
          </w:rPr>
          <w:t>133/2024</w:t>
        </w:r>
      </w:hyperlink>
      <w:r>
        <w:t xml:space="preserve">, f. 4; </w:t>
      </w:r>
      <w:hyperlink w:anchor="SENTENCIA_2024_134" w:history="1">
        <w:r w:rsidRPr="007D5795">
          <w:rPr>
            <w:rStyle w:val="TextoNormalCaracter"/>
          </w:rPr>
          <w:t>134/2024</w:t>
        </w:r>
      </w:hyperlink>
      <w:r>
        <w:t>, f. 4.</w:t>
      </w:r>
    </w:p>
    <w:p w14:paraId="16FBFAD2" w14:textId="5BD20A80" w:rsidR="007D5795" w:rsidRDefault="007D5795" w:rsidP="007D5795">
      <w:pPr>
        <w:pStyle w:val="SangriaFrancesaArticulo"/>
      </w:pPr>
    </w:p>
    <w:p w14:paraId="2C15DBAA" w14:textId="77777777" w:rsidR="007D5795" w:rsidRDefault="007D5795" w:rsidP="007D5795">
      <w:pPr>
        <w:pStyle w:val="TextoNormalNegritaCursivandice"/>
        <w:keepNext/>
      </w:pPr>
      <w:r>
        <w:t>Sentencia 827/2012, de 24 de octubre de 2012, de la Sala de lo Penal del Tribunal Supremo (ECLI:ES:TS:2012:7363)</w:t>
      </w:r>
    </w:p>
    <w:p w14:paraId="2F49DC3D" w14:textId="44C2972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5" w:history="1">
        <w:r w:rsidRPr="007D5795">
          <w:rPr>
            <w:rStyle w:val="TextoNormalCaracter"/>
          </w:rPr>
          <w:t>95/2024</w:t>
        </w:r>
      </w:hyperlink>
      <w:r>
        <w:t>, f. 3.</w:t>
      </w:r>
    </w:p>
    <w:p w14:paraId="488E0F0E" w14:textId="0CE4597E" w:rsidR="007D5795" w:rsidRDefault="007D5795" w:rsidP="007D5795">
      <w:pPr>
        <w:pStyle w:val="SangriaFrancesaArticulo"/>
      </w:pPr>
    </w:p>
    <w:p w14:paraId="1BC2929B" w14:textId="77777777" w:rsidR="007D5795" w:rsidRDefault="007D5795" w:rsidP="007D5795">
      <w:pPr>
        <w:pStyle w:val="TextoNormalNegritaCursivandice"/>
        <w:keepNext/>
      </w:pPr>
      <w:r>
        <w:t>Sentencia 862/2012, de 31 de octubre de 2012, de la Sala de lo Penal del Tribunal Supremo (ECLI:ES:TS:2012:7354)</w:t>
      </w:r>
    </w:p>
    <w:p w14:paraId="27F6B472" w14:textId="40396C8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33" w:history="1">
        <w:r w:rsidRPr="007D5795">
          <w:rPr>
            <w:rStyle w:val="TextoNormalCaracter"/>
          </w:rPr>
          <w:t>133/2024</w:t>
        </w:r>
      </w:hyperlink>
      <w:r>
        <w:t xml:space="preserve">, f. 4; </w:t>
      </w:r>
      <w:hyperlink w:anchor="SENTENCIA_2024_134" w:history="1">
        <w:r w:rsidRPr="007D5795">
          <w:rPr>
            <w:rStyle w:val="TextoNormalCaracter"/>
          </w:rPr>
          <w:t>134/2024</w:t>
        </w:r>
      </w:hyperlink>
      <w:r>
        <w:t>, f. 4.</w:t>
      </w:r>
    </w:p>
    <w:p w14:paraId="2B9E6F93" w14:textId="782B15F8" w:rsidR="007D5795" w:rsidRDefault="007D5795" w:rsidP="007D5795">
      <w:pPr>
        <w:pStyle w:val="SangriaFrancesaArticulo"/>
      </w:pPr>
    </w:p>
    <w:p w14:paraId="6C69F94E" w14:textId="77777777" w:rsidR="007D5795" w:rsidRDefault="007D5795" w:rsidP="007D5795">
      <w:pPr>
        <w:pStyle w:val="TextoNormalNegritaCursivandice"/>
        <w:keepNext/>
      </w:pPr>
      <w:r>
        <w:t>Sentencia 1051/2013, de 26 de septiembre de 2013, de la Sala de lo Penal del Tribunal Supremo (ECLI:ES:TS:2013:5074)</w:t>
      </w:r>
    </w:p>
    <w:p w14:paraId="064FE4FD" w14:textId="357D945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9" w:history="1">
        <w:r w:rsidRPr="007D5795">
          <w:rPr>
            <w:rStyle w:val="TextoNormalCaracter"/>
          </w:rPr>
          <w:t>99/2024</w:t>
        </w:r>
      </w:hyperlink>
      <w:r>
        <w:t>, VP III.</w:t>
      </w:r>
    </w:p>
    <w:p w14:paraId="3DD04D13" w14:textId="7B299BEE" w:rsidR="007D5795" w:rsidRDefault="007D5795" w:rsidP="007D5795">
      <w:pPr>
        <w:pStyle w:val="SangriaFrancesaArticulo"/>
      </w:pPr>
    </w:p>
    <w:p w14:paraId="1BFF5C90" w14:textId="77777777" w:rsidR="007D5795" w:rsidRDefault="007D5795" w:rsidP="007D5795">
      <w:pPr>
        <w:pStyle w:val="TextoNormalNegritaCursivandice"/>
        <w:keepNext/>
      </w:pPr>
      <w:r>
        <w:t>Sentencia 743/2013, de 11 de octubre de 2013, de la Sala de lo Penal del Tribunal Supremo (ECLI:ES:TS:2013:4949)</w:t>
      </w:r>
    </w:p>
    <w:p w14:paraId="6636DEBF" w14:textId="003F7655"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9" w:history="1">
        <w:r w:rsidRPr="007D5795">
          <w:rPr>
            <w:rStyle w:val="TextoNormalCaracter"/>
          </w:rPr>
          <w:t>99/2024</w:t>
        </w:r>
      </w:hyperlink>
      <w:r>
        <w:t>, VP III.</w:t>
      </w:r>
    </w:p>
    <w:p w14:paraId="6A388013" w14:textId="44C0747A" w:rsidR="007D5795" w:rsidRDefault="007D5795" w:rsidP="007D5795">
      <w:pPr>
        <w:pStyle w:val="SangriaFrancesaArticulo"/>
      </w:pPr>
      <w:r>
        <w:t xml:space="preserve">Sentencia </w:t>
      </w:r>
      <w:hyperlink w:anchor="SENTENCIA_2024_100" w:history="1">
        <w:r w:rsidRPr="007D5795">
          <w:rPr>
            <w:rStyle w:val="TextoNormalCaracter"/>
          </w:rPr>
          <w:t>100/2024</w:t>
        </w:r>
      </w:hyperlink>
      <w:r>
        <w:t>, VP III.</w:t>
      </w:r>
    </w:p>
    <w:p w14:paraId="4E0120B7" w14:textId="1C50FE4D" w:rsidR="007D5795" w:rsidRDefault="007D5795" w:rsidP="007D5795">
      <w:pPr>
        <w:pStyle w:val="SangriaFrancesaArticulo"/>
      </w:pPr>
    </w:p>
    <w:p w14:paraId="0437B997" w14:textId="77777777" w:rsidR="007D5795" w:rsidRDefault="007D5795" w:rsidP="007D5795">
      <w:pPr>
        <w:pStyle w:val="TextoNormalNegritaCursivandice"/>
        <w:keepNext/>
      </w:pPr>
      <w:r>
        <w:t>Sentencia 787/2013, de 23 de octubre, de la Sala de lo Penal del Tribunal Supremo (ECLI:ES:TS:2013:5318)</w:t>
      </w:r>
    </w:p>
    <w:p w14:paraId="3204DA58" w14:textId="12D0535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9" w:history="1">
        <w:r w:rsidRPr="007D5795">
          <w:rPr>
            <w:rStyle w:val="TextoNormalCaracter"/>
          </w:rPr>
          <w:t>99/2024</w:t>
        </w:r>
      </w:hyperlink>
      <w:r>
        <w:t>, VP III.</w:t>
      </w:r>
    </w:p>
    <w:p w14:paraId="06D462CB" w14:textId="655F7E72" w:rsidR="007D5795" w:rsidRDefault="007D5795" w:rsidP="007D5795">
      <w:pPr>
        <w:pStyle w:val="SangriaFrancesaArticulo"/>
      </w:pPr>
      <w:r>
        <w:t xml:space="preserve">Sentencia </w:t>
      </w:r>
      <w:hyperlink w:anchor="SENTENCIA_2024_100" w:history="1">
        <w:r w:rsidRPr="007D5795">
          <w:rPr>
            <w:rStyle w:val="TextoNormalCaracter"/>
          </w:rPr>
          <w:t>100/2024</w:t>
        </w:r>
      </w:hyperlink>
      <w:r>
        <w:t>, VP III.</w:t>
      </w:r>
    </w:p>
    <w:p w14:paraId="2A7120C7" w14:textId="51034E01" w:rsidR="007D5795" w:rsidRDefault="007D5795" w:rsidP="007D5795">
      <w:pPr>
        <w:pStyle w:val="SangriaFrancesaArticulo"/>
      </w:pPr>
    </w:p>
    <w:p w14:paraId="73610755" w14:textId="77777777" w:rsidR="007D5795" w:rsidRDefault="007D5795" w:rsidP="007D5795">
      <w:pPr>
        <w:pStyle w:val="TextoNormalNegritaCursivandice"/>
        <w:keepNext/>
      </w:pPr>
      <w:r>
        <w:t>Sentencia 18/2014, de 23 de enero de 2014, de la Sala de lo Penal del Tribunal Supremo (ECLI:ES:TS:2014:235)</w:t>
      </w:r>
    </w:p>
    <w:p w14:paraId="4356E0C9" w14:textId="1639F69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9" w:history="1">
        <w:r w:rsidRPr="007D5795">
          <w:rPr>
            <w:rStyle w:val="TextoNormalCaracter"/>
          </w:rPr>
          <w:t>99/2024</w:t>
        </w:r>
      </w:hyperlink>
      <w:r>
        <w:t>, VP III.</w:t>
      </w:r>
    </w:p>
    <w:p w14:paraId="5FAE41E1" w14:textId="0549D560" w:rsidR="007D5795" w:rsidRDefault="007D5795" w:rsidP="007D5795">
      <w:pPr>
        <w:pStyle w:val="SangriaFrancesaArticulo"/>
      </w:pPr>
      <w:r>
        <w:t xml:space="preserve">Sentencia </w:t>
      </w:r>
      <w:hyperlink w:anchor="SENTENCIA_2024_100" w:history="1">
        <w:r w:rsidRPr="007D5795">
          <w:rPr>
            <w:rStyle w:val="TextoNormalCaracter"/>
          </w:rPr>
          <w:t>100/2024</w:t>
        </w:r>
      </w:hyperlink>
      <w:r>
        <w:t>, VP III.</w:t>
      </w:r>
    </w:p>
    <w:p w14:paraId="1A06B053" w14:textId="0DA7211E" w:rsidR="007D5795" w:rsidRDefault="007D5795" w:rsidP="007D5795">
      <w:pPr>
        <w:pStyle w:val="SangriaFrancesaArticulo"/>
      </w:pPr>
    </w:p>
    <w:p w14:paraId="794EE3D6" w14:textId="77777777" w:rsidR="007D5795" w:rsidRDefault="007D5795" w:rsidP="007D5795">
      <w:pPr>
        <w:pStyle w:val="TextoNormalNegritaCursivandice"/>
        <w:keepNext/>
      </w:pPr>
      <w:r>
        <w:t>Sentencia 597/2014, de 30 de julio de 2014, de la Sala de lo Penal del Tribunal Supremo (ECLI:ES:TS:2014:3112)</w:t>
      </w:r>
    </w:p>
    <w:p w14:paraId="32958914" w14:textId="21F503E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9" w:history="1">
        <w:r w:rsidRPr="007D5795">
          <w:rPr>
            <w:rStyle w:val="TextoNormalCaracter"/>
          </w:rPr>
          <w:t>99/2024</w:t>
        </w:r>
      </w:hyperlink>
      <w:r>
        <w:t>, VP III.</w:t>
      </w:r>
    </w:p>
    <w:p w14:paraId="108498CC" w14:textId="72DE0772" w:rsidR="007D5795" w:rsidRDefault="007D5795" w:rsidP="007D5795">
      <w:pPr>
        <w:pStyle w:val="SangriaFrancesaArticulo"/>
      </w:pPr>
      <w:r>
        <w:t xml:space="preserve">Sentencia </w:t>
      </w:r>
      <w:hyperlink w:anchor="SENTENCIA_2024_100" w:history="1">
        <w:r w:rsidRPr="007D5795">
          <w:rPr>
            <w:rStyle w:val="TextoNormalCaracter"/>
          </w:rPr>
          <w:t>100/2024</w:t>
        </w:r>
      </w:hyperlink>
      <w:r>
        <w:t>, VP III.</w:t>
      </w:r>
    </w:p>
    <w:p w14:paraId="31D5FD26" w14:textId="795D6F52" w:rsidR="007D5795" w:rsidRDefault="007D5795" w:rsidP="007D5795">
      <w:pPr>
        <w:pStyle w:val="SangriaFrancesaArticulo"/>
      </w:pPr>
    </w:p>
    <w:p w14:paraId="69D7FBD6" w14:textId="77777777" w:rsidR="007D5795" w:rsidRDefault="007D5795" w:rsidP="007D5795">
      <w:pPr>
        <w:pStyle w:val="TextoNormalNegritaCursivandice"/>
        <w:keepNext/>
      </w:pPr>
      <w:r>
        <w:t>Sentencia 277/2015, de 3 de junio de 2015, de la Sala de lo Penal del Tribunal Supremo (ECLI:ES:TS:2015:2563)</w:t>
      </w:r>
    </w:p>
    <w:p w14:paraId="0520434C" w14:textId="270543B1"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5" w:history="1">
        <w:r w:rsidRPr="007D5795">
          <w:rPr>
            <w:rStyle w:val="TextoNormalCaracter"/>
          </w:rPr>
          <w:t>95/2024</w:t>
        </w:r>
      </w:hyperlink>
      <w:r>
        <w:t>, f. 3.</w:t>
      </w:r>
    </w:p>
    <w:p w14:paraId="7B981C82" w14:textId="158AB3CC" w:rsidR="007D5795" w:rsidRDefault="007D5795" w:rsidP="007D5795">
      <w:pPr>
        <w:pStyle w:val="SangriaFrancesaArticulo"/>
      </w:pPr>
    </w:p>
    <w:p w14:paraId="53667DD9" w14:textId="77777777" w:rsidR="007D5795" w:rsidRDefault="007D5795" w:rsidP="007D5795">
      <w:pPr>
        <w:pStyle w:val="TextoNormalNegritaCursivandice"/>
        <w:keepNext/>
      </w:pPr>
      <w:r>
        <w:t>Sentencia 414/2015, de 14 de julio de 2015, de la Sala de lo Civil del Tribunal Supremo (ECLI:ES:TS:2015:3210)</w:t>
      </w:r>
    </w:p>
    <w:p w14:paraId="4B592819" w14:textId="1CBD76C4" w:rsidR="007D5795" w:rsidRDefault="007D5795" w:rsidP="007D5795">
      <w:pPr>
        <w:pStyle w:val="SangriaFrancesaArticulo"/>
      </w:pPr>
      <w:r>
        <w:t xml:space="preserve">Auto </w:t>
      </w:r>
      <w:hyperlink w:anchor="AUTO_2024_92" w:history="1">
        <w:r w:rsidRPr="007D5795">
          <w:rPr>
            <w:rStyle w:val="TextoNormalCaracter"/>
          </w:rPr>
          <w:t>92/2024</w:t>
        </w:r>
      </w:hyperlink>
      <w:r>
        <w:t>, f. 2.</w:t>
      </w:r>
    </w:p>
    <w:p w14:paraId="225660A1" w14:textId="66C5BFBA" w:rsidR="007D5795" w:rsidRDefault="007D5795" w:rsidP="007D5795">
      <w:pPr>
        <w:pStyle w:val="SangriaFrancesaArticulo"/>
      </w:pPr>
    </w:p>
    <w:p w14:paraId="2345FCA7" w14:textId="77777777" w:rsidR="007D5795" w:rsidRDefault="007D5795" w:rsidP="007D5795">
      <w:pPr>
        <w:pStyle w:val="TextoNormalNegritaCursivandice"/>
        <w:keepNext/>
      </w:pPr>
      <w:r>
        <w:t>Sentencia 139/2017, de 1 de marzo de 2017, de la Sala de lo Civil del Tribunal Supremo (ECLI:ES:TS:2017:712)</w:t>
      </w:r>
    </w:p>
    <w:p w14:paraId="12BC5B39" w14:textId="6D1AE265" w:rsidR="007D5795" w:rsidRDefault="007D5795" w:rsidP="007D5795">
      <w:pPr>
        <w:pStyle w:val="SangriaFrancesaArticulo"/>
      </w:pPr>
      <w:r>
        <w:t xml:space="preserve">Auto </w:t>
      </w:r>
      <w:hyperlink w:anchor="AUTO_2024_92" w:history="1">
        <w:r w:rsidRPr="007D5795">
          <w:rPr>
            <w:rStyle w:val="TextoNormalCaracter"/>
          </w:rPr>
          <w:t>92/2024</w:t>
        </w:r>
      </w:hyperlink>
      <w:r>
        <w:t>, f. 2.</w:t>
      </w:r>
    </w:p>
    <w:p w14:paraId="7780A724" w14:textId="1D99075E" w:rsidR="007D5795" w:rsidRDefault="007D5795" w:rsidP="007D5795">
      <w:pPr>
        <w:pStyle w:val="SangriaFrancesaArticulo"/>
      </w:pPr>
    </w:p>
    <w:p w14:paraId="67FBAAEC" w14:textId="77777777" w:rsidR="007D5795" w:rsidRDefault="007D5795" w:rsidP="007D5795">
      <w:pPr>
        <w:pStyle w:val="TextoNormalNegritaCursivandice"/>
        <w:keepNext/>
      </w:pPr>
      <w:r>
        <w:t>Sentencia 606/2017, de 7 de septiembre de 2017, de la Sala de lo Penal del Tribunal Supremo (ECLI:ES:TS:2017:3211)</w:t>
      </w:r>
    </w:p>
    <w:p w14:paraId="1F56DA6C" w14:textId="78420A9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4" w:history="1">
        <w:r w:rsidRPr="007D5795">
          <w:rPr>
            <w:rStyle w:val="TextoNormalCaracter"/>
          </w:rPr>
          <w:t>94/2024</w:t>
        </w:r>
      </w:hyperlink>
      <w:r>
        <w:t xml:space="preserve">, f. 5; </w:t>
      </w:r>
      <w:hyperlink w:anchor="SENTENCIA_2024_95" w:history="1">
        <w:r w:rsidRPr="007D5795">
          <w:rPr>
            <w:rStyle w:val="TextoNormalCaracter"/>
          </w:rPr>
          <w:t>95/2024</w:t>
        </w:r>
      </w:hyperlink>
      <w:r>
        <w:t>, f. 3.</w:t>
      </w:r>
    </w:p>
    <w:p w14:paraId="6DF64B06" w14:textId="1CA920AA" w:rsidR="007D5795" w:rsidRDefault="007D5795" w:rsidP="007D5795">
      <w:pPr>
        <w:pStyle w:val="SangriaFrancesaArticulo"/>
      </w:pPr>
    </w:p>
    <w:p w14:paraId="71FC9D45" w14:textId="77777777" w:rsidR="007D5795" w:rsidRDefault="007D5795" w:rsidP="007D5795">
      <w:pPr>
        <w:pStyle w:val="TextoNormalNegritaCursivandice"/>
        <w:keepNext/>
      </w:pPr>
      <w:r>
        <w:t>Sentencia 1163/2018, de 9 de julio, de la Sala de lo Contencioso-Administrativo del Tribunal Supremo (ECLI:ES:TS:2018:2499)</w:t>
      </w:r>
    </w:p>
    <w:p w14:paraId="5CC458AD" w14:textId="632322A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7" w:history="1">
        <w:r w:rsidRPr="007D5795">
          <w:rPr>
            <w:rStyle w:val="TextoNormalCaracter"/>
          </w:rPr>
          <w:t>117/2024</w:t>
        </w:r>
      </w:hyperlink>
      <w:r>
        <w:t>, f. 2.</w:t>
      </w:r>
    </w:p>
    <w:p w14:paraId="0AAAF507" w14:textId="5B86C870" w:rsidR="007D5795" w:rsidRDefault="007D5795" w:rsidP="007D5795">
      <w:pPr>
        <w:pStyle w:val="SangriaFrancesaArticulo"/>
      </w:pPr>
    </w:p>
    <w:p w14:paraId="562C34C3" w14:textId="77777777" w:rsidR="007D5795" w:rsidRDefault="007D5795" w:rsidP="007D5795">
      <w:pPr>
        <w:pStyle w:val="TextoNormalNegritaCursivandice"/>
        <w:keepNext/>
      </w:pPr>
      <w:r>
        <w:t>Sentencia 480/2018, de 23 de julio de 2018, de la Sala de lo Civil del Tribunal Supremo (ECLI:ES:TS:2018:3032)</w:t>
      </w:r>
    </w:p>
    <w:p w14:paraId="510A9A3C" w14:textId="2479099D" w:rsidR="007D5795" w:rsidRDefault="007D5795" w:rsidP="007D5795">
      <w:pPr>
        <w:pStyle w:val="SangriaFrancesaArticulo"/>
      </w:pPr>
      <w:r>
        <w:t xml:space="preserve">Auto </w:t>
      </w:r>
      <w:hyperlink w:anchor="AUTO_2024_92" w:history="1">
        <w:r w:rsidRPr="007D5795">
          <w:rPr>
            <w:rStyle w:val="TextoNormalCaracter"/>
          </w:rPr>
          <w:t>92/2024</w:t>
        </w:r>
      </w:hyperlink>
      <w:r>
        <w:t>, f. 2.</w:t>
      </w:r>
    </w:p>
    <w:p w14:paraId="52985BD3" w14:textId="3A079C79" w:rsidR="007D5795" w:rsidRDefault="007D5795" w:rsidP="007D5795">
      <w:pPr>
        <w:pStyle w:val="SangriaFrancesaArticulo"/>
      </w:pPr>
    </w:p>
    <w:p w14:paraId="0B3C7A2F" w14:textId="77777777" w:rsidR="007D5795" w:rsidRDefault="007D5795" w:rsidP="007D5795">
      <w:pPr>
        <w:pStyle w:val="TextoNormalNegritaCursivandice"/>
        <w:keepNext/>
      </w:pPr>
      <w:r>
        <w:t>Sentencia 163/2019, de 26 de marzo de 2019, de la Sala de lo Penal del Tribunal Supremo (ECLI:ES:TS:2019:881)</w:t>
      </w:r>
    </w:p>
    <w:p w14:paraId="651289C3" w14:textId="7E06B84A"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9" w:history="1">
        <w:r w:rsidRPr="007D5795">
          <w:rPr>
            <w:rStyle w:val="TextoNormalCaracter"/>
          </w:rPr>
          <w:t>99/2024</w:t>
        </w:r>
      </w:hyperlink>
      <w:r>
        <w:t>, VP III.</w:t>
      </w:r>
    </w:p>
    <w:p w14:paraId="6D9F568D" w14:textId="38E76486" w:rsidR="007D5795" w:rsidRDefault="007D5795" w:rsidP="007D5795">
      <w:pPr>
        <w:pStyle w:val="SangriaFrancesaArticulo"/>
      </w:pPr>
      <w:r>
        <w:t xml:space="preserve">Sentencia </w:t>
      </w:r>
      <w:hyperlink w:anchor="SENTENCIA_2024_100" w:history="1">
        <w:r w:rsidRPr="007D5795">
          <w:rPr>
            <w:rStyle w:val="TextoNormalCaracter"/>
          </w:rPr>
          <w:t>100/2024</w:t>
        </w:r>
      </w:hyperlink>
      <w:r>
        <w:t>, VP III.</w:t>
      </w:r>
    </w:p>
    <w:p w14:paraId="371C9388" w14:textId="5E54932F" w:rsidR="007D5795" w:rsidRDefault="007D5795" w:rsidP="007D5795">
      <w:pPr>
        <w:pStyle w:val="SangriaFrancesaArticulo"/>
      </w:pPr>
    </w:p>
    <w:p w14:paraId="30490E5B" w14:textId="77777777" w:rsidR="007D5795" w:rsidRDefault="007D5795" w:rsidP="007D5795">
      <w:pPr>
        <w:pStyle w:val="TextoNormalNegritaCursivandice"/>
        <w:keepNext/>
      </w:pPr>
      <w:r>
        <w:t>Sentencia 311/2019, de 14 de junio, de la Sala de lo Penal del Tribunal Supremo (ECLI:ES:TS:2019:1886)</w:t>
      </w:r>
    </w:p>
    <w:p w14:paraId="0D9BE6A1" w14:textId="7510A140"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9" w:history="1">
        <w:r w:rsidRPr="007D5795">
          <w:rPr>
            <w:rStyle w:val="TextoNormalCaracter"/>
          </w:rPr>
          <w:t>99/2024</w:t>
        </w:r>
      </w:hyperlink>
      <w:r>
        <w:t>, VP III.</w:t>
      </w:r>
    </w:p>
    <w:p w14:paraId="35F76B23" w14:textId="4BF74436" w:rsidR="007D5795" w:rsidRDefault="007D5795" w:rsidP="007D5795">
      <w:pPr>
        <w:pStyle w:val="SangriaFrancesaArticulo"/>
      </w:pPr>
      <w:r>
        <w:t xml:space="preserve">Sentencia </w:t>
      </w:r>
      <w:hyperlink w:anchor="SENTENCIA_2024_100" w:history="1">
        <w:r w:rsidRPr="007D5795">
          <w:rPr>
            <w:rStyle w:val="TextoNormalCaracter"/>
          </w:rPr>
          <w:t>100/2024</w:t>
        </w:r>
      </w:hyperlink>
      <w:r>
        <w:t>, VP III.</w:t>
      </w:r>
    </w:p>
    <w:p w14:paraId="1A837084" w14:textId="3F803ED6" w:rsidR="007D5795" w:rsidRDefault="007D5795" w:rsidP="007D5795">
      <w:pPr>
        <w:pStyle w:val="SangriaFrancesaArticulo"/>
      </w:pPr>
    </w:p>
    <w:p w14:paraId="0D2A55CE" w14:textId="77777777" w:rsidR="007D5795" w:rsidRDefault="007D5795" w:rsidP="007D5795">
      <w:pPr>
        <w:pStyle w:val="TextoNormalNegritaCursivandice"/>
        <w:keepNext/>
      </w:pPr>
      <w:r>
        <w:t>Sentencia 920/2019, de 26 de junio de 2019, de la Sala de lo Contencioso-Administrativo del Tribunal Supremo (ECLI:ES:TS:2019:2088)</w:t>
      </w:r>
    </w:p>
    <w:p w14:paraId="3F1E2D95" w14:textId="1BDE135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9" w:history="1">
        <w:r w:rsidRPr="007D5795">
          <w:rPr>
            <w:rStyle w:val="TextoNormalCaracter"/>
          </w:rPr>
          <w:t>99/2024</w:t>
        </w:r>
      </w:hyperlink>
      <w:r>
        <w:t>, VP III.</w:t>
      </w:r>
    </w:p>
    <w:p w14:paraId="02076043" w14:textId="204047F8" w:rsidR="007D5795" w:rsidRDefault="007D5795" w:rsidP="007D5795">
      <w:pPr>
        <w:pStyle w:val="SangriaFrancesaArticulo"/>
      </w:pPr>
      <w:r>
        <w:t xml:space="preserve">Sentencia </w:t>
      </w:r>
      <w:hyperlink w:anchor="SENTENCIA_2024_100" w:history="1">
        <w:r w:rsidRPr="007D5795">
          <w:rPr>
            <w:rStyle w:val="TextoNormalCaracter"/>
          </w:rPr>
          <w:t>100/2024</w:t>
        </w:r>
      </w:hyperlink>
      <w:r>
        <w:t>, VP III.</w:t>
      </w:r>
    </w:p>
    <w:p w14:paraId="6E67AF53" w14:textId="1ABDE503" w:rsidR="007D5795" w:rsidRDefault="007D5795" w:rsidP="007D5795">
      <w:pPr>
        <w:pStyle w:val="SangriaFrancesaArticulo"/>
      </w:pPr>
    </w:p>
    <w:p w14:paraId="5A75F57B" w14:textId="77777777" w:rsidR="007D5795" w:rsidRDefault="007D5795" w:rsidP="007D5795">
      <w:pPr>
        <w:pStyle w:val="TextoNormalNegritaCursivandice"/>
        <w:keepNext/>
      </w:pPr>
      <w:r>
        <w:t>Causa especial núm. 20907-2017 (derivada del denominado “procés” en Cataluña): Sentencia núm. 459/2019 de 14 de octubre de 2019, dictada por la Sala de lo Penal del Tribunal Supremo (ECLI:ES:TS:2019:2997)</w:t>
      </w:r>
    </w:p>
    <w:p w14:paraId="1D2C4FE7" w14:textId="328BE624" w:rsidR="007D5795" w:rsidRDefault="007D5795" w:rsidP="007D5795">
      <w:pPr>
        <w:pStyle w:val="SangriaFrancesaArticulo"/>
      </w:pPr>
      <w:r>
        <w:t xml:space="preserve">Autos </w:t>
      </w:r>
      <w:hyperlink w:anchor="AUTO_2024_105" w:history="1">
        <w:r w:rsidRPr="007D5795">
          <w:rPr>
            <w:rStyle w:val="TextoNormalCaracter"/>
          </w:rPr>
          <w:t>105/2024</w:t>
        </w:r>
      </w:hyperlink>
      <w:r>
        <w:t xml:space="preserve">, ff. 1, 3; </w:t>
      </w:r>
      <w:hyperlink w:anchor="AUTO_2024_117" w:history="1">
        <w:r w:rsidRPr="007D5795">
          <w:rPr>
            <w:rStyle w:val="TextoNormalCaracter"/>
          </w:rPr>
          <w:t>117/2024</w:t>
        </w:r>
      </w:hyperlink>
      <w:r>
        <w:t xml:space="preserve">, f. 1; </w:t>
      </w:r>
      <w:hyperlink w:anchor="AUTO_2024_118" w:history="1">
        <w:r w:rsidRPr="007D5795">
          <w:rPr>
            <w:rStyle w:val="TextoNormalCaracter"/>
          </w:rPr>
          <w:t>118/2024</w:t>
        </w:r>
      </w:hyperlink>
      <w:r>
        <w:t xml:space="preserve">, f. 1; </w:t>
      </w:r>
      <w:hyperlink w:anchor="AUTO_2024_119" w:history="1">
        <w:r w:rsidRPr="007D5795">
          <w:rPr>
            <w:rStyle w:val="TextoNormalCaracter"/>
          </w:rPr>
          <w:t>119/2024</w:t>
        </w:r>
      </w:hyperlink>
      <w:r>
        <w:t xml:space="preserve">, f. 1; </w:t>
      </w:r>
      <w:hyperlink w:anchor="AUTO_2024_120" w:history="1">
        <w:r w:rsidRPr="007D5795">
          <w:rPr>
            <w:rStyle w:val="TextoNormalCaracter"/>
          </w:rPr>
          <w:t>120/2024</w:t>
        </w:r>
      </w:hyperlink>
      <w:r>
        <w:t xml:space="preserve">, f. 1; </w:t>
      </w:r>
      <w:hyperlink w:anchor="AUTO_2024_121" w:history="1">
        <w:r w:rsidRPr="007D5795">
          <w:rPr>
            <w:rStyle w:val="TextoNormalCaracter"/>
          </w:rPr>
          <w:t>121/2024</w:t>
        </w:r>
      </w:hyperlink>
      <w:r>
        <w:t xml:space="preserve">, f. 1; </w:t>
      </w:r>
      <w:hyperlink w:anchor="AUTO_2024_122" w:history="1">
        <w:r w:rsidRPr="007D5795">
          <w:rPr>
            <w:rStyle w:val="TextoNormalCaracter"/>
          </w:rPr>
          <w:t>122/2024</w:t>
        </w:r>
      </w:hyperlink>
      <w:r>
        <w:t xml:space="preserve">, f. 1; </w:t>
      </w:r>
      <w:hyperlink w:anchor="AUTO_2024_123" w:history="1">
        <w:r w:rsidRPr="007D5795">
          <w:rPr>
            <w:rStyle w:val="TextoNormalCaracter"/>
          </w:rPr>
          <w:t>123/2024</w:t>
        </w:r>
      </w:hyperlink>
      <w:r>
        <w:t xml:space="preserve">, f. 1; </w:t>
      </w:r>
      <w:hyperlink w:anchor="AUTO_2024_124" w:history="1">
        <w:r w:rsidRPr="007D5795">
          <w:rPr>
            <w:rStyle w:val="TextoNormalCaracter"/>
          </w:rPr>
          <w:t>124/2024</w:t>
        </w:r>
      </w:hyperlink>
      <w:r>
        <w:t>, f. 1.</w:t>
      </w:r>
    </w:p>
    <w:p w14:paraId="02D19E2A" w14:textId="3EAD65EF" w:rsidR="007D5795" w:rsidRDefault="007D5795" w:rsidP="007D5795">
      <w:pPr>
        <w:pStyle w:val="SangriaFrancesaArticulo"/>
      </w:pPr>
    </w:p>
    <w:p w14:paraId="31B75F87" w14:textId="77777777" w:rsidR="007D5795" w:rsidRDefault="007D5795" w:rsidP="007D5795">
      <w:pPr>
        <w:pStyle w:val="TextoNormalNegritaCursivandice"/>
        <w:keepNext/>
      </w:pPr>
      <w:r>
        <w:t>Sentencia 760/2019, de 12 de noviembre, de la Sala de lo Social del Tribunal Supremo (ECLI:ES:TS:2019:3860)</w:t>
      </w:r>
    </w:p>
    <w:p w14:paraId="30C3FAD9" w14:textId="10CD75B8" w:rsidR="007D5795" w:rsidRDefault="007D5795" w:rsidP="007D5795">
      <w:pPr>
        <w:pStyle w:val="SangriaFrancesaArticulo"/>
      </w:pPr>
      <w:r>
        <w:t xml:space="preserve">Auto </w:t>
      </w:r>
      <w:hyperlink w:anchor="AUTO_2024_73" w:history="1">
        <w:r w:rsidRPr="007D5795">
          <w:rPr>
            <w:rStyle w:val="TextoNormalCaracter"/>
          </w:rPr>
          <w:t>73/2024</w:t>
        </w:r>
      </w:hyperlink>
      <w:r>
        <w:t>, f. 4.</w:t>
      </w:r>
    </w:p>
    <w:p w14:paraId="272B4E99" w14:textId="4373139B" w:rsidR="007D5795" w:rsidRDefault="007D5795" w:rsidP="007D5795">
      <w:pPr>
        <w:pStyle w:val="SangriaFrancesaArticulo"/>
      </w:pPr>
    </w:p>
    <w:p w14:paraId="37DED0B6" w14:textId="77777777" w:rsidR="007D5795" w:rsidRDefault="007D5795" w:rsidP="007D5795">
      <w:pPr>
        <w:pStyle w:val="TextoNormalNegritaCursivandice"/>
        <w:keepNext/>
      </w:pPr>
      <w:r>
        <w:t>Sentencia 292/2020, de 10 de junio de 2020, de la Sala de lo Penal del Tribunal Supremo (ECLI:ES:TS:2020:1593)</w:t>
      </w:r>
    </w:p>
    <w:p w14:paraId="2C727A8A" w14:textId="393CF0D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133" w:history="1">
        <w:r w:rsidRPr="007D5795">
          <w:rPr>
            <w:rStyle w:val="TextoNormalCaracter"/>
          </w:rPr>
          <w:t>133/2024</w:t>
        </w:r>
      </w:hyperlink>
      <w:r>
        <w:t xml:space="preserve">, f. 4; </w:t>
      </w:r>
      <w:hyperlink w:anchor="SENTENCIA_2024_134" w:history="1">
        <w:r w:rsidRPr="007D5795">
          <w:rPr>
            <w:rStyle w:val="TextoNormalCaracter"/>
          </w:rPr>
          <w:t>134/2024</w:t>
        </w:r>
      </w:hyperlink>
      <w:r>
        <w:t>, f. 4.</w:t>
      </w:r>
    </w:p>
    <w:p w14:paraId="76D82A1A" w14:textId="5DD41690" w:rsidR="007D5795" w:rsidRDefault="007D5795" w:rsidP="007D5795">
      <w:pPr>
        <w:pStyle w:val="SangriaFrancesaArticulo"/>
      </w:pPr>
    </w:p>
    <w:p w14:paraId="36DF280A" w14:textId="77777777" w:rsidR="007D5795" w:rsidRDefault="007D5795" w:rsidP="007D5795">
      <w:pPr>
        <w:pStyle w:val="TextoNormalNegritaCursivandice"/>
        <w:keepNext/>
      </w:pPr>
      <w:r>
        <w:t>Sentencia 507/2020, de 14 de octubre de 2020, de la Sala de lo Penal del Tribunal Supremo (ECLI:ES:TS:2020:3191)</w:t>
      </w:r>
    </w:p>
    <w:p w14:paraId="3DC93E5B" w14:textId="44AB808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95" w:history="1">
        <w:r w:rsidRPr="007D5795">
          <w:rPr>
            <w:rStyle w:val="TextoNormalCaracter"/>
          </w:rPr>
          <w:t>95/2024</w:t>
        </w:r>
      </w:hyperlink>
      <w:r>
        <w:t>, f. 3.</w:t>
      </w:r>
    </w:p>
    <w:p w14:paraId="3BD14D15" w14:textId="6786E9EE" w:rsidR="007D5795" w:rsidRDefault="007D5795" w:rsidP="007D5795">
      <w:pPr>
        <w:pStyle w:val="SangriaFrancesaArticulo"/>
      </w:pPr>
    </w:p>
    <w:p w14:paraId="7E572270" w14:textId="77777777" w:rsidR="007D5795" w:rsidRDefault="007D5795" w:rsidP="007D5795">
      <w:pPr>
        <w:pStyle w:val="TextoNormalNegritaCursivandice"/>
        <w:keepNext/>
      </w:pPr>
      <w:r>
        <w:t>Sentencia 341/2021, de 24 de marzo, de la Sala de lo Social del Tribunal Supremo (ECLI:ES:TS:2021:1279)</w:t>
      </w:r>
    </w:p>
    <w:p w14:paraId="3248C506" w14:textId="06BD0339" w:rsidR="007D5795" w:rsidRDefault="007D5795" w:rsidP="007D5795">
      <w:pPr>
        <w:pStyle w:val="SangriaFrancesaArticulo"/>
      </w:pPr>
      <w:r>
        <w:t xml:space="preserve">Auto </w:t>
      </w:r>
      <w:hyperlink w:anchor="AUTO_2024_73" w:history="1">
        <w:r w:rsidRPr="007D5795">
          <w:rPr>
            <w:rStyle w:val="TextoNormalCaracter"/>
          </w:rPr>
          <w:t>73/2024</w:t>
        </w:r>
      </w:hyperlink>
      <w:r>
        <w:t>, f. 4.</w:t>
      </w:r>
    </w:p>
    <w:p w14:paraId="467EE7C7" w14:textId="0D8E9723" w:rsidR="007D5795" w:rsidRDefault="007D5795" w:rsidP="007D5795">
      <w:pPr>
        <w:pStyle w:val="SangriaFrancesaArticulo"/>
      </w:pPr>
    </w:p>
    <w:p w14:paraId="3C7DEF80" w14:textId="77777777" w:rsidR="007D5795" w:rsidRDefault="007D5795" w:rsidP="007D5795">
      <w:pPr>
        <w:pStyle w:val="TextoNormalNegritaCursivandice"/>
        <w:keepNext/>
      </w:pPr>
      <w:r>
        <w:t>Sentencia 685/2021, de 15 de septiembre de 2021, de la Sala de lo Penal del Tribunal Supremo (ECLI:ES:TS:2021:3357)</w:t>
      </w:r>
    </w:p>
    <w:p w14:paraId="4172BC6E" w14:textId="5DED016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4" w:history="1">
        <w:r w:rsidRPr="007D5795">
          <w:rPr>
            <w:rStyle w:val="TextoNormalCaracter"/>
          </w:rPr>
          <w:t>94/2024</w:t>
        </w:r>
      </w:hyperlink>
      <w:r>
        <w:t xml:space="preserve">, f. 5; </w:t>
      </w:r>
      <w:hyperlink w:anchor="SENTENCIA_2024_95" w:history="1">
        <w:r w:rsidRPr="007D5795">
          <w:rPr>
            <w:rStyle w:val="TextoNormalCaracter"/>
          </w:rPr>
          <w:t>95/2024</w:t>
        </w:r>
      </w:hyperlink>
      <w:r>
        <w:t>, f. 3.</w:t>
      </w:r>
    </w:p>
    <w:p w14:paraId="7F5D547E" w14:textId="3A7F51D2" w:rsidR="007D5795" w:rsidRDefault="007D5795" w:rsidP="007D5795">
      <w:pPr>
        <w:pStyle w:val="SangriaFrancesaArticulo"/>
      </w:pPr>
    </w:p>
    <w:p w14:paraId="77A410B7" w14:textId="77777777" w:rsidR="007D5795" w:rsidRDefault="007D5795" w:rsidP="007D5795">
      <w:pPr>
        <w:pStyle w:val="TextoNormalNegritaCursivandice"/>
        <w:keepNext/>
      </w:pPr>
      <w:r>
        <w:t>Sentencia 1301/2021, de 2 de noviembre de 2021, de la Sala de lo Contencioso-Administrativo del Tribunal Supremo (ECLI:ES:TS:2021:4120)</w:t>
      </w:r>
    </w:p>
    <w:p w14:paraId="707DD62E" w14:textId="2D45F107"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02" w:history="1">
        <w:r w:rsidRPr="007D5795">
          <w:rPr>
            <w:rStyle w:val="TextoNormalCaracter"/>
          </w:rPr>
          <w:t>102/2024</w:t>
        </w:r>
      </w:hyperlink>
      <w:r>
        <w:t>, f. 2.</w:t>
      </w:r>
    </w:p>
    <w:p w14:paraId="5EBF24CF" w14:textId="5C986B56" w:rsidR="007D5795" w:rsidRDefault="007D5795" w:rsidP="007D5795">
      <w:pPr>
        <w:pStyle w:val="SangriaFrancesaArticulo"/>
      </w:pPr>
      <w:r>
        <w:t xml:space="preserve">Sentencia </w:t>
      </w:r>
      <w:hyperlink w:anchor="SENTENCIA_2024_96" w:history="1">
        <w:r w:rsidRPr="007D5795">
          <w:rPr>
            <w:rStyle w:val="TextoNormalCaracter"/>
          </w:rPr>
          <w:t>96/2024</w:t>
        </w:r>
      </w:hyperlink>
      <w:r>
        <w:t>, f. 3.</w:t>
      </w:r>
    </w:p>
    <w:p w14:paraId="7929B60D" w14:textId="503A1186" w:rsidR="007D5795" w:rsidRDefault="007D5795" w:rsidP="007D5795">
      <w:pPr>
        <w:pStyle w:val="SangriaFrancesaArticulo"/>
      </w:pPr>
    </w:p>
    <w:p w14:paraId="72FDBFB7" w14:textId="77777777" w:rsidR="007D5795" w:rsidRDefault="007D5795" w:rsidP="007D5795">
      <w:pPr>
        <w:pStyle w:val="TextoNormalNegritaCursivandice"/>
        <w:keepNext/>
      </w:pPr>
      <w:r>
        <w:t>Sentencia 908/2021, de 24 de noviembre de 2021, de la Sala de lo Penal del Tribunal Supremo (ECLI:ES:TS:2021:4385)</w:t>
      </w:r>
    </w:p>
    <w:p w14:paraId="03CCA9AC" w14:textId="1869ED8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Sentencias </w:t>
      </w:r>
      <w:hyperlink w:anchor="SENTENCIA_2024_94" w:history="1">
        <w:r w:rsidRPr="007D5795">
          <w:rPr>
            <w:rStyle w:val="TextoNormalCaracter"/>
          </w:rPr>
          <w:t>94/2024</w:t>
        </w:r>
      </w:hyperlink>
      <w:r>
        <w:t xml:space="preserve">, f. 5; </w:t>
      </w:r>
      <w:hyperlink w:anchor="SENTENCIA_2024_95" w:history="1">
        <w:r w:rsidRPr="007D5795">
          <w:rPr>
            <w:rStyle w:val="TextoNormalCaracter"/>
          </w:rPr>
          <w:t>95/2024</w:t>
        </w:r>
      </w:hyperlink>
      <w:r>
        <w:t>, f. 3.</w:t>
      </w:r>
    </w:p>
    <w:p w14:paraId="16E037FC" w14:textId="32D08009" w:rsidR="007D5795" w:rsidRDefault="007D5795" w:rsidP="007D5795">
      <w:pPr>
        <w:pStyle w:val="SangriaFrancesaArticulo"/>
      </w:pPr>
    </w:p>
    <w:p w14:paraId="46950FB0" w14:textId="77777777" w:rsidR="007D5795" w:rsidRDefault="007D5795" w:rsidP="007D5795">
      <w:pPr>
        <w:pStyle w:val="TextoNormalNegritaCursivandice"/>
        <w:keepNext/>
      </w:pPr>
      <w:r>
        <w:t>Sentencia 506/2022, de 1 de junio, de la Sala de lo Social del Tribunal Supremo (ECLI:ES:TS:2022:2451)</w:t>
      </w:r>
    </w:p>
    <w:p w14:paraId="7FC6A3D1" w14:textId="77C49868" w:rsidR="007D5795" w:rsidRDefault="007D5795" w:rsidP="007D5795">
      <w:pPr>
        <w:pStyle w:val="SangriaFrancesaArticulo"/>
      </w:pPr>
      <w:r>
        <w:t xml:space="preserve">Auto </w:t>
      </w:r>
      <w:hyperlink w:anchor="AUTO_2024_73" w:history="1">
        <w:r w:rsidRPr="007D5795">
          <w:rPr>
            <w:rStyle w:val="TextoNormalCaracter"/>
          </w:rPr>
          <w:t>73/2024</w:t>
        </w:r>
      </w:hyperlink>
      <w:r>
        <w:t>, f. 4.</w:t>
      </w:r>
    </w:p>
    <w:p w14:paraId="75A8412F" w14:textId="52D99219" w:rsidR="007D5795" w:rsidRDefault="007D5795" w:rsidP="007D5795">
      <w:pPr>
        <w:pStyle w:val="SangriaFrancesaArticulo"/>
      </w:pPr>
    </w:p>
    <w:p w14:paraId="7829D273" w14:textId="77777777" w:rsidR="007D5795" w:rsidRDefault="007D5795" w:rsidP="007D5795">
      <w:pPr>
        <w:pStyle w:val="TextoNormalNegritaCursivandice"/>
        <w:keepNext/>
      </w:pPr>
      <w:r>
        <w:t>Sentencia 649/2022, de 12 de julio, de la Sala de lo Social del Tribunal Supremo (ECLI:ES:TS:2022:3110)</w:t>
      </w:r>
    </w:p>
    <w:p w14:paraId="6D9800AC" w14:textId="580989B8" w:rsidR="007D5795" w:rsidRDefault="007D5795" w:rsidP="007D5795">
      <w:pPr>
        <w:pStyle w:val="SangriaFrancesaArticulo"/>
      </w:pPr>
      <w:r>
        <w:t xml:space="preserve">Auto </w:t>
      </w:r>
      <w:hyperlink w:anchor="AUTO_2024_73" w:history="1">
        <w:r w:rsidRPr="007D5795">
          <w:rPr>
            <w:rStyle w:val="TextoNormalCaracter"/>
          </w:rPr>
          <w:t>73/2024</w:t>
        </w:r>
      </w:hyperlink>
      <w:r>
        <w:t>, f. 4.</w:t>
      </w:r>
    </w:p>
    <w:p w14:paraId="57AD6D11" w14:textId="333E06CF" w:rsidR="007D5795" w:rsidRDefault="007D5795" w:rsidP="007D5795">
      <w:pPr>
        <w:pStyle w:val="SangriaFrancesaArticulo"/>
      </w:pPr>
    </w:p>
    <w:p w14:paraId="5C865BBC" w14:textId="77777777" w:rsidR="007D5795" w:rsidRDefault="007D5795" w:rsidP="007D5795">
      <w:pPr>
        <w:pStyle w:val="TextoNormalNegritaCursivandice"/>
        <w:keepNext/>
      </w:pPr>
      <w:r>
        <w:t>Sentencia 660/2022, de 13 de julio, de la Sala de lo Social del Tribunal Supremo (ECLI:ES:TS:2022:3109)</w:t>
      </w:r>
    </w:p>
    <w:p w14:paraId="01CBAABF" w14:textId="0C96BB5D" w:rsidR="007D5795" w:rsidRDefault="007D5795" w:rsidP="007D5795">
      <w:pPr>
        <w:pStyle w:val="SangriaFrancesaArticulo"/>
      </w:pPr>
      <w:r>
        <w:t xml:space="preserve">Auto </w:t>
      </w:r>
      <w:hyperlink w:anchor="AUTO_2024_73" w:history="1">
        <w:r w:rsidRPr="007D5795">
          <w:rPr>
            <w:rStyle w:val="TextoNormalCaracter"/>
          </w:rPr>
          <w:t>73/2024</w:t>
        </w:r>
      </w:hyperlink>
      <w:r>
        <w:t>, f. 4.</w:t>
      </w:r>
    </w:p>
    <w:p w14:paraId="4FD3BFFC" w14:textId="0978FE97" w:rsidR="007D5795" w:rsidRDefault="007D5795" w:rsidP="007D5795">
      <w:pPr>
        <w:pStyle w:val="SangriaFrancesaArticulo"/>
      </w:pPr>
    </w:p>
    <w:p w14:paraId="4507C500" w14:textId="77777777" w:rsidR="007D5795" w:rsidRDefault="007D5795" w:rsidP="007D5795">
      <w:pPr>
        <w:pStyle w:val="TextoNormalNegritaCursivandice"/>
        <w:keepNext/>
      </w:pPr>
      <w:r>
        <w:t>Sentencia 856/2022, de 26 de octubre, de la Sala de lo Social del Tribunal Supremo (ECLI:ES:TS:2022:3872)</w:t>
      </w:r>
    </w:p>
    <w:p w14:paraId="644E56B3" w14:textId="0AC387B0" w:rsidR="007D5795" w:rsidRDefault="007D5795" w:rsidP="007D5795">
      <w:pPr>
        <w:pStyle w:val="SangriaFrancesaArticulo"/>
      </w:pPr>
      <w:r>
        <w:t xml:space="preserve">Auto </w:t>
      </w:r>
      <w:hyperlink w:anchor="AUTO_2024_73" w:history="1">
        <w:r w:rsidRPr="007D5795">
          <w:rPr>
            <w:rStyle w:val="TextoNormalCaracter"/>
          </w:rPr>
          <w:t>73/2024</w:t>
        </w:r>
      </w:hyperlink>
      <w:r>
        <w:t>, f. 4.</w:t>
      </w:r>
    </w:p>
    <w:p w14:paraId="3EC42C5E" w14:textId="06E6EE3D" w:rsidR="007D5795" w:rsidRDefault="007D5795" w:rsidP="007D5795">
      <w:pPr>
        <w:pStyle w:val="SangriaFrancesaArticulo"/>
      </w:pPr>
    </w:p>
    <w:p w14:paraId="701342F8" w14:textId="77777777" w:rsidR="007D5795" w:rsidRDefault="007D5795" w:rsidP="007D5795">
      <w:pPr>
        <w:pStyle w:val="TextoNormalNegritaCursivandice"/>
        <w:keepNext/>
      </w:pPr>
      <w:r>
        <w:t>Auto de 21 de diciembre de 2022 de la Sala de lo Penal del Tribunal Supremo (ECLI:ES:TS: 2022:18568A)</w:t>
      </w:r>
    </w:p>
    <w:p w14:paraId="58A1CE19" w14:textId="3CED294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8" w:history="1">
        <w:r w:rsidRPr="007D5795">
          <w:rPr>
            <w:rStyle w:val="TextoNormalCaracter"/>
          </w:rPr>
          <w:t>118/2024</w:t>
        </w:r>
      </w:hyperlink>
      <w:r>
        <w:t>, VP I.</w:t>
      </w:r>
    </w:p>
    <w:p w14:paraId="5F7B1690" w14:textId="101D8C73" w:rsidR="007D5795" w:rsidRDefault="007D5795" w:rsidP="007D5795">
      <w:pPr>
        <w:pStyle w:val="SangriaFrancesaArticulo"/>
      </w:pPr>
    </w:p>
    <w:p w14:paraId="5066F298" w14:textId="77777777" w:rsidR="007D5795" w:rsidRDefault="007D5795" w:rsidP="007D5795">
      <w:pPr>
        <w:pStyle w:val="TextoNormalNegritaCursivandice"/>
        <w:keepNext/>
      </w:pPr>
      <w:r>
        <w:t>Sentencia 164/2023, de 13 de febrero de 2023, de la Sección Tercera de la Sala de lo Contencioso-Administrativo del Tribunal Supremo (ECLI:ES:TS:2023:496)</w:t>
      </w:r>
    </w:p>
    <w:p w14:paraId="561EC0EC" w14:textId="72CDB8FA"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2" w:history="1">
        <w:r w:rsidRPr="007D5795">
          <w:rPr>
            <w:rStyle w:val="TextoNormalCaracter"/>
          </w:rPr>
          <w:t>112/2024</w:t>
        </w:r>
      </w:hyperlink>
      <w:r>
        <w:t>, ff. 1, 2, 5.</w:t>
      </w:r>
    </w:p>
    <w:p w14:paraId="70B7EC5E" w14:textId="5AF3CD7B" w:rsidR="007D5795" w:rsidRDefault="007D5795" w:rsidP="007D5795">
      <w:pPr>
        <w:pStyle w:val="SangriaFrancesaArticulo"/>
      </w:pPr>
    </w:p>
    <w:p w14:paraId="29297AC8" w14:textId="77777777" w:rsidR="007D5795" w:rsidRDefault="007D5795" w:rsidP="007D5795">
      <w:pPr>
        <w:pStyle w:val="TextoNormalNegritaCursivandice"/>
        <w:keepNext/>
      </w:pPr>
      <w:r>
        <w:t>Sentencia 338/2023, de 1 de marzo de 2023, de la Sala de lo Civil del Tribunal Supremo (ECLI:ES:TS:2023:671)</w:t>
      </w:r>
    </w:p>
    <w:p w14:paraId="13031760" w14:textId="27716EE6" w:rsidR="007D5795" w:rsidRDefault="007D5795" w:rsidP="007D5795">
      <w:pPr>
        <w:pStyle w:val="SangriaFrancesaArticulo"/>
      </w:pPr>
      <w:r>
        <w:t xml:space="preserve">Auto </w:t>
      </w:r>
      <w:hyperlink w:anchor="AUTO_2024_92" w:history="1">
        <w:r w:rsidRPr="007D5795">
          <w:rPr>
            <w:rStyle w:val="TextoNormalCaracter"/>
          </w:rPr>
          <w:t>92/2024</w:t>
        </w:r>
      </w:hyperlink>
      <w:r>
        <w:t>, f. 2.</w:t>
      </w:r>
    </w:p>
    <w:p w14:paraId="47CB385B" w14:textId="5A3DE18F" w:rsidR="007D5795" w:rsidRDefault="007D5795" w:rsidP="007D5795">
      <w:pPr>
        <w:pStyle w:val="SangriaFrancesaArticulo"/>
      </w:pPr>
    </w:p>
    <w:p w14:paraId="705C6846" w14:textId="77777777" w:rsidR="007D5795" w:rsidRDefault="007D5795" w:rsidP="007D5795">
      <w:pPr>
        <w:pStyle w:val="TextoNormalNegritaCursivandice"/>
        <w:keepNext/>
      </w:pPr>
      <w:r>
        <w:t>Sentencia 169/2023, de 2 de marzo de 2023, de la Sala de lo Social del Tribunal Supremo (ECLI:ES:TS:2023:783)</w:t>
      </w:r>
    </w:p>
    <w:p w14:paraId="3E63BA2C" w14:textId="24BFFFDE"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ff. 2, 3, VP I.</w:t>
      </w:r>
    </w:p>
    <w:p w14:paraId="7909E42A" w14:textId="0B83125A" w:rsidR="007D5795" w:rsidRDefault="007D5795" w:rsidP="007D5795">
      <w:pPr>
        <w:pStyle w:val="SangriaFrancesaArticulo"/>
      </w:pPr>
    </w:p>
    <w:p w14:paraId="2B6E75D9" w14:textId="77777777" w:rsidR="007D5795" w:rsidRDefault="007D5795" w:rsidP="007D5795">
      <w:pPr>
        <w:pStyle w:val="TextoNormalNegritaCursivandice"/>
        <w:keepNext/>
      </w:pPr>
      <w:r>
        <w:t>Sentencia 796/2023, de 6 de marzo, de la Sala de lo Contencioso-Administrativo del Tribunal Supremo (ECLI:ES:TS:2023:796)</w:t>
      </w:r>
    </w:p>
    <w:p w14:paraId="38FC3022" w14:textId="59501D3E" w:rsidR="007D5795" w:rsidRDefault="007D5795" w:rsidP="007D5795">
      <w:pPr>
        <w:pStyle w:val="SangriaFrancesaArticulo"/>
      </w:pPr>
      <w:r>
        <w:t xml:space="preserve">Sentencia </w:t>
      </w:r>
      <w:hyperlink w:anchor="SENTENCIA_2024_119" w:history="1">
        <w:r w:rsidRPr="007D5795">
          <w:rPr>
            <w:rStyle w:val="TextoNormalCaracter"/>
          </w:rPr>
          <w:t>119/2024</w:t>
        </w:r>
      </w:hyperlink>
      <w:r>
        <w:t>, f. 3.</w:t>
      </w:r>
    </w:p>
    <w:p w14:paraId="22B73473" w14:textId="6963E95B" w:rsidR="007D5795" w:rsidRDefault="007D5795" w:rsidP="007D5795">
      <w:pPr>
        <w:pStyle w:val="SangriaFrancesaArticulo"/>
      </w:pPr>
    </w:p>
    <w:p w14:paraId="0735CD2B" w14:textId="77777777" w:rsidR="007D5795" w:rsidRDefault="007D5795" w:rsidP="007D5795">
      <w:pPr>
        <w:pStyle w:val="TextoNormalNegritaCursivandice"/>
        <w:keepNext/>
      </w:pPr>
      <w:r>
        <w:t>Sentencia 743/2023, de 5 de octubre de 2023, de la Sala de lo Penal del Tribunal Supremo (ECLI:ES:TS:2023:4214)</w:t>
      </w:r>
    </w:p>
    <w:p w14:paraId="17A06BA7" w14:textId="18C76E68"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18" w:history="1">
        <w:r w:rsidRPr="007D5795">
          <w:rPr>
            <w:rStyle w:val="TextoNormalCaracter"/>
          </w:rPr>
          <w:t>118/2024</w:t>
        </w:r>
      </w:hyperlink>
      <w:r>
        <w:t>, VP I.</w:t>
      </w:r>
    </w:p>
    <w:p w14:paraId="1F0E2BC1" w14:textId="7DB15896" w:rsidR="007D5795" w:rsidRDefault="007D5795" w:rsidP="007D5795">
      <w:pPr>
        <w:pStyle w:val="SangriaFrancesaArticulo"/>
      </w:pPr>
    </w:p>
    <w:p w14:paraId="48D91FFC" w14:textId="77777777" w:rsidR="007D5795" w:rsidRDefault="007D5795" w:rsidP="007D5795">
      <w:pPr>
        <w:pStyle w:val="TextoNormalNegritaCursivandice"/>
        <w:keepNext/>
      </w:pPr>
      <w:r>
        <w:t>Sentencia 150/2024, de 31 de enero, de la Sala de lo Contencioso-Administrativo del Tribunal Supremo (ECLI:ES:TS:2024:481)</w:t>
      </w:r>
    </w:p>
    <w:p w14:paraId="7546FD9B" w14:textId="25F1BD5D" w:rsidR="007D5795" w:rsidRDefault="007D5795" w:rsidP="007D5795">
      <w:pPr>
        <w:pStyle w:val="SangriaFrancesaArticulo"/>
      </w:pPr>
      <w:r>
        <w:t xml:space="preserve">Sentencia </w:t>
      </w:r>
      <w:hyperlink w:anchor="SENTENCIA_2024_119" w:history="1">
        <w:r w:rsidRPr="007D5795">
          <w:rPr>
            <w:rStyle w:val="TextoNormalCaracter"/>
          </w:rPr>
          <w:t>119/2024</w:t>
        </w:r>
      </w:hyperlink>
      <w:r>
        <w:t>, f. 3.</w:t>
      </w:r>
    </w:p>
    <w:p w14:paraId="1DD5D6E6" w14:textId="2FA20282" w:rsidR="007D5795" w:rsidRDefault="007D5795" w:rsidP="007D5795">
      <w:pPr>
        <w:pStyle w:val="SangriaFrancesaArticulo"/>
      </w:pPr>
    </w:p>
    <w:p w14:paraId="39CF146A" w14:textId="77777777" w:rsidR="007D5795" w:rsidRDefault="007D5795" w:rsidP="007D5795">
      <w:pPr>
        <w:pStyle w:val="TextoNormalNegritaCursivandice"/>
        <w:keepNext/>
      </w:pPr>
      <w:r>
        <w:t>Sentencia 1612/2024, de 15 de octubre de 2024, de la Sala de lo Social del Tribunal Supremo (ECLI:ES:TS:2024:4948)</w:t>
      </w:r>
    </w:p>
    <w:p w14:paraId="46C8B6B4" w14:textId="3809692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0" w:history="1">
        <w:r w:rsidRPr="007D5795">
          <w:rPr>
            <w:rStyle w:val="TextoNormalCaracter"/>
          </w:rPr>
          <w:t>140/2024</w:t>
        </w:r>
      </w:hyperlink>
      <w:r>
        <w:t>, f. 3.</w:t>
      </w:r>
    </w:p>
    <w:p w14:paraId="673805BF" w14:textId="6B4164E6" w:rsidR="007D5795" w:rsidRDefault="007D5795" w:rsidP="007D5795">
      <w:pPr>
        <w:pStyle w:val="TextoNormal"/>
      </w:pPr>
    </w:p>
    <w:p w14:paraId="1E27201A" w14:textId="77777777" w:rsidR="007D5795" w:rsidRDefault="007D5795" w:rsidP="007D5795">
      <w:pPr>
        <w:pStyle w:val="SangriaFrancesaArticulo"/>
      </w:pPr>
      <w:bookmarkStart w:id="187" w:name="INDICE22926"/>
    </w:p>
    <w:bookmarkEnd w:id="187"/>
    <w:p w14:paraId="3767F755" w14:textId="77777777" w:rsidR="007D5795" w:rsidRDefault="007D5795" w:rsidP="007D5795">
      <w:pPr>
        <w:pStyle w:val="TextoIndiceNivel2"/>
        <w:suppressAutoHyphens/>
      </w:pPr>
      <w:r>
        <w:t>D) Otros Tribunales</w:t>
      </w:r>
    </w:p>
    <w:p w14:paraId="6D894A0D" w14:textId="46EAC3D7" w:rsidR="007D5795" w:rsidRDefault="007D5795" w:rsidP="007D5795">
      <w:pPr>
        <w:pStyle w:val="TextoIndiceNivel2"/>
      </w:pPr>
    </w:p>
    <w:p w14:paraId="2F878589" w14:textId="77777777" w:rsidR="007D5795" w:rsidRDefault="007D5795" w:rsidP="007D5795">
      <w:pPr>
        <w:pStyle w:val="TextoNormalNegritaCursivandice"/>
        <w:keepNext/>
      </w:pPr>
      <w:r>
        <w:t>Sentencia de la Corte Provincial de Justicia de Loja, de 30 de marzo de 2011, que reconoce los derechos del Rio Vilcabamba</w:t>
      </w:r>
    </w:p>
    <w:p w14:paraId="6C952D25" w14:textId="20C006D6"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VP.</w:t>
      </w:r>
    </w:p>
    <w:p w14:paraId="02BECDCF" w14:textId="6CEA1E31" w:rsidR="007D5795" w:rsidRDefault="007D5795" w:rsidP="007D5795">
      <w:pPr>
        <w:pStyle w:val="SangriaFrancesaArticulo"/>
      </w:pPr>
    </w:p>
    <w:p w14:paraId="1A9FCD06" w14:textId="77777777" w:rsidR="007D5795" w:rsidRDefault="007D5795" w:rsidP="007D5795">
      <w:pPr>
        <w:pStyle w:val="TextoNormalNegritaCursivandice"/>
        <w:keepNext/>
      </w:pPr>
      <w:r>
        <w:t>Sentencia 149/2019, de 19 de diciembre, de la Sala de lo Civil y Penal del Tribunal Superior de Justicia de Cataluña (ECLI:ES:TSJCAT:2019:10607)</w:t>
      </w:r>
    </w:p>
    <w:p w14:paraId="13A74EAC" w14:textId="47A654D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52" w:history="1">
        <w:r w:rsidRPr="007D5795">
          <w:rPr>
            <w:rStyle w:val="TextoNormalCaracter"/>
          </w:rPr>
          <w:t>152/2024</w:t>
        </w:r>
      </w:hyperlink>
      <w:r>
        <w:t>, ff. 1, 5.</w:t>
      </w:r>
    </w:p>
    <w:p w14:paraId="4AB71085" w14:textId="6C019468" w:rsidR="007D5795" w:rsidRDefault="007D5795" w:rsidP="007D5795">
      <w:pPr>
        <w:pStyle w:val="SangriaFrancesaArticulo"/>
      </w:pPr>
    </w:p>
    <w:p w14:paraId="7A5FFEAC" w14:textId="77777777" w:rsidR="007D5795" w:rsidRDefault="007D5795" w:rsidP="007D5795">
      <w:pPr>
        <w:pStyle w:val="TextoNormalNegritaCursivandice"/>
        <w:keepNext/>
      </w:pPr>
      <w:r>
        <w:t>Sentencia del Tribunal Supremo de Holanda, de 20 de diciembre de 2019 (Stichting Urgenda c. State of the Netherlands. ECLI:NL:HR:2019:2007)</w:t>
      </w:r>
    </w:p>
    <w:p w14:paraId="4A295838" w14:textId="78BDDE6D"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3, VP.</w:t>
      </w:r>
    </w:p>
    <w:p w14:paraId="30406534" w14:textId="317755F5" w:rsidR="007D5795" w:rsidRDefault="007D5795" w:rsidP="007D5795">
      <w:pPr>
        <w:pStyle w:val="SangriaFrancesaArticulo"/>
      </w:pPr>
    </w:p>
    <w:p w14:paraId="57819599" w14:textId="77777777" w:rsidR="007D5795" w:rsidRDefault="007D5795" w:rsidP="007D5795">
      <w:pPr>
        <w:pStyle w:val="TextoNormalNegritaCursivandice"/>
        <w:keepNext/>
      </w:pPr>
      <w:r>
        <w:t>Auto del Tribunal Constitucional Federal Alemán de 24 de marzo de 2021 (protección del clima)</w:t>
      </w:r>
    </w:p>
    <w:p w14:paraId="3383C20B" w14:textId="57F8D829"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f. 3, VP.</w:t>
      </w:r>
    </w:p>
    <w:p w14:paraId="0C2ED2B6" w14:textId="02F81770" w:rsidR="007D5795" w:rsidRDefault="007D5795" w:rsidP="007D5795">
      <w:pPr>
        <w:pStyle w:val="SangriaFrancesaArticulo"/>
      </w:pPr>
      <w:r w:rsidRPr="007D5795">
        <w:rPr>
          <w:rStyle w:val="TextoNormalNegritaCaracter"/>
        </w:rPr>
        <w:t>§ 144 a 150.</w:t>
      </w:r>
      <w:r w:rsidRPr="007D5795">
        <w:rPr>
          <w:rStyle w:val="TextoNormalCaracter"/>
        </w:rPr>
        <w:t>-</w:t>
      </w:r>
      <w:r>
        <w:t xml:space="preserve"> Sentencia </w:t>
      </w:r>
      <w:hyperlink w:anchor="SENTENCIA_2024_142" w:history="1">
        <w:r w:rsidRPr="007D5795">
          <w:rPr>
            <w:rStyle w:val="TextoNormalCaracter"/>
          </w:rPr>
          <w:t>142/2024</w:t>
        </w:r>
      </w:hyperlink>
      <w:r>
        <w:t>, VP.</w:t>
      </w:r>
    </w:p>
    <w:p w14:paraId="56725132" w14:textId="6FF2482F" w:rsidR="007D5795" w:rsidRDefault="007D5795" w:rsidP="007D5795">
      <w:pPr>
        <w:pStyle w:val="SangriaFrancesaArticulo"/>
      </w:pPr>
      <w:r w:rsidRPr="007D5795">
        <w:rPr>
          <w:rStyle w:val="TextoNormalNegritaCaracter"/>
        </w:rPr>
        <w:t>§ 182 a 187.</w:t>
      </w:r>
      <w:r w:rsidRPr="007D5795">
        <w:rPr>
          <w:rStyle w:val="TextoNormalCaracter"/>
        </w:rPr>
        <w:t>-</w:t>
      </w:r>
      <w:r>
        <w:t xml:space="preserve"> Sentencia </w:t>
      </w:r>
      <w:hyperlink w:anchor="SENTENCIA_2024_142" w:history="1">
        <w:r w:rsidRPr="007D5795">
          <w:rPr>
            <w:rStyle w:val="TextoNormalCaracter"/>
          </w:rPr>
          <w:t>142/2024</w:t>
        </w:r>
      </w:hyperlink>
      <w:r>
        <w:t>, VP.</w:t>
      </w:r>
    </w:p>
    <w:p w14:paraId="24CE03BC" w14:textId="37F42F00" w:rsidR="007D5795" w:rsidRDefault="007D5795" w:rsidP="007D5795">
      <w:pPr>
        <w:pStyle w:val="SangriaFrancesaArticulo"/>
      </w:pPr>
      <w:r w:rsidRPr="007D5795">
        <w:rPr>
          <w:rStyle w:val="TextoNormalNegritaCaracter"/>
        </w:rPr>
        <w:t>§ 188 a 194.</w:t>
      </w:r>
      <w:r w:rsidRPr="007D5795">
        <w:rPr>
          <w:rStyle w:val="TextoNormalCaracter"/>
        </w:rPr>
        <w:t>-</w:t>
      </w:r>
      <w:r>
        <w:t xml:space="preserve"> Sentencia </w:t>
      </w:r>
      <w:hyperlink w:anchor="SENTENCIA_2024_142" w:history="1">
        <w:r w:rsidRPr="007D5795">
          <w:rPr>
            <w:rStyle w:val="TextoNormalCaracter"/>
          </w:rPr>
          <w:t>142/2024</w:t>
        </w:r>
      </w:hyperlink>
      <w:r>
        <w:t>, VP.</w:t>
      </w:r>
    </w:p>
    <w:p w14:paraId="680D94FB" w14:textId="6C1961E8" w:rsidR="007D5795" w:rsidRDefault="007D5795" w:rsidP="007D5795">
      <w:pPr>
        <w:pStyle w:val="SangriaFrancesaArticulo"/>
      </w:pPr>
    </w:p>
    <w:p w14:paraId="2DD5620A" w14:textId="77777777" w:rsidR="007D5795" w:rsidRDefault="007D5795" w:rsidP="007D5795">
      <w:pPr>
        <w:pStyle w:val="TextoNormalNegritaCursivandice"/>
        <w:keepNext/>
      </w:pPr>
      <w:r>
        <w:t>Sentencia de la Corte Constitucional del Ecuador, de 9 de junio de 2021, sobre el reglamento ambiental de actividades mineras</w:t>
      </w:r>
    </w:p>
    <w:p w14:paraId="4291915A" w14:textId="488DA59C"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VP.</w:t>
      </w:r>
    </w:p>
    <w:p w14:paraId="32783143" w14:textId="4806A916" w:rsidR="007D5795" w:rsidRDefault="007D5795" w:rsidP="007D5795">
      <w:pPr>
        <w:pStyle w:val="SangriaFrancesaArticulo"/>
      </w:pPr>
    </w:p>
    <w:p w14:paraId="3F82B5F1" w14:textId="77777777" w:rsidR="007D5795" w:rsidRDefault="007D5795" w:rsidP="007D5795">
      <w:pPr>
        <w:pStyle w:val="TextoNormalNegritaCursivandice"/>
        <w:keepNext/>
      </w:pPr>
      <w:r>
        <w:t>Sentencia de la Corte Constitucional del Ecuador, de 8 de septiembre de 2021, que reconoce como titular de derechos a los Manglares</w:t>
      </w:r>
    </w:p>
    <w:p w14:paraId="2F7B5390" w14:textId="6E7C17E2"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VP.</w:t>
      </w:r>
    </w:p>
    <w:p w14:paraId="2A7A12DD" w14:textId="28325F36" w:rsidR="007D5795" w:rsidRDefault="007D5795" w:rsidP="007D5795">
      <w:pPr>
        <w:pStyle w:val="SangriaFrancesaArticulo"/>
      </w:pPr>
    </w:p>
    <w:p w14:paraId="52DF3EC4" w14:textId="77777777" w:rsidR="007D5795" w:rsidRDefault="007D5795" w:rsidP="007D5795">
      <w:pPr>
        <w:pStyle w:val="TextoNormalNegritaCursivandice"/>
        <w:keepNext/>
      </w:pPr>
      <w:r>
        <w:t>Sentencia de la Corte Constitucional del Ecuador, de 10 de noviembre de 2021, sobre el Bosque Protector Los Cedros</w:t>
      </w:r>
    </w:p>
    <w:p w14:paraId="05BF5D66" w14:textId="7D798EDB" w:rsidR="007D5795" w:rsidRDefault="007D5795" w:rsidP="007D5795">
      <w:pPr>
        <w:pStyle w:val="SangriaFrancesaArticulo"/>
      </w:pPr>
      <w:r w:rsidRPr="007D5795">
        <w:rPr>
          <w:rStyle w:val="TextoNormalNegritaCaracter"/>
        </w:rPr>
        <w:t>En general.</w:t>
      </w:r>
      <w:r w:rsidRPr="007D5795">
        <w:rPr>
          <w:rStyle w:val="TextoNormalCaracter"/>
        </w:rPr>
        <w:t>-</w:t>
      </w:r>
      <w:r>
        <w:t xml:space="preserve"> Sentencia </w:t>
      </w:r>
      <w:hyperlink w:anchor="SENTENCIA_2024_142" w:history="1">
        <w:r w:rsidRPr="007D5795">
          <w:rPr>
            <w:rStyle w:val="TextoNormalCaracter"/>
          </w:rPr>
          <w:t>142/2024</w:t>
        </w:r>
      </w:hyperlink>
      <w:r>
        <w:t>, VP.</w:t>
      </w:r>
    </w:p>
    <w:p w14:paraId="79DF6F3F" w14:textId="0BBBABBE" w:rsidR="007D5795" w:rsidRDefault="007D5795">
      <w:pPr>
        <w:spacing w:after="160" w:line="278" w:lineRule="auto"/>
        <w:rPr>
          <w:rFonts w:ascii="Times New Roman" w:eastAsia="Times New Roman" w:hAnsi="Times New Roman" w:cs="Times New Roman"/>
          <w:sz w:val="24"/>
          <w:szCs w:val="24"/>
          <w:lang w:eastAsia="es-ES"/>
        </w:rPr>
      </w:pPr>
      <w:r>
        <w:br w:type="page"/>
      </w:r>
    </w:p>
    <w:p w14:paraId="39B84235" w14:textId="77777777" w:rsidR="007D5795" w:rsidRDefault="007D5795" w:rsidP="007D5795">
      <w:pPr>
        <w:pStyle w:val="SangriaFrancesaArticulo"/>
      </w:pPr>
      <w:bookmarkStart w:id="188" w:name="DESCRIPTOR1"/>
      <w:bookmarkStart w:id="189" w:name="DESCRIPTOR2"/>
      <w:bookmarkStart w:id="190" w:name="DESCRIPTOR3"/>
      <w:bookmarkStart w:id="191" w:name="DESCRIPTOR4"/>
      <w:bookmarkStart w:id="192" w:name="DESCRIPTOR5"/>
      <w:bookmarkStart w:id="193" w:name="DESCRIPTOR6"/>
      <w:bookmarkStart w:id="194" w:name="DESCRIPTOR7"/>
      <w:bookmarkStart w:id="195" w:name="DESCRIPTOR8"/>
      <w:bookmarkStart w:id="196" w:name="DESCRIPTOR9"/>
      <w:bookmarkStart w:id="197" w:name="DESCRIPTOR10"/>
      <w:bookmarkStart w:id="198" w:name="DESCRIPTOR11"/>
      <w:bookmarkStart w:id="199" w:name="DESCRIPTOR12"/>
      <w:bookmarkStart w:id="200" w:name="DESCRIPTOR13"/>
      <w:bookmarkStart w:id="201" w:name="DESCRIPTOR14"/>
      <w:bookmarkStart w:id="202" w:name="DESCRIPTOR15"/>
      <w:bookmarkStart w:id="203" w:name="DESCRIPTOR16"/>
      <w:bookmarkStart w:id="204" w:name="DESCRIPTOR17"/>
      <w:bookmarkStart w:id="205" w:name="DESCRIPTOR18"/>
      <w:bookmarkStart w:id="206" w:name="DESCRIPTOR19"/>
      <w:bookmarkStart w:id="207" w:name="DESCRIPTOR20"/>
      <w:bookmarkStart w:id="208" w:name="DESCRIPTOR21"/>
      <w:bookmarkStart w:id="209" w:name="DESCRIPTOR22"/>
      <w:bookmarkStart w:id="210" w:name="DESCRIPTOR23"/>
      <w:bookmarkStart w:id="211" w:name="DESCRIPTOR24"/>
      <w:bookmarkStart w:id="212" w:name="DESCRIPTOR25"/>
      <w:bookmarkStart w:id="213" w:name="DESCRIPTOR26"/>
      <w:bookmarkStart w:id="214" w:name="DESCRIPTOR27"/>
      <w:bookmarkStart w:id="215" w:name="DESCRIPTOR28"/>
      <w:bookmarkStart w:id="216" w:name="DESCRIPTOR29"/>
      <w:bookmarkStart w:id="217" w:name="DESCRIPTOR30"/>
      <w:bookmarkStart w:id="218" w:name="DESCRIPTOR31"/>
      <w:bookmarkStart w:id="219" w:name="DESCRIPTOR32"/>
      <w:bookmarkStart w:id="220" w:name="DESCRIPTOR33"/>
      <w:bookmarkStart w:id="221" w:name="DESCRIPTOR34"/>
      <w:bookmarkStart w:id="222" w:name="DESCRIPTOR35"/>
      <w:bookmarkStart w:id="223" w:name="DESCRIPTOR36"/>
      <w:bookmarkStart w:id="224" w:name="DESCRIPTOR37"/>
      <w:bookmarkStart w:id="225" w:name="DESCRIPTOR38"/>
      <w:bookmarkStart w:id="226" w:name="DESCRIPTOR39"/>
      <w:bookmarkStart w:id="227" w:name="DESCRIPTOR40"/>
      <w:bookmarkStart w:id="228" w:name="DESCRIPTOR41"/>
      <w:bookmarkStart w:id="229" w:name="DESCRIPTOR42"/>
      <w:bookmarkStart w:id="230" w:name="DESCRIPTOR43"/>
      <w:bookmarkStart w:id="231" w:name="DESCRIPTOR44"/>
      <w:bookmarkStart w:id="232" w:name="DESCRIPTOR45"/>
      <w:bookmarkStart w:id="233" w:name="DESCRIPTOR46"/>
      <w:bookmarkStart w:id="234" w:name="DESCRIPTOR47"/>
      <w:bookmarkStart w:id="235" w:name="DESCRIPTOR48"/>
      <w:bookmarkStart w:id="236" w:name="DESCRIPTOR49"/>
      <w:bookmarkStart w:id="237" w:name="DESCRIPTOR50"/>
      <w:bookmarkStart w:id="238" w:name="DESCRIPTOR51"/>
      <w:bookmarkStart w:id="239" w:name="DESCRIPTOR52"/>
      <w:bookmarkStart w:id="240" w:name="DESCRIPTOR53"/>
      <w:bookmarkStart w:id="241" w:name="DESCRIPTOR54"/>
      <w:bookmarkStart w:id="242" w:name="DESCRIPTOR55"/>
      <w:bookmarkStart w:id="243" w:name="DESCRIPTOR56"/>
      <w:bookmarkStart w:id="244" w:name="DESCRIPTOR57"/>
      <w:bookmarkStart w:id="245" w:name="DESCRIPTOR58"/>
      <w:bookmarkStart w:id="246" w:name="DESCRIPTOR59"/>
      <w:bookmarkStart w:id="247" w:name="DESCRIPTOR60"/>
      <w:bookmarkStart w:id="248" w:name="DESCRIPTOR61"/>
      <w:bookmarkStart w:id="249" w:name="DESCRIPTOR62"/>
      <w:bookmarkStart w:id="250" w:name="DESCRIPTOR63"/>
      <w:bookmarkStart w:id="251" w:name="DESCRIPTOR64"/>
      <w:bookmarkStart w:id="252" w:name="DESCRIPTOR65"/>
      <w:bookmarkStart w:id="253" w:name="DESCRIPTOR66"/>
      <w:bookmarkStart w:id="254" w:name="DESCRIPTOR67"/>
      <w:bookmarkStart w:id="255" w:name="DESCRIPTOR68"/>
      <w:bookmarkStart w:id="256" w:name="DESCRIPTOR69"/>
      <w:bookmarkStart w:id="257" w:name="DESCRIPTOR70"/>
      <w:bookmarkStart w:id="258" w:name="DESCRIPTOR71"/>
      <w:bookmarkStart w:id="259" w:name="DESCRIPTOR72"/>
      <w:bookmarkStart w:id="260" w:name="DESCRIPTOR73"/>
      <w:bookmarkStart w:id="261" w:name="DESCRIPTOR74"/>
      <w:bookmarkStart w:id="262" w:name="DESCRIPTOR75"/>
      <w:bookmarkStart w:id="263" w:name="DESCRIPTOR76"/>
      <w:bookmarkStart w:id="264" w:name="DESCRIPTOR77"/>
      <w:bookmarkStart w:id="265" w:name="DESCRIPTOR78"/>
      <w:bookmarkStart w:id="266" w:name="DESCRIPTOR79"/>
      <w:bookmarkStart w:id="267" w:name="DESCRIPTOR80"/>
      <w:bookmarkStart w:id="268" w:name="DESCRIPTOR81"/>
      <w:bookmarkStart w:id="269" w:name="DESCRIPTOR82"/>
      <w:bookmarkStart w:id="270" w:name="DESCRIPTOR83"/>
      <w:bookmarkStart w:id="271" w:name="DESCRIPTOR84"/>
      <w:bookmarkStart w:id="272" w:name="DESCRIPTOR85"/>
      <w:bookmarkStart w:id="273" w:name="DESCRIPTOR86"/>
      <w:bookmarkStart w:id="274" w:name="DESCRIPTOR87"/>
      <w:bookmarkStart w:id="275" w:name="DESCRIPTOR88"/>
      <w:bookmarkStart w:id="276" w:name="DESCRIPTOR89"/>
      <w:bookmarkStart w:id="277" w:name="DESCRIPTOR90"/>
      <w:bookmarkStart w:id="278" w:name="DESCRIPTOR91"/>
      <w:bookmarkStart w:id="279" w:name="DESCRIPTOR92"/>
      <w:bookmarkStart w:id="280" w:name="DESCRIPTOR93"/>
      <w:bookmarkStart w:id="281" w:name="DESCRIPTOR94"/>
      <w:bookmarkStart w:id="282" w:name="DESCRIPTOR95"/>
      <w:bookmarkStart w:id="283" w:name="DESCRIPTOR96"/>
      <w:bookmarkStart w:id="284" w:name="DESCRIPTOR97"/>
      <w:bookmarkStart w:id="285" w:name="DESCRIPTOR98"/>
      <w:bookmarkStart w:id="286" w:name="DESCRIPTOR99"/>
      <w:bookmarkStart w:id="287" w:name="DESCRIPTOR100"/>
      <w:bookmarkStart w:id="288" w:name="DESCRIPTOR101"/>
      <w:bookmarkStart w:id="289" w:name="DESCRIPTOR102"/>
      <w:bookmarkStart w:id="290" w:name="DESCRIPTOR103"/>
      <w:bookmarkStart w:id="291" w:name="DESCRIPTOR104"/>
      <w:bookmarkStart w:id="292" w:name="DESCRIPTOR105"/>
      <w:bookmarkStart w:id="293" w:name="DESCRIPTOR106"/>
      <w:bookmarkStart w:id="294" w:name="DESCRIPTOR107"/>
      <w:bookmarkStart w:id="295" w:name="DESCRIPTOR108"/>
      <w:bookmarkStart w:id="296" w:name="DESCRIPTOR109"/>
      <w:bookmarkStart w:id="297" w:name="DESCRIPTOR110"/>
      <w:bookmarkStart w:id="298" w:name="DESCRIPTOR111"/>
      <w:bookmarkStart w:id="299" w:name="DESCRIPTOR112"/>
      <w:bookmarkStart w:id="300" w:name="DESCRIPTOR113"/>
      <w:bookmarkStart w:id="301" w:name="DESCRIPTOR114"/>
      <w:bookmarkStart w:id="302" w:name="DESCRIPTOR115"/>
      <w:bookmarkStart w:id="303" w:name="DESCRIPTOR116"/>
      <w:bookmarkStart w:id="304" w:name="DESCRIPTOR117"/>
      <w:bookmarkStart w:id="305" w:name="DESCRIPTOR118"/>
      <w:bookmarkStart w:id="306" w:name="DESCRIPTOR119"/>
      <w:bookmarkStart w:id="307" w:name="DESCRIPTOR120"/>
      <w:bookmarkStart w:id="308" w:name="DESCRIPTOR121"/>
      <w:bookmarkStart w:id="309" w:name="DESCRIPTOR122"/>
      <w:bookmarkStart w:id="310" w:name="DESCRIPTOR123"/>
      <w:bookmarkStart w:id="311" w:name="DESCRIPTOR124"/>
      <w:bookmarkStart w:id="312" w:name="DESCRIPTOR125"/>
      <w:bookmarkStart w:id="313" w:name="DESCRIPTOR126"/>
      <w:bookmarkStart w:id="314" w:name="DESCRIPTOR127"/>
      <w:bookmarkStart w:id="315" w:name="DESCRIPTOR128"/>
      <w:bookmarkStart w:id="316" w:name="DESCRIPTOR129"/>
      <w:bookmarkStart w:id="317" w:name="DESCRIPTOR130"/>
      <w:bookmarkStart w:id="318" w:name="DESCRIPTOR131"/>
      <w:bookmarkStart w:id="319" w:name="DESCRIPTOR132"/>
      <w:bookmarkStart w:id="320" w:name="DESCRIPTOR133"/>
      <w:bookmarkStart w:id="321" w:name="DESCRIPTOR134"/>
      <w:bookmarkStart w:id="322" w:name="DESCRIPTOR135"/>
      <w:bookmarkStart w:id="323" w:name="DESCRIPTOR136"/>
      <w:bookmarkStart w:id="324" w:name="DESCRIPTOR137"/>
      <w:bookmarkStart w:id="325" w:name="DESCRIPTOR138"/>
      <w:bookmarkStart w:id="326" w:name="DESCRIPTOR139"/>
      <w:bookmarkStart w:id="327" w:name="DESCRIPTOR140"/>
      <w:bookmarkStart w:id="328" w:name="DESCRIPTOR141"/>
      <w:bookmarkStart w:id="329" w:name="DESCRIPTOR142"/>
      <w:bookmarkStart w:id="330" w:name="DESCRIPTOR143"/>
      <w:bookmarkStart w:id="331" w:name="DESCRIPTOR144"/>
      <w:bookmarkStart w:id="332" w:name="DESCRIPTOR145"/>
      <w:bookmarkStart w:id="333" w:name="DESCRIPTOR146"/>
      <w:bookmarkStart w:id="334" w:name="DESCRIPTOR147"/>
      <w:bookmarkStart w:id="335" w:name="DESCRIPTOR148"/>
      <w:bookmarkStart w:id="336" w:name="DESCRIPTOR149"/>
      <w:bookmarkStart w:id="337" w:name="DESCRIPTOR150"/>
      <w:bookmarkStart w:id="338" w:name="DESCRIPTOR151"/>
      <w:bookmarkStart w:id="339" w:name="DESCRIPTOR152"/>
      <w:bookmarkStart w:id="340" w:name="DESCRIPTOR153"/>
      <w:bookmarkStart w:id="341" w:name="DESCRIPTOR154"/>
      <w:bookmarkStart w:id="342" w:name="DESCRIPTOR155"/>
      <w:bookmarkStart w:id="343" w:name="DESCRIPTOR156"/>
      <w:bookmarkStart w:id="344" w:name="DESCRIPTOR157"/>
      <w:bookmarkStart w:id="345" w:name="DESCRIPTOR158"/>
      <w:bookmarkStart w:id="346" w:name="DESCRIPTOR159"/>
      <w:bookmarkStart w:id="347" w:name="DESCRIPTOR160"/>
      <w:bookmarkStart w:id="348" w:name="DESCRIPTOR161"/>
      <w:bookmarkStart w:id="349" w:name="DESCRIPTOR162"/>
      <w:bookmarkStart w:id="350" w:name="DESCRIPTOR163"/>
      <w:bookmarkStart w:id="351" w:name="DESCRIPTOR164"/>
      <w:bookmarkStart w:id="352" w:name="DESCRIPTOR165"/>
      <w:bookmarkStart w:id="353" w:name="DESCRIPTOR166"/>
      <w:bookmarkStart w:id="354" w:name="DESCRIPTOR167"/>
      <w:bookmarkStart w:id="355" w:name="DESCRIPTOR168"/>
      <w:bookmarkStart w:id="356" w:name="DESCRIPTOR169"/>
      <w:bookmarkStart w:id="357" w:name="DESCRIPTOR170"/>
      <w:bookmarkStart w:id="358" w:name="DESCRIPTOR171"/>
      <w:bookmarkStart w:id="359" w:name="DESCRIPTOR172"/>
      <w:bookmarkStart w:id="360" w:name="DESCRIPTOR173"/>
      <w:bookmarkStart w:id="361" w:name="DESCRIPTOR174"/>
      <w:bookmarkStart w:id="362" w:name="DESCRIPTOR175"/>
      <w:bookmarkStart w:id="363" w:name="DESCRIPTOR176"/>
      <w:bookmarkStart w:id="364" w:name="DESCRIPTOR177"/>
      <w:bookmarkStart w:id="365" w:name="DESCRIPTOR178"/>
      <w:bookmarkStart w:id="366" w:name="DESCRIPTOR179"/>
      <w:bookmarkStart w:id="367" w:name="DESCRIPTOR180"/>
      <w:bookmarkStart w:id="368" w:name="DESCRIPTOR181"/>
      <w:bookmarkStart w:id="369" w:name="DESCRIPTOR182"/>
      <w:bookmarkStart w:id="370" w:name="DESCRIPTOR183"/>
      <w:bookmarkStart w:id="371" w:name="DESCRIPTOR184"/>
      <w:bookmarkStart w:id="372" w:name="DESCRIPTOR185"/>
      <w:bookmarkStart w:id="373" w:name="DESCRIPTOR186"/>
      <w:bookmarkStart w:id="374" w:name="DESCRIPTOR187"/>
      <w:bookmarkStart w:id="375" w:name="DESCRIPTOR188"/>
      <w:bookmarkStart w:id="376" w:name="DESCRIPTOR189"/>
      <w:bookmarkStart w:id="377" w:name="DESCRIPTOR190"/>
      <w:bookmarkStart w:id="378" w:name="DESCRIPTOR191"/>
      <w:bookmarkStart w:id="379" w:name="DESCRIPTOR192"/>
      <w:bookmarkStart w:id="380" w:name="DESCRIPTOR193"/>
      <w:bookmarkStart w:id="381" w:name="DESCRIPTOR194"/>
      <w:bookmarkStart w:id="382" w:name="DESCRIPTOR195"/>
      <w:bookmarkStart w:id="383" w:name="DESCRIPTOR196"/>
      <w:bookmarkStart w:id="384" w:name="DESCRIPTOR197"/>
      <w:bookmarkStart w:id="385" w:name="DESCRIPTOR198"/>
      <w:bookmarkStart w:id="386" w:name="DESCRIPTOR199"/>
      <w:bookmarkStart w:id="387" w:name="DESCRIPTOR200"/>
      <w:bookmarkStart w:id="388" w:name="DESCRIPTOR201"/>
      <w:bookmarkStart w:id="389" w:name="DESCRIPTOR202"/>
      <w:bookmarkStart w:id="390" w:name="DESCRIPTOR203"/>
      <w:bookmarkStart w:id="391" w:name="DESCRIPTOR204"/>
      <w:bookmarkStart w:id="392" w:name="DESCRIPTOR205"/>
      <w:bookmarkStart w:id="393" w:name="DESCRIPTOR206"/>
      <w:bookmarkStart w:id="394" w:name="DESCRIPTOR207"/>
      <w:bookmarkStart w:id="395" w:name="DESCRIPTOR208"/>
      <w:bookmarkStart w:id="396" w:name="DESCRIPTOR209"/>
      <w:bookmarkStart w:id="397" w:name="DESCRIPTOR210"/>
      <w:bookmarkStart w:id="398" w:name="DESCRIPTOR211"/>
      <w:bookmarkStart w:id="399" w:name="DESCRIPTOR212"/>
      <w:bookmarkStart w:id="400" w:name="DESCRIPTOR213"/>
      <w:bookmarkStart w:id="401" w:name="DESCRIPTOR214"/>
      <w:bookmarkStart w:id="402" w:name="DESCRIPTOR215"/>
      <w:bookmarkStart w:id="403" w:name="DESCRIPTOR216"/>
      <w:bookmarkStart w:id="404" w:name="DESCRIPTOR217"/>
      <w:bookmarkStart w:id="405" w:name="DESCRIPTOR218"/>
      <w:bookmarkStart w:id="406" w:name="DESCRIPTOR219"/>
      <w:bookmarkStart w:id="407" w:name="DESCRIPTOR220"/>
      <w:bookmarkStart w:id="408" w:name="DESCRIPTOR221"/>
      <w:bookmarkStart w:id="409" w:name="DESCRIPTOR222"/>
      <w:bookmarkStart w:id="410" w:name="DESCRIPTOR223"/>
      <w:bookmarkStart w:id="411" w:name="DESCRIPTOR224"/>
      <w:bookmarkStart w:id="412" w:name="DESCRIPTOR225"/>
      <w:bookmarkStart w:id="413" w:name="DESCRIPTOR226"/>
      <w:bookmarkStart w:id="414" w:name="DESCRIPTOR227"/>
      <w:bookmarkStart w:id="415" w:name="DESCRIPTOR228"/>
      <w:bookmarkStart w:id="416" w:name="DESCRIPTOR229"/>
      <w:bookmarkStart w:id="417" w:name="DESCRIPTOR230"/>
      <w:bookmarkStart w:id="418" w:name="DESCRIPTOR231"/>
      <w:bookmarkStart w:id="419" w:name="DESCRIPTOR232"/>
      <w:bookmarkStart w:id="420" w:name="DESCRIPTOR233"/>
      <w:bookmarkStart w:id="421" w:name="DESCRIPTOR234"/>
      <w:bookmarkStart w:id="422" w:name="DESCRIPTOR235"/>
      <w:bookmarkStart w:id="423" w:name="DESCRIPTOR236"/>
      <w:bookmarkStart w:id="424" w:name="DESCRIPTOR237"/>
      <w:bookmarkStart w:id="425" w:name="DESCRIPTOR238"/>
      <w:bookmarkStart w:id="426" w:name="DESCRIPTOR239"/>
      <w:bookmarkStart w:id="427" w:name="DESCRIPTOR240"/>
      <w:bookmarkStart w:id="428" w:name="DESCRIPTOR241"/>
      <w:bookmarkStart w:id="429" w:name="DESCRIPTOR242"/>
      <w:bookmarkStart w:id="430" w:name="DESCRIPTOR243"/>
      <w:bookmarkStart w:id="431" w:name="DESCRIPTOR244"/>
      <w:bookmarkStart w:id="432" w:name="DESCRIPTOR245"/>
      <w:bookmarkStart w:id="433" w:name="DESCRIPTOR246"/>
      <w:bookmarkStart w:id="434" w:name="DESCRIPTOR247"/>
      <w:bookmarkStart w:id="435" w:name="DESCRIPTOR248"/>
      <w:bookmarkStart w:id="436" w:name="DESCRIPTOR249"/>
      <w:bookmarkStart w:id="437" w:name="DESCRIPTOR250"/>
      <w:bookmarkStart w:id="438" w:name="DESCRIPTOR251"/>
      <w:bookmarkStart w:id="439" w:name="DESCRIPTOR252"/>
      <w:bookmarkStart w:id="440" w:name="DESCRIPTOR253"/>
      <w:bookmarkStart w:id="441" w:name="DESCRIPTOR254"/>
      <w:bookmarkStart w:id="442" w:name="DESCRIPTOR255"/>
      <w:bookmarkStart w:id="443" w:name="DESCRIPTOR256"/>
      <w:bookmarkStart w:id="444" w:name="DESCRIPTOR257"/>
      <w:bookmarkStart w:id="445" w:name="DESCRIPTOR258"/>
      <w:bookmarkStart w:id="446" w:name="DESCRIPTOR259"/>
      <w:bookmarkStart w:id="447" w:name="DESCRIPTOR260"/>
      <w:bookmarkStart w:id="448" w:name="DESCRIPTOR261"/>
      <w:bookmarkStart w:id="449" w:name="DESCRIPTOR262"/>
      <w:bookmarkStart w:id="450" w:name="DESCRIPTOR263"/>
      <w:bookmarkStart w:id="451" w:name="DESCRIPTOR264"/>
      <w:bookmarkStart w:id="452" w:name="DESCRIPTOR265"/>
      <w:bookmarkStart w:id="453" w:name="DESCRIPTOR266"/>
      <w:bookmarkStart w:id="454" w:name="DESCRIPTOR267"/>
      <w:bookmarkStart w:id="455" w:name="DESCRIPTOR268"/>
      <w:bookmarkStart w:id="456" w:name="DESCRIPTOR269"/>
      <w:bookmarkStart w:id="457" w:name="DESCRIPTOR270"/>
      <w:bookmarkStart w:id="458" w:name="DESCRIPTOR271"/>
      <w:bookmarkStart w:id="459" w:name="DESCRIPTOR272"/>
      <w:bookmarkStart w:id="460" w:name="DESCRIPTOR273"/>
      <w:bookmarkStart w:id="461" w:name="DESCRIPTOR274"/>
      <w:bookmarkStart w:id="462" w:name="DESCRIPTOR275"/>
      <w:bookmarkStart w:id="463" w:name="DESCRIPTOR276"/>
      <w:bookmarkStart w:id="464" w:name="DESCRIPTOR277"/>
      <w:bookmarkStart w:id="465" w:name="DESCRIPTOR278"/>
      <w:bookmarkStart w:id="466" w:name="DESCRIPTOR279"/>
      <w:bookmarkStart w:id="467" w:name="DESCRIPTOR280"/>
      <w:bookmarkStart w:id="468" w:name="DESCRIPTOR281"/>
      <w:bookmarkStart w:id="469" w:name="DESCRIPTOR282"/>
      <w:bookmarkStart w:id="470" w:name="DESCRIPTOR283"/>
      <w:bookmarkStart w:id="471" w:name="DESCRIPTOR284"/>
      <w:bookmarkStart w:id="472" w:name="DESCRIPTOR285"/>
      <w:bookmarkStart w:id="473" w:name="DESCRIPTOR286"/>
      <w:bookmarkStart w:id="474" w:name="DESCRIPTOR287"/>
      <w:bookmarkStart w:id="475" w:name="DESCRIPTOR288"/>
      <w:bookmarkStart w:id="476" w:name="DESCRIPTOR289"/>
      <w:bookmarkStart w:id="477" w:name="DESCRIPTOR290"/>
      <w:bookmarkStart w:id="478" w:name="DESCRIPTOR291"/>
      <w:bookmarkStart w:id="479" w:name="DESCRIPTOR292"/>
      <w:bookmarkStart w:id="480" w:name="DESCRIPTOR293"/>
      <w:bookmarkStart w:id="481" w:name="DESCRIPTOR294"/>
      <w:bookmarkStart w:id="482" w:name="DESCRIPTOR295"/>
      <w:bookmarkStart w:id="483" w:name="DESCRIPTOR296"/>
      <w:bookmarkStart w:id="484" w:name="DESCRIPTOR297"/>
      <w:bookmarkStart w:id="485" w:name="DESCRIPTOR298"/>
      <w:bookmarkStart w:id="486" w:name="DESCRIPTOR299"/>
      <w:bookmarkStart w:id="487" w:name="DESCRIPTOR300"/>
      <w:bookmarkStart w:id="488" w:name="DESCRIPTOR301"/>
      <w:bookmarkStart w:id="489" w:name="DESCRIPTOR302"/>
      <w:bookmarkStart w:id="490" w:name="DESCRIPTOR303"/>
      <w:bookmarkStart w:id="491" w:name="DESCRIPTOR304"/>
      <w:bookmarkStart w:id="492" w:name="DESCRIPTOR305"/>
      <w:bookmarkStart w:id="493" w:name="DESCRIPTOR306"/>
      <w:bookmarkStart w:id="494" w:name="DESCRIPTOR307"/>
      <w:bookmarkStart w:id="495" w:name="DESCRIPTOR308"/>
      <w:bookmarkStart w:id="496" w:name="DESCRIPTOR309"/>
      <w:bookmarkStart w:id="497" w:name="DESCRIPTOR310"/>
      <w:bookmarkStart w:id="498" w:name="DESCRIPTOR311"/>
      <w:bookmarkStart w:id="499" w:name="DESCRIPTOR312"/>
      <w:bookmarkStart w:id="500" w:name="DESCRIPTOR313"/>
      <w:bookmarkStart w:id="501" w:name="DESCRIPTOR314"/>
      <w:bookmarkStart w:id="502" w:name="DESCRIPTOR315"/>
      <w:bookmarkStart w:id="503" w:name="DESCRIPTOR316"/>
      <w:bookmarkStart w:id="504" w:name="DESCRIPTOR317"/>
      <w:bookmarkStart w:id="505" w:name="DESCRIPTOR318"/>
      <w:bookmarkStart w:id="506" w:name="DESCRIPTOR319"/>
      <w:bookmarkStart w:id="507" w:name="DESCRIPTOR320"/>
      <w:bookmarkStart w:id="508" w:name="DESCRIPTOR321"/>
      <w:bookmarkStart w:id="509" w:name="DESCRIPTOR322"/>
      <w:bookmarkStart w:id="510" w:name="DESCRIPTOR323"/>
      <w:bookmarkStart w:id="511" w:name="DESCRIPTOR324"/>
      <w:bookmarkStart w:id="512" w:name="DESCRIPTOR325"/>
      <w:bookmarkStart w:id="513" w:name="DESCRIPTOR326"/>
      <w:bookmarkStart w:id="514" w:name="DESCRIPTOR327"/>
      <w:bookmarkStart w:id="515" w:name="DESCRIPTOR328"/>
      <w:bookmarkStart w:id="516" w:name="DESCRIPTOR329"/>
      <w:bookmarkStart w:id="517" w:name="DESCRIPTOR330"/>
      <w:bookmarkStart w:id="518" w:name="DESCRIPTOR331"/>
      <w:bookmarkStart w:id="519" w:name="DESCRIPTOR332"/>
      <w:bookmarkStart w:id="520" w:name="DESCRIPTOR333"/>
      <w:bookmarkStart w:id="521" w:name="DESCRIPTOR334"/>
      <w:bookmarkStart w:id="522" w:name="DESCRIPTOR335"/>
      <w:bookmarkStart w:id="523" w:name="DESCRIPTOR336"/>
      <w:bookmarkStart w:id="524" w:name="DESCRIPTOR337"/>
      <w:bookmarkStart w:id="525" w:name="DESCRIPTOR338"/>
      <w:bookmarkStart w:id="526" w:name="DESCRIPTOR339"/>
      <w:bookmarkStart w:id="527" w:name="DESCRIPTOR340"/>
      <w:bookmarkStart w:id="528" w:name="DESCRIPTOR341"/>
      <w:bookmarkStart w:id="529" w:name="DESCRIPTOR342"/>
      <w:bookmarkStart w:id="530" w:name="DESCRIPTOR343"/>
      <w:bookmarkStart w:id="531" w:name="DESCRIPTOR344"/>
      <w:bookmarkStart w:id="532" w:name="DESCRIPTOR345"/>
      <w:bookmarkStart w:id="533" w:name="DESCRIPTOR346"/>
      <w:bookmarkStart w:id="534" w:name="DESCRIPTOR347"/>
      <w:bookmarkStart w:id="535" w:name="DESCRIPTOR348"/>
      <w:bookmarkStart w:id="536" w:name="DESCRIPTOR349"/>
      <w:bookmarkStart w:id="537" w:name="DESCRIPTOR350"/>
      <w:bookmarkStart w:id="538" w:name="DESCRIPTOR351"/>
      <w:bookmarkStart w:id="539" w:name="DESCRIPTOR352"/>
      <w:bookmarkStart w:id="540" w:name="DESCRIPTOR353"/>
      <w:bookmarkStart w:id="541" w:name="DESCRIPTOR354"/>
      <w:bookmarkStart w:id="542" w:name="DESCRIPTOR355"/>
      <w:bookmarkStart w:id="543" w:name="DESCRIPTOR356"/>
      <w:bookmarkStart w:id="544" w:name="DESCRIPTOR357"/>
      <w:bookmarkStart w:id="545" w:name="DESCRIPTOR358"/>
      <w:bookmarkStart w:id="546" w:name="DESCRIPTOR359"/>
      <w:bookmarkStart w:id="547" w:name="DESCRIPTOR360"/>
      <w:bookmarkStart w:id="548" w:name="DESCRIPTOR361"/>
      <w:bookmarkStart w:id="549" w:name="DESCRIPTOR362"/>
      <w:bookmarkStart w:id="550" w:name="DESCRIPTOR363"/>
      <w:bookmarkStart w:id="551" w:name="DESCRIPTOR364"/>
      <w:bookmarkStart w:id="552" w:name="DESCRIPTOR365"/>
      <w:bookmarkStart w:id="553" w:name="DESCRIPTOR366"/>
      <w:bookmarkStart w:id="554" w:name="DESCRIPTOR367"/>
      <w:bookmarkStart w:id="555" w:name="DESCRIPTOR368"/>
      <w:bookmarkStart w:id="556" w:name="DESCRIPTOR369"/>
      <w:bookmarkStart w:id="557" w:name="DESCRIPTOR370"/>
      <w:bookmarkStart w:id="558" w:name="DESCRIPTOR371"/>
      <w:bookmarkStart w:id="559" w:name="DESCRIPTOR372"/>
      <w:bookmarkStart w:id="560" w:name="DESCRIPTOR373"/>
      <w:bookmarkStart w:id="561" w:name="DESCRIPTOR374"/>
      <w:bookmarkStart w:id="562" w:name="DESCRIPTOR375"/>
      <w:bookmarkStart w:id="563" w:name="DESCRIPTOR376"/>
      <w:bookmarkStart w:id="564" w:name="DESCRIPTOR377"/>
      <w:bookmarkStart w:id="565" w:name="DESCRIPTOR378"/>
      <w:bookmarkStart w:id="566" w:name="DESCRIPTOR379"/>
      <w:bookmarkStart w:id="567" w:name="DESCRIPTOR380"/>
      <w:bookmarkStart w:id="568" w:name="DESCRIPTOR381"/>
      <w:bookmarkStart w:id="569" w:name="DESCRIPTOR382"/>
      <w:bookmarkStart w:id="570" w:name="DESCRIPTOR383"/>
      <w:bookmarkStart w:id="571" w:name="INDICE5ALFABETICO"/>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14:paraId="3FA9D590" w14:textId="77777777" w:rsidR="00CD105B" w:rsidRDefault="00CD105B" w:rsidP="00CD105B">
      <w:pPr>
        <w:pStyle w:val="TextoNormal"/>
      </w:pPr>
    </w:p>
    <w:p w14:paraId="5EBDE31A" w14:textId="77777777" w:rsidR="00CD105B" w:rsidRDefault="00CD105B" w:rsidP="00CD105B">
      <w:pPr>
        <w:pStyle w:val="TextoNormal"/>
      </w:pPr>
    </w:p>
    <w:p w14:paraId="60BBF795" w14:textId="77777777" w:rsidR="00CD105B" w:rsidRDefault="00CD105B" w:rsidP="00CD105B">
      <w:pPr>
        <w:pStyle w:val="TextoNormal"/>
      </w:pPr>
    </w:p>
    <w:p w14:paraId="0A5DE336" w14:textId="77777777" w:rsidR="00CD105B" w:rsidRDefault="00CD105B" w:rsidP="00CD105B">
      <w:pPr>
        <w:pStyle w:val="Ttulondice"/>
      </w:pPr>
      <w:r>
        <w:t>7. ÍNDICE ANALÍTICO</w:t>
      </w:r>
    </w:p>
    <w:p w14:paraId="3312B2B2" w14:textId="6F5E2928" w:rsidR="00CD105B" w:rsidRDefault="00CD105B" w:rsidP="00CD105B">
      <w:pPr>
        <w:pStyle w:val="TextoNormal"/>
      </w:pPr>
    </w:p>
    <w:p w14:paraId="5C05423F" w14:textId="77777777" w:rsidR="00CD105B" w:rsidRDefault="00CD105B" w:rsidP="00CD105B">
      <w:pPr>
        <w:pStyle w:val="Ttulondice"/>
      </w:pPr>
    </w:p>
    <w:p w14:paraId="24B5FB9A" w14:textId="77777777" w:rsidR="00CD105B" w:rsidRDefault="00CD105B" w:rsidP="00CD105B">
      <w:pPr>
        <w:pStyle w:val="Ttulondice"/>
      </w:pPr>
    </w:p>
    <w:p w14:paraId="3B21C486" w14:textId="77777777" w:rsidR="00CD105B" w:rsidRDefault="00CD105B" w:rsidP="00CD105B">
      <w:pPr>
        <w:pStyle w:val="Ttulondice"/>
      </w:pPr>
    </w:p>
    <w:p w14:paraId="711514D0" w14:textId="77777777" w:rsidR="00CD105B" w:rsidRDefault="00CD105B" w:rsidP="00CD105B">
      <w:pPr>
        <w:pStyle w:val="Ttulondice"/>
      </w:pPr>
    </w:p>
    <w:p w14:paraId="4C225862" w14:textId="77777777" w:rsidR="00CD105B" w:rsidRDefault="00CD105B" w:rsidP="00CD105B">
      <w:pPr>
        <w:pStyle w:val="Ttulondice"/>
      </w:pPr>
    </w:p>
    <w:p w14:paraId="55357448" w14:textId="77777777" w:rsidR="00CD105B" w:rsidRDefault="00CD105B" w:rsidP="00CD105B">
      <w:pPr>
        <w:pStyle w:val="Ttulondice"/>
      </w:pPr>
    </w:p>
    <w:p w14:paraId="5F6EE99C" w14:textId="77777777" w:rsidR="00CD105B" w:rsidRDefault="00CD105B" w:rsidP="00CD105B">
      <w:pPr>
        <w:pStyle w:val="Ttulondice"/>
      </w:pPr>
    </w:p>
    <w:p w14:paraId="6DBE9C5A" w14:textId="77777777" w:rsidR="00CD105B" w:rsidRDefault="00CD105B" w:rsidP="00CD105B">
      <w:pPr>
        <w:pStyle w:val="TextoNormalNegritaCentrado"/>
      </w:pPr>
      <w:r>
        <w:t>A</w:t>
      </w:r>
    </w:p>
    <w:p w14:paraId="42BA4A57" w14:textId="7FC2C2F8" w:rsidR="00CD105B" w:rsidRDefault="00CD105B" w:rsidP="00CD105B">
      <w:pPr>
        <w:pStyle w:val="TextoNormalNegritaCentrado"/>
      </w:pPr>
    </w:p>
    <w:p w14:paraId="0CDD3D85" w14:textId="76518345" w:rsidR="00CD105B" w:rsidRPr="00CD105B" w:rsidRDefault="00CD105B" w:rsidP="00CD105B">
      <w:pPr>
        <w:pStyle w:val="TextoNormalSangraFrancesa"/>
        <w:rPr>
          <w:rStyle w:val="TextoNormalCaracter"/>
        </w:rPr>
      </w:pPr>
      <w:bookmarkStart w:id="572" w:name="DESCRIPTORALFABETICO92"/>
      <w:r w:rsidRPr="00CD105B">
        <w:rPr>
          <w:rStyle w:val="TextoNormalNegritaCaracter"/>
        </w:rPr>
        <w:t>Abstención de magistrados del Tribunal Constitucional</w:t>
      </w:r>
      <w:bookmarkEnd w:id="572"/>
      <w:r w:rsidRPr="00CD105B">
        <w:rPr>
          <w:rStyle w:val="TextoNormalCaracter"/>
        </w:rPr>
        <w:t xml:space="preserve">, Autos </w:t>
      </w:r>
      <w:hyperlink w:anchor="AUTO_2024_82" w:history="1">
        <w:r w:rsidRPr="00CD105B">
          <w:rPr>
            <w:rStyle w:val="TextoNormalCaracter"/>
          </w:rPr>
          <w:t>82/2024</w:t>
        </w:r>
      </w:hyperlink>
      <w:r w:rsidRPr="00CD105B">
        <w:rPr>
          <w:rStyle w:val="TextoNormalCaracter"/>
        </w:rPr>
        <w:t xml:space="preserve">, f. único; </w:t>
      </w:r>
      <w:hyperlink w:anchor="AUTO_2024_83" w:history="1">
        <w:r w:rsidRPr="00CD105B">
          <w:rPr>
            <w:rStyle w:val="TextoNormalCaracter"/>
          </w:rPr>
          <w:t>83/2024</w:t>
        </w:r>
      </w:hyperlink>
      <w:r w:rsidRPr="00CD105B">
        <w:rPr>
          <w:rStyle w:val="TextoNormalCaracter"/>
        </w:rPr>
        <w:t>, f. único.</w:t>
      </w:r>
    </w:p>
    <w:p w14:paraId="396B9A92" w14:textId="265252C1" w:rsidR="00CD105B" w:rsidRPr="00CD105B" w:rsidRDefault="00CD105B" w:rsidP="00CD105B">
      <w:pPr>
        <w:pStyle w:val="TextoNormalSangraFrancesa"/>
        <w:rPr>
          <w:rStyle w:val="TextoNormalCaracter"/>
        </w:rPr>
      </w:pPr>
      <w:r w:rsidRPr="00CD105B">
        <w:rPr>
          <w:rStyle w:val="TextoNormalCursivaCaracter"/>
        </w:rPr>
        <w:t xml:space="preserve">    Acepta, </w:t>
      </w:r>
      <w:r w:rsidRPr="00CD105B">
        <w:rPr>
          <w:rStyle w:val="TextoNormalCaracter"/>
        </w:rPr>
        <w:t xml:space="preserve">Autos </w:t>
      </w:r>
      <w:hyperlink w:anchor="AUTO_2024_67" w:history="1">
        <w:r w:rsidRPr="00CD105B">
          <w:rPr>
            <w:rStyle w:val="TextoNormalCaracter"/>
          </w:rPr>
          <w:t>67/2024</w:t>
        </w:r>
      </w:hyperlink>
      <w:r w:rsidRPr="00CD105B">
        <w:rPr>
          <w:rStyle w:val="TextoNormalCaracter"/>
        </w:rPr>
        <w:t xml:space="preserve">, f. único; </w:t>
      </w:r>
      <w:hyperlink w:anchor="AUTO_2024_76" w:history="1">
        <w:r w:rsidRPr="00CD105B">
          <w:rPr>
            <w:rStyle w:val="TextoNormalCaracter"/>
          </w:rPr>
          <w:t>76/2024</w:t>
        </w:r>
      </w:hyperlink>
      <w:r w:rsidRPr="00CD105B">
        <w:rPr>
          <w:rStyle w:val="TextoNormalCaracter"/>
        </w:rPr>
        <w:t xml:space="preserve">, f. único; </w:t>
      </w:r>
      <w:hyperlink w:anchor="AUTO_2024_87" w:history="1">
        <w:r w:rsidRPr="00CD105B">
          <w:rPr>
            <w:rStyle w:val="TextoNormalCaracter"/>
          </w:rPr>
          <w:t>87/2024</w:t>
        </w:r>
      </w:hyperlink>
      <w:r w:rsidRPr="00CD105B">
        <w:rPr>
          <w:rStyle w:val="TextoNormalCaracter"/>
        </w:rPr>
        <w:t xml:space="preserve">, f. único; </w:t>
      </w:r>
      <w:hyperlink w:anchor="AUTO_2024_88" w:history="1">
        <w:r w:rsidRPr="00CD105B">
          <w:rPr>
            <w:rStyle w:val="TextoNormalCaracter"/>
          </w:rPr>
          <w:t>88/2024</w:t>
        </w:r>
      </w:hyperlink>
      <w:r w:rsidRPr="00CD105B">
        <w:rPr>
          <w:rStyle w:val="TextoNormalCaracter"/>
        </w:rPr>
        <w:t xml:space="preserve">, f. único; </w:t>
      </w:r>
      <w:hyperlink w:anchor="AUTO_2024_91" w:history="1">
        <w:r w:rsidRPr="00CD105B">
          <w:rPr>
            <w:rStyle w:val="TextoNormalCaracter"/>
          </w:rPr>
          <w:t>91/2024</w:t>
        </w:r>
      </w:hyperlink>
      <w:r w:rsidRPr="00CD105B">
        <w:rPr>
          <w:rStyle w:val="TextoNormalCaracter"/>
        </w:rPr>
        <w:t xml:space="preserve">, f. 1; </w:t>
      </w:r>
      <w:hyperlink w:anchor="AUTO_2024_95" w:history="1">
        <w:r w:rsidRPr="00CD105B">
          <w:rPr>
            <w:rStyle w:val="TextoNormalCaracter"/>
          </w:rPr>
          <w:t>95/2024</w:t>
        </w:r>
      </w:hyperlink>
      <w:r w:rsidRPr="00CD105B">
        <w:rPr>
          <w:rStyle w:val="TextoNormalCaracter"/>
        </w:rPr>
        <w:t xml:space="preserve">, f. único; </w:t>
      </w:r>
      <w:hyperlink w:anchor="AUTO_2024_114" w:history="1">
        <w:r w:rsidRPr="00CD105B">
          <w:rPr>
            <w:rStyle w:val="TextoNormalCaracter"/>
          </w:rPr>
          <w:t>114/2024</w:t>
        </w:r>
      </w:hyperlink>
      <w:r w:rsidRPr="00CD105B">
        <w:rPr>
          <w:rStyle w:val="TextoNormalCaracter"/>
        </w:rPr>
        <w:t xml:space="preserve">, f. único; </w:t>
      </w:r>
      <w:hyperlink w:anchor="AUTO_2024_147" w:history="1">
        <w:r w:rsidRPr="00CD105B">
          <w:rPr>
            <w:rStyle w:val="TextoNormalCaracter"/>
          </w:rPr>
          <w:t>147/2024</w:t>
        </w:r>
      </w:hyperlink>
      <w:r w:rsidRPr="00CD105B">
        <w:rPr>
          <w:rStyle w:val="TextoNormalCaracter"/>
        </w:rPr>
        <w:t xml:space="preserve">, f. único; </w:t>
      </w:r>
      <w:hyperlink w:anchor="AUTO_2024_149" w:history="1">
        <w:r w:rsidRPr="00CD105B">
          <w:rPr>
            <w:rStyle w:val="TextoNormalCaracter"/>
          </w:rPr>
          <w:t>149/2024</w:t>
        </w:r>
      </w:hyperlink>
      <w:r w:rsidRPr="00CD105B">
        <w:rPr>
          <w:rStyle w:val="TextoNormalCaracter"/>
        </w:rPr>
        <w:t xml:space="preserve">, f. único; </w:t>
      </w:r>
      <w:hyperlink w:anchor="AUTO_2024_150" w:history="1">
        <w:r w:rsidRPr="00CD105B">
          <w:rPr>
            <w:rStyle w:val="TextoNormalCaracter"/>
          </w:rPr>
          <w:t>150/2024</w:t>
        </w:r>
      </w:hyperlink>
      <w:r w:rsidRPr="00CD105B">
        <w:rPr>
          <w:rStyle w:val="TextoNormalCaracter"/>
        </w:rPr>
        <w:t xml:space="preserve">, f. único; </w:t>
      </w:r>
      <w:hyperlink w:anchor="AUTO_2024_154" w:history="1">
        <w:r w:rsidRPr="00CD105B">
          <w:rPr>
            <w:rStyle w:val="TextoNormalCaracter"/>
          </w:rPr>
          <w:t>154/2024</w:t>
        </w:r>
      </w:hyperlink>
      <w:r w:rsidRPr="00CD105B">
        <w:rPr>
          <w:rStyle w:val="TextoNormalCaracter"/>
        </w:rPr>
        <w:t xml:space="preserve">, f. único; </w:t>
      </w:r>
      <w:hyperlink w:anchor="AUTO_2024_155" w:history="1">
        <w:r w:rsidRPr="00CD105B">
          <w:rPr>
            <w:rStyle w:val="TextoNormalCaracter"/>
          </w:rPr>
          <w:t>155/2024</w:t>
        </w:r>
      </w:hyperlink>
      <w:r w:rsidRPr="00CD105B">
        <w:rPr>
          <w:rStyle w:val="TextoNormalCaracter"/>
        </w:rPr>
        <w:t>, f. único.</w:t>
      </w:r>
    </w:p>
    <w:p w14:paraId="0D25515C" w14:textId="621F2059" w:rsidR="00CD105B" w:rsidRPr="00CD105B" w:rsidRDefault="00CD105B" w:rsidP="00CD105B">
      <w:pPr>
        <w:pStyle w:val="TextoNormalSangraFrancesa"/>
        <w:rPr>
          <w:rStyle w:val="TextoNormalCaracter"/>
        </w:rPr>
      </w:pPr>
      <w:bookmarkStart w:id="573" w:name="DESCRIPTORALFABETICO214"/>
      <w:r w:rsidRPr="00CD105B">
        <w:rPr>
          <w:rStyle w:val="TextoNormalNegritaCaracter"/>
        </w:rPr>
        <w:t>Acción de anulación de laudo arbitral</w:t>
      </w:r>
      <w:bookmarkEnd w:id="573"/>
      <w:r w:rsidRPr="00CD105B">
        <w:rPr>
          <w:rStyle w:val="TextoNormalCaracter"/>
        </w:rPr>
        <w:t xml:space="preserve">, Sentencia </w:t>
      </w:r>
      <w:hyperlink w:anchor="SENTENCIA_2024_146" w:history="1">
        <w:r w:rsidRPr="00CD105B">
          <w:rPr>
            <w:rStyle w:val="TextoNormalCaracter"/>
          </w:rPr>
          <w:t>146/2024</w:t>
        </w:r>
      </w:hyperlink>
      <w:r w:rsidRPr="00CD105B">
        <w:rPr>
          <w:rStyle w:val="TextoNormalCaracter"/>
        </w:rPr>
        <w:t>, f. 1.</w:t>
      </w:r>
    </w:p>
    <w:p w14:paraId="3BF19938" w14:textId="69477CCF" w:rsidR="00CD105B" w:rsidRPr="00CD105B" w:rsidRDefault="00CD105B" w:rsidP="00CD105B">
      <w:pPr>
        <w:pStyle w:val="TextoNormalSangraFrancesa"/>
        <w:rPr>
          <w:rStyle w:val="TextoNormalCaracter"/>
        </w:rPr>
      </w:pPr>
      <w:bookmarkStart w:id="574" w:name="DESCRIPTORALFABETICO136"/>
      <w:r w:rsidRPr="00CD105B">
        <w:rPr>
          <w:rStyle w:val="TextoNormalNegritaCaracter"/>
        </w:rPr>
        <w:t>Aclaración de doctrina constitucional</w:t>
      </w:r>
      <w:bookmarkEnd w:id="574"/>
      <w:r w:rsidRPr="00CD105B">
        <w:rPr>
          <w:rStyle w:val="TextoNormalCaracter"/>
        </w:rPr>
        <w:t xml:space="preserve">, Sentencia </w:t>
      </w:r>
      <w:hyperlink w:anchor="SENTENCIA_2024_123" w:history="1">
        <w:r w:rsidRPr="00CD105B">
          <w:rPr>
            <w:rStyle w:val="TextoNormalCaracter"/>
          </w:rPr>
          <w:t>123/2024</w:t>
        </w:r>
      </w:hyperlink>
      <w:r w:rsidRPr="00CD105B">
        <w:rPr>
          <w:rStyle w:val="TextoNormalCaracter"/>
        </w:rPr>
        <w:t>, f. 1.</w:t>
      </w:r>
    </w:p>
    <w:p w14:paraId="330263B9" w14:textId="3FBA5EFC" w:rsidR="00CD105B" w:rsidRPr="00CD105B" w:rsidRDefault="00CD105B" w:rsidP="00CD105B">
      <w:pPr>
        <w:pStyle w:val="TextoNormalSangraFrancesa"/>
        <w:rPr>
          <w:rStyle w:val="TextoNormalCaracter"/>
        </w:rPr>
      </w:pPr>
      <w:r w:rsidRPr="00CD105B">
        <w:rPr>
          <w:rStyle w:val="TextoNormalCaracter"/>
        </w:rPr>
        <w:t xml:space="preserve">    Auto </w:t>
      </w:r>
      <w:hyperlink w:anchor="AUTO_2024_85" w:history="1">
        <w:r w:rsidRPr="00CD105B">
          <w:rPr>
            <w:rStyle w:val="TextoNormalCaracter"/>
          </w:rPr>
          <w:t>85/2024</w:t>
        </w:r>
      </w:hyperlink>
      <w:r w:rsidRPr="00CD105B">
        <w:rPr>
          <w:rStyle w:val="TextoNormalCaracter"/>
        </w:rPr>
        <w:t>, f. único, VP.</w:t>
      </w:r>
    </w:p>
    <w:p w14:paraId="1C46DF86" w14:textId="2CA1A2E9" w:rsidR="00CD105B" w:rsidRPr="00CD105B" w:rsidRDefault="00CD105B" w:rsidP="00CD105B">
      <w:pPr>
        <w:pStyle w:val="TextoNormalSangraFrancesa"/>
        <w:rPr>
          <w:rStyle w:val="TextoNormalCaracter"/>
        </w:rPr>
      </w:pPr>
      <w:bookmarkStart w:id="575" w:name="DESCRIPTORALFABETICO113"/>
      <w:r w:rsidRPr="00CD105B">
        <w:rPr>
          <w:rStyle w:val="TextoNormalNegritaCaracter"/>
        </w:rPr>
        <w:t>Acotación del objeto de la cuestión de inconstitucionalidad</w:t>
      </w:r>
      <w:bookmarkEnd w:id="575"/>
      <w:r w:rsidRPr="00CD105B">
        <w:rPr>
          <w:rStyle w:val="TextoNormalCaracter"/>
        </w:rPr>
        <w:t xml:space="preserve">, Sentencia </w:t>
      </w:r>
      <w:hyperlink w:anchor="SENTENCIA_2024_140" w:history="1">
        <w:r w:rsidRPr="00CD105B">
          <w:rPr>
            <w:rStyle w:val="TextoNormalCaracter"/>
          </w:rPr>
          <w:t>140/2024</w:t>
        </w:r>
      </w:hyperlink>
      <w:r w:rsidRPr="00CD105B">
        <w:rPr>
          <w:rStyle w:val="TextoNormalCaracter"/>
        </w:rPr>
        <w:t>, f. 2.</w:t>
      </w:r>
    </w:p>
    <w:p w14:paraId="4B2AEC7B" w14:textId="6CCD7E5D" w:rsidR="00CD105B" w:rsidRPr="00CD105B" w:rsidRDefault="00CD105B" w:rsidP="00CD105B">
      <w:pPr>
        <w:pStyle w:val="TextoNormalSangraFrancesa"/>
        <w:rPr>
          <w:rStyle w:val="TextoNormalCaracter"/>
        </w:rPr>
      </w:pPr>
      <w:bookmarkStart w:id="576" w:name="DESCRIPTORALFABETICO355"/>
      <w:r w:rsidRPr="00CD105B">
        <w:rPr>
          <w:rStyle w:val="TextoNormalNegritaCaracter"/>
        </w:rPr>
        <w:t>Acreditación de la representación procesal</w:t>
      </w:r>
      <w:bookmarkEnd w:id="576"/>
      <w:r w:rsidRPr="00CD105B">
        <w:rPr>
          <w:rStyle w:val="TextoNormalCaracter"/>
        </w:rPr>
        <w:t xml:space="preserve">, Sentencia </w:t>
      </w:r>
      <w:hyperlink w:anchor="SENTENCIA_2024_157" w:history="1">
        <w:r w:rsidRPr="00CD105B">
          <w:rPr>
            <w:rStyle w:val="TextoNormalCaracter"/>
          </w:rPr>
          <w:t>157/2024</w:t>
        </w:r>
      </w:hyperlink>
      <w:r w:rsidRPr="00CD105B">
        <w:rPr>
          <w:rStyle w:val="TextoNormalCaracter"/>
        </w:rPr>
        <w:t>, f. 2.</w:t>
      </w:r>
    </w:p>
    <w:p w14:paraId="5D76093D" w14:textId="414E4CA2" w:rsidR="00CD105B" w:rsidRPr="00CD105B" w:rsidRDefault="00CD105B" w:rsidP="00CD105B">
      <w:pPr>
        <w:pStyle w:val="TextoNormalSangraFrancesa"/>
        <w:rPr>
          <w:rStyle w:val="TextoNormalCaracter"/>
        </w:rPr>
      </w:pPr>
      <w:bookmarkStart w:id="577" w:name="DESCRIPTORALFABETICO154"/>
      <w:r w:rsidRPr="00CD105B">
        <w:rPr>
          <w:rStyle w:val="TextoNormalNegritaCaracter"/>
        </w:rPr>
        <w:t>Actos de naturaleza no sancionadora</w:t>
      </w:r>
      <w:bookmarkEnd w:id="577"/>
      <w:r w:rsidRPr="00CD105B">
        <w:rPr>
          <w:rStyle w:val="TextoNormalCaracter"/>
        </w:rPr>
        <w:t xml:space="preserve">, Sentencia </w:t>
      </w:r>
      <w:hyperlink w:anchor="SENTENCIA_2024_152" w:history="1">
        <w:r w:rsidRPr="00CD105B">
          <w:rPr>
            <w:rStyle w:val="TextoNormalCaracter"/>
          </w:rPr>
          <w:t>152/2024</w:t>
        </w:r>
      </w:hyperlink>
      <w:r w:rsidRPr="00CD105B">
        <w:rPr>
          <w:rStyle w:val="TextoNormalCaracter"/>
        </w:rPr>
        <w:t>, f. 1.</w:t>
      </w:r>
    </w:p>
    <w:p w14:paraId="2E2E4959" w14:textId="42A8E64C" w:rsidR="00CD105B" w:rsidRPr="00CD105B" w:rsidRDefault="00CD105B" w:rsidP="00CD105B">
      <w:pPr>
        <w:pStyle w:val="TextoNormalSangraFrancesa"/>
        <w:rPr>
          <w:rStyle w:val="TextoNormalCaracter"/>
        </w:rPr>
      </w:pPr>
      <w:bookmarkStart w:id="578" w:name="DESCRIPTORALFABETICO182"/>
      <w:r w:rsidRPr="00CD105B">
        <w:rPr>
          <w:rStyle w:val="TextoNormalNegritaCaracter"/>
        </w:rPr>
        <w:t>Acuerdo de la Mesa desestimando solicitud de varios diputados</w:t>
      </w:r>
      <w:bookmarkEnd w:id="578"/>
      <w:r w:rsidRPr="00CD105B">
        <w:rPr>
          <w:rStyle w:val="TextoNormalCaracter"/>
        </w:rPr>
        <w:t xml:space="preserve">, Sentencias </w:t>
      </w:r>
      <w:hyperlink w:anchor="SENTENCIA_2024_109" w:history="1">
        <w:r w:rsidRPr="00CD105B">
          <w:rPr>
            <w:rStyle w:val="TextoNormalCaracter"/>
          </w:rPr>
          <w:t>109/2024</w:t>
        </w:r>
      </w:hyperlink>
      <w:r w:rsidRPr="00CD105B">
        <w:rPr>
          <w:rStyle w:val="TextoNormalCaracter"/>
        </w:rPr>
        <w:t xml:space="preserve">, ff. 1 y 3; </w:t>
      </w:r>
      <w:hyperlink w:anchor="SENTENCIA_2024_110" w:history="1">
        <w:r w:rsidRPr="00CD105B">
          <w:rPr>
            <w:rStyle w:val="TextoNormalCaracter"/>
          </w:rPr>
          <w:t>110/2024</w:t>
        </w:r>
      </w:hyperlink>
      <w:r w:rsidRPr="00CD105B">
        <w:rPr>
          <w:rStyle w:val="TextoNormalCaracter"/>
        </w:rPr>
        <w:t>, ff. 1 y 3.</w:t>
      </w:r>
    </w:p>
    <w:p w14:paraId="3A1AC8D4" w14:textId="08403CBD" w:rsidR="00CD105B" w:rsidRPr="00CD105B" w:rsidRDefault="00CD105B" w:rsidP="00CD105B">
      <w:pPr>
        <w:pStyle w:val="TextoNormalSangraFrancesa"/>
        <w:rPr>
          <w:rStyle w:val="TextoNormalCaracter"/>
        </w:rPr>
      </w:pPr>
      <w:bookmarkStart w:id="579" w:name="DESCRIPTORALFABETICO181"/>
      <w:r w:rsidRPr="00CD105B">
        <w:rPr>
          <w:rStyle w:val="TextoNormalNegritaCaracter"/>
        </w:rPr>
        <w:t>Acuerdos de las mesas parlamentarias</w:t>
      </w:r>
      <w:bookmarkEnd w:id="579"/>
      <w:r w:rsidRPr="00CD105B">
        <w:rPr>
          <w:rStyle w:val="TextoNormalCaracter"/>
        </w:rPr>
        <w:t xml:space="preserve">, Sentencia </w:t>
      </w:r>
      <w:hyperlink w:anchor="SENTENCIA_2024_153" w:history="1">
        <w:r w:rsidRPr="00CD105B">
          <w:rPr>
            <w:rStyle w:val="TextoNormalCaracter"/>
          </w:rPr>
          <w:t>153/2024</w:t>
        </w:r>
      </w:hyperlink>
      <w:r w:rsidRPr="00CD105B">
        <w:rPr>
          <w:rStyle w:val="TextoNormalCaracter"/>
        </w:rPr>
        <w:t>, ff. 1 y 2.</w:t>
      </w:r>
    </w:p>
    <w:p w14:paraId="69A8FCC7" w14:textId="5D16A0E5" w:rsidR="00CD105B" w:rsidRPr="00CD105B" w:rsidRDefault="00CD105B" w:rsidP="00CD105B">
      <w:pPr>
        <w:pStyle w:val="TextoNormalSangraFrancesa"/>
        <w:rPr>
          <w:rStyle w:val="TextoNormalCaracter"/>
        </w:rPr>
      </w:pPr>
      <w:bookmarkStart w:id="580" w:name="DESCRIPTORALFABETICO365"/>
      <w:r w:rsidRPr="00CD105B">
        <w:rPr>
          <w:rStyle w:val="TextoNormalNegritaCaracter"/>
        </w:rPr>
        <w:t>Acusación particular</w:t>
      </w:r>
      <w:bookmarkEnd w:id="580"/>
      <w:r w:rsidRPr="00CD105B">
        <w:rPr>
          <w:rStyle w:val="TextoNormalCaracter"/>
        </w:rPr>
        <w:t xml:space="preserve">, Sentencias </w:t>
      </w:r>
      <w:hyperlink w:anchor="SENTENCIA_2024_133" w:history="1">
        <w:r w:rsidRPr="00CD105B">
          <w:rPr>
            <w:rStyle w:val="TextoNormalCaracter"/>
          </w:rPr>
          <w:t>133/2024</w:t>
        </w:r>
      </w:hyperlink>
      <w:r w:rsidRPr="00CD105B">
        <w:rPr>
          <w:rStyle w:val="TextoNormalCaracter"/>
        </w:rPr>
        <w:t xml:space="preserve">, ff. 1 y 3; </w:t>
      </w:r>
      <w:hyperlink w:anchor="SENTENCIA_2024_134" w:history="1">
        <w:r w:rsidRPr="00CD105B">
          <w:rPr>
            <w:rStyle w:val="TextoNormalCaracter"/>
          </w:rPr>
          <w:t>134/2024</w:t>
        </w:r>
      </w:hyperlink>
      <w:r w:rsidRPr="00CD105B">
        <w:rPr>
          <w:rStyle w:val="TextoNormalCaracter"/>
        </w:rPr>
        <w:t>, ff. 1 y 3.</w:t>
      </w:r>
    </w:p>
    <w:p w14:paraId="604FC88E" w14:textId="208C2BBD" w:rsidR="00CD105B" w:rsidRPr="00CD105B" w:rsidRDefault="00CD105B" w:rsidP="00CD105B">
      <w:pPr>
        <w:pStyle w:val="TextoNormalSangraFrancesa"/>
        <w:rPr>
          <w:rStyle w:val="TextoNormalCaracter"/>
        </w:rPr>
      </w:pPr>
      <w:bookmarkStart w:id="581" w:name="DESCRIPTORALFABETICO14"/>
      <w:r w:rsidRPr="00CD105B">
        <w:rPr>
          <w:rStyle w:val="TextoNormalNegritaCaracter"/>
        </w:rPr>
        <w:t>Administración electoral</w:t>
      </w:r>
      <w:bookmarkEnd w:id="581"/>
      <w:r w:rsidRPr="00CD105B">
        <w:rPr>
          <w:rStyle w:val="TextoNormalCaracter"/>
        </w:rPr>
        <w:t xml:space="preserve">, Sentencia </w:t>
      </w:r>
      <w:hyperlink w:anchor="SENTENCIA_2024_152" w:history="1">
        <w:r w:rsidRPr="00CD105B">
          <w:rPr>
            <w:rStyle w:val="TextoNormalCaracter"/>
          </w:rPr>
          <w:t>152/2024</w:t>
        </w:r>
      </w:hyperlink>
      <w:r w:rsidRPr="00CD105B">
        <w:rPr>
          <w:rStyle w:val="TextoNormalCaracter"/>
        </w:rPr>
        <w:t>, ff. 2, 3 y 4.</w:t>
      </w:r>
    </w:p>
    <w:p w14:paraId="11D37A9A" w14:textId="67A25AC1" w:rsidR="00CD105B" w:rsidRPr="00CD105B" w:rsidRDefault="00CD105B" w:rsidP="00CD105B">
      <w:pPr>
        <w:pStyle w:val="TextoNormalSangraFrancesa"/>
        <w:rPr>
          <w:rStyle w:val="TextoNormalCaracter"/>
        </w:rPr>
      </w:pPr>
      <w:bookmarkStart w:id="582" w:name="DESCRIPTORALFABETICO180"/>
      <w:r w:rsidRPr="00CD105B">
        <w:rPr>
          <w:rStyle w:val="TextoNormalNegritaCaracter"/>
        </w:rPr>
        <w:t>Admisión de iniciativa parlamentaria</w:t>
      </w:r>
      <w:bookmarkEnd w:id="582"/>
      <w:r w:rsidRPr="00CD105B">
        <w:rPr>
          <w:rStyle w:val="TextoNormalCaracter"/>
        </w:rPr>
        <w:t xml:space="preserve">, Sentencias </w:t>
      </w:r>
      <w:hyperlink w:anchor="SENTENCIA_2024_143" w:history="1">
        <w:r w:rsidRPr="00CD105B">
          <w:rPr>
            <w:rStyle w:val="TextoNormalCaracter"/>
          </w:rPr>
          <w:t>143/2024</w:t>
        </w:r>
      </w:hyperlink>
      <w:r w:rsidRPr="00CD105B">
        <w:rPr>
          <w:rStyle w:val="TextoNormalCaracter"/>
        </w:rPr>
        <w:t xml:space="preserve">, ff. 1 a 3; </w:t>
      </w:r>
      <w:hyperlink w:anchor="SENTENCIA_2024_154" w:history="1">
        <w:r w:rsidRPr="00CD105B">
          <w:rPr>
            <w:rStyle w:val="TextoNormalCaracter"/>
          </w:rPr>
          <w:t>154/2024</w:t>
        </w:r>
      </w:hyperlink>
      <w:r w:rsidRPr="00CD105B">
        <w:rPr>
          <w:rStyle w:val="TextoNormalCaracter"/>
        </w:rPr>
        <w:t xml:space="preserve">, f. único; </w:t>
      </w:r>
      <w:hyperlink w:anchor="SENTENCIA_2024_156" w:history="1">
        <w:r w:rsidRPr="00CD105B">
          <w:rPr>
            <w:rStyle w:val="TextoNormalCaracter"/>
          </w:rPr>
          <w:t>156/2024</w:t>
        </w:r>
      </w:hyperlink>
      <w:r w:rsidRPr="00CD105B">
        <w:rPr>
          <w:rStyle w:val="TextoNormalCaracter"/>
        </w:rPr>
        <w:t>, f. único.</w:t>
      </w:r>
    </w:p>
    <w:p w14:paraId="5F69044A" w14:textId="5EC872BF" w:rsidR="00CD105B" w:rsidRPr="00CD105B" w:rsidRDefault="00CD105B" w:rsidP="00CD105B">
      <w:pPr>
        <w:pStyle w:val="TextoNormalSangraFrancesa"/>
        <w:rPr>
          <w:rStyle w:val="TextoNormalCaracter"/>
        </w:rPr>
      </w:pPr>
      <w:bookmarkStart w:id="583" w:name="DESCRIPTORALFABETICO132"/>
      <w:r w:rsidRPr="00CD105B">
        <w:rPr>
          <w:rStyle w:val="TextoNormalNegritaCaracter"/>
        </w:rPr>
        <w:t>Admisión de recurso de amparo por auto</w:t>
      </w:r>
      <w:bookmarkEnd w:id="583"/>
      <w:r w:rsidRPr="00CD105B">
        <w:rPr>
          <w:rStyle w:val="TextoNormalCaracter"/>
        </w:rPr>
        <w:t xml:space="preserve">, Auto </w:t>
      </w:r>
      <w:hyperlink w:anchor="AUTO_2024_85" w:history="1">
        <w:r w:rsidRPr="00CD105B">
          <w:rPr>
            <w:rStyle w:val="TextoNormalCaracter"/>
          </w:rPr>
          <w:t>85/2024</w:t>
        </w:r>
      </w:hyperlink>
      <w:r w:rsidRPr="00CD105B">
        <w:rPr>
          <w:rStyle w:val="TextoNormalCaracter"/>
        </w:rPr>
        <w:t>, f. único.</w:t>
      </w:r>
    </w:p>
    <w:p w14:paraId="6DE3625A" w14:textId="552B09C8" w:rsidR="00CD105B" w:rsidRPr="00CD105B" w:rsidRDefault="00CD105B" w:rsidP="00CD105B">
      <w:pPr>
        <w:pStyle w:val="TextoNormalSangraFrancesa"/>
        <w:rPr>
          <w:rStyle w:val="TextoNormalCaracter"/>
        </w:rPr>
      </w:pPr>
      <w:bookmarkStart w:id="584" w:name="DESCRIPTORALFABETICO133"/>
      <w:r w:rsidRPr="00CD105B">
        <w:rPr>
          <w:rStyle w:val="TextoNormalNegritaCaracter"/>
        </w:rPr>
        <w:t>Agotamiento de la vía judicial</w:t>
      </w:r>
      <w:bookmarkEnd w:id="584"/>
      <w:r w:rsidRPr="00CD105B">
        <w:rPr>
          <w:rStyle w:val="TextoNormalCaracter"/>
        </w:rPr>
        <w:t xml:space="preserve">, Sentencias </w:t>
      </w:r>
      <w:hyperlink w:anchor="SENTENCIA_2024_116" w:history="1">
        <w:r w:rsidRPr="00CD105B">
          <w:rPr>
            <w:rStyle w:val="TextoNormalCaracter"/>
          </w:rPr>
          <w:t>116/2024</w:t>
        </w:r>
      </w:hyperlink>
      <w:r w:rsidRPr="00CD105B">
        <w:rPr>
          <w:rStyle w:val="TextoNormalCaracter"/>
        </w:rPr>
        <w:t xml:space="preserve">, f. 2; </w:t>
      </w:r>
      <w:hyperlink w:anchor="SENTENCIA_2024_118" w:history="1">
        <w:r w:rsidRPr="00CD105B">
          <w:rPr>
            <w:rStyle w:val="TextoNormalCaracter"/>
          </w:rPr>
          <w:t>118/2024</w:t>
        </w:r>
      </w:hyperlink>
      <w:r w:rsidRPr="00CD105B">
        <w:rPr>
          <w:rStyle w:val="TextoNormalCaracter"/>
        </w:rPr>
        <w:t xml:space="preserve">, f. 2, VP I, VP II, VP III; </w:t>
      </w:r>
      <w:hyperlink w:anchor="SENTENCIA_2024_133" w:history="1">
        <w:r w:rsidRPr="00CD105B">
          <w:rPr>
            <w:rStyle w:val="TextoNormalCaracter"/>
          </w:rPr>
          <w:t>133/2024</w:t>
        </w:r>
      </w:hyperlink>
      <w:r w:rsidRPr="00CD105B">
        <w:rPr>
          <w:rStyle w:val="TextoNormalCaracter"/>
        </w:rPr>
        <w:t xml:space="preserve">, f. 2; </w:t>
      </w:r>
      <w:hyperlink w:anchor="SENTENCIA_2024_134" w:history="1">
        <w:r w:rsidRPr="00CD105B">
          <w:rPr>
            <w:rStyle w:val="TextoNormalCaracter"/>
          </w:rPr>
          <w:t>134/2024</w:t>
        </w:r>
      </w:hyperlink>
      <w:r w:rsidRPr="00CD105B">
        <w:rPr>
          <w:rStyle w:val="TextoNormalCaracter"/>
        </w:rPr>
        <w:t>, f. 2.</w:t>
      </w:r>
    </w:p>
    <w:p w14:paraId="75B6526C" w14:textId="3EE06CDF" w:rsidR="00CD105B" w:rsidRPr="00CD105B" w:rsidRDefault="00CD105B" w:rsidP="00CD105B">
      <w:pPr>
        <w:pStyle w:val="TextoNormalSangraFrancesa"/>
        <w:rPr>
          <w:rStyle w:val="TextoNormalCaracter"/>
        </w:rPr>
      </w:pPr>
      <w:bookmarkStart w:id="585" w:name="DESCRIPTORALFABETICO109"/>
      <w:r w:rsidRPr="00CD105B">
        <w:rPr>
          <w:rStyle w:val="TextoNormalNegritaCaracter"/>
        </w:rPr>
        <w:t>Alcance del fallo en cuestión de inconstitucionalidad</w:t>
      </w:r>
      <w:bookmarkEnd w:id="585"/>
      <w:r w:rsidRPr="00CD105B">
        <w:rPr>
          <w:rStyle w:val="TextoNormalCaracter"/>
        </w:rPr>
        <w:t xml:space="preserve">, Sentencia </w:t>
      </w:r>
      <w:hyperlink w:anchor="SENTENCIA_2024_140" w:history="1">
        <w:r w:rsidRPr="00CD105B">
          <w:rPr>
            <w:rStyle w:val="TextoNormalCaracter"/>
          </w:rPr>
          <w:t>140/2024</w:t>
        </w:r>
      </w:hyperlink>
      <w:r w:rsidRPr="00CD105B">
        <w:rPr>
          <w:rStyle w:val="TextoNormalCaracter"/>
        </w:rPr>
        <w:t>, f. 7, VP II.</w:t>
      </w:r>
    </w:p>
    <w:p w14:paraId="4CB07B73" w14:textId="6E5C51E9" w:rsidR="00CD105B" w:rsidRPr="00CD105B" w:rsidRDefault="00CD105B" w:rsidP="00CD105B">
      <w:pPr>
        <w:pStyle w:val="TextoNormalSangraFrancesa"/>
        <w:rPr>
          <w:rStyle w:val="TextoNormalCaracter"/>
        </w:rPr>
      </w:pPr>
      <w:bookmarkStart w:id="586" w:name="DESCRIPTORALFABETICO143"/>
      <w:r w:rsidRPr="00CD105B">
        <w:rPr>
          <w:rStyle w:val="TextoNormalNegritaCaracter"/>
        </w:rPr>
        <w:t>Alcance del fallo en recurso de amparo</w:t>
      </w:r>
      <w:bookmarkEnd w:id="586"/>
      <w:r w:rsidRPr="00CD105B">
        <w:rPr>
          <w:rStyle w:val="TextoNormalCaracter"/>
        </w:rPr>
        <w:t xml:space="preserve">, Sentencias </w:t>
      </w:r>
      <w:hyperlink w:anchor="SENTENCIA_2024_123" w:history="1">
        <w:r w:rsidRPr="00CD105B">
          <w:rPr>
            <w:rStyle w:val="TextoNormalCaracter"/>
          </w:rPr>
          <w:t>123/2024</w:t>
        </w:r>
      </w:hyperlink>
      <w:r w:rsidRPr="00CD105B">
        <w:rPr>
          <w:rStyle w:val="TextoNormalCaracter"/>
        </w:rPr>
        <w:t xml:space="preserve">, f. 4, VP I, VP II; </w:t>
      </w:r>
      <w:hyperlink w:anchor="SENTENCIA_2024_145" w:history="1">
        <w:r w:rsidRPr="00CD105B">
          <w:rPr>
            <w:rStyle w:val="TextoNormalCaracter"/>
          </w:rPr>
          <w:t>145/2024</w:t>
        </w:r>
      </w:hyperlink>
      <w:r w:rsidRPr="00CD105B">
        <w:rPr>
          <w:rStyle w:val="TextoNormalCaracter"/>
        </w:rPr>
        <w:t>, f. 6.</w:t>
      </w:r>
    </w:p>
    <w:p w14:paraId="00ED3BBB" w14:textId="6DC5836A" w:rsidR="00CD105B" w:rsidRPr="00CD105B" w:rsidRDefault="00CD105B" w:rsidP="00CD105B">
      <w:pPr>
        <w:pStyle w:val="TextoNormalSangraFrancesa"/>
        <w:rPr>
          <w:rStyle w:val="TextoNormalCaracter"/>
        </w:rPr>
      </w:pPr>
      <w:bookmarkStart w:id="587" w:name="DESCRIPTORALFABETICO314"/>
      <w:r w:rsidRPr="00CD105B">
        <w:rPr>
          <w:rStyle w:val="TextoNormalNegritaCaracter"/>
        </w:rPr>
        <w:t>Alquiler social</w:t>
      </w:r>
      <w:bookmarkEnd w:id="587"/>
      <w:r w:rsidRPr="00CD105B">
        <w:rPr>
          <w:rStyle w:val="TextoNormalCaracter"/>
        </w:rPr>
        <w:t xml:space="preserve">, Sentencia </w:t>
      </w:r>
      <w:hyperlink w:anchor="SENTENCIA_2024_120" w:history="1">
        <w:r w:rsidRPr="00CD105B">
          <w:rPr>
            <w:rStyle w:val="TextoNormalCaracter"/>
          </w:rPr>
          <w:t>120/2024</w:t>
        </w:r>
      </w:hyperlink>
      <w:r w:rsidRPr="00CD105B">
        <w:rPr>
          <w:rStyle w:val="TextoNormalCaracter"/>
        </w:rPr>
        <w:t>, ff. 5 y 6.</w:t>
      </w:r>
    </w:p>
    <w:p w14:paraId="004C24EF" w14:textId="2BEE1FCD" w:rsidR="00CD105B" w:rsidRPr="00CD105B" w:rsidRDefault="00CD105B" w:rsidP="00CD105B">
      <w:pPr>
        <w:pStyle w:val="TextoNormalSangraFrancesa"/>
        <w:rPr>
          <w:rStyle w:val="TextoNormalCaracter"/>
        </w:rPr>
      </w:pPr>
      <w:bookmarkStart w:id="588" w:name="DESCRIPTORALFABETICO320"/>
      <w:r w:rsidRPr="00CD105B">
        <w:rPr>
          <w:rStyle w:val="TextoNormalNegritaCaracter"/>
        </w:rPr>
        <w:t>Ámbito estrictamente castrense</w:t>
      </w:r>
      <w:bookmarkEnd w:id="588"/>
      <w:r w:rsidRPr="00CD105B">
        <w:rPr>
          <w:rStyle w:val="TextoNormalCaracter"/>
        </w:rPr>
        <w:t xml:space="preserve">, Sentencia </w:t>
      </w:r>
      <w:hyperlink w:anchor="SENTENCIA_2024_128" w:history="1">
        <w:r w:rsidRPr="00CD105B">
          <w:rPr>
            <w:rStyle w:val="TextoNormalCaracter"/>
          </w:rPr>
          <w:t>128/2024</w:t>
        </w:r>
      </w:hyperlink>
      <w:r w:rsidRPr="00CD105B">
        <w:rPr>
          <w:rStyle w:val="TextoNormalCaracter"/>
        </w:rPr>
        <w:t>, ff. 4 a 6.</w:t>
      </w:r>
    </w:p>
    <w:p w14:paraId="2B756079" w14:textId="4663F1D0" w:rsidR="00CD105B" w:rsidRPr="00CD105B" w:rsidRDefault="00CD105B" w:rsidP="00CD105B">
      <w:pPr>
        <w:pStyle w:val="TextoNormalSangraFrancesa"/>
        <w:rPr>
          <w:rStyle w:val="TextoNormalCaracter"/>
        </w:rPr>
      </w:pPr>
      <w:bookmarkStart w:id="589" w:name="DESCRIPTORALFABETICO153"/>
      <w:r w:rsidRPr="00CD105B">
        <w:rPr>
          <w:rStyle w:val="TextoNormalNegritaCaracter"/>
        </w:rPr>
        <w:t>Amnistía</w:t>
      </w:r>
      <w:bookmarkEnd w:id="589"/>
      <w:r w:rsidRPr="00CD105B">
        <w:rPr>
          <w:rStyle w:val="TextoNormalCaracter"/>
        </w:rPr>
        <w:t xml:space="preserve">, Auto </w:t>
      </w:r>
      <w:hyperlink w:anchor="AUTO_2024_82" w:history="1">
        <w:r w:rsidRPr="00CD105B">
          <w:rPr>
            <w:rStyle w:val="TextoNormalCaracter"/>
          </w:rPr>
          <w:t>82/2024</w:t>
        </w:r>
      </w:hyperlink>
      <w:r w:rsidRPr="00CD105B">
        <w:rPr>
          <w:rStyle w:val="TextoNormalCaracter"/>
        </w:rPr>
        <w:t>, f. único.</w:t>
      </w:r>
    </w:p>
    <w:p w14:paraId="280CBDF4" w14:textId="371219F4" w:rsidR="00CD105B" w:rsidRPr="00CD105B" w:rsidRDefault="00CD105B" w:rsidP="00CD105B">
      <w:pPr>
        <w:pStyle w:val="TextoNormalSangraFrancesa"/>
        <w:rPr>
          <w:rStyle w:val="TextoNormalCaracter"/>
        </w:rPr>
      </w:pPr>
      <w:bookmarkStart w:id="590" w:name="DESCRIPTORALFABETICO377"/>
      <w:r w:rsidRPr="00CD105B">
        <w:rPr>
          <w:rStyle w:val="TextoNormalNegritaCaracter"/>
        </w:rPr>
        <w:t>Andalucía</w:t>
      </w:r>
      <w:bookmarkEnd w:id="590"/>
      <w:r w:rsidRPr="00CD105B">
        <w:rPr>
          <w:rStyle w:val="TextoNormalCaracter"/>
        </w:rPr>
        <w:t xml:space="preserve">, Sentencia </w:t>
      </w:r>
      <w:hyperlink w:anchor="SENTENCIA_2024_111" w:history="1">
        <w:r w:rsidRPr="00CD105B">
          <w:rPr>
            <w:rStyle w:val="TextoNormalCaracter"/>
          </w:rPr>
          <w:t>111/2024</w:t>
        </w:r>
      </w:hyperlink>
      <w:r w:rsidRPr="00CD105B">
        <w:rPr>
          <w:rStyle w:val="TextoNormalCaracter"/>
        </w:rPr>
        <w:t>, f. 1.</w:t>
      </w:r>
    </w:p>
    <w:p w14:paraId="74CD42A0" w14:textId="5BC192B4" w:rsidR="00CD105B" w:rsidRPr="00CD105B" w:rsidRDefault="00CD105B" w:rsidP="00CD105B">
      <w:pPr>
        <w:pStyle w:val="TextoNormalSangraFrancesa"/>
        <w:rPr>
          <w:rStyle w:val="TextoNormalCaracter"/>
        </w:rPr>
      </w:pPr>
      <w:bookmarkStart w:id="591" w:name="DESCRIPTORALFABETICO348"/>
      <w:r w:rsidRPr="00CD105B">
        <w:rPr>
          <w:rStyle w:val="TextoNormalNegritaCaracter"/>
        </w:rPr>
        <w:t>Anotación preventiva de demanda de amparo</w:t>
      </w:r>
      <w:bookmarkEnd w:id="591"/>
      <w:r w:rsidRPr="00CD105B">
        <w:rPr>
          <w:rStyle w:val="TextoNormalCaracter"/>
        </w:rPr>
        <w:t xml:space="preserve">, Auto </w:t>
      </w:r>
      <w:hyperlink w:anchor="AUTO_2024_152" w:history="1">
        <w:r w:rsidRPr="00CD105B">
          <w:rPr>
            <w:rStyle w:val="TextoNormalCaracter"/>
          </w:rPr>
          <w:t>152/2024</w:t>
        </w:r>
      </w:hyperlink>
      <w:r w:rsidRPr="00CD105B">
        <w:rPr>
          <w:rStyle w:val="TextoNormalCaracter"/>
        </w:rPr>
        <w:t>, ff. 4 y 5.</w:t>
      </w:r>
    </w:p>
    <w:p w14:paraId="1CA13188" w14:textId="6E39B062" w:rsidR="00CD105B" w:rsidRPr="00CD105B" w:rsidRDefault="00CD105B" w:rsidP="00CD105B">
      <w:pPr>
        <w:pStyle w:val="TextoNormalSangraFrancesa"/>
        <w:rPr>
          <w:rStyle w:val="TextoNormalCaracter"/>
        </w:rPr>
      </w:pPr>
      <w:bookmarkStart w:id="592" w:name="DESCRIPTORALFABETICO172"/>
      <w:r w:rsidRPr="00CD105B">
        <w:rPr>
          <w:rStyle w:val="TextoNormalNegritaCaracter"/>
        </w:rPr>
        <w:t>Anteproyectos de ley</w:t>
      </w:r>
      <w:bookmarkEnd w:id="592"/>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ff. 2 y 4, VP I; </w:t>
      </w:r>
      <w:hyperlink w:anchor="SENTENCIA_2024_95" w:history="1">
        <w:r w:rsidRPr="00CD105B">
          <w:rPr>
            <w:rStyle w:val="TextoNormalCaracter"/>
          </w:rPr>
          <w:t>95/2024</w:t>
        </w:r>
      </w:hyperlink>
      <w:r w:rsidRPr="00CD105B">
        <w:rPr>
          <w:rStyle w:val="TextoNormalCaracter"/>
        </w:rPr>
        <w:t xml:space="preserve">, f. 3; </w:t>
      </w:r>
      <w:hyperlink w:anchor="SENTENCIA_2024_96" w:history="1">
        <w:r w:rsidRPr="00CD105B">
          <w:rPr>
            <w:rStyle w:val="TextoNormalCaracter"/>
          </w:rPr>
          <w:t>96/2024</w:t>
        </w:r>
      </w:hyperlink>
      <w:r w:rsidRPr="00CD105B">
        <w:rPr>
          <w:rStyle w:val="TextoNormalCaracter"/>
        </w:rPr>
        <w:t xml:space="preserve">, ff. 5 y 6, VP I, VP II, VP IV; </w:t>
      </w:r>
      <w:hyperlink w:anchor="SENTENCIA_2024_97" w:history="1">
        <w:r w:rsidRPr="00CD105B">
          <w:rPr>
            <w:rStyle w:val="TextoNormalCaracter"/>
          </w:rPr>
          <w:t>97/2024</w:t>
        </w:r>
      </w:hyperlink>
      <w:r w:rsidRPr="00CD105B">
        <w:rPr>
          <w:rStyle w:val="TextoNormalCaracter"/>
        </w:rPr>
        <w:t xml:space="preserve">, ff.  4 a 6, VP I, VP II, VP IV; </w:t>
      </w:r>
      <w:hyperlink w:anchor="SENTENCIA_2024_98" w:history="1">
        <w:r w:rsidRPr="00CD105B">
          <w:rPr>
            <w:rStyle w:val="TextoNormalCaracter"/>
          </w:rPr>
          <w:t>98/2024</w:t>
        </w:r>
      </w:hyperlink>
      <w:r w:rsidRPr="00CD105B">
        <w:rPr>
          <w:rStyle w:val="TextoNormalCaracter"/>
        </w:rPr>
        <w:t xml:space="preserve">, ff. 2, 4 y 5, VP I, VP II, VP III; </w:t>
      </w:r>
      <w:hyperlink w:anchor="SENTENCIA_2024_99" w:history="1">
        <w:r w:rsidRPr="00CD105B">
          <w:rPr>
            <w:rStyle w:val="TextoNormalCaracter"/>
          </w:rPr>
          <w:t>99/2024</w:t>
        </w:r>
      </w:hyperlink>
      <w:r w:rsidRPr="00CD105B">
        <w:rPr>
          <w:rStyle w:val="TextoNormalCaracter"/>
        </w:rPr>
        <w:t xml:space="preserve">, ff. 1 a 4, VP I, VP II, VP III, VP IV; </w:t>
      </w:r>
      <w:hyperlink w:anchor="SENTENCIA_2024_100" w:history="1">
        <w:r w:rsidRPr="00CD105B">
          <w:rPr>
            <w:rStyle w:val="TextoNormalCaracter"/>
          </w:rPr>
          <w:t>100/2024</w:t>
        </w:r>
      </w:hyperlink>
      <w:r w:rsidRPr="00CD105B">
        <w:rPr>
          <w:rStyle w:val="TextoNormalCaracter"/>
        </w:rPr>
        <w:t xml:space="preserve">, ff. 4 y 5, VP I, VP II; </w:t>
      </w:r>
      <w:hyperlink w:anchor="SENTENCIA_2024_101" w:history="1">
        <w:r w:rsidRPr="00CD105B">
          <w:rPr>
            <w:rStyle w:val="TextoNormalCaracter"/>
          </w:rPr>
          <w:t>101/2024</w:t>
        </w:r>
      </w:hyperlink>
      <w:r w:rsidRPr="00CD105B">
        <w:rPr>
          <w:rStyle w:val="TextoNormalCaracter"/>
        </w:rPr>
        <w:t xml:space="preserve">, f. 2; </w:t>
      </w:r>
      <w:hyperlink w:anchor="SENTENCIA_2024_102" w:history="1">
        <w:r w:rsidRPr="00CD105B">
          <w:rPr>
            <w:rStyle w:val="TextoNormalCaracter"/>
          </w:rPr>
          <w:t>102/2024</w:t>
        </w:r>
      </w:hyperlink>
      <w:r w:rsidRPr="00CD105B">
        <w:rPr>
          <w:rStyle w:val="TextoNormalCaracter"/>
        </w:rPr>
        <w:t xml:space="preserve">, f. 4; </w:t>
      </w:r>
      <w:hyperlink w:anchor="SENTENCIA_2024_103" w:history="1">
        <w:r w:rsidRPr="00CD105B">
          <w:rPr>
            <w:rStyle w:val="TextoNormalCaracter"/>
          </w:rPr>
          <w:t>103/2024</w:t>
        </w:r>
      </w:hyperlink>
      <w:r w:rsidRPr="00CD105B">
        <w:rPr>
          <w:rStyle w:val="TextoNormalCaracter"/>
        </w:rPr>
        <w:t>, ff. 2, 4 y 6, VP I, VP II, VP III, VP IV.</w:t>
      </w:r>
    </w:p>
    <w:p w14:paraId="1C93E1D1" w14:textId="063AA6CD" w:rsidR="00CD105B" w:rsidRPr="00CD105B" w:rsidRDefault="00CD105B" w:rsidP="00CD105B">
      <w:pPr>
        <w:pStyle w:val="TextoNormalSangraFrancesa"/>
        <w:rPr>
          <w:rStyle w:val="TextoNormalCaracter"/>
        </w:rPr>
      </w:pPr>
      <w:bookmarkStart w:id="593" w:name="DESCRIPTORALFABETICO277"/>
      <w:r w:rsidRPr="00CD105B">
        <w:rPr>
          <w:rStyle w:val="TextoNormalNegritaCaracter"/>
        </w:rPr>
        <w:t>Aplicación de normas declaradas inconstitucionales</w:t>
      </w:r>
      <w:bookmarkEnd w:id="593"/>
      <w:r w:rsidRPr="00CD105B">
        <w:rPr>
          <w:rStyle w:val="TextoNormalCaracter"/>
        </w:rPr>
        <w:t xml:space="preserve">, Sentencia </w:t>
      </w:r>
      <w:hyperlink w:anchor="SENTENCIA_2024_117" w:history="1">
        <w:r w:rsidRPr="00CD105B">
          <w:rPr>
            <w:rStyle w:val="TextoNormalCaracter"/>
          </w:rPr>
          <w:t>117/2024</w:t>
        </w:r>
      </w:hyperlink>
      <w:r w:rsidRPr="00CD105B">
        <w:rPr>
          <w:rStyle w:val="TextoNormalCaracter"/>
        </w:rPr>
        <w:t>, f. 4.</w:t>
      </w:r>
    </w:p>
    <w:p w14:paraId="0BA59D4B" w14:textId="50D2D39D" w:rsidR="00CD105B" w:rsidRPr="00CD105B" w:rsidRDefault="00CD105B" w:rsidP="00CD105B">
      <w:pPr>
        <w:pStyle w:val="TextoNormalSangraFrancesa"/>
        <w:rPr>
          <w:rStyle w:val="TextoNormalCaracter"/>
        </w:rPr>
      </w:pPr>
      <w:bookmarkStart w:id="594" w:name="DESCRIPTORALFABETICO378"/>
      <w:r w:rsidRPr="00CD105B">
        <w:rPr>
          <w:rStyle w:val="TextoNormalNegritaCaracter"/>
        </w:rPr>
        <w:t>Aragón</w:t>
      </w:r>
      <w:bookmarkEnd w:id="594"/>
      <w:r w:rsidRPr="00CD105B">
        <w:rPr>
          <w:rStyle w:val="TextoNormalCaracter"/>
        </w:rPr>
        <w:t xml:space="preserve">, Sentencia </w:t>
      </w:r>
      <w:hyperlink w:anchor="SENTENCIA_2024_113" w:history="1">
        <w:r w:rsidRPr="00CD105B">
          <w:rPr>
            <w:rStyle w:val="TextoNormalCaracter"/>
          </w:rPr>
          <w:t>113/2024</w:t>
        </w:r>
      </w:hyperlink>
      <w:r w:rsidRPr="00CD105B">
        <w:rPr>
          <w:rStyle w:val="TextoNormalCaracter"/>
        </w:rPr>
        <w:t>, f. 1.</w:t>
      </w:r>
    </w:p>
    <w:p w14:paraId="590CB745" w14:textId="42B22F2C" w:rsidR="00CD105B" w:rsidRPr="00CD105B" w:rsidRDefault="00CD105B" w:rsidP="00CD105B">
      <w:pPr>
        <w:pStyle w:val="TextoNormalSangraFrancesa"/>
        <w:rPr>
          <w:rStyle w:val="TextoNormalCaracter"/>
        </w:rPr>
      </w:pPr>
      <w:bookmarkStart w:id="595" w:name="DESCRIPTORALFABETICO213"/>
      <w:r w:rsidRPr="00CD105B">
        <w:rPr>
          <w:rStyle w:val="TextoNormalNegritaCaracter"/>
        </w:rPr>
        <w:t>Arbitraje privado</w:t>
      </w:r>
      <w:bookmarkEnd w:id="595"/>
      <w:r w:rsidRPr="00CD105B">
        <w:rPr>
          <w:rStyle w:val="TextoNormalCaracter"/>
        </w:rPr>
        <w:t xml:space="preserve">, Sentencia </w:t>
      </w:r>
      <w:hyperlink w:anchor="SENTENCIA_2024_146" w:history="1">
        <w:r w:rsidRPr="00CD105B">
          <w:rPr>
            <w:rStyle w:val="TextoNormalCaracter"/>
          </w:rPr>
          <w:t>146/2024</w:t>
        </w:r>
      </w:hyperlink>
      <w:r w:rsidRPr="00CD105B">
        <w:rPr>
          <w:rStyle w:val="TextoNormalCaracter"/>
        </w:rPr>
        <w:t>, f. 1.</w:t>
      </w:r>
    </w:p>
    <w:p w14:paraId="3EDD01DF" w14:textId="7C17B176" w:rsidR="00CD105B" w:rsidRPr="00CD105B" w:rsidRDefault="00CD105B" w:rsidP="00CD105B">
      <w:pPr>
        <w:pStyle w:val="TextoNormalSangraFrancesa"/>
        <w:rPr>
          <w:rStyle w:val="TextoNormalCaracter"/>
        </w:rPr>
      </w:pPr>
      <w:bookmarkStart w:id="596" w:name="DESCRIPTORALFABETICO324"/>
      <w:r w:rsidRPr="00CD105B">
        <w:rPr>
          <w:rStyle w:val="TextoNormalNegritaCaracter"/>
        </w:rPr>
        <w:t>Archivo de causa penal</w:t>
      </w:r>
      <w:bookmarkEnd w:id="596"/>
      <w:r w:rsidRPr="00CD105B">
        <w:rPr>
          <w:rStyle w:val="TextoNormalCaracter"/>
        </w:rPr>
        <w:t xml:space="preserve">, Sentencias </w:t>
      </w:r>
      <w:hyperlink w:anchor="SENTENCIA_2024_105" w:history="1">
        <w:r w:rsidRPr="00CD105B">
          <w:rPr>
            <w:rStyle w:val="TextoNormalCaracter"/>
          </w:rPr>
          <w:t>105/2024</w:t>
        </w:r>
      </w:hyperlink>
      <w:r w:rsidRPr="00CD105B">
        <w:rPr>
          <w:rStyle w:val="TextoNormalCaracter"/>
        </w:rPr>
        <w:t xml:space="preserve">, ff. 1 a 5; </w:t>
      </w:r>
      <w:hyperlink w:anchor="SENTENCIA_2024_144" w:history="1">
        <w:r w:rsidRPr="00CD105B">
          <w:rPr>
            <w:rStyle w:val="TextoNormalCaracter"/>
          </w:rPr>
          <w:t>144/2024</w:t>
        </w:r>
      </w:hyperlink>
      <w:r w:rsidRPr="00CD105B">
        <w:rPr>
          <w:rStyle w:val="TextoNormalCaracter"/>
        </w:rPr>
        <w:t>, ff. 1 a 5.</w:t>
      </w:r>
    </w:p>
    <w:p w14:paraId="2C4F62A6" w14:textId="2723D62B" w:rsidR="00CD105B" w:rsidRPr="00CD105B" w:rsidRDefault="00CD105B" w:rsidP="00CD105B">
      <w:pPr>
        <w:pStyle w:val="TextoNormalSangraFrancesa"/>
        <w:rPr>
          <w:rStyle w:val="TextoNormalCaracter"/>
        </w:rPr>
      </w:pPr>
      <w:bookmarkStart w:id="597" w:name="DESCRIPTORALFABETICO227"/>
      <w:r w:rsidRPr="00CD105B">
        <w:rPr>
          <w:rStyle w:val="TextoNormalNegritaCaracter"/>
        </w:rPr>
        <w:t>Arrendamiento de vehículos con conductor</w:t>
      </w:r>
      <w:bookmarkEnd w:id="597"/>
      <w:r w:rsidRPr="00CD105B">
        <w:rPr>
          <w:rStyle w:val="TextoNormalCaracter"/>
        </w:rPr>
        <w:t xml:space="preserve">, Sentencias </w:t>
      </w:r>
      <w:hyperlink w:anchor="SENTENCIA_2024_111" w:history="1">
        <w:r w:rsidRPr="00CD105B">
          <w:rPr>
            <w:rStyle w:val="TextoNormalCaracter"/>
          </w:rPr>
          <w:t>111/2024</w:t>
        </w:r>
      </w:hyperlink>
      <w:r w:rsidRPr="00CD105B">
        <w:rPr>
          <w:rStyle w:val="TextoNormalCaracter"/>
        </w:rPr>
        <w:t xml:space="preserve">, f. 1; </w:t>
      </w:r>
      <w:hyperlink w:anchor="SENTENCIA_2024_112" w:history="1">
        <w:r w:rsidRPr="00CD105B">
          <w:rPr>
            <w:rStyle w:val="TextoNormalCaracter"/>
          </w:rPr>
          <w:t>112/2024</w:t>
        </w:r>
      </w:hyperlink>
      <w:r w:rsidRPr="00CD105B">
        <w:rPr>
          <w:rStyle w:val="TextoNormalCaracter"/>
        </w:rPr>
        <w:t>, ff. 3 y 5.</w:t>
      </w:r>
    </w:p>
    <w:p w14:paraId="27AA0F7A" w14:textId="2A9B0A29" w:rsidR="00CD105B" w:rsidRPr="00CD105B" w:rsidRDefault="00CD105B" w:rsidP="00CD105B">
      <w:pPr>
        <w:pStyle w:val="TextoNormalSangraFrancesa"/>
        <w:rPr>
          <w:rStyle w:val="TextoNormalCaracter"/>
        </w:rPr>
      </w:pPr>
      <w:bookmarkStart w:id="598" w:name="DESCRIPTORALFABETICO187"/>
      <w:r w:rsidRPr="00CD105B">
        <w:rPr>
          <w:rStyle w:val="TextoNormalNegritaCaracter"/>
        </w:rPr>
        <w:t>Asambleas legislativas de las Comunidades Autónomas</w:t>
      </w:r>
      <w:bookmarkEnd w:id="598"/>
      <w:r w:rsidRPr="00CD105B">
        <w:rPr>
          <w:rStyle w:val="TextoNormalCaracter"/>
        </w:rPr>
        <w:t xml:space="preserve">, Sentencia </w:t>
      </w:r>
      <w:hyperlink w:anchor="SENTENCIA_2024_143" w:history="1">
        <w:r w:rsidRPr="00CD105B">
          <w:rPr>
            <w:rStyle w:val="TextoNormalCaracter"/>
          </w:rPr>
          <w:t>143/2024</w:t>
        </w:r>
      </w:hyperlink>
      <w:r w:rsidRPr="00CD105B">
        <w:rPr>
          <w:rStyle w:val="TextoNormalCaracter"/>
        </w:rPr>
        <w:t>, ff. 2 y 3, VP.</w:t>
      </w:r>
    </w:p>
    <w:p w14:paraId="5C279B7D" w14:textId="1FE71E0F" w:rsidR="00CD105B" w:rsidRPr="00CD105B" w:rsidRDefault="00CD105B" w:rsidP="00CD105B">
      <w:pPr>
        <w:pStyle w:val="TextoNormalSangraFrancesa"/>
        <w:rPr>
          <w:rStyle w:val="TextoNormalCaracter"/>
        </w:rPr>
      </w:pPr>
      <w:bookmarkStart w:id="599" w:name="DESCRIPTORALFABETICO137"/>
      <w:r w:rsidRPr="00CD105B">
        <w:rPr>
          <w:rStyle w:val="TextoNormalNegritaCaracter"/>
        </w:rPr>
        <w:t>Ausencia de doctrina constitucional</w:t>
      </w:r>
      <w:bookmarkEnd w:id="599"/>
      <w:r w:rsidRPr="00CD105B">
        <w:rPr>
          <w:rStyle w:val="TextoNormalCaracter"/>
        </w:rPr>
        <w:t xml:space="preserve">, Sentencias </w:t>
      </w:r>
      <w:hyperlink w:anchor="SENTENCIA_2024_107" w:history="1">
        <w:r w:rsidRPr="00CD105B">
          <w:rPr>
            <w:rStyle w:val="TextoNormalCaracter"/>
          </w:rPr>
          <w:t>107/2024</w:t>
        </w:r>
      </w:hyperlink>
      <w:r w:rsidRPr="00CD105B">
        <w:rPr>
          <w:rStyle w:val="TextoNormalCaracter"/>
        </w:rPr>
        <w:t xml:space="preserve">, f. 4; </w:t>
      </w:r>
      <w:hyperlink w:anchor="SENTENCIA_2024_118" w:history="1">
        <w:r w:rsidRPr="00CD105B">
          <w:rPr>
            <w:rStyle w:val="TextoNormalCaracter"/>
          </w:rPr>
          <w:t>118/2024</w:t>
        </w:r>
      </w:hyperlink>
      <w:r w:rsidRPr="00CD105B">
        <w:rPr>
          <w:rStyle w:val="TextoNormalCaracter"/>
        </w:rPr>
        <w:t>, f. 2.</w:t>
      </w:r>
    </w:p>
    <w:p w14:paraId="59814534" w14:textId="4455E51D" w:rsidR="00CD105B" w:rsidRPr="00CD105B" w:rsidRDefault="00CD105B" w:rsidP="00CD105B">
      <w:pPr>
        <w:pStyle w:val="TextoNormalSangraFrancesa"/>
        <w:rPr>
          <w:rStyle w:val="TextoNormalCaracter"/>
        </w:rPr>
      </w:pPr>
      <w:bookmarkStart w:id="600" w:name="DESCRIPTORALFABETICO372"/>
      <w:r w:rsidRPr="00CD105B">
        <w:rPr>
          <w:rStyle w:val="TextoNormalNegritaCaracter"/>
        </w:rPr>
        <w:t>Ausencia de motivación de la condena penal</w:t>
      </w:r>
      <w:bookmarkEnd w:id="600"/>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ff. 5 a 8, VP I, VP III; </w:t>
      </w:r>
      <w:hyperlink w:anchor="SENTENCIA_2024_96" w:history="1">
        <w:r w:rsidRPr="00CD105B">
          <w:rPr>
            <w:rStyle w:val="TextoNormalCaracter"/>
          </w:rPr>
          <w:t>96/2024</w:t>
        </w:r>
      </w:hyperlink>
      <w:r w:rsidRPr="00CD105B">
        <w:rPr>
          <w:rStyle w:val="TextoNormalCaracter"/>
        </w:rPr>
        <w:t xml:space="preserve">, f. 7, VP III, VP IV; </w:t>
      </w:r>
      <w:hyperlink w:anchor="SENTENCIA_2024_97" w:history="1">
        <w:r w:rsidRPr="00CD105B">
          <w:rPr>
            <w:rStyle w:val="TextoNormalCaracter"/>
          </w:rPr>
          <w:t>97/2024</w:t>
        </w:r>
      </w:hyperlink>
      <w:r w:rsidRPr="00CD105B">
        <w:rPr>
          <w:rStyle w:val="TextoNormalCaracter"/>
        </w:rPr>
        <w:t xml:space="preserve">, f. 6, VP III, VP IV; </w:t>
      </w:r>
      <w:hyperlink w:anchor="SENTENCIA_2024_98" w:history="1">
        <w:r w:rsidRPr="00CD105B">
          <w:rPr>
            <w:rStyle w:val="TextoNormalCaracter"/>
          </w:rPr>
          <w:t>98/2024</w:t>
        </w:r>
      </w:hyperlink>
      <w:r w:rsidRPr="00CD105B">
        <w:rPr>
          <w:rStyle w:val="TextoNormalCaracter"/>
        </w:rPr>
        <w:t xml:space="preserve">, f. 6, VP III; </w:t>
      </w:r>
      <w:hyperlink w:anchor="SENTENCIA_2024_100" w:history="1">
        <w:r w:rsidRPr="00CD105B">
          <w:rPr>
            <w:rStyle w:val="TextoNormalCaracter"/>
          </w:rPr>
          <w:t>100/2024</w:t>
        </w:r>
      </w:hyperlink>
      <w:r w:rsidRPr="00CD105B">
        <w:rPr>
          <w:rStyle w:val="TextoNormalCaracter"/>
        </w:rPr>
        <w:t>, f. 6.</w:t>
      </w:r>
    </w:p>
    <w:p w14:paraId="5409B28A" w14:textId="0136BF3A" w:rsidR="00CD105B" w:rsidRPr="00CD105B" w:rsidRDefault="00CD105B" w:rsidP="00CD105B">
      <w:pPr>
        <w:pStyle w:val="TextoNormalSangraFrancesa"/>
        <w:rPr>
          <w:rStyle w:val="TextoNormalCaracter"/>
        </w:rPr>
      </w:pPr>
      <w:bookmarkStart w:id="601" w:name="DESCRIPTORALFABETICO239"/>
      <w:r w:rsidRPr="00CD105B">
        <w:rPr>
          <w:rStyle w:val="TextoNormalNegritaCaracter"/>
        </w:rPr>
        <w:t>Autoconsumo</w:t>
      </w:r>
      <w:bookmarkEnd w:id="601"/>
      <w:r w:rsidRPr="00CD105B">
        <w:rPr>
          <w:rStyle w:val="TextoNormalCaracter"/>
        </w:rPr>
        <w:t xml:space="preserve">, Sentencia </w:t>
      </w:r>
      <w:hyperlink w:anchor="SENTENCIA_2024_113" w:history="1">
        <w:r w:rsidRPr="00CD105B">
          <w:rPr>
            <w:rStyle w:val="TextoNormalCaracter"/>
          </w:rPr>
          <w:t>113/2024</w:t>
        </w:r>
      </w:hyperlink>
      <w:r w:rsidRPr="00CD105B">
        <w:rPr>
          <w:rStyle w:val="TextoNormalCaracter"/>
        </w:rPr>
        <w:t>, ff. 3 y 4.</w:t>
      </w:r>
    </w:p>
    <w:p w14:paraId="2F0A54FA" w14:textId="67262E1F" w:rsidR="00CD105B" w:rsidRPr="00CD105B" w:rsidRDefault="00CD105B" w:rsidP="00CD105B">
      <w:pPr>
        <w:pStyle w:val="TextoNormalSangraFrancesa"/>
        <w:rPr>
          <w:rStyle w:val="TextoNormalCaracter"/>
        </w:rPr>
      </w:pPr>
      <w:bookmarkStart w:id="602" w:name="DESCRIPTORALFABETICO198"/>
      <w:r w:rsidRPr="00CD105B">
        <w:rPr>
          <w:rStyle w:val="TextoNormalNegritaCaracter"/>
        </w:rPr>
        <w:t>Autonomía local</w:t>
      </w:r>
      <w:bookmarkEnd w:id="602"/>
      <w:r w:rsidRPr="00CD105B">
        <w:rPr>
          <w:rStyle w:val="TextoNormalCaracter"/>
        </w:rPr>
        <w:t xml:space="preserve">, Sentencia </w:t>
      </w:r>
      <w:hyperlink w:anchor="SENTENCIA_2024_111" w:history="1">
        <w:r w:rsidRPr="00CD105B">
          <w:rPr>
            <w:rStyle w:val="TextoNormalCaracter"/>
          </w:rPr>
          <w:t>111/2024</w:t>
        </w:r>
      </w:hyperlink>
      <w:r w:rsidRPr="00CD105B">
        <w:rPr>
          <w:rStyle w:val="TextoNormalCaracter"/>
        </w:rPr>
        <w:t>, f. 5.</w:t>
      </w:r>
    </w:p>
    <w:p w14:paraId="1CFA2746" w14:textId="3AD69C5F" w:rsidR="00CD105B" w:rsidRPr="00CD105B" w:rsidRDefault="00CD105B" w:rsidP="00CD105B">
      <w:pPr>
        <w:pStyle w:val="TextoNormalSangraFrancesa"/>
        <w:rPr>
          <w:rStyle w:val="TextoNormalCaracter"/>
        </w:rPr>
      </w:pPr>
      <w:bookmarkStart w:id="603" w:name="DESCRIPTORALFABETICO155"/>
      <w:r w:rsidRPr="00CD105B">
        <w:rPr>
          <w:rStyle w:val="TextoNormalNegritaCaracter"/>
        </w:rPr>
        <w:t>Autorizaciones administrativas</w:t>
      </w:r>
      <w:bookmarkEnd w:id="603"/>
      <w:r w:rsidRPr="00CD105B">
        <w:rPr>
          <w:rStyle w:val="TextoNormalCaracter"/>
        </w:rPr>
        <w:t xml:space="preserve">, Sentencia </w:t>
      </w:r>
      <w:hyperlink w:anchor="SENTENCIA_2024_111" w:history="1">
        <w:r w:rsidRPr="00CD105B">
          <w:rPr>
            <w:rStyle w:val="TextoNormalCaracter"/>
          </w:rPr>
          <w:t>111/2024</w:t>
        </w:r>
      </w:hyperlink>
      <w:r w:rsidRPr="00CD105B">
        <w:rPr>
          <w:rStyle w:val="TextoNormalCaracter"/>
        </w:rPr>
        <w:t>, f. 1.</w:t>
      </w:r>
    </w:p>
    <w:p w14:paraId="43BDBD23" w14:textId="690A4B84" w:rsidR="00CD105B" w:rsidRPr="00CD105B" w:rsidRDefault="00CD105B" w:rsidP="00CD105B">
      <w:pPr>
        <w:pStyle w:val="TextoNormalSangraFrancesa"/>
        <w:rPr>
          <w:rStyle w:val="TextoNormalCaracter"/>
        </w:rPr>
      </w:pPr>
      <w:bookmarkStart w:id="604" w:name="DESCRIPTORALFABETICO226"/>
      <w:r w:rsidRPr="00CD105B">
        <w:rPr>
          <w:rStyle w:val="TextoNormalNegritaCaracter"/>
        </w:rPr>
        <w:t>Aval</w:t>
      </w:r>
      <w:bookmarkEnd w:id="604"/>
      <w:r w:rsidRPr="00CD105B">
        <w:rPr>
          <w:rStyle w:val="TextoNormalCaracter"/>
        </w:rPr>
        <w:t xml:space="preserve">, Sentencia </w:t>
      </w:r>
      <w:hyperlink w:anchor="SENTENCIA_2024_121" w:history="1">
        <w:r w:rsidRPr="00CD105B">
          <w:rPr>
            <w:rStyle w:val="TextoNormalCaracter"/>
          </w:rPr>
          <w:t>121/2024</w:t>
        </w:r>
      </w:hyperlink>
      <w:r w:rsidRPr="00CD105B">
        <w:rPr>
          <w:rStyle w:val="TextoNormalCaracter"/>
        </w:rPr>
        <w:t>, f. 1, VP I.</w:t>
      </w:r>
    </w:p>
    <w:p w14:paraId="7FCDD4C7" w14:textId="01340558" w:rsidR="00CD105B" w:rsidRDefault="00CD105B" w:rsidP="00CD105B">
      <w:pPr>
        <w:pStyle w:val="TextoNormalSangraFrancesa"/>
      </w:pPr>
    </w:p>
    <w:p w14:paraId="58E914AE" w14:textId="77777777" w:rsidR="00CD105B" w:rsidRDefault="00CD105B" w:rsidP="00CD105B">
      <w:pPr>
        <w:pStyle w:val="TextoNormalSangraFrancesa"/>
      </w:pPr>
    </w:p>
    <w:p w14:paraId="02661404" w14:textId="77777777" w:rsidR="00CD105B" w:rsidRDefault="00CD105B" w:rsidP="00CD105B">
      <w:pPr>
        <w:pStyle w:val="TextoNormalNegritaCentrado"/>
      </w:pPr>
      <w:r>
        <w:t>B</w:t>
      </w:r>
    </w:p>
    <w:p w14:paraId="036B1CB4" w14:textId="3F38D592" w:rsidR="00CD105B" w:rsidRDefault="00CD105B" w:rsidP="00CD105B">
      <w:pPr>
        <w:pStyle w:val="TextoNormalNegritaCentrado"/>
      </w:pPr>
    </w:p>
    <w:p w14:paraId="1F58EF40" w14:textId="29768AE0" w:rsidR="00CD105B" w:rsidRPr="00CD105B" w:rsidRDefault="00CD105B" w:rsidP="00CD105B">
      <w:pPr>
        <w:pStyle w:val="TextoNormalSangraFrancesa"/>
        <w:rPr>
          <w:rStyle w:val="TextoNormalCaracter"/>
        </w:rPr>
      </w:pPr>
      <w:bookmarkStart w:id="605" w:name="DESCRIPTORALFABETICO228"/>
      <w:r w:rsidRPr="00CD105B">
        <w:rPr>
          <w:rStyle w:val="TextoNormalNegritaCaracter"/>
        </w:rPr>
        <w:t>Bases de las obligaciones contractuales</w:t>
      </w:r>
      <w:bookmarkEnd w:id="605"/>
      <w:r w:rsidRPr="00CD105B">
        <w:rPr>
          <w:rStyle w:val="TextoNormalCaracter"/>
        </w:rPr>
        <w:t xml:space="preserve">, Sentencia </w:t>
      </w:r>
      <w:hyperlink w:anchor="SENTENCIA_2024_120" w:history="1">
        <w:r w:rsidRPr="00CD105B">
          <w:rPr>
            <w:rStyle w:val="TextoNormalCaracter"/>
          </w:rPr>
          <w:t>120/2024</w:t>
        </w:r>
      </w:hyperlink>
      <w:r w:rsidRPr="00CD105B">
        <w:rPr>
          <w:rStyle w:val="TextoNormalCaracter"/>
        </w:rPr>
        <w:t>, f. 5.</w:t>
      </w:r>
    </w:p>
    <w:p w14:paraId="7B02BAF0" w14:textId="32CA8B90" w:rsidR="00CD105B" w:rsidRDefault="00CD105B" w:rsidP="00CD105B">
      <w:pPr>
        <w:pStyle w:val="TextoNormalSangraFrancesa"/>
      </w:pPr>
    </w:p>
    <w:p w14:paraId="65277B67" w14:textId="77777777" w:rsidR="00CD105B" w:rsidRDefault="00CD105B" w:rsidP="00CD105B">
      <w:pPr>
        <w:pStyle w:val="TextoNormalSangraFrancesa"/>
      </w:pPr>
    </w:p>
    <w:p w14:paraId="1423E3B3" w14:textId="77777777" w:rsidR="00CD105B" w:rsidRDefault="00CD105B" w:rsidP="00CD105B">
      <w:pPr>
        <w:pStyle w:val="TextoNormalNegritaCentrado"/>
      </w:pPr>
      <w:r>
        <w:t>C</w:t>
      </w:r>
    </w:p>
    <w:p w14:paraId="1D6AD310" w14:textId="262FD5A5" w:rsidR="00CD105B" w:rsidRDefault="00CD105B" w:rsidP="00CD105B">
      <w:pPr>
        <w:pStyle w:val="TextoNormalNegritaCentrado"/>
      </w:pPr>
    </w:p>
    <w:p w14:paraId="47A56390" w14:textId="08EAC9E6" w:rsidR="00CD105B" w:rsidRPr="00CD105B" w:rsidRDefault="00CD105B" w:rsidP="00CD105B">
      <w:pPr>
        <w:pStyle w:val="TextoNormalSangraFrancesa"/>
        <w:rPr>
          <w:rStyle w:val="TextoNormalCaracter"/>
        </w:rPr>
      </w:pPr>
      <w:bookmarkStart w:id="606" w:name="DESCRIPTORALFABETICO80"/>
      <w:r w:rsidRPr="00CD105B">
        <w:rPr>
          <w:rStyle w:val="TextoNormalNegritaCaracter"/>
        </w:rPr>
        <w:t>Canon de constitucionalidad reforzado</w:t>
      </w:r>
      <w:bookmarkEnd w:id="606"/>
      <w:r w:rsidRPr="00CD105B">
        <w:rPr>
          <w:rStyle w:val="TextoNormalCaracter"/>
        </w:rPr>
        <w:t xml:space="preserve">, Sentencia </w:t>
      </w:r>
      <w:hyperlink w:anchor="SENTENCIA_2024_118" w:history="1">
        <w:r w:rsidRPr="00CD105B">
          <w:rPr>
            <w:rStyle w:val="TextoNormalCaracter"/>
          </w:rPr>
          <w:t>118/2024</w:t>
        </w:r>
      </w:hyperlink>
      <w:r w:rsidRPr="00CD105B">
        <w:rPr>
          <w:rStyle w:val="TextoNormalCaracter"/>
        </w:rPr>
        <w:t>, f. 5.</w:t>
      </w:r>
    </w:p>
    <w:p w14:paraId="43AED543" w14:textId="6B8CE139" w:rsidR="00CD105B" w:rsidRPr="00CD105B" w:rsidRDefault="00CD105B" w:rsidP="00CD105B">
      <w:pPr>
        <w:pStyle w:val="TextoNormalSangraFrancesa"/>
        <w:rPr>
          <w:rStyle w:val="TextoNormalCaracter"/>
        </w:rPr>
      </w:pPr>
      <w:bookmarkStart w:id="607" w:name="DESCRIPTORALFABETICO38"/>
      <w:r w:rsidRPr="00CD105B">
        <w:rPr>
          <w:rStyle w:val="TextoNormalNegritaCaracter"/>
        </w:rPr>
        <w:t>Canon de motivación</w:t>
      </w:r>
      <w:bookmarkEnd w:id="607"/>
      <w:r w:rsidRPr="00CD105B">
        <w:rPr>
          <w:rStyle w:val="TextoNormalCaracter"/>
        </w:rPr>
        <w:t xml:space="preserve">, Sentencias </w:t>
      </w:r>
      <w:hyperlink w:anchor="SENTENCIA_2024_133" w:history="1">
        <w:r w:rsidRPr="00CD105B">
          <w:rPr>
            <w:rStyle w:val="TextoNormalCaracter"/>
          </w:rPr>
          <w:t>133/2024</w:t>
        </w:r>
      </w:hyperlink>
      <w:r w:rsidRPr="00CD105B">
        <w:rPr>
          <w:rStyle w:val="TextoNormalCaracter"/>
        </w:rPr>
        <w:t xml:space="preserve">, f. 4; </w:t>
      </w:r>
      <w:hyperlink w:anchor="SENTENCIA_2024_134" w:history="1">
        <w:r w:rsidRPr="00CD105B">
          <w:rPr>
            <w:rStyle w:val="TextoNormalCaracter"/>
          </w:rPr>
          <w:t>134/2024</w:t>
        </w:r>
      </w:hyperlink>
      <w:r w:rsidRPr="00CD105B">
        <w:rPr>
          <w:rStyle w:val="TextoNormalCaracter"/>
        </w:rPr>
        <w:t xml:space="preserve">, f. 4; </w:t>
      </w:r>
      <w:hyperlink w:anchor="SENTENCIA_2024_146" w:history="1">
        <w:r w:rsidRPr="00CD105B">
          <w:rPr>
            <w:rStyle w:val="TextoNormalCaracter"/>
          </w:rPr>
          <w:t>146/2024</w:t>
        </w:r>
      </w:hyperlink>
      <w:r w:rsidRPr="00CD105B">
        <w:rPr>
          <w:rStyle w:val="TextoNormalCaracter"/>
        </w:rPr>
        <w:t>, f. 3.</w:t>
      </w:r>
    </w:p>
    <w:p w14:paraId="4C301A50" w14:textId="1434C1A3" w:rsidR="00CD105B" w:rsidRPr="00CD105B" w:rsidRDefault="00CD105B" w:rsidP="00CD105B">
      <w:pPr>
        <w:pStyle w:val="TextoNormalSangraFrancesa"/>
        <w:rPr>
          <w:rStyle w:val="TextoNormalCaracter"/>
        </w:rPr>
      </w:pPr>
      <w:bookmarkStart w:id="608" w:name="DESCRIPTORALFABETICO39"/>
      <w:r w:rsidRPr="00CD105B">
        <w:rPr>
          <w:rStyle w:val="TextoNormalNegritaCaracter"/>
        </w:rPr>
        <w:t>Canon de motivación reforzado</w:t>
      </w:r>
      <w:bookmarkEnd w:id="608"/>
      <w:r w:rsidRPr="00CD105B">
        <w:rPr>
          <w:rStyle w:val="TextoNormalCaracter"/>
        </w:rPr>
        <w:t xml:space="preserve">, Sentencia </w:t>
      </w:r>
      <w:hyperlink w:anchor="SENTENCIA_2024_126" w:history="1">
        <w:r w:rsidRPr="00CD105B">
          <w:rPr>
            <w:rStyle w:val="TextoNormalCaracter"/>
          </w:rPr>
          <w:t>126/2024</w:t>
        </w:r>
      </w:hyperlink>
      <w:r w:rsidRPr="00CD105B">
        <w:rPr>
          <w:rStyle w:val="TextoNormalCaracter"/>
        </w:rPr>
        <w:t>, f. 3.</w:t>
      </w:r>
    </w:p>
    <w:p w14:paraId="029653B6" w14:textId="290E79E9" w:rsidR="00CD105B" w:rsidRPr="00CD105B" w:rsidRDefault="00CD105B" w:rsidP="00CD105B">
      <w:pPr>
        <w:pStyle w:val="TextoNormalSangraFrancesa"/>
        <w:rPr>
          <w:rStyle w:val="TextoNormalCaracter"/>
        </w:rPr>
      </w:pPr>
      <w:bookmarkStart w:id="609" w:name="DESCRIPTORALFABETICO40"/>
      <w:r w:rsidRPr="00CD105B">
        <w:rPr>
          <w:rStyle w:val="TextoNormalNegritaCaracter"/>
        </w:rPr>
        <w:t>Canon de motivación reforzado cuando afecta a derechos fundamentales</w:t>
      </w:r>
      <w:bookmarkEnd w:id="609"/>
      <w:r w:rsidRPr="00CD105B">
        <w:rPr>
          <w:rStyle w:val="TextoNormalCaracter"/>
        </w:rPr>
        <w:t xml:space="preserve">, Sentencias </w:t>
      </w:r>
      <w:hyperlink w:anchor="SENTENCIA_2024_115" w:history="1">
        <w:r w:rsidRPr="00CD105B">
          <w:rPr>
            <w:rStyle w:val="TextoNormalCaracter"/>
          </w:rPr>
          <w:t>115/2024</w:t>
        </w:r>
      </w:hyperlink>
      <w:r w:rsidRPr="00CD105B">
        <w:rPr>
          <w:rStyle w:val="TextoNormalCaracter"/>
        </w:rPr>
        <w:t xml:space="preserve">, f. 2, VP I, VP II; </w:t>
      </w:r>
      <w:hyperlink w:anchor="SENTENCIA_2024_145" w:history="1">
        <w:r w:rsidRPr="00CD105B">
          <w:rPr>
            <w:rStyle w:val="TextoNormalCaracter"/>
          </w:rPr>
          <w:t>145/2024</w:t>
        </w:r>
      </w:hyperlink>
      <w:r w:rsidRPr="00CD105B">
        <w:rPr>
          <w:rStyle w:val="TextoNormalCaracter"/>
        </w:rPr>
        <w:t>, ff. 3 a 5.</w:t>
      </w:r>
    </w:p>
    <w:p w14:paraId="663BF76B" w14:textId="1567B65A" w:rsidR="00CD105B" w:rsidRPr="00CD105B" w:rsidRDefault="00CD105B" w:rsidP="00CD105B">
      <w:pPr>
        <w:pStyle w:val="TextoNormalSangraFrancesa"/>
        <w:rPr>
          <w:rStyle w:val="TextoNormalCaracter"/>
        </w:rPr>
      </w:pPr>
      <w:bookmarkStart w:id="610" w:name="DESCRIPTORALFABETICO41"/>
      <w:r w:rsidRPr="00CD105B">
        <w:rPr>
          <w:rStyle w:val="TextoNormalNegritaCaracter"/>
        </w:rPr>
        <w:t>Canon de motivación reforzado cuando afecta a la libertad personal</w:t>
      </w:r>
      <w:bookmarkEnd w:id="610"/>
      <w:r w:rsidRPr="00CD105B">
        <w:rPr>
          <w:rStyle w:val="TextoNormalCaracter"/>
        </w:rPr>
        <w:t xml:space="preserve">, Sentencia </w:t>
      </w:r>
      <w:hyperlink w:anchor="SENTENCIA_2024_122" w:history="1">
        <w:r w:rsidRPr="00CD105B">
          <w:rPr>
            <w:rStyle w:val="TextoNormalCaracter"/>
          </w:rPr>
          <w:t>122/2024</w:t>
        </w:r>
      </w:hyperlink>
      <w:r w:rsidRPr="00CD105B">
        <w:rPr>
          <w:rStyle w:val="TextoNormalCaracter"/>
        </w:rPr>
        <w:t>, ff. 3 y 4.</w:t>
      </w:r>
    </w:p>
    <w:p w14:paraId="5C93016C" w14:textId="614FB635" w:rsidR="00CD105B" w:rsidRPr="00CD105B" w:rsidRDefault="00CD105B" w:rsidP="00CD105B">
      <w:pPr>
        <w:pStyle w:val="TextoNormalSangraFrancesa"/>
        <w:rPr>
          <w:rStyle w:val="TextoNormalCaracter"/>
        </w:rPr>
      </w:pPr>
      <w:bookmarkStart w:id="611" w:name="DESCRIPTORALFABETICO24"/>
      <w:r w:rsidRPr="00CD105B">
        <w:rPr>
          <w:rStyle w:val="TextoNormalNegritaCaracter"/>
        </w:rPr>
        <w:t>Canon reforzado de investigación</w:t>
      </w:r>
      <w:bookmarkEnd w:id="611"/>
      <w:r w:rsidRPr="00CD105B">
        <w:rPr>
          <w:rStyle w:val="TextoNormalCaracter"/>
        </w:rPr>
        <w:t xml:space="preserve">, Sentencias </w:t>
      </w:r>
      <w:hyperlink w:anchor="SENTENCIA_2024_105" w:history="1">
        <w:r w:rsidRPr="00CD105B">
          <w:rPr>
            <w:rStyle w:val="TextoNormalCaracter"/>
          </w:rPr>
          <w:t>105/2024</w:t>
        </w:r>
      </w:hyperlink>
      <w:r w:rsidRPr="00CD105B">
        <w:rPr>
          <w:rStyle w:val="TextoNormalCaracter"/>
        </w:rPr>
        <w:t xml:space="preserve">, f. 2; </w:t>
      </w:r>
      <w:hyperlink w:anchor="SENTENCIA_2024_144" w:history="1">
        <w:r w:rsidRPr="00CD105B">
          <w:rPr>
            <w:rStyle w:val="TextoNormalCaracter"/>
          </w:rPr>
          <w:t>144/2024</w:t>
        </w:r>
      </w:hyperlink>
      <w:r w:rsidRPr="00CD105B">
        <w:rPr>
          <w:rStyle w:val="TextoNormalCaracter"/>
        </w:rPr>
        <w:t>, ff. 4 y 5.</w:t>
      </w:r>
    </w:p>
    <w:p w14:paraId="65BED150" w14:textId="13874FBE" w:rsidR="00CD105B" w:rsidRPr="00CD105B" w:rsidRDefault="00CD105B" w:rsidP="00CD105B">
      <w:pPr>
        <w:pStyle w:val="TextoNormalSangraFrancesa"/>
        <w:rPr>
          <w:rStyle w:val="TextoNormalCaracter"/>
        </w:rPr>
      </w:pPr>
      <w:bookmarkStart w:id="612" w:name="DESCRIPTORALFABETICO263"/>
      <w:r w:rsidRPr="00CD105B">
        <w:rPr>
          <w:rStyle w:val="TextoNormalNegritaCaracter"/>
        </w:rPr>
        <w:t>Carácter excepcional de los decretos-leyes</w:t>
      </w:r>
      <w:bookmarkEnd w:id="612"/>
      <w:r w:rsidRPr="00CD105B">
        <w:rPr>
          <w:rStyle w:val="TextoNormalCaracter"/>
        </w:rPr>
        <w:t xml:space="preserve">, Sentencias </w:t>
      </w:r>
      <w:hyperlink w:anchor="SENTENCIA_2024_113" w:history="1">
        <w:r w:rsidRPr="00CD105B">
          <w:rPr>
            <w:rStyle w:val="TextoNormalCaracter"/>
          </w:rPr>
          <w:t>113/2024</w:t>
        </w:r>
      </w:hyperlink>
      <w:r w:rsidRPr="00CD105B">
        <w:rPr>
          <w:rStyle w:val="TextoNormalCaracter"/>
        </w:rPr>
        <w:t xml:space="preserve">, ff. 2 y 4; </w:t>
      </w:r>
      <w:hyperlink w:anchor="SENTENCIA_2024_121" w:history="1">
        <w:r w:rsidRPr="00CD105B">
          <w:rPr>
            <w:rStyle w:val="TextoNormalCaracter"/>
          </w:rPr>
          <w:t>121/2024</w:t>
        </w:r>
      </w:hyperlink>
      <w:r w:rsidRPr="00CD105B">
        <w:rPr>
          <w:rStyle w:val="TextoNormalCaracter"/>
        </w:rPr>
        <w:t>, f. 4.</w:t>
      </w:r>
    </w:p>
    <w:p w14:paraId="6549CF6C" w14:textId="7075F6BC" w:rsidR="00CD105B" w:rsidRPr="00CD105B" w:rsidRDefault="00CD105B" w:rsidP="00CD105B">
      <w:pPr>
        <w:pStyle w:val="TextoNormalSangraFrancesa"/>
        <w:rPr>
          <w:rStyle w:val="TextoNormalCaracter"/>
        </w:rPr>
      </w:pPr>
      <w:bookmarkStart w:id="613" w:name="DESCRIPTORALFABETICO379"/>
      <w:r w:rsidRPr="00CD105B">
        <w:rPr>
          <w:rStyle w:val="TextoNormalNegritaCaracter"/>
        </w:rPr>
        <w:t>Cataluña</w:t>
      </w:r>
      <w:bookmarkEnd w:id="613"/>
      <w:r w:rsidRPr="00CD105B">
        <w:rPr>
          <w:rStyle w:val="TextoNormalCaracter"/>
        </w:rPr>
        <w:t xml:space="preserve">, Sentencias </w:t>
      </w:r>
      <w:hyperlink w:anchor="SENTENCIA_2024_120" w:history="1">
        <w:r w:rsidRPr="00CD105B">
          <w:rPr>
            <w:rStyle w:val="TextoNormalCaracter"/>
          </w:rPr>
          <w:t>120/2024</w:t>
        </w:r>
      </w:hyperlink>
      <w:r w:rsidRPr="00CD105B">
        <w:rPr>
          <w:rStyle w:val="TextoNormalCaracter"/>
        </w:rPr>
        <w:t xml:space="preserve">, f. 1; </w:t>
      </w:r>
      <w:hyperlink w:anchor="SENTENCIA_2024_121" w:history="1">
        <w:r w:rsidRPr="00CD105B">
          <w:rPr>
            <w:rStyle w:val="TextoNormalCaracter"/>
          </w:rPr>
          <w:t>121/2024</w:t>
        </w:r>
      </w:hyperlink>
      <w:r w:rsidRPr="00CD105B">
        <w:rPr>
          <w:rStyle w:val="TextoNormalCaracter"/>
        </w:rPr>
        <w:t xml:space="preserve">, f. 1; </w:t>
      </w:r>
      <w:hyperlink w:anchor="SENTENCIA_2024_127" w:history="1">
        <w:r w:rsidRPr="00CD105B">
          <w:rPr>
            <w:rStyle w:val="TextoNormalCaracter"/>
          </w:rPr>
          <w:t>127/2024</w:t>
        </w:r>
      </w:hyperlink>
      <w:r w:rsidRPr="00CD105B">
        <w:rPr>
          <w:rStyle w:val="TextoNormalCaracter"/>
        </w:rPr>
        <w:t xml:space="preserve">, f. 1; </w:t>
      </w:r>
      <w:hyperlink w:anchor="SENTENCIA_2024_130" w:history="1">
        <w:r w:rsidRPr="00CD105B">
          <w:rPr>
            <w:rStyle w:val="TextoNormalCaracter"/>
          </w:rPr>
          <w:t>130/2024</w:t>
        </w:r>
      </w:hyperlink>
      <w:r w:rsidRPr="00CD105B">
        <w:rPr>
          <w:rStyle w:val="TextoNormalCaracter"/>
        </w:rPr>
        <w:t xml:space="preserve">, f. 1; </w:t>
      </w:r>
      <w:hyperlink w:anchor="SENTENCIA_2024_143" w:history="1">
        <w:r w:rsidRPr="00CD105B">
          <w:rPr>
            <w:rStyle w:val="TextoNormalCaracter"/>
          </w:rPr>
          <w:t>143/2024</w:t>
        </w:r>
      </w:hyperlink>
      <w:r w:rsidRPr="00CD105B">
        <w:rPr>
          <w:rStyle w:val="TextoNormalCaracter"/>
        </w:rPr>
        <w:t xml:space="preserve">; </w:t>
      </w:r>
      <w:hyperlink w:anchor="SENTENCIA_2024_154" w:history="1">
        <w:r w:rsidRPr="00CD105B">
          <w:rPr>
            <w:rStyle w:val="TextoNormalCaracter"/>
          </w:rPr>
          <w:t>154/2024</w:t>
        </w:r>
      </w:hyperlink>
      <w:r w:rsidRPr="00CD105B">
        <w:rPr>
          <w:rStyle w:val="TextoNormalCaracter"/>
        </w:rPr>
        <w:t xml:space="preserve">, f. único; </w:t>
      </w:r>
      <w:hyperlink w:anchor="SENTENCIA_2024_156" w:history="1">
        <w:r w:rsidRPr="00CD105B">
          <w:rPr>
            <w:rStyle w:val="TextoNormalCaracter"/>
          </w:rPr>
          <w:t>156/2024</w:t>
        </w:r>
      </w:hyperlink>
      <w:r w:rsidRPr="00CD105B">
        <w:rPr>
          <w:rStyle w:val="TextoNormalCaracter"/>
        </w:rPr>
        <w:t>, f. único.</w:t>
      </w:r>
    </w:p>
    <w:p w14:paraId="118C24BC" w14:textId="533DAB80" w:rsidR="00CD105B" w:rsidRPr="00CD105B" w:rsidRDefault="00CD105B" w:rsidP="00CD105B">
      <w:pPr>
        <w:pStyle w:val="TextoNormalSangraFrancesa"/>
        <w:rPr>
          <w:rStyle w:val="TextoNormalCaracter"/>
        </w:rPr>
      </w:pPr>
      <w:bookmarkStart w:id="614" w:name="DESCRIPTORALFABETICO225"/>
      <w:r w:rsidRPr="00CD105B">
        <w:rPr>
          <w:rStyle w:val="TextoNormalNegritaCaracter"/>
        </w:rPr>
        <w:t>Causas de inelegibilidad</w:t>
      </w:r>
      <w:bookmarkEnd w:id="614"/>
      <w:r w:rsidRPr="00CD105B">
        <w:rPr>
          <w:rStyle w:val="TextoNormalCaracter"/>
        </w:rPr>
        <w:t xml:space="preserve">, Sentencia </w:t>
      </w:r>
      <w:hyperlink w:anchor="SENTENCIA_2024_152" w:history="1">
        <w:r w:rsidRPr="00CD105B">
          <w:rPr>
            <w:rStyle w:val="TextoNormalCaracter"/>
          </w:rPr>
          <w:t>152/2024</w:t>
        </w:r>
      </w:hyperlink>
      <w:r w:rsidRPr="00CD105B">
        <w:rPr>
          <w:rStyle w:val="TextoNormalCaracter"/>
        </w:rPr>
        <w:t>, f. 1.</w:t>
      </w:r>
    </w:p>
    <w:p w14:paraId="73B726E2" w14:textId="55752551" w:rsidR="00CD105B" w:rsidRPr="00CD105B" w:rsidRDefault="00CD105B" w:rsidP="00CD105B">
      <w:pPr>
        <w:pStyle w:val="TextoNormalSangraFrancesa"/>
        <w:rPr>
          <w:rStyle w:val="TextoNormalCaracter"/>
        </w:rPr>
      </w:pPr>
      <w:bookmarkStart w:id="615" w:name="DESCRIPTORALFABETICO75"/>
      <w:r w:rsidRPr="00CD105B">
        <w:rPr>
          <w:rStyle w:val="TextoNormalNegritaCaracter"/>
        </w:rPr>
        <w:t>Cobertura legal de medidas limitativas de derechos fundamentales</w:t>
      </w:r>
      <w:bookmarkEnd w:id="615"/>
      <w:r w:rsidRPr="00CD105B">
        <w:rPr>
          <w:rStyle w:val="TextoNormalCaracter"/>
        </w:rPr>
        <w:t xml:space="preserve">, Sentencia </w:t>
      </w:r>
      <w:hyperlink w:anchor="SENTENCIA_2024_148" w:history="1">
        <w:r w:rsidRPr="00CD105B">
          <w:rPr>
            <w:rStyle w:val="TextoNormalCaracter"/>
          </w:rPr>
          <w:t>148/2024</w:t>
        </w:r>
      </w:hyperlink>
      <w:r w:rsidRPr="00CD105B">
        <w:rPr>
          <w:rStyle w:val="TextoNormalCaracter"/>
        </w:rPr>
        <w:t>, ff. 3 y 4.</w:t>
      </w:r>
    </w:p>
    <w:p w14:paraId="388E52AB" w14:textId="63044533" w:rsidR="00CD105B" w:rsidRPr="00CD105B" w:rsidRDefault="00CD105B" w:rsidP="00CD105B">
      <w:pPr>
        <w:pStyle w:val="TextoNormalSangraFrancesa"/>
        <w:rPr>
          <w:rStyle w:val="TextoNormalCaracter"/>
        </w:rPr>
      </w:pPr>
      <w:bookmarkStart w:id="616" w:name="DESCRIPTORALFABETICO262"/>
      <w:r w:rsidRPr="00CD105B">
        <w:rPr>
          <w:rStyle w:val="TextoNormalNegritaCaracter"/>
        </w:rPr>
        <w:t>Colaboración internormativa</w:t>
      </w:r>
      <w:bookmarkEnd w:id="616"/>
      <w:r w:rsidRPr="00CD105B">
        <w:rPr>
          <w:rStyle w:val="TextoNormalCaracter"/>
        </w:rPr>
        <w:t xml:space="preserve">, Sentencia </w:t>
      </w:r>
      <w:hyperlink w:anchor="SENTENCIA_2024_136" w:history="1">
        <w:r w:rsidRPr="00CD105B">
          <w:rPr>
            <w:rStyle w:val="TextoNormalCaracter"/>
          </w:rPr>
          <w:t>136/2024</w:t>
        </w:r>
      </w:hyperlink>
      <w:r w:rsidRPr="00CD105B">
        <w:rPr>
          <w:rStyle w:val="TextoNormalCaracter"/>
        </w:rPr>
        <w:t>, f. 5.</w:t>
      </w:r>
    </w:p>
    <w:p w14:paraId="6FB73E42" w14:textId="05C2FAE9" w:rsidR="00CD105B" w:rsidRPr="00CD105B" w:rsidRDefault="00CD105B" w:rsidP="00CD105B">
      <w:pPr>
        <w:pStyle w:val="TextoNormalSangraFrancesa"/>
        <w:rPr>
          <w:rStyle w:val="TextoNormalCaracter"/>
        </w:rPr>
      </w:pPr>
      <w:bookmarkStart w:id="617" w:name="DESCRIPTORALFABETICO163"/>
      <w:r w:rsidRPr="00CD105B">
        <w:rPr>
          <w:rStyle w:val="TextoNormalNegritaCaracter"/>
        </w:rPr>
        <w:t>Competencia de los Tribunales militares</w:t>
      </w:r>
      <w:bookmarkEnd w:id="617"/>
      <w:r w:rsidRPr="00CD105B">
        <w:rPr>
          <w:rStyle w:val="TextoNormalCaracter"/>
        </w:rPr>
        <w:t xml:space="preserve">, Sentencia </w:t>
      </w:r>
      <w:hyperlink w:anchor="SENTENCIA_2024_128" w:history="1">
        <w:r w:rsidRPr="00CD105B">
          <w:rPr>
            <w:rStyle w:val="TextoNormalCaracter"/>
          </w:rPr>
          <w:t>128/2024</w:t>
        </w:r>
      </w:hyperlink>
      <w:r w:rsidRPr="00CD105B">
        <w:rPr>
          <w:rStyle w:val="TextoNormalCaracter"/>
        </w:rPr>
        <w:t>, ff. 4 a 6.</w:t>
      </w:r>
    </w:p>
    <w:p w14:paraId="7031B3BC" w14:textId="765A3950" w:rsidR="00CD105B" w:rsidRPr="00CD105B" w:rsidRDefault="00CD105B" w:rsidP="00CD105B">
      <w:pPr>
        <w:pStyle w:val="TextoNormalSangraFrancesa"/>
        <w:rPr>
          <w:rStyle w:val="TextoNormalCaracter"/>
        </w:rPr>
      </w:pPr>
      <w:bookmarkStart w:id="618" w:name="DESCRIPTORALFABETICO316"/>
      <w:r w:rsidRPr="00CD105B">
        <w:rPr>
          <w:rStyle w:val="TextoNormalNegritaCaracter"/>
        </w:rPr>
        <w:t>Competencias de los órganos judiciales</w:t>
      </w:r>
      <w:bookmarkEnd w:id="618"/>
      <w:r w:rsidRPr="00CD105B">
        <w:rPr>
          <w:rStyle w:val="TextoNormalCaracter"/>
        </w:rPr>
        <w:t xml:space="preserve">, Sentencia </w:t>
      </w:r>
      <w:hyperlink w:anchor="SENTENCIA_2024_107" w:history="1">
        <w:r w:rsidRPr="00CD105B">
          <w:rPr>
            <w:rStyle w:val="TextoNormalCaracter"/>
          </w:rPr>
          <w:t>107/2024</w:t>
        </w:r>
      </w:hyperlink>
      <w:r w:rsidRPr="00CD105B">
        <w:rPr>
          <w:rStyle w:val="TextoNormalCaracter"/>
        </w:rPr>
        <w:t>, ff. 3 y 4, VP.</w:t>
      </w:r>
    </w:p>
    <w:p w14:paraId="72FDDD5A" w14:textId="4F413D3E" w:rsidR="00CD105B" w:rsidRPr="00CD105B" w:rsidRDefault="00CD105B" w:rsidP="00CD105B">
      <w:pPr>
        <w:pStyle w:val="TextoNormalSangraFrancesa"/>
        <w:rPr>
          <w:rStyle w:val="TextoNormalCaracter"/>
        </w:rPr>
      </w:pPr>
      <w:bookmarkStart w:id="619" w:name="DESCRIPTORALFABETICO2"/>
      <w:r w:rsidRPr="00CD105B">
        <w:rPr>
          <w:rStyle w:val="TextoNormalNegritaCaracter"/>
        </w:rPr>
        <w:t>Competencias del Estado</w:t>
      </w:r>
      <w:bookmarkEnd w:id="619"/>
      <w:r w:rsidRPr="00CD105B">
        <w:rPr>
          <w:rStyle w:val="TextoNormalCaracter"/>
        </w:rPr>
        <w:t xml:space="preserve">, Sentencia </w:t>
      </w:r>
      <w:hyperlink w:anchor="SENTENCIA_2024_111" w:history="1">
        <w:r w:rsidRPr="00CD105B">
          <w:rPr>
            <w:rStyle w:val="TextoNormalCaracter"/>
          </w:rPr>
          <w:t>111/2024</w:t>
        </w:r>
      </w:hyperlink>
      <w:r w:rsidRPr="00CD105B">
        <w:rPr>
          <w:rStyle w:val="TextoNormalCaracter"/>
        </w:rPr>
        <w:t>, f. 6.</w:t>
      </w:r>
    </w:p>
    <w:p w14:paraId="66D89876" w14:textId="2B290A30" w:rsidR="00CD105B" w:rsidRPr="00CD105B" w:rsidRDefault="00CD105B" w:rsidP="00CD105B">
      <w:pPr>
        <w:pStyle w:val="TextoNormalSangraFrancesa"/>
        <w:rPr>
          <w:rStyle w:val="TextoNormalCaracter"/>
        </w:rPr>
      </w:pPr>
      <w:bookmarkStart w:id="620" w:name="DESCRIPTORALFABETICO3"/>
      <w:r w:rsidRPr="00CD105B">
        <w:rPr>
          <w:rStyle w:val="TextoNormalNegritaCaracter"/>
        </w:rPr>
        <w:t>Competencias en materia de dominio público marítimo-terrestre</w:t>
      </w:r>
      <w:bookmarkEnd w:id="620"/>
      <w:r w:rsidRPr="00CD105B">
        <w:rPr>
          <w:rStyle w:val="TextoNormalCaracter"/>
        </w:rPr>
        <w:t xml:space="preserve">, Sentencia </w:t>
      </w:r>
      <w:hyperlink w:anchor="SENTENCIA_2024_119" w:history="1">
        <w:r w:rsidRPr="00CD105B">
          <w:rPr>
            <w:rStyle w:val="TextoNormalCaracter"/>
          </w:rPr>
          <w:t>119/2024</w:t>
        </w:r>
      </w:hyperlink>
      <w:r w:rsidRPr="00CD105B">
        <w:rPr>
          <w:rStyle w:val="TextoNormalCaracter"/>
        </w:rPr>
        <w:t>, f. 4.</w:t>
      </w:r>
    </w:p>
    <w:p w14:paraId="4D376E06" w14:textId="74BF504A" w:rsidR="00CD105B" w:rsidRPr="00CD105B" w:rsidRDefault="00CD105B" w:rsidP="00CD105B">
      <w:pPr>
        <w:pStyle w:val="TextoNormalSangraFrancesa"/>
        <w:rPr>
          <w:rStyle w:val="TextoNormalCaracter"/>
        </w:rPr>
      </w:pPr>
      <w:bookmarkStart w:id="621" w:name="DESCRIPTORALFABETICO4"/>
      <w:r w:rsidRPr="00CD105B">
        <w:rPr>
          <w:rStyle w:val="TextoNormalNegritaCaracter"/>
        </w:rPr>
        <w:t>Competencias en materia de energía eléctrica</w:t>
      </w:r>
      <w:bookmarkEnd w:id="621"/>
      <w:r w:rsidRPr="00CD105B">
        <w:rPr>
          <w:rStyle w:val="TextoNormalCaracter"/>
        </w:rPr>
        <w:t xml:space="preserve">, Sentencia </w:t>
      </w:r>
      <w:hyperlink w:anchor="SENTENCIA_2024_113" w:history="1">
        <w:r w:rsidRPr="00CD105B">
          <w:rPr>
            <w:rStyle w:val="TextoNormalCaracter"/>
          </w:rPr>
          <w:t>113/2024</w:t>
        </w:r>
      </w:hyperlink>
      <w:r w:rsidRPr="00CD105B">
        <w:rPr>
          <w:rStyle w:val="TextoNormalCaracter"/>
        </w:rPr>
        <w:t>, ff. 3 y 4.</w:t>
      </w:r>
    </w:p>
    <w:p w14:paraId="4860D8B5" w14:textId="18C7B7B4" w:rsidR="00CD105B" w:rsidRPr="00CD105B" w:rsidRDefault="00CD105B" w:rsidP="00CD105B">
      <w:pPr>
        <w:pStyle w:val="TextoNormalSangraFrancesa"/>
        <w:rPr>
          <w:rStyle w:val="TextoNormalCaracter"/>
        </w:rPr>
      </w:pPr>
      <w:bookmarkStart w:id="622" w:name="DESCRIPTORALFABETICO5"/>
      <w:r w:rsidRPr="00CD105B">
        <w:rPr>
          <w:rStyle w:val="TextoNormalNegritaCaracter"/>
        </w:rPr>
        <w:t>Competencias en materia de legislación civil</w:t>
      </w:r>
      <w:bookmarkEnd w:id="622"/>
      <w:r w:rsidRPr="00CD105B">
        <w:rPr>
          <w:rStyle w:val="TextoNormalCaracter"/>
        </w:rPr>
        <w:t xml:space="preserve">, Sentencia </w:t>
      </w:r>
      <w:hyperlink w:anchor="SENTENCIA_2024_120" w:history="1">
        <w:r w:rsidRPr="00CD105B">
          <w:rPr>
            <w:rStyle w:val="TextoNormalCaracter"/>
          </w:rPr>
          <w:t>120/2024</w:t>
        </w:r>
      </w:hyperlink>
      <w:r w:rsidRPr="00CD105B">
        <w:rPr>
          <w:rStyle w:val="TextoNormalCaracter"/>
        </w:rPr>
        <w:t>, ff. 4 y 5.</w:t>
      </w:r>
    </w:p>
    <w:p w14:paraId="5BD12224" w14:textId="4EECD3A5" w:rsidR="00CD105B" w:rsidRPr="00CD105B" w:rsidRDefault="00CD105B" w:rsidP="00CD105B">
      <w:pPr>
        <w:pStyle w:val="TextoNormalSangraFrancesa"/>
        <w:rPr>
          <w:rStyle w:val="TextoNormalCaracter"/>
        </w:rPr>
      </w:pPr>
      <w:bookmarkStart w:id="623" w:name="DESCRIPTORALFABETICO6"/>
      <w:r w:rsidRPr="00CD105B">
        <w:rPr>
          <w:rStyle w:val="TextoNormalNegritaCaracter"/>
        </w:rPr>
        <w:t>Competencias en materia de legislación procesal</w:t>
      </w:r>
      <w:bookmarkEnd w:id="623"/>
      <w:r w:rsidRPr="00CD105B">
        <w:rPr>
          <w:rStyle w:val="TextoNormalCaracter"/>
        </w:rPr>
        <w:t xml:space="preserve">, Sentencias </w:t>
      </w:r>
      <w:hyperlink w:anchor="SENTENCIA_2024_120" w:history="1">
        <w:r w:rsidRPr="00CD105B">
          <w:rPr>
            <w:rStyle w:val="TextoNormalCaracter"/>
          </w:rPr>
          <w:t>120/2024</w:t>
        </w:r>
      </w:hyperlink>
      <w:r w:rsidRPr="00CD105B">
        <w:rPr>
          <w:rStyle w:val="TextoNormalCaracter"/>
        </w:rPr>
        <w:t xml:space="preserve">, ff. 4 y 5; </w:t>
      </w:r>
      <w:hyperlink w:anchor="SENTENCIA_2024_121" w:history="1">
        <w:r w:rsidRPr="00CD105B">
          <w:rPr>
            <w:rStyle w:val="TextoNormalCaracter"/>
          </w:rPr>
          <w:t>121/2024</w:t>
        </w:r>
      </w:hyperlink>
      <w:r w:rsidRPr="00CD105B">
        <w:rPr>
          <w:rStyle w:val="TextoNormalCaracter"/>
        </w:rPr>
        <w:t xml:space="preserve">, VP I, VP II; </w:t>
      </w:r>
      <w:hyperlink w:anchor="SENTENCIA_2024_130" w:history="1">
        <w:r w:rsidRPr="00CD105B">
          <w:rPr>
            <w:rStyle w:val="TextoNormalCaracter"/>
          </w:rPr>
          <w:t>130/2024</w:t>
        </w:r>
      </w:hyperlink>
      <w:r w:rsidRPr="00CD105B">
        <w:rPr>
          <w:rStyle w:val="TextoNormalCaracter"/>
        </w:rPr>
        <w:t>, f. 2.</w:t>
      </w:r>
    </w:p>
    <w:p w14:paraId="53738BAD" w14:textId="03F5EEE6" w:rsidR="00CD105B" w:rsidRPr="00CD105B" w:rsidRDefault="00CD105B" w:rsidP="00CD105B">
      <w:pPr>
        <w:pStyle w:val="TextoNormalSangraFrancesa"/>
        <w:rPr>
          <w:rStyle w:val="TextoNormalCaracter"/>
        </w:rPr>
      </w:pPr>
      <w:bookmarkStart w:id="624" w:name="DESCRIPTORALFABETICO7"/>
      <w:r w:rsidRPr="00CD105B">
        <w:rPr>
          <w:rStyle w:val="TextoNormalNegritaCaracter"/>
        </w:rPr>
        <w:t>Competencias en materia de medio ambiente</w:t>
      </w:r>
      <w:bookmarkEnd w:id="624"/>
      <w:r w:rsidRPr="00CD105B">
        <w:rPr>
          <w:rStyle w:val="TextoNormalCaracter"/>
        </w:rPr>
        <w:t xml:space="preserve">, Sentencia </w:t>
      </w:r>
      <w:hyperlink w:anchor="SENTENCIA_2024_142" w:history="1">
        <w:r w:rsidRPr="00CD105B">
          <w:rPr>
            <w:rStyle w:val="TextoNormalCaracter"/>
          </w:rPr>
          <w:t>142/2024</w:t>
        </w:r>
      </w:hyperlink>
      <w:r w:rsidRPr="00CD105B">
        <w:rPr>
          <w:rStyle w:val="TextoNormalCaracter"/>
        </w:rPr>
        <w:t>, f. 4.</w:t>
      </w:r>
    </w:p>
    <w:p w14:paraId="28F02320" w14:textId="0B9AF081" w:rsidR="00CD105B" w:rsidRPr="00CD105B" w:rsidRDefault="00CD105B" w:rsidP="00CD105B">
      <w:pPr>
        <w:pStyle w:val="TextoNormalSangraFrancesa"/>
        <w:rPr>
          <w:rStyle w:val="TextoNormalCaracter"/>
        </w:rPr>
      </w:pPr>
      <w:bookmarkStart w:id="625" w:name="DESCRIPTORALFABETICO8"/>
      <w:r w:rsidRPr="00CD105B">
        <w:rPr>
          <w:rStyle w:val="TextoNormalNegritaCaracter"/>
        </w:rPr>
        <w:t>Competencias en materia de regulación de condiciones básicas de igualdad</w:t>
      </w:r>
      <w:bookmarkEnd w:id="625"/>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 6; </w:t>
      </w:r>
      <w:hyperlink w:anchor="SENTENCIA_2024_141" w:history="1">
        <w:r w:rsidRPr="00CD105B">
          <w:rPr>
            <w:rStyle w:val="TextoNormalCaracter"/>
          </w:rPr>
          <w:t>141/2024</w:t>
        </w:r>
      </w:hyperlink>
      <w:r w:rsidRPr="00CD105B">
        <w:rPr>
          <w:rStyle w:val="TextoNormalCaracter"/>
        </w:rPr>
        <w:t>, f. 5.</w:t>
      </w:r>
    </w:p>
    <w:p w14:paraId="33EAECE7" w14:textId="69827D9D" w:rsidR="00CD105B" w:rsidRPr="00CD105B" w:rsidRDefault="00CD105B" w:rsidP="00CD105B">
      <w:pPr>
        <w:pStyle w:val="TextoNormalSangraFrancesa"/>
        <w:rPr>
          <w:rStyle w:val="TextoNormalCaracter"/>
        </w:rPr>
      </w:pPr>
      <w:r w:rsidRPr="00CD105B">
        <w:rPr>
          <w:rStyle w:val="TextoNormalCursivaCaracter"/>
        </w:rPr>
        <w:t xml:space="preserve">    Doctrina constitucional, </w:t>
      </w:r>
      <w:r w:rsidRPr="00CD105B">
        <w:rPr>
          <w:rStyle w:val="TextoNormalCaracter"/>
        </w:rPr>
        <w:t xml:space="preserve">Sentencia </w:t>
      </w:r>
      <w:hyperlink w:anchor="SENTENCIA_2024_120" w:history="1">
        <w:r w:rsidRPr="00CD105B">
          <w:rPr>
            <w:rStyle w:val="TextoNormalCaracter"/>
          </w:rPr>
          <w:t>120/2024</w:t>
        </w:r>
      </w:hyperlink>
      <w:r w:rsidRPr="00CD105B">
        <w:rPr>
          <w:rStyle w:val="TextoNormalCaracter"/>
        </w:rPr>
        <w:t>, f. 3, VP III, VP IV.</w:t>
      </w:r>
    </w:p>
    <w:p w14:paraId="6B06EC3C" w14:textId="177D3346" w:rsidR="00CD105B" w:rsidRPr="00CD105B" w:rsidRDefault="00CD105B" w:rsidP="00CD105B">
      <w:pPr>
        <w:pStyle w:val="TextoNormalSangraFrancesa"/>
        <w:rPr>
          <w:rStyle w:val="TextoNormalCaracter"/>
        </w:rPr>
      </w:pPr>
      <w:bookmarkStart w:id="626" w:name="DESCRIPTORALFABETICO9"/>
      <w:r w:rsidRPr="00CD105B">
        <w:rPr>
          <w:rStyle w:val="TextoNormalNegritaCaracter"/>
        </w:rPr>
        <w:t>Competencias en materia de sanidad</w:t>
      </w:r>
      <w:bookmarkEnd w:id="626"/>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 6; </w:t>
      </w:r>
      <w:hyperlink w:anchor="SENTENCIA_2024_141" w:history="1">
        <w:r w:rsidRPr="00CD105B">
          <w:rPr>
            <w:rStyle w:val="TextoNormalCaracter"/>
          </w:rPr>
          <w:t>141/2024</w:t>
        </w:r>
      </w:hyperlink>
      <w:r w:rsidRPr="00CD105B">
        <w:rPr>
          <w:rStyle w:val="TextoNormalCaracter"/>
        </w:rPr>
        <w:t>, f. 5.</w:t>
      </w:r>
    </w:p>
    <w:p w14:paraId="7E93B003" w14:textId="18EDE7AF" w:rsidR="00CD105B" w:rsidRPr="00CD105B" w:rsidRDefault="00CD105B" w:rsidP="00CD105B">
      <w:pPr>
        <w:pStyle w:val="TextoNormalSangraFrancesa"/>
        <w:rPr>
          <w:rStyle w:val="TextoNormalCaracter"/>
        </w:rPr>
      </w:pPr>
      <w:bookmarkStart w:id="627" w:name="DESCRIPTORALFABETICO10"/>
      <w:r w:rsidRPr="00CD105B">
        <w:rPr>
          <w:rStyle w:val="TextoNormalNegritaCaracter"/>
        </w:rPr>
        <w:t>Competencias en materia de transporte por carretera</w:t>
      </w:r>
      <w:bookmarkEnd w:id="627"/>
      <w:r w:rsidRPr="00CD105B">
        <w:rPr>
          <w:rStyle w:val="TextoNormalCaracter"/>
        </w:rPr>
        <w:t xml:space="preserve">, Sentencia </w:t>
      </w:r>
      <w:hyperlink w:anchor="SENTENCIA_2024_111" w:history="1">
        <w:r w:rsidRPr="00CD105B">
          <w:rPr>
            <w:rStyle w:val="TextoNormalCaracter"/>
          </w:rPr>
          <w:t>111/2024</w:t>
        </w:r>
      </w:hyperlink>
      <w:r w:rsidRPr="00CD105B">
        <w:rPr>
          <w:rStyle w:val="TextoNormalCaracter"/>
        </w:rPr>
        <w:t>, ff. 5 y 6.</w:t>
      </w:r>
    </w:p>
    <w:p w14:paraId="2CC7A8CE" w14:textId="0400582B" w:rsidR="00CD105B" w:rsidRPr="00CD105B" w:rsidRDefault="00CD105B" w:rsidP="00CD105B">
      <w:pPr>
        <w:pStyle w:val="TextoNormalSangraFrancesa"/>
        <w:rPr>
          <w:rStyle w:val="TextoNormalCaracter"/>
        </w:rPr>
      </w:pPr>
      <w:bookmarkStart w:id="628" w:name="DESCRIPTORALFABETICO11"/>
      <w:r w:rsidRPr="00CD105B">
        <w:rPr>
          <w:rStyle w:val="TextoNormalNegritaCaracter"/>
        </w:rPr>
        <w:t>Competencias en materia de vivienda</w:t>
      </w:r>
      <w:bookmarkEnd w:id="628"/>
      <w:r w:rsidRPr="00CD105B">
        <w:rPr>
          <w:rStyle w:val="TextoNormalCaracter"/>
        </w:rPr>
        <w:t xml:space="preserve">, Sentencia </w:t>
      </w:r>
      <w:hyperlink w:anchor="SENTENCIA_2024_120" w:history="1">
        <w:r w:rsidRPr="00CD105B">
          <w:rPr>
            <w:rStyle w:val="TextoNormalCaracter"/>
          </w:rPr>
          <w:t>120/2024</w:t>
        </w:r>
      </w:hyperlink>
      <w:r w:rsidRPr="00CD105B">
        <w:rPr>
          <w:rStyle w:val="TextoNormalCaracter"/>
        </w:rPr>
        <w:t>, ff. 3 a 6, 8, VP III, VP IV.</w:t>
      </w:r>
    </w:p>
    <w:p w14:paraId="292D3AE8" w14:textId="7F934693" w:rsidR="00CD105B" w:rsidRPr="00CD105B" w:rsidRDefault="00CD105B" w:rsidP="00CD105B">
      <w:pPr>
        <w:pStyle w:val="TextoNormalSangraFrancesa"/>
        <w:rPr>
          <w:rStyle w:val="TextoNormalCaracter"/>
        </w:rPr>
      </w:pPr>
      <w:bookmarkStart w:id="629" w:name="DESCRIPTORALFABETICO218"/>
      <w:r w:rsidRPr="00CD105B">
        <w:rPr>
          <w:rStyle w:val="TextoNormalNegritaCaracter"/>
        </w:rPr>
        <w:t>Complemento de destino</w:t>
      </w:r>
      <w:bookmarkEnd w:id="629"/>
      <w:r w:rsidRPr="00CD105B">
        <w:rPr>
          <w:rStyle w:val="TextoNormalCaracter"/>
        </w:rPr>
        <w:t xml:space="preserve">, Sentencia </w:t>
      </w:r>
      <w:hyperlink w:anchor="SENTENCIA_2024_131" w:history="1">
        <w:r w:rsidRPr="00CD105B">
          <w:rPr>
            <w:rStyle w:val="TextoNormalCaracter"/>
          </w:rPr>
          <w:t>131/2024</w:t>
        </w:r>
      </w:hyperlink>
      <w:r w:rsidRPr="00CD105B">
        <w:rPr>
          <w:rStyle w:val="TextoNormalCaracter"/>
        </w:rPr>
        <w:t>, f. 1.</w:t>
      </w:r>
    </w:p>
    <w:p w14:paraId="7B555C4E" w14:textId="68574D1C" w:rsidR="00CD105B" w:rsidRPr="00CD105B" w:rsidRDefault="00CD105B" w:rsidP="00CD105B">
      <w:pPr>
        <w:pStyle w:val="TextoNormalSangraFrancesa"/>
        <w:rPr>
          <w:rStyle w:val="TextoNormalCaracter"/>
        </w:rPr>
      </w:pPr>
      <w:bookmarkStart w:id="630" w:name="DESCRIPTORALFABETICO160"/>
      <w:r w:rsidRPr="00CD105B">
        <w:rPr>
          <w:rStyle w:val="TextoNormalNegritaCaracter"/>
        </w:rPr>
        <w:t>Composición de los órganos judiciales</w:t>
      </w:r>
      <w:bookmarkEnd w:id="630"/>
      <w:r w:rsidRPr="00CD105B">
        <w:rPr>
          <w:rStyle w:val="TextoNormalCaracter"/>
        </w:rPr>
        <w:t xml:space="preserve">, Sentencia </w:t>
      </w:r>
      <w:hyperlink w:anchor="SENTENCIA_2024_107" w:history="1">
        <w:r w:rsidRPr="00CD105B">
          <w:rPr>
            <w:rStyle w:val="TextoNormalCaracter"/>
          </w:rPr>
          <w:t>107/2024</w:t>
        </w:r>
      </w:hyperlink>
      <w:r w:rsidRPr="00CD105B">
        <w:rPr>
          <w:rStyle w:val="TextoNormalCaracter"/>
        </w:rPr>
        <w:t>, ff. 3 y 4, VP.</w:t>
      </w:r>
    </w:p>
    <w:p w14:paraId="3FEDB596" w14:textId="1B6ADEF8" w:rsidR="00CD105B" w:rsidRPr="00CD105B" w:rsidRDefault="00CD105B" w:rsidP="00CD105B">
      <w:pPr>
        <w:pStyle w:val="TextoNormalSangraFrancesa"/>
        <w:rPr>
          <w:rStyle w:val="TextoNormalCaracter"/>
        </w:rPr>
      </w:pPr>
      <w:bookmarkStart w:id="631" w:name="DESCRIPTORALFABETICO352"/>
      <w:r w:rsidRPr="00CD105B">
        <w:rPr>
          <w:rStyle w:val="TextoNormalNegritaCaracter"/>
        </w:rPr>
        <w:t>Cómputo de plazos erróneo imputable al órgano judicial</w:t>
      </w:r>
      <w:bookmarkEnd w:id="631"/>
      <w:r w:rsidRPr="00CD105B">
        <w:rPr>
          <w:rStyle w:val="TextoNormalCaracter"/>
        </w:rPr>
        <w:t xml:space="preserve">, Sentencia </w:t>
      </w:r>
      <w:hyperlink w:anchor="SENTENCIA_2024_118" w:history="1">
        <w:r w:rsidRPr="00CD105B">
          <w:rPr>
            <w:rStyle w:val="TextoNormalCaracter"/>
          </w:rPr>
          <w:t>118/2024</w:t>
        </w:r>
      </w:hyperlink>
      <w:r w:rsidRPr="00CD105B">
        <w:rPr>
          <w:rStyle w:val="TextoNormalCaracter"/>
        </w:rPr>
        <w:t>, ff. 5 y 6.</w:t>
      </w:r>
    </w:p>
    <w:p w14:paraId="7363532D" w14:textId="60A610B1" w:rsidR="00CD105B" w:rsidRPr="00CD105B" w:rsidRDefault="00CD105B" w:rsidP="00CD105B">
      <w:pPr>
        <w:pStyle w:val="TextoNormalSangraFrancesa"/>
        <w:rPr>
          <w:rStyle w:val="TextoNormalCaracter"/>
        </w:rPr>
      </w:pPr>
      <w:bookmarkStart w:id="632" w:name="DESCRIPTORALFABETICO380"/>
      <w:r w:rsidRPr="00CD105B">
        <w:rPr>
          <w:rStyle w:val="TextoNormalNegritaCaracter"/>
        </w:rPr>
        <w:t>Comunidad de Madrid</w:t>
      </w:r>
      <w:bookmarkEnd w:id="632"/>
      <w:r w:rsidRPr="00CD105B">
        <w:rPr>
          <w:rStyle w:val="TextoNormalCaracter"/>
        </w:rPr>
        <w:t xml:space="preserve">, Auto </w:t>
      </w:r>
      <w:hyperlink w:anchor="AUTO_2024_126" w:history="1">
        <w:r w:rsidRPr="00CD105B">
          <w:rPr>
            <w:rStyle w:val="TextoNormalCaracter"/>
          </w:rPr>
          <w:t>126/2024</w:t>
        </w:r>
      </w:hyperlink>
      <w:r w:rsidRPr="00CD105B">
        <w:rPr>
          <w:rStyle w:val="TextoNormalCaracter"/>
        </w:rPr>
        <w:t>, f. 1.</w:t>
      </w:r>
    </w:p>
    <w:p w14:paraId="3E7268F6" w14:textId="7D02B9DB" w:rsidR="00CD105B" w:rsidRPr="00CD105B" w:rsidRDefault="00CD105B" w:rsidP="00CD105B">
      <w:pPr>
        <w:pStyle w:val="TextoNormalSangraFrancesa"/>
        <w:rPr>
          <w:rStyle w:val="TextoNormalCaracter"/>
        </w:rPr>
      </w:pPr>
      <w:bookmarkStart w:id="633" w:name="DESCRIPTORALFABETICO156"/>
      <w:r w:rsidRPr="00CD105B">
        <w:rPr>
          <w:rStyle w:val="TextoNormalNegritaCaracter"/>
        </w:rPr>
        <w:t>Concesiones de dominio público</w:t>
      </w:r>
      <w:bookmarkEnd w:id="633"/>
      <w:r w:rsidRPr="00CD105B">
        <w:rPr>
          <w:rStyle w:val="TextoNormalCaracter"/>
        </w:rPr>
        <w:t xml:space="preserve">, Sentencia </w:t>
      </w:r>
      <w:hyperlink w:anchor="SENTENCIA_2024_119" w:history="1">
        <w:r w:rsidRPr="00CD105B">
          <w:rPr>
            <w:rStyle w:val="TextoNormalCaracter"/>
          </w:rPr>
          <w:t>119/2024</w:t>
        </w:r>
      </w:hyperlink>
      <w:r w:rsidRPr="00CD105B">
        <w:rPr>
          <w:rStyle w:val="TextoNormalCaracter"/>
        </w:rPr>
        <w:t>, ff. 1 y 3.</w:t>
      </w:r>
    </w:p>
    <w:p w14:paraId="54B618DD" w14:textId="2C16FE03" w:rsidR="00CD105B" w:rsidRPr="00CD105B" w:rsidRDefault="00CD105B" w:rsidP="00CD105B">
      <w:pPr>
        <w:pStyle w:val="TextoNormalSangraFrancesa"/>
        <w:rPr>
          <w:rStyle w:val="TextoNormalCaracter"/>
        </w:rPr>
      </w:pPr>
      <w:bookmarkStart w:id="634" w:name="DESCRIPTORALFABETICO308"/>
      <w:r w:rsidRPr="00CD105B">
        <w:rPr>
          <w:rStyle w:val="TextoNormalNegritaCaracter"/>
        </w:rPr>
        <w:t>Conciliación de la vida familiar y laboral</w:t>
      </w:r>
      <w:bookmarkEnd w:id="634"/>
      <w:r w:rsidRPr="00CD105B">
        <w:rPr>
          <w:rStyle w:val="TextoNormalCaracter"/>
        </w:rPr>
        <w:t xml:space="preserve">, Sentencia </w:t>
      </w:r>
      <w:hyperlink w:anchor="SENTENCIA_2024_140" w:history="1">
        <w:r w:rsidRPr="00CD105B">
          <w:rPr>
            <w:rStyle w:val="TextoNormalCaracter"/>
          </w:rPr>
          <w:t>140/2024</w:t>
        </w:r>
      </w:hyperlink>
      <w:r w:rsidRPr="00CD105B">
        <w:rPr>
          <w:rStyle w:val="TextoNormalCaracter"/>
        </w:rPr>
        <w:t>, ff. 3 y 4, VP I.</w:t>
      </w:r>
    </w:p>
    <w:p w14:paraId="3CD72D99" w14:textId="60C08612" w:rsidR="00CD105B" w:rsidRPr="00CD105B" w:rsidRDefault="00CD105B" w:rsidP="00CD105B">
      <w:pPr>
        <w:pStyle w:val="TextoNormalSangraFrancesa"/>
        <w:rPr>
          <w:rStyle w:val="TextoNormalCaracter"/>
        </w:rPr>
      </w:pPr>
      <w:bookmarkStart w:id="635" w:name="DESCRIPTORALFABETICO327"/>
      <w:r w:rsidRPr="00CD105B">
        <w:rPr>
          <w:rStyle w:val="TextoNormalNegritaCaracter"/>
        </w:rPr>
        <w:t>Condena en costas procesales</w:t>
      </w:r>
      <w:bookmarkEnd w:id="635"/>
      <w:r w:rsidRPr="00CD105B">
        <w:rPr>
          <w:rStyle w:val="TextoNormalCaracter"/>
        </w:rPr>
        <w:t xml:space="preserve">, Sentencias </w:t>
      </w:r>
      <w:hyperlink w:anchor="SENTENCIA_2024_104" w:history="1">
        <w:r w:rsidRPr="00CD105B">
          <w:rPr>
            <w:rStyle w:val="TextoNormalCaracter"/>
          </w:rPr>
          <w:t>104/2024</w:t>
        </w:r>
      </w:hyperlink>
      <w:r w:rsidRPr="00CD105B">
        <w:rPr>
          <w:rStyle w:val="TextoNormalCaracter"/>
        </w:rPr>
        <w:t xml:space="preserve">, ff. 1 y 2; </w:t>
      </w:r>
      <w:hyperlink w:anchor="SENTENCIA_2024_116" w:history="1">
        <w:r w:rsidRPr="00CD105B">
          <w:rPr>
            <w:rStyle w:val="TextoNormalCaracter"/>
          </w:rPr>
          <w:t>116/2024</w:t>
        </w:r>
      </w:hyperlink>
      <w:r w:rsidRPr="00CD105B">
        <w:rPr>
          <w:rStyle w:val="TextoNormalCaracter"/>
        </w:rPr>
        <w:t>, f. 3.</w:t>
      </w:r>
    </w:p>
    <w:p w14:paraId="3209D106" w14:textId="03184566" w:rsidR="00CD105B" w:rsidRPr="00CD105B" w:rsidRDefault="00CD105B" w:rsidP="00CD105B">
      <w:pPr>
        <w:pStyle w:val="TextoNormalSangraFrancesa"/>
        <w:rPr>
          <w:rStyle w:val="TextoNormalCaracter"/>
        </w:rPr>
      </w:pPr>
      <w:bookmarkStart w:id="636" w:name="DESCRIPTORALFABETICO371"/>
      <w:r w:rsidRPr="00CD105B">
        <w:rPr>
          <w:rStyle w:val="TextoNormalNegritaCaracter"/>
        </w:rPr>
        <w:t>Condena penal en apelación</w:t>
      </w:r>
      <w:bookmarkEnd w:id="636"/>
      <w:r w:rsidRPr="00CD105B">
        <w:rPr>
          <w:rStyle w:val="TextoNormalCaracter"/>
        </w:rPr>
        <w:t xml:space="preserve">, Sentencia </w:t>
      </w:r>
      <w:hyperlink w:anchor="SENTENCIA_2024_108" w:history="1">
        <w:r w:rsidRPr="00CD105B">
          <w:rPr>
            <w:rStyle w:val="TextoNormalCaracter"/>
          </w:rPr>
          <w:t>108/2024</w:t>
        </w:r>
      </w:hyperlink>
      <w:r w:rsidRPr="00CD105B">
        <w:rPr>
          <w:rStyle w:val="TextoNormalCaracter"/>
        </w:rPr>
        <w:t>, ff. 2 y 4.</w:t>
      </w:r>
    </w:p>
    <w:p w14:paraId="00E07551" w14:textId="0F9E7CE7" w:rsidR="00CD105B" w:rsidRPr="00CD105B" w:rsidRDefault="00CD105B" w:rsidP="00CD105B">
      <w:pPr>
        <w:pStyle w:val="TextoNormalSangraFrancesa"/>
        <w:rPr>
          <w:rStyle w:val="TextoNormalCaracter"/>
        </w:rPr>
      </w:pPr>
      <w:bookmarkStart w:id="637" w:name="DESCRIPTORALFABETICO269"/>
      <w:r w:rsidRPr="00CD105B">
        <w:rPr>
          <w:rStyle w:val="TextoNormalNegritaCaracter"/>
        </w:rPr>
        <w:t>Conexión de sentido entre la situación de urgencia y las medidas adoptadas</w:t>
      </w:r>
      <w:bookmarkEnd w:id="637"/>
      <w:r w:rsidRPr="00CD105B">
        <w:rPr>
          <w:rStyle w:val="TextoNormalCaracter"/>
        </w:rPr>
        <w:t xml:space="preserve">, Sentencias </w:t>
      </w:r>
      <w:hyperlink w:anchor="SENTENCIA_2024_113" w:history="1">
        <w:r w:rsidRPr="00CD105B">
          <w:rPr>
            <w:rStyle w:val="TextoNormalCaracter"/>
          </w:rPr>
          <w:t>113/2024</w:t>
        </w:r>
      </w:hyperlink>
      <w:r w:rsidRPr="00CD105B">
        <w:rPr>
          <w:rStyle w:val="TextoNormalCaracter"/>
        </w:rPr>
        <w:t xml:space="preserve">, f. 2; </w:t>
      </w:r>
      <w:hyperlink w:anchor="SENTENCIA_2024_121" w:history="1">
        <w:r w:rsidRPr="00CD105B">
          <w:rPr>
            <w:rStyle w:val="TextoNormalCaracter"/>
          </w:rPr>
          <w:t>121/2024</w:t>
        </w:r>
      </w:hyperlink>
      <w:r w:rsidRPr="00CD105B">
        <w:rPr>
          <w:rStyle w:val="TextoNormalCaracter"/>
        </w:rPr>
        <w:t>, f. 4.</w:t>
      </w:r>
    </w:p>
    <w:p w14:paraId="1389E907" w14:textId="37D4A725" w:rsidR="00CD105B" w:rsidRPr="00CD105B" w:rsidRDefault="00CD105B" w:rsidP="00CD105B">
      <w:pPr>
        <w:pStyle w:val="TextoNormalSangraFrancesa"/>
        <w:rPr>
          <w:rStyle w:val="TextoNormalCaracter"/>
        </w:rPr>
      </w:pPr>
      <w:bookmarkStart w:id="638" w:name="DESCRIPTORALFABETICO317"/>
      <w:r w:rsidRPr="00CD105B">
        <w:rPr>
          <w:rStyle w:val="TextoNormalNegritaCaracter"/>
        </w:rPr>
        <w:t>Conflictos de jurisdicción</w:t>
      </w:r>
      <w:bookmarkEnd w:id="638"/>
      <w:r w:rsidRPr="00CD105B">
        <w:rPr>
          <w:rStyle w:val="TextoNormalCaracter"/>
        </w:rPr>
        <w:t xml:space="preserve">, Sentencia </w:t>
      </w:r>
      <w:hyperlink w:anchor="SENTENCIA_2024_128" w:history="1">
        <w:r w:rsidRPr="00CD105B">
          <w:rPr>
            <w:rStyle w:val="TextoNormalCaracter"/>
          </w:rPr>
          <w:t>128/2024</w:t>
        </w:r>
      </w:hyperlink>
      <w:r w:rsidRPr="00CD105B">
        <w:rPr>
          <w:rStyle w:val="TextoNormalCaracter"/>
        </w:rPr>
        <w:t>, ff. 4 a 6.</w:t>
      </w:r>
    </w:p>
    <w:p w14:paraId="52C1FBC1" w14:textId="13839E17" w:rsidR="00CD105B" w:rsidRPr="00CD105B" w:rsidRDefault="00CD105B" w:rsidP="00CD105B">
      <w:pPr>
        <w:pStyle w:val="TextoNormalSangraFrancesa"/>
        <w:rPr>
          <w:rStyle w:val="TextoNormalCaracter"/>
        </w:rPr>
      </w:pPr>
      <w:bookmarkStart w:id="639" w:name="DESCRIPTORALFABETICO107"/>
      <w:r w:rsidRPr="00CD105B">
        <w:rPr>
          <w:rStyle w:val="TextoNormalNegritaCaracter"/>
        </w:rPr>
        <w:t>Conflictos positivos de competencia</w:t>
      </w:r>
      <w:bookmarkEnd w:id="639"/>
      <w:r w:rsidRPr="00CD105B">
        <w:rPr>
          <w:rStyle w:val="TextoNormalCaracter"/>
        </w:rPr>
        <w:t xml:space="preserve">, Sentencia </w:t>
      </w:r>
      <w:hyperlink w:anchor="SENTENCIA_2024_119" w:history="1">
        <w:r w:rsidRPr="00CD105B">
          <w:rPr>
            <w:rStyle w:val="TextoNormalCaracter"/>
          </w:rPr>
          <w:t>119/2024</w:t>
        </w:r>
      </w:hyperlink>
      <w:r w:rsidRPr="00CD105B">
        <w:rPr>
          <w:rStyle w:val="TextoNormalCaracter"/>
        </w:rPr>
        <w:t>, f. 1.</w:t>
      </w:r>
    </w:p>
    <w:p w14:paraId="5FE64758" w14:textId="3DA197A1" w:rsidR="00CD105B" w:rsidRPr="00CD105B" w:rsidRDefault="00CD105B" w:rsidP="00CD105B">
      <w:pPr>
        <w:pStyle w:val="TextoNormalSangraFrancesa"/>
        <w:rPr>
          <w:rStyle w:val="TextoNormalCaracter"/>
        </w:rPr>
      </w:pPr>
      <w:bookmarkStart w:id="640" w:name="DESCRIPTORALFABETICO190"/>
      <w:r w:rsidRPr="00CD105B">
        <w:rPr>
          <w:rStyle w:val="TextoNormalNegritaCaracter"/>
        </w:rPr>
        <w:t>Congreso</w:t>
      </w:r>
      <w:bookmarkEnd w:id="640"/>
      <w:r w:rsidRPr="00CD105B">
        <w:rPr>
          <w:rStyle w:val="TextoNormalCaracter"/>
        </w:rPr>
        <w:t xml:space="preserve">, Sentencias </w:t>
      </w:r>
      <w:hyperlink w:anchor="SENTENCIA_2024_114" w:history="1">
        <w:r w:rsidRPr="00CD105B">
          <w:rPr>
            <w:rStyle w:val="TextoNormalCaracter"/>
          </w:rPr>
          <w:t>114/2024</w:t>
        </w:r>
      </w:hyperlink>
      <w:r w:rsidRPr="00CD105B">
        <w:rPr>
          <w:rStyle w:val="TextoNormalCaracter"/>
        </w:rPr>
        <w:t xml:space="preserve">, f. 1; </w:t>
      </w:r>
      <w:hyperlink w:anchor="SENTENCIA_2024_129" w:history="1">
        <w:r w:rsidRPr="00CD105B">
          <w:rPr>
            <w:rStyle w:val="TextoNormalCaracter"/>
          </w:rPr>
          <w:t>129/2024</w:t>
        </w:r>
      </w:hyperlink>
      <w:r w:rsidRPr="00CD105B">
        <w:rPr>
          <w:rStyle w:val="TextoNormalCaracter"/>
        </w:rPr>
        <w:t xml:space="preserve">, f. 1; </w:t>
      </w:r>
      <w:hyperlink w:anchor="SENTENCIA_2024_137" w:history="1">
        <w:r w:rsidRPr="00CD105B">
          <w:rPr>
            <w:rStyle w:val="TextoNormalCaracter"/>
          </w:rPr>
          <w:t>137/2024</w:t>
        </w:r>
      </w:hyperlink>
      <w:r w:rsidRPr="00CD105B">
        <w:rPr>
          <w:rStyle w:val="TextoNormalCaracter"/>
        </w:rPr>
        <w:t xml:space="preserve">, f. 1; </w:t>
      </w:r>
      <w:hyperlink w:anchor="SENTENCIA_2024_138" w:history="1">
        <w:r w:rsidRPr="00CD105B">
          <w:rPr>
            <w:rStyle w:val="TextoNormalCaracter"/>
          </w:rPr>
          <w:t>138/2024</w:t>
        </w:r>
      </w:hyperlink>
      <w:r w:rsidRPr="00CD105B">
        <w:rPr>
          <w:rStyle w:val="TextoNormalCaracter"/>
        </w:rPr>
        <w:t>, ff. 3 y 4.</w:t>
      </w:r>
    </w:p>
    <w:p w14:paraId="76EA4852" w14:textId="49D65EB6" w:rsidR="00CD105B" w:rsidRPr="00CD105B" w:rsidRDefault="00CD105B" w:rsidP="00CD105B">
      <w:pPr>
        <w:pStyle w:val="TextoNormalSangraFrancesa"/>
        <w:rPr>
          <w:rStyle w:val="TextoNormalCaracter"/>
        </w:rPr>
      </w:pPr>
      <w:bookmarkStart w:id="641" w:name="DESCRIPTORALFABETICO158"/>
      <w:r w:rsidRPr="00CD105B">
        <w:rPr>
          <w:rStyle w:val="TextoNormalNegritaCaracter"/>
        </w:rPr>
        <w:t>Consejo General del Poder Judicial</w:t>
      </w:r>
      <w:bookmarkEnd w:id="641"/>
      <w:r w:rsidRPr="00CD105B">
        <w:rPr>
          <w:rStyle w:val="TextoNormalCaracter"/>
        </w:rPr>
        <w:t xml:space="preserve">, Sentencias </w:t>
      </w:r>
      <w:hyperlink w:anchor="SENTENCIA_2024_139" w:history="1">
        <w:r w:rsidRPr="00CD105B">
          <w:rPr>
            <w:rStyle w:val="TextoNormalCaracter"/>
          </w:rPr>
          <w:t>139/2024</w:t>
        </w:r>
      </w:hyperlink>
      <w:r w:rsidRPr="00CD105B">
        <w:rPr>
          <w:rStyle w:val="TextoNormalCaracter"/>
        </w:rPr>
        <w:t xml:space="preserve">, f. 1, VP I; </w:t>
      </w:r>
      <w:hyperlink w:anchor="SENTENCIA_2024_153" w:history="1">
        <w:r w:rsidRPr="00CD105B">
          <w:rPr>
            <w:rStyle w:val="TextoNormalCaracter"/>
          </w:rPr>
          <w:t>153/2024</w:t>
        </w:r>
      </w:hyperlink>
      <w:r w:rsidRPr="00CD105B">
        <w:rPr>
          <w:rStyle w:val="TextoNormalCaracter"/>
        </w:rPr>
        <w:t>, f. 2, VP I, VP II.</w:t>
      </w:r>
    </w:p>
    <w:p w14:paraId="123B5383" w14:textId="1AC7100B" w:rsidR="00CD105B" w:rsidRPr="00CD105B" w:rsidRDefault="00CD105B" w:rsidP="00CD105B">
      <w:pPr>
        <w:pStyle w:val="TextoNormalSangraFrancesa"/>
        <w:rPr>
          <w:rStyle w:val="TextoNormalCaracter"/>
        </w:rPr>
      </w:pPr>
      <w:bookmarkStart w:id="642" w:name="DESCRIPTORALFABETICO72"/>
      <w:r w:rsidRPr="00CD105B">
        <w:rPr>
          <w:rStyle w:val="TextoNormalNegritaCaracter"/>
        </w:rPr>
        <w:t>Contenido esencial de los derechos fundamentales</w:t>
      </w:r>
      <w:bookmarkEnd w:id="642"/>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 5; </w:t>
      </w:r>
      <w:hyperlink w:anchor="SENTENCIA_2024_141" w:history="1">
        <w:r w:rsidRPr="00CD105B">
          <w:rPr>
            <w:rStyle w:val="TextoNormalCaracter"/>
          </w:rPr>
          <w:t>141/2024</w:t>
        </w:r>
      </w:hyperlink>
      <w:r w:rsidRPr="00CD105B">
        <w:rPr>
          <w:rStyle w:val="TextoNormalCaracter"/>
        </w:rPr>
        <w:t>, ff. 1 y 3.</w:t>
      </w:r>
    </w:p>
    <w:p w14:paraId="6586B217" w14:textId="7516A89A" w:rsidR="00CD105B" w:rsidRPr="00CD105B" w:rsidRDefault="00CD105B" w:rsidP="00CD105B">
      <w:pPr>
        <w:pStyle w:val="TextoNormalSangraFrancesa"/>
        <w:rPr>
          <w:rStyle w:val="TextoNormalCaracter"/>
        </w:rPr>
      </w:pPr>
      <w:bookmarkStart w:id="643" w:name="DESCRIPTORALFABETICO81"/>
      <w:r w:rsidRPr="00CD105B">
        <w:rPr>
          <w:rStyle w:val="TextoNormalNegritaCaracter"/>
        </w:rPr>
        <w:t>Control de constitucionalidad de los decretos-leyes</w:t>
      </w:r>
      <w:bookmarkEnd w:id="643"/>
      <w:r w:rsidRPr="00CD105B">
        <w:rPr>
          <w:rStyle w:val="TextoNormalCaracter"/>
        </w:rPr>
        <w:t xml:space="preserve">, Sentencias </w:t>
      </w:r>
      <w:hyperlink w:anchor="SENTENCIA_2024_113" w:history="1">
        <w:r w:rsidRPr="00CD105B">
          <w:rPr>
            <w:rStyle w:val="TextoNormalCaracter"/>
          </w:rPr>
          <w:t>113/2024</w:t>
        </w:r>
      </w:hyperlink>
      <w:r w:rsidRPr="00CD105B">
        <w:rPr>
          <w:rStyle w:val="TextoNormalCaracter"/>
        </w:rPr>
        <w:t xml:space="preserve">, f. 4; </w:t>
      </w:r>
      <w:hyperlink w:anchor="SENTENCIA_2024_121" w:history="1">
        <w:r w:rsidRPr="00CD105B">
          <w:rPr>
            <w:rStyle w:val="TextoNormalCaracter"/>
          </w:rPr>
          <w:t>121/2024</w:t>
        </w:r>
      </w:hyperlink>
      <w:r w:rsidRPr="00CD105B">
        <w:rPr>
          <w:rStyle w:val="TextoNormalCaracter"/>
        </w:rPr>
        <w:t>, f. 4, VP I, VP II.</w:t>
      </w:r>
    </w:p>
    <w:p w14:paraId="1074FDAE" w14:textId="3073F987" w:rsidR="00CD105B" w:rsidRPr="00CD105B" w:rsidRDefault="00CD105B" w:rsidP="00CD105B">
      <w:pPr>
        <w:pStyle w:val="TextoNormalSangraFrancesa"/>
        <w:rPr>
          <w:rStyle w:val="TextoNormalCaracter"/>
        </w:rPr>
      </w:pPr>
      <w:bookmarkStart w:id="644" w:name="DESCRIPTORALFABETICO165"/>
      <w:r w:rsidRPr="00CD105B">
        <w:rPr>
          <w:rStyle w:val="TextoNormalNegritaCaracter"/>
        </w:rPr>
        <w:t>Control judicial</w:t>
      </w:r>
      <w:bookmarkEnd w:id="644"/>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ff. 4 y 5; </w:t>
      </w:r>
      <w:hyperlink w:anchor="SENTENCIA_2024_95" w:history="1">
        <w:r w:rsidRPr="00CD105B">
          <w:rPr>
            <w:rStyle w:val="TextoNormalCaracter"/>
          </w:rPr>
          <w:t>95/2024</w:t>
        </w:r>
      </w:hyperlink>
      <w:r w:rsidRPr="00CD105B">
        <w:rPr>
          <w:rStyle w:val="TextoNormalCaracter"/>
        </w:rPr>
        <w:t xml:space="preserve">, f. 3; </w:t>
      </w:r>
      <w:hyperlink w:anchor="SENTENCIA_2024_96" w:history="1">
        <w:r w:rsidRPr="00CD105B">
          <w:rPr>
            <w:rStyle w:val="TextoNormalCaracter"/>
          </w:rPr>
          <w:t>96/2024</w:t>
        </w:r>
      </w:hyperlink>
      <w:r w:rsidRPr="00CD105B">
        <w:rPr>
          <w:rStyle w:val="TextoNormalCaracter"/>
        </w:rPr>
        <w:t xml:space="preserve">, ff. 5 a 7, VP I, VP II, VP IV; </w:t>
      </w:r>
      <w:hyperlink w:anchor="SENTENCIA_2024_97" w:history="1">
        <w:r w:rsidRPr="00CD105B">
          <w:rPr>
            <w:rStyle w:val="TextoNormalCaracter"/>
          </w:rPr>
          <w:t>97/2024</w:t>
        </w:r>
      </w:hyperlink>
      <w:r w:rsidRPr="00CD105B">
        <w:rPr>
          <w:rStyle w:val="TextoNormalCaracter"/>
        </w:rPr>
        <w:t xml:space="preserve">, ff. 4 y 5, VP I, VP II, VP IV; </w:t>
      </w:r>
      <w:hyperlink w:anchor="SENTENCIA_2024_99" w:history="1">
        <w:r w:rsidRPr="00CD105B">
          <w:rPr>
            <w:rStyle w:val="TextoNormalCaracter"/>
          </w:rPr>
          <w:t>99/2024</w:t>
        </w:r>
      </w:hyperlink>
      <w:r w:rsidRPr="00CD105B">
        <w:rPr>
          <w:rStyle w:val="TextoNormalCaracter"/>
        </w:rPr>
        <w:t xml:space="preserve">, f. 3, VP I, VP III; </w:t>
      </w:r>
      <w:hyperlink w:anchor="SENTENCIA_2024_102" w:history="1">
        <w:r w:rsidRPr="00CD105B">
          <w:rPr>
            <w:rStyle w:val="TextoNormalCaracter"/>
          </w:rPr>
          <w:t>102/2024</w:t>
        </w:r>
      </w:hyperlink>
      <w:r w:rsidRPr="00CD105B">
        <w:rPr>
          <w:rStyle w:val="TextoNormalCaracter"/>
        </w:rPr>
        <w:t xml:space="preserve">, f. 4; </w:t>
      </w:r>
      <w:hyperlink w:anchor="SENTENCIA_2024_103" w:history="1">
        <w:r w:rsidRPr="00CD105B">
          <w:rPr>
            <w:rStyle w:val="TextoNormalCaracter"/>
          </w:rPr>
          <w:t>103/2024</w:t>
        </w:r>
      </w:hyperlink>
      <w:r w:rsidRPr="00CD105B">
        <w:rPr>
          <w:rStyle w:val="TextoNormalCaracter"/>
        </w:rPr>
        <w:t>, f. 4, VP I, VP III.</w:t>
      </w:r>
    </w:p>
    <w:p w14:paraId="2E886E1D" w14:textId="69474EE2" w:rsidR="00CD105B" w:rsidRPr="00CD105B" w:rsidRDefault="00CD105B" w:rsidP="00CD105B">
      <w:pPr>
        <w:pStyle w:val="TextoNormalSangraFrancesa"/>
        <w:rPr>
          <w:rStyle w:val="TextoNormalCaracter"/>
        </w:rPr>
      </w:pPr>
      <w:bookmarkStart w:id="645" w:name="DESCRIPTORALFABETICO264"/>
      <w:r w:rsidRPr="00CD105B">
        <w:rPr>
          <w:rStyle w:val="TextoNormalNegritaCaracter"/>
        </w:rPr>
        <w:t>Convalidación de decretos-leyes</w:t>
      </w:r>
      <w:bookmarkEnd w:id="645"/>
      <w:r w:rsidRPr="00CD105B">
        <w:rPr>
          <w:rStyle w:val="TextoNormalCaracter"/>
        </w:rPr>
        <w:t xml:space="preserve">, Sentencias </w:t>
      </w:r>
      <w:hyperlink w:anchor="SENTENCIA_2024_114" w:history="1">
        <w:r w:rsidRPr="00CD105B">
          <w:rPr>
            <w:rStyle w:val="TextoNormalCaracter"/>
          </w:rPr>
          <w:t>114/2024</w:t>
        </w:r>
      </w:hyperlink>
      <w:r w:rsidRPr="00CD105B">
        <w:rPr>
          <w:rStyle w:val="TextoNormalCaracter"/>
        </w:rPr>
        <w:t xml:space="preserve">, f. 1; </w:t>
      </w:r>
      <w:hyperlink w:anchor="SENTENCIA_2024_129" w:history="1">
        <w:r w:rsidRPr="00CD105B">
          <w:rPr>
            <w:rStyle w:val="TextoNormalCaracter"/>
          </w:rPr>
          <w:t>129/2024</w:t>
        </w:r>
      </w:hyperlink>
      <w:r w:rsidRPr="00CD105B">
        <w:rPr>
          <w:rStyle w:val="TextoNormalCaracter"/>
        </w:rPr>
        <w:t xml:space="preserve">, f. 1; </w:t>
      </w:r>
      <w:hyperlink w:anchor="SENTENCIA_2024_137" w:history="1">
        <w:r w:rsidRPr="00CD105B">
          <w:rPr>
            <w:rStyle w:val="TextoNormalCaracter"/>
          </w:rPr>
          <w:t>137/2024</w:t>
        </w:r>
      </w:hyperlink>
      <w:r w:rsidRPr="00CD105B">
        <w:rPr>
          <w:rStyle w:val="TextoNormalCaracter"/>
        </w:rPr>
        <w:t xml:space="preserve">, f. 1; </w:t>
      </w:r>
      <w:hyperlink w:anchor="SENTENCIA_2024_138" w:history="1">
        <w:r w:rsidRPr="00CD105B">
          <w:rPr>
            <w:rStyle w:val="TextoNormalCaracter"/>
          </w:rPr>
          <w:t>138/2024</w:t>
        </w:r>
      </w:hyperlink>
      <w:r w:rsidRPr="00CD105B">
        <w:rPr>
          <w:rStyle w:val="TextoNormalCaracter"/>
        </w:rPr>
        <w:t>, f. 1.</w:t>
      </w:r>
    </w:p>
    <w:p w14:paraId="7835CE9E" w14:textId="774D63D6" w:rsidR="00CD105B" w:rsidRPr="00CD105B" w:rsidRDefault="00CD105B" w:rsidP="00CD105B">
      <w:pPr>
        <w:pStyle w:val="TextoNormalSangraFrancesa"/>
        <w:rPr>
          <w:rStyle w:val="TextoNormalCaracter"/>
        </w:rPr>
      </w:pPr>
      <w:bookmarkStart w:id="646" w:name="DESCRIPTORALFABETICO230"/>
      <w:r w:rsidRPr="00CD105B">
        <w:rPr>
          <w:rStyle w:val="TextoNormalNegritaCaracter"/>
        </w:rPr>
        <w:t>Crisis derivada de la covid-19</w:t>
      </w:r>
      <w:bookmarkEnd w:id="646"/>
      <w:r w:rsidRPr="00CD105B">
        <w:rPr>
          <w:rStyle w:val="TextoNormalCaracter"/>
        </w:rPr>
        <w:t xml:space="preserve">, Sentencia </w:t>
      </w:r>
      <w:hyperlink w:anchor="SENTENCIA_2024_141" w:history="1">
        <w:r w:rsidRPr="00CD105B">
          <w:rPr>
            <w:rStyle w:val="TextoNormalCaracter"/>
          </w:rPr>
          <w:t>141/2024</w:t>
        </w:r>
      </w:hyperlink>
      <w:r w:rsidRPr="00CD105B">
        <w:rPr>
          <w:rStyle w:val="TextoNormalCaracter"/>
        </w:rPr>
        <w:t>, f. 1.</w:t>
      </w:r>
    </w:p>
    <w:p w14:paraId="19F89617" w14:textId="5B91E600" w:rsidR="00CD105B" w:rsidRPr="00CD105B" w:rsidRDefault="00CD105B" w:rsidP="00CD105B">
      <w:pPr>
        <w:pStyle w:val="TextoNormalSangraFrancesa"/>
        <w:rPr>
          <w:rStyle w:val="TextoNormalCaracter"/>
        </w:rPr>
      </w:pPr>
      <w:bookmarkStart w:id="647" w:name="DESCRIPTORALFABETICO58"/>
      <w:r w:rsidRPr="00CD105B">
        <w:rPr>
          <w:rStyle w:val="TextoNormalNegritaCaracter"/>
        </w:rPr>
        <w:t>Criterios de apreciación de dilaciones indebidas</w:t>
      </w:r>
      <w:bookmarkEnd w:id="647"/>
      <w:r w:rsidRPr="00CD105B">
        <w:rPr>
          <w:rStyle w:val="TextoNormalCaracter"/>
        </w:rPr>
        <w:t xml:space="preserve">, Sentencia </w:t>
      </w:r>
      <w:hyperlink w:anchor="SENTENCIA_2024_135" w:history="1">
        <w:r w:rsidRPr="00CD105B">
          <w:rPr>
            <w:rStyle w:val="TextoNormalCaracter"/>
          </w:rPr>
          <w:t>135/2024</w:t>
        </w:r>
      </w:hyperlink>
      <w:r w:rsidRPr="00CD105B">
        <w:rPr>
          <w:rStyle w:val="TextoNormalCaracter"/>
        </w:rPr>
        <w:t>, f. 4.</w:t>
      </w:r>
    </w:p>
    <w:p w14:paraId="76C3CE9F" w14:textId="5C11FB39" w:rsidR="00CD105B" w:rsidRPr="00CD105B" w:rsidRDefault="00CD105B" w:rsidP="00CD105B">
      <w:pPr>
        <w:pStyle w:val="TextoNormalSangraFrancesa"/>
        <w:rPr>
          <w:rStyle w:val="TextoNormalCaracter"/>
        </w:rPr>
      </w:pPr>
      <w:bookmarkStart w:id="648" w:name="DESCRIPTORALFABETICO111"/>
      <w:r w:rsidRPr="00CD105B">
        <w:rPr>
          <w:rStyle w:val="TextoNormalNegritaCaracter"/>
        </w:rPr>
        <w:t>Cuestión de inconstitucionalidad notoriamente infundada</w:t>
      </w:r>
      <w:bookmarkEnd w:id="648"/>
      <w:r w:rsidRPr="00CD105B">
        <w:rPr>
          <w:rStyle w:val="TextoNormalCaracter"/>
        </w:rPr>
        <w:t xml:space="preserve">, Autos </w:t>
      </w:r>
      <w:hyperlink w:anchor="AUTO_2024_65" w:history="1">
        <w:r w:rsidRPr="00CD105B">
          <w:rPr>
            <w:rStyle w:val="TextoNormalCaracter"/>
          </w:rPr>
          <w:t>65/2024</w:t>
        </w:r>
      </w:hyperlink>
      <w:r w:rsidRPr="00CD105B">
        <w:rPr>
          <w:rStyle w:val="TextoNormalCaracter"/>
        </w:rPr>
        <w:t xml:space="preserve">, f. 2; </w:t>
      </w:r>
      <w:hyperlink w:anchor="AUTO_2024_66" w:history="1">
        <w:r w:rsidRPr="00CD105B">
          <w:rPr>
            <w:rStyle w:val="TextoNormalCaracter"/>
          </w:rPr>
          <w:t>66/2024</w:t>
        </w:r>
      </w:hyperlink>
      <w:r w:rsidRPr="00CD105B">
        <w:rPr>
          <w:rStyle w:val="TextoNormalCaracter"/>
        </w:rPr>
        <w:t xml:space="preserve">, f. 2; </w:t>
      </w:r>
      <w:hyperlink w:anchor="AUTO_2024_89" w:history="1">
        <w:r w:rsidRPr="00CD105B">
          <w:rPr>
            <w:rStyle w:val="TextoNormalCaracter"/>
          </w:rPr>
          <w:t>89/2024</w:t>
        </w:r>
      </w:hyperlink>
      <w:r w:rsidRPr="00CD105B">
        <w:rPr>
          <w:rStyle w:val="TextoNormalCaracter"/>
        </w:rPr>
        <w:t>, ff. 2 y 3.</w:t>
      </w:r>
    </w:p>
    <w:p w14:paraId="7FFE6CF8" w14:textId="2D648279" w:rsidR="00CD105B" w:rsidRPr="00CD105B" w:rsidRDefault="00CD105B" w:rsidP="00CD105B">
      <w:pPr>
        <w:pStyle w:val="TextoNormalSangraFrancesa"/>
        <w:rPr>
          <w:rStyle w:val="TextoNormalCaracter"/>
        </w:rPr>
      </w:pPr>
      <w:bookmarkStart w:id="649" w:name="DESCRIPTORALFABETICO194"/>
      <w:r w:rsidRPr="00CD105B">
        <w:rPr>
          <w:rStyle w:val="TextoNormalNegritaCaracter"/>
        </w:rPr>
        <w:t>Cuestión prejudicial ante el TJUE</w:t>
      </w:r>
      <w:bookmarkEnd w:id="649"/>
      <w:r w:rsidRPr="00CD105B">
        <w:rPr>
          <w:rStyle w:val="TextoNormalCaracter"/>
        </w:rPr>
        <w:t xml:space="preserve">, Sentencias </w:t>
      </w:r>
      <w:hyperlink w:anchor="SENTENCIA_2024_139" w:history="1">
        <w:r w:rsidRPr="00CD105B">
          <w:rPr>
            <w:rStyle w:val="TextoNormalCaracter"/>
          </w:rPr>
          <w:t>139/2024</w:t>
        </w:r>
      </w:hyperlink>
      <w:r w:rsidRPr="00CD105B">
        <w:rPr>
          <w:rStyle w:val="TextoNormalCaracter"/>
        </w:rPr>
        <w:t xml:space="preserve">, f. 4 y VP II; </w:t>
      </w:r>
      <w:hyperlink w:anchor="SENTENCIA_2024_152" w:history="1">
        <w:r w:rsidRPr="00CD105B">
          <w:rPr>
            <w:rStyle w:val="TextoNormalCaracter"/>
          </w:rPr>
          <w:t>152/2024</w:t>
        </w:r>
      </w:hyperlink>
      <w:r w:rsidRPr="00CD105B">
        <w:rPr>
          <w:rStyle w:val="TextoNormalCaracter"/>
        </w:rPr>
        <w:t>, f. 5.</w:t>
      </w:r>
    </w:p>
    <w:p w14:paraId="73BEF871" w14:textId="3AA8FCFE" w:rsidR="00CD105B" w:rsidRDefault="00CD105B" w:rsidP="00CD105B">
      <w:pPr>
        <w:pStyle w:val="TextoNormalSangraFrancesa"/>
      </w:pPr>
    </w:p>
    <w:p w14:paraId="61C6E4FB" w14:textId="77777777" w:rsidR="00CD105B" w:rsidRDefault="00CD105B" w:rsidP="00CD105B">
      <w:pPr>
        <w:pStyle w:val="TextoNormalSangraFrancesa"/>
      </w:pPr>
    </w:p>
    <w:p w14:paraId="05C46AC2" w14:textId="77777777" w:rsidR="00CD105B" w:rsidRDefault="00CD105B" w:rsidP="00CD105B">
      <w:pPr>
        <w:pStyle w:val="TextoNormalNegritaCentrado"/>
      </w:pPr>
      <w:r>
        <w:t>D</w:t>
      </w:r>
    </w:p>
    <w:p w14:paraId="0045E8BF" w14:textId="14FE95C5" w:rsidR="00CD105B" w:rsidRDefault="00CD105B" w:rsidP="00CD105B">
      <w:pPr>
        <w:pStyle w:val="TextoNormalNegritaCentrado"/>
      </w:pPr>
    </w:p>
    <w:p w14:paraId="235ED720" w14:textId="59F3B1EA" w:rsidR="00CD105B" w:rsidRPr="00CD105B" w:rsidRDefault="00CD105B" w:rsidP="00CD105B">
      <w:pPr>
        <w:pStyle w:val="TextoNormalSangraFrancesa"/>
        <w:rPr>
          <w:rStyle w:val="TextoNormalCaracter"/>
        </w:rPr>
      </w:pPr>
      <w:bookmarkStart w:id="650" w:name="DESCRIPTORALFABETICO367"/>
      <w:r w:rsidRPr="00CD105B">
        <w:rPr>
          <w:rStyle w:val="TextoNormalNegritaCaracter"/>
        </w:rPr>
        <w:t>Deber de instrucción del órgano judicial</w:t>
      </w:r>
      <w:bookmarkEnd w:id="650"/>
      <w:r w:rsidRPr="00CD105B">
        <w:rPr>
          <w:rStyle w:val="TextoNormalCaracter"/>
        </w:rPr>
        <w:t xml:space="preserve">, Sentencias </w:t>
      </w:r>
      <w:hyperlink w:anchor="SENTENCIA_2024_105" w:history="1">
        <w:r w:rsidRPr="00CD105B">
          <w:rPr>
            <w:rStyle w:val="TextoNormalCaracter"/>
          </w:rPr>
          <w:t>105/2024</w:t>
        </w:r>
      </w:hyperlink>
      <w:r w:rsidRPr="00CD105B">
        <w:rPr>
          <w:rStyle w:val="TextoNormalCaracter"/>
        </w:rPr>
        <w:t xml:space="preserve">, ff. 2 y 4; </w:t>
      </w:r>
      <w:hyperlink w:anchor="SENTENCIA_2024_144" w:history="1">
        <w:r w:rsidRPr="00CD105B">
          <w:rPr>
            <w:rStyle w:val="TextoNormalCaracter"/>
          </w:rPr>
          <w:t>144/2024</w:t>
        </w:r>
      </w:hyperlink>
      <w:r w:rsidRPr="00CD105B">
        <w:rPr>
          <w:rStyle w:val="TextoNormalCaracter"/>
        </w:rPr>
        <w:t>, ff. 4 y 5.</w:t>
      </w:r>
    </w:p>
    <w:p w14:paraId="0A236576" w14:textId="09C69527" w:rsidR="00CD105B" w:rsidRPr="00CD105B" w:rsidRDefault="00CD105B" w:rsidP="00CD105B">
      <w:pPr>
        <w:pStyle w:val="TextoNormalSangraFrancesa"/>
        <w:rPr>
          <w:rStyle w:val="TextoNormalCaracter"/>
        </w:rPr>
      </w:pPr>
      <w:bookmarkStart w:id="651" w:name="DESCRIPTORALFABETICO265"/>
      <w:r w:rsidRPr="00CD105B">
        <w:rPr>
          <w:rStyle w:val="TextoNormalNegritaCaracter"/>
        </w:rPr>
        <w:t>Decretos-leyes autonómicos</w:t>
      </w:r>
      <w:bookmarkEnd w:id="651"/>
      <w:r w:rsidRPr="00CD105B">
        <w:rPr>
          <w:rStyle w:val="TextoNormalCaracter"/>
        </w:rPr>
        <w:t xml:space="preserve">, Sentencias </w:t>
      </w:r>
      <w:hyperlink w:anchor="SENTENCIA_2024_113" w:history="1">
        <w:r w:rsidRPr="00CD105B">
          <w:rPr>
            <w:rStyle w:val="TextoNormalCaracter"/>
          </w:rPr>
          <w:t>113/2024</w:t>
        </w:r>
      </w:hyperlink>
      <w:r w:rsidRPr="00CD105B">
        <w:rPr>
          <w:rStyle w:val="TextoNormalCaracter"/>
        </w:rPr>
        <w:t xml:space="preserve">, f. 1; </w:t>
      </w:r>
      <w:hyperlink w:anchor="SENTENCIA_2024_121" w:history="1">
        <w:r w:rsidRPr="00CD105B">
          <w:rPr>
            <w:rStyle w:val="TextoNormalCaracter"/>
          </w:rPr>
          <w:t>121/2024</w:t>
        </w:r>
      </w:hyperlink>
      <w:r w:rsidRPr="00CD105B">
        <w:rPr>
          <w:rStyle w:val="TextoNormalCaracter"/>
        </w:rPr>
        <w:t xml:space="preserve">, f. 1; </w:t>
      </w:r>
      <w:hyperlink w:anchor="SENTENCIA_2024_127" w:history="1">
        <w:r w:rsidRPr="00CD105B">
          <w:rPr>
            <w:rStyle w:val="TextoNormalCaracter"/>
          </w:rPr>
          <w:t>127/2024</w:t>
        </w:r>
      </w:hyperlink>
      <w:r w:rsidRPr="00CD105B">
        <w:rPr>
          <w:rStyle w:val="TextoNormalCaracter"/>
        </w:rPr>
        <w:t xml:space="preserve">, f. 1; </w:t>
      </w:r>
      <w:hyperlink w:anchor="SENTENCIA_2024_141" w:history="1">
        <w:r w:rsidRPr="00CD105B">
          <w:rPr>
            <w:rStyle w:val="TextoNormalCaracter"/>
          </w:rPr>
          <w:t>141/2024</w:t>
        </w:r>
      </w:hyperlink>
      <w:r w:rsidRPr="00CD105B">
        <w:rPr>
          <w:rStyle w:val="TextoNormalCaracter"/>
        </w:rPr>
        <w:t>, f. 1.</w:t>
      </w:r>
    </w:p>
    <w:p w14:paraId="1B490254" w14:textId="1C9F13E5" w:rsidR="00CD105B" w:rsidRPr="00CD105B" w:rsidRDefault="00CD105B" w:rsidP="00CD105B">
      <w:pPr>
        <w:pStyle w:val="TextoNormalSangraFrancesa"/>
        <w:rPr>
          <w:rStyle w:val="TextoNormalCaracter"/>
        </w:rPr>
      </w:pPr>
      <w:bookmarkStart w:id="652" w:name="DESCRIPTORALFABETICO61"/>
      <w:r w:rsidRPr="00CD105B">
        <w:rPr>
          <w:rStyle w:val="TextoNormalNegritaCaracter"/>
        </w:rPr>
        <w:t>Defectos estructurales de la Administración de justicia</w:t>
      </w:r>
      <w:bookmarkEnd w:id="652"/>
      <w:r w:rsidRPr="00CD105B">
        <w:rPr>
          <w:rStyle w:val="TextoNormalCaracter"/>
        </w:rPr>
        <w:t xml:space="preserve">, Sentencia </w:t>
      </w:r>
      <w:hyperlink w:anchor="SENTENCIA_2024_135" w:history="1">
        <w:r w:rsidRPr="00CD105B">
          <w:rPr>
            <w:rStyle w:val="TextoNormalCaracter"/>
          </w:rPr>
          <w:t>135/2024</w:t>
        </w:r>
      </w:hyperlink>
      <w:r w:rsidRPr="00CD105B">
        <w:rPr>
          <w:rStyle w:val="TextoNormalCaracter"/>
        </w:rPr>
        <w:t>, ff. 3 y 4.</w:t>
      </w:r>
    </w:p>
    <w:p w14:paraId="3AAD46CC" w14:textId="66B7394C" w:rsidR="00CD105B" w:rsidRPr="00CD105B" w:rsidRDefault="00CD105B" w:rsidP="00CD105B">
      <w:pPr>
        <w:pStyle w:val="TextoNormalSangraFrancesa"/>
        <w:rPr>
          <w:rStyle w:val="TextoNormalCaracter"/>
        </w:rPr>
      </w:pPr>
      <w:bookmarkStart w:id="653" w:name="DESCRIPTORALFABETICO253"/>
      <w:r w:rsidRPr="00CD105B">
        <w:rPr>
          <w:rStyle w:val="TextoNormalNegritaCaracter"/>
        </w:rPr>
        <w:t>Delitos contra la propiedad intelectual</w:t>
      </w:r>
      <w:bookmarkEnd w:id="653"/>
      <w:r w:rsidRPr="00CD105B">
        <w:rPr>
          <w:rStyle w:val="TextoNormalCaracter"/>
        </w:rPr>
        <w:t xml:space="preserve">, Sentencias </w:t>
      </w:r>
      <w:hyperlink w:anchor="SENTENCIA_2024_133" w:history="1">
        <w:r w:rsidRPr="00CD105B">
          <w:rPr>
            <w:rStyle w:val="TextoNormalCaracter"/>
          </w:rPr>
          <w:t>133/2024</w:t>
        </w:r>
      </w:hyperlink>
      <w:r w:rsidRPr="00CD105B">
        <w:rPr>
          <w:rStyle w:val="TextoNormalCaracter"/>
        </w:rPr>
        <w:t xml:space="preserve">, f. 1; </w:t>
      </w:r>
      <w:hyperlink w:anchor="SENTENCIA_2024_134" w:history="1">
        <w:r w:rsidRPr="00CD105B">
          <w:rPr>
            <w:rStyle w:val="TextoNormalCaracter"/>
          </w:rPr>
          <w:t>134/2024</w:t>
        </w:r>
      </w:hyperlink>
      <w:r w:rsidRPr="00CD105B">
        <w:rPr>
          <w:rStyle w:val="TextoNormalCaracter"/>
        </w:rPr>
        <w:t>, f. 1.</w:t>
      </w:r>
    </w:p>
    <w:p w14:paraId="0C110F9F" w14:textId="553BC497" w:rsidR="00CD105B" w:rsidRPr="00CD105B" w:rsidRDefault="00CD105B" w:rsidP="00CD105B">
      <w:pPr>
        <w:pStyle w:val="TextoNormalSangraFrancesa"/>
        <w:rPr>
          <w:rStyle w:val="TextoNormalCaracter"/>
        </w:rPr>
      </w:pPr>
      <w:bookmarkStart w:id="654" w:name="DESCRIPTORALFABETICO252"/>
      <w:r w:rsidRPr="00CD105B">
        <w:rPr>
          <w:rStyle w:val="TextoNormalNegritaCaracter"/>
        </w:rPr>
        <w:t>Delitos contra las instituciones del Estado</w:t>
      </w:r>
      <w:bookmarkEnd w:id="654"/>
      <w:r w:rsidRPr="00CD105B">
        <w:rPr>
          <w:rStyle w:val="TextoNormalCaracter"/>
        </w:rPr>
        <w:t xml:space="preserve">, Auto </w:t>
      </w:r>
      <w:hyperlink w:anchor="AUTO_2024_85" w:history="1">
        <w:r w:rsidRPr="00CD105B">
          <w:rPr>
            <w:rStyle w:val="TextoNormalCaracter"/>
          </w:rPr>
          <w:t>85/2024</w:t>
        </w:r>
      </w:hyperlink>
      <w:r w:rsidRPr="00CD105B">
        <w:rPr>
          <w:rStyle w:val="TextoNormalCaracter"/>
        </w:rPr>
        <w:t>, f. único, VP.</w:t>
      </w:r>
    </w:p>
    <w:p w14:paraId="6C34AB40" w14:textId="4A000098" w:rsidR="00CD105B" w:rsidRPr="00CD105B" w:rsidRDefault="00CD105B" w:rsidP="00CD105B">
      <w:pPr>
        <w:pStyle w:val="TextoNormalSangraFrancesa"/>
        <w:rPr>
          <w:rStyle w:val="TextoNormalCaracter"/>
        </w:rPr>
      </w:pPr>
      <w:bookmarkStart w:id="655" w:name="DESCRIPTORALFABETICO335"/>
      <w:r w:rsidRPr="00CD105B">
        <w:rPr>
          <w:rStyle w:val="TextoNormalNegritaCaracter"/>
        </w:rPr>
        <w:t>Denegación de prueba</w:t>
      </w:r>
      <w:bookmarkEnd w:id="655"/>
      <w:r w:rsidRPr="00CD105B">
        <w:rPr>
          <w:rStyle w:val="TextoNormalCaracter"/>
        </w:rPr>
        <w:t xml:space="preserve">, Sentencia </w:t>
      </w:r>
      <w:hyperlink w:anchor="SENTENCIA_2024_106" w:history="1">
        <w:r w:rsidRPr="00CD105B">
          <w:rPr>
            <w:rStyle w:val="TextoNormalCaracter"/>
          </w:rPr>
          <w:t>106/2024</w:t>
        </w:r>
      </w:hyperlink>
      <w:r w:rsidRPr="00CD105B">
        <w:rPr>
          <w:rStyle w:val="TextoNormalCaracter"/>
        </w:rPr>
        <w:t>, f. 4.</w:t>
      </w:r>
    </w:p>
    <w:p w14:paraId="58084E31" w14:textId="6292AC90" w:rsidR="00CD105B" w:rsidRPr="00CD105B" w:rsidRDefault="00CD105B" w:rsidP="00CD105B">
      <w:pPr>
        <w:pStyle w:val="TextoNormalSangraFrancesa"/>
        <w:rPr>
          <w:rStyle w:val="TextoNormalCaracter"/>
        </w:rPr>
      </w:pPr>
      <w:bookmarkStart w:id="656" w:name="DESCRIPTORALFABETICO17"/>
      <w:r w:rsidRPr="00CD105B">
        <w:rPr>
          <w:rStyle w:val="TextoNormalNegritaCaracter"/>
        </w:rPr>
        <w:t>Derecho a ejercer los cargos públicos</w:t>
      </w:r>
      <w:bookmarkEnd w:id="656"/>
      <w:r w:rsidRPr="00CD105B">
        <w:rPr>
          <w:rStyle w:val="TextoNormalCaracter"/>
        </w:rPr>
        <w:t xml:space="preserve">, Sentencia </w:t>
      </w:r>
      <w:hyperlink w:anchor="SENTENCIA_2024_139" w:history="1">
        <w:r w:rsidRPr="00CD105B">
          <w:rPr>
            <w:rStyle w:val="TextoNormalCaracter"/>
          </w:rPr>
          <w:t>139/2024</w:t>
        </w:r>
      </w:hyperlink>
      <w:r w:rsidRPr="00CD105B">
        <w:rPr>
          <w:rStyle w:val="TextoNormalCaracter"/>
        </w:rPr>
        <w:t>, f. 4.</w:t>
      </w:r>
    </w:p>
    <w:p w14:paraId="4030333D" w14:textId="75009852"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Sentencias </w:t>
      </w:r>
      <w:hyperlink w:anchor="SENTENCIA_2024_114" w:history="1">
        <w:r w:rsidRPr="00CD105B">
          <w:rPr>
            <w:rStyle w:val="TextoNormalCaracter"/>
          </w:rPr>
          <w:t>114/2024</w:t>
        </w:r>
      </w:hyperlink>
      <w:r w:rsidRPr="00CD105B">
        <w:rPr>
          <w:rStyle w:val="TextoNormalCaracter"/>
        </w:rPr>
        <w:t xml:space="preserve">, ff. 3 a 6; </w:t>
      </w:r>
      <w:hyperlink w:anchor="SENTENCIA_2024_129" w:history="1">
        <w:r w:rsidRPr="00CD105B">
          <w:rPr>
            <w:rStyle w:val="TextoNormalCaracter"/>
          </w:rPr>
          <w:t>129/2024</w:t>
        </w:r>
      </w:hyperlink>
      <w:r w:rsidRPr="00CD105B">
        <w:rPr>
          <w:rStyle w:val="TextoNormalCaracter"/>
        </w:rPr>
        <w:t xml:space="preserve">, f. 2; </w:t>
      </w:r>
      <w:hyperlink w:anchor="SENTENCIA_2024_137" w:history="1">
        <w:r w:rsidRPr="00CD105B">
          <w:rPr>
            <w:rStyle w:val="TextoNormalCaracter"/>
          </w:rPr>
          <w:t>137/2024</w:t>
        </w:r>
      </w:hyperlink>
      <w:r w:rsidRPr="00CD105B">
        <w:rPr>
          <w:rStyle w:val="TextoNormalCaracter"/>
        </w:rPr>
        <w:t xml:space="preserve">, f. 3; </w:t>
      </w:r>
      <w:hyperlink w:anchor="SENTENCIA_2024_138" w:history="1">
        <w:r w:rsidRPr="00CD105B">
          <w:rPr>
            <w:rStyle w:val="TextoNormalCaracter"/>
          </w:rPr>
          <w:t>138/2024</w:t>
        </w:r>
      </w:hyperlink>
      <w:r w:rsidRPr="00CD105B">
        <w:rPr>
          <w:rStyle w:val="TextoNormalCaracter"/>
        </w:rPr>
        <w:t xml:space="preserve">, ff. 3 y 4; </w:t>
      </w:r>
      <w:hyperlink w:anchor="SENTENCIA_2024_153" w:history="1">
        <w:r w:rsidRPr="00CD105B">
          <w:rPr>
            <w:rStyle w:val="TextoNormalCaracter"/>
          </w:rPr>
          <w:t>153/2024</w:t>
        </w:r>
      </w:hyperlink>
      <w:r w:rsidRPr="00CD105B">
        <w:rPr>
          <w:rStyle w:val="TextoNormalCaracter"/>
        </w:rPr>
        <w:t>, f. 2.</w:t>
      </w:r>
    </w:p>
    <w:p w14:paraId="250C7F03" w14:textId="3593017E"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Sentencias </w:t>
      </w:r>
      <w:hyperlink w:anchor="SENTENCIA_2024_109" w:history="1">
        <w:r w:rsidRPr="00CD105B">
          <w:rPr>
            <w:rStyle w:val="TextoNormalCaracter"/>
          </w:rPr>
          <w:t>109/2024</w:t>
        </w:r>
      </w:hyperlink>
      <w:r w:rsidRPr="00CD105B">
        <w:rPr>
          <w:rStyle w:val="TextoNormalCaracter"/>
        </w:rPr>
        <w:t xml:space="preserve">, f. 3; </w:t>
      </w:r>
      <w:hyperlink w:anchor="SENTENCIA_2024_110" w:history="1">
        <w:r w:rsidRPr="00CD105B">
          <w:rPr>
            <w:rStyle w:val="TextoNormalCaracter"/>
          </w:rPr>
          <w:t>110/2024</w:t>
        </w:r>
      </w:hyperlink>
      <w:r w:rsidRPr="00CD105B">
        <w:rPr>
          <w:rStyle w:val="TextoNormalCaracter"/>
        </w:rPr>
        <w:t xml:space="preserve">, f. 3; </w:t>
      </w:r>
      <w:hyperlink w:anchor="SENTENCIA_2024_154" w:history="1">
        <w:r w:rsidRPr="00CD105B">
          <w:rPr>
            <w:rStyle w:val="TextoNormalCaracter"/>
          </w:rPr>
          <w:t>154/2024</w:t>
        </w:r>
      </w:hyperlink>
      <w:r w:rsidRPr="00CD105B">
        <w:rPr>
          <w:rStyle w:val="TextoNormalCaracter"/>
        </w:rPr>
        <w:t xml:space="preserve">, f. único; </w:t>
      </w:r>
      <w:hyperlink w:anchor="SENTENCIA_2024_156" w:history="1">
        <w:r w:rsidRPr="00CD105B">
          <w:rPr>
            <w:rStyle w:val="TextoNormalCaracter"/>
          </w:rPr>
          <w:t>156/2024</w:t>
        </w:r>
      </w:hyperlink>
      <w:r w:rsidRPr="00CD105B">
        <w:rPr>
          <w:rStyle w:val="TextoNormalCaracter"/>
        </w:rPr>
        <w:t>, f. único.</w:t>
      </w:r>
    </w:p>
    <w:p w14:paraId="2E888F43" w14:textId="77777777" w:rsidR="00CD105B" w:rsidRPr="00CD105B" w:rsidRDefault="00CD105B" w:rsidP="00CD105B">
      <w:pPr>
        <w:pStyle w:val="TextoNormalSangraFrancesa"/>
        <w:rPr>
          <w:rStyle w:val="TextoNormalCaracter"/>
        </w:rPr>
      </w:pPr>
      <w:bookmarkStart w:id="657" w:name="DESCRIPTORALFABETICO55"/>
      <w:r w:rsidRPr="00CD105B">
        <w:rPr>
          <w:rStyle w:val="TextoNormalNegritaCaracter"/>
        </w:rPr>
        <w:t>Derecho a la asistencia letrada</w:t>
      </w:r>
      <w:bookmarkEnd w:id="657"/>
      <w:r w:rsidRPr="00CD105B">
        <w:rPr>
          <w:rStyle w:val="TextoNormalCaracter"/>
        </w:rPr>
        <w:t xml:space="preserve">, </w:t>
      </w:r>
    </w:p>
    <w:p w14:paraId="149289CD" w14:textId="2291BB4A"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 </w:t>
      </w:r>
      <w:hyperlink w:anchor="SENTENCIA_2024_104" w:history="1">
        <w:r w:rsidRPr="00CD105B">
          <w:rPr>
            <w:rStyle w:val="TextoNormalCaracter"/>
          </w:rPr>
          <w:t>104/2024</w:t>
        </w:r>
      </w:hyperlink>
      <w:r w:rsidRPr="00CD105B">
        <w:rPr>
          <w:rStyle w:val="TextoNormalCaracter"/>
        </w:rPr>
        <w:t>, f. 2.</w:t>
      </w:r>
    </w:p>
    <w:p w14:paraId="702F442A" w14:textId="77777777" w:rsidR="00CD105B" w:rsidRPr="00CD105B" w:rsidRDefault="00CD105B" w:rsidP="00CD105B">
      <w:pPr>
        <w:pStyle w:val="TextoNormalSangraFrancesa"/>
        <w:rPr>
          <w:rStyle w:val="TextoNormalCaracter"/>
        </w:rPr>
      </w:pPr>
      <w:bookmarkStart w:id="658" w:name="DESCRIPTORALFABETICO54"/>
      <w:r w:rsidRPr="00CD105B">
        <w:rPr>
          <w:rStyle w:val="TextoNormalNegritaCaracter"/>
        </w:rPr>
        <w:t>Derecho a la defensa</w:t>
      </w:r>
      <w:bookmarkEnd w:id="658"/>
      <w:r w:rsidRPr="00CD105B">
        <w:rPr>
          <w:rStyle w:val="TextoNormalCaracter"/>
        </w:rPr>
        <w:t xml:space="preserve">, </w:t>
      </w:r>
    </w:p>
    <w:p w14:paraId="2E3341C0" w14:textId="7800DFE7"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Sentencias </w:t>
      </w:r>
      <w:hyperlink w:anchor="SENTENCIA_2024_96" w:history="1">
        <w:r w:rsidRPr="00CD105B">
          <w:rPr>
            <w:rStyle w:val="TextoNormalCaracter"/>
          </w:rPr>
          <w:t>96/2024</w:t>
        </w:r>
      </w:hyperlink>
      <w:r w:rsidRPr="00CD105B">
        <w:rPr>
          <w:rStyle w:val="TextoNormalCaracter"/>
        </w:rPr>
        <w:t xml:space="preserve">, f. 7; </w:t>
      </w:r>
      <w:hyperlink w:anchor="SENTENCIA_2024_97" w:history="1">
        <w:r w:rsidRPr="00CD105B">
          <w:rPr>
            <w:rStyle w:val="TextoNormalCaracter"/>
          </w:rPr>
          <w:t>97/2024</w:t>
        </w:r>
      </w:hyperlink>
      <w:r w:rsidRPr="00CD105B">
        <w:rPr>
          <w:rStyle w:val="TextoNormalCaracter"/>
        </w:rPr>
        <w:t xml:space="preserve">, f. 7; </w:t>
      </w:r>
      <w:hyperlink w:anchor="SENTENCIA_2024_106" w:history="1">
        <w:r w:rsidRPr="00CD105B">
          <w:rPr>
            <w:rStyle w:val="TextoNormalCaracter"/>
          </w:rPr>
          <w:t>106/2024</w:t>
        </w:r>
      </w:hyperlink>
      <w:r w:rsidRPr="00CD105B">
        <w:rPr>
          <w:rStyle w:val="TextoNormalCaracter"/>
        </w:rPr>
        <w:t xml:space="preserve">, f. 4; </w:t>
      </w:r>
      <w:hyperlink w:anchor="SENTENCIA_2024_133" w:history="1">
        <w:r w:rsidRPr="00CD105B">
          <w:rPr>
            <w:rStyle w:val="TextoNormalCaracter"/>
          </w:rPr>
          <w:t>133/2024</w:t>
        </w:r>
      </w:hyperlink>
      <w:r w:rsidRPr="00CD105B">
        <w:rPr>
          <w:rStyle w:val="TextoNormalCaracter"/>
        </w:rPr>
        <w:t>, f. 2.</w:t>
      </w:r>
    </w:p>
    <w:p w14:paraId="415FB068" w14:textId="777E9EF8"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Sentencias </w:t>
      </w:r>
      <w:hyperlink w:anchor="SENTENCIA_2024_104" w:history="1">
        <w:r w:rsidRPr="00CD105B">
          <w:rPr>
            <w:rStyle w:val="TextoNormalCaracter"/>
          </w:rPr>
          <w:t>104/2024</w:t>
        </w:r>
      </w:hyperlink>
      <w:r w:rsidRPr="00CD105B">
        <w:rPr>
          <w:rStyle w:val="TextoNormalCaracter"/>
        </w:rPr>
        <w:t xml:space="preserve">, f. 2; </w:t>
      </w:r>
      <w:hyperlink w:anchor="SENTENCIA_2024_124" w:history="1">
        <w:r w:rsidRPr="00CD105B">
          <w:rPr>
            <w:rStyle w:val="TextoNormalCaracter"/>
          </w:rPr>
          <w:t>124/2024</w:t>
        </w:r>
      </w:hyperlink>
      <w:r w:rsidRPr="00CD105B">
        <w:rPr>
          <w:rStyle w:val="TextoNormalCaracter"/>
        </w:rPr>
        <w:t>, ff. 2 y 3.</w:t>
      </w:r>
    </w:p>
    <w:p w14:paraId="4B09F901" w14:textId="181DB34D" w:rsidR="00CD105B" w:rsidRPr="00CD105B" w:rsidRDefault="00CD105B" w:rsidP="00CD105B">
      <w:pPr>
        <w:pStyle w:val="TextoNormalSangraFrancesa"/>
        <w:rPr>
          <w:rStyle w:val="TextoNormalCaracter"/>
        </w:rPr>
      </w:pPr>
      <w:bookmarkStart w:id="659" w:name="DESCRIPTORALFABETICO19"/>
      <w:r w:rsidRPr="00CD105B">
        <w:rPr>
          <w:rStyle w:val="TextoNormalNegritaCaracter"/>
        </w:rPr>
        <w:t>Derecho a la igualdad</w:t>
      </w:r>
      <w:bookmarkEnd w:id="659"/>
      <w:r w:rsidRPr="00CD105B">
        <w:rPr>
          <w:rStyle w:val="TextoNormalCaracter"/>
        </w:rPr>
        <w:t xml:space="preserve">, Sentencia </w:t>
      </w:r>
      <w:hyperlink w:anchor="SENTENCIA_2024_115" w:history="1">
        <w:r w:rsidRPr="00CD105B">
          <w:rPr>
            <w:rStyle w:val="TextoNormalCaracter"/>
          </w:rPr>
          <w:t>115/2024</w:t>
        </w:r>
      </w:hyperlink>
      <w:r w:rsidRPr="00CD105B">
        <w:rPr>
          <w:rStyle w:val="TextoNormalCaracter"/>
        </w:rPr>
        <w:t>, f. 3, VP I.</w:t>
      </w:r>
    </w:p>
    <w:p w14:paraId="51D48C16" w14:textId="11399164" w:rsidR="00CD105B" w:rsidRPr="00CD105B" w:rsidRDefault="00CD105B" w:rsidP="00CD105B">
      <w:pPr>
        <w:pStyle w:val="TextoNormalSangraFrancesa"/>
        <w:rPr>
          <w:rStyle w:val="TextoNormalCaracter"/>
        </w:rPr>
      </w:pPr>
      <w:bookmarkStart w:id="660" w:name="DESCRIPTORALFABETICO22"/>
      <w:r w:rsidRPr="00CD105B">
        <w:rPr>
          <w:rStyle w:val="TextoNormalNegritaCaracter"/>
        </w:rPr>
        <w:t>Derecho a la integridad física y moral</w:t>
      </w:r>
      <w:bookmarkEnd w:id="660"/>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ff. 4 y 5; </w:t>
      </w:r>
      <w:hyperlink w:anchor="SENTENCIA_2024_141" w:history="1">
        <w:r w:rsidRPr="00CD105B">
          <w:rPr>
            <w:rStyle w:val="TextoNormalCaracter"/>
          </w:rPr>
          <w:t>141/2024</w:t>
        </w:r>
      </w:hyperlink>
      <w:r w:rsidRPr="00CD105B">
        <w:rPr>
          <w:rStyle w:val="TextoNormalCaracter"/>
        </w:rPr>
        <w:t>, ff. 1 y 3.</w:t>
      </w:r>
    </w:p>
    <w:p w14:paraId="45E4FE2E" w14:textId="3C4596A0"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Sentencias </w:t>
      </w:r>
      <w:hyperlink w:anchor="SENTENCIA_2024_105" w:history="1">
        <w:r w:rsidRPr="00CD105B">
          <w:rPr>
            <w:rStyle w:val="TextoNormalCaracter"/>
          </w:rPr>
          <w:t>105/2024</w:t>
        </w:r>
      </w:hyperlink>
      <w:r w:rsidRPr="00CD105B">
        <w:rPr>
          <w:rStyle w:val="TextoNormalCaracter"/>
        </w:rPr>
        <w:t xml:space="preserve">, ff. 4 y 5; </w:t>
      </w:r>
      <w:hyperlink w:anchor="SENTENCIA_2024_144" w:history="1">
        <w:r w:rsidRPr="00CD105B">
          <w:rPr>
            <w:rStyle w:val="TextoNormalCaracter"/>
          </w:rPr>
          <w:t>144/2024</w:t>
        </w:r>
      </w:hyperlink>
      <w:r w:rsidRPr="00CD105B">
        <w:rPr>
          <w:rStyle w:val="TextoNormalCaracter"/>
        </w:rPr>
        <w:t>, ff. 5 y 6.</w:t>
      </w:r>
    </w:p>
    <w:p w14:paraId="2D83AA92" w14:textId="651CF8B8" w:rsidR="00CD105B" w:rsidRPr="00CD105B" w:rsidRDefault="00CD105B" w:rsidP="00CD105B">
      <w:pPr>
        <w:pStyle w:val="TextoNormalSangraFrancesa"/>
        <w:rPr>
          <w:rStyle w:val="TextoNormalCaracter"/>
        </w:rPr>
      </w:pPr>
      <w:bookmarkStart w:id="661" w:name="DESCRIPTORALFABETICO27"/>
      <w:r w:rsidRPr="00CD105B">
        <w:rPr>
          <w:rStyle w:val="TextoNormalNegritaCaracter"/>
        </w:rPr>
        <w:t>Derecho a la intimidad de menores</w:t>
      </w:r>
      <w:bookmarkEnd w:id="661"/>
      <w:r w:rsidRPr="00CD105B">
        <w:rPr>
          <w:rStyle w:val="TextoNormalCaracter"/>
        </w:rPr>
        <w:t xml:space="preserve">, Sentencia </w:t>
      </w:r>
      <w:hyperlink w:anchor="SENTENCIA_2024_106" w:history="1">
        <w:r w:rsidRPr="00CD105B">
          <w:rPr>
            <w:rStyle w:val="TextoNormalCaracter"/>
          </w:rPr>
          <w:t>106/2024</w:t>
        </w:r>
      </w:hyperlink>
      <w:r w:rsidRPr="00CD105B">
        <w:rPr>
          <w:rStyle w:val="TextoNormalCaracter"/>
        </w:rPr>
        <w:t>, f. 3.</w:t>
      </w:r>
    </w:p>
    <w:p w14:paraId="155F53D5" w14:textId="2996A184" w:rsidR="00CD105B" w:rsidRPr="00CD105B" w:rsidRDefault="00CD105B" w:rsidP="00CD105B">
      <w:pPr>
        <w:pStyle w:val="TextoNormalSangraFrancesa"/>
        <w:rPr>
          <w:rStyle w:val="TextoNormalCaracter"/>
        </w:rPr>
      </w:pPr>
      <w:bookmarkStart w:id="662" w:name="DESCRIPTORALFABETICO26"/>
      <w:r w:rsidRPr="00CD105B">
        <w:rPr>
          <w:rStyle w:val="TextoNormalNegritaCaracter"/>
        </w:rPr>
        <w:t>Derecho a la intimidad personal y familiar</w:t>
      </w:r>
      <w:bookmarkEnd w:id="662"/>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 5; </w:t>
      </w:r>
      <w:hyperlink w:anchor="SENTENCIA_2024_141" w:history="1">
        <w:r w:rsidRPr="00CD105B">
          <w:rPr>
            <w:rStyle w:val="TextoNormalCaracter"/>
          </w:rPr>
          <w:t>141/2024</w:t>
        </w:r>
      </w:hyperlink>
      <w:r w:rsidRPr="00CD105B">
        <w:rPr>
          <w:rStyle w:val="TextoNormalCaracter"/>
        </w:rPr>
        <w:t>, ff. 1 y 3.</w:t>
      </w:r>
    </w:p>
    <w:p w14:paraId="15215A16" w14:textId="77777777" w:rsidR="00CD105B" w:rsidRPr="00CD105B" w:rsidRDefault="00CD105B" w:rsidP="00CD105B">
      <w:pPr>
        <w:pStyle w:val="TextoNormalSangraFrancesa"/>
        <w:rPr>
          <w:rStyle w:val="TextoNormalCaracter"/>
        </w:rPr>
      </w:pPr>
      <w:bookmarkStart w:id="663" w:name="DESCRIPTORALFABETICO28"/>
      <w:r w:rsidRPr="00CD105B">
        <w:rPr>
          <w:rStyle w:val="TextoNormalNegritaCaracter"/>
        </w:rPr>
        <w:t>Derecho a la legalidad penal</w:t>
      </w:r>
      <w:bookmarkEnd w:id="663"/>
      <w:r w:rsidRPr="00CD105B">
        <w:rPr>
          <w:rStyle w:val="TextoNormalCaracter"/>
        </w:rPr>
        <w:t xml:space="preserve">, </w:t>
      </w:r>
    </w:p>
    <w:p w14:paraId="22C507ED" w14:textId="3AE00946" w:rsidR="00CD105B" w:rsidRPr="00CD105B" w:rsidRDefault="00CD105B" w:rsidP="00CD105B">
      <w:pPr>
        <w:pStyle w:val="TextoNormalSangraFrancesa"/>
        <w:rPr>
          <w:rStyle w:val="TextoNormalCaracter"/>
        </w:rPr>
      </w:pPr>
      <w:r w:rsidRPr="00CD105B">
        <w:rPr>
          <w:rStyle w:val="TextoNormalCursivaCaracter"/>
        </w:rPr>
        <w:t xml:space="preserve">    Doctrina constitucional, </w:t>
      </w:r>
      <w:r w:rsidRPr="00CD105B">
        <w:rPr>
          <w:rStyle w:val="TextoNormalCaracter"/>
        </w:rPr>
        <w:t xml:space="preserve">Sentencias </w:t>
      </w:r>
      <w:hyperlink w:anchor="SENTENCIA_2024_99" w:history="1">
        <w:r w:rsidRPr="00CD105B">
          <w:rPr>
            <w:rStyle w:val="TextoNormalCaracter"/>
          </w:rPr>
          <w:t>99/2024</w:t>
        </w:r>
      </w:hyperlink>
      <w:r w:rsidRPr="00CD105B">
        <w:rPr>
          <w:rStyle w:val="TextoNormalCaracter"/>
        </w:rPr>
        <w:t xml:space="preserve">, f. 3; </w:t>
      </w:r>
      <w:hyperlink w:anchor="SENTENCIA_2024_103" w:history="1">
        <w:r w:rsidRPr="00CD105B">
          <w:rPr>
            <w:rStyle w:val="TextoNormalCaracter"/>
          </w:rPr>
          <w:t>103/2024</w:t>
        </w:r>
      </w:hyperlink>
      <w:r w:rsidRPr="00CD105B">
        <w:rPr>
          <w:rStyle w:val="TextoNormalCaracter"/>
        </w:rPr>
        <w:t>, f. 3.</w:t>
      </w:r>
    </w:p>
    <w:p w14:paraId="45EC948B" w14:textId="3D65994F"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 </w:t>
      </w:r>
      <w:hyperlink w:anchor="SENTENCIA_2024_152" w:history="1">
        <w:r w:rsidRPr="00CD105B">
          <w:rPr>
            <w:rStyle w:val="TextoNormalCaracter"/>
          </w:rPr>
          <w:t>152/2024</w:t>
        </w:r>
      </w:hyperlink>
      <w:r w:rsidRPr="00CD105B">
        <w:rPr>
          <w:rStyle w:val="TextoNormalCaracter"/>
        </w:rPr>
        <w:t>, f. 5.</w:t>
      </w:r>
    </w:p>
    <w:p w14:paraId="717C1110" w14:textId="28C47F9D"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Sentencias </w:t>
      </w:r>
      <w:hyperlink w:anchor="SENTENCIA_2024_94" w:history="1">
        <w:r w:rsidRPr="00CD105B">
          <w:rPr>
            <w:rStyle w:val="TextoNormalCaracter"/>
          </w:rPr>
          <w:t>94/2024</w:t>
        </w:r>
      </w:hyperlink>
      <w:r w:rsidRPr="00CD105B">
        <w:rPr>
          <w:rStyle w:val="TextoNormalCaracter"/>
        </w:rPr>
        <w:t xml:space="preserve">, ff. 4 y 5, VP I, VP II, VP III, VP IV; </w:t>
      </w:r>
      <w:hyperlink w:anchor="SENTENCIA_2024_95" w:history="1">
        <w:r w:rsidRPr="00CD105B">
          <w:rPr>
            <w:rStyle w:val="TextoNormalCaracter"/>
          </w:rPr>
          <w:t>95/2024</w:t>
        </w:r>
      </w:hyperlink>
      <w:r w:rsidRPr="00CD105B">
        <w:rPr>
          <w:rStyle w:val="TextoNormalCaracter"/>
        </w:rPr>
        <w:t xml:space="preserve">, f. 3, VP I, VP II, VP III; </w:t>
      </w:r>
      <w:hyperlink w:anchor="SENTENCIA_2024_96" w:history="1">
        <w:r w:rsidRPr="00CD105B">
          <w:rPr>
            <w:rStyle w:val="TextoNormalCaracter"/>
          </w:rPr>
          <w:t>96/2024</w:t>
        </w:r>
      </w:hyperlink>
      <w:r w:rsidRPr="00CD105B">
        <w:rPr>
          <w:rStyle w:val="TextoNormalCaracter"/>
        </w:rPr>
        <w:t xml:space="preserve">, ff. 4 a 7, VP I, VP II, VP III, VP IV; </w:t>
      </w:r>
      <w:hyperlink w:anchor="SENTENCIA_2024_97" w:history="1">
        <w:r w:rsidRPr="00CD105B">
          <w:rPr>
            <w:rStyle w:val="TextoNormalCaracter"/>
          </w:rPr>
          <w:t>97/2024</w:t>
        </w:r>
      </w:hyperlink>
      <w:r w:rsidRPr="00CD105B">
        <w:rPr>
          <w:rStyle w:val="TextoNormalCaracter"/>
        </w:rPr>
        <w:t xml:space="preserve">, ff. 3 a 5, VP I, VP II, VP III, VP IV; </w:t>
      </w:r>
      <w:hyperlink w:anchor="SENTENCIA_2024_98" w:history="1">
        <w:r w:rsidRPr="00CD105B">
          <w:rPr>
            <w:rStyle w:val="TextoNormalCaracter"/>
          </w:rPr>
          <w:t>98/2024</w:t>
        </w:r>
      </w:hyperlink>
      <w:r w:rsidRPr="00CD105B">
        <w:rPr>
          <w:rStyle w:val="TextoNormalCaracter"/>
        </w:rPr>
        <w:t xml:space="preserve">, ff. 3 a 5, VP I, VP II, VP III; </w:t>
      </w:r>
      <w:hyperlink w:anchor="SENTENCIA_2024_99" w:history="1">
        <w:r w:rsidRPr="00CD105B">
          <w:rPr>
            <w:rStyle w:val="TextoNormalCaracter"/>
          </w:rPr>
          <w:t>99/2024</w:t>
        </w:r>
      </w:hyperlink>
      <w:r w:rsidRPr="00CD105B">
        <w:rPr>
          <w:rStyle w:val="TextoNormalCaracter"/>
        </w:rPr>
        <w:t xml:space="preserve">, f. 3, VP I, VP II, VP III, VP IV; </w:t>
      </w:r>
      <w:hyperlink w:anchor="SENTENCIA_2024_100" w:history="1">
        <w:r w:rsidRPr="00CD105B">
          <w:rPr>
            <w:rStyle w:val="TextoNormalCaracter"/>
          </w:rPr>
          <w:t>100/2024</w:t>
        </w:r>
      </w:hyperlink>
      <w:r w:rsidRPr="00CD105B">
        <w:rPr>
          <w:rStyle w:val="TextoNormalCaracter"/>
        </w:rPr>
        <w:t xml:space="preserve">, ff. 3 a 5, VP I, VP II, VP III, VP IV; </w:t>
      </w:r>
      <w:hyperlink w:anchor="SENTENCIA_2024_102" w:history="1">
        <w:r w:rsidRPr="00CD105B">
          <w:rPr>
            <w:rStyle w:val="TextoNormalCaracter"/>
          </w:rPr>
          <w:t>102/2024</w:t>
        </w:r>
      </w:hyperlink>
      <w:r w:rsidRPr="00CD105B">
        <w:rPr>
          <w:rStyle w:val="TextoNormalCaracter"/>
        </w:rPr>
        <w:t xml:space="preserve">, f. 4, VP I, VP II, VP III, VP IV; </w:t>
      </w:r>
      <w:hyperlink w:anchor="SENTENCIA_2024_103" w:history="1">
        <w:r w:rsidRPr="00CD105B">
          <w:rPr>
            <w:rStyle w:val="TextoNormalCaracter"/>
          </w:rPr>
          <w:t>103/2024</w:t>
        </w:r>
      </w:hyperlink>
      <w:r w:rsidRPr="00CD105B">
        <w:rPr>
          <w:rStyle w:val="TextoNormalCaracter"/>
        </w:rPr>
        <w:t>, ff. 1, 5 y 6, VP I, VP II, VP III, VP IV.</w:t>
      </w:r>
    </w:p>
    <w:p w14:paraId="0C9B2A80" w14:textId="2C19EE96" w:rsidR="00CD105B" w:rsidRPr="00CD105B" w:rsidRDefault="00CD105B" w:rsidP="00CD105B">
      <w:pPr>
        <w:pStyle w:val="TextoNormalSangraFrancesa"/>
        <w:rPr>
          <w:rStyle w:val="TextoNormalCaracter"/>
        </w:rPr>
      </w:pPr>
      <w:bookmarkStart w:id="664" w:name="DESCRIPTORALFABETICO29"/>
      <w:r w:rsidRPr="00CD105B">
        <w:rPr>
          <w:rStyle w:val="TextoNormalNegritaCaracter"/>
        </w:rPr>
        <w:t>Derecho a la libertad personal</w:t>
      </w:r>
      <w:bookmarkEnd w:id="664"/>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 5; </w:t>
      </w:r>
      <w:hyperlink w:anchor="SENTENCIA_2024_141" w:history="1">
        <w:r w:rsidRPr="00CD105B">
          <w:rPr>
            <w:rStyle w:val="TextoNormalCaracter"/>
          </w:rPr>
          <w:t>141/2024</w:t>
        </w:r>
      </w:hyperlink>
      <w:r w:rsidRPr="00CD105B">
        <w:rPr>
          <w:rStyle w:val="TextoNormalCaracter"/>
        </w:rPr>
        <w:t>, ff. 1 y 3.</w:t>
      </w:r>
    </w:p>
    <w:p w14:paraId="2BF9FBB0" w14:textId="4A6F244A" w:rsidR="00CD105B" w:rsidRPr="00CD105B" w:rsidRDefault="00CD105B" w:rsidP="00CD105B">
      <w:pPr>
        <w:pStyle w:val="TextoNormalSangraFrancesa"/>
        <w:rPr>
          <w:rStyle w:val="TextoNormalCaracter"/>
        </w:rPr>
      </w:pPr>
      <w:r w:rsidRPr="00CD105B">
        <w:rPr>
          <w:rStyle w:val="TextoNormalCursivaCaracter"/>
        </w:rPr>
        <w:t xml:space="preserve">    Doctrina constitucional, </w:t>
      </w:r>
      <w:r w:rsidRPr="00CD105B">
        <w:rPr>
          <w:rStyle w:val="TextoNormalCaracter"/>
        </w:rPr>
        <w:t xml:space="preserve">Sentencia </w:t>
      </w:r>
      <w:hyperlink w:anchor="SENTENCIA_2024_148" w:history="1">
        <w:r w:rsidRPr="00CD105B">
          <w:rPr>
            <w:rStyle w:val="TextoNormalCaracter"/>
          </w:rPr>
          <w:t>148/2024</w:t>
        </w:r>
      </w:hyperlink>
      <w:r w:rsidRPr="00CD105B">
        <w:rPr>
          <w:rStyle w:val="TextoNormalCaracter"/>
        </w:rPr>
        <w:t>, ff. 3 y 4.</w:t>
      </w:r>
    </w:p>
    <w:p w14:paraId="11EB4A34" w14:textId="0F942182"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Sentencias </w:t>
      </w:r>
      <w:hyperlink w:anchor="SENTENCIA_2024_122" w:history="1">
        <w:r w:rsidRPr="00CD105B">
          <w:rPr>
            <w:rStyle w:val="TextoNormalCaracter"/>
          </w:rPr>
          <w:t>122/2024</w:t>
        </w:r>
      </w:hyperlink>
      <w:r w:rsidRPr="00CD105B">
        <w:rPr>
          <w:rStyle w:val="TextoNormalCaracter"/>
        </w:rPr>
        <w:t xml:space="preserve">, f. 4; </w:t>
      </w:r>
      <w:hyperlink w:anchor="SENTENCIA_2024_148" w:history="1">
        <w:r w:rsidRPr="00CD105B">
          <w:rPr>
            <w:rStyle w:val="TextoNormalCaracter"/>
          </w:rPr>
          <w:t>148/2024</w:t>
        </w:r>
      </w:hyperlink>
      <w:r w:rsidRPr="00CD105B">
        <w:rPr>
          <w:rStyle w:val="TextoNormalCaracter"/>
        </w:rPr>
        <w:t>, ff. 3 y 4.</w:t>
      </w:r>
    </w:p>
    <w:p w14:paraId="740FB643" w14:textId="77777777" w:rsidR="00CD105B" w:rsidRPr="00CD105B" w:rsidRDefault="00CD105B" w:rsidP="00CD105B">
      <w:pPr>
        <w:pStyle w:val="TextoNormalSangraFrancesa"/>
        <w:rPr>
          <w:rStyle w:val="TextoNormalCaracter"/>
        </w:rPr>
      </w:pPr>
      <w:bookmarkStart w:id="665" w:name="DESCRIPTORALFABETICO30"/>
      <w:r w:rsidRPr="00CD105B">
        <w:rPr>
          <w:rStyle w:val="TextoNormalNegritaCaracter"/>
        </w:rPr>
        <w:t>Derecho a la presunción de inocencia</w:t>
      </w:r>
      <w:bookmarkEnd w:id="665"/>
      <w:r w:rsidRPr="00CD105B">
        <w:rPr>
          <w:rStyle w:val="TextoNormalCaracter"/>
        </w:rPr>
        <w:t xml:space="preserve">, </w:t>
      </w:r>
    </w:p>
    <w:p w14:paraId="789A6942" w14:textId="648849CA"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Sentencias </w:t>
      </w:r>
      <w:hyperlink w:anchor="SENTENCIA_2024_95" w:history="1">
        <w:r w:rsidRPr="00CD105B">
          <w:rPr>
            <w:rStyle w:val="TextoNormalCaracter"/>
          </w:rPr>
          <w:t>95/2024</w:t>
        </w:r>
      </w:hyperlink>
      <w:r w:rsidRPr="00CD105B">
        <w:rPr>
          <w:rStyle w:val="TextoNormalCaracter"/>
        </w:rPr>
        <w:t xml:space="preserve">, ff. 4 y 6; </w:t>
      </w:r>
      <w:hyperlink w:anchor="SENTENCIA_2024_101" w:history="1">
        <w:r w:rsidRPr="00CD105B">
          <w:rPr>
            <w:rStyle w:val="TextoNormalCaracter"/>
          </w:rPr>
          <w:t>101/2024</w:t>
        </w:r>
      </w:hyperlink>
      <w:r w:rsidRPr="00CD105B">
        <w:rPr>
          <w:rStyle w:val="TextoNormalCaracter"/>
        </w:rPr>
        <w:t xml:space="preserve">, ff. 3 a 5; </w:t>
      </w:r>
      <w:hyperlink w:anchor="SENTENCIA_2024_102" w:history="1">
        <w:r w:rsidRPr="00CD105B">
          <w:rPr>
            <w:rStyle w:val="TextoNormalCaracter"/>
          </w:rPr>
          <w:t>102/2024</w:t>
        </w:r>
      </w:hyperlink>
      <w:r w:rsidRPr="00CD105B">
        <w:rPr>
          <w:rStyle w:val="TextoNormalCaracter"/>
        </w:rPr>
        <w:t xml:space="preserve">, f. 5; </w:t>
      </w:r>
      <w:hyperlink w:anchor="SENTENCIA_2024_152" w:history="1">
        <w:r w:rsidRPr="00CD105B">
          <w:rPr>
            <w:rStyle w:val="TextoNormalCaracter"/>
          </w:rPr>
          <w:t>152/2024</w:t>
        </w:r>
      </w:hyperlink>
      <w:r w:rsidRPr="00CD105B">
        <w:rPr>
          <w:rStyle w:val="TextoNormalCaracter"/>
        </w:rPr>
        <w:t>, ff. 2 y 5.</w:t>
      </w:r>
    </w:p>
    <w:p w14:paraId="0EBA54B8" w14:textId="1A4DAA6E"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Sentencias </w:t>
      </w:r>
      <w:hyperlink w:anchor="SENTENCIA_2024_94" w:history="1">
        <w:r w:rsidRPr="00CD105B">
          <w:rPr>
            <w:rStyle w:val="TextoNormalCaracter"/>
          </w:rPr>
          <w:t>94/2024</w:t>
        </w:r>
      </w:hyperlink>
      <w:r w:rsidRPr="00CD105B">
        <w:rPr>
          <w:rStyle w:val="TextoNormalCaracter"/>
        </w:rPr>
        <w:t xml:space="preserve">, ff. 6 a 8, VP I, VP II, VP III, VP IV; </w:t>
      </w:r>
      <w:hyperlink w:anchor="SENTENCIA_2024_96" w:history="1">
        <w:r w:rsidRPr="00CD105B">
          <w:rPr>
            <w:rStyle w:val="TextoNormalCaracter"/>
          </w:rPr>
          <w:t>96/2024</w:t>
        </w:r>
      </w:hyperlink>
      <w:r w:rsidRPr="00CD105B">
        <w:rPr>
          <w:rStyle w:val="TextoNormalCaracter"/>
        </w:rPr>
        <w:t xml:space="preserve">, f. 7, VP I, VP II, VP III, VP IV; </w:t>
      </w:r>
      <w:hyperlink w:anchor="SENTENCIA_2024_97" w:history="1">
        <w:r w:rsidRPr="00CD105B">
          <w:rPr>
            <w:rStyle w:val="TextoNormalCaracter"/>
          </w:rPr>
          <w:t>97/2024</w:t>
        </w:r>
      </w:hyperlink>
      <w:r w:rsidRPr="00CD105B">
        <w:rPr>
          <w:rStyle w:val="TextoNormalCaracter"/>
        </w:rPr>
        <w:t xml:space="preserve">, f. 6, VP I, VP II, VP III, VP IV; </w:t>
      </w:r>
      <w:hyperlink w:anchor="SENTENCIA_2024_98" w:history="1">
        <w:r w:rsidRPr="00CD105B">
          <w:rPr>
            <w:rStyle w:val="TextoNormalCaracter"/>
          </w:rPr>
          <w:t>98/2024</w:t>
        </w:r>
      </w:hyperlink>
      <w:r w:rsidRPr="00CD105B">
        <w:rPr>
          <w:rStyle w:val="TextoNormalCaracter"/>
        </w:rPr>
        <w:t xml:space="preserve">, ff. 6 y 7 VP II, VP III; </w:t>
      </w:r>
      <w:hyperlink w:anchor="SENTENCIA_2024_100" w:history="1">
        <w:r w:rsidRPr="00CD105B">
          <w:rPr>
            <w:rStyle w:val="TextoNormalCaracter"/>
          </w:rPr>
          <w:t>100/2024</w:t>
        </w:r>
      </w:hyperlink>
      <w:r w:rsidRPr="00CD105B">
        <w:rPr>
          <w:rStyle w:val="TextoNormalCaracter"/>
        </w:rPr>
        <w:t xml:space="preserve">, ff. 6 y 7, VP I, VP II, VP III; </w:t>
      </w:r>
      <w:hyperlink w:anchor="SENTENCIA_2024_108" w:history="1">
        <w:r w:rsidRPr="00CD105B">
          <w:rPr>
            <w:rStyle w:val="TextoNormalCaracter"/>
          </w:rPr>
          <w:t>108/2024</w:t>
        </w:r>
      </w:hyperlink>
      <w:r w:rsidRPr="00CD105B">
        <w:rPr>
          <w:rStyle w:val="TextoNormalCaracter"/>
        </w:rPr>
        <w:t>, ff. 2 a 5.</w:t>
      </w:r>
    </w:p>
    <w:p w14:paraId="69229192" w14:textId="43FD71B5" w:rsidR="00CD105B" w:rsidRPr="00CD105B" w:rsidRDefault="00CD105B" w:rsidP="00CD105B">
      <w:pPr>
        <w:pStyle w:val="TextoNormalSangraFrancesa"/>
        <w:rPr>
          <w:rStyle w:val="TextoNormalCaracter"/>
        </w:rPr>
      </w:pPr>
      <w:bookmarkStart w:id="666" w:name="DESCRIPTORALFABETICO31"/>
      <w:r w:rsidRPr="00CD105B">
        <w:rPr>
          <w:rStyle w:val="TextoNormalNegritaCaracter"/>
        </w:rPr>
        <w:t>Derecho a la tutela judicial efectiva</w:t>
      </w:r>
      <w:bookmarkEnd w:id="666"/>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 7; </w:t>
      </w:r>
      <w:hyperlink w:anchor="SENTENCIA_2024_142" w:history="1">
        <w:r w:rsidRPr="00CD105B">
          <w:rPr>
            <w:rStyle w:val="TextoNormalCaracter"/>
          </w:rPr>
          <w:t>142/2024</w:t>
        </w:r>
      </w:hyperlink>
      <w:r w:rsidRPr="00CD105B">
        <w:rPr>
          <w:rStyle w:val="TextoNormalCaracter"/>
        </w:rPr>
        <w:t>, f. 5.</w:t>
      </w:r>
    </w:p>
    <w:p w14:paraId="62BAFFCA" w14:textId="616D4D0F"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Sentencias </w:t>
      </w:r>
      <w:hyperlink w:anchor="SENTENCIA_2024_95" w:history="1">
        <w:r w:rsidRPr="00CD105B">
          <w:rPr>
            <w:rStyle w:val="TextoNormalCaracter"/>
          </w:rPr>
          <w:t>95/2024</w:t>
        </w:r>
      </w:hyperlink>
      <w:r w:rsidRPr="00CD105B">
        <w:rPr>
          <w:rStyle w:val="TextoNormalCaracter"/>
        </w:rPr>
        <w:t xml:space="preserve">, f. 5; </w:t>
      </w:r>
      <w:hyperlink w:anchor="SENTENCIA_2024_96" w:history="1">
        <w:r w:rsidRPr="00CD105B">
          <w:rPr>
            <w:rStyle w:val="TextoNormalCaracter"/>
          </w:rPr>
          <w:t>96/2024</w:t>
        </w:r>
      </w:hyperlink>
      <w:r w:rsidRPr="00CD105B">
        <w:rPr>
          <w:rStyle w:val="TextoNormalCaracter"/>
        </w:rPr>
        <w:t xml:space="preserve">, f. 7; </w:t>
      </w:r>
      <w:hyperlink w:anchor="SENTENCIA_2024_101" w:history="1">
        <w:r w:rsidRPr="00CD105B">
          <w:rPr>
            <w:rStyle w:val="TextoNormalCaracter"/>
          </w:rPr>
          <w:t>101/2024</w:t>
        </w:r>
      </w:hyperlink>
      <w:r w:rsidRPr="00CD105B">
        <w:rPr>
          <w:rStyle w:val="TextoNormalCaracter"/>
        </w:rPr>
        <w:t xml:space="preserve">, f. 5; </w:t>
      </w:r>
      <w:hyperlink w:anchor="SENTENCIA_2024_106" w:history="1">
        <w:r w:rsidRPr="00CD105B">
          <w:rPr>
            <w:rStyle w:val="TextoNormalCaracter"/>
          </w:rPr>
          <w:t>106/2024</w:t>
        </w:r>
      </w:hyperlink>
      <w:r w:rsidRPr="00CD105B">
        <w:rPr>
          <w:rStyle w:val="TextoNormalCaracter"/>
        </w:rPr>
        <w:t xml:space="preserve">, f. 4; </w:t>
      </w:r>
      <w:hyperlink w:anchor="SENTENCIA_2024_116" w:history="1">
        <w:r w:rsidRPr="00CD105B">
          <w:rPr>
            <w:rStyle w:val="TextoNormalCaracter"/>
          </w:rPr>
          <w:t>116/2024</w:t>
        </w:r>
      </w:hyperlink>
      <w:r w:rsidRPr="00CD105B">
        <w:rPr>
          <w:rStyle w:val="TextoNormalCaracter"/>
        </w:rPr>
        <w:t xml:space="preserve">, ff. 2 y 3; </w:t>
      </w:r>
      <w:hyperlink w:anchor="SENTENCIA_2024_133" w:history="1">
        <w:r w:rsidRPr="00CD105B">
          <w:rPr>
            <w:rStyle w:val="TextoNormalCaracter"/>
          </w:rPr>
          <w:t>133/2024</w:t>
        </w:r>
      </w:hyperlink>
      <w:r w:rsidRPr="00CD105B">
        <w:rPr>
          <w:rStyle w:val="TextoNormalCaracter"/>
        </w:rPr>
        <w:t xml:space="preserve">, ff. 4 y 5; </w:t>
      </w:r>
      <w:hyperlink w:anchor="SENTENCIA_2024_134" w:history="1">
        <w:r w:rsidRPr="00CD105B">
          <w:rPr>
            <w:rStyle w:val="TextoNormalCaracter"/>
          </w:rPr>
          <w:t>134/2024</w:t>
        </w:r>
      </w:hyperlink>
      <w:r w:rsidRPr="00CD105B">
        <w:rPr>
          <w:rStyle w:val="TextoNormalCaracter"/>
        </w:rPr>
        <w:t xml:space="preserve">, f. 4; </w:t>
      </w:r>
      <w:hyperlink w:anchor="SENTENCIA_2024_152" w:history="1">
        <w:r w:rsidRPr="00CD105B">
          <w:rPr>
            <w:rStyle w:val="TextoNormalCaracter"/>
          </w:rPr>
          <w:t>152/2024</w:t>
        </w:r>
      </w:hyperlink>
      <w:r w:rsidRPr="00CD105B">
        <w:rPr>
          <w:rStyle w:val="TextoNormalCaracter"/>
        </w:rPr>
        <w:t>, ff. 2 y 4.</w:t>
      </w:r>
    </w:p>
    <w:p w14:paraId="58C29DE7" w14:textId="517E623F"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Sentencias </w:t>
      </w:r>
      <w:hyperlink w:anchor="SENTENCIA_2024_105" w:history="1">
        <w:r w:rsidRPr="00CD105B">
          <w:rPr>
            <w:rStyle w:val="TextoNormalCaracter"/>
          </w:rPr>
          <w:t>105/2024</w:t>
        </w:r>
      </w:hyperlink>
      <w:r w:rsidRPr="00CD105B">
        <w:rPr>
          <w:rStyle w:val="TextoNormalCaracter"/>
        </w:rPr>
        <w:t xml:space="preserve">, ff. 4 y 5; </w:t>
      </w:r>
      <w:hyperlink w:anchor="SENTENCIA_2024_107" w:history="1">
        <w:r w:rsidRPr="00CD105B">
          <w:rPr>
            <w:rStyle w:val="TextoNormalCaracter"/>
          </w:rPr>
          <w:t>107/2024</w:t>
        </w:r>
      </w:hyperlink>
      <w:r w:rsidRPr="00CD105B">
        <w:rPr>
          <w:rStyle w:val="TextoNormalCaracter"/>
        </w:rPr>
        <w:t xml:space="preserve">, ff. 3 a 5; </w:t>
      </w:r>
      <w:hyperlink w:anchor="SENTENCIA_2024_108" w:history="1">
        <w:r w:rsidRPr="00CD105B">
          <w:rPr>
            <w:rStyle w:val="TextoNormalCaracter"/>
          </w:rPr>
          <w:t>108/2024</w:t>
        </w:r>
      </w:hyperlink>
      <w:r w:rsidRPr="00CD105B">
        <w:rPr>
          <w:rStyle w:val="TextoNormalCaracter"/>
        </w:rPr>
        <w:t xml:space="preserve">, ff. 2, 4 y 5; </w:t>
      </w:r>
      <w:hyperlink w:anchor="SENTENCIA_2024_115" w:history="1">
        <w:r w:rsidRPr="00CD105B">
          <w:rPr>
            <w:rStyle w:val="TextoNormalCaracter"/>
          </w:rPr>
          <w:t>115/2024</w:t>
        </w:r>
      </w:hyperlink>
      <w:r w:rsidRPr="00CD105B">
        <w:rPr>
          <w:rStyle w:val="TextoNormalCaracter"/>
        </w:rPr>
        <w:t xml:space="preserve">, f. 2, VP I, VP II; </w:t>
      </w:r>
      <w:hyperlink w:anchor="SENTENCIA_2024_117" w:history="1">
        <w:r w:rsidRPr="00CD105B">
          <w:rPr>
            <w:rStyle w:val="TextoNormalCaracter"/>
          </w:rPr>
          <w:t>117/2024</w:t>
        </w:r>
      </w:hyperlink>
      <w:r w:rsidRPr="00CD105B">
        <w:rPr>
          <w:rStyle w:val="TextoNormalCaracter"/>
        </w:rPr>
        <w:t xml:space="preserve">, f. 4; </w:t>
      </w:r>
      <w:hyperlink w:anchor="SENTENCIA_2024_118" w:history="1">
        <w:r w:rsidRPr="00CD105B">
          <w:rPr>
            <w:rStyle w:val="TextoNormalCaracter"/>
          </w:rPr>
          <w:t>118/2024</w:t>
        </w:r>
      </w:hyperlink>
      <w:r w:rsidRPr="00CD105B">
        <w:rPr>
          <w:rStyle w:val="TextoNormalCaracter"/>
        </w:rPr>
        <w:t xml:space="preserve">, ff. 5 y 6; </w:t>
      </w:r>
      <w:hyperlink w:anchor="SENTENCIA_2024_122" w:history="1">
        <w:r w:rsidRPr="00CD105B">
          <w:rPr>
            <w:rStyle w:val="TextoNormalCaracter"/>
          </w:rPr>
          <w:t>122/2024</w:t>
        </w:r>
      </w:hyperlink>
      <w:r w:rsidRPr="00CD105B">
        <w:rPr>
          <w:rStyle w:val="TextoNormalCaracter"/>
        </w:rPr>
        <w:t xml:space="preserve">, f. 4; </w:t>
      </w:r>
      <w:hyperlink w:anchor="SENTENCIA_2024_124" w:history="1">
        <w:r w:rsidRPr="00CD105B">
          <w:rPr>
            <w:rStyle w:val="TextoNormalCaracter"/>
          </w:rPr>
          <w:t>124/2024</w:t>
        </w:r>
      </w:hyperlink>
      <w:r w:rsidRPr="00CD105B">
        <w:rPr>
          <w:rStyle w:val="TextoNormalCaracter"/>
        </w:rPr>
        <w:t xml:space="preserve">, ff. 2 y 3; </w:t>
      </w:r>
      <w:hyperlink w:anchor="SENTENCIA_2024_126" w:history="1">
        <w:r w:rsidRPr="00CD105B">
          <w:rPr>
            <w:rStyle w:val="TextoNormalCaracter"/>
          </w:rPr>
          <w:t>126/2024</w:t>
        </w:r>
      </w:hyperlink>
      <w:r w:rsidRPr="00CD105B">
        <w:rPr>
          <w:rStyle w:val="TextoNormalCaracter"/>
        </w:rPr>
        <w:t xml:space="preserve">, f. 3, VP; </w:t>
      </w:r>
      <w:hyperlink w:anchor="SENTENCIA_2024_144" w:history="1">
        <w:r w:rsidRPr="00CD105B">
          <w:rPr>
            <w:rStyle w:val="TextoNormalCaracter"/>
          </w:rPr>
          <w:t>144/2024</w:t>
        </w:r>
      </w:hyperlink>
      <w:r w:rsidRPr="00CD105B">
        <w:rPr>
          <w:rStyle w:val="TextoNormalCaracter"/>
        </w:rPr>
        <w:t xml:space="preserve">, ff. 5 y 6; </w:t>
      </w:r>
      <w:hyperlink w:anchor="SENTENCIA_2024_145" w:history="1">
        <w:r w:rsidRPr="00CD105B">
          <w:rPr>
            <w:rStyle w:val="TextoNormalCaracter"/>
          </w:rPr>
          <w:t>145/2024</w:t>
        </w:r>
      </w:hyperlink>
      <w:r w:rsidRPr="00CD105B">
        <w:rPr>
          <w:rStyle w:val="TextoNormalCaracter"/>
        </w:rPr>
        <w:t xml:space="preserve">, ff. 3 a 6; </w:t>
      </w:r>
      <w:hyperlink w:anchor="SENTENCIA_2024_146" w:history="1">
        <w:r w:rsidRPr="00CD105B">
          <w:rPr>
            <w:rStyle w:val="TextoNormalCaracter"/>
          </w:rPr>
          <w:t>146/2024</w:t>
        </w:r>
      </w:hyperlink>
      <w:r w:rsidRPr="00CD105B">
        <w:rPr>
          <w:rStyle w:val="TextoNormalCaracter"/>
        </w:rPr>
        <w:t xml:space="preserve">, f. 7; </w:t>
      </w:r>
      <w:hyperlink w:anchor="SENTENCIA_2024_148" w:history="1">
        <w:r w:rsidRPr="00CD105B">
          <w:rPr>
            <w:rStyle w:val="TextoNormalCaracter"/>
          </w:rPr>
          <w:t>148/2024</w:t>
        </w:r>
      </w:hyperlink>
      <w:r w:rsidRPr="00CD105B">
        <w:rPr>
          <w:rStyle w:val="TextoNormalCaracter"/>
        </w:rPr>
        <w:t>, f. 4.</w:t>
      </w:r>
    </w:p>
    <w:p w14:paraId="5DCFAD5F" w14:textId="557F98BD" w:rsidR="00CD105B" w:rsidRPr="00CD105B" w:rsidRDefault="00CD105B" w:rsidP="00CD105B">
      <w:pPr>
        <w:pStyle w:val="TextoNormalSangraFrancesa"/>
        <w:rPr>
          <w:rStyle w:val="TextoNormalCaracter"/>
        </w:rPr>
      </w:pPr>
      <w:bookmarkStart w:id="667" w:name="DESCRIPTORALFABETICO44"/>
      <w:r w:rsidRPr="00CD105B">
        <w:rPr>
          <w:rStyle w:val="TextoNormalNegritaCaracter"/>
        </w:rPr>
        <w:t>Derecho a la tutela judicial sin indefensión</w:t>
      </w:r>
      <w:bookmarkEnd w:id="667"/>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 7; </w:t>
      </w:r>
      <w:hyperlink w:anchor="SENTENCIA_2024_98" w:history="1">
        <w:r w:rsidRPr="00CD105B">
          <w:rPr>
            <w:rStyle w:val="TextoNormalCaracter"/>
          </w:rPr>
          <w:t>98/2024</w:t>
        </w:r>
      </w:hyperlink>
      <w:r w:rsidRPr="00CD105B">
        <w:rPr>
          <w:rStyle w:val="TextoNormalCaracter"/>
        </w:rPr>
        <w:t>, f. 7.</w:t>
      </w:r>
    </w:p>
    <w:p w14:paraId="37B3D2D2" w14:textId="7EEBF987"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Sentencias </w:t>
      </w:r>
      <w:hyperlink w:anchor="SENTENCIA_2024_100" w:history="1">
        <w:r w:rsidRPr="00CD105B">
          <w:rPr>
            <w:rStyle w:val="TextoNormalCaracter"/>
          </w:rPr>
          <w:t>100/2024</w:t>
        </w:r>
      </w:hyperlink>
      <w:r w:rsidRPr="00CD105B">
        <w:rPr>
          <w:rStyle w:val="TextoNormalCaracter"/>
        </w:rPr>
        <w:t xml:space="preserve">, f. 7; </w:t>
      </w:r>
      <w:hyperlink w:anchor="SENTENCIA_2024_152" w:history="1">
        <w:r w:rsidRPr="00CD105B">
          <w:rPr>
            <w:rStyle w:val="TextoNormalCaracter"/>
          </w:rPr>
          <w:t>152/2024</w:t>
        </w:r>
      </w:hyperlink>
      <w:r w:rsidRPr="00CD105B">
        <w:rPr>
          <w:rStyle w:val="TextoNormalCaracter"/>
        </w:rPr>
        <w:t>, f. 5.</w:t>
      </w:r>
    </w:p>
    <w:p w14:paraId="24AAEA7E" w14:textId="0ED8A339"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Sentencias </w:t>
      </w:r>
      <w:hyperlink w:anchor="SENTENCIA_2024_104" w:history="1">
        <w:r w:rsidRPr="00CD105B">
          <w:rPr>
            <w:rStyle w:val="TextoNormalCaracter"/>
          </w:rPr>
          <w:t>104/2024</w:t>
        </w:r>
      </w:hyperlink>
      <w:r w:rsidRPr="00CD105B">
        <w:rPr>
          <w:rStyle w:val="TextoNormalCaracter"/>
        </w:rPr>
        <w:t xml:space="preserve">, f. 2; </w:t>
      </w:r>
      <w:hyperlink w:anchor="SENTENCIA_2024_123" w:history="1">
        <w:r w:rsidRPr="00CD105B">
          <w:rPr>
            <w:rStyle w:val="TextoNormalCaracter"/>
          </w:rPr>
          <w:t>123/2024</w:t>
        </w:r>
      </w:hyperlink>
      <w:r w:rsidRPr="00CD105B">
        <w:rPr>
          <w:rStyle w:val="TextoNormalCaracter"/>
        </w:rPr>
        <w:t xml:space="preserve">, ff. 2 y 3; </w:t>
      </w:r>
      <w:hyperlink w:anchor="SENTENCIA_2024_144" w:history="1">
        <w:r w:rsidRPr="00CD105B">
          <w:rPr>
            <w:rStyle w:val="TextoNormalCaracter"/>
          </w:rPr>
          <w:t>144/2024</w:t>
        </w:r>
      </w:hyperlink>
      <w:r w:rsidRPr="00CD105B">
        <w:rPr>
          <w:rStyle w:val="TextoNormalCaracter"/>
        </w:rPr>
        <w:t>, ff. 5 y 6.</w:t>
      </w:r>
    </w:p>
    <w:p w14:paraId="6F88CA88" w14:textId="77777777" w:rsidR="00CD105B" w:rsidRPr="00CD105B" w:rsidRDefault="00CD105B" w:rsidP="00CD105B">
      <w:pPr>
        <w:pStyle w:val="TextoNormalSangraFrancesa"/>
        <w:rPr>
          <w:rStyle w:val="TextoNormalCaracter"/>
        </w:rPr>
      </w:pPr>
      <w:bookmarkStart w:id="668" w:name="DESCRIPTORALFABETICO45"/>
      <w:r w:rsidRPr="00CD105B">
        <w:rPr>
          <w:rStyle w:val="TextoNormalNegritaCaracter"/>
        </w:rPr>
        <w:t>Derecho a la vida</w:t>
      </w:r>
      <w:bookmarkEnd w:id="668"/>
      <w:r w:rsidRPr="00CD105B">
        <w:rPr>
          <w:rStyle w:val="TextoNormalCaracter"/>
        </w:rPr>
        <w:t xml:space="preserve">, </w:t>
      </w:r>
    </w:p>
    <w:p w14:paraId="38A736B9" w14:textId="7A37F25B"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 </w:t>
      </w:r>
      <w:hyperlink w:anchor="SENTENCIA_2024_144" w:history="1">
        <w:r w:rsidRPr="00CD105B">
          <w:rPr>
            <w:rStyle w:val="TextoNormalCaracter"/>
          </w:rPr>
          <w:t>144/2024</w:t>
        </w:r>
      </w:hyperlink>
      <w:r w:rsidRPr="00CD105B">
        <w:rPr>
          <w:rStyle w:val="TextoNormalCaracter"/>
        </w:rPr>
        <w:t>, ff. 5 y 6.</w:t>
      </w:r>
    </w:p>
    <w:p w14:paraId="7C5AC2F7" w14:textId="2A786C2E" w:rsidR="00CD105B" w:rsidRPr="00CD105B" w:rsidRDefault="00CD105B" w:rsidP="00CD105B">
      <w:pPr>
        <w:pStyle w:val="TextoNormalSangraFrancesa"/>
        <w:rPr>
          <w:rStyle w:val="TextoNormalCaracter"/>
        </w:rPr>
      </w:pPr>
      <w:bookmarkStart w:id="669" w:name="DESCRIPTORALFABETICO23"/>
      <w:r w:rsidRPr="00CD105B">
        <w:rPr>
          <w:rStyle w:val="TextoNormalNegritaCaracter"/>
        </w:rPr>
        <w:t>Derecho a no ser sometido a torturas o tratos inhumanos o degradantes</w:t>
      </w:r>
      <w:bookmarkEnd w:id="669"/>
      <w:r w:rsidRPr="00CD105B">
        <w:rPr>
          <w:rStyle w:val="TextoNormalCaracter"/>
        </w:rPr>
        <w:t xml:space="preserve">, Sentencia </w:t>
      </w:r>
      <w:hyperlink w:anchor="SENTENCIA_2024_144" w:history="1">
        <w:r w:rsidRPr="00CD105B">
          <w:rPr>
            <w:rStyle w:val="TextoNormalCaracter"/>
          </w:rPr>
          <w:t>144/2024</w:t>
        </w:r>
      </w:hyperlink>
      <w:r w:rsidRPr="00CD105B">
        <w:rPr>
          <w:rStyle w:val="TextoNormalCaracter"/>
        </w:rPr>
        <w:t>, ff. 5 y 6.</w:t>
      </w:r>
    </w:p>
    <w:p w14:paraId="349D9491" w14:textId="77777777" w:rsidR="00CD105B" w:rsidRPr="00CD105B" w:rsidRDefault="00CD105B" w:rsidP="00CD105B">
      <w:pPr>
        <w:pStyle w:val="TextoNormalSangraFrancesa"/>
        <w:rPr>
          <w:rStyle w:val="TextoNormalCaracter"/>
        </w:rPr>
      </w:pPr>
      <w:bookmarkStart w:id="670" w:name="DESCRIPTORALFABETICO50"/>
      <w:r w:rsidRPr="00CD105B">
        <w:rPr>
          <w:rStyle w:val="TextoNormalNegritaCaracter"/>
        </w:rPr>
        <w:t>Derecho a participar en los asuntos públicos</w:t>
      </w:r>
      <w:bookmarkEnd w:id="670"/>
      <w:r w:rsidRPr="00CD105B">
        <w:rPr>
          <w:rStyle w:val="TextoNormalCaracter"/>
        </w:rPr>
        <w:t xml:space="preserve">, </w:t>
      </w:r>
    </w:p>
    <w:p w14:paraId="21DF2644" w14:textId="0CE2B872"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 </w:t>
      </w:r>
      <w:hyperlink w:anchor="SENTENCIA_2024_152" w:history="1">
        <w:r w:rsidRPr="00CD105B">
          <w:rPr>
            <w:rStyle w:val="TextoNormalCaracter"/>
          </w:rPr>
          <w:t>152/2024</w:t>
        </w:r>
      </w:hyperlink>
      <w:r w:rsidRPr="00CD105B">
        <w:rPr>
          <w:rStyle w:val="TextoNormalCaracter"/>
        </w:rPr>
        <w:t>, f. 3.</w:t>
      </w:r>
    </w:p>
    <w:p w14:paraId="27B2C7E8" w14:textId="77798A50"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Sentencias </w:t>
      </w:r>
      <w:hyperlink w:anchor="SENTENCIA_2024_109" w:history="1">
        <w:r w:rsidRPr="00CD105B">
          <w:rPr>
            <w:rStyle w:val="TextoNormalCaracter"/>
          </w:rPr>
          <w:t>109/2024</w:t>
        </w:r>
      </w:hyperlink>
      <w:r w:rsidRPr="00CD105B">
        <w:rPr>
          <w:rStyle w:val="TextoNormalCaracter"/>
        </w:rPr>
        <w:t xml:space="preserve">, f. 3; </w:t>
      </w:r>
      <w:hyperlink w:anchor="SENTENCIA_2024_110" w:history="1">
        <w:r w:rsidRPr="00CD105B">
          <w:rPr>
            <w:rStyle w:val="TextoNormalCaracter"/>
          </w:rPr>
          <w:t>110/2024</w:t>
        </w:r>
      </w:hyperlink>
      <w:r w:rsidRPr="00CD105B">
        <w:rPr>
          <w:rStyle w:val="TextoNormalCaracter"/>
        </w:rPr>
        <w:t xml:space="preserve">, ff. 1 y 3; </w:t>
      </w:r>
      <w:hyperlink w:anchor="SENTENCIA_2024_154" w:history="1">
        <w:r w:rsidRPr="00CD105B">
          <w:rPr>
            <w:rStyle w:val="TextoNormalCaracter"/>
          </w:rPr>
          <w:t>154/2024</w:t>
        </w:r>
      </w:hyperlink>
      <w:r w:rsidRPr="00CD105B">
        <w:rPr>
          <w:rStyle w:val="TextoNormalCaracter"/>
        </w:rPr>
        <w:t xml:space="preserve">, f. único; </w:t>
      </w:r>
      <w:hyperlink w:anchor="SENTENCIA_2024_156" w:history="1">
        <w:r w:rsidRPr="00CD105B">
          <w:rPr>
            <w:rStyle w:val="TextoNormalCaracter"/>
          </w:rPr>
          <w:t>156/2024</w:t>
        </w:r>
      </w:hyperlink>
      <w:r w:rsidRPr="00CD105B">
        <w:rPr>
          <w:rStyle w:val="TextoNormalCaracter"/>
        </w:rPr>
        <w:t>, f. único.</w:t>
      </w:r>
    </w:p>
    <w:p w14:paraId="7470B2C6" w14:textId="77777777" w:rsidR="00CD105B" w:rsidRPr="00CD105B" w:rsidRDefault="00CD105B" w:rsidP="00CD105B">
      <w:pPr>
        <w:pStyle w:val="TextoNormalSangraFrancesa"/>
        <w:rPr>
          <w:rStyle w:val="TextoNormalCaracter"/>
        </w:rPr>
      </w:pPr>
      <w:bookmarkStart w:id="671" w:name="DESCRIPTORALFABETICO53"/>
      <w:r w:rsidRPr="00CD105B">
        <w:rPr>
          <w:rStyle w:val="TextoNormalNegritaCaracter"/>
        </w:rPr>
        <w:t>Derecho a un proceso con todas las garantías</w:t>
      </w:r>
      <w:bookmarkEnd w:id="671"/>
      <w:r w:rsidRPr="00CD105B">
        <w:rPr>
          <w:rStyle w:val="TextoNormalCaracter"/>
        </w:rPr>
        <w:t xml:space="preserve">, </w:t>
      </w:r>
    </w:p>
    <w:p w14:paraId="28E882D1" w14:textId="44985062"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 </w:t>
      </w:r>
      <w:hyperlink w:anchor="SENTENCIA_2024_101" w:history="1">
        <w:r w:rsidRPr="00CD105B">
          <w:rPr>
            <w:rStyle w:val="TextoNormalCaracter"/>
          </w:rPr>
          <w:t>101/2024</w:t>
        </w:r>
      </w:hyperlink>
      <w:r w:rsidRPr="00CD105B">
        <w:rPr>
          <w:rStyle w:val="TextoNormalCaracter"/>
        </w:rPr>
        <w:t>, f. 5.</w:t>
      </w:r>
    </w:p>
    <w:p w14:paraId="023AA680" w14:textId="4F86327A"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 </w:t>
      </w:r>
      <w:hyperlink w:anchor="SENTENCIA_2024_124" w:history="1">
        <w:r w:rsidRPr="00CD105B">
          <w:rPr>
            <w:rStyle w:val="TextoNormalCaracter"/>
          </w:rPr>
          <w:t>124/2024</w:t>
        </w:r>
      </w:hyperlink>
      <w:r w:rsidRPr="00CD105B">
        <w:rPr>
          <w:rStyle w:val="TextoNormalCaracter"/>
        </w:rPr>
        <w:t>, ff. 2 y 3.</w:t>
      </w:r>
    </w:p>
    <w:p w14:paraId="534DCEF6" w14:textId="77777777" w:rsidR="00CD105B" w:rsidRPr="00CD105B" w:rsidRDefault="00CD105B" w:rsidP="00CD105B">
      <w:pPr>
        <w:pStyle w:val="TextoNormalSangraFrancesa"/>
        <w:rPr>
          <w:rStyle w:val="TextoNormalCaracter"/>
        </w:rPr>
      </w:pPr>
      <w:bookmarkStart w:id="672" w:name="DESCRIPTORALFABETICO57"/>
      <w:r w:rsidRPr="00CD105B">
        <w:rPr>
          <w:rStyle w:val="TextoNormalNegritaCaracter"/>
        </w:rPr>
        <w:t>Derecho a un proceso sin dilaciones indebidas</w:t>
      </w:r>
      <w:bookmarkEnd w:id="672"/>
      <w:r w:rsidRPr="00CD105B">
        <w:rPr>
          <w:rStyle w:val="TextoNormalCaracter"/>
        </w:rPr>
        <w:t xml:space="preserve">, </w:t>
      </w:r>
    </w:p>
    <w:p w14:paraId="5D62FE2D" w14:textId="52290341"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 </w:t>
      </w:r>
      <w:hyperlink w:anchor="SENTENCIA_2024_135" w:history="1">
        <w:r w:rsidRPr="00CD105B">
          <w:rPr>
            <w:rStyle w:val="TextoNormalCaracter"/>
          </w:rPr>
          <w:t>135/2024</w:t>
        </w:r>
      </w:hyperlink>
      <w:r w:rsidRPr="00CD105B">
        <w:rPr>
          <w:rStyle w:val="TextoNormalCaracter"/>
        </w:rPr>
        <w:t>, f. 4.</w:t>
      </w:r>
    </w:p>
    <w:p w14:paraId="58ABA5E0" w14:textId="77777777" w:rsidR="00CD105B" w:rsidRPr="00CD105B" w:rsidRDefault="00CD105B" w:rsidP="00CD105B">
      <w:pPr>
        <w:pStyle w:val="TextoNormalSangraFrancesa"/>
        <w:rPr>
          <w:rStyle w:val="TextoNormalCaracter"/>
        </w:rPr>
      </w:pPr>
      <w:bookmarkStart w:id="673" w:name="DESCRIPTORALFABETICO64"/>
      <w:r w:rsidRPr="00CD105B">
        <w:rPr>
          <w:rStyle w:val="TextoNormalNegritaCaracter"/>
        </w:rPr>
        <w:t>Derecho al honor</w:t>
      </w:r>
      <w:bookmarkEnd w:id="673"/>
      <w:r w:rsidRPr="00CD105B">
        <w:rPr>
          <w:rStyle w:val="TextoNormalCaracter"/>
        </w:rPr>
        <w:t xml:space="preserve">, </w:t>
      </w:r>
    </w:p>
    <w:p w14:paraId="53F8134B" w14:textId="2F49A172"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 </w:t>
      </w:r>
      <w:hyperlink w:anchor="SENTENCIA_2024_101" w:history="1">
        <w:r w:rsidRPr="00CD105B">
          <w:rPr>
            <w:rStyle w:val="TextoNormalCaracter"/>
          </w:rPr>
          <w:t>101/2024</w:t>
        </w:r>
      </w:hyperlink>
      <w:r w:rsidRPr="00CD105B">
        <w:rPr>
          <w:rStyle w:val="TextoNormalCaracter"/>
        </w:rPr>
        <w:t>, f. 5.</w:t>
      </w:r>
    </w:p>
    <w:p w14:paraId="2976DE67" w14:textId="6F0B1B8F" w:rsidR="00CD105B" w:rsidRPr="00CD105B" w:rsidRDefault="00CD105B" w:rsidP="00CD105B">
      <w:pPr>
        <w:pStyle w:val="TextoNormalSangraFrancesa"/>
        <w:rPr>
          <w:rStyle w:val="TextoNormalCaracter"/>
        </w:rPr>
      </w:pPr>
      <w:bookmarkStart w:id="674" w:name="DESCRIPTORALFABETICO62"/>
      <w:r w:rsidRPr="00CD105B">
        <w:rPr>
          <w:rStyle w:val="TextoNormalNegritaCaracter"/>
        </w:rPr>
        <w:t>Derecho al juez predeterminado por la ley</w:t>
      </w:r>
      <w:bookmarkEnd w:id="674"/>
      <w:r w:rsidRPr="00CD105B">
        <w:rPr>
          <w:rStyle w:val="TextoNormalCaracter"/>
        </w:rPr>
        <w:t xml:space="preserve">, Sentencia </w:t>
      </w:r>
      <w:hyperlink w:anchor="SENTENCIA_2024_107" w:history="1">
        <w:r w:rsidRPr="00CD105B">
          <w:rPr>
            <w:rStyle w:val="TextoNormalCaracter"/>
          </w:rPr>
          <w:t>107/2024</w:t>
        </w:r>
      </w:hyperlink>
      <w:r w:rsidRPr="00CD105B">
        <w:rPr>
          <w:rStyle w:val="TextoNormalCaracter"/>
        </w:rPr>
        <w:t>, f. 4.</w:t>
      </w:r>
    </w:p>
    <w:p w14:paraId="029C57F5" w14:textId="17C25D63" w:rsidR="00CD105B" w:rsidRPr="00CD105B" w:rsidRDefault="00CD105B" w:rsidP="00CD105B">
      <w:pPr>
        <w:pStyle w:val="TextoNormalSangraFrancesa"/>
        <w:rPr>
          <w:rStyle w:val="TextoNormalCaracter"/>
        </w:rPr>
      </w:pPr>
      <w:r w:rsidRPr="00CD105B">
        <w:rPr>
          <w:rStyle w:val="TextoNormalCursivaCaracter"/>
        </w:rPr>
        <w:t xml:space="preserve">    Doctrina constitucional, </w:t>
      </w:r>
      <w:r w:rsidRPr="00CD105B">
        <w:rPr>
          <w:rStyle w:val="TextoNormalCaracter"/>
        </w:rPr>
        <w:t xml:space="preserve">Sentencia </w:t>
      </w:r>
      <w:hyperlink w:anchor="SENTENCIA_2024_128" w:history="1">
        <w:r w:rsidRPr="00CD105B">
          <w:rPr>
            <w:rStyle w:val="TextoNormalCaracter"/>
          </w:rPr>
          <w:t>128/2024</w:t>
        </w:r>
      </w:hyperlink>
      <w:r w:rsidRPr="00CD105B">
        <w:rPr>
          <w:rStyle w:val="TextoNormalCaracter"/>
        </w:rPr>
        <w:t>, f. 3.</w:t>
      </w:r>
    </w:p>
    <w:p w14:paraId="71B50C57" w14:textId="0E8C1EBD"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Sentencias </w:t>
      </w:r>
      <w:hyperlink w:anchor="SENTENCIA_2024_96" w:history="1">
        <w:r w:rsidRPr="00CD105B">
          <w:rPr>
            <w:rStyle w:val="TextoNormalCaracter"/>
          </w:rPr>
          <w:t>96/2024</w:t>
        </w:r>
      </w:hyperlink>
      <w:r w:rsidRPr="00CD105B">
        <w:rPr>
          <w:rStyle w:val="TextoNormalCaracter"/>
        </w:rPr>
        <w:t xml:space="preserve">, f. 3; </w:t>
      </w:r>
      <w:hyperlink w:anchor="SENTENCIA_2024_102" w:history="1">
        <w:r w:rsidRPr="00CD105B">
          <w:rPr>
            <w:rStyle w:val="TextoNormalCaracter"/>
          </w:rPr>
          <w:t>102/2024</w:t>
        </w:r>
      </w:hyperlink>
      <w:r w:rsidRPr="00CD105B">
        <w:rPr>
          <w:rStyle w:val="TextoNormalCaracter"/>
        </w:rPr>
        <w:t>, f. 3.</w:t>
      </w:r>
    </w:p>
    <w:p w14:paraId="017B959E" w14:textId="188E6B25"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 </w:t>
      </w:r>
      <w:hyperlink w:anchor="SENTENCIA_2024_128" w:history="1">
        <w:r w:rsidRPr="00CD105B">
          <w:rPr>
            <w:rStyle w:val="TextoNormalCaracter"/>
          </w:rPr>
          <w:t>128/2024</w:t>
        </w:r>
      </w:hyperlink>
      <w:r w:rsidRPr="00CD105B">
        <w:rPr>
          <w:rStyle w:val="TextoNormalCaracter"/>
        </w:rPr>
        <w:t>, f. 4 a 6.</w:t>
      </w:r>
    </w:p>
    <w:p w14:paraId="5DB04A8E" w14:textId="77777777" w:rsidR="00CD105B" w:rsidRPr="00CD105B" w:rsidRDefault="00CD105B" w:rsidP="00CD105B">
      <w:pPr>
        <w:pStyle w:val="TextoNormalSangraFrancesa"/>
        <w:rPr>
          <w:rStyle w:val="TextoNormalCaracter"/>
        </w:rPr>
      </w:pPr>
      <w:bookmarkStart w:id="675" w:name="DESCRIPTORALFABETICO32"/>
      <w:r w:rsidRPr="00CD105B">
        <w:rPr>
          <w:rStyle w:val="TextoNormalNegritaCaracter"/>
        </w:rPr>
        <w:t>Derecho de acceso a la jurisdicción</w:t>
      </w:r>
      <w:bookmarkEnd w:id="675"/>
      <w:r w:rsidRPr="00CD105B">
        <w:rPr>
          <w:rStyle w:val="TextoNormalCaracter"/>
        </w:rPr>
        <w:t xml:space="preserve">, </w:t>
      </w:r>
    </w:p>
    <w:p w14:paraId="6D2BA472" w14:textId="0891BE06"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 </w:t>
      </w:r>
      <w:hyperlink w:anchor="SENTENCIA_2024_116" w:history="1">
        <w:r w:rsidRPr="00CD105B">
          <w:rPr>
            <w:rStyle w:val="TextoNormalCaracter"/>
          </w:rPr>
          <w:t>116/2024</w:t>
        </w:r>
      </w:hyperlink>
      <w:r w:rsidRPr="00CD105B">
        <w:rPr>
          <w:rStyle w:val="TextoNormalCaracter"/>
        </w:rPr>
        <w:t>, f. 3.</w:t>
      </w:r>
    </w:p>
    <w:p w14:paraId="5C1DE12E" w14:textId="2F1BA320"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 </w:t>
      </w:r>
      <w:hyperlink w:anchor="SENTENCIA_2024_118" w:history="1">
        <w:r w:rsidRPr="00CD105B">
          <w:rPr>
            <w:rStyle w:val="TextoNormalCaracter"/>
          </w:rPr>
          <w:t>118/2024</w:t>
        </w:r>
      </w:hyperlink>
      <w:r w:rsidRPr="00CD105B">
        <w:rPr>
          <w:rStyle w:val="TextoNormalCaracter"/>
        </w:rPr>
        <w:t>, ff. 5 y 6.</w:t>
      </w:r>
    </w:p>
    <w:p w14:paraId="319FDBDC" w14:textId="77777777" w:rsidR="00CD105B" w:rsidRPr="00CD105B" w:rsidRDefault="00CD105B" w:rsidP="00CD105B">
      <w:pPr>
        <w:pStyle w:val="TextoNormalSangraFrancesa"/>
        <w:rPr>
          <w:rStyle w:val="TextoNormalCaracter"/>
        </w:rPr>
      </w:pPr>
      <w:bookmarkStart w:id="676" w:name="DESCRIPTORALFABETICO34"/>
      <w:r w:rsidRPr="00CD105B">
        <w:rPr>
          <w:rStyle w:val="TextoNormalNegritaCaracter"/>
        </w:rPr>
        <w:t>Derecho de acceso al recurso legal</w:t>
      </w:r>
      <w:bookmarkEnd w:id="676"/>
      <w:r w:rsidRPr="00CD105B">
        <w:rPr>
          <w:rStyle w:val="TextoNormalCaracter"/>
        </w:rPr>
        <w:t xml:space="preserve">, </w:t>
      </w:r>
    </w:p>
    <w:p w14:paraId="325D5891" w14:textId="64288F8D"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 </w:t>
      </w:r>
      <w:hyperlink w:anchor="SENTENCIA_2024_116" w:history="1">
        <w:r w:rsidRPr="00CD105B">
          <w:rPr>
            <w:rStyle w:val="TextoNormalCaracter"/>
          </w:rPr>
          <w:t>116/2024</w:t>
        </w:r>
      </w:hyperlink>
      <w:r w:rsidRPr="00CD105B">
        <w:rPr>
          <w:rStyle w:val="TextoNormalCaracter"/>
        </w:rPr>
        <w:t>, f. 3.</w:t>
      </w:r>
    </w:p>
    <w:p w14:paraId="1BAA130B" w14:textId="77777777" w:rsidR="00CD105B" w:rsidRPr="00CD105B" w:rsidRDefault="00CD105B" w:rsidP="00CD105B">
      <w:pPr>
        <w:pStyle w:val="TextoNormalSangraFrancesa"/>
        <w:rPr>
          <w:rStyle w:val="TextoNormalCaracter"/>
        </w:rPr>
      </w:pPr>
      <w:bookmarkStart w:id="677" w:name="DESCRIPTORALFABETICO65"/>
      <w:r w:rsidRPr="00CD105B">
        <w:rPr>
          <w:rStyle w:val="TextoNormalNegritaCaracter"/>
        </w:rPr>
        <w:t>Derecho de asociación</w:t>
      </w:r>
      <w:bookmarkEnd w:id="677"/>
      <w:r w:rsidRPr="00CD105B">
        <w:rPr>
          <w:rStyle w:val="TextoNormalCaracter"/>
        </w:rPr>
        <w:t xml:space="preserve">, </w:t>
      </w:r>
    </w:p>
    <w:p w14:paraId="6A4E3066" w14:textId="2D3CCD05"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 </w:t>
      </w:r>
      <w:hyperlink w:anchor="SENTENCIA_2024_132" w:history="1">
        <w:r w:rsidRPr="00CD105B">
          <w:rPr>
            <w:rStyle w:val="TextoNormalCaracter"/>
          </w:rPr>
          <w:t>132/2024</w:t>
        </w:r>
      </w:hyperlink>
      <w:r w:rsidRPr="00CD105B">
        <w:rPr>
          <w:rStyle w:val="TextoNormalCaracter"/>
        </w:rPr>
        <w:t>, ff. 1 a 5.</w:t>
      </w:r>
    </w:p>
    <w:p w14:paraId="66CDF045" w14:textId="165FF10F" w:rsidR="00CD105B" w:rsidRPr="00CD105B" w:rsidRDefault="00CD105B" w:rsidP="00CD105B">
      <w:pPr>
        <w:pStyle w:val="TextoNormalSangraFrancesa"/>
        <w:rPr>
          <w:rStyle w:val="TextoNormalCaracter"/>
        </w:rPr>
      </w:pPr>
      <w:bookmarkStart w:id="678" w:name="DESCRIPTORALFABETICO66"/>
      <w:r w:rsidRPr="00CD105B">
        <w:rPr>
          <w:rStyle w:val="TextoNormalNegritaCaracter"/>
        </w:rPr>
        <w:t>Derecho de autoorganización</w:t>
      </w:r>
      <w:bookmarkEnd w:id="678"/>
      <w:r w:rsidRPr="00CD105B">
        <w:rPr>
          <w:rStyle w:val="TextoNormalCaracter"/>
        </w:rPr>
        <w:t xml:space="preserve">, Sentencia </w:t>
      </w:r>
      <w:hyperlink w:anchor="SENTENCIA_2024_132" w:history="1">
        <w:r w:rsidRPr="00CD105B">
          <w:rPr>
            <w:rStyle w:val="TextoNormalCaracter"/>
          </w:rPr>
          <w:t>132/2024</w:t>
        </w:r>
      </w:hyperlink>
      <w:r w:rsidRPr="00CD105B">
        <w:rPr>
          <w:rStyle w:val="TextoNormalCaracter"/>
        </w:rPr>
        <w:t>, ff. 1 a 4.</w:t>
      </w:r>
    </w:p>
    <w:p w14:paraId="0EF749F8" w14:textId="6E3132C7" w:rsidR="00CD105B" w:rsidRPr="00CD105B" w:rsidRDefault="00CD105B" w:rsidP="00CD105B">
      <w:pPr>
        <w:pStyle w:val="TextoNormalSangraFrancesa"/>
        <w:rPr>
          <w:rStyle w:val="TextoNormalCaracter"/>
        </w:rPr>
      </w:pPr>
      <w:bookmarkStart w:id="679" w:name="DESCRIPTORALFABETICO259"/>
      <w:r w:rsidRPr="00CD105B">
        <w:rPr>
          <w:rStyle w:val="TextoNormalNegritaCaracter"/>
        </w:rPr>
        <w:t>Derecho de la Unión Europea</w:t>
      </w:r>
      <w:bookmarkEnd w:id="679"/>
      <w:r w:rsidRPr="00CD105B">
        <w:rPr>
          <w:rStyle w:val="TextoNormalCaracter"/>
        </w:rPr>
        <w:t xml:space="preserve">, Sentencia </w:t>
      </w:r>
      <w:hyperlink w:anchor="SENTENCIA_2024_94" w:history="1">
        <w:r w:rsidRPr="00CD105B">
          <w:rPr>
            <w:rStyle w:val="TextoNormalCaracter"/>
          </w:rPr>
          <w:t>94/2024</w:t>
        </w:r>
      </w:hyperlink>
      <w:r w:rsidRPr="00CD105B">
        <w:rPr>
          <w:rStyle w:val="TextoNormalCaracter"/>
        </w:rPr>
        <w:t>, VP II.</w:t>
      </w:r>
    </w:p>
    <w:p w14:paraId="735FF9D2" w14:textId="4DB9424C" w:rsidR="00CD105B" w:rsidRPr="00CD105B" w:rsidRDefault="00CD105B" w:rsidP="00CD105B">
      <w:pPr>
        <w:pStyle w:val="TextoNormalSangraFrancesa"/>
        <w:rPr>
          <w:rStyle w:val="TextoNormalCaracter"/>
        </w:rPr>
      </w:pPr>
      <w:bookmarkStart w:id="680" w:name="DESCRIPTORALFABETICO51"/>
      <w:r w:rsidRPr="00CD105B">
        <w:rPr>
          <w:rStyle w:val="TextoNormalNegritaCaracter"/>
        </w:rPr>
        <w:t>Derecho de participación política</w:t>
      </w:r>
      <w:bookmarkEnd w:id="680"/>
      <w:r w:rsidRPr="00CD105B">
        <w:rPr>
          <w:rStyle w:val="TextoNormalCaracter"/>
        </w:rPr>
        <w:t xml:space="preserve">, Sentencia </w:t>
      </w:r>
      <w:hyperlink w:anchor="SENTENCIA_2024_143" w:history="1">
        <w:r w:rsidRPr="00CD105B">
          <w:rPr>
            <w:rStyle w:val="TextoNormalCaracter"/>
          </w:rPr>
          <w:t>143/2024</w:t>
        </w:r>
      </w:hyperlink>
      <w:r w:rsidRPr="00CD105B">
        <w:rPr>
          <w:rStyle w:val="TextoNormalCaracter"/>
        </w:rPr>
        <w:t>, VP.</w:t>
      </w:r>
    </w:p>
    <w:p w14:paraId="63F5E36D" w14:textId="0AC92FB2" w:rsidR="00CD105B" w:rsidRPr="00CD105B" w:rsidRDefault="00CD105B" w:rsidP="00CD105B">
      <w:pPr>
        <w:pStyle w:val="TextoNormalSangraFrancesa"/>
        <w:rPr>
          <w:rStyle w:val="TextoNormalCaracter"/>
        </w:rPr>
      </w:pPr>
      <w:bookmarkStart w:id="681" w:name="DESCRIPTORALFABETICO232"/>
      <w:r w:rsidRPr="00CD105B">
        <w:rPr>
          <w:rStyle w:val="TextoNormalNegritaCaracter"/>
        </w:rPr>
        <w:t>Derecho de propiedad</w:t>
      </w:r>
      <w:bookmarkEnd w:id="681"/>
      <w:r w:rsidRPr="00CD105B">
        <w:rPr>
          <w:rStyle w:val="TextoNormalCaracter"/>
        </w:rPr>
        <w:t xml:space="preserve">, Sentencia </w:t>
      </w:r>
      <w:hyperlink w:anchor="SENTENCIA_2024_120" w:history="1">
        <w:r w:rsidRPr="00CD105B">
          <w:rPr>
            <w:rStyle w:val="TextoNormalCaracter"/>
          </w:rPr>
          <w:t>120/2024</w:t>
        </w:r>
      </w:hyperlink>
      <w:r w:rsidRPr="00CD105B">
        <w:rPr>
          <w:rStyle w:val="TextoNormalCaracter"/>
        </w:rPr>
        <w:t>, f. 6, VP I, VP II.</w:t>
      </w:r>
    </w:p>
    <w:p w14:paraId="05A336F9" w14:textId="4F1FD77E" w:rsidR="00CD105B" w:rsidRPr="00CD105B" w:rsidRDefault="00CD105B" w:rsidP="00CD105B">
      <w:pPr>
        <w:pStyle w:val="TextoNormalSangraFrancesa"/>
        <w:rPr>
          <w:rStyle w:val="TextoNormalCaracter"/>
        </w:rPr>
      </w:pPr>
      <w:bookmarkStart w:id="682" w:name="DESCRIPTORALFABETICO67"/>
      <w:r w:rsidRPr="00CD105B">
        <w:rPr>
          <w:rStyle w:val="TextoNormalNegritaCaracter"/>
        </w:rPr>
        <w:t>Derecho de reunión</w:t>
      </w:r>
      <w:bookmarkEnd w:id="682"/>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ff. 4 y 5; </w:t>
      </w:r>
      <w:hyperlink w:anchor="SENTENCIA_2024_141" w:history="1">
        <w:r w:rsidRPr="00CD105B">
          <w:rPr>
            <w:rStyle w:val="TextoNormalCaracter"/>
          </w:rPr>
          <w:t>141/2024</w:t>
        </w:r>
      </w:hyperlink>
      <w:r w:rsidRPr="00CD105B">
        <w:rPr>
          <w:rStyle w:val="TextoNormalCaracter"/>
        </w:rPr>
        <w:t>, ff. 1 y 3.</w:t>
      </w:r>
    </w:p>
    <w:p w14:paraId="183B6729" w14:textId="20141D32" w:rsidR="00CD105B" w:rsidRPr="00CD105B" w:rsidRDefault="00CD105B" w:rsidP="00CD105B">
      <w:pPr>
        <w:pStyle w:val="TextoNormalSangraFrancesa"/>
        <w:rPr>
          <w:rStyle w:val="TextoNormalCaracter"/>
        </w:rPr>
      </w:pPr>
      <w:bookmarkStart w:id="683" w:name="DESCRIPTORALFABETICO224"/>
      <w:r w:rsidRPr="00CD105B">
        <w:rPr>
          <w:rStyle w:val="TextoNormalNegritaCaracter"/>
        </w:rPr>
        <w:t>Derechos de los titulares de cargos públicos de representación política</w:t>
      </w:r>
      <w:bookmarkEnd w:id="683"/>
      <w:r w:rsidRPr="00CD105B">
        <w:rPr>
          <w:rStyle w:val="TextoNormalCaracter"/>
        </w:rPr>
        <w:t xml:space="preserve">, Sentencias </w:t>
      </w:r>
      <w:hyperlink w:anchor="SENTENCIA_2024_109" w:history="1">
        <w:r w:rsidRPr="00CD105B">
          <w:rPr>
            <w:rStyle w:val="TextoNormalCaracter"/>
          </w:rPr>
          <w:t>109/2024</w:t>
        </w:r>
      </w:hyperlink>
      <w:r w:rsidRPr="00CD105B">
        <w:rPr>
          <w:rStyle w:val="TextoNormalCaracter"/>
        </w:rPr>
        <w:t xml:space="preserve">, ff. 1 y 3; </w:t>
      </w:r>
      <w:hyperlink w:anchor="SENTENCIA_2024_110" w:history="1">
        <w:r w:rsidRPr="00CD105B">
          <w:rPr>
            <w:rStyle w:val="TextoNormalCaracter"/>
          </w:rPr>
          <w:t>110/2024</w:t>
        </w:r>
      </w:hyperlink>
      <w:r w:rsidRPr="00CD105B">
        <w:rPr>
          <w:rStyle w:val="TextoNormalCaracter"/>
        </w:rPr>
        <w:t>, ff. 1 y 3.</w:t>
      </w:r>
    </w:p>
    <w:p w14:paraId="04BE6036" w14:textId="4E50B954" w:rsidR="00CD105B" w:rsidRPr="00CD105B" w:rsidRDefault="00CD105B" w:rsidP="00CD105B">
      <w:pPr>
        <w:pStyle w:val="TextoNormalSangraFrancesa"/>
        <w:rPr>
          <w:rStyle w:val="TextoNormalCaracter"/>
        </w:rPr>
      </w:pPr>
      <w:bookmarkStart w:id="684" w:name="DESCRIPTORALFABETICO185"/>
      <w:r w:rsidRPr="00CD105B">
        <w:rPr>
          <w:rStyle w:val="TextoNormalNegritaCaracter"/>
        </w:rPr>
        <w:t>Derechos parlamentarios</w:t>
      </w:r>
      <w:bookmarkEnd w:id="684"/>
      <w:r w:rsidRPr="00CD105B">
        <w:rPr>
          <w:rStyle w:val="TextoNormalCaracter"/>
        </w:rPr>
        <w:t xml:space="preserve">, Sentencias </w:t>
      </w:r>
      <w:hyperlink w:anchor="SENTENCIA_2024_109" w:history="1">
        <w:r w:rsidRPr="00CD105B">
          <w:rPr>
            <w:rStyle w:val="TextoNormalCaracter"/>
          </w:rPr>
          <w:t>109/2024</w:t>
        </w:r>
      </w:hyperlink>
      <w:r w:rsidRPr="00CD105B">
        <w:rPr>
          <w:rStyle w:val="TextoNormalCaracter"/>
        </w:rPr>
        <w:t xml:space="preserve">, ff.1 y 3; </w:t>
      </w:r>
      <w:hyperlink w:anchor="SENTENCIA_2024_110" w:history="1">
        <w:r w:rsidRPr="00CD105B">
          <w:rPr>
            <w:rStyle w:val="TextoNormalCaracter"/>
          </w:rPr>
          <w:t>110/2024</w:t>
        </w:r>
      </w:hyperlink>
      <w:r w:rsidRPr="00CD105B">
        <w:rPr>
          <w:rStyle w:val="TextoNormalCaracter"/>
        </w:rPr>
        <w:t>, ff. 1 y 3.</w:t>
      </w:r>
    </w:p>
    <w:p w14:paraId="058F4C04" w14:textId="6FFA73E6" w:rsidR="00CD105B" w:rsidRPr="00CD105B" w:rsidRDefault="00CD105B" w:rsidP="00CD105B">
      <w:pPr>
        <w:pStyle w:val="TextoNormalSangraFrancesa"/>
        <w:rPr>
          <w:rStyle w:val="TextoNormalCaracter"/>
        </w:rPr>
      </w:pPr>
      <w:bookmarkStart w:id="685" w:name="DESCRIPTORALFABETICO246"/>
      <w:r w:rsidRPr="00CD105B">
        <w:rPr>
          <w:rStyle w:val="TextoNormalNegritaCaracter"/>
        </w:rPr>
        <w:t>Desacuerdo en el ejercicio de la patria potestad</w:t>
      </w:r>
      <w:bookmarkEnd w:id="685"/>
      <w:r w:rsidRPr="00CD105B">
        <w:rPr>
          <w:rStyle w:val="TextoNormalCaracter"/>
        </w:rPr>
        <w:t xml:space="preserve">, Sentencia </w:t>
      </w:r>
      <w:hyperlink w:anchor="SENTENCIA_2024_106" w:history="1">
        <w:r w:rsidRPr="00CD105B">
          <w:rPr>
            <w:rStyle w:val="TextoNormalCaracter"/>
          </w:rPr>
          <w:t>106/2024</w:t>
        </w:r>
      </w:hyperlink>
      <w:r w:rsidRPr="00CD105B">
        <w:rPr>
          <w:rStyle w:val="TextoNormalCaracter"/>
        </w:rPr>
        <w:t>, f. 1.</w:t>
      </w:r>
    </w:p>
    <w:p w14:paraId="5E810FDF" w14:textId="727E01D6" w:rsidR="00CD105B" w:rsidRPr="00CD105B" w:rsidRDefault="00CD105B" w:rsidP="00CD105B">
      <w:pPr>
        <w:pStyle w:val="TextoNormalSangraFrancesa"/>
        <w:rPr>
          <w:rStyle w:val="TextoNormalCaracter"/>
        </w:rPr>
      </w:pPr>
      <w:bookmarkStart w:id="686" w:name="DESCRIPTORALFABETICO360"/>
      <w:r w:rsidRPr="00CD105B">
        <w:rPr>
          <w:rStyle w:val="TextoNormalNegritaCaracter"/>
        </w:rPr>
        <w:t>Desahucio</w:t>
      </w:r>
      <w:bookmarkEnd w:id="686"/>
      <w:r w:rsidRPr="00CD105B">
        <w:rPr>
          <w:rStyle w:val="TextoNormalCaracter"/>
        </w:rPr>
        <w:t xml:space="preserve">, Sentencia </w:t>
      </w:r>
      <w:hyperlink w:anchor="SENTENCIA_2024_126" w:history="1">
        <w:r w:rsidRPr="00CD105B">
          <w:rPr>
            <w:rStyle w:val="TextoNormalCaracter"/>
          </w:rPr>
          <w:t>126/2024</w:t>
        </w:r>
      </w:hyperlink>
      <w:r w:rsidRPr="00CD105B">
        <w:rPr>
          <w:rStyle w:val="TextoNormalCaracter"/>
        </w:rPr>
        <w:t>, ff. 1 a 3, VP.</w:t>
      </w:r>
    </w:p>
    <w:p w14:paraId="115E24E2" w14:textId="4864C73A" w:rsidR="00CD105B" w:rsidRPr="00CD105B" w:rsidRDefault="00CD105B" w:rsidP="00CD105B">
      <w:pPr>
        <w:pStyle w:val="TextoNormalSangraFrancesa"/>
        <w:rPr>
          <w:rStyle w:val="TextoNormalCaracter"/>
        </w:rPr>
      </w:pPr>
      <w:bookmarkStart w:id="687" w:name="DESCRIPTORALFABETICO142"/>
      <w:r w:rsidRPr="00CD105B">
        <w:rPr>
          <w:rStyle w:val="TextoNormalNegritaCaracter"/>
        </w:rPr>
        <w:t>Desestimación de incidente de ejecución de sentencias del Tribunal Constitucional</w:t>
      </w:r>
      <w:bookmarkEnd w:id="687"/>
      <w:r w:rsidRPr="00CD105B">
        <w:rPr>
          <w:rStyle w:val="TextoNormalCaracter"/>
        </w:rPr>
        <w:t xml:space="preserve">, Auto </w:t>
      </w:r>
      <w:hyperlink w:anchor="AUTO_2024_125" w:history="1">
        <w:r w:rsidRPr="00CD105B">
          <w:rPr>
            <w:rStyle w:val="TextoNormalCaracter"/>
          </w:rPr>
          <w:t>125/2024</w:t>
        </w:r>
      </w:hyperlink>
      <w:r w:rsidRPr="00CD105B">
        <w:rPr>
          <w:rStyle w:val="TextoNormalCaracter"/>
        </w:rPr>
        <w:t>, f. 3.</w:t>
      </w:r>
    </w:p>
    <w:p w14:paraId="4648DCFB" w14:textId="47EE51A8" w:rsidR="00CD105B" w:rsidRPr="00CD105B" w:rsidRDefault="00CD105B" w:rsidP="00CD105B">
      <w:pPr>
        <w:pStyle w:val="TextoNormalSangraFrancesa"/>
        <w:rPr>
          <w:rStyle w:val="TextoNormalCaracter"/>
        </w:rPr>
      </w:pPr>
      <w:bookmarkStart w:id="688" w:name="DESCRIPTORALFABETICO103"/>
      <w:r w:rsidRPr="00CD105B">
        <w:rPr>
          <w:rStyle w:val="TextoNormalNegritaCaracter"/>
        </w:rPr>
        <w:t>Desestimación de recurso de súplica contra Autos del Tribunal Constitucional</w:t>
      </w:r>
      <w:bookmarkEnd w:id="688"/>
      <w:r w:rsidRPr="00CD105B">
        <w:rPr>
          <w:rStyle w:val="TextoNormalCaracter"/>
        </w:rPr>
        <w:t xml:space="preserve">, Autos </w:t>
      </w:r>
      <w:hyperlink w:anchor="AUTO_2024_63" w:history="1">
        <w:r w:rsidRPr="00CD105B">
          <w:rPr>
            <w:rStyle w:val="TextoNormalCaracter"/>
          </w:rPr>
          <w:t>63/2024</w:t>
        </w:r>
      </w:hyperlink>
      <w:r w:rsidRPr="00CD105B">
        <w:rPr>
          <w:rStyle w:val="TextoNormalCaracter"/>
        </w:rPr>
        <w:t xml:space="preserve">, f. único; </w:t>
      </w:r>
      <w:hyperlink w:anchor="AUTO_2024_64" w:history="1">
        <w:r w:rsidRPr="00CD105B">
          <w:rPr>
            <w:rStyle w:val="TextoNormalCaracter"/>
          </w:rPr>
          <w:t>64/2024</w:t>
        </w:r>
      </w:hyperlink>
      <w:r w:rsidRPr="00CD105B">
        <w:rPr>
          <w:rStyle w:val="TextoNormalCaracter"/>
        </w:rPr>
        <w:t xml:space="preserve">, f. Único; </w:t>
      </w:r>
      <w:hyperlink w:anchor="AUTO_2024_71" w:history="1">
        <w:r w:rsidRPr="00CD105B">
          <w:rPr>
            <w:rStyle w:val="TextoNormalCaracter"/>
          </w:rPr>
          <w:t>71/2024</w:t>
        </w:r>
      </w:hyperlink>
      <w:r w:rsidRPr="00CD105B">
        <w:rPr>
          <w:rStyle w:val="TextoNormalCaracter"/>
        </w:rPr>
        <w:t xml:space="preserve">, f. 2; </w:t>
      </w:r>
      <w:hyperlink w:anchor="AUTO_2024_79" w:history="1">
        <w:r w:rsidRPr="00CD105B">
          <w:rPr>
            <w:rStyle w:val="TextoNormalCaracter"/>
          </w:rPr>
          <w:t>79/2024</w:t>
        </w:r>
      </w:hyperlink>
      <w:r w:rsidRPr="00CD105B">
        <w:rPr>
          <w:rStyle w:val="TextoNormalCaracter"/>
        </w:rPr>
        <w:t xml:space="preserve">, f. único; </w:t>
      </w:r>
      <w:hyperlink w:anchor="AUTO_2024_90" w:history="1">
        <w:r w:rsidRPr="00CD105B">
          <w:rPr>
            <w:rStyle w:val="TextoNormalCaracter"/>
          </w:rPr>
          <w:t>90/2024</w:t>
        </w:r>
      </w:hyperlink>
      <w:r w:rsidRPr="00CD105B">
        <w:rPr>
          <w:rStyle w:val="TextoNormalCaracter"/>
        </w:rPr>
        <w:t xml:space="preserve">, f. único; </w:t>
      </w:r>
      <w:hyperlink w:anchor="AUTO_2024_100" w:history="1">
        <w:r w:rsidRPr="00CD105B">
          <w:rPr>
            <w:rStyle w:val="TextoNormalCaracter"/>
          </w:rPr>
          <w:t>100/2024</w:t>
        </w:r>
      </w:hyperlink>
      <w:r w:rsidRPr="00CD105B">
        <w:rPr>
          <w:rStyle w:val="TextoNormalCaracter"/>
        </w:rPr>
        <w:t>, f. 3.</w:t>
      </w:r>
    </w:p>
    <w:p w14:paraId="3DBA3A18" w14:textId="1AF55E99" w:rsidR="00CD105B" w:rsidRPr="00CD105B" w:rsidRDefault="00CD105B" w:rsidP="00CD105B">
      <w:pPr>
        <w:pStyle w:val="TextoNormalSangraFrancesa"/>
        <w:rPr>
          <w:rStyle w:val="TextoNormalCaracter"/>
        </w:rPr>
      </w:pPr>
      <w:bookmarkStart w:id="689" w:name="DESCRIPTORALFABETICO104"/>
      <w:r w:rsidRPr="00CD105B">
        <w:rPr>
          <w:rStyle w:val="TextoNormalNegritaCaracter"/>
        </w:rPr>
        <w:t>Desestimación de recurso de súplica contra providencias de inadmisión del Tribunal Constitucional</w:t>
      </w:r>
      <w:bookmarkEnd w:id="689"/>
      <w:r w:rsidRPr="00CD105B">
        <w:rPr>
          <w:rStyle w:val="TextoNormalCaracter"/>
        </w:rPr>
        <w:t xml:space="preserve">, Autos </w:t>
      </w:r>
      <w:hyperlink w:anchor="AUTO_2024_69" w:history="1">
        <w:r w:rsidRPr="00CD105B">
          <w:rPr>
            <w:rStyle w:val="TextoNormalCaracter"/>
          </w:rPr>
          <w:t>69/2024</w:t>
        </w:r>
      </w:hyperlink>
      <w:r w:rsidRPr="00CD105B">
        <w:rPr>
          <w:rStyle w:val="TextoNormalCaracter"/>
        </w:rPr>
        <w:t xml:space="preserve">, f. 5; </w:t>
      </w:r>
      <w:hyperlink w:anchor="AUTO_2024_92" w:history="1">
        <w:r w:rsidRPr="00CD105B">
          <w:rPr>
            <w:rStyle w:val="TextoNormalCaracter"/>
          </w:rPr>
          <w:t>92/2024</w:t>
        </w:r>
      </w:hyperlink>
      <w:r w:rsidRPr="00CD105B">
        <w:rPr>
          <w:rStyle w:val="TextoNormalCaracter"/>
        </w:rPr>
        <w:t xml:space="preserve">, f. 2; </w:t>
      </w:r>
      <w:hyperlink w:anchor="AUTO_2024_94" w:history="1">
        <w:r w:rsidRPr="00CD105B">
          <w:rPr>
            <w:rStyle w:val="TextoNormalCaracter"/>
          </w:rPr>
          <w:t>94/2024</w:t>
        </w:r>
      </w:hyperlink>
      <w:r w:rsidRPr="00CD105B">
        <w:rPr>
          <w:rStyle w:val="TextoNormalCaracter"/>
        </w:rPr>
        <w:t xml:space="preserve">, f. único; </w:t>
      </w:r>
      <w:hyperlink w:anchor="AUTO_2024_148" w:history="1">
        <w:r w:rsidRPr="00CD105B">
          <w:rPr>
            <w:rStyle w:val="TextoNormalCaracter"/>
          </w:rPr>
          <w:t>148/2024</w:t>
        </w:r>
      </w:hyperlink>
      <w:r w:rsidRPr="00CD105B">
        <w:rPr>
          <w:rStyle w:val="TextoNormalCaracter"/>
        </w:rPr>
        <w:t>, ff. 1 y 3.</w:t>
      </w:r>
    </w:p>
    <w:p w14:paraId="5223CDD6" w14:textId="276F581B" w:rsidR="00CD105B" w:rsidRPr="00CD105B" w:rsidRDefault="00CD105B" w:rsidP="00CD105B">
      <w:pPr>
        <w:pStyle w:val="TextoNormalSangraFrancesa"/>
        <w:rPr>
          <w:rStyle w:val="TextoNormalCaracter"/>
        </w:rPr>
      </w:pPr>
      <w:bookmarkStart w:id="690" w:name="DESCRIPTORALFABETICO151"/>
      <w:r w:rsidRPr="00CD105B">
        <w:rPr>
          <w:rStyle w:val="TextoNormalNegritaCaracter"/>
        </w:rPr>
        <w:t>Designación de magistrados del Tribunal Constitucional</w:t>
      </w:r>
      <w:bookmarkEnd w:id="690"/>
      <w:r w:rsidRPr="00CD105B">
        <w:rPr>
          <w:rStyle w:val="TextoNormalCaracter"/>
        </w:rPr>
        <w:t xml:space="preserve">, Sentencia </w:t>
      </w:r>
      <w:hyperlink w:anchor="SENTENCIA_2024_139" w:history="1">
        <w:r w:rsidRPr="00CD105B">
          <w:rPr>
            <w:rStyle w:val="TextoNormalCaracter"/>
          </w:rPr>
          <w:t>139/2024</w:t>
        </w:r>
      </w:hyperlink>
      <w:r w:rsidRPr="00CD105B">
        <w:rPr>
          <w:rStyle w:val="TextoNormalCaracter"/>
        </w:rPr>
        <w:t>, ff. 4 y 5, VP I.</w:t>
      </w:r>
    </w:p>
    <w:p w14:paraId="6BFB615D" w14:textId="77777777" w:rsidR="00CD105B" w:rsidRPr="00CD105B" w:rsidRDefault="00CD105B" w:rsidP="00CD105B">
      <w:pPr>
        <w:pStyle w:val="TextoNormalSangraFrancesa"/>
        <w:rPr>
          <w:rStyle w:val="TextoNormalCaracter"/>
        </w:rPr>
      </w:pPr>
      <w:bookmarkStart w:id="691" w:name="DESCRIPTORALFABETICO106"/>
      <w:r w:rsidRPr="00CD105B">
        <w:rPr>
          <w:rStyle w:val="TextoNormalNegritaCaracter"/>
        </w:rPr>
        <w:t>Desistimiento en el recurso de amparo</w:t>
      </w:r>
      <w:bookmarkEnd w:id="691"/>
      <w:r w:rsidRPr="00CD105B">
        <w:rPr>
          <w:rStyle w:val="TextoNormalCaracter"/>
        </w:rPr>
        <w:t xml:space="preserve">, </w:t>
      </w:r>
    </w:p>
    <w:p w14:paraId="3A704BE0" w14:textId="0771D388" w:rsidR="00CD105B" w:rsidRPr="00CD105B" w:rsidRDefault="00CD105B" w:rsidP="00CD105B">
      <w:pPr>
        <w:pStyle w:val="TextoNormalSangraFrancesa"/>
        <w:rPr>
          <w:rStyle w:val="TextoNormalCaracter"/>
        </w:rPr>
      </w:pPr>
      <w:r w:rsidRPr="00CD105B">
        <w:rPr>
          <w:rStyle w:val="TextoNormalCursivaCaracter"/>
        </w:rPr>
        <w:t xml:space="preserve">    Procedencia, </w:t>
      </w:r>
      <w:r w:rsidRPr="00CD105B">
        <w:rPr>
          <w:rStyle w:val="TextoNormalCaracter"/>
        </w:rPr>
        <w:t xml:space="preserve">Autos </w:t>
      </w:r>
      <w:hyperlink w:anchor="AUTO_2024_75" w:history="1">
        <w:r w:rsidRPr="00CD105B">
          <w:rPr>
            <w:rStyle w:val="TextoNormalCaracter"/>
          </w:rPr>
          <w:t>75/2024</w:t>
        </w:r>
      </w:hyperlink>
      <w:r w:rsidRPr="00CD105B">
        <w:rPr>
          <w:rStyle w:val="TextoNormalCaracter"/>
        </w:rPr>
        <w:t xml:space="preserve">, f. único; </w:t>
      </w:r>
      <w:hyperlink w:anchor="AUTO_2024_97" w:history="1">
        <w:r w:rsidRPr="00CD105B">
          <w:rPr>
            <w:rStyle w:val="TextoNormalCaracter"/>
          </w:rPr>
          <w:t>97/2024</w:t>
        </w:r>
      </w:hyperlink>
      <w:r w:rsidRPr="00CD105B">
        <w:rPr>
          <w:rStyle w:val="TextoNormalCaracter"/>
        </w:rPr>
        <w:t xml:space="preserve">, f. único; </w:t>
      </w:r>
      <w:hyperlink w:anchor="AUTO_2024_156" w:history="1">
        <w:r w:rsidRPr="00CD105B">
          <w:rPr>
            <w:rStyle w:val="TextoNormalCaracter"/>
          </w:rPr>
          <w:t>156/2024</w:t>
        </w:r>
      </w:hyperlink>
      <w:r w:rsidRPr="00CD105B">
        <w:rPr>
          <w:rStyle w:val="TextoNormalCaracter"/>
        </w:rPr>
        <w:t>, f. 3.</w:t>
      </w:r>
    </w:p>
    <w:p w14:paraId="6B03C8E0" w14:textId="2CC54233" w:rsidR="00CD105B" w:rsidRPr="00CD105B" w:rsidRDefault="00CD105B" w:rsidP="00CD105B">
      <w:pPr>
        <w:pStyle w:val="TextoNormalSangraFrancesa"/>
        <w:rPr>
          <w:rStyle w:val="TextoNormalCaracter"/>
        </w:rPr>
      </w:pPr>
      <w:bookmarkStart w:id="692" w:name="DESCRIPTORALFABETICO219"/>
      <w:r w:rsidRPr="00CD105B">
        <w:rPr>
          <w:rStyle w:val="TextoNormalNegritaCaracter"/>
        </w:rPr>
        <w:t>Diferencias retributivas entre empleados públicos</w:t>
      </w:r>
      <w:bookmarkEnd w:id="692"/>
      <w:r w:rsidRPr="00CD105B">
        <w:rPr>
          <w:rStyle w:val="TextoNormalCaracter"/>
        </w:rPr>
        <w:t xml:space="preserve">, Sentencia </w:t>
      </w:r>
      <w:hyperlink w:anchor="SENTENCIA_2024_131" w:history="1">
        <w:r w:rsidRPr="00CD105B">
          <w:rPr>
            <w:rStyle w:val="TextoNormalCaracter"/>
          </w:rPr>
          <w:t>131/2024</w:t>
        </w:r>
      </w:hyperlink>
      <w:r w:rsidRPr="00CD105B">
        <w:rPr>
          <w:rStyle w:val="TextoNormalCaracter"/>
        </w:rPr>
        <w:t>, f. 1.</w:t>
      </w:r>
    </w:p>
    <w:p w14:paraId="4FEC28E1" w14:textId="47F40773" w:rsidR="00CD105B" w:rsidRPr="00CD105B" w:rsidRDefault="00CD105B" w:rsidP="00CD105B">
      <w:pPr>
        <w:pStyle w:val="TextoNormalSangraFrancesa"/>
        <w:rPr>
          <w:rStyle w:val="TextoNormalCaracter"/>
        </w:rPr>
      </w:pPr>
      <w:bookmarkStart w:id="693" w:name="DESCRIPTORALFABETICO288"/>
      <w:r w:rsidRPr="00CD105B">
        <w:rPr>
          <w:rStyle w:val="TextoNormalNegritaCaracter"/>
        </w:rPr>
        <w:t>Dignidad de la persona</w:t>
      </w:r>
      <w:bookmarkEnd w:id="693"/>
      <w:r w:rsidRPr="00CD105B">
        <w:rPr>
          <w:rStyle w:val="TextoNormalCaracter"/>
        </w:rPr>
        <w:t xml:space="preserve">, Sentencia </w:t>
      </w:r>
      <w:hyperlink w:anchor="SENTENCIA_2024_142" w:history="1">
        <w:r w:rsidRPr="00CD105B">
          <w:rPr>
            <w:rStyle w:val="TextoNormalCaracter"/>
          </w:rPr>
          <w:t>142/2024</w:t>
        </w:r>
      </w:hyperlink>
      <w:r w:rsidRPr="00CD105B">
        <w:rPr>
          <w:rStyle w:val="TextoNormalCaracter"/>
        </w:rPr>
        <w:t>, f. 5.</w:t>
      </w:r>
    </w:p>
    <w:p w14:paraId="5D0A6BC7" w14:textId="07E3E209" w:rsidR="00CD105B" w:rsidRPr="00CD105B" w:rsidRDefault="00CD105B" w:rsidP="00CD105B">
      <w:pPr>
        <w:pStyle w:val="TextoNormalSangraFrancesa"/>
        <w:rPr>
          <w:rStyle w:val="TextoNormalCaracter"/>
        </w:rPr>
      </w:pPr>
      <w:bookmarkStart w:id="694" w:name="DESCRIPTORALFABETICO329"/>
      <w:r w:rsidRPr="00CD105B">
        <w:rPr>
          <w:rStyle w:val="TextoNormalNegritaCaracter"/>
        </w:rPr>
        <w:t>Dilaciones en la celebración de vista</w:t>
      </w:r>
      <w:bookmarkEnd w:id="694"/>
      <w:r w:rsidRPr="00CD105B">
        <w:rPr>
          <w:rStyle w:val="TextoNormalCaracter"/>
        </w:rPr>
        <w:t xml:space="preserve">, Sentencia </w:t>
      </w:r>
      <w:hyperlink w:anchor="SENTENCIA_2024_135" w:history="1">
        <w:r w:rsidRPr="00CD105B">
          <w:rPr>
            <w:rStyle w:val="TextoNormalCaracter"/>
          </w:rPr>
          <w:t>135/2024</w:t>
        </w:r>
      </w:hyperlink>
      <w:r w:rsidRPr="00CD105B">
        <w:rPr>
          <w:rStyle w:val="TextoNormalCaracter"/>
        </w:rPr>
        <w:t>, f. 4.</w:t>
      </w:r>
    </w:p>
    <w:p w14:paraId="62FECA59" w14:textId="5E7A1DC8" w:rsidR="00CD105B" w:rsidRPr="00CD105B" w:rsidRDefault="00CD105B" w:rsidP="00CD105B">
      <w:pPr>
        <w:pStyle w:val="TextoNormalSangraFrancesa"/>
        <w:rPr>
          <w:rStyle w:val="TextoNormalCaracter"/>
        </w:rPr>
      </w:pPr>
      <w:bookmarkStart w:id="695" w:name="DESCRIPTORALFABETICO341"/>
      <w:r w:rsidRPr="00CD105B">
        <w:rPr>
          <w:rStyle w:val="TextoNormalNegritaCaracter"/>
        </w:rPr>
        <w:t>Discrepancia en la valoración de la prueba en las sucesivas instancias</w:t>
      </w:r>
      <w:bookmarkEnd w:id="695"/>
      <w:r w:rsidRPr="00CD105B">
        <w:rPr>
          <w:rStyle w:val="TextoNormalCaracter"/>
        </w:rPr>
        <w:t xml:space="preserve">, Sentencia </w:t>
      </w:r>
      <w:hyperlink w:anchor="SENTENCIA_2024_108" w:history="1">
        <w:r w:rsidRPr="00CD105B">
          <w:rPr>
            <w:rStyle w:val="TextoNormalCaracter"/>
          </w:rPr>
          <w:t>108/2024</w:t>
        </w:r>
      </w:hyperlink>
      <w:r w:rsidRPr="00CD105B">
        <w:rPr>
          <w:rStyle w:val="TextoNormalCaracter"/>
        </w:rPr>
        <w:t>, ff. 2 y 3.</w:t>
      </w:r>
    </w:p>
    <w:p w14:paraId="6B8EE7C8" w14:textId="48CA5081" w:rsidR="00CD105B" w:rsidRPr="00CD105B" w:rsidRDefault="00CD105B" w:rsidP="00CD105B">
      <w:pPr>
        <w:pStyle w:val="TextoNormalSangraFrancesa"/>
        <w:rPr>
          <w:rStyle w:val="TextoNormalCaracter"/>
        </w:rPr>
      </w:pPr>
      <w:bookmarkStart w:id="696" w:name="DESCRIPTORALFABETICO46"/>
      <w:r w:rsidRPr="00CD105B">
        <w:rPr>
          <w:rStyle w:val="TextoNormalNegritaCaracter"/>
        </w:rPr>
        <w:t>Discriminación indirecta</w:t>
      </w:r>
      <w:bookmarkEnd w:id="696"/>
      <w:r w:rsidRPr="00CD105B">
        <w:rPr>
          <w:rStyle w:val="TextoNormalCaracter"/>
        </w:rPr>
        <w:t xml:space="preserve">, Auto </w:t>
      </w:r>
      <w:hyperlink w:anchor="AUTO_2024_89" w:history="1">
        <w:r w:rsidRPr="00CD105B">
          <w:rPr>
            <w:rStyle w:val="TextoNormalCaracter"/>
          </w:rPr>
          <w:t>89/2024</w:t>
        </w:r>
      </w:hyperlink>
      <w:r w:rsidRPr="00CD105B">
        <w:rPr>
          <w:rStyle w:val="TextoNormalCaracter"/>
        </w:rPr>
        <w:t>, f. 2.</w:t>
      </w:r>
    </w:p>
    <w:p w14:paraId="1B0AEC20" w14:textId="77777777" w:rsidR="00CD105B" w:rsidRPr="00CD105B" w:rsidRDefault="00CD105B" w:rsidP="00CD105B">
      <w:pPr>
        <w:pStyle w:val="TextoNormalSangraFrancesa"/>
        <w:rPr>
          <w:rStyle w:val="TextoNormalCaracter"/>
        </w:rPr>
      </w:pPr>
      <w:bookmarkStart w:id="697" w:name="DESCRIPTORALFABETICO47"/>
      <w:r w:rsidRPr="00CD105B">
        <w:rPr>
          <w:rStyle w:val="TextoNormalNegritaCaracter"/>
        </w:rPr>
        <w:t>Discriminación por razón de género</w:t>
      </w:r>
      <w:bookmarkEnd w:id="697"/>
      <w:r w:rsidRPr="00CD105B">
        <w:rPr>
          <w:rStyle w:val="TextoNormalCaracter"/>
        </w:rPr>
        <w:t xml:space="preserve">, </w:t>
      </w:r>
    </w:p>
    <w:p w14:paraId="48595B9D" w14:textId="18F46D90"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 </w:t>
      </w:r>
      <w:hyperlink w:anchor="SENTENCIA_2024_132" w:history="1">
        <w:r w:rsidRPr="00CD105B">
          <w:rPr>
            <w:rStyle w:val="TextoNormalCaracter"/>
          </w:rPr>
          <w:t>132/2024</w:t>
        </w:r>
      </w:hyperlink>
      <w:r w:rsidRPr="00CD105B">
        <w:rPr>
          <w:rStyle w:val="TextoNormalCaracter"/>
        </w:rPr>
        <w:t>, f.4.</w:t>
      </w:r>
    </w:p>
    <w:p w14:paraId="474A15F5" w14:textId="51E28AE3" w:rsidR="00CD105B" w:rsidRPr="00CD105B" w:rsidRDefault="00CD105B" w:rsidP="00CD105B">
      <w:pPr>
        <w:pStyle w:val="TextoNormalSangraFrancesa"/>
        <w:rPr>
          <w:rStyle w:val="TextoNormalCaracter"/>
        </w:rPr>
      </w:pPr>
      <w:bookmarkStart w:id="698" w:name="DESCRIPTORALFABETICO48"/>
      <w:r w:rsidRPr="00CD105B">
        <w:rPr>
          <w:rStyle w:val="TextoNormalNegritaCaracter"/>
        </w:rPr>
        <w:t>Discriminación por razón de nacimiento</w:t>
      </w:r>
      <w:bookmarkEnd w:id="698"/>
      <w:r w:rsidRPr="00CD105B">
        <w:rPr>
          <w:rStyle w:val="TextoNormalCaracter"/>
        </w:rPr>
        <w:t xml:space="preserve">, Sentencias </w:t>
      </w:r>
      <w:hyperlink w:anchor="SENTENCIA_2024_140" w:history="1">
        <w:r w:rsidRPr="00CD105B">
          <w:rPr>
            <w:rStyle w:val="TextoNormalCaracter"/>
          </w:rPr>
          <w:t>140/2024</w:t>
        </w:r>
      </w:hyperlink>
      <w:r w:rsidRPr="00CD105B">
        <w:rPr>
          <w:rStyle w:val="TextoNormalCaracter"/>
        </w:rPr>
        <w:t xml:space="preserve">, ff. 5 y 6; </w:t>
      </w:r>
      <w:hyperlink w:anchor="SENTENCIA_2024_147" w:history="1">
        <w:r w:rsidRPr="00CD105B">
          <w:rPr>
            <w:rStyle w:val="TextoNormalCaracter"/>
          </w:rPr>
          <w:t>147/2024</w:t>
        </w:r>
      </w:hyperlink>
      <w:r w:rsidRPr="00CD105B">
        <w:rPr>
          <w:rStyle w:val="TextoNormalCaracter"/>
        </w:rPr>
        <w:t xml:space="preserve">, f. 3; </w:t>
      </w:r>
      <w:hyperlink w:anchor="SENTENCIA_2024_149" w:history="1">
        <w:r w:rsidRPr="00CD105B">
          <w:rPr>
            <w:rStyle w:val="TextoNormalCaracter"/>
          </w:rPr>
          <w:t>149/2024</w:t>
        </w:r>
      </w:hyperlink>
      <w:r w:rsidRPr="00CD105B">
        <w:rPr>
          <w:rStyle w:val="TextoNormalCaracter"/>
        </w:rPr>
        <w:t xml:space="preserve">, f. 3; </w:t>
      </w:r>
      <w:hyperlink w:anchor="SENTENCIA_2024_150" w:history="1">
        <w:r w:rsidRPr="00CD105B">
          <w:rPr>
            <w:rStyle w:val="TextoNormalCaracter"/>
          </w:rPr>
          <w:t>150/2024</w:t>
        </w:r>
      </w:hyperlink>
      <w:r w:rsidRPr="00CD105B">
        <w:rPr>
          <w:rStyle w:val="TextoNormalCaracter"/>
        </w:rPr>
        <w:t xml:space="preserve">, f. 3; </w:t>
      </w:r>
      <w:hyperlink w:anchor="SENTENCIA_2024_151" w:history="1">
        <w:r w:rsidRPr="00CD105B">
          <w:rPr>
            <w:rStyle w:val="TextoNormalCaracter"/>
          </w:rPr>
          <w:t>151/2024</w:t>
        </w:r>
      </w:hyperlink>
      <w:r w:rsidRPr="00CD105B">
        <w:rPr>
          <w:rStyle w:val="TextoNormalCaracter"/>
        </w:rPr>
        <w:t xml:space="preserve">, f. 3; </w:t>
      </w:r>
      <w:hyperlink w:anchor="SENTENCIA_2024_155" w:history="1">
        <w:r w:rsidRPr="00CD105B">
          <w:rPr>
            <w:rStyle w:val="TextoNormalCaracter"/>
          </w:rPr>
          <w:t>155/2024</w:t>
        </w:r>
      </w:hyperlink>
      <w:r w:rsidRPr="00CD105B">
        <w:rPr>
          <w:rStyle w:val="TextoNormalCaracter"/>
        </w:rPr>
        <w:t>, f. 3.</w:t>
      </w:r>
    </w:p>
    <w:p w14:paraId="68B530A1" w14:textId="6F85F11F" w:rsidR="00CD105B" w:rsidRPr="00CD105B" w:rsidRDefault="00CD105B" w:rsidP="00CD105B">
      <w:pPr>
        <w:pStyle w:val="TextoNormalSangraFrancesa"/>
        <w:rPr>
          <w:rStyle w:val="TextoNormalCaracter"/>
        </w:rPr>
      </w:pPr>
      <w:bookmarkStart w:id="699" w:name="DESCRIPTORALFABETICO49"/>
      <w:r w:rsidRPr="00CD105B">
        <w:rPr>
          <w:rStyle w:val="TextoNormalNegritaCaracter"/>
        </w:rPr>
        <w:t>Discriminación por razón de sexo</w:t>
      </w:r>
      <w:bookmarkEnd w:id="699"/>
      <w:r w:rsidRPr="00CD105B">
        <w:rPr>
          <w:rStyle w:val="TextoNormalCaracter"/>
        </w:rPr>
        <w:t xml:space="preserve">, Sentencias </w:t>
      </w:r>
      <w:hyperlink w:anchor="SENTENCIA_2024_115" w:history="1">
        <w:r w:rsidRPr="00CD105B">
          <w:rPr>
            <w:rStyle w:val="TextoNormalCaracter"/>
          </w:rPr>
          <w:t>115/2024</w:t>
        </w:r>
      </w:hyperlink>
      <w:r w:rsidRPr="00CD105B">
        <w:rPr>
          <w:rStyle w:val="TextoNormalCaracter"/>
        </w:rPr>
        <w:t xml:space="preserve">, f. 3, VP I, VP II; </w:t>
      </w:r>
      <w:hyperlink w:anchor="SENTENCIA_2024_132" w:history="1">
        <w:r w:rsidRPr="00CD105B">
          <w:rPr>
            <w:rStyle w:val="TextoNormalCaracter"/>
          </w:rPr>
          <w:t>132/2024</w:t>
        </w:r>
      </w:hyperlink>
      <w:r w:rsidRPr="00CD105B">
        <w:rPr>
          <w:rStyle w:val="TextoNormalCaracter"/>
        </w:rPr>
        <w:t xml:space="preserve">, f. 4; </w:t>
      </w:r>
      <w:hyperlink w:anchor="SENTENCIA_2024_145" w:history="1">
        <w:r w:rsidRPr="00CD105B">
          <w:rPr>
            <w:rStyle w:val="TextoNormalCaracter"/>
          </w:rPr>
          <w:t>145/2024</w:t>
        </w:r>
      </w:hyperlink>
      <w:r w:rsidRPr="00CD105B">
        <w:rPr>
          <w:rStyle w:val="TextoNormalCaracter"/>
        </w:rPr>
        <w:t>, ff. 3 y 4.</w:t>
      </w:r>
    </w:p>
    <w:p w14:paraId="47AA3C46" w14:textId="6CCD0408" w:rsidR="00CD105B" w:rsidRPr="00CD105B" w:rsidRDefault="00CD105B" w:rsidP="00CD105B">
      <w:pPr>
        <w:pStyle w:val="TextoNormalSangraFrancesa"/>
        <w:rPr>
          <w:rStyle w:val="TextoNormalCaracter"/>
        </w:rPr>
      </w:pPr>
      <w:r w:rsidRPr="00CD105B">
        <w:rPr>
          <w:rStyle w:val="TextoNormalCaracter"/>
        </w:rPr>
        <w:t xml:space="preserve">    Auto </w:t>
      </w:r>
      <w:hyperlink w:anchor="AUTO_2024_89" w:history="1">
        <w:r w:rsidRPr="00CD105B">
          <w:rPr>
            <w:rStyle w:val="TextoNormalCaracter"/>
          </w:rPr>
          <w:t>89/2024</w:t>
        </w:r>
      </w:hyperlink>
      <w:r w:rsidRPr="00CD105B">
        <w:rPr>
          <w:rStyle w:val="TextoNormalCaracter"/>
        </w:rPr>
        <w:t>, f. 2.</w:t>
      </w:r>
    </w:p>
    <w:p w14:paraId="477468C8" w14:textId="7B5DDB62" w:rsidR="00CD105B" w:rsidRPr="00CD105B" w:rsidRDefault="00CD105B" w:rsidP="00CD105B">
      <w:pPr>
        <w:pStyle w:val="TextoNormalSangraFrancesa"/>
        <w:rPr>
          <w:rStyle w:val="TextoNormalCaracter"/>
        </w:rPr>
      </w:pPr>
      <w:bookmarkStart w:id="700" w:name="DESCRIPTORALFABETICO247"/>
      <w:r w:rsidRPr="00CD105B">
        <w:rPr>
          <w:rStyle w:val="TextoNormalNegritaCaracter"/>
        </w:rPr>
        <w:t>Divorcio</w:t>
      </w:r>
      <w:bookmarkEnd w:id="700"/>
      <w:r w:rsidRPr="00CD105B">
        <w:rPr>
          <w:rStyle w:val="TextoNormalCaracter"/>
        </w:rPr>
        <w:t xml:space="preserve">, Sentencias </w:t>
      </w:r>
      <w:hyperlink w:anchor="SENTENCIA_2024_115" w:history="1">
        <w:r w:rsidRPr="00CD105B">
          <w:rPr>
            <w:rStyle w:val="TextoNormalCaracter"/>
          </w:rPr>
          <w:t>115/2024</w:t>
        </w:r>
      </w:hyperlink>
      <w:r w:rsidRPr="00CD105B">
        <w:rPr>
          <w:rStyle w:val="TextoNormalCaracter"/>
        </w:rPr>
        <w:t xml:space="preserve">, f. 4; </w:t>
      </w:r>
      <w:hyperlink w:anchor="SENTENCIA_2024_145" w:history="1">
        <w:r w:rsidRPr="00CD105B">
          <w:rPr>
            <w:rStyle w:val="TextoNormalCaracter"/>
          </w:rPr>
          <w:t>145/2024</w:t>
        </w:r>
      </w:hyperlink>
      <w:r w:rsidRPr="00CD105B">
        <w:rPr>
          <w:rStyle w:val="TextoNormalCaracter"/>
        </w:rPr>
        <w:t>, f. 1.</w:t>
      </w:r>
    </w:p>
    <w:p w14:paraId="2E68E38F" w14:textId="23FC1276" w:rsidR="00CD105B" w:rsidRPr="00CD105B" w:rsidRDefault="00CD105B" w:rsidP="00CD105B">
      <w:pPr>
        <w:pStyle w:val="TextoNormalSangraFrancesa"/>
        <w:rPr>
          <w:rStyle w:val="TextoNormalCaracter"/>
        </w:rPr>
      </w:pPr>
      <w:bookmarkStart w:id="701" w:name="DESCRIPTORALFABETICO196"/>
      <w:r w:rsidRPr="00CD105B">
        <w:rPr>
          <w:rStyle w:val="TextoNormalNegritaCaracter"/>
        </w:rPr>
        <w:t>Doctrina del Tribunal de Justicia de la Unión Europea</w:t>
      </w:r>
      <w:bookmarkEnd w:id="701"/>
      <w:r w:rsidRPr="00CD105B">
        <w:rPr>
          <w:rStyle w:val="TextoNormalCaracter"/>
        </w:rPr>
        <w:t xml:space="preserve">, Sentencias </w:t>
      </w:r>
      <w:hyperlink w:anchor="SENTENCIA_2024_133" w:history="1">
        <w:r w:rsidRPr="00CD105B">
          <w:rPr>
            <w:rStyle w:val="TextoNormalCaracter"/>
          </w:rPr>
          <w:t>133/2024</w:t>
        </w:r>
      </w:hyperlink>
      <w:r w:rsidRPr="00CD105B">
        <w:rPr>
          <w:rStyle w:val="TextoNormalCaracter"/>
        </w:rPr>
        <w:t xml:space="preserve">, f. 5; </w:t>
      </w:r>
      <w:hyperlink w:anchor="SENTENCIA_2024_140" w:history="1">
        <w:r w:rsidRPr="00CD105B">
          <w:rPr>
            <w:rStyle w:val="TextoNormalCaracter"/>
          </w:rPr>
          <w:t>140/2024</w:t>
        </w:r>
      </w:hyperlink>
      <w:r w:rsidRPr="00CD105B">
        <w:rPr>
          <w:rStyle w:val="TextoNormalCaracter"/>
        </w:rPr>
        <w:t xml:space="preserve">, f. 4; </w:t>
      </w:r>
      <w:hyperlink w:anchor="SENTENCIA_2024_142" w:history="1">
        <w:r w:rsidRPr="00CD105B">
          <w:rPr>
            <w:rStyle w:val="TextoNormalCaracter"/>
          </w:rPr>
          <w:t>142/2024</w:t>
        </w:r>
      </w:hyperlink>
      <w:r w:rsidRPr="00CD105B">
        <w:rPr>
          <w:rStyle w:val="TextoNormalCaracter"/>
        </w:rPr>
        <w:t>, VP.</w:t>
      </w:r>
    </w:p>
    <w:p w14:paraId="3337F7A8" w14:textId="5AEA72EF" w:rsidR="00CD105B" w:rsidRPr="00CD105B" w:rsidRDefault="00CD105B" w:rsidP="00CD105B">
      <w:pPr>
        <w:pStyle w:val="TextoNormalSangraFrancesa"/>
        <w:rPr>
          <w:rStyle w:val="TextoNormalCaracter"/>
        </w:rPr>
      </w:pPr>
      <w:bookmarkStart w:id="702" w:name="DESCRIPTORALFABETICO261"/>
      <w:r w:rsidRPr="00CD105B">
        <w:rPr>
          <w:rStyle w:val="TextoNormalNegritaCaracter"/>
        </w:rPr>
        <w:t>Doctrina del Tribunal Europeo de Derechos Humanos</w:t>
      </w:r>
      <w:bookmarkEnd w:id="702"/>
      <w:r w:rsidRPr="00CD105B">
        <w:rPr>
          <w:rStyle w:val="TextoNormalCaracter"/>
        </w:rPr>
        <w:t xml:space="preserve">, Sentencias </w:t>
      </w:r>
      <w:hyperlink w:anchor="SENTENCIA_2024_100" w:history="1">
        <w:r w:rsidRPr="00CD105B">
          <w:rPr>
            <w:rStyle w:val="TextoNormalCaracter"/>
          </w:rPr>
          <w:t>100/2024</w:t>
        </w:r>
      </w:hyperlink>
      <w:r w:rsidRPr="00CD105B">
        <w:rPr>
          <w:rStyle w:val="TextoNormalCaracter"/>
        </w:rPr>
        <w:t xml:space="preserve">, f. 7; </w:t>
      </w:r>
      <w:hyperlink w:anchor="SENTENCIA_2024_105" w:history="1">
        <w:r w:rsidRPr="00CD105B">
          <w:rPr>
            <w:rStyle w:val="TextoNormalCaracter"/>
          </w:rPr>
          <w:t>105/2024</w:t>
        </w:r>
      </w:hyperlink>
      <w:r w:rsidRPr="00CD105B">
        <w:rPr>
          <w:rStyle w:val="TextoNormalCaracter"/>
        </w:rPr>
        <w:t xml:space="preserve">, f. 2; </w:t>
      </w:r>
      <w:hyperlink w:anchor="SENTENCIA_2024_108" w:history="1">
        <w:r w:rsidRPr="00CD105B">
          <w:rPr>
            <w:rStyle w:val="TextoNormalCaracter"/>
          </w:rPr>
          <w:t>108/2024</w:t>
        </w:r>
      </w:hyperlink>
      <w:r w:rsidRPr="00CD105B">
        <w:rPr>
          <w:rStyle w:val="TextoNormalCaracter"/>
        </w:rPr>
        <w:t xml:space="preserve">, f. 1; </w:t>
      </w:r>
      <w:hyperlink w:anchor="SENTENCIA_2024_128" w:history="1">
        <w:r w:rsidRPr="00CD105B">
          <w:rPr>
            <w:rStyle w:val="TextoNormalCaracter"/>
          </w:rPr>
          <w:t>128/2024</w:t>
        </w:r>
      </w:hyperlink>
      <w:r w:rsidRPr="00CD105B">
        <w:rPr>
          <w:rStyle w:val="TextoNormalCaracter"/>
        </w:rPr>
        <w:t xml:space="preserve">, f. 5; </w:t>
      </w:r>
      <w:hyperlink w:anchor="SENTENCIA_2024_132" w:history="1">
        <w:r w:rsidRPr="00CD105B">
          <w:rPr>
            <w:rStyle w:val="TextoNormalCaracter"/>
          </w:rPr>
          <w:t>132/2024</w:t>
        </w:r>
      </w:hyperlink>
      <w:r w:rsidRPr="00CD105B">
        <w:rPr>
          <w:rStyle w:val="TextoNormalCaracter"/>
        </w:rPr>
        <w:t xml:space="preserve">, f. 3; </w:t>
      </w:r>
      <w:hyperlink w:anchor="SENTENCIA_2024_136" w:history="1">
        <w:r w:rsidRPr="00CD105B">
          <w:rPr>
            <w:rStyle w:val="TextoNormalCaracter"/>
          </w:rPr>
          <w:t>136/2024</w:t>
        </w:r>
      </w:hyperlink>
      <w:r w:rsidRPr="00CD105B">
        <w:rPr>
          <w:rStyle w:val="TextoNormalCaracter"/>
        </w:rPr>
        <w:t xml:space="preserve">, f. 5; </w:t>
      </w:r>
      <w:hyperlink w:anchor="SENTENCIA_2024_140" w:history="1">
        <w:r w:rsidRPr="00CD105B">
          <w:rPr>
            <w:rStyle w:val="TextoNormalCaracter"/>
          </w:rPr>
          <w:t>140/2024</w:t>
        </w:r>
      </w:hyperlink>
      <w:r w:rsidRPr="00CD105B">
        <w:rPr>
          <w:rStyle w:val="TextoNormalCaracter"/>
        </w:rPr>
        <w:t xml:space="preserve">, ff. 4 y 5; </w:t>
      </w:r>
      <w:hyperlink w:anchor="SENTENCIA_2024_142" w:history="1">
        <w:r w:rsidRPr="00CD105B">
          <w:rPr>
            <w:rStyle w:val="TextoNormalCaracter"/>
          </w:rPr>
          <w:t>142/2024</w:t>
        </w:r>
      </w:hyperlink>
      <w:r w:rsidRPr="00CD105B">
        <w:rPr>
          <w:rStyle w:val="TextoNormalCaracter"/>
        </w:rPr>
        <w:t xml:space="preserve">, ff. 3 y 5, VP; </w:t>
      </w:r>
      <w:hyperlink w:anchor="SENTENCIA_2024_144" w:history="1">
        <w:r w:rsidRPr="00CD105B">
          <w:rPr>
            <w:rStyle w:val="TextoNormalCaracter"/>
          </w:rPr>
          <w:t>144/2024</w:t>
        </w:r>
      </w:hyperlink>
      <w:r w:rsidRPr="00CD105B">
        <w:rPr>
          <w:rStyle w:val="TextoNormalCaracter"/>
        </w:rPr>
        <w:t>, f. 4.</w:t>
      </w:r>
    </w:p>
    <w:p w14:paraId="476433FA" w14:textId="2B3DF0AD" w:rsidR="00CD105B" w:rsidRPr="00CD105B" w:rsidRDefault="00CD105B" w:rsidP="00CD105B">
      <w:pPr>
        <w:pStyle w:val="TextoNormalSangraFrancesa"/>
        <w:rPr>
          <w:rStyle w:val="TextoNormalCaracter"/>
        </w:rPr>
      </w:pPr>
      <w:r w:rsidRPr="00CD105B">
        <w:rPr>
          <w:rStyle w:val="TextoNormalCaracter"/>
        </w:rPr>
        <w:t xml:space="preserve">    Autos </w:t>
      </w:r>
      <w:hyperlink w:anchor="AUTO_2024_85" w:history="1">
        <w:r w:rsidRPr="00CD105B">
          <w:rPr>
            <w:rStyle w:val="TextoNormalCaracter"/>
          </w:rPr>
          <w:t>85/2024</w:t>
        </w:r>
      </w:hyperlink>
      <w:r w:rsidRPr="00CD105B">
        <w:rPr>
          <w:rStyle w:val="TextoNormalCaracter"/>
        </w:rPr>
        <w:t xml:space="preserve">, f. único, VP; </w:t>
      </w:r>
      <w:hyperlink w:anchor="AUTO_2024_128" w:history="1">
        <w:r w:rsidRPr="00CD105B">
          <w:rPr>
            <w:rStyle w:val="TextoNormalCaracter"/>
          </w:rPr>
          <w:t>128/2024</w:t>
        </w:r>
      </w:hyperlink>
      <w:r w:rsidRPr="00CD105B">
        <w:rPr>
          <w:rStyle w:val="TextoNormalCaracter"/>
        </w:rPr>
        <w:t xml:space="preserve">, f. único; </w:t>
      </w:r>
      <w:hyperlink w:anchor="AUTO_2024_157" w:history="1">
        <w:r w:rsidRPr="00CD105B">
          <w:rPr>
            <w:rStyle w:val="TextoNormalCaracter"/>
          </w:rPr>
          <w:t>157/2024</w:t>
        </w:r>
      </w:hyperlink>
      <w:r w:rsidRPr="00CD105B">
        <w:rPr>
          <w:rStyle w:val="TextoNormalCaracter"/>
        </w:rPr>
        <w:t>, f. único.</w:t>
      </w:r>
    </w:p>
    <w:p w14:paraId="78ECDEFB" w14:textId="04BEF462" w:rsidR="00CD105B" w:rsidRPr="00CD105B" w:rsidRDefault="00CD105B" w:rsidP="00CD105B">
      <w:pPr>
        <w:pStyle w:val="TextoNormalSangraFrancesa"/>
        <w:rPr>
          <w:rStyle w:val="TextoNormalCaracter"/>
        </w:rPr>
      </w:pPr>
      <w:bookmarkStart w:id="703" w:name="DESCRIPTORALFABETICO299"/>
      <w:r w:rsidRPr="00CD105B">
        <w:rPr>
          <w:rStyle w:val="TextoNormalNegritaCaracter"/>
        </w:rPr>
        <w:t>Dolo</w:t>
      </w:r>
      <w:bookmarkEnd w:id="703"/>
      <w:r w:rsidRPr="00CD105B">
        <w:rPr>
          <w:rStyle w:val="TextoNormalCaracter"/>
        </w:rPr>
        <w:t xml:space="preserve">, Sentencia </w:t>
      </w:r>
      <w:hyperlink w:anchor="SENTENCIA_2024_102" w:history="1">
        <w:r w:rsidRPr="00CD105B">
          <w:rPr>
            <w:rStyle w:val="TextoNormalCaracter"/>
          </w:rPr>
          <w:t>102/2024</w:t>
        </w:r>
      </w:hyperlink>
      <w:r w:rsidRPr="00CD105B">
        <w:rPr>
          <w:rStyle w:val="TextoNormalCaracter"/>
        </w:rPr>
        <w:t>, f. 5.</w:t>
      </w:r>
    </w:p>
    <w:p w14:paraId="517B6271" w14:textId="63E7514E" w:rsidR="00CD105B" w:rsidRPr="00CD105B" w:rsidRDefault="00CD105B" w:rsidP="00CD105B">
      <w:pPr>
        <w:pStyle w:val="TextoNormalSangraFrancesa"/>
        <w:rPr>
          <w:rStyle w:val="TextoNormalCaracter"/>
        </w:rPr>
      </w:pPr>
      <w:bookmarkStart w:id="704" w:name="DESCRIPTORALFABETICO237"/>
      <w:r w:rsidRPr="00CD105B">
        <w:rPr>
          <w:rStyle w:val="TextoNormalNegritaCaracter"/>
        </w:rPr>
        <w:t>Dominio público estatal</w:t>
      </w:r>
      <w:bookmarkEnd w:id="704"/>
      <w:r w:rsidRPr="00CD105B">
        <w:rPr>
          <w:rStyle w:val="TextoNormalCaracter"/>
        </w:rPr>
        <w:t xml:space="preserve">, Sentencia </w:t>
      </w:r>
      <w:hyperlink w:anchor="SENTENCIA_2024_119" w:history="1">
        <w:r w:rsidRPr="00CD105B">
          <w:rPr>
            <w:rStyle w:val="TextoNormalCaracter"/>
          </w:rPr>
          <w:t>119/2024</w:t>
        </w:r>
      </w:hyperlink>
      <w:r w:rsidRPr="00CD105B">
        <w:rPr>
          <w:rStyle w:val="TextoNormalCaracter"/>
        </w:rPr>
        <w:t>, f. 1.</w:t>
      </w:r>
    </w:p>
    <w:p w14:paraId="7F3BCA6E" w14:textId="0644CC6C" w:rsidR="00CD105B" w:rsidRPr="00CD105B" w:rsidRDefault="00CD105B" w:rsidP="00CD105B">
      <w:pPr>
        <w:pStyle w:val="TextoNormalSangraFrancesa"/>
        <w:rPr>
          <w:rStyle w:val="TextoNormalCaracter"/>
        </w:rPr>
      </w:pPr>
      <w:bookmarkStart w:id="705" w:name="DESCRIPTORALFABETICO238"/>
      <w:r w:rsidRPr="00CD105B">
        <w:rPr>
          <w:rStyle w:val="TextoNormalNegritaCaracter"/>
        </w:rPr>
        <w:t>Dominio público marítimo terrestre</w:t>
      </w:r>
      <w:bookmarkEnd w:id="705"/>
      <w:r w:rsidRPr="00CD105B">
        <w:rPr>
          <w:rStyle w:val="TextoNormalCaracter"/>
        </w:rPr>
        <w:t xml:space="preserve">, Sentencia </w:t>
      </w:r>
      <w:hyperlink w:anchor="SENTENCIA_2024_119" w:history="1">
        <w:r w:rsidRPr="00CD105B">
          <w:rPr>
            <w:rStyle w:val="TextoNormalCaracter"/>
          </w:rPr>
          <w:t>119/2024</w:t>
        </w:r>
      </w:hyperlink>
      <w:r w:rsidRPr="00CD105B">
        <w:rPr>
          <w:rStyle w:val="TextoNormalCaracter"/>
        </w:rPr>
        <w:t>, f. 1.</w:t>
      </w:r>
    </w:p>
    <w:p w14:paraId="11823DFF" w14:textId="7A55FCF2" w:rsidR="00CD105B" w:rsidRPr="00CD105B" w:rsidRDefault="00CD105B" w:rsidP="00CD105B">
      <w:pPr>
        <w:pStyle w:val="TextoNormalSangraFrancesa"/>
        <w:rPr>
          <w:rStyle w:val="TextoNormalCaracter"/>
        </w:rPr>
      </w:pPr>
      <w:bookmarkStart w:id="706" w:name="DESCRIPTORALFABETICO59"/>
      <w:r w:rsidRPr="00CD105B">
        <w:rPr>
          <w:rStyle w:val="TextoNormalNegritaCaracter"/>
        </w:rPr>
        <w:t>Duración desproporcionada del procedimiento</w:t>
      </w:r>
      <w:bookmarkEnd w:id="706"/>
      <w:r w:rsidRPr="00CD105B">
        <w:rPr>
          <w:rStyle w:val="TextoNormalCaracter"/>
        </w:rPr>
        <w:t xml:space="preserve">, Sentencia </w:t>
      </w:r>
      <w:hyperlink w:anchor="SENTENCIA_2024_135" w:history="1">
        <w:r w:rsidRPr="00CD105B">
          <w:rPr>
            <w:rStyle w:val="TextoNormalCaracter"/>
          </w:rPr>
          <w:t>135/2024</w:t>
        </w:r>
      </w:hyperlink>
      <w:r w:rsidRPr="00CD105B">
        <w:rPr>
          <w:rStyle w:val="TextoNormalCaracter"/>
        </w:rPr>
        <w:t>, f. 3.</w:t>
      </w:r>
    </w:p>
    <w:p w14:paraId="273A3028" w14:textId="48C39043" w:rsidR="00CD105B" w:rsidRDefault="00CD105B" w:rsidP="00CD105B">
      <w:pPr>
        <w:pStyle w:val="TextoNormalSangraFrancesa"/>
      </w:pPr>
    </w:p>
    <w:p w14:paraId="576A4E68" w14:textId="77777777" w:rsidR="00CD105B" w:rsidRDefault="00CD105B" w:rsidP="00CD105B">
      <w:pPr>
        <w:pStyle w:val="TextoNormalSangraFrancesa"/>
      </w:pPr>
    </w:p>
    <w:p w14:paraId="5293229E" w14:textId="77777777" w:rsidR="00CD105B" w:rsidRDefault="00CD105B" w:rsidP="00CD105B">
      <w:pPr>
        <w:pStyle w:val="TextoNormalNegritaCentrado"/>
      </w:pPr>
      <w:r>
        <w:t>E</w:t>
      </w:r>
    </w:p>
    <w:p w14:paraId="2B78C7A6" w14:textId="538FE6B9" w:rsidR="00CD105B" w:rsidRDefault="00CD105B" w:rsidP="00CD105B">
      <w:pPr>
        <w:pStyle w:val="TextoNormalNegritaCentrado"/>
      </w:pPr>
    </w:p>
    <w:p w14:paraId="219925CF" w14:textId="1B385509" w:rsidR="00CD105B" w:rsidRPr="00CD105B" w:rsidRDefault="00CD105B" w:rsidP="00CD105B">
      <w:pPr>
        <w:pStyle w:val="TextoNormalSangraFrancesa"/>
        <w:rPr>
          <w:rStyle w:val="TextoNormalCaracter"/>
        </w:rPr>
      </w:pPr>
      <w:bookmarkStart w:id="707" w:name="DESCRIPTORALFABETICO115"/>
      <w:r w:rsidRPr="00CD105B">
        <w:rPr>
          <w:rStyle w:val="TextoNormalNegritaCaracter"/>
        </w:rPr>
        <w:t>Efectos de la declaración de inconstitucionalidad</w:t>
      </w:r>
      <w:bookmarkEnd w:id="707"/>
      <w:r w:rsidRPr="00CD105B">
        <w:rPr>
          <w:rStyle w:val="TextoNormalCaracter"/>
        </w:rPr>
        <w:t xml:space="preserve">, Sentencia </w:t>
      </w:r>
      <w:hyperlink w:anchor="SENTENCIA_2024_120" w:history="1">
        <w:r w:rsidRPr="00CD105B">
          <w:rPr>
            <w:rStyle w:val="TextoNormalCaracter"/>
          </w:rPr>
          <w:t>120/2024</w:t>
        </w:r>
      </w:hyperlink>
      <w:r w:rsidRPr="00CD105B">
        <w:rPr>
          <w:rStyle w:val="TextoNormalCaracter"/>
        </w:rPr>
        <w:t>, f. 9.</w:t>
      </w:r>
    </w:p>
    <w:p w14:paraId="77EE7775" w14:textId="4115A0D0" w:rsidR="00CD105B" w:rsidRPr="00CD105B" w:rsidRDefault="00CD105B" w:rsidP="00CD105B">
      <w:pPr>
        <w:pStyle w:val="TextoNormalSangraFrancesa"/>
        <w:rPr>
          <w:rStyle w:val="TextoNormalCaracter"/>
        </w:rPr>
      </w:pPr>
      <w:bookmarkStart w:id="708" w:name="DESCRIPTORALFABETICO330"/>
      <w:r w:rsidRPr="00CD105B">
        <w:rPr>
          <w:rStyle w:val="TextoNormalNegritaCaracter"/>
        </w:rPr>
        <w:t>Ejecución de sentencias</w:t>
      </w:r>
      <w:bookmarkEnd w:id="708"/>
      <w:r w:rsidRPr="00CD105B">
        <w:rPr>
          <w:rStyle w:val="TextoNormalCaracter"/>
        </w:rPr>
        <w:t xml:space="preserve">, Sentencia </w:t>
      </w:r>
      <w:hyperlink w:anchor="SENTENCIA_2024_115" w:history="1">
        <w:r w:rsidRPr="00CD105B">
          <w:rPr>
            <w:rStyle w:val="TextoNormalCaracter"/>
          </w:rPr>
          <w:t>115/2024</w:t>
        </w:r>
      </w:hyperlink>
      <w:r w:rsidRPr="00CD105B">
        <w:rPr>
          <w:rStyle w:val="TextoNormalCaracter"/>
        </w:rPr>
        <w:t>, ff. 2 a 5, VP I, VP II.</w:t>
      </w:r>
    </w:p>
    <w:p w14:paraId="1D8286AD" w14:textId="0EAD5557" w:rsidR="00CD105B" w:rsidRPr="00CD105B" w:rsidRDefault="00CD105B" w:rsidP="00CD105B">
      <w:pPr>
        <w:pStyle w:val="TextoNormalSangraFrancesa"/>
        <w:rPr>
          <w:rStyle w:val="TextoNormalCaracter"/>
        </w:rPr>
      </w:pPr>
      <w:bookmarkStart w:id="709" w:name="DESCRIPTORALFABETICO331"/>
      <w:r w:rsidRPr="00CD105B">
        <w:rPr>
          <w:rStyle w:val="TextoNormalNegritaCaracter"/>
        </w:rPr>
        <w:t>Ejecución de sentencias en sus propios términos</w:t>
      </w:r>
      <w:bookmarkEnd w:id="709"/>
      <w:r w:rsidRPr="00CD105B">
        <w:rPr>
          <w:rStyle w:val="TextoNormalCaracter"/>
        </w:rPr>
        <w:t xml:space="preserve">, Sentencia </w:t>
      </w:r>
      <w:hyperlink w:anchor="SENTENCIA_2024_121" w:history="1">
        <w:r w:rsidRPr="00CD105B">
          <w:rPr>
            <w:rStyle w:val="TextoNormalCaracter"/>
          </w:rPr>
          <w:t>121/2024</w:t>
        </w:r>
      </w:hyperlink>
      <w:r w:rsidRPr="00CD105B">
        <w:rPr>
          <w:rStyle w:val="TextoNormalCaracter"/>
        </w:rPr>
        <w:t>, VP I, VP II.</w:t>
      </w:r>
    </w:p>
    <w:p w14:paraId="324FFFC4" w14:textId="2AD420B9" w:rsidR="00CD105B" w:rsidRPr="00CD105B" w:rsidRDefault="00CD105B" w:rsidP="00CD105B">
      <w:pPr>
        <w:pStyle w:val="TextoNormalSangraFrancesa"/>
        <w:rPr>
          <w:rStyle w:val="TextoNormalCaracter"/>
        </w:rPr>
      </w:pPr>
      <w:bookmarkStart w:id="710" w:name="DESCRIPTORALFABETICO241"/>
      <w:r w:rsidRPr="00CD105B">
        <w:rPr>
          <w:rStyle w:val="TextoNormalNegritaCaracter"/>
        </w:rPr>
        <w:t>Energías renovables</w:t>
      </w:r>
      <w:bookmarkEnd w:id="710"/>
      <w:r w:rsidRPr="00CD105B">
        <w:rPr>
          <w:rStyle w:val="TextoNormalCaracter"/>
        </w:rPr>
        <w:t xml:space="preserve">, Sentencia </w:t>
      </w:r>
      <w:hyperlink w:anchor="SENTENCIA_2024_113" w:history="1">
        <w:r w:rsidRPr="00CD105B">
          <w:rPr>
            <w:rStyle w:val="TextoNormalCaracter"/>
          </w:rPr>
          <w:t>113/2024</w:t>
        </w:r>
      </w:hyperlink>
      <w:r w:rsidRPr="00CD105B">
        <w:rPr>
          <w:rStyle w:val="TextoNormalCaracter"/>
        </w:rPr>
        <w:t>, ff. 3 y 4.</w:t>
      </w:r>
    </w:p>
    <w:p w14:paraId="148B9CBF" w14:textId="5C226B1D" w:rsidR="00CD105B" w:rsidRPr="00CD105B" w:rsidRDefault="00CD105B" w:rsidP="00CD105B">
      <w:pPr>
        <w:pStyle w:val="TextoNormalSangraFrancesa"/>
        <w:rPr>
          <w:rStyle w:val="TextoNormalCaracter"/>
        </w:rPr>
      </w:pPr>
      <w:bookmarkStart w:id="711" w:name="DESCRIPTORALFABETICO342"/>
      <w:r w:rsidRPr="00CD105B">
        <w:rPr>
          <w:rStyle w:val="TextoNormalNegritaCaracter"/>
        </w:rPr>
        <w:t>Error en la valoración de la prueba</w:t>
      </w:r>
      <w:bookmarkEnd w:id="711"/>
      <w:r w:rsidRPr="00CD105B">
        <w:rPr>
          <w:rStyle w:val="TextoNormalCaracter"/>
        </w:rPr>
        <w:t xml:space="preserve">, Sentencia </w:t>
      </w:r>
      <w:hyperlink w:anchor="SENTENCIA_2024_108" w:history="1">
        <w:r w:rsidRPr="00CD105B">
          <w:rPr>
            <w:rStyle w:val="TextoNormalCaracter"/>
          </w:rPr>
          <w:t>108/2024</w:t>
        </w:r>
      </w:hyperlink>
      <w:r w:rsidRPr="00CD105B">
        <w:rPr>
          <w:rStyle w:val="TextoNormalCaracter"/>
        </w:rPr>
        <w:t>, ff. 2 a 4.</w:t>
      </w:r>
    </w:p>
    <w:p w14:paraId="7DEBC9A5" w14:textId="77777777" w:rsidR="00CD105B" w:rsidRPr="00CD105B" w:rsidRDefault="00CD105B" w:rsidP="00CD105B">
      <w:pPr>
        <w:pStyle w:val="TextoNormalSangraFrancesa"/>
        <w:rPr>
          <w:rStyle w:val="TextoNormalCaracter"/>
        </w:rPr>
      </w:pPr>
      <w:bookmarkStart w:id="712" w:name="DESCRIPTORALFABETICO135"/>
      <w:r w:rsidRPr="00CD105B">
        <w:rPr>
          <w:rStyle w:val="TextoNormalNegritaCaracter"/>
        </w:rPr>
        <w:t>Especial trascendencia constitucional</w:t>
      </w:r>
      <w:bookmarkEnd w:id="712"/>
      <w:r w:rsidRPr="00CD105B">
        <w:rPr>
          <w:rStyle w:val="TextoNormalCaracter"/>
        </w:rPr>
        <w:t xml:space="preserve">, </w:t>
      </w:r>
    </w:p>
    <w:p w14:paraId="39F38213" w14:textId="446E61F4" w:rsidR="00CD105B" w:rsidRPr="00CD105B" w:rsidRDefault="00CD105B" w:rsidP="00CD105B">
      <w:pPr>
        <w:pStyle w:val="TextoNormalSangraFrancesa"/>
        <w:rPr>
          <w:rStyle w:val="TextoNormalCaracter"/>
        </w:rPr>
      </w:pPr>
      <w:r w:rsidRPr="00CD105B">
        <w:rPr>
          <w:rStyle w:val="TextoNormalCursivaCaracter"/>
        </w:rPr>
        <w:t xml:space="preserve">    Doctrina constitucional, </w:t>
      </w:r>
      <w:r w:rsidRPr="00CD105B">
        <w:rPr>
          <w:rStyle w:val="TextoNormalCaracter"/>
        </w:rPr>
        <w:t xml:space="preserve">Sentencias </w:t>
      </w:r>
      <w:hyperlink w:anchor="SENTENCIA_2024_147" w:history="1">
        <w:r w:rsidRPr="00CD105B">
          <w:rPr>
            <w:rStyle w:val="TextoNormalCaracter"/>
          </w:rPr>
          <w:t>147/2024</w:t>
        </w:r>
      </w:hyperlink>
      <w:r w:rsidRPr="00CD105B">
        <w:rPr>
          <w:rStyle w:val="TextoNormalCaracter"/>
        </w:rPr>
        <w:t xml:space="preserve">, f. 2; </w:t>
      </w:r>
      <w:hyperlink w:anchor="SENTENCIA_2024_149" w:history="1">
        <w:r w:rsidRPr="00CD105B">
          <w:rPr>
            <w:rStyle w:val="TextoNormalCaracter"/>
          </w:rPr>
          <w:t>149/2024</w:t>
        </w:r>
      </w:hyperlink>
      <w:r w:rsidRPr="00CD105B">
        <w:rPr>
          <w:rStyle w:val="TextoNormalCaracter"/>
        </w:rPr>
        <w:t xml:space="preserve">, f. 2; </w:t>
      </w:r>
      <w:hyperlink w:anchor="SENTENCIA_2024_150" w:history="1">
        <w:r w:rsidRPr="00CD105B">
          <w:rPr>
            <w:rStyle w:val="TextoNormalCaracter"/>
          </w:rPr>
          <w:t>150/2024</w:t>
        </w:r>
      </w:hyperlink>
      <w:r w:rsidRPr="00CD105B">
        <w:rPr>
          <w:rStyle w:val="TextoNormalCaracter"/>
        </w:rPr>
        <w:t xml:space="preserve">, f. 2; </w:t>
      </w:r>
      <w:hyperlink w:anchor="SENTENCIA_2024_151" w:history="1">
        <w:r w:rsidRPr="00CD105B">
          <w:rPr>
            <w:rStyle w:val="TextoNormalCaracter"/>
          </w:rPr>
          <w:t>151/2024</w:t>
        </w:r>
      </w:hyperlink>
      <w:r w:rsidRPr="00CD105B">
        <w:rPr>
          <w:rStyle w:val="TextoNormalCaracter"/>
        </w:rPr>
        <w:t xml:space="preserve">, f. 2; </w:t>
      </w:r>
      <w:hyperlink w:anchor="SENTENCIA_2024_155" w:history="1">
        <w:r w:rsidRPr="00CD105B">
          <w:rPr>
            <w:rStyle w:val="TextoNormalCaracter"/>
          </w:rPr>
          <w:t>155/2024</w:t>
        </w:r>
      </w:hyperlink>
      <w:r w:rsidRPr="00CD105B">
        <w:rPr>
          <w:rStyle w:val="TextoNormalCaracter"/>
        </w:rPr>
        <w:t>, f. 2.</w:t>
      </w:r>
    </w:p>
    <w:p w14:paraId="7F900254" w14:textId="3291DAED" w:rsidR="00CD105B" w:rsidRPr="00CD105B" w:rsidRDefault="00CD105B" w:rsidP="00CD105B">
      <w:pPr>
        <w:pStyle w:val="TextoNormalSangraFrancesa"/>
        <w:rPr>
          <w:rStyle w:val="TextoNormalCaracter"/>
        </w:rPr>
      </w:pPr>
      <w:bookmarkStart w:id="713" w:name="DESCRIPTORALFABETICO294"/>
      <w:r w:rsidRPr="00CD105B">
        <w:rPr>
          <w:rStyle w:val="TextoNormalNegritaCaracter"/>
        </w:rPr>
        <w:t>Establecimientos penitenciarios</w:t>
      </w:r>
      <w:bookmarkEnd w:id="713"/>
      <w:r w:rsidRPr="00CD105B">
        <w:rPr>
          <w:rStyle w:val="TextoNormalCaracter"/>
        </w:rPr>
        <w:t xml:space="preserve">, Sentencia </w:t>
      </w:r>
      <w:hyperlink w:anchor="SENTENCIA_2024_105" w:history="1">
        <w:r w:rsidRPr="00CD105B">
          <w:rPr>
            <w:rStyle w:val="TextoNormalCaracter"/>
          </w:rPr>
          <w:t>105/2024</w:t>
        </w:r>
      </w:hyperlink>
      <w:r w:rsidRPr="00CD105B">
        <w:rPr>
          <w:rStyle w:val="TextoNormalCaracter"/>
        </w:rPr>
        <w:t>, f. 1.</w:t>
      </w:r>
    </w:p>
    <w:p w14:paraId="35C0E0E8" w14:textId="67725A81" w:rsidR="00CD105B" w:rsidRPr="00CD105B" w:rsidRDefault="00CD105B" w:rsidP="00CD105B">
      <w:pPr>
        <w:pStyle w:val="TextoNormalSangraFrancesa"/>
        <w:rPr>
          <w:rStyle w:val="TextoNormalCaracter"/>
        </w:rPr>
      </w:pPr>
      <w:bookmarkStart w:id="714" w:name="DESCRIPTORALFABETICO73"/>
      <w:r w:rsidRPr="00CD105B">
        <w:rPr>
          <w:rStyle w:val="TextoNormalNegritaCaracter"/>
        </w:rPr>
        <w:t>Estado de alarma</w:t>
      </w:r>
      <w:bookmarkEnd w:id="714"/>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 4; </w:t>
      </w:r>
      <w:hyperlink w:anchor="SENTENCIA_2024_141" w:history="1">
        <w:r w:rsidRPr="00CD105B">
          <w:rPr>
            <w:rStyle w:val="TextoNormalCaracter"/>
          </w:rPr>
          <w:t>141/2024</w:t>
        </w:r>
      </w:hyperlink>
      <w:r w:rsidRPr="00CD105B">
        <w:rPr>
          <w:rStyle w:val="TextoNormalCaracter"/>
        </w:rPr>
        <w:t>, f. 1.</w:t>
      </w:r>
    </w:p>
    <w:p w14:paraId="6F6ACEF1" w14:textId="4561D08F" w:rsidR="00CD105B" w:rsidRPr="00CD105B" w:rsidRDefault="00CD105B" w:rsidP="00CD105B">
      <w:pPr>
        <w:pStyle w:val="TextoNormalSangraFrancesa"/>
        <w:rPr>
          <w:rStyle w:val="TextoNormalCaracter"/>
        </w:rPr>
      </w:pPr>
      <w:bookmarkStart w:id="715" w:name="DESCRIPTORALFABETICO74"/>
      <w:r w:rsidRPr="00CD105B">
        <w:rPr>
          <w:rStyle w:val="TextoNormalNegritaCaracter"/>
        </w:rPr>
        <w:t>Estado de excepción</w:t>
      </w:r>
      <w:bookmarkEnd w:id="715"/>
      <w:r w:rsidRPr="00CD105B">
        <w:rPr>
          <w:rStyle w:val="TextoNormalCaracter"/>
        </w:rPr>
        <w:t xml:space="preserve">, Sentencia </w:t>
      </w:r>
      <w:hyperlink w:anchor="SENTENCIA_2024_136" w:history="1">
        <w:r w:rsidRPr="00CD105B">
          <w:rPr>
            <w:rStyle w:val="TextoNormalCaracter"/>
          </w:rPr>
          <w:t>136/2024</w:t>
        </w:r>
      </w:hyperlink>
      <w:r w:rsidRPr="00CD105B">
        <w:rPr>
          <w:rStyle w:val="TextoNormalCaracter"/>
        </w:rPr>
        <w:t>, f. 4.</w:t>
      </w:r>
    </w:p>
    <w:p w14:paraId="588D2421" w14:textId="06F47078" w:rsidR="00CD105B" w:rsidRPr="00CD105B" w:rsidRDefault="00CD105B" w:rsidP="00CD105B">
      <w:pPr>
        <w:pStyle w:val="TextoNormalSangraFrancesa"/>
        <w:rPr>
          <w:rStyle w:val="TextoNormalCaracter"/>
        </w:rPr>
      </w:pPr>
      <w:bookmarkStart w:id="716" w:name="DESCRIPTORALFABETICO89"/>
      <w:r w:rsidRPr="00CD105B">
        <w:rPr>
          <w:rStyle w:val="TextoNormalNegritaCaracter"/>
        </w:rPr>
        <w:t>Excepcionalidad en materia de suspensión de normas jurídicas</w:t>
      </w:r>
      <w:bookmarkEnd w:id="716"/>
      <w:r w:rsidRPr="00CD105B">
        <w:rPr>
          <w:rStyle w:val="TextoNormalCaracter"/>
        </w:rPr>
        <w:t xml:space="preserve">, Auto </w:t>
      </w:r>
      <w:hyperlink w:anchor="AUTO_2024_126" w:history="1">
        <w:r w:rsidRPr="00CD105B">
          <w:rPr>
            <w:rStyle w:val="TextoNormalCaracter"/>
          </w:rPr>
          <w:t>126/2024</w:t>
        </w:r>
      </w:hyperlink>
      <w:r w:rsidRPr="00CD105B">
        <w:rPr>
          <w:rStyle w:val="TextoNormalCaracter"/>
        </w:rPr>
        <w:t>, f. 5.</w:t>
      </w:r>
    </w:p>
    <w:p w14:paraId="6B99648D" w14:textId="6E06C873" w:rsidR="00CD105B" w:rsidRPr="00CD105B" w:rsidRDefault="00CD105B" w:rsidP="00CD105B">
      <w:pPr>
        <w:pStyle w:val="TextoNormalSangraFrancesa"/>
        <w:rPr>
          <w:rStyle w:val="TextoNormalCaracter"/>
        </w:rPr>
      </w:pPr>
      <w:bookmarkStart w:id="717" w:name="DESCRIPTORALFABETICO210"/>
      <w:r w:rsidRPr="00CD105B">
        <w:rPr>
          <w:rStyle w:val="TextoNormalNegritaCaracter"/>
        </w:rPr>
        <w:t>Exclusión de la iniciativa popular</w:t>
      </w:r>
      <w:bookmarkEnd w:id="717"/>
      <w:r w:rsidRPr="00CD105B">
        <w:rPr>
          <w:rStyle w:val="TextoNormalCaracter"/>
        </w:rPr>
        <w:t xml:space="preserve">, Sentencia </w:t>
      </w:r>
      <w:hyperlink w:anchor="SENTENCIA_2024_143" w:history="1">
        <w:r w:rsidRPr="00CD105B">
          <w:rPr>
            <w:rStyle w:val="TextoNormalCaracter"/>
          </w:rPr>
          <w:t>143/2024</w:t>
        </w:r>
      </w:hyperlink>
      <w:r w:rsidRPr="00CD105B">
        <w:rPr>
          <w:rStyle w:val="TextoNormalCaracter"/>
        </w:rPr>
        <w:t>, f. 3.</w:t>
      </w:r>
    </w:p>
    <w:p w14:paraId="0DE5231D" w14:textId="21E72BCD" w:rsidR="00CD105B" w:rsidRPr="00CD105B" w:rsidRDefault="00CD105B" w:rsidP="00CD105B">
      <w:pPr>
        <w:pStyle w:val="TextoNormalSangraFrancesa"/>
        <w:rPr>
          <w:rStyle w:val="TextoNormalCaracter"/>
        </w:rPr>
      </w:pPr>
      <w:bookmarkStart w:id="718" w:name="DESCRIPTORALFABETICO126"/>
      <w:r w:rsidRPr="00CD105B">
        <w:rPr>
          <w:rStyle w:val="TextoNormalNegritaCaracter"/>
        </w:rPr>
        <w:t>Existencia de invocación del derecho vulnerado</w:t>
      </w:r>
      <w:bookmarkEnd w:id="718"/>
      <w:r w:rsidRPr="00CD105B">
        <w:rPr>
          <w:rStyle w:val="TextoNormalCaracter"/>
        </w:rPr>
        <w:t xml:space="preserve">, Sentencia </w:t>
      </w:r>
      <w:hyperlink w:anchor="SENTENCIA_2024_144" w:history="1">
        <w:r w:rsidRPr="00CD105B">
          <w:rPr>
            <w:rStyle w:val="TextoNormalCaracter"/>
          </w:rPr>
          <w:t>144/2024</w:t>
        </w:r>
      </w:hyperlink>
      <w:r w:rsidRPr="00CD105B">
        <w:rPr>
          <w:rStyle w:val="TextoNormalCaracter"/>
        </w:rPr>
        <w:t>, f. 2.</w:t>
      </w:r>
    </w:p>
    <w:p w14:paraId="11694D7B" w14:textId="2DC8F7EA" w:rsidR="00CD105B" w:rsidRPr="00CD105B" w:rsidRDefault="00CD105B" w:rsidP="00CD105B">
      <w:pPr>
        <w:pStyle w:val="TextoNormalSangraFrancesa"/>
        <w:rPr>
          <w:rStyle w:val="TextoNormalCaracter"/>
        </w:rPr>
      </w:pPr>
      <w:bookmarkStart w:id="719" w:name="DESCRIPTORALFABETICO307"/>
      <w:r w:rsidRPr="00CD105B">
        <w:rPr>
          <w:rStyle w:val="TextoNormalNegritaCaracter"/>
        </w:rPr>
        <w:t>Expediente de regulación de empleo</w:t>
      </w:r>
      <w:bookmarkEnd w:id="719"/>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 1; </w:t>
      </w:r>
      <w:hyperlink w:anchor="SENTENCIA_2024_95" w:history="1">
        <w:r w:rsidRPr="00CD105B">
          <w:rPr>
            <w:rStyle w:val="TextoNormalCaracter"/>
          </w:rPr>
          <w:t>95/2024</w:t>
        </w:r>
      </w:hyperlink>
      <w:r w:rsidRPr="00CD105B">
        <w:rPr>
          <w:rStyle w:val="TextoNormalCaracter"/>
        </w:rPr>
        <w:t xml:space="preserve">, f. 1; </w:t>
      </w:r>
      <w:hyperlink w:anchor="SENTENCIA_2024_96" w:history="1">
        <w:r w:rsidRPr="00CD105B">
          <w:rPr>
            <w:rStyle w:val="TextoNormalCaracter"/>
          </w:rPr>
          <w:t>96/2024</w:t>
        </w:r>
      </w:hyperlink>
      <w:r w:rsidRPr="00CD105B">
        <w:rPr>
          <w:rStyle w:val="TextoNormalCaracter"/>
        </w:rPr>
        <w:t xml:space="preserve">, f. 1; </w:t>
      </w:r>
      <w:hyperlink w:anchor="SENTENCIA_2024_97" w:history="1">
        <w:r w:rsidRPr="00CD105B">
          <w:rPr>
            <w:rStyle w:val="TextoNormalCaracter"/>
          </w:rPr>
          <w:t>97/2024</w:t>
        </w:r>
      </w:hyperlink>
      <w:r w:rsidRPr="00CD105B">
        <w:rPr>
          <w:rStyle w:val="TextoNormalCaracter"/>
        </w:rPr>
        <w:t xml:space="preserve">, f. 1; </w:t>
      </w:r>
      <w:hyperlink w:anchor="SENTENCIA_2024_98" w:history="1">
        <w:r w:rsidRPr="00CD105B">
          <w:rPr>
            <w:rStyle w:val="TextoNormalCaracter"/>
          </w:rPr>
          <w:t>98/2024</w:t>
        </w:r>
      </w:hyperlink>
      <w:r w:rsidRPr="00CD105B">
        <w:rPr>
          <w:rStyle w:val="TextoNormalCaracter"/>
        </w:rPr>
        <w:t xml:space="preserve">, f. 1; </w:t>
      </w:r>
      <w:hyperlink w:anchor="SENTENCIA_2024_99" w:history="1">
        <w:r w:rsidRPr="00CD105B">
          <w:rPr>
            <w:rStyle w:val="TextoNormalCaracter"/>
          </w:rPr>
          <w:t>99/2024</w:t>
        </w:r>
      </w:hyperlink>
      <w:r w:rsidRPr="00CD105B">
        <w:rPr>
          <w:rStyle w:val="TextoNormalCaracter"/>
        </w:rPr>
        <w:t xml:space="preserve">, f. 1; </w:t>
      </w:r>
      <w:hyperlink w:anchor="SENTENCIA_2024_100" w:history="1">
        <w:r w:rsidRPr="00CD105B">
          <w:rPr>
            <w:rStyle w:val="TextoNormalCaracter"/>
          </w:rPr>
          <w:t>100/2024</w:t>
        </w:r>
      </w:hyperlink>
      <w:r w:rsidRPr="00CD105B">
        <w:rPr>
          <w:rStyle w:val="TextoNormalCaracter"/>
        </w:rPr>
        <w:t xml:space="preserve">, f. 1; </w:t>
      </w:r>
      <w:hyperlink w:anchor="SENTENCIA_2024_101" w:history="1">
        <w:r w:rsidRPr="00CD105B">
          <w:rPr>
            <w:rStyle w:val="TextoNormalCaracter"/>
          </w:rPr>
          <w:t>101/2024</w:t>
        </w:r>
      </w:hyperlink>
      <w:r w:rsidRPr="00CD105B">
        <w:rPr>
          <w:rStyle w:val="TextoNormalCaracter"/>
        </w:rPr>
        <w:t xml:space="preserve">, f. 1; </w:t>
      </w:r>
      <w:hyperlink w:anchor="SENTENCIA_2024_102" w:history="1">
        <w:r w:rsidRPr="00CD105B">
          <w:rPr>
            <w:rStyle w:val="TextoNormalCaracter"/>
          </w:rPr>
          <w:t>102/2024</w:t>
        </w:r>
      </w:hyperlink>
      <w:r w:rsidRPr="00CD105B">
        <w:rPr>
          <w:rStyle w:val="TextoNormalCaracter"/>
        </w:rPr>
        <w:t xml:space="preserve">, f. 1; </w:t>
      </w:r>
      <w:hyperlink w:anchor="SENTENCIA_2024_103" w:history="1">
        <w:r w:rsidRPr="00CD105B">
          <w:rPr>
            <w:rStyle w:val="TextoNormalCaracter"/>
          </w:rPr>
          <w:t>103/2024</w:t>
        </w:r>
      </w:hyperlink>
      <w:r w:rsidRPr="00CD105B">
        <w:rPr>
          <w:rStyle w:val="TextoNormalCaracter"/>
        </w:rPr>
        <w:t>, f. 1.</w:t>
      </w:r>
    </w:p>
    <w:p w14:paraId="47D80456" w14:textId="0B3A1E0A" w:rsidR="00CD105B" w:rsidRPr="00CD105B" w:rsidRDefault="00CD105B" w:rsidP="00CD105B">
      <w:pPr>
        <w:pStyle w:val="TextoNormalSangraFrancesa"/>
        <w:rPr>
          <w:rStyle w:val="TextoNormalCaracter"/>
        </w:rPr>
      </w:pPr>
      <w:bookmarkStart w:id="720" w:name="DESCRIPTORALFABETICO338"/>
      <w:r w:rsidRPr="00CD105B">
        <w:rPr>
          <w:rStyle w:val="TextoNormalNegritaCaracter"/>
        </w:rPr>
        <w:t>Exploración de menores</w:t>
      </w:r>
      <w:bookmarkEnd w:id="720"/>
      <w:r w:rsidRPr="00CD105B">
        <w:rPr>
          <w:rStyle w:val="TextoNormalCaracter"/>
        </w:rPr>
        <w:t xml:space="preserve">, Sentencia </w:t>
      </w:r>
      <w:hyperlink w:anchor="SENTENCIA_2024_106" w:history="1">
        <w:r w:rsidRPr="00CD105B">
          <w:rPr>
            <w:rStyle w:val="TextoNormalCaracter"/>
          </w:rPr>
          <w:t>106/2024</w:t>
        </w:r>
      </w:hyperlink>
      <w:r w:rsidRPr="00CD105B">
        <w:rPr>
          <w:rStyle w:val="TextoNormalCaracter"/>
        </w:rPr>
        <w:t>, f. 4.</w:t>
      </w:r>
    </w:p>
    <w:p w14:paraId="44CB327B" w14:textId="48D30F53" w:rsidR="00CD105B" w:rsidRPr="00CD105B" w:rsidRDefault="00CD105B" w:rsidP="00CD105B">
      <w:pPr>
        <w:pStyle w:val="TextoNormalSangraFrancesa"/>
        <w:rPr>
          <w:rStyle w:val="TextoNormalCaracter"/>
        </w:rPr>
      </w:pPr>
      <w:bookmarkStart w:id="721" w:name="DESCRIPTORALFABETICO243"/>
      <w:r w:rsidRPr="00CD105B">
        <w:rPr>
          <w:rStyle w:val="TextoNormalNegritaCaracter"/>
        </w:rPr>
        <w:t>Expropiación por incumplimiento de la función social de la propiedad</w:t>
      </w:r>
      <w:bookmarkEnd w:id="721"/>
      <w:r w:rsidRPr="00CD105B">
        <w:rPr>
          <w:rStyle w:val="TextoNormalCaracter"/>
        </w:rPr>
        <w:t xml:space="preserve">, Sentencia </w:t>
      </w:r>
      <w:hyperlink w:anchor="SENTENCIA_2024_120" w:history="1">
        <w:r w:rsidRPr="00CD105B">
          <w:rPr>
            <w:rStyle w:val="TextoNormalCaracter"/>
          </w:rPr>
          <w:t>120/2024</w:t>
        </w:r>
      </w:hyperlink>
      <w:r w:rsidRPr="00CD105B">
        <w:rPr>
          <w:rStyle w:val="TextoNormalCaracter"/>
        </w:rPr>
        <w:t>, VP I, VP II.</w:t>
      </w:r>
    </w:p>
    <w:p w14:paraId="4848FE05" w14:textId="4B643B0E" w:rsidR="00CD105B" w:rsidRPr="00CD105B" w:rsidRDefault="00CD105B" w:rsidP="00CD105B">
      <w:pPr>
        <w:pStyle w:val="TextoNormalSangraFrancesa"/>
        <w:rPr>
          <w:rStyle w:val="TextoNormalCaracter"/>
        </w:rPr>
      </w:pPr>
      <w:bookmarkStart w:id="722" w:name="DESCRIPTORALFABETICO244"/>
      <w:r w:rsidRPr="00CD105B">
        <w:rPr>
          <w:rStyle w:val="TextoNormalNegritaCaracter"/>
        </w:rPr>
        <w:t>Expulsión de extranjeros</w:t>
      </w:r>
      <w:bookmarkEnd w:id="722"/>
      <w:r w:rsidRPr="00CD105B">
        <w:rPr>
          <w:rStyle w:val="TextoNormalCaracter"/>
        </w:rPr>
        <w:t xml:space="preserve">, Sentencia </w:t>
      </w:r>
      <w:hyperlink w:anchor="SENTENCIA_2024_124" w:history="1">
        <w:r w:rsidRPr="00CD105B">
          <w:rPr>
            <w:rStyle w:val="TextoNormalCaracter"/>
          </w:rPr>
          <w:t>124/2024</w:t>
        </w:r>
      </w:hyperlink>
      <w:r w:rsidRPr="00CD105B">
        <w:rPr>
          <w:rStyle w:val="TextoNormalCaracter"/>
        </w:rPr>
        <w:t>, f. 1.</w:t>
      </w:r>
    </w:p>
    <w:p w14:paraId="771E19D7" w14:textId="2C1F5A5A" w:rsidR="00CD105B" w:rsidRPr="00CD105B" w:rsidRDefault="00CD105B" w:rsidP="00CD105B">
      <w:pPr>
        <w:pStyle w:val="TextoNormalSangraFrancesa"/>
        <w:rPr>
          <w:rStyle w:val="TextoNormalCaracter"/>
        </w:rPr>
      </w:pPr>
      <w:bookmarkStart w:id="723" w:name="DESCRIPTORALFABETICO128"/>
      <w:r w:rsidRPr="00CD105B">
        <w:rPr>
          <w:rStyle w:val="TextoNormalNegritaCaracter"/>
        </w:rPr>
        <w:t>Extinción del recurso de amparo</w:t>
      </w:r>
      <w:bookmarkEnd w:id="723"/>
      <w:r w:rsidRPr="00CD105B">
        <w:rPr>
          <w:rStyle w:val="TextoNormalCaracter"/>
        </w:rPr>
        <w:t xml:space="preserve">, Auto </w:t>
      </w:r>
      <w:hyperlink w:anchor="AUTO_2024_96" w:history="1">
        <w:r w:rsidRPr="00CD105B">
          <w:rPr>
            <w:rStyle w:val="TextoNormalCaracter"/>
          </w:rPr>
          <w:t>96/2024</w:t>
        </w:r>
      </w:hyperlink>
      <w:r w:rsidRPr="00CD105B">
        <w:rPr>
          <w:rStyle w:val="TextoNormalCaracter"/>
        </w:rPr>
        <w:t>, f. 3.</w:t>
      </w:r>
    </w:p>
    <w:p w14:paraId="61048DA7" w14:textId="22ECF274" w:rsidR="00CD105B" w:rsidRDefault="00CD105B" w:rsidP="00CD105B">
      <w:pPr>
        <w:pStyle w:val="TextoNormalSangraFrancesa"/>
      </w:pPr>
    </w:p>
    <w:p w14:paraId="4AF9934A" w14:textId="77777777" w:rsidR="00CD105B" w:rsidRDefault="00CD105B" w:rsidP="00CD105B">
      <w:pPr>
        <w:pStyle w:val="TextoNormalSangraFrancesa"/>
      </w:pPr>
    </w:p>
    <w:p w14:paraId="0921E4E0" w14:textId="77777777" w:rsidR="00CD105B" w:rsidRDefault="00CD105B" w:rsidP="00CD105B">
      <w:pPr>
        <w:pStyle w:val="TextoNormalNegritaCentrado"/>
      </w:pPr>
      <w:r>
        <w:t>F</w:t>
      </w:r>
    </w:p>
    <w:p w14:paraId="1E2FBE43" w14:textId="28A2D068" w:rsidR="00CD105B" w:rsidRDefault="00CD105B" w:rsidP="00CD105B">
      <w:pPr>
        <w:pStyle w:val="TextoNormalNegritaCentrado"/>
      </w:pPr>
    </w:p>
    <w:p w14:paraId="0D8137A3" w14:textId="6A64C81F" w:rsidR="00CD105B" w:rsidRPr="00CD105B" w:rsidRDefault="00CD105B" w:rsidP="00CD105B">
      <w:pPr>
        <w:pStyle w:val="TextoNormalSangraFrancesa"/>
        <w:rPr>
          <w:rStyle w:val="TextoNormalCaracter"/>
        </w:rPr>
      </w:pPr>
      <w:bookmarkStart w:id="724" w:name="DESCRIPTORALFABETICO349"/>
      <w:r w:rsidRPr="00CD105B">
        <w:rPr>
          <w:rStyle w:val="TextoNormalNegritaCaracter"/>
        </w:rPr>
        <w:t>Falta de cobertura legal de medidas cautelares</w:t>
      </w:r>
      <w:bookmarkEnd w:id="724"/>
      <w:r w:rsidRPr="00CD105B">
        <w:rPr>
          <w:rStyle w:val="TextoNormalCaracter"/>
        </w:rPr>
        <w:t xml:space="preserve">, Sentencia </w:t>
      </w:r>
      <w:hyperlink w:anchor="SENTENCIA_2024_148" w:history="1">
        <w:r w:rsidRPr="00CD105B">
          <w:rPr>
            <w:rStyle w:val="TextoNormalCaracter"/>
          </w:rPr>
          <w:t>148/2024</w:t>
        </w:r>
      </w:hyperlink>
      <w:r w:rsidRPr="00CD105B">
        <w:rPr>
          <w:rStyle w:val="TextoNormalCaracter"/>
        </w:rPr>
        <w:t>, f. 4.</w:t>
      </w:r>
    </w:p>
    <w:p w14:paraId="72A2041F" w14:textId="23663DDD" w:rsidR="00CD105B" w:rsidRPr="00CD105B" w:rsidRDefault="00CD105B" w:rsidP="00CD105B">
      <w:pPr>
        <w:pStyle w:val="TextoNormalSangraFrancesa"/>
        <w:rPr>
          <w:rStyle w:val="TextoNormalCaracter"/>
        </w:rPr>
      </w:pPr>
      <w:bookmarkStart w:id="725" w:name="DESCRIPTORALFABETICO127"/>
      <w:r w:rsidRPr="00CD105B">
        <w:rPr>
          <w:rStyle w:val="TextoNormalNegritaCaracter"/>
        </w:rPr>
        <w:t>Falta de invocación del derecho vulnerado</w:t>
      </w:r>
      <w:bookmarkEnd w:id="725"/>
      <w:r w:rsidRPr="00CD105B">
        <w:rPr>
          <w:rStyle w:val="TextoNormalCaracter"/>
        </w:rPr>
        <w:t xml:space="preserve">, Sentencia </w:t>
      </w:r>
      <w:hyperlink w:anchor="SENTENCIA_2024_122" w:history="1">
        <w:r w:rsidRPr="00CD105B">
          <w:rPr>
            <w:rStyle w:val="TextoNormalCaracter"/>
          </w:rPr>
          <w:t>122/2024</w:t>
        </w:r>
      </w:hyperlink>
      <w:r w:rsidRPr="00CD105B">
        <w:rPr>
          <w:rStyle w:val="TextoNormalCaracter"/>
        </w:rPr>
        <w:t>, f. 2.</w:t>
      </w:r>
    </w:p>
    <w:p w14:paraId="0BAFAF19" w14:textId="52506504" w:rsidR="00CD105B" w:rsidRPr="00CD105B" w:rsidRDefault="00CD105B" w:rsidP="00CD105B">
      <w:pPr>
        <w:pStyle w:val="TextoNormalSangraFrancesa"/>
        <w:rPr>
          <w:rStyle w:val="TextoNormalCaracter"/>
        </w:rPr>
      </w:pPr>
      <w:bookmarkStart w:id="726" w:name="DESCRIPTORALFABETICO322"/>
      <w:r w:rsidRPr="00CD105B">
        <w:rPr>
          <w:rStyle w:val="TextoNormalNegritaCaracter"/>
        </w:rPr>
        <w:t>Falta de notificación</w:t>
      </w:r>
      <w:bookmarkEnd w:id="726"/>
      <w:r w:rsidRPr="00CD105B">
        <w:rPr>
          <w:rStyle w:val="TextoNormalCaracter"/>
        </w:rPr>
        <w:t xml:space="preserve">, Sentencia </w:t>
      </w:r>
      <w:hyperlink w:anchor="SENTENCIA_2024_123" w:history="1">
        <w:r w:rsidRPr="00CD105B">
          <w:rPr>
            <w:rStyle w:val="TextoNormalCaracter"/>
          </w:rPr>
          <w:t>123/2024</w:t>
        </w:r>
      </w:hyperlink>
      <w:r w:rsidRPr="00CD105B">
        <w:rPr>
          <w:rStyle w:val="TextoNormalCaracter"/>
        </w:rPr>
        <w:t>, ff. 1 a 3.</w:t>
      </w:r>
    </w:p>
    <w:p w14:paraId="40E7DC8C" w14:textId="4AED35FF" w:rsidR="00CD105B" w:rsidRPr="00CD105B" w:rsidRDefault="00CD105B" w:rsidP="00CD105B">
      <w:pPr>
        <w:pStyle w:val="TextoNormalSangraFrancesa"/>
        <w:rPr>
          <w:rStyle w:val="TextoNormalCaracter"/>
        </w:rPr>
      </w:pPr>
      <w:bookmarkStart w:id="727" w:name="DESCRIPTORALFABETICO245"/>
      <w:r w:rsidRPr="00CD105B">
        <w:rPr>
          <w:rStyle w:val="TextoNormalNegritaCaracter"/>
        </w:rPr>
        <w:t>Familia monoparental</w:t>
      </w:r>
      <w:bookmarkEnd w:id="727"/>
      <w:r w:rsidRPr="00CD105B">
        <w:rPr>
          <w:rStyle w:val="TextoNormalCaracter"/>
        </w:rPr>
        <w:t xml:space="preserve">, Sentencias </w:t>
      </w:r>
      <w:hyperlink w:anchor="SENTENCIA_2024_140" w:history="1">
        <w:r w:rsidRPr="00CD105B">
          <w:rPr>
            <w:rStyle w:val="TextoNormalCaracter"/>
          </w:rPr>
          <w:t>140/2024</w:t>
        </w:r>
      </w:hyperlink>
      <w:r w:rsidRPr="00CD105B">
        <w:rPr>
          <w:rStyle w:val="TextoNormalCaracter"/>
        </w:rPr>
        <w:t xml:space="preserve">, ff. 3 a 6; </w:t>
      </w:r>
      <w:hyperlink w:anchor="SENTENCIA_2024_147" w:history="1">
        <w:r w:rsidRPr="00CD105B">
          <w:rPr>
            <w:rStyle w:val="TextoNormalCaracter"/>
          </w:rPr>
          <w:t>147/2024</w:t>
        </w:r>
      </w:hyperlink>
      <w:r w:rsidRPr="00CD105B">
        <w:rPr>
          <w:rStyle w:val="TextoNormalCaracter"/>
        </w:rPr>
        <w:t xml:space="preserve">, f. 3; </w:t>
      </w:r>
      <w:hyperlink w:anchor="SENTENCIA_2024_149" w:history="1">
        <w:r w:rsidRPr="00CD105B">
          <w:rPr>
            <w:rStyle w:val="TextoNormalCaracter"/>
          </w:rPr>
          <w:t>149/2024</w:t>
        </w:r>
      </w:hyperlink>
      <w:r w:rsidRPr="00CD105B">
        <w:rPr>
          <w:rStyle w:val="TextoNormalCaracter"/>
        </w:rPr>
        <w:t xml:space="preserve">, f. 3; </w:t>
      </w:r>
      <w:hyperlink w:anchor="SENTENCIA_2024_150" w:history="1">
        <w:r w:rsidRPr="00CD105B">
          <w:rPr>
            <w:rStyle w:val="TextoNormalCaracter"/>
          </w:rPr>
          <w:t>150/2024</w:t>
        </w:r>
      </w:hyperlink>
      <w:r w:rsidRPr="00CD105B">
        <w:rPr>
          <w:rStyle w:val="TextoNormalCaracter"/>
        </w:rPr>
        <w:t xml:space="preserve">, f. 3; </w:t>
      </w:r>
      <w:hyperlink w:anchor="SENTENCIA_2024_151" w:history="1">
        <w:r w:rsidRPr="00CD105B">
          <w:rPr>
            <w:rStyle w:val="TextoNormalCaracter"/>
          </w:rPr>
          <w:t>151/2024</w:t>
        </w:r>
      </w:hyperlink>
      <w:r w:rsidRPr="00CD105B">
        <w:rPr>
          <w:rStyle w:val="TextoNormalCaracter"/>
        </w:rPr>
        <w:t xml:space="preserve">, f. 3; </w:t>
      </w:r>
      <w:hyperlink w:anchor="SENTENCIA_2024_155" w:history="1">
        <w:r w:rsidRPr="00CD105B">
          <w:rPr>
            <w:rStyle w:val="TextoNormalCaracter"/>
          </w:rPr>
          <w:t>155/2024</w:t>
        </w:r>
      </w:hyperlink>
      <w:r w:rsidRPr="00CD105B">
        <w:rPr>
          <w:rStyle w:val="TextoNormalCaracter"/>
        </w:rPr>
        <w:t>, f. 3.</w:t>
      </w:r>
    </w:p>
    <w:p w14:paraId="463A81E3" w14:textId="07F88C4E" w:rsidR="00CD105B" w:rsidRPr="00CD105B" w:rsidRDefault="00CD105B" w:rsidP="00CD105B">
      <w:pPr>
        <w:pStyle w:val="TextoNormalSangraFrancesa"/>
        <w:rPr>
          <w:rStyle w:val="TextoNormalCaracter"/>
        </w:rPr>
      </w:pPr>
      <w:bookmarkStart w:id="728" w:name="DESCRIPTORALFABETICO251"/>
      <w:r w:rsidRPr="00CD105B">
        <w:rPr>
          <w:rStyle w:val="TextoNormalNegritaCaracter"/>
        </w:rPr>
        <w:t>Fuerzas y cuerpos de seguridad</w:t>
      </w:r>
      <w:bookmarkEnd w:id="728"/>
      <w:r w:rsidRPr="00CD105B">
        <w:rPr>
          <w:rStyle w:val="TextoNormalCaracter"/>
        </w:rPr>
        <w:t xml:space="preserve">, Sentencia </w:t>
      </w:r>
      <w:hyperlink w:anchor="SENTENCIA_2024_144" w:history="1">
        <w:r w:rsidRPr="00CD105B">
          <w:rPr>
            <w:rStyle w:val="TextoNormalCaracter"/>
          </w:rPr>
          <w:t>144/2024</w:t>
        </w:r>
      </w:hyperlink>
      <w:r w:rsidRPr="00CD105B">
        <w:rPr>
          <w:rStyle w:val="TextoNormalCaracter"/>
        </w:rPr>
        <w:t>, f. 1.</w:t>
      </w:r>
    </w:p>
    <w:p w14:paraId="4421C313" w14:textId="73C6E861" w:rsidR="00CD105B" w:rsidRPr="00CD105B" w:rsidRDefault="00CD105B" w:rsidP="00CD105B">
      <w:pPr>
        <w:pStyle w:val="TextoNormalSangraFrancesa"/>
        <w:rPr>
          <w:rStyle w:val="TextoNormalCaracter"/>
        </w:rPr>
      </w:pPr>
      <w:r w:rsidRPr="00CD105B">
        <w:rPr>
          <w:rStyle w:val="TextoNormalCaracter"/>
        </w:rPr>
        <w:t xml:space="preserve">    Auto </w:t>
      </w:r>
      <w:hyperlink w:anchor="AUTO_2024_85" w:history="1">
        <w:r w:rsidRPr="00CD105B">
          <w:rPr>
            <w:rStyle w:val="TextoNormalCaracter"/>
          </w:rPr>
          <w:t>85/2024</w:t>
        </w:r>
      </w:hyperlink>
      <w:r w:rsidRPr="00CD105B">
        <w:rPr>
          <w:rStyle w:val="TextoNormalCaracter"/>
        </w:rPr>
        <w:t>, f. único, VP.</w:t>
      </w:r>
    </w:p>
    <w:p w14:paraId="654C6A41" w14:textId="101A6339" w:rsidR="00CD105B" w:rsidRPr="00CD105B" w:rsidRDefault="00CD105B" w:rsidP="00CD105B">
      <w:pPr>
        <w:pStyle w:val="TextoNormalSangraFrancesa"/>
        <w:rPr>
          <w:rStyle w:val="TextoNormalCaracter"/>
        </w:rPr>
      </w:pPr>
      <w:bookmarkStart w:id="729" w:name="DESCRIPTORALFABETICO15"/>
      <w:r w:rsidRPr="00CD105B">
        <w:rPr>
          <w:rStyle w:val="TextoNormalNegritaCaracter"/>
        </w:rPr>
        <w:t>Función de la Junta Electoral Central</w:t>
      </w:r>
      <w:bookmarkEnd w:id="729"/>
      <w:r w:rsidRPr="00CD105B">
        <w:rPr>
          <w:rStyle w:val="TextoNormalCaracter"/>
        </w:rPr>
        <w:t xml:space="preserve">, Sentencia </w:t>
      </w:r>
      <w:hyperlink w:anchor="SENTENCIA_2024_152" w:history="1">
        <w:r w:rsidRPr="00CD105B">
          <w:rPr>
            <w:rStyle w:val="TextoNormalCaracter"/>
          </w:rPr>
          <w:t>152/2024</w:t>
        </w:r>
      </w:hyperlink>
      <w:r w:rsidRPr="00CD105B">
        <w:rPr>
          <w:rStyle w:val="TextoNormalCaracter"/>
        </w:rPr>
        <w:t>, f. 4.</w:t>
      </w:r>
    </w:p>
    <w:p w14:paraId="20FE2127" w14:textId="118C5097" w:rsidR="00CD105B" w:rsidRPr="00CD105B" w:rsidRDefault="00CD105B" w:rsidP="00CD105B">
      <w:pPr>
        <w:pStyle w:val="TextoNormalSangraFrancesa"/>
        <w:rPr>
          <w:rStyle w:val="TextoNormalCaracter"/>
        </w:rPr>
      </w:pPr>
      <w:bookmarkStart w:id="730" w:name="DESCRIPTORALFABETICO233"/>
      <w:r w:rsidRPr="00CD105B">
        <w:rPr>
          <w:rStyle w:val="TextoNormalNegritaCaracter"/>
        </w:rPr>
        <w:t>Función social de la propiedad</w:t>
      </w:r>
      <w:bookmarkEnd w:id="730"/>
      <w:r w:rsidRPr="00CD105B">
        <w:rPr>
          <w:rStyle w:val="TextoNormalCaracter"/>
        </w:rPr>
        <w:t xml:space="preserve">, Sentencia </w:t>
      </w:r>
      <w:hyperlink w:anchor="SENTENCIA_2024_120" w:history="1">
        <w:r w:rsidRPr="00CD105B">
          <w:rPr>
            <w:rStyle w:val="TextoNormalCaracter"/>
          </w:rPr>
          <w:t>120/2024</w:t>
        </w:r>
      </w:hyperlink>
      <w:r w:rsidRPr="00CD105B">
        <w:rPr>
          <w:rStyle w:val="TextoNormalCaracter"/>
        </w:rPr>
        <w:t>, ff. 3 a 5, 7.</w:t>
      </w:r>
    </w:p>
    <w:p w14:paraId="55A7C7BC" w14:textId="50459B8A" w:rsidR="00CD105B" w:rsidRPr="00CD105B" w:rsidRDefault="00CD105B" w:rsidP="00CD105B">
      <w:pPr>
        <w:pStyle w:val="TextoNormalSangraFrancesa"/>
        <w:rPr>
          <w:rStyle w:val="TextoNormalCaracter"/>
        </w:rPr>
      </w:pPr>
      <w:bookmarkStart w:id="731" w:name="DESCRIPTORALFABETICO315"/>
      <w:r w:rsidRPr="00CD105B">
        <w:rPr>
          <w:rStyle w:val="TextoNormalNegritaCaracter"/>
        </w:rPr>
        <w:t>Función social de la vivienda</w:t>
      </w:r>
      <w:bookmarkEnd w:id="731"/>
      <w:r w:rsidRPr="00CD105B">
        <w:rPr>
          <w:rStyle w:val="TextoNormalCaracter"/>
        </w:rPr>
        <w:t xml:space="preserve">, Sentencia </w:t>
      </w:r>
      <w:hyperlink w:anchor="SENTENCIA_2024_120" w:history="1">
        <w:r w:rsidRPr="00CD105B">
          <w:rPr>
            <w:rStyle w:val="TextoNormalCaracter"/>
          </w:rPr>
          <w:t>120/2024</w:t>
        </w:r>
      </w:hyperlink>
      <w:r w:rsidRPr="00CD105B">
        <w:rPr>
          <w:rStyle w:val="TextoNormalCaracter"/>
        </w:rPr>
        <w:t>, ff. 4 y 5.</w:t>
      </w:r>
    </w:p>
    <w:p w14:paraId="508680CA" w14:textId="203829EC" w:rsidR="00CD105B" w:rsidRPr="00CD105B" w:rsidRDefault="00CD105B" w:rsidP="00CD105B">
      <w:pPr>
        <w:pStyle w:val="TextoNormalSangraFrancesa"/>
        <w:rPr>
          <w:rStyle w:val="TextoNormalCaracter"/>
        </w:rPr>
      </w:pPr>
      <w:bookmarkStart w:id="732" w:name="DESCRIPTORALFABETICO217"/>
      <w:r w:rsidRPr="00CD105B">
        <w:rPr>
          <w:rStyle w:val="TextoNormalNegritaCaracter"/>
        </w:rPr>
        <w:t>Funcionarios públicos</w:t>
      </w:r>
      <w:bookmarkEnd w:id="732"/>
      <w:r w:rsidRPr="00CD105B">
        <w:rPr>
          <w:rStyle w:val="TextoNormalCaracter"/>
        </w:rPr>
        <w:t xml:space="preserve">, Sentencia </w:t>
      </w:r>
      <w:hyperlink w:anchor="SENTENCIA_2024_131" w:history="1">
        <w:r w:rsidRPr="00CD105B">
          <w:rPr>
            <w:rStyle w:val="TextoNormalCaracter"/>
          </w:rPr>
          <w:t>131/2024</w:t>
        </w:r>
      </w:hyperlink>
      <w:r w:rsidRPr="00CD105B">
        <w:rPr>
          <w:rStyle w:val="TextoNormalCaracter"/>
        </w:rPr>
        <w:t>, f. 1.</w:t>
      </w:r>
    </w:p>
    <w:p w14:paraId="7E18A74B" w14:textId="0B477CAC" w:rsidR="00CD105B" w:rsidRDefault="00CD105B" w:rsidP="00CD105B">
      <w:pPr>
        <w:pStyle w:val="TextoNormalSangraFrancesa"/>
      </w:pPr>
    </w:p>
    <w:p w14:paraId="7AD81FF8" w14:textId="77777777" w:rsidR="00CD105B" w:rsidRDefault="00CD105B" w:rsidP="00CD105B">
      <w:pPr>
        <w:pStyle w:val="TextoNormalSangraFrancesa"/>
      </w:pPr>
    </w:p>
    <w:p w14:paraId="6AD19F2E" w14:textId="77777777" w:rsidR="00CD105B" w:rsidRDefault="00CD105B" w:rsidP="00CD105B">
      <w:pPr>
        <w:pStyle w:val="TextoNormalNegritaCentrado"/>
      </w:pPr>
      <w:r>
        <w:t>G</w:t>
      </w:r>
    </w:p>
    <w:p w14:paraId="10AED19C" w14:textId="1DAC01E6" w:rsidR="00CD105B" w:rsidRDefault="00CD105B" w:rsidP="00CD105B">
      <w:pPr>
        <w:pStyle w:val="TextoNormalNegritaCentrado"/>
      </w:pPr>
    </w:p>
    <w:p w14:paraId="7BA4981F" w14:textId="7EDBBA1F" w:rsidR="00CD105B" w:rsidRPr="00CD105B" w:rsidRDefault="00CD105B" w:rsidP="00CD105B">
      <w:pPr>
        <w:pStyle w:val="TextoNormalSangraFrancesa"/>
        <w:rPr>
          <w:rStyle w:val="TextoNormalCaracter"/>
        </w:rPr>
      </w:pPr>
      <w:bookmarkStart w:id="733" w:name="DESCRIPTORALFABETICO381"/>
      <w:r w:rsidRPr="00CD105B">
        <w:rPr>
          <w:rStyle w:val="TextoNormalNegritaCaracter"/>
        </w:rPr>
        <w:t>Galicia</w:t>
      </w:r>
      <w:bookmarkEnd w:id="733"/>
      <w:r w:rsidRPr="00CD105B">
        <w:rPr>
          <w:rStyle w:val="TextoNormalCaracter"/>
        </w:rPr>
        <w:t xml:space="preserve">, Sentencia </w:t>
      </w:r>
      <w:hyperlink w:anchor="SENTENCIA_2024_136" w:history="1">
        <w:r w:rsidRPr="00CD105B">
          <w:rPr>
            <w:rStyle w:val="TextoNormalCaracter"/>
          </w:rPr>
          <w:t>136/2024</w:t>
        </w:r>
      </w:hyperlink>
      <w:r w:rsidRPr="00CD105B">
        <w:rPr>
          <w:rStyle w:val="TextoNormalCaracter"/>
        </w:rPr>
        <w:t>, f. 1.</w:t>
      </w:r>
    </w:p>
    <w:p w14:paraId="4F77107D" w14:textId="382ECFE3" w:rsidR="00CD105B" w:rsidRPr="00CD105B" w:rsidRDefault="00CD105B" w:rsidP="00CD105B">
      <w:pPr>
        <w:pStyle w:val="TextoNormalSangraFrancesa"/>
        <w:rPr>
          <w:rStyle w:val="TextoNormalCaracter"/>
        </w:rPr>
      </w:pPr>
      <w:bookmarkStart w:id="734" w:name="DESCRIPTORALFABETICO202"/>
      <w:r w:rsidRPr="00CD105B">
        <w:rPr>
          <w:rStyle w:val="TextoNormalNegritaCaracter"/>
        </w:rPr>
        <w:t>Garantías formales del principio de legalidad penal</w:t>
      </w:r>
      <w:bookmarkEnd w:id="734"/>
      <w:r w:rsidRPr="00CD105B">
        <w:rPr>
          <w:rStyle w:val="TextoNormalCaracter"/>
        </w:rPr>
        <w:t xml:space="preserve">, Sentencias </w:t>
      </w:r>
      <w:hyperlink w:anchor="SENTENCIA_2024_96" w:history="1">
        <w:r w:rsidRPr="00CD105B">
          <w:rPr>
            <w:rStyle w:val="TextoNormalCaracter"/>
          </w:rPr>
          <w:t>96/2024</w:t>
        </w:r>
      </w:hyperlink>
      <w:r w:rsidRPr="00CD105B">
        <w:rPr>
          <w:rStyle w:val="TextoNormalCaracter"/>
        </w:rPr>
        <w:t xml:space="preserve">, f. 4; </w:t>
      </w:r>
      <w:hyperlink w:anchor="SENTENCIA_2024_97" w:history="1">
        <w:r w:rsidRPr="00CD105B">
          <w:rPr>
            <w:rStyle w:val="TextoNormalCaracter"/>
          </w:rPr>
          <w:t>97/2024</w:t>
        </w:r>
      </w:hyperlink>
      <w:r w:rsidRPr="00CD105B">
        <w:rPr>
          <w:rStyle w:val="TextoNormalCaracter"/>
        </w:rPr>
        <w:t xml:space="preserve">, f. 3; </w:t>
      </w:r>
      <w:hyperlink w:anchor="SENTENCIA_2024_100" w:history="1">
        <w:r w:rsidRPr="00CD105B">
          <w:rPr>
            <w:rStyle w:val="TextoNormalCaracter"/>
          </w:rPr>
          <w:t>100/2024</w:t>
        </w:r>
      </w:hyperlink>
      <w:r w:rsidRPr="00CD105B">
        <w:rPr>
          <w:rStyle w:val="TextoNormalCaracter"/>
        </w:rPr>
        <w:t xml:space="preserve">, f. 3; </w:t>
      </w:r>
      <w:hyperlink w:anchor="SENTENCIA_2024_102" w:history="1">
        <w:r w:rsidRPr="00CD105B">
          <w:rPr>
            <w:rStyle w:val="TextoNormalCaracter"/>
          </w:rPr>
          <w:t>102/2024</w:t>
        </w:r>
      </w:hyperlink>
      <w:r w:rsidRPr="00CD105B">
        <w:rPr>
          <w:rStyle w:val="TextoNormalCaracter"/>
        </w:rPr>
        <w:t>, f. 4.</w:t>
      </w:r>
    </w:p>
    <w:p w14:paraId="2C169967" w14:textId="72583C66" w:rsidR="00CD105B" w:rsidRPr="00CD105B" w:rsidRDefault="00CD105B" w:rsidP="00CD105B">
      <w:pPr>
        <w:pStyle w:val="TextoNormalSangraFrancesa"/>
        <w:rPr>
          <w:rStyle w:val="TextoNormalCaracter"/>
        </w:rPr>
      </w:pPr>
      <w:bookmarkStart w:id="735" w:name="DESCRIPTORALFABETICO203"/>
      <w:r w:rsidRPr="00CD105B">
        <w:rPr>
          <w:rStyle w:val="TextoNormalNegritaCaracter"/>
        </w:rPr>
        <w:t>Garantías materiales del principio de legalidad penal</w:t>
      </w:r>
      <w:bookmarkEnd w:id="735"/>
      <w:r w:rsidRPr="00CD105B">
        <w:rPr>
          <w:rStyle w:val="TextoNormalCaracter"/>
        </w:rPr>
        <w:t xml:space="preserve">, Sentencias </w:t>
      </w:r>
      <w:hyperlink w:anchor="SENTENCIA_2024_96" w:history="1">
        <w:r w:rsidRPr="00CD105B">
          <w:rPr>
            <w:rStyle w:val="TextoNormalCaracter"/>
          </w:rPr>
          <w:t>96/2024</w:t>
        </w:r>
      </w:hyperlink>
      <w:r w:rsidRPr="00CD105B">
        <w:rPr>
          <w:rStyle w:val="TextoNormalCaracter"/>
        </w:rPr>
        <w:t xml:space="preserve">, f. 4; </w:t>
      </w:r>
      <w:hyperlink w:anchor="SENTENCIA_2024_97" w:history="1">
        <w:r w:rsidRPr="00CD105B">
          <w:rPr>
            <w:rStyle w:val="TextoNormalCaracter"/>
          </w:rPr>
          <w:t>97/2024</w:t>
        </w:r>
      </w:hyperlink>
      <w:r w:rsidRPr="00CD105B">
        <w:rPr>
          <w:rStyle w:val="TextoNormalCaracter"/>
        </w:rPr>
        <w:t xml:space="preserve">, f. 3; </w:t>
      </w:r>
      <w:hyperlink w:anchor="SENTENCIA_2024_100" w:history="1">
        <w:r w:rsidRPr="00CD105B">
          <w:rPr>
            <w:rStyle w:val="TextoNormalCaracter"/>
          </w:rPr>
          <w:t>100/2024</w:t>
        </w:r>
      </w:hyperlink>
      <w:r w:rsidRPr="00CD105B">
        <w:rPr>
          <w:rStyle w:val="TextoNormalCaracter"/>
        </w:rPr>
        <w:t xml:space="preserve">, f. 3; </w:t>
      </w:r>
      <w:hyperlink w:anchor="SENTENCIA_2024_102" w:history="1">
        <w:r w:rsidRPr="00CD105B">
          <w:rPr>
            <w:rStyle w:val="TextoNormalCaracter"/>
          </w:rPr>
          <w:t>102/2024</w:t>
        </w:r>
      </w:hyperlink>
      <w:r w:rsidRPr="00CD105B">
        <w:rPr>
          <w:rStyle w:val="TextoNormalCaracter"/>
        </w:rPr>
        <w:t>, f. 4.</w:t>
      </w:r>
    </w:p>
    <w:p w14:paraId="573F27F9" w14:textId="59E9B65B" w:rsidR="00CD105B" w:rsidRPr="00CD105B" w:rsidRDefault="00CD105B" w:rsidP="00CD105B">
      <w:pPr>
        <w:pStyle w:val="TextoNormalSangraFrancesa"/>
        <w:rPr>
          <w:rStyle w:val="TextoNormalCaracter"/>
        </w:rPr>
      </w:pPr>
      <w:bookmarkStart w:id="736" w:name="DESCRIPTORALFABETICO63"/>
      <w:r w:rsidRPr="00CD105B">
        <w:rPr>
          <w:rStyle w:val="TextoNormalNegritaCaracter"/>
        </w:rPr>
        <w:t>Garantías procesales</w:t>
      </w:r>
      <w:bookmarkEnd w:id="736"/>
      <w:r w:rsidRPr="00CD105B">
        <w:rPr>
          <w:rStyle w:val="TextoNormalCaracter"/>
        </w:rPr>
        <w:t xml:space="preserve">, Sentencia </w:t>
      </w:r>
      <w:hyperlink w:anchor="SENTENCIA_2024_124" w:history="1">
        <w:r w:rsidRPr="00CD105B">
          <w:rPr>
            <w:rStyle w:val="TextoNormalCaracter"/>
          </w:rPr>
          <w:t>124/2024</w:t>
        </w:r>
      </w:hyperlink>
      <w:r w:rsidRPr="00CD105B">
        <w:rPr>
          <w:rStyle w:val="TextoNormalCaracter"/>
        </w:rPr>
        <w:t>, ff. 2 y 3.</w:t>
      </w:r>
    </w:p>
    <w:p w14:paraId="52AD2600" w14:textId="74F78891" w:rsidR="00CD105B" w:rsidRDefault="00CD105B" w:rsidP="00CD105B">
      <w:pPr>
        <w:pStyle w:val="TextoNormalSangraFrancesa"/>
      </w:pPr>
    </w:p>
    <w:p w14:paraId="52646096" w14:textId="77777777" w:rsidR="00CD105B" w:rsidRDefault="00CD105B" w:rsidP="00CD105B">
      <w:pPr>
        <w:pStyle w:val="TextoNormalSangraFrancesa"/>
      </w:pPr>
    </w:p>
    <w:p w14:paraId="3FE24DF5" w14:textId="77777777" w:rsidR="00CD105B" w:rsidRDefault="00CD105B" w:rsidP="00CD105B">
      <w:pPr>
        <w:pStyle w:val="TextoNormalNegritaCentrado"/>
      </w:pPr>
      <w:r>
        <w:t>H</w:t>
      </w:r>
    </w:p>
    <w:p w14:paraId="46842180" w14:textId="5606045D" w:rsidR="00CD105B" w:rsidRDefault="00CD105B" w:rsidP="00CD105B">
      <w:pPr>
        <w:pStyle w:val="TextoNormalNegritaCentrado"/>
      </w:pPr>
    </w:p>
    <w:p w14:paraId="0ECB8E7E" w14:textId="18A1C05D" w:rsidR="00CD105B" w:rsidRPr="00CD105B" w:rsidRDefault="00CD105B" w:rsidP="00CD105B">
      <w:pPr>
        <w:pStyle w:val="TextoNormalSangraFrancesa"/>
        <w:rPr>
          <w:rStyle w:val="TextoNormalCaracter"/>
        </w:rPr>
      </w:pPr>
      <w:bookmarkStart w:id="737" w:name="DESCRIPTORALFABETICO336"/>
      <w:r w:rsidRPr="00CD105B">
        <w:rPr>
          <w:rStyle w:val="TextoNormalNegritaCaracter"/>
        </w:rPr>
        <w:t>Hechos nuevos</w:t>
      </w:r>
      <w:bookmarkEnd w:id="737"/>
      <w:r w:rsidRPr="00CD105B">
        <w:rPr>
          <w:rStyle w:val="TextoNormalCaracter"/>
        </w:rPr>
        <w:t xml:space="preserve">, Sentencia </w:t>
      </w:r>
      <w:hyperlink w:anchor="SENTENCIA_2024_95" w:history="1">
        <w:r w:rsidRPr="00CD105B">
          <w:rPr>
            <w:rStyle w:val="TextoNormalCaracter"/>
          </w:rPr>
          <w:t>95/2024</w:t>
        </w:r>
      </w:hyperlink>
      <w:r w:rsidRPr="00CD105B">
        <w:rPr>
          <w:rStyle w:val="TextoNormalCaracter"/>
        </w:rPr>
        <w:t>, f. 4.</w:t>
      </w:r>
    </w:p>
    <w:p w14:paraId="77CB64C3" w14:textId="50E57BCF" w:rsidR="00CD105B" w:rsidRDefault="00CD105B" w:rsidP="00CD105B">
      <w:pPr>
        <w:pStyle w:val="TextoNormalSangraFrancesa"/>
      </w:pPr>
    </w:p>
    <w:p w14:paraId="68B31EA6" w14:textId="77777777" w:rsidR="00CD105B" w:rsidRDefault="00CD105B" w:rsidP="00CD105B">
      <w:pPr>
        <w:pStyle w:val="TextoNormalSangraFrancesa"/>
      </w:pPr>
    </w:p>
    <w:p w14:paraId="7E52F9D1" w14:textId="77777777" w:rsidR="00CD105B" w:rsidRDefault="00CD105B" w:rsidP="00CD105B">
      <w:pPr>
        <w:pStyle w:val="TextoNormalNegritaCentrado"/>
      </w:pPr>
      <w:r>
        <w:t>I</w:t>
      </w:r>
    </w:p>
    <w:p w14:paraId="741B485E" w14:textId="55B43B47" w:rsidR="00CD105B" w:rsidRDefault="00CD105B" w:rsidP="00CD105B">
      <w:pPr>
        <w:pStyle w:val="TextoNormalNegritaCentrado"/>
      </w:pPr>
    </w:p>
    <w:p w14:paraId="15E26DDD" w14:textId="77777777" w:rsidR="00CD105B" w:rsidRPr="00CD105B" w:rsidRDefault="00CD105B" w:rsidP="00CD105B">
      <w:pPr>
        <w:pStyle w:val="TextoNormalSangraFrancesa"/>
        <w:rPr>
          <w:rStyle w:val="TextoNormalCaracter"/>
        </w:rPr>
      </w:pPr>
      <w:bookmarkStart w:id="738" w:name="DESCRIPTORALFABETICO20"/>
      <w:r w:rsidRPr="00CD105B">
        <w:rPr>
          <w:rStyle w:val="TextoNormalNegritaCaracter"/>
        </w:rPr>
        <w:t>Igualdad ante la ley</w:t>
      </w:r>
      <w:bookmarkEnd w:id="738"/>
      <w:r w:rsidRPr="00CD105B">
        <w:rPr>
          <w:rStyle w:val="TextoNormalCaracter"/>
        </w:rPr>
        <w:t xml:space="preserve">, </w:t>
      </w:r>
    </w:p>
    <w:p w14:paraId="3A6F7553" w14:textId="6CD03942" w:rsidR="00CD105B" w:rsidRPr="00CD105B" w:rsidRDefault="00CD105B" w:rsidP="00CD105B">
      <w:pPr>
        <w:pStyle w:val="TextoNormalSangraFrancesa"/>
        <w:rPr>
          <w:rStyle w:val="TextoNormalCaracter"/>
        </w:rPr>
      </w:pPr>
      <w:r w:rsidRPr="00CD105B">
        <w:rPr>
          <w:rStyle w:val="TextoNormalCursivaCaracter"/>
        </w:rPr>
        <w:t xml:space="preserve">    Vulnerada, </w:t>
      </w:r>
      <w:r w:rsidRPr="00CD105B">
        <w:rPr>
          <w:rStyle w:val="TextoNormalCaracter"/>
        </w:rPr>
        <w:t xml:space="preserve">Sentencias </w:t>
      </w:r>
      <w:hyperlink w:anchor="SENTENCIA_2024_140" w:history="1">
        <w:r w:rsidRPr="00CD105B">
          <w:rPr>
            <w:rStyle w:val="TextoNormalCaracter"/>
          </w:rPr>
          <w:t>140/2024</w:t>
        </w:r>
      </w:hyperlink>
      <w:r w:rsidRPr="00CD105B">
        <w:rPr>
          <w:rStyle w:val="TextoNormalCaracter"/>
        </w:rPr>
        <w:t xml:space="preserve">, VP I; </w:t>
      </w:r>
      <w:hyperlink w:anchor="SENTENCIA_2024_147" w:history="1">
        <w:r w:rsidRPr="00CD105B">
          <w:rPr>
            <w:rStyle w:val="TextoNormalCaracter"/>
          </w:rPr>
          <w:t>147/2024</w:t>
        </w:r>
      </w:hyperlink>
      <w:r w:rsidRPr="00CD105B">
        <w:rPr>
          <w:rStyle w:val="TextoNormalCaracter"/>
        </w:rPr>
        <w:t xml:space="preserve">, f. 3; </w:t>
      </w:r>
      <w:hyperlink w:anchor="SENTENCIA_2024_149" w:history="1">
        <w:r w:rsidRPr="00CD105B">
          <w:rPr>
            <w:rStyle w:val="TextoNormalCaracter"/>
          </w:rPr>
          <w:t>149/2024</w:t>
        </w:r>
      </w:hyperlink>
      <w:r w:rsidRPr="00CD105B">
        <w:rPr>
          <w:rStyle w:val="TextoNormalCaracter"/>
        </w:rPr>
        <w:t xml:space="preserve">, f. 3; </w:t>
      </w:r>
      <w:hyperlink w:anchor="SENTENCIA_2024_150" w:history="1">
        <w:r w:rsidRPr="00CD105B">
          <w:rPr>
            <w:rStyle w:val="TextoNormalCaracter"/>
          </w:rPr>
          <w:t>150/2024</w:t>
        </w:r>
      </w:hyperlink>
      <w:r w:rsidRPr="00CD105B">
        <w:rPr>
          <w:rStyle w:val="TextoNormalCaracter"/>
        </w:rPr>
        <w:t xml:space="preserve">, f. 3; </w:t>
      </w:r>
      <w:hyperlink w:anchor="SENTENCIA_2024_151" w:history="1">
        <w:r w:rsidRPr="00CD105B">
          <w:rPr>
            <w:rStyle w:val="TextoNormalCaracter"/>
          </w:rPr>
          <w:t>151/2024</w:t>
        </w:r>
      </w:hyperlink>
      <w:r w:rsidRPr="00CD105B">
        <w:rPr>
          <w:rStyle w:val="TextoNormalCaracter"/>
        </w:rPr>
        <w:t xml:space="preserve">, f. 3; </w:t>
      </w:r>
      <w:hyperlink w:anchor="SENTENCIA_2024_155" w:history="1">
        <w:r w:rsidRPr="00CD105B">
          <w:rPr>
            <w:rStyle w:val="TextoNormalCaracter"/>
          </w:rPr>
          <w:t>155/2024</w:t>
        </w:r>
      </w:hyperlink>
      <w:r w:rsidRPr="00CD105B">
        <w:rPr>
          <w:rStyle w:val="TextoNormalCaracter"/>
        </w:rPr>
        <w:t>, f. 3.</w:t>
      </w:r>
    </w:p>
    <w:p w14:paraId="216FE754" w14:textId="143C9909" w:rsidR="00CD105B" w:rsidRPr="00CD105B" w:rsidRDefault="00CD105B" w:rsidP="00CD105B">
      <w:pPr>
        <w:pStyle w:val="TextoNormalSangraFrancesa"/>
        <w:rPr>
          <w:rStyle w:val="TextoNormalCaracter"/>
        </w:rPr>
      </w:pPr>
      <w:bookmarkStart w:id="739" w:name="DESCRIPTORALFABETICO18"/>
      <w:r w:rsidRPr="00CD105B">
        <w:rPr>
          <w:rStyle w:val="TextoNormalNegritaCaracter"/>
        </w:rPr>
        <w:t>Igualdad en el ejercicio de cargos públicos</w:t>
      </w:r>
      <w:bookmarkEnd w:id="739"/>
      <w:r w:rsidRPr="00CD105B">
        <w:rPr>
          <w:rStyle w:val="TextoNormalCaracter"/>
        </w:rPr>
        <w:t xml:space="preserve">, Sentencia </w:t>
      </w:r>
      <w:hyperlink w:anchor="SENTENCIA_2024_131" w:history="1">
        <w:r w:rsidRPr="00CD105B">
          <w:rPr>
            <w:rStyle w:val="TextoNormalCaracter"/>
          </w:rPr>
          <w:t>131/2024</w:t>
        </w:r>
      </w:hyperlink>
      <w:r w:rsidRPr="00CD105B">
        <w:rPr>
          <w:rStyle w:val="TextoNormalCaracter"/>
        </w:rPr>
        <w:t>, ff. 2 y 3.</w:t>
      </w:r>
    </w:p>
    <w:p w14:paraId="38209DE3" w14:textId="7344132A" w:rsidR="00CD105B" w:rsidRPr="00CD105B" w:rsidRDefault="00CD105B" w:rsidP="00CD105B">
      <w:pPr>
        <w:pStyle w:val="TextoNormalSangraFrancesa"/>
        <w:rPr>
          <w:rStyle w:val="TextoNormalCaracter"/>
        </w:rPr>
      </w:pPr>
      <w:bookmarkStart w:id="740" w:name="DESCRIPTORALFABETICO382"/>
      <w:r w:rsidRPr="00CD105B">
        <w:rPr>
          <w:rStyle w:val="TextoNormalNegritaCaracter"/>
        </w:rPr>
        <w:t>Illes Balears</w:t>
      </w:r>
      <w:bookmarkEnd w:id="740"/>
      <w:r w:rsidRPr="00CD105B">
        <w:rPr>
          <w:rStyle w:val="TextoNormalCaracter"/>
        </w:rPr>
        <w:t xml:space="preserve">, Sentencias </w:t>
      </w:r>
      <w:hyperlink w:anchor="SENTENCIA_2024_112" w:history="1">
        <w:r w:rsidRPr="00CD105B">
          <w:rPr>
            <w:rStyle w:val="TextoNormalCaracter"/>
          </w:rPr>
          <w:t>112/2024</w:t>
        </w:r>
      </w:hyperlink>
      <w:r w:rsidRPr="00CD105B">
        <w:rPr>
          <w:rStyle w:val="TextoNormalCaracter"/>
        </w:rPr>
        <w:t xml:space="preserve">, f. 1; </w:t>
      </w:r>
      <w:hyperlink w:anchor="SENTENCIA_2024_141" w:history="1">
        <w:r w:rsidRPr="00CD105B">
          <w:rPr>
            <w:rStyle w:val="TextoNormalCaracter"/>
          </w:rPr>
          <w:t>141/2024</w:t>
        </w:r>
      </w:hyperlink>
      <w:r w:rsidRPr="00CD105B">
        <w:rPr>
          <w:rStyle w:val="TextoNormalCaracter"/>
        </w:rPr>
        <w:t>.</w:t>
      </w:r>
    </w:p>
    <w:p w14:paraId="039A2879" w14:textId="1A11582B" w:rsidR="00CD105B" w:rsidRPr="00CD105B" w:rsidRDefault="00CD105B" w:rsidP="00CD105B">
      <w:pPr>
        <w:pStyle w:val="TextoNormalSangraFrancesa"/>
        <w:rPr>
          <w:rStyle w:val="TextoNormalCaracter"/>
        </w:rPr>
      </w:pPr>
      <w:bookmarkStart w:id="741" w:name="DESCRIPTORALFABETICO125"/>
      <w:r w:rsidRPr="00CD105B">
        <w:rPr>
          <w:rStyle w:val="TextoNormalNegritaCaracter"/>
        </w:rPr>
        <w:t>Improcedencia de condena en costas procesales en el recurso de amparo</w:t>
      </w:r>
      <w:bookmarkEnd w:id="741"/>
      <w:r w:rsidRPr="00CD105B">
        <w:rPr>
          <w:rStyle w:val="TextoNormalCaracter"/>
        </w:rPr>
        <w:t xml:space="preserve">, Sentencias </w:t>
      </w:r>
      <w:hyperlink w:anchor="SENTENCIA_2024_133" w:history="1">
        <w:r w:rsidRPr="00CD105B">
          <w:rPr>
            <w:rStyle w:val="TextoNormalCaracter"/>
          </w:rPr>
          <w:t>133/2024</w:t>
        </w:r>
      </w:hyperlink>
      <w:r w:rsidRPr="00CD105B">
        <w:rPr>
          <w:rStyle w:val="TextoNormalCaracter"/>
        </w:rPr>
        <w:t xml:space="preserve">, f. 2; </w:t>
      </w:r>
      <w:hyperlink w:anchor="SENTENCIA_2024_134" w:history="1">
        <w:r w:rsidRPr="00CD105B">
          <w:rPr>
            <w:rStyle w:val="TextoNormalCaracter"/>
          </w:rPr>
          <w:t>134/2024</w:t>
        </w:r>
      </w:hyperlink>
      <w:r w:rsidRPr="00CD105B">
        <w:rPr>
          <w:rStyle w:val="TextoNormalCaracter"/>
        </w:rPr>
        <w:t>, f. 2.</w:t>
      </w:r>
    </w:p>
    <w:p w14:paraId="573F0403" w14:textId="6BB441B4" w:rsidR="00CD105B" w:rsidRPr="00CD105B" w:rsidRDefault="00CD105B" w:rsidP="00CD105B">
      <w:pPr>
        <w:pStyle w:val="TextoNormalSangraFrancesa"/>
        <w:rPr>
          <w:rStyle w:val="TextoNormalCaracter"/>
        </w:rPr>
      </w:pPr>
      <w:bookmarkStart w:id="742" w:name="DESCRIPTORALFABETICO13"/>
      <w:r w:rsidRPr="00CD105B">
        <w:rPr>
          <w:rStyle w:val="TextoNormalNegritaCaracter"/>
        </w:rPr>
        <w:t>Impuesto municipal sobre el incremento del valor de los terrenos</w:t>
      </w:r>
      <w:bookmarkEnd w:id="742"/>
      <w:r w:rsidRPr="00CD105B">
        <w:rPr>
          <w:rStyle w:val="TextoNormalCaracter"/>
        </w:rPr>
        <w:t xml:space="preserve">, Sentencia </w:t>
      </w:r>
      <w:hyperlink w:anchor="SENTENCIA_2024_117" w:history="1">
        <w:r w:rsidRPr="00CD105B">
          <w:rPr>
            <w:rStyle w:val="TextoNormalCaracter"/>
          </w:rPr>
          <w:t>117/2024</w:t>
        </w:r>
      </w:hyperlink>
      <w:r w:rsidRPr="00CD105B">
        <w:rPr>
          <w:rStyle w:val="TextoNormalCaracter"/>
        </w:rPr>
        <w:t>, ff. 1 y 4.</w:t>
      </w:r>
    </w:p>
    <w:p w14:paraId="1ABB82ED" w14:textId="4273EFED" w:rsidR="00CD105B" w:rsidRPr="00CD105B" w:rsidRDefault="00CD105B" w:rsidP="00CD105B">
      <w:pPr>
        <w:pStyle w:val="TextoNormalSangraFrancesa"/>
        <w:rPr>
          <w:rStyle w:val="TextoNormalCaracter"/>
        </w:rPr>
      </w:pPr>
      <w:r w:rsidRPr="00CD105B">
        <w:rPr>
          <w:rStyle w:val="TextoNormalCaracter"/>
        </w:rPr>
        <w:t xml:space="preserve">    Auto </w:t>
      </w:r>
      <w:hyperlink w:anchor="AUTO_2024_103" w:history="1">
        <w:r w:rsidRPr="00CD105B">
          <w:rPr>
            <w:rStyle w:val="TextoNormalCaracter"/>
          </w:rPr>
          <w:t>103/2024</w:t>
        </w:r>
      </w:hyperlink>
      <w:r w:rsidRPr="00CD105B">
        <w:rPr>
          <w:rStyle w:val="TextoNormalCaracter"/>
        </w:rPr>
        <w:t>, f. 1.</w:t>
      </w:r>
    </w:p>
    <w:p w14:paraId="1F8345D3" w14:textId="0F210333" w:rsidR="00CD105B" w:rsidRPr="00CD105B" w:rsidRDefault="00CD105B" w:rsidP="00CD105B">
      <w:pPr>
        <w:pStyle w:val="TextoNormalSangraFrancesa"/>
        <w:rPr>
          <w:rStyle w:val="TextoNormalCaracter"/>
        </w:rPr>
      </w:pPr>
      <w:bookmarkStart w:id="743" w:name="DESCRIPTORALFABETICO183"/>
      <w:r w:rsidRPr="00CD105B">
        <w:rPr>
          <w:rStyle w:val="TextoNormalNegritaCaracter"/>
        </w:rPr>
        <w:t>Impugnación de acuerdos de las mesas parlamentarias</w:t>
      </w:r>
      <w:bookmarkEnd w:id="743"/>
      <w:r w:rsidRPr="00CD105B">
        <w:rPr>
          <w:rStyle w:val="TextoNormalCaracter"/>
        </w:rPr>
        <w:t xml:space="preserve">, Sentencia </w:t>
      </w:r>
      <w:hyperlink w:anchor="SENTENCIA_2024_138" w:history="1">
        <w:r w:rsidRPr="00CD105B">
          <w:rPr>
            <w:rStyle w:val="TextoNormalCaracter"/>
          </w:rPr>
          <w:t>138/2024</w:t>
        </w:r>
      </w:hyperlink>
      <w:r w:rsidRPr="00CD105B">
        <w:rPr>
          <w:rStyle w:val="TextoNormalCaracter"/>
        </w:rPr>
        <w:t>, f. 4.</w:t>
      </w:r>
    </w:p>
    <w:p w14:paraId="6A728B74" w14:textId="2394B291" w:rsidR="00CD105B" w:rsidRPr="00CD105B" w:rsidRDefault="00CD105B" w:rsidP="00CD105B">
      <w:pPr>
        <w:pStyle w:val="TextoNormalSangraFrancesa"/>
        <w:rPr>
          <w:rStyle w:val="TextoNormalCaracter"/>
        </w:rPr>
      </w:pPr>
      <w:bookmarkStart w:id="744" w:name="DESCRIPTORALFABETICO328"/>
      <w:r w:rsidRPr="00CD105B">
        <w:rPr>
          <w:rStyle w:val="TextoNormalNegritaCaracter"/>
        </w:rPr>
        <w:t>Impugnación de la tasación de costas</w:t>
      </w:r>
      <w:bookmarkEnd w:id="744"/>
      <w:r w:rsidRPr="00CD105B">
        <w:rPr>
          <w:rStyle w:val="TextoNormalCaracter"/>
        </w:rPr>
        <w:t xml:space="preserve">, Sentencia </w:t>
      </w:r>
      <w:hyperlink w:anchor="SENTENCIA_2024_104" w:history="1">
        <w:r w:rsidRPr="00CD105B">
          <w:rPr>
            <w:rStyle w:val="TextoNormalCaracter"/>
          </w:rPr>
          <w:t>104/2024</w:t>
        </w:r>
      </w:hyperlink>
      <w:r w:rsidRPr="00CD105B">
        <w:rPr>
          <w:rStyle w:val="TextoNormalCaracter"/>
        </w:rPr>
        <w:t>, f. 1.</w:t>
      </w:r>
    </w:p>
    <w:p w14:paraId="13ED2D03" w14:textId="63EE3F56" w:rsidR="00CD105B" w:rsidRPr="00CD105B" w:rsidRDefault="00CD105B" w:rsidP="00CD105B">
      <w:pPr>
        <w:pStyle w:val="TextoNormalSangraFrancesa"/>
        <w:rPr>
          <w:rStyle w:val="TextoNormalCaracter"/>
        </w:rPr>
      </w:pPr>
      <w:bookmarkStart w:id="745" w:name="DESCRIPTORALFABETICO110"/>
      <w:r w:rsidRPr="00CD105B">
        <w:rPr>
          <w:rStyle w:val="TextoNormalNegritaCaracter"/>
        </w:rPr>
        <w:t>Inadmisión de cuestión de inconstitucionalidad</w:t>
      </w:r>
      <w:bookmarkEnd w:id="745"/>
      <w:r w:rsidRPr="00CD105B">
        <w:rPr>
          <w:rStyle w:val="TextoNormalCaracter"/>
        </w:rPr>
        <w:t xml:space="preserve">, Autos </w:t>
      </w:r>
      <w:hyperlink w:anchor="AUTO_2024_80" w:history="1">
        <w:r w:rsidRPr="00CD105B">
          <w:rPr>
            <w:rStyle w:val="TextoNormalCaracter"/>
          </w:rPr>
          <w:t>80/2024</w:t>
        </w:r>
      </w:hyperlink>
      <w:r w:rsidRPr="00CD105B">
        <w:rPr>
          <w:rStyle w:val="TextoNormalCaracter"/>
        </w:rPr>
        <w:t xml:space="preserve">, f. 2; </w:t>
      </w:r>
      <w:hyperlink w:anchor="AUTO_2024_81" w:history="1">
        <w:r w:rsidRPr="00CD105B">
          <w:rPr>
            <w:rStyle w:val="TextoNormalCaracter"/>
          </w:rPr>
          <w:t>81/2024</w:t>
        </w:r>
      </w:hyperlink>
      <w:r w:rsidRPr="00CD105B">
        <w:rPr>
          <w:rStyle w:val="TextoNormalCaracter"/>
        </w:rPr>
        <w:t xml:space="preserve">, f. 2; </w:t>
      </w:r>
      <w:hyperlink w:anchor="AUTO_2024_101" w:history="1">
        <w:r w:rsidRPr="00CD105B">
          <w:rPr>
            <w:rStyle w:val="TextoNormalCaracter"/>
          </w:rPr>
          <w:t>101/2024</w:t>
        </w:r>
      </w:hyperlink>
      <w:r w:rsidRPr="00CD105B">
        <w:rPr>
          <w:rStyle w:val="TextoNormalCaracter"/>
        </w:rPr>
        <w:t xml:space="preserve">, f. 2; </w:t>
      </w:r>
      <w:hyperlink w:anchor="AUTO_2024_102" w:history="1">
        <w:r w:rsidRPr="00CD105B">
          <w:rPr>
            <w:rStyle w:val="TextoNormalCaracter"/>
          </w:rPr>
          <w:t>102/2024</w:t>
        </w:r>
      </w:hyperlink>
      <w:r w:rsidRPr="00CD105B">
        <w:rPr>
          <w:rStyle w:val="TextoNormalCaracter"/>
        </w:rPr>
        <w:t xml:space="preserve">, f. 3; </w:t>
      </w:r>
      <w:hyperlink w:anchor="AUTO_2024_115" w:history="1">
        <w:r w:rsidRPr="00CD105B">
          <w:rPr>
            <w:rStyle w:val="TextoNormalCaracter"/>
          </w:rPr>
          <w:t>115/2024</w:t>
        </w:r>
      </w:hyperlink>
      <w:r w:rsidRPr="00CD105B">
        <w:rPr>
          <w:rStyle w:val="TextoNormalCaracter"/>
        </w:rPr>
        <w:t xml:space="preserve">, f. único; </w:t>
      </w:r>
      <w:hyperlink w:anchor="AUTO_2024_153" w:history="1">
        <w:r w:rsidRPr="00CD105B">
          <w:rPr>
            <w:rStyle w:val="TextoNormalCaracter"/>
          </w:rPr>
          <w:t>153/2024</w:t>
        </w:r>
      </w:hyperlink>
      <w:r w:rsidRPr="00CD105B">
        <w:rPr>
          <w:rStyle w:val="TextoNormalCaracter"/>
        </w:rPr>
        <w:t>, ff. 3 y 4.</w:t>
      </w:r>
    </w:p>
    <w:p w14:paraId="7EE258BF" w14:textId="0DBB1D54" w:rsidR="00CD105B" w:rsidRPr="00CD105B" w:rsidRDefault="00CD105B" w:rsidP="00CD105B">
      <w:pPr>
        <w:pStyle w:val="TextoNormalSangraFrancesa"/>
        <w:rPr>
          <w:rStyle w:val="TextoNormalCaracter"/>
        </w:rPr>
      </w:pPr>
      <w:bookmarkStart w:id="746" w:name="DESCRIPTORALFABETICO112"/>
      <w:r w:rsidRPr="00CD105B">
        <w:rPr>
          <w:rStyle w:val="TextoNormalNegritaCaracter"/>
        </w:rPr>
        <w:t>Inadmisión de cuestión de inconstitucionalidad por falta de requisitos procesales</w:t>
      </w:r>
      <w:bookmarkEnd w:id="746"/>
      <w:r w:rsidRPr="00CD105B">
        <w:rPr>
          <w:rStyle w:val="TextoNormalCaracter"/>
        </w:rPr>
        <w:t xml:space="preserve">, Autos </w:t>
      </w:r>
      <w:hyperlink w:anchor="AUTO_2024_65" w:history="1">
        <w:r w:rsidRPr="00CD105B">
          <w:rPr>
            <w:rStyle w:val="TextoNormalCaracter"/>
          </w:rPr>
          <w:t>65/2024</w:t>
        </w:r>
      </w:hyperlink>
      <w:r w:rsidRPr="00CD105B">
        <w:rPr>
          <w:rStyle w:val="TextoNormalCaracter"/>
        </w:rPr>
        <w:t xml:space="preserve">, ff. 1 y 2; </w:t>
      </w:r>
      <w:hyperlink w:anchor="AUTO_2024_66" w:history="1">
        <w:r w:rsidRPr="00CD105B">
          <w:rPr>
            <w:rStyle w:val="TextoNormalCaracter"/>
          </w:rPr>
          <w:t>66/2024</w:t>
        </w:r>
      </w:hyperlink>
      <w:r w:rsidRPr="00CD105B">
        <w:rPr>
          <w:rStyle w:val="TextoNormalCaracter"/>
        </w:rPr>
        <w:t xml:space="preserve">, ff. 1 y 2; </w:t>
      </w:r>
      <w:hyperlink w:anchor="AUTO_2024_73" w:history="1">
        <w:r w:rsidRPr="00CD105B">
          <w:rPr>
            <w:rStyle w:val="TextoNormalCaracter"/>
          </w:rPr>
          <w:t>73/2024</w:t>
        </w:r>
      </w:hyperlink>
      <w:r w:rsidRPr="00CD105B">
        <w:rPr>
          <w:rStyle w:val="TextoNormalCaracter"/>
        </w:rPr>
        <w:t>, ff. 2 a 4.</w:t>
      </w:r>
    </w:p>
    <w:p w14:paraId="599ECBD4" w14:textId="23A42829" w:rsidR="00CD105B" w:rsidRPr="00CD105B" w:rsidRDefault="00CD105B" w:rsidP="00CD105B">
      <w:pPr>
        <w:pStyle w:val="TextoNormalSangraFrancesa"/>
        <w:rPr>
          <w:rStyle w:val="TextoNormalCaracter"/>
        </w:rPr>
      </w:pPr>
      <w:bookmarkStart w:id="747" w:name="DESCRIPTORALFABETICO141"/>
      <w:r w:rsidRPr="00CD105B">
        <w:rPr>
          <w:rStyle w:val="TextoNormalNegritaCaracter"/>
        </w:rPr>
        <w:t>Inadmisión de cuestión prejudicial de validez sobre Normas Forales fiscales</w:t>
      </w:r>
      <w:bookmarkEnd w:id="747"/>
      <w:r w:rsidRPr="00CD105B">
        <w:rPr>
          <w:rStyle w:val="TextoNormalCaracter"/>
        </w:rPr>
        <w:t xml:space="preserve">, Auto </w:t>
      </w:r>
      <w:hyperlink w:anchor="AUTO_2024_103" w:history="1">
        <w:r w:rsidRPr="00CD105B">
          <w:rPr>
            <w:rStyle w:val="TextoNormalCaracter"/>
          </w:rPr>
          <w:t>103/2024</w:t>
        </w:r>
      </w:hyperlink>
      <w:r w:rsidRPr="00CD105B">
        <w:rPr>
          <w:rStyle w:val="TextoNormalCaracter"/>
        </w:rPr>
        <w:t>, f. 2.</w:t>
      </w:r>
    </w:p>
    <w:p w14:paraId="227A69C9" w14:textId="314062A5" w:rsidR="00CD105B" w:rsidRPr="00CD105B" w:rsidRDefault="00CD105B" w:rsidP="00CD105B">
      <w:pPr>
        <w:pStyle w:val="TextoNormalSangraFrancesa"/>
        <w:rPr>
          <w:rStyle w:val="TextoNormalCaracter"/>
        </w:rPr>
      </w:pPr>
      <w:bookmarkStart w:id="748" w:name="DESCRIPTORALFABETICO223"/>
      <w:r w:rsidRPr="00CD105B">
        <w:rPr>
          <w:rStyle w:val="TextoNormalNegritaCaracter"/>
        </w:rPr>
        <w:t>Inadmisión de demanda de error judicial</w:t>
      </w:r>
      <w:bookmarkEnd w:id="748"/>
      <w:r w:rsidRPr="00CD105B">
        <w:rPr>
          <w:rStyle w:val="TextoNormalCaracter"/>
        </w:rPr>
        <w:t xml:space="preserve">, Sentencia </w:t>
      </w:r>
      <w:hyperlink w:anchor="SENTENCIA_2024_118" w:history="1">
        <w:r w:rsidRPr="00CD105B">
          <w:rPr>
            <w:rStyle w:val="TextoNormalCaracter"/>
          </w:rPr>
          <w:t>118/2024</w:t>
        </w:r>
      </w:hyperlink>
      <w:r w:rsidRPr="00CD105B">
        <w:rPr>
          <w:rStyle w:val="TextoNormalCaracter"/>
        </w:rPr>
        <w:t>, ff. 1 a 6.</w:t>
      </w:r>
    </w:p>
    <w:p w14:paraId="249C1545" w14:textId="3A182483" w:rsidR="00CD105B" w:rsidRPr="00CD105B" w:rsidRDefault="00CD105B" w:rsidP="00CD105B">
      <w:pPr>
        <w:pStyle w:val="TextoNormalSangraFrancesa"/>
        <w:rPr>
          <w:rStyle w:val="TextoNormalCaracter"/>
        </w:rPr>
      </w:pPr>
      <w:bookmarkStart w:id="749" w:name="DESCRIPTORALFABETICO363"/>
      <w:r w:rsidRPr="00CD105B">
        <w:rPr>
          <w:rStyle w:val="TextoNormalNegritaCaracter"/>
        </w:rPr>
        <w:t>Inadmisión de recurso contencioso-administrativo</w:t>
      </w:r>
      <w:bookmarkEnd w:id="749"/>
      <w:r w:rsidRPr="00CD105B">
        <w:rPr>
          <w:rStyle w:val="TextoNormalCaracter"/>
        </w:rPr>
        <w:t xml:space="preserve">, Sentencia </w:t>
      </w:r>
      <w:hyperlink w:anchor="SENTENCIA_2024_116" w:history="1">
        <w:r w:rsidRPr="00CD105B">
          <w:rPr>
            <w:rStyle w:val="TextoNormalCaracter"/>
          </w:rPr>
          <w:t>116/2024</w:t>
        </w:r>
      </w:hyperlink>
      <w:r w:rsidRPr="00CD105B">
        <w:rPr>
          <w:rStyle w:val="TextoNormalCaracter"/>
        </w:rPr>
        <w:t>, ff. 1 a 3.</w:t>
      </w:r>
    </w:p>
    <w:p w14:paraId="79D14E73" w14:textId="336304DE" w:rsidR="00CD105B" w:rsidRPr="00CD105B" w:rsidRDefault="00CD105B" w:rsidP="00CD105B">
      <w:pPr>
        <w:pStyle w:val="TextoNormalSangraFrancesa"/>
        <w:rPr>
          <w:rStyle w:val="TextoNormalCaracter"/>
        </w:rPr>
      </w:pPr>
      <w:bookmarkStart w:id="750" w:name="DESCRIPTORALFABETICO364"/>
      <w:r w:rsidRPr="00CD105B">
        <w:rPr>
          <w:rStyle w:val="TextoNormalNegritaCaracter"/>
        </w:rPr>
        <w:t>Inadmisión de recurso de casación contencioso-administrativo</w:t>
      </w:r>
      <w:bookmarkEnd w:id="750"/>
      <w:r w:rsidRPr="00CD105B">
        <w:rPr>
          <w:rStyle w:val="TextoNormalCaracter"/>
        </w:rPr>
        <w:t xml:space="preserve">, Sentencia </w:t>
      </w:r>
      <w:hyperlink w:anchor="SENTENCIA_2024_116" w:history="1">
        <w:r w:rsidRPr="00CD105B">
          <w:rPr>
            <w:rStyle w:val="TextoNormalCaracter"/>
          </w:rPr>
          <w:t>116/2024</w:t>
        </w:r>
      </w:hyperlink>
      <w:r w:rsidRPr="00CD105B">
        <w:rPr>
          <w:rStyle w:val="TextoNormalCaracter"/>
        </w:rPr>
        <w:t>, ff. 1 a 3.</w:t>
      </w:r>
    </w:p>
    <w:p w14:paraId="77AF32BC" w14:textId="29DB911A" w:rsidR="00CD105B" w:rsidRPr="00CD105B" w:rsidRDefault="00CD105B" w:rsidP="00CD105B">
      <w:pPr>
        <w:pStyle w:val="TextoNormalSangraFrancesa"/>
        <w:rPr>
          <w:rStyle w:val="TextoNormalCaracter"/>
        </w:rPr>
      </w:pPr>
      <w:bookmarkStart w:id="751" w:name="DESCRIPTORALFABETICO122"/>
      <w:r w:rsidRPr="00CD105B">
        <w:rPr>
          <w:rStyle w:val="TextoNormalNegritaCaracter"/>
        </w:rPr>
        <w:t>Inadmisión de recurso de inconstitucionalidad por sentencia</w:t>
      </w:r>
      <w:bookmarkEnd w:id="751"/>
      <w:r w:rsidRPr="00CD105B">
        <w:rPr>
          <w:rStyle w:val="TextoNormalCaracter"/>
        </w:rPr>
        <w:t xml:space="preserve">, Sentencia </w:t>
      </w:r>
      <w:hyperlink w:anchor="SENTENCIA_2024_157" w:history="1">
        <w:r w:rsidRPr="00CD105B">
          <w:rPr>
            <w:rStyle w:val="TextoNormalCaracter"/>
          </w:rPr>
          <w:t>157/2024</w:t>
        </w:r>
      </w:hyperlink>
      <w:r w:rsidRPr="00CD105B">
        <w:rPr>
          <w:rStyle w:val="TextoNormalCaracter"/>
        </w:rPr>
        <w:t>, f. 2.</w:t>
      </w:r>
    </w:p>
    <w:p w14:paraId="080A4671" w14:textId="771E7910" w:rsidR="00CD105B" w:rsidRPr="00CD105B" w:rsidRDefault="00CD105B" w:rsidP="00CD105B">
      <w:pPr>
        <w:pStyle w:val="TextoNormalSangraFrancesa"/>
        <w:rPr>
          <w:rStyle w:val="TextoNormalCaracter"/>
        </w:rPr>
      </w:pPr>
      <w:bookmarkStart w:id="752" w:name="DESCRIPTORALFABETICO94"/>
      <w:r w:rsidRPr="00CD105B">
        <w:rPr>
          <w:rStyle w:val="TextoNormalNegritaCaracter"/>
        </w:rPr>
        <w:t>Inadmisión del incidente de recusación de magistrados del Tribunal Constitucional</w:t>
      </w:r>
      <w:bookmarkEnd w:id="752"/>
      <w:r w:rsidRPr="00CD105B">
        <w:rPr>
          <w:rStyle w:val="TextoNormalCaracter"/>
        </w:rPr>
        <w:t xml:space="preserve">, Autos </w:t>
      </w:r>
      <w:hyperlink w:anchor="AUTO_2024_68" w:history="1">
        <w:r w:rsidRPr="00CD105B">
          <w:rPr>
            <w:rStyle w:val="TextoNormalCaracter"/>
          </w:rPr>
          <w:t>68/2024</w:t>
        </w:r>
      </w:hyperlink>
      <w:r w:rsidRPr="00CD105B">
        <w:rPr>
          <w:rStyle w:val="TextoNormalCaracter"/>
        </w:rPr>
        <w:t xml:space="preserve">, f. 2; </w:t>
      </w:r>
      <w:hyperlink w:anchor="AUTO_2024_70" w:history="1">
        <w:r w:rsidRPr="00CD105B">
          <w:rPr>
            <w:rStyle w:val="TextoNormalCaracter"/>
          </w:rPr>
          <w:t>70/2024</w:t>
        </w:r>
      </w:hyperlink>
      <w:r w:rsidRPr="00CD105B">
        <w:rPr>
          <w:rStyle w:val="TextoNormalCaracter"/>
        </w:rPr>
        <w:t xml:space="preserve">, f. 2; </w:t>
      </w:r>
      <w:hyperlink w:anchor="AUTO_2024_78" w:history="1">
        <w:r w:rsidRPr="00CD105B">
          <w:rPr>
            <w:rStyle w:val="TextoNormalCaracter"/>
          </w:rPr>
          <w:t>78/2024</w:t>
        </w:r>
      </w:hyperlink>
      <w:r w:rsidRPr="00CD105B">
        <w:rPr>
          <w:rStyle w:val="TextoNormalCaracter"/>
        </w:rPr>
        <w:t xml:space="preserve">, f. 3; </w:t>
      </w:r>
      <w:hyperlink w:anchor="AUTO_2024_93" w:history="1">
        <w:r w:rsidRPr="00CD105B">
          <w:rPr>
            <w:rStyle w:val="TextoNormalCaracter"/>
          </w:rPr>
          <w:t>93/2024</w:t>
        </w:r>
      </w:hyperlink>
      <w:r w:rsidRPr="00CD105B">
        <w:rPr>
          <w:rStyle w:val="TextoNormalCaracter"/>
        </w:rPr>
        <w:t xml:space="preserve">, f. 3; </w:t>
      </w:r>
      <w:hyperlink w:anchor="AUTO_2024_105" w:history="1">
        <w:r w:rsidRPr="00CD105B">
          <w:rPr>
            <w:rStyle w:val="TextoNormalCaracter"/>
          </w:rPr>
          <w:t>105/2024</w:t>
        </w:r>
      </w:hyperlink>
      <w:r w:rsidRPr="00CD105B">
        <w:rPr>
          <w:rStyle w:val="TextoNormalCaracter"/>
        </w:rPr>
        <w:t xml:space="preserve">, f. 3; </w:t>
      </w:r>
      <w:hyperlink w:anchor="AUTO_2024_106" w:history="1">
        <w:r w:rsidRPr="00CD105B">
          <w:rPr>
            <w:rStyle w:val="TextoNormalCaracter"/>
          </w:rPr>
          <w:t>106/2024</w:t>
        </w:r>
      </w:hyperlink>
      <w:r w:rsidRPr="00CD105B">
        <w:rPr>
          <w:rStyle w:val="TextoNormalCaracter"/>
        </w:rPr>
        <w:t xml:space="preserve">, f. 2; </w:t>
      </w:r>
      <w:hyperlink w:anchor="AUTO_2024_107" w:history="1">
        <w:r w:rsidRPr="00CD105B">
          <w:rPr>
            <w:rStyle w:val="TextoNormalCaracter"/>
          </w:rPr>
          <w:t>107/2024</w:t>
        </w:r>
      </w:hyperlink>
      <w:r w:rsidRPr="00CD105B">
        <w:rPr>
          <w:rStyle w:val="TextoNormalCaracter"/>
        </w:rPr>
        <w:t xml:space="preserve">, f. 2; </w:t>
      </w:r>
      <w:hyperlink w:anchor="AUTO_2024_108" w:history="1">
        <w:r w:rsidRPr="00CD105B">
          <w:rPr>
            <w:rStyle w:val="TextoNormalCaracter"/>
          </w:rPr>
          <w:t>108/2024</w:t>
        </w:r>
      </w:hyperlink>
      <w:r w:rsidRPr="00CD105B">
        <w:rPr>
          <w:rStyle w:val="TextoNormalCaracter"/>
        </w:rPr>
        <w:t xml:space="preserve">, f. 2; </w:t>
      </w:r>
      <w:hyperlink w:anchor="AUTO_2024_109" w:history="1">
        <w:r w:rsidRPr="00CD105B">
          <w:rPr>
            <w:rStyle w:val="TextoNormalCaracter"/>
          </w:rPr>
          <w:t>109/2024</w:t>
        </w:r>
      </w:hyperlink>
      <w:r w:rsidRPr="00CD105B">
        <w:rPr>
          <w:rStyle w:val="TextoNormalCaracter"/>
        </w:rPr>
        <w:t xml:space="preserve">, f. 2; </w:t>
      </w:r>
      <w:hyperlink w:anchor="AUTO_2024_110" w:history="1">
        <w:r w:rsidRPr="00CD105B">
          <w:rPr>
            <w:rStyle w:val="TextoNormalCaracter"/>
          </w:rPr>
          <w:t>110/2024</w:t>
        </w:r>
      </w:hyperlink>
      <w:r w:rsidRPr="00CD105B">
        <w:rPr>
          <w:rStyle w:val="TextoNormalCaracter"/>
        </w:rPr>
        <w:t xml:space="preserve">, f. 2; </w:t>
      </w:r>
      <w:hyperlink w:anchor="AUTO_2024_111" w:history="1">
        <w:r w:rsidRPr="00CD105B">
          <w:rPr>
            <w:rStyle w:val="TextoNormalCaracter"/>
          </w:rPr>
          <w:t>111/2024</w:t>
        </w:r>
      </w:hyperlink>
      <w:r w:rsidRPr="00CD105B">
        <w:rPr>
          <w:rStyle w:val="TextoNormalCaracter"/>
        </w:rPr>
        <w:t xml:space="preserve">, f. 2; </w:t>
      </w:r>
      <w:hyperlink w:anchor="AUTO_2024_112" w:history="1">
        <w:r w:rsidRPr="00CD105B">
          <w:rPr>
            <w:rStyle w:val="TextoNormalCaracter"/>
          </w:rPr>
          <w:t>112/2024</w:t>
        </w:r>
      </w:hyperlink>
      <w:r w:rsidRPr="00CD105B">
        <w:rPr>
          <w:rStyle w:val="TextoNormalCaracter"/>
        </w:rPr>
        <w:t xml:space="preserve">, f. 2; </w:t>
      </w:r>
      <w:hyperlink w:anchor="AUTO_2024_113" w:history="1">
        <w:r w:rsidRPr="00CD105B">
          <w:rPr>
            <w:rStyle w:val="TextoNormalCaracter"/>
          </w:rPr>
          <w:t>113/2024</w:t>
        </w:r>
      </w:hyperlink>
      <w:r w:rsidRPr="00CD105B">
        <w:rPr>
          <w:rStyle w:val="TextoNormalCaracter"/>
        </w:rPr>
        <w:t xml:space="preserve">, f. 2; </w:t>
      </w:r>
      <w:hyperlink w:anchor="AUTO_2024_116" w:history="1">
        <w:r w:rsidRPr="00CD105B">
          <w:rPr>
            <w:rStyle w:val="TextoNormalCaracter"/>
          </w:rPr>
          <w:t>116/2024</w:t>
        </w:r>
      </w:hyperlink>
      <w:r w:rsidRPr="00CD105B">
        <w:rPr>
          <w:rStyle w:val="TextoNormalCaracter"/>
        </w:rPr>
        <w:t xml:space="preserve">, f. 3; </w:t>
      </w:r>
      <w:hyperlink w:anchor="AUTO_2024_117" w:history="1">
        <w:r w:rsidRPr="00CD105B">
          <w:rPr>
            <w:rStyle w:val="TextoNormalCaracter"/>
          </w:rPr>
          <w:t>117/2024</w:t>
        </w:r>
      </w:hyperlink>
      <w:r w:rsidRPr="00CD105B">
        <w:rPr>
          <w:rStyle w:val="TextoNormalCaracter"/>
        </w:rPr>
        <w:t xml:space="preserve">, f. 2; </w:t>
      </w:r>
      <w:hyperlink w:anchor="AUTO_2024_118" w:history="1">
        <w:r w:rsidRPr="00CD105B">
          <w:rPr>
            <w:rStyle w:val="TextoNormalCaracter"/>
          </w:rPr>
          <w:t>118/2024</w:t>
        </w:r>
      </w:hyperlink>
      <w:r w:rsidRPr="00CD105B">
        <w:rPr>
          <w:rStyle w:val="TextoNormalCaracter"/>
        </w:rPr>
        <w:t xml:space="preserve">, ff. 1 a 3; </w:t>
      </w:r>
      <w:hyperlink w:anchor="AUTO_2024_119" w:history="1">
        <w:r w:rsidRPr="00CD105B">
          <w:rPr>
            <w:rStyle w:val="TextoNormalCaracter"/>
          </w:rPr>
          <w:t>119/2024</w:t>
        </w:r>
      </w:hyperlink>
      <w:r w:rsidRPr="00CD105B">
        <w:rPr>
          <w:rStyle w:val="TextoNormalCaracter"/>
        </w:rPr>
        <w:t xml:space="preserve">, ff. 1 a 3; </w:t>
      </w:r>
      <w:hyperlink w:anchor="AUTO_2024_120" w:history="1">
        <w:r w:rsidRPr="00CD105B">
          <w:rPr>
            <w:rStyle w:val="TextoNormalCaracter"/>
          </w:rPr>
          <w:t>120/2024</w:t>
        </w:r>
      </w:hyperlink>
      <w:r w:rsidRPr="00CD105B">
        <w:rPr>
          <w:rStyle w:val="TextoNormalCaracter"/>
        </w:rPr>
        <w:t xml:space="preserve">, ff. 1 a 4; </w:t>
      </w:r>
      <w:hyperlink w:anchor="AUTO_2024_121" w:history="1">
        <w:r w:rsidRPr="00CD105B">
          <w:rPr>
            <w:rStyle w:val="TextoNormalCaracter"/>
          </w:rPr>
          <w:t>121/2024</w:t>
        </w:r>
      </w:hyperlink>
      <w:r w:rsidRPr="00CD105B">
        <w:rPr>
          <w:rStyle w:val="TextoNormalCaracter"/>
        </w:rPr>
        <w:t xml:space="preserve">, ff. 1 a 3; </w:t>
      </w:r>
      <w:hyperlink w:anchor="AUTO_2024_122" w:history="1">
        <w:r w:rsidRPr="00CD105B">
          <w:rPr>
            <w:rStyle w:val="TextoNormalCaracter"/>
          </w:rPr>
          <w:t>122/2024</w:t>
        </w:r>
      </w:hyperlink>
      <w:r w:rsidRPr="00CD105B">
        <w:rPr>
          <w:rStyle w:val="TextoNormalCaracter"/>
        </w:rPr>
        <w:t xml:space="preserve">, ff. 2 y 3; </w:t>
      </w:r>
      <w:hyperlink w:anchor="AUTO_2024_123" w:history="1">
        <w:r w:rsidRPr="00CD105B">
          <w:rPr>
            <w:rStyle w:val="TextoNormalCaracter"/>
          </w:rPr>
          <w:t>123/2024</w:t>
        </w:r>
      </w:hyperlink>
      <w:r w:rsidRPr="00CD105B">
        <w:rPr>
          <w:rStyle w:val="TextoNormalCaracter"/>
        </w:rPr>
        <w:t xml:space="preserve">, ff. 2 a 5; </w:t>
      </w:r>
      <w:hyperlink w:anchor="AUTO_2024_124" w:history="1">
        <w:r w:rsidRPr="00CD105B">
          <w:rPr>
            <w:rStyle w:val="TextoNormalCaracter"/>
          </w:rPr>
          <w:t>124/2024</w:t>
        </w:r>
      </w:hyperlink>
      <w:r w:rsidRPr="00CD105B">
        <w:rPr>
          <w:rStyle w:val="TextoNormalCaracter"/>
        </w:rPr>
        <w:t xml:space="preserve">, ff. 1 a 3; </w:t>
      </w:r>
      <w:hyperlink w:anchor="AUTO_2024_128" w:history="1">
        <w:r w:rsidRPr="00CD105B">
          <w:rPr>
            <w:rStyle w:val="TextoNormalCaracter"/>
          </w:rPr>
          <w:t>128/2024</w:t>
        </w:r>
      </w:hyperlink>
      <w:r w:rsidRPr="00CD105B">
        <w:rPr>
          <w:rStyle w:val="TextoNormalCaracter"/>
        </w:rPr>
        <w:t xml:space="preserve">, f. único; </w:t>
      </w:r>
      <w:hyperlink w:anchor="AUTO_2024_129" w:history="1">
        <w:r w:rsidRPr="00CD105B">
          <w:rPr>
            <w:rStyle w:val="TextoNormalCaracter"/>
          </w:rPr>
          <w:t>129/2024</w:t>
        </w:r>
      </w:hyperlink>
      <w:r w:rsidRPr="00CD105B">
        <w:rPr>
          <w:rStyle w:val="TextoNormalCaracter"/>
        </w:rPr>
        <w:t xml:space="preserve">, f. único; </w:t>
      </w:r>
      <w:hyperlink w:anchor="AUTO_2024_130" w:history="1">
        <w:r w:rsidRPr="00CD105B">
          <w:rPr>
            <w:rStyle w:val="TextoNormalCaracter"/>
          </w:rPr>
          <w:t>130/2024</w:t>
        </w:r>
      </w:hyperlink>
      <w:r w:rsidRPr="00CD105B">
        <w:rPr>
          <w:rStyle w:val="TextoNormalCaracter"/>
        </w:rPr>
        <w:t xml:space="preserve">, f. único; </w:t>
      </w:r>
      <w:hyperlink w:anchor="AUTO_2024_131" w:history="1">
        <w:r w:rsidRPr="00CD105B">
          <w:rPr>
            <w:rStyle w:val="TextoNormalCaracter"/>
          </w:rPr>
          <w:t>131/2024</w:t>
        </w:r>
      </w:hyperlink>
      <w:r w:rsidRPr="00CD105B">
        <w:rPr>
          <w:rStyle w:val="TextoNormalCaracter"/>
        </w:rPr>
        <w:t xml:space="preserve">, f. único; </w:t>
      </w:r>
      <w:hyperlink w:anchor="AUTO_2024_132" w:history="1">
        <w:r w:rsidRPr="00CD105B">
          <w:rPr>
            <w:rStyle w:val="TextoNormalCaracter"/>
          </w:rPr>
          <w:t>132/2024</w:t>
        </w:r>
      </w:hyperlink>
      <w:r w:rsidRPr="00CD105B">
        <w:rPr>
          <w:rStyle w:val="TextoNormalCaracter"/>
        </w:rPr>
        <w:t xml:space="preserve">, f. único; </w:t>
      </w:r>
      <w:hyperlink w:anchor="AUTO_2024_133" w:history="1">
        <w:r w:rsidRPr="00CD105B">
          <w:rPr>
            <w:rStyle w:val="TextoNormalCaracter"/>
          </w:rPr>
          <w:t>133/2024</w:t>
        </w:r>
      </w:hyperlink>
      <w:r w:rsidRPr="00CD105B">
        <w:rPr>
          <w:rStyle w:val="TextoNormalCaracter"/>
        </w:rPr>
        <w:t xml:space="preserve">, f. único; </w:t>
      </w:r>
      <w:hyperlink w:anchor="AUTO_2024_134" w:history="1">
        <w:r w:rsidRPr="00CD105B">
          <w:rPr>
            <w:rStyle w:val="TextoNormalCaracter"/>
          </w:rPr>
          <w:t>134/2024</w:t>
        </w:r>
      </w:hyperlink>
      <w:r w:rsidRPr="00CD105B">
        <w:rPr>
          <w:rStyle w:val="TextoNormalCaracter"/>
        </w:rPr>
        <w:t xml:space="preserve">, f. único; </w:t>
      </w:r>
      <w:hyperlink w:anchor="AUTO_2024_135" w:history="1">
        <w:r w:rsidRPr="00CD105B">
          <w:rPr>
            <w:rStyle w:val="TextoNormalCaracter"/>
          </w:rPr>
          <w:t>135/2024</w:t>
        </w:r>
      </w:hyperlink>
      <w:r w:rsidRPr="00CD105B">
        <w:rPr>
          <w:rStyle w:val="TextoNormalCaracter"/>
        </w:rPr>
        <w:t xml:space="preserve">, f. único; </w:t>
      </w:r>
      <w:hyperlink w:anchor="AUTO_2024_136" w:history="1">
        <w:r w:rsidRPr="00CD105B">
          <w:rPr>
            <w:rStyle w:val="TextoNormalCaracter"/>
          </w:rPr>
          <w:t>136/2024</w:t>
        </w:r>
      </w:hyperlink>
      <w:r w:rsidRPr="00CD105B">
        <w:rPr>
          <w:rStyle w:val="TextoNormalCaracter"/>
        </w:rPr>
        <w:t xml:space="preserve">, f. único; </w:t>
      </w:r>
      <w:hyperlink w:anchor="AUTO_2024_137" w:history="1">
        <w:r w:rsidRPr="00CD105B">
          <w:rPr>
            <w:rStyle w:val="TextoNormalCaracter"/>
          </w:rPr>
          <w:t>137/2024</w:t>
        </w:r>
      </w:hyperlink>
      <w:r w:rsidRPr="00CD105B">
        <w:rPr>
          <w:rStyle w:val="TextoNormalCaracter"/>
        </w:rPr>
        <w:t xml:space="preserve">, f. único; </w:t>
      </w:r>
      <w:hyperlink w:anchor="AUTO_2024_138" w:history="1">
        <w:r w:rsidRPr="00CD105B">
          <w:rPr>
            <w:rStyle w:val="TextoNormalCaracter"/>
          </w:rPr>
          <w:t>138/2024</w:t>
        </w:r>
      </w:hyperlink>
      <w:r w:rsidRPr="00CD105B">
        <w:rPr>
          <w:rStyle w:val="TextoNormalCaracter"/>
        </w:rPr>
        <w:t xml:space="preserve">, f. único; </w:t>
      </w:r>
      <w:hyperlink w:anchor="AUTO_2024_139" w:history="1">
        <w:r w:rsidRPr="00CD105B">
          <w:rPr>
            <w:rStyle w:val="TextoNormalCaracter"/>
          </w:rPr>
          <w:t>139/2024</w:t>
        </w:r>
      </w:hyperlink>
      <w:r w:rsidRPr="00CD105B">
        <w:rPr>
          <w:rStyle w:val="TextoNormalCaracter"/>
        </w:rPr>
        <w:t xml:space="preserve">, f. único; </w:t>
      </w:r>
      <w:hyperlink w:anchor="AUTO_2024_140" w:history="1">
        <w:r w:rsidRPr="00CD105B">
          <w:rPr>
            <w:rStyle w:val="TextoNormalCaracter"/>
          </w:rPr>
          <w:t>140/2024</w:t>
        </w:r>
      </w:hyperlink>
      <w:r w:rsidRPr="00CD105B">
        <w:rPr>
          <w:rStyle w:val="TextoNormalCaracter"/>
        </w:rPr>
        <w:t xml:space="preserve">, f. único; </w:t>
      </w:r>
      <w:hyperlink w:anchor="AUTO_2024_141" w:history="1">
        <w:r w:rsidRPr="00CD105B">
          <w:rPr>
            <w:rStyle w:val="TextoNormalCaracter"/>
          </w:rPr>
          <w:t>141/2024</w:t>
        </w:r>
      </w:hyperlink>
      <w:r w:rsidRPr="00CD105B">
        <w:rPr>
          <w:rStyle w:val="TextoNormalCaracter"/>
        </w:rPr>
        <w:t xml:space="preserve">, f.único; </w:t>
      </w:r>
      <w:hyperlink w:anchor="AUTO_2024_142" w:history="1">
        <w:r w:rsidRPr="00CD105B">
          <w:rPr>
            <w:rStyle w:val="TextoNormalCaracter"/>
          </w:rPr>
          <w:t>142/2024</w:t>
        </w:r>
      </w:hyperlink>
      <w:r w:rsidRPr="00CD105B">
        <w:rPr>
          <w:rStyle w:val="TextoNormalCaracter"/>
        </w:rPr>
        <w:t xml:space="preserve">, f. único; </w:t>
      </w:r>
      <w:hyperlink w:anchor="AUTO_2024_143" w:history="1">
        <w:r w:rsidRPr="00CD105B">
          <w:rPr>
            <w:rStyle w:val="TextoNormalCaracter"/>
          </w:rPr>
          <w:t>143/2024</w:t>
        </w:r>
      </w:hyperlink>
      <w:r w:rsidRPr="00CD105B">
        <w:rPr>
          <w:rStyle w:val="TextoNormalCaracter"/>
        </w:rPr>
        <w:t xml:space="preserve">, f. único; </w:t>
      </w:r>
      <w:hyperlink w:anchor="AUTO_2024_144" w:history="1">
        <w:r w:rsidRPr="00CD105B">
          <w:rPr>
            <w:rStyle w:val="TextoNormalCaracter"/>
          </w:rPr>
          <w:t>144/2024</w:t>
        </w:r>
      </w:hyperlink>
      <w:r w:rsidRPr="00CD105B">
        <w:rPr>
          <w:rStyle w:val="TextoNormalCaracter"/>
        </w:rPr>
        <w:t xml:space="preserve">, f. único; </w:t>
      </w:r>
      <w:hyperlink w:anchor="AUTO_2024_145" w:history="1">
        <w:r w:rsidRPr="00CD105B">
          <w:rPr>
            <w:rStyle w:val="TextoNormalCaracter"/>
          </w:rPr>
          <w:t>145/2024</w:t>
        </w:r>
      </w:hyperlink>
      <w:r w:rsidRPr="00CD105B">
        <w:rPr>
          <w:rStyle w:val="TextoNormalCaracter"/>
        </w:rPr>
        <w:t xml:space="preserve">, f. único; </w:t>
      </w:r>
      <w:hyperlink w:anchor="AUTO_2024_146" w:history="1">
        <w:r w:rsidRPr="00CD105B">
          <w:rPr>
            <w:rStyle w:val="TextoNormalCaracter"/>
          </w:rPr>
          <w:t>146/2024</w:t>
        </w:r>
      </w:hyperlink>
      <w:r w:rsidRPr="00CD105B">
        <w:rPr>
          <w:rStyle w:val="TextoNormalCaracter"/>
        </w:rPr>
        <w:t xml:space="preserve">, f. único; </w:t>
      </w:r>
      <w:hyperlink w:anchor="AUTO_2024_157" w:history="1">
        <w:r w:rsidRPr="00CD105B">
          <w:rPr>
            <w:rStyle w:val="TextoNormalCaracter"/>
          </w:rPr>
          <w:t>157/2024</w:t>
        </w:r>
      </w:hyperlink>
      <w:r w:rsidRPr="00CD105B">
        <w:rPr>
          <w:rStyle w:val="TextoNormalCaracter"/>
        </w:rPr>
        <w:t>, f. único.</w:t>
      </w:r>
    </w:p>
    <w:p w14:paraId="5EDFE167" w14:textId="5C8C32EA" w:rsidR="00CD105B" w:rsidRPr="00CD105B" w:rsidRDefault="00CD105B" w:rsidP="00CD105B">
      <w:pPr>
        <w:pStyle w:val="TextoNormalSangraFrancesa"/>
        <w:rPr>
          <w:rStyle w:val="TextoNormalCaracter"/>
        </w:rPr>
      </w:pPr>
      <w:bookmarkStart w:id="753" w:name="DESCRIPTORALFABETICO344"/>
      <w:r w:rsidRPr="00CD105B">
        <w:rPr>
          <w:rStyle w:val="TextoNormalNegritaCaracter"/>
        </w:rPr>
        <w:t>Incidente de nulidad de actuaciones</w:t>
      </w:r>
      <w:bookmarkEnd w:id="753"/>
      <w:r w:rsidRPr="00CD105B">
        <w:rPr>
          <w:rStyle w:val="TextoNormalCaracter"/>
        </w:rPr>
        <w:t xml:space="preserve">, Sentencia </w:t>
      </w:r>
      <w:hyperlink w:anchor="SENTENCIA_2024_118" w:history="1">
        <w:r w:rsidRPr="00CD105B">
          <w:rPr>
            <w:rStyle w:val="TextoNormalCaracter"/>
          </w:rPr>
          <w:t>118/2024</w:t>
        </w:r>
      </w:hyperlink>
      <w:r w:rsidRPr="00CD105B">
        <w:rPr>
          <w:rStyle w:val="TextoNormalCaracter"/>
        </w:rPr>
        <w:t>, f. 2, VP I, VP II, VP III.</w:t>
      </w:r>
    </w:p>
    <w:p w14:paraId="57A15F17" w14:textId="7BBB0006" w:rsidR="00CD105B" w:rsidRPr="00CD105B" w:rsidRDefault="00CD105B" w:rsidP="00CD105B">
      <w:pPr>
        <w:pStyle w:val="TextoNormalSangraFrancesa"/>
        <w:rPr>
          <w:rStyle w:val="TextoNormalCaracter"/>
        </w:rPr>
      </w:pPr>
      <w:bookmarkStart w:id="754" w:name="DESCRIPTORALFABETICO345"/>
      <w:r w:rsidRPr="00CD105B">
        <w:rPr>
          <w:rStyle w:val="TextoNormalNegritaCaracter"/>
        </w:rPr>
        <w:t>Incidente de nulidad de actuaciones contra resolución judicial firme</w:t>
      </w:r>
      <w:bookmarkEnd w:id="754"/>
      <w:r w:rsidRPr="00CD105B">
        <w:rPr>
          <w:rStyle w:val="TextoNormalCaracter"/>
        </w:rPr>
        <w:t xml:space="preserve">, Sentencia </w:t>
      </w:r>
      <w:hyperlink w:anchor="SENTENCIA_2024_107" w:history="1">
        <w:r w:rsidRPr="00CD105B">
          <w:rPr>
            <w:rStyle w:val="TextoNormalCaracter"/>
          </w:rPr>
          <w:t>107/2024</w:t>
        </w:r>
      </w:hyperlink>
      <w:r w:rsidRPr="00CD105B">
        <w:rPr>
          <w:rStyle w:val="TextoNormalCaracter"/>
        </w:rPr>
        <w:t>, ff. 2 y 4.</w:t>
      </w:r>
    </w:p>
    <w:p w14:paraId="175DD63E" w14:textId="5DFD6969" w:rsidR="00CD105B" w:rsidRPr="00CD105B" w:rsidRDefault="00CD105B" w:rsidP="00CD105B">
      <w:pPr>
        <w:pStyle w:val="TextoNormalSangraFrancesa"/>
        <w:rPr>
          <w:rStyle w:val="TextoNormalCaracter"/>
        </w:rPr>
      </w:pPr>
      <w:bookmarkStart w:id="755" w:name="DESCRIPTORALFABETICO346"/>
      <w:r w:rsidRPr="00CD105B">
        <w:rPr>
          <w:rStyle w:val="TextoNormalNegritaCaracter"/>
        </w:rPr>
        <w:t>Incidente de suspensión</w:t>
      </w:r>
      <w:bookmarkEnd w:id="755"/>
      <w:r w:rsidRPr="00CD105B">
        <w:rPr>
          <w:rStyle w:val="TextoNormalCaracter"/>
        </w:rPr>
        <w:t xml:space="preserve">, Sentencia </w:t>
      </w:r>
      <w:hyperlink w:anchor="SENTENCIA_2024_126" w:history="1">
        <w:r w:rsidRPr="00CD105B">
          <w:rPr>
            <w:rStyle w:val="TextoNormalCaracter"/>
          </w:rPr>
          <w:t>126/2024</w:t>
        </w:r>
      </w:hyperlink>
      <w:r w:rsidRPr="00CD105B">
        <w:rPr>
          <w:rStyle w:val="TextoNormalCaracter"/>
        </w:rPr>
        <w:t>, f. 3, VP.</w:t>
      </w:r>
    </w:p>
    <w:p w14:paraId="79909383" w14:textId="2E5883FB" w:rsidR="00CD105B" w:rsidRPr="00CD105B" w:rsidRDefault="00CD105B" w:rsidP="00CD105B">
      <w:pPr>
        <w:pStyle w:val="TextoNormalSangraFrancesa"/>
        <w:rPr>
          <w:rStyle w:val="TextoNormalCaracter"/>
        </w:rPr>
      </w:pPr>
      <w:bookmarkStart w:id="756" w:name="DESCRIPTORALFABETICO186"/>
      <w:r w:rsidRPr="00CD105B">
        <w:rPr>
          <w:rStyle w:val="TextoNormalNegritaCaracter"/>
        </w:rPr>
        <w:t>Incompatibilidades parlamentarias</w:t>
      </w:r>
      <w:bookmarkEnd w:id="756"/>
      <w:r w:rsidRPr="00CD105B">
        <w:rPr>
          <w:rStyle w:val="TextoNormalCaracter"/>
        </w:rPr>
        <w:t xml:space="preserve">, Sentencia </w:t>
      </w:r>
      <w:hyperlink w:anchor="SENTENCIA_2024_152" w:history="1">
        <w:r w:rsidRPr="00CD105B">
          <w:rPr>
            <w:rStyle w:val="TextoNormalCaracter"/>
          </w:rPr>
          <w:t>152/2024</w:t>
        </w:r>
      </w:hyperlink>
      <w:r w:rsidRPr="00CD105B">
        <w:rPr>
          <w:rStyle w:val="TextoNormalCaracter"/>
        </w:rPr>
        <w:t>, ff. 4 y 5.</w:t>
      </w:r>
    </w:p>
    <w:p w14:paraId="5274343B" w14:textId="5D2D6597" w:rsidR="00CD105B" w:rsidRPr="00CD105B" w:rsidRDefault="00CD105B" w:rsidP="00CD105B">
      <w:pPr>
        <w:pStyle w:val="TextoNormalSangraFrancesa"/>
        <w:rPr>
          <w:rStyle w:val="TextoNormalCaracter"/>
        </w:rPr>
      </w:pPr>
      <w:bookmarkStart w:id="757" w:name="DESCRIPTORALFABETICO35"/>
      <w:r w:rsidRPr="00CD105B">
        <w:rPr>
          <w:rStyle w:val="TextoNormalNegritaCaracter"/>
        </w:rPr>
        <w:t>Incongruencia omisiva</w:t>
      </w:r>
      <w:bookmarkEnd w:id="757"/>
      <w:r w:rsidRPr="00CD105B">
        <w:rPr>
          <w:rStyle w:val="TextoNormalCaracter"/>
        </w:rPr>
        <w:t xml:space="preserve">, Sentencia </w:t>
      </w:r>
      <w:hyperlink w:anchor="SENTENCIA_2024_95" w:history="1">
        <w:r w:rsidRPr="00CD105B">
          <w:rPr>
            <w:rStyle w:val="TextoNormalCaracter"/>
          </w:rPr>
          <w:t>95/2024</w:t>
        </w:r>
      </w:hyperlink>
      <w:r w:rsidRPr="00CD105B">
        <w:rPr>
          <w:rStyle w:val="TextoNormalCaracter"/>
        </w:rPr>
        <w:t>, f. 5.</w:t>
      </w:r>
    </w:p>
    <w:p w14:paraId="679E409F" w14:textId="047D6B66" w:rsidR="00CD105B" w:rsidRPr="00CD105B" w:rsidRDefault="00CD105B" w:rsidP="00CD105B">
      <w:pPr>
        <w:pStyle w:val="TextoNormalSangraFrancesa"/>
        <w:rPr>
          <w:rStyle w:val="TextoNormalCaracter"/>
        </w:rPr>
      </w:pPr>
      <w:bookmarkStart w:id="758" w:name="DESCRIPTORALFABETICO116"/>
      <w:r w:rsidRPr="00CD105B">
        <w:rPr>
          <w:rStyle w:val="TextoNormalNegritaCaracter"/>
        </w:rPr>
        <w:t>Inconstitucionalidad por conexión</w:t>
      </w:r>
      <w:bookmarkEnd w:id="758"/>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 5; </w:t>
      </w:r>
      <w:hyperlink w:anchor="SENTENCIA_2024_141" w:history="1">
        <w:r w:rsidRPr="00CD105B">
          <w:rPr>
            <w:rStyle w:val="TextoNormalCaracter"/>
          </w:rPr>
          <w:t>141/2024</w:t>
        </w:r>
      </w:hyperlink>
      <w:r w:rsidRPr="00CD105B">
        <w:rPr>
          <w:rStyle w:val="TextoNormalCaracter"/>
        </w:rPr>
        <w:t>, f. 4.</w:t>
      </w:r>
    </w:p>
    <w:p w14:paraId="6A5A44F1" w14:textId="5CF28336" w:rsidR="00CD105B" w:rsidRPr="00CD105B" w:rsidRDefault="00CD105B" w:rsidP="00CD105B">
      <w:pPr>
        <w:pStyle w:val="TextoNormalSangraFrancesa"/>
        <w:rPr>
          <w:rStyle w:val="TextoNormalCaracter"/>
        </w:rPr>
      </w:pPr>
      <w:bookmarkStart w:id="759" w:name="DESCRIPTORALFABETICO222"/>
      <w:r w:rsidRPr="00CD105B">
        <w:rPr>
          <w:rStyle w:val="TextoNormalNegritaCaracter"/>
        </w:rPr>
        <w:t>Indemnización por error judicial</w:t>
      </w:r>
      <w:bookmarkEnd w:id="759"/>
      <w:r w:rsidRPr="00CD105B">
        <w:rPr>
          <w:rStyle w:val="TextoNormalCaracter"/>
        </w:rPr>
        <w:t xml:space="preserve">, Sentencia </w:t>
      </w:r>
      <w:hyperlink w:anchor="SENTENCIA_2024_118" w:history="1">
        <w:r w:rsidRPr="00CD105B">
          <w:rPr>
            <w:rStyle w:val="TextoNormalCaracter"/>
          </w:rPr>
          <w:t>118/2024</w:t>
        </w:r>
      </w:hyperlink>
      <w:r w:rsidRPr="00CD105B">
        <w:rPr>
          <w:rStyle w:val="TextoNormalCaracter"/>
        </w:rPr>
        <w:t>, ff. 2, 3 y 5.</w:t>
      </w:r>
    </w:p>
    <w:p w14:paraId="2E2B4C08" w14:textId="1818372D" w:rsidR="00CD105B" w:rsidRPr="00CD105B" w:rsidRDefault="00CD105B" w:rsidP="00CD105B">
      <w:pPr>
        <w:pStyle w:val="TextoNormalSangraFrancesa"/>
        <w:rPr>
          <w:rStyle w:val="TextoNormalCaracter"/>
        </w:rPr>
      </w:pPr>
      <w:bookmarkStart w:id="760" w:name="DESCRIPTORALFABETICO159"/>
      <w:r w:rsidRPr="00CD105B">
        <w:rPr>
          <w:rStyle w:val="TextoNormalNegritaCaracter"/>
        </w:rPr>
        <w:t>Informes del Consejo General del Poder Judicial</w:t>
      </w:r>
      <w:bookmarkEnd w:id="760"/>
      <w:r w:rsidRPr="00CD105B">
        <w:rPr>
          <w:rStyle w:val="TextoNormalCaracter"/>
        </w:rPr>
        <w:t xml:space="preserve">, Sentencias </w:t>
      </w:r>
      <w:hyperlink w:anchor="SENTENCIA_2024_139" w:history="1">
        <w:r w:rsidRPr="00CD105B">
          <w:rPr>
            <w:rStyle w:val="TextoNormalCaracter"/>
          </w:rPr>
          <w:t>139/2024</w:t>
        </w:r>
      </w:hyperlink>
      <w:r w:rsidRPr="00CD105B">
        <w:rPr>
          <w:rStyle w:val="TextoNormalCaracter"/>
        </w:rPr>
        <w:t xml:space="preserve">, f. 4; </w:t>
      </w:r>
      <w:hyperlink w:anchor="SENTENCIA_2024_153" w:history="1">
        <w:r w:rsidRPr="00CD105B">
          <w:rPr>
            <w:rStyle w:val="TextoNormalCaracter"/>
          </w:rPr>
          <w:t>153/2024</w:t>
        </w:r>
      </w:hyperlink>
      <w:r w:rsidRPr="00CD105B">
        <w:rPr>
          <w:rStyle w:val="TextoNormalCaracter"/>
        </w:rPr>
        <w:t>, f. 2, VP I, VP II.</w:t>
      </w:r>
    </w:p>
    <w:p w14:paraId="6F4A053E" w14:textId="2B6B31E2" w:rsidR="00CD105B" w:rsidRPr="00CD105B" w:rsidRDefault="00CD105B" w:rsidP="00CD105B">
      <w:pPr>
        <w:pStyle w:val="TextoNormalSangraFrancesa"/>
        <w:rPr>
          <w:rStyle w:val="TextoNormalCaracter"/>
        </w:rPr>
      </w:pPr>
      <w:bookmarkStart w:id="761" w:name="DESCRIPTORALFABETICO179"/>
      <w:r w:rsidRPr="00CD105B">
        <w:rPr>
          <w:rStyle w:val="TextoNormalNegritaCaracter"/>
        </w:rPr>
        <w:t>Informes parlamentarios</w:t>
      </w:r>
      <w:bookmarkEnd w:id="761"/>
      <w:r w:rsidRPr="00CD105B">
        <w:rPr>
          <w:rStyle w:val="TextoNormalCaracter"/>
        </w:rPr>
        <w:t xml:space="preserve">, Sentencia </w:t>
      </w:r>
      <w:hyperlink w:anchor="SENTENCIA_2024_153" w:history="1">
        <w:r w:rsidRPr="00CD105B">
          <w:rPr>
            <w:rStyle w:val="TextoNormalCaracter"/>
          </w:rPr>
          <w:t>153/2024</w:t>
        </w:r>
      </w:hyperlink>
      <w:r w:rsidRPr="00CD105B">
        <w:rPr>
          <w:rStyle w:val="TextoNormalCaracter"/>
        </w:rPr>
        <w:t>, f. 1.</w:t>
      </w:r>
    </w:p>
    <w:p w14:paraId="343652E5" w14:textId="1800CBD2" w:rsidR="00CD105B" w:rsidRPr="00CD105B" w:rsidRDefault="00CD105B" w:rsidP="00CD105B">
      <w:pPr>
        <w:pStyle w:val="TextoNormalSangraFrancesa"/>
        <w:rPr>
          <w:rStyle w:val="TextoNormalCaracter"/>
        </w:rPr>
      </w:pPr>
      <w:bookmarkStart w:id="762" w:name="DESCRIPTORALFABETICO170"/>
      <w:r w:rsidRPr="00CD105B">
        <w:rPr>
          <w:rStyle w:val="TextoNormalNegritaCaracter"/>
        </w:rPr>
        <w:t>Iniciativa legislativa</w:t>
      </w:r>
      <w:bookmarkEnd w:id="762"/>
      <w:r w:rsidRPr="00CD105B">
        <w:rPr>
          <w:rStyle w:val="TextoNormalCaracter"/>
        </w:rPr>
        <w:t xml:space="preserve">, Sentencia </w:t>
      </w:r>
      <w:hyperlink w:anchor="SENTENCIA_2024_139" w:history="1">
        <w:r w:rsidRPr="00CD105B">
          <w:rPr>
            <w:rStyle w:val="TextoNormalCaracter"/>
          </w:rPr>
          <w:t>139/2024</w:t>
        </w:r>
      </w:hyperlink>
      <w:r w:rsidRPr="00CD105B">
        <w:rPr>
          <w:rStyle w:val="TextoNormalCaracter"/>
        </w:rPr>
        <w:t>, f. 4.</w:t>
      </w:r>
    </w:p>
    <w:p w14:paraId="7FEB1D20" w14:textId="7FEDD76C" w:rsidR="00CD105B" w:rsidRPr="00CD105B" w:rsidRDefault="00CD105B" w:rsidP="00CD105B">
      <w:pPr>
        <w:pStyle w:val="TextoNormalSangraFrancesa"/>
        <w:rPr>
          <w:rStyle w:val="TextoNormalCaracter"/>
        </w:rPr>
      </w:pPr>
      <w:bookmarkStart w:id="763" w:name="DESCRIPTORALFABETICO171"/>
      <w:r w:rsidRPr="00CD105B">
        <w:rPr>
          <w:rStyle w:val="TextoNormalNegritaCaracter"/>
        </w:rPr>
        <w:t>Iniciativa legislativa del Gobierno</w:t>
      </w:r>
      <w:bookmarkEnd w:id="763"/>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ff. 2, 4 y 5; </w:t>
      </w:r>
      <w:hyperlink w:anchor="SENTENCIA_2024_95" w:history="1">
        <w:r w:rsidRPr="00CD105B">
          <w:rPr>
            <w:rStyle w:val="TextoNormalCaracter"/>
          </w:rPr>
          <w:t>95/2024</w:t>
        </w:r>
      </w:hyperlink>
      <w:r w:rsidRPr="00CD105B">
        <w:rPr>
          <w:rStyle w:val="TextoNormalCaracter"/>
        </w:rPr>
        <w:t xml:space="preserve">, f. 3; </w:t>
      </w:r>
      <w:hyperlink w:anchor="SENTENCIA_2024_96" w:history="1">
        <w:r w:rsidRPr="00CD105B">
          <w:rPr>
            <w:rStyle w:val="TextoNormalCaracter"/>
          </w:rPr>
          <w:t>96/2024</w:t>
        </w:r>
      </w:hyperlink>
      <w:r w:rsidRPr="00CD105B">
        <w:rPr>
          <w:rStyle w:val="TextoNormalCaracter"/>
        </w:rPr>
        <w:t xml:space="preserve">, ff. 5 y 6, VP I, VP II, VP IV; </w:t>
      </w:r>
      <w:hyperlink w:anchor="SENTENCIA_2024_97" w:history="1">
        <w:r w:rsidRPr="00CD105B">
          <w:rPr>
            <w:rStyle w:val="TextoNormalCaracter"/>
          </w:rPr>
          <w:t>97/2024</w:t>
        </w:r>
      </w:hyperlink>
      <w:r w:rsidRPr="00CD105B">
        <w:rPr>
          <w:rStyle w:val="TextoNormalCaracter"/>
        </w:rPr>
        <w:t xml:space="preserve">, ff. 4 a 6, VP I, VP II, VP IV; </w:t>
      </w:r>
      <w:hyperlink w:anchor="SENTENCIA_2024_98" w:history="1">
        <w:r w:rsidRPr="00CD105B">
          <w:rPr>
            <w:rStyle w:val="TextoNormalCaracter"/>
          </w:rPr>
          <w:t>98/2024</w:t>
        </w:r>
      </w:hyperlink>
      <w:r w:rsidRPr="00CD105B">
        <w:rPr>
          <w:rStyle w:val="TextoNormalCaracter"/>
        </w:rPr>
        <w:t xml:space="preserve">, ff. 2, 4, 5, VP II; </w:t>
      </w:r>
      <w:hyperlink w:anchor="SENTENCIA_2024_99" w:history="1">
        <w:r w:rsidRPr="00CD105B">
          <w:rPr>
            <w:rStyle w:val="TextoNormalCaracter"/>
          </w:rPr>
          <w:t>99/2024</w:t>
        </w:r>
      </w:hyperlink>
      <w:r w:rsidRPr="00CD105B">
        <w:rPr>
          <w:rStyle w:val="TextoNormalCaracter"/>
        </w:rPr>
        <w:t xml:space="preserve">, ff. 1 a 4, VP I, VP II, VP III, VP IV; </w:t>
      </w:r>
      <w:hyperlink w:anchor="SENTENCIA_2024_100" w:history="1">
        <w:r w:rsidRPr="00CD105B">
          <w:rPr>
            <w:rStyle w:val="TextoNormalCaracter"/>
          </w:rPr>
          <w:t>100/2024</w:t>
        </w:r>
      </w:hyperlink>
      <w:r w:rsidRPr="00CD105B">
        <w:rPr>
          <w:rStyle w:val="TextoNormalCaracter"/>
        </w:rPr>
        <w:t xml:space="preserve">, ff. 4 y 5, VP I, VP II; </w:t>
      </w:r>
      <w:hyperlink w:anchor="SENTENCIA_2024_101" w:history="1">
        <w:r w:rsidRPr="00CD105B">
          <w:rPr>
            <w:rStyle w:val="TextoNormalCaracter"/>
          </w:rPr>
          <w:t>101/2024</w:t>
        </w:r>
      </w:hyperlink>
      <w:r w:rsidRPr="00CD105B">
        <w:rPr>
          <w:rStyle w:val="TextoNormalCaracter"/>
        </w:rPr>
        <w:t xml:space="preserve">, ff. 2; </w:t>
      </w:r>
      <w:hyperlink w:anchor="SENTENCIA_2024_102" w:history="1">
        <w:r w:rsidRPr="00CD105B">
          <w:rPr>
            <w:rStyle w:val="TextoNormalCaracter"/>
          </w:rPr>
          <w:t>102/2024</w:t>
        </w:r>
      </w:hyperlink>
      <w:r w:rsidRPr="00CD105B">
        <w:rPr>
          <w:rStyle w:val="TextoNormalCaracter"/>
        </w:rPr>
        <w:t xml:space="preserve">, f. 4, VP I; </w:t>
      </w:r>
      <w:hyperlink w:anchor="SENTENCIA_2024_103" w:history="1">
        <w:r w:rsidRPr="00CD105B">
          <w:rPr>
            <w:rStyle w:val="TextoNormalCaracter"/>
          </w:rPr>
          <w:t>103/2024</w:t>
        </w:r>
      </w:hyperlink>
      <w:r w:rsidRPr="00CD105B">
        <w:rPr>
          <w:rStyle w:val="TextoNormalCaracter"/>
        </w:rPr>
        <w:t xml:space="preserve">, ff. 2, 4 y 6, VP I, VP II, VP III, VP IV; </w:t>
      </w:r>
      <w:hyperlink w:anchor="SENTENCIA_2024_139" w:history="1">
        <w:r w:rsidRPr="00CD105B">
          <w:rPr>
            <w:rStyle w:val="TextoNormalCaracter"/>
          </w:rPr>
          <w:t>139/2024</w:t>
        </w:r>
      </w:hyperlink>
      <w:r w:rsidRPr="00CD105B">
        <w:rPr>
          <w:rStyle w:val="TextoNormalCaracter"/>
        </w:rPr>
        <w:t xml:space="preserve">, f. 4; </w:t>
      </w:r>
      <w:hyperlink w:anchor="SENTENCIA_2024_153" w:history="1">
        <w:r w:rsidRPr="00CD105B">
          <w:rPr>
            <w:rStyle w:val="TextoNormalCaracter"/>
          </w:rPr>
          <w:t>153/2024</w:t>
        </w:r>
      </w:hyperlink>
      <w:r w:rsidRPr="00CD105B">
        <w:rPr>
          <w:rStyle w:val="TextoNormalCaracter"/>
        </w:rPr>
        <w:t>, ff. 1 y 2, VP I, VP II.</w:t>
      </w:r>
    </w:p>
    <w:p w14:paraId="5531A3EB" w14:textId="425699C7" w:rsidR="00CD105B" w:rsidRPr="00CD105B" w:rsidRDefault="00CD105B" w:rsidP="00CD105B">
      <w:pPr>
        <w:pStyle w:val="TextoNormalSangraFrancesa"/>
        <w:rPr>
          <w:rStyle w:val="TextoNormalCaracter"/>
        </w:rPr>
      </w:pPr>
      <w:bookmarkStart w:id="764" w:name="DESCRIPTORALFABETICO174"/>
      <w:r w:rsidRPr="00CD105B">
        <w:rPr>
          <w:rStyle w:val="TextoNormalNegritaCaracter"/>
        </w:rPr>
        <w:t>Iniciativa popular</w:t>
      </w:r>
      <w:bookmarkEnd w:id="764"/>
      <w:r w:rsidRPr="00CD105B">
        <w:rPr>
          <w:rStyle w:val="TextoNormalCaracter"/>
        </w:rPr>
        <w:t xml:space="preserve">, Sentencias </w:t>
      </w:r>
      <w:hyperlink w:anchor="SENTENCIA_2024_143" w:history="1">
        <w:r w:rsidRPr="00CD105B">
          <w:rPr>
            <w:rStyle w:val="TextoNormalCaracter"/>
          </w:rPr>
          <w:t>143/2024</w:t>
        </w:r>
      </w:hyperlink>
      <w:r w:rsidRPr="00CD105B">
        <w:rPr>
          <w:rStyle w:val="TextoNormalCaracter"/>
        </w:rPr>
        <w:t xml:space="preserve">, ff. 2 y 3, VP; </w:t>
      </w:r>
      <w:hyperlink w:anchor="SENTENCIA_2024_154" w:history="1">
        <w:r w:rsidRPr="00CD105B">
          <w:rPr>
            <w:rStyle w:val="TextoNormalCaracter"/>
          </w:rPr>
          <w:t>154/2024</w:t>
        </w:r>
      </w:hyperlink>
      <w:r w:rsidRPr="00CD105B">
        <w:rPr>
          <w:rStyle w:val="TextoNormalCaracter"/>
        </w:rPr>
        <w:t xml:space="preserve">, f. único; </w:t>
      </w:r>
      <w:hyperlink w:anchor="SENTENCIA_2024_156" w:history="1">
        <w:r w:rsidRPr="00CD105B">
          <w:rPr>
            <w:rStyle w:val="TextoNormalCaracter"/>
          </w:rPr>
          <w:t>156/2024</w:t>
        </w:r>
      </w:hyperlink>
      <w:r w:rsidRPr="00CD105B">
        <w:rPr>
          <w:rStyle w:val="TextoNormalCaracter"/>
        </w:rPr>
        <w:t>, f. único.</w:t>
      </w:r>
    </w:p>
    <w:p w14:paraId="107ECA7A" w14:textId="1C82A46D" w:rsidR="00CD105B" w:rsidRPr="00CD105B" w:rsidRDefault="00CD105B" w:rsidP="00CD105B">
      <w:pPr>
        <w:pStyle w:val="TextoNormalSangraFrancesa"/>
        <w:rPr>
          <w:rStyle w:val="TextoNormalCaracter"/>
        </w:rPr>
      </w:pPr>
      <w:bookmarkStart w:id="765" w:name="DESCRIPTORALFABETICO366"/>
      <w:r w:rsidRPr="00CD105B">
        <w:rPr>
          <w:rStyle w:val="TextoNormalNegritaCaracter"/>
        </w:rPr>
        <w:t>Instrucción penal</w:t>
      </w:r>
      <w:bookmarkEnd w:id="765"/>
      <w:r w:rsidRPr="00CD105B">
        <w:rPr>
          <w:rStyle w:val="TextoNormalCaracter"/>
        </w:rPr>
        <w:t xml:space="preserve">, Sentencia </w:t>
      </w:r>
      <w:hyperlink w:anchor="SENTENCIA_2024_102" w:history="1">
        <w:r w:rsidRPr="00CD105B">
          <w:rPr>
            <w:rStyle w:val="TextoNormalCaracter"/>
          </w:rPr>
          <w:t>102/2024</w:t>
        </w:r>
      </w:hyperlink>
      <w:r w:rsidRPr="00CD105B">
        <w:rPr>
          <w:rStyle w:val="TextoNormalCaracter"/>
        </w:rPr>
        <w:t>, f. 3.</w:t>
      </w:r>
    </w:p>
    <w:p w14:paraId="38D1EF66" w14:textId="1FC6E5F3" w:rsidR="00CD105B" w:rsidRPr="00CD105B" w:rsidRDefault="00CD105B" w:rsidP="00CD105B">
      <w:pPr>
        <w:pStyle w:val="TextoNormalSangraFrancesa"/>
        <w:rPr>
          <w:rStyle w:val="TextoNormalCaracter"/>
        </w:rPr>
      </w:pPr>
      <w:bookmarkStart w:id="766" w:name="DESCRIPTORALFABETICO36"/>
      <w:r w:rsidRPr="00CD105B">
        <w:rPr>
          <w:rStyle w:val="TextoNormalNegritaCaracter"/>
        </w:rPr>
        <w:t>Intangibilidad de sentencias firmes</w:t>
      </w:r>
      <w:bookmarkEnd w:id="766"/>
      <w:r w:rsidRPr="00CD105B">
        <w:rPr>
          <w:rStyle w:val="TextoNormalCaracter"/>
        </w:rPr>
        <w:t xml:space="preserve">, Sentencias </w:t>
      </w:r>
      <w:hyperlink w:anchor="SENTENCIA_2024_96" w:history="1">
        <w:r w:rsidRPr="00CD105B">
          <w:rPr>
            <w:rStyle w:val="TextoNormalCaracter"/>
          </w:rPr>
          <w:t>96/2024</w:t>
        </w:r>
      </w:hyperlink>
      <w:r w:rsidRPr="00CD105B">
        <w:rPr>
          <w:rStyle w:val="TextoNormalCaracter"/>
        </w:rPr>
        <w:t xml:space="preserve">, f. 7; </w:t>
      </w:r>
      <w:hyperlink w:anchor="SENTENCIA_2024_97" w:history="1">
        <w:r w:rsidRPr="00CD105B">
          <w:rPr>
            <w:rStyle w:val="TextoNormalCaracter"/>
          </w:rPr>
          <w:t>97/2024</w:t>
        </w:r>
      </w:hyperlink>
      <w:r w:rsidRPr="00CD105B">
        <w:rPr>
          <w:rStyle w:val="TextoNormalCaracter"/>
        </w:rPr>
        <w:t xml:space="preserve">, f. 7; </w:t>
      </w:r>
      <w:hyperlink w:anchor="SENTENCIA_2024_107" w:history="1">
        <w:r w:rsidRPr="00CD105B">
          <w:rPr>
            <w:rStyle w:val="TextoNormalCaracter"/>
          </w:rPr>
          <w:t>107/2024</w:t>
        </w:r>
      </w:hyperlink>
      <w:r w:rsidRPr="00CD105B">
        <w:rPr>
          <w:rStyle w:val="TextoNormalCaracter"/>
        </w:rPr>
        <w:t>, ff. 2 a 5.</w:t>
      </w:r>
    </w:p>
    <w:p w14:paraId="3BF13E2A" w14:textId="78A0B4F4" w:rsidR="00CD105B" w:rsidRPr="00CD105B" w:rsidRDefault="00CD105B" w:rsidP="00CD105B">
      <w:pPr>
        <w:pStyle w:val="TextoNormalSangraFrancesa"/>
        <w:rPr>
          <w:rStyle w:val="TextoNormalCaracter"/>
        </w:rPr>
      </w:pPr>
      <w:bookmarkStart w:id="767" w:name="DESCRIPTORALFABETICO129"/>
      <w:r w:rsidRPr="00CD105B">
        <w:rPr>
          <w:rStyle w:val="TextoNormalNegritaCaracter"/>
        </w:rPr>
        <w:t>Interés legítimo en el recurso de amparo</w:t>
      </w:r>
      <w:bookmarkEnd w:id="767"/>
      <w:r w:rsidRPr="00CD105B">
        <w:rPr>
          <w:rStyle w:val="TextoNormalCaracter"/>
        </w:rPr>
        <w:t xml:space="preserve">, Sentencia </w:t>
      </w:r>
      <w:hyperlink w:anchor="SENTENCIA_2024_116" w:history="1">
        <w:r w:rsidRPr="00CD105B">
          <w:rPr>
            <w:rStyle w:val="TextoNormalCaracter"/>
          </w:rPr>
          <w:t>116/2024</w:t>
        </w:r>
      </w:hyperlink>
      <w:r w:rsidRPr="00CD105B">
        <w:rPr>
          <w:rStyle w:val="TextoNormalCaracter"/>
        </w:rPr>
        <w:t>, f. 2.</w:t>
      </w:r>
    </w:p>
    <w:p w14:paraId="32D22BEA" w14:textId="61928A97" w:rsidR="00CD105B" w:rsidRPr="00CD105B" w:rsidRDefault="00CD105B" w:rsidP="00CD105B">
      <w:pPr>
        <w:pStyle w:val="TextoNormalSangraFrancesa"/>
        <w:rPr>
          <w:rStyle w:val="TextoNormalCaracter"/>
        </w:rPr>
      </w:pPr>
      <w:bookmarkStart w:id="768" w:name="DESCRIPTORALFABETICO290"/>
      <w:r w:rsidRPr="00CD105B">
        <w:rPr>
          <w:rStyle w:val="TextoNormalNegritaCaracter"/>
        </w:rPr>
        <w:t>Interés superior del menor</w:t>
      </w:r>
      <w:bookmarkEnd w:id="768"/>
      <w:r w:rsidRPr="00CD105B">
        <w:rPr>
          <w:rStyle w:val="TextoNormalCaracter"/>
        </w:rPr>
        <w:t xml:space="preserve">, Sentencias </w:t>
      </w:r>
      <w:hyperlink w:anchor="SENTENCIA_2024_106" w:history="1">
        <w:r w:rsidRPr="00CD105B">
          <w:rPr>
            <w:rStyle w:val="TextoNormalCaracter"/>
          </w:rPr>
          <w:t>106/2024</w:t>
        </w:r>
      </w:hyperlink>
      <w:r w:rsidRPr="00CD105B">
        <w:rPr>
          <w:rStyle w:val="TextoNormalCaracter"/>
        </w:rPr>
        <w:t xml:space="preserve">, ff. 2 y 3; </w:t>
      </w:r>
      <w:hyperlink w:anchor="SENTENCIA_2024_115" w:history="1">
        <w:r w:rsidRPr="00CD105B">
          <w:rPr>
            <w:rStyle w:val="TextoNormalCaracter"/>
          </w:rPr>
          <w:t>115/2024</w:t>
        </w:r>
      </w:hyperlink>
      <w:r w:rsidRPr="00CD105B">
        <w:rPr>
          <w:rStyle w:val="TextoNormalCaracter"/>
        </w:rPr>
        <w:t xml:space="preserve">, ff. 2 a 4, VP I, VP II; </w:t>
      </w:r>
      <w:hyperlink w:anchor="SENTENCIA_2024_126" w:history="1">
        <w:r w:rsidRPr="00CD105B">
          <w:rPr>
            <w:rStyle w:val="TextoNormalCaracter"/>
          </w:rPr>
          <w:t>126/2024</w:t>
        </w:r>
      </w:hyperlink>
      <w:r w:rsidRPr="00CD105B">
        <w:rPr>
          <w:rStyle w:val="TextoNormalCaracter"/>
        </w:rPr>
        <w:t>, f. 3.</w:t>
      </w:r>
    </w:p>
    <w:p w14:paraId="5D223444" w14:textId="5BE95394" w:rsidR="00CD105B" w:rsidRPr="00CD105B" w:rsidRDefault="00CD105B" w:rsidP="00CD105B">
      <w:pPr>
        <w:pStyle w:val="TextoNormalSangraFrancesa"/>
        <w:rPr>
          <w:rStyle w:val="TextoNormalCaracter"/>
        </w:rPr>
      </w:pPr>
      <w:bookmarkStart w:id="769" w:name="DESCRIPTORALFABETICO278"/>
      <w:r w:rsidRPr="00CD105B">
        <w:rPr>
          <w:rStyle w:val="TextoNormalNegritaCaracter"/>
        </w:rPr>
        <w:t>Interpretación de los requisitos procesales</w:t>
      </w:r>
      <w:bookmarkEnd w:id="769"/>
      <w:r w:rsidRPr="00CD105B">
        <w:rPr>
          <w:rStyle w:val="TextoNormalCaracter"/>
        </w:rPr>
        <w:t xml:space="preserve">, Sentencia </w:t>
      </w:r>
      <w:hyperlink w:anchor="SENTENCIA_2024_118" w:history="1">
        <w:r w:rsidRPr="00CD105B">
          <w:rPr>
            <w:rStyle w:val="TextoNormalCaracter"/>
          </w:rPr>
          <w:t>118/2024</w:t>
        </w:r>
      </w:hyperlink>
      <w:r w:rsidRPr="00CD105B">
        <w:rPr>
          <w:rStyle w:val="TextoNormalCaracter"/>
        </w:rPr>
        <w:t>, ff. 2 a 5.</w:t>
      </w:r>
    </w:p>
    <w:p w14:paraId="31347AED" w14:textId="631F2B8A" w:rsidR="00CD105B" w:rsidRPr="00CD105B" w:rsidRDefault="00CD105B" w:rsidP="00CD105B">
      <w:pPr>
        <w:pStyle w:val="TextoNormalSangraFrancesa"/>
        <w:rPr>
          <w:rStyle w:val="TextoNormalCaracter"/>
        </w:rPr>
      </w:pPr>
      <w:bookmarkStart w:id="770" w:name="DESCRIPTORALFABETICO279"/>
      <w:r w:rsidRPr="00CD105B">
        <w:rPr>
          <w:rStyle w:val="TextoNormalNegritaCaracter"/>
        </w:rPr>
        <w:t>Interpretación extensiva del tipo</w:t>
      </w:r>
      <w:bookmarkEnd w:id="770"/>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ff. 3, 4 y 5, VP I, VP II, VP II VP IV; </w:t>
      </w:r>
      <w:hyperlink w:anchor="SENTENCIA_2024_97" w:history="1">
        <w:r w:rsidRPr="00CD105B">
          <w:rPr>
            <w:rStyle w:val="TextoNormalCaracter"/>
          </w:rPr>
          <w:t>97/2024</w:t>
        </w:r>
      </w:hyperlink>
      <w:r w:rsidRPr="00CD105B">
        <w:rPr>
          <w:rStyle w:val="TextoNormalCaracter"/>
        </w:rPr>
        <w:t xml:space="preserve">, ff. 4 y 5; </w:t>
      </w:r>
      <w:hyperlink w:anchor="SENTENCIA_2024_98" w:history="1">
        <w:r w:rsidRPr="00CD105B">
          <w:rPr>
            <w:rStyle w:val="TextoNormalCaracter"/>
          </w:rPr>
          <w:t>98/2024</w:t>
        </w:r>
      </w:hyperlink>
      <w:r w:rsidRPr="00CD105B">
        <w:rPr>
          <w:rStyle w:val="TextoNormalCaracter"/>
        </w:rPr>
        <w:t xml:space="preserve">, ff. 4 y 5; </w:t>
      </w:r>
      <w:hyperlink w:anchor="SENTENCIA_2024_99" w:history="1">
        <w:r w:rsidRPr="00CD105B">
          <w:rPr>
            <w:rStyle w:val="TextoNormalCaracter"/>
          </w:rPr>
          <w:t>99/2024</w:t>
        </w:r>
      </w:hyperlink>
      <w:r w:rsidRPr="00CD105B">
        <w:rPr>
          <w:rStyle w:val="TextoNormalCaracter"/>
        </w:rPr>
        <w:t xml:space="preserve">, ff. 2 y 3, VP I, VP III; </w:t>
      </w:r>
      <w:hyperlink w:anchor="SENTENCIA_2024_100" w:history="1">
        <w:r w:rsidRPr="00CD105B">
          <w:rPr>
            <w:rStyle w:val="TextoNormalCaracter"/>
          </w:rPr>
          <w:t>100/2024</w:t>
        </w:r>
      </w:hyperlink>
      <w:r w:rsidRPr="00CD105B">
        <w:rPr>
          <w:rStyle w:val="TextoNormalCaracter"/>
        </w:rPr>
        <w:t xml:space="preserve">, ff. 4 y 5; </w:t>
      </w:r>
      <w:hyperlink w:anchor="SENTENCIA_2024_102" w:history="1">
        <w:r w:rsidRPr="00CD105B">
          <w:rPr>
            <w:rStyle w:val="TextoNormalCaracter"/>
          </w:rPr>
          <w:t>102/2024</w:t>
        </w:r>
      </w:hyperlink>
      <w:r w:rsidRPr="00CD105B">
        <w:rPr>
          <w:rStyle w:val="TextoNormalCaracter"/>
        </w:rPr>
        <w:t xml:space="preserve">, f. 4; </w:t>
      </w:r>
      <w:hyperlink w:anchor="SENTENCIA_2024_103" w:history="1">
        <w:r w:rsidRPr="00CD105B">
          <w:rPr>
            <w:rStyle w:val="TextoNormalCaracter"/>
          </w:rPr>
          <w:t>103/2024</w:t>
        </w:r>
      </w:hyperlink>
      <w:r w:rsidRPr="00CD105B">
        <w:rPr>
          <w:rStyle w:val="TextoNormalCaracter"/>
        </w:rPr>
        <w:t>, ff. 3 y 4.</w:t>
      </w:r>
    </w:p>
    <w:p w14:paraId="588C2A1C" w14:textId="3CA9D2B7" w:rsidR="00CD105B" w:rsidRPr="00CD105B" w:rsidRDefault="00CD105B" w:rsidP="00CD105B">
      <w:pPr>
        <w:pStyle w:val="TextoNormalSangraFrancesa"/>
        <w:rPr>
          <w:rStyle w:val="TextoNormalCaracter"/>
        </w:rPr>
      </w:pPr>
      <w:bookmarkStart w:id="771" w:name="DESCRIPTORALFABETICO280"/>
      <w:r w:rsidRPr="00CD105B">
        <w:rPr>
          <w:rStyle w:val="TextoNormalNegritaCaracter"/>
        </w:rPr>
        <w:t>Interpretación formalista</w:t>
      </w:r>
      <w:bookmarkEnd w:id="771"/>
      <w:r w:rsidRPr="00CD105B">
        <w:rPr>
          <w:rStyle w:val="TextoNormalCaracter"/>
        </w:rPr>
        <w:t xml:space="preserve">, Sentencia </w:t>
      </w:r>
      <w:hyperlink w:anchor="SENTENCIA_2024_118" w:history="1">
        <w:r w:rsidRPr="00CD105B">
          <w:rPr>
            <w:rStyle w:val="TextoNormalCaracter"/>
          </w:rPr>
          <w:t>118/2024</w:t>
        </w:r>
      </w:hyperlink>
      <w:r w:rsidRPr="00CD105B">
        <w:rPr>
          <w:rStyle w:val="TextoNormalCaracter"/>
        </w:rPr>
        <w:t>, f. 5.</w:t>
      </w:r>
    </w:p>
    <w:p w14:paraId="576B44CE" w14:textId="7903F35C" w:rsidR="00CD105B" w:rsidRPr="00CD105B" w:rsidRDefault="00CD105B" w:rsidP="00CD105B">
      <w:pPr>
        <w:pStyle w:val="TextoNormalSangraFrancesa"/>
        <w:rPr>
          <w:rStyle w:val="TextoNormalCaracter"/>
        </w:rPr>
      </w:pPr>
      <w:bookmarkStart w:id="772" w:name="DESCRIPTORALFABETICO56"/>
      <w:r w:rsidRPr="00CD105B">
        <w:rPr>
          <w:rStyle w:val="TextoNormalNegritaCaracter"/>
        </w:rPr>
        <w:t>Intervención facultativa de abogado</w:t>
      </w:r>
      <w:bookmarkEnd w:id="772"/>
      <w:r w:rsidRPr="00CD105B">
        <w:rPr>
          <w:rStyle w:val="TextoNormalCaracter"/>
        </w:rPr>
        <w:t xml:space="preserve">, Sentencia </w:t>
      </w:r>
      <w:hyperlink w:anchor="SENTENCIA_2024_104" w:history="1">
        <w:r w:rsidRPr="00CD105B">
          <w:rPr>
            <w:rStyle w:val="TextoNormalCaracter"/>
          </w:rPr>
          <w:t>104/2024</w:t>
        </w:r>
      </w:hyperlink>
      <w:r w:rsidRPr="00CD105B">
        <w:rPr>
          <w:rStyle w:val="TextoNormalCaracter"/>
        </w:rPr>
        <w:t>, f. 2.</w:t>
      </w:r>
    </w:p>
    <w:p w14:paraId="2D30AA8C" w14:textId="198AFC7A" w:rsidR="00CD105B" w:rsidRPr="00CD105B" w:rsidRDefault="00CD105B" w:rsidP="00CD105B">
      <w:pPr>
        <w:pStyle w:val="TextoNormalSangraFrancesa"/>
        <w:rPr>
          <w:rStyle w:val="TextoNormalCaracter"/>
        </w:rPr>
      </w:pPr>
      <w:bookmarkStart w:id="773" w:name="DESCRIPTORALFABETICO368"/>
      <w:r w:rsidRPr="00CD105B">
        <w:rPr>
          <w:rStyle w:val="TextoNormalNegritaCaracter"/>
        </w:rPr>
        <w:t>Investigación insuficiente</w:t>
      </w:r>
      <w:bookmarkEnd w:id="773"/>
      <w:r w:rsidRPr="00CD105B">
        <w:rPr>
          <w:rStyle w:val="TextoNormalCaracter"/>
        </w:rPr>
        <w:t xml:space="preserve">, Sentencias </w:t>
      </w:r>
      <w:hyperlink w:anchor="SENTENCIA_2024_105" w:history="1">
        <w:r w:rsidRPr="00CD105B">
          <w:rPr>
            <w:rStyle w:val="TextoNormalCaracter"/>
          </w:rPr>
          <w:t>105/2024</w:t>
        </w:r>
      </w:hyperlink>
      <w:r w:rsidRPr="00CD105B">
        <w:rPr>
          <w:rStyle w:val="TextoNormalCaracter"/>
        </w:rPr>
        <w:t xml:space="preserve">, f. 4; </w:t>
      </w:r>
      <w:hyperlink w:anchor="SENTENCIA_2024_144" w:history="1">
        <w:r w:rsidRPr="00CD105B">
          <w:rPr>
            <w:rStyle w:val="TextoNormalCaracter"/>
          </w:rPr>
          <w:t>144/2024</w:t>
        </w:r>
      </w:hyperlink>
      <w:r w:rsidRPr="00CD105B">
        <w:rPr>
          <w:rStyle w:val="TextoNormalCaracter"/>
        </w:rPr>
        <w:t>, f. 5.</w:t>
      </w:r>
    </w:p>
    <w:p w14:paraId="416C2D95" w14:textId="792A87AF" w:rsidR="00CD105B" w:rsidRPr="00CD105B" w:rsidRDefault="00CD105B" w:rsidP="00CD105B">
      <w:pPr>
        <w:pStyle w:val="TextoNormalSangraFrancesa"/>
        <w:rPr>
          <w:rStyle w:val="TextoNormalCaracter"/>
        </w:rPr>
      </w:pPr>
      <w:bookmarkStart w:id="774" w:name="DESCRIPTORALFABETICO16"/>
      <w:r w:rsidRPr="00CD105B">
        <w:rPr>
          <w:rStyle w:val="TextoNormalNegritaCaracter"/>
        </w:rPr>
        <w:t>Irregularidades electorales</w:t>
      </w:r>
      <w:bookmarkEnd w:id="774"/>
      <w:r w:rsidRPr="00CD105B">
        <w:rPr>
          <w:rStyle w:val="TextoNormalCaracter"/>
        </w:rPr>
        <w:t xml:space="preserve">, Sentencia </w:t>
      </w:r>
      <w:hyperlink w:anchor="SENTENCIA_2024_152" w:history="1">
        <w:r w:rsidRPr="00CD105B">
          <w:rPr>
            <w:rStyle w:val="TextoNormalCaracter"/>
          </w:rPr>
          <w:t>152/2024</w:t>
        </w:r>
      </w:hyperlink>
      <w:r w:rsidRPr="00CD105B">
        <w:rPr>
          <w:rStyle w:val="TextoNormalCaracter"/>
        </w:rPr>
        <w:t>, f. 4.</w:t>
      </w:r>
    </w:p>
    <w:p w14:paraId="499A4FE1" w14:textId="256BA921" w:rsidR="00CD105B" w:rsidRPr="00CD105B" w:rsidRDefault="00CD105B" w:rsidP="00CD105B">
      <w:pPr>
        <w:pStyle w:val="TextoNormalSangraFrancesa"/>
        <w:rPr>
          <w:rStyle w:val="TextoNormalCaracter"/>
        </w:rPr>
      </w:pPr>
      <w:bookmarkStart w:id="775" w:name="DESCRIPTORALFABETICO82"/>
      <w:r w:rsidRPr="00CD105B">
        <w:rPr>
          <w:rStyle w:val="TextoNormalNegritaCaracter"/>
          <w:i/>
        </w:rPr>
        <w:t>Ius superveniens</w:t>
      </w:r>
      <w:bookmarkEnd w:id="775"/>
      <w:r w:rsidRPr="00CD105B">
        <w:rPr>
          <w:rStyle w:val="TextoNormalCaracter"/>
        </w:rPr>
        <w:t xml:space="preserve">, Sentencia </w:t>
      </w:r>
      <w:hyperlink w:anchor="SENTENCIA_2024_120" w:history="1">
        <w:r w:rsidRPr="00CD105B">
          <w:rPr>
            <w:rStyle w:val="TextoNormalCaracter"/>
          </w:rPr>
          <w:t>120/2024</w:t>
        </w:r>
      </w:hyperlink>
      <w:r w:rsidRPr="00CD105B">
        <w:rPr>
          <w:rStyle w:val="TextoNormalCaracter"/>
        </w:rPr>
        <w:t>, f. 2, VP II.</w:t>
      </w:r>
    </w:p>
    <w:p w14:paraId="448E0A2D" w14:textId="0F690795" w:rsidR="00CD105B" w:rsidRPr="00CD105B" w:rsidRDefault="00CD105B" w:rsidP="00CD105B">
      <w:pPr>
        <w:pStyle w:val="TextoNormalSangraFrancesa"/>
        <w:rPr>
          <w:rStyle w:val="TextoNormalCaracter"/>
        </w:rPr>
      </w:pPr>
      <w:bookmarkStart w:id="776" w:name="DESCRIPTORALFABETICO33"/>
      <w:r w:rsidRPr="00CD105B">
        <w:rPr>
          <w:rStyle w:val="TextoNormalNegritaCaracter"/>
          <w:i/>
        </w:rPr>
        <w:t>Ius ut procedatur</w:t>
      </w:r>
      <w:bookmarkEnd w:id="776"/>
      <w:r w:rsidRPr="00CD105B">
        <w:rPr>
          <w:rStyle w:val="TextoNormalCaracter"/>
        </w:rPr>
        <w:t xml:space="preserve">, Sentencia </w:t>
      </w:r>
      <w:hyperlink w:anchor="SENTENCIA_2024_123" w:history="1">
        <w:r w:rsidRPr="00CD105B">
          <w:rPr>
            <w:rStyle w:val="TextoNormalCaracter"/>
          </w:rPr>
          <w:t>123/2024</w:t>
        </w:r>
      </w:hyperlink>
      <w:r w:rsidRPr="00CD105B">
        <w:rPr>
          <w:rStyle w:val="TextoNormalCaracter"/>
        </w:rPr>
        <w:t>, f. 2.</w:t>
      </w:r>
    </w:p>
    <w:p w14:paraId="03D3A316" w14:textId="445D262B" w:rsidR="00CD105B" w:rsidRDefault="00CD105B" w:rsidP="00CD105B">
      <w:pPr>
        <w:pStyle w:val="TextoNormalSangraFrancesa"/>
      </w:pPr>
    </w:p>
    <w:p w14:paraId="05FC3C52" w14:textId="77777777" w:rsidR="00CD105B" w:rsidRDefault="00CD105B" w:rsidP="00CD105B">
      <w:pPr>
        <w:pStyle w:val="TextoNormalSangraFrancesa"/>
      </w:pPr>
    </w:p>
    <w:p w14:paraId="6C4BF01B" w14:textId="77777777" w:rsidR="00CD105B" w:rsidRDefault="00CD105B" w:rsidP="00CD105B">
      <w:pPr>
        <w:pStyle w:val="TextoNormalNegritaCentrado"/>
      </w:pPr>
      <w:r>
        <w:t>J</w:t>
      </w:r>
    </w:p>
    <w:p w14:paraId="4BC90435" w14:textId="79B33D84" w:rsidR="00CD105B" w:rsidRDefault="00CD105B" w:rsidP="00CD105B">
      <w:pPr>
        <w:pStyle w:val="TextoNormalNegritaCentrado"/>
      </w:pPr>
    </w:p>
    <w:p w14:paraId="30DAAD44" w14:textId="1B99C04B" w:rsidR="00CD105B" w:rsidRPr="00CD105B" w:rsidRDefault="00CD105B" w:rsidP="00CD105B">
      <w:pPr>
        <w:pStyle w:val="TextoNormalSangraFrancesa"/>
        <w:rPr>
          <w:rStyle w:val="TextoNormalCaracter"/>
        </w:rPr>
      </w:pPr>
      <w:bookmarkStart w:id="777" w:name="DESCRIPTORALFABETICO117"/>
      <w:r w:rsidRPr="00CD105B">
        <w:rPr>
          <w:rStyle w:val="TextoNormalNegritaCaracter"/>
        </w:rPr>
        <w:t>Juicio de aplicabilidad</w:t>
      </w:r>
      <w:bookmarkEnd w:id="777"/>
      <w:r w:rsidRPr="00CD105B">
        <w:rPr>
          <w:rStyle w:val="TextoNormalCaracter"/>
        </w:rPr>
        <w:t xml:space="preserve">, Sentencia </w:t>
      </w:r>
      <w:hyperlink w:anchor="SENTENCIA_2024_112" w:history="1">
        <w:r w:rsidRPr="00CD105B">
          <w:rPr>
            <w:rStyle w:val="TextoNormalCaracter"/>
          </w:rPr>
          <w:t>112/2024</w:t>
        </w:r>
      </w:hyperlink>
      <w:r w:rsidRPr="00CD105B">
        <w:rPr>
          <w:rStyle w:val="TextoNormalCaracter"/>
        </w:rPr>
        <w:t>, f. 2.</w:t>
      </w:r>
    </w:p>
    <w:p w14:paraId="1CBFD6B2" w14:textId="5E4E6C24" w:rsidR="00CD105B" w:rsidRPr="00CD105B" w:rsidRDefault="00CD105B" w:rsidP="00CD105B">
      <w:pPr>
        <w:pStyle w:val="TextoNormalSangraFrancesa"/>
        <w:rPr>
          <w:rStyle w:val="TextoNormalCaracter"/>
        </w:rPr>
      </w:pPr>
      <w:bookmarkStart w:id="778" w:name="DESCRIPTORALFABETICO118"/>
      <w:r w:rsidRPr="00CD105B">
        <w:rPr>
          <w:rStyle w:val="TextoNormalNegritaCaracter"/>
        </w:rPr>
        <w:t>Juicio de aplicabilidad inconsistente</w:t>
      </w:r>
      <w:bookmarkEnd w:id="778"/>
      <w:r w:rsidRPr="00CD105B">
        <w:rPr>
          <w:rStyle w:val="TextoNormalCaracter"/>
        </w:rPr>
        <w:t xml:space="preserve">, Auto </w:t>
      </w:r>
      <w:hyperlink w:anchor="AUTO_2024_153" w:history="1">
        <w:r w:rsidRPr="00CD105B">
          <w:rPr>
            <w:rStyle w:val="TextoNormalCaracter"/>
          </w:rPr>
          <w:t>153/2024</w:t>
        </w:r>
      </w:hyperlink>
      <w:r w:rsidRPr="00CD105B">
        <w:rPr>
          <w:rStyle w:val="TextoNormalCaracter"/>
        </w:rPr>
        <w:t>, ff. 3 y 4.</w:t>
      </w:r>
    </w:p>
    <w:p w14:paraId="0A222588" w14:textId="31EA115A" w:rsidR="00CD105B" w:rsidRPr="00CD105B" w:rsidRDefault="00CD105B" w:rsidP="00CD105B">
      <w:pPr>
        <w:pStyle w:val="TextoNormalSangraFrancesa"/>
        <w:rPr>
          <w:rStyle w:val="TextoNormalCaracter"/>
        </w:rPr>
      </w:pPr>
      <w:bookmarkStart w:id="779" w:name="DESCRIPTORALFABETICO21"/>
      <w:r w:rsidRPr="00CD105B">
        <w:rPr>
          <w:rStyle w:val="TextoNormalNegritaCaracter"/>
        </w:rPr>
        <w:t>Juicio de igualdad</w:t>
      </w:r>
      <w:bookmarkEnd w:id="779"/>
      <w:r w:rsidRPr="00CD105B">
        <w:rPr>
          <w:rStyle w:val="TextoNormalCaracter"/>
        </w:rPr>
        <w:t xml:space="preserve">, Sentencia </w:t>
      </w:r>
      <w:hyperlink w:anchor="SENTENCIA_2024_140" w:history="1">
        <w:r w:rsidRPr="00CD105B">
          <w:rPr>
            <w:rStyle w:val="TextoNormalCaracter"/>
          </w:rPr>
          <w:t>140/2024</w:t>
        </w:r>
      </w:hyperlink>
      <w:r w:rsidRPr="00CD105B">
        <w:rPr>
          <w:rStyle w:val="TextoNormalCaracter"/>
        </w:rPr>
        <w:t>, VP I.</w:t>
      </w:r>
    </w:p>
    <w:p w14:paraId="55D08A40" w14:textId="76865495" w:rsidR="00CD105B" w:rsidRPr="00CD105B" w:rsidRDefault="00CD105B" w:rsidP="00CD105B">
      <w:pPr>
        <w:pStyle w:val="TextoNormalSangraFrancesa"/>
        <w:rPr>
          <w:rStyle w:val="TextoNormalCaracter"/>
        </w:rPr>
      </w:pPr>
      <w:bookmarkStart w:id="780" w:name="DESCRIPTORALFABETICO119"/>
      <w:r w:rsidRPr="00CD105B">
        <w:rPr>
          <w:rStyle w:val="TextoNormalNegritaCaracter"/>
        </w:rPr>
        <w:t>Juicio de relevancia</w:t>
      </w:r>
      <w:bookmarkEnd w:id="780"/>
      <w:r w:rsidRPr="00CD105B">
        <w:rPr>
          <w:rStyle w:val="TextoNormalCaracter"/>
        </w:rPr>
        <w:t xml:space="preserve">, Sentencia </w:t>
      </w:r>
      <w:hyperlink w:anchor="SENTENCIA_2024_112" w:history="1">
        <w:r w:rsidRPr="00CD105B">
          <w:rPr>
            <w:rStyle w:val="TextoNormalCaracter"/>
          </w:rPr>
          <w:t>112/2024</w:t>
        </w:r>
      </w:hyperlink>
      <w:r w:rsidRPr="00CD105B">
        <w:rPr>
          <w:rStyle w:val="TextoNormalCaracter"/>
        </w:rPr>
        <w:t>, f. 2.</w:t>
      </w:r>
    </w:p>
    <w:p w14:paraId="5D54656B" w14:textId="7D4C3ECB" w:rsidR="00CD105B" w:rsidRPr="00CD105B" w:rsidRDefault="00CD105B" w:rsidP="00CD105B">
      <w:pPr>
        <w:pStyle w:val="TextoNormalSangraFrancesa"/>
        <w:rPr>
          <w:rStyle w:val="TextoNormalCaracter"/>
        </w:rPr>
      </w:pPr>
      <w:bookmarkStart w:id="781" w:name="DESCRIPTORALFABETICO120"/>
      <w:r w:rsidRPr="00CD105B">
        <w:rPr>
          <w:rStyle w:val="TextoNormalNegritaCaracter"/>
        </w:rPr>
        <w:t>Juicio de relevancia inconsistente</w:t>
      </w:r>
      <w:bookmarkEnd w:id="781"/>
      <w:r w:rsidRPr="00CD105B">
        <w:rPr>
          <w:rStyle w:val="TextoNormalCaracter"/>
        </w:rPr>
        <w:t xml:space="preserve">, Auto </w:t>
      </w:r>
      <w:hyperlink w:anchor="AUTO_2024_153" w:history="1">
        <w:r w:rsidRPr="00CD105B">
          <w:rPr>
            <w:rStyle w:val="TextoNormalCaracter"/>
          </w:rPr>
          <w:t>153/2024</w:t>
        </w:r>
      </w:hyperlink>
      <w:r w:rsidRPr="00CD105B">
        <w:rPr>
          <w:rStyle w:val="TextoNormalCaracter"/>
        </w:rPr>
        <w:t>, f. 4.</w:t>
      </w:r>
    </w:p>
    <w:p w14:paraId="75AAB3B6" w14:textId="0058425B" w:rsidR="00CD105B" w:rsidRPr="00CD105B" w:rsidRDefault="00CD105B" w:rsidP="00CD105B">
      <w:pPr>
        <w:pStyle w:val="TextoNormalSangraFrancesa"/>
        <w:rPr>
          <w:rStyle w:val="TextoNormalCaracter"/>
        </w:rPr>
      </w:pPr>
      <w:bookmarkStart w:id="782" w:name="DESCRIPTORALFABETICO361"/>
      <w:r w:rsidRPr="00CD105B">
        <w:rPr>
          <w:rStyle w:val="TextoNormalNegritaCaracter"/>
        </w:rPr>
        <w:t>Juicio verbal de desahucio</w:t>
      </w:r>
      <w:bookmarkEnd w:id="782"/>
      <w:r w:rsidRPr="00CD105B">
        <w:rPr>
          <w:rStyle w:val="TextoNormalCaracter"/>
        </w:rPr>
        <w:t xml:space="preserve">, Sentencia </w:t>
      </w:r>
      <w:hyperlink w:anchor="SENTENCIA_2024_126" w:history="1">
        <w:r w:rsidRPr="00CD105B">
          <w:rPr>
            <w:rStyle w:val="TextoNormalCaracter"/>
          </w:rPr>
          <w:t>126/2024</w:t>
        </w:r>
      </w:hyperlink>
      <w:r w:rsidRPr="00CD105B">
        <w:rPr>
          <w:rStyle w:val="TextoNormalCaracter"/>
        </w:rPr>
        <w:t>, f. 1 a 3, VP.</w:t>
      </w:r>
    </w:p>
    <w:p w14:paraId="3CAA9806" w14:textId="4DABBA31" w:rsidR="00CD105B" w:rsidRPr="00CD105B" w:rsidRDefault="00CD105B" w:rsidP="00CD105B">
      <w:pPr>
        <w:pStyle w:val="TextoNormalSangraFrancesa"/>
        <w:rPr>
          <w:rStyle w:val="TextoNormalCaracter"/>
        </w:rPr>
      </w:pPr>
      <w:bookmarkStart w:id="783" w:name="DESCRIPTORALFABETICO318"/>
      <w:r w:rsidRPr="00CD105B">
        <w:rPr>
          <w:rStyle w:val="TextoNormalNegritaCaracter"/>
        </w:rPr>
        <w:t>Jurisdicción contable</w:t>
      </w:r>
      <w:bookmarkEnd w:id="783"/>
      <w:r w:rsidRPr="00CD105B">
        <w:rPr>
          <w:rStyle w:val="TextoNormalCaracter"/>
        </w:rPr>
        <w:t xml:space="preserve">, Sentencia </w:t>
      </w:r>
      <w:hyperlink w:anchor="SENTENCIA_2024_121" w:history="1">
        <w:r w:rsidRPr="00CD105B">
          <w:rPr>
            <w:rStyle w:val="TextoNormalCaracter"/>
          </w:rPr>
          <w:t>121/2024</w:t>
        </w:r>
      </w:hyperlink>
      <w:r w:rsidRPr="00CD105B">
        <w:rPr>
          <w:rStyle w:val="TextoNormalCaracter"/>
        </w:rPr>
        <w:t>, VP I, VP II.</w:t>
      </w:r>
    </w:p>
    <w:p w14:paraId="273045EB" w14:textId="6CE14A3A" w:rsidR="00CD105B" w:rsidRPr="00CD105B" w:rsidRDefault="00CD105B" w:rsidP="00CD105B">
      <w:pPr>
        <w:pStyle w:val="TextoNormalSangraFrancesa"/>
        <w:rPr>
          <w:rStyle w:val="TextoNormalCaracter"/>
        </w:rPr>
      </w:pPr>
      <w:bookmarkStart w:id="784" w:name="DESCRIPTORALFABETICO319"/>
      <w:r w:rsidRPr="00CD105B">
        <w:rPr>
          <w:rStyle w:val="TextoNormalNegritaCaracter"/>
        </w:rPr>
        <w:t>Jurisdicción militar</w:t>
      </w:r>
      <w:bookmarkEnd w:id="784"/>
      <w:r w:rsidRPr="00CD105B">
        <w:rPr>
          <w:rStyle w:val="TextoNormalCaracter"/>
        </w:rPr>
        <w:t xml:space="preserve">, Sentencia </w:t>
      </w:r>
      <w:hyperlink w:anchor="SENTENCIA_2024_128" w:history="1">
        <w:r w:rsidRPr="00CD105B">
          <w:rPr>
            <w:rStyle w:val="TextoNormalCaracter"/>
          </w:rPr>
          <w:t>128/2024</w:t>
        </w:r>
      </w:hyperlink>
      <w:r w:rsidRPr="00CD105B">
        <w:rPr>
          <w:rStyle w:val="TextoNormalCaracter"/>
        </w:rPr>
        <w:t>, f. 1, 4, 5, 6.</w:t>
      </w:r>
    </w:p>
    <w:p w14:paraId="7B7BB3A6" w14:textId="3BD67FE4" w:rsidR="00CD105B" w:rsidRPr="00CD105B" w:rsidRDefault="00CD105B" w:rsidP="00CD105B">
      <w:pPr>
        <w:pStyle w:val="TextoNormalSangraFrancesa"/>
        <w:rPr>
          <w:rStyle w:val="TextoNormalCaracter"/>
        </w:rPr>
      </w:pPr>
      <w:r w:rsidRPr="00CD105B">
        <w:rPr>
          <w:rStyle w:val="TextoNormalCursivaCaracter"/>
        </w:rPr>
        <w:t xml:space="preserve">    Doctrina constitucional, </w:t>
      </w:r>
      <w:r w:rsidRPr="00CD105B">
        <w:rPr>
          <w:rStyle w:val="TextoNormalCaracter"/>
        </w:rPr>
        <w:t xml:space="preserve">Sentencia </w:t>
      </w:r>
      <w:hyperlink w:anchor="SENTENCIA_2024_128" w:history="1">
        <w:r w:rsidRPr="00CD105B">
          <w:rPr>
            <w:rStyle w:val="TextoNormalCaracter"/>
          </w:rPr>
          <w:t>128/2024</w:t>
        </w:r>
      </w:hyperlink>
      <w:r w:rsidRPr="00CD105B">
        <w:rPr>
          <w:rStyle w:val="TextoNormalCaracter"/>
        </w:rPr>
        <w:t>, ff. 4 a 6.</w:t>
      </w:r>
    </w:p>
    <w:p w14:paraId="19DEFCB5" w14:textId="5631A227" w:rsidR="00CD105B" w:rsidRPr="00CD105B" w:rsidRDefault="00CD105B" w:rsidP="00CD105B">
      <w:pPr>
        <w:pStyle w:val="TextoNormalSangraFrancesa"/>
        <w:rPr>
          <w:rStyle w:val="TextoNormalCaracter"/>
        </w:rPr>
      </w:pPr>
      <w:bookmarkStart w:id="785" w:name="DESCRIPTORALFABETICO138"/>
      <w:r w:rsidRPr="00CD105B">
        <w:rPr>
          <w:rStyle w:val="TextoNormalNegritaCaracter"/>
        </w:rPr>
        <w:t>Justificación de la especial trascendencia constitucional</w:t>
      </w:r>
      <w:bookmarkEnd w:id="785"/>
      <w:r w:rsidRPr="00CD105B">
        <w:rPr>
          <w:rStyle w:val="TextoNormalCaracter"/>
        </w:rPr>
        <w:t xml:space="preserve">, Sentencia </w:t>
      </w:r>
      <w:hyperlink w:anchor="SENTENCIA_2024_123" w:history="1">
        <w:r w:rsidRPr="00CD105B">
          <w:rPr>
            <w:rStyle w:val="TextoNormalCaracter"/>
          </w:rPr>
          <w:t>123/2024</w:t>
        </w:r>
      </w:hyperlink>
      <w:r w:rsidRPr="00CD105B">
        <w:rPr>
          <w:rStyle w:val="TextoNormalCaracter"/>
        </w:rPr>
        <w:t>, f. 1.</w:t>
      </w:r>
    </w:p>
    <w:p w14:paraId="0A9B83DA" w14:textId="0B1E0629" w:rsidR="00CD105B" w:rsidRDefault="00CD105B" w:rsidP="00CD105B">
      <w:pPr>
        <w:pStyle w:val="TextoNormalSangraFrancesa"/>
      </w:pPr>
    </w:p>
    <w:p w14:paraId="6893865A" w14:textId="77777777" w:rsidR="00CD105B" w:rsidRDefault="00CD105B" w:rsidP="00CD105B">
      <w:pPr>
        <w:pStyle w:val="TextoNormalSangraFrancesa"/>
      </w:pPr>
    </w:p>
    <w:p w14:paraId="30101684" w14:textId="77777777" w:rsidR="00CD105B" w:rsidRDefault="00CD105B" w:rsidP="00CD105B">
      <w:pPr>
        <w:pStyle w:val="TextoNormalNegritaCentrado"/>
      </w:pPr>
      <w:r>
        <w:t>L</w:t>
      </w:r>
    </w:p>
    <w:p w14:paraId="304BBEBE" w14:textId="64E13DE3" w:rsidR="00CD105B" w:rsidRDefault="00CD105B" w:rsidP="00CD105B">
      <w:pPr>
        <w:pStyle w:val="TextoNormalNegritaCentrado"/>
      </w:pPr>
    </w:p>
    <w:p w14:paraId="704D7E4A" w14:textId="43BB8F73" w:rsidR="00CD105B" w:rsidRPr="00CD105B" w:rsidRDefault="00CD105B" w:rsidP="00CD105B">
      <w:pPr>
        <w:pStyle w:val="TextoNormalSangraFrancesa"/>
        <w:rPr>
          <w:rStyle w:val="TextoNormalCaracter"/>
        </w:rPr>
      </w:pPr>
      <w:bookmarkStart w:id="786" w:name="DESCRIPTORALFABETICO333"/>
      <w:r w:rsidRPr="00CD105B">
        <w:rPr>
          <w:rStyle w:val="TextoNormalNegritaCaracter"/>
        </w:rPr>
        <w:t>Lanzamiento de arrendatario</w:t>
      </w:r>
      <w:bookmarkEnd w:id="786"/>
      <w:r w:rsidRPr="00CD105B">
        <w:rPr>
          <w:rStyle w:val="TextoNormalCaracter"/>
        </w:rPr>
        <w:t xml:space="preserve">, Sentencia </w:t>
      </w:r>
      <w:hyperlink w:anchor="SENTENCIA_2024_126" w:history="1">
        <w:r w:rsidRPr="00CD105B">
          <w:rPr>
            <w:rStyle w:val="TextoNormalCaracter"/>
          </w:rPr>
          <w:t>126/2024</w:t>
        </w:r>
      </w:hyperlink>
      <w:r w:rsidRPr="00CD105B">
        <w:rPr>
          <w:rStyle w:val="TextoNormalCaracter"/>
        </w:rPr>
        <w:t>, f. 3, VP.</w:t>
      </w:r>
    </w:p>
    <w:p w14:paraId="67CD838D" w14:textId="58A81CEC" w:rsidR="00CD105B" w:rsidRPr="00CD105B" w:rsidRDefault="00CD105B" w:rsidP="00CD105B">
      <w:pPr>
        <w:pStyle w:val="TextoNormalSangraFrancesa"/>
        <w:rPr>
          <w:rStyle w:val="TextoNormalCaracter"/>
        </w:rPr>
      </w:pPr>
      <w:bookmarkStart w:id="787" w:name="DESCRIPTORALFABETICO272"/>
      <w:r w:rsidRPr="00CD105B">
        <w:rPr>
          <w:rStyle w:val="TextoNormalNegritaCaracter"/>
        </w:rPr>
        <w:t>Legislación procesal penal</w:t>
      </w:r>
      <w:bookmarkEnd w:id="787"/>
      <w:r w:rsidRPr="00CD105B">
        <w:rPr>
          <w:rStyle w:val="TextoNormalCaracter"/>
        </w:rPr>
        <w:t xml:space="preserve">, Sentencia </w:t>
      </w:r>
      <w:hyperlink w:anchor="SENTENCIA_2024_148" w:history="1">
        <w:r w:rsidRPr="00CD105B">
          <w:rPr>
            <w:rStyle w:val="TextoNormalCaracter"/>
          </w:rPr>
          <w:t>148/2024</w:t>
        </w:r>
      </w:hyperlink>
      <w:r w:rsidRPr="00CD105B">
        <w:rPr>
          <w:rStyle w:val="TextoNormalCaracter"/>
        </w:rPr>
        <w:t>, ff. 1 y 4.</w:t>
      </w:r>
    </w:p>
    <w:p w14:paraId="35889992" w14:textId="3483E681" w:rsidR="00CD105B" w:rsidRPr="00CD105B" w:rsidRDefault="00CD105B" w:rsidP="00CD105B">
      <w:pPr>
        <w:pStyle w:val="TextoNormalSangraFrancesa"/>
        <w:rPr>
          <w:rStyle w:val="TextoNormalCaracter"/>
        </w:rPr>
      </w:pPr>
      <w:bookmarkStart w:id="788" w:name="DESCRIPTORALFABETICO97"/>
      <w:r w:rsidRPr="00CD105B">
        <w:rPr>
          <w:rStyle w:val="TextoNormalNegritaCaracter"/>
        </w:rPr>
        <w:t>Legitimación de cincuenta Diputados</w:t>
      </w:r>
      <w:bookmarkEnd w:id="788"/>
      <w:r w:rsidRPr="00CD105B">
        <w:rPr>
          <w:rStyle w:val="TextoNormalCaracter"/>
        </w:rPr>
        <w:t xml:space="preserve">, Sentencia </w:t>
      </w:r>
      <w:hyperlink w:anchor="SENTENCIA_2024_157" w:history="1">
        <w:r w:rsidRPr="00CD105B">
          <w:rPr>
            <w:rStyle w:val="TextoNormalCaracter"/>
          </w:rPr>
          <w:t>157/2024</w:t>
        </w:r>
      </w:hyperlink>
      <w:r w:rsidRPr="00CD105B">
        <w:rPr>
          <w:rStyle w:val="TextoNormalCaracter"/>
        </w:rPr>
        <w:t>, f. 2.</w:t>
      </w:r>
    </w:p>
    <w:p w14:paraId="777A8F15" w14:textId="0026B133" w:rsidR="00CD105B" w:rsidRPr="00CD105B" w:rsidRDefault="00CD105B" w:rsidP="00CD105B">
      <w:pPr>
        <w:pStyle w:val="TextoNormalSangraFrancesa"/>
        <w:rPr>
          <w:rStyle w:val="TextoNormalCaracter"/>
        </w:rPr>
      </w:pPr>
      <w:bookmarkStart w:id="789" w:name="DESCRIPTORALFABETICO161"/>
      <w:r w:rsidRPr="00CD105B">
        <w:rPr>
          <w:rStyle w:val="TextoNormalNegritaCaracter"/>
        </w:rPr>
        <w:t>Letrados del Tribunal Supremo</w:t>
      </w:r>
      <w:bookmarkEnd w:id="789"/>
      <w:r w:rsidRPr="00CD105B">
        <w:rPr>
          <w:rStyle w:val="TextoNormalCaracter"/>
        </w:rPr>
        <w:t xml:space="preserve">, Sentencia </w:t>
      </w:r>
      <w:hyperlink w:anchor="SENTENCIA_2024_131" w:history="1">
        <w:r w:rsidRPr="00CD105B">
          <w:rPr>
            <w:rStyle w:val="TextoNormalCaracter"/>
          </w:rPr>
          <w:t>131/2024</w:t>
        </w:r>
      </w:hyperlink>
      <w:r w:rsidRPr="00CD105B">
        <w:rPr>
          <w:rStyle w:val="TextoNormalCaracter"/>
        </w:rPr>
        <w:t>, ff. 2 y 3.</w:t>
      </w:r>
    </w:p>
    <w:p w14:paraId="1220DDF0" w14:textId="7D7BDBAC" w:rsidR="00CD105B" w:rsidRPr="00CD105B" w:rsidRDefault="00CD105B" w:rsidP="00CD105B">
      <w:pPr>
        <w:pStyle w:val="TextoNormalSangraFrancesa"/>
        <w:rPr>
          <w:rStyle w:val="TextoNormalCaracter"/>
        </w:rPr>
      </w:pPr>
      <w:bookmarkStart w:id="790" w:name="DESCRIPTORALFABETICO90"/>
      <w:r w:rsidRPr="00CD105B">
        <w:rPr>
          <w:rStyle w:val="TextoNormalNegritaCaracter"/>
        </w:rPr>
        <w:t>Levantamiento de la suspensión de disposiciones de las Comunidades Autónomas</w:t>
      </w:r>
      <w:bookmarkEnd w:id="790"/>
      <w:r w:rsidRPr="00CD105B">
        <w:rPr>
          <w:rStyle w:val="TextoNormalCaracter"/>
        </w:rPr>
        <w:t xml:space="preserve">, Auto </w:t>
      </w:r>
      <w:hyperlink w:anchor="AUTO_2024_126" w:history="1">
        <w:r w:rsidRPr="00CD105B">
          <w:rPr>
            <w:rStyle w:val="TextoNormalCaracter"/>
          </w:rPr>
          <w:t>126/2024</w:t>
        </w:r>
      </w:hyperlink>
      <w:r w:rsidRPr="00CD105B">
        <w:rPr>
          <w:rStyle w:val="TextoNormalCaracter"/>
        </w:rPr>
        <w:t>, ff. 3 y 4.</w:t>
      </w:r>
    </w:p>
    <w:p w14:paraId="3A0F06BB" w14:textId="452FD1A4" w:rsidR="00CD105B" w:rsidRPr="00CD105B" w:rsidRDefault="00CD105B" w:rsidP="00CD105B">
      <w:pPr>
        <w:pStyle w:val="TextoNormalSangraFrancesa"/>
        <w:rPr>
          <w:rStyle w:val="TextoNormalCaracter"/>
        </w:rPr>
      </w:pPr>
      <w:bookmarkStart w:id="791" w:name="DESCRIPTORALFABETICO274"/>
      <w:r w:rsidRPr="00CD105B">
        <w:rPr>
          <w:rStyle w:val="TextoNormalNegritaCaracter"/>
        </w:rPr>
        <w:t>Leyes de presupuestos de las Comunidades Autónomas</w:t>
      </w:r>
      <w:bookmarkEnd w:id="791"/>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 1; </w:t>
      </w:r>
      <w:hyperlink w:anchor="SENTENCIA_2024_95" w:history="1">
        <w:r w:rsidRPr="00CD105B">
          <w:rPr>
            <w:rStyle w:val="TextoNormalCaracter"/>
          </w:rPr>
          <w:t>95/2024</w:t>
        </w:r>
      </w:hyperlink>
      <w:r w:rsidRPr="00CD105B">
        <w:rPr>
          <w:rStyle w:val="TextoNormalCaracter"/>
        </w:rPr>
        <w:t xml:space="preserve">, f. 3, VP II; </w:t>
      </w:r>
      <w:hyperlink w:anchor="SENTENCIA_2024_96" w:history="1">
        <w:r w:rsidRPr="00CD105B">
          <w:rPr>
            <w:rStyle w:val="TextoNormalCaracter"/>
          </w:rPr>
          <w:t>96/2024</w:t>
        </w:r>
      </w:hyperlink>
      <w:r w:rsidRPr="00CD105B">
        <w:rPr>
          <w:rStyle w:val="TextoNormalCaracter"/>
        </w:rPr>
        <w:t xml:space="preserve">, ff. 5 a 7, VP I, VP II, VP IV; </w:t>
      </w:r>
      <w:hyperlink w:anchor="SENTENCIA_2024_97" w:history="1">
        <w:r w:rsidRPr="00CD105B">
          <w:rPr>
            <w:rStyle w:val="TextoNormalCaracter"/>
          </w:rPr>
          <w:t>97/2024</w:t>
        </w:r>
      </w:hyperlink>
      <w:r w:rsidRPr="00CD105B">
        <w:rPr>
          <w:rStyle w:val="TextoNormalCaracter"/>
        </w:rPr>
        <w:t xml:space="preserve">, ff. 4 a 6, VP I, VP II, VP IV; </w:t>
      </w:r>
      <w:hyperlink w:anchor="SENTENCIA_2024_99" w:history="1">
        <w:r w:rsidRPr="00CD105B">
          <w:rPr>
            <w:rStyle w:val="TextoNormalCaracter"/>
          </w:rPr>
          <w:t>99/2024</w:t>
        </w:r>
      </w:hyperlink>
      <w:r w:rsidRPr="00CD105B">
        <w:rPr>
          <w:rStyle w:val="TextoNormalCaracter"/>
        </w:rPr>
        <w:t xml:space="preserve">, f. 1; </w:t>
      </w:r>
      <w:hyperlink w:anchor="SENTENCIA_2024_101" w:history="1">
        <w:r w:rsidRPr="00CD105B">
          <w:rPr>
            <w:rStyle w:val="TextoNormalCaracter"/>
          </w:rPr>
          <w:t>101/2024</w:t>
        </w:r>
      </w:hyperlink>
      <w:r w:rsidRPr="00CD105B">
        <w:rPr>
          <w:rStyle w:val="TextoNormalCaracter"/>
        </w:rPr>
        <w:t xml:space="preserve">, ff. 3 y 4; </w:t>
      </w:r>
      <w:hyperlink w:anchor="SENTENCIA_2024_102" w:history="1">
        <w:r w:rsidRPr="00CD105B">
          <w:rPr>
            <w:rStyle w:val="TextoNormalCaracter"/>
          </w:rPr>
          <w:t>102/2024</w:t>
        </w:r>
      </w:hyperlink>
      <w:r w:rsidRPr="00CD105B">
        <w:rPr>
          <w:rStyle w:val="TextoNormalCaracter"/>
        </w:rPr>
        <w:t xml:space="preserve">, f. 4, VP I, VP II, VP III, VP IV; </w:t>
      </w:r>
      <w:hyperlink w:anchor="SENTENCIA_2024_103" w:history="1">
        <w:r w:rsidRPr="00CD105B">
          <w:rPr>
            <w:rStyle w:val="TextoNormalCaracter"/>
          </w:rPr>
          <w:t>103/2024</w:t>
        </w:r>
      </w:hyperlink>
      <w:r w:rsidRPr="00CD105B">
        <w:rPr>
          <w:rStyle w:val="TextoNormalCaracter"/>
        </w:rPr>
        <w:t>, f. 1, VP II.</w:t>
      </w:r>
    </w:p>
    <w:p w14:paraId="28709B77" w14:textId="789959A2" w:rsidR="00CD105B" w:rsidRPr="00CD105B" w:rsidRDefault="00CD105B" w:rsidP="00CD105B">
      <w:pPr>
        <w:pStyle w:val="TextoNormalSangraFrancesa"/>
        <w:rPr>
          <w:rStyle w:val="TextoNormalCaracter"/>
        </w:rPr>
      </w:pPr>
      <w:bookmarkStart w:id="792" w:name="DESCRIPTORALFABETICO275"/>
      <w:r w:rsidRPr="00CD105B">
        <w:rPr>
          <w:rStyle w:val="TextoNormalNegritaCaracter"/>
        </w:rPr>
        <w:t>Leyes singulares</w:t>
      </w:r>
      <w:bookmarkEnd w:id="792"/>
      <w:r w:rsidRPr="00CD105B">
        <w:rPr>
          <w:rStyle w:val="TextoNormalCaracter"/>
        </w:rPr>
        <w:t xml:space="preserve">, Sentencia </w:t>
      </w:r>
      <w:hyperlink w:anchor="SENTENCIA_2024_139" w:history="1">
        <w:r w:rsidRPr="00CD105B">
          <w:rPr>
            <w:rStyle w:val="TextoNormalCaracter"/>
          </w:rPr>
          <w:t>139/2024</w:t>
        </w:r>
      </w:hyperlink>
      <w:r w:rsidRPr="00CD105B">
        <w:rPr>
          <w:rStyle w:val="TextoNormalCaracter"/>
        </w:rPr>
        <w:t>, f. 5.</w:t>
      </w:r>
    </w:p>
    <w:p w14:paraId="2CAA32E3" w14:textId="02EC1E2F" w:rsidR="00CD105B" w:rsidRPr="00CD105B" w:rsidRDefault="00CD105B" w:rsidP="00CD105B">
      <w:pPr>
        <w:pStyle w:val="TextoNormalSangraFrancesa"/>
        <w:rPr>
          <w:rStyle w:val="TextoNormalCaracter"/>
        </w:rPr>
      </w:pPr>
      <w:bookmarkStart w:id="793" w:name="DESCRIPTORALFABETICO68"/>
      <w:r w:rsidRPr="00CD105B">
        <w:rPr>
          <w:rStyle w:val="TextoNormalNegritaCaracter"/>
        </w:rPr>
        <w:t>Libertad de circulación</w:t>
      </w:r>
      <w:bookmarkEnd w:id="793"/>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 5; </w:t>
      </w:r>
      <w:hyperlink w:anchor="SENTENCIA_2024_141" w:history="1">
        <w:r w:rsidRPr="00CD105B">
          <w:rPr>
            <w:rStyle w:val="TextoNormalCaracter"/>
          </w:rPr>
          <w:t>141/2024</w:t>
        </w:r>
      </w:hyperlink>
      <w:r w:rsidRPr="00CD105B">
        <w:rPr>
          <w:rStyle w:val="TextoNormalCaracter"/>
        </w:rPr>
        <w:t>, ff. 1 y 3.</w:t>
      </w:r>
    </w:p>
    <w:p w14:paraId="62C1EBA6" w14:textId="19F992D2" w:rsidR="00CD105B" w:rsidRPr="00CD105B" w:rsidRDefault="00CD105B" w:rsidP="00CD105B">
      <w:pPr>
        <w:pStyle w:val="TextoNormalSangraFrancesa"/>
        <w:rPr>
          <w:rStyle w:val="TextoNormalCaracter"/>
        </w:rPr>
      </w:pPr>
      <w:bookmarkStart w:id="794" w:name="DESCRIPTORALFABETICO69"/>
      <w:r w:rsidRPr="00CD105B">
        <w:rPr>
          <w:rStyle w:val="TextoNormalNegritaCaracter"/>
        </w:rPr>
        <w:t>Libertad de empresa</w:t>
      </w:r>
      <w:bookmarkEnd w:id="794"/>
      <w:r w:rsidRPr="00CD105B">
        <w:rPr>
          <w:rStyle w:val="TextoNormalCaracter"/>
        </w:rPr>
        <w:t xml:space="preserve">, Sentencia </w:t>
      </w:r>
      <w:hyperlink w:anchor="SENTENCIA_2024_112" w:history="1">
        <w:r w:rsidRPr="00CD105B">
          <w:rPr>
            <w:rStyle w:val="TextoNormalCaracter"/>
          </w:rPr>
          <w:t>112/2024</w:t>
        </w:r>
      </w:hyperlink>
      <w:r w:rsidRPr="00CD105B">
        <w:rPr>
          <w:rStyle w:val="TextoNormalCaracter"/>
        </w:rPr>
        <w:t>, ff. 4 y 5.</w:t>
      </w:r>
    </w:p>
    <w:p w14:paraId="6DADF9D6" w14:textId="593B11E5" w:rsidR="00CD105B" w:rsidRPr="00CD105B" w:rsidRDefault="00CD105B" w:rsidP="00CD105B">
      <w:pPr>
        <w:pStyle w:val="TextoNormalSangraFrancesa"/>
        <w:rPr>
          <w:rStyle w:val="TextoNormalCaracter"/>
        </w:rPr>
      </w:pPr>
      <w:bookmarkStart w:id="795" w:name="DESCRIPTORALFABETICO70"/>
      <w:r w:rsidRPr="00CD105B">
        <w:rPr>
          <w:rStyle w:val="TextoNormalNegritaCaracter"/>
        </w:rPr>
        <w:t>Libertad de expresión</w:t>
      </w:r>
      <w:bookmarkEnd w:id="795"/>
      <w:r w:rsidRPr="00CD105B">
        <w:rPr>
          <w:rStyle w:val="TextoNormalCaracter"/>
        </w:rPr>
        <w:t xml:space="preserve">, Sentencia </w:t>
      </w:r>
      <w:hyperlink w:anchor="SENTENCIA_2024_152" w:history="1">
        <w:r w:rsidRPr="00CD105B">
          <w:rPr>
            <w:rStyle w:val="TextoNormalCaracter"/>
          </w:rPr>
          <w:t>152/2024</w:t>
        </w:r>
      </w:hyperlink>
      <w:r w:rsidRPr="00CD105B">
        <w:rPr>
          <w:rStyle w:val="TextoNormalCaracter"/>
        </w:rPr>
        <w:t>, f. 2.</w:t>
      </w:r>
    </w:p>
    <w:p w14:paraId="3E14C7F6" w14:textId="7D62C2F8" w:rsidR="00CD105B" w:rsidRPr="00CD105B" w:rsidRDefault="00CD105B" w:rsidP="00CD105B">
      <w:pPr>
        <w:pStyle w:val="TextoNormalSangraFrancesa"/>
        <w:rPr>
          <w:rStyle w:val="TextoNormalCaracter"/>
        </w:rPr>
      </w:pPr>
      <w:r w:rsidRPr="00CD105B">
        <w:rPr>
          <w:rStyle w:val="TextoNormalCaracter"/>
        </w:rPr>
        <w:t xml:space="preserve">    Auto </w:t>
      </w:r>
      <w:hyperlink w:anchor="AUTO_2024_85" w:history="1">
        <w:r w:rsidRPr="00CD105B">
          <w:rPr>
            <w:rStyle w:val="TextoNormalCaracter"/>
          </w:rPr>
          <w:t>85/2024</w:t>
        </w:r>
      </w:hyperlink>
      <w:r w:rsidRPr="00CD105B">
        <w:rPr>
          <w:rStyle w:val="TextoNormalCaracter"/>
        </w:rPr>
        <w:t>, f. único, VP.</w:t>
      </w:r>
    </w:p>
    <w:p w14:paraId="12FA6011" w14:textId="2A610512" w:rsidR="00CD105B" w:rsidRPr="00CD105B" w:rsidRDefault="00CD105B" w:rsidP="00CD105B">
      <w:pPr>
        <w:pStyle w:val="TextoNormalSangraFrancesa"/>
        <w:rPr>
          <w:rStyle w:val="TextoNormalCaracter"/>
        </w:rPr>
      </w:pPr>
      <w:bookmarkStart w:id="796" w:name="DESCRIPTORALFABETICO71"/>
      <w:r w:rsidRPr="00CD105B">
        <w:rPr>
          <w:rStyle w:val="TextoNormalNegritaCaracter"/>
        </w:rPr>
        <w:t>Libertad religiosa y de culto</w:t>
      </w:r>
      <w:bookmarkEnd w:id="796"/>
      <w:r w:rsidRPr="00CD105B">
        <w:rPr>
          <w:rStyle w:val="TextoNormalCaracter"/>
        </w:rPr>
        <w:t xml:space="preserve">, Sentencia </w:t>
      </w:r>
      <w:hyperlink w:anchor="SENTENCIA_2024_132" w:history="1">
        <w:r w:rsidRPr="00CD105B">
          <w:rPr>
            <w:rStyle w:val="TextoNormalCaracter"/>
          </w:rPr>
          <w:t>132/2024</w:t>
        </w:r>
      </w:hyperlink>
      <w:r w:rsidRPr="00CD105B">
        <w:rPr>
          <w:rStyle w:val="TextoNormalCaracter"/>
        </w:rPr>
        <w:t>, ff. 3 y 4.</w:t>
      </w:r>
    </w:p>
    <w:p w14:paraId="49BB4012" w14:textId="6C76D42D" w:rsidR="00CD105B" w:rsidRPr="00CD105B" w:rsidRDefault="00CD105B" w:rsidP="00CD105B">
      <w:pPr>
        <w:pStyle w:val="TextoNormalSangraFrancesa"/>
        <w:rPr>
          <w:rStyle w:val="TextoNormalCaracter"/>
        </w:rPr>
      </w:pPr>
      <w:bookmarkStart w:id="797" w:name="DESCRIPTORALFABETICO266"/>
      <w:r w:rsidRPr="00CD105B">
        <w:rPr>
          <w:rStyle w:val="TextoNormalNegritaCaracter"/>
        </w:rPr>
        <w:t>Límite material de los decretos-leyes</w:t>
      </w:r>
      <w:bookmarkEnd w:id="797"/>
      <w:r w:rsidRPr="00CD105B">
        <w:rPr>
          <w:rStyle w:val="TextoNormalCaracter"/>
        </w:rPr>
        <w:t xml:space="preserve">, Sentencias </w:t>
      </w:r>
      <w:hyperlink w:anchor="SENTENCIA_2024_111" w:history="1">
        <w:r w:rsidRPr="00CD105B">
          <w:rPr>
            <w:rStyle w:val="TextoNormalCaracter"/>
          </w:rPr>
          <w:t>111/2024</w:t>
        </w:r>
      </w:hyperlink>
      <w:r w:rsidRPr="00CD105B">
        <w:rPr>
          <w:rStyle w:val="TextoNormalCaracter"/>
        </w:rPr>
        <w:t xml:space="preserve">, f. 4; </w:t>
      </w:r>
      <w:hyperlink w:anchor="SENTENCIA_2024_121" w:history="1">
        <w:r w:rsidRPr="00CD105B">
          <w:rPr>
            <w:rStyle w:val="TextoNormalCaracter"/>
          </w:rPr>
          <w:t>121/2024</w:t>
        </w:r>
      </w:hyperlink>
      <w:r w:rsidRPr="00CD105B">
        <w:rPr>
          <w:rStyle w:val="TextoNormalCaracter"/>
        </w:rPr>
        <w:t xml:space="preserve">, f. 4; </w:t>
      </w:r>
      <w:hyperlink w:anchor="SENTENCIA_2024_141" w:history="1">
        <w:r w:rsidRPr="00CD105B">
          <w:rPr>
            <w:rStyle w:val="TextoNormalCaracter"/>
          </w:rPr>
          <w:t>141/2024</w:t>
        </w:r>
      </w:hyperlink>
      <w:r w:rsidRPr="00CD105B">
        <w:rPr>
          <w:rStyle w:val="TextoNormalCaracter"/>
        </w:rPr>
        <w:t>, f. 3.</w:t>
      </w:r>
    </w:p>
    <w:p w14:paraId="3F65CF46" w14:textId="728F58BD" w:rsidR="00CD105B" w:rsidRPr="00CD105B" w:rsidRDefault="00CD105B" w:rsidP="00CD105B">
      <w:pPr>
        <w:pStyle w:val="TextoNormalSangraFrancesa"/>
        <w:rPr>
          <w:rStyle w:val="TextoNormalCaracter"/>
        </w:rPr>
      </w:pPr>
      <w:bookmarkStart w:id="798" w:name="DESCRIPTORALFABETICO168"/>
      <w:r w:rsidRPr="00CD105B">
        <w:rPr>
          <w:rStyle w:val="TextoNormalNegritaCaracter"/>
        </w:rPr>
        <w:t>Límites de la potestad legislativa</w:t>
      </w:r>
      <w:bookmarkEnd w:id="798"/>
      <w:r w:rsidRPr="00CD105B">
        <w:rPr>
          <w:rStyle w:val="TextoNormalCaracter"/>
        </w:rPr>
        <w:t xml:space="preserve">, Sentencia </w:t>
      </w:r>
      <w:hyperlink w:anchor="SENTENCIA_2024_139" w:history="1">
        <w:r w:rsidRPr="00CD105B">
          <w:rPr>
            <w:rStyle w:val="TextoNormalCaracter"/>
          </w:rPr>
          <w:t>139/2024</w:t>
        </w:r>
      </w:hyperlink>
      <w:r w:rsidRPr="00CD105B">
        <w:rPr>
          <w:rStyle w:val="TextoNormalCaracter"/>
        </w:rPr>
        <w:t>, f. 4.</w:t>
      </w:r>
    </w:p>
    <w:p w14:paraId="100DD820" w14:textId="124423CA" w:rsidR="00CD105B" w:rsidRPr="00CD105B" w:rsidRDefault="00CD105B" w:rsidP="00CD105B">
      <w:pPr>
        <w:pStyle w:val="TextoNormalSangraFrancesa"/>
        <w:rPr>
          <w:rStyle w:val="TextoNormalCaracter"/>
        </w:rPr>
      </w:pPr>
      <w:bookmarkStart w:id="799" w:name="DESCRIPTORALFABETICO236"/>
      <w:r w:rsidRPr="00CD105B">
        <w:rPr>
          <w:rStyle w:val="TextoNormalNegritaCaracter"/>
        </w:rPr>
        <w:t>Litoral</w:t>
      </w:r>
      <w:bookmarkEnd w:id="799"/>
      <w:r w:rsidRPr="00CD105B">
        <w:rPr>
          <w:rStyle w:val="TextoNormalCaracter"/>
        </w:rPr>
        <w:t xml:space="preserve">, Sentencia </w:t>
      </w:r>
      <w:hyperlink w:anchor="SENTENCIA_2024_119" w:history="1">
        <w:r w:rsidRPr="00CD105B">
          <w:rPr>
            <w:rStyle w:val="TextoNormalCaracter"/>
          </w:rPr>
          <w:t>119/2024</w:t>
        </w:r>
      </w:hyperlink>
      <w:r w:rsidRPr="00CD105B">
        <w:rPr>
          <w:rStyle w:val="TextoNormalCaracter"/>
        </w:rPr>
        <w:t>, f. 1.</w:t>
      </w:r>
    </w:p>
    <w:p w14:paraId="071A5393" w14:textId="27C3728A" w:rsidR="00CD105B" w:rsidRDefault="00CD105B" w:rsidP="00CD105B">
      <w:pPr>
        <w:pStyle w:val="TextoNormalSangraFrancesa"/>
      </w:pPr>
    </w:p>
    <w:p w14:paraId="20D8AF97" w14:textId="77777777" w:rsidR="00CD105B" w:rsidRDefault="00CD105B" w:rsidP="00CD105B">
      <w:pPr>
        <w:pStyle w:val="TextoNormalSangraFrancesa"/>
      </w:pPr>
    </w:p>
    <w:p w14:paraId="36C5119F" w14:textId="77777777" w:rsidR="00CD105B" w:rsidRDefault="00CD105B" w:rsidP="00CD105B">
      <w:pPr>
        <w:pStyle w:val="TextoNormalNegritaCentrado"/>
      </w:pPr>
      <w:r>
        <w:t>M</w:t>
      </w:r>
    </w:p>
    <w:p w14:paraId="261F1404" w14:textId="114FA04B" w:rsidR="00CD105B" w:rsidRDefault="00CD105B" w:rsidP="00CD105B">
      <w:pPr>
        <w:pStyle w:val="TextoNormalNegritaCentrado"/>
      </w:pPr>
    </w:p>
    <w:p w14:paraId="03C0DC0A" w14:textId="450A1D54" w:rsidR="00CD105B" w:rsidRPr="00CD105B" w:rsidRDefault="00CD105B" w:rsidP="00CD105B">
      <w:pPr>
        <w:pStyle w:val="TextoNormalSangraFrancesa"/>
        <w:rPr>
          <w:rStyle w:val="TextoNormalCaracter"/>
        </w:rPr>
      </w:pPr>
      <w:bookmarkStart w:id="800" w:name="DESCRIPTORALFABETICO291"/>
      <w:r w:rsidRPr="00CD105B">
        <w:rPr>
          <w:rStyle w:val="TextoNormalNegritaCaracter"/>
        </w:rPr>
        <w:t>Madre biológica</w:t>
      </w:r>
      <w:bookmarkEnd w:id="800"/>
      <w:r w:rsidRPr="00CD105B">
        <w:rPr>
          <w:rStyle w:val="TextoNormalCaracter"/>
        </w:rPr>
        <w:t xml:space="preserve">, Sentencias </w:t>
      </w:r>
      <w:hyperlink w:anchor="SENTENCIA_2024_140" w:history="1">
        <w:r w:rsidRPr="00CD105B">
          <w:rPr>
            <w:rStyle w:val="TextoNormalCaracter"/>
          </w:rPr>
          <w:t>140/2024</w:t>
        </w:r>
      </w:hyperlink>
      <w:r w:rsidRPr="00CD105B">
        <w:rPr>
          <w:rStyle w:val="TextoNormalCaracter"/>
        </w:rPr>
        <w:t xml:space="preserve">, ff. 3 y 4; </w:t>
      </w:r>
      <w:hyperlink w:anchor="SENTENCIA_2024_147" w:history="1">
        <w:r w:rsidRPr="00CD105B">
          <w:rPr>
            <w:rStyle w:val="TextoNormalCaracter"/>
          </w:rPr>
          <w:t>147/2024</w:t>
        </w:r>
      </w:hyperlink>
      <w:r w:rsidRPr="00CD105B">
        <w:rPr>
          <w:rStyle w:val="TextoNormalCaracter"/>
        </w:rPr>
        <w:t xml:space="preserve">, f. 3; </w:t>
      </w:r>
      <w:hyperlink w:anchor="SENTENCIA_2024_149" w:history="1">
        <w:r w:rsidRPr="00CD105B">
          <w:rPr>
            <w:rStyle w:val="TextoNormalCaracter"/>
          </w:rPr>
          <w:t>149/2024</w:t>
        </w:r>
      </w:hyperlink>
      <w:r w:rsidRPr="00CD105B">
        <w:rPr>
          <w:rStyle w:val="TextoNormalCaracter"/>
        </w:rPr>
        <w:t xml:space="preserve">, f. 3; </w:t>
      </w:r>
      <w:hyperlink w:anchor="SENTENCIA_2024_150" w:history="1">
        <w:r w:rsidRPr="00CD105B">
          <w:rPr>
            <w:rStyle w:val="TextoNormalCaracter"/>
          </w:rPr>
          <w:t>150/2024</w:t>
        </w:r>
      </w:hyperlink>
      <w:r w:rsidRPr="00CD105B">
        <w:rPr>
          <w:rStyle w:val="TextoNormalCaracter"/>
        </w:rPr>
        <w:t xml:space="preserve">, f. 3; </w:t>
      </w:r>
      <w:hyperlink w:anchor="SENTENCIA_2024_151" w:history="1">
        <w:r w:rsidRPr="00CD105B">
          <w:rPr>
            <w:rStyle w:val="TextoNormalCaracter"/>
          </w:rPr>
          <w:t>151/2024</w:t>
        </w:r>
      </w:hyperlink>
      <w:r w:rsidRPr="00CD105B">
        <w:rPr>
          <w:rStyle w:val="TextoNormalCaracter"/>
        </w:rPr>
        <w:t xml:space="preserve">, f. 3; </w:t>
      </w:r>
      <w:hyperlink w:anchor="SENTENCIA_2024_155" w:history="1">
        <w:r w:rsidRPr="00CD105B">
          <w:rPr>
            <w:rStyle w:val="TextoNormalCaracter"/>
          </w:rPr>
          <w:t>155/2024</w:t>
        </w:r>
      </w:hyperlink>
      <w:r w:rsidRPr="00CD105B">
        <w:rPr>
          <w:rStyle w:val="TextoNormalCaracter"/>
        </w:rPr>
        <w:t>, f. 3.</w:t>
      </w:r>
    </w:p>
    <w:p w14:paraId="430C0EFD" w14:textId="3583E8D8" w:rsidR="00CD105B" w:rsidRPr="00CD105B" w:rsidRDefault="00CD105B" w:rsidP="00CD105B">
      <w:pPr>
        <w:pStyle w:val="TextoNormalSangraFrancesa"/>
        <w:rPr>
          <w:rStyle w:val="TextoNormalCaracter"/>
        </w:rPr>
      </w:pPr>
      <w:bookmarkStart w:id="801" w:name="DESCRIPTORALFABETICO254"/>
      <w:r w:rsidRPr="00CD105B">
        <w:rPr>
          <w:rStyle w:val="TextoNormalNegritaCaracter"/>
        </w:rPr>
        <w:t>Malversación de fondos públicos</w:t>
      </w:r>
      <w:bookmarkEnd w:id="801"/>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ff. 5 y 6, VP I, VP II, VP III, VP IV; </w:t>
      </w:r>
      <w:hyperlink w:anchor="SENTENCIA_2024_95" w:history="1">
        <w:r w:rsidRPr="00CD105B">
          <w:rPr>
            <w:rStyle w:val="TextoNormalCaracter"/>
          </w:rPr>
          <w:t>95/2024</w:t>
        </w:r>
      </w:hyperlink>
      <w:r w:rsidRPr="00CD105B">
        <w:rPr>
          <w:rStyle w:val="TextoNormalCaracter"/>
        </w:rPr>
        <w:t xml:space="preserve">, ff. 3 a 6; </w:t>
      </w:r>
      <w:hyperlink w:anchor="SENTENCIA_2024_96" w:history="1">
        <w:r w:rsidRPr="00CD105B">
          <w:rPr>
            <w:rStyle w:val="TextoNormalCaracter"/>
          </w:rPr>
          <w:t>96/2024</w:t>
        </w:r>
      </w:hyperlink>
      <w:r w:rsidRPr="00CD105B">
        <w:rPr>
          <w:rStyle w:val="TextoNormalCaracter"/>
        </w:rPr>
        <w:t xml:space="preserve">, ff. 6 y 7, VP I, VP II, VP III, VP IV; </w:t>
      </w:r>
      <w:hyperlink w:anchor="SENTENCIA_2024_97" w:history="1">
        <w:r w:rsidRPr="00CD105B">
          <w:rPr>
            <w:rStyle w:val="TextoNormalCaracter"/>
          </w:rPr>
          <w:t>97/2024</w:t>
        </w:r>
      </w:hyperlink>
      <w:r w:rsidRPr="00CD105B">
        <w:rPr>
          <w:rStyle w:val="TextoNormalCaracter"/>
        </w:rPr>
        <w:t xml:space="preserve">, ff. 5 y 6, VP I, VP II, VP III, VP IV; </w:t>
      </w:r>
      <w:hyperlink w:anchor="SENTENCIA_2024_98" w:history="1">
        <w:r w:rsidRPr="00CD105B">
          <w:rPr>
            <w:rStyle w:val="TextoNormalCaracter"/>
          </w:rPr>
          <w:t>98/2024</w:t>
        </w:r>
      </w:hyperlink>
      <w:r w:rsidRPr="00CD105B">
        <w:rPr>
          <w:rStyle w:val="TextoNormalCaracter"/>
        </w:rPr>
        <w:t xml:space="preserve">, f. 5 VP I, VP II, VP III; </w:t>
      </w:r>
      <w:hyperlink w:anchor="SENTENCIA_2024_100" w:history="1">
        <w:r w:rsidRPr="00CD105B">
          <w:rPr>
            <w:rStyle w:val="TextoNormalCaracter"/>
          </w:rPr>
          <w:t>100/2024</w:t>
        </w:r>
      </w:hyperlink>
      <w:r w:rsidRPr="00CD105B">
        <w:rPr>
          <w:rStyle w:val="TextoNormalCaracter"/>
        </w:rPr>
        <w:t xml:space="preserve">, f. 5, VP I, VP II, VP III; </w:t>
      </w:r>
      <w:hyperlink w:anchor="SENTENCIA_2024_101" w:history="1">
        <w:r w:rsidRPr="00CD105B">
          <w:rPr>
            <w:rStyle w:val="TextoNormalCaracter"/>
          </w:rPr>
          <w:t>101/2024</w:t>
        </w:r>
      </w:hyperlink>
      <w:r w:rsidRPr="00CD105B">
        <w:rPr>
          <w:rStyle w:val="TextoNormalCaracter"/>
        </w:rPr>
        <w:t>, ff. 3 a 5.</w:t>
      </w:r>
    </w:p>
    <w:p w14:paraId="2A4E39AA" w14:textId="4A85D1E6" w:rsidR="00CD105B" w:rsidRPr="00CD105B" w:rsidRDefault="00CD105B" w:rsidP="00CD105B">
      <w:pPr>
        <w:pStyle w:val="TextoNormalSangraFrancesa"/>
        <w:rPr>
          <w:rStyle w:val="TextoNormalCaracter"/>
        </w:rPr>
      </w:pPr>
      <w:bookmarkStart w:id="802" w:name="DESCRIPTORALFABETICO91"/>
      <w:r w:rsidRPr="00CD105B">
        <w:rPr>
          <w:rStyle w:val="TextoNormalNegritaCaracter"/>
        </w:rPr>
        <w:t>Mantenimiento de la suspensión de disposiciones de las Comunidades Autónomas</w:t>
      </w:r>
      <w:bookmarkEnd w:id="802"/>
      <w:r w:rsidRPr="00CD105B">
        <w:rPr>
          <w:rStyle w:val="TextoNormalCaracter"/>
        </w:rPr>
        <w:t xml:space="preserve">, Autos </w:t>
      </w:r>
      <w:hyperlink w:anchor="AUTO_2024_72" w:history="1">
        <w:r w:rsidRPr="00CD105B">
          <w:rPr>
            <w:rStyle w:val="TextoNormalCaracter"/>
          </w:rPr>
          <w:t>72/2024</w:t>
        </w:r>
      </w:hyperlink>
      <w:r w:rsidRPr="00CD105B">
        <w:rPr>
          <w:rStyle w:val="TextoNormalCaracter"/>
        </w:rPr>
        <w:t xml:space="preserve">, f. único; </w:t>
      </w:r>
      <w:hyperlink w:anchor="AUTO_2024_126" w:history="1">
        <w:r w:rsidRPr="00CD105B">
          <w:rPr>
            <w:rStyle w:val="TextoNormalCaracter"/>
          </w:rPr>
          <w:t>126/2024</w:t>
        </w:r>
      </w:hyperlink>
      <w:r w:rsidRPr="00CD105B">
        <w:rPr>
          <w:rStyle w:val="TextoNormalCaracter"/>
        </w:rPr>
        <w:t xml:space="preserve">, f. 5; </w:t>
      </w:r>
      <w:hyperlink w:anchor="AUTO_2024_127" w:history="1">
        <w:r w:rsidRPr="00CD105B">
          <w:rPr>
            <w:rStyle w:val="TextoNormalCaracter"/>
          </w:rPr>
          <w:t>127/2024</w:t>
        </w:r>
      </w:hyperlink>
      <w:r w:rsidRPr="00CD105B">
        <w:rPr>
          <w:rStyle w:val="TextoNormalCaracter"/>
        </w:rPr>
        <w:t>, f. 3.</w:t>
      </w:r>
    </w:p>
    <w:p w14:paraId="5F9D01A7" w14:textId="13A98120" w:rsidR="00CD105B" w:rsidRPr="00CD105B" w:rsidRDefault="00CD105B" w:rsidP="00CD105B">
      <w:pPr>
        <w:pStyle w:val="TextoNormalSangraFrancesa"/>
        <w:rPr>
          <w:rStyle w:val="TextoNormalCaracter"/>
        </w:rPr>
      </w:pPr>
      <w:bookmarkStart w:id="803" w:name="DESCRIPTORALFABETICO347"/>
      <w:r w:rsidRPr="00CD105B">
        <w:rPr>
          <w:rStyle w:val="TextoNormalNegritaCaracter"/>
        </w:rPr>
        <w:t>Medidas cautelares</w:t>
      </w:r>
      <w:bookmarkEnd w:id="803"/>
      <w:r w:rsidRPr="00CD105B">
        <w:rPr>
          <w:rStyle w:val="TextoNormalCaracter"/>
        </w:rPr>
        <w:t xml:space="preserve">, Sentencia </w:t>
      </w:r>
      <w:hyperlink w:anchor="SENTENCIA_2024_148" w:history="1">
        <w:r w:rsidRPr="00CD105B">
          <w:rPr>
            <w:rStyle w:val="TextoNormalCaracter"/>
          </w:rPr>
          <w:t>148/2024</w:t>
        </w:r>
      </w:hyperlink>
      <w:r w:rsidRPr="00CD105B">
        <w:rPr>
          <w:rStyle w:val="TextoNormalCaracter"/>
        </w:rPr>
        <w:t>, ff. 1, 3 y 4.</w:t>
      </w:r>
    </w:p>
    <w:p w14:paraId="2300246C" w14:textId="645AE4DF" w:rsidR="00CD105B" w:rsidRPr="00CD105B" w:rsidRDefault="00CD105B" w:rsidP="00CD105B">
      <w:pPr>
        <w:pStyle w:val="TextoNormalSangraFrancesa"/>
        <w:rPr>
          <w:rStyle w:val="TextoNormalCaracter"/>
        </w:rPr>
      </w:pPr>
      <w:bookmarkStart w:id="804" w:name="DESCRIPTORALFABETICO76"/>
      <w:r w:rsidRPr="00CD105B">
        <w:rPr>
          <w:rStyle w:val="TextoNormalNegritaCaracter"/>
        </w:rPr>
        <w:t>Medidas restrictivas de derechos fundamentales</w:t>
      </w:r>
      <w:bookmarkEnd w:id="804"/>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ff. 4 y 5; </w:t>
      </w:r>
      <w:hyperlink w:anchor="SENTENCIA_2024_141" w:history="1">
        <w:r w:rsidRPr="00CD105B">
          <w:rPr>
            <w:rStyle w:val="TextoNormalCaracter"/>
          </w:rPr>
          <w:t>141/2024</w:t>
        </w:r>
      </w:hyperlink>
      <w:r w:rsidRPr="00CD105B">
        <w:rPr>
          <w:rStyle w:val="TextoNormalCaracter"/>
        </w:rPr>
        <w:t>, f. 3.</w:t>
      </w:r>
    </w:p>
    <w:p w14:paraId="10069133" w14:textId="1CDE0346" w:rsidR="00CD105B" w:rsidRPr="00CD105B" w:rsidRDefault="00CD105B" w:rsidP="00CD105B">
      <w:pPr>
        <w:pStyle w:val="TextoNormalSangraFrancesa"/>
        <w:rPr>
          <w:rStyle w:val="TextoNormalCaracter"/>
        </w:rPr>
      </w:pPr>
      <w:bookmarkStart w:id="805" w:name="DESCRIPTORALFABETICO257"/>
      <w:r w:rsidRPr="00CD105B">
        <w:rPr>
          <w:rStyle w:val="TextoNormalNegritaCaracter"/>
        </w:rPr>
        <w:t>Medio ambiente</w:t>
      </w:r>
      <w:bookmarkEnd w:id="805"/>
      <w:r w:rsidRPr="00CD105B">
        <w:rPr>
          <w:rStyle w:val="TextoNormalCaracter"/>
        </w:rPr>
        <w:t xml:space="preserve">, Sentencia </w:t>
      </w:r>
      <w:hyperlink w:anchor="SENTENCIA_2024_142" w:history="1">
        <w:r w:rsidRPr="00CD105B">
          <w:rPr>
            <w:rStyle w:val="TextoNormalCaracter"/>
          </w:rPr>
          <w:t>142/2024</w:t>
        </w:r>
      </w:hyperlink>
      <w:r w:rsidRPr="00CD105B">
        <w:rPr>
          <w:rStyle w:val="TextoNormalCaracter"/>
        </w:rPr>
        <w:t>, f. 1 a 5, VP.</w:t>
      </w:r>
    </w:p>
    <w:p w14:paraId="7C63874E" w14:textId="3F3F7DFD" w:rsidR="00CD105B" w:rsidRPr="00CD105B" w:rsidRDefault="00CD105B" w:rsidP="00CD105B">
      <w:pPr>
        <w:pStyle w:val="TextoNormalSangraFrancesa"/>
        <w:rPr>
          <w:rStyle w:val="TextoNormalCaracter"/>
        </w:rPr>
      </w:pPr>
      <w:bookmarkStart w:id="806" w:name="DESCRIPTORALFABETICO289"/>
      <w:r w:rsidRPr="00CD105B">
        <w:rPr>
          <w:rStyle w:val="TextoNormalNegritaCaracter"/>
        </w:rPr>
        <w:t>Menores</w:t>
      </w:r>
      <w:bookmarkEnd w:id="806"/>
      <w:r w:rsidRPr="00CD105B">
        <w:rPr>
          <w:rStyle w:val="TextoNormalCaracter"/>
        </w:rPr>
        <w:t xml:space="preserve">, Sentencia </w:t>
      </w:r>
      <w:hyperlink w:anchor="SENTENCIA_2024_106" w:history="1">
        <w:r w:rsidRPr="00CD105B">
          <w:rPr>
            <w:rStyle w:val="TextoNormalCaracter"/>
          </w:rPr>
          <w:t>106/2024</w:t>
        </w:r>
      </w:hyperlink>
      <w:r w:rsidRPr="00CD105B">
        <w:rPr>
          <w:rStyle w:val="TextoNormalCaracter"/>
        </w:rPr>
        <w:t>, f. 1.</w:t>
      </w:r>
    </w:p>
    <w:p w14:paraId="04D2C5A6" w14:textId="54B0C214" w:rsidR="00CD105B" w:rsidRPr="00CD105B" w:rsidRDefault="00CD105B" w:rsidP="00CD105B">
      <w:pPr>
        <w:pStyle w:val="TextoNormalSangraFrancesa"/>
        <w:rPr>
          <w:rStyle w:val="TextoNormalCaracter"/>
        </w:rPr>
      </w:pPr>
      <w:bookmarkStart w:id="807" w:name="DESCRIPTORALFABETICO353"/>
      <w:r w:rsidRPr="00CD105B">
        <w:rPr>
          <w:rStyle w:val="TextoNormalNegritaCaracter"/>
        </w:rPr>
        <w:t>Mes de agosto inhábil</w:t>
      </w:r>
      <w:bookmarkEnd w:id="807"/>
      <w:r w:rsidRPr="00CD105B">
        <w:rPr>
          <w:rStyle w:val="TextoNormalCaracter"/>
        </w:rPr>
        <w:t xml:space="preserve">, Sentencia </w:t>
      </w:r>
      <w:hyperlink w:anchor="SENTENCIA_2024_107" w:history="1">
        <w:r w:rsidRPr="00CD105B">
          <w:rPr>
            <w:rStyle w:val="TextoNormalCaracter"/>
          </w:rPr>
          <w:t>107/2024</w:t>
        </w:r>
      </w:hyperlink>
      <w:r w:rsidRPr="00CD105B">
        <w:rPr>
          <w:rStyle w:val="TextoNormalCaracter"/>
        </w:rPr>
        <w:t>, ff. 4 y 5.</w:t>
      </w:r>
    </w:p>
    <w:p w14:paraId="1E02A32C" w14:textId="0DE66F1F" w:rsidR="00CD105B" w:rsidRPr="00CD105B" w:rsidRDefault="00CD105B" w:rsidP="00CD105B">
      <w:pPr>
        <w:pStyle w:val="TextoNormalSangraFrancesa"/>
        <w:rPr>
          <w:rStyle w:val="TextoNormalCaracter"/>
        </w:rPr>
      </w:pPr>
      <w:bookmarkStart w:id="808" w:name="DESCRIPTORALFABETICO139"/>
      <w:r w:rsidRPr="00CD105B">
        <w:rPr>
          <w:rStyle w:val="TextoNormalNegritaCaracter"/>
        </w:rPr>
        <w:t>Modificación de doctrina constitucional</w:t>
      </w:r>
      <w:bookmarkEnd w:id="808"/>
      <w:r w:rsidRPr="00CD105B">
        <w:rPr>
          <w:rStyle w:val="TextoNormalCaracter"/>
        </w:rPr>
        <w:t xml:space="preserve">, Sentencia </w:t>
      </w:r>
      <w:hyperlink w:anchor="SENTENCIA_2024_146" w:history="1">
        <w:r w:rsidRPr="00CD105B">
          <w:rPr>
            <w:rStyle w:val="TextoNormalCaracter"/>
          </w:rPr>
          <w:t>146/2024</w:t>
        </w:r>
      </w:hyperlink>
      <w:r w:rsidRPr="00CD105B">
        <w:rPr>
          <w:rStyle w:val="TextoNormalCaracter"/>
        </w:rPr>
        <w:t>, f. 8.</w:t>
      </w:r>
    </w:p>
    <w:p w14:paraId="239A0A86" w14:textId="007E2603" w:rsidR="00CD105B" w:rsidRPr="00CD105B" w:rsidRDefault="00CD105B" w:rsidP="00CD105B">
      <w:pPr>
        <w:pStyle w:val="TextoNormalSangraFrancesa"/>
        <w:rPr>
          <w:rStyle w:val="TextoNormalCaracter"/>
        </w:rPr>
      </w:pPr>
      <w:bookmarkStart w:id="809" w:name="DESCRIPTORALFABETICO157"/>
      <w:r w:rsidRPr="00CD105B">
        <w:rPr>
          <w:rStyle w:val="TextoNormalNegritaCaracter"/>
        </w:rPr>
        <w:t>Motivación de actos limitativos de derechos fundamentales</w:t>
      </w:r>
      <w:bookmarkEnd w:id="809"/>
      <w:r w:rsidRPr="00CD105B">
        <w:rPr>
          <w:rStyle w:val="TextoNormalCaracter"/>
        </w:rPr>
        <w:t xml:space="preserve">, Sentencia </w:t>
      </w:r>
      <w:hyperlink w:anchor="SENTENCIA_2024_152" w:history="1">
        <w:r w:rsidRPr="00CD105B">
          <w:rPr>
            <w:rStyle w:val="TextoNormalCaracter"/>
          </w:rPr>
          <w:t>152/2024</w:t>
        </w:r>
      </w:hyperlink>
      <w:r w:rsidRPr="00CD105B">
        <w:rPr>
          <w:rStyle w:val="TextoNormalCaracter"/>
        </w:rPr>
        <w:t>, f. 4.</w:t>
      </w:r>
    </w:p>
    <w:p w14:paraId="7CA7226F" w14:textId="02FE1198" w:rsidR="00CD105B" w:rsidRPr="00CD105B" w:rsidRDefault="00CD105B" w:rsidP="00CD105B">
      <w:pPr>
        <w:pStyle w:val="TextoNormalSangraFrancesa"/>
        <w:rPr>
          <w:rStyle w:val="TextoNormalCaracter"/>
        </w:rPr>
      </w:pPr>
      <w:bookmarkStart w:id="810" w:name="DESCRIPTORALFABETICO270"/>
      <w:r w:rsidRPr="00CD105B">
        <w:rPr>
          <w:rStyle w:val="TextoNormalNegritaCaracter"/>
        </w:rPr>
        <w:t>Motivación de la extraordinaria y urgente necesidad</w:t>
      </w:r>
      <w:bookmarkEnd w:id="810"/>
      <w:r w:rsidRPr="00CD105B">
        <w:rPr>
          <w:rStyle w:val="TextoNormalCaracter"/>
        </w:rPr>
        <w:t xml:space="preserve">, Sentencias </w:t>
      </w:r>
      <w:hyperlink w:anchor="SENTENCIA_2024_113" w:history="1">
        <w:r w:rsidRPr="00CD105B">
          <w:rPr>
            <w:rStyle w:val="TextoNormalCaracter"/>
          </w:rPr>
          <w:t>113/2024</w:t>
        </w:r>
      </w:hyperlink>
      <w:r w:rsidRPr="00CD105B">
        <w:rPr>
          <w:rStyle w:val="TextoNormalCaracter"/>
        </w:rPr>
        <w:t xml:space="preserve">, ff. 3 y 4; </w:t>
      </w:r>
      <w:hyperlink w:anchor="SENTENCIA_2024_121" w:history="1">
        <w:r w:rsidRPr="00CD105B">
          <w:rPr>
            <w:rStyle w:val="TextoNormalCaracter"/>
          </w:rPr>
          <w:t>121/2024</w:t>
        </w:r>
      </w:hyperlink>
      <w:r w:rsidRPr="00CD105B">
        <w:rPr>
          <w:rStyle w:val="TextoNormalCaracter"/>
        </w:rPr>
        <w:t>, f. 4.</w:t>
      </w:r>
    </w:p>
    <w:p w14:paraId="3312BE5A" w14:textId="5E372BCE" w:rsidR="00CD105B" w:rsidRPr="00CD105B" w:rsidRDefault="00CD105B" w:rsidP="00CD105B">
      <w:pPr>
        <w:pStyle w:val="TextoNormalSangraFrancesa"/>
        <w:rPr>
          <w:rStyle w:val="TextoNormalCaracter"/>
        </w:rPr>
      </w:pPr>
      <w:bookmarkStart w:id="811" w:name="DESCRIPTORALFABETICO37"/>
      <w:r w:rsidRPr="00CD105B">
        <w:rPr>
          <w:rStyle w:val="TextoNormalNegritaCaracter"/>
        </w:rPr>
        <w:t>Motivación de las resoluciones judiciales</w:t>
      </w:r>
      <w:bookmarkEnd w:id="811"/>
      <w:r w:rsidRPr="00CD105B">
        <w:rPr>
          <w:rStyle w:val="TextoNormalCaracter"/>
        </w:rPr>
        <w:t xml:space="preserve">, Sentencia </w:t>
      </w:r>
      <w:hyperlink w:anchor="SENTENCIA_2024_152" w:history="1">
        <w:r w:rsidRPr="00CD105B">
          <w:rPr>
            <w:rStyle w:val="TextoNormalCaracter"/>
          </w:rPr>
          <w:t>152/2024</w:t>
        </w:r>
      </w:hyperlink>
      <w:r w:rsidRPr="00CD105B">
        <w:rPr>
          <w:rStyle w:val="TextoNormalCaracter"/>
        </w:rPr>
        <w:t>, ff. 2 y 3.</w:t>
      </w:r>
    </w:p>
    <w:p w14:paraId="400DDB36" w14:textId="0C2CF78E"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Sentencias </w:t>
      </w:r>
      <w:hyperlink w:anchor="SENTENCIA_2024_101" w:history="1">
        <w:r w:rsidRPr="00CD105B">
          <w:rPr>
            <w:rStyle w:val="TextoNormalCaracter"/>
          </w:rPr>
          <w:t>101/2024</w:t>
        </w:r>
      </w:hyperlink>
      <w:r w:rsidRPr="00CD105B">
        <w:rPr>
          <w:rStyle w:val="TextoNormalCaracter"/>
        </w:rPr>
        <w:t xml:space="preserve">, ff. 3 a 5; </w:t>
      </w:r>
      <w:hyperlink w:anchor="SENTENCIA_2024_133" w:history="1">
        <w:r w:rsidRPr="00CD105B">
          <w:rPr>
            <w:rStyle w:val="TextoNormalCaracter"/>
          </w:rPr>
          <w:t>133/2024</w:t>
        </w:r>
      </w:hyperlink>
      <w:r w:rsidRPr="00CD105B">
        <w:rPr>
          <w:rStyle w:val="TextoNormalCaracter"/>
        </w:rPr>
        <w:t xml:space="preserve">, ff. 4 y 5; </w:t>
      </w:r>
      <w:hyperlink w:anchor="SENTENCIA_2024_134" w:history="1">
        <w:r w:rsidRPr="00CD105B">
          <w:rPr>
            <w:rStyle w:val="TextoNormalCaracter"/>
          </w:rPr>
          <w:t>134/2024</w:t>
        </w:r>
      </w:hyperlink>
      <w:r w:rsidRPr="00CD105B">
        <w:rPr>
          <w:rStyle w:val="TextoNormalCaracter"/>
        </w:rPr>
        <w:t>, f. 4.</w:t>
      </w:r>
    </w:p>
    <w:p w14:paraId="08E6CAB5" w14:textId="5DA5550E" w:rsidR="00CD105B" w:rsidRPr="00CD105B" w:rsidRDefault="00CD105B" w:rsidP="00CD105B">
      <w:pPr>
        <w:pStyle w:val="TextoNormalSangraFrancesa"/>
        <w:rPr>
          <w:rStyle w:val="TextoNormalCaracter"/>
        </w:rPr>
      </w:pPr>
      <w:bookmarkStart w:id="812" w:name="DESCRIPTORALFABETICO215"/>
      <w:r w:rsidRPr="00CD105B">
        <w:rPr>
          <w:rStyle w:val="TextoNormalNegritaCaracter"/>
        </w:rPr>
        <w:t>Motivación del laudo arbitral</w:t>
      </w:r>
      <w:bookmarkEnd w:id="812"/>
      <w:r w:rsidRPr="00CD105B">
        <w:rPr>
          <w:rStyle w:val="TextoNormalCaracter"/>
        </w:rPr>
        <w:t xml:space="preserve">, Sentencia </w:t>
      </w:r>
      <w:hyperlink w:anchor="SENTENCIA_2024_146" w:history="1">
        <w:r w:rsidRPr="00CD105B">
          <w:rPr>
            <w:rStyle w:val="TextoNormalCaracter"/>
          </w:rPr>
          <w:t>146/2024</w:t>
        </w:r>
      </w:hyperlink>
      <w:r w:rsidRPr="00CD105B">
        <w:rPr>
          <w:rStyle w:val="TextoNormalCaracter"/>
        </w:rPr>
        <w:t>, f. 3.</w:t>
      </w:r>
    </w:p>
    <w:p w14:paraId="0BE13450" w14:textId="666A0D55" w:rsidR="00CD105B" w:rsidRPr="00CD105B" w:rsidRDefault="00CD105B" w:rsidP="00CD105B">
      <w:pPr>
        <w:pStyle w:val="TextoNormalSangraFrancesa"/>
        <w:rPr>
          <w:rStyle w:val="TextoNormalCaracter"/>
        </w:rPr>
      </w:pPr>
      <w:bookmarkStart w:id="813" w:name="DESCRIPTORALFABETICO42"/>
      <w:r w:rsidRPr="00CD105B">
        <w:rPr>
          <w:rStyle w:val="TextoNormalNegritaCaracter"/>
        </w:rPr>
        <w:t>Motivación suficiente de sentencias</w:t>
      </w:r>
      <w:bookmarkEnd w:id="813"/>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ff. 6 y 7; </w:t>
      </w:r>
      <w:hyperlink w:anchor="SENTENCIA_2024_95" w:history="1">
        <w:r w:rsidRPr="00CD105B">
          <w:rPr>
            <w:rStyle w:val="TextoNormalCaracter"/>
          </w:rPr>
          <w:t>95/2024</w:t>
        </w:r>
      </w:hyperlink>
      <w:r w:rsidRPr="00CD105B">
        <w:rPr>
          <w:rStyle w:val="TextoNormalCaracter"/>
        </w:rPr>
        <w:t xml:space="preserve">, f. 5; </w:t>
      </w:r>
      <w:hyperlink w:anchor="SENTENCIA_2024_116" w:history="1">
        <w:r w:rsidRPr="00CD105B">
          <w:rPr>
            <w:rStyle w:val="TextoNormalCaracter"/>
          </w:rPr>
          <w:t>116/2024</w:t>
        </w:r>
      </w:hyperlink>
      <w:r w:rsidRPr="00CD105B">
        <w:rPr>
          <w:rStyle w:val="TextoNormalCaracter"/>
        </w:rPr>
        <w:t>, f. 3.</w:t>
      </w:r>
    </w:p>
    <w:p w14:paraId="2BDB3D16" w14:textId="565B693D" w:rsidR="00CD105B" w:rsidRDefault="00CD105B" w:rsidP="00CD105B">
      <w:pPr>
        <w:pStyle w:val="TextoNormalSangraFrancesa"/>
      </w:pPr>
    </w:p>
    <w:p w14:paraId="28CB898D" w14:textId="77777777" w:rsidR="00CD105B" w:rsidRDefault="00CD105B" w:rsidP="00CD105B">
      <w:pPr>
        <w:pStyle w:val="TextoNormalSangraFrancesa"/>
      </w:pPr>
    </w:p>
    <w:p w14:paraId="3798E147" w14:textId="77777777" w:rsidR="00CD105B" w:rsidRDefault="00CD105B" w:rsidP="00CD105B">
      <w:pPr>
        <w:pStyle w:val="TextoNormalNegritaCentrado"/>
      </w:pPr>
      <w:r>
        <w:t>N</w:t>
      </w:r>
    </w:p>
    <w:p w14:paraId="5082CBE5" w14:textId="44D4ED1A" w:rsidR="00CD105B" w:rsidRDefault="00CD105B" w:rsidP="00CD105B">
      <w:pPr>
        <w:pStyle w:val="TextoNormalNegritaCentrado"/>
      </w:pPr>
    </w:p>
    <w:p w14:paraId="086EDA1E" w14:textId="150D07FF" w:rsidR="00CD105B" w:rsidRPr="00CD105B" w:rsidRDefault="00CD105B" w:rsidP="00CD105B">
      <w:pPr>
        <w:pStyle w:val="TextoNormalSangraFrancesa"/>
        <w:rPr>
          <w:rStyle w:val="TextoNormalCaracter"/>
        </w:rPr>
      </w:pPr>
      <w:bookmarkStart w:id="814" w:name="DESCRIPTORALFABETICO267"/>
      <w:r w:rsidRPr="00CD105B">
        <w:rPr>
          <w:rStyle w:val="TextoNormalNegritaCaracter"/>
        </w:rPr>
        <w:t>Naturaleza jurídica de los decretos-leyes</w:t>
      </w:r>
      <w:bookmarkEnd w:id="814"/>
      <w:r w:rsidRPr="00CD105B">
        <w:rPr>
          <w:rStyle w:val="TextoNormalCaracter"/>
        </w:rPr>
        <w:t xml:space="preserve">, Sentencia </w:t>
      </w:r>
      <w:hyperlink w:anchor="SENTENCIA_2024_113" w:history="1">
        <w:r w:rsidRPr="00CD105B">
          <w:rPr>
            <w:rStyle w:val="TextoNormalCaracter"/>
          </w:rPr>
          <w:t>113/2024</w:t>
        </w:r>
      </w:hyperlink>
      <w:r w:rsidRPr="00CD105B">
        <w:rPr>
          <w:rStyle w:val="TextoNormalCaracter"/>
        </w:rPr>
        <w:t>, ff. 2 y 4.</w:t>
      </w:r>
    </w:p>
    <w:p w14:paraId="5A81BE8E" w14:textId="42EE44B4" w:rsidR="00CD105B" w:rsidRPr="00CD105B" w:rsidRDefault="00CD105B" w:rsidP="00CD105B">
      <w:pPr>
        <w:pStyle w:val="TextoNormalSangraFrancesa"/>
        <w:rPr>
          <w:rStyle w:val="TextoNormalCaracter"/>
        </w:rPr>
      </w:pPr>
      <w:bookmarkStart w:id="815" w:name="DESCRIPTORALFABETICO140"/>
      <w:r w:rsidRPr="00CD105B">
        <w:rPr>
          <w:rStyle w:val="TextoNormalNegritaCaracter"/>
        </w:rPr>
        <w:t>Negativa judicial al acatamiento de la doctrina constitucional</w:t>
      </w:r>
      <w:bookmarkEnd w:id="815"/>
      <w:r w:rsidRPr="00CD105B">
        <w:rPr>
          <w:rStyle w:val="TextoNormalCaracter"/>
        </w:rPr>
        <w:t xml:space="preserve">, Sentencia </w:t>
      </w:r>
      <w:hyperlink w:anchor="SENTENCIA_2024_117" w:history="1">
        <w:r w:rsidRPr="00CD105B">
          <w:rPr>
            <w:rStyle w:val="TextoNormalCaracter"/>
          </w:rPr>
          <w:t>117/2024</w:t>
        </w:r>
      </w:hyperlink>
      <w:r w:rsidRPr="00CD105B">
        <w:rPr>
          <w:rStyle w:val="TextoNormalCaracter"/>
        </w:rPr>
        <w:t>, f. 4.</w:t>
      </w:r>
    </w:p>
    <w:p w14:paraId="42912325" w14:textId="49914EC3" w:rsidR="00CD105B" w:rsidRPr="00CD105B" w:rsidRDefault="00CD105B" w:rsidP="00CD105B">
      <w:pPr>
        <w:pStyle w:val="TextoNormalSangraFrancesa"/>
        <w:rPr>
          <w:rStyle w:val="TextoNormalCaracter"/>
        </w:rPr>
      </w:pPr>
      <w:r w:rsidRPr="00CD105B">
        <w:rPr>
          <w:rStyle w:val="TextoNormalCaracter"/>
        </w:rPr>
        <w:t xml:space="preserve">    Auto </w:t>
      </w:r>
      <w:hyperlink w:anchor="AUTO_2024_148" w:history="1">
        <w:r w:rsidRPr="00CD105B">
          <w:rPr>
            <w:rStyle w:val="TextoNormalCaracter"/>
          </w:rPr>
          <w:t>148/2024</w:t>
        </w:r>
      </w:hyperlink>
      <w:r w:rsidRPr="00CD105B">
        <w:rPr>
          <w:rStyle w:val="TextoNormalCaracter"/>
        </w:rPr>
        <w:t>, f. 2.</w:t>
      </w:r>
    </w:p>
    <w:p w14:paraId="12083766" w14:textId="18CF3029" w:rsidR="00CD105B" w:rsidRPr="00CD105B" w:rsidRDefault="00CD105B" w:rsidP="00CD105B">
      <w:pPr>
        <w:pStyle w:val="TextoNormalSangraFrancesa"/>
        <w:rPr>
          <w:rStyle w:val="TextoNormalCaracter"/>
        </w:rPr>
      </w:pPr>
      <w:bookmarkStart w:id="816" w:name="DESCRIPTORALFABETICO343"/>
      <w:r w:rsidRPr="00CD105B">
        <w:rPr>
          <w:rStyle w:val="TextoNormalNegritaCaracter"/>
        </w:rPr>
        <w:t>Nueva valoración de la prueba en segunda instancia</w:t>
      </w:r>
      <w:bookmarkEnd w:id="816"/>
      <w:r w:rsidRPr="00CD105B">
        <w:rPr>
          <w:rStyle w:val="TextoNormalCaracter"/>
        </w:rPr>
        <w:t xml:space="preserve">, Sentencia </w:t>
      </w:r>
      <w:hyperlink w:anchor="SENTENCIA_2024_108" w:history="1">
        <w:r w:rsidRPr="00CD105B">
          <w:rPr>
            <w:rStyle w:val="TextoNormalCaracter"/>
          </w:rPr>
          <w:t>108/2024</w:t>
        </w:r>
      </w:hyperlink>
      <w:r w:rsidRPr="00CD105B">
        <w:rPr>
          <w:rStyle w:val="TextoNormalCaracter"/>
        </w:rPr>
        <w:t>, ff. 2 y 4.</w:t>
      </w:r>
    </w:p>
    <w:p w14:paraId="1188C6BB" w14:textId="1295A5D9" w:rsidR="00CD105B" w:rsidRDefault="00CD105B" w:rsidP="00CD105B">
      <w:pPr>
        <w:pStyle w:val="TextoNormalSangraFrancesa"/>
      </w:pPr>
    </w:p>
    <w:p w14:paraId="01DD6B1F" w14:textId="77777777" w:rsidR="00CD105B" w:rsidRDefault="00CD105B" w:rsidP="00CD105B">
      <w:pPr>
        <w:pStyle w:val="TextoNormalSangraFrancesa"/>
      </w:pPr>
    </w:p>
    <w:p w14:paraId="13787869" w14:textId="77777777" w:rsidR="00CD105B" w:rsidRDefault="00CD105B" w:rsidP="00CD105B">
      <w:pPr>
        <w:pStyle w:val="TextoNormalNegritaCentrado"/>
      </w:pPr>
      <w:r>
        <w:t>O</w:t>
      </w:r>
    </w:p>
    <w:p w14:paraId="1BEB15E3" w14:textId="24B37411" w:rsidR="00CD105B" w:rsidRDefault="00CD105B" w:rsidP="00CD105B">
      <w:pPr>
        <w:pStyle w:val="TextoNormalNegritaCentrado"/>
      </w:pPr>
    </w:p>
    <w:p w14:paraId="5909C83A" w14:textId="09D47855" w:rsidR="00CD105B" w:rsidRPr="00CD105B" w:rsidRDefault="00CD105B" w:rsidP="00CD105B">
      <w:pPr>
        <w:pStyle w:val="TextoNormalSangraFrancesa"/>
        <w:rPr>
          <w:rStyle w:val="TextoNormalCaracter"/>
        </w:rPr>
      </w:pPr>
      <w:bookmarkStart w:id="817" w:name="DESCRIPTORALFABETICO334"/>
      <w:r w:rsidRPr="00CD105B">
        <w:rPr>
          <w:rStyle w:val="TextoNormalNegritaCaracter"/>
        </w:rPr>
        <w:t>Omisión de trámite de audiencia</w:t>
      </w:r>
      <w:bookmarkEnd w:id="817"/>
      <w:r w:rsidRPr="00CD105B">
        <w:rPr>
          <w:rStyle w:val="TextoNormalCaracter"/>
        </w:rPr>
        <w:t xml:space="preserve">, Sentencia </w:t>
      </w:r>
      <w:hyperlink w:anchor="SENTENCIA_2024_124" w:history="1">
        <w:r w:rsidRPr="00CD105B">
          <w:rPr>
            <w:rStyle w:val="TextoNormalCaracter"/>
          </w:rPr>
          <w:t>124/2024</w:t>
        </w:r>
      </w:hyperlink>
      <w:r w:rsidRPr="00CD105B">
        <w:rPr>
          <w:rStyle w:val="TextoNormalCaracter"/>
        </w:rPr>
        <w:t>, ff. 2 y 3.</w:t>
      </w:r>
    </w:p>
    <w:p w14:paraId="6E310BA0" w14:textId="3E6A6E33" w:rsidR="00CD105B" w:rsidRPr="00CD105B" w:rsidRDefault="00CD105B" w:rsidP="00CD105B">
      <w:pPr>
        <w:pStyle w:val="TextoNormalSangraFrancesa"/>
        <w:rPr>
          <w:rStyle w:val="TextoNormalCaracter"/>
        </w:rPr>
      </w:pPr>
      <w:bookmarkStart w:id="818" w:name="DESCRIPTORALFABETICO1"/>
      <w:r w:rsidRPr="00CD105B">
        <w:rPr>
          <w:rStyle w:val="TextoNormalNegritaCaracter"/>
        </w:rPr>
        <w:t>Orden constitucional de competencias</w:t>
      </w:r>
      <w:bookmarkEnd w:id="818"/>
      <w:r w:rsidRPr="00CD105B">
        <w:rPr>
          <w:rStyle w:val="TextoNormalCaracter"/>
        </w:rPr>
        <w:t xml:space="preserve">, Sentencia </w:t>
      </w:r>
      <w:hyperlink w:anchor="SENTENCIA_2024_142" w:history="1">
        <w:r w:rsidRPr="00CD105B">
          <w:rPr>
            <w:rStyle w:val="TextoNormalCaracter"/>
          </w:rPr>
          <w:t>142/2024</w:t>
        </w:r>
      </w:hyperlink>
      <w:r w:rsidRPr="00CD105B">
        <w:rPr>
          <w:rStyle w:val="TextoNormalCaracter"/>
        </w:rPr>
        <w:t>, f. 4, VP.</w:t>
      </w:r>
    </w:p>
    <w:p w14:paraId="5E2F9D78" w14:textId="42C47924" w:rsidR="00CD105B" w:rsidRPr="00CD105B" w:rsidRDefault="00CD105B" w:rsidP="00CD105B">
      <w:pPr>
        <w:pStyle w:val="TextoNormalSangraFrancesa"/>
        <w:rPr>
          <w:rStyle w:val="TextoNormalCaracter"/>
        </w:rPr>
      </w:pPr>
      <w:bookmarkStart w:id="819" w:name="DESCRIPTORALFABETICO350"/>
      <w:r w:rsidRPr="00CD105B">
        <w:rPr>
          <w:rStyle w:val="TextoNormalNegritaCaracter"/>
        </w:rPr>
        <w:t>Orden de busca y captura</w:t>
      </w:r>
      <w:bookmarkEnd w:id="819"/>
      <w:r w:rsidRPr="00CD105B">
        <w:rPr>
          <w:rStyle w:val="TextoNormalCaracter"/>
        </w:rPr>
        <w:t xml:space="preserve">, Sentencias </w:t>
      </w:r>
      <w:hyperlink w:anchor="SENTENCIA_2024_109" w:history="1">
        <w:r w:rsidRPr="00CD105B">
          <w:rPr>
            <w:rStyle w:val="TextoNormalCaracter"/>
          </w:rPr>
          <w:t>109/2024</w:t>
        </w:r>
      </w:hyperlink>
      <w:r w:rsidRPr="00CD105B">
        <w:rPr>
          <w:rStyle w:val="TextoNormalCaracter"/>
        </w:rPr>
        <w:t xml:space="preserve">, f. 3; </w:t>
      </w:r>
      <w:hyperlink w:anchor="SENTENCIA_2024_110" w:history="1">
        <w:r w:rsidRPr="00CD105B">
          <w:rPr>
            <w:rStyle w:val="TextoNormalCaracter"/>
          </w:rPr>
          <w:t>110/2024</w:t>
        </w:r>
      </w:hyperlink>
      <w:r w:rsidRPr="00CD105B">
        <w:rPr>
          <w:rStyle w:val="TextoNormalCaracter"/>
        </w:rPr>
        <w:t>, f. 3.</w:t>
      </w:r>
    </w:p>
    <w:p w14:paraId="736CD77C" w14:textId="65F6A8D9" w:rsidR="00CD105B" w:rsidRPr="00CD105B" w:rsidRDefault="00CD105B" w:rsidP="00CD105B">
      <w:pPr>
        <w:pStyle w:val="TextoNormalSangraFrancesa"/>
        <w:rPr>
          <w:rStyle w:val="TextoNormalCaracter"/>
        </w:rPr>
      </w:pPr>
      <w:bookmarkStart w:id="820" w:name="DESCRIPTORALFABETICO212"/>
      <w:r w:rsidRPr="00CD105B">
        <w:rPr>
          <w:rStyle w:val="TextoNormalNegritaCaracter"/>
        </w:rPr>
        <w:t>Orden público</w:t>
      </w:r>
      <w:bookmarkEnd w:id="820"/>
      <w:r w:rsidRPr="00CD105B">
        <w:rPr>
          <w:rStyle w:val="TextoNormalCaracter"/>
        </w:rPr>
        <w:t xml:space="preserve">, Sentencia </w:t>
      </w:r>
      <w:hyperlink w:anchor="SENTENCIA_2024_146" w:history="1">
        <w:r w:rsidRPr="00CD105B">
          <w:rPr>
            <w:rStyle w:val="TextoNormalCaracter"/>
          </w:rPr>
          <w:t>146/2024</w:t>
        </w:r>
      </w:hyperlink>
      <w:r w:rsidRPr="00CD105B">
        <w:rPr>
          <w:rStyle w:val="TextoNormalCaracter"/>
        </w:rPr>
        <w:t>, f. 4.</w:t>
      </w:r>
    </w:p>
    <w:p w14:paraId="7FA82F13" w14:textId="1F60AB91" w:rsidR="00CD105B" w:rsidRPr="00CD105B" w:rsidRDefault="00CD105B" w:rsidP="00CD105B">
      <w:pPr>
        <w:pStyle w:val="TextoNormalSangraFrancesa"/>
        <w:rPr>
          <w:rStyle w:val="TextoNormalCaracter"/>
        </w:rPr>
      </w:pPr>
      <w:bookmarkStart w:id="821" w:name="DESCRIPTORALFABETICO358"/>
      <w:r w:rsidRPr="00CD105B">
        <w:rPr>
          <w:rStyle w:val="TextoNormalNegritaCaracter"/>
        </w:rPr>
        <w:t>Orden público procesal</w:t>
      </w:r>
      <w:bookmarkEnd w:id="821"/>
      <w:r w:rsidRPr="00CD105B">
        <w:rPr>
          <w:rStyle w:val="TextoNormalCaracter"/>
        </w:rPr>
        <w:t xml:space="preserve">, Sentencia </w:t>
      </w:r>
      <w:hyperlink w:anchor="SENTENCIA_2024_146" w:history="1">
        <w:r w:rsidRPr="00CD105B">
          <w:rPr>
            <w:rStyle w:val="TextoNormalCaracter"/>
          </w:rPr>
          <w:t>146/2024</w:t>
        </w:r>
      </w:hyperlink>
      <w:r w:rsidRPr="00CD105B">
        <w:rPr>
          <w:rStyle w:val="TextoNormalCaracter"/>
        </w:rPr>
        <w:t>, f. 4.</w:t>
      </w:r>
    </w:p>
    <w:p w14:paraId="3852FA21" w14:textId="48765BAF" w:rsidR="00CD105B" w:rsidRDefault="00CD105B" w:rsidP="00CD105B">
      <w:pPr>
        <w:pStyle w:val="TextoNormalSangraFrancesa"/>
      </w:pPr>
    </w:p>
    <w:p w14:paraId="292D816B" w14:textId="77777777" w:rsidR="00CD105B" w:rsidRDefault="00CD105B" w:rsidP="00CD105B">
      <w:pPr>
        <w:pStyle w:val="TextoNormalSangraFrancesa"/>
      </w:pPr>
    </w:p>
    <w:p w14:paraId="29727730" w14:textId="77777777" w:rsidR="00CD105B" w:rsidRDefault="00CD105B" w:rsidP="00CD105B">
      <w:pPr>
        <w:pStyle w:val="TextoNormalNegritaCentrado"/>
      </w:pPr>
      <w:r>
        <w:t>P</w:t>
      </w:r>
    </w:p>
    <w:p w14:paraId="09D3A122" w14:textId="16D94D2D" w:rsidR="00CD105B" w:rsidRDefault="00CD105B" w:rsidP="00CD105B">
      <w:pPr>
        <w:pStyle w:val="TextoNormalNegritaCentrado"/>
      </w:pPr>
    </w:p>
    <w:p w14:paraId="26C9C057" w14:textId="1965738E" w:rsidR="00CD105B" w:rsidRPr="00CD105B" w:rsidRDefault="00CD105B" w:rsidP="00CD105B">
      <w:pPr>
        <w:pStyle w:val="TextoNormalSangraFrancesa"/>
        <w:rPr>
          <w:rStyle w:val="TextoNormalCaracter"/>
        </w:rPr>
      </w:pPr>
      <w:bookmarkStart w:id="822" w:name="DESCRIPTORALFABETICO188"/>
      <w:r w:rsidRPr="00CD105B">
        <w:rPr>
          <w:rStyle w:val="TextoNormalNegritaCaracter"/>
        </w:rPr>
        <w:t>Parlamento de Andalucía</w:t>
      </w:r>
      <w:bookmarkEnd w:id="822"/>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ff. 2 a 4; </w:t>
      </w:r>
      <w:hyperlink w:anchor="SENTENCIA_2024_95" w:history="1">
        <w:r w:rsidRPr="00CD105B">
          <w:rPr>
            <w:rStyle w:val="TextoNormalCaracter"/>
          </w:rPr>
          <w:t>95/2024</w:t>
        </w:r>
      </w:hyperlink>
      <w:r w:rsidRPr="00CD105B">
        <w:rPr>
          <w:rStyle w:val="TextoNormalCaracter"/>
        </w:rPr>
        <w:t xml:space="preserve">, f. 3; </w:t>
      </w:r>
      <w:hyperlink w:anchor="SENTENCIA_2024_96" w:history="1">
        <w:r w:rsidRPr="00CD105B">
          <w:rPr>
            <w:rStyle w:val="TextoNormalCaracter"/>
          </w:rPr>
          <w:t>96/2024</w:t>
        </w:r>
      </w:hyperlink>
      <w:r w:rsidRPr="00CD105B">
        <w:rPr>
          <w:rStyle w:val="TextoNormalCaracter"/>
        </w:rPr>
        <w:t xml:space="preserve">, ff. 5 a 7, VP I, VP II, VP IV; </w:t>
      </w:r>
      <w:hyperlink w:anchor="SENTENCIA_2024_97" w:history="1">
        <w:r w:rsidRPr="00CD105B">
          <w:rPr>
            <w:rStyle w:val="TextoNormalCaracter"/>
          </w:rPr>
          <w:t>97/2024</w:t>
        </w:r>
      </w:hyperlink>
      <w:r w:rsidRPr="00CD105B">
        <w:rPr>
          <w:rStyle w:val="TextoNormalCaracter"/>
        </w:rPr>
        <w:t xml:space="preserve">, ff. 4 y 5, VP I, VP II, VP IV; </w:t>
      </w:r>
      <w:hyperlink w:anchor="SENTENCIA_2024_98" w:history="1">
        <w:r w:rsidRPr="00CD105B">
          <w:rPr>
            <w:rStyle w:val="TextoNormalCaracter"/>
          </w:rPr>
          <w:t>98/2024</w:t>
        </w:r>
      </w:hyperlink>
      <w:r w:rsidRPr="00CD105B">
        <w:rPr>
          <w:rStyle w:val="TextoNormalCaracter"/>
        </w:rPr>
        <w:t xml:space="preserve">, ff. 4 y 5; </w:t>
      </w:r>
      <w:hyperlink w:anchor="SENTENCIA_2024_100" w:history="1">
        <w:r w:rsidRPr="00CD105B">
          <w:rPr>
            <w:rStyle w:val="TextoNormalCaracter"/>
          </w:rPr>
          <w:t>100/2024</w:t>
        </w:r>
      </w:hyperlink>
      <w:r w:rsidRPr="00CD105B">
        <w:rPr>
          <w:rStyle w:val="TextoNormalCaracter"/>
        </w:rPr>
        <w:t xml:space="preserve">, ff. 4 y 5; </w:t>
      </w:r>
      <w:hyperlink w:anchor="SENTENCIA_2024_102" w:history="1">
        <w:r w:rsidRPr="00CD105B">
          <w:rPr>
            <w:rStyle w:val="TextoNormalCaracter"/>
          </w:rPr>
          <w:t>102/2024</w:t>
        </w:r>
      </w:hyperlink>
      <w:r w:rsidRPr="00CD105B">
        <w:rPr>
          <w:rStyle w:val="TextoNormalCaracter"/>
        </w:rPr>
        <w:t>, f. 4.</w:t>
      </w:r>
    </w:p>
    <w:p w14:paraId="45BE24E2" w14:textId="42D45CBD" w:rsidR="00CD105B" w:rsidRPr="00CD105B" w:rsidRDefault="00CD105B" w:rsidP="00CD105B">
      <w:pPr>
        <w:pStyle w:val="TextoNormalSangraFrancesa"/>
        <w:rPr>
          <w:rStyle w:val="TextoNormalCaracter"/>
        </w:rPr>
      </w:pPr>
      <w:bookmarkStart w:id="823" w:name="DESCRIPTORALFABETICO189"/>
      <w:r w:rsidRPr="00CD105B">
        <w:rPr>
          <w:rStyle w:val="TextoNormalNegritaCaracter"/>
        </w:rPr>
        <w:t>Parlamento de Cataluña</w:t>
      </w:r>
      <w:bookmarkEnd w:id="823"/>
      <w:r w:rsidRPr="00CD105B">
        <w:rPr>
          <w:rStyle w:val="TextoNormalCaracter"/>
        </w:rPr>
        <w:t xml:space="preserve">, Sentencias </w:t>
      </w:r>
      <w:hyperlink w:anchor="SENTENCIA_2024_109" w:history="1">
        <w:r w:rsidRPr="00CD105B">
          <w:rPr>
            <w:rStyle w:val="TextoNormalCaracter"/>
          </w:rPr>
          <w:t>109/2024</w:t>
        </w:r>
      </w:hyperlink>
      <w:r w:rsidRPr="00CD105B">
        <w:rPr>
          <w:rStyle w:val="TextoNormalCaracter"/>
        </w:rPr>
        <w:t xml:space="preserve">, f. 1; </w:t>
      </w:r>
      <w:hyperlink w:anchor="SENTENCIA_2024_110" w:history="1">
        <w:r w:rsidRPr="00CD105B">
          <w:rPr>
            <w:rStyle w:val="TextoNormalCaracter"/>
          </w:rPr>
          <w:t>110/2024</w:t>
        </w:r>
      </w:hyperlink>
      <w:r w:rsidRPr="00CD105B">
        <w:rPr>
          <w:rStyle w:val="TextoNormalCaracter"/>
        </w:rPr>
        <w:t xml:space="preserve">, f. 1; </w:t>
      </w:r>
      <w:hyperlink w:anchor="SENTENCIA_2024_143" w:history="1">
        <w:r w:rsidRPr="00CD105B">
          <w:rPr>
            <w:rStyle w:val="TextoNormalCaracter"/>
          </w:rPr>
          <w:t>143/2024</w:t>
        </w:r>
      </w:hyperlink>
      <w:r w:rsidRPr="00CD105B">
        <w:rPr>
          <w:rStyle w:val="TextoNormalCaracter"/>
        </w:rPr>
        <w:t xml:space="preserve">, ff. 2 y 3, VP; </w:t>
      </w:r>
      <w:hyperlink w:anchor="SENTENCIA_2024_154" w:history="1">
        <w:r w:rsidRPr="00CD105B">
          <w:rPr>
            <w:rStyle w:val="TextoNormalCaracter"/>
          </w:rPr>
          <w:t>154/2024</w:t>
        </w:r>
      </w:hyperlink>
      <w:r w:rsidRPr="00CD105B">
        <w:rPr>
          <w:rStyle w:val="TextoNormalCaracter"/>
        </w:rPr>
        <w:t xml:space="preserve">, f. único; </w:t>
      </w:r>
      <w:hyperlink w:anchor="SENTENCIA_2024_156" w:history="1">
        <w:r w:rsidRPr="00CD105B">
          <w:rPr>
            <w:rStyle w:val="TextoNormalCaracter"/>
          </w:rPr>
          <w:t>156/2024</w:t>
        </w:r>
      </w:hyperlink>
      <w:r w:rsidRPr="00CD105B">
        <w:rPr>
          <w:rStyle w:val="TextoNormalCaracter"/>
        </w:rPr>
        <w:t>, f. único.</w:t>
      </w:r>
    </w:p>
    <w:p w14:paraId="1ACE3D97" w14:textId="3EDFAA70" w:rsidR="00CD105B" w:rsidRPr="00CD105B" w:rsidRDefault="00CD105B" w:rsidP="00CD105B">
      <w:pPr>
        <w:pStyle w:val="TextoNormalSangraFrancesa"/>
        <w:rPr>
          <w:rStyle w:val="TextoNormalCaracter"/>
        </w:rPr>
      </w:pPr>
      <w:bookmarkStart w:id="824" w:name="DESCRIPTORALFABETICO351"/>
      <w:r w:rsidRPr="00CD105B">
        <w:rPr>
          <w:rStyle w:val="TextoNormalNegritaCaracter"/>
        </w:rPr>
        <w:t>Partes procesales</w:t>
      </w:r>
      <w:bookmarkEnd w:id="824"/>
      <w:r w:rsidRPr="00CD105B">
        <w:rPr>
          <w:rStyle w:val="TextoNormalCaracter"/>
        </w:rPr>
        <w:t xml:space="preserve">, Sentencias </w:t>
      </w:r>
      <w:hyperlink w:anchor="SENTENCIA_2024_133" w:history="1">
        <w:r w:rsidRPr="00CD105B">
          <w:rPr>
            <w:rStyle w:val="TextoNormalCaracter"/>
          </w:rPr>
          <w:t>133/2024</w:t>
        </w:r>
      </w:hyperlink>
      <w:r w:rsidRPr="00CD105B">
        <w:rPr>
          <w:rStyle w:val="TextoNormalCaracter"/>
        </w:rPr>
        <w:t xml:space="preserve">, f. 3; </w:t>
      </w:r>
      <w:hyperlink w:anchor="SENTENCIA_2024_134" w:history="1">
        <w:r w:rsidRPr="00CD105B">
          <w:rPr>
            <w:rStyle w:val="TextoNormalCaracter"/>
          </w:rPr>
          <w:t>134/2024</w:t>
        </w:r>
      </w:hyperlink>
      <w:r w:rsidRPr="00CD105B">
        <w:rPr>
          <w:rStyle w:val="TextoNormalCaracter"/>
        </w:rPr>
        <w:t>, f. 3.</w:t>
      </w:r>
    </w:p>
    <w:p w14:paraId="74690321" w14:textId="3DF74E86" w:rsidR="00CD105B" w:rsidRPr="00CD105B" w:rsidRDefault="00CD105B" w:rsidP="00CD105B">
      <w:pPr>
        <w:pStyle w:val="TextoNormalSangraFrancesa"/>
        <w:rPr>
          <w:rStyle w:val="TextoNormalCaracter"/>
        </w:rPr>
      </w:pPr>
      <w:bookmarkStart w:id="825" w:name="DESCRIPTORALFABETICO52"/>
      <w:r w:rsidRPr="00CD105B">
        <w:rPr>
          <w:rStyle w:val="TextoNormalNegritaCaracter"/>
        </w:rPr>
        <w:t>Participación de candidatos inelegibles</w:t>
      </w:r>
      <w:bookmarkEnd w:id="825"/>
      <w:r w:rsidRPr="00CD105B">
        <w:rPr>
          <w:rStyle w:val="TextoNormalCaracter"/>
        </w:rPr>
        <w:t xml:space="preserve">, Sentencia </w:t>
      </w:r>
      <w:hyperlink w:anchor="SENTENCIA_2024_152" w:history="1">
        <w:r w:rsidRPr="00CD105B">
          <w:rPr>
            <w:rStyle w:val="TextoNormalCaracter"/>
          </w:rPr>
          <w:t>152/2024</w:t>
        </w:r>
      </w:hyperlink>
      <w:r w:rsidRPr="00CD105B">
        <w:rPr>
          <w:rStyle w:val="TextoNormalCaracter"/>
        </w:rPr>
        <w:t>, ff. 2 y 4.</w:t>
      </w:r>
    </w:p>
    <w:p w14:paraId="6C1C38E5" w14:textId="3B12ECAA" w:rsidR="00CD105B" w:rsidRPr="00CD105B" w:rsidRDefault="00CD105B" w:rsidP="00CD105B">
      <w:pPr>
        <w:pStyle w:val="TextoNormalSangraFrancesa"/>
        <w:rPr>
          <w:rStyle w:val="TextoNormalCaracter"/>
        </w:rPr>
      </w:pPr>
      <w:bookmarkStart w:id="826" w:name="DESCRIPTORALFABETICO286"/>
      <w:r w:rsidRPr="00CD105B">
        <w:rPr>
          <w:rStyle w:val="TextoNormalNegritaCaracter"/>
        </w:rPr>
        <w:t>Penas privativas de libertad</w:t>
      </w:r>
      <w:bookmarkEnd w:id="826"/>
      <w:r w:rsidRPr="00CD105B">
        <w:rPr>
          <w:rStyle w:val="TextoNormalCaracter"/>
        </w:rPr>
        <w:t xml:space="preserve">, Sentencia </w:t>
      </w:r>
      <w:hyperlink w:anchor="SENTENCIA_2024_122" w:history="1">
        <w:r w:rsidRPr="00CD105B">
          <w:rPr>
            <w:rStyle w:val="TextoNormalCaracter"/>
          </w:rPr>
          <w:t>122/2024</w:t>
        </w:r>
      </w:hyperlink>
      <w:r w:rsidRPr="00CD105B">
        <w:rPr>
          <w:rStyle w:val="TextoNormalCaracter"/>
        </w:rPr>
        <w:t>, f. 1.</w:t>
      </w:r>
    </w:p>
    <w:p w14:paraId="5A0A3AB6" w14:textId="10282012" w:rsidR="00CD105B" w:rsidRPr="00CD105B" w:rsidRDefault="00CD105B" w:rsidP="00CD105B">
      <w:pPr>
        <w:pStyle w:val="TextoNormalSangraFrancesa"/>
        <w:rPr>
          <w:rStyle w:val="TextoNormalCaracter"/>
        </w:rPr>
      </w:pPr>
      <w:bookmarkStart w:id="827" w:name="DESCRIPTORALFABETICO304"/>
      <w:r w:rsidRPr="00CD105B">
        <w:rPr>
          <w:rStyle w:val="TextoNormalNegritaCaracter"/>
        </w:rPr>
        <w:t>Pensión de viudedad</w:t>
      </w:r>
      <w:bookmarkEnd w:id="827"/>
      <w:r w:rsidRPr="00CD105B">
        <w:rPr>
          <w:rStyle w:val="TextoNormalCaracter"/>
        </w:rPr>
        <w:t xml:space="preserve">, Auto </w:t>
      </w:r>
      <w:hyperlink w:anchor="AUTO_2024_89" w:history="1">
        <w:r w:rsidRPr="00CD105B">
          <w:rPr>
            <w:rStyle w:val="TextoNormalCaracter"/>
          </w:rPr>
          <w:t>89/2024</w:t>
        </w:r>
      </w:hyperlink>
      <w:r w:rsidRPr="00CD105B">
        <w:rPr>
          <w:rStyle w:val="TextoNormalCaracter"/>
        </w:rPr>
        <w:t>, f. 1.</w:t>
      </w:r>
    </w:p>
    <w:p w14:paraId="4E4BF2F5" w14:textId="6EE338C5" w:rsidR="00CD105B" w:rsidRPr="00CD105B" w:rsidRDefault="00CD105B" w:rsidP="00CD105B">
      <w:pPr>
        <w:pStyle w:val="TextoNormalSangraFrancesa"/>
        <w:rPr>
          <w:rStyle w:val="TextoNormalCaracter"/>
        </w:rPr>
      </w:pPr>
      <w:bookmarkStart w:id="828" w:name="DESCRIPTORALFABETICO83"/>
      <w:r w:rsidRPr="00CD105B">
        <w:rPr>
          <w:rStyle w:val="TextoNormalNegritaCaracter"/>
        </w:rPr>
        <w:t>Pérdida sobrevenida de objeto del incidente de suspensión cautelar</w:t>
      </w:r>
      <w:bookmarkEnd w:id="828"/>
      <w:r w:rsidRPr="00CD105B">
        <w:rPr>
          <w:rStyle w:val="TextoNormalCaracter"/>
        </w:rPr>
        <w:t xml:space="preserve">, Auto </w:t>
      </w:r>
      <w:hyperlink w:anchor="AUTO_2024_151" w:history="1">
        <w:r w:rsidRPr="00CD105B">
          <w:rPr>
            <w:rStyle w:val="TextoNormalCaracter"/>
          </w:rPr>
          <w:t>151/2024</w:t>
        </w:r>
      </w:hyperlink>
      <w:r w:rsidRPr="00CD105B">
        <w:rPr>
          <w:rStyle w:val="TextoNormalCaracter"/>
        </w:rPr>
        <w:t>, f. único.</w:t>
      </w:r>
    </w:p>
    <w:p w14:paraId="062B9FEE" w14:textId="4AB0E38D" w:rsidR="00CD105B" w:rsidRPr="00CD105B" w:rsidRDefault="00CD105B" w:rsidP="00CD105B">
      <w:pPr>
        <w:pStyle w:val="TextoNormalSangraFrancesa"/>
        <w:rPr>
          <w:rStyle w:val="TextoNormalCaracter"/>
        </w:rPr>
      </w:pPr>
      <w:bookmarkStart w:id="829" w:name="DESCRIPTORALFABETICO98"/>
      <w:r w:rsidRPr="00CD105B">
        <w:rPr>
          <w:rStyle w:val="TextoNormalNegritaCaracter"/>
        </w:rPr>
        <w:t>Pérdida sobrevenida de objeto del proceso constitucional</w:t>
      </w:r>
      <w:bookmarkEnd w:id="829"/>
      <w:r w:rsidRPr="00CD105B">
        <w:rPr>
          <w:rStyle w:val="TextoNormalCaracter"/>
        </w:rPr>
        <w:t xml:space="preserve">, Sentencia </w:t>
      </w:r>
      <w:hyperlink w:anchor="SENTENCIA_2024_125" w:history="1">
        <w:r w:rsidRPr="00CD105B">
          <w:rPr>
            <w:rStyle w:val="TextoNormalCaracter"/>
          </w:rPr>
          <w:t>125/2024</w:t>
        </w:r>
      </w:hyperlink>
      <w:r w:rsidRPr="00CD105B">
        <w:rPr>
          <w:rStyle w:val="TextoNormalCaracter"/>
        </w:rPr>
        <w:t>, f. 2.</w:t>
      </w:r>
    </w:p>
    <w:p w14:paraId="0284B47F" w14:textId="0203CDF7" w:rsidR="00CD105B" w:rsidRPr="00CD105B" w:rsidRDefault="00CD105B" w:rsidP="00CD105B">
      <w:pPr>
        <w:pStyle w:val="TextoNormalSangraFrancesa"/>
        <w:rPr>
          <w:rStyle w:val="TextoNormalCaracter"/>
        </w:rPr>
      </w:pPr>
      <w:r w:rsidRPr="00CD105B">
        <w:rPr>
          <w:rStyle w:val="TextoNormalCaracter"/>
        </w:rPr>
        <w:t xml:space="preserve">    Autos </w:t>
      </w:r>
      <w:hyperlink w:anchor="AUTO_2024_96" w:history="1">
        <w:r w:rsidRPr="00CD105B">
          <w:rPr>
            <w:rStyle w:val="TextoNormalCaracter"/>
          </w:rPr>
          <w:t>96/2024</w:t>
        </w:r>
      </w:hyperlink>
      <w:r w:rsidRPr="00CD105B">
        <w:rPr>
          <w:rStyle w:val="TextoNormalCaracter"/>
        </w:rPr>
        <w:t xml:space="preserve">, f. 3; </w:t>
      </w:r>
      <w:hyperlink w:anchor="AUTO_2024_103" w:history="1">
        <w:r w:rsidRPr="00CD105B">
          <w:rPr>
            <w:rStyle w:val="TextoNormalCaracter"/>
          </w:rPr>
          <w:t>103/2024</w:t>
        </w:r>
      </w:hyperlink>
      <w:r w:rsidRPr="00CD105B">
        <w:rPr>
          <w:rStyle w:val="TextoNormalCaracter"/>
        </w:rPr>
        <w:t xml:space="preserve">, f. 2; </w:t>
      </w:r>
      <w:hyperlink w:anchor="AUTO_2024_115" w:history="1">
        <w:r w:rsidRPr="00CD105B">
          <w:rPr>
            <w:rStyle w:val="TextoNormalCaracter"/>
          </w:rPr>
          <w:t>115/2024</w:t>
        </w:r>
      </w:hyperlink>
      <w:r w:rsidRPr="00CD105B">
        <w:rPr>
          <w:rStyle w:val="TextoNormalCaracter"/>
        </w:rPr>
        <w:t>, f. único.</w:t>
      </w:r>
    </w:p>
    <w:p w14:paraId="4D707EC9" w14:textId="040FCA76" w:rsidR="00CD105B" w:rsidRPr="00CD105B" w:rsidRDefault="00CD105B" w:rsidP="00CD105B">
      <w:pPr>
        <w:pStyle w:val="TextoNormalSangraFrancesa"/>
        <w:rPr>
          <w:rStyle w:val="TextoNormalCaracter"/>
        </w:rPr>
      </w:pPr>
      <w:bookmarkStart w:id="830" w:name="DESCRIPTORALFABETICO99"/>
      <w:r w:rsidRPr="00CD105B">
        <w:rPr>
          <w:rStyle w:val="TextoNormalNegritaCaracter"/>
        </w:rPr>
        <w:t>Pérdida sobrevenida de objeto por declaración de inconstitucionalidad de la norma</w:t>
      </w:r>
      <w:bookmarkEnd w:id="830"/>
      <w:r w:rsidRPr="00CD105B">
        <w:rPr>
          <w:rStyle w:val="TextoNormalCaracter"/>
        </w:rPr>
        <w:t xml:space="preserve">, Sentencias </w:t>
      </w:r>
      <w:hyperlink w:anchor="SENTENCIA_2024_127" w:history="1">
        <w:r w:rsidRPr="00CD105B">
          <w:rPr>
            <w:rStyle w:val="TextoNormalCaracter"/>
          </w:rPr>
          <w:t>127/2024</w:t>
        </w:r>
      </w:hyperlink>
      <w:r w:rsidRPr="00CD105B">
        <w:rPr>
          <w:rStyle w:val="TextoNormalCaracter"/>
        </w:rPr>
        <w:t xml:space="preserve">, f. 2; </w:t>
      </w:r>
      <w:hyperlink w:anchor="SENTENCIA_2024_130" w:history="1">
        <w:r w:rsidRPr="00CD105B">
          <w:rPr>
            <w:rStyle w:val="TextoNormalCaracter"/>
          </w:rPr>
          <w:t>130/2024</w:t>
        </w:r>
      </w:hyperlink>
      <w:r w:rsidRPr="00CD105B">
        <w:rPr>
          <w:rStyle w:val="TextoNormalCaracter"/>
        </w:rPr>
        <w:t>, f. 2.</w:t>
      </w:r>
    </w:p>
    <w:p w14:paraId="717CD616" w14:textId="262B5614" w:rsidR="00CD105B" w:rsidRPr="00CD105B" w:rsidRDefault="00CD105B" w:rsidP="00CD105B">
      <w:pPr>
        <w:pStyle w:val="TextoNormalSangraFrancesa"/>
        <w:rPr>
          <w:rStyle w:val="TextoNormalCaracter"/>
        </w:rPr>
      </w:pPr>
      <w:bookmarkStart w:id="831" w:name="DESCRIPTORALFABETICO309"/>
      <w:r w:rsidRPr="00CD105B">
        <w:rPr>
          <w:rStyle w:val="TextoNormalNegritaCaracter"/>
        </w:rPr>
        <w:t>Permiso de maternidad</w:t>
      </w:r>
      <w:bookmarkEnd w:id="831"/>
      <w:r w:rsidRPr="00CD105B">
        <w:rPr>
          <w:rStyle w:val="TextoNormalCaracter"/>
        </w:rPr>
        <w:t xml:space="preserve">, Sentencia </w:t>
      </w:r>
      <w:hyperlink w:anchor="SENTENCIA_2024_140" w:history="1">
        <w:r w:rsidRPr="00CD105B">
          <w:rPr>
            <w:rStyle w:val="TextoNormalCaracter"/>
          </w:rPr>
          <w:t>140/2024</w:t>
        </w:r>
      </w:hyperlink>
      <w:r w:rsidRPr="00CD105B">
        <w:rPr>
          <w:rStyle w:val="TextoNormalCaracter"/>
        </w:rPr>
        <w:t>, ff. 3 y 4, VP I.</w:t>
      </w:r>
    </w:p>
    <w:p w14:paraId="02188AA5" w14:textId="1D5CC29B" w:rsidR="00CD105B" w:rsidRPr="00CD105B" w:rsidRDefault="00CD105B" w:rsidP="00CD105B">
      <w:pPr>
        <w:pStyle w:val="TextoNormalSangraFrancesa"/>
        <w:rPr>
          <w:rStyle w:val="TextoNormalCaracter"/>
        </w:rPr>
      </w:pPr>
      <w:bookmarkStart w:id="832" w:name="DESCRIPTORALFABETICO310"/>
      <w:r w:rsidRPr="00CD105B">
        <w:rPr>
          <w:rStyle w:val="TextoNormalNegritaCaracter"/>
        </w:rPr>
        <w:t>Permiso por nacimiento</w:t>
      </w:r>
      <w:bookmarkEnd w:id="832"/>
      <w:r w:rsidRPr="00CD105B">
        <w:rPr>
          <w:rStyle w:val="TextoNormalCaracter"/>
        </w:rPr>
        <w:t xml:space="preserve">, Sentencias </w:t>
      </w:r>
      <w:hyperlink w:anchor="SENTENCIA_2024_140" w:history="1">
        <w:r w:rsidRPr="00CD105B">
          <w:rPr>
            <w:rStyle w:val="TextoNormalCaracter"/>
          </w:rPr>
          <w:t>140/2024</w:t>
        </w:r>
      </w:hyperlink>
      <w:r w:rsidRPr="00CD105B">
        <w:rPr>
          <w:rStyle w:val="TextoNormalCaracter"/>
        </w:rPr>
        <w:t xml:space="preserve">, ff. 3 y 4, VP I; </w:t>
      </w:r>
      <w:hyperlink w:anchor="SENTENCIA_2024_147" w:history="1">
        <w:r w:rsidRPr="00CD105B">
          <w:rPr>
            <w:rStyle w:val="TextoNormalCaracter"/>
          </w:rPr>
          <w:t>147/2024</w:t>
        </w:r>
      </w:hyperlink>
      <w:r w:rsidRPr="00CD105B">
        <w:rPr>
          <w:rStyle w:val="TextoNormalCaracter"/>
        </w:rPr>
        <w:t xml:space="preserve">, f. 3; </w:t>
      </w:r>
      <w:hyperlink w:anchor="SENTENCIA_2024_149" w:history="1">
        <w:r w:rsidRPr="00CD105B">
          <w:rPr>
            <w:rStyle w:val="TextoNormalCaracter"/>
          </w:rPr>
          <w:t>149/2024</w:t>
        </w:r>
      </w:hyperlink>
      <w:r w:rsidRPr="00CD105B">
        <w:rPr>
          <w:rStyle w:val="TextoNormalCaracter"/>
        </w:rPr>
        <w:t xml:space="preserve">, f. 3; </w:t>
      </w:r>
      <w:hyperlink w:anchor="SENTENCIA_2024_150" w:history="1">
        <w:r w:rsidRPr="00CD105B">
          <w:rPr>
            <w:rStyle w:val="TextoNormalCaracter"/>
          </w:rPr>
          <w:t>150/2024</w:t>
        </w:r>
      </w:hyperlink>
      <w:r w:rsidRPr="00CD105B">
        <w:rPr>
          <w:rStyle w:val="TextoNormalCaracter"/>
        </w:rPr>
        <w:t xml:space="preserve">, f. 3; </w:t>
      </w:r>
      <w:hyperlink w:anchor="SENTENCIA_2024_151" w:history="1">
        <w:r w:rsidRPr="00CD105B">
          <w:rPr>
            <w:rStyle w:val="TextoNormalCaracter"/>
          </w:rPr>
          <w:t>151/2024</w:t>
        </w:r>
      </w:hyperlink>
      <w:r w:rsidRPr="00CD105B">
        <w:rPr>
          <w:rStyle w:val="TextoNormalCaracter"/>
        </w:rPr>
        <w:t xml:space="preserve">, f. 3; </w:t>
      </w:r>
      <w:hyperlink w:anchor="SENTENCIA_2024_155" w:history="1">
        <w:r w:rsidRPr="00CD105B">
          <w:rPr>
            <w:rStyle w:val="TextoNormalCaracter"/>
          </w:rPr>
          <w:t>155/2024</w:t>
        </w:r>
      </w:hyperlink>
      <w:r w:rsidRPr="00CD105B">
        <w:rPr>
          <w:rStyle w:val="TextoNormalCaracter"/>
        </w:rPr>
        <w:t>, f. 3.</w:t>
      </w:r>
    </w:p>
    <w:p w14:paraId="47345F2D" w14:textId="64928435" w:rsidR="00CD105B" w:rsidRPr="00CD105B" w:rsidRDefault="00CD105B" w:rsidP="00CD105B">
      <w:pPr>
        <w:pStyle w:val="TextoNormalSangraFrancesa"/>
        <w:rPr>
          <w:rStyle w:val="TextoNormalCaracter"/>
        </w:rPr>
      </w:pPr>
      <w:bookmarkStart w:id="833" w:name="DESCRIPTORALFABETICO287"/>
      <w:r w:rsidRPr="00CD105B">
        <w:rPr>
          <w:rStyle w:val="TextoNormalNegritaCaracter"/>
        </w:rPr>
        <w:t>Personalidad jurídica</w:t>
      </w:r>
      <w:bookmarkEnd w:id="833"/>
      <w:r w:rsidRPr="00CD105B">
        <w:rPr>
          <w:rStyle w:val="TextoNormalCaracter"/>
        </w:rPr>
        <w:t xml:space="preserve">, Sentencia </w:t>
      </w:r>
      <w:hyperlink w:anchor="SENTENCIA_2024_142" w:history="1">
        <w:r w:rsidRPr="00CD105B">
          <w:rPr>
            <w:rStyle w:val="TextoNormalCaracter"/>
          </w:rPr>
          <w:t>142/2024</w:t>
        </w:r>
      </w:hyperlink>
      <w:r w:rsidRPr="00CD105B">
        <w:rPr>
          <w:rStyle w:val="TextoNormalCaracter"/>
        </w:rPr>
        <w:t>, ff. 3 a 5, VP.</w:t>
      </w:r>
    </w:p>
    <w:p w14:paraId="4709FFDD" w14:textId="3ED5A5CB" w:rsidR="00CD105B" w:rsidRPr="00CD105B" w:rsidRDefault="00CD105B" w:rsidP="00CD105B">
      <w:pPr>
        <w:pStyle w:val="TextoNormalSangraFrancesa"/>
        <w:rPr>
          <w:rStyle w:val="TextoNormalCaracter"/>
        </w:rPr>
      </w:pPr>
      <w:bookmarkStart w:id="834" w:name="DESCRIPTORALFABETICO292"/>
      <w:r w:rsidRPr="00CD105B">
        <w:rPr>
          <w:rStyle w:val="TextoNormalNegritaCaracter"/>
        </w:rPr>
        <w:t>Personas trans</w:t>
      </w:r>
      <w:bookmarkEnd w:id="834"/>
      <w:r w:rsidRPr="00CD105B">
        <w:rPr>
          <w:rStyle w:val="TextoNormalCaracter"/>
        </w:rPr>
        <w:t xml:space="preserve">, Auto </w:t>
      </w:r>
      <w:hyperlink w:anchor="AUTO_2024_126" w:history="1">
        <w:r w:rsidRPr="00CD105B">
          <w:rPr>
            <w:rStyle w:val="TextoNormalCaracter"/>
          </w:rPr>
          <w:t>126/2024</w:t>
        </w:r>
      </w:hyperlink>
      <w:r w:rsidRPr="00CD105B">
        <w:rPr>
          <w:rStyle w:val="TextoNormalCaracter"/>
        </w:rPr>
        <w:t>, ff. 1 y 3 a 5.</w:t>
      </w:r>
    </w:p>
    <w:p w14:paraId="68AD515E" w14:textId="00E9BFD2" w:rsidR="00CD105B" w:rsidRPr="00CD105B" w:rsidRDefault="00CD105B" w:rsidP="00CD105B">
      <w:pPr>
        <w:pStyle w:val="TextoNormalSangraFrancesa"/>
        <w:rPr>
          <w:rStyle w:val="TextoNormalCaracter"/>
        </w:rPr>
      </w:pPr>
      <w:bookmarkStart w:id="835" w:name="DESCRIPTORALFABETICO100"/>
      <w:r w:rsidRPr="00CD105B">
        <w:rPr>
          <w:rStyle w:val="TextoNormalNegritaCaracter"/>
        </w:rPr>
        <w:t>Pervivencia del objeto del proceso constitucional</w:t>
      </w:r>
      <w:bookmarkEnd w:id="835"/>
      <w:r w:rsidRPr="00CD105B">
        <w:rPr>
          <w:rStyle w:val="TextoNormalCaracter"/>
        </w:rPr>
        <w:t xml:space="preserve">, Sentencia </w:t>
      </w:r>
      <w:hyperlink w:anchor="SENTENCIA_2024_141" w:history="1">
        <w:r w:rsidRPr="00CD105B">
          <w:rPr>
            <w:rStyle w:val="TextoNormalCaracter"/>
          </w:rPr>
          <w:t>141/2024</w:t>
        </w:r>
      </w:hyperlink>
      <w:r w:rsidRPr="00CD105B">
        <w:rPr>
          <w:rStyle w:val="TextoNormalCaracter"/>
        </w:rPr>
        <w:t>, f. 2.</w:t>
      </w:r>
    </w:p>
    <w:p w14:paraId="20397E8F" w14:textId="0D0757A3" w:rsidR="00CD105B" w:rsidRPr="00CD105B" w:rsidRDefault="00CD105B" w:rsidP="00CD105B">
      <w:pPr>
        <w:pStyle w:val="TextoNormalSangraFrancesa"/>
        <w:rPr>
          <w:rStyle w:val="TextoNormalCaracter"/>
        </w:rPr>
      </w:pPr>
      <w:bookmarkStart w:id="836" w:name="DESCRIPTORALFABETICO123"/>
      <w:r w:rsidRPr="00CD105B">
        <w:rPr>
          <w:rStyle w:val="TextoNormalNegritaCaracter"/>
        </w:rPr>
        <w:t>Pervivencia del objeto del recurso de inconstitucionalidad</w:t>
      </w:r>
      <w:bookmarkEnd w:id="836"/>
      <w:r w:rsidRPr="00CD105B">
        <w:rPr>
          <w:rStyle w:val="TextoNormalCaracter"/>
        </w:rPr>
        <w:t xml:space="preserve">, Sentencia </w:t>
      </w:r>
      <w:hyperlink w:anchor="SENTENCIA_2024_121" w:history="1">
        <w:r w:rsidRPr="00CD105B">
          <w:rPr>
            <w:rStyle w:val="TextoNormalCaracter"/>
          </w:rPr>
          <w:t>121/2024</w:t>
        </w:r>
      </w:hyperlink>
      <w:r w:rsidRPr="00CD105B">
        <w:rPr>
          <w:rStyle w:val="TextoNormalCaracter"/>
        </w:rPr>
        <w:t>, f. 2.</w:t>
      </w:r>
    </w:p>
    <w:p w14:paraId="557C3C14" w14:textId="57A8F0AD" w:rsidR="00CD105B" w:rsidRPr="00CD105B" w:rsidRDefault="00CD105B" w:rsidP="00CD105B">
      <w:pPr>
        <w:pStyle w:val="TextoNormalSangraFrancesa"/>
        <w:rPr>
          <w:rStyle w:val="TextoNormalCaracter"/>
        </w:rPr>
      </w:pPr>
      <w:bookmarkStart w:id="837" w:name="DESCRIPTORALFABETICO101"/>
      <w:r w:rsidRPr="00CD105B">
        <w:rPr>
          <w:rStyle w:val="TextoNormalNegritaCaracter"/>
        </w:rPr>
        <w:t>Pervivencia del objeto pese a la derogación de la norma</w:t>
      </w:r>
      <w:bookmarkEnd w:id="837"/>
      <w:r w:rsidRPr="00CD105B">
        <w:rPr>
          <w:rStyle w:val="TextoNormalCaracter"/>
        </w:rPr>
        <w:t xml:space="preserve">, Sentencia </w:t>
      </w:r>
      <w:hyperlink w:anchor="SENTENCIA_2024_121" w:history="1">
        <w:r w:rsidRPr="00CD105B">
          <w:rPr>
            <w:rStyle w:val="TextoNormalCaracter"/>
          </w:rPr>
          <w:t>121/2024</w:t>
        </w:r>
      </w:hyperlink>
      <w:r w:rsidRPr="00CD105B">
        <w:rPr>
          <w:rStyle w:val="TextoNormalCaracter"/>
        </w:rPr>
        <w:t>, f. 2.</w:t>
      </w:r>
    </w:p>
    <w:p w14:paraId="387F6CB6" w14:textId="36981B2A" w:rsidR="00CD105B" w:rsidRPr="00CD105B" w:rsidRDefault="00CD105B" w:rsidP="00CD105B">
      <w:pPr>
        <w:pStyle w:val="TextoNormalSangraFrancesa"/>
        <w:rPr>
          <w:rStyle w:val="TextoNormalCaracter"/>
        </w:rPr>
      </w:pPr>
      <w:bookmarkStart w:id="838" w:name="DESCRIPTORALFABETICO102"/>
      <w:r w:rsidRPr="00CD105B">
        <w:rPr>
          <w:rStyle w:val="TextoNormalNegritaCaracter"/>
        </w:rPr>
        <w:t>Pervivencia del objeto pese a la modificación de la norma</w:t>
      </w:r>
      <w:bookmarkEnd w:id="838"/>
      <w:r w:rsidRPr="00CD105B">
        <w:rPr>
          <w:rStyle w:val="TextoNormalCaracter"/>
        </w:rPr>
        <w:t xml:space="preserve">, Sentencia </w:t>
      </w:r>
      <w:hyperlink w:anchor="SENTENCIA_2024_112" w:history="1">
        <w:r w:rsidRPr="00CD105B">
          <w:rPr>
            <w:rStyle w:val="TextoNormalCaracter"/>
          </w:rPr>
          <w:t>112/2024</w:t>
        </w:r>
      </w:hyperlink>
      <w:r w:rsidRPr="00CD105B">
        <w:rPr>
          <w:rStyle w:val="TextoNormalCaracter"/>
        </w:rPr>
        <w:t>, f. 2.</w:t>
      </w:r>
    </w:p>
    <w:p w14:paraId="39FE778A" w14:textId="4F056E96" w:rsidR="00CD105B" w:rsidRPr="00CD105B" w:rsidRDefault="00CD105B" w:rsidP="00CD105B">
      <w:pPr>
        <w:pStyle w:val="TextoNormalSangraFrancesa"/>
        <w:rPr>
          <w:rStyle w:val="TextoNormalCaracter"/>
        </w:rPr>
      </w:pPr>
      <w:bookmarkStart w:id="839" w:name="DESCRIPTORALFABETICO195"/>
      <w:r w:rsidRPr="00CD105B">
        <w:rPr>
          <w:rStyle w:val="TextoNormalNegritaCaracter"/>
        </w:rPr>
        <w:t>Planteamiento de cuestión prejudicial ante el TJUE</w:t>
      </w:r>
      <w:bookmarkEnd w:id="839"/>
      <w:r w:rsidRPr="00CD105B">
        <w:rPr>
          <w:rStyle w:val="TextoNormalCaracter"/>
        </w:rPr>
        <w:t xml:space="preserve">, Auto </w:t>
      </w:r>
      <w:hyperlink w:anchor="AUTO_2024_153" w:history="1">
        <w:r w:rsidRPr="00CD105B">
          <w:rPr>
            <w:rStyle w:val="TextoNormalCaracter"/>
          </w:rPr>
          <w:t>153/2024</w:t>
        </w:r>
      </w:hyperlink>
      <w:r w:rsidRPr="00CD105B">
        <w:rPr>
          <w:rStyle w:val="TextoNormalCaracter"/>
        </w:rPr>
        <w:t>, f. 4.</w:t>
      </w:r>
    </w:p>
    <w:p w14:paraId="0499A6FF" w14:textId="0327FBA7" w:rsidR="00CD105B" w:rsidRPr="00CD105B" w:rsidRDefault="00CD105B" w:rsidP="00CD105B">
      <w:pPr>
        <w:pStyle w:val="TextoNormalSangraFrancesa"/>
        <w:rPr>
          <w:rStyle w:val="TextoNormalCaracter"/>
        </w:rPr>
      </w:pPr>
      <w:bookmarkStart w:id="840" w:name="DESCRIPTORALFABETICO321"/>
      <w:r w:rsidRPr="00CD105B">
        <w:rPr>
          <w:rStyle w:val="TextoNormalNegritaCaracter"/>
        </w:rPr>
        <w:t>Plazo de caducidad de acciones</w:t>
      </w:r>
      <w:bookmarkEnd w:id="840"/>
      <w:r w:rsidRPr="00CD105B">
        <w:rPr>
          <w:rStyle w:val="TextoNormalCaracter"/>
        </w:rPr>
        <w:t xml:space="preserve">, Sentencia </w:t>
      </w:r>
      <w:hyperlink w:anchor="SENTENCIA_2024_118" w:history="1">
        <w:r w:rsidRPr="00CD105B">
          <w:rPr>
            <w:rStyle w:val="TextoNormalCaracter"/>
          </w:rPr>
          <w:t>118/2024</w:t>
        </w:r>
      </w:hyperlink>
      <w:r w:rsidRPr="00CD105B">
        <w:rPr>
          <w:rStyle w:val="TextoNormalCaracter"/>
        </w:rPr>
        <w:t>, ff. 1, 3, 5.</w:t>
      </w:r>
    </w:p>
    <w:p w14:paraId="69AB7685" w14:textId="0EB15195" w:rsidR="00CD105B" w:rsidRPr="00CD105B" w:rsidRDefault="00CD105B" w:rsidP="00CD105B">
      <w:pPr>
        <w:pStyle w:val="TextoNormalSangraFrancesa"/>
        <w:rPr>
          <w:rStyle w:val="TextoNormalCaracter"/>
        </w:rPr>
      </w:pPr>
      <w:bookmarkStart w:id="841" w:name="DESCRIPTORALFABETICO96"/>
      <w:r w:rsidRPr="00CD105B">
        <w:rPr>
          <w:rStyle w:val="TextoNormalNegritaCaracter"/>
        </w:rPr>
        <w:t>Poder de representación del comisionado</w:t>
      </w:r>
      <w:bookmarkEnd w:id="841"/>
      <w:r w:rsidRPr="00CD105B">
        <w:rPr>
          <w:rStyle w:val="TextoNormalCaracter"/>
        </w:rPr>
        <w:t xml:space="preserve">, Sentencia </w:t>
      </w:r>
      <w:hyperlink w:anchor="SENTENCIA_2024_157" w:history="1">
        <w:r w:rsidRPr="00CD105B">
          <w:rPr>
            <w:rStyle w:val="TextoNormalCaracter"/>
          </w:rPr>
          <w:t>157/2024</w:t>
        </w:r>
      </w:hyperlink>
      <w:r w:rsidRPr="00CD105B">
        <w:rPr>
          <w:rStyle w:val="TextoNormalCaracter"/>
        </w:rPr>
        <w:t>, f. 2.</w:t>
      </w:r>
    </w:p>
    <w:p w14:paraId="5D720FA7" w14:textId="6F1EE8B6" w:rsidR="00CD105B" w:rsidRPr="00CD105B" w:rsidRDefault="00CD105B" w:rsidP="00CD105B">
      <w:pPr>
        <w:pStyle w:val="TextoNormalSangraFrancesa"/>
        <w:rPr>
          <w:rStyle w:val="TextoNormalCaracter"/>
        </w:rPr>
      </w:pPr>
      <w:bookmarkStart w:id="842" w:name="DESCRIPTORALFABETICO242"/>
      <w:r w:rsidRPr="00CD105B">
        <w:rPr>
          <w:rStyle w:val="TextoNormalNegritaCaracter"/>
        </w:rPr>
        <w:t>Política energética</w:t>
      </w:r>
      <w:bookmarkEnd w:id="842"/>
      <w:r w:rsidRPr="00CD105B">
        <w:rPr>
          <w:rStyle w:val="TextoNormalCaracter"/>
        </w:rPr>
        <w:t xml:space="preserve">, Sentencia </w:t>
      </w:r>
      <w:hyperlink w:anchor="SENTENCIA_2024_113" w:history="1">
        <w:r w:rsidRPr="00CD105B">
          <w:rPr>
            <w:rStyle w:val="TextoNormalCaracter"/>
          </w:rPr>
          <w:t>113/2024</w:t>
        </w:r>
      </w:hyperlink>
      <w:r w:rsidRPr="00CD105B">
        <w:rPr>
          <w:rStyle w:val="TextoNormalCaracter"/>
        </w:rPr>
        <w:t>, ff. 3 y 4.</w:t>
      </w:r>
    </w:p>
    <w:p w14:paraId="06369B64" w14:textId="37C48886" w:rsidR="00CD105B" w:rsidRPr="00CD105B" w:rsidRDefault="00CD105B" w:rsidP="00CD105B">
      <w:pPr>
        <w:pStyle w:val="TextoNormalSangraFrancesa"/>
        <w:rPr>
          <w:rStyle w:val="TextoNormalCaracter"/>
        </w:rPr>
      </w:pPr>
      <w:bookmarkStart w:id="843" w:name="DESCRIPTORALFABETICO306"/>
      <w:r w:rsidRPr="00CD105B">
        <w:rPr>
          <w:rStyle w:val="TextoNormalNegritaCaracter"/>
        </w:rPr>
        <w:t>Póliza de seguros</w:t>
      </w:r>
      <w:bookmarkEnd w:id="843"/>
      <w:r w:rsidRPr="00CD105B">
        <w:rPr>
          <w:rStyle w:val="TextoNormalCaracter"/>
        </w:rPr>
        <w:t xml:space="preserve">, Sentencia </w:t>
      </w:r>
      <w:hyperlink w:anchor="SENTENCIA_2024_121" w:history="1">
        <w:r w:rsidRPr="00CD105B">
          <w:rPr>
            <w:rStyle w:val="TextoNormalCaracter"/>
          </w:rPr>
          <w:t>121/2024</w:t>
        </w:r>
      </w:hyperlink>
      <w:r w:rsidRPr="00CD105B">
        <w:rPr>
          <w:rStyle w:val="TextoNormalCaracter"/>
        </w:rPr>
        <w:t>, ff. 1 y 4.</w:t>
      </w:r>
    </w:p>
    <w:p w14:paraId="5D6B8452" w14:textId="1A8A366B" w:rsidR="00CD105B" w:rsidRPr="00CD105B" w:rsidRDefault="00CD105B" w:rsidP="00CD105B">
      <w:pPr>
        <w:pStyle w:val="TextoNormalSangraFrancesa"/>
        <w:rPr>
          <w:rStyle w:val="TextoNormalCaracter"/>
        </w:rPr>
      </w:pPr>
      <w:bookmarkStart w:id="844" w:name="DESCRIPTORALFABETICO77"/>
      <w:r w:rsidRPr="00CD105B">
        <w:rPr>
          <w:rStyle w:val="TextoNormalNegritaCaracter"/>
        </w:rPr>
        <w:t>Ponderación de derechos fundamentales</w:t>
      </w:r>
      <w:bookmarkEnd w:id="844"/>
      <w:r w:rsidRPr="00CD105B">
        <w:rPr>
          <w:rStyle w:val="TextoNormalCaracter"/>
        </w:rPr>
        <w:t xml:space="preserve">, Sentencia </w:t>
      </w:r>
      <w:hyperlink w:anchor="SENTENCIA_2024_132" w:history="1">
        <w:r w:rsidRPr="00CD105B">
          <w:rPr>
            <w:rStyle w:val="TextoNormalCaracter"/>
          </w:rPr>
          <w:t>132/2024</w:t>
        </w:r>
      </w:hyperlink>
      <w:r w:rsidRPr="00CD105B">
        <w:rPr>
          <w:rStyle w:val="TextoNormalCaracter"/>
        </w:rPr>
        <w:t>, f. 4.</w:t>
      </w:r>
    </w:p>
    <w:p w14:paraId="5B5463B0" w14:textId="28369937" w:rsidR="00CD105B" w:rsidRPr="00CD105B" w:rsidRDefault="00CD105B" w:rsidP="00CD105B">
      <w:pPr>
        <w:pStyle w:val="TextoNormalSangraFrancesa"/>
        <w:rPr>
          <w:rStyle w:val="TextoNormalCaracter"/>
        </w:rPr>
      </w:pPr>
      <w:bookmarkStart w:id="845" w:name="DESCRIPTORALFABETICO184"/>
      <w:r w:rsidRPr="00CD105B">
        <w:rPr>
          <w:rStyle w:val="TextoNormalNegritaCaracter"/>
        </w:rPr>
        <w:t>Presidencia del Congreso</w:t>
      </w:r>
      <w:bookmarkEnd w:id="845"/>
      <w:r w:rsidRPr="00CD105B">
        <w:rPr>
          <w:rStyle w:val="TextoNormalCaracter"/>
        </w:rPr>
        <w:t xml:space="preserve">, Sentencias </w:t>
      </w:r>
      <w:hyperlink w:anchor="SENTENCIA_2024_114" w:history="1">
        <w:r w:rsidRPr="00CD105B">
          <w:rPr>
            <w:rStyle w:val="TextoNormalCaracter"/>
          </w:rPr>
          <w:t>114/2024</w:t>
        </w:r>
      </w:hyperlink>
      <w:r w:rsidRPr="00CD105B">
        <w:rPr>
          <w:rStyle w:val="TextoNormalCaracter"/>
        </w:rPr>
        <w:t xml:space="preserve">, ff. 1 y 5; </w:t>
      </w:r>
      <w:hyperlink w:anchor="SENTENCIA_2024_129" w:history="1">
        <w:r w:rsidRPr="00CD105B">
          <w:rPr>
            <w:rStyle w:val="TextoNormalCaracter"/>
          </w:rPr>
          <w:t>129/2024</w:t>
        </w:r>
      </w:hyperlink>
      <w:r w:rsidRPr="00CD105B">
        <w:rPr>
          <w:rStyle w:val="TextoNormalCaracter"/>
        </w:rPr>
        <w:t xml:space="preserve">, f. 1; </w:t>
      </w:r>
      <w:hyperlink w:anchor="SENTENCIA_2024_137" w:history="1">
        <w:r w:rsidRPr="00CD105B">
          <w:rPr>
            <w:rStyle w:val="TextoNormalCaracter"/>
          </w:rPr>
          <w:t>137/2024</w:t>
        </w:r>
      </w:hyperlink>
      <w:r w:rsidRPr="00CD105B">
        <w:rPr>
          <w:rStyle w:val="TextoNormalCaracter"/>
        </w:rPr>
        <w:t xml:space="preserve">, f. 3; </w:t>
      </w:r>
      <w:hyperlink w:anchor="SENTENCIA_2024_138" w:history="1">
        <w:r w:rsidRPr="00CD105B">
          <w:rPr>
            <w:rStyle w:val="TextoNormalCaracter"/>
          </w:rPr>
          <w:t>138/2024</w:t>
        </w:r>
      </w:hyperlink>
      <w:r w:rsidRPr="00CD105B">
        <w:rPr>
          <w:rStyle w:val="TextoNormalCaracter"/>
        </w:rPr>
        <w:t>, f. 3.</w:t>
      </w:r>
    </w:p>
    <w:p w14:paraId="7302B0A8" w14:textId="49CFFFA4" w:rsidR="00CD105B" w:rsidRPr="00CD105B" w:rsidRDefault="00CD105B" w:rsidP="00CD105B">
      <w:pPr>
        <w:pStyle w:val="TextoNormalSangraFrancesa"/>
        <w:rPr>
          <w:rStyle w:val="TextoNormalCaracter"/>
        </w:rPr>
      </w:pPr>
      <w:bookmarkStart w:id="846" w:name="DESCRIPTORALFABETICO305"/>
      <w:r w:rsidRPr="00CD105B">
        <w:rPr>
          <w:rStyle w:val="TextoNormalNegritaCaracter"/>
        </w:rPr>
        <w:t>Prestación por nacimiento y cuidado de menor</w:t>
      </w:r>
      <w:bookmarkEnd w:id="846"/>
      <w:r w:rsidRPr="00CD105B">
        <w:rPr>
          <w:rStyle w:val="TextoNormalCaracter"/>
        </w:rPr>
        <w:t xml:space="preserve">, Sentencias </w:t>
      </w:r>
      <w:hyperlink w:anchor="SENTENCIA_2024_140" w:history="1">
        <w:r w:rsidRPr="00CD105B">
          <w:rPr>
            <w:rStyle w:val="TextoNormalCaracter"/>
          </w:rPr>
          <w:t>140/2024</w:t>
        </w:r>
      </w:hyperlink>
      <w:r w:rsidRPr="00CD105B">
        <w:rPr>
          <w:rStyle w:val="TextoNormalCaracter"/>
        </w:rPr>
        <w:t xml:space="preserve">, ff. 3 a 6; </w:t>
      </w:r>
      <w:hyperlink w:anchor="SENTENCIA_2024_147" w:history="1">
        <w:r w:rsidRPr="00CD105B">
          <w:rPr>
            <w:rStyle w:val="TextoNormalCaracter"/>
          </w:rPr>
          <w:t>147/2024</w:t>
        </w:r>
      </w:hyperlink>
      <w:r w:rsidRPr="00CD105B">
        <w:rPr>
          <w:rStyle w:val="TextoNormalCaracter"/>
        </w:rPr>
        <w:t xml:space="preserve">, f. 3; </w:t>
      </w:r>
      <w:hyperlink w:anchor="SENTENCIA_2024_149" w:history="1">
        <w:r w:rsidRPr="00CD105B">
          <w:rPr>
            <w:rStyle w:val="TextoNormalCaracter"/>
          </w:rPr>
          <w:t>149/2024</w:t>
        </w:r>
      </w:hyperlink>
      <w:r w:rsidRPr="00CD105B">
        <w:rPr>
          <w:rStyle w:val="TextoNormalCaracter"/>
        </w:rPr>
        <w:t xml:space="preserve">, f. 3; </w:t>
      </w:r>
      <w:hyperlink w:anchor="SENTENCIA_2024_150" w:history="1">
        <w:r w:rsidRPr="00CD105B">
          <w:rPr>
            <w:rStyle w:val="TextoNormalCaracter"/>
          </w:rPr>
          <w:t>150/2024</w:t>
        </w:r>
      </w:hyperlink>
      <w:r w:rsidRPr="00CD105B">
        <w:rPr>
          <w:rStyle w:val="TextoNormalCaracter"/>
        </w:rPr>
        <w:t xml:space="preserve">, f. 3; </w:t>
      </w:r>
      <w:hyperlink w:anchor="SENTENCIA_2024_151" w:history="1">
        <w:r w:rsidRPr="00CD105B">
          <w:rPr>
            <w:rStyle w:val="TextoNormalCaracter"/>
          </w:rPr>
          <w:t>151/2024</w:t>
        </w:r>
      </w:hyperlink>
      <w:r w:rsidRPr="00CD105B">
        <w:rPr>
          <w:rStyle w:val="TextoNormalCaracter"/>
        </w:rPr>
        <w:t xml:space="preserve">, f. 3; </w:t>
      </w:r>
      <w:hyperlink w:anchor="SENTENCIA_2024_155" w:history="1">
        <w:r w:rsidRPr="00CD105B">
          <w:rPr>
            <w:rStyle w:val="TextoNormalCaracter"/>
          </w:rPr>
          <w:t>155/2024</w:t>
        </w:r>
      </w:hyperlink>
      <w:r w:rsidRPr="00CD105B">
        <w:rPr>
          <w:rStyle w:val="TextoNormalCaracter"/>
        </w:rPr>
        <w:t>, f. 3.</w:t>
      </w:r>
    </w:p>
    <w:p w14:paraId="52A29895" w14:textId="25F7D533" w:rsidR="00CD105B" w:rsidRPr="00CD105B" w:rsidRDefault="00CD105B" w:rsidP="00CD105B">
      <w:pPr>
        <w:pStyle w:val="TextoNormalSangraFrancesa"/>
        <w:rPr>
          <w:rStyle w:val="TextoNormalCaracter"/>
        </w:rPr>
      </w:pPr>
      <w:bookmarkStart w:id="847" w:name="DESCRIPTORALFABETICO303"/>
      <w:r w:rsidRPr="00CD105B">
        <w:rPr>
          <w:rStyle w:val="TextoNormalNegritaCaracter"/>
        </w:rPr>
        <w:t>Prestaciones de la Seguridad Social</w:t>
      </w:r>
      <w:bookmarkEnd w:id="847"/>
      <w:r w:rsidRPr="00CD105B">
        <w:rPr>
          <w:rStyle w:val="TextoNormalCaracter"/>
        </w:rPr>
        <w:t xml:space="preserve">, Auto </w:t>
      </w:r>
      <w:hyperlink w:anchor="AUTO_2024_89" w:history="1">
        <w:r w:rsidRPr="00CD105B">
          <w:rPr>
            <w:rStyle w:val="TextoNormalCaracter"/>
          </w:rPr>
          <w:t>89/2024</w:t>
        </w:r>
      </w:hyperlink>
      <w:r w:rsidRPr="00CD105B">
        <w:rPr>
          <w:rStyle w:val="TextoNormalCaracter"/>
        </w:rPr>
        <w:t>, f. 1.</w:t>
      </w:r>
    </w:p>
    <w:p w14:paraId="30ABD356" w14:textId="767FD3F8" w:rsidR="00CD105B" w:rsidRPr="00CD105B" w:rsidRDefault="00CD105B" w:rsidP="00CD105B">
      <w:pPr>
        <w:pStyle w:val="TextoNormalSangraFrancesa"/>
        <w:rPr>
          <w:rStyle w:val="TextoNormalCaracter"/>
        </w:rPr>
      </w:pPr>
      <w:bookmarkStart w:id="848" w:name="DESCRIPTORALFABETICO276"/>
      <w:r w:rsidRPr="00CD105B">
        <w:rPr>
          <w:rStyle w:val="TextoNormalNegritaCaracter"/>
        </w:rPr>
        <w:t>Presunción de constitucionalidad de la ley</w:t>
      </w:r>
      <w:bookmarkEnd w:id="848"/>
      <w:r w:rsidRPr="00CD105B">
        <w:rPr>
          <w:rStyle w:val="TextoNormalCaracter"/>
        </w:rPr>
        <w:t xml:space="preserve">, Auto </w:t>
      </w:r>
      <w:hyperlink w:anchor="AUTO_2024_126" w:history="1">
        <w:r w:rsidRPr="00CD105B">
          <w:rPr>
            <w:rStyle w:val="TextoNormalCaracter"/>
          </w:rPr>
          <w:t>126/2024</w:t>
        </w:r>
      </w:hyperlink>
      <w:r w:rsidRPr="00CD105B">
        <w:rPr>
          <w:rStyle w:val="TextoNormalCaracter"/>
        </w:rPr>
        <w:t>, ff. 2, 4 y 5.</w:t>
      </w:r>
    </w:p>
    <w:p w14:paraId="2C0EE231" w14:textId="3ECD037D" w:rsidR="00CD105B" w:rsidRPr="00CD105B" w:rsidRDefault="00CD105B" w:rsidP="00CD105B">
      <w:pPr>
        <w:pStyle w:val="TextoNormalSangraFrancesa"/>
        <w:rPr>
          <w:rStyle w:val="TextoNormalCaracter"/>
        </w:rPr>
      </w:pPr>
      <w:bookmarkStart w:id="849" w:name="DESCRIPTORALFABETICO268"/>
      <w:r w:rsidRPr="00CD105B">
        <w:rPr>
          <w:rStyle w:val="TextoNormalNegritaCaracter"/>
        </w:rPr>
        <w:t>Presupuesto habilitante</w:t>
      </w:r>
      <w:bookmarkEnd w:id="849"/>
      <w:r w:rsidRPr="00CD105B">
        <w:rPr>
          <w:rStyle w:val="TextoNormalCaracter"/>
        </w:rPr>
        <w:t xml:space="preserve">, Sentencias </w:t>
      </w:r>
      <w:hyperlink w:anchor="SENTENCIA_2024_111" w:history="1">
        <w:r w:rsidRPr="00CD105B">
          <w:rPr>
            <w:rStyle w:val="TextoNormalCaracter"/>
          </w:rPr>
          <w:t>111/2024</w:t>
        </w:r>
      </w:hyperlink>
      <w:r w:rsidRPr="00CD105B">
        <w:rPr>
          <w:rStyle w:val="TextoNormalCaracter"/>
        </w:rPr>
        <w:t xml:space="preserve">, f. 4; </w:t>
      </w:r>
      <w:hyperlink w:anchor="SENTENCIA_2024_113" w:history="1">
        <w:r w:rsidRPr="00CD105B">
          <w:rPr>
            <w:rStyle w:val="TextoNormalCaracter"/>
          </w:rPr>
          <w:t>113/2024</w:t>
        </w:r>
      </w:hyperlink>
      <w:r w:rsidRPr="00CD105B">
        <w:rPr>
          <w:rStyle w:val="TextoNormalCaracter"/>
        </w:rPr>
        <w:t xml:space="preserve">, ff. 2 a 4; </w:t>
      </w:r>
      <w:hyperlink w:anchor="SENTENCIA_2024_121" w:history="1">
        <w:r w:rsidRPr="00CD105B">
          <w:rPr>
            <w:rStyle w:val="TextoNormalCaracter"/>
          </w:rPr>
          <w:t>121/2024</w:t>
        </w:r>
      </w:hyperlink>
      <w:r w:rsidRPr="00CD105B">
        <w:rPr>
          <w:rStyle w:val="TextoNormalCaracter"/>
        </w:rPr>
        <w:t>, f. 4.</w:t>
      </w:r>
    </w:p>
    <w:p w14:paraId="6371952F" w14:textId="0C864718" w:rsidR="00CD105B" w:rsidRPr="00CD105B" w:rsidRDefault="00CD105B" w:rsidP="00CD105B">
      <w:pPr>
        <w:pStyle w:val="TextoNormalSangraFrancesa"/>
        <w:rPr>
          <w:rStyle w:val="TextoNormalCaracter"/>
        </w:rPr>
      </w:pPr>
      <w:bookmarkStart w:id="850" w:name="DESCRIPTORALFABETICO12"/>
      <w:r w:rsidRPr="00CD105B">
        <w:rPr>
          <w:rStyle w:val="TextoNormalNegritaCaracter"/>
        </w:rPr>
        <w:t>Presupuestos de las Comunidades Autónomas</w:t>
      </w:r>
      <w:bookmarkEnd w:id="850"/>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ff. 2, 4, 5 VP II, VP IV; </w:t>
      </w:r>
      <w:hyperlink w:anchor="SENTENCIA_2024_96" w:history="1">
        <w:r w:rsidRPr="00CD105B">
          <w:rPr>
            <w:rStyle w:val="TextoNormalCaracter"/>
          </w:rPr>
          <w:t>96/2024</w:t>
        </w:r>
      </w:hyperlink>
      <w:r w:rsidRPr="00CD105B">
        <w:rPr>
          <w:rStyle w:val="TextoNormalCaracter"/>
        </w:rPr>
        <w:t xml:space="preserve">, ff. 3 a 7, VP I, VP II, VP IV; </w:t>
      </w:r>
      <w:hyperlink w:anchor="SENTENCIA_2024_97" w:history="1">
        <w:r w:rsidRPr="00CD105B">
          <w:rPr>
            <w:rStyle w:val="TextoNormalCaracter"/>
          </w:rPr>
          <w:t>97/2024</w:t>
        </w:r>
      </w:hyperlink>
      <w:r w:rsidRPr="00CD105B">
        <w:rPr>
          <w:rStyle w:val="TextoNormalCaracter"/>
        </w:rPr>
        <w:t xml:space="preserve">, ff. 3 a 7, VP I, VP II, VP IV; </w:t>
      </w:r>
      <w:hyperlink w:anchor="SENTENCIA_2024_98" w:history="1">
        <w:r w:rsidRPr="00CD105B">
          <w:rPr>
            <w:rStyle w:val="TextoNormalCaracter"/>
          </w:rPr>
          <w:t>98/2024</w:t>
        </w:r>
      </w:hyperlink>
      <w:r w:rsidRPr="00CD105B">
        <w:rPr>
          <w:rStyle w:val="TextoNormalCaracter"/>
        </w:rPr>
        <w:t xml:space="preserve">, ff. 2, 4, 5 VP  I, VP II, VP III; </w:t>
      </w:r>
      <w:hyperlink w:anchor="SENTENCIA_2024_100" w:history="1">
        <w:r w:rsidRPr="00CD105B">
          <w:rPr>
            <w:rStyle w:val="TextoNormalCaracter"/>
          </w:rPr>
          <w:t>100/2024</w:t>
        </w:r>
      </w:hyperlink>
      <w:r w:rsidRPr="00CD105B">
        <w:rPr>
          <w:rStyle w:val="TextoNormalCaracter"/>
        </w:rPr>
        <w:t xml:space="preserve">, ff. 4 y 5, VP I, VP II, VP III; </w:t>
      </w:r>
      <w:hyperlink w:anchor="SENTENCIA_2024_101" w:history="1">
        <w:r w:rsidRPr="00CD105B">
          <w:rPr>
            <w:rStyle w:val="TextoNormalCaracter"/>
          </w:rPr>
          <w:t>101/2024</w:t>
        </w:r>
      </w:hyperlink>
      <w:r w:rsidRPr="00CD105B">
        <w:rPr>
          <w:rStyle w:val="TextoNormalCaracter"/>
        </w:rPr>
        <w:t>, ff. 3 y 4.</w:t>
      </w:r>
    </w:p>
    <w:p w14:paraId="6F680AAC" w14:textId="4B17DAA8" w:rsidR="00CD105B" w:rsidRPr="00CD105B" w:rsidRDefault="00CD105B" w:rsidP="00CD105B">
      <w:pPr>
        <w:pStyle w:val="TextoNormalSangraFrancesa"/>
        <w:rPr>
          <w:rStyle w:val="TextoNormalCaracter"/>
        </w:rPr>
      </w:pPr>
      <w:bookmarkStart w:id="851" w:name="DESCRIPTORALFABETICO255"/>
      <w:r w:rsidRPr="00CD105B">
        <w:rPr>
          <w:rStyle w:val="TextoNormalNegritaCaracter"/>
        </w:rPr>
        <w:t>Prevaricación</w:t>
      </w:r>
      <w:bookmarkEnd w:id="851"/>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 4 VP I, VP IV; </w:t>
      </w:r>
      <w:hyperlink w:anchor="SENTENCIA_2024_95" w:history="1">
        <w:r w:rsidRPr="00CD105B">
          <w:rPr>
            <w:rStyle w:val="TextoNormalCaracter"/>
          </w:rPr>
          <w:t>95/2024</w:t>
        </w:r>
      </w:hyperlink>
      <w:r w:rsidRPr="00CD105B">
        <w:rPr>
          <w:rStyle w:val="TextoNormalCaracter"/>
        </w:rPr>
        <w:t xml:space="preserve">, ff. 3, 5 y 6; </w:t>
      </w:r>
      <w:hyperlink w:anchor="SENTENCIA_2024_96" w:history="1">
        <w:r w:rsidRPr="00CD105B">
          <w:rPr>
            <w:rStyle w:val="TextoNormalCaracter"/>
          </w:rPr>
          <w:t>96/2024</w:t>
        </w:r>
      </w:hyperlink>
      <w:r w:rsidRPr="00CD105B">
        <w:rPr>
          <w:rStyle w:val="TextoNormalCaracter"/>
        </w:rPr>
        <w:t xml:space="preserve">, f. 5, VP I, VP II, VP IV; </w:t>
      </w:r>
      <w:hyperlink w:anchor="SENTENCIA_2024_97" w:history="1">
        <w:r w:rsidRPr="00CD105B">
          <w:rPr>
            <w:rStyle w:val="TextoNormalCaracter"/>
          </w:rPr>
          <w:t>97/2024</w:t>
        </w:r>
      </w:hyperlink>
      <w:r w:rsidRPr="00CD105B">
        <w:rPr>
          <w:rStyle w:val="TextoNormalCaracter"/>
        </w:rPr>
        <w:t xml:space="preserve">, f. 4, VP I, VP II, VP IV; </w:t>
      </w:r>
      <w:hyperlink w:anchor="SENTENCIA_2024_98" w:history="1">
        <w:r w:rsidRPr="00CD105B">
          <w:rPr>
            <w:rStyle w:val="TextoNormalCaracter"/>
          </w:rPr>
          <w:t>98/2024</w:t>
        </w:r>
      </w:hyperlink>
      <w:r w:rsidRPr="00CD105B">
        <w:rPr>
          <w:rStyle w:val="TextoNormalCaracter"/>
        </w:rPr>
        <w:t xml:space="preserve">, ff. 4 VP I, VP II, VP III; </w:t>
      </w:r>
      <w:hyperlink w:anchor="SENTENCIA_2024_99" w:history="1">
        <w:r w:rsidRPr="00CD105B">
          <w:rPr>
            <w:rStyle w:val="TextoNormalCaracter"/>
          </w:rPr>
          <w:t>99/2024</w:t>
        </w:r>
      </w:hyperlink>
      <w:r w:rsidRPr="00CD105B">
        <w:rPr>
          <w:rStyle w:val="TextoNormalCaracter"/>
        </w:rPr>
        <w:t xml:space="preserve">, ff. 1 a 3; </w:t>
      </w:r>
      <w:hyperlink w:anchor="SENTENCIA_2024_100" w:history="1">
        <w:r w:rsidRPr="00CD105B">
          <w:rPr>
            <w:rStyle w:val="TextoNormalCaracter"/>
          </w:rPr>
          <w:t>100/2024</w:t>
        </w:r>
      </w:hyperlink>
      <w:r w:rsidRPr="00CD105B">
        <w:rPr>
          <w:rStyle w:val="TextoNormalCaracter"/>
        </w:rPr>
        <w:t xml:space="preserve">, f. 4, VP I, VP III; </w:t>
      </w:r>
      <w:hyperlink w:anchor="SENTENCIA_2024_101" w:history="1">
        <w:r w:rsidRPr="00CD105B">
          <w:rPr>
            <w:rStyle w:val="TextoNormalCaracter"/>
          </w:rPr>
          <w:t>101/2024</w:t>
        </w:r>
      </w:hyperlink>
      <w:r w:rsidRPr="00CD105B">
        <w:rPr>
          <w:rStyle w:val="TextoNormalCaracter"/>
        </w:rPr>
        <w:t xml:space="preserve">, f. 5; </w:t>
      </w:r>
      <w:hyperlink w:anchor="SENTENCIA_2024_102" w:history="1">
        <w:r w:rsidRPr="00CD105B">
          <w:rPr>
            <w:rStyle w:val="TextoNormalCaracter"/>
          </w:rPr>
          <w:t>102/2024</w:t>
        </w:r>
      </w:hyperlink>
      <w:r w:rsidRPr="00CD105B">
        <w:rPr>
          <w:rStyle w:val="TextoNormalCaracter"/>
        </w:rPr>
        <w:t xml:space="preserve">, ff. 3 a 5; </w:t>
      </w:r>
      <w:hyperlink w:anchor="SENTENCIA_2024_103" w:history="1">
        <w:r w:rsidRPr="00CD105B">
          <w:rPr>
            <w:rStyle w:val="TextoNormalCaracter"/>
          </w:rPr>
          <w:t>103/2024</w:t>
        </w:r>
      </w:hyperlink>
      <w:r w:rsidRPr="00CD105B">
        <w:rPr>
          <w:rStyle w:val="TextoNormalCaracter"/>
        </w:rPr>
        <w:t>, ff. 1, 4, 5 y 6.</w:t>
      </w:r>
    </w:p>
    <w:p w14:paraId="2C1C3D2E" w14:textId="6A15A053" w:rsidR="00CD105B" w:rsidRPr="00CD105B" w:rsidRDefault="00CD105B" w:rsidP="00CD105B">
      <w:pPr>
        <w:pStyle w:val="TextoNormalSangraFrancesa"/>
        <w:rPr>
          <w:rStyle w:val="TextoNormalCaracter"/>
        </w:rPr>
      </w:pPr>
      <w:bookmarkStart w:id="852" w:name="DESCRIPTORALFABETICO295"/>
      <w:r w:rsidRPr="00CD105B">
        <w:rPr>
          <w:rStyle w:val="TextoNormalNegritaCaracter"/>
        </w:rPr>
        <w:t>Primer grado de tratamiento penitenciario</w:t>
      </w:r>
      <w:bookmarkEnd w:id="852"/>
      <w:r w:rsidRPr="00CD105B">
        <w:rPr>
          <w:rStyle w:val="TextoNormalCaracter"/>
        </w:rPr>
        <w:t xml:space="preserve">, Sentencia </w:t>
      </w:r>
      <w:hyperlink w:anchor="SENTENCIA_2024_107" w:history="1">
        <w:r w:rsidRPr="00CD105B">
          <w:rPr>
            <w:rStyle w:val="TextoNormalCaracter"/>
          </w:rPr>
          <w:t>107/2024</w:t>
        </w:r>
      </w:hyperlink>
      <w:r w:rsidRPr="00CD105B">
        <w:rPr>
          <w:rStyle w:val="TextoNormalCaracter"/>
        </w:rPr>
        <w:t>, f. 4.</w:t>
      </w:r>
    </w:p>
    <w:p w14:paraId="476067EE" w14:textId="1E791064" w:rsidR="00CD105B" w:rsidRPr="00CD105B" w:rsidRDefault="00CD105B" w:rsidP="00CD105B">
      <w:pPr>
        <w:pStyle w:val="TextoNormalSangraFrancesa"/>
        <w:rPr>
          <w:rStyle w:val="TextoNormalCaracter"/>
        </w:rPr>
      </w:pPr>
      <w:bookmarkStart w:id="853" w:name="DESCRIPTORALFABETICO293"/>
      <w:r w:rsidRPr="00CD105B">
        <w:rPr>
          <w:rStyle w:val="TextoNormalNegritaCaracter"/>
        </w:rPr>
        <w:t>Principio de autonomía de la voluntad</w:t>
      </w:r>
      <w:bookmarkEnd w:id="853"/>
      <w:r w:rsidRPr="00CD105B">
        <w:rPr>
          <w:rStyle w:val="TextoNormalCaracter"/>
        </w:rPr>
        <w:t xml:space="preserve">, Sentencia </w:t>
      </w:r>
      <w:hyperlink w:anchor="SENTENCIA_2024_120" w:history="1">
        <w:r w:rsidRPr="00CD105B">
          <w:rPr>
            <w:rStyle w:val="TextoNormalCaracter"/>
          </w:rPr>
          <w:t>120/2024</w:t>
        </w:r>
      </w:hyperlink>
      <w:r w:rsidRPr="00CD105B">
        <w:rPr>
          <w:rStyle w:val="TextoNormalCaracter"/>
        </w:rPr>
        <w:t>, f. 6.</w:t>
      </w:r>
    </w:p>
    <w:p w14:paraId="253A2568" w14:textId="02DE4249" w:rsidR="00CD105B" w:rsidRPr="00CD105B" w:rsidRDefault="00CD105B" w:rsidP="00CD105B">
      <w:pPr>
        <w:pStyle w:val="TextoNormalSangraFrancesa"/>
        <w:rPr>
          <w:rStyle w:val="TextoNormalCaracter"/>
        </w:rPr>
      </w:pPr>
      <w:bookmarkStart w:id="854" w:name="DESCRIPTORALFABETICO356"/>
      <w:r w:rsidRPr="00CD105B">
        <w:rPr>
          <w:rStyle w:val="TextoNormalNegritaCaracter"/>
        </w:rPr>
        <w:t>Principio de contradicción</w:t>
      </w:r>
      <w:bookmarkEnd w:id="854"/>
      <w:r w:rsidRPr="00CD105B">
        <w:rPr>
          <w:rStyle w:val="TextoNormalCaracter"/>
        </w:rPr>
        <w:t xml:space="preserve">, Sentencia </w:t>
      </w:r>
      <w:hyperlink w:anchor="SENTENCIA_2024_124" w:history="1">
        <w:r w:rsidRPr="00CD105B">
          <w:rPr>
            <w:rStyle w:val="TextoNormalCaracter"/>
          </w:rPr>
          <w:t>124/2024</w:t>
        </w:r>
      </w:hyperlink>
      <w:r w:rsidRPr="00CD105B">
        <w:rPr>
          <w:rStyle w:val="TextoNormalCaracter"/>
        </w:rPr>
        <w:t>, ff. 2 y 3.</w:t>
      </w:r>
    </w:p>
    <w:p w14:paraId="3A0D2B24" w14:textId="77777777" w:rsidR="00CD105B" w:rsidRPr="00CD105B" w:rsidRDefault="00CD105B" w:rsidP="00CD105B">
      <w:pPr>
        <w:pStyle w:val="TextoNormalSangraFrancesa"/>
        <w:rPr>
          <w:rStyle w:val="TextoNormalCaracter"/>
        </w:rPr>
      </w:pPr>
      <w:bookmarkStart w:id="855" w:name="DESCRIPTORALFABETICO204"/>
      <w:r w:rsidRPr="00CD105B">
        <w:rPr>
          <w:rStyle w:val="TextoNormalNegritaCaracter"/>
        </w:rPr>
        <w:t>Principio de culpabilidad</w:t>
      </w:r>
      <w:bookmarkEnd w:id="855"/>
      <w:r w:rsidRPr="00CD105B">
        <w:rPr>
          <w:rStyle w:val="TextoNormalCaracter"/>
        </w:rPr>
        <w:t xml:space="preserve">, </w:t>
      </w:r>
    </w:p>
    <w:p w14:paraId="68D19C39" w14:textId="1ADD6E62"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 </w:t>
      </w:r>
      <w:hyperlink w:anchor="SENTENCIA_2024_120" w:history="1">
        <w:r w:rsidRPr="00CD105B">
          <w:rPr>
            <w:rStyle w:val="TextoNormalCaracter"/>
          </w:rPr>
          <w:t>120/2024</w:t>
        </w:r>
      </w:hyperlink>
      <w:r w:rsidRPr="00CD105B">
        <w:rPr>
          <w:rStyle w:val="TextoNormalCaracter"/>
        </w:rPr>
        <w:t>, f. 7.</w:t>
      </w:r>
    </w:p>
    <w:p w14:paraId="14D12046" w14:textId="7CC4DEB4" w:rsidR="00CD105B" w:rsidRPr="00CD105B" w:rsidRDefault="00CD105B" w:rsidP="00CD105B">
      <w:pPr>
        <w:pStyle w:val="TextoNormalSangraFrancesa"/>
        <w:rPr>
          <w:rStyle w:val="TextoNormalCaracter"/>
        </w:rPr>
      </w:pPr>
      <w:bookmarkStart w:id="856" w:name="DESCRIPTORALFABETICO166"/>
      <w:r w:rsidRPr="00CD105B">
        <w:rPr>
          <w:rStyle w:val="TextoNormalNegritaCaracter"/>
        </w:rPr>
        <w:t>Principio de exclusividad jurisdiccional</w:t>
      </w:r>
      <w:bookmarkEnd w:id="856"/>
      <w:r w:rsidRPr="00CD105B">
        <w:rPr>
          <w:rStyle w:val="TextoNormalCaracter"/>
        </w:rPr>
        <w:t xml:space="preserve">, Sentencia </w:t>
      </w:r>
      <w:hyperlink w:anchor="SENTENCIA_2024_121" w:history="1">
        <w:r w:rsidRPr="00CD105B">
          <w:rPr>
            <w:rStyle w:val="TextoNormalCaracter"/>
          </w:rPr>
          <w:t>121/2024</w:t>
        </w:r>
      </w:hyperlink>
      <w:r w:rsidRPr="00CD105B">
        <w:rPr>
          <w:rStyle w:val="TextoNormalCaracter"/>
        </w:rPr>
        <w:t>, VP I, VP II.</w:t>
      </w:r>
    </w:p>
    <w:p w14:paraId="2C375318" w14:textId="48F2B8F0" w:rsidR="00CD105B" w:rsidRPr="00CD105B" w:rsidRDefault="00CD105B" w:rsidP="00CD105B">
      <w:pPr>
        <w:pStyle w:val="TextoNormalSangraFrancesa"/>
        <w:rPr>
          <w:rStyle w:val="TextoNormalCaracter"/>
        </w:rPr>
      </w:pPr>
      <w:bookmarkStart w:id="857" w:name="DESCRIPTORALFABETICO199"/>
      <w:r w:rsidRPr="00CD105B">
        <w:rPr>
          <w:rStyle w:val="TextoNormalNegritaCaracter"/>
        </w:rPr>
        <w:t>Principio de igualdad</w:t>
      </w:r>
      <w:bookmarkEnd w:id="857"/>
      <w:r w:rsidRPr="00CD105B">
        <w:rPr>
          <w:rStyle w:val="TextoNormalCaracter"/>
        </w:rPr>
        <w:t xml:space="preserve">, Sentencia </w:t>
      </w:r>
      <w:hyperlink w:anchor="SENTENCIA_2024_131" w:history="1">
        <w:r w:rsidRPr="00CD105B">
          <w:rPr>
            <w:rStyle w:val="TextoNormalCaracter"/>
          </w:rPr>
          <w:t>131/2024</w:t>
        </w:r>
      </w:hyperlink>
      <w:r w:rsidRPr="00CD105B">
        <w:rPr>
          <w:rStyle w:val="TextoNormalCaracter"/>
        </w:rPr>
        <w:t>, ff. 2 y 3.</w:t>
      </w:r>
    </w:p>
    <w:p w14:paraId="753FDBDF" w14:textId="0B20DF34"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 </w:t>
      </w:r>
      <w:hyperlink w:anchor="SENTENCIA_2024_152" w:history="1">
        <w:r w:rsidRPr="00CD105B">
          <w:rPr>
            <w:rStyle w:val="TextoNormalCaracter"/>
          </w:rPr>
          <w:t>152/2024</w:t>
        </w:r>
      </w:hyperlink>
      <w:r w:rsidRPr="00CD105B">
        <w:rPr>
          <w:rStyle w:val="TextoNormalCaracter"/>
        </w:rPr>
        <w:t>, f. 2.</w:t>
      </w:r>
    </w:p>
    <w:p w14:paraId="370C9BC4" w14:textId="72B5685D" w:rsidR="00CD105B" w:rsidRPr="00CD105B" w:rsidRDefault="00CD105B" w:rsidP="00CD105B">
      <w:pPr>
        <w:pStyle w:val="TextoNormalSangraFrancesa"/>
        <w:rPr>
          <w:rStyle w:val="TextoNormalCaracter"/>
        </w:rPr>
      </w:pPr>
      <w:bookmarkStart w:id="858" w:name="DESCRIPTORALFABETICO200"/>
      <w:r w:rsidRPr="00CD105B">
        <w:rPr>
          <w:rStyle w:val="TextoNormalNegritaCaracter"/>
        </w:rPr>
        <w:t>Principio de imparcialidad</w:t>
      </w:r>
      <w:bookmarkEnd w:id="858"/>
      <w:r w:rsidRPr="00CD105B">
        <w:rPr>
          <w:rStyle w:val="TextoNormalCaracter"/>
        </w:rPr>
        <w:t xml:space="preserve">, Sentencia </w:t>
      </w:r>
      <w:hyperlink w:anchor="SENTENCIA_2024_152" w:history="1">
        <w:r w:rsidRPr="00CD105B">
          <w:rPr>
            <w:rStyle w:val="TextoNormalCaracter"/>
          </w:rPr>
          <w:t>152/2024</w:t>
        </w:r>
      </w:hyperlink>
      <w:r w:rsidRPr="00CD105B">
        <w:rPr>
          <w:rStyle w:val="TextoNormalCaracter"/>
        </w:rPr>
        <w:t>, f. 5.</w:t>
      </w:r>
    </w:p>
    <w:p w14:paraId="1A6FCAD9" w14:textId="4EE1C6F1" w:rsidR="00CD105B" w:rsidRPr="00CD105B" w:rsidRDefault="00CD105B" w:rsidP="00CD105B">
      <w:pPr>
        <w:pStyle w:val="TextoNormalSangraFrancesa"/>
        <w:rPr>
          <w:rStyle w:val="TextoNormalCaracter"/>
        </w:rPr>
      </w:pPr>
      <w:bookmarkStart w:id="859" w:name="DESCRIPTORALFABETICO201"/>
      <w:r w:rsidRPr="00CD105B">
        <w:rPr>
          <w:rStyle w:val="TextoNormalNegritaCaracter"/>
        </w:rPr>
        <w:t>Principio de interdicción de la arbitrariedad</w:t>
      </w:r>
      <w:bookmarkEnd w:id="859"/>
      <w:r w:rsidRPr="00CD105B">
        <w:rPr>
          <w:rStyle w:val="TextoNormalCaracter"/>
        </w:rPr>
        <w:t xml:space="preserve">, Sentencias </w:t>
      </w:r>
      <w:hyperlink w:anchor="SENTENCIA_2024_121" w:history="1">
        <w:r w:rsidRPr="00CD105B">
          <w:rPr>
            <w:rStyle w:val="TextoNormalCaracter"/>
          </w:rPr>
          <w:t>121/2024</w:t>
        </w:r>
      </w:hyperlink>
      <w:r w:rsidRPr="00CD105B">
        <w:rPr>
          <w:rStyle w:val="TextoNormalCaracter"/>
        </w:rPr>
        <w:t xml:space="preserve">, VP II; </w:t>
      </w:r>
      <w:hyperlink w:anchor="SENTENCIA_2024_142" w:history="1">
        <w:r w:rsidRPr="00CD105B">
          <w:rPr>
            <w:rStyle w:val="TextoNormalCaracter"/>
          </w:rPr>
          <w:t>142/2024</w:t>
        </w:r>
      </w:hyperlink>
      <w:r w:rsidRPr="00CD105B">
        <w:rPr>
          <w:rStyle w:val="TextoNormalCaracter"/>
        </w:rPr>
        <w:t>, f. 4, VP.</w:t>
      </w:r>
    </w:p>
    <w:p w14:paraId="70E465C3" w14:textId="0CE047E0"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 </w:t>
      </w:r>
      <w:hyperlink w:anchor="SENTENCIA_2024_120" w:history="1">
        <w:r w:rsidRPr="00CD105B">
          <w:rPr>
            <w:rStyle w:val="TextoNormalCaracter"/>
          </w:rPr>
          <w:t>120/2024</w:t>
        </w:r>
      </w:hyperlink>
      <w:r w:rsidRPr="00CD105B">
        <w:rPr>
          <w:rStyle w:val="TextoNormalCaracter"/>
        </w:rPr>
        <w:t>, f. 8.</w:t>
      </w:r>
    </w:p>
    <w:p w14:paraId="3D9EA55E" w14:textId="65DE939E" w:rsidR="00CD105B" w:rsidRPr="00CD105B" w:rsidRDefault="00CD105B" w:rsidP="00CD105B">
      <w:pPr>
        <w:pStyle w:val="TextoNormalSangraFrancesa"/>
        <w:rPr>
          <w:rStyle w:val="TextoNormalCaracter"/>
        </w:rPr>
      </w:pPr>
      <w:bookmarkStart w:id="860" w:name="DESCRIPTORALFABETICO205"/>
      <w:r w:rsidRPr="00CD105B">
        <w:rPr>
          <w:rStyle w:val="TextoNormalNegritaCaracter"/>
        </w:rPr>
        <w:t>Principio de legalidad sancionadora</w:t>
      </w:r>
      <w:bookmarkEnd w:id="860"/>
      <w:r w:rsidRPr="00CD105B">
        <w:rPr>
          <w:rStyle w:val="TextoNormalCaracter"/>
        </w:rPr>
        <w:t xml:space="preserve">, Sentencia </w:t>
      </w:r>
      <w:hyperlink w:anchor="SENTENCIA_2024_142" w:history="1">
        <w:r w:rsidRPr="00CD105B">
          <w:rPr>
            <w:rStyle w:val="TextoNormalCaracter"/>
          </w:rPr>
          <w:t>142/2024</w:t>
        </w:r>
      </w:hyperlink>
      <w:r w:rsidRPr="00CD105B">
        <w:rPr>
          <w:rStyle w:val="TextoNormalCaracter"/>
        </w:rPr>
        <w:t>, f. 6, VP.</w:t>
      </w:r>
    </w:p>
    <w:p w14:paraId="4BCDE1B5" w14:textId="456C19A3" w:rsidR="00CD105B" w:rsidRPr="00CD105B" w:rsidRDefault="00CD105B" w:rsidP="00CD105B">
      <w:pPr>
        <w:pStyle w:val="TextoNormalSangraFrancesa"/>
        <w:rPr>
          <w:rStyle w:val="TextoNormalCaracter"/>
        </w:rPr>
      </w:pPr>
      <w:bookmarkStart w:id="861" w:name="DESCRIPTORALFABETICO197"/>
      <w:r w:rsidRPr="00CD105B">
        <w:rPr>
          <w:rStyle w:val="TextoNormalNegritaCaracter"/>
        </w:rPr>
        <w:t>Principio de neutralidad religiosa</w:t>
      </w:r>
      <w:bookmarkEnd w:id="861"/>
      <w:r w:rsidRPr="00CD105B">
        <w:rPr>
          <w:rStyle w:val="TextoNormalCaracter"/>
        </w:rPr>
        <w:t xml:space="preserve">, Sentencia </w:t>
      </w:r>
      <w:hyperlink w:anchor="SENTENCIA_2024_132" w:history="1">
        <w:r w:rsidRPr="00CD105B">
          <w:rPr>
            <w:rStyle w:val="TextoNormalCaracter"/>
          </w:rPr>
          <w:t>132/2024</w:t>
        </w:r>
      </w:hyperlink>
      <w:r w:rsidRPr="00CD105B">
        <w:rPr>
          <w:rStyle w:val="TextoNormalCaracter"/>
        </w:rPr>
        <w:t>, f. 4.</w:t>
      </w:r>
    </w:p>
    <w:p w14:paraId="31F7386F" w14:textId="3D15AEEC" w:rsidR="00CD105B" w:rsidRPr="00CD105B" w:rsidRDefault="00CD105B" w:rsidP="00CD105B">
      <w:pPr>
        <w:pStyle w:val="TextoNormalSangraFrancesa"/>
        <w:rPr>
          <w:rStyle w:val="TextoNormalCaracter"/>
        </w:rPr>
      </w:pPr>
      <w:bookmarkStart w:id="862" w:name="DESCRIPTORALFABETICO167"/>
      <w:r w:rsidRPr="00CD105B">
        <w:rPr>
          <w:rStyle w:val="TextoNormalNegritaCaracter"/>
        </w:rPr>
        <w:t>Principio de plenitud jurisdiccional</w:t>
      </w:r>
      <w:bookmarkEnd w:id="862"/>
      <w:r w:rsidRPr="00CD105B">
        <w:rPr>
          <w:rStyle w:val="TextoNormalCaracter"/>
        </w:rPr>
        <w:t xml:space="preserve">, Sentencia </w:t>
      </w:r>
      <w:hyperlink w:anchor="SENTENCIA_2024_120" w:history="1">
        <w:r w:rsidRPr="00CD105B">
          <w:rPr>
            <w:rStyle w:val="TextoNormalCaracter"/>
          </w:rPr>
          <w:t>120/2024</w:t>
        </w:r>
      </w:hyperlink>
      <w:r w:rsidRPr="00CD105B">
        <w:rPr>
          <w:rStyle w:val="TextoNormalCaracter"/>
        </w:rPr>
        <w:t>, f. 6.</w:t>
      </w:r>
    </w:p>
    <w:p w14:paraId="136CAC97" w14:textId="69C91DCA" w:rsidR="00CD105B" w:rsidRPr="00CD105B" w:rsidRDefault="00CD105B" w:rsidP="00CD105B">
      <w:pPr>
        <w:pStyle w:val="TextoNormalSangraFrancesa"/>
        <w:rPr>
          <w:rStyle w:val="TextoNormalCaracter"/>
        </w:rPr>
      </w:pPr>
      <w:bookmarkStart w:id="863" w:name="DESCRIPTORALFABETICO260"/>
      <w:r w:rsidRPr="00CD105B">
        <w:rPr>
          <w:rStyle w:val="TextoNormalNegritaCaracter"/>
        </w:rPr>
        <w:t>Principio de primacía del Derecho de la Unión Europea</w:t>
      </w:r>
      <w:bookmarkEnd w:id="863"/>
      <w:r w:rsidRPr="00CD105B">
        <w:rPr>
          <w:rStyle w:val="TextoNormalCaracter"/>
        </w:rPr>
        <w:t xml:space="preserve">, Sentencia </w:t>
      </w:r>
      <w:hyperlink w:anchor="SENTENCIA_2024_133" w:history="1">
        <w:r w:rsidRPr="00CD105B">
          <w:rPr>
            <w:rStyle w:val="TextoNormalCaracter"/>
          </w:rPr>
          <w:t>133/2024</w:t>
        </w:r>
      </w:hyperlink>
      <w:r w:rsidRPr="00CD105B">
        <w:rPr>
          <w:rStyle w:val="TextoNormalCaracter"/>
        </w:rPr>
        <w:t>, f. 5.</w:t>
      </w:r>
    </w:p>
    <w:p w14:paraId="575779E2" w14:textId="7F72A03E" w:rsidR="00CD105B" w:rsidRPr="00CD105B" w:rsidRDefault="00CD105B" w:rsidP="00CD105B">
      <w:pPr>
        <w:pStyle w:val="TextoNormalSangraFrancesa"/>
        <w:rPr>
          <w:rStyle w:val="TextoNormalCaracter"/>
        </w:rPr>
      </w:pPr>
      <w:bookmarkStart w:id="864" w:name="DESCRIPTORALFABETICO206"/>
      <w:r w:rsidRPr="00CD105B">
        <w:rPr>
          <w:rStyle w:val="TextoNormalNegritaCaracter"/>
        </w:rPr>
        <w:t>Principio de proporcionalidad</w:t>
      </w:r>
      <w:bookmarkEnd w:id="864"/>
      <w:r w:rsidRPr="00CD105B">
        <w:rPr>
          <w:rStyle w:val="TextoNormalCaracter"/>
        </w:rPr>
        <w:t xml:space="preserve">, Sentencias </w:t>
      </w:r>
      <w:hyperlink w:anchor="SENTENCIA_2024_140" w:history="1">
        <w:r w:rsidRPr="00CD105B">
          <w:rPr>
            <w:rStyle w:val="TextoNormalCaracter"/>
          </w:rPr>
          <w:t>140/2024</w:t>
        </w:r>
      </w:hyperlink>
      <w:r w:rsidRPr="00CD105B">
        <w:rPr>
          <w:rStyle w:val="TextoNormalCaracter"/>
        </w:rPr>
        <w:t xml:space="preserve">, f. 6; </w:t>
      </w:r>
      <w:hyperlink w:anchor="SENTENCIA_2024_147" w:history="1">
        <w:r w:rsidRPr="00CD105B">
          <w:rPr>
            <w:rStyle w:val="TextoNormalCaracter"/>
          </w:rPr>
          <w:t>147/2024</w:t>
        </w:r>
      </w:hyperlink>
      <w:r w:rsidRPr="00CD105B">
        <w:rPr>
          <w:rStyle w:val="TextoNormalCaracter"/>
        </w:rPr>
        <w:t xml:space="preserve">, f. 3; </w:t>
      </w:r>
      <w:hyperlink w:anchor="SENTENCIA_2024_149" w:history="1">
        <w:r w:rsidRPr="00CD105B">
          <w:rPr>
            <w:rStyle w:val="TextoNormalCaracter"/>
          </w:rPr>
          <w:t>149/2024</w:t>
        </w:r>
      </w:hyperlink>
      <w:r w:rsidRPr="00CD105B">
        <w:rPr>
          <w:rStyle w:val="TextoNormalCaracter"/>
        </w:rPr>
        <w:t xml:space="preserve">, f. 3; </w:t>
      </w:r>
      <w:hyperlink w:anchor="SENTENCIA_2024_150" w:history="1">
        <w:r w:rsidRPr="00CD105B">
          <w:rPr>
            <w:rStyle w:val="TextoNormalCaracter"/>
          </w:rPr>
          <w:t>150/2024</w:t>
        </w:r>
      </w:hyperlink>
      <w:r w:rsidRPr="00CD105B">
        <w:rPr>
          <w:rStyle w:val="TextoNormalCaracter"/>
        </w:rPr>
        <w:t xml:space="preserve">, f. 3; </w:t>
      </w:r>
      <w:hyperlink w:anchor="SENTENCIA_2024_151" w:history="1">
        <w:r w:rsidRPr="00CD105B">
          <w:rPr>
            <w:rStyle w:val="TextoNormalCaracter"/>
          </w:rPr>
          <w:t>151/2024</w:t>
        </w:r>
      </w:hyperlink>
      <w:r w:rsidRPr="00CD105B">
        <w:rPr>
          <w:rStyle w:val="TextoNormalCaracter"/>
        </w:rPr>
        <w:t xml:space="preserve">, f. 3; </w:t>
      </w:r>
      <w:hyperlink w:anchor="SENTENCIA_2024_155" w:history="1">
        <w:r w:rsidRPr="00CD105B">
          <w:rPr>
            <w:rStyle w:val="TextoNormalCaracter"/>
          </w:rPr>
          <w:t>155/2024</w:t>
        </w:r>
      </w:hyperlink>
      <w:r w:rsidRPr="00CD105B">
        <w:rPr>
          <w:rStyle w:val="TextoNormalCaracter"/>
        </w:rPr>
        <w:t>, f. 3.</w:t>
      </w:r>
    </w:p>
    <w:p w14:paraId="2F9F5083" w14:textId="66E52041" w:rsidR="00CD105B" w:rsidRPr="00CD105B" w:rsidRDefault="00CD105B" w:rsidP="00CD105B">
      <w:pPr>
        <w:pStyle w:val="TextoNormalSangraFrancesa"/>
        <w:rPr>
          <w:rStyle w:val="TextoNormalCaracter"/>
        </w:rPr>
      </w:pPr>
      <w:bookmarkStart w:id="865" w:name="DESCRIPTORALFABETICO207"/>
      <w:r w:rsidRPr="00CD105B">
        <w:rPr>
          <w:rStyle w:val="TextoNormalNegritaCaracter"/>
        </w:rPr>
        <w:t>Principio de seguridad jurídica</w:t>
      </w:r>
      <w:bookmarkEnd w:id="865"/>
      <w:r w:rsidRPr="00CD105B">
        <w:rPr>
          <w:rStyle w:val="TextoNormalCaracter"/>
        </w:rPr>
        <w:t xml:space="preserve">, Sentencia </w:t>
      </w:r>
      <w:hyperlink w:anchor="SENTENCIA_2024_142" w:history="1">
        <w:r w:rsidRPr="00CD105B">
          <w:rPr>
            <w:rStyle w:val="TextoNormalCaracter"/>
          </w:rPr>
          <w:t>142/2024</w:t>
        </w:r>
      </w:hyperlink>
      <w:r w:rsidRPr="00CD105B">
        <w:rPr>
          <w:rStyle w:val="TextoNormalCaracter"/>
        </w:rPr>
        <w:t>, f. 6, VP.</w:t>
      </w:r>
    </w:p>
    <w:p w14:paraId="5D439FCF" w14:textId="63C644A8"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 </w:t>
      </w:r>
      <w:hyperlink w:anchor="SENTENCIA_2024_120" w:history="1">
        <w:r w:rsidRPr="00CD105B">
          <w:rPr>
            <w:rStyle w:val="TextoNormalCaracter"/>
          </w:rPr>
          <w:t>120/2024</w:t>
        </w:r>
      </w:hyperlink>
      <w:r w:rsidRPr="00CD105B">
        <w:rPr>
          <w:rStyle w:val="TextoNormalCaracter"/>
        </w:rPr>
        <w:t>, ff. 6 y 9, VP IV.</w:t>
      </w:r>
    </w:p>
    <w:p w14:paraId="4CAA9EE5" w14:textId="77777777" w:rsidR="00CD105B" w:rsidRPr="00CD105B" w:rsidRDefault="00CD105B" w:rsidP="00CD105B">
      <w:pPr>
        <w:pStyle w:val="TextoNormalSangraFrancesa"/>
        <w:rPr>
          <w:rStyle w:val="TextoNormalCaracter"/>
        </w:rPr>
      </w:pPr>
      <w:bookmarkStart w:id="866" w:name="DESCRIPTORALFABETICO208"/>
      <w:r w:rsidRPr="00CD105B">
        <w:rPr>
          <w:rStyle w:val="TextoNormalNegritaCaracter"/>
        </w:rPr>
        <w:t>Principio non bis in idem</w:t>
      </w:r>
      <w:bookmarkEnd w:id="866"/>
      <w:r w:rsidRPr="00CD105B">
        <w:rPr>
          <w:rStyle w:val="TextoNormalCaracter"/>
        </w:rPr>
        <w:t xml:space="preserve">, </w:t>
      </w:r>
    </w:p>
    <w:p w14:paraId="54746C45" w14:textId="6C54D336"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 </w:t>
      </w:r>
      <w:hyperlink w:anchor="SENTENCIA_2024_152" w:history="1">
        <w:r w:rsidRPr="00CD105B">
          <w:rPr>
            <w:rStyle w:val="TextoNormalCaracter"/>
          </w:rPr>
          <w:t>152/2024</w:t>
        </w:r>
      </w:hyperlink>
      <w:r w:rsidRPr="00CD105B">
        <w:rPr>
          <w:rStyle w:val="TextoNormalCaracter"/>
        </w:rPr>
        <w:t>, f. 5.</w:t>
      </w:r>
    </w:p>
    <w:p w14:paraId="551B3A19" w14:textId="4A877A7F" w:rsidR="00CD105B" w:rsidRPr="00CD105B" w:rsidRDefault="00CD105B" w:rsidP="00CD105B">
      <w:pPr>
        <w:pStyle w:val="TextoNormalSangraFrancesa"/>
        <w:rPr>
          <w:rStyle w:val="TextoNormalCaracter"/>
        </w:rPr>
      </w:pPr>
      <w:bookmarkStart w:id="867" w:name="DESCRIPTORALFABETICO357"/>
      <w:r w:rsidRPr="00CD105B">
        <w:rPr>
          <w:rStyle w:val="TextoNormalNegritaCaracter"/>
        </w:rPr>
        <w:t xml:space="preserve">Principio </w:t>
      </w:r>
      <w:r w:rsidRPr="00CD105B">
        <w:rPr>
          <w:rStyle w:val="TextoNormalNegritaCaracter"/>
          <w:i/>
        </w:rPr>
        <w:t>pro actione</w:t>
      </w:r>
      <w:bookmarkEnd w:id="867"/>
      <w:r w:rsidRPr="00CD105B">
        <w:rPr>
          <w:rStyle w:val="TextoNormalCaracter"/>
        </w:rPr>
        <w:t xml:space="preserve">, Sentencias </w:t>
      </w:r>
      <w:hyperlink w:anchor="SENTENCIA_2024_118" w:history="1">
        <w:r w:rsidRPr="00CD105B">
          <w:rPr>
            <w:rStyle w:val="TextoNormalCaracter"/>
          </w:rPr>
          <w:t>118/2024</w:t>
        </w:r>
      </w:hyperlink>
      <w:r w:rsidRPr="00CD105B">
        <w:rPr>
          <w:rStyle w:val="TextoNormalCaracter"/>
        </w:rPr>
        <w:t xml:space="preserve">, ff. 4 y 5; </w:t>
      </w:r>
      <w:hyperlink w:anchor="SENTENCIA_2024_157" w:history="1">
        <w:r w:rsidRPr="00CD105B">
          <w:rPr>
            <w:rStyle w:val="TextoNormalCaracter"/>
          </w:rPr>
          <w:t>157/2024</w:t>
        </w:r>
      </w:hyperlink>
      <w:r w:rsidRPr="00CD105B">
        <w:rPr>
          <w:rStyle w:val="TextoNormalCaracter"/>
        </w:rPr>
        <w:t>, f. 2.</w:t>
      </w:r>
    </w:p>
    <w:p w14:paraId="2F672895" w14:textId="0425B8AA" w:rsidR="00CD105B" w:rsidRPr="00CD105B" w:rsidRDefault="00CD105B" w:rsidP="00CD105B">
      <w:pPr>
        <w:pStyle w:val="TextoNormalSangraFrancesa"/>
        <w:rPr>
          <w:rStyle w:val="TextoNormalCaracter"/>
        </w:rPr>
      </w:pPr>
      <w:bookmarkStart w:id="868" w:name="DESCRIPTORALFABETICO231"/>
      <w:r w:rsidRPr="00CD105B">
        <w:rPr>
          <w:rStyle w:val="TextoNormalNegritaCaracter"/>
        </w:rPr>
        <w:t>Procedimiento administrativo sancionador</w:t>
      </w:r>
      <w:bookmarkEnd w:id="868"/>
      <w:r w:rsidRPr="00CD105B">
        <w:rPr>
          <w:rStyle w:val="TextoNormalCaracter"/>
        </w:rPr>
        <w:t xml:space="preserve">, Sentencia </w:t>
      </w:r>
      <w:hyperlink w:anchor="SENTENCIA_2024_124" w:history="1">
        <w:r w:rsidRPr="00CD105B">
          <w:rPr>
            <w:rStyle w:val="TextoNormalCaracter"/>
          </w:rPr>
          <w:t>124/2024</w:t>
        </w:r>
      </w:hyperlink>
      <w:r w:rsidRPr="00CD105B">
        <w:rPr>
          <w:rStyle w:val="TextoNormalCaracter"/>
        </w:rPr>
        <w:t>, f. 1.</w:t>
      </w:r>
    </w:p>
    <w:p w14:paraId="40DBE42E" w14:textId="1081B1F1" w:rsidR="00CD105B" w:rsidRPr="00CD105B" w:rsidRDefault="00CD105B" w:rsidP="00CD105B">
      <w:pPr>
        <w:pStyle w:val="TextoNormalSangraFrancesa"/>
        <w:rPr>
          <w:rStyle w:val="TextoNormalCaracter"/>
        </w:rPr>
      </w:pPr>
      <w:bookmarkStart w:id="869" w:name="DESCRIPTORALFABETICO169"/>
      <w:r w:rsidRPr="00CD105B">
        <w:rPr>
          <w:rStyle w:val="TextoNormalNegritaCaracter"/>
        </w:rPr>
        <w:t>Procedimiento legislativo</w:t>
      </w:r>
      <w:bookmarkEnd w:id="869"/>
      <w:r w:rsidRPr="00CD105B">
        <w:rPr>
          <w:rStyle w:val="TextoNormalCaracter"/>
        </w:rPr>
        <w:t xml:space="preserve">, Sentencia </w:t>
      </w:r>
      <w:hyperlink w:anchor="SENTENCIA_2024_143" w:history="1">
        <w:r w:rsidRPr="00CD105B">
          <w:rPr>
            <w:rStyle w:val="TextoNormalCaracter"/>
          </w:rPr>
          <w:t>143/2024</w:t>
        </w:r>
      </w:hyperlink>
      <w:r w:rsidRPr="00CD105B">
        <w:rPr>
          <w:rStyle w:val="TextoNormalCaracter"/>
        </w:rPr>
        <w:t>, f. 2, VP.</w:t>
      </w:r>
    </w:p>
    <w:p w14:paraId="56A69C5C" w14:textId="0BC542AB" w:rsidR="00CD105B" w:rsidRPr="00CD105B" w:rsidRDefault="00CD105B" w:rsidP="00CD105B">
      <w:pPr>
        <w:pStyle w:val="TextoNormalSangraFrancesa"/>
        <w:rPr>
          <w:rStyle w:val="TextoNormalCaracter"/>
        </w:rPr>
      </w:pPr>
      <w:bookmarkStart w:id="870" w:name="DESCRIPTORALFABETICO175"/>
      <w:r w:rsidRPr="00CD105B">
        <w:rPr>
          <w:rStyle w:val="TextoNormalNegritaCaracter"/>
        </w:rPr>
        <w:t>Procedimiento legislativo de urgencia</w:t>
      </w:r>
      <w:bookmarkEnd w:id="870"/>
      <w:r w:rsidRPr="00CD105B">
        <w:rPr>
          <w:rStyle w:val="TextoNormalCaracter"/>
        </w:rPr>
        <w:t xml:space="preserve">, Sentencias </w:t>
      </w:r>
      <w:hyperlink w:anchor="SENTENCIA_2024_139" w:history="1">
        <w:r w:rsidRPr="00CD105B">
          <w:rPr>
            <w:rStyle w:val="TextoNormalCaracter"/>
          </w:rPr>
          <w:t>139/2024</w:t>
        </w:r>
      </w:hyperlink>
      <w:r w:rsidRPr="00CD105B">
        <w:rPr>
          <w:rStyle w:val="TextoNormalCaracter"/>
        </w:rPr>
        <w:t xml:space="preserve">, f. 4, VP I; </w:t>
      </w:r>
      <w:hyperlink w:anchor="SENTENCIA_2024_153" w:history="1">
        <w:r w:rsidRPr="00CD105B">
          <w:rPr>
            <w:rStyle w:val="TextoNormalCaracter"/>
          </w:rPr>
          <w:t>153/2024</w:t>
        </w:r>
      </w:hyperlink>
      <w:r w:rsidRPr="00CD105B">
        <w:rPr>
          <w:rStyle w:val="TextoNormalCaracter"/>
        </w:rPr>
        <w:t>, ff. 1 y 2, VP I, VP II.</w:t>
      </w:r>
    </w:p>
    <w:p w14:paraId="31568C32" w14:textId="5EACF569" w:rsidR="00CD105B" w:rsidRPr="00CD105B" w:rsidRDefault="00CD105B" w:rsidP="00CD105B">
      <w:pPr>
        <w:pStyle w:val="TextoNormalSangraFrancesa"/>
        <w:rPr>
          <w:rStyle w:val="TextoNormalCaracter"/>
        </w:rPr>
      </w:pPr>
      <w:bookmarkStart w:id="871" w:name="DESCRIPTORALFABETICO108"/>
      <w:r w:rsidRPr="00CD105B">
        <w:rPr>
          <w:rStyle w:val="TextoNormalNegritaCaracter"/>
        </w:rPr>
        <w:t>Proceso de impugnación de disposiciones autonómicas</w:t>
      </w:r>
      <w:bookmarkEnd w:id="871"/>
      <w:r w:rsidRPr="00CD105B">
        <w:rPr>
          <w:rStyle w:val="TextoNormalCaracter"/>
        </w:rPr>
        <w:t xml:space="preserve">, Sentencia </w:t>
      </w:r>
      <w:hyperlink w:anchor="SENTENCIA_2024_143" w:history="1">
        <w:r w:rsidRPr="00CD105B">
          <w:rPr>
            <w:rStyle w:val="TextoNormalCaracter"/>
          </w:rPr>
          <w:t>143/2024</w:t>
        </w:r>
      </w:hyperlink>
      <w:r w:rsidRPr="00CD105B">
        <w:rPr>
          <w:rStyle w:val="TextoNormalCaracter"/>
        </w:rPr>
        <w:t>, ff. 2 y 3, VP.</w:t>
      </w:r>
    </w:p>
    <w:p w14:paraId="0CE6BE8A" w14:textId="319B63D4" w:rsidR="00CD105B" w:rsidRPr="00CD105B" w:rsidRDefault="00CD105B" w:rsidP="00CD105B">
      <w:pPr>
        <w:pStyle w:val="TextoNormalSangraFrancesa"/>
        <w:rPr>
          <w:rStyle w:val="TextoNormalCaracter"/>
        </w:rPr>
      </w:pPr>
      <w:bookmarkStart w:id="872" w:name="DESCRIPTORALFABETICO376"/>
      <w:r w:rsidRPr="00CD105B">
        <w:rPr>
          <w:rStyle w:val="TextoNormalNegritaCaracter"/>
        </w:rPr>
        <w:t>Proceso penal militar</w:t>
      </w:r>
      <w:bookmarkEnd w:id="872"/>
      <w:r w:rsidRPr="00CD105B">
        <w:rPr>
          <w:rStyle w:val="TextoNormalCaracter"/>
        </w:rPr>
        <w:t xml:space="preserve">, Sentencia </w:t>
      </w:r>
      <w:hyperlink w:anchor="SENTENCIA_2024_128" w:history="1">
        <w:r w:rsidRPr="00CD105B">
          <w:rPr>
            <w:rStyle w:val="TextoNormalCaracter"/>
          </w:rPr>
          <w:t>128/2024</w:t>
        </w:r>
      </w:hyperlink>
      <w:r w:rsidRPr="00CD105B">
        <w:rPr>
          <w:rStyle w:val="TextoNormalCaracter"/>
        </w:rPr>
        <w:t>, f. 1.</w:t>
      </w:r>
    </w:p>
    <w:p w14:paraId="762D5F4E" w14:textId="3E8EA868" w:rsidR="00CD105B" w:rsidRPr="00CD105B" w:rsidRDefault="00CD105B" w:rsidP="00CD105B">
      <w:pPr>
        <w:pStyle w:val="TextoNormalSangraFrancesa"/>
        <w:rPr>
          <w:rStyle w:val="TextoNormalCaracter"/>
        </w:rPr>
      </w:pPr>
      <w:bookmarkStart w:id="873" w:name="DESCRIPTORALFABETICO240"/>
      <w:r w:rsidRPr="00CD105B">
        <w:rPr>
          <w:rStyle w:val="TextoNormalNegritaCaracter"/>
        </w:rPr>
        <w:t>Producción de energía eléctrica</w:t>
      </w:r>
      <w:bookmarkEnd w:id="873"/>
      <w:r w:rsidRPr="00CD105B">
        <w:rPr>
          <w:rStyle w:val="TextoNormalCaracter"/>
        </w:rPr>
        <w:t xml:space="preserve">, Sentencia </w:t>
      </w:r>
      <w:hyperlink w:anchor="SENTENCIA_2024_113" w:history="1">
        <w:r w:rsidRPr="00CD105B">
          <w:rPr>
            <w:rStyle w:val="TextoNormalCaracter"/>
          </w:rPr>
          <w:t>113/2024</w:t>
        </w:r>
      </w:hyperlink>
      <w:r w:rsidRPr="00CD105B">
        <w:rPr>
          <w:rStyle w:val="TextoNormalCaracter"/>
        </w:rPr>
        <w:t>, ff. 3 y 4.</w:t>
      </w:r>
    </w:p>
    <w:p w14:paraId="07372912" w14:textId="6FDCE120" w:rsidR="00CD105B" w:rsidRPr="00CD105B" w:rsidRDefault="00CD105B" w:rsidP="00CD105B">
      <w:pPr>
        <w:pStyle w:val="TextoNormalSangraFrancesa"/>
        <w:rPr>
          <w:rStyle w:val="TextoNormalCaracter"/>
        </w:rPr>
      </w:pPr>
      <w:bookmarkStart w:id="874" w:name="DESCRIPTORALFABETICO301"/>
      <w:r w:rsidRPr="00CD105B">
        <w:rPr>
          <w:rStyle w:val="TextoNormalNegritaCaracter"/>
        </w:rPr>
        <w:t>Productos farmacéuticos</w:t>
      </w:r>
      <w:bookmarkEnd w:id="874"/>
      <w:r w:rsidRPr="00CD105B">
        <w:rPr>
          <w:rStyle w:val="TextoNormalCaracter"/>
        </w:rPr>
        <w:t xml:space="preserve">, Sentencia </w:t>
      </w:r>
      <w:hyperlink w:anchor="SENTENCIA_2024_116" w:history="1">
        <w:r w:rsidRPr="00CD105B">
          <w:rPr>
            <w:rStyle w:val="TextoNormalCaracter"/>
          </w:rPr>
          <w:t>116/2024</w:t>
        </w:r>
      </w:hyperlink>
      <w:r w:rsidRPr="00CD105B">
        <w:rPr>
          <w:rStyle w:val="TextoNormalCaracter"/>
        </w:rPr>
        <w:t>, f. 1.</w:t>
      </w:r>
    </w:p>
    <w:p w14:paraId="601D1080" w14:textId="46867DC1" w:rsidR="00CD105B" w:rsidRPr="00CD105B" w:rsidRDefault="00CD105B" w:rsidP="00CD105B">
      <w:pPr>
        <w:pStyle w:val="TextoNormalSangraFrancesa"/>
        <w:rPr>
          <w:rStyle w:val="TextoNormalCaracter"/>
        </w:rPr>
      </w:pPr>
      <w:bookmarkStart w:id="875" w:name="DESCRIPTORALFABETICO177"/>
      <w:r w:rsidRPr="00CD105B">
        <w:rPr>
          <w:rStyle w:val="TextoNormalNegritaCaracter"/>
        </w:rPr>
        <w:t>Proposición de ley</w:t>
      </w:r>
      <w:bookmarkEnd w:id="875"/>
      <w:r w:rsidRPr="00CD105B">
        <w:rPr>
          <w:rStyle w:val="TextoNormalCaracter"/>
        </w:rPr>
        <w:t xml:space="preserve">, Sentencias </w:t>
      </w:r>
      <w:hyperlink w:anchor="SENTENCIA_2024_139" w:history="1">
        <w:r w:rsidRPr="00CD105B">
          <w:rPr>
            <w:rStyle w:val="TextoNormalCaracter"/>
          </w:rPr>
          <w:t>139/2024</w:t>
        </w:r>
      </w:hyperlink>
      <w:r w:rsidRPr="00CD105B">
        <w:rPr>
          <w:rStyle w:val="TextoNormalCaracter"/>
        </w:rPr>
        <w:t xml:space="preserve">, f. 4; </w:t>
      </w:r>
      <w:hyperlink w:anchor="SENTENCIA_2024_143" w:history="1">
        <w:r w:rsidRPr="00CD105B">
          <w:rPr>
            <w:rStyle w:val="TextoNormalCaracter"/>
          </w:rPr>
          <w:t>143/2024</w:t>
        </w:r>
      </w:hyperlink>
      <w:r w:rsidRPr="00CD105B">
        <w:rPr>
          <w:rStyle w:val="TextoNormalCaracter"/>
        </w:rPr>
        <w:t xml:space="preserve">, ff. 2 y 3, VP; </w:t>
      </w:r>
      <w:hyperlink w:anchor="SENTENCIA_2024_153" w:history="1">
        <w:r w:rsidRPr="00CD105B">
          <w:rPr>
            <w:rStyle w:val="TextoNormalCaracter"/>
          </w:rPr>
          <w:t>153/2024</w:t>
        </w:r>
      </w:hyperlink>
      <w:r w:rsidRPr="00CD105B">
        <w:rPr>
          <w:rStyle w:val="TextoNormalCaracter"/>
        </w:rPr>
        <w:t>, ff. 1 y 2, VP I, VP II.</w:t>
      </w:r>
    </w:p>
    <w:p w14:paraId="595A014A" w14:textId="51F25F66" w:rsidR="00CD105B" w:rsidRPr="00CD105B" w:rsidRDefault="00CD105B" w:rsidP="00CD105B">
      <w:pPr>
        <w:pStyle w:val="TextoNormalSangraFrancesa"/>
        <w:rPr>
          <w:rStyle w:val="TextoNormalCaracter"/>
        </w:rPr>
      </w:pPr>
      <w:bookmarkStart w:id="876" w:name="DESCRIPTORALFABETICO258"/>
      <w:r w:rsidRPr="00CD105B">
        <w:rPr>
          <w:rStyle w:val="TextoNormalNegritaCaracter"/>
        </w:rPr>
        <w:t>Protección del medio ambiente</w:t>
      </w:r>
      <w:bookmarkEnd w:id="876"/>
      <w:r w:rsidRPr="00CD105B">
        <w:rPr>
          <w:rStyle w:val="TextoNormalCaracter"/>
        </w:rPr>
        <w:t xml:space="preserve">, Sentencia </w:t>
      </w:r>
      <w:hyperlink w:anchor="SENTENCIA_2024_142" w:history="1">
        <w:r w:rsidRPr="00CD105B">
          <w:rPr>
            <w:rStyle w:val="TextoNormalCaracter"/>
          </w:rPr>
          <w:t>142/2024</w:t>
        </w:r>
      </w:hyperlink>
      <w:r w:rsidRPr="00CD105B">
        <w:rPr>
          <w:rStyle w:val="TextoNormalCaracter"/>
        </w:rPr>
        <w:t>, f. 1 a 5, VP.</w:t>
      </w:r>
    </w:p>
    <w:p w14:paraId="5091E2C9" w14:textId="44BC13B7" w:rsidR="00CD105B" w:rsidRPr="00CD105B" w:rsidRDefault="00CD105B" w:rsidP="00CD105B">
      <w:pPr>
        <w:pStyle w:val="TextoNormalSangraFrancesa"/>
        <w:rPr>
          <w:rStyle w:val="TextoNormalCaracter"/>
        </w:rPr>
      </w:pPr>
      <w:bookmarkStart w:id="877" w:name="DESCRIPTORALFABETICO78"/>
      <w:r w:rsidRPr="00CD105B">
        <w:rPr>
          <w:rStyle w:val="TextoNormalNegritaCaracter"/>
        </w:rPr>
        <w:t>Protección jurisdiccional de los derechos fundamentales</w:t>
      </w:r>
      <w:bookmarkEnd w:id="877"/>
      <w:r w:rsidRPr="00CD105B">
        <w:rPr>
          <w:rStyle w:val="TextoNormalCaracter"/>
        </w:rPr>
        <w:t xml:space="preserve">, Sentencia </w:t>
      </w:r>
      <w:hyperlink w:anchor="SENTENCIA_2024_132" w:history="1">
        <w:r w:rsidRPr="00CD105B">
          <w:rPr>
            <w:rStyle w:val="TextoNormalCaracter"/>
          </w:rPr>
          <w:t>132/2024</w:t>
        </w:r>
      </w:hyperlink>
      <w:r w:rsidRPr="00CD105B">
        <w:rPr>
          <w:rStyle w:val="TextoNormalCaracter"/>
        </w:rPr>
        <w:t>, f. 4.</w:t>
      </w:r>
    </w:p>
    <w:p w14:paraId="7557993A" w14:textId="21126DC6" w:rsidR="00CD105B" w:rsidRPr="00CD105B" w:rsidRDefault="00CD105B" w:rsidP="00CD105B">
      <w:pPr>
        <w:pStyle w:val="TextoNormalSangraFrancesa"/>
        <w:rPr>
          <w:rStyle w:val="TextoNormalCaracter"/>
        </w:rPr>
      </w:pPr>
      <w:bookmarkStart w:id="878" w:name="DESCRIPTORALFABETICO173"/>
      <w:r w:rsidRPr="00CD105B">
        <w:rPr>
          <w:rStyle w:val="TextoNormalNegritaCaracter"/>
        </w:rPr>
        <w:t>Proyectos de ley</w:t>
      </w:r>
      <w:bookmarkEnd w:id="878"/>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ff. 2 y 4, VP I; </w:t>
      </w:r>
      <w:hyperlink w:anchor="SENTENCIA_2024_95" w:history="1">
        <w:r w:rsidRPr="00CD105B">
          <w:rPr>
            <w:rStyle w:val="TextoNormalCaracter"/>
          </w:rPr>
          <w:t>95/2024</w:t>
        </w:r>
      </w:hyperlink>
      <w:r w:rsidRPr="00CD105B">
        <w:rPr>
          <w:rStyle w:val="TextoNormalCaracter"/>
        </w:rPr>
        <w:t xml:space="preserve">, f. 3; </w:t>
      </w:r>
      <w:hyperlink w:anchor="SENTENCIA_2024_96" w:history="1">
        <w:r w:rsidRPr="00CD105B">
          <w:rPr>
            <w:rStyle w:val="TextoNormalCaracter"/>
          </w:rPr>
          <w:t>96/2024</w:t>
        </w:r>
      </w:hyperlink>
      <w:r w:rsidRPr="00CD105B">
        <w:rPr>
          <w:rStyle w:val="TextoNormalCaracter"/>
        </w:rPr>
        <w:t xml:space="preserve">, ff. 5 y 6, VP I, VP II, VP IV; </w:t>
      </w:r>
      <w:hyperlink w:anchor="SENTENCIA_2024_97" w:history="1">
        <w:r w:rsidRPr="00CD105B">
          <w:rPr>
            <w:rStyle w:val="TextoNormalCaracter"/>
          </w:rPr>
          <w:t>97/2024</w:t>
        </w:r>
      </w:hyperlink>
      <w:r w:rsidRPr="00CD105B">
        <w:rPr>
          <w:rStyle w:val="TextoNormalCaracter"/>
        </w:rPr>
        <w:t xml:space="preserve">, ff.  4 a 6, VP I, VP II, VP IV; </w:t>
      </w:r>
      <w:hyperlink w:anchor="SENTENCIA_2024_98" w:history="1">
        <w:r w:rsidRPr="00CD105B">
          <w:rPr>
            <w:rStyle w:val="TextoNormalCaracter"/>
          </w:rPr>
          <w:t>98/2024</w:t>
        </w:r>
      </w:hyperlink>
      <w:r w:rsidRPr="00CD105B">
        <w:rPr>
          <w:rStyle w:val="TextoNormalCaracter"/>
        </w:rPr>
        <w:t xml:space="preserve">, ff. 2, 4 y 5, VP I, VP II, VP III; </w:t>
      </w:r>
      <w:hyperlink w:anchor="SENTENCIA_2024_99" w:history="1">
        <w:r w:rsidRPr="00CD105B">
          <w:rPr>
            <w:rStyle w:val="TextoNormalCaracter"/>
          </w:rPr>
          <w:t>99/2024</w:t>
        </w:r>
      </w:hyperlink>
      <w:r w:rsidRPr="00CD105B">
        <w:rPr>
          <w:rStyle w:val="TextoNormalCaracter"/>
        </w:rPr>
        <w:t xml:space="preserve">, ff. 1 a 4, VP I, VP II, VP III, VP IV; </w:t>
      </w:r>
      <w:hyperlink w:anchor="SENTENCIA_2024_100" w:history="1">
        <w:r w:rsidRPr="00CD105B">
          <w:rPr>
            <w:rStyle w:val="TextoNormalCaracter"/>
          </w:rPr>
          <w:t>100/2024</w:t>
        </w:r>
      </w:hyperlink>
      <w:r w:rsidRPr="00CD105B">
        <w:rPr>
          <w:rStyle w:val="TextoNormalCaracter"/>
        </w:rPr>
        <w:t xml:space="preserve">; </w:t>
      </w:r>
      <w:hyperlink w:anchor="SENTENCIA_2024_101" w:history="1">
        <w:r w:rsidRPr="00CD105B">
          <w:rPr>
            <w:rStyle w:val="TextoNormalCaracter"/>
          </w:rPr>
          <w:t>101/2024</w:t>
        </w:r>
      </w:hyperlink>
      <w:r w:rsidRPr="00CD105B">
        <w:rPr>
          <w:rStyle w:val="TextoNormalCaracter"/>
        </w:rPr>
        <w:t xml:space="preserve">, f. 2; </w:t>
      </w:r>
      <w:hyperlink w:anchor="SENTENCIA_2024_102" w:history="1">
        <w:r w:rsidRPr="00CD105B">
          <w:rPr>
            <w:rStyle w:val="TextoNormalCaracter"/>
          </w:rPr>
          <w:t>102/2024</w:t>
        </w:r>
      </w:hyperlink>
      <w:r w:rsidRPr="00CD105B">
        <w:rPr>
          <w:rStyle w:val="TextoNormalCaracter"/>
        </w:rPr>
        <w:t xml:space="preserve">, f. 4; </w:t>
      </w:r>
      <w:hyperlink w:anchor="SENTENCIA_2024_103" w:history="1">
        <w:r w:rsidRPr="00CD105B">
          <w:rPr>
            <w:rStyle w:val="TextoNormalCaracter"/>
          </w:rPr>
          <w:t>103/2024</w:t>
        </w:r>
      </w:hyperlink>
      <w:r w:rsidRPr="00CD105B">
        <w:rPr>
          <w:rStyle w:val="TextoNormalCaracter"/>
        </w:rPr>
        <w:t>, ff. 2, 4 y 6, VP I, VP II, VP III, VP IV.</w:t>
      </w:r>
    </w:p>
    <w:p w14:paraId="53B7D906" w14:textId="757B6DCA" w:rsidR="00CD105B" w:rsidRPr="00CD105B" w:rsidRDefault="00CD105B" w:rsidP="00CD105B">
      <w:pPr>
        <w:pStyle w:val="TextoNormalSangraFrancesa"/>
        <w:rPr>
          <w:rStyle w:val="TextoNormalCaracter"/>
        </w:rPr>
      </w:pPr>
      <w:bookmarkStart w:id="879" w:name="DESCRIPTORALFABETICO369"/>
      <w:r w:rsidRPr="00CD105B">
        <w:rPr>
          <w:rStyle w:val="TextoNormalNegritaCaracter"/>
        </w:rPr>
        <w:t>Prueba de cargo</w:t>
      </w:r>
      <w:bookmarkEnd w:id="879"/>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 6 VP I, VP IV; </w:t>
      </w:r>
      <w:hyperlink w:anchor="SENTENCIA_2024_95" w:history="1">
        <w:r w:rsidRPr="00CD105B">
          <w:rPr>
            <w:rStyle w:val="TextoNormalCaracter"/>
          </w:rPr>
          <w:t>95/2024</w:t>
        </w:r>
      </w:hyperlink>
      <w:r w:rsidRPr="00CD105B">
        <w:rPr>
          <w:rStyle w:val="TextoNormalCaracter"/>
        </w:rPr>
        <w:t xml:space="preserve">, f. 4; </w:t>
      </w:r>
      <w:hyperlink w:anchor="SENTENCIA_2024_102" w:history="1">
        <w:r w:rsidRPr="00CD105B">
          <w:rPr>
            <w:rStyle w:val="TextoNormalCaracter"/>
          </w:rPr>
          <w:t>102/2024</w:t>
        </w:r>
      </w:hyperlink>
      <w:r w:rsidRPr="00CD105B">
        <w:rPr>
          <w:rStyle w:val="TextoNormalCaracter"/>
        </w:rPr>
        <w:t>, f. 5.</w:t>
      </w:r>
    </w:p>
    <w:p w14:paraId="3C6BCBD6" w14:textId="63A9EB7A" w:rsidR="00CD105B" w:rsidRPr="00CD105B" w:rsidRDefault="00CD105B" w:rsidP="00CD105B">
      <w:pPr>
        <w:pStyle w:val="TextoNormalSangraFrancesa"/>
        <w:rPr>
          <w:rStyle w:val="TextoNormalCaracter"/>
        </w:rPr>
      </w:pPr>
      <w:bookmarkStart w:id="880" w:name="DESCRIPTORALFABETICO339"/>
      <w:r w:rsidRPr="00CD105B">
        <w:rPr>
          <w:rStyle w:val="TextoNormalNegritaCaracter"/>
        </w:rPr>
        <w:t>Prueba indiciaria suficiente</w:t>
      </w:r>
      <w:bookmarkEnd w:id="880"/>
      <w:r w:rsidRPr="00CD105B">
        <w:rPr>
          <w:rStyle w:val="TextoNormalCaracter"/>
        </w:rPr>
        <w:t xml:space="preserve">, Sentencia </w:t>
      </w:r>
      <w:hyperlink w:anchor="SENTENCIA_2024_102" w:history="1">
        <w:r w:rsidRPr="00CD105B">
          <w:rPr>
            <w:rStyle w:val="TextoNormalCaracter"/>
          </w:rPr>
          <w:t>102/2024</w:t>
        </w:r>
      </w:hyperlink>
      <w:r w:rsidRPr="00CD105B">
        <w:rPr>
          <w:rStyle w:val="TextoNormalCaracter"/>
        </w:rPr>
        <w:t>, f. 5.</w:t>
      </w:r>
    </w:p>
    <w:p w14:paraId="17BCFAAF" w14:textId="2A23D9EB" w:rsidR="00CD105B" w:rsidRDefault="00CD105B" w:rsidP="00CD105B">
      <w:pPr>
        <w:pStyle w:val="TextoNormalSangraFrancesa"/>
      </w:pPr>
    </w:p>
    <w:p w14:paraId="1CD54DE1" w14:textId="77777777" w:rsidR="00CD105B" w:rsidRDefault="00CD105B" w:rsidP="00CD105B">
      <w:pPr>
        <w:pStyle w:val="TextoNormalSangraFrancesa"/>
      </w:pPr>
    </w:p>
    <w:p w14:paraId="155A62E9" w14:textId="77777777" w:rsidR="00CD105B" w:rsidRDefault="00CD105B" w:rsidP="00CD105B">
      <w:pPr>
        <w:pStyle w:val="TextoNormalNegritaCentrado"/>
      </w:pPr>
      <w:r>
        <w:t>R</w:t>
      </w:r>
    </w:p>
    <w:p w14:paraId="0AC3B366" w14:textId="10C5F526" w:rsidR="00CD105B" w:rsidRDefault="00CD105B" w:rsidP="00CD105B">
      <w:pPr>
        <w:pStyle w:val="TextoNormalNegritaCentrado"/>
      </w:pPr>
    </w:p>
    <w:p w14:paraId="15897E25" w14:textId="4A51080F" w:rsidR="00CD105B" w:rsidRPr="00CD105B" w:rsidRDefault="00CD105B" w:rsidP="00CD105B">
      <w:pPr>
        <w:pStyle w:val="TextoNormalSangraFrancesa"/>
        <w:rPr>
          <w:rStyle w:val="TextoNormalCaracter"/>
        </w:rPr>
      </w:pPr>
      <w:bookmarkStart w:id="881" w:name="DESCRIPTORALFABETICO130"/>
      <w:r w:rsidRPr="00CD105B">
        <w:rPr>
          <w:rStyle w:val="TextoNormalNegritaCaracter"/>
        </w:rPr>
        <w:t>Recurso de amparo contra actos parlamentarios</w:t>
      </w:r>
      <w:bookmarkEnd w:id="881"/>
      <w:r w:rsidRPr="00CD105B">
        <w:rPr>
          <w:rStyle w:val="TextoNormalCaracter"/>
        </w:rPr>
        <w:t xml:space="preserve">, Sentencias </w:t>
      </w:r>
      <w:hyperlink w:anchor="SENTENCIA_2024_114" w:history="1">
        <w:r w:rsidRPr="00CD105B">
          <w:rPr>
            <w:rStyle w:val="TextoNormalCaracter"/>
          </w:rPr>
          <w:t>114/2024</w:t>
        </w:r>
      </w:hyperlink>
      <w:r w:rsidRPr="00CD105B">
        <w:rPr>
          <w:rStyle w:val="TextoNormalCaracter"/>
        </w:rPr>
        <w:t xml:space="preserve">, ff. 1 y 2; </w:t>
      </w:r>
      <w:hyperlink w:anchor="SENTENCIA_2024_129" w:history="1">
        <w:r w:rsidRPr="00CD105B">
          <w:rPr>
            <w:rStyle w:val="TextoNormalCaracter"/>
          </w:rPr>
          <w:t>129/2024</w:t>
        </w:r>
      </w:hyperlink>
      <w:r w:rsidRPr="00CD105B">
        <w:rPr>
          <w:rStyle w:val="TextoNormalCaracter"/>
        </w:rPr>
        <w:t xml:space="preserve">, f. 1; </w:t>
      </w:r>
      <w:hyperlink w:anchor="SENTENCIA_2024_137" w:history="1">
        <w:r w:rsidRPr="00CD105B">
          <w:rPr>
            <w:rStyle w:val="TextoNormalCaracter"/>
          </w:rPr>
          <w:t>137/2024</w:t>
        </w:r>
      </w:hyperlink>
      <w:r w:rsidRPr="00CD105B">
        <w:rPr>
          <w:rStyle w:val="TextoNormalCaracter"/>
        </w:rPr>
        <w:t xml:space="preserve">, f. 3; </w:t>
      </w:r>
      <w:hyperlink w:anchor="SENTENCIA_2024_138" w:history="1">
        <w:r w:rsidRPr="00CD105B">
          <w:rPr>
            <w:rStyle w:val="TextoNormalCaracter"/>
          </w:rPr>
          <w:t>138/2024</w:t>
        </w:r>
      </w:hyperlink>
      <w:r w:rsidRPr="00CD105B">
        <w:rPr>
          <w:rStyle w:val="TextoNormalCaracter"/>
        </w:rPr>
        <w:t>, ff. 3 y 4.</w:t>
      </w:r>
    </w:p>
    <w:p w14:paraId="3399BC82" w14:textId="5B5867BF" w:rsidR="00CD105B" w:rsidRPr="00CD105B" w:rsidRDefault="00CD105B" w:rsidP="00CD105B">
      <w:pPr>
        <w:pStyle w:val="TextoNormalSangraFrancesa"/>
        <w:rPr>
          <w:rStyle w:val="TextoNormalCaracter"/>
        </w:rPr>
      </w:pPr>
      <w:bookmarkStart w:id="882" w:name="DESCRIPTORALFABETICO121"/>
      <w:r w:rsidRPr="00CD105B">
        <w:rPr>
          <w:rStyle w:val="TextoNormalNegritaCaracter"/>
        </w:rPr>
        <w:t>Recurso de inconstitucionalidad</w:t>
      </w:r>
      <w:bookmarkEnd w:id="882"/>
      <w:r w:rsidRPr="00CD105B">
        <w:rPr>
          <w:rStyle w:val="TextoNormalCaracter"/>
        </w:rPr>
        <w:t xml:space="preserve">, Sentencia </w:t>
      </w:r>
      <w:hyperlink w:anchor="SENTENCIA_2024_157" w:history="1">
        <w:r w:rsidRPr="00CD105B">
          <w:rPr>
            <w:rStyle w:val="TextoNormalCaracter"/>
          </w:rPr>
          <w:t>157/2024</w:t>
        </w:r>
      </w:hyperlink>
      <w:r w:rsidRPr="00CD105B">
        <w:rPr>
          <w:rStyle w:val="TextoNormalCaracter"/>
        </w:rPr>
        <w:t>, f. 1.</w:t>
      </w:r>
    </w:p>
    <w:p w14:paraId="42A54B96" w14:textId="6F7C8A61" w:rsidR="00CD105B" w:rsidRPr="00CD105B" w:rsidRDefault="00CD105B" w:rsidP="00CD105B">
      <w:pPr>
        <w:pStyle w:val="TextoNormalSangraFrancesa"/>
        <w:rPr>
          <w:rStyle w:val="TextoNormalCaracter"/>
        </w:rPr>
      </w:pPr>
      <w:bookmarkStart w:id="883" w:name="DESCRIPTORALFABETICO134"/>
      <w:r w:rsidRPr="00CD105B">
        <w:rPr>
          <w:rStyle w:val="TextoNormalNegritaCaracter"/>
        </w:rPr>
        <w:t>Recurso extemporáneo</w:t>
      </w:r>
      <w:bookmarkEnd w:id="883"/>
      <w:r w:rsidRPr="00CD105B">
        <w:rPr>
          <w:rStyle w:val="TextoNormalCaracter"/>
        </w:rPr>
        <w:t xml:space="preserve">, Sentencia </w:t>
      </w:r>
      <w:hyperlink w:anchor="SENTENCIA_2024_138" w:history="1">
        <w:r w:rsidRPr="00CD105B">
          <w:rPr>
            <w:rStyle w:val="TextoNormalCaracter"/>
          </w:rPr>
          <w:t>138/2024</w:t>
        </w:r>
      </w:hyperlink>
      <w:r w:rsidRPr="00CD105B">
        <w:rPr>
          <w:rStyle w:val="TextoNormalCaracter"/>
        </w:rPr>
        <w:t>, f. 2.</w:t>
      </w:r>
    </w:p>
    <w:p w14:paraId="52348CBC" w14:textId="750CFD73" w:rsidR="00CD105B" w:rsidRPr="00CD105B" w:rsidRDefault="00CD105B" w:rsidP="00CD105B">
      <w:pPr>
        <w:pStyle w:val="TextoNormalSangraFrancesa"/>
        <w:rPr>
          <w:rStyle w:val="TextoNormalCaracter"/>
        </w:rPr>
      </w:pPr>
      <w:bookmarkStart w:id="884" w:name="DESCRIPTORALFABETICO93"/>
      <w:r w:rsidRPr="00CD105B">
        <w:rPr>
          <w:rStyle w:val="TextoNormalNegritaCaracter"/>
        </w:rPr>
        <w:t>Recusación de magistrados del Tribunal Constitucional</w:t>
      </w:r>
      <w:bookmarkEnd w:id="884"/>
      <w:r w:rsidRPr="00CD105B">
        <w:rPr>
          <w:rStyle w:val="TextoNormalCaracter"/>
        </w:rPr>
        <w:t xml:space="preserve">, Autos </w:t>
      </w:r>
      <w:hyperlink w:anchor="AUTO_2024_90" w:history="1">
        <w:r w:rsidRPr="00CD105B">
          <w:rPr>
            <w:rStyle w:val="TextoNormalCaracter"/>
          </w:rPr>
          <w:t>90/2024</w:t>
        </w:r>
      </w:hyperlink>
      <w:r w:rsidRPr="00CD105B">
        <w:rPr>
          <w:rStyle w:val="TextoNormalCaracter"/>
        </w:rPr>
        <w:t xml:space="preserve">, f. único; </w:t>
      </w:r>
      <w:hyperlink w:anchor="AUTO_2024_91" w:history="1">
        <w:r w:rsidRPr="00CD105B">
          <w:rPr>
            <w:rStyle w:val="TextoNormalCaracter"/>
          </w:rPr>
          <w:t>91/2024</w:t>
        </w:r>
      </w:hyperlink>
      <w:r w:rsidRPr="00CD105B">
        <w:rPr>
          <w:rStyle w:val="TextoNormalCaracter"/>
        </w:rPr>
        <w:t>, f. 2.</w:t>
      </w:r>
    </w:p>
    <w:p w14:paraId="0C65D527" w14:textId="1059F7F9" w:rsidR="00CD105B" w:rsidRPr="00CD105B" w:rsidRDefault="00CD105B" w:rsidP="00CD105B">
      <w:pPr>
        <w:pStyle w:val="TextoNormalSangraFrancesa"/>
        <w:rPr>
          <w:rStyle w:val="TextoNormalCaracter"/>
        </w:rPr>
      </w:pPr>
      <w:bookmarkStart w:id="885" w:name="DESCRIPTORALFABETICO95"/>
      <w:r w:rsidRPr="00CD105B">
        <w:rPr>
          <w:rStyle w:val="TextoNormalNegritaCaracter"/>
        </w:rPr>
        <w:t>Recusación global de magistrados del Tribunal Constitucional</w:t>
      </w:r>
      <w:bookmarkEnd w:id="885"/>
      <w:r w:rsidRPr="00CD105B">
        <w:rPr>
          <w:rStyle w:val="TextoNormalCaracter"/>
        </w:rPr>
        <w:t xml:space="preserve">, Autos </w:t>
      </w:r>
      <w:hyperlink w:anchor="AUTO_2024_128" w:history="1">
        <w:r w:rsidRPr="00CD105B">
          <w:rPr>
            <w:rStyle w:val="TextoNormalCaracter"/>
          </w:rPr>
          <w:t>128/2024</w:t>
        </w:r>
      </w:hyperlink>
      <w:r w:rsidRPr="00CD105B">
        <w:rPr>
          <w:rStyle w:val="TextoNormalCaracter"/>
        </w:rPr>
        <w:t xml:space="preserve">, f. único; </w:t>
      </w:r>
      <w:hyperlink w:anchor="AUTO_2024_157" w:history="1">
        <w:r w:rsidRPr="00CD105B">
          <w:rPr>
            <w:rStyle w:val="TextoNormalCaracter"/>
          </w:rPr>
          <w:t>157/2024</w:t>
        </w:r>
      </w:hyperlink>
      <w:r w:rsidRPr="00CD105B">
        <w:rPr>
          <w:rStyle w:val="TextoNormalCaracter"/>
        </w:rPr>
        <w:t>, f. único.</w:t>
      </w:r>
    </w:p>
    <w:p w14:paraId="1A1AF430" w14:textId="4DC58EF3" w:rsidR="00CD105B" w:rsidRPr="00CD105B" w:rsidRDefault="00CD105B" w:rsidP="00CD105B">
      <w:pPr>
        <w:pStyle w:val="TextoNormalSangraFrancesa"/>
        <w:rPr>
          <w:rStyle w:val="TextoNormalCaracter"/>
        </w:rPr>
      </w:pPr>
      <w:bookmarkStart w:id="886" w:name="DESCRIPTORALFABETICO209"/>
      <w:r w:rsidRPr="00CD105B">
        <w:rPr>
          <w:rStyle w:val="TextoNormalNegritaCaracter"/>
        </w:rPr>
        <w:t>Reforma constitucional</w:t>
      </w:r>
      <w:bookmarkEnd w:id="886"/>
      <w:r w:rsidRPr="00CD105B">
        <w:rPr>
          <w:rStyle w:val="TextoNormalCaracter"/>
        </w:rPr>
        <w:t xml:space="preserve">, Sentencia </w:t>
      </w:r>
      <w:hyperlink w:anchor="SENTENCIA_2024_143" w:history="1">
        <w:r w:rsidRPr="00CD105B">
          <w:rPr>
            <w:rStyle w:val="TextoNormalCaracter"/>
          </w:rPr>
          <w:t>143/2024</w:t>
        </w:r>
      </w:hyperlink>
      <w:r w:rsidRPr="00CD105B">
        <w:rPr>
          <w:rStyle w:val="TextoNormalCaracter"/>
        </w:rPr>
        <w:t>, f. 3.</w:t>
      </w:r>
    </w:p>
    <w:p w14:paraId="732F6E37" w14:textId="142E9556" w:rsidR="00CD105B" w:rsidRPr="00CD105B" w:rsidRDefault="00CD105B" w:rsidP="00CD105B">
      <w:pPr>
        <w:pStyle w:val="TextoNormalSangraFrancesa"/>
        <w:rPr>
          <w:rStyle w:val="TextoNormalCaracter"/>
        </w:rPr>
      </w:pPr>
      <w:bookmarkStart w:id="887" w:name="DESCRIPTORALFABETICO248"/>
      <w:r w:rsidRPr="00CD105B">
        <w:rPr>
          <w:rStyle w:val="TextoNormalNegritaCaracter"/>
        </w:rPr>
        <w:t>Régimen de visitas a los hijos</w:t>
      </w:r>
      <w:bookmarkEnd w:id="887"/>
      <w:r w:rsidRPr="00CD105B">
        <w:rPr>
          <w:rStyle w:val="TextoNormalCaracter"/>
        </w:rPr>
        <w:t xml:space="preserve">, Sentencias </w:t>
      </w:r>
      <w:hyperlink w:anchor="SENTENCIA_2024_115" w:history="1">
        <w:r w:rsidRPr="00CD105B">
          <w:rPr>
            <w:rStyle w:val="TextoNormalCaracter"/>
          </w:rPr>
          <w:t>115/2024</w:t>
        </w:r>
      </w:hyperlink>
      <w:r w:rsidRPr="00CD105B">
        <w:rPr>
          <w:rStyle w:val="TextoNormalCaracter"/>
        </w:rPr>
        <w:t xml:space="preserve">, ff. 3 a 4, VP I, VP II; </w:t>
      </w:r>
      <w:hyperlink w:anchor="SENTENCIA_2024_145" w:history="1">
        <w:r w:rsidRPr="00CD105B">
          <w:rPr>
            <w:rStyle w:val="TextoNormalCaracter"/>
          </w:rPr>
          <w:t>145/2024</w:t>
        </w:r>
      </w:hyperlink>
      <w:r w:rsidRPr="00CD105B">
        <w:rPr>
          <w:rStyle w:val="TextoNormalCaracter"/>
        </w:rPr>
        <w:t>, f. 1.</w:t>
      </w:r>
    </w:p>
    <w:p w14:paraId="6541B694" w14:textId="17A05FEC" w:rsidR="00CD105B" w:rsidRPr="00CD105B" w:rsidRDefault="00CD105B" w:rsidP="00CD105B">
      <w:pPr>
        <w:pStyle w:val="TextoNormalSangraFrancesa"/>
        <w:rPr>
          <w:rStyle w:val="TextoNormalCaracter"/>
        </w:rPr>
      </w:pPr>
      <w:bookmarkStart w:id="888" w:name="DESCRIPTORALFABETICO383"/>
      <w:r w:rsidRPr="00CD105B">
        <w:rPr>
          <w:rStyle w:val="TextoNormalNegritaCaracter"/>
        </w:rPr>
        <w:t>Región de Murcia</w:t>
      </w:r>
      <w:bookmarkEnd w:id="888"/>
      <w:r w:rsidRPr="00CD105B">
        <w:rPr>
          <w:rStyle w:val="TextoNormalCaracter"/>
        </w:rPr>
        <w:t xml:space="preserve">, Sentencia </w:t>
      </w:r>
      <w:hyperlink w:anchor="SENTENCIA_2024_157" w:history="1">
        <w:r w:rsidRPr="00CD105B">
          <w:rPr>
            <w:rStyle w:val="TextoNormalCaracter"/>
          </w:rPr>
          <w:t>157/2024</w:t>
        </w:r>
      </w:hyperlink>
      <w:r w:rsidRPr="00CD105B">
        <w:rPr>
          <w:rStyle w:val="TextoNormalCaracter"/>
        </w:rPr>
        <w:t>, f. 1.</w:t>
      </w:r>
    </w:p>
    <w:p w14:paraId="4D92D2A3" w14:textId="058A0A48" w:rsidR="00CD105B" w:rsidRPr="00CD105B" w:rsidRDefault="00CD105B" w:rsidP="00CD105B">
      <w:pPr>
        <w:pStyle w:val="TextoNormalSangraFrancesa"/>
        <w:rPr>
          <w:rStyle w:val="TextoNormalCaracter"/>
        </w:rPr>
      </w:pPr>
      <w:bookmarkStart w:id="889" w:name="DESCRIPTORALFABETICO191"/>
      <w:r w:rsidRPr="00CD105B">
        <w:rPr>
          <w:rStyle w:val="TextoNormalNegritaCaracter"/>
        </w:rPr>
        <w:t>Reglamento del Congreso</w:t>
      </w:r>
      <w:bookmarkEnd w:id="889"/>
      <w:r w:rsidRPr="00CD105B">
        <w:rPr>
          <w:rStyle w:val="TextoNormalCaracter"/>
        </w:rPr>
        <w:t xml:space="preserve">, Sentencia </w:t>
      </w:r>
      <w:hyperlink w:anchor="SENTENCIA_2024_114" w:history="1">
        <w:r w:rsidRPr="00CD105B">
          <w:rPr>
            <w:rStyle w:val="TextoNormalCaracter"/>
          </w:rPr>
          <w:t>114/2024</w:t>
        </w:r>
      </w:hyperlink>
      <w:r w:rsidRPr="00CD105B">
        <w:rPr>
          <w:rStyle w:val="TextoNormalCaracter"/>
        </w:rPr>
        <w:t>, f. 3.</w:t>
      </w:r>
    </w:p>
    <w:p w14:paraId="101C1B4B" w14:textId="5AE9673C" w:rsidR="00CD105B" w:rsidRPr="00CD105B" w:rsidRDefault="00CD105B" w:rsidP="00CD105B">
      <w:pPr>
        <w:pStyle w:val="TextoNormalSangraFrancesa"/>
        <w:rPr>
          <w:rStyle w:val="TextoNormalCaracter"/>
        </w:rPr>
      </w:pPr>
      <w:bookmarkStart w:id="890" w:name="DESCRIPTORALFABETICO323"/>
      <w:r w:rsidRPr="00CD105B">
        <w:rPr>
          <w:rStyle w:val="TextoNormalNegritaCaracter"/>
        </w:rPr>
        <w:t>Relevancia constitucional de los actos procesales de comunicación</w:t>
      </w:r>
      <w:bookmarkEnd w:id="890"/>
      <w:r w:rsidRPr="00CD105B">
        <w:rPr>
          <w:rStyle w:val="TextoNormalCaracter"/>
        </w:rPr>
        <w:t xml:space="preserve">, Sentencia </w:t>
      </w:r>
      <w:hyperlink w:anchor="SENTENCIA_2024_123" w:history="1">
        <w:r w:rsidRPr="00CD105B">
          <w:rPr>
            <w:rStyle w:val="TextoNormalCaracter"/>
          </w:rPr>
          <w:t>123/2024</w:t>
        </w:r>
      </w:hyperlink>
      <w:r w:rsidRPr="00CD105B">
        <w:rPr>
          <w:rStyle w:val="TextoNormalCaracter"/>
        </w:rPr>
        <w:t>, f. 2.</w:t>
      </w:r>
    </w:p>
    <w:p w14:paraId="3BF7AD18" w14:textId="07F6AA93" w:rsidR="00CD105B" w:rsidRPr="00CD105B" w:rsidRDefault="00CD105B" w:rsidP="00CD105B">
      <w:pPr>
        <w:pStyle w:val="TextoNormalSangraFrancesa"/>
        <w:rPr>
          <w:rStyle w:val="TextoNormalCaracter"/>
        </w:rPr>
      </w:pPr>
      <w:bookmarkStart w:id="891" w:name="DESCRIPTORALFABETICO273"/>
      <w:r w:rsidRPr="00CD105B">
        <w:rPr>
          <w:rStyle w:val="TextoNormalNegritaCaracter"/>
        </w:rPr>
        <w:t>Reproducción de normas estatales</w:t>
      </w:r>
      <w:bookmarkEnd w:id="891"/>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 6; </w:t>
      </w:r>
      <w:hyperlink w:anchor="SENTENCIA_2024_141" w:history="1">
        <w:r w:rsidRPr="00CD105B">
          <w:rPr>
            <w:rStyle w:val="TextoNormalCaracter"/>
          </w:rPr>
          <w:t>141/2024</w:t>
        </w:r>
      </w:hyperlink>
      <w:r w:rsidRPr="00CD105B">
        <w:rPr>
          <w:rStyle w:val="TextoNormalCaracter"/>
        </w:rPr>
        <w:t>, ff. 1 y 2.</w:t>
      </w:r>
    </w:p>
    <w:p w14:paraId="707FA5F9" w14:textId="212BCE4D" w:rsidR="00CD105B" w:rsidRPr="00CD105B" w:rsidRDefault="00CD105B" w:rsidP="00CD105B">
      <w:pPr>
        <w:pStyle w:val="TextoNormalSangraFrancesa"/>
        <w:rPr>
          <w:rStyle w:val="TextoNormalCaracter"/>
        </w:rPr>
      </w:pPr>
      <w:bookmarkStart w:id="892" w:name="DESCRIPTORALFABETICO124"/>
      <w:r w:rsidRPr="00CD105B">
        <w:rPr>
          <w:rStyle w:val="TextoNormalNegritaCaracter"/>
        </w:rPr>
        <w:t>Requisitos de interposición del recurso de inconstitucionalidad</w:t>
      </w:r>
      <w:bookmarkEnd w:id="892"/>
      <w:r w:rsidRPr="00CD105B">
        <w:rPr>
          <w:rStyle w:val="TextoNormalCaracter"/>
        </w:rPr>
        <w:t xml:space="preserve">, Sentencia </w:t>
      </w:r>
      <w:hyperlink w:anchor="SENTENCIA_2024_157" w:history="1">
        <w:r w:rsidRPr="00CD105B">
          <w:rPr>
            <w:rStyle w:val="TextoNormalCaracter"/>
          </w:rPr>
          <w:t>157/2024</w:t>
        </w:r>
      </w:hyperlink>
      <w:r w:rsidRPr="00CD105B">
        <w:rPr>
          <w:rStyle w:val="TextoNormalCaracter"/>
        </w:rPr>
        <w:t>, f. 2.</w:t>
      </w:r>
    </w:p>
    <w:p w14:paraId="73D5861F" w14:textId="137BEE4F" w:rsidR="00CD105B" w:rsidRPr="00CD105B" w:rsidRDefault="00CD105B" w:rsidP="00CD105B">
      <w:pPr>
        <w:pStyle w:val="TextoNormalSangraFrancesa"/>
        <w:rPr>
          <w:rStyle w:val="TextoNormalCaracter"/>
        </w:rPr>
      </w:pPr>
      <w:bookmarkStart w:id="893" w:name="DESCRIPTORALFABETICO271"/>
      <w:r w:rsidRPr="00CD105B">
        <w:rPr>
          <w:rStyle w:val="TextoNormalNegritaCaracter"/>
        </w:rPr>
        <w:t>Requisitos de los decretos-leyes</w:t>
      </w:r>
      <w:bookmarkEnd w:id="893"/>
      <w:r w:rsidRPr="00CD105B">
        <w:rPr>
          <w:rStyle w:val="TextoNormalCaracter"/>
        </w:rPr>
        <w:t xml:space="preserve">, Sentencias </w:t>
      </w:r>
      <w:hyperlink w:anchor="SENTENCIA_2024_113" w:history="1">
        <w:r w:rsidRPr="00CD105B">
          <w:rPr>
            <w:rStyle w:val="TextoNormalCaracter"/>
          </w:rPr>
          <w:t>113/2024</w:t>
        </w:r>
      </w:hyperlink>
      <w:r w:rsidRPr="00CD105B">
        <w:rPr>
          <w:rStyle w:val="TextoNormalCaracter"/>
        </w:rPr>
        <w:t xml:space="preserve">, f. 2; </w:t>
      </w:r>
      <w:hyperlink w:anchor="SENTENCIA_2024_121" w:history="1">
        <w:r w:rsidRPr="00CD105B">
          <w:rPr>
            <w:rStyle w:val="TextoNormalCaracter"/>
          </w:rPr>
          <w:t>121/2024</w:t>
        </w:r>
      </w:hyperlink>
      <w:r w:rsidRPr="00CD105B">
        <w:rPr>
          <w:rStyle w:val="TextoNormalCaracter"/>
        </w:rPr>
        <w:t>, f. 4.</w:t>
      </w:r>
    </w:p>
    <w:p w14:paraId="2552AD63" w14:textId="74047797" w:rsidR="00CD105B" w:rsidRPr="00CD105B" w:rsidRDefault="00CD105B" w:rsidP="00CD105B">
      <w:pPr>
        <w:pStyle w:val="TextoNormalSangraFrancesa"/>
        <w:rPr>
          <w:rStyle w:val="TextoNormalCaracter"/>
        </w:rPr>
      </w:pPr>
      <w:bookmarkStart w:id="894" w:name="DESCRIPTORALFABETICO114"/>
      <w:r w:rsidRPr="00CD105B">
        <w:rPr>
          <w:rStyle w:val="TextoNormalNegritaCaracter"/>
        </w:rPr>
        <w:t>Requisitos procesales de la cuestión de inconstitucionalidad</w:t>
      </w:r>
      <w:bookmarkEnd w:id="894"/>
      <w:r w:rsidRPr="00CD105B">
        <w:rPr>
          <w:rStyle w:val="TextoNormalCaracter"/>
        </w:rPr>
        <w:t xml:space="preserve">, Sentencia </w:t>
      </w:r>
      <w:hyperlink w:anchor="SENTENCIA_2024_140" w:history="1">
        <w:r w:rsidRPr="00CD105B">
          <w:rPr>
            <w:rStyle w:val="TextoNormalCaracter"/>
          </w:rPr>
          <w:t>140/2024</w:t>
        </w:r>
      </w:hyperlink>
      <w:r w:rsidRPr="00CD105B">
        <w:rPr>
          <w:rStyle w:val="TextoNormalCaracter"/>
        </w:rPr>
        <w:t>, f. 2.</w:t>
      </w:r>
    </w:p>
    <w:p w14:paraId="5B5F5347" w14:textId="7F485B7E" w:rsidR="00CD105B" w:rsidRPr="00CD105B" w:rsidRDefault="00CD105B" w:rsidP="00CD105B">
      <w:pPr>
        <w:pStyle w:val="TextoNormalSangraFrancesa"/>
        <w:rPr>
          <w:rStyle w:val="TextoNormalCaracter"/>
        </w:rPr>
      </w:pPr>
      <w:bookmarkStart w:id="895" w:name="DESCRIPTORALFABETICO281"/>
      <w:r w:rsidRPr="00CD105B">
        <w:rPr>
          <w:rStyle w:val="TextoNormalNegritaCaracter"/>
        </w:rPr>
        <w:t>Reserva de ley orgánica</w:t>
      </w:r>
      <w:bookmarkEnd w:id="895"/>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 5; </w:t>
      </w:r>
      <w:hyperlink w:anchor="SENTENCIA_2024_139" w:history="1">
        <w:r w:rsidRPr="00CD105B">
          <w:rPr>
            <w:rStyle w:val="TextoNormalCaracter"/>
          </w:rPr>
          <w:t>139/2024</w:t>
        </w:r>
      </w:hyperlink>
      <w:r w:rsidRPr="00CD105B">
        <w:rPr>
          <w:rStyle w:val="TextoNormalCaracter"/>
        </w:rPr>
        <w:t xml:space="preserve">, f. 5; </w:t>
      </w:r>
      <w:hyperlink w:anchor="SENTENCIA_2024_141" w:history="1">
        <w:r w:rsidRPr="00CD105B">
          <w:rPr>
            <w:rStyle w:val="TextoNormalCaracter"/>
          </w:rPr>
          <w:t>141/2024</w:t>
        </w:r>
      </w:hyperlink>
      <w:r w:rsidRPr="00CD105B">
        <w:rPr>
          <w:rStyle w:val="TextoNormalCaracter"/>
        </w:rPr>
        <w:t>, f. 4.</w:t>
      </w:r>
    </w:p>
    <w:p w14:paraId="7C44A8CB" w14:textId="2560EACC" w:rsidR="00CD105B" w:rsidRPr="00CD105B" w:rsidRDefault="00CD105B" w:rsidP="00CD105B">
      <w:pPr>
        <w:pStyle w:val="TextoNormalSangraFrancesa"/>
        <w:rPr>
          <w:rStyle w:val="TextoNormalCaracter"/>
        </w:rPr>
      </w:pPr>
      <w:bookmarkStart w:id="896" w:name="DESCRIPTORALFABETICO282"/>
      <w:r w:rsidRPr="00CD105B">
        <w:rPr>
          <w:rStyle w:val="TextoNormalNegritaCaracter"/>
        </w:rPr>
        <w:t xml:space="preserve">Reserva de ley orgánica </w:t>
      </w:r>
      <w:r w:rsidRPr="00CD105B">
        <w:rPr>
          <w:rStyle w:val="TextoNormalNegritaCaracter"/>
          <w:i/>
        </w:rPr>
        <w:t>versus</w:t>
      </w:r>
      <w:r w:rsidRPr="00CD105B">
        <w:rPr>
          <w:rStyle w:val="TextoNormalNegritaCaracter"/>
        </w:rPr>
        <w:t xml:space="preserve"> reglas de atribución de competencia</w:t>
      </w:r>
      <w:bookmarkEnd w:id="896"/>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 5; </w:t>
      </w:r>
      <w:hyperlink w:anchor="SENTENCIA_2024_141" w:history="1">
        <w:r w:rsidRPr="00CD105B">
          <w:rPr>
            <w:rStyle w:val="TextoNormalCaracter"/>
          </w:rPr>
          <w:t>141/2024</w:t>
        </w:r>
      </w:hyperlink>
      <w:r w:rsidRPr="00CD105B">
        <w:rPr>
          <w:rStyle w:val="TextoNormalCaracter"/>
        </w:rPr>
        <w:t>, f. 4.</w:t>
      </w:r>
    </w:p>
    <w:p w14:paraId="1389DC2B" w14:textId="056D5A2E" w:rsidR="00CD105B" w:rsidRPr="00CD105B" w:rsidRDefault="00CD105B" w:rsidP="00CD105B">
      <w:pPr>
        <w:pStyle w:val="TextoNormalSangraFrancesa"/>
        <w:rPr>
          <w:rStyle w:val="TextoNormalCaracter"/>
        </w:rPr>
      </w:pPr>
      <w:bookmarkStart w:id="897" w:name="DESCRIPTORALFABETICO43"/>
      <w:r w:rsidRPr="00CD105B">
        <w:rPr>
          <w:rStyle w:val="TextoNormalNegritaCaracter"/>
        </w:rPr>
        <w:t>Resolución fundada en Derecho</w:t>
      </w:r>
      <w:bookmarkEnd w:id="897"/>
      <w:r w:rsidRPr="00CD105B">
        <w:rPr>
          <w:rStyle w:val="TextoNormalCaracter"/>
        </w:rPr>
        <w:t xml:space="preserve">, Sentencia </w:t>
      </w:r>
      <w:hyperlink w:anchor="SENTENCIA_2024_108" w:history="1">
        <w:r w:rsidRPr="00CD105B">
          <w:rPr>
            <w:rStyle w:val="TextoNormalCaracter"/>
          </w:rPr>
          <w:t>108/2024</w:t>
        </w:r>
      </w:hyperlink>
      <w:r w:rsidRPr="00CD105B">
        <w:rPr>
          <w:rStyle w:val="TextoNormalCaracter"/>
        </w:rPr>
        <w:t>, ff. 2, 4 y 5.</w:t>
      </w:r>
    </w:p>
    <w:p w14:paraId="1E5487AE" w14:textId="203C4FE7" w:rsidR="00CD105B" w:rsidRPr="00CD105B" w:rsidRDefault="00CD105B" w:rsidP="00CD105B">
      <w:pPr>
        <w:pStyle w:val="TextoNormalSangraFrancesa"/>
        <w:rPr>
          <w:rStyle w:val="TextoNormalCaracter"/>
        </w:rPr>
      </w:pPr>
      <w:r w:rsidRPr="00CD105B">
        <w:rPr>
          <w:rStyle w:val="TextoNormalCursivaCaracter"/>
        </w:rPr>
        <w:t xml:space="preserve">    Respetado, </w:t>
      </w:r>
      <w:r w:rsidRPr="00CD105B">
        <w:rPr>
          <w:rStyle w:val="TextoNormalCaracter"/>
        </w:rPr>
        <w:t xml:space="preserve">Sentencias </w:t>
      </w:r>
      <w:hyperlink w:anchor="SENTENCIA_2024_133" w:history="1">
        <w:r w:rsidRPr="00CD105B">
          <w:rPr>
            <w:rStyle w:val="TextoNormalCaracter"/>
          </w:rPr>
          <w:t>133/2024</w:t>
        </w:r>
      </w:hyperlink>
      <w:r w:rsidRPr="00CD105B">
        <w:rPr>
          <w:rStyle w:val="TextoNormalCaracter"/>
        </w:rPr>
        <w:t xml:space="preserve">, ff. 4 y 5; </w:t>
      </w:r>
      <w:hyperlink w:anchor="SENTENCIA_2024_134" w:history="1">
        <w:r w:rsidRPr="00CD105B">
          <w:rPr>
            <w:rStyle w:val="TextoNormalCaracter"/>
          </w:rPr>
          <w:t>134/2024</w:t>
        </w:r>
      </w:hyperlink>
      <w:r w:rsidRPr="00CD105B">
        <w:rPr>
          <w:rStyle w:val="TextoNormalCaracter"/>
        </w:rPr>
        <w:t>, f. 4.</w:t>
      </w:r>
    </w:p>
    <w:p w14:paraId="60CC255A" w14:textId="57AE4248" w:rsidR="00CD105B" w:rsidRPr="00CD105B" w:rsidRDefault="00CD105B" w:rsidP="00CD105B">
      <w:pPr>
        <w:pStyle w:val="TextoNormalSangraFrancesa"/>
        <w:rPr>
          <w:rStyle w:val="TextoNormalCaracter"/>
        </w:rPr>
      </w:pPr>
      <w:r w:rsidRPr="00CD105B">
        <w:rPr>
          <w:rStyle w:val="TextoNormalCursivaCaracter"/>
        </w:rPr>
        <w:t xml:space="preserve">    Vulnerado, </w:t>
      </w:r>
      <w:r w:rsidRPr="00CD105B">
        <w:rPr>
          <w:rStyle w:val="TextoNormalCaracter"/>
        </w:rPr>
        <w:t xml:space="preserve">Sentencia </w:t>
      </w:r>
      <w:hyperlink w:anchor="SENTENCIA_2024_117" w:history="1">
        <w:r w:rsidRPr="00CD105B">
          <w:rPr>
            <w:rStyle w:val="TextoNormalCaracter"/>
          </w:rPr>
          <w:t>117/2024</w:t>
        </w:r>
      </w:hyperlink>
      <w:r w:rsidRPr="00CD105B">
        <w:rPr>
          <w:rStyle w:val="TextoNormalCaracter"/>
        </w:rPr>
        <w:t>, f. 4.</w:t>
      </w:r>
    </w:p>
    <w:p w14:paraId="6CB9F213" w14:textId="0F6FF352" w:rsidR="00CD105B" w:rsidRPr="00CD105B" w:rsidRDefault="00CD105B" w:rsidP="00CD105B">
      <w:pPr>
        <w:pStyle w:val="TextoNormalSangraFrancesa"/>
        <w:rPr>
          <w:rStyle w:val="TextoNormalCaracter"/>
        </w:rPr>
      </w:pPr>
      <w:bookmarkStart w:id="898" w:name="DESCRIPTORALFABETICO297"/>
      <w:r w:rsidRPr="00CD105B">
        <w:rPr>
          <w:rStyle w:val="TextoNormalNegritaCaracter"/>
        </w:rPr>
        <w:t>Responsabilidad civil</w:t>
      </w:r>
      <w:bookmarkEnd w:id="898"/>
      <w:r w:rsidRPr="00CD105B">
        <w:rPr>
          <w:rStyle w:val="TextoNormalCaracter"/>
        </w:rPr>
        <w:t xml:space="preserve">, Sentencia </w:t>
      </w:r>
      <w:hyperlink w:anchor="SENTENCIA_2024_121" w:history="1">
        <w:r w:rsidRPr="00CD105B">
          <w:rPr>
            <w:rStyle w:val="TextoNormalCaracter"/>
          </w:rPr>
          <w:t>121/2024</w:t>
        </w:r>
      </w:hyperlink>
      <w:r w:rsidRPr="00CD105B">
        <w:rPr>
          <w:rStyle w:val="TextoNormalCaracter"/>
        </w:rPr>
        <w:t>, ff. 1 y 4.</w:t>
      </w:r>
    </w:p>
    <w:p w14:paraId="19C83FFC" w14:textId="20B4F7C1" w:rsidR="00CD105B" w:rsidRPr="00CD105B" w:rsidRDefault="00CD105B" w:rsidP="00CD105B">
      <w:pPr>
        <w:pStyle w:val="TextoNormalSangraFrancesa"/>
        <w:rPr>
          <w:rStyle w:val="TextoNormalCaracter"/>
        </w:rPr>
      </w:pPr>
      <w:bookmarkStart w:id="899" w:name="DESCRIPTORALFABETICO298"/>
      <w:r w:rsidRPr="00CD105B">
        <w:rPr>
          <w:rStyle w:val="TextoNormalNegritaCaracter"/>
        </w:rPr>
        <w:t>Responsabilidad civil derivada de delito</w:t>
      </w:r>
      <w:bookmarkEnd w:id="899"/>
      <w:r w:rsidRPr="00CD105B">
        <w:rPr>
          <w:rStyle w:val="TextoNormalCaracter"/>
        </w:rPr>
        <w:t xml:space="preserve">, Sentencia </w:t>
      </w:r>
      <w:hyperlink w:anchor="SENTENCIA_2024_122" w:history="1">
        <w:r w:rsidRPr="00CD105B">
          <w:rPr>
            <w:rStyle w:val="TextoNormalCaracter"/>
          </w:rPr>
          <w:t>122/2024</w:t>
        </w:r>
      </w:hyperlink>
      <w:r w:rsidRPr="00CD105B">
        <w:rPr>
          <w:rStyle w:val="TextoNormalCaracter"/>
        </w:rPr>
        <w:t>, f. 1.</w:t>
      </w:r>
    </w:p>
    <w:p w14:paraId="5CC7ADA7" w14:textId="5E9B95FE" w:rsidR="00CD105B" w:rsidRPr="00CD105B" w:rsidRDefault="00CD105B" w:rsidP="00CD105B">
      <w:pPr>
        <w:pStyle w:val="TextoNormalSangraFrancesa"/>
        <w:rPr>
          <w:rStyle w:val="TextoNormalCaracter"/>
        </w:rPr>
      </w:pPr>
      <w:bookmarkStart w:id="900" w:name="DESCRIPTORALFABETICO221"/>
      <w:r w:rsidRPr="00CD105B">
        <w:rPr>
          <w:rStyle w:val="TextoNormalNegritaCaracter"/>
        </w:rPr>
        <w:t>Responsabilidad patrimonial de las Administraciones públicas</w:t>
      </w:r>
      <w:bookmarkEnd w:id="900"/>
      <w:r w:rsidRPr="00CD105B">
        <w:rPr>
          <w:rStyle w:val="TextoNormalCaracter"/>
        </w:rPr>
        <w:t xml:space="preserve">, Sentencia </w:t>
      </w:r>
      <w:hyperlink w:anchor="SENTENCIA_2024_121" w:history="1">
        <w:r w:rsidRPr="00CD105B">
          <w:rPr>
            <w:rStyle w:val="TextoNormalCaracter"/>
          </w:rPr>
          <w:t>121/2024</w:t>
        </w:r>
      </w:hyperlink>
      <w:r w:rsidRPr="00CD105B">
        <w:rPr>
          <w:rStyle w:val="TextoNormalCaracter"/>
        </w:rPr>
        <w:t>, ff. 1 y 4.</w:t>
      </w:r>
    </w:p>
    <w:p w14:paraId="4503E889" w14:textId="37CEDD13" w:rsidR="00CD105B" w:rsidRPr="00CD105B" w:rsidRDefault="00CD105B" w:rsidP="00CD105B">
      <w:pPr>
        <w:pStyle w:val="TextoNormalSangraFrancesa"/>
        <w:rPr>
          <w:rStyle w:val="TextoNormalCaracter"/>
        </w:rPr>
      </w:pPr>
      <w:bookmarkStart w:id="901" w:name="DESCRIPTORALFABETICO220"/>
      <w:r w:rsidRPr="00CD105B">
        <w:rPr>
          <w:rStyle w:val="TextoNormalNegritaCaracter"/>
        </w:rPr>
        <w:t>Retribuciones complementarias</w:t>
      </w:r>
      <w:bookmarkEnd w:id="901"/>
      <w:r w:rsidRPr="00CD105B">
        <w:rPr>
          <w:rStyle w:val="TextoNormalCaracter"/>
        </w:rPr>
        <w:t xml:space="preserve">, Sentencia </w:t>
      </w:r>
      <w:hyperlink w:anchor="SENTENCIA_2024_131" w:history="1">
        <w:r w:rsidRPr="00CD105B">
          <w:rPr>
            <w:rStyle w:val="TextoNormalCaracter"/>
          </w:rPr>
          <w:t>131/2024</w:t>
        </w:r>
      </w:hyperlink>
      <w:r w:rsidRPr="00CD105B">
        <w:rPr>
          <w:rStyle w:val="TextoNormalCaracter"/>
        </w:rPr>
        <w:t>, f. 1.</w:t>
      </w:r>
    </w:p>
    <w:p w14:paraId="768CDC64" w14:textId="1E3BE439" w:rsidR="00CD105B" w:rsidRPr="00CD105B" w:rsidRDefault="00CD105B" w:rsidP="00CD105B">
      <w:pPr>
        <w:pStyle w:val="TextoNormalSangraFrancesa"/>
        <w:rPr>
          <w:rStyle w:val="TextoNormalCaracter"/>
        </w:rPr>
      </w:pPr>
      <w:bookmarkStart w:id="902" w:name="DESCRIPTORALFABETICO325"/>
      <w:r w:rsidRPr="00CD105B">
        <w:rPr>
          <w:rStyle w:val="TextoNormalNegritaCaracter"/>
        </w:rPr>
        <w:t>Revisión de diligencias de ordenación</w:t>
      </w:r>
      <w:bookmarkEnd w:id="902"/>
      <w:r w:rsidRPr="00CD105B">
        <w:rPr>
          <w:rStyle w:val="TextoNormalCaracter"/>
        </w:rPr>
        <w:t xml:space="preserve">, Auto </w:t>
      </w:r>
      <w:hyperlink w:anchor="AUTO_2024_74" w:history="1">
        <w:r w:rsidRPr="00CD105B">
          <w:rPr>
            <w:rStyle w:val="TextoNormalCaracter"/>
          </w:rPr>
          <w:t>74/2024</w:t>
        </w:r>
      </w:hyperlink>
      <w:r w:rsidRPr="00CD105B">
        <w:rPr>
          <w:rStyle w:val="TextoNormalCaracter"/>
        </w:rPr>
        <w:t>, f. único.</w:t>
      </w:r>
    </w:p>
    <w:p w14:paraId="2FEEB03F" w14:textId="009EB10C" w:rsidR="00CD105B" w:rsidRPr="00CD105B" w:rsidRDefault="00CD105B" w:rsidP="00CD105B">
      <w:pPr>
        <w:pStyle w:val="TextoNormalSangraFrancesa"/>
        <w:rPr>
          <w:rStyle w:val="TextoNormalCaracter"/>
        </w:rPr>
      </w:pPr>
      <w:bookmarkStart w:id="903" w:name="DESCRIPTORALFABETICO216"/>
      <w:r w:rsidRPr="00CD105B">
        <w:rPr>
          <w:rStyle w:val="TextoNormalNegritaCaracter"/>
        </w:rPr>
        <w:t>Revisión judicial de laudos arbitrales</w:t>
      </w:r>
      <w:bookmarkEnd w:id="903"/>
      <w:r w:rsidRPr="00CD105B">
        <w:rPr>
          <w:rStyle w:val="TextoNormalCaracter"/>
        </w:rPr>
        <w:t xml:space="preserve">, Sentencia </w:t>
      </w:r>
      <w:hyperlink w:anchor="SENTENCIA_2024_146" w:history="1">
        <w:r w:rsidRPr="00CD105B">
          <w:rPr>
            <w:rStyle w:val="TextoNormalCaracter"/>
          </w:rPr>
          <w:t>146/2024</w:t>
        </w:r>
      </w:hyperlink>
      <w:r w:rsidRPr="00CD105B">
        <w:rPr>
          <w:rStyle w:val="TextoNormalCaracter"/>
        </w:rPr>
        <w:t>, f. 1.</w:t>
      </w:r>
    </w:p>
    <w:p w14:paraId="35BD7BAF" w14:textId="7A87B7FD" w:rsidR="00CD105B" w:rsidRPr="00CD105B" w:rsidRDefault="00CD105B" w:rsidP="00CD105B">
      <w:pPr>
        <w:pStyle w:val="TextoNormalSangraFrancesa"/>
        <w:rPr>
          <w:rStyle w:val="TextoNormalCaracter"/>
        </w:rPr>
      </w:pPr>
      <w:bookmarkStart w:id="904" w:name="DESCRIPTORALFABETICO284"/>
      <w:r w:rsidRPr="00CD105B">
        <w:rPr>
          <w:rStyle w:val="TextoNormalNegritaCaracter"/>
        </w:rPr>
        <w:t>Revocación de la suspensión de la ejecución de la pena</w:t>
      </w:r>
      <w:bookmarkEnd w:id="904"/>
      <w:r w:rsidRPr="00CD105B">
        <w:rPr>
          <w:rStyle w:val="TextoNormalCaracter"/>
        </w:rPr>
        <w:t xml:space="preserve">, Sentencia </w:t>
      </w:r>
      <w:hyperlink w:anchor="SENTENCIA_2024_122" w:history="1">
        <w:r w:rsidRPr="00CD105B">
          <w:rPr>
            <w:rStyle w:val="TextoNormalCaracter"/>
          </w:rPr>
          <w:t>122/2024</w:t>
        </w:r>
      </w:hyperlink>
      <w:r w:rsidRPr="00CD105B">
        <w:rPr>
          <w:rStyle w:val="TextoNormalCaracter"/>
        </w:rPr>
        <w:t>, f. 1, 3, 4.</w:t>
      </w:r>
    </w:p>
    <w:p w14:paraId="3ED80662" w14:textId="2565E71A" w:rsidR="00CD105B" w:rsidRPr="00CD105B" w:rsidRDefault="00CD105B" w:rsidP="00CD105B">
      <w:pPr>
        <w:pStyle w:val="TextoNormalSangraFrancesa"/>
        <w:rPr>
          <w:rStyle w:val="TextoNormalCaracter"/>
        </w:rPr>
      </w:pPr>
      <w:bookmarkStart w:id="905" w:name="DESCRIPTORALFABETICO375"/>
      <w:r w:rsidRPr="00CD105B">
        <w:rPr>
          <w:rStyle w:val="TextoNormalNegritaCaracter"/>
        </w:rPr>
        <w:t>Revocación de sentencia absolutoria</w:t>
      </w:r>
      <w:bookmarkEnd w:id="905"/>
      <w:r w:rsidRPr="00CD105B">
        <w:rPr>
          <w:rStyle w:val="TextoNormalCaracter"/>
        </w:rPr>
        <w:t xml:space="preserve">, Sentencia </w:t>
      </w:r>
      <w:hyperlink w:anchor="SENTENCIA_2024_108" w:history="1">
        <w:r w:rsidRPr="00CD105B">
          <w:rPr>
            <w:rStyle w:val="TextoNormalCaracter"/>
          </w:rPr>
          <w:t>108/2024</w:t>
        </w:r>
      </w:hyperlink>
      <w:r w:rsidRPr="00CD105B">
        <w:rPr>
          <w:rStyle w:val="TextoNormalCaracter"/>
        </w:rPr>
        <w:t>, f. 3.</w:t>
      </w:r>
    </w:p>
    <w:p w14:paraId="7CB6471B" w14:textId="29FF366F" w:rsidR="00CD105B" w:rsidRDefault="00CD105B" w:rsidP="00CD105B">
      <w:pPr>
        <w:pStyle w:val="TextoNormalSangraFrancesa"/>
      </w:pPr>
    </w:p>
    <w:p w14:paraId="5B5CE37D" w14:textId="77777777" w:rsidR="00CD105B" w:rsidRDefault="00CD105B" w:rsidP="00CD105B">
      <w:pPr>
        <w:pStyle w:val="TextoNormalSangraFrancesa"/>
      </w:pPr>
    </w:p>
    <w:p w14:paraId="71A5A56E" w14:textId="77777777" w:rsidR="00CD105B" w:rsidRDefault="00CD105B" w:rsidP="00CD105B">
      <w:pPr>
        <w:pStyle w:val="TextoNormalNegritaCentrado"/>
      </w:pPr>
      <w:r>
        <w:t>S</w:t>
      </w:r>
    </w:p>
    <w:p w14:paraId="02E25604" w14:textId="400A993E" w:rsidR="00CD105B" w:rsidRDefault="00CD105B" w:rsidP="00CD105B">
      <w:pPr>
        <w:pStyle w:val="TextoNormalNegritaCentrado"/>
      </w:pPr>
    </w:p>
    <w:p w14:paraId="3C37B6DA" w14:textId="478E11FB" w:rsidR="00CD105B" w:rsidRPr="00CD105B" w:rsidRDefault="00CD105B" w:rsidP="00CD105B">
      <w:pPr>
        <w:pStyle w:val="TextoNormalSangraFrancesa"/>
        <w:rPr>
          <w:rStyle w:val="TextoNormalCaracter"/>
        </w:rPr>
      </w:pPr>
      <w:bookmarkStart w:id="906" w:name="DESCRIPTORALFABETICO300"/>
      <w:r w:rsidRPr="00CD105B">
        <w:rPr>
          <w:rStyle w:val="TextoNormalNegritaCaracter"/>
        </w:rPr>
        <w:t>Salud pública</w:t>
      </w:r>
      <w:bookmarkEnd w:id="906"/>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ff. 1 y 4; </w:t>
      </w:r>
      <w:hyperlink w:anchor="SENTENCIA_2024_141" w:history="1">
        <w:r w:rsidRPr="00CD105B">
          <w:rPr>
            <w:rStyle w:val="TextoNormalCaracter"/>
          </w:rPr>
          <w:t>141/2024</w:t>
        </w:r>
      </w:hyperlink>
      <w:r w:rsidRPr="00CD105B">
        <w:rPr>
          <w:rStyle w:val="TextoNormalCaracter"/>
        </w:rPr>
        <w:t>, f. 1.</w:t>
      </w:r>
    </w:p>
    <w:p w14:paraId="79050A37" w14:textId="5F3824FD" w:rsidR="00CD105B" w:rsidRPr="00CD105B" w:rsidRDefault="00CD105B" w:rsidP="00CD105B">
      <w:pPr>
        <w:pStyle w:val="TextoNormalSangraFrancesa"/>
        <w:rPr>
          <w:rStyle w:val="TextoNormalCaracter"/>
        </w:rPr>
      </w:pPr>
      <w:bookmarkStart w:id="907" w:name="DESCRIPTORALFABETICO296"/>
      <w:r w:rsidRPr="00CD105B">
        <w:rPr>
          <w:rStyle w:val="TextoNormalNegritaCaracter"/>
        </w:rPr>
        <w:t>Segundo grado de tratamiento penitenciario</w:t>
      </w:r>
      <w:bookmarkEnd w:id="907"/>
      <w:r w:rsidRPr="00CD105B">
        <w:rPr>
          <w:rStyle w:val="TextoNormalCaracter"/>
        </w:rPr>
        <w:t xml:space="preserve">, Sentencia </w:t>
      </w:r>
      <w:hyperlink w:anchor="SENTENCIA_2024_107" w:history="1">
        <w:r w:rsidRPr="00CD105B">
          <w:rPr>
            <w:rStyle w:val="TextoNormalCaracter"/>
          </w:rPr>
          <w:t>107/2024</w:t>
        </w:r>
      </w:hyperlink>
      <w:r w:rsidRPr="00CD105B">
        <w:rPr>
          <w:rStyle w:val="TextoNormalCaracter"/>
        </w:rPr>
        <w:t>, f. 4.</w:t>
      </w:r>
    </w:p>
    <w:p w14:paraId="657E1BC6" w14:textId="42870F5A" w:rsidR="00CD105B" w:rsidRPr="00CD105B" w:rsidRDefault="00CD105B" w:rsidP="00CD105B">
      <w:pPr>
        <w:pStyle w:val="TextoNormalSangraFrancesa"/>
        <w:rPr>
          <w:rStyle w:val="TextoNormalCaracter"/>
        </w:rPr>
      </w:pPr>
      <w:bookmarkStart w:id="908" w:name="DESCRIPTORALFABETICO144"/>
      <w:r w:rsidRPr="00CD105B">
        <w:rPr>
          <w:rStyle w:val="TextoNormalNegritaCaracter"/>
        </w:rPr>
        <w:t>Sentencia de amparo de carácter declarativo</w:t>
      </w:r>
      <w:bookmarkEnd w:id="908"/>
      <w:r w:rsidRPr="00CD105B">
        <w:rPr>
          <w:rStyle w:val="TextoNormalCaracter"/>
        </w:rPr>
        <w:t xml:space="preserve">, Sentencia </w:t>
      </w:r>
      <w:hyperlink w:anchor="SENTENCIA_2024_123" w:history="1">
        <w:r w:rsidRPr="00CD105B">
          <w:rPr>
            <w:rStyle w:val="TextoNormalCaracter"/>
          </w:rPr>
          <w:t>123/2024</w:t>
        </w:r>
      </w:hyperlink>
      <w:r w:rsidRPr="00CD105B">
        <w:rPr>
          <w:rStyle w:val="TextoNormalCaracter"/>
        </w:rPr>
        <w:t>, f. 4, VP I, VP II.</w:t>
      </w:r>
    </w:p>
    <w:p w14:paraId="1A492717" w14:textId="48612F10" w:rsidR="00CD105B" w:rsidRPr="00CD105B" w:rsidRDefault="00CD105B" w:rsidP="00CD105B">
      <w:pPr>
        <w:pStyle w:val="TextoNormalSangraFrancesa"/>
        <w:rPr>
          <w:rStyle w:val="TextoNormalCaracter"/>
        </w:rPr>
      </w:pPr>
      <w:bookmarkStart w:id="909" w:name="DESCRIPTORALFABETICO370"/>
      <w:r w:rsidRPr="00CD105B">
        <w:rPr>
          <w:rStyle w:val="TextoNormalNegritaCaracter"/>
        </w:rPr>
        <w:t>Sentencia de apelación penal</w:t>
      </w:r>
      <w:bookmarkEnd w:id="909"/>
      <w:r w:rsidRPr="00CD105B">
        <w:rPr>
          <w:rStyle w:val="TextoNormalCaracter"/>
        </w:rPr>
        <w:t xml:space="preserve">, Sentencias </w:t>
      </w:r>
      <w:hyperlink w:anchor="SENTENCIA_2024_133" w:history="1">
        <w:r w:rsidRPr="00CD105B">
          <w:rPr>
            <w:rStyle w:val="TextoNormalCaracter"/>
          </w:rPr>
          <w:t>133/2024</w:t>
        </w:r>
      </w:hyperlink>
      <w:r w:rsidRPr="00CD105B">
        <w:rPr>
          <w:rStyle w:val="TextoNormalCaracter"/>
        </w:rPr>
        <w:t xml:space="preserve">, ff. 1, 3 a 5; </w:t>
      </w:r>
      <w:hyperlink w:anchor="SENTENCIA_2024_134" w:history="1">
        <w:r w:rsidRPr="00CD105B">
          <w:rPr>
            <w:rStyle w:val="TextoNormalCaracter"/>
          </w:rPr>
          <w:t>134/2024</w:t>
        </w:r>
      </w:hyperlink>
      <w:r w:rsidRPr="00CD105B">
        <w:rPr>
          <w:rStyle w:val="TextoNormalCaracter"/>
        </w:rPr>
        <w:t>, ff. 1, 3 y 4.</w:t>
      </w:r>
    </w:p>
    <w:p w14:paraId="70BCE8D0" w14:textId="2A088485" w:rsidR="00CD105B" w:rsidRPr="00CD105B" w:rsidRDefault="00CD105B" w:rsidP="00CD105B">
      <w:pPr>
        <w:pStyle w:val="TextoNormalSangraFrancesa"/>
        <w:rPr>
          <w:rStyle w:val="TextoNormalCaracter"/>
        </w:rPr>
      </w:pPr>
      <w:bookmarkStart w:id="910" w:name="DESCRIPTORALFABETICO373"/>
      <w:r w:rsidRPr="00CD105B">
        <w:rPr>
          <w:rStyle w:val="TextoNormalNegritaCaracter"/>
        </w:rPr>
        <w:t>Sentencia penal firme</w:t>
      </w:r>
      <w:bookmarkEnd w:id="910"/>
      <w:r w:rsidRPr="00CD105B">
        <w:rPr>
          <w:rStyle w:val="TextoNormalCaracter"/>
        </w:rPr>
        <w:t xml:space="preserve">, Sentencia </w:t>
      </w:r>
      <w:hyperlink w:anchor="SENTENCIA_2024_125" w:history="1">
        <w:r w:rsidRPr="00CD105B">
          <w:rPr>
            <w:rStyle w:val="TextoNormalCaracter"/>
          </w:rPr>
          <w:t>125/2024</w:t>
        </w:r>
      </w:hyperlink>
      <w:r w:rsidRPr="00CD105B">
        <w:rPr>
          <w:rStyle w:val="TextoNormalCaracter"/>
        </w:rPr>
        <w:t>, f. 2.</w:t>
      </w:r>
    </w:p>
    <w:p w14:paraId="030FB7C5" w14:textId="57406A95" w:rsidR="00CD105B" w:rsidRPr="00CD105B" w:rsidRDefault="00CD105B" w:rsidP="00CD105B">
      <w:pPr>
        <w:pStyle w:val="TextoNormalSangraFrancesa"/>
        <w:rPr>
          <w:rStyle w:val="TextoNormalCaracter"/>
        </w:rPr>
      </w:pPr>
      <w:bookmarkStart w:id="911" w:name="DESCRIPTORALFABETICO374"/>
      <w:r w:rsidRPr="00CD105B">
        <w:rPr>
          <w:rStyle w:val="TextoNormalNegritaCaracter"/>
        </w:rPr>
        <w:t>Sentencias absolutorias</w:t>
      </w:r>
      <w:bookmarkEnd w:id="911"/>
      <w:r w:rsidRPr="00CD105B">
        <w:rPr>
          <w:rStyle w:val="TextoNormalCaracter"/>
        </w:rPr>
        <w:t xml:space="preserve">, Sentencias </w:t>
      </w:r>
      <w:hyperlink w:anchor="SENTENCIA_2024_133" w:history="1">
        <w:r w:rsidRPr="00CD105B">
          <w:rPr>
            <w:rStyle w:val="TextoNormalCaracter"/>
          </w:rPr>
          <w:t>133/2024</w:t>
        </w:r>
      </w:hyperlink>
      <w:r w:rsidRPr="00CD105B">
        <w:rPr>
          <w:rStyle w:val="TextoNormalCaracter"/>
        </w:rPr>
        <w:t xml:space="preserve">, ff. 1, 3 a 5; </w:t>
      </w:r>
      <w:hyperlink w:anchor="SENTENCIA_2024_134" w:history="1">
        <w:r w:rsidRPr="00CD105B">
          <w:rPr>
            <w:rStyle w:val="TextoNormalCaracter"/>
          </w:rPr>
          <w:t>134/2024</w:t>
        </w:r>
      </w:hyperlink>
      <w:r w:rsidRPr="00CD105B">
        <w:rPr>
          <w:rStyle w:val="TextoNormalCaracter"/>
        </w:rPr>
        <w:t>, ff. 1, 3 y 4.</w:t>
      </w:r>
    </w:p>
    <w:p w14:paraId="762DB3FF" w14:textId="74F96167" w:rsidR="00CD105B" w:rsidRPr="00CD105B" w:rsidRDefault="00CD105B" w:rsidP="00CD105B">
      <w:pPr>
        <w:pStyle w:val="TextoNormalSangraFrancesa"/>
        <w:rPr>
          <w:rStyle w:val="TextoNormalCaracter"/>
        </w:rPr>
      </w:pPr>
      <w:bookmarkStart w:id="912" w:name="DESCRIPTORALFABETICO326"/>
      <w:r w:rsidRPr="00CD105B">
        <w:rPr>
          <w:rStyle w:val="TextoNormalNegritaCaracter"/>
        </w:rPr>
        <w:t>Señalamiento de vista</w:t>
      </w:r>
      <w:bookmarkEnd w:id="912"/>
      <w:r w:rsidRPr="00CD105B">
        <w:rPr>
          <w:rStyle w:val="TextoNormalCaracter"/>
        </w:rPr>
        <w:t xml:space="preserve">, Sentencia </w:t>
      </w:r>
      <w:hyperlink w:anchor="SENTENCIA_2024_135" w:history="1">
        <w:r w:rsidRPr="00CD105B">
          <w:rPr>
            <w:rStyle w:val="TextoNormalCaracter"/>
          </w:rPr>
          <w:t>135/2024</w:t>
        </w:r>
      </w:hyperlink>
      <w:r w:rsidRPr="00CD105B">
        <w:rPr>
          <w:rStyle w:val="TextoNormalCaracter"/>
        </w:rPr>
        <w:t>, f. 1.</w:t>
      </w:r>
    </w:p>
    <w:p w14:paraId="37623DF0" w14:textId="4C7BFFA3" w:rsidR="00CD105B" w:rsidRPr="00CD105B" w:rsidRDefault="00CD105B" w:rsidP="00CD105B">
      <w:pPr>
        <w:pStyle w:val="TextoNormalSangraFrancesa"/>
        <w:rPr>
          <w:rStyle w:val="TextoNormalCaracter"/>
        </w:rPr>
      </w:pPr>
      <w:bookmarkStart w:id="913" w:name="DESCRIPTORALFABETICO211"/>
      <w:r w:rsidRPr="00CD105B">
        <w:rPr>
          <w:rStyle w:val="TextoNormalNegritaCaracter"/>
        </w:rPr>
        <w:t>Separación de poderes</w:t>
      </w:r>
      <w:bookmarkEnd w:id="913"/>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 4; </w:t>
      </w:r>
      <w:hyperlink w:anchor="SENTENCIA_2024_97" w:history="1">
        <w:r w:rsidRPr="00CD105B">
          <w:rPr>
            <w:rStyle w:val="TextoNormalCaracter"/>
          </w:rPr>
          <w:t>97/2024</w:t>
        </w:r>
      </w:hyperlink>
      <w:r w:rsidRPr="00CD105B">
        <w:rPr>
          <w:rStyle w:val="TextoNormalCaracter"/>
        </w:rPr>
        <w:t xml:space="preserve">, f. 4; </w:t>
      </w:r>
      <w:hyperlink w:anchor="SENTENCIA_2024_98" w:history="1">
        <w:r w:rsidRPr="00CD105B">
          <w:rPr>
            <w:rStyle w:val="TextoNormalCaracter"/>
          </w:rPr>
          <w:t>98/2024</w:t>
        </w:r>
      </w:hyperlink>
      <w:r w:rsidRPr="00CD105B">
        <w:rPr>
          <w:rStyle w:val="TextoNormalCaracter"/>
        </w:rPr>
        <w:t xml:space="preserve">, f. 4; </w:t>
      </w:r>
      <w:hyperlink w:anchor="SENTENCIA_2024_99" w:history="1">
        <w:r w:rsidRPr="00CD105B">
          <w:rPr>
            <w:rStyle w:val="TextoNormalCaracter"/>
          </w:rPr>
          <w:t>99/2024</w:t>
        </w:r>
      </w:hyperlink>
      <w:r w:rsidRPr="00CD105B">
        <w:rPr>
          <w:rStyle w:val="TextoNormalCaracter"/>
        </w:rPr>
        <w:t xml:space="preserve">, f. 3, VP III; </w:t>
      </w:r>
      <w:hyperlink w:anchor="SENTENCIA_2024_100" w:history="1">
        <w:r w:rsidRPr="00CD105B">
          <w:rPr>
            <w:rStyle w:val="TextoNormalCaracter"/>
          </w:rPr>
          <w:t>100/2024</w:t>
        </w:r>
      </w:hyperlink>
      <w:r w:rsidRPr="00CD105B">
        <w:rPr>
          <w:rStyle w:val="TextoNormalCaracter"/>
        </w:rPr>
        <w:t xml:space="preserve">, f. 4; </w:t>
      </w:r>
      <w:hyperlink w:anchor="SENTENCIA_2024_102" w:history="1">
        <w:r w:rsidRPr="00CD105B">
          <w:rPr>
            <w:rStyle w:val="TextoNormalCaracter"/>
          </w:rPr>
          <w:t>102/2024</w:t>
        </w:r>
      </w:hyperlink>
      <w:r w:rsidRPr="00CD105B">
        <w:rPr>
          <w:rStyle w:val="TextoNormalCaracter"/>
        </w:rPr>
        <w:t xml:space="preserve">, f. 4; </w:t>
      </w:r>
      <w:hyperlink w:anchor="SENTENCIA_2024_103" w:history="1">
        <w:r w:rsidRPr="00CD105B">
          <w:rPr>
            <w:rStyle w:val="TextoNormalCaracter"/>
          </w:rPr>
          <w:t>103/2024</w:t>
        </w:r>
      </w:hyperlink>
      <w:r w:rsidRPr="00CD105B">
        <w:rPr>
          <w:rStyle w:val="TextoNormalCaracter"/>
        </w:rPr>
        <w:t>, f. 4.</w:t>
      </w:r>
    </w:p>
    <w:p w14:paraId="33CB3146" w14:textId="4A44116E" w:rsidR="00CD105B" w:rsidRPr="00CD105B" w:rsidRDefault="00CD105B" w:rsidP="00CD105B">
      <w:pPr>
        <w:pStyle w:val="TextoNormalSangraFrancesa"/>
        <w:rPr>
          <w:rStyle w:val="TextoNormalCaracter"/>
        </w:rPr>
      </w:pPr>
      <w:bookmarkStart w:id="914" w:name="DESCRIPTORALFABETICO234"/>
      <w:r w:rsidRPr="00CD105B">
        <w:rPr>
          <w:rStyle w:val="TextoNormalNegritaCaracter"/>
        </w:rPr>
        <w:t>Servidumbre de protección de costas</w:t>
      </w:r>
      <w:bookmarkEnd w:id="914"/>
      <w:r w:rsidRPr="00CD105B">
        <w:rPr>
          <w:rStyle w:val="TextoNormalCaracter"/>
        </w:rPr>
        <w:t xml:space="preserve">, Sentencia </w:t>
      </w:r>
      <w:hyperlink w:anchor="SENTENCIA_2024_119" w:history="1">
        <w:r w:rsidRPr="00CD105B">
          <w:rPr>
            <w:rStyle w:val="TextoNormalCaracter"/>
          </w:rPr>
          <w:t>119/2024</w:t>
        </w:r>
      </w:hyperlink>
      <w:r w:rsidRPr="00CD105B">
        <w:rPr>
          <w:rStyle w:val="TextoNormalCaracter"/>
        </w:rPr>
        <w:t>, f. 1.</w:t>
      </w:r>
    </w:p>
    <w:p w14:paraId="0C52335C" w14:textId="5F4A041E" w:rsidR="00CD105B" w:rsidRPr="00CD105B" w:rsidRDefault="00CD105B" w:rsidP="00CD105B">
      <w:pPr>
        <w:pStyle w:val="TextoNormalSangraFrancesa"/>
        <w:rPr>
          <w:rStyle w:val="TextoNormalCaracter"/>
        </w:rPr>
      </w:pPr>
      <w:bookmarkStart w:id="915" w:name="DESCRIPTORALFABETICO60"/>
      <w:r w:rsidRPr="00CD105B">
        <w:rPr>
          <w:rStyle w:val="TextoNormalNegritaCaracter"/>
        </w:rPr>
        <w:t>Sobrecarga de trabajo del órgano judicial</w:t>
      </w:r>
      <w:bookmarkEnd w:id="915"/>
      <w:r w:rsidRPr="00CD105B">
        <w:rPr>
          <w:rStyle w:val="TextoNormalCaracter"/>
        </w:rPr>
        <w:t xml:space="preserve">, Sentencia </w:t>
      </w:r>
      <w:hyperlink w:anchor="SENTENCIA_2024_135" w:history="1">
        <w:r w:rsidRPr="00CD105B">
          <w:rPr>
            <w:rStyle w:val="TextoNormalCaracter"/>
          </w:rPr>
          <w:t>135/2024</w:t>
        </w:r>
      </w:hyperlink>
      <w:r w:rsidRPr="00CD105B">
        <w:rPr>
          <w:rStyle w:val="TextoNormalCaracter"/>
        </w:rPr>
        <w:t>, ff. 1 y 4.</w:t>
      </w:r>
    </w:p>
    <w:p w14:paraId="7DB30706" w14:textId="3C7C9FA1" w:rsidR="00CD105B" w:rsidRPr="00CD105B" w:rsidRDefault="00CD105B" w:rsidP="00CD105B">
      <w:pPr>
        <w:pStyle w:val="TextoNormalSangraFrancesa"/>
        <w:rPr>
          <w:rStyle w:val="TextoNormalCaracter"/>
        </w:rPr>
      </w:pPr>
      <w:bookmarkStart w:id="916" w:name="DESCRIPTORALFABETICO359"/>
      <w:r w:rsidRPr="00CD105B">
        <w:rPr>
          <w:rStyle w:val="TextoNormalNegritaCaracter"/>
        </w:rPr>
        <w:t>Sobreseimiento provisional</w:t>
      </w:r>
      <w:bookmarkEnd w:id="916"/>
      <w:r w:rsidRPr="00CD105B">
        <w:rPr>
          <w:rStyle w:val="TextoNormalCaracter"/>
        </w:rPr>
        <w:t xml:space="preserve">, Sentencias </w:t>
      </w:r>
      <w:hyperlink w:anchor="SENTENCIA_2024_105" w:history="1">
        <w:r w:rsidRPr="00CD105B">
          <w:rPr>
            <w:rStyle w:val="TextoNormalCaracter"/>
          </w:rPr>
          <w:t>105/2024</w:t>
        </w:r>
      </w:hyperlink>
      <w:r w:rsidRPr="00CD105B">
        <w:rPr>
          <w:rStyle w:val="TextoNormalCaracter"/>
        </w:rPr>
        <w:t xml:space="preserve">, ff. 1 a 5; </w:t>
      </w:r>
      <w:hyperlink w:anchor="SENTENCIA_2024_144" w:history="1">
        <w:r w:rsidRPr="00CD105B">
          <w:rPr>
            <w:rStyle w:val="TextoNormalCaracter"/>
          </w:rPr>
          <w:t>144/2024</w:t>
        </w:r>
      </w:hyperlink>
      <w:r w:rsidRPr="00CD105B">
        <w:rPr>
          <w:rStyle w:val="TextoNormalCaracter"/>
        </w:rPr>
        <w:t>, ff. 1 a 5.</w:t>
      </w:r>
    </w:p>
    <w:p w14:paraId="7C64F497" w14:textId="4FA1B78D" w:rsidR="00CD105B" w:rsidRPr="00CD105B" w:rsidRDefault="00CD105B" w:rsidP="00CD105B">
      <w:pPr>
        <w:pStyle w:val="TextoNormalSangraFrancesa"/>
        <w:rPr>
          <w:rStyle w:val="TextoNormalCaracter"/>
        </w:rPr>
      </w:pPr>
      <w:bookmarkStart w:id="917" w:name="DESCRIPTORALFABETICO229"/>
      <w:r w:rsidRPr="00CD105B">
        <w:rPr>
          <w:rStyle w:val="TextoNormalNegritaCaracter"/>
        </w:rPr>
        <w:t>Subrogación legal</w:t>
      </w:r>
      <w:bookmarkEnd w:id="917"/>
      <w:r w:rsidRPr="00CD105B">
        <w:rPr>
          <w:rStyle w:val="TextoNormalCaracter"/>
        </w:rPr>
        <w:t xml:space="preserve">, Sentencia </w:t>
      </w:r>
      <w:hyperlink w:anchor="SENTENCIA_2024_120" w:history="1">
        <w:r w:rsidRPr="00CD105B">
          <w:rPr>
            <w:rStyle w:val="TextoNormalCaracter"/>
          </w:rPr>
          <w:t>120/2024</w:t>
        </w:r>
      </w:hyperlink>
      <w:r w:rsidRPr="00CD105B">
        <w:rPr>
          <w:rStyle w:val="TextoNormalCaracter"/>
        </w:rPr>
        <w:t>, f. 7.</w:t>
      </w:r>
    </w:p>
    <w:p w14:paraId="7285470C" w14:textId="3804D220" w:rsidR="00CD105B" w:rsidRPr="00CD105B" w:rsidRDefault="00CD105B" w:rsidP="00CD105B">
      <w:pPr>
        <w:pStyle w:val="TextoNormalSangraFrancesa"/>
        <w:rPr>
          <w:rStyle w:val="TextoNormalCaracter"/>
        </w:rPr>
      </w:pPr>
      <w:bookmarkStart w:id="918" w:name="DESCRIPTORALFABETICO337"/>
      <w:r w:rsidRPr="00CD105B">
        <w:rPr>
          <w:rStyle w:val="TextoNormalNegritaCaracter"/>
        </w:rPr>
        <w:t>Subsunción de hechos probados</w:t>
      </w:r>
      <w:bookmarkEnd w:id="918"/>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ff. 4 y 5; </w:t>
      </w:r>
      <w:hyperlink w:anchor="SENTENCIA_2024_95" w:history="1">
        <w:r w:rsidRPr="00CD105B">
          <w:rPr>
            <w:rStyle w:val="TextoNormalCaracter"/>
          </w:rPr>
          <w:t>95/2024</w:t>
        </w:r>
      </w:hyperlink>
      <w:r w:rsidRPr="00CD105B">
        <w:rPr>
          <w:rStyle w:val="TextoNormalCaracter"/>
        </w:rPr>
        <w:t xml:space="preserve">, f. 3; </w:t>
      </w:r>
      <w:hyperlink w:anchor="SENTENCIA_2024_96" w:history="1">
        <w:r w:rsidRPr="00CD105B">
          <w:rPr>
            <w:rStyle w:val="TextoNormalCaracter"/>
          </w:rPr>
          <w:t>96/2024</w:t>
        </w:r>
      </w:hyperlink>
      <w:r w:rsidRPr="00CD105B">
        <w:rPr>
          <w:rStyle w:val="TextoNormalCaracter"/>
        </w:rPr>
        <w:t xml:space="preserve">, ff. 6 y 7, VP I, VP II, VP III, VP IV; </w:t>
      </w:r>
      <w:hyperlink w:anchor="SENTENCIA_2024_97" w:history="1">
        <w:r w:rsidRPr="00CD105B">
          <w:rPr>
            <w:rStyle w:val="TextoNormalCaracter"/>
          </w:rPr>
          <w:t>97/2024</w:t>
        </w:r>
      </w:hyperlink>
      <w:r w:rsidRPr="00CD105B">
        <w:rPr>
          <w:rStyle w:val="TextoNormalCaracter"/>
        </w:rPr>
        <w:t xml:space="preserve">, ff. 3 y 5, VP I, VP II, VP III, VP IV; </w:t>
      </w:r>
      <w:hyperlink w:anchor="SENTENCIA_2024_98" w:history="1">
        <w:r w:rsidRPr="00CD105B">
          <w:rPr>
            <w:rStyle w:val="TextoNormalCaracter"/>
          </w:rPr>
          <w:t>98/2024</w:t>
        </w:r>
      </w:hyperlink>
      <w:r w:rsidRPr="00CD105B">
        <w:rPr>
          <w:rStyle w:val="TextoNormalCaracter"/>
        </w:rPr>
        <w:t xml:space="preserve">, ff. 4 y 5, VP, I, VP II; </w:t>
      </w:r>
      <w:hyperlink w:anchor="SENTENCIA_2024_99" w:history="1">
        <w:r w:rsidRPr="00CD105B">
          <w:rPr>
            <w:rStyle w:val="TextoNormalCaracter"/>
          </w:rPr>
          <w:t>99/2024</w:t>
        </w:r>
      </w:hyperlink>
      <w:r w:rsidRPr="00CD105B">
        <w:rPr>
          <w:rStyle w:val="TextoNormalCaracter"/>
        </w:rPr>
        <w:t xml:space="preserve">, f. 3, VP II, VP III, VP IV; </w:t>
      </w:r>
      <w:hyperlink w:anchor="SENTENCIA_2024_100" w:history="1">
        <w:r w:rsidRPr="00CD105B">
          <w:rPr>
            <w:rStyle w:val="TextoNormalCaracter"/>
          </w:rPr>
          <w:t>100/2024</w:t>
        </w:r>
      </w:hyperlink>
      <w:r w:rsidRPr="00CD105B">
        <w:rPr>
          <w:rStyle w:val="TextoNormalCaracter"/>
        </w:rPr>
        <w:t xml:space="preserve">, ff. 4 y 5, VP I; </w:t>
      </w:r>
      <w:hyperlink w:anchor="SENTENCIA_2024_101" w:history="1">
        <w:r w:rsidRPr="00CD105B">
          <w:rPr>
            <w:rStyle w:val="TextoNormalCaracter"/>
          </w:rPr>
          <w:t>101/2024</w:t>
        </w:r>
      </w:hyperlink>
      <w:r w:rsidRPr="00CD105B">
        <w:rPr>
          <w:rStyle w:val="TextoNormalCaracter"/>
        </w:rPr>
        <w:t xml:space="preserve">, ff. 3 y 4; </w:t>
      </w:r>
      <w:hyperlink w:anchor="SENTENCIA_2024_102" w:history="1">
        <w:r w:rsidRPr="00CD105B">
          <w:rPr>
            <w:rStyle w:val="TextoNormalCaracter"/>
          </w:rPr>
          <w:t>102/2024</w:t>
        </w:r>
      </w:hyperlink>
      <w:r w:rsidRPr="00CD105B">
        <w:rPr>
          <w:rStyle w:val="TextoNormalCaracter"/>
        </w:rPr>
        <w:t xml:space="preserve">, f. 4, VP I, VP II, VP III, VP IV; </w:t>
      </w:r>
      <w:hyperlink w:anchor="SENTENCIA_2024_103" w:history="1">
        <w:r w:rsidRPr="00CD105B">
          <w:rPr>
            <w:rStyle w:val="TextoNormalCaracter"/>
          </w:rPr>
          <w:t>103/2024</w:t>
        </w:r>
      </w:hyperlink>
      <w:r w:rsidRPr="00CD105B">
        <w:rPr>
          <w:rStyle w:val="TextoNormalCaracter"/>
        </w:rPr>
        <w:t>, ff. 3 y 4, VP II, VP III, VP IV.</w:t>
      </w:r>
    </w:p>
    <w:p w14:paraId="5C14B3E3" w14:textId="5E2AF9DB" w:rsidR="00CD105B" w:rsidRPr="00CD105B" w:rsidRDefault="00CD105B" w:rsidP="00CD105B">
      <w:pPr>
        <w:pStyle w:val="TextoNormalSangraFrancesa"/>
        <w:rPr>
          <w:rStyle w:val="TextoNormalCaracter"/>
        </w:rPr>
      </w:pPr>
      <w:bookmarkStart w:id="919" w:name="DESCRIPTORALFABETICO250"/>
      <w:r w:rsidRPr="00CD105B">
        <w:rPr>
          <w:rStyle w:val="TextoNormalNegritaCaracter"/>
        </w:rPr>
        <w:t>Subvenciones públicas</w:t>
      </w:r>
      <w:bookmarkEnd w:id="919"/>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 1; </w:t>
      </w:r>
      <w:hyperlink w:anchor="SENTENCIA_2024_95" w:history="1">
        <w:r w:rsidRPr="00CD105B">
          <w:rPr>
            <w:rStyle w:val="TextoNormalCaracter"/>
          </w:rPr>
          <w:t>95/2024</w:t>
        </w:r>
      </w:hyperlink>
      <w:r w:rsidRPr="00CD105B">
        <w:rPr>
          <w:rStyle w:val="TextoNormalCaracter"/>
        </w:rPr>
        <w:t xml:space="preserve">, ff. 2, 3 y 4; </w:t>
      </w:r>
      <w:hyperlink w:anchor="SENTENCIA_2024_96" w:history="1">
        <w:r w:rsidRPr="00CD105B">
          <w:rPr>
            <w:rStyle w:val="TextoNormalCaracter"/>
          </w:rPr>
          <w:t>96/2024</w:t>
        </w:r>
      </w:hyperlink>
      <w:r w:rsidRPr="00CD105B">
        <w:rPr>
          <w:rStyle w:val="TextoNormalCaracter"/>
        </w:rPr>
        <w:t xml:space="preserve">, ff. 3 a 7, VP I, VP II, VP III, VP IV; </w:t>
      </w:r>
      <w:hyperlink w:anchor="SENTENCIA_2024_97" w:history="1">
        <w:r w:rsidRPr="00CD105B">
          <w:rPr>
            <w:rStyle w:val="TextoNormalCaracter"/>
          </w:rPr>
          <w:t>97/2024</w:t>
        </w:r>
      </w:hyperlink>
      <w:r w:rsidRPr="00CD105B">
        <w:rPr>
          <w:rStyle w:val="TextoNormalCaracter"/>
        </w:rPr>
        <w:t xml:space="preserve">, ff. 4 a 6, VP I, VP II, VP III, VP IV; </w:t>
      </w:r>
      <w:hyperlink w:anchor="SENTENCIA_2024_98" w:history="1">
        <w:r w:rsidRPr="00CD105B">
          <w:rPr>
            <w:rStyle w:val="TextoNormalCaracter"/>
          </w:rPr>
          <w:t>98/2024</w:t>
        </w:r>
      </w:hyperlink>
      <w:r w:rsidRPr="00CD105B">
        <w:rPr>
          <w:rStyle w:val="TextoNormalCaracter"/>
        </w:rPr>
        <w:t xml:space="preserve">, f. 1; </w:t>
      </w:r>
      <w:hyperlink w:anchor="SENTENCIA_2024_99" w:history="1">
        <w:r w:rsidRPr="00CD105B">
          <w:rPr>
            <w:rStyle w:val="TextoNormalCaracter"/>
          </w:rPr>
          <w:t>99/2024</w:t>
        </w:r>
      </w:hyperlink>
      <w:r w:rsidRPr="00CD105B">
        <w:rPr>
          <w:rStyle w:val="TextoNormalCaracter"/>
        </w:rPr>
        <w:t xml:space="preserve">, f. 1; </w:t>
      </w:r>
      <w:hyperlink w:anchor="SENTENCIA_2024_100" w:history="1">
        <w:r w:rsidRPr="00CD105B">
          <w:rPr>
            <w:rStyle w:val="TextoNormalCaracter"/>
          </w:rPr>
          <w:t>100/2024</w:t>
        </w:r>
      </w:hyperlink>
      <w:r w:rsidRPr="00CD105B">
        <w:rPr>
          <w:rStyle w:val="TextoNormalCaracter"/>
        </w:rPr>
        <w:t xml:space="preserve">, f. 1, VP I, VP II, VP III; </w:t>
      </w:r>
      <w:hyperlink w:anchor="SENTENCIA_2024_101" w:history="1">
        <w:r w:rsidRPr="00CD105B">
          <w:rPr>
            <w:rStyle w:val="TextoNormalCaracter"/>
          </w:rPr>
          <w:t>101/2024</w:t>
        </w:r>
      </w:hyperlink>
      <w:r w:rsidRPr="00CD105B">
        <w:rPr>
          <w:rStyle w:val="TextoNormalCaracter"/>
        </w:rPr>
        <w:t xml:space="preserve">, f. 3; </w:t>
      </w:r>
      <w:hyperlink w:anchor="SENTENCIA_2024_102" w:history="1">
        <w:r w:rsidRPr="00CD105B">
          <w:rPr>
            <w:rStyle w:val="TextoNormalCaracter"/>
          </w:rPr>
          <w:t>102/2024</w:t>
        </w:r>
      </w:hyperlink>
      <w:r w:rsidRPr="00CD105B">
        <w:rPr>
          <w:rStyle w:val="TextoNormalCaracter"/>
        </w:rPr>
        <w:t xml:space="preserve">, ff. 2, 4 y 5, VP I; </w:t>
      </w:r>
      <w:hyperlink w:anchor="SENTENCIA_2024_103" w:history="1">
        <w:r w:rsidRPr="00CD105B">
          <w:rPr>
            <w:rStyle w:val="TextoNormalCaracter"/>
          </w:rPr>
          <w:t>103/2024</w:t>
        </w:r>
      </w:hyperlink>
      <w:r w:rsidRPr="00CD105B">
        <w:rPr>
          <w:rStyle w:val="TextoNormalCaracter"/>
        </w:rPr>
        <w:t>, f. 1, VP I.</w:t>
      </w:r>
    </w:p>
    <w:p w14:paraId="340A4549" w14:textId="77777777" w:rsidR="00CD105B" w:rsidRPr="00CD105B" w:rsidRDefault="00CD105B" w:rsidP="00CD105B">
      <w:pPr>
        <w:pStyle w:val="TextoNormalSangraFrancesa"/>
        <w:rPr>
          <w:rStyle w:val="TextoNormalCaracter"/>
        </w:rPr>
      </w:pPr>
      <w:bookmarkStart w:id="920" w:name="DESCRIPTORALFABETICO86"/>
      <w:r w:rsidRPr="00CD105B">
        <w:rPr>
          <w:rStyle w:val="TextoNormalNegritaCaracter"/>
        </w:rPr>
        <w:t>Suspensión cautelar de resoluciones civiles</w:t>
      </w:r>
      <w:bookmarkEnd w:id="920"/>
      <w:r w:rsidRPr="00CD105B">
        <w:rPr>
          <w:rStyle w:val="TextoNormalCaracter"/>
        </w:rPr>
        <w:t xml:space="preserve">, </w:t>
      </w:r>
    </w:p>
    <w:p w14:paraId="6F8FF01C" w14:textId="3AF0B04D" w:rsidR="00CD105B" w:rsidRPr="00CD105B" w:rsidRDefault="00CD105B" w:rsidP="00CD105B">
      <w:pPr>
        <w:pStyle w:val="TextoNormalSangraFrancesa"/>
        <w:rPr>
          <w:rStyle w:val="TextoNormalCaracter"/>
        </w:rPr>
      </w:pPr>
      <w:r w:rsidRPr="00CD105B">
        <w:rPr>
          <w:rStyle w:val="TextoNormalCursivaCaracter"/>
        </w:rPr>
        <w:t xml:space="preserve">    No suspende, </w:t>
      </w:r>
      <w:r w:rsidRPr="00CD105B">
        <w:rPr>
          <w:rStyle w:val="TextoNormalCaracter"/>
        </w:rPr>
        <w:t xml:space="preserve">Auto </w:t>
      </w:r>
      <w:hyperlink w:anchor="AUTO_2024_77" w:history="1">
        <w:r w:rsidRPr="00CD105B">
          <w:rPr>
            <w:rStyle w:val="TextoNormalCaracter"/>
          </w:rPr>
          <w:t>77/2024</w:t>
        </w:r>
      </w:hyperlink>
      <w:r w:rsidRPr="00CD105B">
        <w:rPr>
          <w:rStyle w:val="TextoNormalCaracter"/>
        </w:rPr>
        <w:t>, f. 3.</w:t>
      </w:r>
    </w:p>
    <w:p w14:paraId="42B0CD93" w14:textId="37BEE395" w:rsidR="00CD105B" w:rsidRPr="00CD105B" w:rsidRDefault="00CD105B" w:rsidP="00CD105B">
      <w:pPr>
        <w:pStyle w:val="TextoNormalSangraFrancesa"/>
        <w:rPr>
          <w:rStyle w:val="TextoNormalCaracter"/>
        </w:rPr>
      </w:pPr>
      <w:r w:rsidRPr="00CD105B">
        <w:rPr>
          <w:rStyle w:val="TextoNormalCursivaCaracter"/>
        </w:rPr>
        <w:t xml:space="preserve">    Suspende, </w:t>
      </w:r>
      <w:r w:rsidRPr="00CD105B">
        <w:rPr>
          <w:rStyle w:val="TextoNormalCaracter"/>
        </w:rPr>
        <w:t xml:space="preserve">Auto </w:t>
      </w:r>
      <w:hyperlink w:anchor="AUTO_2024_99" w:history="1">
        <w:r w:rsidRPr="00CD105B">
          <w:rPr>
            <w:rStyle w:val="TextoNormalCaracter"/>
          </w:rPr>
          <w:t>99/2024</w:t>
        </w:r>
      </w:hyperlink>
      <w:r w:rsidRPr="00CD105B">
        <w:rPr>
          <w:rStyle w:val="TextoNormalCaracter"/>
        </w:rPr>
        <w:t>, f. 3.</w:t>
      </w:r>
    </w:p>
    <w:p w14:paraId="2C00AF81" w14:textId="048C0C15" w:rsidR="00CD105B" w:rsidRPr="00CD105B" w:rsidRDefault="00CD105B" w:rsidP="00CD105B">
      <w:pPr>
        <w:pStyle w:val="TextoNormalSangraFrancesa"/>
        <w:rPr>
          <w:rStyle w:val="TextoNormalCaracter"/>
        </w:rPr>
      </w:pPr>
      <w:bookmarkStart w:id="921" w:name="DESCRIPTORALFABETICO85"/>
      <w:r w:rsidRPr="00CD105B">
        <w:rPr>
          <w:rStyle w:val="TextoNormalNegritaCaracter"/>
        </w:rPr>
        <w:t>Suspensión cautelar de resoluciones judiciales</w:t>
      </w:r>
      <w:bookmarkEnd w:id="921"/>
      <w:r w:rsidRPr="00CD105B">
        <w:rPr>
          <w:rStyle w:val="TextoNormalCaracter"/>
        </w:rPr>
        <w:t xml:space="preserve">, Auto </w:t>
      </w:r>
      <w:hyperlink w:anchor="AUTO_2024_61" w:history="1">
        <w:r w:rsidRPr="00CD105B">
          <w:rPr>
            <w:rStyle w:val="TextoNormalCaracter"/>
          </w:rPr>
          <w:t>61/2024</w:t>
        </w:r>
      </w:hyperlink>
      <w:r w:rsidRPr="00CD105B">
        <w:rPr>
          <w:rStyle w:val="TextoNormalCaracter"/>
        </w:rPr>
        <w:t>, f. 3.</w:t>
      </w:r>
    </w:p>
    <w:p w14:paraId="4E07825C" w14:textId="77777777" w:rsidR="00CD105B" w:rsidRPr="00CD105B" w:rsidRDefault="00CD105B" w:rsidP="00CD105B">
      <w:pPr>
        <w:pStyle w:val="TextoNormalSangraFrancesa"/>
        <w:rPr>
          <w:rStyle w:val="TextoNormalCaracter"/>
        </w:rPr>
      </w:pPr>
      <w:bookmarkStart w:id="922" w:name="DESCRIPTORALFABETICO88"/>
      <w:r w:rsidRPr="00CD105B">
        <w:rPr>
          <w:rStyle w:val="TextoNormalNegritaCaracter"/>
        </w:rPr>
        <w:t>Suspensión cautelar de resoluciones parlamentarias</w:t>
      </w:r>
      <w:bookmarkEnd w:id="922"/>
      <w:r w:rsidRPr="00CD105B">
        <w:rPr>
          <w:rStyle w:val="TextoNormalCaracter"/>
        </w:rPr>
        <w:t xml:space="preserve">, </w:t>
      </w:r>
    </w:p>
    <w:p w14:paraId="1B4C333D" w14:textId="0B851192" w:rsidR="00CD105B" w:rsidRPr="00CD105B" w:rsidRDefault="00CD105B" w:rsidP="00CD105B">
      <w:pPr>
        <w:pStyle w:val="TextoNormalSangraFrancesa"/>
        <w:rPr>
          <w:rStyle w:val="TextoNormalCaracter"/>
        </w:rPr>
      </w:pPr>
      <w:r w:rsidRPr="00CD105B">
        <w:rPr>
          <w:rStyle w:val="TextoNormalCursivaCaracter"/>
        </w:rPr>
        <w:t xml:space="preserve">    No suspende, </w:t>
      </w:r>
      <w:r w:rsidRPr="00CD105B">
        <w:rPr>
          <w:rStyle w:val="TextoNormalCaracter"/>
        </w:rPr>
        <w:t xml:space="preserve">Auto </w:t>
      </w:r>
      <w:hyperlink w:anchor="AUTO_2024_104" w:history="1">
        <w:r w:rsidRPr="00CD105B">
          <w:rPr>
            <w:rStyle w:val="TextoNormalCaracter"/>
          </w:rPr>
          <w:t>104/2024</w:t>
        </w:r>
      </w:hyperlink>
      <w:r w:rsidRPr="00CD105B">
        <w:rPr>
          <w:rStyle w:val="TextoNormalCaracter"/>
        </w:rPr>
        <w:t>, f. 2.</w:t>
      </w:r>
    </w:p>
    <w:p w14:paraId="7C1E9168" w14:textId="4AD7EBBD" w:rsidR="00CD105B" w:rsidRPr="00CD105B" w:rsidRDefault="00CD105B" w:rsidP="00CD105B">
      <w:pPr>
        <w:pStyle w:val="TextoNormalSangraFrancesa"/>
        <w:rPr>
          <w:rStyle w:val="TextoNormalCaracter"/>
        </w:rPr>
      </w:pPr>
      <w:r w:rsidRPr="00CD105B">
        <w:rPr>
          <w:rStyle w:val="TextoNormalCursivaCaracter"/>
        </w:rPr>
        <w:t xml:space="preserve">    Suspende, </w:t>
      </w:r>
      <w:r w:rsidRPr="00CD105B">
        <w:rPr>
          <w:rStyle w:val="TextoNormalCaracter"/>
        </w:rPr>
        <w:t xml:space="preserve">Auto </w:t>
      </w:r>
      <w:hyperlink w:anchor="AUTO_2024_98" w:history="1">
        <w:r w:rsidRPr="00CD105B">
          <w:rPr>
            <w:rStyle w:val="TextoNormalCaracter"/>
          </w:rPr>
          <w:t>98/2024</w:t>
        </w:r>
      </w:hyperlink>
      <w:r w:rsidRPr="00CD105B">
        <w:rPr>
          <w:rStyle w:val="TextoNormalCaracter"/>
        </w:rPr>
        <w:t>, f. único.</w:t>
      </w:r>
    </w:p>
    <w:p w14:paraId="366647B8" w14:textId="35D24840" w:rsidR="00CD105B" w:rsidRPr="00CD105B" w:rsidRDefault="00CD105B" w:rsidP="00CD105B">
      <w:pPr>
        <w:pStyle w:val="TextoNormalSangraFrancesa"/>
        <w:rPr>
          <w:rStyle w:val="TextoNormalCaracter"/>
        </w:rPr>
      </w:pPr>
      <w:bookmarkStart w:id="923" w:name="DESCRIPTORALFABETICO87"/>
      <w:r w:rsidRPr="00CD105B">
        <w:rPr>
          <w:rStyle w:val="TextoNormalNegritaCaracter"/>
        </w:rPr>
        <w:t>Suspensión cautelar de resoluciones penales</w:t>
      </w:r>
      <w:bookmarkEnd w:id="923"/>
      <w:r w:rsidRPr="00CD105B">
        <w:rPr>
          <w:rStyle w:val="TextoNormalCaracter"/>
        </w:rPr>
        <w:t xml:space="preserve">, Auto </w:t>
      </w:r>
      <w:hyperlink w:anchor="AUTO_2024_62" w:history="1">
        <w:r w:rsidRPr="00CD105B">
          <w:rPr>
            <w:rStyle w:val="TextoNormalCaracter"/>
          </w:rPr>
          <w:t>62/2024</w:t>
        </w:r>
      </w:hyperlink>
      <w:r w:rsidRPr="00CD105B">
        <w:rPr>
          <w:rStyle w:val="TextoNormalCaracter"/>
        </w:rPr>
        <w:t>, f. 3.</w:t>
      </w:r>
    </w:p>
    <w:p w14:paraId="746F67D9" w14:textId="0CEC3930" w:rsidR="00CD105B" w:rsidRPr="00CD105B" w:rsidRDefault="00CD105B" w:rsidP="00CD105B">
      <w:pPr>
        <w:pStyle w:val="TextoNormalSangraFrancesa"/>
        <w:rPr>
          <w:rStyle w:val="TextoNormalCaracter"/>
        </w:rPr>
      </w:pPr>
      <w:r w:rsidRPr="00CD105B">
        <w:rPr>
          <w:rStyle w:val="TextoNormalCursivaCaracter"/>
        </w:rPr>
        <w:t xml:space="preserve">    No suspende, </w:t>
      </w:r>
      <w:r w:rsidRPr="00CD105B">
        <w:rPr>
          <w:rStyle w:val="TextoNormalCaracter"/>
        </w:rPr>
        <w:t xml:space="preserve">Auto </w:t>
      </w:r>
      <w:hyperlink w:anchor="AUTO_2024_84" w:history="1">
        <w:r w:rsidRPr="00CD105B">
          <w:rPr>
            <w:rStyle w:val="TextoNormalCaracter"/>
          </w:rPr>
          <w:t>84/2024</w:t>
        </w:r>
      </w:hyperlink>
      <w:r w:rsidRPr="00CD105B">
        <w:rPr>
          <w:rStyle w:val="TextoNormalCaracter"/>
        </w:rPr>
        <w:t>, f. 3.</w:t>
      </w:r>
    </w:p>
    <w:p w14:paraId="0A7CDA18" w14:textId="28B52716" w:rsidR="00CD105B" w:rsidRPr="00CD105B" w:rsidRDefault="00CD105B" w:rsidP="00CD105B">
      <w:pPr>
        <w:pStyle w:val="TextoNormalSangraFrancesa"/>
        <w:rPr>
          <w:rStyle w:val="TextoNormalCaracter"/>
        </w:rPr>
      </w:pPr>
      <w:r w:rsidRPr="00CD105B">
        <w:rPr>
          <w:rStyle w:val="TextoNormalCursivaCaracter"/>
        </w:rPr>
        <w:t xml:space="preserve">    Suspende, </w:t>
      </w:r>
      <w:r w:rsidRPr="00CD105B">
        <w:rPr>
          <w:rStyle w:val="TextoNormalCaracter"/>
        </w:rPr>
        <w:t xml:space="preserve">Auto </w:t>
      </w:r>
      <w:hyperlink w:anchor="AUTO_2024_86" w:history="1">
        <w:r w:rsidRPr="00CD105B">
          <w:rPr>
            <w:rStyle w:val="TextoNormalCaracter"/>
          </w:rPr>
          <w:t>86/2024</w:t>
        </w:r>
      </w:hyperlink>
      <w:r w:rsidRPr="00CD105B">
        <w:rPr>
          <w:rStyle w:val="TextoNormalCaracter"/>
        </w:rPr>
        <w:t>, f. 2.</w:t>
      </w:r>
    </w:p>
    <w:p w14:paraId="58F63B01" w14:textId="6C365338" w:rsidR="00CD105B" w:rsidRPr="00CD105B" w:rsidRDefault="00CD105B" w:rsidP="00CD105B">
      <w:pPr>
        <w:pStyle w:val="TextoNormalSangraFrancesa"/>
        <w:rPr>
          <w:rStyle w:val="TextoNormalCaracter"/>
        </w:rPr>
      </w:pPr>
      <w:bookmarkStart w:id="924" w:name="DESCRIPTORALFABETICO285"/>
      <w:r w:rsidRPr="00CD105B">
        <w:rPr>
          <w:rStyle w:val="TextoNormalNegritaCaracter"/>
        </w:rPr>
        <w:t>Suspensión condicionada al pago de una cantidad</w:t>
      </w:r>
      <w:bookmarkEnd w:id="924"/>
      <w:r w:rsidRPr="00CD105B">
        <w:rPr>
          <w:rStyle w:val="TextoNormalCaracter"/>
        </w:rPr>
        <w:t xml:space="preserve">, Sentencia </w:t>
      </w:r>
      <w:hyperlink w:anchor="SENTENCIA_2024_122" w:history="1">
        <w:r w:rsidRPr="00CD105B">
          <w:rPr>
            <w:rStyle w:val="TextoNormalCaracter"/>
          </w:rPr>
          <w:t>122/2024</w:t>
        </w:r>
      </w:hyperlink>
      <w:r w:rsidRPr="00CD105B">
        <w:rPr>
          <w:rStyle w:val="TextoNormalCaracter"/>
        </w:rPr>
        <w:t>, f. 1.</w:t>
      </w:r>
    </w:p>
    <w:p w14:paraId="440AC148" w14:textId="52549ADD" w:rsidR="00CD105B" w:rsidRPr="00CD105B" w:rsidRDefault="00CD105B" w:rsidP="00CD105B">
      <w:pPr>
        <w:pStyle w:val="TextoNormalSangraFrancesa"/>
        <w:rPr>
          <w:rStyle w:val="TextoNormalCaracter"/>
        </w:rPr>
      </w:pPr>
      <w:bookmarkStart w:id="925" w:name="DESCRIPTORALFABETICO79"/>
      <w:r w:rsidRPr="00CD105B">
        <w:rPr>
          <w:rStyle w:val="TextoNormalNegritaCaracter"/>
        </w:rPr>
        <w:t>Suspensión de derechos fundamentales</w:t>
      </w:r>
      <w:bookmarkEnd w:id="925"/>
      <w:r w:rsidRPr="00CD105B">
        <w:rPr>
          <w:rStyle w:val="TextoNormalCaracter"/>
        </w:rPr>
        <w:t xml:space="preserve">, Sentencias </w:t>
      </w:r>
      <w:hyperlink w:anchor="SENTENCIA_2024_136" w:history="1">
        <w:r w:rsidRPr="00CD105B">
          <w:rPr>
            <w:rStyle w:val="TextoNormalCaracter"/>
          </w:rPr>
          <w:t>136/2024</w:t>
        </w:r>
      </w:hyperlink>
      <w:r w:rsidRPr="00CD105B">
        <w:rPr>
          <w:rStyle w:val="TextoNormalCaracter"/>
        </w:rPr>
        <w:t xml:space="preserve">, f. 4; </w:t>
      </w:r>
      <w:hyperlink w:anchor="SENTENCIA_2024_141" w:history="1">
        <w:r w:rsidRPr="00CD105B">
          <w:rPr>
            <w:rStyle w:val="TextoNormalCaracter"/>
          </w:rPr>
          <w:t>141/2024</w:t>
        </w:r>
      </w:hyperlink>
      <w:r w:rsidRPr="00CD105B">
        <w:rPr>
          <w:rStyle w:val="TextoNormalCaracter"/>
        </w:rPr>
        <w:t>, ff. 1, 3.</w:t>
      </w:r>
    </w:p>
    <w:p w14:paraId="4FB59A88" w14:textId="35718717" w:rsidR="00CD105B" w:rsidRPr="00CD105B" w:rsidRDefault="00CD105B" w:rsidP="00CD105B">
      <w:pPr>
        <w:pStyle w:val="TextoNormalSangraFrancesa"/>
        <w:rPr>
          <w:rStyle w:val="TextoNormalCaracter"/>
        </w:rPr>
      </w:pPr>
      <w:bookmarkStart w:id="926" w:name="DESCRIPTORALFABETICO332"/>
      <w:r w:rsidRPr="00CD105B">
        <w:rPr>
          <w:rStyle w:val="TextoNormalNegritaCaracter"/>
        </w:rPr>
        <w:t>Suspensión de ejecución de sentencia</w:t>
      </w:r>
      <w:bookmarkEnd w:id="926"/>
      <w:r w:rsidRPr="00CD105B">
        <w:rPr>
          <w:rStyle w:val="TextoNormalCaracter"/>
        </w:rPr>
        <w:t xml:space="preserve">, Sentencia </w:t>
      </w:r>
      <w:hyperlink w:anchor="SENTENCIA_2024_124" w:history="1">
        <w:r w:rsidRPr="00CD105B">
          <w:rPr>
            <w:rStyle w:val="TextoNormalCaracter"/>
          </w:rPr>
          <w:t>124/2024</w:t>
        </w:r>
      </w:hyperlink>
      <w:r w:rsidRPr="00CD105B">
        <w:rPr>
          <w:rStyle w:val="TextoNormalCaracter"/>
        </w:rPr>
        <w:t>, f. 1.</w:t>
      </w:r>
    </w:p>
    <w:p w14:paraId="641EBCED" w14:textId="0E709A1D" w:rsidR="00CD105B" w:rsidRPr="00CD105B" w:rsidRDefault="00CD105B" w:rsidP="00CD105B">
      <w:pPr>
        <w:pStyle w:val="TextoNormalSangraFrancesa"/>
        <w:rPr>
          <w:rStyle w:val="TextoNormalCaracter"/>
        </w:rPr>
      </w:pPr>
      <w:bookmarkStart w:id="927" w:name="DESCRIPTORALFABETICO283"/>
      <w:r w:rsidRPr="00CD105B">
        <w:rPr>
          <w:rStyle w:val="TextoNormalNegritaCaracter"/>
        </w:rPr>
        <w:t>Suspensión de la ejecución de la pena</w:t>
      </w:r>
      <w:bookmarkEnd w:id="927"/>
      <w:r w:rsidRPr="00CD105B">
        <w:rPr>
          <w:rStyle w:val="TextoNormalCaracter"/>
        </w:rPr>
        <w:t xml:space="preserve">, Sentencia </w:t>
      </w:r>
      <w:hyperlink w:anchor="SENTENCIA_2024_122" w:history="1">
        <w:r w:rsidRPr="00CD105B">
          <w:rPr>
            <w:rStyle w:val="TextoNormalCaracter"/>
          </w:rPr>
          <w:t>122/2024</w:t>
        </w:r>
      </w:hyperlink>
      <w:r w:rsidRPr="00CD105B">
        <w:rPr>
          <w:rStyle w:val="TextoNormalCaracter"/>
        </w:rPr>
        <w:t>, f. 1.</w:t>
      </w:r>
    </w:p>
    <w:p w14:paraId="0324B3A0" w14:textId="6BC28B8A" w:rsidR="00CD105B" w:rsidRPr="00CD105B" w:rsidRDefault="00CD105B" w:rsidP="00CD105B">
      <w:pPr>
        <w:pStyle w:val="TextoNormalSangraFrancesa"/>
        <w:rPr>
          <w:rStyle w:val="TextoNormalCaracter"/>
        </w:rPr>
      </w:pPr>
      <w:bookmarkStart w:id="928" w:name="DESCRIPTORALFABETICO84"/>
      <w:r w:rsidRPr="00CD105B">
        <w:rPr>
          <w:rStyle w:val="TextoNormalNegritaCaracter"/>
        </w:rPr>
        <w:t>Suspensión de la ejecución del acto que origina el amparo</w:t>
      </w:r>
      <w:bookmarkEnd w:id="928"/>
      <w:r w:rsidRPr="00CD105B">
        <w:rPr>
          <w:rStyle w:val="TextoNormalCaracter"/>
        </w:rPr>
        <w:t xml:space="preserve">, Auto </w:t>
      </w:r>
      <w:hyperlink w:anchor="AUTO_2024_152" w:history="1">
        <w:r w:rsidRPr="00CD105B">
          <w:rPr>
            <w:rStyle w:val="TextoNormalCaracter"/>
          </w:rPr>
          <w:t>152/2024</w:t>
        </w:r>
      </w:hyperlink>
      <w:r w:rsidRPr="00CD105B">
        <w:rPr>
          <w:rStyle w:val="TextoNormalCaracter"/>
        </w:rPr>
        <w:t>, ff. 4 y 5.</w:t>
      </w:r>
    </w:p>
    <w:p w14:paraId="712C5DB7" w14:textId="71FF432C" w:rsidR="00CD105B" w:rsidRPr="00CD105B" w:rsidRDefault="00CD105B" w:rsidP="00CD105B">
      <w:pPr>
        <w:pStyle w:val="TextoNormalSangraFrancesa"/>
        <w:rPr>
          <w:rStyle w:val="TextoNormalCaracter"/>
        </w:rPr>
      </w:pPr>
      <w:bookmarkStart w:id="929" w:name="DESCRIPTORALFABETICO362"/>
      <w:r w:rsidRPr="00CD105B">
        <w:rPr>
          <w:rStyle w:val="TextoNormalNegritaCaracter"/>
        </w:rPr>
        <w:t>Suspensión de la ejecución hipotecaria</w:t>
      </w:r>
      <w:bookmarkEnd w:id="929"/>
      <w:r w:rsidRPr="00CD105B">
        <w:rPr>
          <w:rStyle w:val="TextoNormalCaracter"/>
        </w:rPr>
        <w:t xml:space="preserve">, Auto </w:t>
      </w:r>
      <w:hyperlink w:anchor="AUTO_2024_152" w:history="1">
        <w:r w:rsidRPr="00CD105B">
          <w:rPr>
            <w:rStyle w:val="TextoNormalCaracter"/>
          </w:rPr>
          <w:t>152/2024</w:t>
        </w:r>
      </w:hyperlink>
      <w:r w:rsidRPr="00CD105B">
        <w:rPr>
          <w:rStyle w:val="TextoNormalCaracter"/>
        </w:rPr>
        <w:t>, ff. 4 y 5.</w:t>
      </w:r>
    </w:p>
    <w:p w14:paraId="664EBC29" w14:textId="093C80F8" w:rsidR="00CD105B" w:rsidRDefault="00CD105B" w:rsidP="00CD105B">
      <w:pPr>
        <w:pStyle w:val="TextoNormalSangraFrancesa"/>
      </w:pPr>
    </w:p>
    <w:p w14:paraId="480A4B35" w14:textId="77777777" w:rsidR="00CD105B" w:rsidRDefault="00CD105B" w:rsidP="00CD105B">
      <w:pPr>
        <w:pStyle w:val="TextoNormalSangraFrancesa"/>
      </w:pPr>
    </w:p>
    <w:p w14:paraId="3EE57067" w14:textId="77777777" w:rsidR="00CD105B" w:rsidRDefault="00CD105B" w:rsidP="00CD105B">
      <w:pPr>
        <w:pStyle w:val="TextoNormalNegritaCentrado"/>
      </w:pPr>
      <w:r>
        <w:t>T</w:t>
      </w:r>
    </w:p>
    <w:p w14:paraId="41E39237" w14:textId="526D1C59" w:rsidR="00CD105B" w:rsidRDefault="00CD105B" w:rsidP="00CD105B">
      <w:pPr>
        <w:pStyle w:val="TextoNormalNegritaCentrado"/>
      </w:pPr>
    </w:p>
    <w:p w14:paraId="1A92D893" w14:textId="0FE096A6" w:rsidR="00CD105B" w:rsidRPr="00CD105B" w:rsidRDefault="00CD105B" w:rsidP="00CD105B">
      <w:pPr>
        <w:pStyle w:val="TextoNormalSangraFrancesa"/>
        <w:rPr>
          <w:rStyle w:val="TextoNormalCaracter"/>
        </w:rPr>
      </w:pPr>
      <w:bookmarkStart w:id="930" w:name="DESCRIPTORALFABETICO105"/>
      <w:r w:rsidRPr="00CD105B">
        <w:rPr>
          <w:rStyle w:val="TextoNormalNegritaCaracter"/>
        </w:rPr>
        <w:t>Terminación del proceso constitucional</w:t>
      </w:r>
      <w:bookmarkEnd w:id="930"/>
      <w:r w:rsidRPr="00CD105B">
        <w:rPr>
          <w:rStyle w:val="TextoNormalCaracter"/>
        </w:rPr>
        <w:t xml:space="preserve">, Sentencia </w:t>
      </w:r>
      <w:hyperlink w:anchor="SENTENCIA_2024_127" w:history="1">
        <w:r w:rsidRPr="00CD105B">
          <w:rPr>
            <w:rStyle w:val="TextoNormalCaracter"/>
          </w:rPr>
          <w:t>127/2024</w:t>
        </w:r>
      </w:hyperlink>
      <w:r w:rsidRPr="00CD105B">
        <w:rPr>
          <w:rStyle w:val="TextoNormalCaracter"/>
        </w:rPr>
        <w:t>, f. 2.</w:t>
      </w:r>
    </w:p>
    <w:p w14:paraId="7CC3CB66" w14:textId="097C3C6B" w:rsidR="00CD105B" w:rsidRPr="00CD105B" w:rsidRDefault="00CD105B" w:rsidP="00CD105B">
      <w:pPr>
        <w:pStyle w:val="TextoNormalSangraFrancesa"/>
        <w:rPr>
          <w:rStyle w:val="TextoNormalCaracter"/>
        </w:rPr>
      </w:pPr>
      <w:bookmarkStart w:id="931" w:name="DESCRIPTORALFABETICO354"/>
      <w:r w:rsidRPr="00CD105B">
        <w:rPr>
          <w:rStyle w:val="TextoNormalNegritaCaracter"/>
        </w:rPr>
        <w:t>Término inicial</w:t>
      </w:r>
      <w:bookmarkEnd w:id="931"/>
      <w:r w:rsidRPr="00CD105B">
        <w:rPr>
          <w:rStyle w:val="TextoNormalCaracter"/>
        </w:rPr>
        <w:t xml:space="preserve">, Sentencia </w:t>
      </w:r>
      <w:hyperlink w:anchor="SENTENCIA_2024_118" w:history="1">
        <w:r w:rsidRPr="00CD105B">
          <w:rPr>
            <w:rStyle w:val="TextoNormalCaracter"/>
          </w:rPr>
          <w:t>118/2024</w:t>
        </w:r>
      </w:hyperlink>
      <w:r w:rsidRPr="00CD105B">
        <w:rPr>
          <w:rStyle w:val="TextoNormalCaracter"/>
        </w:rPr>
        <w:t>, ff. 1 y 5.</w:t>
      </w:r>
    </w:p>
    <w:p w14:paraId="58532ADE" w14:textId="1EA61F5E" w:rsidR="00CD105B" w:rsidRPr="00CD105B" w:rsidRDefault="00CD105B" w:rsidP="00CD105B">
      <w:pPr>
        <w:pStyle w:val="TextoNormalSangraFrancesa"/>
        <w:rPr>
          <w:rStyle w:val="TextoNormalCaracter"/>
        </w:rPr>
      </w:pPr>
      <w:bookmarkStart w:id="932" w:name="DESCRIPTORALFABETICO235"/>
      <w:r w:rsidRPr="00CD105B">
        <w:rPr>
          <w:rStyle w:val="TextoNormalNegritaCaracter"/>
        </w:rPr>
        <w:t>Titularidad de los bienes de dominio público</w:t>
      </w:r>
      <w:bookmarkEnd w:id="932"/>
      <w:r w:rsidRPr="00CD105B">
        <w:rPr>
          <w:rStyle w:val="TextoNormalCaracter"/>
        </w:rPr>
        <w:t xml:space="preserve">, Sentencia </w:t>
      </w:r>
      <w:hyperlink w:anchor="SENTENCIA_2024_119" w:history="1">
        <w:r w:rsidRPr="00CD105B">
          <w:rPr>
            <w:rStyle w:val="TextoNormalCaracter"/>
          </w:rPr>
          <w:t>119/2024</w:t>
        </w:r>
      </w:hyperlink>
      <w:r w:rsidRPr="00CD105B">
        <w:rPr>
          <w:rStyle w:val="TextoNormalCaracter"/>
        </w:rPr>
        <w:t>, f. 1.</w:t>
      </w:r>
    </w:p>
    <w:p w14:paraId="5C785EE7" w14:textId="571341E5" w:rsidR="00CD105B" w:rsidRPr="00CD105B" w:rsidRDefault="00CD105B" w:rsidP="00CD105B">
      <w:pPr>
        <w:pStyle w:val="TextoNormalSangraFrancesa"/>
        <w:rPr>
          <w:rStyle w:val="TextoNormalCaracter"/>
        </w:rPr>
      </w:pPr>
      <w:bookmarkStart w:id="933" w:name="DESCRIPTORALFABETICO176"/>
      <w:r w:rsidRPr="00CD105B">
        <w:rPr>
          <w:rStyle w:val="TextoNormalNegritaCaracter"/>
        </w:rPr>
        <w:t>Tramitación parlamentaria</w:t>
      </w:r>
      <w:bookmarkEnd w:id="933"/>
      <w:r w:rsidRPr="00CD105B">
        <w:rPr>
          <w:rStyle w:val="TextoNormalCaracter"/>
        </w:rPr>
        <w:t xml:space="preserve">, Sentencias </w:t>
      </w:r>
      <w:hyperlink w:anchor="SENTENCIA_2024_139" w:history="1">
        <w:r w:rsidRPr="00CD105B">
          <w:rPr>
            <w:rStyle w:val="TextoNormalCaracter"/>
          </w:rPr>
          <w:t>139/2024</w:t>
        </w:r>
      </w:hyperlink>
      <w:r w:rsidRPr="00CD105B">
        <w:rPr>
          <w:rStyle w:val="TextoNormalCaracter"/>
        </w:rPr>
        <w:t xml:space="preserve">, f. 4; </w:t>
      </w:r>
      <w:hyperlink w:anchor="SENTENCIA_2024_153" w:history="1">
        <w:r w:rsidRPr="00CD105B">
          <w:rPr>
            <w:rStyle w:val="TextoNormalCaracter"/>
          </w:rPr>
          <w:t>153/2024</w:t>
        </w:r>
      </w:hyperlink>
      <w:r w:rsidRPr="00CD105B">
        <w:rPr>
          <w:rStyle w:val="TextoNormalCaracter"/>
        </w:rPr>
        <w:t>, ff. 1 y 2, VP I, VP II.</w:t>
      </w:r>
    </w:p>
    <w:p w14:paraId="6F0B3F90" w14:textId="64F06BE3" w:rsidR="00CD105B" w:rsidRPr="00CD105B" w:rsidRDefault="00CD105B" w:rsidP="00CD105B">
      <w:pPr>
        <w:pStyle w:val="TextoNormalSangraFrancesa"/>
        <w:rPr>
          <w:rStyle w:val="TextoNormalCaracter"/>
        </w:rPr>
      </w:pPr>
      <w:bookmarkStart w:id="934" w:name="DESCRIPTORALFABETICO131"/>
      <w:r w:rsidRPr="00CD105B">
        <w:rPr>
          <w:rStyle w:val="TextoNormalNegritaCaracter"/>
        </w:rPr>
        <w:t>Trámite de admisión en el recurso de amparo</w:t>
      </w:r>
      <w:bookmarkEnd w:id="934"/>
      <w:r w:rsidRPr="00CD105B">
        <w:rPr>
          <w:rStyle w:val="TextoNormalCaracter"/>
        </w:rPr>
        <w:t xml:space="preserve">, Auto </w:t>
      </w:r>
      <w:hyperlink w:anchor="AUTO_2024_85" w:history="1">
        <w:r w:rsidRPr="00CD105B">
          <w:rPr>
            <w:rStyle w:val="TextoNormalCaracter"/>
          </w:rPr>
          <w:t>85/2024</w:t>
        </w:r>
      </w:hyperlink>
      <w:r w:rsidRPr="00CD105B">
        <w:rPr>
          <w:rStyle w:val="TextoNormalCaracter"/>
        </w:rPr>
        <w:t>, f. único, VP.</w:t>
      </w:r>
    </w:p>
    <w:p w14:paraId="48DFBC91" w14:textId="25302E8C" w:rsidR="00CD105B" w:rsidRPr="00CD105B" w:rsidRDefault="00CD105B" w:rsidP="00CD105B">
      <w:pPr>
        <w:pStyle w:val="TextoNormalSangraFrancesa"/>
        <w:rPr>
          <w:rStyle w:val="TextoNormalCaracter"/>
        </w:rPr>
      </w:pPr>
      <w:bookmarkStart w:id="935" w:name="DESCRIPTORALFABETICO311"/>
      <w:r w:rsidRPr="00CD105B">
        <w:rPr>
          <w:rStyle w:val="TextoNormalNegritaCaracter"/>
        </w:rPr>
        <w:t>Transporte de viajeros por carretera</w:t>
      </w:r>
      <w:bookmarkEnd w:id="935"/>
      <w:r w:rsidRPr="00CD105B">
        <w:rPr>
          <w:rStyle w:val="TextoNormalCaracter"/>
        </w:rPr>
        <w:t xml:space="preserve">, Sentencias </w:t>
      </w:r>
      <w:hyperlink w:anchor="SENTENCIA_2024_111" w:history="1">
        <w:r w:rsidRPr="00CD105B">
          <w:rPr>
            <w:rStyle w:val="TextoNormalCaracter"/>
          </w:rPr>
          <w:t>111/2024</w:t>
        </w:r>
      </w:hyperlink>
      <w:r w:rsidRPr="00CD105B">
        <w:rPr>
          <w:rStyle w:val="TextoNormalCaracter"/>
        </w:rPr>
        <w:t xml:space="preserve">, ff. 5 y 6; </w:t>
      </w:r>
      <w:hyperlink w:anchor="SENTENCIA_2024_112" w:history="1">
        <w:r w:rsidRPr="00CD105B">
          <w:rPr>
            <w:rStyle w:val="TextoNormalCaracter"/>
          </w:rPr>
          <w:t>112/2024</w:t>
        </w:r>
      </w:hyperlink>
      <w:r w:rsidRPr="00CD105B">
        <w:rPr>
          <w:rStyle w:val="TextoNormalCaracter"/>
        </w:rPr>
        <w:t>, ff. 3 y 5.</w:t>
      </w:r>
    </w:p>
    <w:p w14:paraId="0C87D03B" w14:textId="76BE67B5" w:rsidR="00CD105B" w:rsidRPr="00CD105B" w:rsidRDefault="00CD105B" w:rsidP="00CD105B">
      <w:pPr>
        <w:pStyle w:val="TextoNormalSangraFrancesa"/>
        <w:rPr>
          <w:rStyle w:val="TextoNormalCaracter"/>
        </w:rPr>
      </w:pPr>
      <w:bookmarkStart w:id="936" w:name="DESCRIPTORALFABETICO312"/>
      <w:r w:rsidRPr="00CD105B">
        <w:rPr>
          <w:rStyle w:val="TextoNormalNegritaCaracter"/>
        </w:rPr>
        <w:t>Transporte urbano</w:t>
      </w:r>
      <w:bookmarkEnd w:id="936"/>
      <w:r w:rsidRPr="00CD105B">
        <w:rPr>
          <w:rStyle w:val="TextoNormalCaracter"/>
        </w:rPr>
        <w:t xml:space="preserve">, Sentencia </w:t>
      </w:r>
      <w:hyperlink w:anchor="SENTENCIA_2024_111" w:history="1">
        <w:r w:rsidRPr="00CD105B">
          <w:rPr>
            <w:rStyle w:val="TextoNormalCaracter"/>
          </w:rPr>
          <w:t>111/2024</w:t>
        </w:r>
      </w:hyperlink>
      <w:r w:rsidRPr="00CD105B">
        <w:rPr>
          <w:rStyle w:val="TextoNormalCaracter"/>
        </w:rPr>
        <w:t>, f. 1.</w:t>
      </w:r>
    </w:p>
    <w:p w14:paraId="2F1B718B" w14:textId="77777777" w:rsidR="00CD105B" w:rsidRPr="00CD105B" w:rsidRDefault="00CD105B" w:rsidP="00CD105B">
      <w:pPr>
        <w:pStyle w:val="TextoNormalSangraFrancesa"/>
        <w:rPr>
          <w:rStyle w:val="TextoNormalCaracter"/>
        </w:rPr>
      </w:pPr>
      <w:bookmarkStart w:id="937" w:name="DESCRIPTORALFABETICO25"/>
      <w:r w:rsidRPr="00CD105B">
        <w:rPr>
          <w:rStyle w:val="TextoNormalNegritaCaracter"/>
        </w:rPr>
        <w:t>Tratos inhumanos o degradantes</w:t>
      </w:r>
      <w:bookmarkEnd w:id="937"/>
      <w:r w:rsidRPr="00CD105B">
        <w:rPr>
          <w:rStyle w:val="TextoNormalCaracter"/>
        </w:rPr>
        <w:t xml:space="preserve">, </w:t>
      </w:r>
    </w:p>
    <w:p w14:paraId="6F931164" w14:textId="517473F2" w:rsidR="00CD105B" w:rsidRPr="00CD105B" w:rsidRDefault="00CD105B" w:rsidP="00CD105B">
      <w:pPr>
        <w:pStyle w:val="TextoNormalSangraFrancesa"/>
        <w:rPr>
          <w:rStyle w:val="TextoNormalCaracter"/>
        </w:rPr>
      </w:pPr>
      <w:r w:rsidRPr="00CD105B">
        <w:rPr>
          <w:rStyle w:val="TextoNormalCursivaCaracter"/>
        </w:rPr>
        <w:t xml:space="preserve">    Doctrina constitucional, </w:t>
      </w:r>
      <w:r w:rsidRPr="00CD105B">
        <w:rPr>
          <w:rStyle w:val="TextoNormalCaracter"/>
        </w:rPr>
        <w:t xml:space="preserve">Sentencias </w:t>
      </w:r>
      <w:hyperlink w:anchor="SENTENCIA_2024_105" w:history="1">
        <w:r w:rsidRPr="00CD105B">
          <w:rPr>
            <w:rStyle w:val="TextoNormalCaracter"/>
          </w:rPr>
          <w:t>105/2024</w:t>
        </w:r>
      </w:hyperlink>
      <w:r w:rsidRPr="00CD105B">
        <w:rPr>
          <w:rStyle w:val="TextoNormalCaracter"/>
        </w:rPr>
        <w:t xml:space="preserve">, f. 2; </w:t>
      </w:r>
      <w:hyperlink w:anchor="SENTENCIA_2024_144" w:history="1">
        <w:r w:rsidRPr="00CD105B">
          <w:rPr>
            <w:rStyle w:val="TextoNormalCaracter"/>
          </w:rPr>
          <w:t>144/2024</w:t>
        </w:r>
      </w:hyperlink>
      <w:r w:rsidRPr="00CD105B">
        <w:rPr>
          <w:rStyle w:val="TextoNormalCaracter"/>
        </w:rPr>
        <w:t>, f. 4.</w:t>
      </w:r>
    </w:p>
    <w:p w14:paraId="3A78BDD8" w14:textId="62A855B9" w:rsidR="00CD105B" w:rsidRPr="00CD105B" w:rsidRDefault="00CD105B" w:rsidP="00CD105B">
      <w:pPr>
        <w:pStyle w:val="TextoNormalSangraFrancesa"/>
        <w:rPr>
          <w:rStyle w:val="TextoNormalCaracter"/>
        </w:rPr>
      </w:pPr>
      <w:bookmarkStart w:id="938" w:name="DESCRIPTORALFABETICO152"/>
      <w:r w:rsidRPr="00CD105B">
        <w:rPr>
          <w:rStyle w:val="TextoNormalNegritaCaracter"/>
        </w:rPr>
        <w:t>Tribunal de Cuentas</w:t>
      </w:r>
      <w:bookmarkEnd w:id="938"/>
      <w:r w:rsidRPr="00CD105B">
        <w:rPr>
          <w:rStyle w:val="TextoNormalCaracter"/>
        </w:rPr>
        <w:t xml:space="preserve">, Sentencia </w:t>
      </w:r>
      <w:hyperlink w:anchor="SENTENCIA_2024_121" w:history="1">
        <w:r w:rsidRPr="00CD105B">
          <w:rPr>
            <w:rStyle w:val="TextoNormalCaracter"/>
          </w:rPr>
          <w:t>121/2024</w:t>
        </w:r>
      </w:hyperlink>
      <w:r w:rsidRPr="00CD105B">
        <w:rPr>
          <w:rStyle w:val="TextoNormalCaracter"/>
        </w:rPr>
        <w:t>, VP I, VP II.</w:t>
      </w:r>
    </w:p>
    <w:p w14:paraId="44B7513F" w14:textId="4D14A6A9" w:rsidR="00CD105B" w:rsidRPr="00CD105B" w:rsidRDefault="00CD105B" w:rsidP="00CD105B">
      <w:pPr>
        <w:pStyle w:val="TextoNormalSangraFrancesa"/>
        <w:rPr>
          <w:rStyle w:val="TextoNormalCaracter"/>
        </w:rPr>
      </w:pPr>
      <w:bookmarkStart w:id="939" w:name="DESCRIPTORALFABETICO162"/>
      <w:r w:rsidRPr="00CD105B">
        <w:rPr>
          <w:rStyle w:val="TextoNormalNegritaCaracter"/>
        </w:rPr>
        <w:t>Tribunales militares</w:t>
      </w:r>
      <w:bookmarkEnd w:id="939"/>
      <w:r w:rsidRPr="00CD105B">
        <w:rPr>
          <w:rStyle w:val="TextoNormalCaracter"/>
        </w:rPr>
        <w:t xml:space="preserve">, Sentencia </w:t>
      </w:r>
      <w:hyperlink w:anchor="SENTENCIA_2024_128" w:history="1">
        <w:r w:rsidRPr="00CD105B">
          <w:rPr>
            <w:rStyle w:val="TextoNormalCaracter"/>
          </w:rPr>
          <w:t>128/2024</w:t>
        </w:r>
      </w:hyperlink>
      <w:r w:rsidRPr="00CD105B">
        <w:rPr>
          <w:rStyle w:val="TextoNormalCaracter"/>
        </w:rPr>
        <w:t>, f. 1.</w:t>
      </w:r>
    </w:p>
    <w:p w14:paraId="4F47D99C" w14:textId="749309DD" w:rsidR="00CD105B" w:rsidRPr="00CD105B" w:rsidRDefault="00CD105B" w:rsidP="00CD105B">
      <w:pPr>
        <w:pStyle w:val="TextoNormalSangraFrancesa"/>
        <w:rPr>
          <w:rStyle w:val="TextoNormalCaracter"/>
        </w:rPr>
      </w:pPr>
      <w:bookmarkStart w:id="940" w:name="DESCRIPTORALFABETICO164"/>
      <w:r w:rsidRPr="00CD105B">
        <w:rPr>
          <w:rStyle w:val="TextoNormalNegritaCaracter"/>
        </w:rPr>
        <w:t>Tribunales ordinarios</w:t>
      </w:r>
      <w:bookmarkEnd w:id="940"/>
      <w:r w:rsidRPr="00CD105B">
        <w:rPr>
          <w:rStyle w:val="TextoNormalCaracter"/>
        </w:rPr>
        <w:t xml:space="preserve">, Sentencia </w:t>
      </w:r>
      <w:hyperlink w:anchor="SENTENCIA_2024_128" w:history="1">
        <w:r w:rsidRPr="00CD105B">
          <w:rPr>
            <w:rStyle w:val="TextoNormalCaracter"/>
          </w:rPr>
          <w:t>128/2024</w:t>
        </w:r>
      </w:hyperlink>
      <w:r w:rsidRPr="00CD105B">
        <w:rPr>
          <w:rStyle w:val="TextoNormalCaracter"/>
        </w:rPr>
        <w:t>, f. 1.</w:t>
      </w:r>
    </w:p>
    <w:p w14:paraId="3FDF648C" w14:textId="4A4B8C08" w:rsidR="00CD105B" w:rsidRDefault="00CD105B" w:rsidP="00CD105B">
      <w:pPr>
        <w:pStyle w:val="TextoNormalSangraFrancesa"/>
      </w:pPr>
    </w:p>
    <w:p w14:paraId="208AF73A" w14:textId="77777777" w:rsidR="00CD105B" w:rsidRDefault="00CD105B" w:rsidP="00CD105B">
      <w:pPr>
        <w:pStyle w:val="TextoNormalSangraFrancesa"/>
      </w:pPr>
    </w:p>
    <w:p w14:paraId="68485711" w14:textId="77777777" w:rsidR="00CD105B" w:rsidRDefault="00CD105B" w:rsidP="00CD105B">
      <w:pPr>
        <w:pStyle w:val="TextoNormalNegritaCentrado"/>
      </w:pPr>
      <w:r>
        <w:t>U</w:t>
      </w:r>
    </w:p>
    <w:p w14:paraId="18C3C827" w14:textId="29E2439B" w:rsidR="00CD105B" w:rsidRDefault="00CD105B" w:rsidP="00CD105B">
      <w:pPr>
        <w:pStyle w:val="TextoNormalNegritaCentrado"/>
      </w:pPr>
    </w:p>
    <w:p w14:paraId="4AF935B6" w14:textId="5A0A3A55" w:rsidR="00CD105B" w:rsidRPr="00CD105B" w:rsidRDefault="00CD105B" w:rsidP="00CD105B">
      <w:pPr>
        <w:pStyle w:val="TextoNormalSangraFrancesa"/>
        <w:rPr>
          <w:rStyle w:val="TextoNormalCaracter"/>
        </w:rPr>
      </w:pPr>
      <w:bookmarkStart w:id="941" w:name="DESCRIPTORALFABETICO249"/>
      <w:r w:rsidRPr="00CD105B">
        <w:rPr>
          <w:rStyle w:val="TextoNormalNegritaCaracter"/>
        </w:rPr>
        <w:t>Unión de hecho</w:t>
      </w:r>
      <w:bookmarkEnd w:id="941"/>
      <w:r w:rsidRPr="00CD105B">
        <w:rPr>
          <w:rStyle w:val="TextoNormalCaracter"/>
        </w:rPr>
        <w:t xml:space="preserve">, Auto </w:t>
      </w:r>
      <w:hyperlink w:anchor="AUTO_2024_89" w:history="1">
        <w:r w:rsidRPr="00CD105B">
          <w:rPr>
            <w:rStyle w:val="TextoNormalCaracter"/>
          </w:rPr>
          <w:t>89/2024</w:t>
        </w:r>
      </w:hyperlink>
      <w:r w:rsidRPr="00CD105B">
        <w:rPr>
          <w:rStyle w:val="TextoNormalCaracter"/>
        </w:rPr>
        <w:t>, f. 1.</w:t>
      </w:r>
    </w:p>
    <w:p w14:paraId="7DEE9BD4" w14:textId="45DD0442" w:rsidR="00CD105B" w:rsidRDefault="00CD105B" w:rsidP="00CD105B">
      <w:pPr>
        <w:pStyle w:val="TextoNormalSangraFrancesa"/>
      </w:pPr>
    </w:p>
    <w:p w14:paraId="45F2FC9C" w14:textId="77777777" w:rsidR="00CD105B" w:rsidRDefault="00CD105B" w:rsidP="00CD105B">
      <w:pPr>
        <w:pStyle w:val="TextoNormalSangraFrancesa"/>
      </w:pPr>
    </w:p>
    <w:p w14:paraId="63D232E0" w14:textId="77777777" w:rsidR="00CD105B" w:rsidRDefault="00CD105B" w:rsidP="00CD105B">
      <w:pPr>
        <w:pStyle w:val="TextoNormalNegritaCentrado"/>
      </w:pPr>
      <w:r>
        <w:t>V</w:t>
      </w:r>
    </w:p>
    <w:p w14:paraId="2B954A3F" w14:textId="194E16ED" w:rsidR="00CD105B" w:rsidRDefault="00CD105B" w:rsidP="00CD105B">
      <w:pPr>
        <w:pStyle w:val="TextoNormalNegritaCentrado"/>
      </w:pPr>
    </w:p>
    <w:p w14:paraId="6155AE0A" w14:textId="6C3B7CBF" w:rsidR="00CD105B" w:rsidRPr="00CD105B" w:rsidRDefault="00CD105B" w:rsidP="00CD105B">
      <w:pPr>
        <w:pStyle w:val="TextoNormalSangraFrancesa"/>
        <w:rPr>
          <w:rStyle w:val="TextoNormalCaracter"/>
        </w:rPr>
      </w:pPr>
      <w:bookmarkStart w:id="942" w:name="DESCRIPTORALFABETICO302"/>
      <w:r w:rsidRPr="00CD105B">
        <w:rPr>
          <w:rStyle w:val="TextoNormalNegritaCaracter"/>
        </w:rPr>
        <w:t>Vacunación</w:t>
      </w:r>
      <w:bookmarkEnd w:id="942"/>
      <w:r w:rsidRPr="00CD105B">
        <w:rPr>
          <w:rStyle w:val="TextoNormalCaracter"/>
        </w:rPr>
        <w:t xml:space="preserve">, Sentencia </w:t>
      </w:r>
      <w:hyperlink w:anchor="SENTENCIA_2024_136" w:history="1">
        <w:r w:rsidRPr="00CD105B">
          <w:rPr>
            <w:rStyle w:val="TextoNormalCaracter"/>
          </w:rPr>
          <w:t>136/2024</w:t>
        </w:r>
      </w:hyperlink>
      <w:r w:rsidRPr="00CD105B">
        <w:rPr>
          <w:rStyle w:val="TextoNormalCaracter"/>
        </w:rPr>
        <w:t>, ff. 4 y 5.</w:t>
      </w:r>
    </w:p>
    <w:p w14:paraId="4EDC401A" w14:textId="2A4C4C11" w:rsidR="00CD105B" w:rsidRPr="00CD105B" w:rsidRDefault="00CD105B" w:rsidP="00CD105B">
      <w:pPr>
        <w:pStyle w:val="TextoNormalSangraFrancesa"/>
        <w:rPr>
          <w:rStyle w:val="TextoNormalCaracter"/>
        </w:rPr>
      </w:pPr>
      <w:bookmarkStart w:id="943" w:name="DESCRIPTORALFABETICO340"/>
      <w:r w:rsidRPr="00CD105B">
        <w:rPr>
          <w:rStyle w:val="TextoNormalNegritaCaracter"/>
        </w:rPr>
        <w:t>Valoración de la prueba</w:t>
      </w:r>
      <w:bookmarkEnd w:id="943"/>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f. 6 VP I, VP IV; </w:t>
      </w:r>
      <w:hyperlink w:anchor="SENTENCIA_2024_95" w:history="1">
        <w:r w:rsidRPr="00CD105B">
          <w:rPr>
            <w:rStyle w:val="TextoNormalCaracter"/>
          </w:rPr>
          <w:t>95/2024</w:t>
        </w:r>
      </w:hyperlink>
      <w:r w:rsidRPr="00CD105B">
        <w:rPr>
          <w:rStyle w:val="TextoNormalCaracter"/>
        </w:rPr>
        <w:t xml:space="preserve">, f. 4; </w:t>
      </w:r>
      <w:hyperlink w:anchor="SENTENCIA_2024_102" w:history="1">
        <w:r w:rsidRPr="00CD105B">
          <w:rPr>
            <w:rStyle w:val="TextoNormalCaracter"/>
          </w:rPr>
          <w:t>102/2024</w:t>
        </w:r>
      </w:hyperlink>
      <w:r w:rsidRPr="00CD105B">
        <w:rPr>
          <w:rStyle w:val="TextoNormalCaracter"/>
        </w:rPr>
        <w:t>, f. 5.</w:t>
      </w:r>
    </w:p>
    <w:p w14:paraId="0E58F18F" w14:textId="6BC3BCAA" w:rsidR="00CD105B" w:rsidRPr="00CD105B" w:rsidRDefault="00CD105B" w:rsidP="00CD105B">
      <w:pPr>
        <w:pStyle w:val="TextoNormalSangraFrancesa"/>
        <w:rPr>
          <w:rStyle w:val="TextoNormalCaracter"/>
        </w:rPr>
      </w:pPr>
      <w:bookmarkStart w:id="944" w:name="DESCRIPTORALFABETICO178"/>
      <w:r w:rsidRPr="00CD105B">
        <w:rPr>
          <w:rStyle w:val="TextoNormalNegritaCaracter"/>
        </w:rPr>
        <w:t>Vicios en el procedimiento legislativo</w:t>
      </w:r>
      <w:bookmarkEnd w:id="944"/>
      <w:r w:rsidRPr="00CD105B">
        <w:rPr>
          <w:rStyle w:val="TextoNormalCaracter"/>
        </w:rPr>
        <w:t xml:space="preserve">, Sentencias </w:t>
      </w:r>
      <w:hyperlink w:anchor="SENTENCIA_2024_139" w:history="1">
        <w:r w:rsidRPr="00CD105B">
          <w:rPr>
            <w:rStyle w:val="TextoNormalCaracter"/>
          </w:rPr>
          <w:t>139/2024</w:t>
        </w:r>
      </w:hyperlink>
      <w:r w:rsidRPr="00CD105B">
        <w:rPr>
          <w:rStyle w:val="TextoNormalCaracter"/>
        </w:rPr>
        <w:t xml:space="preserve">, f. 4; </w:t>
      </w:r>
      <w:hyperlink w:anchor="SENTENCIA_2024_153" w:history="1">
        <w:r w:rsidRPr="00CD105B">
          <w:rPr>
            <w:rStyle w:val="TextoNormalCaracter"/>
          </w:rPr>
          <w:t>153/2024</w:t>
        </w:r>
      </w:hyperlink>
      <w:r w:rsidRPr="00CD105B">
        <w:rPr>
          <w:rStyle w:val="TextoNormalCaracter"/>
        </w:rPr>
        <w:t>, VP II.</w:t>
      </w:r>
    </w:p>
    <w:p w14:paraId="7182223E" w14:textId="5F979E80" w:rsidR="00CD105B" w:rsidRPr="00CD105B" w:rsidRDefault="00CD105B" w:rsidP="00CD105B">
      <w:pPr>
        <w:pStyle w:val="TextoNormalSangraFrancesa"/>
        <w:rPr>
          <w:rStyle w:val="TextoNormalCaracter"/>
        </w:rPr>
      </w:pPr>
      <w:bookmarkStart w:id="945" w:name="DESCRIPTORALFABETICO256"/>
      <w:r w:rsidRPr="00CD105B">
        <w:rPr>
          <w:rStyle w:val="TextoNormalNegritaCaracter"/>
        </w:rPr>
        <w:t>Violencia de género</w:t>
      </w:r>
      <w:bookmarkEnd w:id="945"/>
      <w:r w:rsidRPr="00CD105B">
        <w:rPr>
          <w:rStyle w:val="TextoNormalCaracter"/>
        </w:rPr>
        <w:t xml:space="preserve">, Sentencia </w:t>
      </w:r>
      <w:hyperlink w:anchor="SENTENCIA_2024_145" w:history="1">
        <w:r w:rsidRPr="00CD105B">
          <w:rPr>
            <w:rStyle w:val="TextoNormalCaracter"/>
          </w:rPr>
          <w:t>145/2024</w:t>
        </w:r>
      </w:hyperlink>
      <w:r w:rsidRPr="00CD105B">
        <w:rPr>
          <w:rStyle w:val="TextoNormalCaracter"/>
        </w:rPr>
        <w:t>, ff. 4 y 5, VP I.</w:t>
      </w:r>
    </w:p>
    <w:p w14:paraId="119ED36C" w14:textId="7E84A92D" w:rsidR="00CD105B" w:rsidRPr="00CD105B" w:rsidRDefault="00CD105B" w:rsidP="00CD105B">
      <w:pPr>
        <w:pStyle w:val="TextoNormalSangraFrancesa"/>
        <w:rPr>
          <w:rStyle w:val="TextoNormalCaracter"/>
        </w:rPr>
      </w:pPr>
      <w:r w:rsidRPr="00CD105B">
        <w:rPr>
          <w:rStyle w:val="TextoNormalCursivaCaracter"/>
        </w:rPr>
        <w:t xml:space="preserve">    Doctrina constitucional, </w:t>
      </w:r>
      <w:r w:rsidRPr="00CD105B">
        <w:rPr>
          <w:rStyle w:val="TextoNormalCaracter"/>
        </w:rPr>
        <w:t xml:space="preserve">Sentencia </w:t>
      </w:r>
      <w:hyperlink w:anchor="SENTENCIA_2024_115" w:history="1">
        <w:r w:rsidRPr="00CD105B">
          <w:rPr>
            <w:rStyle w:val="TextoNormalCaracter"/>
          </w:rPr>
          <w:t>115/2024</w:t>
        </w:r>
      </w:hyperlink>
      <w:r w:rsidRPr="00CD105B">
        <w:rPr>
          <w:rStyle w:val="TextoNormalCaracter"/>
        </w:rPr>
        <w:t>, ff. 3 a 4, VP I, VP II.</w:t>
      </w:r>
    </w:p>
    <w:p w14:paraId="1EC6CE9F" w14:textId="22993C0F" w:rsidR="00CD105B" w:rsidRPr="00CD105B" w:rsidRDefault="00CD105B" w:rsidP="00CD105B">
      <w:pPr>
        <w:pStyle w:val="TextoNormalSangraFrancesa"/>
        <w:rPr>
          <w:rStyle w:val="TextoNormalCaracter"/>
        </w:rPr>
      </w:pPr>
      <w:bookmarkStart w:id="946" w:name="DESCRIPTORALFABETICO313"/>
      <w:r w:rsidRPr="00CD105B">
        <w:rPr>
          <w:rStyle w:val="TextoNormalNegritaCaracter"/>
        </w:rPr>
        <w:t>Vivienda</w:t>
      </w:r>
      <w:bookmarkEnd w:id="946"/>
      <w:r w:rsidRPr="00CD105B">
        <w:rPr>
          <w:rStyle w:val="TextoNormalCaracter"/>
        </w:rPr>
        <w:t xml:space="preserve">, Sentencias </w:t>
      </w:r>
      <w:hyperlink w:anchor="SENTENCIA_2024_120" w:history="1">
        <w:r w:rsidRPr="00CD105B">
          <w:rPr>
            <w:rStyle w:val="TextoNormalCaracter"/>
          </w:rPr>
          <w:t>120/2024</w:t>
        </w:r>
      </w:hyperlink>
      <w:r w:rsidRPr="00CD105B">
        <w:rPr>
          <w:rStyle w:val="TextoNormalCaracter"/>
        </w:rPr>
        <w:t xml:space="preserve">, f. 1; </w:t>
      </w:r>
      <w:hyperlink w:anchor="SENTENCIA_2024_130" w:history="1">
        <w:r w:rsidRPr="00CD105B">
          <w:rPr>
            <w:rStyle w:val="TextoNormalCaracter"/>
          </w:rPr>
          <w:t>130/2024</w:t>
        </w:r>
      </w:hyperlink>
      <w:r w:rsidRPr="00CD105B">
        <w:rPr>
          <w:rStyle w:val="TextoNormalCaracter"/>
        </w:rPr>
        <w:t>, f. 1.</w:t>
      </w:r>
    </w:p>
    <w:p w14:paraId="13FFA5D5" w14:textId="77EDAFED" w:rsidR="00CD105B" w:rsidRPr="00CD105B" w:rsidRDefault="00CD105B" w:rsidP="00CD105B">
      <w:pPr>
        <w:pStyle w:val="TextoNormalSangraFrancesa"/>
        <w:rPr>
          <w:rStyle w:val="TextoNormalCaracter"/>
        </w:rPr>
      </w:pPr>
      <w:bookmarkStart w:id="947" w:name="DESCRIPTORALFABETICO192"/>
      <w:r w:rsidRPr="00CD105B">
        <w:rPr>
          <w:rStyle w:val="TextoNormalNegritaCaracter"/>
        </w:rPr>
        <w:t>Votaciones parlamentarias</w:t>
      </w:r>
      <w:bookmarkEnd w:id="947"/>
      <w:r w:rsidRPr="00CD105B">
        <w:rPr>
          <w:rStyle w:val="TextoNormalCaracter"/>
        </w:rPr>
        <w:t xml:space="preserve">, Sentencias </w:t>
      </w:r>
      <w:hyperlink w:anchor="SENTENCIA_2024_109" w:history="1">
        <w:r w:rsidRPr="00CD105B">
          <w:rPr>
            <w:rStyle w:val="TextoNormalCaracter"/>
          </w:rPr>
          <w:t>109/2024</w:t>
        </w:r>
      </w:hyperlink>
      <w:r w:rsidRPr="00CD105B">
        <w:rPr>
          <w:rStyle w:val="TextoNormalCaracter"/>
        </w:rPr>
        <w:t xml:space="preserve">, ff. 1 y 3; </w:t>
      </w:r>
      <w:hyperlink w:anchor="SENTENCIA_2024_110" w:history="1">
        <w:r w:rsidRPr="00CD105B">
          <w:rPr>
            <w:rStyle w:val="TextoNormalCaracter"/>
          </w:rPr>
          <w:t>110/2024</w:t>
        </w:r>
      </w:hyperlink>
      <w:r w:rsidRPr="00CD105B">
        <w:rPr>
          <w:rStyle w:val="TextoNormalCaracter"/>
        </w:rPr>
        <w:t xml:space="preserve">, ff. 1 y 3; </w:t>
      </w:r>
      <w:hyperlink w:anchor="SENTENCIA_2024_114" w:history="1">
        <w:r w:rsidRPr="00CD105B">
          <w:rPr>
            <w:rStyle w:val="TextoNormalCaracter"/>
          </w:rPr>
          <w:t>114/2024</w:t>
        </w:r>
      </w:hyperlink>
      <w:r w:rsidRPr="00CD105B">
        <w:rPr>
          <w:rStyle w:val="TextoNormalCaracter"/>
        </w:rPr>
        <w:t xml:space="preserve">, f. 1; </w:t>
      </w:r>
      <w:hyperlink w:anchor="SENTENCIA_2024_129" w:history="1">
        <w:r w:rsidRPr="00CD105B">
          <w:rPr>
            <w:rStyle w:val="TextoNormalCaracter"/>
          </w:rPr>
          <w:t>129/2024</w:t>
        </w:r>
      </w:hyperlink>
      <w:r w:rsidRPr="00CD105B">
        <w:rPr>
          <w:rStyle w:val="TextoNormalCaracter"/>
        </w:rPr>
        <w:t xml:space="preserve">, f. 1; </w:t>
      </w:r>
      <w:hyperlink w:anchor="SENTENCIA_2024_137" w:history="1">
        <w:r w:rsidRPr="00CD105B">
          <w:rPr>
            <w:rStyle w:val="TextoNormalCaracter"/>
          </w:rPr>
          <w:t>137/2024</w:t>
        </w:r>
      </w:hyperlink>
      <w:r w:rsidRPr="00CD105B">
        <w:rPr>
          <w:rStyle w:val="TextoNormalCaracter"/>
        </w:rPr>
        <w:t xml:space="preserve">, f. 3; </w:t>
      </w:r>
      <w:hyperlink w:anchor="SENTENCIA_2024_138" w:history="1">
        <w:r w:rsidRPr="00CD105B">
          <w:rPr>
            <w:rStyle w:val="TextoNormalCaracter"/>
          </w:rPr>
          <w:t>138/2024</w:t>
        </w:r>
      </w:hyperlink>
      <w:r w:rsidRPr="00CD105B">
        <w:rPr>
          <w:rStyle w:val="TextoNormalCaracter"/>
        </w:rPr>
        <w:t>, ff. 3 y 4.</w:t>
      </w:r>
    </w:p>
    <w:p w14:paraId="193F4133" w14:textId="2EFDBDC8" w:rsidR="00CD105B" w:rsidRPr="00CD105B" w:rsidRDefault="00CD105B" w:rsidP="00CD105B">
      <w:pPr>
        <w:pStyle w:val="TextoNormalSangraFrancesa"/>
        <w:rPr>
          <w:rStyle w:val="TextoNormalCaracter"/>
        </w:rPr>
      </w:pPr>
      <w:bookmarkStart w:id="948" w:name="DESCRIPTORALFABETICO146"/>
      <w:r w:rsidRPr="00CD105B">
        <w:rPr>
          <w:rStyle w:val="TextoNormalNegritaCaracter"/>
        </w:rPr>
        <w:t>Voto particular, formulado uno</w:t>
      </w:r>
      <w:bookmarkEnd w:id="948"/>
      <w:r w:rsidRPr="00CD105B">
        <w:rPr>
          <w:rStyle w:val="TextoNormalCaracter"/>
        </w:rPr>
        <w:t xml:space="preserve">, Sentencias </w:t>
      </w:r>
      <w:hyperlink w:anchor="SENTENCIA_2024_107" w:history="1">
        <w:r w:rsidRPr="00CD105B">
          <w:rPr>
            <w:rStyle w:val="TextoNormalCaracter"/>
          </w:rPr>
          <w:t>107/2024</w:t>
        </w:r>
      </w:hyperlink>
      <w:r w:rsidRPr="00CD105B">
        <w:rPr>
          <w:rStyle w:val="TextoNormalCaracter"/>
        </w:rPr>
        <w:t xml:space="preserve">; </w:t>
      </w:r>
      <w:hyperlink w:anchor="SENTENCIA_2024_114" w:history="1">
        <w:r w:rsidRPr="00CD105B">
          <w:rPr>
            <w:rStyle w:val="TextoNormalCaracter"/>
          </w:rPr>
          <w:t>114/2024</w:t>
        </w:r>
      </w:hyperlink>
      <w:r w:rsidRPr="00CD105B">
        <w:rPr>
          <w:rStyle w:val="TextoNormalCaracter"/>
        </w:rPr>
        <w:t xml:space="preserve">; </w:t>
      </w:r>
      <w:hyperlink w:anchor="SENTENCIA_2024_124" w:history="1">
        <w:r w:rsidRPr="00CD105B">
          <w:rPr>
            <w:rStyle w:val="TextoNormalCaracter"/>
          </w:rPr>
          <w:t>124/2024</w:t>
        </w:r>
      </w:hyperlink>
      <w:r w:rsidRPr="00CD105B">
        <w:rPr>
          <w:rStyle w:val="TextoNormalCaracter"/>
        </w:rPr>
        <w:t xml:space="preserve">; </w:t>
      </w:r>
      <w:hyperlink w:anchor="SENTENCIA_2024_126" w:history="1">
        <w:r w:rsidRPr="00CD105B">
          <w:rPr>
            <w:rStyle w:val="TextoNormalCaracter"/>
          </w:rPr>
          <w:t>126/2024</w:t>
        </w:r>
      </w:hyperlink>
      <w:r w:rsidRPr="00CD105B">
        <w:rPr>
          <w:rStyle w:val="TextoNormalCaracter"/>
        </w:rPr>
        <w:t xml:space="preserve">; </w:t>
      </w:r>
      <w:hyperlink w:anchor="SENTENCIA_2024_128" w:history="1">
        <w:r w:rsidRPr="00CD105B">
          <w:rPr>
            <w:rStyle w:val="TextoNormalCaracter"/>
          </w:rPr>
          <w:t>128/2024</w:t>
        </w:r>
      </w:hyperlink>
      <w:r w:rsidRPr="00CD105B">
        <w:rPr>
          <w:rStyle w:val="TextoNormalCaracter"/>
        </w:rPr>
        <w:t xml:space="preserve">; </w:t>
      </w:r>
      <w:hyperlink w:anchor="SENTENCIA_2024_129" w:history="1">
        <w:r w:rsidRPr="00CD105B">
          <w:rPr>
            <w:rStyle w:val="TextoNormalCaracter"/>
          </w:rPr>
          <w:t>129/2024</w:t>
        </w:r>
      </w:hyperlink>
      <w:r w:rsidRPr="00CD105B">
        <w:rPr>
          <w:rStyle w:val="TextoNormalCaracter"/>
        </w:rPr>
        <w:t xml:space="preserve">; </w:t>
      </w:r>
      <w:hyperlink w:anchor="SENTENCIA_2024_136" w:history="1">
        <w:r w:rsidRPr="00CD105B">
          <w:rPr>
            <w:rStyle w:val="TextoNormalCaracter"/>
          </w:rPr>
          <w:t>136/2024</w:t>
        </w:r>
      </w:hyperlink>
      <w:r w:rsidRPr="00CD105B">
        <w:rPr>
          <w:rStyle w:val="TextoNormalCaracter"/>
        </w:rPr>
        <w:t xml:space="preserve">; </w:t>
      </w:r>
      <w:hyperlink w:anchor="SENTENCIA_2024_137" w:history="1">
        <w:r w:rsidRPr="00CD105B">
          <w:rPr>
            <w:rStyle w:val="TextoNormalCaracter"/>
          </w:rPr>
          <w:t>137/2024</w:t>
        </w:r>
      </w:hyperlink>
      <w:r w:rsidRPr="00CD105B">
        <w:rPr>
          <w:rStyle w:val="TextoNormalCaracter"/>
        </w:rPr>
        <w:t xml:space="preserve">; </w:t>
      </w:r>
      <w:hyperlink w:anchor="SENTENCIA_2024_138" w:history="1">
        <w:r w:rsidRPr="00CD105B">
          <w:rPr>
            <w:rStyle w:val="TextoNormalCaracter"/>
          </w:rPr>
          <w:t>138/2024</w:t>
        </w:r>
      </w:hyperlink>
      <w:r w:rsidRPr="00CD105B">
        <w:rPr>
          <w:rStyle w:val="TextoNormalCaracter"/>
        </w:rPr>
        <w:t xml:space="preserve">; </w:t>
      </w:r>
      <w:hyperlink w:anchor="SENTENCIA_2024_142" w:history="1">
        <w:r w:rsidRPr="00CD105B">
          <w:rPr>
            <w:rStyle w:val="TextoNormalCaracter"/>
          </w:rPr>
          <w:t>142/2024</w:t>
        </w:r>
      </w:hyperlink>
      <w:r w:rsidRPr="00CD105B">
        <w:rPr>
          <w:rStyle w:val="TextoNormalCaracter"/>
        </w:rPr>
        <w:t xml:space="preserve">; </w:t>
      </w:r>
      <w:hyperlink w:anchor="SENTENCIA_2024_143" w:history="1">
        <w:r w:rsidRPr="00CD105B">
          <w:rPr>
            <w:rStyle w:val="TextoNormalCaracter"/>
          </w:rPr>
          <w:t>143/2024</w:t>
        </w:r>
      </w:hyperlink>
      <w:r w:rsidRPr="00CD105B">
        <w:rPr>
          <w:rStyle w:val="TextoNormalCaracter"/>
        </w:rPr>
        <w:t>.</w:t>
      </w:r>
    </w:p>
    <w:p w14:paraId="034F0B18" w14:textId="55BCF789" w:rsidR="00CD105B" w:rsidRPr="00CD105B" w:rsidRDefault="00CD105B" w:rsidP="00CD105B">
      <w:pPr>
        <w:pStyle w:val="TextoNormalSangraFrancesa"/>
        <w:rPr>
          <w:rStyle w:val="TextoNormalCaracter"/>
        </w:rPr>
      </w:pPr>
      <w:r w:rsidRPr="00CD105B">
        <w:rPr>
          <w:rStyle w:val="TextoNormalCaracter"/>
        </w:rPr>
        <w:t xml:space="preserve">    Autos </w:t>
      </w:r>
      <w:hyperlink w:anchor="AUTO_2024_85" w:history="1">
        <w:r w:rsidRPr="00CD105B">
          <w:rPr>
            <w:rStyle w:val="TextoNormalCaracter"/>
          </w:rPr>
          <w:t>85/2024</w:t>
        </w:r>
      </w:hyperlink>
      <w:r w:rsidRPr="00CD105B">
        <w:rPr>
          <w:rStyle w:val="TextoNormalCaracter"/>
        </w:rPr>
        <w:t xml:space="preserve">; </w:t>
      </w:r>
      <w:hyperlink w:anchor="AUTO_2024_126" w:history="1">
        <w:r w:rsidRPr="00CD105B">
          <w:rPr>
            <w:rStyle w:val="TextoNormalCaracter"/>
          </w:rPr>
          <w:t>126/2024</w:t>
        </w:r>
      </w:hyperlink>
      <w:r w:rsidRPr="00CD105B">
        <w:rPr>
          <w:rStyle w:val="TextoNormalCaracter"/>
        </w:rPr>
        <w:t xml:space="preserve">; </w:t>
      </w:r>
      <w:hyperlink w:anchor="AUTO_2024_147" w:history="1">
        <w:r w:rsidRPr="00CD105B">
          <w:rPr>
            <w:rStyle w:val="TextoNormalCaracter"/>
          </w:rPr>
          <w:t>147/2024</w:t>
        </w:r>
      </w:hyperlink>
      <w:r w:rsidRPr="00CD105B">
        <w:rPr>
          <w:rStyle w:val="TextoNormalCaracter"/>
        </w:rPr>
        <w:t xml:space="preserve">; </w:t>
      </w:r>
      <w:hyperlink w:anchor="AUTO_2024_154" w:history="1">
        <w:r w:rsidRPr="00CD105B">
          <w:rPr>
            <w:rStyle w:val="TextoNormalCaracter"/>
          </w:rPr>
          <w:t>154/2024</w:t>
        </w:r>
      </w:hyperlink>
      <w:r w:rsidRPr="00CD105B">
        <w:rPr>
          <w:rStyle w:val="TextoNormalCaracter"/>
        </w:rPr>
        <w:t>.</w:t>
      </w:r>
    </w:p>
    <w:p w14:paraId="3B67AB30" w14:textId="10A6ABB6" w:rsidR="00CD105B" w:rsidRPr="00CD105B" w:rsidRDefault="00CD105B" w:rsidP="00CD105B">
      <w:pPr>
        <w:pStyle w:val="TextoNormalSangraFrancesa"/>
        <w:rPr>
          <w:rStyle w:val="TextoNormalCaracter"/>
        </w:rPr>
      </w:pPr>
      <w:bookmarkStart w:id="949" w:name="DESCRIPTORALFABETICO193"/>
      <w:r w:rsidRPr="00CD105B">
        <w:rPr>
          <w:rStyle w:val="TextoNormalNegritaCaracter"/>
        </w:rPr>
        <w:t>Voto telemático</w:t>
      </w:r>
      <w:bookmarkEnd w:id="949"/>
      <w:r w:rsidRPr="00CD105B">
        <w:rPr>
          <w:rStyle w:val="TextoNormalCaracter"/>
        </w:rPr>
        <w:t xml:space="preserve">, Sentencias </w:t>
      </w:r>
      <w:hyperlink w:anchor="SENTENCIA_2024_109" w:history="1">
        <w:r w:rsidRPr="00CD105B">
          <w:rPr>
            <w:rStyle w:val="TextoNormalCaracter"/>
          </w:rPr>
          <w:t>109/2024</w:t>
        </w:r>
      </w:hyperlink>
      <w:r w:rsidRPr="00CD105B">
        <w:rPr>
          <w:rStyle w:val="TextoNormalCaracter"/>
        </w:rPr>
        <w:t xml:space="preserve">, ff. 1 a 3; </w:t>
      </w:r>
      <w:hyperlink w:anchor="SENTENCIA_2024_110" w:history="1">
        <w:r w:rsidRPr="00CD105B">
          <w:rPr>
            <w:rStyle w:val="TextoNormalCaracter"/>
          </w:rPr>
          <w:t>110/2024</w:t>
        </w:r>
      </w:hyperlink>
      <w:r w:rsidRPr="00CD105B">
        <w:rPr>
          <w:rStyle w:val="TextoNormalCaracter"/>
        </w:rPr>
        <w:t xml:space="preserve">, ff. 1 a 3; </w:t>
      </w:r>
      <w:hyperlink w:anchor="SENTENCIA_2024_114" w:history="1">
        <w:r w:rsidRPr="00CD105B">
          <w:rPr>
            <w:rStyle w:val="TextoNormalCaracter"/>
          </w:rPr>
          <w:t>114/2024</w:t>
        </w:r>
      </w:hyperlink>
      <w:r w:rsidRPr="00CD105B">
        <w:rPr>
          <w:rStyle w:val="TextoNormalCaracter"/>
        </w:rPr>
        <w:t xml:space="preserve">, ff. 1, 3 a 5; </w:t>
      </w:r>
      <w:hyperlink w:anchor="SENTENCIA_2024_129" w:history="1">
        <w:r w:rsidRPr="00CD105B">
          <w:rPr>
            <w:rStyle w:val="TextoNormalCaracter"/>
          </w:rPr>
          <w:t>129/2024</w:t>
        </w:r>
      </w:hyperlink>
      <w:r w:rsidRPr="00CD105B">
        <w:rPr>
          <w:rStyle w:val="TextoNormalCaracter"/>
        </w:rPr>
        <w:t xml:space="preserve">, f. 1; </w:t>
      </w:r>
      <w:hyperlink w:anchor="SENTENCIA_2024_137" w:history="1">
        <w:r w:rsidRPr="00CD105B">
          <w:rPr>
            <w:rStyle w:val="TextoNormalCaracter"/>
          </w:rPr>
          <w:t>137/2024</w:t>
        </w:r>
      </w:hyperlink>
      <w:r w:rsidRPr="00CD105B">
        <w:rPr>
          <w:rStyle w:val="TextoNormalCaracter"/>
        </w:rPr>
        <w:t xml:space="preserve">, f. 3; </w:t>
      </w:r>
      <w:hyperlink w:anchor="SENTENCIA_2024_138" w:history="1">
        <w:r w:rsidRPr="00CD105B">
          <w:rPr>
            <w:rStyle w:val="TextoNormalCaracter"/>
          </w:rPr>
          <w:t>138/2024</w:t>
        </w:r>
      </w:hyperlink>
      <w:r w:rsidRPr="00CD105B">
        <w:rPr>
          <w:rStyle w:val="TextoNormalCaracter"/>
        </w:rPr>
        <w:t>, ff. 3 y 4.</w:t>
      </w:r>
    </w:p>
    <w:p w14:paraId="6B5852BA" w14:textId="72C6D026" w:rsidR="00CD105B" w:rsidRPr="00CD105B" w:rsidRDefault="00CD105B" w:rsidP="00CD105B">
      <w:pPr>
        <w:pStyle w:val="TextoNormalSangraFrancesa"/>
        <w:rPr>
          <w:rStyle w:val="TextoNormalCaracter"/>
        </w:rPr>
      </w:pPr>
      <w:bookmarkStart w:id="950" w:name="DESCRIPTORALFABETICO145"/>
      <w:r w:rsidRPr="00CD105B">
        <w:rPr>
          <w:rStyle w:val="TextoNormalNegritaCaracter"/>
        </w:rPr>
        <w:t>Votos particulares</w:t>
      </w:r>
      <w:bookmarkEnd w:id="950"/>
      <w:r w:rsidRPr="00CD105B">
        <w:rPr>
          <w:rStyle w:val="TextoNormalCaracter"/>
        </w:rPr>
        <w:t xml:space="preserve">, Auto </w:t>
      </w:r>
      <w:hyperlink w:anchor="AUTO_2024_117" w:history="1">
        <w:r w:rsidRPr="00CD105B">
          <w:rPr>
            <w:rStyle w:val="TextoNormalCaracter"/>
          </w:rPr>
          <w:t>117/2024</w:t>
        </w:r>
      </w:hyperlink>
      <w:r w:rsidRPr="00CD105B">
        <w:rPr>
          <w:rStyle w:val="TextoNormalCaracter"/>
        </w:rPr>
        <w:t>.</w:t>
      </w:r>
    </w:p>
    <w:p w14:paraId="1C90CFD8" w14:textId="1BA7D78E" w:rsidR="00CD105B" w:rsidRPr="00CD105B" w:rsidRDefault="00CD105B" w:rsidP="00CD105B">
      <w:pPr>
        <w:pStyle w:val="TextoNormalSangraFrancesa"/>
        <w:rPr>
          <w:rStyle w:val="TextoNormalCaracter"/>
        </w:rPr>
      </w:pPr>
      <w:bookmarkStart w:id="951" w:name="DESCRIPTORALFABETICO147"/>
      <w:r w:rsidRPr="00CD105B">
        <w:rPr>
          <w:rStyle w:val="TextoNormalNegritaCaracter"/>
        </w:rPr>
        <w:t>Votos particulares concurrentes</w:t>
      </w:r>
      <w:bookmarkEnd w:id="951"/>
      <w:r w:rsidRPr="00CD105B">
        <w:rPr>
          <w:rStyle w:val="TextoNormalCaracter"/>
        </w:rPr>
        <w:t xml:space="preserve">, Sentencias </w:t>
      </w:r>
      <w:hyperlink w:anchor="SENTENCIA_2024_121" w:history="1">
        <w:r w:rsidRPr="00CD105B">
          <w:rPr>
            <w:rStyle w:val="TextoNormalCaracter"/>
          </w:rPr>
          <w:t>121/2024</w:t>
        </w:r>
      </w:hyperlink>
      <w:r w:rsidRPr="00CD105B">
        <w:rPr>
          <w:rStyle w:val="TextoNormalCaracter"/>
        </w:rPr>
        <w:t xml:space="preserve">, VP I, VP II; </w:t>
      </w:r>
      <w:hyperlink w:anchor="SENTENCIA_2024_129" w:history="1">
        <w:r w:rsidRPr="00CD105B">
          <w:rPr>
            <w:rStyle w:val="TextoNormalCaracter"/>
          </w:rPr>
          <w:t>129/2024</w:t>
        </w:r>
      </w:hyperlink>
      <w:r w:rsidRPr="00CD105B">
        <w:rPr>
          <w:rStyle w:val="TextoNormalCaracter"/>
        </w:rPr>
        <w:t xml:space="preserve">, VP I; </w:t>
      </w:r>
      <w:hyperlink w:anchor="SENTENCIA_2024_137" w:history="1">
        <w:r w:rsidRPr="00CD105B">
          <w:rPr>
            <w:rStyle w:val="TextoNormalCaracter"/>
          </w:rPr>
          <w:t>137/2024</w:t>
        </w:r>
      </w:hyperlink>
      <w:r w:rsidRPr="00CD105B">
        <w:rPr>
          <w:rStyle w:val="TextoNormalCaracter"/>
        </w:rPr>
        <w:t xml:space="preserve">; </w:t>
      </w:r>
      <w:hyperlink w:anchor="SENTENCIA_2024_138" w:history="1">
        <w:r w:rsidRPr="00CD105B">
          <w:rPr>
            <w:rStyle w:val="TextoNormalCaracter"/>
          </w:rPr>
          <w:t>138/2024</w:t>
        </w:r>
      </w:hyperlink>
      <w:r w:rsidRPr="00CD105B">
        <w:rPr>
          <w:rStyle w:val="TextoNormalCaracter"/>
        </w:rPr>
        <w:t>.</w:t>
      </w:r>
    </w:p>
    <w:p w14:paraId="73FD30D3" w14:textId="3D551EA3" w:rsidR="00CD105B" w:rsidRPr="00CD105B" w:rsidRDefault="00CD105B" w:rsidP="00CD105B">
      <w:pPr>
        <w:pStyle w:val="TextoNormalSangraFrancesa"/>
        <w:rPr>
          <w:rStyle w:val="TextoNormalCaracter"/>
        </w:rPr>
      </w:pPr>
      <w:r w:rsidRPr="00CD105B">
        <w:rPr>
          <w:rStyle w:val="TextoNormalCaracter"/>
        </w:rPr>
        <w:t xml:space="preserve">    Auto </w:t>
      </w:r>
      <w:hyperlink w:anchor="AUTO_2024_93" w:history="1">
        <w:r w:rsidRPr="00CD105B">
          <w:rPr>
            <w:rStyle w:val="TextoNormalCaracter"/>
          </w:rPr>
          <w:t>93/2024</w:t>
        </w:r>
      </w:hyperlink>
      <w:r w:rsidRPr="00CD105B">
        <w:rPr>
          <w:rStyle w:val="TextoNormalCaracter"/>
        </w:rPr>
        <w:t>, VP I.</w:t>
      </w:r>
    </w:p>
    <w:p w14:paraId="355D45CA" w14:textId="230EDAE1" w:rsidR="00CD105B" w:rsidRPr="00CD105B" w:rsidRDefault="00CD105B" w:rsidP="00CD105B">
      <w:pPr>
        <w:pStyle w:val="TextoNormalSangraFrancesa"/>
        <w:rPr>
          <w:rStyle w:val="TextoNormalCaracter"/>
        </w:rPr>
      </w:pPr>
      <w:bookmarkStart w:id="952" w:name="DESCRIPTORALFABETICO148"/>
      <w:r w:rsidRPr="00CD105B">
        <w:rPr>
          <w:rStyle w:val="TextoNormalNegritaCaracter"/>
        </w:rPr>
        <w:t>Votos particulares, formulados cuatro</w:t>
      </w:r>
      <w:bookmarkEnd w:id="952"/>
      <w:r w:rsidRPr="00CD105B">
        <w:rPr>
          <w:rStyle w:val="TextoNormalCaracter"/>
        </w:rPr>
        <w:t xml:space="preserve">, Sentencias </w:t>
      </w:r>
      <w:hyperlink w:anchor="SENTENCIA_2024_94" w:history="1">
        <w:r w:rsidRPr="00CD105B">
          <w:rPr>
            <w:rStyle w:val="TextoNormalCaracter"/>
          </w:rPr>
          <w:t>94/2024</w:t>
        </w:r>
      </w:hyperlink>
      <w:r w:rsidRPr="00CD105B">
        <w:rPr>
          <w:rStyle w:val="TextoNormalCaracter"/>
        </w:rPr>
        <w:t xml:space="preserve">; </w:t>
      </w:r>
      <w:hyperlink w:anchor="SENTENCIA_2024_96" w:history="1">
        <w:r w:rsidRPr="00CD105B">
          <w:rPr>
            <w:rStyle w:val="TextoNormalCaracter"/>
          </w:rPr>
          <w:t>96/2024</w:t>
        </w:r>
      </w:hyperlink>
      <w:r w:rsidRPr="00CD105B">
        <w:rPr>
          <w:rStyle w:val="TextoNormalCaracter"/>
        </w:rPr>
        <w:t xml:space="preserve">; </w:t>
      </w:r>
      <w:hyperlink w:anchor="SENTENCIA_2024_97" w:history="1">
        <w:r w:rsidRPr="00CD105B">
          <w:rPr>
            <w:rStyle w:val="TextoNormalCaracter"/>
          </w:rPr>
          <w:t>97/2024</w:t>
        </w:r>
      </w:hyperlink>
      <w:r w:rsidRPr="00CD105B">
        <w:rPr>
          <w:rStyle w:val="TextoNormalCaracter"/>
        </w:rPr>
        <w:t xml:space="preserve">; </w:t>
      </w:r>
      <w:hyperlink w:anchor="SENTENCIA_2024_99" w:history="1">
        <w:r w:rsidRPr="00CD105B">
          <w:rPr>
            <w:rStyle w:val="TextoNormalCaracter"/>
          </w:rPr>
          <w:t>99/2024</w:t>
        </w:r>
      </w:hyperlink>
      <w:r w:rsidRPr="00CD105B">
        <w:rPr>
          <w:rStyle w:val="TextoNormalCaracter"/>
        </w:rPr>
        <w:t xml:space="preserve">; </w:t>
      </w:r>
      <w:hyperlink w:anchor="SENTENCIA_2024_100" w:history="1">
        <w:r w:rsidRPr="00CD105B">
          <w:rPr>
            <w:rStyle w:val="TextoNormalCaracter"/>
          </w:rPr>
          <w:t>100/2024</w:t>
        </w:r>
      </w:hyperlink>
      <w:r w:rsidRPr="00CD105B">
        <w:rPr>
          <w:rStyle w:val="TextoNormalCaracter"/>
        </w:rPr>
        <w:t xml:space="preserve">; </w:t>
      </w:r>
      <w:hyperlink w:anchor="SENTENCIA_2024_102" w:history="1">
        <w:r w:rsidRPr="00CD105B">
          <w:rPr>
            <w:rStyle w:val="TextoNormalCaracter"/>
          </w:rPr>
          <w:t>102/2024</w:t>
        </w:r>
      </w:hyperlink>
      <w:r w:rsidRPr="00CD105B">
        <w:rPr>
          <w:rStyle w:val="TextoNormalCaracter"/>
        </w:rPr>
        <w:t xml:space="preserve">; </w:t>
      </w:r>
      <w:hyperlink w:anchor="SENTENCIA_2024_103" w:history="1">
        <w:r w:rsidRPr="00CD105B">
          <w:rPr>
            <w:rStyle w:val="TextoNormalCaracter"/>
          </w:rPr>
          <w:t>103/2024</w:t>
        </w:r>
      </w:hyperlink>
      <w:r w:rsidRPr="00CD105B">
        <w:rPr>
          <w:rStyle w:val="TextoNormalCaracter"/>
        </w:rPr>
        <w:t xml:space="preserve">; </w:t>
      </w:r>
      <w:hyperlink w:anchor="SENTENCIA_2024_120" w:history="1">
        <w:r w:rsidRPr="00CD105B">
          <w:rPr>
            <w:rStyle w:val="TextoNormalCaracter"/>
          </w:rPr>
          <w:t>120/2024</w:t>
        </w:r>
      </w:hyperlink>
      <w:r w:rsidRPr="00CD105B">
        <w:rPr>
          <w:rStyle w:val="TextoNormalCaracter"/>
        </w:rPr>
        <w:t>.</w:t>
      </w:r>
    </w:p>
    <w:p w14:paraId="1F87D15E" w14:textId="2C16F9D9" w:rsidR="00CD105B" w:rsidRPr="00CD105B" w:rsidRDefault="00CD105B" w:rsidP="00CD105B">
      <w:pPr>
        <w:pStyle w:val="TextoNormalSangraFrancesa"/>
        <w:rPr>
          <w:rStyle w:val="TextoNormalCaracter"/>
        </w:rPr>
      </w:pPr>
      <w:bookmarkStart w:id="953" w:name="DESCRIPTORALFABETICO149"/>
      <w:r w:rsidRPr="00CD105B">
        <w:rPr>
          <w:rStyle w:val="TextoNormalNegritaCaracter"/>
        </w:rPr>
        <w:t xml:space="preserve">Votos particulares, formulados dos </w:t>
      </w:r>
      <w:bookmarkEnd w:id="953"/>
      <w:r w:rsidRPr="00CD105B">
        <w:rPr>
          <w:rStyle w:val="TextoNormalCaracter"/>
        </w:rPr>
        <w:t xml:space="preserve">, Sentencias </w:t>
      </w:r>
      <w:hyperlink w:anchor="SENTENCIA_2024_115" w:history="1">
        <w:r w:rsidRPr="00CD105B">
          <w:rPr>
            <w:rStyle w:val="TextoNormalCaracter"/>
          </w:rPr>
          <w:t>115/2024</w:t>
        </w:r>
      </w:hyperlink>
      <w:r w:rsidRPr="00CD105B">
        <w:rPr>
          <w:rStyle w:val="TextoNormalCaracter"/>
        </w:rPr>
        <w:t xml:space="preserve">; </w:t>
      </w:r>
      <w:hyperlink w:anchor="SENTENCIA_2024_121" w:history="1">
        <w:r w:rsidRPr="00CD105B">
          <w:rPr>
            <w:rStyle w:val="TextoNormalCaracter"/>
          </w:rPr>
          <w:t>121/2024</w:t>
        </w:r>
      </w:hyperlink>
      <w:r w:rsidRPr="00CD105B">
        <w:rPr>
          <w:rStyle w:val="TextoNormalCaracter"/>
        </w:rPr>
        <w:t xml:space="preserve">; </w:t>
      </w:r>
      <w:hyperlink w:anchor="SENTENCIA_2024_123" w:history="1">
        <w:r w:rsidRPr="00CD105B">
          <w:rPr>
            <w:rStyle w:val="TextoNormalCaracter"/>
          </w:rPr>
          <w:t>123/2024</w:t>
        </w:r>
      </w:hyperlink>
      <w:r w:rsidRPr="00CD105B">
        <w:rPr>
          <w:rStyle w:val="TextoNormalCaracter"/>
        </w:rPr>
        <w:t xml:space="preserve">; </w:t>
      </w:r>
      <w:hyperlink w:anchor="SENTENCIA_2024_139" w:history="1">
        <w:r w:rsidRPr="00CD105B">
          <w:rPr>
            <w:rStyle w:val="TextoNormalCaracter"/>
          </w:rPr>
          <w:t>139/2024</w:t>
        </w:r>
      </w:hyperlink>
      <w:r w:rsidRPr="00CD105B">
        <w:rPr>
          <w:rStyle w:val="TextoNormalCaracter"/>
        </w:rPr>
        <w:t xml:space="preserve">; </w:t>
      </w:r>
      <w:hyperlink w:anchor="SENTENCIA_2024_140" w:history="1">
        <w:r w:rsidRPr="00CD105B">
          <w:rPr>
            <w:rStyle w:val="TextoNormalCaracter"/>
          </w:rPr>
          <w:t>140/2024</w:t>
        </w:r>
      </w:hyperlink>
      <w:r w:rsidRPr="00CD105B">
        <w:rPr>
          <w:rStyle w:val="TextoNormalCaracter"/>
        </w:rPr>
        <w:t xml:space="preserve">, VP I; </w:t>
      </w:r>
      <w:hyperlink w:anchor="SENTENCIA_2024_144" w:history="1">
        <w:r w:rsidRPr="00CD105B">
          <w:rPr>
            <w:rStyle w:val="TextoNormalCaracter"/>
          </w:rPr>
          <w:t>144/2024</w:t>
        </w:r>
      </w:hyperlink>
      <w:r w:rsidRPr="00CD105B">
        <w:rPr>
          <w:rStyle w:val="TextoNormalCaracter"/>
        </w:rPr>
        <w:t xml:space="preserve">; </w:t>
      </w:r>
      <w:hyperlink w:anchor="SENTENCIA_2024_145" w:history="1">
        <w:r w:rsidRPr="00CD105B">
          <w:rPr>
            <w:rStyle w:val="TextoNormalCaracter"/>
          </w:rPr>
          <w:t>145/2024</w:t>
        </w:r>
      </w:hyperlink>
      <w:r w:rsidRPr="00CD105B">
        <w:rPr>
          <w:rStyle w:val="TextoNormalCaracter"/>
        </w:rPr>
        <w:t xml:space="preserve">; </w:t>
      </w:r>
      <w:hyperlink w:anchor="SENTENCIA_2024_153" w:history="1">
        <w:r w:rsidRPr="00CD105B">
          <w:rPr>
            <w:rStyle w:val="TextoNormalCaracter"/>
          </w:rPr>
          <w:t>153/2024</w:t>
        </w:r>
      </w:hyperlink>
      <w:r w:rsidRPr="00CD105B">
        <w:rPr>
          <w:rStyle w:val="TextoNormalCaracter"/>
        </w:rPr>
        <w:t>.</w:t>
      </w:r>
    </w:p>
    <w:p w14:paraId="306A277E" w14:textId="2EEFEB20" w:rsidR="00CD105B" w:rsidRPr="00CD105B" w:rsidRDefault="00CD105B" w:rsidP="00CD105B">
      <w:pPr>
        <w:pStyle w:val="TextoNormalSangraFrancesa"/>
        <w:rPr>
          <w:rStyle w:val="TextoNormalCaracter"/>
        </w:rPr>
      </w:pPr>
      <w:r w:rsidRPr="00CD105B">
        <w:rPr>
          <w:rStyle w:val="TextoNormalCaracter"/>
        </w:rPr>
        <w:t xml:space="preserve">    Autos </w:t>
      </w:r>
      <w:hyperlink w:anchor="AUTO_2024_91" w:history="1">
        <w:r w:rsidRPr="00CD105B">
          <w:rPr>
            <w:rStyle w:val="TextoNormalCaracter"/>
          </w:rPr>
          <w:t>91/2024</w:t>
        </w:r>
      </w:hyperlink>
      <w:r w:rsidRPr="00CD105B">
        <w:rPr>
          <w:rStyle w:val="TextoNormalCaracter"/>
        </w:rPr>
        <w:t xml:space="preserve">; </w:t>
      </w:r>
      <w:hyperlink w:anchor="AUTO_2024_93" w:history="1">
        <w:r w:rsidRPr="00CD105B">
          <w:rPr>
            <w:rStyle w:val="TextoNormalCaracter"/>
          </w:rPr>
          <w:t>93/2024</w:t>
        </w:r>
      </w:hyperlink>
      <w:r w:rsidRPr="00CD105B">
        <w:rPr>
          <w:rStyle w:val="TextoNormalCaracter"/>
        </w:rPr>
        <w:t xml:space="preserve">; </w:t>
      </w:r>
      <w:hyperlink w:anchor="AUTO_2024_105" w:history="1">
        <w:r w:rsidRPr="00CD105B">
          <w:rPr>
            <w:rStyle w:val="TextoNormalCaracter"/>
          </w:rPr>
          <w:t>105/2024</w:t>
        </w:r>
      </w:hyperlink>
      <w:r w:rsidRPr="00CD105B">
        <w:rPr>
          <w:rStyle w:val="TextoNormalCaracter"/>
        </w:rPr>
        <w:t xml:space="preserve">; </w:t>
      </w:r>
      <w:hyperlink w:anchor="AUTO_2024_106" w:history="1">
        <w:r w:rsidRPr="00CD105B">
          <w:rPr>
            <w:rStyle w:val="TextoNormalCaracter"/>
          </w:rPr>
          <w:t>106/2024</w:t>
        </w:r>
      </w:hyperlink>
      <w:r w:rsidRPr="00CD105B">
        <w:rPr>
          <w:rStyle w:val="TextoNormalCaracter"/>
        </w:rPr>
        <w:t xml:space="preserve">; </w:t>
      </w:r>
      <w:hyperlink w:anchor="AUTO_2024_107" w:history="1">
        <w:r w:rsidRPr="00CD105B">
          <w:rPr>
            <w:rStyle w:val="TextoNormalCaracter"/>
          </w:rPr>
          <w:t>107/2024</w:t>
        </w:r>
      </w:hyperlink>
      <w:r w:rsidRPr="00CD105B">
        <w:rPr>
          <w:rStyle w:val="TextoNormalCaracter"/>
        </w:rPr>
        <w:t xml:space="preserve">; </w:t>
      </w:r>
      <w:hyperlink w:anchor="AUTO_2024_108" w:history="1">
        <w:r w:rsidRPr="00CD105B">
          <w:rPr>
            <w:rStyle w:val="TextoNormalCaracter"/>
          </w:rPr>
          <w:t>108/2024</w:t>
        </w:r>
      </w:hyperlink>
      <w:r w:rsidRPr="00CD105B">
        <w:rPr>
          <w:rStyle w:val="TextoNormalCaracter"/>
        </w:rPr>
        <w:t xml:space="preserve">; </w:t>
      </w:r>
      <w:hyperlink w:anchor="AUTO_2024_109" w:history="1">
        <w:r w:rsidRPr="00CD105B">
          <w:rPr>
            <w:rStyle w:val="TextoNormalCaracter"/>
          </w:rPr>
          <w:t>109/2024</w:t>
        </w:r>
      </w:hyperlink>
      <w:r w:rsidRPr="00CD105B">
        <w:rPr>
          <w:rStyle w:val="TextoNormalCaracter"/>
        </w:rPr>
        <w:t xml:space="preserve">; </w:t>
      </w:r>
      <w:hyperlink w:anchor="AUTO_2024_110" w:history="1">
        <w:r w:rsidRPr="00CD105B">
          <w:rPr>
            <w:rStyle w:val="TextoNormalCaracter"/>
          </w:rPr>
          <w:t>110/2024</w:t>
        </w:r>
      </w:hyperlink>
      <w:r w:rsidRPr="00CD105B">
        <w:rPr>
          <w:rStyle w:val="TextoNormalCaracter"/>
        </w:rPr>
        <w:t xml:space="preserve">; </w:t>
      </w:r>
      <w:hyperlink w:anchor="AUTO_2024_111" w:history="1">
        <w:r w:rsidRPr="00CD105B">
          <w:rPr>
            <w:rStyle w:val="TextoNormalCaracter"/>
          </w:rPr>
          <w:t>111/2024</w:t>
        </w:r>
      </w:hyperlink>
      <w:r w:rsidRPr="00CD105B">
        <w:rPr>
          <w:rStyle w:val="TextoNormalCaracter"/>
        </w:rPr>
        <w:t xml:space="preserve">; </w:t>
      </w:r>
      <w:hyperlink w:anchor="AUTO_2024_112" w:history="1">
        <w:r w:rsidRPr="00CD105B">
          <w:rPr>
            <w:rStyle w:val="TextoNormalCaracter"/>
          </w:rPr>
          <w:t>112/2024</w:t>
        </w:r>
      </w:hyperlink>
      <w:r w:rsidRPr="00CD105B">
        <w:rPr>
          <w:rStyle w:val="TextoNormalCaracter"/>
        </w:rPr>
        <w:t xml:space="preserve">; </w:t>
      </w:r>
      <w:hyperlink w:anchor="AUTO_2024_113" w:history="1">
        <w:r w:rsidRPr="00CD105B">
          <w:rPr>
            <w:rStyle w:val="TextoNormalCaracter"/>
          </w:rPr>
          <w:t>113/2024</w:t>
        </w:r>
      </w:hyperlink>
      <w:r w:rsidRPr="00CD105B">
        <w:rPr>
          <w:rStyle w:val="TextoNormalCaracter"/>
        </w:rPr>
        <w:t xml:space="preserve">; </w:t>
      </w:r>
      <w:hyperlink w:anchor="AUTO_2024_118" w:history="1">
        <w:r w:rsidRPr="00CD105B">
          <w:rPr>
            <w:rStyle w:val="TextoNormalCaracter"/>
          </w:rPr>
          <w:t>118/2024</w:t>
        </w:r>
      </w:hyperlink>
      <w:r w:rsidRPr="00CD105B">
        <w:rPr>
          <w:rStyle w:val="TextoNormalCaracter"/>
        </w:rPr>
        <w:t xml:space="preserve">; </w:t>
      </w:r>
      <w:hyperlink w:anchor="AUTO_2024_119" w:history="1">
        <w:r w:rsidRPr="00CD105B">
          <w:rPr>
            <w:rStyle w:val="TextoNormalCaracter"/>
          </w:rPr>
          <w:t>119/2024</w:t>
        </w:r>
      </w:hyperlink>
      <w:r w:rsidRPr="00CD105B">
        <w:rPr>
          <w:rStyle w:val="TextoNormalCaracter"/>
        </w:rPr>
        <w:t xml:space="preserve">; </w:t>
      </w:r>
      <w:hyperlink w:anchor="AUTO_2024_120" w:history="1">
        <w:r w:rsidRPr="00CD105B">
          <w:rPr>
            <w:rStyle w:val="TextoNormalCaracter"/>
          </w:rPr>
          <w:t>120/2024</w:t>
        </w:r>
      </w:hyperlink>
      <w:r w:rsidRPr="00CD105B">
        <w:rPr>
          <w:rStyle w:val="TextoNormalCaracter"/>
        </w:rPr>
        <w:t xml:space="preserve">; </w:t>
      </w:r>
      <w:hyperlink w:anchor="AUTO_2024_121" w:history="1">
        <w:r w:rsidRPr="00CD105B">
          <w:rPr>
            <w:rStyle w:val="TextoNormalCaracter"/>
          </w:rPr>
          <w:t>121/2024</w:t>
        </w:r>
      </w:hyperlink>
      <w:r w:rsidRPr="00CD105B">
        <w:rPr>
          <w:rStyle w:val="TextoNormalCaracter"/>
        </w:rPr>
        <w:t xml:space="preserve">; </w:t>
      </w:r>
      <w:hyperlink w:anchor="AUTO_2024_122" w:history="1">
        <w:r w:rsidRPr="00CD105B">
          <w:rPr>
            <w:rStyle w:val="TextoNormalCaracter"/>
          </w:rPr>
          <w:t>122/2024</w:t>
        </w:r>
      </w:hyperlink>
      <w:r w:rsidRPr="00CD105B">
        <w:rPr>
          <w:rStyle w:val="TextoNormalCaracter"/>
        </w:rPr>
        <w:t xml:space="preserve">; </w:t>
      </w:r>
      <w:hyperlink w:anchor="AUTO_2024_123" w:history="1">
        <w:r w:rsidRPr="00CD105B">
          <w:rPr>
            <w:rStyle w:val="TextoNormalCaracter"/>
          </w:rPr>
          <w:t>123/2024</w:t>
        </w:r>
      </w:hyperlink>
      <w:r w:rsidRPr="00CD105B">
        <w:rPr>
          <w:rStyle w:val="TextoNormalCaracter"/>
        </w:rPr>
        <w:t xml:space="preserve">; </w:t>
      </w:r>
      <w:hyperlink w:anchor="AUTO_2024_124" w:history="1">
        <w:r w:rsidRPr="00CD105B">
          <w:rPr>
            <w:rStyle w:val="TextoNormalCaracter"/>
          </w:rPr>
          <w:t>124/2024</w:t>
        </w:r>
      </w:hyperlink>
      <w:r w:rsidRPr="00CD105B">
        <w:rPr>
          <w:rStyle w:val="TextoNormalCaracter"/>
        </w:rPr>
        <w:t>.</w:t>
      </w:r>
    </w:p>
    <w:p w14:paraId="6FF43F3B" w14:textId="7C775487" w:rsidR="00CD105B" w:rsidRPr="00CD105B" w:rsidRDefault="00CD105B" w:rsidP="00CD105B">
      <w:pPr>
        <w:pStyle w:val="TextoNormalSangraFrancesa"/>
        <w:rPr>
          <w:rStyle w:val="TextoNormalCaracter"/>
        </w:rPr>
      </w:pPr>
      <w:bookmarkStart w:id="954" w:name="DESCRIPTORALFABETICO150"/>
      <w:r w:rsidRPr="00CD105B">
        <w:rPr>
          <w:rStyle w:val="TextoNormalNegritaCaracter"/>
        </w:rPr>
        <w:t>Votos particulares, formulados tres</w:t>
      </w:r>
      <w:bookmarkEnd w:id="954"/>
      <w:r w:rsidRPr="00CD105B">
        <w:rPr>
          <w:rStyle w:val="TextoNormalCaracter"/>
        </w:rPr>
        <w:t xml:space="preserve">, Sentencias </w:t>
      </w:r>
      <w:hyperlink w:anchor="SENTENCIA_2024_95" w:history="1">
        <w:r w:rsidRPr="00CD105B">
          <w:rPr>
            <w:rStyle w:val="TextoNormalCaracter"/>
          </w:rPr>
          <w:t>95/2024</w:t>
        </w:r>
      </w:hyperlink>
      <w:r w:rsidRPr="00CD105B">
        <w:rPr>
          <w:rStyle w:val="TextoNormalCaracter"/>
        </w:rPr>
        <w:t xml:space="preserve">; </w:t>
      </w:r>
      <w:hyperlink w:anchor="SENTENCIA_2024_98" w:history="1">
        <w:r w:rsidRPr="00CD105B">
          <w:rPr>
            <w:rStyle w:val="TextoNormalCaracter"/>
          </w:rPr>
          <w:t>98/2024</w:t>
        </w:r>
      </w:hyperlink>
      <w:r w:rsidRPr="00CD105B">
        <w:rPr>
          <w:rStyle w:val="TextoNormalCaracter"/>
        </w:rPr>
        <w:t xml:space="preserve">; </w:t>
      </w:r>
      <w:hyperlink w:anchor="SENTENCIA_2024_118" w:history="1">
        <w:r w:rsidRPr="00CD105B">
          <w:rPr>
            <w:rStyle w:val="TextoNormalCaracter"/>
          </w:rPr>
          <w:t>118/2024</w:t>
        </w:r>
      </w:hyperlink>
      <w:r w:rsidRPr="00CD105B">
        <w:rPr>
          <w:rStyle w:val="TextoNormalCaracter"/>
        </w:rPr>
        <w:t xml:space="preserve">; </w:t>
      </w:r>
      <w:hyperlink w:anchor="SENTENCIA_2024_132" w:history="1">
        <w:r w:rsidRPr="00CD105B">
          <w:rPr>
            <w:rStyle w:val="TextoNormalCaracter"/>
          </w:rPr>
          <w:t>132/2024</w:t>
        </w:r>
      </w:hyperlink>
      <w:r w:rsidRPr="00CD105B">
        <w:rPr>
          <w:rStyle w:val="TextoNormalCaracter"/>
        </w:rPr>
        <w:t>.</w:t>
      </w:r>
    </w:p>
    <w:p w14:paraId="644C1DDF" w14:textId="7ECEBBE9" w:rsidR="00CD105B" w:rsidRDefault="00CD105B">
      <w:pPr>
        <w:spacing w:after="160" w:line="278" w:lineRule="auto"/>
        <w:rPr>
          <w:rFonts w:ascii="Times New Roman" w:eastAsia="Times New Roman" w:hAnsi="Times New Roman" w:cs="Times New Roman"/>
          <w:sz w:val="24"/>
          <w:szCs w:val="24"/>
          <w:lang w:eastAsia="es-ES"/>
        </w:rPr>
      </w:pPr>
      <w:r>
        <w:br w:type="page"/>
      </w:r>
    </w:p>
    <w:p w14:paraId="5C0BD0A1" w14:textId="77777777" w:rsidR="00CD105B" w:rsidRDefault="00CD105B" w:rsidP="00CD105B">
      <w:pPr>
        <w:pStyle w:val="TextoNormalSangraFrancesa"/>
      </w:pPr>
    </w:p>
    <w:p w14:paraId="179E3CD1" w14:textId="77777777" w:rsidR="00EA2347" w:rsidRDefault="00EA2347" w:rsidP="00EA2347">
      <w:pPr>
        <w:pStyle w:val="TextoNormalSangraFrancesa"/>
      </w:pPr>
    </w:p>
    <w:p w14:paraId="27E7C57C" w14:textId="77777777" w:rsidR="00EA2347" w:rsidRDefault="00EA2347" w:rsidP="00EA2347">
      <w:pPr>
        <w:pStyle w:val="TextoNormalSangraFrancesa"/>
      </w:pPr>
    </w:p>
    <w:p w14:paraId="08142A49" w14:textId="77777777" w:rsidR="00EA2347" w:rsidRDefault="00EA2347" w:rsidP="00EA2347">
      <w:pPr>
        <w:pStyle w:val="TextoNormalSangraFrancesa"/>
      </w:pPr>
    </w:p>
    <w:p w14:paraId="04B8917D" w14:textId="77777777" w:rsidR="00EA2347" w:rsidRDefault="00EA2347" w:rsidP="00EA2347">
      <w:pPr>
        <w:pStyle w:val="TextoNormalSangraFrancesa"/>
      </w:pPr>
    </w:p>
    <w:p w14:paraId="464DBBED" w14:textId="77777777" w:rsidR="00EA2347" w:rsidRDefault="00EA2347" w:rsidP="00EA2347">
      <w:pPr>
        <w:pStyle w:val="TextoNormalSangraFrancesa"/>
      </w:pPr>
    </w:p>
    <w:p w14:paraId="45623C74" w14:textId="77777777" w:rsidR="00EA2347" w:rsidRDefault="00EA2347" w:rsidP="00EA2347">
      <w:pPr>
        <w:pStyle w:val="TextoNormalSangraFrancesa"/>
      </w:pPr>
    </w:p>
    <w:p w14:paraId="36659978" w14:textId="77777777" w:rsidR="00EA2347" w:rsidRDefault="00EA2347" w:rsidP="00EA2347">
      <w:pPr>
        <w:pStyle w:val="TextoNormalSangraFrancesa"/>
      </w:pPr>
    </w:p>
    <w:p w14:paraId="488D54F7" w14:textId="77777777" w:rsidR="00EA2347" w:rsidRDefault="00EA2347" w:rsidP="00EA2347">
      <w:pPr>
        <w:pStyle w:val="Ttulondice"/>
      </w:pPr>
      <w:bookmarkStart w:id="955" w:name="ACRONIMOS"/>
      <w:r>
        <w:t>8. ABREVIATURAS Y ACRÓNIMOS</w:t>
      </w:r>
    </w:p>
    <w:bookmarkEnd w:id="955"/>
    <w:p w14:paraId="65BD6C1C" w14:textId="2EE955CD" w:rsidR="00EA2347" w:rsidRDefault="00EA2347" w:rsidP="00EA2347">
      <w:pPr>
        <w:pStyle w:val="Ttulondice"/>
      </w:pPr>
    </w:p>
    <w:p w14:paraId="5E50A0F7" w14:textId="77777777" w:rsidR="00EA2347" w:rsidRDefault="00EA2347" w:rsidP="00EA2347">
      <w:pPr>
        <w:pStyle w:val="Ttulondice"/>
      </w:pPr>
    </w:p>
    <w:p w14:paraId="5ABFEA91" w14:textId="77777777" w:rsidR="00EA2347" w:rsidRDefault="00EA2347" w:rsidP="00EA2347">
      <w:pPr>
        <w:pStyle w:val="Ttulondice"/>
      </w:pPr>
    </w:p>
    <w:p w14:paraId="3701599F" w14:textId="77777777" w:rsidR="00EA2347" w:rsidRDefault="00EA2347" w:rsidP="00EA2347">
      <w:pPr>
        <w:pStyle w:val="Ttulondice"/>
      </w:pPr>
    </w:p>
    <w:p w14:paraId="0B9CFCCD" w14:textId="77777777" w:rsidR="00EA2347" w:rsidRDefault="00EA2347" w:rsidP="00EA2347">
      <w:pPr>
        <w:pStyle w:val="TextoAbreviaturas"/>
      </w:pPr>
      <w:r>
        <w:t>§</w:t>
      </w:r>
      <w:r>
        <w:tab/>
        <w:t>Parágrafo (usual en SSTEDH)</w:t>
      </w:r>
    </w:p>
    <w:p w14:paraId="3C9ECEDB" w14:textId="77777777" w:rsidR="00EA2347" w:rsidRDefault="00EA2347" w:rsidP="00EA2347">
      <w:pPr>
        <w:pStyle w:val="TextoAbreviaturas"/>
      </w:pPr>
      <w:r>
        <w:t>AEAT</w:t>
      </w:r>
      <w:r>
        <w:tab/>
        <w:t>Agencia estatal de la administración tributaria</w:t>
      </w:r>
    </w:p>
    <w:p w14:paraId="03AD57D0" w14:textId="77777777" w:rsidR="00EA2347" w:rsidRDefault="00EA2347" w:rsidP="00EA2347">
      <w:pPr>
        <w:pStyle w:val="TextoAbreviaturas"/>
      </w:pPr>
      <w:r>
        <w:t>APM</w:t>
      </w:r>
      <w:r>
        <w:tab/>
        <w:t>Asociación Profesional de la Magistratura</w:t>
      </w:r>
    </w:p>
    <w:p w14:paraId="1357BE00" w14:textId="77777777" w:rsidR="00EA2347" w:rsidRDefault="00EA2347" w:rsidP="00EA2347">
      <w:pPr>
        <w:pStyle w:val="TextoAbreviaturas"/>
      </w:pPr>
      <w:r>
        <w:t>ATC</w:t>
      </w:r>
      <w:r>
        <w:tab/>
        <w:t>Auto del Tribunal Constitucional</w:t>
      </w:r>
    </w:p>
    <w:p w14:paraId="58D8F326" w14:textId="77777777" w:rsidR="00EA2347" w:rsidRDefault="00EA2347" w:rsidP="00EA2347">
      <w:pPr>
        <w:pStyle w:val="TextoAbreviaturas"/>
      </w:pPr>
      <w:r>
        <w:t>ATS</w:t>
      </w:r>
      <w:r>
        <w:tab/>
        <w:t>Auto del Tribunal Supremo</w:t>
      </w:r>
    </w:p>
    <w:p w14:paraId="3CD22643" w14:textId="77777777" w:rsidR="00EA2347" w:rsidRDefault="00EA2347" w:rsidP="00EA2347">
      <w:pPr>
        <w:pStyle w:val="TextoAbreviaturas"/>
      </w:pPr>
      <w:r>
        <w:t>BBVA</w:t>
      </w:r>
      <w:r>
        <w:tab/>
        <w:t>Banco Bilbao Vizcaya Argentaria</w:t>
      </w:r>
    </w:p>
    <w:p w14:paraId="4D824BCF" w14:textId="77777777" w:rsidR="00EA2347" w:rsidRDefault="00EA2347" w:rsidP="00EA2347">
      <w:pPr>
        <w:pStyle w:val="TextoAbreviaturas"/>
      </w:pPr>
      <w:r>
        <w:t>BOE</w:t>
      </w:r>
      <w:r>
        <w:tab/>
        <w:t>Boletín Oficial del Estado</w:t>
      </w:r>
    </w:p>
    <w:p w14:paraId="51B9471B" w14:textId="77777777" w:rsidR="00EA2347" w:rsidRDefault="00EA2347" w:rsidP="00EA2347">
      <w:pPr>
        <w:pStyle w:val="TextoAbreviaturas"/>
      </w:pPr>
      <w:r>
        <w:t>BOJA</w:t>
      </w:r>
      <w:r>
        <w:tab/>
        <w:t>Boletín Oficial de la Junta de Andalucía</w:t>
      </w:r>
    </w:p>
    <w:p w14:paraId="546EB7F3" w14:textId="77777777" w:rsidR="00EA2347" w:rsidRDefault="00EA2347" w:rsidP="00EA2347">
      <w:pPr>
        <w:pStyle w:val="TextoAbreviaturas"/>
      </w:pPr>
      <w:r>
        <w:t>BORM</w:t>
      </w:r>
      <w:r>
        <w:tab/>
        <w:t>Boletín Oficial de la Región de Murcia</w:t>
      </w:r>
    </w:p>
    <w:p w14:paraId="2289EDA4" w14:textId="77777777" w:rsidR="00EA2347" w:rsidRDefault="00EA2347" w:rsidP="00EA2347">
      <w:pPr>
        <w:pStyle w:val="TextoAbreviaturas"/>
      </w:pPr>
      <w:r>
        <w:t>CC</w:t>
      </w:r>
      <w:r>
        <w:tab/>
        <w:t>Código civil</w:t>
      </w:r>
    </w:p>
    <w:p w14:paraId="5752008E" w14:textId="77777777" w:rsidR="00EA2347" w:rsidRDefault="00EA2347" w:rsidP="00EA2347">
      <w:pPr>
        <w:pStyle w:val="TextoAbreviaturas"/>
      </w:pPr>
      <w:r>
        <w:t>CDFUE</w:t>
      </w:r>
      <w:r>
        <w:tab/>
        <w:t>Carta de los derechos fundamentales de la Unión Europea</w:t>
      </w:r>
    </w:p>
    <w:p w14:paraId="3FE146B6" w14:textId="77777777" w:rsidR="00EA2347" w:rsidRDefault="00EA2347" w:rsidP="00EA2347">
      <w:pPr>
        <w:pStyle w:val="TextoAbreviaturas"/>
      </w:pPr>
      <w:r>
        <w:t>CE</w:t>
      </w:r>
      <w:r>
        <w:tab/>
        <w:t>Constitución española</w:t>
      </w:r>
    </w:p>
    <w:p w14:paraId="5892C5BC" w14:textId="77777777" w:rsidR="00EA2347" w:rsidRDefault="00EA2347" w:rsidP="00EA2347">
      <w:pPr>
        <w:pStyle w:val="TextoAbreviaturas"/>
      </w:pPr>
      <w:r>
        <w:t>CEDH</w:t>
      </w:r>
      <w:r>
        <w:tab/>
        <w:t>Convenio europeo para la protección de los derechos humanos y de las libertades fundamentales</w:t>
      </w:r>
    </w:p>
    <w:p w14:paraId="7C3A44F6" w14:textId="77777777" w:rsidR="00EA2347" w:rsidRDefault="00EA2347" w:rsidP="00EA2347">
      <w:pPr>
        <w:pStyle w:val="TextoAbreviaturas"/>
      </w:pPr>
      <w:r>
        <w:t>CEE</w:t>
      </w:r>
      <w:r>
        <w:tab/>
        <w:t>Comunidad Económica Europea</w:t>
      </w:r>
    </w:p>
    <w:p w14:paraId="2356AA34" w14:textId="77777777" w:rsidR="00EA2347" w:rsidRDefault="00EA2347" w:rsidP="00EA2347">
      <w:pPr>
        <w:pStyle w:val="TextoAbreviaturas"/>
      </w:pPr>
      <w:r>
        <w:t>CGPJ</w:t>
      </w:r>
      <w:r>
        <w:tab/>
        <w:t>Consejo General del Poder Judicial</w:t>
      </w:r>
    </w:p>
    <w:p w14:paraId="4973AB0A" w14:textId="77777777" w:rsidR="00EA2347" w:rsidRDefault="00EA2347" w:rsidP="00EA2347">
      <w:pPr>
        <w:pStyle w:val="TextoAbreviaturas"/>
      </w:pPr>
      <w:r>
        <w:t>CP</w:t>
      </w:r>
      <w:r>
        <w:tab/>
        <w:t>Código penal</w:t>
      </w:r>
    </w:p>
    <w:p w14:paraId="647F15E3" w14:textId="77777777" w:rsidR="00EA2347" w:rsidRDefault="00EA2347" w:rsidP="00EA2347">
      <w:pPr>
        <w:pStyle w:val="TextoAbreviaturas"/>
      </w:pPr>
      <w:r>
        <w:t>CPM</w:t>
      </w:r>
      <w:r>
        <w:tab/>
        <w:t>Código penal militar</w:t>
      </w:r>
    </w:p>
    <w:p w14:paraId="737A1B41" w14:textId="77777777" w:rsidR="00EA2347" w:rsidRDefault="00EA2347" w:rsidP="00EA2347">
      <w:pPr>
        <w:pStyle w:val="TextoAbreviaturas"/>
      </w:pPr>
      <w:r>
        <w:t>DNI</w:t>
      </w:r>
      <w:r>
        <w:tab/>
        <w:t>Documento Nacional de Identidad</w:t>
      </w:r>
    </w:p>
    <w:p w14:paraId="10680D2C" w14:textId="77777777" w:rsidR="00EA2347" w:rsidRDefault="00EA2347" w:rsidP="00EA2347">
      <w:pPr>
        <w:pStyle w:val="TextoAbreviaturas"/>
      </w:pPr>
      <w:r>
        <w:t>DOGC</w:t>
      </w:r>
      <w:r>
        <w:tab/>
        <w:t>Diario Oficial de la Generalidad de Cataluña</w:t>
      </w:r>
    </w:p>
    <w:p w14:paraId="6769B6DC" w14:textId="77777777" w:rsidR="00EA2347" w:rsidRDefault="00EA2347" w:rsidP="00EA2347">
      <w:pPr>
        <w:pStyle w:val="TextoAbreviaturas"/>
      </w:pPr>
      <w:r>
        <w:t>EAAr</w:t>
      </w:r>
      <w:r>
        <w:tab/>
        <w:t>Estatuto de Autonomía de Aragón</w:t>
      </w:r>
    </w:p>
    <w:p w14:paraId="2A3EBD9E" w14:textId="77777777" w:rsidR="00EA2347" w:rsidRDefault="00EA2347" w:rsidP="00EA2347">
      <w:pPr>
        <w:pStyle w:val="TextoAbreviaturas"/>
      </w:pPr>
      <w:r>
        <w:t>EAC</w:t>
      </w:r>
      <w:r>
        <w:tab/>
        <w:t>Estatuto de Autonomía de Cataluña</w:t>
      </w:r>
    </w:p>
    <w:p w14:paraId="73DA42F2" w14:textId="77777777" w:rsidR="00EA2347" w:rsidRDefault="00EA2347" w:rsidP="00EA2347">
      <w:pPr>
        <w:pStyle w:val="TextoAbreviaturas"/>
      </w:pPr>
      <w:r>
        <w:t>EACan</w:t>
      </w:r>
      <w:r>
        <w:tab/>
        <w:t>Estatuto de Autonomía de Canarias</w:t>
      </w:r>
    </w:p>
    <w:p w14:paraId="13FAEE12" w14:textId="77777777" w:rsidR="00EA2347" w:rsidRDefault="00EA2347" w:rsidP="00EA2347">
      <w:pPr>
        <w:pStyle w:val="TextoAbreviaturas"/>
      </w:pPr>
      <w:r>
        <w:t>EAG</w:t>
      </w:r>
      <w:r>
        <w:tab/>
        <w:t>Estatuto de Autonomía para Galicia</w:t>
      </w:r>
    </w:p>
    <w:p w14:paraId="31F84F67" w14:textId="77777777" w:rsidR="00EA2347" w:rsidRDefault="00EA2347" w:rsidP="00EA2347">
      <w:pPr>
        <w:pStyle w:val="TextoAbreviaturas"/>
      </w:pPr>
      <w:r>
        <w:t>EAIB</w:t>
      </w:r>
      <w:r>
        <w:tab/>
        <w:t>Estatuto de Autonomía de las Illes Balears</w:t>
      </w:r>
    </w:p>
    <w:p w14:paraId="4E787DBD" w14:textId="77777777" w:rsidR="00EA2347" w:rsidRDefault="00EA2347" w:rsidP="00EA2347">
      <w:pPr>
        <w:pStyle w:val="TextoAbreviaturas"/>
      </w:pPr>
      <w:r>
        <w:t>EAM</w:t>
      </w:r>
      <w:r>
        <w:tab/>
        <w:t>Estatuto de Autonomía de la Comunidad de Madrid</w:t>
      </w:r>
    </w:p>
    <w:p w14:paraId="4753F5EB" w14:textId="77777777" w:rsidR="00EA2347" w:rsidRDefault="00EA2347" w:rsidP="00EA2347">
      <w:pPr>
        <w:pStyle w:val="TextoAbreviaturas"/>
      </w:pPr>
      <w:r>
        <w:t>EARM</w:t>
      </w:r>
      <w:r>
        <w:tab/>
        <w:t>Estatuto de Autonomía para la Región de Murcia</w:t>
      </w:r>
    </w:p>
    <w:p w14:paraId="7EB61958" w14:textId="77777777" w:rsidR="00EA2347" w:rsidRDefault="00EA2347" w:rsidP="00EA2347">
      <w:pPr>
        <w:pStyle w:val="TextoAbreviaturas"/>
      </w:pPr>
      <w:r>
        <w:t>ERE</w:t>
      </w:r>
      <w:r>
        <w:tab/>
        <w:t>Expediente de regulación de empleo</w:t>
      </w:r>
    </w:p>
    <w:p w14:paraId="464B9E81" w14:textId="77777777" w:rsidR="00EA2347" w:rsidRDefault="00EA2347" w:rsidP="00EA2347">
      <w:pPr>
        <w:pStyle w:val="TextoAbreviaturas"/>
      </w:pPr>
      <w:r>
        <w:t>ERTE</w:t>
      </w:r>
      <w:r>
        <w:tab/>
        <w:t>Expediente de regulación temporal de empleo</w:t>
      </w:r>
    </w:p>
    <w:p w14:paraId="4BBAC0A0" w14:textId="77777777" w:rsidR="00EA2347" w:rsidRDefault="00EA2347" w:rsidP="00EA2347">
      <w:pPr>
        <w:pStyle w:val="TextoAbreviaturas"/>
      </w:pPr>
      <w:r>
        <w:t>FJ</w:t>
      </w:r>
      <w:r>
        <w:tab/>
        <w:t>Fundamento jurídico</w:t>
      </w:r>
    </w:p>
    <w:p w14:paraId="1E9CBA52" w14:textId="77777777" w:rsidR="00EA2347" w:rsidRDefault="00EA2347" w:rsidP="00EA2347">
      <w:pPr>
        <w:pStyle w:val="TextoAbreviaturas"/>
      </w:pPr>
      <w:r>
        <w:t>IDEA</w:t>
      </w:r>
      <w:r>
        <w:tab/>
        <w:t>Instituto para la Diversificación y Ahorro de la Energía</w:t>
      </w:r>
    </w:p>
    <w:p w14:paraId="06B2F53E" w14:textId="77777777" w:rsidR="00EA2347" w:rsidRDefault="00EA2347" w:rsidP="00EA2347">
      <w:pPr>
        <w:pStyle w:val="TextoAbreviaturas"/>
      </w:pPr>
      <w:r>
        <w:t>IIVTNU</w:t>
      </w:r>
      <w:r>
        <w:tab/>
        <w:t>Impuesto sobre el incremento del valor de los terrenos de naturaleza urbana</w:t>
      </w:r>
    </w:p>
    <w:p w14:paraId="1699D898" w14:textId="77777777" w:rsidR="00EA2347" w:rsidRDefault="00EA2347" w:rsidP="00EA2347">
      <w:pPr>
        <w:pStyle w:val="TextoAbreviaturas"/>
      </w:pPr>
      <w:r>
        <w:t>INE</w:t>
      </w:r>
      <w:r>
        <w:tab/>
        <w:t>Instituto Nacional de Estadística</w:t>
      </w:r>
    </w:p>
    <w:p w14:paraId="59541FC9" w14:textId="77777777" w:rsidR="00EA2347" w:rsidRDefault="00EA2347" w:rsidP="00EA2347">
      <w:pPr>
        <w:pStyle w:val="TextoAbreviaturas"/>
      </w:pPr>
      <w:r>
        <w:t>INEM</w:t>
      </w:r>
      <w:r>
        <w:tab/>
        <w:t>Instituto Nacional de Empleo</w:t>
      </w:r>
    </w:p>
    <w:p w14:paraId="5592AB65" w14:textId="77777777" w:rsidR="00EA2347" w:rsidRDefault="00EA2347" w:rsidP="00EA2347">
      <w:pPr>
        <w:pStyle w:val="TextoAbreviaturas"/>
      </w:pPr>
      <w:r>
        <w:t>INSS</w:t>
      </w:r>
      <w:r>
        <w:tab/>
        <w:t>Instituto Nacional de la Seguridad Social</w:t>
      </w:r>
    </w:p>
    <w:p w14:paraId="375D505A" w14:textId="77777777" w:rsidR="00EA2347" w:rsidRDefault="00EA2347" w:rsidP="00EA2347">
      <w:pPr>
        <w:pStyle w:val="TextoAbreviaturas"/>
      </w:pPr>
      <w:r>
        <w:t>IRYDA</w:t>
      </w:r>
      <w:r>
        <w:tab/>
        <w:t>Instituto para la reforma y desarrollo agrario</w:t>
      </w:r>
    </w:p>
    <w:p w14:paraId="42E9C112" w14:textId="77777777" w:rsidR="00EA2347" w:rsidRDefault="00EA2347" w:rsidP="00EA2347">
      <w:pPr>
        <w:pStyle w:val="TextoAbreviaturas"/>
      </w:pPr>
      <w:r>
        <w:t>IU</w:t>
      </w:r>
      <w:r>
        <w:tab/>
        <w:t>Izquierda Unida</w:t>
      </w:r>
    </w:p>
    <w:p w14:paraId="692EC8B9" w14:textId="77777777" w:rsidR="00EA2347" w:rsidRDefault="00EA2347" w:rsidP="00EA2347">
      <w:pPr>
        <w:pStyle w:val="TextoAbreviaturas"/>
      </w:pPr>
      <w:r>
        <w:t>LA</w:t>
      </w:r>
      <w:r>
        <w:tab/>
        <w:t>Ley de aguas (Ley de arbitraje para SSTC 17/2021, 55/2021, 65/2021, 79/2022, 146/2024 y ATC 1/2023)</w:t>
      </w:r>
    </w:p>
    <w:p w14:paraId="20DE7B9D" w14:textId="77777777" w:rsidR="00EA2347" w:rsidRDefault="00EA2347" w:rsidP="00EA2347">
      <w:pPr>
        <w:pStyle w:val="TextoAbreviaturas"/>
      </w:pPr>
      <w:r>
        <w:t>LAU</w:t>
      </w:r>
      <w:r>
        <w:tab/>
        <w:t>Ley de arrendamientos urbanos</w:t>
      </w:r>
    </w:p>
    <w:p w14:paraId="4BF5DBDC" w14:textId="77777777" w:rsidR="00EA2347" w:rsidRDefault="00EA2347" w:rsidP="00EA2347">
      <w:pPr>
        <w:pStyle w:val="TextoAbreviaturas"/>
      </w:pPr>
      <w:r>
        <w:t>LC</w:t>
      </w:r>
      <w:r>
        <w:tab/>
        <w:t>Ley de costas</w:t>
      </w:r>
    </w:p>
    <w:p w14:paraId="16F670EC" w14:textId="77777777" w:rsidR="00EA2347" w:rsidRDefault="00EA2347" w:rsidP="00EA2347">
      <w:pPr>
        <w:pStyle w:val="TextoAbreviaturas"/>
      </w:pPr>
      <w:r>
        <w:t>LCD</w:t>
      </w:r>
      <w:r>
        <w:tab/>
        <w:t>Ley de competencia desleal</w:t>
      </w:r>
    </w:p>
    <w:p w14:paraId="4C5EACDD" w14:textId="77777777" w:rsidR="00EA2347" w:rsidRDefault="00EA2347" w:rsidP="00EA2347">
      <w:pPr>
        <w:pStyle w:val="TextoAbreviaturas"/>
      </w:pPr>
      <w:r>
        <w:t>LDC</w:t>
      </w:r>
      <w:r>
        <w:tab/>
        <w:t>Ley de defensa de la competencia</w:t>
      </w:r>
    </w:p>
    <w:p w14:paraId="188EEE76" w14:textId="77777777" w:rsidR="00EA2347" w:rsidRDefault="00EA2347" w:rsidP="00EA2347">
      <w:pPr>
        <w:pStyle w:val="TextoAbreviaturas"/>
      </w:pPr>
      <w:r>
        <w:t>LDPJ</w:t>
      </w:r>
      <w:r>
        <w:tab/>
        <w:t>Ley de demarcación y planta judicial</w:t>
      </w:r>
    </w:p>
    <w:p w14:paraId="622EFA2A" w14:textId="77777777" w:rsidR="00EA2347" w:rsidRDefault="00EA2347" w:rsidP="00EA2347">
      <w:pPr>
        <w:pStyle w:val="TextoAbreviaturas"/>
      </w:pPr>
      <w:r>
        <w:t>LEC</w:t>
      </w:r>
      <w:r>
        <w:tab/>
        <w:t>Ley de enjuiciamiento civil</w:t>
      </w:r>
    </w:p>
    <w:p w14:paraId="601CEDDA" w14:textId="77777777" w:rsidR="00EA2347" w:rsidRDefault="00EA2347" w:rsidP="00EA2347">
      <w:pPr>
        <w:pStyle w:val="TextoAbreviaturas"/>
      </w:pPr>
      <w:r>
        <w:t>LECrim</w:t>
      </w:r>
      <w:r>
        <w:tab/>
        <w:t>Ley de enjuiciamiento criminal</w:t>
      </w:r>
    </w:p>
    <w:p w14:paraId="294EE79F" w14:textId="77777777" w:rsidR="00EA2347" w:rsidRDefault="00EA2347" w:rsidP="00EA2347">
      <w:pPr>
        <w:pStyle w:val="TextoAbreviaturas"/>
      </w:pPr>
      <w:r>
        <w:t>LET</w:t>
      </w:r>
      <w:r>
        <w:tab/>
        <w:t>Ley del estatuto de los trabajadores</w:t>
      </w:r>
    </w:p>
    <w:p w14:paraId="430FF0D7" w14:textId="77777777" w:rsidR="00EA2347" w:rsidRDefault="00EA2347" w:rsidP="00EA2347">
      <w:pPr>
        <w:pStyle w:val="TextoAbreviaturas"/>
      </w:pPr>
      <w:r>
        <w:t>LFTCu</w:t>
      </w:r>
      <w:r>
        <w:tab/>
        <w:t>Ley de funcionamiento del Tribunal de Cuentas</w:t>
      </w:r>
    </w:p>
    <w:p w14:paraId="71DA9627" w14:textId="77777777" w:rsidR="00EA2347" w:rsidRDefault="00EA2347" w:rsidP="00EA2347">
      <w:pPr>
        <w:pStyle w:val="TextoAbreviaturas"/>
      </w:pPr>
      <w:r>
        <w:t>LGP</w:t>
      </w:r>
      <w:r>
        <w:tab/>
        <w:t>Ley general presupuestaria</w:t>
      </w:r>
    </w:p>
    <w:p w14:paraId="7A5428CE" w14:textId="77777777" w:rsidR="00EA2347" w:rsidRDefault="00EA2347" w:rsidP="00EA2347">
      <w:pPr>
        <w:pStyle w:val="TextoAbreviaturas"/>
      </w:pPr>
      <w:r>
        <w:t>LGSS</w:t>
      </w:r>
      <w:r>
        <w:tab/>
        <w:t>Ley general de la Seguridad Social</w:t>
      </w:r>
    </w:p>
    <w:p w14:paraId="7B3537F3" w14:textId="77777777" w:rsidR="00EA2347" w:rsidRDefault="00EA2347" w:rsidP="00EA2347">
      <w:pPr>
        <w:pStyle w:val="TextoAbreviaturas"/>
      </w:pPr>
      <w:r>
        <w:t>LGT</w:t>
      </w:r>
      <w:r>
        <w:tab/>
        <w:t>Ley general tributaria</w:t>
      </w:r>
    </w:p>
    <w:p w14:paraId="3C5BB8D2" w14:textId="77777777" w:rsidR="00EA2347" w:rsidRDefault="00EA2347" w:rsidP="00EA2347">
      <w:pPr>
        <w:pStyle w:val="TextoAbreviaturas"/>
      </w:pPr>
      <w:r>
        <w:t>LJCA</w:t>
      </w:r>
      <w:r>
        <w:tab/>
        <w:t>Ley reguladora de la jurisdicción contencioso-administrativa</w:t>
      </w:r>
    </w:p>
    <w:p w14:paraId="1AF4C21A" w14:textId="77777777" w:rsidR="00EA2347" w:rsidRDefault="00EA2347" w:rsidP="00EA2347">
      <w:pPr>
        <w:pStyle w:val="TextoAbreviaturas"/>
      </w:pPr>
      <w:r>
        <w:t>LJS</w:t>
      </w:r>
      <w:r>
        <w:tab/>
        <w:t>Ley reguladora de la jurisdicción social</w:t>
      </w:r>
    </w:p>
    <w:p w14:paraId="7DA5969D" w14:textId="77777777" w:rsidR="00EA2347" w:rsidRDefault="00EA2347" w:rsidP="00EA2347">
      <w:pPr>
        <w:pStyle w:val="TextoAbreviaturas"/>
      </w:pPr>
      <w:r>
        <w:t>LM</w:t>
      </w:r>
      <w:r>
        <w:tab/>
        <w:t>Ley del medicamento (Ley de montes para STC 96/2020)</w:t>
      </w:r>
    </w:p>
    <w:p w14:paraId="701150B4" w14:textId="77777777" w:rsidR="00EA2347" w:rsidRDefault="00EA2347" w:rsidP="00EA2347">
      <w:pPr>
        <w:pStyle w:val="TextoAbreviaturas"/>
      </w:pPr>
      <w:r>
        <w:t>LOCJ</w:t>
      </w:r>
      <w:r>
        <w:tab/>
        <w:t>Ley Orgánica de conflictos jurisdiccionales</w:t>
      </w:r>
    </w:p>
    <w:p w14:paraId="6B462440" w14:textId="77777777" w:rsidR="00EA2347" w:rsidRDefault="00EA2347" w:rsidP="00EA2347">
      <w:pPr>
        <w:pStyle w:val="TextoAbreviaturas"/>
      </w:pPr>
      <w:r>
        <w:t>LODA</w:t>
      </w:r>
      <w:r>
        <w:tab/>
        <w:t>Ley Orgánica reguladora del derecho de asociación</w:t>
      </w:r>
    </w:p>
    <w:p w14:paraId="2E2BCAAF" w14:textId="77777777" w:rsidR="00EA2347" w:rsidRDefault="00EA2347" w:rsidP="00EA2347">
      <w:pPr>
        <w:pStyle w:val="TextoAbreviaturas"/>
      </w:pPr>
      <w:r>
        <w:t>LOEx</w:t>
      </w:r>
      <w:r>
        <w:tab/>
        <w:t>Ley Orgánica sobre derechos y libertades de los extranjeros en España y su integración social</w:t>
      </w:r>
    </w:p>
    <w:p w14:paraId="632566D1" w14:textId="77777777" w:rsidR="00EA2347" w:rsidRDefault="00EA2347" w:rsidP="00EA2347">
      <w:pPr>
        <w:pStyle w:val="TextoAbreviaturas"/>
      </w:pPr>
      <w:r>
        <w:t>LOLR</w:t>
      </w:r>
      <w:r>
        <w:tab/>
        <w:t>Ley Orgánica de libertad religiosa</w:t>
      </w:r>
    </w:p>
    <w:p w14:paraId="3DBE6485" w14:textId="77777777" w:rsidR="00EA2347" w:rsidRDefault="00EA2347" w:rsidP="00EA2347">
      <w:pPr>
        <w:pStyle w:val="TextoAbreviaturas"/>
      </w:pPr>
      <w:r>
        <w:t>LOPJ</w:t>
      </w:r>
      <w:r>
        <w:tab/>
        <w:t>Ley Orgánica del Poder Judicial</w:t>
      </w:r>
    </w:p>
    <w:p w14:paraId="7EA83AB4" w14:textId="77777777" w:rsidR="00EA2347" w:rsidRDefault="00EA2347" w:rsidP="00EA2347">
      <w:pPr>
        <w:pStyle w:val="TextoAbreviaturas"/>
      </w:pPr>
      <w:r>
        <w:t>LOREG</w:t>
      </w:r>
      <w:r>
        <w:tab/>
        <w:t>Ley Orgánica del régimen electoral general</w:t>
      </w:r>
    </w:p>
    <w:p w14:paraId="31324AEB" w14:textId="77777777" w:rsidR="00EA2347" w:rsidRDefault="00EA2347" w:rsidP="00EA2347">
      <w:pPr>
        <w:pStyle w:val="TextoAbreviaturas"/>
      </w:pPr>
      <w:r>
        <w:t>LOTC</w:t>
      </w:r>
      <w:r>
        <w:tab/>
        <w:t>Ley Orgánica del Tribunal Constitucional</w:t>
      </w:r>
    </w:p>
    <w:p w14:paraId="256A29FF" w14:textId="77777777" w:rsidR="00EA2347" w:rsidRDefault="00EA2347" w:rsidP="00EA2347">
      <w:pPr>
        <w:pStyle w:val="TextoAbreviaturas"/>
      </w:pPr>
      <w:r>
        <w:t>LPACAP</w:t>
      </w:r>
      <w:r>
        <w:tab/>
        <w:t>Ley del procedimiento administrativo común de las administraciones públicas</w:t>
      </w:r>
    </w:p>
    <w:p w14:paraId="1817A99A" w14:textId="77777777" w:rsidR="00EA2347" w:rsidRDefault="00EA2347" w:rsidP="00EA2347">
      <w:pPr>
        <w:pStyle w:val="TextoAbreviaturas"/>
      </w:pPr>
      <w:r>
        <w:t>LSE</w:t>
      </w:r>
      <w:r>
        <w:tab/>
        <w:t>Ley del sector eléctrico</w:t>
      </w:r>
    </w:p>
    <w:p w14:paraId="1F87617E" w14:textId="77777777" w:rsidR="00EA2347" w:rsidRDefault="00EA2347" w:rsidP="00EA2347">
      <w:pPr>
        <w:pStyle w:val="TextoAbreviaturas"/>
      </w:pPr>
      <w:r>
        <w:t>LSH</w:t>
      </w:r>
      <w:r>
        <w:tab/>
        <w:t>Ley del sector de hidrocarburos</w:t>
      </w:r>
    </w:p>
    <w:p w14:paraId="4A90450B" w14:textId="77777777" w:rsidR="00EA2347" w:rsidRDefault="00EA2347" w:rsidP="00EA2347">
      <w:pPr>
        <w:pStyle w:val="TextoAbreviaturas"/>
      </w:pPr>
      <w:r>
        <w:t>LSV</w:t>
      </w:r>
      <w:r>
        <w:tab/>
        <w:t>Ley sobre tráfico, circulación de vehículos a motor y seguridad vial</w:t>
      </w:r>
    </w:p>
    <w:p w14:paraId="7FDB7545" w14:textId="77777777" w:rsidR="00EA2347" w:rsidRDefault="00EA2347" w:rsidP="00EA2347">
      <w:pPr>
        <w:pStyle w:val="TextoAbreviaturas"/>
      </w:pPr>
      <w:r>
        <w:t>ONU</w:t>
      </w:r>
      <w:r>
        <w:tab/>
        <w:t>Organización de Naciones Unidas</w:t>
      </w:r>
    </w:p>
    <w:p w14:paraId="5B4B1CB3" w14:textId="77777777" w:rsidR="00EA2347" w:rsidRDefault="00EA2347" w:rsidP="00EA2347">
      <w:pPr>
        <w:pStyle w:val="TextoAbreviaturas"/>
      </w:pPr>
      <w:r>
        <w:t>PIB</w:t>
      </w:r>
      <w:r>
        <w:tab/>
        <w:t>Producto interior bruto</w:t>
      </w:r>
    </w:p>
    <w:p w14:paraId="090D0FF1" w14:textId="77777777" w:rsidR="00EA2347" w:rsidRDefault="00EA2347" w:rsidP="00EA2347">
      <w:pPr>
        <w:pStyle w:val="TextoAbreviaturas"/>
      </w:pPr>
      <w:r>
        <w:t>PNV</w:t>
      </w:r>
      <w:r>
        <w:tab/>
        <w:t>Partido Nacionalista Vasco</w:t>
      </w:r>
    </w:p>
    <w:p w14:paraId="02161E60" w14:textId="77777777" w:rsidR="00EA2347" w:rsidRDefault="00EA2347" w:rsidP="00EA2347">
      <w:pPr>
        <w:pStyle w:val="TextoAbreviaturas"/>
      </w:pPr>
      <w:r>
        <w:t>PSOE</w:t>
      </w:r>
      <w:r>
        <w:tab/>
        <w:t>Partido Socialista Obrero Español</w:t>
      </w:r>
    </w:p>
    <w:p w14:paraId="67C596F6" w14:textId="77777777" w:rsidR="00EA2347" w:rsidRDefault="00EA2347" w:rsidP="00EA2347">
      <w:pPr>
        <w:pStyle w:val="TextoAbreviaturas"/>
      </w:pPr>
      <w:r>
        <w:t>RCD</w:t>
      </w:r>
      <w:r>
        <w:tab/>
        <w:t>Reglamento del Congreso de los Diputados</w:t>
      </w:r>
    </w:p>
    <w:p w14:paraId="332E2CEB" w14:textId="77777777" w:rsidR="00EA2347" w:rsidRDefault="00EA2347" w:rsidP="00EA2347">
      <w:pPr>
        <w:pStyle w:val="TextoAbreviaturas"/>
      </w:pPr>
      <w:r>
        <w:t>RPC</w:t>
      </w:r>
      <w:r>
        <w:tab/>
        <w:t>Reglamento del Parlamento de Cataluña</w:t>
      </w:r>
    </w:p>
    <w:p w14:paraId="48D202B0" w14:textId="77777777" w:rsidR="00EA2347" w:rsidRDefault="00EA2347" w:rsidP="00EA2347">
      <w:pPr>
        <w:pStyle w:val="TextoAbreviaturas"/>
      </w:pPr>
      <w:r>
        <w:t>RS</w:t>
      </w:r>
      <w:r>
        <w:tab/>
        <w:t>Reglamento del Senado</w:t>
      </w:r>
    </w:p>
    <w:p w14:paraId="1D361611" w14:textId="77777777" w:rsidR="00EA2347" w:rsidRDefault="00EA2347" w:rsidP="00EA2347">
      <w:pPr>
        <w:pStyle w:val="TextoAbreviaturas"/>
      </w:pPr>
      <w:r>
        <w:t>SEPE</w:t>
      </w:r>
      <w:r>
        <w:tab/>
        <w:t>Servicio público de Empleo Estatal</w:t>
      </w:r>
    </w:p>
    <w:p w14:paraId="5A8605E3" w14:textId="77777777" w:rsidR="00EA2347" w:rsidRDefault="00EA2347" w:rsidP="00EA2347">
      <w:pPr>
        <w:pStyle w:val="TextoAbreviaturas"/>
      </w:pPr>
      <w:r>
        <w:t>SSTJUE</w:t>
      </w:r>
      <w:r>
        <w:tab/>
        <w:t>Sentencias del Tribunal de Justicia de la Unión Europea</w:t>
      </w:r>
    </w:p>
    <w:p w14:paraId="0FCF1AA7" w14:textId="77777777" w:rsidR="00EA2347" w:rsidRDefault="00EA2347" w:rsidP="00EA2347">
      <w:pPr>
        <w:pStyle w:val="TextoAbreviaturas"/>
      </w:pPr>
      <w:r>
        <w:t>STC</w:t>
      </w:r>
      <w:r>
        <w:tab/>
        <w:t>Sentencia del Tribunal Constitucional</w:t>
      </w:r>
    </w:p>
    <w:p w14:paraId="45CF8C82" w14:textId="77777777" w:rsidR="00EA2347" w:rsidRDefault="00EA2347" w:rsidP="00EA2347">
      <w:pPr>
        <w:pStyle w:val="TextoAbreviaturas"/>
      </w:pPr>
      <w:r>
        <w:t>SSTC</w:t>
      </w:r>
      <w:r>
        <w:tab/>
        <w:t>Sentencias del Tribunal Constitucional</w:t>
      </w:r>
    </w:p>
    <w:p w14:paraId="32AC1BC1" w14:textId="77777777" w:rsidR="00EA2347" w:rsidRDefault="00EA2347" w:rsidP="00EA2347">
      <w:pPr>
        <w:pStyle w:val="TextoAbreviaturas"/>
      </w:pPr>
      <w:r>
        <w:t>STEDH</w:t>
      </w:r>
      <w:r>
        <w:tab/>
        <w:t>Sentencia del Tribunal Europeo de Derechos Humanos</w:t>
      </w:r>
    </w:p>
    <w:p w14:paraId="72038ACC" w14:textId="77777777" w:rsidR="00EA2347" w:rsidRDefault="00EA2347" w:rsidP="00EA2347">
      <w:pPr>
        <w:pStyle w:val="TextoAbreviaturas"/>
      </w:pPr>
      <w:r>
        <w:t>SSTEDH</w:t>
      </w:r>
      <w:r>
        <w:tab/>
        <w:t>Sentencias del Tribunal Europeo de Derechos Humanos</w:t>
      </w:r>
    </w:p>
    <w:p w14:paraId="3F780BF8" w14:textId="77777777" w:rsidR="00EA2347" w:rsidRDefault="00EA2347" w:rsidP="00EA2347">
      <w:pPr>
        <w:pStyle w:val="TextoAbreviaturas"/>
      </w:pPr>
      <w:r>
        <w:t>STJCE</w:t>
      </w:r>
      <w:r>
        <w:tab/>
        <w:t>Sentencia del Tribunal de Justicia de las Comunidades Europeas</w:t>
      </w:r>
    </w:p>
    <w:p w14:paraId="3B4B38C2" w14:textId="77777777" w:rsidR="00EA2347" w:rsidRDefault="00EA2347" w:rsidP="00EA2347">
      <w:pPr>
        <w:pStyle w:val="TextoAbreviaturas"/>
      </w:pPr>
      <w:r>
        <w:t>STJUE</w:t>
      </w:r>
      <w:r>
        <w:tab/>
        <w:t>Sentencia del Tribunal de Justicia de la Unión Europea</w:t>
      </w:r>
    </w:p>
    <w:p w14:paraId="179A45AF" w14:textId="77777777" w:rsidR="00EA2347" w:rsidRDefault="00EA2347" w:rsidP="00EA2347">
      <w:pPr>
        <w:pStyle w:val="TextoAbreviaturas"/>
      </w:pPr>
      <w:r>
        <w:t>STS</w:t>
      </w:r>
      <w:r>
        <w:tab/>
        <w:t>Sentencia del Tribunal Supremo</w:t>
      </w:r>
    </w:p>
    <w:p w14:paraId="65CE3495" w14:textId="77777777" w:rsidR="00EA2347" w:rsidRDefault="00EA2347" w:rsidP="00EA2347">
      <w:pPr>
        <w:pStyle w:val="TextoAbreviaturas"/>
      </w:pPr>
      <w:r>
        <w:t>SSTS</w:t>
      </w:r>
      <w:r>
        <w:tab/>
        <w:t>Sentencias del Tribunal Supremo</w:t>
      </w:r>
    </w:p>
    <w:p w14:paraId="126E777A" w14:textId="77777777" w:rsidR="00EA2347" w:rsidRDefault="00EA2347" w:rsidP="00EA2347">
      <w:pPr>
        <w:pStyle w:val="TextoAbreviaturas"/>
      </w:pPr>
      <w:r>
        <w:t>TCE</w:t>
      </w:r>
      <w:r>
        <w:tab/>
        <w:t>Tratado constitutivo de la Comunidad Europea</w:t>
      </w:r>
    </w:p>
    <w:p w14:paraId="669EEC6A" w14:textId="77777777" w:rsidR="00EA2347" w:rsidRDefault="00EA2347" w:rsidP="00EA2347">
      <w:pPr>
        <w:pStyle w:val="TextoAbreviaturas"/>
      </w:pPr>
      <w:r>
        <w:t>TFUE</w:t>
      </w:r>
      <w:r>
        <w:tab/>
        <w:t>Tratado de funcionamiento de la Unión Europea</w:t>
      </w:r>
    </w:p>
    <w:p w14:paraId="2B0450A8" w14:textId="77777777" w:rsidR="00EA2347" w:rsidRDefault="00EA2347" w:rsidP="00EA2347">
      <w:pPr>
        <w:pStyle w:val="TextoAbreviaturas"/>
      </w:pPr>
      <w:r>
        <w:t>TGSS</w:t>
      </w:r>
      <w:r>
        <w:tab/>
        <w:t>Tesorería General de la Seguridad Social</w:t>
      </w:r>
    </w:p>
    <w:p w14:paraId="506E424E" w14:textId="77777777" w:rsidR="00EA2347" w:rsidRDefault="00EA2347" w:rsidP="00EA2347">
      <w:pPr>
        <w:pStyle w:val="TextoAbreviaturas"/>
      </w:pPr>
      <w:r>
        <w:t>TRLEEP</w:t>
      </w:r>
      <w:r>
        <w:tab/>
        <w:t>Texto refundido de la Ley del estatuto del empleado público</w:t>
      </w:r>
    </w:p>
    <w:p w14:paraId="30C9B616" w14:textId="77777777" w:rsidR="00EA2347" w:rsidRDefault="00EA2347" w:rsidP="00EA2347">
      <w:pPr>
        <w:pStyle w:val="TextoAbreviaturas"/>
      </w:pPr>
      <w:r>
        <w:t>TRLHL</w:t>
      </w:r>
      <w:r>
        <w:tab/>
        <w:t>Texto refundido de la Ley reguladora de las haciendas locales</w:t>
      </w:r>
    </w:p>
    <w:p w14:paraId="4F0F86DF" w14:textId="77777777" w:rsidR="00EA2347" w:rsidRDefault="00EA2347" w:rsidP="00EA2347">
      <w:pPr>
        <w:pStyle w:val="TextoAbreviaturas"/>
      </w:pPr>
      <w:r>
        <w:t>TUE</w:t>
      </w:r>
      <w:r>
        <w:tab/>
        <w:t>Tratado de la Unión Europea</w:t>
      </w:r>
    </w:p>
    <w:p w14:paraId="54D98701" w14:textId="381D1731" w:rsidR="00EA2347" w:rsidRDefault="00EA2347" w:rsidP="00EA2347">
      <w:pPr>
        <w:pStyle w:val="TextoAbreviaturas"/>
      </w:pPr>
    </w:p>
    <w:sectPr w:rsidR="00EA2347" w:rsidSect="00450063">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B63EB" w14:textId="77777777" w:rsidR="00B11110" w:rsidRDefault="00B11110" w:rsidP="003754FE">
      <w:pPr>
        <w:spacing w:after="0" w:line="240" w:lineRule="auto"/>
      </w:pPr>
      <w:r>
        <w:separator/>
      </w:r>
    </w:p>
  </w:endnote>
  <w:endnote w:type="continuationSeparator" w:id="0">
    <w:p w14:paraId="515D7103" w14:textId="77777777" w:rsidR="00B11110" w:rsidRDefault="00B11110" w:rsidP="00375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69FB9" w14:textId="77777777" w:rsidR="00450063" w:rsidRDefault="00450063" w:rsidP="00450063">
    <w:pPr>
      <w:pStyle w:val="Piedepgina"/>
      <w:framePr w:wrap="around"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p w14:paraId="06B3E2F7" w14:textId="77777777" w:rsidR="003754FE" w:rsidRDefault="003754FE" w:rsidP="0045006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A67BA" w14:textId="65BA3D95" w:rsidR="00450063" w:rsidRDefault="00450063" w:rsidP="00450063">
    <w:pPr>
      <w:pStyle w:val="Piedepgina"/>
      <w:framePr w:wrap="around"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p w14:paraId="0DC08048" w14:textId="77777777" w:rsidR="003754FE" w:rsidRDefault="003754FE" w:rsidP="00450063">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2EBF" w14:textId="77777777" w:rsidR="003754FE" w:rsidRDefault="003754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332DE" w14:textId="77777777" w:rsidR="00B11110" w:rsidRDefault="00B11110" w:rsidP="003754FE">
      <w:pPr>
        <w:spacing w:after="0" w:line="240" w:lineRule="auto"/>
      </w:pPr>
      <w:r>
        <w:separator/>
      </w:r>
    </w:p>
  </w:footnote>
  <w:footnote w:type="continuationSeparator" w:id="0">
    <w:p w14:paraId="04841156" w14:textId="77777777" w:rsidR="00B11110" w:rsidRDefault="00B11110" w:rsidP="00375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6E78" w14:textId="77777777" w:rsidR="003754FE" w:rsidRDefault="003754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28AEF" w14:textId="322F4A97" w:rsidR="003754FE" w:rsidRDefault="00450063" w:rsidP="00450063">
    <w:pPr>
      <w:pStyle w:val="Cabecera"/>
    </w:pPr>
    <w:r>
      <w:t>JURISPRUDENCIA CONSTITUCIONAL - Tomo: julio a diciembre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A22B" w14:textId="77777777" w:rsidR="003754FE" w:rsidRDefault="003754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16cid:durableId="311644280">
    <w:abstractNumId w:val="8"/>
  </w:num>
  <w:num w:numId="2" w16cid:durableId="1193691252">
    <w:abstractNumId w:val="3"/>
  </w:num>
  <w:num w:numId="3" w16cid:durableId="818960199">
    <w:abstractNumId w:val="2"/>
  </w:num>
  <w:num w:numId="4" w16cid:durableId="989599441">
    <w:abstractNumId w:val="1"/>
  </w:num>
  <w:num w:numId="5" w16cid:durableId="1636985203">
    <w:abstractNumId w:val="0"/>
  </w:num>
  <w:num w:numId="6" w16cid:durableId="813839007">
    <w:abstractNumId w:val="9"/>
  </w:num>
  <w:num w:numId="7" w16cid:durableId="1094597322">
    <w:abstractNumId w:val="7"/>
  </w:num>
  <w:num w:numId="8" w16cid:durableId="174728915">
    <w:abstractNumId w:val="6"/>
  </w:num>
  <w:num w:numId="9" w16cid:durableId="1613367595">
    <w:abstractNumId w:val="5"/>
  </w:num>
  <w:num w:numId="10" w16cid:durableId="9841676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C2"/>
    <w:rsid w:val="003754FE"/>
    <w:rsid w:val="00450063"/>
    <w:rsid w:val="004858C2"/>
    <w:rsid w:val="007D5795"/>
    <w:rsid w:val="00A60FA6"/>
    <w:rsid w:val="00B11110"/>
    <w:rsid w:val="00C04533"/>
    <w:rsid w:val="00CD105B"/>
    <w:rsid w:val="00EA23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BA70D"/>
  <w15:chartTrackingRefBased/>
  <w15:docId w15:val="{D82C4947-7D68-44D2-A3F2-74D263DA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8C2"/>
    <w:pPr>
      <w:spacing w:after="200" w:line="276" w:lineRule="auto"/>
    </w:pPr>
    <w:rPr>
      <w:kern w:val="0"/>
      <w:sz w:val="22"/>
      <w:szCs w:val="22"/>
      <w14:ligatures w14:val="none"/>
    </w:rPr>
  </w:style>
  <w:style w:type="paragraph" w:styleId="Ttulo1">
    <w:name w:val="heading 1"/>
    <w:basedOn w:val="Normal"/>
    <w:next w:val="Normal"/>
    <w:link w:val="Ttulo1Car"/>
    <w:uiPriority w:val="9"/>
    <w:rsid w:val="004858C2"/>
    <w:pPr>
      <w:keepNext/>
      <w:keepLines/>
      <w:spacing w:before="480" w:after="0" w:line="240" w:lineRule="auto"/>
      <w:jc w:val="both"/>
      <w:outlineLvl w:val="0"/>
    </w:pPr>
    <w:rPr>
      <w:rFonts w:asciiTheme="majorHAnsi" w:eastAsiaTheme="majorEastAsia" w:hAnsiTheme="majorHAnsi" w:cstheme="majorBidi"/>
      <w:b/>
      <w:bCs/>
      <w:color w:val="0F4761" w:themeColor="accent1" w:themeShade="BF"/>
      <w:sz w:val="28"/>
      <w:szCs w:val="28"/>
      <w:lang w:eastAsia="es-ES"/>
    </w:rPr>
  </w:style>
  <w:style w:type="paragraph" w:styleId="Ttulo2">
    <w:name w:val="heading 2"/>
    <w:basedOn w:val="Normal"/>
    <w:next w:val="Normal"/>
    <w:link w:val="Ttulo2Car"/>
    <w:uiPriority w:val="9"/>
    <w:semiHidden/>
    <w:rsid w:val="004858C2"/>
    <w:pPr>
      <w:keepNext/>
      <w:keepLines/>
      <w:spacing w:before="200" w:after="0" w:line="240" w:lineRule="auto"/>
      <w:jc w:val="both"/>
      <w:outlineLvl w:val="1"/>
    </w:pPr>
    <w:rPr>
      <w:rFonts w:asciiTheme="majorHAnsi" w:eastAsiaTheme="majorEastAsia" w:hAnsiTheme="majorHAnsi" w:cstheme="majorBidi"/>
      <w:b/>
      <w:bCs/>
      <w:color w:val="156082" w:themeColor="accent1"/>
      <w:sz w:val="26"/>
      <w:szCs w:val="26"/>
      <w:lang w:eastAsia="es-ES"/>
    </w:rPr>
  </w:style>
  <w:style w:type="paragraph" w:styleId="Ttulo3">
    <w:name w:val="heading 3"/>
    <w:basedOn w:val="Normal"/>
    <w:next w:val="Normal"/>
    <w:link w:val="Ttulo3Car"/>
    <w:uiPriority w:val="9"/>
    <w:semiHidden/>
    <w:unhideWhenUsed/>
    <w:qFormat/>
    <w:rsid w:val="004858C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858C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rsid w:val="004858C2"/>
    <w:pPr>
      <w:keepNext/>
      <w:keepLines/>
      <w:spacing w:before="200" w:after="0" w:line="240" w:lineRule="auto"/>
      <w:jc w:val="both"/>
      <w:outlineLvl w:val="4"/>
    </w:pPr>
    <w:rPr>
      <w:rFonts w:asciiTheme="majorHAnsi" w:eastAsiaTheme="majorEastAsia" w:hAnsiTheme="majorHAnsi" w:cstheme="majorBidi"/>
      <w:color w:val="0A2F40" w:themeColor="accent1" w:themeShade="7F"/>
      <w:sz w:val="24"/>
      <w:szCs w:val="24"/>
      <w:lang w:eastAsia="es-ES"/>
    </w:rPr>
  </w:style>
  <w:style w:type="paragraph" w:styleId="Ttulo6">
    <w:name w:val="heading 6"/>
    <w:basedOn w:val="Normal"/>
    <w:next w:val="Normal"/>
    <w:link w:val="Ttulo6Car"/>
    <w:uiPriority w:val="9"/>
    <w:semiHidden/>
    <w:unhideWhenUsed/>
    <w:qFormat/>
    <w:rsid w:val="004858C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qFormat/>
    <w:rsid w:val="004858C2"/>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4858C2"/>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4858C2"/>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4858C2"/>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4858C2"/>
  </w:style>
  <w:style w:type="character" w:customStyle="1" w:styleId="Ttulo1Car">
    <w:name w:val="Título 1 Car"/>
    <w:basedOn w:val="Fuentedeprrafopredeter"/>
    <w:link w:val="Ttulo1"/>
    <w:uiPriority w:val="9"/>
    <w:rsid w:val="004858C2"/>
    <w:rPr>
      <w:rFonts w:asciiTheme="majorHAnsi" w:eastAsiaTheme="majorEastAsia" w:hAnsiTheme="majorHAnsi" w:cstheme="majorBidi"/>
      <w:b/>
      <w:bCs/>
      <w:color w:val="0F4761" w:themeColor="accent1" w:themeShade="BF"/>
      <w:kern w:val="0"/>
      <w:sz w:val="28"/>
      <w:szCs w:val="28"/>
      <w:lang w:eastAsia="es-ES"/>
      <w14:ligatures w14:val="none"/>
    </w:rPr>
  </w:style>
  <w:style w:type="character" w:customStyle="1" w:styleId="Ttulo2Car">
    <w:name w:val="Título 2 Car"/>
    <w:basedOn w:val="Fuentedeprrafopredeter"/>
    <w:link w:val="Ttulo2"/>
    <w:uiPriority w:val="9"/>
    <w:semiHidden/>
    <w:rsid w:val="004858C2"/>
    <w:rPr>
      <w:rFonts w:asciiTheme="majorHAnsi" w:eastAsiaTheme="majorEastAsia" w:hAnsiTheme="majorHAnsi" w:cstheme="majorBidi"/>
      <w:b/>
      <w:bCs/>
      <w:color w:val="156082" w:themeColor="accent1"/>
      <w:kern w:val="0"/>
      <w:sz w:val="26"/>
      <w:szCs w:val="26"/>
      <w:lang w:eastAsia="es-ES"/>
      <w14:ligatures w14:val="none"/>
    </w:rPr>
  </w:style>
  <w:style w:type="character" w:customStyle="1" w:styleId="Ttulo3Car">
    <w:name w:val="Título 3 Car"/>
    <w:basedOn w:val="Fuentedeprrafopredeter"/>
    <w:link w:val="Ttulo3"/>
    <w:uiPriority w:val="9"/>
    <w:semiHidden/>
    <w:rsid w:val="004858C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858C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858C2"/>
    <w:rPr>
      <w:rFonts w:asciiTheme="majorHAnsi" w:eastAsiaTheme="majorEastAsia" w:hAnsiTheme="majorHAnsi" w:cstheme="majorBidi"/>
      <w:color w:val="0A2F40" w:themeColor="accent1" w:themeShade="7F"/>
      <w:kern w:val="0"/>
      <w:lang w:eastAsia="es-ES"/>
      <w14:ligatures w14:val="none"/>
    </w:rPr>
  </w:style>
  <w:style w:type="character" w:customStyle="1" w:styleId="Ttulo6Car">
    <w:name w:val="Título 6 Car"/>
    <w:basedOn w:val="Fuentedeprrafopredeter"/>
    <w:link w:val="Ttulo6"/>
    <w:uiPriority w:val="9"/>
    <w:semiHidden/>
    <w:rsid w:val="004858C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858C2"/>
    <w:rPr>
      <w:rFonts w:asciiTheme="majorHAnsi" w:eastAsiaTheme="majorEastAsia" w:hAnsiTheme="majorHAnsi" w:cstheme="majorBidi"/>
      <w:i/>
      <w:iCs/>
      <w:color w:val="404040" w:themeColor="text1" w:themeTint="BF"/>
      <w:kern w:val="0"/>
      <w:sz w:val="22"/>
      <w:szCs w:val="22"/>
      <w14:ligatures w14:val="none"/>
    </w:rPr>
  </w:style>
  <w:style w:type="character" w:customStyle="1" w:styleId="Ttulo8Car">
    <w:name w:val="Título 8 Car"/>
    <w:basedOn w:val="Fuentedeprrafopredeter"/>
    <w:link w:val="Ttulo8"/>
    <w:uiPriority w:val="9"/>
    <w:semiHidden/>
    <w:rsid w:val="004858C2"/>
    <w:rPr>
      <w:rFonts w:asciiTheme="majorHAnsi" w:eastAsiaTheme="majorEastAsia" w:hAnsiTheme="majorHAnsi" w:cstheme="majorBidi"/>
      <w:color w:val="404040" w:themeColor="text1" w:themeTint="BF"/>
      <w:kern w:val="0"/>
      <w:sz w:val="20"/>
      <w:szCs w:val="20"/>
      <w14:ligatures w14:val="none"/>
    </w:rPr>
  </w:style>
  <w:style w:type="character" w:customStyle="1" w:styleId="Ttulo9Car">
    <w:name w:val="Título 9 Car"/>
    <w:basedOn w:val="Fuentedeprrafopredeter"/>
    <w:link w:val="Ttulo9"/>
    <w:uiPriority w:val="9"/>
    <w:semiHidden/>
    <w:rsid w:val="004858C2"/>
    <w:rPr>
      <w:rFonts w:asciiTheme="majorHAnsi" w:eastAsiaTheme="majorEastAsia" w:hAnsiTheme="majorHAnsi" w:cstheme="majorBidi"/>
      <w:i/>
      <w:iCs/>
      <w:color w:val="404040" w:themeColor="text1" w:themeTint="BF"/>
      <w:kern w:val="0"/>
      <w:sz w:val="20"/>
      <w:szCs w:val="20"/>
      <w14:ligatures w14:val="none"/>
    </w:rPr>
  </w:style>
  <w:style w:type="paragraph" w:styleId="Ttulo">
    <w:name w:val="Title"/>
    <w:basedOn w:val="Normal"/>
    <w:next w:val="Normal"/>
    <w:link w:val="TtuloCar"/>
    <w:uiPriority w:val="10"/>
    <w:qFormat/>
    <w:rsid w:val="00485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858C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858C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858C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858C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4858C2"/>
    <w:rPr>
      <w:i/>
      <w:iCs/>
      <w:color w:val="404040" w:themeColor="text1" w:themeTint="BF"/>
      <w:kern w:val="0"/>
      <w:sz w:val="22"/>
      <w:szCs w:val="22"/>
      <w14:ligatures w14:val="none"/>
    </w:rPr>
  </w:style>
  <w:style w:type="paragraph" w:styleId="Prrafodelista">
    <w:name w:val="List Paragraph"/>
    <w:basedOn w:val="Normal"/>
    <w:uiPriority w:val="34"/>
    <w:qFormat/>
    <w:rsid w:val="004858C2"/>
    <w:pPr>
      <w:ind w:left="720"/>
      <w:contextualSpacing/>
    </w:pPr>
  </w:style>
  <w:style w:type="character" w:styleId="nfasisintenso">
    <w:name w:val="Intense Emphasis"/>
    <w:basedOn w:val="Fuentedeprrafopredeter"/>
    <w:uiPriority w:val="21"/>
    <w:qFormat/>
    <w:rsid w:val="004858C2"/>
    <w:rPr>
      <w:i/>
      <w:iCs/>
      <w:color w:val="0F4761" w:themeColor="accent1" w:themeShade="BF"/>
    </w:rPr>
  </w:style>
  <w:style w:type="paragraph" w:styleId="Citadestacada">
    <w:name w:val="Intense Quote"/>
    <w:basedOn w:val="Normal"/>
    <w:next w:val="Normal"/>
    <w:link w:val="CitadestacadaCar"/>
    <w:uiPriority w:val="30"/>
    <w:qFormat/>
    <w:rsid w:val="004858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858C2"/>
    <w:rPr>
      <w:i/>
      <w:iCs/>
      <w:color w:val="0F4761" w:themeColor="accent1" w:themeShade="BF"/>
    </w:rPr>
  </w:style>
  <w:style w:type="character" w:styleId="Referenciaintensa">
    <w:name w:val="Intense Reference"/>
    <w:basedOn w:val="Fuentedeprrafopredeter"/>
    <w:uiPriority w:val="32"/>
    <w:qFormat/>
    <w:rsid w:val="004858C2"/>
    <w:rPr>
      <w:b/>
      <w:bCs/>
      <w:smallCaps/>
      <w:color w:val="0F4761" w:themeColor="accent1" w:themeShade="BF"/>
      <w:spacing w:val="5"/>
    </w:rPr>
  </w:style>
  <w:style w:type="paragraph" w:styleId="Sinespaciado">
    <w:name w:val="No Spacing"/>
    <w:uiPriority w:val="1"/>
    <w:rsid w:val="004858C2"/>
    <w:pPr>
      <w:spacing w:after="0" w:line="240" w:lineRule="auto"/>
    </w:pPr>
    <w:rPr>
      <w:kern w:val="0"/>
      <w:sz w:val="22"/>
      <w:szCs w:val="22"/>
      <w14:ligatures w14:val="none"/>
    </w:rPr>
  </w:style>
  <w:style w:type="paragraph" w:styleId="Textocomentario">
    <w:name w:val="annotation text"/>
    <w:basedOn w:val="Normal"/>
    <w:link w:val="TextocomentarioCar"/>
    <w:uiPriority w:val="99"/>
    <w:semiHidden/>
    <w:rsid w:val="004858C2"/>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4858C2"/>
    <w:rPr>
      <w:rFonts w:ascii="Times New Roman" w:eastAsia="Times New Roman" w:hAnsi="Times New Roman" w:cs="Times New Roman"/>
      <w:kern w:val="0"/>
      <w:sz w:val="20"/>
      <w:szCs w:val="20"/>
      <w:lang w:eastAsia="es-ES"/>
      <w14:ligatures w14:val="none"/>
    </w:rPr>
  </w:style>
  <w:style w:type="paragraph" w:styleId="Continuarlista4">
    <w:name w:val="List Continue 4"/>
    <w:basedOn w:val="Normal"/>
    <w:uiPriority w:val="99"/>
    <w:semiHidden/>
    <w:rsid w:val="004858C2"/>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4858C2"/>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4858C2"/>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4858C2"/>
    <w:rPr>
      <w:rFonts w:ascii="Times New Roman" w:eastAsia="Times New Roman" w:hAnsi="Times New Roman" w:cs="Times New Roman"/>
      <w:b/>
      <w:kern w:val="0"/>
      <w:lang w:eastAsia="es-ES"/>
      <w14:ligatures w14:val="none"/>
    </w:rPr>
  </w:style>
  <w:style w:type="character" w:customStyle="1" w:styleId="TextoNormalCaracter">
    <w:name w:val="Texto Normal Caracter"/>
    <w:basedOn w:val="Fuentedeprrafopredeter"/>
    <w:uiPriority w:val="1"/>
    <w:qFormat/>
    <w:rsid w:val="004858C2"/>
    <w:rPr>
      <w:rFonts w:ascii="Times New Roman" w:hAnsi="Times New Roman"/>
      <w:i w:val="0"/>
      <w:sz w:val="24"/>
    </w:rPr>
  </w:style>
  <w:style w:type="character" w:customStyle="1" w:styleId="TtuloBOECar">
    <w:name w:val="Título BOE Car"/>
    <w:basedOn w:val="Fuentedeprrafopredeter"/>
    <w:link w:val="TtuloBOE"/>
    <w:rsid w:val="004858C2"/>
    <w:rPr>
      <w:rFonts w:ascii="Times New Roman" w:eastAsia="Times New Roman" w:hAnsi="Times New Roman" w:cs="Times New Roman"/>
      <w:i/>
      <w:kern w:val="0"/>
      <w:lang w:eastAsia="es-ES"/>
      <w14:ligatures w14:val="none"/>
    </w:rPr>
  </w:style>
  <w:style w:type="character" w:customStyle="1" w:styleId="TextoNormalCursivaCaracter">
    <w:name w:val="Texto Normal Cursiva Caracter"/>
    <w:basedOn w:val="TextoNormalCaracter"/>
    <w:uiPriority w:val="1"/>
    <w:qFormat/>
    <w:rsid w:val="004858C2"/>
    <w:rPr>
      <w:rFonts w:ascii="Times New Roman" w:hAnsi="Times New Roman"/>
      <w:i/>
      <w:sz w:val="24"/>
    </w:rPr>
  </w:style>
  <w:style w:type="paragraph" w:customStyle="1" w:styleId="Extracto">
    <w:name w:val="Extracto"/>
    <w:basedOn w:val="Normal"/>
    <w:link w:val="ExtractoCar"/>
    <w:qFormat/>
    <w:rsid w:val="004858C2"/>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4858C2"/>
    <w:rPr>
      <w:rFonts w:ascii="Times New Roman" w:eastAsia="Times New Roman" w:hAnsi="Times New Roman" w:cs="Times New Roman"/>
      <w:b/>
      <w:color w:val="000000"/>
      <w:kern w:val="0"/>
      <w:lang w:eastAsia="es-ES"/>
      <w14:ligatures w14:val="none"/>
    </w:rPr>
  </w:style>
  <w:style w:type="paragraph" w:customStyle="1" w:styleId="TextoNormal">
    <w:name w:val="Texto Normal"/>
    <w:basedOn w:val="Normal"/>
    <w:link w:val="TextoNormalCar"/>
    <w:qFormat/>
    <w:rsid w:val="004858C2"/>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4858C2"/>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4858C2"/>
    <w:rPr>
      <w:rFonts w:ascii="Times New Roman" w:eastAsia="Times New Roman" w:hAnsi="Times New Roman" w:cs="Times New Roman"/>
      <w:kern w:val="0"/>
      <w:lang w:eastAsia="es-ES"/>
      <w14:ligatures w14:val="none"/>
    </w:rPr>
  </w:style>
  <w:style w:type="character" w:customStyle="1" w:styleId="TextoNormalCentradoCar">
    <w:name w:val="Texto Normal Centrado Car"/>
    <w:basedOn w:val="Fuentedeprrafopredeter"/>
    <w:link w:val="TextoNormalCentrado"/>
    <w:rsid w:val="004858C2"/>
    <w:rPr>
      <w:rFonts w:ascii="Times New Roman" w:eastAsia="Times New Roman" w:hAnsi="Times New Roman" w:cs="Times New Roman"/>
      <w:kern w:val="0"/>
      <w:lang w:eastAsia="es-ES"/>
      <w14:ligatures w14:val="none"/>
    </w:rPr>
  </w:style>
  <w:style w:type="paragraph" w:customStyle="1" w:styleId="TextoNormalNegritaCentrado">
    <w:name w:val="Texto Normal Negrita Centrado"/>
    <w:basedOn w:val="Normal"/>
    <w:link w:val="TextoNormalNegritaCentradoCar"/>
    <w:qFormat/>
    <w:rsid w:val="004858C2"/>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4858C2"/>
    <w:rPr>
      <w:rFonts w:ascii="Times New Roman" w:eastAsia="Times New Roman" w:hAnsi="Times New Roman" w:cs="Times New Roman"/>
      <w:b/>
      <w:kern w:val="0"/>
      <w:sz w:val="26"/>
      <w:lang w:eastAsia="es-ES"/>
      <w14:ligatures w14:val="none"/>
    </w:rPr>
  </w:style>
  <w:style w:type="paragraph" w:customStyle="1" w:styleId="CabeceraApartado">
    <w:name w:val="Cabecera Apartado"/>
    <w:basedOn w:val="Normal"/>
    <w:link w:val="CabeceraApartadoCar"/>
    <w:qFormat/>
    <w:rsid w:val="004858C2"/>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4858C2"/>
    <w:rPr>
      <w:rFonts w:ascii="Times New Roman" w:eastAsia="Times New Roman" w:hAnsi="Times New Roman" w:cs="Times New Roman"/>
      <w:kern w:val="0"/>
      <w:sz w:val="48"/>
      <w:lang w:eastAsia="es-ES"/>
      <w14:ligatures w14:val="none"/>
    </w:rPr>
  </w:style>
  <w:style w:type="paragraph" w:customStyle="1" w:styleId="CabeceraApartadoDerecha">
    <w:name w:val="Cabecera Apartado Derecha"/>
    <w:basedOn w:val="Normal"/>
    <w:link w:val="CabeceraApartadoDerechaCar"/>
    <w:qFormat/>
    <w:rsid w:val="004858C2"/>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4858C2"/>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4858C2"/>
    <w:rPr>
      <w:rFonts w:ascii="Times New Roman" w:eastAsia="Times New Roman" w:hAnsi="Times New Roman" w:cs="Times New Roman"/>
      <w:kern w:val="0"/>
      <w:sz w:val="48"/>
      <w:lang w:eastAsia="es-ES"/>
      <w14:ligatures w14:val="none"/>
    </w:rPr>
  </w:style>
  <w:style w:type="paragraph" w:customStyle="1" w:styleId="EntradandiceAuto">
    <w:name w:val="Entrada Índice Auto"/>
    <w:basedOn w:val="Normal"/>
    <w:link w:val="EntradandiceAutoCar"/>
    <w:qFormat/>
    <w:rsid w:val="004858C2"/>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4858C2"/>
    <w:rPr>
      <w:rFonts w:ascii="Times New Roman" w:eastAsia="Times New Roman" w:hAnsi="Times New Roman" w:cs="Times New Roman"/>
      <w:b/>
      <w:kern w:val="0"/>
      <w:lang w:eastAsia="es-ES"/>
      <w14:ligatures w14:val="none"/>
    </w:rPr>
  </w:style>
  <w:style w:type="character" w:customStyle="1" w:styleId="EntradandiceAutoCar">
    <w:name w:val="Entrada Índice Auto Car"/>
    <w:basedOn w:val="Fuentedeprrafopredeter"/>
    <w:link w:val="EntradandiceAuto"/>
    <w:rsid w:val="004858C2"/>
    <w:rPr>
      <w:rFonts w:ascii="Times New Roman" w:eastAsia="Times New Roman" w:hAnsi="Times New Roman" w:cs="Times New Roman"/>
      <w:kern w:val="0"/>
      <w:lang w:eastAsia="es-ES"/>
      <w14:ligatures w14:val="none"/>
    </w:rPr>
  </w:style>
  <w:style w:type="paragraph" w:customStyle="1" w:styleId="TtuloAbreviaturas">
    <w:name w:val="Título Abreviaturas"/>
    <w:basedOn w:val="Normal"/>
    <w:link w:val="TtuloAbreviaturasCar"/>
    <w:qFormat/>
    <w:rsid w:val="004858C2"/>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4858C2"/>
    <w:rPr>
      <w:rFonts w:ascii="Times New Roman" w:eastAsia="Times New Roman" w:hAnsi="Times New Roman" w:cs="Times New Roman"/>
      <w:kern w:val="0"/>
      <w:sz w:val="32"/>
      <w:szCs w:val="32"/>
      <w:lang w:eastAsia="es-ES"/>
      <w14:ligatures w14:val="none"/>
    </w:rPr>
  </w:style>
  <w:style w:type="paragraph" w:customStyle="1" w:styleId="ParrafoNormal">
    <w:name w:val="Parrafo Normal"/>
    <w:basedOn w:val="Normal"/>
    <w:link w:val="ParrafoNormalCar"/>
    <w:qFormat/>
    <w:rsid w:val="004858C2"/>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4858C2"/>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4858C2"/>
    <w:rPr>
      <w:rFonts w:ascii="Times New Roman" w:eastAsia="Times New Roman" w:hAnsi="Times New Roman" w:cs="Times New Roman"/>
      <w:kern w:val="0"/>
      <w:lang w:eastAsia="es-ES"/>
      <w14:ligatures w14:val="none"/>
    </w:rPr>
  </w:style>
  <w:style w:type="paragraph" w:customStyle="1" w:styleId="Ttulondice">
    <w:name w:val="Título Índice"/>
    <w:basedOn w:val="Normal"/>
    <w:link w:val="TtulondiceCar"/>
    <w:qFormat/>
    <w:rsid w:val="004858C2"/>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4858C2"/>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4858C2"/>
    <w:rPr>
      <w:rFonts w:ascii="Times New Roman" w:eastAsia="Times New Roman" w:hAnsi="Times New Roman" w:cs="Times New Roman"/>
      <w:kern w:val="0"/>
      <w:sz w:val="40"/>
      <w:lang w:eastAsia="es-ES"/>
      <w14:ligatures w14:val="none"/>
    </w:rPr>
  </w:style>
  <w:style w:type="character" w:customStyle="1" w:styleId="TextoNormalNegritaCaracter">
    <w:name w:val="Texto Normal Negrita Caracter"/>
    <w:basedOn w:val="Fuentedeprrafopredeter"/>
    <w:uiPriority w:val="1"/>
    <w:qFormat/>
    <w:rsid w:val="004858C2"/>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4858C2"/>
    <w:rPr>
      <w:rFonts w:ascii="Times New Roman" w:eastAsia="Times New Roman" w:hAnsi="Times New Roman" w:cs="Times New Roman"/>
      <w:b/>
      <w:i/>
      <w:kern w:val="0"/>
      <w:lang w:eastAsia="es-ES"/>
      <w14:ligatures w14:val="none"/>
    </w:rPr>
  </w:style>
  <w:style w:type="paragraph" w:customStyle="1" w:styleId="TextoNormalNegrita">
    <w:name w:val="Texto Normal Negrita"/>
    <w:basedOn w:val="Normal"/>
    <w:link w:val="TextoNormalNegritaCar"/>
    <w:qFormat/>
    <w:rsid w:val="004858C2"/>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4858C2"/>
    <w:rPr>
      <w:rFonts w:ascii="Times New Roman" w:eastAsia="Times New Roman" w:hAnsi="Times New Roman" w:cs="Times New Roman"/>
      <w:b/>
      <w:kern w:val="0"/>
      <w:lang w:eastAsia="es-ES"/>
      <w14:ligatures w14:val="none"/>
    </w:rPr>
  </w:style>
  <w:style w:type="paragraph" w:customStyle="1" w:styleId="IndiceNivel1">
    <w:name w:val="Indice Nivel 1"/>
    <w:basedOn w:val="Normal"/>
    <w:link w:val="IndiceNivel1Car"/>
    <w:qFormat/>
    <w:rsid w:val="004858C2"/>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4858C2"/>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4858C2"/>
    <w:rPr>
      <w:rFonts w:ascii="Times New Roman" w:eastAsia="Times New Roman" w:hAnsi="Times New Roman" w:cs="Times New Roman"/>
      <w:kern w:val="0"/>
      <w:lang w:eastAsia="es-ES"/>
      <w14:ligatures w14:val="none"/>
    </w:rPr>
  </w:style>
  <w:style w:type="character" w:customStyle="1" w:styleId="IndiceNivel2Car">
    <w:name w:val="Indice Nivel 2 Car"/>
    <w:basedOn w:val="Fuentedeprrafopredeter"/>
    <w:link w:val="IndiceNivel2"/>
    <w:rsid w:val="004858C2"/>
    <w:rPr>
      <w:rFonts w:ascii="Times New Roman" w:eastAsia="Times New Roman" w:hAnsi="Times New Roman" w:cs="Times New Roman"/>
      <w:kern w:val="0"/>
      <w:lang w:eastAsia="es-ES"/>
      <w14:ligatures w14:val="none"/>
    </w:rPr>
  </w:style>
  <w:style w:type="paragraph" w:customStyle="1" w:styleId="SntesisDescriptiva">
    <w:name w:val="Síntesis Descriptiva"/>
    <w:basedOn w:val="ParrafoNormal"/>
    <w:link w:val="SntesisDescriptivaCar"/>
    <w:qFormat/>
    <w:rsid w:val="004858C2"/>
  </w:style>
  <w:style w:type="paragraph" w:customStyle="1" w:styleId="SntesisAnaltica">
    <w:name w:val="Síntesis Analítica"/>
    <w:basedOn w:val="ParrafoNormal"/>
    <w:link w:val="SntesisAnalticaCar"/>
    <w:qFormat/>
    <w:rsid w:val="004858C2"/>
    <w:rPr>
      <w:i/>
    </w:rPr>
  </w:style>
  <w:style w:type="character" w:customStyle="1" w:styleId="ParrafoNormalCar">
    <w:name w:val="Parrafo Normal Car"/>
    <w:basedOn w:val="Fuentedeprrafopredeter"/>
    <w:link w:val="ParrafoNormal"/>
    <w:rsid w:val="004858C2"/>
    <w:rPr>
      <w:rFonts w:ascii="Times New Roman" w:eastAsia="Times New Roman" w:hAnsi="Times New Roman" w:cs="Times New Roman"/>
      <w:kern w:val="0"/>
      <w:lang w:eastAsia="es-ES"/>
      <w14:ligatures w14:val="none"/>
    </w:rPr>
  </w:style>
  <w:style w:type="character" w:customStyle="1" w:styleId="SntesisDescriptivaCar">
    <w:name w:val="Síntesis Descriptiva Car"/>
    <w:basedOn w:val="ParrafoNormalCar"/>
    <w:link w:val="SntesisDescriptiva"/>
    <w:rsid w:val="004858C2"/>
    <w:rPr>
      <w:rFonts w:ascii="Times New Roman" w:eastAsia="Times New Roman" w:hAnsi="Times New Roman" w:cs="Times New Roman"/>
      <w:kern w:val="0"/>
      <w:lang w:eastAsia="es-ES"/>
      <w14:ligatures w14:val="none"/>
    </w:rPr>
  </w:style>
  <w:style w:type="character" w:customStyle="1" w:styleId="SntesisAnalticaCar">
    <w:name w:val="Síntesis Analítica Car"/>
    <w:basedOn w:val="ParrafoNormalCar"/>
    <w:link w:val="SntesisAnaltica"/>
    <w:rsid w:val="004858C2"/>
    <w:rPr>
      <w:rFonts w:ascii="Times New Roman" w:eastAsia="Times New Roman" w:hAnsi="Times New Roman" w:cs="Times New Roman"/>
      <w:i/>
      <w:kern w:val="0"/>
      <w:lang w:eastAsia="es-ES"/>
      <w14:ligatures w14:val="none"/>
    </w:rPr>
  </w:style>
  <w:style w:type="paragraph" w:customStyle="1" w:styleId="TextoNormalSangraFrancesa">
    <w:name w:val="Texto Normal Sangría Francesa"/>
    <w:basedOn w:val="Normal"/>
    <w:link w:val="TextoNormalSangraFrancesaCar"/>
    <w:qFormat/>
    <w:rsid w:val="004858C2"/>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4858C2"/>
    <w:rPr>
      <w:rFonts w:ascii="Times New Roman" w:eastAsia="Times New Roman" w:hAnsi="Times New Roman" w:cs="Times New Roman"/>
      <w:kern w:val="0"/>
      <w:lang w:eastAsia="es-ES"/>
      <w14:ligatures w14:val="none"/>
    </w:rPr>
  </w:style>
  <w:style w:type="paragraph" w:customStyle="1" w:styleId="DescriptoresJerarquicoTextoNormal">
    <w:name w:val="Descriptores Jerarquico Texto Normal"/>
    <w:basedOn w:val="TextoNormalSangraFrancesa"/>
    <w:link w:val="DescriptoresJerarquicoTextoNormalCar"/>
    <w:qFormat/>
    <w:rsid w:val="004858C2"/>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4858C2"/>
    <w:rPr>
      <w:rFonts w:ascii="Times New Roman" w:eastAsia="Times New Roman" w:hAnsi="Times New Roman" w:cs="Times New Roman"/>
      <w:kern w:val="0"/>
      <w:lang w:eastAsia="es-ES"/>
      <w14:ligatures w14:val="none"/>
    </w:rPr>
  </w:style>
  <w:style w:type="paragraph" w:styleId="Textodeglobo">
    <w:name w:val="Balloon Text"/>
    <w:basedOn w:val="Normal"/>
    <w:link w:val="TextodegloboCar"/>
    <w:uiPriority w:val="99"/>
    <w:semiHidden/>
    <w:unhideWhenUsed/>
    <w:rsid w:val="004858C2"/>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4858C2"/>
    <w:rPr>
      <w:rFonts w:ascii="Tahoma" w:eastAsia="Times New Roman" w:hAnsi="Tahoma" w:cs="Tahoma"/>
      <w:kern w:val="0"/>
      <w:sz w:val="16"/>
      <w:szCs w:val="16"/>
      <w:lang w:eastAsia="es-ES"/>
      <w14:ligatures w14:val="none"/>
    </w:rPr>
  </w:style>
  <w:style w:type="paragraph" w:customStyle="1" w:styleId="Portada1">
    <w:name w:val="Portada 1"/>
    <w:basedOn w:val="Normal"/>
    <w:link w:val="Portada1Car"/>
    <w:qFormat/>
    <w:rsid w:val="004858C2"/>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4858C2"/>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4858C2"/>
    <w:rPr>
      <w:rFonts w:ascii="Times New Roman" w:eastAsia="Times New Roman" w:hAnsi="Times New Roman" w:cs="Times New Roman"/>
      <w:kern w:val="0"/>
      <w:sz w:val="32"/>
      <w:lang w:eastAsia="es-ES"/>
      <w14:ligatures w14:val="none"/>
    </w:rPr>
  </w:style>
  <w:style w:type="paragraph" w:customStyle="1" w:styleId="PortadaPrincipal">
    <w:name w:val="Portada Principal"/>
    <w:basedOn w:val="Normal"/>
    <w:link w:val="PortadaPrincipalCar"/>
    <w:qFormat/>
    <w:rsid w:val="004858C2"/>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4858C2"/>
    <w:rPr>
      <w:rFonts w:ascii="Times New Roman" w:eastAsia="Times New Roman" w:hAnsi="Times New Roman" w:cs="Times New Roman"/>
      <w:kern w:val="0"/>
      <w:lang w:eastAsia="es-ES"/>
      <w14:ligatures w14:val="none"/>
    </w:rPr>
  </w:style>
  <w:style w:type="character" w:customStyle="1" w:styleId="PortadaPrincipalCar">
    <w:name w:val="Portada Principal Car"/>
    <w:basedOn w:val="Fuentedeprrafopredeter"/>
    <w:link w:val="PortadaPrincipal"/>
    <w:rsid w:val="004858C2"/>
    <w:rPr>
      <w:rFonts w:ascii="Times New Roman" w:eastAsia="Times New Roman" w:hAnsi="Times New Roman" w:cs="Times New Roman"/>
      <w:kern w:val="0"/>
      <w:sz w:val="96"/>
      <w:lang w:eastAsia="es-ES"/>
      <w14:ligatures w14:val="none"/>
    </w:rPr>
  </w:style>
  <w:style w:type="paragraph" w:customStyle="1" w:styleId="EntradaSumario">
    <w:name w:val="Entrada Sumario"/>
    <w:basedOn w:val="Normal"/>
    <w:link w:val="EntradaSumarioCar"/>
    <w:qFormat/>
    <w:rsid w:val="004858C2"/>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4858C2"/>
    <w:rPr>
      <w:rFonts w:ascii="Times New Roman" w:hAnsi="Times New Roman"/>
      <w:kern w:val="0"/>
      <w:szCs w:val="22"/>
      <w14:ligatures w14:val="none"/>
    </w:rPr>
  </w:style>
  <w:style w:type="paragraph" w:customStyle="1" w:styleId="Prueba">
    <w:name w:val="Prueba"/>
    <w:basedOn w:val="Normal"/>
    <w:link w:val="PruebaCar"/>
    <w:qFormat/>
    <w:rsid w:val="004858C2"/>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4858C2"/>
    <w:rPr>
      <w:rFonts w:ascii="Times New Roman" w:hAnsi="Times New Roman" w:cs="Times New Roman"/>
      <w:kern w:val="0"/>
      <w14:ligatures w14:val="none"/>
    </w:rPr>
  </w:style>
  <w:style w:type="paragraph" w:customStyle="1" w:styleId="Paginas">
    <w:name w:val="Paginas"/>
    <w:basedOn w:val="Prueba"/>
    <w:link w:val="PaginasCar"/>
    <w:qFormat/>
    <w:rsid w:val="004858C2"/>
  </w:style>
  <w:style w:type="character" w:customStyle="1" w:styleId="PaginasCar">
    <w:name w:val="Paginas Car"/>
    <w:basedOn w:val="PruebaCar"/>
    <w:link w:val="Paginas"/>
    <w:rsid w:val="004858C2"/>
    <w:rPr>
      <w:rFonts w:ascii="Times New Roman" w:hAnsi="Times New Roman" w:cs="Times New Roman"/>
      <w:kern w:val="0"/>
      <w14:ligatures w14:val="none"/>
    </w:rPr>
  </w:style>
  <w:style w:type="paragraph" w:customStyle="1" w:styleId="SangriaFrancesaArticulo">
    <w:name w:val="Sangria Francesa Articulo"/>
    <w:basedOn w:val="ParrafoNormal"/>
    <w:link w:val="SangriaFrancesaArticuloCar"/>
    <w:qFormat/>
    <w:rsid w:val="004858C2"/>
    <w:pPr>
      <w:ind w:left="568" w:hanging="284"/>
    </w:pPr>
  </w:style>
  <w:style w:type="paragraph" w:customStyle="1" w:styleId="SangriaIzquierdaArticulo">
    <w:name w:val="Sangria Izquierda Articulo"/>
    <w:basedOn w:val="SangriaFrancesaArticulo"/>
    <w:link w:val="SangriaIzquierdaArticuloCar"/>
    <w:qFormat/>
    <w:rsid w:val="004858C2"/>
    <w:pPr>
      <w:ind w:firstLine="0"/>
    </w:pPr>
  </w:style>
  <w:style w:type="character" w:customStyle="1" w:styleId="SangriaFrancesaArticuloCar">
    <w:name w:val="Sangria Francesa Articulo Car"/>
    <w:basedOn w:val="ParrafoNormalCar"/>
    <w:link w:val="SangriaFrancesaArticulo"/>
    <w:rsid w:val="004858C2"/>
    <w:rPr>
      <w:rFonts w:ascii="Times New Roman" w:eastAsia="Times New Roman" w:hAnsi="Times New Roman" w:cs="Times New Roman"/>
      <w:kern w:val="0"/>
      <w:lang w:eastAsia="es-ES"/>
      <w14:ligatures w14:val="none"/>
    </w:rPr>
  </w:style>
  <w:style w:type="character" w:customStyle="1" w:styleId="SangriaIzquierdaArticuloCar">
    <w:name w:val="Sangria Izquierda Articulo Car"/>
    <w:basedOn w:val="SangriaFrancesaArticuloCar"/>
    <w:link w:val="SangriaIzquierdaArticulo"/>
    <w:rsid w:val="004858C2"/>
    <w:rPr>
      <w:rFonts w:ascii="Times New Roman" w:eastAsia="Times New Roman" w:hAnsi="Times New Roman" w:cs="Times New Roman"/>
      <w:kern w:val="0"/>
      <w:lang w:eastAsia="es-ES"/>
      <w14:ligatures w14:val="none"/>
    </w:rPr>
  </w:style>
  <w:style w:type="paragraph" w:customStyle="1" w:styleId="DescriptoresJerarquicoNegrita">
    <w:name w:val="Descriptores Jerarquico Negrita"/>
    <w:basedOn w:val="TextoNormalNegrita"/>
    <w:link w:val="DescriptoresJerarquicoNegritaCar"/>
    <w:qFormat/>
    <w:rsid w:val="004858C2"/>
    <w:pPr>
      <w:tabs>
        <w:tab w:val="left" w:pos="1134"/>
      </w:tabs>
      <w:ind w:left="-567"/>
    </w:pPr>
  </w:style>
  <w:style w:type="character" w:customStyle="1" w:styleId="DescriptoresJerarquicoNegritaCar">
    <w:name w:val="Descriptores Jerarquico Negrita Car"/>
    <w:basedOn w:val="TextoNormalNegritaCar"/>
    <w:link w:val="DescriptoresJerarquicoNegrita"/>
    <w:rsid w:val="004858C2"/>
    <w:rPr>
      <w:rFonts w:ascii="Times New Roman" w:eastAsia="Times New Roman" w:hAnsi="Times New Roman" w:cs="Times New Roman"/>
      <w:b/>
      <w:kern w:val="0"/>
      <w:lang w:eastAsia="es-ES"/>
      <w14:ligatures w14:val="none"/>
    </w:rPr>
  </w:style>
  <w:style w:type="paragraph" w:customStyle="1" w:styleId="Notaalpie">
    <w:name w:val="Nota al pie"/>
    <w:basedOn w:val="TextoNormal"/>
    <w:qFormat/>
    <w:rsid w:val="004858C2"/>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4858C2"/>
    <w:rPr>
      <w:rFonts w:ascii="Times New Roman" w:hAnsi="Times New Roman"/>
      <w:b/>
      <w:i/>
      <w:sz w:val="24"/>
    </w:rPr>
  </w:style>
  <w:style w:type="paragraph" w:customStyle="1" w:styleId="EntradandiceSumario">
    <w:name w:val="Entrada Índice Sumario"/>
    <w:basedOn w:val="EntradandiceSentencia"/>
    <w:qFormat/>
    <w:rsid w:val="004858C2"/>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4858C2"/>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4858C2"/>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4858C2"/>
    <w:rPr>
      <w:rFonts w:ascii="Bodoni MT Condensed" w:hAnsi="Bodoni MT Condensed"/>
      <w:b/>
      <w:i/>
      <w:color w:val="A6A6A6" w:themeColor="background1" w:themeShade="A6"/>
      <w:kern w:val="0"/>
      <w:sz w:val="68"/>
      <w:szCs w:val="22"/>
      <w14:textOutline w14:w="9525" w14:cap="rnd" w14:cmpd="sng" w14:algn="ctr">
        <w14:solidFill>
          <w14:schemeClr w14:val="tx1"/>
        </w14:solidFill>
        <w14:prstDash w14:val="solid"/>
        <w14:bevel/>
      </w14:textOutline>
      <w14:props3d w14:extrusionH="57150" w14:contourW="0" w14:prstMaterial="warmMatte">
        <w14:bevelT w14:w="63500" w14:h="12700" w14:prst="angle"/>
      </w14:props3d>
      <w14:ligatures w14:val="none"/>
    </w:rPr>
  </w:style>
  <w:style w:type="character" w:customStyle="1" w:styleId="SntesisDescriptivaTtulo">
    <w:name w:val="Síntesis Descriptiva Título"/>
    <w:basedOn w:val="Fuentedeprrafopredeter"/>
    <w:uiPriority w:val="1"/>
    <w:qFormat/>
    <w:rsid w:val="004858C2"/>
    <w:rPr>
      <w:rFonts w:ascii="Times New Roman" w:hAnsi="Times New Roman"/>
      <w:color w:val="A7599E"/>
      <w:sz w:val="24"/>
    </w:rPr>
  </w:style>
  <w:style w:type="character" w:customStyle="1" w:styleId="SntesisAnalticaTtulo">
    <w:name w:val="Síntesis Analítica Título"/>
    <w:basedOn w:val="SntesisDescriptivaTtulo"/>
    <w:uiPriority w:val="1"/>
    <w:qFormat/>
    <w:rsid w:val="004858C2"/>
    <w:rPr>
      <w:rFonts w:ascii="Times New Roman" w:hAnsi="Times New Roman"/>
      <w:i w:val="0"/>
      <w:color w:val="A7599E"/>
      <w:sz w:val="24"/>
    </w:rPr>
  </w:style>
  <w:style w:type="paragraph" w:customStyle="1" w:styleId="CabeceraGaceta">
    <w:name w:val="Cabecera Gaceta"/>
    <w:next w:val="Normal"/>
    <w:link w:val="CabeceraGacetaCar"/>
    <w:qFormat/>
    <w:rsid w:val="004858C2"/>
    <w:pPr>
      <w:pBdr>
        <w:top w:val="single" w:sz="4" w:space="10" w:color="A7599E"/>
        <w:bottom w:val="single" w:sz="4" w:space="10" w:color="A7599E"/>
      </w:pBdr>
      <w:spacing w:after="200" w:line="276" w:lineRule="auto"/>
      <w:contextualSpacing/>
    </w:pPr>
    <w:rPr>
      <w:rFonts w:ascii="Batang" w:hAnsi="Batang"/>
      <w:color w:val="000000" w:themeColor="text1"/>
      <w:kern w:val="0"/>
      <w:sz w:val="20"/>
      <w:szCs w:val="22"/>
      <w14:textOutline w14:w="9525" w14:cap="rnd" w14:cmpd="sng" w14:algn="ctr">
        <w14:noFill/>
        <w14:prstDash w14:val="solid"/>
        <w14:bevel/>
      </w14:textOutline>
      <w14:ligatures w14:val="none"/>
    </w:rPr>
  </w:style>
  <w:style w:type="character" w:customStyle="1" w:styleId="CabeceraGacetaCar">
    <w:name w:val="Cabecera Gaceta Car"/>
    <w:basedOn w:val="Fuentedeprrafopredeter"/>
    <w:link w:val="CabeceraGaceta"/>
    <w:rsid w:val="004858C2"/>
    <w:rPr>
      <w:rFonts w:ascii="Batang" w:hAnsi="Batang"/>
      <w:color w:val="000000" w:themeColor="text1"/>
      <w:kern w:val="0"/>
      <w:sz w:val="20"/>
      <w:szCs w:val="22"/>
      <w14:textOutline w14:w="9525" w14:cap="rnd" w14:cmpd="sng" w14:algn="ctr">
        <w14:noFill/>
        <w14:prstDash w14:val="solid"/>
        <w14:bevel/>
      </w14:textOutline>
      <w14:ligatures w14:val="none"/>
    </w:rPr>
  </w:style>
  <w:style w:type="paragraph" w:customStyle="1" w:styleId="TextoNormalSeparacionUltimoParrafo">
    <w:name w:val="Texto Normal Separacion Ultimo Parrafo"/>
    <w:basedOn w:val="TextoNormal"/>
    <w:qFormat/>
    <w:rsid w:val="004858C2"/>
    <w:pPr>
      <w:spacing w:after="1800"/>
    </w:pPr>
  </w:style>
  <w:style w:type="character" w:styleId="nfasis">
    <w:name w:val="Emphasis"/>
    <w:basedOn w:val="Fuentedeprrafopredeter"/>
    <w:uiPriority w:val="20"/>
    <w:qFormat/>
    <w:rsid w:val="004858C2"/>
    <w:rPr>
      <w:i/>
      <w:iCs/>
    </w:rPr>
  </w:style>
  <w:style w:type="character" w:styleId="Hipervnculo">
    <w:name w:val="Hyperlink"/>
    <w:basedOn w:val="Fuentedeprrafopredeter"/>
    <w:uiPriority w:val="99"/>
    <w:unhideWhenUsed/>
    <w:rsid w:val="004858C2"/>
    <w:rPr>
      <w:b w:val="0"/>
      <w:color w:val="000000" w:themeColor="text1"/>
      <w:u w:val="none"/>
    </w:rPr>
  </w:style>
  <w:style w:type="paragraph" w:customStyle="1" w:styleId="SntesisDescriptivaConSeparacion">
    <w:name w:val="Síntesis Descriptiva Con Separacion"/>
    <w:basedOn w:val="SntesisDescriptiva"/>
    <w:qFormat/>
    <w:rsid w:val="004858C2"/>
    <w:pPr>
      <w:spacing w:after="600"/>
    </w:pPr>
  </w:style>
  <w:style w:type="paragraph" w:customStyle="1" w:styleId="SntesisAnalticaConSeparacin">
    <w:name w:val="Síntesis Analítica Con Separación"/>
    <w:basedOn w:val="SntesisAnaltica"/>
    <w:qFormat/>
    <w:rsid w:val="004858C2"/>
    <w:pPr>
      <w:spacing w:after="600"/>
    </w:pPr>
  </w:style>
  <w:style w:type="paragraph" w:customStyle="1" w:styleId="TtuloListado">
    <w:name w:val="Título Listado"/>
    <w:basedOn w:val="TextoNormal"/>
    <w:qFormat/>
    <w:rsid w:val="004858C2"/>
    <w:pPr>
      <w:spacing w:line="360" w:lineRule="auto"/>
      <w:jc w:val="center"/>
    </w:pPr>
    <w:rPr>
      <w:b/>
      <w:u w:val="single"/>
    </w:rPr>
  </w:style>
  <w:style w:type="paragraph" w:customStyle="1" w:styleId="TextoNormalCentradoCursiva">
    <w:name w:val="Texto Normal Centrado Cursiva"/>
    <w:basedOn w:val="TextoNormalCentrado"/>
    <w:qFormat/>
    <w:rsid w:val="004858C2"/>
    <w:rPr>
      <w:i/>
    </w:rPr>
  </w:style>
  <w:style w:type="paragraph" w:customStyle="1" w:styleId="TextoConBorde">
    <w:name w:val="Texto Con Borde"/>
    <w:qFormat/>
    <w:rsid w:val="004858C2"/>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kern w:val="0"/>
      <w:lang w:eastAsia="es-ES"/>
      <w14:ligatures w14:val="none"/>
    </w:rPr>
  </w:style>
  <w:style w:type="paragraph" w:customStyle="1" w:styleId="TtuloSecundarioGaceta">
    <w:name w:val="Título Secundario Gaceta"/>
    <w:basedOn w:val="TtuloPrincipalGaceta"/>
    <w:qFormat/>
    <w:rsid w:val="004858C2"/>
    <w:rPr>
      <w:sz w:val="148"/>
    </w:rPr>
  </w:style>
  <w:style w:type="paragraph" w:customStyle="1" w:styleId="TextoNormalNegritaCentradoSubrayado">
    <w:name w:val="Texto Normal Negrita Centrado Subrayado"/>
    <w:basedOn w:val="TextoNormalNegritaCentrado"/>
    <w:qFormat/>
    <w:rsid w:val="004858C2"/>
    <w:rPr>
      <w:sz w:val="28"/>
      <w:u w:val="single"/>
    </w:rPr>
  </w:style>
  <w:style w:type="paragraph" w:customStyle="1" w:styleId="TextoIndiceNivel2">
    <w:name w:val="TextoIndice Nivel2"/>
    <w:basedOn w:val="TextoNormalNegritaCentrado"/>
    <w:qFormat/>
    <w:rsid w:val="004858C2"/>
    <w:rPr>
      <w:sz w:val="36"/>
    </w:rPr>
  </w:style>
  <w:style w:type="character" w:customStyle="1" w:styleId="TextoNormalNegritaCentradoSombreado">
    <w:name w:val="Texto Normal Negrita Centrado Sombreado"/>
    <w:basedOn w:val="TextoNormalNegritaCaracter"/>
    <w:uiPriority w:val="1"/>
    <w:qFormat/>
    <w:rsid w:val="004858C2"/>
    <w:rPr>
      <w:rFonts w:ascii="Times New Roman" w:hAnsi="Times New Roman"/>
      <w:b/>
      <w:sz w:val="32"/>
      <w:bdr w:val="none" w:sz="0" w:space="0" w:color="auto"/>
      <w:shd w:val="clear" w:color="auto" w:fill="E8E8E8" w:themeFill="background2"/>
    </w:rPr>
  </w:style>
  <w:style w:type="paragraph" w:customStyle="1" w:styleId="TextoNormalNegritaCursivandice">
    <w:name w:val="Texto Normal Negrita Cursiva Índice"/>
    <w:basedOn w:val="TextoNormalNegritaCursiva"/>
    <w:link w:val="TextoNormalNegritaCursivandiceCar"/>
    <w:qFormat/>
    <w:rsid w:val="004858C2"/>
    <w:rPr>
      <w:sz w:val="26"/>
    </w:rPr>
  </w:style>
  <w:style w:type="character" w:customStyle="1" w:styleId="ndiceJerrquicoDescriptor">
    <w:name w:val="Índice Jerárquico Descriptor"/>
    <w:basedOn w:val="TextoNormalCar"/>
    <w:uiPriority w:val="1"/>
    <w:qFormat/>
    <w:rsid w:val="004858C2"/>
    <w:rPr>
      <w:rFonts w:ascii="Times New Roman" w:eastAsia="Times New Roman" w:hAnsi="Times New Roman" w:cs="Times New Roman"/>
      <w:kern w:val="0"/>
      <w:sz w:val="18"/>
      <w:lang w:eastAsia="es-ES"/>
      <w14:ligatures w14:val="none"/>
    </w:rPr>
  </w:style>
  <w:style w:type="character" w:customStyle="1" w:styleId="ndiceJerrquicoDescriptorNegrita">
    <w:name w:val="Índice Jerárquico Descriptor Negrita"/>
    <w:basedOn w:val="ndiceJerrquicoDescriptor"/>
    <w:uiPriority w:val="1"/>
    <w:qFormat/>
    <w:rsid w:val="004858C2"/>
    <w:rPr>
      <w:rFonts w:ascii="Times New Roman" w:eastAsia="Times New Roman" w:hAnsi="Times New Roman" w:cs="Times New Roman"/>
      <w:b/>
      <w:kern w:val="0"/>
      <w:sz w:val="18"/>
      <w:lang w:eastAsia="es-ES"/>
      <w14:ligatures w14:val="none"/>
    </w:rPr>
  </w:style>
  <w:style w:type="paragraph" w:customStyle="1" w:styleId="DescriptoresJerarquicoNegritaTitulo">
    <w:name w:val="Descriptores Jerarquico Negrita Titulo"/>
    <w:basedOn w:val="DescriptoresJerarquicoNegrita"/>
    <w:qFormat/>
    <w:rsid w:val="004858C2"/>
    <w:pPr>
      <w:ind w:left="0"/>
    </w:pPr>
    <w:rPr>
      <w:sz w:val="28"/>
    </w:rPr>
  </w:style>
  <w:style w:type="character" w:styleId="Hipervnculovisitado">
    <w:name w:val="FollowedHyperlink"/>
    <w:basedOn w:val="Fuentedeprrafopredeter"/>
    <w:uiPriority w:val="99"/>
    <w:semiHidden/>
    <w:unhideWhenUsed/>
    <w:rsid w:val="004858C2"/>
    <w:rPr>
      <w:color w:val="auto"/>
      <w:u w:val="none"/>
    </w:rPr>
  </w:style>
  <w:style w:type="paragraph" w:customStyle="1" w:styleId="EntradandiceSumarioNivel2">
    <w:name w:val="Entrada Índice Sumario Nivel2"/>
    <w:basedOn w:val="EntradandiceSumario"/>
    <w:qFormat/>
    <w:rsid w:val="004858C2"/>
    <w:pPr>
      <w:spacing w:line="240" w:lineRule="exact"/>
      <w:ind w:firstLine="113"/>
    </w:pPr>
    <w:rPr>
      <w:sz w:val="23"/>
    </w:rPr>
  </w:style>
  <w:style w:type="paragraph" w:customStyle="1" w:styleId="TtuloSumariondices">
    <w:name w:val="Título Sumario Índices"/>
    <w:basedOn w:val="TextoNormal"/>
    <w:qFormat/>
    <w:rsid w:val="004858C2"/>
    <w:pPr>
      <w:ind w:firstLine="0"/>
      <w:jc w:val="center"/>
    </w:pPr>
    <w:rPr>
      <w:sz w:val="32"/>
    </w:rPr>
  </w:style>
  <w:style w:type="paragraph" w:styleId="Cierre">
    <w:name w:val="Closing"/>
    <w:basedOn w:val="Normal"/>
    <w:link w:val="CierreCar"/>
    <w:uiPriority w:val="99"/>
    <w:unhideWhenUsed/>
    <w:rsid w:val="004858C2"/>
    <w:pPr>
      <w:spacing w:after="0" w:line="240" w:lineRule="auto"/>
      <w:ind w:left="4252"/>
    </w:pPr>
  </w:style>
  <w:style w:type="character" w:customStyle="1" w:styleId="CierreCar">
    <w:name w:val="Cierre Car"/>
    <w:basedOn w:val="Fuentedeprrafopredeter"/>
    <w:link w:val="Cierre"/>
    <w:uiPriority w:val="99"/>
    <w:rsid w:val="004858C2"/>
    <w:rPr>
      <w:kern w:val="0"/>
      <w:sz w:val="22"/>
      <w:szCs w:val="22"/>
      <w14:ligatures w14:val="none"/>
    </w:rPr>
  </w:style>
  <w:style w:type="paragraph" w:customStyle="1" w:styleId="Cabecera">
    <w:name w:val="Cabecera"/>
    <w:link w:val="CabeceraCar"/>
    <w:qFormat/>
    <w:rsid w:val="004858C2"/>
    <w:pPr>
      <w:pBdr>
        <w:bottom w:val="single" w:sz="4" w:space="1" w:color="538135"/>
      </w:pBdr>
      <w:spacing w:after="200" w:line="276" w:lineRule="auto"/>
    </w:pPr>
    <w:rPr>
      <w:rFonts w:ascii="Arial" w:hAnsi="Arial"/>
      <w:b/>
      <w:iCs/>
      <w:color w:val="538135"/>
      <w:kern w:val="0"/>
      <w:sz w:val="20"/>
      <w:szCs w:val="22"/>
      <w14:ligatures w14:val="none"/>
    </w:rPr>
  </w:style>
  <w:style w:type="character" w:customStyle="1" w:styleId="CabeceraCar">
    <w:name w:val="Cabecera Car"/>
    <w:basedOn w:val="Fuentedeprrafopredeter"/>
    <w:link w:val="Cabecera"/>
    <w:rsid w:val="004858C2"/>
    <w:rPr>
      <w:rFonts w:ascii="Arial" w:hAnsi="Arial"/>
      <w:b/>
      <w:iCs/>
      <w:color w:val="538135"/>
      <w:kern w:val="0"/>
      <w:sz w:val="20"/>
      <w:szCs w:val="22"/>
      <w14:ligatures w14:val="none"/>
    </w:rPr>
  </w:style>
  <w:style w:type="paragraph" w:customStyle="1" w:styleId="TtuloSumarioResoluciones">
    <w:name w:val="Título Sumario Resoluciones"/>
    <w:basedOn w:val="TextoNormal"/>
    <w:link w:val="TtuloSumarioResolucionesCar"/>
    <w:qFormat/>
    <w:rsid w:val="004858C2"/>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4858C2"/>
    <w:rPr>
      <w:rFonts w:ascii="Times New Roman" w:eastAsia="Times New Roman" w:hAnsi="Times New Roman" w:cs="Times New Roman"/>
      <w:color w:val="404040" w:themeColor="text1" w:themeTint="BF"/>
      <w:kern w:val="0"/>
      <w:sz w:val="32"/>
      <w:lang w:eastAsia="es-ES"/>
      <w14:ligatures w14:val="none"/>
    </w:rPr>
  </w:style>
  <w:style w:type="character" w:customStyle="1" w:styleId="NumeroAFNegritaCaracter">
    <w:name w:val="NumeroAF Negrita Caracter"/>
    <w:basedOn w:val="TextoNormalNegritaCaracter"/>
    <w:uiPriority w:val="1"/>
    <w:qFormat/>
    <w:rsid w:val="004858C2"/>
    <w:rPr>
      <w:rFonts w:ascii="Times New Roman" w:hAnsi="Times New Roman"/>
      <w:b/>
      <w:color w:val="538135"/>
      <w:sz w:val="32"/>
    </w:rPr>
  </w:style>
  <w:style w:type="paragraph" w:customStyle="1" w:styleId="Portada3">
    <w:name w:val="Portada 3"/>
    <w:basedOn w:val="NormalWeb"/>
    <w:link w:val="Portada3Car"/>
    <w:qFormat/>
    <w:rsid w:val="004858C2"/>
    <w:pPr>
      <w:jc w:val="center"/>
    </w:pPr>
    <w:rPr>
      <w:sz w:val="22"/>
    </w:rPr>
  </w:style>
  <w:style w:type="paragraph" w:styleId="NormalWeb">
    <w:name w:val="Normal (Web)"/>
    <w:basedOn w:val="Normal"/>
    <w:link w:val="NormalWebCar"/>
    <w:uiPriority w:val="99"/>
    <w:semiHidden/>
    <w:unhideWhenUsed/>
    <w:rsid w:val="004858C2"/>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4858C2"/>
    <w:rPr>
      <w:rFonts w:ascii="Times New Roman" w:hAnsi="Times New Roman" w:cs="Times New Roman"/>
      <w:kern w:val="0"/>
      <w14:ligatures w14:val="none"/>
    </w:rPr>
  </w:style>
  <w:style w:type="character" w:customStyle="1" w:styleId="Portada3Car">
    <w:name w:val="Portada 3 Car"/>
    <w:basedOn w:val="NormalWebCar"/>
    <w:link w:val="Portada3"/>
    <w:rsid w:val="004858C2"/>
    <w:rPr>
      <w:rFonts w:ascii="Times New Roman" w:hAnsi="Times New Roman" w:cs="Times New Roman"/>
      <w:kern w:val="0"/>
      <w:sz w:val="22"/>
      <w14:ligatures w14:val="none"/>
    </w:rPr>
  </w:style>
  <w:style w:type="paragraph" w:customStyle="1" w:styleId="EntradandiceAutoContenidoEspecifico">
    <w:name w:val="Entrada Índice Auto Contenido Especifico"/>
    <w:basedOn w:val="EntradaSumario"/>
    <w:link w:val="EntradandiceAutoContenidoEspecificoCar"/>
    <w:qFormat/>
    <w:rsid w:val="004858C2"/>
    <w:pPr>
      <w:spacing w:before="240"/>
    </w:pPr>
  </w:style>
  <w:style w:type="character" w:customStyle="1" w:styleId="EntradandiceAutoContenidoEspecificoCar">
    <w:name w:val="Entrada Índice Auto Contenido Especifico Car"/>
    <w:basedOn w:val="EntradaSumarioCar"/>
    <w:link w:val="EntradandiceAutoContenidoEspecifico"/>
    <w:rsid w:val="004858C2"/>
    <w:rPr>
      <w:rFonts w:ascii="Times New Roman" w:hAnsi="Times New Roman"/>
      <w:kern w:val="0"/>
      <w:szCs w:val="22"/>
      <w14:ligatures w14:val="none"/>
    </w:rPr>
  </w:style>
  <w:style w:type="paragraph" w:customStyle="1" w:styleId="TextoNormalNegritaCursivaSubrayadondice">
    <w:name w:val="Texto Normal Negrita Cursiva Subrayado Índice"/>
    <w:basedOn w:val="TextoNormalNegritaCursivandice"/>
    <w:link w:val="TextoNormalNegritaCursivaSubrayadondiceCar"/>
    <w:qFormat/>
    <w:rsid w:val="004858C2"/>
    <w:rPr>
      <w:b w:val="0"/>
      <w:i w:val="0"/>
      <w:u w:val="single"/>
    </w:rPr>
  </w:style>
  <w:style w:type="character" w:customStyle="1" w:styleId="TextoNormalNegritaCursivaSubrayadondiceCaracter">
    <w:name w:val="Texto Normal Negrita Cursiva Subrayado Índice Caracter"/>
    <w:basedOn w:val="TextoNormalCar"/>
    <w:uiPriority w:val="1"/>
    <w:qFormat/>
    <w:rsid w:val="004858C2"/>
    <w:rPr>
      <w:rFonts w:ascii="Times New Roman" w:eastAsia="Times New Roman" w:hAnsi="Times New Roman" w:cs="Times New Roman"/>
      <w:kern w:val="0"/>
      <w:sz w:val="26"/>
      <w:u w:val="single"/>
      <w:lang w:eastAsia="es-ES"/>
      <w14:ligatures w14:val="none"/>
    </w:rPr>
  </w:style>
  <w:style w:type="character" w:customStyle="1" w:styleId="TextoNormalNegritaCursivandiceCar">
    <w:name w:val="Texto Normal Negrita Cursiva Índice Car"/>
    <w:basedOn w:val="TextoNormalNegritaCursivaCar"/>
    <w:link w:val="TextoNormalNegritaCursivandice"/>
    <w:rsid w:val="004858C2"/>
    <w:rPr>
      <w:rFonts w:ascii="Times New Roman" w:eastAsia="Times New Roman" w:hAnsi="Times New Roman" w:cs="Times New Roman"/>
      <w:b/>
      <w:i/>
      <w:kern w:val="0"/>
      <w:sz w:val="26"/>
      <w:lang w:eastAsia="es-ES"/>
      <w14:ligatures w14:val="none"/>
    </w:rPr>
  </w:style>
  <w:style w:type="character" w:customStyle="1" w:styleId="TextoNormalNegritaCursivaSubrayadondiceCar">
    <w:name w:val="Texto Normal Negrita Cursiva Subrayado Índice Car"/>
    <w:basedOn w:val="TextoNormalNegritaCursivandiceCar"/>
    <w:link w:val="TextoNormalNegritaCursivaSubrayadondice"/>
    <w:rsid w:val="004858C2"/>
    <w:rPr>
      <w:rFonts w:ascii="Times New Roman" w:eastAsia="Times New Roman" w:hAnsi="Times New Roman" w:cs="Times New Roman"/>
      <w:b w:val="0"/>
      <w:i w:val="0"/>
      <w:kern w:val="0"/>
      <w:sz w:val="26"/>
      <w:u w:val="single"/>
      <w:lang w:eastAsia="es-ES"/>
      <w14:ligatures w14:val="none"/>
    </w:rPr>
  </w:style>
  <w:style w:type="paragraph" w:styleId="Encabezado">
    <w:name w:val="header"/>
    <w:basedOn w:val="Normal"/>
    <w:link w:val="EncabezadoCar"/>
    <w:uiPriority w:val="99"/>
    <w:unhideWhenUsed/>
    <w:rsid w:val="003754F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754FE"/>
    <w:rPr>
      <w:kern w:val="0"/>
      <w:sz w:val="22"/>
      <w:szCs w:val="22"/>
      <w14:ligatures w14:val="none"/>
    </w:rPr>
  </w:style>
  <w:style w:type="paragraph" w:styleId="Piedepgina">
    <w:name w:val="footer"/>
    <w:basedOn w:val="Normal"/>
    <w:link w:val="PiedepginaCar"/>
    <w:uiPriority w:val="99"/>
    <w:unhideWhenUsed/>
    <w:rsid w:val="003754F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754FE"/>
    <w:rPr>
      <w:kern w:val="0"/>
      <w:sz w:val="22"/>
      <w:szCs w:val="22"/>
      <w14:ligatures w14:val="none"/>
    </w:rPr>
  </w:style>
  <w:style w:type="character" w:styleId="Mencinsinresolver">
    <w:name w:val="Unresolved Mention"/>
    <w:basedOn w:val="Fuentedeprrafopredeter"/>
    <w:uiPriority w:val="99"/>
    <w:semiHidden/>
    <w:unhideWhenUsed/>
    <w:rsid w:val="007D5795"/>
    <w:rPr>
      <w:color w:val="605E5C"/>
      <w:shd w:val="clear" w:color="auto" w:fill="E1DFDD"/>
    </w:rPr>
  </w:style>
  <w:style w:type="character" w:styleId="Nmerodepgina">
    <w:name w:val="page number"/>
    <w:basedOn w:val="Fuentedeprrafopredeter"/>
    <w:uiPriority w:val="99"/>
    <w:semiHidden/>
    <w:unhideWhenUsed/>
    <w:rsid w:val="00450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768545182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1768545182Resolucion</Template>
  <TotalTime>62</TotalTime>
  <Pages>2352</Pages>
  <Words>1593939</Words>
  <Characters>8318186</Characters>
  <Application>Microsoft Office Word</Application>
  <DocSecurity>0</DocSecurity>
  <Lines>141005</Lines>
  <Paragraphs>21944</Paragraphs>
  <ScaleCrop>false</ScaleCrop>
  <Manager>TC</Manager>
  <Company>TC</Company>
  <LinksUpToDate>false</LinksUpToDate>
  <CharactersWithSpaces>9890796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115</dc:title>
  <dc:subject>Tomo 115</dc:subject>
  <dc:creator>Tribunal Constitucional</dc:creator>
  <cp:keywords/>
  <dc:description>Tomo 115</dc:description>
  <cp:lastModifiedBy>RECIO BLÁZQUEZ, Julia</cp:lastModifiedBy>
  <cp:revision>7</cp:revision>
  <dcterms:created xsi:type="dcterms:W3CDTF">2026-01-16T06:33:00Z</dcterms:created>
  <dcterms:modified xsi:type="dcterms:W3CDTF">2026-01-16T07:35:00Z</dcterms:modified>
</cp:coreProperties>
</file>